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footerReference w:type="default" r:id="rId5"/>
          <w:footerReference w:type="even" r:id="rId6"/>
          <w:type w:val="continuous"/>
          <w:pgSz w:w="12240" w:h="15660"/>
          <w:pgMar w:footer="567" w:top="0" w:bottom="760" w:left="0" w:right="0"/>
          <w:pgNumType w:start="305"/>
        </w:sectPr>
      </w:pPr>
    </w:p>
    <w:p>
      <w:pPr>
        <w:pStyle w:val="BodyText"/>
        <w:spacing w:line="249" w:lineRule="auto" w:before="250"/>
        <w:ind w:left="1440"/>
        <w:jc w:val="both"/>
      </w:pPr>
      <w:r>
        <w:rPr/>
        <w:pict>
          <v:group style="position:absolute;margin-left:0pt;margin-top:0pt;width:612pt;height:180pt;mso-position-horizontal-relative:page;mso-position-vertical-relative:page;z-index:251663360"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7" o:title=""/>
            </v:shape>
            <v:shape style="position:absolute;left:6160;top:2428;width:5021;height:620" type="#_x0000_t202" filled="false" stroked="false">
              <v:textbox inset="0,0,0,0">
                <w:txbxContent>
                  <w:p>
                    <w:pPr>
                      <w:spacing w:before="36"/>
                      <w:ind w:left="0" w:right="0" w:firstLine="0"/>
                      <w:jc w:val="left"/>
                      <w:rPr>
                        <w:b/>
                        <w:sz w:val="38"/>
                      </w:rPr>
                    </w:pPr>
                    <w:r>
                      <w:rPr>
                        <w:b/>
                        <w:color w:val="231F20"/>
                        <w:w w:val="95"/>
                        <w:sz w:val="38"/>
                      </w:rPr>
                      <w:t>The Body Fluid Compartments:</w:t>
                    </w:r>
                  </w:p>
                </w:txbxContent>
              </v:textbox>
              <w10:wrap type="none"/>
            </v:shape>
            <v:shape style="position:absolute;left:4062;top:2848;width:7118;height:620" type="#_x0000_t202" filled="false" stroked="false">
              <v:textbox inset="0,0,0,0">
                <w:txbxContent>
                  <w:p>
                    <w:pPr>
                      <w:spacing w:before="36"/>
                      <w:ind w:left="0" w:right="0" w:firstLine="0"/>
                      <w:jc w:val="left"/>
                      <w:rPr>
                        <w:b/>
                        <w:sz w:val="38"/>
                      </w:rPr>
                    </w:pPr>
                    <w:r>
                      <w:rPr>
                        <w:b/>
                        <w:color w:val="231F20"/>
                        <w:w w:val="95"/>
                        <w:sz w:val="38"/>
                      </w:rPr>
                      <w:t>Extracellular and Intracellular Fluids;</w:t>
                    </w:r>
                    <w:r>
                      <w:rPr>
                        <w:b/>
                        <w:color w:val="231F20"/>
                        <w:spacing w:val="-31"/>
                        <w:w w:val="95"/>
                        <w:sz w:val="38"/>
                      </w:rPr>
                      <w:t> </w:t>
                    </w:r>
                    <w:r>
                      <w:rPr>
                        <w:b/>
                        <w:color w:val="231F20"/>
                        <w:w w:val="95"/>
                        <w:sz w:val="38"/>
                      </w:rPr>
                      <w:t>Edema</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2</w:t>
                    </w:r>
                    <w:r>
                      <w:rPr>
                        <w:rFonts w:ascii="Trebuchet MS"/>
                        <w:b/>
                        <w:color w:val="231F20"/>
                        <w:spacing w:val="-44"/>
                        <w:w w:val="105"/>
                        <w:sz w:val="36"/>
                      </w:rPr>
                      <w:t> </w:t>
                    </w:r>
                    <w:r>
                      <w:rPr>
                        <w:rFonts w:ascii="Trebuchet MS"/>
                        <w:b/>
                        <w:color w:val="231F20"/>
                        <w:w w:val="105"/>
                        <w:sz w:val="36"/>
                      </w:rPr>
                      <w:t>5</w:t>
                    </w:r>
                  </w:p>
                </w:txbxContent>
              </v:textbox>
              <w10:wrap type="none"/>
            </v:shape>
            <w10:wrap type="none"/>
          </v:group>
        </w:pict>
      </w:r>
      <w:r>
        <w:rPr/>
        <w:pict>
          <v:shape style="position:absolute;margin-left:578.900024pt;margin-top:-79.856735pt;width:15.9pt;height:53.35pt;mso-position-horizontal-relative:page;mso-position-vertical-relative:paragraph;z-index:25166540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The maintenance of a relatively constant volume and a stable composition of the body fluids is essential </w:t>
      </w:r>
      <w:r>
        <w:rPr>
          <w:color w:val="231F20"/>
          <w:spacing w:val="-6"/>
        </w:rPr>
        <w:t>for </w:t>
      </w:r>
      <w:r>
        <w:rPr>
          <w:color w:val="231F20"/>
        </w:rPr>
        <w:t>homeostasis. Some of the most common and important problems in clinical medicine arise because of </w:t>
      </w:r>
      <w:r>
        <w:rPr>
          <w:color w:val="231F20"/>
          <w:spacing w:val="-4"/>
        </w:rPr>
        <w:t>abnor­ </w:t>
      </w:r>
      <w:r>
        <w:rPr>
          <w:color w:val="231F20"/>
        </w:rPr>
        <w:t>malities in the control systems that maintain this </w:t>
      </w:r>
      <w:r>
        <w:rPr>
          <w:color w:val="231F20"/>
          <w:spacing w:val="-3"/>
        </w:rPr>
        <w:t>relative </w:t>
      </w:r>
      <w:r>
        <w:rPr>
          <w:color w:val="231F20"/>
        </w:rPr>
        <w:t>constancy of the  body  fluids.  In  this  chapter  and  </w:t>
      </w:r>
      <w:r>
        <w:rPr>
          <w:color w:val="231F20"/>
          <w:spacing w:val="-6"/>
        </w:rPr>
        <w:t>in  </w:t>
      </w:r>
      <w:r>
        <w:rPr>
          <w:color w:val="231F20"/>
        </w:rPr>
        <w:t>the following chapters on the kidneys, we discuss </w:t>
      </w:r>
      <w:r>
        <w:rPr>
          <w:color w:val="231F20"/>
          <w:spacing w:val="-6"/>
        </w:rPr>
        <w:t>the </w:t>
      </w:r>
      <w:r>
        <w:rPr>
          <w:color w:val="231F20"/>
        </w:rPr>
        <w:t>overall regulation of body fluid volume, constituents </w:t>
      </w:r>
      <w:r>
        <w:rPr>
          <w:color w:val="231F20"/>
          <w:spacing w:val="-7"/>
        </w:rPr>
        <w:t>of </w:t>
      </w:r>
      <w:r>
        <w:rPr>
          <w:color w:val="231F20"/>
        </w:rPr>
        <w:t>the extracellular fluid, acid­base balance, and control </w:t>
      </w:r>
      <w:r>
        <w:rPr>
          <w:color w:val="231F20"/>
          <w:spacing w:val="-6"/>
        </w:rPr>
        <w:t>of </w:t>
      </w:r>
      <w:r>
        <w:rPr>
          <w:color w:val="231F20"/>
        </w:rPr>
        <w:t>fluid exchange between extracellular and intracellular compartments.</w:t>
      </w:r>
    </w:p>
    <w:p>
      <w:pPr>
        <w:pStyle w:val="BodyText"/>
        <w:spacing w:before="4"/>
        <w:rPr>
          <w:sz w:val="25"/>
        </w:rPr>
      </w:pPr>
      <w:r>
        <w:rPr/>
        <w:pict>
          <v:shape style="position:absolute;margin-left:72pt;margin-top:15.81778pt;width:234pt;height:40pt;mso-position-horizontal-relative:page;mso-position-vertical-relative:paragraph;z-index:-251658240;mso-wrap-distance-left:0;mso-wrap-distance-right:0" type="#_x0000_t202" filled="true" fillcolor="#e8dac8" stroked="false">
            <v:textbox inset="0,0,0,0">
              <w:txbxContent>
                <w:p>
                  <w:pPr>
                    <w:spacing w:line="225" w:lineRule="auto" w:before="46"/>
                    <w:ind w:left="60" w:right="1479" w:firstLine="0"/>
                    <w:jc w:val="left"/>
                    <w:rPr>
                      <w:rFonts w:ascii="Trebuchet MS"/>
                      <w:b/>
                      <w:sz w:val="22"/>
                    </w:rPr>
                  </w:pPr>
                  <w:r>
                    <w:rPr>
                      <w:rFonts w:ascii="Trebuchet MS"/>
                      <w:b/>
                      <w:color w:val="231F20"/>
                      <w:w w:val="110"/>
                      <w:sz w:val="22"/>
                    </w:rPr>
                    <w:t>FLUID INTAKE AND OUTPUT ARE BALANCED DURING STEADY-STATE CONDITIONS</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w w:val="105"/>
        </w:rPr>
        <w:t>The relative constancy of the body fluids is </w:t>
      </w:r>
      <w:r>
        <w:rPr>
          <w:color w:val="231F20"/>
          <w:spacing w:val="-3"/>
          <w:w w:val="105"/>
        </w:rPr>
        <w:t>remarkable </w:t>
      </w:r>
      <w:r>
        <w:rPr>
          <w:color w:val="231F20"/>
          <w:w w:val="105"/>
        </w:rPr>
        <w:t>because</w:t>
      </w:r>
      <w:r>
        <w:rPr>
          <w:color w:val="231F20"/>
          <w:spacing w:val="-19"/>
          <w:w w:val="105"/>
        </w:rPr>
        <w:t> </w:t>
      </w:r>
      <w:r>
        <w:rPr>
          <w:color w:val="231F20"/>
          <w:w w:val="105"/>
        </w:rPr>
        <w:t>there</w:t>
      </w:r>
      <w:r>
        <w:rPr>
          <w:color w:val="231F20"/>
          <w:spacing w:val="-19"/>
          <w:w w:val="105"/>
        </w:rPr>
        <w:t> </w:t>
      </w:r>
      <w:r>
        <w:rPr>
          <w:color w:val="231F20"/>
          <w:w w:val="105"/>
        </w:rPr>
        <w:t>is</w:t>
      </w:r>
      <w:r>
        <w:rPr>
          <w:color w:val="231F20"/>
          <w:spacing w:val="-19"/>
          <w:w w:val="105"/>
        </w:rPr>
        <w:t> </w:t>
      </w:r>
      <w:r>
        <w:rPr>
          <w:color w:val="231F20"/>
          <w:w w:val="105"/>
        </w:rPr>
        <w:t>continuous</w:t>
      </w:r>
      <w:r>
        <w:rPr>
          <w:color w:val="231F20"/>
          <w:spacing w:val="-18"/>
          <w:w w:val="105"/>
        </w:rPr>
        <w:t> </w:t>
      </w:r>
      <w:r>
        <w:rPr>
          <w:color w:val="231F20"/>
          <w:w w:val="105"/>
        </w:rPr>
        <w:t>exchange</w:t>
      </w:r>
      <w:r>
        <w:rPr>
          <w:color w:val="231F20"/>
          <w:spacing w:val="-19"/>
          <w:w w:val="105"/>
        </w:rPr>
        <w:t> </w:t>
      </w:r>
      <w:r>
        <w:rPr>
          <w:color w:val="231F20"/>
          <w:w w:val="105"/>
        </w:rPr>
        <w:t>of</w:t>
      </w:r>
      <w:r>
        <w:rPr>
          <w:color w:val="231F20"/>
          <w:spacing w:val="-19"/>
          <w:w w:val="105"/>
        </w:rPr>
        <w:t> </w:t>
      </w:r>
      <w:r>
        <w:rPr>
          <w:color w:val="231F20"/>
          <w:w w:val="105"/>
        </w:rPr>
        <w:t>fluid</w:t>
      </w:r>
      <w:r>
        <w:rPr>
          <w:color w:val="231F20"/>
          <w:spacing w:val="-19"/>
          <w:w w:val="105"/>
        </w:rPr>
        <w:t> </w:t>
      </w:r>
      <w:r>
        <w:rPr>
          <w:color w:val="231F20"/>
          <w:w w:val="105"/>
        </w:rPr>
        <w:t>and</w:t>
      </w:r>
      <w:r>
        <w:rPr>
          <w:color w:val="231F20"/>
          <w:spacing w:val="-18"/>
          <w:w w:val="105"/>
        </w:rPr>
        <w:t> </w:t>
      </w:r>
      <w:r>
        <w:rPr>
          <w:color w:val="231F20"/>
          <w:w w:val="105"/>
        </w:rPr>
        <w:t>solutes with the external environment, as well as within the</w:t>
      </w:r>
      <w:r>
        <w:rPr>
          <w:color w:val="231F20"/>
          <w:spacing w:val="-25"/>
          <w:w w:val="105"/>
        </w:rPr>
        <w:t> </w:t>
      </w:r>
      <w:r>
        <w:rPr>
          <w:color w:val="231F20"/>
          <w:spacing w:val="-3"/>
          <w:w w:val="105"/>
        </w:rPr>
        <w:t>dif­ </w:t>
      </w:r>
      <w:r>
        <w:rPr>
          <w:color w:val="231F20"/>
          <w:w w:val="105"/>
        </w:rPr>
        <w:t>ferent body compartments. </w:t>
      </w:r>
      <w:r>
        <w:rPr>
          <w:color w:val="231F20"/>
          <w:spacing w:val="-3"/>
          <w:w w:val="105"/>
        </w:rPr>
        <w:t>For </w:t>
      </w:r>
      <w:r>
        <w:rPr>
          <w:color w:val="231F20"/>
          <w:w w:val="105"/>
        </w:rPr>
        <w:t>example, fluid intake </w:t>
      </w:r>
      <w:r>
        <w:rPr>
          <w:color w:val="231F20"/>
          <w:spacing w:val="-8"/>
          <w:w w:val="105"/>
        </w:rPr>
        <w:t>is </w:t>
      </w:r>
      <w:r>
        <w:rPr>
          <w:color w:val="231F20"/>
          <w:w w:val="105"/>
        </w:rPr>
        <w:t>highly variable and must be carefully matched by equal output of water from the body to prevent body fluid volumes from increasing or</w:t>
      </w:r>
      <w:r>
        <w:rPr>
          <w:color w:val="231F20"/>
          <w:spacing w:val="3"/>
          <w:w w:val="105"/>
        </w:rPr>
        <w:t> </w:t>
      </w:r>
      <w:r>
        <w:rPr>
          <w:color w:val="231F20"/>
          <w:w w:val="105"/>
        </w:rPr>
        <w:t>decreasing.</w:t>
      </w:r>
    </w:p>
    <w:p>
      <w:pPr>
        <w:pStyle w:val="BodyText"/>
        <w:spacing w:before="1"/>
        <w:rPr>
          <w:sz w:val="30"/>
        </w:rPr>
      </w:pPr>
    </w:p>
    <w:p>
      <w:pPr>
        <w:pStyle w:val="Heading2"/>
        <w:ind w:left="1440"/>
        <w:jc w:val="both"/>
      </w:pPr>
      <w:r>
        <w:rPr>
          <w:color w:val="231F20"/>
          <w:w w:val="105"/>
        </w:rPr>
        <w:t>DAILY INTAKE OF WATER</w:t>
      </w:r>
    </w:p>
    <w:p>
      <w:pPr>
        <w:pStyle w:val="BodyText"/>
        <w:spacing w:line="249" w:lineRule="auto" w:before="124"/>
        <w:ind w:left="1440"/>
        <w:jc w:val="both"/>
      </w:pPr>
      <w:r>
        <w:rPr>
          <w:color w:val="231F20"/>
          <w:spacing w:val="-4"/>
        </w:rPr>
        <w:t>Water </w:t>
      </w:r>
      <w:r>
        <w:rPr>
          <w:color w:val="231F20"/>
        </w:rPr>
        <w:t>is added to the body by two major sources: (1) it </w:t>
      </w:r>
      <w:r>
        <w:rPr>
          <w:color w:val="231F20"/>
          <w:spacing w:val="-6"/>
        </w:rPr>
        <w:t>is </w:t>
      </w:r>
      <w:r>
        <w:rPr>
          <w:color w:val="231F20"/>
        </w:rPr>
        <w:t>ingested in the form of liquids or water in food, which together normally add about 2100 ml/day to the body fluids, and (2) it is synthesized in the body by </w:t>
      </w:r>
      <w:r>
        <w:rPr>
          <w:color w:val="231F20"/>
          <w:spacing w:val="-3"/>
        </w:rPr>
        <w:t>oxidation  </w:t>
      </w:r>
      <w:r>
        <w:rPr>
          <w:color w:val="231F20"/>
        </w:rPr>
        <w:t>of carbohydrates, adding about 200 ml/day. These mecha­ nisms provide a total water intake of about 2300 ml/day </w:t>
      </w:r>
      <w:r>
        <w:rPr>
          <w:color w:val="231F20"/>
          <w:spacing w:val="-3"/>
        </w:rPr>
        <w:t>(</w:t>
      </w:r>
      <w:hyperlink w:history="true" w:anchor="_bookmark0">
        <w:r>
          <w:rPr>
            <w:b/>
            <w:color w:val="0080AC"/>
            <w:spacing w:val="-3"/>
          </w:rPr>
          <w:t>Table </w:t>
        </w:r>
        <w:r>
          <w:rPr>
            <w:b/>
            <w:color w:val="0080AC"/>
          </w:rPr>
          <w:t>25-1</w:t>
        </w:r>
      </w:hyperlink>
      <w:r>
        <w:rPr>
          <w:color w:val="231F20"/>
        </w:rPr>
        <w:t>). However, intake of water is highly variable among different people and even within the same </w:t>
      </w:r>
      <w:r>
        <w:rPr>
          <w:color w:val="231F20"/>
          <w:spacing w:val="-3"/>
        </w:rPr>
        <w:t>person </w:t>
      </w:r>
      <w:r>
        <w:rPr>
          <w:color w:val="231F20"/>
        </w:rPr>
        <w:t>on different days, depending on climate, habits, and level of physical</w:t>
      </w:r>
      <w:r>
        <w:rPr>
          <w:color w:val="231F20"/>
          <w:spacing w:val="10"/>
        </w:rPr>
        <w:t> </w:t>
      </w:r>
      <w:r>
        <w:rPr>
          <w:color w:val="231F20"/>
        </w:rPr>
        <w:t>activity.</w:t>
      </w:r>
    </w:p>
    <w:p>
      <w:pPr>
        <w:pStyle w:val="BodyText"/>
        <w:spacing w:before="3"/>
        <w:rPr>
          <w:sz w:val="30"/>
        </w:rPr>
      </w:pPr>
    </w:p>
    <w:p>
      <w:pPr>
        <w:pStyle w:val="Heading2"/>
        <w:spacing w:before="1"/>
        <w:ind w:left="1440"/>
        <w:jc w:val="both"/>
      </w:pPr>
      <w:r>
        <w:rPr>
          <w:color w:val="231F20"/>
          <w:w w:val="105"/>
        </w:rPr>
        <w:t>DAILY LOSS OF BODY WATER</w:t>
      </w:r>
    </w:p>
    <w:p>
      <w:pPr>
        <w:pStyle w:val="BodyText"/>
        <w:spacing w:line="249" w:lineRule="auto" w:before="124"/>
        <w:ind w:left="1439"/>
        <w:jc w:val="both"/>
      </w:pPr>
      <w:r>
        <w:rPr>
          <w:rFonts w:ascii="Trebuchet MS" w:hAnsi="Trebuchet MS"/>
          <w:b/>
          <w:color w:val="231F20"/>
          <w:w w:val="105"/>
          <w:sz w:val="19"/>
        </w:rPr>
        <w:t>Insensible Water Loss. </w:t>
      </w:r>
      <w:r>
        <w:rPr>
          <w:color w:val="231F20"/>
          <w:w w:val="105"/>
        </w:rPr>
        <w:t>Some water losses cannot be precisely regulated. </w:t>
      </w:r>
      <w:r>
        <w:rPr>
          <w:color w:val="231F20"/>
          <w:spacing w:val="-3"/>
          <w:w w:val="105"/>
        </w:rPr>
        <w:t>For </w:t>
      </w:r>
      <w:r>
        <w:rPr>
          <w:color w:val="231F20"/>
          <w:w w:val="105"/>
        </w:rPr>
        <w:t>example, humans experience a continuous</w:t>
      </w:r>
      <w:r>
        <w:rPr>
          <w:color w:val="231F20"/>
          <w:spacing w:val="-16"/>
          <w:w w:val="105"/>
        </w:rPr>
        <w:t> </w:t>
      </w:r>
      <w:r>
        <w:rPr>
          <w:color w:val="231F20"/>
          <w:w w:val="105"/>
        </w:rPr>
        <w:t>loss</w:t>
      </w:r>
      <w:r>
        <w:rPr>
          <w:color w:val="231F20"/>
          <w:spacing w:val="-16"/>
          <w:w w:val="105"/>
        </w:rPr>
        <w:t> </w:t>
      </w:r>
      <w:r>
        <w:rPr>
          <w:color w:val="231F20"/>
          <w:w w:val="105"/>
        </w:rPr>
        <w:t>of</w:t>
      </w:r>
      <w:r>
        <w:rPr>
          <w:color w:val="231F20"/>
          <w:spacing w:val="-16"/>
          <w:w w:val="105"/>
        </w:rPr>
        <w:t> </w:t>
      </w:r>
      <w:r>
        <w:rPr>
          <w:color w:val="231F20"/>
          <w:w w:val="105"/>
        </w:rPr>
        <w:t>water</w:t>
      </w:r>
      <w:r>
        <w:rPr>
          <w:color w:val="231F20"/>
          <w:spacing w:val="-16"/>
          <w:w w:val="105"/>
        </w:rPr>
        <w:t> </w:t>
      </w:r>
      <w:r>
        <w:rPr>
          <w:color w:val="231F20"/>
          <w:w w:val="105"/>
        </w:rPr>
        <w:t>by</w:t>
      </w:r>
      <w:r>
        <w:rPr>
          <w:color w:val="231F20"/>
          <w:spacing w:val="-16"/>
          <w:w w:val="105"/>
        </w:rPr>
        <w:t> </w:t>
      </w:r>
      <w:r>
        <w:rPr>
          <w:color w:val="231F20"/>
          <w:w w:val="105"/>
        </w:rPr>
        <w:t>evaporation</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spacing w:val="-3"/>
          <w:w w:val="105"/>
        </w:rPr>
        <w:t>respira­ </w:t>
      </w:r>
      <w:r>
        <w:rPr>
          <w:color w:val="231F20"/>
          <w:w w:val="105"/>
        </w:rPr>
        <w:t>tory tract and diffusion through the skin, which</w:t>
      </w:r>
      <w:r>
        <w:rPr>
          <w:color w:val="231F20"/>
          <w:spacing w:val="-34"/>
          <w:w w:val="105"/>
        </w:rPr>
        <w:t> </w:t>
      </w:r>
      <w:r>
        <w:rPr>
          <w:color w:val="231F20"/>
          <w:w w:val="105"/>
        </w:rPr>
        <w:t>together account</w:t>
      </w:r>
      <w:r>
        <w:rPr>
          <w:color w:val="231F20"/>
          <w:spacing w:val="-13"/>
          <w:w w:val="105"/>
        </w:rPr>
        <w:t> </w:t>
      </w:r>
      <w:r>
        <w:rPr>
          <w:color w:val="231F20"/>
          <w:w w:val="105"/>
        </w:rPr>
        <w:t>for</w:t>
      </w:r>
      <w:r>
        <w:rPr>
          <w:color w:val="231F20"/>
          <w:spacing w:val="-13"/>
          <w:w w:val="105"/>
        </w:rPr>
        <w:t> </w:t>
      </w:r>
      <w:r>
        <w:rPr>
          <w:color w:val="231F20"/>
          <w:w w:val="105"/>
        </w:rPr>
        <w:t>about</w:t>
      </w:r>
      <w:r>
        <w:rPr>
          <w:color w:val="231F20"/>
          <w:spacing w:val="-13"/>
          <w:w w:val="105"/>
        </w:rPr>
        <w:t> </w:t>
      </w:r>
      <w:r>
        <w:rPr>
          <w:color w:val="231F20"/>
          <w:w w:val="105"/>
        </w:rPr>
        <w:t>700</w:t>
      </w:r>
      <w:r>
        <w:rPr>
          <w:color w:val="231F20"/>
          <w:spacing w:val="-8"/>
          <w:w w:val="105"/>
        </w:rPr>
        <w:t> </w:t>
      </w:r>
      <w:r>
        <w:rPr>
          <w:color w:val="231F20"/>
          <w:w w:val="105"/>
        </w:rPr>
        <w:t>ml/day</w:t>
      </w:r>
      <w:r>
        <w:rPr>
          <w:color w:val="231F20"/>
          <w:spacing w:val="-12"/>
          <w:w w:val="105"/>
        </w:rPr>
        <w:t> </w:t>
      </w:r>
      <w:r>
        <w:rPr>
          <w:color w:val="231F20"/>
          <w:w w:val="105"/>
        </w:rPr>
        <w:t>of</w:t>
      </w:r>
      <w:r>
        <w:rPr>
          <w:color w:val="231F20"/>
          <w:spacing w:val="-13"/>
          <w:w w:val="105"/>
        </w:rPr>
        <w:t> </w:t>
      </w:r>
      <w:r>
        <w:rPr>
          <w:color w:val="231F20"/>
          <w:w w:val="105"/>
        </w:rPr>
        <w:t>water</w:t>
      </w:r>
      <w:r>
        <w:rPr>
          <w:color w:val="231F20"/>
          <w:spacing w:val="-13"/>
          <w:w w:val="105"/>
        </w:rPr>
        <w:t> </w:t>
      </w:r>
      <w:r>
        <w:rPr>
          <w:color w:val="231F20"/>
          <w:w w:val="105"/>
        </w:rPr>
        <w:t>loss</w:t>
      </w:r>
      <w:r>
        <w:rPr>
          <w:color w:val="231F20"/>
          <w:spacing w:val="-13"/>
          <w:w w:val="105"/>
        </w:rPr>
        <w:t> </w:t>
      </w:r>
      <w:r>
        <w:rPr>
          <w:color w:val="231F20"/>
          <w:w w:val="105"/>
        </w:rPr>
        <w:t>under</w:t>
      </w:r>
      <w:r>
        <w:rPr>
          <w:color w:val="231F20"/>
          <w:spacing w:val="-13"/>
          <w:w w:val="105"/>
        </w:rPr>
        <w:t> </w:t>
      </w:r>
      <w:r>
        <w:rPr>
          <w:color w:val="231F20"/>
          <w:w w:val="105"/>
        </w:rPr>
        <w:t>normal</w:t>
      </w:r>
    </w:p>
    <w:p>
      <w:pPr>
        <w:pStyle w:val="BodyText"/>
        <w:spacing w:line="249" w:lineRule="auto" w:before="250"/>
        <w:ind w:left="319" w:right="1079"/>
        <w:jc w:val="both"/>
      </w:pPr>
      <w:r>
        <w:rPr/>
        <w:br w:type="column"/>
      </w:r>
      <w:r>
        <w:rPr>
          <w:color w:val="231F20"/>
        </w:rPr>
        <w:t>conditions. This loss is termed </w:t>
      </w:r>
      <w:r>
        <w:rPr>
          <w:i/>
          <w:color w:val="231F20"/>
        </w:rPr>
        <w:t>insensible water </w:t>
      </w:r>
      <w:r>
        <w:rPr>
          <w:i/>
          <w:color w:val="231F20"/>
          <w:spacing w:val="-4"/>
        </w:rPr>
        <w:t>loss </w:t>
      </w:r>
      <w:r>
        <w:rPr>
          <w:color w:val="231F20"/>
        </w:rPr>
        <w:t>because we are not consciously aware of it, even though  it occurs continually in all living</w:t>
      </w:r>
      <w:r>
        <w:rPr>
          <w:color w:val="231F20"/>
          <w:spacing w:val="45"/>
        </w:rPr>
        <w:t> </w:t>
      </w:r>
      <w:r>
        <w:rPr>
          <w:color w:val="231F20"/>
        </w:rPr>
        <w:t>humans.</w:t>
      </w:r>
    </w:p>
    <w:p>
      <w:pPr>
        <w:pStyle w:val="BodyText"/>
        <w:spacing w:line="249" w:lineRule="auto" w:before="3"/>
        <w:ind w:left="319" w:right="1077" w:firstLine="240"/>
        <w:jc w:val="both"/>
      </w:pPr>
      <w:r>
        <w:rPr/>
        <w:pict>
          <v:rect style="position:absolute;margin-left:576pt;margin-top:-51.864037pt;width:36pt;height:24pt;mso-position-horizontal-relative:page;mso-position-vertical-relative:paragraph;z-index:251664384" filled="true" fillcolor="#e8dac8" stroked="false">
            <v:fill type="solid"/>
            <w10:wrap type="none"/>
          </v:rect>
        </w:pict>
      </w:r>
      <w:r>
        <w:rPr>
          <w:color w:val="231F20"/>
        </w:rPr>
        <w:t>Insensible water loss through the skin occurs indepen­ dently of sweating and is present even in people who </w:t>
      </w:r>
      <w:r>
        <w:rPr>
          <w:color w:val="231F20"/>
          <w:spacing w:val="-5"/>
        </w:rPr>
        <w:t>are </w:t>
      </w:r>
      <w:r>
        <w:rPr>
          <w:color w:val="231F20"/>
        </w:rPr>
        <w:t>born without sweat glands; the average water loss by dif­ fusion through the skin is about 300 to 400 ml/day. </w:t>
      </w:r>
      <w:r>
        <w:rPr>
          <w:color w:val="231F20"/>
          <w:spacing w:val="-4"/>
        </w:rPr>
        <w:t>This </w:t>
      </w:r>
      <w:r>
        <w:rPr>
          <w:color w:val="231F20"/>
        </w:rPr>
        <w:t>loss is minimized by the cholesterol­filled cornified layer of the skin, which provides a barrier against excessive</w:t>
      </w:r>
      <w:r>
        <w:rPr>
          <w:color w:val="231F20"/>
          <w:spacing w:val="-17"/>
        </w:rPr>
        <w:t> </w:t>
      </w:r>
      <w:r>
        <w:rPr>
          <w:color w:val="231F20"/>
        </w:rPr>
        <w:t>loss by diffusion. When the cornified layer becomes denuded, as occurs with extensive burns, the rate of evaporation  can increase as much as 10­fold, to 3 to 5 </w:t>
      </w:r>
      <w:r>
        <w:rPr>
          <w:color w:val="231F20"/>
          <w:spacing w:val="-3"/>
        </w:rPr>
        <w:t>L/day. For </w:t>
      </w:r>
      <w:r>
        <w:rPr>
          <w:color w:val="231F20"/>
        </w:rPr>
        <w:t>this reason, persons with burns must be given large amounts of fluid, usually intravenously, to balance fluid</w:t>
      </w:r>
      <w:r>
        <w:rPr>
          <w:color w:val="231F20"/>
          <w:spacing w:val="33"/>
        </w:rPr>
        <w:t> </w:t>
      </w:r>
      <w:r>
        <w:rPr>
          <w:color w:val="231F20"/>
        </w:rPr>
        <w:t>loss.</w:t>
      </w:r>
    </w:p>
    <w:p>
      <w:pPr>
        <w:pStyle w:val="BodyText"/>
        <w:spacing w:line="249" w:lineRule="auto" w:before="9"/>
        <w:ind w:left="319" w:right="1077" w:firstLine="240"/>
        <w:jc w:val="both"/>
      </w:pPr>
      <w:r>
        <w:rPr>
          <w:color w:val="231F20"/>
          <w:w w:val="105"/>
        </w:rPr>
        <w:t>Insensible water loss through the respiratory </w:t>
      </w:r>
      <w:r>
        <w:rPr>
          <w:color w:val="231F20"/>
          <w:spacing w:val="-3"/>
          <w:w w:val="105"/>
        </w:rPr>
        <w:t>tract </w:t>
      </w:r>
      <w:r>
        <w:rPr>
          <w:color w:val="231F20"/>
          <w:w w:val="105"/>
        </w:rPr>
        <w:t>averages</w:t>
      </w:r>
      <w:r>
        <w:rPr>
          <w:color w:val="231F20"/>
          <w:spacing w:val="-17"/>
          <w:w w:val="105"/>
        </w:rPr>
        <w:t> </w:t>
      </w:r>
      <w:r>
        <w:rPr>
          <w:color w:val="231F20"/>
          <w:w w:val="105"/>
        </w:rPr>
        <w:t>about</w:t>
      </w:r>
      <w:r>
        <w:rPr>
          <w:color w:val="231F20"/>
          <w:spacing w:val="-17"/>
          <w:w w:val="105"/>
        </w:rPr>
        <w:t> </w:t>
      </w:r>
      <w:r>
        <w:rPr>
          <w:color w:val="231F20"/>
          <w:w w:val="105"/>
        </w:rPr>
        <w:t>300</w:t>
      </w:r>
      <w:r>
        <w:rPr>
          <w:color w:val="231F20"/>
          <w:spacing w:val="-16"/>
          <w:w w:val="105"/>
        </w:rPr>
        <w:t> </w:t>
      </w:r>
      <w:r>
        <w:rPr>
          <w:color w:val="231F20"/>
          <w:w w:val="105"/>
        </w:rPr>
        <w:t>to</w:t>
      </w:r>
      <w:r>
        <w:rPr>
          <w:color w:val="231F20"/>
          <w:spacing w:val="-17"/>
          <w:w w:val="105"/>
        </w:rPr>
        <w:t> </w:t>
      </w:r>
      <w:r>
        <w:rPr>
          <w:color w:val="231F20"/>
          <w:w w:val="105"/>
        </w:rPr>
        <w:t>400</w:t>
      </w:r>
      <w:r>
        <w:rPr>
          <w:color w:val="231F20"/>
          <w:spacing w:val="-10"/>
          <w:w w:val="105"/>
        </w:rPr>
        <w:t> </w:t>
      </w:r>
      <w:r>
        <w:rPr>
          <w:color w:val="231F20"/>
          <w:w w:val="105"/>
        </w:rPr>
        <w:t>ml/day.</w:t>
      </w:r>
      <w:r>
        <w:rPr>
          <w:color w:val="231F20"/>
          <w:spacing w:val="-17"/>
          <w:w w:val="105"/>
        </w:rPr>
        <w:t> </w:t>
      </w:r>
      <w:r>
        <w:rPr>
          <w:color w:val="231F20"/>
          <w:w w:val="105"/>
        </w:rPr>
        <w:t>As</w:t>
      </w:r>
      <w:r>
        <w:rPr>
          <w:color w:val="231F20"/>
          <w:spacing w:val="-17"/>
          <w:w w:val="105"/>
        </w:rPr>
        <w:t> </w:t>
      </w:r>
      <w:r>
        <w:rPr>
          <w:color w:val="231F20"/>
          <w:w w:val="105"/>
        </w:rPr>
        <w:t>air</w:t>
      </w:r>
      <w:r>
        <w:rPr>
          <w:color w:val="231F20"/>
          <w:spacing w:val="-16"/>
          <w:w w:val="105"/>
        </w:rPr>
        <w:t> </w:t>
      </w:r>
      <w:r>
        <w:rPr>
          <w:color w:val="231F20"/>
          <w:w w:val="105"/>
        </w:rPr>
        <w:t>enters</w:t>
      </w:r>
      <w:r>
        <w:rPr>
          <w:color w:val="231F20"/>
          <w:spacing w:val="-17"/>
          <w:w w:val="105"/>
        </w:rPr>
        <w:t> </w:t>
      </w:r>
      <w:r>
        <w:rPr>
          <w:color w:val="231F20"/>
          <w:w w:val="105"/>
        </w:rPr>
        <w:t>the</w:t>
      </w:r>
      <w:r>
        <w:rPr>
          <w:color w:val="231F20"/>
          <w:spacing w:val="-16"/>
          <w:w w:val="105"/>
        </w:rPr>
        <w:t> </w:t>
      </w:r>
      <w:r>
        <w:rPr>
          <w:color w:val="231F20"/>
          <w:spacing w:val="-3"/>
          <w:w w:val="105"/>
        </w:rPr>
        <w:t>respi­ </w:t>
      </w:r>
      <w:r>
        <w:rPr>
          <w:color w:val="231F20"/>
          <w:w w:val="105"/>
        </w:rPr>
        <w:t>ratory tract, it becomes saturated with moisture, to a vapor</w:t>
      </w:r>
      <w:r>
        <w:rPr>
          <w:color w:val="231F20"/>
          <w:spacing w:val="-8"/>
          <w:w w:val="105"/>
        </w:rPr>
        <w:t> </w:t>
      </w:r>
      <w:r>
        <w:rPr>
          <w:color w:val="231F20"/>
          <w:w w:val="105"/>
        </w:rPr>
        <w:t>pressure</w:t>
      </w:r>
      <w:r>
        <w:rPr>
          <w:color w:val="231F20"/>
          <w:spacing w:val="-7"/>
          <w:w w:val="105"/>
        </w:rPr>
        <w:t> </w:t>
      </w:r>
      <w:r>
        <w:rPr>
          <w:color w:val="231F20"/>
          <w:w w:val="105"/>
        </w:rPr>
        <w:t>of</w:t>
      </w:r>
      <w:r>
        <w:rPr>
          <w:color w:val="231F20"/>
          <w:spacing w:val="-7"/>
          <w:w w:val="105"/>
        </w:rPr>
        <w:t> </w:t>
      </w:r>
      <w:r>
        <w:rPr>
          <w:color w:val="231F20"/>
          <w:w w:val="105"/>
        </w:rPr>
        <w:t>about</w:t>
      </w:r>
      <w:r>
        <w:rPr>
          <w:color w:val="231F20"/>
          <w:spacing w:val="-7"/>
          <w:w w:val="105"/>
        </w:rPr>
        <w:t> </w:t>
      </w:r>
      <w:r>
        <w:rPr>
          <w:color w:val="231F20"/>
          <w:w w:val="105"/>
        </w:rPr>
        <w:t>47</w:t>
      </w:r>
      <w:r>
        <w:rPr>
          <w:color w:val="231F20"/>
          <w:spacing w:val="-8"/>
          <w:w w:val="105"/>
        </w:rPr>
        <w:t> </w:t>
      </w:r>
      <w:r>
        <w:rPr>
          <w:color w:val="231F20"/>
          <w:w w:val="105"/>
        </w:rPr>
        <w:t>mm</w:t>
      </w:r>
      <w:r>
        <w:rPr>
          <w:color w:val="231F20"/>
          <w:spacing w:val="-9"/>
          <w:w w:val="105"/>
        </w:rPr>
        <w:t> </w:t>
      </w:r>
      <w:r>
        <w:rPr>
          <w:color w:val="231F20"/>
          <w:w w:val="105"/>
        </w:rPr>
        <w:t>Hg,</w:t>
      </w:r>
      <w:r>
        <w:rPr>
          <w:color w:val="231F20"/>
          <w:spacing w:val="-7"/>
          <w:w w:val="105"/>
        </w:rPr>
        <w:t> </w:t>
      </w:r>
      <w:r>
        <w:rPr>
          <w:color w:val="231F20"/>
          <w:w w:val="105"/>
        </w:rPr>
        <w:t>before</w:t>
      </w:r>
      <w:r>
        <w:rPr>
          <w:color w:val="231F20"/>
          <w:spacing w:val="-7"/>
          <w:w w:val="105"/>
        </w:rPr>
        <w:t> </w:t>
      </w:r>
      <w:r>
        <w:rPr>
          <w:color w:val="231F20"/>
          <w:w w:val="105"/>
        </w:rPr>
        <w:t>it</w:t>
      </w:r>
      <w:r>
        <w:rPr>
          <w:color w:val="231F20"/>
          <w:spacing w:val="-7"/>
          <w:w w:val="105"/>
        </w:rPr>
        <w:t> </w:t>
      </w:r>
      <w:r>
        <w:rPr>
          <w:color w:val="231F20"/>
          <w:w w:val="105"/>
        </w:rPr>
        <w:t>is</w:t>
      </w:r>
      <w:r>
        <w:rPr>
          <w:color w:val="231F20"/>
          <w:spacing w:val="-7"/>
          <w:w w:val="105"/>
        </w:rPr>
        <w:t> </w:t>
      </w:r>
      <w:r>
        <w:rPr>
          <w:color w:val="231F20"/>
          <w:w w:val="105"/>
        </w:rPr>
        <w:t>expelled. Because the vapor pressure of the inspired air is</w:t>
      </w:r>
      <w:r>
        <w:rPr>
          <w:color w:val="231F20"/>
          <w:spacing w:val="-10"/>
          <w:w w:val="105"/>
        </w:rPr>
        <w:t> </w:t>
      </w:r>
      <w:r>
        <w:rPr>
          <w:color w:val="231F20"/>
          <w:w w:val="105"/>
        </w:rPr>
        <w:t>usually less than 47 mm Hg, water is continuously lost </w:t>
      </w:r>
      <w:r>
        <w:rPr>
          <w:color w:val="231F20"/>
          <w:spacing w:val="-3"/>
          <w:w w:val="105"/>
        </w:rPr>
        <w:t>through </w:t>
      </w:r>
      <w:r>
        <w:rPr>
          <w:color w:val="231F20"/>
          <w:w w:val="105"/>
        </w:rPr>
        <w:t>the lungs with respiration. In cold </w:t>
      </w:r>
      <w:r>
        <w:rPr>
          <w:color w:val="231F20"/>
          <w:spacing w:val="-3"/>
          <w:w w:val="105"/>
        </w:rPr>
        <w:t>weather, </w:t>
      </w:r>
      <w:r>
        <w:rPr>
          <w:color w:val="231F20"/>
          <w:w w:val="105"/>
        </w:rPr>
        <w:t>the atmo­ spheric vapor pressure decreases to nearly 0, causing</w:t>
      </w:r>
      <w:r>
        <w:rPr>
          <w:color w:val="231F20"/>
          <w:spacing w:val="-19"/>
          <w:w w:val="105"/>
        </w:rPr>
        <w:t> </w:t>
      </w:r>
      <w:r>
        <w:rPr>
          <w:color w:val="231F20"/>
          <w:w w:val="105"/>
        </w:rPr>
        <w:t>an even</w:t>
      </w:r>
      <w:r>
        <w:rPr>
          <w:color w:val="231F20"/>
          <w:spacing w:val="-8"/>
          <w:w w:val="105"/>
        </w:rPr>
        <w:t> </w:t>
      </w:r>
      <w:r>
        <w:rPr>
          <w:color w:val="231F20"/>
          <w:w w:val="105"/>
        </w:rPr>
        <w:t>greater</w:t>
      </w:r>
      <w:r>
        <w:rPr>
          <w:color w:val="231F20"/>
          <w:spacing w:val="-8"/>
          <w:w w:val="105"/>
        </w:rPr>
        <w:t> </w:t>
      </w:r>
      <w:r>
        <w:rPr>
          <w:color w:val="231F20"/>
          <w:w w:val="105"/>
        </w:rPr>
        <w:t>loss</w:t>
      </w:r>
      <w:r>
        <w:rPr>
          <w:color w:val="231F20"/>
          <w:spacing w:val="-8"/>
          <w:w w:val="105"/>
        </w:rPr>
        <w:t> </w:t>
      </w:r>
      <w:r>
        <w:rPr>
          <w:color w:val="231F20"/>
          <w:w w:val="105"/>
        </w:rPr>
        <w:t>of</w:t>
      </w:r>
      <w:r>
        <w:rPr>
          <w:color w:val="231F20"/>
          <w:spacing w:val="-8"/>
          <w:w w:val="105"/>
        </w:rPr>
        <w:t> </w:t>
      </w:r>
      <w:r>
        <w:rPr>
          <w:color w:val="231F20"/>
          <w:w w:val="105"/>
        </w:rPr>
        <w:t>water</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lungs</w:t>
      </w:r>
      <w:r>
        <w:rPr>
          <w:color w:val="231F20"/>
          <w:spacing w:val="-8"/>
          <w:w w:val="105"/>
        </w:rPr>
        <w:t> </w:t>
      </w:r>
      <w:r>
        <w:rPr>
          <w:color w:val="231F20"/>
          <w:w w:val="105"/>
        </w:rPr>
        <w:t>as</w:t>
      </w:r>
      <w:r>
        <w:rPr>
          <w:color w:val="231F20"/>
          <w:spacing w:val="-8"/>
          <w:w w:val="105"/>
        </w:rPr>
        <w:t> </w:t>
      </w:r>
      <w:r>
        <w:rPr>
          <w:color w:val="231F20"/>
          <w:w w:val="105"/>
        </w:rPr>
        <w:t>the</w:t>
      </w:r>
      <w:r>
        <w:rPr>
          <w:color w:val="231F20"/>
          <w:spacing w:val="-8"/>
          <w:w w:val="105"/>
        </w:rPr>
        <w:t> </w:t>
      </w:r>
      <w:r>
        <w:rPr>
          <w:color w:val="231F20"/>
          <w:spacing w:val="-3"/>
          <w:w w:val="105"/>
        </w:rPr>
        <w:t>tempera­ </w:t>
      </w:r>
      <w:r>
        <w:rPr>
          <w:color w:val="231F20"/>
          <w:w w:val="105"/>
        </w:rPr>
        <w:t>ture</w:t>
      </w:r>
      <w:r>
        <w:rPr>
          <w:color w:val="231F20"/>
          <w:spacing w:val="-26"/>
          <w:w w:val="105"/>
        </w:rPr>
        <w:t> </w:t>
      </w:r>
      <w:r>
        <w:rPr>
          <w:color w:val="231F20"/>
          <w:w w:val="105"/>
        </w:rPr>
        <w:t>decreases.</w:t>
      </w:r>
      <w:r>
        <w:rPr>
          <w:color w:val="231F20"/>
          <w:spacing w:val="-25"/>
          <w:w w:val="105"/>
        </w:rPr>
        <w:t> </w:t>
      </w:r>
      <w:r>
        <w:rPr>
          <w:color w:val="231F20"/>
          <w:w w:val="105"/>
        </w:rPr>
        <w:t>This</w:t>
      </w:r>
      <w:r>
        <w:rPr>
          <w:color w:val="231F20"/>
          <w:spacing w:val="-25"/>
          <w:w w:val="105"/>
        </w:rPr>
        <w:t> </w:t>
      </w:r>
      <w:r>
        <w:rPr>
          <w:color w:val="231F20"/>
          <w:w w:val="105"/>
        </w:rPr>
        <w:t>process</w:t>
      </w:r>
      <w:r>
        <w:rPr>
          <w:color w:val="231F20"/>
          <w:spacing w:val="-26"/>
          <w:w w:val="105"/>
        </w:rPr>
        <w:t> </w:t>
      </w:r>
      <w:r>
        <w:rPr>
          <w:color w:val="231F20"/>
          <w:w w:val="105"/>
        </w:rPr>
        <w:t>explains</w:t>
      </w:r>
      <w:r>
        <w:rPr>
          <w:color w:val="231F20"/>
          <w:spacing w:val="-25"/>
          <w:w w:val="105"/>
        </w:rPr>
        <w:t> </w:t>
      </w:r>
      <w:r>
        <w:rPr>
          <w:color w:val="231F20"/>
          <w:w w:val="105"/>
        </w:rPr>
        <w:t>the</w:t>
      </w:r>
      <w:r>
        <w:rPr>
          <w:color w:val="231F20"/>
          <w:spacing w:val="-25"/>
          <w:w w:val="105"/>
        </w:rPr>
        <w:t> </w:t>
      </w:r>
      <w:r>
        <w:rPr>
          <w:color w:val="231F20"/>
          <w:w w:val="105"/>
        </w:rPr>
        <w:t>dry</w:t>
      </w:r>
      <w:r>
        <w:rPr>
          <w:color w:val="231F20"/>
          <w:spacing w:val="-25"/>
          <w:w w:val="105"/>
        </w:rPr>
        <w:t> </w:t>
      </w:r>
      <w:r>
        <w:rPr>
          <w:color w:val="231F20"/>
          <w:w w:val="105"/>
        </w:rPr>
        <w:t>feeling</w:t>
      </w:r>
      <w:r>
        <w:rPr>
          <w:color w:val="231F20"/>
          <w:spacing w:val="-26"/>
          <w:w w:val="105"/>
        </w:rPr>
        <w:t> </w:t>
      </w:r>
      <w:r>
        <w:rPr>
          <w:color w:val="231F20"/>
          <w:w w:val="105"/>
        </w:rPr>
        <w:t>in</w:t>
      </w:r>
      <w:r>
        <w:rPr>
          <w:color w:val="231F20"/>
          <w:spacing w:val="-25"/>
          <w:w w:val="105"/>
        </w:rPr>
        <w:t> </w:t>
      </w:r>
      <w:r>
        <w:rPr>
          <w:color w:val="231F20"/>
          <w:w w:val="105"/>
        </w:rPr>
        <w:t>the respiratory passages in cold</w:t>
      </w:r>
      <w:r>
        <w:rPr>
          <w:color w:val="231F20"/>
          <w:spacing w:val="4"/>
          <w:w w:val="105"/>
        </w:rPr>
        <w:t> </w:t>
      </w:r>
      <w:r>
        <w:rPr>
          <w:color w:val="231F20"/>
          <w:spacing w:val="-3"/>
          <w:w w:val="105"/>
        </w:rPr>
        <w:t>weather.</w:t>
      </w:r>
    </w:p>
    <w:p>
      <w:pPr>
        <w:pStyle w:val="BodyText"/>
        <w:spacing w:line="249" w:lineRule="auto" w:before="249"/>
        <w:ind w:left="319" w:right="1077"/>
        <w:jc w:val="both"/>
      </w:pPr>
      <w:r>
        <w:rPr>
          <w:rFonts w:ascii="Trebuchet MS" w:hAnsi="Trebuchet MS"/>
          <w:b/>
          <w:color w:val="231F20"/>
          <w:w w:val="105"/>
          <w:sz w:val="19"/>
        </w:rPr>
        <w:t>Fluid Loss in Sweat. </w:t>
      </w:r>
      <w:r>
        <w:rPr>
          <w:color w:val="231F20"/>
          <w:w w:val="105"/>
        </w:rPr>
        <w:t>The amount of water lost by sweating</w:t>
      </w:r>
      <w:r>
        <w:rPr>
          <w:color w:val="231F20"/>
          <w:spacing w:val="-37"/>
          <w:w w:val="105"/>
        </w:rPr>
        <w:t> </w:t>
      </w:r>
      <w:r>
        <w:rPr>
          <w:color w:val="231F20"/>
          <w:w w:val="105"/>
        </w:rPr>
        <w:t>is</w:t>
      </w:r>
      <w:r>
        <w:rPr>
          <w:color w:val="231F20"/>
          <w:spacing w:val="-37"/>
          <w:w w:val="105"/>
        </w:rPr>
        <w:t> </w:t>
      </w:r>
      <w:r>
        <w:rPr>
          <w:color w:val="231F20"/>
          <w:w w:val="105"/>
        </w:rPr>
        <w:t>highly</w:t>
      </w:r>
      <w:r>
        <w:rPr>
          <w:color w:val="231F20"/>
          <w:spacing w:val="-37"/>
          <w:w w:val="105"/>
        </w:rPr>
        <w:t> </w:t>
      </w:r>
      <w:r>
        <w:rPr>
          <w:color w:val="231F20"/>
          <w:w w:val="105"/>
        </w:rPr>
        <w:t>variable,</w:t>
      </w:r>
      <w:r>
        <w:rPr>
          <w:color w:val="231F20"/>
          <w:spacing w:val="-37"/>
          <w:w w:val="105"/>
        </w:rPr>
        <w:t> </w:t>
      </w:r>
      <w:r>
        <w:rPr>
          <w:color w:val="231F20"/>
          <w:w w:val="105"/>
        </w:rPr>
        <w:t>depending</w:t>
      </w:r>
      <w:r>
        <w:rPr>
          <w:color w:val="231F20"/>
          <w:spacing w:val="-37"/>
          <w:w w:val="105"/>
        </w:rPr>
        <w:t> </w:t>
      </w:r>
      <w:r>
        <w:rPr>
          <w:color w:val="231F20"/>
          <w:w w:val="105"/>
        </w:rPr>
        <w:t>on</w:t>
      </w:r>
      <w:r>
        <w:rPr>
          <w:color w:val="231F20"/>
          <w:spacing w:val="-36"/>
          <w:w w:val="105"/>
        </w:rPr>
        <w:t> </w:t>
      </w:r>
      <w:r>
        <w:rPr>
          <w:color w:val="231F20"/>
          <w:w w:val="105"/>
        </w:rPr>
        <w:t>physical</w:t>
      </w:r>
      <w:r>
        <w:rPr>
          <w:color w:val="231F20"/>
          <w:spacing w:val="-37"/>
          <w:w w:val="105"/>
        </w:rPr>
        <w:t> </w:t>
      </w:r>
      <w:r>
        <w:rPr>
          <w:color w:val="231F20"/>
          <w:w w:val="105"/>
        </w:rPr>
        <w:t>activity and environmental temperature. The volume of sweat normally is about 100 ml/day, but in very hot weather or during heavy exercise fluid loss in sweat occasion­ ally increases to 1 to 2 </w:t>
      </w:r>
      <w:r>
        <w:rPr>
          <w:color w:val="231F20"/>
          <w:spacing w:val="-3"/>
          <w:w w:val="105"/>
        </w:rPr>
        <w:t>L/hour. </w:t>
      </w:r>
      <w:r>
        <w:rPr>
          <w:color w:val="231F20"/>
          <w:w w:val="105"/>
        </w:rPr>
        <w:t>This fluid loss </w:t>
      </w:r>
      <w:r>
        <w:rPr>
          <w:color w:val="231F20"/>
          <w:spacing w:val="-3"/>
          <w:w w:val="105"/>
        </w:rPr>
        <w:t>would </w:t>
      </w:r>
      <w:r>
        <w:rPr>
          <w:color w:val="231F20"/>
          <w:w w:val="105"/>
        </w:rPr>
        <w:t>rapidly deplete the body fluids if intake were not also increased</w:t>
      </w:r>
      <w:r>
        <w:rPr>
          <w:color w:val="231F20"/>
          <w:spacing w:val="-20"/>
          <w:w w:val="105"/>
        </w:rPr>
        <w:t> </w:t>
      </w:r>
      <w:r>
        <w:rPr>
          <w:color w:val="231F20"/>
          <w:w w:val="105"/>
        </w:rPr>
        <w:t>by</w:t>
      </w:r>
      <w:r>
        <w:rPr>
          <w:color w:val="231F20"/>
          <w:spacing w:val="-19"/>
          <w:w w:val="105"/>
        </w:rPr>
        <w:t> </w:t>
      </w:r>
      <w:r>
        <w:rPr>
          <w:color w:val="231F20"/>
          <w:w w:val="105"/>
        </w:rPr>
        <w:t>activating</w:t>
      </w:r>
      <w:r>
        <w:rPr>
          <w:color w:val="231F20"/>
          <w:spacing w:val="-20"/>
          <w:w w:val="105"/>
        </w:rPr>
        <w:t> </w:t>
      </w:r>
      <w:r>
        <w:rPr>
          <w:color w:val="231F20"/>
          <w:w w:val="105"/>
        </w:rPr>
        <w:t>the</w:t>
      </w:r>
      <w:r>
        <w:rPr>
          <w:color w:val="231F20"/>
          <w:spacing w:val="-19"/>
          <w:w w:val="105"/>
        </w:rPr>
        <w:t> </w:t>
      </w:r>
      <w:r>
        <w:rPr>
          <w:color w:val="231F20"/>
          <w:w w:val="105"/>
        </w:rPr>
        <w:t>thirst</w:t>
      </w:r>
      <w:r>
        <w:rPr>
          <w:color w:val="231F20"/>
          <w:spacing w:val="-20"/>
          <w:w w:val="105"/>
        </w:rPr>
        <w:t> </w:t>
      </w:r>
      <w:r>
        <w:rPr>
          <w:color w:val="231F20"/>
          <w:w w:val="105"/>
        </w:rPr>
        <w:t>mechanism</w:t>
      </w:r>
      <w:r>
        <w:rPr>
          <w:color w:val="231F20"/>
          <w:spacing w:val="-19"/>
          <w:w w:val="105"/>
        </w:rPr>
        <w:t> </w:t>
      </w:r>
      <w:r>
        <w:rPr>
          <w:color w:val="231F20"/>
          <w:w w:val="105"/>
        </w:rPr>
        <w:t>discussed</w:t>
      </w:r>
      <w:r>
        <w:rPr>
          <w:color w:val="231F20"/>
          <w:spacing w:val="-20"/>
          <w:w w:val="105"/>
        </w:rPr>
        <w:t> </w:t>
      </w:r>
      <w:r>
        <w:rPr>
          <w:color w:val="231F20"/>
          <w:w w:val="105"/>
        </w:rPr>
        <w:t>in Chapter</w:t>
      </w:r>
      <w:r>
        <w:rPr>
          <w:color w:val="231F20"/>
          <w:spacing w:val="3"/>
          <w:w w:val="105"/>
        </w:rPr>
        <w:t> </w:t>
      </w:r>
      <w:r>
        <w:rPr>
          <w:color w:val="231F20"/>
          <w:w w:val="105"/>
        </w:rPr>
        <w:t>29.</w:t>
      </w:r>
    </w:p>
    <w:p>
      <w:pPr>
        <w:pStyle w:val="BodyText"/>
        <w:spacing w:line="249" w:lineRule="auto" w:before="247"/>
        <w:ind w:left="319" w:right="1077"/>
        <w:jc w:val="both"/>
      </w:pPr>
      <w:r>
        <w:rPr>
          <w:rFonts w:ascii="Trebuchet MS" w:hAnsi="Trebuchet MS"/>
          <w:b/>
          <w:color w:val="231F20"/>
          <w:sz w:val="19"/>
        </w:rPr>
        <w:t>Water Loss in Feces. </w:t>
      </w:r>
      <w:r>
        <w:rPr>
          <w:color w:val="231F20"/>
        </w:rPr>
        <w:t>Only a small amount of water  (100 ml/day) normally is lost in the feces. This loss can increase to several liters a day in people with severe diar­ rhea. </w:t>
      </w:r>
      <w:r>
        <w:rPr>
          <w:color w:val="231F20"/>
          <w:spacing w:val="-3"/>
        </w:rPr>
        <w:t>For </w:t>
      </w:r>
      <w:r>
        <w:rPr>
          <w:color w:val="231F20"/>
        </w:rPr>
        <w:t>this reason, severe diarrhea can be life threaten­ ing if not corrected within a few</w:t>
      </w:r>
      <w:r>
        <w:rPr>
          <w:color w:val="231F20"/>
          <w:spacing w:val="1"/>
        </w:rPr>
        <w:t> </w:t>
      </w:r>
      <w:r>
        <w:rPr>
          <w:color w:val="231F20"/>
        </w:rPr>
        <w:t>days.</w:t>
      </w:r>
    </w:p>
    <w:p>
      <w:pPr>
        <w:spacing w:line="249" w:lineRule="auto" w:before="244"/>
        <w:ind w:left="319" w:right="1078" w:firstLine="0"/>
        <w:jc w:val="both"/>
        <w:rPr>
          <w:sz w:val="20"/>
        </w:rPr>
      </w:pPr>
      <w:r>
        <w:rPr>
          <w:rFonts w:ascii="Trebuchet MS"/>
          <w:b/>
          <w:color w:val="231F20"/>
          <w:w w:val="105"/>
          <w:sz w:val="19"/>
        </w:rPr>
        <w:t>Water Loss by the Kidneys. </w:t>
      </w:r>
      <w:r>
        <w:rPr>
          <w:color w:val="231F20"/>
          <w:w w:val="105"/>
          <w:sz w:val="20"/>
        </w:rPr>
        <w:t>The remaining water</w:t>
      </w:r>
      <w:r>
        <w:rPr>
          <w:color w:val="231F20"/>
          <w:spacing w:val="-38"/>
          <w:w w:val="105"/>
          <w:sz w:val="20"/>
        </w:rPr>
        <w:t> </w:t>
      </w:r>
      <w:r>
        <w:rPr>
          <w:color w:val="231F20"/>
          <w:spacing w:val="-3"/>
          <w:w w:val="105"/>
          <w:sz w:val="20"/>
        </w:rPr>
        <w:t>loss </w:t>
      </w:r>
      <w:r>
        <w:rPr>
          <w:color w:val="231F20"/>
          <w:w w:val="105"/>
          <w:sz w:val="20"/>
        </w:rPr>
        <w:t>from</w:t>
      </w:r>
      <w:r>
        <w:rPr>
          <w:color w:val="231F20"/>
          <w:spacing w:val="-23"/>
          <w:w w:val="105"/>
          <w:sz w:val="20"/>
        </w:rPr>
        <w:t> </w:t>
      </w:r>
      <w:r>
        <w:rPr>
          <w:color w:val="231F20"/>
          <w:w w:val="105"/>
          <w:sz w:val="20"/>
        </w:rPr>
        <w:t>the</w:t>
      </w:r>
      <w:r>
        <w:rPr>
          <w:color w:val="231F20"/>
          <w:spacing w:val="-22"/>
          <w:w w:val="105"/>
          <w:sz w:val="20"/>
        </w:rPr>
        <w:t> </w:t>
      </w:r>
      <w:r>
        <w:rPr>
          <w:color w:val="231F20"/>
          <w:w w:val="105"/>
          <w:sz w:val="20"/>
        </w:rPr>
        <w:t>body</w:t>
      </w:r>
      <w:r>
        <w:rPr>
          <w:color w:val="231F20"/>
          <w:spacing w:val="-22"/>
          <w:w w:val="105"/>
          <w:sz w:val="20"/>
        </w:rPr>
        <w:t> </w:t>
      </w:r>
      <w:r>
        <w:rPr>
          <w:color w:val="231F20"/>
          <w:w w:val="105"/>
          <w:sz w:val="20"/>
        </w:rPr>
        <w:t>occurs</w:t>
      </w:r>
      <w:r>
        <w:rPr>
          <w:color w:val="231F20"/>
          <w:spacing w:val="-22"/>
          <w:w w:val="105"/>
          <w:sz w:val="20"/>
        </w:rPr>
        <w:t> </w:t>
      </w:r>
      <w:r>
        <w:rPr>
          <w:color w:val="231F20"/>
          <w:w w:val="105"/>
          <w:sz w:val="20"/>
        </w:rPr>
        <w:t>in</w:t>
      </w:r>
      <w:r>
        <w:rPr>
          <w:color w:val="231F20"/>
          <w:spacing w:val="-22"/>
          <w:w w:val="105"/>
          <w:sz w:val="20"/>
        </w:rPr>
        <w:t> </w:t>
      </w:r>
      <w:r>
        <w:rPr>
          <w:color w:val="231F20"/>
          <w:w w:val="105"/>
          <w:sz w:val="20"/>
        </w:rPr>
        <w:t>the</w:t>
      </w:r>
      <w:r>
        <w:rPr>
          <w:color w:val="231F20"/>
          <w:spacing w:val="-22"/>
          <w:w w:val="105"/>
          <w:sz w:val="20"/>
        </w:rPr>
        <w:t> </w:t>
      </w:r>
      <w:r>
        <w:rPr>
          <w:color w:val="231F20"/>
          <w:w w:val="105"/>
          <w:sz w:val="20"/>
        </w:rPr>
        <w:t>urine</w:t>
      </w:r>
      <w:r>
        <w:rPr>
          <w:color w:val="231F20"/>
          <w:spacing w:val="-22"/>
          <w:w w:val="105"/>
          <w:sz w:val="20"/>
        </w:rPr>
        <w:t> </w:t>
      </w:r>
      <w:r>
        <w:rPr>
          <w:color w:val="231F20"/>
          <w:w w:val="105"/>
          <w:sz w:val="20"/>
        </w:rPr>
        <w:t>excreted</w:t>
      </w:r>
      <w:r>
        <w:rPr>
          <w:color w:val="231F20"/>
          <w:spacing w:val="-22"/>
          <w:w w:val="105"/>
          <w:sz w:val="20"/>
        </w:rPr>
        <w:t> </w:t>
      </w:r>
      <w:r>
        <w:rPr>
          <w:color w:val="231F20"/>
          <w:w w:val="105"/>
          <w:sz w:val="20"/>
        </w:rPr>
        <w:t>by</w:t>
      </w:r>
      <w:r>
        <w:rPr>
          <w:color w:val="231F20"/>
          <w:spacing w:val="-22"/>
          <w:w w:val="105"/>
          <w:sz w:val="20"/>
        </w:rPr>
        <w:t> </w:t>
      </w:r>
      <w:r>
        <w:rPr>
          <w:color w:val="231F20"/>
          <w:w w:val="105"/>
          <w:sz w:val="20"/>
        </w:rPr>
        <w:t>the</w:t>
      </w:r>
      <w:r>
        <w:rPr>
          <w:color w:val="231F20"/>
          <w:spacing w:val="-22"/>
          <w:w w:val="105"/>
          <w:sz w:val="20"/>
        </w:rPr>
        <w:t> </w:t>
      </w:r>
      <w:r>
        <w:rPr>
          <w:color w:val="231F20"/>
          <w:w w:val="105"/>
          <w:sz w:val="20"/>
        </w:rPr>
        <w:t>kidneys.</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1"/>
      </w:pPr>
    </w:p>
    <w:p>
      <w:pPr>
        <w:spacing w:after="0"/>
        <w:sectPr>
          <w:headerReference w:type="even" r:id="rId8"/>
          <w:pgSz w:w="12240" w:h="15660"/>
          <w:pgMar w:header="0" w:footer="567" w:top="720" w:bottom="760" w:left="0" w:right="0"/>
        </w:sectPr>
      </w:pPr>
    </w:p>
    <w:p>
      <w:pPr>
        <w:spacing w:line="252" w:lineRule="auto" w:before="100"/>
        <w:ind w:left="1080" w:right="0" w:firstLine="0"/>
        <w:jc w:val="left"/>
        <w:rPr>
          <w:rFonts w:ascii="Trebuchet MS"/>
          <w:sz w:val="18"/>
        </w:rPr>
      </w:pPr>
      <w:r>
        <w:rPr/>
        <w:pict>
          <v:shape style="position:absolute;margin-left:526.775513pt;margin-top:56.992867pt;width:11.25pt;height:42.5pt;mso-position-horizontal-relative:page;mso-position-vertical-relative:paragraph;z-index:251676672"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Lymphatics</w:t>
                  </w:r>
                </w:p>
              </w:txbxContent>
            </v:textbox>
            <w10:wrap type="none"/>
          </v:shape>
        </w:pict>
      </w:r>
      <w:bookmarkStart w:name="_bookmark0" w:id="1"/>
      <w:bookmarkEnd w:id="1"/>
      <w:r>
        <w:rPr/>
      </w:r>
      <w:r>
        <w:rPr>
          <w:rFonts w:ascii="Trebuchet MS"/>
          <w:b/>
          <w:color w:val="231F20"/>
          <w:w w:val="105"/>
          <w:sz w:val="18"/>
        </w:rPr>
        <w:t>Table 25-1 </w:t>
      </w:r>
      <w:r>
        <w:rPr>
          <w:rFonts w:ascii="Trebuchet MS"/>
          <w:color w:val="231F20"/>
          <w:w w:val="105"/>
          <w:sz w:val="18"/>
        </w:rPr>
        <w:t>Daily Intake and Output of Water (ml/day)</w:t>
      </w:r>
    </w:p>
    <w:p>
      <w:pPr>
        <w:spacing w:line="182" w:lineRule="exact" w:before="116"/>
        <w:ind w:left="1080" w:right="0" w:firstLine="0"/>
        <w:jc w:val="left"/>
        <w:rPr>
          <w:rFonts w:ascii="Helvetica"/>
          <w:b/>
          <w:sz w:val="16"/>
        </w:rPr>
      </w:pPr>
      <w:r>
        <w:rPr/>
        <w:br w:type="column"/>
      </w:r>
      <w:r>
        <w:rPr>
          <w:rFonts w:ascii="Helvetica"/>
          <w:b/>
          <w:color w:val="231F20"/>
          <w:sz w:val="16"/>
        </w:rPr>
        <w:t>OUTPUT</w:t>
      </w:r>
    </w:p>
    <w:p>
      <w:pPr>
        <w:pStyle w:val="ListParagraph"/>
        <w:numPr>
          <w:ilvl w:val="0"/>
          <w:numId w:val="1"/>
        </w:numPr>
        <w:tabs>
          <w:tab w:pos="1181" w:val="left" w:leader="none"/>
        </w:tabs>
        <w:spacing w:line="180" w:lineRule="exact" w:before="0" w:after="0"/>
        <w:ind w:left="1180" w:right="0" w:hanging="101"/>
        <w:jc w:val="left"/>
        <w:rPr>
          <w:rFonts w:ascii="Helvetica" w:hAnsi="Helvetica"/>
          <w:sz w:val="16"/>
        </w:rPr>
      </w:pPr>
      <w:r>
        <w:rPr/>
        <w:pict>
          <v:group style="position:absolute;margin-left:342.90448pt;margin-top:2.968704pt;width:183.75pt;height:244.45pt;mso-position-horizontal-relative:page;mso-position-vertical-relative:paragraph;z-index:251674624" coordorigin="6858,59" coordsize="3675,4889">
            <v:shape style="position:absolute;left:7057;top:687;width:120;height:1568" coordorigin="7058,688" coordsize="120,1568" path="m7178,2255l7154,2250,7135,2237,7123,2218,7118,2195,7118,1531,7113,1508,7100,1489,7081,1476,7058,1471,7081,1467,7100,1454,7113,1435,7118,1411,7118,748,7123,724,7135,705,7154,692,7178,688e" filled="false" stroked="true" strokeweight=".75pt" strokecolor="#231f20">
              <v:path arrowok="t"/>
              <v:stroke dashstyle="solid"/>
            </v:shape>
            <v:rect style="position:absolute;left:7297;top:1210;width:2387;height:1066" filled="true" fillcolor="#eed8c3" stroked="false">
              <v:fill type="solid"/>
            </v:rect>
            <v:rect style="position:absolute;left:7297;top:2276;width:2387;height:252" filled="true" fillcolor="#ffeec8" stroked="false">
              <v:fill type="solid"/>
            </v:rect>
            <v:rect style="position:absolute;left:7297;top:959;width:2387;height:252" filled="true" fillcolor="#c7d6ea" stroked="false">
              <v:fill type="solid"/>
            </v:rect>
            <v:shape style="position:absolute;left:6972;top:231;width:3036;height:729" coordorigin="6973,231" coordsize="3036,729" path="m7117,231l6973,374,7299,700,7298,959,9684,959,9684,701,9826,558,7441,558,7117,231xm9864,231l9540,558,9826,558,10008,374,9864,231xe" filled="true" fillcolor="#fcd8dc" stroked="false">
              <v:path arrowok="t"/>
              <v:fill type="solid"/>
            </v:shape>
            <v:shape style="position:absolute;left:6972;top:231;width:3036;height:729" coordorigin="6973,231" coordsize="3036,729" path="m10008,374l9864,231,9540,558,7441,558,7117,231,6973,374,7299,700,7298,959,9684,959,9684,701,10008,374xe" filled="false" stroked="true" strokeweight=".75pt" strokecolor="#231f20">
              <v:path arrowok="t"/>
              <v:stroke dashstyle="solid"/>
            </v:shape>
            <v:shape style="position:absolute;left:9526;top:544;width:172;height:170" type="#_x0000_t75" stroked="false">
              <v:imagedata r:id="rId9" o:title=""/>
            </v:shape>
            <v:shape style="position:absolute;left:7284;top:544;width:172;height:170" type="#_x0000_t75" stroked="false">
              <v:imagedata r:id="rId10" o:title=""/>
            </v:shape>
            <v:shape style="position:absolute;left:0;top:14232;width:3069;height:185" coordorigin="0,14232" coordsize="3069,185" path="m6959,388l7131,216m9844,209l10028,394e" filled="false" stroked="true" strokeweight="2pt" strokecolor="#ffffff">
              <v:path arrowok="t"/>
              <v:stroke dashstyle="solid"/>
            </v:shape>
            <v:shape style="position:absolute;left:9673;top:753;width:303;height:1026" type="#_x0000_t75" stroked="false">
              <v:imagedata r:id="rId11" o:title=""/>
            </v:shape>
            <v:shape style="position:absolute;left:0;top:14410;width:299;height:1026" coordorigin="0,14411" coordsize="299,1026" path="m9677,754l9730,762,9780,786,9827,824,9869,874,9905,936,9935,1007,9957,1087,9971,1174,9976,1266,9971,1358,9957,1445,9935,1525,9905,1596,9869,1658,9827,1709,9781,1747,9731,1770,9677,1779m9677,1659l9726,1644,9771,1605,9809,1544,9839,1464,9858,1370,9865,1266,9858,1162,9839,1068,9809,989,9771,927,9726,888,9677,874e" filled="false" stroked="true" strokeweight=".75pt" strokecolor="#231f20">
              <v:path arrowok="t"/>
              <v:stroke dashstyle="solid"/>
            </v:shape>
            <v:shape style="position:absolute;left:7297;top:2527;width:2387;height:2414" coordorigin="7298,2528" coordsize="2387,2414" path="m9684,2528l7298,2528,7298,4711,7309,4783,7342,4847,7392,4896,7455,4929,7527,4941,9454,4941,9527,4929,9590,4896,9640,4846,9673,4783,9684,4711,9684,2528xe" filled="true" fillcolor="#dddce7" stroked="false">
              <v:path arrowok="t"/>
              <v:fill type="solid"/>
            </v:shape>
            <v:shape style="position:absolute;left:7297;top:2527;width:2387;height:2414" coordorigin="7298,2528" coordsize="2387,2414" path="m7298,4711l7298,2528,9684,2528,9684,4710,9673,4783,9640,4846,9590,4896,9527,4929,9454,4941,7527,4941,7455,4929,7392,4896,7342,4847,7309,4783,7298,4711xe" filled="false" stroked="true" strokeweight=".75pt" strokecolor="#231f20">
              <v:path arrowok="t"/>
              <v:stroke dashstyle="solid"/>
            </v:shape>
            <v:shape style="position:absolute;left:10080;top:1205;width:185;height:120" coordorigin="10080,1206" coordsize="185,120" path="m10263,1206l10174,1244,10080,1266,10174,1288,10263,1325,10265,1324,10231,1266,10265,1207,10263,1206xe" filled="true" fillcolor="#231f20" stroked="false">
              <v:path arrowok="t"/>
              <v:fill type="solid"/>
            </v:shape>
            <v:line style="position:absolute" from="10533,1266" to="10154,1266" stroked="true" strokeweight="1.5pt" strokecolor="#231f20">
              <v:stroke dashstyle="solid"/>
            </v:line>
            <v:shape style="position:absolute;left:9263;top:2171;width:264;height:453" type="#_x0000_t75" stroked="false">
              <v:imagedata r:id="rId12" o:title=""/>
            </v:shape>
            <v:shape style="position:absolute;left:7483;top:2171;width:264;height:453" type="#_x0000_t75" stroked="false">
              <v:imagedata r:id="rId13" o:title=""/>
            </v:shape>
            <v:shape style="position:absolute;left:9263;top:861;width:264;height:453" type="#_x0000_t75" stroked="false">
              <v:imagedata r:id="rId14" o:title=""/>
            </v:shape>
            <v:shape style="position:absolute;left:7483;top:861;width:264;height:453" type="#_x0000_t75" stroked="false">
              <v:imagedata r:id="rId15" o:title=""/>
            </v:shape>
            <v:shape style="position:absolute;left:9845;top:59;width:335;height:336" type="#_x0000_t75" stroked="false">
              <v:imagedata r:id="rId16" o:title=""/>
            </v:shape>
            <v:shape style="position:absolute;left:6858;top:115;width:335;height:336" type="#_x0000_t75" stroked="false">
              <v:imagedata r:id="rId17" o:title=""/>
            </v:shape>
            <v:shape style="position:absolute;left:8223;top:581;width:554;height:365" type="#_x0000_t202" filled="false" stroked="false">
              <v:textbox inset="0,0,0,0">
                <w:txbxContent>
                  <w:p>
                    <w:pPr>
                      <w:spacing w:line="181" w:lineRule="exact" w:before="0"/>
                      <w:ind w:left="0" w:right="0" w:firstLine="0"/>
                      <w:jc w:val="left"/>
                      <w:rPr>
                        <w:rFonts w:ascii="Helvetica"/>
                        <w:sz w:val="16"/>
                      </w:rPr>
                    </w:pPr>
                    <w:r>
                      <w:rPr>
                        <w:rFonts w:ascii="Helvetica"/>
                        <w:color w:val="231F20"/>
                        <w:sz w:val="16"/>
                      </w:rPr>
                      <w:t>Plasma</w:t>
                    </w:r>
                  </w:p>
                  <w:p>
                    <w:pPr>
                      <w:spacing w:line="182" w:lineRule="exact" w:before="0"/>
                      <w:ind w:left="88" w:right="0" w:firstLine="0"/>
                      <w:jc w:val="left"/>
                      <w:rPr>
                        <w:rFonts w:ascii="Helvetica"/>
                        <w:sz w:val="16"/>
                      </w:rPr>
                    </w:pPr>
                    <w:r>
                      <w:rPr>
                        <w:rFonts w:ascii="Helvetica"/>
                        <w:color w:val="231F20"/>
                        <w:sz w:val="16"/>
                      </w:rPr>
                      <w:t>3.0 L</w:t>
                    </w:r>
                  </w:p>
                </w:txbxContent>
              </v:textbox>
              <w10:wrap type="none"/>
            </v:shape>
            <v:shape style="position:absolute;left:8077;top:3455;width:847;height:545" type="#_x0000_t202" filled="false" stroked="false">
              <v:textbox inset="0,0,0,0">
                <w:txbxContent>
                  <w:p>
                    <w:pPr>
                      <w:spacing w:line="235" w:lineRule="auto" w:before="2"/>
                      <w:ind w:left="266" w:right="0" w:hanging="267"/>
                      <w:jc w:val="left"/>
                      <w:rPr>
                        <w:rFonts w:ascii="Helvetica"/>
                        <w:sz w:val="16"/>
                      </w:rPr>
                    </w:pPr>
                    <w:r>
                      <w:rPr>
                        <w:rFonts w:ascii="Helvetica"/>
                        <w:color w:val="231F20"/>
                        <w:sz w:val="16"/>
                      </w:rPr>
                      <w:t>Intracellular fluid</w:t>
                    </w:r>
                  </w:p>
                  <w:p>
                    <w:pPr>
                      <w:spacing w:line="180" w:lineRule="exact" w:before="0"/>
                      <w:ind w:left="191" w:right="0" w:firstLine="0"/>
                      <w:jc w:val="left"/>
                      <w:rPr>
                        <w:rFonts w:ascii="Helvetica"/>
                        <w:sz w:val="16"/>
                      </w:rPr>
                    </w:pPr>
                    <w:r>
                      <w:rPr>
                        <w:rFonts w:ascii="Helvetica"/>
                        <w:color w:val="231F20"/>
                        <w:sz w:val="16"/>
                      </w:rPr>
                      <w:t>28.0</w:t>
                    </w:r>
                    <w:r>
                      <w:rPr>
                        <w:rFonts w:ascii="Helvetica"/>
                        <w:color w:val="231F20"/>
                        <w:spacing w:val="-1"/>
                        <w:sz w:val="16"/>
                      </w:rPr>
                      <w:t> </w:t>
                    </w:r>
                    <w:r>
                      <w:rPr>
                        <w:rFonts w:ascii="Helvetica"/>
                        <w:color w:val="231F20"/>
                        <w:sz w:val="16"/>
                      </w:rPr>
                      <w:t>L</w:t>
                    </w:r>
                  </w:p>
                </w:txbxContent>
              </v:textbox>
              <w10:wrap type="none"/>
            </v:shape>
            <v:shape style="position:absolute;left:7297;top:2276;width:2387;height:252" type="#_x0000_t202" filled="false" stroked="true" strokeweight=".75pt" strokecolor="#231f20">
              <v:textbox inset="0,0,0,0">
                <w:txbxContent>
                  <w:p>
                    <w:pPr>
                      <w:spacing w:before="21"/>
                      <w:ind w:left="643" w:right="0" w:firstLine="0"/>
                      <w:jc w:val="left"/>
                      <w:rPr>
                        <w:rFonts w:ascii="Helvetica"/>
                        <w:sz w:val="16"/>
                      </w:rPr>
                    </w:pPr>
                    <w:r>
                      <w:rPr>
                        <w:rFonts w:ascii="Helvetica"/>
                        <w:color w:val="231F20"/>
                        <w:sz w:val="16"/>
                      </w:rPr>
                      <w:t>Cell membrane</w:t>
                    </w:r>
                  </w:p>
                </w:txbxContent>
              </v:textbox>
              <v:stroke dashstyle="solid"/>
              <w10:wrap type="none"/>
            </v:shape>
            <v:shape style="position:absolute;left:7297;top:1210;width:2387;height:1066" type="#_x0000_t202" filled="false" stroked="true" strokeweight=".75pt" strokecolor="#231f20">
              <v:textbox inset="0,0,0,0">
                <w:txbxContent>
                  <w:p>
                    <w:pPr>
                      <w:spacing w:line="240" w:lineRule="auto" w:before="7"/>
                      <w:rPr>
                        <w:sz w:val="21"/>
                      </w:rPr>
                    </w:pPr>
                  </w:p>
                  <w:p>
                    <w:pPr>
                      <w:spacing w:line="235" w:lineRule="auto" w:before="0"/>
                      <w:ind w:left="1039" w:right="824" w:hanging="196"/>
                      <w:jc w:val="left"/>
                      <w:rPr>
                        <w:rFonts w:ascii="Helvetica"/>
                        <w:sz w:val="16"/>
                      </w:rPr>
                    </w:pPr>
                    <w:r>
                      <w:rPr>
                        <w:rFonts w:ascii="Helvetica"/>
                        <w:color w:val="231F20"/>
                        <w:sz w:val="16"/>
                      </w:rPr>
                      <w:t>Interstitial fluid</w:t>
                    </w:r>
                  </w:p>
                  <w:p>
                    <w:pPr>
                      <w:spacing w:line="180" w:lineRule="exact" w:before="0"/>
                      <w:ind w:left="963" w:right="0" w:firstLine="0"/>
                      <w:jc w:val="left"/>
                      <w:rPr>
                        <w:rFonts w:ascii="Helvetica"/>
                        <w:sz w:val="16"/>
                      </w:rPr>
                    </w:pPr>
                    <w:r>
                      <w:rPr>
                        <w:rFonts w:ascii="Helvetica"/>
                        <w:color w:val="231F20"/>
                        <w:sz w:val="16"/>
                      </w:rPr>
                      <w:t>11.0 L</w:t>
                    </w:r>
                  </w:p>
                </w:txbxContent>
              </v:textbox>
              <v:stroke dashstyle="solid"/>
              <w10:wrap type="none"/>
            </v:shape>
            <v:shape style="position:absolute;left:7297;top:959;width:2387;height:252" type="#_x0000_t202" filled="false" stroked="true" strokeweight=".75pt" strokecolor="#231f20">
              <v:textbox inset="0,0,0,0">
                <w:txbxContent>
                  <w:p>
                    <w:pPr>
                      <w:spacing w:before="19"/>
                      <w:ind w:left="470" w:right="0" w:firstLine="0"/>
                      <w:jc w:val="left"/>
                      <w:rPr>
                        <w:rFonts w:ascii="Helvetica"/>
                        <w:sz w:val="16"/>
                      </w:rPr>
                    </w:pPr>
                    <w:r>
                      <w:rPr>
                        <w:rFonts w:ascii="Helvetica"/>
                        <w:color w:val="231F20"/>
                        <w:sz w:val="16"/>
                      </w:rPr>
                      <w:t>Capillary membrane</w:t>
                    </w:r>
                  </w:p>
                </w:txbxContent>
              </v:textbox>
              <v:stroke dashstyle="solid"/>
              <w10:wrap type="none"/>
            </v:shape>
            <w10:wrap type="none"/>
          </v:group>
        </w:pict>
      </w:r>
      <w:r>
        <w:rPr>
          <w:rFonts w:ascii="Helvetica" w:hAnsi="Helvetica"/>
          <w:color w:val="231F20"/>
          <w:sz w:val="16"/>
        </w:rPr>
        <w:t>Kidneys</w:t>
      </w:r>
    </w:p>
    <w:p>
      <w:pPr>
        <w:pStyle w:val="ListParagraph"/>
        <w:numPr>
          <w:ilvl w:val="0"/>
          <w:numId w:val="1"/>
        </w:numPr>
        <w:tabs>
          <w:tab w:pos="1181" w:val="left" w:leader="none"/>
        </w:tabs>
        <w:spacing w:line="180" w:lineRule="exact" w:before="0" w:after="0"/>
        <w:ind w:left="1180" w:right="0" w:hanging="101"/>
        <w:jc w:val="left"/>
        <w:rPr>
          <w:rFonts w:ascii="Helvetica" w:hAnsi="Helvetica"/>
          <w:sz w:val="16"/>
        </w:rPr>
      </w:pPr>
      <w:r>
        <w:rPr/>
        <w:pict>
          <v:shape style="position:absolute;margin-left:54pt;margin-top:8.534410pt;width:234pt;height:166.3pt;mso-position-horizontal-relative:page;mso-position-vertical-relative:paragraph;z-index:2516776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6"/>
                    <w:gridCol w:w="800"/>
                    <w:gridCol w:w="2264"/>
                  </w:tblGrid>
                  <w:tr>
                    <w:trPr>
                      <w:trHeight w:val="306" w:hRule="atLeast"/>
                    </w:trPr>
                    <w:tc>
                      <w:tcPr>
                        <w:tcW w:w="2416" w:type="dxa"/>
                        <w:gridSpan w:val="2"/>
                        <w:shd w:val="clear" w:color="auto" w:fill="D1DDF1"/>
                      </w:tcPr>
                      <w:p>
                        <w:pPr>
                          <w:pStyle w:val="TableParagraph"/>
                          <w:spacing w:before="76"/>
                          <w:ind w:right="142"/>
                          <w:jc w:val="right"/>
                          <w:rPr>
                            <w:b/>
                            <w:sz w:val="16"/>
                          </w:rPr>
                        </w:pPr>
                        <w:r>
                          <w:rPr>
                            <w:b/>
                            <w:color w:val="231F20"/>
                            <w:sz w:val="16"/>
                          </w:rPr>
                          <w:t>Normal</w:t>
                        </w:r>
                      </w:p>
                    </w:tc>
                    <w:tc>
                      <w:tcPr>
                        <w:tcW w:w="2264" w:type="dxa"/>
                        <w:shd w:val="clear" w:color="auto" w:fill="D1DDF1"/>
                      </w:tcPr>
                      <w:p>
                        <w:pPr>
                          <w:pStyle w:val="TableParagraph"/>
                          <w:spacing w:before="76"/>
                          <w:ind w:left="125" w:right="106"/>
                          <w:jc w:val="center"/>
                          <w:rPr>
                            <w:b/>
                            <w:sz w:val="16"/>
                          </w:rPr>
                        </w:pPr>
                        <w:r>
                          <w:rPr>
                            <w:b/>
                            <w:color w:val="231F20"/>
                            <w:sz w:val="16"/>
                          </w:rPr>
                          <w:t>Prolonged, Heavy Exercise</w:t>
                        </w:r>
                      </w:p>
                    </w:tc>
                  </w:tr>
                  <w:tr>
                    <w:trPr>
                      <w:trHeight w:val="533" w:hRule="atLeast"/>
                    </w:trPr>
                    <w:tc>
                      <w:tcPr>
                        <w:tcW w:w="1616" w:type="dxa"/>
                        <w:tcBorders>
                          <w:bottom w:val="single" w:sz="4" w:space="0" w:color="FFFFFF"/>
                        </w:tcBorders>
                        <w:shd w:val="clear" w:color="auto" w:fill="E6ECF7"/>
                      </w:tcPr>
                      <w:p>
                        <w:pPr>
                          <w:pStyle w:val="TableParagraph"/>
                          <w:spacing w:before="24"/>
                          <w:ind w:left="120"/>
                          <w:rPr>
                            <w:b/>
                            <w:sz w:val="16"/>
                          </w:rPr>
                        </w:pPr>
                        <w:r>
                          <w:rPr>
                            <w:b/>
                            <w:color w:val="231F20"/>
                            <w:sz w:val="16"/>
                          </w:rPr>
                          <w:t>Intake</w:t>
                        </w:r>
                      </w:p>
                      <w:p>
                        <w:pPr>
                          <w:pStyle w:val="TableParagraph"/>
                          <w:spacing w:before="89"/>
                          <w:ind w:left="120"/>
                          <w:rPr>
                            <w:sz w:val="16"/>
                          </w:rPr>
                        </w:pPr>
                        <w:r>
                          <w:rPr>
                            <w:color w:val="231F20"/>
                            <w:w w:val="105"/>
                            <w:sz w:val="16"/>
                          </w:rPr>
                          <w:t>Fluids ingested</w:t>
                        </w:r>
                      </w:p>
                    </w:tc>
                    <w:tc>
                      <w:tcPr>
                        <w:tcW w:w="800" w:type="dxa"/>
                        <w:tcBorders>
                          <w:bottom w:val="single" w:sz="4" w:space="0" w:color="FFFFFF"/>
                        </w:tcBorders>
                        <w:shd w:val="clear" w:color="auto" w:fill="E6ECF7"/>
                      </w:tcPr>
                      <w:p>
                        <w:pPr>
                          <w:pStyle w:val="TableParagraph"/>
                          <w:spacing w:before="11"/>
                          <w:rPr>
                            <w:rFonts w:ascii="Times New Roman"/>
                            <w:sz w:val="25"/>
                          </w:rPr>
                        </w:pPr>
                      </w:p>
                      <w:p>
                        <w:pPr>
                          <w:pStyle w:val="TableParagraph"/>
                          <w:spacing w:before="0"/>
                          <w:ind w:right="255"/>
                          <w:jc w:val="right"/>
                          <w:rPr>
                            <w:sz w:val="16"/>
                          </w:rPr>
                        </w:pPr>
                        <w:r>
                          <w:rPr>
                            <w:color w:val="231F20"/>
                            <w:w w:val="105"/>
                            <w:sz w:val="16"/>
                          </w:rPr>
                          <w:t>2100</w:t>
                        </w:r>
                      </w:p>
                    </w:tc>
                    <w:tc>
                      <w:tcPr>
                        <w:tcW w:w="2264" w:type="dxa"/>
                        <w:tcBorders>
                          <w:bottom w:val="single" w:sz="4" w:space="0" w:color="FFFFFF"/>
                        </w:tcBorders>
                        <w:shd w:val="clear" w:color="auto" w:fill="E6ECF7"/>
                      </w:tcPr>
                      <w:p>
                        <w:pPr>
                          <w:pStyle w:val="TableParagraph"/>
                          <w:spacing w:before="11"/>
                          <w:rPr>
                            <w:rFonts w:ascii="Times New Roman"/>
                            <w:sz w:val="25"/>
                          </w:rPr>
                        </w:pPr>
                      </w:p>
                      <w:p>
                        <w:pPr>
                          <w:pStyle w:val="TableParagraph"/>
                          <w:spacing w:before="0"/>
                          <w:ind w:left="24"/>
                          <w:jc w:val="center"/>
                          <w:rPr>
                            <w:sz w:val="16"/>
                          </w:rPr>
                        </w:pPr>
                        <w:r>
                          <w:rPr>
                            <w:color w:val="231F20"/>
                            <w:w w:val="136"/>
                            <w:sz w:val="16"/>
                          </w:rPr>
                          <w:t>?</w:t>
                        </w:r>
                      </w:p>
                    </w:tc>
                  </w:tr>
                  <w:tr>
                    <w:trPr>
                      <w:trHeight w:val="264" w:hRule="atLeast"/>
                    </w:trPr>
                    <w:tc>
                      <w:tcPr>
                        <w:tcW w:w="161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From metabolism</w:t>
                        </w:r>
                      </w:p>
                    </w:tc>
                    <w:tc>
                      <w:tcPr>
                        <w:tcW w:w="800" w:type="dxa"/>
                        <w:tcBorders>
                          <w:top w:val="single" w:sz="4" w:space="0" w:color="FFFFFF"/>
                          <w:bottom w:val="single" w:sz="4" w:space="0" w:color="FFFFFF"/>
                        </w:tcBorders>
                        <w:shd w:val="clear" w:color="auto" w:fill="E6ECF7"/>
                      </w:tcPr>
                      <w:p>
                        <w:pPr>
                          <w:pStyle w:val="TableParagraph"/>
                          <w:ind w:right="255"/>
                          <w:jc w:val="right"/>
                          <w:rPr>
                            <w:sz w:val="16"/>
                          </w:rPr>
                        </w:pPr>
                        <w:r>
                          <w:rPr>
                            <w:color w:val="231F20"/>
                            <w:w w:val="105"/>
                            <w:sz w:val="16"/>
                          </w:rPr>
                          <w:t>200</w:t>
                        </w:r>
                      </w:p>
                    </w:tc>
                    <w:tc>
                      <w:tcPr>
                        <w:tcW w:w="2264" w:type="dxa"/>
                        <w:tcBorders>
                          <w:top w:val="single" w:sz="4" w:space="0" w:color="FFFFFF"/>
                          <w:bottom w:val="single" w:sz="4" w:space="0" w:color="FFFFFF"/>
                        </w:tcBorders>
                        <w:shd w:val="clear" w:color="auto" w:fill="E6ECF7"/>
                      </w:tcPr>
                      <w:p>
                        <w:pPr>
                          <w:pStyle w:val="TableParagraph"/>
                          <w:ind w:left="125" w:right="48"/>
                          <w:jc w:val="center"/>
                          <w:rPr>
                            <w:sz w:val="16"/>
                          </w:rPr>
                        </w:pPr>
                        <w:r>
                          <w:rPr>
                            <w:color w:val="231F20"/>
                            <w:w w:val="105"/>
                            <w:sz w:val="16"/>
                          </w:rPr>
                          <w:t>200</w:t>
                        </w:r>
                      </w:p>
                    </w:tc>
                  </w:tr>
                  <w:tr>
                    <w:trPr>
                      <w:trHeight w:val="264" w:hRule="atLeast"/>
                    </w:trPr>
                    <w:tc>
                      <w:tcPr>
                        <w:tcW w:w="161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Total intake</w:t>
                        </w:r>
                      </w:p>
                    </w:tc>
                    <w:tc>
                      <w:tcPr>
                        <w:tcW w:w="800" w:type="dxa"/>
                        <w:tcBorders>
                          <w:top w:val="single" w:sz="4" w:space="0" w:color="FFFFFF"/>
                          <w:bottom w:val="single" w:sz="4" w:space="0" w:color="FFFFFF"/>
                        </w:tcBorders>
                        <w:shd w:val="clear" w:color="auto" w:fill="E6ECF7"/>
                      </w:tcPr>
                      <w:p>
                        <w:pPr>
                          <w:pStyle w:val="TableParagraph"/>
                          <w:ind w:right="255"/>
                          <w:jc w:val="right"/>
                          <w:rPr>
                            <w:sz w:val="16"/>
                          </w:rPr>
                        </w:pPr>
                        <w:r>
                          <w:rPr>
                            <w:color w:val="231F20"/>
                            <w:w w:val="105"/>
                            <w:sz w:val="16"/>
                          </w:rPr>
                          <w:t>2300</w:t>
                        </w:r>
                      </w:p>
                    </w:tc>
                    <w:tc>
                      <w:tcPr>
                        <w:tcW w:w="2264" w:type="dxa"/>
                        <w:tcBorders>
                          <w:top w:val="single" w:sz="4" w:space="0" w:color="FFFFFF"/>
                          <w:bottom w:val="single" w:sz="4" w:space="0" w:color="FFFFFF"/>
                        </w:tcBorders>
                        <w:shd w:val="clear" w:color="auto" w:fill="E6ECF7"/>
                      </w:tcPr>
                      <w:p>
                        <w:pPr>
                          <w:pStyle w:val="TableParagraph"/>
                          <w:ind w:left="24"/>
                          <w:jc w:val="center"/>
                          <w:rPr>
                            <w:sz w:val="16"/>
                          </w:rPr>
                        </w:pPr>
                        <w:r>
                          <w:rPr>
                            <w:color w:val="231F20"/>
                            <w:w w:val="136"/>
                            <w:sz w:val="16"/>
                          </w:rPr>
                          <w:t>?</w:t>
                        </w:r>
                      </w:p>
                    </w:tc>
                  </w:tr>
                  <w:tr>
                    <w:trPr>
                      <w:trHeight w:val="538" w:hRule="atLeast"/>
                    </w:trPr>
                    <w:tc>
                      <w:tcPr>
                        <w:tcW w:w="1616" w:type="dxa"/>
                        <w:tcBorders>
                          <w:top w:val="single" w:sz="4" w:space="0" w:color="FFFFFF"/>
                          <w:bottom w:val="single" w:sz="4" w:space="0" w:color="FFFFFF"/>
                        </w:tcBorders>
                        <w:shd w:val="clear" w:color="auto" w:fill="E6ECF7"/>
                      </w:tcPr>
                      <w:p>
                        <w:pPr>
                          <w:pStyle w:val="TableParagraph"/>
                          <w:ind w:left="120"/>
                          <w:rPr>
                            <w:b/>
                            <w:sz w:val="16"/>
                          </w:rPr>
                        </w:pPr>
                        <w:r>
                          <w:rPr>
                            <w:b/>
                            <w:color w:val="231F20"/>
                            <w:w w:val="105"/>
                            <w:sz w:val="16"/>
                          </w:rPr>
                          <w:t>Output</w:t>
                        </w:r>
                      </w:p>
                      <w:p>
                        <w:pPr>
                          <w:pStyle w:val="TableParagraph"/>
                          <w:spacing w:before="89"/>
                          <w:ind w:left="120"/>
                          <w:rPr>
                            <w:sz w:val="16"/>
                          </w:rPr>
                        </w:pPr>
                        <w:r>
                          <w:rPr>
                            <w:color w:val="231F20"/>
                            <w:w w:val="105"/>
                            <w:sz w:val="16"/>
                          </w:rPr>
                          <w:t>Insensible: skin</w:t>
                        </w:r>
                      </w:p>
                    </w:tc>
                    <w:tc>
                      <w:tcPr>
                        <w:tcW w:w="800" w:type="dxa"/>
                        <w:tcBorders>
                          <w:top w:val="single" w:sz="4" w:space="0" w:color="FFFFFF"/>
                          <w:bottom w:val="single" w:sz="4" w:space="0" w:color="FFFFFF"/>
                        </w:tcBorders>
                        <w:shd w:val="clear" w:color="auto" w:fill="E6ECF7"/>
                      </w:tcPr>
                      <w:p>
                        <w:pPr>
                          <w:pStyle w:val="TableParagraph"/>
                          <w:spacing w:before="4"/>
                          <w:rPr>
                            <w:rFonts w:ascii="Times New Roman"/>
                            <w:sz w:val="26"/>
                          </w:rPr>
                        </w:pPr>
                      </w:p>
                      <w:p>
                        <w:pPr>
                          <w:pStyle w:val="TableParagraph"/>
                          <w:spacing w:before="0"/>
                          <w:ind w:right="255"/>
                          <w:jc w:val="right"/>
                          <w:rPr>
                            <w:sz w:val="16"/>
                          </w:rPr>
                        </w:pPr>
                        <w:r>
                          <w:rPr>
                            <w:color w:val="231F20"/>
                            <w:w w:val="105"/>
                            <w:sz w:val="16"/>
                          </w:rPr>
                          <w:t>350</w:t>
                        </w:r>
                      </w:p>
                    </w:tc>
                    <w:tc>
                      <w:tcPr>
                        <w:tcW w:w="2264" w:type="dxa"/>
                        <w:tcBorders>
                          <w:top w:val="single" w:sz="4" w:space="0" w:color="FFFFFF"/>
                          <w:bottom w:val="single" w:sz="4" w:space="0" w:color="FFFFFF"/>
                        </w:tcBorders>
                        <w:shd w:val="clear" w:color="auto" w:fill="E6ECF7"/>
                      </w:tcPr>
                      <w:p>
                        <w:pPr>
                          <w:pStyle w:val="TableParagraph"/>
                          <w:spacing w:before="4"/>
                          <w:rPr>
                            <w:rFonts w:ascii="Times New Roman"/>
                            <w:sz w:val="26"/>
                          </w:rPr>
                        </w:pPr>
                      </w:p>
                      <w:p>
                        <w:pPr>
                          <w:pStyle w:val="TableParagraph"/>
                          <w:spacing w:before="0"/>
                          <w:ind w:left="125" w:right="48"/>
                          <w:jc w:val="center"/>
                          <w:rPr>
                            <w:sz w:val="16"/>
                          </w:rPr>
                        </w:pPr>
                        <w:r>
                          <w:rPr>
                            <w:color w:val="231F20"/>
                            <w:w w:val="105"/>
                            <w:sz w:val="16"/>
                          </w:rPr>
                          <w:t>350</w:t>
                        </w:r>
                      </w:p>
                    </w:tc>
                  </w:tr>
                  <w:tr>
                    <w:trPr>
                      <w:trHeight w:val="264" w:hRule="atLeast"/>
                    </w:trPr>
                    <w:tc>
                      <w:tcPr>
                        <w:tcW w:w="161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Insensible: lungs</w:t>
                        </w:r>
                      </w:p>
                    </w:tc>
                    <w:tc>
                      <w:tcPr>
                        <w:tcW w:w="800" w:type="dxa"/>
                        <w:tcBorders>
                          <w:top w:val="single" w:sz="4" w:space="0" w:color="FFFFFF"/>
                          <w:bottom w:val="single" w:sz="4" w:space="0" w:color="FFFFFF"/>
                        </w:tcBorders>
                        <w:shd w:val="clear" w:color="auto" w:fill="E6ECF7"/>
                      </w:tcPr>
                      <w:p>
                        <w:pPr>
                          <w:pStyle w:val="TableParagraph"/>
                          <w:ind w:right="255"/>
                          <w:jc w:val="right"/>
                          <w:rPr>
                            <w:sz w:val="16"/>
                          </w:rPr>
                        </w:pPr>
                        <w:r>
                          <w:rPr>
                            <w:color w:val="231F20"/>
                            <w:w w:val="105"/>
                            <w:sz w:val="16"/>
                          </w:rPr>
                          <w:t>350</w:t>
                        </w:r>
                      </w:p>
                    </w:tc>
                    <w:tc>
                      <w:tcPr>
                        <w:tcW w:w="2264" w:type="dxa"/>
                        <w:tcBorders>
                          <w:top w:val="single" w:sz="4" w:space="0" w:color="FFFFFF"/>
                          <w:bottom w:val="single" w:sz="4" w:space="0" w:color="FFFFFF"/>
                        </w:tcBorders>
                        <w:shd w:val="clear" w:color="auto" w:fill="E6ECF7"/>
                      </w:tcPr>
                      <w:p>
                        <w:pPr>
                          <w:pStyle w:val="TableParagraph"/>
                          <w:ind w:left="125" w:right="48"/>
                          <w:jc w:val="center"/>
                          <w:rPr>
                            <w:sz w:val="16"/>
                          </w:rPr>
                        </w:pPr>
                        <w:r>
                          <w:rPr>
                            <w:color w:val="231F20"/>
                            <w:w w:val="105"/>
                            <w:sz w:val="16"/>
                          </w:rPr>
                          <w:t>650</w:t>
                        </w:r>
                      </w:p>
                    </w:tc>
                  </w:tr>
                  <w:tr>
                    <w:trPr>
                      <w:trHeight w:val="264" w:hRule="atLeast"/>
                    </w:trPr>
                    <w:tc>
                      <w:tcPr>
                        <w:tcW w:w="161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Sweat</w:t>
                        </w:r>
                      </w:p>
                    </w:tc>
                    <w:tc>
                      <w:tcPr>
                        <w:tcW w:w="800" w:type="dxa"/>
                        <w:tcBorders>
                          <w:top w:val="single" w:sz="4" w:space="0" w:color="FFFFFF"/>
                          <w:bottom w:val="single" w:sz="4" w:space="0" w:color="FFFFFF"/>
                        </w:tcBorders>
                        <w:shd w:val="clear" w:color="auto" w:fill="E6ECF7"/>
                      </w:tcPr>
                      <w:p>
                        <w:pPr>
                          <w:pStyle w:val="TableParagraph"/>
                          <w:ind w:right="255"/>
                          <w:jc w:val="right"/>
                          <w:rPr>
                            <w:sz w:val="16"/>
                          </w:rPr>
                        </w:pPr>
                        <w:r>
                          <w:rPr>
                            <w:color w:val="231F20"/>
                            <w:w w:val="105"/>
                            <w:sz w:val="16"/>
                          </w:rPr>
                          <w:t>100</w:t>
                        </w:r>
                      </w:p>
                    </w:tc>
                    <w:tc>
                      <w:tcPr>
                        <w:tcW w:w="2264" w:type="dxa"/>
                        <w:tcBorders>
                          <w:top w:val="single" w:sz="4" w:space="0" w:color="FFFFFF"/>
                          <w:bottom w:val="single" w:sz="4" w:space="0" w:color="FFFFFF"/>
                        </w:tcBorders>
                        <w:shd w:val="clear" w:color="auto" w:fill="E6ECF7"/>
                      </w:tcPr>
                      <w:p>
                        <w:pPr>
                          <w:pStyle w:val="TableParagraph"/>
                          <w:ind w:left="97" w:right="106"/>
                          <w:jc w:val="center"/>
                          <w:rPr>
                            <w:sz w:val="16"/>
                          </w:rPr>
                        </w:pPr>
                        <w:r>
                          <w:rPr>
                            <w:color w:val="231F20"/>
                            <w:w w:val="105"/>
                            <w:sz w:val="16"/>
                          </w:rPr>
                          <w:t>5000</w:t>
                        </w:r>
                      </w:p>
                    </w:tc>
                  </w:tr>
                  <w:tr>
                    <w:trPr>
                      <w:trHeight w:val="264" w:hRule="atLeast"/>
                    </w:trPr>
                    <w:tc>
                      <w:tcPr>
                        <w:tcW w:w="1616"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Feces</w:t>
                        </w:r>
                      </w:p>
                    </w:tc>
                    <w:tc>
                      <w:tcPr>
                        <w:tcW w:w="800" w:type="dxa"/>
                        <w:tcBorders>
                          <w:top w:val="single" w:sz="4" w:space="0" w:color="FFFFFF"/>
                          <w:bottom w:val="single" w:sz="4" w:space="0" w:color="FFFFFF"/>
                        </w:tcBorders>
                        <w:shd w:val="clear" w:color="auto" w:fill="E6ECF7"/>
                      </w:tcPr>
                      <w:p>
                        <w:pPr>
                          <w:pStyle w:val="TableParagraph"/>
                          <w:ind w:right="255"/>
                          <w:jc w:val="right"/>
                          <w:rPr>
                            <w:sz w:val="16"/>
                          </w:rPr>
                        </w:pPr>
                        <w:r>
                          <w:rPr>
                            <w:color w:val="231F20"/>
                            <w:w w:val="105"/>
                            <w:sz w:val="16"/>
                          </w:rPr>
                          <w:t>100</w:t>
                        </w:r>
                      </w:p>
                    </w:tc>
                    <w:tc>
                      <w:tcPr>
                        <w:tcW w:w="2264" w:type="dxa"/>
                        <w:tcBorders>
                          <w:top w:val="single" w:sz="4" w:space="0" w:color="FFFFFF"/>
                          <w:bottom w:val="single" w:sz="4" w:space="0" w:color="FFFFFF"/>
                        </w:tcBorders>
                        <w:shd w:val="clear" w:color="auto" w:fill="E6ECF7"/>
                      </w:tcPr>
                      <w:p>
                        <w:pPr>
                          <w:pStyle w:val="TableParagraph"/>
                          <w:ind w:left="125" w:right="48"/>
                          <w:jc w:val="center"/>
                          <w:rPr>
                            <w:sz w:val="16"/>
                          </w:rPr>
                        </w:pPr>
                        <w:r>
                          <w:rPr>
                            <w:color w:val="231F20"/>
                            <w:w w:val="105"/>
                            <w:sz w:val="16"/>
                          </w:rPr>
                          <w:t>100</w:t>
                        </w:r>
                      </w:p>
                    </w:tc>
                  </w:tr>
                  <w:tr>
                    <w:trPr>
                      <w:trHeight w:val="264" w:hRule="atLeast"/>
                    </w:trPr>
                    <w:tc>
                      <w:tcPr>
                        <w:tcW w:w="161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Urine</w:t>
                        </w:r>
                      </w:p>
                    </w:tc>
                    <w:tc>
                      <w:tcPr>
                        <w:tcW w:w="800" w:type="dxa"/>
                        <w:tcBorders>
                          <w:top w:val="single" w:sz="4" w:space="0" w:color="FFFFFF"/>
                          <w:bottom w:val="single" w:sz="4" w:space="0" w:color="FFFFFF"/>
                        </w:tcBorders>
                        <w:shd w:val="clear" w:color="auto" w:fill="E6ECF7"/>
                      </w:tcPr>
                      <w:p>
                        <w:pPr>
                          <w:pStyle w:val="TableParagraph"/>
                          <w:ind w:right="255"/>
                          <w:jc w:val="right"/>
                          <w:rPr>
                            <w:sz w:val="16"/>
                          </w:rPr>
                        </w:pPr>
                        <w:r>
                          <w:rPr>
                            <w:color w:val="231F20"/>
                            <w:w w:val="105"/>
                            <w:sz w:val="16"/>
                          </w:rPr>
                          <w:t>1400</w:t>
                        </w:r>
                      </w:p>
                    </w:tc>
                    <w:tc>
                      <w:tcPr>
                        <w:tcW w:w="2264" w:type="dxa"/>
                        <w:tcBorders>
                          <w:top w:val="single" w:sz="4" w:space="0" w:color="FFFFFF"/>
                          <w:bottom w:val="single" w:sz="4" w:space="0" w:color="FFFFFF"/>
                        </w:tcBorders>
                        <w:shd w:val="clear" w:color="auto" w:fill="E6ECF7"/>
                      </w:tcPr>
                      <w:p>
                        <w:pPr>
                          <w:pStyle w:val="TableParagraph"/>
                          <w:ind w:left="125" w:right="48"/>
                          <w:jc w:val="center"/>
                          <w:rPr>
                            <w:sz w:val="16"/>
                          </w:rPr>
                        </w:pPr>
                        <w:r>
                          <w:rPr>
                            <w:color w:val="231F20"/>
                            <w:w w:val="105"/>
                            <w:sz w:val="16"/>
                          </w:rPr>
                          <w:t>500</w:t>
                        </w:r>
                      </w:p>
                    </w:tc>
                  </w:tr>
                  <w:tr>
                    <w:trPr>
                      <w:trHeight w:val="279" w:hRule="atLeast"/>
                    </w:trPr>
                    <w:tc>
                      <w:tcPr>
                        <w:tcW w:w="1616" w:type="dxa"/>
                        <w:tcBorders>
                          <w:top w:val="single" w:sz="4" w:space="0" w:color="FFFFFF"/>
                        </w:tcBorders>
                        <w:shd w:val="clear" w:color="auto" w:fill="E6ECF7"/>
                      </w:tcPr>
                      <w:p>
                        <w:pPr>
                          <w:pStyle w:val="TableParagraph"/>
                          <w:ind w:left="120"/>
                          <w:rPr>
                            <w:b/>
                            <w:sz w:val="16"/>
                          </w:rPr>
                        </w:pPr>
                        <w:r>
                          <w:rPr>
                            <w:b/>
                            <w:color w:val="231F20"/>
                            <w:sz w:val="16"/>
                          </w:rPr>
                          <w:t>Total output</w:t>
                        </w:r>
                      </w:p>
                    </w:tc>
                    <w:tc>
                      <w:tcPr>
                        <w:tcW w:w="800" w:type="dxa"/>
                        <w:tcBorders>
                          <w:top w:val="single" w:sz="4" w:space="0" w:color="FFFFFF"/>
                        </w:tcBorders>
                        <w:shd w:val="clear" w:color="auto" w:fill="E6ECF7"/>
                      </w:tcPr>
                      <w:p>
                        <w:pPr>
                          <w:pStyle w:val="TableParagraph"/>
                          <w:ind w:right="255"/>
                          <w:jc w:val="right"/>
                          <w:rPr>
                            <w:sz w:val="16"/>
                          </w:rPr>
                        </w:pPr>
                        <w:r>
                          <w:rPr>
                            <w:color w:val="231F20"/>
                            <w:w w:val="105"/>
                            <w:sz w:val="16"/>
                          </w:rPr>
                          <w:t>2300</w:t>
                        </w:r>
                      </w:p>
                    </w:tc>
                    <w:tc>
                      <w:tcPr>
                        <w:tcW w:w="2264" w:type="dxa"/>
                        <w:tcBorders>
                          <w:top w:val="single" w:sz="4" w:space="0" w:color="FFFFFF"/>
                        </w:tcBorders>
                        <w:shd w:val="clear" w:color="auto" w:fill="E6ECF7"/>
                      </w:tcPr>
                      <w:p>
                        <w:pPr>
                          <w:pStyle w:val="TableParagraph"/>
                          <w:ind w:left="97" w:right="106"/>
                          <w:jc w:val="center"/>
                          <w:rPr>
                            <w:sz w:val="16"/>
                          </w:rPr>
                        </w:pPr>
                        <w:r>
                          <w:rPr>
                            <w:color w:val="231F20"/>
                            <w:w w:val="105"/>
                            <w:sz w:val="16"/>
                          </w:rPr>
                          <w:t>6600</w:t>
                        </w:r>
                      </w:p>
                    </w:tc>
                  </w:tr>
                </w:tbl>
                <w:p>
                  <w:pPr>
                    <w:pStyle w:val="BodyText"/>
                  </w:pPr>
                </w:p>
              </w:txbxContent>
            </v:textbox>
            <w10:wrap type="none"/>
          </v:shape>
        </w:pict>
      </w:r>
      <w:r>
        <w:rPr>
          <w:rFonts w:ascii="Helvetica" w:hAnsi="Helvetica"/>
          <w:color w:val="231F20"/>
          <w:sz w:val="16"/>
        </w:rPr>
        <w:t>Lungs</w:t>
      </w:r>
    </w:p>
    <w:p>
      <w:pPr>
        <w:pStyle w:val="ListParagraph"/>
        <w:numPr>
          <w:ilvl w:val="0"/>
          <w:numId w:val="1"/>
        </w:numPr>
        <w:tabs>
          <w:tab w:pos="1181" w:val="left" w:leader="none"/>
        </w:tabs>
        <w:spacing w:line="180" w:lineRule="exact" w:before="0" w:after="0"/>
        <w:ind w:left="1180" w:right="0" w:hanging="101"/>
        <w:jc w:val="left"/>
        <w:rPr>
          <w:rFonts w:ascii="Helvetica" w:hAnsi="Helvetica"/>
          <w:sz w:val="16"/>
        </w:rPr>
      </w:pPr>
      <w:r>
        <w:rPr>
          <w:rFonts w:ascii="Helvetica" w:hAnsi="Helvetica"/>
          <w:color w:val="231F20"/>
          <w:sz w:val="16"/>
        </w:rPr>
        <w:t>Feces</w:t>
      </w:r>
    </w:p>
    <w:p>
      <w:pPr>
        <w:pStyle w:val="ListParagraph"/>
        <w:numPr>
          <w:ilvl w:val="0"/>
          <w:numId w:val="1"/>
        </w:numPr>
        <w:tabs>
          <w:tab w:pos="1181" w:val="left" w:leader="none"/>
        </w:tabs>
        <w:spacing w:line="180" w:lineRule="exact" w:before="0" w:after="0"/>
        <w:ind w:left="1180" w:right="0" w:hanging="101"/>
        <w:jc w:val="left"/>
        <w:rPr>
          <w:rFonts w:ascii="Helvetica" w:hAnsi="Helvetica"/>
          <w:sz w:val="16"/>
        </w:rPr>
      </w:pPr>
      <w:r>
        <w:rPr>
          <w:rFonts w:ascii="Helvetica" w:hAnsi="Helvetica"/>
          <w:color w:val="231F20"/>
          <w:sz w:val="16"/>
        </w:rPr>
        <w:t>Sweat</w:t>
      </w:r>
    </w:p>
    <w:p>
      <w:pPr>
        <w:pStyle w:val="ListParagraph"/>
        <w:numPr>
          <w:ilvl w:val="0"/>
          <w:numId w:val="1"/>
        </w:numPr>
        <w:tabs>
          <w:tab w:pos="1181" w:val="left" w:leader="none"/>
        </w:tabs>
        <w:spacing w:line="182" w:lineRule="exact" w:before="0" w:after="0"/>
        <w:ind w:left="1180" w:right="0" w:hanging="101"/>
        <w:jc w:val="left"/>
        <w:rPr>
          <w:rFonts w:ascii="Helvetica" w:hAnsi="Helvetica"/>
          <w:sz w:val="16"/>
        </w:rPr>
      </w:pPr>
      <w:r>
        <w:rPr/>
        <w:pict>
          <v:shape style="position:absolute;margin-left:331.487488pt;margin-top:14.524608pt;width:20.25pt;height:46.5pt;mso-position-horizontal-relative:page;mso-position-vertical-relative:paragraph;z-index:251675648" type="#_x0000_t202" filled="false" stroked="false">
            <v:textbox inset="0,0,0,0" style="layout-flow:vertical;mso-layout-flow-alt:bottom-to-top">
              <w:txbxContent>
                <w:p>
                  <w:pPr>
                    <w:spacing w:line="235" w:lineRule="auto" w:before="22"/>
                    <w:ind w:left="20" w:right="0" w:firstLine="4"/>
                    <w:jc w:val="left"/>
                    <w:rPr>
                      <w:rFonts w:ascii="Helvetica"/>
                      <w:sz w:val="16"/>
                    </w:rPr>
                  </w:pPr>
                  <w:r>
                    <w:rPr>
                      <w:rFonts w:ascii="Helvetica"/>
                      <w:color w:val="231F20"/>
                      <w:sz w:val="16"/>
                    </w:rPr>
                    <w:t>Extracellular fluid (14.0 L)</w:t>
                  </w:r>
                </w:p>
              </w:txbxContent>
            </v:textbox>
            <w10:wrap type="none"/>
          </v:shape>
        </w:pict>
      </w:r>
      <w:r>
        <w:rPr>
          <w:rFonts w:ascii="Helvetica" w:hAnsi="Helvetica"/>
          <w:color w:val="231F20"/>
          <w:sz w:val="16"/>
        </w:rPr>
        <w:t>Skin</w:t>
      </w:r>
    </w:p>
    <w:p>
      <w:pPr>
        <w:spacing w:before="119"/>
        <w:ind w:left="1080" w:right="0" w:firstLine="0"/>
        <w:jc w:val="left"/>
        <w:rPr>
          <w:rFonts w:ascii="Helvetica"/>
          <w:b/>
          <w:sz w:val="16"/>
        </w:rPr>
      </w:pPr>
      <w:r>
        <w:rPr/>
        <w:br w:type="column"/>
      </w:r>
      <w:r>
        <w:rPr>
          <w:rFonts w:ascii="Helvetica"/>
          <w:b/>
          <w:color w:val="231F20"/>
          <w:sz w:val="16"/>
        </w:rPr>
        <w:t>INTAKE</w:t>
      </w:r>
    </w:p>
    <w:p>
      <w:pPr>
        <w:spacing w:after="0"/>
        <w:jc w:val="left"/>
        <w:rPr>
          <w:rFonts w:ascii="Helvetica"/>
          <w:sz w:val="16"/>
        </w:rPr>
        <w:sectPr>
          <w:type w:val="continuous"/>
          <w:pgSz w:w="12240" w:h="15660"/>
          <w:pgMar w:top="0" w:bottom="760" w:left="0" w:right="0"/>
          <w:cols w:num="3" w:equalWidth="0">
            <w:col w:w="5039" w:space="61"/>
            <w:col w:w="1790" w:space="1983"/>
            <w:col w:w="3367"/>
          </w:cols>
        </w:sectPr>
      </w:pPr>
    </w:p>
    <w:p>
      <w:pPr>
        <w:pStyle w:val="BodyText"/>
        <w:rPr>
          <w:rFonts w:ascii="Helvetica"/>
          <w:b/>
        </w:rPr>
      </w:pPr>
    </w:p>
    <w:p>
      <w:pPr>
        <w:pStyle w:val="BodyText"/>
        <w:rPr>
          <w:rFonts w:ascii="Helvetica"/>
          <w:b/>
        </w:rPr>
      </w:pPr>
    </w:p>
    <w:p>
      <w:pPr>
        <w:pStyle w:val="BodyText"/>
        <w:rPr>
          <w:rFonts w:ascii="Helvetica"/>
          <w:b/>
        </w:rPr>
      </w:pPr>
    </w:p>
    <w:p>
      <w:pPr>
        <w:pStyle w:val="BodyText"/>
        <w:rPr>
          <w:rFonts w:ascii="Helvetica"/>
          <w:b/>
        </w:rPr>
      </w:pPr>
    </w:p>
    <w:p>
      <w:pPr>
        <w:pStyle w:val="BodyText"/>
        <w:rPr>
          <w:rFonts w:ascii="Helvetica"/>
          <w:b/>
        </w:rPr>
      </w:pPr>
    </w:p>
    <w:p>
      <w:pPr>
        <w:pStyle w:val="BodyText"/>
        <w:rPr>
          <w:rFonts w:ascii="Helvetica"/>
          <w:b/>
        </w:rPr>
      </w:pPr>
    </w:p>
    <w:p>
      <w:pPr>
        <w:pStyle w:val="BodyText"/>
        <w:spacing w:before="10"/>
        <w:rPr>
          <w:rFonts w:ascii="Helvetica"/>
          <w:b/>
          <w:sz w:val="26"/>
        </w:rPr>
      </w:pPr>
    </w:p>
    <w:p>
      <w:pPr>
        <w:pStyle w:val="BodyText"/>
        <w:rPr>
          <w:rFonts w:ascii="Helvetica"/>
        </w:rPr>
      </w:pPr>
      <w:r>
        <w:rPr>
          <w:rFonts w:ascii="Helvetica"/>
        </w:rPr>
        <w:pict>
          <v:group style="width:36pt;height:24pt;mso-position-horizontal-relative:char;mso-position-vertical-relative:line" coordorigin="0,0" coordsize="720,480">
            <v:rect style="position:absolute;left:0;top:0;width:720;height:480" filled="true" fillcolor="#e8dac8" stroked="false">
              <v:fill type="solid"/>
            </v:rect>
          </v:group>
        </w:pict>
      </w:r>
      <w:r>
        <w:rPr>
          <w:rFonts w:ascii="Helvetica"/>
        </w:rPr>
      </w:r>
    </w:p>
    <w:p>
      <w:pPr>
        <w:pStyle w:val="BodyText"/>
        <w:rPr>
          <w:rFonts w:ascii="Helvetica"/>
          <w:b/>
        </w:rPr>
      </w:pPr>
    </w:p>
    <w:p>
      <w:pPr>
        <w:pStyle w:val="BodyText"/>
        <w:rPr>
          <w:rFonts w:ascii="Helvetica"/>
          <w:b/>
        </w:rPr>
      </w:pPr>
    </w:p>
    <w:p>
      <w:pPr>
        <w:pStyle w:val="BodyText"/>
        <w:rPr>
          <w:rFonts w:ascii="Helvetica"/>
          <w:b/>
        </w:rPr>
      </w:pPr>
    </w:p>
    <w:p>
      <w:pPr>
        <w:pStyle w:val="BodyText"/>
        <w:spacing w:before="7"/>
        <w:rPr>
          <w:rFonts w:ascii="Helvetica"/>
          <w:b/>
          <w:sz w:val="19"/>
        </w:rPr>
      </w:pPr>
    </w:p>
    <w:p>
      <w:pPr>
        <w:spacing w:after="0"/>
        <w:rPr>
          <w:rFonts w:ascii="Helvetica"/>
          <w:sz w:val="19"/>
        </w:rPr>
        <w:sectPr>
          <w:type w:val="continuous"/>
          <w:pgSz w:w="12240" w:h="15660"/>
          <w:pgMar w:top="0" w:bottom="760" w:left="0" w:right="0"/>
        </w:sectPr>
      </w:pPr>
    </w:p>
    <w:p>
      <w:pPr>
        <w:pStyle w:val="BodyText"/>
        <w:spacing w:line="249" w:lineRule="auto" w:before="100"/>
        <w:ind w:left="1080"/>
        <w:jc w:val="both"/>
      </w:pPr>
      <w:r>
        <w:rPr>
          <w:color w:val="231F20"/>
        </w:rPr>
        <w:t>Multiple mechanisms control the rate of urine </w:t>
      </w:r>
      <w:r>
        <w:rPr>
          <w:color w:val="231F20"/>
          <w:spacing w:val="-3"/>
        </w:rPr>
        <w:t>excretion. </w:t>
      </w:r>
      <w:r>
        <w:rPr>
          <w:color w:val="231F20"/>
        </w:rPr>
        <w:t>In fact, the most important means by which the body maintains a balance between  water  intake  and  </w:t>
      </w:r>
      <w:r>
        <w:rPr>
          <w:color w:val="231F20"/>
          <w:spacing w:val="-3"/>
        </w:rPr>
        <w:t>output,  </w:t>
      </w:r>
      <w:r>
        <w:rPr>
          <w:color w:val="231F20"/>
        </w:rPr>
        <w:t>as well as a balance between intake and output of </w:t>
      </w:r>
      <w:r>
        <w:rPr>
          <w:color w:val="231F20"/>
          <w:spacing w:val="-3"/>
        </w:rPr>
        <w:t>most  </w:t>
      </w:r>
      <w:r>
        <w:rPr>
          <w:color w:val="231F20"/>
        </w:rPr>
        <w:t>electrolytes in the body, is by controlling the rates </w:t>
      </w:r>
      <w:r>
        <w:rPr>
          <w:color w:val="231F20"/>
          <w:spacing w:val="-7"/>
        </w:rPr>
        <w:t>at </w:t>
      </w:r>
      <w:r>
        <w:rPr>
          <w:color w:val="231F20"/>
        </w:rPr>
        <w:t>which the kidneys excrete these substances. </w:t>
      </w:r>
      <w:r>
        <w:rPr>
          <w:color w:val="231F20"/>
          <w:spacing w:val="-3"/>
        </w:rPr>
        <w:t>For example, </w:t>
      </w:r>
      <w:r>
        <w:rPr>
          <w:color w:val="231F20"/>
        </w:rPr>
        <w:t>urine volume can be as low as 0.5 L/day in a dehydrated person or as high as 20 L/day in a person who has been drinking tremendous amounts of</w:t>
      </w:r>
      <w:r>
        <w:rPr>
          <w:color w:val="231F20"/>
          <w:spacing w:val="39"/>
        </w:rPr>
        <w:t> </w:t>
      </w:r>
      <w:r>
        <w:rPr>
          <w:color w:val="231F20"/>
          <w:spacing w:val="-3"/>
        </w:rPr>
        <w:t>water.</w:t>
      </w:r>
    </w:p>
    <w:p>
      <w:pPr>
        <w:pStyle w:val="BodyText"/>
        <w:spacing w:line="249" w:lineRule="auto" w:before="7"/>
        <w:ind w:left="1080" w:firstLine="240"/>
        <w:jc w:val="both"/>
      </w:pPr>
      <w:r>
        <w:rPr>
          <w:color w:val="231F20"/>
          <w:w w:val="105"/>
        </w:rPr>
        <w:t>This variability of intake is also true for most of </w:t>
      </w:r>
      <w:r>
        <w:rPr>
          <w:color w:val="231F20"/>
          <w:spacing w:val="-7"/>
          <w:w w:val="105"/>
        </w:rPr>
        <w:t>the </w:t>
      </w:r>
      <w:r>
        <w:rPr>
          <w:color w:val="231F20"/>
          <w:w w:val="105"/>
        </w:rPr>
        <w:t>electrolytes of the body, such as sodium, chloride, and potassium.</w:t>
      </w:r>
      <w:r>
        <w:rPr>
          <w:color w:val="231F20"/>
          <w:spacing w:val="-13"/>
          <w:w w:val="105"/>
        </w:rPr>
        <w:t> </w:t>
      </w:r>
      <w:r>
        <w:rPr>
          <w:color w:val="231F20"/>
          <w:w w:val="105"/>
        </w:rPr>
        <w:t>In</w:t>
      </w:r>
      <w:r>
        <w:rPr>
          <w:color w:val="231F20"/>
          <w:spacing w:val="-12"/>
          <w:w w:val="105"/>
        </w:rPr>
        <w:t> </w:t>
      </w:r>
      <w:r>
        <w:rPr>
          <w:color w:val="231F20"/>
          <w:w w:val="105"/>
        </w:rPr>
        <w:t>some</w:t>
      </w:r>
      <w:r>
        <w:rPr>
          <w:color w:val="231F20"/>
          <w:spacing w:val="-12"/>
          <w:w w:val="105"/>
        </w:rPr>
        <w:t> </w:t>
      </w:r>
      <w:r>
        <w:rPr>
          <w:color w:val="231F20"/>
          <w:w w:val="105"/>
        </w:rPr>
        <w:t>people,</w:t>
      </w:r>
      <w:r>
        <w:rPr>
          <w:color w:val="231F20"/>
          <w:spacing w:val="-12"/>
          <w:w w:val="105"/>
        </w:rPr>
        <w:t> </w:t>
      </w:r>
      <w:r>
        <w:rPr>
          <w:color w:val="231F20"/>
          <w:w w:val="105"/>
        </w:rPr>
        <w:t>sodium</w:t>
      </w:r>
      <w:r>
        <w:rPr>
          <w:color w:val="231F20"/>
          <w:spacing w:val="-12"/>
          <w:w w:val="105"/>
        </w:rPr>
        <w:t> </w:t>
      </w:r>
      <w:r>
        <w:rPr>
          <w:color w:val="231F20"/>
          <w:w w:val="105"/>
        </w:rPr>
        <w:t>intake</w:t>
      </w:r>
      <w:r>
        <w:rPr>
          <w:color w:val="231F20"/>
          <w:spacing w:val="-12"/>
          <w:w w:val="105"/>
        </w:rPr>
        <w:t> </w:t>
      </w:r>
      <w:r>
        <w:rPr>
          <w:color w:val="231F20"/>
          <w:w w:val="105"/>
        </w:rPr>
        <w:t>may</w:t>
      </w:r>
      <w:r>
        <w:rPr>
          <w:color w:val="231F20"/>
          <w:spacing w:val="-12"/>
          <w:w w:val="105"/>
        </w:rPr>
        <w:t> </w:t>
      </w:r>
      <w:r>
        <w:rPr>
          <w:color w:val="231F20"/>
          <w:w w:val="105"/>
        </w:rPr>
        <w:t>be</w:t>
      </w:r>
      <w:r>
        <w:rPr>
          <w:color w:val="231F20"/>
          <w:spacing w:val="-12"/>
          <w:w w:val="105"/>
        </w:rPr>
        <w:t> </w:t>
      </w:r>
      <w:r>
        <w:rPr>
          <w:color w:val="231F20"/>
          <w:w w:val="105"/>
        </w:rPr>
        <w:t>as</w:t>
      </w:r>
      <w:r>
        <w:rPr>
          <w:color w:val="231F20"/>
          <w:spacing w:val="-12"/>
          <w:w w:val="105"/>
        </w:rPr>
        <w:t> </w:t>
      </w:r>
      <w:r>
        <w:rPr>
          <w:color w:val="231F20"/>
          <w:spacing w:val="-5"/>
          <w:w w:val="105"/>
        </w:rPr>
        <w:t>low </w:t>
      </w:r>
      <w:r>
        <w:rPr>
          <w:color w:val="231F20"/>
          <w:w w:val="105"/>
        </w:rPr>
        <w:t>as</w:t>
      </w:r>
      <w:r>
        <w:rPr>
          <w:color w:val="231F20"/>
          <w:spacing w:val="-12"/>
          <w:w w:val="105"/>
        </w:rPr>
        <w:t> </w:t>
      </w:r>
      <w:r>
        <w:rPr>
          <w:color w:val="231F20"/>
          <w:w w:val="105"/>
        </w:rPr>
        <w:t>20</w:t>
      </w:r>
      <w:r>
        <w:rPr>
          <w:color w:val="231F20"/>
          <w:spacing w:val="-10"/>
          <w:w w:val="105"/>
        </w:rPr>
        <w:t> </w:t>
      </w:r>
      <w:r>
        <w:rPr>
          <w:color w:val="231F20"/>
          <w:w w:val="105"/>
        </w:rPr>
        <w:t>mEq/day,</w:t>
      </w:r>
      <w:r>
        <w:rPr>
          <w:color w:val="231F20"/>
          <w:spacing w:val="-12"/>
          <w:w w:val="105"/>
        </w:rPr>
        <w:t> </w:t>
      </w:r>
      <w:r>
        <w:rPr>
          <w:color w:val="231F20"/>
          <w:w w:val="105"/>
        </w:rPr>
        <w:t>whereas</w:t>
      </w:r>
      <w:r>
        <w:rPr>
          <w:color w:val="231F20"/>
          <w:spacing w:val="-12"/>
          <w:w w:val="105"/>
        </w:rPr>
        <w:t> </w:t>
      </w:r>
      <w:r>
        <w:rPr>
          <w:color w:val="231F20"/>
          <w:w w:val="105"/>
        </w:rPr>
        <w:t>in</w:t>
      </w:r>
      <w:r>
        <w:rPr>
          <w:color w:val="231F20"/>
          <w:spacing w:val="-11"/>
          <w:w w:val="105"/>
        </w:rPr>
        <w:t> </w:t>
      </w:r>
      <w:r>
        <w:rPr>
          <w:color w:val="231F20"/>
          <w:w w:val="105"/>
        </w:rPr>
        <w:t>others,</w:t>
      </w:r>
      <w:r>
        <w:rPr>
          <w:color w:val="231F20"/>
          <w:spacing w:val="-12"/>
          <w:w w:val="105"/>
        </w:rPr>
        <w:t> </w:t>
      </w:r>
      <w:r>
        <w:rPr>
          <w:color w:val="231F20"/>
          <w:w w:val="105"/>
        </w:rPr>
        <w:t>sodium</w:t>
      </w:r>
      <w:r>
        <w:rPr>
          <w:color w:val="231F20"/>
          <w:spacing w:val="-12"/>
          <w:w w:val="105"/>
        </w:rPr>
        <w:t> </w:t>
      </w:r>
      <w:r>
        <w:rPr>
          <w:color w:val="231F20"/>
          <w:w w:val="105"/>
        </w:rPr>
        <w:t>intake</w:t>
      </w:r>
      <w:r>
        <w:rPr>
          <w:color w:val="231F20"/>
          <w:spacing w:val="-12"/>
          <w:w w:val="105"/>
        </w:rPr>
        <w:t> </w:t>
      </w:r>
      <w:r>
        <w:rPr>
          <w:color w:val="231F20"/>
          <w:w w:val="105"/>
        </w:rPr>
        <w:t>may</w:t>
      </w:r>
      <w:r>
        <w:rPr>
          <w:color w:val="231F20"/>
          <w:spacing w:val="-12"/>
          <w:w w:val="105"/>
        </w:rPr>
        <w:t> </w:t>
      </w:r>
      <w:r>
        <w:rPr>
          <w:color w:val="231F20"/>
          <w:w w:val="105"/>
        </w:rPr>
        <w:t>be as</w:t>
      </w:r>
      <w:r>
        <w:rPr>
          <w:color w:val="231F20"/>
          <w:spacing w:val="-28"/>
          <w:w w:val="105"/>
        </w:rPr>
        <w:t> </w:t>
      </w:r>
      <w:r>
        <w:rPr>
          <w:color w:val="231F20"/>
          <w:w w:val="105"/>
        </w:rPr>
        <w:t>high</w:t>
      </w:r>
      <w:r>
        <w:rPr>
          <w:color w:val="231F20"/>
          <w:spacing w:val="-28"/>
          <w:w w:val="105"/>
        </w:rPr>
        <w:t> </w:t>
      </w:r>
      <w:r>
        <w:rPr>
          <w:color w:val="231F20"/>
          <w:w w:val="105"/>
        </w:rPr>
        <w:t>as</w:t>
      </w:r>
      <w:r>
        <w:rPr>
          <w:color w:val="231F20"/>
          <w:spacing w:val="-28"/>
          <w:w w:val="105"/>
        </w:rPr>
        <w:t> </w:t>
      </w:r>
      <w:r>
        <w:rPr>
          <w:color w:val="231F20"/>
          <w:w w:val="105"/>
        </w:rPr>
        <w:t>300</w:t>
      </w:r>
      <w:r>
        <w:rPr>
          <w:color w:val="231F20"/>
          <w:spacing w:val="-28"/>
          <w:w w:val="105"/>
        </w:rPr>
        <w:t> </w:t>
      </w:r>
      <w:r>
        <w:rPr>
          <w:color w:val="231F20"/>
          <w:w w:val="105"/>
        </w:rPr>
        <w:t>to</w:t>
      </w:r>
      <w:r>
        <w:rPr>
          <w:color w:val="231F20"/>
          <w:spacing w:val="-28"/>
          <w:w w:val="105"/>
        </w:rPr>
        <w:t> </w:t>
      </w:r>
      <w:r>
        <w:rPr>
          <w:color w:val="231F20"/>
          <w:w w:val="105"/>
        </w:rPr>
        <w:t>500</w:t>
      </w:r>
      <w:r>
        <w:rPr>
          <w:color w:val="231F20"/>
          <w:spacing w:val="-17"/>
          <w:w w:val="105"/>
        </w:rPr>
        <w:t> </w:t>
      </w:r>
      <w:r>
        <w:rPr>
          <w:color w:val="231F20"/>
          <w:w w:val="105"/>
        </w:rPr>
        <w:t>mEq/day.</w:t>
      </w:r>
      <w:r>
        <w:rPr>
          <w:color w:val="231F20"/>
          <w:spacing w:val="-28"/>
          <w:w w:val="105"/>
        </w:rPr>
        <w:t> </w:t>
      </w:r>
      <w:r>
        <w:rPr>
          <w:color w:val="231F20"/>
          <w:w w:val="105"/>
        </w:rPr>
        <w:t>The</w:t>
      </w:r>
      <w:r>
        <w:rPr>
          <w:color w:val="231F20"/>
          <w:spacing w:val="-28"/>
          <w:w w:val="105"/>
        </w:rPr>
        <w:t> </w:t>
      </w:r>
      <w:r>
        <w:rPr>
          <w:color w:val="231F20"/>
          <w:w w:val="105"/>
        </w:rPr>
        <w:t>kidneys</w:t>
      </w:r>
      <w:r>
        <w:rPr>
          <w:color w:val="231F20"/>
          <w:spacing w:val="-28"/>
          <w:w w:val="105"/>
        </w:rPr>
        <w:t> </w:t>
      </w:r>
      <w:r>
        <w:rPr>
          <w:color w:val="231F20"/>
          <w:w w:val="105"/>
        </w:rPr>
        <w:t>are</w:t>
      </w:r>
      <w:r>
        <w:rPr>
          <w:color w:val="231F20"/>
          <w:spacing w:val="-28"/>
          <w:w w:val="105"/>
        </w:rPr>
        <w:t> </w:t>
      </w:r>
      <w:r>
        <w:rPr>
          <w:color w:val="231F20"/>
          <w:w w:val="105"/>
        </w:rPr>
        <w:t>faced</w:t>
      </w:r>
      <w:r>
        <w:rPr>
          <w:color w:val="231F20"/>
          <w:spacing w:val="-28"/>
          <w:w w:val="105"/>
        </w:rPr>
        <w:t> </w:t>
      </w:r>
      <w:r>
        <w:rPr>
          <w:color w:val="231F20"/>
          <w:w w:val="105"/>
        </w:rPr>
        <w:t>with the</w:t>
      </w:r>
      <w:r>
        <w:rPr>
          <w:color w:val="231F20"/>
          <w:spacing w:val="-9"/>
          <w:w w:val="105"/>
        </w:rPr>
        <w:t> </w:t>
      </w:r>
      <w:r>
        <w:rPr>
          <w:color w:val="231F20"/>
          <w:w w:val="105"/>
        </w:rPr>
        <w:t>task</w:t>
      </w:r>
      <w:r>
        <w:rPr>
          <w:color w:val="231F20"/>
          <w:spacing w:val="-9"/>
          <w:w w:val="105"/>
        </w:rPr>
        <w:t> </w:t>
      </w:r>
      <w:r>
        <w:rPr>
          <w:color w:val="231F20"/>
          <w:w w:val="105"/>
        </w:rPr>
        <w:t>of</w:t>
      </w:r>
      <w:r>
        <w:rPr>
          <w:color w:val="231F20"/>
          <w:spacing w:val="-8"/>
          <w:w w:val="105"/>
        </w:rPr>
        <w:t> </w:t>
      </w:r>
      <w:r>
        <w:rPr>
          <w:color w:val="231F20"/>
          <w:w w:val="105"/>
        </w:rPr>
        <w:t>adjusting</w:t>
      </w:r>
      <w:r>
        <w:rPr>
          <w:color w:val="231F20"/>
          <w:spacing w:val="-9"/>
          <w:w w:val="105"/>
        </w:rPr>
        <w:t> </w:t>
      </w:r>
      <w:r>
        <w:rPr>
          <w:color w:val="231F20"/>
          <w:w w:val="105"/>
        </w:rPr>
        <w:t>the</w:t>
      </w:r>
      <w:r>
        <w:rPr>
          <w:color w:val="231F20"/>
          <w:spacing w:val="-8"/>
          <w:w w:val="105"/>
        </w:rPr>
        <w:t> </w:t>
      </w:r>
      <w:r>
        <w:rPr>
          <w:color w:val="231F20"/>
          <w:w w:val="105"/>
        </w:rPr>
        <w:t>excretion</w:t>
      </w:r>
      <w:r>
        <w:rPr>
          <w:color w:val="231F20"/>
          <w:spacing w:val="-9"/>
          <w:w w:val="105"/>
        </w:rPr>
        <w:t> </w:t>
      </w:r>
      <w:r>
        <w:rPr>
          <w:color w:val="231F20"/>
          <w:w w:val="105"/>
        </w:rPr>
        <w:t>rate</w:t>
      </w:r>
      <w:r>
        <w:rPr>
          <w:color w:val="231F20"/>
          <w:spacing w:val="-9"/>
          <w:w w:val="105"/>
        </w:rPr>
        <w:t> </w:t>
      </w:r>
      <w:r>
        <w:rPr>
          <w:color w:val="231F20"/>
          <w:w w:val="105"/>
        </w:rPr>
        <w:t>of</w:t>
      </w:r>
      <w:r>
        <w:rPr>
          <w:color w:val="231F20"/>
          <w:spacing w:val="-8"/>
          <w:w w:val="105"/>
        </w:rPr>
        <w:t> </w:t>
      </w:r>
      <w:r>
        <w:rPr>
          <w:color w:val="231F20"/>
          <w:w w:val="105"/>
        </w:rPr>
        <w:t>water</w:t>
      </w:r>
      <w:r>
        <w:rPr>
          <w:color w:val="231F20"/>
          <w:spacing w:val="-9"/>
          <w:w w:val="105"/>
        </w:rPr>
        <w:t> </w:t>
      </w:r>
      <w:r>
        <w:rPr>
          <w:color w:val="231F20"/>
          <w:w w:val="105"/>
        </w:rPr>
        <w:t>and</w:t>
      </w:r>
      <w:r>
        <w:rPr>
          <w:color w:val="231F20"/>
          <w:spacing w:val="-8"/>
          <w:w w:val="105"/>
        </w:rPr>
        <w:t> </w:t>
      </w:r>
      <w:r>
        <w:rPr>
          <w:color w:val="231F20"/>
          <w:spacing w:val="-4"/>
          <w:w w:val="105"/>
        </w:rPr>
        <w:t>elec­ </w:t>
      </w:r>
      <w:r>
        <w:rPr>
          <w:color w:val="231F20"/>
          <w:w w:val="105"/>
        </w:rPr>
        <w:t>trolytes</w:t>
      </w:r>
      <w:r>
        <w:rPr>
          <w:color w:val="231F20"/>
          <w:spacing w:val="-18"/>
          <w:w w:val="105"/>
        </w:rPr>
        <w:t> </w:t>
      </w:r>
      <w:r>
        <w:rPr>
          <w:color w:val="231F20"/>
          <w:w w:val="105"/>
        </w:rPr>
        <w:t>to</w:t>
      </w:r>
      <w:r>
        <w:rPr>
          <w:color w:val="231F20"/>
          <w:spacing w:val="-17"/>
          <w:w w:val="105"/>
        </w:rPr>
        <w:t> </w:t>
      </w:r>
      <w:r>
        <w:rPr>
          <w:color w:val="231F20"/>
          <w:w w:val="105"/>
        </w:rPr>
        <w:t>match</w:t>
      </w:r>
      <w:r>
        <w:rPr>
          <w:color w:val="231F20"/>
          <w:spacing w:val="-18"/>
          <w:w w:val="105"/>
        </w:rPr>
        <w:t> </w:t>
      </w:r>
      <w:r>
        <w:rPr>
          <w:color w:val="231F20"/>
          <w:w w:val="105"/>
        </w:rPr>
        <w:t>precisely</w:t>
      </w:r>
      <w:r>
        <w:rPr>
          <w:color w:val="231F20"/>
          <w:spacing w:val="-17"/>
          <w:w w:val="105"/>
        </w:rPr>
        <w:t> </w:t>
      </w:r>
      <w:r>
        <w:rPr>
          <w:color w:val="231F20"/>
          <w:w w:val="105"/>
        </w:rPr>
        <w:t>the</w:t>
      </w:r>
      <w:r>
        <w:rPr>
          <w:color w:val="231F20"/>
          <w:spacing w:val="-18"/>
          <w:w w:val="105"/>
        </w:rPr>
        <w:t> </w:t>
      </w:r>
      <w:r>
        <w:rPr>
          <w:color w:val="231F20"/>
          <w:w w:val="105"/>
        </w:rPr>
        <w:t>intake</w:t>
      </w:r>
      <w:r>
        <w:rPr>
          <w:color w:val="231F20"/>
          <w:spacing w:val="-17"/>
          <w:w w:val="105"/>
        </w:rPr>
        <w:t> </w:t>
      </w:r>
      <w:r>
        <w:rPr>
          <w:color w:val="231F20"/>
          <w:w w:val="105"/>
        </w:rPr>
        <w:t>of</w:t>
      </w:r>
      <w:r>
        <w:rPr>
          <w:color w:val="231F20"/>
          <w:spacing w:val="-18"/>
          <w:w w:val="105"/>
        </w:rPr>
        <w:t> </w:t>
      </w:r>
      <w:r>
        <w:rPr>
          <w:color w:val="231F20"/>
          <w:w w:val="105"/>
        </w:rPr>
        <w:t>these</w:t>
      </w:r>
      <w:r>
        <w:rPr>
          <w:color w:val="231F20"/>
          <w:spacing w:val="-17"/>
          <w:w w:val="105"/>
        </w:rPr>
        <w:t> </w:t>
      </w:r>
      <w:r>
        <w:rPr>
          <w:color w:val="231F20"/>
          <w:w w:val="105"/>
        </w:rPr>
        <w:t>substances, as well as compensating for excessive losses of fluids and electrolytes that occur in certain disease states. In Chapters</w:t>
      </w:r>
      <w:r>
        <w:rPr>
          <w:color w:val="231F20"/>
          <w:spacing w:val="-9"/>
          <w:w w:val="105"/>
        </w:rPr>
        <w:t> </w:t>
      </w:r>
      <w:r>
        <w:rPr>
          <w:color w:val="231F20"/>
          <w:w w:val="105"/>
        </w:rPr>
        <w:t>26</w:t>
      </w:r>
      <w:r>
        <w:rPr>
          <w:color w:val="231F20"/>
          <w:spacing w:val="-9"/>
          <w:w w:val="105"/>
        </w:rPr>
        <w:t> </w:t>
      </w:r>
      <w:r>
        <w:rPr>
          <w:color w:val="231F20"/>
          <w:w w:val="105"/>
        </w:rPr>
        <w:t>through</w:t>
      </w:r>
      <w:r>
        <w:rPr>
          <w:color w:val="231F20"/>
          <w:spacing w:val="-9"/>
          <w:w w:val="105"/>
        </w:rPr>
        <w:t> </w:t>
      </w:r>
      <w:r>
        <w:rPr>
          <w:color w:val="231F20"/>
          <w:w w:val="105"/>
        </w:rPr>
        <w:t>31,</w:t>
      </w:r>
      <w:r>
        <w:rPr>
          <w:color w:val="231F20"/>
          <w:spacing w:val="-8"/>
          <w:w w:val="105"/>
        </w:rPr>
        <w:t> </w:t>
      </w:r>
      <w:r>
        <w:rPr>
          <w:color w:val="231F20"/>
          <w:w w:val="105"/>
        </w:rPr>
        <w:t>we</w:t>
      </w:r>
      <w:r>
        <w:rPr>
          <w:color w:val="231F20"/>
          <w:spacing w:val="-9"/>
          <w:w w:val="105"/>
        </w:rPr>
        <w:t> </w:t>
      </w:r>
      <w:r>
        <w:rPr>
          <w:color w:val="231F20"/>
          <w:w w:val="105"/>
        </w:rPr>
        <w:t>discuss</w:t>
      </w:r>
      <w:r>
        <w:rPr>
          <w:color w:val="231F20"/>
          <w:spacing w:val="-9"/>
          <w:w w:val="105"/>
        </w:rPr>
        <w:t> </w:t>
      </w:r>
      <w:r>
        <w:rPr>
          <w:color w:val="231F20"/>
          <w:w w:val="105"/>
        </w:rPr>
        <w:t>the</w:t>
      </w:r>
      <w:r>
        <w:rPr>
          <w:color w:val="231F20"/>
          <w:spacing w:val="-8"/>
          <w:w w:val="105"/>
        </w:rPr>
        <w:t> </w:t>
      </w:r>
      <w:r>
        <w:rPr>
          <w:color w:val="231F20"/>
          <w:w w:val="105"/>
        </w:rPr>
        <w:t>mechanisms</w:t>
      </w:r>
      <w:r>
        <w:rPr>
          <w:color w:val="231F20"/>
          <w:spacing w:val="-9"/>
          <w:w w:val="105"/>
        </w:rPr>
        <w:t> </w:t>
      </w:r>
      <w:r>
        <w:rPr>
          <w:color w:val="231F20"/>
          <w:spacing w:val="-5"/>
          <w:w w:val="105"/>
        </w:rPr>
        <w:t>that </w:t>
      </w:r>
      <w:r>
        <w:rPr>
          <w:color w:val="231F20"/>
          <w:w w:val="105"/>
        </w:rPr>
        <w:t>allow the kidneys to perform these remarkable</w:t>
      </w:r>
      <w:r>
        <w:rPr>
          <w:color w:val="231F20"/>
          <w:spacing w:val="-29"/>
          <w:w w:val="105"/>
        </w:rPr>
        <w:t> </w:t>
      </w:r>
      <w:r>
        <w:rPr>
          <w:color w:val="231F20"/>
          <w:w w:val="105"/>
        </w:rPr>
        <w:t>tasks.</w:t>
      </w:r>
    </w:p>
    <w:p>
      <w:pPr>
        <w:pStyle w:val="BodyText"/>
        <w:spacing w:before="4"/>
        <w:rPr>
          <w:sz w:val="25"/>
        </w:rPr>
      </w:pPr>
      <w:r>
        <w:rPr/>
        <w:pict>
          <v:shape style="position:absolute;margin-left:54pt;margin-top:15.799176pt;width:234pt;height:16pt;mso-position-horizontal-relative:page;mso-position-vertical-relative:paragraph;z-index:-251649024;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BODY FLUID COMPARTMENTS</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spacing w:line="249" w:lineRule="auto" w:before="58"/>
        <w:ind w:left="1080" w:right="0" w:firstLine="0"/>
        <w:jc w:val="both"/>
        <w:rPr>
          <w:i/>
          <w:sz w:val="20"/>
        </w:rPr>
      </w:pPr>
      <w:r>
        <w:rPr>
          <w:color w:val="231F20"/>
          <w:w w:val="105"/>
          <w:sz w:val="20"/>
        </w:rPr>
        <w:t>The total body fluid is distributed mainly between two compartments:</w:t>
      </w:r>
      <w:r>
        <w:rPr>
          <w:color w:val="231F20"/>
          <w:spacing w:val="-11"/>
          <w:w w:val="105"/>
          <w:sz w:val="20"/>
        </w:rPr>
        <w:t> </w:t>
      </w:r>
      <w:r>
        <w:rPr>
          <w:color w:val="231F20"/>
          <w:w w:val="105"/>
          <w:sz w:val="20"/>
        </w:rPr>
        <w:t>the</w:t>
      </w:r>
      <w:r>
        <w:rPr>
          <w:color w:val="231F20"/>
          <w:spacing w:val="-11"/>
          <w:w w:val="105"/>
          <w:sz w:val="20"/>
        </w:rPr>
        <w:t> </w:t>
      </w:r>
      <w:r>
        <w:rPr>
          <w:i/>
          <w:color w:val="231F20"/>
          <w:w w:val="105"/>
          <w:sz w:val="20"/>
        </w:rPr>
        <w:t>extracellular</w:t>
      </w:r>
      <w:r>
        <w:rPr>
          <w:i/>
          <w:color w:val="231F20"/>
          <w:spacing w:val="-11"/>
          <w:w w:val="105"/>
          <w:sz w:val="20"/>
        </w:rPr>
        <w:t> </w:t>
      </w:r>
      <w:r>
        <w:rPr>
          <w:i/>
          <w:color w:val="231F20"/>
          <w:w w:val="105"/>
          <w:sz w:val="20"/>
        </w:rPr>
        <w:t>fluid</w:t>
      </w:r>
      <w:r>
        <w:rPr>
          <w:i/>
          <w:color w:val="231F20"/>
          <w:spacing w:val="-11"/>
          <w:w w:val="105"/>
          <w:sz w:val="20"/>
        </w:rPr>
        <w:t> </w:t>
      </w:r>
      <w:r>
        <w:rPr>
          <w:color w:val="231F20"/>
          <w:w w:val="105"/>
          <w:sz w:val="20"/>
        </w:rPr>
        <w:t>and</w:t>
      </w:r>
      <w:r>
        <w:rPr>
          <w:color w:val="231F20"/>
          <w:spacing w:val="-10"/>
          <w:w w:val="105"/>
          <w:sz w:val="20"/>
        </w:rPr>
        <w:t> </w:t>
      </w:r>
      <w:r>
        <w:rPr>
          <w:color w:val="231F20"/>
          <w:w w:val="105"/>
          <w:sz w:val="20"/>
        </w:rPr>
        <w:t>the</w:t>
      </w:r>
      <w:r>
        <w:rPr>
          <w:color w:val="231F20"/>
          <w:spacing w:val="-11"/>
          <w:w w:val="105"/>
          <w:sz w:val="20"/>
        </w:rPr>
        <w:t> </w:t>
      </w:r>
      <w:r>
        <w:rPr>
          <w:i/>
          <w:color w:val="231F20"/>
          <w:w w:val="105"/>
          <w:sz w:val="20"/>
        </w:rPr>
        <w:t>intracellu- </w:t>
      </w:r>
      <w:r>
        <w:rPr>
          <w:i/>
          <w:color w:val="231F20"/>
          <w:w w:val="105"/>
          <w:sz w:val="20"/>
        </w:rPr>
        <w:t>lar</w:t>
      </w:r>
      <w:r>
        <w:rPr>
          <w:i/>
          <w:color w:val="231F20"/>
          <w:spacing w:val="-12"/>
          <w:w w:val="105"/>
          <w:sz w:val="20"/>
        </w:rPr>
        <w:t> </w:t>
      </w:r>
      <w:r>
        <w:rPr>
          <w:i/>
          <w:color w:val="231F20"/>
          <w:w w:val="105"/>
          <w:sz w:val="20"/>
        </w:rPr>
        <w:t>fluid</w:t>
      </w:r>
      <w:r>
        <w:rPr>
          <w:i/>
          <w:color w:val="231F20"/>
          <w:spacing w:val="-12"/>
          <w:w w:val="105"/>
          <w:sz w:val="20"/>
        </w:rPr>
        <w:t> </w:t>
      </w:r>
      <w:r>
        <w:rPr>
          <w:color w:val="231F20"/>
          <w:w w:val="105"/>
          <w:sz w:val="20"/>
        </w:rPr>
        <w:t>(</w:t>
      </w:r>
      <w:hyperlink w:history="true" w:anchor="_bookmark1">
        <w:r>
          <w:rPr>
            <w:b/>
            <w:color w:val="0080AC"/>
            <w:w w:val="105"/>
            <w:sz w:val="20"/>
          </w:rPr>
          <w:t>Figure</w:t>
        </w:r>
        <w:r>
          <w:rPr>
            <w:b/>
            <w:color w:val="0080AC"/>
            <w:spacing w:val="-14"/>
            <w:w w:val="105"/>
            <w:sz w:val="20"/>
          </w:rPr>
          <w:t> </w:t>
        </w:r>
        <w:r>
          <w:rPr>
            <w:b/>
            <w:color w:val="0080AC"/>
            <w:w w:val="105"/>
            <w:sz w:val="20"/>
          </w:rPr>
          <w:t>25-1</w:t>
        </w:r>
      </w:hyperlink>
      <w:r>
        <w:rPr>
          <w:color w:val="231F20"/>
          <w:w w:val="105"/>
          <w:sz w:val="20"/>
        </w:rPr>
        <w:t>).</w:t>
      </w:r>
      <w:r>
        <w:rPr>
          <w:color w:val="231F20"/>
          <w:spacing w:val="-12"/>
          <w:w w:val="105"/>
          <w:sz w:val="20"/>
        </w:rPr>
        <w:t> </w:t>
      </w:r>
      <w:r>
        <w:rPr>
          <w:color w:val="231F20"/>
          <w:w w:val="105"/>
          <w:sz w:val="20"/>
        </w:rPr>
        <w:t>The</w:t>
      </w:r>
      <w:r>
        <w:rPr>
          <w:color w:val="231F20"/>
          <w:spacing w:val="-12"/>
          <w:w w:val="105"/>
          <w:sz w:val="20"/>
        </w:rPr>
        <w:t> </w:t>
      </w:r>
      <w:r>
        <w:rPr>
          <w:color w:val="231F20"/>
          <w:w w:val="105"/>
          <w:sz w:val="20"/>
        </w:rPr>
        <w:t>extracellular</w:t>
      </w:r>
      <w:r>
        <w:rPr>
          <w:color w:val="231F20"/>
          <w:spacing w:val="-12"/>
          <w:w w:val="105"/>
          <w:sz w:val="20"/>
        </w:rPr>
        <w:t> </w:t>
      </w:r>
      <w:r>
        <w:rPr>
          <w:color w:val="231F20"/>
          <w:w w:val="105"/>
          <w:sz w:val="20"/>
        </w:rPr>
        <w:t>fluid</w:t>
      </w:r>
      <w:r>
        <w:rPr>
          <w:color w:val="231F20"/>
          <w:spacing w:val="-12"/>
          <w:w w:val="105"/>
          <w:sz w:val="20"/>
        </w:rPr>
        <w:t> </w:t>
      </w:r>
      <w:r>
        <w:rPr>
          <w:color w:val="231F20"/>
          <w:w w:val="105"/>
          <w:sz w:val="20"/>
        </w:rPr>
        <w:t>is</w:t>
      </w:r>
      <w:r>
        <w:rPr>
          <w:color w:val="231F20"/>
          <w:spacing w:val="-11"/>
          <w:w w:val="105"/>
          <w:sz w:val="20"/>
        </w:rPr>
        <w:t> </w:t>
      </w:r>
      <w:r>
        <w:rPr>
          <w:color w:val="231F20"/>
          <w:w w:val="105"/>
          <w:sz w:val="20"/>
        </w:rPr>
        <w:t>divided into the </w:t>
      </w:r>
      <w:r>
        <w:rPr>
          <w:i/>
          <w:color w:val="231F20"/>
          <w:w w:val="105"/>
          <w:sz w:val="20"/>
        </w:rPr>
        <w:t>interstitial fluid </w:t>
      </w:r>
      <w:r>
        <w:rPr>
          <w:color w:val="231F20"/>
          <w:w w:val="105"/>
          <w:sz w:val="20"/>
        </w:rPr>
        <w:t>and the blood</w:t>
      </w:r>
      <w:r>
        <w:rPr>
          <w:color w:val="231F20"/>
          <w:spacing w:val="13"/>
          <w:w w:val="105"/>
          <w:sz w:val="20"/>
        </w:rPr>
        <w:t> </w:t>
      </w:r>
      <w:r>
        <w:rPr>
          <w:i/>
          <w:color w:val="231F20"/>
          <w:w w:val="105"/>
          <w:sz w:val="20"/>
        </w:rPr>
        <w:t>plasma.</w:t>
      </w:r>
    </w:p>
    <w:p>
      <w:pPr>
        <w:pStyle w:val="BodyText"/>
        <w:spacing w:line="249" w:lineRule="auto" w:before="3"/>
        <w:ind w:left="1079" w:firstLine="240"/>
        <w:jc w:val="both"/>
      </w:pPr>
      <w:r>
        <w:rPr>
          <w:color w:val="231F20"/>
          <w:w w:val="105"/>
        </w:rPr>
        <w:t>There is another small  compartment  of  fluid  </w:t>
      </w:r>
      <w:r>
        <w:rPr>
          <w:color w:val="231F20"/>
          <w:spacing w:val="-4"/>
          <w:w w:val="105"/>
        </w:rPr>
        <w:t>that </w:t>
      </w:r>
      <w:r>
        <w:rPr>
          <w:color w:val="231F20"/>
          <w:w w:val="105"/>
        </w:rPr>
        <w:t>is referred to as </w:t>
      </w:r>
      <w:r>
        <w:rPr>
          <w:i/>
          <w:color w:val="231F20"/>
          <w:w w:val="105"/>
        </w:rPr>
        <w:t>transcellular fluid. </w:t>
      </w:r>
      <w:r>
        <w:rPr>
          <w:color w:val="231F20"/>
          <w:w w:val="105"/>
        </w:rPr>
        <w:t>This compartment includes</w:t>
      </w:r>
      <w:r>
        <w:rPr>
          <w:color w:val="231F20"/>
          <w:spacing w:val="-18"/>
          <w:w w:val="105"/>
        </w:rPr>
        <w:t> </w:t>
      </w:r>
      <w:r>
        <w:rPr>
          <w:color w:val="231F20"/>
          <w:w w:val="105"/>
        </w:rPr>
        <w:t>fluid</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synovial,</w:t>
      </w:r>
      <w:r>
        <w:rPr>
          <w:color w:val="231F20"/>
          <w:spacing w:val="-17"/>
          <w:w w:val="105"/>
        </w:rPr>
        <w:t> </w:t>
      </w:r>
      <w:r>
        <w:rPr>
          <w:color w:val="231F20"/>
          <w:w w:val="105"/>
        </w:rPr>
        <w:t>peritoneal,</w:t>
      </w:r>
      <w:r>
        <w:rPr>
          <w:color w:val="231F20"/>
          <w:spacing w:val="-17"/>
          <w:w w:val="105"/>
        </w:rPr>
        <w:t> </w:t>
      </w:r>
      <w:r>
        <w:rPr>
          <w:color w:val="231F20"/>
          <w:w w:val="105"/>
        </w:rPr>
        <w:t>pericardial,</w:t>
      </w:r>
      <w:r>
        <w:rPr>
          <w:color w:val="231F20"/>
          <w:spacing w:val="-17"/>
          <w:w w:val="105"/>
        </w:rPr>
        <w:t> </w:t>
      </w:r>
      <w:r>
        <w:rPr>
          <w:color w:val="231F20"/>
          <w:w w:val="105"/>
        </w:rPr>
        <w:t>and intraocular spaces, as well as the cerebrospinal fluid; </w:t>
      </w:r>
      <w:r>
        <w:rPr>
          <w:color w:val="231F20"/>
          <w:spacing w:val="-7"/>
          <w:w w:val="105"/>
        </w:rPr>
        <w:t>it </w:t>
      </w:r>
      <w:r>
        <w:rPr>
          <w:color w:val="231F20"/>
          <w:w w:val="105"/>
        </w:rPr>
        <w:t>is</w:t>
      </w:r>
      <w:r>
        <w:rPr>
          <w:color w:val="231F20"/>
          <w:spacing w:val="-13"/>
          <w:w w:val="105"/>
        </w:rPr>
        <w:t> </w:t>
      </w:r>
      <w:r>
        <w:rPr>
          <w:color w:val="231F20"/>
          <w:w w:val="105"/>
        </w:rPr>
        <w:t>usually</w:t>
      </w:r>
      <w:r>
        <w:rPr>
          <w:color w:val="231F20"/>
          <w:spacing w:val="-13"/>
          <w:w w:val="105"/>
        </w:rPr>
        <w:t> </w:t>
      </w:r>
      <w:r>
        <w:rPr>
          <w:color w:val="231F20"/>
          <w:w w:val="105"/>
        </w:rPr>
        <w:t>considered</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a</w:t>
      </w:r>
      <w:r>
        <w:rPr>
          <w:color w:val="231F20"/>
          <w:spacing w:val="-13"/>
          <w:w w:val="105"/>
        </w:rPr>
        <w:t> </w:t>
      </w:r>
      <w:r>
        <w:rPr>
          <w:color w:val="231F20"/>
          <w:w w:val="105"/>
        </w:rPr>
        <w:t>specialized</w:t>
      </w:r>
      <w:r>
        <w:rPr>
          <w:color w:val="231F20"/>
          <w:spacing w:val="-13"/>
          <w:w w:val="105"/>
        </w:rPr>
        <w:t> </w:t>
      </w:r>
      <w:r>
        <w:rPr>
          <w:color w:val="231F20"/>
          <w:w w:val="105"/>
        </w:rPr>
        <w:t>type</w:t>
      </w:r>
      <w:r>
        <w:rPr>
          <w:color w:val="231F20"/>
          <w:spacing w:val="-13"/>
          <w:w w:val="105"/>
        </w:rPr>
        <w:t> </w:t>
      </w:r>
      <w:r>
        <w:rPr>
          <w:color w:val="231F20"/>
          <w:w w:val="105"/>
        </w:rPr>
        <w:t>of</w:t>
      </w:r>
      <w:r>
        <w:rPr>
          <w:color w:val="231F20"/>
          <w:spacing w:val="-13"/>
          <w:w w:val="105"/>
        </w:rPr>
        <w:t> </w:t>
      </w:r>
      <w:r>
        <w:rPr>
          <w:color w:val="231F20"/>
          <w:w w:val="105"/>
        </w:rPr>
        <w:t>extracel­ lular fluid, although in some cases its composition </w:t>
      </w:r>
      <w:r>
        <w:rPr>
          <w:color w:val="231F20"/>
          <w:spacing w:val="-6"/>
          <w:w w:val="105"/>
        </w:rPr>
        <w:t>may </w:t>
      </w:r>
      <w:r>
        <w:rPr>
          <w:color w:val="231F20"/>
          <w:w w:val="105"/>
        </w:rPr>
        <w:t>differ markedly from that of the plasma or interstitial fluid.</w:t>
      </w:r>
      <w:r>
        <w:rPr>
          <w:color w:val="231F20"/>
          <w:spacing w:val="-23"/>
          <w:w w:val="105"/>
        </w:rPr>
        <w:t> </w:t>
      </w:r>
      <w:r>
        <w:rPr>
          <w:color w:val="231F20"/>
          <w:w w:val="105"/>
        </w:rPr>
        <w:t>All</w:t>
      </w:r>
      <w:r>
        <w:rPr>
          <w:color w:val="231F20"/>
          <w:spacing w:val="-22"/>
          <w:w w:val="105"/>
        </w:rPr>
        <w:t> </w:t>
      </w:r>
      <w:r>
        <w:rPr>
          <w:color w:val="231F20"/>
          <w:w w:val="105"/>
        </w:rPr>
        <w:t>the</w:t>
      </w:r>
      <w:r>
        <w:rPr>
          <w:color w:val="231F20"/>
          <w:spacing w:val="-22"/>
          <w:w w:val="105"/>
        </w:rPr>
        <w:t> </w:t>
      </w:r>
      <w:r>
        <w:rPr>
          <w:color w:val="231F20"/>
          <w:w w:val="105"/>
        </w:rPr>
        <w:t>transcellular</w:t>
      </w:r>
      <w:r>
        <w:rPr>
          <w:color w:val="231F20"/>
          <w:spacing w:val="-22"/>
          <w:w w:val="105"/>
        </w:rPr>
        <w:t> </w:t>
      </w:r>
      <w:r>
        <w:rPr>
          <w:color w:val="231F20"/>
          <w:w w:val="105"/>
        </w:rPr>
        <w:t>fluids</w:t>
      </w:r>
      <w:r>
        <w:rPr>
          <w:color w:val="231F20"/>
          <w:spacing w:val="-22"/>
          <w:w w:val="105"/>
        </w:rPr>
        <w:t> </w:t>
      </w:r>
      <w:r>
        <w:rPr>
          <w:color w:val="231F20"/>
          <w:w w:val="105"/>
        </w:rPr>
        <w:t>together</w:t>
      </w:r>
      <w:r>
        <w:rPr>
          <w:color w:val="231F20"/>
          <w:spacing w:val="-22"/>
          <w:w w:val="105"/>
        </w:rPr>
        <w:t> </w:t>
      </w:r>
      <w:r>
        <w:rPr>
          <w:color w:val="231F20"/>
          <w:w w:val="105"/>
        </w:rPr>
        <w:t>constitute</w:t>
      </w:r>
      <w:r>
        <w:rPr>
          <w:color w:val="231F20"/>
          <w:spacing w:val="-22"/>
          <w:w w:val="105"/>
        </w:rPr>
        <w:t> </w:t>
      </w:r>
      <w:r>
        <w:rPr>
          <w:color w:val="231F20"/>
          <w:w w:val="105"/>
        </w:rPr>
        <w:t>about 1 to 2</w:t>
      </w:r>
      <w:r>
        <w:rPr>
          <w:color w:val="231F20"/>
          <w:spacing w:val="9"/>
          <w:w w:val="105"/>
        </w:rPr>
        <w:t> </w:t>
      </w:r>
      <w:r>
        <w:rPr>
          <w:color w:val="231F20"/>
          <w:w w:val="105"/>
        </w:rPr>
        <w:t>liters.</w:t>
      </w:r>
    </w:p>
    <w:p>
      <w:pPr>
        <w:pStyle w:val="BodyText"/>
        <w:spacing w:line="249" w:lineRule="auto" w:before="8"/>
        <w:ind w:left="1080" w:firstLine="240"/>
        <w:jc w:val="both"/>
      </w:pPr>
      <w:r>
        <w:rPr>
          <w:color w:val="231F20"/>
        </w:rPr>
        <w:t>In a 70­kilogram adult man, the total body water is about 60 percent of the body weight, or about 42 liters. This percentage depends on age, gender, and degree of</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3"/>
        <w:rPr>
          <w:sz w:val="17"/>
        </w:rPr>
      </w:pPr>
    </w:p>
    <w:p>
      <w:pPr>
        <w:spacing w:line="259" w:lineRule="auto" w:before="0"/>
        <w:ind w:left="319" w:right="1437" w:firstLine="0"/>
        <w:jc w:val="both"/>
        <w:rPr>
          <w:rFonts w:ascii="Arial"/>
          <w:sz w:val="16"/>
        </w:rPr>
      </w:pPr>
      <w:bookmarkStart w:name="_bookmark1" w:id="2"/>
      <w:bookmarkEnd w:id="2"/>
      <w:r>
        <w:rPr/>
      </w:r>
      <w:r>
        <w:rPr>
          <w:rFonts w:ascii="Trebuchet MS"/>
          <w:b/>
          <w:color w:val="231F20"/>
          <w:sz w:val="16"/>
        </w:rPr>
        <w:t>Figure</w:t>
      </w:r>
      <w:r>
        <w:rPr>
          <w:rFonts w:ascii="Trebuchet MS"/>
          <w:b/>
          <w:color w:val="231F20"/>
          <w:spacing w:val="-13"/>
          <w:sz w:val="16"/>
        </w:rPr>
        <w:t> </w:t>
      </w:r>
      <w:r>
        <w:rPr>
          <w:rFonts w:ascii="Trebuchet MS"/>
          <w:b/>
          <w:color w:val="231F20"/>
          <w:sz w:val="16"/>
        </w:rPr>
        <w:t>25-1.</w:t>
      </w:r>
      <w:r>
        <w:rPr>
          <w:rFonts w:ascii="Trebuchet MS"/>
          <w:b/>
          <w:color w:val="231F20"/>
          <w:spacing w:val="13"/>
          <w:sz w:val="16"/>
        </w:rPr>
        <w:t> </w:t>
      </w:r>
      <w:r>
        <w:rPr>
          <w:rFonts w:ascii="Arial"/>
          <w:color w:val="231F20"/>
          <w:sz w:val="16"/>
        </w:rPr>
        <w:t>Summary</w:t>
      </w:r>
      <w:r>
        <w:rPr>
          <w:rFonts w:ascii="Arial"/>
          <w:color w:val="231F20"/>
          <w:spacing w:val="-8"/>
          <w:sz w:val="16"/>
        </w:rPr>
        <w:t> </w:t>
      </w:r>
      <w:r>
        <w:rPr>
          <w:rFonts w:ascii="Arial"/>
          <w:color w:val="231F20"/>
          <w:sz w:val="16"/>
        </w:rPr>
        <w:t>of</w:t>
      </w:r>
      <w:r>
        <w:rPr>
          <w:rFonts w:ascii="Arial"/>
          <w:color w:val="231F20"/>
          <w:spacing w:val="-9"/>
          <w:sz w:val="16"/>
        </w:rPr>
        <w:t> </w:t>
      </w:r>
      <w:r>
        <w:rPr>
          <w:rFonts w:ascii="Arial"/>
          <w:color w:val="231F20"/>
          <w:sz w:val="16"/>
        </w:rPr>
        <w:t>body</w:t>
      </w:r>
      <w:r>
        <w:rPr>
          <w:rFonts w:ascii="Arial"/>
          <w:color w:val="231F20"/>
          <w:spacing w:val="-9"/>
          <w:sz w:val="16"/>
        </w:rPr>
        <w:t> </w:t>
      </w:r>
      <w:r>
        <w:rPr>
          <w:rFonts w:ascii="Arial"/>
          <w:color w:val="231F20"/>
          <w:sz w:val="16"/>
        </w:rPr>
        <w:t>fluid</w:t>
      </w:r>
      <w:r>
        <w:rPr>
          <w:rFonts w:ascii="Arial"/>
          <w:color w:val="231F20"/>
          <w:spacing w:val="-8"/>
          <w:sz w:val="16"/>
        </w:rPr>
        <w:t> </w:t>
      </w:r>
      <w:r>
        <w:rPr>
          <w:rFonts w:ascii="Arial"/>
          <w:color w:val="231F20"/>
          <w:sz w:val="16"/>
        </w:rPr>
        <w:t>regulation,</w:t>
      </w:r>
      <w:r>
        <w:rPr>
          <w:rFonts w:ascii="Arial"/>
          <w:color w:val="231F20"/>
          <w:spacing w:val="-9"/>
          <w:sz w:val="16"/>
        </w:rPr>
        <w:t> </w:t>
      </w:r>
      <w:r>
        <w:rPr>
          <w:rFonts w:ascii="Arial"/>
          <w:color w:val="231F20"/>
          <w:sz w:val="16"/>
        </w:rPr>
        <w:t>including</w:t>
      </w:r>
      <w:r>
        <w:rPr>
          <w:rFonts w:ascii="Arial"/>
          <w:color w:val="231F20"/>
          <w:spacing w:val="-8"/>
          <w:sz w:val="16"/>
        </w:rPr>
        <w:t> </w:t>
      </w:r>
      <w:r>
        <w:rPr>
          <w:rFonts w:ascii="Arial"/>
          <w:color w:val="231F20"/>
          <w:sz w:val="16"/>
        </w:rPr>
        <w:t>the</w:t>
      </w:r>
      <w:r>
        <w:rPr>
          <w:rFonts w:ascii="Arial"/>
          <w:color w:val="231F20"/>
          <w:spacing w:val="-9"/>
          <w:sz w:val="16"/>
        </w:rPr>
        <w:t> </w:t>
      </w:r>
      <w:r>
        <w:rPr>
          <w:rFonts w:ascii="Arial"/>
          <w:color w:val="231F20"/>
          <w:spacing w:val="-3"/>
          <w:sz w:val="16"/>
        </w:rPr>
        <w:t>major </w:t>
      </w:r>
      <w:r>
        <w:rPr>
          <w:rFonts w:ascii="Arial"/>
          <w:color w:val="231F20"/>
          <w:sz w:val="16"/>
        </w:rPr>
        <w:t>body fluid compartments and the membranes that separate </w:t>
      </w:r>
      <w:r>
        <w:rPr>
          <w:rFonts w:ascii="Arial"/>
          <w:color w:val="231F20"/>
          <w:spacing w:val="-3"/>
          <w:sz w:val="16"/>
        </w:rPr>
        <w:t>these </w:t>
      </w:r>
      <w:r>
        <w:rPr>
          <w:rFonts w:ascii="Arial"/>
          <w:color w:val="231F20"/>
          <w:sz w:val="16"/>
        </w:rPr>
        <w:t>compartments. The values shown are for an average 70-kilogram adult</w:t>
      </w:r>
      <w:r>
        <w:rPr>
          <w:rFonts w:ascii="Arial"/>
          <w:color w:val="231F20"/>
          <w:spacing w:val="7"/>
          <w:sz w:val="16"/>
        </w:rPr>
        <w:t> </w:t>
      </w:r>
      <w:r>
        <w:rPr>
          <w:rFonts w:ascii="Arial"/>
          <w:color w:val="231F20"/>
          <w:sz w:val="16"/>
        </w:rPr>
        <w:t>man.</w:t>
      </w:r>
    </w:p>
    <w:p>
      <w:pPr>
        <w:pStyle w:val="BodyText"/>
        <w:rPr>
          <w:rFonts w:ascii="Arial"/>
          <w:sz w:val="18"/>
        </w:rPr>
      </w:pPr>
    </w:p>
    <w:p>
      <w:pPr>
        <w:pStyle w:val="BodyText"/>
        <w:spacing w:before="11"/>
        <w:rPr>
          <w:rFonts w:ascii="Arial"/>
          <w:sz w:val="19"/>
        </w:rPr>
      </w:pPr>
    </w:p>
    <w:p>
      <w:pPr>
        <w:pStyle w:val="BodyText"/>
        <w:spacing w:line="249" w:lineRule="auto"/>
        <w:ind w:left="299" w:right="1437"/>
        <w:jc w:val="right"/>
      </w:pPr>
      <w:r>
        <w:rPr>
          <w:color w:val="231F20"/>
        </w:rPr>
        <w:t>obesity.</w:t>
      </w:r>
      <w:r>
        <w:rPr>
          <w:color w:val="231F20"/>
          <w:spacing w:val="20"/>
        </w:rPr>
        <w:t> </w:t>
      </w:r>
      <w:r>
        <w:rPr>
          <w:color w:val="231F20"/>
        </w:rPr>
        <w:t>As</w:t>
      </w:r>
      <w:r>
        <w:rPr>
          <w:color w:val="231F20"/>
          <w:spacing w:val="21"/>
        </w:rPr>
        <w:t> </w:t>
      </w:r>
      <w:r>
        <w:rPr>
          <w:color w:val="231F20"/>
        </w:rPr>
        <w:t>a</w:t>
      </w:r>
      <w:r>
        <w:rPr>
          <w:color w:val="231F20"/>
          <w:spacing w:val="20"/>
        </w:rPr>
        <w:t> </w:t>
      </w:r>
      <w:r>
        <w:rPr>
          <w:color w:val="231F20"/>
        </w:rPr>
        <w:t>person</w:t>
      </w:r>
      <w:r>
        <w:rPr>
          <w:color w:val="231F20"/>
          <w:spacing w:val="21"/>
        </w:rPr>
        <w:t> </w:t>
      </w:r>
      <w:r>
        <w:rPr>
          <w:color w:val="231F20"/>
        </w:rPr>
        <w:t>grows</w:t>
      </w:r>
      <w:r>
        <w:rPr>
          <w:color w:val="231F20"/>
          <w:spacing w:val="21"/>
        </w:rPr>
        <w:t> </w:t>
      </w:r>
      <w:r>
        <w:rPr>
          <w:color w:val="231F20"/>
          <w:spacing w:val="-3"/>
        </w:rPr>
        <w:t>older,</w:t>
      </w:r>
      <w:r>
        <w:rPr>
          <w:color w:val="231F20"/>
          <w:spacing w:val="20"/>
        </w:rPr>
        <w:t> </w:t>
      </w:r>
      <w:r>
        <w:rPr>
          <w:color w:val="231F20"/>
        </w:rPr>
        <w:t>the</w:t>
      </w:r>
      <w:r>
        <w:rPr>
          <w:color w:val="231F20"/>
          <w:spacing w:val="21"/>
        </w:rPr>
        <w:t> </w:t>
      </w:r>
      <w:r>
        <w:rPr>
          <w:color w:val="231F20"/>
        </w:rPr>
        <w:t>percentage</w:t>
      </w:r>
      <w:r>
        <w:rPr>
          <w:color w:val="231F20"/>
          <w:spacing w:val="20"/>
        </w:rPr>
        <w:t> </w:t>
      </w:r>
      <w:r>
        <w:rPr>
          <w:color w:val="231F20"/>
        </w:rPr>
        <w:t>of</w:t>
      </w:r>
      <w:r>
        <w:rPr>
          <w:color w:val="231F20"/>
          <w:spacing w:val="21"/>
        </w:rPr>
        <w:t> </w:t>
      </w:r>
      <w:r>
        <w:rPr>
          <w:color w:val="231F20"/>
        </w:rPr>
        <w:t>total</w:t>
      </w:r>
      <w:r>
        <w:rPr>
          <w:color w:val="231F20"/>
          <w:w w:val="96"/>
        </w:rPr>
        <w:t> </w:t>
      </w:r>
      <w:r>
        <w:rPr>
          <w:color w:val="231F20"/>
        </w:rPr>
        <w:t>body</w:t>
      </w:r>
      <w:r>
        <w:rPr>
          <w:color w:val="231F20"/>
          <w:spacing w:val="-13"/>
        </w:rPr>
        <w:t> </w:t>
      </w:r>
      <w:r>
        <w:rPr>
          <w:color w:val="231F20"/>
        </w:rPr>
        <w:t>weight</w:t>
      </w:r>
      <w:r>
        <w:rPr>
          <w:color w:val="231F20"/>
          <w:spacing w:val="-12"/>
        </w:rPr>
        <w:t> </w:t>
      </w:r>
      <w:r>
        <w:rPr>
          <w:color w:val="231F20"/>
        </w:rPr>
        <w:t>that</w:t>
      </w:r>
      <w:r>
        <w:rPr>
          <w:color w:val="231F20"/>
          <w:spacing w:val="-12"/>
        </w:rPr>
        <w:t> </w:t>
      </w:r>
      <w:r>
        <w:rPr>
          <w:color w:val="231F20"/>
        </w:rPr>
        <w:t>is</w:t>
      </w:r>
      <w:r>
        <w:rPr>
          <w:color w:val="231F20"/>
          <w:spacing w:val="-13"/>
        </w:rPr>
        <w:t> </w:t>
      </w:r>
      <w:r>
        <w:rPr>
          <w:color w:val="231F20"/>
        </w:rPr>
        <w:t>fluid</w:t>
      </w:r>
      <w:r>
        <w:rPr>
          <w:color w:val="231F20"/>
          <w:spacing w:val="-12"/>
        </w:rPr>
        <w:t> </w:t>
      </w:r>
      <w:r>
        <w:rPr>
          <w:color w:val="231F20"/>
        </w:rPr>
        <w:t>gradually</w:t>
      </w:r>
      <w:r>
        <w:rPr>
          <w:color w:val="231F20"/>
          <w:spacing w:val="-12"/>
        </w:rPr>
        <w:t> </w:t>
      </w:r>
      <w:r>
        <w:rPr>
          <w:color w:val="231F20"/>
        </w:rPr>
        <w:t>decreases.</w:t>
      </w:r>
      <w:r>
        <w:rPr>
          <w:color w:val="231F20"/>
          <w:spacing w:val="-12"/>
        </w:rPr>
        <w:t> </w:t>
      </w:r>
      <w:r>
        <w:rPr>
          <w:color w:val="231F20"/>
        </w:rPr>
        <w:t>This</w:t>
      </w:r>
      <w:r>
        <w:rPr>
          <w:color w:val="231F20"/>
          <w:spacing w:val="-13"/>
        </w:rPr>
        <w:t> </w:t>
      </w:r>
      <w:r>
        <w:rPr>
          <w:color w:val="231F20"/>
        </w:rPr>
        <w:t>decrease</w:t>
      </w:r>
      <w:r>
        <w:rPr>
          <w:color w:val="231F20"/>
          <w:w w:val="100"/>
        </w:rPr>
        <w:t> </w:t>
      </w:r>
      <w:r>
        <w:rPr>
          <w:color w:val="231F20"/>
        </w:rPr>
        <w:t>is</w:t>
      </w:r>
      <w:r>
        <w:rPr>
          <w:color w:val="231F20"/>
          <w:spacing w:val="22"/>
        </w:rPr>
        <w:t> </w:t>
      </w:r>
      <w:r>
        <w:rPr>
          <w:color w:val="231F20"/>
        </w:rPr>
        <w:t>due</w:t>
      </w:r>
      <w:r>
        <w:rPr>
          <w:color w:val="231F20"/>
          <w:spacing w:val="23"/>
        </w:rPr>
        <w:t> </w:t>
      </w:r>
      <w:r>
        <w:rPr>
          <w:color w:val="231F20"/>
        </w:rPr>
        <w:t>in</w:t>
      </w:r>
      <w:r>
        <w:rPr>
          <w:color w:val="231F20"/>
          <w:spacing w:val="23"/>
        </w:rPr>
        <w:t> </w:t>
      </w:r>
      <w:r>
        <w:rPr>
          <w:color w:val="231F20"/>
        </w:rPr>
        <w:t>part</w:t>
      </w:r>
      <w:r>
        <w:rPr>
          <w:color w:val="231F20"/>
          <w:spacing w:val="23"/>
        </w:rPr>
        <w:t> </w:t>
      </w:r>
      <w:r>
        <w:rPr>
          <w:color w:val="231F20"/>
        </w:rPr>
        <w:t>to</w:t>
      </w:r>
      <w:r>
        <w:rPr>
          <w:color w:val="231F20"/>
          <w:spacing w:val="23"/>
        </w:rPr>
        <w:t> </w:t>
      </w:r>
      <w:r>
        <w:rPr>
          <w:color w:val="231F20"/>
        </w:rPr>
        <w:t>the</w:t>
      </w:r>
      <w:r>
        <w:rPr>
          <w:color w:val="231F20"/>
          <w:spacing w:val="22"/>
        </w:rPr>
        <w:t> </w:t>
      </w:r>
      <w:r>
        <w:rPr>
          <w:color w:val="231F20"/>
        </w:rPr>
        <w:t>fact</w:t>
      </w:r>
      <w:r>
        <w:rPr>
          <w:color w:val="231F20"/>
          <w:spacing w:val="23"/>
        </w:rPr>
        <w:t> </w:t>
      </w:r>
      <w:r>
        <w:rPr>
          <w:color w:val="231F20"/>
        </w:rPr>
        <w:t>that</w:t>
      </w:r>
      <w:r>
        <w:rPr>
          <w:color w:val="231F20"/>
          <w:spacing w:val="23"/>
        </w:rPr>
        <w:t> </w:t>
      </w:r>
      <w:r>
        <w:rPr>
          <w:color w:val="231F20"/>
        </w:rPr>
        <w:t>aging</w:t>
      </w:r>
      <w:r>
        <w:rPr>
          <w:color w:val="231F20"/>
          <w:spacing w:val="23"/>
        </w:rPr>
        <w:t> </w:t>
      </w:r>
      <w:r>
        <w:rPr>
          <w:color w:val="231F20"/>
        </w:rPr>
        <w:t>is</w:t>
      </w:r>
      <w:r>
        <w:rPr>
          <w:color w:val="231F20"/>
          <w:spacing w:val="23"/>
        </w:rPr>
        <w:t> </w:t>
      </w:r>
      <w:r>
        <w:rPr>
          <w:color w:val="231F20"/>
        </w:rPr>
        <w:t>usually</w:t>
      </w:r>
      <w:r>
        <w:rPr>
          <w:color w:val="231F20"/>
          <w:spacing w:val="23"/>
        </w:rPr>
        <w:t> </w:t>
      </w:r>
      <w:r>
        <w:rPr>
          <w:color w:val="231F20"/>
        </w:rPr>
        <w:t>associated</w:t>
      </w:r>
      <w:r>
        <w:rPr>
          <w:color w:val="231F20"/>
          <w:w w:val="105"/>
        </w:rPr>
        <w:t> </w:t>
      </w:r>
      <w:r>
        <w:rPr>
          <w:color w:val="231F20"/>
        </w:rPr>
        <w:t>with</w:t>
      </w:r>
      <w:r>
        <w:rPr>
          <w:color w:val="231F20"/>
          <w:spacing w:val="38"/>
        </w:rPr>
        <w:t> </w:t>
      </w:r>
      <w:r>
        <w:rPr>
          <w:color w:val="231F20"/>
        </w:rPr>
        <w:t>an</w:t>
      </w:r>
      <w:r>
        <w:rPr>
          <w:color w:val="231F20"/>
          <w:spacing w:val="39"/>
        </w:rPr>
        <w:t> </w:t>
      </w:r>
      <w:r>
        <w:rPr>
          <w:color w:val="231F20"/>
        </w:rPr>
        <w:t>increased</w:t>
      </w:r>
      <w:r>
        <w:rPr>
          <w:color w:val="231F20"/>
          <w:spacing w:val="38"/>
        </w:rPr>
        <w:t> </w:t>
      </w:r>
      <w:r>
        <w:rPr>
          <w:color w:val="231F20"/>
        </w:rPr>
        <w:t>percentage</w:t>
      </w:r>
      <w:r>
        <w:rPr>
          <w:color w:val="231F20"/>
          <w:spacing w:val="39"/>
        </w:rPr>
        <w:t> </w:t>
      </w:r>
      <w:r>
        <w:rPr>
          <w:color w:val="231F20"/>
        </w:rPr>
        <w:t>of</w:t>
      </w:r>
      <w:r>
        <w:rPr>
          <w:color w:val="231F20"/>
          <w:spacing w:val="38"/>
        </w:rPr>
        <w:t> </w:t>
      </w:r>
      <w:r>
        <w:rPr>
          <w:color w:val="231F20"/>
        </w:rPr>
        <w:t>the</w:t>
      </w:r>
      <w:r>
        <w:rPr>
          <w:color w:val="231F20"/>
          <w:spacing w:val="39"/>
        </w:rPr>
        <w:t> </w:t>
      </w:r>
      <w:r>
        <w:rPr>
          <w:color w:val="231F20"/>
        </w:rPr>
        <w:t>body</w:t>
      </w:r>
      <w:r>
        <w:rPr>
          <w:color w:val="231F20"/>
          <w:spacing w:val="38"/>
        </w:rPr>
        <w:t> </w:t>
      </w:r>
      <w:r>
        <w:rPr>
          <w:color w:val="231F20"/>
        </w:rPr>
        <w:t>weight</w:t>
      </w:r>
      <w:r>
        <w:rPr>
          <w:color w:val="231F20"/>
          <w:spacing w:val="39"/>
        </w:rPr>
        <w:t> </w:t>
      </w:r>
      <w:r>
        <w:rPr>
          <w:color w:val="231F20"/>
        </w:rPr>
        <w:t>being</w:t>
      </w:r>
      <w:r>
        <w:rPr>
          <w:color w:val="231F20"/>
          <w:w w:val="100"/>
        </w:rPr>
        <w:t> </w:t>
      </w:r>
      <w:r>
        <w:rPr>
          <w:color w:val="231F20"/>
        </w:rPr>
        <w:t>fat,</w:t>
      </w:r>
      <w:r>
        <w:rPr>
          <w:color w:val="231F20"/>
          <w:spacing w:val="14"/>
        </w:rPr>
        <w:t> </w:t>
      </w:r>
      <w:r>
        <w:rPr>
          <w:color w:val="231F20"/>
        </w:rPr>
        <w:t>which</w:t>
      </w:r>
      <w:r>
        <w:rPr>
          <w:color w:val="231F20"/>
          <w:spacing w:val="15"/>
        </w:rPr>
        <w:t> </w:t>
      </w:r>
      <w:r>
        <w:rPr>
          <w:color w:val="231F20"/>
        </w:rPr>
        <w:t>decreases</w:t>
      </w:r>
      <w:r>
        <w:rPr>
          <w:color w:val="231F20"/>
          <w:spacing w:val="15"/>
        </w:rPr>
        <w:t> </w:t>
      </w:r>
      <w:r>
        <w:rPr>
          <w:color w:val="231F20"/>
        </w:rPr>
        <w:t>the</w:t>
      </w:r>
      <w:r>
        <w:rPr>
          <w:color w:val="231F20"/>
          <w:spacing w:val="15"/>
        </w:rPr>
        <w:t> </w:t>
      </w:r>
      <w:r>
        <w:rPr>
          <w:color w:val="231F20"/>
        </w:rPr>
        <w:t>percentage</w:t>
      </w:r>
      <w:r>
        <w:rPr>
          <w:color w:val="231F20"/>
          <w:spacing w:val="14"/>
        </w:rPr>
        <w:t> </w:t>
      </w:r>
      <w:r>
        <w:rPr>
          <w:color w:val="231F20"/>
        </w:rPr>
        <w:t>of</w:t>
      </w:r>
      <w:r>
        <w:rPr>
          <w:color w:val="231F20"/>
          <w:spacing w:val="15"/>
        </w:rPr>
        <w:t> </w:t>
      </w:r>
      <w:r>
        <w:rPr>
          <w:color w:val="231F20"/>
        </w:rPr>
        <w:t>water</w:t>
      </w:r>
      <w:r>
        <w:rPr>
          <w:color w:val="231F20"/>
          <w:spacing w:val="15"/>
        </w:rPr>
        <w:t> </w:t>
      </w:r>
      <w:r>
        <w:rPr>
          <w:color w:val="231F20"/>
        </w:rPr>
        <w:t>in</w:t>
      </w:r>
      <w:r>
        <w:rPr>
          <w:color w:val="231F20"/>
          <w:spacing w:val="15"/>
        </w:rPr>
        <w:t> </w:t>
      </w:r>
      <w:r>
        <w:rPr>
          <w:color w:val="231F20"/>
        </w:rPr>
        <w:t>the</w:t>
      </w:r>
      <w:r>
        <w:rPr>
          <w:color w:val="231F20"/>
          <w:spacing w:val="14"/>
        </w:rPr>
        <w:t> </w:t>
      </w:r>
      <w:r>
        <w:rPr>
          <w:color w:val="231F20"/>
        </w:rPr>
        <w:t>body.</w:t>
      </w:r>
    </w:p>
    <w:p>
      <w:pPr>
        <w:pStyle w:val="BodyText"/>
        <w:spacing w:line="249" w:lineRule="auto" w:before="4"/>
        <w:ind w:left="319" w:right="1437" w:firstLine="240"/>
        <w:jc w:val="both"/>
      </w:pPr>
      <w:r>
        <w:rPr>
          <w:color w:val="231F20"/>
          <w:w w:val="105"/>
        </w:rPr>
        <w:t>Because women normally have a greater percentage of body fat compared with men, their total body water averages</w:t>
      </w:r>
      <w:r>
        <w:rPr>
          <w:color w:val="231F20"/>
          <w:spacing w:val="-7"/>
          <w:w w:val="105"/>
        </w:rPr>
        <w:t> </w:t>
      </w:r>
      <w:r>
        <w:rPr>
          <w:color w:val="231F20"/>
          <w:w w:val="105"/>
        </w:rPr>
        <w:t>about</w:t>
      </w:r>
      <w:r>
        <w:rPr>
          <w:color w:val="231F20"/>
          <w:spacing w:val="-7"/>
          <w:w w:val="105"/>
        </w:rPr>
        <w:t> </w:t>
      </w:r>
      <w:r>
        <w:rPr>
          <w:color w:val="231F20"/>
          <w:w w:val="105"/>
        </w:rPr>
        <w:t>50</w:t>
      </w:r>
      <w:r>
        <w:rPr>
          <w:color w:val="231F20"/>
          <w:spacing w:val="-7"/>
          <w:w w:val="105"/>
        </w:rPr>
        <w:t> </w:t>
      </w:r>
      <w:r>
        <w:rPr>
          <w:color w:val="231F20"/>
          <w:w w:val="105"/>
        </w:rPr>
        <w:t>percent</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body</w:t>
      </w:r>
      <w:r>
        <w:rPr>
          <w:color w:val="231F20"/>
          <w:spacing w:val="-6"/>
          <w:w w:val="105"/>
        </w:rPr>
        <w:t> </w:t>
      </w:r>
      <w:r>
        <w:rPr>
          <w:color w:val="231F20"/>
          <w:w w:val="105"/>
        </w:rPr>
        <w:t>weight.</w:t>
      </w:r>
      <w:r>
        <w:rPr>
          <w:color w:val="231F20"/>
          <w:spacing w:val="-7"/>
          <w:w w:val="105"/>
        </w:rPr>
        <w:t> </w:t>
      </w:r>
      <w:r>
        <w:rPr>
          <w:color w:val="231F20"/>
          <w:w w:val="105"/>
        </w:rPr>
        <w:t>In</w:t>
      </w:r>
      <w:r>
        <w:rPr>
          <w:color w:val="231F20"/>
          <w:spacing w:val="-7"/>
          <w:w w:val="105"/>
        </w:rPr>
        <w:t> </w:t>
      </w:r>
      <w:r>
        <w:rPr>
          <w:color w:val="231F20"/>
          <w:spacing w:val="-3"/>
          <w:w w:val="105"/>
        </w:rPr>
        <w:t>prema­ </w:t>
      </w:r>
      <w:r>
        <w:rPr>
          <w:color w:val="231F20"/>
          <w:w w:val="105"/>
        </w:rPr>
        <w:t>ture and newborn babies, the total body water ranges from 70 to 75 percent of body weight. Therefore, when discussing</w:t>
      </w:r>
      <w:r>
        <w:rPr>
          <w:color w:val="231F20"/>
          <w:spacing w:val="-34"/>
          <w:w w:val="105"/>
        </w:rPr>
        <w:t> </w:t>
      </w:r>
      <w:r>
        <w:rPr>
          <w:color w:val="231F20"/>
          <w:w w:val="105"/>
        </w:rPr>
        <w:t>“average”</w:t>
      </w:r>
      <w:r>
        <w:rPr>
          <w:color w:val="231F20"/>
          <w:spacing w:val="-33"/>
          <w:w w:val="105"/>
        </w:rPr>
        <w:t> </w:t>
      </w:r>
      <w:r>
        <w:rPr>
          <w:color w:val="231F20"/>
          <w:w w:val="105"/>
        </w:rPr>
        <w:t>body</w:t>
      </w:r>
      <w:r>
        <w:rPr>
          <w:color w:val="231F20"/>
          <w:spacing w:val="-33"/>
          <w:w w:val="105"/>
        </w:rPr>
        <w:t> </w:t>
      </w:r>
      <w:r>
        <w:rPr>
          <w:color w:val="231F20"/>
          <w:w w:val="105"/>
        </w:rPr>
        <w:t>fluid</w:t>
      </w:r>
      <w:r>
        <w:rPr>
          <w:color w:val="231F20"/>
          <w:spacing w:val="-34"/>
          <w:w w:val="105"/>
        </w:rPr>
        <w:t> </w:t>
      </w:r>
      <w:r>
        <w:rPr>
          <w:color w:val="231F20"/>
          <w:w w:val="105"/>
        </w:rPr>
        <w:t>compartments,</w:t>
      </w:r>
      <w:r>
        <w:rPr>
          <w:color w:val="231F20"/>
          <w:spacing w:val="-33"/>
          <w:w w:val="105"/>
        </w:rPr>
        <w:t> </w:t>
      </w:r>
      <w:r>
        <w:rPr>
          <w:color w:val="231F20"/>
          <w:w w:val="105"/>
        </w:rPr>
        <w:t>we</w:t>
      </w:r>
      <w:r>
        <w:rPr>
          <w:color w:val="231F20"/>
          <w:spacing w:val="-33"/>
          <w:w w:val="105"/>
        </w:rPr>
        <w:t> </w:t>
      </w:r>
      <w:r>
        <w:rPr>
          <w:color w:val="231F20"/>
          <w:spacing w:val="-3"/>
          <w:w w:val="105"/>
        </w:rPr>
        <w:t>should </w:t>
      </w:r>
      <w:r>
        <w:rPr>
          <w:color w:val="231F20"/>
          <w:w w:val="105"/>
        </w:rPr>
        <w:t>realize that variations exist, depending on age, </w:t>
      </w:r>
      <w:r>
        <w:rPr>
          <w:color w:val="231F20"/>
          <w:spacing w:val="-3"/>
          <w:w w:val="105"/>
        </w:rPr>
        <w:t>gender, </w:t>
      </w:r>
      <w:r>
        <w:rPr>
          <w:color w:val="231F20"/>
          <w:w w:val="105"/>
        </w:rPr>
        <w:t>and percentage of body</w:t>
      </w:r>
      <w:r>
        <w:rPr>
          <w:color w:val="231F20"/>
          <w:spacing w:val="9"/>
          <w:w w:val="105"/>
        </w:rPr>
        <w:t> </w:t>
      </w:r>
      <w:r>
        <w:rPr>
          <w:color w:val="231F20"/>
          <w:w w:val="105"/>
        </w:rPr>
        <w:t>fat.</w:t>
      </w:r>
    </w:p>
    <w:p>
      <w:pPr>
        <w:pStyle w:val="BodyText"/>
        <w:spacing w:line="249" w:lineRule="auto" w:before="7"/>
        <w:ind w:left="319" w:right="1437" w:firstLine="240"/>
        <w:jc w:val="both"/>
      </w:pPr>
      <w:r>
        <w:rPr>
          <w:color w:val="231F20"/>
        </w:rPr>
        <w:t>In many other countries, the average body weight (and fat mass) has increased rapidly during the past 30 years. Currently, the average body weight for men older than </w:t>
      </w:r>
      <w:r>
        <w:rPr>
          <w:color w:val="231F20"/>
          <w:spacing w:val="-7"/>
        </w:rPr>
        <w:t>20 </w:t>
      </w:r>
      <w:r>
        <w:rPr>
          <w:color w:val="231F20"/>
        </w:rPr>
        <w:t>years in the United States is estimated to be approxi­ mately</w:t>
      </w:r>
      <w:r>
        <w:rPr>
          <w:color w:val="231F20"/>
          <w:spacing w:val="-9"/>
        </w:rPr>
        <w:t> </w:t>
      </w:r>
      <w:r>
        <w:rPr>
          <w:color w:val="231F20"/>
        </w:rPr>
        <w:t>86.4</w:t>
      </w:r>
      <w:r>
        <w:rPr>
          <w:color w:val="231F20"/>
          <w:spacing w:val="9"/>
        </w:rPr>
        <w:t> </w:t>
      </w:r>
      <w:r>
        <w:rPr>
          <w:color w:val="231F20"/>
        </w:rPr>
        <w:t>kg,</w:t>
      </w:r>
      <w:r>
        <w:rPr>
          <w:color w:val="231F20"/>
          <w:spacing w:val="-9"/>
        </w:rPr>
        <w:t> </w:t>
      </w:r>
      <w:r>
        <w:rPr>
          <w:color w:val="231F20"/>
        </w:rPr>
        <w:t>and</w:t>
      </w:r>
      <w:r>
        <w:rPr>
          <w:color w:val="231F20"/>
          <w:spacing w:val="-9"/>
        </w:rPr>
        <w:t> </w:t>
      </w:r>
      <w:r>
        <w:rPr>
          <w:color w:val="231F20"/>
        </w:rPr>
        <w:t>for</w:t>
      </w:r>
      <w:r>
        <w:rPr>
          <w:color w:val="231F20"/>
          <w:spacing w:val="-9"/>
        </w:rPr>
        <w:t> </w:t>
      </w:r>
      <w:r>
        <w:rPr>
          <w:color w:val="231F20"/>
        </w:rPr>
        <w:t>women,</w:t>
      </w:r>
      <w:r>
        <w:rPr>
          <w:color w:val="231F20"/>
          <w:spacing w:val="-8"/>
        </w:rPr>
        <w:t> </w:t>
      </w:r>
      <w:r>
        <w:rPr>
          <w:color w:val="231F20"/>
        </w:rPr>
        <w:t>it</w:t>
      </w:r>
      <w:r>
        <w:rPr>
          <w:color w:val="231F20"/>
          <w:spacing w:val="-9"/>
        </w:rPr>
        <w:t> </w:t>
      </w:r>
      <w:r>
        <w:rPr>
          <w:color w:val="231F20"/>
        </w:rPr>
        <w:t>is</w:t>
      </w:r>
      <w:r>
        <w:rPr>
          <w:color w:val="231F20"/>
          <w:spacing w:val="-9"/>
        </w:rPr>
        <w:t> </w:t>
      </w:r>
      <w:r>
        <w:rPr>
          <w:color w:val="231F20"/>
        </w:rPr>
        <w:t>74.1</w:t>
      </w:r>
      <w:r>
        <w:rPr>
          <w:color w:val="231F20"/>
          <w:spacing w:val="9"/>
        </w:rPr>
        <w:t> </w:t>
      </w:r>
      <w:r>
        <w:rPr>
          <w:color w:val="231F20"/>
        </w:rPr>
        <w:t>kg.</w:t>
      </w:r>
      <w:r>
        <w:rPr>
          <w:color w:val="231F20"/>
          <w:spacing w:val="-9"/>
        </w:rPr>
        <w:t> </w:t>
      </w:r>
      <w:r>
        <w:rPr>
          <w:color w:val="231F20"/>
        </w:rPr>
        <w:t>Therefore</w:t>
      </w:r>
      <w:r>
        <w:rPr>
          <w:color w:val="231F20"/>
          <w:spacing w:val="-8"/>
        </w:rPr>
        <w:t> </w:t>
      </w:r>
      <w:r>
        <w:rPr>
          <w:color w:val="231F20"/>
        </w:rPr>
        <w:t>the data discussed for an “average” 70 kg man in this </w:t>
      </w:r>
      <w:r>
        <w:rPr>
          <w:color w:val="231F20"/>
          <w:spacing w:val="-3"/>
        </w:rPr>
        <w:t>chapter </w:t>
      </w:r>
      <w:r>
        <w:rPr>
          <w:color w:val="231F20"/>
        </w:rPr>
        <w:t>(as well as in other chapters) would need to be adjusted accordingly when considering body fluid compartments  in most</w:t>
      </w:r>
      <w:r>
        <w:rPr>
          <w:color w:val="231F20"/>
          <w:spacing w:val="13"/>
        </w:rPr>
        <w:t> </w:t>
      </w:r>
      <w:r>
        <w:rPr>
          <w:color w:val="231F20"/>
        </w:rPr>
        <w:t>people.</w:t>
      </w:r>
    </w:p>
    <w:p>
      <w:pPr>
        <w:pStyle w:val="BodyText"/>
        <w:spacing w:before="2"/>
        <w:rPr>
          <w:sz w:val="30"/>
        </w:rPr>
      </w:pPr>
    </w:p>
    <w:p>
      <w:pPr>
        <w:pStyle w:val="Heading2"/>
        <w:jc w:val="both"/>
      </w:pPr>
      <w:r>
        <w:rPr>
          <w:color w:val="231F20"/>
        </w:rPr>
        <w:t>INTRACELLULAR FLUID COMPARTMENT</w:t>
      </w:r>
    </w:p>
    <w:p>
      <w:pPr>
        <w:pStyle w:val="BodyText"/>
        <w:spacing w:line="249" w:lineRule="auto" w:before="125"/>
        <w:ind w:left="319" w:right="1437"/>
        <w:jc w:val="both"/>
      </w:pPr>
      <w:r>
        <w:rPr>
          <w:color w:val="231F20"/>
        </w:rPr>
        <w:t>About 28 of the 42 liters of fluid in the body are inside  the 100 trillion cells and are collectively called the </w:t>
      </w:r>
      <w:r>
        <w:rPr>
          <w:i/>
          <w:color w:val="231F20"/>
        </w:rPr>
        <w:t>intra- </w:t>
      </w:r>
      <w:r>
        <w:rPr>
          <w:i/>
          <w:color w:val="231F20"/>
        </w:rPr>
        <w:t>cellular fluid. </w:t>
      </w:r>
      <w:r>
        <w:rPr>
          <w:color w:val="231F20"/>
        </w:rPr>
        <w:t>Thus, the intracellular fluid constitutes about 40 percent of the total body weight in an “average” person.</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18"/>
          <w:pgSz w:w="12240" w:h="15660"/>
          <w:pgMar w:header="0" w:footer="567" w:top="0" w:bottom="760" w:left="0" w:right="0"/>
        </w:sectPr>
      </w:pPr>
    </w:p>
    <w:p>
      <w:pPr>
        <w:pStyle w:val="BodyText"/>
        <w:spacing w:line="249" w:lineRule="auto" w:before="100"/>
        <w:ind w:left="1440" w:firstLine="240"/>
        <w:jc w:val="both"/>
      </w:pPr>
      <w:r>
        <w:rPr/>
        <w:pict>
          <v:group style="position:absolute;margin-left:0pt;margin-top:0pt;width:612pt;height:180pt;mso-position-horizontal-relative:page;mso-position-vertical-relative:page;z-index:-27372339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v:shape style="position:absolute;left:6480;top:1827;width:4680;height:560" type="#_x0000_t202" filled="true" fillcolor="#e8dac8" stroked="false">
              <v:textbox inset="0,0,0,0">
                <w:txbxContent>
                  <w:p>
                    <w:pPr>
                      <w:spacing w:line="225" w:lineRule="auto" w:before="46"/>
                      <w:ind w:left="60" w:right="633" w:firstLine="0"/>
                      <w:jc w:val="left"/>
                      <w:rPr>
                        <w:rFonts w:ascii="Trebuchet MS"/>
                        <w:b/>
                        <w:sz w:val="22"/>
                      </w:rPr>
                    </w:pPr>
                    <w:r>
                      <w:rPr>
                        <w:rFonts w:ascii="Trebuchet MS"/>
                        <w:b/>
                        <w:color w:val="231F20"/>
                        <w:w w:val="110"/>
                        <w:sz w:val="22"/>
                      </w:rPr>
                      <w:t>CONSTITUENTS OF</w:t>
                    </w:r>
                    <w:r>
                      <w:rPr>
                        <w:rFonts w:ascii="Trebuchet MS"/>
                        <w:b/>
                        <w:color w:val="231F20"/>
                        <w:spacing w:val="-51"/>
                        <w:w w:val="110"/>
                        <w:sz w:val="22"/>
                      </w:rPr>
                      <w:t> </w:t>
                    </w:r>
                    <w:r>
                      <w:rPr>
                        <w:rFonts w:ascii="Trebuchet MS"/>
                        <w:b/>
                        <w:color w:val="231F20"/>
                        <w:spacing w:val="-2"/>
                        <w:w w:val="110"/>
                        <w:sz w:val="22"/>
                      </w:rPr>
                      <w:t>EXTRACELLULAR </w:t>
                    </w:r>
                    <w:r>
                      <w:rPr>
                        <w:rFonts w:ascii="Trebuchet MS"/>
                        <w:b/>
                        <w:color w:val="231F20"/>
                        <w:w w:val="110"/>
                        <w:sz w:val="22"/>
                      </w:rPr>
                      <w:t>AND INTRACELLULAR FLUIDS</w:t>
                    </w:r>
                  </w:p>
                </w:txbxContent>
              </v:textbox>
              <v:fill type="solid"/>
              <w10:wrap type="none"/>
            </v:shape>
            <w10:wrap type="none"/>
          </v:group>
        </w:pict>
      </w:r>
      <w:r>
        <w:rPr>
          <w:color w:val="231F20"/>
          <w:w w:val="105"/>
        </w:rPr>
        <w:t>The</w:t>
      </w:r>
      <w:r>
        <w:rPr>
          <w:color w:val="231F20"/>
          <w:spacing w:val="-23"/>
          <w:w w:val="105"/>
        </w:rPr>
        <w:t> </w:t>
      </w:r>
      <w:r>
        <w:rPr>
          <w:color w:val="231F20"/>
          <w:w w:val="105"/>
        </w:rPr>
        <w:t>fluid</w:t>
      </w:r>
      <w:r>
        <w:rPr>
          <w:color w:val="231F20"/>
          <w:spacing w:val="-22"/>
          <w:w w:val="105"/>
        </w:rPr>
        <w:t> </w:t>
      </w:r>
      <w:r>
        <w:rPr>
          <w:color w:val="231F20"/>
          <w:w w:val="105"/>
        </w:rPr>
        <w:t>of</w:t>
      </w:r>
      <w:r>
        <w:rPr>
          <w:color w:val="231F20"/>
          <w:spacing w:val="-23"/>
          <w:w w:val="105"/>
        </w:rPr>
        <w:t> </w:t>
      </w:r>
      <w:r>
        <w:rPr>
          <w:color w:val="231F20"/>
          <w:w w:val="105"/>
        </w:rPr>
        <w:t>each</w:t>
      </w:r>
      <w:r>
        <w:rPr>
          <w:color w:val="231F20"/>
          <w:spacing w:val="-22"/>
          <w:w w:val="105"/>
        </w:rPr>
        <w:t> </w:t>
      </w:r>
      <w:r>
        <w:rPr>
          <w:color w:val="231F20"/>
          <w:w w:val="105"/>
        </w:rPr>
        <w:t>cell</w:t>
      </w:r>
      <w:r>
        <w:rPr>
          <w:color w:val="231F20"/>
          <w:spacing w:val="-23"/>
          <w:w w:val="105"/>
        </w:rPr>
        <w:t> </w:t>
      </w:r>
      <w:r>
        <w:rPr>
          <w:color w:val="231F20"/>
          <w:w w:val="105"/>
        </w:rPr>
        <w:t>contains</w:t>
      </w:r>
      <w:r>
        <w:rPr>
          <w:color w:val="231F20"/>
          <w:spacing w:val="-22"/>
          <w:w w:val="105"/>
        </w:rPr>
        <w:t> </w:t>
      </w:r>
      <w:r>
        <w:rPr>
          <w:color w:val="231F20"/>
          <w:w w:val="105"/>
        </w:rPr>
        <w:t>its</w:t>
      </w:r>
      <w:r>
        <w:rPr>
          <w:color w:val="231F20"/>
          <w:spacing w:val="-23"/>
          <w:w w:val="105"/>
        </w:rPr>
        <w:t> </w:t>
      </w:r>
      <w:r>
        <w:rPr>
          <w:color w:val="231F20"/>
          <w:w w:val="105"/>
        </w:rPr>
        <w:t>individual</w:t>
      </w:r>
      <w:r>
        <w:rPr>
          <w:color w:val="231F20"/>
          <w:spacing w:val="-22"/>
          <w:w w:val="105"/>
        </w:rPr>
        <w:t> </w:t>
      </w:r>
      <w:r>
        <w:rPr>
          <w:color w:val="231F20"/>
          <w:w w:val="105"/>
        </w:rPr>
        <w:t>mixture</w:t>
      </w:r>
      <w:r>
        <w:rPr>
          <w:color w:val="231F20"/>
          <w:spacing w:val="-23"/>
          <w:w w:val="105"/>
        </w:rPr>
        <w:t> </w:t>
      </w:r>
      <w:r>
        <w:rPr>
          <w:color w:val="231F20"/>
          <w:w w:val="105"/>
        </w:rPr>
        <w:t>of different constituents, but the concentrations of </w:t>
      </w:r>
      <w:r>
        <w:rPr>
          <w:color w:val="231F20"/>
          <w:spacing w:val="-3"/>
          <w:w w:val="105"/>
        </w:rPr>
        <w:t>these </w:t>
      </w:r>
      <w:r>
        <w:rPr>
          <w:color w:val="231F20"/>
          <w:w w:val="105"/>
        </w:rPr>
        <w:t>substances are similar from one cell to </w:t>
      </w:r>
      <w:r>
        <w:rPr>
          <w:color w:val="231F20"/>
          <w:spacing w:val="-3"/>
          <w:w w:val="105"/>
        </w:rPr>
        <w:t>another. </w:t>
      </w:r>
      <w:r>
        <w:rPr>
          <w:color w:val="231F20"/>
          <w:w w:val="105"/>
        </w:rPr>
        <w:t>In fact, the</w:t>
      </w:r>
      <w:r>
        <w:rPr>
          <w:color w:val="231F20"/>
          <w:spacing w:val="-9"/>
          <w:w w:val="105"/>
        </w:rPr>
        <w:t> </w:t>
      </w:r>
      <w:r>
        <w:rPr>
          <w:color w:val="231F20"/>
          <w:w w:val="105"/>
        </w:rPr>
        <w:t>composition</w:t>
      </w:r>
      <w:r>
        <w:rPr>
          <w:color w:val="231F20"/>
          <w:spacing w:val="-9"/>
          <w:w w:val="105"/>
        </w:rPr>
        <w:t> </w:t>
      </w:r>
      <w:r>
        <w:rPr>
          <w:color w:val="231F20"/>
          <w:w w:val="105"/>
        </w:rPr>
        <w:t>of</w:t>
      </w:r>
      <w:r>
        <w:rPr>
          <w:color w:val="231F20"/>
          <w:spacing w:val="-8"/>
          <w:w w:val="105"/>
        </w:rPr>
        <w:t> </w:t>
      </w:r>
      <w:r>
        <w:rPr>
          <w:color w:val="231F20"/>
          <w:w w:val="105"/>
        </w:rPr>
        <w:t>cell</w:t>
      </w:r>
      <w:r>
        <w:rPr>
          <w:color w:val="231F20"/>
          <w:spacing w:val="-9"/>
          <w:w w:val="105"/>
        </w:rPr>
        <w:t> </w:t>
      </w:r>
      <w:r>
        <w:rPr>
          <w:color w:val="231F20"/>
          <w:w w:val="105"/>
        </w:rPr>
        <w:t>fluids</w:t>
      </w:r>
      <w:r>
        <w:rPr>
          <w:color w:val="231F20"/>
          <w:spacing w:val="-8"/>
          <w:w w:val="105"/>
        </w:rPr>
        <w:t> </w:t>
      </w:r>
      <w:r>
        <w:rPr>
          <w:color w:val="231F20"/>
          <w:w w:val="105"/>
        </w:rPr>
        <w:t>is</w:t>
      </w:r>
      <w:r>
        <w:rPr>
          <w:color w:val="231F20"/>
          <w:spacing w:val="-9"/>
          <w:w w:val="105"/>
        </w:rPr>
        <w:t> </w:t>
      </w:r>
      <w:r>
        <w:rPr>
          <w:color w:val="231F20"/>
          <w:w w:val="105"/>
        </w:rPr>
        <w:t>remarkably</w:t>
      </w:r>
      <w:r>
        <w:rPr>
          <w:color w:val="231F20"/>
          <w:spacing w:val="-8"/>
          <w:w w:val="105"/>
        </w:rPr>
        <w:t> </w:t>
      </w:r>
      <w:r>
        <w:rPr>
          <w:color w:val="231F20"/>
          <w:w w:val="105"/>
        </w:rPr>
        <w:t>similar</w:t>
      </w:r>
      <w:r>
        <w:rPr>
          <w:color w:val="231F20"/>
          <w:spacing w:val="-9"/>
          <w:w w:val="105"/>
        </w:rPr>
        <w:t> </w:t>
      </w:r>
      <w:r>
        <w:rPr>
          <w:color w:val="231F20"/>
          <w:spacing w:val="-3"/>
          <w:w w:val="105"/>
        </w:rPr>
        <w:t>even </w:t>
      </w:r>
      <w:r>
        <w:rPr>
          <w:color w:val="231F20"/>
          <w:w w:val="105"/>
        </w:rPr>
        <w:t>in different animals, ranging from the most primitive microorganisms</w:t>
      </w:r>
      <w:r>
        <w:rPr>
          <w:color w:val="231F20"/>
          <w:spacing w:val="-7"/>
          <w:w w:val="105"/>
        </w:rPr>
        <w:t> </w:t>
      </w:r>
      <w:r>
        <w:rPr>
          <w:color w:val="231F20"/>
          <w:w w:val="105"/>
        </w:rPr>
        <w:t>to</w:t>
      </w:r>
      <w:r>
        <w:rPr>
          <w:color w:val="231F20"/>
          <w:spacing w:val="-6"/>
          <w:w w:val="105"/>
        </w:rPr>
        <w:t> </w:t>
      </w:r>
      <w:r>
        <w:rPr>
          <w:color w:val="231F20"/>
          <w:w w:val="105"/>
        </w:rPr>
        <w:t>humans.</w:t>
      </w:r>
      <w:r>
        <w:rPr>
          <w:color w:val="231F20"/>
          <w:spacing w:val="-6"/>
          <w:w w:val="105"/>
        </w:rPr>
        <w:t> </w:t>
      </w:r>
      <w:r>
        <w:rPr>
          <w:color w:val="231F20"/>
          <w:spacing w:val="-3"/>
          <w:w w:val="105"/>
        </w:rPr>
        <w:t>For</w:t>
      </w:r>
      <w:r>
        <w:rPr>
          <w:color w:val="231F20"/>
          <w:spacing w:val="-6"/>
          <w:w w:val="105"/>
        </w:rPr>
        <w:t> </w:t>
      </w:r>
      <w:r>
        <w:rPr>
          <w:color w:val="231F20"/>
          <w:w w:val="105"/>
        </w:rPr>
        <w:t>this</w:t>
      </w:r>
      <w:r>
        <w:rPr>
          <w:color w:val="231F20"/>
          <w:spacing w:val="-6"/>
          <w:w w:val="105"/>
        </w:rPr>
        <w:t> </w:t>
      </w:r>
      <w:r>
        <w:rPr>
          <w:color w:val="231F20"/>
          <w:w w:val="105"/>
        </w:rPr>
        <w:t>reason,</w:t>
      </w:r>
      <w:r>
        <w:rPr>
          <w:color w:val="231F20"/>
          <w:spacing w:val="-6"/>
          <w:w w:val="105"/>
        </w:rPr>
        <w:t> </w:t>
      </w:r>
      <w:r>
        <w:rPr>
          <w:color w:val="231F20"/>
          <w:w w:val="105"/>
        </w:rPr>
        <w:t>the</w:t>
      </w:r>
      <w:r>
        <w:rPr>
          <w:color w:val="231F20"/>
          <w:spacing w:val="-6"/>
          <w:w w:val="105"/>
        </w:rPr>
        <w:t> </w:t>
      </w:r>
      <w:r>
        <w:rPr>
          <w:color w:val="231F20"/>
          <w:spacing w:val="-3"/>
          <w:w w:val="105"/>
        </w:rPr>
        <w:t>intracel­ </w:t>
      </w:r>
      <w:r>
        <w:rPr>
          <w:color w:val="231F20"/>
          <w:w w:val="105"/>
        </w:rPr>
        <w:t>lular</w:t>
      </w:r>
      <w:r>
        <w:rPr>
          <w:color w:val="231F20"/>
          <w:spacing w:val="-6"/>
          <w:w w:val="105"/>
        </w:rPr>
        <w:t> </w:t>
      </w:r>
      <w:r>
        <w:rPr>
          <w:color w:val="231F20"/>
          <w:w w:val="105"/>
        </w:rPr>
        <w:t>fluid</w:t>
      </w:r>
      <w:r>
        <w:rPr>
          <w:color w:val="231F20"/>
          <w:spacing w:val="-5"/>
          <w:w w:val="105"/>
        </w:rPr>
        <w:t> </w:t>
      </w:r>
      <w:r>
        <w:rPr>
          <w:color w:val="231F20"/>
          <w:w w:val="105"/>
        </w:rPr>
        <w:t>of</w:t>
      </w:r>
      <w:r>
        <w:rPr>
          <w:color w:val="231F20"/>
          <w:spacing w:val="-5"/>
          <w:w w:val="105"/>
        </w:rPr>
        <w:t> </w:t>
      </w:r>
      <w:r>
        <w:rPr>
          <w:color w:val="231F20"/>
          <w:w w:val="105"/>
        </w:rPr>
        <w:t>all</w:t>
      </w:r>
      <w:r>
        <w:rPr>
          <w:color w:val="231F20"/>
          <w:spacing w:val="-5"/>
          <w:w w:val="105"/>
        </w:rPr>
        <w:t> </w:t>
      </w:r>
      <w:r>
        <w:rPr>
          <w:color w:val="231F20"/>
          <w:w w:val="105"/>
        </w:rPr>
        <w:t>the</w:t>
      </w:r>
      <w:r>
        <w:rPr>
          <w:color w:val="231F20"/>
          <w:spacing w:val="-5"/>
          <w:w w:val="105"/>
        </w:rPr>
        <w:t> </w:t>
      </w:r>
      <w:r>
        <w:rPr>
          <w:color w:val="231F20"/>
          <w:w w:val="105"/>
        </w:rPr>
        <w:t>different</w:t>
      </w:r>
      <w:r>
        <w:rPr>
          <w:color w:val="231F20"/>
          <w:spacing w:val="-5"/>
          <w:w w:val="105"/>
        </w:rPr>
        <w:t> </w:t>
      </w:r>
      <w:r>
        <w:rPr>
          <w:color w:val="231F20"/>
          <w:w w:val="105"/>
        </w:rPr>
        <w:t>cells</w:t>
      </w:r>
      <w:r>
        <w:rPr>
          <w:color w:val="231F20"/>
          <w:spacing w:val="-5"/>
          <w:w w:val="105"/>
        </w:rPr>
        <w:t> </w:t>
      </w:r>
      <w:r>
        <w:rPr>
          <w:color w:val="231F20"/>
          <w:w w:val="105"/>
        </w:rPr>
        <w:t>together</w:t>
      </w:r>
      <w:r>
        <w:rPr>
          <w:color w:val="231F20"/>
          <w:spacing w:val="-5"/>
          <w:w w:val="105"/>
        </w:rPr>
        <w:t> </w:t>
      </w:r>
      <w:r>
        <w:rPr>
          <w:color w:val="231F20"/>
          <w:w w:val="105"/>
        </w:rPr>
        <w:t>is</w:t>
      </w:r>
      <w:r>
        <w:rPr>
          <w:color w:val="231F20"/>
          <w:spacing w:val="-5"/>
          <w:w w:val="105"/>
        </w:rPr>
        <w:t> </w:t>
      </w:r>
      <w:r>
        <w:rPr>
          <w:color w:val="231F20"/>
          <w:spacing w:val="-3"/>
          <w:w w:val="105"/>
        </w:rPr>
        <w:t>considered </w:t>
      </w:r>
      <w:r>
        <w:rPr>
          <w:color w:val="231F20"/>
          <w:w w:val="105"/>
        </w:rPr>
        <w:t>to be one large fluid</w:t>
      </w:r>
      <w:r>
        <w:rPr>
          <w:color w:val="231F20"/>
          <w:spacing w:val="11"/>
          <w:w w:val="105"/>
        </w:rPr>
        <w:t> </w:t>
      </w:r>
      <w:r>
        <w:rPr>
          <w:color w:val="231F20"/>
          <w:w w:val="105"/>
        </w:rPr>
        <w:t>compartment.</w:t>
      </w:r>
    </w:p>
    <w:p>
      <w:pPr>
        <w:pStyle w:val="BodyText"/>
        <w:spacing w:before="1"/>
        <w:rPr>
          <w:sz w:val="30"/>
        </w:rPr>
      </w:pPr>
    </w:p>
    <w:p>
      <w:pPr>
        <w:pStyle w:val="Heading2"/>
        <w:ind w:left="1440"/>
        <w:jc w:val="both"/>
      </w:pPr>
      <w:r>
        <w:rPr>
          <w:color w:val="231F20"/>
        </w:rPr>
        <w:t>EXTRACELLULAR  FLUID</w:t>
      </w:r>
      <w:r>
        <w:rPr>
          <w:color w:val="231F20"/>
          <w:spacing w:val="34"/>
        </w:rPr>
        <w:t> </w:t>
      </w:r>
      <w:r>
        <w:rPr>
          <w:color w:val="231F20"/>
        </w:rPr>
        <w:t>COMPARTMENT</w:t>
      </w:r>
    </w:p>
    <w:p>
      <w:pPr>
        <w:pStyle w:val="BodyText"/>
        <w:spacing w:line="249" w:lineRule="auto" w:before="125"/>
        <w:ind w:left="1440"/>
        <w:jc w:val="both"/>
      </w:pPr>
      <w:r>
        <w:rPr>
          <w:color w:val="231F20"/>
          <w:w w:val="105"/>
        </w:rPr>
        <w:t>All the fluids outside the cells are collectively called</w:t>
      </w:r>
      <w:r>
        <w:rPr>
          <w:color w:val="231F20"/>
          <w:spacing w:val="-37"/>
          <w:w w:val="105"/>
        </w:rPr>
        <w:t> </w:t>
      </w:r>
      <w:r>
        <w:rPr>
          <w:color w:val="231F20"/>
          <w:spacing w:val="-5"/>
          <w:w w:val="105"/>
        </w:rPr>
        <w:t>the </w:t>
      </w:r>
      <w:r>
        <w:rPr>
          <w:i/>
          <w:color w:val="231F20"/>
          <w:w w:val="105"/>
        </w:rPr>
        <w:t>extracellular fluid. </w:t>
      </w:r>
      <w:r>
        <w:rPr>
          <w:color w:val="231F20"/>
          <w:spacing w:val="-3"/>
          <w:w w:val="105"/>
        </w:rPr>
        <w:t>Together </w:t>
      </w:r>
      <w:r>
        <w:rPr>
          <w:color w:val="231F20"/>
          <w:w w:val="105"/>
        </w:rPr>
        <w:t>these fluids account for about</w:t>
      </w:r>
      <w:r>
        <w:rPr>
          <w:color w:val="231F20"/>
          <w:spacing w:val="-11"/>
          <w:w w:val="105"/>
        </w:rPr>
        <w:t> </w:t>
      </w:r>
      <w:r>
        <w:rPr>
          <w:color w:val="231F20"/>
          <w:w w:val="105"/>
        </w:rPr>
        <w:t>20</w:t>
      </w:r>
      <w:r>
        <w:rPr>
          <w:color w:val="231F20"/>
          <w:spacing w:val="-10"/>
          <w:w w:val="105"/>
        </w:rPr>
        <w:t> </w:t>
      </w:r>
      <w:r>
        <w:rPr>
          <w:color w:val="231F20"/>
          <w:w w:val="105"/>
        </w:rPr>
        <w:t>percent</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body</w:t>
      </w:r>
      <w:r>
        <w:rPr>
          <w:color w:val="231F20"/>
          <w:spacing w:val="-10"/>
          <w:w w:val="105"/>
        </w:rPr>
        <w:t> </w:t>
      </w:r>
      <w:r>
        <w:rPr>
          <w:color w:val="231F20"/>
          <w:w w:val="105"/>
        </w:rPr>
        <w:t>weight,</w:t>
      </w:r>
      <w:r>
        <w:rPr>
          <w:color w:val="231F20"/>
          <w:spacing w:val="-10"/>
          <w:w w:val="105"/>
        </w:rPr>
        <w:t> </w:t>
      </w:r>
      <w:r>
        <w:rPr>
          <w:color w:val="231F20"/>
          <w:w w:val="105"/>
        </w:rPr>
        <w:t>or</w:t>
      </w:r>
      <w:r>
        <w:rPr>
          <w:color w:val="231F20"/>
          <w:spacing w:val="-10"/>
          <w:w w:val="105"/>
        </w:rPr>
        <w:t> </w:t>
      </w:r>
      <w:r>
        <w:rPr>
          <w:color w:val="231F20"/>
          <w:w w:val="105"/>
        </w:rPr>
        <w:t>about</w:t>
      </w:r>
      <w:r>
        <w:rPr>
          <w:color w:val="231F20"/>
          <w:spacing w:val="-10"/>
          <w:w w:val="105"/>
        </w:rPr>
        <w:t> </w:t>
      </w:r>
      <w:r>
        <w:rPr>
          <w:color w:val="231F20"/>
          <w:w w:val="105"/>
        </w:rPr>
        <w:t>14</w:t>
      </w:r>
      <w:r>
        <w:rPr>
          <w:color w:val="231F20"/>
          <w:spacing w:val="-10"/>
          <w:w w:val="105"/>
        </w:rPr>
        <w:t> </w:t>
      </w:r>
      <w:r>
        <w:rPr>
          <w:color w:val="231F20"/>
          <w:w w:val="105"/>
        </w:rPr>
        <w:t>liters</w:t>
      </w:r>
      <w:r>
        <w:rPr>
          <w:color w:val="231F20"/>
          <w:spacing w:val="-11"/>
          <w:w w:val="105"/>
        </w:rPr>
        <w:t> </w:t>
      </w:r>
      <w:r>
        <w:rPr>
          <w:color w:val="231F20"/>
          <w:w w:val="105"/>
        </w:rPr>
        <w:t>in a</w:t>
      </w:r>
      <w:r>
        <w:rPr>
          <w:color w:val="231F20"/>
          <w:spacing w:val="-13"/>
          <w:w w:val="105"/>
        </w:rPr>
        <w:t> </w:t>
      </w:r>
      <w:r>
        <w:rPr>
          <w:color w:val="231F20"/>
          <w:w w:val="105"/>
        </w:rPr>
        <w:t>70­kilogram</w:t>
      </w:r>
      <w:r>
        <w:rPr>
          <w:color w:val="231F20"/>
          <w:spacing w:val="-13"/>
          <w:w w:val="105"/>
        </w:rPr>
        <w:t> </w:t>
      </w:r>
      <w:r>
        <w:rPr>
          <w:color w:val="231F20"/>
          <w:w w:val="105"/>
        </w:rPr>
        <w:t>man.</w:t>
      </w:r>
      <w:r>
        <w:rPr>
          <w:color w:val="231F20"/>
          <w:spacing w:val="-13"/>
          <w:w w:val="105"/>
        </w:rPr>
        <w:t> </w:t>
      </w:r>
      <w:r>
        <w:rPr>
          <w:color w:val="231F20"/>
          <w:w w:val="105"/>
        </w:rPr>
        <w:t>The</w:t>
      </w:r>
      <w:r>
        <w:rPr>
          <w:color w:val="231F20"/>
          <w:spacing w:val="-12"/>
          <w:w w:val="105"/>
        </w:rPr>
        <w:t> </w:t>
      </w:r>
      <w:r>
        <w:rPr>
          <w:color w:val="231F20"/>
          <w:w w:val="105"/>
        </w:rPr>
        <w:t>two</w:t>
      </w:r>
      <w:r>
        <w:rPr>
          <w:color w:val="231F20"/>
          <w:spacing w:val="-13"/>
          <w:w w:val="105"/>
        </w:rPr>
        <w:t> </w:t>
      </w:r>
      <w:r>
        <w:rPr>
          <w:color w:val="231F20"/>
          <w:w w:val="105"/>
        </w:rPr>
        <w:t>largest</w:t>
      </w:r>
      <w:r>
        <w:rPr>
          <w:color w:val="231F20"/>
          <w:spacing w:val="-13"/>
          <w:w w:val="105"/>
        </w:rPr>
        <w:t> </w:t>
      </w:r>
      <w:r>
        <w:rPr>
          <w:color w:val="231F20"/>
          <w:w w:val="105"/>
        </w:rPr>
        <w:t>compartments</w:t>
      </w:r>
      <w:r>
        <w:rPr>
          <w:color w:val="231F20"/>
          <w:spacing w:val="-13"/>
          <w:w w:val="105"/>
        </w:rPr>
        <w:t> </w:t>
      </w:r>
      <w:r>
        <w:rPr>
          <w:color w:val="231F20"/>
          <w:w w:val="105"/>
        </w:rPr>
        <w:t>of</w:t>
      </w:r>
      <w:r>
        <w:rPr>
          <w:color w:val="231F20"/>
          <w:spacing w:val="-12"/>
          <w:w w:val="105"/>
        </w:rPr>
        <w:t> </w:t>
      </w:r>
      <w:r>
        <w:rPr>
          <w:color w:val="231F20"/>
          <w:spacing w:val="-7"/>
          <w:w w:val="105"/>
        </w:rPr>
        <w:t>the </w:t>
      </w:r>
      <w:r>
        <w:rPr>
          <w:color w:val="231F20"/>
          <w:w w:val="105"/>
        </w:rPr>
        <w:t>extracellular fluid are the </w:t>
      </w:r>
      <w:r>
        <w:rPr>
          <w:i/>
          <w:color w:val="231F20"/>
          <w:w w:val="105"/>
        </w:rPr>
        <w:t>interstitial fluid, </w:t>
      </w:r>
      <w:r>
        <w:rPr>
          <w:color w:val="231F20"/>
          <w:w w:val="105"/>
        </w:rPr>
        <w:t>which</w:t>
      </w:r>
      <w:r>
        <w:rPr>
          <w:color w:val="231F20"/>
          <w:spacing w:val="-16"/>
          <w:w w:val="105"/>
        </w:rPr>
        <w:t> </w:t>
      </w:r>
      <w:r>
        <w:rPr>
          <w:color w:val="231F20"/>
          <w:w w:val="105"/>
        </w:rPr>
        <w:t>makes up</w:t>
      </w:r>
      <w:r>
        <w:rPr>
          <w:color w:val="231F20"/>
          <w:spacing w:val="-8"/>
          <w:w w:val="105"/>
        </w:rPr>
        <w:t> </w:t>
      </w:r>
      <w:r>
        <w:rPr>
          <w:color w:val="231F20"/>
          <w:w w:val="105"/>
        </w:rPr>
        <w:t>more</w:t>
      </w:r>
      <w:r>
        <w:rPr>
          <w:color w:val="231F20"/>
          <w:spacing w:val="-8"/>
          <w:w w:val="105"/>
        </w:rPr>
        <w:t> </w:t>
      </w:r>
      <w:r>
        <w:rPr>
          <w:color w:val="231F20"/>
          <w:w w:val="105"/>
        </w:rPr>
        <w:t>than</w:t>
      </w:r>
      <w:r>
        <w:rPr>
          <w:color w:val="231F20"/>
          <w:spacing w:val="-7"/>
          <w:w w:val="105"/>
        </w:rPr>
        <w:t> </w:t>
      </w:r>
      <w:r>
        <w:rPr>
          <w:color w:val="231F20"/>
          <w:w w:val="105"/>
        </w:rPr>
        <w:t>three</w:t>
      </w:r>
      <w:r>
        <w:rPr>
          <w:color w:val="231F20"/>
          <w:spacing w:val="-8"/>
          <w:w w:val="105"/>
        </w:rPr>
        <w:t> </w:t>
      </w:r>
      <w:r>
        <w:rPr>
          <w:color w:val="231F20"/>
          <w:w w:val="105"/>
        </w:rPr>
        <w:t>fourths</w:t>
      </w:r>
      <w:r>
        <w:rPr>
          <w:color w:val="231F20"/>
          <w:spacing w:val="-8"/>
          <w:w w:val="105"/>
        </w:rPr>
        <w:t> </w:t>
      </w:r>
      <w:r>
        <w:rPr>
          <w:color w:val="231F20"/>
          <w:w w:val="105"/>
        </w:rPr>
        <w:t>(11</w:t>
      </w:r>
      <w:r>
        <w:rPr>
          <w:color w:val="231F20"/>
          <w:spacing w:val="-7"/>
          <w:w w:val="105"/>
        </w:rPr>
        <w:t> </w:t>
      </w:r>
      <w:r>
        <w:rPr>
          <w:color w:val="231F20"/>
          <w:w w:val="105"/>
        </w:rPr>
        <w:t>liters)</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extracellular fluid,</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1"/>
          <w:w w:val="105"/>
        </w:rPr>
        <w:t> </w:t>
      </w:r>
      <w:r>
        <w:rPr>
          <w:i/>
          <w:color w:val="231F20"/>
          <w:w w:val="105"/>
        </w:rPr>
        <w:t>plasma,</w:t>
      </w:r>
      <w:r>
        <w:rPr>
          <w:i/>
          <w:color w:val="231F20"/>
          <w:spacing w:val="-12"/>
          <w:w w:val="105"/>
        </w:rPr>
        <w:t> </w:t>
      </w:r>
      <w:r>
        <w:rPr>
          <w:color w:val="231F20"/>
          <w:w w:val="105"/>
        </w:rPr>
        <w:t>which</w:t>
      </w:r>
      <w:r>
        <w:rPr>
          <w:color w:val="231F20"/>
          <w:spacing w:val="-12"/>
          <w:w w:val="105"/>
        </w:rPr>
        <w:t> </w:t>
      </w:r>
      <w:r>
        <w:rPr>
          <w:color w:val="231F20"/>
          <w:w w:val="105"/>
        </w:rPr>
        <w:t>makes</w:t>
      </w:r>
      <w:r>
        <w:rPr>
          <w:color w:val="231F20"/>
          <w:spacing w:val="-11"/>
          <w:w w:val="105"/>
        </w:rPr>
        <w:t> </w:t>
      </w:r>
      <w:r>
        <w:rPr>
          <w:color w:val="231F20"/>
          <w:w w:val="105"/>
        </w:rPr>
        <w:t>up</w:t>
      </w:r>
      <w:r>
        <w:rPr>
          <w:color w:val="231F20"/>
          <w:spacing w:val="-12"/>
          <w:w w:val="105"/>
        </w:rPr>
        <w:t> </w:t>
      </w:r>
      <w:r>
        <w:rPr>
          <w:color w:val="231F20"/>
          <w:w w:val="105"/>
        </w:rPr>
        <w:t>almost</w:t>
      </w:r>
      <w:r>
        <w:rPr>
          <w:color w:val="231F20"/>
          <w:spacing w:val="-12"/>
          <w:w w:val="105"/>
        </w:rPr>
        <w:t> </w:t>
      </w:r>
      <w:r>
        <w:rPr>
          <w:color w:val="231F20"/>
          <w:w w:val="105"/>
        </w:rPr>
        <w:t>one</w:t>
      </w:r>
      <w:r>
        <w:rPr>
          <w:color w:val="231F20"/>
          <w:spacing w:val="-11"/>
          <w:w w:val="105"/>
        </w:rPr>
        <w:t> </w:t>
      </w:r>
      <w:r>
        <w:rPr>
          <w:color w:val="231F20"/>
          <w:w w:val="105"/>
        </w:rPr>
        <w:t>fourth of</w:t>
      </w:r>
      <w:r>
        <w:rPr>
          <w:color w:val="231F20"/>
          <w:spacing w:val="-6"/>
          <w:w w:val="105"/>
        </w:rPr>
        <w:t> </w:t>
      </w:r>
      <w:r>
        <w:rPr>
          <w:color w:val="231F20"/>
          <w:w w:val="105"/>
        </w:rPr>
        <w:t>the</w:t>
      </w:r>
      <w:r>
        <w:rPr>
          <w:color w:val="231F20"/>
          <w:spacing w:val="-6"/>
          <w:w w:val="105"/>
        </w:rPr>
        <w:t> </w:t>
      </w:r>
      <w:r>
        <w:rPr>
          <w:color w:val="231F20"/>
          <w:w w:val="105"/>
        </w:rPr>
        <w:t>extracellular</w:t>
      </w:r>
      <w:r>
        <w:rPr>
          <w:color w:val="231F20"/>
          <w:spacing w:val="-6"/>
          <w:w w:val="105"/>
        </w:rPr>
        <w:t> </w:t>
      </w:r>
      <w:r>
        <w:rPr>
          <w:color w:val="231F20"/>
          <w:w w:val="105"/>
        </w:rPr>
        <w:t>fluid,</w:t>
      </w:r>
      <w:r>
        <w:rPr>
          <w:color w:val="231F20"/>
          <w:spacing w:val="-6"/>
          <w:w w:val="105"/>
        </w:rPr>
        <w:t> </w:t>
      </w:r>
      <w:r>
        <w:rPr>
          <w:color w:val="231F20"/>
          <w:w w:val="105"/>
        </w:rPr>
        <w:t>or</w:t>
      </w:r>
      <w:r>
        <w:rPr>
          <w:color w:val="231F20"/>
          <w:spacing w:val="-5"/>
          <w:w w:val="105"/>
        </w:rPr>
        <w:t> </w:t>
      </w:r>
      <w:r>
        <w:rPr>
          <w:color w:val="231F20"/>
          <w:w w:val="105"/>
        </w:rPr>
        <w:t>about</w:t>
      </w:r>
      <w:r>
        <w:rPr>
          <w:color w:val="231F20"/>
          <w:spacing w:val="-6"/>
          <w:w w:val="105"/>
        </w:rPr>
        <w:t> </w:t>
      </w:r>
      <w:r>
        <w:rPr>
          <w:color w:val="231F20"/>
          <w:w w:val="105"/>
        </w:rPr>
        <w:t>3</w:t>
      </w:r>
      <w:r>
        <w:rPr>
          <w:color w:val="231F20"/>
          <w:spacing w:val="-6"/>
          <w:w w:val="105"/>
        </w:rPr>
        <w:t> </w:t>
      </w:r>
      <w:r>
        <w:rPr>
          <w:color w:val="231F20"/>
          <w:w w:val="105"/>
        </w:rPr>
        <w:t>liters.</w:t>
      </w:r>
      <w:r>
        <w:rPr>
          <w:color w:val="231F20"/>
          <w:spacing w:val="-6"/>
          <w:w w:val="105"/>
        </w:rPr>
        <w:t> </w:t>
      </w:r>
      <w:r>
        <w:rPr>
          <w:color w:val="231F20"/>
          <w:w w:val="105"/>
        </w:rPr>
        <w:t>The</w:t>
      </w:r>
      <w:r>
        <w:rPr>
          <w:color w:val="231F20"/>
          <w:spacing w:val="-5"/>
          <w:w w:val="105"/>
        </w:rPr>
        <w:t> </w:t>
      </w:r>
      <w:r>
        <w:rPr>
          <w:color w:val="231F20"/>
          <w:w w:val="105"/>
        </w:rPr>
        <w:t>plasma</w:t>
      </w:r>
      <w:r>
        <w:rPr>
          <w:color w:val="231F20"/>
          <w:spacing w:val="-6"/>
          <w:w w:val="105"/>
        </w:rPr>
        <w:t> is </w:t>
      </w:r>
      <w:r>
        <w:rPr>
          <w:color w:val="231F20"/>
          <w:w w:val="105"/>
        </w:rPr>
        <w:t>the</w:t>
      </w:r>
      <w:r>
        <w:rPr>
          <w:color w:val="231F20"/>
          <w:spacing w:val="-18"/>
          <w:w w:val="105"/>
        </w:rPr>
        <w:t> </w:t>
      </w:r>
      <w:r>
        <w:rPr>
          <w:color w:val="231F20"/>
          <w:w w:val="105"/>
        </w:rPr>
        <w:t>noncellular</w:t>
      </w:r>
      <w:r>
        <w:rPr>
          <w:color w:val="231F20"/>
          <w:spacing w:val="-17"/>
          <w:w w:val="105"/>
        </w:rPr>
        <w:t> </w:t>
      </w:r>
      <w:r>
        <w:rPr>
          <w:color w:val="231F20"/>
          <w:w w:val="105"/>
        </w:rPr>
        <w:t>part</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blood;</w:t>
      </w:r>
      <w:r>
        <w:rPr>
          <w:color w:val="231F20"/>
          <w:spacing w:val="-18"/>
          <w:w w:val="105"/>
        </w:rPr>
        <w:t> </w:t>
      </w:r>
      <w:r>
        <w:rPr>
          <w:color w:val="231F20"/>
          <w:w w:val="105"/>
        </w:rPr>
        <w:t>it</w:t>
      </w:r>
      <w:r>
        <w:rPr>
          <w:color w:val="231F20"/>
          <w:spacing w:val="-17"/>
          <w:w w:val="105"/>
        </w:rPr>
        <w:t> </w:t>
      </w:r>
      <w:r>
        <w:rPr>
          <w:color w:val="231F20"/>
          <w:w w:val="105"/>
        </w:rPr>
        <w:t>exchanges</w:t>
      </w:r>
      <w:r>
        <w:rPr>
          <w:color w:val="231F20"/>
          <w:spacing w:val="-18"/>
          <w:w w:val="105"/>
        </w:rPr>
        <w:t> </w:t>
      </w:r>
      <w:r>
        <w:rPr>
          <w:color w:val="231F20"/>
          <w:w w:val="105"/>
        </w:rPr>
        <w:t>substances continuously with the interstitial fluid through the</w:t>
      </w:r>
      <w:r>
        <w:rPr>
          <w:color w:val="231F20"/>
          <w:spacing w:val="-17"/>
          <w:w w:val="105"/>
        </w:rPr>
        <w:t> </w:t>
      </w:r>
      <w:r>
        <w:rPr>
          <w:color w:val="231F20"/>
          <w:spacing w:val="-3"/>
          <w:w w:val="105"/>
        </w:rPr>
        <w:t>pores </w:t>
      </w:r>
      <w:r>
        <w:rPr>
          <w:color w:val="231F20"/>
          <w:w w:val="105"/>
        </w:rPr>
        <w:t>of the capillary membranes. These pores are highly </w:t>
      </w:r>
      <w:r>
        <w:rPr>
          <w:color w:val="231F20"/>
          <w:spacing w:val="-6"/>
          <w:w w:val="105"/>
        </w:rPr>
        <w:t>per­ </w:t>
      </w:r>
      <w:r>
        <w:rPr>
          <w:color w:val="231F20"/>
          <w:w w:val="105"/>
        </w:rPr>
        <w:t>meable to almost all solutes in the extracellular </w:t>
      </w:r>
      <w:r>
        <w:rPr>
          <w:color w:val="231F20"/>
          <w:spacing w:val="-3"/>
          <w:w w:val="105"/>
        </w:rPr>
        <w:t>fluid </w:t>
      </w:r>
      <w:r>
        <w:rPr>
          <w:color w:val="231F20"/>
          <w:w w:val="105"/>
        </w:rPr>
        <w:t>except</w:t>
      </w:r>
      <w:r>
        <w:rPr>
          <w:color w:val="231F20"/>
          <w:spacing w:val="-20"/>
          <w:w w:val="105"/>
        </w:rPr>
        <w:t> </w:t>
      </w:r>
      <w:r>
        <w:rPr>
          <w:color w:val="231F20"/>
          <w:w w:val="105"/>
        </w:rPr>
        <w:t>the</w:t>
      </w:r>
      <w:r>
        <w:rPr>
          <w:color w:val="231F20"/>
          <w:spacing w:val="-19"/>
          <w:w w:val="105"/>
        </w:rPr>
        <w:t> </w:t>
      </w:r>
      <w:r>
        <w:rPr>
          <w:color w:val="231F20"/>
          <w:w w:val="105"/>
        </w:rPr>
        <w:t>proteins.</w:t>
      </w:r>
      <w:r>
        <w:rPr>
          <w:color w:val="231F20"/>
          <w:spacing w:val="-20"/>
          <w:w w:val="105"/>
        </w:rPr>
        <w:t> </w:t>
      </w:r>
      <w:r>
        <w:rPr>
          <w:color w:val="231F20"/>
          <w:w w:val="105"/>
        </w:rPr>
        <w:t>Therefore,</w:t>
      </w:r>
      <w:r>
        <w:rPr>
          <w:color w:val="231F20"/>
          <w:spacing w:val="-19"/>
          <w:w w:val="105"/>
        </w:rPr>
        <w:t> </w:t>
      </w:r>
      <w:r>
        <w:rPr>
          <w:color w:val="231F20"/>
          <w:w w:val="105"/>
        </w:rPr>
        <w:t>the</w:t>
      </w:r>
      <w:r>
        <w:rPr>
          <w:color w:val="231F20"/>
          <w:spacing w:val="-20"/>
          <w:w w:val="105"/>
        </w:rPr>
        <w:t> </w:t>
      </w:r>
      <w:r>
        <w:rPr>
          <w:color w:val="231F20"/>
          <w:w w:val="105"/>
        </w:rPr>
        <w:t>extracellular</w:t>
      </w:r>
      <w:r>
        <w:rPr>
          <w:color w:val="231F20"/>
          <w:spacing w:val="-19"/>
          <w:w w:val="105"/>
        </w:rPr>
        <w:t> </w:t>
      </w:r>
      <w:r>
        <w:rPr>
          <w:color w:val="231F20"/>
          <w:w w:val="105"/>
        </w:rPr>
        <w:t>fluids</w:t>
      </w:r>
      <w:r>
        <w:rPr>
          <w:color w:val="231F20"/>
          <w:spacing w:val="-20"/>
          <w:w w:val="105"/>
        </w:rPr>
        <w:t> </w:t>
      </w:r>
      <w:r>
        <w:rPr>
          <w:color w:val="231F20"/>
          <w:spacing w:val="-6"/>
          <w:w w:val="105"/>
        </w:rPr>
        <w:t>are </w:t>
      </w:r>
      <w:r>
        <w:rPr>
          <w:color w:val="231F20"/>
          <w:w w:val="105"/>
        </w:rPr>
        <w:t>constantly mixing, so the plasma and interstitial </w:t>
      </w:r>
      <w:r>
        <w:rPr>
          <w:color w:val="231F20"/>
          <w:spacing w:val="-3"/>
          <w:w w:val="105"/>
        </w:rPr>
        <w:t>fluids </w:t>
      </w:r>
      <w:r>
        <w:rPr>
          <w:color w:val="231F20"/>
          <w:w w:val="105"/>
        </w:rPr>
        <w:t>have about the same composition except for proteins, which have a higher concentration in the</w:t>
      </w:r>
      <w:r>
        <w:rPr>
          <w:color w:val="231F20"/>
          <w:spacing w:val="-3"/>
          <w:w w:val="105"/>
        </w:rPr>
        <w:t> </w:t>
      </w:r>
      <w:r>
        <w:rPr>
          <w:color w:val="231F20"/>
          <w:w w:val="105"/>
        </w:rPr>
        <w:t>plasma.</w:t>
      </w:r>
    </w:p>
    <w:p>
      <w:pPr>
        <w:pStyle w:val="BodyText"/>
        <w:spacing w:before="8"/>
        <w:rPr>
          <w:sz w:val="30"/>
        </w:rPr>
      </w:pPr>
    </w:p>
    <w:p>
      <w:pPr>
        <w:pStyle w:val="Heading2"/>
        <w:ind w:left="1440"/>
        <w:jc w:val="both"/>
      </w:pPr>
      <w:r>
        <w:rPr>
          <w:color w:val="231F20"/>
          <w:w w:val="105"/>
        </w:rPr>
        <w:t>BLOOD VOLUME</w:t>
      </w:r>
    </w:p>
    <w:p>
      <w:pPr>
        <w:pStyle w:val="BodyText"/>
        <w:spacing w:line="249" w:lineRule="auto" w:before="124"/>
        <w:ind w:left="1440"/>
        <w:jc w:val="both"/>
      </w:pPr>
      <w:r>
        <w:rPr>
          <w:color w:val="231F20"/>
        </w:rPr>
        <w:t>Blood contains both extracellular fluid (the fluid </w:t>
      </w:r>
      <w:r>
        <w:rPr>
          <w:color w:val="231F20"/>
          <w:spacing w:val="-6"/>
        </w:rPr>
        <w:t>in </w:t>
      </w:r>
      <w:r>
        <w:rPr>
          <w:color w:val="231F20"/>
        </w:rPr>
        <w:t>plasma) and intracellular fluid (the fluid in the red blood cells). However, blood is considered to be a separate  fluid compartment because it is contained in a chamber  of its own, the circulatory system. The blood volume is especially important in the control of cardiovascular dynamics.</w:t>
      </w:r>
    </w:p>
    <w:p>
      <w:pPr>
        <w:pStyle w:val="BodyText"/>
        <w:spacing w:line="249" w:lineRule="auto" w:before="6"/>
        <w:ind w:left="1440" w:firstLine="240"/>
        <w:jc w:val="both"/>
      </w:pPr>
      <w:r>
        <w:rPr>
          <w:color w:val="231F20"/>
        </w:rPr>
        <w:t>The average blood volume of adults is about 7 </w:t>
      </w:r>
      <w:r>
        <w:rPr>
          <w:color w:val="231F20"/>
          <w:spacing w:val="-3"/>
        </w:rPr>
        <w:t>percent </w:t>
      </w:r>
      <w:r>
        <w:rPr>
          <w:color w:val="231F20"/>
        </w:rPr>
        <w:t>of body weight, or about 5 liters. About 60 percent </w:t>
      </w:r>
      <w:r>
        <w:rPr>
          <w:color w:val="231F20"/>
          <w:spacing w:val="-6"/>
        </w:rPr>
        <w:t>of    </w:t>
      </w:r>
      <w:r>
        <w:rPr>
          <w:color w:val="231F20"/>
        </w:rPr>
        <w:t>the blood is plasma and 40 percent is red blood cells,    but these percentages can vary considerably in different people,</w:t>
      </w:r>
      <w:r>
        <w:rPr>
          <w:color w:val="231F20"/>
          <w:spacing w:val="20"/>
        </w:rPr>
        <w:t> </w:t>
      </w:r>
      <w:r>
        <w:rPr>
          <w:color w:val="231F20"/>
        </w:rPr>
        <w:t>depending</w:t>
      </w:r>
      <w:r>
        <w:rPr>
          <w:color w:val="231F20"/>
          <w:spacing w:val="21"/>
        </w:rPr>
        <w:t> </w:t>
      </w:r>
      <w:r>
        <w:rPr>
          <w:color w:val="231F20"/>
        </w:rPr>
        <w:t>on</w:t>
      </w:r>
      <w:r>
        <w:rPr>
          <w:color w:val="231F20"/>
          <w:spacing w:val="21"/>
        </w:rPr>
        <w:t> </w:t>
      </w:r>
      <w:r>
        <w:rPr>
          <w:color w:val="231F20"/>
          <w:spacing w:val="-3"/>
        </w:rPr>
        <w:t>gender,</w:t>
      </w:r>
      <w:r>
        <w:rPr>
          <w:color w:val="231F20"/>
          <w:spacing w:val="20"/>
        </w:rPr>
        <w:t> </w:t>
      </w:r>
      <w:r>
        <w:rPr>
          <w:color w:val="231F20"/>
        </w:rPr>
        <w:t>weight,</w:t>
      </w:r>
      <w:r>
        <w:rPr>
          <w:color w:val="231F20"/>
          <w:spacing w:val="21"/>
        </w:rPr>
        <w:t> </w:t>
      </w:r>
      <w:r>
        <w:rPr>
          <w:color w:val="231F20"/>
        </w:rPr>
        <w:t>and</w:t>
      </w:r>
      <w:r>
        <w:rPr>
          <w:color w:val="231F20"/>
          <w:spacing w:val="21"/>
        </w:rPr>
        <w:t> </w:t>
      </w:r>
      <w:r>
        <w:rPr>
          <w:color w:val="231F20"/>
        </w:rPr>
        <w:t>other</w:t>
      </w:r>
      <w:r>
        <w:rPr>
          <w:color w:val="231F20"/>
          <w:spacing w:val="21"/>
        </w:rPr>
        <w:t> </w:t>
      </w:r>
      <w:r>
        <w:rPr>
          <w:color w:val="231F20"/>
        </w:rPr>
        <w:t>factors.</w:t>
      </w:r>
    </w:p>
    <w:p>
      <w:pPr>
        <w:pStyle w:val="BodyText"/>
        <w:spacing w:line="249" w:lineRule="auto" w:before="244"/>
        <w:ind w:left="1440"/>
        <w:jc w:val="both"/>
      </w:pPr>
      <w:r>
        <w:rPr>
          <w:rFonts w:ascii="Trebuchet MS" w:hAnsi="Trebuchet MS"/>
          <w:b/>
          <w:color w:val="231F20"/>
          <w:sz w:val="19"/>
        </w:rPr>
        <w:t>Hematocrit (Packed Red Blood Cell Volume). </w:t>
      </w:r>
      <w:r>
        <w:rPr>
          <w:color w:val="231F20"/>
        </w:rPr>
        <w:t>The hematocrit is the fraction of the blood composed of red blood cells, as determined by centrifuging blood in a “hematocrit tube” until the cells become tightly packed in the bottom of the tube. Because the centrifuge does not completely pack the red blood cells together, about 3 to 4 percent of the plasma remains entrapped among the cells, and the true hematocrit is only about 96 percent of the measured hematocrit.</w:t>
      </w:r>
    </w:p>
    <w:p>
      <w:pPr>
        <w:pStyle w:val="BodyText"/>
        <w:spacing w:line="249" w:lineRule="auto" w:before="8"/>
        <w:ind w:left="1440" w:firstLine="240"/>
        <w:jc w:val="both"/>
      </w:pPr>
      <w:r>
        <w:rPr>
          <w:color w:val="231F20"/>
        </w:rPr>
        <w:t>In men, the measured hematocrit is normally </w:t>
      </w:r>
      <w:r>
        <w:rPr>
          <w:color w:val="231F20"/>
          <w:spacing w:val="-3"/>
        </w:rPr>
        <w:t>about </w:t>
      </w:r>
      <w:r>
        <w:rPr>
          <w:color w:val="231F20"/>
        </w:rPr>
        <w:t>0.40, and in women, it is about 0.36. In persons with severe </w:t>
      </w:r>
      <w:r>
        <w:rPr>
          <w:i/>
          <w:color w:val="231F20"/>
        </w:rPr>
        <w:t>anemia, </w:t>
      </w:r>
      <w:r>
        <w:rPr>
          <w:color w:val="231F20"/>
        </w:rPr>
        <w:t>the hematocrit may fall as low as </w:t>
      </w:r>
      <w:r>
        <w:rPr>
          <w:color w:val="231F20"/>
          <w:spacing w:val="-3"/>
        </w:rPr>
        <w:t>0.10,      </w:t>
      </w:r>
      <w:r>
        <w:rPr>
          <w:color w:val="231F20"/>
        </w:rPr>
        <w:t>a value that is barely sufficient to sustain life. </w:t>
      </w:r>
      <w:r>
        <w:rPr>
          <w:color w:val="231F20"/>
          <w:spacing w:val="-4"/>
        </w:rPr>
        <w:t>Conversely, </w:t>
      </w:r>
      <w:r>
        <w:rPr>
          <w:color w:val="231F20"/>
        </w:rPr>
        <w:t>in</w:t>
      </w:r>
      <w:r>
        <w:rPr>
          <w:color w:val="231F20"/>
          <w:spacing w:val="20"/>
        </w:rPr>
        <w:t> </w:t>
      </w:r>
      <w:r>
        <w:rPr>
          <w:color w:val="231F20"/>
        </w:rPr>
        <w:t>persons</w:t>
      </w:r>
      <w:r>
        <w:rPr>
          <w:color w:val="231F20"/>
          <w:spacing w:val="20"/>
        </w:rPr>
        <w:t> </w:t>
      </w:r>
      <w:r>
        <w:rPr>
          <w:color w:val="231F20"/>
        </w:rPr>
        <w:t>with</w:t>
      </w:r>
      <w:r>
        <w:rPr>
          <w:color w:val="231F20"/>
          <w:spacing w:val="20"/>
        </w:rPr>
        <w:t> </w:t>
      </w:r>
      <w:r>
        <w:rPr>
          <w:color w:val="231F20"/>
        </w:rPr>
        <w:t>some</w:t>
      </w:r>
      <w:r>
        <w:rPr>
          <w:color w:val="231F20"/>
          <w:spacing w:val="21"/>
        </w:rPr>
        <w:t> </w:t>
      </w:r>
      <w:r>
        <w:rPr>
          <w:color w:val="231F20"/>
        </w:rPr>
        <w:t>conditions</w:t>
      </w:r>
      <w:r>
        <w:rPr>
          <w:color w:val="231F20"/>
          <w:spacing w:val="20"/>
        </w:rPr>
        <w:t> </w:t>
      </w:r>
      <w:r>
        <w:rPr>
          <w:color w:val="231F20"/>
        </w:rPr>
        <w:t>excessive</w:t>
      </w:r>
      <w:r>
        <w:rPr>
          <w:color w:val="231F20"/>
          <w:spacing w:val="20"/>
        </w:rPr>
        <w:t> </w:t>
      </w:r>
      <w:r>
        <w:rPr>
          <w:color w:val="231F20"/>
        </w:rPr>
        <w:t>production</w:t>
      </w:r>
      <w:r>
        <w:rPr>
          <w:color w:val="231F20"/>
          <w:spacing w:val="20"/>
        </w:rPr>
        <w:t> </w:t>
      </w:r>
      <w:r>
        <w:rPr>
          <w:color w:val="231F20"/>
          <w:spacing w:val="-7"/>
        </w:rPr>
        <w:t>of</w:t>
      </w:r>
    </w:p>
    <w:p>
      <w:pPr>
        <w:pStyle w:val="BodyText"/>
        <w:spacing w:line="249" w:lineRule="auto" w:before="100"/>
        <w:ind w:left="319" w:right="1079"/>
        <w:jc w:val="both"/>
      </w:pPr>
      <w:r>
        <w:rPr/>
        <w:br w:type="column"/>
      </w:r>
      <w:r>
        <w:rPr>
          <w:color w:val="231F20"/>
        </w:rPr>
        <w:t>red blood cells occurs, resulting in </w:t>
      </w:r>
      <w:r>
        <w:rPr>
          <w:i/>
          <w:color w:val="231F20"/>
        </w:rPr>
        <w:t>polycythemia. </w:t>
      </w:r>
      <w:r>
        <w:rPr>
          <w:color w:val="231F20"/>
        </w:rPr>
        <w:t>In these persons, the hematocrit can rise to 0.65.</w:t>
      </w:r>
    </w:p>
    <w:p>
      <w:pPr>
        <w:pStyle w:val="BodyText"/>
      </w:pPr>
    </w:p>
    <w:p>
      <w:pPr>
        <w:pStyle w:val="BodyText"/>
      </w:pPr>
    </w:p>
    <w:p>
      <w:pPr>
        <w:pStyle w:val="BodyText"/>
      </w:pPr>
    </w:p>
    <w:p>
      <w:pPr>
        <w:pStyle w:val="BodyText"/>
        <w:spacing w:before="1"/>
        <w:rPr>
          <w:sz w:val="12"/>
        </w:rPr>
      </w:pPr>
      <w:r>
        <w:rPr/>
        <w:pict>
          <v:shape style="position:absolute;margin-left:324pt;margin-top:9.163922pt;width:234pt;height:.1pt;mso-position-horizontal-relative:page;mso-position-vertical-relative:paragraph;z-index:-251637760;mso-wrap-distance-left:0;mso-wrap-distance-right:0" coordorigin="6480,183" coordsize="4680,0" path="m6480,183l11160,183e" filled="false" stroked="true" strokeweight=".5pt" strokecolor="#231f20">
            <v:path arrowok="t"/>
            <v:stroke dashstyle="solid"/>
            <w10:wrap type="topAndBottom"/>
          </v:shape>
        </w:pict>
      </w:r>
    </w:p>
    <w:p>
      <w:pPr>
        <w:pStyle w:val="BodyText"/>
        <w:spacing w:line="249" w:lineRule="auto" w:before="54"/>
        <w:ind w:left="319" w:right="1079"/>
        <w:jc w:val="both"/>
      </w:pPr>
      <w:r>
        <w:rPr>
          <w:color w:val="231F20"/>
          <w:w w:val="105"/>
        </w:rPr>
        <w:t>Comparisons</w:t>
      </w:r>
      <w:r>
        <w:rPr>
          <w:color w:val="231F20"/>
          <w:spacing w:val="-27"/>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composition</w:t>
      </w:r>
      <w:r>
        <w:rPr>
          <w:color w:val="231F20"/>
          <w:spacing w:val="-27"/>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extracellular</w:t>
      </w:r>
      <w:r>
        <w:rPr>
          <w:color w:val="231F20"/>
          <w:spacing w:val="-27"/>
          <w:w w:val="105"/>
        </w:rPr>
        <w:t> </w:t>
      </w:r>
      <w:r>
        <w:rPr>
          <w:color w:val="231F20"/>
          <w:spacing w:val="-3"/>
          <w:w w:val="105"/>
        </w:rPr>
        <w:t>fluid, </w:t>
      </w:r>
      <w:r>
        <w:rPr>
          <w:color w:val="231F20"/>
          <w:w w:val="105"/>
        </w:rPr>
        <w:t>including the plasma and interstitial fluid, and the </w:t>
      </w:r>
      <w:r>
        <w:rPr>
          <w:color w:val="231F20"/>
          <w:spacing w:val="-3"/>
          <w:w w:val="105"/>
        </w:rPr>
        <w:t>intra­ </w:t>
      </w:r>
      <w:r>
        <w:rPr>
          <w:color w:val="231F20"/>
          <w:w w:val="105"/>
        </w:rPr>
        <w:t>cellular</w:t>
      </w:r>
      <w:r>
        <w:rPr>
          <w:color w:val="231F20"/>
          <w:spacing w:val="-6"/>
          <w:w w:val="105"/>
        </w:rPr>
        <w:t> </w:t>
      </w:r>
      <w:r>
        <w:rPr>
          <w:color w:val="231F20"/>
          <w:w w:val="105"/>
        </w:rPr>
        <w:t>fluid</w:t>
      </w:r>
      <w:r>
        <w:rPr>
          <w:color w:val="231F20"/>
          <w:spacing w:val="-6"/>
          <w:w w:val="105"/>
        </w:rPr>
        <w:t> </w:t>
      </w:r>
      <w:r>
        <w:rPr>
          <w:color w:val="231F20"/>
          <w:w w:val="105"/>
        </w:rPr>
        <w:t>are</w:t>
      </w:r>
      <w:r>
        <w:rPr>
          <w:color w:val="231F20"/>
          <w:spacing w:val="-5"/>
          <w:w w:val="105"/>
        </w:rPr>
        <w:t> </w:t>
      </w:r>
      <w:r>
        <w:rPr>
          <w:color w:val="231F20"/>
          <w:w w:val="105"/>
        </w:rPr>
        <w:t>shown</w:t>
      </w:r>
      <w:r>
        <w:rPr>
          <w:color w:val="231F20"/>
          <w:spacing w:val="-6"/>
          <w:w w:val="105"/>
        </w:rPr>
        <w:t> </w:t>
      </w:r>
      <w:r>
        <w:rPr>
          <w:color w:val="231F20"/>
          <w:w w:val="105"/>
        </w:rPr>
        <w:t>in</w:t>
      </w:r>
      <w:r>
        <w:rPr>
          <w:color w:val="231F20"/>
          <w:spacing w:val="-6"/>
          <w:w w:val="105"/>
        </w:rPr>
        <w:t> </w:t>
      </w:r>
      <w:hyperlink w:history="true" w:anchor="_bookmark2">
        <w:r>
          <w:rPr>
            <w:b/>
            <w:color w:val="0080AC"/>
            <w:w w:val="105"/>
          </w:rPr>
          <w:t>Figures</w:t>
        </w:r>
        <w:r>
          <w:rPr>
            <w:b/>
            <w:color w:val="0080AC"/>
            <w:spacing w:val="-7"/>
            <w:w w:val="105"/>
          </w:rPr>
          <w:t> </w:t>
        </w:r>
        <w:r>
          <w:rPr>
            <w:b/>
            <w:color w:val="0080AC"/>
            <w:w w:val="105"/>
          </w:rPr>
          <w:t>25-2</w:t>
        </w:r>
        <w:r>
          <w:rPr>
            <w:b/>
            <w:color w:val="0080AC"/>
            <w:spacing w:val="-5"/>
            <w:w w:val="105"/>
          </w:rPr>
          <w:t> </w:t>
        </w:r>
      </w:hyperlink>
      <w:r>
        <w:rPr>
          <w:color w:val="231F20"/>
          <w:w w:val="105"/>
        </w:rPr>
        <w:t>and</w:t>
      </w:r>
      <w:r>
        <w:rPr>
          <w:color w:val="231F20"/>
          <w:spacing w:val="-6"/>
          <w:w w:val="105"/>
        </w:rPr>
        <w:t> </w:t>
      </w:r>
      <w:hyperlink w:history="true" w:anchor="_bookmark3">
        <w:r>
          <w:rPr>
            <w:b/>
            <w:color w:val="0080AC"/>
            <w:w w:val="105"/>
          </w:rPr>
          <w:t>25-3</w:t>
        </w:r>
        <w:r>
          <w:rPr>
            <w:b/>
            <w:color w:val="0080AC"/>
            <w:spacing w:val="-6"/>
            <w:w w:val="105"/>
          </w:rPr>
          <w:t> </w:t>
        </w:r>
      </w:hyperlink>
      <w:r>
        <w:rPr>
          <w:color w:val="231F20"/>
          <w:w w:val="105"/>
        </w:rPr>
        <w:t>and</w:t>
      </w:r>
      <w:r>
        <w:rPr>
          <w:color w:val="231F20"/>
          <w:spacing w:val="-5"/>
          <w:w w:val="105"/>
        </w:rPr>
        <w:t> </w:t>
      </w:r>
      <w:r>
        <w:rPr>
          <w:color w:val="231F20"/>
          <w:spacing w:val="-7"/>
          <w:w w:val="105"/>
        </w:rPr>
        <w:t>in </w:t>
      </w:r>
      <w:hyperlink w:history="true" w:anchor="_bookmark4">
        <w:r>
          <w:rPr>
            <w:b/>
            <w:color w:val="0080AC"/>
            <w:spacing w:val="-4"/>
            <w:w w:val="105"/>
          </w:rPr>
          <w:t>Table</w:t>
        </w:r>
        <w:r>
          <w:rPr>
            <w:b/>
            <w:color w:val="0080AC"/>
            <w:spacing w:val="1"/>
            <w:w w:val="105"/>
          </w:rPr>
          <w:t> </w:t>
        </w:r>
        <w:r>
          <w:rPr>
            <w:b/>
            <w:color w:val="0080AC"/>
            <w:w w:val="105"/>
          </w:rPr>
          <w:t>25-2</w:t>
        </w:r>
      </w:hyperlink>
      <w:r>
        <w:rPr>
          <w:color w:val="231F20"/>
          <w:w w:val="105"/>
        </w:rPr>
        <w:t>.</w:t>
      </w:r>
    </w:p>
    <w:p>
      <w:pPr>
        <w:pStyle w:val="BodyText"/>
        <w:spacing w:before="11"/>
        <w:rPr>
          <w:sz w:val="30"/>
        </w:rPr>
      </w:pPr>
    </w:p>
    <w:p>
      <w:pPr>
        <w:pStyle w:val="Heading2"/>
        <w:spacing w:line="225" w:lineRule="auto"/>
        <w:ind w:right="1239"/>
      </w:pPr>
      <w:r>
        <w:rPr/>
        <w:pict>
          <v:rect style="position:absolute;margin-left:576pt;margin-top:2.358921pt;width:36pt;height:24pt;mso-position-horizontal-relative:page;mso-position-vertical-relative:paragraph;z-index:251682816" filled="true" fillcolor="#e8dac8" stroked="false">
            <v:fill type="solid"/>
            <w10:wrap type="none"/>
          </v:rect>
        </w:pict>
      </w:r>
      <w:r>
        <w:rPr/>
        <w:pict>
          <v:shape style="position:absolute;margin-left:578.900024pt;margin-top:-73.98378pt;width:15.9pt;height:53.35pt;mso-position-horizontal-relative:page;mso-position-vertical-relative:paragraph;z-index:25168793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IONIC COMPOSITION OF PLASMA AND INTERSTITIAL FLUID IS SIMILAR</w:t>
      </w:r>
    </w:p>
    <w:p>
      <w:pPr>
        <w:pStyle w:val="BodyText"/>
        <w:spacing w:line="249" w:lineRule="auto" w:before="127"/>
        <w:ind w:left="319" w:right="1079"/>
        <w:jc w:val="both"/>
      </w:pPr>
      <w:r>
        <w:rPr>
          <w:color w:val="231F20"/>
          <w:w w:val="105"/>
        </w:rPr>
        <w:t>Because the plasma and interstitial fluid are separated only by highly permeable capillary membranes, </w:t>
      </w:r>
      <w:r>
        <w:rPr>
          <w:color w:val="231F20"/>
          <w:spacing w:val="-4"/>
          <w:w w:val="105"/>
        </w:rPr>
        <w:t>their </w:t>
      </w:r>
      <w:r>
        <w:rPr>
          <w:color w:val="231F20"/>
          <w:w w:val="105"/>
        </w:rPr>
        <w:t>ionic composition is similar. The most important </w:t>
      </w:r>
      <w:r>
        <w:rPr>
          <w:color w:val="231F20"/>
          <w:spacing w:val="-4"/>
          <w:w w:val="105"/>
        </w:rPr>
        <w:t>differ­ </w:t>
      </w:r>
      <w:r>
        <w:rPr>
          <w:color w:val="231F20"/>
          <w:w w:val="105"/>
        </w:rPr>
        <w:t>ence</w:t>
      </w:r>
      <w:r>
        <w:rPr>
          <w:color w:val="231F20"/>
          <w:spacing w:val="-10"/>
          <w:w w:val="105"/>
        </w:rPr>
        <w:t> </w:t>
      </w:r>
      <w:r>
        <w:rPr>
          <w:color w:val="231F20"/>
          <w:w w:val="105"/>
        </w:rPr>
        <w:t>between</w:t>
      </w:r>
      <w:r>
        <w:rPr>
          <w:color w:val="231F20"/>
          <w:spacing w:val="-10"/>
          <w:w w:val="105"/>
        </w:rPr>
        <w:t> </w:t>
      </w:r>
      <w:r>
        <w:rPr>
          <w:color w:val="231F20"/>
          <w:w w:val="105"/>
        </w:rPr>
        <w:t>these</w:t>
      </w:r>
      <w:r>
        <w:rPr>
          <w:color w:val="231F20"/>
          <w:spacing w:val="-9"/>
          <w:w w:val="105"/>
        </w:rPr>
        <w:t> </w:t>
      </w:r>
      <w:r>
        <w:rPr>
          <w:color w:val="231F20"/>
          <w:w w:val="105"/>
        </w:rPr>
        <w:t>two</w:t>
      </w:r>
      <w:r>
        <w:rPr>
          <w:color w:val="231F20"/>
          <w:spacing w:val="-10"/>
          <w:w w:val="105"/>
        </w:rPr>
        <w:t> </w:t>
      </w:r>
      <w:r>
        <w:rPr>
          <w:color w:val="231F20"/>
          <w:w w:val="105"/>
        </w:rPr>
        <w:t>compartments</w:t>
      </w:r>
      <w:r>
        <w:rPr>
          <w:color w:val="231F20"/>
          <w:spacing w:val="-10"/>
          <w:w w:val="105"/>
        </w:rPr>
        <w:t> </w:t>
      </w:r>
      <w:r>
        <w:rPr>
          <w:color w:val="231F20"/>
          <w:w w:val="105"/>
        </w:rPr>
        <w:t>is</w:t>
      </w:r>
      <w:r>
        <w:rPr>
          <w:color w:val="231F20"/>
          <w:spacing w:val="-9"/>
          <w:w w:val="105"/>
        </w:rPr>
        <w:t> </w:t>
      </w:r>
      <w:r>
        <w:rPr>
          <w:color w:val="231F20"/>
          <w:w w:val="105"/>
        </w:rPr>
        <w:t>the</w:t>
      </w:r>
      <w:r>
        <w:rPr>
          <w:color w:val="231F20"/>
          <w:spacing w:val="-10"/>
          <w:w w:val="105"/>
        </w:rPr>
        <w:t> </w:t>
      </w:r>
      <w:r>
        <w:rPr>
          <w:color w:val="231F20"/>
          <w:w w:val="105"/>
        </w:rPr>
        <w:t>higher</w:t>
      </w:r>
      <w:r>
        <w:rPr>
          <w:color w:val="231F20"/>
          <w:spacing w:val="-10"/>
          <w:w w:val="105"/>
        </w:rPr>
        <w:t> </w:t>
      </w:r>
      <w:r>
        <w:rPr>
          <w:color w:val="231F20"/>
          <w:w w:val="105"/>
        </w:rPr>
        <w:t>con­ centration</w:t>
      </w:r>
      <w:r>
        <w:rPr>
          <w:color w:val="231F20"/>
          <w:spacing w:val="-27"/>
          <w:w w:val="105"/>
        </w:rPr>
        <w:t> </w:t>
      </w:r>
      <w:r>
        <w:rPr>
          <w:color w:val="231F20"/>
          <w:w w:val="105"/>
        </w:rPr>
        <w:t>of</w:t>
      </w:r>
      <w:r>
        <w:rPr>
          <w:color w:val="231F20"/>
          <w:spacing w:val="-27"/>
          <w:w w:val="105"/>
        </w:rPr>
        <w:t> </w:t>
      </w:r>
      <w:r>
        <w:rPr>
          <w:color w:val="231F20"/>
          <w:w w:val="105"/>
        </w:rPr>
        <w:t>protein</w:t>
      </w:r>
      <w:r>
        <w:rPr>
          <w:color w:val="231F20"/>
          <w:spacing w:val="-26"/>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plasma;</w:t>
      </w:r>
      <w:r>
        <w:rPr>
          <w:color w:val="231F20"/>
          <w:spacing w:val="-27"/>
          <w:w w:val="105"/>
        </w:rPr>
        <w:t> </w:t>
      </w:r>
      <w:r>
        <w:rPr>
          <w:color w:val="231F20"/>
          <w:w w:val="105"/>
        </w:rPr>
        <w:t>because</w:t>
      </w:r>
      <w:r>
        <w:rPr>
          <w:color w:val="231F20"/>
          <w:spacing w:val="-26"/>
          <w:w w:val="105"/>
        </w:rPr>
        <w:t> </w:t>
      </w:r>
      <w:r>
        <w:rPr>
          <w:color w:val="231F20"/>
          <w:w w:val="105"/>
        </w:rPr>
        <w:t>the</w:t>
      </w:r>
      <w:r>
        <w:rPr>
          <w:color w:val="231F20"/>
          <w:spacing w:val="-27"/>
          <w:w w:val="105"/>
        </w:rPr>
        <w:t> </w:t>
      </w:r>
      <w:r>
        <w:rPr>
          <w:color w:val="231F20"/>
          <w:w w:val="105"/>
        </w:rPr>
        <w:t>capillaries have</w:t>
      </w:r>
      <w:r>
        <w:rPr>
          <w:color w:val="231F20"/>
          <w:spacing w:val="-26"/>
          <w:w w:val="105"/>
        </w:rPr>
        <w:t> </w:t>
      </w:r>
      <w:r>
        <w:rPr>
          <w:color w:val="231F20"/>
          <w:w w:val="105"/>
        </w:rPr>
        <w:t>a</w:t>
      </w:r>
      <w:r>
        <w:rPr>
          <w:color w:val="231F20"/>
          <w:spacing w:val="-25"/>
          <w:w w:val="105"/>
        </w:rPr>
        <w:t> </w:t>
      </w:r>
      <w:r>
        <w:rPr>
          <w:color w:val="231F20"/>
          <w:w w:val="105"/>
        </w:rPr>
        <w:t>low</w:t>
      </w:r>
      <w:r>
        <w:rPr>
          <w:color w:val="231F20"/>
          <w:spacing w:val="-25"/>
          <w:w w:val="105"/>
        </w:rPr>
        <w:t> </w:t>
      </w:r>
      <w:r>
        <w:rPr>
          <w:color w:val="231F20"/>
          <w:w w:val="105"/>
        </w:rPr>
        <w:t>permeability</w:t>
      </w:r>
      <w:r>
        <w:rPr>
          <w:color w:val="231F20"/>
          <w:spacing w:val="-26"/>
          <w:w w:val="105"/>
        </w:rPr>
        <w:t> </w:t>
      </w:r>
      <w:r>
        <w:rPr>
          <w:color w:val="231F20"/>
          <w:w w:val="105"/>
        </w:rPr>
        <w:t>to</w:t>
      </w:r>
      <w:r>
        <w:rPr>
          <w:color w:val="231F20"/>
          <w:spacing w:val="-25"/>
          <w:w w:val="105"/>
        </w:rPr>
        <w:t> </w:t>
      </w:r>
      <w:r>
        <w:rPr>
          <w:color w:val="231F20"/>
          <w:w w:val="105"/>
        </w:rPr>
        <w:t>the</w:t>
      </w:r>
      <w:r>
        <w:rPr>
          <w:color w:val="231F20"/>
          <w:spacing w:val="-25"/>
          <w:w w:val="105"/>
        </w:rPr>
        <w:t> </w:t>
      </w:r>
      <w:r>
        <w:rPr>
          <w:color w:val="231F20"/>
          <w:w w:val="105"/>
        </w:rPr>
        <w:t>plasma</w:t>
      </w:r>
      <w:r>
        <w:rPr>
          <w:color w:val="231F20"/>
          <w:spacing w:val="-25"/>
          <w:w w:val="105"/>
        </w:rPr>
        <w:t> </w:t>
      </w:r>
      <w:r>
        <w:rPr>
          <w:color w:val="231F20"/>
          <w:w w:val="105"/>
        </w:rPr>
        <w:t>proteins,</w:t>
      </w:r>
      <w:r>
        <w:rPr>
          <w:color w:val="231F20"/>
          <w:spacing w:val="-26"/>
          <w:w w:val="105"/>
        </w:rPr>
        <w:t> </w:t>
      </w:r>
      <w:r>
        <w:rPr>
          <w:color w:val="231F20"/>
          <w:w w:val="105"/>
        </w:rPr>
        <w:t>only</w:t>
      </w:r>
      <w:r>
        <w:rPr>
          <w:color w:val="231F20"/>
          <w:spacing w:val="-25"/>
          <w:w w:val="105"/>
        </w:rPr>
        <w:t> </w:t>
      </w:r>
      <w:r>
        <w:rPr>
          <w:color w:val="231F20"/>
          <w:spacing w:val="-3"/>
          <w:w w:val="105"/>
        </w:rPr>
        <w:t>small </w:t>
      </w:r>
      <w:r>
        <w:rPr>
          <w:color w:val="231F20"/>
          <w:w w:val="105"/>
        </w:rPr>
        <w:t>amounts</w:t>
      </w:r>
      <w:r>
        <w:rPr>
          <w:color w:val="231F20"/>
          <w:spacing w:val="-11"/>
          <w:w w:val="105"/>
        </w:rPr>
        <w:t> </w:t>
      </w:r>
      <w:r>
        <w:rPr>
          <w:color w:val="231F20"/>
          <w:w w:val="105"/>
        </w:rPr>
        <w:t>of</w:t>
      </w:r>
      <w:r>
        <w:rPr>
          <w:color w:val="231F20"/>
          <w:spacing w:val="-11"/>
          <w:w w:val="105"/>
        </w:rPr>
        <w:t> </w:t>
      </w:r>
      <w:r>
        <w:rPr>
          <w:color w:val="231F20"/>
          <w:w w:val="105"/>
        </w:rPr>
        <w:t>proteins</w:t>
      </w:r>
      <w:r>
        <w:rPr>
          <w:color w:val="231F20"/>
          <w:spacing w:val="-11"/>
          <w:w w:val="105"/>
        </w:rPr>
        <w:t> </w:t>
      </w:r>
      <w:r>
        <w:rPr>
          <w:color w:val="231F20"/>
          <w:w w:val="105"/>
        </w:rPr>
        <w:t>are</w:t>
      </w:r>
      <w:r>
        <w:rPr>
          <w:color w:val="231F20"/>
          <w:spacing w:val="-11"/>
          <w:w w:val="105"/>
        </w:rPr>
        <w:t> </w:t>
      </w:r>
      <w:r>
        <w:rPr>
          <w:color w:val="231F20"/>
          <w:w w:val="105"/>
        </w:rPr>
        <w:t>leaked</w:t>
      </w:r>
      <w:r>
        <w:rPr>
          <w:color w:val="231F20"/>
          <w:spacing w:val="-11"/>
          <w:w w:val="105"/>
        </w:rPr>
        <w:t> </w:t>
      </w:r>
      <w:r>
        <w:rPr>
          <w:color w:val="231F20"/>
          <w:w w:val="105"/>
        </w:rPr>
        <w:t>into</w:t>
      </w:r>
      <w:r>
        <w:rPr>
          <w:color w:val="231F20"/>
          <w:spacing w:val="-11"/>
          <w:w w:val="105"/>
        </w:rPr>
        <w:t> </w:t>
      </w:r>
      <w:r>
        <w:rPr>
          <w:color w:val="231F20"/>
          <w:w w:val="105"/>
        </w:rPr>
        <w:t>the</w:t>
      </w:r>
      <w:r>
        <w:rPr>
          <w:color w:val="231F20"/>
          <w:spacing w:val="-11"/>
          <w:w w:val="105"/>
        </w:rPr>
        <w:t> </w:t>
      </w:r>
      <w:r>
        <w:rPr>
          <w:color w:val="231F20"/>
          <w:w w:val="105"/>
        </w:rPr>
        <w:t>interstitial</w:t>
      </w:r>
      <w:r>
        <w:rPr>
          <w:color w:val="231F20"/>
          <w:spacing w:val="-11"/>
          <w:w w:val="105"/>
        </w:rPr>
        <w:t> </w:t>
      </w:r>
      <w:r>
        <w:rPr>
          <w:color w:val="231F20"/>
          <w:spacing w:val="-3"/>
          <w:w w:val="105"/>
        </w:rPr>
        <w:t>spaces </w:t>
      </w:r>
      <w:r>
        <w:rPr>
          <w:color w:val="231F20"/>
          <w:w w:val="105"/>
        </w:rPr>
        <w:t>in most</w:t>
      </w:r>
      <w:r>
        <w:rPr>
          <w:color w:val="231F20"/>
          <w:spacing w:val="6"/>
          <w:w w:val="105"/>
        </w:rPr>
        <w:t> </w:t>
      </w:r>
      <w:r>
        <w:rPr>
          <w:color w:val="231F20"/>
          <w:w w:val="105"/>
        </w:rPr>
        <w:t>tissues.</w:t>
      </w:r>
    </w:p>
    <w:p>
      <w:pPr>
        <w:pStyle w:val="BodyText"/>
        <w:spacing w:line="249" w:lineRule="auto" w:before="7"/>
        <w:ind w:left="319" w:right="1077" w:firstLine="240"/>
        <w:jc w:val="both"/>
      </w:pPr>
      <w:r>
        <w:rPr>
          <w:color w:val="231F20"/>
          <w:w w:val="105"/>
        </w:rPr>
        <w:t>Because of the </w:t>
      </w:r>
      <w:r>
        <w:rPr>
          <w:i/>
          <w:color w:val="231F20"/>
          <w:w w:val="105"/>
        </w:rPr>
        <w:t>Donnan  effect,  </w:t>
      </w:r>
      <w:r>
        <w:rPr>
          <w:color w:val="231F20"/>
          <w:w w:val="105"/>
        </w:rPr>
        <w:t>the  concentration  of positively charged ions (cations) is slightly greater (~2 percent) in the plasma than in the interstitial fluid. The</w:t>
      </w:r>
      <w:r>
        <w:rPr>
          <w:color w:val="231F20"/>
          <w:spacing w:val="-23"/>
          <w:w w:val="105"/>
        </w:rPr>
        <w:t> </w:t>
      </w:r>
      <w:r>
        <w:rPr>
          <w:color w:val="231F20"/>
          <w:w w:val="105"/>
        </w:rPr>
        <w:t>plasma</w:t>
      </w:r>
      <w:r>
        <w:rPr>
          <w:color w:val="231F20"/>
          <w:spacing w:val="-23"/>
          <w:w w:val="105"/>
        </w:rPr>
        <w:t> </w:t>
      </w:r>
      <w:r>
        <w:rPr>
          <w:color w:val="231F20"/>
          <w:w w:val="105"/>
        </w:rPr>
        <w:t>proteins</w:t>
      </w:r>
      <w:r>
        <w:rPr>
          <w:color w:val="231F20"/>
          <w:spacing w:val="-23"/>
          <w:w w:val="105"/>
        </w:rPr>
        <w:t> </w:t>
      </w:r>
      <w:r>
        <w:rPr>
          <w:color w:val="231F20"/>
          <w:w w:val="105"/>
        </w:rPr>
        <w:t>have</w:t>
      </w:r>
      <w:r>
        <w:rPr>
          <w:color w:val="231F20"/>
          <w:spacing w:val="-23"/>
          <w:w w:val="105"/>
        </w:rPr>
        <w:t> </w:t>
      </w:r>
      <w:r>
        <w:rPr>
          <w:color w:val="231F20"/>
          <w:w w:val="105"/>
        </w:rPr>
        <w:t>a</w:t>
      </w:r>
      <w:r>
        <w:rPr>
          <w:color w:val="231F20"/>
          <w:spacing w:val="-23"/>
          <w:w w:val="105"/>
        </w:rPr>
        <w:t> </w:t>
      </w:r>
      <w:r>
        <w:rPr>
          <w:color w:val="231F20"/>
          <w:w w:val="105"/>
        </w:rPr>
        <w:t>net</w:t>
      </w:r>
      <w:r>
        <w:rPr>
          <w:color w:val="231F20"/>
          <w:spacing w:val="-23"/>
          <w:w w:val="105"/>
        </w:rPr>
        <w:t> </w:t>
      </w:r>
      <w:r>
        <w:rPr>
          <w:color w:val="231F20"/>
          <w:w w:val="105"/>
        </w:rPr>
        <w:t>negative</w:t>
      </w:r>
      <w:r>
        <w:rPr>
          <w:color w:val="231F20"/>
          <w:spacing w:val="-22"/>
          <w:w w:val="105"/>
        </w:rPr>
        <w:t> </w:t>
      </w:r>
      <w:r>
        <w:rPr>
          <w:color w:val="231F20"/>
          <w:w w:val="105"/>
        </w:rPr>
        <w:t>charge</w:t>
      </w:r>
      <w:r>
        <w:rPr>
          <w:color w:val="231F20"/>
          <w:spacing w:val="-23"/>
          <w:w w:val="105"/>
        </w:rPr>
        <w:t> </w:t>
      </w:r>
      <w:r>
        <w:rPr>
          <w:color w:val="231F20"/>
          <w:w w:val="105"/>
        </w:rPr>
        <w:t>and</w:t>
      </w:r>
      <w:r>
        <w:rPr>
          <w:color w:val="231F20"/>
          <w:spacing w:val="-23"/>
          <w:w w:val="105"/>
        </w:rPr>
        <w:t> </w:t>
      </w:r>
      <w:r>
        <w:rPr>
          <w:color w:val="231F20"/>
          <w:w w:val="105"/>
        </w:rPr>
        <w:t>there­ fore tend to bind cations such as sodium and potassium ions, thus holding extra amounts of these cations in the plasma</w:t>
      </w:r>
      <w:r>
        <w:rPr>
          <w:color w:val="231F20"/>
          <w:spacing w:val="-26"/>
          <w:w w:val="105"/>
        </w:rPr>
        <w:t> </w:t>
      </w:r>
      <w:r>
        <w:rPr>
          <w:color w:val="231F20"/>
          <w:w w:val="105"/>
        </w:rPr>
        <w:t>along</w:t>
      </w:r>
      <w:r>
        <w:rPr>
          <w:color w:val="231F20"/>
          <w:spacing w:val="-26"/>
          <w:w w:val="105"/>
        </w:rPr>
        <w:t> </w:t>
      </w:r>
      <w:r>
        <w:rPr>
          <w:color w:val="231F20"/>
          <w:w w:val="105"/>
        </w:rPr>
        <w:t>with</w:t>
      </w:r>
      <w:r>
        <w:rPr>
          <w:color w:val="231F20"/>
          <w:spacing w:val="-26"/>
          <w:w w:val="105"/>
        </w:rPr>
        <w:t> </w:t>
      </w:r>
      <w:r>
        <w:rPr>
          <w:color w:val="231F20"/>
          <w:w w:val="105"/>
        </w:rPr>
        <w:t>the</w:t>
      </w:r>
      <w:r>
        <w:rPr>
          <w:color w:val="231F20"/>
          <w:spacing w:val="-26"/>
          <w:w w:val="105"/>
        </w:rPr>
        <w:t> </w:t>
      </w:r>
      <w:r>
        <w:rPr>
          <w:color w:val="231F20"/>
          <w:w w:val="105"/>
        </w:rPr>
        <w:t>plasma</w:t>
      </w:r>
      <w:r>
        <w:rPr>
          <w:color w:val="231F20"/>
          <w:spacing w:val="-26"/>
          <w:w w:val="105"/>
        </w:rPr>
        <w:t> </w:t>
      </w:r>
      <w:r>
        <w:rPr>
          <w:color w:val="231F20"/>
          <w:w w:val="105"/>
        </w:rPr>
        <w:t>proteins.</w:t>
      </w:r>
      <w:r>
        <w:rPr>
          <w:color w:val="231F20"/>
          <w:spacing w:val="-26"/>
          <w:w w:val="105"/>
        </w:rPr>
        <w:t> </w:t>
      </w:r>
      <w:r>
        <w:rPr>
          <w:color w:val="231F20"/>
          <w:w w:val="105"/>
        </w:rPr>
        <w:t>Conversely,</w:t>
      </w:r>
      <w:r>
        <w:rPr>
          <w:color w:val="231F20"/>
          <w:spacing w:val="-26"/>
          <w:w w:val="105"/>
        </w:rPr>
        <w:t> </w:t>
      </w:r>
      <w:r>
        <w:rPr>
          <w:color w:val="231F20"/>
          <w:w w:val="105"/>
        </w:rPr>
        <w:t>nega­ tively</w:t>
      </w:r>
      <w:r>
        <w:rPr>
          <w:color w:val="231F20"/>
          <w:spacing w:val="-19"/>
          <w:w w:val="105"/>
        </w:rPr>
        <w:t> </w:t>
      </w:r>
      <w:r>
        <w:rPr>
          <w:color w:val="231F20"/>
          <w:w w:val="105"/>
        </w:rPr>
        <w:t>charged</w:t>
      </w:r>
      <w:r>
        <w:rPr>
          <w:color w:val="231F20"/>
          <w:spacing w:val="-18"/>
          <w:w w:val="105"/>
        </w:rPr>
        <w:t> </w:t>
      </w:r>
      <w:r>
        <w:rPr>
          <w:color w:val="231F20"/>
          <w:w w:val="105"/>
        </w:rPr>
        <w:t>ions</w:t>
      </w:r>
      <w:r>
        <w:rPr>
          <w:color w:val="231F20"/>
          <w:spacing w:val="-18"/>
          <w:w w:val="105"/>
        </w:rPr>
        <w:t> </w:t>
      </w:r>
      <w:r>
        <w:rPr>
          <w:color w:val="231F20"/>
          <w:w w:val="105"/>
        </w:rPr>
        <w:t>(anions)</w:t>
      </w:r>
      <w:r>
        <w:rPr>
          <w:color w:val="231F20"/>
          <w:spacing w:val="-19"/>
          <w:w w:val="105"/>
        </w:rPr>
        <w:t> </w:t>
      </w:r>
      <w:r>
        <w:rPr>
          <w:color w:val="231F20"/>
          <w:w w:val="105"/>
        </w:rPr>
        <w:t>tend</w:t>
      </w:r>
      <w:r>
        <w:rPr>
          <w:color w:val="231F20"/>
          <w:spacing w:val="-18"/>
          <w:w w:val="105"/>
        </w:rPr>
        <w:t> </w:t>
      </w:r>
      <w:r>
        <w:rPr>
          <w:color w:val="231F20"/>
          <w:w w:val="105"/>
        </w:rPr>
        <w:t>to</w:t>
      </w:r>
      <w:r>
        <w:rPr>
          <w:color w:val="231F20"/>
          <w:spacing w:val="-18"/>
          <w:w w:val="105"/>
        </w:rPr>
        <w:t> </w:t>
      </w:r>
      <w:r>
        <w:rPr>
          <w:color w:val="231F20"/>
          <w:w w:val="105"/>
        </w:rPr>
        <w:t>have</w:t>
      </w:r>
      <w:r>
        <w:rPr>
          <w:color w:val="231F20"/>
          <w:spacing w:val="-18"/>
          <w:w w:val="105"/>
        </w:rPr>
        <w:t> </w:t>
      </w:r>
      <w:r>
        <w:rPr>
          <w:color w:val="231F20"/>
          <w:w w:val="105"/>
        </w:rPr>
        <w:t>a</w:t>
      </w:r>
      <w:r>
        <w:rPr>
          <w:color w:val="231F20"/>
          <w:spacing w:val="-19"/>
          <w:w w:val="105"/>
        </w:rPr>
        <w:t> </w:t>
      </w:r>
      <w:r>
        <w:rPr>
          <w:color w:val="231F20"/>
          <w:w w:val="105"/>
        </w:rPr>
        <w:t>slightly</w:t>
      </w:r>
      <w:r>
        <w:rPr>
          <w:color w:val="231F20"/>
          <w:spacing w:val="-18"/>
          <w:w w:val="105"/>
        </w:rPr>
        <w:t> </w:t>
      </w:r>
      <w:r>
        <w:rPr>
          <w:color w:val="231F20"/>
          <w:w w:val="105"/>
        </w:rPr>
        <w:t>higher concentration in the interstitial fluid compared with </w:t>
      </w:r>
      <w:r>
        <w:rPr>
          <w:color w:val="231F20"/>
          <w:spacing w:val="-5"/>
          <w:w w:val="105"/>
        </w:rPr>
        <w:t>the </w:t>
      </w:r>
      <w:r>
        <w:rPr>
          <w:color w:val="231F20"/>
          <w:w w:val="105"/>
        </w:rPr>
        <w:t>plasma,</w:t>
      </w:r>
      <w:r>
        <w:rPr>
          <w:color w:val="231F20"/>
          <w:spacing w:val="-6"/>
          <w:w w:val="105"/>
        </w:rPr>
        <w:t> </w:t>
      </w:r>
      <w:r>
        <w:rPr>
          <w:color w:val="231F20"/>
          <w:w w:val="105"/>
        </w:rPr>
        <w:t>because</w:t>
      </w:r>
      <w:r>
        <w:rPr>
          <w:color w:val="231F20"/>
          <w:spacing w:val="-6"/>
          <w:w w:val="105"/>
        </w:rPr>
        <w:t> </w:t>
      </w:r>
      <w:r>
        <w:rPr>
          <w:color w:val="231F20"/>
          <w:w w:val="105"/>
        </w:rPr>
        <w:t>the</w:t>
      </w:r>
      <w:r>
        <w:rPr>
          <w:color w:val="231F20"/>
          <w:spacing w:val="-5"/>
          <w:w w:val="105"/>
        </w:rPr>
        <w:t> </w:t>
      </w:r>
      <w:r>
        <w:rPr>
          <w:color w:val="231F20"/>
          <w:w w:val="105"/>
        </w:rPr>
        <w:t>negative</w:t>
      </w:r>
      <w:r>
        <w:rPr>
          <w:color w:val="231F20"/>
          <w:spacing w:val="-6"/>
          <w:w w:val="105"/>
        </w:rPr>
        <w:t> </w:t>
      </w:r>
      <w:r>
        <w:rPr>
          <w:color w:val="231F20"/>
          <w:w w:val="105"/>
        </w:rPr>
        <w:t>charges</w:t>
      </w:r>
      <w:r>
        <w:rPr>
          <w:color w:val="231F20"/>
          <w:spacing w:val="-6"/>
          <w:w w:val="105"/>
        </w:rPr>
        <w:t> </w:t>
      </w:r>
      <w:r>
        <w:rPr>
          <w:color w:val="231F20"/>
          <w:w w:val="105"/>
        </w:rPr>
        <w:t>of</w:t>
      </w:r>
      <w:r>
        <w:rPr>
          <w:color w:val="231F20"/>
          <w:spacing w:val="-5"/>
          <w:w w:val="105"/>
        </w:rPr>
        <w:t> </w:t>
      </w:r>
      <w:r>
        <w:rPr>
          <w:color w:val="231F20"/>
          <w:w w:val="105"/>
        </w:rPr>
        <w:t>the</w:t>
      </w:r>
      <w:r>
        <w:rPr>
          <w:color w:val="231F20"/>
          <w:spacing w:val="-6"/>
          <w:w w:val="105"/>
        </w:rPr>
        <w:t> </w:t>
      </w:r>
      <w:r>
        <w:rPr>
          <w:color w:val="231F20"/>
          <w:w w:val="105"/>
        </w:rPr>
        <w:t>plasma</w:t>
      </w:r>
      <w:r>
        <w:rPr>
          <w:color w:val="231F20"/>
          <w:spacing w:val="-5"/>
          <w:w w:val="105"/>
        </w:rPr>
        <w:t> </w:t>
      </w:r>
      <w:r>
        <w:rPr>
          <w:color w:val="231F20"/>
          <w:w w:val="105"/>
        </w:rPr>
        <w:t>pro­ teins repel the negatively charged anions.</w:t>
      </w:r>
      <w:r>
        <w:rPr>
          <w:color w:val="231F20"/>
          <w:spacing w:val="40"/>
          <w:w w:val="105"/>
        </w:rPr>
        <w:t> </w:t>
      </w:r>
      <w:r>
        <w:rPr>
          <w:color w:val="231F20"/>
          <w:spacing w:val="-3"/>
          <w:w w:val="105"/>
        </w:rPr>
        <w:t>For </w:t>
      </w:r>
      <w:r>
        <w:rPr>
          <w:color w:val="231F20"/>
          <w:w w:val="105"/>
        </w:rPr>
        <w:t>practical</w:t>
      </w:r>
    </w:p>
    <w:p>
      <w:pPr>
        <w:pStyle w:val="BodyText"/>
        <w:spacing w:before="5"/>
        <w:rPr>
          <w:sz w:val="30"/>
        </w:rPr>
      </w:pPr>
    </w:p>
    <w:p>
      <w:pPr>
        <w:tabs>
          <w:tab w:pos="1593" w:val="left" w:leader="none"/>
          <w:tab w:pos="3279" w:val="left" w:leader="none"/>
        </w:tabs>
        <w:spacing w:before="0"/>
        <w:ind w:left="802" w:right="0" w:firstLine="0"/>
        <w:jc w:val="left"/>
        <w:rPr>
          <w:rFonts w:ascii="Helvetica"/>
          <w:b/>
          <w:sz w:val="16"/>
        </w:rPr>
      </w:pPr>
      <w:r>
        <w:rPr/>
        <w:pict>
          <v:group style="position:absolute;margin-left:363.286011pt;margin-top:10.076811pt;width:177.75pt;height:212.2pt;mso-position-horizontal-relative:page;mso-position-vertical-relative:paragraph;z-index:-273718272" coordorigin="7266,202" coordsize="3555,4244">
            <v:rect style="position:absolute;left:8261;top:2251;width:414;height:320" filled="true" fillcolor="#a2c2c4" stroked="false">
              <v:fill type="solid"/>
            </v:rect>
            <v:rect style="position:absolute;left:8261;top:2251;width:414;height:320" filled="false" stroked="true" strokeweight=".75pt" strokecolor="#231f20">
              <v:stroke dashstyle="solid"/>
            </v:rect>
            <v:rect style="position:absolute;left:7850;top:2200;width:414;height:2152" filled="true" fillcolor="#fcba63" stroked="false">
              <v:fill type="solid"/>
            </v:rect>
            <v:rect style="position:absolute;left:7850;top:2200;width:414;height:2152" filled="false" stroked="true" strokeweight=".75pt" strokecolor="#231f20">
              <v:stroke dashstyle="solid"/>
            </v:rect>
            <v:rect style="position:absolute;left:7437;top:381;width:414;height:2130" filled="true" fillcolor="#f69694" stroked="false">
              <v:fill type="solid"/>
            </v:rect>
            <v:rect style="position:absolute;left:7437;top:381;width:414;height:2130" filled="false" stroked="true" strokeweight=".75pt" strokecolor="#231f20">
              <v:stroke dashstyle="solid"/>
            </v:rect>
            <v:rect style="position:absolute;left:9690;top:1881;width:414;height:520" filled="true" fillcolor="#d99d9c" stroked="false">
              <v:fill type="solid"/>
            </v:rect>
            <v:rect style="position:absolute;left:9690;top:1881;width:414;height:520" filled="false" stroked="true" strokeweight=".75pt" strokecolor="#231f20">
              <v:stroke dashstyle="solid"/>
            </v:rect>
            <v:rect style="position:absolute;left:10101;top:2100;width:414;height:892" filled="true" fillcolor="#c3d9c6" stroked="false">
              <v:fill type="solid"/>
            </v:rect>
            <v:rect style="position:absolute;left:10101;top:2100;width:414;height:892" filled="false" stroked="true" strokeweight=".75pt" strokecolor="#231f20">
              <v:stroke dashstyle="solid"/>
            </v:rect>
            <v:rect style="position:absolute;left:9280;top:2250;width:414;height:1892" filled="true" fillcolor="#ffeec8" stroked="false">
              <v:fill type="solid"/>
            </v:rect>
            <v:rect style="position:absolute;left:9280;top:2250;width:414;height:1892" filled="false" stroked="true" strokeweight=".75pt" strokecolor="#231f20">
              <v:stroke dashstyle="solid"/>
            </v:rect>
            <v:rect style="position:absolute;left:8867;top:741;width:414;height:1650" filled="true" fillcolor="#abc3e1" stroked="false">
              <v:fill type="solid"/>
            </v:rect>
            <v:rect style="position:absolute;left:8867;top:741;width:414;height:1650" filled="false" stroked="true" strokeweight=".75pt" strokecolor="#231f20">
              <v:stroke dashstyle="solid"/>
            </v:rect>
            <v:line style="position:absolute" from="8768,4431" to="8768,212" stroked="true" strokeweight="1pt" strokecolor="#231f20">
              <v:stroke dashstyle="shortdash"/>
            </v:line>
            <v:shape style="position:absolute;left:7265;top:211;width:3546;height:4224" coordorigin="7266,212" coordsize="3546,4224" path="m10600,4435l7340,4435,7340,212,10600,212,10600,4435xm10810,4435l10600,4435,10600,212,10810,212,10810,4435xm7344,2323l10812,2323m7340,212l7266,212m7340,915l7266,915m7340,1619l7266,1619m7340,2323l7266,2323m7340,3027l7266,3027m7340,3731l7266,3731m7340,4435l7266,4435e" filled="false" stroked="true" strokeweight="1pt" strokecolor="#231f20">
              <v:path arrowok="t"/>
              <v:stroke dashstyle="solid"/>
            </v:shape>
            <v:shape style="position:absolute;left:7510;top:2045;width:291;height:208" type="#_x0000_t202" filled="false" stroked="false">
              <v:textbox inset="0,0,0,0">
                <w:txbxContent>
                  <w:p>
                    <w:pPr>
                      <w:spacing w:before="0"/>
                      <w:ind w:left="0" w:right="0" w:firstLine="0"/>
                      <w:jc w:val="left"/>
                      <w:rPr>
                        <w:rFonts w:ascii="Symbol" w:hAnsi="Symbol"/>
                        <w:sz w:val="12"/>
                      </w:rPr>
                    </w:pPr>
                    <w:r>
                      <w:rPr>
                        <w:rFonts w:ascii="Helvetica" w:hAnsi="Helvetica"/>
                        <w:color w:val="231F20"/>
                        <w:sz w:val="16"/>
                      </w:rPr>
                      <w:t>Na</w:t>
                    </w:r>
                    <w:r>
                      <w:rPr>
                        <w:rFonts w:ascii="Symbol" w:hAnsi="Symbol"/>
                        <w:color w:val="231F20"/>
                        <w:position w:val="5"/>
                        <w:sz w:val="12"/>
                      </w:rPr>
                      <w:t></w:t>
                    </w:r>
                  </w:p>
                </w:txbxContent>
              </v:textbox>
              <w10:wrap type="none"/>
            </v:shape>
            <v:shape style="position:absolute;left:7976;top:2045;width:690;height:488" type="#_x0000_t202" filled="false" stroked="false">
              <v:textbox inset="0,0,0,0">
                <w:txbxContent>
                  <w:p>
                    <w:pPr>
                      <w:spacing w:before="0"/>
                      <w:ind w:left="324" w:right="0" w:firstLine="0"/>
                      <w:jc w:val="left"/>
                      <w:rPr>
                        <w:rFonts w:ascii="Symbol" w:hAnsi="Symbol"/>
                        <w:sz w:val="12"/>
                      </w:rPr>
                    </w:pPr>
                    <w:r>
                      <w:rPr>
                        <w:rFonts w:ascii="Helvetica" w:hAnsi="Helvetica"/>
                        <w:color w:val="231F20"/>
                        <w:position w:val="-4"/>
                        <w:sz w:val="16"/>
                      </w:rPr>
                      <w:t>Ca</w:t>
                    </w:r>
                    <w:r>
                      <w:rPr>
                        <w:rFonts w:ascii="Symbol" w:hAnsi="Symbol"/>
                        <w:color w:val="231F20"/>
                        <w:sz w:val="12"/>
                      </w:rPr>
                      <w:t></w:t>
                    </w:r>
                  </w:p>
                  <w:p>
                    <w:pPr>
                      <w:spacing w:before="76"/>
                      <w:ind w:left="0" w:right="0" w:firstLine="0"/>
                      <w:jc w:val="left"/>
                      <w:rPr>
                        <w:rFonts w:ascii="Symbol" w:hAnsi="Symbol"/>
                        <w:sz w:val="12"/>
                      </w:rPr>
                    </w:pPr>
                    <w:r>
                      <w:rPr>
                        <w:rFonts w:ascii="Helvetica" w:hAnsi="Helvetica"/>
                        <w:color w:val="231F20"/>
                        <w:position w:val="-4"/>
                        <w:sz w:val="16"/>
                      </w:rPr>
                      <w:t>K</w:t>
                    </w:r>
                    <w:r>
                      <w:rPr>
                        <w:rFonts w:ascii="Symbol" w:hAnsi="Symbol"/>
                        <w:color w:val="231F20"/>
                        <w:sz w:val="12"/>
                      </w:rPr>
                      <w:t></w:t>
                    </w:r>
                    <w:r>
                      <w:rPr>
                        <w:color w:val="231F20"/>
                        <w:sz w:val="12"/>
                      </w:rPr>
                      <w:t>   </w:t>
                    </w:r>
                    <w:r>
                      <w:rPr>
                        <w:color w:val="231F20"/>
                        <w:spacing w:val="22"/>
                        <w:sz w:val="12"/>
                      </w:rPr>
                      <w:t> </w:t>
                    </w:r>
                    <w:r>
                      <w:rPr>
                        <w:rFonts w:ascii="Helvetica" w:hAnsi="Helvetica"/>
                        <w:color w:val="231F20"/>
                        <w:position w:val="-4"/>
                        <w:sz w:val="16"/>
                      </w:rPr>
                      <w:t>Mg</w:t>
                    </w:r>
                    <w:r>
                      <w:rPr>
                        <w:rFonts w:ascii="Symbol" w:hAnsi="Symbol"/>
                        <w:color w:val="231F20"/>
                        <w:sz w:val="12"/>
                      </w:rPr>
                      <w:t></w:t>
                    </w:r>
                  </w:p>
                </w:txbxContent>
              </v:textbox>
              <w10:wrap type="none"/>
            </v:shape>
            <v:shape style="position:absolute;left:8968;top:2055;width:237;height:198" type="#_x0000_t202" filled="false" stroked="false">
              <v:textbox inset="0,0,0,0">
                <w:txbxContent>
                  <w:p>
                    <w:pPr>
                      <w:spacing w:before="0"/>
                      <w:ind w:left="0" w:right="0" w:firstLine="0"/>
                      <w:jc w:val="left"/>
                      <w:rPr>
                        <w:rFonts w:ascii="Symbol" w:hAnsi="Symbol"/>
                        <w:sz w:val="12"/>
                      </w:rPr>
                    </w:pPr>
                    <w:r>
                      <w:rPr>
                        <w:rFonts w:ascii="Helvetica" w:hAnsi="Helvetica"/>
                        <w:color w:val="231F20"/>
                        <w:sz w:val="16"/>
                      </w:rPr>
                      <w:t>Cl</w:t>
                    </w:r>
                    <w:r>
                      <w:rPr>
                        <w:rFonts w:ascii="Symbol" w:hAnsi="Symbol"/>
                        <w:color w:val="231F20"/>
                        <w:position w:val="4"/>
                        <w:sz w:val="12"/>
                      </w:rPr>
                      <w:t></w:t>
                    </w:r>
                  </w:p>
                </w:txbxContent>
              </v:textbox>
              <w10:wrap type="none"/>
            </v:shape>
            <w10:wrap type="none"/>
          </v:group>
        </w:pict>
      </w:r>
      <w:r>
        <w:rPr/>
        <w:pict>
          <v:shape style="position:absolute;margin-left:529.441895pt;margin-top:27.629707pt;width:11.55pt;height:72.25pt;mso-position-horizontal-relative:page;mso-position-vertical-relative:paragraph;z-index:25169510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EXTRACELLULAR</w:t>
                  </w:r>
                </w:p>
              </w:txbxContent>
            </v:textbox>
            <w10:wrap type="none"/>
          </v:shape>
        </w:pict>
      </w:r>
      <w:r>
        <w:rPr>
          <w:rFonts w:ascii="Helvetica"/>
          <w:color w:val="231F20"/>
          <w:position w:val="-11"/>
          <w:sz w:val="16"/>
        </w:rPr>
        <w:t>150</w:t>
        <w:tab/>
      </w:r>
      <w:r>
        <w:rPr>
          <w:rFonts w:ascii="Helvetica"/>
          <w:b/>
          <w:color w:val="231F20"/>
          <w:sz w:val="16"/>
        </w:rPr>
        <w:t>Cations</w:t>
        <w:tab/>
        <w:t>Anions</w:t>
      </w:r>
    </w:p>
    <w:p>
      <w:pPr>
        <w:pStyle w:val="BodyText"/>
        <w:rPr>
          <w:rFonts w:ascii="Helvetica"/>
          <w:b/>
          <w:sz w:val="30"/>
        </w:rPr>
      </w:pPr>
    </w:p>
    <w:p>
      <w:pPr>
        <w:spacing w:before="174"/>
        <w:ind w:left="84" w:right="5007" w:firstLine="0"/>
        <w:jc w:val="right"/>
        <w:rPr>
          <w:rFonts w:ascii="Helvetica"/>
          <w:sz w:val="16"/>
        </w:rPr>
      </w:pPr>
      <w:r>
        <w:rPr>
          <w:rFonts w:ascii="Helvetica"/>
          <w:color w:val="231F20"/>
          <w:w w:val="95"/>
          <w:sz w:val="16"/>
        </w:rPr>
        <w:t>100</w:t>
      </w:r>
    </w:p>
    <w:p>
      <w:pPr>
        <w:pStyle w:val="BodyText"/>
        <w:rPr>
          <w:rFonts w:ascii="Helvetica"/>
          <w:sz w:val="18"/>
        </w:rPr>
      </w:pPr>
    </w:p>
    <w:p>
      <w:pPr>
        <w:pStyle w:val="BodyText"/>
        <w:rPr>
          <w:rFonts w:ascii="Helvetica"/>
          <w:sz w:val="18"/>
        </w:rPr>
      </w:pPr>
    </w:p>
    <w:p>
      <w:pPr>
        <w:spacing w:before="107"/>
        <w:ind w:left="84" w:right="5007" w:firstLine="0"/>
        <w:jc w:val="right"/>
        <w:rPr>
          <w:rFonts w:ascii="Helvetica"/>
          <w:sz w:val="16"/>
        </w:rPr>
      </w:pPr>
      <w:r>
        <w:rPr/>
        <w:pict>
          <v:shape style="position:absolute;margin-left:487.852905pt;margin-top:22.839106pt;width:14.45pt;height:26.45pt;mso-position-horizontal-relative:page;mso-position-vertical-relative:paragraph;z-index:251692032" type="#_x0000_t202" filled="false" stroked="false">
            <v:textbox inset="0,0,0,0" style="layout-flow:vertical;mso-layout-flow-alt:bottom-to-top">
              <w:txbxContent>
                <w:p>
                  <w:pPr>
                    <w:spacing w:line="84" w:lineRule="exact" w:before="20"/>
                    <w:ind w:left="0" w:right="18" w:firstLine="0"/>
                    <w:jc w:val="right"/>
                    <w:rPr>
                      <w:rFonts w:ascii="Symbol" w:hAnsi="Symbol"/>
                      <w:sz w:val="12"/>
                    </w:rPr>
                  </w:pPr>
                  <w:r>
                    <w:rPr>
                      <w:rFonts w:ascii="Symbol" w:hAnsi="Symbol"/>
                      <w:color w:val="231F20"/>
                      <w:w w:val="100"/>
                      <w:sz w:val="12"/>
                    </w:rPr>
                    <w:t></w:t>
                  </w:r>
                </w:p>
                <w:p>
                  <w:pPr>
                    <w:spacing w:line="136" w:lineRule="auto" w:before="0"/>
                    <w:ind w:left="20" w:right="0" w:firstLine="0"/>
                    <w:jc w:val="left"/>
                    <w:rPr>
                      <w:rFonts w:ascii="Helvetica"/>
                      <w:sz w:val="12"/>
                    </w:rPr>
                  </w:pPr>
                  <w:r>
                    <w:rPr>
                      <w:rFonts w:ascii="Helvetica"/>
                      <w:color w:val="231F20"/>
                      <w:sz w:val="16"/>
                    </w:rPr>
                    <w:t>HCO</w:t>
                  </w:r>
                  <w:r>
                    <w:rPr>
                      <w:rFonts w:ascii="Helvetica"/>
                      <w:color w:val="231F20"/>
                      <w:position w:val="-4"/>
                      <w:sz w:val="12"/>
                    </w:rPr>
                    <w:t>3</w:t>
                  </w:r>
                </w:p>
              </w:txbxContent>
            </v:textbox>
            <w10:wrap type="none"/>
          </v:shape>
        </w:pict>
      </w:r>
      <w:r>
        <w:rPr>
          <w:rFonts w:ascii="Helvetica"/>
          <w:color w:val="231F20"/>
          <w:w w:val="95"/>
          <w:sz w:val="16"/>
        </w:rPr>
        <w:t>50</w:t>
      </w:r>
    </w:p>
    <w:p>
      <w:pPr>
        <w:pStyle w:val="BodyText"/>
        <w:rPr>
          <w:rFonts w:ascii="Helvetica"/>
          <w:sz w:val="18"/>
        </w:rPr>
      </w:pPr>
    </w:p>
    <w:p>
      <w:pPr>
        <w:pStyle w:val="BodyText"/>
        <w:spacing w:before="11"/>
        <w:rPr>
          <w:rFonts w:ascii="Helvetica"/>
          <w:sz w:val="26"/>
        </w:rPr>
      </w:pPr>
    </w:p>
    <w:p>
      <w:pPr>
        <w:spacing w:before="0"/>
        <w:ind w:left="0" w:right="5007" w:firstLine="0"/>
        <w:jc w:val="right"/>
        <w:rPr>
          <w:rFonts w:ascii="Helvetica"/>
          <w:sz w:val="16"/>
        </w:rPr>
      </w:pPr>
      <w:r>
        <w:rPr/>
        <w:pict>
          <v:shape style="position:absolute;margin-left:339.169006pt;margin-top:-8.402893pt;width:11.55pt;height:26.45pt;mso-position-horizontal-relative:page;mso-position-vertical-relative:paragraph;z-index:25168896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mEq/L</w:t>
                  </w:r>
                </w:p>
              </w:txbxContent>
            </v:textbox>
            <w10:wrap type="none"/>
          </v:shape>
        </w:pict>
      </w:r>
      <w:r>
        <w:rPr/>
        <w:pict>
          <v:shape style="position:absolute;margin-left:467.881897pt;margin-top:6.122105pt;width:13.3pt;height:88.4pt;mso-position-horizontal-relative:page;mso-position-vertical-relative:paragraph;z-index:251689984"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PO </w:t>
                  </w:r>
                  <w:r>
                    <w:rPr>
                      <w:rFonts w:ascii="Helvetica"/>
                      <w:color w:val="231F20"/>
                      <w:position w:val="-4"/>
                      <w:sz w:val="12"/>
                    </w:rPr>
                    <w:t>4 </w:t>
                  </w:r>
                  <w:r>
                    <w:rPr>
                      <w:rFonts w:ascii="Helvetica"/>
                      <w:color w:val="231F20"/>
                      <w:sz w:val="16"/>
                    </w:rPr>
                    <w:t>and organic anions</w:t>
                  </w:r>
                </w:p>
              </w:txbxContent>
            </v:textbox>
            <w10:wrap type="none"/>
          </v:shape>
        </w:pict>
      </w:r>
      <w:r>
        <w:rPr/>
        <w:pict>
          <v:shape style="position:absolute;margin-left:509.39389pt;margin-top:7.658107pt;width:11.25pt;height:27.35pt;mso-position-horizontal-relative:page;mso-position-vertical-relative:paragraph;z-index:251693056"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Protein</w:t>
                  </w:r>
                </w:p>
              </w:txbxContent>
            </v:textbox>
            <w10:wrap type="none"/>
          </v:shape>
        </w:pict>
      </w:r>
      <w:r>
        <w:rPr/>
        <w:pict>
          <v:shape style="position:absolute;margin-left:529.440979pt;margin-top:21.885105pt;width:11.55pt;height:69.55pt;mso-position-horizontal-relative:page;mso-position-vertical-relative:paragraph;z-index:25169408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INTRACELLULAR</w:t>
                  </w:r>
                </w:p>
              </w:txbxContent>
            </v:textbox>
            <w10:wrap type="none"/>
          </v:shape>
        </w:pict>
      </w:r>
      <w:r>
        <w:rPr>
          <w:rFonts w:ascii="Helvetica"/>
          <w:color w:val="231F20"/>
          <w:w w:val="99"/>
          <w:sz w:val="16"/>
        </w:rPr>
        <w:t>0</w:t>
      </w:r>
    </w:p>
    <w:p>
      <w:pPr>
        <w:pStyle w:val="BodyText"/>
        <w:rPr>
          <w:rFonts w:ascii="Helvetica"/>
          <w:sz w:val="18"/>
        </w:rPr>
      </w:pPr>
    </w:p>
    <w:p>
      <w:pPr>
        <w:pStyle w:val="BodyText"/>
        <w:rPr>
          <w:rFonts w:ascii="Helvetica"/>
          <w:sz w:val="18"/>
        </w:rPr>
      </w:pPr>
    </w:p>
    <w:p>
      <w:pPr>
        <w:spacing w:before="107"/>
        <w:ind w:left="84" w:right="5007" w:firstLine="0"/>
        <w:jc w:val="right"/>
        <w:rPr>
          <w:rFonts w:ascii="Helvetica"/>
          <w:sz w:val="16"/>
        </w:rPr>
      </w:pPr>
      <w:r>
        <w:rPr>
          <w:rFonts w:ascii="Helvetica"/>
          <w:color w:val="231F20"/>
          <w:w w:val="95"/>
          <w:sz w:val="16"/>
        </w:rPr>
        <w:t>50</w:t>
      </w:r>
    </w:p>
    <w:p>
      <w:pPr>
        <w:pStyle w:val="BodyText"/>
        <w:rPr>
          <w:rFonts w:ascii="Helvetica"/>
          <w:sz w:val="18"/>
        </w:rPr>
      </w:pPr>
    </w:p>
    <w:p>
      <w:pPr>
        <w:pStyle w:val="BodyText"/>
        <w:rPr>
          <w:rFonts w:ascii="Helvetica"/>
          <w:sz w:val="18"/>
        </w:rPr>
      </w:pPr>
    </w:p>
    <w:p>
      <w:pPr>
        <w:spacing w:before="108"/>
        <w:ind w:left="84" w:right="5007" w:firstLine="0"/>
        <w:jc w:val="right"/>
        <w:rPr>
          <w:rFonts w:ascii="Helvetica"/>
          <w:sz w:val="16"/>
        </w:rPr>
      </w:pPr>
      <w:r>
        <w:rPr/>
        <w:pict>
          <v:shape style="position:absolute;margin-left:468.418915pt;margin-top:12.530108pt;width:8.950pt;height:5.35pt;mso-position-horizontal-relative:page;mso-position-vertical-relative:paragraph;z-index:251691008" type="#_x0000_t202" filled="false" stroked="false">
            <v:textbox inset="0,0,0,0" style="layout-flow:vertical;mso-layout-flow-alt:bottom-to-top">
              <w:txbxContent>
                <w:p>
                  <w:pPr>
                    <w:spacing w:before="19"/>
                    <w:ind w:left="20" w:right="0" w:firstLine="0"/>
                    <w:jc w:val="left"/>
                    <w:rPr>
                      <w:rFonts w:ascii="Helvetica" w:hAnsi="Helvetica"/>
                      <w:sz w:val="12"/>
                    </w:rPr>
                  </w:pPr>
                  <w:r>
                    <w:rPr>
                      <w:rFonts w:ascii="Helvetica" w:hAnsi="Helvetica"/>
                      <w:color w:val="231F20"/>
                      <w:w w:val="99"/>
                      <w:sz w:val="12"/>
                    </w:rPr>
                    <w:t>–</w:t>
                  </w:r>
                </w:p>
              </w:txbxContent>
            </v:textbox>
            <w10:wrap type="none"/>
          </v:shape>
        </w:pict>
      </w:r>
      <w:r>
        <w:rPr>
          <w:rFonts w:ascii="Helvetica"/>
          <w:color w:val="231F20"/>
          <w:w w:val="95"/>
          <w:sz w:val="16"/>
        </w:rPr>
        <w:t>100</w:t>
      </w:r>
    </w:p>
    <w:p>
      <w:pPr>
        <w:pStyle w:val="BodyText"/>
        <w:rPr>
          <w:rFonts w:ascii="Helvetica"/>
          <w:sz w:val="18"/>
        </w:rPr>
      </w:pPr>
    </w:p>
    <w:p>
      <w:pPr>
        <w:pStyle w:val="BodyText"/>
        <w:spacing w:before="10"/>
        <w:rPr>
          <w:rFonts w:ascii="Helvetica"/>
          <w:sz w:val="26"/>
        </w:rPr>
      </w:pPr>
    </w:p>
    <w:p>
      <w:pPr>
        <w:spacing w:before="0"/>
        <w:ind w:left="84" w:right="5007" w:firstLine="0"/>
        <w:jc w:val="right"/>
        <w:rPr>
          <w:rFonts w:ascii="Helvetica"/>
          <w:sz w:val="16"/>
        </w:rPr>
      </w:pPr>
      <w:r>
        <w:rPr>
          <w:rFonts w:ascii="Helvetica"/>
          <w:color w:val="231F20"/>
          <w:w w:val="95"/>
          <w:sz w:val="16"/>
        </w:rPr>
        <w:t>150</w:t>
      </w:r>
    </w:p>
    <w:p>
      <w:pPr>
        <w:spacing w:line="259" w:lineRule="auto" w:before="91"/>
        <w:ind w:left="319" w:right="1077" w:firstLine="0"/>
        <w:jc w:val="both"/>
        <w:rPr>
          <w:rFonts w:ascii="Arial"/>
          <w:sz w:val="16"/>
        </w:rPr>
      </w:pPr>
      <w:bookmarkStart w:name="_bookmark2" w:id="3"/>
      <w:bookmarkEnd w:id="3"/>
      <w:r>
        <w:rPr/>
      </w:r>
      <w:r>
        <w:rPr>
          <w:rFonts w:ascii="Trebuchet MS"/>
          <w:b/>
          <w:color w:val="231F20"/>
          <w:sz w:val="16"/>
        </w:rPr>
        <w:t>Figure</w:t>
      </w:r>
      <w:r>
        <w:rPr>
          <w:rFonts w:ascii="Trebuchet MS"/>
          <w:b/>
          <w:color w:val="231F20"/>
          <w:spacing w:val="-20"/>
          <w:sz w:val="16"/>
        </w:rPr>
        <w:t> </w:t>
      </w:r>
      <w:r>
        <w:rPr>
          <w:rFonts w:ascii="Trebuchet MS"/>
          <w:b/>
          <w:color w:val="231F20"/>
          <w:sz w:val="16"/>
        </w:rPr>
        <w:t>25-2.</w:t>
      </w:r>
      <w:r>
        <w:rPr>
          <w:rFonts w:ascii="Trebuchet MS"/>
          <w:b/>
          <w:color w:val="231F20"/>
          <w:spacing w:val="5"/>
          <w:sz w:val="16"/>
        </w:rPr>
        <w:t> </w:t>
      </w:r>
      <w:r>
        <w:rPr>
          <w:rFonts w:ascii="Arial"/>
          <w:color w:val="231F20"/>
          <w:sz w:val="16"/>
        </w:rPr>
        <w:t>Major</w:t>
      </w:r>
      <w:r>
        <w:rPr>
          <w:rFonts w:ascii="Arial"/>
          <w:color w:val="231F20"/>
          <w:spacing w:val="-16"/>
          <w:sz w:val="16"/>
        </w:rPr>
        <w:t> </w:t>
      </w:r>
      <w:r>
        <w:rPr>
          <w:rFonts w:ascii="Arial"/>
          <w:color w:val="231F20"/>
          <w:sz w:val="16"/>
        </w:rPr>
        <w:t>cations</w:t>
      </w:r>
      <w:r>
        <w:rPr>
          <w:rFonts w:ascii="Arial"/>
          <w:color w:val="231F20"/>
          <w:spacing w:val="-17"/>
          <w:sz w:val="16"/>
        </w:rPr>
        <w:t> </w:t>
      </w:r>
      <w:r>
        <w:rPr>
          <w:rFonts w:ascii="Arial"/>
          <w:color w:val="231F20"/>
          <w:sz w:val="16"/>
        </w:rPr>
        <w:t>and</w:t>
      </w:r>
      <w:r>
        <w:rPr>
          <w:rFonts w:ascii="Arial"/>
          <w:color w:val="231F20"/>
          <w:spacing w:val="-16"/>
          <w:sz w:val="16"/>
        </w:rPr>
        <w:t> </w:t>
      </w:r>
      <w:r>
        <w:rPr>
          <w:rFonts w:ascii="Arial"/>
          <w:color w:val="231F20"/>
          <w:sz w:val="16"/>
        </w:rPr>
        <w:t>anions</w:t>
      </w:r>
      <w:r>
        <w:rPr>
          <w:rFonts w:ascii="Arial"/>
          <w:color w:val="231F20"/>
          <w:spacing w:val="-17"/>
          <w:sz w:val="16"/>
        </w:rPr>
        <w:t> </w:t>
      </w:r>
      <w:r>
        <w:rPr>
          <w:rFonts w:ascii="Arial"/>
          <w:color w:val="231F20"/>
          <w:sz w:val="16"/>
        </w:rPr>
        <w:t>of</w:t>
      </w:r>
      <w:r>
        <w:rPr>
          <w:rFonts w:ascii="Arial"/>
          <w:color w:val="231F20"/>
          <w:spacing w:val="-16"/>
          <w:sz w:val="16"/>
        </w:rPr>
        <w:t> </w:t>
      </w:r>
      <w:r>
        <w:rPr>
          <w:rFonts w:ascii="Arial"/>
          <w:color w:val="231F20"/>
          <w:sz w:val="16"/>
        </w:rPr>
        <w:t>the</w:t>
      </w:r>
      <w:r>
        <w:rPr>
          <w:rFonts w:ascii="Arial"/>
          <w:color w:val="231F20"/>
          <w:spacing w:val="-17"/>
          <w:sz w:val="16"/>
        </w:rPr>
        <w:t> </w:t>
      </w:r>
      <w:r>
        <w:rPr>
          <w:rFonts w:ascii="Arial"/>
          <w:color w:val="231F20"/>
          <w:sz w:val="16"/>
        </w:rPr>
        <w:t>intracellular</w:t>
      </w:r>
      <w:r>
        <w:rPr>
          <w:rFonts w:ascii="Arial"/>
          <w:color w:val="231F20"/>
          <w:spacing w:val="-16"/>
          <w:sz w:val="16"/>
        </w:rPr>
        <w:t> </w:t>
      </w:r>
      <w:r>
        <w:rPr>
          <w:rFonts w:ascii="Arial"/>
          <w:color w:val="231F20"/>
          <w:sz w:val="16"/>
        </w:rPr>
        <w:t>and</w:t>
      </w:r>
      <w:r>
        <w:rPr>
          <w:rFonts w:ascii="Arial"/>
          <w:color w:val="231F20"/>
          <w:spacing w:val="-17"/>
          <w:sz w:val="16"/>
        </w:rPr>
        <w:t> </w:t>
      </w:r>
      <w:r>
        <w:rPr>
          <w:rFonts w:ascii="Arial"/>
          <w:color w:val="231F20"/>
          <w:sz w:val="16"/>
        </w:rPr>
        <w:t>extra- cellular fluids. The concentrations of Ca</w:t>
      </w:r>
      <w:r>
        <w:rPr>
          <w:rFonts w:ascii="Consolas"/>
          <w:color w:val="231F20"/>
          <w:position w:val="6"/>
          <w:sz w:val="9"/>
        </w:rPr>
        <w:t>++ </w:t>
      </w:r>
      <w:r>
        <w:rPr>
          <w:rFonts w:ascii="Arial"/>
          <w:color w:val="231F20"/>
          <w:sz w:val="16"/>
        </w:rPr>
        <w:t>and Mg</w:t>
      </w:r>
      <w:r>
        <w:rPr>
          <w:rFonts w:ascii="Consolas"/>
          <w:color w:val="231F20"/>
          <w:position w:val="6"/>
          <w:sz w:val="9"/>
        </w:rPr>
        <w:t>++ </w:t>
      </w:r>
      <w:r>
        <w:rPr>
          <w:rFonts w:ascii="Arial"/>
          <w:color w:val="231F20"/>
          <w:sz w:val="16"/>
        </w:rPr>
        <w:t>represent </w:t>
      </w:r>
      <w:r>
        <w:rPr>
          <w:rFonts w:ascii="Arial"/>
          <w:color w:val="231F20"/>
          <w:spacing w:val="-4"/>
          <w:sz w:val="16"/>
        </w:rPr>
        <w:t>the </w:t>
      </w:r>
      <w:r>
        <w:rPr>
          <w:rFonts w:ascii="Arial"/>
          <w:color w:val="231F20"/>
          <w:sz w:val="16"/>
        </w:rPr>
        <w:t>sum</w:t>
      </w:r>
      <w:r>
        <w:rPr>
          <w:rFonts w:ascii="Arial"/>
          <w:color w:val="231F20"/>
          <w:spacing w:val="-16"/>
          <w:sz w:val="16"/>
        </w:rPr>
        <w:t> </w:t>
      </w:r>
      <w:r>
        <w:rPr>
          <w:rFonts w:ascii="Arial"/>
          <w:color w:val="231F20"/>
          <w:sz w:val="16"/>
        </w:rPr>
        <w:t>of</w:t>
      </w:r>
      <w:r>
        <w:rPr>
          <w:rFonts w:ascii="Arial"/>
          <w:color w:val="231F20"/>
          <w:spacing w:val="-15"/>
          <w:sz w:val="16"/>
        </w:rPr>
        <w:t> </w:t>
      </w:r>
      <w:r>
        <w:rPr>
          <w:rFonts w:ascii="Arial"/>
          <w:color w:val="231F20"/>
          <w:sz w:val="16"/>
        </w:rPr>
        <w:t>these</w:t>
      </w:r>
      <w:r>
        <w:rPr>
          <w:rFonts w:ascii="Arial"/>
          <w:color w:val="231F20"/>
          <w:spacing w:val="-16"/>
          <w:sz w:val="16"/>
        </w:rPr>
        <w:t> </w:t>
      </w:r>
      <w:r>
        <w:rPr>
          <w:rFonts w:ascii="Arial"/>
          <w:color w:val="231F20"/>
          <w:sz w:val="16"/>
        </w:rPr>
        <w:t>two</w:t>
      </w:r>
      <w:r>
        <w:rPr>
          <w:rFonts w:ascii="Arial"/>
          <w:color w:val="231F20"/>
          <w:spacing w:val="-15"/>
          <w:sz w:val="16"/>
        </w:rPr>
        <w:t> </w:t>
      </w:r>
      <w:r>
        <w:rPr>
          <w:rFonts w:ascii="Arial"/>
          <w:color w:val="231F20"/>
          <w:sz w:val="16"/>
        </w:rPr>
        <w:t>ions.</w:t>
      </w:r>
      <w:r>
        <w:rPr>
          <w:rFonts w:ascii="Arial"/>
          <w:color w:val="231F20"/>
          <w:spacing w:val="-15"/>
          <w:sz w:val="16"/>
        </w:rPr>
        <w:t> </w:t>
      </w:r>
      <w:r>
        <w:rPr>
          <w:rFonts w:ascii="Arial"/>
          <w:color w:val="231F20"/>
          <w:sz w:val="16"/>
        </w:rPr>
        <w:t>The</w:t>
      </w:r>
      <w:r>
        <w:rPr>
          <w:rFonts w:ascii="Arial"/>
          <w:color w:val="231F20"/>
          <w:spacing w:val="-16"/>
          <w:sz w:val="16"/>
        </w:rPr>
        <w:t> </w:t>
      </w:r>
      <w:r>
        <w:rPr>
          <w:rFonts w:ascii="Arial"/>
          <w:color w:val="231F20"/>
          <w:sz w:val="16"/>
        </w:rPr>
        <w:t>concentrations</w:t>
      </w:r>
      <w:r>
        <w:rPr>
          <w:rFonts w:ascii="Arial"/>
          <w:color w:val="231F20"/>
          <w:spacing w:val="-15"/>
          <w:sz w:val="16"/>
        </w:rPr>
        <w:t> </w:t>
      </w:r>
      <w:r>
        <w:rPr>
          <w:rFonts w:ascii="Arial"/>
          <w:color w:val="231F20"/>
          <w:sz w:val="16"/>
        </w:rPr>
        <w:t>shown</w:t>
      </w:r>
      <w:r>
        <w:rPr>
          <w:rFonts w:ascii="Arial"/>
          <w:color w:val="231F20"/>
          <w:spacing w:val="-15"/>
          <w:sz w:val="16"/>
        </w:rPr>
        <w:t> </w:t>
      </w:r>
      <w:r>
        <w:rPr>
          <w:rFonts w:ascii="Arial"/>
          <w:color w:val="231F20"/>
          <w:sz w:val="16"/>
        </w:rPr>
        <w:t>represent</w:t>
      </w:r>
      <w:r>
        <w:rPr>
          <w:rFonts w:ascii="Arial"/>
          <w:color w:val="231F20"/>
          <w:spacing w:val="-16"/>
          <w:sz w:val="16"/>
        </w:rPr>
        <w:t> </w:t>
      </w:r>
      <w:r>
        <w:rPr>
          <w:rFonts w:ascii="Arial"/>
          <w:color w:val="231F20"/>
          <w:sz w:val="16"/>
        </w:rPr>
        <w:t>the</w:t>
      </w:r>
      <w:r>
        <w:rPr>
          <w:rFonts w:ascii="Arial"/>
          <w:color w:val="231F20"/>
          <w:spacing w:val="-15"/>
          <w:sz w:val="16"/>
        </w:rPr>
        <w:t> </w:t>
      </w:r>
      <w:r>
        <w:rPr>
          <w:rFonts w:ascii="Arial"/>
          <w:color w:val="231F20"/>
          <w:spacing w:val="-3"/>
          <w:sz w:val="16"/>
        </w:rPr>
        <w:t>total </w:t>
      </w:r>
      <w:r>
        <w:rPr>
          <w:rFonts w:ascii="Arial"/>
          <w:color w:val="231F20"/>
          <w:sz w:val="16"/>
        </w:rPr>
        <w:t>of free ions and complexed</w:t>
      </w:r>
      <w:r>
        <w:rPr>
          <w:rFonts w:ascii="Arial"/>
          <w:color w:val="231F20"/>
          <w:spacing w:val="31"/>
          <w:sz w:val="16"/>
        </w:rPr>
        <w:t> </w:t>
      </w:r>
      <w:r>
        <w:rPr>
          <w:rFonts w:ascii="Arial"/>
          <w:color w:val="231F20"/>
          <w:sz w:val="16"/>
        </w:rPr>
        <w:t>ions.</w:t>
      </w:r>
    </w:p>
    <w:p>
      <w:pPr>
        <w:spacing w:after="0" w:line="259" w:lineRule="auto"/>
        <w:jc w:val="both"/>
        <w:rPr>
          <w:rFonts w:ascii="Arial"/>
          <w:sz w:val="16"/>
        </w:rPr>
        <w:sectPr>
          <w:type w:val="continuous"/>
          <w:pgSz w:w="12240" w:h="15660"/>
          <w:pgMar w:top="0" w:bottom="760" w:left="0" w:right="0"/>
          <w:cols w:num="2" w:equalWidth="0">
            <w:col w:w="6121" w:space="40"/>
            <w:col w:w="6079"/>
          </w:cols>
        </w:sectPr>
      </w:pPr>
    </w:p>
    <w:p>
      <w:pPr>
        <w:pStyle w:val="BodyText"/>
        <w:spacing w:before="1"/>
        <w:rPr>
          <w:rFonts w:ascii="Arial"/>
        </w:rPr>
      </w:pPr>
    </w:p>
    <w:p>
      <w:pPr>
        <w:spacing w:after="0"/>
        <w:rPr>
          <w:rFonts w:ascii="Arial"/>
        </w:rPr>
        <w:sectPr>
          <w:headerReference w:type="even" r:id="rId19"/>
          <w:footerReference w:type="even" r:id="rId20"/>
          <w:footerReference w:type="default" r:id="rId21"/>
          <w:pgSz w:w="12240" w:h="15660"/>
          <w:pgMar w:header="0" w:footer="567" w:top="720" w:bottom="760" w:left="0" w:right="0"/>
          <w:pgNumType w:start="308"/>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
        <w:rPr>
          <w:rFonts w:ascii="Arial"/>
        </w:rPr>
      </w:pPr>
    </w:p>
    <w:p>
      <w:pPr>
        <w:spacing w:before="1"/>
        <w:ind w:left="3411" w:right="0" w:firstLine="0"/>
        <w:jc w:val="left"/>
        <w:rPr>
          <w:rFonts w:ascii="Helvetica"/>
          <w:sz w:val="16"/>
        </w:rPr>
      </w:pPr>
      <w:r>
        <w:rPr/>
        <w:pict>
          <v:group style="position:absolute;margin-left:82.042pt;margin-top:-46.48827pt;width:87.3pt;height:278.2pt;mso-position-horizontal-relative:page;mso-position-vertical-relative:paragraph;z-index:251699200" coordorigin="1641,-930" coordsize="1746,5564">
            <v:shape style="position:absolute;left:1708;top:-863;width:1300;height:4912" coordorigin="1708,-862" coordsize="1300,4912" path="m3008,-862l1708,-862,1708,1191,1708,2458,1708,3284,1708,3898,1708,4049,3008,4049,3008,3898,3008,3284,3008,2458,3008,1191,3008,-862e" filled="true" fillcolor="#d1d3d4" stroked="false">
              <v:path arrowok="t"/>
              <v:fill type="solid"/>
            </v:shape>
            <v:shape style="position:absolute;left:1708;top:4049;width:1300;height:311" coordorigin="1708,4049" coordsize="1300,311" path="m3008,4049l1708,4049,1708,4154,1708,4213,1708,4268,1708,4314,1708,4360,3008,4360,3008,4314,3008,4268,3008,4213,3008,4154,3008,4049e" filled="true" fillcolor="#d1d3d4" stroked="false">
              <v:path arrowok="t"/>
              <v:fill type="solid"/>
            </v:shape>
            <v:rect style="position:absolute;left:1648;top:-923;width:1300;height:2054" filled="true" fillcolor="#ffeec8" stroked="false">
              <v:fill type="solid"/>
            </v:rect>
            <v:rect style="position:absolute;left:1648;top:-923;width:1300;height:2054" filled="false" stroked="true" strokeweight=".75pt" strokecolor="#231f20">
              <v:stroke dashstyle="solid"/>
            </v:rect>
            <v:rect style="position:absolute;left:1648;top:1131;width:1300;height:1267" filled="true" fillcolor="#c3d9c6" stroked="false">
              <v:fill type="solid"/>
            </v:rect>
            <v:rect style="position:absolute;left:1648;top:1131;width:1300;height:1267" filled="false" stroked="true" strokeweight=".75pt" strokecolor="#231f20">
              <v:stroke dashstyle="solid"/>
            </v:rect>
            <v:rect style="position:absolute;left:1648;top:2397;width:1300;height:827" filled="true" fillcolor="#c7d6ea" stroked="false">
              <v:fill type="solid"/>
            </v:rect>
            <v:rect style="position:absolute;left:1648;top:2397;width:1300;height:827" filled="false" stroked="true" strokeweight=".75pt" strokecolor="#231f20">
              <v:stroke dashstyle="solid"/>
            </v:rect>
            <v:rect style="position:absolute;left:1648;top:3224;width:1300;height:614" filled="true" fillcolor="#f5d2d0" stroked="false">
              <v:fill type="solid"/>
            </v:rect>
            <v:rect style="position:absolute;left:1648;top:3224;width:1300;height:614" filled="false" stroked="true" strokeweight=".75pt" strokecolor="#231f20">
              <v:stroke dashstyle="solid"/>
            </v:rect>
            <v:rect style="position:absolute;left:1648;top:3837;width:1300;height:152" filled="true" fillcolor="#d79597" stroked="false">
              <v:fill type="solid"/>
            </v:rect>
            <v:rect style="position:absolute;left:1648;top:3837;width:1300;height:162" filled="false" stroked="true" strokeweight=".75pt" strokecolor="#231f20">
              <v:stroke dashstyle="solid"/>
            </v:rect>
            <v:rect style="position:absolute;left:1648;top:3989;width:1300;height:105" filled="true" fillcolor="#f37b7d" stroked="false">
              <v:fill type="solid"/>
            </v:rect>
            <v:rect style="position:absolute;left:1648;top:3989;width:1300;height:105" filled="false" stroked="true" strokeweight=".75pt" strokecolor="#231f20">
              <v:stroke dashstyle="solid"/>
            </v:rect>
            <v:rect style="position:absolute;left:1648;top:4093;width:1300;height:60" filled="true" fillcolor="#fcba63" stroked="false">
              <v:fill type="solid"/>
            </v:rect>
            <v:rect style="position:absolute;left:1648;top:4093;width:1300;height:60" filled="false" stroked="true" strokeweight=".75pt" strokecolor="#231f20">
              <v:stroke dashstyle="solid"/>
            </v:rect>
            <v:rect style="position:absolute;left:1648;top:4153;width:1300;height:56" filled="true" fillcolor="#51999a" stroked="false">
              <v:fill type="solid"/>
            </v:rect>
            <v:rect style="position:absolute;left:1648;top:4153;width:1300;height:56" filled="false" stroked="true" strokeweight=".75pt" strokecolor="#231f20">
              <v:stroke dashstyle="solid"/>
            </v:rect>
            <v:rect style="position:absolute;left:1648;top:4208;width:1300;height:46" filled="true" fillcolor="#bf4d5c" stroked="false">
              <v:fill type="solid"/>
            </v:rect>
            <v:rect style="position:absolute;left:1648;top:4208;width:1300;height:46" filled="false" stroked="true" strokeweight=".75pt" strokecolor="#231f20">
              <v:stroke dashstyle="solid"/>
            </v:rect>
            <v:rect style="position:absolute;left:1648;top:4254;width:1300;height:46" filled="true" fillcolor="#5a7cbd" stroked="false">
              <v:fill type="solid"/>
            </v:rect>
            <v:rect style="position:absolute;left:1648;top:4254;width:1300;height:46" filled="false" stroked="true" strokeweight=".75pt" strokecolor="#231f20">
              <v:stroke dashstyle="solid"/>
            </v:rect>
            <v:shape style="position:absolute;left:-430;top:13650;width:430;height:4528" coordorigin="-430,13650" coordsize="430,4528" path="m3378,98l2949,98m3378,1771l2949,1771m3378,2800l2949,2800m3378,3137l2949,3478m3378,3520l2949,3895m3378,3747l2949,4040m3378,3965l2949,4122m3378,4188l2949,4178m3378,4395l2949,4234m3378,4626l2949,4280e" filled="false" stroked="true" strokeweight=".75pt" strokecolor="#231f20">
              <v:path arrowok="t"/>
              <v:stroke dashstyle="solid"/>
            </v:shape>
            <w10:wrap type="none"/>
          </v:group>
        </w:pict>
      </w:r>
      <w:r>
        <w:rPr>
          <w:rFonts w:ascii="Helvetica"/>
          <w:color w:val="231F20"/>
          <w:sz w:val="16"/>
        </w:rPr>
        <w:t>Phospholipids: 280 mg/dl</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3"/>
        <w:rPr>
          <w:rFonts w:ascii="Helvetica"/>
          <w:sz w:val="22"/>
        </w:rPr>
      </w:pPr>
    </w:p>
    <w:p>
      <w:pPr>
        <w:spacing w:before="0"/>
        <w:ind w:left="3411" w:right="0" w:firstLine="0"/>
        <w:jc w:val="left"/>
        <w:rPr>
          <w:rFonts w:ascii="Helvetica"/>
          <w:sz w:val="16"/>
        </w:rPr>
      </w:pPr>
      <w:r>
        <w:rPr/>
        <w:pict>
          <v:rect style="position:absolute;margin-left:0pt;margin-top:7.325684pt;width:36pt;height:24pt;mso-position-horizontal-relative:page;mso-position-vertical-relative:paragraph;z-index:251698176" filled="true" fillcolor="#e8dac8" stroked="false">
            <v:fill type="solid"/>
            <w10:wrap type="none"/>
          </v:rect>
        </w:pict>
      </w:r>
      <w:r>
        <w:rPr>
          <w:rFonts w:ascii="Helvetica"/>
          <w:color w:val="231F20"/>
          <w:sz w:val="16"/>
        </w:rPr>
        <w:t>Cholesterol: 150 mg/dl</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8"/>
        <w:rPr>
          <w:rFonts w:ascii="Helvetica"/>
          <w:sz w:val="18"/>
        </w:rPr>
      </w:pPr>
    </w:p>
    <w:p>
      <w:pPr>
        <w:spacing w:line="420" w:lineRule="auto" w:before="1"/>
        <w:ind w:left="3411" w:right="800" w:firstLine="0"/>
        <w:jc w:val="left"/>
        <w:rPr>
          <w:rFonts w:ascii="Helvetica"/>
          <w:sz w:val="16"/>
        </w:rPr>
      </w:pPr>
      <w:r>
        <w:rPr>
          <w:rFonts w:ascii="Helvetica"/>
          <w:color w:val="231F20"/>
          <w:sz w:val="16"/>
        </w:rPr>
        <w:t>Neutral fat: 125 mg/dl Glucose: 90 mg/dl</w:t>
      </w:r>
    </w:p>
    <w:p>
      <w:pPr>
        <w:spacing w:line="292" w:lineRule="auto" w:before="66"/>
        <w:ind w:left="3411" w:right="870" w:firstLine="0"/>
        <w:jc w:val="left"/>
        <w:rPr>
          <w:rFonts w:ascii="Helvetica"/>
          <w:sz w:val="16"/>
        </w:rPr>
      </w:pPr>
      <w:r>
        <w:rPr>
          <w:rFonts w:ascii="Helvetica"/>
          <w:color w:val="231F20"/>
          <w:sz w:val="16"/>
        </w:rPr>
        <w:t>Urea: 14 mg/dl Lactic acid: 10 mg/dl Uric acid: 3 mg/dl Creatinine: 1.0</w:t>
      </w:r>
      <w:r>
        <w:rPr>
          <w:rFonts w:ascii="Helvetica"/>
          <w:color w:val="231F20"/>
          <w:spacing w:val="2"/>
          <w:sz w:val="16"/>
        </w:rPr>
        <w:t> </w:t>
      </w:r>
      <w:r>
        <w:rPr>
          <w:rFonts w:ascii="Helvetica"/>
          <w:color w:val="231F20"/>
          <w:spacing w:val="-4"/>
          <w:sz w:val="16"/>
        </w:rPr>
        <w:t>mg/dl</w:t>
      </w:r>
    </w:p>
    <w:p>
      <w:pPr>
        <w:spacing w:line="309" w:lineRule="auto" w:before="6"/>
        <w:ind w:left="3411" w:right="1013" w:firstLine="0"/>
        <w:jc w:val="left"/>
        <w:rPr>
          <w:rFonts w:ascii="Helvetica"/>
          <w:sz w:val="16"/>
        </w:rPr>
      </w:pPr>
      <w:r>
        <w:rPr>
          <w:rFonts w:ascii="Helvetica"/>
          <w:color w:val="231F20"/>
          <w:sz w:val="16"/>
        </w:rPr>
        <w:t>Bilirubin: 0.5 mg/dl Bile salts: trace</w:t>
      </w:r>
    </w:p>
    <w:p>
      <w:pPr>
        <w:spacing w:before="37"/>
        <w:ind w:left="1889" w:right="0" w:firstLine="0"/>
        <w:jc w:val="left"/>
        <w:rPr>
          <w:rFonts w:ascii="Arial"/>
          <w:sz w:val="16"/>
        </w:rPr>
      </w:pPr>
      <w:bookmarkStart w:name="_bookmark3" w:id="4"/>
      <w:bookmarkEnd w:id="4"/>
      <w:r>
        <w:rPr/>
      </w:r>
      <w:r>
        <w:rPr>
          <w:rFonts w:ascii="Trebuchet MS"/>
          <w:b/>
          <w:color w:val="231F20"/>
          <w:sz w:val="16"/>
        </w:rPr>
        <w:t>Figure 25-3. </w:t>
      </w:r>
      <w:r>
        <w:rPr>
          <w:rFonts w:ascii="Arial"/>
          <w:color w:val="231F20"/>
          <w:sz w:val="16"/>
        </w:rPr>
        <w:t>Nonelectrolytes of the plasma.</w:t>
      </w:r>
    </w:p>
    <w:p>
      <w:pPr>
        <w:pStyle w:val="BodyText"/>
        <w:rPr>
          <w:rFonts w:ascii="Arial"/>
          <w:sz w:val="18"/>
        </w:rPr>
      </w:pPr>
    </w:p>
    <w:p>
      <w:pPr>
        <w:pStyle w:val="BodyText"/>
        <w:rPr>
          <w:rFonts w:ascii="Arial"/>
          <w:sz w:val="25"/>
        </w:rPr>
      </w:pPr>
    </w:p>
    <w:p>
      <w:pPr>
        <w:pStyle w:val="BodyText"/>
        <w:spacing w:line="249" w:lineRule="auto" w:before="1"/>
        <w:ind w:left="1080"/>
        <w:jc w:val="both"/>
      </w:pPr>
      <w:r>
        <w:rPr>
          <w:color w:val="231F20"/>
          <w:w w:val="105"/>
        </w:rPr>
        <w:t>purposes,</w:t>
      </w:r>
      <w:r>
        <w:rPr>
          <w:color w:val="231F20"/>
          <w:spacing w:val="-13"/>
          <w:w w:val="105"/>
        </w:rPr>
        <w:t> </w:t>
      </w:r>
      <w:r>
        <w:rPr>
          <w:color w:val="231F20"/>
          <w:w w:val="105"/>
        </w:rPr>
        <w:t>however,</w:t>
      </w:r>
      <w:r>
        <w:rPr>
          <w:color w:val="231F20"/>
          <w:spacing w:val="-13"/>
          <w:w w:val="105"/>
        </w:rPr>
        <w:t> </w:t>
      </w:r>
      <w:r>
        <w:rPr>
          <w:color w:val="231F20"/>
          <w:w w:val="105"/>
        </w:rPr>
        <w:t>the</w:t>
      </w:r>
      <w:r>
        <w:rPr>
          <w:color w:val="231F20"/>
          <w:spacing w:val="-12"/>
          <w:w w:val="105"/>
        </w:rPr>
        <w:t> </w:t>
      </w:r>
      <w:r>
        <w:rPr>
          <w:color w:val="231F20"/>
          <w:w w:val="105"/>
        </w:rPr>
        <w:t>concentration</w:t>
      </w:r>
      <w:r>
        <w:rPr>
          <w:color w:val="231F20"/>
          <w:spacing w:val="-13"/>
          <w:w w:val="105"/>
        </w:rPr>
        <w:t> </w:t>
      </w:r>
      <w:r>
        <w:rPr>
          <w:color w:val="231F20"/>
          <w:w w:val="105"/>
        </w:rPr>
        <w:t>of</w:t>
      </w:r>
      <w:r>
        <w:rPr>
          <w:color w:val="231F20"/>
          <w:spacing w:val="-12"/>
          <w:w w:val="105"/>
        </w:rPr>
        <w:t> </w:t>
      </w:r>
      <w:r>
        <w:rPr>
          <w:color w:val="231F20"/>
          <w:w w:val="105"/>
        </w:rPr>
        <w:t>ions</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3"/>
          <w:w w:val="105"/>
        </w:rPr>
        <w:t> </w:t>
      </w:r>
      <w:r>
        <w:rPr>
          <w:color w:val="231F20"/>
          <w:spacing w:val="-5"/>
          <w:w w:val="105"/>
        </w:rPr>
        <w:t>inter­ </w:t>
      </w:r>
      <w:r>
        <w:rPr>
          <w:color w:val="231F20"/>
          <w:w w:val="105"/>
        </w:rPr>
        <w:t>stitial fluid and in the plasma is considered to be about equal.</w:t>
      </w:r>
    </w:p>
    <w:p>
      <w:pPr>
        <w:pStyle w:val="BodyText"/>
        <w:spacing w:line="249" w:lineRule="auto" w:before="2"/>
        <w:ind w:left="1080" w:firstLine="240"/>
        <w:jc w:val="both"/>
      </w:pPr>
      <w:r>
        <w:rPr>
          <w:color w:val="231F20"/>
        </w:rPr>
        <w:t>Referring again to </w:t>
      </w:r>
      <w:hyperlink w:history="true" w:anchor="_bookmark2">
        <w:r>
          <w:rPr>
            <w:b/>
            <w:color w:val="0080AC"/>
          </w:rPr>
          <w:t>Figure 25-2</w:t>
        </w:r>
      </w:hyperlink>
      <w:r>
        <w:rPr>
          <w:b/>
          <w:color w:val="231F20"/>
        </w:rPr>
        <w:t>, </w:t>
      </w:r>
      <w:r>
        <w:rPr>
          <w:color w:val="231F20"/>
        </w:rPr>
        <w:t>one can see that the extracellular fluid, including the plasma and the intersti­ tial fluid, contains large amounts of sodium and chloride ions, reasonably large amounts of bicarbonate ions, but only small quantities of potassium, calcium, magnesium, phosphate, and organic acid ions.</w:t>
      </w:r>
    </w:p>
    <w:p>
      <w:pPr>
        <w:pStyle w:val="BodyText"/>
        <w:spacing w:line="249" w:lineRule="auto" w:before="5"/>
        <w:ind w:left="1080" w:firstLine="240"/>
        <w:jc w:val="both"/>
      </w:pPr>
      <w:r>
        <w:rPr>
          <w:color w:val="231F20"/>
        </w:rPr>
        <w:t>The composition of extracellular fluid is carefully regulated by various mechanisms, but especially by the kidneys, as discussed </w:t>
      </w:r>
      <w:r>
        <w:rPr>
          <w:color w:val="231F20"/>
          <w:spacing w:val="-4"/>
        </w:rPr>
        <w:t>later. </w:t>
      </w:r>
      <w:r>
        <w:rPr>
          <w:color w:val="231F20"/>
        </w:rPr>
        <w:t>This regulation allows the </w:t>
      </w:r>
      <w:r>
        <w:rPr>
          <w:color w:val="231F20"/>
          <w:spacing w:val="-4"/>
        </w:rPr>
        <w:t>cells </w:t>
      </w:r>
      <w:r>
        <w:rPr>
          <w:color w:val="231F20"/>
        </w:rPr>
        <w:t>to remain continually bathed in a fluid that contains </w:t>
      </w:r>
      <w:r>
        <w:rPr>
          <w:color w:val="231F20"/>
          <w:spacing w:val="-5"/>
        </w:rPr>
        <w:t>the </w:t>
      </w:r>
      <w:r>
        <w:rPr>
          <w:color w:val="231F20"/>
        </w:rPr>
        <w:t>proper concentration of electrolytes and nutrients </w:t>
      </w:r>
      <w:r>
        <w:rPr>
          <w:color w:val="231F20"/>
          <w:spacing w:val="-5"/>
        </w:rPr>
        <w:t>for </w:t>
      </w:r>
      <w:r>
        <w:rPr>
          <w:color w:val="231F20"/>
        </w:rPr>
        <w:t>optimal cell function.</w:t>
      </w:r>
    </w:p>
    <w:p>
      <w:pPr>
        <w:pStyle w:val="BodyText"/>
        <w:rPr>
          <w:sz w:val="30"/>
        </w:rPr>
      </w:pPr>
    </w:p>
    <w:p>
      <w:pPr>
        <w:pStyle w:val="Heading2"/>
        <w:ind w:left="1080"/>
        <w:jc w:val="both"/>
      </w:pPr>
      <w:r>
        <w:rPr>
          <w:color w:val="231F20"/>
        </w:rPr>
        <w:t>INTRACELLULAR FLUID CONSTITUENTS</w:t>
      </w:r>
    </w:p>
    <w:p>
      <w:pPr>
        <w:pStyle w:val="BodyText"/>
        <w:spacing w:line="249" w:lineRule="auto" w:before="124"/>
        <w:ind w:left="1080"/>
        <w:jc w:val="both"/>
      </w:pPr>
      <w:r>
        <w:rPr>
          <w:color w:val="231F20"/>
          <w:w w:val="105"/>
        </w:rPr>
        <w:t>The</w:t>
      </w:r>
      <w:r>
        <w:rPr>
          <w:color w:val="231F20"/>
          <w:spacing w:val="-12"/>
          <w:w w:val="105"/>
        </w:rPr>
        <w:t> </w:t>
      </w:r>
      <w:r>
        <w:rPr>
          <w:color w:val="231F20"/>
          <w:w w:val="105"/>
        </w:rPr>
        <w:t>intracellular</w:t>
      </w:r>
      <w:r>
        <w:rPr>
          <w:color w:val="231F20"/>
          <w:spacing w:val="-11"/>
          <w:w w:val="105"/>
        </w:rPr>
        <w:t> </w:t>
      </w:r>
      <w:r>
        <w:rPr>
          <w:color w:val="231F20"/>
          <w:w w:val="105"/>
        </w:rPr>
        <w:t>fluid</w:t>
      </w:r>
      <w:r>
        <w:rPr>
          <w:color w:val="231F20"/>
          <w:spacing w:val="-11"/>
          <w:w w:val="105"/>
        </w:rPr>
        <w:t> </w:t>
      </w:r>
      <w:r>
        <w:rPr>
          <w:color w:val="231F20"/>
          <w:w w:val="105"/>
        </w:rPr>
        <w:t>is</w:t>
      </w:r>
      <w:r>
        <w:rPr>
          <w:color w:val="231F20"/>
          <w:spacing w:val="-12"/>
          <w:w w:val="105"/>
        </w:rPr>
        <w:t> </w:t>
      </w:r>
      <w:r>
        <w:rPr>
          <w:color w:val="231F20"/>
          <w:w w:val="105"/>
        </w:rPr>
        <w:t>separated</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extracellular fluid</w:t>
      </w:r>
      <w:r>
        <w:rPr>
          <w:color w:val="231F20"/>
          <w:spacing w:val="-24"/>
          <w:w w:val="105"/>
        </w:rPr>
        <w:t> </w:t>
      </w:r>
      <w:r>
        <w:rPr>
          <w:color w:val="231F20"/>
          <w:w w:val="105"/>
        </w:rPr>
        <w:t>by</w:t>
      </w:r>
      <w:r>
        <w:rPr>
          <w:color w:val="231F20"/>
          <w:spacing w:val="-24"/>
          <w:w w:val="105"/>
        </w:rPr>
        <w:t> </w:t>
      </w:r>
      <w:r>
        <w:rPr>
          <w:color w:val="231F20"/>
          <w:w w:val="105"/>
        </w:rPr>
        <w:t>a</w:t>
      </w:r>
      <w:r>
        <w:rPr>
          <w:color w:val="231F20"/>
          <w:spacing w:val="-24"/>
          <w:w w:val="105"/>
        </w:rPr>
        <w:t> </w:t>
      </w:r>
      <w:r>
        <w:rPr>
          <w:color w:val="231F20"/>
          <w:w w:val="105"/>
        </w:rPr>
        <w:t>cell</w:t>
      </w:r>
      <w:r>
        <w:rPr>
          <w:color w:val="231F20"/>
          <w:spacing w:val="-24"/>
          <w:w w:val="105"/>
        </w:rPr>
        <w:t> </w:t>
      </w:r>
      <w:r>
        <w:rPr>
          <w:color w:val="231F20"/>
          <w:w w:val="105"/>
        </w:rPr>
        <w:t>membrane</w:t>
      </w:r>
      <w:r>
        <w:rPr>
          <w:color w:val="231F20"/>
          <w:spacing w:val="-24"/>
          <w:w w:val="105"/>
        </w:rPr>
        <w:t> </w:t>
      </w:r>
      <w:r>
        <w:rPr>
          <w:color w:val="231F20"/>
          <w:w w:val="105"/>
        </w:rPr>
        <w:t>that</w:t>
      </w:r>
      <w:r>
        <w:rPr>
          <w:color w:val="231F20"/>
          <w:spacing w:val="-24"/>
          <w:w w:val="105"/>
        </w:rPr>
        <w:t> </w:t>
      </w:r>
      <w:r>
        <w:rPr>
          <w:color w:val="231F20"/>
          <w:w w:val="105"/>
        </w:rPr>
        <w:t>is</w:t>
      </w:r>
      <w:r>
        <w:rPr>
          <w:color w:val="231F20"/>
          <w:spacing w:val="-23"/>
          <w:w w:val="105"/>
        </w:rPr>
        <w:t> </w:t>
      </w:r>
      <w:r>
        <w:rPr>
          <w:color w:val="231F20"/>
          <w:w w:val="105"/>
        </w:rPr>
        <w:t>highly</w:t>
      </w:r>
      <w:r>
        <w:rPr>
          <w:color w:val="231F20"/>
          <w:spacing w:val="-24"/>
          <w:w w:val="105"/>
        </w:rPr>
        <w:t> </w:t>
      </w:r>
      <w:r>
        <w:rPr>
          <w:color w:val="231F20"/>
          <w:w w:val="105"/>
        </w:rPr>
        <w:t>permeable</w:t>
      </w:r>
      <w:r>
        <w:rPr>
          <w:color w:val="231F20"/>
          <w:spacing w:val="-24"/>
          <w:w w:val="105"/>
        </w:rPr>
        <w:t> </w:t>
      </w:r>
      <w:r>
        <w:rPr>
          <w:color w:val="231F20"/>
          <w:w w:val="105"/>
        </w:rPr>
        <w:t>to</w:t>
      </w:r>
      <w:r>
        <w:rPr>
          <w:color w:val="231F20"/>
          <w:spacing w:val="-24"/>
          <w:w w:val="105"/>
        </w:rPr>
        <w:t> </w:t>
      </w:r>
      <w:r>
        <w:rPr>
          <w:color w:val="231F20"/>
          <w:w w:val="105"/>
        </w:rPr>
        <w:t>water but is not permeable to most of the electrolytes in the body.</w:t>
      </w:r>
    </w:p>
    <w:p>
      <w:pPr>
        <w:pStyle w:val="BodyText"/>
        <w:spacing w:line="249" w:lineRule="auto" w:before="4"/>
        <w:ind w:left="1080" w:firstLine="240"/>
        <w:jc w:val="both"/>
      </w:pPr>
      <w:r>
        <w:rPr>
          <w:color w:val="231F20"/>
          <w:w w:val="105"/>
        </w:rPr>
        <w:t>In contrast to the extracellular fluid, the intracellular fluid contains only small quantities of sodium and </w:t>
      </w:r>
      <w:r>
        <w:rPr>
          <w:color w:val="231F20"/>
          <w:spacing w:val="-4"/>
          <w:w w:val="105"/>
        </w:rPr>
        <w:t>chlo­ </w:t>
      </w:r>
      <w:r>
        <w:rPr>
          <w:color w:val="231F20"/>
          <w:w w:val="105"/>
        </w:rPr>
        <w:t>ride</w:t>
      </w:r>
      <w:r>
        <w:rPr>
          <w:color w:val="231F20"/>
          <w:spacing w:val="-9"/>
          <w:w w:val="105"/>
        </w:rPr>
        <w:t> </w:t>
      </w:r>
      <w:r>
        <w:rPr>
          <w:color w:val="231F20"/>
          <w:w w:val="105"/>
        </w:rPr>
        <w:t>ions</w:t>
      </w:r>
      <w:r>
        <w:rPr>
          <w:color w:val="231F20"/>
          <w:spacing w:val="-9"/>
          <w:w w:val="105"/>
        </w:rPr>
        <w:t> </w:t>
      </w:r>
      <w:r>
        <w:rPr>
          <w:color w:val="231F20"/>
          <w:w w:val="105"/>
        </w:rPr>
        <w:t>and</w:t>
      </w:r>
      <w:r>
        <w:rPr>
          <w:color w:val="231F20"/>
          <w:spacing w:val="-8"/>
          <w:w w:val="105"/>
        </w:rPr>
        <w:t> </w:t>
      </w:r>
      <w:r>
        <w:rPr>
          <w:color w:val="231F20"/>
          <w:w w:val="105"/>
        </w:rPr>
        <w:t>almost</w:t>
      </w:r>
      <w:r>
        <w:rPr>
          <w:color w:val="231F20"/>
          <w:spacing w:val="-9"/>
          <w:w w:val="105"/>
        </w:rPr>
        <w:t> </w:t>
      </w:r>
      <w:r>
        <w:rPr>
          <w:color w:val="231F20"/>
          <w:w w:val="105"/>
        </w:rPr>
        <w:t>no</w:t>
      </w:r>
      <w:r>
        <w:rPr>
          <w:color w:val="231F20"/>
          <w:spacing w:val="-9"/>
          <w:w w:val="105"/>
        </w:rPr>
        <w:t> </w:t>
      </w:r>
      <w:r>
        <w:rPr>
          <w:color w:val="231F20"/>
          <w:w w:val="105"/>
        </w:rPr>
        <w:t>calcium</w:t>
      </w:r>
      <w:r>
        <w:rPr>
          <w:color w:val="231F20"/>
          <w:spacing w:val="-8"/>
          <w:w w:val="105"/>
        </w:rPr>
        <w:t> </w:t>
      </w:r>
      <w:r>
        <w:rPr>
          <w:color w:val="231F20"/>
          <w:w w:val="105"/>
        </w:rPr>
        <w:t>ions.</w:t>
      </w:r>
      <w:r>
        <w:rPr>
          <w:color w:val="231F20"/>
          <w:spacing w:val="-9"/>
          <w:w w:val="105"/>
        </w:rPr>
        <w:t> </w:t>
      </w:r>
      <w:r>
        <w:rPr>
          <w:color w:val="231F20"/>
          <w:w w:val="105"/>
        </w:rPr>
        <w:t>Instead,</w:t>
      </w:r>
      <w:r>
        <w:rPr>
          <w:color w:val="231F20"/>
          <w:spacing w:val="-9"/>
          <w:w w:val="105"/>
        </w:rPr>
        <w:t> </w:t>
      </w:r>
      <w:r>
        <w:rPr>
          <w:color w:val="231F20"/>
          <w:w w:val="105"/>
        </w:rPr>
        <w:t>it</w:t>
      </w:r>
      <w:r>
        <w:rPr>
          <w:color w:val="231F20"/>
          <w:spacing w:val="-8"/>
          <w:w w:val="105"/>
        </w:rPr>
        <w:t> </w:t>
      </w:r>
      <w:r>
        <w:rPr>
          <w:color w:val="231F20"/>
          <w:spacing w:val="-3"/>
          <w:w w:val="105"/>
        </w:rPr>
        <w:t>contains </w:t>
      </w:r>
      <w:r>
        <w:rPr>
          <w:color w:val="231F20"/>
          <w:w w:val="105"/>
        </w:rPr>
        <w:t>large amounts of potassium and phosphate ions </w:t>
      </w:r>
      <w:r>
        <w:rPr>
          <w:color w:val="231F20"/>
          <w:spacing w:val="-4"/>
          <w:w w:val="105"/>
        </w:rPr>
        <w:t>plus </w:t>
      </w:r>
      <w:r>
        <w:rPr>
          <w:color w:val="231F20"/>
          <w:w w:val="105"/>
        </w:rPr>
        <w:t>moderate</w:t>
      </w:r>
      <w:r>
        <w:rPr>
          <w:color w:val="231F20"/>
          <w:spacing w:val="-17"/>
          <w:w w:val="105"/>
        </w:rPr>
        <w:t> </w:t>
      </w:r>
      <w:r>
        <w:rPr>
          <w:color w:val="231F20"/>
          <w:w w:val="105"/>
        </w:rPr>
        <w:t>quantities</w:t>
      </w:r>
      <w:r>
        <w:rPr>
          <w:color w:val="231F20"/>
          <w:spacing w:val="-16"/>
          <w:w w:val="105"/>
        </w:rPr>
        <w:t> </w:t>
      </w:r>
      <w:r>
        <w:rPr>
          <w:color w:val="231F20"/>
          <w:w w:val="105"/>
        </w:rPr>
        <w:t>of</w:t>
      </w:r>
      <w:r>
        <w:rPr>
          <w:color w:val="231F20"/>
          <w:spacing w:val="-16"/>
          <w:w w:val="105"/>
        </w:rPr>
        <w:t> </w:t>
      </w:r>
      <w:r>
        <w:rPr>
          <w:color w:val="231F20"/>
          <w:w w:val="105"/>
        </w:rPr>
        <w:t>magnesium</w:t>
      </w:r>
      <w:r>
        <w:rPr>
          <w:color w:val="231F20"/>
          <w:spacing w:val="-16"/>
          <w:w w:val="105"/>
        </w:rPr>
        <w:t> </w:t>
      </w:r>
      <w:r>
        <w:rPr>
          <w:color w:val="231F20"/>
          <w:w w:val="105"/>
        </w:rPr>
        <w:t>and</w:t>
      </w:r>
      <w:r>
        <w:rPr>
          <w:color w:val="231F20"/>
          <w:spacing w:val="-16"/>
          <w:w w:val="105"/>
        </w:rPr>
        <w:t> </w:t>
      </w:r>
      <w:r>
        <w:rPr>
          <w:color w:val="231F20"/>
          <w:w w:val="105"/>
        </w:rPr>
        <w:t>sulfate</w:t>
      </w:r>
      <w:r>
        <w:rPr>
          <w:color w:val="231F20"/>
          <w:spacing w:val="-17"/>
          <w:w w:val="105"/>
        </w:rPr>
        <w:t> </w:t>
      </w:r>
      <w:r>
        <w:rPr>
          <w:color w:val="231F20"/>
          <w:w w:val="105"/>
        </w:rPr>
        <w:t>ions,</w:t>
      </w:r>
      <w:r>
        <w:rPr>
          <w:color w:val="231F20"/>
          <w:spacing w:val="-16"/>
          <w:w w:val="105"/>
        </w:rPr>
        <w:t> </w:t>
      </w:r>
      <w:r>
        <w:rPr>
          <w:color w:val="231F20"/>
          <w:w w:val="105"/>
        </w:rPr>
        <w:t>all</w:t>
      </w:r>
      <w:r>
        <w:rPr>
          <w:color w:val="231F20"/>
          <w:spacing w:val="-16"/>
          <w:w w:val="105"/>
        </w:rPr>
        <w:t> </w:t>
      </w:r>
      <w:r>
        <w:rPr>
          <w:color w:val="231F20"/>
          <w:spacing w:val="-8"/>
          <w:w w:val="105"/>
        </w:rPr>
        <w:t>of </w:t>
      </w:r>
      <w:r>
        <w:rPr>
          <w:color w:val="231F20"/>
          <w:w w:val="105"/>
        </w:rPr>
        <w:t>which</w:t>
      </w:r>
      <w:r>
        <w:rPr>
          <w:color w:val="231F20"/>
          <w:spacing w:val="-10"/>
          <w:w w:val="105"/>
        </w:rPr>
        <w:t> </w:t>
      </w:r>
      <w:r>
        <w:rPr>
          <w:color w:val="231F20"/>
          <w:w w:val="105"/>
        </w:rPr>
        <w:t>have</w:t>
      </w:r>
      <w:r>
        <w:rPr>
          <w:color w:val="231F20"/>
          <w:spacing w:val="-10"/>
          <w:w w:val="105"/>
        </w:rPr>
        <w:t> </w:t>
      </w:r>
      <w:r>
        <w:rPr>
          <w:color w:val="231F20"/>
          <w:w w:val="105"/>
        </w:rPr>
        <w:t>low</w:t>
      </w:r>
      <w:r>
        <w:rPr>
          <w:color w:val="231F20"/>
          <w:spacing w:val="-10"/>
          <w:w w:val="105"/>
        </w:rPr>
        <w:t> </w:t>
      </w:r>
      <w:r>
        <w:rPr>
          <w:color w:val="231F20"/>
          <w:w w:val="105"/>
        </w:rPr>
        <w:t>concentrations</w:t>
      </w:r>
      <w:r>
        <w:rPr>
          <w:color w:val="231F20"/>
          <w:spacing w:val="-9"/>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extracellular</w:t>
      </w:r>
      <w:r>
        <w:rPr>
          <w:color w:val="231F20"/>
          <w:spacing w:val="-9"/>
          <w:w w:val="105"/>
        </w:rPr>
        <w:t> </w:t>
      </w:r>
      <w:r>
        <w:rPr>
          <w:color w:val="231F20"/>
          <w:w w:val="105"/>
        </w:rPr>
        <w:t>fluid. Also,</w:t>
      </w:r>
      <w:r>
        <w:rPr>
          <w:color w:val="231F20"/>
          <w:spacing w:val="-23"/>
          <w:w w:val="105"/>
        </w:rPr>
        <w:t> </w:t>
      </w:r>
      <w:r>
        <w:rPr>
          <w:color w:val="231F20"/>
          <w:w w:val="105"/>
        </w:rPr>
        <w:t>cells</w:t>
      </w:r>
      <w:r>
        <w:rPr>
          <w:color w:val="231F20"/>
          <w:spacing w:val="-22"/>
          <w:w w:val="105"/>
        </w:rPr>
        <w:t> </w:t>
      </w:r>
      <w:r>
        <w:rPr>
          <w:color w:val="231F20"/>
          <w:w w:val="105"/>
        </w:rPr>
        <w:t>contain</w:t>
      </w:r>
      <w:r>
        <w:rPr>
          <w:color w:val="231F20"/>
          <w:spacing w:val="-22"/>
          <w:w w:val="105"/>
        </w:rPr>
        <w:t> </w:t>
      </w:r>
      <w:r>
        <w:rPr>
          <w:color w:val="231F20"/>
          <w:w w:val="105"/>
        </w:rPr>
        <w:t>large</w:t>
      </w:r>
      <w:r>
        <w:rPr>
          <w:color w:val="231F20"/>
          <w:spacing w:val="-23"/>
          <w:w w:val="105"/>
        </w:rPr>
        <w:t> </w:t>
      </w:r>
      <w:r>
        <w:rPr>
          <w:color w:val="231F20"/>
          <w:w w:val="105"/>
        </w:rPr>
        <w:t>amounts</w:t>
      </w:r>
      <w:r>
        <w:rPr>
          <w:color w:val="231F20"/>
          <w:spacing w:val="-22"/>
          <w:w w:val="105"/>
        </w:rPr>
        <w:t> </w:t>
      </w:r>
      <w:r>
        <w:rPr>
          <w:color w:val="231F20"/>
          <w:w w:val="105"/>
        </w:rPr>
        <w:t>of</w:t>
      </w:r>
      <w:r>
        <w:rPr>
          <w:color w:val="231F20"/>
          <w:spacing w:val="-22"/>
          <w:w w:val="105"/>
        </w:rPr>
        <w:t> </w:t>
      </w:r>
      <w:r>
        <w:rPr>
          <w:color w:val="231F20"/>
          <w:w w:val="105"/>
        </w:rPr>
        <w:t>protein—almost</w:t>
      </w:r>
      <w:r>
        <w:rPr>
          <w:color w:val="231F20"/>
          <w:spacing w:val="-23"/>
          <w:w w:val="105"/>
        </w:rPr>
        <w:t> </w:t>
      </w:r>
      <w:r>
        <w:rPr>
          <w:color w:val="231F20"/>
          <w:spacing w:val="-4"/>
          <w:w w:val="105"/>
        </w:rPr>
        <w:t>four </w:t>
      </w:r>
      <w:r>
        <w:rPr>
          <w:color w:val="231F20"/>
          <w:w w:val="105"/>
        </w:rPr>
        <w:t>times as much as in the</w:t>
      </w:r>
      <w:r>
        <w:rPr>
          <w:color w:val="231F20"/>
          <w:spacing w:val="15"/>
          <w:w w:val="105"/>
        </w:rPr>
        <w:t> </w:t>
      </w:r>
      <w:r>
        <w:rPr>
          <w:color w:val="231F20"/>
          <w:w w:val="105"/>
        </w:rPr>
        <w:t>plasma.</w:t>
      </w:r>
    </w:p>
    <w:p>
      <w:pPr>
        <w:spacing w:line="252" w:lineRule="auto" w:before="100"/>
        <w:ind w:left="319" w:right="2063" w:firstLine="0"/>
        <w:jc w:val="left"/>
        <w:rPr>
          <w:rFonts w:ascii="Trebuchet MS"/>
          <w:sz w:val="18"/>
        </w:rPr>
      </w:pPr>
      <w:r>
        <w:rPr/>
        <w:br w:type="column"/>
      </w:r>
      <w:bookmarkStart w:name="_bookmark4" w:id="5"/>
      <w:bookmarkEnd w:id="5"/>
      <w:r>
        <w:rPr/>
      </w:r>
      <w:r>
        <w:rPr>
          <w:rFonts w:ascii="Trebuchet MS"/>
          <w:b/>
          <w:color w:val="231F20"/>
          <w:sz w:val="18"/>
        </w:rPr>
        <w:t>Table 25-2 </w:t>
      </w:r>
      <w:r>
        <w:rPr>
          <w:rFonts w:ascii="Trebuchet MS"/>
          <w:color w:val="231F20"/>
          <w:sz w:val="18"/>
        </w:rPr>
        <w:t>Osmolar Substances in Extracellular and Intracellular Fluids</w:t>
      </w:r>
    </w:p>
    <w:p>
      <w:pPr>
        <w:pStyle w:val="BodyText"/>
        <w:spacing w:before="5"/>
        <w:rPr>
          <w:rFonts w:ascii="Trebuchet MS"/>
          <w:sz w:val="9"/>
        </w:rPr>
      </w:pPr>
    </w:p>
    <w:tbl>
      <w:tblPr>
        <w:tblW w:w="0" w:type="auto"/>
        <w:jc w:val="left"/>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9"/>
        <w:gridCol w:w="892"/>
        <w:gridCol w:w="1005"/>
        <w:gridCol w:w="1134"/>
      </w:tblGrid>
      <w:tr>
        <w:trPr>
          <w:trHeight w:val="664" w:hRule="atLeast"/>
        </w:trPr>
        <w:tc>
          <w:tcPr>
            <w:tcW w:w="2541" w:type="dxa"/>
            <w:gridSpan w:val="2"/>
            <w:shd w:val="clear" w:color="auto" w:fill="D1DDF1"/>
          </w:tcPr>
          <w:p>
            <w:pPr>
              <w:pStyle w:val="TableParagraph"/>
              <w:spacing w:line="259" w:lineRule="auto" w:before="34"/>
              <w:ind w:left="1748" w:right="114" w:hanging="1"/>
              <w:jc w:val="center"/>
              <w:rPr>
                <w:b/>
                <w:sz w:val="16"/>
              </w:rPr>
            </w:pPr>
            <w:r>
              <w:rPr>
                <w:b/>
                <w:color w:val="231F20"/>
                <w:sz w:val="16"/>
              </w:rPr>
              <w:t>Plasma (mOsm/L H</w:t>
            </w:r>
            <w:r>
              <w:rPr>
                <w:b/>
                <w:color w:val="231F20"/>
                <w:position w:val="-1"/>
                <w:sz w:val="9"/>
              </w:rPr>
              <w:t>2</w:t>
            </w:r>
            <w:r>
              <w:rPr>
                <w:b/>
                <w:color w:val="231F20"/>
                <w:sz w:val="16"/>
              </w:rPr>
              <w:t>O)</w:t>
            </w:r>
          </w:p>
        </w:tc>
        <w:tc>
          <w:tcPr>
            <w:tcW w:w="1005" w:type="dxa"/>
            <w:shd w:val="clear" w:color="auto" w:fill="D1DDF1"/>
          </w:tcPr>
          <w:p>
            <w:pPr>
              <w:pStyle w:val="TableParagraph"/>
              <w:spacing w:line="259" w:lineRule="auto" w:before="34"/>
              <w:ind w:left="115" w:right="113"/>
              <w:jc w:val="center"/>
              <w:rPr>
                <w:b/>
                <w:sz w:val="16"/>
              </w:rPr>
            </w:pPr>
            <w:r>
              <w:rPr>
                <w:b/>
                <w:color w:val="231F20"/>
                <w:w w:val="95"/>
                <w:sz w:val="16"/>
              </w:rPr>
              <w:t>Interstitial </w:t>
            </w:r>
            <w:r>
              <w:rPr>
                <w:b/>
                <w:color w:val="231F20"/>
                <w:sz w:val="16"/>
              </w:rPr>
              <w:t>(mOsm/L H</w:t>
            </w:r>
            <w:r>
              <w:rPr>
                <w:b/>
                <w:color w:val="231F20"/>
                <w:position w:val="-1"/>
                <w:sz w:val="9"/>
              </w:rPr>
              <w:t>2</w:t>
            </w:r>
            <w:r>
              <w:rPr>
                <w:b/>
                <w:color w:val="231F20"/>
                <w:sz w:val="16"/>
              </w:rPr>
              <w:t>O)</w:t>
            </w:r>
          </w:p>
        </w:tc>
        <w:tc>
          <w:tcPr>
            <w:tcW w:w="1134" w:type="dxa"/>
            <w:shd w:val="clear" w:color="auto" w:fill="D1DDF1"/>
          </w:tcPr>
          <w:p>
            <w:pPr>
              <w:pStyle w:val="TableParagraph"/>
              <w:spacing w:line="259" w:lineRule="auto" w:before="34"/>
              <w:ind w:left="114" w:right="118"/>
              <w:jc w:val="center"/>
              <w:rPr>
                <w:b/>
                <w:sz w:val="16"/>
              </w:rPr>
            </w:pPr>
            <w:r>
              <w:rPr>
                <w:b/>
                <w:color w:val="231F20"/>
                <w:w w:val="95"/>
                <w:sz w:val="16"/>
              </w:rPr>
              <w:t>Intracellular </w:t>
            </w:r>
            <w:r>
              <w:rPr>
                <w:b/>
                <w:color w:val="231F20"/>
                <w:sz w:val="16"/>
              </w:rPr>
              <w:t>(mOsm/L H</w:t>
            </w:r>
            <w:r>
              <w:rPr>
                <w:b/>
                <w:color w:val="231F20"/>
                <w:position w:val="-1"/>
                <w:sz w:val="9"/>
              </w:rPr>
              <w:t>2</w:t>
            </w:r>
            <w:r>
              <w:rPr>
                <w:b/>
                <w:color w:val="231F20"/>
                <w:sz w:val="16"/>
              </w:rPr>
              <w:t>O)</w:t>
            </w:r>
          </w:p>
        </w:tc>
      </w:tr>
      <w:tr>
        <w:trPr>
          <w:trHeight w:val="259" w:hRule="atLeast"/>
        </w:trPr>
        <w:tc>
          <w:tcPr>
            <w:tcW w:w="1649" w:type="dxa"/>
            <w:tcBorders>
              <w:bottom w:val="single" w:sz="4" w:space="0" w:color="FFFFFF"/>
            </w:tcBorders>
            <w:shd w:val="clear" w:color="auto" w:fill="E6ECF7"/>
          </w:tcPr>
          <w:p>
            <w:pPr>
              <w:pStyle w:val="TableParagraph"/>
              <w:spacing w:before="24"/>
              <w:ind w:left="119"/>
              <w:rPr>
                <w:rFonts w:ascii="Consolas"/>
                <w:sz w:val="9"/>
              </w:rPr>
            </w:pPr>
            <w:r>
              <w:rPr>
                <w:color w:val="231F20"/>
                <w:w w:val="110"/>
                <w:sz w:val="16"/>
              </w:rPr>
              <w:t>Na</w:t>
            </w:r>
            <w:r>
              <w:rPr>
                <w:rFonts w:ascii="Consolas"/>
                <w:color w:val="231F20"/>
                <w:w w:val="110"/>
                <w:position w:val="6"/>
                <w:sz w:val="9"/>
              </w:rPr>
              <w:t>+</w:t>
            </w:r>
          </w:p>
        </w:tc>
        <w:tc>
          <w:tcPr>
            <w:tcW w:w="892" w:type="dxa"/>
            <w:tcBorders>
              <w:bottom w:val="single" w:sz="4" w:space="0" w:color="FFFFFF"/>
            </w:tcBorders>
            <w:shd w:val="clear" w:color="auto" w:fill="E6ECF7"/>
          </w:tcPr>
          <w:p>
            <w:pPr>
              <w:pStyle w:val="TableParagraph"/>
              <w:spacing w:before="24"/>
              <w:ind w:left="230"/>
              <w:rPr>
                <w:sz w:val="16"/>
              </w:rPr>
            </w:pPr>
            <w:r>
              <w:rPr>
                <w:color w:val="231F20"/>
                <w:w w:val="105"/>
                <w:sz w:val="16"/>
              </w:rPr>
              <w:t>142</w:t>
            </w:r>
          </w:p>
        </w:tc>
        <w:tc>
          <w:tcPr>
            <w:tcW w:w="1005" w:type="dxa"/>
            <w:tcBorders>
              <w:bottom w:val="single" w:sz="4" w:space="0" w:color="FFFFFF"/>
            </w:tcBorders>
            <w:shd w:val="clear" w:color="auto" w:fill="E6ECF7"/>
          </w:tcPr>
          <w:p>
            <w:pPr>
              <w:pStyle w:val="TableParagraph"/>
              <w:spacing w:before="24"/>
              <w:ind w:left="285"/>
              <w:rPr>
                <w:sz w:val="16"/>
              </w:rPr>
            </w:pPr>
            <w:r>
              <w:rPr>
                <w:color w:val="231F20"/>
                <w:w w:val="105"/>
                <w:sz w:val="16"/>
              </w:rPr>
              <w:t>139</w:t>
            </w:r>
          </w:p>
        </w:tc>
        <w:tc>
          <w:tcPr>
            <w:tcW w:w="1134" w:type="dxa"/>
            <w:tcBorders>
              <w:bottom w:val="single" w:sz="4" w:space="0" w:color="FFFFFF"/>
            </w:tcBorders>
            <w:shd w:val="clear" w:color="auto" w:fill="E6ECF7"/>
          </w:tcPr>
          <w:p>
            <w:pPr>
              <w:pStyle w:val="TableParagraph"/>
              <w:spacing w:before="24"/>
              <w:ind w:left="114" w:right="115"/>
              <w:jc w:val="center"/>
              <w:rPr>
                <w:sz w:val="16"/>
              </w:rPr>
            </w:pPr>
            <w:r>
              <w:rPr>
                <w:color w:val="231F20"/>
                <w:w w:val="105"/>
                <w:sz w:val="16"/>
              </w:rPr>
              <w:t>14</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spacing w:before="25"/>
              <w:ind w:left="120"/>
              <w:rPr>
                <w:rFonts w:ascii="Consolas"/>
                <w:sz w:val="9"/>
              </w:rPr>
            </w:pPr>
            <w:r>
              <w:rPr>
                <w:color w:val="231F20"/>
                <w:w w:val="110"/>
                <w:position w:val="-5"/>
                <w:sz w:val="16"/>
              </w:rPr>
              <w:t>K</w:t>
            </w:r>
            <w:r>
              <w:rPr>
                <w:rFonts w:ascii="Consolas"/>
                <w:color w:val="231F20"/>
                <w:w w:val="110"/>
                <w:sz w:val="9"/>
              </w:rPr>
              <w:t>+</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4.2</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w w:val="95"/>
                <w:sz w:val="16"/>
              </w:rPr>
              <w:t>4.0</w:t>
            </w:r>
          </w:p>
        </w:tc>
        <w:tc>
          <w:tcPr>
            <w:tcW w:w="1134" w:type="dxa"/>
            <w:tcBorders>
              <w:top w:val="single" w:sz="4" w:space="0" w:color="FFFFFF"/>
              <w:bottom w:val="single" w:sz="4" w:space="0" w:color="FFFFFF"/>
            </w:tcBorders>
            <w:shd w:val="clear" w:color="auto" w:fill="E6ECF7"/>
          </w:tcPr>
          <w:p>
            <w:pPr>
              <w:pStyle w:val="TableParagraph"/>
              <w:ind w:left="28" w:right="118"/>
              <w:jc w:val="center"/>
              <w:rPr>
                <w:sz w:val="16"/>
              </w:rPr>
            </w:pPr>
            <w:r>
              <w:rPr>
                <w:color w:val="231F20"/>
                <w:w w:val="105"/>
                <w:sz w:val="16"/>
              </w:rPr>
              <w:t>140</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spacing w:before="25"/>
              <w:ind w:left="120"/>
              <w:rPr>
                <w:rFonts w:ascii="Consolas"/>
                <w:sz w:val="9"/>
              </w:rPr>
            </w:pPr>
            <w:r>
              <w:rPr>
                <w:color w:val="231F20"/>
                <w:w w:val="105"/>
                <w:position w:val="-5"/>
                <w:sz w:val="16"/>
              </w:rPr>
              <w:t>Ca</w:t>
            </w:r>
            <w:r>
              <w:rPr>
                <w:rFonts w:ascii="Consolas"/>
                <w:color w:val="231F20"/>
                <w:w w:val="105"/>
                <w:sz w:val="9"/>
              </w:rPr>
              <w:t>++</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1.3</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w w:val="95"/>
                <w:sz w:val="16"/>
              </w:rPr>
              <w:t>1.2</w:t>
            </w: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0</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spacing w:before="25"/>
              <w:ind w:left="120"/>
              <w:rPr>
                <w:rFonts w:ascii="Consolas"/>
                <w:sz w:val="9"/>
              </w:rPr>
            </w:pPr>
            <w:r>
              <w:rPr>
                <w:color w:val="231F20"/>
                <w:w w:val="115"/>
                <w:position w:val="-5"/>
                <w:sz w:val="16"/>
              </w:rPr>
              <w:t>Mg</w:t>
            </w:r>
            <w:r>
              <w:rPr>
                <w:rFonts w:ascii="Consolas"/>
                <w:color w:val="231F20"/>
                <w:w w:val="115"/>
                <w:sz w:val="9"/>
              </w:rPr>
              <w:t>++</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0.8</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w w:val="95"/>
                <w:sz w:val="16"/>
              </w:rPr>
              <w:t>0.7</w:t>
            </w:r>
          </w:p>
        </w:tc>
        <w:tc>
          <w:tcPr>
            <w:tcW w:w="1134" w:type="dxa"/>
            <w:tcBorders>
              <w:top w:val="single" w:sz="4" w:space="0" w:color="FFFFFF"/>
              <w:bottom w:val="single" w:sz="4" w:space="0" w:color="FFFFFF"/>
            </w:tcBorders>
            <w:shd w:val="clear" w:color="auto" w:fill="E6ECF7"/>
          </w:tcPr>
          <w:p>
            <w:pPr>
              <w:pStyle w:val="TableParagraph"/>
              <w:ind w:left="114" w:right="115"/>
              <w:jc w:val="center"/>
              <w:rPr>
                <w:sz w:val="16"/>
              </w:rPr>
            </w:pPr>
            <w:r>
              <w:rPr>
                <w:color w:val="231F20"/>
                <w:w w:val="105"/>
                <w:sz w:val="16"/>
              </w:rPr>
              <w:t>20</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rFonts w:ascii="Consolas" w:hAnsi="Consolas"/>
                <w:sz w:val="9"/>
              </w:rPr>
            </w:pPr>
            <w:r>
              <w:rPr>
                <w:color w:val="231F20"/>
                <w:sz w:val="16"/>
              </w:rPr>
              <w:t>Cl</w:t>
            </w:r>
            <w:r>
              <w:rPr>
                <w:rFonts w:ascii="Consolas" w:hAnsi="Consolas"/>
                <w:color w:val="231F20"/>
                <w:position w:val="6"/>
                <w:sz w:val="9"/>
              </w:rPr>
              <w:t>−</w:t>
            </w:r>
          </w:p>
        </w:tc>
        <w:tc>
          <w:tcPr>
            <w:tcW w:w="892" w:type="dxa"/>
            <w:tcBorders>
              <w:top w:val="single" w:sz="4" w:space="0" w:color="FFFFFF"/>
              <w:bottom w:val="single" w:sz="4" w:space="0" w:color="FFFFFF"/>
            </w:tcBorders>
            <w:shd w:val="clear" w:color="auto" w:fill="E6ECF7"/>
          </w:tcPr>
          <w:p>
            <w:pPr>
              <w:pStyle w:val="TableParagraph"/>
              <w:ind w:left="230"/>
              <w:rPr>
                <w:sz w:val="16"/>
              </w:rPr>
            </w:pPr>
            <w:r>
              <w:rPr>
                <w:color w:val="231F20"/>
                <w:w w:val="105"/>
                <w:sz w:val="16"/>
              </w:rPr>
              <w:t>106</w:t>
            </w:r>
          </w:p>
        </w:tc>
        <w:tc>
          <w:tcPr>
            <w:tcW w:w="1005" w:type="dxa"/>
            <w:tcBorders>
              <w:top w:val="single" w:sz="4" w:space="0" w:color="FFFFFF"/>
              <w:bottom w:val="single" w:sz="4" w:space="0" w:color="FFFFFF"/>
            </w:tcBorders>
            <w:shd w:val="clear" w:color="auto" w:fill="E6ECF7"/>
          </w:tcPr>
          <w:p>
            <w:pPr>
              <w:pStyle w:val="TableParagraph"/>
              <w:ind w:left="285"/>
              <w:rPr>
                <w:sz w:val="16"/>
              </w:rPr>
            </w:pPr>
            <w:r>
              <w:rPr>
                <w:color w:val="231F20"/>
                <w:w w:val="105"/>
                <w:sz w:val="16"/>
              </w:rPr>
              <w:t>108</w:t>
            </w: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4</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spacing w:line="138" w:lineRule="exact"/>
              <w:ind w:left="120"/>
              <w:rPr>
                <w:rFonts w:ascii="Consolas" w:hAnsi="Consolas"/>
                <w:sz w:val="9"/>
              </w:rPr>
            </w:pPr>
            <w:r>
              <w:rPr>
                <w:color w:val="231F20"/>
                <w:w w:val="110"/>
                <w:sz w:val="16"/>
              </w:rPr>
              <w:t>HCO </w:t>
            </w:r>
            <w:r>
              <w:rPr>
                <w:rFonts w:ascii="Consolas" w:hAnsi="Consolas"/>
                <w:color w:val="231F20"/>
                <w:w w:val="110"/>
                <w:position w:val="6"/>
                <w:sz w:val="9"/>
              </w:rPr>
              <w:t>−</w:t>
            </w:r>
          </w:p>
          <w:p>
            <w:pPr>
              <w:pStyle w:val="TableParagraph"/>
              <w:spacing w:line="56" w:lineRule="exact" w:before="0"/>
              <w:ind w:left="457"/>
              <w:rPr>
                <w:sz w:val="9"/>
              </w:rPr>
            </w:pPr>
            <w:r>
              <w:rPr>
                <w:color w:val="231F20"/>
                <w:w w:val="113"/>
                <w:sz w:val="9"/>
              </w:rPr>
              <w:t>3</w:t>
            </w:r>
          </w:p>
        </w:tc>
        <w:tc>
          <w:tcPr>
            <w:tcW w:w="892" w:type="dxa"/>
            <w:tcBorders>
              <w:top w:val="single" w:sz="4" w:space="0" w:color="FFFFFF"/>
              <w:bottom w:val="single" w:sz="4" w:space="0" w:color="FFFFFF"/>
            </w:tcBorders>
            <w:shd w:val="clear" w:color="auto" w:fill="E6ECF7"/>
          </w:tcPr>
          <w:p>
            <w:pPr>
              <w:pStyle w:val="TableParagraph"/>
              <w:ind w:right="72"/>
              <w:jc w:val="center"/>
              <w:rPr>
                <w:sz w:val="16"/>
              </w:rPr>
            </w:pPr>
            <w:r>
              <w:rPr>
                <w:color w:val="231F20"/>
                <w:w w:val="105"/>
                <w:sz w:val="16"/>
              </w:rPr>
              <w:t>24</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sz w:val="16"/>
              </w:rPr>
              <w:t>28.3</w:t>
            </w:r>
          </w:p>
        </w:tc>
        <w:tc>
          <w:tcPr>
            <w:tcW w:w="1134" w:type="dxa"/>
            <w:tcBorders>
              <w:top w:val="single" w:sz="4" w:space="0" w:color="FFFFFF"/>
              <w:bottom w:val="single" w:sz="4" w:space="0" w:color="FFFFFF"/>
            </w:tcBorders>
            <w:shd w:val="clear" w:color="auto" w:fill="E6ECF7"/>
          </w:tcPr>
          <w:p>
            <w:pPr>
              <w:pStyle w:val="TableParagraph"/>
              <w:ind w:left="114" w:right="115"/>
              <w:jc w:val="center"/>
              <w:rPr>
                <w:sz w:val="16"/>
              </w:rPr>
            </w:pPr>
            <w:r>
              <w:rPr>
                <w:color w:val="231F20"/>
                <w:w w:val="105"/>
                <w:sz w:val="16"/>
              </w:rPr>
              <w:t>10</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spacing w:line="138" w:lineRule="exact"/>
              <w:ind w:left="120"/>
              <w:rPr>
                <w:rFonts w:ascii="Consolas" w:hAnsi="Consolas"/>
                <w:sz w:val="9"/>
              </w:rPr>
            </w:pPr>
            <w:r>
              <w:rPr>
                <w:color w:val="231F20"/>
                <w:w w:val="110"/>
                <w:sz w:val="16"/>
              </w:rPr>
              <w:t>HPO </w:t>
            </w:r>
            <w:r>
              <w:rPr>
                <w:rFonts w:ascii="Consolas" w:hAnsi="Consolas"/>
                <w:color w:val="231F20"/>
                <w:w w:val="110"/>
                <w:position w:val="6"/>
                <w:sz w:val="9"/>
              </w:rPr>
              <w:t>−</w:t>
            </w:r>
            <w:r>
              <w:rPr>
                <w:color w:val="231F20"/>
                <w:w w:val="110"/>
                <w:sz w:val="16"/>
              </w:rPr>
              <w:t>, H PO </w:t>
            </w:r>
            <w:r>
              <w:rPr>
                <w:rFonts w:ascii="Consolas" w:hAnsi="Consolas"/>
                <w:color w:val="231F20"/>
                <w:w w:val="110"/>
                <w:position w:val="6"/>
                <w:sz w:val="9"/>
              </w:rPr>
              <w:t>−</w:t>
            </w:r>
          </w:p>
          <w:p>
            <w:pPr>
              <w:pStyle w:val="TableParagraph"/>
              <w:tabs>
                <w:tab w:pos="768" w:val="left" w:leader="none"/>
                <w:tab w:pos="1035" w:val="left" w:leader="none"/>
              </w:tabs>
              <w:spacing w:line="56" w:lineRule="exact" w:before="0"/>
              <w:ind w:left="448"/>
              <w:rPr>
                <w:sz w:val="9"/>
              </w:rPr>
            </w:pPr>
            <w:r>
              <w:rPr>
                <w:color w:val="231F20"/>
                <w:w w:val="115"/>
                <w:sz w:val="9"/>
              </w:rPr>
              <w:t>4</w:t>
              <w:tab/>
              <w:t>2</w:t>
              <w:tab/>
              <w:t>4</w:t>
            </w:r>
          </w:p>
        </w:tc>
        <w:tc>
          <w:tcPr>
            <w:tcW w:w="892" w:type="dxa"/>
            <w:tcBorders>
              <w:top w:val="single" w:sz="4" w:space="0" w:color="FFFFFF"/>
              <w:bottom w:val="single" w:sz="4" w:space="0" w:color="FFFFFF"/>
            </w:tcBorders>
            <w:shd w:val="clear" w:color="auto" w:fill="E6ECF7"/>
          </w:tcPr>
          <w:p>
            <w:pPr>
              <w:pStyle w:val="TableParagraph"/>
              <w:ind w:left="14"/>
              <w:jc w:val="center"/>
              <w:rPr>
                <w:sz w:val="16"/>
              </w:rPr>
            </w:pPr>
            <w:r>
              <w:rPr>
                <w:color w:val="231F20"/>
                <w:w w:val="106"/>
                <w:sz w:val="16"/>
              </w:rPr>
              <w:t>2</w:t>
            </w:r>
          </w:p>
        </w:tc>
        <w:tc>
          <w:tcPr>
            <w:tcW w:w="1005" w:type="dxa"/>
            <w:tcBorders>
              <w:top w:val="single" w:sz="4" w:space="0" w:color="FFFFFF"/>
              <w:bottom w:val="single" w:sz="4" w:space="0" w:color="FFFFFF"/>
            </w:tcBorders>
            <w:shd w:val="clear" w:color="auto" w:fill="E6ECF7"/>
          </w:tcPr>
          <w:p>
            <w:pPr>
              <w:pStyle w:val="TableParagraph"/>
              <w:ind w:left="10"/>
              <w:jc w:val="center"/>
              <w:rPr>
                <w:sz w:val="16"/>
              </w:rPr>
            </w:pPr>
            <w:r>
              <w:rPr>
                <w:color w:val="231F20"/>
                <w:w w:val="106"/>
                <w:sz w:val="16"/>
              </w:rPr>
              <w:t>2</w:t>
            </w:r>
          </w:p>
        </w:tc>
        <w:tc>
          <w:tcPr>
            <w:tcW w:w="1134" w:type="dxa"/>
            <w:tcBorders>
              <w:top w:val="single" w:sz="4" w:space="0" w:color="FFFFFF"/>
              <w:bottom w:val="single" w:sz="4" w:space="0" w:color="FFFFFF"/>
            </w:tcBorders>
            <w:shd w:val="clear" w:color="auto" w:fill="E6ECF7"/>
          </w:tcPr>
          <w:p>
            <w:pPr>
              <w:pStyle w:val="TableParagraph"/>
              <w:ind w:left="114" w:right="115"/>
              <w:jc w:val="center"/>
              <w:rPr>
                <w:sz w:val="16"/>
              </w:rPr>
            </w:pPr>
            <w:r>
              <w:rPr>
                <w:color w:val="231F20"/>
                <w:w w:val="105"/>
                <w:sz w:val="16"/>
              </w:rPr>
              <w:t>11</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spacing w:line="138" w:lineRule="exact"/>
              <w:ind w:left="120"/>
              <w:rPr>
                <w:rFonts w:ascii="Consolas" w:hAnsi="Consolas"/>
                <w:sz w:val="9"/>
              </w:rPr>
            </w:pPr>
            <w:r>
              <w:rPr>
                <w:color w:val="231F20"/>
                <w:w w:val="110"/>
                <w:sz w:val="16"/>
              </w:rPr>
              <w:t>SO </w:t>
            </w:r>
            <w:r>
              <w:rPr>
                <w:rFonts w:ascii="Consolas" w:hAnsi="Consolas"/>
                <w:color w:val="231F20"/>
                <w:w w:val="110"/>
                <w:position w:val="6"/>
                <w:sz w:val="9"/>
              </w:rPr>
              <w:t>−</w:t>
            </w:r>
          </w:p>
          <w:p>
            <w:pPr>
              <w:pStyle w:val="TableParagraph"/>
              <w:spacing w:line="56" w:lineRule="exact" w:before="0"/>
              <w:ind w:left="324"/>
              <w:rPr>
                <w:sz w:val="9"/>
              </w:rPr>
            </w:pPr>
            <w:r>
              <w:rPr>
                <w:color w:val="231F20"/>
                <w:w w:val="113"/>
                <w:sz w:val="9"/>
              </w:rPr>
              <w:t>4</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0.5</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w w:val="95"/>
                <w:sz w:val="16"/>
              </w:rPr>
              <w:t>0.5</w:t>
            </w: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1</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Phosphocreatine</w:t>
            </w:r>
          </w:p>
        </w:tc>
        <w:tc>
          <w:tcPr>
            <w:tcW w:w="89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0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134" w:type="dxa"/>
            <w:tcBorders>
              <w:top w:val="single" w:sz="4" w:space="0" w:color="FFFFFF"/>
              <w:bottom w:val="single" w:sz="4" w:space="0" w:color="FFFFFF"/>
            </w:tcBorders>
            <w:shd w:val="clear" w:color="auto" w:fill="E6ECF7"/>
          </w:tcPr>
          <w:p>
            <w:pPr>
              <w:pStyle w:val="TableParagraph"/>
              <w:ind w:left="114" w:right="115"/>
              <w:jc w:val="center"/>
              <w:rPr>
                <w:sz w:val="16"/>
              </w:rPr>
            </w:pPr>
            <w:r>
              <w:rPr>
                <w:color w:val="231F20"/>
                <w:w w:val="105"/>
                <w:sz w:val="16"/>
              </w:rPr>
              <w:t>45</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Carnosine</w:t>
            </w:r>
          </w:p>
        </w:tc>
        <w:tc>
          <w:tcPr>
            <w:tcW w:w="89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0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134" w:type="dxa"/>
            <w:tcBorders>
              <w:top w:val="single" w:sz="4" w:space="0" w:color="FFFFFF"/>
              <w:bottom w:val="single" w:sz="4" w:space="0" w:color="FFFFFF"/>
            </w:tcBorders>
            <w:shd w:val="clear" w:color="auto" w:fill="E6ECF7"/>
          </w:tcPr>
          <w:p>
            <w:pPr>
              <w:pStyle w:val="TableParagraph"/>
              <w:ind w:left="114" w:right="115"/>
              <w:jc w:val="center"/>
              <w:rPr>
                <w:sz w:val="16"/>
              </w:rPr>
            </w:pPr>
            <w:r>
              <w:rPr>
                <w:color w:val="231F20"/>
                <w:w w:val="105"/>
                <w:sz w:val="16"/>
              </w:rPr>
              <w:t>14</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10"/>
                <w:sz w:val="16"/>
              </w:rPr>
              <w:t>Amino acids</w:t>
            </w:r>
          </w:p>
        </w:tc>
        <w:tc>
          <w:tcPr>
            <w:tcW w:w="892" w:type="dxa"/>
            <w:tcBorders>
              <w:top w:val="single" w:sz="4" w:space="0" w:color="FFFFFF"/>
              <w:bottom w:val="single" w:sz="4" w:space="0" w:color="FFFFFF"/>
            </w:tcBorders>
            <w:shd w:val="clear" w:color="auto" w:fill="E6ECF7"/>
          </w:tcPr>
          <w:p>
            <w:pPr>
              <w:pStyle w:val="TableParagraph"/>
              <w:ind w:left="14"/>
              <w:jc w:val="center"/>
              <w:rPr>
                <w:sz w:val="16"/>
              </w:rPr>
            </w:pPr>
            <w:r>
              <w:rPr>
                <w:color w:val="231F20"/>
                <w:w w:val="106"/>
                <w:sz w:val="16"/>
              </w:rPr>
              <w:t>2</w:t>
            </w:r>
          </w:p>
        </w:tc>
        <w:tc>
          <w:tcPr>
            <w:tcW w:w="1005" w:type="dxa"/>
            <w:tcBorders>
              <w:top w:val="single" w:sz="4" w:space="0" w:color="FFFFFF"/>
              <w:bottom w:val="single" w:sz="4" w:space="0" w:color="FFFFFF"/>
            </w:tcBorders>
            <w:shd w:val="clear" w:color="auto" w:fill="E6ECF7"/>
          </w:tcPr>
          <w:p>
            <w:pPr>
              <w:pStyle w:val="TableParagraph"/>
              <w:ind w:left="10"/>
              <w:jc w:val="center"/>
              <w:rPr>
                <w:sz w:val="16"/>
              </w:rPr>
            </w:pPr>
            <w:r>
              <w:rPr>
                <w:color w:val="231F20"/>
                <w:w w:val="106"/>
                <w:sz w:val="16"/>
              </w:rPr>
              <w:t>2</w:t>
            </w: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8</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Creatine</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0.2</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w w:val="95"/>
                <w:sz w:val="16"/>
              </w:rPr>
              <w:t>0.2</w:t>
            </w: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9</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Lactate</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1.2</w:t>
            </w:r>
          </w:p>
        </w:tc>
        <w:tc>
          <w:tcPr>
            <w:tcW w:w="1005" w:type="dxa"/>
            <w:tcBorders>
              <w:top w:val="single" w:sz="4" w:space="0" w:color="FFFFFF"/>
              <w:bottom w:val="single" w:sz="4" w:space="0" w:color="FFFFFF"/>
            </w:tcBorders>
            <w:shd w:val="clear" w:color="auto" w:fill="E6ECF7"/>
          </w:tcPr>
          <w:p>
            <w:pPr>
              <w:pStyle w:val="TableParagraph"/>
              <w:ind w:right="316"/>
              <w:jc w:val="right"/>
              <w:rPr>
                <w:sz w:val="16"/>
              </w:rPr>
            </w:pPr>
            <w:r>
              <w:rPr>
                <w:color w:val="231F20"/>
                <w:w w:val="95"/>
                <w:sz w:val="16"/>
              </w:rPr>
              <w:t>1.2</w:t>
            </w:r>
          </w:p>
        </w:tc>
        <w:tc>
          <w:tcPr>
            <w:tcW w:w="1134" w:type="dxa"/>
            <w:tcBorders>
              <w:top w:val="single" w:sz="4" w:space="0" w:color="FFFFFF"/>
              <w:bottom w:val="single" w:sz="4" w:space="0" w:color="FFFFFF"/>
            </w:tcBorders>
            <w:shd w:val="clear" w:color="auto" w:fill="E6ECF7"/>
          </w:tcPr>
          <w:p>
            <w:pPr>
              <w:pStyle w:val="TableParagraph"/>
              <w:ind w:right="344"/>
              <w:jc w:val="right"/>
              <w:rPr>
                <w:sz w:val="16"/>
              </w:rPr>
            </w:pPr>
            <w:r>
              <w:rPr>
                <w:color w:val="231F20"/>
                <w:w w:val="95"/>
                <w:sz w:val="16"/>
              </w:rPr>
              <w:t>1.5</w:t>
            </w:r>
          </w:p>
        </w:tc>
      </w:tr>
      <w:tr>
        <w:trPr>
          <w:trHeight w:val="464" w:hRule="atLeast"/>
        </w:trPr>
        <w:tc>
          <w:tcPr>
            <w:tcW w:w="1649" w:type="dxa"/>
            <w:tcBorders>
              <w:top w:val="single" w:sz="4" w:space="0" w:color="FFFFFF"/>
              <w:bottom w:val="single" w:sz="4" w:space="0" w:color="FFFFFF"/>
            </w:tcBorders>
            <w:shd w:val="clear" w:color="auto" w:fill="E6ECF7"/>
          </w:tcPr>
          <w:p>
            <w:pPr>
              <w:pStyle w:val="TableParagraph"/>
              <w:spacing w:line="259" w:lineRule="auto"/>
              <w:ind w:left="280" w:right="393" w:hanging="160"/>
              <w:rPr>
                <w:sz w:val="16"/>
              </w:rPr>
            </w:pPr>
            <w:r>
              <w:rPr>
                <w:color w:val="231F20"/>
                <w:w w:val="105"/>
                <w:sz w:val="16"/>
              </w:rPr>
              <w:t>Adenosine triphosphate</w:t>
            </w:r>
          </w:p>
        </w:tc>
        <w:tc>
          <w:tcPr>
            <w:tcW w:w="89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0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5</w:t>
            </w:r>
          </w:p>
        </w:tc>
      </w:tr>
      <w:tr>
        <w:trPr>
          <w:trHeight w:val="464" w:hRule="atLeast"/>
        </w:trPr>
        <w:tc>
          <w:tcPr>
            <w:tcW w:w="1649" w:type="dxa"/>
            <w:tcBorders>
              <w:top w:val="single" w:sz="4" w:space="0" w:color="FFFFFF"/>
              <w:bottom w:val="single" w:sz="4" w:space="0" w:color="FFFFFF"/>
            </w:tcBorders>
            <w:shd w:val="clear" w:color="auto" w:fill="E6ECF7"/>
          </w:tcPr>
          <w:p>
            <w:pPr>
              <w:pStyle w:val="TableParagraph"/>
              <w:spacing w:line="259" w:lineRule="auto"/>
              <w:ind w:left="280" w:hanging="160"/>
              <w:rPr>
                <w:sz w:val="16"/>
              </w:rPr>
            </w:pPr>
            <w:r>
              <w:rPr>
                <w:color w:val="231F20"/>
                <w:w w:val="105"/>
                <w:sz w:val="16"/>
              </w:rPr>
              <w:t>Hexose monophosphate</w:t>
            </w:r>
          </w:p>
        </w:tc>
        <w:tc>
          <w:tcPr>
            <w:tcW w:w="89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0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134" w:type="dxa"/>
            <w:tcBorders>
              <w:top w:val="single" w:sz="4" w:space="0" w:color="FFFFFF"/>
              <w:bottom w:val="single" w:sz="4" w:space="0" w:color="FFFFFF"/>
            </w:tcBorders>
            <w:shd w:val="clear" w:color="auto" w:fill="E6ECF7"/>
          </w:tcPr>
          <w:p>
            <w:pPr>
              <w:pStyle w:val="TableParagraph"/>
              <w:ind w:right="344"/>
              <w:jc w:val="right"/>
              <w:rPr>
                <w:sz w:val="16"/>
              </w:rPr>
            </w:pPr>
            <w:r>
              <w:rPr>
                <w:color w:val="231F20"/>
                <w:w w:val="95"/>
                <w:sz w:val="16"/>
              </w:rPr>
              <w:t>3.7</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Glucose</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5.6</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w w:val="95"/>
                <w:sz w:val="16"/>
              </w:rPr>
              <w:t>5.6</w:t>
            </w:r>
          </w:p>
        </w:tc>
        <w:tc>
          <w:tcPr>
            <w:tcW w:w="1134"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Protein</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1.2</w:t>
            </w:r>
          </w:p>
        </w:tc>
        <w:tc>
          <w:tcPr>
            <w:tcW w:w="1005" w:type="dxa"/>
            <w:tcBorders>
              <w:top w:val="single" w:sz="4" w:space="0" w:color="FFFFFF"/>
              <w:bottom w:val="single" w:sz="4" w:space="0" w:color="FFFFFF"/>
            </w:tcBorders>
            <w:shd w:val="clear" w:color="auto" w:fill="E6ECF7"/>
          </w:tcPr>
          <w:p>
            <w:pPr>
              <w:pStyle w:val="TableParagraph"/>
              <w:ind w:right="316"/>
              <w:jc w:val="right"/>
              <w:rPr>
                <w:sz w:val="16"/>
              </w:rPr>
            </w:pPr>
            <w:r>
              <w:rPr>
                <w:color w:val="231F20"/>
                <w:w w:val="95"/>
                <w:sz w:val="16"/>
              </w:rPr>
              <w:t>0.2</w:t>
            </w:r>
          </w:p>
        </w:tc>
        <w:tc>
          <w:tcPr>
            <w:tcW w:w="1134" w:type="dxa"/>
            <w:tcBorders>
              <w:top w:val="single" w:sz="4" w:space="0" w:color="FFFFFF"/>
              <w:bottom w:val="single" w:sz="4" w:space="0" w:color="FFFFFF"/>
            </w:tcBorders>
            <w:shd w:val="clear" w:color="auto" w:fill="E6ECF7"/>
          </w:tcPr>
          <w:p>
            <w:pPr>
              <w:pStyle w:val="TableParagraph"/>
              <w:ind w:left="85"/>
              <w:jc w:val="center"/>
              <w:rPr>
                <w:sz w:val="16"/>
              </w:rPr>
            </w:pPr>
            <w:r>
              <w:rPr>
                <w:color w:val="231F20"/>
                <w:w w:val="106"/>
                <w:sz w:val="16"/>
              </w:rPr>
              <w:t>4</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Urea</w:t>
            </w:r>
          </w:p>
        </w:tc>
        <w:tc>
          <w:tcPr>
            <w:tcW w:w="892" w:type="dxa"/>
            <w:tcBorders>
              <w:top w:val="single" w:sz="4" w:space="0" w:color="FFFFFF"/>
              <w:bottom w:val="single" w:sz="4" w:space="0" w:color="FFFFFF"/>
            </w:tcBorders>
            <w:shd w:val="clear" w:color="auto" w:fill="E6ECF7"/>
          </w:tcPr>
          <w:p>
            <w:pPr>
              <w:pStyle w:val="TableParagraph"/>
              <w:ind w:left="15"/>
              <w:jc w:val="center"/>
              <w:rPr>
                <w:sz w:val="16"/>
              </w:rPr>
            </w:pPr>
            <w:r>
              <w:rPr>
                <w:color w:val="231F20"/>
                <w:w w:val="106"/>
                <w:sz w:val="16"/>
              </w:rPr>
              <w:t>4</w:t>
            </w:r>
          </w:p>
        </w:tc>
        <w:tc>
          <w:tcPr>
            <w:tcW w:w="1005" w:type="dxa"/>
            <w:tcBorders>
              <w:top w:val="single" w:sz="4" w:space="0" w:color="FFFFFF"/>
              <w:bottom w:val="single" w:sz="4" w:space="0" w:color="FFFFFF"/>
            </w:tcBorders>
            <w:shd w:val="clear" w:color="auto" w:fill="E6ECF7"/>
          </w:tcPr>
          <w:p>
            <w:pPr>
              <w:pStyle w:val="TableParagraph"/>
              <w:ind w:left="11"/>
              <w:jc w:val="center"/>
              <w:rPr>
                <w:sz w:val="16"/>
              </w:rPr>
            </w:pPr>
            <w:r>
              <w:rPr>
                <w:color w:val="231F20"/>
                <w:w w:val="106"/>
                <w:sz w:val="16"/>
              </w:rPr>
              <w:t>4</w:t>
            </w:r>
          </w:p>
        </w:tc>
        <w:tc>
          <w:tcPr>
            <w:tcW w:w="1134" w:type="dxa"/>
            <w:tcBorders>
              <w:top w:val="single" w:sz="4" w:space="0" w:color="FFFFFF"/>
              <w:bottom w:val="single" w:sz="4" w:space="0" w:color="FFFFFF"/>
            </w:tcBorders>
            <w:shd w:val="clear" w:color="auto" w:fill="E6ECF7"/>
          </w:tcPr>
          <w:p>
            <w:pPr>
              <w:pStyle w:val="TableParagraph"/>
              <w:ind w:left="86"/>
              <w:jc w:val="center"/>
              <w:rPr>
                <w:sz w:val="16"/>
              </w:rPr>
            </w:pPr>
            <w:r>
              <w:rPr>
                <w:color w:val="231F20"/>
                <w:w w:val="106"/>
                <w:sz w:val="16"/>
              </w:rPr>
              <w:t>4</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Others</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w w:val="95"/>
                <w:sz w:val="16"/>
              </w:rPr>
              <w:t>4.8</w:t>
            </w:r>
          </w:p>
        </w:tc>
        <w:tc>
          <w:tcPr>
            <w:tcW w:w="1005" w:type="dxa"/>
            <w:tcBorders>
              <w:top w:val="single" w:sz="4" w:space="0" w:color="FFFFFF"/>
              <w:bottom w:val="single" w:sz="4" w:space="0" w:color="FFFFFF"/>
            </w:tcBorders>
            <w:shd w:val="clear" w:color="auto" w:fill="E6ECF7"/>
          </w:tcPr>
          <w:p>
            <w:pPr>
              <w:pStyle w:val="TableParagraph"/>
              <w:ind w:right="316"/>
              <w:jc w:val="right"/>
              <w:rPr>
                <w:sz w:val="16"/>
              </w:rPr>
            </w:pPr>
            <w:r>
              <w:rPr>
                <w:color w:val="231F20"/>
                <w:w w:val="95"/>
                <w:sz w:val="16"/>
              </w:rPr>
              <w:t>3.9</w:t>
            </w:r>
          </w:p>
        </w:tc>
        <w:tc>
          <w:tcPr>
            <w:tcW w:w="1134" w:type="dxa"/>
            <w:tcBorders>
              <w:top w:val="single" w:sz="4" w:space="0" w:color="FFFFFF"/>
              <w:bottom w:val="single" w:sz="4" w:space="0" w:color="FFFFFF"/>
            </w:tcBorders>
            <w:shd w:val="clear" w:color="auto" w:fill="E6ECF7"/>
          </w:tcPr>
          <w:p>
            <w:pPr>
              <w:pStyle w:val="TableParagraph"/>
              <w:ind w:left="114" w:right="114"/>
              <w:jc w:val="center"/>
              <w:rPr>
                <w:sz w:val="16"/>
              </w:rPr>
            </w:pPr>
            <w:r>
              <w:rPr>
                <w:color w:val="231F20"/>
                <w:w w:val="105"/>
                <w:sz w:val="16"/>
              </w:rPr>
              <w:t>10</w:t>
            </w:r>
          </w:p>
        </w:tc>
      </w:tr>
      <w:tr>
        <w:trPr>
          <w:trHeight w:val="264" w:hRule="atLeast"/>
        </w:trPr>
        <w:tc>
          <w:tcPr>
            <w:tcW w:w="1649"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Total mOsm/L</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sz w:val="16"/>
              </w:rPr>
              <w:t>299.8</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sz w:val="16"/>
              </w:rPr>
              <w:t>300.8</w:t>
            </w:r>
          </w:p>
        </w:tc>
        <w:tc>
          <w:tcPr>
            <w:tcW w:w="1134" w:type="dxa"/>
            <w:tcBorders>
              <w:top w:val="single" w:sz="4" w:space="0" w:color="FFFFFF"/>
              <w:bottom w:val="single" w:sz="4" w:space="0" w:color="FFFFFF"/>
            </w:tcBorders>
            <w:shd w:val="clear" w:color="auto" w:fill="E6ECF7"/>
          </w:tcPr>
          <w:p>
            <w:pPr>
              <w:pStyle w:val="TableParagraph"/>
              <w:ind w:right="344"/>
              <w:jc w:val="right"/>
              <w:rPr>
                <w:sz w:val="16"/>
              </w:rPr>
            </w:pPr>
            <w:r>
              <w:rPr>
                <w:color w:val="231F20"/>
                <w:sz w:val="16"/>
              </w:rPr>
              <w:t>301.2</w:t>
            </w:r>
          </w:p>
        </w:tc>
      </w:tr>
      <w:tr>
        <w:trPr>
          <w:trHeight w:val="664" w:hRule="atLeast"/>
        </w:trPr>
        <w:tc>
          <w:tcPr>
            <w:tcW w:w="1649" w:type="dxa"/>
            <w:tcBorders>
              <w:top w:val="single" w:sz="4" w:space="0" w:color="FFFFFF"/>
              <w:bottom w:val="single" w:sz="4" w:space="0" w:color="FFFFFF"/>
            </w:tcBorders>
            <w:shd w:val="clear" w:color="auto" w:fill="E6ECF7"/>
          </w:tcPr>
          <w:p>
            <w:pPr>
              <w:pStyle w:val="TableParagraph"/>
              <w:spacing w:line="259" w:lineRule="auto"/>
              <w:ind w:left="280" w:right="129" w:hanging="160"/>
              <w:rPr>
                <w:sz w:val="16"/>
              </w:rPr>
            </w:pPr>
            <w:r>
              <w:rPr>
                <w:color w:val="231F20"/>
                <w:sz w:val="16"/>
              </w:rPr>
              <w:t>Corrected osmolar activity (mOsm/L)</w:t>
            </w:r>
          </w:p>
        </w:tc>
        <w:tc>
          <w:tcPr>
            <w:tcW w:w="892" w:type="dxa"/>
            <w:tcBorders>
              <w:top w:val="single" w:sz="4" w:space="0" w:color="FFFFFF"/>
              <w:bottom w:val="single" w:sz="4" w:space="0" w:color="FFFFFF"/>
            </w:tcBorders>
            <w:shd w:val="clear" w:color="auto" w:fill="E6ECF7"/>
          </w:tcPr>
          <w:p>
            <w:pPr>
              <w:pStyle w:val="TableParagraph"/>
              <w:ind w:right="258"/>
              <w:jc w:val="right"/>
              <w:rPr>
                <w:sz w:val="16"/>
              </w:rPr>
            </w:pPr>
            <w:r>
              <w:rPr>
                <w:color w:val="231F20"/>
                <w:sz w:val="16"/>
              </w:rPr>
              <w:t>282.0</w:t>
            </w:r>
          </w:p>
        </w:tc>
        <w:tc>
          <w:tcPr>
            <w:tcW w:w="1005" w:type="dxa"/>
            <w:tcBorders>
              <w:top w:val="single" w:sz="4" w:space="0" w:color="FFFFFF"/>
              <w:bottom w:val="single" w:sz="4" w:space="0" w:color="FFFFFF"/>
            </w:tcBorders>
            <w:shd w:val="clear" w:color="auto" w:fill="E6ECF7"/>
          </w:tcPr>
          <w:p>
            <w:pPr>
              <w:pStyle w:val="TableParagraph"/>
              <w:ind w:right="317"/>
              <w:jc w:val="right"/>
              <w:rPr>
                <w:sz w:val="16"/>
              </w:rPr>
            </w:pPr>
            <w:r>
              <w:rPr>
                <w:color w:val="231F20"/>
                <w:sz w:val="16"/>
              </w:rPr>
              <w:t>281.0</w:t>
            </w:r>
          </w:p>
        </w:tc>
        <w:tc>
          <w:tcPr>
            <w:tcW w:w="1134" w:type="dxa"/>
            <w:tcBorders>
              <w:top w:val="single" w:sz="4" w:space="0" w:color="FFFFFF"/>
              <w:bottom w:val="single" w:sz="4" w:space="0" w:color="FFFFFF"/>
            </w:tcBorders>
            <w:shd w:val="clear" w:color="auto" w:fill="E6ECF7"/>
          </w:tcPr>
          <w:p>
            <w:pPr>
              <w:pStyle w:val="TableParagraph"/>
              <w:ind w:right="344"/>
              <w:jc w:val="right"/>
              <w:rPr>
                <w:sz w:val="16"/>
              </w:rPr>
            </w:pPr>
            <w:r>
              <w:rPr>
                <w:color w:val="231F20"/>
                <w:sz w:val="16"/>
              </w:rPr>
              <w:t>281.0</w:t>
            </w:r>
          </w:p>
        </w:tc>
      </w:tr>
      <w:tr>
        <w:trPr>
          <w:trHeight w:val="679" w:hRule="atLeast"/>
        </w:trPr>
        <w:tc>
          <w:tcPr>
            <w:tcW w:w="1649" w:type="dxa"/>
            <w:tcBorders>
              <w:top w:val="single" w:sz="4" w:space="0" w:color="FFFFFF"/>
            </w:tcBorders>
            <w:shd w:val="clear" w:color="auto" w:fill="E6ECF7"/>
          </w:tcPr>
          <w:p>
            <w:pPr>
              <w:pStyle w:val="TableParagraph"/>
              <w:spacing w:line="259" w:lineRule="auto"/>
              <w:ind w:left="280" w:hanging="160"/>
              <w:rPr>
                <w:sz w:val="16"/>
              </w:rPr>
            </w:pPr>
            <w:r>
              <w:rPr>
                <w:color w:val="231F20"/>
                <w:w w:val="105"/>
                <w:sz w:val="16"/>
              </w:rPr>
              <w:t>Total osmotic pressure at 37°C (mm Hg)</w:t>
            </w:r>
          </w:p>
        </w:tc>
        <w:tc>
          <w:tcPr>
            <w:tcW w:w="892" w:type="dxa"/>
            <w:tcBorders>
              <w:top w:val="single" w:sz="4" w:space="0" w:color="FFFFFF"/>
            </w:tcBorders>
            <w:shd w:val="clear" w:color="auto" w:fill="E6ECF7"/>
          </w:tcPr>
          <w:p>
            <w:pPr>
              <w:pStyle w:val="TableParagraph"/>
              <w:ind w:left="141"/>
              <w:rPr>
                <w:sz w:val="16"/>
              </w:rPr>
            </w:pPr>
            <w:r>
              <w:rPr>
                <w:color w:val="231F20"/>
                <w:w w:val="105"/>
                <w:sz w:val="16"/>
              </w:rPr>
              <w:t>5441</w:t>
            </w:r>
          </w:p>
        </w:tc>
        <w:tc>
          <w:tcPr>
            <w:tcW w:w="1005" w:type="dxa"/>
            <w:tcBorders>
              <w:top w:val="single" w:sz="4" w:space="0" w:color="FFFFFF"/>
            </w:tcBorders>
            <w:shd w:val="clear" w:color="auto" w:fill="E6ECF7"/>
          </w:tcPr>
          <w:p>
            <w:pPr>
              <w:pStyle w:val="TableParagraph"/>
              <w:ind w:left="196"/>
              <w:rPr>
                <w:sz w:val="16"/>
              </w:rPr>
            </w:pPr>
            <w:r>
              <w:rPr>
                <w:color w:val="231F20"/>
                <w:w w:val="105"/>
                <w:sz w:val="16"/>
              </w:rPr>
              <w:t>5423</w:t>
            </w:r>
          </w:p>
        </w:tc>
        <w:tc>
          <w:tcPr>
            <w:tcW w:w="1134" w:type="dxa"/>
            <w:tcBorders>
              <w:top w:val="single" w:sz="4" w:space="0" w:color="FFFFFF"/>
            </w:tcBorders>
            <w:shd w:val="clear" w:color="auto" w:fill="E6ECF7"/>
          </w:tcPr>
          <w:p>
            <w:pPr>
              <w:pStyle w:val="TableParagraph"/>
              <w:ind w:left="298"/>
              <w:rPr>
                <w:sz w:val="16"/>
              </w:rPr>
            </w:pPr>
            <w:r>
              <w:rPr>
                <w:color w:val="231F20"/>
                <w:w w:val="105"/>
                <w:sz w:val="16"/>
              </w:rPr>
              <w:t>5423</w:t>
            </w:r>
          </w:p>
        </w:tc>
      </w:tr>
    </w:tbl>
    <w:p>
      <w:pPr>
        <w:pStyle w:val="BodyText"/>
        <w:rPr>
          <w:rFonts w:ascii="Trebuchet MS"/>
        </w:rPr>
      </w:pPr>
    </w:p>
    <w:p>
      <w:pPr>
        <w:pStyle w:val="BodyText"/>
        <w:rPr>
          <w:rFonts w:ascii="Trebuchet MS"/>
        </w:rPr>
      </w:pPr>
    </w:p>
    <w:p>
      <w:pPr>
        <w:pStyle w:val="BodyText"/>
        <w:spacing w:before="2"/>
        <w:rPr>
          <w:rFonts w:ascii="Trebuchet MS"/>
        </w:rPr>
      </w:pPr>
      <w:r>
        <w:rPr/>
        <w:pict>
          <v:shape style="position:absolute;margin-left:306pt;margin-top:12.945136pt;width:234pt;height:52pt;mso-position-horizontal-relative:page;mso-position-vertical-relative:paragraph;z-index:-251620352;mso-wrap-distance-left:0;mso-wrap-distance-right:0" type="#_x0000_t202" filled="true" fillcolor="#e8dac8" stroked="false">
            <v:textbox inset="0,0,0,0">
              <w:txbxContent>
                <w:p>
                  <w:pPr>
                    <w:spacing w:line="225" w:lineRule="auto" w:before="46"/>
                    <w:ind w:left="60" w:right="1403" w:firstLine="0"/>
                    <w:jc w:val="left"/>
                    <w:rPr>
                      <w:rFonts w:ascii="Trebuchet MS"/>
                      <w:b/>
                      <w:sz w:val="22"/>
                    </w:rPr>
                  </w:pPr>
                  <w:r>
                    <w:rPr>
                      <w:rFonts w:ascii="Trebuchet MS"/>
                      <w:b/>
                      <w:color w:val="231F20"/>
                      <w:w w:val="110"/>
                      <w:sz w:val="22"/>
                    </w:rPr>
                    <w:t>MEASUREMENT OF FLUID VOLUMES IN THE DIFFERENT</w:t>
                  </w:r>
                </w:p>
                <w:p>
                  <w:pPr>
                    <w:spacing w:line="225" w:lineRule="auto" w:before="0"/>
                    <w:ind w:left="60" w:right="650" w:firstLine="0"/>
                    <w:jc w:val="left"/>
                    <w:rPr>
                      <w:rFonts w:ascii="Trebuchet MS" w:hAnsi="Trebuchet MS"/>
                      <w:b/>
                      <w:sz w:val="22"/>
                    </w:rPr>
                  </w:pPr>
                  <w:r>
                    <w:rPr>
                      <w:rFonts w:ascii="Trebuchet MS" w:hAnsi="Trebuchet MS"/>
                      <w:b/>
                      <w:color w:val="231F20"/>
                      <w:w w:val="110"/>
                      <w:sz w:val="22"/>
                    </w:rPr>
                    <w:t>BODY FLUID COMPARTMENTS—THE INDICATOR-DILUTION PRINCIPLE</w:t>
                  </w:r>
                </w:p>
              </w:txbxContent>
            </v:textbox>
            <v:fill type="solid"/>
            <w10:wrap type="topAndBottom"/>
          </v:shape>
        </w:pict>
      </w:r>
    </w:p>
    <w:p>
      <w:pPr>
        <w:pStyle w:val="BodyText"/>
        <w:spacing w:line="20" w:lineRule="exact"/>
        <w:ind w:left="314"/>
        <w:rPr>
          <w:rFonts w:ascii="Trebuchet MS"/>
          <w:sz w:val="2"/>
        </w:rPr>
      </w:pPr>
      <w:r>
        <w:rPr>
          <w:rFonts w:ascii="Trebuchet MS"/>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rFonts w:ascii="Trebuchet MS"/>
          <w:sz w:val="2"/>
        </w:rPr>
      </w:r>
    </w:p>
    <w:p>
      <w:pPr>
        <w:pStyle w:val="BodyText"/>
        <w:spacing w:line="249" w:lineRule="auto" w:before="59"/>
        <w:ind w:left="319" w:right="1437"/>
        <w:jc w:val="both"/>
      </w:pPr>
      <w:r>
        <w:rPr>
          <w:color w:val="231F20"/>
        </w:rPr>
        <w:t>The volume of a fluid compartment in the body can </w:t>
      </w:r>
      <w:r>
        <w:rPr>
          <w:color w:val="231F20"/>
          <w:spacing w:val="-6"/>
        </w:rPr>
        <w:t>be </w:t>
      </w:r>
      <w:r>
        <w:rPr>
          <w:color w:val="231F20"/>
        </w:rPr>
        <w:t>measured by placing an indicator substance in the com­ partment, allowing it to disperse evenly throughout </w:t>
      </w:r>
      <w:r>
        <w:rPr>
          <w:color w:val="231F20"/>
          <w:spacing w:val="-6"/>
        </w:rPr>
        <w:t>the </w:t>
      </w:r>
      <w:r>
        <w:rPr>
          <w:color w:val="231F20"/>
        </w:rPr>
        <w:t>compartment’s fluid, and then analyzing the extent to which the substance becomes diluted. </w:t>
      </w:r>
      <w:hyperlink w:history="true" w:anchor="_bookmark6">
        <w:r>
          <w:rPr>
            <w:b/>
            <w:color w:val="0080AC"/>
          </w:rPr>
          <w:t>Figure 25-4 </w:t>
        </w:r>
      </w:hyperlink>
      <w:r>
        <w:rPr>
          <w:color w:val="231F20"/>
        </w:rPr>
        <w:t>shows this “indicator­dilution” method of measuring the volume of a fluid compartment. This method is based on the conservation of mass principle, which means that the  total mass of a substance after dispersion in the </w:t>
      </w:r>
      <w:r>
        <w:rPr>
          <w:color w:val="231F20"/>
          <w:spacing w:val="-3"/>
        </w:rPr>
        <w:t>fluid </w:t>
      </w:r>
      <w:r>
        <w:rPr>
          <w:color w:val="231F20"/>
        </w:rPr>
        <w:t>compartment will be the same as the total mass injected into the</w:t>
      </w:r>
      <w:r>
        <w:rPr>
          <w:color w:val="231F20"/>
          <w:spacing w:val="15"/>
        </w:rPr>
        <w:t> </w:t>
      </w:r>
      <w:r>
        <w:rPr>
          <w:color w:val="231F20"/>
        </w:rPr>
        <w:t>compartment.</w:t>
      </w:r>
    </w:p>
    <w:p>
      <w:pPr>
        <w:pStyle w:val="BodyText"/>
        <w:spacing w:line="249" w:lineRule="auto" w:before="9"/>
        <w:ind w:left="319" w:right="1437" w:firstLine="240"/>
        <w:jc w:val="both"/>
      </w:pP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example</w:t>
      </w:r>
      <w:r>
        <w:rPr>
          <w:color w:val="231F20"/>
          <w:spacing w:val="-9"/>
          <w:w w:val="105"/>
        </w:rPr>
        <w:t> </w:t>
      </w:r>
      <w:r>
        <w:rPr>
          <w:color w:val="231F20"/>
          <w:w w:val="105"/>
        </w:rPr>
        <w:t>shown</w:t>
      </w:r>
      <w:r>
        <w:rPr>
          <w:color w:val="231F20"/>
          <w:spacing w:val="-10"/>
          <w:w w:val="105"/>
        </w:rPr>
        <w:t> </w:t>
      </w:r>
      <w:r>
        <w:rPr>
          <w:color w:val="231F20"/>
          <w:w w:val="105"/>
        </w:rPr>
        <w:t>in</w:t>
      </w:r>
      <w:r>
        <w:rPr>
          <w:color w:val="231F20"/>
          <w:spacing w:val="-9"/>
          <w:w w:val="105"/>
        </w:rPr>
        <w:t> </w:t>
      </w:r>
      <w:hyperlink w:history="true" w:anchor="_bookmark6">
        <w:r>
          <w:rPr>
            <w:b/>
            <w:color w:val="0080AC"/>
            <w:w w:val="105"/>
          </w:rPr>
          <w:t>Figure</w:t>
        </w:r>
        <w:r>
          <w:rPr>
            <w:b/>
            <w:color w:val="0080AC"/>
            <w:spacing w:val="-11"/>
            <w:w w:val="105"/>
          </w:rPr>
          <w:t> </w:t>
        </w:r>
        <w:r>
          <w:rPr>
            <w:b/>
            <w:color w:val="0080AC"/>
            <w:w w:val="105"/>
          </w:rPr>
          <w:t>25-4</w:t>
        </w:r>
      </w:hyperlink>
      <w:r>
        <w:rPr>
          <w:color w:val="231F20"/>
          <w:w w:val="105"/>
        </w:rPr>
        <w:t>,</w:t>
      </w:r>
      <w:r>
        <w:rPr>
          <w:color w:val="231F20"/>
          <w:spacing w:val="-10"/>
          <w:w w:val="105"/>
        </w:rPr>
        <w:t> </w:t>
      </w:r>
      <w:r>
        <w:rPr>
          <w:color w:val="231F20"/>
          <w:w w:val="105"/>
        </w:rPr>
        <w:t>a</w:t>
      </w:r>
      <w:r>
        <w:rPr>
          <w:color w:val="231F20"/>
          <w:spacing w:val="-10"/>
          <w:w w:val="105"/>
        </w:rPr>
        <w:t> </w:t>
      </w:r>
      <w:r>
        <w:rPr>
          <w:color w:val="231F20"/>
          <w:w w:val="105"/>
        </w:rPr>
        <w:t>small</w:t>
      </w:r>
      <w:r>
        <w:rPr>
          <w:color w:val="231F20"/>
          <w:spacing w:val="-9"/>
          <w:w w:val="105"/>
        </w:rPr>
        <w:t> </w:t>
      </w:r>
      <w:r>
        <w:rPr>
          <w:color w:val="231F20"/>
          <w:spacing w:val="-4"/>
          <w:w w:val="105"/>
        </w:rPr>
        <w:t>amount </w:t>
      </w:r>
      <w:r>
        <w:rPr>
          <w:color w:val="231F20"/>
          <w:w w:val="105"/>
        </w:rPr>
        <w:t>of dye or other substance contained in the syringe is injected into a chamber and the substance is allowed</w:t>
      </w:r>
      <w:r>
        <w:rPr>
          <w:color w:val="231F20"/>
          <w:spacing w:val="45"/>
          <w:w w:val="105"/>
        </w:rPr>
        <w:t> </w:t>
      </w:r>
      <w:r>
        <w:rPr>
          <w:color w:val="231F20"/>
          <w:w w:val="105"/>
        </w:rPr>
        <w:t>to</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8"/>
        <w:rPr>
          <w:sz w:val="22"/>
        </w:rPr>
      </w:pPr>
    </w:p>
    <w:p>
      <w:pPr>
        <w:spacing w:before="100"/>
        <w:ind w:left="6480" w:right="0" w:firstLine="0"/>
        <w:jc w:val="left"/>
        <w:rPr>
          <w:rFonts w:ascii="Trebuchet MS"/>
          <w:sz w:val="18"/>
        </w:rPr>
      </w:pPr>
      <w:r>
        <w:rPr/>
        <w:pict>
          <v:group style="position:absolute;margin-left:74.406593pt;margin-top:6.537768pt;width:229.3pt;height:183.95pt;mso-position-horizontal-relative:page;mso-position-vertical-relative:paragraph;z-index:251707392" coordorigin="1488,131" coordsize="4586,3679">
            <v:shape style="position:absolute;left:3750;top:2718;width:290;height:200" type="#_x0000_t75" stroked="false">
              <v:imagedata r:id="rId23" o:title=""/>
            </v:shape>
            <v:shape style="position:absolute;left:1737;top:2073;width:1977;height:1615" coordorigin="1738,2074" coordsize="1977,1615" path="m1738,2103l1738,3532,1750,3593,1784,3643,1834,3676,1895,3688,3558,3688,3619,3676,3669,3643,3702,3593,3715,3532,3715,2111,1784,2111,1771,2111,1760,2109,1748,2107,1738,2103xm1919,2074l1899,2075,1881,2079,1864,2085,1851,2093,1837,2100,1821,2106,1803,2110,1784,2111,2054,2111,2034,2110,2015,2106,1999,2100,1985,2092,1972,2084,1956,2078,1938,2075,1919,2074xm2189,2074l2169,2075,2151,2079,2135,2085,2121,2093,2107,2100,2091,2106,2073,2110,2054,2111,2324,2111,2304,2110,2286,2106,2269,2100,2256,2092,2242,2084,2226,2078,2208,2075,2189,2074xm2459,2074l2439,2075,2421,2079,2405,2085,2391,2093,2378,2100,2362,2106,2344,2110,2324,2111,2594,2111,2574,2110,2556,2106,2539,2100,2526,2092,2512,2084,2496,2078,2478,2075,2459,2074xm2729,2074l2709,2075,2691,2079,2675,2085,2661,2093,2648,2100,2632,2106,2614,2110,2594,2111,2864,2111,2844,2110,2826,2106,2810,2100,2796,2092,2782,2084,2766,2078,2749,2075,2729,2074xm2999,2074l2980,2075,2961,2079,2945,2085,2932,2093,2918,2100,2902,2106,2884,2110,2864,2111,3135,2111,3115,2110,3096,2106,3080,2100,3066,2092,3052,2084,3037,2078,3019,2075,2999,2074xm3270,2074l3250,2075,3232,2079,3215,2085,3202,2093,3188,2100,3172,2106,3154,2110,3135,2111,3405,2111,3385,2110,3366,2106,3350,2100,3336,2092,3323,2084,3307,2078,3289,2075,3270,2074xm3540,2074l3520,2075,3502,2079,3486,2085,3472,2093,3458,2100,3442,2106,3424,2110,3405,2111,3675,2111,3655,2110,3636,2106,3620,2100,3606,2092,3593,2084,3577,2078,3559,2075,3540,2074xm3715,2103l3705,2106,3696,2108,3685,2110,3675,2111,3715,2111,3715,2103xe" filled="true" fillcolor="#c7d6ea" stroked="false">
              <v:path arrowok="t"/>
              <v:fill type="solid"/>
            </v:shape>
            <v:shape style="position:absolute;left:1737;top:1966;width:1977;height:1723" coordorigin="1738,1966" coordsize="1977,1723" path="m3715,1966l3715,3532,3702,3593,3669,3643,3619,3676,3558,3688,1895,3688,1834,3676,1784,3643,1750,3593,1738,3532,1738,1966e" filled="false" stroked="true" strokeweight="2pt" strokecolor="#231f20">
              <v:path arrowok="t"/>
              <v:stroke dashstyle="solid"/>
            </v:shape>
            <v:shape style="position:absolute;left:4077;top:2073;width:1977;height:1615" coordorigin="4077,2074" coordsize="1977,1615" path="m4077,2103l4077,3532,4089,3593,4123,3643,4173,3676,4234,3688,5897,3688,5958,3676,6008,3643,6041,3593,6054,3532,6054,2111,4123,2111,4111,2111,4099,2109,4088,2107,4077,2103xm4258,2074l4238,2075,4220,2079,4204,2085,4190,2093,4176,2100,4160,2106,4142,2110,4123,2111,4393,2111,4373,2110,4355,2106,4338,2100,4325,2092,4311,2084,4295,2078,4277,2075,4258,2074xm4528,2074l4508,2075,4490,2079,4474,2085,4460,2093,4447,2100,4431,2106,4413,2110,4393,2111,4663,2111,4643,2110,4625,2106,4608,2100,4595,2092,4581,2084,4565,2078,4547,2075,4528,2074xm4798,2074l4779,2075,4760,2079,4744,2085,4730,2093,4717,2100,4701,2106,4683,2110,4663,2111,4933,2111,4913,2110,4895,2106,4879,2100,4865,2092,4851,2084,4835,2078,4818,2075,4798,2074xm5069,2074l5049,2075,5030,2079,5014,2085,5001,2093,4987,2100,4971,2106,4953,2110,4933,2111,5204,2111,5184,2110,5165,2106,5149,2100,5135,2092,5122,2084,5106,2078,5088,2075,5069,2074xm5339,2074l5319,2075,5301,2079,5284,2085,5271,2093,5257,2100,5241,2106,5223,2110,5204,2111,5474,2111,5454,2110,5435,2106,5419,2100,5405,2092,5392,2084,5376,2078,5358,2075,5339,2074xm5609,2074l5589,2075,5571,2079,5555,2085,5541,2093,5527,2100,5511,2106,5493,2110,5474,2111,5744,2111,5724,2110,5705,2106,5689,2100,5675,2092,5662,2084,5646,2078,5628,2075,5609,2074xm5879,2074l5859,2075,5841,2079,5825,2085,5811,2093,5797,2100,5781,2106,5763,2110,5744,2111,6014,2111,5994,2110,5976,2106,5959,2100,5946,2092,5932,2084,5916,2078,5898,2075,5879,2074xm6054,2103l6045,2106,6035,2108,6025,2110,6014,2111,6054,2111,6054,2103xe" filled="true" fillcolor="#c7d6ea" stroked="false">
              <v:path arrowok="t"/>
              <v:fill type="solid"/>
            </v:shape>
            <v:shape style="position:absolute;left:4077;top:1966;width:1977;height:1723" coordorigin="4077,1966" coordsize="1977,1723" path="m6054,1966l6054,3532,6041,3593,6008,3643,5958,3676,5897,3688,4234,3688,4173,3676,4123,3643,4089,3593,4077,3532,4077,1966e" filled="false" stroked="true" strokeweight="2pt" strokecolor="#231f20">
              <v:path arrowok="t"/>
              <v:stroke dashstyle="solid"/>
            </v:shape>
            <v:shape style="position:absolute;left:2396;top:1563;width:104;height:78" coordorigin="2396,1564" coordsize="104,78" path="m2498,1573l2463,1628,2423,1641,2408,1640,2398,1633,2396,1620,2402,1606,2415,1591,2433,1578,2454,1568,2473,1564,2489,1565,2498,1573xe" filled="false" stroked="true" strokeweight=".75pt" strokecolor="#231f20">
              <v:path arrowok="t"/>
              <v:stroke dashstyle="solid"/>
            </v:shape>
            <v:shape style="position:absolute;left:2470;top:1666;width:59;height:44" type="#_x0000_t75" stroked="false">
              <v:imagedata r:id="rId24" o:title=""/>
            </v:shape>
            <v:shape style="position:absolute;left:2470;top:1667;width:59;height:44" coordorigin="2470,1667" coordsize="59,44" path="m2528,1672l2485,1711,2477,1710,2471,1706,2470,1699,2474,1691,2481,1682,2491,1675,2503,1669,2513,1667,2522,1668,2528,1672xe" filled="false" stroked="true" strokeweight=".75pt" strokecolor="#8ca6b4">
              <v:path arrowok="t"/>
              <v:stroke dashstyle="solid"/>
            </v:shape>
            <v:shape style="position:absolute;left:2542;top:1779;width:178;height:253" type="#_x0000_t75" stroked="false">
              <v:imagedata r:id="rId25" o:title=""/>
            </v:shape>
            <v:shape style="position:absolute;left:2542;top:1779;width:178;height:253" coordorigin="2543,1779" coordsize="178,253" path="m2575,1779l2656,1916,2698,1986,2714,2012,2716,2017,2721,2024,2711,2032,2702,2031,2694,2029,2647,1972,2604,1901,2562,1830,2543,1798,2545,1796,2571,1779,2575,1779xe" filled="false" stroked="true" strokeweight=".75pt" strokecolor="#8ca6b4">
              <v:path arrowok="t"/>
              <v:stroke dashstyle="solid"/>
            </v:shape>
            <v:shape style="position:absolute;left:2471;top:1672;width:117;height:139" type="#_x0000_t75" stroked="false">
              <v:imagedata r:id="rId26" o:title=""/>
            </v:shape>
            <v:shape style="position:absolute;left:2471;top:1672;width:117;height:139" coordorigin="2471,1672" coordsize="117,139" path="m2528,1672l2561,1728,2588,1778,2585,1787,2577,1795,2567,1803,2555,1808,2545,1810,2536,1809,2531,1805,2520,1788,2500,1754,2480,1721,2471,1706,2481,1698,2498,1687,2516,1677,2528,1672xe" filled="false" stroked="true" strokeweight=".75pt" strokecolor="#8ca6b4">
              <v:path arrowok="t"/>
              <v:stroke dashstyle="solid"/>
            </v:shape>
            <v:shape style="position:absolute;left:2397;top:1572;width:154;height:155" type="#_x0000_t75" stroked="false">
              <v:imagedata r:id="rId27" o:title=""/>
            </v:shape>
            <v:shape style="position:absolute;left:2397;top:1572;width:154;height:155" coordorigin="2398,1573" coordsize="154,155" path="m2498,1573l2540,1643,2551,1671,2545,1685,2533,1700,2514,1714,2494,1723,2474,1728,2459,1726,2449,1719,2440,1702,2422,1673,2405,1645,2398,1633,2415,1619,2446,1599,2479,1581,2498,1573xe" filled="false" stroked="true" strokeweight=".75pt" strokecolor="#8ca6b4">
              <v:path arrowok="t"/>
              <v:stroke dashstyle="solid"/>
            </v:shape>
            <v:shape style="position:absolute;left:1851;top:710;width:701;height:968" coordorigin="1851,711" coordsize="701,968" path="m2055,711l2014,727,1949,764,1885,805,1851,832,2348,1662,2367,1676,2397,1679,2435,1670,2476,1650,2513,1623,2539,1594,2552,1566,2549,1543,2055,711xe" filled="true" fillcolor="#ffffff" stroked="false">
              <v:path arrowok="t"/>
              <v:fill type="solid"/>
            </v:shape>
            <v:shape style="position:absolute;left:1851;top:710;width:701;height:968" coordorigin="1851,711" coordsize="701,968" path="m2055,711l2336,1185,2482,1430,2537,1523,2549,1543,2552,1566,2513,1623,2435,1670,2397,1679,2367,1676,2348,1662,2267,1527,2097,1242,1928,960,1851,832,1885,805,1949,764,2014,727,2055,711xe" filled="false" stroked="true" strokeweight=".75pt" strokecolor="#8ca6b4">
              <v:path arrowok="t"/>
              <v:stroke dashstyle="solid"/>
            </v:shape>
            <v:shape style="position:absolute;left:2003;top:944;width:530;height:718" coordorigin="2003,945" coordsize="530,718" path="m2168,945l2103,968,2033,1013,2003,1043,2368,1655,2381,1662,2404,1661,2467,1634,2520,1591,2532,1572,2532,1557,2168,945xe" filled="true" fillcolor="#99b8db" stroked="false">
              <v:path arrowok="t"/>
              <v:fill type="solid"/>
            </v:shape>
            <v:shape style="position:absolute;left:1993;top:927;width:175;height:123" type="#_x0000_t75" stroked="false">
              <v:imagedata r:id="rId28" o:title=""/>
            </v:shape>
            <v:shape style="position:absolute;left:1993;top:927;width:175;height:123" coordorigin="1993,928" coordsize="175,123" path="m2158,928l2165,940,2168,945,2168,960,2102,1022,2039,1049,2016,1050,2003,1043,2000,1037,1993,1026,2046,980,2118,939,2140,931,2158,928xe" filled="false" stroked="true" strokeweight=".75pt" strokecolor="#8ca6b4">
              <v:path arrowok="t"/>
              <v:stroke dashstyle="solid"/>
            </v:shape>
            <v:shape style="position:absolute;left:1993;top:920;width:165;height:113" type="#_x0000_t75" stroked="false">
              <v:imagedata r:id="rId29" o:title=""/>
            </v:shape>
            <v:shape style="position:absolute;left:1993;top:920;width:165;height:113" coordorigin="1993,921" coordsize="165,113" path="m2158,928l2123,984,2059,1022,2006,1033,1993,1026,1993,1011,2005,992,2059,949,2122,922,2145,921,2158,928xe" filled="false" stroked="true" strokeweight=".75pt" strokecolor="#8ca6b4">
              <v:path arrowok="t"/>
              <v:stroke dashstyle="solid"/>
            </v:shape>
            <v:shape style="position:absolute;left:1935;top:794;width:185;height:210" type="#_x0000_t75" stroked="false">
              <v:imagedata r:id="rId30" o:title=""/>
            </v:shape>
            <v:shape style="position:absolute;left:1935;top:794;width:185;height:210" coordorigin="1935,795" coordsize="185,210" path="m2033,795l2080,873,2114,931,2120,949,2114,963,2102,977,2084,991,2064,1000,2045,1004,2030,1003,2021,996,2006,971,1977,922,1948,874,1935,853,1945,849,2010,811,2023,802,2033,795xe" filled="false" stroked="true" strokeweight=".75pt" strokecolor="#8ca6b4">
              <v:path arrowok="t"/>
              <v:stroke dashstyle="solid"/>
            </v:shape>
            <v:shape style="position:absolute;left:1851;top:701;width:204;height:140" type="#_x0000_t75" stroked="false">
              <v:imagedata r:id="rId31" o:title=""/>
            </v:shape>
            <v:shape style="position:absolute;left:1851;top:701;width:204;height:139" coordorigin="1851,702" coordsize="204,139" path="m2055,711l2012,780,1933,827,1868,841,1851,832,1851,813,1866,789,1932,736,2010,704,2039,702,2055,711xe" filled="false" stroked="true" strokeweight=".75pt" strokecolor="#8ca6b4">
              <v:path arrowok="t"/>
              <v:stroke dashstyle="solid"/>
            </v:shape>
            <v:shape style="position:absolute;left:1786;top:656;width:319;height:220" type="#_x0000_t75" stroked="false">
              <v:imagedata r:id="rId32" o:title=""/>
            </v:shape>
            <v:shape style="position:absolute;left:1786;top:656;width:319;height:220" coordorigin="1787,656" coordsize="319,220" path="m2090,656l2099,671,2105,681,2106,710,2042,787,1986,826,1924,857,1826,876,1801,862,1795,851,1787,837,1839,777,1920,716,2013,673,2056,660,2090,656xe" filled="false" stroked="true" strokeweight=".75pt" strokecolor="#8ca6b4">
              <v:path arrowok="t"/>
              <v:stroke dashstyle="solid"/>
            </v:shape>
            <v:shape style="position:absolute;left:1785;top:640;width:305;height:211" type="#_x0000_t75" stroked="false">
              <v:imagedata r:id="rId33" o:title=""/>
            </v:shape>
            <v:shape style="position:absolute;left:1785;top:641;width:305;height:210" coordorigin="1786,642" coordsize="305,210" path="m2090,656l2069,721,1971,801,1909,832,1811,851,1787,837,1786,808,1808,771,1905,691,1967,661,2065,642,2090,656xe" filled="false" stroked="true" strokeweight=".75pt" strokecolor="#8ca6b4">
              <v:path arrowok="t"/>
              <v:stroke dashstyle="solid"/>
            </v:shape>
            <v:shape style="position:absolute;left:1597;top:227;width:392;height:557" type="#_x0000_t75" stroked="false">
              <v:imagedata r:id="rId34" o:title=""/>
            </v:shape>
            <v:shape style="position:absolute;left:1597;top:227;width:392;height:557" coordorigin="1598,227" coordsize="392,557" path="m1695,227l1862,507,1948,651,1980,706,1987,717,1989,729,1932,780,1914,784,1899,782,1842,696,1742,528,1643,361,1598,285,1606,277,1670,236,1684,230,1695,227xe" filled="false" stroked="true" strokeweight=".75pt" strokecolor="#8ca6b4">
              <v:path arrowok="t"/>
              <v:stroke dashstyle="solid"/>
            </v:shape>
            <v:shape style="position:absolute;left:1595;top:218;width:102;height:76" type="#_x0000_t75" stroked="false">
              <v:imagedata r:id="rId35" o:title=""/>
            </v:shape>
            <v:shape style="position:absolute;left:1595;top:218;width:102;height:75" coordorigin="1596,219" coordsize="102,75" path="m1695,227l1661,280,1622,294,1607,292,1598,285,1596,274,1602,260,1614,246,1632,232,1652,223,1671,219,1686,220,1695,227xe" filled="false" stroked="true" strokeweight=".75pt" strokecolor="#8ca6b4">
              <v:path arrowok="t"/>
              <v:stroke dashstyle="solid"/>
            </v:shape>
            <v:shape style="position:absolute;left:1497;top:152;width:287;height:200" type="#_x0000_t75" stroked="false">
              <v:imagedata r:id="rId36" o:title=""/>
            </v:shape>
            <v:shape style="position:absolute;left:1497;top:153;width:287;height:199" coordorigin="1498,153" coordsize="287,199" path="m1768,153l1777,167,1782,176,1784,203,1729,275,1679,311,1624,338,1574,352,1534,352,1511,337,1506,329,1498,314,1538,259,1614,202,1699,163,1738,154,1768,153xe" filled="false" stroked="true" strokeweight=".75pt" strokecolor="#8ca6b4">
              <v:path arrowok="t"/>
              <v:stroke dashstyle="solid"/>
            </v:shape>
            <v:shape style="position:absolute;left:1495;top:136;width:275;height:193" type="#_x0000_t75" stroked="false">
              <v:imagedata r:id="rId37" o:title=""/>
            </v:shape>
            <v:shape style="position:absolute;left:1495;top:138;width:275;height:192" coordorigin="1496,138" coordsize="275,192" path="m1768,153l1752,215,1665,288,1610,315,1560,329,1521,329,1498,314,1496,287,1514,252,1550,215,1601,179,1656,152,1706,138,1745,138,1768,153xe" filled="false" stroked="true" strokeweight=".75pt" strokecolor="#8ca6b4">
              <v:path arrowok="t"/>
              <v:stroke dashstyle="solid"/>
            </v:shape>
            <v:shape style="position:absolute;left:2063;top:1037;width:3888;height:2594" coordorigin="2063,1037" coordsize="3888,2594" path="m2110,1069l2100,1058,2074,1058,2063,1069,2063,1095,2074,1105,2100,1105,2110,1095,2110,1069m2162,1154l2152,1143,2126,1143,2115,1154,2115,1179,2126,1190,2152,1190,2162,1179,2162,1154m2199,1048l2189,1037,2163,1037,2152,1048,2152,1073,2163,1084,2189,1084,2199,1073,2199,1048m2220,1244l2210,1234,2184,1234,2173,1244,2173,1270,2184,1281,2210,1281,2220,1270,2220,1244m2265,1163l2254,1153,2228,1153,2218,1163,2218,1189,2228,1200,2254,1200,2265,1189,2265,1163m2267,1352l2256,1341,2230,1341,2220,1352,2220,1377,2230,1388,2256,1388,2267,1377,2267,1352m2330,1261l2320,1251,2294,1251,2283,1261,2283,1287,2294,1298,2320,1298,2330,1287,2330,1261m2351,1469l2341,1459,2315,1459,2304,1469,2304,1495,2315,1506,2341,1506,2351,1495,2351,1469m2367,1373l2356,1363,2330,1363,2320,1373,2320,1399,2330,1410,2356,1410,2367,1399,2367,1373m2413,1587l2403,1576,2377,1576,2366,1587,2366,1613,2377,1623,2403,1623,2413,1613,2413,1587m2434,1434l2424,1424,2398,1424,2387,1434,2387,1460,2398,1471,2424,1471,2434,1460,2434,1434m2486,1525l2476,1514,2450,1514,2439,1525,2439,1551,2450,1561,2476,1561,2486,1551,2486,1525m4175,3382l4165,3372,4139,3372,4128,3382,4128,3408,4139,3419,4165,3419,4175,3408,4175,3382m4181,2987l4170,2977,4145,2977,4134,2987,4134,3013,4145,3024,4170,3024,4181,3013,4181,2987m4192,2524l4182,2513,4156,2513,4145,2524,4145,2550,4156,2560,4182,2560,4192,2550,4192,2524m4210,2197l4199,2187,4173,2187,4163,2197,4163,2223,4173,2234,4199,2234,4210,2223,4210,2197m4261,2724l4251,2713,4225,2713,4214,2724,4214,2750,4225,2760,4251,2760,4261,2750,4261,2724m4278,3594l4268,3584,4242,3584,4231,3594,4231,3620,4242,3631,4268,3631,4278,3620,4278,3594m4324,3170l4314,3160,4288,3160,4277,3170,4277,3196,4288,3207,4314,3207,4324,3196,4324,3170m4330,2352l4319,2342,4293,2342,4283,2352,4283,2378,4293,2389,4319,2389,4330,2378,4330,2352m4439,2913l4428,2902,4402,2902,4392,2913,4392,2939,4402,2949,4428,2949,4439,2939,4439,2913m4444,2558l4434,2548,4408,2548,4397,2558,4397,2584,4408,2595,4434,2595,4444,2584,4444,2558m4473,3354l4463,3343,4437,3343,4426,3354,4426,3380,4437,3390,4463,3390,4473,3380,4473,3354m4485,2220l4474,2210,4448,2210,4438,2220,4438,2246,4448,2257,4474,2257,4485,2246,4485,2220m4548,3136l4537,3126,4511,3126,4501,3136,4501,3162,4511,3172,4537,3172,4548,3162,4548,3136m4548,3560l4537,3549,4511,3549,4501,3560,4501,3586,4511,3596,4537,3596,4548,3586,4548,3560m4570,2404l4560,2393,4534,2393,4523,2404,4523,2430,4534,2440,4560,2440,4570,2430,4570,2404m4599,2747l4589,2736,4563,2736,4552,2747,4552,2773,4563,2783,4589,2783,4599,2773,4599,2747m4696,2953l4686,2942,4660,2942,4649,2953,4649,2979,4660,2989,4686,2989,4696,2979,4696,2953m4719,3411l4709,3400,4683,3400,4672,3411,4672,3437,4683,3447,4709,3447,4719,3437,4719,3411m4748,2260l4737,2250,4712,2250,4701,2260,4701,2286,4712,2297,4737,2297,4748,2286,4748,2260m4765,2552l4755,2541,4729,2541,4718,2552,4718,2578,4729,2588,4755,2588,4765,2578,4765,2552m4822,3188l4812,3177,4786,3177,4775,3188,4775,3214,4786,3224,4812,3224,4822,3214,4822,3188m4874,3577l4863,3567,4838,3567,4827,3577,4827,3603,4838,3614,4863,3614,4874,3603,4874,3577m4885,2775l4875,2765,4849,2765,4838,2775,4838,2801,4849,2812,4875,2812,4885,2801,4885,2775m4943,2375l4932,2364,4906,2364,4896,2375,4896,2401,4906,2411,4932,2411,4943,2401,4943,2375m5000,3342l4990,3332,4964,3332,4953,3342,4953,3368,4964,3379,4990,3379,5000,3368,5000,3342m5000,3010l4990,3000,4964,3000,4953,3010,4953,3036,4964,3046,4990,3046,5000,3036,5000,3010m5052,2598l5041,2587,5015,2587,5005,2598,5005,2624,5015,2634,5041,2634,5052,2624,5052,2598m5120,2226l5110,2216,5084,2216,5073,2226,5073,2252,5084,2263,5110,2263,5120,2252,5120,2226m5137,3548l5127,3538,5101,3538,5090,3548,5090,3574,5101,3585,5127,3585,5137,3574,5137,3548m5178,2810l5167,2799,5141,2799,5131,2810,5131,2836,5141,2846,5167,2846,5178,2836,5178,2810m5195,3199l5184,3189,5158,3189,5148,3199,5148,3225,5158,3236,5184,3236,5195,3225,5195,3199m5200,2392l5190,2382,5164,2382,5153,2392,5153,2418,5164,2429,5190,2429,5200,2418,5200,2392m5344,3411l5333,3400,5307,3400,5297,3411,5297,3437,5307,3447,5333,3447,5344,3437,5344,3411m5355,2981l5345,2971,5319,2971,5308,2981,5308,3007,5319,3018,5345,3018,5355,3007,5355,2981m5355,2552l5345,2541,5319,2541,5308,2552,5308,2578,5319,2588,5345,2588,5355,2578,5355,2552m5418,2260l5408,2250,5382,2250,5371,2260,5371,2286,5382,2297,5408,2297,5418,2286,5418,2260m5464,2769l5453,2759,5427,2759,5417,2769,5417,2795,5427,2806,5453,2806,5464,2795,5464,2769m5515,3566l5505,3555,5479,3555,5468,3566,5468,3592,5479,3602,5505,3602,5515,3592,5515,3566m5515,3176l5505,3166,5479,3166,5468,3176,5468,3202,5479,3213,5505,3213,5515,3202,5515,3176m5538,2404l5528,2393,5502,2393,5491,2404,5491,2430,5502,2440,5528,2440,5538,2430,5538,2404m5624,2609l5614,2599,5588,2599,5577,2609,5577,2635,5588,2646,5614,2646,5624,2635,5624,2609m5624,2238l5614,2227,5588,2227,5577,2238,5577,2264,5588,2274,5614,2274,5624,2264,5624,2238m5641,2953l5631,2942,5605,2942,5595,2953,5595,2979,5605,2989,5631,2989,5641,2979,5641,2953m5664,3394l5654,3383,5628,3383,5617,3394,5617,3420,5628,3430,5654,3430,5664,3420,5664,3394m5796,3176l5786,3166,5760,3166,5749,3176,5749,3202,5760,3213,5786,3213,5796,3202,5796,3176m5796,2764l5786,2753,5760,2753,5749,2764,5749,2790,5760,2800,5786,2800,5796,2790,5796,2764m5796,2449l5786,2439,5760,2439,5749,2449,5749,2475,5760,2486,5786,2486,5796,2475,5796,2449m5802,3577l5791,3567,5765,3567,5755,3577,5755,3603,5765,3614,5791,3614,5802,3603,5802,3577m5928,2238l5917,2227,5891,2227,5881,2238,5881,2264,5891,2274,5917,2274,5928,2264,5928,2238m5945,3348l5935,3337,5909,3337,5898,3348,5898,3374,5909,3384,5935,3384,5945,3374,5945,3348m5945,2981l5935,2971,5909,2971,5898,2981,5898,3007,5909,3018,5935,3018,5945,3007,5945,2981m5951,2603l5940,2593,5914,2593,5904,2603,5904,2629,5914,2640,5940,2640,5951,2629,5951,2603e" filled="true" fillcolor="#7b7eac" stroked="false">
              <v:path arrowok="t"/>
              <v:fill type="solid"/>
            </v:shape>
            <v:shape style="position:absolute;left:0;top:14522;width:1964;height:2873" coordorigin="0,14522" coordsize="1964,2873" path="m2218,1115l2458,929m3942,3801l4182,3615e" filled="false" stroked="true" strokeweight=".75pt" strokecolor="#231f20">
              <v:path arrowok="t"/>
              <v:stroke dashstyle="solid"/>
            </v:shape>
            <v:shape style="position:absolute;left:1772;top:920;width:298;height:478" type="#_x0000_t75" stroked="false">
              <v:imagedata r:id="rId38" o:title=""/>
            </v:shape>
            <v:shape style="position:absolute;left:2495;top:823;width:3412;height:209" type="#_x0000_t202" filled="false" stroked="false">
              <v:textbox inset="0,0,0,0">
                <w:txbxContent>
                  <w:p>
                    <w:pPr>
                      <w:spacing w:before="0"/>
                      <w:ind w:left="0" w:right="0" w:firstLine="0"/>
                      <w:jc w:val="left"/>
                      <w:rPr>
                        <w:rFonts w:ascii="Helvetica" w:hAnsi="Helvetica"/>
                        <w:sz w:val="16"/>
                      </w:rPr>
                    </w:pPr>
                    <w:r>
                      <w:rPr>
                        <w:rFonts w:ascii="Helvetica" w:hAnsi="Helvetica"/>
                        <w:color w:val="231F20"/>
                        <w:sz w:val="16"/>
                      </w:rPr>
                      <w:t>Indicator Mass A = Volume A </w:t>
                    </w:r>
                    <w:r>
                      <w:rPr>
                        <w:rFonts w:ascii="Symbol" w:hAnsi="Symbol"/>
                        <w:color w:val="231F20"/>
                        <w:sz w:val="16"/>
                      </w:rPr>
                      <w:t></w:t>
                    </w:r>
                    <w:r>
                      <w:rPr>
                        <w:color w:val="231F20"/>
                        <w:sz w:val="16"/>
                      </w:rPr>
                      <w:t> </w:t>
                    </w:r>
                    <w:r>
                      <w:rPr>
                        <w:rFonts w:ascii="Helvetica" w:hAnsi="Helvetica"/>
                        <w:color w:val="231F20"/>
                        <w:sz w:val="16"/>
                      </w:rPr>
                      <w:t>Concentration A</w:t>
                    </w:r>
                  </w:p>
                </w:txbxContent>
              </v:textbox>
              <w10:wrap type="none"/>
            </v:shape>
            <v:shape style="position:absolute;left:2730;top:1477;width:258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Indicator Mass A = Indicator Mass B</w:t>
                    </w:r>
                  </w:p>
                </w:txbxContent>
              </v:textbox>
              <w10:wrap type="none"/>
            </v:shape>
            <w10:wrap type="none"/>
          </v:group>
        </w:pict>
      </w:r>
      <w:r>
        <w:rPr/>
        <w:pict>
          <v:shape style="position:absolute;margin-left:578.900024pt;margin-top:68.105972pt;width:15.9pt;height:53.35pt;mso-position-horizontal-relative:page;mso-position-vertical-relative:paragraph;z-index:25170841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bookmarkStart w:name="_bookmark5" w:id="6"/>
      <w:bookmarkEnd w:id="6"/>
      <w:r>
        <w:rPr/>
      </w:r>
      <w:r>
        <w:rPr>
          <w:rFonts w:ascii="Trebuchet MS"/>
          <w:b/>
          <w:color w:val="231F20"/>
          <w:w w:val="105"/>
          <w:sz w:val="18"/>
        </w:rPr>
        <w:t>Table 25-3 </w:t>
      </w:r>
      <w:r>
        <w:rPr>
          <w:rFonts w:ascii="Trebuchet MS"/>
          <w:color w:val="231F20"/>
          <w:w w:val="105"/>
          <w:sz w:val="18"/>
        </w:rPr>
        <w:t>Measurement of Body Fluid Volumes</w:t>
      </w:r>
    </w:p>
    <w:p>
      <w:pPr>
        <w:pStyle w:val="BodyText"/>
        <w:spacing w:before="4"/>
        <w:rPr>
          <w:rFonts w:ascii="Trebuchet MS"/>
          <w:sz w:val="10"/>
        </w:rPr>
      </w:pPr>
    </w:p>
    <w:tbl>
      <w:tblPr>
        <w:tblW w:w="0" w:type="auto"/>
        <w:jc w:val="left"/>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2"/>
        <w:gridCol w:w="3057"/>
      </w:tblGrid>
      <w:tr>
        <w:trPr>
          <w:trHeight w:val="264" w:hRule="atLeast"/>
        </w:trPr>
        <w:tc>
          <w:tcPr>
            <w:tcW w:w="1622" w:type="dxa"/>
            <w:shd w:val="clear" w:color="auto" w:fill="D1DDF1"/>
          </w:tcPr>
          <w:p>
            <w:pPr>
              <w:pStyle w:val="TableParagraph"/>
              <w:spacing w:before="34"/>
              <w:ind w:left="120"/>
              <w:rPr>
                <w:b/>
                <w:sz w:val="16"/>
              </w:rPr>
            </w:pPr>
            <w:r>
              <w:rPr>
                <w:b/>
                <w:color w:val="231F20"/>
                <w:w w:val="105"/>
                <w:sz w:val="16"/>
              </w:rPr>
              <w:t>Volume</w:t>
            </w:r>
          </w:p>
        </w:tc>
        <w:tc>
          <w:tcPr>
            <w:tcW w:w="3057" w:type="dxa"/>
            <w:shd w:val="clear" w:color="auto" w:fill="D1DDF1"/>
          </w:tcPr>
          <w:p>
            <w:pPr>
              <w:pStyle w:val="TableParagraph"/>
              <w:spacing w:before="34"/>
              <w:ind w:left="177"/>
              <w:rPr>
                <w:b/>
                <w:sz w:val="16"/>
              </w:rPr>
            </w:pPr>
            <w:r>
              <w:rPr>
                <w:b/>
                <w:color w:val="231F20"/>
                <w:sz w:val="16"/>
              </w:rPr>
              <w:t>Indicators</w:t>
            </w:r>
          </w:p>
        </w:tc>
      </w:tr>
      <w:tr>
        <w:trPr>
          <w:trHeight w:val="259" w:hRule="atLeast"/>
        </w:trPr>
        <w:tc>
          <w:tcPr>
            <w:tcW w:w="1622" w:type="dxa"/>
            <w:tcBorders>
              <w:bottom w:val="single" w:sz="4" w:space="0" w:color="FFFFFF"/>
            </w:tcBorders>
            <w:shd w:val="clear" w:color="auto" w:fill="E6ECF7"/>
          </w:tcPr>
          <w:p>
            <w:pPr>
              <w:pStyle w:val="TableParagraph"/>
              <w:spacing w:before="24"/>
              <w:ind w:left="120"/>
              <w:rPr>
                <w:sz w:val="16"/>
              </w:rPr>
            </w:pPr>
            <w:r>
              <w:rPr>
                <w:color w:val="231F20"/>
                <w:w w:val="105"/>
                <w:sz w:val="16"/>
              </w:rPr>
              <w:t>Total body water</w:t>
            </w:r>
          </w:p>
        </w:tc>
        <w:tc>
          <w:tcPr>
            <w:tcW w:w="3057" w:type="dxa"/>
            <w:tcBorders>
              <w:bottom w:val="single" w:sz="4" w:space="0" w:color="FFFFFF"/>
            </w:tcBorders>
            <w:shd w:val="clear" w:color="auto" w:fill="E6ECF7"/>
          </w:tcPr>
          <w:p>
            <w:pPr>
              <w:pStyle w:val="TableParagraph"/>
              <w:spacing w:before="24"/>
              <w:ind w:left="177"/>
              <w:rPr>
                <w:sz w:val="16"/>
              </w:rPr>
            </w:pPr>
            <w:r>
              <w:rPr>
                <w:color w:val="231F20"/>
                <w:w w:val="105"/>
                <w:position w:val="6"/>
                <w:sz w:val="9"/>
              </w:rPr>
              <w:t>3</w:t>
            </w:r>
            <w:r>
              <w:rPr>
                <w:color w:val="231F20"/>
                <w:w w:val="105"/>
                <w:sz w:val="16"/>
              </w:rPr>
              <w:t>H</w:t>
            </w:r>
            <w:r>
              <w:rPr>
                <w:color w:val="231F20"/>
                <w:w w:val="105"/>
                <w:position w:val="-1"/>
                <w:sz w:val="9"/>
              </w:rPr>
              <w:t>2</w:t>
            </w:r>
            <w:r>
              <w:rPr>
                <w:color w:val="231F20"/>
                <w:w w:val="105"/>
                <w:sz w:val="16"/>
              </w:rPr>
              <w:t>O, </w:t>
            </w:r>
            <w:r>
              <w:rPr>
                <w:color w:val="231F20"/>
                <w:w w:val="105"/>
                <w:position w:val="6"/>
                <w:sz w:val="9"/>
              </w:rPr>
              <w:t>2</w:t>
            </w:r>
            <w:r>
              <w:rPr>
                <w:color w:val="231F20"/>
                <w:w w:val="105"/>
                <w:sz w:val="16"/>
              </w:rPr>
              <w:t>H</w:t>
            </w:r>
            <w:r>
              <w:rPr>
                <w:color w:val="231F20"/>
                <w:w w:val="105"/>
                <w:position w:val="-1"/>
                <w:sz w:val="9"/>
              </w:rPr>
              <w:t>2</w:t>
            </w:r>
            <w:r>
              <w:rPr>
                <w:color w:val="231F20"/>
                <w:w w:val="105"/>
                <w:sz w:val="16"/>
              </w:rPr>
              <w:t>O, antipyrine</w:t>
            </w:r>
          </w:p>
        </w:tc>
      </w:tr>
      <w:tr>
        <w:trPr>
          <w:trHeight w:val="464" w:hRule="atLeast"/>
        </w:trPr>
        <w:tc>
          <w:tcPr>
            <w:tcW w:w="162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Extracellular fluid</w:t>
            </w:r>
          </w:p>
        </w:tc>
        <w:tc>
          <w:tcPr>
            <w:tcW w:w="3057" w:type="dxa"/>
            <w:tcBorders>
              <w:top w:val="single" w:sz="4" w:space="0" w:color="FFFFFF"/>
              <w:bottom w:val="single" w:sz="4" w:space="0" w:color="FFFFFF"/>
            </w:tcBorders>
            <w:shd w:val="clear" w:color="auto" w:fill="E6ECF7"/>
          </w:tcPr>
          <w:p>
            <w:pPr>
              <w:pStyle w:val="TableParagraph"/>
              <w:spacing w:line="259" w:lineRule="auto"/>
              <w:ind w:left="337" w:hanging="160"/>
              <w:rPr>
                <w:sz w:val="16"/>
              </w:rPr>
            </w:pPr>
            <w:r>
              <w:rPr>
                <w:color w:val="231F20"/>
                <w:w w:val="105"/>
                <w:position w:val="6"/>
                <w:sz w:val="9"/>
              </w:rPr>
              <w:t>22</w:t>
            </w:r>
            <w:r>
              <w:rPr>
                <w:color w:val="231F20"/>
                <w:w w:val="105"/>
                <w:sz w:val="16"/>
              </w:rPr>
              <w:t>Na, </w:t>
            </w:r>
            <w:r>
              <w:rPr>
                <w:color w:val="231F20"/>
                <w:w w:val="105"/>
                <w:position w:val="6"/>
                <w:sz w:val="9"/>
              </w:rPr>
              <w:t>125</w:t>
            </w:r>
            <w:r>
              <w:rPr>
                <w:color w:val="231F20"/>
                <w:w w:val="105"/>
                <w:sz w:val="16"/>
              </w:rPr>
              <w:t>I-iothalamate, thiosulfate, inulin</w:t>
            </w:r>
          </w:p>
        </w:tc>
      </w:tr>
      <w:tr>
        <w:trPr>
          <w:trHeight w:val="464" w:hRule="atLeast"/>
        </w:trPr>
        <w:tc>
          <w:tcPr>
            <w:tcW w:w="162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Intracellular fluid</w:t>
            </w:r>
          </w:p>
        </w:tc>
        <w:tc>
          <w:tcPr>
            <w:tcW w:w="3057" w:type="dxa"/>
            <w:tcBorders>
              <w:top w:val="single" w:sz="4" w:space="0" w:color="FFFFFF"/>
              <w:bottom w:val="single" w:sz="4" w:space="0" w:color="FFFFFF"/>
            </w:tcBorders>
            <w:shd w:val="clear" w:color="auto" w:fill="E6ECF7"/>
          </w:tcPr>
          <w:p>
            <w:pPr>
              <w:pStyle w:val="TableParagraph"/>
              <w:ind w:right="511"/>
              <w:jc w:val="right"/>
              <w:rPr>
                <w:sz w:val="16"/>
              </w:rPr>
            </w:pPr>
            <w:r>
              <w:rPr>
                <w:color w:val="231F20"/>
                <w:w w:val="105"/>
                <w:sz w:val="16"/>
              </w:rPr>
              <w:t>(Calculated as total body water</w:t>
            </w:r>
          </w:p>
          <w:p>
            <w:pPr>
              <w:pStyle w:val="TableParagraph"/>
              <w:spacing w:before="14"/>
              <w:ind w:right="592"/>
              <w:jc w:val="right"/>
              <w:rPr>
                <w:sz w:val="16"/>
              </w:rPr>
            </w:pPr>
            <w:r>
              <w:rPr>
                <w:rFonts w:ascii="Consolas" w:hAnsi="Consolas"/>
                <w:color w:val="231F20"/>
                <w:w w:val="105"/>
                <w:sz w:val="16"/>
              </w:rPr>
              <w:t>−</w:t>
            </w:r>
            <w:r>
              <w:rPr>
                <w:rFonts w:ascii="Consolas" w:hAnsi="Consolas"/>
                <w:color w:val="231F20"/>
                <w:spacing w:val="-79"/>
                <w:w w:val="105"/>
                <w:sz w:val="16"/>
              </w:rPr>
              <w:t> </w:t>
            </w:r>
            <w:r>
              <w:rPr>
                <w:color w:val="231F20"/>
                <w:w w:val="105"/>
                <w:sz w:val="16"/>
              </w:rPr>
              <w:t>extracellular fluid volume)</w:t>
            </w:r>
          </w:p>
        </w:tc>
      </w:tr>
      <w:tr>
        <w:trPr>
          <w:trHeight w:val="264" w:hRule="atLeast"/>
        </w:trPr>
        <w:tc>
          <w:tcPr>
            <w:tcW w:w="162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Plasma volume</w:t>
            </w:r>
          </w:p>
        </w:tc>
        <w:tc>
          <w:tcPr>
            <w:tcW w:w="3057" w:type="dxa"/>
            <w:tcBorders>
              <w:top w:val="single" w:sz="4" w:space="0" w:color="FFFFFF"/>
              <w:bottom w:val="single" w:sz="4" w:space="0" w:color="FFFFFF"/>
            </w:tcBorders>
            <w:shd w:val="clear" w:color="auto" w:fill="E6ECF7"/>
          </w:tcPr>
          <w:p>
            <w:pPr>
              <w:pStyle w:val="TableParagraph"/>
              <w:ind w:left="177"/>
              <w:rPr>
                <w:sz w:val="16"/>
              </w:rPr>
            </w:pPr>
            <w:r>
              <w:rPr>
                <w:color w:val="231F20"/>
                <w:w w:val="105"/>
                <w:position w:val="6"/>
                <w:sz w:val="9"/>
              </w:rPr>
              <w:t>125</w:t>
            </w:r>
            <w:r>
              <w:rPr>
                <w:color w:val="231F20"/>
                <w:w w:val="105"/>
                <w:sz w:val="16"/>
              </w:rPr>
              <w:t>I-albumin, Evans blue dye (T-1824)</w:t>
            </w:r>
          </w:p>
        </w:tc>
      </w:tr>
      <w:tr>
        <w:trPr>
          <w:trHeight w:val="664" w:hRule="atLeast"/>
        </w:trPr>
        <w:tc>
          <w:tcPr>
            <w:tcW w:w="1622" w:type="dxa"/>
            <w:tcBorders>
              <w:top w:val="single" w:sz="4" w:space="0" w:color="FFFFFF"/>
              <w:bottom w:val="single" w:sz="4" w:space="0" w:color="FFFFFF"/>
            </w:tcBorders>
            <w:shd w:val="clear" w:color="auto" w:fill="E6ECF7"/>
          </w:tcPr>
          <w:p>
            <w:pPr>
              <w:pStyle w:val="TableParagraph"/>
              <w:ind w:left="120"/>
              <w:rPr>
                <w:sz w:val="16"/>
              </w:rPr>
            </w:pPr>
            <w:r>
              <w:rPr>
                <w:color w:val="231F20"/>
                <w:w w:val="110"/>
                <w:sz w:val="16"/>
              </w:rPr>
              <w:t>Blood volume</w:t>
            </w:r>
          </w:p>
        </w:tc>
        <w:tc>
          <w:tcPr>
            <w:tcW w:w="3057" w:type="dxa"/>
            <w:tcBorders>
              <w:top w:val="single" w:sz="4" w:space="0" w:color="FFFFFF"/>
              <w:bottom w:val="single" w:sz="4" w:space="0" w:color="FFFFFF"/>
            </w:tcBorders>
            <w:shd w:val="clear" w:color="auto" w:fill="E6ECF7"/>
          </w:tcPr>
          <w:p>
            <w:pPr>
              <w:pStyle w:val="TableParagraph"/>
              <w:spacing w:line="259" w:lineRule="auto"/>
              <w:ind w:left="337" w:hanging="160"/>
              <w:rPr>
                <w:sz w:val="16"/>
              </w:rPr>
            </w:pPr>
            <w:r>
              <w:rPr>
                <w:color w:val="231F20"/>
                <w:w w:val="105"/>
                <w:position w:val="6"/>
                <w:sz w:val="9"/>
              </w:rPr>
              <w:t>51</w:t>
            </w:r>
            <w:r>
              <w:rPr>
                <w:color w:val="231F20"/>
                <w:w w:val="105"/>
                <w:sz w:val="16"/>
              </w:rPr>
              <w:t>Cr-labeled red blood cells, or calculated as blood volume</w:t>
            </w:r>
          </w:p>
          <w:p>
            <w:pPr>
              <w:pStyle w:val="TableParagraph"/>
              <w:spacing w:line="189" w:lineRule="exact" w:before="0"/>
              <w:ind w:left="338"/>
              <w:rPr>
                <w:sz w:val="16"/>
              </w:rPr>
            </w:pPr>
            <w:r>
              <w:rPr>
                <w:rFonts w:ascii="Consolas" w:hAnsi="Consolas"/>
                <w:color w:val="231F20"/>
                <w:sz w:val="16"/>
              </w:rPr>
              <w:t>= </w:t>
            </w:r>
            <w:r>
              <w:rPr>
                <w:color w:val="231F20"/>
                <w:sz w:val="16"/>
              </w:rPr>
              <w:t>plasma volume/(1 </w:t>
            </w:r>
            <w:r>
              <w:rPr>
                <w:rFonts w:ascii="Consolas" w:hAnsi="Consolas"/>
                <w:color w:val="231F20"/>
                <w:sz w:val="16"/>
              </w:rPr>
              <w:t>− </w:t>
            </w:r>
            <w:r>
              <w:rPr>
                <w:color w:val="231F20"/>
                <w:sz w:val="16"/>
              </w:rPr>
              <w:t>hematocrit)</w:t>
            </w:r>
          </w:p>
        </w:tc>
      </w:tr>
      <w:tr>
        <w:trPr>
          <w:trHeight w:val="479" w:hRule="atLeast"/>
        </w:trPr>
        <w:tc>
          <w:tcPr>
            <w:tcW w:w="1622" w:type="dxa"/>
            <w:tcBorders>
              <w:top w:val="single" w:sz="4" w:space="0" w:color="FFFFFF"/>
            </w:tcBorders>
            <w:shd w:val="clear" w:color="auto" w:fill="E6ECF7"/>
          </w:tcPr>
          <w:p>
            <w:pPr>
              <w:pStyle w:val="TableParagraph"/>
              <w:ind w:left="120"/>
              <w:rPr>
                <w:sz w:val="16"/>
              </w:rPr>
            </w:pPr>
            <w:r>
              <w:rPr>
                <w:color w:val="231F20"/>
                <w:w w:val="105"/>
                <w:sz w:val="16"/>
              </w:rPr>
              <w:t>Interstitial fluid</w:t>
            </w:r>
          </w:p>
        </w:tc>
        <w:tc>
          <w:tcPr>
            <w:tcW w:w="3057" w:type="dxa"/>
            <w:tcBorders>
              <w:top w:val="single" w:sz="4" w:space="0" w:color="FFFFFF"/>
            </w:tcBorders>
            <w:shd w:val="clear" w:color="auto" w:fill="E6ECF7"/>
          </w:tcPr>
          <w:p>
            <w:pPr>
              <w:pStyle w:val="TableParagraph"/>
              <w:spacing w:line="259" w:lineRule="auto"/>
              <w:ind w:left="337" w:right="377" w:hanging="160"/>
              <w:rPr>
                <w:sz w:val="16"/>
              </w:rPr>
            </w:pPr>
            <w:r>
              <w:rPr>
                <w:color w:val="231F20"/>
                <w:w w:val="105"/>
                <w:sz w:val="16"/>
              </w:rPr>
              <w:t>(Calculated as extracellular fluid volume </w:t>
            </w:r>
            <w:r>
              <w:rPr>
                <w:rFonts w:ascii="Consolas" w:hAnsi="Consolas"/>
                <w:color w:val="231F20"/>
                <w:w w:val="105"/>
                <w:sz w:val="16"/>
              </w:rPr>
              <w:t>− </w:t>
            </w:r>
            <w:r>
              <w:rPr>
                <w:color w:val="231F20"/>
                <w:w w:val="105"/>
                <w:sz w:val="16"/>
              </w:rPr>
              <w:t>plasma volume)</w:t>
            </w:r>
          </w:p>
        </w:tc>
      </w:tr>
    </w:tbl>
    <w:p>
      <w:pPr>
        <w:pStyle w:val="BodyText"/>
        <w:spacing w:before="7"/>
        <w:rPr>
          <w:rFonts w:ascii="Trebuchet MS"/>
          <w:sz w:val="29"/>
        </w:rPr>
      </w:pPr>
    </w:p>
    <w:p>
      <w:pPr>
        <w:spacing w:after="0"/>
        <w:rPr>
          <w:rFonts w:ascii="Trebuchet MS"/>
          <w:sz w:val="29"/>
        </w:rPr>
        <w:sectPr>
          <w:headerReference w:type="default" r:id="rId22"/>
          <w:pgSz w:w="12240" w:h="15660"/>
          <w:pgMar w:header="0" w:footer="567" w:top="0" w:bottom="760" w:left="0" w:right="0"/>
        </w:sectPr>
      </w:pPr>
    </w:p>
    <w:p>
      <w:pPr>
        <w:spacing w:line="319" w:lineRule="auto" w:before="101"/>
        <w:ind w:left="2258" w:right="455" w:firstLine="0"/>
        <w:jc w:val="left"/>
        <w:rPr>
          <w:rFonts w:ascii="Helvetica" w:hAnsi="Helvetica"/>
          <w:sz w:val="16"/>
        </w:rPr>
      </w:pPr>
      <w:r>
        <w:rPr/>
        <w:pict>
          <v:rect style="position:absolute;margin-left:576pt;margin-top:-39.759449pt;width:36pt;height:24pt;mso-position-horizontal-relative:page;mso-position-vertical-relative:paragraph;z-index:251703296" filled="true" fillcolor="#e8dac8" stroked="false">
            <v:fill type="solid"/>
            <w10:wrap type="none"/>
          </v:rect>
        </w:pict>
      </w:r>
      <w:r>
        <w:rPr>
          <w:rFonts w:ascii="Helvetica" w:hAnsi="Helvetica"/>
          <w:color w:val="231F20"/>
          <w:sz w:val="16"/>
        </w:rPr>
        <w:t>Indicator Mass B = Volume B </w:t>
      </w:r>
      <w:r>
        <w:rPr>
          <w:rFonts w:ascii="Symbol" w:hAnsi="Symbol"/>
          <w:color w:val="231F20"/>
          <w:sz w:val="16"/>
        </w:rPr>
        <w:t></w:t>
      </w:r>
      <w:r>
        <w:rPr>
          <w:color w:val="231F20"/>
          <w:sz w:val="16"/>
        </w:rPr>
        <w:t> </w:t>
      </w:r>
      <w:r>
        <w:rPr>
          <w:rFonts w:ascii="Helvetica" w:hAnsi="Helvetica"/>
          <w:color w:val="231F20"/>
          <w:sz w:val="16"/>
        </w:rPr>
        <w:t>Concentration B Volume B = Indicator Mass B/Concentration B</w:t>
      </w:r>
    </w:p>
    <w:p>
      <w:pPr>
        <w:spacing w:before="29"/>
        <w:ind w:left="1440" w:right="0" w:firstLine="0"/>
        <w:jc w:val="both"/>
        <w:rPr>
          <w:rFonts w:ascii="Arial"/>
          <w:sz w:val="16"/>
        </w:rPr>
      </w:pPr>
      <w:bookmarkStart w:name="_bookmark6" w:id="7"/>
      <w:bookmarkEnd w:id="7"/>
      <w:r>
        <w:rPr/>
      </w:r>
      <w:r>
        <w:rPr>
          <w:rFonts w:ascii="Trebuchet MS"/>
          <w:b/>
          <w:color w:val="231F20"/>
          <w:sz w:val="16"/>
        </w:rPr>
        <w:t>Figure</w:t>
      </w:r>
      <w:r>
        <w:rPr>
          <w:rFonts w:ascii="Trebuchet MS"/>
          <w:b/>
          <w:color w:val="231F20"/>
          <w:spacing w:val="-21"/>
          <w:sz w:val="16"/>
        </w:rPr>
        <w:t> </w:t>
      </w:r>
      <w:r>
        <w:rPr>
          <w:rFonts w:ascii="Trebuchet MS"/>
          <w:b/>
          <w:color w:val="231F20"/>
          <w:sz w:val="16"/>
        </w:rPr>
        <w:t>25-4.</w:t>
      </w:r>
      <w:r>
        <w:rPr>
          <w:rFonts w:ascii="Trebuchet MS"/>
          <w:b/>
          <w:color w:val="231F20"/>
          <w:spacing w:val="3"/>
          <w:sz w:val="16"/>
        </w:rPr>
        <w:t> </w:t>
      </w:r>
      <w:r>
        <w:rPr>
          <w:rFonts w:ascii="Arial"/>
          <w:color w:val="231F20"/>
          <w:sz w:val="16"/>
        </w:rPr>
        <w:t>Indicator-dilution</w:t>
      </w:r>
      <w:r>
        <w:rPr>
          <w:rFonts w:ascii="Arial"/>
          <w:color w:val="231F20"/>
          <w:spacing w:val="-17"/>
          <w:sz w:val="16"/>
        </w:rPr>
        <w:t> </w:t>
      </w:r>
      <w:r>
        <w:rPr>
          <w:rFonts w:ascii="Arial"/>
          <w:color w:val="231F20"/>
          <w:sz w:val="16"/>
        </w:rPr>
        <w:t>method</w:t>
      </w:r>
      <w:r>
        <w:rPr>
          <w:rFonts w:ascii="Arial"/>
          <w:color w:val="231F20"/>
          <w:spacing w:val="-16"/>
          <w:sz w:val="16"/>
        </w:rPr>
        <w:t> </w:t>
      </w:r>
      <w:r>
        <w:rPr>
          <w:rFonts w:ascii="Arial"/>
          <w:color w:val="231F20"/>
          <w:sz w:val="16"/>
        </w:rPr>
        <w:t>for</w:t>
      </w:r>
      <w:r>
        <w:rPr>
          <w:rFonts w:ascii="Arial"/>
          <w:color w:val="231F20"/>
          <w:spacing w:val="-17"/>
          <w:sz w:val="16"/>
        </w:rPr>
        <w:t> </w:t>
      </w:r>
      <w:r>
        <w:rPr>
          <w:rFonts w:ascii="Arial"/>
          <w:color w:val="231F20"/>
          <w:sz w:val="16"/>
        </w:rPr>
        <w:t>measuring</w:t>
      </w:r>
      <w:r>
        <w:rPr>
          <w:rFonts w:ascii="Arial"/>
          <w:color w:val="231F20"/>
          <w:spacing w:val="-17"/>
          <w:sz w:val="16"/>
        </w:rPr>
        <w:t> </w:t>
      </w:r>
      <w:r>
        <w:rPr>
          <w:rFonts w:ascii="Arial"/>
          <w:color w:val="231F20"/>
          <w:sz w:val="16"/>
        </w:rPr>
        <w:t>fluid</w:t>
      </w:r>
      <w:r>
        <w:rPr>
          <w:rFonts w:ascii="Arial"/>
          <w:color w:val="231F20"/>
          <w:spacing w:val="-16"/>
          <w:sz w:val="16"/>
        </w:rPr>
        <w:t> </w:t>
      </w:r>
      <w:r>
        <w:rPr>
          <w:rFonts w:ascii="Arial"/>
          <w:color w:val="231F20"/>
          <w:sz w:val="16"/>
        </w:rPr>
        <w:t>volumes.</w:t>
      </w:r>
    </w:p>
    <w:p>
      <w:pPr>
        <w:pStyle w:val="BodyText"/>
        <w:rPr>
          <w:rFonts w:ascii="Arial"/>
          <w:sz w:val="18"/>
        </w:rPr>
      </w:pPr>
    </w:p>
    <w:p>
      <w:pPr>
        <w:pStyle w:val="BodyText"/>
        <w:rPr>
          <w:rFonts w:ascii="Arial"/>
          <w:sz w:val="18"/>
        </w:rPr>
      </w:pPr>
    </w:p>
    <w:p>
      <w:pPr>
        <w:pStyle w:val="BodyText"/>
        <w:spacing w:before="3"/>
        <w:rPr>
          <w:rFonts w:ascii="Arial"/>
          <w:sz w:val="18"/>
        </w:rPr>
      </w:pPr>
    </w:p>
    <w:p>
      <w:pPr>
        <w:pStyle w:val="BodyText"/>
        <w:spacing w:line="249" w:lineRule="auto"/>
        <w:ind w:left="1440"/>
        <w:jc w:val="both"/>
      </w:pPr>
      <w:r>
        <w:rPr>
          <w:color w:val="231F20"/>
        </w:rPr>
        <w:t>disperse throughout the chamber until it becomes mixed in equal concentrations in all areas. Then a sample of</w:t>
      </w:r>
      <w:r>
        <w:rPr>
          <w:color w:val="231F20"/>
          <w:spacing w:val="-16"/>
        </w:rPr>
        <w:t> </w:t>
      </w:r>
      <w:r>
        <w:rPr>
          <w:color w:val="231F20"/>
        </w:rPr>
        <w:t>fluid containing the dispersed substance is removed and</w:t>
      </w:r>
      <w:r>
        <w:rPr>
          <w:color w:val="231F20"/>
          <w:spacing w:val="30"/>
        </w:rPr>
        <w:t> </w:t>
      </w:r>
      <w:r>
        <w:rPr>
          <w:color w:val="231F20"/>
        </w:rPr>
        <w:t>the concentration is analyzed chemically, photoelectrically, or by other means. If none of the substance leaks out of </w:t>
      </w:r>
      <w:r>
        <w:rPr>
          <w:color w:val="231F20"/>
          <w:spacing w:val="-6"/>
        </w:rPr>
        <w:t>the </w:t>
      </w:r>
      <w:r>
        <w:rPr>
          <w:color w:val="231F20"/>
        </w:rPr>
        <w:t>compartment, the total mass of substance in the compart­ ment (Volume B </w:t>
      </w:r>
      <w:r>
        <w:rPr>
          <w:rFonts w:ascii="Consolas" w:hAnsi="Consolas"/>
          <w:color w:val="231F20"/>
        </w:rPr>
        <w:t>× </w:t>
      </w:r>
      <w:r>
        <w:rPr>
          <w:color w:val="231F20"/>
        </w:rPr>
        <w:t>Concentration B) will equal the </w:t>
      </w:r>
      <w:r>
        <w:rPr>
          <w:color w:val="231F20"/>
          <w:spacing w:val="-5"/>
        </w:rPr>
        <w:t>total </w:t>
      </w:r>
      <w:r>
        <w:rPr>
          <w:color w:val="231F20"/>
        </w:rPr>
        <w:t>mass</w:t>
      </w:r>
      <w:r>
        <w:rPr>
          <w:color w:val="231F20"/>
          <w:spacing w:val="-9"/>
        </w:rPr>
        <w:t> </w:t>
      </w:r>
      <w:r>
        <w:rPr>
          <w:color w:val="231F20"/>
        </w:rPr>
        <w:t>of</w:t>
      </w:r>
      <w:r>
        <w:rPr>
          <w:color w:val="231F20"/>
          <w:spacing w:val="-8"/>
        </w:rPr>
        <w:t> </w:t>
      </w:r>
      <w:r>
        <w:rPr>
          <w:color w:val="231F20"/>
        </w:rPr>
        <w:t>the</w:t>
      </w:r>
      <w:r>
        <w:rPr>
          <w:color w:val="231F20"/>
          <w:spacing w:val="-8"/>
        </w:rPr>
        <w:t> </w:t>
      </w:r>
      <w:r>
        <w:rPr>
          <w:color w:val="231F20"/>
        </w:rPr>
        <w:t>substance</w:t>
      </w:r>
      <w:r>
        <w:rPr>
          <w:color w:val="231F20"/>
          <w:spacing w:val="-9"/>
        </w:rPr>
        <w:t> </w:t>
      </w:r>
      <w:r>
        <w:rPr>
          <w:color w:val="231F20"/>
        </w:rPr>
        <w:t>injected</w:t>
      </w:r>
      <w:r>
        <w:rPr>
          <w:color w:val="231F20"/>
          <w:spacing w:val="-8"/>
        </w:rPr>
        <w:t> </w:t>
      </w:r>
      <w:r>
        <w:rPr>
          <w:color w:val="231F20"/>
        </w:rPr>
        <w:t>(Volume</w:t>
      </w:r>
      <w:r>
        <w:rPr>
          <w:color w:val="231F20"/>
          <w:spacing w:val="-8"/>
        </w:rPr>
        <w:t> </w:t>
      </w:r>
      <w:r>
        <w:rPr>
          <w:color w:val="231F20"/>
        </w:rPr>
        <w:t>A</w:t>
      </w:r>
      <w:r>
        <w:rPr>
          <w:color w:val="231F20"/>
          <w:spacing w:val="-10"/>
        </w:rPr>
        <w:t> </w:t>
      </w:r>
      <w:r>
        <w:rPr>
          <w:rFonts w:ascii="Consolas" w:hAnsi="Consolas"/>
          <w:color w:val="231F20"/>
        </w:rPr>
        <w:t>×</w:t>
      </w:r>
      <w:r>
        <w:rPr>
          <w:rFonts w:ascii="Consolas" w:hAnsi="Consolas"/>
          <w:color w:val="231F20"/>
          <w:spacing w:val="-68"/>
        </w:rPr>
        <w:t> </w:t>
      </w:r>
      <w:r>
        <w:rPr>
          <w:color w:val="231F20"/>
        </w:rPr>
        <w:t>Concentration A). By simple rearrangement of the equation, one</w:t>
      </w:r>
      <w:r>
        <w:rPr>
          <w:color w:val="231F20"/>
          <w:spacing w:val="24"/>
        </w:rPr>
        <w:t> </w:t>
      </w:r>
      <w:r>
        <w:rPr>
          <w:color w:val="231F20"/>
          <w:spacing w:val="-5"/>
        </w:rPr>
        <w:t>can </w:t>
      </w:r>
      <w:r>
        <w:rPr>
          <w:color w:val="231F20"/>
        </w:rPr>
        <w:t>calculate the unknown volume of chamber B</w:t>
      </w:r>
      <w:r>
        <w:rPr>
          <w:color w:val="231F20"/>
          <w:spacing w:val="19"/>
        </w:rPr>
        <w:t> </w:t>
      </w:r>
      <w:r>
        <w:rPr>
          <w:color w:val="231F20"/>
        </w:rPr>
        <w:t>as</w:t>
      </w:r>
    </w:p>
    <w:p>
      <w:pPr>
        <w:spacing w:line="99" w:lineRule="exact" w:before="136"/>
        <w:ind w:left="3063" w:right="0" w:firstLine="0"/>
        <w:jc w:val="left"/>
        <w:rPr>
          <w:rFonts w:ascii="Trebuchet MS" w:hAnsi="Trebuchet MS"/>
          <w:sz w:val="18"/>
        </w:rPr>
      </w:pPr>
      <w:r>
        <w:rPr>
          <w:rFonts w:ascii="Trebuchet MS" w:hAnsi="Trebuchet MS"/>
          <w:w w:val="110"/>
          <w:sz w:val="18"/>
          <w:u w:val="single"/>
        </w:rPr>
        <w:t>Volume A </w:t>
      </w:r>
      <w:r>
        <w:rPr>
          <w:rFonts w:ascii="Consolas" w:hAnsi="Consolas"/>
          <w:w w:val="110"/>
          <w:sz w:val="18"/>
          <w:u w:val="single"/>
        </w:rPr>
        <w:t>¥</w:t>
      </w:r>
      <w:r>
        <w:rPr>
          <w:rFonts w:ascii="Consolas" w:hAnsi="Consolas"/>
          <w:spacing w:val="-59"/>
          <w:w w:val="110"/>
          <w:sz w:val="18"/>
          <w:u w:val="single"/>
        </w:rPr>
        <w:t> </w:t>
      </w:r>
      <w:r>
        <w:rPr>
          <w:rFonts w:ascii="Trebuchet MS" w:hAnsi="Trebuchet MS"/>
          <w:w w:val="110"/>
          <w:sz w:val="18"/>
          <w:u w:val="single"/>
        </w:rPr>
        <w:t>Concentration A</w:t>
      </w:r>
    </w:p>
    <w:p>
      <w:pPr>
        <w:pStyle w:val="BodyText"/>
        <w:spacing w:before="8"/>
        <w:rPr>
          <w:rFonts w:ascii="Trebuchet MS"/>
          <w:sz w:val="5"/>
        </w:rPr>
      </w:pPr>
      <w:r>
        <w:rPr/>
        <w:br w:type="column"/>
      </w:r>
      <w:r>
        <w:rPr>
          <w:rFonts w:ascii="Trebuchet MS"/>
          <w:sz w:val="5"/>
        </w:rPr>
      </w:r>
    </w:p>
    <w:p>
      <w:pPr>
        <w:pStyle w:val="BodyText"/>
        <w:ind w:left="319"/>
        <w:rPr>
          <w:rFonts w:ascii="Trebuchet MS"/>
        </w:rPr>
      </w:pPr>
      <w:r>
        <w:rPr>
          <w:rFonts w:ascii="Trebuchet MS"/>
        </w:rPr>
        <w:pict>
          <v:shape style="width:234pt;height:40pt;mso-position-horizontal-relative:char;mso-position-vertical-relative:line" type="#_x0000_t202" filled="true" fillcolor="#e8dac8" stroked="false">
            <w10:anchorlock/>
            <v:textbox inset="0,0,0,0">
              <w:txbxContent>
                <w:p>
                  <w:pPr>
                    <w:spacing w:line="225" w:lineRule="auto" w:before="46"/>
                    <w:ind w:left="60" w:right="1359" w:firstLine="0"/>
                    <w:jc w:val="left"/>
                    <w:rPr>
                      <w:rFonts w:ascii="Trebuchet MS"/>
                      <w:b/>
                      <w:sz w:val="22"/>
                    </w:rPr>
                  </w:pPr>
                  <w:r>
                    <w:rPr>
                      <w:rFonts w:ascii="Trebuchet MS"/>
                      <w:b/>
                      <w:color w:val="231F20"/>
                      <w:w w:val="110"/>
                      <w:sz w:val="22"/>
                    </w:rPr>
                    <w:t>DETERMINATION OF VOLUMES OF SPECIFIC BODY FLUID COMPARTMENTS</w:t>
                  </w:r>
                </w:p>
              </w:txbxContent>
            </v:textbox>
            <v:fill type="solid"/>
          </v:shape>
        </w:pict>
      </w:r>
      <w:r>
        <w:rPr>
          <w:rFonts w:ascii="Trebuchet MS"/>
        </w:rPr>
      </w:r>
    </w:p>
    <w:p>
      <w:pPr>
        <w:pStyle w:val="BodyText"/>
        <w:spacing w:line="249" w:lineRule="auto" w:before="74"/>
        <w:ind w:left="319" w:right="1077"/>
        <w:jc w:val="both"/>
      </w:pPr>
      <w:r>
        <w:rPr/>
        <w:pict>
          <v:line style="position:absolute;mso-position-horizontal-relative:page;mso-position-vertical-relative:paragraph;z-index:251704320" from="324pt,-.97067pt" to="558pt,-.97067pt" stroked="true" strokeweight=".5pt" strokecolor="#231f20">
            <v:stroke dashstyle="solid"/>
            <w10:wrap type="none"/>
          </v:line>
        </w:pict>
      </w:r>
      <w:r>
        <w:rPr>
          <w:rFonts w:ascii="Trebuchet MS"/>
          <w:b/>
          <w:color w:val="231F20"/>
          <w:w w:val="105"/>
          <w:sz w:val="19"/>
        </w:rPr>
        <w:t>Measurement</w:t>
      </w:r>
      <w:r>
        <w:rPr>
          <w:rFonts w:ascii="Trebuchet MS"/>
          <w:b/>
          <w:color w:val="231F20"/>
          <w:spacing w:val="-20"/>
          <w:w w:val="105"/>
          <w:sz w:val="19"/>
        </w:rPr>
        <w:t> </w:t>
      </w:r>
      <w:r>
        <w:rPr>
          <w:rFonts w:ascii="Trebuchet MS"/>
          <w:b/>
          <w:color w:val="231F20"/>
          <w:w w:val="105"/>
          <w:sz w:val="19"/>
        </w:rPr>
        <w:t>of</w:t>
      </w:r>
      <w:r>
        <w:rPr>
          <w:rFonts w:ascii="Trebuchet MS"/>
          <w:b/>
          <w:color w:val="231F20"/>
          <w:spacing w:val="-19"/>
          <w:w w:val="105"/>
          <w:sz w:val="19"/>
        </w:rPr>
        <w:t> </w:t>
      </w:r>
      <w:r>
        <w:rPr>
          <w:rFonts w:ascii="Trebuchet MS"/>
          <w:b/>
          <w:color w:val="231F20"/>
          <w:spacing w:val="-5"/>
          <w:w w:val="105"/>
          <w:sz w:val="19"/>
        </w:rPr>
        <w:t>Total</w:t>
      </w:r>
      <w:r>
        <w:rPr>
          <w:rFonts w:ascii="Trebuchet MS"/>
          <w:b/>
          <w:color w:val="231F20"/>
          <w:spacing w:val="-20"/>
          <w:w w:val="105"/>
          <w:sz w:val="19"/>
        </w:rPr>
        <w:t> </w:t>
      </w:r>
      <w:r>
        <w:rPr>
          <w:rFonts w:ascii="Trebuchet MS"/>
          <w:b/>
          <w:color w:val="231F20"/>
          <w:w w:val="105"/>
          <w:sz w:val="19"/>
        </w:rPr>
        <w:t>Body</w:t>
      </w:r>
      <w:r>
        <w:rPr>
          <w:rFonts w:ascii="Trebuchet MS"/>
          <w:b/>
          <w:color w:val="231F20"/>
          <w:spacing w:val="-19"/>
          <w:w w:val="105"/>
          <w:sz w:val="19"/>
        </w:rPr>
        <w:t> </w:t>
      </w:r>
      <w:r>
        <w:rPr>
          <w:rFonts w:ascii="Trebuchet MS"/>
          <w:b/>
          <w:color w:val="231F20"/>
          <w:spacing w:val="-5"/>
          <w:w w:val="105"/>
          <w:sz w:val="19"/>
        </w:rPr>
        <w:t>Water.</w:t>
      </w:r>
      <w:r>
        <w:rPr>
          <w:rFonts w:ascii="Trebuchet MS"/>
          <w:b/>
          <w:color w:val="231F20"/>
          <w:spacing w:val="5"/>
          <w:w w:val="105"/>
          <w:sz w:val="19"/>
        </w:rPr>
        <w:t> </w:t>
      </w:r>
      <w:r>
        <w:rPr>
          <w:color w:val="231F20"/>
          <w:w w:val="105"/>
        </w:rPr>
        <w:t>Radioactive</w:t>
      </w:r>
      <w:r>
        <w:rPr>
          <w:color w:val="231F20"/>
          <w:spacing w:val="-16"/>
          <w:w w:val="105"/>
        </w:rPr>
        <w:t> </w:t>
      </w:r>
      <w:r>
        <w:rPr>
          <w:color w:val="231F20"/>
          <w:spacing w:val="-4"/>
          <w:w w:val="105"/>
        </w:rPr>
        <w:t>water </w:t>
      </w:r>
      <w:r>
        <w:rPr>
          <w:color w:val="231F20"/>
          <w:w w:val="105"/>
        </w:rPr>
        <w:t>(tritium, </w:t>
      </w:r>
      <w:r>
        <w:rPr>
          <w:color w:val="231F20"/>
          <w:w w:val="105"/>
          <w:position w:val="8"/>
          <w:sz w:val="12"/>
        </w:rPr>
        <w:t>3</w:t>
      </w:r>
      <w:r>
        <w:rPr>
          <w:color w:val="231F20"/>
          <w:w w:val="105"/>
        </w:rPr>
        <w:t>H</w:t>
      </w:r>
      <w:r>
        <w:rPr>
          <w:color w:val="231F20"/>
          <w:w w:val="105"/>
          <w:vertAlign w:val="subscript"/>
        </w:rPr>
        <w:t>2</w:t>
      </w:r>
      <w:r>
        <w:rPr>
          <w:color w:val="231F20"/>
          <w:w w:val="105"/>
          <w:vertAlign w:val="baseline"/>
        </w:rPr>
        <w:t>O) or heavy water (deuterium, </w:t>
      </w:r>
      <w:r>
        <w:rPr>
          <w:color w:val="231F20"/>
          <w:w w:val="105"/>
          <w:position w:val="8"/>
          <w:sz w:val="12"/>
          <w:vertAlign w:val="baseline"/>
        </w:rPr>
        <w:t>2</w:t>
      </w:r>
      <w:r>
        <w:rPr>
          <w:color w:val="231F20"/>
          <w:w w:val="105"/>
          <w:vertAlign w:val="baseline"/>
        </w:rPr>
        <w:t>H</w:t>
      </w:r>
      <w:r>
        <w:rPr>
          <w:color w:val="231F20"/>
          <w:w w:val="105"/>
          <w:vertAlign w:val="subscript"/>
        </w:rPr>
        <w:t>2</w:t>
      </w:r>
      <w:r>
        <w:rPr>
          <w:color w:val="231F20"/>
          <w:w w:val="105"/>
          <w:vertAlign w:val="baseline"/>
        </w:rPr>
        <w:t>O) can</w:t>
      </w:r>
      <w:r>
        <w:rPr>
          <w:color w:val="231F20"/>
          <w:spacing w:val="-36"/>
          <w:w w:val="105"/>
          <w:vertAlign w:val="baseline"/>
        </w:rPr>
        <w:t> </w:t>
      </w:r>
      <w:r>
        <w:rPr>
          <w:color w:val="231F20"/>
          <w:spacing w:val="-14"/>
          <w:w w:val="105"/>
          <w:vertAlign w:val="baseline"/>
        </w:rPr>
        <w:t>be </w:t>
      </w:r>
      <w:r>
        <w:rPr>
          <w:color w:val="231F20"/>
          <w:w w:val="105"/>
          <w:vertAlign w:val="baseline"/>
        </w:rPr>
        <w:t>used to measure total body </w:t>
      </w:r>
      <w:r>
        <w:rPr>
          <w:color w:val="231F20"/>
          <w:spacing w:val="-3"/>
          <w:w w:val="105"/>
          <w:vertAlign w:val="baseline"/>
        </w:rPr>
        <w:t>water. </w:t>
      </w:r>
      <w:r>
        <w:rPr>
          <w:color w:val="231F20"/>
          <w:w w:val="105"/>
          <w:vertAlign w:val="baseline"/>
        </w:rPr>
        <w:t>These forms of water mix with the total body water within a few hours after being injected into the blood, and the dilution principle can be used to calculate total body water </w:t>
      </w:r>
      <w:r>
        <w:rPr>
          <w:color w:val="231F20"/>
          <w:spacing w:val="-3"/>
          <w:w w:val="105"/>
          <w:vertAlign w:val="baseline"/>
        </w:rPr>
        <w:t>(</w:t>
      </w:r>
      <w:hyperlink w:history="true" w:anchor="_bookmark5">
        <w:r>
          <w:rPr>
            <w:b/>
            <w:color w:val="0080AC"/>
            <w:spacing w:val="-3"/>
            <w:w w:val="105"/>
            <w:vertAlign w:val="baseline"/>
          </w:rPr>
          <w:t>Table </w:t>
        </w:r>
        <w:r>
          <w:rPr>
            <w:b/>
            <w:color w:val="0080AC"/>
            <w:w w:val="105"/>
            <w:vertAlign w:val="baseline"/>
          </w:rPr>
          <w:t>25-3</w:t>
        </w:r>
      </w:hyperlink>
      <w:r>
        <w:rPr>
          <w:color w:val="231F20"/>
          <w:w w:val="105"/>
          <w:vertAlign w:val="baseline"/>
        </w:rPr>
        <w:t>). Another substance that has been used to measure total body</w:t>
      </w:r>
      <w:r>
        <w:rPr>
          <w:color w:val="231F20"/>
          <w:spacing w:val="-7"/>
          <w:w w:val="105"/>
          <w:vertAlign w:val="baseline"/>
        </w:rPr>
        <w:t> </w:t>
      </w:r>
      <w:r>
        <w:rPr>
          <w:color w:val="231F20"/>
          <w:w w:val="105"/>
          <w:vertAlign w:val="baseline"/>
        </w:rPr>
        <w:t>water</w:t>
      </w:r>
      <w:r>
        <w:rPr>
          <w:color w:val="231F20"/>
          <w:spacing w:val="-7"/>
          <w:w w:val="105"/>
          <w:vertAlign w:val="baseline"/>
        </w:rPr>
        <w:t> </w:t>
      </w:r>
      <w:r>
        <w:rPr>
          <w:color w:val="231F20"/>
          <w:w w:val="105"/>
          <w:vertAlign w:val="baseline"/>
        </w:rPr>
        <w:t>is</w:t>
      </w:r>
      <w:r>
        <w:rPr>
          <w:color w:val="231F20"/>
          <w:spacing w:val="-7"/>
          <w:w w:val="105"/>
          <w:vertAlign w:val="baseline"/>
        </w:rPr>
        <w:t> </w:t>
      </w:r>
      <w:r>
        <w:rPr>
          <w:i/>
          <w:color w:val="231F20"/>
          <w:w w:val="105"/>
          <w:vertAlign w:val="baseline"/>
        </w:rPr>
        <w:t>antipyrine,</w:t>
      </w:r>
      <w:r>
        <w:rPr>
          <w:i/>
          <w:color w:val="231F20"/>
          <w:spacing w:val="-7"/>
          <w:w w:val="105"/>
          <w:vertAlign w:val="baseline"/>
        </w:rPr>
        <w:t> </w:t>
      </w:r>
      <w:r>
        <w:rPr>
          <w:color w:val="231F20"/>
          <w:w w:val="105"/>
          <w:vertAlign w:val="baseline"/>
        </w:rPr>
        <w:t>which</w:t>
      </w:r>
      <w:r>
        <w:rPr>
          <w:color w:val="231F20"/>
          <w:spacing w:val="-7"/>
          <w:w w:val="105"/>
          <w:vertAlign w:val="baseline"/>
        </w:rPr>
        <w:t> </w:t>
      </w:r>
      <w:r>
        <w:rPr>
          <w:color w:val="231F20"/>
          <w:w w:val="105"/>
          <w:vertAlign w:val="baseline"/>
        </w:rPr>
        <w:t>is</w:t>
      </w:r>
      <w:r>
        <w:rPr>
          <w:color w:val="231F20"/>
          <w:spacing w:val="-7"/>
          <w:w w:val="105"/>
          <w:vertAlign w:val="baseline"/>
        </w:rPr>
        <w:t> </w:t>
      </w:r>
      <w:r>
        <w:rPr>
          <w:color w:val="231F20"/>
          <w:w w:val="105"/>
          <w:vertAlign w:val="baseline"/>
        </w:rPr>
        <w:t>very</w:t>
      </w:r>
      <w:r>
        <w:rPr>
          <w:color w:val="231F20"/>
          <w:spacing w:val="-7"/>
          <w:w w:val="105"/>
          <w:vertAlign w:val="baseline"/>
        </w:rPr>
        <w:t> </w:t>
      </w:r>
      <w:r>
        <w:rPr>
          <w:color w:val="231F20"/>
          <w:w w:val="105"/>
          <w:vertAlign w:val="baseline"/>
        </w:rPr>
        <w:t>lipid</w:t>
      </w:r>
      <w:r>
        <w:rPr>
          <w:color w:val="231F20"/>
          <w:spacing w:val="-7"/>
          <w:w w:val="105"/>
          <w:vertAlign w:val="baseline"/>
        </w:rPr>
        <w:t> </w:t>
      </w:r>
      <w:r>
        <w:rPr>
          <w:color w:val="231F20"/>
          <w:w w:val="105"/>
          <w:vertAlign w:val="baseline"/>
        </w:rPr>
        <w:t>soluble</w:t>
      </w:r>
      <w:r>
        <w:rPr>
          <w:color w:val="231F20"/>
          <w:spacing w:val="-7"/>
          <w:w w:val="105"/>
          <w:vertAlign w:val="baseline"/>
        </w:rPr>
        <w:t> </w:t>
      </w:r>
      <w:r>
        <w:rPr>
          <w:color w:val="231F20"/>
          <w:w w:val="105"/>
          <w:vertAlign w:val="baseline"/>
        </w:rPr>
        <w:t>and can</w:t>
      </w:r>
      <w:r>
        <w:rPr>
          <w:color w:val="231F20"/>
          <w:spacing w:val="-21"/>
          <w:w w:val="105"/>
          <w:vertAlign w:val="baseline"/>
        </w:rPr>
        <w:t> </w:t>
      </w:r>
      <w:r>
        <w:rPr>
          <w:color w:val="231F20"/>
          <w:w w:val="105"/>
          <w:vertAlign w:val="baseline"/>
        </w:rPr>
        <w:t>rapidly</w:t>
      </w:r>
      <w:r>
        <w:rPr>
          <w:color w:val="231F20"/>
          <w:spacing w:val="-20"/>
          <w:w w:val="105"/>
          <w:vertAlign w:val="baseline"/>
        </w:rPr>
        <w:t> </w:t>
      </w:r>
      <w:r>
        <w:rPr>
          <w:color w:val="231F20"/>
          <w:w w:val="105"/>
          <w:vertAlign w:val="baseline"/>
        </w:rPr>
        <w:t>penetrate</w:t>
      </w:r>
      <w:r>
        <w:rPr>
          <w:color w:val="231F20"/>
          <w:spacing w:val="-20"/>
          <w:w w:val="105"/>
          <w:vertAlign w:val="baseline"/>
        </w:rPr>
        <w:t> </w:t>
      </w:r>
      <w:r>
        <w:rPr>
          <w:color w:val="231F20"/>
          <w:w w:val="105"/>
          <w:vertAlign w:val="baseline"/>
        </w:rPr>
        <w:t>cell</w:t>
      </w:r>
      <w:r>
        <w:rPr>
          <w:color w:val="231F20"/>
          <w:spacing w:val="-21"/>
          <w:w w:val="105"/>
          <w:vertAlign w:val="baseline"/>
        </w:rPr>
        <w:t> </w:t>
      </w:r>
      <w:r>
        <w:rPr>
          <w:color w:val="231F20"/>
          <w:w w:val="105"/>
          <w:vertAlign w:val="baseline"/>
        </w:rPr>
        <w:t>membranes</w:t>
      </w:r>
      <w:r>
        <w:rPr>
          <w:color w:val="231F20"/>
          <w:spacing w:val="-20"/>
          <w:w w:val="105"/>
          <w:vertAlign w:val="baseline"/>
        </w:rPr>
        <w:t> </w:t>
      </w:r>
      <w:r>
        <w:rPr>
          <w:color w:val="231F20"/>
          <w:w w:val="105"/>
          <w:vertAlign w:val="baseline"/>
        </w:rPr>
        <w:t>and</w:t>
      </w:r>
      <w:r>
        <w:rPr>
          <w:color w:val="231F20"/>
          <w:spacing w:val="-20"/>
          <w:w w:val="105"/>
          <w:vertAlign w:val="baseline"/>
        </w:rPr>
        <w:t> </w:t>
      </w:r>
      <w:r>
        <w:rPr>
          <w:color w:val="231F20"/>
          <w:w w:val="105"/>
          <w:vertAlign w:val="baseline"/>
        </w:rPr>
        <w:t>distribute</w:t>
      </w:r>
      <w:r>
        <w:rPr>
          <w:color w:val="231F20"/>
          <w:spacing w:val="-20"/>
          <w:w w:val="105"/>
          <w:vertAlign w:val="baseline"/>
        </w:rPr>
        <w:t> </w:t>
      </w:r>
      <w:r>
        <w:rPr>
          <w:color w:val="231F20"/>
          <w:w w:val="105"/>
          <w:vertAlign w:val="baseline"/>
        </w:rPr>
        <w:t>itself uniformly throughout the intracellular and extracellular compartments.</w:t>
      </w:r>
    </w:p>
    <w:p>
      <w:pPr>
        <w:spacing w:before="244"/>
        <w:ind w:left="319" w:right="0" w:firstLine="0"/>
        <w:jc w:val="both"/>
        <w:rPr>
          <w:sz w:val="20"/>
        </w:rPr>
      </w:pPr>
      <w:r>
        <w:rPr>
          <w:rFonts w:ascii="Trebuchet MS"/>
          <w:b/>
          <w:color w:val="231F20"/>
          <w:sz w:val="19"/>
        </w:rPr>
        <w:t>Measurement of Extracellular Fluid Volume. </w:t>
      </w:r>
      <w:r>
        <w:rPr>
          <w:color w:val="231F20"/>
          <w:sz w:val="20"/>
        </w:rPr>
        <w:t>The</w:t>
      </w:r>
    </w:p>
    <w:p>
      <w:pPr>
        <w:spacing w:after="0"/>
        <w:jc w:val="both"/>
        <w:rPr>
          <w:sz w:val="20"/>
        </w:rPr>
        <w:sectPr>
          <w:type w:val="continuous"/>
          <w:pgSz w:w="12240" w:h="15660"/>
          <w:pgMar w:top="0" w:bottom="760" w:left="0" w:right="0"/>
          <w:cols w:num="2" w:equalWidth="0">
            <w:col w:w="6121" w:space="40"/>
            <w:col w:w="6079"/>
          </w:cols>
        </w:sectPr>
      </w:pPr>
    </w:p>
    <w:p>
      <w:pPr>
        <w:spacing w:before="18"/>
        <w:ind w:left="0" w:right="0" w:firstLine="0"/>
        <w:jc w:val="right"/>
        <w:rPr>
          <w:rFonts w:ascii="Trebuchet MS"/>
          <w:sz w:val="18"/>
        </w:rPr>
      </w:pPr>
      <w:r>
        <w:rPr>
          <w:rFonts w:ascii="Trebuchet MS"/>
          <w:w w:val="110"/>
          <w:sz w:val="18"/>
        </w:rPr>
        <w:t>Volume B =</w:t>
      </w:r>
    </w:p>
    <w:p>
      <w:pPr>
        <w:spacing w:before="158"/>
        <w:ind w:left="564" w:right="0" w:firstLine="0"/>
        <w:jc w:val="left"/>
        <w:rPr>
          <w:rFonts w:ascii="Trebuchet MS"/>
          <w:sz w:val="18"/>
        </w:rPr>
      </w:pPr>
      <w:r>
        <w:rPr/>
        <w:br w:type="column"/>
      </w:r>
      <w:r>
        <w:rPr>
          <w:rFonts w:ascii="Trebuchet MS"/>
          <w:w w:val="105"/>
          <w:sz w:val="18"/>
        </w:rPr>
        <w:t>Concentration</w:t>
      </w:r>
      <w:r>
        <w:rPr>
          <w:rFonts w:ascii="Trebuchet MS"/>
          <w:spacing w:val="-34"/>
          <w:w w:val="105"/>
          <w:sz w:val="18"/>
        </w:rPr>
        <w:t> </w:t>
      </w:r>
      <w:r>
        <w:rPr>
          <w:rFonts w:ascii="Trebuchet MS"/>
          <w:w w:val="105"/>
          <w:sz w:val="18"/>
        </w:rPr>
        <w:t>B</w:t>
      </w:r>
    </w:p>
    <w:p>
      <w:pPr>
        <w:pStyle w:val="BodyText"/>
        <w:spacing w:line="249" w:lineRule="auto"/>
        <w:ind w:left="1499" w:right="1094"/>
      </w:pPr>
      <w:r>
        <w:rPr/>
        <w:br w:type="column"/>
      </w:r>
      <w:r>
        <w:rPr>
          <w:color w:val="231F20"/>
        </w:rPr>
        <w:t>volume of extracellular fluid can be estimated using any of</w:t>
      </w:r>
      <w:r>
        <w:rPr>
          <w:color w:val="231F20"/>
          <w:spacing w:val="8"/>
        </w:rPr>
        <w:t> </w:t>
      </w:r>
      <w:r>
        <w:rPr>
          <w:color w:val="231F20"/>
        </w:rPr>
        <w:t>several</w:t>
      </w:r>
      <w:r>
        <w:rPr>
          <w:color w:val="231F20"/>
          <w:spacing w:val="9"/>
        </w:rPr>
        <w:t> </w:t>
      </w:r>
      <w:r>
        <w:rPr>
          <w:color w:val="231F20"/>
        </w:rPr>
        <w:t>substances</w:t>
      </w:r>
      <w:r>
        <w:rPr>
          <w:color w:val="231F20"/>
          <w:spacing w:val="9"/>
        </w:rPr>
        <w:t> </w:t>
      </w:r>
      <w:r>
        <w:rPr>
          <w:color w:val="231F20"/>
        </w:rPr>
        <w:t>that</w:t>
      </w:r>
      <w:r>
        <w:rPr>
          <w:color w:val="231F20"/>
          <w:spacing w:val="9"/>
        </w:rPr>
        <w:t> </w:t>
      </w:r>
      <w:r>
        <w:rPr>
          <w:color w:val="231F20"/>
        </w:rPr>
        <w:t>disperse</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plasma</w:t>
      </w:r>
      <w:r>
        <w:rPr>
          <w:color w:val="231F20"/>
          <w:spacing w:val="9"/>
        </w:rPr>
        <w:t> </w:t>
      </w:r>
      <w:r>
        <w:rPr>
          <w:color w:val="231F20"/>
          <w:spacing w:val="-4"/>
        </w:rPr>
        <w:t>and</w:t>
      </w:r>
    </w:p>
    <w:p>
      <w:pPr>
        <w:spacing w:after="0" w:line="249" w:lineRule="auto"/>
        <w:sectPr>
          <w:type w:val="continuous"/>
          <w:pgSz w:w="12240" w:h="15660"/>
          <w:pgMar w:top="0" w:bottom="760" w:left="0" w:right="0"/>
          <w:cols w:num="3" w:equalWidth="0">
            <w:col w:w="2999" w:space="40"/>
            <w:col w:w="1903" w:space="39"/>
            <w:col w:w="7259"/>
          </w:cols>
        </w:sectPr>
      </w:pPr>
    </w:p>
    <w:p>
      <w:pPr>
        <w:pStyle w:val="BodyText"/>
        <w:spacing w:line="249" w:lineRule="auto"/>
        <w:ind w:left="1440" w:firstLine="240"/>
        <w:jc w:val="both"/>
      </w:pPr>
      <w:r>
        <w:rPr>
          <w:color w:val="231F20"/>
          <w:w w:val="105"/>
        </w:rPr>
        <w:t>Note that all one needs to know for this calculation is (1) the total amount of substance injected into the chamber (the numerator of the equation) and (2) </w:t>
      </w:r>
      <w:r>
        <w:rPr>
          <w:color w:val="231F20"/>
          <w:spacing w:val="-6"/>
          <w:w w:val="105"/>
        </w:rPr>
        <w:t>the </w:t>
      </w:r>
      <w:r>
        <w:rPr>
          <w:color w:val="231F20"/>
          <w:w w:val="105"/>
        </w:rPr>
        <w:t>concentration of the fluid in the chamber after the </w:t>
      </w:r>
      <w:r>
        <w:rPr>
          <w:color w:val="231F20"/>
          <w:spacing w:val="-3"/>
          <w:w w:val="105"/>
        </w:rPr>
        <w:t>sub­ </w:t>
      </w:r>
      <w:r>
        <w:rPr>
          <w:color w:val="231F20"/>
          <w:w w:val="105"/>
        </w:rPr>
        <w:t>stance has been dispersed (the</w:t>
      </w:r>
      <w:r>
        <w:rPr>
          <w:color w:val="231F20"/>
          <w:spacing w:val="9"/>
          <w:w w:val="105"/>
        </w:rPr>
        <w:t> </w:t>
      </w:r>
      <w:r>
        <w:rPr>
          <w:color w:val="231F20"/>
          <w:w w:val="105"/>
        </w:rPr>
        <w:t>denominator).</w:t>
      </w:r>
    </w:p>
    <w:p>
      <w:pPr>
        <w:pStyle w:val="BodyText"/>
        <w:spacing w:line="249" w:lineRule="auto" w:before="4"/>
        <w:ind w:left="1440" w:firstLine="240"/>
        <w:jc w:val="both"/>
      </w:pPr>
      <w:r>
        <w:rPr>
          <w:color w:val="231F20"/>
          <w:spacing w:val="-3"/>
          <w:w w:val="105"/>
        </w:rPr>
        <w:t>For </w:t>
      </w:r>
      <w:r>
        <w:rPr>
          <w:color w:val="231F20"/>
          <w:w w:val="105"/>
        </w:rPr>
        <w:t>example, if 1 milliliter of a solution </w:t>
      </w:r>
      <w:r>
        <w:rPr>
          <w:color w:val="231F20"/>
          <w:spacing w:val="-3"/>
          <w:w w:val="105"/>
        </w:rPr>
        <w:t>containing </w:t>
      </w:r>
      <w:r>
        <w:rPr>
          <w:color w:val="231F20"/>
          <w:w w:val="105"/>
        </w:rPr>
        <w:t>10</w:t>
      </w:r>
      <w:r>
        <w:rPr>
          <w:color w:val="231F20"/>
          <w:spacing w:val="-9"/>
          <w:w w:val="105"/>
        </w:rPr>
        <w:t> </w:t>
      </w:r>
      <w:r>
        <w:rPr>
          <w:color w:val="231F20"/>
          <w:w w:val="105"/>
        </w:rPr>
        <w:t>mg/ml</w:t>
      </w:r>
      <w:r>
        <w:rPr>
          <w:color w:val="231F20"/>
          <w:spacing w:val="-19"/>
          <w:w w:val="105"/>
        </w:rPr>
        <w:t> </w:t>
      </w:r>
      <w:r>
        <w:rPr>
          <w:color w:val="231F20"/>
          <w:w w:val="105"/>
        </w:rPr>
        <w:t>of</w:t>
      </w:r>
      <w:r>
        <w:rPr>
          <w:color w:val="231F20"/>
          <w:spacing w:val="-19"/>
          <w:w w:val="105"/>
        </w:rPr>
        <w:t> </w:t>
      </w:r>
      <w:r>
        <w:rPr>
          <w:color w:val="231F20"/>
          <w:w w:val="105"/>
        </w:rPr>
        <w:t>dye</w:t>
      </w:r>
      <w:r>
        <w:rPr>
          <w:color w:val="231F20"/>
          <w:spacing w:val="-19"/>
          <w:w w:val="105"/>
        </w:rPr>
        <w:t> </w:t>
      </w:r>
      <w:r>
        <w:rPr>
          <w:color w:val="231F20"/>
          <w:w w:val="105"/>
        </w:rPr>
        <w:t>is</w:t>
      </w:r>
      <w:r>
        <w:rPr>
          <w:color w:val="231F20"/>
          <w:spacing w:val="-18"/>
          <w:w w:val="105"/>
        </w:rPr>
        <w:t> </w:t>
      </w:r>
      <w:r>
        <w:rPr>
          <w:color w:val="231F20"/>
          <w:w w:val="105"/>
        </w:rPr>
        <w:t>dispersed</w:t>
      </w:r>
      <w:r>
        <w:rPr>
          <w:color w:val="231F20"/>
          <w:spacing w:val="-19"/>
          <w:w w:val="105"/>
        </w:rPr>
        <w:t> </w:t>
      </w:r>
      <w:r>
        <w:rPr>
          <w:color w:val="231F20"/>
          <w:w w:val="105"/>
        </w:rPr>
        <w:t>into</w:t>
      </w:r>
      <w:r>
        <w:rPr>
          <w:color w:val="231F20"/>
          <w:spacing w:val="-19"/>
          <w:w w:val="105"/>
        </w:rPr>
        <w:t> </w:t>
      </w:r>
      <w:r>
        <w:rPr>
          <w:color w:val="231F20"/>
          <w:w w:val="105"/>
        </w:rPr>
        <w:t>chamber</w:t>
      </w:r>
      <w:r>
        <w:rPr>
          <w:color w:val="231F20"/>
          <w:spacing w:val="-19"/>
          <w:w w:val="105"/>
        </w:rPr>
        <w:t> </w:t>
      </w:r>
      <w:r>
        <w:rPr>
          <w:color w:val="231F20"/>
          <w:w w:val="105"/>
        </w:rPr>
        <w:t>B</w:t>
      </w:r>
      <w:r>
        <w:rPr>
          <w:color w:val="231F20"/>
          <w:spacing w:val="-19"/>
          <w:w w:val="105"/>
        </w:rPr>
        <w:t> </w:t>
      </w:r>
      <w:r>
        <w:rPr>
          <w:color w:val="231F20"/>
          <w:w w:val="105"/>
        </w:rPr>
        <w:t>and</w:t>
      </w:r>
      <w:r>
        <w:rPr>
          <w:color w:val="231F20"/>
          <w:spacing w:val="-18"/>
          <w:w w:val="105"/>
        </w:rPr>
        <w:t> </w:t>
      </w:r>
      <w:r>
        <w:rPr>
          <w:color w:val="231F20"/>
          <w:w w:val="105"/>
        </w:rPr>
        <w:t>the</w:t>
      </w:r>
      <w:r>
        <w:rPr>
          <w:color w:val="231F20"/>
          <w:spacing w:val="-19"/>
          <w:w w:val="105"/>
        </w:rPr>
        <w:t> </w:t>
      </w:r>
      <w:r>
        <w:rPr>
          <w:color w:val="231F20"/>
          <w:spacing w:val="-4"/>
          <w:w w:val="105"/>
        </w:rPr>
        <w:t>final </w:t>
      </w:r>
      <w:r>
        <w:rPr>
          <w:color w:val="231F20"/>
          <w:w w:val="105"/>
        </w:rPr>
        <w:t>concentration in the chamber is 0.01 milligram for </w:t>
      </w:r>
      <w:r>
        <w:rPr>
          <w:color w:val="231F20"/>
          <w:spacing w:val="-5"/>
          <w:w w:val="105"/>
        </w:rPr>
        <w:t>each </w:t>
      </w:r>
      <w:r>
        <w:rPr>
          <w:color w:val="231F20"/>
          <w:w w:val="105"/>
        </w:rPr>
        <w:t>milliliter of fluid, the unknown volume of the chamber can be calculated as</w:t>
      </w:r>
      <w:r>
        <w:rPr>
          <w:color w:val="231F20"/>
          <w:spacing w:val="5"/>
          <w:w w:val="105"/>
        </w:rPr>
        <w:t> </w:t>
      </w:r>
      <w:r>
        <w:rPr>
          <w:color w:val="231F20"/>
          <w:w w:val="105"/>
        </w:rPr>
        <w:t>follows:</w:t>
      </w:r>
    </w:p>
    <w:p>
      <w:pPr>
        <w:spacing w:line="118" w:lineRule="exact" w:before="142"/>
        <w:ind w:left="3203" w:right="0" w:firstLine="0"/>
        <w:jc w:val="left"/>
        <w:rPr>
          <w:rFonts w:ascii="Trebuchet MS" w:hAnsi="Trebuchet MS"/>
          <w:sz w:val="18"/>
        </w:rPr>
      </w:pPr>
      <w:r>
        <w:rPr>
          <w:rFonts w:ascii="Trebuchet MS" w:hAnsi="Trebuchet MS"/>
          <w:spacing w:val="10"/>
          <w:w w:val="106"/>
          <w:sz w:val="18"/>
          <w:u w:val="single"/>
        </w:rPr>
        <w:t>1</w:t>
      </w:r>
      <w:r>
        <w:rPr>
          <w:rFonts w:ascii="Trebuchet MS" w:hAnsi="Trebuchet MS"/>
          <w:spacing w:val="-1"/>
          <w:w w:val="107"/>
          <w:sz w:val="18"/>
          <w:u w:val="single"/>
        </w:rPr>
        <w:t>m</w:t>
      </w:r>
      <w:r>
        <w:rPr>
          <w:rFonts w:ascii="Trebuchet MS" w:hAnsi="Trebuchet MS"/>
          <w:w w:val="94"/>
          <w:sz w:val="18"/>
          <w:u w:val="single"/>
        </w:rPr>
        <w:t>l</w:t>
      </w:r>
      <w:r>
        <w:rPr>
          <w:rFonts w:ascii="Trebuchet MS" w:hAnsi="Trebuchet MS"/>
          <w:spacing w:val="-11"/>
          <w:sz w:val="18"/>
          <w:u w:val="single"/>
        </w:rPr>
        <w:t> </w:t>
      </w:r>
      <w:r>
        <w:rPr>
          <w:rFonts w:ascii="Consolas" w:hAnsi="Consolas"/>
          <w:w w:val="99"/>
          <w:sz w:val="18"/>
          <w:u w:val="single"/>
        </w:rPr>
        <w:t>¥</w:t>
      </w:r>
      <w:r>
        <w:rPr>
          <w:rFonts w:ascii="Consolas" w:hAnsi="Consolas"/>
          <w:spacing w:val="-56"/>
          <w:sz w:val="18"/>
          <w:u w:val="single"/>
        </w:rPr>
        <w:t> </w:t>
      </w:r>
      <w:r>
        <w:rPr>
          <w:rFonts w:ascii="Trebuchet MS" w:hAnsi="Trebuchet MS"/>
          <w:spacing w:val="1"/>
          <w:w w:val="106"/>
          <w:sz w:val="18"/>
          <w:u w:val="single"/>
        </w:rPr>
        <w:t>1</w:t>
      </w:r>
      <w:r>
        <w:rPr>
          <w:rFonts w:ascii="Trebuchet MS" w:hAnsi="Trebuchet MS"/>
          <w:w w:val="106"/>
          <w:sz w:val="18"/>
          <w:u w:val="single"/>
        </w:rPr>
        <w:t>0</w:t>
      </w:r>
      <w:r>
        <w:rPr>
          <w:rFonts w:ascii="Trebuchet MS" w:hAnsi="Trebuchet MS"/>
          <w:spacing w:val="-16"/>
          <w:sz w:val="18"/>
          <w:u w:val="single"/>
        </w:rPr>
        <w:t> </w:t>
      </w:r>
      <w:r>
        <w:rPr>
          <w:rFonts w:ascii="Trebuchet MS" w:hAnsi="Trebuchet MS"/>
          <w:w w:val="107"/>
          <w:sz w:val="18"/>
          <w:u w:val="single"/>
        </w:rPr>
        <w:t>m</w:t>
      </w:r>
      <w:r>
        <w:rPr>
          <w:rFonts w:ascii="Trebuchet MS" w:hAnsi="Trebuchet MS"/>
          <w:spacing w:val="11"/>
          <w:w w:val="121"/>
          <w:sz w:val="18"/>
          <w:u w:val="single"/>
        </w:rPr>
        <w:t>g</w:t>
      </w:r>
      <w:r>
        <w:rPr>
          <w:rFonts w:ascii="Trebuchet MS" w:hAnsi="Trebuchet MS"/>
          <w:spacing w:val="9"/>
          <w:w w:val="53"/>
          <w:sz w:val="18"/>
          <w:u w:val="single"/>
        </w:rPr>
        <w:t>/</w:t>
      </w:r>
      <w:r>
        <w:rPr>
          <w:rFonts w:ascii="Trebuchet MS" w:hAnsi="Trebuchet MS"/>
          <w:w w:val="103"/>
          <w:sz w:val="18"/>
          <w:u w:val="single"/>
        </w:rPr>
        <w:t>ml</w:t>
      </w:r>
    </w:p>
    <w:p>
      <w:pPr>
        <w:pStyle w:val="BodyText"/>
        <w:spacing w:line="249" w:lineRule="auto"/>
        <w:ind w:left="319" w:right="1077"/>
        <w:jc w:val="both"/>
      </w:pPr>
      <w:r>
        <w:rPr/>
        <w:br w:type="column"/>
      </w:r>
      <w:r>
        <w:rPr>
          <w:color w:val="231F20"/>
        </w:rPr>
        <w:t>interstitial fluid but do not readily permeate the cell mem­ brane. They include radioactive sodium, radioactive chlo­ ride, radioactive iothalamate, thiosulfate ion, and inulin. When any one of these substances is injected into </w:t>
      </w:r>
      <w:r>
        <w:rPr>
          <w:color w:val="231F20"/>
          <w:spacing w:val="-5"/>
        </w:rPr>
        <w:t>the </w:t>
      </w:r>
      <w:r>
        <w:rPr>
          <w:color w:val="231F20"/>
        </w:rPr>
        <w:t>blood, it usually disperses almost completely </w:t>
      </w:r>
      <w:r>
        <w:rPr>
          <w:color w:val="231F20"/>
          <w:spacing w:val="-3"/>
        </w:rPr>
        <w:t>throughout </w:t>
      </w:r>
      <w:r>
        <w:rPr>
          <w:color w:val="231F20"/>
        </w:rPr>
        <w:t>the extracellular fluid within 30 to 60 minutes. Some </w:t>
      </w:r>
      <w:r>
        <w:rPr>
          <w:color w:val="231F20"/>
          <w:spacing w:val="-6"/>
        </w:rPr>
        <w:t>of </w:t>
      </w:r>
      <w:r>
        <w:rPr>
          <w:color w:val="231F20"/>
        </w:rPr>
        <w:t>these substances, however, such as radioactive sodium, may</w:t>
      </w:r>
      <w:r>
        <w:rPr>
          <w:color w:val="231F20"/>
          <w:spacing w:val="-6"/>
        </w:rPr>
        <w:t> </w:t>
      </w:r>
      <w:r>
        <w:rPr>
          <w:color w:val="231F20"/>
        </w:rPr>
        <w:t>diffuse</w:t>
      </w:r>
      <w:r>
        <w:rPr>
          <w:color w:val="231F20"/>
          <w:spacing w:val="-5"/>
        </w:rPr>
        <w:t> </w:t>
      </w:r>
      <w:r>
        <w:rPr>
          <w:color w:val="231F20"/>
        </w:rPr>
        <w:t>into</w:t>
      </w:r>
      <w:r>
        <w:rPr>
          <w:color w:val="231F20"/>
          <w:spacing w:val="-5"/>
        </w:rPr>
        <w:t> </w:t>
      </w:r>
      <w:r>
        <w:rPr>
          <w:color w:val="231F20"/>
        </w:rPr>
        <w:t>the</w:t>
      </w:r>
      <w:r>
        <w:rPr>
          <w:color w:val="231F20"/>
          <w:spacing w:val="-6"/>
        </w:rPr>
        <w:t> </w:t>
      </w:r>
      <w:r>
        <w:rPr>
          <w:color w:val="231F20"/>
        </w:rPr>
        <w:t>cells</w:t>
      </w:r>
      <w:r>
        <w:rPr>
          <w:color w:val="231F20"/>
          <w:spacing w:val="-5"/>
        </w:rPr>
        <w:t> </w:t>
      </w:r>
      <w:r>
        <w:rPr>
          <w:color w:val="231F20"/>
        </w:rPr>
        <w:t>in</w:t>
      </w:r>
      <w:r>
        <w:rPr>
          <w:color w:val="231F20"/>
          <w:spacing w:val="-5"/>
        </w:rPr>
        <w:t> </w:t>
      </w:r>
      <w:r>
        <w:rPr>
          <w:color w:val="231F20"/>
        </w:rPr>
        <w:t>small</w:t>
      </w:r>
      <w:r>
        <w:rPr>
          <w:color w:val="231F20"/>
          <w:spacing w:val="-5"/>
        </w:rPr>
        <w:t> </w:t>
      </w:r>
      <w:r>
        <w:rPr>
          <w:color w:val="231F20"/>
        </w:rPr>
        <w:t>amounts.</w:t>
      </w:r>
      <w:r>
        <w:rPr>
          <w:color w:val="231F20"/>
          <w:spacing w:val="-6"/>
        </w:rPr>
        <w:t> </w:t>
      </w:r>
      <w:r>
        <w:rPr>
          <w:color w:val="231F20"/>
        </w:rPr>
        <w:t>Therefore,</w:t>
      </w:r>
      <w:r>
        <w:rPr>
          <w:color w:val="231F20"/>
          <w:spacing w:val="-5"/>
        </w:rPr>
        <w:t> </w:t>
      </w:r>
      <w:r>
        <w:rPr>
          <w:color w:val="231F20"/>
        </w:rPr>
        <w:t>one frequently speaks of the </w:t>
      </w:r>
      <w:r>
        <w:rPr>
          <w:i/>
          <w:color w:val="231F20"/>
        </w:rPr>
        <w:t>sodium space </w:t>
      </w:r>
      <w:r>
        <w:rPr>
          <w:color w:val="231F20"/>
        </w:rPr>
        <w:t>or the </w:t>
      </w:r>
      <w:r>
        <w:rPr>
          <w:i/>
          <w:color w:val="231F20"/>
        </w:rPr>
        <w:t>inulin space, </w:t>
      </w:r>
      <w:r>
        <w:rPr>
          <w:color w:val="231F20"/>
        </w:rPr>
        <w:t>instead of calling the measurement the true extracellular fluid</w:t>
      </w:r>
      <w:r>
        <w:rPr>
          <w:color w:val="231F20"/>
          <w:spacing w:val="5"/>
        </w:rPr>
        <w:t> </w:t>
      </w:r>
      <w:r>
        <w:rPr>
          <w:color w:val="231F20"/>
        </w:rPr>
        <w:t>volume.</w:t>
      </w:r>
    </w:p>
    <w:p>
      <w:pPr>
        <w:spacing w:after="0" w:line="249" w:lineRule="auto"/>
        <w:jc w:val="both"/>
        <w:sectPr>
          <w:type w:val="continuous"/>
          <w:pgSz w:w="12240" w:h="15660"/>
          <w:pgMar w:top="0" w:bottom="760" w:left="0" w:right="0"/>
          <w:cols w:num="2" w:equalWidth="0">
            <w:col w:w="6121" w:space="40"/>
            <w:col w:w="6079"/>
          </w:cols>
        </w:sectPr>
      </w:pPr>
    </w:p>
    <w:p>
      <w:pPr>
        <w:spacing w:before="0"/>
        <w:ind w:left="0" w:right="0" w:firstLine="0"/>
        <w:jc w:val="right"/>
        <w:rPr>
          <w:rFonts w:ascii="Trebuchet MS"/>
          <w:sz w:val="18"/>
        </w:rPr>
      </w:pPr>
      <w:r>
        <w:rPr>
          <w:rFonts w:ascii="Trebuchet MS"/>
          <w:w w:val="110"/>
          <w:sz w:val="18"/>
        </w:rPr>
        <w:t>Volume B =</w:t>
      </w:r>
    </w:p>
    <w:p>
      <w:pPr>
        <w:pStyle w:val="ListParagraph"/>
        <w:numPr>
          <w:ilvl w:val="1"/>
          <w:numId w:val="2"/>
        </w:numPr>
        <w:tabs>
          <w:tab w:pos="566" w:val="left" w:leader="none"/>
        </w:tabs>
        <w:spacing w:line="240" w:lineRule="auto" w:before="140" w:after="0"/>
        <w:ind w:left="565" w:right="0" w:hanging="364"/>
        <w:jc w:val="left"/>
        <w:rPr>
          <w:rFonts w:ascii="Trebuchet MS"/>
          <w:sz w:val="16"/>
        </w:rPr>
      </w:pPr>
      <w:r>
        <w:rPr>
          <w:rFonts w:ascii="Trebuchet MS"/>
          <w:w w:val="112"/>
          <w:sz w:val="18"/>
        </w:rPr>
        <w:br w:type="column"/>
        <w:t>m</w:t>
      </w:r>
      <w:r>
        <w:rPr>
          <w:rFonts w:ascii="Trebuchet MS"/>
          <w:spacing w:val="11"/>
          <w:w w:val="112"/>
          <w:sz w:val="18"/>
        </w:rPr>
        <w:t>g</w:t>
      </w:r>
      <w:r>
        <w:rPr>
          <w:rFonts w:ascii="Trebuchet MS"/>
          <w:spacing w:val="9"/>
          <w:w w:val="53"/>
          <w:sz w:val="18"/>
        </w:rPr>
        <w:t>/</w:t>
      </w:r>
      <w:r>
        <w:rPr>
          <w:rFonts w:ascii="Trebuchet MS"/>
          <w:w w:val="103"/>
          <w:sz w:val="18"/>
        </w:rPr>
        <w:t>ml</w:t>
      </w:r>
    </w:p>
    <w:p>
      <w:pPr>
        <w:spacing w:before="0"/>
        <w:ind w:left="195" w:right="0" w:firstLine="0"/>
        <w:jc w:val="left"/>
        <w:rPr>
          <w:rFonts w:ascii="Trebuchet MS"/>
          <w:sz w:val="18"/>
        </w:rPr>
      </w:pPr>
      <w:r>
        <w:rPr/>
        <w:br w:type="column"/>
      </w:r>
      <w:r>
        <w:rPr>
          <w:rFonts w:ascii="Trebuchet MS"/>
          <w:w w:val="105"/>
          <w:sz w:val="18"/>
        </w:rPr>
        <w:t>= 1000</w:t>
      </w:r>
      <w:r>
        <w:rPr>
          <w:rFonts w:ascii="Trebuchet MS"/>
          <w:spacing w:val="-36"/>
          <w:w w:val="105"/>
          <w:sz w:val="18"/>
        </w:rPr>
        <w:t> </w:t>
      </w:r>
      <w:r>
        <w:rPr>
          <w:rFonts w:ascii="Trebuchet MS"/>
          <w:spacing w:val="-9"/>
          <w:w w:val="105"/>
          <w:sz w:val="18"/>
        </w:rPr>
        <w:t>ml</w:t>
      </w:r>
    </w:p>
    <w:p>
      <w:pPr>
        <w:spacing w:before="224"/>
        <w:ind w:left="1141" w:right="1123" w:firstLine="0"/>
        <w:jc w:val="center"/>
        <w:rPr>
          <w:sz w:val="20"/>
        </w:rPr>
      </w:pPr>
      <w:r>
        <w:rPr/>
        <w:br w:type="column"/>
      </w:r>
      <w:r>
        <w:rPr>
          <w:rFonts w:ascii="Trebuchet MS"/>
          <w:b/>
          <w:color w:val="231F20"/>
          <w:sz w:val="19"/>
        </w:rPr>
        <w:t>Calculation of Intracellular Volume. </w:t>
      </w:r>
      <w:r>
        <w:rPr>
          <w:color w:val="231F20"/>
          <w:sz w:val="20"/>
        </w:rPr>
        <w:t>The intracellular</w:t>
      </w:r>
    </w:p>
    <w:p>
      <w:pPr>
        <w:spacing w:after="0"/>
        <w:jc w:val="center"/>
        <w:rPr>
          <w:sz w:val="20"/>
        </w:rPr>
        <w:sectPr>
          <w:type w:val="continuous"/>
          <w:pgSz w:w="12240" w:h="15660"/>
          <w:pgMar w:top="0" w:bottom="760" w:left="0" w:right="0"/>
          <w:cols w:num="4" w:equalWidth="0">
            <w:col w:w="3159" w:space="40"/>
            <w:col w:w="1117" w:space="39"/>
            <w:col w:w="987" w:space="40"/>
            <w:col w:w="6858"/>
          </w:cols>
        </w:sectPr>
      </w:pPr>
    </w:p>
    <w:p>
      <w:pPr>
        <w:pStyle w:val="BodyText"/>
        <w:spacing w:line="249" w:lineRule="auto" w:before="10"/>
        <w:ind w:left="1440" w:firstLine="240"/>
        <w:jc w:val="both"/>
      </w:pPr>
      <w:r>
        <w:rPr/>
        <w:pict>
          <v:group style="position:absolute;margin-left:0pt;margin-top:0pt;width:612pt;height:180pt;mso-position-horizontal-relative:page;mso-position-vertical-relative:page;z-index:-27370291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w10:wrap type="none"/>
          </v:group>
        </w:pict>
      </w:r>
      <w:r>
        <w:rPr>
          <w:color w:val="231F20"/>
          <w:w w:val="105"/>
        </w:rPr>
        <w:t>This method can be used to measure the volume     of</w:t>
      </w:r>
      <w:r>
        <w:rPr>
          <w:color w:val="231F20"/>
          <w:spacing w:val="37"/>
          <w:w w:val="105"/>
        </w:rPr>
        <w:t> </w:t>
      </w:r>
      <w:r>
        <w:rPr>
          <w:color w:val="231F20"/>
          <w:w w:val="105"/>
        </w:rPr>
        <w:t>virtually</w:t>
      </w:r>
      <w:r>
        <w:rPr>
          <w:color w:val="231F20"/>
          <w:spacing w:val="38"/>
          <w:w w:val="105"/>
        </w:rPr>
        <w:t> </w:t>
      </w:r>
      <w:r>
        <w:rPr>
          <w:color w:val="231F20"/>
          <w:w w:val="105"/>
        </w:rPr>
        <w:t>any</w:t>
      </w:r>
      <w:r>
        <w:rPr>
          <w:color w:val="231F20"/>
          <w:spacing w:val="38"/>
          <w:w w:val="105"/>
        </w:rPr>
        <w:t> </w:t>
      </w:r>
      <w:r>
        <w:rPr>
          <w:color w:val="231F20"/>
          <w:w w:val="105"/>
        </w:rPr>
        <w:t>compartment</w:t>
      </w:r>
      <w:r>
        <w:rPr>
          <w:color w:val="231F20"/>
          <w:spacing w:val="37"/>
          <w:w w:val="105"/>
        </w:rPr>
        <w:t> </w:t>
      </w:r>
      <w:r>
        <w:rPr>
          <w:color w:val="231F20"/>
          <w:w w:val="105"/>
        </w:rPr>
        <w:t>in</w:t>
      </w:r>
      <w:r>
        <w:rPr>
          <w:color w:val="231F20"/>
          <w:spacing w:val="38"/>
          <w:w w:val="105"/>
        </w:rPr>
        <w:t> </w:t>
      </w:r>
      <w:r>
        <w:rPr>
          <w:color w:val="231F20"/>
          <w:w w:val="105"/>
        </w:rPr>
        <w:t>the</w:t>
      </w:r>
      <w:r>
        <w:rPr>
          <w:color w:val="231F20"/>
          <w:spacing w:val="38"/>
          <w:w w:val="105"/>
        </w:rPr>
        <w:t> </w:t>
      </w:r>
      <w:r>
        <w:rPr>
          <w:color w:val="231F20"/>
          <w:w w:val="105"/>
        </w:rPr>
        <w:t>body</w:t>
      </w:r>
      <w:r>
        <w:rPr>
          <w:color w:val="231F20"/>
          <w:spacing w:val="37"/>
          <w:w w:val="105"/>
        </w:rPr>
        <w:t> </w:t>
      </w:r>
      <w:r>
        <w:rPr>
          <w:color w:val="231F20"/>
          <w:w w:val="105"/>
        </w:rPr>
        <w:t>as</w:t>
      </w:r>
      <w:r>
        <w:rPr>
          <w:color w:val="231F20"/>
          <w:spacing w:val="38"/>
          <w:w w:val="105"/>
        </w:rPr>
        <w:t> </w:t>
      </w:r>
      <w:r>
        <w:rPr>
          <w:color w:val="231F20"/>
          <w:w w:val="105"/>
        </w:rPr>
        <w:t>long</w:t>
      </w:r>
      <w:r>
        <w:rPr>
          <w:color w:val="231F20"/>
          <w:spacing w:val="38"/>
          <w:w w:val="105"/>
        </w:rPr>
        <w:t> </w:t>
      </w:r>
      <w:r>
        <w:rPr>
          <w:color w:val="231F20"/>
          <w:spacing w:val="-5"/>
          <w:w w:val="105"/>
        </w:rPr>
        <w:t>as</w:t>
      </w:r>
    </w:p>
    <w:p>
      <w:pPr>
        <w:pStyle w:val="ListParagraph"/>
        <w:numPr>
          <w:ilvl w:val="2"/>
          <w:numId w:val="2"/>
        </w:numPr>
        <w:tabs>
          <w:tab w:pos="1747" w:val="left" w:leader="none"/>
        </w:tabs>
        <w:spacing w:line="249" w:lineRule="auto" w:before="2" w:after="0"/>
        <w:ind w:left="1440" w:right="0" w:firstLine="0"/>
        <w:jc w:val="both"/>
        <w:rPr>
          <w:sz w:val="20"/>
        </w:rPr>
      </w:pPr>
      <w:r>
        <w:rPr>
          <w:color w:val="231F20"/>
          <w:w w:val="105"/>
          <w:sz w:val="20"/>
        </w:rPr>
        <w:t>the indicator disperses evenly throughout the </w:t>
      </w:r>
      <w:r>
        <w:rPr>
          <w:color w:val="231F20"/>
          <w:spacing w:val="-4"/>
          <w:w w:val="105"/>
          <w:sz w:val="20"/>
        </w:rPr>
        <w:t>com­ </w:t>
      </w:r>
      <w:r>
        <w:rPr>
          <w:color w:val="231F20"/>
          <w:w w:val="105"/>
          <w:sz w:val="20"/>
        </w:rPr>
        <w:t>partment,</w:t>
      </w:r>
      <w:r>
        <w:rPr>
          <w:color w:val="231F20"/>
          <w:spacing w:val="-12"/>
          <w:w w:val="105"/>
          <w:sz w:val="20"/>
        </w:rPr>
        <w:t> </w:t>
      </w:r>
      <w:r>
        <w:rPr>
          <w:color w:val="231F20"/>
          <w:w w:val="105"/>
          <w:sz w:val="20"/>
        </w:rPr>
        <w:t>(2)</w:t>
      </w:r>
      <w:r>
        <w:rPr>
          <w:color w:val="231F20"/>
          <w:spacing w:val="-12"/>
          <w:w w:val="105"/>
          <w:sz w:val="20"/>
        </w:rPr>
        <w:t> </w:t>
      </w:r>
      <w:r>
        <w:rPr>
          <w:color w:val="231F20"/>
          <w:w w:val="105"/>
          <w:sz w:val="20"/>
        </w:rPr>
        <w:t>the</w:t>
      </w:r>
      <w:r>
        <w:rPr>
          <w:color w:val="231F20"/>
          <w:spacing w:val="-12"/>
          <w:w w:val="105"/>
          <w:sz w:val="20"/>
        </w:rPr>
        <w:t> </w:t>
      </w:r>
      <w:r>
        <w:rPr>
          <w:color w:val="231F20"/>
          <w:w w:val="105"/>
          <w:sz w:val="20"/>
        </w:rPr>
        <w:t>indicator</w:t>
      </w:r>
      <w:r>
        <w:rPr>
          <w:color w:val="231F20"/>
          <w:spacing w:val="-11"/>
          <w:w w:val="105"/>
          <w:sz w:val="20"/>
        </w:rPr>
        <w:t> </w:t>
      </w:r>
      <w:r>
        <w:rPr>
          <w:color w:val="231F20"/>
          <w:w w:val="105"/>
          <w:sz w:val="20"/>
        </w:rPr>
        <w:t>disperses</w:t>
      </w:r>
      <w:r>
        <w:rPr>
          <w:color w:val="231F20"/>
          <w:spacing w:val="-12"/>
          <w:w w:val="105"/>
          <w:sz w:val="20"/>
        </w:rPr>
        <w:t> </w:t>
      </w:r>
      <w:r>
        <w:rPr>
          <w:color w:val="231F20"/>
          <w:w w:val="105"/>
          <w:sz w:val="20"/>
        </w:rPr>
        <w:t>only</w:t>
      </w:r>
      <w:r>
        <w:rPr>
          <w:color w:val="231F20"/>
          <w:spacing w:val="-12"/>
          <w:w w:val="105"/>
          <w:sz w:val="20"/>
        </w:rPr>
        <w:t> </w:t>
      </w:r>
      <w:r>
        <w:rPr>
          <w:color w:val="231F20"/>
          <w:w w:val="105"/>
          <w:sz w:val="20"/>
        </w:rPr>
        <w:t>in</w:t>
      </w:r>
      <w:r>
        <w:rPr>
          <w:color w:val="231F20"/>
          <w:spacing w:val="-12"/>
          <w:w w:val="105"/>
          <w:sz w:val="20"/>
        </w:rPr>
        <w:t> </w:t>
      </w:r>
      <w:r>
        <w:rPr>
          <w:color w:val="231F20"/>
          <w:w w:val="105"/>
          <w:sz w:val="20"/>
        </w:rPr>
        <w:t>the</w:t>
      </w:r>
      <w:r>
        <w:rPr>
          <w:color w:val="231F20"/>
          <w:spacing w:val="-11"/>
          <w:w w:val="105"/>
          <w:sz w:val="20"/>
        </w:rPr>
        <w:t> </w:t>
      </w:r>
      <w:r>
        <w:rPr>
          <w:color w:val="231F20"/>
          <w:spacing w:val="-4"/>
          <w:w w:val="105"/>
          <w:sz w:val="20"/>
        </w:rPr>
        <w:t>compart­ </w:t>
      </w:r>
      <w:r>
        <w:rPr>
          <w:color w:val="231F20"/>
          <w:w w:val="105"/>
          <w:sz w:val="20"/>
        </w:rPr>
        <w:t>ment that is being measured, and (3) the indicator </w:t>
      </w:r>
      <w:r>
        <w:rPr>
          <w:color w:val="231F20"/>
          <w:spacing w:val="-7"/>
          <w:w w:val="105"/>
          <w:sz w:val="20"/>
        </w:rPr>
        <w:t>is</w:t>
      </w:r>
      <w:r>
        <w:rPr>
          <w:color w:val="231F20"/>
          <w:spacing w:val="38"/>
          <w:w w:val="105"/>
          <w:sz w:val="20"/>
        </w:rPr>
        <w:t> </w:t>
      </w:r>
      <w:r>
        <w:rPr>
          <w:color w:val="231F20"/>
          <w:w w:val="105"/>
          <w:sz w:val="20"/>
        </w:rPr>
        <w:t>not metabolized or excreted. If the indicator is </w:t>
      </w:r>
      <w:r>
        <w:rPr>
          <w:color w:val="231F20"/>
          <w:spacing w:val="-4"/>
          <w:w w:val="105"/>
          <w:sz w:val="20"/>
        </w:rPr>
        <w:t>me­ </w:t>
      </w:r>
      <w:r>
        <w:rPr>
          <w:color w:val="231F20"/>
          <w:w w:val="105"/>
          <w:sz w:val="20"/>
        </w:rPr>
        <w:t>tabolized or excreted, correction must be made for </w:t>
      </w:r>
      <w:r>
        <w:rPr>
          <w:color w:val="231F20"/>
          <w:spacing w:val="-3"/>
          <w:w w:val="105"/>
          <w:sz w:val="20"/>
        </w:rPr>
        <w:t>loss </w:t>
      </w:r>
      <w:r>
        <w:rPr>
          <w:color w:val="231F20"/>
          <w:w w:val="105"/>
          <w:sz w:val="20"/>
        </w:rPr>
        <w:t>of the indicator from the body. Several substances can be used to measure the volume of each of the different body</w:t>
      </w:r>
      <w:r>
        <w:rPr>
          <w:color w:val="231F20"/>
          <w:spacing w:val="2"/>
          <w:w w:val="105"/>
          <w:sz w:val="20"/>
        </w:rPr>
        <w:t> </w:t>
      </w:r>
      <w:r>
        <w:rPr>
          <w:color w:val="231F20"/>
          <w:w w:val="105"/>
          <w:sz w:val="20"/>
        </w:rPr>
        <w:t>fluids.</w:t>
      </w:r>
    </w:p>
    <w:p>
      <w:pPr>
        <w:pStyle w:val="BodyText"/>
        <w:spacing w:line="249" w:lineRule="auto" w:before="10"/>
        <w:ind w:left="319" w:right="1077"/>
        <w:jc w:val="both"/>
      </w:pPr>
      <w:r>
        <w:rPr/>
        <w:br w:type="column"/>
      </w:r>
      <w:r>
        <w:rPr>
          <w:color w:val="231F20"/>
        </w:rPr>
        <w:t>volume cannot be measured directly. However, it can be calculated as</w:t>
      </w:r>
    </w:p>
    <w:p>
      <w:pPr>
        <w:spacing w:before="128"/>
        <w:ind w:left="392" w:right="0" w:firstLine="0"/>
        <w:jc w:val="both"/>
        <w:rPr>
          <w:rFonts w:ascii="Trebuchet MS"/>
          <w:sz w:val="18"/>
        </w:rPr>
      </w:pPr>
      <w:r>
        <w:rPr>
          <w:rFonts w:ascii="Trebuchet MS"/>
          <w:w w:val="105"/>
          <w:sz w:val="18"/>
        </w:rPr>
        <w:t>Intracellular volume</w:t>
      </w:r>
    </w:p>
    <w:p>
      <w:pPr>
        <w:spacing w:before="31"/>
        <w:ind w:left="1414" w:right="0" w:firstLine="0"/>
        <w:jc w:val="left"/>
        <w:rPr>
          <w:rFonts w:ascii="Trebuchet MS"/>
          <w:sz w:val="18"/>
        </w:rPr>
      </w:pPr>
      <w:r>
        <w:rPr>
          <w:rFonts w:ascii="Trebuchet MS"/>
          <w:sz w:val="18"/>
        </w:rPr>
        <w:t>= Total body water </w:t>
      </w:r>
      <w:r>
        <w:rPr>
          <w:rFonts w:ascii="Consolas"/>
          <w:sz w:val="18"/>
        </w:rPr>
        <w:t>-</w:t>
      </w:r>
      <w:r>
        <w:rPr>
          <w:rFonts w:ascii="Consolas"/>
          <w:spacing w:val="-63"/>
          <w:sz w:val="18"/>
        </w:rPr>
        <w:t> </w:t>
      </w:r>
      <w:r>
        <w:rPr>
          <w:rFonts w:ascii="Trebuchet MS"/>
          <w:sz w:val="18"/>
        </w:rPr>
        <w:t>Extracellular volume</w:t>
      </w:r>
    </w:p>
    <w:p>
      <w:pPr>
        <w:pStyle w:val="BodyText"/>
        <w:spacing w:line="249" w:lineRule="auto" w:before="140"/>
        <w:ind w:left="319" w:right="1077" w:hanging="1"/>
        <w:jc w:val="both"/>
      </w:pPr>
      <w:r>
        <w:rPr>
          <w:rFonts w:ascii="Trebuchet MS" w:hAnsi="Trebuchet MS"/>
          <w:b/>
          <w:color w:val="231F20"/>
          <w:w w:val="105"/>
          <w:sz w:val="19"/>
        </w:rPr>
        <w:t>Measurement of Plasma Volume. </w:t>
      </w:r>
      <w:r>
        <w:rPr>
          <w:color w:val="231F20"/>
          <w:spacing w:val="-11"/>
          <w:w w:val="105"/>
        </w:rPr>
        <w:t>To </w:t>
      </w:r>
      <w:r>
        <w:rPr>
          <w:color w:val="231F20"/>
          <w:w w:val="105"/>
        </w:rPr>
        <w:t>measure</w:t>
      </w:r>
      <w:r>
        <w:rPr>
          <w:color w:val="231F20"/>
          <w:spacing w:val="-26"/>
          <w:w w:val="105"/>
        </w:rPr>
        <w:t> </w:t>
      </w:r>
      <w:r>
        <w:rPr>
          <w:color w:val="231F20"/>
          <w:w w:val="105"/>
        </w:rPr>
        <w:t>plasma volume, a substance must be used that does not readily penetrate</w:t>
      </w:r>
      <w:r>
        <w:rPr>
          <w:color w:val="231F20"/>
          <w:spacing w:val="-11"/>
          <w:w w:val="105"/>
        </w:rPr>
        <w:t> </w:t>
      </w:r>
      <w:r>
        <w:rPr>
          <w:color w:val="231F20"/>
          <w:w w:val="105"/>
        </w:rPr>
        <w:t>capillary</w:t>
      </w:r>
      <w:r>
        <w:rPr>
          <w:color w:val="231F20"/>
          <w:spacing w:val="-11"/>
          <w:w w:val="105"/>
        </w:rPr>
        <w:t> </w:t>
      </w:r>
      <w:r>
        <w:rPr>
          <w:color w:val="231F20"/>
          <w:w w:val="105"/>
        </w:rPr>
        <w:t>membranes</w:t>
      </w:r>
      <w:r>
        <w:rPr>
          <w:color w:val="231F20"/>
          <w:spacing w:val="-10"/>
          <w:w w:val="105"/>
        </w:rPr>
        <w:t> </w:t>
      </w:r>
      <w:r>
        <w:rPr>
          <w:color w:val="231F20"/>
          <w:w w:val="105"/>
        </w:rPr>
        <w:t>but</w:t>
      </w:r>
      <w:r>
        <w:rPr>
          <w:color w:val="231F20"/>
          <w:spacing w:val="-11"/>
          <w:w w:val="105"/>
        </w:rPr>
        <w:t> </w:t>
      </w:r>
      <w:r>
        <w:rPr>
          <w:color w:val="231F20"/>
          <w:w w:val="105"/>
        </w:rPr>
        <w:t>remains</w:t>
      </w:r>
      <w:r>
        <w:rPr>
          <w:color w:val="231F20"/>
          <w:spacing w:val="-10"/>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vascu­ lar system after injection. One of the most commonly used substances for measuring plasma volume is</w:t>
      </w:r>
      <w:r>
        <w:rPr>
          <w:color w:val="231F20"/>
          <w:spacing w:val="23"/>
          <w:w w:val="105"/>
        </w:rPr>
        <w:t> </w:t>
      </w:r>
      <w:r>
        <w:rPr>
          <w:color w:val="231F20"/>
          <w:w w:val="105"/>
        </w:rPr>
        <w:t>serum</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8"/>
        <w:rPr>
          <w:sz w:val="18"/>
        </w:rPr>
      </w:pPr>
    </w:p>
    <w:p>
      <w:pPr>
        <w:spacing w:after="0"/>
        <w:rPr>
          <w:sz w:val="18"/>
        </w:rPr>
        <w:sectPr>
          <w:headerReference w:type="even" r:id="rId39"/>
          <w:footerReference w:type="even" r:id="rId40"/>
          <w:footerReference w:type="default" r:id="rId41"/>
          <w:pgSz w:w="12240" w:h="15660"/>
          <w:pgMar w:header="0" w:footer="567" w:top="720" w:bottom="760" w:left="0" w:right="0"/>
          <w:pgNumType w:start="310"/>
        </w:sectPr>
      </w:pPr>
    </w:p>
    <w:p>
      <w:pPr>
        <w:pStyle w:val="BodyText"/>
        <w:spacing w:line="249" w:lineRule="auto" w:before="100"/>
        <w:ind w:left="1080"/>
        <w:jc w:val="both"/>
      </w:pPr>
      <w:r>
        <w:rPr>
          <w:color w:val="231F20"/>
        </w:rPr>
        <w:t>albumin labeled with radioactive iodine (</w:t>
      </w:r>
      <w:r>
        <w:rPr>
          <w:color w:val="231F20"/>
          <w:position w:val="8"/>
          <w:sz w:val="12"/>
        </w:rPr>
        <w:t>125</w:t>
      </w:r>
      <w:r>
        <w:rPr>
          <w:color w:val="231F20"/>
        </w:rPr>
        <w:t>I­albumin). Also, dyes that avidly bind to the plasma proteins, </w:t>
      </w:r>
      <w:r>
        <w:rPr>
          <w:color w:val="231F20"/>
          <w:spacing w:val="-4"/>
        </w:rPr>
        <w:t>such   </w:t>
      </w:r>
      <w:r>
        <w:rPr>
          <w:color w:val="231F20"/>
        </w:rPr>
        <w:t>as </w:t>
      </w:r>
      <w:r>
        <w:rPr>
          <w:i/>
          <w:color w:val="231F20"/>
        </w:rPr>
        <w:t>Evans blue dye </w:t>
      </w:r>
      <w:r>
        <w:rPr>
          <w:color w:val="231F20"/>
        </w:rPr>
        <w:t>(also called </w:t>
      </w:r>
      <w:r>
        <w:rPr>
          <w:i/>
          <w:color w:val="231F20"/>
        </w:rPr>
        <w:t>T-1824</w:t>
      </w:r>
      <w:r>
        <w:rPr>
          <w:color w:val="231F20"/>
        </w:rPr>
        <w:t>), can be used </w:t>
      </w:r>
      <w:r>
        <w:rPr>
          <w:color w:val="231F20"/>
          <w:spacing w:val="-7"/>
        </w:rPr>
        <w:t>to </w:t>
      </w:r>
      <w:r>
        <w:rPr>
          <w:color w:val="231F20"/>
        </w:rPr>
        <w:t>measure plasma</w:t>
      </w:r>
      <w:r>
        <w:rPr>
          <w:color w:val="231F20"/>
          <w:spacing w:val="13"/>
        </w:rPr>
        <w:t> </w:t>
      </w:r>
      <w:r>
        <w:rPr>
          <w:color w:val="231F20"/>
        </w:rPr>
        <w:t>volume.</w:t>
      </w:r>
    </w:p>
    <w:p>
      <w:pPr>
        <w:spacing w:line="249" w:lineRule="auto" w:before="243"/>
        <w:ind w:left="1080" w:right="0" w:firstLine="0"/>
        <w:jc w:val="both"/>
        <w:rPr>
          <w:sz w:val="20"/>
        </w:rPr>
      </w:pPr>
      <w:r>
        <w:rPr>
          <w:rFonts w:ascii="Trebuchet MS"/>
          <w:b/>
          <w:color w:val="231F20"/>
          <w:sz w:val="19"/>
        </w:rPr>
        <w:t>Calculation of Interstitial Fluid Volume. </w:t>
      </w:r>
      <w:r>
        <w:rPr>
          <w:color w:val="231F20"/>
          <w:sz w:val="20"/>
        </w:rPr>
        <w:t>Interstitial fluid volume cannot be measured directly, but it can be calculated as</w:t>
      </w:r>
    </w:p>
    <w:p>
      <w:pPr>
        <w:spacing w:before="136"/>
        <w:ind w:left="1143" w:right="0" w:firstLine="0"/>
        <w:jc w:val="both"/>
        <w:rPr>
          <w:rFonts w:ascii="Trebuchet MS"/>
          <w:sz w:val="18"/>
        </w:rPr>
      </w:pPr>
      <w:r>
        <w:rPr>
          <w:rFonts w:ascii="Trebuchet MS"/>
          <w:w w:val="105"/>
          <w:sz w:val="18"/>
        </w:rPr>
        <w:t>Interstitial fluid volume</w:t>
      </w:r>
    </w:p>
    <w:p>
      <w:pPr>
        <w:spacing w:before="31"/>
        <w:ind w:left="1961" w:right="0" w:firstLine="0"/>
        <w:jc w:val="left"/>
        <w:rPr>
          <w:rFonts w:ascii="Trebuchet MS"/>
          <w:sz w:val="18"/>
        </w:rPr>
      </w:pPr>
      <w:r>
        <w:rPr>
          <w:rFonts w:ascii="Trebuchet MS"/>
          <w:sz w:val="18"/>
        </w:rPr>
        <w:t>= Extracellular fluid volume </w:t>
      </w:r>
      <w:r>
        <w:rPr>
          <w:rFonts w:ascii="Consolas"/>
          <w:sz w:val="18"/>
        </w:rPr>
        <w:t>- </w:t>
      </w:r>
      <w:r>
        <w:rPr>
          <w:rFonts w:ascii="Trebuchet MS"/>
          <w:sz w:val="18"/>
        </w:rPr>
        <w:t>Plasma volume</w:t>
      </w:r>
    </w:p>
    <w:p>
      <w:pPr>
        <w:pStyle w:val="BodyText"/>
        <w:rPr>
          <w:rFonts w:ascii="Trebuchet MS"/>
          <w:sz w:val="32"/>
        </w:rPr>
      </w:pPr>
    </w:p>
    <w:p>
      <w:pPr>
        <w:pStyle w:val="BodyText"/>
        <w:spacing w:line="249" w:lineRule="auto" w:before="1"/>
        <w:ind w:left="1080" w:hanging="1"/>
        <w:jc w:val="both"/>
      </w:pPr>
      <w:r>
        <w:rPr/>
        <w:pict>
          <v:rect style="position:absolute;margin-left:0pt;margin-top:-3.964038pt;width:36pt;height:24pt;mso-position-horizontal-relative:page;mso-position-vertical-relative:paragraph;z-index:251711488" filled="true" fillcolor="#e8dac8" stroked="false">
            <v:fill type="solid"/>
            <w10:wrap type="none"/>
          </v:rect>
        </w:pict>
      </w:r>
      <w:r>
        <w:rPr>
          <w:rFonts w:ascii="Trebuchet MS"/>
          <w:b/>
          <w:color w:val="231F20"/>
          <w:w w:val="105"/>
          <w:sz w:val="19"/>
        </w:rPr>
        <w:t>Measurement of Blood Volume. </w:t>
      </w:r>
      <w:r>
        <w:rPr>
          <w:color w:val="231F20"/>
          <w:w w:val="105"/>
        </w:rPr>
        <w:t>If one measures plasma</w:t>
      </w:r>
      <w:r>
        <w:rPr>
          <w:color w:val="231F20"/>
          <w:spacing w:val="-28"/>
          <w:w w:val="105"/>
        </w:rPr>
        <w:t> </w:t>
      </w:r>
      <w:r>
        <w:rPr>
          <w:color w:val="231F20"/>
          <w:w w:val="105"/>
        </w:rPr>
        <w:t>volume</w:t>
      </w:r>
      <w:r>
        <w:rPr>
          <w:color w:val="231F20"/>
          <w:spacing w:val="-27"/>
          <w:w w:val="105"/>
        </w:rPr>
        <w:t> </w:t>
      </w:r>
      <w:r>
        <w:rPr>
          <w:color w:val="231F20"/>
          <w:w w:val="105"/>
        </w:rPr>
        <w:t>using</w:t>
      </w:r>
      <w:r>
        <w:rPr>
          <w:color w:val="231F20"/>
          <w:spacing w:val="-28"/>
          <w:w w:val="105"/>
        </w:rPr>
        <w:t> </w:t>
      </w:r>
      <w:r>
        <w:rPr>
          <w:color w:val="231F20"/>
          <w:w w:val="105"/>
        </w:rPr>
        <w:t>the</w:t>
      </w:r>
      <w:r>
        <w:rPr>
          <w:color w:val="231F20"/>
          <w:spacing w:val="-27"/>
          <w:w w:val="105"/>
        </w:rPr>
        <w:t> </w:t>
      </w:r>
      <w:r>
        <w:rPr>
          <w:color w:val="231F20"/>
          <w:w w:val="105"/>
        </w:rPr>
        <w:t>methods</w:t>
      </w:r>
      <w:r>
        <w:rPr>
          <w:color w:val="231F20"/>
          <w:spacing w:val="-27"/>
          <w:w w:val="105"/>
        </w:rPr>
        <w:t> </w:t>
      </w:r>
      <w:r>
        <w:rPr>
          <w:color w:val="231F20"/>
          <w:w w:val="105"/>
        </w:rPr>
        <w:t>described</w:t>
      </w:r>
      <w:r>
        <w:rPr>
          <w:color w:val="231F20"/>
          <w:spacing w:val="-28"/>
          <w:w w:val="105"/>
        </w:rPr>
        <w:t> </w:t>
      </w:r>
      <w:r>
        <w:rPr>
          <w:color w:val="231F20"/>
          <w:spacing w:val="-3"/>
          <w:w w:val="105"/>
        </w:rPr>
        <w:t>earlier,</w:t>
      </w:r>
      <w:r>
        <w:rPr>
          <w:color w:val="231F20"/>
          <w:spacing w:val="-27"/>
          <w:w w:val="105"/>
        </w:rPr>
        <w:t> </w:t>
      </w:r>
      <w:r>
        <w:rPr>
          <w:color w:val="231F20"/>
          <w:w w:val="105"/>
        </w:rPr>
        <w:t>blood volume</w:t>
      </w:r>
      <w:r>
        <w:rPr>
          <w:color w:val="231F20"/>
          <w:spacing w:val="-29"/>
          <w:w w:val="105"/>
        </w:rPr>
        <w:t> </w:t>
      </w:r>
      <w:r>
        <w:rPr>
          <w:color w:val="231F20"/>
          <w:w w:val="105"/>
        </w:rPr>
        <w:t>can</w:t>
      </w:r>
      <w:r>
        <w:rPr>
          <w:color w:val="231F20"/>
          <w:spacing w:val="-29"/>
          <w:w w:val="105"/>
        </w:rPr>
        <w:t> </w:t>
      </w:r>
      <w:r>
        <w:rPr>
          <w:color w:val="231F20"/>
          <w:w w:val="105"/>
        </w:rPr>
        <w:t>also</w:t>
      </w:r>
      <w:r>
        <w:rPr>
          <w:color w:val="231F20"/>
          <w:spacing w:val="-29"/>
          <w:w w:val="105"/>
        </w:rPr>
        <w:t> </w:t>
      </w:r>
      <w:r>
        <w:rPr>
          <w:color w:val="231F20"/>
          <w:w w:val="105"/>
        </w:rPr>
        <w:t>be</w:t>
      </w:r>
      <w:r>
        <w:rPr>
          <w:color w:val="231F20"/>
          <w:spacing w:val="-29"/>
          <w:w w:val="105"/>
        </w:rPr>
        <w:t> </w:t>
      </w:r>
      <w:r>
        <w:rPr>
          <w:color w:val="231F20"/>
          <w:w w:val="105"/>
        </w:rPr>
        <w:t>calculated</w:t>
      </w:r>
      <w:r>
        <w:rPr>
          <w:color w:val="231F20"/>
          <w:spacing w:val="-29"/>
          <w:w w:val="105"/>
        </w:rPr>
        <w:t> </w:t>
      </w:r>
      <w:r>
        <w:rPr>
          <w:color w:val="231F20"/>
          <w:w w:val="105"/>
        </w:rPr>
        <w:t>if</w:t>
      </w:r>
      <w:r>
        <w:rPr>
          <w:color w:val="231F20"/>
          <w:spacing w:val="-28"/>
          <w:w w:val="105"/>
        </w:rPr>
        <w:t> </w:t>
      </w:r>
      <w:r>
        <w:rPr>
          <w:color w:val="231F20"/>
          <w:w w:val="105"/>
        </w:rPr>
        <w:t>one</w:t>
      </w:r>
      <w:r>
        <w:rPr>
          <w:color w:val="231F20"/>
          <w:spacing w:val="-29"/>
          <w:w w:val="105"/>
        </w:rPr>
        <w:t> </w:t>
      </w:r>
      <w:r>
        <w:rPr>
          <w:color w:val="231F20"/>
          <w:w w:val="105"/>
        </w:rPr>
        <w:t>knows</w:t>
      </w:r>
      <w:r>
        <w:rPr>
          <w:color w:val="231F20"/>
          <w:spacing w:val="-29"/>
          <w:w w:val="105"/>
        </w:rPr>
        <w:t> </w:t>
      </w:r>
      <w:r>
        <w:rPr>
          <w:color w:val="231F20"/>
          <w:w w:val="105"/>
        </w:rPr>
        <w:t>the</w:t>
      </w:r>
      <w:r>
        <w:rPr>
          <w:color w:val="231F20"/>
          <w:spacing w:val="-29"/>
          <w:w w:val="105"/>
        </w:rPr>
        <w:t> </w:t>
      </w:r>
      <w:r>
        <w:rPr>
          <w:i/>
          <w:color w:val="231F20"/>
          <w:w w:val="105"/>
        </w:rPr>
        <w:t>hematocrit </w:t>
      </w:r>
      <w:r>
        <w:rPr>
          <w:color w:val="231F20"/>
          <w:w w:val="105"/>
        </w:rPr>
        <w:t>(the</w:t>
      </w:r>
      <w:r>
        <w:rPr>
          <w:color w:val="231F20"/>
          <w:spacing w:val="-24"/>
          <w:w w:val="105"/>
        </w:rPr>
        <w:t> </w:t>
      </w:r>
      <w:r>
        <w:rPr>
          <w:color w:val="231F20"/>
          <w:w w:val="105"/>
        </w:rPr>
        <w:t>fraction</w:t>
      </w:r>
      <w:r>
        <w:rPr>
          <w:color w:val="231F20"/>
          <w:spacing w:val="-23"/>
          <w:w w:val="105"/>
        </w:rPr>
        <w:t> </w:t>
      </w:r>
      <w:r>
        <w:rPr>
          <w:color w:val="231F20"/>
          <w:w w:val="105"/>
        </w:rPr>
        <w:t>of</w:t>
      </w:r>
      <w:r>
        <w:rPr>
          <w:color w:val="231F20"/>
          <w:spacing w:val="-24"/>
          <w:w w:val="105"/>
        </w:rPr>
        <w:t> </w:t>
      </w:r>
      <w:r>
        <w:rPr>
          <w:color w:val="231F20"/>
          <w:w w:val="105"/>
        </w:rPr>
        <w:t>the</w:t>
      </w:r>
      <w:r>
        <w:rPr>
          <w:color w:val="231F20"/>
          <w:spacing w:val="-23"/>
          <w:w w:val="105"/>
        </w:rPr>
        <w:t> </w:t>
      </w:r>
      <w:r>
        <w:rPr>
          <w:color w:val="231F20"/>
          <w:w w:val="105"/>
        </w:rPr>
        <w:t>total</w:t>
      </w:r>
      <w:r>
        <w:rPr>
          <w:color w:val="231F20"/>
          <w:spacing w:val="-24"/>
          <w:w w:val="105"/>
        </w:rPr>
        <w:t> </w:t>
      </w:r>
      <w:r>
        <w:rPr>
          <w:color w:val="231F20"/>
          <w:w w:val="105"/>
        </w:rPr>
        <w:t>blood</w:t>
      </w:r>
      <w:r>
        <w:rPr>
          <w:color w:val="231F20"/>
          <w:spacing w:val="-23"/>
          <w:w w:val="105"/>
        </w:rPr>
        <w:t> </w:t>
      </w:r>
      <w:r>
        <w:rPr>
          <w:color w:val="231F20"/>
          <w:w w:val="105"/>
        </w:rPr>
        <w:t>volume</w:t>
      </w:r>
      <w:r>
        <w:rPr>
          <w:color w:val="231F20"/>
          <w:spacing w:val="-24"/>
          <w:w w:val="105"/>
        </w:rPr>
        <w:t> </w:t>
      </w:r>
      <w:r>
        <w:rPr>
          <w:color w:val="231F20"/>
          <w:w w:val="105"/>
        </w:rPr>
        <w:t>composed</w:t>
      </w:r>
      <w:r>
        <w:rPr>
          <w:color w:val="231F20"/>
          <w:spacing w:val="-23"/>
          <w:w w:val="105"/>
        </w:rPr>
        <w:t> </w:t>
      </w:r>
      <w:r>
        <w:rPr>
          <w:color w:val="231F20"/>
          <w:w w:val="105"/>
        </w:rPr>
        <w:t>of</w:t>
      </w:r>
      <w:r>
        <w:rPr>
          <w:color w:val="231F20"/>
          <w:spacing w:val="-24"/>
          <w:w w:val="105"/>
        </w:rPr>
        <w:t> </w:t>
      </w:r>
      <w:r>
        <w:rPr>
          <w:color w:val="231F20"/>
          <w:spacing w:val="-3"/>
          <w:w w:val="105"/>
        </w:rPr>
        <w:t>cells), </w:t>
      </w:r>
      <w:r>
        <w:rPr>
          <w:color w:val="231F20"/>
          <w:w w:val="105"/>
        </w:rPr>
        <w:t>using the following</w:t>
      </w:r>
      <w:r>
        <w:rPr>
          <w:color w:val="231F20"/>
          <w:spacing w:val="4"/>
          <w:w w:val="105"/>
        </w:rPr>
        <w:t> </w:t>
      </w:r>
      <w:r>
        <w:rPr>
          <w:color w:val="231F20"/>
          <w:w w:val="105"/>
        </w:rPr>
        <w:t>equation:</w:t>
      </w:r>
    </w:p>
    <w:p>
      <w:pPr>
        <w:spacing w:line="295" w:lineRule="exact" w:before="130"/>
        <w:ind w:left="1289" w:right="216" w:firstLine="0"/>
        <w:jc w:val="center"/>
        <w:rPr>
          <w:rFonts w:ascii="Trebuchet MS"/>
          <w:sz w:val="18"/>
        </w:rPr>
      </w:pPr>
      <w:r>
        <w:rPr/>
        <w:pict>
          <v:line style="position:absolute;mso-position-horizontal-relative:page;mso-position-vertical-relative:paragraph;z-index:-273692672" from="185.031204pt,18.575695pt" to="247.469204pt,18.575695pt" stroked="true" strokeweight=".438pt" strokecolor="#000000">
            <v:stroke dashstyle="solid"/>
            <w10:wrap type="none"/>
          </v:line>
        </w:pict>
      </w:r>
      <w:r>
        <w:rPr>
          <w:rFonts w:ascii="Trebuchet MS"/>
          <w:w w:val="105"/>
          <w:sz w:val="18"/>
        </w:rPr>
        <w:t>Total</w:t>
      </w:r>
      <w:r>
        <w:rPr>
          <w:rFonts w:ascii="Trebuchet MS"/>
          <w:spacing w:val="-26"/>
          <w:w w:val="105"/>
          <w:sz w:val="18"/>
        </w:rPr>
        <w:t> </w:t>
      </w:r>
      <w:r>
        <w:rPr>
          <w:rFonts w:ascii="Trebuchet MS"/>
          <w:w w:val="105"/>
          <w:sz w:val="18"/>
        </w:rPr>
        <w:t>blood</w:t>
      </w:r>
      <w:r>
        <w:rPr>
          <w:rFonts w:ascii="Trebuchet MS"/>
          <w:spacing w:val="-11"/>
          <w:w w:val="105"/>
          <w:sz w:val="18"/>
        </w:rPr>
        <w:t> </w:t>
      </w:r>
      <w:r>
        <w:rPr>
          <w:rFonts w:ascii="Trebuchet MS"/>
          <w:w w:val="105"/>
          <w:sz w:val="18"/>
        </w:rPr>
        <w:t>volume</w:t>
      </w:r>
      <w:r>
        <w:rPr>
          <w:rFonts w:ascii="Trebuchet MS"/>
          <w:spacing w:val="-14"/>
          <w:w w:val="105"/>
          <w:sz w:val="18"/>
        </w:rPr>
        <w:t> </w:t>
      </w:r>
      <w:r>
        <w:rPr>
          <w:rFonts w:ascii="Trebuchet MS"/>
          <w:w w:val="105"/>
          <w:sz w:val="18"/>
        </w:rPr>
        <w:t>=</w:t>
      </w:r>
      <w:r>
        <w:rPr>
          <w:rFonts w:ascii="Trebuchet MS"/>
          <w:spacing w:val="-6"/>
          <w:w w:val="105"/>
          <w:sz w:val="18"/>
        </w:rPr>
        <w:t> </w:t>
      </w:r>
      <w:r>
        <w:rPr>
          <w:rFonts w:ascii="Trebuchet MS"/>
          <w:w w:val="105"/>
          <w:position w:val="12"/>
          <w:sz w:val="18"/>
        </w:rPr>
        <w:t>Plasma</w:t>
      </w:r>
      <w:r>
        <w:rPr>
          <w:rFonts w:ascii="Trebuchet MS"/>
          <w:spacing w:val="-9"/>
          <w:w w:val="105"/>
          <w:position w:val="12"/>
          <w:sz w:val="18"/>
        </w:rPr>
        <w:t> </w:t>
      </w:r>
      <w:r>
        <w:rPr>
          <w:rFonts w:ascii="Trebuchet MS"/>
          <w:w w:val="105"/>
          <w:position w:val="12"/>
          <w:sz w:val="18"/>
        </w:rPr>
        <w:t>volume</w:t>
      </w:r>
    </w:p>
    <w:p>
      <w:pPr>
        <w:spacing w:line="180" w:lineRule="exact" w:before="0"/>
        <w:ind w:left="3715" w:right="0" w:firstLine="0"/>
        <w:jc w:val="left"/>
        <w:rPr>
          <w:rFonts w:ascii="Trebuchet MS"/>
          <w:sz w:val="18"/>
        </w:rPr>
      </w:pPr>
      <w:r>
        <w:rPr>
          <w:rFonts w:ascii="Trebuchet MS"/>
          <w:w w:val="105"/>
          <w:sz w:val="18"/>
        </w:rPr>
        <w:t>1</w:t>
      </w:r>
      <w:r>
        <w:rPr>
          <w:rFonts w:ascii="Trebuchet MS"/>
          <w:spacing w:val="-43"/>
          <w:w w:val="105"/>
          <w:sz w:val="18"/>
        </w:rPr>
        <w:t> </w:t>
      </w:r>
      <w:r>
        <w:rPr>
          <w:rFonts w:ascii="Consolas"/>
          <w:w w:val="105"/>
          <w:sz w:val="18"/>
        </w:rPr>
        <w:t>-</w:t>
      </w:r>
      <w:r>
        <w:rPr>
          <w:rFonts w:ascii="Consolas"/>
          <w:spacing w:val="-77"/>
          <w:w w:val="105"/>
          <w:sz w:val="18"/>
        </w:rPr>
        <w:t> </w:t>
      </w:r>
      <w:r>
        <w:rPr>
          <w:rFonts w:ascii="Trebuchet MS"/>
          <w:w w:val="105"/>
          <w:sz w:val="18"/>
        </w:rPr>
        <w:t>Hematocrit</w:t>
      </w:r>
    </w:p>
    <w:p>
      <w:pPr>
        <w:pStyle w:val="BodyText"/>
        <w:spacing w:line="249" w:lineRule="auto" w:before="120"/>
        <w:ind w:left="1080" w:right="1"/>
        <w:jc w:val="both"/>
      </w:pPr>
      <w:r>
        <w:rPr>
          <w:color w:val="231F20"/>
          <w:spacing w:val="-3"/>
        </w:rPr>
        <w:t>For </w:t>
      </w:r>
      <w:r>
        <w:rPr>
          <w:color w:val="231F20"/>
        </w:rPr>
        <w:t>example, if plasma volume is 3 liters and hematocrit is</w:t>
      </w:r>
      <w:r>
        <w:rPr>
          <w:color w:val="231F20"/>
          <w:spacing w:val="8"/>
        </w:rPr>
        <w:t> </w:t>
      </w:r>
      <w:r>
        <w:rPr>
          <w:color w:val="231F20"/>
        </w:rPr>
        <w:t>0.40,</w:t>
      </w:r>
      <w:r>
        <w:rPr>
          <w:color w:val="231F20"/>
          <w:spacing w:val="9"/>
        </w:rPr>
        <w:t> </w:t>
      </w:r>
      <w:r>
        <w:rPr>
          <w:color w:val="231F20"/>
        </w:rPr>
        <w:t>total</w:t>
      </w:r>
      <w:r>
        <w:rPr>
          <w:color w:val="231F20"/>
          <w:spacing w:val="8"/>
        </w:rPr>
        <w:t> </w:t>
      </w:r>
      <w:r>
        <w:rPr>
          <w:color w:val="231F20"/>
        </w:rPr>
        <w:t>blood</w:t>
      </w:r>
      <w:r>
        <w:rPr>
          <w:color w:val="231F20"/>
          <w:spacing w:val="9"/>
        </w:rPr>
        <w:t> </w:t>
      </w:r>
      <w:r>
        <w:rPr>
          <w:color w:val="231F20"/>
        </w:rPr>
        <w:t>volume</w:t>
      </w:r>
      <w:r>
        <w:rPr>
          <w:color w:val="231F20"/>
          <w:spacing w:val="8"/>
        </w:rPr>
        <w:t> </w:t>
      </w:r>
      <w:r>
        <w:rPr>
          <w:color w:val="231F20"/>
        </w:rPr>
        <w:t>would</w:t>
      </w:r>
      <w:r>
        <w:rPr>
          <w:color w:val="231F20"/>
          <w:spacing w:val="9"/>
        </w:rPr>
        <w:t> </w:t>
      </w:r>
      <w:r>
        <w:rPr>
          <w:color w:val="231F20"/>
        </w:rPr>
        <w:t>be</w:t>
      </w:r>
      <w:r>
        <w:rPr>
          <w:color w:val="231F20"/>
          <w:spacing w:val="8"/>
        </w:rPr>
        <w:t> </w:t>
      </w:r>
      <w:r>
        <w:rPr>
          <w:color w:val="231F20"/>
        </w:rPr>
        <w:t>calculated</w:t>
      </w:r>
      <w:r>
        <w:rPr>
          <w:color w:val="231F20"/>
          <w:spacing w:val="9"/>
        </w:rPr>
        <w:t> </w:t>
      </w:r>
      <w:r>
        <w:rPr>
          <w:color w:val="231F20"/>
        </w:rPr>
        <w:t>as</w:t>
      </w:r>
    </w:p>
    <w:p>
      <w:pPr>
        <w:spacing w:line="295" w:lineRule="exact" w:before="128"/>
        <w:ind w:left="1289" w:right="204" w:firstLine="0"/>
        <w:jc w:val="center"/>
        <w:rPr>
          <w:rFonts w:ascii="Trebuchet MS"/>
          <w:sz w:val="18"/>
        </w:rPr>
      </w:pPr>
      <w:r>
        <w:rPr/>
        <w:pict>
          <v:line style="position:absolute;mso-position-horizontal-relative:page;mso-position-vertical-relative:paragraph;z-index:-273691648" from="138.5pt,18.473682pt" to="166.375pt,18.473682pt" stroked="true" strokeweight=".438pt" strokecolor="#000000">
            <v:stroke dashstyle="solid"/>
            <w10:wrap type="none"/>
          </v:line>
        </w:pict>
      </w:r>
      <w:r>
        <w:rPr>
          <w:rFonts w:ascii="Trebuchet MS"/>
          <w:w w:val="105"/>
          <w:position w:val="12"/>
          <w:sz w:val="18"/>
        </w:rPr>
        <w:t>3 liters </w:t>
      </w:r>
      <w:r>
        <w:rPr>
          <w:rFonts w:ascii="Trebuchet MS"/>
          <w:w w:val="105"/>
          <w:sz w:val="18"/>
        </w:rPr>
        <w:t>= 5 liters</w:t>
      </w:r>
    </w:p>
    <w:p>
      <w:pPr>
        <w:spacing w:line="180" w:lineRule="exact" w:before="0"/>
        <w:ind w:left="788" w:right="467" w:firstLine="0"/>
        <w:jc w:val="center"/>
        <w:rPr>
          <w:rFonts w:ascii="Trebuchet MS"/>
          <w:sz w:val="18"/>
        </w:rPr>
      </w:pPr>
      <w:r>
        <w:rPr>
          <w:rFonts w:ascii="Trebuchet MS"/>
          <w:sz w:val="18"/>
        </w:rPr>
        <w:t>1 </w:t>
      </w:r>
      <w:r>
        <w:rPr>
          <w:rFonts w:ascii="Consolas"/>
          <w:sz w:val="18"/>
        </w:rPr>
        <w:t>-</w:t>
      </w:r>
      <w:r>
        <w:rPr>
          <w:rFonts w:ascii="Consolas"/>
          <w:spacing w:val="-78"/>
          <w:sz w:val="18"/>
        </w:rPr>
        <w:t> </w:t>
      </w:r>
      <w:r>
        <w:rPr>
          <w:rFonts w:ascii="Trebuchet MS"/>
          <w:sz w:val="18"/>
        </w:rPr>
        <w:t>0.4</w:t>
      </w:r>
    </w:p>
    <w:p>
      <w:pPr>
        <w:pStyle w:val="BodyText"/>
        <w:spacing w:line="249" w:lineRule="auto" w:before="119"/>
        <w:ind w:left="1080" w:firstLine="240"/>
        <w:jc w:val="both"/>
      </w:pPr>
      <w:r>
        <w:rPr>
          <w:color w:val="231F20"/>
          <w:w w:val="105"/>
        </w:rPr>
        <w:t>Another</w:t>
      </w:r>
      <w:r>
        <w:rPr>
          <w:color w:val="231F20"/>
          <w:spacing w:val="-17"/>
          <w:w w:val="105"/>
        </w:rPr>
        <w:t> </w:t>
      </w:r>
      <w:r>
        <w:rPr>
          <w:color w:val="231F20"/>
          <w:w w:val="105"/>
        </w:rPr>
        <w:t>way</w:t>
      </w:r>
      <w:r>
        <w:rPr>
          <w:color w:val="231F20"/>
          <w:spacing w:val="-16"/>
          <w:w w:val="105"/>
        </w:rPr>
        <w:t> </w:t>
      </w:r>
      <w:r>
        <w:rPr>
          <w:color w:val="231F20"/>
          <w:w w:val="105"/>
        </w:rPr>
        <w:t>to</w:t>
      </w:r>
      <w:r>
        <w:rPr>
          <w:color w:val="231F20"/>
          <w:spacing w:val="-16"/>
          <w:w w:val="105"/>
        </w:rPr>
        <w:t> </w:t>
      </w:r>
      <w:r>
        <w:rPr>
          <w:color w:val="231F20"/>
          <w:w w:val="105"/>
        </w:rPr>
        <w:t>measure</w:t>
      </w:r>
      <w:r>
        <w:rPr>
          <w:color w:val="231F20"/>
          <w:spacing w:val="-17"/>
          <w:w w:val="105"/>
        </w:rPr>
        <w:t> </w:t>
      </w:r>
      <w:r>
        <w:rPr>
          <w:color w:val="231F20"/>
          <w:w w:val="105"/>
        </w:rPr>
        <w:t>blood</w:t>
      </w:r>
      <w:r>
        <w:rPr>
          <w:color w:val="231F20"/>
          <w:spacing w:val="-16"/>
          <w:w w:val="105"/>
        </w:rPr>
        <w:t> </w:t>
      </w:r>
      <w:r>
        <w:rPr>
          <w:color w:val="231F20"/>
          <w:w w:val="105"/>
        </w:rPr>
        <w:t>volume</w:t>
      </w:r>
      <w:r>
        <w:rPr>
          <w:color w:val="231F20"/>
          <w:spacing w:val="-16"/>
          <w:w w:val="105"/>
        </w:rPr>
        <w:t> </w:t>
      </w:r>
      <w:r>
        <w:rPr>
          <w:color w:val="231F20"/>
          <w:w w:val="105"/>
        </w:rPr>
        <w:t>is</w:t>
      </w:r>
      <w:r>
        <w:rPr>
          <w:color w:val="231F20"/>
          <w:spacing w:val="-16"/>
          <w:w w:val="105"/>
        </w:rPr>
        <w:t> </w:t>
      </w:r>
      <w:r>
        <w:rPr>
          <w:color w:val="231F20"/>
          <w:w w:val="105"/>
        </w:rPr>
        <w:t>to</w:t>
      </w:r>
      <w:r>
        <w:rPr>
          <w:color w:val="231F20"/>
          <w:spacing w:val="-17"/>
          <w:w w:val="105"/>
        </w:rPr>
        <w:t> </w:t>
      </w:r>
      <w:r>
        <w:rPr>
          <w:color w:val="231F20"/>
          <w:w w:val="105"/>
        </w:rPr>
        <w:t>inject</w:t>
      </w:r>
      <w:r>
        <w:rPr>
          <w:color w:val="231F20"/>
          <w:spacing w:val="-16"/>
          <w:w w:val="105"/>
        </w:rPr>
        <w:t> </w:t>
      </w:r>
      <w:r>
        <w:rPr>
          <w:color w:val="231F20"/>
          <w:w w:val="105"/>
        </w:rPr>
        <w:t>into the</w:t>
      </w:r>
      <w:r>
        <w:rPr>
          <w:color w:val="231F20"/>
          <w:spacing w:val="-20"/>
          <w:w w:val="105"/>
        </w:rPr>
        <w:t> </w:t>
      </w:r>
      <w:r>
        <w:rPr>
          <w:color w:val="231F20"/>
          <w:w w:val="105"/>
        </w:rPr>
        <w:t>circulation</w:t>
      </w:r>
      <w:r>
        <w:rPr>
          <w:color w:val="231F20"/>
          <w:spacing w:val="-19"/>
          <w:w w:val="105"/>
        </w:rPr>
        <w:t> </w:t>
      </w:r>
      <w:r>
        <w:rPr>
          <w:color w:val="231F20"/>
          <w:w w:val="105"/>
        </w:rPr>
        <w:t>red</w:t>
      </w:r>
      <w:r>
        <w:rPr>
          <w:color w:val="231F20"/>
          <w:spacing w:val="-20"/>
          <w:w w:val="105"/>
        </w:rPr>
        <w:t> </w:t>
      </w:r>
      <w:r>
        <w:rPr>
          <w:color w:val="231F20"/>
          <w:w w:val="105"/>
        </w:rPr>
        <w:t>blood</w:t>
      </w:r>
      <w:r>
        <w:rPr>
          <w:color w:val="231F20"/>
          <w:spacing w:val="-19"/>
          <w:w w:val="105"/>
        </w:rPr>
        <w:t> </w:t>
      </w:r>
      <w:r>
        <w:rPr>
          <w:color w:val="231F20"/>
          <w:w w:val="105"/>
        </w:rPr>
        <w:t>cells</w:t>
      </w:r>
      <w:r>
        <w:rPr>
          <w:color w:val="231F20"/>
          <w:spacing w:val="-20"/>
          <w:w w:val="105"/>
        </w:rPr>
        <w:t> </w:t>
      </w:r>
      <w:r>
        <w:rPr>
          <w:color w:val="231F20"/>
          <w:w w:val="105"/>
        </w:rPr>
        <w:t>that</w:t>
      </w:r>
      <w:r>
        <w:rPr>
          <w:color w:val="231F20"/>
          <w:spacing w:val="-19"/>
          <w:w w:val="105"/>
        </w:rPr>
        <w:t> </w:t>
      </w:r>
      <w:r>
        <w:rPr>
          <w:color w:val="231F20"/>
          <w:w w:val="105"/>
        </w:rPr>
        <w:t>have</w:t>
      </w:r>
      <w:r>
        <w:rPr>
          <w:color w:val="231F20"/>
          <w:spacing w:val="-19"/>
          <w:w w:val="105"/>
        </w:rPr>
        <w:t> </w:t>
      </w:r>
      <w:r>
        <w:rPr>
          <w:color w:val="231F20"/>
          <w:w w:val="105"/>
        </w:rPr>
        <w:t>been</w:t>
      </w:r>
      <w:r>
        <w:rPr>
          <w:color w:val="231F20"/>
          <w:spacing w:val="-20"/>
          <w:w w:val="105"/>
        </w:rPr>
        <w:t> </w:t>
      </w:r>
      <w:r>
        <w:rPr>
          <w:color w:val="231F20"/>
          <w:w w:val="105"/>
        </w:rPr>
        <w:t>labeled</w:t>
      </w:r>
      <w:r>
        <w:rPr>
          <w:color w:val="231F20"/>
          <w:spacing w:val="-19"/>
          <w:w w:val="105"/>
        </w:rPr>
        <w:t> </w:t>
      </w:r>
      <w:r>
        <w:rPr>
          <w:color w:val="231F20"/>
          <w:w w:val="105"/>
        </w:rPr>
        <w:t>with radioactive material. After these mix in the circulation, the radioactivity of a mixed blood sample can be mea­ sured</w:t>
      </w:r>
      <w:r>
        <w:rPr>
          <w:color w:val="231F20"/>
          <w:spacing w:val="-11"/>
          <w:w w:val="105"/>
        </w:rPr>
        <w:t> </w:t>
      </w:r>
      <w:r>
        <w:rPr>
          <w:color w:val="231F20"/>
          <w:w w:val="105"/>
        </w:rPr>
        <w:t>and</w:t>
      </w:r>
      <w:r>
        <w:rPr>
          <w:color w:val="231F20"/>
          <w:spacing w:val="-10"/>
          <w:w w:val="105"/>
        </w:rPr>
        <w:t> </w:t>
      </w:r>
      <w:r>
        <w:rPr>
          <w:color w:val="231F20"/>
          <w:w w:val="105"/>
        </w:rPr>
        <w:t>the</w:t>
      </w:r>
      <w:r>
        <w:rPr>
          <w:color w:val="231F20"/>
          <w:spacing w:val="-11"/>
          <w:w w:val="105"/>
        </w:rPr>
        <w:t> </w:t>
      </w:r>
      <w:r>
        <w:rPr>
          <w:color w:val="231F20"/>
          <w:w w:val="105"/>
        </w:rPr>
        <w:t>total</w:t>
      </w:r>
      <w:r>
        <w:rPr>
          <w:color w:val="231F20"/>
          <w:spacing w:val="-10"/>
          <w:w w:val="105"/>
        </w:rPr>
        <w:t> </w:t>
      </w:r>
      <w:r>
        <w:rPr>
          <w:color w:val="231F20"/>
          <w:w w:val="105"/>
        </w:rPr>
        <w:t>blood</w:t>
      </w:r>
      <w:r>
        <w:rPr>
          <w:color w:val="231F20"/>
          <w:spacing w:val="-11"/>
          <w:w w:val="105"/>
        </w:rPr>
        <w:t> </w:t>
      </w:r>
      <w:r>
        <w:rPr>
          <w:color w:val="231F20"/>
          <w:w w:val="105"/>
        </w:rPr>
        <w:t>volume</w:t>
      </w:r>
      <w:r>
        <w:rPr>
          <w:color w:val="231F20"/>
          <w:spacing w:val="-10"/>
          <w:w w:val="105"/>
        </w:rPr>
        <w:t> </w:t>
      </w:r>
      <w:r>
        <w:rPr>
          <w:color w:val="231F20"/>
          <w:w w:val="105"/>
        </w:rPr>
        <w:t>can</w:t>
      </w:r>
      <w:r>
        <w:rPr>
          <w:color w:val="231F20"/>
          <w:spacing w:val="-11"/>
          <w:w w:val="105"/>
        </w:rPr>
        <w:t> </w:t>
      </w:r>
      <w:r>
        <w:rPr>
          <w:color w:val="231F20"/>
          <w:w w:val="105"/>
        </w:rPr>
        <w:t>be</w:t>
      </w:r>
      <w:r>
        <w:rPr>
          <w:color w:val="231F20"/>
          <w:spacing w:val="-10"/>
          <w:w w:val="105"/>
        </w:rPr>
        <w:t> </w:t>
      </w:r>
      <w:r>
        <w:rPr>
          <w:color w:val="231F20"/>
          <w:w w:val="105"/>
        </w:rPr>
        <w:t>calculated</w:t>
      </w:r>
      <w:r>
        <w:rPr>
          <w:color w:val="231F20"/>
          <w:spacing w:val="-10"/>
          <w:w w:val="105"/>
        </w:rPr>
        <w:t> </w:t>
      </w:r>
      <w:r>
        <w:rPr>
          <w:color w:val="231F20"/>
          <w:w w:val="105"/>
        </w:rPr>
        <w:t>using the indicator­dilution principle. A substance </w:t>
      </w:r>
      <w:r>
        <w:rPr>
          <w:color w:val="231F20"/>
          <w:spacing w:val="-3"/>
          <w:w w:val="105"/>
        </w:rPr>
        <w:t>frequently </w:t>
      </w:r>
      <w:r>
        <w:rPr>
          <w:color w:val="231F20"/>
          <w:w w:val="105"/>
        </w:rPr>
        <w:t>used</w:t>
      </w:r>
      <w:r>
        <w:rPr>
          <w:color w:val="231F20"/>
          <w:spacing w:val="-8"/>
          <w:w w:val="105"/>
        </w:rPr>
        <w:t> </w:t>
      </w:r>
      <w:r>
        <w:rPr>
          <w:color w:val="231F20"/>
          <w:w w:val="105"/>
        </w:rPr>
        <w:t>to</w:t>
      </w:r>
      <w:r>
        <w:rPr>
          <w:color w:val="231F20"/>
          <w:spacing w:val="-7"/>
          <w:w w:val="105"/>
        </w:rPr>
        <w:t> </w:t>
      </w:r>
      <w:r>
        <w:rPr>
          <w:color w:val="231F20"/>
          <w:w w:val="105"/>
        </w:rPr>
        <w:t>label</w:t>
      </w:r>
      <w:r>
        <w:rPr>
          <w:color w:val="231F20"/>
          <w:spacing w:val="-7"/>
          <w:w w:val="105"/>
        </w:rPr>
        <w:t> </w:t>
      </w:r>
      <w:r>
        <w:rPr>
          <w:color w:val="231F20"/>
          <w:w w:val="105"/>
        </w:rPr>
        <w:t>the</w:t>
      </w:r>
      <w:r>
        <w:rPr>
          <w:color w:val="231F20"/>
          <w:spacing w:val="-7"/>
          <w:w w:val="105"/>
        </w:rPr>
        <w:t> </w:t>
      </w:r>
      <w:r>
        <w:rPr>
          <w:color w:val="231F20"/>
          <w:w w:val="105"/>
        </w:rPr>
        <w:t>red</w:t>
      </w:r>
      <w:r>
        <w:rPr>
          <w:color w:val="231F20"/>
          <w:spacing w:val="-7"/>
          <w:w w:val="105"/>
        </w:rPr>
        <w:t> </w:t>
      </w:r>
      <w:r>
        <w:rPr>
          <w:color w:val="231F20"/>
          <w:w w:val="105"/>
        </w:rPr>
        <w:t>blood</w:t>
      </w:r>
      <w:r>
        <w:rPr>
          <w:color w:val="231F20"/>
          <w:spacing w:val="-8"/>
          <w:w w:val="105"/>
        </w:rPr>
        <w:t> </w:t>
      </w:r>
      <w:r>
        <w:rPr>
          <w:color w:val="231F20"/>
          <w:w w:val="105"/>
        </w:rPr>
        <w:t>cells</w:t>
      </w:r>
      <w:r>
        <w:rPr>
          <w:color w:val="231F20"/>
          <w:spacing w:val="-7"/>
          <w:w w:val="105"/>
        </w:rPr>
        <w:t> </w:t>
      </w:r>
      <w:r>
        <w:rPr>
          <w:color w:val="231F20"/>
          <w:w w:val="105"/>
        </w:rPr>
        <w:t>is</w:t>
      </w:r>
      <w:r>
        <w:rPr>
          <w:color w:val="231F20"/>
          <w:spacing w:val="-7"/>
          <w:w w:val="105"/>
        </w:rPr>
        <w:t> </w:t>
      </w:r>
      <w:r>
        <w:rPr>
          <w:color w:val="231F20"/>
          <w:w w:val="105"/>
        </w:rPr>
        <w:t>radioactive</w:t>
      </w:r>
      <w:r>
        <w:rPr>
          <w:color w:val="231F20"/>
          <w:spacing w:val="-7"/>
          <w:w w:val="105"/>
        </w:rPr>
        <w:t> </w:t>
      </w:r>
      <w:r>
        <w:rPr>
          <w:color w:val="231F20"/>
          <w:spacing w:val="-3"/>
          <w:w w:val="105"/>
        </w:rPr>
        <w:t>chromium </w:t>
      </w:r>
      <w:r>
        <w:rPr>
          <w:color w:val="231F20"/>
          <w:w w:val="105"/>
        </w:rPr>
        <w:t>(</w:t>
      </w:r>
      <w:r>
        <w:rPr>
          <w:color w:val="231F20"/>
          <w:w w:val="105"/>
          <w:position w:val="8"/>
          <w:sz w:val="12"/>
        </w:rPr>
        <w:t>51</w:t>
      </w:r>
      <w:r>
        <w:rPr>
          <w:color w:val="231F20"/>
          <w:w w:val="105"/>
        </w:rPr>
        <w:t>Cr), which binds tightly with the red blood</w:t>
      </w:r>
      <w:r>
        <w:rPr>
          <w:color w:val="231F20"/>
          <w:spacing w:val="-30"/>
          <w:w w:val="105"/>
        </w:rPr>
        <w:t> </w:t>
      </w:r>
      <w:r>
        <w:rPr>
          <w:color w:val="231F20"/>
          <w:w w:val="105"/>
        </w:rPr>
        <w:t>cells.</w:t>
      </w:r>
    </w:p>
    <w:p>
      <w:pPr>
        <w:pStyle w:val="BodyText"/>
        <w:spacing w:before="8"/>
        <w:rPr>
          <w:sz w:val="24"/>
        </w:rPr>
      </w:pPr>
      <w:r>
        <w:rPr/>
        <w:pict>
          <v:shape style="position:absolute;margin-left:54pt;margin-top:15.411237pt;width:234pt;height:52pt;mso-position-horizontal-relative:page;mso-position-vertical-relative:paragraph;z-index:-251607040;mso-wrap-distance-left:0;mso-wrap-distance-right:0" type="#_x0000_t202" filled="true" fillcolor="#e8dac8" stroked="false">
            <v:textbox inset="0,0,0,0">
              <w:txbxContent>
                <w:p>
                  <w:pPr>
                    <w:spacing w:line="225" w:lineRule="auto" w:before="46"/>
                    <w:ind w:left="60" w:right="750" w:firstLine="0"/>
                    <w:jc w:val="left"/>
                    <w:rPr>
                      <w:rFonts w:ascii="Trebuchet MS"/>
                      <w:b/>
                      <w:sz w:val="22"/>
                    </w:rPr>
                  </w:pPr>
                  <w:r>
                    <w:rPr>
                      <w:rFonts w:ascii="Trebuchet MS"/>
                      <w:b/>
                      <w:color w:val="231F20"/>
                      <w:w w:val="110"/>
                      <w:sz w:val="22"/>
                    </w:rPr>
                    <w:t>REGULATION OF FLUID EXCHANGE AND OSMOTIC EQUILIBRIUM BETWEEN INTRACELLULAR</w:t>
                  </w:r>
                </w:p>
                <w:p>
                  <w:pPr>
                    <w:spacing w:line="243" w:lineRule="exact" w:before="0"/>
                    <w:ind w:left="60" w:right="0" w:firstLine="0"/>
                    <w:jc w:val="left"/>
                    <w:rPr>
                      <w:rFonts w:ascii="Trebuchet MS"/>
                      <w:b/>
                      <w:sz w:val="22"/>
                    </w:rPr>
                  </w:pPr>
                  <w:r>
                    <w:rPr>
                      <w:rFonts w:ascii="Trebuchet MS"/>
                      <w:b/>
                      <w:color w:val="231F20"/>
                      <w:w w:val="110"/>
                      <w:sz w:val="22"/>
                    </w:rPr>
                    <w:t>AND EXTRACELLULAR FLUID</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w w:val="105"/>
        </w:rPr>
        <w:t>A frequent problem in treating seriously ill patients </w:t>
      </w:r>
      <w:r>
        <w:rPr>
          <w:color w:val="231F20"/>
          <w:spacing w:val="-7"/>
          <w:w w:val="105"/>
        </w:rPr>
        <w:t>is </w:t>
      </w:r>
      <w:r>
        <w:rPr>
          <w:color w:val="231F20"/>
          <w:w w:val="105"/>
        </w:rPr>
        <w:t>maintaining</w:t>
      </w:r>
      <w:r>
        <w:rPr>
          <w:color w:val="231F20"/>
          <w:spacing w:val="-18"/>
          <w:w w:val="105"/>
        </w:rPr>
        <w:t> </w:t>
      </w:r>
      <w:r>
        <w:rPr>
          <w:color w:val="231F20"/>
          <w:w w:val="105"/>
        </w:rPr>
        <w:t>adequate</w:t>
      </w:r>
      <w:r>
        <w:rPr>
          <w:color w:val="231F20"/>
          <w:spacing w:val="-17"/>
          <w:w w:val="105"/>
        </w:rPr>
        <w:t> </w:t>
      </w:r>
      <w:r>
        <w:rPr>
          <w:color w:val="231F20"/>
          <w:w w:val="105"/>
        </w:rPr>
        <w:t>fluids</w:t>
      </w:r>
      <w:r>
        <w:rPr>
          <w:color w:val="231F20"/>
          <w:spacing w:val="-17"/>
          <w:w w:val="105"/>
        </w:rPr>
        <w:t> </w:t>
      </w:r>
      <w:r>
        <w:rPr>
          <w:color w:val="231F20"/>
          <w:w w:val="105"/>
        </w:rPr>
        <w:t>in</w:t>
      </w:r>
      <w:r>
        <w:rPr>
          <w:color w:val="231F20"/>
          <w:spacing w:val="-18"/>
          <w:w w:val="105"/>
        </w:rPr>
        <w:t> </w:t>
      </w:r>
      <w:r>
        <w:rPr>
          <w:color w:val="231F20"/>
          <w:w w:val="105"/>
        </w:rPr>
        <w:t>one</w:t>
      </w:r>
      <w:r>
        <w:rPr>
          <w:color w:val="231F20"/>
          <w:spacing w:val="-17"/>
          <w:w w:val="105"/>
        </w:rPr>
        <w:t> </w:t>
      </w:r>
      <w:r>
        <w:rPr>
          <w:color w:val="231F20"/>
          <w:w w:val="105"/>
        </w:rPr>
        <w:t>or</w:t>
      </w:r>
      <w:r>
        <w:rPr>
          <w:color w:val="231F20"/>
          <w:spacing w:val="-17"/>
          <w:w w:val="105"/>
        </w:rPr>
        <w:t> </w:t>
      </w:r>
      <w:r>
        <w:rPr>
          <w:color w:val="231F20"/>
          <w:w w:val="105"/>
        </w:rPr>
        <w:t>both</w:t>
      </w:r>
      <w:r>
        <w:rPr>
          <w:color w:val="231F20"/>
          <w:spacing w:val="-17"/>
          <w:w w:val="105"/>
        </w:rPr>
        <w:t> </w:t>
      </w:r>
      <w:r>
        <w:rPr>
          <w:color w:val="231F20"/>
          <w:w w:val="105"/>
        </w:rPr>
        <w:t>of</w:t>
      </w:r>
      <w:r>
        <w:rPr>
          <w:color w:val="231F20"/>
          <w:spacing w:val="-18"/>
          <w:w w:val="105"/>
        </w:rPr>
        <w:t> </w:t>
      </w:r>
      <w:r>
        <w:rPr>
          <w:color w:val="231F20"/>
          <w:w w:val="105"/>
        </w:rPr>
        <w:t>the</w:t>
      </w:r>
      <w:r>
        <w:rPr>
          <w:color w:val="231F20"/>
          <w:spacing w:val="-17"/>
          <w:w w:val="105"/>
        </w:rPr>
        <w:t> </w:t>
      </w:r>
      <w:r>
        <w:rPr>
          <w:color w:val="231F20"/>
          <w:spacing w:val="-3"/>
          <w:w w:val="105"/>
        </w:rPr>
        <w:t>intracel­ </w:t>
      </w:r>
      <w:r>
        <w:rPr>
          <w:color w:val="231F20"/>
          <w:w w:val="105"/>
        </w:rPr>
        <w:t>lular and extracellular compartments. As discussed </w:t>
      </w:r>
      <w:r>
        <w:rPr>
          <w:color w:val="231F20"/>
          <w:spacing w:val="-8"/>
          <w:w w:val="105"/>
        </w:rPr>
        <w:t>in </w:t>
      </w:r>
      <w:r>
        <w:rPr>
          <w:color w:val="231F20"/>
          <w:w w:val="105"/>
        </w:rPr>
        <w:t>Chapter</w:t>
      </w:r>
      <w:r>
        <w:rPr>
          <w:color w:val="231F20"/>
          <w:spacing w:val="-7"/>
          <w:w w:val="105"/>
        </w:rPr>
        <w:t> </w:t>
      </w:r>
      <w:r>
        <w:rPr>
          <w:color w:val="231F20"/>
          <w:w w:val="105"/>
        </w:rPr>
        <w:t>16</w:t>
      </w:r>
      <w:r>
        <w:rPr>
          <w:color w:val="231F20"/>
          <w:spacing w:val="-7"/>
          <w:w w:val="105"/>
        </w:rPr>
        <w:t> </w:t>
      </w:r>
      <w:r>
        <w:rPr>
          <w:color w:val="231F20"/>
          <w:w w:val="105"/>
        </w:rPr>
        <w:t>and</w:t>
      </w:r>
      <w:r>
        <w:rPr>
          <w:color w:val="231F20"/>
          <w:spacing w:val="-7"/>
          <w:w w:val="105"/>
        </w:rPr>
        <w:t> </w:t>
      </w:r>
      <w:r>
        <w:rPr>
          <w:color w:val="231F20"/>
          <w:w w:val="105"/>
        </w:rPr>
        <w:t>later</w:t>
      </w:r>
      <w:r>
        <w:rPr>
          <w:color w:val="231F20"/>
          <w:spacing w:val="-7"/>
          <w:w w:val="105"/>
        </w:rPr>
        <w:t> </w:t>
      </w:r>
      <w:r>
        <w:rPr>
          <w:color w:val="231F20"/>
          <w:w w:val="105"/>
        </w:rPr>
        <w:t>in</w:t>
      </w:r>
      <w:r>
        <w:rPr>
          <w:color w:val="231F20"/>
          <w:spacing w:val="-7"/>
          <w:w w:val="105"/>
        </w:rPr>
        <w:t> </w:t>
      </w:r>
      <w:r>
        <w:rPr>
          <w:color w:val="231F20"/>
          <w:w w:val="105"/>
        </w:rPr>
        <w:t>this</w:t>
      </w:r>
      <w:r>
        <w:rPr>
          <w:color w:val="231F20"/>
          <w:spacing w:val="-7"/>
          <w:w w:val="105"/>
        </w:rPr>
        <w:t> </w:t>
      </w:r>
      <w:r>
        <w:rPr>
          <w:color w:val="231F20"/>
          <w:spacing w:val="-3"/>
          <w:w w:val="105"/>
        </w:rPr>
        <w:t>chapter,</w:t>
      </w:r>
      <w:r>
        <w:rPr>
          <w:color w:val="231F20"/>
          <w:spacing w:val="-7"/>
          <w:w w:val="105"/>
        </w:rPr>
        <w:t> </w:t>
      </w:r>
      <w:r>
        <w:rPr>
          <w:color w:val="231F20"/>
          <w:w w:val="105"/>
        </w:rPr>
        <w:t>the</w:t>
      </w:r>
      <w:r>
        <w:rPr>
          <w:color w:val="231F20"/>
          <w:spacing w:val="-7"/>
          <w:w w:val="105"/>
        </w:rPr>
        <w:t> </w:t>
      </w:r>
      <w:r>
        <w:rPr>
          <w:color w:val="231F20"/>
          <w:w w:val="105"/>
        </w:rPr>
        <w:t>relative</w:t>
      </w:r>
      <w:r>
        <w:rPr>
          <w:color w:val="231F20"/>
          <w:spacing w:val="-7"/>
          <w:w w:val="105"/>
        </w:rPr>
        <w:t> </w:t>
      </w:r>
      <w:r>
        <w:rPr>
          <w:color w:val="231F20"/>
          <w:w w:val="105"/>
        </w:rPr>
        <w:t>amounts of</w:t>
      </w:r>
      <w:r>
        <w:rPr>
          <w:color w:val="231F20"/>
          <w:spacing w:val="-9"/>
          <w:w w:val="105"/>
        </w:rPr>
        <w:t> </w:t>
      </w:r>
      <w:r>
        <w:rPr>
          <w:color w:val="231F20"/>
          <w:w w:val="105"/>
        </w:rPr>
        <w:t>extracellular</w:t>
      </w:r>
      <w:r>
        <w:rPr>
          <w:color w:val="231F20"/>
          <w:spacing w:val="-9"/>
          <w:w w:val="105"/>
        </w:rPr>
        <w:t> </w:t>
      </w:r>
      <w:r>
        <w:rPr>
          <w:color w:val="231F20"/>
          <w:w w:val="105"/>
        </w:rPr>
        <w:t>fluid</w:t>
      </w:r>
      <w:r>
        <w:rPr>
          <w:color w:val="231F20"/>
          <w:spacing w:val="-8"/>
          <w:w w:val="105"/>
        </w:rPr>
        <w:t> </w:t>
      </w:r>
      <w:r>
        <w:rPr>
          <w:color w:val="231F20"/>
          <w:w w:val="105"/>
        </w:rPr>
        <w:t>distributed</w:t>
      </w:r>
      <w:r>
        <w:rPr>
          <w:color w:val="231F20"/>
          <w:spacing w:val="-9"/>
          <w:w w:val="105"/>
        </w:rPr>
        <w:t> </w:t>
      </w:r>
      <w:r>
        <w:rPr>
          <w:color w:val="231F20"/>
          <w:w w:val="105"/>
        </w:rPr>
        <w:t>between</w:t>
      </w:r>
      <w:r>
        <w:rPr>
          <w:color w:val="231F20"/>
          <w:spacing w:val="-9"/>
          <w:w w:val="105"/>
        </w:rPr>
        <w:t> </w:t>
      </w:r>
      <w:r>
        <w:rPr>
          <w:color w:val="231F20"/>
          <w:w w:val="105"/>
        </w:rPr>
        <w:t>the</w:t>
      </w:r>
      <w:r>
        <w:rPr>
          <w:color w:val="231F20"/>
          <w:spacing w:val="-8"/>
          <w:w w:val="105"/>
        </w:rPr>
        <w:t> </w:t>
      </w:r>
      <w:r>
        <w:rPr>
          <w:color w:val="231F20"/>
          <w:w w:val="105"/>
        </w:rPr>
        <w:t>plasma</w:t>
      </w:r>
      <w:r>
        <w:rPr>
          <w:color w:val="231F20"/>
          <w:spacing w:val="-9"/>
          <w:w w:val="105"/>
        </w:rPr>
        <w:t> </w:t>
      </w:r>
      <w:r>
        <w:rPr>
          <w:color w:val="231F20"/>
          <w:spacing w:val="-5"/>
          <w:w w:val="105"/>
        </w:rPr>
        <w:t>and </w:t>
      </w:r>
      <w:r>
        <w:rPr>
          <w:color w:val="231F20"/>
          <w:w w:val="105"/>
        </w:rPr>
        <w:t>interstitial spaces are determined mainly by the </w:t>
      </w:r>
      <w:r>
        <w:rPr>
          <w:color w:val="231F20"/>
          <w:spacing w:val="-3"/>
          <w:w w:val="105"/>
        </w:rPr>
        <w:t>balance </w:t>
      </w:r>
      <w:r>
        <w:rPr>
          <w:color w:val="231F20"/>
          <w:w w:val="105"/>
        </w:rPr>
        <w:t>of</w:t>
      </w:r>
      <w:r>
        <w:rPr>
          <w:color w:val="231F20"/>
          <w:spacing w:val="-21"/>
          <w:w w:val="105"/>
        </w:rPr>
        <w:t> </w:t>
      </w:r>
      <w:r>
        <w:rPr>
          <w:color w:val="231F20"/>
          <w:w w:val="105"/>
        </w:rPr>
        <w:t>hydrostatic</w:t>
      </w:r>
      <w:r>
        <w:rPr>
          <w:color w:val="231F20"/>
          <w:spacing w:val="-20"/>
          <w:w w:val="105"/>
        </w:rPr>
        <w:t> </w:t>
      </w:r>
      <w:r>
        <w:rPr>
          <w:color w:val="231F20"/>
          <w:w w:val="105"/>
        </w:rPr>
        <w:t>and</w:t>
      </w:r>
      <w:r>
        <w:rPr>
          <w:color w:val="231F20"/>
          <w:spacing w:val="-20"/>
          <w:w w:val="105"/>
        </w:rPr>
        <w:t> </w:t>
      </w:r>
      <w:r>
        <w:rPr>
          <w:color w:val="231F20"/>
          <w:w w:val="105"/>
        </w:rPr>
        <w:t>colloid</w:t>
      </w:r>
      <w:r>
        <w:rPr>
          <w:color w:val="231F20"/>
          <w:spacing w:val="-20"/>
          <w:w w:val="105"/>
        </w:rPr>
        <w:t> </w:t>
      </w:r>
      <w:r>
        <w:rPr>
          <w:color w:val="231F20"/>
          <w:w w:val="105"/>
        </w:rPr>
        <w:t>osmotic</w:t>
      </w:r>
      <w:r>
        <w:rPr>
          <w:color w:val="231F20"/>
          <w:spacing w:val="-20"/>
          <w:w w:val="105"/>
        </w:rPr>
        <w:t> </w:t>
      </w:r>
      <w:r>
        <w:rPr>
          <w:color w:val="231F20"/>
          <w:w w:val="105"/>
        </w:rPr>
        <w:t>forces</w:t>
      </w:r>
      <w:r>
        <w:rPr>
          <w:color w:val="231F20"/>
          <w:spacing w:val="-20"/>
          <w:w w:val="105"/>
        </w:rPr>
        <w:t> </w:t>
      </w:r>
      <w:r>
        <w:rPr>
          <w:color w:val="231F20"/>
          <w:w w:val="105"/>
        </w:rPr>
        <w:t>across</w:t>
      </w:r>
      <w:r>
        <w:rPr>
          <w:color w:val="231F20"/>
          <w:spacing w:val="-21"/>
          <w:w w:val="105"/>
        </w:rPr>
        <w:t> </w:t>
      </w:r>
      <w:r>
        <w:rPr>
          <w:color w:val="231F20"/>
          <w:w w:val="105"/>
        </w:rPr>
        <w:t>the</w:t>
      </w:r>
      <w:r>
        <w:rPr>
          <w:color w:val="231F20"/>
          <w:spacing w:val="-20"/>
          <w:w w:val="105"/>
        </w:rPr>
        <w:t> </w:t>
      </w:r>
      <w:r>
        <w:rPr>
          <w:color w:val="231F20"/>
          <w:spacing w:val="-4"/>
          <w:w w:val="105"/>
        </w:rPr>
        <w:t>capil­ </w:t>
      </w:r>
      <w:r>
        <w:rPr>
          <w:color w:val="231F20"/>
          <w:w w:val="105"/>
        </w:rPr>
        <w:t>lary</w:t>
      </w:r>
      <w:r>
        <w:rPr>
          <w:color w:val="231F20"/>
          <w:spacing w:val="3"/>
          <w:w w:val="105"/>
        </w:rPr>
        <w:t> </w:t>
      </w:r>
      <w:r>
        <w:rPr>
          <w:color w:val="231F20"/>
          <w:w w:val="105"/>
        </w:rPr>
        <w:t>membranes.</w:t>
      </w:r>
    </w:p>
    <w:p>
      <w:pPr>
        <w:pStyle w:val="BodyText"/>
        <w:spacing w:line="249" w:lineRule="auto" w:before="7"/>
        <w:ind w:left="1080" w:firstLine="240"/>
        <w:jc w:val="both"/>
      </w:pPr>
      <w:r>
        <w:rPr>
          <w:color w:val="231F20"/>
        </w:rPr>
        <w:t>The distribution of fluid between intracellular </w:t>
      </w:r>
      <w:r>
        <w:rPr>
          <w:color w:val="231F20"/>
          <w:spacing w:val="-5"/>
        </w:rPr>
        <w:t>and </w:t>
      </w:r>
      <w:r>
        <w:rPr>
          <w:color w:val="231F20"/>
        </w:rPr>
        <w:t>extracellular compartments, in contrast, is determined mainly by the osmotic effect of the smaller solutes— especially sodium, chloride, and other electrolytes— acting across the cell membrane. The reason for this is that the cell membranes are highly permeable to </w:t>
      </w:r>
      <w:r>
        <w:rPr>
          <w:color w:val="231F20"/>
          <w:spacing w:val="-4"/>
        </w:rPr>
        <w:t>water </w:t>
      </w:r>
      <w:r>
        <w:rPr>
          <w:color w:val="231F20"/>
          <w:spacing w:val="42"/>
        </w:rPr>
        <w:t> </w:t>
      </w:r>
      <w:r>
        <w:rPr>
          <w:color w:val="231F20"/>
        </w:rPr>
        <w:t>but relatively impermeable to even small ions such</w:t>
      </w:r>
      <w:r>
        <w:rPr>
          <w:color w:val="231F20"/>
          <w:spacing w:val="30"/>
        </w:rPr>
        <w:t> </w:t>
      </w:r>
      <w:r>
        <w:rPr>
          <w:color w:val="231F20"/>
        </w:rPr>
        <w:t>as sodium and chloride. Therefore, water moves across </w:t>
      </w:r>
      <w:r>
        <w:rPr>
          <w:color w:val="231F20"/>
          <w:spacing w:val="-5"/>
        </w:rPr>
        <w:t>the </w:t>
      </w:r>
      <w:r>
        <w:rPr>
          <w:color w:val="231F20"/>
        </w:rPr>
        <w:t>cell membrane rapidly and the intracellular fluid </w:t>
      </w:r>
      <w:r>
        <w:rPr>
          <w:color w:val="231F20"/>
          <w:spacing w:val="-4"/>
        </w:rPr>
        <w:t>remains </w:t>
      </w:r>
      <w:r>
        <w:rPr>
          <w:color w:val="231F20"/>
        </w:rPr>
        <w:t>isotonic with the extracellular</w:t>
      </w:r>
      <w:r>
        <w:rPr>
          <w:color w:val="231F20"/>
          <w:spacing w:val="28"/>
        </w:rPr>
        <w:t> </w:t>
      </w:r>
      <w:r>
        <w:rPr>
          <w:color w:val="231F20"/>
        </w:rPr>
        <w:t>fluid.</w:t>
      </w:r>
    </w:p>
    <w:p>
      <w:pPr>
        <w:pStyle w:val="BodyText"/>
        <w:spacing w:line="249" w:lineRule="auto" w:before="105"/>
        <w:ind w:left="319" w:right="1437" w:firstLine="240"/>
        <w:jc w:val="both"/>
      </w:pPr>
      <w:r>
        <w:rPr/>
        <w:br w:type="column"/>
      </w:r>
      <w:r>
        <w:rPr>
          <w:color w:val="231F20"/>
          <w:w w:val="105"/>
        </w:rPr>
        <w:t>In the next section, we discuss the interrelations between</w:t>
      </w:r>
      <w:r>
        <w:rPr>
          <w:color w:val="231F20"/>
          <w:spacing w:val="-19"/>
          <w:w w:val="105"/>
        </w:rPr>
        <w:t> </w:t>
      </w:r>
      <w:r>
        <w:rPr>
          <w:color w:val="231F20"/>
          <w:w w:val="105"/>
        </w:rPr>
        <w:t>intracellular</w:t>
      </w:r>
      <w:r>
        <w:rPr>
          <w:color w:val="231F20"/>
          <w:spacing w:val="-18"/>
          <w:w w:val="105"/>
        </w:rPr>
        <w:t> </w:t>
      </w:r>
      <w:r>
        <w:rPr>
          <w:color w:val="231F20"/>
          <w:w w:val="105"/>
        </w:rPr>
        <w:t>and</w:t>
      </w:r>
      <w:r>
        <w:rPr>
          <w:color w:val="231F20"/>
          <w:spacing w:val="-19"/>
          <w:w w:val="105"/>
        </w:rPr>
        <w:t> </w:t>
      </w:r>
      <w:r>
        <w:rPr>
          <w:color w:val="231F20"/>
          <w:w w:val="105"/>
        </w:rPr>
        <w:t>extracellular</w:t>
      </w:r>
      <w:r>
        <w:rPr>
          <w:color w:val="231F20"/>
          <w:spacing w:val="-18"/>
          <w:w w:val="105"/>
        </w:rPr>
        <w:t> </w:t>
      </w:r>
      <w:r>
        <w:rPr>
          <w:color w:val="231F20"/>
          <w:w w:val="105"/>
        </w:rPr>
        <w:t>fluid</w:t>
      </w:r>
      <w:r>
        <w:rPr>
          <w:color w:val="231F20"/>
          <w:spacing w:val="-18"/>
          <w:w w:val="105"/>
        </w:rPr>
        <w:t> </w:t>
      </w:r>
      <w:r>
        <w:rPr>
          <w:color w:val="231F20"/>
          <w:w w:val="105"/>
        </w:rPr>
        <w:t>volumes</w:t>
      </w:r>
      <w:r>
        <w:rPr>
          <w:color w:val="231F20"/>
          <w:spacing w:val="-19"/>
          <w:w w:val="105"/>
        </w:rPr>
        <w:t> </w:t>
      </w:r>
      <w:r>
        <w:rPr>
          <w:color w:val="231F20"/>
          <w:spacing w:val="-4"/>
          <w:w w:val="105"/>
        </w:rPr>
        <w:t>and </w:t>
      </w:r>
      <w:r>
        <w:rPr>
          <w:color w:val="231F20"/>
          <w:w w:val="105"/>
        </w:rPr>
        <w:t>the</w:t>
      </w:r>
      <w:r>
        <w:rPr>
          <w:color w:val="231F20"/>
          <w:spacing w:val="-10"/>
          <w:w w:val="105"/>
        </w:rPr>
        <w:t> </w:t>
      </w:r>
      <w:r>
        <w:rPr>
          <w:color w:val="231F20"/>
          <w:w w:val="105"/>
        </w:rPr>
        <w:t>osmotic</w:t>
      </w:r>
      <w:r>
        <w:rPr>
          <w:color w:val="231F20"/>
          <w:spacing w:val="-10"/>
          <w:w w:val="105"/>
        </w:rPr>
        <w:t> </w:t>
      </w:r>
      <w:r>
        <w:rPr>
          <w:color w:val="231F20"/>
          <w:w w:val="105"/>
        </w:rPr>
        <w:t>factors</w:t>
      </w:r>
      <w:r>
        <w:rPr>
          <w:color w:val="231F20"/>
          <w:spacing w:val="-10"/>
          <w:w w:val="105"/>
        </w:rPr>
        <w:t> </w:t>
      </w:r>
      <w:r>
        <w:rPr>
          <w:color w:val="231F20"/>
          <w:w w:val="105"/>
        </w:rPr>
        <w:t>that</w:t>
      </w:r>
      <w:r>
        <w:rPr>
          <w:color w:val="231F20"/>
          <w:spacing w:val="-10"/>
          <w:w w:val="105"/>
        </w:rPr>
        <w:t> </w:t>
      </w:r>
      <w:r>
        <w:rPr>
          <w:color w:val="231F20"/>
          <w:w w:val="105"/>
        </w:rPr>
        <w:t>can</w:t>
      </w:r>
      <w:r>
        <w:rPr>
          <w:color w:val="231F20"/>
          <w:spacing w:val="-10"/>
          <w:w w:val="105"/>
        </w:rPr>
        <w:t> </w:t>
      </w:r>
      <w:r>
        <w:rPr>
          <w:color w:val="231F20"/>
          <w:w w:val="105"/>
        </w:rPr>
        <w:t>cause</w:t>
      </w:r>
      <w:r>
        <w:rPr>
          <w:color w:val="231F20"/>
          <w:spacing w:val="-10"/>
          <w:w w:val="105"/>
        </w:rPr>
        <w:t> </w:t>
      </w:r>
      <w:r>
        <w:rPr>
          <w:color w:val="231F20"/>
          <w:w w:val="105"/>
        </w:rPr>
        <w:t>shifts</w:t>
      </w:r>
      <w:r>
        <w:rPr>
          <w:color w:val="231F20"/>
          <w:spacing w:val="-10"/>
          <w:w w:val="105"/>
        </w:rPr>
        <w:t> </w:t>
      </w:r>
      <w:r>
        <w:rPr>
          <w:color w:val="231F20"/>
          <w:w w:val="105"/>
        </w:rPr>
        <w:t>of</w:t>
      </w:r>
      <w:r>
        <w:rPr>
          <w:color w:val="231F20"/>
          <w:spacing w:val="-10"/>
          <w:w w:val="105"/>
        </w:rPr>
        <w:t> </w:t>
      </w:r>
      <w:r>
        <w:rPr>
          <w:color w:val="231F20"/>
          <w:w w:val="105"/>
        </w:rPr>
        <w:t>fluid</w:t>
      </w:r>
      <w:r>
        <w:rPr>
          <w:color w:val="231F20"/>
          <w:spacing w:val="-10"/>
          <w:w w:val="105"/>
        </w:rPr>
        <w:t> </w:t>
      </w:r>
      <w:r>
        <w:rPr>
          <w:color w:val="231F20"/>
          <w:w w:val="105"/>
        </w:rPr>
        <w:t>between these two</w:t>
      </w:r>
      <w:r>
        <w:rPr>
          <w:color w:val="231F20"/>
          <w:spacing w:val="6"/>
          <w:w w:val="105"/>
        </w:rPr>
        <w:t> </w:t>
      </w:r>
      <w:r>
        <w:rPr>
          <w:color w:val="231F20"/>
          <w:w w:val="105"/>
        </w:rPr>
        <w:t>compartments.</w:t>
      </w:r>
    </w:p>
    <w:p>
      <w:pPr>
        <w:pStyle w:val="BodyText"/>
        <w:spacing w:before="11"/>
        <w:rPr>
          <w:sz w:val="30"/>
        </w:rPr>
      </w:pPr>
    </w:p>
    <w:p>
      <w:pPr>
        <w:pStyle w:val="Heading2"/>
        <w:spacing w:line="225" w:lineRule="auto"/>
        <w:ind w:right="2868"/>
      </w:pPr>
      <w:r>
        <w:rPr>
          <w:color w:val="231F20"/>
          <w:w w:val="105"/>
        </w:rPr>
        <w:t>BASIC PRINCIPLES OF </w:t>
      </w:r>
      <w:r>
        <w:rPr>
          <w:color w:val="231F20"/>
          <w:spacing w:val="-3"/>
          <w:w w:val="105"/>
        </w:rPr>
        <w:t>OSMOSIS </w:t>
      </w:r>
      <w:r>
        <w:rPr>
          <w:color w:val="231F20"/>
          <w:w w:val="105"/>
        </w:rPr>
        <w:t>AND OSMOTIC</w:t>
      </w:r>
      <w:r>
        <w:rPr>
          <w:color w:val="231F20"/>
          <w:spacing w:val="11"/>
          <w:w w:val="105"/>
        </w:rPr>
        <w:t> </w:t>
      </w:r>
      <w:r>
        <w:rPr>
          <w:color w:val="231F20"/>
          <w:w w:val="105"/>
        </w:rPr>
        <w:t>PRESSURE</w:t>
      </w:r>
    </w:p>
    <w:p>
      <w:pPr>
        <w:pStyle w:val="BodyText"/>
        <w:spacing w:line="249" w:lineRule="auto" w:before="127"/>
        <w:ind w:left="319" w:right="1437"/>
        <w:jc w:val="both"/>
      </w:pPr>
      <w:r>
        <w:rPr>
          <w:color w:val="231F20"/>
          <w:w w:val="105"/>
        </w:rPr>
        <w:t>The basic principles of osmosis and osmotic </w:t>
      </w:r>
      <w:r>
        <w:rPr>
          <w:color w:val="231F20"/>
          <w:spacing w:val="-3"/>
          <w:w w:val="105"/>
        </w:rPr>
        <w:t>pressure </w:t>
      </w:r>
      <w:r>
        <w:rPr>
          <w:color w:val="231F20"/>
          <w:w w:val="105"/>
        </w:rPr>
        <w:t>were presented in Chapter 4. Therefore, we review here only the most important aspects of these principles as they apply to volume</w:t>
      </w:r>
      <w:r>
        <w:rPr>
          <w:color w:val="231F20"/>
          <w:spacing w:val="6"/>
          <w:w w:val="105"/>
        </w:rPr>
        <w:t> </w:t>
      </w:r>
      <w:r>
        <w:rPr>
          <w:color w:val="231F20"/>
          <w:w w:val="105"/>
        </w:rPr>
        <w:t>regulation.</w:t>
      </w:r>
    </w:p>
    <w:p>
      <w:pPr>
        <w:pStyle w:val="BodyText"/>
        <w:spacing w:line="249" w:lineRule="auto" w:before="3"/>
        <w:ind w:left="319" w:right="1437" w:firstLine="240"/>
        <w:jc w:val="both"/>
        <w:rPr>
          <w:i/>
        </w:rPr>
      </w:pPr>
      <w:r>
        <w:rPr>
          <w:color w:val="231F20"/>
          <w:w w:val="105"/>
        </w:rPr>
        <w:t>Because cell membranes are relatively impermeable to most solutes but are highly permeable  to  water  (i.e.,</w:t>
      </w:r>
      <w:r>
        <w:rPr>
          <w:color w:val="231F20"/>
          <w:spacing w:val="-14"/>
          <w:w w:val="105"/>
        </w:rPr>
        <w:t> </w:t>
      </w:r>
      <w:r>
        <w:rPr>
          <w:color w:val="231F20"/>
          <w:w w:val="105"/>
        </w:rPr>
        <w:t>they</w:t>
      </w:r>
      <w:r>
        <w:rPr>
          <w:color w:val="231F20"/>
          <w:spacing w:val="-13"/>
          <w:w w:val="105"/>
        </w:rPr>
        <w:t> </w:t>
      </w:r>
      <w:r>
        <w:rPr>
          <w:color w:val="231F20"/>
          <w:w w:val="105"/>
        </w:rPr>
        <w:t>are</w:t>
      </w:r>
      <w:r>
        <w:rPr>
          <w:color w:val="231F20"/>
          <w:spacing w:val="-13"/>
          <w:w w:val="105"/>
        </w:rPr>
        <w:t> </w:t>
      </w:r>
      <w:r>
        <w:rPr>
          <w:color w:val="231F20"/>
          <w:w w:val="105"/>
        </w:rPr>
        <w:t>selectively</w:t>
      </w:r>
      <w:r>
        <w:rPr>
          <w:color w:val="231F20"/>
          <w:spacing w:val="-13"/>
          <w:w w:val="105"/>
        </w:rPr>
        <w:t> </w:t>
      </w:r>
      <w:r>
        <w:rPr>
          <w:color w:val="231F20"/>
          <w:w w:val="105"/>
        </w:rPr>
        <w:t>permeable),</w:t>
      </w:r>
      <w:r>
        <w:rPr>
          <w:color w:val="231F20"/>
          <w:spacing w:val="-14"/>
          <w:w w:val="105"/>
        </w:rPr>
        <w:t> </w:t>
      </w:r>
      <w:r>
        <w:rPr>
          <w:color w:val="231F20"/>
          <w:w w:val="105"/>
        </w:rPr>
        <w:t>whenever</w:t>
      </w:r>
      <w:r>
        <w:rPr>
          <w:color w:val="231F20"/>
          <w:spacing w:val="-13"/>
          <w:w w:val="105"/>
        </w:rPr>
        <w:t> </w:t>
      </w:r>
      <w:r>
        <w:rPr>
          <w:color w:val="231F20"/>
          <w:w w:val="105"/>
        </w:rPr>
        <w:t>there</w:t>
      </w:r>
      <w:r>
        <w:rPr>
          <w:color w:val="231F20"/>
          <w:spacing w:val="-13"/>
          <w:w w:val="105"/>
        </w:rPr>
        <w:t> </w:t>
      </w:r>
      <w:r>
        <w:rPr>
          <w:color w:val="231F20"/>
          <w:w w:val="105"/>
        </w:rPr>
        <w:t>is</w:t>
      </w:r>
      <w:r>
        <w:rPr>
          <w:color w:val="231F20"/>
          <w:spacing w:val="-13"/>
          <w:w w:val="105"/>
        </w:rPr>
        <w:t> </w:t>
      </w:r>
      <w:r>
        <w:rPr>
          <w:color w:val="231F20"/>
          <w:w w:val="105"/>
        </w:rPr>
        <w:t>a higher concentration of solute on one side of the </w:t>
      </w:r>
      <w:r>
        <w:rPr>
          <w:color w:val="231F20"/>
          <w:spacing w:val="-6"/>
          <w:w w:val="105"/>
        </w:rPr>
        <w:t>cell </w:t>
      </w:r>
      <w:r>
        <w:rPr>
          <w:color w:val="231F20"/>
          <w:w w:val="105"/>
        </w:rPr>
        <w:t>membrane, water diffuses across the membrane toward the</w:t>
      </w:r>
      <w:r>
        <w:rPr>
          <w:color w:val="231F20"/>
          <w:spacing w:val="-22"/>
          <w:w w:val="105"/>
        </w:rPr>
        <w:t> </w:t>
      </w:r>
      <w:r>
        <w:rPr>
          <w:color w:val="231F20"/>
          <w:w w:val="105"/>
        </w:rPr>
        <w:t>region</w:t>
      </w:r>
      <w:r>
        <w:rPr>
          <w:color w:val="231F20"/>
          <w:spacing w:val="-22"/>
          <w:w w:val="105"/>
        </w:rPr>
        <w:t> </w:t>
      </w:r>
      <w:r>
        <w:rPr>
          <w:color w:val="231F20"/>
          <w:w w:val="105"/>
        </w:rPr>
        <w:t>of</w:t>
      </w:r>
      <w:r>
        <w:rPr>
          <w:color w:val="231F20"/>
          <w:spacing w:val="-22"/>
          <w:w w:val="105"/>
        </w:rPr>
        <w:t> </w:t>
      </w:r>
      <w:r>
        <w:rPr>
          <w:color w:val="231F20"/>
          <w:w w:val="105"/>
        </w:rPr>
        <w:t>higher</w:t>
      </w:r>
      <w:r>
        <w:rPr>
          <w:color w:val="231F20"/>
          <w:spacing w:val="-22"/>
          <w:w w:val="105"/>
        </w:rPr>
        <w:t> </w:t>
      </w:r>
      <w:r>
        <w:rPr>
          <w:color w:val="231F20"/>
          <w:w w:val="105"/>
        </w:rPr>
        <w:t>solute</w:t>
      </w:r>
      <w:r>
        <w:rPr>
          <w:color w:val="231F20"/>
          <w:spacing w:val="-22"/>
          <w:w w:val="105"/>
        </w:rPr>
        <w:t> </w:t>
      </w:r>
      <w:r>
        <w:rPr>
          <w:color w:val="231F20"/>
          <w:w w:val="105"/>
        </w:rPr>
        <w:t>concentration.</w:t>
      </w:r>
      <w:r>
        <w:rPr>
          <w:color w:val="231F20"/>
          <w:spacing w:val="-22"/>
          <w:w w:val="105"/>
        </w:rPr>
        <w:t> </w:t>
      </w:r>
      <w:r>
        <w:rPr>
          <w:color w:val="231F20"/>
          <w:w w:val="105"/>
        </w:rPr>
        <w:t>Thus,</w:t>
      </w:r>
      <w:r>
        <w:rPr>
          <w:color w:val="231F20"/>
          <w:spacing w:val="-21"/>
          <w:w w:val="105"/>
        </w:rPr>
        <w:t> </w:t>
      </w:r>
      <w:r>
        <w:rPr>
          <w:color w:val="231F20"/>
          <w:w w:val="105"/>
        </w:rPr>
        <w:t>if</w:t>
      </w:r>
      <w:r>
        <w:rPr>
          <w:color w:val="231F20"/>
          <w:spacing w:val="-22"/>
          <w:w w:val="105"/>
        </w:rPr>
        <w:t> </w:t>
      </w:r>
      <w:r>
        <w:rPr>
          <w:color w:val="231F20"/>
          <w:w w:val="105"/>
        </w:rPr>
        <w:t>a</w:t>
      </w:r>
      <w:r>
        <w:rPr>
          <w:color w:val="231F20"/>
          <w:spacing w:val="-22"/>
          <w:w w:val="105"/>
        </w:rPr>
        <w:t> </w:t>
      </w:r>
      <w:r>
        <w:rPr>
          <w:color w:val="231F20"/>
          <w:w w:val="105"/>
        </w:rPr>
        <w:t>solute such</w:t>
      </w:r>
      <w:r>
        <w:rPr>
          <w:color w:val="231F20"/>
          <w:spacing w:val="-25"/>
          <w:w w:val="105"/>
        </w:rPr>
        <w:t> </w:t>
      </w:r>
      <w:r>
        <w:rPr>
          <w:color w:val="231F20"/>
          <w:w w:val="105"/>
        </w:rPr>
        <w:t>as</w:t>
      </w:r>
      <w:r>
        <w:rPr>
          <w:color w:val="231F20"/>
          <w:spacing w:val="-25"/>
          <w:w w:val="105"/>
        </w:rPr>
        <w:t> </w:t>
      </w:r>
      <w:r>
        <w:rPr>
          <w:color w:val="231F20"/>
          <w:w w:val="105"/>
        </w:rPr>
        <w:t>sodium</w:t>
      </w:r>
      <w:r>
        <w:rPr>
          <w:color w:val="231F20"/>
          <w:spacing w:val="-25"/>
          <w:w w:val="105"/>
        </w:rPr>
        <w:t> </w:t>
      </w:r>
      <w:r>
        <w:rPr>
          <w:color w:val="231F20"/>
          <w:w w:val="105"/>
        </w:rPr>
        <w:t>chloride</w:t>
      </w:r>
      <w:r>
        <w:rPr>
          <w:color w:val="231F20"/>
          <w:spacing w:val="-25"/>
          <w:w w:val="105"/>
        </w:rPr>
        <w:t> </w:t>
      </w:r>
      <w:r>
        <w:rPr>
          <w:color w:val="231F20"/>
          <w:w w:val="105"/>
        </w:rPr>
        <w:t>is</w:t>
      </w:r>
      <w:r>
        <w:rPr>
          <w:color w:val="231F20"/>
          <w:spacing w:val="-25"/>
          <w:w w:val="105"/>
        </w:rPr>
        <w:t> </w:t>
      </w:r>
      <w:r>
        <w:rPr>
          <w:color w:val="231F20"/>
          <w:w w:val="105"/>
        </w:rPr>
        <w:t>added</w:t>
      </w:r>
      <w:r>
        <w:rPr>
          <w:color w:val="231F20"/>
          <w:spacing w:val="-25"/>
          <w:w w:val="105"/>
        </w:rPr>
        <w:t> </w:t>
      </w:r>
      <w:r>
        <w:rPr>
          <w:color w:val="231F20"/>
          <w:w w:val="105"/>
        </w:rPr>
        <w:t>to</w:t>
      </w:r>
      <w:r>
        <w:rPr>
          <w:color w:val="231F20"/>
          <w:spacing w:val="-25"/>
          <w:w w:val="105"/>
        </w:rPr>
        <w:t> </w:t>
      </w:r>
      <w:r>
        <w:rPr>
          <w:color w:val="231F20"/>
          <w:w w:val="105"/>
        </w:rPr>
        <w:t>the</w:t>
      </w:r>
      <w:r>
        <w:rPr>
          <w:color w:val="231F20"/>
          <w:spacing w:val="-25"/>
          <w:w w:val="105"/>
        </w:rPr>
        <w:t> </w:t>
      </w:r>
      <w:r>
        <w:rPr>
          <w:color w:val="231F20"/>
          <w:w w:val="105"/>
        </w:rPr>
        <w:t>extracellular</w:t>
      </w:r>
      <w:r>
        <w:rPr>
          <w:color w:val="231F20"/>
          <w:spacing w:val="-25"/>
          <w:w w:val="105"/>
        </w:rPr>
        <w:t> </w:t>
      </w:r>
      <w:r>
        <w:rPr>
          <w:color w:val="231F20"/>
          <w:w w:val="105"/>
        </w:rPr>
        <w:t>fluid, water rapidly diffuses from the cells through the cell membranes into the extracellular fluid until the </w:t>
      </w:r>
      <w:r>
        <w:rPr>
          <w:color w:val="231F20"/>
          <w:spacing w:val="-4"/>
          <w:w w:val="105"/>
        </w:rPr>
        <w:t>water </w:t>
      </w:r>
      <w:r>
        <w:rPr>
          <w:color w:val="231F20"/>
          <w:w w:val="105"/>
        </w:rPr>
        <w:t>concentration on both sides of the membrane becomes equal.</w:t>
      </w:r>
      <w:r>
        <w:rPr>
          <w:color w:val="231F20"/>
          <w:spacing w:val="-5"/>
          <w:w w:val="105"/>
        </w:rPr>
        <w:t> </w:t>
      </w:r>
      <w:r>
        <w:rPr>
          <w:color w:val="231F20"/>
          <w:w w:val="105"/>
        </w:rPr>
        <w:t>Conversely,</w:t>
      </w:r>
      <w:r>
        <w:rPr>
          <w:color w:val="231F20"/>
          <w:spacing w:val="-5"/>
          <w:w w:val="105"/>
        </w:rPr>
        <w:t> </w:t>
      </w:r>
      <w:r>
        <w:rPr>
          <w:color w:val="231F20"/>
          <w:w w:val="105"/>
        </w:rPr>
        <w:t>if</w:t>
      </w:r>
      <w:r>
        <w:rPr>
          <w:color w:val="231F20"/>
          <w:spacing w:val="-5"/>
          <w:w w:val="105"/>
        </w:rPr>
        <w:t> </w:t>
      </w:r>
      <w:r>
        <w:rPr>
          <w:color w:val="231F20"/>
          <w:w w:val="105"/>
        </w:rPr>
        <w:t>a</w:t>
      </w:r>
      <w:r>
        <w:rPr>
          <w:color w:val="231F20"/>
          <w:spacing w:val="-5"/>
          <w:w w:val="105"/>
        </w:rPr>
        <w:t> </w:t>
      </w:r>
      <w:r>
        <w:rPr>
          <w:color w:val="231F20"/>
          <w:w w:val="105"/>
        </w:rPr>
        <w:t>solute</w:t>
      </w:r>
      <w:r>
        <w:rPr>
          <w:color w:val="231F20"/>
          <w:spacing w:val="-5"/>
          <w:w w:val="105"/>
        </w:rPr>
        <w:t> </w:t>
      </w:r>
      <w:r>
        <w:rPr>
          <w:color w:val="231F20"/>
          <w:w w:val="105"/>
        </w:rPr>
        <w:t>such</w:t>
      </w:r>
      <w:r>
        <w:rPr>
          <w:color w:val="231F20"/>
          <w:spacing w:val="-4"/>
          <w:w w:val="105"/>
        </w:rPr>
        <w:t> </w:t>
      </w:r>
      <w:r>
        <w:rPr>
          <w:color w:val="231F20"/>
          <w:w w:val="105"/>
        </w:rPr>
        <w:t>as</w:t>
      </w:r>
      <w:r>
        <w:rPr>
          <w:color w:val="231F20"/>
          <w:spacing w:val="-5"/>
          <w:w w:val="105"/>
        </w:rPr>
        <w:t> </w:t>
      </w:r>
      <w:r>
        <w:rPr>
          <w:color w:val="231F20"/>
          <w:w w:val="105"/>
        </w:rPr>
        <w:t>sodium</w:t>
      </w:r>
      <w:r>
        <w:rPr>
          <w:color w:val="231F20"/>
          <w:spacing w:val="-5"/>
          <w:w w:val="105"/>
        </w:rPr>
        <w:t> </w:t>
      </w:r>
      <w:r>
        <w:rPr>
          <w:color w:val="231F20"/>
          <w:w w:val="105"/>
        </w:rPr>
        <w:t>chloride</w:t>
      </w:r>
      <w:r>
        <w:rPr>
          <w:color w:val="231F20"/>
          <w:spacing w:val="-5"/>
          <w:w w:val="105"/>
        </w:rPr>
        <w:t> </w:t>
      </w:r>
      <w:r>
        <w:rPr>
          <w:color w:val="231F20"/>
          <w:w w:val="105"/>
        </w:rPr>
        <w:t>is removed</w:t>
      </w:r>
      <w:r>
        <w:rPr>
          <w:color w:val="231F20"/>
          <w:spacing w:val="-19"/>
          <w:w w:val="105"/>
        </w:rPr>
        <w:t> </w:t>
      </w:r>
      <w:r>
        <w:rPr>
          <w:color w:val="231F20"/>
          <w:w w:val="105"/>
        </w:rPr>
        <w:t>from</w:t>
      </w:r>
      <w:r>
        <w:rPr>
          <w:color w:val="231F20"/>
          <w:spacing w:val="-19"/>
          <w:w w:val="105"/>
        </w:rPr>
        <w:t> </w:t>
      </w:r>
      <w:r>
        <w:rPr>
          <w:color w:val="231F20"/>
          <w:w w:val="105"/>
        </w:rPr>
        <w:t>the</w:t>
      </w:r>
      <w:r>
        <w:rPr>
          <w:color w:val="231F20"/>
          <w:spacing w:val="-18"/>
          <w:w w:val="105"/>
        </w:rPr>
        <w:t> </w:t>
      </w:r>
      <w:r>
        <w:rPr>
          <w:color w:val="231F20"/>
          <w:w w:val="105"/>
        </w:rPr>
        <w:t>extracellular</w:t>
      </w:r>
      <w:r>
        <w:rPr>
          <w:color w:val="231F20"/>
          <w:spacing w:val="-19"/>
          <w:w w:val="105"/>
        </w:rPr>
        <w:t> </w:t>
      </w:r>
      <w:r>
        <w:rPr>
          <w:color w:val="231F20"/>
          <w:w w:val="105"/>
        </w:rPr>
        <w:t>fluid,</w:t>
      </w:r>
      <w:r>
        <w:rPr>
          <w:color w:val="231F20"/>
          <w:spacing w:val="-19"/>
          <w:w w:val="105"/>
        </w:rPr>
        <w:t> </w:t>
      </w:r>
      <w:r>
        <w:rPr>
          <w:color w:val="231F20"/>
          <w:w w:val="105"/>
        </w:rPr>
        <w:t>water</w:t>
      </w:r>
      <w:r>
        <w:rPr>
          <w:color w:val="231F20"/>
          <w:spacing w:val="-18"/>
          <w:w w:val="105"/>
        </w:rPr>
        <w:t> </w:t>
      </w:r>
      <w:r>
        <w:rPr>
          <w:color w:val="231F20"/>
          <w:w w:val="105"/>
        </w:rPr>
        <w:t>diffuses</w:t>
      </w:r>
      <w:r>
        <w:rPr>
          <w:color w:val="231F20"/>
          <w:spacing w:val="-19"/>
          <w:w w:val="105"/>
        </w:rPr>
        <w:t> </w:t>
      </w:r>
      <w:r>
        <w:rPr>
          <w:color w:val="231F20"/>
          <w:w w:val="105"/>
        </w:rPr>
        <w:t>from the extracellular fluid through the cell membranes and into the cells. The rate of diffusion of water is called</w:t>
      </w:r>
      <w:r>
        <w:rPr>
          <w:color w:val="231F20"/>
          <w:spacing w:val="-37"/>
          <w:w w:val="105"/>
        </w:rPr>
        <w:t> </w:t>
      </w:r>
      <w:r>
        <w:rPr>
          <w:color w:val="231F20"/>
          <w:w w:val="105"/>
        </w:rPr>
        <w:t>the </w:t>
      </w:r>
      <w:r>
        <w:rPr>
          <w:i/>
          <w:color w:val="231F20"/>
          <w:w w:val="105"/>
        </w:rPr>
        <w:t>rate of</w:t>
      </w:r>
      <w:r>
        <w:rPr>
          <w:i/>
          <w:color w:val="231F20"/>
          <w:spacing w:val="4"/>
          <w:w w:val="105"/>
        </w:rPr>
        <w:t> </w:t>
      </w:r>
      <w:r>
        <w:rPr>
          <w:i/>
          <w:color w:val="231F20"/>
          <w:w w:val="105"/>
        </w:rPr>
        <w:t>osmosis.</w:t>
      </w:r>
    </w:p>
    <w:p>
      <w:pPr>
        <w:pStyle w:val="BodyText"/>
        <w:spacing w:before="11"/>
        <w:rPr>
          <w:i/>
          <w:sz w:val="21"/>
        </w:rPr>
      </w:pPr>
    </w:p>
    <w:p>
      <w:pPr>
        <w:pStyle w:val="BodyText"/>
        <w:spacing w:line="249" w:lineRule="auto"/>
        <w:ind w:left="319" w:right="1438"/>
        <w:jc w:val="both"/>
      </w:pPr>
      <w:r>
        <w:rPr>
          <w:rFonts w:ascii="Trebuchet MS" w:hAnsi="Trebuchet MS"/>
          <w:b/>
          <w:color w:val="231F20"/>
          <w:sz w:val="19"/>
        </w:rPr>
        <w:t>Osmolality and Osmolarity. </w:t>
      </w:r>
      <w:r>
        <w:rPr>
          <w:color w:val="231F20"/>
        </w:rPr>
        <w:t>The osmolal </w:t>
      </w:r>
      <w:r>
        <w:rPr>
          <w:color w:val="231F20"/>
          <w:spacing w:val="-3"/>
        </w:rPr>
        <w:t>concentra­  </w:t>
      </w:r>
      <w:r>
        <w:rPr>
          <w:color w:val="231F20"/>
        </w:rPr>
        <w:t>tion of a solution is called </w:t>
      </w:r>
      <w:r>
        <w:rPr>
          <w:i/>
          <w:color w:val="231F20"/>
        </w:rPr>
        <w:t>osmolality </w:t>
      </w:r>
      <w:r>
        <w:rPr>
          <w:color w:val="231F20"/>
        </w:rPr>
        <w:t>when the concen­ tration is expressed as </w:t>
      </w:r>
      <w:r>
        <w:rPr>
          <w:i/>
          <w:color w:val="231F20"/>
        </w:rPr>
        <w:t>osmoles per kilogram of water; </w:t>
      </w:r>
      <w:r>
        <w:rPr>
          <w:color w:val="231F20"/>
        </w:rPr>
        <w:t>it  is called </w:t>
      </w:r>
      <w:r>
        <w:rPr>
          <w:i/>
          <w:color w:val="231F20"/>
        </w:rPr>
        <w:t>osmolarity </w:t>
      </w:r>
      <w:r>
        <w:rPr>
          <w:color w:val="231F20"/>
        </w:rPr>
        <w:t>when it  is  expressed  as  </w:t>
      </w:r>
      <w:r>
        <w:rPr>
          <w:i/>
          <w:color w:val="231F20"/>
        </w:rPr>
        <w:t>osmoles  </w:t>
      </w:r>
      <w:r>
        <w:rPr>
          <w:i/>
          <w:color w:val="231F20"/>
        </w:rPr>
        <w:t>per liter of solution. </w:t>
      </w:r>
      <w:r>
        <w:rPr>
          <w:color w:val="231F20"/>
        </w:rPr>
        <w:t>In dilute solutions such as the body fluids, these two terms can be used almost synonymously because the differences are small. In most cases, it </w:t>
      </w:r>
      <w:r>
        <w:rPr>
          <w:color w:val="231F20"/>
          <w:spacing w:val="-6"/>
        </w:rPr>
        <w:t>is </w:t>
      </w:r>
      <w:r>
        <w:rPr>
          <w:color w:val="231F20"/>
        </w:rPr>
        <w:t>easier to express body fluid quantities in liters of fluid rather than in kilograms of </w:t>
      </w:r>
      <w:r>
        <w:rPr>
          <w:color w:val="231F20"/>
          <w:spacing w:val="-3"/>
        </w:rPr>
        <w:t>water. </w:t>
      </w:r>
      <w:r>
        <w:rPr>
          <w:color w:val="231F20"/>
        </w:rPr>
        <w:t>Therefore, most of the calculations used clinically and the calculations expressed in the next several chapters are based on osmolarities rather than</w:t>
      </w:r>
      <w:r>
        <w:rPr>
          <w:color w:val="231F20"/>
          <w:spacing w:val="14"/>
        </w:rPr>
        <w:t> </w:t>
      </w:r>
      <w:r>
        <w:rPr>
          <w:color w:val="231F20"/>
        </w:rPr>
        <w:t>osmolalities.</w:t>
      </w:r>
    </w:p>
    <w:p>
      <w:pPr>
        <w:pStyle w:val="BodyText"/>
        <w:spacing w:before="5"/>
        <w:rPr>
          <w:sz w:val="22"/>
        </w:rPr>
      </w:pPr>
    </w:p>
    <w:p>
      <w:pPr>
        <w:spacing w:line="252" w:lineRule="auto" w:before="0"/>
        <w:ind w:left="319" w:right="1437" w:firstLine="0"/>
        <w:jc w:val="both"/>
        <w:rPr>
          <w:sz w:val="20"/>
        </w:rPr>
      </w:pPr>
      <w:r>
        <w:rPr>
          <w:rFonts w:ascii="Trebuchet MS" w:hAnsi="Trebuchet MS"/>
          <w:b/>
          <w:color w:val="231F20"/>
          <w:w w:val="105"/>
          <w:sz w:val="19"/>
        </w:rPr>
        <w:t>Calculation</w:t>
      </w:r>
      <w:r>
        <w:rPr>
          <w:rFonts w:ascii="Trebuchet MS" w:hAnsi="Trebuchet MS"/>
          <w:b/>
          <w:color w:val="231F20"/>
          <w:spacing w:val="-19"/>
          <w:w w:val="105"/>
          <w:sz w:val="19"/>
        </w:rPr>
        <w:t> </w:t>
      </w:r>
      <w:r>
        <w:rPr>
          <w:rFonts w:ascii="Trebuchet MS" w:hAnsi="Trebuchet MS"/>
          <w:b/>
          <w:color w:val="231F20"/>
          <w:w w:val="105"/>
          <w:sz w:val="19"/>
        </w:rPr>
        <w:t>of</w:t>
      </w:r>
      <w:r>
        <w:rPr>
          <w:rFonts w:ascii="Trebuchet MS" w:hAnsi="Trebuchet MS"/>
          <w:b/>
          <w:color w:val="231F20"/>
          <w:spacing w:val="-18"/>
          <w:w w:val="105"/>
          <w:sz w:val="19"/>
        </w:rPr>
        <w:t> </w:t>
      </w:r>
      <w:r>
        <w:rPr>
          <w:rFonts w:ascii="Trebuchet MS" w:hAnsi="Trebuchet MS"/>
          <w:b/>
          <w:color w:val="231F20"/>
          <w:w w:val="105"/>
          <w:sz w:val="19"/>
        </w:rPr>
        <w:t>the</w:t>
      </w:r>
      <w:r>
        <w:rPr>
          <w:rFonts w:ascii="Trebuchet MS" w:hAnsi="Trebuchet MS"/>
          <w:b/>
          <w:color w:val="231F20"/>
          <w:spacing w:val="-18"/>
          <w:w w:val="105"/>
          <w:sz w:val="19"/>
        </w:rPr>
        <w:t> </w:t>
      </w:r>
      <w:r>
        <w:rPr>
          <w:rFonts w:ascii="Trebuchet MS" w:hAnsi="Trebuchet MS"/>
          <w:b/>
          <w:color w:val="231F20"/>
          <w:w w:val="105"/>
          <w:sz w:val="19"/>
        </w:rPr>
        <w:t>Osmolarity</w:t>
      </w:r>
      <w:r>
        <w:rPr>
          <w:rFonts w:ascii="Trebuchet MS" w:hAnsi="Trebuchet MS"/>
          <w:b/>
          <w:color w:val="231F20"/>
          <w:spacing w:val="-18"/>
          <w:w w:val="105"/>
          <w:sz w:val="19"/>
        </w:rPr>
        <w:t> </w:t>
      </w:r>
      <w:r>
        <w:rPr>
          <w:rFonts w:ascii="Trebuchet MS" w:hAnsi="Trebuchet MS"/>
          <w:b/>
          <w:color w:val="231F20"/>
          <w:w w:val="105"/>
          <w:sz w:val="19"/>
        </w:rPr>
        <w:t>and</w:t>
      </w:r>
      <w:r>
        <w:rPr>
          <w:rFonts w:ascii="Trebuchet MS" w:hAnsi="Trebuchet MS"/>
          <w:b/>
          <w:color w:val="231F20"/>
          <w:spacing w:val="-19"/>
          <w:w w:val="105"/>
          <w:sz w:val="19"/>
        </w:rPr>
        <w:t> </w:t>
      </w:r>
      <w:r>
        <w:rPr>
          <w:rFonts w:ascii="Trebuchet MS" w:hAnsi="Trebuchet MS"/>
          <w:b/>
          <w:color w:val="231F20"/>
          <w:w w:val="105"/>
          <w:sz w:val="19"/>
        </w:rPr>
        <w:t>Osmotic</w:t>
      </w:r>
      <w:r>
        <w:rPr>
          <w:rFonts w:ascii="Trebuchet MS" w:hAnsi="Trebuchet MS"/>
          <w:b/>
          <w:color w:val="231F20"/>
          <w:spacing w:val="-18"/>
          <w:w w:val="105"/>
          <w:sz w:val="19"/>
        </w:rPr>
        <w:t> </w:t>
      </w:r>
      <w:r>
        <w:rPr>
          <w:rFonts w:ascii="Trebuchet MS" w:hAnsi="Trebuchet MS"/>
          <w:b/>
          <w:color w:val="231F20"/>
          <w:spacing w:val="-3"/>
          <w:w w:val="105"/>
          <w:sz w:val="19"/>
        </w:rPr>
        <w:t>Pressure </w:t>
      </w:r>
      <w:r>
        <w:rPr>
          <w:rFonts w:ascii="Trebuchet MS" w:hAnsi="Trebuchet MS"/>
          <w:b/>
          <w:color w:val="231F20"/>
          <w:w w:val="105"/>
          <w:sz w:val="19"/>
        </w:rPr>
        <w:t>of</w:t>
      </w:r>
      <w:r>
        <w:rPr>
          <w:rFonts w:ascii="Trebuchet MS" w:hAnsi="Trebuchet MS"/>
          <w:b/>
          <w:color w:val="231F20"/>
          <w:spacing w:val="-15"/>
          <w:w w:val="105"/>
          <w:sz w:val="19"/>
        </w:rPr>
        <w:t> </w:t>
      </w:r>
      <w:r>
        <w:rPr>
          <w:rFonts w:ascii="Trebuchet MS" w:hAnsi="Trebuchet MS"/>
          <w:b/>
          <w:color w:val="231F20"/>
          <w:w w:val="105"/>
          <w:sz w:val="19"/>
        </w:rPr>
        <w:t>a</w:t>
      </w:r>
      <w:r>
        <w:rPr>
          <w:rFonts w:ascii="Trebuchet MS" w:hAnsi="Trebuchet MS"/>
          <w:b/>
          <w:color w:val="231F20"/>
          <w:spacing w:val="-14"/>
          <w:w w:val="105"/>
          <w:sz w:val="19"/>
        </w:rPr>
        <w:t> </w:t>
      </w:r>
      <w:r>
        <w:rPr>
          <w:rFonts w:ascii="Trebuchet MS" w:hAnsi="Trebuchet MS"/>
          <w:b/>
          <w:color w:val="231F20"/>
          <w:w w:val="105"/>
          <w:sz w:val="19"/>
        </w:rPr>
        <w:t>Solution.</w:t>
      </w:r>
      <w:r>
        <w:rPr>
          <w:rFonts w:ascii="Trebuchet MS" w:hAnsi="Trebuchet MS"/>
          <w:b/>
          <w:color w:val="231F20"/>
          <w:spacing w:val="3"/>
          <w:w w:val="105"/>
          <w:sz w:val="19"/>
        </w:rPr>
        <w:t> </w:t>
      </w:r>
      <w:r>
        <w:rPr>
          <w:color w:val="231F20"/>
          <w:w w:val="105"/>
          <w:sz w:val="20"/>
        </w:rPr>
        <w:t>Using</w:t>
      </w:r>
      <w:r>
        <w:rPr>
          <w:color w:val="231F20"/>
          <w:spacing w:val="-11"/>
          <w:w w:val="105"/>
          <w:sz w:val="20"/>
        </w:rPr>
        <w:t> </w:t>
      </w:r>
      <w:r>
        <w:rPr>
          <w:color w:val="231F20"/>
          <w:spacing w:val="-3"/>
          <w:w w:val="105"/>
          <w:sz w:val="20"/>
        </w:rPr>
        <w:t>van’t</w:t>
      </w:r>
      <w:r>
        <w:rPr>
          <w:color w:val="231F20"/>
          <w:spacing w:val="-12"/>
          <w:w w:val="105"/>
          <w:sz w:val="20"/>
        </w:rPr>
        <w:t> </w:t>
      </w:r>
      <w:r>
        <w:rPr>
          <w:color w:val="231F20"/>
          <w:w w:val="105"/>
          <w:sz w:val="20"/>
        </w:rPr>
        <w:t>Hoff’s</w:t>
      </w:r>
      <w:r>
        <w:rPr>
          <w:color w:val="231F20"/>
          <w:spacing w:val="-11"/>
          <w:w w:val="105"/>
          <w:sz w:val="20"/>
        </w:rPr>
        <w:t> </w:t>
      </w:r>
      <w:r>
        <w:rPr>
          <w:color w:val="231F20"/>
          <w:spacing w:val="-4"/>
          <w:w w:val="105"/>
          <w:sz w:val="20"/>
        </w:rPr>
        <w:t>law,</w:t>
      </w:r>
      <w:r>
        <w:rPr>
          <w:color w:val="231F20"/>
          <w:spacing w:val="-11"/>
          <w:w w:val="105"/>
          <w:sz w:val="20"/>
        </w:rPr>
        <w:t> </w:t>
      </w:r>
      <w:r>
        <w:rPr>
          <w:color w:val="231F20"/>
          <w:w w:val="105"/>
          <w:sz w:val="20"/>
        </w:rPr>
        <w:t>one</w:t>
      </w:r>
      <w:r>
        <w:rPr>
          <w:color w:val="231F20"/>
          <w:spacing w:val="-11"/>
          <w:w w:val="105"/>
          <w:sz w:val="20"/>
        </w:rPr>
        <w:t> </w:t>
      </w:r>
      <w:r>
        <w:rPr>
          <w:color w:val="231F20"/>
          <w:w w:val="105"/>
          <w:sz w:val="20"/>
        </w:rPr>
        <w:t>can</w:t>
      </w:r>
      <w:r>
        <w:rPr>
          <w:color w:val="231F20"/>
          <w:spacing w:val="-12"/>
          <w:w w:val="105"/>
          <w:sz w:val="20"/>
        </w:rPr>
        <w:t> </w:t>
      </w:r>
      <w:r>
        <w:rPr>
          <w:color w:val="231F20"/>
          <w:w w:val="105"/>
          <w:sz w:val="20"/>
        </w:rPr>
        <w:t>calculate the potential osmotic pressure of a solution, assuming that the cell membrane is impermeable to the</w:t>
      </w:r>
      <w:r>
        <w:rPr>
          <w:color w:val="231F20"/>
          <w:spacing w:val="-6"/>
          <w:w w:val="105"/>
          <w:sz w:val="20"/>
        </w:rPr>
        <w:t> </w:t>
      </w:r>
      <w:r>
        <w:rPr>
          <w:color w:val="231F20"/>
          <w:w w:val="105"/>
          <w:sz w:val="20"/>
        </w:rPr>
        <w:t>solute.</w:t>
      </w:r>
    </w:p>
    <w:p>
      <w:pPr>
        <w:pStyle w:val="BodyText"/>
        <w:spacing w:line="249" w:lineRule="auto"/>
        <w:ind w:left="319" w:right="1437" w:firstLine="240"/>
        <w:jc w:val="both"/>
      </w:pPr>
      <w:r>
        <w:rPr>
          <w:color w:val="231F20"/>
          <w:spacing w:val="-3"/>
        </w:rPr>
        <w:t>For </w:t>
      </w:r>
      <w:r>
        <w:rPr>
          <w:color w:val="231F20"/>
        </w:rPr>
        <w:t>example, the osmotic pressure of a 0.9 percent sodium chloride solution is calculated as follows: A 0.9 percent solution means that there is 0.9 gram of sodium chloride per 100 milliliters of solution, or 9 g/L. Because the molecular weight of sodium chloride is 58.5 g/mol, the molarity of the solution is 9 g/L divided by</w:t>
      </w:r>
      <w:r>
        <w:rPr>
          <w:color w:val="231F20"/>
          <w:spacing w:val="-34"/>
        </w:rPr>
        <w:t> </w:t>
      </w:r>
      <w:r>
        <w:rPr>
          <w:color w:val="231F20"/>
        </w:rPr>
        <w:t>58.5 g/mol, or about 0.154 mol/L. Because each molecule of sodium chloride is equal to 2 osmoles, the osmolarity of the solu­ tion is 0.154 </w:t>
      </w:r>
      <w:r>
        <w:rPr>
          <w:rFonts w:ascii="Consolas" w:hAnsi="Consolas"/>
          <w:color w:val="231F20"/>
        </w:rPr>
        <w:t>× </w:t>
      </w:r>
      <w:r>
        <w:rPr>
          <w:color w:val="231F20"/>
        </w:rPr>
        <w:t>2, or 0.308 osm/L. Therefore, the</w:t>
      </w:r>
      <w:r>
        <w:rPr>
          <w:color w:val="231F20"/>
          <w:spacing w:val="-14"/>
        </w:rPr>
        <w:t> </w:t>
      </w:r>
      <w:r>
        <w:rPr>
          <w:color w:val="231F20"/>
        </w:rPr>
        <w:t>osmolar­ ity of this solution is 308 mOsm/L. The potential osmotic pressure of this solution would therefore be 308</w:t>
      </w:r>
      <w:r>
        <w:rPr>
          <w:color w:val="231F20"/>
          <w:spacing w:val="19"/>
        </w:rPr>
        <w:t> </w:t>
      </w:r>
      <w:r>
        <w:rPr>
          <w:color w:val="231F20"/>
        </w:rPr>
        <w:t>mOsm/L</w:t>
      </w:r>
    </w:p>
    <w:p>
      <w:pPr>
        <w:pStyle w:val="BodyText"/>
        <w:ind w:left="319"/>
        <w:jc w:val="both"/>
      </w:pPr>
      <w:r>
        <w:rPr>
          <w:rFonts w:ascii="Consolas" w:hAnsi="Consolas"/>
          <w:color w:val="231F20"/>
          <w:w w:val="105"/>
        </w:rPr>
        <w:t>× </w:t>
      </w:r>
      <w:r>
        <w:rPr>
          <w:color w:val="231F20"/>
          <w:w w:val="105"/>
        </w:rPr>
        <w:t>19.3 mm Hg/mOsm/L, or 5944 mm Hg.</w:t>
      </w:r>
    </w:p>
    <w:p>
      <w:pPr>
        <w:spacing w:after="0"/>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42"/>
          <w:pgSz w:w="12240" w:h="15660"/>
          <w:pgMar w:header="0" w:footer="567" w:top="0" w:bottom="760" w:left="0" w:right="0"/>
        </w:sectPr>
      </w:pPr>
    </w:p>
    <w:p>
      <w:pPr>
        <w:pStyle w:val="BodyText"/>
        <w:spacing w:line="249" w:lineRule="auto" w:before="100"/>
        <w:ind w:left="1440" w:firstLine="240"/>
        <w:jc w:val="both"/>
      </w:pPr>
      <w:r>
        <w:rPr>
          <w:color w:val="231F20"/>
          <w:w w:val="105"/>
        </w:rPr>
        <w:t>This calculation is an approximation because</w:t>
      </w:r>
      <w:r>
        <w:rPr>
          <w:color w:val="231F20"/>
          <w:spacing w:val="-30"/>
          <w:w w:val="105"/>
        </w:rPr>
        <w:t> </w:t>
      </w:r>
      <w:r>
        <w:rPr>
          <w:color w:val="231F20"/>
          <w:w w:val="105"/>
        </w:rPr>
        <w:t>sodium and</w:t>
      </w:r>
      <w:r>
        <w:rPr>
          <w:color w:val="231F20"/>
          <w:spacing w:val="-19"/>
          <w:w w:val="105"/>
        </w:rPr>
        <w:t> </w:t>
      </w:r>
      <w:r>
        <w:rPr>
          <w:color w:val="231F20"/>
          <w:w w:val="105"/>
        </w:rPr>
        <w:t>chloride</w:t>
      </w:r>
      <w:r>
        <w:rPr>
          <w:color w:val="231F20"/>
          <w:spacing w:val="-18"/>
          <w:w w:val="105"/>
        </w:rPr>
        <w:t> </w:t>
      </w:r>
      <w:r>
        <w:rPr>
          <w:color w:val="231F20"/>
          <w:w w:val="105"/>
        </w:rPr>
        <w:t>ions</w:t>
      </w:r>
      <w:r>
        <w:rPr>
          <w:color w:val="231F20"/>
          <w:spacing w:val="-19"/>
          <w:w w:val="105"/>
        </w:rPr>
        <w:t> </w:t>
      </w:r>
      <w:r>
        <w:rPr>
          <w:color w:val="231F20"/>
          <w:w w:val="105"/>
        </w:rPr>
        <w:t>do</w:t>
      </w:r>
      <w:r>
        <w:rPr>
          <w:color w:val="231F20"/>
          <w:spacing w:val="-18"/>
          <w:w w:val="105"/>
        </w:rPr>
        <w:t> </w:t>
      </w:r>
      <w:r>
        <w:rPr>
          <w:color w:val="231F20"/>
          <w:w w:val="105"/>
        </w:rPr>
        <w:t>not</w:t>
      </w:r>
      <w:r>
        <w:rPr>
          <w:color w:val="231F20"/>
          <w:spacing w:val="-19"/>
          <w:w w:val="105"/>
        </w:rPr>
        <w:t> </w:t>
      </w:r>
      <w:r>
        <w:rPr>
          <w:color w:val="231F20"/>
          <w:w w:val="105"/>
        </w:rPr>
        <w:t>behave</w:t>
      </w:r>
      <w:r>
        <w:rPr>
          <w:color w:val="231F20"/>
          <w:spacing w:val="-18"/>
          <w:w w:val="105"/>
        </w:rPr>
        <w:t> </w:t>
      </w:r>
      <w:r>
        <w:rPr>
          <w:color w:val="231F20"/>
          <w:w w:val="105"/>
        </w:rPr>
        <w:t>entirely</w:t>
      </w:r>
      <w:r>
        <w:rPr>
          <w:color w:val="231F20"/>
          <w:spacing w:val="-19"/>
          <w:w w:val="105"/>
        </w:rPr>
        <w:t> </w:t>
      </w:r>
      <w:r>
        <w:rPr>
          <w:color w:val="231F20"/>
          <w:w w:val="105"/>
        </w:rPr>
        <w:t>independently</w:t>
      </w:r>
      <w:r>
        <w:rPr>
          <w:color w:val="231F20"/>
          <w:spacing w:val="-18"/>
          <w:w w:val="105"/>
        </w:rPr>
        <w:t> </w:t>
      </w:r>
      <w:r>
        <w:rPr>
          <w:color w:val="231F20"/>
          <w:spacing w:val="-8"/>
          <w:w w:val="105"/>
        </w:rPr>
        <w:t>in </w:t>
      </w:r>
      <w:r>
        <w:rPr>
          <w:color w:val="231F20"/>
          <w:w w:val="105"/>
        </w:rPr>
        <w:t>solution because of interionic attraction between </w:t>
      </w:r>
      <w:r>
        <w:rPr>
          <w:color w:val="231F20"/>
          <w:spacing w:val="-4"/>
          <w:w w:val="105"/>
        </w:rPr>
        <w:t>them. </w:t>
      </w:r>
      <w:r>
        <w:rPr>
          <w:color w:val="231F20"/>
          <w:w w:val="105"/>
        </w:rPr>
        <w:t>One</w:t>
      </w:r>
      <w:r>
        <w:rPr>
          <w:color w:val="231F20"/>
          <w:spacing w:val="-15"/>
          <w:w w:val="105"/>
        </w:rPr>
        <w:t> </w:t>
      </w:r>
      <w:r>
        <w:rPr>
          <w:color w:val="231F20"/>
          <w:w w:val="105"/>
        </w:rPr>
        <w:t>can</w:t>
      </w:r>
      <w:r>
        <w:rPr>
          <w:color w:val="231F20"/>
          <w:spacing w:val="-15"/>
          <w:w w:val="105"/>
        </w:rPr>
        <w:t> </w:t>
      </w:r>
      <w:r>
        <w:rPr>
          <w:color w:val="231F20"/>
          <w:w w:val="105"/>
        </w:rPr>
        <w:t>correct</w:t>
      </w:r>
      <w:r>
        <w:rPr>
          <w:color w:val="231F20"/>
          <w:spacing w:val="-15"/>
          <w:w w:val="105"/>
        </w:rPr>
        <w:t> </w:t>
      </w:r>
      <w:r>
        <w:rPr>
          <w:color w:val="231F20"/>
          <w:w w:val="105"/>
        </w:rPr>
        <w:t>for</w:t>
      </w:r>
      <w:r>
        <w:rPr>
          <w:color w:val="231F20"/>
          <w:spacing w:val="-15"/>
          <w:w w:val="105"/>
        </w:rPr>
        <w:t> </w:t>
      </w:r>
      <w:r>
        <w:rPr>
          <w:color w:val="231F20"/>
          <w:w w:val="105"/>
        </w:rPr>
        <w:t>these</w:t>
      </w:r>
      <w:r>
        <w:rPr>
          <w:color w:val="231F20"/>
          <w:spacing w:val="-14"/>
          <w:w w:val="105"/>
        </w:rPr>
        <w:t> </w:t>
      </w:r>
      <w:r>
        <w:rPr>
          <w:color w:val="231F20"/>
          <w:w w:val="105"/>
        </w:rPr>
        <w:t>deviations</w:t>
      </w:r>
      <w:r>
        <w:rPr>
          <w:color w:val="231F20"/>
          <w:spacing w:val="-15"/>
          <w:w w:val="105"/>
        </w:rPr>
        <w:t> </w:t>
      </w:r>
      <w:r>
        <w:rPr>
          <w:color w:val="231F20"/>
          <w:w w:val="105"/>
        </w:rPr>
        <w:t>from</w:t>
      </w:r>
      <w:r>
        <w:rPr>
          <w:color w:val="231F20"/>
          <w:spacing w:val="-15"/>
          <w:w w:val="105"/>
        </w:rPr>
        <w:t> </w:t>
      </w:r>
      <w:r>
        <w:rPr>
          <w:color w:val="231F20"/>
          <w:w w:val="105"/>
        </w:rPr>
        <w:t>the</w:t>
      </w:r>
      <w:r>
        <w:rPr>
          <w:color w:val="231F20"/>
          <w:spacing w:val="-15"/>
          <w:w w:val="105"/>
        </w:rPr>
        <w:t> </w:t>
      </w:r>
      <w:r>
        <w:rPr>
          <w:color w:val="231F20"/>
          <w:w w:val="105"/>
        </w:rPr>
        <w:t>predictions of</w:t>
      </w:r>
      <w:r>
        <w:rPr>
          <w:color w:val="231F20"/>
          <w:spacing w:val="-16"/>
          <w:w w:val="105"/>
        </w:rPr>
        <w:t> </w:t>
      </w:r>
      <w:r>
        <w:rPr>
          <w:color w:val="231F20"/>
          <w:spacing w:val="-3"/>
          <w:w w:val="105"/>
        </w:rPr>
        <w:t>van’t</w:t>
      </w:r>
      <w:r>
        <w:rPr>
          <w:color w:val="231F20"/>
          <w:spacing w:val="-15"/>
          <w:w w:val="105"/>
        </w:rPr>
        <w:t> </w:t>
      </w:r>
      <w:r>
        <w:rPr>
          <w:color w:val="231F20"/>
          <w:w w:val="105"/>
        </w:rPr>
        <w:t>Hoff’s</w:t>
      </w:r>
      <w:r>
        <w:rPr>
          <w:color w:val="231F20"/>
          <w:spacing w:val="-16"/>
          <w:w w:val="105"/>
        </w:rPr>
        <w:t> </w:t>
      </w:r>
      <w:r>
        <w:rPr>
          <w:color w:val="231F20"/>
          <w:w w:val="105"/>
        </w:rPr>
        <w:t>law</w:t>
      </w:r>
      <w:r>
        <w:rPr>
          <w:color w:val="231F20"/>
          <w:spacing w:val="-15"/>
          <w:w w:val="105"/>
        </w:rPr>
        <w:t> </w:t>
      </w:r>
      <w:r>
        <w:rPr>
          <w:color w:val="231F20"/>
          <w:w w:val="105"/>
        </w:rPr>
        <w:t>by</w:t>
      </w:r>
      <w:r>
        <w:rPr>
          <w:color w:val="231F20"/>
          <w:spacing w:val="-16"/>
          <w:w w:val="105"/>
        </w:rPr>
        <w:t> </w:t>
      </w:r>
      <w:r>
        <w:rPr>
          <w:color w:val="231F20"/>
          <w:w w:val="105"/>
        </w:rPr>
        <w:t>using</w:t>
      </w:r>
      <w:r>
        <w:rPr>
          <w:color w:val="231F20"/>
          <w:spacing w:val="-15"/>
          <w:w w:val="105"/>
        </w:rPr>
        <w:t> </w:t>
      </w:r>
      <w:r>
        <w:rPr>
          <w:color w:val="231F20"/>
          <w:w w:val="105"/>
        </w:rPr>
        <w:t>a</w:t>
      </w:r>
      <w:r>
        <w:rPr>
          <w:color w:val="231F20"/>
          <w:spacing w:val="-16"/>
          <w:w w:val="105"/>
        </w:rPr>
        <w:t> </w:t>
      </w:r>
      <w:r>
        <w:rPr>
          <w:color w:val="231F20"/>
          <w:w w:val="105"/>
        </w:rPr>
        <w:t>correction</w:t>
      </w:r>
      <w:r>
        <w:rPr>
          <w:color w:val="231F20"/>
          <w:spacing w:val="-15"/>
          <w:w w:val="105"/>
        </w:rPr>
        <w:t> </w:t>
      </w:r>
      <w:r>
        <w:rPr>
          <w:color w:val="231F20"/>
          <w:w w:val="105"/>
        </w:rPr>
        <w:t>factor</w:t>
      </w:r>
      <w:r>
        <w:rPr>
          <w:color w:val="231F20"/>
          <w:spacing w:val="-16"/>
          <w:w w:val="105"/>
        </w:rPr>
        <w:t> </w:t>
      </w:r>
      <w:r>
        <w:rPr>
          <w:color w:val="231F20"/>
          <w:w w:val="105"/>
        </w:rPr>
        <w:t>called</w:t>
      </w:r>
      <w:r>
        <w:rPr>
          <w:color w:val="231F20"/>
          <w:spacing w:val="-15"/>
          <w:w w:val="105"/>
        </w:rPr>
        <w:t> </w:t>
      </w:r>
      <w:r>
        <w:rPr>
          <w:color w:val="231F20"/>
          <w:w w:val="105"/>
        </w:rPr>
        <w:t>the </w:t>
      </w:r>
      <w:r>
        <w:rPr>
          <w:i/>
          <w:color w:val="231F20"/>
          <w:w w:val="105"/>
        </w:rPr>
        <w:t>osmotic</w:t>
      </w:r>
      <w:r>
        <w:rPr>
          <w:i/>
          <w:color w:val="231F20"/>
          <w:spacing w:val="-36"/>
          <w:w w:val="105"/>
        </w:rPr>
        <w:t> </w:t>
      </w:r>
      <w:r>
        <w:rPr>
          <w:i/>
          <w:color w:val="231F20"/>
          <w:w w:val="105"/>
        </w:rPr>
        <w:t>coefficient.</w:t>
      </w:r>
      <w:r>
        <w:rPr>
          <w:i/>
          <w:color w:val="231F20"/>
          <w:spacing w:val="-36"/>
          <w:w w:val="105"/>
        </w:rPr>
        <w:t> </w:t>
      </w:r>
      <w:r>
        <w:rPr>
          <w:color w:val="231F20"/>
          <w:spacing w:val="-3"/>
          <w:w w:val="105"/>
        </w:rPr>
        <w:t>For</w:t>
      </w:r>
      <w:r>
        <w:rPr>
          <w:color w:val="231F20"/>
          <w:spacing w:val="-36"/>
          <w:w w:val="105"/>
        </w:rPr>
        <w:t> </w:t>
      </w:r>
      <w:r>
        <w:rPr>
          <w:color w:val="231F20"/>
          <w:w w:val="105"/>
        </w:rPr>
        <w:t>sodium</w:t>
      </w:r>
      <w:r>
        <w:rPr>
          <w:color w:val="231F20"/>
          <w:spacing w:val="-36"/>
          <w:w w:val="105"/>
        </w:rPr>
        <w:t> </w:t>
      </w:r>
      <w:r>
        <w:rPr>
          <w:color w:val="231F20"/>
          <w:w w:val="105"/>
        </w:rPr>
        <w:t>chloride,</w:t>
      </w:r>
      <w:r>
        <w:rPr>
          <w:color w:val="231F20"/>
          <w:spacing w:val="-35"/>
          <w:w w:val="105"/>
        </w:rPr>
        <w:t> </w:t>
      </w:r>
      <w:r>
        <w:rPr>
          <w:color w:val="231F20"/>
          <w:w w:val="105"/>
        </w:rPr>
        <w:t>the</w:t>
      </w:r>
      <w:r>
        <w:rPr>
          <w:color w:val="231F20"/>
          <w:spacing w:val="-36"/>
          <w:w w:val="105"/>
        </w:rPr>
        <w:t> </w:t>
      </w:r>
      <w:r>
        <w:rPr>
          <w:color w:val="231F20"/>
          <w:w w:val="105"/>
        </w:rPr>
        <w:t>osmotic</w:t>
      </w:r>
      <w:r>
        <w:rPr>
          <w:color w:val="231F20"/>
          <w:spacing w:val="-36"/>
          <w:w w:val="105"/>
        </w:rPr>
        <w:t> </w:t>
      </w:r>
      <w:r>
        <w:rPr>
          <w:color w:val="231F20"/>
          <w:spacing w:val="-4"/>
          <w:w w:val="105"/>
        </w:rPr>
        <w:t>coef­ </w:t>
      </w:r>
      <w:r>
        <w:rPr>
          <w:color w:val="231F20"/>
          <w:w w:val="105"/>
        </w:rPr>
        <w:t>ficient</w:t>
      </w:r>
      <w:r>
        <w:rPr>
          <w:color w:val="231F20"/>
          <w:spacing w:val="-18"/>
          <w:w w:val="105"/>
        </w:rPr>
        <w:t> </w:t>
      </w:r>
      <w:r>
        <w:rPr>
          <w:color w:val="231F20"/>
          <w:w w:val="105"/>
        </w:rPr>
        <w:t>is</w:t>
      </w:r>
      <w:r>
        <w:rPr>
          <w:color w:val="231F20"/>
          <w:spacing w:val="-18"/>
          <w:w w:val="105"/>
        </w:rPr>
        <w:t> </w:t>
      </w:r>
      <w:r>
        <w:rPr>
          <w:color w:val="231F20"/>
          <w:w w:val="105"/>
        </w:rPr>
        <w:t>about</w:t>
      </w:r>
      <w:r>
        <w:rPr>
          <w:color w:val="231F20"/>
          <w:spacing w:val="-18"/>
          <w:w w:val="105"/>
        </w:rPr>
        <w:t> </w:t>
      </w:r>
      <w:r>
        <w:rPr>
          <w:color w:val="231F20"/>
          <w:w w:val="105"/>
        </w:rPr>
        <w:t>0.93.</w:t>
      </w:r>
      <w:r>
        <w:rPr>
          <w:color w:val="231F20"/>
          <w:spacing w:val="-18"/>
          <w:w w:val="105"/>
        </w:rPr>
        <w:t> </w:t>
      </w:r>
      <w:r>
        <w:rPr>
          <w:color w:val="231F20"/>
          <w:w w:val="105"/>
        </w:rPr>
        <w:t>Therefore,</w:t>
      </w:r>
      <w:r>
        <w:rPr>
          <w:color w:val="231F20"/>
          <w:spacing w:val="-18"/>
          <w:w w:val="105"/>
        </w:rPr>
        <w:t> </w:t>
      </w:r>
      <w:r>
        <w:rPr>
          <w:color w:val="231F20"/>
          <w:w w:val="105"/>
        </w:rPr>
        <w:t>the</w:t>
      </w:r>
      <w:r>
        <w:rPr>
          <w:color w:val="231F20"/>
          <w:spacing w:val="-18"/>
          <w:w w:val="105"/>
        </w:rPr>
        <w:t> </w:t>
      </w:r>
      <w:r>
        <w:rPr>
          <w:color w:val="231F20"/>
          <w:w w:val="105"/>
        </w:rPr>
        <w:t>actual</w:t>
      </w:r>
      <w:r>
        <w:rPr>
          <w:color w:val="231F20"/>
          <w:spacing w:val="-18"/>
          <w:w w:val="105"/>
        </w:rPr>
        <w:t> </w:t>
      </w:r>
      <w:r>
        <w:rPr>
          <w:color w:val="231F20"/>
          <w:w w:val="105"/>
        </w:rPr>
        <w:t>osmolarity</w:t>
      </w:r>
      <w:r>
        <w:rPr>
          <w:color w:val="231F20"/>
          <w:spacing w:val="-18"/>
          <w:w w:val="105"/>
        </w:rPr>
        <w:t> </w:t>
      </w:r>
      <w:r>
        <w:rPr>
          <w:color w:val="231F20"/>
          <w:w w:val="105"/>
        </w:rPr>
        <w:t>of</w:t>
      </w:r>
      <w:r>
        <w:rPr>
          <w:color w:val="231F20"/>
          <w:spacing w:val="-18"/>
          <w:w w:val="105"/>
        </w:rPr>
        <w:t> </w:t>
      </w:r>
      <w:r>
        <w:rPr>
          <w:color w:val="231F20"/>
          <w:spacing w:val="-11"/>
          <w:w w:val="105"/>
        </w:rPr>
        <w:t>a</w:t>
      </w:r>
    </w:p>
    <w:p>
      <w:pPr>
        <w:pStyle w:val="BodyText"/>
        <w:spacing w:line="249" w:lineRule="auto" w:before="5"/>
        <w:ind w:left="1440"/>
        <w:jc w:val="both"/>
      </w:pPr>
      <w:r>
        <w:rPr>
          <w:color w:val="231F20"/>
        </w:rPr>
        <w:t>0.9 percent sodium chloride solution is 308 </w:t>
      </w:r>
      <w:r>
        <w:rPr>
          <w:rFonts w:ascii="Consolas" w:hAnsi="Consolas"/>
          <w:color w:val="231F20"/>
        </w:rPr>
        <w:t>× </w:t>
      </w:r>
      <w:r>
        <w:rPr>
          <w:color w:val="231F20"/>
        </w:rPr>
        <w:t>0.93, </w:t>
      </w:r>
      <w:r>
        <w:rPr>
          <w:color w:val="231F20"/>
          <w:spacing w:val="-7"/>
        </w:rPr>
        <w:t>or </w:t>
      </w:r>
      <w:r>
        <w:rPr>
          <w:color w:val="231F20"/>
        </w:rPr>
        <w:t>about 286 mOsm/L. </w:t>
      </w:r>
      <w:r>
        <w:rPr>
          <w:color w:val="231F20"/>
          <w:spacing w:val="-3"/>
        </w:rPr>
        <w:t>For </w:t>
      </w:r>
      <w:r>
        <w:rPr>
          <w:color w:val="231F20"/>
        </w:rPr>
        <w:t>practical reasons, the osmotic coefficients of different solutes are sometimes neglected in determining the osmolarity and osmotic pressures </w:t>
      </w:r>
      <w:r>
        <w:rPr>
          <w:color w:val="231F20"/>
          <w:spacing w:val="-6"/>
        </w:rPr>
        <w:t>of </w:t>
      </w:r>
      <w:r>
        <w:rPr>
          <w:color w:val="231F20"/>
        </w:rPr>
        <w:t>physiologic</w:t>
      </w:r>
      <w:r>
        <w:rPr>
          <w:color w:val="231F20"/>
          <w:spacing w:val="6"/>
        </w:rPr>
        <w:t> </w:t>
      </w:r>
      <w:r>
        <w:rPr>
          <w:color w:val="231F20"/>
        </w:rPr>
        <w:t>solutions.</w:t>
      </w:r>
    </w:p>
    <w:p>
      <w:pPr>
        <w:pStyle w:val="BodyText"/>
        <w:spacing w:line="249" w:lineRule="auto" w:before="237"/>
        <w:ind w:left="1439"/>
        <w:jc w:val="both"/>
      </w:pPr>
      <w:r>
        <w:rPr>
          <w:rFonts w:ascii="Trebuchet MS"/>
          <w:b/>
          <w:color w:val="231F20"/>
          <w:w w:val="105"/>
          <w:sz w:val="19"/>
        </w:rPr>
        <w:t>Osmolarity</w:t>
      </w:r>
      <w:r>
        <w:rPr>
          <w:rFonts w:ascii="Trebuchet MS"/>
          <w:b/>
          <w:color w:val="231F20"/>
          <w:spacing w:val="-14"/>
          <w:w w:val="105"/>
          <w:sz w:val="19"/>
        </w:rPr>
        <w:t> </w:t>
      </w:r>
      <w:r>
        <w:rPr>
          <w:rFonts w:ascii="Trebuchet MS"/>
          <w:b/>
          <w:color w:val="231F20"/>
          <w:w w:val="105"/>
          <w:sz w:val="19"/>
        </w:rPr>
        <w:t>of</w:t>
      </w:r>
      <w:r>
        <w:rPr>
          <w:rFonts w:ascii="Trebuchet MS"/>
          <w:b/>
          <w:color w:val="231F20"/>
          <w:spacing w:val="-13"/>
          <w:w w:val="105"/>
          <w:sz w:val="19"/>
        </w:rPr>
        <w:t> </w:t>
      </w:r>
      <w:r>
        <w:rPr>
          <w:rFonts w:ascii="Trebuchet MS"/>
          <w:b/>
          <w:color w:val="231F20"/>
          <w:w w:val="105"/>
          <w:sz w:val="19"/>
        </w:rPr>
        <w:t>the</w:t>
      </w:r>
      <w:r>
        <w:rPr>
          <w:rFonts w:ascii="Trebuchet MS"/>
          <w:b/>
          <w:color w:val="231F20"/>
          <w:spacing w:val="-14"/>
          <w:w w:val="105"/>
          <w:sz w:val="19"/>
        </w:rPr>
        <w:t> </w:t>
      </w:r>
      <w:r>
        <w:rPr>
          <w:rFonts w:ascii="Trebuchet MS"/>
          <w:b/>
          <w:color w:val="231F20"/>
          <w:w w:val="105"/>
          <w:sz w:val="19"/>
        </w:rPr>
        <w:t>Body</w:t>
      </w:r>
      <w:r>
        <w:rPr>
          <w:rFonts w:ascii="Trebuchet MS"/>
          <w:b/>
          <w:color w:val="231F20"/>
          <w:spacing w:val="-13"/>
          <w:w w:val="105"/>
          <w:sz w:val="19"/>
        </w:rPr>
        <w:t> </w:t>
      </w:r>
      <w:r>
        <w:rPr>
          <w:rFonts w:ascii="Trebuchet MS"/>
          <w:b/>
          <w:color w:val="231F20"/>
          <w:w w:val="105"/>
          <w:sz w:val="19"/>
        </w:rPr>
        <w:t>Fluids.</w:t>
      </w:r>
      <w:r>
        <w:rPr>
          <w:rFonts w:ascii="Trebuchet MS"/>
          <w:b/>
          <w:color w:val="231F20"/>
          <w:spacing w:val="14"/>
          <w:w w:val="105"/>
          <w:sz w:val="19"/>
        </w:rPr>
        <w:t> </w:t>
      </w:r>
      <w:r>
        <w:rPr>
          <w:color w:val="231F20"/>
          <w:spacing w:val="-3"/>
          <w:w w:val="105"/>
        </w:rPr>
        <w:t>Turning</w:t>
      </w:r>
      <w:r>
        <w:rPr>
          <w:color w:val="231F20"/>
          <w:spacing w:val="-11"/>
          <w:w w:val="105"/>
        </w:rPr>
        <w:t> </w:t>
      </w:r>
      <w:r>
        <w:rPr>
          <w:color w:val="231F20"/>
          <w:w w:val="105"/>
        </w:rPr>
        <w:t>back</w:t>
      </w:r>
      <w:r>
        <w:rPr>
          <w:color w:val="231F20"/>
          <w:spacing w:val="-11"/>
          <w:w w:val="105"/>
        </w:rPr>
        <w:t> </w:t>
      </w:r>
      <w:r>
        <w:rPr>
          <w:color w:val="231F20"/>
          <w:w w:val="105"/>
        </w:rPr>
        <w:t>to</w:t>
      </w:r>
      <w:r>
        <w:rPr>
          <w:color w:val="231F20"/>
          <w:spacing w:val="-11"/>
          <w:w w:val="105"/>
        </w:rPr>
        <w:t> </w:t>
      </w:r>
      <w:hyperlink w:history="true" w:anchor="_bookmark4">
        <w:r>
          <w:rPr>
            <w:b/>
            <w:color w:val="0080AC"/>
            <w:spacing w:val="-7"/>
            <w:w w:val="105"/>
          </w:rPr>
          <w:t>Table</w:t>
        </w:r>
      </w:hyperlink>
      <w:r>
        <w:rPr>
          <w:b/>
          <w:color w:val="0080AC"/>
          <w:spacing w:val="-7"/>
          <w:w w:val="105"/>
        </w:rPr>
        <w:t> </w:t>
      </w:r>
      <w:hyperlink w:history="true" w:anchor="_bookmark4">
        <w:r>
          <w:rPr>
            <w:b/>
            <w:color w:val="0080AC"/>
            <w:w w:val="105"/>
          </w:rPr>
          <w:t>25-2</w:t>
        </w:r>
      </w:hyperlink>
      <w:r>
        <w:rPr>
          <w:color w:val="231F20"/>
          <w:w w:val="105"/>
        </w:rPr>
        <w:t>, note the approximate osmolarity of the </w:t>
      </w:r>
      <w:r>
        <w:rPr>
          <w:color w:val="231F20"/>
          <w:spacing w:val="-3"/>
          <w:w w:val="105"/>
        </w:rPr>
        <w:t>various </w:t>
      </w:r>
      <w:r>
        <w:rPr>
          <w:color w:val="231F20"/>
          <w:w w:val="105"/>
        </w:rPr>
        <w:t>osmotically</w:t>
      </w:r>
      <w:r>
        <w:rPr>
          <w:color w:val="231F20"/>
          <w:spacing w:val="-20"/>
          <w:w w:val="105"/>
        </w:rPr>
        <w:t> </w:t>
      </w:r>
      <w:r>
        <w:rPr>
          <w:color w:val="231F20"/>
          <w:w w:val="105"/>
        </w:rPr>
        <w:t>active</w:t>
      </w:r>
      <w:r>
        <w:rPr>
          <w:color w:val="231F20"/>
          <w:spacing w:val="-20"/>
          <w:w w:val="105"/>
        </w:rPr>
        <w:t> </w:t>
      </w:r>
      <w:r>
        <w:rPr>
          <w:color w:val="231F20"/>
          <w:w w:val="105"/>
        </w:rPr>
        <w:t>substances</w:t>
      </w:r>
      <w:r>
        <w:rPr>
          <w:color w:val="231F20"/>
          <w:spacing w:val="-19"/>
          <w:w w:val="105"/>
        </w:rPr>
        <w:t> </w:t>
      </w:r>
      <w:r>
        <w:rPr>
          <w:color w:val="231F20"/>
          <w:w w:val="105"/>
        </w:rPr>
        <w:t>in</w:t>
      </w:r>
      <w:r>
        <w:rPr>
          <w:color w:val="231F20"/>
          <w:spacing w:val="-20"/>
          <w:w w:val="105"/>
        </w:rPr>
        <w:t> </w:t>
      </w:r>
      <w:r>
        <w:rPr>
          <w:color w:val="231F20"/>
          <w:w w:val="105"/>
        </w:rPr>
        <w:t>plasma,</w:t>
      </w:r>
      <w:r>
        <w:rPr>
          <w:color w:val="231F20"/>
          <w:spacing w:val="-20"/>
          <w:w w:val="105"/>
        </w:rPr>
        <w:t> </w:t>
      </w:r>
      <w:r>
        <w:rPr>
          <w:color w:val="231F20"/>
          <w:w w:val="105"/>
        </w:rPr>
        <w:t>interstitial</w:t>
      </w:r>
      <w:r>
        <w:rPr>
          <w:color w:val="231F20"/>
          <w:spacing w:val="-19"/>
          <w:w w:val="105"/>
        </w:rPr>
        <w:t> </w:t>
      </w:r>
      <w:r>
        <w:rPr>
          <w:color w:val="231F20"/>
          <w:spacing w:val="-3"/>
          <w:w w:val="105"/>
        </w:rPr>
        <w:t>fluid, </w:t>
      </w:r>
      <w:r>
        <w:rPr>
          <w:color w:val="231F20"/>
          <w:w w:val="105"/>
        </w:rPr>
        <w:t>and intracellular fluid. Note that about 80 percent of </w:t>
      </w:r>
      <w:r>
        <w:rPr>
          <w:color w:val="231F20"/>
          <w:spacing w:val="-6"/>
          <w:w w:val="105"/>
        </w:rPr>
        <w:t>the </w:t>
      </w:r>
      <w:r>
        <w:rPr>
          <w:color w:val="231F20"/>
          <w:w w:val="105"/>
        </w:rPr>
        <w:t>total</w:t>
      </w:r>
      <w:r>
        <w:rPr>
          <w:color w:val="231F20"/>
          <w:spacing w:val="-10"/>
          <w:w w:val="105"/>
        </w:rPr>
        <w:t> </w:t>
      </w:r>
      <w:r>
        <w:rPr>
          <w:color w:val="231F20"/>
          <w:w w:val="105"/>
        </w:rPr>
        <w:t>osmolarity</w:t>
      </w:r>
      <w:r>
        <w:rPr>
          <w:color w:val="231F20"/>
          <w:spacing w:val="-9"/>
          <w:w w:val="105"/>
        </w:rPr>
        <w:t> </w:t>
      </w:r>
      <w:r>
        <w:rPr>
          <w:color w:val="231F20"/>
          <w:w w:val="105"/>
        </w:rPr>
        <w:t>of</w:t>
      </w:r>
      <w:r>
        <w:rPr>
          <w:color w:val="231F20"/>
          <w:spacing w:val="-10"/>
          <w:w w:val="105"/>
        </w:rPr>
        <w:t> </w:t>
      </w:r>
      <w:r>
        <w:rPr>
          <w:color w:val="231F20"/>
          <w:w w:val="105"/>
        </w:rPr>
        <w:t>the</w:t>
      </w:r>
      <w:r>
        <w:rPr>
          <w:color w:val="231F20"/>
          <w:spacing w:val="-9"/>
          <w:w w:val="105"/>
        </w:rPr>
        <w:t> </w:t>
      </w:r>
      <w:r>
        <w:rPr>
          <w:color w:val="231F20"/>
          <w:w w:val="105"/>
        </w:rPr>
        <w:t>interstitial</w:t>
      </w:r>
      <w:r>
        <w:rPr>
          <w:color w:val="231F20"/>
          <w:spacing w:val="-9"/>
          <w:w w:val="105"/>
        </w:rPr>
        <w:t> </w:t>
      </w:r>
      <w:r>
        <w:rPr>
          <w:color w:val="231F20"/>
          <w:w w:val="105"/>
        </w:rPr>
        <w:t>fluid</w:t>
      </w:r>
      <w:r>
        <w:rPr>
          <w:color w:val="231F20"/>
          <w:spacing w:val="-10"/>
          <w:w w:val="105"/>
        </w:rPr>
        <w:t> </w:t>
      </w:r>
      <w:r>
        <w:rPr>
          <w:color w:val="231F20"/>
          <w:w w:val="105"/>
        </w:rPr>
        <w:t>and</w:t>
      </w:r>
      <w:r>
        <w:rPr>
          <w:color w:val="231F20"/>
          <w:spacing w:val="-9"/>
          <w:w w:val="105"/>
        </w:rPr>
        <w:t> </w:t>
      </w:r>
      <w:r>
        <w:rPr>
          <w:color w:val="231F20"/>
          <w:w w:val="105"/>
        </w:rPr>
        <w:t>plasma</w:t>
      </w:r>
      <w:r>
        <w:rPr>
          <w:color w:val="231F20"/>
          <w:spacing w:val="-9"/>
          <w:w w:val="105"/>
        </w:rPr>
        <w:t> </w:t>
      </w:r>
      <w:r>
        <w:rPr>
          <w:color w:val="231F20"/>
          <w:w w:val="105"/>
        </w:rPr>
        <w:t>is</w:t>
      </w:r>
      <w:r>
        <w:rPr>
          <w:color w:val="231F20"/>
          <w:spacing w:val="-10"/>
          <w:w w:val="105"/>
        </w:rPr>
        <w:t> </w:t>
      </w:r>
      <w:r>
        <w:rPr>
          <w:color w:val="231F20"/>
          <w:spacing w:val="-5"/>
          <w:w w:val="105"/>
        </w:rPr>
        <w:t>due </w:t>
      </w:r>
      <w:r>
        <w:rPr>
          <w:color w:val="231F20"/>
          <w:w w:val="105"/>
        </w:rPr>
        <w:t>to</w:t>
      </w:r>
      <w:r>
        <w:rPr>
          <w:color w:val="231F20"/>
          <w:spacing w:val="24"/>
          <w:w w:val="105"/>
        </w:rPr>
        <w:t> </w:t>
      </w:r>
      <w:r>
        <w:rPr>
          <w:color w:val="231F20"/>
          <w:w w:val="105"/>
        </w:rPr>
        <w:t>sodium</w:t>
      </w:r>
      <w:r>
        <w:rPr>
          <w:color w:val="231F20"/>
          <w:spacing w:val="25"/>
          <w:w w:val="105"/>
        </w:rPr>
        <w:t> </w:t>
      </w:r>
      <w:r>
        <w:rPr>
          <w:color w:val="231F20"/>
          <w:w w:val="105"/>
        </w:rPr>
        <w:t>and</w:t>
      </w:r>
      <w:r>
        <w:rPr>
          <w:color w:val="231F20"/>
          <w:spacing w:val="25"/>
          <w:w w:val="105"/>
        </w:rPr>
        <w:t> </w:t>
      </w:r>
      <w:r>
        <w:rPr>
          <w:color w:val="231F20"/>
          <w:w w:val="105"/>
        </w:rPr>
        <w:t>chloride</w:t>
      </w:r>
      <w:r>
        <w:rPr>
          <w:color w:val="231F20"/>
          <w:spacing w:val="25"/>
          <w:w w:val="105"/>
        </w:rPr>
        <w:t> </w:t>
      </w:r>
      <w:r>
        <w:rPr>
          <w:color w:val="231F20"/>
          <w:w w:val="105"/>
        </w:rPr>
        <w:t>ions,</w:t>
      </w:r>
      <w:r>
        <w:rPr>
          <w:color w:val="231F20"/>
          <w:spacing w:val="25"/>
          <w:w w:val="105"/>
        </w:rPr>
        <w:t> </w:t>
      </w:r>
      <w:r>
        <w:rPr>
          <w:color w:val="231F20"/>
          <w:w w:val="105"/>
        </w:rPr>
        <w:t>whereas</w:t>
      </w:r>
      <w:r>
        <w:rPr>
          <w:color w:val="231F20"/>
          <w:spacing w:val="25"/>
          <w:w w:val="105"/>
        </w:rPr>
        <w:t> </w:t>
      </w:r>
      <w:r>
        <w:rPr>
          <w:color w:val="231F20"/>
          <w:w w:val="105"/>
        </w:rPr>
        <w:t>for</w:t>
      </w:r>
      <w:r>
        <w:rPr>
          <w:color w:val="231F20"/>
          <w:spacing w:val="25"/>
          <w:w w:val="105"/>
        </w:rPr>
        <w:t> </w:t>
      </w:r>
      <w:r>
        <w:rPr>
          <w:color w:val="231F20"/>
          <w:w w:val="105"/>
        </w:rPr>
        <w:t>intracellular</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181" w:lineRule="exact" w:before="113"/>
        <w:ind w:left="850" w:right="0" w:firstLine="0"/>
        <w:jc w:val="left"/>
        <w:rPr>
          <w:rFonts w:ascii="Helvetica"/>
          <w:sz w:val="16"/>
        </w:rPr>
      </w:pPr>
      <w:r>
        <w:rPr>
          <w:rFonts w:ascii="Helvetica"/>
          <w:color w:val="231F20"/>
          <w:sz w:val="16"/>
        </w:rPr>
        <w:t>HYPOTONIC</w:t>
      </w:r>
    </w:p>
    <w:p>
      <w:pPr>
        <w:spacing w:line="181" w:lineRule="exact" w:before="0"/>
        <w:ind w:left="948" w:right="0" w:firstLine="0"/>
        <w:jc w:val="left"/>
        <w:rPr>
          <w:rFonts w:ascii="Helvetica"/>
          <w:sz w:val="16"/>
        </w:rPr>
      </w:pPr>
      <w:r>
        <w:rPr>
          <w:rFonts w:ascii="Helvetica"/>
          <w:color w:val="231F20"/>
          <w:sz w:val="16"/>
        </w:rPr>
        <w:t>Cell swells</w:t>
      </w:r>
    </w:p>
    <w:p>
      <w:pPr>
        <w:pStyle w:val="BodyText"/>
        <w:spacing w:before="8" w:after="40"/>
        <w:rPr>
          <w:rFonts w:ascii="Helvetica"/>
          <w:sz w:val="8"/>
        </w:rPr>
      </w:pPr>
      <w:r>
        <w:rPr/>
        <w:br w:type="column"/>
      </w:r>
      <w:r>
        <w:rPr>
          <w:rFonts w:ascii="Helvetica"/>
          <w:sz w:val="8"/>
        </w:rPr>
      </w:r>
    </w:p>
    <w:p>
      <w:pPr>
        <w:pStyle w:val="BodyText"/>
        <w:ind w:left="747"/>
        <w:rPr>
          <w:rFonts w:ascii="Helvetica"/>
        </w:rPr>
      </w:pPr>
      <w:r>
        <w:rPr>
          <w:rFonts w:ascii="Helvetica"/>
          <w:position w:val="85"/>
        </w:rPr>
        <w:drawing>
          <wp:inline distT="0" distB="0" distL="0" distR="0">
            <wp:extent cx="115131" cy="74675"/>
            <wp:effectExtent l="0" t="0" r="0" b="0"/>
            <wp:docPr id="1" name="image27.png"/>
            <wp:cNvGraphicFramePr>
              <a:graphicFrameLocks noChangeAspect="1"/>
            </wp:cNvGraphicFramePr>
            <a:graphic>
              <a:graphicData uri="http://schemas.openxmlformats.org/drawingml/2006/picture">
                <pic:pic>
                  <pic:nvPicPr>
                    <pic:cNvPr id="2" name="image27.png"/>
                    <pic:cNvPicPr/>
                  </pic:nvPicPr>
                  <pic:blipFill>
                    <a:blip r:embed="rId43" cstate="print"/>
                    <a:stretch>
                      <a:fillRect/>
                    </a:stretch>
                  </pic:blipFill>
                  <pic:spPr>
                    <a:xfrm>
                      <a:off x="0" y="0"/>
                      <a:ext cx="115131" cy="74675"/>
                    </a:xfrm>
                    <a:prstGeom prst="rect">
                      <a:avLst/>
                    </a:prstGeom>
                  </pic:spPr>
                </pic:pic>
              </a:graphicData>
            </a:graphic>
          </wp:inline>
        </w:drawing>
      </w:r>
      <w:r>
        <w:rPr>
          <w:rFonts w:ascii="Helvetica"/>
          <w:position w:val="85"/>
        </w:rPr>
      </w:r>
      <w:r>
        <w:rPr>
          <w:spacing w:val="110"/>
          <w:position w:val="85"/>
        </w:rPr>
        <w:t> </w:t>
      </w:r>
      <w:r>
        <w:rPr>
          <w:rFonts w:ascii="Helvetica"/>
          <w:spacing w:val="110"/>
        </w:rPr>
        <w:pict>
          <v:group style="width:101.45pt;height:88.65pt;mso-position-horizontal-relative:char;mso-position-vertical-relative:line" coordorigin="0,0" coordsize="2029,1773">
            <v:shape style="position:absolute;left:20;top:128;width:1989;height:1625" coordorigin="20,128" coordsize="1989,1625" path="m20,158l20,1595,32,1657,66,1707,116,1740,178,1753,1851,1753,1913,1740,1963,1707,1996,1657,2009,1595,2009,166,66,166,54,165,42,164,31,161,20,158xm202,128l182,129,164,133,147,139,134,147,120,155,104,161,86,165,66,166,338,166,318,164,299,161,283,154,269,146,255,139,239,133,221,129,202,128xm474,128l454,129,436,133,419,139,405,147,392,155,376,161,358,165,338,166,610,166,590,164,571,161,555,154,541,146,527,139,511,133,493,129,474,128xm746,128l726,129,707,133,691,139,677,147,664,155,647,161,629,165,610,166,882,166,861,164,843,161,826,154,813,146,799,139,783,133,765,129,746,128xm1017,128l998,129,979,133,963,139,949,147,935,155,919,161,901,165,882,166,1153,166,1133,164,1115,161,1098,154,1084,146,1071,139,1055,133,1037,129,1017,128xm1289,128l1269,129,1251,133,1235,139,1221,147,1207,155,1191,161,1173,165,1153,166,1425,166,1405,164,1386,161,1370,154,1356,146,1343,139,1327,133,1309,129,1289,128xm1561,128l1541,129,1523,133,1507,139,1493,147,1479,155,1463,161,1445,165,1425,166,1697,166,1677,164,1658,161,1642,154,1628,146,1614,139,1598,133,1580,129,1561,128xm1833,128l1813,129,1795,133,1778,139,1765,147,1751,155,1735,161,1717,165,1697,166,1969,166,1949,164,1930,161,1914,154,1900,146,1886,139,1870,133,1852,129,1833,128xm2009,158l2000,161,1990,163,1979,165,1969,166,2009,166,2009,158xe" filled="true" fillcolor="#c7d6ea" stroked="false">
              <v:path arrowok="t"/>
              <v:fill type="solid"/>
            </v:shape>
            <v:shape style="position:absolute;left:576;top:365;width:961;height:971" coordorigin="576,365" coordsize="961,971" path="m957,365l911,380,857,419,804,458,768,483,694,566,646,632,608,696,583,771,576,867,583,926,599,991,624,1059,657,1126,698,1188,747,1243,804,1286,867,1315,948,1331,1035,1336,1124,1329,1210,1311,1287,1285,1352,1249,1398,1206,1440,1151,1479,1091,1512,1025,1532,950,1537,864,1521,763,1488,676,1439,600,1379,536,1313,483,1246,444,1182,417,1128,404,1021,374,957,365xe" filled="true" fillcolor="#dcd8e1" stroked="false">
              <v:path arrowok="t"/>
              <v:fill type="solid"/>
            </v:shape>
            <v:shape style="position:absolute;left:576;top:365;width:961;height:971" coordorigin="576,365" coordsize="961,971" path="m1128,404l1021,374,957,365,911,380,857,419,804,458,768,483,694,566,646,632,608,696,583,771,576,867,583,926,599,991,624,1059,657,1126,698,1188,747,1243,804,1286,867,1315,948,1331,1035,1336,1124,1329,1210,1311,1287,1285,1352,1249,1398,1206,1440,1151,1479,1091,1512,1025,1532,950,1537,864,1521,763,1488,676,1439,600,1379,536,1313,483,1246,444,1182,417,1128,404xe" filled="false" stroked="true" strokeweight="1pt" strokecolor="#f0535f">
              <v:path arrowok="t"/>
              <v:stroke dashstyle="solid"/>
            </v:shape>
            <v:shape style="position:absolute;left:20;top:20;width:1989;height:1733" coordorigin="20,20" coordsize="1989,1733" path="m2009,20l2009,1595,1996,1657,1963,1707,1913,1740,1851,1753,178,1753,116,1740,66,1707,32,1657,20,1595,20,20e" filled="false" stroked="true" strokeweight="2pt" strokecolor="#231f20">
              <v:path arrowok="t"/>
              <v:stroke dashstyle="solid"/>
            </v:shape>
            <v:shape style="position:absolute;left:106;top:242;width:48;height:48" coordorigin="106,242" coordsize="48,48" path="m143,242l117,242,106,253,106,279,117,289,143,289,153,279,153,253,143,242xe" filled="true" fillcolor="#8d5ba5" stroked="false">
              <v:path arrowok="t"/>
              <v:fill type="solid"/>
            </v:shape>
            <v:shape style="position:absolute;left:382;top:265;width:48;height:48" coordorigin="383,265" coordsize="48,48" path="m419,265l393,265,383,276,383,302,393,312,419,312,430,302,430,276,419,265xe" filled="true" fillcolor="#8d5ba5" stroked="false">
              <v:path arrowok="t"/>
              <v:fill type="solid"/>
            </v:shape>
            <v:shape style="position:absolute;left:647;top:305;width:48;height:48" coordorigin="648,305" coordsize="48,48" path="m684,305l658,305,648,316,648,342,658,353,684,353,695,342,695,316,684,305xe" filled="true" fillcolor="#8d5ba5" stroked="false">
              <v:path arrowok="t"/>
              <v:fill type="solid"/>
            </v:shape>
            <v:shape style="position:absolute;left:1022;top:270;width:48;height:48" coordorigin="1022,271" coordsize="48,48" path="m1059,271l1033,271,1022,282,1022,308,1033,318,1059,318,1070,308,1070,282,1059,271xe" filled="true" fillcolor="#8d5ba5" stroked="false">
              <v:path arrowok="t"/>
              <v:fill type="solid"/>
            </v:shape>
            <v:shape style="position:absolute;left:1321;top:305;width:48;height:48" coordorigin="1322,305" coordsize="48,48" path="m1359,305l1333,305,1322,316,1322,342,1333,353,1359,353,1369,342,1369,316,1359,305xe" filled="true" fillcolor="#8d5ba5" stroked="false">
              <v:path arrowok="t"/>
              <v:fill type="solid"/>
            </v:shape>
            <v:shape style="position:absolute;left:1529;top:282;width:48;height:48" coordorigin="1529,282" coordsize="48,48" path="m1566,282l1540,282,1529,293,1529,319,1540,330,1566,330,1577,319,1577,293,1566,282xe" filled="true" fillcolor="#8d5ba5" stroked="false">
              <v:path arrowok="t"/>
              <v:fill type="solid"/>
            </v:shape>
            <v:shape style="position:absolute;left:1834;top:282;width:48;height:48" coordorigin="1835,282" coordsize="48,48" path="m1871,282l1845,282,1835,293,1835,319,1845,330,1871,330,1882,319,1882,293,1871,282xe" filled="true" fillcolor="#8d5ba5" stroked="false">
              <v:path arrowok="t"/>
              <v:fill type="solid"/>
            </v:shape>
            <v:shape style="position:absolute;left:1702;top:495;width:48;height:48" coordorigin="1702,496" coordsize="48,48" path="m1739,496l1713,496,1702,506,1702,532,1713,543,1739,543,1750,532,1750,506,1739,496xe" filled="true" fillcolor="#8d5ba5" stroked="false">
              <v:path arrowok="t"/>
              <v:fill type="solid"/>
            </v:shape>
            <v:shape style="position:absolute;left:1442;top:449;width:48;height:48" coordorigin="1443,450" coordsize="48,48" path="m1480,450l1454,450,1443,460,1443,486,1454,497,1480,497,1490,486,1490,460,1480,450xe" filled="true" fillcolor="#8d5ba5" stroked="false">
              <v:path arrowok="t"/>
              <v:fill type="solid"/>
            </v:shape>
            <v:shape style="position:absolute;left:1102;top:438;width:48;height:48" coordorigin="1103,438" coordsize="48,48" path="m1140,438l1114,438,1103,449,1103,475,1114,485,1140,485,1150,475,1150,449,1140,438xe" filled="true" fillcolor="#8d5ba5" stroked="false">
              <v:path arrowok="t"/>
              <v:fill type="solid"/>
            </v:shape>
            <v:shape style="position:absolute;left:843;top:420;width:48;height:48" coordorigin="844,421" coordsize="48,48" path="m880,421l854,421,844,431,844,457,854,468,880,468,891,457,891,431,880,421xe" filled="true" fillcolor="#8d5ba5" stroked="false">
              <v:path arrowok="t"/>
              <v:fill type="solid"/>
            </v:shape>
            <v:shape style="position:absolute;left:469;top:449;width:48;height:48" coordorigin="469,450" coordsize="48,48" path="m506,450l480,450,469,460,469,486,480,497,506,497,516,486,516,460,506,450xe" filled="true" fillcolor="#8d5ba5" stroked="false">
              <v:path arrowok="t"/>
              <v:fill type="solid"/>
            </v:shape>
            <v:shape style="position:absolute;left:227;top:397;width:48;height:48" coordorigin="227,398" coordsize="48,48" path="m264,398l238,398,227,408,227,434,238,445,264,445,274,434,274,408,264,398xe" filled="true" fillcolor="#8d5ba5" stroked="false">
              <v:path arrowok="t"/>
              <v:fill type="solid"/>
            </v:shape>
            <v:shape style="position:absolute;left:232;top:226;width:48;height:48" coordorigin="233,226" coordsize="48,48" path="m269,226l243,226,233,237,233,263,243,273,269,273,280,263,280,237,269,226xe" filled="true" fillcolor="#8d5ba5" stroked="false">
              <v:path arrowok="t"/>
              <v:fill type="solid"/>
            </v:shape>
            <v:shape style="position:absolute;left:508;top:226;width:48;height:48" coordorigin="508,226" coordsize="48,48" path="m545,226l519,226,508,237,508,263,519,273,545,273,556,263,556,237,545,226xe" filled="true" fillcolor="#8d5ba5" stroked="false">
              <v:path arrowok="t"/>
              <v:fill type="solid"/>
            </v:shape>
            <v:shape style="position:absolute;left:357;top:422;width:48;height:48" coordorigin="357,423" coordsize="48,48" path="m394,423l368,423,357,434,357,460,368,470,394,470,405,460,405,434,394,423xe" filled="true" fillcolor="#8d5ba5" stroked="false">
              <v:path arrowok="t"/>
              <v:fill type="solid"/>
            </v:shape>
            <v:shape style="position:absolute;left:75;top:403;width:48;height:48" coordorigin="75,403" coordsize="48,48" path="m112,403l86,403,75,414,75,440,86,451,112,451,122,440,122,414,112,403xe" filled="true" fillcolor="#8d5ba5" stroked="false">
              <v:path arrowok="t"/>
              <v:fill type="solid"/>
            </v:shape>
            <v:shape style="position:absolute;left:199;top:600;width:48;height:48" coordorigin="200,600" coordsize="48,48" path="m237,600l210,600,200,611,200,637,210,647,237,647,247,637,247,611,237,600xe" filled="true" fillcolor="#8d5ba5" stroked="false">
              <v:path arrowok="t"/>
              <v:fill type="solid"/>
            </v:shape>
            <v:shape style="position:absolute;left:508;top:600;width:48;height:48" coordorigin="508,600" coordsize="48,48" path="m545,600l519,600,508,611,508,637,519,647,545,647,556,637,556,611,545,600xe" filled="true" fillcolor="#8d5ba5" stroked="false">
              <v:path arrowok="t"/>
              <v:fill type="solid"/>
            </v:shape>
            <v:shape style="position:absolute;left:600;top:429;width:48;height:48" coordorigin="600,430" coordsize="48,48" path="m637,430l611,430,600,440,600,466,611,477,637,477,647,466,647,440,637,430xe" filled="true" fillcolor="#8d5ba5" stroked="false">
              <v:path arrowok="t"/>
              <v:fill type="solid"/>
            </v:shape>
            <v:shape style="position:absolute;left:784;top:278;width:48;height:48" coordorigin="784,279" coordsize="48,48" path="m821,279l795,279,784,289,784,315,795,326,821,326,831,315,831,289,821,279xe" filled="true" fillcolor="#8d5ba5" stroked="false">
              <v:path arrowok="t"/>
              <v:fill type="solid"/>
            </v:shape>
            <v:shape style="position:absolute;left:764;top:521;width:48;height:48" coordorigin="764,521" coordsize="48,48" path="m801,521l775,521,764,532,764,558,775,569,801,569,812,558,812,532,801,521xe" filled="true" fillcolor="#8d5ba5" stroked="false">
              <v:path arrowok="t"/>
              <v:fill type="solid"/>
            </v:shape>
            <v:shape style="position:absolute;left:948;top:468;width:48;height:48" coordorigin="948,469" coordsize="48,48" path="m985,469l959,469,948,480,948,506,959,516,985,516,995,506,995,480,985,469xe" filled="true" fillcolor="#8d5ba5" stroked="false">
              <v:path arrowok="t"/>
              <v:fill type="solid"/>
            </v:shape>
            <v:shape style="position:absolute;left:921;top:226;width:48;height:48" coordorigin="922,226" coordsize="48,48" path="m959,226l932,226,922,237,922,263,932,273,959,273,969,263,969,237,959,226xe" filled="true" fillcolor="#8d5ba5" stroked="false">
              <v:path arrowok="t"/>
              <v:fill type="solid"/>
            </v:shape>
            <v:shape style="position:absolute;left:1197;top:212;width:48;height:48" coordorigin="1197,213" coordsize="48,48" path="m1234,213l1208,213,1197,224,1197,250,1208,260,1234,260,1245,250,1245,224,1234,213xe" filled="true" fillcolor="#8d5ba5" stroked="false">
              <v:path arrowok="t"/>
              <v:fill type="solid"/>
            </v:shape>
            <v:shape style="position:absolute;left:1171;top:317;width:48;height:48" coordorigin="1171,318" coordsize="48,48" path="m1208,318l1182,318,1171,329,1171,355,1182,365,1208,365,1219,355,1219,329,1208,318xe" filled="true" fillcolor="#8d5ba5" stroked="false">
              <v:path arrowok="t"/>
              <v:fill type="solid"/>
            </v:shape>
            <v:shape style="position:absolute;left:1295;top:442;width:48;height:48" coordorigin="1296,443" coordsize="48,48" path="m1333,443l1307,443,1296,453,1296,479,1307,490,1333,490,1343,479,1343,453,1333,443xe" filled="true" fillcolor="#8d5ba5" stroked="false">
              <v:path arrowok="t"/>
              <v:fill type="solid"/>
            </v:shape>
            <v:shape style="position:absolute;left:1400;top:226;width:48;height:48" coordorigin="1401,226" coordsize="48,48" path="m1438,226l1412,226,1401,237,1401,263,1412,273,1438,273,1448,263,1448,237,1438,226xe" filled="true" fillcolor="#8d5ba5" stroked="false">
              <v:path arrowok="t"/>
              <v:fill type="solid"/>
            </v:shape>
            <v:shape style="position:absolute;left:1624;top:193;width:48;height:48" coordorigin="1624,193" coordsize="48,48" path="m1661,193l1635,193,1624,204,1624,230,1635,241,1661,241,1671,230,1671,204,1661,193xe" filled="true" fillcolor="#8d5ba5" stroked="false">
              <v:path arrowok="t"/>
              <v:fill type="solid"/>
            </v:shape>
            <v:shape style="position:absolute;left:1696;top:324;width:48;height:48" coordorigin="1696,325" coordsize="48,48" path="m1733,325l1707,325,1696,335,1696,361,1707,372,1733,372,1744,361,1744,335,1733,325xe" filled="true" fillcolor="#8d5ba5" stroked="false">
              <v:path arrowok="t"/>
              <v:fill type="solid"/>
            </v:shape>
            <v:shape style="position:absolute;left:1571;top:462;width:48;height:48" coordorigin="1572,462" coordsize="48,48" path="m1608,462l1582,462,1572,473,1572,499,1582,510,1608,510,1619,499,1619,473,1608,462xe" filled="true" fillcolor="#8d5ba5" stroked="false">
              <v:path arrowok="t"/>
              <v:fill type="solid"/>
            </v:shape>
            <v:shape style="position:absolute;left:1847;top:455;width:48;height:48" coordorigin="1847,456" coordsize="48,48" path="m1884,456l1858,456,1847,466,1847,492,1858,503,1884,503,1895,492,1895,466,1884,456xe" filled="true" fillcolor="#8d5ba5" stroked="false">
              <v:path arrowok="t"/>
              <v:fill type="solid"/>
            </v:shape>
            <v:shape style="position:absolute;left:1814;top:167;width:48;height:48" coordorigin="1814,167" coordsize="48,48" path="m1851,167l1825,167,1814,178,1814,204,1825,214,1851,214,1862,204,1862,178,1851,167xe" filled="true" fillcolor="#8d5ba5" stroked="false">
              <v:path arrowok="t"/>
              <v:fill type="solid"/>
            </v:shape>
            <v:shape style="position:absolute;left:1696;top:652;width:48;height:48" coordorigin="1696,653" coordsize="48,48" path="m1733,653l1707,653,1696,663,1696,689,1707,700,1733,700,1744,689,1744,663,1733,653xe" filled="true" fillcolor="#8d5ba5" stroked="false">
              <v:path arrowok="t"/>
              <v:fill type="solid"/>
            </v:shape>
            <v:shape style="position:absolute;left:1400;top:593;width:48;height:48" coordorigin="1401,594" coordsize="48,48" path="m1438,594l1412,594,1401,604,1401,630,1412,641,1438,641,1448,630,1448,604,1438,594xe" filled="true" fillcolor="#8d5ba5" stroked="false">
              <v:path arrowok="t"/>
              <v:fill type="solid"/>
            </v:shape>
            <v:shape style="position:absolute;left:1053;top:567;width:48;height:48" coordorigin="1053,567" coordsize="48,48" path="m1090,567l1064,567,1053,578,1053,604,1064,615,1090,615,1100,604,1100,578,1090,567xe" filled="true" fillcolor="#8d5ba5" stroked="false">
              <v:path arrowok="t"/>
              <v:fill type="solid"/>
            </v:shape>
            <v:shape style="position:absolute;left:1151;top:698;width:48;height:48" coordorigin="1152,699" coordsize="48,48" path="m1188,699l1162,699,1152,709,1152,735,1162,746,1188,746,1199,735,1199,709,1188,699xe" filled="true" fillcolor="#8d5ba5" stroked="false">
              <v:path arrowok="t"/>
              <v:fill type="solid"/>
            </v:shape>
            <v:shape style="position:absolute;left:1276;top:685;width:48;height:48" coordorigin="1276,686" coordsize="48,48" path="m1313,686l1287,686,1276,696,1276,722,1287,733,1313,733,1324,722,1324,696,1313,686xe" filled="true" fillcolor="#8d5ba5" stroked="false">
              <v:path arrowok="t"/>
              <v:fill type="solid"/>
            </v:shape>
            <v:shape style="position:absolute;left:1433;top:744;width:48;height:48" coordorigin="1434,745" coordsize="48,48" path="m1470,745l1444,745,1434,755,1434,781,1444,792,1470,792,1481,781,1481,755,1470,745xe" filled="true" fillcolor="#8d5ba5" stroked="false">
              <v:path arrowok="t"/>
              <v:fill type="solid"/>
            </v:shape>
            <v:shape style="position:absolute;left:1446;top:961;width:48;height:48" coordorigin="1447,961" coordsize="48,48" path="m1484,961l1457,961,1447,972,1447,998,1457,1008,1484,1008,1494,998,1494,972,1484,961xe" filled="true" fillcolor="#8d5ba5" stroked="false">
              <v:path arrowok="t"/>
              <v:fill type="solid"/>
            </v:shape>
            <v:shape style="position:absolute;left:1571;top:803;width:48;height:48" coordorigin="1572,804" coordsize="48,48" path="m1608,804l1582,804,1572,814,1572,840,1582,851,1608,851,1619,840,1619,814,1608,804xe" filled="true" fillcolor="#8d5ba5" stroked="false">
              <v:path arrowok="t"/>
              <v:fill type="solid"/>
            </v:shape>
            <v:shape style="position:absolute;left:1847;top:816;width:48;height:48" coordorigin="1847,817" coordsize="48,48" path="m1884,817l1858,817,1847,827,1847,853,1858,864,1884,864,1895,853,1895,827,1884,817xe" filled="true" fillcolor="#8d5ba5" stroked="false">
              <v:path arrowok="t"/>
              <v:fill type="solid"/>
            </v:shape>
            <v:shape style="position:absolute;left:1932;top:928;width:48;height:48" coordorigin="1933,928" coordsize="48,48" path="m1969,928l1943,928,1933,939,1933,965,1943,976,1969,976,1980,965,1980,939,1969,928xe" filled="true" fillcolor="#8d5ba5" stroked="false">
              <v:path arrowok="t"/>
              <v:fill type="solid"/>
            </v:shape>
            <v:shape style="position:absolute;left:1939;top:383;width:48;height:48" coordorigin="1939,384" coordsize="48,48" path="m1976,384l1950,384,1939,394,1939,420,1950,431,1976,431,1986,420,1986,394,1976,384xe" filled="true" fillcolor="#8d5ba5" stroked="false">
              <v:path arrowok="t"/>
              <v:fill type="solid"/>
            </v:shape>
            <v:shape style="position:absolute;left:1696;top:994;width:48;height:48" coordorigin="1696,994" coordsize="48,48" path="m1733,994l1707,994,1696,1005,1696,1031,1707,1041,1733,1041,1744,1031,1744,1005,1733,994xe" filled="true" fillcolor="#8d5ba5" stroked="false">
              <v:path arrowok="t"/>
              <v:fill type="solid"/>
            </v:shape>
            <v:shape style="position:absolute;left:1276;top:908;width:48;height:48" coordorigin="1276,909" coordsize="48,48" path="m1313,909l1287,909,1276,919,1276,945,1287,956,1313,956,1324,945,1324,919,1313,909xe" filled="true" fillcolor="#8d5ba5" stroked="false">
              <v:path arrowok="t"/>
              <v:fill type="solid"/>
            </v:shape>
            <v:shape style="position:absolute;left:987;top:790;width:48;height:48" coordorigin="987,791" coordsize="48,48" path="m1024,791l998,791,987,801,987,827,998,838,1024,838,1035,827,1035,801,1024,791xe" filled="true" fillcolor="#8d5ba5" stroked="false">
              <v:path arrowok="t"/>
              <v:fill type="solid"/>
            </v:shape>
            <v:shape style="position:absolute;left:974;top:921;width:48;height:48" coordorigin="974,922" coordsize="48,48" path="m1011,922l985,922,974,932,974,958,985,969,1011,969,1022,958,1022,932,1011,922xe" filled="true" fillcolor="#8d5ba5" stroked="false">
              <v:path arrowok="t"/>
              <v:fill type="solid"/>
            </v:shape>
            <v:shape style="position:absolute;left:1105;top:1066;width:48;height:48" coordorigin="1106,1066" coordsize="48,48" path="m1142,1066l1116,1066,1106,1077,1106,1103,1116,1113,1142,1113,1153,1103,1153,1077,1142,1066xe" filled="true" fillcolor="#8d5ba5" stroked="false">
              <v:path arrowok="t"/>
              <v:fill type="solid"/>
            </v:shape>
            <v:shape style="position:absolute;left:1007;top:1144;width:48;height:48" coordorigin="1007,1145" coordsize="48,48" path="m1044,1145l1018,1145,1007,1156,1007,1182,1018,1192,1044,1192,1054,1182,1054,1156,1044,1145xe" filled="true" fillcolor="#8d5ba5" stroked="false">
              <v:path arrowok="t"/>
              <v:fill type="solid"/>
            </v:shape>
            <v:shape style="position:absolute;left:1171;top:1164;width:48;height:48" coordorigin="1171,1165" coordsize="48,48" path="m1208,1165l1182,1165,1171,1175,1171,1201,1182,1212,1208,1212,1219,1201,1219,1175,1208,1165xe" filled="true" fillcolor="#8d5ba5" stroked="false">
              <v:path arrowok="t"/>
              <v:fill type="solid"/>
            </v:shape>
            <v:shape style="position:absolute;left:1348;top:1099;width:48;height:48" coordorigin="1348,1099" coordsize="48,48" path="m1385,1099l1359,1099,1348,1110,1348,1136,1359,1146,1385,1146,1396,1136,1396,1110,1385,1099xe" filled="true" fillcolor="#8d5ba5" stroked="false">
              <v:path arrowok="t"/>
              <v:fill type="solid"/>
            </v:shape>
            <v:shape style="position:absolute;left:1565;top:1171;width:48;height:48" coordorigin="1565,1171" coordsize="48,48" path="m1602,1171l1576,1171,1565,1182,1565,1208,1576,1219,1602,1219,1612,1208,1612,1182,1602,1171xe" filled="true" fillcolor="#8d5ba5" stroked="false">
              <v:path arrowok="t"/>
              <v:fill type="solid"/>
            </v:shape>
            <v:shape style="position:absolute;left:1867;top:1217;width:48;height:48" coordorigin="1867,1217" coordsize="48,48" path="m1904,1217l1878,1217,1867,1228,1867,1254,1878,1264,1904,1264,1914,1254,1914,1228,1904,1217xe" filled="true" fillcolor="#8d5ba5" stroked="false">
              <v:path arrowok="t"/>
              <v:fill type="solid"/>
            </v:shape>
            <v:shape style="position:absolute;left:1886;top:1525;width:48;height:48" coordorigin="1887,1526" coordsize="48,48" path="m1923,1526l1897,1526,1887,1536,1887,1562,1897,1573,1923,1573,1934,1562,1934,1536,1923,1526xe" filled="true" fillcolor="#8d5ba5" stroked="false">
              <v:path arrowok="t"/>
              <v:fill type="solid"/>
            </v:shape>
            <v:shape style="position:absolute;left:1821;top:1630;width:48;height:48" coordorigin="1821,1631" coordsize="48,48" path="m1858,1631l1832,1631,1821,1641,1821,1667,1832,1678,1858,1678,1868,1667,1868,1641,1858,1631xe" filled="true" fillcolor="#8d5ba5" stroked="false">
              <v:path arrowok="t"/>
              <v:fill type="solid"/>
            </v:shape>
            <v:shape style="position:absolute;left:1716;top:1374;width:48;height:48" coordorigin="1716,1375" coordsize="48,48" path="m1753,1375l1727,1375,1716,1385,1716,1411,1727,1422,1753,1422,1763,1411,1763,1385,1753,1375xe" filled="true" fillcolor="#8d5ba5" stroked="false">
              <v:path arrowok="t"/>
              <v:fill type="solid"/>
            </v:shape>
            <v:shape style="position:absolute;left:1582;top:1289;width:48;height:48" coordorigin="1582,1289" coordsize="48,48" path="m1619,1289l1593,1289,1582,1300,1582,1326,1593,1337,1619,1337,1629,1326,1629,1300,1619,1289xe" filled="true" fillcolor="#8d5ba5" stroked="false">
              <v:path arrowok="t"/>
              <v:fill type="solid"/>
            </v:shape>
            <v:shape style="position:absolute;left:1276;top:1282;width:48;height:48" coordorigin="1276,1283" coordsize="48,48" path="m1313,1283l1287,1283,1276,1293,1276,1319,1287,1330,1313,1330,1324,1319,1324,1293,1313,1283xe" filled="true" fillcolor="#8d5ba5" stroked="false">
              <v:path arrowok="t"/>
              <v:fill type="solid"/>
            </v:shape>
            <v:shape style="position:absolute;left:1407;top:1387;width:48;height:48" coordorigin="1408,1388" coordsize="48,48" path="m1444,1388l1418,1388,1408,1398,1408,1425,1418,1435,1444,1435,1455,1425,1455,1398,1444,1388xe" filled="true" fillcolor="#8d5ba5" stroked="false">
              <v:path arrowok="t"/>
              <v:fill type="solid"/>
            </v:shape>
            <v:shape style="position:absolute;left:1335;top:1532;width:48;height:48" coordorigin="1335,1532" coordsize="48,48" path="m1372,1532l1346,1532,1335,1543,1335,1569,1346,1579,1372,1579,1383,1569,1383,1543,1372,1532xe" filled="true" fillcolor="#8d5ba5" stroked="false">
              <v:path arrowok="t"/>
              <v:fill type="solid"/>
            </v:shape>
            <v:shape style="position:absolute;left:1716;top:1505;width:48;height:48" coordorigin="1716,1506" coordsize="48,48" path="m1753,1506l1727,1506,1716,1517,1716,1543,1727,1553,1753,1553,1763,1543,1763,1517,1753,1506xe" filled="true" fillcolor="#8d5ba5" stroked="false">
              <v:path arrowok="t"/>
              <v:fill type="solid"/>
            </v:shape>
            <v:shape style="position:absolute;left:1112;top:1420;width:48;height:48" coordorigin="1112,1421" coordsize="48,48" path="m1149,1421l1123,1421,1112,1431,1112,1457,1123,1468,1149,1468,1159,1457,1159,1431,1149,1421xe" filled="true" fillcolor="#8d5ba5" stroked="false">
              <v:path arrowok="t"/>
              <v:fill type="solid"/>
            </v:shape>
            <v:shape style="position:absolute;left:88;top:570;width:48;height:48" coordorigin="89,571" coordsize="48,48" path="m125,571l99,571,89,581,89,607,99,618,125,618,136,607,136,581,125,571xe" filled="true" fillcolor="#8d5ba5" stroked="false">
              <v:path arrowok="t"/>
              <v:fill type="solid"/>
            </v:shape>
            <v:shape style="position:absolute;left:342;top:605;width:48;height:48" coordorigin="342,605" coordsize="48,48" path="m379,605l353,605,342,616,342,642,353,652,379,652,390,642,390,616,379,605xe" filled="true" fillcolor="#8d5ba5" stroked="false">
              <v:path arrowok="t"/>
              <v:fill type="solid"/>
            </v:shape>
            <v:shape style="position:absolute;left:665;top:598;width:48;height:48" coordorigin="665,599" coordsize="48,48" path="m702,599l676,599,665,609,665,635,676,646,702,646,712,635,712,609,702,599xe" filled="true" fillcolor="#8d5ba5" stroked="false">
              <v:path arrowok="t"/>
              <v:fill type="solid"/>
            </v:shape>
            <v:shape style="position:absolute;left:953;top:644;width:48;height:48" coordorigin="953,645" coordsize="48,48" path="m990,645l964,645,953,655,953,681,964,692,990,692,1000,681,1000,655,990,645xe" filled="true" fillcolor="#8d5ba5" stroked="false">
              <v:path arrowok="t"/>
              <v:fill type="solid"/>
            </v:shape>
            <v:shape style="position:absolute;left:1243;top:554;width:48;height:48" coordorigin="1243,554" coordsize="48,48" path="m1280,554l1254,554,1243,565,1243,591,1254,602,1280,602,1291,591,1291,565,1280,554xe" filled="true" fillcolor="#8d5ba5" stroked="false">
              <v:path arrowok="t"/>
              <v:fill type="solid"/>
            </v:shape>
            <v:shape style="position:absolute;left:1565;top:613;width:48;height:48" coordorigin="1565,613" coordsize="48,48" path="m1602,613l1576,613,1565,624,1565,650,1576,661,1602,661,1612,650,1612,624,1602,613xe" filled="true" fillcolor="#8d5ba5" stroked="false">
              <v:path arrowok="t"/>
              <v:fill type="solid"/>
            </v:shape>
            <v:shape style="position:absolute;left:1857;top:650;width:48;height:48" coordorigin="1858,651" coordsize="48,48" path="m1895,651l1868,651,1858,661,1858,687,1868,698,1895,698,1905,687,1905,661,1895,651xe" filled="true" fillcolor="#8d5ba5" stroked="false">
              <v:path arrowok="t"/>
              <v:fill type="solid"/>
            </v:shape>
            <v:shape style="position:absolute;left:1702;top:811;width:48;height:48" coordorigin="1702,812" coordsize="48,48" path="m1739,812l1713,812,1702,822,1702,849,1713,859,1739,859,1750,849,1750,822,1739,812xe" filled="true" fillcolor="#8d5ba5" stroked="false">
              <v:path arrowok="t"/>
              <v:fill type="solid"/>
            </v:shape>
            <v:shape style="position:absolute;left:1344;top:817;width:48;height:48" coordorigin="1344,818" coordsize="48,48" path="m1381,818l1355,818,1344,828,1344,854,1355,865,1381,865,1392,854,1392,828,1381,818xe" filled="true" fillcolor="#8d5ba5" stroked="false">
              <v:path arrowok="t"/>
              <v:fill type="solid"/>
            </v:shape>
            <v:shape style="position:absolute;left:1079;top:857;width:48;height:48" coordorigin="1080,858" coordsize="48,48" path="m1117,858l1090,858,1080,869,1080,895,1090,905,1117,905,1127,895,1127,869,1117,858xe" filled="true" fillcolor="#8d5ba5" stroked="false">
              <v:path arrowok="t"/>
              <v:fill type="solid"/>
            </v:shape>
            <v:shape style="position:absolute;left:786;top:823;width:48;height:48" coordorigin="786,823" coordsize="48,48" path="m823,823l797,823,786,834,786,860,797,871,823,871,833,860,833,834,823,823xe" filled="true" fillcolor="#8d5ba5" stroked="false">
              <v:path arrowok="t"/>
              <v:fill type="solid"/>
            </v:shape>
            <v:shape style="position:absolute;left:497;top:794;width:48;height:48" coordorigin="498,795" coordsize="48,48" path="m535,795l508,795,498,805,498,831,508,842,535,842,545,831,545,805,535,795xe" filled="true" fillcolor="#8d5ba5" stroked="false">
              <v:path arrowok="t"/>
              <v:fill type="solid"/>
            </v:shape>
            <v:shape style="position:absolute;left:157;top:771;width:48;height:48" coordorigin="158,772" coordsize="48,48" path="m195,772l168,772,158,782,158,808,168,819,195,819,205,808,205,782,195,772xe" filled="true" fillcolor="#8d5ba5" stroked="false">
              <v:path arrowok="t"/>
              <v:fill type="solid"/>
            </v:shape>
            <v:shape style="position:absolute;left:77;top:1036;width:48;height:48" coordorigin="77,1037" coordsize="48,48" path="m114,1037l88,1037,77,1047,77,1073,88,1084,114,1084,124,1073,124,1047,114,1037xe" filled="true" fillcolor="#8d5ba5" stroked="false">
              <v:path arrowok="t"/>
              <v:fill type="solid"/>
            </v:shape>
            <v:shape style="position:absolute;left:336;top:961;width:48;height:48" coordorigin="337,962" coordsize="48,48" path="m373,962l347,962,337,972,337,998,347,1009,373,1009,384,998,384,972,373,962xe" filled="true" fillcolor="#8d5ba5" stroked="false">
              <v:path arrowok="t"/>
              <v:fill type="solid"/>
            </v:shape>
            <v:shape style="position:absolute;left:595;top:1002;width:48;height:48" coordorigin="596,1002" coordsize="48,48" path="m633,1002l606,1002,596,1013,596,1039,606,1049,633,1049,643,1039,643,1013,633,1002xe" filled="true" fillcolor="#8d5ba5" stroked="false">
              <v:path arrowok="t"/>
              <v:fill type="solid"/>
            </v:shape>
            <v:shape style="position:absolute;left:901;top:1059;width:48;height:48" coordorigin="901,1060" coordsize="48,48" path="m938,1060l912,1060,901,1070,901,1096,912,1107,938,1107,949,1096,949,1070,938,1060xe" filled="true" fillcolor="#8d5ba5" stroked="false">
              <v:path arrowok="t"/>
              <v:fill type="solid"/>
            </v:shape>
            <v:shape style="position:absolute;left:1258;top:1030;width:48;height:48" coordorigin="1259,1031" coordsize="48,48" path="m1295,1031l1269,1031,1259,1041,1259,1068,1269,1078,1295,1078,1306,1068,1306,1041,1295,1031xe" filled="true" fillcolor="#8d5ba5" stroked="false">
              <v:path arrowok="t"/>
              <v:fill type="solid"/>
            </v:shape>
            <v:shape style="position:absolute;left:1546;top:1002;width:48;height:48" coordorigin="1547,1002" coordsize="48,48" path="m1583,1002l1557,1002,1547,1013,1547,1039,1557,1049,1583,1049,1594,1039,1594,1013,1583,1002xe" filled="true" fillcolor="#8d5ba5" stroked="false">
              <v:path arrowok="t"/>
              <v:fill type="solid"/>
            </v:shape>
            <v:shape style="position:absolute;left:1852;top:1030;width:48;height:48" coordorigin="1852,1031" coordsize="48,48" path="m1889,1031l1863,1031,1852,1041,1852,1068,1863,1078,1889,1078,1899,1068,1899,1041,1889,1031xe" filled="true" fillcolor="#8d5ba5" stroked="false">
              <v:path arrowok="t"/>
              <v:fill type="solid"/>
            </v:shape>
            <v:shape style="position:absolute;left:1702;top:1226;width:48;height:48" coordorigin="1702,1227" coordsize="48,48" path="m1739,1227l1713,1227,1702,1237,1702,1263,1713,1274,1739,1274,1750,1263,1750,1237,1739,1227xe" filled="true" fillcolor="#8d5ba5" stroked="false">
              <v:path arrowok="t"/>
              <v:fill type="solid"/>
            </v:shape>
            <v:shape style="position:absolute;left:1419;top:1226;width:48;height:48" coordorigin="1420,1227" coordsize="48,48" path="m1457,1227l1430,1227,1420,1237,1420,1263,1430,1274,1457,1274,1467,1263,1467,1237,1457,1227xe" filled="true" fillcolor="#8d5ba5" stroked="false">
              <v:path arrowok="t"/>
              <v:fill type="solid"/>
            </v:shape>
            <v:shape style="position:absolute;left:1097;top:1249;width:48;height:48" coordorigin="1097,1250" coordsize="48,48" path="m1134,1250l1108,1250,1097,1260,1097,1287,1108,1297,1134,1297,1144,1287,1144,1260,1134,1250xe" filled="true" fillcolor="#8d5ba5" stroked="false">
              <v:path arrowok="t"/>
              <v:fill type="solid"/>
            </v:shape>
            <v:shape style="position:absolute;left:722;top:1238;width:48;height:48" coordorigin="723,1238" coordsize="48,48" path="m759,1238l733,1238,723,1249,723,1275,733,1286,759,1286,770,1275,770,1249,759,1238xe" filled="true" fillcolor="#8d5ba5" stroked="false">
              <v:path arrowok="t"/>
              <v:fill type="solid"/>
            </v:shape>
            <v:shape style="position:absolute;left:446;top:1186;width:48;height:48" coordorigin="446,1186" coordsize="48,48" path="m483,1186l457,1186,446,1197,446,1223,457,1234,483,1234,493,1223,493,1197,483,1186xe" filled="true" fillcolor="#8d5ba5" stroked="false">
              <v:path arrowok="t"/>
              <v:fill type="solid"/>
            </v:shape>
            <v:shape style="position:absolute;left:221;top:1221;width:48;height:48" coordorigin="221,1221" coordsize="48,48" path="m258,1221l232,1221,221,1232,221,1258,232,1268,258,1268,269,1258,269,1232,258,1221xe" filled="true" fillcolor="#8d5ba5" stroked="false">
              <v:path arrowok="t"/>
              <v:fill type="solid"/>
            </v:shape>
            <v:shape style="position:absolute;left:71;top:1434;width:48;height:48" coordorigin="71,1434" coordsize="48,48" path="m108,1434l82,1434,71,1445,71,1471,82,1482,108,1482,119,1471,119,1445,108,1434xe" filled="true" fillcolor="#8d5ba5" stroked="false">
              <v:path arrowok="t"/>
              <v:fill type="solid"/>
            </v:shape>
            <v:shape style="position:absolute;left:363;top:1315;width:48;height:48" coordorigin="364,1316" coordsize="48,48" path="m401,1316l375,1316,364,1326,364,1352,375,1363,401,1363,411,1352,411,1326,401,1316xe" filled="true" fillcolor="#8d5ba5" stroked="false">
              <v:path arrowok="t"/>
              <v:fill type="solid"/>
            </v:shape>
            <v:shape style="position:absolute;left:623;top:1427;width:48;height:48" coordorigin="624,1427" coordsize="48,48" path="m661,1427l634,1427,624,1438,624,1464,634,1474,661,1474,671,1464,671,1438,661,1427xe" filled="true" fillcolor="#8d5ba5" stroked="false">
              <v:path arrowok="t"/>
              <v:fill type="solid"/>
            </v:shape>
            <v:shape style="position:absolute;left:901;top:1393;width:48;height:48" coordorigin="901,1394" coordsize="48,48" path="m938,1394l912,1394,901,1404,901,1431,912,1441,938,1441,949,1431,949,1404,938,1394xe" filled="true" fillcolor="#8d5ba5" stroked="false">
              <v:path arrowok="t"/>
              <v:fill type="solid"/>
            </v:shape>
            <v:shape style="position:absolute;left:1247;top:1463;width:48;height:48" coordorigin="1247,1463" coordsize="48,48" path="m1284,1463l1258,1463,1247,1474,1247,1500,1258,1510,1284,1510,1294,1500,1294,1474,1284,1463xe" filled="true" fillcolor="#8d5ba5" stroked="false">
              <v:path arrowok="t"/>
              <v:fill type="solid"/>
            </v:shape>
            <v:shape style="position:absolute;left:1584;top:1525;width:48;height:48" coordorigin="1585,1526" coordsize="48,48" path="m1621,1526l1595,1526,1585,1536,1585,1562,1595,1573,1621,1573,1632,1562,1632,1536,1621,1526xe" filled="true" fillcolor="#8d5ba5" stroked="false">
              <v:path arrowok="t"/>
              <v:fill type="solid"/>
            </v:shape>
            <v:shape style="position:absolute;left:1852;top:1399;width:48;height:48" coordorigin="1852,1400" coordsize="48,48" path="m1889,1400l1863,1400,1852,1410,1852,1436,1863,1447,1889,1447,1899,1436,1899,1410,1889,1400xe" filled="true" fillcolor="#8d5ba5" stroked="false">
              <v:path arrowok="t"/>
              <v:fill type="solid"/>
            </v:shape>
            <v:shape style="position:absolute;left:1684;top:1630;width:48;height:48" coordorigin="1684,1630" coordsize="48,48" path="m1721,1630l1695,1630,1684,1641,1684,1667,1695,1677,1721,1677,1732,1667,1732,1641,1721,1630xe" filled="true" fillcolor="#8d5ba5" stroked="false">
              <v:path arrowok="t"/>
              <v:fill type="solid"/>
            </v:shape>
            <v:shape style="position:absolute;left:1506;top:1473;width:48;height:48" coordorigin="1506,1473" coordsize="48,48" path="m1543,1473l1517,1473,1506,1484,1506,1510,1517,1520,1543,1520,1553,1510,1553,1484,1543,1473xe" filled="true" fillcolor="#8d5ba5" stroked="false">
              <v:path arrowok="t"/>
              <v:fill type="solid"/>
            </v:shape>
            <v:shape style="position:absolute;left:948;top:1525;width:48;height:48" coordorigin="948,1526" coordsize="48,48" path="m985,1526l959,1526,948,1536,948,1562,959,1573,985,1573,995,1562,995,1536,985,1526xe" filled="true" fillcolor="#8d5ba5" stroked="false">
              <v:path arrowok="t"/>
              <v:fill type="solid"/>
            </v:shape>
            <v:shape style="position:absolute;left:941;top:1263;width:48;height:48" coordorigin="942,1263" coordsize="48,48" path="m978,1263l952,1263,942,1274,942,1300,952,1310,978,1310,989,1300,989,1274,978,1263xe" filled="true" fillcolor="#8d5ba5" stroked="false">
              <v:path arrowok="t"/>
              <v:fill type="solid"/>
            </v:shape>
            <v:shape style="position:absolute;left:784;top:1151;width:48;height:48" coordorigin="784,1152" coordsize="48,48" path="m821,1152l795,1152,784,1162,784,1188,795,1199,821,1199,831,1188,831,1162,821,1152xe" filled="true" fillcolor="#8d5ba5" stroked="false">
              <v:path arrowok="t"/>
              <v:fill type="solid"/>
            </v:shape>
            <v:shape style="position:absolute;left:764;top:1013;width:48;height:48" coordorigin="764,1014" coordsize="48,48" path="m801,1014l775,1014,764,1024,764,1050,775,1061,801,1061,812,1050,812,1024,801,1014xe" filled="true" fillcolor="#8d5ba5" stroked="false">
              <v:path arrowok="t"/>
              <v:fill type="solid"/>
            </v:shape>
            <v:shape style="position:absolute;left:659;top:895;width:48;height:48" coordorigin="659,896" coordsize="48,48" path="m696,896l670,896,659,906,659,932,670,943,696,943,707,932,707,906,696,896xe" filled="true" fillcolor="#8d5ba5" stroked="false">
              <v:path arrowok="t"/>
              <v:fill type="solid"/>
            </v:shape>
            <v:shape style="position:absolute;left:652;top:751;width:48;height:48" coordorigin="653,751" coordsize="48,48" path="m689,751l663,751,653,762,653,788,663,798,689,798,700,788,700,762,689,751xe" filled="true" fillcolor="#8d5ba5" stroked="false">
              <v:path arrowok="t"/>
              <v:fill type="solid"/>
            </v:shape>
            <v:shape style="position:absolute;left:803;top:665;width:48;height:48" coordorigin="804,666" coordsize="48,48" path="m840,666l814,666,804,676,804,703,814,713,840,713,851,703,851,676,840,666xe" filled="true" fillcolor="#8d5ba5" stroked="false">
              <v:path arrowok="t"/>
              <v:fill type="solid"/>
            </v:shape>
            <v:shape style="position:absolute;left:317;top:764;width:48;height:48" coordorigin="318,764" coordsize="48,48" path="m355,764l329,764,318,775,318,801,329,812,355,812,365,801,365,775,355,764xe" filled="true" fillcolor="#8d5ba5" stroked="false">
              <v:path arrowok="t"/>
              <v:fill type="solid"/>
            </v:shape>
            <v:shape style="position:absolute;left:42;top:705;width:48;height:48" coordorigin="42,705" coordsize="48,48" path="m79,705l53,705,42,716,42,742,53,752,79,752,90,742,90,716,79,705xe" filled="true" fillcolor="#8d5ba5" stroked="false">
              <v:path arrowok="t"/>
              <v:fill type="solid"/>
            </v:shape>
            <v:shape style="position:absolute;left:88;top:908;width:48;height:48" coordorigin="88,909" coordsize="48,48" path="m125,909l99,909,88,919,88,945,99,956,125,956,136,945,136,919,125,909xe" filled="true" fillcolor="#8d5ba5" stroked="false">
              <v:path arrowok="t"/>
              <v:fill type="solid"/>
            </v:shape>
            <v:shape style="position:absolute;left:219;top:934;width:48;height:48" coordorigin="220,935" coordsize="48,48" path="m256,935l230,935,220,946,220,972,230,982,256,982,267,972,267,946,256,935xe" filled="true" fillcolor="#8d5ba5" stroked="false">
              <v:path arrowok="t"/>
              <v:fill type="solid"/>
            </v:shape>
            <v:shape style="position:absolute;left:252;top:1079;width:48;height:48" coordorigin="252,1079" coordsize="48,48" path="m289,1079l263,1079,252,1090,252,1116,263,1127,289,1127,300,1116,300,1090,289,1079xe" filled="true" fillcolor="#8d5ba5" stroked="false">
              <v:path arrowok="t"/>
              <v:fill type="solid"/>
            </v:shape>
            <v:shape style="position:absolute;left:468;top:1013;width:48;height:48" coordorigin="469,1014" coordsize="48,48" path="m506,1014l480,1014,469,1024,469,1050,480,1061,506,1061,516,1050,516,1024,506,1014xe" filled="true" fillcolor="#8d5ba5" stroked="false">
              <v:path arrowok="t"/>
              <v:fill type="solid"/>
            </v:shape>
            <v:shape style="position:absolute;left:593;top:1171;width:48;height:48" coordorigin="594,1171" coordsize="48,48" path="m630,1171l604,1171,594,1182,594,1208,604,1219,630,1219,641,1208,641,1182,630,1171xe" filled="true" fillcolor="#8d5ba5" stroked="false">
              <v:path arrowok="t"/>
              <v:fill type="solid"/>
            </v:shape>
            <v:shape style="position:absolute;left:580;top:1295;width:48;height:48" coordorigin="581,1296" coordsize="48,48" path="m617,1296l591,1296,581,1307,581,1333,591,1343,617,1343,628,1333,628,1307,617,1296xe" filled="true" fillcolor="#8d5ba5" stroked="false">
              <v:path arrowok="t"/>
              <v:fill type="solid"/>
            </v:shape>
            <v:shape style="position:absolute;left:738;top:1387;width:48;height:48" coordorigin="738,1388" coordsize="48,48" path="m775,1388l749,1388,738,1398,738,1425,749,1435,775,1435,785,1425,785,1398,775,1388xe" filled="true" fillcolor="#8d5ba5" stroked="false">
              <v:path arrowok="t"/>
              <v:fill type="solid"/>
            </v:shape>
            <v:shape style="position:absolute;left:790;top:1499;width:48;height:48" coordorigin="791,1499" coordsize="48,48" path="m827,1499l801,1499,791,1510,791,1536,801,1547,827,1547,838,1536,838,1510,827,1499xe" filled="true" fillcolor="#8d5ba5" stroked="false">
              <v:path arrowok="t"/>
              <v:fill type="solid"/>
            </v:shape>
            <v:shape style="position:absolute;left:497;top:1663;width:48;height:48" coordorigin="498,1663" coordsize="48,48" path="m535,1663l508,1663,498,1674,498,1700,508,1711,535,1711,545,1700,545,1674,535,1663xe" filled="true" fillcolor="#8d5ba5" stroked="false">
              <v:path arrowok="t"/>
              <v:fill type="solid"/>
            </v:shape>
            <v:shape style="position:absolute;left:436;top:1453;width:48;height:48" coordorigin="436,1453" coordsize="48,48" path="m473,1453l447,1453,436,1464,436,1490,447,1501,473,1501,483,1490,483,1464,473,1453xe" filled="true" fillcolor="#8d5ba5" stroked="false">
              <v:path arrowok="t"/>
              <v:fill type="solid"/>
            </v:shape>
            <v:shape style="position:absolute;left:226;top:1433;width:48;height:48" coordorigin="226,1434" coordsize="48,48" path="m263,1434l237,1434,226,1444,226,1470,237,1481,263,1481,273,1470,273,1444,263,1434xe" filled="true" fillcolor="#8d5ba5" stroked="false">
              <v:path arrowok="t"/>
              <v:fill type="solid"/>
            </v:shape>
            <v:shape style="position:absolute;left:88;top:1236;width:48;height:48" coordorigin="88,1237" coordsize="48,48" path="m125,1237l99,1237,88,1247,88,1274,99,1284,125,1284,136,1274,136,1247,125,1237xe" filled="true" fillcolor="#8d5ba5" stroked="false">
              <v:path arrowok="t"/>
              <v:fill type="solid"/>
            </v:shape>
            <v:shape style="position:absolute;left:55;top:1584;width:48;height:48" coordorigin="55,1585" coordsize="48,48" path="m92,1585l66,1585,55,1595,55,1621,66,1632,92,1632,103,1621,103,1595,92,1585xe" filled="true" fillcolor="#8d5ba5" stroked="false">
              <v:path arrowok="t"/>
              <v:fill type="solid"/>
            </v:shape>
            <v:shape style="position:absolute;left:304;top:1565;width:48;height:48" coordorigin="305,1565" coordsize="48,48" path="m342,1565l315,1565,305,1576,305,1602,315,1612,342,1612,352,1602,352,1576,342,1565xe" filled="true" fillcolor="#8d5ba5" stroked="false">
              <v:path arrowok="t"/>
              <v:fill type="solid"/>
            </v:shape>
            <v:shape style="position:absolute;left:1164;top:1670;width:48;height:48" coordorigin="1165,1670" coordsize="48,48" path="m1201,1670l1175,1670,1165,1681,1165,1707,1175,1717,1201,1717,1212,1707,1212,1681,1201,1670xe" filled="true" fillcolor="#8d5ba5" stroked="false">
              <v:path arrowok="t"/>
              <v:fill type="solid"/>
            </v:shape>
            <v:shape style="position:absolute;left:862;top:1676;width:48;height:48" coordorigin="863,1677" coordsize="48,48" path="m899,1677l873,1677,863,1687,863,1713,873,1724,899,1724,910,1713,910,1687,899,1677xe" filled="true" fillcolor="#8d5ba5" stroked="false">
              <v:path arrowok="t"/>
              <v:fill type="solid"/>
            </v:shape>
            <v:shape style="position:absolute;left:1558;top:1670;width:48;height:48" coordorigin="1558,1670" coordsize="48,48" path="m1595,1670l1569,1670,1558,1681,1558,1707,1569,1717,1595,1717,1606,1707,1606,1681,1595,1670xe" filled="true" fillcolor="#8d5ba5" stroked="false">
              <v:path arrowok="t"/>
              <v:fill type="solid"/>
            </v:shape>
            <v:shape style="position:absolute;left:1939;top:1348;width:48;height:48" coordorigin="1939,1348" coordsize="48,48" path="m1976,1348l1950,1348,1939,1359,1939,1385,1950,1396,1976,1396,1986,1385,1986,1359,1976,1348xe" filled="true" fillcolor="#8d5ba5" stroked="false">
              <v:path arrowok="t"/>
              <v:fill type="solid"/>
            </v:shape>
            <v:shape style="position:absolute;left:718;top:173;width:48;height:48" coordorigin="718,174" coordsize="48,48" path="m755,174l729,174,718,184,718,210,729,221,755,221,766,210,766,184,755,174xe" filled="true" fillcolor="#8d5ba5" stroked="false">
              <v:path arrowok="t"/>
              <v:fill type="solid"/>
            </v:shape>
            <v:shape style="position:absolute;left:1066;top:1519;width:48;height:48" coordorigin="1066,1519" coordsize="48,48" path="m1103,1519l1077,1519,1066,1530,1066,1556,1077,1566,1103,1566,1114,1556,1114,1530,1103,1519xe" filled="true" fillcolor="#8d5ba5" stroked="false">
              <v:path arrowok="t"/>
              <v:fill type="solid"/>
            </v:shape>
            <v:shape style="position:absolute;left:573;top:1532;width:48;height:48" coordorigin="574,1532" coordsize="48,48" path="m611,1532l585,1532,574,1543,574,1569,585,1579,611,1579,621,1569,621,1543,611,1532xe" filled="true" fillcolor="#8d5ba5" stroked="false">
              <v:path arrowok="t"/>
              <v:fill type="solid"/>
            </v:shape>
            <v:shape style="position:absolute;left:436;top:1565;width:48;height:48" coordorigin="436,1565" coordsize="48,48" path="m473,1565l447,1565,436,1576,436,1602,447,1612,473,1612,483,1602,483,1576,473,1565xe" filled="true" fillcolor="#8d5ba5" stroked="false">
              <v:path arrowok="t"/>
              <v:fill type="solid"/>
            </v:shape>
            <v:shape style="position:absolute;left:175;top:1647;width:48;height:48" coordorigin="175,1647" coordsize="48,48" path="m212,1647l186,1647,175,1658,175,1684,186,1695,212,1695,222,1684,222,1658,212,1647xe" filled="true" fillcolor="#8d5ba5" stroked="false">
              <v:path arrowok="t"/>
              <v:fill type="solid"/>
            </v:shape>
            <v:shape style="position:absolute;left:890;top:718;width:327;height:330" type="#_x0000_t75" stroked="false">
              <v:imagedata r:id="rId44" o:title=""/>
            </v:shape>
            <v:shape style="position:absolute;left:605;top:1554;width:9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280 mOsm/L</w:t>
                    </w:r>
                  </w:p>
                </w:txbxContent>
              </v:textbox>
              <w10:wrap type="none"/>
            </v:shape>
          </v:group>
        </w:pict>
      </w:r>
      <w:r>
        <w:rPr>
          <w:rFonts w:ascii="Helvetica"/>
          <w:spacing w:val="110"/>
        </w:rPr>
      </w:r>
    </w:p>
    <w:p>
      <w:pPr>
        <w:spacing w:line="181" w:lineRule="exact" w:before="48"/>
        <w:ind w:left="1560" w:right="1588" w:firstLine="0"/>
        <w:jc w:val="center"/>
        <w:rPr>
          <w:rFonts w:ascii="Helvetica"/>
          <w:sz w:val="16"/>
        </w:rPr>
      </w:pPr>
      <w:r>
        <w:rPr/>
        <w:pict>
          <v:group style="position:absolute;margin-left:325.999695pt;margin-top:-72.278648pt;width:121.7pt;height:184.7pt;mso-position-horizontal-relative:page;mso-position-vertical-relative:paragraph;z-index:-273679360" coordorigin="6520,-1446" coordsize="2434,3694">
            <v:shape style="position:absolute;left:7048;top:-1436;width:961;height:971" coordorigin="7049,-1436" coordsize="961,971" path="m7430,-1436l7383,-1421,7329,-1382,7276,-1343,7241,-1317,7167,-1234,7119,-1169,7080,-1105,7055,-1030,7049,-934,7055,-875,7071,-809,7096,-742,7129,-675,7171,-613,7220,-558,7276,-515,7339,-486,7420,-469,7507,-465,7596,-472,7682,-489,7760,-516,7824,-551,7871,-594,7913,-650,7952,-709,7984,-775,8005,-850,8009,-937,7994,-1037,7961,-1125,7912,-1201,7852,-1265,7785,-1317,7718,-1357,7655,-1384,7600,-1397,7493,-1427,7430,-1436xe" filled="true" fillcolor="#fee7dc" stroked="false">
              <v:path arrowok="t"/>
              <v:fill type="solid"/>
            </v:shape>
            <v:shape style="position:absolute;left:7048;top:-1436;width:961;height:971" coordorigin="7049,-1436" coordsize="961,971" path="m7600,-1397l7493,-1427,7430,-1436,7383,-1421,7329,-1382,7276,-1343,7241,-1317,7167,-1234,7119,-1169,7080,-1105,7055,-1030,7049,-934,7055,-875,7071,-809,7096,-742,7129,-675,7171,-613,7220,-558,7276,-515,7339,-486,7420,-469,7507,-465,7596,-472,7682,-489,7760,-516,7824,-551,7871,-594,7913,-650,7952,-709,7984,-775,8005,-850,8009,-937,7994,-1037,7961,-1125,7912,-1201,7852,-1265,7785,-1317,7718,-1357,7655,-1384,7600,-1397xe" filled="false" stroked="true" strokeweight="1.0pt" strokecolor="#f0535f">
              <v:path arrowok="t"/>
              <v:stroke dashstyle="solid"/>
            </v:shape>
            <v:shape style="position:absolute;left:7085;top:-1369;width:881;height:886" coordorigin="7085,-1369" coordsize="881,886" path="m7132,-873l7122,-883,7096,-883,7085,-873,7085,-847,7096,-836,7122,-836,7132,-847,7132,-873m7157,-1032l7146,-1042,7120,-1042,7109,-1032,7109,-1006,7120,-995,7146,-995,7157,-1006,7157,-1032m7179,-1194l7168,-1204,7142,-1204,7132,-1194,7132,-1168,7142,-1157,7168,-1157,7179,-1168,7179,-1194m7214,-750l7204,-761,7178,-761,7167,-750,7167,-724,7178,-714,7204,-714,7214,-724,7214,-750m7283,-623l7273,-634,7247,-634,7236,-623,7236,-597,7247,-587,7273,-587,7283,-597,7283,-623m7284,-1187l7273,-1198,7247,-1198,7236,-1187,7236,-1161,7247,-1151,7273,-1151,7284,-1161,7284,-1187m7312,-842l7302,-853,7276,-853,7265,-842,7265,-816,7276,-806,7302,-806,7312,-816,7312,-842m7323,-1037l7312,-1047,7286,-1047,7276,-1037,7276,-1011,7286,-1000,7312,-1000,7323,-1011,7323,-1037m7354,-1328l7343,-1338,7317,-1338,7306,-1328,7306,-1302,7317,-1291,7343,-1291,7354,-1302,7354,-1328m7410,-635l7400,-646,7374,-646,7363,-635,7363,-609,7374,-598,7400,-598,7410,-609,7410,-635m7422,-757l7411,-767,7385,-767,7375,-757,7375,-731,7385,-720,7411,-720,7422,-731,7422,-757m7422,-1168l7411,-1178,7385,-1178,7375,-1168,7375,-1142,7385,-1131,7411,-1131,7422,-1142,7422,-1168m7435,-520l7424,-531,7398,-531,7388,-520,7388,-494,7398,-484,7424,-484,7435,-494,7435,-520m7462,-1331l7452,-1342,7425,-1342,7415,-1331,7415,-1305,7425,-1295,7452,-1295,7462,-1305,7462,-1331m7467,-886l7457,-896,7430,-896,7420,-886,7420,-860,7430,-849,7457,-849,7467,-860,7467,-886m7479,-1038l7469,-1049,7443,-1049,7432,-1038,7432,-1012,7443,-1002,7469,-1002,7479,-1012,7479,-1038m7553,-1269l7542,-1279,7516,-1279,7506,-1269,7506,-1243,7516,-1232,7542,-1232,7553,-1243,7553,-1269m7579,-647l7568,-657,7542,-657,7531,-647,7531,-621,7542,-610,7568,-610,7579,-621,7579,-647m7579,-1116l7568,-1126,7542,-1126,7531,-1116,7531,-1089,7542,-1079,7568,-1079,7579,-1089,7579,-1116m7585,-533l7574,-544,7548,-544,7537,-533,7537,-507,7548,-496,7574,-496,7585,-507,7585,-533m7598,-1358l7588,-1369,7562,-1369,7551,-1358,7551,-1332,7562,-1322,7588,-1322,7598,-1332,7598,-1358m7600,-837l7590,-848,7564,-848,7553,-837,7553,-811,7564,-801,7590,-801,7600,-811,7600,-837m7618,-971l7608,-982,7581,-982,7571,-971,7571,-945,7581,-934,7608,-934,7618,-945,7618,-971m7658,-1216l7648,-1227,7621,-1227,7611,-1216,7611,-1190,7621,-1180,7648,-1180,7658,-1190,7658,-1216m7715,-724l7704,-735,7678,-735,7667,-724,7667,-698,7678,-687,7704,-687,7715,-698,7715,-724m7716,-577l7705,-588,7679,-588,7668,-577,7668,-551,7679,-541,7705,-541,7716,-551,7716,-577m7763,-1168l7752,-1179,7726,-1179,7715,-1168,7715,-1142,7726,-1131,7752,-1131,7763,-1142,7763,-1168m7768,-992l7757,-1003,7731,-1003,7720,-992,7720,-966,7731,-956,7757,-956,7768,-966,7768,-992m7776,-1292l7766,-1303,7740,-1303,7729,-1292,7729,-1266,7740,-1256,7766,-1256,7776,-1266,7776,-1292m7802,-846l7791,-857,7765,-857,7755,-846,7755,-820,7765,-810,7791,-810,7802,-820,7802,-846m7862,-619l7851,-630,7825,-630,7814,-619,7814,-593,7825,-582,7851,-582,7862,-593,7862,-619m7868,-1070l7857,-1080,7831,-1080,7820,-1070,7820,-1043,7831,-1033,7857,-1033,7868,-1043,7868,-1070m7894,-779l7884,-790,7858,-790,7847,-779,7847,-753,7858,-742,7884,-742,7894,-753,7894,-779m7917,-1199l7907,-1210,7881,-1210,7870,-1199,7870,-1173,7881,-1162,7907,-1162,7917,-1173,7917,-1199m7966,-938l7955,-949,7929,-949,7919,-938,7919,-912,7929,-902,7955,-902,7966,-912,7966,-938e" filled="true" fillcolor="#8d5ba5" stroked="false">
              <v:path arrowok="t"/>
              <v:fill type="solid"/>
            </v:shape>
            <v:shape style="position:absolute;left:7363;top:-1082;width:327;height:330" type="#_x0000_t75" stroked="false">
              <v:imagedata r:id="rId45" o:title=""/>
            </v:shape>
            <v:shape style="position:absolute;left:6540;top:603;width:1989;height:1625" coordorigin="6540,603" coordsize="1989,1625" path="m6540,633l6540,2071,6552,2132,6586,2182,6636,2216,6698,2228,8371,2228,8433,2216,8483,2182,8516,2132,8529,2071,8529,641,6586,641,6574,641,6562,639,6551,637,6540,633xm6722,603l6702,605,6684,609,6667,615,6654,623,6640,630,6624,636,6606,640,6586,641,6858,641,6838,640,6819,636,6803,630,6789,622,6775,614,6759,608,6741,605,6722,603xm6994,603l6974,605,6956,609,6939,615,6925,623,6912,630,6896,636,6878,640,6858,641,7130,641,7110,640,7091,636,7075,630,7061,622,7047,614,7031,608,7013,605,6994,603xm7266,603l7246,605,7227,609,7211,615,7197,623,7184,630,7167,636,7149,640,7130,641,7402,641,7381,640,7363,636,7346,630,7333,622,7319,614,7303,608,7285,605,7266,603xm7537,603l7518,605,7499,609,7483,615,7469,623,7455,630,7439,636,7421,640,7402,641,7673,641,7653,640,7635,636,7618,630,7604,622,7591,614,7575,608,7557,605,7537,603xm7809,603l7789,605,7771,609,7755,615,7741,623,7727,630,7711,636,7693,640,7673,641,7945,641,7925,640,7906,636,7890,630,7876,622,7863,614,7847,608,7829,605,7809,603xm8081,603l8061,605,8043,609,8026,615,8013,623,7999,630,7983,636,7965,640,7945,641,8217,641,8197,640,8178,636,8162,630,8148,622,8134,614,8118,608,8100,605,8081,603xm8353,603l8333,605,8315,609,8298,615,8285,623,8271,630,8255,636,8237,640,8217,641,8489,641,8469,640,8450,636,8434,630,8420,622,8406,614,8390,608,8372,605,8353,603xm8529,633l8520,636,8510,639,8499,640,8489,641,8529,641,8529,633xe" filled="true" fillcolor="#c7d6ea" stroked="false">
              <v:path arrowok="t"/>
              <v:fill type="solid"/>
            </v:shape>
            <v:shape style="position:absolute;left:6656;top:726;width:1668;height:1313" coordorigin="6656,726" coordsize="1668,1313" path="m7490,726l7405,730,7322,740,7242,756,7166,778,7093,806,7024,839,6960,876,6901,919,6847,965,6799,1016,6757,1070,6722,1127,6694,1188,6673,1251,6661,1316,6656,1383,6661,1450,6673,1515,6694,1578,6722,1638,6757,1696,6799,1750,6847,1800,6901,1847,6960,1889,7024,1927,7093,1960,7166,1988,7242,2010,7322,2026,7405,2036,7490,2039,7575,2036,7658,2026,7738,2010,7815,1988,7887,1960,7956,1927,8020,1889,8079,1847,8133,1800,8181,1750,8223,1696,8258,1638,8286,1578,8307,1515,8319,1450,8324,1383,8319,1316,8307,1251,8286,1188,8258,1127,8223,1070,8181,1016,8133,965,8079,919,8020,876,7956,839,7887,806,7815,778,7738,756,7658,740,7575,730,7490,726xe" filled="true" fillcolor="#dcd8e1" stroked="false">
              <v:path arrowok="t"/>
              <v:fill type="solid"/>
            </v:shape>
            <v:shape style="position:absolute;left:6656;top:726;width:1668;height:1313" coordorigin="6656,726" coordsize="1668,1313" path="m8324,1383l8319,1450,8307,1515,8286,1578,8258,1638,8223,1696,8181,1750,8133,1800,8079,1847,8020,1889,7956,1927,7887,1960,7815,1988,7738,2010,7658,2026,7575,2036,7490,2039,7405,2036,7322,2026,7242,2010,7166,1988,7093,1960,7024,1927,6960,1889,6901,1847,6847,1800,6799,1750,6757,1696,6722,1638,6694,1578,6673,1515,6661,1450,6656,1383,6661,1316,6673,1251,6694,1188,6722,1127,6757,1070,6799,1016,6847,965,6901,919,6960,876,7024,839,7093,806,7166,778,7242,756,7322,740,7405,730,7490,726,7575,730,7658,740,7738,756,7815,778,7887,806,7956,839,8020,876,8079,919,8133,965,8181,1016,8223,1070,8258,1127,8286,1188,8307,1251,8319,1316,8324,1383xe" filled="false" stroked="true" strokeweight="1pt" strokecolor="#f0535f">
              <v:path arrowok="t"/>
              <v:stroke dashstyle="solid"/>
            </v:shape>
            <v:shape style="position:absolute;left:6540;top:495;width:1989;height:1733" coordorigin="6540,495" coordsize="1989,1733" path="m8529,495l8529,2071,8516,2132,8483,2182,8433,2216,8371,2228,6698,2228,6636,2216,6586,2182,6552,2132,6540,2071,6540,495e" filled="false" stroked="true" strokeweight="2pt" strokecolor="#231f20">
              <v:path arrowok="t"/>
              <v:stroke dashstyle="solid"/>
            </v:shape>
            <v:shape style="position:absolute;left:6591;top:662;width:1834;height:1508" coordorigin="6591,663" coordsize="1834,1508" path="m6639,1920l6628,1910,6602,1910,6591,1920,6591,1946,6602,1957,6628,1957,6639,1946,6639,1920m6644,1523l6634,1512,6608,1512,6597,1523,6597,1549,6608,1559,6634,1559,6644,1549,6644,1523m6656,1057l6645,1046,6619,1046,6609,1057,6609,1083,6619,1093,6645,1093,6656,1083,6656,1057m6673,728l6663,717,6637,717,6626,728,6626,754,6637,765,6663,765,6673,754,6673,728m6725,1258l6715,1247,6688,1247,6678,1258,6678,1284,6688,1294,6715,1294,6725,1284,6725,1258m6742,2133l6732,2123,6706,2123,6695,2133,6695,2159,6706,2170,6732,2170,6742,2159,6742,2133m6789,1707l6778,1696,6752,1696,6741,1707,6741,1733,6752,1744,6778,1744,6789,1733,6789,1707m6794,884l6784,873,6758,873,6747,884,6747,910,6758,920,6784,920,6794,910,6794,884m6904,1448l6893,1437,6867,1437,6857,1448,6857,1474,6867,1484,6893,1484,6904,1474,6904,1448m6910,1091l6899,1081,6873,1081,6862,1091,6862,1117,6873,1128,6899,1128,6910,1117,6910,1091m6938,1891l6928,1881,6902,1881,6891,1891,6891,1917,6902,1928,6928,1928,6938,1917,6938,1891m6950,751l6939,741,6913,741,6903,751,6903,777,6913,788,6939,788,6950,777,6950,751m7013,2099l7003,2088,6977,2088,6966,2099,6966,2125,6977,2136,7003,2136,7013,2125,7013,2099m7013,1672l7003,1662,6977,1662,6966,1672,6966,1699,6977,1709,7003,1709,7013,1699,7013,1672m7036,936l7026,925,7000,925,6989,936,6989,962,7000,972,7026,972,7036,962,7036,936m7065,1281l7055,1270,7028,1270,7018,1281,7018,1307,7028,1317,7055,1317,7065,1307,7065,1281m7163,1488l7153,1477,7126,1477,7116,1488,7116,1514,7126,1525,7153,1525,7163,1514,7163,1488m7186,1949l7176,1938,7149,1938,7139,1949,7139,1975,7149,1986,7176,1986,7186,1975,7186,1949m7215,831l7204,820,7178,820,7168,831,7168,857,7178,868,7204,868,7215,857,7215,831m7232,1085l7222,1074,7196,1074,7185,1085,7185,1111,7196,1121,7222,1121,7232,1111,7232,1085m7264,673l7254,663,7228,663,7217,673,7217,700,7228,710,7254,710,7264,700,7264,673m7290,1724l7279,1714,7253,1714,7243,1724,7243,1750,7253,1761,7279,1761,7290,1750,7290,1724m7342,2116l7331,2106,7305,2106,7294,2116,7294,2142,7305,2153,7331,2153,7342,2142,7342,2116m7353,1309l7343,1299,7317,1299,7306,1309,7306,1335,7317,1346,7343,1346,7353,1335,7353,1309m7411,907l7400,896,7374,896,7364,907,7364,933,7374,943,7400,943,7411,933,7411,907m7455,1386l7445,1376,7419,1376,7408,1386,7408,1412,7419,1423,7445,1423,7455,1412,7455,1386m7469,1880l7458,1869,7432,1869,7421,1880,7421,1906,7432,1917,7458,1917,7469,1906,7469,1880m7469,1546l7458,1535,7432,1535,7421,1546,7421,1572,7432,1582,7458,1582,7469,1572,7469,1546m7520,1131l7510,1120,7484,1120,7473,1131,7473,1157,7484,1167,7510,1167,7520,1157,7520,1131m7544,1298l7533,1287,7507,1287,7497,1298,7497,1324,7507,1334,7533,1334,7544,1324,7544,1298m7590,757l7579,746,7553,746,7542,757,7542,783,7553,794,7579,794,7590,783,7590,757m7607,2087l7596,2077,7570,2077,7560,2087,7560,2113,7570,2124,7596,2124,7607,2113,7607,2087m7647,1344l7637,1333,7610,1333,7600,1344,7600,1370,7610,1381,7637,1381,7647,1370,7647,1344m7664,1736l7654,1725,7628,1725,7617,1736,7617,1762,7628,1772,7654,1772,7664,1762,7664,1736m7670,924l7660,913,7634,913,7623,924,7623,950,7634,961,7660,961,7670,950,7670,924m7814,1949l7804,1938,7778,1938,7767,1949,7767,1975,7778,1986,7804,1986,7814,1975,7814,1949m7826,1517l7815,1506,7789,1506,7779,1517,7779,1543,7789,1554,7815,1554,7826,1543,7826,1517m7826,1085l7815,1074,7789,1074,7779,1085,7779,1111,7789,1121,7815,1121,7826,1111,7826,1085m7860,880l7849,869,7823,869,7812,880,7812,906,7823,917,7849,917,7860,906,7860,880m7865,683l7854,673,7828,673,7818,683,7818,709,7828,720,7854,720,7865,709,7865,683m7935,1304l7925,1293,7899,1293,7888,1304,7888,1330,7899,1340,7925,1340,7935,1330,7935,1304m7987,2105l7977,2094,7950,2094,7940,2105,7940,2131,7950,2141,7977,2141,7987,2131,7987,2105m7987,1713l7977,1702,7950,1702,7940,1713,7940,1739,7950,1749,7977,1749,7987,1739,7987,1713m8010,936l8000,925,7974,925,7963,936,7963,962,7974,972,8000,972,8010,962,8010,936m8097,1142l8086,1132,8060,1132,8049,1142,8049,1168,8060,1179,8086,1179,8097,1168,8097,1142m8097,768l8086,758,8060,758,8049,768,8049,795,8060,805,8086,805,8097,795,8097,768m8114,1488l8103,1477,8077,1477,8067,1488,8067,1514,8077,1525,8103,1525,8114,1514,8114,1488m8137,1932l8126,1921,8100,1921,8090,1932,8090,1958,8100,1968,8126,1968,8137,1958,8137,1932m8270,1713l8259,1702,8233,1702,8222,1713,8222,1739,8233,1749,8259,1749,8270,1739,8270,1713m8270,1298l8259,1287,8233,1287,8222,1298,8222,1324,8233,1335,8259,1335,8270,1324,8270,1298m8270,982l8259,971,8233,971,8222,982,8222,1008,8233,1018,8259,1018,8270,1008,8270,982m8275,2116l8265,2106,8239,2106,8228,2116,8228,2142,8239,2153,8265,2153,8275,2142,8275,2116m8402,768l8391,758,8365,758,8355,768,8355,795,8365,805,8391,805,8402,795,8402,768m8419,1886l8409,1875,8383,1875,8372,1886,8372,1912,8383,1922,8409,1922,8419,1912,8419,1886m8419,1517l8409,1506,8383,1506,8372,1517,8372,1543,8383,1554,8409,1554,8419,1543,8419,1517m8425,1137l8415,1126,8388,1126,8378,1137,8378,1163,8388,1173,8415,1173,8425,1163,8425,1137e" filled="true" fillcolor="#8d5ba5" stroked="false">
              <v:path arrowok="t"/>
              <v:fill type="solid"/>
            </v:shape>
            <v:shape style="position:absolute;left:7280;top:1202;width:309;height:274" coordorigin="7281,1202" coordsize="309,274" path="m7472,1202l7400,1206,7334,1232,7287,1314,7281,1365,7294,1414,7329,1453,7384,1475,7446,1476,7506,1462,7556,1439,7581,1405,7589,1353,7577,1295,7539,1241,7472,1202xe" filled="false" stroked="true" strokeweight="1pt" strokecolor="#f0535f">
              <v:path arrowok="t"/>
              <v:stroke dashstyle="solid"/>
            </v:shape>
            <v:line style="position:absolute" from="7529,-314" to="7529,385" stroked="true" strokeweight="1.5pt" strokecolor="#231f20">
              <v:stroke dashstyle="solid"/>
            </v:line>
            <v:shape style="position:absolute;left:7470;top:329;width:118;height:182" type="#_x0000_t75" stroked="false">
              <v:imagedata r:id="rId46" o:title=""/>
            </v:shape>
            <v:line style="position:absolute" from="7963,-529" to="8861,300" stroked="true" strokeweight="1.5pt" strokecolor="#231f20">
              <v:stroke dashstyle="solid"/>
            </v:line>
            <v:shape style="position:absolute;left:8781;top:218;width:172;height:167" type="#_x0000_t75" stroked="false">
              <v:imagedata r:id="rId47" o:title=""/>
            </v:shape>
            <v:shape style="position:absolute;left:8107;top:-1202;width:787;height:371" type="#_x0000_t202" filled="false" stroked="false">
              <v:textbox inset="0,0,0,0">
                <w:txbxContent>
                  <w:p>
                    <w:pPr>
                      <w:tabs>
                        <w:tab w:pos="659" w:val="left" w:leader="none"/>
                      </w:tabs>
                      <w:spacing w:line="183" w:lineRule="exact" w:before="0"/>
                      <w:ind w:left="0" w:right="0" w:firstLine="0"/>
                      <w:jc w:val="left"/>
                      <w:rPr>
                        <w:rFonts w:ascii="Helvetica"/>
                        <w:sz w:val="16"/>
                      </w:rPr>
                    </w:pPr>
                    <w:r>
                      <w:rPr>
                        <w:color w:val="231F20"/>
                        <w:w w:val="94"/>
                        <w:position w:val="-11"/>
                        <w:sz w:val="20"/>
                        <w:u w:val="thick" w:color="231F20"/>
                      </w:rPr>
                      <w:t> </w:t>
                    </w:r>
                    <w:r>
                      <w:rPr>
                        <w:color w:val="231F20"/>
                        <w:position w:val="-11"/>
                        <w:sz w:val="20"/>
                        <w:u w:val="thick" w:color="231F20"/>
                      </w:rPr>
                      <w:tab/>
                    </w:r>
                    <w:r>
                      <w:rPr>
                        <w:rFonts w:ascii="Helvetica"/>
                        <w:color w:val="231F20"/>
                        <w:sz w:val="16"/>
                      </w:rPr>
                      <w:t>A</w:t>
                    </w:r>
                  </w:p>
                </w:txbxContent>
              </v:textbox>
              <w10:wrap type="none"/>
            </v:shape>
            <v:shape style="position:absolute;left:8766;top:-20;width:12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100"/>
                        <w:sz w:val="16"/>
                      </w:rPr>
                      <w:t>B</w:t>
                    </w:r>
                  </w:p>
                </w:txbxContent>
              </v:textbox>
              <w10:wrap type="none"/>
            </v:shape>
            <v:shape style="position:absolute;left:7624;top:157;width:1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99"/>
                        <w:sz w:val="16"/>
                      </w:rPr>
                      <w:t>C</w:t>
                    </w:r>
                  </w:p>
                </w:txbxContent>
              </v:textbox>
              <w10:wrap type="none"/>
            </v:shape>
            <v:shape style="position:absolute;left:7078;top:2018;width:9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200 mOsm/L</w:t>
                    </w:r>
                  </w:p>
                </w:txbxContent>
              </v:textbox>
              <w10:wrap type="none"/>
            </v:shape>
            <w10:wrap type="none"/>
          </v:group>
        </w:pict>
      </w:r>
      <w:r>
        <w:rPr/>
        <w:pict>
          <v:shape style="position:absolute;margin-left:578.900024pt;margin-top:-28.380505pt;width:15.9pt;height:53.35pt;mso-position-horizontal-relative:page;mso-position-vertical-relative:paragraph;z-index:25172684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ISOTONIC</w:t>
      </w:r>
    </w:p>
    <w:p>
      <w:pPr>
        <w:spacing w:line="181" w:lineRule="exact" w:before="0"/>
        <w:ind w:left="1560" w:right="1588" w:firstLine="0"/>
        <w:jc w:val="center"/>
        <w:rPr>
          <w:rFonts w:ascii="Helvetica"/>
          <w:sz w:val="16"/>
        </w:rPr>
      </w:pPr>
      <w:r>
        <w:rPr/>
        <w:pict>
          <v:rect style="position:absolute;margin-left:576pt;margin-top:36.530579pt;width:36pt;height:24pt;mso-position-horizontal-relative:page;mso-position-vertical-relative:paragraph;z-index:251720704" filled="true" fillcolor="#e8dac8" stroked="false">
            <v:fill type="solid"/>
            <w10:wrap type="none"/>
          </v:rect>
        </w:pict>
      </w:r>
      <w:r>
        <w:rPr>
          <w:rFonts w:ascii="Helvetica"/>
          <w:color w:val="231F20"/>
          <w:sz w:val="16"/>
        </w:rPr>
        <w:t>No</w:t>
      </w:r>
      <w:r>
        <w:rPr>
          <w:rFonts w:ascii="Helvetica"/>
          <w:color w:val="231F20"/>
          <w:spacing w:val="-1"/>
          <w:sz w:val="16"/>
        </w:rPr>
        <w:t> </w:t>
      </w:r>
      <w:r>
        <w:rPr>
          <w:rFonts w:ascii="Helvetica"/>
          <w:color w:val="231F20"/>
          <w:sz w:val="16"/>
        </w:rPr>
        <w:t>change</w:t>
      </w:r>
    </w:p>
    <w:p>
      <w:pPr>
        <w:pStyle w:val="BodyText"/>
        <w:spacing w:before="9"/>
        <w:rPr>
          <w:rFonts w:ascii="Helvetica"/>
          <w:sz w:val="5"/>
        </w:rPr>
      </w:pPr>
    </w:p>
    <w:p>
      <w:pPr>
        <w:pStyle w:val="BodyText"/>
        <w:ind w:left="1088"/>
        <w:rPr>
          <w:rFonts w:ascii="Helvetica"/>
        </w:rPr>
      </w:pPr>
      <w:r>
        <w:rPr>
          <w:rFonts w:ascii="Helvetica"/>
        </w:rPr>
        <w:pict>
          <v:group style="width:101.45pt;height:88.65pt;mso-position-horizontal-relative:char;mso-position-vertical-relative:line" coordorigin="0,0" coordsize="2029,1773">
            <v:shape style="position:absolute;left:20;top:128;width:1989;height:1625" coordorigin="20,128" coordsize="1989,1625" path="m20,158l20,1595,32,1657,66,1707,116,1740,178,1753,1851,1753,1913,1740,1963,1707,1996,1657,2009,1595,2009,166,66,166,54,165,42,164,31,161,20,158xm202,128l182,129,164,133,147,139,134,147,120,155,104,161,86,165,66,166,338,166,318,165,299,161,283,154,269,146,255,139,239,133,221,129,202,128xm474,128l454,129,436,133,419,139,405,147,392,155,376,161,358,165,338,166,610,166,590,165,571,161,555,154,541,146,527,139,511,133,493,129,474,128xm746,128l726,129,707,133,691,139,677,147,664,155,647,161,629,165,610,166,882,166,861,165,843,161,826,154,813,146,799,139,783,133,765,129,746,128xm1017,128l998,129,979,133,963,139,949,147,935,155,919,161,901,165,882,166,1153,166,1133,165,1115,161,1098,154,1084,146,1071,139,1055,133,1037,129,1017,128xm1289,128l1269,129,1251,133,1235,139,1221,147,1207,155,1191,161,1173,165,1153,166,1425,166,1405,165,1386,161,1370,154,1356,146,1343,139,1327,133,1309,129,1289,128xm1561,128l1541,129,1523,133,1507,139,1493,147,1479,155,1463,161,1445,165,1425,166,1697,166,1677,165,1658,161,1642,154,1628,146,1614,139,1598,133,1580,129,1561,128xm1833,128l1813,129,1795,133,1778,139,1765,147,1751,155,1735,161,1717,165,1697,166,1969,166,1949,165,1930,161,1914,154,1900,146,1886,139,1870,133,1852,129,1833,128xm2009,158l2000,161,1990,163,1979,165,1969,166,2009,166,2009,158xe" filled="true" fillcolor="#c7d6ea" stroked="false">
              <v:path arrowok="t"/>
              <v:fill type="solid"/>
            </v:shape>
            <v:shape style="position:absolute;left:975;top:638;width:500;height:616" coordorigin="975,638" coordsize="500,616" path="m1118,638l1044,665,1004,689,986,721,975,776,976,848,993,919,1010,987,1014,1047,1046,1142,1089,1192,1149,1233,1221,1254,1305,1249,1392,1210,1444,1154,1470,1090,1475,1028,1467,978,1439,927,1395,878,1350,831,1320,786,1287,737,1235,688,1175,651,1118,638xe" filled="true" fillcolor="#dcd8e1" stroked="false">
              <v:path arrowok="t"/>
              <v:fill type="solid"/>
            </v:shape>
            <v:shape style="position:absolute;left:975;top:638;width:500;height:616" coordorigin="975,638" coordsize="500,616" path="m1118,638l1044,665,1004,689,986,721,975,776,976,848,993,919,1010,987,1014,1047,1046,1142,1089,1192,1149,1233,1221,1254,1305,1249,1392,1210,1444,1154,1470,1090,1475,1028,1467,978,1439,927,1395,878,1350,831,1320,786,1287,737,1235,688,1175,651,1118,638xe" filled="false" stroked="true" strokeweight="1pt" strokecolor="#f0535f">
              <v:path arrowok="t"/>
              <v:stroke dashstyle="solid"/>
            </v:shape>
            <v:shape style="position:absolute;left:20;top:20;width:1989;height:1733" coordorigin="20,20" coordsize="1989,1733" path="m2009,20l2009,1595,1996,1657,1963,1707,1913,1740,1851,1753,178,1753,116,1740,66,1707,32,1657,20,1595,20,20e" filled="false" stroked="true" strokeweight="2pt" strokecolor="#231f20">
              <v:path arrowok="t"/>
              <v:stroke dashstyle="solid"/>
            </v:shape>
            <v:shape style="position:absolute;left:106;top:242;width:48;height:48" coordorigin="106,242" coordsize="48,48" path="m143,242l117,242,106,253,106,279,117,289,143,289,153,279,153,253,143,242xe" filled="true" fillcolor="#8d5ba5" stroked="false">
              <v:path arrowok="t"/>
              <v:fill type="solid"/>
            </v:shape>
            <v:shape style="position:absolute;left:382;top:265;width:48;height:48" coordorigin="383,265" coordsize="48,48" path="m419,265l393,265,383,276,383,302,393,312,419,312,430,302,430,276,419,265xe" filled="true" fillcolor="#8d5ba5" stroked="false">
              <v:path arrowok="t"/>
              <v:fill type="solid"/>
            </v:shape>
            <v:shape style="position:absolute;left:647;top:305;width:48;height:48" coordorigin="648,306" coordsize="48,48" path="m684,306l658,306,648,316,648,342,658,353,684,353,695,342,695,316,684,306xe" filled="true" fillcolor="#8d5ba5" stroked="false">
              <v:path arrowok="t"/>
              <v:fill type="solid"/>
            </v:shape>
            <v:shape style="position:absolute;left:1022;top:270;width:48;height:48" coordorigin="1022,271" coordsize="48,48" path="m1059,271l1033,271,1022,282,1022,308,1033,318,1059,318,1070,308,1070,282,1059,271xe" filled="true" fillcolor="#8d5ba5" stroked="false">
              <v:path arrowok="t"/>
              <v:fill type="solid"/>
            </v:shape>
            <v:shape style="position:absolute;left:1321;top:305;width:48;height:48" coordorigin="1322,306" coordsize="48,48" path="m1359,306l1333,306,1322,316,1322,342,1333,353,1359,353,1369,342,1369,316,1359,306xe" filled="true" fillcolor="#8d5ba5" stroked="false">
              <v:path arrowok="t"/>
              <v:fill type="solid"/>
            </v:shape>
            <v:shape style="position:absolute;left:1529;top:282;width:48;height:48" coordorigin="1529,282" coordsize="48,48" path="m1566,282l1540,282,1529,293,1529,319,1540,330,1566,330,1577,319,1577,293,1566,282xe" filled="true" fillcolor="#8d5ba5" stroked="false">
              <v:path arrowok="t"/>
              <v:fill type="solid"/>
            </v:shape>
            <v:shape style="position:absolute;left:1834;top:282;width:48;height:48" coordorigin="1835,282" coordsize="48,48" path="m1871,282l1845,282,1835,293,1835,319,1845,330,1871,330,1882,319,1882,293,1871,282xe" filled="true" fillcolor="#8d5ba5" stroked="false">
              <v:path arrowok="t"/>
              <v:fill type="solid"/>
            </v:shape>
            <v:shape style="position:absolute;left:1702;top:495;width:48;height:48" coordorigin="1702,496" coordsize="48,48" path="m1739,496l1713,496,1702,506,1702,532,1713,543,1739,543,1750,532,1750,506,1739,496xe" filled="true" fillcolor="#8d5ba5" stroked="false">
              <v:path arrowok="t"/>
              <v:fill type="solid"/>
            </v:shape>
            <v:shape style="position:absolute;left:1442;top:449;width:48;height:48" coordorigin="1443,450" coordsize="48,48" path="m1480,450l1454,450,1443,460,1443,486,1454,497,1480,497,1490,486,1490,460,1480,450xe" filled="true" fillcolor="#8d5ba5" stroked="false">
              <v:path arrowok="t"/>
              <v:fill type="solid"/>
            </v:shape>
            <v:shape style="position:absolute;left:1102;top:438;width:48;height:48" coordorigin="1103,438" coordsize="48,48" path="m1140,438l1114,438,1103,449,1103,475,1114,485,1140,485,1150,475,1150,449,1140,438xe" filled="true" fillcolor="#8d5ba5" stroked="false">
              <v:path arrowok="t"/>
              <v:fill type="solid"/>
            </v:shape>
            <v:shape style="position:absolute;left:843;top:420;width:48;height:48" coordorigin="844,421" coordsize="48,48" path="m880,421l854,421,844,431,844,457,854,468,880,468,891,457,891,431,880,421xe" filled="true" fillcolor="#8d5ba5" stroked="false">
              <v:path arrowok="t"/>
              <v:fill type="solid"/>
            </v:shape>
            <v:shape style="position:absolute;left:469;top:449;width:48;height:48" coordorigin="469,450" coordsize="48,48" path="m506,450l480,450,469,460,469,486,480,497,506,497,516,486,516,460,506,450xe" filled="true" fillcolor="#8d5ba5" stroked="false">
              <v:path arrowok="t"/>
              <v:fill type="solid"/>
            </v:shape>
            <v:shape style="position:absolute;left:227;top:397;width:48;height:48" coordorigin="227,398" coordsize="48,48" path="m264,398l238,398,227,408,227,434,238,445,264,445,274,434,274,408,264,398xe" filled="true" fillcolor="#8d5ba5" stroked="false">
              <v:path arrowok="t"/>
              <v:fill type="solid"/>
            </v:shape>
            <v:shape style="position:absolute;left:245;top:220;width:48;height:48" coordorigin="246,221" coordsize="48,48" path="m282,221l256,221,246,232,246,258,256,268,282,268,293,258,293,232,282,221xe" filled="true" fillcolor="#8d5ba5" stroked="false">
              <v:path arrowok="t"/>
              <v:fill type="solid"/>
            </v:shape>
            <v:shape style="position:absolute;left:468;top:175;width:48;height:48" coordorigin="469,175" coordsize="48,48" path="m506,175l480,175,469,186,469,212,480,222,506,222,516,212,516,186,506,175xe" filled="true" fillcolor="#8d5ba5" stroked="false">
              <v:path arrowok="t"/>
              <v:fill type="solid"/>
            </v:shape>
            <v:shape style="position:absolute;left:495;top:325;width:48;height:48" coordorigin="495,326" coordsize="48,48" path="m532,326l506,326,495,337,495,363,506,373,532,373,542,363,542,337,532,326xe" filled="true" fillcolor="#8d5ba5" stroked="false">
              <v:path arrowok="t"/>
              <v:fill type="solid"/>
            </v:shape>
            <v:shape style="position:absolute;left:377;top:411;width:48;height:48" coordorigin="377,411" coordsize="48,48" path="m414,411l388,411,377,422,377,448,388,459,414,459,424,448,424,422,414,411xe" filled="true" fillcolor="#8d5ba5" stroked="false">
              <v:path arrowok="t"/>
              <v:fill type="solid"/>
            </v:shape>
            <v:shape style="position:absolute;left:75;top:391;width:48;height:48" coordorigin="75,392" coordsize="48,48" path="m112,392l86,392,75,402,75,428,86,439,112,439,122,428,122,402,112,392xe" filled="true" fillcolor="#8d5ba5" stroked="false">
              <v:path arrowok="t"/>
              <v:fill type="solid"/>
            </v:shape>
            <v:shape style="position:absolute;left:219;top:536;width:48;height:48" coordorigin="220,536" coordsize="48,48" path="m256,536l230,536,220,547,220,573,230,583,256,583,267,573,267,547,256,536xe" filled="true" fillcolor="#8d5ba5" stroked="false">
              <v:path arrowok="t"/>
              <v:fill type="solid"/>
            </v:shape>
            <v:shape style="position:absolute;left:475;top:581;width:48;height:48" coordorigin="475,582" coordsize="48,48" path="m512,582l486,582,475,593,475,619,486,629,512,629,523,619,523,593,512,582xe" filled="true" fillcolor="#8d5ba5" stroked="false">
              <v:path arrowok="t"/>
              <v:fill type="solid"/>
            </v:shape>
            <v:shape style="position:absolute;left:613;top:444;width:48;height:48" coordorigin="613,444" coordsize="48,48" path="m650,444l624,444,613,455,613,481,624,491,650,491,661,481,661,455,650,444xe" filled="true" fillcolor="#8d5ba5" stroked="false">
              <v:path arrowok="t"/>
              <v:fill type="solid"/>
            </v:shape>
            <v:shape style="position:absolute;left:711;top:194;width:48;height:48" coordorigin="712,195" coordsize="48,48" path="m748,195l722,195,712,205,712,231,722,242,748,242,759,231,759,205,748,195xe" filled="true" fillcolor="#8d5ba5" stroked="false">
              <v:path arrowok="t"/>
              <v:fill type="solid"/>
            </v:shape>
            <v:shape style="position:absolute;left:869;top:220;width:48;height:48" coordorigin="869,221" coordsize="48,48" path="m906,221l880,221,869,232,869,258,880,268,906,268,917,258,917,232,906,221xe" filled="true" fillcolor="#8d5ba5" stroked="false">
              <v:path arrowok="t"/>
              <v:fill type="solid"/>
            </v:shape>
            <v:shape style="position:absolute;left:751;top:339;width:48;height:48" coordorigin="751,339" coordsize="48,48" path="m788,339l762,339,751,350,751,376,762,386,788,386,798,376,798,350,788,339xe" filled="true" fillcolor="#8d5ba5" stroked="false">
              <v:path arrowok="t"/>
              <v:fill type="solid"/>
            </v:shape>
            <v:shape style="position:absolute;left:757;top:509;width:48;height:48" coordorigin="758,510" coordsize="48,48" path="m794,510l768,510,758,520,758,546,768,557,794,557,805,546,805,520,794,510xe" filled="true" fillcolor="#8d5ba5" stroked="false">
              <v:path arrowok="t"/>
              <v:fill type="solid"/>
            </v:shape>
            <v:shape style="position:absolute;left:816;top:641;width:48;height:48" coordorigin="817,641" coordsize="48,48" path="m854,641l827,641,817,652,817,678,827,688,854,688,864,678,864,652,854,641xe" filled="true" fillcolor="#8d5ba5" stroked="false">
              <v:path arrowok="t"/>
              <v:fill type="solid"/>
            </v:shape>
            <v:shape style="position:absolute;left:961;top:503;width:48;height:48" coordorigin="961,503" coordsize="48,48" path="m998,503l972,503,961,514,961,540,972,550,998,550,1008,540,1008,514,998,503xe" filled="true" fillcolor="#8d5ba5" stroked="false">
              <v:path arrowok="t"/>
              <v:fill type="solid"/>
            </v:shape>
            <v:shape style="position:absolute;left:961;top:371;width:48;height:48" coordorigin="961,372" coordsize="48,48" path="m998,372l972,372,961,382,961,409,972,419,998,419,1008,409,1008,382,998,372xe" filled="true" fillcolor="#8d5ba5" stroked="false">
              <v:path arrowok="t"/>
              <v:fill type="solid"/>
            </v:shape>
            <v:shape style="position:absolute;left:1033;top:155;width:48;height:48" coordorigin="1033,155" coordsize="48,48" path="m1070,155l1044,155,1033,166,1033,192,1044,203,1070,203,1081,192,1081,166,1070,155xe" filled="true" fillcolor="#8d5ba5" stroked="false">
              <v:path arrowok="t"/>
              <v:fill type="solid"/>
            </v:shape>
            <v:shape style="position:absolute;left:1256;top:181;width:48;height:48" coordorigin="1257,182" coordsize="48,48" path="m1293,182l1267,182,1257,192,1257,218,1267,229,1293,229,1304,218,1304,192,1293,182xe" filled="true" fillcolor="#8d5ba5" stroked="false">
              <v:path arrowok="t"/>
              <v:fill type="solid"/>
            </v:shape>
            <v:shape style="position:absolute;left:1138;top:286;width:48;height:48" coordorigin="1138,287" coordsize="48,48" path="m1175,287l1149,287,1138,297,1138,323,1149,334,1175,334,1186,323,1186,297,1175,287xe" filled="true" fillcolor="#8d5ba5" stroked="false">
              <v:path arrowok="t"/>
              <v:fill type="solid"/>
            </v:shape>
            <v:shape style="position:absolute;left:1250;top:391;width:48;height:48" coordorigin="1250,392" coordsize="48,48" path="m1287,392l1261,392,1250,402,1250,428,1261,439,1287,439,1297,428,1297,402,1287,392xe" filled="true" fillcolor="#8d5ba5" stroked="false">
              <v:path arrowok="t"/>
              <v:fill type="solid"/>
            </v:shape>
            <v:shape style="position:absolute;left:1144;top:555;width:48;height:48" coordorigin="1145,556" coordsize="48,48" path="m1182,556l1156,556,1145,566,1145,592,1156,603,1182,603,1192,592,1192,566,1182,556xe" filled="true" fillcolor="#8d5ba5" stroked="false">
              <v:path arrowok="t"/>
              <v:fill type="solid"/>
            </v:shape>
            <v:shape style="position:absolute;left:1322;top:490;width:48;height:48" coordorigin="1322,490" coordsize="48,48" path="m1359,490l1333,490,1322,501,1322,527,1333,537,1359,537,1369,527,1369,501,1359,490xe" filled="true" fillcolor="#8d5ba5" stroked="false">
              <v:path arrowok="t"/>
              <v:fill type="solid"/>
            </v:shape>
            <v:shape style="position:absolute;left:1427;top:227;width:48;height:48" coordorigin="1427,228" coordsize="48,48" path="m1464,228l1438,228,1427,238,1427,264,1438,275,1464,275,1474,264,1474,238,1464,228xe" filled="true" fillcolor="#8d5ba5" stroked="false">
              <v:path arrowok="t"/>
              <v:fill type="solid"/>
            </v:shape>
            <v:shape style="position:absolute;left:1578;top:155;width:48;height:48" coordorigin="1578,155" coordsize="48,48" path="m1615,155l1589,155,1578,166,1578,192,1589,203,1615,203,1625,192,1625,166,1615,155xe" filled="true" fillcolor="#8d5ba5" stroked="false">
              <v:path arrowok="t"/>
              <v:fill type="solid"/>
            </v:shape>
            <v:shape style="position:absolute;left:1676;top:260;width:48;height:48" coordorigin="1677,260" coordsize="48,48" path="m1713,260l1687,260,1677,271,1677,297,1687,308,1713,308,1724,297,1724,271,1713,260xe" filled="true" fillcolor="#8d5ba5" stroked="false">
              <v:path arrowok="t"/>
              <v:fill type="solid"/>
            </v:shape>
            <v:shape style="position:absolute;left:1827;top:168;width:48;height:48" coordorigin="1828,168" coordsize="48,48" path="m1864,168l1838,168,1828,179,1828,205,1838,216,1864,216,1875,205,1875,179,1864,168xe" filled="true" fillcolor="#8d5ba5" stroked="false">
              <v:path arrowok="t"/>
              <v:fill type="solid"/>
            </v:shape>
            <v:shape style="position:absolute;left:1939;top:247;width:48;height:48" coordorigin="1939,247" coordsize="48,48" path="m1976,247l1950,247,1939,258,1939,284,1950,294,1976,294,1986,284,1986,258,1976,247xe" filled="true" fillcolor="#8d5ba5" stroked="false">
              <v:path arrowok="t"/>
              <v:fill type="solid"/>
            </v:shape>
            <v:shape style="position:absolute;left:1932;top:437;width:48;height:48" coordorigin="1933,438" coordsize="48,48" path="m1969,438l1943,438,1933,448,1933,474,1943,485,1969,485,1980,474,1980,448,1969,438xe" filled="true" fillcolor="#8d5ba5" stroked="false">
              <v:path arrowok="t"/>
              <v:fill type="solid"/>
            </v:shape>
            <v:shape style="position:absolute;left:1755;top:391;width:48;height:48" coordorigin="1755,392" coordsize="48,48" path="m1792,392l1766,392,1755,402,1755,428,1766,439,1792,439,1803,428,1803,402,1792,392xe" filled="true" fillcolor="#8d5ba5" stroked="false">
              <v:path arrowok="t"/>
              <v:fill type="solid"/>
            </v:shape>
            <v:shape style="position:absolute;left:1597;top:398;width:48;height:48" coordorigin="1598,398" coordsize="48,48" path="m1635,398l1608,398,1598,409,1598,435,1608,445,1635,445,1645,435,1645,409,1635,398xe" filled="true" fillcolor="#8d5ba5" stroked="false">
              <v:path arrowok="t"/>
              <v:fill type="solid"/>
            </v:shape>
            <v:shape style="position:absolute;left:1538;top:542;width:48;height:48" coordorigin="1539,543" coordsize="48,48" path="m1575,543l1549,543,1539,553,1539,579,1549,590,1575,590,1586,579,1586,553,1575,543xe" filled="true" fillcolor="#8d5ba5" stroked="false">
              <v:path arrowok="t"/>
              <v:fill type="solid"/>
            </v:shape>
            <v:shape style="position:absolute;left:1689;top:634;width:48;height:48" coordorigin="1690,634" coordsize="48,48" path="m1726,634l1700,634,1690,645,1690,671,1700,682,1726,682,1737,671,1737,645,1726,634xe" filled="true" fillcolor="#8d5ba5" stroked="false">
              <v:path arrowok="t"/>
              <v:fill type="solid"/>
            </v:shape>
            <v:shape style="position:absolute;left:1827;top:529;width:48;height:48" coordorigin="1828,529" coordsize="48,48" path="m1864,529l1838,529,1828,540,1828,566,1838,577,1864,577,1875,566,1875,540,1864,529xe" filled="true" fillcolor="#8d5ba5" stroked="false">
              <v:path arrowok="t"/>
              <v:fill type="solid"/>
            </v:shape>
            <v:shape style="position:absolute;left:1932;top:641;width:48;height:48" coordorigin="1933,641" coordsize="48,48" path="m1969,641l1943,641,1933,652,1933,678,1943,688,1969,688,1980,678,1980,652,1969,641xe" filled="true" fillcolor="#8d5ba5" stroked="false">
              <v:path arrowok="t"/>
              <v:fill type="solid"/>
            </v:shape>
            <v:shape style="position:absolute;left:1867;top:805;width:48;height:48" coordorigin="1867,805" coordsize="48,48" path="m1904,805l1878,805,1867,816,1867,842,1878,852,1904,852,1914,842,1914,816,1904,805xe" filled="true" fillcolor="#8d5ba5" stroked="false">
              <v:path arrowok="t"/>
              <v:fill type="solid"/>
            </v:shape>
            <v:shape style="position:absolute;left:1919;top:942;width:48;height:48" coordorigin="1919,943" coordsize="48,48" path="m1956,943l1930,943,1919,954,1919,980,1930,990,1956,990,1967,980,1967,954,1956,943xe" filled="true" fillcolor="#8d5ba5" stroked="false">
              <v:path arrowok="t"/>
              <v:fill type="solid"/>
            </v:shape>
            <v:shape style="position:absolute;left:88;top:570;width:48;height:48" coordorigin="89,571" coordsize="48,48" path="m125,571l99,571,89,581,89,607,99,618,125,618,136,607,136,581,125,571xe" filled="true" fillcolor="#8d5ba5" stroked="false">
              <v:path arrowok="t"/>
              <v:fill type="solid"/>
            </v:shape>
            <v:shape style="position:absolute;left:342;top:605;width:48;height:48" coordorigin="342,605" coordsize="48,48" path="m379,605l353,605,342,616,342,642,353,652,379,652,390,642,390,616,379,605xe" filled="true" fillcolor="#8d5ba5" stroked="false">
              <v:path arrowok="t"/>
              <v:fill type="solid"/>
            </v:shape>
            <v:shape style="position:absolute;left:606;top:551;width:48;height:48" coordorigin="607,552" coordsize="48,48" path="m643,552l617,552,607,562,607,588,617,599,643,599,654,588,654,562,643,552xe" filled="true" fillcolor="#8d5ba5" stroked="false">
              <v:path arrowok="t"/>
              <v:fill type="solid"/>
            </v:shape>
            <v:shape style="position:absolute;left:953;top:644;width:48;height:48" coordorigin="953,645" coordsize="48,48" path="m990,645l964,645,953,655,953,681,964,692,990,692,1000,681,1000,655,990,645xe" filled="true" fillcolor="#8d5ba5" stroked="false">
              <v:path arrowok="t"/>
              <v:fill type="solid"/>
            </v:shape>
            <v:shape style="position:absolute;left:1258;top:598;width:48;height:48" coordorigin="1259,599" coordsize="48,48" path="m1295,599l1269,599,1259,609,1259,635,1269,646,1295,646,1306,635,1306,609,1295,599xe" filled="true" fillcolor="#8d5ba5" stroked="false">
              <v:path arrowok="t"/>
              <v:fill type="solid"/>
            </v:shape>
            <v:shape style="position:absolute;left:1529;top:656;width:48;height:48" coordorigin="1529,656" coordsize="48,48" path="m1566,656l1540,656,1529,667,1529,693,1540,704,1566,704,1577,693,1577,667,1566,656xe" filled="true" fillcolor="#8d5ba5" stroked="false">
              <v:path arrowok="t"/>
              <v:fill type="solid"/>
            </v:shape>
            <v:shape style="position:absolute;left:1834;top:650;width:48;height:48" coordorigin="1834,651" coordsize="48,48" path="m1871,651l1845,651,1834,661,1834,687,1845,698,1871,698,1881,687,1881,661,1871,651xe" filled="true" fillcolor="#8d5ba5" stroked="false">
              <v:path arrowok="t"/>
              <v:fill type="solid"/>
            </v:shape>
            <v:shape style="position:absolute;left:1407;top:621;width:48;height:48" coordorigin="1408,621" coordsize="48,48" path="m1444,621l1418,621,1408,632,1408,658,1418,669,1444,669,1455,658,1455,632,1444,621xe" filled="true" fillcolor="#8d5ba5" stroked="false">
              <v:path arrowok="t"/>
              <v:fill type="solid"/>
            </v:shape>
            <v:shape style="position:absolute;left:1322;top:706;width:48;height:48" coordorigin="1322,707" coordsize="48,48" path="m1359,707l1333,707,1322,717,1322,743,1333,754,1359,754,1369,743,1369,717,1359,707xe" filled="true" fillcolor="#8d5ba5" stroked="false">
              <v:path arrowok="t"/>
              <v:fill type="solid"/>
            </v:shape>
            <v:shape style="position:absolute;left:1079;top:706;width:48;height:48" coordorigin="1079,707" coordsize="48,48" path="m1116,707l1090,707,1079,717,1079,743,1090,754,1116,754,1127,743,1127,717,1116,707xe" filled="true" fillcolor="#8d5ba5" stroked="false">
              <v:path arrowok="t"/>
              <v:fill type="solid"/>
            </v:shape>
            <v:shape style="position:absolute;left:1190;top:746;width:48;height:48" coordorigin="1191,746" coordsize="48,48" path="m1228,746l1202,746,1191,757,1191,783,1202,793,1228,793,1238,783,1238,757,1228,746xe" filled="true" fillcolor="#8d5ba5" stroked="false">
              <v:path arrowok="t"/>
              <v:fill type="solid"/>
            </v:shape>
            <v:shape style="position:absolute;left:1256;top:835;width:48;height:48" coordorigin="1257,835" coordsize="48,48" path="m1293,835l1267,835,1257,846,1257,872,1267,883,1293,883,1304,872,1304,846,1293,835xe" filled="true" fillcolor="#8d5ba5" stroked="false">
              <v:path arrowok="t"/>
              <v:fill type="solid"/>
            </v:shape>
            <v:shape style="position:absolute;left:1177;top:936;width:48;height:48" coordorigin="1178,936" coordsize="48,48" path="m1215,936l1188,936,1178,947,1178,973,1188,984,1215,984,1225,973,1225,947,1215,936xe" filled="true" fillcolor="#8d5ba5" stroked="false">
              <v:path arrowok="t"/>
              <v:fill type="solid"/>
            </v:shape>
            <v:shape style="position:absolute;left:1282;top:956;width:48;height:48" coordorigin="1283,956" coordsize="48,48" path="m1320,956l1293,956,1283,967,1283,993,1293,1003,1320,1003,1330,993,1330,967,1320,956xe" filled="true" fillcolor="#8d5ba5" stroked="false">
              <v:path arrowok="t"/>
              <v:fill type="solid"/>
            </v:shape>
            <v:shape style="position:absolute;left:1400;top:982;width:48;height:48" coordorigin="1401,982" coordsize="48,48" path="m1438,982l1412,982,1401,993,1401,1019,1412,1030,1438,1030,1448,1019,1448,993,1438,982xe" filled="true" fillcolor="#8d5ba5" stroked="false">
              <v:path arrowok="t"/>
              <v:fill type="solid"/>
            </v:shape>
            <v:shape style="position:absolute;left:1381;top:1107;width:48;height:48" coordorigin="1381,1107" coordsize="48,48" path="m1418,1107l1392,1107,1381,1118,1381,1144,1392,1154,1418,1154,1429,1144,1429,1118,1418,1107xe" filled="true" fillcolor="#8d5ba5" stroked="false">
              <v:path arrowok="t"/>
              <v:fill type="solid"/>
            </v:shape>
            <v:shape style="position:absolute;left:1243;top:1205;width:48;height:48" coordorigin="1243,1206" coordsize="48,48" path="m1280,1206l1254,1206,1243,1216,1243,1242,1254,1253,1280,1253,1291,1242,1291,1216,1280,1206xe" filled="true" fillcolor="#8d5ba5" stroked="false">
              <v:path arrowok="t"/>
              <v:fill type="solid"/>
            </v:shape>
            <v:shape style="position:absolute;left:1164;top:1067;width:48;height:48" coordorigin="1165,1068" coordsize="48,48" path="m1201,1068l1175,1068,1165,1078,1165,1104,1175,1115,1201,1115,1212,1104,1212,1078,1201,1068xe" filled="true" fillcolor="#8d5ba5" stroked="false">
              <v:path arrowok="t"/>
              <v:fill type="solid"/>
            </v:shape>
            <v:shape style="position:absolute;left:1039;top:969;width:48;height:48" coordorigin="1040,969" coordsize="48,48" path="m1077,969l1051,969,1040,980,1040,1006,1051,1016,1077,1016,1087,1006,1087,980,1077,969xe" filled="true" fillcolor="#8d5ba5" stroked="false">
              <v:path arrowok="t"/>
              <v:fill type="solid"/>
            </v:shape>
            <v:shape style="position:absolute;left:1053;top:1100;width:48;height:48" coordorigin="1053,1100" coordsize="48,48" path="m1090,1100l1064,1100,1053,1111,1053,1137,1064,1148,1090,1148,1100,1137,1100,1111,1090,1100xe" filled="true" fillcolor="#8d5ba5" stroked="false">
              <v:path arrowok="t"/>
              <v:fill type="solid"/>
            </v:shape>
            <v:shape style="position:absolute;left:1007;top:798;width:48;height:48" coordorigin="1007,799" coordsize="48,48" path="m1044,799l1018,799,1007,809,1007,835,1018,846,1044,846,1054,835,1054,809,1044,799xe" filled="true" fillcolor="#8d5ba5" stroked="false">
              <v:path arrowok="t"/>
              <v:fill type="solid"/>
            </v:shape>
            <v:shape style="position:absolute;left:869;top:765;width:48;height:48" coordorigin="869,766" coordsize="48,48" path="m906,766l880,766,869,776,869,802,880,813,906,813,917,802,917,776,906,766xe" filled="true" fillcolor="#8d5ba5" stroked="false">
              <v:path arrowok="t"/>
              <v:fill type="solid"/>
            </v:shape>
            <v:shape style="position:absolute;left:862;top:929;width:48;height:48" coordorigin="863,930" coordsize="48,48" path="m899,930l873,930,863,940,863,966,873,977,899,977,910,966,910,940,899,930xe" filled="true" fillcolor="#8d5ba5" stroked="false">
              <v:path arrowok="t"/>
              <v:fill type="solid"/>
            </v:shape>
            <v:shape style="position:absolute;left:652;top:824;width:48;height:48" coordorigin="653,825" coordsize="48,48" path="m689,825l663,825,653,835,653,861,663,872,689,872,700,861,700,835,689,825xe" filled="true" fillcolor="#8d5ba5" stroked="false">
              <v:path arrowok="t"/>
              <v:fill type="solid"/>
            </v:shape>
            <v:shape style="position:absolute;left:619;top:693;width:48;height:48" coordorigin="620,694" coordsize="48,48" path="m657,694l630,694,620,704,620,730,630,741,657,741,667,730,667,704,657,694xe" filled="true" fillcolor="#8d5ba5" stroked="false">
              <v:path arrowok="t"/>
              <v:fill type="solid"/>
            </v:shape>
            <v:shape style="position:absolute;left:429;top:713;width:48;height:48" coordorigin="430,713" coordsize="48,48" path="m466,713l440,713,430,724,430,750,440,761,466,761,477,750,477,724,466,713xe" filled="true" fillcolor="#8d5ba5" stroked="false">
              <v:path arrowok="t"/>
              <v:fill type="solid"/>
            </v:shape>
            <v:shape style="position:absolute;left:311;top:811;width:48;height:48" coordorigin="311,812" coordsize="48,48" path="m348,812l322,812,311,822,311,848,322,859,348,859,359,848,359,822,348,812xe" filled="true" fillcolor="#8d5ba5" stroked="false">
              <v:path arrowok="t"/>
              <v:fill type="solid"/>
            </v:shape>
            <v:shape style="position:absolute;left:462;top:923;width:48;height:48" coordorigin="462,923" coordsize="48,48" path="m499,923l473,923,462,934,462,960,473,971,499,971,510,960,510,934,499,923xe" filled="true" fillcolor="#8d5ba5" stroked="false">
              <v:path arrowok="t"/>
              <v:fill type="solid"/>
            </v:shape>
            <v:shape style="position:absolute;left:731;top:949;width:48;height:48" coordorigin="731,950" coordsize="48,48" path="m768,950l742,950,731,960,731,986,742,997,768,997,779,986,779,960,768,950xe" filled="true" fillcolor="#8d5ba5" stroked="false">
              <v:path arrowok="t"/>
              <v:fill type="solid"/>
            </v:shape>
            <v:shape style="position:absolute;left:711;top:1107;width:48;height:48" coordorigin="712,1107" coordsize="48,48" path="m748,1107l722,1107,712,1118,712,1144,722,1154,748,1154,759,1144,759,1118,748,1107xe" filled="true" fillcolor="#8d5ba5" stroked="false">
              <v:path arrowok="t"/>
              <v:fill type="solid"/>
            </v:shape>
            <v:shape style="position:absolute;left:843;top:1179;width:48;height:48" coordorigin="843,1179" coordsize="48,48" path="m880,1179l854,1179,843,1190,843,1216,854,1227,880,1227,890,1216,890,1190,880,1179xe" filled="true" fillcolor="#8d5ba5" stroked="false">
              <v:path arrowok="t"/>
              <v:fill type="solid"/>
            </v:shape>
            <v:shape style="position:absolute;left:967;top:1238;width:48;height:48" coordorigin="968,1238" coordsize="48,48" path="m1004,1238l978,1238,968,1249,968,1275,978,1286,1004,1286,1015,1275,1015,1249,1004,1238xe" filled="true" fillcolor="#8d5ba5" stroked="false">
              <v:path arrowok="t"/>
              <v:fill type="solid"/>
            </v:shape>
            <v:shape style="position:absolute;left:1479;top:778;width:48;height:48" coordorigin="1480,779" coordsize="48,48" path="m1516,779l1490,779,1480,789,1480,816,1490,826,1516,826,1527,816,1527,789,1516,779xe" filled="true" fillcolor="#8d5ba5" stroked="false">
              <v:path arrowok="t"/>
              <v:fill type="solid"/>
            </v:shape>
            <v:shape style="position:absolute;left:1582;top:870;width:48;height:48" coordorigin="1582,871" coordsize="48,48" path="m1619,871l1593,871,1582,881,1582,907,1593,918,1619,918,1629,907,1629,881,1619,871xe" filled="true" fillcolor="#8d5ba5" stroked="false">
              <v:path arrowok="t"/>
              <v:fill type="solid"/>
            </v:shape>
            <v:shape style="position:absolute;left:1689;top:956;width:48;height:48" coordorigin="1690,956" coordsize="48,48" path="m1726,956l1700,956,1690,967,1690,993,1700,1003,1726,1003,1737,993,1737,967,1726,956xe" filled="true" fillcolor="#8d5ba5" stroked="false">
              <v:path arrowok="t"/>
              <v:fill type="solid"/>
            </v:shape>
            <v:shape style="position:absolute;left:1752;top:851;width:48;height:48" coordorigin="1753,851" coordsize="48,48" path="m1789,851l1763,851,1753,862,1753,888,1763,898,1789,898,1800,888,1800,862,1789,851xe" filled="true" fillcolor="#8d5ba5" stroked="false">
              <v:path arrowok="t"/>
              <v:fill type="solid"/>
            </v:shape>
            <v:shape style="position:absolute;left:1637;top:1107;width:48;height:48" coordorigin="1637,1107" coordsize="48,48" path="m1674,1107l1648,1107,1637,1118,1637,1144,1648,1154,1674,1154,1685,1144,1685,1118,1674,1107xe" filled="true" fillcolor="#8d5ba5" stroked="false">
              <v:path arrowok="t"/>
              <v:fill type="solid"/>
            </v:shape>
            <v:shape style="position:absolute;left:1751;top:1113;width:48;height:48" coordorigin="1751,1114" coordsize="48,48" path="m1788,1114l1762,1114,1751,1124,1751,1150,1762,1161,1788,1161,1799,1150,1799,1124,1788,1114xe" filled="true" fillcolor="#8d5ba5" stroked="false">
              <v:path arrowok="t"/>
              <v:fill type="solid"/>
            </v:shape>
            <v:shape style="position:absolute;left:1906;top:1139;width:48;height:48" coordorigin="1906,1140" coordsize="48,48" path="m1943,1140l1917,1140,1906,1150,1906,1177,1917,1187,1943,1187,1954,1177,1954,1150,1943,1140xe" filled="true" fillcolor="#8d5ba5" stroked="false">
              <v:path arrowok="t"/>
              <v:fill type="solid"/>
            </v:shape>
            <v:shape style="position:absolute;left:1827;top:1244;width:48;height:48" coordorigin="1828,1245" coordsize="48,48" path="m1864,1245l1838,1245,1828,1255,1828,1282,1838,1292,1864,1292,1875,1282,1875,1255,1864,1245xe" filled="true" fillcolor="#8d5ba5" stroked="false">
              <v:path arrowok="t"/>
              <v:fill type="solid"/>
            </v:shape>
            <v:shape style="position:absolute;left:1919;top:1310;width:48;height:48" coordorigin="1919,1311" coordsize="48,48" path="m1956,1311l1930,1311,1919,1321,1919,1347,1930,1358,1956,1358,1967,1347,1967,1321,1956,1311xe" filled="true" fillcolor="#8d5ba5" stroked="false">
              <v:path arrowok="t"/>
              <v:fill type="solid"/>
            </v:shape>
            <v:shape style="position:absolute;left:1499;top:1130;width:48;height:48" coordorigin="1499,1131" coordsize="48,48" path="m1536,1131l1510,1131,1499,1141,1499,1167,1510,1178,1536,1178,1547,1167,1547,1141,1536,1131xe" filled="true" fillcolor="#8d5ba5" stroked="false">
              <v:path arrowok="t"/>
              <v:fill type="solid"/>
            </v:shape>
            <v:shape style="position:absolute;left:1565;top:1248;width:48;height:48" coordorigin="1565,1249" coordsize="48,48" path="m1602,1249l1576,1249,1565,1259,1565,1285,1576,1296,1602,1296,1612,1285,1612,1259,1602,1249xe" filled="true" fillcolor="#8d5ba5" stroked="false">
              <v:path arrowok="t"/>
              <v:fill type="solid"/>
            </v:shape>
            <v:shape style="position:absolute;left:1394;top:1360;width:48;height:48" coordorigin="1394,1360" coordsize="48,48" path="m1431,1360l1405,1360,1394,1371,1394,1397,1405,1408,1431,1408,1442,1397,1442,1371,1431,1360xe" filled="true" fillcolor="#8d5ba5" stroked="false">
              <v:path arrowok="t"/>
              <v:fill type="solid"/>
            </v:shape>
            <v:shape style="position:absolute;left:1243;top:1314;width:48;height:48" coordorigin="1243,1314" coordsize="48,48" path="m1280,1314l1254,1314,1243,1325,1243,1351,1254,1362,1280,1362,1291,1351,1291,1325,1280,1314xe" filled="true" fillcolor="#8d5ba5" stroked="false">
              <v:path arrowok="t"/>
              <v:fill type="solid"/>
            </v:shape>
            <v:shape style="position:absolute;left:1053;top:1386;width:48;height:48" coordorigin="1053,1387" coordsize="48,48" path="m1090,1387l1064,1387,1053,1397,1053,1423,1064,1434,1090,1434,1100,1423,1100,1397,1090,1387xe" filled="true" fillcolor="#8d5ba5" stroked="false">
              <v:path arrowok="t"/>
              <v:fill type="solid"/>
            </v:shape>
            <v:shape style="position:absolute;left:1122;top:1493;width:48;height:48" coordorigin="1123,1493" coordsize="48,48" path="m1159,1493l1133,1493,1123,1504,1123,1530,1133,1541,1159,1541,1170,1530,1170,1504,1159,1493xe" filled="true" fillcolor="#8d5ba5" stroked="false">
              <v:path arrowok="t"/>
              <v:fill type="solid"/>
            </v:shape>
            <v:shape style="position:absolute;left:1700;top:1397;width:48;height:48" coordorigin="1700,1397" coordsize="48,48" path="m1737,1397l1711,1397,1700,1408,1700,1434,1711,1444,1737,1444,1748,1434,1748,1408,1737,1397xe" filled="true" fillcolor="#8d5ba5" stroked="false">
              <v:path arrowok="t"/>
              <v:fill type="solid"/>
            </v:shape>
            <v:shape style="position:absolute;left:1768;top:1511;width:48;height:48" coordorigin="1769,1511" coordsize="48,48" path="m1805,1511l1779,1511,1769,1522,1769,1548,1779,1559,1805,1559,1816,1548,1816,1522,1805,1511xe" filled="true" fillcolor="#8d5ba5" stroked="false">
              <v:path arrowok="t"/>
              <v:fill type="solid"/>
            </v:shape>
            <v:shape style="position:absolute;left:1919;top:1531;width:48;height:48" coordorigin="1919,1531" coordsize="48,48" path="m1956,1531l1930,1531,1919,1542,1919,1568,1930,1578,1956,1578,1967,1568,1967,1542,1956,1531xe" filled="true" fillcolor="#8d5ba5" stroked="false">
              <v:path arrowok="t"/>
              <v:fill type="solid"/>
            </v:shape>
            <v:shape style="position:absolute;left:1860;top:1649;width:48;height:48" coordorigin="1860,1649" coordsize="48,48" path="m1897,1649l1871,1649,1860,1660,1860,1686,1871,1696,1897,1696,1908,1686,1908,1660,1897,1649xe" filled="true" fillcolor="#8d5ba5" stroked="false">
              <v:path arrowok="t"/>
              <v:fill type="solid"/>
            </v:shape>
            <v:shape style="position:absolute;left:1643;top:1544;width:48;height:48" coordorigin="1644,1544" coordsize="48,48" path="m1681,1544l1654,1544,1644,1555,1644,1581,1654,1591,1681,1591,1691,1581,1691,1555,1681,1544xe" filled="true" fillcolor="#8d5ba5" stroked="false">
              <v:path arrowok="t"/>
              <v:fill type="solid"/>
            </v:shape>
            <v:shape style="position:absolute;left:1551;top:1649;width:48;height:48" coordorigin="1552,1649" coordsize="48,48" path="m1589,1649l1563,1649,1552,1660,1552,1686,1563,1696,1589,1696,1599,1686,1599,1660,1589,1649xe" filled="true" fillcolor="#8d5ba5" stroked="false">
              <v:path arrowok="t"/>
              <v:fill type="solid"/>
            </v:shape>
            <v:shape style="position:absolute;left:1420;top:1485;width:48;height:48" coordorigin="1421,1485" coordsize="48,48" path="m1457,1485l1431,1485,1421,1496,1421,1522,1431,1532,1457,1532,1468,1522,1468,1496,1457,1485xe" filled="true" fillcolor="#8d5ba5" stroked="false">
              <v:path arrowok="t"/>
              <v:fill type="solid"/>
            </v:shape>
            <v:shape style="position:absolute;left:1512;top:1373;width:48;height:48" coordorigin="1513,1374" coordsize="48,48" path="m1549,1374l1523,1374,1513,1384,1513,1410,1523,1421,1549,1421,1560,1410,1560,1384,1549,1374xe" filled="true" fillcolor="#8d5ba5" stroked="false">
              <v:path arrowok="t"/>
              <v:fill type="solid"/>
            </v:shape>
            <v:shape style="position:absolute;left:1242;top:1544;width:48;height:48" coordorigin="1243,1545" coordsize="48,48" path="m1279,1545l1253,1545,1243,1555,1243,1581,1253,1592,1279,1592,1290,1581,1290,1555,1279,1545xe" filled="true" fillcolor="#8d5ba5" stroked="false">
              <v:path arrowok="t"/>
              <v:fill type="solid"/>
            </v:shape>
            <v:shape style="position:absolute;left:1050;top:1681;width:48;height:48" coordorigin="1051,1682" coordsize="48,48" path="m1088,1682l1061,1682,1051,1692,1051,1718,1061,1729,1088,1729,1098,1718,1098,1692,1088,1682xe" filled="true" fillcolor="#8d5ba5" stroked="false">
              <v:path arrowok="t"/>
              <v:fill type="solid"/>
            </v:shape>
            <v:shape style="position:absolute;left:989;top:1496;width:48;height:48" coordorigin="989,1497" coordsize="48,48" path="m1026,1497l1000,1497,989,1507,989,1533,1000,1544,1026,1544,1037,1533,1037,1507,1026,1497xe" filled="true" fillcolor="#8d5ba5" stroked="false">
              <v:path arrowok="t"/>
              <v:fill type="solid"/>
            </v:shape>
            <v:shape style="position:absolute;left:777;top:1478;width:48;height:48" coordorigin="777,1479" coordsize="48,48" path="m814,1479l788,1479,777,1489,777,1515,788,1526,814,1526,825,1515,825,1489,814,1479xe" filled="true" fillcolor="#8d5ba5" stroked="false">
              <v:path arrowok="t"/>
              <v:fill type="solid"/>
            </v:shape>
            <v:shape style="position:absolute;left:861;top:1537;width:48;height:48" coordorigin="861,1537" coordsize="48,48" path="m898,1537l872,1537,861,1548,861,1574,872,1585,898,1585,908,1574,908,1548,898,1537xe" filled="true" fillcolor="#8d5ba5" stroked="false">
              <v:path arrowok="t"/>
              <v:fill type="solid"/>
            </v:shape>
            <v:shape style="position:absolute;left:547;top:1657;width:48;height:48" coordorigin="548,1658" coordsize="48,48" path="m584,1658l558,1658,548,1668,548,1694,558,1705,584,1705,595,1694,595,1668,584,1658xe" filled="true" fillcolor="#8d5ba5" stroked="false">
              <v:path arrowok="t"/>
              <v:fill type="solid"/>
            </v:shape>
            <v:shape style="position:absolute;left:797;top:1353;width:48;height:48" coordorigin="797,1354" coordsize="48,48" path="m834,1354l808,1354,797,1364,797,1390,808,1401,834,1401,844,1390,844,1364,834,1354xe" filled="true" fillcolor="#8d5ba5" stroked="false">
              <v:path arrowok="t"/>
              <v:fill type="solid"/>
            </v:shape>
            <v:shape style="position:absolute;left:587;top:1183;width:48;height:48" coordorigin="587,1183" coordsize="48,48" path="m624,1183l598,1183,587,1194,587,1220,598,1230,624,1230,634,1220,634,1194,624,1183xe" filled="true" fillcolor="#8d5ba5" stroked="false">
              <v:path arrowok="t"/>
              <v:fill type="solid"/>
            </v:shape>
            <v:shape style="position:absolute;left:495;top:1353;width:48;height:48" coordorigin="495,1354" coordsize="48,48" path="m532,1354l506,1354,495,1364,495,1390,506,1401,532,1401,542,1390,542,1364,532,1354xe" filled="true" fillcolor="#8d5ba5" stroked="false">
              <v:path arrowok="t"/>
              <v:fill type="solid"/>
            </v:shape>
            <v:shape style="position:absolute;left:639;top:1347;width:48;height:48" coordorigin="640,1347" coordsize="48,48" path="m676,1347l650,1347,640,1358,640,1384,650,1395,676,1395,687,1384,687,1358,676,1347xe" filled="true" fillcolor="#8d5ba5" stroked="false">
              <v:path arrowok="t"/>
              <v:fill type="solid"/>
            </v:shape>
            <v:shape style="position:absolute;left:455;top:1065;width:48;height:48" coordorigin="456,1065" coordsize="48,48" path="m493,1065l466,1065,456,1076,456,1102,466,1112,493,1112,503,1102,503,1076,493,1065xe" filled="true" fillcolor="#8d5ba5" stroked="false">
              <v:path arrowok="t"/>
              <v:fill type="solid"/>
            </v:shape>
            <v:shape style="position:absolute;left:285;top:1104;width:48;height:48" coordorigin="285,1104" coordsize="48,48" path="m322,1104l296,1104,285,1115,285,1141,296,1152,322,1152,332,1141,332,1115,322,1104xe" filled="true" fillcolor="#8d5ba5" stroked="false">
              <v:path arrowok="t"/>
              <v:fill type="solid"/>
            </v:shape>
            <v:shape style="position:absolute;left:206;top:953;width:48;height:48" coordorigin="206,953" coordsize="48,48" path="m243,953l217,953,206,964,206,990,217,1001,243,1001,254,990,254,964,243,953xe" filled="true" fillcolor="#8d5ba5" stroked="false">
              <v:path arrowok="t"/>
              <v:fill type="solid"/>
            </v:shape>
            <v:shape style="position:absolute;left:48;top:874;width:48;height:48" coordorigin="49,875" coordsize="48,48" path="m86,875l59,875,49,885,49,911,59,922,86,922,96,911,96,885,86,875xe" filled="true" fillcolor="#8d5ba5" stroked="false">
              <v:path arrowok="t"/>
              <v:fill type="solid"/>
            </v:shape>
            <v:shape style="position:absolute;left:265;top:684;width:48;height:48" coordorigin="265,684" coordsize="48,48" path="m302,684l276,684,265,695,265,721,276,732,302,732,313,721,313,695,302,684xe" filled="true" fillcolor="#8d5ba5" stroked="false">
              <v:path arrowok="t"/>
              <v:fill type="solid"/>
            </v:shape>
            <v:shape style="position:absolute;left:48;top:1202;width:48;height:48" coordorigin="49,1203" coordsize="48,48" path="m86,1203l59,1203,49,1213,49,1239,59,1250,86,1250,96,1239,96,1213,86,1203xe" filled="true" fillcolor="#8d5ba5" stroked="false">
              <v:path arrowok="t"/>
              <v:fill type="solid"/>
            </v:shape>
            <v:shape style="position:absolute;left:167;top:1104;width:48;height:48" coordorigin="167,1104" coordsize="48,48" path="m204,1104l178,1104,167,1115,167,1141,178,1152,204,1152,214,1141,214,1115,204,1104xe" filled="true" fillcolor="#8d5ba5" stroked="false">
              <v:path arrowok="t"/>
              <v:fill type="solid"/>
            </v:shape>
            <v:shape style="position:absolute;left:350;top:1301;width:48;height:48" coordorigin="351,1301" coordsize="48,48" path="m387,1301l361,1301,351,1312,351,1338,361,1349,387,1349,398,1338,398,1312,387,1301xe" filled="true" fillcolor="#8d5ba5" stroked="false">
              <v:path arrowok="t"/>
              <v:fill type="solid"/>
            </v:shape>
            <v:shape style="position:absolute;left:121;top:1327;width:48;height:48" coordorigin="121,1328" coordsize="48,48" path="m158,1328l132,1328,121,1338,121,1364,132,1375,158,1375,168,1364,168,1338,158,1328xe" filled="true" fillcolor="#8d5ba5" stroked="false">
              <v:path arrowok="t"/>
              <v:fill type="solid"/>
            </v:shape>
            <v:shape style="position:absolute;left:219;top:1432;width:48;height:48" coordorigin="220,1433" coordsize="48,48" path="m256,1433l230,1433,220,1443,220,1469,230,1480,256,1480,267,1469,267,1443,256,1433xe" filled="true" fillcolor="#8d5ba5" stroked="false">
              <v:path arrowok="t"/>
              <v:fill type="solid"/>
            </v:shape>
            <v:shape style="position:absolute;left:298;top:1583;width:48;height:48" coordorigin="298,1584" coordsize="48,48" path="m335,1584l309,1584,298,1594,298,1620,309,1631,335,1631,346,1620,346,1594,335,1584xe" filled="true" fillcolor="#8d5ba5" stroked="false">
              <v:path arrowok="t"/>
              <v:fill type="solid"/>
            </v:shape>
            <v:shape style="position:absolute;left:475;top:1498;width:48;height:48" coordorigin="475,1498" coordsize="48,48" path="m512,1498l486,1498,475,1509,475,1535,486,1545,512,1545,523,1535,523,1509,512,1498xe" filled="true" fillcolor="#8d5ba5" stroked="false">
              <v:path arrowok="t"/>
              <v:fill type="solid"/>
            </v:shape>
            <v:shape style="position:absolute;left:75;top:1570;width:48;height:48" coordorigin="75,1570" coordsize="48,48" path="m112,1570l86,1570,75,1581,75,1607,86,1618,112,1618,122,1607,122,1581,112,1570xe" filled="true" fillcolor="#8d5ba5" stroked="false">
              <v:path arrowok="t"/>
              <v:fill type="solid"/>
            </v:shape>
            <v:shape style="position:absolute;left:317;top:1682;width:48;height:48" coordorigin="318,1682" coordsize="48,48" path="m355,1682l329,1682,318,1693,318,1719,329,1729,355,1729,365,1719,365,1693,355,1682xe" filled="true" fillcolor="#8d5ba5" stroked="false">
              <v:path arrowok="t"/>
              <v:fill type="solid"/>
            </v:shape>
            <v:shape style="position:absolute;left:55;top:730;width:48;height:48" coordorigin="55,730" coordsize="48,48" path="m92,730l66,730,55,741,55,767,66,778,92,778,103,767,103,741,92,730xe" filled="true" fillcolor="#8d5ba5" stroked="false">
              <v:path arrowok="t"/>
              <v:fill type="solid"/>
            </v:shape>
            <v:shape style="position:absolute;left:1650;top:752;width:48;height:48" coordorigin="1650,753" coordsize="48,48" path="m1687,753l1661,753,1650,763,1650,789,1661,800,1687,800,1698,789,1698,763,1687,753xe" filled="true" fillcolor="#8d5ba5" stroked="false">
              <v:path arrowok="t"/>
              <v:fill type="solid"/>
            </v:shape>
            <v:shape style="position:absolute;left:1368;top:817;width:48;height:48" coordorigin="1368,818" coordsize="48,48" path="m1405,818l1379,818,1368,828,1368,854,1379,865,1405,865,1415,854,1415,828,1405,818xe" filled="true" fillcolor="#8d5ba5" stroked="false">
              <v:path arrowok="t"/>
              <v:fill type="solid"/>
            </v:shape>
            <v:shape style="position:absolute;left:1079;top:858;width:48;height:48" coordorigin="1080,858" coordsize="48,48" path="m1117,858l1090,858,1080,869,1080,895,1090,905,1117,905,1127,895,1127,869,1117,858xe" filled="true" fillcolor="#8d5ba5" stroked="false">
              <v:path arrowok="t"/>
              <v:fill type="solid"/>
            </v:shape>
            <v:shape style="position:absolute;left:786;top:823;width:48;height:48" coordorigin="786,823" coordsize="48,48" path="m823,823l797,823,786,834,786,860,797,871,823,871,833,860,833,834,823,823xe" filled="true" fillcolor="#8d5ba5" stroked="false">
              <v:path arrowok="t"/>
              <v:fill type="solid"/>
            </v:shape>
            <v:shape style="position:absolute;left:715;top:719;width:48;height:48" coordorigin="715,719" coordsize="48,48" path="m752,719l726,719,715,730,715,756,726,766,752,766,762,756,762,730,752,719xe" filled="true" fillcolor="#8d5ba5" stroked="false">
              <v:path arrowok="t"/>
              <v:fill type="solid"/>
            </v:shape>
            <v:shape style="position:absolute;left:497;top:794;width:48;height:48" coordorigin="498,795" coordsize="48,48" path="m535,795l508,795,498,805,498,831,508,842,535,842,545,831,545,805,535,795xe" filled="true" fillcolor="#8d5ba5" stroked="false">
              <v:path arrowok="t"/>
              <v:fill type="solid"/>
            </v:shape>
            <v:shape style="position:absolute;left:157;top:771;width:48;height:48" coordorigin="158,772" coordsize="48,48" path="m195,772l168,772,158,782,158,808,168,819,195,819,205,808,205,782,195,772xe" filled="true" fillcolor="#8d5ba5" stroked="false">
              <v:path arrowok="t"/>
              <v:fill type="solid"/>
            </v:shape>
            <v:shape style="position:absolute;left:77;top:1036;width:48;height:48" coordorigin="77,1037" coordsize="48,48" path="m114,1037l88,1037,77,1047,77,1073,88,1084,114,1084,124,1073,124,1047,114,1037xe" filled="true" fillcolor="#8d5ba5" stroked="false">
              <v:path arrowok="t"/>
              <v:fill type="solid"/>
            </v:shape>
            <v:shape style="position:absolute;left:336;top:961;width:48;height:48" coordorigin="337,962" coordsize="48,48" path="m373,962l347,962,337,972,337,998,347,1009,373,1009,384,998,384,972,373,962xe" filled="true" fillcolor="#8d5ba5" stroked="false">
              <v:path arrowok="t"/>
              <v:fill type="solid"/>
            </v:shape>
            <v:shape style="position:absolute;left:595;top:1002;width:48;height:48" coordorigin="596,1002" coordsize="48,48" path="m633,1002l606,1002,596,1013,596,1039,606,1049,633,1049,643,1039,643,1013,633,1002xe" filled="true" fillcolor="#8d5ba5" stroked="false">
              <v:path arrowok="t"/>
              <v:fill type="solid"/>
            </v:shape>
            <v:shape style="position:absolute;left:901;top:1059;width:48;height:48" coordorigin="901,1060" coordsize="48,48" path="m938,1060l912,1060,901,1070,901,1096,912,1107,938,1107,949,1096,949,1070,938,1060xe" filled="true" fillcolor="#8d5ba5" stroked="false">
              <v:path arrowok="t"/>
              <v:fill type="solid"/>
            </v:shape>
            <v:shape style="position:absolute;left:1258;top:1030;width:48;height:48" coordorigin="1259,1031" coordsize="48,48" path="m1295,1031l1269,1031,1259,1041,1259,1068,1269,1078,1295,1078,1306,1068,1306,1041,1295,1031xe" filled="true" fillcolor="#8d5ba5" stroked="false">
              <v:path arrowok="t"/>
              <v:fill type="solid"/>
            </v:shape>
            <v:shape style="position:absolute;left:1546;top:1002;width:48;height:48" coordorigin="1547,1002" coordsize="48,48" path="m1583,1002l1557,1002,1547,1013,1547,1039,1557,1049,1583,1049,1594,1039,1594,1013,1583,1002xe" filled="true" fillcolor="#8d5ba5" stroked="false">
              <v:path arrowok="t"/>
              <v:fill type="solid"/>
            </v:shape>
            <v:shape style="position:absolute;left:1852;top:1030;width:48;height:48" coordorigin="1852,1031" coordsize="48,48" path="m1889,1031l1863,1031,1852,1041,1852,1068,1863,1078,1889,1078,1899,1068,1899,1041,1889,1031xe" filled="true" fillcolor="#8d5ba5" stroked="false">
              <v:path arrowok="t"/>
              <v:fill type="solid"/>
            </v:shape>
            <v:shape style="position:absolute;left:1702;top:1226;width:48;height:48" coordorigin="1702,1227" coordsize="48,48" path="m1739,1227l1713,1227,1702,1237,1702,1263,1713,1274,1739,1274,1750,1263,1750,1237,1739,1227xe" filled="true" fillcolor="#8d5ba5" stroked="false">
              <v:path arrowok="t"/>
              <v:fill type="solid"/>
            </v:shape>
            <v:shape style="position:absolute;left:1419;top:1226;width:48;height:48" coordorigin="1420,1227" coordsize="48,48" path="m1457,1227l1430,1227,1420,1237,1420,1263,1430,1274,1457,1274,1467,1263,1467,1237,1457,1227xe" filled="true" fillcolor="#8d5ba5" stroked="false">
              <v:path arrowok="t"/>
              <v:fill type="solid"/>
            </v:shape>
            <v:shape style="position:absolute;left:1097;top:1249;width:48;height:48" coordorigin="1097,1250" coordsize="48,48" path="m1134,1250l1108,1250,1097,1260,1097,1287,1108,1297,1134,1297,1144,1287,1144,1260,1134,1250xe" filled="true" fillcolor="#8d5ba5" stroked="false">
              <v:path arrowok="t"/>
              <v:fill type="solid"/>
            </v:shape>
            <v:shape style="position:absolute;left:722;top:1238;width:48;height:48" coordorigin="723,1238" coordsize="48,48" path="m759,1238l733,1238,723,1249,723,1275,733,1286,759,1286,770,1275,770,1249,759,1238xe" filled="true" fillcolor="#8d5ba5" stroked="false">
              <v:path arrowok="t"/>
              <v:fill type="solid"/>
            </v:shape>
            <v:shape style="position:absolute;left:446;top:1186;width:48;height:48" coordorigin="446,1186" coordsize="48,48" path="m483,1186l457,1186,446,1197,446,1223,457,1234,483,1234,493,1223,493,1197,483,1186xe" filled="true" fillcolor="#8d5ba5" stroked="false">
              <v:path arrowok="t"/>
              <v:fill type="solid"/>
            </v:shape>
            <v:shape style="position:absolute;left:221;top:1221;width:48;height:48" coordorigin="221,1221" coordsize="48,48" path="m258,1221l232,1221,221,1232,221,1258,232,1268,258,1268,269,1258,269,1232,258,1221xe" filled="true" fillcolor="#8d5ba5" stroked="false">
              <v:path arrowok="t"/>
              <v:fill type="solid"/>
            </v:shape>
            <v:shape style="position:absolute;left:71;top:1434;width:48;height:48" coordorigin="71,1434" coordsize="48,48" path="m108,1434l82,1434,71,1445,71,1471,82,1482,108,1482,119,1471,119,1445,108,1434xe" filled="true" fillcolor="#8d5ba5" stroked="false">
              <v:path arrowok="t"/>
              <v:fill type="solid"/>
            </v:shape>
            <v:shape style="position:absolute;left:371;top:1405;width:48;height:48" coordorigin="371,1405" coordsize="48,48" path="m408,1405l382,1405,371,1416,371,1442,382,1453,408,1453,418,1442,418,1416,408,1405xe" filled="true" fillcolor="#8d5ba5" stroked="false">
              <v:path arrowok="t"/>
              <v:fill type="solid"/>
            </v:shape>
            <v:shape style="position:absolute;left:618;top:1463;width:48;height:48" coordorigin="619,1463" coordsize="48,48" path="m656,1463l629,1463,619,1474,619,1500,629,1510,656,1510,666,1500,666,1474,656,1463xe" filled="true" fillcolor="#8d5ba5" stroked="false">
              <v:path arrowok="t"/>
              <v:fill type="solid"/>
            </v:shape>
            <v:shape style="position:absolute;left:901;top:1393;width:48;height:48" coordorigin="901,1394" coordsize="48,48" path="m938,1394l912,1394,901,1405,901,1431,912,1441,938,1441,949,1431,949,1405,938,1394xe" filled="true" fillcolor="#8d5ba5" stroked="false">
              <v:path arrowok="t"/>
              <v:fill type="solid"/>
            </v:shape>
            <v:shape style="position:absolute;left:1304;top:1438;width:48;height:48" coordorigin="1304,1439" coordsize="48,48" path="m1341,1439l1315,1439,1304,1449,1304,1475,1315,1486,1341,1486,1351,1475,1351,1449,1341,1439xe" filled="true" fillcolor="#8d5ba5" stroked="false">
              <v:path arrowok="t"/>
              <v:fill type="solid"/>
            </v:shape>
            <v:shape style="position:absolute;left:1532;top:1477;width:48;height:48" coordorigin="1532,1477" coordsize="48,48" path="m1569,1477l1543,1477,1532,1488,1532,1514,1543,1524,1569,1524,1580,1514,1580,1488,1569,1477xe" filled="true" fillcolor="#8d5ba5" stroked="false">
              <v:path arrowok="t"/>
              <v:fill type="solid"/>
            </v:shape>
            <v:shape style="position:absolute;left:1841;top:1363;width:48;height:48" coordorigin="1841,1363" coordsize="48,48" path="m1878,1363l1852,1363,1841,1374,1841,1400,1852,1410,1878,1410,1889,1400,1889,1374,1878,1363xe" filled="true" fillcolor="#8d5ba5" stroked="false">
              <v:path arrowok="t"/>
              <v:fill type="solid"/>
            </v:shape>
            <v:shape style="position:absolute;left:1708;top:1630;width:48;height:48" coordorigin="1708,1630" coordsize="48,48" path="m1745,1630l1719,1630,1708,1641,1708,1667,1719,1677,1745,1677,1755,1667,1755,1641,1745,1630xe" filled="true" fillcolor="#8d5ba5" stroked="false">
              <v:path arrowok="t"/>
              <v:fill type="solid"/>
            </v:shape>
            <v:shape style="position:absolute;left:1465;top:1589;width:48;height:48" coordorigin="1465,1589" coordsize="48,48" path="m1502,1589l1476,1589,1465,1600,1465,1626,1476,1637,1502,1637,1512,1626,1512,1600,1502,1589xe" filled="true" fillcolor="#8d5ba5" stroked="false">
              <v:path arrowok="t"/>
              <v:fill type="solid"/>
            </v:shape>
            <v:shape style="position:absolute;left:1314;top:1678;width:48;height:48" coordorigin="1314,1678" coordsize="48,48" path="m1351,1678l1325,1678,1314,1689,1314,1715,1325,1726,1351,1726,1362,1715,1362,1689,1351,1678xe" filled="true" fillcolor="#8d5ba5" stroked="false">
              <v:path arrowok="t"/>
              <v:fill type="solid"/>
            </v:shape>
            <v:shape style="position:absolute;left:866;top:1678;width:48;height:48" coordorigin="867,1678" coordsize="48,48" path="m904,1678l877,1678,867,1689,867,1715,877,1725,904,1725,914,1715,914,1689,904,1678xe" filled="true" fillcolor="#8d5ba5" stroked="false">
              <v:path arrowok="t"/>
              <v:fill type="solid"/>
            </v:shape>
            <v:shape style="position:absolute;left:446;top:1612;width:48;height:48" coordorigin="446,1613" coordsize="48,48" path="m483,1613l457,1613,446,1623,446,1650,457,1660,483,1660,493,1650,493,1623,483,1613xe" filled="true" fillcolor="#8d5ba5" stroked="false">
              <v:path arrowok="t"/>
              <v:fill type="solid"/>
            </v:shape>
            <v:shape style="position:absolute;left:175;top:1647;width:48;height:48" coordorigin="175,1647" coordsize="48,48" path="m212,1647l186,1647,175,1658,175,1684,186,1695,212,1695,222,1684,222,1658,212,1647xe" filled="true" fillcolor="#8d5ba5" stroked="false">
              <v:path arrowok="t"/>
              <v:fill type="solid"/>
            </v:shape>
            <v:shape style="position:absolute;left:1084;top:879;width:298;height:303" type="#_x0000_t75" stroked="false">
              <v:imagedata r:id="rId48" o:title=""/>
            </v:shape>
            <v:shape style="position:absolute;left:605;top:1542;width:9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360 mOsm/L</w:t>
                    </w:r>
                  </w:p>
                </w:txbxContent>
              </v:textbox>
              <w10:wrap type="none"/>
            </v:shape>
          </v:group>
        </w:pict>
      </w:r>
      <w:r>
        <w:rPr>
          <w:rFonts w:ascii="Helvetica"/>
        </w:rPr>
      </w:r>
    </w:p>
    <w:p>
      <w:pPr>
        <w:spacing w:line="181" w:lineRule="exact" w:before="37"/>
        <w:ind w:left="1560" w:right="1588" w:firstLine="0"/>
        <w:jc w:val="center"/>
        <w:rPr>
          <w:rFonts w:ascii="Helvetica"/>
          <w:sz w:val="16"/>
        </w:rPr>
      </w:pPr>
      <w:r>
        <w:rPr>
          <w:rFonts w:ascii="Helvetica"/>
          <w:color w:val="231F20"/>
          <w:sz w:val="16"/>
        </w:rPr>
        <w:t>HYPERTONIC</w:t>
      </w:r>
    </w:p>
    <w:p>
      <w:pPr>
        <w:spacing w:line="181" w:lineRule="exact" w:before="0"/>
        <w:ind w:left="1560" w:right="1588" w:firstLine="0"/>
        <w:jc w:val="center"/>
        <w:rPr>
          <w:rFonts w:ascii="Helvetica"/>
          <w:sz w:val="16"/>
        </w:rPr>
      </w:pPr>
      <w:r>
        <w:rPr>
          <w:rFonts w:ascii="Helvetica"/>
          <w:color w:val="231F20"/>
          <w:sz w:val="16"/>
        </w:rPr>
        <w:t>Cell shrinks</w:t>
      </w:r>
    </w:p>
    <w:p>
      <w:pPr>
        <w:spacing w:after="0" w:line="181" w:lineRule="exact"/>
        <w:jc w:val="center"/>
        <w:rPr>
          <w:rFonts w:ascii="Helvetica"/>
          <w:sz w:val="16"/>
        </w:rPr>
        <w:sectPr>
          <w:type w:val="continuous"/>
          <w:pgSz w:w="12240" w:h="15660"/>
          <w:pgMar w:top="0" w:bottom="760" w:left="0" w:right="0"/>
          <w:cols w:num="3" w:equalWidth="0">
            <w:col w:w="6121" w:space="40"/>
            <w:col w:w="1802" w:space="39"/>
            <w:col w:w="4238"/>
          </w:cols>
        </w:sectPr>
      </w:pPr>
    </w:p>
    <w:p>
      <w:pPr>
        <w:pStyle w:val="BodyText"/>
        <w:spacing w:line="249" w:lineRule="auto" w:before="5"/>
        <w:ind w:left="1439"/>
        <w:jc w:val="both"/>
      </w:pPr>
      <w:r>
        <w:rPr/>
        <w:pict>
          <v:group style="position:absolute;margin-left:0pt;margin-top:0pt;width:612pt;height:180pt;mso-position-horizontal-relative:page;mso-position-vertical-relative:page;z-index:-27368550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w10:wrap type="none"/>
          </v:group>
        </w:pict>
      </w:r>
      <w:r>
        <w:rPr>
          <w:color w:val="231F20"/>
        </w:rPr>
        <w:t>fluid, almost half the osmolarity is due to potassium ions and the remainder is divided among many other intracel­ lular substances.</w:t>
      </w:r>
    </w:p>
    <w:p>
      <w:pPr>
        <w:pStyle w:val="BodyText"/>
        <w:spacing w:line="249" w:lineRule="auto" w:before="3"/>
        <w:ind w:left="1440" w:firstLine="240"/>
        <w:jc w:val="both"/>
      </w:pPr>
      <w:r>
        <w:rPr>
          <w:color w:val="231F20"/>
          <w:w w:val="105"/>
        </w:rPr>
        <w:t>As shown in </w:t>
      </w:r>
      <w:hyperlink w:history="true" w:anchor="_bookmark4">
        <w:r>
          <w:rPr>
            <w:b/>
            <w:color w:val="0080AC"/>
            <w:spacing w:val="-4"/>
            <w:w w:val="105"/>
          </w:rPr>
          <w:t>Table </w:t>
        </w:r>
        <w:r>
          <w:rPr>
            <w:b/>
            <w:color w:val="0080AC"/>
            <w:w w:val="105"/>
          </w:rPr>
          <w:t>25-2</w:t>
        </w:r>
      </w:hyperlink>
      <w:r>
        <w:rPr>
          <w:color w:val="231F20"/>
          <w:w w:val="105"/>
        </w:rPr>
        <w:t>, the total osmolarity of </w:t>
      </w:r>
      <w:r>
        <w:rPr>
          <w:color w:val="231F20"/>
          <w:spacing w:val="-5"/>
          <w:w w:val="105"/>
        </w:rPr>
        <w:t>each </w:t>
      </w:r>
      <w:r>
        <w:rPr>
          <w:color w:val="231F20"/>
          <w:w w:val="105"/>
        </w:rPr>
        <w:t>of the three compartments is about 300 mOsm/L, with the plasma being about 1 mOsm/L greater than that of the interstitial and intracellular fluids. The slight </w:t>
      </w:r>
      <w:r>
        <w:rPr>
          <w:color w:val="231F20"/>
          <w:spacing w:val="-5"/>
          <w:w w:val="105"/>
        </w:rPr>
        <w:t>differ­ </w:t>
      </w:r>
      <w:r>
        <w:rPr>
          <w:color w:val="231F20"/>
          <w:w w:val="105"/>
        </w:rPr>
        <w:t>ence</w:t>
      </w:r>
      <w:r>
        <w:rPr>
          <w:color w:val="231F20"/>
          <w:spacing w:val="-24"/>
          <w:w w:val="105"/>
        </w:rPr>
        <w:t> </w:t>
      </w:r>
      <w:r>
        <w:rPr>
          <w:color w:val="231F20"/>
          <w:w w:val="105"/>
        </w:rPr>
        <w:t>between</w:t>
      </w:r>
      <w:r>
        <w:rPr>
          <w:color w:val="231F20"/>
          <w:spacing w:val="-23"/>
          <w:w w:val="105"/>
        </w:rPr>
        <w:t> </w:t>
      </w:r>
      <w:r>
        <w:rPr>
          <w:color w:val="231F20"/>
          <w:w w:val="105"/>
        </w:rPr>
        <w:t>plasma</w:t>
      </w:r>
      <w:r>
        <w:rPr>
          <w:color w:val="231F20"/>
          <w:spacing w:val="-23"/>
          <w:w w:val="105"/>
        </w:rPr>
        <w:t> </w:t>
      </w:r>
      <w:r>
        <w:rPr>
          <w:color w:val="231F20"/>
          <w:w w:val="105"/>
        </w:rPr>
        <w:t>and</w:t>
      </w:r>
      <w:r>
        <w:rPr>
          <w:color w:val="231F20"/>
          <w:spacing w:val="-23"/>
          <w:w w:val="105"/>
        </w:rPr>
        <w:t> </w:t>
      </w:r>
      <w:r>
        <w:rPr>
          <w:color w:val="231F20"/>
          <w:w w:val="105"/>
        </w:rPr>
        <w:t>interstitial</w:t>
      </w:r>
      <w:r>
        <w:rPr>
          <w:color w:val="231F20"/>
          <w:spacing w:val="-23"/>
          <w:w w:val="105"/>
        </w:rPr>
        <w:t> </w:t>
      </w:r>
      <w:r>
        <w:rPr>
          <w:color w:val="231F20"/>
          <w:w w:val="105"/>
        </w:rPr>
        <w:t>fluid</w:t>
      </w:r>
      <w:r>
        <w:rPr>
          <w:color w:val="231F20"/>
          <w:spacing w:val="-23"/>
          <w:w w:val="105"/>
        </w:rPr>
        <w:t> </w:t>
      </w:r>
      <w:r>
        <w:rPr>
          <w:color w:val="231F20"/>
          <w:w w:val="105"/>
        </w:rPr>
        <w:t>is</w:t>
      </w:r>
      <w:r>
        <w:rPr>
          <w:color w:val="231F20"/>
          <w:spacing w:val="-23"/>
          <w:w w:val="105"/>
        </w:rPr>
        <w:t> </w:t>
      </w:r>
      <w:r>
        <w:rPr>
          <w:color w:val="231F20"/>
          <w:w w:val="105"/>
        </w:rPr>
        <w:t>caused</w:t>
      </w:r>
      <w:r>
        <w:rPr>
          <w:color w:val="231F20"/>
          <w:spacing w:val="-24"/>
          <w:w w:val="105"/>
        </w:rPr>
        <w:t> </w:t>
      </w:r>
      <w:r>
        <w:rPr>
          <w:color w:val="231F20"/>
          <w:w w:val="105"/>
        </w:rPr>
        <w:t>by</w:t>
      </w:r>
      <w:r>
        <w:rPr>
          <w:color w:val="231F20"/>
          <w:spacing w:val="-23"/>
          <w:w w:val="105"/>
        </w:rPr>
        <w:t> </w:t>
      </w:r>
      <w:r>
        <w:rPr>
          <w:color w:val="231F20"/>
          <w:w w:val="105"/>
        </w:rPr>
        <w:t>the osmotic effects of the plasma proteins, which </w:t>
      </w:r>
      <w:r>
        <w:rPr>
          <w:color w:val="231F20"/>
          <w:spacing w:val="-3"/>
          <w:w w:val="105"/>
        </w:rPr>
        <w:t>maintain </w:t>
      </w:r>
      <w:r>
        <w:rPr>
          <w:color w:val="231F20"/>
          <w:w w:val="105"/>
        </w:rPr>
        <w:t>about 20 mm Hg greater pressure in the capillaries than in the surrounding interstitial spaces, as discussed </w:t>
      </w:r>
      <w:r>
        <w:rPr>
          <w:color w:val="231F20"/>
          <w:spacing w:val="-6"/>
          <w:w w:val="105"/>
        </w:rPr>
        <w:t>in </w:t>
      </w:r>
      <w:r>
        <w:rPr>
          <w:color w:val="231F20"/>
          <w:w w:val="105"/>
        </w:rPr>
        <w:t>Chapter</w:t>
      </w:r>
      <w:r>
        <w:rPr>
          <w:color w:val="231F20"/>
          <w:spacing w:val="3"/>
          <w:w w:val="105"/>
        </w:rPr>
        <w:t> </w:t>
      </w:r>
      <w:r>
        <w:rPr>
          <w:color w:val="231F20"/>
          <w:w w:val="105"/>
        </w:rPr>
        <w:t>16.</w:t>
      </w:r>
    </w:p>
    <w:p>
      <w:pPr>
        <w:spacing w:line="249" w:lineRule="auto" w:before="247"/>
        <w:ind w:left="1439" w:right="0" w:firstLine="0"/>
        <w:jc w:val="both"/>
        <w:rPr>
          <w:sz w:val="20"/>
        </w:rPr>
      </w:pPr>
      <w:r>
        <w:rPr>
          <w:rFonts w:ascii="Trebuchet MS" w:hAnsi="Trebuchet MS"/>
          <w:b/>
          <w:color w:val="231F20"/>
          <w:w w:val="105"/>
          <w:sz w:val="19"/>
        </w:rPr>
        <w:t>Corrected Osmolar Activity of the Body Fluids. </w:t>
      </w:r>
      <w:r>
        <w:rPr>
          <w:color w:val="231F20"/>
          <w:spacing w:val="-10"/>
          <w:w w:val="105"/>
          <w:sz w:val="20"/>
        </w:rPr>
        <w:t>At </w:t>
      </w:r>
      <w:r>
        <w:rPr>
          <w:color w:val="231F20"/>
          <w:w w:val="105"/>
          <w:sz w:val="20"/>
        </w:rPr>
        <w:t>the bottom of </w:t>
      </w:r>
      <w:hyperlink w:history="true" w:anchor="_bookmark4">
        <w:r>
          <w:rPr>
            <w:b/>
            <w:color w:val="0080AC"/>
            <w:spacing w:val="-4"/>
            <w:w w:val="105"/>
            <w:sz w:val="20"/>
          </w:rPr>
          <w:t>Table </w:t>
        </w:r>
        <w:r>
          <w:rPr>
            <w:b/>
            <w:color w:val="0080AC"/>
            <w:w w:val="105"/>
            <w:sz w:val="20"/>
          </w:rPr>
          <w:t>25-2 </w:t>
        </w:r>
      </w:hyperlink>
      <w:r>
        <w:rPr>
          <w:color w:val="231F20"/>
          <w:w w:val="105"/>
          <w:sz w:val="20"/>
        </w:rPr>
        <w:t>are shown </w:t>
      </w:r>
      <w:r>
        <w:rPr>
          <w:i/>
          <w:color w:val="231F20"/>
          <w:w w:val="105"/>
          <w:sz w:val="20"/>
        </w:rPr>
        <w:t>corrected osmolar </w:t>
      </w:r>
      <w:r>
        <w:rPr>
          <w:i/>
          <w:color w:val="231F20"/>
          <w:w w:val="105"/>
          <w:sz w:val="20"/>
        </w:rPr>
        <w:t>activities </w:t>
      </w:r>
      <w:r>
        <w:rPr>
          <w:color w:val="231F20"/>
          <w:w w:val="105"/>
          <w:sz w:val="20"/>
        </w:rPr>
        <w:t>of plasma, interstitial fluid, and intracellular fluid. The reason for these corrections is that </w:t>
      </w:r>
      <w:r>
        <w:rPr>
          <w:color w:val="231F20"/>
          <w:spacing w:val="-3"/>
          <w:w w:val="105"/>
          <w:sz w:val="20"/>
        </w:rPr>
        <w:t>cations </w:t>
      </w:r>
      <w:r>
        <w:rPr>
          <w:color w:val="231F20"/>
          <w:w w:val="105"/>
          <w:sz w:val="20"/>
        </w:rPr>
        <w:t>and anions exert interionic attraction, which can cause</w:t>
      </w:r>
      <w:r>
        <w:rPr>
          <w:color w:val="231F20"/>
          <w:spacing w:val="-34"/>
          <w:w w:val="105"/>
          <w:sz w:val="20"/>
        </w:rPr>
        <w:t> </w:t>
      </w:r>
      <w:r>
        <w:rPr>
          <w:color w:val="231F20"/>
          <w:w w:val="105"/>
          <w:sz w:val="20"/>
        </w:rPr>
        <w:t>a slight</w:t>
      </w:r>
      <w:r>
        <w:rPr>
          <w:color w:val="231F20"/>
          <w:spacing w:val="-9"/>
          <w:w w:val="105"/>
          <w:sz w:val="20"/>
        </w:rPr>
        <w:t> </w:t>
      </w:r>
      <w:r>
        <w:rPr>
          <w:color w:val="231F20"/>
          <w:w w:val="105"/>
          <w:sz w:val="20"/>
        </w:rPr>
        <w:t>decrease</w:t>
      </w:r>
      <w:r>
        <w:rPr>
          <w:color w:val="231F20"/>
          <w:spacing w:val="-8"/>
          <w:w w:val="105"/>
          <w:sz w:val="20"/>
        </w:rPr>
        <w:t> </w:t>
      </w:r>
      <w:r>
        <w:rPr>
          <w:color w:val="231F20"/>
          <w:w w:val="105"/>
          <w:sz w:val="20"/>
        </w:rPr>
        <w:t>in</w:t>
      </w:r>
      <w:r>
        <w:rPr>
          <w:color w:val="231F20"/>
          <w:spacing w:val="-9"/>
          <w:w w:val="105"/>
          <w:sz w:val="20"/>
        </w:rPr>
        <w:t> </w:t>
      </w:r>
      <w:r>
        <w:rPr>
          <w:color w:val="231F20"/>
          <w:w w:val="105"/>
          <w:sz w:val="20"/>
        </w:rPr>
        <w:t>the</w:t>
      </w:r>
      <w:r>
        <w:rPr>
          <w:color w:val="231F20"/>
          <w:spacing w:val="-8"/>
          <w:w w:val="105"/>
          <w:sz w:val="20"/>
        </w:rPr>
        <w:t> </w:t>
      </w:r>
      <w:r>
        <w:rPr>
          <w:color w:val="231F20"/>
          <w:w w:val="105"/>
          <w:sz w:val="20"/>
        </w:rPr>
        <w:t>osmotic</w:t>
      </w:r>
      <w:r>
        <w:rPr>
          <w:color w:val="231F20"/>
          <w:spacing w:val="-8"/>
          <w:w w:val="105"/>
          <w:sz w:val="20"/>
        </w:rPr>
        <w:t> </w:t>
      </w:r>
      <w:r>
        <w:rPr>
          <w:color w:val="231F20"/>
          <w:w w:val="105"/>
          <w:sz w:val="20"/>
        </w:rPr>
        <w:t>“activity”</w:t>
      </w:r>
      <w:r>
        <w:rPr>
          <w:color w:val="231F20"/>
          <w:spacing w:val="-9"/>
          <w:w w:val="105"/>
          <w:sz w:val="20"/>
        </w:rPr>
        <w:t> </w:t>
      </w:r>
      <w:r>
        <w:rPr>
          <w:color w:val="231F20"/>
          <w:w w:val="105"/>
          <w:sz w:val="20"/>
        </w:rPr>
        <w:t>of</w:t>
      </w:r>
      <w:r>
        <w:rPr>
          <w:color w:val="231F20"/>
          <w:spacing w:val="-8"/>
          <w:w w:val="105"/>
          <w:sz w:val="20"/>
        </w:rPr>
        <w:t> </w:t>
      </w:r>
      <w:r>
        <w:rPr>
          <w:color w:val="231F20"/>
          <w:w w:val="105"/>
          <w:sz w:val="20"/>
        </w:rPr>
        <w:t>the</w:t>
      </w:r>
      <w:r>
        <w:rPr>
          <w:color w:val="231F20"/>
          <w:spacing w:val="-9"/>
          <w:w w:val="105"/>
          <w:sz w:val="20"/>
        </w:rPr>
        <w:t> </w:t>
      </w:r>
      <w:r>
        <w:rPr>
          <w:color w:val="231F20"/>
          <w:w w:val="105"/>
          <w:sz w:val="20"/>
        </w:rPr>
        <w:t>dissolved substance.</w:t>
      </w:r>
    </w:p>
    <w:p>
      <w:pPr>
        <w:pStyle w:val="BodyText"/>
        <w:spacing w:before="2"/>
        <w:rPr>
          <w:sz w:val="31"/>
        </w:rPr>
      </w:pPr>
    </w:p>
    <w:p>
      <w:pPr>
        <w:pStyle w:val="Heading2"/>
        <w:spacing w:line="225" w:lineRule="auto"/>
        <w:ind w:left="1440" w:right="455"/>
      </w:pPr>
      <w:r>
        <w:rPr>
          <w:color w:val="231F20"/>
          <w:w w:val="105"/>
        </w:rPr>
        <w:t>OSMOTIC EQUILIBRIUM IS MAINTAINED BETWEEN INTRACELLULAR AND EXTRACELLULAR FLUIDS</w:t>
      </w:r>
    </w:p>
    <w:p>
      <w:pPr>
        <w:pStyle w:val="BodyText"/>
        <w:spacing w:line="249" w:lineRule="auto" w:before="127"/>
        <w:ind w:left="1440"/>
        <w:jc w:val="both"/>
      </w:pPr>
      <w:r>
        <w:rPr>
          <w:color w:val="231F20"/>
          <w:w w:val="105"/>
        </w:rPr>
        <w:t>Large osmotic pressures can develop across the</w:t>
      </w:r>
      <w:r>
        <w:rPr>
          <w:color w:val="231F20"/>
          <w:spacing w:val="28"/>
          <w:w w:val="105"/>
        </w:rPr>
        <w:t> </w:t>
      </w:r>
      <w:r>
        <w:rPr>
          <w:color w:val="231F20"/>
          <w:spacing w:val="-6"/>
          <w:w w:val="105"/>
        </w:rPr>
        <w:t>cell </w:t>
      </w:r>
      <w:r>
        <w:rPr>
          <w:color w:val="231F20"/>
          <w:w w:val="105"/>
        </w:rPr>
        <w:t>membrane</w:t>
      </w:r>
      <w:r>
        <w:rPr>
          <w:color w:val="231F20"/>
          <w:spacing w:val="-24"/>
          <w:w w:val="105"/>
        </w:rPr>
        <w:t> </w:t>
      </w:r>
      <w:r>
        <w:rPr>
          <w:color w:val="231F20"/>
          <w:w w:val="105"/>
        </w:rPr>
        <w:t>with</w:t>
      </w:r>
      <w:r>
        <w:rPr>
          <w:color w:val="231F20"/>
          <w:spacing w:val="-23"/>
          <w:w w:val="105"/>
        </w:rPr>
        <w:t> </w:t>
      </w:r>
      <w:r>
        <w:rPr>
          <w:color w:val="231F20"/>
          <w:w w:val="105"/>
        </w:rPr>
        <w:t>relatively</w:t>
      </w:r>
      <w:r>
        <w:rPr>
          <w:color w:val="231F20"/>
          <w:spacing w:val="-23"/>
          <w:w w:val="105"/>
        </w:rPr>
        <w:t> </w:t>
      </w:r>
      <w:r>
        <w:rPr>
          <w:color w:val="231F20"/>
          <w:w w:val="105"/>
        </w:rPr>
        <w:t>small</w:t>
      </w:r>
      <w:r>
        <w:rPr>
          <w:color w:val="231F20"/>
          <w:spacing w:val="-23"/>
          <w:w w:val="105"/>
        </w:rPr>
        <w:t> </w:t>
      </w:r>
      <w:r>
        <w:rPr>
          <w:color w:val="231F20"/>
          <w:w w:val="105"/>
        </w:rPr>
        <w:t>changes</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3"/>
          <w:w w:val="105"/>
        </w:rPr>
        <w:t> </w:t>
      </w:r>
      <w:r>
        <w:rPr>
          <w:color w:val="231F20"/>
          <w:spacing w:val="-3"/>
          <w:w w:val="105"/>
        </w:rPr>
        <w:t>concentra­ </w:t>
      </w:r>
      <w:r>
        <w:rPr>
          <w:color w:val="231F20"/>
          <w:w w:val="105"/>
        </w:rPr>
        <w:t>tions of solutes in the extracellular fluid. As discussed </w:t>
      </w:r>
      <w:r>
        <w:rPr>
          <w:color w:val="231F20"/>
          <w:spacing w:val="-3"/>
          <w:w w:val="105"/>
        </w:rPr>
        <w:t>earlier, </w:t>
      </w:r>
      <w:r>
        <w:rPr>
          <w:color w:val="231F20"/>
          <w:w w:val="105"/>
        </w:rPr>
        <w:t>for each milliosmole concentration gradient </w:t>
      </w:r>
      <w:r>
        <w:rPr>
          <w:color w:val="231F20"/>
          <w:spacing w:val="-6"/>
          <w:w w:val="105"/>
        </w:rPr>
        <w:t>of </w:t>
      </w:r>
      <w:r>
        <w:rPr>
          <w:color w:val="231F20"/>
          <w:w w:val="105"/>
        </w:rPr>
        <w:t>an </w:t>
      </w:r>
      <w:r>
        <w:rPr>
          <w:i/>
          <w:color w:val="231F20"/>
          <w:w w:val="105"/>
        </w:rPr>
        <w:t>impermeant solute </w:t>
      </w:r>
      <w:r>
        <w:rPr>
          <w:color w:val="231F20"/>
          <w:w w:val="105"/>
        </w:rPr>
        <w:t>(one that will not permeate </w:t>
      </w:r>
      <w:r>
        <w:rPr>
          <w:color w:val="231F20"/>
          <w:spacing w:val="-6"/>
          <w:w w:val="105"/>
        </w:rPr>
        <w:t>the </w:t>
      </w:r>
      <w:r>
        <w:rPr>
          <w:color w:val="231F20"/>
          <w:w w:val="105"/>
        </w:rPr>
        <w:t>cell membrane), about 19.3 mm Hg of osmotic </w:t>
      </w:r>
      <w:r>
        <w:rPr>
          <w:color w:val="231F20"/>
          <w:spacing w:val="-3"/>
          <w:w w:val="105"/>
        </w:rPr>
        <w:t>pressure </w:t>
      </w:r>
      <w:r>
        <w:rPr>
          <w:color w:val="231F20"/>
          <w:w w:val="105"/>
        </w:rPr>
        <w:t>is</w:t>
      </w:r>
      <w:r>
        <w:rPr>
          <w:color w:val="231F20"/>
          <w:spacing w:val="-20"/>
          <w:w w:val="105"/>
        </w:rPr>
        <w:t> </w:t>
      </w:r>
      <w:r>
        <w:rPr>
          <w:color w:val="231F20"/>
          <w:w w:val="105"/>
        </w:rPr>
        <w:t>exerted</w:t>
      </w:r>
      <w:r>
        <w:rPr>
          <w:color w:val="231F20"/>
          <w:spacing w:val="-19"/>
          <w:w w:val="105"/>
        </w:rPr>
        <w:t> </w:t>
      </w:r>
      <w:r>
        <w:rPr>
          <w:color w:val="231F20"/>
          <w:w w:val="105"/>
        </w:rPr>
        <w:t>across</w:t>
      </w:r>
      <w:r>
        <w:rPr>
          <w:color w:val="231F20"/>
          <w:spacing w:val="-19"/>
          <w:w w:val="105"/>
        </w:rPr>
        <w:t> </w:t>
      </w:r>
      <w:r>
        <w:rPr>
          <w:color w:val="231F20"/>
          <w:w w:val="105"/>
        </w:rPr>
        <w:t>the</w:t>
      </w:r>
      <w:r>
        <w:rPr>
          <w:color w:val="231F20"/>
          <w:spacing w:val="-20"/>
          <w:w w:val="105"/>
        </w:rPr>
        <w:t> </w:t>
      </w:r>
      <w:r>
        <w:rPr>
          <w:color w:val="231F20"/>
          <w:w w:val="105"/>
        </w:rPr>
        <w:t>cell</w:t>
      </w:r>
      <w:r>
        <w:rPr>
          <w:color w:val="231F20"/>
          <w:spacing w:val="-19"/>
          <w:w w:val="105"/>
        </w:rPr>
        <w:t> </w:t>
      </w:r>
      <w:r>
        <w:rPr>
          <w:color w:val="231F20"/>
          <w:w w:val="105"/>
        </w:rPr>
        <w:t>membrane.</w:t>
      </w:r>
      <w:r>
        <w:rPr>
          <w:color w:val="231F20"/>
          <w:spacing w:val="-19"/>
          <w:w w:val="105"/>
        </w:rPr>
        <w:t> </w:t>
      </w:r>
      <w:r>
        <w:rPr>
          <w:color w:val="231F20"/>
          <w:w w:val="105"/>
        </w:rPr>
        <w:t>If</w:t>
      </w:r>
      <w:r>
        <w:rPr>
          <w:color w:val="231F20"/>
          <w:spacing w:val="-19"/>
          <w:w w:val="105"/>
        </w:rPr>
        <w:t> </w:t>
      </w:r>
      <w:r>
        <w:rPr>
          <w:color w:val="231F20"/>
          <w:w w:val="105"/>
        </w:rPr>
        <w:t>the</w:t>
      </w:r>
      <w:r>
        <w:rPr>
          <w:color w:val="231F20"/>
          <w:spacing w:val="-20"/>
          <w:w w:val="105"/>
        </w:rPr>
        <w:t> </w:t>
      </w:r>
      <w:r>
        <w:rPr>
          <w:color w:val="231F20"/>
          <w:w w:val="105"/>
        </w:rPr>
        <w:t>cell</w:t>
      </w:r>
      <w:r>
        <w:rPr>
          <w:color w:val="231F20"/>
          <w:spacing w:val="-19"/>
          <w:w w:val="105"/>
        </w:rPr>
        <w:t> </w:t>
      </w:r>
      <w:r>
        <w:rPr>
          <w:color w:val="231F20"/>
          <w:w w:val="105"/>
        </w:rPr>
        <w:t>membrane is exposed to pure water and the osmolarity of intra­ cellular</w:t>
      </w:r>
      <w:r>
        <w:rPr>
          <w:color w:val="231F20"/>
          <w:spacing w:val="-12"/>
          <w:w w:val="105"/>
        </w:rPr>
        <w:t> </w:t>
      </w:r>
      <w:r>
        <w:rPr>
          <w:color w:val="231F20"/>
          <w:w w:val="105"/>
        </w:rPr>
        <w:t>fluid</w:t>
      </w:r>
      <w:r>
        <w:rPr>
          <w:color w:val="231F20"/>
          <w:spacing w:val="-12"/>
          <w:w w:val="105"/>
        </w:rPr>
        <w:t> </w:t>
      </w:r>
      <w:r>
        <w:rPr>
          <w:color w:val="231F20"/>
          <w:w w:val="105"/>
        </w:rPr>
        <w:t>is</w:t>
      </w:r>
      <w:r>
        <w:rPr>
          <w:color w:val="231F20"/>
          <w:spacing w:val="-12"/>
          <w:w w:val="105"/>
        </w:rPr>
        <w:t> </w:t>
      </w:r>
      <w:r>
        <w:rPr>
          <w:color w:val="231F20"/>
          <w:w w:val="105"/>
        </w:rPr>
        <w:t>282</w:t>
      </w:r>
      <w:r>
        <w:rPr>
          <w:color w:val="231F20"/>
          <w:spacing w:val="-8"/>
          <w:w w:val="105"/>
        </w:rPr>
        <w:t> </w:t>
      </w:r>
      <w:r>
        <w:rPr>
          <w:color w:val="231F20"/>
          <w:w w:val="105"/>
        </w:rPr>
        <w:t>mOsm/L,</w:t>
      </w:r>
      <w:r>
        <w:rPr>
          <w:color w:val="231F20"/>
          <w:spacing w:val="-12"/>
          <w:w w:val="105"/>
        </w:rPr>
        <w:t> </w:t>
      </w:r>
      <w:r>
        <w:rPr>
          <w:color w:val="231F20"/>
          <w:w w:val="105"/>
        </w:rPr>
        <w:t>the</w:t>
      </w:r>
      <w:r>
        <w:rPr>
          <w:color w:val="231F20"/>
          <w:spacing w:val="-12"/>
          <w:w w:val="105"/>
        </w:rPr>
        <w:t> </w:t>
      </w:r>
      <w:r>
        <w:rPr>
          <w:color w:val="231F20"/>
          <w:w w:val="105"/>
        </w:rPr>
        <w:t>potential</w:t>
      </w:r>
      <w:r>
        <w:rPr>
          <w:color w:val="231F20"/>
          <w:spacing w:val="-12"/>
          <w:w w:val="105"/>
        </w:rPr>
        <w:t> </w:t>
      </w:r>
      <w:r>
        <w:rPr>
          <w:color w:val="231F20"/>
          <w:w w:val="105"/>
        </w:rPr>
        <w:t>osmotic</w:t>
      </w:r>
      <w:r>
        <w:rPr>
          <w:color w:val="231F20"/>
          <w:spacing w:val="-12"/>
          <w:w w:val="105"/>
        </w:rPr>
        <w:t> </w:t>
      </w:r>
      <w:r>
        <w:rPr>
          <w:color w:val="231F20"/>
          <w:spacing w:val="-4"/>
          <w:w w:val="105"/>
        </w:rPr>
        <w:t>pres­ </w:t>
      </w:r>
      <w:r>
        <w:rPr>
          <w:color w:val="231F20"/>
          <w:w w:val="105"/>
        </w:rPr>
        <w:t>sure that can develop across the cell membrane is </w:t>
      </w:r>
      <w:r>
        <w:rPr>
          <w:color w:val="231F20"/>
          <w:spacing w:val="-5"/>
          <w:w w:val="105"/>
        </w:rPr>
        <w:t>more </w:t>
      </w:r>
      <w:r>
        <w:rPr>
          <w:color w:val="231F20"/>
          <w:w w:val="105"/>
        </w:rPr>
        <w:t>than 5400 mm Hg. This demonstrates the large </w:t>
      </w:r>
      <w:r>
        <w:rPr>
          <w:color w:val="231F20"/>
          <w:spacing w:val="-5"/>
          <w:w w:val="105"/>
        </w:rPr>
        <w:t>force </w:t>
      </w:r>
      <w:r>
        <w:rPr>
          <w:color w:val="231F20"/>
          <w:w w:val="105"/>
        </w:rPr>
        <w:t>that can move water across the cell membrane when</w:t>
      </w:r>
      <w:r>
        <w:rPr>
          <w:color w:val="231F20"/>
          <w:spacing w:val="-24"/>
          <w:w w:val="105"/>
        </w:rPr>
        <w:t> </w:t>
      </w:r>
      <w:r>
        <w:rPr>
          <w:color w:val="231F20"/>
          <w:w w:val="105"/>
        </w:rPr>
        <w:t>the intracellular</w:t>
      </w:r>
      <w:r>
        <w:rPr>
          <w:color w:val="231F20"/>
          <w:spacing w:val="14"/>
          <w:w w:val="105"/>
        </w:rPr>
        <w:t> </w:t>
      </w:r>
      <w:r>
        <w:rPr>
          <w:color w:val="231F20"/>
          <w:w w:val="105"/>
        </w:rPr>
        <w:t>and</w:t>
      </w:r>
      <w:r>
        <w:rPr>
          <w:color w:val="231F20"/>
          <w:spacing w:val="14"/>
          <w:w w:val="105"/>
        </w:rPr>
        <w:t> </w:t>
      </w:r>
      <w:r>
        <w:rPr>
          <w:color w:val="231F20"/>
          <w:w w:val="105"/>
        </w:rPr>
        <w:t>extracellular</w:t>
      </w:r>
      <w:r>
        <w:rPr>
          <w:color w:val="231F20"/>
          <w:spacing w:val="14"/>
          <w:w w:val="105"/>
        </w:rPr>
        <w:t> </w:t>
      </w:r>
      <w:r>
        <w:rPr>
          <w:color w:val="231F20"/>
          <w:w w:val="105"/>
        </w:rPr>
        <w:t>fluids</w:t>
      </w:r>
      <w:r>
        <w:rPr>
          <w:color w:val="231F20"/>
          <w:spacing w:val="14"/>
          <w:w w:val="105"/>
        </w:rPr>
        <w:t> </w:t>
      </w:r>
      <w:r>
        <w:rPr>
          <w:color w:val="231F20"/>
          <w:w w:val="105"/>
        </w:rPr>
        <w:t>are</w:t>
      </w:r>
      <w:r>
        <w:rPr>
          <w:color w:val="231F20"/>
          <w:spacing w:val="14"/>
          <w:w w:val="105"/>
        </w:rPr>
        <w:t> </w:t>
      </w:r>
      <w:r>
        <w:rPr>
          <w:color w:val="231F20"/>
          <w:w w:val="105"/>
        </w:rPr>
        <w:t>not</w:t>
      </w:r>
      <w:r>
        <w:rPr>
          <w:color w:val="231F20"/>
          <w:spacing w:val="14"/>
          <w:w w:val="105"/>
        </w:rPr>
        <w:t> </w:t>
      </w:r>
      <w:r>
        <w:rPr>
          <w:color w:val="231F20"/>
          <w:w w:val="105"/>
        </w:rPr>
        <w:t>in</w:t>
      </w:r>
      <w:r>
        <w:rPr>
          <w:color w:val="231F20"/>
          <w:spacing w:val="14"/>
          <w:w w:val="105"/>
        </w:rPr>
        <w:t> </w:t>
      </w:r>
      <w:r>
        <w:rPr>
          <w:color w:val="231F20"/>
          <w:w w:val="105"/>
        </w:rPr>
        <w:t>osmotic</w:t>
      </w:r>
    </w:p>
    <w:p>
      <w:pPr>
        <w:spacing w:before="46"/>
        <w:ind w:left="319" w:right="0" w:firstLine="0"/>
        <w:jc w:val="both"/>
        <w:rPr>
          <w:rFonts w:ascii="Arial"/>
          <w:sz w:val="16"/>
        </w:rPr>
      </w:pPr>
      <w:r>
        <w:rPr/>
        <w:br w:type="column"/>
      </w:r>
      <w:bookmarkStart w:name="_bookmark7" w:id="8"/>
      <w:bookmarkEnd w:id="8"/>
      <w:r>
        <w:rPr/>
      </w:r>
      <w:r>
        <w:rPr>
          <w:rFonts w:ascii="Trebuchet MS"/>
          <w:b/>
          <w:color w:val="231F20"/>
          <w:sz w:val="16"/>
        </w:rPr>
        <w:t>Figure 25-5. </w:t>
      </w:r>
      <w:r>
        <w:rPr>
          <w:rFonts w:ascii="Arial"/>
          <w:color w:val="231F20"/>
          <w:sz w:val="16"/>
        </w:rPr>
        <w:t>Effects of isotonic (</w:t>
      </w:r>
      <w:r>
        <w:rPr>
          <w:rFonts w:ascii="Lucida Sans"/>
          <w:i/>
          <w:color w:val="231F20"/>
          <w:sz w:val="16"/>
        </w:rPr>
        <w:t>A</w:t>
      </w:r>
      <w:r>
        <w:rPr>
          <w:rFonts w:ascii="Arial"/>
          <w:color w:val="231F20"/>
          <w:sz w:val="16"/>
        </w:rPr>
        <w:t>), hypertonic (</w:t>
      </w:r>
      <w:r>
        <w:rPr>
          <w:rFonts w:ascii="Lucida Sans"/>
          <w:i/>
          <w:color w:val="231F20"/>
          <w:sz w:val="16"/>
        </w:rPr>
        <w:t>B</w:t>
      </w:r>
      <w:r>
        <w:rPr>
          <w:rFonts w:ascii="Arial"/>
          <w:color w:val="231F20"/>
          <w:sz w:val="16"/>
        </w:rPr>
        <w:t>), and hypotonic</w:t>
      </w:r>
    </w:p>
    <w:p>
      <w:pPr>
        <w:pStyle w:val="ListParagraph"/>
        <w:numPr>
          <w:ilvl w:val="0"/>
          <w:numId w:val="3"/>
        </w:numPr>
        <w:tabs>
          <w:tab w:pos="560" w:val="left" w:leader="none"/>
        </w:tabs>
        <w:spacing w:line="240" w:lineRule="auto" w:before="10" w:after="0"/>
        <w:ind w:left="559" w:right="0" w:hanging="241"/>
        <w:jc w:val="left"/>
        <w:rPr>
          <w:rFonts w:ascii="Arial"/>
          <w:sz w:val="16"/>
        </w:rPr>
      </w:pPr>
      <w:r>
        <w:rPr>
          <w:rFonts w:ascii="Arial"/>
          <w:color w:val="231F20"/>
          <w:sz w:val="16"/>
        </w:rPr>
        <w:t>solutions on cell</w:t>
      </w:r>
      <w:r>
        <w:rPr>
          <w:rFonts w:ascii="Arial"/>
          <w:color w:val="231F20"/>
          <w:spacing w:val="21"/>
          <w:sz w:val="16"/>
        </w:rPr>
        <w:t> </w:t>
      </w:r>
      <w:r>
        <w:rPr>
          <w:rFonts w:ascii="Arial"/>
          <w:color w:val="231F20"/>
          <w:sz w:val="16"/>
        </w:rPr>
        <w:t>volume.</w:t>
      </w:r>
    </w:p>
    <w:p>
      <w:pPr>
        <w:pStyle w:val="BodyText"/>
        <w:rPr>
          <w:rFonts w:ascii="Arial"/>
          <w:sz w:val="18"/>
        </w:rPr>
      </w:pPr>
    </w:p>
    <w:p>
      <w:pPr>
        <w:pStyle w:val="BodyText"/>
        <w:rPr>
          <w:rFonts w:ascii="Arial"/>
          <w:sz w:val="18"/>
        </w:rPr>
      </w:pPr>
    </w:p>
    <w:p>
      <w:pPr>
        <w:pStyle w:val="BodyText"/>
        <w:spacing w:line="249" w:lineRule="auto" w:before="116"/>
        <w:ind w:left="319" w:right="1078"/>
        <w:jc w:val="both"/>
      </w:pPr>
      <w:r>
        <w:rPr>
          <w:color w:val="231F20"/>
        </w:rPr>
        <w:t>equilibrium. As a result of these forces, relatively </w:t>
      </w:r>
      <w:r>
        <w:rPr>
          <w:color w:val="231F20"/>
          <w:spacing w:val="-3"/>
        </w:rPr>
        <w:t>small </w:t>
      </w:r>
      <w:r>
        <w:rPr>
          <w:color w:val="231F20"/>
        </w:rPr>
        <w:t>changes  in  the  concentration  of  impermeant  solutes   in the extracellular fluid can cause large changes in cell volume.</w:t>
      </w:r>
    </w:p>
    <w:p>
      <w:pPr>
        <w:pStyle w:val="BodyText"/>
        <w:spacing w:line="249" w:lineRule="auto" w:before="244"/>
        <w:ind w:left="319" w:right="1077"/>
        <w:jc w:val="both"/>
      </w:pPr>
      <w:r>
        <w:rPr>
          <w:rFonts w:ascii="Trebuchet MS" w:hAnsi="Trebuchet MS"/>
          <w:b/>
          <w:color w:val="231F20"/>
          <w:sz w:val="19"/>
        </w:rPr>
        <w:t>Isotonic, Hypotonic, and Hypertonic Fluids. </w:t>
      </w:r>
      <w:r>
        <w:rPr>
          <w:color w:val="231F20"/>
          <w:spacing w:val="-5"/>
        </w:rPr>
        <w:t>The </w:t>
      </w:r>
      <w:r>
        <w:rPr>
          <w:color w:val="231F20"/>
        </w:rPr>
        <w:t>effects of different concentrations of impermeant solutes in the extracellular fluid on cell volume are shown</w:t>
      </w:r>
      <w:r>
        <w:rPr>
          <w:color w:val="231F20"/>
          <w:spacing w:val="32"/>
        </w:rPr>
        <w:t> </w:t>
      </w:r>
      <w:r>
        <w:rPr>
          <w:color w:val="231F20"/>
        </w:rPr>
        <w:t>in </w:t>
      </w:r>
      <w:hyperlink w:history="true" w:anchor="_bookmark7">
        <w:r>
          <w:rPr>
            <w:b/>
            <w:color w:val="0080AC"/>
          </w:rPr>
          <w:t>Figure</w:t>
        </w:r>
        <w:r>
          <w:rPr>
            <w:b/>
            <w:color w:val="0080AC"/>
            <w:spacing w:val="-7"/>
          </w:rPr>
          <w:t> </w:t>
        </w:r>
        <w:r>
          <w:rPr>
            <w:b/>
            <w:color w:val="0080AC"/>
          </w:rPr>
          <w:t>25-5</w:t>
        </w:r>
      </w:hyperlink>
      <w:r>
        <w:rPr>
          <w:b/>
          <w:color w:val="231F20"/>
        </w:rPr>
        <w:t>.</w:t>
      </w:r>
      <w:r>
        <w:rPr>
          <w:b/>
          <w:color w:val="231F20"/>
          <w:spacing w:val="-3"/>
        </w:rPr>
        <w:t> </w:t>
      </w:r>
      <w:r>
        <w:rPr>
          <w:color w:val="231F20"/>
        </w:rPr>
        <w:t>If</w:t>
      </w:r>
      <w:r>
        <w:rPr>
          <w:color w:val="231F20"/>
          <w:spacing w:val="-4"/>
        </w:rPr>
        <w:t> </w:t>
      </w:r>
      <w:r>
        <w:rPr>
          <w:color w:val="231F20"/>
        </w:rPr>
        <w:t>a</w:t>
      </w:r>
      <w:r>
        <w:rPr>
          <w:color w:val="231F20"/>
          <w:spacing w:val="-3"/>
        </w:rPr>
        <w:t> </w:t>
      </w:r>
      <w:r>
        <w:rPr>
          <w:color w:val="231F20"/>
        </w:rPr>
        <w:t>cell</w:t>
      </w:r>
      <w:r>
        <w:rPr>
          <w:color w:val="231F20"/>
          <w:spacing w:val="-4"/>
        </w:rPr>
        <w:t> </w:t>
      </w:r>
      <w:r>
        <w:rPr>
          <w:color w:val="231F20"/>
        </w:rPr>
        <w:t>is</w:t>
      </w:r>
      <w:r>
        <w:rPr>
          <w:color w:val="231F20"/>
          <w:spacing w:val="-3"/>
        </w:rPr>
        <w:t> </w:t>
      </w:r>
      <w:r>
        <w:rPr>
          <w:color w:val="231F20"/>
        </w:rPr>
        <w:t>placed</w:t>
      </w:r>
      <w:r>
        <w:rPr>
          <w:color w:val="231F20"/>
          <w:spacing w:val="-4"/>
        </w:rPr>
        <w:t> </w:t>
      </w:r>
      <w:r>
        <w:rPr>
          <w:color w:val="231F20"/>
        </w:rPr>
        <w:t>in</w:t>
      </w:r>
      <w:r>
        <w:rPr>
          <w:color w:val="231F20"/>
          <w:spacing w:val="-4"/>
        </w:rPr>
        <w:t> </w:t>
      </w:r>
      <w:r>
        <w:rPr>
          <w:color w:val="231F20"/>
        </w:rPr>
        <w:t>a</w:t>
      </w:r>
      <w:r>
        <w:rPr>
          <w:color w:val="231F20"/>
          <w:spacing w:val="-3"/>
        </w:rPr>
        <w:t> </w:t>
      </w:r>
      <w:r>
        <w:rPr>
          <w:color w:val="231F20"/>
        </w:rPr>
        <w:t>solution</w:t>
      </w:r>
      <w:r>
        <w:rPr>
          <w:color w:val="231F20"/>
          <w:spacing w:val="-4"/>
        </w:rPr>
        <w:t> </w:t>
      </w:r>
      <w:r>
        <w:rPr>
          <w:color w:val="231F20"/>
        </w:rPr>
        <w:t>of</w:t>
      </w:r>
      <w:r>
        <w:rPr>
          <w:color w:val="231F20"/>
          <w:spacing w:val="-3"/>
        </w:rPr>
        <w:t> </w:t>
      </w:r>
      <w:r>
        <w:rPr>
          <w:color w:val="231F20"/>
        </w:rPr>
        <w:t>impermeant solutes having an osmolarity of 282 mOsm/L, the </w:t>
      </w:r>
      <w:r>
        <w:rPr>
          <w:color w:val="231F20"/>
          <w:spacing w:val="-4"/>
        </w:rPr>
        <w:t>cells </w:t>
      </w:r>
      <w:r>
        <w:rPr>
          <w:color w:val="231F20"/>
        </w:rPr>
        <w:t>will not shrink or swell because the water concentration  in the intracellular and extracellular fluids is equal and the solutes cannot enter or leave the cell. Such a solution is said to be </w:t>
      </w:r>
      <w:r>
        <w:rPr>
          <w:i/>
          <w:color w:val="231F20"/>
        </w:rPr>
        <w:t>isotonic </w:t>
      </w:r>
      <w:r>
        <w:rPr>
          <w:color w:val="231F20"/>
        </w:rPr>
        <w:t>because it neither shrinks nor </w:t>
      </w:r>
      <w:r>
        <w:rPr>
          <w:color w:val="231F20"/>
          <w:spacing w:val="-3"/>
        </w:rPr>
        <w:t>swells  </w:t>
      </w:r>
      <w:r>
        <w:rPr>
          <w:color w:val="231F20"/>
        </w:rPr>
        <w:t>the cells. Examples of isotonic solutions include a 0.9 percent solution of sodium chloride or a 5 percent glucose solution. These solutions are important in clinical </w:t>
      </w:r>
      <w:r>
        <w:rPr>
          <w:color w:val="231F20"/>
          <w:spacing w:val="-3"/>
        </w:rPr>
        <w:t>medi­ </w:t>
      </w:r>
      <w:r>
        <w:rPr>
          <w:color w:val="231F20"/>
        </w:rPr>
        <w:t>cine because they can be infused into the blood without the danger of upsetting osmotic equilibrium between the intracellular and extracellular</w:t>
      </w:r>
      <w:r>
        <w:rPr>
          <w:color w:val="231F20"/>
          <w:spacing w:val="21"/>
        </w:rPr>
        <w:t> </w:t>
      </w:r>
      <w:r>
        <w:rPr>
          <w:color w:val="231F20"/>
        </w:rPr>
        <w:t>fluids.</w:t>
      </w:r>
    </w:p>
    <w:p>
      <w:pPr>
        <w:pStyle w:val="BodyText"/>
        <w:spacing w:line="249" w:lineRule="auto" w:before="12"/>
        <w:ind w:left="319" w:right="1077" w:firstLine="240"/>
        <w:jc w:val="both"/>
      </w:pPr>
      <w:r>
        <w:rPr>
          <w:color w:val="231F20"/>
        </w:rPr>
        <w:t>If a cell  is  placed  into  a  </w:t>
      </w:r>
      <w:r>
        <w:rPr>
          <w:i/>
          <w:color w:val="231F20"/>
        </w:rPr>
        <w:t>hypotonic  </w:t>
      </w:r>
      <w:r>
        <w:rPr>
          <w:color w:val="231F20"/>
        </w:rPr>
        <w:t>solution  that  has a  lower  concentration  of  impermeant  solutes  (</w:t>
      </w:r>
      <w:r>
        <w:rPr>
          <w:rFonts w:ascii="Consolas"/>
          <w:color w:val="231F20"/>
        </w:rPr>
        <w:t>&lt;</w:t>
      </w:r>
      <w:r>
        <w:rPr>
          <w:color w:val="231F20"/>
        </w:rPr>
        <w:t>282 mOsm/L), water will diffuse into the cell, </w:t>
      </w:r>
      <w:r>
        <w:rPr>
          <w:color w:val="231F20"/>
          <w:spacing w:val="-3"/>
        </w:rPr>
        <w:t>causing  </w:t>
      </w:r>
      <w:r>
        <w:rPr>
          <w:color w:val="231F20"/>
        </w:rPr>
        <w:t>it to swell; water will continue to diffuse into the cell, diluting the intracellular fluid while also concentrating the extracellular fluid until both solutions have about the same osmolarity. Solutions of sodium chloride with a concentration of less than 0.9 percent are hypotonic and cause cells to</w:t>
      </w:r>
      <w:r>
        <w:rPr>
          <w:color w:val="231F20"/>
          <w:spacing w:val="16"/>
        </w:rPr>
        <w:t> </w:t>
      </w:r>
      <w:r>
        <w:rPr>
          <w:color w:val="231F20"/>
        </w:rPr>
        <w:t>swell.</w:t>
      </w:r>
    </w:p>
    <w:p>
      <w:pPr>
        <w:pStyle w:val="BodyText"/>
        <w:spacing w:line="249" w:lineRule="auto"/>
        <w:ind w:left="319" w:right="1077" w:firstLine="240"/>
        <w:jc w:val="both"/>
      </w:pPr>
      <w:r>
        <w:rPr>
          <w:color w:val="231F20"/>
        </w:rPr>
        <w:t>If a cell is placed in a </w:t>
      </w:r>
      <w:r>
        <w:rPr>
          <w:i/>
          <w:color w:val="231F20"/>
        </w:rPr>
        <w:t>hypertonic </w:t>
      </w:r>
      <w:r>
        <w:rPr>
          <w:color w:val="231F20"/>
        </w:rPr>
        <w:t>solution having a higher concentration of impermeant solutes, water will flow out of the cell into the extracellular fluid, concentrat­ ing the intracellular fluid and diluting the extracellular fluid. In this case, the cell will shrink until the two</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49"/>
          <w:footerReference w:type="even" r:id="rId50"/>
          <w:footerReference w:type="default" r:id="rId51"/>
          <w:pgSz w:w="12240" w:h="15660"/>
          <w:pgMar w:header="0" w:footer="567" w:top="720" w:bottom="760" w:left="0" w:right="0"/>
          <w:pgNumType w:start="312"/>
        </w:sectPr>
      </w:pPr>
    </w:p>
    <w:p>
      <w:pPr>
        <w:pStyle w:val="BodyText"/>
        <w:spacing w:line="249" w:lineRule="auto" w:before="99"/>
        <w:ind w:left="1080" w:right="1"/>
        <w:jc w:val="both"/>
      </w:pPr>
      <w:r>
        <w:rPr>
          <w:color w:val="231F20"/>
          <w:w w:val="105"/>
        </w:rPr>
        <w:t>concentrations</w:t>
      </w:r>
      <w:r>
        <w:rPr>
          <w:color w:val="231F20"/>
          <w:spacing w:val="-17"/>
          <w:w w:val="105"/>
        </w:rPr>
        <w:t> </w:t>
      </w:r>
      <w:r>
        <w:rPr>
          <w:color w:val="231F20"/>
          <w:w w:val="105"/>
        </w:rPr>
        <w:t>become</w:t>
      </w:r>
      <w:r>
        <w:rPr>
          <w:color w:val="231F20"/>
          <w:spacing w:val="-16"/>
          <w:w w:val="105"/>
        </w:rPr>
        <w:t> </w:t>
      </w:r>
      <w:r>
        <w:rPr>
          <w:color w:val="231F20"/>
          <w:w w:val="105"/>
        </w:rPr>
        <w:t>equal.</w:t>
      </w:r>
      <w:r>
        <w:rPr>
          <w:color w:val="231F20"/>
          <w:spacing w:val="-16"/>
          <w:w w:val="105"/>
        </w:rPr>
        <w:t> </w:t>
      </w:r>
      <w:r>
        <w:rPr>
          <w:color w:val="231F20"/>
          <w:w w:val="105"/>
        </w:rPr>
        <w:t>Sodium</w:t>
      </w:r>
      <w:r>
        <w:rPr>
          <w:color w:val="231F20"/>
          <w:spacing w:val="-16"/>
          <w:w w:val="105"/>
        </w:rPr>
        <w:t> </w:t>
      </w:r>
      <w:r>
        <w:rPr>
          <w:color w:val="231F20"/>
          <w:w w:val="105"/>
        </w:rPr>
        <w:t>chloride</w:t>
      </w:r>
      <w:r>
        <w:rPr>
          <w:color w:val="231F20"/>
          <w:spacing w:val="-16"/>
          <w:w w:val="105"/>
        </w:rPr>
        <w:t> </w:t>
      </w:r>
      <w:r>
        <w:rPr>
          <w:color w:val="231F20"/>
          <w:w w:val="105"/>
        </w:rPr>
        <w:t>solutions of greater than 0.9 percent are</w:t>
      </w:r>
      <w:r>
        <w:rPr>
          <w:color w:val="231F20"/>
          <w:spacing w:val="9"/>
          <w:w w:val="105"/>
        </w:rPr>
        <w:t> </w:t>
      </w:r>
      <w:r>
        <w:rPr>
          <w:color w:val="231F20"/>
          <w:w w:val="105"/>
        </w:rPr>
        <w:t>hypertonic.</w:t>
      </w:r>
    </w:p>
    <w:p>
      <w:pPr>
        <w:spacing w:line="249" w:lineRule="auto" w:before="250"/>
        <w:ind w:left="1079" w:right="0" w:firstLine="0"/>
        <w:jc w:val="both"/>
        <w:rPr>
          <w:sz w:val="20"/>
        </w:rPr>
      </w:pPr>
      <w:r>
        <w:rPr>
          <w:rFonts w:ascii="Trebuchet MS" w:hAnsi="Trebuchet MS"/>
          <w:b/>
          <w:color w:val="231F20"/>
          <w:sz w:val="19"/>
        </w:rPr>
        <w:t>Isosmotic, Hyperosmotic, and Hypo-Osmotic </w:t>
      </w:r>
      <w:r>
        <w:rPr>
          <w:rFonts w:ascii="Trebuchet MS" w:hAnsi="Trebuchet MS"/>
          <w:b/>
          <w:color w:val="231F20"/>
          <w:spacing w:val="-3"/>
          <w:sz w:val="19"/>
        </w:rPr>
        <w:t>Fluids. </w:t>
      </w:r>
      <w:r>
        <w:rPr>
          <w:color w:val="231F20"/>
          <w:sz w:val="20"/>
        </w:rPr>
        <w:t>The terms </w:t>
      </w:r>
      <w:r>
        <w:rPr>
          <w:i/>
          <w:color w:val="231F20"/>
          <w:sz w:val="20"/>
        </w:rPr>
        <w:t>isotonic, hypotonic, </w:t>
      </w:r>
      <w:r>
        <w:rPr>
          <w:color w:val="231F20"/>
          <w:sz w:val="20"/>
        </w:rPr>
        <w:t>and </w:t>
      </w:r>
      <w:r>
        <w:rPr>
          <w:i/>
          <w:color w:val="231F20"/>
          <w:sz w:val="20"/>
        </w:rPr>
        <w:t>hypertonic </w:t>
      </w:r>
      <w:r>
        <w:rPr>
          <w:color w:val="231F20"/>
          <w:sz w:val="20"/>
        </w:rPr>
        <w:t>refer to whether solutions will cause a change in cell volume. </w:t>
      </w:r>
      <w:r>
        <w:rPr>
          <w:color w:val="231F20"/>
          <w:spacing w:val="-4"/>
          <w:sz w:val="20"/>
        </w:rPr>
        <w:t>The </w:t>
      </w:r>
      <w:r>
        <w:rPr>
          <w:color w:val="231F20"/>
          <w:sz w:val="20"/>
        </w:rPr>
        <w:t>tonicity of solutions depends on the concentration </w:t>
      </w:r>
      <w:r>
        <w:rPr>
          <w:color w:val="231F20"/>
          <w:spacing w:val="-6"/>
          <w:sz w:val="20"/>
        </w:rPr>
        <w:t>of </w:t>
      </w:r>
      <w:r>
        <w:rPr>
          <w:color w:val="231F20"/>
          <w:sz w:val="20"/>
        </w:rPr>
        <w:t>impermeant solutes. Some solutes, however, can perme­ ate the cell membrane. Solutions with an osmolarity the same</w:t>
      </w:r>
      <w:r>
        <w:rPr>
          <w:color w:val="231F20"/>
          <w:spacing w:val="-5"/>
          <w:sz w:val="20"/>
        </w:rPr>
        <w:t> </w:t>
      </w:r>
      <w:r>
        <w:rPr>
          <w:color w:val="231F20"/>
          <w:sz w:val="20"/>
        </w:rPr>
        <w:t>as</w:t>
      </w:r>
      <w:r>
        <w:rPr>
          <w:color w:val="231F20"/>
          <w:spacing w:val="-4"/>
          <w:sz w:val="20"/>
        </w:rPr>
        <w:t> </w:t>
      </w:r>
      <w:r>
        <w:rPr>
          <w:color w:val="231F20"/>
          <w:sz w:val="20"/>
        </w:rPr>
        <w:t>the</w:t>
      </w:r>
      <w:r>
        <w:rPr>
          <w:color w:val="231F20"/>
          <w:spacing w:val="-5"/>
          <w:sz w:val="20"/>
        </w:rPr>
        <w:t> </w:t>
      </w:r>
      <w:r>
        <w:rPr>
          <w:color w:val="231F20"/>
          <w:sz w:val="20"/>
        </w:rPr>
        <w:t>cell</w:t>
      </w:r>
      <w:r>
        <w:rPr>
          <w:color w:val="231F20"/>
          <w:spacing w:val="-4"/>
          <w:sz w:val="20"/>
        </w:rPr>
        <w:t> </w:t>
      </w:r>
      <w:r>
        <w:rPr>
          <w:color w:val="231F20"/>
          <w:sz w:val="20"/>
        </w:rPr>
        <w:t>are</w:t>
      </w:r>
      <w:r>
        <w:rPr>
          <w:color w:val="231F20"/>
          <w:spacing w:val="-4"/>
          <w:sz w:val="20"/>
        </w:rPr>
        <w:t> </w:t>
      </w:r>
      <w:r>
        <w:rPr>
          <w:color w:val="231F20"/>
          <w:sz w:val="20"/>
        </w:rPr>
        <w:t>called</w:t>
      </w:r>
      <w:r>
        <w:rPr>
          <w:color w:val="231F20"/>
          <w:spacing w:val="-5"/>
          <w:sz w:val="20"/>
        </w:rPr>
        <w:t> </w:t>
      </w:r>
      <w:r>
        <w:rPr>
          <w:i/>
          <w:color w:val="231F20"/>
          <w:sz w:val="20"/>
        </w:rPr>
        <w:t>isosmotic,</w:t>
      </w:r>
      <w:r>
        <w:rPr>
          <w:i/>
          <w:color w:val="231F20"/>
          <w:spacing w:val="-4"/>
          <w:sz w:val="20"/>
        </w:rPr>
        <w:t> </w:t>
      </w:r>
      <w:r>
        <w:rPr>
          <w:color w:val="231F20"/>
          <w:sz w:val="20"/>
        </w:rPr>
        <w:t>regardless</w:t>
      </w:r>
      <w:r>
        <w:rPr>
          <w:color w:val="231F20"/>
          <w:spacing w:val="-4"/>
          <w:sz w:val="20"/>
        </w:rPr>
        <w:t> </w:t>
      </w:r>
      <w:r>
        <w:rPr>
          <w:color w:val="231F20"/>
          <w:sz w:val="20"/>
        </w:rPr>
        <w:t>of</w:t>
      </w:r>
      <w:r>
        <w:rPr>
          <w:color w:val="231F20"/>
          <w:spacing w:val="-5"/>
          <w:sz w:val="20"/>
        </w:rPr>
        <w:t> </w:t>
      </w:r>
      <w:r>
        <w:rPr>
          <w:color w:val="231F20"/>
          <w:sz w:val="20"/>
        </w:rPr>
        <w:t>whether the solute can penetrate the cell</w:t>
      </w:r>
      <w:r>
        <w:rPr>
          <w:color w:val="231F20"/>
          <w:spacing w:val="16"/>
          <w:sz w:val="20"/>
        </w:rPr>
        <w:t> </w:t>
      </w:r>
      <w:r>
        <w:rPr>
          <w:color w:val="231F20"/>
          <w:sz w:val="20"/>
        </w:rPr>
        <w:t>membrane.</w:t>
      </w:r>
    </w:p>
    <w:p>
      <w:pPr>
        <w:pStyle w:val="BodyText"/>
        <w:spacing w:line="249" w:lineRule="auto" w:before="8"/>
        <w:ind w:left="1079" w:firstLine="240"/>
        <w:jc w:val="both"/>
      </w:pPr>
      <w:r>
        <w:rPr/>
        <w:pict>
          <v:rect style="position:absolute;margin-left:0pt;margin-top:8.385962pt;width:36pt;height:24pt;mso-position-horizontal-relative:page;mso-position-vertical-relative:paragraph;z-index:251729920" filled="true" fillcolor="#e8dac8" stroked="false">
            <v:fill type="solid"/>
            <w10:wrap type="none"/>
          </v:rect>
        </w:pict>
      </w:r>
      <w:r>
        <w:rPr>
          <w:color w:val="231F20"/>
          <w:w w:val="105"/>
        </w:rPr>
        <w:t>The terms </w:t>
      </w:r>
      <w:r>
        <w:rPr>
          <w:i/>
          <w:color w:val="231F20"/>
          <w:w w:val="105"/>
        </w:rPr>
        <w:t>hyperosmotic </w:t>
      </w:r>
      <w:r>
        <w:rPr>
          <w:color w:val="231F20"/>
          <w:w w:val="105"/>
        </w:rPr>
        <w:t>and </w:t>
      </w:r>
      <w:r>
        <w:rPr>
          <w:i/>
          <w:color w:val="231F20"/>
          <w:w w:val="105"/>
        </w:rPr>
        <w:t>hypo-osmotic </w:t>
      </w:r>
      <w:r>
        <w:rPr>
          <w:color w:val="231F20"/>
          <w:w w:val="105"/>
        </w:rPr>
        <w:t>refer to solutions</w:t>
      </w:r>
      <w:r>
        <w:rPr>
          <w:color w:val="231F20"/>
          <w:spacing w:val="-8"/>
          <w:w w:val="105"/>
        </w:rPr>
        <w:t> </w:t>
      </w:r>
      <w:r>
        <w:rPr>
          <w:color w:val="231F20"/>
          <w:w w:val="105"/>
        </w:rPr>
        <w:t>that</w:t>
      </w:r>
      <w:r>
        <w:rPr>
          <w:color w:val="231F20"/>
          <w:spacing w:val="-8"/>
          <w:w w:val="105"/>
        </w:rPr>
        <w:t> </w:t>
      </w:r>
      <w:r>
        <w:rPr>
          <w:color w:val="231F20"/>
          <w:w w:val="105"/>
        </w:rPr>
        <w:t>have</w:t>
      </w:r>
      <w:r>
        <w:rPr>
          <w:color w:val="231F20"/>
          <w:spacing w:val="-8"/>
          <w:w w:val="105"/>
        </w:rPr>
        <w:t> </w:t>
      </w:r>
      <w:r>
        <w:rPr>
          <w:color w:val="231F20"/>
          <w:w w:val="105"/>
        </w:rPr>
        <w:t>a</w:t>
      </w:r>
      <w:r>
        <w:rPr>
          <w:color w:val="231F20"/>
          <w:spacing w:val="-8"/>
          <w:w w:val="105"/>
        </w:rPr>
        <w:t> </w:t>
      </w:r>
      <w:r>
        <w:rPr>
          <w:color w:val="231F20"/>
          <w:w w:val="105"/>
        </w:rPr>
        <w:t>higher</w:t>
      </w:r>
      <w:r>
        <w:rPr>
          <w:color w:val="231F20"/>
          <w:spacing w:val="-8"/>
          <w:w w:val="105"/>
        </w:rPr>
        <w:t> </w:t>
      </w:r>
      <w:r>
        <w:rPr>
          <w:color w:val="231F20"/>
          <w:w w:val="105"/>
        </w:rPr>
        <w:t>or</w:t>
      </w:r>
      <w:r>
        <w:rPr>
          <w:color w:val="231F20"/>
          <w:spacing w:val="-8"/>
          <w:w w:val="105"/>
        </w:rPr>
        <w:t> </w:t>
      </w:r>
      <w:r>
        <w:rPr>
          <w:color w:val="231F20"/>
          <w:w w:val="105"/>
        </w:rPr>
        <w:t>lower</w:t>
      </w:r>
      <w:r>
        <w:rPr>
          <w:color w:val="231F20"/>
          <w:spacing w:val="-8"/>
          <w:w w:val="105"/>
        </w:rPr>
        <w:t> </w:t>
      </w:r>
      <w:r>
        <w:rPr>
          <w:color w:val="231F20"/>
          <w:w w:val="105"/>
        </w:rPr>
        <w:t>osmolarity,</w:t>
      </w:r>
      <w:r>
        <w:rPr>
          <w:color w:val="231F20"/>
          <w:spacing w:val="-7"/>
          <w:w w:val="105"/>
        </w:rPr>
        <w:t> </w:t>
      </w:r>
      <w:r>
        <w:rPr>
          <w:color w:val="231F20"/>
          <w:w w:val="105"/>
        </w:rPr>
        <w:t>respec­ tively, compared with the normal extracellular fluid, without regard for whether the solute permeates the  cell membrane. Highly permeating substances, such </w:t>
      </w:r>
      <w:r>
        <w:rPr>
          <w:color w:val="231F20"/>
          <w:spacing w:val="-6"/>
          <w:w w:val="105"/>
        </w:rPr>
        <w:t>as </w:t>
      </w:r>
      <w:r>
        <w:rPr>
          <w:color w:val="231F20"/>
          <w:w w:val="105"/>
        </w:rPr>
        <w:t>urea, can cause transient shifts in fluid volume between the</w:t>
      </w:r>
      <w:r>
        <w:rPr>
          <w:color w:val="231F20"/>
          <w:spacing w:val="-27"/>
          <w:w w:val="105"/>
        </w:rPr>
        <w:t> </w:t>
      </w:r>
      <w:r>
        <w:rPr>
          <w:color w:val="231F20"/>
          <w:w w:val="105"/>
        </w:rPr>
        <w:t>intracellular</w:t>
      </w:r>
      <w:r>
        <w:rPr>
          <w:color w:val="231F20"/>
          <w:spacing w:val="-27"/>
          <w:w w:val="105"/>
        </w:rPr>
        <w:t> </w:t>
      </w:r>
      <w:r>
        <w:rPr>
          <w:color w:val="231F20"/>
          <w:w w:val="105"/>
        </w:rPr>
        <w:t>and</w:t>
      </w:r>
      <w:r>
        <w:rPr>
          <w:color w:val="231F20"/>
          <w:spacing w:val="-27"/>
          <w:w w:val="105"/>
        </w:rPr>
        <w:t> </w:t>
      </w:r>
      <w:r>
        <w:rPr>
          <w:color w:val="231F20"/>
          <w:w w:val="105"/>
        </w:rPr>
        <w:t>extracellular</w:t>
      </w:r>
      <w:r>
        <w:rPr>
          <w:color w:val="231F20"/>
          <w:spacing w:val="-27"/>
          <w:w w:val="105"/>
        </w:rPr>
        <w:t> </w:t>
      </w:r>
      <w:r>
        <w:rPr>
          <w:color w:val="231F20"/>
          <w:w w:val="105"/>
        </w:rPr>
        <w:t>fluids,</w:t>
      </w:r>
      <w:r>
        <w:rPr>
          <w:color w:val="231F20"/>
          <w:spacing w:val="-26"/>
          <w:w w:val="105"/>
        </w:rPr>
        <w:t> </w:t>
      </w:r>
      <w:r>
        <w:rPr>
          <w:color w:val="231F20"/>
          <w:w w:val="105"/>
        </w:rPr>
        <w:t>but</w:t>
      </w:r>
      <w:r>
        <w:rPr>
          <w:color w:val="231F20"/>
          <w:spacing w:val="-27"/>
          <w:w w:val="105"/>
        </w:rPr>
        <w:t> </w:t>
      </w:r>
      <w:r>
        <w:rPr>
          <w:color w:val="231F20"/>
          <w:w w:val="105"/>
        </w:rPr>
        <w:t>given</w:t>
      </w:r>
      <w:r>
        <w:rPr>
          <w:color w:val="231F20"/>
          <w:spacing w:val="-27"/>
          <w:w w:val="105"/>
        </w:rPr>
        <w:t> </w:t>
      </w:r>
      <w:r>
        <w:rPr>
          <w:color w:val="231F20"/>
          <w:spacing w:val="-3"/>
          <w:w w:val="105"/>
        </w:rPr>
        <w:t>enough </w:t>
      </w:r>
      <w:r>
        <w:rPr>
          <w:color w:val="231F20"/>
          <w:w w:val="105"/>
        </w:rPr>
        <w:t>time, the concentrations of these substances eventually become equal in the two  compartments  and  </w:t>
      </w:r>
      <w:r>
        <w:rPr>
          <w:color w:val="231F20"/>
          <w:spacing w:val="-5"/>
          <w:w w:val="105"/>
        </w:rPr>
        <w:t>have  </w:t>
      </w:r>
      <w:r>
        <w:rPr>
          <w:color w:val="231F20"/>
          <w:w w:val="105"/>
        </w:rPr>
        <w:t>little effect on intracellular volume under steady­state conditions.</w:t>
      </w:r>
    </w:p>
    <w:p>
      <w:pPr>
        <w:pStyle w:val="BodyText"/>
        <w:spacing w:before="5"/>
        <w:rPr>
          <w:sz w:val="22"/>
        </w:rPr>
      </w:pPr>
    </w:p>
    <w:p>
      <w:pPr>
        <w:pStyle w:val="BodyText"/>
        <w:spacing w:line="249" w:lineRule="auto"/>
        <w:ind w:left="1080"/>
        <w:jc w:val="both"/>
      </w:pPr>
      <w:r>
        <w:rPr>
          <w:rFonts w:ascii="Trebuchet MS" w:hAnsi="Trebuchet MS"/>
          <w:b/>
          <w:color w:val="231F20"/>
          <w:sz w:val="19"/>
        </w:rPr>
        <w:t>Osmotic</w:t>
      </w:r>
      <w:r>
        <w:rPr>
          <w:rFonts w:ascii="Trebuchet MS" w:hAnsi="Trebuchet MS"/>
          <w:b/>
          <w:color w:val="231F20"/>
          <w:spacing w:val="-17"/>
          <w:sz w:val="19"/>
        </w:rPr>
        <w:t> </w:t>
      </w:r>
      <w:r>
        <w:rPr>
          <w:rFonts w:ascii="Trebuchet MS" w:hAnsi="Trebuchet MS"/>
          <w:b/>
          <w:color w:val="231F20"/>
          <w:sz w:val="19"/>
        </w:rPr>
        <w:t>Equilibrium</w:t>
      </w:r>
      <w:r>
        <w:rPr>
          <w:rFonts w:ascii="Trebuchet MS" w:hAnsi="Trebuchet MS"/>
          <w:b/>
          <w:color w:val="231F20"/>
          <w:spacing w:val="-16"/>
          <w:sz w:val="19"/>
        </w:rPr>
        <w:t> </w:t>
      </w:r>
      <w:r>
        <w:rPr>
          <w:rFonts w:ascii="Trebuchet MS" w:hAnsi="Trebuchet MS"/>
          <w:b/>
          <w:color w:val="231F20"/>
          <w:sz w:val="19"/>
        </w:rPr>
        <w:t>Between</w:t>
      </w:r>
      <w:r>
        <w:rPr>
          <w:rFonts w:ascii="Trebuchet MS" w:hAnsi="Trebuchet MS"/>
          <w:b/>
          <w:color w:val="231F20"/>
          <w:spacing w:val="-16"/>
          <w:sz w:val="19"/>
        </w:rPr>
        <w:t> </w:t>
      </w:r>
      <w:r>
        <w:rPr>
          <w:rFonts w:ascii="Trebuchet MS" w:hAnsi="Trebuchet MS"/>
          <w:b/>
          <w:color w:val="231F20"/>
          <w:sz w:val="19"/>
        </w:rPr>
        <w:t>Intracellular</w:t>
      </w:r>
      <w:r>
        <w:rPr>
          <w:rFonts w:ascii="Trebuchet MS" w:hAnsi="Trebuchet MS"/>
          <w:b/>
          <w:color w:val="231F20"/>
          <w:spacing w:val="-16"/>
          <w:sz w:val="19"/>
        </w:rPr>
        <w:t> </w:t>
      </w:r>
      <w:r>
        <w:rPr>
          <w:rFonts w:ascii="Trebuchet MS" w:hAnsi="Trebuchet MS"/>
          <w:b/>
          <w:color w:val="231F20"/>
          <w:sz w:val="19"/>
        </w:rPr>
        <w:t>and</w:t>
      </w:r>
      <w:r>
        <w:rPr>
          <w:rFonts w:ascii="Trebuchet MS" w:hAnsi="Trebuchet MS"/>
          <w:b/>
          <w:color w:val="231F20"/>
          <w:spacing w:val="-17"/>
          <w:sz w:val="19"/>
        </w:rPr>
        <w:t> </w:t>
      </w:r>
      <w:r>
        <w:rPr>
          <w:rFonts w:ascii="Trebuchet MS" w:hAnsi="Trebuchet MS"/>
          <w:b/>
          <w:color w:val="231F20"/>
          <w:spacing w:val="-3"/>
          <w:sz w:val="19"/>
        </w:rPr>
        <w:t>Extra- </w:t>
      </w:r>
      <w:r>
        <w:rPr>
          <w:rFonts w:ascii="Trebuchet MS" w:hAnsi="Trebuchet MS"/>
          <w:b/>
          <w:color w:val="231F20"/>
          <w:w w:val="105"/>
          <w:sz w:val="19"/>
        </w:rPr>
        <w:t>cellular</w:t>
      </w:r>
      <w:r>
        <w:rPr>
          <w:rFonts w:ascii="Trebuchet MS" w:hAnsi="Trebuchet MS"/>
          <w:b/>
          <w:color w:val="231F20"/>
          <w:spacing w:val="-38"/>
          <w:w w:val="105"/>
          <w:sz w:val="19"/>
        </w:rPr>
        <w:t> </w:t>
      </w:r>
      <w:r>
        <w:rPr>
          <w:rFonts w:ascii="Trebuchet MS" w:hAnsi="Trebuchet MS"/>
          <w:b/>
          <w:color w:val="231F20"/>
          <w:w w:val="105"/>
          <w:sz w:val="19"/>
        </w:rPr>
        <w:t>Fluids</w:t>
      </w:r>
      <w:r>
        <w:rPr>
          <w:rFonts w:ascii="Trebuchet MS" w:hAnsi="Trebuchet MS"/>
          <w:b/>
          <w:color w:val="231F20"/>
          <w:spacing w:val="-38"/>
          <w:w w:val="105"/>
          <w:sz w:val="19"/>
        </w:rPr>
        <w:t> </w:t>
      </w:r>
      <w:r>
        <w:rPr>
          <w:rFonts w:ascii="Trebuchet MS" w:hAnsi="Trebuchet MS"/>
          <w:b/>
          <w:color w:val="231F20"/>
          <w:w w:val="105"/>
          <w:sz w:val="19"/>
        </w:rPr>
        <w:t>Is</w:t>
      </w:r>
      <w:r>
        <w:rPr>
          <w:rFonts w:ascii="Trebuchet MS" w:hAnsi="Trebuchet MS"/>
          <w:b/>
          <w:color w:val="231F20"/>
          <w:spacing w:val="-38"/>
          <w:w w:val="105"/>
          <w:sz w:val="19"/>
        </w:rPr>
        <w:t> </w:t>
      </w:r>
      <w:r>
        <w:rPr>
          <w:rFonts w:ascii="Trebuchet MS" w:hAnsi="Trebuchet MS"/>
          <w:b/>
          <w:color w:val="231F20"/>
          <w:w w:val="105"/>
          <w:sz w:val="19"/>
        </w:rPr>
        <w:t>Rapidly</w:t>
      </w:r>
      <w:r>
        <w:rPr>
          <w:rFonts w:ascii="Trebuchet MS" w:hAnsi="Trebuchet MS"/>
          <w:b/>
          <w:color w:val="231F20"/>
          <w:spacing w:val="-38"/>
          <w:w w:val="105"/>
          <w:sz w:val="19"/>
        </w:rPr>
        <w:t> </w:t>
      </w:r>
      <w:r>
        <w:rPr>
          <w:rFonts w:ascii="Trebuchet MS" w:hAnsi="Trebuchet MS"/>
          <w:b/>
          <w:color w:val="231F20"/>
          <w:w w:val="105"/>
          <w:sz w:val="19"/>
        </w:rPr>
        <w:t>Attained.</w:t>
      </w:r>
      <w:r>
        <w:rPr>
          <w:rFonts w:ascii="Trebuchet MS" w:hAnsi="Trebuchet MS"/>
          <w:b/>
          <w:color w:val="231F20"/>
          <w:spacing w:val="-13"/>
          <w:w w:val="105"/>
          <w:sz w:val="19"/>
        </w:rPr>
        <w:t> </w:t>
      </w:r>
      <w:r>
        <w:rPr>
          <w:color w:val="231F20"/>
          <w:w w:val="105"/>
        </w:rPr>
        <w:t>The</w:t>
      </w:r>
      <w:r>
        <w:rPr>
          <w:color w:val="231F20"/>
          <w:spacing w:val="-33"/>
          <w:w w:val="105"/>
        </w:rPr>
        <w:t> </w:t>
      </w:r>
      <w:r>
        <w:rPr>
          <w:color w:val="231F20"/>
          <w:w w:val="105"/>
        </w:rPr>
        <w:t>transfer</w:t>
      </w:r>
      <w:r>
        <w:rPr>
          <w:color w:val="231F20"/>
          <w:spacing w:val="-32"/>
          <w:w w:val="105"/>
        </w:rPr>
        <w:t> </w:t>
      </w:r>
      <w:r>
        <w:rPr>
          <w:color w:val="231F20"/>
          <w:w w:val="105"/>
        </w:rPr>
        <w:t>of</w:t>
      </w:r>
      <w:r>
        <w:rPr>
          <w:color w:val="231F20"/>
          <w:spacing w:val="-32"/>
          <w:w w:val="105"/>
        </w:rPr>
        <w:t> </w:t>
      </w:r>
      <w:r>
        <w:rPr>
          <w:color w:val="231F20"/>
          <w:spacing w:val="-4"/>
          <w:w w:val="105"/>
        </w:rPr>
        <w:t>fluid </w:t>
      </w:r>
      <w:r>
        <w:rPr>
          <w:color w:val="231F20"/>
          <w:w w:val="105"/>
        </w:rPr>
        <w:t>across the cell membrane occurs so rapidly that any</w:t>
      </w:r>
      <w:r>
        <w:rPr>
          <w:color w:val="231F20"/>
          <w:spacing w:val="-23"/>
          <w:w w:val="105"/>
        </w:rPr>
        <w:t> </w:t>
      </w:r>
      <w:r>
        <w:rPr>
          <w:color w:val="231F20"/>
          <w:w w:val="105"/>
        </w:rPr>
        <w:t>dif­ ferences in osmolarities between these two </w:t>
      </w:r>
      <w:r>
        <w:rPr>
          <w:color w:val="231F20"/>
          <w:spacing w:val="-4"/>
          <w:w w:val="105"/>
        </w:rPr>
        <w:t>compart­ </w:t>
      </w:r>
      <w:r>
        <w:rPr>
          <w:color w:val="231F20"/>
          <w:w w:val="105"/>
        </w:rPr>
        <w:t>ments are usually corrected within seconds </w:t>
      </w:r>
      <w:r>
        <w:rPr>
          <w:color w:val="231F20"/>
          <w:spacing w:val="-6"/>
          <w:w w:val="105"/>
        </w:rPr>
        <w:t>or, </w:t>
      </w:r>
      <w:r>
        <w:rPr>
          <w:color w:val="231F20"/>
          <w:w w:val="105"/>
        </w:rPr>
        <w:t>at the most, minutes. This rapid movement of water across</w:t>
      </w:r>
      <w:r>
        <w:rPr>
          <w:color w:val="231F20"/>
          <w:spacing w:val="-34"/>
          <w:w w:val="105"/>
        </w:rPr>
        <w:t> </w:t>
      </w:r>
      <w:r>
        <w:rPr>
          <w:color w:val="231F20"/>
          <w:spacing w:val="-5"/>
          <w:w w:val="105"/>
        </w:rPr>
        <w:t>the </w:t>
      </w:r>
      <w:r>
        <w:rPr>
          <w:color w:val="231F20"/>
          <w:w w:val="105"/>
        </w:rPr>
        <w:t>cell</w:t>
      </w:r>
      <w:r>
        <w:rPr>
          <w:color w:val="231F20"/>
          <w:spacing w:val="-9"/>
          <w:w w:val="105"/>
        </w:rPr>
        <w:t> </w:t>
      </w:r>
      <w:r>
        <w:rPr>
          <w:color w:val="231F20"/>
          <w:w w:val="105"/>
        </w:rPr>
        <w:t>membrane</w:t>
      </w:r>
      <w:r>
        <w:rPr>
          <w:color w:val="231F20"/>
          <w:spacing w:val="-8"/>
          <w:w w:val="105"/>
        </w:rPr>
        <w:t> </w:t>
      </w:r>
      <w:r>
        <w:rPr>
          <w:color w:val="231F20"/>
          <w:w w:val="105"/>
        </w:rPr>
        <w:t>does</w:t>
      </w:r>
      <w:r>
        <w:rPr>
          <w:color w:val="231F20"/>
          <w:spacing w:val="-8"/>
          <w:w w:val="105"/>
        </w:rPr>
        <w:t> </w:t>
      </w:r>
      <w:r>
        <w:rPr>
          <w:color w:val="231F20"/>
          <w:w w:val="105"/>
        </w:rPr>
        <w:t>not</w:t>
      </w:r>
      <w:r>
        <w:rPr>
          <w:color w:val="231F20"/>
          <w:spacing w:val="-9"/>
          <w:w w:val="105"/>
        </w:rPr>
        <w:t> </w:t>
      </w:r>
      <w:r>
        <w:rPr>
          <w:color w:val="231F20"/>
          <w:w w:val="105"/>
        </w:rPr>
        <w:t>mean</w:t>
      </w:r>
      <w:r>
        <w:rPr>
          <w:color w:val="231F20"/>
          <w:spacing w:val="-8"/>
          <w:w w:val="105"/>
        </w:rPr>
        <w:t> </w:t>
      </w:r>
      <w:r>
        <w:rPr>
          <w:color w:val="231F20"/>
          <w:w w:val="105"/>
        </w:rPr>
        <w:t>that</w:t>
      </w:r>
      <w:r>
        <w:rPr>
          <w:color w:val="231F20"/>
          <w:spacing w:val="-9"/>
          <w:w w:val="105"/>
        </w:rPr>
        <w:t> </w:t>
      </w:r>
      <w:r>
        <w:rPr>
          <w:color w:val="231F20"/>
          <w:w w:val="105"/>
        </w:rPr>
        <w:t>complete</w:t>
      </w:r>
      <w:r>
        <w:rPr>
          <w:color w:val="231F20"/>
          <w:spacing w:val="-8"/>
          <w:w w:val="105"/>
        </w:rPr>
        <w:t> </w:t>
      </w:r>
      <w:r>
        <w:rPr>
          <w:color w:val="231F20"/>
          <w:w w:val="105"/>
        </w:rPr>
        <w:t>equilibrium occurs between the intracellular and extracellular com­ partments throughout the whole body within the </w:t>
      </w:r>
      <w:r>
        <w:rPr>
          <w:color w:val="231F20"/>
          <w:spacing w:val="-3"/>
          <w:w w:val="105"/>
        </w:rPr>
        <w:t>same </w:t>
      </w:r>
      <w:r>
        <w:rPr>
          <w:color w:val="231F20"/>
          <w:w w:val="105"/>
        </w:rPr>
        <w:t>short</w:t>
      </w:r>
      <w:r>
        <w:rPr>
          <w:color w:val="231F20"/>
          <w:spacing w:val="-23"/>
          <w:w w:val="105"/>
        </w:rPr>
        <w:t> </w:t>
      </w:r>
      <w:r>
        <w:rPr>
          <w:color w:val="231F20"/>
          <w:w w:val="105"/>
        </w:rPr>
        <w:t>period.</w:t>
      </w:r>
      <w:r>
        <w:rPr>
          <w:color w:val="231F20"/>
          <w:spacing w:val="-23"/>
          <w:w w:val="105"/>
        </w:rPr>
        <w:t> </w:t>
      </w:r>
      <w:r>
        <w:rPr>
          <w:color w:val="231F20"/>
          <w:w w:val="105"/>
        </w:rPr>
        <w:t>The</w:t>
      </w:r>
      <w:r>
        <w:rPr>
          <w:color w:val="231F20"/>
          <w:spacing w:val="-23"/>
          <w:w w:val="105"/>
        </w:rPr>
        <w:t> </w:t>
      </w:r>
      <w:r>
        <w:rPr>
          <w:color w:val="231F20"/>
          <w:w w:val="105"/>
        </w:rPr>
        <w:t>reason</w:t>
      </w:r>
      <w:r>
        <w:rPr>
          <w:color w:val="231F20"/>
          <w:spacing w:val="-22"/>
          <w:w w:val="105"/>
        </w:rPr>
        <w:t> </w:t>
      </w:r>
      <w:r>
        <w:rPr>
          <w:color w:val="231F20"/>
          <w:w w:val="105"/>
        </w:rPr>
        <w:t>for</w:t>
      </w:r>
      <w:r>
        <w:rPr>
          <w:color w:val="231F20"/>
          <w:spacing w:val="-23"/>
          <w:w w:val="105"/>
        </w:rPr>
        <w:t> </w:t>
      </w:r>
      <w:r>
        <w:rPr>
          <w:color w:val="231F20"/>
          <w:w w:val="105"/>
        </w:rPr>
        <w:t>this</w:t>
      </w:r>
      <w:r>
        <w:rPr>
          <w:color w:val="231F20"/>
          <w:spacing w:val="-23"/>
          <w:w w:val="105"/>
        </w:rPr>
        <w:t> </w:t>
      </w:r>
      <w:r>
        <w:rPr>
          <w:color w:val="231F20"/>
          <w:w w:val="105"/>
        </w:rPr>
        <w:t>is</w:t>
      </w:r>
      <w:r>
        <w:rPr>
          <w:color w:val="231F20"/>
          <w:spacing w:val="-23"/>
          <w:w w:val="105"/>
        </w:rPr>
        <w:t> </w:t>
      </w:r>
      <w:r>
        <w:rPr>
          <w:color w:val="231F20"/>
          <w:w w:val="105"/>
        </w:rPr>
        <w:t>that</w:t>
      </w:r>
      <w:r>
        <w:rPr>
          <w:color w:val="231F20"/>
          <w:spacing w:val="-22"/>
          <w:w w:val="105"/>
        </w:rPr>
        <w:t> </w:t>
      </w:r>
      <w:r>
        <w:rPr>
          <w:color w:val="231F20"/>
          <w:w w:val="105"/>
        </w:rPr>
        <w:t>fluid</w:t>
      </w:r>
      <w:r>
        <w:rPr>
          <w:color w:val="231F20"/>
          <w:spacing w:val="-23"/>
          <w:w w:val="105"/>
        </w:rPr>
        <w:t> </w:t>
      </w:r>
      <w:r>
        <w:rPr>
          <w:color w:val="231F20"/>
          <w:w w:val="105"/>
        </w:rPr>
        <w:t>usually</w:t>
      </w:r>
      <w:r>
        <w:rPr>
          <w:color w:val="231F20"/>
          <w:spacing w:val="-23"/>
          <w:w w:val="105"/>
        </w:rPr>
        <w:t> </w:t>
      </w:r>
      <w:r>
        <w:rPr>
          <w:color w:val="231F20"/>
          <w:spacing w:val="-4"/>
          <w:w w:val="105"/>
        </w:rPr>
        <w:t>enters </w:t>
      </w:r>
      <w:r>
        <w:rPr>
          <w:color w:val="231F20"/>
          <w:w w:val="105"/>
        </w:rPr>
        <w:t>the body through the gut and must be transported by</w:t>
      </w:r>
      <w:r>
        <w:rPr>
          <w:color w:val="231F20"/>
          <w:spacing w:val="-23"/>
          <w:w w:val="105"/>
        </w:rPr>
        <w:t> </w:t>
      </w:r>
      <w:r>
        <w:rPr>
          <w:color w:val="231F20"/>
          <w:spacing w:val="-6"/>
          <w:w w:val="105"/>
        </w:rPr>
        <w:t>the </w:t>
      </w:r>
      <w:r>
        <w:rPr>
          <w:color w:val="231F20"/>
          <w:w w:val="105"/>
        </w:rPr>
        <w:t>blood</w:t>
      </w:r>
      <w:r>
        <w:rPr>
          <w:color w:val="231F20"/>
          <w:spacing w:val="-9"/>
          <w:w w:val="105"/>
        </w:rPr>
        <w:t> </w:t>
      </w:r>
      <w:r>
        <w:rPr>
          <w:color w:val="231F20"/>
          <w:w w:val="105"/>
        </w:rPr>
        <w:t>to</w:t>
      </w:r>
      <w:r>
        <w:rPr>
          <w:color w:val="231F20"/>
          <w:spacing w:val="-8"/>
          <w:w w:val="105"/>
        </w:rPr>
        <w:t> </w:t>
      </w:r>
      <w:r>
        <w:rPr>
          <w:color w:val="231F20"/>
          <w:w w:val="105"/>
        </w:rPr>
        <w:t>all</w:t>
      </w:r>
      <w:r>
        <w:rPr>
          <w:color w:val="231F20"/>
          <w:spacing w:val="-8"/>
          <w:w w:val="105"/>
        </w:rPr>
        <w:t> </w:t>
      </w:r>
      <w:r>
        <w:rPr>
          <w:color w:val="231F20"/>
          <w:w w:val="105"/>
        </w:rPr>
        <w:t>tissues</w:t>
      </w:r>
      <w:r>
        <w:rPr>
          <w:color w:val="231F20"/>
          <w:spacing w:val="-8"/>
          <w:w w:val="105"/>
        </w:rPr>
        <w:t> </w:t>
      </w:r>
      <w:r>
        <w:rPr>
          <w:color w:val="231F20"/>
          <w:w w:val="105"/>
        </w:rPr>
        <w:t>before</w:t>
      </w:r>
      <w:r>
        <w:rPr>
          <w:color w:val="231F20"/>
          <w:spacing w:val="-8"/>
          <w:w w:val="105"/>
        </w:rPr>
        <w:t> </w:t>
      </w:r>
      <w:r>
        <w:rPr>
          <w:color w:val="231F20"/>
          <w:w w:val="105"/>
        </w:rPr>
        <w:t>complete</w:t>
      </w:r>
      <w:r>
        <w:rPr>
          <w:color w:val="231F20"/>
          <w:spacing w:val="-8"/>
          <w:w w:val="105"/>
        </w:rPr>
        <w:t> </w:t>
      </w:r>
      <w:r>
        <w:rPr>
          <w:color w:val="231F20"/>
          <w:w w:val="105"/>
        </w:rPr>
        <w:t>osmotic</w:t>
      </w:r>
      <w:r>
        <w:rPr>
          <w:color w:val="231F20"/>
          <w:spacing w:val="-8"/>
          <w:w w:val="105"/>
        </w:rPr>
        <w:t> </w:t>
      </w:r>
      <w:r>
        <w:rPr>
          <w:color w:val="231F20"/>
          <w:w w:val="105"/>
        </w:rPr>
        <w:t>equilibrium can </w:t>
      </w:r>
      <w:r>
        <w:rPr>
          <w:color w:val="231F20"/>
          <w:spacing w:val="-3"/>
          <w:w w:val="105"/>
        </w:rPr>
        <w:t>occur. It </w:t>
      </w:r>
      <w:r>
        <w:rPr>
          <w:color w:val="231F20"/>
          <w:w w:val="105"/>
        </w:rPr>
        <w:t>usually takes about 30 minutes to achieve osmotic</w:t>
      </w:r>
      <w:r>
        <w:rPr>
          <w:color w:val="231F20"/>
          <w:spacing w:val="-6"/>
          <w:w w:val="105"/>
        </w:rPr>
        <w:t> </w:t>
      </w:r>
      <w:r>
        <w:rPr>
          <w:color w:val="231F20"/>
          <w:w w:val="105"/>
        </w:rPr>
        <w:t>equilibrium</w:t>
      </w:r>
      <w:r>
        <w:rPr>
          <w:color w:val="231F20"/>
          <w:spacing w:val="-6"/>
          <w:w w:val="105"/>
        </w:rPr>
        <w:t> </w:t>
      </w:r>
      <w:r>
        <w:rPr>
          <w:color w:val="231F20"/>
          <w:w w:val="105"/>
        </w:rPr>
        <w:t>everywhere</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body</w:t>
      </w:r>
      <w:r>
        <w:rPr>
          <w:color w:val="231F20"/>
          <w:spacing w:val="-6"/>
          <w:w w:val="105"/>
        </w:rPr>
        <w:t> </w:t>
      </w:r>
      <w:r>
        <w:rPr>
          <w:color w:val="231F20"/>
          <w:w w:val="105"/>
        </w:rPr>
        <w:t>after</w:t>
      </w:r>
      <w:r>
        <w:rPr>
          <w:color w:val="231F20"/>
          <w:spacing w:val="-6"/>
          <w:w w:val="105"/>
        </w:rPr>
        <w:t> </w:t>
      </w:r>
      <w:r>
        <w:rPr>
          <w:color w:val="231F20"/>
          <w:spacing w:val="-4"/>
          <w:w w:val="105"/>
        </w:rPr>
        <w:t>drink­ </w:t>
      </w:r>
      <w:r>
        <w:rPr>
          <w:color w:val="231F20"/>
          <w:w w:val="105"/>
        </w:rPr>
        <w:t>ing</w:t>
      </w:r>
      <w:r>
        <w:rPr>
          <w:color w:val="231F20"/>
          <w:spacing w:val="3"/>
          <w:w w:val="105"/>
        </w:rPr>
        <w:t> </w:t>
      </w:r>
      <w:r>
        <w:rPr>
          <w:color w:val="231F20"/>
          <w:spacing w:val="-3"/>
          <w:w w:val="105"/>
        </w:rPr>
        <w:t>water.</w:t>
      </w:r>
    </w:p>
    <w:p>
      <w:pPr>
        <w:pStyle w:val="BodyText"/>
        <w:spacing w:before="9"/>
        <w:rPr>
          <w:sz w:val="25"/>
        </w:rPr>
      </w:pPr>
      <w:r>
        <w:rPr/>
        <w:pict>
          <v:shape style="position:absolute;margin-left:54pt;margin-top:16.027555pt;width:234pt;height:52pt;mso-position-horizontal-relative:page;mso-position-vertical-relative:paragraph;z-index:-251588608;mso-wrap-distance-left:0;mso-wrap-distance-right:0" type="#_x0000_t202" filled="true" fillcolor="#e8dac8" stroked="false">
            <v:textbox inset="0,0,0,0">
              <w:txbxContent>
                <w:p>
                  <w:pPr>
                    <w:spacing w:line="225" w:lineRule="auto" w:before="46"/>
                    <w:ind w:left="60" w:right="1479" w:firstLine="0"/>
                    <w:jc w:val="left"/>
                    <w:rPr>
                      <w:rFonts w:ascii="Trebuchet MS"/>
                      <w:b/>
                      <w:sz w:val="22"/>
                    </w:rPr>
                  </w:pPr>
                  <w:r>
                    <w:rPr>
                      <w:rFonts w:ascii="Trebuchet MS"/>
                      <w:b/>
                      <w:color w:val="231F20"/>
                      <w:w w:val="110"/>
                      <w:sz w:val="22"/>
                    </w:rPr>
                    <w:t>VOLUME AND OSMOLALITY OF EXTRACELLULAR AND INTRACELLULAR FLUIDS IN ABNORMAL STATES</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w w:val="105"/>
        </w:rPr>
        <w:t>Some</w:t>
      </w:r>
      <w:r>
        <w:rPr>
          <w:color w:val="231F20"/>
          <w:spacing w:val="-10"/>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different</w:t>
      </w:r>
      <w:r>
        <w:rPr>
          <w:color w:val="231F20"/>
          <w:spacing w:val="-9"/>
          <w:w w:val="105"/>
        </w:rPr>
        <w:t> </w:t>
      </w:r>
      <w:r>
        <w:rPr>
          <w:color w:val="231F20"/>
          <w:w w:val="105"/>
        </w:rPr>
        <w:t>factors</w:t>
      </w:r>
      <w:r>
        <w:rPr>
          <w:color w:val="231F20"/>
          <w:spacing w:val="-10"/>
          <w:w w:val="105"/>
        </w:rPr>
        <w:t> </w:t>
      </w:r>
      <w:r>
        <w:rPr>
          <w:color w:val="231F20"/>
          <w:w w:val="105"/>
        </w:rPr>
        <w:t>that</w:t>
      </w:r>
      <w:r>
        <w:rPr>
          <w:color w:val="231F20"/>
          <w:spacing w:val="-9"/>
          <w:w w:val="105"/>
        </w:rPr>
        <w:t> </w:t>
      </w:r>
      <w:r>
        <w:rPr>
          <w:color w:val="231F20"/>
          <w:w w:val="105"/>
        </w:rPr>
        <w:t>can</w:t>
      </w:r>
      <w:r>
        <w:rPr>
          <w:color w:val="231F20"/>
          <w:spacing w:val="-9"/>
          <w:w w:val="105"/>
        </w:rPr>
        <w:t> </w:t>
      </w:r>
      <w:r>
        <w:rPr>
          <w:color w:val="231F20"/>
          <w:w w:val="105"/>
        </w:rPr>
        <w:t>cause</w:t>
      </w:r>
      <w:r>
        <w:rPr>
          <w:color w:val="231F20"/>
          <w:spacing w:val="-9"/>
          <w:w w:val="105"/>
        </w:rPr>
        <w:t> </w:t>
      </w:r>
      <w:r>
        <w:rPr>
          <w:color w:val="231F20"/>
          <w:w w:val="105"/>
        </w:rPr>
        <w:t>extracellular and</w:t>
      </w:r>
      <w:r>
        <w:rPr>
          <w:color w:val="231F20"/>
          <w:spacing w:val="-12"/>
          <w:w w:val="105"/>
        </w:rPr>
        <w:t> </w:t>
      </w:r>
      <w:r>
        <w:rPr>
          <w:color w:val="231F20"/>
          <w:w w:val="105"/>
        </w:rPr>
        <w:t>intracellular</w:t>
      </w:r>
      <w:r>
        <w:rPr>
          <w:color w:val="231F20"/>
          <w:spacing w:val="-11"/>
          <w:w w:val="105"/>
        </w:rPr>
        <w:t> </w:t>
      </w:r>
      <w:r>
        <w:rPr>
          <w:color w:val="231F20"/>
          <w:w w:val="105"/>
        </w:rPr>
        <w:t>volumes</w:t>
      </w:r>
      <w:r>
        <w:rPr>
          <w:color w:val="231F20"/>
          <w:spacing w:val="-12"/>
          <w:w w:val="105"/>
        </w:rPr>
        <w:t> </w:t>
      </w:r>
      <w:r>
        <w:rPr>
          <w:color w:val="231F20"/>
          <w:w w:val="105"/>
        </w:rPr>
        <w:t>to</w:t>
      </w:r>
      <w:r>
        <w:rPr>
          <w:color w:val="231F20"/>
          <w:spacing w:val="-11"/>
          <w:w w:val="105"/>
        </w:rPr>
        <w:t> </w:t>
      </w:r>
      <w:r>
        <w:rPr>
          <w:color w:val="231F20"/>
          <w:w w:val="105"/>
        </w:rPr>
        <w:t>change</w:t>
      </w:r>
      <w:r>
        <w:rPr>
          <w:color w:val="231F20"/>
          <w:spacing w:val="-12"/>
          <w:w w:val="105"/>
        </w:rPr>
        <w:t> </w:t>
      </w:r>
      <w:r>
        <w:rPr>
          <w:color w:val="231F20"/>
          <w:w w:val="105"/>
        </w:rPr>
        <w:t>markedly</w:t>
      </w:r>
      <w:r>
        <w:rPr>
          <w:color w:val="231F20"/>
          <w:spacing w:val="-11"/>
          <w:w w:val="105"/>
        </w:rPr>
        <w:t> </w:t>
      </w:r>
      <w:r>
        <w:rPr>
          <w:color w:val="231F20"/>
          <w:w w:val="105"/>
        </w:rPr>
        <w:t>are</w:t>
      </w:r>
      <w:r>
        <w:rPr>
          <w:color w:val="231F20"/>
          <w:spacing w:val="-11"/>
          <w:w w:val="105"/>
        </w:rPr>
        <w:t> </w:t>
      </w:r>
      <w:r>
        <w:rPr>
          <w:color w:val="231F20"/>
          <w:w w:val="105"/>
        </w:rPr>
        <w:t>excess ingestion or renal retention of </w:t>
      </w:r>
      <w:r>
        <w:rPr>
          <w:color w:val="231F20"/>
          <w:spacing w:val="-3"/>
          <w:w w:val="105"/>
        </w:rPr>
        <w:t>water, </w:t>
      </w:r>
      <w:r>
        <w:rPr>
          <w:color w:val="231F20"/>
          <w:w w:val="105"/>
        </w:rPr>
        <w:t>dehydration, </w:t>
      </w:r>
      <w:r>
        <w:rPr>
          <w:color w:val="231F20"/>
          <w:spacing w:val="-4"/>
          <w:w w:val="105"/>
        </w:rPr>
        <w:t>intra­ </w:t>
      </w:r>
      <w:r>
        <w:rPr>
          <w:color w:val="231F20"/>
          <w:w w:val="105"/>
        </w:rPr>
        <w:t>venous infusion of different types of solutions, loss </w:t>
      </w:r>
      <w:r>
        <w:rPr>
          <w:color w:val="231F20"/>
          <w:spacing w:val="-6"/>
          <w:w w:val="105"/>
        </w:rPr>
        <w:t>of </w:t>
      </w:r>
      <w:r>
        <w:rPr>
          <w:color w:val="231F20"/>
          <w:w w:val="105"/>
        </w:rPr>
        <w:t>large</w:t>
      </w:r>
      <w:r>
        <w:rPr>
          <w:color w:val="231F20"/>
          <w:spacing w:val="-16"/>
          <w:w w:val="105"/>
        </w:rPr>
        <w:t> </w:t>
      </w:r>
      <w:r>
        <w:rPr>
          <w:color w:val="231F20"/>
          <w:w w:val="105"/>
        </w:rPr>
        <w:t>amounts</w:t>
      </w:r>
      <w:r>
        <w:rPr>
          <w:color w:val="231F20"/>
          <w:spacing w:val="-16"/>
          <w:w w:val="105"/>
        </w:rPr>
        <w:t> </w:t>
      </w:r>
      <w:r>
        <w:rPr>
          <w:color w:val="231F20"/>
          <w:w w:val="105"/>
        </w:rPr>
        <w:t>of</w:t>
      </w:r>
      <w:r>
        <w:rPr>
          <w:color w:val="231F20"/>
          <w:spacing w:val="-16"/>
          <w:w w:val="105"/>
        </w:rPr>
        <w:t> </w:t>
      </w:r>
      <w:r>
        <w:rPr>
          <w:color w:val="231F20"/>
          <w:w w:val="105"/>
        </w:rPr>
        <w:t>fluid</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gastrointestinal</w:t>
      </w:r>
      <w:r>
        <w:rPr>
          <w:color w:val="231F20"/>
          <w:spacing w:val="-16"/>
          <w:w w:val="105"/>
        </w:rPr>
        <w:t> </w:t>
      </w:r>
      <w:r>
        <w:rPr>
          <w:color w:val="231F20"/>
          <w:w w:val="105"/>
        </w:rPr>
        <w:t>tract,</w:t>
      </w:r>
      <w:r>
        <w:rPr>
          <w:color w:val="231F20"/>
          <w:spacing w:val="-16"/>
          <w:w w:val="105"/>
        </w:rPr>
        <w:t> </w:t>
      </w:r>
      <w:r>
        <w:rPr>
          <w:color w:val="231F20"/>
          <w:w w:val="105"/>
        </w:rPr>
        <w:t>and loss</w:t>
      </w:r>
      <w:r>
        <w:rPr>
          <w:color w:val="231F20"/>
          <w:spacing w:val="-16"/>
          <w:w w:val="105"/>
        </w:rPr>
        <w:t> </w:t>
      </w:r>
      <w:r>
        <w:rPr>
          <w:color w:val="231F20"/>
          <w:w w:val="105"/>
        </w:rPr>
        <w:t>of</w:t>
      </w:r>
      <w:r>
        <w:rPr>
          <w:color w:val="231F20"/>
          <w:spacing w:val="-16"/>
          <w:w w:val="105"/>
        </w:rPr>
        <w:t> </w:t>
      </w:r>
      <w:r>
        <w:rPr>
          <w:color w:val="231F20"/>
          <w:w w:val="105"/>
        </w:rPr>
        <w:t>abnormal</w:t>
      </w:r>
      <w:r>
        <w:rPr>
          <w:color w:val="231F20"/>
          <w:spacing w:val="-16"/>
          <w:w w:val="105"/>
        </w:rPr>
        <w:t> </w:t>
      </w:r>
      <w:r>
        <w:rPr>
          <w:color w:val="231F20"/>
          <w:w w:val="105"/>
        </w:rPr>
        <w:t>amounts</w:t>
      </w:r>
      <w:r>
        <w:rPr>
          <w:color w:val="231F20"/>
          <w:spacing w:val="-16"/>
          <w:w w:val="105"/>
        </w:rPr>
        <w:t> </w:t>
      </w:r>
      <w:r>
        <w:rPr>
          <w:color w:val="231F20"/>
          <w:w w:val="105"/>
        </w:rPr>
        <w:t>of</w:t>
      </w:r>
      <w:r>
        <w:rPr>
          <w:color w:val="231F20"/>
          <w:spacing w:val="-15"/>
          <w:w w:val="105"/>
        </w:rPr>
        <w:t> </w:t>
      </w:r>
      <w:r>
        <w:rPr>
          <w:color w:val="231F20"/>
          <w:w w:val="105"/>
        </w:rPr>
        <w:t>fluid</w:t>
      </w:r>
      <w:r>
        <w:rPr>
          <w:color w:val="231F20"/>
          <w:spacing w:val="-16"/>
          <w:w w:val="105"/>
        </w:rPr>
        <w:t> </w:t>
      </w:r>
      <w:r>
        <w:rPr>
          <w:color w:val="231F20"/>
          <w:w w:val="105"/>
        </w:rPr>
        <w:t>by</w:t>
      </w:r>
      <w:r>
        <w:rPr>
          <w:color w:val="231F20"/>
          <w:spacing w:val="-16"/>
          <w:w w:val="105"/>
        </w:rPr>
        <w:t> </w:t>
      </w:r>
      <w:r>
        <w:rPr>
          <w:color w:val="231F20"/>
          <w:w w:val="105"/>
        </w:rPr>
        <w:t>sweating</w:t>
      </w:r>
      <w:r>
        <w:rPr>
          <w:color w:val="231F20"/>
          <w:spacing w:val="-16"/>
          <w:w w:val="105"/>
        </w:rPr>
        <w:t> </w:t>
      </w:r>
      <w:r>
        <w:rPr>
          <w:color w:val="231F20"/>
          <w:w w:val="105"/>
        </w:rPr>
        <w:t>or</w:t>
      </w:r>
      <w:r>
        <w:rPr>
          <w:color w:val="231F20"/>
          <w:spacing w:val="-15"/>
          <w:w w:val="105"/>
        </w:rPr>
        <w:t> </w:t>
      </w:r>
      <w:r>
        <w:rPr>
          <w:color w:val="231F20"/>
          <w:spacing w:val="-4"/>
          <w:w w:val="105"/>
        </w:rPr>
        <w:t>through </w:t>
      </w:r>
      <w:r>
        <w:rPr>
          <w:color w:val="231F20"/>
          <w:w w:val="105"/>
        </w:rPr>
        <w:t>the</w:t>
      </w:r>
      <w:r>
        <w:rPr>
          <w:color w:val="231F20"/>
          <w:spacing w:val="3"/>
          <w:w w:val="105"/>
        </w:rPr>
        <w:t> </w:t>
      </w:r>
      <w:r>
        <w:rPr>
          <w:color w:val="231F20"/>
          <w:w w:val="105"/>
        </w:rPr>
        <w:t>kidneys.</w:t>
      </w:r>
    </w:p>
    <w:p>
      <w:pPr>
        <w:pStyle w:val="BodyText"/>
        <w:spacing w:line="249" w:lineRule="auto" w:before="6"/>
        <w:ind w:left="1080" w:firstLine="240"/>
        <w:jc w:val="both"/>
      </w:pPr>
      <w:r>
        <w:rPr>
          <w:color w:val="231F20"/>
          <w:w w:val="105"/>
        </w:rPr>
        <w:t>One</w:t>
      </w:r>
      <w:r>
        <w:rPr>
          <w:color w:val="231F20"/>
          <w:spacing w:val="-21"/>
          <w:w w:val="105"/>
        </w:rPr>
        <w:t> </w:t>
      </w:r>
      <w:r>
        <w:rPr>
          <w:color w:val="231F20"/>
          <w:w w:val="105"/>
        </w:rPr>
        <w:t>can</w:t>
      </w:r>
      <w:r>
        <w:rPr>
          <w:color w:val="231F20"/>
          <w:spacing w:val="-20"/>
          <w:w w:val="105"/>
        </w:rPr>
        <w:t> </w:t>
      </w:r>
      <w:r>
        <w:rPr>
          <w:color w:val="231F20"/>
          <w:w w:val="105"/>
        </w:rPr>
        <w:t>calculate</w:t>
      </w:r>
      <w:r>
        <w:rPr>
          <w:color w:val="231F20"/>
          <w:spacing w:val="-21"/>
          <w:w w:val="105"/>
        </w:rPr>
        <w:t> </w:t>
      </w:r>
      <w:r>
        <w:rPr>
          <w:color w:val="231F20"/>
          <w:w w:val="105"/>
        </w:rPr>
        <w:t>both</w:t>
      </w:r>
      <w:r>
        <w:rPr>
          <w:color w:val="231F20"/>
          <w:spacing w:val="-20"/>
          <w:w w:val="105"/>
        </w:rPr>
        <w:t> </w:t>
      </w:r>
      <w:r>
        <w:rPr>
          <w:color w:val="231F20"/>
          <w:w w:val="105"/>
        </w:rPr>
        <w:t>the</w:t>
      </w:r>
      <w:r>
        <w:rPr>
          <w:color w:val="231F20"/>
          <w:spacing w:val="-21"/>
          <w:w w:val="105"/>
        </w:rPr>
        <w:t> </w:t>
      </w:r>
      <w:r>
        <w:rPr>
          <w:color w:val="231F20"/>
          <w:w w:val="105"/>
        </w:rPr>
        <w:t>changes</w:t>
      </w:r>
      <w:r>
        <w:rPr>
          <w:color w:val="231F20"/>
          <w:spacing w:val="-20"/>
          <w:w w:val="105"/>
        </w:rPr>
        <w:t> </w:t>
      </w:r>
      <w:r>
        <w:rPr>
          <w:color w:val="231F20"/>
          <w:w w:val="105"/>
        </w:rPr>
        <w:t>in</w:t>
      </w:r>
      <w:r>
        <w:rPr>
          <w:color w:val="231F20"/>
          <w:spacing w:val="-21"/>
          <w:w w:val="105"/>
        </w:rPr>
        <w:t> </w:t>
      </w:r>
      <w:r>
        <w:rPr>
          <w:color w:val="231F20"/>
          <w:w w:val="105"/>
        </w:rPr>
        <w:t>intracellular</w:t>
      </w:r>
      <w:r>
        <w:rPr>
          <w:color w:val="231F20"/>
          <w:spacing w:val="-20"/>
          <w:w w:val="105"/>
        </w:rPr>
        <w:t> </w:t>
      </w:r>
      <w:r>
        <w:rPr>
          <w:color w:val="231F20"/>
          <w:w w:val="105"/>
        </w:rPr>
        <w:t>and extracellular fluid volumes and the types of therapy</w:t>
      </w:r>
      <w:r>
        <w:rPr>
          <w:color w:val="231F20"/>
          <w:spacing w:val="-28"/>
          <w:w w:val="105"/>
        </w:rPr>
        <w:t> </w:t>
      </w:r>
      <w:r>
        <w:rPr>
          <w:color w:val="231F20"/>
          <w:w w:val="105"/>
        </w:rPr>
        <w:t>that should be instituted if the following basic principles </w:t>
      </w:r>
      <w:r>
        <w:rPr>
          <w:color w:val="231F20"/>
          <w:spacing w:val="-5"/>
          <w:w w:val="105"/>
        </w:rPr>
        <w:t>are </w:t>
      </w:r>
      <w:r>
        <w:rPr>
          <w:color w:val="231F20"/>
          <w:w w:val="105"/>
        </w:rPr>
        <w:t>kept in</w:t>
      </w:r>
      <w:r>
        <w:rPr>
          <w:color w:val="231F20"/>
          <w:spacing w:val="6"/>
          <w:w w:val="105"/>
        </w:rPr>
        <w:t> </w:t>
      </w:r>
      <w:r>
        <w:rPr>
          <w:color w:val="231F20"/>
          <w:w w:val="105"/>
        </w:rPr>
        <w:t>mind:</w:t>
      </w:r>
    </w:p>
    <w:p>
      <w:pPr>
        <w:pStyle w:val="ListParagraph"/>
        <w:numPr>
          <w:ilvl w:val="1"/>
          <w:numId w:val="3"/>
        </w:numPr>
        <w:tabs>
          <w:tab w:pos="1563" w:val="left" w:leader="none"/>
        </w:tabs>
        <w:spacing w:line="240" w:lineRule="auto" w:before="3" w:after="0"/>
        <w:ind w:left="1562" w:right="0" w:hanging="243"/>
        <w:jc w:val="both"/>
        <w:rPr>
          <w:i/>
          <w:sz w:val="20"/>
        </w:rPr>
      </w:pPr>
      <w:r>
        <w:rPr>
          <w:i/>
          <w:color w:val="231F20"/>
          <w:spacing w:val="-3"/>
          <w:sz w:val="20"/>
        </w:rPr>
        <w:t>Water </w:t>
      </w:r>
      <w:r>
        <w:rPr>
          <w:i/>
          <w:color w:val="231F20"/>
          <w:sz w:val="20"/>
        </w:rPr>
        <w:t>moves rapidly across cell</w:t>
      </w:r>
      <w:r>
        <w:rPr>
          <w:i/>
          <w:color w:val="231F20"/>
          <w:spacing w:val="39"/>
          <w:sz w:val="20"/>
        </w:rPr>
        <w:t> </w:t>
      </w:r>
      <w:r>
        <w:rPr>
          <w:i/>
          <w:color w:val="231F20"/>
          <w:sz w:val="20"/>
        </w:rPr>
        <w:t>membranes;</w:t>
      </w:r>
    </w:p>
    <w:p>
      <w:pPr>
        <w:pStyle w:val="BodyText"/>
        <w:spacing w:before="10"/>
        <w:ind w:left="1562"/>
        <w:jc w:val="both"/>
      </w:pPr>
      <w:r>
        <w:rPr>
          <w:color w:val="231F20"/>
          <w:w w:val="105"/>
        </w:rPr>
        <w:t>therefore, the osmolarities of intracellular and</w:t>
      </w:r>
    </w:p>
    <w:p>
      <w:pPr>
        <w:pStyle w:val="BodyText"/>
        <w:spacing w:line="249" w:lineRule="auto" w:before="99"/>
        <w:ind w:left="801" w:right="1438"/>
        <w:jc w:val="both"/>
      </w:pPr>
      <w:r>
        <w:rPr/>
        <w:br w:type="column"/>
      </w:r>
      <w:r>
        <w:rPr>
          <w:color w:val="231F20"/>
          <w:w w:val="105"/>
        </w:rPr>
        <w:t>extracellular fluids remain almost exactly equal </w:t>
      </w:r>
      <w:r>
        <w:rPr>
          <w:color w:val="231F20"/>
          <w:spacing w:val="-8"/>
          <w:w w:val="105"/>
        </w:rPr>
        <w:t>to </w:t>
      </w:r>
      <w:r>
        <w:rPr>
          <w:color w:val="231F20"/>
          <w:w w:val="105"/>
        </w:rPr>
        <w:t>each</w:t>
      </w:r>
      <w:r>
        <w:rPr>
          <w:color w:val="231F20"/>
          <w:spacing w:val="-5"/>
          <w:w w:val="105"/>
        </w:rPr>
        <w:t> </w:t>
      </w:r>
      <w:r>
        <w:rPr>
          <w:color w:val="231F20"/>
          <w:w w:val="105"/>
        </w:rPr>
        <w:t>other</w:t>
      </w:r>
      <w:r>
        <w:rPr>
          <w:color w:val="231F20"/>
          <w:spacing w:val="-4"/>
          <w:w w:val="105"/>
        </w:rPr>
        <w:t> </w:t>
      </w:r>
      <w:r>
        <w:rPr>
          <w:color w:val="231F20"/>
          <w:w w:val="105"/>
        </w:rPr>
        <w:t>except</w:t>
      </w:r>
      <w:r>
        <w:rPr>
          <w:color w:val="231F20"/>
          <w:spacing w:val="-5"/>
          <w:w w:val="105"/>
        </w:rPr>
        <w:t> </w:t>
      </w:r>
      <w:r>
        <w:rPr>
          <w:color w:val="231F20"/>
          <w:w w:val="105"/>
        </w:rPr>
        <w:t>for</w:t>
      </w:r>
      <w:r>
        <w:rPr>
          <w:color w:val="231F20"/>
          <w:spacing w:val="-4"/>
          <w:w w:val="105"/>
        </w:rPr>
        <w:t> </w:t>
      </w:r>
      <w:r>
        <w:rPr>
          <w:color w:val="231F20"/>
          <w:w w:val="105"/>
        </w:rPr>
        <w:t>a</w:t>
      </w:r>
      <w:r>
        <w:rPr>
          <w:color w:val="231F20"/>
          <w:spacing w:val="-5"/>
          <w:w w:val="105"/>
        </w:rPr>
        <w:t> </w:t>
      </w:r>
      <w:r>
        <w:rPr>
          <w:color w:val="231F20"/>
          <w:w w:val="105"/>
        </w:rPr>
        <w:t>few</w:t>
      </w:r>
      <w:r>
        <w:rPr>
          <w:color w:val="231F20"/>
          <w:spacing w:val="-4"/>
          <w:w w:val="105"/>
        </w:rPr>
        <w:t> </w:t>
      </w:r>
      <w:r>
        <w:rPr>
          <w:color w:val="231F20"/>
          <w:w w:val="105"/>
        </w:rPr>
        <w:t>minutes</w:t>
      </w:r>
      <w:r>
        <w:rPr>
          <w:color w:val="231F20"/>
          <w:spacing w:val="-4"/>
          <w:w w:val="105"/>
        </w:rPr>
        <w:t> </w:t>
      </w:r>
      <w:r>
        <w:rPr>
          <w:color w:val="231F20"/>
          <w:w w:val="105"/>
        </w:rPr>
        <w:t>after</w:t>
      </w:r>
      <w:r>
        <w:rPr>
          <w:color w:val="231F20"/>
          <w:spacing w:val="-5"/>
          <w:w w:val="105"/>
        </w:rPr>
        <w:t> </w:t>
      </w:r>
      <w:r>
        <w:rPr>
          <w:color w:val="231F20"/>
          <w:w w:val="105"/>
        </w:rPr>
        <w:t>a</w:t>
      </w:r>
      <w:r>
        <w:rPr>
          <w:color w:val="231F20"/>
          <w:spacing w:val="-4"/>
          <w:w w:val="105"/>
        </w:rPr>
        <w:t> </w:t>
      </w:r>
      <w:r>
        <w:rPr>
          <w:color w:val="231F20"/>
          <w:w w:val="105"/>
        </w:rPr>
        <w:t>change in one of the</w:t>
      </w:r>
      <w:r>
        <w:rPr>
          <w:color w:val="231F20"/>
          <w:spacing w:val="13"/>
          <w:w w:val="105"/>
        </w:rPr>
        <w:t> </w:t>
      </w:r>
      <w:r>
        <w:rPr>
          <w:color w:val="231F20"/>
          <w:w w:val="105"/>
        </w:rPr>
        <w:t>compartments.</w:t>
      </w:r>
    </w:p>
    <w:p>
      <w:pPr>
        <w:pStyle w:val="ListParagraph"/>
        <w:numPr>
          <w:ilvl w:val="1"/>
          <w:numId w:val="3"/>
        </w:numPr>
        <w:tabs>
          <w:tab w:pos="802" w:val="left" w:leader="none"/>
        </w:tabs>
        <w:spacing w:line="249" w:lineRule="auto" w:before="3" w:after="0"/>
        <w:ind w:left="801" w:right="1437" w:hanging="243"/>
        <w:jc w:val="both"/>
        <w:rPr>
          <w:sz w:val="20"/>
        </w:rPr>
      </w:pPr>
      <w:r>
        <w:rPr>
          <w:i/>
          <w:color w:val="231F20"/>
          <w:sz w:val="20"/>
        </w:rPr>
        <w:t>Cell membranes are almost completely</w:t>
      </w:r>
      <w:r>
        <w:rPr>
          <w:i/>
          <w:color w:val="231F20"/>
          <w:spacing w:val="-37"/>
          <w:sz w:val="20"/>
        </w:rPr>
        <w:t> </w:t>
      </w:r>
      <w:r>
        <w:rPr>
          <w:i/>
          <w:color w:val="231F20"/>
          <w:sz w:val="20"/>
        </w:rPr>
        <w:t>impermeable </w:t>
      </w:r>
      <w:r>
        <w:rPr>
          <w:i/>
          <w:color w:val="231F20"/>
          <w:w w:val="105"/>
          <w:sz w:val="20"/>
        </w:rPr>
        <w:t>to</w:t>
      </w:r>
      <w:r>
        <w:rPr>
          <w:i/>
          <w:color w:val="231F20"/>
          <w:spacing w:val="-25"/>
          <w:w w:val="105"/>
          <w:sz w:val="20"/>
        </w:rPr>
        <w:t> </w:t>
      </w:r>
      <w:r>
        <w:rPr>
          <w:i/>
          <w:color w:val="231F20"/>
          <w:w w:val="105"/>
          <w:sz w:val="20"/>
        </w:rPr>
        <w:t>many</w:t>
      </w:r>
      <w:r>
        <w:rPr>
          <w:i/>
          <w:color w:val="231F20"/>
          <w:spacing w:val="-25"/>
          <w:w w:val="105"/>
          <w:sz w:val="20"/>
        </w:rPr>
        <w:t> </w:t>
      </w:r>
      <w:r>
        <w:rPr>
          <w:i/>
          <w:color w:val="231F20"/>
          <w:w w:val="105"/>
          <w:sz w:val="20"/>
        </w:rPr>
        <w:t>solutes,</w:t>
      </w:r>
      <w:r>
        <w:rPr>
          <w:i/>
          <w:color w:val="231F20"/>
          <w:spacing w:val="-25"/>
          <w:w w:val="105"/>
          <w:sz w:val="20"/>
        </w:rPr>
        <w:t> </w:t>
      </w:r>
      <w:r>
        <w:rPr>
          <w:color w:val="231F20"/>
          <w:w w:val="105"/>
          <w:sz w:val="20"/>
        </w:rPr>
        <w:t>such</w:t>
      </w:r>
      <w:r>
        <w:rPr>
          <w:color w:val="231F20"/>
          <w:spacing w:val="-24"/>
          <w:w w:val="105"/>
          <w:sz w:val="20"/>
        </w:rPr>
        <w:t> </w:t>
      </w:r>
      <w:r>
        <w:rPr>
          <w:color w:val="231F20"/>
          <w:w w:val="105"/>
          <w:sz w:val="20"/>
        </w:rPr>
        <w:t>as</w:t>
      </w:r>
      <w:r>
        <w:rPr>
          <w:color w:val="231F20"/>
          <w:spacing w:val="-25"/>
          <w:w w:val="105"/>
          <w:sz w:val="20"/>
        </w:rPr>
        <w:t> </w:t>
      </w:r>
      <w:r>
        <w:rPr>
          <w:color w:val="231F20"/>
          <w:w w:val="105"/>
          <w:sz w:val="20"/>
        </w:rPr>
        <w:t>sodium</w:t>
      </w:r>
      <w:r>
        <w:rPr>
          <w:color w:val="231F20"/>
          <w:spacing w:val="-25"/>
          <w:w w:val="105"/>
          <w:sz w:val="20"/>
        </w:rPr>
        <w:t> </w:t>
      </w:r>
      <w:r>
        <w:rPr>
          <w:color w:val="231F20"/>
          <w:w w:val="105"/>
          <w:sz w:val="20"/>
        </w:rPr>
        <w:t>and</w:t>
      </w:r>
      <w:r>
        <w:rPr>
          <w:color w:val="231F20"/>
          <w:spacing w:val="-25"/>
          <w:w w:val="105"/>
          <w:sz w:val="20"/>
        </w:rPr>
        <w:t> </w:t>
      </w:r>
      <w:r>
        <w:rPr>
          <w:color w:val="231F20"/>
          <w:w w:val="105"/>
          <w:sz w:val="20"/>
        </w:rPr>
        <w:t>chloride;</w:t>
      </w:r>
      <w:r>
        <w:rPr>
          <w:color w:val="231F20"/>
          <w:spacing w:val="-24"/>
          <w:w w:val="105"/>
          <w:sz w:val="20"/>
        </w:rPr>
        <w:t> </w:t>
      </w:r>
      <w:r>
        <w:rPr>
          <w:color w:val="231F20"/>
          <w:w w:val="105"/>
          <w:sz w:val="20"/>
        </w:rPr>
        <w:t>there­ fore, the number of osmoles in the extracellular</w:t>
      </w:r>
      <w:r>
        <w:rPr>
          <w:color w:val="231F20"/>
          <w:spacing w:val="-27"/>
          <w:w w:val="105"/>
          <w:sz w:val="20"/>
        </w:rPr>
        <w:t> </w:t>
      </w:r>
      <w:r>
        <w:rPr>
          <w:color w:val="231F20"/>
          <w:w w:val="105"/>
          <w:sz w:val="20"/>
        </w:rPr>
        <w:t>or intracellular</w:t>
      </w:r>
      <w:r>
        <w:rPr>
          <w:color w:val="231F20"/>
          <w:spacing w:val="-31"/>
          <w:w w:val="105"/>
          <w:sz w:val="20"/>
        </w:rPr>
        <w:t> </w:t>
      </w:r>
      <w:r>
        <w:rPr>
          <w:color w:val="231F20"/>
          <w:w w:val="105"/>
          <w:sz w:val="20"/>
        </w:rPr>
        <w:t>fluid</w:t>
      </w:r>
      <w:r>
        <w:rPr>
          <w:color w:val="231F20"/>
          <w:spacing w:val="-31"/>
          <w:w w:val="105"/>
          <w:sz w:val="20"/>
        </w:rPr>
        <w:t> </w:t>
      </w:r>
      <w:r>
        <w:rPr>
          <w:color w:val="231F20"/>
          <w:w w:val="105"/>
          <w:sz w:val="20"/>
        </w:rPr>
        <w:t>generally</w:t>
      </w:r>
      <w:r>
        <w:rPr>
          <w:color w:val="231F20"/>
          <w:spacing w:val="-30"/>
          <w:w w:val="105"/>
          <w:sz w:val="20"/>
        </w:rPr>
        <w:t> </w:t>
      </w:r>
      <w:r>
        <w:rPr>
          <w:color w:val="231F20"/>
          <w:w w:val="105"/>
          <w:sz w:val="20"/>
        </w:rPr>
        <w:t>remains</w:t>
      </w:r>
      <w:r>
        <w:rPr>
          <w:color w:val="231F20"/>
          <w:spacing w:val="-31"/>
          <w:w w:val="105"/>
          <w:sz w:val="20"/>
        </w:rPr>
        <w:t> </w:t>
      </w:r>
      <w:r>
        <w:rPr>
          <w:color w:val="231F20"/>
          <w:w w:val="105"/>
          <w:sz w:val="20"/>
        </w:rPr>
        <w:t>constant</w:t>
      </w:r>
      <w:r>
        <w:rPr>
          <w:color w:val="231F20"/>
          <w:spacing w:val="-30"/>
          <w:w w:val="105"/>
          <w:sz w:val="20"/>
        </w:rPr>
        <w:t> </w:t>
      </w:r>
      <w:r>
        <w:rPr>
          <w:color w:val="231F20"/>
          <w:w w:val="105"/>
          <w:sz w:val="20"/>
        </w:rPr>
        <w:t>unless solutes are added to or lost from the extracellular compartment.</w:t>
      </w:r>
    </w:p>
    <w:p>
      <w:pPr>
        <w:pStyle w:val="BodyText"/>
        <w:spacing w:line="249" w:lineRule="auto" w:before="5"/>
        <w:ind w:left="319" w:right="1439" w:firstLine="240"/>
        <w:jc w:val="both"/>
      </w:pPr>
      <w:r>
        <w:rPr>
          <w:color w:val="231F20"/>
          <w:spacing w:val="-3"/>
        </w:rPr>
        <w:t>With </w:t>
      </w:r>
      <w:r>
        <w:rPr>
          <w:color w:val="231F20"/>
        </w:rPr>
        <w:t>these basic principles in mind, we can </w:t>
      </w:r>
      <w:r>
        <w:rPr>
          <w:color w:val="231F20"/>
          <w:spacing w:val="-3"/>
        </w:rPr>
        <w:t>analyze  </w:t>
      </w:r>
      <w:r>
        <w:rPr>
          <w:color w:val="231F20"/>
        </w:rPr>
        <w:t>the effects of different abnormal fluid conditions on </w:t>
      </w:r>
      <w:r>
        <w:rPr>
          <w:color w:val="231F20"/>
          <w:spacing w:val="-3"/>
        </w:rPr>
        <w:t>extra­ </w:t>
      </w:r>
      <w:r>
        <w:rPr>
          <w:color w:val="231F20"/>
        </w:rPr>
        <w:t>cellular</w:t>
      </w:r>
      <w:r>
        <w:rPr>
          <w:color w:val="231F20"/>
          <w:spacing w:val="16"/>
        </w:rPr>
        <w:t> </w:t>
      </w:r>
      <w:r>
        <w:rPr>
          <w:color w:val="231F20"/>
        </w:rPr>
        <w:t>and</w:t>
      </w:r>
      <w:r>
        <w:rPr>
          <w:color w:val="231F20"/>
          <w:spacing w:val="16"/>
        </w:rPr>
        <w:t> </w:t>
      </w:r>
      <w:r>
        <w:rPr>
          <w:color w:val="231F20"/>
        </w:rPr>
        <w:t>intracellular</w:t>
      </w:r>
      <w:r>
        <w:rPr>
          <w:color w:val="231F20"/>
          <w:spacing w:val="17"/>
        </w:rPr>
        <w:t> </w:t>
      </w:r>
      <w:r>
        <w:rPr>
          <w:color w:val="231F20"/>
        </w:rPr>
        <w:t>fluid</w:t>
      </w:r>
      <w:r>
        <w:rPr>
          <w:color w:val="231F20"/>
          <w:spacing w:val="16"/>
        </w:rPr>
        <w:t> </w:t>
      </w:r>
      <w:r>
        <w:rPr>
          <w:color w:val="231F20"/>
        </w:rPr>
        <w:t>volumes</w:t>
      </w:r>
      <w:r>
        <w:rPr>
          <w:color w:val="231F20"/>
          <w:spacing w:val="17"/>
        </w:rPr>
        <w:t> </w:t>
      </w:r>
      <w:r>
        <w:rPr>
          <w:color w:val="231F20"/>
        </w:rPr>
        <w:t>and</w:t>
      </w:r>
      <w:r>
        <w:rPr>
          <w:color w:val="231F20"/>
          <w:spacing w:val="16"/>
        </w:rPr>
        <w:t> </w:t>
      </w:r>
      <w:r>
        <w:rPr>
          <w:color w:val="231F20"/>
        </w:rPr>
        <w:t>osmolarities.</w:t>
      </w:r>
    </w:p>
    <w:p>
      <w:pPr>
        <w:pStyle w:val="BodyText"/>
        <w:spacing w:before="10"/>
        <w:rPr>
          <w:sz w:val="30"/>
        </w:rPr>
      </w:pPr>
    </w:p>
    <w:p>
      <w:pPr>
        <w:pStyle w:val="Heading2"/>
        <w:spacing w:line="225" w:lineRule="auto"/>
        <w:ind w:right="2063"/>
      </w:pPr>
      <w:r>
        <w:rPr>
          <w:color w:val="231F20"/>
        </w:rPr>
        <w:t>EFFECT OF ADDING SALINE SOLUTION TO THE EXTRACELLULAR FLUID</w:t>
      </w:r>
    </w:p>
    <w:p>
      <w:pPr>
        <w:pStyle w:val="BodyText"/>
        <w:spacing w:line="249" w:lineRule="auto" w:before="127"/>
        <w:ind w:left="319" w:right="1437"/>
        <w:jc w:val="both"/>
      </w:pPr>
      <w:r>
        <w:rPr>
          <w:color w:val="231F20"/>
        </w:rPr>
        <w:t>If </w:t>
      </w:r>
      <w:r>
        <w:rPr>
          <w:i/>
          <w:color w:val="231F20"/>
        </w:rPr>
        <w:t>isotonic </w:t>
      </w:r>
      <w:r>
        <w:rPr>
          <w:color w:val="231F20"/>
        </w:rPr>
        <w:t>saline is added to the extracellular fluid </w:t>
      </w:r>
      <w:r>
        <w:rPr>
          <w:color w:val="231F20"/>
          <w:spacing w:val="-4"/>
        </w:rPr>
        <w:t>com­ </w:t>
      </w:r>
      <w:r>
        <w:rPr>
          <w:color w:val="231F20"/>
        </w:rPr>
        <w:t>partment, the osmolarity of the extracellular fluid does  not change; therefore, no osmosis occurs through the cell membranes. The only effect is an increase in extracellular fluid volume </w:t>
      </w:r>
      <w:r>
        <w:rPr>
          <w:b/>
          <w:color w:val="231F20"/>
        </w:rPr>
        <w:t>(</w:t>
      </w:r>
      <w:hyperlink w:history="true" w:anchor="_bookmark8">
        <w:r>
          <w:rPr>
            <w:b/>
            <w:color w:val="0080AC"/>
          </w:rPr>
          <w:t>Figure 25-6</w:t>
        </w:r>
        <w:r>
          <w:rPr>
            <w:b/>
            <w:i/>
            <w:color w:val="0080AC"/>
          </w:rPr>
          <w:t>A</w:t>
        </w:r>
      </w:hyperlink>
      <w:r>
        <w:rPr>
          <w:color w:val="231F20"/>
        </w:rPr>
        <w:t>). The sodium and </w:t>
      </w:r>
      <w:r>
        <w:rPr>
          <w:color w:val="231F20"/>
          <w:spacing w:val="-3"/>
        </w:rPr>
        <w:t>chloride </w:t>
      </w:r>
      <w:r>
        <w:rPr>
          <w:color w:val="231F20"/>
        </w:rPr>
        <w:t>largely remain in the extracellular fluid because the cell membrane behaves as though it were virtually imperme­ able to the sodium</w:t>
      </w:r>
      <w:r>
        <w:rPr>
          <w:color w:val="231F20"/>
          <w:spacing w:val="29"/>
        </w:rPr>
        <w:t> </w:t>
      </w:r>
      <w:r>
        <w:rPr>
          <w:color w:val="231F20"/>
        </w:rPr>
        <w:t>chloride.</w:t>
      </w:r>
    </w:p>
    <w:p>
      <w:pPr>
        <w:pStyle w:val="BodyText"/>
        <w:spacing w:line="249" w:lineRule="auto" w:before="7"/>
        <w:ind w:left="319" w:right="1437" w:firstLine="240"/>
        <w:jc w:val="right"/>
      </w:pPr>
      <w:r>
        <w:rPr>
          <w:color w:val="231F20"/>
          <w:w w:val="105"/>
        </w:rPr>
        <w:t>If</w:t>
      </w:r>
      <w:r>
        <w:rPr>
          <w:color w:val="231F20"/>
          <w:spacing w:val="11"/>
          <w:w w:val="105"/>
        </w:rPr>
        <w:t> </w:t>
      </w:r>
      <w:r>
        <w:rPr>
          <w:color w:val="231F20"/>
          <w:w w:val="105"/>
        </w:rPr>
        <w:t>a</w:t>
      </w:r>
      <w:r>
        <w:rPr>
          <w:color w:val="231F20"/>
          <w:spacing w:val="12"/>
          <w:w w:val="105"/>
        </w:rPr>
        <w:t> </w:t>
      </w:r>
      <w:r>
        <w:rPr>
          <w:i/>
          <w:color w:val="231F20"/>
          <w:w w:val="105"/>
        </w:rPr>
        <w:t>hypertonic</w:t>
      </w:r>
      <w:r>
        <w:rPr>
          <w:i/>
          <w:color w:val="231F20"/>
          <w:spacing w:val="11"/>
          <w:w w:val="105"/>
        </w:rPr>
        <w:t> </w:t>
      </w:r>
      <w:r>
        <w:rPr>
          <w:color w:val="231F20"/>
          <w:w w:val="105"/>
        </w:rPr>
        <w:t>solution</w:t>
      </w:r>
      <w:r>
        <w:rPr>
          <w:color w:val="231F20"/>
          <w:spacing w:val="12"/>
          <w:w w:val="105"/>
        </w:rPr>
        <w:t> </w:t>
      </w:r>
      <w:r>
        <w:rPr>
          <w:color w:val="231F20"/>
          <w:w w:val="105"/>
        </w:rPr>
        <w:t>is</w:t>
      </w:r>
      <w:r>
        <w:rPr>
          <w:color w:val="231F20"/>
          <w:spacing w:val="11"/>
          <w:w w:val="105"/>
        </w:rPr>
        <w:t> </w:t>
      </w:r>
      <w:r>
        <w:rPr>
          <w:color w:val="231F20"/>
          <w:w w:val="105"/>
        </w:rPr>
        <w:t>added</w:t>
      </w:r>
      <w:r>
        <w:rPr>
          <w:color w:val="231F20"/>
          <w:spacing w:val="12"/>
          <w:w w:val="105"/>
        </w:rPr>
        <w:t> </w:t>
      </w:r>
      <w:r>
        <w:rPr>
          <w:color w:val="231F20"/>
          <w:w w:val="105"/>
        </w:rPr>
        <w:t>to</w:t>
      </w:r>
      <w:r>
        <w:rPr>
          <w:color w:val="231F20"/>
          <w:spacing w:val="11"/>
          <w:w w:val="105"/>
        </w:rPr>
        <w:t> </w:t>
      </w:r>
      <w:r>
        <w:rPr>
          <w:color w:val="231F20"/>
          <w:w w:val="105"/>
        </w:rPr>
        <w:t>the</w:t>
      </w:r>
      <w:r>
        <w:rPr>
          <w:color w:val="231F20"/>
          <w:spacing w:val="12"/>
          <w:w w:val="105"/>
        </w:rPr>
        <w:t> </w:t>
      </w:r>
      <w:r>
        <w:rPr>
          <w:color w:val="231F20"/>
          <w:w w:val="105"/>
        </w:rPr>
        <w:t>extracellular</w:t>
      </w:r>
      <w:r>
        <w:rPr>
          <w:color w:val="231F20"/>
          <w:w w:val="99"/>
        </w:rPr>
        <w:t> </w:t>
      </w:r>
      <w:r>
        <w:rPr>
          <w:color w:val="231F20"/>
          <w:w w:val="105"/>
        </w:rPr>
        <w:t>fluid, the extracellular osmolarity increases</w:t>
      </w:r>
      <w:r>
        <w:rPr>
          <w:color w:val="231F20"/>
          <w:spacing w:val="9"/>
          <w:w w:val="105"/>
        </w:rPr>
        <w:t> </w:t>
      </w:r>
      <w:r>
        <w:rPr>
          <w:color w:val="231F20"/>
          <w:w w:val="105"/>
        </w:rPr>
        <w:t>and</w:t>
      </w:r>
      <w:r>
        <w:rPr>
          <w:color w:val="231F20"/>
          <w:spacing w:val="12"/>
          <w:w w:val="105"/>
        </w:rPr>
        <w:t> </w:t>
      </w:r>
      <w:r>
        <w:rPr>
          <w:color w:val="231F20"/>
          <w:w w:val="105"/>
        </w:rPr>
        <w:t>causes</w:t>
      </w:r>
      <w:r>
        <w:rPr>
          <w:color w:val="231F20"/>
          <w:w w:val="97"/>
        </w:rPr>
        <w:t> </w:t>
      </w:r>
      <w:r>
        <w:rPr>
          <w:color w:val="231F20"/>
          <w:w w:val="105"/>
        </w:rPr>
        <w:t>osmosis</w:t>
      </w:r>
      <w:r>
        <w:rPr>
          <w:color w:val="231F20"/>
          <w:spacing w:val="17"/>
          <w:w w:val="105"/>
        </w:rPr>
        <w:t> </w:t>
      </w:r>
      <w:r>
        <w:rPr>
          <w:color w:val="231F20"/>
          <w:w w:val="105"/>
        </w:rPr>
        <w:t>of</w:t>
      </w:r>
      <w:r>
        <w:rPr>
          <w:color w:val="231F20"/>
          <w:spacing w:val="17"/>
          <w:w w:val="105"/>
        </w:rPr>
        <w:t> </w:t>
      </w:r>
      <w:r>
        <w:rPr>
          <w:color w:val="231F20"/>
          <w:w w:val="105"/>
        </w:rPr>
        <w:t>water</w:t>
      </w:r>
      <w:r>
        <w:rPr>
          <w:color w:val="231F20"/>
          <w:spacing w:val="17"/>
          <w:w w:val="105"/>
        </w:rPr>
        <w:t> </w:t>
      </w:r>
      <w:r>
        <w:rPr>
          <w:color w:val="231F20"/>
          <w:w w:val="105"/>
        </w:rPr>
        <w:t>out</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cells</w:t>
      </w:r>
      <w:r>
        <w:rPr>
          <w:color w:val="231F20"/>
          <w:spacing w:val="18"/>
          <w:w w:val="105"/>
        </w:rPr>
        <w:t> </w:t>
      </w:r>
      <w:r>
        <w:rPr>
          <w:color w:val="231F20"/>
          <w:w w:val="105"/>
        </w:rPr>
        <w:t>into</w:t>
      </w:r>
      <w:r>
        <w:rPr>
          <w:color w:val="231F20"/>
          <w:spacing w:val="17"/>
          <w:w w:val="105"/>
        </w:rPr>
        <w:t> </w:t>
      </w:r>
      <w:r>
        <w:rPr>
          <w:color w:val="231F20"/>
          <w:w w:val="105"/>
        </w:rPr>
        <w:t>the</w:t>
      </w:r>
      <w:r>
        <w:rPr>
          <w:color w:val="231F20"/>
          <w:spacing w:val="17"/>
          <w:w w:val="105"/>
        </w:rPr>
        <w:t> </w:t>
      </w:r>
      <w:r>
        <w:rPr>
          <w:color w:val="231F20"/>
          <w:w w:val="105"/>
        </w:rPr>
        <w:t>extracellular</w:t>
      </w:r>
      <w:r>
        <w:rPr>
          <w:color w:val="231F20"/>
          <w:w w:val="99"/>
        </w:rPr>
        <w:t> </w:t>
      </w:r>
      <w:r>
        <w:rPr>
          <w:color w:val="231F20"/>
          <w:w w:val="105"/>
        </w:rPr>
        <w:t>compartment (see </w:t>
      </w:r>
      <w:hyperlink w:history="true" w:anchor="_bookmark8">
        <w:r>
          <w:rPr>
            <w:b/>
            <w:color w:val="0080AC"/>
            <w:w w:val="105"/>
          </w:rPr>
          <w:t>Figure 25-6</w:t>
        </w:r>
        <w:r>
          <w:rPr>
            <w:b/>
            <w:i/>
            <w:color w:val="0080AC"/>
            <w:w w:val="105"/>
          </w:rPr>
          <w:t>B</w:t>
        </w:r>
      </w:hyperlink>
      <w:r>
        <w:rPr>
          <w:b/>
          <w:color w:val="231F20"/>
          <w:w w:val="105"/>
        </w:rPr>
        <w:t>). </w:t>
      </w:r>
      <w:r>
        <w:rPr>
          <w:color w:val="231F20"/>
          <w:w w:val="105"/>
        </w:rPr>
        <w:t>Again, almost</w:t>
      </w:r>
      <w:r>
        <w:rPr>
          <w:color w:val="231F20"/>
          <w:spacing w:val="25"/>
          <w:w w:val="105"/>
        </w:rPr>
        <w:t> </w:t>
      </w:r>
      <w:r>
        <w:rPr>
          <w:color w:val="231F20"/>
          <w:w w:val="105"/>
        </w:rPr>
        <w:t>all</w:t>
      </w:r>
      <w:r>
        <w:rPr>
          <w:color w:val="231F20"/>
          <w:spacing w:val="5"/>
          <w:w w:val="105"/>
        </w:rPr>
        <w:t> </w:t>
      </w:r>
      <w:r>
        <w:rPr>
          <w:color w:val="231F20"/>
          <w:spacing w:val="-5"/>
          <w:w w:val="105"/>
        </w:rPr>
        <w:t>the</w:t>
      </w:r>
      <w:r>
        <w:rPr>
          <w:color w:val="231F20"/>
          <w:w w:val="104"/>
        </w:rPr>
        <w:t> </w:t>
      </w:r>
      <w:r>
        <w:rPr>
          <w:color w:val="231F20"/>
          <w:w w:val="105"/>
        </w:rPr>
        <w:t>added</w:t>
      </w:r>
      <w:r>
        <w:rPr>
          <w:color w:val="231F20"/>
          <w:spacing w:val="-11"/>
          <w:w w:val="105"/>
        </w:rPr>
        <w:t> </w:t>
      </w:r>
      <w:r>
        <w:rPr>
          <w:color w:val="231F20"/>
          <w:w w:val="105"/>
        </w:rPr>
        <w:t>sodium</w:t>
      </w:r>
      <w:r>
        <w:rPr>
          <w:color w:val="231F20"/>
          <w:spacing w:val="-10"/>
          <w:w w:val="105"/>
        </w:rPr>
        <w:t> </w:t>
      </w:r>
      <w:r>
        <w:rPr>
          <w:color w:val="231F20"/>
          <w:w w:val="105"/>
        </w:rPr>
        <w:t>chloride</w:t>
      </w:r>
      <w:r>
        <w:rPr>
          <w:color w:val="231F20"/>
          <w:spacing w:val="-10"/>
          <w:w w:val="105"/>
        </w:rPr>
        <w:t> </w:t>
      </w:r>
      <w:r>
        <w:rPr>
          <w:color w:val="231F20"/>
          <w:w w:val="105"/>
        </w:rPr>
        <w:t>remains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extracellular</w:t>
      </w:r>
      <w:r>
        <w:rPr>
          <w:color w:val="231F20"/>
          <w:spacing w:val="-10"/>
          <w:w w:val="105"/>
        </w:rPr>
        <w:t> </w:t>
      </w:r>
      <w:r>
        <w:rPr>
          <w:color w:val="231F20"/>
          <w:w w:val="105"/>
        </w:rPr>
        <w:t>com­</w:t>
      </w:r>
      <w:r>
        <w:rPr>
          <w:color w:val="231F20"/>
          <w:w w:val="109"/>
        </w:rPr>
        <w:t> </w:t>
      </w:r>
      <w:r>
        <w:rPr>
          <w:color w:val="231F20"/>
          <w:w w:val="105"/>
        </w:rPr>
        <w:t>partment and fluid diffuses from the cells into</w:t>
      </w:r>
      <w:r>
        <w:rPr>
          <w:color w:val="231F20"/>
          <w:spacing w:val="-31"/>
          <w:w w:val="105"/>
        </w:rPr>
        <w:t> </w:t>
      </w:r>
      <w:r>
        <w:rPr>
          <w:color w:val="231F20"/>
          <w:w w:val="105"/>
        </w:rPr>
        <w:t>the</w:t>
      </w:r>
      <w:r>
        <w:rPr>
          <w:color w:val="231F20"/>
          <w:spacing w:val="-4"/>
          <w:w w:val="105"/>
        </w:rPr>
        <w:t> </w:t>
      </w:r>
      <w:r>
        <w:rPr>
          <w:color w:val="231F20"/>
          <w:w w:val="105"/>
        </w:rPr>
        <w:t>extra­</w:t>
      </w:r>
      <w:r>
        <w:rPr>
          <w:color w:val="231F20"/>
          <w:w w:val="109"/>
        </w:rPr>
        <w:t> </w:t>
      </w:r>
      <w:r>
        <w:rPr>
          <w:color w:val="231F20"/>
          <w:w w:val="105"/>
        </w:rPr>
        <w:t>cellular</w:t>
      </w:r>
      <w:r>
        <w:rPr>
          <w:color w:val="231F20"/>
          <w:spacing w:val="18"/>
          <w:w w:val="105"/>
        </w:rPr>
        <w:t> </w:t>
      </w:r>
      <w:r>
        <w:rPr>
          <w:color w:val="231F20"/>
          <w:w w:val="105"/>
        </w:rPr>
        <w:t>space</w:t>
      </w:r>
      <w:r>
        <w:rPr>
          <w:color w:val="231F20"/>
          <w:spacing w:val="18"/>
          <w:w w:val="105"/>
        </w:rPr>
        <w:t> </w:t>
      </w:r>
      <w:r>
        <w:rPr>
          <w:color w:val="231F20"/>
          <w:w w:val="105"/>
        </w:rPr>
        <w:t>to</w:t>
      </w:r>
      <w:r>
        <w:rPr>
          <w:color w:val="231F20"/>
          <w:spacing w:val="18"/>
          <w:w w:val="105"/>
        </w:rPr>
        <w:t> </w:t>
      </w:r>
      <w:r>
        <w:rPr>
          <w:color w:val="231F20"/>
          <w:w w:val="105"/>
        </w:rPr>
        <w:t>achieve</w:t>
      </w:r>
      <w:r>
        <w:rPr>
          <w:color w:val="231F20"/>
          <w:spacing w:val="18"/>
          <w:w w:val="105"/>
        </w:rPr>
        <w:t> </w:t>
      </w:r>
      <w:r>
        <w:rPr>
          <w:color w:val="231F20"/>
          <w:w w:val="105"/>
        </w:rPr>
        <w:t>osmotic</w:t>
      </w:r>
      <w:r>
        <w:rPr>
          <w:color w:val="231F20"/>
          <w:spacing w:val="18"/>
          <w:w w:val="105"/>
        </w:rPr>
        <w:t> </w:t>
      </w:r>
      <w:r>
        <w:rPr>
          <w:color w:val="231F20"/>
          <w:w w:val="105"/>
        </w:rPr>
        <w:t>equilibrium.</w:t>
      </w:r>
      <w:r>
        <w:rPr>
          <w:color w:val="231F20"/>
          <w:spacing w:val="18"/>
          <w:w w:val="105"/>
        </w:rPr>
        <w:t> </w:t>
      </w:r>
      <w:r>
        <w:rPr>
          <w:color w:val="231F20"/>
          <w:w w:val="105"/>
        </w:rPr>
        <w:t>The</w:t>
      </w:r>
      <w:r>
        <w:rPr>
          <w:color w:val="231F20"/>
          <w:spacing w:val="19"/>
          <w:w w:val="105"/>
        </w:rPr>
        <w:t> </w:t>
      </w:r>
      <w:r>
        <w:rPr>
          <w:color w:val="231F20"/>
          <w:spacing w:val="-4"/>
          <w:w w:val="105"/>
        </w:rPr>
        <w:t>net</w:t>
      </w:r>
      <w:r>
        <w:rPr>
          <w:color w:val="231F20"/>
          <w:w w:val="116"/>
        </w:rPr>
        <w:t> </w:t>
      </w:r>
      <w:r>
        <w:rPr>
          <w:color w:val="231F20"/>
          <w:w w:val="105"/>
        </w:rPr>
        <w:t>effect</w:t>
      </w:r>
      <w:r>
        <w:rPr>
          <w:color w:val="231F20"/>
          <w:spacing w:val="-15"/>
          <w:w w:val="105"/>
        </w:rPr>
        <w:t> </w:t>
      </w:r>
      <w:r>
        <w:rPr>
          <w:color w:val="231F20"/>
          <w:w w:val="105"/>
        </w:rPr>
        <w:t>is</w:t>
      </w:r>
      <w:r>
        <w:rPr>
          <w:color w:val="231F20"/>
          <w:spacing w:val="-14"/>
          <w:w w:val="105"/>
        </w:rPr>
        <w:t> </w:t>
      </w:r>
      <w:r>
        <w:rPr>
          <w:color w:val="231F20"/>
          <w:w w:val="105"/>
        </w:rPr>
        <w:t>an</w:t>
      </w:r>
      <w:r>
        <w:rPr>
          <w:color w:val="231F20"/>
          <w:spacing w:val="-14"/>
          <w:w w:val="105"/>
        </w:rPr>
        <w:t> </w:t>
      </w:r>
      <w:r>
        <w:rPr>
          <w:color w:val="231F20"/>
          <w:w w:val="105"/>
        </w:rPr>
        <w:t>increase</w:t>
      </w:r>
      <w:r>
        <w:rPr>
          <w:color w:val="231F20"/>
          <w:spacing w:val="-14"/>
          <w:w w:val="105"/>
        </w:rPr>
        <w:t> </w:t>
      </w:r>
      <w:r>
        <w:rPr>
          <w:color w:val="231F20"/>
          <w:w w:val="105"/>
        </w:rPr>
        <w:t>in</w:t>
      </w:r>
      <w:r>
        <w:rPr>
          <w:color w:val="231F20"/>
          <w:spacing w:val="-14"/>
          <w:w w:val="105"/>
        </w:rPr>
        <w:t> </w:t>
      </w:r>
      <w:r>
        <w:rPr>
          <w:color w:val="231F20"/>
          <w:w w:val="105"/>
        </w:rPr>
        <w:t>extracellular</w:t>
      </w:r>
      <w:r>
        <w:rPr>
          <w:color w:val="231F20"/>
          <w:spacing w:val="-14"/>
          <w:w w:val="105"/>
        </w:rPr>
        <w:t> </w:t>
      </w:r>
      <w:r>
        <w:rPr>
          <w:color w:val="231F20"/>
          <w:w w:val="105"/>
        </w:rPr>
        <w:t>volume</w:t>
      </w:r>
      <w:r>
        <w:rPr>
          <w:color w:val="231F20"/>
          <w:spacing w:val="-15"/>
          <w:w w:val="105"/>
        </w:rPr>
        <w:t> </w:t>
      </w:r>
      <w:r>
        <w:rPr>
          <w:color w:val="231F20"/>
          <w:w w:val="105"/>
        </w:rPr>
        <w:t>(greater</w:t>
      </w:r>
      <w:r>
        <w:rPr>
          <w:color w:val="231F20"/>
          <w:spacing w:val="-14"/>
          <w:w w:val="105"/>
        </w:rPr>
        <w:t> </w:t>
      </w:r>
      <w:r>
        <w:rPr>
          <w:color w:val="231F20"/>
          <w:w w:val="105"/>
        </w:rPr>
        <w:t>than</w:t>
      </w:r>
      <w:r>
        <w:rPr>
          <w:color w:val="231F20"/>
          <w:w w:val="106"/>
        </w:rPr>
        <w:t> </w:t>
      </w:r>
      <w:r>
        <w:rPr>
          <w:color w:val="231F20"/>
          <w:w w:val="105"/>
        </w:rPr>
        <w:t>the</w:t>
      </w:r>
      <w:r>
        <w:rPr>
          <w:color w:val="231F20"/>
          <w:spacing w:val="20"/>
          <w:w w:val="105"/>
        </w:rPr>
        <w:t> </w:t>
      </w:r>
      <w:r>
        <w:rPr>
          <w:color w:val="231F20"/>
          <w:w w:val="105"/>
        </w:rPr>
        <w:t>volume</w:t>
      </w:r>
      <w:r>
        <w:rPr>
          <w:color w:val="231F20"/>
          <w:spacing w:val="21"/>
          <w:w w:val="105"/>
        </w:rPr>
        <w:t> </w:t>
      </w:r>
      <w:r>
        <w:rPr>
          <w:color w:val="231F20"/>
          <w:w w:val="105"/>
        </w:rPr>
        <w:t>of</w:t>
      </w:r>
      <w:r>
        <w:rPr>
          <w:color w:val="231F20"/>
          <w:spacing w:val="21"/>
          <w:w w:val="105"/>
        </w:rPr>
        <w:t> </w:t>
      </w:r>
      <w:r>
        <w:rPr>
          <w:color w:val="231F20"/>
          <w:w w:val="105"/>
        </w:rPr>
        <w:t>fluid</w:t>
      </w:r>
      <w:r>
        <w:rPr>
          <w:color w:val="231F20"/>
          <w:spacing w:val="21"/>
          <w:w w:val="105"/>
        </w:rPr>
        <w:t> </w:t>
      </w:r>
      <w:r>
        <w:rPr>
          <w:color w:val="231F20"/>
          <w:w w:val="105"/>
        </w:rPr>
        <w:t>added),</w:t>
      </w:r>
      <w:r>
        <w:rPr>
          <w:color w:val="231F20"/>
          <w:spacing w:val="21"/>
          <w:w w:val="105"/>
        </w:rPr>
        <w:t> </w:t>
      </w:r>
      <w:r>
        <w:rPr>
          <w:color w:val="231F20"/>
          <w:w w:val="105"/>
        </w:rPr>
        <w:t>a</w:t>
      </w:r>
      <w:r>
        <w:rPr>
          <w:color w:val="231F20"/>
          <w:spacing w:val="21"/>
          <w:w w:val="105"/>
        </w:rPr>
        <w:t> </w:t>
      </w:r>
      <w:r>
        <w:rPr>
          <w:color w:val="231F20"/>
          <w:w w:val="105"/>
        </w:rPr>
        <w:t>decrease</w:t>
      </w:r>
      <w:r>
        <w:rPr>
          <w:color w:val="231F20"/>
          <w:spacing w:val="21"/>
          <w:w w:val="105"/>
        </w:rPr>
        <w:t> </w:t>
      </w:r>
      <w:r>
        <w:rPr>
          <w:color w:val="231F20"/>
          <w:w w:val="105"/>
        </w:rPr>
        <w:t>in</w:t>
      </w:r>
      <w:r>
        <w:rPr>
          <w:color w:val="231F20"/>
          <w:spacing w:val="21"/>
          <w:w w:val="105"/>
        </w:rPr>
        <w:t> </w:t>
      </w:r>
      <w:r>
        <w:rPr>
          <w:color w:val="231F20"/>
          <w:w w:val="105"/>
        </w:rPr>
        <w:t>intracellular</w:t>
      </w:r>
      <w:r>
        <w:rPr>
          <w:color w:val="231F20"/>
          <w:w w:val="99"/>
        </w:rPr>
        <w:t> </w:t>
      </w:r>
      <w:r>
        <w:rPr>
          <w:color w:val="231F20"/>
          <w:w w:val="105"/>
        </w:rPr>
        <w:t>volume, and a rise in osmolarity in</w:t>
      </w:r>
      <w:r>
        <w:rPr>
          <w:color w:val="231F20"/>
          <w:spacing w:val="-26"/>
          <w:w w:val="105"/>
        </w:rPr>
        <w:t> </w:t>
      </w:r>
      <w:r>
        <w:rPr>
          <w:color w:val="231F20"/>
          <w:w w:val="105"/>
        </w:rPr>
        <w:t>both</w:t>
      </w:r>
      <w:r>
        <w:rPr>
          <w:color w:val="231F20"/>
          <w:spacing w:val="-4"/>
          <w:w w:val="105"/>
        </w:rPr>
        <w:t> </w:t>
      </w:r>
      <w:r>
        <w:rPr>
          <w:color w:val="231F20"/>
          <w:w w:val="105"/>
        </w:rPr>
        <w:t>compartments.</w:t>
      </w:r>
      <w:r>
        <w:rPr>
          <w:color w:val="231F20"/>
          <w:w w:val="88"/>
        </w:rPr>
        <w:t> </w:t>
      </w:r>
      <w:r>
        <w:rPr>
          <w:color w:val="231F20"/>
          <w:w w:val="105"/>
        </w:rPr>
        <w:t>If</w:t>
      </w:r>
      <w:r>
        <w:rPr>
          <w:color w:val="231F20"/>
          <w:spacing w:val="20"/>
          <w:w w:val="105"/>
        </w:rPr>
        <w:t> </w:t>
      </w:r>
      <w:r>
        <w:rPr>
          <w:color w:val="231F20"/>
          <w:w w:val="105"/>
        </w:rPr>
        <w:t>a</w:t>
      </w:r>
      <w:r>
        <w:rPr>
          <w:color w:val="231F20"/>
          <w:spacing w:val="20"/>
          <w:w w:val="105"/>
        </w:rPr>
        <w:t> </w:t>
      </w:r>
      <w:r>
        <w:rPr>
          <w:i/>
          <w:color w:val="231F20"/>
          <w:w w:val="105"/>
        </w:rPr>
        <w:t>hypotonic</w:t>
      </w:r>
      <w:r>
        <w:rPr>
          <w:i/>
          <w:color w:val="231F20"/>
          <w:spacing w:val="20"/>
          <w:w w:val="105"/>
        </w:rPr>
        <w:t> </w:t>
      </w:r>
      <w:r>
        <w:rPr>
          <w:color w:val="231F20"/>
          <w:w w:val="105"/>
        </w:rPr>
        <w:t>solution</w:t>
      </w:r>
      <w:r>
        <w:rPr>
          <w:color w:val="231F20"/>
          <w:spacing w:val="20"/>
          <w:w w:val="105"/>
        </w:rPr>
        <w:t> </w:t>
      </w:r>
      <w:r>
        <w:rPr>
          <w:color w:val="231F20"/>
          <w:w w:val="105"/>
        </w:rPr>
        <w:t>is</w:t>
      </w:r>
      <w:r>
        <w:rPr>
          <w:color w:val="231F20"/>
          <w:spacing w:val="20"/>
          <w:w w:val="105"/>
        </w:rPr>
        <w:t> </w:t>
      </w:r>
      <w:r>
        <w:rPr>
          <w:color w:val="231F20"/>
          <w:w w:val="105"/>
        </w:rPr>
        <w:t>added</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extracellular</w:t>
      </w:r>
      <w:r>
        <w:rPr>
          <w:color w:val="231F20"/>
          <w:w w:val="99"/>
        </w:rPr>
        <w:t> </w:t>
      </w:r>
      <w:r>
        <w:rPr>
          <w:color w:val="231F20"/>
          <w:w w:val="105"/>
        </w:rPr>
        <w:t>fluid, the osmolarity of the extracellular</w:t>
      </w:r>
      <w:r>
        <w:rPr>
          <w:color w:val="231F20"/>
          <w:spacing w:val="13"/>
          <w:w w:val="105"/>
        </w:rPr>
        <w:t> </w:t>
      </w:r>
      <w:r>
        <w:rPr>
          <w:color w:val="231F20"/>
          <w:w w:val="105"/>
        </w:rPr>
        <w:t>fluid</w:t>
      </w:r>
      <w:r>
        <w:rPr>
          <w:color w:val="231F20"/>
          <w:spacing w:val="3"/>
          <w:w w:val="105"/>
        </w:rPr>
        <w:t> </w:t>
      </w:r>
      <w:r>
        <w:rPr>
          <w:color w:val="231F20"/>
          <w:w w:val="105"/>
        </w:rPr>
        <w:t>decreases</w:t>
      </w:r>
      <w:r>
        <w:rPr>
          <w:color w:val="231F20"/>
          <w:w w:val="97"/>
        </w:rPr>
        <w:t> </w:t>
      </w:r>
      <w:r>
        <w:rPr>
          <w:color w:val="231F20"/>
          <w:w w:val="105"/>
        </w:rPr>
        <w:t>and</w:t>
      </w:r>
      <w:r>
        <w:rPr>
          <w:color w:val="231F20"/>
          <w:spacing w:val="-15"/>
          <w:w w:val="105"/>
        </w:rPr>
        <w:t> </w:t>
      </w:r>
      <w:r>
        <w:rPr>
          <w:color w:val="231F20"/>
          <w:w w:val="105"/>
        </w:rPr>
        <w:t>some</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4"/>
          <w:w w:val="105"/>
        </w:rPr>
        <w:t> </w:t>
      </w:r>
      <w:r>
        <w:rPr>
          <w:color w:val="231F20"/>
          <w:w w:val="105"/>
        </w:rPr>
        <w:t>extracellular</w:t>
      </w:r>
      <w:r>
        <w:rPr>
          <w:color w:val="231F20"/>
          <w:spacing w:val="-15"/>
          <w:w w:val="105"/>
        </w:rPr>
        <w:t> </w:t>
      </w:r>
      <w:r>
        <w:rPr>
          <w:color w:val="231F20"/>
          <w:w w:val="105"/>
        </w:rPr>
        <w:t>water</w:t>
      </w:r>
      <w:r>
        <w:rPr>
          <w:color w:val="231F20"/>
          <w:spacing w:val="-15"/>
          <w:w w:val="105"/>
        </w:rPr>
        <w:t> </w:t>
      </w:r>
      <w:r>
        <w:rPr>
          <w:color w:val="231F20"/>
          <w:w w:val="105"/>
        </w:rPr>
        <w:t>diffuses</w:t>
      </w:r>
      <w:r>
        <w:rPr>
          <w:color w:val="231F20"/>
          <w:spacing w:val="-14"/>
          <w:w w:val="105"/>
        </w:rPr>
        <w:t> </w:t>
      </w:r>
      <w:r>
        <w:rPr>
          <w:color w:val="231F20"/>
          <w:w w:val="105"/>
        </w:rPr>
        <w:t>into</w:t>
      </w:r>
      <w:r>
        <w:rPr>
          <w:color w:val="231F20"/>
          <w:spacing w:val="-15"/>
          <w:w w:val="105"/>
        </w:rPr>
        <w:t> </w:t>
      </w:r>
      <w:r>
        <w:rPr>
          <w:color w:val="231F20"/>
          <w:w w:val="105"/>
        </w:rPr>
        <w:t>the</w:t>
      </w:r>
      <w:r>
        <w:rPr>
          <w:color w:val="231F20"/>
          <w:spacing w:val="-15"/>
          <w:w w:val="105"/>
        </w:rPr>
        <w:t> </w:t>
      </w:r>
      <w:r>
        <w:rPr>
          <w:color w:val="231F20"/>
          <w:w w:val="105"/>
        </w:rPr>
        <w:t>cells</w:t>
      </w:r>
      <w:r>
        <w:rPr>
          <w:color w:val="231F20"/>
          <w:w w:val="93"/>
        </w:rPr>
        <w:t> </w:t>
      </w:r>
      <w:r>
        <w:rPr>
          <w:color w:val="231F20"/>
          <w:w w:val="105"/>
        </w:rPr>
        <w:t>until the intracellular and</w:t>
      </w:r>
      <w:r>
        <w:rPr>
          <w:color w:val="231F20"/>
          <w:spacing w:val="11"/>
          <w:w w:val="105"/>
        </w:rPr>
        <w:t> </w:t>
      </w:r>
      <w:r>
        <w:rPr>
          <w:color w:val="231F20"/>
          <w:w w:val="105"/>
        </w:rPr>
        <w:t>extracellular</w:t>
      </w:r>
      <w:r>
        <w:rPr>
          <w:color w:val="231F20"/>
          <w:spacing w:val="43"/>
          <w:w w:val="105"/>
        </w:rPr>
        <w:t> </w:t>
      </w:r>
      <w:r>
        <w:rPr>
          <w:color w:val="231F20"/>
          <w:w w:val="105"/>
        </w:rPr>
        <w:t>compartments</w:t>
      </w:r>
      <w:r>
        <w:rPr>
          <w:color w:val="231F20"/>
          <w:w w:val="97"/>
        </w:rPr>
        <w:t> </w:t>
      </w:r>
      <w:r>
        <w:rPr>
          <w:color w:val="231F20"/>
          <w:w w:val="105"/>
        </w:rPr>
        <w:t>have the same osmolarity (see </w:t>
      </w:r>
      <w:hyperlink w:history="true" w:anchor="_bookmark8">
        <w:r>
          <w:rPr>
            <w:b/>
            <w:color w:val="0080AC"/>
            <w:w w:val="105"/>
          </w:rPr>
          <w:t>Figure 25-6</w:t>
        </w:r>
        <w:r>
          <w:rPr>
            <w:b/>
            <w:i/>
            <w:color w:val="0080AC"/>
            <w:w w:val="105"/>
          </w:rPr>
          <w:t>C</w:t>
        </w:r>
      </w:hyperlink>
      <w:r>
        <w:rPr>
          <w:color w:val="231F20"/>
          <w:w w:val="105"/>
        </w:rPr>
        <w:t>).</w:t>
      </w:r>
      <w:r>
        <w:rPr>
          <w:color w:val="231F20"/>
          <w:spacing w:val="20"/>
          <w:w w:val="105"/>
        </w:rPr>
        <w:t> </w:t>
      </w:r>
      <w:r>
        <w:rPr>
          <w:color w:val="231F20"/>
          <w:w w:val="105"/>
        </w:rPr>
        <w:t>Both</w:t>
      </w:r>
      <w:r>
        <w:rPr>
          <w:color w:val="231F20"/>
          <w:spacing w:val="3"/>
          <w:w w:val="105"/>
        </w:rPr>
        <w:t> </w:t>
      </w:r>
      <w:r>
        <w:rPr>
          <w:color w:val="231F20"/>
          <w:w w:val="105"/>
        </w:rPr>
        <w:t>the</w:t>
      </w:r>
      <w:r>
        <w:rPr>
          <w:color w:val="231F20"/>
          <w:w w:val="104"/>
        </w:rPr>
        <w:t> </w:t>
      </w:r>
      <w:r>
        <w:rPr>
          <w:color w:val="231F20"/>
          <w:w w:val="105"/>
        </w:rPr>
        <w:t>intracellular and the extracellular volumes</w:t>
      </w:r>
      <w:r>
        <w:rPr>
          <w:color w:val="231F20"/>
          <w:spacing w:val="-24"/>
          <w:w w:val="105"/>
        </w:rPr>
        <w:t> </w:t>
      </w:r>
      <w:r>
        <w:rPr>
          <w:color w:val="231F20"/>
          <w:w w:val="105"/>
        </w:rPr>
        <w:t>are</w:t>
      </w:r>
      <w:r>
        <w:rPr>
          <w:color w:val="231F20"/>
          <w:spacing w:val="-4"/>
          <w:w w:val="105"/>
        </w:rPr>
        <w:t> </w:t>
      </w:r>
      <w:r>
        <w:rPr>
          <w:color w:val="231F20"/>
          <w:w w:val="105"/>
        </w:rPr>
        <w:t>increased</w:t>
      </w:r>
      <w:r>
        <w:rPr>
          <w:color w:val="231F20"/>
          <w:w w:val="105"/>
        </w:rPr>
        <w:t> </w:t>
      </w:r>
      <w:r>
        <w:rPr>
          <w:color w:val="231F20"/>
          <w:w w:val="105"/>
        </w:rPr>
        <w:t>by</w:t>
      </w:r>
      <w:r>
        <w:rPr>
          <w:color w:val="231F20"/>
          <w:spacing w:val="-8"/>
          <w:w w:val="105"/>
        </w:rPr>
        <w:t> </w:t>
      </w:r>
      <w:r>
        <w:rPr>
          <w:color w:val="231F20"/>
          <w:w w:val="105"/>
        </w:rPr>
        <w:t>the</w:t>
      </w:r>
      <w:r>
        <w:rPr>
          <w:color w:val="231F20"/>
          <w:spacing w:val="-8"/>
          <w:w w:val="105"/>
        </w:rPr>
        <w:t> </w:t>
      </w:r>
      <w:r>
        <w:rPr>
          <w:color w:val="231F20"/>
          <w:w w:val="105"/>
        </w:rPr>
        <w:t>addition</w:t>
      </w:r>
      <w:r>
        <w:rPr>
          <w:color w:val="231F20"/>
          <w:spacing w:val="-7"/>
          <w:w w:val="105"/>
        </w:rPr>
        <w:t> </w:t>
      </w:r>
      <w:r>
        <w:rPr>
          <w:color w:val="231F20"/>
          <w:w w:val="105"/>
        </w:rPr>
        <w:t>of</w:t>
      </w:r>
      <w:r>
        <w:rPr>
          <w:color w:val="231F20"/>
          <w:spacing w:val="-8"/>
          <w:w w:val="105"/>
        </w:rPr>
        <w:t> </w:t>
      </w:r>
      <w:r>
        <w:rPr>
          <w:color w:val="231F20"/>
          <w:w w:val="105"/>
        </w:rPr>
        <w:t>hypotonic</w:t>
      </w:r>
      <w:r>
        <w:rPr>
          <w:color w:val="231F20"/>
          <w:spacing w:val="-8"/>
          <w:w w:val="105"/>
        </w:rPr>
        <w:t> </w:t>
      </w:r>
      <w:r>
        <w:rPr>
          <w:color w:val="231F20"/>
          <w:w w:val="105"/>
        </w:rPr>
        <w:t>fluid,</w:t>
      </w:r>
      <w:r>
        <w:rPr>
          <w:color w:val="231F20"/>
          <w:spacing w:val="-7"/>
          <w:w w:val="105"/>
        </w:rPr>
        <w:t> </w:t>
      </w:r>
      <w:r>
        <w:rPr>
          <w:color w:val="231F20"/>
          <w:w w:val="105"/>
        </w:rPr>
        <w:t>although</w:t>
      </w:r>
      <w:r>
        <w:rPr>
          <w:color w:val="231F20"/>
          <w:spacing w:val="-8"/>
          <w:w w:val="105"/>
        </w:rPr>
        <w:t> </w:t>
      </w:r>
      <w:r>
        <w:rPr>
          <w:color w:val="231F20"/>
          <w:w w:val="105"/>
        </w:rPr>
        <w:t>the</w:t>
      </w:r>
      <w:r>
        <w:rPr>
          <w:color w:val="231F20"/>
          <w:spacing w:val="-7"/>
          <w:w w:val="105"/>
        </w:rPr>
        <w:t> </w:t>
      </w:r>
      <w:r>
        <w:rPr>
          <w:color w:val="231F20"/>
          <w:w w:val="105"/>
        </w:rPr>
        <w:t>intracel­</w:t>
      </w:r>
    </w:p>
    <w:p>
      <w:pPr>
        <w:pStyle w:val="BodyText"/>
        <w:spacing w:before="14"/>
        <w:ind w:left="319"/>
        <w:jc w:val="both"/>
      </w:pPr>
      <w:r>
        <w:rPr>
          <w:color w:val="231F20"/>
          <w:w w:val="105"/>
        </w:rPr>
        <w:t>lular volume increases to a greater extent.</w:t>
      </w:r>
    </w:p>
    <w:p>
      <w:pPr>
        <w:pStyle w:val="BodyText"/>
        <w:spacing w:before="5"/>
        <w:rPr>
          <w:sz w:val="22"/>
        </w:rPr>
      </w:pPr>
    </w:p>
    <w:p>
      <w:pPr>
        <w:pStyle w:val="BodyText"/>
        <w:spacing w:line="249" w:lineRule="auto"/>
        <w:ind w:left="319" w:right="1437"/>
        <w:jc w:val="both"/>
      </w:pPr>
      <w:r>
        <w:rPr>
          <w:rFonts w:ascii="Trebuchet MS" w:hAnsi="Trebuchet MS"/>
          <w:b/>
          <w:color w:val="231F20"/>
          <w:sz w:val="19"/>
        </w:rPr>
        <w:t>Calculation of Fluid Shifts and Osmolarities </w:t>
      </w:r>
      <w:r>
        <w:rPr>
          <w:rFonts w:ascii="Trebuchet MS" w:hAnsi="Trebuchet MS"/>
          <w:b/>
          <w:color w:val="231F20"/>
          <w:spacing w:val="-3"/>
          <w:sz w:val="19"/>
        </w:rPr>
        <w:t>After </w:t>
      </w:r>
      <w:r>
        <w:rPr>
          <w:rFonts w:ascii="Trebuchet MS" w:hAnsi="Trebuchet MS"/>
          <w:b/>
          <w:color w:val="231F20"/>
          <w:sz w:val="19"/>
        </w:rPr>
        <w:t>Infusion of Hypertonic Saline Solution. </w:t>
      </w:r>
      <w:r>
        <w:rPr>
          <w:color w:val="231F20"/>
          <w:spacing w:val="-8"/>
        </w:rPr>
        <w:t>We </w:t>
      </w:r>
      <w:r>
        <w:rPr>
          <w:color w:val="231F20"/>
        </w:rPr>
        <w:t>can calcu­ late the sequential effects of infusing different solutions on extracellular and intracellular fluid volumes and </w:t>
      </w:r>
      <w:r>
        <w:rPr>
          <w:color w:val="231F20"/>
          <w:spacing w:val="-3"/>
        </w:rPr>
        <w:t>osmo­ </w:t>
      </w:r>
      <w:r>
        <w:rPr>
          <w:color w:val="231F20"/>
        </w:rPr>
        <w:t>larities. </w:t>
      </w:r>
      <w:r>
        <w:rPr>
          <w:color w:val="231F20"/>
          <w:spacing w:val="-3"/>
        </w:rPr>
        <w:t>For </w:t>
      </w:r>
      <w:r>
        <w:rPr>
          <w:color w:val="231F20"/>
        </w:rPr>
        <w:t>example, if 2 liters of a hypertonic 3.0 percent sodium chloride solution are infused into the extracellular fluid compartment of a 70­kilogram patient whose </w:t>
      </w:r>
      <w:r>
        <w:rPr>
          <w:color w:val="231F20"/>
          <w:spacing w:val="-3"/>
        </w:rPr>
        <w:t>initial </w:t>
      </w:r>
      <w:r>
        <w:rPr>
          <w:color w:val="231F20"/>
        </w:rPr>
        <w:t>plasma osmolarity is 280 mOsm/L, what would be </w:t>
      </w:r>
      <w:r>
        <w:rPr>
          <w:color w:val="231F20"/>
          <w:spacing w:val="-6"/>
        </w:rPr>
        <w:t>the </w:t>
      </w:r>
      <w:r>
        <w:rPr>
          <w:color w:val="231F20"/>
        </w:rPr>
        <w:t>intracellular and extracellular fluid volumes and </w:t>
      </w:r>
      <w:r>
        <w:rPr>
          <w:color w:val="231F20"/>
          <w:spacing w:val="-3"/>
        </w:rPr>
        <w:t>osmo­ </w:t>
      </w:r>
      <w:r>
        <w:rPr>
          <w:color w:val="231F20"/>
        </w:rPr>
        <w:t>larities after osmotic</w:t>
      </w:r>
      <w:r>
        <w:rPr>
          <w:color w:val="231F20"/>
          <w:spacing w:val="22"/>
        </w:rPr>
        <w:t> </w:t>
      </w:r>
      <w:r>
        <w:rPr>
          <w:color w:val="231F20"/>
        </w:rPr>
        <w:t>equilibrium?</w:t>
      </w:r>
    </w:p>
    <w:p>
      <w:pPr>
        <w:pStyle w:val="BodyText"/>
        <w:spacing w:line="249" w:lineRule="auto" w:before="10"/>
        <w:ind w:left="319" w:right="1437" w:firstLine="240"/>
        <w:jc w:val="both"/>
      </w:pPr>
      <w:r>
        <w:rPr>
          <w:color w:val="231F20"/>
          <w:w w:val="105"/>
        </w:rPr>
        <w:t>The first step is to calculate the initial conditions, including the volume, concentration, and total millios­ moles</w:t>
      </w:r>
      <w:r>
        <w:rPr>
          <w:color w:val="231F20"/>
          <w:spacing w:val="-12"/>
          <w:w w:val="105"/>
        </w:rPr>
        <w:t> </w:t>
      </w:r>
      <w:r>
        <w:rPr>
          <w:color w:val="231F20"/>
          <w:w w:val="105"/>
        </w:rPr>
        <w:t>in</w:t>
      </w:r>
      <w:r>
        <w:rPr>
          <w:color w:val="231F20"/>
          <w:spacing w:val="-11"/>
          <w:w w:val="105"/>
        </w:rPr>
        <w:t> </w:t>
      </w:r>
      <w:r>
        <w:rPr>
          <w:color w:val="231F20"/>
          <w:w w:val="105"/>
        </w:rPr>
        <w:t>each</w:t>
      </w:r>
      <w:r>
        <w:rPr>
          <w:color w:val="231F20"/>
          <w:spacing w:val="-11"/>
          <w:w w:val="105"/>
        </w:rPr>
        <w:t> </w:t>
      </w:r>
      <w:r>
        <w:rPr>
          <w:color w:val="231F20"/>
          <w:w w:val="105"/>
        </w:rPr>
        <w:t>compartment.</w:t>
      </w:r>
      <w:r>
        <w:rPr>
          <w:color w:val="231F20"/>
          <w:spacing w:val="-11"/>
          <w:w w:val="105"/>
        </w:rPr>
        <w:t> </w:t>
      </w:r>
      <w:r>
        <w:rPr>
          <w:color w:val="231F20"/>
          <w:w w:val="105"/>
        </w:rPr>
        <w:t>Assuming</w:t>
      </w:r>
      <w:r>
        <w:rPr>
          <w:color w:val="231F20"/>
          <w:spacing w:val="-12"/>
          <w:w w:val="105"/>
        </w:rPr>
        <w:t> </w:t>
      </w:r>
      <w:r>
        <w:rPr>
          <w:color w:val="231F20"/>
          <w:w w:val="105"/>
        </w:rPr>
        <w:t>that</w:t>
      </w:r>
      <w:r>
        <w:rPr>
          <w:color w:val="231F20"/>
          <w:spacing w:val="-11"/>
          <w:w w:val="105"/>
        </w:rPr>
        <w:t> </w:t>
      </w:r>
      <w:r>
        <w:rPr>
          <w:color w:val="231F20"/>
          <w:w w:val="105"/>
        </w:rPr>
        <w:t>extracellular fluid</w:t>
      </w:r>
      <w:r>
        <w:rPr>
          <w:color w:val="231F20"/>
          <w:spacing w:val="-31"/>
          <w:w w:val="105"/>
        </w:rPr>
        <w:t> </w:t>
      </w:r>
      <w:r>
        <w:rPr>
          <w:color w:val="231F20"/>
          <w:w w:val="105"/>
        </w:rPr>
        <w:t>volume</w:t>
      </w:r>
      <w:r>
        <w:rPr>
          <w:color w:val="231F20"/>
          <w:spacing w:val="-30"/>
          <w:w w:val="105"/>
        </w:rPr>
        <w:t> </w:t>
      </w:r>
      <w:r>
        <w:rPr>
          <w:color w:val="231F20"/>
          <w:w w:val="105"/>
        </w:rPr>
        <w:t>is</w:t>
      </w:r>
      <w:r>
        <w:rPr>
          <w:color w:val="231F20"/>
          <w:spacing w:val="-31"/>
          <w:w w:val="105"/>
        </w:rPr>
        <w:t> </w:t>
      </w:r>
      <w:r>
        <w:rPr>
          <w:color w:val="231F20"/>
          <w:w w:val="105"/>
        </w:rPr>
        <w:t>20</w:t>
      </w:r>
      <w:r>
        <w:rPr>
          <w:color w:val="231F20"/>
          <w:spacing w:val="-30"/>
          <w:w w:val="105"/>
        </w:rPr>
        <w:t> </w:t>
      </w:r>
      <w:r>
        <w:rPr>
          <w:color w:val="231F20"/>
          <w:w w:val="105"/>
        </w:rPr>
        <w:t>percent</w:t>
      </w:r>
      <w:r>
        <w:rPr>
          <w:color w:val="231F20"/>
          <w:spacing w:val="-31"/>
          <w:w w:val="105"/>
        </w:rPr>
        <w:t> </w:t>
      </w:r>
      <w:r>
        <w:rPr>
          <w:color w:val="231F20"/>
          <w:w w:val="105"/>
        </w:rPr>
        <w:t>of</w:t>
      </w:r>
      <w:r>
        <w:rPr>
          <w:color w:val="231F20"/>
          <w:spacing w:val="-30"/>
          <w:w w:val="105"/>
        </w:rPr>
        <w:t> </w:t>
      </w:r>
      <w:r>
        <w:rPr>
          <w:color w:val="231F20"/>
          <w:w w:val="105"/>
        </w:rPr>
        <w:t>body</w:t>
      </w:r>
      <w:r>
        <w:rPr>
          <w:color w:val="231F20"/>
          <w:spacing w:val="-31"/>
          <w:w w:val="105"/>
        </w:rPr>
        <w:t> </w:t>
      </w:r>
      <w:r>
        <w:rPr>
          <w:color w:val="231F20"/>
          <w:w w:val="105"/>
        </w:rPr>
        <w:t>weight</w:t>
      </w:r>
      <w:r>
        <w:rPr>
          <w:color w:val="231F20"/>
          <w:spacing w:val="-30"/>
          <w:w w:val="105"/>
        </w:rPr>
        <w:t> </w:t>
      </w:r>
      <w:r>
        <w:rPr>
          <w:color w:val="231F20"/>
          <w:w w:val="105"/>
        </w:rPr>
        <w:t>and</w:t>
      </w:r>
      <w:r>
        <w:rPr>
          <w:color w:val="231F20"/>
          <w:spacing w:val="-31"/>
          <w:w w:val="105"/>
        </w:rPr>
        <w:t> </w:t>
      </w:r>
      <w:r>
        <w:rPr>
          <w:color w:val="231F20"/>
          <w:w w:val="105"/>
        </w:rPr>
        <w:t>intracellular</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spacing w:before="11"/>
        <w:rPr>
          <w:sz w:val="18"/>
        </w:rPr>
      </w:pPr>
    </w:p>
    <w:p>
      <w:pPr>
        <w:tabs>
          <w:tab w:pos="6953" w:val="left" w:leader="none"/>
        </w:tabs>
        <w:spacing w:before="0"/>
        <w:ind w:left="5068" w:right="0" w:firstLine="0"/>
        <w:jc w:val="left"/>
        <w:rPr>
          <w:rFonts w:ascii="Helvetica"/>
          <w:sz w:val="16"/>
        </w:rPr>
      </w:pPr>
      <w:r>
        <w:rPr/>
        <w:pict>
          <v:group style="position:absolute;margin-left:230.643997pt;margin-top:-2.786621pt;width:19.45pt;height:14.75pt;mso-position-horizontal-relative:page;mso-position-vertical-relative:paragraph;z-index:251738112" coordorigin="4613,-56" coordsize="389,295">
            <v:rect style="position:absolute;left:4620;top:-49;width:374;height:280" filled="true" fillcolor="#f48587" stroked="false">
              <v:fill type="solid"/>
            </v:rect>
            <v:rect style="position:absolute;left:4620;top:-49;width:374;height:280" filled="false" stroked="true" strokeweight=".75pt" strokecolor="#f05661">
              <v:stroke dashstyle="solid"/>
            </v:rect>
            <w10:wrap type="none"/>
          </v:group>
        </w:pict>
      </w:r>
      <w:r>
        <w:rPr/>
        <w:pict>
          <v:group style="position:absolute;margin-left:324.769989pt;margin-top:-2.911621pt;width:19.7pt;height:15pt;mso-position-horizontal-relative:page;mso-position-vertical-relative:paragraph;z-index:-273666048" coordorigin="6495,-58" coordsize="394,300">
            <v:rect style="position:absolute;left:6505;top:-49;width:374;height:280" filled="true" fillcolor="#ffe3a5" stroked="false">
              <v:fill type="solid"/>
            </v:rect>
            <v:rect style="position:absolute;left:6505;top:-49;width:374;height:280" filled="false" stroked="true" strokeweight="1pt" strokecolor="#fbb161">
              <v:stroke dashstyle="solid"/>
            </v:rect>
            <w10:wrap type="none"/>
          </v:group>
        </w:pict>
      </w:r>
      <w:r>
        <w:rPr>
          <w:rFonts w:ascii="Helvetica"/>
          <w:color w:val="231F20"/>
          <w:sz w:val="16"/>
        </w:rPr>
        <w:t>Intracellular</w:t>
      </w:r>
      <w:r>
        <w:rPr>
          <w:rFonts w:ascii="Helvetica"/>
          <w:color w:val="231F20"/>
          <w:spacing w:val="-1"/>
          <w:sz w:val="16"/>
        </w:rPr>
        <w:t> </w:t>
      </w:r>
      <w:r>
        <w:rPr>
          <w:rFonts w:ascii="Helvetica"/>
          <w:color w:val="231F20"/>
          <w:sz w:val="16"/>
        </w:rPr>
        <w:t>fluid</w:t>
        <w:tab/>
        <w:t>Extracellular fluid</w:t>
      </w:r>
    </w:p>
    <w:p>
      <w:pPr>
        <w:pStyle w:val="BodyText"/>
        <w:spacing w:before="2"/>
        <w:rPr>
          <w:rFonts w:ascii="Helvetica"/>
          <w:sz w:val="11"/>
        </w:rPr>
      </w:pPr>
    </w:p>
    <w:p>
      <w:pPr>
        <w:spacing w:after="0"/>
        <w:rPr>
          <w:rFonts w:ascii="Helvetica"/>
          <w:sz w:val="11"/>
        </w:rPr>
        <w:sectPr>
          <w:headerReference w:type="default" r:id="rId52"/>
          <w:pgSz w:w="12240" w:h="15660"/>
          <w:pgMar w:header="0" w:footer="567" w:top="0" w:bottom="760" w:left="0" w:right="0"/>
        </w:sectPr>
      </w:pPr>
    </w:p>
    <w:p>
      <w:pPr>
        <w:pStyle w:val="BodyText"/>
        <w:spacing w:before="6"/>
        <w:rPr>
          <w:rFonts w:ascii="Helvetica"/>
          <w:sz w:val="22"/>
        </w:rPr>
      </w:pPr>
    </w:p>
    <w:p>
      <w:pPr>
        <w:spacing w:before="0"/>
        <w:ind w:left="0" w:right="0" w:firstLine="0"/>
        <w:jc w:val="right"/>
        <w:rPr>
          <w:rFonts w:ascii="Helvetica"/>
          <w:sz w:val="16"/>
        </w:rPr>
      </w:pPr>
      <w:r>
        <w:rPr/>
        <w:pict>
          <v:shape style="position:absolute;margin-left:171.656296pt;margin-top:-1.731122pt;width:11.55pt;height:83.4pt;mso-position-horizontal-relative:page;mso-position-vertical-relative:paragraph;z-index:25174118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Osmolarity (mOsm/L)</w:t>
                  </w:r>
                </w:p>
              </w:txbxContent>
            </v:textbox>
            <w10:wrap type="none"/>
          </v:shape>
        </w:pict>
      </w:r>
      <w:r>
        <w:rPr>
          <w:rFonts w:ascii="Helvetica"/>
          <w:color w:val="231F20"/>
          <w:w w:val="95"/>
          <w:sz w:val="16"/>
        </w:rPr>
        <w:t>300</w:t>
      </w:r>
    </w:p>
    <w:p>
      <w:pPr>
        <w:pStyle w:val="BodyText"/>
        <w:spacing w:before="6"/>
        <w:rPr>
          <w:rFonts w:ascii="Helvetica"/>
          <w:sz w:val="24"/>
        </w:rPr>
      </w:pPr>
    </w:p>
    <w:p>
      <w:pPr>
        <w:spacing w:before="1"/>
        <w:ind w:left="0" w:right="0" w:firstLine="0"/>
        <w:jc w:val="right"/>
        <w:rPr>
          <w:rFonts w:ascii="Helvetica"/>
          <w:sz w:val="16"/>
        </w:rPr>
      </w:pPr>
      <w:r>
        <w:rPr>
          <w:rFonts w:ascii="Helvetica"/>
          <w:color w:val="231F20"/>
          <w:w w:val="95"/>
          <w:sz w:val="16"/>
        </w:rPr>
        <w:t>200</w:t>
      </w:r>
    </w:p>
    <w:p>
      <w:pPr>
        <w:pStyle w:val="BodyText"/>
        <w:spacing w:before="1"/>
        <w:rPr>
          <w:rFonts w:ascii="Helvetica"/>
          <w:sz w:val="25"/>
        </w:rPr>
      </w:pPr>
    </w:p>
    <w:p>
      <w:pPr>
        <w:spacing w:before="0"/>
        <w:ind w:left="0" w:right="0" w:firstLine="0"/>
        <w:jc w:val="right"/>
        <w:rPr>
          <w:rFonts w:ascii="Helvetica"/>
          <w:sz w:val="16"/>
        </w:rPr>
      </w:pPr>
      <w:r>
        <w:rPr>
          <w:rFonts w:ascii="Helvetica"/>
          <w:color w:val="231F20"/>
          <w:w w:val="95"/>
          <w:sz w:val="16"/>
        </w:rPr>
        <w:t>100</w:t>
      </w:r>
    </w:p>
    <w:p>
      <w:pPr>
        <w:tabs>
          <w:tab w:pos="3249" w:val="left" w:leader="none"/>
        </w:tabs>
        <w:spacing w:before="100"/>
        <w:ind w:left="654" w:right="0" w:firstLine="0"/>
        <w:jc w:val="left"/>
        <w:rPr>
          <w:rFonts w:ascii="Helvetica"/>
          <w:sz w:val="16"/>
        </w:rPr>
      </w:pPr>
      <w:r>
        <w:rPr/>
        <w:br w:type="column"/>
      </w:r>
      <w:r>
        <w:rPr>
          <w:rFonts w:ascii="Helvetica"/>
          <w:color w:val="231F20"/>
          <w:sz w:val="16"/>
        </w:rPr>
        <w:t>Normal</w:t>
      </w:r>
      <w:r>
        <w:rPr>
          <w:rFonts w:ascii="Helvetica"/>
          <w:color w:val="231F20"/>
          <w:spacing w:val="-1"/>
          <w:sz w:val="16"/>
        </w:rPr>
        <w:t> </w:t>
      </w:r>
      <w:r>
        <w:rPr>
          <w:rFonts w:ascii="Helvetica"/>
          <w:color w:val="231F20"/>
          <w:sz w:val="16"/>
        </w:rPr>
        <w:t>State</w:t>
        <w:tab/>
        <w:t>A. Add Isotonic NaCl</w:t>
      </w:r>
    </w:p>
    <w:p>
      <w:pPr>
        <w:spacing w:after="0"/>
        <w:jc w:val="left"/>
        <w:rPr>
          <w:rFonts w:ascii="Helvetica"/>
          <w:sz w:val="16"/>
        </w:rPr>
        <w:sectPr>
          <w:type w:val="continuous"/>
          <w:pgSz w:w="12240" w:h="15660"/>
          <w:pgMar w:top="0" w:bottom="760" w:left="0" w:right="0"/>
          <w:cols w:num="2" w:equalWidth="0">
            <w:col w:w="3987" w:space="40"/>
            <w:col w:w="8213"/>
          </w:cols>
        </w:sectPr>
      </w:pPr>
    </w:p>
    <w:p>
      <w:pPr>
        <w:pStyle w:val="BodyText"/>
        <w:spacing w:before="2"/>
        <w:rPr>
          <w:rFonts w:ascii="Helvetica"/>
          <w:sz w:val="16"/>
        </w:rPr>
      </w:pPr>
    </w:p>
    <w:p>
      <w:pPr>
        <w:spacing w:after="0"/>
        <w:rPr>
          <w:rFonts w:ascii="Helvetica"/>
          <w:sz w:val="16"/>
        </w:rPr>
        <w:sectPr>
          <w:type w:val="continuous"/>
          <w:pgSz w:w="12240" w:h="15660"/>
          <w:pgMar w:top="0" w:bottom="760" w:left="0" w:right="0"/>
        </w:sectPr>
      </w:pPr>
    </w:p>
    <w:p>
      <w:pPr>
        <w:spacing w:before="99"/>
        <w:ind w:left="3897" w:right="0" w:firstLine="0"/>
        <w:jc w:val="left"/>
        <w:rPr>
          <w:rFonts w:ascii="Helvetica"/>
          <w:sz w:val="16"/>
        </w:rPr>
      </w:pPr>
      <w:r>
        <w:rPr/>
        <w:pict>
          <v:group style="position:absolute;margin-left:202.039398pt;margin-top:-61.248119pt;width:106.7pt;height:76.95pt;mso-position-horizontal-relative:page;mso-position-vertical-relative:paragraph;z-index:251736064" coordorigin="4041,-1225" coordsize="2134,1539">
            <v:shape style="position:absolute;left:-135;top:11180;width:2134;height:1536" coordorigin="-134,11180" coordsize="2134,1536" path="m4175,239l4175,313m4115,188l4041,188m4115,-1215l4041,-1215m4115,-747l4041,-747m4115,-279l4041,-279m4115,-1222l4115,198m4643,239l4643,313m5110,239l5110,313m5578,239l5578,313m6046,239l6046,313m4169,239l6174,239e" filled="false" stroked="true" strokeweight="1pt" strokecolor="#231f20">
              <v:path arrowok="t"/>
              <v:stroke dashstyle="solid"/>
            </v:shape>
            <v:rect style="position:absolute;left:5483;top:-1205;width:677;height:1384" filled="true" fillcolor="#ffe3a5" stroked="false">
              <v:fill type="solid"/>
            </v:rect>
            <v:rect style="position:absolute;left:4163;top:-1205;width:1997;height:1384" filled="false" stroked="true" strokeweight=".75pt" strokecolor="#fbb161">
              <v:stroke dashstyle="solid"/>
            </v:rect>
            <v:rect style="position:absolute;left:4163;top:-1205;width:1320;height:1380" filled="true" fillcolor="#f48587" stroked="false">
              <v:fill type="solid"/>
            </v:rect>
            <v:rect style="position:absolute;left:4163;top:-1205;width:1320;height:1380" filled="false" stroked="true" strokeweight=".75pt" strokecolor="#f05661">
              <v:stroke dashstyle="solid"/>
            </v:rect>
            <v:shape style="position:absolute;left:4115;top:138;width:80;height:100" coordorigin="4115,139" coordsize="80,100" path="m4115,139l4115,239,4195,239e" filled="false" stroked="true" strokeweight="1pt" strokecolor="#231f20">
              <v:path arrowok="t"/>
              <v:stroke dashstyle="solid"/>
            </v:shape>
            <w10:wrap type="none"/>
          </v:group>
        </w:pict>
      </w:r>
      <w:r>
        <w:rPr>
          <w:rFonts w:ascii="Helvetica"/>
          <w:color w:val="231F20"/>
          <w:w w:val="99"/>
          <w:sz w:val="16"/>
        </w:rPr>
        <w:t>0</w:t>
      </w:r>
    </w:p>
    <w:p>
      <w:pPr>
        <w:tabs>
          <w:tab w:pos="5020" w:val="left" w:leader="none"/>
        </w:tabs>
        <w:spacing w:before="45"/>
        <w:ind w:left="4555" w:right="0" w:firstLine="0"/>
        <w:jc w:val="left"/>
        <w:rPr>
          <w:rFonts w:ascii="Helvetica"/>
          <w:sz w:val="16"/>
        </w:rPr>
      </w:pPr>
      <w:r>
        <w:rPr>
          <w:rFonts w:ascii="Helvetica"/>
          <w:color w:val="231F20"/>
          <w:sz w:val="16"/>
        </w:rPr>
        <w:t>10</w:t>
        <w:tab/>
      </w:r>
      <w:r>
        <w:rPr>
          <w:rFonts w:ascii="Helvetica"/>
          <w:color w:val="231F20"/>
          <w:spacing w:val="-10"/>
          <w:sz w:val="16"/>
        </w:rPr>
        <w:t>20</w:t>
      </w:r>
    </w:p>
    <w:p>
      <w:pPr>
        <w:pStyle w:val="BodyText"/>
        <w:rPr>
          <w:rFonts w:ascii="Helvetica"/>
          <w:sz w:val="18"/>
        </w:rPr>
      </w:pPr>
      <w:r>
        <w:rPr/>
        <w:br w:type="column"/>
      </w:r>
      <w:r>
        <w:rPr>
          <w:rFonts w:ascii="Helvetica"/>
          <w:sz w:val="18"/>
        </w:rPr>
      </w:r>
    </w:p>
    <w:p>
      <w:pPr>
        <w:tabs>
          <w:tab w:pos="719" w:val="left" w:leader="none"/>
        </w:tabs>
        <w:spacing w:before="121"/>
        <w:ind w:left="252" w:right="0" w:firstLine="0"/>
        <w:jc w:val="left"/>
        <w:rPr>
          <w:rFonts w:ascii="Helvetica"/>
          <w:sz w:val="16"/>
        </w:rPr>
      </w:pPr>
      <w:r>
        <w:rPr/>
        <w:pict>
          <v:group style="position:absolute;margin-left:338.298401pt;margin-top:-71.564079pt;width:118.05pt;height:76.95pt;mso-position-horizontal-relative:page;mso-position-vertical-relative:paragraph;z-index:251737088" coordorigin="6766,-1431" coordsize="2361,1539">
            <v:shape style="position:absolute;left:2591;top:10973;width:2134;height:1536" coordorigin="2591,10974" coordsize="2134,1536" path="m6900,32l6900,107m6840,-18l6766,-18m6840,-1421l6766,-1421m6840,-954l6766,-954m6840,-486l6766,-486m6840,-1428l6840,-9m7368,32l7368,107m7835,32l7835,107m6894,32l8899,32e" filled="false" stroked="true" strokeweight="1pt" strokecolor="#231f20">
              <v:path arrowok="t"/>
              <v:stroke dashstyle="solid"/>
            </v:shape>
            <v:line style="position:absolute" from="8902,-949" to="9017,-949" stroked="true" strokeweight="1.5pt" strokecolor="#231f20">
              <v:stroke dashstyle="solid"/>
            </v:line>
            <v:shape style="position:absolute;left:8973;top:-996;width:142;height:92" coordorigin="8973,-995" coordsize="142,92" path="m8975,-995l8973,-994,8999,-949,8974,-905,8975,-904,9043,-933,9115,-950,9043,-966,8975,-995xe" filled="true" fillcolor="#231f20" stroked="false">
              <v:path arrowok="t"/>
              <v:fill type="solid"/>
            </v:shape>
            <v:line style="position:absolute" from="8902,-597" to="9017,-597" stroked="true" strokeweight="1.5pt" strokecolor="#231f20">
              <v:stroke dashstyle="solid"/>
            </v:line>
            <v:shape style="position:absolute;left:8973;top:-644;width:142;height:92" coordorigin="8973,-644" coordsize="142,92" path="m8975,-644l8973,-643,8999,-598,8974,-553,8975,-552,9043,-582,9115,-598,9043,-615,8975,-644xe" filled="true" fillcolor="#231f20" stroked="false">
              <v:path arrowok="t"/>
              <v:fill type="solid"/>
            </v:shape>
            <v:rect style="position:absolute;left:8220;top:-1412;width:677;height:1394" filled="true" fillcolor="#ffe3a5" stroked="false">
              <v:fill type="solid"/>
            </v:rect>
            <v:rect style="position:absolute;left:6900;top:-1412;width:1997;height:1394" filled="false" stroked="true" strokeweight=".75pt" strokecolor="#fbb161">
              <v:stroke dashstyle="solid"/>
            </v:rect>
            <v:rect style="position:absolute;left:6900;top:-1412;width:1320;height:1390" filled="true" fillcolor="#f48587" stroked="false">
              <v:fill type="solid"/>
            </v:rect>
            <v:rect style="position:absolute;left:6900;top:-1412;width:1320;height:1390" filled="false" stroked="true" strokeweight=".75pt" strokecolor="#f05661">
              <v:stroke dashstyle="solid"/>
            </v:rect>
            <v:rect style="position:absolute;left:6900;top:-1412;width:2217;height:1392" filled="false" stroked="true" strokeweight="1pt" strokecolor="#231f20">
              <v:stroke dashstyle="shortdash"/>
            </v:rect>
            <v:shape style="position:absolute;left:6840;top:-68;width:80;height:100" coordorigin="6840,-68" coordsize="80,100" path="m6840,-68l6840,32,6920,32e" filled="false" stroked="true" strokeweight="1pt" strokecolor="#231f20">
              <v:path arrowok="t"/>
              <v:stroke dashstyle="solid"/>
            </v:shape>
            <w10:wrap type="none"/>
          </v:group>
        </w:pict>
      </w:r>
      <w:r>
        <w:rPr/>
        <w:pict>
          <v:shape style="position:absolute;margin-left:578.900024pt;margin-top:-45.620277pt;width:15.9pt;height:53.35pt;mso-position-horizontal-relative:page;mso-position-vertical-relative:paragraph;z-index:25174016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30</w:t>
        <w:tab/>
        <w:t>40</w:t>
      </w:r>
    </w:p>
    <w:p>
      <w:pPr>
        <w:spacing w:after="0"/>
        <w:jc w:val="left"/>
        <w:rPr>
          <w:rFonts w:ascii="Helvetica"/>
          <w:sz w:val="16"/>
        </w:rPr>
        <w:sectPr>
          <w:type w:val="continuous"/>
          <w:pgSz w:w="12240" w:h="15660"/>
          <w:pgMar w:top="0" w:bottom="760" w:left="0" w:right="0"/>
          <w:cols w:num="2" w:equalWidth="0">
            <w:col w:w="5199" w:space="40"/>
            <w:col w:w="7001"/>
          </w:cols>
        </w:sectPr>
      </w:pPr>
    </w:p>
    <w:p>
      <w:pPr>
        <w:spacing w:before="53"/>
        <w:ind w:left="311" w:right="2221" w:firstLine="0"/>
        <w:jc w:val="center"/>
        <w:rPr>
          <w:rFonts w:ascii="Helvetica"/>
          <w:b/>
          <w:sz w:val="16"/>
        </w:rPr>
      </w:pPr>
      <w:r>
        <w:rPr>
          <w:rFonts w:ascii="Helvetica"/>
          <w:b/>
          <w:color w:val="231F20"/>
          <w:sz w:val="16"/>
        </w:rPr>
        <w:t>Volume (liters)</w:t>
      </w:r>
    </w:p>
    <w:p>
      <w:pPr>
        <w:tabs>
          <w:tab w:pos="7169" w:val="left" w:leader="none"/>
        </w:tabs>
        <w:spacing w:before="109"/>
        <w:ind w:left="4345" w:right="0" w:firstLine="0"/>
        <w:jc w:val="left"/>
        <w:rPr>
          <w:rFonts w:ascii="Helvetica"/>
          <w:sz w:val="16"/>
        </w:rPr>
      </w:pPr>
      <w:r>
        <w:rPr/>
        <w:pict>
          <v:group style="position:absolute;margin-left:183.930405pt;margin-top:24.416904pt;width:133.950pt;height:76.95pt;mso-position-horizontal-relative:page;mso-position-vertical-relative:paragraph;z-index:-251585536;mso-wrap-distance-left:0;mso-wrap-distance-right:0" coordorigin="3679,488" coordsize="2679,1539">
            <v:line style="position:absolute" from="4175,1952" to="4175,2026" stroked="true" strokeweight="1pt" strokecolor="#231f20">
              <v:stroke dashstyle="solid"/>
            </v:line>
            <v:line style="position:absolute" from="4643,1952" to="4643,2026" stroked="true" strokeweight="1pt" strokecolor="#231f20">
              <v:stroke dashstyle="solid"/>
            </v:line>
            <v:line style="position:absolute" from="5110,1952" to="5110,2026" stroked="true" strokeweight="1pt" strokecolor="#231f20">
              <v:stroke dashstyle="solid"/>
            </v:line>
            <v:line style="position:absolute" from="5578,1952" to="5578,2026" stroked="true" strokeweight="1pt" strokecolor="#231f20">
              <v:stroke dashstyle="solid"/>
            </v:line>
            <v:line style="position:absolute" from="6046,1952" to="6046,2026" stroked="true" strokeweight="1pt" strokecolor="#231f20">
              <v:stroke dashstyle="solid"/>
            </v:line>
            <v:line style="position:absolute" from="4169,1952" to="6174,1952" stroked="true" strokeweight="1pt" strokecolor="#231f20">
              <v:stroke dashstyle="solid"/>
            </v:line>
            <v:rect style="position:absolute;left:5483;top:525;width:677;height:1384" filled="true" fillcolor="#ffe3a5" stroked="false">
              <v:fill type="solid"/>
            </v:rect>
            <v:rect style="position:absolute;left:4163;top:525;width:1997;height:1384" filled="false" stroked="true" strokeweight=".75pt" strokecolor="#fbb161">
              <v:stroke dashstyle="solid"/>
            </v:rect>
            <v:rect style="position:absolute;left:4163;top:525;width:1320;height:1380" filled="true" fillcolor="#f48587" stroked="false">
              <v:fill type="solid"/>
            </v:rect>
            <v:rect style="position:absolute;left:4163;top:525;width:1320;height:1380" filled="false" stroked="true" strokeweight=".75pt" strokecolor="#f05661">
              <v:stroke dashstyle="solid"/>
            </v:rect>
            <v:line style="position:absolute" from="5829,526" to="5829,595" stroked="true" strokeweight="1.5pt" strokecolor="#231f20">
              <v:stroke dashstyle="solid"/>
            </v:line>
            <v:shape style="position:absolute;left:5783;top:551;width:92;height:142" coordorigin="5784,552" coordsize="92,142" path="m5785,552l5784,553,5813,621,5830,693,5847,621,5865,577,5830,577,5785,552xm5875,552l5830,577,5865,577,5875,553,5875,552xe" filled="true" fillcolor="#231f20" stroked="false">
              <v:path arrowok="t"/>
              <v:fill type="solid"/>
            </v:shape>
            <v:line style="position:absolute" from="4817,526" to="4817,595" stroked="true" strokeweight="1.5pt" strokecolor="#231f20">
              <v:stroke dashstyle="solid"/>
            </v:line>
            <v:shape style="position:absolute;left:4771;top:551;width:92;height:142" coordorigin="4772,552" coordsize="92,142" path="m4773,552l4772,553,4801,621,4818,693,4835,621,4853,577,4818,577,4773,552xm4863,552l4818,577,4853,577,4863,553,4863,552xe" filled="true" fillcolor="#231f20" stroked="false">
              <v:path arrowok="t"/>
              <v:fill type="solid"/>
            </v:shape>
            <v:line style="position:absolute" from="6172,961" to="6252,961" stroked="true" strokeweight="1.5pt" strokecolor="#231f20">
              <v:stroke dashstyle="solid"/>
            </v:line>
            <v:shape style="position:absolute;left:6207;top:914;width:142;height:92" coordorigin="6208,914" coordsize="142,92" path="m6209,914l6208,915,6234,960,6208,1005,6210,1006,6278,977,6349,960,6278,943,6209,914xe" filled="true" fillcolor="#231f20" stroked="false">
              <v:path arrowok="t"/>
              <v:fill type="solid"/>
            </v:shape>
            <v:line style="position:absolute" from="4153,961" to="4038,961" stroked="true" strokeweight="1.5pt" strokecolor="#231f20">
              <v:stroke dashstyle="solid"/>
            </v:line>
            <v:shape style="position:absolute;left:3940;top:914;width:142;height:92" coordorigin="3941,914" coordsize="142,92" path="m4080,914l4012,943,3941,960,4012,977,4080,1006,4082,1005,4056,960,4082,915,4080,914xe" filled="true" fillcolor="#231f20" stroked="false">
              <v:path arrowok="t"/>
              <v:fill type="solid"/>
            </v:shape>
            <v:line style="position:absolute" from="4153,1494" to="4038,1494" stroked="true" strokeweight="1.5pt" strokecolor="#231f20">
              <v:stroke dashstyle="solid"/>
            </v:line>
            <v:shape style="position:absolute;left:3940;top:1447;width:142;height:92" coordorigin="3941,1448" coordsize="142,92" path="m4080,1448l4012,1477,3941,1493,4012,1510,4080,1539,4082,1538,4056,1493,4082,1448,4080,1448xe" filled="true" fillcolor="#231f20" stroked="false">
              <v:path arrowok="t"/>
              <v:fill type="solid"/>
            </v:shape>
            <v:line style="position:absolute" from="6171,1496" to="6251,1496" stroked="true" strokeweight="1.5pt" strokecolor="#231f20">
              <v:stroke dashstyle="solid"/>
            </v:line>
            <v:shape style="position:absolute;left:6207;top:1449;width:142;height:92" coordorigin="6207,1450" coordsize="142,92" path="m6209,1450l6207,1451,6233,1496,6207,1540,6209,1541,6277,1512,6348,1495,6277,1479,6209,1450xe" filled="true" fillcolor="#231f20" stroked="false">
              <v:path arrowok="t"/>
              <v:fill type="solid"/>
            </v:shape>
            <v:line style="position:absolute" from="3753,498" to="3679,498" stroked="true" strokeweight="1pt" strokecolor="#231f20">
              <v:stroke dashstyle="solid"/>
            </v:line>
            <v:line style="position:absolute" from="3753,966" to="3679,966" stroked="true" strokeweight="1pt" strokecolor="#231f20">
              <v:stroke dashstyle="solid"/>
            </v:line>
            <v:line style="position:absolute" from="3753,1434" to="3679,1434" stroked="true" strokeweight="1pt" strokecolor="#231f20">
              <v:stroke dashstyle="solid"/>
            </v:line>
            <v:line style="position:absolute" from="3753,1902" to="3679,1902" stroked="true" strokeweight="1pt" strokecolor="#231f20">
              <v:stroke dashstyle="solid"/>
            </v:line>
            <v:line style="position:absolute" from="3753,491" to="3753,1911" stroked="true" strokeweight="1pt" strokecolor="#231f20">
              <v:stroke dashstyle="solid"/>
            </v:line>
            <v:rect style="position:absolute;left:3813;top:693;width:2534;height:1214" filled="false" stroked="true" strokeweight="1pt" strokecolor="#231f20">
              <v:stroke dashstyle="shortdash"/>
            </v:rect>
            <v:line style="position:absolute" from="5500,695" to="5500,1895" stroked="true" strokeweight="1pt" strokecolor="#231f20">
              <v:stroke dashstyle="shortdash"/>
            </v:line>
            <v:shape style="position:absolute;left:3753;top:1852;width:531;height:100" coordorigin="3753,1852" coordsize="531,100" path="m3753,1852l3753,1952,4284,1952e" filled="false" stroked="true" strokeweight="1pt" strokecolor="#231f20">
              <v:path arrowok="t"/>
              <v:stroke dashstyle="solid"/>
            </v:shape>
            <w10:wrap type="topAndBottom"/>
          </v:group>
        </w:pict>
      </w:r>
      <w:r>
        <w:rPr/>
        <w:pict>
          <v:group style="position:absolute;margin-left:338.298401pt;margin-top:15.853405pt;width:118.25pt;height:85.95pt;mso-position-horizontal-relative:page;mso-position-vertical-relative:paragraph;z-index:-251584512;mso-wrap-distance-left:0;mso-wrap-distance-right:0" coordorigin="6766,317" coordsize="2365,1719">
            <v:line style="position:absolute" from="8553,436" to="8553,537" stroked="true" strokeweight="1.5pt" strokecolor="#231f20">
              <v:stroke dashstyle="solid"/>
            </v:line>
            <v:rect style="position:absolute;left:8216;top:537;width:685;height:1384" filled="true" fillcolor="#ffe3a5" stroked="false">
              <v:fill type="solid"/>
            </v:rect>
            <v:rect style="position:absolute;left:7137;top:537;width:1764;height:1384" filled="false" stroked="true" strokeweight=".75pt" strokecolor="#fbb161">
              <v:stroke dashstyle="solid"/>
            </v:rect>
            <v:rect style="position:absolute;left:6887;top:537;width:1330;height:1380" filled="true" fillcolor="#f48587" stroked="false">
              <v:fill type="solid"/>
            </v:rect>
            <v:rect style="position:absolute;left:6887;top:537;width:1330;height:1380" filled="false" stroked="true" strokeweight=".75pt" strokecolor="#f05661">
              <v:stroke dashstyle="solid"/>
            </v:rect>
            <v:line style="position:absolute" from="6900,1961" to="6900,2035" stroked="true" strokeweight="1pt" strokecolor="#231f20">
              <v:stroke dashstyle="solid"/>
            </v:line>
            <v:line style="position:absolute" from="7368,1961" to="7368,2035" stroked="true" strokeweight="1pt" strokecolor="#231f20">
              <v:stroke dashstyle="solid"/>
            </v:line>
            <v:line style="position:absolute" from="7835,1961" to="7835,2035" stroked="true" strokeweight="1pt" strokecolor="#231f20">
              <v:stroke dashstyle="solid"/>
            </v:line>
            <v:line style="position:absolute" from="6840,507" to="6766,507" stroked="true" strokeweight="1pt" strokecolor="#231f20">
              <v:stroke dashstyle="solid"/>
            </v:line>
            <v:line style="position:absolute" from="6840,975" to="6766,975" stroked="true" strokeweight="1pt" strokecolor="#231f20">
              <v:stroke dashstyle="solid"/>
            </v:line>
            <v:line style="position:absolute" from="6840,1443" to="6766,1443" stroked="true" strokeweight="1pt" strokecolor="#231f20">
              <v:stroke dashstyle="solid"/>
            </v:line>
            <v:line style="position:absolute" from="6840,1911" to="6766,1911" stroked="true" strokeweight="1pt" strokecolor="#231f20">
              <v:stroke dashstyle="solid"/>
            </v:line>
            <v:line style="position:absolute" from="6840,500" to="6840,1920" stroked="true" strokeweight="1pt" strokecolor="#231f20">
              <v:stroke dashstyle="solid"/>
            </v:line>
            <v:line style="position:absolute" from="6894,1961" to="8899,1961" stroked="true" strokeweight="1pt" strokecolor="#231f20">
              <v:stroke dashstyle="solid"/>
            </v:line>
            <v:line style="position:absolute" from="7682,540" to="7682,425" stroked="true" strokeweight="1.5pt" strokecolor="#231f20">
              <v:stroke dashstyle="solid"/>
            </v:line>
            <v:shape style="position:absolute;left:7635;top:327;width:92;height:142" coordorigin="7635,328" coordsize="92,142" path="m7681,328l7664,399,7635,468,7636,469,7681,443,7717,443,7698,399,7681,328xm7717,443l7681,443,7726,469,7727,467,7717,443xe" filled="true" fillcolor="#231f20" stroked="false">
              <v:path arrowok="t"/>
              <v:fill type="solid"/>
            </v:shape>
            <v:shape style="position:absolute;left:8506;top:338;width:92;height:142" coordorigin="8506,339" coordsize="92,142" path="m8552,339l8535,410,8506,479,8507,480,8552,454,8588,454,8569,410,8552,339xm8588,454l8552,454,8597,480,8598,478,8588,454xe" filled="true" fillcolor="#231f20" stroked="false">
              <v:path arrowok="t"/>
              <v:fill type="solid"/>
            </v:shape>
            <v:line style="position:absolute" from="6880,975" to="6975,975" stroked="true" strokeweight="1.5pt" strokecolor="#231f20">
              <v:stroke dashstyle="solid"/>
            </v:line>
            <v:shape style="position:absolute;left:6931;top:928;width:142;height:92" coordorigin="6932,929" coordsize="142,92" path="m6933,929l6932,929,6957,974,6932,1019,6933,1020,7002,991,7073,974,7002,957,6933,929xe" filled="true" fillcolor="#231f20" stroked="false">
              <v:path arrowok="t"/>
              <v:fill type="solid"/>
            </v:shape>
            <v:line style="position:absolute" from="6880,1443" to="6975,1443" stroked="true" strokeweight="1.5pt" strokecolor="#231f20">
              <v:stroke dashstyle="solid"/>
            </v:line>
            <v:shape style="position:absolute;left:6931;top:1396;width:142;height:92" coordorigin="6932,1396" coordsize="142,92" path="m6933,1396l6932,1397,6957,1442,6932,1487,6934,1488,7002,1459,7073,1442,7002,1425,6933,1396xe" filled="true" fillcolor="#231f20" stroked="false">
              <v:path arrowok="t"/>
              <v:fill type="solid"/>
            </v:shape>
            <v:line style="position:absolute" from="8902,961" to="9017,961" stroked="true" strokeweight="1.5pt" strokecolor="#231f20">
              <v:stroke dashstyle="solid"/>
            </v:line>
            <v:shape style="position:absolute;left:8973;top:914;width:142;height:92" coordorigin="8973,914" coordsize="142,92" path="m8975,914l8973,915,8999,960,8974,1005,8975,1006,9043,977,9115,960,9043,943,8975,914xe" filled="true" fillcolor="#231f20" stroked="false">
              <v:path arrowok="t"/>
              <v:fill type="solid"/>
            </v:shape>
            <v:line style="position:absolute" from="8902,1494" to="9017,1494" stroked="true" strokeweight="1.5pt" strokecolor="#231f20">
              <v:stroke dashstyle="solid"/>
            </v:line>
            <v:shape style="position:absolute;left:8973;top:1447;width:142;height:92" coordorigin="8973,1448" coordsize="142,92" path="m8975,1448l8973,1448,8999,1493,8974,1538,8975,1539,9043,1510,9115,1493,9043,1477,8975,1448xe" filled="true" fillcolor="#231f20" stroked="false">
              <v:path arrowok="t"/>
              <v:fill type="solid"/>
            </v:shape>
            <v:rect style="position:absolute;left:7133;top:327;width:1987;height:1589" filled="false" stroked="true" strokeweight="1pt" strokecolor="#231f20">
              <v:stroke dashstyle="shortdash"/>
            </v:rect>
            <v:line style="position:absolute" from="8220,329" to="8220,1905" stroked="true" strokeweight="1pt" strokecolor="#231f20">
              <v:stroke dashstyle="shortdash"/>
            </v:line>
            <v:shape style="position:absolute;left:6840;top:1861;width:80;height:100" coordorigin="6840,1861" coordsize="80,100" path="m6840,1861l6840,1961,6920,1961e" filled="false" stroked="true" strokeweight="1pt" strokecolor="#231f20">
              <v:path arrowok="t"/>
              <v:stroke dashstyle="solid"/>
            </v:shape>
            <w10:wrap type="topAndBottom"/>
          </v:group>
        </w:pict>
      </w:r>
      <w:r>
        <w:rPr/>
        <w:pict>
          <v:rect style="position:absolute;margin-left:576pt;margin-top:3.602405pt;width:36pt;height:24pt;mso-position-horizontal-relative:page;mso-position-vertical-relative:paragraph;z-index:251735040" filled="true" fillcolor="#e8dac8" stroked="false">
            <v:fill type="solid"/>
            <w10:wrap type="none"/>
          </v:rect>
        </w:pict>
      </w:r>
      <w:r>
        <w:rPr>
          <w:rFonts w:ascii="Helvetica"/>
          <w:color w:val="231F20"/>
          <w:sz w:val="16"/>
        </w:rPr>
        <w:t>C. Add</w:t>
      </w:r>
      <w:r>
        <w:rPr>
          <w:rFonts w:ascii="Helvetica"/>
          <w:color w:val="231F20"/>
          <w:spacing w:val="-1"/>
          <w:sz w:val="16"/>
        </w:rPr>
        <w:t> </w:t>
      </w:r>
      <w:r>
        <w:rPr>
          <w:rFonts w:ascii="Helvetica"/>
          <w:color w:val="231F20"/>
          <w:sz w:val="16"/>
        </w:rPr>
        <w:t>Hypotonic NaCl</w:t>
        <w:tab/>
        <w:t>B. Add Hypertonic NaCl</w:t>
      </w:r>
    </w:p>
    <w:p>
      <w:pPr>
        <w:spacing w:line="259" w:lineRule="auto" w:before="56"/>
        <w:ind w:left="1440" w:right="1077" w:firstLine="0"/>
        <w:jc w:val="both"/>
        <w:rPr>
          <w:rFonts w:ascii="Arial"/>
          <w:sz w:val="16"/>
        </w:rPr>
      </w:pPr>
      <w:bookmarkStart w:name="_bookmark8" w:id="9"/>
      <w:bookmarkEnd w:id="9"/>
      <w:r>
        <w:rPr/>
      </w:r>
      <w:r>
        <w:rPr>
          <w:rFonts w:ascii="Trebuchet MS"/>
          <w:b/>
          <w:color w:val="231F20"/>
          <w:sz w:val="16"/>
        </w:rPr>
        <w:t>Figure 25-6. </w:t>
      </w:r>
      <w:r>
        <w:rPr>
          <w:rFonts w:ascii="Arial"/>
          <w:color w:val="231F20"/>
          <w:sz w:val="16"/>
        </w:rPr>
        <w:t>Effect of adding isotonic, hypertonic, and hypotonic solutions to the extracellular fluid after osmotic equilibrium. The normal state</w:t>
      </w:r>
      <w:r>
        <w:rPr>
          <w:rFonts w:ascii="Arial"/>
          <w:color w:val="231F20"/>
          <w:spacing w:val="-9"/>
          <w:sz w:val="16"/>
        </w:rPr>
        <w:t> </w:t>
      </w:r>
      <w:r>
        <w:rPr>
          <w:rFonts w:ascii="Arial"/>
          <w:color w:val="231F20"/>
          <w:sz w:val="16"/>
        </w:rPr>
        <w:t>is</w:t>
      </w:r>
      <w:r>
        <w:rPr>
          <w:rFonts w:ascii="Arial"/>
          <w:color w:val="231F20"/>
          <w:spacing w:val="-8"/>
          <w:sz w:val="16"/>
        </w:rPr>
        <w:t> </w:t>
      </w:r>
      <w:r>
        <w:rPr>
          <w:rFonts w:ascii="Arial"/>
          <w:color w:val="231F20"/>
          <w:sz w:val="16"/>
        </w:rPr>
        <w:t>indicated</w:t>
      </w:r>
      <w:r>
        <w:rPr>
          <w:rFonts w:ascii="Arial"/>
          <w:color w:val="231F20"/>
          <w:spacing w:val="-8"/>
          <w:sz w:val="16"/>
        </w:rPr>
        <w:t> </w:t>
      </w:r>
      <w:r>
        <w:rPr>
          <w:rFonts w:ascii="Arial"/>
          <w:color w:val="231F20"/>
          <w:sz w:val="16"/>
        </w:rPr>
        <w:t>by</w:t>
      </w:r>
      <w:r>
        <w:rPr>
          <w:rFonts w:ascii="Arial"/>
          <w:color w:val="231F20"/>
          <w:spacing w:val="-8"/>
          <w:sz w:val="16"/>
        </w:rPr>
        <w:t> </w:t>
      </w:r>
      <w:r>
        <w:rPr>
          <w:rFonts w:ascii="Arial"/>
          <w:color w:val="231F20"/>
          <w:sz w:val="16"/>
        </w:rPr>
        <w:t>the</w:t>
      </w:r>
      <w:r>
        <w:rPr>
          <w:rFonts w:ascii="Arial"/>
          <w:color w:val="231F20"/>
          <w:spacing w:val="-8"/>
          <w:sz w:val="16"/>
        </w:rPr>
        <w:t> </w:t>
      </w:r>
      <w:r>
        <w:rPr>
          <w:rFonts w:ascii="Arial"/>
          <w:color w:val="231F20"/>
          <w:sz w:val="16"/>
        </w:rPr>
        <w:t>solid</w:t>
      </w:r>
      <w:r>
        <w:rPr>
          <w:rFonts w:ascii="Arial"/>
          <w:color w:val="231F20"/>
          <w:spacing w:val="-8"/>
          <w:sz w:val="16"/>
        </w:rPr>
        <w:t> </w:t>
      </w:r>
      <w:r>
        <w:rPr>
          <w:rFonts w:ascii="Arial"/>
          <w:color w:val="231F20"/>
          <w:sz w:val="16"/>
        </w:rPr>
        <w:t>lines,</w:t>
      </w:r>
      <w:r>
        <w:rPr>
          <w:rFonts w:ascii="Arial"/>
          <w:color w:val="231F20"/>
          <w:spacing w:val="-8"/>
          <w:sz w:val="16"/>
        </w:rPr>
        <w:t> </w:t>
      </w:r>
      <w:r>
        <w:rPr>
          <w:rFonts w:ascii="Arial"/>
          <w:color w:val="231F20"/>
          <w:sz w:val="16"/>
        </w:rPr>
        <w:t>and</w:t>
      </w:r>
      <w:r>
        <w:rPr>
          <w:rFonts w:ascii="Arial"/>
          <w:color w:val="231F20"/>
          <w:spacing w:val="-8"/>
          <w:sz w:val="16"/>
        </w:rPr>
        <w:t> </w:t>
      </w:r>
      <w:r>
        <w:rPr>
          <w:rFonts w:ascii="Arial"/>
          <w:color w:val="231F20"/>
          <w:sz w:val="16"/>
        </w:rPr>
        <w:t>the</w:t>
      </w:r>
      <w:r>
        <w:rPr>
          <w:rFonts w:ascii="Arial"/>
          <w:color w:val="231F20"/>
          <w:spacing w:val="-8"/>
          <w:sz w:val="16"/>
        </w:rPr>
        <w:t> </w:t>
      </w:r>
      <w:r>
        <w:rPr>
          <w:rFonts w:ascii="Arial"/>
          <w:color w:val="231F20"/>
          <w:sz w:val="16"/>
        </w:rPr>
        <w:t>shifts</w:t>
      </w:r>
      <w:r>
        <w:rPr>
          <w:rFonts w:ascii="Arial"/>
          <w:color w:val="231F20"/>
          <w:spacing w:val="-8"/>
          <w:sz w:val="16"/>
        </w:rPr>
        <w:t> </w:t>
      </w:r>
      <w:r>
        <w:rPr>
          <w:rFonts w:ascii="Arial"/>
          <w:color w:val="231F20"/>
          <w:sz w:val="16"/>
        </w:rPr>
        <w:t>from</w:t>
      </w:r>
      <w:r>
        <w:rPr>
          <w:rFonts w:ascii="Arial"/>
          <w:color w:val="231F20"/>
          <w:spacing w:val="-8"/>
          <w:sz w:val="16"/>
        </w:rPr>
        <w:t> </w:t>
      </w:r>
      <w:r>
        <w:rPr>
          <w:rFonts w:ascii="Arial"/>
          <w:color w:val="231F20"/>
          <w:sz w:val="16"/>
        </w:rPr>
        <w:t>normal</w:t>
      </w:r>
      <w:r>
        <w:rPr>
          <w:rFonts w:ascii="Arial"/>
          <w:color w:val="231F20"/>
          <w:spacing w:val="-8"/>
          <w:sz w:val="16"/>
        </w:rPr>
        <w:t> </w:t>
      </w:r>
      <w:r>
        <w:rPr>
          <w:rFonts w:ascii="Arial"/>
          <w:color w:val="231F20"/>
          <w:sz w:val="16"/>
        </w:rPr>
        <w:t>are</w:t>
      </w:r>
      <w:r>
        <w:rPr>
          <w:rFonts w:ascii="Arial"/>
          <w:color w:val="231F20"/>
          <w:spacing w:val="-8"/>
          <w:sz w:val="16"/>
        </w:rPr>
        <w:t> </w:t>
      </w:r>
      <w:r>
        <w:rPr>
          <w:rFonts w:ascii="Arial"/>
          <w:color w:val="231F20"/>
          <w:sz w:val="16"/>
        </w:rPr>
        <w:t>shown</w:t>
      </w:r>
      <w:r>
        <w:rPr>
          <w:rFonts w:ascii="Arial"/>
          <w:color w:val="231F20"/>
          <w:spacing w:val="-8"/>
          <w:sz w:val="16"/>
        </w:rPr>
        <w:t> </w:t>
      </w:r>
      <w:r>
        <w:rPr>
          <w:rFonts w:ascii="Arial"/>
          <w:color w:val="231F20"/>
          <w:sz w:val="16"/>
        </w:rPr>
        <w:t>by</w:t>
      </w:r>
      <w:r>
        <w:rPr>
          <w:rFonts w:ascii="Arial"/>
          <w:color w:val="231F20"/>
          <w:spacing w:val="-8"/>
          <w:sz w:val="16"/>
        </w:rPr>
        <w:t> </w:t>
      </w:r>
      <w:r>
        <w:rPr>
          <w:rFonts w:ascii="Arial"/>
          <w:color w:val="231F20"/>
          <w:sz w:val="16"/>
        </w:rPr>
        <w:t>the</w:t>
      </w:r>
      <w:r>
        <w:rPr>
          <w:rFonts w:ascii="Arial"/>
          <w:color w:val="231F20"/>
          <w:spacing w:val="-8"/>
          <w:sz w:val="16"/>
        </w:rPr>
        <w:t> </w:t>
      </w:r>
      <w:r>
        <w:rPr>
          <w:rFonts w:ascii="Arial"/>
          <w:color w:val="231F20"/>
          <w:sz w:val="16"/>
        </w:rPr>
        <w:t>shaded</w:t>
      </w:r>
      <w:r>
        <w:rPr>
          <w:rFonts w:ascii="Arial"/>
          <w:color w:val="231F20"/>
          <w:spacing w:val="-8"/>
          <w:sz w:val="16"/>
        </w:rPr>
        <w:t> </w:t>
      </w:r>
      <w:r>
        <w:rPr>
          <w:rFonts w:ascii="Arial"/>
          <w:color w:val="231F20"/>
          <w:sz w:val="16"/>
        </w:rPr>
        <w:t>areas.</w:t>
      </w:r>
      <w:r>
        <w:rPr>
          <w:rFonts w:ascii="Arial"/>
          <w:color w:val="231F20"/>
          <w:spacing w:val="-8"/>
          <w:sz w:val="16"/>
        </w:rPr>
        <w:t> </w:t>
      </w:r>
      <w:r>
        <w:rPr>
          <w:rFonts w:ascii="Arial"/>
          <w:color w:val="231F20"/>
          <w:sz w:val="16"/>
        </w:rPr>
        <w:t>The</w:t>
      </w:r>
      <w:r>
        <w:rPr>
          <w:rFonts w:ascii="Arial"/>
          <w:color w:val="231F20"/>
          <w:spacing w:val="-8"/>
          <w:sz w:val="16"/>
        </w:rPr>
        <w:t> </w:t>
      </w:r>
      <w:r>
        <w:rPr>
          <w:rFonts w:ascii="Arial"/>
          <w:color w:val="231F20"/>
          <w:sz w:val="16"/>
        </w:rPr>
        <w:t>volumes</w:t>
      </w:r>
      <w:r>
        <w:rPr>
          <w:rFonts w:ascii="Arial"/>
          <w:color w:val="231F20"/>
          <w:spacing w:val="-8"/>
          <w:sz w:val="16"/>
        </w:rPr>
        <w:t> </w:t>
      </w:r>
      <w:r>
        <w:rPr>
          <w:rFonts w:ascii="Arial"/>
          <w:color w:val="231F20"/>
          <w:sz w:val="16"/>
        </w:rPr>
        <w:t>of</w:t>
      </w:r>
      <w:r>
        <w:rPr>
          <w:rFonts w:ascii="Arial"/>
          <w:color w:val="231F20"/>
          <w:spacing w:val="-8"/>
          <w:sz w:val="16"/>
        </w:rPr>
        <w:t> </w:t>
      </w:r>
      <w:r>
        <w:rPr>
          <w:rFonts w:ascii="Arial"/>
          <w:color w:val="231F20"/>
          <w:sz w:val="16"/>
        </w:rPr>
        <w:t>intracellular</w:t>
      </w:r>
      <w:r>
        <w:rPr>
          <w:rFonts w:ascii="Arial"/>
          <w:color w:val="231F20"/>
          <w:spacing w:val="-8"/>
          <w:sz w:val="16"/>
        </w:rPr>
        <w:t> </w:t>
      </w:r>
      <w:r>
        <w:rPr>
          <w:rFonts w:ascii="Arial"/>
          <w:color w:val="231F20"/>
          <w:sz w:val="16"/>
        </w:rPr>
        <w:t>and</w:t>
      </w:r>
      <w:r>
        <w:rPr>
          <w:rFonts w:ascii="Arial"/>
          <w:color w:val="231F20"/>
          <w:spacing w:val="-8"/>
          <w:sz w:val="16"/>
        </w:rPr>
        <w:t> </w:t>
      </w:r>
      <w:r>
        <w:rPr>
          <w:rFonts w:ascii="Arial"/>
          <w:color w:val="231F20"/>
          <w:sz w:val="16"/>
        </w:rPr>
        <w:t>extracellular fluid</w:t>
      </w:r>
      <w:r>
        <w:rPr>
          <w:rFonts w:ascii="Arial"/>
          <w:color w:val="231F20"/>
          <w:spacing w:val="-6"/>
          <w:sz w:val="16"/>
        </w:rPr>
        <w:t> </w:t>
      </w:r>
      <w:r>
        <w:rPr>
          <w:rFonts w:ascii="Arial"/>
          <w:color w:val="231F20"/>
          <w:sz w:val="16"/>
        </w:rPr>
        <w:t>compartments</w:t>
      </w:r>
      <w:r>
        <w:rPr>
          <w:rFonts w:ascii="Arial"/>
          <w:color w:val="231F20"/>
          <w:spacing w:val="-5"/>
          <w:sz w:val="16"/>
        </w:rPr>
        <w:t> </w:t>
      </w:r>
      <w:r>
        <w:rPr>
          <w:rFonts w:ascii="Arial"/>
          <w:color w:val="231F20"/>
          <w:sz w:val="16"/>
        </w:rPr>
        <w:t>are</w:t>
      </w:r>
      <w:r>
        <w:rPr>
          <w:rFonts w:ascii="Arial"/>
          <w:color w:val="231F20"/>
          <w:spacing w:val="-5"/>
          <w:sz w:val="16"/>
        </w:rPr>
        <w:t> </w:t>
      </w:r>
      <w:r>
        <w:rPr>
          <w:rFonts w:ascii="Arial"/>
          <w:color w:val="231F20"/>
          <w:sz w:val="16"/>
        </w:rPr>
        <w:t>shown</w:t>
      </w:r>
      <w:r>
        <w:rPr>
          <w:rFonts w:ascii="Arial"/>
          <w:color w:val="231F20"/>
          <w:spacing w:val="-5"/>
          <w:sz w:val="16"/>
        </w:rPr>
        <w:t> </w:t>
      </w:r>
      <w:r>
        <w:rPr>
          <w:rFonts w:ascii="Arial"/>
          <w:color w:val="231F20"/>
          <w:sz w:val="16"/>
        </w:rPr>
        <w:t>in</w:t>
      </w:r>
      <w:r>
        <w:rPr>
          <w:rFonts w:ascii="Arial"/>
          <w:color w:val="231F20"/>
          <w:spacing w:val="-5"/>
          <w:sz w:val="16"/>
        </w:rPr>
        <w:t> </w:t>
      </w:r>
      <w:r>
        <w:rPr>
          <w:rFonts w:ascii="Arial"/>
          <w:color w:val="231F20"/>
          <w:sz w:val="16"/>
        </w:rPr>
        <w:t>the</w:t>
      </w:r>
      <w:r>
        <w:rPr>
          <w:rFonts w:ascii="Arial"/>
          <w:color w:val="231F20"/>
          <w:spacing w:val="-5"/>
          <w:sz w:val="16"/>
        </w:rPr>
        <w:t> </w:t>
      </w:r>
      <w:r>
        <w:rPr>
          <w:rFonts w:ascii="Arial"/>
          <w:color w:val="231F20"/>
          <w:sz w:val="16"/>
        </w:rPr>
        <w:t>abscissa</w:t>
      </w:r>
      <w:r>
        <w:rPr>
          <w:rFonts w:ascii="Arial"/>
          <w:color w:val="231F20"/>
          <w:spacing w:val="-5"/>
          <w:sz w:val="16"/>
        </w:rPr>
        <w:t> </w:t>
      </w:r>
      <w:r>
        <w:rPr>
          <w:rFonts w:ascii="Arial"/>
          <w:color w:val="231F20"/>
          <w:sz w:val="16"/>
        </w:rPr>
        <w:t>of</w:t>
      </w:r>
      <w:r>
        <w:rPr>
          <w:rFonts w:ascii="Arial"/>
          <w:color w:val="231F20"/>
          <w:spacing w:val="-5"/>
          <w:sz w:val="16"/>
        </w:rPr>
        <w:t> </w:t>
      </w:r>
      <w:r>
        <w:rPr>
          <w:rFonts w:ascii="Arial"/>
          <w:color w:val="231F20"/>
          <w:sz w:val="16"/>
        </w:rPr>
        <w:t>each</w:t>
      </w:r>
      <w:r>
        <w:rPr>
          <w:rFonts w:ascii="Arial"/>
          <w:color w:val="231F20"/>
          <w:spacing w:val="-6"/>
          <w:sz w:val="16"/>
        </w:rPr>
        <w:t> </w:t>
      </w:r>
      <w:r>
        <w:rPr>
          <w:rFonts w:ascii="Arial"/>
          <w:color w:val="231F20"/>
          <w:sz w:val="16"/>
        </w:rPr>
        <w:t>diagram,</w:t>
      </w:r>
      <w:r>
        <w:rPr>
          <w:rFonts w:ascii="Arial"/>
          <w:color w:val="231F20"/>
          <w:spacing w:val="-5"/>
          <w:sz w:val="16"/>
        </w:rPr>
        <w:t> </w:t>
      </w:r>
      <w:r>
        <w:rPr>
          <w:rFonts w:ascii="Arial"/>
          <w:color w:val="231F20"/>
          <w:sz w:val="16"/>
        </w:rPr>
        <w:t>and</w:t>
      </w:r>
      <w:r>
        <w:rPr>
          <w:rFonts w:ascii="Arial"/>
          <w:color w:val="231F20"/>
          <w:spacing w:val="-5"/>
          <w:sz w:val="16"/>
        </w:rPr>
        <w:t> </w:t>
      </w:r>
      <w:r>
        <w:rPr>
          <w:rFonts w:ascii="Arial"/>
          <w:color w:val="231F20"/>
          <w:sz w:val="16"/>
        </w:rPr>
        <w:t>the</w:t>
      </w:r>
      <w:r>
        <w:rPr>
          <w:rFonts w:ascii="Arial"/>
          <w:color w:val="231F20"/>
          <w:spacing w:val="-5"/>
          <w:sz w:val="16"/>
        </w:rPr>
        <w:t> </w:t>
      </w:r>
      <w:r>
        <w:rPr>
          <w:rFonts w:ascii="Arial"/>
          <w:color w:val="231F20"/>
          <w:sz w:val="16"/>
        </w:rPr>
        <w:t>osmolarities</w:t>
      </w:r>
      <w:r>
        <w:rPr>
          <w:rFonts w:ascii="Arial"/>
          <w:color w:val="231F20"/>
          <w:spacing w:val="-5"/>
          <w:sz w:val="16"/>
        </w:rPr>
        <w:t> </w:t>
      </w:r>
      <w:r>
        <w:rPr>
          <w:rFonts w:ascii="Arial"/>
          <w:color w:val="231F20"/>
          <w:sz w:val="16"/>
        </w:rPr>
        <w:t>of</w:t>
      </w:r>
      <w:r>
        <w:rPr>
          <w:rFonts w:ascii="Arial"/>
          <w:color w:val="231F20"/>
          <w:spacing w:val="-5"/>
          <w:sz w:val="16"/>
        </w:rPr>
        <w:t> </w:t>
      </w:r>
      <w:r>
        <w:rPr>
          <w:rFonts w:ascii="Arial"/>
          <w:color w:val="231F20"/>
          <w:sz w:val="16"/>
        </w:rPr>
        <w:t>these</w:t>
      </w:r>
      <w:r>
        <w:rPr>
          <w:rFonts w:ascii="Arial"/>
          <w:color w:val="231F20"/>
          <w:spacing w:val="-5"/>
          <w:sz w:val="16"/>
        </w:rPr>
        <w:t> </w:t>
      </w:r>
      <w:r>
        <w:rPr>
          <w:rFonts w:ascii="Arial"/>
          <w:color w:val="231F20"/>
          <w:sz w:val="16"/>
        </w:rPr>
        <w:t>compartments</w:t>
      </w:r>
      <w:r>
        <w:rPr>
          <w:rFonts w:ascii="Arial"/>
          <w:color w:val="231F20"/>
          <w:spacing w:val="-5"/>
          <w:sz w:val="16"/>
        </w:rPr>
        <w:t> </w:t>
      </w:r>
      <w:r>
        <w:rPr>
          <w:rFonts w:ascii="Arial"/>
          <w:color w:val="231F20"/>
          <w:sz w:val="16"/>
        </w:rPr>
        <w:t>are</w:t>
      </w:r>
      <w:r>
        <w:rPr>
          <w:rFonts w:ascii="Arial"/>
          <w:color w:val="231F20"/>
          <w:spacing w:val="-6"/>
          <w:sz w:val="16"/>
        </w:rPr>
        <w:t> </w:t>
      </w:r>
      <w:r>
        <w:rPr>
          <w:rFonts w:ascii="Arial"/>
          <w:color w:val="231F20"/>
          <w:sz w:val="16"/>
        </w:rPr>
        <w:t>shown</w:t>
      </w:r>
      <w:r>
        <w:rPr>
          <w:rFonts w:ascii="Arial"/>
          <w:color w:val="231F20"/>
          <w:spacing w:val="-5"/>
          <w:sz w:val="16"/>
        </w:rPr>
        <w:t> </w:t>
      </w:r>
      <w:r>
        <w:rPr>
          <w:rFonts w:ascii="Arial"/>
          <w:color w:val="231F20"/>
          <w:sz w:val="16"/>
        </w:rPr>
        <w:t>on</w:t>
      </w:r>
      <w:r>
        <w:rPr>
          <w:rFonts w:ascii="Arial"/>
          <w:color w:val="231F20"/>
          <w:spacing w:val="-5"/>
          <w:sz w:val="16"/>
        </w:rPr>
        <w:t> </w:t>
      </w:r>
      <w:r>
        <w:rPr>
          <w:rFonts w:ascii="Arial"/>
          <w:color w:val="231F20"/>
          <w:sz w:val="16"/>
        </w:rPr>
        <w:t>the</w:t>
      </w:r>
      <w:r>
        <w:rPr>
          <w:rFonts w:ascii="Arial"/>
          <w:color w:val="231F20"/>
          <w:spacing w:val="-5"/>
          <w:sz w:val="16"/>
        </w:rPr>
        <w:t> </w:t>
      </w:r>
      <w:r>
        <w:rPr>
          <w:rFonts w:ascii="Arial"/>
          <w:color w:val="231F20"/>
          <w:sz w:val="16"/>
        </w:rPr>
        <w:t>ordinates.</w:t>
      </w:r>
    </w:p>
    <w:p>
      <w:pPr>
        <w:pStyle w:val="BodyText"/>
        <w:spacing w:before="9"/>
        <w:rPr>
          <w:rFonts w:ascii="Arial"/>
          <w:sz w:val="17"/>
        </w:rPr>
      </w:pPr>
    </w:p>
    <w:p>
      <w:pPr>
        <w:spacing w:after="0"/>
        <w:rPr>
          <w:rFonts w:ascii="Arial"/>
          <w:sz w:val="17"/>
        </w:rPr>
        <w:sectPr>
          <w:type w:val="continuous"/>
          <w:pgSz w:w="12240" w:h="15660"/>
          <w:pgMar w:top="0" w:bottom="760" w:left="0" w:right="0"/>
        </w:sectPr>
      </w:pPr>
    </w:p>
    <w:p>
      <w:pPr>
        <w:pStyle w:val="BodyText"/>
        <w:spacing w:line="249" w:lineRule="auto" w:before="99"/>
        <w:ind w:left="1440"/>
      </w:pPr>
      <w:r>
        <w:rPr>
          <w:color w:val="231F20"/>
        </w:rPr>
        <w:t>fluid volume is 40 percent of body weight, the following volumes and concentrations can be calculated.</w:t>
      </w:r>
    </w:p>
    <w:p>
      <w:pPr>
        <w:spacing w:before="239"/>
        <w:ind w:left="1440" w:right="0" w:firstLine="0"/>
        <w:jc w:val="left"/>
        <w:rPr>
          <w:rFonts w:ascii="Trebuchet MS"/>
          <w:sz w:val="18"/>
        </w:rPr>
      </w:pPr>
      <w:r>
        <w:rPr>
          <w:rFonts w:ascii="Trebuchet MS"/>
          <w:color w:val="231F20"/>
          <w:w w:val="105"/>
          <w:sz w:val="18"/>
        </w:rPr>
        <w:t>Step 1. Initial Conditions</w:t>
      </w:r>
    </w:p>
    <w:p>
      <w:pPr>
        <w:pStyle w:val="BodyText"/>
        <w:spacing w:before="9"/>
        <w:rPr>
          <w:rFonts w:ascii="Trebuchet MS"/>
          <w:sz w:val="10"/>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2"/>
        <w:gridCol w:w="944"/>
        <w:gridCol w:w="1443"/>
        <w:gridCol w:w="782"/>
      </w:tblGrid>
      <w:tr>
        <w:trPr>
          <w:trHeight w:val="222" w:hRule="atLeast"/>
        </w:trPr>
        <w:tc>
          <w:tcPr>
            <w:tcW w:w="1512" w:type="dxa"/>
            <w:tcBorders>
              <w:top w:val="single" w:sz="4" w:space="0" w:color="231F20"/>
            </w:tcBorders>
          </w:tcPr>
          <w:p>
            <w:pPr>
              <w:pStyle w:val="TableParagraph"/>
              <w:spacing w:before="0"/>
              <w:rPr>
                <w:rFonts w:ascii="Times New Roman"/>
                <w:sz w:val="14"/>
              </w:rPr>
            </w:pPr>
          </w:p>
        </w:tc>
        <w:tc>
          <w:tcPr>
            <w:tcW w:w="944" w:type="dxa"/>
            <w:tcBorders>
              <w:top w:val="single" w:sz="4" w:space="0" w:color="231F20"/>
            </w:tcBorders>
          </w:tcPr>
          <w:p>
            <w:pPr>
              <w:pStyle w:val="TableParagraph"/>
              <w:spacing w:line="173" w:lineRule="exact"/>
              <w:ind w:left="156" w:right="157"/>
              <w:jc w:val="center"/>
              <w:rPr>
                <w:b/>
                <w:sz w:val="16"/>
              </w:rPr>
            </w:pPr>
            <w:r>
              <w:rPr>
                <w:b/>
                <w:color w:val="231F20"/>
                <w:w w:val="105"/>
                <w:sz w:val="16"/>
              </w:rPr>
              <w:t>Volume</w:t>
            </w:r>
          </w:p>
        </w:tc>
        <w:tc>
          <w:tcPr>
            <w:tcW w:w="1443" w:type="dxa"/>
            <w:tcBorders>
              <w:top w:val="single" w:sz="4" w:space="0" w:color="231F20"/>
            </w:tcBorders>
          </w:tcPr>
          <w:p>
            <w:pPr>
              <w:pStyle w:val="TableParagraph"/>
              <w:spacing w:line="173" w:lineRule="exact"/>
              <w:ind w:left="168" w:right="169"/>
              <w:jc w:val="center"/>
              <w:rPr>
                <w:b/>
                <w:sz w:val="16"/>
              </w:rPr>
            </w:pPr>
            <w:r>
              <w:rPr>
                <w:b/>
                <w:color w:val="231F20"/>
                <w:sz w:val="16"/>
              </w:rPr>
              <w:t>Concentration</w:t>
            </w:r>
          </w:p>
        </w:tc>
        <w:tc>
          <w:tcPr>
            <w:tcW w:w="782" w:type="dxa"/>
            <w:tcBorders>
              <w:top w:val="single" w:sz="4" w:space="0" w:color="231F20"/>
            </w:tcBorders>
          </w:tcPr>
          <w:p>
            <w:pPr>
              <w:pStyle w:val="TableParagraph"/>
              <w:spacing w:line="173" w:lineRule="exact"/>
              <w:ind w:right="116"/>
              <w:jc w:val="right"/>
              <w:rPr>
                <w:b/>
                <w:sz w:val="16"/>
              </w:rPr>
            </w:pPr>
            <w:r>
              <w:rPr>
                <w:b/>
                <w:color w:val="231F20"/>
                <w:sz w:val="16"/>
              </w:rPr>
              <w:t>Total</w:t>
            </w:r>
          </w:p>
        </w:tc>
      </w:tr>
      <w:tr>
        <w:trPr>
          <w:trHeight w:val="491" w:hRule="atLeast"/>
        </w:trPr>
        <w:tc>
          <w:tcPr>
            <w:tcW w:w="1512" w:type="dxa"/>
          </w:tcPr>
          <w:p>
            <w:pPr>
              <w:pStyle w:val="TableParagraph"/>
              <w:spacing w:before="5"/>
              <w:rPr>
                <w:sz w:val="22"/>
              </w:rPr>
            </w:pPr>
          </w:p>
          <w:p>
            <w:pPr>
              <w:pStyle w:val="TableParagraph"/>
              <w:spacing w:before="1"/>
              <w:rPr>
                <w:sz w:val="16"/>
              </w:rPr>
            </w:pPr>
            <w:r>
              <w:rPr>
                <w:color w:val="231F20"/>
                <w:w w:val="105"/>
                <w:sz w:val="16"/>
              </w:rPr>
              <w:t>Extracellular fluid</w:t>
            </w:r>
          </w:p>
        </w:tc>
        <w:tc>
          <w:tcPr>
            <w:tcW w:w="944" w:type="dxa"/>
          </w:tcPr>
          <w:p>
            <w:pPr>
              <w:pStyle w:val="TableParagraph"/>
              <w:spacing w:before="7"/>
              <w:ind w:left="156" w:right="157"/>
              <w:jc w:val="center"/>
              <w:rPr>
                <w:b/>
                <w:sz w:val="16"/>
              </w:rPr>
            </w:pPr>
            <w:r>
              <w:rPr>
                <w:b/>
                <w:color w:val="231F20"/>
                <w:sz w:val="16"/>
              </w:rPr>
              <w:t>(Liters)</w:t>
            </w:r>
          </w:p>
          <w:p>
            <w:pPr>
              <w:pStyle w:val="TableParagraph"/>
              <w:spacing w:before="68"/>
              <w:ind w:left="156" w:right="157"/>
              <w:jc w:val="center"/>
              <w:rPr>
                <w:sz w:val="16"/>
              </w:rPr>
            </w:pPr>
            <w:r>
              <w:rPr>
                <w:color w:val="231F20"/>
                <w:w w:val="105"/>
                <w:sz w:val="16"/>
              </w:rPr>
              <w:t>14</w:t>
            </w:r>
          </w:p>
        </w:tc>
        <w:tc>
          <w:tcPr>
            <w:tcW w:w="1443" w:type="dxa"/>
          </w:tcPr>
          <w:p>
            <w:pPr>
              <w:pStyle w:val="TableParagraph"/>
              <w:spacing w:before="7"/>
              <w:ind w:left="168" w:right="169"/>
              <w:jc w:val="center"/>
              <w:rPr>
                <w:b/>
                <w:sz w:val="16"/>
              </w:rPr>
            </w:pPr>
            <w:r>
              <w:rPr>
                <w:b/>
                <w:color w:val="231F20"/>
                <w:sz w:val="16"/>
              </w:rPr>
              <w:t>(mOsm/L)</w:t>
            </w:r>
          </w:p>
          <w:p>
            <w:pPr>
              <w:pStyle w:val="TableParagraph"/>
              <w:spacing w:before="68"/>
              <w:ind w:left="168" w:right="169"/>
              <w:jc w:val="center"/>
              <w:rPr>
                <w:sz w:val="16"/>
              </w:rPr>
            </w:pPr>
            <w:r>
              <w:rPr>
                <w:color w:val="231F20"/>
                <w:w w:val="105"/>
                <w:sz w:val="16"/>
              </w:rPr>
              <w:t>280</w:t>
            </w:r>
          </w:p>
        </w:tc>
        <w:tc>
          <w:tcPr>
            <w:tcW w:w="782" w:type="dxa"/>
          </w:tcPr>
          <w:p>
            <w:pPr>
              <w:pStyle w:val="TableParagraph"/>
              <w:spacing w:before="7"/>
              <w:ind w:right="5"/>
              <w:jc w:val="right"/>
              <w:rPr>
                <w:b/>
                <w:sz w:val="16"/>
              </w:rPr>
            </w:pPr>
            <w:r>
              <w:rPr>
                <w:b/>
                <w:color w:val="231F20"/>
                <w:sz w:val="16"/>
              </w:rPr>
              <w:t>(mOsm)</w:t>
            </w:r>
          </w:p>
          <w:p>
            <w:pPr>
              <w:pStyle w:val="TableParagraph"/>
              <w:spacing w:before="68"/>
              <w:ind w:right="59"/>
              <w:jc w:val="right"/>
              <w:rPr>
                <w:sz w:val="16"/>
              </w:rPr>
            </w:pPr>
            <w:r>
              <w:rPr>
                <w:color w:val="231F20"/>
                <w:w w:val="105"/>
                <w:sz w:val="16"/>
              </w:rPr>
              <w:t>3920</w:t>
            </w:r>
          </w:p>
        </w:tc>
      </w:tr>
      <w:tr>
        <w:trPr>
          <w:trHeight w:val="274" w:hRule="atLeast"/>
        </w:trPr>
        <w:tc>
          <w:tcPr>
            <w:tcW w:w="1512" w:type="dxa"/>
          </w:tcPr>
          <w:p>
            <w:pPr>
              <w:pStyle w:val="TableParagraph"/>
              <w:spacing w:before="44"/>
              <w:rPr>
                <w:sz w:val="16"/>
              </w:rPr>
            </w:pPr>
            <w:r>
              <w:rPr>
                <w:color w:val="231F20"/>
                <w:w w:val="105"/>
                <w:sz w:val="16"/>
              </w:rPr>
              <w:t>Intracellular fluid</w:t>
            </w:r>
          </w:p>
        </w:tc>
        <w:tc>
          <w:tcPr>
            <w:tcW w:w="944" w:type="dxa"/>
          </w:tcPr>
          <w:p>
            <w:pPr>
              <w:pStyle w:val="TableParagraph"/>
              <w:spacing w:before="44"/>
              <w:ind w:left="156" w:right="157"/>
              <w:jc w:val="center"/>
              <w:rPr>
                <w:sz w:val="16"/>
              </w:rPr>
            </w:pPr>
            <w:r>
              <w:rPr>
                <w:color w:val="231F20"/>
                <w:w w:val="105"/>
                <w:sz w:val="16"/>
              </w:rPr>
              <w:t>28</w:t>
            </w:r>
          </w:p>
        </w:tc>
        <w:tc>
          <w:tcPr>
            <w:tcW w:w="1443" w:type="dxa"/>
          </w:tcPr>
          <w:p>
            <w:pPr>
              <w:pStyle w:val="TableParagraph"/>
              <w:spacing w:before="44"/>
              <w:ind w:left="168" w:right="169"/>
              <w:jc w:val="center"/>
              <w:rPr>
                <w:sz w:val="16"/>
              </w:rPr>
            </w:pPr>
            <w:r>
              <w:rPr>
                <w:color w:val="231F20"/>
                <w:w w:val="105"/>
                <w:sz w:val="16"/>
              </w:rPr>
              <w:t>280</w:t>
            </w:r>
          </w:p>
        </w:tc>
        <w:tc>
          <w:tcPr>
            <w:tcW w:w="782" w:type="dxa"/>
          </w:tcPr>
          <w:p>
            <w:pPr>
              <w:pStyle w:val="TableParagraph"/>
              <w:spacing w:before="44"/>
              <w:ind w:right="59"/>
              <w:jc w:val="right"/>
              <w:rPr>
                <w:sz w:val="16"/>
              </w:rPr>
            </w:pPr>
            <w:r>
              <w:rPr>
                <w:color w:val="231F20"/>
                <w:w w:val="105"/>
                <w:sz w:val="16"/>
              </w:rPr>
              <w:t>7840</w:t>
            </w:r>
          </w:p>
        </w:tc>
      </w:tr>
      <w:tr>
        <w:trPr>
          <w:trHeight w:val="289" w:hRule="atLeast"/>
        </w:trPr>
        <w:tc>
          <w:tcPr>
            <w:tcW w:w="1512" w:type="dxa"/>
            <w:tcBorders>
              <w:bottom w:val="single" w:sz="4" w:space="0" w:color="231F20"/>
            </w:tcBorders>
          </w:tcPr>
          <w:p>
            <w:pPr>
              <w:pStyle w:val="TableParagraph"/>
              <w:spacing w:before="44"/>
              <w:rPr>
                <w:sz w:val="16"/>
              </w:rPr>
            </w:pPr>
            <w:r>
              <w:rPr>
                <w:color w:val="231F20"/>
                <w:w w:val="105"/>
                <w:sz w:val="16"/>
              </w:rPr>
              <w:t>Total body fluid</w:t>
            </w:r>
          </w:p>
        </w:tc>
        <w:tc>
          <w:tcPr>
            <w:tcW w:w="944" w:type="dxa"/>
            <w:tcBorders>
              <w:bottom w:val="single" w:sz="4" w:space="0" w:color="231F20"/>
            </w:tcBorders>
          </w:tcPr>
          <w:p>
            <w:pPr>
              <w:pStyle w:val="TableParagraph"/>
              <w:spacing w:before="44"/>
              <w:ind w:left="156" w:right="157"/>
              <w:jc w:val="center"/>
              <w:rPr>
                <w:sz w:val="16"/>
              </w:rPr>
            </w:pPr>
            <w:r>
              <w:rPr>
                <w:color w:val="231F20"/>
                <w:w w:val="105"/>
                <w:sz w:val="16"/>
              </w:rPr>
              <w:t>42</w:t>
            </w:r>
          </w:p>
        </w:tc>
        <w:tc>
          <w:tcPr>
            <w:tcW w:w="1443" w:type="dxa"/>
            <w:tcBorders>
              <w:bottom w:val="single" w:sz="4" w:space="0" w:color="231F20"/>
            </w:tcBorders>
          </w:tcPr>
          <w:p>
            <w:pPr>
              <w:pStyle w:val="TableParagraph"/>
              <w:spacing w:before="44"/>
              <w:ind w:left="168" w:right="169"/>
              <w:jc w:val="center"/>
              <w:rPr>
                <w:sz w:val="16"/>
              </w:rPr>
            </w:pPr>
            <w:r>
              <w:rPr>
                <w:color w:val="231F20"/>
                <w:w w:val="105"/>
                <w:sz w:val="16"/>
              </w:rPr>
              <w:t>280</w:t>
            </w:r>
          </w:p>
        </w:tc>
        <w:tc>
          <w:tcPr>
            <w:tcW w:w="782" w:type="dxa"/>
            <w:tcBorders>
              <w:bottom w:val="single" w:sz="4" w:space="0" w:color="231F20"/>
            </w:tcBorders>
          </w:tcPr>
          <w:p>
            <w:pPr>
              <w:pStyle w:val="TableParagraph"/>
              <w:spacing w:before="44"/>
              <w:ind w:right="59"/>
              <w:jc w:val="right"/>
              <w:rPr>
                <w:sz w:val="16"/>
              </w:rPr>
            </w:pPr>
            <w:r>
              <w:rPr>
                <w:color w:val="231F20"/>
                <w:sz w:val="16"/>
              </w:rPr>
              <w:t>11,760</w:t>
            </w:r>
          </w:p>
        </w:tc>
      </w:tr>
    </w:tbl>
    <w:p>
      <w:pPr>
        <w:pStyle w:val="BodyText"/>
        <w:rPr>
          <w:rFonts w:ascii="Trebuchet MS"/>
          <w:sz w:val="25"/>
        </w:rPr>
      </w:pPr>
    </w:p>
    <w:p>
      <w:pPr>
        <w:pStyle w:val="BodyText"/>
        <w:ind w:left="1680"/>
      </w:pPr>
      <w:r>
        <w:rPr>
          <w:color w:val="231F20"/>
        </w:rPr>
        <w:t>Next, we calculate the total milliosmoles added to</w:t>
      </w:r>
    </w:p>
    <w:p>
      <w:pPr>
        <w:pStyle w:val="BodyText"/>
        <w:spacing w:line="249" w:lineRule="auto" w:before="99"/>
        <w:ind w:left="319" w:right="1079"/>
        <w:jc w:val="both"/>
      </w:pPr>
      <w:r>
        <w:rPr/>
        <w:br w:type="column"/>
      </w:r>
      <w:r>
        <w:rPr>
          <w:color w:val="231F20"/>
        </w:rPr>
        <w:t>be</w:t>
      </w:r>
      <w:r>
        <w:rPr>
          <w:color w:val="231F20"/>
          <w:spacing w:val="-5"/>
        </w:rPr>
        <w:t> </w:t>
      </w:r>
      <w:r>
        <w:rPr>
          <w:color w:val="231F20"/>
        </w:rPr>
        <w:t>calculated</w:t>
      </w:r>
      <w:r>
        <w:rPr>
          <w:color w:val="231F20"/>
          <w:spacing w:val="-4"/>
        </w:rPr>
        <w:t> </w:t>
      </w:r>
      <w:r>
        <w:rPr>
          <w:color w:val="231F20"/>
        </w:rPr>
        <w:t>by</w:t>
      </w:r>
      <w:r>
        <w:rPr>
          <w:color w:val="231F20"/>
          <w:spacing w:val="-4"/>
        </w:rPr>
        <w:t> </w:t>
      </w:r>
      <w:r>
        <w:rPr>
          <w:color w:val="231F20"/>
        </w:rPr>
        <w:t>dividing</w:t>
      </w:r>
      <w:r>
        <w:rPr>
          <w:color w:val="231F20"/>
          <w:spacing w:val="-4"/>
        </w:rPr>
        <w:t> </w:t>
      </w:r>
      <w:r>
        <w:rPr>
          <w:color w:val="231F20"/>
        </w:rPr>
        <w:t>5971</w:t>
      </w:r>
      <w:r>
        <w:rPr>
          <w:color w:val="231F20"/>
          <w:spacing w:val="-4"/>
        </w:rPr>
        <w:t> </w:t>
      </w:r>
      <w:r>
        <w:rPr>
          <w:color w:val="231F20"/>
        </w:rPr>
        <w:t>milliosmoles</w:t>
      </w:r>
      <w:r>
        <w:rPr>
          <w:color w:val="231F20"/>
          <w:spacing w:val="-4"/>
        </w:rPr>
        <w:t> </w:t>
      </w:r>
      <w:r>
        <w:rPr>
          <w:color w:val="231F20"/>
        </w:rPr>
        <w:t>by</w:t>
      </w:r>
      <w:r>
        <w:rPr>
          <w:color w:val="231F20"/>
          <w:spacing w:val="-4"/>
        </w:rPr>
        <w:t> </w:t>
      </w:r>
      <w:r>
        <w:rPr>
          <w:color w:val="231F20"/>
        </w:rPr>
        <w:t>16</w:t>
      </w:r>
      <w:r>
        <w:rPr>
          <w:color w:val="231F20"/>
          <w:spacing w:val="-4"/>
        </w:rPr>
        <w:t> </w:t>
      </w:r>
      <w:r>
        <w:rPr>
          <w:color w:val="231F20"/>
        </w:rPr>
        <w:t>liters</w:t>
      </w:r>
      <w:r>
        <w:rPr>
          <w:color w:val="231F20"/>
          <w:spacing w:val="-5"/>
        </w:rPr>
        <w:t> </w:t>
      </w:r>
      <w:r>
        <w:rPr>
          <w:color w:val="231F20"/>
        </w:rPr>
        <w:t>to yield a concentration of about 373 mOsm/L. Thus, </w:t>
      </w:r>
      <w:r>
        <w:rPr>
          <w:color w:val="231F20"/>
          <w:spacing w:val="-6"/>
        </w:rPr>
        <w:t>the </w:t>
      </w:r>
      <w:r>
        <w:rPr>
          <w:color w:val="231F20"/>
        </w:rPr>
        <w:t>following values would occur instantly after adding </w:t>
      </w:r>
      <w:r>
        <w:rPr>
          <w:color w:val="231F20"/>
          <w:spacing w:val="-5"/>
        </w:rPr>
        <w:t>the </w:t>
      </w:r>
      <w:r>
        <w:rPr>
          <w:color w:val="231F20"/>
        </w:rPr>
        <w:t>solution.</w:t>
      </w:r>
    </w:p>
    <w:p>
      <w:pPr>
        <w:spacing w:line="252" w:lineRule="auto" w:before="241"/>
        <w:ind w:left="319" w:right="1239" w:firstLine="0"/>
        <w:jc w:val="left"/>
        <w:rPr>
          <w:rFonts w:ascii="Trebuchet MS"/>
          <w:sz w:val="18"/>
        </w:rPr>
      </w:pPr>
      <w:r>
        <w:rPr>
          <w:rFonts w:ascii="Trebuchet MS"/>
          <w:color w:val="231F20"/>
          <w:w w:val="105"/>
          <w:sz w:val="18"/>
        </w:rPr>
        <w:t>Step 2. Instantaneous Effect of Adding 2 Liters of 3.0 Percent Sodium Chloride</w:t>
      </w:r>
    </w:p>
    <w:p>
      <w:pPr>
        <w:pStyle w:val="BodyText"/>
        <w:spacing w:before="10" w:after="1"/>
        <w:rPr>
          <w:rFonts w:ascii="Trebuchet MS"/>
          <w:sz w:val="9"/>
        </w:rPr>
      </w:pPr>
    </w:p>
    <w:tbl>
      <w:tblPr>
        <w:tblW w:w="0" w:type="auto"/>
        <w:jc w:val="left"/>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9"/>
        <w:gridCol w:w="943"/>
        <w:gridCol w:w="1447"/>
        <w:gridCol w:w="784"/>
      </w:tblGrid>
      <w:tr>
        <w:trPr>
          <w:trHeight w:val="222" w:hRule="atLeast"/>
        </w:trPr>
        <w:tc>
          <w:tcPr>
            <w:tcW w:w="1509" w:type="dxa"/>
            <w:tcBorders>
              <w:top w:val="single" w:sz="4" w:space="0" w:color="231F20"/>
            </w:tcBorders>
          </w:tcPr>
          <w:p>
            <w:pPr>
              <w:pStyle w:val="TableParagraph"/>
              <w:spacing w:before="0"/>
              <w:rPr>
                <w:rFonts w:ascii="Times New Roman"/>
                <w:sz w:val="14"/>
              </w:rPr>
            </w:pPr>
          </w:p>
        </w:tc>
        <w:tc>
          <w:tcPr>
            <w:tcW w:w="943" w:type="dxa"/>
            <w:tcBorders>
              <w:top w:val="single" w:sz="4" w:space="0" w:color="231F20"/>
            </w:tcBorders>
          </w:tcPr>
          <w:p>
            <w:pPr>
              <w:pStyle w:val="TableParagraph"/>
              <w:spacing w:line="173" w:lineRule="exact"/>
              <w:ind w:left="154" w:right="159"/>
              <w:jc w:val="center"/>
              <w:rPr>
                <w:b/>
                <w:sz w:val="16"/>
              </w:rPr>
            </w:pPr>
            <w:r>
              <w:rPr>
                <w:b/>
                <w:color w:val="231F20"/>
                <w:w w:val="105"/>
                <w:sz w:val="16"/>
              </w:rPr>
              <w:t>Volume</w:t>
            </w:r>
          </w:p>
        </w:tc>
        <w:tc>
          <w:tcPr>
            <w:tcW w:w="1447" w:type="dxa"/>
            <w:tcBorders>
              <w:top w:val="single" w:sz="4" w:space="0" w:color="231F20"/>
            </w:tcBorders>
          </w:tcPr>
          <w:p>
            <w:pPr>
              <w:pStyle w:val="TableParagraph"/>
              <w:spacing w:line="173" w:lineRule="exact"/>
              <w:ind w:left="170" w:right="172"/>
              <w:jc w:val="center"/>
              <w:rPr>
                <w:b/>
                <w:sz w:val="16"/>
              </w:rPr>
            </w:pPr>
            <w:r>
              <w:rPr>
                <w:b/>
                <w:color w:val="231F20"/>
                <w:sz w:val="16"/>
              </w:rPr>
              <w:t>Concentration</w:t>
            </w:r>
          </w:p>
        </w:tc>
        <w:tc>
          <w:tcPr>
            <w:tcW w:w="784" w:type="dxa"/>
            <w:tcBorders>
              <w:top w:val="single" w:sz="4" w:space="0" w:color="231F20"/>
            </w:tcBorders>
          </w:tcPr>
          <w:p>
            <w:pPr>
              <w:pStyle w:val="TableParagraph"/>
              <w:spacing w:line="173" w:lineRule="exact"/>
              <w:ind w:right="118"/>
              <w:jc w:val="right"/>
              <w:rPr>
                <w:b/>
                <w:sz w:val="16"/>
              </w:rPr>
            </w:pPr>
            <w:r>
              <w:rPr>
                <w:b/>
                <w:color w:val="231F20"/>
                <w:sz w:val="16"/>
              </w:rPr>
              <w:t>Total</w:t>
            </w:r>
          </w:p>
        </w:tc>
      </w:tr>
      <w:tr>
        <w:trPr>
          <w:trHeight w:val="491" w:hRule="atLeast"/>
        </w:trPr>
        <w:tc>
          <w:tcPr>
            <w:tcW w:w="1509" w:type="dxa"/>
          </w:tcPr>
          <w:p>
            <w:pPr>
              <w:pStyle w:val="TableParagraph"/>
              <w:spacing w:before="5"/>
              <w:rPr>
                <w:sz w:val="22"/>
              </w:rPr>
            </w:pPr>
          </w:p>
          <w:p>
            <w:pPr>
              <w:pStyle w:val="TableParagraph"/>
              <w:spacing w:before="1"/>
              <w:rPr>
                <w:sz w:val="16"/>
              </w:rPr>
            </w:pPr>
            <w:r>
              <w:rPr>
                <w:color w:val="231F20"/>
                <w:w w:val="105"/>
                <w:sz w:val="16"/>
              </w:rPr>
              <w:t>Extracellular fluid</w:t>
            </w:r>
          </w:p>
        </w:tc>
        <w:tc>
          <w:tcPr>
            <w:tcW w:w="943" w:type="dxa"/>
          </w:tcPr>
          <w:p>
            <w:pPr>
              <w:pStyle w:val="TableParagraph"/>
              <w:spacing w:before="7"/>
              <w:ind w:left="154" w:right="159"/>
              <w:jc w:val="center"/>
              <w:rPr>
                <w:b/>
                <w:sz w:val="16"/>
              </w:rPr>
            </w:pPr>
            <w:r>
              <w:rPr>
                <w:b/>
                <w:color w:val="231F20"/>
                <w:sz w:val="16"/>
              </w:rPr>
              <w:t>(Liters)</w:t>
            </w:r>
          </w:p>
          <w:p>
            <w:pPr>
              <w:pStyle w:val="TableParagraph"/>
              <w:spacing w:before="68"/>
              <w:ind w:left="154" w:right="159"/>
              <w:jc w:val="center"/>
              <w:rPr>
                <w:sz w:val="16"/>
              </w:rPr>
            </w:pPr>
            <w:r>
              <w:rPr>
                <w:color w:val="231F20"/>
                <w:w w:val="105"/>
                <w:sz w:val="16"/>
              </w:rPr>
              <w:t>16</w:t>
            </w:r>
          </w:p>
        </w:tc>
        <w:tc>
          <w:tcPr>
            <w:tcW w:w="1447" w:type="dxa"/>
          </w:tcPr>
          <w:p>
            <w:pPr>
              <w:pStyle w:val="TableParagraph"/>
              <w:spacing w:before="7"/>
              <w:ind w:left="170" w:right="172"/>
              <w:jc w:val="center"/>
              <w:rPr>
                <w:b/>
                <w:sz w:val="16"/>
              </w:rPr>
            </w:pPr>
            <w:r>
              <w:rPr>
                <w:b/>
                <w:color w:val="231F20"/>
                <w:sz w:val="16"/>
              </w:rPr>
              <w:t>(mOsm/L)</w:t>
            </w:r>
          </w:p>
          <w:p>
            <w:pPr>
              <w:pStyle w:val="TableParagraph"/>
              <w:spacing w:before="68"/>
              <w:ind w:left="170" w:right="172"/>
              <w:jc w:val="center"/>
              <w:rPr>
                <w:sz w:val="16"/>
              </w:rPr>
            </w:pPr>
            <w:r>
              <w:rPr>
                <w:color w:val="231F20"/>
                <w:w w:val="105"/>
                <w:sz w:val="16"/>
              </w:rPr>
              <w:t>373</w:t>
            </w:r>
          </w:p>
        </w:tc>
        <w:tc>
          <w:tcPr>
            <w:tcW w:w="784" w:type="dxa"/>
          </w:tcPr>
          <w:p>
            <w:pPr>
              <w:pStyle w:val="TableParagraph"/>
              <w:spacing w:before="7"/>
              <w:ind w:right="7"/>
              <w:jc w:val="right"/>
              <w:rPr>
                <w:b/>
                <w:sz w:val="16"/>
              </w:rPr>
            </w:pPr>
            <w:r>
              <w:rPr>
                <w:b/>
                <w:color w:val="231F20"/>
                <w:sz w:val="16"/>
              </w:rPr>
              <w:t>(mOsm)</w:t>
            </w:r>
          </w:p>
          <w:p>
            <w:pPr>
              <w:pStyle w:val="TableParagraph"/>
              <w:spacing w:before="68"/>
              <w:ind w:right="60"/>
              <w:jc w:val="right"/>
              <w:rPr>
                <w:sz w:val="16"/>
              </w:rPr>
            </w:pPr>
            <w:r>
              <w:rPr>
                <w:color w:val="231F20"/>
                <w:w w:val="105"/>
                <w:sz w:val="16"/>
              </w:rPr>
              <w:t>5971</w:t>
            </w:r>
          </w:p>
        </w:tc>
      </w:tr>
      <w:tr>
        <w:trPr>
          <w:trHeight w:val="279" w:hRule="atLeast"/>
        </w:trPr>
        <w:tc>
          <w:tcPr>
            <w:tcW w:w="1509" w:type="dxa"/>
          </w:tcPr>
          <w:p>
            <w:pPr>
              <w:pStyle w:val="TableParagraph"/>
              <w:spacing w:before="44"/>
              <w:rPr>
                <w:sz w:val="16"/>
              </w:rPr>
            </w:pPr>
            <w:r>
              <w:rPr>
                <w:color w:val="231F20"/>
                <w:w w:val="105"/>
                <w:sz w:val="16"/>
              </w:rPr>
              <w:t>Intracellular fluid</w:t>
            </w:r>
          </w:p>
        </w:tc>
        <w:tc>
          <w:tcPr>
            <w:tcW w:w="943" w:type="dxa"/>
          </w:tcPr>
          <w:p>
            <w:pPr>
              <w:pStyle w:val="TableParagraph"/>
              <w:spacing w:before="44"/>
              <w:ind w:left="154" w:right="159"/>
              <w:jc w:val="center"/>
              <w:rPr>
                <w:sz w:val="16"/>
              </w:rPr>
            </w:pPr>
            <w:r>
              <w:rPr>
                <w:color w:val="231F20"/>
                <w:w w:val="105"/>
                <w:sz w:val="16"/>
              </w:rPr>
              <w:t>28</w:t>
            </w:r>
          </w:p>
        </w:tc>
        <w:tc>
          <w:tcPr>
            <w:tcW w:w="1447" w:type="dxa"/>
          </w:tcPr>
          <w:p>
            <w:pPr>
              <w:pStyle w:val="TableParagraph"/>
              <w:spacing w:before="44"/>
              <w:ind w:left="170" w:right="172"/>
              <w:jc w:val="center"/>
              <w:rPr>
                <w:sz w:val="16"/>
              </w:rPr>
            </w:pPr>
            <w:r>
              <w:rPr>
                <w:color w:val="231F20"/>
                <w:w w:val="105"/>
                <w:sz w:val="16"/>
              </w:rPr>
              <w:t>280</w:t>
            </w:r>
          </w:p>
        </w:tc>
        <w:tc>
          <w:tcPr>
            <w:tcW w:w="784" w:type="dxa"/>
          </w:tcPr>
          <w:p>
            <w:pPr>
              <w:pStyle w:val="TableParagraph"/>
              <w:spacing w:before="44"/>
              <w:ind w:right="60"/>
              <w:jc w:val="right"/>
              <w:rPr>
                <w:sz w:val="16"/>
              </w:rPr>
            </w:pPr>
            <w:r>
              <w:rPr>
                <w:color w:val="231F20"/>
                <w:w w:val="105"/>
                <w:sz w:val="16"/>
              </w:rPr>
              <w:t>7840</w:t>
            </w:r>
          </w:p>
        </w:tc>
      </w:tr>
    </w:tbl>
    <w:p>
      <w:pPr>
        <w:tabs>
          <w:tab w:pos="2207" w:val="left" w:leader="none"/>
          <w:tab w:pos="2952" w:val="left" w:leader="none"/>
          <w:tab w:pos="4450" w:val="left" w:leader="none"/>
        </w:tabs>
        <w:spacing w:line="92" w:lineRule="exact" w:before="38"/>
        <w:ind w:left="319" w:right="0" w:firstLine="0"/>
        <w:jc w:val="left"/>
        <w:rPr>
          <w:rFonts w:ascii="Trebuchet MS"/>
          <w:sz w:val="16"/>
        </w:rPr>
      </w:pPr>
      <w:r>
        <w:rPr>
          <w:rFonts w:ascii="Trebuchet MS"/>
          <w:color w:val="231F20"/>
          <w:spacing w:val="-3"/>
          <w:w w:val="105"/>
          <w:sz w:val="16"/>
        </w:rPr>
        <w:t>Total</w:t>
      </w:r>
      <w:r>
        <w:rPr>
          <w:rFonts w:ascii="Trebuchet MS"/>
          <w:color w:val="231F20"/>
          <w:spacing w:val="4"/>
          <w:w w:val="105"/>
          <w:sz w:val="16"/>
        </w:rPr>
        <w:t> </w:t>
      </w:r>
      <w:r>
        <w:rPr>
          <w:rFonts w:ascii="Trebuchet MS"/>
          <w:color w:val="231F20"/>
          <w:w w:val="105"/>
          <w:sz w:val="16"/>
        </w:rPr>
        <w:t>body</w:t>
      </w:r>
      <w:r>
        <w:rPr>
          <w:rFonts w:ascii="Trebuchet MS"/>
          <w:color w:val="231F20"/>
          <w:spacing w:val="5"/>
          <w:w w:val="105"/>
          <w:sz w:val="16"/>
        </w:rPr>
        <w:t> </w:t>
      </w:r>
      <w:r>
        <w:rPr>
          <w:rFonts w:ascii="Trebuchet MS"/>
          <w:color w:val="231F20"/>
          <w:w w:val="105"/>
          <w:sz w:val="16"/>
        </w:rPr>
        <w:t>fluid</w:t>
        <w:tab/>
        <w:t>44</w:t>
        <w:tab/>
        <w:t>No</w:t>
      </w:r>
      <w:r>
        <w:rPr>
          <w:rFonts w:ascii="Trebuchet MS"/>
          <w:color w:val="231F20"/>
          <w:spacing w:val="9"/>
          <w:w w:val="105"/>
          <w:sz w:val="16"/>
        </w:rPr>
        <w:t> </w:t>
      </w:r>
      <w:r>
        <w:rPr>
          <w:rFonts w:ascii="Trebuchet MS"/>
          <w:color w:val="231F20"/>
          <w:w w:val="105"/>
          <w:sz w:val="16"/>
        </w:rPr>
        <w:t>equilibrium</w:t>
        <w:tab/>
        <w:t>13,811</w:t>
      </w:r>
    </w:p>
    <w:p>
      <w:pPr>
        <w:spacing w:after="0" w:line="92" w:lineRule="exact"/>
        <w:jc w:val="left"/>
        <w:rPr>
          <w:rFonts w:ascii="Trebuchet MS"/>
          <w:sz w:val="16"/>
        </w:rPr>
        <w:sectPr>
          <w:type w:val="continuous"/>
          <w:pgSz w:w="12240" w:h="15660"/>
          <w:pgMar w:top="0" w:bottom="760" w:left="0" w:right="0"/>
          <w:cols w:num="2" w:equalWidth="0">
            <w:col w:w="6121" w:space="40"/>
            <w:col w:w="6079"/>
          </w:cols>
        </w:sectPr>
      </w:pPr>
    </w:p>
    <w:p>
      <w:pPr>
        <w:pStyle w:val="BodyText"/>
        <w:tabs>
          <w:tab w:pos="6479" w:val="left" w:leader="none"/>
          <w:tab w:pos="11159" w:val="left" w:leader="none"/>
        </w:tabs>
        <w:spacing w:line="249" w:lineRule="auto"/>
        <w:ind w:left="1440" w:right="1078"/>
      </w:pPr>
      <w:r>
        <w:rPr>
          <w:color w:val="231F20"/>
        </w:rPr>
        <w:t>the</w:t>
      </w:r>
      <w:r>
        <w:rPr>
          <w:color w:val="231F20"/>
          <w:spacing w:val="38"/>
        </w:rPr>
        <w:t> </w:t>
      </w:r>
      <w:r>
        <w:rPr>
          <w:color w:val="231F20"/>
        </w:rPr>
        <w:t>extracellular</w:t>
      </w:r>
      <w:r>
        <w:rPr>
          <w:color w:val="231F20"/>
          <w:spacing w:val="39"/>
        </w:rPr>
        <w:t> </w:t>
      </w:r>
      <w:r>
        <w:rPr>
          <w:color w:val="231F20"/>
        </w:rPr>
        <w:t>fluid</w:t>
      </w:r>
      <w:r>
        <w:rPr>
          <w:color w:val="231F20"/>
          <w:spacing w:val="39"/>
        </w:rPr>
        <w:t> </w:t>
      </w:r>
      <w:r>
        <w:rPr>
          <w:color w:val="231F20"/>
        </w:rPr>
        <w:t>in</w:t>
      </w:r>
      <w:r>
        <w:rPr>
          <w:color w:val="231F20"/>
          <w:spacing w:val="38"/>
        </w:rPr>
        <w:t> </w:t>
      </w:r>
      <w:r>
        <w:rPr>
          <w:color w:val="231F20"/>
        </w:rPr>
        <w:t>2</w:t>
      </w:r>
      <w:r>
        <w:rPr>
          <w:color w:val="231F20"/>
          <w:spacing w:val="39"/>
        </w:rPr>
        <w:t> </w:t>
      </w:r>
      <w:r>
        <w:rPr>
          <w:color w:val="231F20"/>
        </w:rPr>
        <w:t>liters</w:t>
      </w:r>
      <w:r>
        <w:rPr>
          <w:color w:val="231F20"/>
          <w:spacing w:val="39"/>
        </w:rPr>
        <w:t> </w:t>
      </w:r>
      <w:r>
        <w:rPr>
          <w:color w:val="231F20"/>
        </w:rPr>
        <w:t>of</w:t>
      </w:r>
      <w:r>
        <w:rPr>
          <w:color w:val="231F20"/>
          <w:spacing w:val="39"/>
        </w:rPr>
        <w:t> </w:t>
      </w:r>
      <w:r>
        <w:rPr>
          <w:color w:val="231F20"/>
        </w:rPr>
        <w:t>3.0</w:t>
      </w:r>
      <w:r>
        <w:rPr>
          <w:color w:val="231F20"/>
          <w:spacing w:val="38"/>
        </w:rPr>
        <w:t> </w:t>
      </w:r>
      <w:r>
        <w:rPr>
          <w:color w:val="231F20"/>
        </w:rPr>
        <w:t>percent</w:t>
      </w:r>
      <w:r>
        <w:rPr>
          <w:color w:val="231F20"/>
          <w:spacing w:val="39"/>
        </w:rPr>
        <w:t> </w:t>
      </w:r>
      <w:r>
        <w:rPr>
          <w:color w:val="231F20"/>
        </w:rPr>
        <w:t>sodium</w:t>
        <w:tab/>
      </w:r>
      <w:r>
        <w:rPr>
          <w:color w:val="231F20"/>
          <w:w w:val="94"/>
          <w:u w:val="single" w:color="231F20"/>
        </w:rPr>
        <w:t> </w:t>
      </w:r>
      <w:r>
        <w:rPr>
          <w:color w:val="231F20"/>
          <w:u w:val="single" w:color="231F20"/>
        </w:rPr>
        <w:tab/>
      </w:r>
      <w:r>
        <w:rPr>
          <w:color w:val="231F20"/>
        </w:rPr>
        <w:t>                                                                                         chloride. A 3.0 percent solution means that there</w:t>
      </w:r>
      <w:r>
        <w:rPr>
          <w:color w:val="231F20"/>
          <w:spacing w:val="19"/>
        </w:rPr>
        <w:t> </w:t>
      </w:r>
      <w:r>
        <w:rPr>
          <w:color w:val="231F20"/>
        </w:rPr>
        <w:t>are</w:t>
      </w:r>
    </w:p>
    <w:p>
      <w:pPr>
        <w:spacing w:after="0" w:line="249" w:lineRule="auto"/>
        <w:sectPr>
          <w:type w:val="continuous"/>
          <w:pgSz w:w="12240" w:h="15660"/>
          <w:pgMar w:top="0" w:bottom="760" w:left="0" w:right="0"/>
        </w:sectPr>
      </w:pPr>
    </w:p>
    <w:p>
      <w:pPr>
        <w:pStyle w:val="BodyText"/>
        <w:spacing w:line="249" w:lineRule="auto" w:before="1"/>
        <w:ind w:left="1440"/>
        <w:jc w:val="both"/>
      </w:pPr>
      <w:r>
        <w:rPr/>
        <w:pict>
          <v:group style="position:absolute;margin-left:0pt;margin-top:0pt;width:612pt;height:180pt;mso-position-horizontal-relative:page;mso-position-vertical-relative:page;z-index:-27367116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w10:wrap type="none"/>
          </v:group>
        </w:pict>
      </w:r>
      <w:r>
        <w:rPr>
          <w:color w:val="231F20"/>
        </w:rPr>
        <w:t>3.0 g/100 ml, or 30 grams of sodium chloride per liter. Because the molecular weight of sodium chloride is about</w:t>
      </w:r>
    </w:p>
    <w:p>
      <w:pPr>
        <w:pStyle w:val="BodyText"/>
        <w:spacing w:line="249" w:lineRule="auto" w:before="2"/>
        <w:ind w:left="1440"/>
        <w:jc w:val="both"/>
      </w:pPr>
      <w:r>
        <w:rPr>
          <w:color w:val="231F20"/>
        </w:rPr>
        <w:t>58.5 g/mol, this means that there is about 0.5128 mole of sodium chloride per liter of solution. For 2 liters of solu­ tion, this would be 1.0256 mole of sodium chloride. Because 1 mole of sodium chloride is equal to approxi­ mately 2 osmoles (sodium chloride has two osmotically active particles per mole), the net effect of adding 2 liters of this solution is to add 2051 milliosmoles of sodium chloride to the extracellular fluid.</w:t>
      </w:r>
    </w:p>
    <w:p>
      <w:pPr>
        <w:pStyle w:val="BodyText"/>
        <w:spacing w:line="249" w:lineRule="auto" w:before="6"/>
        <w:ind w:left="1440" w:firstLine="240"/>
        <w:jc w:val="both"/>
      </w:pPr>
      <w:r>
        <w:rPr>
          <w:color w:val="231F20"/>
        </w:rPr>
        <w:t>In Step 2, we calculate the instantaneous effect </w:t>
      </w:r>
      <w:r>
        <w:rPr>
          <w:color w:val="231F20"/>
          <w:spacing w:val="-7"/>
        </w:rPr>
        <w:t>of </w:t>
      </w:r>
      <w:r>
        <w:rPr>
          <w:color w:val="231F20"/>
        </w:rPr>
        <w:t>adding 2051 milliosmoles of sodium chloride to the </w:t>
      </w:r>
      <w:r>
        <w:rPr>
          <w:color w:val="231F20"/>
          <w:spacing w:val="-4"/>
        </w:rPr>
        <w:t>extra­ </w:t>
      </w:r>
      <w:r>
        <w:rPr>
          <w:color w:val="231F20"/>
        </w:rPr>
        <w:t>cellular fluid along with 2 liters of volume. There </w:t>
      </w:r>
      <w:r>
        <w:rPr>
          <w:color w:val="231F20"/>
          <w:spacing w:val="-3"/>
        </w:rPr>
        <w:t>would </w:t>
      </w:r>
      <w:r>
        <w:rPr>
          <w:color w:val="231F20"/>
        </w:rPr>
        <w:t>be no change in the </w:t>
      </w:r>
      <w:r>
        <w:rPr>
          <w:i/>
          <w:color w:val="231F20"/>
        </w:rPr>
        <w:t>intracellular fluid </w:t>
      </w:r>
      <w:r>
        <w:rPr>
          <w:color w:val="231F20"/>
        </w:rPr>
        <w:t>concentration or volume, and there would be no osmotic equilibrium. </w:t>
      </w:r>
      <w:r>
        <w:rPr>
          <w:color w:val="231F20"/>
          <w:spacing w:val="-8"/>
        </w:rPr>
        <w:t>In  </w:t>
      </w:r>
      <w:r>
        <w:rPr>
          <w:color w:val="231F20"/>
        </w:rPr>
        <w:t>the </w:t>
      </w:r>
      <w:r>
        <w:rPr>
          <w:i/>
          <w:color w:val="231F20"/>
        </w:rPr>
        <w:t>extracellular fluid, </w:t>
      </w:r>
      <w:r>
        <w:rPr>
          <w:color w:val="231F20"/>
        </w:rPr>
        <w:t>however, there would be an addi­ tional 2051 milliosmoles of total solute, yielding a total </w:t>
      </w:r>
      <w:r>
        <w:rPr>
          <w:color w:val="231F20"/>
          <w:spacing w:val="-8"/>
        </w:rPr>
        <w:t>of </w:t>
      </w:r>
      <w:r>
        <w:rPr>
          <w:color w:val="231F20"/>
        </w:rPr>
        <w:t>5971 milliosmoles. Because the extracellular compart­ ment</w:t>
      </w:r>
      <w:r>
        <w:rPr>
          <w:color w:val="231F20"/>
          <w:spacing w:val="19"/>
        </w:rPr>
        <w:t> </w:t>
      </w:r>
      <w:r>
        <w:rPr>
          <w:color w:val="231F20"/>
        </w:rPr>
        <w:t>now</w:t>
      </w:r>
      <w:r>
        <w:rPr>
          <w:color w:val="231F20"/>
          <w:spacing w:val="20"/>
        </w:rPr>
        <w:t> </w:t>
      </w:r>
      <w:r>
        <w:rPr>
          <w:color w:val="231F20"/>
        </w:rPr>
        <w:t>has</w:t>
      </w:r>
      <w:r>
        <w:rPr>
          <w:color w:val="231F20"/>
          <w:spacing w:val="20"/>
        </w:rPr>
        <w:t> </w:t>
      </w:r>
      <w:r>
        <w:rPr>
          <w:color w:val="231F20"/>
        </w:rPr>
        <w:t>16</w:t>
      </w:r>
      <w:r>
        <w:rPr>
          <w:color w:val="231F20"/>
          <w:spacing w:val="20"/>
        </w:rPr>
        <w:t> </w:t>
      </w:r>
      <w:r>
        <w:rPr>
          <w:color w:val="231F20"/>
        </w:rPr>
        <w:t>liters</w:t>
      </w:r>
      <w:r>
        <w:rPr>
          <w:color w:val="231F20"/>
          <w:spacing w:val="20"/>
        </w:rPr>
        <w:t> </w:t>
      </w:r>
      <w:r>
        <w:rPr>
          <w:color w:val="231F20"/>
        </w:rPr>
        <w:t>of</w:t>
      </w:r>
      <w:r>
        <w:rPr>
          <w:color w:val="231F20"/>
          <w:spacing w:val="20"/>
        </w:rPr>
        <w:t> </w:t>
      </w:r>
      <w:r>
        <w:rPr>
          <w:color w:val="231F20"/>
        </w:rPr>
        <w:t>volume,</w:t>
      </w:r>
      <w:r>
        <w:rPr>
          <w:color w:val="231F20"/>
          <w:spacing w:val="20"/>
        </w:rPr>
        <w:t> </w:t>
      </w:r>
      <w:r>
        <w:rPr>
          <w:color w:val="231F20"/>
        </w:rPr>
        <w:t>the</w:t>
      </w:r>
      <w:r>
        <w:rPr>
          <w:color w:val="231F20"/>
          <w:spacing w:val="20"/>
        </w:rPr>
        <w:t> </w:t>
      </w:r>
      <w:r>
        <w:rPr>
          <w:color w:val="231F20"/>
        </w:rPr>
        <w:t>concentration</w:t>
      </w:r>
      <w:r>
        <w:rPr>
          <w:color w:val="231F20"/>
          <w:spacing w:val="20"/>
        </w:rPr>
        <w:t> </w:t>
      </w:r>
      <w:r>
        <w:rPr>
          <w:color w:val="231F20"/>
          <w:spacing w:val="-4"/>
        </w:rPr>
        <w:t>can</w:t>
      </w:r>
    </w:p>
    <w:p>
      <w:pPr>
        <w:pStyle w:val="BodyText"/>
        <w:spacing w:line="249" w:lineRule="auto" w:before="1"/>
        <w:ind w:left="319" w:right="1077" w:firstLine="240"/>
        <w:jc w:val="both"/>
      </w:pPr>
      <w:r>
        <w:rPr/>
        <w:br w:type="column"/>
      </w:r>
      <w:r>
        <w:rPr>
          <w:color w:val="231F20"/>
        </w:rPr>
        <w:t>In the third step, we calculate the volumes and </w:t>
      </w:r>
      <w:r>
        <w:rPr>
          <w:color w:val="231F20"/>
          <w:spacing w:val="-4"/>
        </w:rPr>
        <w:t>con­ </w:t>
      </w:r>
      <w:r>
        <w:rPr>
          <w:color w:val="231F20"/>
        </w:rPr>
        <w:t>centrations that would occur within a few minutes after osmotic equilibrium develops. In this case, the </w:t>
      </w:r>
      <w:r>
        <w:rPr>
          <w:color w:val="231F20"/>
          <w:spacing w:val="-3"/>
        </w:rPr>
        <w:t>concentra­ </w:t>
      </w:r>
      <w:r>
        <w:rPr>
          <w:color w:val="231F20"/>
        </w:rPr>
        <w:t>tions in the intracellular and extracellular fluid </w:t>
      </w:r>
      <w:r>
        <w:rPr>
          <w:color w:val="231F20"/>
          <w:spacing w:val="-4"/>
        </w:rPr>
        <w:t>compart­ </w:t>
      </w:r>
      <w:r>
        <w:rPr>
          <w:color w:val="231F20"/>
        </w:rPr>
        <w:t>ments would be equal and can be calculated by dividing the total milliosmoles in the body, 13,811, by the total volume, which is now 44 liters. This calculation yields </w:t>
      </w:r>
      <w:r>
        <w:rPr>
          <w:color w:val="231F20"/>
          <w:spacing w:val="-11"/>
        </w:rPr>
        <w:t>a </w:t>
      </w:r>
      <w:r>
        <w:rPr>
          <w:color w:val="231F20"/>
        </w:rPr>
        <w:t>concentration of 313.9 mOsm/L. Therefore, all the body fluid compartments will have this same concentration after osmotic equilibrium. Assuming that no solute or water has been lost from the body and that there is no movement of sodium chloride into or out of the cells, we then calculate the volumes of the intracellular and extra­ cellular compartments. The intracellular fluid volume is calculated by dividing the total milliosmoles in the intra­ cellular</w:t>
      </w:r>
      <w:r>
        <w:rPr>
          <w:color w:val="231F20"/>
          <w:spacing w:val="-16"/>
        </w:rPr>
        <w:t> </w:t>
      </w:r>
      <w:r>
        <w:rPr>
          <w:color w:val="231F20"/>
        </w:rPr>
        <w:t>fluid</w:t>
      </w:r>
      <w:r>
        <w:rPr>
          <w:color w:val="231F20"/>
          <w:spacing w:val="-16"/>
        </w:rPr>
        <w:t> </w:t>
      </w:r>
      <w:r>
        <w:rPr>
          <w:color w:val="231F20"/>
        </w:rPr>
        <w:t>(7840)</w:t>
      </w:r>
      <w:r>
        <w:rPr>
          <w:color w:val="231F20"/>
          <w:spacing w:val="-16"/>
        </w:rPr>
        <w:t> </w:t>
      </w:r>
      <w:r>
        <w:rPr>
          <w:color w:val="231F20"/>
        </w:rPr>
        <w:t>by</w:t>
      </w:r>
      <w:r>
        <w:rPr>
          <w:color w:val="231F20"/>
          <w:spacing w:val="-16"/>
        </w:rPr>
        <w:t> </w:t>
      </w:r>
      <w:r>
        <w:rPr>
          <w:color w:val="231F20"/>
        </w:rPr>
        <w:t>the</w:t>
      </w:r>
      <w:r>
        <w:rPr>
          <w:color w:val="231F20"/>
          <w:spacing w:val="-16"/>
        </w:rPr>
        <w:t> </w:t>
      </w:r>
      <w:r>
        <w:rPr>
          <w:color w:val="231F20"/>
        </w:rPr>
        <w:t>concentration</w:t>
      </w:r>
      <w:r>
        <w:rPr>
          <w:color w:val="231F20"/>
          <w:spacing w:val="-15"/>
        </w:rPr>
        <w:t> </w:t>
      </w:r>
      <w:r>
        <w:rPr>
          <w:color w:val="231F20"/>
        </w:rPr>
        <w:t>(313.9</w:t>
      </w:r>
      <w:r>
        <w:rPr>
          <w:color w:val="231F20"/>
          <w:spacing w:val="17"/>
        </w:rPr>
        <w:t> </w:t>
      </w:r>
      <w:r>
        <w:rPr>
          <w:color w:val="231F20"/>
        </w:rPr>
        <w:t>mOsm/L), to</w:t>
      </w:r>
      <w:r>
        <w:rPr>
          <w:color w:val="231F20"/>
          <w:spacing w:val="-12"/>
        </w:rPr>
        <w:t> </w:t>
      </w:r>
      <w:r>
        <w:rPr>
          <w:color w:val="231F20"/>
        </w:rPr>
        <w:t>yield</w:t>
      </w:r>
      <w:r>
        <w:rPr>
          <w:color w:val="231F20"/>
          <w:spacing w:val="-11"/>
        </w:rPr>
        <w:t> </w:t>
      </w:r>
      <w:r>
        <w:rPr>
          <w:color w:val="231F20"/>
        </w:rPr>
        <w:t>a</w:t>
      </w:r>
      <w:r>
        <w:rPr>
          <w:color w:val="231F20"/>
          <w:spacing w:val="-11"/>
        </w:rPr>
        <w:t> </w:t>
      </w:r>
      <w:r>
        <w:rPr>
          <w:color w:val="231F20"/>
        </w:rPr>
        <w:t>volume</w:t>
      </w:r>
      <w:r>
        <w:rPr>
          <w:color w:val="231F20"/>
          <w:spacing w:val="-11"/>
        </w:rPr>
        <w:t> </w:t>
      </w:r>
      <w:r>
        <w:rPr>
          <w:color w:val="231F20"/>
        </w:rPr>
        <w:t>of</w:t>
      </w:r>
      <w:r>
        <w:rPr>
          <w:color w:val="231F20"/>
          <w:spacing w:val="-12"/>
        </w:rPr>
        <w:t> </w:t>
      </w:r>
      <w:r>
        <w:rPr>
          <w:color w:val="231F20"/>
        </w:rPr>
        <w:t>24.98</w:t>
      </w:r>
      <w:r>
        <w:rPr>
          <w:color w:val="231F20"/>
          <w:spacing w:val="-11"/>
        </w:rPr>
        <w:t> </w:t>
      </w:r>
      <w:r>
        <w:rPr>
          <w:color w:val="231F20"/>
        </w:rPr>
        <w:t>liters.</w:t>
      </w:r>
      <w:r>
        <w:rPr>
          <w:color w:val="231F20"/>
          <w:spacing w:val="-11"/>
        </w:rPr>
        <w:t> </w:t>
      </w:r>
      <w:r>
        <w:rPr>
          <w:color w:val="231F20"/>
        </w:rPr>
        <w:t>Extracellular</w:t>
      </w:r>
      <w:r>
        <w:rPr>
          <w:color w:val="231F20"/>
          <w:spacing w:val="-11"/>
        </w:rPr>
        <w:t> </w:t>
      </w:r>
      <w:r>
        <w:rPr>
          <w:color w:val="231F20"/>
        </w:rPr>
        <w:t>fluid</w:t>
      </w:r>
      <w:r>
        <w:rPr>
          <w:color w:val="231F20"/>
          <w:spacing w:val="-12"/>
        </w:rPr>
        <w:t> </w:t>
      </w:r>
      <w:r>
        <w:rPr>
          <w:color w:val="231F20"/>
        </w:rPr>
        <w:t>volume is calculated by dividing the total milliosmoles in</w:t>
      </w:r>
      <w:r>
        <w:rPr>
          <w:color w:val="231F20"/>
          <w:spacing w:val="-29"/>
        </w:rPr>
        <w:t> </w:t>
      </w:r>
      <w:r>
        <w:rPr>
          <w:color w:val="231F20"/>
        </w:rPr>
        <w:t>extracel­ lular</w:t>
      </w:r>
      <w:r>
        <w:rPr>
          <w:color w:val="231F20"/>
          <w:spacing w:val="23"/>
        </w:rPr>
        <w:t> </w:t>
      </w:r>
      <w:r>
        <w:rPr>
          <w:color w:val="231F20"/>
        </w:rPr>
        <w:t>fluid</w:t>
      </w:r>
      <w:r>
        <w:rPr>
          <w:color w:val="231F20"/>
          <w:spacing w:val="24"/>
        </w:rPr>
        <w:t> </w:t>
      </w:r>
      <w:r>
        <w:rPr>
          <w:color w:val="231F20"/>
        </w:rPr>
        <w:t>(5971)</w:t>
      </w:r>
      <w:r>
        <w:rPr>
          <w:color w:val="231F20"/>
          <w:spacing w:val="24"/>
        </w:rPr>
        <w:t> </w:t>
      </w:r>
      <w:r>
        <w:rPr>
          <w:color w:val="231F20"/>
        </w:rPr>
        <w:t>by</w:t>
      </w:r>
      <w:r>
        <w:rPr>
          <w:color w:val="231F20"/>
          <w:spacing w:val="24"/>
        </w:rPr>
        <w:t> </w:t>
      </w:r>
      <w:r>
        <w:rPr>
          <w:color w:val="231F20"/>
        </w:rPr>
        <w:t>the</w:t>
      </w:r>
      <w:r>
        <w:rPr>
          <w:color w:val="231F20"/>
          <w:spacing w:val="24"/>
        </w:rPr>
        <w:t> </w:t>
      </w:r>
      <w:r>
        <w:rPr>
          <w:color w:val="231F20"/>
        </w:rPr>
        <w:t>concentration</w:t>
      </w:r>
      <w:r>
        <w:rPr>
          <w:color w:val="231F20"/>
          <w:spacing w:val="24"/>
        </w:rPr>
        <w:t> </w:t>
      </w:r>
      <w:r>
        <w:rPr>
          <w:color w:val="231F20"/>
        </w:rPr>
        <w:t>(313.9</w:t>
      </w:r>
      <w:r>
        <w:rPr>
          <w:color w:val="231F20"/>
          <w:spacing w:val="13"/>
        </w:rPr>
        <w:t> </w:t>
      </w:r>
      <w:r>
        <w:rPr>
          <w:color w:val="231F20"/>
        </w:rPr>
        <w:t>mOsm/L),</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53"/>
          <w:footerReference w:type="even" r:id="rId54"/>
          <w:footerReference w:type="default" r:id="rId55"/>
          <w:pgSz w:w="12240" w:h="15660"/>
          <w:pgMar w:header="0" w:footer="567" w:top="720" w:bottom="760" w:left="0" w:right="0"/>
          <w:pgNumType w:start="314"/>
        </w:sectPr>
      </w:pPr>
    </w:p>
    <w:p>
      <w:pPr>
        <w:pStyle w:val="BodyText"/>
        <w:spacing w:line="249" w:lineRule="auto" w:before="99"/>
        <w:ind w:left="1080"/>
        <w:jc w:val="both"/>
      </w:pPr>
      <w:r>
        <w:rPr>
          <w:color w:val="231F20"/>
        </w:rPr>
        <w:t>to yield a volume of 19.02 liters. Again, these </w:t>
      </w:r>
      <w:r>
        <w:rPr>
          <w:color w:val="231F20"/>
          <w:spacing w:val="-3"/>
        </w:rPr>
        <w:t>calculations </w:t>
      </w:r>
      <w:r>
        <w:rPr>
          <w:color w:val="231F20"/>
        </w:rPr>
        <w:t>are based on the assumption that the sodium </w:t>
      </w:r>
      <w:r>
        <w:rPr>
          <w:color w:val="231F20"/>
          <w:spacing w:val="-3"/>
        </w:rPr>
        <w:t>chloride </w:t>
      </w:r>
      <w:r>
        <w:rPr>
          <w:color w:val="231F20"/>
        </w:rPr>
        <w:t>added to the extracellular fluid remains there and </w:t>
      </w:r>
      <w:r>
        <w:rPr>
          <w:color w:val="231F20"/>
          <w:spacing w:val="-4"/>
        </w:rPr>
        <w:t>does </w:t>
      </w:r>
      <w:r>
        <w:rPr>
          <w:color w:val="231F20"/>
          <w:spacing w:val="42"/>
        </w:rPr>
        <w:t> </w:t>
      </w:r>
      <w:r>
        <w:rPr>
          <w:color w:val="231F20"/>
        </w:rPr>
        <w:t>not move into the</w:t>
      </w:r>
      <w:r>
        <w:rPr>
          <w:color w:val="231F20"/>
          <w:spacing w:val="27"/>
        </w:rPr>
        <w:t> </w:t>
      </w:r>
      <w:r>
        <w:rPr>
          <w:color w:val="231F20"/>
        </w:rPr>
        <w:t>cells.</w:t>
      </w:r>
    </w:p>
    <w:p>
      <w:pPr>
        <w:spacing w:line="220" w:lineRule="atLeast" w:before="150"/>
        <w:ind w:left="1080" w:right="29" w:firstLine="0"/>
        <w:jc w:val="both"/>
        <w:rPr>
          <w:rFonts w:ascii="Trebuchet MS"/>
          <w:sz w:val="18"/>
        </w:rPr>
      </w:pPr>
      <w:r>
        <w:rPr>
          <w:rFonts w:ascii="Trebuchet MS"/>
          <w:color w:val="231F20"/>
          <w:w w:val="105"/>
          <w:sz w:val="18"/>
        </w:rPr>
        <w:t>Step 3. Effect of Adding 2 Liters of 3.0 Percent</w:t>
      </w:r>
      <w:r>
        <w:rPr>
          <w:rFonts w:ascii="Trebuchet MS"/>
          <w:color w:val="231F20"/>
          <w:spacing w:val="-15"/>
          <w:w w:val="105"/>
          <w:sz w:val="18"/>
        </w:rPr>
        <w:t> </w:t>
      </w:r>
      <w:r>
        <w:rPr>
          <w:rFonts w:ascii="Trebuchet MS"/>
          <w:color w:val="231F20"/>
          <w:w w:val="105"/>
          <w:sz w:val="18"/>
        </w:rPr>
        <w:t>Sodium Chloride After Osmotic</w:t>
      </w:r>
      <w:r>
        <w:rPr>
          <w:rFonts w:ascii="Trebuchet MS"/>
          <w:color w:val="231F20"/>
          <w:spacing w:val="7"/>
          <w:w w:val="105"/>
          <w:sz w:val="18"/>
        </w:rPr>
        <w:t> </w:t>
      </w:r>
      <w:r>
        <w:rPr>
          <w:rFonts w:ascii="Trebuchet MS"/>
          <w:color w:val="231F20"/>
          <w:w w:val="105"/>
          <w:sz w:val="18"/>
        </w:rPr>
        <w:t>Equilibrium</w:t>
      </w:r>
    </w:p>
    <w:p>
      <w:pPr>
        <w:pStyle w:val="BodyText"/>
        <w:spacing w:line="249" w:lineRule="auto" w:before="99"/>
        <w:ind w:left="319" w:right="1437" w:firstLine="240"/>
        <w:jc w:val="both"/>
      </w:pPr>
      <w:r>
        <w:rPr/>
        <w:br w:type="column"/>
      </w:r>
      <w:r>
        <w:rPr>
          <w:color w:val="231F20"/>
        </w:rPr>
        <w:t>A 5 percent glucose solution, which is nearly isos­ motic, is often used to treat dehydration. Because the solution is isosmotic, it can be infused intravenously without causing red blood cell swelling, as would occur with an infusion of pure water. Because glucose in the solution is rapidly transported into the cells and metabo­</w:t>
      </w:r>
    </w:p>
    <w:p>
      <w:pPr>
        <w:spacing w:after="0" w:line="249" w:lineRule="auto"/>
        <w:jc w:val="both"/>
        <w:sectPr>
          <w:type w:val="continuous"/>
          <w:pgSz w:w="12240" w:h="15660"/>
          <w:pgMar w:top="0" w:bottom="760" w:left="0" w:right="0"/>
          <w:cols w:num="2" w:equalWidth="0">
            <w:col w:w="5761" w:space="40"/>
            <w:col w:w="6439"/>
          </w:cols>
        </w:sectPr>
      </w:pPr>
    </w:p>
    <w:p>
      <w:pPr>
        <w:pStyle w:val="BodyText"/>
        <w:tabs>
          <w:tab w:pos="5759" w:val="left" w:leader="none"/>
          <w:tab w:pos="6119" w:val="left" w:leader="none"/>
        </w:tabs>
        <w:spacing w:line="124" w:lineRule="exact"/>
        <w:ind w:left="1080"/>
      </w:pPr>
      <w:r>
        <w:rPr>
          <w:color w:val="231F20"/>
          <w:w w:val="94"/>
          <w:u w:val="single" w:color="231F20"/>
        </w:rPr>
        <w:t> </w:t>
      </w:r>
      <w:r>
        <w:rPr>
          <w:color w:val="231F20"/>
          <w:u w:val="single" w:color="231F20"/>
        </w:rPr>
        <w:tab/>
      </w:r>
      <w:r>
        <w:rPr>
          <w:color w:val="231F20"/>
        </w:rPr>
        <w:tab/>
        <w:t>lized,</w:t>
      </w:r>
      <w:r>
        <w:rPr>
          <w:color w:val="231F20"/>
          <w:spacing w:val="39"/>
        </w:rPr>
        <w:t> </w:t>
      </w:r>
      <w:r>
        <w:rPr>
          <w:color w:val="231F20"/>
        </w:rPr>
        <w:t>infusion</w:t>
      </w:r>
      <w:r>
        <w:rPr>
          <w:color w:val="231F20"/>
          <w:spacing w:val="39"/>
        </w:rPr>
        <w:t> </w:t>
      </w:r>
      <w:r>
        <w:rPr>
          <w:color w:val="231F20"/>
        </w:rPr>
        <w:t>of</w:t>
      </w:r>
      <w:r>
        <w:rPr>
          <w:color w:val="231F20"/>
          <w:spacing w:val="39"/>
        </w:rPr>
        <w:t> </w:t>
      </w:r>
      <w:r>
        <w:rPr>
          <w:color w:val="231F20"/>
        </w:rPr>
        <w:t>a</w:t>
      </w:r>
      <w:r>
        <w:rPr>
          <w:color w:val="231F20"/>
          <w:spacing w:val="39"/>
        </w:rPr>
        <w:t> </w:t>
      </w:r>
      <w:r>
        <w:rPr>
          <w:color w:val="231F20"/>
        </w:rPr>
        <w:t>5</w:t>
      </w:r>
      <w:r>
        <w:rPr>
          <w:color w:val="231F20"/>
          <w:spacing w:val="39"/>
        </w:rPr>
        <w:t> </w:t>
      </w:r>
      <w:r>
        <w:rPr>
          <w:color w:val="231F20"/>
        </w:rPr>
        <w:t>percent</w:t>
      </w:r>
      <w:r>
        <w:rPr>
          <w:color w:val="231F20"/>
          <w:spacing w:val="39"/>
        </w:rPr>
        <w:t> </w:t>
      </w:r>
      <w:r>
        <w:rPr>
          <w:color w:val="231F20"/>
        </w:rPr>
        <w:t>glucose</w:t>
      </w:r>
      <w:r>
        <w:rPr>
          <w:color w:val="231F20"/>
          <w:spacing w:val="39"/>
        </w:rPr>
        <w:t> </w:t>
      </w:r>
      <w:r>
        <w:rPr>
          <w:color w:val="231F20"/>
        </w:rPr>
        <w:t>solution</w:t>
      </w:r>
      <w:r>
        <w:rPr>
          <w:color w:val="231F20"/>
          <w:spacing w:val="39"/>
        </w:rPr>
        <w:t> </w:t>
      </w:r>
      <w:r>
        <w:rPr>
          <w:color w:val="231F20"/>
        </w:rPr>
        <w:t>reduces</w:t>
      </w:r>
    </w:p>
    <w:p>
      <w:pPr>
        <w:spacing w:after="0" w:line="124" w:lineRule="exact"/>
        <w:sectPr>
          <w:type w:val="continuous"/>
          <w:pgSz w:w="12240" w:h="15660"/>
          <w:pgMar w:top="0" w:bottom="760" w:left="0" w:right="0"/>
        </w:sectPr>
      </w:pPr>
    </w:p>
    <w:p>
      <w:pPr>
        <w:spacing w:before="36"/>
        <w:ind w:left="0" w:right="0" w:firstLine="0"/>
        <w:jc w:val="right"/>
        <w:rPr>
          <w:rFonts w:ascii="Trebuchet MS"/>
          <w:b/>
          <w:sz w:val="16"/>
        </w:rPr>
      </w:pPr>
      <w:r>
        <w:rPr/>
        <w:pict>
          <v:shape style="position:absolute;margin-left:54pt;margin-top:11.831744pt;width:234pt;height:53.2pt;mso-position-horizontal-relative:page;mso-position-vertical-relative:paragraph;z-index:2517473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5"/>
                    <w:gridCol w:w="996"/>
                    <w:gridCol w:w="1297"/>
                    <w:gridCol w:w="871"/>
                  </w:tblGrid>
                  <w:tr>
                    <w:trPr>
                      <w:trHeight w:val="219" w:hRule="atLeast"/>
                    </w:trPr>
                    <w:tc>
                      <w:tcPr>
                        <w:tcW w:w="1515" w:type="dxa"/>
                      </w:tcPr>
                      <w:p>
                        <w:pPr>
                          <w:pStyle w:val="TableParagraph"/>
                          <w:spacing w:before="0"/>
                          <w:rPr>
                            <w:rFonts w:ascii="Times New Roman"/>
                            <w:sz w:val="14"/>
                          </w:rPr>
                        </w:pPr>
                      </w:p>
                    </w:tc>
                    <w:tc>
                      <w:tcPr>
                        <w:tcW w:w="996" w:type="dxa"/>
                      </w:tcPr>
                      <w:p>
                        <w:pPr>
                          <w:pStyle w:val="TableParagraph"/>
                          <w:spacing w:line="185" w:lineRule="exact" w:before="0"/>
                          <w:ind w:left="190"/>
                          <w:rPr>
                            <w:b/>
                            <w:sz w:val="16"/>
                          </w:rPr>
                        </w:pPr>
                        <w:r>
                          <w:rPr>
                            <w:b/>
                            <w:color w:val="231F20"/>
                            <w:sz w:val="16"/>
                          </w:rPr>
                          <w:t>(Liters)</w:t>
                        </w:r>
                      </w:p>
                    </w:tc>
                    <w:tc>
                      <w:tcPr>
                        <w:tcW w:w="1297" w:type="dxa"/>
                      </w:tcPr>
                      <w:p>
                        <w:pPr>
                          <w:pStyle w:val="TableParagraph"/>
                          <w:spacing w:line="185" w:lineRule="exact" w:before="0"/>
                          <w:ind w:left="273" w:right="259"/>
                          <w:jc w:val="center"/>
                          <w:rPr>
                            <w:b/>
                            <w:sz w:val="16"/>
                          </w:rPr>
                        </w:pPr>
                        <w:r>
                          <w:rPr>
                            <w:b/>
                            <w:color w:val="231F20"/>
                            <w:sz w:val="16"/>
                          </w:rPr>
                          <w:t>(mOsm/L)</w:t>
                        </w:r>
                      </w:p>
                    </w:tc>
                    <w:tc>
                      <w:tcPr>
                        <w:tcW w:w="871" w:type="dxa"/>
                      </w:tcPr>
                      <w:p>
                        <w:pPr>
                          <w:pStyle w:val="TableParagraph"/>
                          <w:spacing w:line="185" w:lineRule="exact" w:before="0"/>
                          <w:ind w:right="3"/>
                          <w:jc w:val="right"/>
                          <w:rPr>
                            <w:b/>
                            <w:sz w:val="16"/>
                          </w:rPr>
                        </w:pPr>
                        <w:r>
                          <w:rPr>
                            <w:b/>
                            <w:color w:val="231F20"/>
                            <w:sz w:val="16"/>
                          </w:rPr>
                          <w:t>(mOsm)</w:t>
                        </w:r>
                      </w:p>
                    </w:tc>
                  </w:tr>
                  <w:tr>
                    <w:trPr>
                      <w:trHeight w:val="264" w:hRule="atLeast"/>
                    </w:trPr>
                    <w:tc>
                      <w:tcPr>
                        <w:tcW w:w="1515" w:type="dxa"/>
                      </w:tcPr>
                      <w:p>
                        <w:pPr>
                          <w:pStyle w:val="TableParagraph"/>
                          <w:spacing w:before="34"/>
                          <w:rPr>
                            <w:sz w:val="16"/>
                          </w:rPr>
                        </w:pPr>
                        <w:r>
                          <w:rPr>
                            <w:color w:val="231F20"/>
                            <w:w w:val="105"/>
                            <w:sz w:val="16"/>
                          </w:rPr>
                          <w:t>Extracellular fluid</w:t>
                        </w:r>
                      </w:p>
                    </w:tc>
                    <w:tc>
                      <w:tcPr>
                        <w:tcW w:w="996" w:type="dxa"/>
                      </w:tcPr>
                      <w:p>
                        <w:pPr>
                          <w:pStyle w:val="TableParagraph"/>
                          <w:spacing w:before="34"/>
                          <w:ind w:left="240"/>
                          <w:rPr>
                            <w:sz w:val="16"/>
                          </w:rPr>
                        </w:pPr>
                        <w:r>
                          <w:rPr>
                            <w:color w:val="231F20"/>
                            <w:sz w:val="16"/>
                          </w:rPr>
                          <w:t>19.02</w:t>
                        </w:r>
                      </w:p>
                    </w:tc>
                    <w:tc>
                      <w:tcPr>
                        <w:tcW w:w="1297" w:type="dxa"/>
                      </w:tcPr>
                      <w:p>
                        <w:pPr>
                          <w:pStyle w:val="TableParagraph"/>
                          <w:spacing w:before="34"/>
                          <w:ind w:left="273" w:right="259"/>
                          <w:jc w:val="center"/>
                          <w:rPr>
                            <w:sz w:val="16"/>
                          </w:rPr>
                        </w:pPr>
                        <w:r>
                          <w:rPr>
                            <w:color w:val="231F20"/>
                            <w:sz w:val="16"/>
                          </w:rPr>
                          <w:t>313.9</w:t>
                        </w:r>
                      </w:p>
                    </w:tc>
                    <w:tc>
                      <w:tcPr>
                        <w:tcW w:w="871" w:type="dxa"/>
                      </w:tcPr>
                      <w:p>
                        <w:pPr>
                          <w:pStyle w:val="TableParagraph"/>
                          <w:spacing w:before="34"/>
                          <w:ind w:right="57"/>
                          <w:jc w:val="right"/>
                          <w:rPr>
                            <w:sz w:val="16"/>
                          </w:rPr>
                        </w:pPr>
                        <w:r>
                          <w:rPr>
                            <w:color w:val="231F20"/>
                            <w:w w:val="105"/>
                            <w:sz w:val="16"/>
                          </w:rPr>
                          <w:t>5971</w:t>
                        </w:r>
                      </w:p>
                    </w:tc>
                  </w:tr>
                  <w:tr>
                    <w:trPr>
                      <w:trHeight w:val="274" w:hRule="atLeast"/>
                    </w:trPr>
                    <w:tc>
                      <w:tcPr>
                        <w:tcW w:w="1515" w:type="dxa"/>
                      </w:tcPr>
                      <w:p>
                        <w:pPr>
                          <w:pStyle w:val="TableParagraph"/>
                          <w:spacing w:before="44"/>
                          <w:rPr>
                            <w:sz w:val="16"/>
                          </w:rPr>
                        </w:pPr>
                        <w:r>
                          <w:rPr>
                            <w:color w:val="231F20"/>
                            <w:w w:val="105"/>
                            <w:sz w:val="16"/>
                          </w:rPr>
                          <w:t>Intracellular fluid</w:t>
                        </w:r>
                      </w:p>
                    </w:tc>
                    <w:tc>
                      <w:tcPr>
                        <w:tcW w:w="996" w:type="dxa"/>
                      </w:tcPr>
                      <w:p>
                        <w:pPr>
                          <w:pStyle w:val="TableParagraph"/>
                          <w:spacing w:before="44"/>
                          <w:ind w:left="240"/>
                          <w:rPr>
                            <w:sz w:val="16"/>
                          </w:rPr>
                        </w:pPr>
                        <w:r>
                          <w:rPr>
                            <w:color w:val="231F20"/>
                            <w:sz w:val="16"/>
                          </w:rPr>
                          <w:t>24.98</w:t>
                        </w:r>
                      </w:p>
                    </w:tc>
                    <w:tc>
                      <w:tcPr>
                        <w:tcW w:w="1297" w:type="dxa"/>
                      </w:tcPr>
                      <w:p>
                        <w:pPr>
                          <w:pStyle w:val="TableParagraph"/>
                          <w:spacing w:before="44"/>
                          <w:ind w:left="273" w:right="259"/>
                          <w:jc w:val="center"/>
                          <w:rPr>
                            <w:sz w:val="16"/>
                          </w:rPr>
                        </w:pPr>
                        <w:r>
                          <w:rPr>
                            <w:color w:val="231F20"/>
                            <w:sz w:val="16"/>
                          </w:rPr>
                          <w:t>313.9</w:t>
                        </w:r>
                      </w:p>
                    </w:tc>
                    <w:tc>
                      <w:tcPr>
                        <w:tcW w:w="871" w:type="dxa"/>
                      </w:tcPr>
                      <w:p>
                        <w:pPr>
                          <w:pStyle w:val="TableParagraph"/>
                          <w:spacing w:before="44"/>
                          <w:ind w:right="57"/>
                          <w:jc w:val="right"/>
                          <w:rPr>
                            <w:sz w:val="16"/>
                          </w:rPr>
                        </w:pPr>
                        <w:r>
                          <w:rPr>
                            <w:color w:val="231F20"/>
                            <w:w w:val="105"/>
                            <w:sz w:val="16"/>
                          </w:rPr>
                          <w:t>7840</w:t>
                        </w:r>
                      </w:p>
                    </w:tc>
                  </w:tr>
                  <w:tr>
                    <w:trPr>
                      <w:trHeight w:val="289" w:hRule="atLeast"/>
                    </w:trPr>
                    <w:tc>
                      <w:tcPr>
                        <w:tcW w:w="1515" w:type="dxa"/>
                        <w:tcBorders>
                          <w:bottom w:val="single" w:sz="4" w:space="0" w:color="231F20"/>
                        </w:tcBorders>
                      </w:tcPr>
                      <w:p>
                        <w:pPr>
                          <w:pStyle w:val="TableParagraph"/>
                          <w:spacing w:before="44"/>
                          <w:rPr>
                            <w:sz w:val="16"/>
                          </w:rPr>
                        </w:pPr>
                        <w:r>
                          <w:rPr>
                            <w:color w:val="231F20"/>
                            <w:w w:val="105"/>
                            <w:sz w:val="16"/>
                          </w:rPr>
                          <w:t>Total body fluid</w:t>
                        </w:r>
                      </w:p>
                    </w:tc>
                    <w:tc>
                      <w:tcPr>
                        <w:tcW w:w="996" w:type="dxa"/>
                        <w:tcBorders>
                          <w:bottom w:val="single" w:sz="4" w:space="0" w:color="231F20"/>
                        </w:tcBorders>
                      </w:tcPr>
                      <w:p>
                        <w:pPr>
                          <w:pStyle w:val="TableParagraph"/>
                          <w:spacing w:before="44"/>
                          <w:ind w:left="240"/>
                          <w:rPr>
                            <w:sz w:val="16"/>
                          </w:rPr>
                        </w:pPr>
                        <w:r>
                          <w:rPr>
                            <w:color w:val="231F20"/>
                            <w:sz w:val="16"/>
                          </w:rPr>
                          <w:t>44.0</w:t>
                        </w:r>
                      </w:p>
                    </w:tc>
                    <w:tc>
                      <w:tcPr>
                        <w:tcW w:w="1297" w:type="dxa"/>
                        <w:tcBorders>
                          <w:bottom w:val="single" w:sz="4" w:space="0" w:color="231F20"/>
                        </w:tcBorders>
                      </w:tcPr>
                      <w:p>
                        <w:pPr>
                          <w:pStyle w:val="TableParagraph"/>
                          <w:spacing w:before="44"/>
                          <w:ind w:left="273" w:right="259"/>
                          <w:jc w:val="center"/>
                          <w:rPr>
                            <w:sz w:val="16"/>
                          </w:rPr>
                        </w:pPr>
                        <w:r>
                          <w:rPr>
                            <w:color w:val="231F20"/>
                            <w:sz w:val="16"/>
                          </w:rPr>
                          <w:t>313.9</w:t>
                        </w:r>
                      </w:p>
                    </w:tc>
                    <w:tc>
                      <w:tcPr>
                        <w:tcW w:w="871" w:type="dxa"/>
                        <w:tcBorders>
                          <w:bottom w:val="single" w:sz="4" w:space="0" w:color="231F20"/>
                        </w:tcBorders>
                      </w:tcPr>
                      <w:p>
                        <w:pPr>
                          <w:pStyle w:val="TableParagraph"/>
                          <w:spacing w:before="44"/>
                          <w:ind w:right="57"/>
                          <w:jc w:val="right"/>
                          <w:rPr>
                            <w:sz w:val="16"/>
                          </w:rPr>
                        </w:pPr>
                        <w:r>
                          <w:rPr>
                            <w:color w:val="231F20"/>
                            <w:sz w:val="16"/>
                          </w:rPr>
                          <w:t>13,811</w:t>
                        </w:r>
                      </w:p>
                    </w:tc>
                  </w:tr>
                </w:tbl>
                <w:p>
                  <w:pPr>
                    <w:pStyle w:val="BodyText"/>
                  </w:pPr>
                </w:p>
              </w:txbxContent>
            </v:textbox>
            <w10:wrap type="none"/>
          </v:shape>
        </w:pict>
      </w:r>
      <w:r>
        <w:rPr>
          <w:rFonts w:ascii="Trebuchet MS"/>
          <w:b/>
          <w:color w:val="231F20"/>
          <w:sz w:val="16"/>
        </w:rPr>
        <w:t>Volume</w:t>
      </w:r>
    </w:p>
    <w:p>
      <w:pPr>
        <w:spacing w:before="36"/>
        <w:ind w:left="345" w:right="0" w:firstLine="0"/>
        <w:jc w:val="left"/>
        <w:rPr>
          <w:rFonts w:ascii="Trebuchet MS"/>
          <w:b/>
          <w:sz w:val="16"/>
        </w:rPr>
      </w:pPr>
      <w:r>
        <w:rPr/>
        <w:br w:type="column"/>
      </w:r>
      <w:r>
        <w:rPr>
          <w:rFonts w:ascii="Trebuchet MS"/>
          <w:b/>
          <w:color w:val="231F20"/>
          <w:sz w:val="16"/>
        </w:rPr>
        <w:t>Concentration</w:t>
      </w:r>
    </w:p>
    <w:p>
      <w:pPr>
        <w:spacing w:before="36"/>
        <w:ind w:left="457" w:right="0" w:firstLine="0"/>
        <w:jc w:val="left"/>
        <w:rPr>
          <w:rFonts w:ascii="Trebuchet MS"/>
          <w:b/>
          <w:sz w:val="16"/>
        </w:rPr>
      </w:pPr>
      <w:r>
        <w:rPr/>
        <w:br w:type="column"/>
      </w:r>
      <w:r>
        <w:rPr>
          <w:rFonts w:ascii="Trebuchet MS"/>
          <w:b/>
          <w:color w:val="231F20"/>
          <w:spacing w:val="-4"/>
          <w:sz w:val="16"/>
        </w:rPr>
        <w:t>Total</w:t>
      </w:r>
    </w:p>
    <w:p>
      <w:pPr>
        <w:pStyle w:val="BodyText"/>
        <w:spacing w:line="249" w:lineRule="auto" w:before="10"/>
        <w:ind w:left="437" w:right="1437"/>
        <w:jc w:val="both"/>
      </w:pPr>
      <w:r>
        <w:rPr/>
        <w:br w:type="column"/>
      </w:r>
      <w:r>
        <w:rPr>
          <w:color w:val="231F20"/>
          <w:w w:val="105"/>
        </w:rPr>
        <w:t>extracellular</w:t>
      </w:r>
      <w:r>
        <w:rPr>
          <w:color w:val="231F20"/>
          <w:spacing w:val="-12"/>
          <w:w w:val="105"/>
        </w:rPr>
        <w:t> </w:t>
      </w:r>
      <w:r>
        <w:rPr>
          <w:color w:val="231F20"/>
          <w:w w:val="105"/>
        </w:rPr>
        <w:t>fluid</w:t>
      </w:r>
      <w:r>
        <w:rPr>
          <w:color w:val="231F20"/>
          <w:spacing w:val="-12"/>
          <w:w w:val="105"/>
        </w:rPr>
        <w:t> </w:t>
      </w:r>
      <w:r>
        <w:rPr>
          <w:color w:val="231F20"/>
          <w:w w:val="105"/>
        </w:rPr>
        <w:t>osmolarity</w:t>
      </w:r>
      <w:r>
        <w:rPr>
          <w:color w:val="231F20"/>
          <w:spacing w:val="-12"/>
          <w:w w:val="105"/>
        </w:rPr>
        <w:t> </w:t>
      </w:r>
      <w:r>
        <w:rPr>
          <w:color w:val="231F20"/>
          <w:w w:val="105"/>
        </w:rPr>
        <w:t>and</w:t>
      </w:r>
      <w:r>
        <w:rPr>
          <w:color w:val="231F20"/>
          <w:spacing w:val="-12"/>
          <w:w w:val="105"/>
        </w:rPr>
        <w:t> </w:t>
      </w:r>
      <w:r>
        <w:rPr>
          <w:color w:val="231F20"/>
          <w:w w:val="105"/>
        </w:rPr>
        <w:t>therefore</w:t>
      </w:r>
      <w:r>
        <w:rPr>
          <w:color w:val="231F20"/>
          <w:spacing w:val="-12"/>
          <w:w w:val="105"/>
        </w:rPr>
        <w:t> </w:t>
      </w:r>
      <w:r>
        <w:rPr>
          <w:color w:val="231F20"/>
          <w:w w:val="105"/>
        </w:rPr>
        <w:t>helps</w:t>
      </w:r>
      <w:r>
        <w:rPr>
          <w:color w:val="231F20"/>
          <w:spacing w:val="-12"/>
          <w:w w:val="105"/>
        </w:rPr>
        <w:t> </w:t>
      </w:r>
      <w:r>
        <w:rPr>
          <w:color w:val="231F20"/>
          <w:w w:val="105"/>
        </w:rPr>
        <w:t>correct the increase in extracellular fluid osmolarity associated with</w:t>
      </w:r>
      <w:r>
        <w:rPr>
          <w:color w:val="231F20"/>
          <w:spacing w:val="2"/>
          <w:w w:val="105"/>
        </w:rPr>
        <w:t> </w:t>
      </w:r>
      <w:r>
        <w:rPr>
          <w:color w:val="231F20"/>
          <w:w w:val="105"/>
        </w:rPr>
        <w:t>dehydration.</w:t>
      </w:r>
    </w:p>
    <w:p>
      <w:pPr>
        <w:spacing w:after="0" w:line="249" w:lineRule="auto"/>
        <w:jc w:val="both"/>
        <w:sectPr>
          <w:type w:val="continuous"/>
          <w:pgSz w:w="12240" w:h="15660"/>
          <w:pgMar w:top="0" w:bottom="760" w:left="0" w:right="0"/>
          <w:cols w:num="4" w:equalWidth="0">
            <w:col w:w="3328" w:space="40"/>
            <w:col w:w="1413" w:space="39"/>
            <w:col w:w="823" w:space="40"/>
            <w:col w:w="6557"/>
          </w:cols>
        </w:sectPr>
      </w:pPr>
    </w:p>
    <w:p>
      <w:pPr>
        <w:pStyle w:val="BodyText"/>
      </w:pPr>
    </w:p>
    <w:p>
      <w:pPr>
        <w:pStyle w:val="BodyText"/>
      </w:pPr>
    </w:p>
    <w:p>
      <w:pPr>
        <w:spacing w:after="0"/>
        <w:sectPr>
          <w:type w:val="continuous"/>
          <w:pgSz w:w="12240" w:h="15660"/>
          <w:pgMar w:top="0" w:bottom="760" w:left="0" w:right="0"/>
        </w:sectPr>
      </w:pPr>
    </w:p>
    <w:p>
      <w:pPr>
        <w:pStyle w:val="BodyText"/>
        <w:spacing w:before="9"/>
        <w:rPr>
          <w:sz w:val="22"/>
        </w:rPr>
      </w:pPr>
    </w:p>
    <w:p>
      <w:pPr>
        <w:pStyle w:val="BodyText"/>
        <w:spacing w:line="249" w:lineRule="auto"/>
        <w:ind w:left="1080" w:firstLine="240"/>
        <w:jc w:val="both"/>
      </w:pPr>
      <w:r>
        <w:rPr/>
        <w:pict>
          <v:rect style="position:absolute;margin-left:0pt;margin-top:-16.014038pt;width:36pt;height:24pt;mso-position-horizontal-relative:page;mso-position-vertical-relative:paragraph;z-index:251745280" filled="true" fillcolor="#e8dac8" stroked="false">
            <v:fill type="solid"/>
            <w10:wrap type="none"/>
          </v:rect>
        </w:pict>
      </w:r>
      <w:r>
        <w:rPr/>
        <w:pict>
          <v:shape style="position:absolute;margin-left:306pt;margin-top:-20.664032pt;width:234pt;height:52pt;mso-position-horizontal-relative:page;mso-position-vertical-relative:paragraph;z-index:251746304" type="#_x0000_t202" filled="true" fillcolor="#e8dac8" stroked="false">
            <v:textbox inset="0,0,0,0">
              <w:txbxContent>
                <w:p>
                  <w:pPr>
                    <w:spacing w:line="225" w:lineRule="auto" w:before="46"/>
                    <w:ind w:left="60" w:right="1479" w:firstLine="0"/>
                    <w:jc w:val="left"/>
                    <w:rPr>
                      <w:rFonts w:ascii="Trebuchet MS"/>
                      <w:b/>
                      <w:sz w:val="22"/>
                    </w:rPr>
                  </w:pPr>
                  <w:r>
                    <w:rPr>
                      <w:rFonts w:ascii="Trebuchet MS"/>
                      <w:b/>
                      <w:color w:val="231F20"/>
                      <w:w w:val="110"/>
                      <w:sz w:val="22"/>
                    </w:rPr>
                    <w:t>CLINICAL ABNORMALITIES OF FLUID VOLUME</w:t>
                  </w:r>
                </w:p>
                <w:p>
                  <w:pPr>
                    <w:spacing w:line="225" w:lineRule="auto" w:before="0"/>
                    <w:ind w:left="60" w:right="1216" w:firstLine="0"/>
                    <w:jc w:val="left"/>
                    <w:rPr>
                      <w:rFonts w:ascii="Trebuchet MS"/>
                      <w:b/>
                      <w:sz w:val="22"/>
                    </w:rPr>
                  </w:pPr>
                  <w:r>
                    <w:rPr>
                      <w:rFonts w:ascii="Trebuchet MS"/>
                      <w:b/>
                      <w:color w:val="231F20"/>
                      <w:w w:val="110"/>
                      <w:sz w:val="22"/>
                    </w:rPr>
                    <w:t>REGULATION: HYPONATREMIA </w:t>
                  </w:r>
                  <w:r>
                    <w:rPr>
                      <w:rFonts w:ascii="Trebuchet MS"/>
                      <w:b/>
                      <w:color w:val="231F20"/>
                      <w:w w:val="115"/>
                      <w:sz w:val="22"/>
                    </w:rPr>
                    <w:t>AND HYPERNATREMIA</w:t>
                  </w:r>
                </w:p>
              </w:txbxContent>
            </v:textbox>
            <v:fill type="solid"/>
            <w10:wrap type="none"/>
          </v:shape>
        </w:pict>
      </w:r>
      <w:r>
        <w:rPr>
          <w:color w:val="231F20"/>
        </w:rPr>
        <w:t>Thus, one can see from this example that adding 2 liters of a hypertonic sodium chloride solution </w:t>
      </w:r>
      <w:r>
        <w:rPr>
          <w:color w:val="231F20"/>
          <w:spacing w:val="-3"/>
        </w:rPr>
        <w:t>causes </w:t>
      </w:r>
      <w:r>
        <w:rPr>
          <w:color w:val="231F20"/>
        </w:rPr>
        <w:t>more than a 5­liter increase in extracellular fluid volume while </w:t>
      </w:r>
      <w:r>
        <w:rPr>
          <w:i/>
          <w:color w:val="231F20"/>
        </w:rPr>
        <w:t>decreasing  </w:t>
      </w:r>
      <w:r>
        <w:rPr>
          <w:color w:val="231F20"/>
        </w:rPr>
        <w:t>intracellular  fluid  volume  by  </w:t>
      </w:r>
      <w:r>
        <w:rPr>
          <w:color w:val="231F20"/>
          <w:spacing w:val="-3"/>
        </w:rPr>
        <w:t>almost  </w:t>
      </w:r>
      <w:r>
        <w:rPr>
          <w:color w:val="231F20"/>
        </w:rPr>
        <w:t>3</w:t>
      </w:r>
      <w:r>
        <w:rPr>
          <w:color w:val="231F20"/>
          <w:spacing w:val="6"/>
        </w:rPr>
        <w:t> </w:t>
      </w:r>
      <w:r>
        <w:rPr>
          <w:color w:val="231F20"/>
        </w:rPr>
        <w:t>liters.</w:t>
      </w:r>
    </w:p>
    <w:p>
      <w:pPr>
        <w:pStyle w:val="BodyText"/>
        <w:spacing w:line="249" w:lineRule="auto" w:before="4"/>
        <w:ind w:left="1080" w:firstLine="240"/>
        <w:jc w:val="both"/>
      </w:pPr>
      <w:r>
        <w:rPr>
          <w:color w:val="231F20"/>
        </w:rPr>
        <w:t>This method of calculating changes in  </w:t>
      </w:r>
      <w:r>
        <w:rPr>
          <w:color w:val="231F20"/>
          <w:spacing w:val="-3"/>
        </w:rPr>
        <w:t>intracellular  </w:t>
      </w:r>
      <w:r>
        <w:rPr>
          <w:color w:val="231F20"/>
        </w:rPr>
        <w:t>and extracellular fluid volumes and osmolarities can </w:t>
      </w:r>
      <w:r>
        <w:rPr>
          <w:color w:val="231F20"/>
          <w:spacing w:val="-5"/>
        </w:rPr>
        <w:t>be </w:t>
      </w:r>
      <w:r>
        <w:rPr>
          <w:color w:val="231F20"/>
        </w:rPr>
        <w:t>applied to virtually any clinical problem of fluid </w:t>
      </w:r>
      <w:r>
        <w:rPr>
          <w:color w:val="231F20"/>
          <w:spacing w:val="-3"/>
        </w:rPr>
        <w:t>volume </w:t>
      </w:r>
      <w:r>
        <w:rPr>
          <w:color w:val="231F20"/>
        </w:rPr>
        <w:t>regulation. The reader should be familiar with such </w:t>
      </w:r>
      <w:r>
        <w:rPr>
          <w:color w:val="231F20"/>
          <w:spacing w:val="-4"/>
        </w:rPr>
        <w:t>cal­ </w:t>
      </w:r>
      <w:r>
        <w:rPr>
          <w:color w:val="231F20"/>
        </w:rPr>
        <w:t>culations because an understanding of the </w:t>
      </w:r>
      <w:r>
        <w:rPr>
          <w:color w:val="231F20"/>
          <w:spacing w:val="-3"/>
        </w:rPr>
        <w:t>mathematical </w:t>
      </w:r>
      <w:r>
        <w:rPr>
          <w:color w:val="231F20"/>
        </w:rPr>
        <w:t>aspects of osmotic equilibrium between intracellular </w:t>
      </w:r>
      <w:r>
        <w:rPr>
          <w:color w:val="231F20"/>
          <w:spacing w:val="-4"/>
        </w:rPr>
        <w:t>and </w:t>
      </w:r>
      <w:r>
        <w:rPr>
          <w:color w:val="231F20"/>
        </w:rPr>
        <w:t>extracellular fluid compartments is essential for </w:t>
      </w:r>
      <w:r>
        <w:rPr>
          <w:color w:val="231F20"/>
          <w:spacing w:val="-3"/>
        </w:rPr>
        <w:t>under­ </w:t>
      </w:r>
      <w:r>
        <w:rPr>
          <w:color w:val="231F20"/>
        </w:rPr>
        <w:t>standing almost all fluid abnormalities of the body </w:t>
      </w:r>
      <w:r>
        <w:rPr>
          <w:color w:val="231F20"/>
          <w:spacing w:val="-4"/>
        </w:rPr>
        <w:t>and </w:t>
      </w:r>
      <w:r>
        <w:rPr>
          <w:color w:val="231F20"/>
        </w:rPr>
        <w:t>their</w:t>
      </w:r>
      <w:r>
        <w:rPr>
          <w:color w:val="231F20"/>
          <w:spacing w:val="7"/>
        </w:rPr>
        <w:t> </w:t>
      </w:r>
      <w:r>
        <w:rPr>
          <w:color w:val="231F20"/>
        </w:rPr>
        <w:t>treatment.</w:t>
      </w:r>
    </w:p>
    <w:p>
      <w:pPr>
        <w:pStyle w:val="BodyText"/>
        <w:spacing w:before="3"/>
        <w:rPr>
          <w:sz w:val="25"/>
        </w:rPr>
      </w:pPr>
      <w:r>
        <w:rPr/>
        <w:pict>
          <v:shape style="position:absolute;margin-left:54pt;margin-top:15.737238pt;width:234pt;height:40pt;mso-position-horizontal-relative:page;mso-position-vertical-relative:paragraph;z-index:-251574272;mso-wrap-distance-left:0;mso-wrap-distance-right:0" type="#_x0000_t202" filled="true" fillcolor="#e8dac8" stroked="false">
            <v:textbox inset="0,0,0,0">
              <w:txbxContent>
                <w:p>
                  <w:pPr>
                    <w:spacing w:line="225" w:lineRule="auto" w:before="46"/>
                    <w:ind w:left="60" w:right="1479" w:firstLine="0"/>
                    <w:jc w:val="left"/>
                    <w:rPr>
                      <w:rFonts w:ascii="Trebuchet MS"/>
                      <w:b/>
                      <w:sz w:val="22"/>
                    </w:rPr>
                  </w:pPr>
                  <w:r>
                    <w:rPr>
                      <w:rFonts w:ascii="Trebuchet MS"/>
                      <w:b/>
                      <w:color w:val="231F20"/>
                      <w:w w:val="110"/>
                      <w:sz w:val="22"/>
                    </w:rPr>
                    <w:t>GLUCOSE AND OTHER SOLUTIONS ADMINISTERED FOR NUTRITIVE PURPOSES</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w w:val="105"/>
        </w:rPr>
        <w:t>Many types of solutions are administered intravenously to provide nutrition to people who cannot otherwise ingest adequate amounts of nutrition. Glucose solutions are widely used, and amino acid and homogenized fat solutions are used to a lesser extent. When these solu­ tions are administered, their concentrations of osmoti­ cally active substances are usually adjusted nearly to isotonicity,</w:t>
      </w:r>
      <w:r>
        <w:rPr>
          <w:color w:val="231F20"/>
          <w:spacing w:val="-6"/>
          <w:w w:val="105"/>
        </w:rPr>
        <w:t> </w:t>
      </w:r>
      <w:r>
        <w:rPr>
          <w:color w:val="231F20"/>
          <w:w w:val="105"/>
        </w:rPr>
        <w:t>or</w:t>
      </w:r>
      <w:r>
        <w:rPr>
          <w:color w:val="231F20"/>
          <w:spacing w:val="-6"/>
          <w:w w:val="105"/>
        </w:rPr>
        <w:t> </w:t>
      </w:r>
      <w:r>
        <w:rPr>
          <w:color w:val="231F20"/>
          <w:w w:val="105"/>
        </w:rPr>
        <w:t>they</w:t>
      </w:r>
      <w:r>
        <w:rPr>
          <w:color w:val="231F20"/>
          <w:spacing w:val="-6"/>
          <w:w w:val="105"/>
        </w:rPr>
        <w:t> </w:t>
      </w:r>
      <w:r>
        <w:rPr>
          <w:color w:val="231F20"/>
          <w:w w:val="105"/>
        </w:rPr>
        <w:t>are</w:t>
      </w:r>
      <w:r>
        <w:rPr>
          <w:color w:val="231F20"/>
          <w:spacing w:val="-6"/>
          <w:w w:val="105"/>
        </w:rPr>
        <w:t> </w:t>
      </w:r>
      <w:r>
        <w:rPr>
          <w:color w:val="231F20"/>
          <w:w w:val="105"/>
        </w:rPr>
        <w:t>given</w:t>
      </w:r>
      <w:r>
        <w:rPr>
          <w:color w:val="231F20"/>
          <w:spacing w:val="-6"/>
          <w:w w:val="105"/>
        </w:rPr>
        <w:t> </w:t>
      </w:r>
      <w:r>
        <w:rPr>
          <w:color w:val="231F20"/>
          <w:w w:val="105"/>
        </w:rPr>
        <w:t>slowly</w:t>
      </w:r>
      <w:r>
        <w:rPr>
          <w:color w:val="231F20"/>
          <w:spacing w:val="-5"/>
          <w:w w:val="105"/>
        </w:rPr>
        <w:t> </w:t>
      </w:r>
      <w:r>
        <w:rPr>
          <w:color w:val="231F20"/>
          <w:w w:val="105"/>
        </w:rPr>
        <w:t>enough</w:t>
      </w:r>
      <w:r>
        <w:rPr>
          <w:color w:val="231F20"/>
          <w:spacing w:val="-6"/>
          <w:w w:val="105"/>
        </w:rPr>
        <w:t> </w:t>
      </w:r>
      <w:r>
        <w:rPr>
          <w:color w:val="231F20"/>
          <w:w w:val="105"/>
        </w:rPr>
        <w:t>that</w:t>
      </w:r>
      <w:r>
        <w:rPr>
          <w:color w:val="231F20"/>
          <w:spacing w:val="-6"/>
          <w:w w:val="105"/>
        </w:rPr>
        <w:t> </w:t>
      </w:r>
      <w:r>
        <w:rPr>
          <w:color w:val="231F20"/>
          <w:w w:val="105"/>
        </w:rPr>
        <w:t>they</w:t>
      </w:r>
      <w:r>
        <w:rPr>
          <w:color w:val="231F20"/>
          <w:spacing w:val="-6"/>
          <w:w w:val="105"/>
        </w:rPr>
        <w:t> </w:t>
      </w:r>
      <w:r>
        <w:rPr>
          <w:color w:val="231F20"/>
          <w:spacing w:val="-9"/>
          <w:w w:val="105"/>
        </w:rPr>
        <w:t>do </w:t>
      </w:r>
      <w:r>
        <w:rPr>
          <w:color w:val="231F20"/>
          <w:w w:val="105"/>
        </w:rPr>
        <w:t>not upset the osmotic equilibrium of the body</w:t>
      </w:r>
      <w:r>
        <w:rPr>
          <w:color w:val="231F20"/>
          <w:spacing w:val="-11"/>
          <w:w w:val="105"/>
        </w:rPr>
        <w:t> </w:t>
      </w:r>
      <w:r>
        <w:rPr>
          <w:color w:val="231F20"/>
          <w:w w:val="105"/>
        </w:rPr>
        <w:t>fluids.</w:t>
      </w:r>
    </w:p>
    <w:p>
      <w:pPr>
        <w:pStyle w:val="BodyText"/>
        <w:spacing w:line="249" w:lineRule="auto" w:before="7"/>
        <w:ind w:left="1080" w:firstLine="240"/>
        <w:jc w:val="both"/>
      </w:pPr>
      <w:r>
        <w:rPr>
          <w:color w:val="231F20"/>
        </w:rPr>
        <w:t>After the glucose or other nutrients are metabolized,  an excess of water often remains, especially if additional fluid is ingested. Ordinarily, the kidneys excrete this </w:t>
      </w:r>
      <w:r>
        <w:rPr>
          <w:color w:val="231F20"/>
          <w:spacing w:val="-3"/>
        </w:rPr>
        <w:t>fluid </w:t>
      </w:r>
      <w:r>
        <w:rPr>
          <w:color w:val="231F20"/>
        </w:rPr>
        <w:t>in the form of dilute urine. The net result, therefore, is the addition of only nutrients to the</w:t>
      </w:r>
      <w:r>
        <w:rPr>
          <w:color w:val="231F20"/>
          <w:spacing w:val="1"/>
        </w:rPr>
        <w:t> </w:t>
      </w:r>
      <w:r>
        <w:rPr>
          <w:color w:val="231F20"/>
        </w:rPr>
        <w:t>body.</w:t>
      </w:r>
    </w:p>
    <w:p>
      <w:pPr>
        <w:pStyle w:val="BodyText"/>
      </w:pPr>
      <w:r>
        <w:rPr/>
        <w:br w:type="column"/>
      </w:r>
      <w:r>
        <w:rPr/>
      </w:r>
    </w:p>
    <w:p>
      <w:pPr>
        <w:pStyle w:val="BodyText"/>
      </w:pPr>
    </w:p>
    <w:p>
      <w:pPr>
        <w:pStyle w:val="BodyText"/>
      </w:pPr>
    </w:p>
    <w:p>
      <w:pPr>
        <w:pStyle w:val="BodyText"/>
        <w:spacing w:before="10"/>
        <w:rPr>
          <w:sz w:val="13"/>
        </w:rPr>
      </w:pPr>
      <w:r>
        <w:rPr/>
        <w:pict>
          <v:shape style="position:absolute;margin-left:306pt;margin-top:10.214874pt;width:234pt;height:.1pt;mso-position-horizontal-relative:page;mso-position-vertical-relative:paragraph;z-index:-251572224;mso-wrap-distance-left:0;mso-wrap-distance-right:0" coordorigin="6120,204" coordsize="4680,0" path="m6120,204l10800,204e" filled="false" stroked="true" strokeweight=".5pt" strokecolor="#231f20">
            <v:path arrowok="t"/>
            <v:stroke dashstyle="solid"/>
            <w10:wrap type="topAndBottom"/>
          </v:shape>
        </w:pict>
      </w:r>
    </w:p>
    <w:p>
      <w:pPr>
        <w:pStyle w:val="BodyText"/>
        <w:spacing w:line="249" w:lineRule="auto" w:before="54"/>
        <w:ind w:left="319" w:right="1437"/>
        <w:jc w:val="both"/>
        <w:rPr>
          <w:i/>
        </w:rPr>
      </w:pPr>
      <w:r>
        <w:rPr>
          <w:color w:val="231F20"/>
        </w:rPr>
        <w:t>A measurement that is readily available to the clinician for evaluating a patient’s fluid status is the plasma sodium concentration. Plasma osmolarity is not routinely </w:t>
      </w:r>
      <w:r>
        <w:rPr>
          <w:color w:val="231F20"/>
          <w:spacing w:val="-4"/>
        </w:rPr>
        <w:t>mea­ </w:t>
      </w:r>
      <w:r>
        <w:rPr>
          <w:color w:val="231F20"/>
        </w:rPr>
        <w:t>sured, but because sodium and its associated anions (mainly chloride) account for more than 90 percent of   the solute in the extracellular fluid, plasma sodium concentration is a reasonable indicator of plasma osmo­ larity under many conditions. When plasma sodium concentration is reduced more than a few milliequiva­ lents below normal (about 142 mEq/L), a person is said  to have </w:t>
      </w:r>
      <w:r>
        <w:rPr>
          <w:i/>
          <w:color w:val="231F20"/>
        </w:rPr>
        <w:t>hyponatremia. </w:t>
      </w:r>
      <w:r>
        <w:rPr>
          <w:color w:val="231F20"/>
        </w:rPr>
        <w:t>When plasma sodium </w:t>
      </w:r>
      <w:r>
        <w:rPr>
          <w:color w:val="231F20"/>
          <w:spacing w:val="-3"/>
        </w:rPr>
        <w:t>concentra­ </w:t>
      </w:r>
      <w:r>
        <w:rPr>
          <w:color w:val="231F20"/>
        </w:rPr>
        <w:t>tion is elevated above normal, a person is said to have </w:t>
      </w:r>
      <w:r>
        <w:rPr>
          <w:i/>
          <w:color w:val="231F20"/>
        </w:rPr>
        <w:t>hypernatremia.</w:t>
      </w:r>
    </w:p>
    <w:p>
      <w:pPr>
        <w:pStyle w:val="BodyText"/>
        <w:spacing w:before="7"/>
        <w:rPr>
          <w:i/>
          <w:sz w:val="31"/>
        </w:rPr>
      </w:pPr>
    </w:p>
    <w:p>
      <w:pPr>
        <w:pStyle w:val="Heading2"/>
        <w:spacing w:line="225" w:lineRule="auto"/>
        <w:ind w:right="2063"/>
      </w:pPr>
      <w:r>
        <w:rPr>
          <w:color w:val="231F20"/>
          <w:w w:val="105"/>
        </w:rPr>
        <w:t>CAUSES OF HYPONATREMIA: EXCESS WATER OR LOSS OF SODIUM</w:t>
      </w:r>
    </w:p>
    <w:p>
      <w:pPr>
        <w:pStyle w:val="BodyText"/>
        <w:spacing w:line="249" w:lineRule="auto" w:before="127"/>
        <w:ind w:left="319" w:right="1437"/>
        <w:jc w:val="both"/>
      </w:pPr>
      <w:r>
        <w:rPr>
          <w:color w:val="231F20"/>
          <w:w w:val="105"/>
        </w:rPr>
        <w:t>Decreased</w:t>
      </w:r>
      <w:r>
        <w:rPr>
          <w:color w:val="231F20"/>
          <w:spacing w:val="-7"/>
          <w:w w:val="105"/>
        </w:rPr>
        <w:t> </w:t>
      </w:r>
      <w:r>
        <w:rPr>
          <w:color w:val="231F20"/>
          <w:w w:val="105"/>
        </w:rPr>
        <w:t>plasma</w:t>
      </w:r>
      <w:r>
        <w:rPr>
          <w:color w:val="231F20"/>
          <w:spacing w:val="-7"/>
          <w:w w:val="105"/>
        </w:rPr>
        <w:t> </w:t>
      </w:r>
      <w:r>
        <w:rPr>
          <w:color w:val="231F20"/>
          <w:w w:val="105"/>
        </w:rPr>
        <w:t>sodium</w:t>
      </w:r>
      <w:r>
        <w:rPr>
          <w:color w:val="231F20"/>
          <w:spacing w:val="-6"/>
          <w:w w:val="105"/>
        </w:rPr>
        <w:t> </w:t>
      </w:r>
      <w:r>
        <w:rPr>
          <w:color w:val="231F20"/>
          <w:w w:val="105"/>
        </w:rPr>
        <w:t>concentration</w:t>
      </w:r>
      <w:r>
        <w:rPr>
          <w:color w:val="231F20"/>
          <w:spacing w:val="-7"/>
          <w:w w:val="105"/>
        </w:rPr>
        <w:t> </w:t>
      </w:r>
      <w:r>
        <w:rPr>
          <w:color w:val="231F20"/>
          <w:w w:val="105"/>
        </w:rPr>
        <w:t>can</w:t>
      </w:r>
      <w:r>
        <w:rPr>
          <w:color w:val="231F20"/>
          <w:spacing w:val="-7"/>
          <w:w w:val="105"/>
        </w:rPr>
        <w:t> </w:t>
      </w:r>
      <w:r>
        <w:rPr>
          <w:color w:val="231F20"/>
          <w:w w:val="105"/>
        </w:rPr>
        <w:t>result</w:t>
      </w:r>
      <w:r>
        <w:rPr>
          <w:color w:val="231F20"/>
          <w:spacing w:val="-6"/>
          <w:w w:val="105"/>
        </w:rPr>
        <w:t> </w:t>
      </w:r>
      <w:r>
        <w:rPr>
          <w:color w:val="231F20"/>
          <w:w w:val="105"/>
        </w:rPr>
        <w:t>from loss of sodium chloride from the extracellular fluid or addition</w:t>
      </w:r>
      <w:r>
        <w:rPr>
          <w:color w:val="231F20"/>
          <w:spacing w:val="-7"/>
          <w:w w:val="105"/>
        </w:rPr>
        <w:t> </w:t>
      </w:r>
      <w:r>
        <w:rPr>
          <w:color w:val="231F20"/>
          <w:w w:val="105"/>
        </w:rPr>
        <w:t>of</w:t>
      </w:r>
      <w:r>
        <w:rPr>
          <w:color w:val="231F20"/>
          <w:spacing w:val="-7"/>
          <w:w w:val="105"/>
        </w:rPr>
        <w:t> </w:t>
      </w:r>
      <w:r>
        <w:rPr>
          <w:color w:val="231F20"/>
          <w:w w:val="105"/>
        </w:rPr>
        <w:t>excess</w:t>
      </w:r>
      <w:r>
        <w:rPr>
          <w:color w:val="231F20"/>
          <w:spacing w:val="-6"/>
          <w:w w:val="105"/>
        </w:rPr>
        <w:t> </w:t>
      </w:r>
      <w:r>
        <w:rPr>
          <w:color w:val="231F20"/>
          <w:w w:val="105"/>
        </w:rPr>
        <w:t>water</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6"/>
          <w:w w:val="105"/>
        </w:rPr>
        <w:t> </w:t>
      </w:r>
      <w:r>
        <w:rPr>
          <w:color w:val="231F20"/>
          <w:w w:val="105"/>
        </w:rPr>
        <w:t>extracellular</w:t>
      </w:r>
      <w:r>
        <w:rPr>
          <w:color w:val="231F20"/>
          <w:spacing w:val="-7"/>
          <w:w w:val="105"/>
        </w:rPr>
        <w:t> </w:t>
      </w:r>
      <w:r>
        <w:rPr>
          <w:color w:val="231F20"/>
          <w:w w:val="105"/>
        </w:rPr>
        <w:t>fluid</w:t>
      </w:r>
      <w:r>
        <w:rPr>
          <w:color w:val="231F20"/>
          <w:spacing w:val="-7"/>
          <w:w w:val="105"/>
        </w:rPr>
        <w:t> </w:t>
      </w:r>
      <w:r>
        <w:rPr>
          <w:color w:val="231F20"/>
          <w:spacing w:val="-3"/>
          <w:w w:val="105"/>
        </w:rPr>
        <w:t>(</w:t>
      </w:r>
      <w:hyperlink w:history="true" w:anchor="_bookmark9">
        <w:r>
          <w:rPr>
            <w:b/>
            <w:color w:val="0080AC"/>
            <w:spacing w:val="-3"/>
            <w:w w:val="105"/>
          </w:rPr>
          <w:t>Table</w:t>
        </w:r>
      </w:hyperlink>
      <w:r>
        <w:rPr>
          <w:b/>
          <w:color w:val="0080AC"/>
          <w:spacing w:val="-3"/>
          <w:w w:val="105"/>
        </w:rPr>
        <w:t> </w:t>
      </w:r>
      <w:hyperlink w:history="true" w:anchor="_bookmark9">
        <w:r>
          <w:rPr>
            <w:b/>
            <w:color w:val="0080AC"/>
            <w:w w:val="105"/>
          </w:rPr>
          <w:t>25-4</w:t>
        </w:r>
      </w:hyperlink>
      <w:r>
        <w:rPr>
          <w:color w:val="231F20"/>
          <w:w w:val="105"/>
        </w:rPr>
        <w:t>). A primary loss of sodium chloride usually</w:t>
      </w:r>
      <w:r>
        <w:rPr>
          <w:color w:val="231F20"/>
          <w:spacing w:val="-33"/>
          <w:w w:val="105"/>
        </w:rPr>
        <w:t> </w:t>
      </w:r>
      <w:r>
        <w:rPr>
          <w:color w:val="231F20"/>
          <w:w w:val="105"/>
        </w:rPr>
        <w:t>results in </w:t>
      </w:r>
      <w:r>
        <w:rPr>
          <w:i/>
          <w:color w:val="231F20"/>
          <w:w w:val="105"/>
        </w:rPr>
        <w:t>hyponatremia and dehydration </w:t>
      </w:r>
      <w:r>
        <w:rPr>
          <w:color w:val="231F20"/>
          <w:w w:val="105"/>
        </w:rPr>
        <w:t>and is associated</w:t>
      </w:r>
      <w:r>
        <w:rPr>
          <w:color w:val="231F20"/>
          <w:spacing w:val="-36"/>
          <w:w w:val="105"/>
        </w:rPr>
        <w:t> </w:t>
      </w:r>
      <w:r>
        <w:rPr>
          <w:color w:val="231F20"/>
          <w:w w:val="105"/>
        </w:rPr>
        <w:t>with decreased</w:t>
      </w:r>
      <w:r>
        <w:rPr>
          <w:color w:val="231F20"/>
          <w:spacing w:val="-21"/>
          <w:w w:val="105"/>
        </w:rPr>
        <w:t> </w:t>
      </w:r>
      <w:r>
        <w:rPr>
          <w:color w:val="231F20"/>
          <w:w w:val="105"/>
        </w:rPr>
        <w:t>extracellular</w:t>
      </w:r>
      <w:r>
        <w:rPr>
          <w:color w:val="231F20"/>
          <w:spacing w:val="-21"/>
          <w:w w:val="105"/>
        </w:rPr>
        <w:t> </w:t>
      </w:r>
      <w:r>
        <w:rPr>
          <w:color w:val="231F20"/>
          <w:w w:val="105"/>
        </w:rPr>
        <w:t>fluid</w:t>
      </w:r>
      <w:r>
        <w:rPr>
          <w:color w:val="231F20"/>
          <w:spacing w:val="-21"/>
          <w:w w:val="105"/>
        </w:rPr>
        <w:t> </w:t>
      </w:r>
      <w:r>
        <w:rPr>
          <w:color w:val="231F20"/>
          <w:w w:val="105"/>
        </w:rPr>
        <w:t>volume.</w:t>
      </w:r>
      <w:r>
        <w:rPr>
          <w:color w:val="231F20"/>
          <w:spacing w:val="-21"/>
          <w:w w:val="105"/>
        </w:rPr>
        <w:t> </w:t>
      </w:r>
      <w:r>
        <w:rPr>
          <w:color w:val="231F20"/>
          <w:w w:val="105"/>
        </w:rPr>
        <w:t>Conditions</w:t>
      </w:r>
      <w:r>
        <w:rPr>
          <w:color w:val="231F20"/>
          <w:spacing w:val="-20"/>
          <w:w w:val="105"/>
        </w:rPr>
        <w:t> </w:t>
      </w:r>
      <w:r>
        <w:rPr>
          <w:color w:val="231F20"/>
          <w:w w:val="105"/>
        </w:rPr>
        <w:t>that</w:t>
      </w:r>
      <w:r>
        <w:rPr>
          <w:color w:val="231F20"/>
          <w:spacing w:val="-21"/>
          <w:w w:val="105"/>
        </w:rPr>
        <w:t> </w:t>
      </w:r>
      <w:r>
        <w:rPr>
          <w:color w:val="231F20"/>
          <w:w w:val="105"/>
        </w:rPr>
        <w:t>can cause</w:t>
      </w:r>
      <w:r>
        <w:rPr>
          <w:color w:val="231F20"/>
          <w:spacing w:val="-16"/>
          <w:w w:val="105"/>
        </w:rPr>
        <w:t> </w:t>
      </w:r>
      <w:r>
        <w:rPr>
          <w:color w:val="231F20"/>
          <w:w w:val="105"/>
        </w:rPr>
        <w:t>hyponatremia</w:t>
      </w:r>
      <w:r>
        <w:rPr>
          <w:color w:val="231F20"/>
          <w:spacing w:val="-15"/>
          <w:w w:val="105"/>
        </w:rPr>
        <w:t> </w:t>
      </w:r>
      <w:r>
        <w:rPr>
          <w:color w:val="231F20"/>
          <w:w w:val="105"/>
        </w:rPr>
        <w:t>as</w:t>
      </w:r>
      <w:r>
        <w:rPr>
          <w:color w:val="231F20"/>
          <w:spacing w:val="-16"/>
          <w:w w:val="105"/>
        </w:rPr>
        <w:t> </w:t>
      </w:r>
      <w:r>
        <w:rPr>
          <w:color w:val="231F20"/>
          <w:w w:val="105"/>
        </w:rPr>
        <w:t>a</w:t>
      </w:r>
      <w:r>
        <w:rPr>
          <w:color w:val="231F20"/>
          <w:spacing w:val="-15"/>
          <w:w w:val="105"/>
        </w:rPr>
        <w:t> </w:t>
      </w:r>
      <w:r>
        <w:rPr>
          <w:color w:val="231F20"/>
          <w:w w:val="105"/>
        </w:rPr>
        <w:t>result</w:t>
      </w:r>
      <w:r>
        <w:rPr>
          <w:color w:val="231F20"/>
          <w:spacing w:val="-16"/>
          <w:w w:val="105"/>
        </w:rPr>
        <w:t> </w:t>
      </w:r>
      <w:r>
        <w:rPr>
          <w:color w:val="231F20"/>
          <w:w w:val="105"/>
        </w:rPr>
        <w:t>of</w:t>
      </w:r>
      <w:r>
        <w:rPr>
          <w:color w:val="231F20"/>
          <w:spacing w:val="-15"/>
          <w:w w:val="105"/>
        </w:rPr>
        <w:t> </w:t>
      </w:r>
      <w:r>
        <w:rPr>
          <w:color w:val="231F20"/>
          <w:w w:val="105"/>
        </w:rPr>
        <w:t>loss</w:t>
      </w:r>
      <w:r>
        <w:rPr>
          <w:color w:val="231F20"/>
          <w:spacing w:val="-15"/>
          <w:w w:val="105"/>
        </w:rPr>
        <w:t> </w:t>
      </w:r>
      <w:r>
        <w:rPr>
          <w:color w:val="231F20"/>
          <w:w w:val="105"/>
        </w:rPr>
        <w:t>of</w:t>
      </w:r>
      <w:r>
        <w:rPr>
          <w:color w:val="231F20"/>
          <w:spacing w:val="-16"/>
          <w:w w:val="105"/>
        </w:rPr>
        <w:t> </w:t>
      </w:r>
      <w:r>
        <w:rPr>
          <w:color w:val="231F20"/>
          <w:w w:val="105"/>
        </w:rPr>
        <w:t>sodium</w:t>
      </w:r>
      <w:r>
        <w:rPr>
          <w:color w:val="231F20"/>
          <w:spacing w:val="-15"/>
          <w:w w:val="105"/>
        </w:rPr>
        <w:t> </w:t>
      </w:r>
      <w:r>
        <w:rPr>
          <w:color w:val="231F20"/>
          <w:w w:val="105"/>
        </w:rPr>
        <w:t>chloride include</w:t>
      </w:r>
      <w:r>
        <w:rPr>
          <w:color w:val="231F20"/>
          <w:spacing w:val="-8"/>
          <w:w w:val="105"/>
        </w:rPr>
        <w:t> </w:t>
      </w:r>
      <w:r>
        <w:rPr>
          <w:i/>
          <w:color w:val="231F20"/>
          <w:w w:val="105"/>
        </w:rPr>
        <w:t>diarrhea</w:t>
      </w:r>
      <w:r>
        <w:rPr>
          <w:i/>
          <w:color w:val="231F20"/>
          <w:spacing w:val="-7"/>
          <w:w w:val="105"/>
        </w:rPr>
        <w:t> </w:t>
      </w:r>
      <w:r>
        <w:rPr>
          <w:color w:val="231F20"/>
          <w:w w:val="105"/>
        </w:rPr>
        <w:t>and</w:t>
      </w:r>
      <w:r>
        <w:rPr>
          <w:color w:val="231F20"/>
          <w:spacing w:val="-8"/>
          <w:w w:val="105"/>
        </w:rPr>
        <w:t> </w:t>
      </w:r>
      <w:r>
        <w:rPr>
          <w:i/>
          <w:color w:val="231F20"/>
          <w:w w:val="105"/>
        </w:rPr>
        <w:t>vomiting</w:t>
      </w:r>
      <w:r>
        <w:rPr>
          <w:color w:val="231F20"/>
          <w:w w:val="105"/>
        </w:rPr>
        <w:t>.</w:t>
      </w:r>
      <w:r>
        <w:rPr>
          <w:color w:val="231F20"/>
          <w:spacing w:val="-7"/>
          <w:w w:val="105"/>
        </w:rPr>
        <w:t> </w:t>
      </w:r>
      <w:r>
        <w:rPr>
          <w:i/>
          <w:color w:val="231F20"/>
          <w:w w:val="105"/>
        </w:rPr>
        <w:t>Overuse</w:t>
      </w:r>
      <w:r>
        <w:rPr>
          <w:i/>
          <w:color w:val="231F20"/>
          <w:spacing w:val="-8"/>
          <w:w w:val="105"/>
        </w:rPr>
        <w:t> </w:t>
      </w:r>
      <w:r>
        <w:rPr>
          <w:i/>
          <w:color w:val="231F20"/>
          <w:w w:val="105"/>
        </w:rPr>
        <w:t>of</w:t>
      </w:r>
      <w:r>
        <w:rPr>
          <w:i/>
          <w:color w:val="231F20"/>
          <w:spacing w:val="-7"/>
          <w:w w:val="105"/>
        </w:rPr>
        <w:t> </w:t>
      </w:r>
      <w:r>
        <w:rPr>
          <w:i/>
          <w:color w:val="231F20"/>
          <w:w w:val="105"/>
        </w:rPr>
        <w:t>diuretics</w:t>
      </w:r>
      <w:r>
        <w:rPr>
          <w:i/>
          <w:color w:val="231F20"/>
          <w:spacing w:val="-7"/>
          <w:w w:val="105"/>
        </w:rPr>
        <w:t> </w:t>
      </w:r>
      <w:r>
        <w:rPr>
          <w:color w:val="231F20"/>
          <w:w w:val="105"/>
        </w:rPr>
        <w:t>that inhibit</w:t>
      </w:r>
      <w:r>
        <w:rPr>
          <w:color w:val="231F20"/>
          <w:spacing w:val="-7"/>
          <w:w w:val="105"/>
        </w:rPr>
        <w:t> </w:t>
      </w:r>
      <w:r>
        <w:rPr>
          <w:color w:val="231F20"/>
          <w:w w:val="105"/>
        </w:rPr>
        <w:t>the</w:t>
      </w:r>
      <w:r>
        <w:rPr>
          <w:color w:val="231F20"/>
          <w:spacing w:val="-6"/>
          <w:w w:val="105"/>
        </w:rPr>
        <w:t> </w:t>
      </w:r>
      <w:r>
        <w:rPr>
          <w:color w:val="231F20"/>
          <w:w w:val="105"/>
        </w:rPr>
        <w:t>ability</w:t>
      </w:r>
      <w:r>
        <w:rPr>
          <w:color w:val="231F20"/>
          <w:spacing w:val="-7"/>
          <w:w w:val="105"/>
        </w:rPr>
        <w:t> </w:t>
      </w:r>
      <w:r>
        <w:rPr>
          <w:color w:val="231F20"/>
          <w:w w:val="105"/>
        </w:rPr>
        <w:t>of</w:t>
      </w:r>
      <w:r>
        <w:rPr>
          <w:color w:val="231F20"/>
          <w:spacing w:val="-6"/>
          <w:w w:val="105"/>
        </w:rPr>
        <w:t> </w:t>
      </w:r>
      <w:r>
        <w:rPr>
          <w:color w:val="231F20"/>
          <w:w w:val="105"/>
        </w:rPr>
        <w:t>the</w:t>
      </w:r>
      <w:r>
        <w:rPr>
          <w:color w:val="231F20"/>
          <w:spacing w:val="-7"/>
          <w:w w:val="105"/>
        </w:rPr>
        <w:t> </w:t>
      </w:r>
      <w:r>
        <w:rPr>
          <w:color w:val="231F20"/>
          <w:w w:val="105"/>
        </w:rPr>
        <w:t>kidneys</w:t>
      </w:r>
      <w:r>
        <w:rPr>
          <w:color w:val="231F20"/>
          <w:spacing w:val="-6"/>
          <w:w w:val="105"/>
        </w:rPr>
        <w:t> </w:t>
      </w:r>
      <w:r>
        <w:rPr>
          <w:color w:val="231F20"/>
          <w:w w:val="105"/>
        </w:rPr>
        <w:t>to</w:t>
      </w:r>
      <w:r>
        <w:rPr>
          <w:color w:val="231F20"/>
          <w:spacing w:val="-7"/>
          <w:w w:val="105"/>
        </w:rPr>
        <w:t> </w:t>
      </w:r>
      <w:r>
        <w:rPr>
          <w:color w:val="231F20"/>
          <w:w w:val="105"/>
        </w:rPr>
        <w:t>conserve</w:t>
      </w:r>
      <w:r>
        <w:rPr>
          <w:color w:val="231F20"/>
          <w:spacing w:val="-6"/>
          <w:w w:val="105"/>
        </w:rPr>
        <w:t> </w:t>
      </w:r>
      <w:r>
        <w:rPr>
          <w:color w:val="231F20"/>
          <w:w w:val="105"/>
        </w:rPr>
        <w:t>sodium</w:t>
      </w:r>
      <w:r>
        <w:rPr>
          <w:color w:val="231F20"/>
          <w:spacing w:val="-7"/>
          <w:w w:val="105"/>
        </w:rPr>
        <w:t> </w:t>
      </w:r>
      <w:r>
        <w:rPr>
          <w:color w:val="231F20"/>
          <w:w w:val="105"/>
        </w:rPr>
        <w:t>and certain</w:t>
      </w:r>
      <w:r>
        <w:rPr>
          <w:color w:val="231F20"/>
          <w:spacing w:val="-16"/>
          <w:w w:val="105"/>
        </w:rPr>
        <w:t> </w:t>
      </w:r>
      <w:r>
        <w:rPr>
          <w:color w:val="231F20"/>
          <w:w w:val="105"/>
        </w:rPr>
        <w:t>types</w:t>
      </w:r>
      <w:r>
        <w:rPr>
          <w:color w:val="231F20"/>
          <w:spacing w:val="-16"/>
          <w:w w:val="105"/>
        </w:rPr>
        <w:t> </w:t>
      </w:r>
      <w:r>
        <w:rPr>
          <w:color w:val="231F20"/>
          <w:w w:val="105"/>
        </w:rPr>
        <w:t>of</w:t>
      </w:r>
      <w:r>
        <w:rPr>
          <w:color w:val="231F20"/>
          <w:spacing w:val="-16"/>
          <w:w w:val="105"/>
        </w:rPr>
        <w:t> </w:t>
      </w:r>
      <w:r>
        <w:rPr>
          <w:color w:val="231F20"/>
          <w:w w:val="105"/>
        </w:rPr>
        <w:t>sodium­wasting</w:t>
      </w:r>
      <w:r>
        <w:rPr>
          <w:color w:val="231F20"/>
          <w:spacing w:val="-16"/>
          <w:w w:val="105"/>
        </w:rPr>
        <w:t> </w:t>
      </w:r>
      <w:r>
        <w:rPr>
          <w:color w:val="231F20"/>
          <w:w w:val="105"/>
        </w:rPr>
        <w:t>kidney</w:t>
      </w:r>
      <w:r>
        <w:rPr>
          <w:color w:val="231F20"/>
          <w:spacing w:val="-16"/>
          <w:w w:val="105"/>
        </w:rPr>
        <w:t> </w:t>
      </w:r>
      <w:r>
        <w:rPr>
          <w:color w:val="231F20"/>
          <w:w w:val="105"/>
        </w:rPr>
        <w:t>diseases</w:t>
      </w:r>
      <w:r>
        <w:rPr>
          <w:color w:val="231F20"/>
          <w:spacing w:val="-16"/>
          <w:w w:val="105"/>
        </w:rPr>
        <w:t> </w:t>
      </w:r>
      <w:r>
        <w:rPr>
          <w:color w:val="231F20"/>
          <w:w w:val="105"/>
        </w:rPr>
        <w:t>can</w:t>
      </w:r>
      <w:r>
        <w:rPr>
          <w:color w:val="231F20"/>
          <w:spacing w:val="-16"/>
          <w:w w:val="105"/>
        </w:rPr>
        <w:t> </w:t>
      </w:r>
      <w:r>
        <w:rPr>
          <w:color w:val="231F20"/>
          <w:w w:val="105"/>
        </w:rPr>
        <w:t>also cause</w:t>
      </w:r>
      <w:r>
        <w:rPr>
          <w:color w:val="231F20"/>
          <w:spacing w:val="-33"/>
          <w:w w:val="105"/>
        </w:rPr>
        <w:t> </w:t>
      </w:r>
      <w:r>
        <w:rPr>
          <w:color w:val="231F20"/>
          <w:w w:val="105"/>
        </w:rPr>
        <w:t>modest</w:t>
      </w:r>
      <w:r>
        <w:rPr>
          <w:color w:val="231F20"/>
          <w:spacing w:val="-32"/>
          <w:w w:val="105"/>
        </w:rPr>
        <w:t> </w:t>
      </w:r>
      <w:r>
        <w:rPr>
          <w:color w:val="231F20"/>
          <w:w w:val="105"/>
        </w:rPr>
        <w:t>degrees</w:t>
      </w:r>
      <w:r>
        <w:rPr>
          <w:color w:val="231F20"/>
          <w:spacing w:val="-32"/>
          <w:w w:val="105"/>
        </w:rPr>
        <w:t> </w:t>
      </w:r>
      <w:r>
        <w:rPr>
          <w:color w:val="231F20"/>
          <w:w w:val="105"/>
        </w:rPr>
        <w:t>of</w:t>
      </w:r>
      <w:r>
        <w:rPr>
          <w:color w:val="231F20"/>
          <w:spacing w:val="-33"/>
          <w:w w:val="105"/>
        </w:rPr>
        <w:t> </w:t>
      </w:r>
      <w:r>
        <w:rPr>
          <w:color w:val="231F20"/>
          <w:w w:val="105"/>
        </w:rPr>
        <w:t>hyponatremia.</w:t>
      </w:r>
      <w:r>
        <w:rPr>
          <w:color w:val="231F20"/>
          <w:spacing w:val="-32"/>
          <w:w w:val="105"/>
        </w:rPr>
        <w:t> </w:t>
      </w:r>
      <w:r>
        <w:rPr>
          <w:color w:val="231F20"/>
          <w:w w:val="105"/>
        </w:rPr>
        <w:t>Finally,</w:t>
      </w:r>
      <w:r>
        <w:rPr>
          <w:color w:val="231F20"/>
          <w:spacing w:val="-32"/>
          <w:w w:val="105"/>
        </w:rPr>
        <w:t> </w:t>
      </w:r>
      <w:r>
        <w:rPr>
          <w:i/>
          <w:color w:val="231F20"/>
          <w:spacing w:val="-3"/>
          <w:w w:val="105"/>
        </w:rPr>
        <w:t>Addison’s </w:t>
      </w:r>
      <w:r>
        <w:rPr>
          <w:i/>
          <w:color w:val="231F20"/>
          <w:w w:val="105"/>
        </w:rPr>
        <w:t>disease, </w:t>
      </w:r>
      <w:r>
        <w:rPr>
          <w:color w:val="231F20"/>
          <w:w w:val="105"/>
        </w:rPr>
        <w:t>which results from decreased secretion of the hormone aldosterone, impairs the ability of the</w:t>
      </w:r>
      <w:r>
        <w:rPr>
          <w:color w:val="231F20"/>
          <w:spacing w:val="25"/>
          <w:w w:val="105"/>
        </w:rPr>
        <w:t> </w:t>
      </w:r>
      <w:r>
        <w:rPr>
          <w:color w:val="231F20"/>
          <w:w w:val="105"/>
        </w:rPr>
        <w:t>kidneys</w:t>
      </w:r>
    </w:p>
    <w:p>
      <w:pPr>
        <w:spacing w:after="0" w:line="249" w:lineRule="auto"/>
        <w:jc w:val="both"/>
        <w:sectPr>
          <w:type w:val="continuous"/>
          <w:pgSz w:w="12240" w:h="15660"/>
          <w:pgMar w:top="0" w:bottom="760" w:left="0" w:right="0"/>
          <w:cols w:num="2" w:equalWidth="0">
            <w:col w:w="5761" w:space="40"/>
            <w:col w:w="6439"/>
          </w:cols>
        </w:sectPr>
      </w:pPr>
    </w:p>
    <w:p>
      <w:pPr>
        <w:pStyle w:val="BodyText"/>
        <w:spacing w:before="2"/>
        <w:rPr>
          <w:sz w:val="19"/>
        </w:rPr>
      </w:pPr>
    </w:p>
    <w:p>
      <w:pPr>
        <w:spacing w:before="99"/>
        <w:ind w:left="1080" w:right="0" w:firstLine="0"/>
        <w:jc w:val="left"/>
        <w:rPr>
          <w:rFonts w:ascii="Trebuchet MS"/>
          <w:sz w:val="18"/>
        </w:rPr>
      </w:pPr>
      <w:bookmarkStart w:name="_bookmark9" w:id="10"/>
      <w:bookmarkEnd w:id="10"/>
      <w:r>
        <w:rPr/>
      </w:r>
      <w:r>
        <w:rPr>
          <w:rFonts w:ascii="Trebuchet MS"/>
          <w:b/>
          <w:color w:val="231F20"/>
          <w:w w:val="105"/>
          <w:sz w:val="18"/>
        </w:rPr>
        <w:t>Table 25-4 </w:t>
      </w:r>
      <w:r>
        <w:rPr>
          <w:rFonts w:ascii="Trebuchet MS"/>
          <w:color w:val="231F20"/>
          <w:w w:val="105"/>
          <w:sz w:val="18"/>
        </w:rPr>
        <w:t>Abnormalities of Body Fluid Volume Regulation: Hyponatremia and Hypernatremia</w:t>
      </w:r>
    </w:p>
    <w:p>
      <w:pPr>
        <w:pStyle w:val="BodyText"/>
        <w:spacing w:before="4"/>
        <w:rPr>
          <w:rFonts w:ascii="Trebuchet MS"/>
          <w:sz w:val="1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9"/>
        <w:gridCol w:w="3324"/>
        <w:gridCol w:w="1316"/>
        <w:gridCol w:w="1244"/>
        <w:gridCol w:w="1254"/>
      </w:tblGrid>
      <w:tr>
        <w:trPr>
          <w:trHeight w:val="464" w:hRule="atLeast"/>
        </w:trPr>
        <w:tc>
          <w:tcPr>
            <w:tcW w:w="2579" w:type="dxa"/>
            <w:shd w:val="clear" w:color="auto" w:fill="D1DDF1"/>
          </w:tcPr>
          <w:p>
            <w:pPr>
              <w:pStyle w:val="TableParagraph"/>
              <w:spacing w:before="2"/>
              <w:rPr>
                <w:sz w:val="20"/>
              </w:rPr>
            </w:pPr>
          </w:p>
          <w:p>
            <w:pPr>
              <w:pStyle w:val="TableParagraph"/>
              <w:spacing w:before="0"/>
              <w:ind w:left="120"/>
              <w:rPr>
                <w:b/>
                <w:sz w:val="16"/>
              </w:rPr>
            </w:pPr>
            <w:r>
              <w:rPr>
                <w:b/>
                <w:color w:val="231F20"/>
                <w:w w:val="105"/>
                <w:sz w:val="16"/>
              </w:rPr>
              <w:t>Abnormality</w:t>
            </w:r>
          </w:p>
        </w:tc>
        <w:tc>
          <w:tcPr>
            <w:tcW w:w="3324" w:type="dxa"/>
            <w:shd w:val="clear" w:color="auto" w:fill="D1DDF1"/>
          </w:tcPr>
          <w:p>
            <w:pPr>
              <w:pStyle w:val="TableParagraph"/>
              <w:spacing w:before="2"/>
              <w:rPr>
                <w:sz w:val="20"/>
              </w:rPr>
            </w:pPr>
          </w:p>
          <w:p>
            <w:pPr>
              <w:pStyle w:val="TableParagraph"/>
              <w:spacing w:before="0"/>
              <w:ind w:left="121"/>
              <w:rPr>
                <w:b/>
                <w:sz w:val="16"/>
              </w:rPr>
            </w:pPr>
            <w:r>
              <w:rPr>
                <w:b/>
                <w:color w:val="231F20"/>
                <w:sz w:val="16"/>
              </w:rPr>
              <w:t>Cause</w:t>
            </w:r>
          </w:p>
        </w:tc>
        <w:tc>
          <w:tcPr>
            <w:tcW w:w="1316" w:type="dxa"/>
            <w:shd w:val="clear" w:color="auto" w:fill="D1DDF1"/>
          </w:tcPr>
          <w:p>
            <w:pPr>
              <w:pStyle w:val="TableParagraph"/>
              <w:spacing w:line="259" w:lineRule="auto" w:before="34"/>
              <w:ind w:left="123" w:right="108" w:firstLine="115"/>
              <w:rPr>
                <w:b/>
                <w:sz w:val="16"/>
              </w:rPr>
            </w:pPr>
            <w:r>
              <w:rPr>
                <w:b/>
                <w:color w:val="231F20"/>
                <w:sz w:val="16"/>
              </w:rPr>
              <w:t>Plasma Na</w:t>
            </w:r>
            <w:r>
              <w:rPr>
                <w:rFonts w:ascii="Consolas"/>
                <w:b/>
                <w:color w:val="231F20"/>
                <w:position w:val="6"/>
                <w:sz w:val="9"/>
              </w:rPr>
              <w:t>+ </w:t>
            </w:r>
            <w:r>
              <w:rPr>
                <w:b/>
                <w:color w:val="231F20"/>
                <w:sz w:val="16"/>
              </w:rPr>
              <w:t>Concentration</w:t>
            </w:r>
          </w:p>
        </w:tc>
        <w:tc>
          <w:tcPr>
            <w:tcW w:w="1244" w:type="dxa"/>
            <w:shd w:val="clear" w:color="auto" w:fill="D1DDF1"/>
          </w:tcPr>
          <w:p>
            <w:pPr>
              <w:pStyle w:val="TableParagraph"/>
              <w:spacing w:line="259" w:lineRule="auto" w:before="34"/>
              <w:ind w:left="127" w:right="111" w:firstLine="26"/>
              <w:rPr>
                <w:b/>
                <w:sz w:val="16"/>
              </w:rPr>
            </w:pPr>
            <w:r>
              <w:rPr>
                <w:b/>
                <w:color w:val="231F20"/>
                <w:w w:val="95"/>
                <w:sz w:val="16"/>
              </w:rPr>
              <w:t>Extracellular </w:t>
            </w:r>
            <w:r>
              <w:rPr>
                <w:b/>
                <w:color w:val="231F20"/>
                <w:sz w:val="16"/>
              </w:rPr>
              <w:t>Fluid Volume</w:t>
            </w:r>
          </w:p>
        </w:tc>
        <w:tc>
          <w:tcPr>
            <w:tcW w:w="1254" w:type="dxa"/>
            <w:shd w:val="clear" w:color="auto" w:fill="D1DDF1"/>
          </w:tcPr>
          <w:p>
            <w:pPr>
              <w:pStyle w:val="TableParagraph"/>
              <w:spacing w:line="259" w:lineRule="auto" w:before="34"/>
              <w:ind w:left="133" w:right="115" w:firstLine="44"/>
              <w:rPr>
                <w:b/>
                <w:sz w:val="16"/>
              </w:rPr>
            </w:pPr>
            <w:r>
              <w:rPr>
                <w:b/>
                <w:color w:val="231F20"/>
                <w:sz w:val="16"/>
              </w:rPr>
              <w:t>Intracellular Fluid Volume</w:t>
            </w:r>
          </w:p>
        </w:tc>
      </w:tr>
      <w:tr>
        <w:trPr>
          <w:trHeight w:val="259" w:hRule="atLeast"/>
        </w:trPr>
        <w:tc>
          <w:tcPr>
            <w:tcW w:w="2579" w:type="dxa"/>
            <w:tcBorders>
              <w:bottom w:val="single" w:sz="4" w:space="0" w:color="FFFFFF"/>
            </w:tcBorders>
            <w:shd w:val="clear" w:color="auto" w:fill="E6ECF7"/>
          </w:tcPr>
          <w:p>
            <w:pPr>
              <w:pStyle w:val="TableParagraph"/>
              <w:spacing w:before="24"/>
              <w:ind w:left="119"/>
              <w:rPr>
                <w:sz w:val="16"/>
              </w:rPr>
            </w:pPr>
            <w:r>
              <w:rPr>
                <w:color w:val="231F20"/>
                <w:w w:val="110"/>
                <w:sz w:val="16"/>
              </w:rPr>
              <w:t>Hyponatremia—dehydration</w:t>
            </w:r>
          </w:p>
        </w:tc>
        <w:tc>
          <w:tcPr>
            <w:tcW w:w="3324" w:type="dxa"/>
            <w:tcBorders>
              <w:bottom w:val="single" w:sz="4" w:space="0" w:color="FFFFFF"/>
            </w:tcBorders>
            <w:shd w:val="clear" w:color="auto" w:fill="E6ECF7"/>
          </w:tcPr>
          <w:p>
            <w:pPr>
              <w:pStyle w:val="TableParagraph"/>
              <w:spacing w:before="24"/>
              <w:ind w:left="121"/>
              <w:rPr>
                <w:sz w:val="16"/>
              </w:rPr>
            </w:pPr>
            <w:r>
              <w:rPr>
                <w:color w:val="231F20"/>
                <w:w w:val="105"/>
                <w:sz w:val="16"/>
              </w:rPr>
              <w:t>Adrenal insufficiency; overuse of diuretics</w:t>
            </w:r>
          </w:p>
        </w:tc>
        <w:tc>
          <w:tcPr>
            <w:tcW w:w="1316" w:type="dxa"/>
            <w:tcBorders>
              <w:bottom w:val="single" w:sz="4" w:space="0" w:color="FFFFFF"/>
            </w:tcBorders>
            <w:shd w:val="clear" w:color="auto" w:fill="E6ECF7"/>
          </w:tcPr>
          <w:p>
            <w:pPr>
              <w:pStyle w:val="TableParagraph"/>
              <w:spacing w:before="27"/>
              <w:ind w:right="1"/>
              <w:jc w:val="center"/>
              <w:rPr>
                <w:rFonts w:ascii="Consolas" w:hAnsi="Consolas"/>
                <w:sz w:val="16"/>
              </w:rPr>
            </w:pPr>
            <w:r>
              <w:rPr>
                <w:rFonts w:ascii="Consolas" w:hAnsi="Consolas"/>
                <w:color w:val="231F20"/>
                <w:w w:val="109"/>
                <w:sz w:val="16"/>
              </w:rPr>
              <w:t>↓</w:t>
            </w:r>
          </w:p>
        </w:tc>
        <w:tc>
          <w:tcPr>
            <w:tcW w:w="1244" w:type="dxa"/>
            <w:tcBorders>
              <w:bottom w:val="single" w:sz="4" w:space="0" w:color="FFFFFF"/>
            </w:tcBorders>
            <w:shd w:val="clear" w:color="auto" w:fill="E6ECF7"/>
          </w:tcPr>
          <w:p>
            <w:pPr>
              <w:pStyle w:val="TableParagraph"/>
              <w:spacing w:before="27"/>
              <w:ind w:right="1"/>
              <w:jc w:val="center"/>
              <w:rPr>
                <w:rFonts w:ascii="Consolas" w:hAnsi="Consolas"/>
                <w:sz w:val="16"/>
              </w:rPr>
            </w:pPr>
            <w:r>
              <w:rPr>
                <w:rFonts w:ascii="Consolas" w:hAnsi="Consolas"/>
                <w:color w:val="231F20"/>
                <w:w w:val="109"/>
                <w:sz w:val="16"/>
              </w:rPr>
              <w:t>↓</w:t>
            </w:r>
          </w:p>
        </w:tc>
        <w:tc>
          <w:tcPr>
            <w:tcW w:w="1254" w:type="dxa"/>
            <w:tcBorders>
              <w:bottom w:val="single" w:sz="4" w:space="0" w:color="FFFFFF"/>
            </w:tcBorders>
            <w:shd w:val="clear" w:color="auto" w:fill="E6ECF7"/>
          </w:tcPr>
          <w:p>
            <w:pPr>
              <w:pStyle w:val="TableParagraph"/>
              <w:spacing w:before="27"/>
              <w:ind w:right="576"/>
              <w:jc w:val="right"/>
              <w:rPr>
                <w:rFonts w:ascii="Consolas" w:hAnsi="Consolas"/>
                <w:sz w:val="16"/>
              </w:rPr>
            </w:pPr>
            <w:r>
              <w:rPr>
                <w:rFonts w:ascii="Consolas" w:hAnsi="Consolas"/>
                <w:color w:val="231F20"/>
                <w:w w:val="109"/>
                <w:sz w:val="16"/>
              </w:rPr>
              <w:t>↑</w:t>
            </w:r>
          </w:p>
        </w:tc>
      </w:tr>
      <w:tr>
        <w:trPr>
          <w:trHeight w:val="464" w:hRule="atLeast"/>
        </w:trPr>
        <w:tc>
          <w:tcPr>
            <w:tcW w:w="2579" w:type="dxa"/>
            <w:tcBorders>
              <w:top w:val="single" w:sz="4" w:space="0" w:color="FFFFFF"/>
              <w:bottom w:val="single" w:sz="4" w:space="0" w:color="FFFFFF"/>
            </w:tcBorders>
            <w:shd w:val="clear" w:color="auto" w:fill="E6ECF7"/>
          </w:tcPr>
          <w:p>
            <w:pPr>
              <w:pStyle w:val="TableParagraph"/>
              <w:ind w:left="119"/>
              <w:rPr>
                <w:sz w:val="16"/>
              </w:rPr>
            </w:pPr>
            <w:r>
              <w:rPr>
                <w:color w:val="231F20"/>
                <w:w w:val="110"/>
                <w:sz w:val="16"/>
              </w:rPr>
              <w:t>Hyponatremia—overhydration</w:t>
            </w:r>
          </w:p>
        </w:tc>
        <w:tc>
          <w:tcPr>
            <w:tcW w:w="3324" w:type="dxa"/>
            <w:tcBorders>
              <w:top w:val="single" w:sz="4" w:space="0" w:color="FFFFFF"/>
              <w:bottom w:val="single" w:sz="4" w:space="0" w:color="FFFFFF"/>
            </w:tcBorders>
            <w:shd w:val="clear" w:color="auto" w:fill="E6ECF7"/>
          </w:tcPr>
          <w:p>
            <w:pPr>
              <w:pStyle w:val="TableParagraph"/>
              <w:spacing w:line="259" w:lineRule="auto"/>
              <w:ind w:left="281" w:right="123" w:hanging="160"/>
              <w:rPr>
                <w:sz w:val="16"/>
              </w:rPr>
            </w:pPr>
            <w:r>
              <w:rPr>
                <w:color w:val="231F20"/>
                <w:w w:val="105"/>
                <w:sz w:val="16"/>
              </w:rPr>
              <w:t>Excess ADH (SIADH); bronchogenic tumors</w:t>
            </w:r>
          </w:p>
        </w:tc>
        <w:tc>
          <w:tcPr>
            <w:tcW w:w="1316" w:type="dxa"/>
            <w:tcBorders>
              <w:top w:val="single" w:sz="4" w:space="0" w:color="FFFFFF"/>
              <w:bottom w:val="single" w:sz="4" w:space="0" w:color="FFFFFF"/>
            </w:tcBorders>
            <w:shd w:val="clear" w:color="auto" w:fill="E6ECF7"/>
          </w:tcPr>
          <w:p>
            <w:pPr>
              <w:pStyle w:val="TableParagraph"/>
              <w:spacing w:before="32"/>
              <w:jc w:val="center"/>
              <w:rPr>
                <w:rFonts w:ascii="Consolas" w:hAnsi="Consolas"/>
                <w:sz w:val="16"/>
              </w:rPr>
            </w:pPr>
            <w:r>
              <w:rPr>
                <w:rFonts w:ascii="Consolas" w:hAnsi="Consolas"/>
                <w:color w:val="231F20"/>
                <w:w w:val="109"/>
                <w:sz w:val="16"/>
              </w:rPr>
              <w:t>↓</w:t>
            </w:r>
          </w:p>
        </w:tc>
        <w:tc>
          <w:tcPr>
            <w:tcW w:w="1244" w:type="dxa"/>
            <w:tcBorders>
              <w:top w:val="single" w:sz="4" w:space="0" w:color="FFFFFF"/>
              <w:bottom w:val="single" w:sz="4" w:space="0" w:color="FFFFFF"/>
            </w:tcBorders>
            <w:shd w:val="clear" w:color="auto" w:fill="E6ECF7"/>
          </w:tcPr>
          <w:p>
            <w:pPr>
              <w:pStyle w:val="TableParagraph"/>
              <w:spacing w:before="32"/>
              <w:jc w:val="center"/>
              <w:rPr>
                <w:rFonts w:ascii="Consolas" w:hAnsi="Consolas"/>
                <w:sz w:val="16"/>
              </w:rPr>
            </w:pPr>
            <w:r>
              <w:rPr>
                <w:rFonts w:ascii="Consolas" w:hAnsi="Consolas"/>
                <w:color w:val="231F20"/>
                <w:w w:val="109"/>
                <w:sz w:val="16"/>
              </w:rPr>
              <w:t>↑</w:t>
            </w:r>
          </w:p>
        </w:tc>
        <w:tc>
          <w:tcPr>
            <w:tcW w:w="1254" w:type="dxa"/>
            <w:tcBorders>
              <w:top w:val="single" w:sz="4" w:space="0" w:color="FFFFFF"/>
              <w:bottom w:val="single" w:sz="4" w:space="0" w:color="FFFFFF"/>
            </w:tcBorders>
            <w:shd w:val="clear" w:color="auto" w:fill="E6ECF7"/>
          </w:tcPr>
          <w:p>
            <w:pPr>
              <w:pStyle w:val="TableParagraph"/>
              <w:spacing w:before="32"/>
              <w:ind w:right="576"/>
              <w:jc w:val="right"/>
              <w:rPr>
                <w:rFonts w:ascii="Consolas" w:hAnsi="Consolas"/>
                <w:sz w:val="16"/>
              </w:rPr>
            </w:pPr>
            <w:r>
              <w:rPr>
                <w:rFonts w:ascii="Consolas" w:hAnsi="Consolas"/>
                <w:color w:val="231F20"/>
                <w:w w:val="109"/>
                <w:sz w:val="16"/>
              </w:rPr>
              <w:t>↑</w:t>
            </w:r>
          </w:p>
        </w:tc>
      </w:tr>
      <w:tr>
        <w:trPr>
          <w:trHeight w:val="264" w:hRule="atLeast"/>
        </w:trPr>
        <w:tc>
          <w:tcPr>
            <w:tcW w:w="2579" w:type="dxa"/>
            <w:tcBorders>
              <w:top w:val="single" w:sz="4" w:space="0" w:color="FFFFFF"/>
              <w:bottom w:val="single" w:sz="4" w:space="0" w:color="FFFFFF"/>
            </w:tcBorders>
            <w:shd w:val="clear" w:color="auto" w:fill="E6ECF7"/>
          </w:tcPr>
          <w:p>
            <w:pPr>
              <w:pStyle w:val="TableParagraph"/>
              <w:ind w:left="119"/>
              <w:rPr>
                <w:sz w:val="16"/>
              </w:rPr>
            </w:pPr>
            <w:r>
              <w:rPr>
                <w:color w:val="231F20"/>
                <w:w w:val="105"/>
                <w:sz w:val="16"/>
              </w:rPr>
              <w:t>Hypernatremia—dehydration</w:t>
            </w:r>
          </w:p>
        </w:tc>
        <w:tc>
          <w:tcPr>
            <w:tcW w:w="3324" w:type="dxa"/>
            <w:tcBorders>
              <w:top w:val="single" w:sz="4" w:space="0" w:color="FFFFFF"/>
              <w:bottom w:val="single" w:sz="4" w:space="0" w:color="FFFFFF"/>
            </w:tcBorders>
            <w:shd w:val="clear" w:color="auto" w:fill="E6ECF7"/>
          </w:tcPr>
          <w:p>
            <w:pPr>
              <w:pStyle w:val="TableParagraph"/>
              <w:ind w:left="121"/>
              <w:rPr>
                <w:sz w:val="16"/>
              </w:rPr>
            </w:pPr>
            <w:r>
              <w:rPr>
                <w:color w:val="231F20"/>
                <w:w w:val="105"/>
                <w:sz w:val="16"/>
              </w:rPr>
              <w:t>Diabetes insipidus; excessive sweating</w:t>
            </w:r>
          </w:p>
        </w:tc>
        <w:tc>
          <w:tcPr>
            <w:tcW w:w="1316" w:type="dxa"/>
            <w:tcBorders>
              <w:top w:val="single" w:sz="4" w:space="0" w:color="FFFFFF"/>
              <w:bottom w:val="single" w:sz="4" w:space="0" w:color="FFFFFF"/>
            </w:tcBorders>
            <w:shd w:val="clear" w:color="auto" w:fill="E6ECF7"/>
          </w:tcPr>
          <w:p>
            <w:pPr>
              <w:pStyle w:val="TableParagraph"/>
              <w:spacing w:before="32"/>
              <w:ind w:right="1"/>
              <w:jc w:val="center"/>
              <w:rPr>
                <w:rFonts w:ascii="Consolas" w:hAnsi="Consolas"/>
                <w:sz w:val="16"/>
              </w:rPr>
            </w:pPr>
            <w:r>
              <w:rPr>
                <w:rFonts w:ascii="Consolas" w:hAnsi="Consolas"/>
                <w:color w:val="231F20"/>
                <w:w w:val="109"/>
                <w:sz w:val="16"/>
              </w:rPr>
              <w:t>↑</w:t>
            </w:r>
          </w:p>
        </w:tc>
        <w:tc>
          <w:tcPr>
            <w:tcW w:w="1244" w:type="dxa"/>
            <w:tcBorders>
              <w:top w:val="single" w:sz="4" w:space="0" w:color="FFFFFF"/>
              <w:bottom w:val="single" w:sz="4" w:space="0" w:color="FFFFFF"/>
            </w:tcBorders>
            <w:shd w:val="clear" w:color="auto" w:fill="E6ECF7"/>
          </w:tcPr>
          <w:p>
            <w:pPr>
              <w:pStyle w:val="TableParagraph"/>
              <w:spacing w:before="32"/>
              <w:ind w:right="1"/>
              <w:jc w:val="center"/>
              <w:rPr>
                <w:rFonts w:ascii="Consolas" w:hAnsi="Consolas"/>
                <w:sz w:val="16"/>
              </w:rPr>
            </w:pPr>
            <w:r>
              <w:rPr>
                <w:rFonts w:ascii="Consolas" w:hAnsi="Consolas"/>
                <w:color w:val="231F20"/>
                <w:w w:val="109"/>
                <w:sz w:val="16"/>
              </w:rPr>
              <w:t>↓</w:t>
            </w:r>
          </w:p>
        </w:tc>
        <w:tc>
          <w:tcPr>
            <w:tcW w:w="1254" w:type="dxa"/>
            <w:tcBorders>
              <w:top w:val="single" w:sz="4" w:space="0" w:color="FFFFFF"/>
              <w:bottom w:val="single" w:sz="4" w:space="0" w:color="FFFFFF"/>
            </w:tcBorders>
            <w:shd w:val="clear" w:color="auto" w:fill="E6ECF7"/>
          </w:tcPr>
          <w:p>
            <w:pPr>
              <w:pStyle w:val="TableParagraph"/>
              <w:spacing w:before="32"/>
              <w:ind w:right="576"/>
              <w:jc w:val="right"/>
              <w:rPr>
                <w:rFonts w:ascii="Consolas" w:hAnsi="Consolas"/>
                <w:sz w:val="16"/>
              </w:rPr>
            </w:pPr>
            <w:r>
              <w:rPr>
                <w:rFonts w:ascii="Consolas" w:hAnsi="Consolas"/>
                <w:color w:val="231F20"/>
                <w:w w:val="109"/>
                <w:sz w:val="16"/>
              </w:rPr>
              <w:t>↓</w:t>
            </w:r>
          </w:p>
        </w:tc>
      </w:tr>
      <w:tr>
        <w:trPr>
          <w:trHeight w:val="279" w:hRule="atLeast"/>
        </w:trPr>
        <w:tc>
          <w:tcPr>
            <w:tcW w:w="2579" w:type="dxa"/>
            <w:tcBorders>
              <w:top w:val="single" w:sz="4" w:space="0" w:color="FFFFFF"/>
            </w:tcBorders>
            <w:shd w:val="clear" w:color="auto" w:fill="E6ECF7"/>
          </w:tcPr>
          <w:p>
            <w:pPr>
              <w:pStyle w:val="TableParagraph"/>
              <w:ind w:left="119"/>
              <w:rPr>
                <w:sz w:val="16"/>
              </w:rPr>
            </w:pPr>
            <w:r>
              <w:rPr>
                <w:color w:val="231F20"/>
                <w:w w:val="105"/>
                <w:sz w:val="16"/>
              </w:rPr>
              <w:t>Hypernatremia—overhydration</w:t>
            </w:r>
          </w:p>
        </w:tc>
        <w:tc>
          <w:tcPr>
            <w:tcW w:w="3324" w:type="dxa"/>
            <w:tcBorders>
              <w:top w:val="single" w:sz="4" w:space="0" w:color="FFFFFF"/>
            </w:tcBorders>
            <w:shd w:val="clear" w:color="auto" w:fill="E6ECF7"/>
          </w:tcPr>
          <w:p>
            <w:pPr>
              <w:pStyle w:val="TableParagraph"/>
              <w:ind w:left="121"/>
              <w:rPr>
                <w:sz w:val="16"/>
              </w:rPr>
            </w:pPr>
            <w:r>
              <w:rPr>
                <w:color w:val="231F20"/>
                <w:w w:val="105"/>
                <w:sz w:val="16"/>
              </w:rPr>
              <w:t>Cushing’s disease; primary aldosteronism</w:t>
            </w:r>
          </w:p>
        </w:tc>
        <w:tc>
          <w:tcPr>
            <w:tcW w:w="1316" w:type="dxa"/>
            <w:tcBorders>
              <w:top w:val="single" w:sz="4" w:space="0" w:color="FFFFFF"/>
            </w:tcBorders>
            <w:shd w:val="clear" w:color="auto" w:fill="E6ECF7"/>
          </w:tcPr>
          <w:p>
            <w:pPr>
              <w:pStyle w:val="TableParagraph"/>
              <w:spacing w:before="32"/>
              <w:ind w:right="1"/>
              <w:jc w:val="center"/>
              <w:rPr>
                <w:rFonts w:ascii="Consolas" w:hAnsi="Consolas"/>
                <w:sz w:val="16"/>
              </w:rPr>
            </w:pPr>
            <w:r>
              <w:rPr>
                <w:rFonts w:ascii="Consolas" w:hAnsi="Consolas"/>
                <w:color w:val="231F20"/>
                <w:w w:val="109"/>
                <w:sz w:val="16"/>
              </w:rPr>
              <w:t>↑</w:t>
            </w:r>
          </w:p>
        </w:tc>
        <w:tc>
          <w:tcPr>
            <w:tcW w:w="1244" w:type="dxa"/>
            <w:tcBorders>
              <w:top w:val="single" w:sz="4" w:space="0" w:color="FFFFFF"/>
            </w:tcBorders>
            <w:shd w:val="clear" w:color="auto" w:fill="E6ECF7"/>
          </w:tcPr>
          <w:p>
            <w:pPr>
              <w:pStyle w:val="TableParagraph"/>
              <w:spacing w:before="32"/>
              <w:ind w:right="1"/>
              <w:jc w:val="center"/>
              <w:rPr>
                <w:rFonts w:ascii="Consolas" w:hAnsi="Consolas"/>
                <w:sz w:val="16"/>
              </w:rPr>
            </w:pPr>
            <w:r>
              <w:rPr>
                <w:rFonts w:ascii="Consolas" w:hAnsi="Consolas"/>
                <w:color w:val="231F20"/>
                <w:w w:val="109"/>
                <w:sz w:val="16"/>
              </w:rPr>
              <w:t>↑</w:t>
            </w:r>
          </w:p>
        </w:tc>
        <w:tc>
          <w:tcPr>
            <w:tcW w:w="1254" w:type="dxa"/>
            <w:tcBorders>
              <w:top w:val="single" w:sz="4" w:space="0" w:color="FFFFFF"/>
            </w:tcBorders>
            <w:shd w:val="clear" w:color="auto" w:fill="E6ECF7"/>
          </w:tcPr>
          <w:p>
            <w:pPr>
              <w:pStyle w:val="TableParagraph"/>
              <w:spacing w:before="32"/>
              <w:ind w:right="576"/>
              <w:jc w:val="right"/>
              <w:rPr>
                <w:rFonts w:ascii="Consolas" w:hAnsi="Consolas"/>
                <w:sz w:val="16"/>
              </w:rPr>
            </w:pPr>
            <w:r>
              <w:rPr>
                <w:rFonts w:ascii="Consolas" w:hAnsi="Consolas"/>
                <w:color w:val="231F20"/>
                <w:w w:val="109"/>
                <w:sz w:val="16"/>
              </w:rPr>
              <w:t>↓</w:t>
            </w:r>
          </w:p>
        </w:tc>
      </w:tr>
    </w:tbl>
    <w:p>
      <w:pPr>
        <w:spacing w:before="30"/>
        <w:ind w:left="1080" w:right="0" w:firstLine="0"/>
        <w:jc w:val="left"/>
        <w:rPr>
          <w:rFonts w:ascii="Arial"/>
          <w:sz w:val="16"/>
        </w:rPr>
      </w:pPr>
      <w:r>
        <w:rPr>
          <w:rFonts w:ascii="Arial"/>
          <w:color w:val="231F20"/>
          <w:sz w:val="16"/>
        </w:rPr>
        <w:t>ADH, antidiuretic hormone; SIADH, syndrome of inappropriate ADH.</w:t>
      </w:r>
    </w:p>
    <w:p>
      <w:pPr>
        <w:spacing w:after="0"/>
        <w:jc w:val="left"/>
        <w:rPr>
          <w:rFonts w:ascii="Arial"/>
          <w:sz w:val="16"/>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19"/>
        </w:rPr>
      </w:pPr>
    </w:p>
    <w:p>
      <w:pPr>
        <w:spacing w:after="0"/>
        <w:rPr>
          <w:rFonts w:ascii="Arial"/>
          <w:sz w:val="19"/>
        </w:rPr>
        <w:sectPr>
          <w:headerReference w:type="default" r:id="rId56"/>
          <w:pgSz w:w="12240" w:h="15660"/>
          <w:pgMar w:header="0" w:footer="567" w:top="0" w:bottom="760" w:left="0" w:right="0"/>
        </w:sectPr>
      </w:pPr>
    </w:p>
    <w:p>
      <w:pPr>
        <w:pStyle w:val="Heading2"/>
        <w:spacing w:line="225" w:lineRule="auto" w:before="111"/>
        <w:ind w:left="1440" w:right="455"/>
      </w:pPr>
      <w:r>
        <w:rPr/>
        <w:pict>
          <v:group style="position:absolute;margin-left:0pt;margin-top:0pt;width:612pt;height:180pt;mso-position-horizontal-relative:page;mso-position-vertical-relative:page;z-index:-273638400" coordorigin="0,0" coordsize="12240,3600">
            <v:rect style="position:absolute;left:0;top:0;width:11520;height:720" filled="true" fillcolor="#f2eae0" stroked="false">
              <v:fill type="solid"/>
            </v:rect>
            <v:rect style="position:absolute;left:11520;top:0;width:720;height:3600" filled="true" fillcolor="#d7802a" stroked="false">
              <v:fill type="solid"/>
            </v:rect>
            <v:shape style="position:absolute;left:7190;top:1240;width:3583;height:2299" coordorigin="7191,1241" coordsize="3583,2299" path="m10037,3049l7646,3049,7674,3075,7721,3086,7777,3088,7830,3090,7877,3099,7925,3119,7976,3142,8034,3161,8064,3165,8086,3168,8100,3174,8105,3187,8110,3222,8120,3254,8136,3284,8159,3312,8183,3338,8198,3364,8213,3389,8234,3413,8292,3452,8366,3482,8447,3502,8528,3513,8592,3529,8664,3537,8743,3540,8826,3536,8910,3526,8995,3512,9077,3493,9156,3470,9227,3443,9292,3413,9355,3376,9417,3336,9478,3294,9539,3253,9612,3209,9686,3171,9759,3138,9830,3109,9900,3086,9968,3066,10034,3050,10037,3049xm7749,1608l7676,1638,7599,1690,7541,1750,7523,1803,7471,1817,7413,1867,7362,1935,7331,2002,7333,2049,7298,2090,7275,2144,7265,2204,7272,2265,7250,2288,7236,2317,7228,2352,7224,2392,7223,2426,7224,2450,7227,2467,7235,2482,7206,2544,7191,2616,7191,2689,7208,2756,7243,2817,7290,2870,7345,2909,7405,2930,7411,2956,7427,2974,7450,2991,7477,3008,7521,3033,7564,3049,7605,3056,7646,3049,10037,3049,10061,3044,10109,3034,10162,3028,10545,3028,10605,3007,10665,2967,10714,2916,10746,2856,10757,2792,10757,2781,10759,2769,10763,2757,10767,2745,10773,2695,10769,2621,10758,2538,10743,2462,10726,2400,10703,2334,10668,2273,10613,2223,10597,2143,10565,2062,10523,1989,10476,1928,10431,1888,10416,1880,10405,1874,10395,1865,10387,1846,10352,1778,10299,1717,10233,1668,10159,1638,10141,1614,7797,1614,7749,1608xm10545,3028l10162,3028,10207,3032,10289,3049,10370,3053,10452,3046,10537,3031,10545,3028xm8613,1287l8575,1289,8537,1293,8474,1303,8405,1314,8335,1333,8265,1365,8244,1378,8227,1385,8210,1389,8191,1391,8137,1399,8065,1421,7987,1453,7912,1491,7849,1533,7807,1575,7797,1614,10141,1614,10131,1600,10097,1568,10059,1539,10019,1513,9972,1489,9926,1468,9883,1451,9847,1437,9824,1429,9796,1413,9764,1395,9729,1377,9654,1348,9576,1324,9498,1307,9431,1296,8686,1296,8651,1289,8613,1287xm9009,1241l8929,1244,8868,1250,8803,1259,8741,1274,8686,1296,9431,1296,9421,1294,9349,1288,9283,1287,9271,1285,9259,1280,9249,1275,9245,1273,9173,1252,9092,1243,9009,1241xe" filled="true" fillcolor="#b7705b" stroked="false">
              <v:path arrowok="t"/>
              <v:fill type="solid"/>
            </v:shape>
            <v:shape style="position:absolute;left:7205;top:1258;width:3550;height:2260" type="#_x0000_t75" stroked="false">
              <v:imagedata r:id="rId57" o:title=""/>
            </v:shape>
            <v:shape style="position:absolute;left:7324;top:1383;width:3295;height:1861" coordorigin="7325,1383" coordsize="3295,1861" path="m7331,2782l7330,2773,7327,2773,7327,2783,7331,2782m7334,2797l7334,2793,7331,2788,7325,2796,7330,2797,7334,2797m7358,2258l7358,2252,7353,2251,7352,2255,7352,2258,7358,2258m7367,2577l7364,2573,7360,2574,7361,2579,7362,2581,7367,2577m7374,2562l7369,2560,7362,2558,7365,2569,7369,2569,7369,2566,7374,2562m7399,2871l7397,2870,7395,2869,7394,2876,7398,2875,7399,2874,7399,2871m7404,2657l7384,2666,7368,2678,7356,2685,7347,2683,7346,2667,7352,2642,7361,2614,7363,2588,7356,2612,7348,2631,7341,2649,7336,2669,7334,2694,7332,2742,7330,2765,7344,2720,7362,2693,7370,2685,7383,2674,7404,2657m7413,2048l7412,2046,7412,2043,7406,2043,7406,2050,7410,2050,7413,2048m7414,2873l7408,2874,7406,2872,7405,2878,7412,2878,7413,2874,7414,2873m7424,2645l7422,2638,7413,2645,7417,2650,7420,2653,7424,2648,7424,2645m7436,2639l7436,2635,7433,2634,7428,2634,7427,2637,7432,2642,7433,2640,7436,2639m7446,2625l7444,2623,7441,2623,7440,2627,7442,2626,7445,2628,7446,2626,7446,2625m7508,2581l7508,2573,7504,2573,7502,2577,7505,2581,7508,2581m7510,2681l7508,2677,7509,2676,7505,2674,7501,2677,7502,2682,7507,2681,7510,2681m7513,2698l7512,2695,7509,2691,7502,2697,7505,2701,7506,2703,7508,2702,7510,2702,7512,2701,7513,2698m7515,2572l7515,2571,7515,2572,7515,2572m7515,2565l7514,2570,7515,2571,7515,2565m7529,2565l7515,2572,7516,2573,7519,2574,7521,2573,7529,2565m7540,2459l7538,2455,7539,2454,7538,2452,7534,2452,7538,2459,7540,2459m7550,2472l7548,2469,7548,2467,7547,2464,7544,2466,7540,2466,7540,2470,7543,2474,7547,2473,7550,2472m7568,1828l7567,1827,7567,1828,7568,1828m7570,1838l7567,1828,7565,1827,7558,1832,7562,1834,7570,1838m7578,2763l7577,2761,7577,2758,7574,2755,7570,2758,7569,2762,7572,2763,7573,2766,7576,2765,7578,2763m7599,2759l7599,2756,7597,2751,7589,2753,7591,2758,7593,2759,7594,2762,7596,2761,7597,2760,7599,2759m7719,2839l7718,2833,7715,2832,7712,2835,7711,2837,7713,2839,7715,2840,7719,2839m7720,1880l7720,1879,7719,1876,7717,1870,7707,1877,7712,1880,7715,1879,7720,1880m7738,2833l7736,2827,7732,2824,7728,2830,7728,2835,7729,2836,7730,2836,7734,2834,7738,2833m7749,2825l7748,2821,7742,2821,7743,2828,7744,2828,7748,2827,7749,2825m7839,2850l7839,2847,7837,2845,7839,2841,7834,2842,7831,2845,7835,2852,7839,2850m7840,2859l7836,2857,7833,2861,7839,2867,7839,2863,7840,2859m7842,1654l7840,1651,7836,1648,7830,1654,7833,1659,7836,1659,7837,1656,7842,1654m7923,2077l7922,2076,7921,2073,7918,2074,7917,2074,7917,2080,7919,2080,7920,2078,7923,2077m7971,2862l7970,2861,7969,2858,7968,2856,7964,2857,7965,2862,7966,2861,7971,2862m7987,2852l7986,2850,7985,2848,7982,2848,7980,2850,7978,2855,7982,2856,7986,2858,7986,2853,7987,2852m8004,2850l8004,2848,8002,2844,7990,2842,7992,2850,7993,2853,7998,2852,8001,2852,8002,2851,8004,2850m8065,1555l8065,1552,8060,1546,8058,1556,8060,1556,8063,1556,8065,1555m8075,1563l8065,1567,8067,1573,8069,1574,8073,1574,8074,1571,8075,1563m8139,1688l8138,1685,8138,1682,8133,1681,8130,1685,8132,1689,8136,1689,8139,1688m8188,2029l8187,2027,8187,2026,8186,2023,8182,2024,8181,2024,8181,2030,8185,2030,8188,2029m8231,1914l8228,1914,8225,1913,8225,1920,8227,1920,8229,1921,8229,1920,8230,1919,8231,1914,8231,1914m8239,1903l8238,1901,8237,1894,8230,1900,8231,1904,8232,1906,8234,1905,8235,1905,8237,1904,8239,1903m8249,1458l8245,1455,8239,1452,8234,1461,8240,1463,8244,1462,8249,1458m8301,1684l8299,1678,8296,1679,8289,1683,8292,1689,8297,1687,8301,1684m8314,1704l8313,1700,8312,1691,8302,1697,8305,1704,8308,1706,8314,1704m8322,2700l8321,2697,8321,2695,8319,2693,8317,2691,8315,2692,8313,2694,8313,2703,8319,2701,8322,2700m8327,2711l8321,2704,8313,2707,8323,2712,8325,2714,8327,2711m8333,2497l8331,2493,8329,2491,8329,2486,8325,2488,8322,2490,8322,2498,8326,2499,8328,2497,8333,2497m8335,2728l8334,2727,8333,2725,8332,2722,8329,2723,8330,2729,8333,2729,8335,2728m8374,1600l8371,1600,8368,1599,8368,1606,8372,1606,8372,1604,8374,1600,8374,1600m8380,1590l8380,1586,8379,1584,8379,1580,8375,1581,8373,1584,8368,1588,8372,1591,8375,1591,8380,1590m8558,3186l8558,3185,8558,3189,8558,3186m8559,3199l8558,3189,8557,3205,8549,3241,8559,3199m8567,1914l8559,1914,8559,1918,8567,1918,8567,1914m8580,1911l8577,1903,8569,1904,8570,1910,8572,1912,8573,1914,8577,1913,8578,1912,8580,1911m8680,2523l8674,2523,8672,2521,8670,2526,8672,2528,8675,2529,8678,2527,8679,2523,8680,2523m8734,1388l8731,1383,8725,1384,8726,1386,8717,1398,8724,1390,8725,1392,8729,1391,8731,1391,8731,1390,8731,1389,8734,1388m8749,1529l8744,1529,8742,1530,8736,1529,8738,1536,8742,1537,8745,1538,8746,1535,8748,1534,8749,1530,8749,1529m8751,1684l8751,1683,8750,1681,8749,1678,8747,1676,8744,1684,8745,1688,8748,1683,8751,1684m8765,1527l8765,1524,8760,1523,8755,1527,8754,1531,8756,1533,8758,1532,8764,1531,8765,1527m8844,1647l8843,1643,8843,1642,8842,1643,8841,1641,8840,1641,8837,1648,8839,1648,8842,1647,8844,1647m8859,1618l8856,1618,8854,1625,8855,1625,8857,1625,8858,1624,8858,1622,8859,1618m8860,2875l8857,2875,8855,2873,8853,2880,8855,2879,8858,2881,8859,2879,8860,2875m9042,1459l9041,1456,9036,1455,9034,1456,9032,1461,9036,1462,9040,1464,9042,1459m9106,1698l9102,1692,9093,1695,9091,1701,9097,1704,9104,1705,9106,1698m9130,1699l9129,1696,9129,1694,9125,1692,9119,1698,9123,1701,9128,1701,9130,1699m9178,2508l9177,2504,9176,2501,9176,2500,9172,2501,9171,2499,9169,2499,9166,2505,9168,2504,9178,2508m9381,1906l9380,1903,9377,1901,9369,1903,9373,1908,9377,1909,9378,1907,9381,1906m9387,1888l9385,1885,9381,1882,9374,1886,9376,1891,9377,1893,9380,1893,9382,1890,9387,1888m9519,2018l9516,2018,9516,2024,9519,2024,9519,2018m9526,2399l9516,2399,9516,2410,9526,2410,9526,2399m9530,1960l9527,1959,9526,1959,9525,1960,9525,1960,9525,1963,9527,1964,9530,1960m9534,1975l9533,1974,9534,1971,9531,1973,9530,1974,9534,1975m9541,1983l9540,1982,9538,1981,9537,1981,9535,1982,9534,1984,9541,1985,9541,1983m9605,1571l9605,1566,9603,1566,9603,1571,9605,1571m9615,1566l9612,1562,9612,1561,9610,1562,9608,1562,9609,1569,9610,1566,9615,1566m9626,1557l9626,1555,9624,1553,9622,1554,9619,1554,9620,1560,9623,1560,9624,1558,9626,1557m9640,1549l9640,1546,9634,1547,9634,1551,9639,1550,9640,1549m9675,1792l9675,1789,9671,1785,9667,1789,9669,1793,9673,1793,9675,1792m9685,1789l9685,1785,9683,1782,9676,1782,9676,1786,9679,1787,9680,1791,9684,1789,9685,1789m9700,1519l9699,1516,9694,1514,9688,1520,9693,1523,9695,1523,9697,1520,9700,1519m9711,2328l9710,2325,9708,2324,9708,2325,9706,2327,9706,2328,9711,2328m9713,2308l9712,2304,9712,2302,9710,2302,9709,2302,9709,2304,9709,2307,9713,2308m9718,2286l9711,2289,9709,2291,9712,2293,9713,2295,9717,2295,9718,2286m9719,1506l9718,1501,9711,1502,9711,1508,9713,1508,9716,1507,9719,1506m9728,2534l9721,2533,9713,2544,9718,2550,9726,2549,9725,2539,9728,2534m9734,1495l9734,1491,9722,1497,9723,1499,9727,1497,9729,1498,9729,1497,9730,1496,9734,1495m9745,2527l9744,2524,9743,2522,9741,2523,9739,2523,9740,2529,9743,2529,9745,2527m9763,2616l9722,2617,9683,2623,9646,2631,9613,2639,9601,2641,9593,2646,9593,2637,9611,2604,9629,2584,9658,2569,9708,2549,9675,2561,9646,2573,9620,2589,9596,2614,9566,2658,9531,2700,9492,2738,9450,2770,9389,2804,9322,2825,9179,2853,9112,2873,9062,2898,9009,2919,8954,2938,8900,2955,8879,2960,8859,2965,8840,2967,8821,2964,8823,2960,8829,2948,8836,2930,8840,2906,8820,2948,8778,2990,8728,3024,8679,3043,8633,3053,8585,3060,8538,3058,8497,3040,8499,3042,8511,3053,8525,3066,8532,3075,8535,3090,8536,3104,8534,3119,8531,3132,8512,3170,8482,3206,8443,3233,8397,3241,8423,3244,8447,3238,8468,3227,8486,3214,8500,3201,8511,3188,8522,3178,8537,3171,8552,3177,8558,3185,8556,3171,8556,3170,8548,3148,8546,3131,8549,3114,8549,3095,8551,3081,8562,3074,8587,3072,8616,3070,8650,3065,8667,3060,8688,3055,8750,3031,8789,3008,8824,2989,8876,2975,8901,2967,8940,2956,9003,2936,9064,2912,9123,2884,9199,2863,9277,2849,9354,2833,9426,2805,9447,2801,9476,2804,9506,2811,9532,2819,9515,2808,9499,2801,9497,2800,9480,2795,9466,2791,9454,2788,9454,2784,9466,2776,9495,2753,9525,2727,9553,2699,9577,2669,9608,2650,9622,2646,9660,2634,9717,2622,9763,2616m9796,2620l9796,2618,9793,2617,9791,2614,9788,2615,9786,2621,9796,2620m9806,2134l9806,2132,9806,2129,9804,2128,9802,2127,9801,2129,9800,2130,9799,2132,9801,2132,9802,2133,9806,2134m9809,2121l9809,2119,9809,2119,9807,2119,9805,2118,9805,2119,9805,2123,9808,2124,9809,2121m9819,2189l9817,2188,9811,2184,9802,2182,9800,2181,9791,2182,9788,2178,9792,2168,9799,2154,9803,2138,9791,2161,9774,2186,9753,2204,9727,2208,9720,2206,9719,2189,9719,2188,9714,2171,9701,2136,9685,2103,9663,2073,9633,2047,9614,2035,9598,2027,9583,2021,9568,2015,9560,2010,9552,2000,9541,1989,9546,1998,9554,2008,9561,2016,9539,2017,9526,2021,9575,2027,9617,2045,9651,2072,9676,2107,9696,2148,9709,2191,9715,2236,9712,2283,9719,2259,9723,2238,9728,2223,9738,2219,9750,2217,9761,2212,9765,2208,9770,2205,9778,2196,9786,2190,9796,2188,9808,2188,9819,2189m9830,2199l9830,2197,9829,2194,9826,2195,9824,2197,9824,2199,9828,2201,9830,2199m9844,2200l9841,2198,9839,2198,9838,2200,9836,2201,9838,2203,9840,2204,9844,2200m9859,1928l9853,1927,9853,1932,9858,1934,9857,1929,9859,1928m9874,1931l9873,1928,9873,1926,9868,1928,9865,1929,9865,1932,9868,1935,9871,1935,9872,1933,9874,1931m9877,1734l9876,1732,9874,1728,9871,1730,9868,1730,9868,1734,9868,1739,9873,1737,9874,1735,9877,1734m9881,2835l9878,2835,9874,2834,9872,2835,9870,2840,9874,2841,9876,2841,9879,2843,9880,2841,9880,2840,9881,2835,9881,2835m9890,1735l9889,1733,9887,1731,9881,1733,9883,1737,9888,1736,9888,1736,9890,1735m9890,2816l9889,2814,9889,2813,9888,2810,9884,2811,9882,2811,9883,2817,9888,2817,9890,2816m9910,1736l9910,1732,9903,1733,9903,1737,9908,1737,9910,1736m9964,2513l9964,2509,9964,2509,9962,2509,9960,2507,9961,2513,9964,2513m9986,2508l9986,2506,9986,2504,9981,2503,9978,2506,9980,2510,9984,2510,9986,2508m10004,2509l10004,2508,10003,2501,10002,2508,9999,2502,9994,2502,9994,2507,9995,2511,9997,2515,10000,2509,10004,2509m10044,1914l10042,1911,10042,1909,10038,1908,10038,1915,10041,1914,10044,1914m10069,1673l10067,1672,10064,1677,10068,1677,10068,1675,10069,1673m10284,1861l10284,1859,10283,1857,10279,1859,10277,1859,10282,1863,10284,1861m10302,2526l10300,2524,10300,2522,10299,2522,10299,2522,10298,2521,10295,2527,10296,2528,10300,2528,10302,2526m10304,1862l10301,1857,10290,1859,10294,1864,10297,1863,10303,1869,10304,1863,10304,1862m10323,2527l10322,2523,10318,2523,10319,2527,10323,2527m10353,2144l10350,2143,10346,2140,10335,2143,10326,2136,10336,2128,10341,2117,10348,2106,10293,2143,10228,2164,10171,2165,10137,2146,10110,2103,10080,2064,10046,2026,10010,1987,9995,1974,9982,1963,9976,1954,9978,1947,9986,1942,9997,1937,10000,1936,10004,1934,10012,1930,10029,1917,10010,1924,9986,1931,9963,1934,9947,1928,9907,1882,9862,1841,9812,1806,9770,1785,9758,1779,9745,1775,9741,1759,9751,1753,9766,1747,9782,1741,9786,1740,9817,1734,9862,1732,9830,1730,9802,1732,9777,1736,9754,1740,9741,1741,9729,1738,9719,1734,9712,1730,9687,1718,9662,1708,9642,1702,9637,1700,9610,1694,9589,1691,9585,1690,9565,1690,9547,1691,9530,1688,9517,1682,9509,1671,9510,1658,9522,1634,9543,1610,9569,1590,9597,1573,9563,1590,9528,1614,9505,1645,9502,1679,9505,1685,9511,1691,9514,1697,9510,1704,9464,1733,9423,1773,9395,1820,9382,1871,9401,1822,9429,1781,9464,1748,9505,1720,9533,1711,9561,1704,9593,1702,9627,1710,9659,1720,9693,1734,9721,1750,9736,1771,9732,1776,9720,1778,9704,1780,9689,1788,9705,1785,9723,1785,9741,1789,9757,1795,9807,1819,9854,1851,9896,1889,9930,1933,9928,1936,9917,1934,9901,1931,9883,1931,9904,1937,9930,1946,9957,1960,9983,1980,10039,2036,10089,2097,10129,2162,10156,2232,10163,2281,10161,2331,10152,2381,10137,2428,10122,2457,10097,2479,10060,2496,10009,2509,10035,2507,10060,2503,10084,2496,10107,2486,10120,2477,10132,2464,10143,2457,10151,2464,10167,2487,10186,2507,10209,2523,10233,2532,10242,2534,10251,2534,10262,2533,10276,2527,10221,2520,10182,2489,10163,2457,10160,2451,10156,2422,10167,2372,10175,2323,10175,2269,10165,2209,10161,2191,10162,2184,10183,2184,10211,2181,10241,2175,10270,2166,10271,2165,10291,2157,10310,2150,10325,2146,10339,2145,10353,2144m10356,2754l10355,2752,10355,2750,10351,2750,10354,2755,10356,2754m10360,2097l10359,2095,10359,2093,10359,2093,10358,2091,10355,2093,10353,2092,10349,2095,10355,2099,10358,2098,10360,2097m10362,2771l10360,2771,10358,2767,10356,2769,10360,2775,10362,2771m10363,2145l10359,2147,10358,2144,10357,2146,10355,2151,10360,2151,10363,2148,10363,2147,10363,2145m10365,2782l10355,2784,10358,2789,10365,2792,10365,2787,10365,2782m10375,2155l10374,2155,10373,2154,10374,2152,10369,2153,10372,2158,10375,2155,10375,2155m10508,2671l10493,2716,10469,2758,10439,2795,10403,2824,10401,2825,10395,2825,10384,2822,10369,2812,10386,2865,10362,2918,10327,2959,10307,2974,10339,2951,10369,2919,10391,2882,10403,2847,10424,2825,10441,2808,10472,2766,10495,2721,10508,2671m10520,2651l10517,2651,10514,2656,10508,2657,10513,2661,10515,2662,10517,2659,10519,2657,10519,2656,10520,2651m10526,2627l10522,2626,10523,2635,10525,2634,10524,2631,10526,2627m10595,2798l10595,2796,10593,2796,10591,2792,10588,2794,10589,2798,10595,2798m10619,2802l10619,2798,10616,2794,10612,2795,10609,2795,10606,2800,10612,2805,10617,2803,10619,2802e" filled="true" fillcolor="#b7705b" stroked="false">
              <v:path arrowok="t"/>
              <v:fill type="solid"/>
            </v:shape>
            <v:shape style="position:absolute;left:7421;top:2921;width:212;height:115" type="#_x0000_t75" stroked="false">
              <v:imagedata r:id="rId58" o:title=""/>
            </v:shape>
            <v:shape style="position:absolute;left:8472;top:2817;width:1734;height:538" coordorigin="8472,2818" coordsize="1734,538" path="m8477,3007l8477,3003,8476,3001,8472,3001,8473,3007,8477,3007m8499,3025l8485,3021,8485,3020,8483,3017,8483,3016,8483,3015,8482,3013,8478,3015,8476,3014,8476,3018,8479,3022,8482,3022,8482,3031,8485,3034,8488,3033,8494,3034,8495,3033,8496,3031,8499,3025m8852,2899l8852,2895,8851,2895,8851,2893,8847,2895,8845,2894,8846,2901,8850,2900,8852,2899m9545,2823l9545,2821,9544,2820,9543,2818,9540,2818,9535,2818,9538,2826,9540,2827,9545,2832,9545,2823m9567,2968l9565,2967,9563,2964,9560,2966,9561,2972,9563,2973,9565,2970,9567,2968m9568,2832l9568,2828,9564,2827,9560,2825,9556,2826,9554,2831,9562,2835,9568,2832m9935,2923l9930,2920,9917,2915,9901,2909,9888,2906,9886,2905,9870,2905,9855,2906,9844,2904,9842,2896,9847,2890,9857,2876,9866,2861,9867,2853,9814,2907,9750,2944,9681,2970,9536,3012,9525,3014,9524,3009,9532,2997,9549,2980,9479,3025,9406,3063,9330,3096,9250,3122,9168,3142,9148,3143,9148,3129,9157,3108,9164,3087,9125,3139,9079,3185,9027,3223,8969,3250,8916,3266,8861,3280,8805,3284,8752,3269,8754,3271,8766,3278,8782,3287,8797,3293,8805,3299,8795,3312,8779,3330,8767,3355,8775,3345,8795,3325,8821,3303,8846,3293,8895,3284,8897,3284,8947,3271,8995,3255,9041,3234,9067,3228,9096,3224,9126,3222,9155,3220,9085,3216,9083,3216,9080,3216,9070,3214,9072,3207,9107,3176,9162,3156,9213,3143,9278,3127,9334,3107,9412,3073,9491,3043,9572,3015,9575,3014,9654,2989,9736,2965,9756,2957,9792,2937,9812,2929,9841,2918,9873,2915,9904,2916,9935,2923m9954,2925l9953,2922,9949,2919,9942,2923,9943,2928,9946,2928,9947,2932,9951,2930,9953,2928,9954,2925m9987,2936l9986,2934,9984,2933,9982,2929,9980,2931,9980,2939,9984,2939,9985,2937,9987,2936m10204,2917l10202,2913,10203,2911,10197,2911,10198,2919,10201,2919,10204,2917m10205,2892l10201,2890,10200,2895,10197,2897,10196,2902,10198,2903,10203,2905,10205,2892m10206,2880l10206,2876,10203,2876,10206,2880e" filled="true" fillcolor="#b7705b" stroked="false">
              <v:path arrowok="t"/>
              <v:fill type="solid"/>
            </v:shape>
            <v:shape style="position:absolute;left:7659;top:3019;width:445;height:131" coordorigin="7659,3019" coordsize="445,131" path="m7803,3019l7735,3022,7664,3026,7660,3030,7659,3042,7664,3052,7674,3059,7685,3065,7728,3072,7827,3078,7874,3084,7924,3102,7972,3124,8022,3142,8075,3150,8092,3145,8100,3129,8103,3108,8104,3087,8100,3079,8088,3077,8067,3075,8039,3068,7937,3035,7870,3022,7803,3019xe" filled="true" fillcolor="#e2a48e" stroked="false">
              <v:path arrowok="t"/>
              <v:fill type="solid"/>
            </v:shape>
            <v:shape style="position:absolute;left:7465;top:1402;width:2836;height:2053" coordorigin="7465,1403" coordsize="2836,2053" path="m8335,3238l8334,3235,8334,3232,8329,3234,8331,3240,8334,3240,8335,3238m8368,3239l8366,3238,8364,3235,8362,3237,8363,3243,8367,3242,8367,3241,8368,3239m8390,3240l8390,3236,8388,3233,8382,3233,8382,3241,8390,3240m8529,3296l8529,3295,8527,3293,8526,3300,8529,3296m8540,3271l8539,3265,8535,3263,8532,3267,8534,3271,8540,3271m8548,3248l8546,3247,8545,3242,8541,3245,8538,3246,8539,3252,8541,3253,8547,3253,8548,3248m8619,3449l8617,3448,8616,3446,8614,3446,8610,3447,8610,3453,8613,3455,8619,3449m8626,3441l8620,3441,8621,3448,8626,3441m8702,3252l8700,3248,8700,3247,8695,3246,8694,3252,8702,3252m8726,3252l8721,3252,8719,3250,8717,3252,8715,3257,8718,3258,8721,3258,8723,3259,8724,3258,8725,3256,8726,3252,8726,3252m8744,3261l8743,3257,8734,3257,8734,3261,8728,3264,8734,3267,8739,3268,8741,3264,8744,3261m8765,3364l8759,3361,8757,3365,8765,3364m8818,1669l8809,1675,8796,1687,8783,1699,8774,1709,8768,1711,8762,1705,8758,1695,8756,1691,8758,1703,8759,1729,8752,1743,8735,1783,8724,1827,8718,1865,8716,1889,8716,1903,8721,1917,8717,1919,8713,1919,8705,1909,8699,1905,8689,1899,8676,1893,8672,1891,8652,1885,8632,1881,8621,1879,8613,1875,8603,1859,8571,1815,8536,1781,8494,1761,8484,1759,8454,1753,8444,1751,8392,1749,8358,1751,8339,1753,8331,1747,8330,1747,8320,1729,8318,1725,8321,1739,8321,1749,8317,1755,8309,1763,8307,1763,8300,1767,8282,1775,8247,1791,8193,1809,8127,1817,8058,1821,7992,1827,7944,1829,7932,1829,7921,1831,7892,1833,7888,1827,7902,1801,7906,1793,7912,1779,7953,1741,8004,1711,8060,1693,8111,1687,8097,1683,8093,1679,8097,1671,8104,1663,8131,1619,8156,1597,8163,1591,8199,1569,8276,1535,8300,1527,8326,1521,8350,1521,8369,1523,8379,1527,8384,1535,8386,1545,8385,1559,8388,1551,8390,1543,8391,1537,8394,1525,8395,1521,8398,1515,8405,1503,8417,1489,8477,1455,8549,1435,8623,1429,8692,1435,8748,1451,8770,1461,8784,1477,8788,1495,8782,1517,8792,1487,8779,1459,8749,1439,8717,1429,8710,1427,8705,1427,8697,1421,8710,1403,8697,1411,8690,1421,8677,1419,8603,1419,8530,1427,8462,1449,8399,1489,8388,1501,8377,1505,8366,1507,8352,1509,8338,1509,8320,1511,8299,1515,8274,1523,8232,1541,8186,1563,8149,1583,8134,1591,8122,1597,8109,1597,8096,1593,8085,1585,8088,1591,8092,1593,8097,1597,8120,1605,8113,1623,8109,1631,8103,1641,8095,1653,8093,1657,8086,1663,8075,1673,8059,1685,8007,1701,7958,1727,7917,1761,7885,1803,7878,1817,7871,1827,7862,1837,7842,1853,7812,1877,7766,1915,7761,1917,7757,1919,7754,1917,7750,1917,7744,1901,7741,1893,7732,1887,7738,1897,7741,1905,7742,1913,7744,1925,7741,1937,7738,1943,7707,1979,7645,2053,7629,2073,7621,2079,7610,2079,7598,2075,7586,2069,7572,2067,7557,2065,7540,2065,7524,2069,7542,2067,7558,2069,7572,2071,7585,2075,7598,2081,7607,2089,7610,2097,7606,2107,7584,2143,7571,2161,7560,2179,7552,2199,7548,2219,7549,2225,7543,2227,7535,2229,7522,2233,7504,2241,7485,2255,7465,2279,7487,2259,7506,2247,7524,2241,7538,2241,7555,2243,7562,2249,7566,2257,7603,2301,7647,2335,7697,2361,7752,2385,7761,2389,7773,2395,7782,2401,7772,2389,7760,2383,7751,2379,7737,2371,7732,2365,7732,2361,7734,2357,7741,2353,7751,2349,7763,2347,7776,2347,7768,2343,7753,2341,7711,2353,7684,2347,7657,2335,7630,2315,7598,2287,7573,2255,7569,2241,7562,2217,7575,2177,7575,2177,7603,2137,7646,2079,7698,2011,7749,1953,7784,1919,7804,1899,7866,1851,7886,1847,7905,1843,7923,1841,7941,1841,7960,1839,7984,1837,8011,1833,8043,1829,8099,1829,8151,1825,8198,1819,8235,1807,8283,1783,8332,1767,8386,1759,8454,1763,8501,1775,8542,1801,8575,1837,8599,1875,8605,1883,8596,1893,8591,1897,8621,1893,8650,1897,8675,1905,8694,1915,8732,1971,8747,2039,8744,2111,8727,2179,8704,2229,8678,2269,8650,2299,8619,2317,8586,2325,8553,2325,8520,2319,8504,2315,8457,2303,8445,2301,8435,2299,8431,2293,8433,2283,8443,2267,8448,2257,8453,2249,8458,2239,8462,2225,8466,2209,8469,2195,8470,2181,8471,2167,8470,2155,8469,2145,8467,2133,8464,2123,8463,2121,8462,2119,8462,2113,8463,2109,8466,2105,8474,2097,8480,2093,8486,2089,8501,2085,8519,2081,8496,2081,8484,2083,8474,2087,8455,2091,8436,2093,8416,2087,8395,2073,8360,2041,8331,2021,8324,2017,8309,2009,8290,2003,8276,1997,8261,1991,8246,1979,8229,1961,8229,1959,8226,1955,8225,1953,8224,1953,8229,1965,8237,1977,8246,1989,8256,1999,8261,2001,8262,2005,8262,2009,8262,2009,8255,2017,8240,2023,8221,2029,8203,2033,8229,2033,8246,2025,8267,2019,8291,2017,8320,2027,8358,2053,8369,2063,8381,2073,8393,2083,8406,2093,8436,2111,8447,2121,8456,2137,8461,2159,8460,2193,8451,2227,8435,2261,8411,2293,8390,2309,8367,2323,8343,2333,8318,2341,8275,2359,8261,2365,8245,2373,8234,2373,8223,2369,8212,2359,8163,2317,8113,2285,8062,2263,8011,2253,7994,2251,7963,2251,7949,2253,7923,2253,7901,2251,7882,2241,7867,2219,7865,2209,7863,2201,7863,2193,7867,2165,7876,2139,7887,2117,7899,2099,7889,2111,7880,2123,7873,2135,7867,2149,7863,2157,7860,2167,7858,2181,7857,2195,7858,2207,7860,2219,7864,2231,7870,2243,7877,2251,7882,2255,7893,2261,7896,2263,7897,2265,7897,2267,7897,2267,7896,2273,7888,2277,7880,2279,7893,2279,7905,2277,7915,2273,8004,2263,8084,2285,8153,2327,8209,2375,8213,2379,8216,2383,8217,2387,8216,2395,8210,2405,8202,2415,8191,2427,8183,2437,8176,2449,8168,2461,8160,2473,8149,2493,8141,2511,8136,2527,8133,2543,8128,2563,8120,2579,8105,2593,8081,2601,8039,2613,7997,2629,7956,2647,7915,2669,7900,2671,7885,2665,7869,2651,7853,2637,7841,2625,7783,2583,7720,2557,7659,2543,7603,2541,7592,2539,7585,2533,7579,2525,7574,2515,7569,2507,7564,2499,7557,2489,7561,2499,7565,2509,7567,2521,7569,2531,7569,2535,7568,2539,7564,2547,7560,2551,7553,2555,7554,2555,7536,2563,7534,2565,7545,2563,7564,2561,7586,2557,7605,2555,7670,2557,7731,2573,7787,2599,7837,2639,7837,2639,7854,2653,7874,2671,7884,2683,7884,2695,7876,2705,7858,2725,7827,2767,7814,2781,7803,2789,7783,2809,7772,2819,7787,2813,7796,2805,7803,2799,7811,2791,7817,2787,7823,2793,7826,2797,7829,2821,7831,2825,7831,2823,7830,2801,7829,2793,7831,2787,7837,2767,7863,2733,7896,2701,7927,2677,7939,2671,7990,2645,8058,2619,8130,2603,8207,2607,8222,2609,8237,2615,8252,2623,8265,2631,8242,2615,8218,2603,8193,2595,8169,2591,8140,2589,8140,2569,8145,2529,8160,2491,8183,2455,8213,2417,8241,2391,8269,2373,8272,2371,8340,2343,8356,2339,8372,2333,8388,2325,8403,2319,8429,2315,8453,2315,8500,2323,8522,2329,8544,2333,8568,2335,8594,2333,8603,2333,8607,2335,8606,2343,8597,2359,8591,2367,8585,2379,8579,2391,8574,2405,8586,2385,8602,2365,8620,2345,8632,2333,8640,2325,8663,2303,8704,2247,8733,2187,8750,2123,8756,2057,8755,2039,8753,2021,8751,2001,8747,1983,8745,1969,8733,1933,8729,1919,8727,1905,8727,1887,8733,1831,8750,1775,8778,1721,8786,1711,8818,1669m9169,3226l9169,3222,9167,3221,9165,3218,9162,3218,9159,3219,9157,3222,9159,3226,9169,3226m9182,3083l9180,3076,9179,3073,9174,3066,9167,3076,9167,3080,9171,3076,9182,3083m9185,3225l9185,3223,9184,3220,9181,3217,9177,3218,9177,3225,9185,3225m9187,3064l9185,3061,9182,3059,9175,3059,9176,3064,9178,3066,9180,3068,9182,3067,9184,3065,9187,3064m9195,3055l9194,3053,9191,3050,9183,3052,9186,3058,9191,3057,9194,3058,9194,3057,9195,3055m10301,2982l10297,2978,10295,2978,10295,2986,10296,2986,10298,2983,10301,2982e" filled="true" fillcolor="#b7705b" stroked="false">
              <v:path arrowok="t"/>
              <v:fill type="solid"/>
            </v:shape>
            <v:rect style="position:absolute;left:8356;top:1918;width:1160;height:754" filled="true" fillcolor="#fbc8b4" stroked="false">
              <v:fill type="solid"/>
            </v:rect>
            <v:line style="position:absolute" from="8890,2665" to="9243,2198" stroked="true" strokeweight="1pt" strokecolor="#231f20">
              <v:stroke dashstyle="solid"/>
            </v:line>
            <v:shape style="position:absolute;left:3667;top:451;width:7513;height:209" type="#_x0000_t202" filled="false" stroked="false">
              <v:textbox inset="0,0,0,0">
                <w:txbxContent>
                  <w:p>
                    <w:pPr>
                      <w:spacing w:line="208" w:lineRule="exact" w:before="0"/>
                      <w:ind w:left="0"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w10:wrap type="none"/>
            </v:shape>
            <v:shape style="position:absolute;left:1440;top:1041;width:4701;height:2209" type="#_x0000_t202" filled="false" stroked="false">
              <v:textbox inset="0,0,0,0">
                <w:txbxContent>
                  <w:p>
                    <w:pPr>
                      <w:spacing w:line="249" w:lineRule="auto" w:before="0"/>
                      <w:ind w:left="0" w:right="19" w:firstLine="0"/>
                      <w:jc w:val="both"/>
                      <w:rPr>
                        <w:sz w:val="20"/>
                      </w:rPr>
                    </w:pPr>
                    <w:r>
                      <w:rPr>
                        <w:color w:val="231F20"/>
                        <w:w w:val="105"/>
                        <w:sz w:val="20"/>
                      </w:rPr>
                      <w:t>to reabsorb sodium and can cause a modest degree of hyponatremia.</w:t>
                    </w:r>
                  </w:p>
                  <w:p>
                    <w:pPr>
                      <w:spacing w:line="249" w:lineRule="auto" w:before="0"/>
                      <w:ind w:left="0" w:right="18" w:firstLine="240"/>
                      <w:jc w:val="both"/>
                      <w:rPr>
                        <w:sz w:val="20"/>
                      </w:rPr>
                    </w:pPr>
                    <w:r>
                      <w:rPr>
                        <w:color w:val="231F20"/>
                        <w:w w:val="105"/>
                        <w:sz w:val="20"/>
                      </w:rPr>
                      <w:t>Hyponatremia</w:t>
                    </w:r>
                    <w:r>
                      <w:rPr>
                        <w:color w:val="231F20"/>
                        <w:spacing w:val="-31"/>
                        <w:w w:val="105"/>
                        <w:sz w:val="20"/>
                      </w:rPr>
                      <w:t> </w:t>
                    </w:r>
                    <w:r>
                      <w:rPr>
                        <w:color w:val="231F20"/>
                        <w:w w:val="105"/>
                        <w:sz w:val="20"/>
                      </w:rPr>
                      <w:t>can</w:t>
                    </w:r>
                    <w:r>
                      <w:rPr>
                        <w:color w:val="231F20"/>
                        <w:spacing w:val="-30"/>
                        <w:w w:val="105"/>
                        <w:sz w:val="20"/>
                      </w:rPr>
                      <w:t> </w:t>
                    </w:r>
                    <w:r>
                      <w:rPr>
                        <w:color w:val="231F20"/>
                        <w:w w:val="105"/>
                        <w:sz w:val="20"/>
                      </w:rPr>
                      <w:t>also</w:t>
                    </w:r>
                    <w:r>
                      <w:rPr>
                        <w:color w:val="231F20"/>
                        <w:spacing w:val="-31"/>
                        <w:w w:val="105"/>
                        <w:sz w:val="20"/>
                      </w:rPr>
                      <w:t> </w:t>
                    </w:r>
                    <w:r>
                      <w:rPr>
                        <w:color w:val="231F20"/>
                        <w:w w:val="105"/>
                        <w:sz w:val="20"/>
                      </w:rPr>
                      <w:t>be</w:t>
                    </w:r>
                    <w:r>
                      <w:rPr>
                        <w:color w:val="231F20"/>
                        <w:spacing w:val="-30"/>
                        <w:w w:val="105"/>
                        <w:sz w:val="20"/>
                      </w:rPr>
                      <w:t> </w:t>
                    </w:r>
                    <w:r>
                      <w:rPr>
                        <w:color w:val="231F20"/>
                        <w:w w:val="105"/>
                        <w:sz w:val="20"/>
                      </w:rPr>
                      <w:t>associated</w:t>
                    </w:r>
                    <w:r>
                      <w:rPr>
                        <w:color w:val="231F20"/>
                        <w:spacing w:val="-30"/>
                        <w:w w:val="105"/>
                        <w:sz w:val="20"/>
                      </w:rPr>
                      <w:t> </w:t>
                    </w:r>
                    <w:r>
                      <w:rPr>
                        <w:color w:val="231F20"/>
                        <w:w w:val="105"/>
                        <w:sz w:val="20"/>
                      </w:rPr>
                      <w:t>with</w:t>
                    </w:r>
                    <w:r>
                      <w:rPr>
                        <w:color w:val="231F20"/>
                        <w:spacing w:val="-31"/>
                        <w:w w:val="105"/>
                        <w:sz w:val="20"/>
                      </w:rPr>
                      <w:t> </w:t>
                    </w:r>
                    <w:r>
                      <w:rPr>
                        <w:color w:val="231F20"/>
                        <w:w w:val="105"/>
                        <w:sz w:val="20"/>
                      </w:rPr>
                      <w:t>excess</w:t>
                    </w:r>
                    <w:r>
                      <w:rPr>
                        <w:color w:val="231F20"/>
                        <w:spacing w:val="-30"/>
                        <w:w w:val="105"/>
                        <w:sz w:val="20"/>
                      </w:rPr>
                      <w:t> </w:t>
                    </w:r>
                    <w:r>
                      <w:rPr>
                        <w:color w:val="231F20"/>
                        <w:w w:val="105"/>
                        <w:sz w:val="20"/>
                      </w:rPr>
                      <w:t>water retention, which dilutes the sodium in the extracellular fluid, a condition that is referred to as </w:t>
                    </w:r>
                    <w:r>
                      <w:rPr>
                        <w:i/>
                        <w:color w:val="231F20"/>
                        <w:w w:val="105"/>
                        <w:sz w:val="20"/>
                      </w:rPr>
                      <w:t>hyponatremia— </w:t>
                    </w:r>
                    <w:r>
                      <w:rPr>
                        <w:i/>
                        <w:color w:val="231F20"/>
                        <w:sz w:val="20"/>
                      </w:rPr>
                      <w:t>overhydration. </w:t>
                    </w:r>
                    <w:r>
                      <w:rPr>
                        <w:color w:val="231F20"/>
                        <w:spacing w:val="-3"/>
                        <w:sz w:val="20"/>
                      </w:rPr>
                      <w:t>For </w:t>
                    </w:r>
                    <w:r>
                      <w:rPr>
                        <w:color w:val="231F20"/>
                        <w:sz w:val="20"/>
                      </w:rPr>
                      <w:t>example, </w:t>
                    </w:r>
                    <w:r>
                      <w:rPr>
                        <w:i/>
                        <w:color w:val="231F20"/>
                        <w:sz w:val="20"/>
                      </w:rPr>
                      <w:t>excessive secretion of antidi- </w:t>
                    </w:r>
                    <w:r>
                      <w:rPr>
                        <w:i/>
                        <w:color w:val="231F20"/>
                        <w:w w:val="105"/>
                        <w:sz w:val="20"/>
                      </w:rPr>
                      <w:t>uretic hormone, </w:t>
                    </w:r>
                    <w:r>
                      <w:rPr>
                        <w:color w:val="231F20"/>
                        <w:w w:val="105"/>
                        <w:sz w:val="20"/>
                      </w:rPr>
                      <w:t>which causes the kidney tubules </w:t>
                    </w:r>
                    <w:r>
                      <w:rPr>
                        <w:color w:val="231F20"/>
                        <w:spacing w:val="-8"/>
                        <w:w w:val="105"/>
                        <w:sz w:val="20"/>
                      </w:rPr>
                      <w:t>to </w:t>
                    </w:r>
                    <w:r>
                      <w:rPr>
                        <w:color w:val="231F20"/>
                        <w:w w:val="105"/>
                        <w:sz w:val="20"/>
                      </w:rPr>
                      <w:t>reabsorb more </w:t>
                    </w:r>
                    <w:r>
                      <w:rPr>
                        <w:color w:val="231F20"/>
                        <w:spacing w:val="-3"/>
                        <w:w w:val="105"/>
                        <w:sz w:val="20"/>
                      </w:rPr>
                      <w:t>water, </w:t>
                    </w:r>
                    <w:r>
                      <w:rPr>
                        <w:color w:val="231F20"/>
                        <w:w w:val="105"/>
                        <w:sz w:val="20"/>
                      </w:rPr>
                      <w:t>can lead to hyponatremia </w:t>
                    </w:r>
                    <w:r>
                      <w:rPr>
                        <w:color w:val="231F20"/>
                        <w:spacing w:val="-4"/>
                        <w:w w:val="105"/>
                        <w:sz w:val="20"/>
                      </w:rPr>
                      <w:t>and </w:t>
                    </w:r>
                    <w:r>
                      <w:rPr>
                        <w:color w:val="231F20"/>
                        <w:w w:val="105"/>
                        <w:sz w:val="20"/>
                      </w:rPr>
                      <w:t>overhydration.</w:t>
                    </w:r>
                  </w:p>
                </w:txbxContent>
              </v:textbox>
              <w10:wrap type="none"/>
            </v:shape>
            <v:shape style="position:absolute;left:7038;top:1105;width:646;height:219" type="#_x0000_t202" filled="false" stroked="false">
              <v:textbox inset="0,0,0,0">
                <w:txbxContent>
                  <w:p>
                    <w:pPr>
                      <w:spacing w:line="196" w:lineRule="exact" w:before="0"/>
                      <w:ind w:left="0" w:right="0" w:firstLine="0"/>
                      <w:jc w:val="left"/>
                      <w:rPr>
                        <w:rFonts w:ascii="Helvetica"/>
                        <w:sz w:val="16"/>
                      </w:rPr>
                    </w:pPr>
                    <w:r>
                      <w:rPr>
                        <w:rFonts w:ascii="Helvetica"/>
                        <w:color w:val="231F20"/>
                        <w:sz w:val="16"/>
                      </w:rPr>
                      <w:t>Na</w:t>
                    </w:r>
                    <w:r>
                      <w:rPr>
                        <w:rFonts w:ascii="Helvetica"/>
                        <w:color w:val="231F20"/>
                        <w:position w:val="5"/>
                        <w:sz w:val="12"/>
                      </w:rPr>
                      <w:t>+</w:t>
                    </w:r>
                    <w:r>
                      <w:rPr>
                        <w:rFonts w:ascii="Helvetica"/>
                        <w:color w:val="231F20"/>
                        <w:sz w:val="16"/>
                      </w:rPr>
                      <w:t>/H</w:t>
                    </w:r>
                    <w:r>
                      <w:rPr>
                        <w:rFonts w:ascii="Helvetica"/>
                        <w:color w:val="231F20"/>
                        <w:sz w:val="16"/>
                        <w:vertAlign w:val="subscript"/>
                      </w:rPr>
                      <w:t>2</w:t>
                    </w:r>
                    <w:r>
                      <w:rPr>
                        <w:rFonts w:ascii="Helvetica"/>
                        <w:color w:val="231F20"/>
                        <w:sz w:val="16"/>
                        <w:vertAlign w:val="baseline"/>
                      </w:rPr>
                      <w:t>O</w:t>
                    </w:r>
                  </w:p>
                </w:txbxContent>
              </v:textbox>
              <w10:wrap type="none"/>
            </v:shape>
            <v:shape style="position:absolute;left:9157;top:2425;width:327;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w:t>
                    </w:r>
                    <w:r>
                      <w:rPr>
                        <w:rFonts w:ascii="Helvetica"/>
                        <w:color w:val="231F20"/>
                        <w:sz w:val="16"/>
                        <w:vertAlign w:val="subscript"/>
                      </w:rPr>
                      <w:t>2</w:t>
                    </w:r>
                    <w:r>
                      <w:rPr>
                        <w:rFonts w:ascii="Helvetica"/>
                        <w:color w:val="231F20"/>
                        <w:sz w:val="16"/>
                        <w:vertAlign w:val="baseline"/>
                      </w:rPr>
                      <w:t>O</w:t>
                    </w:r>
                  </w:p>
                </w:txbxContent>
              </v:textbox>
              <w10:wrap type="none"/>
            </v:shape>
            <v:shape style="position:absolute;left:8424;top:1945;width:581;height:558" type="#_x0000_t202" filled="false" stroked="false">
              <v:textbox inset="0,0,0,0">
                <w:txbxContent>
                  <w:p>
                    <w:pPr>
                      <w:spacing w:line="194" w:lineRule="exact" w:before="0"/>
                      <w:ind w:left="9" w:right="0" w:firstLine="0"/>
                      <w:jc w:val="left"/>
                      <w:rPr>
                        <w:rFonts w:ascii="Helvetica"/>
                        <w:sz w:val="12"/>
                      </w:rPr>
                    </w:pPr>
                    <w:r>
                      <w:rPr>
                        <w:rFonts w:ascii="Helvetica"/>
                        <w:color w:val="231F20"/>
                        <w:sz w:val="16"/>
                      </w:rPr>
                      <w:t>K</w:t>
                    </w:r>
                    <w:r>
                      <w:rPr>
                        <w:rFonts w:ascii="Helvetica"/>
                        <w:color w:val="231F20"/>
                        <w:position w:val="5"/>
                        <w:sz w:val="12"/>
                      </w:rPr>
                      <w:t>+</w:t>
                    </w:r>
                    <w:r>
                      <w:rPr>
                        <w:rFonts w:ascii="Helvetica"/>
                        <w:color w:val="231F20"/>
                        <w:sz w:val="16"/>
                      </w:rPr>
                      <w:t>,</w:t>
                    </w:r>
                    <w:r>
                      <w:rPr>
                        <w:rFonts w:ascii="Helvetica"/>
                        <w:color w:val="231F20"/>
                        <w:spacing w:val="-1"/>
                        <w:sz w:val="16"/>
                      </w:rPr>
                      <w:t> </w:t>
                    </w:r>
                    <w:r>
                      <w:rPr>
                        <w:rFonts w:ascii="Helvetica"/>
                        <w:color w:val="231F20"/>
                        <w:sz w:val="16"/>
                      </w:rPr>
                      <w:t>Na</w:t>
                    </w:r>
                    <w:r>
                      <w:rPr>
                        <w:rFonts w:ascii="Helvetica"/>
                        <w:color w:val="231F20"/>
                        <w:position w:val="5"/>
                        <w:sz w:val="12"/>
                      </w:rPr>
                      <w:t>+</w:t>
                    </w:r>
                  </w:p>
                  <w:p>
                    <w:pPr>
                      <w:spacing w:line="235" w:lineRule="auto" w:before="1"/>
                      <w:ind w:left="26" w:right="1" w:hanging="27"/>
                      <w:jc w:val="left"/>
                      <w:rPr>
                        <w:rFonts w:ascii="Helvetica"/>
                        <w:sz w:val="16"/>
                      </w:rPr>
                    </w:pPr>
                    <w:r>
                      <w:rPr>
                        <w:rFonts w:ascii="Helvetica"/>
                        <w:color w:val="231F20"/>
                        <w:sz w:val="16"/>
                      </w:rPr>
                      <w:t>Organic solutes</w:t>
                    </w:r>
                  </w:p>
                </w:txbxContent>
              </v:textbox>
              <w10:wrap type="none"/>
            </v:shape>
            <w10:wrap type="none"/>
          </v:group>
        </w:pict>
      </w:r>
      <w:r>
        <w:rPr/>
        <w:pict>
          <v:shape style="position:absolute;margin-left:578.900024pt;margin-top:-56.433781pt;width:15.9pt;height:53.35pt;mso-position-horizontal-relative:page;mso-position-vertical-relative:paragraph;z-index:25176883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CONSEQUENCES OF HYPONATREMIA: CELL SWELLING</w:t>
      </w:r>
    </w:p>
    <w:p>
      <w:pPr>
        <w:pStyle w:val="BodyText"/>
        <w:spacing w:line="249" w:lineRule="auto" w:before="128"/>
        <w:ind w:left="1440"/>
        <w:jc w:val="both"/>
      </w:pPr>
      <w:r>
        <w:rPr>
          <w:color w:val="231F20"/>
          <w:w w:val="105"/>
        </w:rPr>
        <w:t>Rapid</w:t>
      </w:r>
      <w:r>
        <w:rPr>
          <w:color w:val="231F20"/>
          <w:spacing w:val="-16"/>
          <w:w w:val="105"/>
        </w:rPr>
        <w:t> </w:t>
      </w:r>
      <w:r>
        <w:rPr>
          <w:color w:val="231F20"/>
          <w:w w:val="105"/>
        </w:rPr>
        <w:t>changes</w:t>
      </w:r>
      <w:r>
        <w:rPr>
          <w:color w:val="231F20"/>
          <w:spacing w:val="-15"/>
          <w:w w:val="105"/>
        </w:rPr>
        <w:t> </w:t>
      </w:r>
      <w:r>
        <w:rPr>
          <w:color w:val="231F20"/>
          <w:w w:val="105"/>
        </w:rPr>
        <w:t>in</w:t>
      </w:r>
      <w:r>
        <w:rPr>
          <w:color w:val="231F20"/>
          <w:spacing w:val="-15"/>
          <w:w w:val="105"/>
        </w:rPr>
        <w:t> </w:t>
      </w:r>
      <w:r>
        <w:rPr>
          <w:color w:val="231F20"/>
          <w:w w:val="105"/>
        </w:rPr>
        <w:t>cell</w:t>
      </w:r>
      <w:r>
        <w:rPr>
          <w:color w:val="231F20"/>
          <w:spacing w:val="-16"/>
          <w:w w:val="105"/>
        </w:rPr>
        <w:t> </w:t>
      </w:r>
      <w:r>
        <w:rPr>
          <w:color w:val="231F20"/>
          <w:w w:val="105"/>
        </w:rPr>
        <w:t>volume</w:t>
      </w:r>
      <w:r>
        <w:rPr>
          <w:color w:val="231F20"/>
          <w:spacing w:val="-15"/>
          <w:w w:val="105"/>
        </w:rPr>
        <w:t> </w:t>
      </w:r>
      <w:r>
        <w:rPr>
          <w:color w:val="231F20"/>
          <w:w w:val="105"/>
        </w:rPr>
        <w:t>as</w:t>
      </w:r>
      <w:r>
        <w:rPr>
          <w:color w:val="231F20"/>
          <w:spacing w:val="-16"/>
          <w:w w:val="105"/>
        </w:rPr>
        <w:t> </w:t>
      </w:r>
      <w:r>
        <w:rPr>
          <w:color w:val="231F20"/>
          <w:w w:val="105"/>
        </w:rPr>
        <w:t>a</w:t>
      </w:r>
      <w:r>
        <w:rPr>
          <w:color w:val="231F20"/>
          <w:spacing w:val="-15"/>
          <w:w w:val="105"/>
        </w:rPr>
        <w:t> </w:t>
      </w:r>
      <w:r>
        <w:rPr>
          <w:color w:val="231F20"/>
          <w:w w:val="105"/>
        </w:rPr>
        <w:t>result</w:t>
      </w:r>
      <w:r>
        <w:rPr>
          <w:color w:val="231F20"/>
          <w:spacing w:val="-15"/>
          <w:w w:val="105"/>
        </w:rPr>
        <w:t> </w:t>
      </w:r>
      <w:r>
        <w:rPr>
          <w:color w:val="231F20"/>
          <w:w w:val="105"/>
        </w:rPr>
        <w:t>of</w:t>
      </w:r>
      <w:r>
        <w:rPr>
          <w:color w:val="231F20"/>
          <w:spacing w:val="-16"/>
          <w:w w:val="105"/>
        </w:rPr>
        <w:t> </w:t>
      </w:r>
      <w:r>
        <w:rPr>
          <w:color w:val="231F20"/>
          <w:w w:val="105"/>
        </w:rPr>
        <w:t>hyponatremia can have profound effects on tissue and organ function, especially</w:t>
      </w:r>
      <w:r>
        <w:rPr>
          <w:color w:val="231F20"/>
          <w:spacing w:val="-11"/>
          <w:w w:val="105"/>
        </w:rPr>
        <w:t> </w:t>
      </w:r>
      <w:r>
        <w:rPr>
          <w:color w:val="231F20"/>
          <w:w w:val="105"/>
        </w:rPr>
        <w:t>the</w:t>
      </w:r>
      <w:r>
        <w:rPr>
          <w:color w:val="231F20"/>
          <w:spacing w:val="-11"/>
          <w:w w:val="105"/>
        </w:rPr>
        <w:t> </w:t>
      </w:r>
      <w:r>
        <w:rPr>
          <w:color w:val="231F20"/>
          <w:w w:val="105"/>
        </w:rPr>
        <w:t>brain.</w:t>
      </w:r>
      <w:r>
        <w:rPr>
          <w:color w:val="231F20"/>
          <w:spacing w:val="-11"/>
          <w:w w:val="105"/>
        </w:rPr>
        <w:t> </w:t>
      </w:r>
      <w:r>
        <w:rPr>
          <w:color w:val="231F20"/>
          <w:w w:val="105"/>
        </w:rPr>
        <w:t>A</w:t>
      </w:r>
      <w:r>
        <w:rPr>
          <w:color w:val="231F20"/>
          <w:spacing w:val="-11"/>
          <w:w w:val="105"/>
        </w:rPr>
        <w:t> </w:t>
      </w:r>
      <w:r>
        <w:rPr>
          <w:color w:val="231F20"/>
          <w:w w:val="105"/>
        </w:rPr>
        <w:t>rapid</w:t>
      </w:r>
      <w:r>
        <w:rPr>
          <w:color w:val="231F20"/>
          <w:spacing w:val="-11"/>
          <w:w w:val="105"/>
        </w:rPr>
        <w:t> </w:t>
      </w:r>
      <w:r>
        <w:rPr>
          <w:color w:val="231F20"/>
          <w:w w:val="105"/>
        </w:rPr>
        <w:t>reduction</w:t>
      </w:r>
      <w:r>
        <w:rPr>
          <w:color w:val="231F20"/>
          <w:spacing w:val="-11"/>
          <w:w w:val="105"/>
        </w:rPr>
        <w:t> </w:t>
      </w:r>
      <w:r>
        <w:rPr>
          <w:color w:val="231F20"/>
          <w:w w:val="105"/>
        </w:rPr>
        <w:t>in</w:t>
      </w:r>
      <w:r>
        <w:rPr>
          <w:color w:val="231F20"/>
          <w:spacing w:val="-11"/>
          <w:w w:val="105"/>
        </w:rPr>
        <w:t> </w:t>
      </w:r>
      <w:r>
        <w:rPr>
          <w:color w:val="231F20"/>
          <w:w w:val="105"/>
        </w:rPr>
        <w:t>plasma</w:t>
      </w:r>
      <w:r>
        <w:rPr>
          <w:color w:val="231F20"/>
          <w:spacing w:val="-11"/>
          <w:w w:val="105"/>
        </w:rPr>
        <w:t> </w:t>
      </w:r>
      <w:r>
        <w:rPr>
          <w:color w:val="231F20"/>
          <w:w w:val="105"/>
        </w:rPr>
        <w:t>sodium concentration, for example, can cause brain cell </w:t>
      </w:r>
      <w:r>
        <w:rPr>
          <w:color w:val="231F20"/>
          <w:spacing w:val="-3"/>
          <w:w w:val="105"/>
        </w:rPr>
        <w:t>edema </w:t>
      </w:r>
      <w:r>
        <w:rPr>
          <w:color w:val="231F20"/>
          <w:w w:val="105"/>
        </w:rPr>
        <w:t>and</w:t>
      </w:r>
      <w:r>
        <w:rPr>
          <w:color w:val="231F20"/>
          <w:spacing w:val="-23"/>
          <w:w w:val="105"/>
        </w:rPr>
        <w:t> </w:t>
      </w:r>
      <w:r>
        <w:rPr>
          <w:color w:val="231F20"/>
          <w:w w:val="105"/>
        </w:rPr>
        <w:t>neurological</w:t>
      </w:r>
      <w:r>
        <w:rPr>
          <w:color w:val="231F20"/>
          <w:spacing w:val="-22"/>
          <w:w w:val="105"/>
        </w:rPr>
        <w:t> </w:t>
      </w:r>
      <w:r>
        <w:rPr>
          <w:color w:val="231F20"/>
          <w:w w:val="105"/>
        </w:rPr>
        <w:t>symptoms,</w:t>
      </w:r>
      <w:r>
        <w:rPr>
          <w:color w:val="231F20"/>
          <w:spacing w:val="-23"/>
          <w:w w:val="105"/>
        </w:rPr>
        <w:t> </w:t>
      </w:r>
      <w:r>
        <w:rPr>
          <w:color w:val="231F20"/>
          <w:w w:val="105"/>
        </w:rPr>
        <w:t>including</w:t>
      </w:r>
      <w:r>
        <w:rPr>
          <w:color w:val="231F20"/>
          <w:spacing w:val="-22"/>
          <w:w w:val="105"/>
        </w:rPr>
        <w:t> </w:t>
      </w:r>
      <w:r>
        <w:rPr>
          <w:color w:val="231F20"/>
          <w:w w:val="105"/>
        </w:rPr>
        <w:t>headache,</w:t>
      </w:r>
      <w:r>
        <w:rPr>
          <w:color w:val="231F20"/>
          <w:spacing w:val="-23"/>
          <w:w w:val="105"/>
        </w:rPr>
        <w:t> </w:t>
      </w:r>
      <w:r>
        <w:rPr>
          <w:color w:val="231F20"/>
          <w:w w:val="105"/>
        </w:rPr>
        <w:t>nausea, lethargy,</w:t>
      </w:r>
      <w:r>
        <w:rPr>
          <w:color w:val="231F20"/>
          <w:spacing w:val="-19"/>
          <w:w w:val="105"/>
        </w:rPr>
        <w:t> </w:t>
      </w:r>
      <w:r>
        <w:rPr>
          <w:color w:val="231F20"/>
          <w:w w:val="105"/>
        </w:rPr>
        <w:t>and</w:t>
      </w:r>
      <w:r>
        <w:rPr>
          <w:color w:val="231F20"/>
          <w:spacing w:val="-18"/>
          <w:w w:val="105"/>
        </w:rPr>
        <w:t> </w:t>
      </w:r>
      <w:r>
        <w:rPr>
          <w:color w:val="231F20"/>
          <w:w w:val="105"/>
        </w:rPr>
        <w:t>disorientation.</w:t>
      </w:r>
      <w:r>
        <w:rPr>
          <w:color w:val="231F20"/>
          <w:spacing w:val="-18"/>
          <w:w w:val="105"/>
        </w:rPr>
        <w:t> </w:t>
      </w:r>
      <w:r>
        <w:rPr>
          <w:color w:val="231F20"/>
          <w:w w:val="105"/>
        </w:rPr>
        <w:t>If</w:t>
      </w:r>
      <w:r>
        <w:rPr>
          <w:color w:val="231F20"/>
          <w:spacing w:val="-18"/>
          <w:w w:val="105"/>
        </w:rPr>
        <w:t> </w:t>
      </w:r>
      <w:r>
        <w:rPr>
          <w:color w:val="231F20"/>
          <w:w w:val="105"/>
        </w:rPr>
        <w:t>plasma</w:t>
      </w:r>
      <w:r>
        <w:rPr>
          <w:color w:val="231F20"/>
          <w:spacing w:val="-18"/>
          <w:w w:val="105"/>
        </w:rPr>
        <w:t> </w:t>
      </w:r>
      <w:r>
        <w:rPr>
          <w:color w:val="231F20"/>
          <w:w w:val="105"/>
        </w:rPr>
        <w:t>sodium</w:t>
      </w:r>
      <w:r>
        <w:rPr>
          <w:color w:val="231F20"/>
          <w:spacing w:val="-18"/>
          <w:w w:val="105"/>
        </w:rPr>
        <w:t> </w:t>
      </w:r>
      <w:r>
        <w:rPr>
          <w:color w:val="231F20"/>
          <w:spacing w:val="-3"/>
          <w:w w:val="105"/>
        </w:rPr>
        <w:t>concentra­ </w:t>
      </w:r>
      <w:r>
        <w:rPr>
          <w:color w:val="231F20"/>
          <w:w w:val="105"/>
        </w:rPr>
        <w:t>tion</w:t>
      </w:r>
      <w:r>
        <w:rPr>
          <w:color w:val="231F20"/>
          <w:spacing w:val="-28"/>
          <w:w w:val="105"/>
        </w:rPr>
        <w:t> </w:t>
      </w:r>
      <w:r>
        <w:rPr>
          <w:color w:val="231F20"/>
          <w:w w:val="105"/>
        </w:rPr>
        <w:t>rapidly</w:t>
      </w:r>
      <w:r>
        <w:rPr>
          <w:color w:val="231F20"/>
          <w:spacing w:val="-28"/>
          <w:w w:val="105"/>
        </w:rPr>
        <w:t> </w:t>
      </w:r>
      <w:r>
        <w:rPr>
          <w:color w:val="231F20"/>
          <w:w w:val="105"/>
        </w:rPr>
        <w:t>falls</w:t>
      </w:r>
      <w:r>
        <w:rPr>
          <w:color w:val="231F20"/>
          <w:spacing w:val="-28"/>
          <w:w w:val="105"/>
        </w:rPr>
        <w:t> </w:t>
      </w:r>
      <w:r>
        <w:rPr>
          <w:color w:val="231F20"/>
          <w:w w:val="105"/>
        </w:rPr>
        <w:t>below</w:t>
      </w:r>
      <w:r>
        <w:rPr>
          <w:color w:val="231F20"/>
          <w:spacing w:val="-27"/>
          <w:w w:val="105"/>
        </w:rPr>
        <w:t> </w:t>
      </w:r>
      <w:r>
        <w:rPr>
          <w:color w:val="231F20"/>
          <w:w w:val="105"/>
        </w:rPr>
        <w:t>115</w:t>
      </w:r>
      <w:r>
        <w:rPr>
          <w:color w:val="231F20"/>
          <w:spacing w:val="-28"/>
          <w:w w:val="105"/>
        </w:rPr>
        <w:t> </w:t>
      </w:r>
      <w:r>
        <w:rPr>
          <w:color w:val="231F20"/>
          <w:w w:val="105"/>
        </w:rPr>
        <w:t>to</w:t>
      </w:r>
      <w:r>
        <w:rPr>
          <w:color w:val="231F20"/>
          <w:spacing w:val="-28"/>
          <w:w w:val="105"/>
        </w:rPr>
        <w:t> </w:t>
      </w:r>
      <w:r>
        <w:rPr>
          <w:color w:val="231F20"/>
          <w:w w:val="105"/>
        </w:rPr>
        <w:t>120</w:t>
      </w:r>
      <w:r>
        <w:rPr>
          <w:color w:val="231F20"/>
          <w:spacing w:val="-19"/>
          <w:w w:val="105"/>
        </w:rPr>
        <w:t> </w:t>
      </w:r>
      <w:r>
        <w:rPr>
          <w:color w:val="231F20"/>
          <w:w w:val="105"/>
        </w:rPr>
        <w:t>mmol/L,</w:t>
      </w:r>
      <w:r>
        <w:rPr>
          <w:color w:val="231F20"/>
          <w:spacing w:val="-28"/>
          <w:w w:val="105"/>
        </w:rPr>
        <w:t> </w:t>
      </w:r>
      <w:r>
        <w:rPr>
          <w:color w:val="231F20"/>
          <w:w w:val="105"/>
        </w:rPr>
        <w:t>brain</w:t>
      </w:r>
      <w:r>
        <w:rPr>
          <w:color w:val="231F20"/>
          <w:spacing w:val="-28"/>
          <w:w w:val="105"/>
        </w:rPr>
        <w:t> </w:t>
      </w:r>
      <w:r>
        <w:rPr>
          <w:color w:val="231F20"/>
          <w:spacing w:val="-3"/>
          <w:w w:val="105"/>
        </w:rPr>
        <w:t>swelling </w:t>
      </w:r>
      <w:r>
        <w:rPr>
          <w:color w:val="231F20"/>
          <w:w w:val="105"/>
        </w:rPr>
        <w:t>may</w:t>
      </w:r>
      <w:r>
        <w:rPr>
          <w:color w:val="231F20"/>
          <w:spacing w:val="-23"/>
          <w:w w:val="105"/>
        </w:rPr>
        <w:t> </w:t>
      </w:r>
      <w:r>
        <w:rPr>
          <w:color w:val="231F20"/>
          <w:w w:val="105"/>
        </w:rPr>
        <w:t>lead</w:t>
      </w:r>
      <w:r>
        <w:rPr>
          <w:color w:val="231F20"/>
          <w:spacing w:val="-22"/>
          <w:w w:val="105"/>
        </w:rPr>
        <w:t> </w:t>
      </w:r>
      <w:r>
        <w:rPr>
          <w:color w:val="231F20"/>
          <w:w w:val="105"/>
        </w:rPr>
        <w:t>to</w:t>
      </w:r>
      <w:r>
        <w:rPr>
          <w:color w:val="231F20"/>
          <w:spacing w:val="-22"/>
          <w:w w:val="105"/>
        </w:rPr>
        <w:t> </w:t>
      </w:r>
      <w:r>
        <w:rPr>
          <w:color w:val="231F20"/>
          <w:w w:val="105"/>
        </w:rPr>
        <w:t>seizures,</w:t>
      </w:r>
      <w:r>
        <w:rPr>
          <w:color w:val="231F20"/>
          <w:spacing w:val="-22"/>
          <w:w w:val="105"/>
        </w:rPr>
        <w:t> </w:t>
      </w:r>
      <w:r>
        <w:rPr>
          <w:color w:val="231F20"/>
          <w:w w:val="105"/>
        </w:rPr>
        <w:t>coma,</w:t>
      </w:r>
      <w:r>
        <w:rPr>
          <w:color w:val="231F20"/>
          <w:spacing w:val="-22"/>
          <w:w w:val="105"/>
        </w:rPr>
        <w:t> </w:t>
      </w:r>
      <w:r>
        <w:rPr>
          <w:color w:val="231F20"/>
          <w:w w:val="105"/>
        </w:rPr>
        <w:t>permanent</w:t>
      </w:r>
      <w:r>
        <w:rPr>
          <w:color w:val="231F20"/>
          <w:spacing w:val="-22"/>
          <w:w w:val="105"/>
        </w:rPr>
        <w:t> </w:t>
      </w:r>
      <w:r>
        <w:rPr>
          <w:color w:val="231F20"/>
          <w:w w:val="105"/>
        </w:rPr>
        <w:t>brain</w:t>
      </w:r>
      <w:r>
        <w:rPr>
          <w:color w:val="231F20"/>
          <w:spacing w:val="-22"/>
          <w:w w:val="105"/>
        </w:rPr>
        <w:t> </w:t>
      </w:r>
      <w:r>
        <w:rPr>
          <w:color w:val="231F20"/>
          <w:w w:val="105"/>
        </w:rPr>
        <w:t>damage,</w:t>
      </w:r>
      <w:r>
        <w:rPr>
          <w:color w:val="231F20"/>
          <w:spacing w:val="-22"/>
          <w:w w:val="105"/>
        </w:rPr>
        <w:t> </w:t>
      </w:r>
      <w:r>
        <w:rPr>
          <w:color w:val="231F20"/>
          <w:spacing w:val="-5"/>
          <w:w w:val="105"/>
        </w:rPr>
        <w:t>and </w:t>
      </w:r>
      <w:r>
        <w:rPr>
          <w:color w:val="231F20"/>
          <w:w w:val="105"/>
        </w:rPr>
        <w:t>death.</w:t>
      </w:r>
      <w:r>
        <w:rPr>
          <w:color w:val="231F20"/>
          <w:spacing w:val="-22"/>
          <w:w w:val="105"/>
        </w:rPr>
        <w:t> </w:t>
      </w:r>
      <w:r>
        <w:rPr>
          <w:color w:val="231F20"/>
          <w:w w:val="105"/>
        </w:rPr>
        <w:t>Because</w:t>
      </w:r>
      <w:r>
        <w:rPr>
          <w:color w:val="231F20"/>
          <w:spacing w:val="-22"/>
          <w:w w:val="105"/>
        </w:rPr>
        <w:t> </w:t>
      </w:r>
      <w:r>
        <w:rPr>
          <w:color w:val="231F20"/>
          <w:w w:val="105"/>
        </w:rPr>
        <w:t>the</w:t>
      </w:r>
      <w:r>
        <w:rPr>
          <w:color w:val="231F20"/>
          <w:spacing w:val="-22"/>
          <w:w w:val="105"/>
        </w:rPr>
        <w:t> </w:t>
      </w:r>
      <w:r>
        <w:rPr>
          <w:color w:val="231F20"/>
          <w:w w:val="105"/>
        </w:rPr>
        <w:t>skull</w:t>
      </w:r>
      <w:r>
        <w:rPr>
          <w:color w:val="231F20"/>
          <w:spacing w:val="-22"/>
          <w:w w:val="105"/>
        </w:rPr>
        <w:t> </w:t>
      </w:r>
      <w:r>
        <w:rPr>
          <w:color w:val="231F20"/>
          <w:w w:val="105"/>
        </w:rPr>
        <w:t>is</w:t>
      </w:r>
      <w:r>
        <w:rPr>
          <w:color w:val="231F20"/>
          <w:spacing w:val="-22"/>
          <w:w w:val="105"/>
        </w:rPr>
        <w:t> </w:t>
      </w:r>
      <w:r>
        <w:rPr>
          <w:color w:val="231F20"/>
          <w:w w:val="105"/>
        </w:rPr>
        <w:t>rigid,</w:t>
      </w:r>
      <w:r>
        <w:rPr>
          <w:color w:val="231F20"/>
          <w:spacing w:val="-22"/>
          <w:w w:val="105"/>
        </w:rPr>
        <w:t> </w:t>
      </w:r>
      <w:r>
        <w:rPr>
          <w:color w:val="231F20"/>
          <w:w w:val="105"/>
        </w:rPr>
        <w:t>the</w:t>
      </w:r>
      <w:r>
        <w:rPr>
          <w:color w:val="231F20"/>
          <w:spacing w:val="-22"/>
          <w:w w:val="105"/>
        </w:rPr>
        <w:t> </w:t>
      </w:r>
      <w:r>
        <w:rPr>
          <w:color w:val="231F20"/>
          <w:w w:val="105"/>
        </w:rPr>
        <w:t>brain</w:t>
      </w:r>
      <w:r>
        <w:rPr>
          <w:color w:val="231F20"/>
          <w:spacing w:val="-22"/>
          <w:w w:val="105"/>
        </w:rPr>
        <w:t> </w:t>
      </w:r>
      <w:r>
        <w:rPr>
          <w:color w:val="231F20"/>
          <w:w w:val="105"/>
        </w:rPr>
        <w:t>cannot</w:t>
      </w:r>
      <w:r>
        <w:rPr>
          <w:color w:val="231F20"/>
          <w:spacing w:val="-22"/>
          <w:w w:val="105"/>
        </w:rPr>
        <w:t> </w:t>
      </w:r>
      <w:r>
        <w:rPr>
          <w:color w:val="231F20"/>
          <w:w w:val="105"/>
        </w:rPr>
        <w:t>increase its</w:t>
      </w:r>
      <w:r>
        <w:rPr>
          <w:color w:val="231F20"/>
          <w:spacing w:val="-20"/>
          <w:w w:val="105"/>
        </w:rPr>
        <w:t> </w:t>
      </w:r>
      <w:r>
        <w:rPr>
          <w:color w:val="231F20"/>
          <w:w w:val="105"/>
        </w:rPr>
        <w:t>volume</w:t>
      </w:r>
      <w:r>
        <w:rPr>
          <w:color w:val="231F20"/>
          <w:spacing w:val="-20"/>
          <w:w w:val="105"/>
        </w:rPr>
        <w:t> </w:t>
      </w:r>
      <w:r>
        <w:rPr>
          <w:color w:val="231F20"/>
          <w:w w:val="105"/>
        </w:rPr>
        <w:t>by</w:t>
      </w:r>
      <w:r>
        <w:rPr>
          <w:color w:val="231F20"/>
          <w:spacing w:val="-20"/>
          <w:w w:val="105"/>
        </w:rPr>
        <w:t> </w:t>
      </w:r>
      <w:r>
        <w:rPr>
          <w:color w:val="231F20"/>
          <w:w w:val="105"/>
        </w:rPr>
        <w:t>more</w:t>
      </w:r>
      <w:r>
        <w:rPr>
          <w:color w:val="231F20"/>
          <w:spacing w:val="-19"/>
          <w:w w:val="105"/>
        </w:rPr>
        <w:t> </w:t>
      </w:r>
      <w:r>
        <w:rPr>
          <w:color w:val="231F20"/>
          <w:w w:val="105"/>
        </w:rPr>
        <w:t>than</w:t>
      </w:r>
      <w:r>
        <w:rPr>
          <w:color w:val="231F20"/>
          <w:spacing w:val="-20"/>
          <w:w w:val="105"/>
        </w:rPr>
        <w:t> </w:t>
      </w:r>
      <w:r>
        <w:rPr>
          <w:color w:val="231F20"/>
          <w:w w:val="105"/>
        </w:rPr>
        <w:t>about</w:t>
      </w:r>
      <w:r>
        <w:rPr>
          <w:color w:val="231F20"/>
          <w:spacing w:val="-20"/>
          <w:w w:val="105"/>
        </w:rPr>
        <w:t> </w:t>
      </w:r>
      <w:r>
        <w:rPr>
          <w:color w:val="231F20"/>
          <w:w w:val="105"/>
        </w:rPr>
        <w:t>10</w:t>
      </w:r>
      <w:r>
        <w:rPr>
          <w:color w:val="231F20"/>
          <w:spacing w:val="-20"/>
          <w:w w:val="105"/>
        </w:rPr>
        <w:t> </w:t>
      </w:r>
      <w:r>
        <w:rPr>
          <w:color w:val="231F20"/>
          <w:w w:val="105"/>
        </w:rPr>
        <w:t>percent</w:t>
      </w:r>
      <w:r>
        <w:rPr>
          <w:color w:val="231F20"/>
          <w:spacing w:val="-19"/>
          <w:w w:val="105"/>
        </w:rPr>
        <w:t> </w:t>
      </w:r>
      <w:r>
        <w:rPr>
          <w:color w:val="231F20"/>
          <w:w w:val="105"/>
        </w:rPr>
        <w:t>without</w:t>
      </w:r>
      <w:r>
        <w:rPr>
          <w:color w:val="231F20"/>
          <w:spacing w:val="-20"/>
          <w:w w:val="105"/>
        </w:rPr>
        <w:t> </w:t>
      </w:r>
      <w:r>
        <w:rPr>
          <w:color w:val="231F20"/>
          <w:w w:val="105"/>
        </w:rPr>
        <w:t>it</w:t>
      </w:r>
      <w:r>
        <w:rPr>
          <w:color w:val="231F20"/>
          <w:spacing w:val="-20"/>
          <w:w w:val="105"/>
        </w:rPr>
        <w:t> </w:t>
      </w:r>
      <w:r>
        <w:rPr>
          <w:color w:val="231F20"/>
          <w:spacing w:val="-3"/>
          <w:w w:val="105"/>
        </w:rPr>
        <w:t>being </w:t>
      </w:r>
      <w:r>
        <w:rPr>
          <w:color w:val="231F20"/>
          <w:w w:val="105"/>
        </w:rPr>
        <w:t>forced down the neck </w:t>
      </w:r>
      <w:r>
        <w:rPr>
          <w:i/>
          <w:color w:val="231F20"/>
          <w:w w:val="105"/>
        </w:rPr>
        <w:t>(herniation), </w:t>
      </w:r>
      <w:r>
        <w:rPr>
          <w:color w:val="231F20"/>
          <w:w w:val="105"/>
        </w:rPr>
        <w:t>which can lead </w:t>
      </w:r>
      <w:r>
        <w:rPr>
          <w:color w:val="231F20"/>
          <w:spacing w:val="-7"/>
          <w:w w:val="105"/>
        </w:rPr>
        <w:t>to </w:t>
      </w:r>
      <w:r>
        <w:rPr>
          <w:color w:val="231F20"/>
          <w:w w:val="105"/>
        </w:rPr>
        <w:t>permanent brain injury and</w:t>
      </w:r>
      <w:r>
        <w:rPr>
          <w:color w:val="231F20"/>
          <w:spacing w:val="12"/>
          <w:w w:val="105"/>
        </w:rPr>
        <w:t> </w:t>
      </w:r>
      <w:r>
        <w:rPr>
          <w:color w:val="231F20"/>
          <w:w w:val="105"/>
        </w:rPr>
        <w:t>death.</w:t>
      </w:r>
    </w:p>
    <w:p>
      <w:pPr>
        <w:pStyle w:val="BodyText"/>
        <w:spacing w:line="249" w:lineRule="auto" w:before="9"/>
        <w:ind w:left="1440" w:firstLine="240"/>
        <w:jc w:val="both"/>
      </w:pPr>
      <w:r>
        <w:rPr>
          <w:color w:val="231F20"/>
          <w:w w:val="105"/>
        </w:rPr>
        <w:t>When</w:t>
      </w:r>
      <w:r>
        <w:rPr>
          <w:color w:val="231F20"/>
          <w:spacing w:val="-21"/>
          <w:w w:val="105"/>
        </w:rPr>
        <w:t> </w:t>
      </w:r>
      <w:r>
        <w:rPr>
          <w:color w:val="231F20"/>
          <w:w w:val="105"/>
        </w:rPr>
        <w:t>hyponatremia</w:t>
      </w:r>
      <w:r>
        <w:rPr>
          <w:color w:val="231F20"/>
          <w:spacing w:val="-20"/>
          <w:w w:val="105"/>
        </w:rPr>
        <w:t> </w:t>
      </w:r>
      <w:r>
        <w:rPr>
          <w:color w:val="231F20"/>
          <w:w w:val="105"/>
        </w:rPr>
        <w:t>evolves</w:t>
      </w:r>
      <w:r>
        <w:rPr>
          <w:color w:val="231F20"/>
          <w:spacing w:val="-21"/>
          <w:w w:val="105"/>
        </w:rPr>
        <w:t> </w:t>
      </w:r>
      <w:r>
        <w:rPr>
          <w:color w:val="231F20"/>
          <w:w w:val="105"/>
        </w:rPr>
        <w:t>more</w:t>
      </w:r>
      <w:r>
        <w:rPr>
          <w:color w:val="231F20"/>
          <w:spacing w:val="-20"/>
          <w:w w:val="105"/>
        </w:rPr>
        <w:t> </w:t>
      </w:r>
      <w:r>
        <w:rPr>
          <w:color w:val="231F20"/>
          <w:w w:val="105"/>
        </w:rPr>
        <w:t>slowly</w:t>
      </w:r>
      <w:r>
        <w:rPr>
          <w:color w:val="231F20"/>
          <w:spacing w:val="-20"/>
          <w:w w:val="105"/>
        </w:rPr>
        <w:t> </w:t>
      </w:r>
      <w:r>
        <w:rPr>
          <w:color w:val="231F20"/>
          <w:w w:val="105"/>
        </w:rPr>
        <w:t>over</w:t>
      </w:r>
      <w:r>
        <w:rPr>
          <w:color w:val="231F20"/>
          <w:spacing w:val="-21"/>
          <w:w w:val="105"/>
        </w:rPr>
        <w:t> </w:t>
      </w:r>
      <w:r>
        <w:rPr>
          <w:color w:val="231F20"/>
          <w:spacing w:val="-3"/>
          <w:w w:val="105"/>
        </w:rPr>
        <w:t>several </w:t>
      </w:r>
      <w:r>
        <w:rPr>
          <w:color w:val="231F20"/>
          <w:w w:val="105"/>
        </w:rPr>
        <w:t>days,</w:t>
      </w:r>
      <w:r>
        <w:rPr>
          <w:color w:val="231F20"/>
          <w:spacing w:val="-9"/>
          <w:w w:val="105"/>
        </w:rPr>
        <w:t> </w:t>
      </w:r>
      <w:r>
        <w:rPr>
          <w:color w:val="231F20"/>
          <w:w w:val="105"/>
        </w:rPr>
        <w:t>the</w:t>
      </w:r>
      <w:r>
        <w:rPr>
          <w:color w:val="231F20"/>
          <w:spacing w:val="-8"/>
          <w:w w:val="105"/>
        </w:rPr>
        <w:t> </w:t>
      </w:r>
      <w:r>
        <w:rPr>
          <w:color w:val="231F20"/>
          <w:w w:val="105"/>
        </w:rPr>
        <w:t>brain</w:t>
      </w:r>
      <w:r>
        <w:rPr>
          <w:color w:val="231F20"/>
          <w:spacing w:val="-8"/>
          <w:w w:val="105"/>
        </w:rPr>
        <w:t> </w:t>
      </w:r>
      <w:r>
        <w:rPr>
          <w:color w:val="231F20"/>
          <w:w w:val="105"/>
        </w:rPr>
        <w:t>and</w:t>
      </w:r>
      <w:r>
        <w:rPr>
          <w:color w:val="231F20"/>
          <w:spacing w:val="-9"/>
          <w:w w:val="105"/>
        </w:rPr>
        <w:t> </w:t>
      </w:r>
      <w:r>
        <w:rPr>
          <w:color w:val="231F20"/>
          <w:w w:val="105"/>
        </w:rPr>
        <w:t>other</w:t>
      </w:r>
      <w:r>
        <w:rPr>
          <w:color w:val="231F20"/>
          <w:spacing w:val="-8"/>
          <w:w w:val="105"/>
        </w:rPr>
        <w:t> </w:t>
      </w:r>
      <w:r>
        <w:rPr>
          <w:color w:val="231F20"/>
          <w:w w:val="105"/>
        </w:rPr>
        <w:t>tissues</w:t>
      </w:r>
      <w:r>
        <w:rPr>
          <w:color w:val="231F20"/>
          <w:spacing w:val="-8"/>
          <w:w w:val="105"/>
        </w:rPr>
        <w:t> </w:t>
      </w:r>
      <w:r>
        <w:rPr>
          <w:color w:val="231F20"/>
          <w:w w:val="105"/>
        </w:rPr>
        <w:t>respond</w:t>
      </w:r>
      <w:r>
        <w:rPr>
          <w:color w:val="231F20"/>
          <w:spacing w:val="-9"/>
          <w:w w:val="105"/>
        </w:rPr>
        <w:t> </w:t>
      </w:r>
      <w:r>
        <w:rPr>
          <w:color w:val="231F20"/>
          <w:w w:val="105"/>
        </w:rPr>
        <w:t>by</w:t>
      </w:r>
      <w:r>
        <w:rPr>
          <w:color w:val="231F20"/>
          <w:spacing w:val="-8"/>
          <w:w w:val="105"/>
        </w:rPr>
        <w:t> </w:t>
      </w:r>
      <w:r>
        <w:rPr>
          <w:color w:val="231F20"/>
          <w:w w:val="105"/>
        </w:rPr>
        <w:t>transporting sodium,</w:t>
      </w:r>
      <w:r>
        <w:rPr>
          <w:color w:val="231F20"/>
          <w:spacing w:val="-20"/>
          <w:w w:val="105"/>
        </w:rPr>
        <w:t> </w:t>
      </w:r>
      <w:r>
        <w:rPr>
          <w:color w:val="231F20"/>
          <w:w w:val="105"/>
        </w:rPr>
        <w:t>chloride,</w:t>
      </w:r>
      <w:r>
        <w:rPr>
          <w:color w:val="231F20"/>
          <w:spacing w:val="-19"/>
          <w:w w:val="105"/>
        </w:rPr>
        <w:t> </w:t>
      </w:r>
      <w:r>
        <w:rPr>
          <w:color w:val="231F20"/>
          <w:w w:val="105"/>
        </w:rPr>
        <w:t>potassium,</w:t>
      </w:r>
      <w:r>
        <w:rPr>
          <w:color w:val="231F20"/>
          <w:spacing w:val="-19"/>
          <w:w w:val="105"/>
        </w:rPr>
        <w:t> </w:t>
      </w:r>
      <w:r>
        <w:rPr>
          <w:color w:val="231F20"/>
          <w:w w:val="105"/>
        </w:rPr>
        <w:t>and</w:t>
      </w:r>
      <w:r>
        <w:rPr>
          <w:color w:val="231F20"/>
          <w:spacing w:val="-19"/>
          <w:w w:val="105"/>
        </w:rPr>
        <w:t> </w:t>
      </w:r>
      <w:r>
        <w:rPr>
          <w:color w:val="231F20"/>
          <w:w w:val="105"/>
        </w:rPr>
        <w:t>organic</w:t>
      </w:r>
      <w:r>
        <w:rPr>
          <w:color w:val="231F20"/>
          <w:spacing w:val="-19"/>
          <w:w w:val="105"/>
        </w:rPr>
        <w:t> </w:t>
      </w:r>
      <w:r>
        <w:rPr>
          <w:color w:val="231F20"/>
          <w:w w:val="105"/>
        </w:rPr>
        <w:t>solutes,</w:t>
      </w:r>
      <w:r>
        <w:rPr>
          <w:color w:val="231F20"/>
          <w:spacing w:val="-19"/>
          <w:w w:val="105"/>
        </w:rPr>
        <w:t> </w:t>
      </w:r>
      <w:r>
        <w:rPr>
          <w:color w:val="231F20"/>
          <w:w w:val="105"/>
        </w:rPr>
        <w:t>such</w:t>
      </w:r>
      <w:r>
        <w:rPr>
          <w:color w:val="231F20"/>
          <w:spacing w:val="-19"/>
          <w:w w:val="105"/>
        </w:rPr>
        <w:t> </w:t>
      </w:r>
      <w:r>
        <w:rPr>
          <w:color w:val="231F20"/>
          <w:spacing w:val="-6"/>
          <w:w w:val="105"/>
        </w:rPr>
        <w:t>as </w:t>
      </w:r>
      <w:r>
        <w:rPr>
          <w:color w:val="231F20"/>
          <w:w w:val="105"/>
        </w:rPr>
        <w:t>glutamate, from the cells into the extracellular</w:t>
      </w:r>
      <w:r>
        <w:rPr>
          <w:color w:val="231F20"/>
          <w:spacing w:val="-16"/>
          <w:w w:val="105"/>
        </w:rPr>
        <w:t> </w:t>
      </w:r>
      <w:r>
        <w:rPr>
          <w:color w:val="231F20"/>
          <w:w w:val="105"/>
        </w:rPr>
        <w:t>compart­ ment.</w:t>
      </w:r>
      <w:r>
        <w:rPr>
          <w:color w:val="231F20"/>
          <w:spacing w:val="-22"/>
          <w:w w:val="105"/>
        </w:rPr>
        <w:t> </w:t>
      </w:r>
      <w:r>
        <w:rPr>
          <w:color w:val="231F20"/>
          <w:w w:val="105"/>
        </w:rPr>
        <w:t>This</w:t>
      </w:r>
      <w:r>
        <w:rPr>
          <w:color w:val="231F20"/>
          <w:spacing w:val="-21"/>
          <w:w w:val="105"/>
        </w:rPr>
        <w:t> </w:t>
      </w:r>
      <w:r>
        <w:rPr>
          <w:color w:val="231F20"/>
          <w:w w:val="105"/>
        </w:rPr>
        <w:t>response</w:t>
      </w:r>
      <w:r>
        <w:rPr>
          <w:color w:val="231F20"/>
          <w:spacing w:val="-22"/>
          <w:w w:val="105"/>
        </w:rPr>
        <w:t> </w:t>
      </w:r>
      <w:r>
        <w:rPr>
          <w:color w:val="231F20"/>
          <w:w w:val="105"/>
        </w:rPr>
        <w:t>attenuates</w:t>
      </w:r>
      <w:r>
        <w:rPr>
          <w:color w:val="231F20"/>
          <w:spacing w:val="-21"/>
          <w:w w:val="105"/>
        </w:rPr>
        <w:t> </w:t>
      </w:r>
      <w:r>
        <w:rPr>
          <w:color w:val="231F20"/>
          <w:w w:val="105"/>
        </w:rPr>
        <w:t>osmotic</w:t>
      </w:r>
      <w:r>
        <w:rPr>
          <w:color w:val="231F20"/>
          <w:spacing w:val="-22"/>
          <w:w w:val="105"/>
        </w:rPr>
        <w:t> </w:t>
      </w:r>
      <w:r>
        <w:rPr>
          <w:color w:val="231F20"/>
          <w:w w:val="105"/>
        </w:rPr>
        <w:t>flow</w:t>
      </w:r>
      <w:r>
        <w:rPr>
          <w:color w:val="231F20"/>
          <w:spacing w:val="-21"/>
          <w:w w:val="105"/>
        </w:rPr>
        <w:t> </w:t>
      </w:r>
      <w:r>
        <w:rPr>
          <w:color w:val="231F20"/>
          <w:w w:val="105"/>
        </w:rPr>
        <w:t>of</w:t>
      </w:r>
      <w:r>
        <w:rPr>
          <w:color w:val="231F20"/>
          <w:spacing w:val="-22"/>
          <w:w w:val="105"/>
        </w:rPr>
        <w:t> </w:t>
      </w:r>
      <w:r>
        <w:rPr>
          <w:color w:val="231F20"/>
          <w:w w:val="105"/>
        </w:rPr>
        <w:t>water</w:t>
      </w:r>
      <w:r>
        <w:rPr>
          <w:color w:val="231F20"/>
          <w:spacing w:val="-21"/>
          <w:w w:val="105"/>
        </w:rPr>
        <w:t> </w:t>
      </w:r>
      <w:r>
        <w:rPr>
          <w:color w:val="231F20"/>
          <w:spacing w:val="-5"/>
          <w:w w:val="105"/>
        </w:rPr>
        <w:t>into </w:t>
      </w:r>
      <w:r>
        <w:rPr>
          <w:color w:val="231F20"/>
          <w:w w:val="105"/>
        </w:rPr>
        <w:t>the cells and swelling of the tissues (</w:t>
      </w:r>
      <w:hyperlink w:history="true" w:anchor="_bookmark10">
        <w:r>
          <w:rPr>
            <w:b/>
            <w:color w:val="0080AC"/>
            <w:w w:val="105"/>
          </w:rPr>
          <w:t>Figure</w:t>
        </w:r>
        <w:r>
          <w:rPr>
            <w:b/>
            <w:color w:val="0080AC"/>
            <w:spacing w:val="-34"/>
            <w:w w:val="105"/>
          </w:rPr>
          <w:t> </w:t>
        </w:r>
        <w:r>
          <w:rPr>
            <w:b/>
            <w:color w:val="0080AC"/>
            <w:w w:val="105"/>
          </w:rPr>
          <w:t>25-7</w:t>
        </w:r>
      </w:hyperlink>
      <w:r>
        <w:rPr>
          <w:color w:val="231F20"/>
          <w:w w:val="105"/>
        </w:rPr>
        <w:t>).</w:t>
      </w:r>
    </w:p>
    <w:p>
      <w:pPr>
        <w:pStyle w:val="BodyText"/>
        <w:spacing w:line="249" w:lineRule="auto" w:before="5"/>
        <w:ind w:left="1440" w:firstLine="240"/>
        <w:jc w:val="both"/>
      </w:pPr>
      <w:r>
        <w:rPr>
          <w:color w:val="231F20"/>
          <w:w w:val="105"/>
        </w:rPr>
        <w:t>Transport of solutes from the cells during </w:t>
      </w:r>
      <w:r>
        <w:rPr>
          <w:color w:val="231F20"/>
          <w:spacing w:val="-3"/>
          <w:w w:val="105"/>
        </w:rPr>
        <w:t>slowly  </w:t>
      </w:r>
      <w:r>
        <w:rPr>
          <w:color w:val="231F20"/>
          <w:w w:val="105"/>
        </w:rPr>
        <w:t>developing hyponatremia, however, can make the </w:t>
      </w:r>
      <w:r>
        <w:rPr>
          <w:color w:val="231F20"/>
          <w:spacing w:val="-3"/>
          <w:w w:val="105"/>
        </w:rPr>
        <w:t>brain </w:t>
      </w:r>
      <w:r>
        <w:rPr>
          <w:color w:val="231F20"/>
          <w:w w:val="105"/>
        </w:rPr>
        <w:t>vulnerable to injury if the hyponatremia is corrected</w:t>
      </w:r>
      <w:r>
        <w:rPr>
          <w:color w:val="231F20"/>
          <w:spacing w:val="-25"/>
          <w:w w:val="105"/>
        </w:rPr>
        <w:t> </w:t>
      </w:r>
      <w:r>
        <w:rPr>
          <w:color w:val="231F20"/>
          <w:spacing w:val="-4"/>
          <w:w w:val="105"/>
        </w:rPr>
        <w:t>too </w:t>
      </w:r>
      <w:r>
        <w:rPr>
          <w:color w:val="231F20"/>
          <w:w w:val="105"/>
        </w:rPr>
        <w:t>rapidly.</w:t>
      </w:r>
      <w:r>
        <w:rPr>
          <w:color w:val="231F20"/>
          <w:spacing w:val="-16"/>
          <w:w w:val="105"/>
        </w:rPr>
        <w:t> </w:t>
      </w:r>
      <w:r>
        <w:rPr>
          <w:color w:val="231F20"/>
          <w:w w:val="105"/>
        </w:rPr>
        <w:t>When</w:t>
      </w:r>
      <w:r>
        <w:rPr>
          <w:color w:val="231F20"/>
          <w:spacing w:val="-15"/>
          <w:w w:val="105"/>
        </w:rPr>
        <w:t> </w:t>
      </w:r>
      <w:r>
        <w:rPr>
          <w:color w:val="231F20"/>
          <w:w w:val="105"/>
        </w:rPr>
        <w:t>hypertonic</w:t>
      </w:r>
      <w:r>
        <w:rPr>
          <w:color w:val="231F20"/>
          <w:spacing w:val="-15"/>
          <w:w w:val="105"/>
        </w:rPr>
        <w:t> </w:t>
      </w:r>
      <w:r>
        <w:rPr>
          <w:color w:val="231F20"/>
          <w:w w:val="105"/>
        </w:rPr>
        <w:t>solutions</w:t>
      </w:r>
      <w:r>
        <w:rPr>
          <w:color w:val="231F20"/>
          <w:spacing w:val="-16"/>
          <w:w w:val="105"/>
        </w:rPr>
        <w:t> </w:t>
      </w:r>
      <w:r>
        <w:rPr>
          <w:color w:val="231F20"/>
          <w:w w:val="105"/>
        </w:rPr>
        <w:t>are</w:t>
      </w:r>
      <w:r>
        <w:rPr>
          <w:color w:val="231F20"/>
          <w:spacing w:val="-15"/>
          <w:w w:val="105"/>
        </w:rPr>
        <w:t> </w:t>
      </w:r>
      <w:r>
        <w:rPr>
          <w:color w:val="231F20"/>
          <w:w w:val="105"/>
        </w:rPr>
        <w:t>added</w:t>
      </w:r>
      <w:r>
        <w:rPr>
          <w:color w:val="231F20"/>
          <w:spacing w:val="-15"/>
          <w:w w:val="105"/>
        </w:rPr>
        <w:t> </w:t>
      </w:r>
      <w:r>
        <w:rPr>
          <w:color w:val="231F20"/>
          <w:w w:val="105"/>
        </w:rPr>
        <w:t>too</w:t>
      </w:r>
      <w:r>
        <w:rPr>
          <w:color w:val="231F20"/>
          <w:spacing w:val="-16"/>
          <w:w w:val="105"/>
        </w:rPr>
        <w:t> </w:t>
      </w:r>
      <w:r>
        <w:rPr>
          <w:color w:val="231F20"/>
          <w:spacing w:val="-3"/>
          <w:w w:val="105"/>
        </w:rPr>
        <w:t>rapidly </w:t>
      </w:r>
      <w:r>
        <w:rPr>
          <w:color w:val="231F20"/>
          <w:w w:val="105"/>
        </w:rPr>
        <w:t>to correct hyponatremia, this intervention can outpace the </w:t>
      </w:r>
      <w:r>
        <w:rPr>
          <w:color w:val="231F20"/>
          <w:spacing w:val="-4"/>
          <w:w w:val="105"/>
        </w:rPr>
        <w:t>brain’s </w:t>
      </w:r>
      <w:r>
        <w:rPr>
          <w:color w:val="231F20"/>
          <w:w w:val="105"/>
        </w:rPr>
        <w:t>ability to recapture the solutes lost from the cells and may lead to osmotic injury of the neurons that is associated with </w:t>
      </w:r>
      <w:r>
        <w:rPr>
          <w:i/>
          <w:color w:val="231F20"/>
          <w:w w:val="105"/>
        </w:rPr>
        <w:t>demyelination, </w:t>
      </w:r>
      <w:r>
        <w:rPr>
          <w:color w:val="231F20"/>
          <w:w w:val="105"/>
        </w:rPr>
        <w:t>a loss of the myelin sheath from nerves. This osmotic­mediated </w:t>
      </w:r>
      <w:r>
        <w:rPr>
          <w:color w:val="231F20"/>
          <w:spacing w:val="-3"/>
          <w:w w:val="105"/>
        </w:rPr>
        <w:t>demyelin­ </w:t>
      </w:r>
      <w:r>
        <w:rPr>
          <w:color w:val="231F20"/>
          <w:w w:val="105"/>
        </w:rPr>
        <w:t>ation</w:t>
      </w:r>
      <w:r>
        <w:rPr>
          <w:color w:val="231F20"/>
          <w:spacing w:val="-23"/>
          <w:w w:val="105"/>
        </w:rPr>
        <w:t> </w:t>
      </w:r>
      <w:r>
        <w:rPr>
          <w:color w:val="231F20"/>
          <w:w w:val="105"/>
        </w:rPr>
        <w:t>of</w:t>
      </w:r>
      <w:r>
        <w:rPr>
          <w:color w:val="231F20"/>
          <w:spacing w:val="-22"/>
          <w:w w:val="105"/>
        </w:rPr>
        <w:t> </w:t>
      </w:r>
      <w:r>
        <w:rPr>
          <w:color w:val="231F20"/>
          <w:w w:val="105"/>
        </w:rPr>
        <w:t>neurons</w:t>
      </w:r>
      <w:r>
        <w:rPr>
          <w:color w:val="231F20"/>
          <w:spacing w:val="-22"/>
          <w:w w:val="105"/>
        </w:rPr>
        <w:t> </w:t>
      </w:r>
      <w:r>
        <w:rPr>
          <w:color w:val="231F20"/>
          <w:w w:val="105"/>
        </w:rPr>
        <w:t>can</w:t>
      </w:r>
      <w:r>
        <w:rPr>
          <w:color w:val="231F20"/>
          <w:spacing w:val="-22"/>
          <w:w w:val="105"/>
        </w:rPr>
        <w:t> </w:t>
      </w:r>
      <w:r>
        <w:rPr>
          <w:color w:val="231F20"/>
          <w:w w:val="105"/>
        </w:rPr>
        <w:t>be</w:t>
      </w:r>
      <w:r>
        <w:rPr>
          <w:color w:val="231F20"/>
          <w:spacing w:val="-22"/>
          <w:w w:val="105"/>
        </w:rPr>
        <w:t> </w:t>
      </w:r>
      <w:r>
        <w:rPr>
          <w:color w:val="231F20"/>
          <w:w w:val="105"/>
        </w:rPr>
        <w:t>avoided</w:t>
      </w:r>
      <w:r>
        <w:rPr>
          <w:color w:val="231F20"/>
          <w:spacing w:val="-22"/>
          <w:w w:val="105"/>
        </w:rPr>
        <w:t> </w:t>
      </w:r>
      <w:r>
        <w:rPr>
          <w:color w:val="231F20"/>
          <w:w w:val="105"/>
        </w:rPr>
        <w:t>by</w:t>
      </w:r>
      <w:r>
        <w:rPr>
          <w:color w:val="231F20"/>
          <w:spacing w:val="-22"/>
          <w:w w:val="105"/>
        </w:rPr>
        <w:t> </w:t>
      </w:r>
      <w:r>
        <w:rPr>
          <w:color w:val="231F20"/>
          <w:w w:val="105"/>
        </w:rPr>
        <w:t>limiting</w:t>
      </w:r>
      <w:r>
        <w:rPr>
          <w:color w:val="231F20"/>
          <w:spacing w:val="-22"/>
          <w:w w:val="105"/>
        </w:rPr>
        <w:t> </w:t>
      </w:r>
      <w:r>
        <w:rPr>
          <w:color w:val="231F20"/>
          <w:w w:val="105"/>
        </w:rPr>
        <w:t>the</w:t>
      </w:r>
      <w:r>
        <w:rPr>
          <w:color w:val="231F20"/>
          <w:spacing w:val="-22"/>
          <w:w w:val="105"/>
        </w:rPr>
        <w:t> </w:t>
      </w:r>
      <w:r>
        <w:rPr>
          <w:color w:val="231F20"/>
          <w:w w:val="105"/>
        </w:rPr>
        <w:t>correction of</w:t>
      </w:r>
      <w:r>
        <w:rPr>
          <w:color w:val="231F20"/>
          <w:spacing w:val="-8"/>
          <w:w w:val="105"/>
        </w:rPr>
        <w:t> </w:t>
      </w:r>
      <w:r>
        <w:rPr>
          <w:color w:val="231F20"/>
          <w:w w:val="105"/>
        </w:rPr>
        <w:t>chronic</w:t>
      </w:r>
      <w:r>
        <w:rPr>
          <w:color w:val="231F20"/>
          <w:spacing w:val="-7"/>
          <w:w w:val="105"/>
        </w:rPr>
        <w:t> </w:t>
      </w:r>
      <w:r>
        <w:rPr>
          <w:color w:val="231F20"/>
          <w:w w:val="105"/>
        </w:rPr>
        <w:t>hyponatremia</w:t>
      </w:r>
      <w:r>
        <w:rPr>
          <w:color w:val="231F20"/>
          <w:spacing w:val="-8"/>
          <w:w w:val="105"/>
        </w:rPr>
        <w:t> </w:t>
      </w:r>
      <w:r>
        <w:rPr>
          <w:color w:val="231F20"/>
          <w:w w:val="105"/>
        </w:rPr>
        <w:t>to</w:t>
      </w:r>
      <w:r>
        <w:rPr>
          <w:color w:val="231F20"/>
          <w:spacing w:val="-7"/>
          <w:w w:val="105"/>
        </w:rPr>
        <w:t> </w:t>
      </w:r>
      <w:r>
        <w:rPr>
          <w:color w:val="231F20"/>
          <w:w w:val="105"/>
        </w:rPr>
        <w:t>less</w:t>
      </w:r>
      <w:r>
        <w:rPr>
          <w:color w:val="231F20"/>
          <w:spacing w:val="-7"/>
          <w:w w:val="105"/>
        </w:rPr>
        <w:t> </w:t>
      </w:r>
      <w:r>
        <w:rPr>
          <w:color w:val="231F20"/>
          <w:w w:val="105"/>
        </w:rPr>
        <w:t>than</w:t>
      </w:r>
      <w:r>
        <w:rPr>
          <w:color w:val="231F20"/>
          <w:spacing w:val="-8"/>
          <w:w w:val="105"/>
        </w:rPr>
        <w:t> </w:t>
      </w:r>
      <w:r>
        <w:rPr>
          <w:color w:val="231F20"/>
          <w:w w:val="105"/>
        </w:rPr>
        <w:t>10</w:t>
      </w:r>
      <w:r>
        <w:rPr>
          <w:color w:val="231F20"/>
          <w:spacing w:val="-7"/>
          <w:w w:val="105"/>
        </w:rPr>
        <w:t> </w:t>
      </w:r>
      <w:r>
        <w:rPr>
          <w:color w:val="231F20"/>
          <w:w w:val="105"/>
        </w:rPr>
        <w:t>to</w:t>
      </w:r>
      <w:r>
        <w:rPr>
          <w:color w:val="231F20"/>
          <w:spacing w:val="-7"/>
          <w:w w:val="105"/>
        </w:rPr>
        <w:t> </w:t>
      </w:r>
      <w:r>
        <w:rPr>
          <w:color w:val="231F20"/>
          <w:w w:val="105"/>
        </w:rPr>
        <w:t>12</w:t>
      </w:r>
      <w:r>
        <w:rPr>
          <w:color w:val="231F20"/>
          <w:spacing w:val="-4"/>
          <w:w w:val="105"/>
        </w:rPr>
        <w:t> </w:t>
      </w:r>
      <w:r>
        <w:rPr>
          <w:color w:val="231F20"/>
          <w:w w:val="105"/>
        </w:rPr>
        <w:t>mmol/L</w:t>
      </w:r>
      <w:r>
        <w:rPr>
          <w:color w:val="231F20"/>
          <w:spacing w:val="-7"/>
          <w:w w:val="105"/>
        </w:rPr>
        <w:t> in </w:t>
      </w:r>
      <w:r>
        <w:rPr>
          <w:color w:val="231F20"/>
          <w:w w:val="105"/>
        </w:rPr>
        <w:t>24 hours and to less than 18 mmol/L in 48 hours. </w:t>
      </w:r>
      <w:r>
        <w:rPr>
          <w:color w:val="231F20"/>
          <w:spacing w:val="-3"/>
          <w:w w:val="105"/>
        </w:rPr>
        <w:t>This </w:t>
      </w:r>
      <w:r>
        <w:rPr>
          <w:color w:val="231F20"/>
          <w:w w:val="105"/>
        </w:rPr>
        <w:t>slow rate of correction permits the brain to recover </w:t>
      </w:r>
      <w:r>
        <w:rPr>
          <w:color w:val="231F20"/>
          <w:spacing w:val="-5"/>
          <w:w w:val="105"/>
        </w:rPr>
        <w:t>the </w:t>
      </w:r>
      <w:r>
        <w:rPr>
          <w:color w:val="231F20"/>
          <w:w w:val="105"/>
        </w:rPr>
        <w:t>lost osmoles that have occurred as a result of </w:t>
      </w:r>
      <w:r>
        <w:rPr>
          <w:color w:val="231F20"/>
          <w:spacing w:val="-3"/>
          <w:w w:val="105"/>
        </w:rPr>
        <w:t>adaptation </w:t>
      </w:r>
      <w:r>
        <w:rPr>
          <w:color w:val="231F20"/>
          <w:w w:val="105"/>
        </w:rPr>
        <w:t>to chronic</w:t>
      </w:r>
      <w:r>
        <w:rPr>
          <w:color w:val="231F20"/>
          <w:spacing w:val="6"/>
          <w:w w:val="105"/>
        </w:rPr>
        <w:t> </w:t>
      </w:r>
      <w:r>
        <w:rPr>
          <w:color w:val="231F20"/>
          <w:w w:val="105"/>
        </w:rPr>
        <w:t>hyponatremia.</w:t>
      </w:r>
    </w:p>
    <w:p>
      <w:pPr>
        <w:pStyle w:val="BodyText"/>
        <w:spacing w:line="249" w:lineRule="auto" w:before="13"/>
        <w:ind w:left="1440" w:firstLine="240"/>
        <w:jc w:val="both"/>
      </w:pPr>
      <w:r>
        <w:rPr>
          <w:color w:val="231F20"/>
          <w:w w:val="105"/>
        </w:rPr>
        <w:t>Hyponatremia is the most common electrolyte disor­ der</w:t>
      </w:r>
      <w:r>
        <w:rPr>
          <w:color w:val="231F20"/>
          <w:spacing w:val="-5"/>
          <w:w w:val="105"/>
        </w:rPr>
        <w:t> </w:t>
      </w:r>
      <w:r>
        <w:rPr>
          <w:color w:val="231F20"/>
          <w:w w:val="105"/>
        </w:rPr>
        <w:t>encountered</w:t>
      </w:r>
      <w:r>
        <w:rPr>
          <w:color w:val="231F20"/>
          <w:spacing w:val="-4"/>
          <w:w w:val="105"/>
        </w:rPr>
        <w:t> </w:t>
      </w:r>
      <w:r>
        <w:rPr>
          <w:color w:val="231F20"/>
          <w:w w:val="105"/>
        </w:rPr>
        <w:t>in</w:t>
      </w:r>
      <w:r>
        <w:rPr>
          <w:color w:val="231F20"/>
          <w:spacing w:val="-5"/>
          <w:w w:val="105"/>
        </w:rPr>
        <w:t> </w:t>
      </w:r>
      <w:r>
        <w:rPr>
          <w:color w:val="231F20"/>
          <w:w w:val="105"/>
        </w:rPr>
        <w:t>clinical</w:t>
      </w:r>
      <w:r>
        <w:rPr>
          <w:color w:val="231F20"/>
          <w:spacing w:val="-4"/>
          <w:w w:val="105"/>
        </w:rPr>
        <w:t> </w:t>
      </w:r>
      <w:r>
        <w:rPr>
          <w:color w:val="231F20"/>
          <w:w w:val="105"/>
        </w:rPr>
        <w:t>practice</w:t>
      </w:r>
      <w:r>
        <w:rPr>
          <w:color w:val="231F20"/>
          <w:spacing w:val="-5"/>
          <w:w w:val="105"/>
        </w:rPr>
        <w:t> </w:t>
      </w:r>
      <w:r>
        <w:rPr>
          <w:color w:val="231F20"/>
          <w:w w:val="105"/>
        </w:rPr>
        <w:t>and</w:t>
      </w:r>
      <w:r>
        <w:rPr>
          <w:color w:val="231F20"/>
          <w:spacing w:val="-4"/>
          <w:w w:val="105"/>
        </w:rPr>
        <w:t> </w:t>
      </w:r>
      <w:r>
        <w:rPr>
          <w:color w:val="231F20"/>
          <w:w w:val="105"/>
        </w:rPr>
        <w:t>may</w:t>
      </w:r>
      <w:r>
        <w:rPr>
          <w:color w:val="231F20"/>
          <w:spacing w:val="-4"/>
          <w:w w:val="105"/>
        </w:rPr>
        <w:t> </w:t>
      </w:r>
      <w:r>
        <w:rPr>
          <w:color w:val="231F20"/>
          <w:w w:val="105"/>
        </w:rPr>
        <w:t>occur</w:t>
      </w:r>
      <w:r>
        <w:rPr>
          <w:color w:val="231F20"/>
          <w:spacing w:val="-5"/>
          <w:w w:val="105"/>
        </w:rPr>
        <w:t> </w:t>
      </w:r>
      <w:r>
        <w:rPr>
          <w:color w:val="231F20"/>
          <w:w w:val="105"/>
        </w:rPr>
        <w:t>in</w:t>
      </w:r>
      <w:r>
        <w:rPr>
          <w:color w:val="231F20"/>
          <w:spacing w:val="-4"/>
          <w:w w:val="105"/>
        </w:rPr>
        <w:t> </w:t>
      </w:r>
      <w:r>
        <w:rPr>
          <w:color w:val="231F20"/>
          <w:spacing w:val="-7"/>
          <w:w w:val="105"/>
        </w:rPr>
        <w:t>up </w:t>
      </w:r>
      <w:r>
        <w:rPr>
          <w:color w:val="231F20"/>
          <w:w w:val="105"/>
        </w:rPr>
        <w:t>to 15% to 25% of hospitalized</w:t>
      </w:r>
      <w:r>
        <w:rPr>
          <w:color w:val="231F20"/>
          <w:spacing w:val="-5"/>
          <w:w w:val="105"/>
        </w:rPr>
        <w:t> </w:t>
      </w:r>
      <w:r>
        <w:rPr>
          <w:color w:val="231F20"/>
          <w:w w:val="105"/>
        </w:rPr>
        <w:t>patients.</w:t>
      </w:r>
    </w:p>
    <w:p>
      <w:pPr>
        <w:pStyle w:val="BodyText"/>
        <w:spacing w:before="9"/>
        <w:rPr>
          <w:sz w:val="29"/>
        </w:rPr>
      </w:pPr>
    </w:p>
    <w:p>
      <w:pPr>
        <w:pStyle w:val="Heading2"/>
        <w:spacing w:line="248" w:lineRule="exact"/>
        <w:ind w:left="1440"/>
      </w:pPr>
      <w:r>
        <w:rPr>
          <w:color w:val="231F20"/>
          <w:w w:val="105"/>
        </w:rPr>
        <w:t>CAUSES OF HYPERNATREMIA:</w:t>
      </w:r>
    </w:p>
    <w:p>
      <w:pPr>
        <w:spacing w:line="248" w:lineRule="exact" w:before="0"/>
        <w:ind w:left="1440" w:right="0" w:firstLine="0"/>
        <w:jc w:val="left"/>
        <w:rPr>
          <w:rFonts w:ascii="Trebuchet MS"/>
          <w:b/>
          <w:sz w:val="22"/>
        </w:rPr>
      </w:pPr>
      <w:r>
        <w:rPr>
          <w:rFonts w:ascii="Trebuchet MS"/>
          <w:b/>
          <w:color w:val="231F20"/>
          <w:w w:val="105"/>
          <w:sz w:val="22"/>
        </w:rPr>
        <w:t>WATER LOSS OR EXCESS SODIUM</w:t>
      </w:r>
    </w:p>
    <w:p>
      <w:pPr>
        <w:pStyle w:val="BodyText"/>
        <w:spacing w:line="249" w:lineRule="auto" w:before="124"/>
        <w:ind w:left="1440"/>
        <w:jc w:val="both"/>
      </w:pPr>
      <w:r>
        <w:rPr>
          <w:color w:val="231F20"/>
          <w:w w:val="105"/>
        </w:rPr>
        <w:t>Increased plasma sodium concentration, which </w:t>
      </w:r>
      <w:r>
        <w:rPr>
          <w:color w:val="231F20"/>
          <w:spacing w:val="-4"/>
          <w:w w:val="105"/>
        </w:rPr>
        <w:t>also </w:t>
      </w:r>
      <w:r>
        <w:rPr>
          <w:color w:val="231F20"/>
          <w:w w:val="105"/>
        </w:rPr>
        <w:t>causes increased osmolarity, can be due to either loss</w:t>
      </w:r>
      <w:r>
        <w:rPr>
          <w:color w:val="231F20"/>
          <w:spacing w:val="-24"/>
          <w:w w:val="105"/>
        </w:rPr>
        <w:t> </w:t>
      </w:r>
      <w:r>
        <w:rPr>
          <w:color w:val="231F20"/>
          <w:spacing w:val="-6"/>
          <w:w w:val="105"/>
        </w:rPr>
        <w:t>of </w:t>
      </w:r>
      <w:r>
        <w:rPr>
          <w:color w:val="231F20"/>
          <w:w w:val="105"/>
        </w:rPr>
        <w:t>water</w:t>
      </w:r>
      <w:r>
        <w:rPr>
          <w:color w:val="231F20"/>
          <w:spacing w:val="-20"/>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extracellular</w:t>
      </w:r>
      <w:r>
        <w:rPr>
          <w:color w:val="231F20"/>
          <w:spacing w:val="-19"/>
          <w:w w:val="105"/>
        </w:rPr>
        <w:t> </w:t>
      </w:r>
      <w:r>
        <w:rPr>
          <w:color w:val="231F20"/>
          <w:w w:val="105"/>
        </w:rPr>
        <w:t>fluid,</w:t>
      </w:r>
      <w:r>
        <w:rPr>
          <w:color w:val="231F20"/>
          <w:spacing w:val="-20"/>
          <w:w w:val="105"/>
        </w:rPr>
        <w:t> </w:t>
      </w:r>
      <w:r>
        <w:rPr>
          <w:color w:val="231F20"/>
          <w:w w:val="105"/>
        </w:rPr>
        <w:t>which</w:t>
      </w:r>
      <w:r>
        <w:rPr>
          <w:color w:val="231F20"/>
          <w:spacing w:val="-19"/>
          <w:w w:val="105"/>
        </w:rPr>
        <w:t> </w:t>
      </w:r>
      <w:r>
        <w:rPr>
          <w:color w:val="231F20"/>
          <w:w w:val="105"/>
        </w:rPr>
        <w:t>concentrates</w:t>
      </w:r>
      <w:r>
        <w:rPr>
          <w:color w:val="231F20"/>
          <w:spacing w:val="-19"/>
          <w:w w:val="105"/>
        </w:rPr>
        <w:t> </w:t>
      </w:r>
      <w:r>
        <w:rPr>
          <w:color w:val="231F20"/>
          <w:spacing w:val="-5"/>
          <w:w w:val="105"/>
        </w:rPr>
        <w:t>the </w:t>
      </w:r>
      <w:r>
        <w:rPr>
          <w:color w:val="231F20"/>
          <w:w w:val="105"/>
        </w:rPr>
        <w:t>sodium ions, or excess sodium in the extracellular</w:t>
      </w:r>
      <w:r>
        <w:rPr>
          <w:color w:val="231F20"/>
          <w:spacing w:val="-35"/>
          <w:w w:val="105"/>
        </w:rPr>
        <w:t> </w:t>
      </w:r>
      <w:r>
        <w:rPr>
          <w:color w:val="231F20"/>
          <w:w w:val="105"/>
        </w:rPr>
        <w:t>fluid.</w:t>
      </w:r>
    </w:p>
    <w:p>
      <w:pPr>
        <w:pStyle w:val="BodyText"/>
        <w:spacing w:before="1"/>
        <w:rPr>
          <w:sz w:val="14"/>
        </w:rPr>
      </w:pPr>
      <w:r>
        <w:rPr/>
        <w:br w:type="column"/>
      </w:r>
      <w:r>
        <w:rPr>
          <w:sz w:val="14"/>
        </w:rPr>
      </w:r>
    </w:p>
    <w:p>
      <w:pPr>
        <w:spacing w:before="1"/>
        <w:ind w:left="295" w:right="671" w:firstLine="0"/>
        <w:jc w:val="center"/>
        <w:rPr>
          <w:rFonts w:ascii="Helvetica"/>
          <w:b/>
          <w:sz w:val="16"/>
        </w:rPr>
      </w:pPr>
      <w:r>
        <w:rPr>
          <w:rFonts w:ascii="Helvetica"/>
          <w:b/>
          <w:color w:val="231F20"/>
          <w:sz w:val="16"/>
        </w:rPr>
        <w:t>Normonatremia</w:t>
      </w:r>
    </w:p>
    <w:p>
      <w:pPr>
        <w:pStyle w:val="BodyText"/>
        <w:spacing w:before="1"/>
        <w:rPr>
          <w:rFonts w:ascii="Helvetica"/>
          <w:b/>
          <w:sz w:val="13"/>
        </w:rPr>
      </w:pPr>
      <w:r>
        <w:rPr/>
        <w:pict>
          <v:group style="position:absolute;margin-left:335.068695pt;margin-top:26.085663pt;width:3.7pt;height:12.75pt;mso-position-horizontal-relative:page;mso-position-vertical-relative:paragraph;z-index:-251568128;mso-wrap-distance-left:0;mso-wrap-distance-right:0" coordorigin="6701,522" coordsize="74,255">
            <v:line style="position:absolute" from="6738,522" to="6738,713" stroked="true" strokeweight=".75pt" strokecolor="#231f20">
              <v:stroke dashstyle="solid"/>
            </v:line>
            <v:shape style="position:absolute;left:6701;top:687;width:74;height:90" coordorigin="6701,687" coordsize="74,90" path="m6701,687l6738,777,6766,708,6738,708,6701,687xm6775,687l6738,708,6766,708,6775,687xe" filled="true" fillcolor="#231f20" stroked="false">
              <v:path arrowok="t"/>
              <v:fill type="solid"/>
            </v:shape>
            <w10:wrap type="topAndBottom"/>
          </v:group>
        </w:pict>
      </w:r>
      <w:r>
        <w:rPr/>
        <w:pict>
          <v:group style="position:absolute;margin-left:340.572998pt;margin-top:9.517667pt;width:206.35pt;height:145.35pt;mso-position-horizontal-relative:page;mso-position-vertical-relative:paragraph;z-index:-251560960;mso-wrap-distance-left:0;mso-wrap-distance-right:0" coordorigin="6811,190" coordsize="4127,2907">
            <v:shape style="position:absolute;left:7030;top:549;width:3901;height:2539" coordorigin="7030,550" coordsize="3901,2539" path="m8726,3089l8661,3087,8601,3082,8545,3073,8494,3060,8435,3052,8362,3038,8283,3014,8206,2979,8138,2931,8085,2868,8068,2836,8067,2835,8064,2833,8060,2830,8056,2826,8029,2796,8008,2766,7992,2735,7981,2706,7948,2696,7917,2685,7890,2673,7865,2663,7846,2654,7828,2647,7812,2641,7799,2639,7787,2638,7774,2638,7761,2638,7719,2637,7673,2633,7625,2623,7579,2605,7471,2584,7383,2540,7378,2536,7372,2532,7301,2480,7281,2456,7215,2420,7154,2369,7102,2307,7061,2235,7036,2153,7030,2068,7041,1982,7068,1900,7065,1880,7065,1860,7065,1838,7066,1815,7068,1787,7074,1749,7086,1705,7109,1659,7111,1600,7122,1542,7143,1488,7173,1438,7176,1416,7204,1338,7278,1230,7333,1175,7397,1133,7403,1124,7473,1044,7540,993,7616,949,7695,920,7745,873,7809,829,7884,788,7963,753,8040,726,8111,708,8171,700,8173,700,8175,699,8176,699,8184,693,8259,657,8329,635,8395,621,8457,611,8470,610,8482,608,8494,606,8506,604,8513,602,8520,602,8528,601,8536,601,8544,600,8561,599,8579,598,8597,597,8616,596,8629,596,8642,597,8655,598,8667,599,8726,581,8788,568,8852,560,8917,553,9000,550,9029,550,9109,552,9180,560,9242,573,9305,594,9308,596,9387,599,9470,608,9554,623,9638,643,9718,667,9793,696,9852,726,9876,740,9886,746,9892,749,9895,750,9906,754,9995,788,10100,838,10182,892,10259,966,10326,998,10388,1040,10442,1092,10488,1150,10522,1213,10524,1215,10576,1256,10622,1307,10667,1368,10706,1437,10738,1511,10760,1587,10814,1650,10852,1719,10876,1786,10893,1847,10918,1969,10928,2054,10931,2141,10919,2213,10915,2223,10915,2224,10906,2293,10883,2358,10845,2419,10796,2473,10736,2519,10668,2555,10594,2577,10535,2588,10431,2601,10383,2602,10336,2600,10291,2596,10245,2588,10201,2577,10200,2577,10198,2577,10197,2577,10178,2578,10090,2594,9998,2617,9916,2642,9837,2671,9761,2704,9687,2742,9616,2783,9554,2824,9533,2838,9473,2878,9411,2917,9347,2953,9278,2984,9207,3010,9130,3033,9051,3052,8969,3068,8886,3079,8805,3086,8726,3089xe" filled="false" stroked="true" strokeweight=".75pt" strokecolor="#231f20">
              <v:path arrowok="t"/>
              <v:stroke dashstyle="shortdash"/>
            </v:shape>
            <v:shape style="position:absolute;left:7190;top:670;width:3583;height:2299" coordorigin="7191,670" coordsize="3583,2299" path="m10037,2478l7646,2478,7674,2504,7721,2515,7777,2518,7830,2519,7877,2529,7925,2548,7976,2571,8034,2591,8064,2594,8086,2597,8100,2603,8105,2616,8110,2651,8120,2683,8136,2713,8159,2741,8183,2767,8198,2793,8213,2818,8234,2842,8292,2881,8366,2911,8447,2931,8528,2942,8592,2958,8664,2967,8743,2969,8826,2965,8910,2955,8995,2941,9077,2922,9156,2899,9227,2872,9292,2842,9355,2805,9417,2765,9478,2723,9539,2682,9612,2638,9686,2600,9759,2567,9830,2539,9900,2515,9968,2495,10034,2479,10037,2478xm7749,1037l7676,1067,7599,1119,7541,1179,7523,1233,7471,1246,7413,1296,7362,1364,7331,1431,7333,1478,7298,1519,7275,1573,7265,1633,7272,1694,7250,1717,7236,1746,7228,1781,7224,1821,7223,1856,7224,1879,7227,1896,7235,1911,7206,1973,7191,2045,7191,2118,7208,2185,7243,2246,7290,2299,7345,2338,7405,2359,7411,2385,7427,2404,7450,2420,7477,2438,7521,2462,7564,2479,7605,2485,7646,2478,10037,2478,10061,2473,10109,2463,10162,2457,10545,2457,10605,2436,10665,2396,10714,2345,10746,2285,10757,2221,10757,2210,10759,2199,10763,2187,10767,2174,10773,2124,10769,2050,10758,1968,10743,1891,10726,1829,10703,1763,10668,1702,10613,1652,10597,1572,10565,1491,10523,1418,10476,1357,10431,1317,10416,1309,10405,1303,10395,1294,10387,1276,10352,1207,10299,1146,10233,1097,10159,1067,10141,1043,7797,1043,7749,1037xm10545,2457l10162,2457,10207,2461,10289,2478,10370,2482,10452,2475,10537,2460,10545,2457xm8613,716l8575,719,8537,722,8474,732,8405,743,8335,762,8265,794,8244,807,8227,815,8210,818,8191,820,8137,828,8065,850,7987,882,7912,921,7849,963,7807,1005,7797,1043,10141,1043,10131,1030,10097,997,10059,968,10019,942,9972,918,9926,897,9883,880,9847,866,9824,858,9796,843,9764,824,9729,806,9654,777,9576,754,9498,736,9431,725,8686,725,8651,718,8613,716xm9009,670l8929,673,8868,679,8803,688,8741,703,8686,725,9431,725,9421,724,9349,717,9283,716,9271,714,9259,709,9249,704,9245,702,9173,681,9092,672,9009,670xe" filled="true" fillcolor="#b7705b" stroked="false">
              <v:path arrowok="t"/>
              <v:fill type="solid"/>
            </v:shape>
            <v:shape style="position:absolute;left:7205;top:688;width:3550;height:2260" type="#_x0000_t75" stroked="false">
              <v:imagedata r:id="rId57" o:title=""/>
            </v:shape>
            <v:shape style="position:absolute;left:8716;top:812;width:18;height:16" coordorigin="8717,812" coordsize="18,16" path="m8731,812l8725,813,8726,815,8717,828,8724,819,8731,819,8731,818,8734,817,8731,812xm8731,819l8724,819,8725,821,8729,820,8731,820,8731,819xe" filled="true" fillcolor="#b7705b" stroked="false">
              <v:path arrowok="t"/>
              <v:fill type="solid"/>
            </v:shape>
            <v:shape style="position:absolute;left:8234;top:881;width:15;height:11" coordorigin="8234,881" coordsize="15,11" path="m8239,881l8234,891,8240,892,8244,891,8249,887,8245,884,8239,881xe" filled="true" fillcolor="#b7705b" stroked="false">
              <v:path arrowok="t"/>
              <v:fill type="solid"/>
            </v:shape>
            <v:shape style="position:absolute;left:9633;top:975;width:7;height:5" coordorigin="9634,976" coordsize="7,5" path="m9640,976l9634,976,9634,980,9639,980,9640,979,9640,976xe" filled="true" fillcolor="#b7705b" stroked="false">
              <v:path arrowok="t"/>
              <v:fill type="solid"/>
            </v:shape>
            <v:shape style="position:absolute;left:9031;top:883;width:10;height:10" coordorigin="9032,884" coordsize="10,10" path="m9036,884l9034,886,9032,890,9036,891,9040,893,9042,889,9041,885,9036,884xe" filled="true" fillcolor="#b7705b" stroked="false">
              <v:path arrowok="t"/>
              <v:fill type="solid"/>
            </v:shape>
            <v:shape style="position:absolute;left:9619;top:981;width:7;height:8" coordorigin="9619,982" coordsize="7,8" path="m9624,982l9622,983,9619,983,9620,989,9623,989,9624,987,9626,986,9626,984,9624,982xe" filled="true" fillcolor="#b7705b" stroked="false">
              <v:path arrowok="t"/>
              <v:fill type="solid"/>
            </v:shape>
            <v:shape style="position:absolute;left:9608;top:990;width:7;height:8" coordorigin="9608,990" coordsize="7,8" path="m9612,990l9610,991,9608,991,9609,998,9610,996,9615,995,9612,992,9612,990xe" filled="true" fillcolor="#b7705b" stroked="false">
              <v:path arrowok="t"/>
              <v:fill type="solid"/>
            </v:shape>
            <v:rect style="position:absolute;left:9602;top:995;width:2;height:6" filled="true" fillcolor="#b7705b" stroked="false">
              <v:fill type="solid"/>
            </v:rect>
            <v:shape style="position:absolute;left:9381;top:1002;width:971;height:962" coordorigin="9382,1002" coordsize="971,962" path="m10163,1886l10143,1886,10151,1893,10167,1916,10186,1936,10209,1952,10233,1961,10242,1963,10251,1964,10262,1962,10276,1956,10221,1949,10182,1918,10163,1886xm9901,1360l9883,1361,9904,1366,9930,1375,9957,1389,9983,1409,10039,1466,10089,1526,10129,1591,10156,1661,10163,1710,10161,1760,10152,1810,10137,1857,10122,1886,10097,1908,10060,1925,10009,1938,10035,1936,10060,1932,10084,1925,10107,1916,10120,1906,10132,1893,10143,1886,10163,1886,10160,1880,10156,1851,10167,1801,10175,1752,10175,1699,10165,1638,10161,1621,10162,1614,10183,1613,10211,1611,10241,1604,10270,1595,10271,1594,10171,1594,10137,1575,10110,1533,10080,1493,10046,1455,10010,1417,9995,1404,9982,1392,9976,1383,9978,1376,9986,1371,9997,1366,10000,1365,9928,1365,9917,1363,9901,1360xm10348,1535l10293,1572,10228,1593,10171,1594,10271,1594,10291,1586,10310,1579,10325,1575,10339,1574,10353,1574,10350,1572,10335,1572,10326,1565,10336,1557,10341,1546,10348,1535xm10346,1569l10335,1572,10350,1572,10346,1569xm9770,1214l9705,1214,9723,1215,9741,1218,9757,1224,9807,1249,9854,1280,9896,1318,9930,1362,9928,1365,10000,1365,10004,1363,9963,1363,9947,1357,9907,1311,9862,1270,9812,1235,9770,1214xm10029,1346l10010,1353,9986,1360,9963,1363,10004,1363,10012,1359,10029,1346xm9597,1002l9563,1019,9528,1044,9505,1074,9502,1108,9505,1115,9511,1120,9514,1126,9510,1133,9464,1163,9423,1202,9395,1249,9382,1301,9401,1251,9429,1210,9464,1177,9505,1150,9533,1140,9561,1133,9593,1131,9642,1131,9637,1130,9610,1123,9589,1120,9547,1120,9530,1117,9517,1111,9509,1100,9510,1087,9522,1063,9543,1040,9569,1019,9597,1002xm9642,1131l9593,1131,9627,1139,9659,1150,9693,1163,9721,1179,9736,1200,9732,1205,9720,1207,9704,1209,9689,1217,9705,1214,9770,1214,9758,1208,9745,1204,9741,1188,9751,1182,9766,1176,9782,1170,9741,1170,9729,1168,9719,1163,9712,1159,9687,1147,9662,1138,9642,1131xm9830,1160l9802,1161,9777,1165,9754,1169,9741,1170,9782,1170,9786,1169,9817,1163,9862,1161,9830,1160xm9585,1119l9565,1119,9547,1120,9589,1120,9585,1119xe" filled="true" fillcolor="#b7705b" stroked="false">
              <v:path arrowok="t"/>
              <v:fill type="solid"/>
            </v:shape>
            <v:shape style="position:absolute;left:9722;top:920;width:12;height:9" coordorigin="9722,920" coordsize="12,9" path="m9734,920l9722,926,9723,929,9727,927,9729,927,9730,925,9734,924,9734,920xm9729,927l9727,927,9729,927,9729,927xe" filled="true" fillcolor="#b7705b" stroked="false">
              <v:path arrowok="t"/>
              <v:fill type="solid"/>
            </v:shape>
            <v:shape style="position:absolute;left:9710;top:930;width:9;height:7" coordorigin="9711,930" coordsize="9,7" path="m9718,930l9711,931,9711,937,9713,937,9716,936,9719,936,9718,930xe" filled="true" fillcolor="#b7705b" stroked="false">
              <v:path arrowok="t"/>
              <v:fill type="solid"/>
            </v:shape>
            <v:shape style="position:absolute;left:9688;top:943;width:12;height:9" coordorigin="9688,944" coordsize="12,9" path="m9694,944l9688,949,9693,952,9695,952,9697,950,9700,949,9699,945,9694,944xe" filled="true" fillcolor="#b7705b" stroked="false">
              <v:path arrowok="t"/>
              <v:fill type="solid"/>
            </v:shape>
            <v:shape style="position:absolute;left:8753;top:952;width:12;height:11" coordorigin="8754,952" coordsize="12,11" path="m8760,952l8755,957,8754,960,8756,962,8758,961,8761,961,8764,960,8765,957,8765,953,8760,952xe" filled="true" fillcolor="#b7705b" stroked="false">
              <v:path arrowok="t"/>
              <v:fill type="solid"/>
            </v:shape>
            <v:shape style="position:absolute;left:8057;top:975;width:7;height:11" coordorigin="8058,975" coordsize="7,11" path="m8060,975l8058,985,8060,985,8063,985,8065,984,8065,981,8060,975xe" filled="true" fillcolor="#b7705b" stroked="false">
              <v:path arrowok="t"/>
              <v:fill type="solid"/>
            </v:shape>
            <v:shape style="position:absolute;left:8736;top:957;width:14;height:10" coordorigin="8736,958" coordsize="14,10" path="m8736,958l8738,965,8742,967,8745,967,8746,965,8748,963,8749,959,8742,959,8736,958xm8744,958l8742,959,8749,959,8749,958,8744,958xe" filled="true" fillcolor="#b7705b" stroked="false">
              <v:path arrowok="t"/>
              <v:fill type="solid"/>
            </v:shape>
            <v:shape style="position:absolute;left:8064;top:992;width:11;height:12" coordorigin="8065,992" coordsize="11,12" path="m8075,992l8065,996,8067,1002,8069,1004,8073,1003,8074,1000,8075,992xe" filled="true" fillcolor="#b7705b" stroked="false">
              <v:path arrowok="t"/>
              <v:fill type="solid"/>
            </v:shape>
            <v:shape style="position:absolute;left:8367;top:1008;width:13;height:12" coordorigin="8368,1009" coordsize="13,12" path="m8379,1009l8375,1011,8373,1013,8368,1017,8372,1020,8375,1020,8380,1019,8380,1015,8379,1013,8379,1009xe" filled="true" fillcolor="#b7705b" stroked="false">
              <v:path arrowok="t"/>
              <v:fill type="solid"/>
            </v:shape>
            <v:shape style="position:absolute;left:8367;top:1027;width:7;height:8" coordorigin="8368,1028" coordsize="7,8" path="m8368,1028l8368,1035,8370,1035,8372,1035,8372,1033,8374,1029,8371,1029,8368,1028xm8374,1029l8371,1029,8374,1029,8374,1029xe" filled="true" fillcolor="#b7705b" stroked="false">
              <v:path arrowok="t"/>
              <v:fill type="solid"/>
            </v:shape>
            <v:shape style="position:absolute;left:8853;top:1046;width:6;height:8" coordorigin="8854,1047" coordsize="6,8" path="m8856,1047l8854,1055,8857,1054,8858,1053,8858,1051,8859,1048,8856,1047xe" filled="true" fillcolor="#b7705b" stroked="false">
              <v:path arrowok="t"/>
              <v:fill type="solid"/>
            </v:shape>
            <v:shape style="position:absolute;left:8837;top:1069;width:8;height:8" coordorigin="8837,1070" coordsize="8,8" path="m8840,1070l8837,1077,8839,1077,8842,1076,8844,1076,8843,1072,8842,1072,8841,1070,8840,1070xm8843,1071l8842,1072,8843,1072,8843,1071xe" filled="true" fillcolor="#b7705b" stroked="false">
              <v:path arrowok="t"/>
              <v:fill type="solid"/>
            </v:shape>
            <v:shape style="position:absolute;left:7830;top:1077;width:12;height:11" coordorigin="7830,1078" coordsize="12,11" path="m7836,1078l7830,1083,7833,1088,7836,1088,7837,1085,7842,1083,7840,1080,7836,1078xe" filled="true" fillcolor="#b7705b" stroked="false">
              <v:path arrowok="t"/>
              <v:fill type="solid"/>
            </v:shape>
            <v:shape style="position:absolute;left:8130;top:1110;width:9;height:9" coordorigin="8130,1110" coordsize="9,9" path="m8133,1110l8130,1114,8132,1119,8136,1118,8139,1117,8138,1114,8138,1111,8133,1110xe" filled="true" fillcolor="#b7705b" stroked="false">
              <v:path arrowok="t"/>
              <v:fill type="solid"/>
            </v:shape>
            <v:shape style="position:absolute;left:8288;top:1106;width:13;height:12" coordorigin="8289,1107" coordsize="13,12" path="m8299,1107l8296,1108,8289,1112,8292,1118,8297,1116,8301,1114,8299,1107xe" filled="true" fillcolor="#b7705b" stroked="false">
              <v:path arrowok="t"/>
              <v:fill type="solid"/>
            </v:shape>
            <v:shape style="position:absolute;left:9118;top:1121;width:12;height:9" coordorigin="9119,1121" coordsize="12,9" path="m9125,1121l9119,1127,9123,1130,9128,1130,9130,1128,9129,1125,9129,1123,9125,1121xe" filled="true" fillcolor="#b7705b" stroked="false">
              <v:path arrowok="t"/>
              <v:fill type="solid"/>
            </v:shape>
            <v:shape style="position:absolute;left:9091;top:1121;width:15;height:13" coordorigin="9091,1121" coordsize="15,13" path="m9102,1121l9093,1124,9091,1130,9097,1133,9104,1134,9106,1127,9102,1121xe" filled="true" fillcolor="#b7705b" stroked="false">
              <v:path arrowok="t"/>
              <v:fill type="solid"/>
            </v:shape>
            <v:shape style="position:absolute;left:9867;top:1157;width:10;height:11" coordorigin="9868,1158" coordsize="10,11" path="m9874,1158l9871,1159,9868,1159,9868,1163,9868,1168,9873,1166,9874,1165,9877,1163,9876,1161,9874,1158xe" filled="true" fillcolor="#b7705b" stroked="false">
              <v:path arrowok="t"/>
              <v:fill type="solid"/>
            </v:shape>
            <v:shape style="position:absolute;left:8302;top:1120;width:12;height:15" coordorigin="8302,1121" coordsize="12,15" path="m8312,1121l8302,1126,8305,1133,8308,1135,8314,1133,8313,1129,8312,1121xe" filled="true" fillcolor="#b7705b" stroked="false">
              <v:path arrowok="t"/>
              <v:fill type="solid"/>
            </v:shape>
            <v:shape style="position:absolute;left:8743;top:1105;width:7;height:12" coordorigin="8744,1106" coordsize="7,12" path="m8747,1106l8744,1113,8745,1117,8748,1112,8751,1112,8750,1110,8749,1107,8747,1106xm8751,1112l8748,1112,8751,1113,8751,1112xe" filled="true" fillcolor="#b7705b" stroked="false">
              <v:path arrowok="t"/>
              <v:fill type="solid"/>
            </v:shape>
            <v:shape style="position:absolute;left:9881;top:1160;width:9;height:6" coordorigin="9881,1160" coordsize="9,6" path="m9887,1160l9881,1162,9883,1166,9888,1166,9888,1165,9890,1164,9889,1162,9887,1160xe" filled="true" fillcolor="#b7705b" stroked="false">
              <v:path arrowok="t"/>
              <v:fill type="solid"/>
            </v:shape>
            <v:shape style="position:absolute;left:9903;top:1161;width:7;height:5" coordorigin="9903,1162" coordsize="7,5" path="m9910,1162l9903,1162,9903,1166,9908,1166,9910,1165,9910,1162xe" filled="true" fillcolor="#b7705b" stroked="false">
              <v:path arrowok="t"/>
              <v:fill type="solid"/>
            </v:shape>
            <v:shape style="position:absolute;left:9676;top:1210;width:10;height:10" coordorigin="9676,1211" coordsize="10,10" path="m9683,1211l9676,1211,9676,1215,9679,1216,9680,1220,9684,1218,9685,1218,9685,1215,9683,1211xe" filled="true" fillcolor="#b7705b" stroked="false">
              <v:path arrowok="t"/>
              <v:fill type="solid"/>
            </v:shape>
            <v:shape style="position:absolute;left:9667;top:1214;width:8;height:8" coordorigin="9667,1214" coordsize="8,8" path="m9671,1214l9667,1218,9669,1222,9673,1222,9675,1221,9675,1218,9671,1214xe" filled="true" fillcolor="#b7705b" stroked="false">
              <v:path arrowok="t"/>
              <v:fill type="solid"/>
            </v:shape>
            <v:shape style="position:absolute;left:10063;top:1101;width:6;height:5" coordorigin="10064,1102" coordsize="6,5" path="m10067,1102l10064,1106,10068,1106,10068,1104,10069,1102,10067,1102xe" filled="true" fillcolor="#b7705b" stroked="false">
              <v:path arrowok="t"/>
              <v:fill type="solid"/>
            </v:shape>
            <v:shape style="position:absolute;left:9836;top:1627;width:8;height:6" coordorigin="9836,1627" coordsize="8,6" path="m9839,1627l9838,1629,9836,1631,9837,1631,9838,1632,9840,1633,9844,1629,9841,1628,9839,1627xe" filled="true" fillcolor="#b7705b" stroked="false">
              <v:path arrowok="t"/>
              <v:fill type="solid"/>
            </v:shape>
            <v:shape style="position:absolute;left:7558;top:1255;width:13;height:12" coordorigin="7558,1256" coordsize="13,12" path="m7565,1256l7558,1261,7562,1263,7570,1267,7567,1257,7565,1256xm7567,1257l7567,1257,7568,1257,7567,1257xe" filled="true" fillcolor="#b7705b" stroked="false">
              <v:path arrowok="t"/>
              <v:fill type="solid"/>
            </v:shape>
            <v:shape style="position:absolute;left:9373;top:1310;width:13;height:11" coordorigin="9374,1311" coordsize="13,11" path="m9381,1311l9374,1315,9376,1320,9377,1322,9380,1322,9382,1319,9387,1318,9385,1315,9381,1311xe" filled="true" fillcolor="#b7705b" stroked="false">
              <v:path arrowok="t"/>
              <v:fill type="solid"/>
            </v:shape>
            <v:shape style="position:absolute;left:7707;top:1298;width:13;height:11" coordorigin="7707,1299" coordsize="13,11" path="m7717,1299l7707,1306,7712,1309,7715,1308,7720,1308,7719,1305,7717,1299xm7720,1308l7715,1308,7720,1309,7720,1308xe" filled="true" fillcolor="#b7705b" stroked="false">
              <v:path arrowok="t"/>
              <v:fill type="solid"/>
            </v:shape>
            <v:shape style="position:absolute;left:9823;top:1623;width:7;height:8" coordorigin="9824,1623" coordsize="7,8" path="m9829,1623l9826,1624,9824,1626,9824,1628,9828,1630,9830,1628,9830,1626,9829,1623xe" filled="true" fillcolor="#b7705b" stroked="false">
              <v:path arrowok="t"/>
              <v:fill type="solid"/>
            </v:shape>
            <v:shape style="position:absolute;left:9369;top:1330;width:12;height:8" coordorigin="9369,1330" coordsize="12,8" path="m9377,1330l9369,1332,9373,1337,9377,1338,9378,1336,9381,1335,9380,1333,9377,1330xe" filled="true" fillcolor="#b7705b" stroked="false">
              <v:path arrowok="t"/>
              <v:fill type="solid"/>
            </v:shape>
            <v:shape style="position:absolute;left:9525;top:1418;width:294;height:294" coordorigin="9526,1418" coordsize="294,294" path="m9541,1418l9546,1427,9554,1438,9561,1446,9539,1446,9526,1450,9575,1456,9617,1474,9651,1502,9676,1536,9696,1577,9709,1620,9715,1665,9712,1712,9719,1688,9723,1667,9728,1653,9738,1648,9750,1646,9761,1641,9765,1638,9727,1638,9720,1635,9719,1619,9719,1617,9714,1600,9701,1565,9685,1532,9663,1502,9633,1476,9614,1464,9598,1456,9583,1450,9568,1444,9560,1439,9552,1429,9541,1418xm9803,1567l9791,1590,9774,1615,9753,1633,9727,1638,9765,1638,9770,1634,9778,1625,9786,1619,9796,1617,9817,1617,9811,1613,9802,1611,9791,1611,9788,1607,9792,1597,9799,1583,9803,1567xm9817,1617l9808,1617,9819,1619,9817,1617xm9800,1610l9791,1611,9802,1611,9800,1610xe" filled="true" fillcolor="#b7705b" stroked="false">
              <v:path arrowok="t"/>
              <v:fill type="solid"/>
            </v:shape>
            <v:shape style="position:absolute;left:9804;top:1547;width:5;height:6" coordorigin="9805,1547" coordsize="5,6" path="m9805,1547l9805,1549,9805,1552,9808,1553,9809,1550,9809,1548,9807,1548,9805,1547xm9809,1548l9807,1548,9809,1548,9809,1548xe" filled="true" fillcolor="#b7705b" stroked="false">
              <v:path arrowok="t"/>
              <v:fill type="solid"/>
            </v:shape>
            <v:shape style="position:absolute;left:9799;top:1556;width:7;height:7" coordorigin="9799,1557" coordsize="7,7" path="m9806,1561l9801,1561,9802,1562,9806,1563,9806,1561xm9802,1557l9801,1558,9800,1560,9799,1561,9801,1561,9806,1561,9806,1559,9804,1557,9802,1557xe" filled="true" fillcolor="#b7705b" stroked="false">
              <v:path arrowok="t"/>
              <v:fill type="solid"/>
            </v:shape>
            <v:shape style="position:absolute;left:8229;top:1323;width:10;height:13" coordorigin="8230,1323" coordsize="10,13" path="m8237,1323l8230,1329,8231,1333,8232,1335,8234,1334,8235,1334,8237,1333,8239,1332,8238,1330,8237,1323xe" filled="true" fillcolor="#b7705b" stroked="false">
              <v:path arrowok="t"/>
              <v:fill type="solid"/>
            </v:shape>
            <v:shape style="position:absolute;left:10037;top:1336;width:6;height:7" coordorigin="10038,1337" coordsize="6,7" path="m10038,1337l10038,1344,10041,1344,10044,1343,10042,1340,10042,1338,10038,1337xe" filled="true" fillcolor="#b7705b" stroked="false">
              <v:path arrowok="t"/>
              <v:fill type="solid"/>
            </v:shape>
            <v:shape style="position:absolute;left:9853;top:1355;width:6;height:7" coordorigin="9853,1356" coordsize="6,7" path="m9853,1356l9853,1361,9858,1363,9857,1358,9859,1357,9853,1356xe" filled="true" fillcolor="#b7705b" stroked="false">
              <v:path arrowok="t"/>
              <v:fill type="solid"/>
            </v:shape>
            <v:shape style="position:absolute;left:8568;top:1332;width:12;height:12" coordorigin="8569,1332" coordsize="12,12" path="m8577,1332l8569,1334,8570,1339,8572,1341,8573,1343,8577,1343,8578,1341,8580,1340,8579,1337,8577,1332xe" filled="true" fillcolor="#b7705b" stroked="false">
              <v:path arrowok="t"/>
              <v:fill type="solid"/>
            </v:shape>
            <v:shape style="position:absolute;left:9864;top:1355;width:10;height:10" coordorigin="9865,1355" coordsize="10,10" path="m9873,1355l9868,1357,9865,1358,9865,1362,9868,1364,9871,1364,9872,1362,9874,1360,9873,1357,9873,1355xe" filled="true" fillcolor="#b7705b" stroked="false">
              <v:path arrowok="t"/>
              <v:fill type="solid"/>
            </v:shape>
            <v:shape style="position:absolute;left:8225;top:1342;width:7;height:9" coordorigin="8225,1342" coordsize="7,9" path="m8229,1350l8227,1350,8229,1350,8229,1350xm8225,1342l8225,1350,8227,1350,8229,1350,8230,1349,8231,1344,8228,1344,8225,1342xm8231,1343l8228,1344,8231,1344,8231,1343xe" filled="true" fillcolor="#b7705b" stroked="false">
              <v:path arrowok="t"/>
              <v:fill type="solid"/>
            </v:shape>
            <v:rect style="position:absolute;left:8558;top:1342;width:8;height:5" filled="true" fillcolor="#b7705b" stroked="false">
              <v:fill type="solid"/>
            </v:rect>
            <v:shape style="position:absolute;left:10277;top:1285;width:7;height:7" coordorigin="10277,1286" coordsize="7,7" path="m10283,1286l10279,1288,10277,1288,10282,1292,10284,1290,10284,1288,10283,1286xe" filled="true" fillcolor="#b7705b" stroked="false">
              <v:path arrowok="t"/>
              <v:fill type="solid"/>
            </v:shape>
            <v:shape style="position:absolute;left:10290;top:1285;width:14;height:13" coordorigin="10290,1286" coordsize="14,13" path="m10304,1292l10297,1292,10303,1298,10304,1292xm10301,1286l10290,1288,10294,1293,10297,1292,10304,1292,10304,1291,10301,1286xe" filled="true" fillcolor="#b7705b" stroked="false">
              <v:path arrowok="t"/>
              <v:fill type="solid"/>
            </v:shape>
            <v:shape style="position:absolute;left:8180;top:1452;width:8;height:7" coordorigin="8181,1452" coordsize="8,7" path="m8186,1452l8182,1453,8181,1453,8181,1459,8185,1459,8188,1458,8187,1457,8187,1455,8186,1452xe" filled="true" fillcolor="#b7705b" stroked="false">
              <v:path arrowok="t"/>
              <v:fill type="solid"/>
            </v:shape>
            <v:shape style="position:absolute;left:9708;top:1715;width:10;height:10" coordorigin="9709,1715" coordsize="10,10" path="m9718,1715l9711,1718,9709,1720,9712,1722,9713,1724,9717,1724,9718,1715xe" filled="true" fillcolor="#b7705b" stroked="false">
              <v:path arrowok="t"/>
              <v:fill type="solid"/>
            </v:shape>
            <v:shape style="position:absolute;left:9708;top:1731;width:5;height:7" coordorigin="9709,1731" coordsize="5,7" path="m9712,1731l9709,1731,9709,1734,9709,1736,9713,1737,9712,1734,9712,1731xe" filled="true" fillcolor="#b7705b" stroked="false">
              <v:path arrowok="t"/>
              <v:fill type="solid"/>
            </v:shape>
            <v:shape style="position:absolute;left:9705;top:1752;width:5;height:5" coordorigin="9706,1753" coordsize="5,5" path="m9708,1753l9708,1755,9706,1756,9706,1757,9711,1757,9710,1754,9708,1753xe" filled="true" fillcolor="#b7705b" stroked="false">
              <v:path arrowok="t"/>
              <v:fill type="solid"/>
            </v:shape>
            <v:shape style="position:absolute;left:7916;top:1502;width:7;height:7" coordorigin="7917,1502" coordsize="7,7" path="m7921,1502l7918,1503,7917,1503,7917,1509,7919,1509,7920,1507,7923,1506,7922,1505,7921,1502xe" filled="true" fillcolor="#b7705b" stroked="false">
              <v:path arrowok="t"/>
              <v:fill type="solid"/>
            </v:shape>
            <v:shape style="position:absolute;left:7405;top:1472;width:7;height:7" coordorigin="7406,1472" coordsize="7,7" path="m7412,1472l7406,1473,7406,1479,7410,1479,7413,1477,7412,1475,7412,1472xe" filled="true" fillcolor="#b7705b" stroked="false">
              <v:path arrowok="t"/>
              <v:fill type="solid"/>
            </v:shape>
            <v:shape style="position:absolute;left:10349;top:1520;width:11;height:8" coordorigin="10349,1520" coordsize="11,8" path="m10353,1521l10349,1525,10355,1528,10358,1527,10360,1526,10359,1524,10359,1523,10359,1522,10355,1522,10353,1521xm10358,1520l10355,1522,10359,1522,10358,1520xe" filled="true" fillcolor="#b7705b" stroked="false">
              <v:path arrowok="t"/>
              <v:fill type="solid"/>
            </v:shape>
            <v:shape style="position:absolute;left:10355;top:1573;width:8;height:8" coordorigin="10355,1573" coordsize="8,8" path="m10358,1573l10357,1575,10355,1581,10360,1580,10363,1577,10363,1576,10359,1576,10358,1573xm10363,1574l10359,1576,10363,1576,10363,1574xe" filled="true" fillcolor="#b7705b" stroked="false">
              <v:path arrowok="t"/>
              <v:fill type="solid"/>
            </v:shape>
            <v:shape style="position:absolute;left:10368;top:1581;width:7;height:6" coordorigin="10369,1582" coordsize="7,6" path="m10374,1582l10369,1582,10372,1587,10375,1584,10374,1584,10373,1583,10374,1582xe" filled="true" fillcolor="#b7705b" stroked="false">
              <v:path arrowok="t"/>
              <v:fill type="solid"/>
            </v:shape>
            <v:shape style="position:absolute;left:7351;top:1680;width:6;height:8" coordorigin="7352,1680" coordsize="6,8" path="m7353,1680l7352,1684,7352,1688,7358,1687,7358,1682,7353,1680xe" filled="true" fillcolor="#b7705b" stroked="false">
              <v:path arrowok="t"/>
              <v:fill type="solid"/>
            </v:shape>
            <v:shape style="position:absolute;left:9534;top:1409;width:8;height:5" coordorigin="9534,1410" coordsize="8,5" path="m9537,1410l9535,1412,9534,1413,9541,1414,9541,1412,9540,1411,9538,1410,9537,1410xe" filled="true" fillcolor="#b7705b" stroked="false">
              <v:path arrowok="t"/>
              <v:fill type="solid"/>
            </v:shape>
            <v:shape style="position:absolute;left:9529;top:1400;width:5;height:4" coordorigin="9530,1400" coordsize="5,4" path="m9534,1400l9531,1402,9530,1403,9534,1404,9533,1403,9534,1400xe" filled="true" fillcolor="#b7705b" stroked="false">
              <v:path arrowok="t"/>
              <v:fill type="solid"/>
            </v:shape>
            <v:shape style="position:absolute;left:9524;top:1388;width:5;height:5" coordorigin="9525,1388" coordsize="5,5" path="m9527,1388l9526,1388,9525,1389,9525,1389,9525,1392,9527,1393,9530,1389,9527,1388xe" filled="true" fillcolor="#b7705b" stroked="false">
              <v:path arrowok="t"/>
              <v:fill type="solid"/>
            </v:shape>
            <v:rect style="position:absolute;left:9516;top:1447;width:3;height:7" filled="true" fillcolor="#b7705b" stroked="false">
              <v:fill type="solid"/>
            </v:rect>
            <v:shape style="position:absolute;left:7534;top:1881;width:7;height:8" coordorigin="7534,1881" coordsize="7,8" path="m7538,1881l7534,1881,7538,1889,7540,1888,7538,1884,7539,1883,7538,1881xe" filled="true" fillcolor="#b7705b" stroked="false">
              <v:path arrowok="t"/>
              <v:fill type="solid"/>
            </v:shape>
            <v:rect style="position:absolute;left:9516;top:1827;width:11;height:12" filled="true" fillcolor="#b7705b" stroked="false">
              <v:fill type="solid"/>
            </v:rect>
            <v:shape style="position:absolute;left:7539;top:1893;width:11;height:11" coordorigin="7540,1893" coordsize="11,11" path="m7547,1893l7544,1895,7540,1895,7540,1899,7543,1903,7547,1902,7550,1901,7548,1898,7548,1896,7547,1893xe" filled="true" fillcolor="#b7705b" stroked="false">
              <v:path arrowok="t"/>
              <v:fill type="solid"/>
            </v:shape>
            <v:shape style="position:absolute;left:8321;top:1915;width:12;height:13" coordorigin="8322,1915" coordsize="12,13" path="m8329,1915l8325,1917,8322,1920,8322,1927,8326,1928,8328,1926,8333,1926,8331,1922,8329,1920,8329,1915xe" filled="true" fillcolor="#b7705b" stroked="false">
              <v:path arrowok="t"/>
              <v:fill type="solid"/>
            </v:shape>
            <v:shape style="position:absolute;left:9166;top:1927;width:12;height:10" coordorigin="9166,1928" coordsize="12,10" path="m9177,1933l9168,1933,9178,1937,9177,1933xm9171,1928l9169,1928,9166,1934,9168,1933,9177,1933,9176,1930,9172,1930,9171,1928xm9176,1929l9172,1930,9176,1930,9176,1929xe" filled="true" fillcolor="#b7705b" stroked="false">
              <v:path arrowok="t"/>
              <v:fill type="solid"/>
            </v:shape>
            <v:shape style="position:absolute;left:7362;top:1986;width:12;height:12" coordorigin="7362,1987" coordsize="12,12" path="m7362,1987l7365,1998,7369,1998,7369,1995,7374,1991,7369,1989,7362,1987xe" filled="true" fillcolor="#b7705b" stroked="false">
              <v:path arrowok="t"/>
              <v:fill type="solid"/>
            </v:shape>
            <v:shape style="position:absolute;left:8670;top:1949;width:10;height:9" coordorigin="8670,1950" coordsize="10,9" path="m8672,1950l8670,1955,8672,1957,8675,1958,8678,1956,8679,1952,8674,1952,8672,1950xm8680,1952l8674,1952,8679,1952,8680,1952xe" filled="true" fillcolor="#b7705b" stroked="false">
              <v:path arrowok="t"/>
              <v:fill type="solid"/>
            </v:shape>
            <v:shape style="position:absolute;left:9993;top:1930;width:10;height:14" coordorigin="9994,1931" coordsize="10,14" path="m9999,1931l9994,1932,9994,1936,9995,1940,9997,1944,10000,1938,10004,1938,10004,1937,10002,1937,9999,1931xm10003,1931l10002,1937,10004,1937,10003,1931xe" filled="true" fillcolor="#b7705b" stroked="false">
              <v:path arrowok="t"/>
              <v:fill type="solid"/>
            </v:shape>
            <v:shape style="position:absolute;left:9978;top:1932;width:9;height:8" coordorigin="9978,1932" coordsize="9,8" path="m9981,1932l9978,1935,9980,1939,9984,1939,9986,1937,9986,1935,9986,1933,9981,1932xe" filled="true" fillcolor="#b7705b" stroked="false">
              <v:path arrowok="t"/>
              <v:fill type="solid"/>
            </v:shape>
            <v:shape style="position:absolute;left:7513;top:1994;width:16;height:9" coordorigin="7514,1994" coordsize="16,9" path="m7529,1994l7515,2001,7516,2002,7519,2003,7521,2002,7529,1994xm7515,2000l7515,2001,7515,2001,7515,2000xm7515,1994l7514,1999,7515,2000,7515,1994xe" filled="true" fillcolor="#b7705b" stroked="false">
              <v:path arrowok="t"/>
              <v:fill type="solid"/>
            </v:shape>
            <v:shape style="position:absolute;left:9960;top:1936;width:4;height:6" coordorigin="9960,1937" coordsize="4,6" path="m9960,1937l9961,1942,9964,1942,9964,1938,9962,1938,9961,1937,9960,1937xm9964,1938l9962,1938,9964,1938,9964,1938xe" filled="true" fillcolor="#b7705b" stroked="false">
              <v:path arrowok="t"/>
              <v:fill type="solid"/>
            </v:shape>
            <v:shape style="position:absolute;left:7359;top:2002;width:8;height:8" coordorigin="7360,2003" coordsize="8,8" path="m7364,2003l7360,2003,7361,2009,7362,2010,7367,2006,7364,2003xe" filled="true" fillcolor="#b7705b" stroked="false">
              <v:path arrowok="t"/>
              <v:fill type="solid"/>
            </v:shape>
            <v:shape style="position:absolute;left:7502;top:2002;width:7;height:8" coordorigin="7502,2002" coordsize="7,8" path="m7508,2002l7504,2002,7502,2006,7505,2010,7508,2010,7508,2002xe" filled="true" fillcolor="#b7705b" stroked="false">
              <v:path arrowok="t"/>
              <v:fill type="solid"/>
            </v:shape>
            <v:shape style="position:absolute;left:7330;top:2017;width:75;height:177" coordorigin="7330,2018" coordsize="75,177" path="m7363,2018l7356,2041,7348,2061,7341,2079,7336,2099,7334,2123,7332,2171,7330,2194,7344,2150,7362,2122,7370,2114,7356,2114,7347,2112,7346,2096,7352,2071,7361,2043,7363,2018xm7404,2086l7384,2096,7368,2107,7356,2114,7370,2114,7383,2103,7404,2086xe" filled="true" fillcolor="#b7705b" stroked="false">
              <v:path arrowok="t"/>
              <v:fill type="solid"/>
            </v:shape>
            <v:shape style="position:absolute;left:10294;top:1950;width:8;height:8" coordorigin="10295,1950" coordsize="8,8" path="m10298,1950l10295,1956,10295,1957,10300,1957,10302,1955,10300,1953,10300,1952,10299,1952,10299,1951,10298,1950xm10300,1952l10299,1952,10300,1952,10300,1952xe" filled="true" fillcolor="#b7705b" stroked="false">
              <v:path arrowok="t"/>
              <v:fill type="solid"/>
            </v:shape>
            <v:shape style="position:absolute;left:10318;top:1951;width:5;height:5" coordorigin="10318,1952" coordsize="5,5" path="m10323,1956l10319,1957,10318,1952,10322,1952,10323,1956xe" filled="true" fillcolor="#b7705b" stroked="false">
              <v:path arrowok="t"/>
              <v:fill type="solid"/>
            </v:shape>
            <v:shape style="position:absolute;left:7439;top:2051;width:7;height:5" coordorigin="7440,2052" coordsize="7,5" path="m7446,2055l7442,2055,7445,2057,7446,2055xm7444,2052l7441,2053,7440,2056,7442,2055,7446,2055,7446,2054,7444,2052xe" filled="true" fillcolor="#b7705b" stroked="false">
              <v:path arrowok="t"/>
              <v:fill type="solid"/>
            </v:shape>
            <v:shape style="position:absolute;left:7426;top:2062;width:10;height:9" coordorigin="7427,2063" coordsize="10,9" path="m7433,2063l7428,2063,7427,2066,7432,2071,7433,2069,7436,2068,7436,2064,7433,2063xe" filled="true" fillcolor="#b7705b" stroked="false">
              <v:path arrowok="t"/>
              <v:fill type="solid"/>
            </v:shape>
            <v:shape style="position:absolute;left:7413;top:2067;width:11;height:16" coordorigin="7413,2067" coordsize="11,16" path="m7422,2067l7413,2074,7417,2079,7420,2082,7424,2077,7424,2074,7422,2067xe" filled="true" fillcolor="#b7705b" stroked="false">
              <v:path arrowok="t"/>
              <v:fill type="solid"/>
            </v:shape>
            <v:shape style="position:absolute;left:9738;top:1950;width:6;height:8" coordorigin="9739,1951" coordsize="6,8" path="m9743,1951l9741,1952,9739,1952,9740,1958,9743,1958,9745,1957,9744,1953,9743,1951xe" filled="true" fillcolor="#b7705b" stroked="false">
              <v:path arrowok="t"/>
              <v:fill type="solid"/>
            </v:shape>
            <v:shape style="position:absolute;left:9713;top:1962;width:15;height:17" coordorigin="9713,1963" coordsize="15,17" path="m9721,1963l9713,1973,9718,1979,9726,1978,9725,1968,9728,1964,9721,1963xe" filled="true" fillcolor="#b7705b" stroked="false">
              <v:path arrowok="t"/>
              <v:fill type="solid"/>
            </v:shape>
            <v:shape style="position:absolute;left:7501;top:2103;width:9;height:8" coordorigin="7501,2103" coordsize="9,8" path="m7505,2103l7501,2107,7502,2111,7507,2111,7510,2110,7508,2106,7509,2105,7505,2103xe" filled="true" fillcolor="#b7705b" stroked="false">
              <v:path arrowok="t"/>
              <v:fill type="solid"/>
            </v:shape>
            <v:shape style="position:absolute;left:8397;top:1978;width:1366;height:695" coordorigin="8397,1979" coordsize="1366,695" path="m8497,2469l8499,2471,8511,2482,8525,2495,8532,2505,8535,2519,8536,2534,8534,2548,8531,2561,8512,2599,8482,2635,8443,2662,8397,2670,8423,2673,8447,2667,8468,2656,8486,2643,8500,2630,8511,2617,8522,2607,8537,2600,8556,2600,8556,2599,8548,2577,8546,2560,8549,2543,8549,2524,8551,2510,8562,2503,8587,2502,8616,2499,8650,2494,8667,2490,8585,2490,8538,2487,8497,2469xm8558,2618l8557,2634,8549,2670,8559,2628,8558,2618xm8558,2614l8558,2618,8558,2615,8558,2614xm8556,2600l8537,2600,8552,2606,8558,2614,8556,2600xm8840,2335l8820,2377,8778,2419,8728,2453,8679,2472,8633,2483,8585,2490,8667,2490,8688,2485,8750,2460,8789,2437,8824,2418,8876,2404,8901,2397,8840,2397,8821,2393,8823,2389,8829,2377,8836,2359,8840,2335xm9708,1979l9675,1991,9646,2002,9620,2018,9596,2043,9566,2087,9531,2129,9492,2167,9450,2199,9389,2233,9322,2254,9179,2282,9112,2302,9062,2327,9009,2349,8954,2367,8900,2385,8879,2389,8859,2394,8840,2397,8901,2397,8940,2385,9003,2365,9064,2342,9123,2313,9199,2293,9277,2279,9354,2262,9426,2234,9447,2230,9499,2230,9497,2229,9480,2224,9466,2220,9454,2217,9454,2213,9466,2205,9495,2182,9525,2156,9553,2128,9577,2099,9608,2079,9622,2075,9593,2075,9593,2066,9611,2033,9629,2013,9658,1998,9708,1979xm9499,2230l9447,2230,9476,2233,9506,2240,9532,2248,9515,2237,9499,2230xm9763,2045l9722,2046,9683,2052,9646,2060,9613,2068,9601,2070,9593,2075,9622,2075,9660,2063,9717,2051,9763,2045xe" filled="true" fillcolor="#b7705b" stroked="false">
              <v:path arrowok="t"/>
              <v:fill type="solid"/>
            </v:shape>
            <v:shape style="position:absolute;left:7501;top:2119;width:12;height:13" coordorigin="7502,2120" coordsize="12,13" path="m7509,2120l7502,2126,7505,2130,7506,2132,7508,2131,7510,2131,7512,2130,7513,2127,7512,2124,7509,2120xe" filled="true" fillcolor="#b7705b" stroked="false">
              <v:path arrowok="t"/>
              <v:fill type="solid"/>
            </v:shape>
            <v:shape style="position:absolute;left:8312;top:2119;width:9;height:12" coordorigin="8313,2120" coordsize="9,12" path="m8317,2120l8315,2121,8313,2123,8313,2132,8319,2130,8322,2129,8321,2126,8321,2124,8319,2122,8317,2120xe" filled="true" fillcolor="#b7705b" stroked="false">
              <v:path arrowok="t"/>
              <v:fill type="solid"/>
            </v:shape>
            <v:shape style="position:absolute;left:10522;top:2055;width:4;height:10" coordorigin="10522,2055" coordsize="4,10" path="m10522,2055l10523,2065,10525,2063,10524,2060,10526,2056,10522,2055xe" filled="true" fillcolor="#b7705b" stroked="false">
              <v:path arrowok="t"/>
              <v:fill type="solid"/>
            </v:shape>
            <v:shape style="position:absolute;left:8313;top:2133;width:15;height:11" coordorigin="8313,2133" coordsize="15,11" path="m8321,2133l8313,2136,8323,2142,8325,2143,8327,2141,8321,2133xe" filled="true" fillcolor="#b7705b" stroked="false">
              <v:path arrowok="t"/>
              <v:fill type="solid"/>
            </v:shape>
            <v:shape style="position:absolute;left:9786;top:2043;width:10;height:7" coordorigin="9786,2043" coordsize="10,7" path="m9791,2043l9788,2045,9786,2050,9796,2049,9796,2047,9793,2046,9791,2043xe" filled="true" fillcolor="#b7705b" stroked="false">
              <v:path arrowok="t"/>
              <v:fill type="solid"/>
            </v:shape>
            <v:shape style="position:absolute;left:10507;top:2080;width:12;height:11" coordorigin="10508,2080" coordsize="12,11" path="m10520,2080l10517,2080,10514,2085,10508,2086,10513,2090,10515,2091,10517,2088,10519,2087,10519,2085,10520,2080xe" filled="true" fillcolor="#b7705b" stroked="false">
              <v:path arrowok="t"/>
              <v:fill type="solid"/>
            </v:shape>
            <v:shape style="position:absolute;left:7589;top:2180;width:11;height:11" coordorigin="7589,2180" coordsize="11,11" path="m7597,2180l7589,2182,7591,2187,7593,2188,7594,2191,7596,2190,7597,2189,7599,2188,7599,2185,7597,2180xe" filled="true" fillcolor="#b7705b" stroked="false">
              <v:path arrowok="t"/>
              <v:fill type="solid"/>
            </v:shape>
            <v:shape style="position:absolute;left:8329;top:2151;width:6;height:7" coordorigin="8329,2152" coordsize="6,7" path="m8332,2152l8329,2152,8330,2158,8333,2158,8335,2157,8334,2156,8333,2154,8332,2152xe" filled="true" fillcolor="#b7705b" stroked="false">
              <v:path arrowok="t"/>
              <v:fill type="solid"/>
            </v:shape>
            <v:shape style="position:absolute;left:7569;top:2183;width:10;height:11" coordorigin="7569,2184" coordsize="10,11" path="m7574,2184l7570,2187,7569,2191,7572,2192,7573,2195,7576,2194,7578,2192,7577,2190,7577,2187,7574,2184xe" filled="true" fillcolor="#b7705b" stroked="false">
              <v:path arrowok="t"/>
              <v:fill type="solid"/>
            </v:shape>
            <v:shape style="position:absolute;left:10307;top:2099;width:201;height:304" coordorigin="10307,2100" coordsize="201,304" path="m10369,2241l10386,2294,10362,2347,10327,2389,10307,2404,10339,2380,10369,2348,10391,2312,10403,2277,10424,2255,10395,2255,10384,2252,10369,2241xm10508,2100l10493,2145,10469,2187,10439,2225,10403,2253,10401,2254,10395,2255,10424,2255,10441,2237,10472,2195,10495,2150,10508,2100xe" filled="true" fillcolor="#b7705b" stroked="false">
              <v:path arrowok="t"/>
              <v:fill type="solid"/>
            </v:shape>
            <v:shape style="position:absolute;left:7327;top:2202;width:4;height:10" coordorigin="7327,2202" coordsize="4,10" path="m7331,2212l7327,2212,7327,2203,7330,2202,7331,2212xe" filled="true" fillcolor="#b7705b" stroked="false">
              <v:path arrowok="t"/>
              <v:fill type="solid"/>
            </v:shape>
            <v:shape style="position:absolute;left:7324;top:2217;width:10;height:10" coordorigin="7325,2217" coordsize="10,10" path="m7331,2217l7325,2225,7330,2227,7334,2227,7334,2222,7331,2217xe" filled="true" fillcolor="#b7705b" stroked="false">
              <v:path arrowok="t"/>
              <v:fill type="solid"/>
            </v:shape>
            <v:shape style="position:absolute;left:7742;top:2249;width:7;height:8" coordorigin="7742,2250" coordsize="7,8" path="m7748,2250l7742,2250,7743,2258,7744,2257,7748,2256,7749,2254,7748,2250xe" filled="true" fillcolor="#b7705b" stroked="false">
              <v:path arrowok="t"/>
              <v:fill type="solid"/>
            </v:shape>
            <v:shape style="position:absolute;left:10350;top:2179;width:6;height:6" coordorigin="10351,2179" coordsize="6,6" path="m10355,2179l10351,2179,10354,2184,10356,2183,10355,2181,10355,2179xe" filled="true" fillcolor="#b7705b" stroked="false">
              <v:path arrowok="t"/>
              <v:fill type="solid"/>
            </v:shape>
            <v:shape style="position:absolute;left:7727;top:2253;width:11;height:12" coordorigin="7728,2254" coordsize="11,12" path="m7732,2254l7728,2260,7728,2265,7729,2265,7730,2265,7734,2263,7738,2262,7736,2256,7732,2254xe" filled="true" fillcolor="#b7705b" stroked="false">
              <v:path arrowok="t"/>
              <v:fill type="solid"/>
            </v:shape>
            <v:shape style="position:absolute;left:7710;top:2261;width:8;height:8" coordorigin="7711,2262" coordsize="8,8" path="m7715,2262l7712,2264,7711,2266,7713,2268,7715,2269,7719,2268,7718,2262,7715,2262xe" filled="true" fillcolor="#b7705b" stroked="false">
              <v:path arrowok="t"/>
              <v:fill type="solid"/>
            </v:shape>
            <v:shape style="position:absolute;left:10355;top:2196;width:7;height:8" coordorigin="10356,2196" coordsize="7,8" path="m10358,2196l10356,2198,10360,2204,10362,2201,10360,2200,10358,2196xe" filled="true" fillcolor="#b7705b" stroked="false">
              <v:path arrowok="t"/>
              <v:fill type="solid"/>
            </v:shape>
            <v:shape style="position:absolute;left:7831;top:2269;width:8;height:11" coordorigin="7831,2270" coordsize="8,11" path="m7839,2270l7834,2272,7831,2274,7835,2281,7839,2279,7839,2277,7837,2274,7839,2270xe" filled="true" fillcolor="#b7705b" stroked="false">
              <v:path arrowok="t"/>
              <v:fill type="solid"/>
            </v:shape>
            <v:shape style="position:absolute;left:7989;top:2271;width:15;height:11" coordorigin="7990,2272" coordsize="15,11" path="m7990,2272l7992,2279,7993,2282,7998,2281,8001,2281,8002,2280,8004,2280,8004,2277,8002,2273,7990,2272xe" filled="true" fillcolor="#b7705b" stroked="false">
              <v:path arrowok="t"/>
              <v:fill type="solid"/>
            </v:shape>
            <v:shape style="position:absolute;left:7978;top:2276;width:10;height:11" coordorigin="7978,2277" coordsize="10,11" path="m7985,2277l7982,2278,7980,2279,7978,2284,7982,2285,7986,2287,7986,2282,7987,2281,7986,2279,7985,2277xe" filled="true" fillcolor="#b7705b" stroked="false">
              <v:path arrowok="t"/>
              <v:fill type="solid"/>
            </v:shape>
            <v:shape style="position:absolute;left:10355;top:2211;width:10;height:11" coordorigin="10355,2211" coordsize="10,11" path="m10365,2211l10355,2213,10358,2218,10365,2221,10365,2216,10365,2211xe" filled="true" fillcolor="#b7705b" stroked="false">
              <v:path arrowok="t"/>
              <v:fill type="solid"/>
            </v:shape>
            <v:shape style="position:absolute;left:7394;top:2298;width:5;height:7" coordorigin="7394,2298" coordsize="5,7" path="m7395,2298l7394,2305,7398,2305,7399,2303,7399,2300,7397,2300,7395,2298xe" filled="true" fillcolor="#b7705b" stroked="false">
              <v:path arrowok="t"/>
              <v:fill type="solid"/>
            </v:shape>
            <v:shape style="position:absolute;left:7833;top:2286;width:7;height:10" coordorigin="7833,2287" coordsize="7,10" path="m7836,2287l7833,2290,7839,2296,7839,2292,7840,2288,7836,2287xe" filled="true" fillcolor="#b7705b" stroked="false">
              <v:path arrowok="t"/>
              <v:fill type="solid"/>
            </v:shape>
            <v:shape style="position:absolute;left:7404;top:2301;width:10;height:6" coordorigin="7405,2301" coordsize="10,6" path="m7406,2301l7405,2307,7412,2307,7413,2304,7408,2304,7406,2301xm7414,2302l7408,2304,7413,2304,7414,2302xe" filled="true" fillcolor="#b7705b" stroked="false">
              <v:path arrowok="t"/>
              <v:fill type="solid"/>
            </v:shape>
            <v:shape style="position:absolute;left:7964;top:2285;width:7;height:6" coordorigin="7964,2286" coordsize="7,6" path="m7968,2286l7964,2286,7965,2292,7966,2290,7970,2290,7969,2287,7968,2286xm7970,2290l7966,2290,7971,2291,7970,2290xe" filled="true" fillcolor="#b7705b" stroked="false">
              <v:path arrowok="t"/>
              <v:fill type="solid"/>
            </v:shape>
            <v:shape style="position:absolute;left:10588;top:2221;width:7;height:7" coordorigin="10588,2221" coordsize="7,7" path="m10591,2221l10588,2223,10589,2227,10595,2227,10595,2226,10593,2225,10591,2221xe" filled="true" fillcolor="#b7705b" stroked="false">
              <v:path arrowok="t"/>
              <v:fill type="solid"/>
            </v:shape>
            <v:shape style="position:absolute;left:10606;top:2223;width:14;height:11" coordorigin="10606,2223" coordsize="14,11" path="m10616,2223l10612,2224,10609,2224,10606,2229,10612,2234,10617,2232,10619,2231,10619,2227,10616,2223xe" filled="true" fillcolor="#b7705b" stroked="false">
              <v:path arrowok="t"/>
              <v:fill type="solid"/>
            </v:shape>
            <v:shape style="position:absolute;left:9882;top:2239;width:8;height:8" coordorigin="9882,2239" coordsize="8,8" path="m9888,2239l9884,2240,9882,2241,9883,2247,9888,2246,9890,2245,9889,2244,9889,2242,9888,2239xe" filled="true" fillcolor="#b7705b" stroked="false">
              <v:path arrowok="t"/>
              <v:fill type="solid"/>
            </v:shape>
            <v:shape style="position:absolute;left:8853;top:2302;width:7;height:8" coordorigin="8853,2303" coordsize="7,8" path="m8859,2309l8855,2309,8858,2310,8859,2309xm8855,2303l8853,2309,8855,2309,8859,2309,8860,2305,8857,2304,8855,2303xe" filled="true" fillcolor="#b7705b" stroked="false">
              <v:path arrowok="t"/>
              <v:fill type="solid"/>
            </v:shape>
            <v:shape style="position:absolute;left:9870;top:2262;width:11;height:10" coordorigin="9870,2263" coordsize="11,10" path="m9880,2270l9876,2270,9879,2272,9880,2270xm9874,2263l9872,2265,9870,2269,9874,2271,9876,2270,9880,2270,9880,2269,9881,2264,9878,2264,9874,2263xm9881,2264l9878,2264,9881,2264,9881,2264xe" filled="true" fillcolor="#b7705b" stroked="false">
              <v:path arrowok="t"/>
              <v:fill type="solid"/>
            </v:shape>
            <v:shape style="position:absolute;left:7421;top:2350;width:212;height:115" type="#_x0000_t75" stroked="false">
              <v:imagedata r:id="rId59" o:title=""/>
            </v:shape>
            <v:shape style="position:absolute;left:9534;top:2246;width:11;height:15" coordorigin="9535,2247" coordsize="11,15" path="m9543,2247l9540,2247,9535,2248,9538,2255,9540,2257,9545,2261,9545,2253,9545,2250,9544,2249,9543,2247xe" filled="true" fillcolor="#b7705b" stroked="false">
              <v:path arrowok="t"/>
              <v:fill type="solid"/>
            </v:shape>
            <v:shape style="position:absolute;left:8752;top:2282;width:1183;height:502" coordorigin="8752,2282" coordsize="1183,502" path="m8752,2698l8754,2700,8766,2707,8782,2716,8797,2722,8805,2728,8795,2741,8779,2759,8767,2784,8775,2775,8795,2754,8821,2733,8846,2722,8895,2713,8805,2713,8752,2698xm9164,2516l9125,2568,9079,2614,9027,2652,8969,2679,8916,2695,8861,2709,8805,2713,8895,2713,8897,2713,8947,2700,8995,2684,9041,2663,9067,2657,9096,2653,9126,2651,9155,2649,9086,2645,9080,2645,9070,2643,9072,2636,9107,2605,9162,2585,9213,2573,9148,2573,9148,2559,9157,2537,9164,2516xm9083,2645l9080,2645,9086,2645,9083,2645xm9549,2409l9479,2454,9406,2493,9330,2525,9250,2551,9168,2571,9148,2573,9213,2573,9278,2556,9334,2536,9412,2503,9491,2472,9572,2444,9575,2443,9525,2443,9524,2438,9532,2426,9549,2409xm9867,2282l9814,2336,9750,2373,9681,2399,9536,2441,9525,2443,9575,2443,9654,2418,9736,2394,9756,2386,9792,2366,9812,2358,9841,2348,9873,2344,9917,2344,9901,2338,9888,2335,9855,2335,9844,2333,9842,2326,9847,2319,9857,2305,9866,2290,9867,2282xm9917,2344l9873,2344,9904,2346,9935,2352,9930,2349,9917,2344xm9870,2334l9855,2335,9888,2335,9886,2334,9870,2334xe" filled="true" fillcolor="#b7705b" stroked="false">
              <v:path arrowok="t"/>
              <v:fill type="solid"/>
            </v:shape>
            <v:shape style="position:absolute;left:8845;top:2321;width:7;height:9" coordorigin="8845,2322" coordsize="7,9" path="m8845,2323l8846,2330,8850,2330,8852,2328,8852,2326,8852,2324,8851,2324,8847,2324,8845,2323xm8851,2322l8847,2324,8851,2324,8851,2322xe" filled="true" fillcolor="#b7705b" stroked="false">
              <v:path arrowok="t"/>
              <v:fill type="solid"/>
            </v:shape>
            <v:shape style="position:absolute;left:9554;top:2253;width:14;height:11" coordorigin="9554,2254" coordsize="14,11" path="m9560,2254l9556,2255,9554,2260,9562,2264,9568,2262,9568,2257,9564,2256,9560,2254xe" filled="true" fillcolor="#b7705b" stroked="false">
              <v:path arrowok="t"/>
              <v:fill type="solid"/>
            </v:shape>
            <v:shape style="position:absolute;left:10202;top:2305;width:4;height:4" coordorigin="10203,2305" coordsize="4,4" path="m10206,2305l10203,2305,10206,2309,10206,2305xe" filled="true" fillcolor="#b7705b" stroked="false">
              <v:path arrowok="t"/>
              <v:fill type="solid"/>
            </v:shape>
            <v:shape style="position:absolute;left:10196;top:2319;width:9;height:15" coordorigin="10196,2319" coordsize="9,15" path="m10201,2319l10200,2325,10197,2326,10196,2331,10198,2332,10203,2334,10205,2321,10201,2319xe" filled="true" fillcolor="#b7705b" stroked="false">
              <v:path arrowok="t"/>
              <v:fill type="solid"/>
            </v:shape>
            <v:shape style="position:absolute;left:10197;top:2340;width:7;height:8" coordorigin="10197,2340" coordsize="7,8" path="m10203,2340l10197,2340,10198,2348,10201,2348,10204,2346,10202,2343,10203,2340xe" filled="true" fillcolor="#b7705b" stroked="false">
              <v:path arrowok="t"/>
              <v:fill type="solid"/>
            </v:shape>
            <v:shape style="position:absolute;left:9941;top:2347;width:12;height:14" coordorigin="9942,2348" coordsize="12,14" path="m9949,2348l9942,2352,9943,2357,9946,2358,9947,2361,9951,2359,9953,2357,9954,2354,9953,2351,9949,2348xe" filled="true" fillcolor="#b7705b" stroked="false">
              <v:path arrowok="t"/>
              <v:fill type="solid"/>
            </v:shape>
            <v:shape style="position:absolute;left:8472;top:2430;width:5;height:7" coordorigin="8472,2430" coordsize="5,7" path="m8476,2430l8472,2430,8473,2436,8477,2436,8477,2432,8476,2430xe" filled="true" fillcolor="#b7705b" stroked="false">
              <v:path arrowok="t"/>
              <v:fill type="solid"/>
            </v:shape>
            <v:shape style="position:absolute;left:9979;top:2358;width:8;height:10" coordorigin="9980,2359" coordsize="8,10" path="m9982,2359l9980,2361,9980,2368,9984,2368,9985,2366,9987,2365,9986,2363,9984,2362,9982,2359xe" filled="true" fillcolor="#b7705b" stroked="false">
              <v:path arrowok="t"/>
              <v:fill type="solid"/>
            </v:shape>
            <v:shape style="position:absolute;left:8476;top:2442;width:9;height:9" coordorigin="8476,2442" coordsize="9,9" path="m8476,2444l8476,2447,8479,2451,8483,2451,8485,2450,8483,2446,8483,2445,8483,2444,8478,2444,8476,2444xm8482,2442l8478,2444,8483,2444,8482,2442xe" filled="true" fillcolor="#b7705b" stroked="false">
              <v:path arrowok="t"/>
              <v:fill type="solid"/>
            </v:shape>
            <v:shape style="position:absolute;left:9560;top:2393;width:7;height:9" coordorigin="9560,2393" coordsize="7,9" path="m9563,2393l9560,2395,9561,2401,9563,2402,9565,2399,9567,2398,9565,2396,9563,2393xe" filled="true" fillcolor="#b7705b" stroked="false">
              <v:path arrowok="t"/>
              <v:fill type="solid"/>
            </v:shape>
            <v:shape style="position:absolute;left:8481;top:2449;width:17;height:15" coordorigin="8482,2449" coordsize="17,15" path="m8495,2462l8488,2462,8494,2463,8495,2462xm8482,2449l8482,2460,8485,2463,8488,2462,8495,2462,8496,2460,8499,2454,8482,2449xe" filled="true" fillcolor="#b7705b" stroked="false">
              <v:path arrowok="t"/>
              <v:fill type="solid"/>
            </v:shape>
            <v:shape style="position:absolute;left:7659;top:2448;width:445;height:131" coordorigin="7659,2449" coordsize="445,131" path="m7803,2449l7735,2451,7664,2455,7660,2459,7659,2471,7664,2481,7674,2489,7685,2494,7728,2501,7827,2507,7874,2513,7924,2531,7972,2553,8022,2572,8075,2580,8092,2574,8100,2559,8103,2537,8104,2516,8100,2508,8088,2506,8067,2505,8039,2497,7937,2464,7870,2451,7803,2449xe" filled="true" fillcolor="#e2a48e" stroked="false">
              <v:path arrowok="t"/>
              <v:fill type="solid"/>
            </v:shape>
            <v:shape style="position:absolute;left:10294;top:2407;width:7;height:8" coordorigin="10295,2407" coordsize="7,8" path="m10297,2407l10295,2407,10295,2415,10296,2415,10298,2413,10301,2411,10297,2407xe" filled="true" fillcolor="#b7705b" stroked="false">
              <v:path arrowok="t"/>
              <v:fill type="solid"/>
            </v:shape>
            <v:shape style="position:absolute;left:9182;top:2478;width:12;height:9" coordorigin="9183,2479" coordsize="12,9" path="m9194,2486l9191,2486,9194,2487,9194,2486xm9191,2479l9183,2481,9186,2487,9191,2486,9194,2486,9195,2484,9194,2482,9191,2479xe" filled="true" fillcolor="#b7705b" stroked="false">
              <v:path arrowok="t"/>
              <v:fill type="solid"/>
            </v:shape>
            <v:shape style="position:absolute;left:9174;top:2487;width:12;height:10" coordorigin="9175,2488" coordsize="12,10" path="m9182,2488l9175,2488,9176,2493,9178,2495,9180,2497,9182,2496,9184,2495,9187,2493,9185,2490,9182,2488xe" filled="true" fillcolor="#b7705b" stroked="false">
              <v:path arrowok="t"/>
              <v:fill type="solid"/>
            </v:shape>
            <v:shape style="position:absolute;left:9167;top:2495;width:15;height:17" coordorigin="9167,2495" coordsize="15,17" path="m9180,2505l9171,2505,9182,2512,9180,2505xm9174,2495l9167,2505,9167,2509,9171,2505,9180,2505,9179,2503,9174,2495xe" filled="true" fillcolor="#b7705b" stroked="false">
              <v:path arrowok="t"/>
              <v:fill type="solid"/>
            </v:shape>
            <v:shape style="position:absolute;left:8328;top:2661;width:7;height:8" coordorigin="8329,2661" coordsize="7,8" path="m8334,2661l8329,2663,8331,2669,8334,2669,8335,2667,8334,2664,8334,2661xe" filled="true" fillcolor="#b7705b" stroked="false">
              <v:path arrowok="t"/>
              <v:fill type="solid"/>
            </v:shape>
            <v:shape style="position:absolute;left:8381;top:2662;width:9;height:9" coordorigin="8382,2662" coordsize="9,9" path="m8388,2662l8382,2663,8382,2670,8390,2669,8390,2665,8388,2662xe" filled="true" fillcolor="#b7705b" stroked="false">
              <v:path arrowok="t"/>
              <v:fill type="solid"/>
            </v:shape>
            <v:shape style="position:absolute;left:8361;top:2664;width:7;height:8" coordorigin="8362,2664" coordsize="7,8" path="m8364,2664l8362,2666,8363,2672,8367,2672,8367,2670,8367,2669,8368,2668,8366,2667,8364,2664xe" filled="true" fillcolor="#b7705b" stroked="false">
              <v:path arrowok="t"/>
              <v:fill type="solid"/>
            </v:shape>
            <v:shape style="position:absolute;left:8693;top:2675;width:8;height:7" coordorigin="8694,2675" coordsize="8,7" path="m8695,2675l8694,2681,8702,2681,8700,2677,8700,2677,8695,2675xe" filled="true" fillcolor="#b7705b" stroked="false">
              <v:path arrowok="t"/>
              <v:fill type="solid"/>
            </v:shape>
            <v:shape style="position:absolute;left:9156;top:2647;width:13;height:9" coordorigin="9157,2647" coordsize="13,9" path="m9165,2647l9162,2648,9159,2649,9157,2651,9159,2655,9169,2655,9169,2651,9167,2650,9165,2647xe" filled="true" fillcolor="#b7705b" stroked="false">
              <v:path arrowok="t"/>
              <v:fill type="solid"/>
            </v:shape>
            <v:shape style="position:absolute;left:9176;top:2646;width:9;height:8" coordorigin="9177,2646" coordsize="9,8" path="m9181,2646l9177,2647,9177,2654,9185,2654,9185,2652,9184,2649,9181,2646xe" filled="true" fillcolor="#b7705b" stroked="false">
              <v:path arrowok="t"/>
              <v:fill type="solid"/>
            </v:shape>
            <v:shape style="position:absolute;left:8715;top:2679;width:11;height:9" coordorigin="8715,2680" coordsize="11,9" path="m8724,2687l8721,2687,8723,2688,8724,2687xm8719,2680l8717,2682,8715,2686,8718,2687,8721,2687,8724,2687,8725,2685,8726,2681,8721,2681,8719,2680xm8726,2681l8721,2681,8726,2681,8726,2681xe" filled="true" fillcolor="#b7705b" stroked="false">
              <v:path arrowok="t"/>
              <v:fill type="solid"/>
            </v:shape>
            <v:shape style="position:absolute;left:8537;top:2671;width:10;height:12" coordorigin="8538,2671" coordsize="10,12" path="m8545,2671l8541,2674,8538,2675,8539,2681,8541,2683,8547,2682,8548,2678,8546,2676,8545,2671xe" filled="true" fillcolor="#b7705b" stroked="false">
              <v:path arrowok="t"/>
              <v:fill type="solid"/>
            </v:shape>
            <v:shape style="position:absolute;left:8728;top:2685;width:16;height:12" coordorigin="8728,2686" coordsize="16,12" path="m8743,2686l8738,2686,8734,2686,8734,2690,8728,2694,8734,2696,8739,2697,8741,2693,8744,2690,8743,2686xe" filled="true" fillcolor="#b7705b" stroked="false">
              <v:path arrowok="t"/>
              <v:fill type="solid"/>
            </v:shape>
            <v:shape style="position:absolute;left:8531;top:2692;width:9;height:8" coordorigin="8532,2693" coordsize="9,8" path="m8535,2693l8532,2696,8534,2700,8540,2700,8539,2694,8535,2693xe" filled="true" fillcolor="#b7705b" stroked="false">
              <v:path arrowok="t"/>
              <v:fill type="solid"/>
            </v:shape>
            <v:shape style="position:absolute;left:8525;top:2722;width:4;height:7" coordorigin="8526,2722" coordsize="4,7" path="m8527,2722l8526,2729,8529,2725,8529,2724,8528,2723,8527,2722xe" filled="true" fillcolor="#b7705b" stroked="false">
              <v:path arrowok="t"/>
              <v:fill type="solid"/>
            </v:shape>
            <v:shape style="position:absolute;left:8756;top:2790;width:8;height:4" coordorigin="8757,2790" coordsize="8,4" path="m8759,2790l8757,2794,8765,2793,8759,2790xe" filled="true" fillcolor="#b7705b" stroked="false">
              <v:path arrowok="t"/>
              <v:fill type="solid"/>
            </v:shape>
            <v:shape style="position:absolute;left:8620;top:2870;width:6;height:7" coordorigin="8620,2870" coordsize="6,7" path="m8626,2870l8620,2870,8621,2877,8626,2870xe" filled="true" fillcolor="#b7705b" stroked="false">
              <v:path arrowok="t"/>
              <v:fill type="solid"/>
            </v:shape>
            <v:shape style="position:absolute;left:8610;top:2874;width:9;height:10" coordorigin="8610,2875" coordsize="9,10" path="m8616,2875l8614,2875,8610,2877,8610,2883,8613,2884,8619,2878,8617,2877,8616,2875xe" filled="true" fillcolor="#b7705b" stroked="false">
              <v:path arrowok="t"/>
              <v:fill type="solid"/>
            </v:shape>
            <v:shape style="position:absolute;left:7465;top:831;width:1353;height:1422" coordorigin="7465,832" coordsize="1353,1422" path="m7831,2216l7817,2216,7823,2222,7826,2226,7829,2250,7831,2254,7831,2252,7830,2230,7829,2222,7831,2216xm7557,1918l7561,1928,7565,1938,7567,1950,7569,1960,7569,1964,7568,1968,7564,1976,7560,1980,7553,1984,7605,1984,7670,1986,7731,2002,7787,2028,7837,2068,7837,2068,7854,2082,7874,2100,7884,2112,7884,2124,7876,2134,7858,2154,7827,2196,7814,2210,7803,2218,7783,2238,7772,2248,7787,2242,7796,2234,7817,2216,7831,2216,7837,2196,7863,2162,7896,2130,7927,2106,7939,2100,7900,2100,7885,2094,7869,2080,7853,2066,7841,2054,7783,2012,7720,1986,7659,1972,7603,1970,7592,1968,7585,1962,7579,1954,7574,1944,7569,1936,7564,1928,7557,1918xm8062,1692l8004,1692,8084,1714,8153,1756,8209,1804,8213,1808,8216,1812,8217,1816,8216,1824,8210,1834,8202,1844,8191,1856,8183,1866,8176,1878,8168,1890,8160,1902,8149,1922,8141,1940,8136,1956,8133,1972,8128,1992,8120,2008,8105,2022,8081,2030,8039,2042,7997,2058,7956,2076,7915,2098,7900,2100,7939,2100,7990,2074,8058,2048,8130,2032,8218,2032,8193,2024,8169,2020,8140,2018,8140,1998,8145,1958,8160,1920,8183,1884,8213,1846,8241,1820,8269,1802,8234,1802,8223,1798,8212,1788,8163,1746,8113,1714,8062,1692xm8218,2032l8130,2032,8207,2036,8222,2038,8237,2044,8252,2052,8265,2060,8242,2044,8218,2032xm7605,1984l7554,1984,7536,1992,7534,1994,7545,1992,7564,1990,7586,1986,7605,1984xm8632,1762l8603,1762,8607,1764,8606,1772,8597,1788,8591,1796,8585,1808,8579,1820,8574,1834,8586,1814,8602,1794,8620,1774,8632,1762xm7569,1670l7538,1670,7555,1672,7562,1678,7566,1686,7603,1730,7647,1764,7697,1790,7752,1814,7761,1818,7773,1824,7782,1830,7772,1818,7760,1812,7751,1808,7737,1800,7732,1794,7732,1790,7734,1786,7741,1782,7711,1782,7684,1776,7657,1764,7630,1744,7598,1716,7573,1684,7569,1670xm8324,1446l8291,1446,8320,1456,8358,1482,8369,1492,8381,1502,8393,1512,8406,1522,8436,1540,8447,1550,8456,1566,8461,1588,8460,1622,8451,1656,8435,1690,8411,1722,8390,1738,8367,1752,8343,1762,8318,1770,8275,1788,8261,1794,8245,1802,8269,1802,8272,1800,8340,1772,8356,1768,8372,1762,8388,1754,8403,1748,8429,1744,8504,1744,8457,1732,8445,1730,8435,1728,8431,1722,8433,1712,8443,1696,8448,1686,8453,1678,8458,1668,8462,1654,8466,1638,8469,1624,8470,1610,8471,1596,8470,1584,8469,1574,8467,1562,8464,1552,8463,1550,8462,1548,8462,1542,8463,1538,8466,1534,8474,1526,8480,1522,8436,1522,8416,1516,8395,1502,8360,1470,8331,1450,8324,1446xm7753,1770l7711,1782,7741,1782,7751,1778,7763,1776,7776,1776,7768,1772,7753,1770xm8504,1744l8453,1744,8500,1752,8522,1758,8544,1762,8568,1764,8594,1762,8632,1762,8640,1754,8553,1754,8520,1748,8504,1744xm8676,1322l8621,1322,8650,1326,8675,1334,8694,1344,8732,1400,8747,1468,8744,1540,8727,1608,8704,1658,8678,1698,8650,1728,8619,1746,8586,1754,8640,1754,8663,1732,8704,1676,8733,1616,8750,1552,8756,1486,8755,1468,8753,1450,8751,1430,8747,1412,8745,1398,8733,1362,8729,1348,8713,1348,8705,1338,8699,1334,8689,1328,8676,1322xm7572,1496l7542,1496,7558,1498,7572,1500,7585,1504,7598,1510,7607,1518,7610,1526,7606,1536,7584,1572,7571,1590,7560,1608,7552,1628,7548,1648,7549,1654,7522,1662,7504,1670,7485,1684,7465,1708,7487,1688,7506,1676,7524,1670,7569,1670,7562,1646,7575,1606,7603,1566,7646,1508,7610,1508,7598,1504,7586,1498,7572,1496xm7899,1528l7889,1540,7880,1552,7873,1564,7867,1578,7863,1586,7860,1596,7858,1610,7857,1624,7858,1636,7860,1648,7864,1660,7870,1672,7877,1680,7882,1684,7893,1690,7896,1692,7897,1694,7897,1696,7897,1696,7896,1702,7888,1706,7880,1708,7893,1708,7905,1706,7915,1702,8004,1692,8062,1692,8011,1682,7923,1682,7901,1680,7882,1670,7867,1648,7865,1638,7863,1630,7863,1622,7867,1594,7876,1568,7887,1546,7899,1528xm7994,1680l7963,1680,7949,1682,8011,1682,7994,1680xm8519,1510l8496,1510,8484,1512,8455,1520,8436,1522,8480,1522,8486,1518,8501,1514,8519,1510xm7732,1316l7738,1326,7741,1334,7742,1342,7744,1354,7741,1366,7738,1372,7707,1408,7645,1482,7629,1502,7621,1508,7646,1508,7698,1440,7749,1382,7784,1348,7757,1348,7754,1346,7750,1346,7744,1330,7741,1322,7732,1316xm7557,1494l7540,1494,7524,1498,7542,1496,7572,1496,7557,1494xm8225,1382l8224,1382,8229,1394,8237,1406,8246,1418,8256,1428,8261,1430,8262,1434,8262,1438,8262,1438,8255,1446,8240,1452,8221,1458,8203,1462,8229,1462,8246,1454,8267,1448,8291,1446,8324,1446,8309,1438,8290,1432,8276,1426,8261,1420,8246,1408,8229,1388,8226,1384,8225,1382xm8085,1014l8088,1020,8092,1022,8097,1026,8120,1034,8113,1052,8109,1060,8103,1070,8095,1082,8093,1086,8086,1092,8075,1102,8059,1114,8007,1130,7958,1156,7917,1190,7885,1232,7878,1246,7871,1256,7862,1266,7842,1282,7812,1306,7766,1344,7761,1346,7757,1348,7784,1348,7804,1328,7866,1280,7886,1276,7905,1272,7923,1270,7941,1270,7960,1268,7984,1266,8011,1262,7892,1262,7888,1256,7902,1230,7906,1222,7912,1208,7953,1170,8004,1140,8060,1122,8111,1116,8097,1112,8093,1108,8097,1100,8104,1092,8131,1048,8156,1026,8109,1026,8096,1022,8085,1014xm8756,1120l8758,1132,8759,1158,8752,1172,8735,1212,8724,1256,8718,1294,8716,1318,8716,1332,8721,1346,8717,1348,8729,1348,8727,1334,8727,1316,8733,1260,8750,1204,8778,1150,8786,1140,8768,1140,8762,1134,8758,1124,8756,1120xm8484,1188l8386,1188,8454,1192,8501,1204,8542,1230,8575,1266,8599,1304,8605,1312,8596,1322,8591,1326,8621,1322,8676,1322,8672,1320,8652,1314,8632,1310,8621,1308,8613,1304,8603,1288,8571,1244,8536,1210,8494,1190,8484,1188xm8043,1258l7932,1258,7921,1260,7892,1262,8011,1262,8043,1258xm8318,1154l8321,1168,8321,1178,8317,1184,8309,1192,8307,1192,8300,1196,8282,1204,8247,1220,8193,1238,8127,1246,8058,1250,7992,1256,7944,1258,8099,1258,8151,1254,8198,1248,8235,1236,8283,1212,8332,1196,8386,1188,8484,1188,8454,1182,8339,1182,8331,1176,8330,1176,8320,1158,8318,1154xm8392,1178l8358,1180,8339,1182,8454,1182,8444,1180,8392,1178xm8818,1098l8809,1104,8796,1116,8783,1128,8774,1138,8768,1140,8786,1140,8818,1098xm8677,848l8603,848,8530,856,8462,878,8399,918,8388,930,8377,934,8366,936,8352,938,8338,938,8320,940,8299,944,8274,952,8232,970,8186,992,8149,1012,8134,1020,8122,1026,8156,1026,8163,1020,8199,998,8276,964,8300,956,8326,950,8395,950,8398,944,8405,932,8417,918,8477,884,8549,864,8623,858,8717,858,8710,856,8705,856,8697,850,8690,850,8677,848xm8395,950l8350,950,8369,952,8379,956,8384,964,8386,974,8385,988,8388,980,8390,972,8391,966,8394,954,8395,950xm8717,858l8623,858,8692,864,8748,880,8770,890,8784,906,8788,924,8782,946,8792,916,8779,888,8749,868,8717,858xm8710,832l8697,840,8690,850,8697,850,8710,832xe" filled="true" fillcolor="#b7705b" stroked="false">
              <v:path arrowok="t"/>
              <v:fill type="solid"/>
            </v:shape>
            <v:rect style="position:absolute;left:8356;top:1347;width:1160;height:754" filled="true" fillcolor="#fbc8b4" stroked="false">
              <v:fill type="solid"/>
            </v:rect>
            <v:shape style="position:absolute;left:9067;top:190;width:299;height:299" type="#_x0000_t75" stroked="false">
              <v:imagedata r:id="rId60" o:title=""/>
            </v:shape>
            <v:line style="position:absolute" from="8890,2094" to="9243,1627" stroked="true" strokeweight="1pt" strokecolor="#231f20">
              <v:stroke dashstyle="solid"/>
            </v:line>
            <v:line style="position:absolute" from="7211,777" to="7211,585" stroked="true" strokeweight=".75pt" strokecolor="#231f20">
              <v:stroke dashstyle="solid"/>
            </v:line>
            <v:shape style="position:absolute;left:7174;top:521;width:74;height:90" coordorigin="7175,522" coordsize="74,90" path="m7211,522l7175,611,7211,590,7239,590,7211,522xm7239,590l7211,590,7248,611,7239,590xe" filled="true" fillcolor="#231f20" stroked="false">
              <v:path arrowok="t"/>
              <v:fill type="solid"/>
            </v:shape>
            <v:line style="position:absolute" from="9545,1839" to="9545,2030" stroked="true" strokeweight=".75pt" strokecolor="#ffffff">
              <v:stroke dashstyle="solid"/>
            </v:line>
            <v:shape style="position:absolute;left:9508;top:1775;width:74;height:90" coordorigin="9508,1775" coordsize="74,90" path="m9545,1775l9508,1865,9545,1843,9573,1843,9545,1775xm9573,1843l9545,1843,9581,1865,9573,1843xe" filled="true" fillcolor="#ffffff" stroked="false">
              <v:path arrowok="t"/>
              <v:fill type="solid"/>
            </v:shape>
            <v:shape style="position:absolute;left:9508;top:1775;width:74;height:90" coordorigin="9508,1775" coordsize="74,90" path="m9545,1775l9581,1865,9545,1843,9508,1865,9545,1775xe" filled="false" stroked="true" strokeweight="1pt" strokecolor="#ffffff">
              <v:path arrowok="t"/>
              <v:stroke dashstyle="solid"/>
            </v:shape>
            <v:shape style="position:absolute;left:7640;top:679;width:463;height:487" coordorigin="7640,680" coordsize="463,487" path="m7659,680l7673,764,7711,837,7754,904,7802,965,7855,1020,7911,1068,7970,1109,8032,1142,8097,1167,8103,1148,8040,1124,7980,1091,7922,1052,7868,1005,7817,951,7770,891,7728,826,7691,755,7659,680xe" filled="true" fillcolor="#ffffff" stroked="false">
              <v:path arrowok="t"/>
              <v:fill type="solid"/>
            </v:shape>
            <v:shape style="position:absolute;left:7640;top:679;width:463;height:487" coordorigin="7640,680" coordsize="463,487" path="m8097,1167l8032,1142,7970,1109,7911,1068,7855,1020,7802,965,7754,904,7711,837,7673,764,7640,687,7659,680,7691,755,7728,826,7770,891,7817,951,7868,1005,7922,1052,7980,1091,8040,1124,8103,1148,8097,1167xe" filled="false" stroked="true" strokeweight="1.0pt" strokecolor="#ffffff">
              <v:path arrowok="t"/>
              <v:stroke dashstyle="solid"/>
            </v:shape>
            <v:shape style="position:absolute;left:8041;top:1085;width:158;height:123" type="#_x0000_t75" stroked="false">
              <v:imagedata r:id="rId61" o:title=""/>
            </v:shape>
            <v:shape style="position:absolute;left:8885;top:367;width:134;height:775" coordorigin="8885,367" coordsize="134,775" path="m8965,367l8946,374,8967,440,8983,511,8993,587,8998,665,8997,746,8990,827,8975,908,8953,986,8923,1061,8885,1131,8902,1142,8941,1070,8972,994,8994,913,9009,831,9017,748,9018,665,9013,584,9002,507,8986,434,8965,367xe" filled="true" fillcolor="#ffffff" stroked="false">
              <v:path arrowok="t"/>
              <v:fill type="solid"/>
            </v:shape>
            <v:shape style="position:absolute;left:8885;top:367;width:134;height:775" coordorigin="8885,367" coordsize="134,775" path="m8902,1142l8885,1131,8923,1061,8953,986,8975,908,8990,827,8997,746,8998,665,8993,587,8983,511,8967,440,8946,374,8965,367,8986,434,9002,507,9013,584,9018,665,9017,748,9009,831,8994,913,8972,994,8941,1070,8902,1142xe" filled="false" stroked="true" strokeweight="1pt" strokecolor="#ffffff">
              <v:path arrowok="t"/>
              <v:stroke dashstyle="solid"/>
            </v:shape>
            <v:shape style="position:absolute;left:8906;top:277;width:122;height:160" type="#_x0000_t75" stroked="false">
              <v:imagedata r:id="rId62" o:title=""/>
            </v:shape>
            <v:shape style="position:absolute;left:10084;top:610;width:361;height:653" coordorigin="10085,610" coordsize="361,653" path="m10425,610l10420,670,10409,734,10391,801,10367,870,10337,939,10300,1007,10256,1073,10206,1136,10149,1194,10085,1247,10096,1263,10162,1209,10221,1149,10272,1085,10317,1017,10355,947,10386,877,10411,806,10428,738,10440,672,10445,611,10425,610xe" filled="true" fillcolor="#ffffff" stroked="false">
              <v:path arrowok="t"/>
              <v:fill type="solid"/>
            </v:shape>
            <v:shape style="position:absolute;left:10084;top:610;width:361;height:653" coordorigin="10085,610" coordsize="361,653" path="m10096,1263l10085,1247,10149,1194,10206,1136,10256,1073,10300,1007,10337,939,10367,870,10391,801,10409,734,10420,670,10425,610,10445,611,10440,672,10428,738,10411,806,10386,877,10355,947,10317,1017,10272,1085,10221,1149,10162,1209,10096,1263xe" filled="false" stroked="true" strokeweight="1pt" strokecolor="#ffffff">
              <v:path arrowok="t"/>
              <v:stroke dashstyle="solid"/>
            </v:shape>
            <v:shape style="position:absolute;left:10372;top:509;width:126;height:152" type="#_x0000_t75" stroked="false">
              <v:imagedata r:id="rId63" o:title=""/>
            </v:shape>
            <v:line style="position:absolute" from="9545,2030" to="9545,1839" stroked="true" strokeweight=".75pt" strokecolor="#231f20">
              <v:stroke dashstyle="solid"/>
            </v:line>
            <v:shape style="position:absolute;left:9508;top:1775;width:74;height:90" coordorigin="9508,1775" coordsize="74,90" path="m9545,1775l9508,1865,9545,1843,9573,1843,9545,1775xm9573,1843l9545,1843,9581,1865,9573,1843xe" filled="true" fillcolor="#231f20" stroked="false">
              <v:path arrowok="t"/>
              <v:fill type="solid"/>
            </v:shape>
            <v:shape style="position:absolute;left:7649;top:683;width:451;height:474" coordorigin="7650,683" coordsize="451,474" path="m7650,683l7683,763,7722,836,7766,903,7814,964,7866,1017,7921,1063,7978,1102,8038,1134,8100,1157e" filled="false" stroked="true" strokeweight="1pt" strokecolor="#231f20">
              <v:path arrowok="t"/>
              <v:stroke dashstyle="solid"/>
            </v:shape>
            <v:shape style="position:absolute;left:8051;top:1095;width:138;height:103" coordorigin="8052,1096" coordsize="138,103" path="m8076,1096l8094,1154,8052,1199,8190,1177,8076,1096xe" filled="true" fillcolor="#231f20" stroked="false">
              <v:path arrowok="t"/>
              <v:fill type="solid"/>
            </v:shape>
            <v:shape style="position:absolute;left:8893;top:370;width:115;height:766" coordorigin="8894,371" coordsize="115,766" path="m8894,1137l8932,1066,8962,991,8984,911,8999,830,9007,747,9008,665,9003,586,8992,509,8976,437,8955,371e" filled="false" stroked="true" strokeweight="1pt" strokecolor="#231f20">
              <v:path arrowok="t"/>
              <v:stroke dashstyle="solid"/>
            </v:shape>
            <v:shape style="position:absolute;left:8916;top:287;width:102;height:140" type="#_x0000_t75" stroked="false">
              <v:imagedata r:id="rId64" o:title=""/>
            </v:shape>
            <v:shape style="position:absolute;left:10090;top:610;width:345;height:644" coordorigin="10091,611" coordsize="345,644" path="m10091,1255l10152,1204,10208,1148,10258,1087,10303,1022,10341,954,10373,884,10398,814,10417,744,10429,676,10435,611e" filled="false" stroked="true" strokeweight="1pt" strokecolor="#231f20">
              <v:path arrowok="t"/>
              <v:stroke dashstyle="solid"/>
            </v:shape>
            <v:shape style="position:absolute;left:10382;top:519;width:106;height:132" type="#_x0000_t75" stroked="false">
              <v:imagedata r:id="rId65" o:title=""/>
            </v:shape>
            <v:shape style="position:absolute;left:7680;top:374;width:299;height:299" type="#_x0000_t75" stroked="false">
              <v:imagedata r:id="rId66" o:title=""/>
            </v:shape>
            <v:shape style="position:absolute;left:10533;top:397;width:299;height:299" type="#_x0000_t75" stroked="false">
              <v:imagedata r:id="rId67" o:title=""/>
            </v:shape>
            <v:shape style="position:absolute;left:9167;top:234;width:121;height:209" type="#_x0000_t202" filled="false" stroked="false">
              <v:textbox inset="0,0,0,0">
                <w:txbxContent>
                  <w:p>
                    <w:pPr>
                      <w:spacing w:line="206" w:lineRule="exact" w:before="0"/>
                      <w:ind w:left="0" w:right="0" w:firstLine="0"/>
                      <w:jc w:val="left"/>
                      <w:rPr>
                        <w:rFonts w:ascii="Helvetica"/>
                        <w:sz w:val="18"/>
                      </w:rPr>
                    </w:pPr>
                    <w:r>
                      <w:rPr>
                        <w:rFonts w:ascii="Helvetica"/>
                        <w:color w:val="231F20"/>
                        <w:w w:val="99"/>
                        <w:sz w:val="18"/>
                      </w:rPr>
                      <w:t>2</w:t>
                    </w:r>
                  </w:p>
                </w:txbxContent>
              </v:textbox>
              <w10:wrap type="none"/>
            </v:shape>
            <v:shape style="position:absolute;left:7781;top:418;width:121;height:209" type="#_x0000_t202" filled="false" stroked="false">
              <v:textbox inset="0,0,0,0">
                <w:txbxContent>
                  <w:p>
                    <w:pPr>
                      <w:spacing w:line="206" w:lineRule="exact" w:before="0"/>
                      <w:ind w:left="0" w:right="0" w:firstLine="0"/>
                      <w:jc w:val="left"/>
                      <w:rPr>
                        <w:rFonts w:ascii="Helvetica"/>
                        <w:sz w:val="18"/>
                      </w:rPr>
                    </w:pPr>
                    <w:r>
                      <w:rPr>
                        <w:rFonts w:ascii="Helvetica"/>
                        <w:color w:val="231F20"/>
                        <w:w w:val="99"/>
                        <w:sz w:val="18"/>
                      </w:rPr>
                      <w:t>1</w:t>
                    </w:r>
                  </w:p>
                </w:txbxContent>
              </v:textbox>
              <w10:wrap type="none"/>
            </v:shape>
            <v:shape style="position:absolute;left:6811;top:594;width:780;height:219" type="#_x0000_t202" filled="false" stroked="false">
              <v:textbox inset="0,0,0,0">
                <w:txbxContent>
                  <w:p>
                    <w:pPr>
                      <w:spacing w:line="196" w:lineRule="exact" w:before="0"/>
                      <w:ind w:left="0" w:right="0" w:firstLine="0"/>
                      <w:jc w:val="left"/>
                      <w:rPr>
                        <w:rFonts w:ascii="Helvetica"/>
                        <w:sz w:val="16"/>
                      </w:rPr>
                    </w:pPr>
                    <w:r>
                      <w:rPr>
                        <w:rFonts w:ascii="Helvetica"/>
                        <w:color w:val="231F20"/>
                        <w:sz w:val="16"/>
                      </w:rPr>
                      <w:t>Na</w:t>
                    </w:r>
                    <w:r>
                      <w:rPr>
                        <w:rFonts w:ascii="Helvetica"/>
                        <w:color w:val="231F20"/>
                        <w:position w:val="5"/>
                        <w:sz w:val="12"/>
                      </w:rPr>
                      <w:t>+</w:t>
                    </w:r>
                    <w:r>
                      <w:rPr>
                        <w:rFonts w:ascii="Helvetica"/>
                        <w:color w:val="231F20"/>
                        <w:sz w:val="16"/>
                      </w:rPr>
                      <w:t>/ H</w:t>
                    </w:r>
                    <w:r>
                      <w:rPr>
                        <w:rFonts w:ascii="Helvetica"/>
                        <w:color w:val="231F20"/>
                        <w:sz w:val="16"/>
                        <w:vertAlign w:val="subscript"/>
                      </w:rPr>
                      <w:t>2</w:t>
                    </w:r>
                    <w:r>
                      <w:rPr>
                        <w:rFonts w:ascii="Helvetica"/>
                        <w:color w:val="231F20"/>
                        <w:sz w:val="16"/>
                        <w:vertAlign w:val="baseline"/>
                      </w:rPr>
                      <w:t>O</w:t>
                    </w:r>
                  </w:p>
                </w:txbxContent>
              </v:textbox>
              <w10:wrap type="none"/>
            </v:shape>
            <v:shape style="position:absolute;left:10634;top:441;width:121;height:209" type="#_x0000_t202" filled="false" stroked="false">
              <v:textbox inset="0,0,0,0">
                <w:txbxContent>
                  <w:p>
                    <w:pPr>
                      <w:spacing w:line="206" w:lineRule="exact" w:before="0"/>
                      <w:ind w:left="0" w:right="0" w:firstLine="0"/>
                      <w:jc w:val="left"/>
                      <w:rPr>
                        <w:rFonts w:ascii="Helvetica"/>
                        <w:sz w:val="18"/>
                      </w:rPr>
                    </w:pPr>
                    <w:r>
                      <w:rPr>
                        <w:rFonts w:ascii="Helvetica"/>
                        <w:color w:val="231F20"/>
                        <w:w w:val="99"/>
                        <w:sz w:val="18"/>
                      </w:rPr>
                      <w:t>3</w:t>
                    </w:r>
                  </w:p>
                </w:txbxContent>
              </v:textbox>
              <w10:wrap type="none"/>
            </v:shape>
            <v:shape style="position:absolute;left:8424;top:1374;width:581;height:558" type="#_x0000_t202" filled="false" stroked="false">
              <v:textbox inset="0,0,0,0">
                <w:txbxContent>
                  <w:p>
                    <w:pPr>
                      <w:spacing w:line="194" w:lineRule="exact" w:before="0"/>
                      <w:ind w:left="9" w:right="0" w:firstLine="0"/>
                      <w:jc w:val="left"/>
                      <w:rPr>
                        <w:rFonts w:ascii="Helvetica"/>
                        <w:sz w:val="12"/>
                      </w:rPr>
                    </w:pPr>
                    <w:r>
                      <w:rPr>
                        <w:rFonts w:ascii="Helvetica"/>
                        <w:color w:val="231F20"/>
                        <w:sz w:val="16"/>
                      </w:rPr>
                      <w:t>K</w:t>
                    </w:r>
                    <w:r>
                      <w:rPr>
                        <w:rFonts w:ascii="Helvetica"/>
                        <w:color w:val="231F20"/>
                        <w:position w:val="5"/>
                        <w:sz w:val="12"/>
                      </w:rPr>
                      <w:t>+</w:t>
                    </w:r>
                    <w:r>
                      <w:rPr>
                        <w:rFonts w:ascii="Helvetica"/>
                        <w:color w:val="231F20"/>
                        <w:sz w:val="16"/>
                      </w:rPr>
                      <w:t>,</w:t>
                    </w:r>
                    <w:r>
                      <w:rPr>
                        <w:rFonts w:ascii="Helvetica"/>
                        <w:color w:val="231F20"/>
                        <w:spacing w:val="-1"/>
                        <w:sz w:val="16"/>
                      </w:rPr>
                      <w:t> </w:t>
                    </w:r>
                    <w:r>
                      <w:rPr>
                        <w:rFonts w:ascii="Helvetica"/>
                        <w:color w:val="231F20"/>
                        <w:sz w:val="16"/>
                      </w:rPr>
                      <w:t>Na</w:t>
                    </w:r>
                    <w:r>
                      <w:rPr>
                        <w:rFonts w:ascii="Helvetica"/>
                        <w:color w:val="231F20"/>
                        <w:position w:val="5"/>
                        <w:sz w:val="12"/>
                      </w:rPr>
                      <w:t>+</w:t>
                    </w:r>
                  </w:p>
                  <w:p>
                    <w:pPr>
                      <w:spacing w:line="235" w:lineRule="auto" w:before="1"/>
                      <w:ind w:left="26" w:right="1" w:hanging="27"/>
                      <w:jc w:val="left"/>
                      <w:rPr>
                        <w:rFonts w:ascii="Helvetica"/>
                        <w:sz w:val="16"/>
                      </w:rPr>
                    </w:pPr>
                    <w:r>
                      <w:rPr>
                        <w:rFonts w:ascii="Helvetica"/>
                        <w:color w:val="231F20"/>
                        <w:sz w:val="16"/>
                      </w:rPr>
                      <w:t>Organic solutes</w:t>
                    </w:r>
                  </w:p>
                </w:txbxContent>
              </v:textbox>
              <w10:wrap type="none"/>
            </v:shape>
            <v:shape style="position:absolute;left:9157;top:1854;width:327;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w:t>
                    </w:r>
                    <w:r>
                      <w:rPr>
                        <w:rFonts w:ascii="Helvetica"/>
                        <w:color w:val="231F20"/>
                        <w:sz w:val="16"/>
                        <w:vertAlign w:val="subscript"/>
                      </w:rPr>
                      <w:t>2</w:t>
                    </w:r>
                    <w:r>
                      <w:rPr>
                        <w:rFonts w:ascii="Helvetica"/>
                        <w:color w:val="231F20"/>
                        <w:sz w:val="16"/>
                        <w:vertAlign w:val="baseline"/>
                      </w:rPr>
                      <w:t>O</w:t>
                    </w:r>
                  </w:p>
                </w:txbxContent>
              </v:textbox>
              <w10:wrap type="none"/>
            </v:shape>
            <w10:wrap type="topAndBottom"/>
          </v:group>
        </w:pict>
      </w:r>
    </w:p>
    <w:p>
      <w:pPr>
        <w:spacing w:before="21"/>
        <w:ind w:left="295" w:right="687" w:firstLine="0"/>
        <w:jc w:val="center"/>
        <w:rPr>
          <w:rFonts w:ascii="Helvetica"/>
          <w:b/>
          <w:sz w:val="16"/>
        </w:rPr>
      </w:pPr>
      <w:r>
        <w:rPr>
          <w:rFonts w:ascii="Helvetica"/>
          <w:b/>
          <w:color w:val="231F20"/>
          <w:sz w:val="16"/>
        </w:rPr>
        <w:t>Acute hyponatremia</w:t>
      </w:r>
    </w:p>
    <w:p>
      <w:pPr>
        <w:pStyle w:val="BodyText"/>
        <w:spacing w:before="10"/>
        <w:rPr>
          <w:rFonts w:ascii="Helvetica"/>
          <w:b/>
          <w:sz w:val="29"/>
        </w:rPr>
      </w:pPr>
      <w:r>
        <w:rPr/>
        <w:pict>
          <v:group style="position:absolute;margin-left:346.068695pt;margin-top:19.541773pt;width:3.7pt;height:12.75pt;mso-position-horizontal-relative:page;mso-position-vertical-relative:paragraph;z-index:-251559936;mso-wrap-distance-left:0;mso-wrap-distance-right:0" coordorigin="6921,391" coordsize="74,255">
            <v:line style="position:absolute" from="6958,391" to="6958,582" stroked="true" strokeweight=".75pt" strokecolor="#231f20">
              <v:stroke dashstyle="solid"/>
            </v:line>
            <v:shape style="position:absolute;left:6921;top:556;width:74;height:90" coordorigin="6921,556" coordsize="74,90" path="m6921,556l6958,646,6986,578,6958,578,6921,556xm6995,556l6958,578,6986,578,6995,556xe" filled="true" fillcolor="#231f20" stroked="false">
              <v:path arrowok="t"/>
              <v:fill type="solid"/>
            </v:shape>
            <w10:wrap type="topAndBottom"/>
          </v:group>
        </w:pict>
      </w:r>
      <w:r>
        <w:rPr/>
        <w:pict>
          <v:group style="position:absolute;margin-left:351.572388pt;margin-top:19.541773pt;width:189.95pt;height:123.15pt;mso-position-horizontal-relative:page;mso-position-vertical-relative:paragraph;z-index:-251555840;mso-wrap-distance-left:0;mso-wrap-distance-right:0" coordorigin="7031,391" coordsize="3799,2463">
            <v:shape style="position:absolute;left:7139;top:446;width:3684;height:2399" coordorigin="7139,446" coordsize="3684,2399" path="m8731,2845l8670,2844,8615,2838,8564,2830,8518,2818,8456,2809,8370,2791,8280,2757,8201,2706,8163,2658,8149,2633,8143,2624,8136,2615,8127,2606,8125,2604,8124,2603,8099,2574,8080,2543,8066,2509,8058,2470,8057,2470,8056,2470,8056,2470,8047,2469,7965,2447,7916,2425,7891,2414,7827,2395,7786,2394,7743,2393,7700,2389,7660,2379,7626,2360,7620,2361,7613,2361,7607,2361,7523,2344,7451,2307,7442,2301,7436,2296,7376,2249,7363,2227,7303,2198,7248,2155,7200,2099,7162,2032,7143,1962,7139,1885,7152,1807,7179,1735,7175,1717,7173,1697,7173,1673,7174,1645,7177,1611,7184,1574,7197,1538,7218,1504,7216,1446,7226,1389,7247,1336,7277,1290,7278,1269,7302,1196,7334,1143,7377,1089,7427,1043,7480,1014,7485,1002,7560,913,7626,865,7696,828,7761,811,7764,805,7823,746,7893,700,7973,660,8055,627,8130,605,8190,596,8204,595,8214,593,8224,588,8236,580,8238,578,8240,577,8301,548,8362,529,8422,516,8491,505,8503,503,8516,501,8528,499,8531,499,8534,498,8542,498,8550,497,8559,496,8575,495,8590,494,8607,493,8623,493,8639,493,8654,494,8668,496,8681,498,8736,479,8796,465,8860,456,8925,449,9001,447,9028,446,9100,449,9162,455,9264,482,9271,485,9275,488,9281,491,9285,492,9290,492,9295,492,9301,492,9374,495,9451,504,9529,518,9605,536,9680,560,9749,587,9815,622,9826,629,9837,635,9847,641,9855,643,9860,644,9866,647,9948,678,10043,725,10121,778,10191,851,10255,879,10313,918,10365,968,10406,1024,10434,1086,10435,1087,10435,1088,10435,1089,10441,1092,10450,1096,10509,1146,10559,1208,10604,1284,10639,1367,10660,1450,10712,1505,10748,1567,10771,1631,10788,1691,10804,1770,10817,1858,10823,1948,10814,2017,10811,2025,10809,2031,10806,2040,10806,2043,10807,2045,10807,2047,10798,2111,10773,2172,10732,2228,10680,2276,10617,2312,10547,2335,10444,2353,10356,2359,10314,2357,10273,2353,10232,2346,10192,2335,10191,2335,10186,2334,10173,2334,10140,2336,10073,2348,9971,2373,9898,2394,9828,2419,9759,2447,9693,2479,9628,2513,9566,2551,9503,2593,9482,2607,9426,2646,9368,2683,9308,2717,9246,2745,9179,2770,9108,2792,9034,2811,8958,2825,8881,2836,8805,2843,8731,2845xe" filled="false" stroked="true" strokeweight=".75pt" strokecolor="#231f20">
              <v:path arrowok="t"/>
              <v:stroke dashstyle="shortdash"/>
            </v:shape>
            <v:shape style="position:absolute;left:7190;top:496;width:3583;height:2299" coordorigin="7191,497" coordsize="3583,2299" path="m10037,2305l7646,2305,7674,2331,7721,2342,7777,2344,7830,2345,7877,2355,7925,2375,7976,2397,8034,2417,8064,2421,8086,2424,8100,2430,8105,2442,8110,2478,8120,2510,8136,2540,8159,2568,8183,2594,8198,2620,8213,2645,8234,2668,8292,2708,8366,2737,8447,2757,8528,2768,8592,2784,8664,2793,8743,2795,8826,2791,8910,2782,8995,2767,9077,2748,9156,2725,9227,2699,9292,2669,9355,2632,9417,2591,9478,2549,9539,2509,9612,2465,9686,2426,9759,2393,9830,2365,9900,2341,9968,2322,10034,2306,10037,2305xm7749,863l7676,893,7599,946,7541,1006,7523,1059,7471,1073,7413,1123,7362,1191,7331,1258,7333,1304,7298,1346,7275,1399,7265,1459,7272,1521,7250,1543,7236,1573,7228,1608,7224,1647,7223,1682,7224,1706,7227,1723,7235,1737,7206,1800,7191,1871,7191,1945,7208,2012,7243,2073,7290,2125,7345,2165,7405,2186,7411,2211,7427,2230,7450,2246,7477,2264,7521,2288,7564,2305,7605,2311,7646,2305,10037,2305,10061,2299,10109,2290,10162,2284,10545,2284,10605,2263,10665,2223,10714,2171,10746,2112,10757,2048,10757,2036,10759,2025,10763,2013,10767,2000,10773,1950,10769,1877,10758,1794,10743,1718,10726,1655,10703,1590,10668,1528,10613,1478,10597,1398,10565,1318,10523,1244,10476,1184,10431,1144,10416,1135,10405,1130,10395,1121,10387,1102,10352,1033,10299,972,10233,924,10159,894,10141,869,7797,869,7749,863xm10545,2284l10162,2284,10207,2287,10289,2304,10370,2308,10452,2302,10537,2286,10545,2284xm8613,543l8575,545,8537,548,8474,558,8405,570,8335,589,8265,620,8244,634,8227,641,8210,644,8191,646,8137,654,8065,676,7987,708,7912,747,7849,789,7807,831,7797,869,10141,869,10131,856,10097,823,10059,794,10019,769,9972,744,9926,724,9883,707,9847,693,9824,685,9796,669,9764,650,9729,633,9654,603,9576,580,9498,562,9431,552,8686,552,8651,544,8613,543xm9009,497l8929,499,8868,505,8803,515,8741,530,8686,552,9431,552,9421,550,9349,543,9283,542,9271,540,9259,536,9249,531,9245,528,9173,508,9092,498,9009,497xe" filled="true" fillcolor="#b7705b" stroked="false">
              <v:path arrowok="t"/>
              <v:fill type="solid"/>
            </v:shape>
            <v:shape style="position:absolute;left:7205;top:514;width:3550;height:2260" type="#_x0000_t75" stroked="false">
              <v:imagedata r:id="rId68" o:title=""/>
            </v:shape>
            <v:shape style="position:absolute;left:8716;top:638;width:18;height:16" coordorigin="8717,639" coordsize="18,16" path="m8731,639l8725,639,8726,642,8717,654,8724,645,8731,645,8731,645,8734,644,8731,639xm8731,645l8724,645,8725,648,8729,647,8731,647,8731,645xe" filled="true" fillcolor="#b7705b" stroked="false">
              <v:path arrowok="t"/>
              <v:fill type="solid"/>
            </v:shape>
            <v:shape style="position:absolute;left:8234;top:707;width:15;height:11" coordorigin="8234,708" coordsize="15,11" path="m8239,708l8234,717,8240,718,8244,717,8249,714,8245,711,8239,708xe" filled="true" fillcolor="#b7705b" stroked="false">
              <v:path arrowok="t"/>
              <v:fill type="solid"/>
            </v:shape>
            <v:shape style="position:absolute;left:9633;top:802;width:7;height:5" coordorigin="9634,802" coordsize="7,5" path="m9640,802l9634,802,9634,806,9639,806,9640,805,9640,802xe" filled="true" fillcolor="#b7705b" stroked="false">
              <v:path arrowok="t"/>
              <v:fill type="solid"/>
            </v:shape>
            <v:shape style="position:absolute;left:9031;top:710;width:10;height:10" coordorigin="9032,710" coordsize="10,10" path="m9036,710l9034,712,9032,716,9036,718,9040,719,9042,715,9041,712,9036,710xe" filled="true" fillcolor="#b7705b" stroked="false">
              <v:path arrowok="t"/>
              <v:fill type="solid"/>
            </v:shape>
            <v:shape style="position:absolute;left:9619;top:808;width:7;height:8" coordorigin="9619,808" coordsize="7,8" path="m9624,808l9622,810,9619,810,9620,815,9623,815,9624,814,9626,813,9626,811,9624,808xe" filled="true" fillcolor="#b7705b" stroked="false">
              <v:path arrowok="t"/>
              <v:fill type="solid"/>
            </v:shape>
            <v:shape style="position:absolute;left:9608;top:816;width:7;height:8" coordorigin="9608,817" coordsize="7,8" path="m9612,817l9610,817,9608,817,9609,824,9610,822,9615,822,9612,818,9612,817xe" filled="true" fillcolor="#b7705b" stroked="false">
              <v:path arrowok="t"/>
              <v:fill type="solid"/>
            </v:shape>
            <v:rect style="position:absolute;left:9602;top:821;width:2;height:6" filled="true" fillcolor="#b7705b" stroked="false">
              <v:fill type="solid"/>
            </v:rect>
            <v:shape style="position:absolute;left:9381;top:828;width:971;height:962" coordorigin="9382,829" coordsize="971,962" path="m10163,1712l10143,1712,10151,1720,10167,1742,10186,1763,10209,1778,10233,1788,10242,1790,10251,1790,10262,1788,10276,1783,10221,1776,10182,1745,10163,1712xm9901,1186l9883,1187,9904,1192,9930,1201,9957,1215,9983,1235,10039,1292,10089,1352,10129,1417,10156,1488,10163,1536,10161,1587,10152,1636,10137,1683,10122,1712,10097,1735,10060,1752,10009,1765,10035,1762,10060,1758,10084,1752,10107,1742,10120,1733,10132,1720,10143,1712,10163,1712,10160,1706,10156,1677,10167,1628,10175,1578,10175,1525,10165,1464,10161,1447,10162,1440,10183,1440,10211,1437,10241,1431,10270,1422,10271,1421,10171,1421,10137,1401,10110,1359,10080,1320,10046,1281,10010,1243,9995,1230,9982,1219,9976,1210,9978,1202,9986,1197,9997,1193,10000,1191,9928,1191,9917,1189,9901,1186xm10348,1362l10293,1399,10228,1419,10171,1421,10271,1421,10291,1412,10310,1405,10325,1402,10339,1401,10353,1400,10350,1398,10335,1398,10326,1392,10336,1383,10341,1372,10348,1362xm10346,1396l10335,1398,10350,1398,10346,1396xm9770,1041l9705,1041,9723,1041,9741,1044,9757,1050,9807,1075,9854,1106,9896,1144,9930,1189,9928,1191,10000,1191,10004,1190,9963,1190,9947,1184,9907,1138,9862,1096,9812,1061,9770,1041xm10029,1172l10010,1180,9986,1187,9963,1190,10004,1190,10012,1186,10029,1172xm9597,829l9563,845,9528,870,9505,901,9502,934,9505,941,9511,947,9514,953,9510,960,9464,989,9423,1029,9395,1076,9382,1127,9401,1077,9429,1037,9464,1003,9505,976,9533,966,9561,959,9593,958,9642,958,9637,956,9610,950,9589,946,9547,946,9530,943,9517,938,9509,927,9510,914,9522,889,9543,866,9569,845,9597,829xm9642,958l9593,958,9627,965,9659,976,9693,989,9721,1006,9736,1026,9732,1032,9720,1033,9704,1036,9689,1044,9705,1041,9770,1041,9758,1035,9745,1031,9741,1015,9751,1009,9766,1003,9782,997,9741,997,9729,994,9719,990,9712,986,9687,974,9662,964,9642,958xm9830,986l9802,988,9777,991,9754,996,9741,997,9782,997,9786,996,9817,990,9862,988,9830,986xm9585,946l9565,946,9547,946,9589,946,9585,946xe" filled="true" fillcolor="#b7705b" stroked="false">
              <v:path arrowok="t"/>
              <v:fill type="solid"/>
            </v:shape>
            <v:shape style="position:absolute;left:9722;top:746;width:12;height:9" coordorigin="9722,747" coordsize="12,9" path="m9734,747l9722,752,9723,755,9727,753,9729,753,9730,751,9734,750,9734,747xm9729,753l9727,753,9729,754,9729,753xe" filled="true" fillcolor="#b7705b" stroked="false">
              <v:path arrowok="t"/>
              <v:fill type="solid"/>
            </v:shape>
            <v:shape style="position:absolute;left:9710;top:756;width:9;height:7" coordorigin="9711,757" coordsize="9,7" path="m9718,757l9711,757,9711,763,9713,763,9716,762,9719,762,9718,757xe" filled="true" fillcolor="#b7705b" stroked="false">
              <v:path arrowok="t"/>
              <v:fill type="solid"/>
            </v:shape>
            <v:shape style="position:absolute;left:9688;top:770;width:12;height:9" coordorigin="9688,770" coordsize="12,9" path="m9694,770l9688,776,9693,779,9695,779,9697,776,9700,775,9699,772,9694,770xe" filled="true" fillcolor="#b7705b" stroked="false">
              <v:path arrowok="t"/>
              <v:fill type="solid"/>
            </v:shape>
            <v:shape style="position:absolute;left:8753;top:778;width:12;height:11" coordorigin="8754,779" coordsize="12,11" path="m8760,779l8755,783,8754,786,8756,789,8758,787,8761,787,8764,787,8765,783,8765,779,8760,779xe" filled="true" fillcolor="#b7705b" stroked="false">
              <v:path arrowok="t"/>
              <v:fill type="solid"/>
            </v:shape>
            <v:shape style="position:absolute;left:8057;top:801;width:7;height:11" coordorigin="8058,802" coordsize="7,11" path="m8060,802l8058,811,8060,812,8063,812,8065,811,8065,807,8060,802xe" filled="true" fillcolor="#b7705b" stroked="false">
              <v:path arrowok="t"/>
              <v:fill type="solid"/>
            </v:shape>
            <v:shape style="position:absolute;left:8736;top:784;width:14;height:10" coordorigin="8736,784" coordsize="14,10" path="m8736,785l8738,791,8742,793,8745,794,8746,791,8748,789,8749,785,8742,785,8736,785xm8744,784l8742,785,8749,785,8749,785,8744,784xe" filled="true" fillcolor="#b7705b" stroked="false">
              <v:path arrowok="t"/>
              <v:fill type="solid"/>
            </v:shape>
            <v:shape style="position:absolute;left:8064;top:818;width:11;height:12" coordorigin="8065,819" coordsize="11,12" path="m8075,819l8065,823,8067,829,8069,830,8073,830,8074,826,8075,819xe" filled="true" fillcolor="#b7705b" stroked="false">
              <v:path arrowok="t"/>
              <v:fill type="solid"/>
            </v:shape>
            <v:shape style="position:absolute;left:8367;top:835;width:13;height:12" coordorigin="8368,835" coordsize="13,12" path="m8379,835l8375,837,8373,840,8368,843,8372,846,8375,846,8380,845,8380,842,8379,839,8379,835xe" filled="true" fillcolor="#b7705b" stroked="false">
              <v:path arrowok="t"/>
              <v:fill type="solid"/>
            </v:shape>
            <v:shape style="position:absolute;left:8367;top:854;width:7;height:8" coordorigin="8368,854" coordsize="7,8" path="m8368,854l8368,862,8370,862,8372,862,8372,860,8374,856,8371,856,8368,854xm8374,856l8371,856,8374,856,8374,856xe" filled="true" fillcolor="#b7705b" stroked="false">
              <v:path arrowok="t"/>
              <v:fill type="solid"/>
            </v:shape>
            <v:shape style="position:absolute;left:8853;top:873;width:6;height:8" coordorigin="8854,873" coordsize="6,8" path="m8856,873l8854,881,8857,881,8858,879,8858,878,8859,874,8856,873xe" filled="true" fillcolor="#b7705b" stroked="false">
              <v:path arrowok="t"/>
              <v:fill type="solid"/>
            </v:shape>
            <v:shape style="position:absolute;left:8837;top:896;width:8;height:8" coordorigin="8837,896" coordsize="8,8" path="m8840,896l8837,904,8839,904,8842,903,8844,903,8843,899,8842,899,8841,897,8840,896xm8843,898l8842,899,8843,899,8843,898xe" filled="true" fillcolor="#b7705b" stroked="false">
              <v:path arrowok="t"/>
              <v:fill type="solid"/>
            </v:shape>
            <v:shape style="position:absolute;left:7830;top:904;width:12;height:11" coordorigin="7830,904" coordsize="12,11" path="m7836,904l7830,909,7833,914,7836,914,7837,912,7842,910,7840,906,7836,904xe" filled="true" fillcolor="#b7705b" stroked="false">
              <v:path arrowok="t"/>
              <v:fill type="solid"/>
            </v:shape>
            <v:shape style="position:absolute;left:8130;top:936;width:9;height:9" coordorigin="8130,937" coordsize="9,9" path="m8133,937l8130,941,8132,945,8136,945,8139,944,8138,941,8138,937,8133,937xe" filled="true" fillcolor="#b7705b" stroked="false">
              <v:path arrowok="t"/>
              <v:fill type="solid"/>
            </v:shape>
            <v:shape style="position:absolute;left:8288;top:933;width:13;height:12" coordorigin="8289,933" coordsize="13,12" path="m8299,933l8296,934,8289,939,8292,945,8297,943,8301,940,8299,933xe" filled="true" fillcolor="#b7705b" stroked="false">
              <v:path arrowok="t"/>
              <v:fill type="solid"/>
            </v:shape>
            <v:shape style="position:absolute;left:9118;top:947;width:12;height:9" coordorigin="9119,948" coordsize="12,9" path="m9125,948l9119,953,9123,956,9128,956,9130,954,9129,952,9129,949,9125,948xe" filled="true" fillcolor="#b7705b" stroked="false">
              <v:path arrowok="t"/>
              <v:fill type="solid"/>
            </v:shape>
            <v:shape style="position:absolute;left:9091;top:947;width:15;height:13" coordorigin="9091,948" coordsize="15,13" path="m9102,948l9093,951,9091,957,9097,960,9104,960,9106,953,9102,948xe" filled="true" fillcolor="#b7705b" stroked="false">
              <v:path arrowok="t"/>
              <v:fill type="solid"/>
            </v:shape>
            <v:shape style="position:absolute;left:9867;top:984;width:10;height:11" coordorigin="9868,984" coordsize="10,11" path="m9874,984l9871,986,9868,986,9868,989,9868,994,9873,993,9874,991,9877,989,9876,987,9874,984xe" filled="true" fillcolor="#b7705b" stroked="false">
              <v:path arrowok="t"/>
              <v:fill type="solid"/>
            </v:shape>
            <v:shape style="position:absolute;left:8302;top:947;width:12;height:15" coordorigin="8302,947" coordsize="12,15" path="m8312,947l8302,953,8305,959,8308,962,8314,960,8313,956,8312,947xe" filled="true" fillcolor="#b7705b" stroked="false">
              <v:path arrowok="t"/>
              <v:fill type="solid"/>
            </v:shape>
            <v:shape style="position:absolute;left:8743;top:932;width:7;height:12" coordorigin="8744,932" coordsize="7,12" path="m8747,932l8744,940,8745,943,8748,939,8751,939,8750,936,8749,934,8747,932xm8751,939l8748,939,8751,940,8751,939xe" filled="true" fillcolor="#b7705b" stroked="false">
              <v:path arrowok="t"/>
              <v:fill type="solid"/>
            </v:shape>
            <v:shape style="position:absolute;left:9881;top:986;width:9;height:6" coordorigin="9881,987" coordsize="9,6" path="m9887,987l9881,988,9883,992,9888,992,9888,991,9890,990,9889,989,9887,987xe" filled="true" fillcolor="#b7705b" stroked="false">
              <v:path arrowok="t"/>
              <v:fill type="solid"/>
            </v:shape>
            <v:shape style="position:absolute;left:9903;top:988;width:7;height:5" coordorigin="9903,988" coordsize="7,5" path="m9910,988l9903,988,9903,993,9908,993,9910,992,9910,988xe" filled="true" fillcolor="#b7705b" stroked="false">
              <v:path arrowok="t"/>
              <v:fill type="solid"/>
            </v:shape>
            <v:shape style="position:absolute;left:9676;top:1037;width:10;height:10" coordorigin="9676,1037" coordsize="10,10" path="m9683,1037l9676,1038,9676,1041,9679,1043,9680,1047,9684,1045,9685,1045,9685,1041,9683,1037xe" filled="true" fillcolor="#b7705b" stroked="false">
              <v:path arrowok="t"/>
              <v:fill type="solid"/>
            </v:shape>
            <v:shape style="position:absolute;left:9667;top:1040;width:8;height:8" coordorigin="9667,1041" coordsize="8,8" path="m9671,1041l9667,1045,9669,1049,9673,1049,9675,1048,9675,1045,9671,1041xe" filled="true" fillcolor="#b7705b" stroked="false">
              <v:path arrowok="t"/>
              <v:fill type="solid"/>
            </v:shape>
            <v:shape style="position:absolute;left:10063;top:928;width:6;height:5" coordorigin="10064,928" coordsize="6,5" path="m10067,928l10064,933,10068,932,10068,931,10069,929,10067,928xe" filled="true" fillcolor="#b7705b" stroked="false">
              <v:path arrowok="t"/>
              <v:fill type="solid"/>
            </v:shape>
            <v:shape style="position:absolute;left:9836;top:1453;width:8;height:6" coordorigin="9836,1454" coordsize="8,6" path="m9839,1454l9838,1455,9836,1457,9837,1458,9838,1458,9840,1459,9844,1456,9841,1454,9839,1454xe" filled="true" fillcolor="#b7705b" stroked="false">
              <v:path arrowok="t"/>
              <v:fill type="solid"/>
            </v:shape>
            <v:shape style="position:absolute;left:7558;top:1082;width:13;height:12" coordorigin="7558,1082" coordsize="13,12" path="m7565,1082l7558,1088,7562,1090,7570,1094,7567,1084,7565,1082xm7567,1083l7567,1084,7568,1084,7567,1083xe" filled="true" fillcolor="#b7705b" stroked="false">
              <v:path arrowok="t"/>
              <v:fill type="solid"/>
            </v:shape>
            <v:shape style="position:absolute;left:9373;top:1137;width:13;height:11" coordorigin="9374,1137" coordsize="13,11" path="m9381,1137l9374,1141,9376,1147,9377,1148,9380,1148,9382,1146,9387,1144,9385,1141,9381,1137xe" filled="true" fillcolor="#b7705b" stroked="false">
              <v:path arrowok="t"/>
              <v:fill type="solid"/>
            </v:shape>
            <v:shape style="position:absolute;left:7707;top:1125;width:13;height:11" coordorigin="7707,1125" coordsize="13,11" path="m7717,1125l7707,1132,7712,1136,7715,1135,7720,1135,7719,1132,7717,1125xm7720,1135l7715,1135,7720,1136,7720,1135xe" filled="true" fillcolor="#b7705b" stroked="false">
              <v:path arrowok="t"/>
              <v:fill type="solid"/>
            </v:shape>
            <v:shape style="position:absolute;left:9823;top:1449;width:7;height:8" coordorigin="9824,1450" coordsize="7,8" path="m9829,1450l9826,1451,9824,1453,9824,1455,9828,1457,9830,1455,9830,1452,9829,1450xe" filled="true" fillcolor="#b7705b" stroked="false">
              <v:path arrowok="t"/>
              <v:fill type="solid"/>
            </v:shape>
            <v:shape style="position:absolute;left:9369;top:1156;width:12;height:8" coordorigin="9369,1157" coordsize="12,8" path="m9377,1157l9369,1159,9373,1164,9377,1165,9378,1163,9381,1161,9380,1159,9377,1157xe" filled="true" fillcolor="#b7705b" stroked="false">
              <v:path arrowok="t"/>
              <v:fill type="solid"/>
            </v:shape>
            <v:shape style="position:absolute;left:9525;top:1244;width:294;height:294" coordorigin="9526,1244" coordsize="294,294" path="m9541,1244l9546,1253,9554,1264,9561,1272,9539,1272,9526,1276,9575,1282,9617,1300,9651,1328,9676,1362,9696,1403,9709,1447,9715,1492,9712,1538,9719,1515,9723,1494,9728,1479,9738,1475,9750,1473,9761,1468,9765,1464,9727,1464,9720,1461,9719,1445,9719,1444,9714,1426,9701,1392,9685,1359,9663,1329,9633,1302,9614,1290,9598,1282,9583,1276,9568,1271,9560,1266,9552,1255,9541,1244xm9803,1394l9791,1417,9774,1441,9753,1460,9727,1464,9765,1464,9770,1460,9778,1451,9786,1446,9796,1444,9817,1444,9811,1439,9802,1437,9791,1437,9788,1434,9792,1424,9799,1410,9803,1394xm9817,1444l9808,1444,9819,1445,9817,1444xm9800,1437l9791,1437,9802,1437,9800,1437xe" filled="true" fillcolor="#b7705b" stroked="false">
              <v:path arrowok="t"/>
              <v:fill type="solid"/>
            </v:shape>
            <v:shape style="position:absolute;left:9804;top:1373;width:5;height:6" coordorigin="9805,1374" coordsize="5,6" path="m9805,1374l9805,1374,9805,1378,9808,1379,9809,1376,9809,1374,9807,1374,9805,1374xm9809,1374l9807,1374,9809,1374,9809,1374xe" filled="true" fillcolor="#b7705b" stroked="false">
              <v:path arrowok="t"/>
              <v:fill type="solid"/>
            </v:shape>
            <v:shape style="position:absolute;left:9799;top:1383;width:7;height:7" coordorigin="9799,1383" coordsize="7,7" path="m9806,1388l9801,1388,9802,1389,9806,1390,9806,1388xm9802,1383l9801,1385,9800,1386,9799,1388,9801,1388,9806,1388,9806,1385,9804,1384,9802,1383xe" filled="true" fillcolor="#b7705b" stroked="false">
              <v:path arrowok="t"/>
              <v:fill type="solid"/>
            </v:shape>
            <v:shape style="position:absolute;left:8229;top:1149;width:10;height:12" coordorigin="8230,1149" coordsize="10,12" path="m8236,1149l8230,1156,8231,1160,8232,1161,8234,1161,8235,1160,8237,1160,8239,1159,8238,1156,8236,1149xe" filled="true" fillcolor="#b7705b" stroked="false">
              <v:path arrowok="t"/>
              <v:fill type="solid"/>
            </v:shape>
            <v:shape style="position:absolute;left:10037;top:1163;width:6;height:7" coordorigin="10038,1163" coordsize="6,7" path="m10038,1163l10038,1170,10041,1170,10044,1169,10042,1166,10042,1165,10038,1163xe" filled="true" fillcolor="#b7705b" stroked="false">
              <v:path arrowok="t"/>
              <v:fill type="solid"/>
            </v:shape>
            <v:shape style="position:absolute;left:9853;top:1182;width:6;height:7" coordorigin="9853,1182" coordsize="6,7" path="m9853,1182l9853,1188,9858,1189,9857,1184,9859,1184,9853,1182xe" filled="true" fillcolor="#b7705b" stroked="false">
              <v:path arrowok="t"/>
              <v:fill type="solid"/>
            </v:shape>
            <v:shape style="position:absolute;left:8568;top:1158;width:12;height:12" coordorigin="8569,1159" coordsize="12,12" path="m8577,1159l8569,1160,8570,1166,8572,1167,8573,1170,8577,1169,8578,1167,8580,1166,8579,1164,8577,1159xe" filled="true" fillcolor="#b7705b" stroked="false">
              <v:path arrowok="t"/>
              <v:fill type="solid"/>
            </v:shape>
            <v:shape style="position:absolute;left:9864;top:1181;width:10;height:10" coordorigin="9865,1182" coordsize="10,10" path="m9873,1182l9868,1183,9865,1185,9865,1188,9868,1190,9871,1191,9872,1189,9874,1187,9873,1184,9873,1182xe" filled="true" fillcolor="#b7705b" stroked="false">
              <v:path arrowok="t"/>
              <v:fill type="solid"/>
            </v:shape>
            <v:shape style="position:absolute;left:8225;top:1168;width:7;height:9" coordorigin="8225,1168" coordsize="7,9" path="m8229,1176l8227,1176,8229,1177,8229,1176xm8225,1168l8225,1176,8227,1176,8229,1176,8230,1175,8231,1170,8228,1170,8225,1168xm8231,1170l8228,1170,8231,1170,8231,1170xe" filled="true" fillcolor="#b7705b" stroked="false">
              <v:path arrowok="t"/>
              <v:fill type="solid"/>
            </v:shape>
            <v:rect style="position:absolute;left:8558;top:1169;width:8;height:5" filled="true" fillcolor="#b7705b" stroked="false">
              <v:fill type="solid"/>
            </v:rect>
            <v:shape style="position:absolute;left:10277;top:1112;width:7;height:7" coordorigin="10277,1112" coordsize="7,7" path="m10283,1112l10279,1114,10277,1114,10282,1118,10284,1117,10284,1115,10283,1112xe" filled="true" fillcolor="#b7705b" stroked="false">
              <v:path arrowok="t"/>
              <v:fill type="solid"/>
            </v:shape>
            <v:shape style="position:absolute;left:10290;top:1112;width:14;height:13" coordorigin="10290,1112" coordsize="14,13" path="m10304,1119l10297,1119,10303,1124,10304,1119xm10301,1112l10290,1115,10294,1120,10297,1119,10304,1119,10304,1118,10301,1112xe" filled="true" fillcolor="#b7705b" stroked="false">
              <v:path arrowok="t"/>
              <v:fill type="solid"/>
            </v:shape>
            <v:shape style="position:absolute;left:8180;top:1278;width:8;height:7" coordorigin="8181,1279" coordsize="8,7" path="m8186,1279l8182,1280,8181,1280,8181,1286,8185,1286,8188,1285,8187,1283,8187,1281,8186,1279xe" filled="true" fillcolor="#b7705b" stroked="false">
              <v:path arrowok="t"/>
              <v:fill type="solid"/>
            </v:shape>
            <v:shape style="position:absolute;left:9708;top:1541;width:10;height:10" coordorigin="9709,1541" coordsize="10,10" path="m9718,1541l9711,1545,9709,1547,9712,1549,9713,1550,9717,1551,9718,1541xe" filled="true" fillcolor="#b7705b" stroked="false">
              <v:path arrowok="t"/>
              <v:fill type="solid"/>
            </v:shape>
            <v:shape style="position:absolute;left:9708;top:1557;width:5;height:7" coordorigin="9709,1558" coordsize="5,7" path="m9712,1558l9709,1558,9709,1560,9709,1563,9713,1564,9712,1560,9712,1558xe" filled="true" fillcolor="#b7705b" stroked="false">
              <v:path arrowok="t"/>
              <v:fill type="solid"/>
            </v:shape>
            <v:shape style="position:absolute;left:9705;top:1579;width:5;height:5" coordorigin="9706,1579" coordsize="5,5" path="m9708,1579l9708,1581,9706,1582,9706,1583,9711,1583,9710,1580,9708,1579xe" filled="true" fillcolor="#b7705b" stroked="false">
              <v:path arrowok="t"/>
              <v:fill type="solid"/>
            </v:shape>
            <v:shape style="position:absolute;left:7916;top:1328;width:7;height:7" coordorigin="7917,1329" coordsize="7,7" path="m7921,1329l7918,1330,7917,1330,7917,1336,7919,1336,7920,1334,7923,1333,7922,1331,7921,1329xe" filled="true" fillcolor="#b7705b" stroked="false">
              <v:path arrowok="t"/>
              <v:fill type="solid"/>
            </v:shape>
            <v:shape style="position:absolute;left:7405;top:1298;width:7;height:7" coordorigin="7406,1299" coordsize="7,7" path="m7412,1299l7406,1299,7406,1306,7410,1306,7413,1304,7412,1301,7412,1299xe" filled="true" fillcolor="#b7705b" stroked="false">
              <v:path arrowok="t"/>
              <v:fill type="solid"/>
            </v:shape>
            <v:shape style="position:absolute;left:10349;top:1346;width:11;height:8" coordorigin="10349,1347" coordsize="11,8" path="m10353,1348l10349,1351,10355,1355,10358,1354,10360,1353,10359,1351,10359,1349,10359,1348,10355,1348,10353,1348xm10358,1347l10355,1348,10359,1348,10358,1347xe" filled="true" fillcolor="#b7705b" stroked="false">
              <v:path arrowok="t"/>
              <v:fill type="solid"/>
            </v:shape>
            <v:shape style="position:absolute;left:10355;top:1399;width:8;height:8" coordorigin="10355,1400" coordsize="8,8" path="m10358,1400l10357,1402,10355,1407,10360,1407,10363,1404,10363,1402,10359,1402,10358,1400xm10363,1401l10359,1402,10363,1402,10363,1401xe" filled="true" fillcolor="#b7705b" stroked="false">
              <v:path arrowok="t"/>
              <v:fill type="solid"/>
            </v:shape>
            <v:shape style="position:absolute;left:10368;top:1407;width:7;height:6" coordorigin="10369,1408" coordsize="7,6" path="m10373,1408l10369,1408,10372,1414,10375,1410,10374,1410,10373,1410,10373,1408xm10375,1410l10374,1410,10375,1410,10375,1410xe" filled="true" fillcolor="#b7705b" stroked="false">
              <v:path arrowok="t"/>
              <v:fill type="solid"/>
            </v:shape>
            <v:shape style="position:absolute;left:7351;top:1506;width:6;height:8" coordorigin="7352,1506" coordsize="6,8" path="m7353,1506l7352,1511,7352,1514,7358,1514,7358,1508,7353,1506xe" filled="true" fillcolor="#b7705b" stroked="false">
              <v:path arrowok="t"/>
              <v:fill type="solid"/>
            </v:shape>
            <v:shape style="position:absolute;left:9534;top:1236;width:8;height:5" coordorigin="9534,1236" coordsize="8,5" path="m9537,1236l9535,1238,9534,1239,9541,1241,9541,1239,9540,1238,9538,1237,9537,1236xe" filled="true" fillcolor="#b7705b" stroked="false">
              <v:path arrowok="t"/>
              <v:fill type="solid"/>
            </v:shape>
            <v:shape style="position:absolute;left:9529;top:1226;width:5;height:4" coordorigin="9530,1227" coordsize="5,4" path="m9534,1227l9531,1228,9530,1229,9534,1231,9533,1230,9534,1227xe" filled="true" fillcolor="#b7705b" stroked="false">
              <v:path arrowok="t"/>
              <v:fill type="solid"/>
            </v:shape>
            <v:shape style="position:absolute;left:9524;top:1214;width:5;height:5" coordorigin="9525,1215" coordsize="5,5" path="m9527,1215l9526,1215,9525,1215,9525,1216,9525,1218,9527,1219,9530,1216,9527,1215xe" filled="true" fillcolor="#b7705b" stroked="false">
              <v:path arrowok="t"/>
              <v:fill type="solid"/>
            </v:shape>
            <v:rect style="position:absolute;left:9516;top:1273;width:3;height:7" filled="true" fillcolor="#b7705b" stroked="false">
              <v:fill type="solid"/>
            </v:rect>
            <v:shape style="position:absolute;left:7534;top:1707;width:7;height:8" coordorigin="7534,1708" coordsize="7,8" path="m7538,1708l7534,1708,7538,1715,7540,1714,7538,1711,7539,1709,7538,1708xe" filled="true" fillcolor="#b7705b" stroked="false">
              <v:path arrowok="t"/>
              <v:fill type="solid"/>
            </v:shape>
            <v:rect style="position:absolute;left:9516;top:1654;width:11;height:12" filled="true" fillcolor="#b7705b" stroked="false">
              <v:fill type="solid"/>
            </v:rect>
            <v:shape style="position:absolute;left:7539;top:1719;width:11;height:11" coordorigin="7540,1720" coordsize="11,11" path="m7547,1720l7544,1722,7540,1722,7540,1726,7543,1730,7547,1729,7550,1727,7548,1725,7548,1722,7547,1720xe" filled="true" fillcolor="#b7705b" stroked="false">
              <v:path arrowok="t"/>
              <v:fill type="solid"/>
            </v:shape>
            <v:shape style="position:absolute;left:9166;top:1754;width:12;height:10" coordorigin="9166,1754" coordsize="12,10" path="m9177,1759l9168,1759,9178,1763,9177,1759xm9171,1754l9169,1754,9166,1760,9168,1759,9177,1759,9176,1757,9172,1757,9171,1754xm9176,1756l9172,1757,9176,1757,9176,1756xe" filled="true" fillcolor="#b7705b" stroked="false">
              <v:path arrowok="t"/>
              <v:fill type="solid"/>
            </v:shape>
            <v:shape style="position:absolute;left:7362;top:1813;width:12;height:12" coordorigin="7362,1813" coordsize="12,12" path="m7362,1813l7365,1825,7369,1825,7369,1821,7374,1818,7369,1816,7362,1813xe" filled="true" fillcolor="#b7705b" stroked="false">
              <v:path arrowok="t"/>
              <v:fill type="solid"/>
            </v:shape>
            <v:shape style="position:absolute;left:8670;top:1776;width:10;height:9" coordorigin="8670,1776" coordsize="10,9" path="m8672,1776l8670,1781,8672,1784,8675,1785,8678,1783,8679,1779,8674,1779,8672,1776xm8680,1779l8674,1779,8679,1779,8680,1779xe" filled="true" fillcolor="#b7705b" stroked="false">
              <v:path arrowok="t"/>
              <v:fill type="solid"/>
            </v:shape>
            <v:shape style="position:absolute;left:9993;top:1757;width:10;height:14" coordorigin="9994,1757" coordsize="10,14" path="m9999,1758l9994,1758,9994,1763,9995,1767,9997,1770,10000,1765,10004,1765,10004,1763,10002,1763,9999,1758xm10003,1757l10002,1763,10004,1763,10003,1757xe" filled="true" fillcolor="#b7705b" stroked="false">
              <v:path arrowok="t"/>
              <v:fill type="solid"/>
            </v:shape>
            <v:shape style="position:absolute;left:9978;top:1758;width:9;height:8" coordorigin="9978,1758" coordsize="9,8" path="m9981,1758l9978,1762,9980,1766,9984,1765,9986,1764,9986,1762,9986,1760,9981,1758xe" filled="true" fillcolor="#b7705b" stroked="false">
              <v:path arrowok="t"/>
              <v:fill type="solid"/>
            </v:shape>
            <v:shape style="position:absolute;left:7513;top:1820;width:16;height:9" coordorigin="7514,1820" coordsize="16,9" path="m7529,1820l7515,1827,7516,1828,7519,1829,7521,1828,7529,1820xm7515,1827l7515,1828,7515,1827,7515,1827xm7515,1821l7514,1826,7515,1827,7515,1821xe" filled="true" fillcolor="#b7705b" stroked="false">
              <v:path arrowok="t"/>
              <v:fill type="solid"/>
            </v:shape>
            <v:shape style="position:absolute;left:9960;top:1763;width:4;height:6" coordorigin="9960,1763" coordsize="4,6" path="m9960,1763l9961,1769,9962,1768,9964,1768,9964,1765,9962,1765,9961,1764,9960,1763xm9964,1764l9962,1765,9964,1765,9964,1764xe" filled="true" fillcolor="#b7705b" stroked="false">
              <v:path arrowok="t"/>
              <v:fill type="solid"/>
            </v:shape>
            <v:shape style="position:absolute;left:7359;top:1829;width:8;height:8" coordorigin="7360,1829" coordsize="8,8" path="m7364,1829l7360,1829,7361,1835,7362,1837,7367,1832,7364,1829xe" filled="true" fillcolor="#b7705b" stroked="false">
              <v:path arrowok="t"/>
              <v:fill type="solid"/>
            </v:shape>
            <v:shape style="position:absolute;left:7502;top:1828;width:7;height:8" coordorigin="7502,1829" coordsize="7,8" path="m7508,1829l7504,1829,7502,1832,7505,1836,7508,1836,7508,1829xe" filled="true" fillcolor="#b7705b" stroked="false">
              <v:path arrowok="t"/>
              <v:fill type="solid"/>
            </v:shape>
            <v:shape style="position:absolute;left:7330;top:1844;width:75;height:177" coordorigin="7330,1844" coordsize="75,177" path="m7363,1844l7356,1868,7348,1887,7341,1905,7336,1925,7334,1950,7332,1998,7330,2021,7344,1976,7362,1948,7370,1941,7356,1941,7347,1939,7346,1922,7352,1898,7361,1870,7363,1844xm7404,1912l7384,1922,7368,1933,7356,1941,7370,1941,7383,1930,7404,1912xe" filled="true" fillcolor="#b7705b" stroked="false">
              <v:path arrowok="t"/>
              <v:fill type="solid"/>
            </v:shape>
            <v:shape style="position:absolute;left:10294;top:1776;width:8;height:8" coordorigin="10295,1777" coordsize="8,8" path="m10298,1777l10295,1782,10295,1784,10300,1784,10302,1782,10300,1780,10300,1778,10299,1778,10299,1777,10298,1777xe" filled="true" fillcolor="#b7705b" stroked="false">
              <v:path arrowok="t"/>
              <v:fill type="solid"/>
            </v:shape>
            <v:shape style="position:absolute;left:10318;top:1778;width:5;height:5" coordorigin="10318,1778" coordsize="5,5" path="m10323,1783l10319,1783,10318,1778,10322,1778,10323,1783xe" filled="true" fillcolor="#b7705b" stroked="false">
              <v:path arrowok="t"/>
              <v:fill type="solid"/>
            </v:shape>
            <v:shape style="position:absolute;left:7439;top:1878;width:7;height:5" coordorigin="7440,1878" coordsize="7,5" path="m7446,1882l7442,1882,7445,1883,7446,1882xm7444,1878l7441,1879,7440,1883,7442,1882,7446,1882,7446,1881,7444,1878xe" filled="true" fillcolor="#b7705b" stroked="false">
              <v:path arrowok="t"/>
              <v:fill type="solid"/>
            </v:shape>
            <v:shape style="position:absolute;left:7426;top:1889;width:10;height:9" coordorigin="7427,1889" coordsize="10,9" path="m7433,1889l7428,1890,7427,1893,7432,1898,7433,1895,7436,1894,7436,1891,7433,1889xe" filled="true" fillcolor="#b7705b" stroked="false">
              <v:path arrowok="t"/>
              <v:fill type="solid"/>
            </v:shape>
            <v:shape style="position:absolute;left:7413;top:1893;width:11;height:16" coordorigin="7413,1894" coordsize="11,16" path="m7422,1894l7413,1901,7417,1906,7420,1909,7424,1904,7424,1900,7422,1894xe" filled="true" fillcolor="#b7705b" stroked="false">
              <v:path arrowok="t"/>
              <v:fill type="solid"/>
            </v:shape>
            <v:shape style="position:absolute;left:9738;top:1777;width:6;height:8" coordorigin="9739,1777" coordsize="6,8" path="m9743,1777l9741,1778,9739,1779,9740,1785,9743,1784,9745,1783,9744,1780,9743,1777xe" filled="true" fillcolor="#b7705b" stroked="false">
              <v:path arrowok="t"/>
              <v:fill type="solid"/>
            </v:shape>
            <v:shape style="position:absolute;left:9713;top:1789;width:15;height:17" coordorigin="9713,1789" coordsize="15,17" path="m9721,1789l9713,1799,9718,1806,9726,1805,9725,1795,9728,1790,9721,1789xe" filled="true" fillcolor="#b7705b" stroked="false">
              <v:path arrowok="t"/>
              <v:fill type="solid"/>
            </v:shape>
            <v:shape style="position:absolute;left:7501;top:1929;width:9;height:8" coordorigin="7501,1930" coordsize="9,8" path="m7505,1930l7501,1933,7502,1937,7507,1937,7510,1936,7508,1933,7509,1931,7505,1930xe" filled="true" fillcolor="#b7705b" stroked="false">
              <v:path arrowok="t"/>
              <v:fill type="solid"/>
            </v:shape>
            <v:shape style="position:absolute;left:8397;top:1805;width:1366;height:695" coordorigin="8397,1805" coordsize="1366,695" path="m8497,2296l8499,2298,8511,2308,8525,2321,8532,2331,8535,2346,8536,2360,8534,2374,8531,2387,8512,2426,8482,2462,8443,2488,8397,2497,8423,2500,8447,2494,8468,2483,8486,2470,8500,2457,8511,2444,8522,2433,8537,2427,8556,2427,8556,2425,8548,2404,8546,2386,8549,2369,8549,2351,8551,2336,8562,2330,8587,2328,8616,2325,8650,2320,8667,2316,8585,2316,8538,2314,8497,2296xm8558,2444l8557,2461,8549,2496,8559,2455,8558,2444xm8558,2441l8558,2444,8558,2441,8558,2441xm8556,2427l8537,2427,8552,2432,8558,2441,8556,2427xm8840,2161l8820,2203,8778,2245,8728,2279,8679,2299,8633,2309,8585,2316,8667,2316,8688,2311,8750,2287,8789,2264,8824,2245,8876,2230,8901,2223,8840,2223,8821,2220,8823,2216,8829,2204,8836,2185,8840,2161xm9708,1805l9675,1817,9646,1829,9620,1845,9596,1869,9566,1914,9531,1956,9492,1994,9450,2026,9389,2060,9322,2080,9179,2108,9112,2129,9062,2154,9009,2175,8954,2194,8900,2211,8879,2216,8859,2221,8840,2223,8901,2223,8940,2212,9003,2191,9064,2168,9123,2139,9199,2119,9277,2105,9354,2089,9426,2061,9447,2057,9499,2057,9497,2056,9480,2050,9466,2047,9454,2044,9454,2040,9466,2032,9495,2009,9525,1983,9553,1954,9577,1925,9608,1906,9622,1902,9593,1902,9593,1893,9611,1860,9629,1840,9658,1824,9708,1805xm9499,2057l9447,2057,9476,2059,9506,2066,9532,2074,9515,2063,9499,2057xm9763,1871l9722,1872,9683,1878,9646,1886,9613,1894,9601,1896,9593,1902,9622,1902,9660,1890,9717,1878,9763,1871xe" filled="true" fillcolor="#b7705b" stroked="false">
              <v:path arrowok="t"/>
              <v:fill type="solid"/>
            </v:shape>
            <v:shape style="position:absolute;left:7501;top:1946;width:12;height:13" coordorigin="7502,1946" coordsize="12,13" path="m7509,1946l7502,1952,7505,1956,7506,1959,7508,1958,7510,1958,7512,1956,7513,1954,7512,1950,7509,1946xe" filled="true" fillcolor="#b7705b" stroked="false">
              <v:path arrowok="t"/>
              <v:fill type="solid"/>
            </v:shape>
            <v:shape style="position:absolute;left:8312;top:1946;width:9;height:12" coordorigin="8313,1946" coordsize="9,12" path="m8317,1946l8315,1947,8313,1950,8313,1958,8319,1956,8322,1956,8321,1952,8321,1950,8319,1949,8317,1946xe" filled="true" fillcolor="#b7705b" stroked="false">
              <v:path arrowok="t"/>
              <v:fill type="solid"/>
            </v:shape>
            <v:shape style="position:absolute;left:10522;top:1881;width:4;height:10" coordorigin="10522,1882" coordsize="4,10" path="m10522,1882l10523,1891,10525,1889,10524,1887,10526,1882,10522,1882xe" filled="true" fillcolor="#b7705b" stroked="false">
              <v:path arrowok="t"/>
              <v:fill type="solid"/>
            </v:shape>
            <v:shape style="position:absolute;left:8313;top:1959;width:15;height:11" coordorigin="8313,1960" coordsize="15,11" path="m8321,1960l8313,1963,8323,1968,8325,1970,8327,1967,8321,1960xe" filled="true" fillcolor="#b7705b" stroked="false">
              <v:path arrowok="t"/>
              <v:fill type="solid"/>
            </v:shape>
            <v:shape style="position:absolute;left:9786;top:1869;width:10;height:7" coordorigin="9786,1870" coordsize="10,7" path="m9791,1870l9788,1871,9786,1876,9796,1875,9796,1874,9793,1872,9791,1870xe" filled="true" fillcolor="#b7705b" stroked="false">
              <v:path arrowok="t"/>
              <v:fill type="solid"/>
            </v:shape>
            <v:shape style="position:absolute;left:10507;top:1906;width:12;height:11" coordorigin="10508,1907" coordsize="12,11" path="m10520,1907l10517,1907,10514,1911,10508,1912,10513,1917,10515,1917,10517,1915,10519,1913,10519,1911,10520,1907xe" filled="true" fillcolor="#b7705b" stroked="false">
              <v:path arrowok="t"/>
              <v:fill type="solid"/>
            </v:shape>
            <v:shape style="position:absolute;left:7589;top:2006;width:11;height:11" coordorigin="7589,2007" coordsize="11,11" path="m7597,2007l7589,2009,7591,2014,7593,2015,7594,2018,7596,2017,7597,2015,7599,2014,7598,2012,7597,2007xe" filled="true" fillcolor="#b7705b" stroked="false">
              <v:path arrowok="t"/>
              <v:fill type="solid"/>
            </v:shape>
            <v:shape style="position:absolute;left:8329;top:1978;width:6;height:7" coordorigin="8329,1978" coordsize="6,7" path="m8332,1978l8329,1979,8330,1985,8333,1985,8335,1984,8334,1982,8333,1980,8332,1978xe" filled="true" fillcolor="#b7705b" stroked="false">
              <v:path arrowok="t"/>
              <v:fill type="solid"/>
            </v:shape>
            <v:shape style="position:absolute;left:7569;top:2010;width:10;height:11" coordorigin="7569,2010" coordsize="10,11" path="m7574,2010l7570,2014,7569,2017,7572,2019,7573,2021,7576,2020,7578,2019,7577,2016,7577,2014,7574,2010xe" filled="true" fillcolor="#b7705b" stroked="false">
              <v:path arrowok="t"/>
              <v:fill type="solid"/>
            </v:shape>
            <v:shape style="position:absolute;left:10307;top:1926;width:201;height:304" coordorigin="10307,1926" coordsize="201,304" path="m10369,2068l10386,2120,10362,2174,10327,2215,10307,2230,10339,2207,10369,2174,10391,2138,10403,2103,10424,2081,10395,2081,10384,2078,10369,2068xm10508,1926l10493,1971,10469,2014,10439,2051,10403,2079,10401,2080,10395,2081,10424,2081,10441,2064,10472,2022,10495,1976,10508,1926xe" filled="true" fillcolor="#b7705b" stroked="false">
              <v:path arrowok="t"/>
              <v:fill type="solid"/>
            </v:shape>
            <v:shape style="position:absolute;left:7327;top:2028;width:4;height:10" coordorigin="7327,2029" coordsize="4,10" path="m7331,2038l7327,2038,7327,2029,7330,2029,7331,2038xe" filled="true" fillcolor="#b7705b" stroked="false">
              <v:path arrowok="t"/>
              <v:fill type="solid"/>
            </v:shape>
            <v:shape style="position:absolute;left:7324;top:2043;width:10;height:10" coordorigin="7325,2044" coordsize="10,10" path="m7331,2044l7325,2052,7330,2053,7334,2053,7334,2049,7331,2044xe" filled="true" fillcolor="#b7705b" stroked="false">
              <v:path arrowok="t"/>
              <v:fill type="solid"/>
            </v:shape>
            <v:shape style="position:absolute;left:7742;top:2076;width:7;height:8" coordorigin="7742,2076" coordsize="7,8" path="m7748,2076l7742,2076,7743,2084,7744,2084,7748,2082,7749,2080,7748,2076xe" filled="true" fillcolor="#b7705b" stroked="false">
              <v:path arrowok="t"/>
              <v:fill type="solid"/>
            </v:shape>
            <v:shape style="position:absolute;left:10350;top:2005;width:6;height:6" coordorigin="10351,2006" coordsize="6,6" path="m10355,2006l10351,2006,10354,2011,10356,2010,10355,2007,10355,2006xe" filled="true" fillcolor="#b7705b" stroked="false">
              <v:path arrowok="t"/>
              <v:fill type="solid"/>
            </v:shape>
            <v:shape style="position:absolute;left:7727;top:2080;width:11;height:12" coordorigin="7728,2080" coordsize="11,12" path="m7732,2080l7728,2086,7728,2091,7729,2092,7730,2092,7734,2089,7738,2088,7736,2083,7732,2080xe" filled="true" fillcolor="#b7705b" stroked="false">
              <v:path arrowok="t"/>
              <v:fill type="solid"/>
            </v:shape>
            <v:shape style="position:absolute;left:7710;top:2088;width:8;height:8" coordorigin="7711,2088" coordsize="8,8" path="m7715,2088l7712,2091,7711,2092,7713,2095,7715,2096,7718,2095,7718,2089,7715,2088xe" filled="true" fillcolor="#b7705b" stroked="false">
              <v:path arrowok="t"/>
              <v:fill type="solid"/>
            </v:shape>
            <v:shape style="position:absolute;left:10355;top:2022;width:7;height:8" coordorigin="10356,2023" coordsize="7,8" path="m10358,2023l10356,2025,10360,2031,10362,2027,10360,2026,10358,2023xe" filled="true" fillcolor="#b7705b" stroked="false">
              <v:path arrowok="t"/>
              <v:fill type="solid"/>
            </v:shape>
            <v:shape style="position:absolute;left:7831;top:2096;width:8;height:11" coordorigin="7831,2096" coordsize="8,11" path="m7839,2096l7834,2098,7831,2101,7835,2107,7839,2105,7839,2103,7837,2100,7839,2096xe" filled="true" fillcolor="#b7705b" stroked="false">
              <v:path arrowok="t"/>
              <v:fill type="solid"/>
            </v:shape>
            <v:shape style="position:absolute;left:7989;top:2098;width:15;height:11" coordorigin="7990,2098" coordsize="15,11" path="m7990,2098l7992,2106,7993,2109,7998,2108,8001,2108,8002,2107,8004,2106,8004,2104,8002,2099,7990,2098xe" filled="true" fillcolor="#b7705b" stroked="false">
              <v:path arrowok="t"/>
              <v:fill type="solid"/>
            </v:shape>
            <v:shape style="position:absolute;left:7978;top:2103;width:10;height:11" coordorigin="7978,2103" coordsize="10,11" path="m7985,2103l7982,2104,7980,2106,7978,2110,7982,2112,7986,2113,7986,2108,7987,2107,7986,2106,7985,2103xe" filled="true" fillcolor="#b7705b" stroked="false">
              <v:path arrowok="t"/>
              <v:fill type="solid"/>
            </v:shape>
            <v:shape style="position:absolute;left:10355;top:2037;width:10;height:11" coordorigin="10355,2037" coordsize="10,11" path="m10365,2037l10355,2039,10358,2045,10365,2048,10365,2043,10365,2037xe" filled="true" fillcolor="#b7705b" stroked="false">
              <v:path arrowok="t"/>
              <v:fill type="solid"/>
            </v:shape>
            <v:shape style="position:absolute;left:7394;top:2124;width:5;height:7" coordorigin="7394,2124" coordsize="5,7" path="m7395,2124l7394,2131,7398,2131,7399,2129,7399,2127,7397,2126,7395,2124xe" filled="true" fillcolor="#b7705b" stroked="false">
              <v:path arrowok="t"/>
              <v:fill type="solid"/>
            </v:shape>
            <v:shape style="position:absolute;left:7833;top:2113;width:7;height:10" coordorigin="7833,2113" coordsize="7,10" path="m7836,2113l7833,2117,7839,2122,7839,2119,7840,2115,7836,2113xe" filled="true" fillcolor="#b7705b" stroked="false">
              <v:path arrowok="t"/>
              <v:fill type="solid"/>
            </v:shape>
            <v:shape style="position:absolute;left:7404;top:2127;width:10;height:6" coordorigin="7405,2128" coordsize="10,6" path="m7406,2128l7405,2133,7412,2133,7413,2130,7408,2130,7406,2128xm7414,2128l7408,2130,7413,2130,7414,2128xe" filled="true" fillcolor="#b7705b" stroked="false">
              <v:path arrowok="t"/>
              <v:fill type="solid"/>
            </v:shape>
            <v:shape style="position:absolute;left:7964;top:2112;width:7;height:6" coordorigin="7964,2112" coordsize="7,6" path="m7968,2112l7964,2112,7965,2118,7966,2116,7970,2116,7969,2114,7968,2112xm7970,2116l7966,2116,7971,2118,7970,2116xe" filled="true" fillcolor="#b7705b" stroked="false">
              <v:path arrowok="t"/>
              <v:fill type="solid"/>
            </v:shape>
            <v:shape style="position:absolute;left:10588;top:2047;width:7;height:7" coordorigin="10588,2048" coordsize="7,7" path="m10591,2048l10588,2050,10589,2054,10595,2054,10595,2052,10593,2051,10591,2048xe" filled="true" fillcolor="#b7705b" stroked="false">
              <v:path arrowok="t"/>
              <v:fill type="solid"/>
            </v:shape>
            <v:shape style="position:absolute;left:10606;top:2049;width:14;height:11" coordorigin="10606,2050" coordsize="14,11" path="m10616,2050l10612,2051,10609,2051,10606,2055,10612,2060,10617,2058,10619,2058,10619,2053,10616,2050xe" filled="true" fillcolor="#b7705b" stroked="false">
              <v:path arrowok="t"/>
              <v:fill type="solid"/>
            </v:shape>
            <v:shape style="position:absolute;left:9882;top:2065;width:8;height:8" coordorigin="9882,2066" coordsize="8,8" path="m9888,2066l9884,2067,9882,2067,9883,2073,9888,2073,9890,2072,9889,2070,9889,2068,9888,2066xe" filled="true" fillcolor="#b7705b" stroked="false">
              <v:path arrowok="t"/>
              <v:fill type="solid"/>
            </v:shape>
            <v:shape style="position:absolute;left:8853;top:2129;width:7;height:8" coordorigin="8853,2129" coordsize="7,8" path="m8859,2135l8855,2135,8858,2136,8859,2135xm8855,2129l8853,2135,8855,2135,8859,2135,8860,2131,8857,2131,8855,2129xe" filled="true" fillcolor="#b7705b" stroked="false">
              <v:path arrowok="t"/>
              <v:fill type="solid"/>
            </v:shape>
            <v:shape style="position:absolute;left:9870;top:2089;width:11;height:10" coordorigin="9870,2089" coordsize="11,10" path="m9880,2097l9876,2097,9879,2098,9880,2097xm9874,2089l9872,2091,9870,2096,9874,2097,9876,2097,9880,2097,9880,2096,9881,2091,9878,2091,9874,2089xm9881,2091l9878,2091,9881,2091,9881,2091xe" filled="true" fillcolor="#b7705b" stroked="false">
              <v:path arrowok="t"/>
              <v:fill type="solid"/>
            </v:shape>
            <v:shape style="position:absolute;left:7421;top:2176;width:212;height:115" type="#_x0000_t75" stroked="false">
              <v:imagedata r:id="rId69" o:title=""/>
            </v:shape>
            <v:shape style="position:absolute;left:9534;top:2073;width:11;height:15" coordorigin="9535,2073" coordsize="11,15" path="m9543,2073l9540,2074,9535,2074,9538,2082,9540,2083,9545,2088,9545,2079,9545,2076,9544,2076,9543,2073xe" filled="true" fillcolor="#b7705b" stroked="false">
              <v:path arrowok="t"/>
              <v:fill type="solid"/>
            </v:shape>
            <v:shape style="position:absolute;left:8752;top:2108;width:1183;height:502" coordorigin="8752,2109" coordsize="1183,502" path="m8752,2524l8754,2526,8766,2534,8782,2543,8797,2549,8805,2555,8795,2567,8779,2586,8767,2610,8775,2601,8795,2580,8821,2559,8846,2548,8895,2540,8805,2540,8752,2524xm9164,2343l9125,2394,9079,2440,9027,2478,8969,2506,8916,2522,8861,2536,8805,2540,8895,2540,8897,2539,8947,2527,8995,2510,9041,2489,9067,2484,9096,2480,9126,2477,9155,2475,9085,2471,9080,2471,9070,2470,9072,2463,9107,2431,9162,2412,9213,2399,9148,2399,9148,2385,9157,2364,9164,2343xm9083,2471l9080,2471,9085,2471,9083,2471xm9549,2235l9479,2280,9406,2319,9330,2352,9250,2378,9168,2398,9148,2399,9213,2399,9278,2383,9334,2363,9412,2329,9491,2299,9572,2271,9575,2270,9525,2270,9524,2264,9532,2252,9549,2235xm9867,2109l9814,2163,9750,2200,9681,2226,9536,2267,9525,2270,9575,2270,9654,2245,9736,2220,9756,2212,9792,2192,9812,2184,9841,2174,9873,2170,9917,2170,9901,2165,9888,2161,9855,2161,9844,2160,9842,2152,9847,2146,9857,2131,9866,2116,9867,2109xm9917,2170l9873,2170,9904,2172,9935,2179,9930,2176,9917,2170xm9870,2160l9855,2161,9888,2161,9886,2161,9870,2160xe" filled="true" fillcolor="#b7705b" stroked="false">
              <v:path arrowok="t"/>
              <v:fill type="solid"/>
            </v:shape>
            <v:shape style="position:absolute;left:8845;top:2148;width:7;height:9" coordorigin="8845,2148" coordsize="7,9" path="m8845,2150l8846,2156,8850,2156,8852,2155,8852,2152,8852,2151,8851,2150,8847,2150,8845,2150xm8851,2148l8847,2150,8851,2150,8851,2148xe" filled="true" fillcolor="#b7705b" stroked="false">
              <v:path arrowok="t"/>
              <v:fill type="solid"/>
            </v:shape>
            <v:shape style="position:absolute;left:9554;top:2080;width:14;height:11" coordorigin="9554,2080" coordsize="14,11" path="m9560,2080l9556,2082,9554,2087,9562,2090,9568,2088,9568,2084,9564,2082,9560,2080xe" filled="true" fillcolor="#b7705b" stroked="false">
              <v:path arrowok="t"/>
              <v:fill type="solid"/>
            </v:shape>
            <v:shape style="position:absolute;left:10202;top:2131;width:4;height:4" coordorigin="10203,2132" coordsize="4,4" path="m10206,2132l10203,2132,10206,2135,10206,2132xe" filled="true" fillcolor="#b7705b" stroked="false">
              <v:path arrowok="t"/>
              <v:fill type="solid"/>
            </v:shape>
            <v:shape style="position:absolute;left:10196;top:2145;width:9;height:15" coordorigin="10196,2146" coordsize="9,15" path="m10201,2146l10200,2151,10197,2153,10196,2157,10198,2159,10203,2160,10205,2147,10201,2146xe" filled="true" fillcolor="#b7705b" stroked="false">
              <v:path arrowok="t"/>
              <v:fill type="solid"/>
            </v:shape>
            <v:shape style="position:absolute;left:10197;top:2166;width:7;height:8" coordorigin="10197,2167" coordsize="7,8" path="m10203,2167l10197,2167,10198,2174,10201,2174,10204,2173,10202,2169,10203,2167xe" filled="true" fillcolor="#b7705b" stroked="false">
              <v:path arrowok="t"/>
              <v:fill type="solid"/>
            </v:shape>
            <v:shape style="position:absolute;left:9941;top:2174;width:12;height:14" coordorigin="9942,2174" coordsize="12,14" path="m9949,2174l9942,2178,9943,2183,9946,2184,9947,2187,9951,2186,9953,2184,9954,2181,9953,2178,9949,2174xe" filled="true" fillcolor="#b7705b" stroked="false">
              <v:path arrowok="t"/>
              <v:fill type="solid"/>
            </v:shape>
            <v:shape style="position:absolute;left:8472;top:2256;width:5;height:7" coordorigin="8472,2257" coordsize="5,7" path="m8476,2257l8472,2257,8473,2263,8477,2262,8477,2258,8476,2257xe" filled="true" fillcolor="#b7705b" stroked="false">
              <v:path arrowok="t"/>
              <v:fill type="solid"/>
            </v:shape>
            <v:shape style="position:absolute;left:9979;top:2185;width:8;height:10" coordorigin="9980,2185" coordsize="8,10" path="m9982,2185l9980,2187,9980,2195,9984,2195,9985,2193,9987,2192,9986,2189,9984,2188,9982,2185xe" filled="true" fillcolor="#b7705b" stroked="false">
              <v:path arrowok="t"/>
              <v:fill type="solid"/>
            </v:shape>
            <v:shape style="position:absolute;left:8476;top:2268;width:9;height:9" coordorigin="8476,2269" coordsize="9,9" path="m8476,2270l8476,2274,8479,2278,8483,2277,8485,2276,8483,2273,8483,2271,8483,2271,8478,2271,8476,2270xm8482,2269l8478,2271,8483,2271,8482,2269xe" filled="true" fillcolor="#b7705b" stroked="false">
              <v:path arrowok="t"/>
              <v:fill type="solid"/>
            </v:shape>
            <v:shape style="position:absolute;left:9560;top:2219;width:7;height:9" coordorigin="9560,2220" coordsize="7,9" path="m9563,2220l9560,2222,9561,2228,9563,2229,9565,2226,9567,2224,9565,2222,9563,2220xe" filled="true" fillcolor="#b7705b" stroked="false">
              <v:path arrowok="t"/>
              <v:fill type="solid"/>
            </v:shape>
            <v:shape style="position:absolute;left:8481;top:2275;width:17;height:15" coordorigin="8482,2276" coordsize="17,15" path="m8495,2289l8488,2289,8494,2290,8495,2289xm8482,2276l8482,2287,8485,2290,8488,2289,8495,2289,8496,2287,8499,2281,8482,2276xe" filled="true" fillcolor="#b7705b" stroked="false">
              <v:path arrowok="t"/>
              <v:fill type="solid"/>
            </v:shape>
            <v:shape style="position:absolute;left:7659;top:2275;width:445;height:131" coordorigin="7659,2275" coordsize="445,131" path="m7803,2275l7735,2278,7664,2282,7660,2285,7659,2298,7664,2308,7674,2315,7685,2320,7728,2327,7827,2333,7874,2339,7924,2358,7972,2380,8022,2398,8075,2406,8092,2401,8100,2385,8103,2364,8104,2342,8100,2334,8088,2333,8067,2331,8039,2324,7937,2291,7870,2278,7803,2275xe" filled="true" fillcolor="#e2a48e" stroked="false">
              <v:path arrowok="t"/>
              <v:fill type="solid"/>
            </v:shape>
            <v:shape style="position:absolute;left:10294;top:2233;width:7;height:8" coordorigin="10295,2234" coordsize="7,8" path="m10297,2234l10295,2234,10295,2242,10296,2242,10298,2239,10301,2237,10297,2234xe" filled="true" fillcolor="#b7705b" stroked="false">
              <v:path arrowok="t"/>
              <v:fill type="solid"/>
            </v:shape>
            <v:shape style="position:absolute;left:9182;top:2305;width:12;height:9" coordorigin="9183,2305" coordsize="12,9" path="m9194,2313l9191,2313,9194,2314,9194,2313xm9191,2305l9183,2307,9186,2313,9191,2313,9194,2313,9195,2311,9194,2308,9191,2305xe" filled="true" fillcolor="#b7705b" stroked="false">
              <v:path arrowok="t"/>
              <v:fill type="solid"/>
            </v:shape>
            <v:shape style="position:absolute;left:9174;top:2314;width:12;height:10" coordorigin="9175,2314" coordsize="12,10" path="m9182,2314l9175,2315,9176,2320,9178,2321,9180,2324,9182,2323,9184,2321,9187,2319,9185,2317,9182,2314xe" filled="true" fillcolor="#b7705b" stroked="false">
              <v:path arrowok="t"/>
              <v:fill type="solid"/>
            </v:shape>
            <v:shape style="position:absolute;left:9167;top:2321;width:15;height:17" coordorigin="9167,2322" coordsize="15,17" path="m9180,2331l9171,2331,9182,2338,9180,2331xm9174,2322l9167,2332,9167,2336,9171,2331,9180,2331,9179,2329,9174,2322xe" filled="true" fillcolor="#b7705b" stroked="false">
              <v:path arrowok="t"/>
              <v:fill type="solid"/>
            </v:shape>
            <v:shape style="position:absolute;left:8328;top:2487;width:7;height:8" coordorigin="8329,2488" coordsize="7,8" path="m8334,2488l8329,2490,8331,2496,8333,2495,8334,2495,8335,2494,8334,2490,8334,2488xe" filled="true" fillcolor="#b7705b" stroked="false">
              <v:path arrowok="t"/>
              <v:fill type="solid"/>
            </v:shape>
            <v:shape style="position:absolute;left:8381;top:2488;width:9;height:9" coordorigin="8382,2489" coordsize="9,9" path="m8388,2489l8382,2489,8382,2497,8390,2496,8390,2492,8388,2489xe" filled="true" fillcolor="#b7705b" stroked="false">
              <v:path arrowok="t"/>
              <v:fill type="solid"/>
            </v:shape>
            <v:shape style="position:absolute;left:8361;top:2490;width:7;height:8" coordorigin="8362,2491" coordsize="7,8" path="m8364,2491l8362,2493,8363,2499,8367,2498,8367,2496,8367,2496,8368,2495,8366,2494,8364,2491xe" filled="true" fillcolor="#b7705b" stroked="false">
              <v:path arrowok="t"/>
              <v:fill type="solid"/>
            </v:shape>
            <v:shape style="position:absolute;left:8693;top:2501;width:8;height:6" coordorigin="8694,2502" coordsize="8,6" path="m8695,2502l8694,2508,8702,2507,8700,2504,8700,2503,8695,2502xe" filled="true" fillcolor="#b7705b" stroked="false">
              <v:path arrowok="t"/>
              <v:fill type="solid"/>
            </v:shape>
            <v:shape style="position:absolute;left:9156;top:2473;width:13;height:9" coordorigin="9157,2474" coordsize="13,9" path="m9165,2474l9162,2474,9159,2475,9157,2478,9159,2482,9169,2481,9169,2478,9167,2476,9165,2474xe" filled="true" fillcolor="#b7705b" stroked="false">
              <v:path arrowok="t"/>
              <v:fill type="solid"/>
            </v:shape>
            <v:shape style="position:absolute;left:9176;top:2472;width:9;height:8" coordorigin="9177,2473" coordsize="9,8" path="m9181,2473l9177,2474,9177,2481,9185,2480,9185,2479,9184,2475,9181,2473xe" filled="true" fillcolor="#b7705b" stroked="false">
              <v:path arrowok="t"/>
              <v:fill type="solid"/>
            </v:shape>
            <v:shape style="position:absolute;left:8715;top:2506;width:11;height:9" coordorigin="8715,2506" coordsize="11,9" path="m8724,2514l8721,2514,8723,2514,8724,2514xm8719,2506l8717,2508,8715,2512,8718,2514,8721,2514,8724,2514,8725,2512,8726,2508,8721,2508,8719,2506xm8726,2507l8721,2508,8726,2508,8726,2507xe" filled="true" fillcolor="#b7705b" stroked="false">
              <v:path arrowok="t"/>
              <v:fill type="solid"/>
            </v:shape>
            <v:shape style="position:absolute;left:8537;top:2497;width:10;height:12" coordorigin="8538,2498" coordsize="10,12" path="m8545,2498l8541,2500,8538,2502,8539,2508,8541,2509,8547,2508,8548,2504,8546,2503,8545,2498xe" filled="true" fillcolor="#b7705b" stroked="false">
              <v:path arrowok="t"/>
              <v:fill type="solid"/>
            </v:shape>
            <v:shape style="position:absolute;left:8728;top:2512;width:16;height:12" coordorigin="8728,2512" coordsize="16,12" path="m8743,2512l8738,2513,8734,2513,8734,2516,8728,2520,8734,2522,8739,2524,8741,2519,8744,2516,8743,2512xe" filled="true" fillcolor="#b7705b" stroked="false">
              <v:path arrowok="t"/>
              <v:fill type="solid"/>
            </v:shape>
            <v:shape style="position:absolute;left:8531;top:2519;width:9;height:8" coordorigin="8532,2519" coordsize="9,8" path="m8535,2519l8532,2523,8534,2527,8540,2526,8539,2520,8535,2519xe" filled="true" fillcolor="#b7705b" stroked="false">
              <v:path arrowok="t"/>
              <v:fill type="solid"/>
            </v:shape>
            <v:shape style="position:absolute;left:8525;top:2548;width:4;height:7" coordorigin="8526,2549" coordsize="4,7" path="m8527,2549l8526,2556,8529,2552,8529,2550,8528,2549,8527,2549xe" filled="true" fillcolor="#b7705b" stroked="false">
              <v:path arrowok="t"/>
              <v:fill type="solid"/>
            </v:shape>
            <v:shape style="position:absolute;left:8756;top:2616;width:8;height:4" coordorigin="8757,2617" coordsize="8,4" path="m8759,2617l8757,2620,8765,2620,8759,2617xe" filled="true" fillcolor="#b7705b" stroked="false">
              <v:path arrowok="t"/>
              <v:fill type="solid"/>
            </v:shape>
            <v:shape style="position:absolute;left:8620;top:2696;width:8;height:7" coordorigin="8620,2697" coordsize="8,7" path="m8625,2697l8620,2697,8621,2704,8625,2697xm8628,2697l8626,2697,8625,2697,8628,2697xe" filled="true" fillcolor="#b7705b" stroked="false">
              <v:path arrowok="t"/>
              <v:fill type="solid"/>
            </v:shape>
            <v:shape style="position:absolute;left:8610;top:2701;width:9;height:10" coordorigin="8610,2701" coordsize="9,10" path="m8616,2701l8614,2701,8610,2703,8610,2709,8613,2711,8619,2705,8617,2704,8616,2701xe" filled="true" fillcolor="#b7705b" stroked="false">
              <v:path arrowok="t"/>
              <v:fill type="solid"/>
            </v:shape>
            <v:shape style="position:absolute;left:7465;top:658;width:1353;height:1422" coordorigin="7465,658" coordsize="1353,1422" path="m7831,2042l7817,2042,7823,2048,7826,2052,7829,2076,7831,2080,7831,2078,7830,2056,7829,2048,7831,2042xm7557,1744l7561,1754,7565,1764,7567,1776,7569,1786,7569,1790,7568,1794,7567,1796,7564,1802,7560,1806,7553,1810,7605,1810,7670,1812,7731,1828,7787,1854,7837,1894,7837,1894,7854,1908,7874,1926,7884,1938,7884,1950,7876,1960,7858,1980,7827,2022,7814,2036,7803,2044,7783,2064,7772,2074,7787,2068,7796,2060,7817,2042,7831,2042,7837,2022,7863,1988,7896,1956,7927,1932,7939,1926,7900,1926,7885,1920,7869,1906,7853,1892,7841,1880,7783,1838,7720,1812,7659,1798,7603,1796,7592,1794,7585,1788,7579,1780,7574,1770,7569,1762,7564,1754,7557,1744xm8062,1518l8004,1518,8084,1540,8153,1582,8209,1630,8213,1634,8216,1638,8217,1642,8216,1650,8210,1660,8202,1670,8191,1682,8183,1692,8176,1704,8168,1716,8160,1728,8149,1748,8141,1766,8136,1782,8133,1798,8128,1818,8120,1834,8105,1848,8081,1856,8039,1868,7997,1884,7956,1902,7915,1924,7900,1926,7939,1926,7990,1900,8058,1874,8130,1858,8218,1858,8193,1850,8169,1846,8140,1844,8140,1824,8145,1784,8160,1746,8183,1710,8213,1672,8241,1646,8269,1628,8234,1628,8223,1624,8212,1614,8163,1572,8113,1540,8062,1518xm8218,1858l8130,1858,8207,1862,8222,1864,8237,1870,8252,1878,8265,1886,8242,1870,8218,1858xm7605,1810l7554,1810,7536,1818,7534,1820,7545,1818,7564,1816,7586,1812,7605,1810xm8632,1588l8603,1588,8607,1590,8606,1598,8597,1614,8591,1622,8585,1634,8579,1646,8574,1660,8586,1640,8602,1620,8620,1600,8632,1588xm7569,1496l7538,1496,7555,1498,7562,1504,7566,1512,7603,1556,7647,1590,7697,1616,7752,1640,7761,1644,7773,1650,7782,1656,7772,1644,7760,1638,7751,1634,7737,1626,7732,1620,7732,1616,7734,1612,7741,1608,7711,1608,7684,1602,7657,1590,7630,1570,7598,1542,7573,1510,7569,1496xm8324,1272l8291,1272,8320,1282,8358,1308,8369,1318,8381,1328,8393,1338,8406,1348,8436,1366,8447,1376,8456,1392,8461,1414,8460,1448,8451,1482,8435,1516,8411,1548,8390,1564,8367,1578,8343,1588,8318,1596,8275,1614,8261,1620,8245,1628,8269,1628,8272,1626,8340,1598,8356,1594,8372,1588,8388,1580,8403,1574,8429,1570,8504,1570,8457,1558,8445,1556,8435,1554,8431,1548,8433,1538,8443,1522,8448,1512,8453,1504,8458,1494,8462,1480,8466,1464,8469,1450,8470,1436,8471,1422,8470,1410,8469,1400,8467,1388,8464,1378,8463,1376,8462,1374,8462,1368,8463,1364,8466,1360,8474,1352,8480,1348,8436,1348,8416,1342,8395,1328,8360,1296,8331,1276,8324,1272xm7753,1596l7711,1608,7741,1608,7751,1604,7763,1602,7776,1602,7768,1598,7753,1596xm8504,1570l8453,1570,8476,1574,8500,1580,8544,1588,8568,1590,8594,1588,8632,1588,8640,1580,8553,1580,8520,1574,8504,1570xm8676,1148l8621,1148,8650,1152,8675,1160,8694,1170,8732,1226,8747,1294,8744,1366,8727,1434,8704,1484,8678,1524,8650,1554,8619,1572,8586,1580,8640,1580,8663,1558,8704,1502,8733,1442,8750,1378,8756,1312,8755,1294,8753,1276,8751,1256,8747,1238,8745,1224,8733,1188,8729,1174,8713,1174,8705,1164,8699,1160,8689,1154,8676,1148xm7572,1322l7542,1322,7558,1324,7572,1326,7585,1330,7598,1336,7607,1344,7610,1352,7606,1362,7584,1398,7571,1416,7560,1434,7552,1454,7548,1474,7549,1480,7543,1482,7535,1484,7522,1488,7504,1496,7485,1510,7465,1534,7487,1514,7506,1502,7524,1496,7569,1496,7562,1472,7575,1432,7603,1392,7646,1334,7610,1334,7598,1330,7586,1324,7572,1322xm7899,1354l7889,1366,7880,1378,7873,1390,7867,1404,7863,1412,7860,1422,7858,1436,7857,1450,7858,1462,7860,1474,7864,1486,7870,1498,7877,1506,7882,1510,7893,1516,7896,1518,7897,1520,7897,1522,7897,1522,7896,1528,7888,1532,7880,1534,7893,1534,7905,1532,7915,1528,8004,1518,8062,1518,8011,1508,7923,1508,7901,1506,7882,1496,7867,1474,7865,1464,7863,1456,7863,1448,7867,1420,7876,1394,7887,1372,7899,1354xm7994,1506l7963,1506,7949,1508,8011,1508,7994,1506xm8519,1336l8496,1336,8484,1338,8474,1342,8455,1346,8436,1348,8480,1348,8486,1344,8501,1340,8519,1336xm7732,1142l7738,1152,7741,1160,7742,1168,7744,1180,7741,1192,7738,1200,7707,1234,7645,1308,7629,1328,7621,1334,7646,1334,7698,1266,7749,1208,7784,1174,7757,1174,7754,1172,7750,1172,7744,1156,7741,1148,7732,1142xm7557,1320l7540,1320,7524,1324,7542,1322,7572,1322,7557,1320xm8225,1208l8224,1208,8229,1220,8237,1232,8246,1244,8256,1254,8261,1256,8262,1260,8262,1264,8262,1264,8255,1272,8240,1278,8221,1284,8203,1288,8229,1288,8246,1280,8267,1274,8291,1272,8324,1272,8309,1264,8290,1258,8276,1252,8261,1246,8246,1234,8229,1214,8226,1210,8225,1208xm8085,840l8088,846,8092,848,8097,852,8120,860,8113,878,8109,886,8103,896,8095,908,8093,912,8086,918,8075,928,8059,940,8007,956,7958,982,7917,1018,7885,1058,7878,1072,7871,1082,7862,1092,7842,1108,7812,1132,7766,1170,7761,1172,7757,1174,7784,1174,7804,1154,7866,1106,7886,1102,7905,1098,7923,1096,7941,1096,7960,1094,7984,1092,8011,1088,7892,1088,7888,1082,7902,1056,7906,1048,7912,1034,7953,996,8004,966,8060,948,8111,942,8097,938,8093,934,8097,926,8104,918,8131,874,8156,852,8109,852,8096,848,8085,840xm8756,946l8758,958,8759,984,8752,998,8735,1038,8724,1082,8718,1120,8716,1144,8716,1158,8721,1172,8717,1174,8729,1174,8727,1160,8727,1142,8733,1086,8750,1030,8778,976,8786,966,8768,966,8762,960,8758,950,8756,946xm8484,1014l8386,1014,8454,1018,8501,1030,8542,1056,8575,1092,8599,1130,8605,1138,8596,1148,8591,1152,8621,1148,8676,1148,8672,1146,8652,1140,8632,1136,8621,1134,8613,1130,8603,1114,8571,1070,8536,1036,8494,1016,8484,1014xm8318,980l8321,994,8321,1004,8317,1010,8309,1018,8307,1018,8300,1022,8282,1030,8247,1046,8193,1064,8127,1072,8058,1076,7992,1082,7944,1084,7921,1086,7892,1088,8011,1088,8043,1086,8099,1084,8151,1080,8198,1074,8235,1062,8283,1038,8332,1022,8386,1014,8484,1014,8454,1008,8339,1008,8331,1002,8330,1002,8320,984,8318,980xm8392,1004l8358,1006,8339,1008,8454,1008,8444,1006,8392,1004xm8818,924l8809,930,8796,942,8783,954,8774,964,8768,966,8786,966,8818,924xm8677,674l8603,674,8530,682,8462,704,8399,744,8388,756,8377,762,8366,762,8352,764,8338,764,8320,766,8299,770,8274,778,8232,796,8186,818,8149,838,8134,846,8122,852,8156,852,8163,846,8199,824,8276,790,8300,782,8326,776,8395,776,8398,770,8405,758,8417,744,8477,710,8549,690,8623,684,8717,684,8710,682,8705,682,8697,676,8690,676,8677,674xm8395,776l8350,776,8369,778,8379,782,8384,790,8386,800,8385,814,8388,806,8390,798,8391,792,8394,780,8395,776xm8717,684l8623,684,8692,690,8748,706,8770,716,8784,732,8788,750,8782,772,8792,742,8779,714,8749,694,8717,684xm8710,658l8697,666,8690,676,8697,676,8710,658xe" filled="true" fillcolor="#b7705b" stroked="false">
              <v:path arrowok="t"/>
              <v:fill type="solid"/>
            </v:shape>
            <v:rect style="position:absolute;left:8296;top:1173;width:1220;height:754" filled="true" fillcolor="#fbc8b4" stroked="false">
              <v:fill type="solid"/>
            </v:rect>
            <v:line style="position:absolute" from="8890,1921" to="9243,1454" stroked="true" strokeweight="1pt" strokecolor="#231f20">
              <v:stroke dashstyle="solid"/>
            </v:line>
            <v:line style="position:absolute" from="7431,646" to="7431,454" stroked="true" strokeweight=".75pt" strokecolor="#231f20">
              <v:stroke dashstyle="solid"/>
            </v:line>
            <v:shape style="position:absolute;left:7394;top:390;width:74;height:90" coordorigin="7395,391" coordsize="74,90" path="m7431,391l7395,480,7431,459,7459,459,7431,391xm7459,459l7431,459,7468,480,7459,459xe" filled="true" fillcolor="#231f20" stroked="false">
              <v:path arrowok="t"/>
              <v:fill type="solid"/>
            </v:shape>
            <v:line style="position:absolute" from="8353,1126" to="8353,1318" stroked="true" strokeweight=".75pt" strokecolor="#ffffff">
              <v:stroke dashstyle="solid"/>
            </v:line>
            <v:shape style="position:absolute;left:8316;top:1291;width:74;height:90" coordorigin="8316,1292" coordsize="74,90" path="m8316,1292l8353,1381,8381,1313,8353,1313,8316,1292xm8390,1292l8353,1313,8381,1313,8390,1292xe" filled="true" fillcolor="#ffffff" stroked="false">
              <v:path arrowok="t"/>
              <v:fill type="solid"/>
            </v:shape>
            <v:shape style="position:absolute;left:8316;top:1291;width:74;height:90" coordorigin="8316,1292" coordsize="74,90" path="m8353,1381l8316,1292,8353,1313,8390,1292,8353,1381xe" filled="false" stroked="true" strokeweight="1pt" strokecolor="#ffffff">
              <v:path arrowok="t"/>
              <v:stroke dashstyle="solid"/>
            </v:shape>
            <v:line style="position:absolute" from="8353,1126" to="8353,1318" stroked="true" strokeweight=".75pt" strokecolor="#231f20">
              <v:stroke dashstyle="solid"/>
            </v:line>
            <v:shape style="position:absolute;left:8316;top:1291;width:74;height:90" coordorigin="8316,1292" coordsize="74,90" path="m8316,1292l8353,1381,8381,1313,8353,1313,8316,1292xm8390,1292l8353,1313,8381,1313,8390,1292xe" filled="true" fillcolor="#231f20" stroked="false">
              <v:path arrowok="t"/>
              <v:fill type="solid"/>
            </v:shape>
            <v:line style="position:absolute" from="8353,1503" to="8353,1694" stroked="true" strokeweight=".75pt" strokecolor="#ffffff">
              <v:stroke dashstyle="solid"/>
            </v:line>
            <v:line style="position:absolute" from="8353,1503" to="8353,1694" stroked="true" strokeweight=".75pt" strokecolor="#231f20">
              <v:stroke dashstyle="solid"/>
            </v:line>
            <v:shape style="position:absolute;left:8316;top:1668;width:74;height:90" coordorigin="8316,1668" coordsize="74,90" path="m8316,1668l8353,1758,8381,1690,8353,1690,8316,1668xm8390,1668l8353,1690,8381,1690,8390,1668xe" filled="true" fillcolor="#231f20" stroked="false">
              <v:path arrowok="t"/>
              <v:fill type="solid"/>
            </v:shape>
            <v:line style="position:absolute" from="8720,1126" to="8720,1318" stroked="true" strokeweight=".75pt" strokecolor="#ffffff">
              <v:stroke dashstyle="solid"/>
            </v:line>
            <v:shape style="position:absolute;left:8683;top:1291;width:74;height:90" coordorigin="8683,1292" coordsize="74,90" path="m8683,1292l8720,1381,8748,1313,8720,1313,8683,1292xm8756,1292l8720,1313,8748,1313,8756,1292xe" filled="true" fillcolor="#ffffff" stroked="false">
              <v:path arrowok="t"/>
              <v:fill type="solid"/>
            </v:shape>
            <v:shape style="position:absolute;left:8683;top:1291;width:74;height:90" coordorigin="8683,1292" coordsize="74,90" path="m8720,1381l8683,1292,8720,1313,8756,1292,8720,1381xe" filled="false" stroked="true" strokeweight="1pt" strokecolor="#ffffff">
              <v:path arrowok="t"/>
              <v:stroke dashstyle="solid"/>
            </v:shape>
            <v:line style="position:absolute" from="8720,1126" to="8720,1318" stroked="true" strokeweight=".75pt" strokecolor="#231f20">
              <v:stroke dashstyle="solid"/>
            </v:line>
            <v:shape style="position:absolute;left:8683;top:1291;width:74;height:90" coordorigin="8683,1292" coordsize="74,90" path="m8683,1292l8720,1381,8748,1313,8720,1313,8683,1292xm8756,1292l8720,1313,8748,1313,8756,1292xe" filled="true" fillcolor="#231f20" stroked="false">
              <v:path arrowok="t"/>
              <v:fill type="solid"/>
            </v:shape>
            <v:shape style="position:absolute;left:7031;top:464;width:780;height:219" type="#_x0000_t202" filled="false" stroked="false">
              <v:textbox inset="0,0,0,0">
                <w:txbxContent>
                  <w:p>
                    <w:pPr>
                      <w:spacing w:line="196" w:lineRule="exact" w:before="0"/>
                      <w:ind w:left="0" w:right="0" w:firstLine="0"/>
                      <w:jc w:val="left"/>
                      <w:rPr>
                        <w:rFonts w:ascii="Helvetica"/>
                        <w:sz w:val="16"/>
                      </w:rPr>
                    </w:pPr>
                    <w:r>
                      <w:rPr>
                        <w:rFonts w:ascii="Helvetica"/>
                        <w:color w:val="231F20"/>
                        <w:sz w:val="16"/>
                      </w:rPr>
                      <w:t>Na</w:t>
                    </w:r>
                    <w:r>
                      <w:rPr>
                        <w:rFonts w:ascii="Helvetica"/>
                        <w:color w:val="231F20"/>
                        <w:position w:val="5"/>
                        <w:sz w:val="12"/>
                      </w:rPr>
                      <w:t>+</w:t>
                    </w:r>
                    <w:r>
                      <w:rPr>
                        <w:rFonts w:ascii="Helvetica"/>
                        <w:color w:val="231F20"/>
                        <w:sz w:val="16"/>
                      </w:rPr>
                      <w:t>/ H</w:t>
                    </w:r>
                    <w:r>
                      <w:rPr>
                        <w:rFonts w:ascii="Helvetica"/>
                        <w:color w:val="231F20"/>
                        <w:sz w:val="16"/>
                        <w:vertAlign w:val="subscript"/>
                      </w:rPr>
                      <w:t>2</w:t>
                    </w:r>
                    <w:r>
                      <w:rPr>
                        <w:rFonts w:ascii="Helvetica"/>
                        <w:color w:val="231F20"/>
                        <w:sz w:val="16"/>
                        <w:vertAlign w:val="baseline"/>
                      </w:rPr>
                      <w:t>O</w:t>
                    </w:r>
                  </w:p>
                </w:txbxContent>
              </v:textbox>
              <w10:wrap type="none"/>
            </v:shape>
            <v:shape style="position:absolute;left:8424;top:1201;width:660;height:558" type="#_x0000_t202" filled="false" stroked="false">
              <v:textbox inset="0,0,0,0">
                <w:txbxContent>
                  <w:p>
                    <w:pPr>
                      <w:spacing w:line="194" w:lineRule="exact" w:before="0"/>
                      <w:ind w:left="9" w:right="0" w:firstLine="0"/>
                      <w:jc w:val="left"/>
                      <w:rPr>
                        <w:rFonts w:ascii="Helvetica"/>
                        <w:sz w:val="12"/>
                      </w:rPr>
                    </w:pPr>
                    <w:r>
                      <w:rPr>
                        <w:rFonts w:ascii="Helvetica"/>
                        <w:color w:val="231F20"/>
                        <w:sz w:val="16"/>
                      </w:rPr>
                      <w:t>K</w:t>
                    </w:r>
                    <w:r>
                      <w:rPr>
                        <w:rFonts w:ascii="Helvetica"/>
                        <w:color w:val="231F20"/>
                        <w:position w:val="5"/>
                        <w:sz w:val="12"/>
                      </w:rPr>
                      <w:t>+</w:t>
                    </w:r>
                    <w:r>
                      <w:rPr>
                        <w:rFonts w:ascii="Helvetica"/>
                        <w:color w:val="231F20"/>
                        <w:sz w:val="16"/>
                      </w:rPr>
                      <w:t>, Na</w:t>
                    </w:r>
                    <w:r>
                      <w:rPr>
                        <w:rFonts w:ascii="Helvetica"/>
                        <w:color w:val="231F20"/>
                        <w:position w:val="5"/>
                        <w:sz w:val="12"/>
                      </w:rPr>
                      <w:t>+</w:t>
                    </w:r>
                  </w:p>
                  <w:p>
                    <w:pPr>
                      <w:spacing w:line="235" w:lineRule="auto" w:before="1"/>
                      <w:ind w:left="26" w:right="80" w:hanging="27"/>
                      <w:jc w:val="left"/>
                      <w:rPr>
                        <w:rFonts w:ascii="Helvetica"/>
                        <w:sz w:val="16"/>
                      </w:rPr>
                    </w:pPr>
                    <w:r>
                      <w:rPr>
                        <w:rFonts w:ascii="Helvetica"/>
                        <w:color w:val="231F20"/>
                        <w:sz w:val="16"/>
                      </w:rPr>
                      <w:t>Organic solutes</w:t>
                    </w:r>
                  </w:p>
                </w:txbxContent>
              </v:textbox>
              <w10:wrap type="none"/>
            </v:shape>
            <v:shape style="position:absolute;left:9157;top:1680;width:327;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w:t>
                    </w:r>
                    <w:r>
                      <w:rPr>
                        <w:rFonts w:ascii="Helvetica"/>
                        <w:color w:val="231F20"/>
                        <w:sz w:val="16"/>
                        <w:vertAlign w:val="subscript"/>
                      </w:rPr>
                      <w:t>2</w:t>
                    </w:r>
                    <w:r>
                      <w:rPr>
                        <w:rFonts w:ascii="Helvetica"/>
                        <w:color w:val="231F20"/>
                        <w:sz w:val="16"/>
                        <w:vertAlign w:val="baseline"/>
                      </w:rPr>
                      <w:t>O</w:t>
                    </w:r>
                  </w:p>
                </w:txbxContent>
              </v:textbox>
              <w10:wrap type="none"/>
            </v:shape>
            <w10:wrap type="topAndBottom"/>
          </v:group>
        </w:pict>
      </w:r>
    </w:p>
    <w:p>
      <w:pPr>
        <w:spacing w:before="79"/>
        <w:ind w:left="295" w:right="724" w:firstLine="0"/>
        <w:jc w:val="center"/>
        <w:rPr>
          <w:rFonts w:ascii="Helvetica"/>
          <w:b/>
          <w:sz w:val="16"/>
        </w:rPr>
      </w:pPr>
      <w:r>
        <w:rPr>
          <w:rFonts w:ascii="Helvetica"/>
          <w:b/>
          <w:color w:val="231F20"/>
          <w:sz w:val="16"/>
        </w:rPr>
        <w:t>Chronic hyponatremia</w:t>
      </w:r>
    </w:p>
    <w:p>
      <w:pPr>
        <w:spacing w:line="254" w:lineRule="auto" w:before="92"/>
        <w:ind w:left="319" w:right="1077" w:firstLine="0"/>
        <w:jc w:val="both"/>
        <w:rPr>
          <w:rFonts w:ascii="Arial"/>
          <w:sz w:val="16"/>
        </w:rPr>
      </w:pPr>
      <w:r>
        <w:rPr/>
        <w:pict>
          <v:rect style="position:absolute;margin-left:576pt;margin-top:-321.232788pt;width:36pt;height:24pt;mso-position-horizontal-relative:page;mso-position-vertical-relative:paragraph;z-index:251767808" filled="true" fillcolor="#e8dac8" stroked="false">
            <v:fill type="solid"/>
            <w10:wrap type="none"/>
          </v:rect>
        </w:pict>
      </w:r>
      <w:bookmarkStart w:name="_bookmark10" w:id="11"/>
      <w:bookmarkEnd w:id="11"/>
      <w:r>
        <w:rPr/>
      </w:r>
      <w:r>
        <w:rPr>
          <w:rFonts w:ascii="Trebuchet MS"/>
          <w:b/>
          <w:color w:val="231F20"/>
          <w:sz w:val="16"/>
        </w:rPr>
        <w:t>Figure 25-7. </w:t>
      </w:r>
      <w:r>
        <w:rPr>
          <w:rFonts w:ascii="Arial"/>
          <w:color w:val="231F20"/>
          <w:sz w:val="16"/>
        </w:rPr>
        <w:t>Brain cell volume regulation during </w:t>
      </w:r>
      <w:r>
        <w:rPr>
          <w:rFonts w:ascii="Arial"/>
          <w:color w:val="231F20"/>
          <w:spacing w:val="-3"/>
          <w:sz w:val="16"/>
        </w:rPr>
        <w:t>hyponatremia. </w:t>
      </w:r>
      <w:r>
        <w:rPr>
          <w:rFonts w:ascii="Arial"/>
          <w:color w:val="231F20"/>
          <w:sz w:val="16"/>
        </w:rPr>
        <w:t>During acute hyponatremia, caused by loss of Na</w:t>
      </w:r>
      <w:r>
        <w:rPr>
          <w:rFonts w:ascii="Consolas"/>
          <w:color w:val="231F20"/>
          <w:position w:val="6"/>
          <w:sz w:val="9"/>
        </w:rPr>
        <w:t>+ </w:t>
      </w:r>
      <w:r>
        <w:rPr>
          <w:rFonts w:ascii="Arial"/>
          <w:color w:val="231F20"/>
          <w:sz w:val="16"/>
        </w:rPr>
        <w:t>or excess </w:t>
      </w:r>
      <w:r>
        <w:rPr>
          <w:rFonts w:ascii="Arial"/>
          <w:color w:val="231F20"/>
          <w:spacing w:val="-5"/>
          <w:sz w:val="16"/>
        </w:rPr>
        <w:t>H</w:t>
      </w:r>
      <w:r>
        <w:rPr>
          <w:rFonts w:ascii="Arial"/>
          <w:color w:val="231F20"/>
          <w:spacing w:val="-5"/>
          <w:position w:val="-1"/>
          <w:sz w:val="9"/>
        </w:rPr>
        <w:t>2</w:t>
      </w:r>
      <w:r>
        <w:rPr>
          <w:rFonts w:ascii="Arial"/>
          <w:color w:val="231F20"/>
          <w:spacing w:val="-5"/>
          <w:sz w:val="16"/>
        </w:rPr>
        <w:t>O, </w:t>
      </w:r>
      <w:r>
        <w:rPr>
          <w:rFonts w:ascii="Arial"/>
          <w:color w:val="231F20"/>
          <w:sz w:val="16"/>
        </w:rPr>
        <w:t>there is diffusion of H</w:t>
      </w:r>
      <w:r>
        <w:rPr>
          <w:rFonts w:ascii="Arial"/>
          <w:color w:val="231F20"/>
          <w:position w:val="-1"/>
          <w:sz w:val="9"/>
        </w:rPr>
        <w:t>2</w:t>
      </w:r>
      <w:r>
        <w:rPr>
          <w:rFonts w:ascii="Arial"/>
          <w:color w:val="231F20"/>
          <w:sz w:val="16"/>
        </w:rPr>
        <w:t>O into the cells (</w:t>
      </w:r>
      <w:r>
        <w:rPr>
          <w:rFonts w:ascii="Lucida Sans"/>
          <w:i/>
          <w:color w:val="231F20"/>
          <w:sz w:val="16"/>
        </w:rPr>
        <w:t>1</w:t>
      </w:r>
      <w:r>
        <w:rPr>
          <w:rFonts w:ascii="Arial"/>
          <w:color w:val="231F20"/>
          <w:sz w:val="16"/>
        </w:rPr>
        <w:t>) and swelling of the brain tissue</w:t>
      </w:r>
      <w:r>
        <w:rPr>
          <w:rFonts w:ascii="Arial"/>
          <w:color w:val="231F20"/>
          <w:spacing w:val="-25"/>
          <w:sz w:val="16"/>
        </w:rPr>
        <w:t> </w:t>
      </w:r>
      <w:r>
        <w:rPr>
          <w:rFonts w:ascii="Arial"/>
          <w:color w:val="231F20"/>
          <w:sz w:val="16"/>
        </w:rPr>
        <w:t>(indicated</w:t>
      </w:r>
      <w:r>
        <w:rPr>
          <w:rFonts w:ascii="Arial"/>
          <w:color w:val="231F20"/>
          <w:spacing w:val="-25"/>
          <w:sz w:val="16"/>
        </w:rPr>
        <w:t> </w:t>
      </w:r>
      <w:r>
        <w:rPr>
          <w:rFonts w:ascii="Arial"/>
          <w:color w:val="231F20"/>
          <w:sz w:val="16"/>
        </w:rPr>
        <w:t>by</w:t>
      </w:r>
      <w:r>
        <w:rPr>
          <w:rFonts w:ascii="Arial"/>
          <w:color w:val="231F20"/>
          <w:spacing w:val="-25"/>
          <w:sz w:val="16"/>
        </w:rPr>
        <w:t> </w:t>
      </w:r>
      <w:r>
        <w:rPr>
          <w:rFonts w:ascii="Arial"/>
          <w:color w:val="231F20"/>
          <w:sz w:val="16"/>
        </w:rPr>
        <w:t>the</w:t>
      </w:r>
      <w:r>
        <w:rPr>
          <w:rFonts w:ascii="Arial"/>
          <w:color w:val="231F20"/>
          <w:spacing w:val="-24"/>
          <w:sz w:val="16"/>
        </w:rPr>
        <w:t> </w:t>
      </w:r>
      <w:r>
        <w:rPr>
          <w:rFonts w:ascii="Lucida Sans"/>
          <w:i/>
          <w:color w:val="231F20"/>
          <w:sz w:val="16"/>
        </w:rPr>
        <w:t>dashed</w:t>
      </w:r>
      <w:r>
        <w:rPr>
          <w:rFonts w:ascii="Lucida Sans"/>
          <w:i/>
          <w:color w:val="231F20"/>
          <w:spacing w:val="-31"/>
          <w:sz w:val="16"/>
        </w:rPr>
        <w:t> </w:t>
      </w:r>
      <w:r>
        <w:rPr>
          <w:rFonts w:ascii="Lucida Sans"/>
          <w:i/>
          <w:color w:val="231F20"/>
          <w:sz w:val="16"/>
        </w:rPr>
        <w:t>lines</w:t>
      </w:r>
      <w:r>
        <w:rPr>
          <w:rFonts w:ascii="Arial"/>
          <w:color w:val="231F20"/>
          <w:sz w:val="16"/>
        </w:rPr>
        <w:t>).</w:t>
      </w:r>
      <w:r>
        <w:rPr>
          <w:rFonts w:ascii="Arial"/>
          <w:color w:val="231F20"/>
          <w:spacing w:val="-25"/>
          <w:sz w:val="16"/>
        </w:rPr>
        <w:t> </w:t>
      </w:r>
      <w:r>
        <w:rPr>
          <w:rFonts w:ascii="Arial"/>
          <w:color w:val="231F20"/>
          <w:sz w:val="16"/>
        </w:rPr>
        <w:t>This</w:t>
      </w:r>
      <w:r>
        <w:rPr>
          <w:rFonts w:ascii="Arial"/>
          <w:color w:val="231F20"/>
          <w:spacing w:val="-24"/>
          <w:sz w:val="16"/>
        </w:rPr>
        <w:t> </w:t>
      </w:r>
      <w:r>
        <w:rPr>
          <w:rFonts w:ascii="Arial"/>
          <w:color w:val="231F20"/>
          <w:sz w:val="16"/>
        </w:rPr>
        <w:t>process</w:t>
      </w:r>
      <w:r>
        <w:rPr>
          <w:rFonts w:ascii="Arial"/>
          <w:color w:val="231F20"/>
          <w:spacing w:val="-25"/>
          <w:sz w:val="16"/>
        </w:rPr>
        <w:t> </w:t>
      </w:r>
      <w:r>
        <w:rPr>
          <w:rFonts w:ascii="Arial"/>
          <w:color w:val="231F20"/>
          <w:sz w:val="16"/>
        </w:rPr>
        <w:t>stimulates</w:t>
      </w:r>
      <w:r>
        <w:rPr>
          <w:rFonts w:ascii="Arial"/>
          <w:color w:val="231F20"/>
          <w:spacing w:val="-25"/>
          <w:sz w:val="16"/>
        </w:rPr>
        <w:t> </w:t>
      </w:r>
      <w:r>
        <w:rPr>
          <w:rFonts w:ascii="Arial"/>
          <w:color w:val="231F20"/>
          <w:sz w:val="16"/>
        </w:rPr>
        <w:t>trans- port of Na</w:t>
      </w:r>
      <w:r>
        <w:rPr>
          <w:rFonts w:ascii="Consolas"/>
          <w:color w:val="231F20"/>
          <w:position w:val="6"/>
          <w:sz w:val="9"/>
        </w:rPr>
        <w:t>+</w:t>
      </w:r>
      <w:r>
        <w:rPr>
          <w:rFonts w:ascii="Arial"/>
          <w:color w:val="231F20"/>
          <w:sz w:val="16"/>
        </w:rPr>
        <w:t>, K</w:t>
      </w:r>
      <w:r>
        <w:rPr>
          <w:rFonts w:ascii="Consolas"/>
          <w:color w:val="231F20"/>
          <w:position w:val="6"/>
          <w:sz w:val="9"/>
        </w:rPr>
        <w:t>+</w:t>
      </w:r>
      <w:r>
        <w:rPr>
          <w:rFonts w:ascii="Arial"/>
          <w:color w:val="231F20"/>
          <w:sz w:val="16"/>
        </w:rPr>
        <w:t>, and organic solutes out of the cells (</w:t>
      </w:r>
      <w:r>
        <w:rPr>
          <w:rFonts w:ascii="Lucida Sans"/>
          <w:i/>
          <w:color w:val="231F20"/>
          <w:sz w:val="16"/>
        </w:rPr>
        <w:t>2</w:t>
      </w:r>
      <w:r>
        <w:rPr>
          <w:rFonts w:ascii="Arial"/>
          <w:color w:val="231F20"/>
          <w:sz w:val="16"/>
        </w:rPr>
        <w:t>), which then causes water diffusion out of the cells (</w:t>
      </w:r>
      <w:r>
        <w:rPr>
          <w:rFonts w:ascii="Lucida Sans"/>
          <w:i/>
          <w:color w:val="231F20"/>
          <w:sz w:val="16"/>
        </w:rPr>
        <w:t>3</w:t>
      </w:r>
      <w:r>
        <w:rPr>
          <w:rFonts w:ascii="Arial"/>
          <w:color w:val="231F20"/>
          <w:sz w:val="16"/>
        </w:rPr>
        <w:t>). With chronic </w:t>
      </w:r>
      <w:r>
        <w:rPr>
          <w:rFonts w:ascii="Arial"/>
          <w:color w:val="231F20"/>
          <w:spacing w:val="-3"/>
          <w:sz w:val="16"/>
        </w:rPr>
        <w:t>hyponatre- </w:t>
      </w:r>
      <w:r>
        <w:rPr>
          <w:rFonts w:ascii="Arial"/>
          <w:color w:val="231F20"/>
          <w:sz w:val="16"/>
        </w:rPr>
        <w:t>mia,</w:t>
      </w:r>
      <w:r>
        <w:rPr>
          <w:rFonts w:ascii="Arial"/>
          <w:color w:val="231F20"/>
          <w:spacing w:val="-10"/>
          <w:sz w:val="16"/>
        </w:rPr>
        <w:t> </w:t>
      </w:r>
      <w:r>
        <w:rPr>
          <w:rFonts w:ascii="Arial"/>
          <w:color w:val="231F20"/>
          <w:sz w:val="16"/>
        </w:rPr>
        <w:t>the</w:t>
      </w:r>
      <w:r>
        <w:rPr>
          <w:rFonts w:ascii="Arial"/>
          <w:color w:val="231F20"/>
          <w:spacing w:val="-9"/>
          <w:sz w:val="16"/>
        </w:rPr>
        <w:t> </w:t>
      </w:r>
      <w:r>
        <w:rPr>
          <w:rFonts w:ascii="Arial"/>
          <w:color w:val="231F20"/>
          <w:sz w:val="16"/>
        </w:rPr>
        <w:t>brain</w:t>
      </w:r>
      <w:r>
        <w:rPr>
          <w:rFonts w:ascii="Arial"/>
          <w:color w:val="231F20"/>
          <w:spacing w:val="-9"/>
          <w:sz w:val="16"/>
        </w:rPr>
        <w:t> </w:t>
      </w:r>
      <w:r>
        <w:rPr>
          <w:rFonts w:ascii="Arial"/>
          <w:color w:val="231F20"/>
          <w:sz w:val="16"/>
        </w:rPr>
        <w:t>swelling</w:t>
      </w:r>
      <w:r>
        <w:rPr>
          <w:rFonts w:ascii="Arial"/>
          <w:color w:val="231F20"/>
          <w:spacing w:val="-10"/>
          <w:sz w:val="16"/>
        </w:rPr>
        <w:t> </w:t>
      </w:r>
      <w:r>
        <w:rPr>
          <w:rFonts w:ascii="Arial"/>
          <w:color w:val="231F20"/>
          <w:sz w:val="16"/>
        </w:rPr>
        <w:t>is</w:t>
      </w:r>
      <w:r>
        <w:rPr>
          <w:rFonts w:ascii="Arial"/>
          <w:color w:val="231F20"/>
          <w:spacing w:val="-9"/>
          <w:sz w:val="16"/>
        </w:rPr>
        <w:t> </w:t>
      </w:r>
      <w:r>
        <w:rPr>
          <w:rFonts w:ascii="Arial"/>
          <w:color w:val="231F20"/>
          <w:sz w:val="16"/>
        </w:rPr>
        <w:t>attenuated</w:t>
      </w:r>
      <w:r>
        <w:rPr>
          <w:rFonts w:ascii="Arial"/>
          <w:color w:val="231F20"/>
          <w:spacing w:val="-9"/>
          <w:sz w:val="16"/>
        </w:rPr>
        <w:t> </w:t>
      </w:r>
      <w:r>
        <w:rPr>
          <w:rFonts w:ascii="Arial"/>
          <w:color w:val="231F20"/>
          <w:sz w:val="16"/>
        </w:rPr>
        <w:t>by</w:t>
      </w:r>
      <w:r>
        <w:rPr>
          <w:rFonts w:ascii="Arial"/>
          <w:color w:val="231F20"/>
          <w:spacing w:val="-10"/>
          <w:sz w:val="16"/>
        </w:rPr>
        <w:t> </w:t>
      </w:r>
      <w:r>
        <w:rPr>
          <w:rFonts w:ascii="Arial"/>
          <w:color w:val="231F20"/>
          <w:sz w:val="16"/>
        </w:rPr>
        <w:t>the</w:t>
      </w:r>
      <w:r>
        <w:rPr>
          <w:rFonts w:ascii="Arial"/>
          <w:color w:val="231F20"/>
          <w:spacing w:val="-9"/>
          <w:sz w:val="16"/>
        </w:rPr>
        <w:t> </w:t>
      </w:r>
      <w:r>
        <w:rPr>
          <w:rFonts w:ascii="Arial"/>
          <w:color w:val="231F20"/>
          <w:sz w:val="16"/>
        </w:rPr>
        <w:t>transport</w:t>
      </w:r>
      <w:r>
        <w:rPr>
          <w:rFonts w:ascii="Arial"/>
          <w:color w:val="231F20"/>
          <w:spacing w:val="-9"/>
          <w:sz w:val="16"/>
        </w:rPr>
        <w:t> </w:t>
      </w:r>
      <w:r>
        <w:rPr>
          <w:rFonts w:ascii="Arial"/>
          <w:color w:val="231F20"/>
          <w:sz w:val="16"/>
        </w:rPr>
        <w:t>of</w:t>
      </w:r>
      <w:r>
        <w:rPr>
          <w:rFonts w:ascii="Arial"/>
          <w:color w:val="231F20"/>
          <w:spacing w:val="-10"/>
          <w:sz w:val="16"/>
        </w:rPr>
        <w:t> </w:t>
      </w:r>
      <w:r>
        <w:rPr>
          <w:rFonts w:ascii="Arial"/>
          <w:color w:val="231F20"/>
          <w:sz w:val="16"/>
        </w:rPr>
        <w:t>solutes</w:t>
      </w:r>
      <w:r>
        <w:rPr>
          <w:rFonts w:ascii="Arial"/>
          <w:color w:val="231F20"/>
          <w:spacing w:val="-9"/>
          <w:sz w:val="16"/>
        </w:rPr>
        <w:t> </w:t>
      </w:r>
      <w:r>
        <w:rPr>
          <w:rFonts w:ascii="Arial"/>
          <w:color w:val="231F20"/>
          <w:spacing w:val="-6"/>
          <w:sz w:val="16"/>
        </w:rPr>
        <w:t>from </w:t>
      </w:r>
      <w:r>
        <w:rPr>
          <w:rFonts w:ascii="Arial"/>
          <w:color w:val="231F20"/>
          <w:sz w:val="16"/>
        </w:rPr>
        <w:t>the</w:t>
      </w:r>
      <w:r>
        <w:rPr>
          <w:rFonts w:ascii="Arial"/>
          <w:color w:val="231F20"/>
          <w:spacing w:val="7"/>
          <w:sz w:val="16"/>
        </w:rPr>
        <w:t> </w:t>
      </w:r>
      <w:r>
        <w:rPr>
          <w:rFonts w:ascii="Arial"/>
          <w:color w:val="231F20"/>
          <w:sz w:val="16"/>
        </w:rPr>
        <w:t>cells.</w:t>
      </w:r>
    </w:p>
    <w:p>
      <w:pPr>
        <w:pStyle w:val="BodyText"/>
        <w:rPr>
          <w:rFonts w:ascii="Arial"/>
          <w:sz w:val="18"/>
        </w:rPr>
      </w:pPr>
    </w:p>
    <w:p>
      <w:pPr>
        <w:pStyle w:val="BodyText"/>
        <w:spacing w:before="3"/>
        <w:rPr>
          <w:rFonts w:ascii="Arial"/>
          <w:sz w:val="14"/>
        </w:rPr>
      </w:pPr>
    </w:p>
    <w:p>
      <w:pPr>
        <w:pStyle w:val="BodyText"/>
        <w:spacing w:line="249" w:lineRule="auto" w:before="1"/>
        <w:ind w:left="319" w:right="1077"/>
        <w:jc w:val="both"/>
      </w:pPr>
      <w:r>
        <w:rPr>
          <w:color w:val="231F20"/>
        </w:rPr>
        <w:t>Primary loss of water from the extracellular fluid results in </w:t>
      </w:r>
      <w:r>
        <w:rPr>
          <w:i/>
          <w:color w:val="231F20"/>
        </w:rPr>
        <w:t>hypernatremia and dehydration. </w:t>
      </w:r>
      <w:r>
        <w:rPr>
          <w:color w:val="231F20"/>
        </w:rPr>
        <w:t>This condition </w:t>
      </w:r>
      <w:r>
        <w:rPr>
          <w:color w:val="231F20"/>
          <w:spacing w:val="-4"/>
        </w:rPr>
        <w:t>can </w:t>
      </w:r>
      <w:r>
        <w:rPr>
          <w:color w:val="231F20"/>
        </w:rPr>
        <w:t>occur from an inability to secrete antidiuretic hormone, which is needed for the kidneys to conserve </w:t>
      </w:r>
      <w:r>
        <w:rPr>
          <w:color w:val="231F20"/>
          <w:spacing w:val="-3"/>
        </w:rPr>
        <w:t>water. </w:t>
      </w:r>
      <w:r>
        <w:rPr>
          <w:color w:val="231F20"/>
        </w:rPr>
        <w:t>As a result of lack of antidiuretic hormone, the kidneys </w:t>
      </w:r>
      <w:r>
        <w:rPr>
          <w:color w:val="231F20"/>
          <w:spacing w:val="-4"/>
        </w:rPr>
        <w:t>excrete </w:t>
      </w:r>
      <w:r>
        <w:rPr>
          <w:color w:val="231F20"/>
        </w:rPr>
        <w:t>large amounts  of  dilute  urine  (a  disorder  referred  to  as </w:t>
      </w:r>
      <w:r>
        <w:rPr>
          <w:i/>
          <w:color w:val="231F20"/>
          <w:spacing w:val="-4"/>
        </w:rPr>
        <w:t>“central” </w:t>
      </w:r>
      <w:r>
        <w:rPr>
          <w:i/>
          <w:color w:val="231F20"/>
        </w:rPr>
        <w:t>diabetes insipidus</w:t>
      </w:r>
      <w:r>
        <w:rPr>
          <w:color w:val="231F20"/>
        </w:rPr>
        <w:t>), causing dehydration and increased concentration of sodium chloride in the extra­ cellular</w:t>
      </w:r>
      <w:r>
        <w:rPr>
          <w:color w:val="231F20"/>
          <w:spacing w:val="-9"/>
        </w:rPr>
        <w:t> </w:t>
      </w:r>
      <w:r>
        <w:rPr>
          <w:color w:val="231F20"/>
        </w:rPr>
        <w:t>fluid.</w:t>
      </w:r>
      <w:r>
        <w:rPr>
          <w:color w:val="231F20"/>
          <w:spacing w:val="-9"/>
        </w:rPr>
        <w:t> </w:t>
      </w:r>
      <w:r>
        <w:rPr>
          <w:color w:val="231F20"/>
        </w:rPr>
        <w:t>In</w:t>
      </w:r>
      <w:r>
        <w:rPr>
          <w:color w:val="231F20"/>
          <w:spacing w:val="-9"/>
        </w:rPr>
        <w:t> </w:t>
      </w:r>
      <w:r>
        <w:rPr>
          <w:color w:val="231F20"/>
        </w:rPr>
        <w:t>certain</w:t>
      </w:r>
      <w:r>
        <w:rPr>
          <w:color w:val="231F20"/>
          <w:spacing w:val="-9"/>
        </w:rPr>
        <w:t> </w:t>
      </w:r>
      <w:r>
        <w:rPr>
          <w:color w:val="231F20"/>
        </w:rPr>
        <w:t>types</w:t>
      </w:r>
      <w:r>
        <w:rPr>
          <w:color w:val="231F20"/>
          <w:spacing w:val="-9"/>
        </w:rPr>
        <w:t> </w:t>
      </w:r>
      <w:r>
        <w:rPr>
          <w:color w:val="231F20"/>
        </w:rPr>
        <w:t>of</w:t>
      </w:r>
      <w:r>
        <w:rPr>
          <w:color w:val="231F20"/>
          <w:spacing w:val="-9"/>
        </w:rPr>
        <w:t> </w:t>
      </w:r>
      <w:r>
        <w:rPr>
          <w:color w:val="231F20"/>
        </w:rPr>
        <w:t>renal</w:t>
      </w:r>
      <w:r>
        <w:rPr>
          <w:color w:val="231F20"/>
          <w:spacing w:val="-8"/>
        </w:rPr>
        <w:t> </w:t>
      </w:r>
      <w:r>
        <w:rPr>
          <w:color w:val="231F20"/>
        </w:rPr>
        <w:t>diseases,</w:t>
      </w:r>
      <w:r>
        <w:rPr>
          <w:color w:val="231F20"/>
          <w:spacing w:val="-9"/>
        </w:rPr>
        <w:t> </w:t>
      </w:r>
      <w:r>
        <w:rPr>
          <w:color w:val="231F20"/>
        </w:rPr>
        <w:t>the</w:t>
      </w:r>
      <w:r>
        <w:rPr>
          <w:color w:val="231F20"/>
          <w:spacing w:val="-9"/>
        </w:rPr>
        <w:t> </w:t>
      </w:r>
      <w:r>
        <w:rPr>
          <w:color w:val="231F20"/>
        </w:rPr>
        <w:t>kidneys cannot</w:t>
      </w:r>
      <w:r>
        <w:rPr>
          <w:color w:val="231F20"/>
          <w:spacing w:val="38"/>
        </w:rPr>
        <w:t> </w:t>
      </w:r>
      <w:r>
        <w:rPr>
          <w:color w:val="231F20"/>
        </w:rPr>
        <w:t>respond</w:t>
      </w:r>
      <w:r>
        <w:rPr>
          <w:color w:val="231F20"/>
          <w:spacing w:val="38"/>
        </w:rPr>
        <w:t> </w:t>
      </w:r>
      <w:r>
        <w:rPr>
          <w:color w:val="231F20"/>
        </w:rPr>
        <w:t>to</w:t>
      </w:r>
      <w:r>
        <w:rPr>
          <w:color w:val="231F20"/>
          <w:spacing w:val="39"/>
        </w:rPr>
        <w:t> </w:t>
      </w:r>
      <w:r>
        <w:rPr>
          <w:color w:val="231F20"/>
        </w:rPr>
        <w:t>antidiuretic</w:t>
      </w:r>
      <w:r>
        <w:rPr>
          <w:color w:val="231F20"/>
          <w:spacing w:val="38"/>
        </w:rPr>
        <w:t> </w:t>
      </w:r>
      <w:r>
        <w:rPr>
          <w:color w:val="231F20"/>
        </w:rPr>
        <w:t>hormone,</w:t>
      </w:r>
      <w:r>
        <w:rPr>
          <w:color w:val="231F20"/>
          <w:spacing w:val="39"/>
        </w:rPr>
        <w:t> </w:t>
      </w:r>
      <w:r>
        <w:rPr>
          <w:color w:val="231F20"/>
        </w:rPr>
        <w:t>causing</w:t>
      </w:r>
      <w:r>
        <w:rPr>
          <w:color w:val="231F20"/>
          <w:spacing w:val="38"/>
        </w:rPr>
        <w:t> </w:t>
      </w:r>
      <w:r>
        <w:rPr>
          <w:color w:val="231F20"/>
        </w:rPr>
        <w:t>a</w:t>
      </w:r>
      <w:r>
        <w:rPr>
          <w:color w:val="231F20"/>
          <w:spacing w:val="38"/>
        </w:rPr>
        <w:t> </w:t>
      </w:r>
      <w:r>
        <w:rPr>
          <w:color w:val="231F20"/>
        </w:rPr>
        <w:t>type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70"/>
          <w:footerReference w:type="even" r:id="rId71"/>
          <w:footerReference w:type="default" r:id="rId72"/>
          <w:pgSz w:w="12240" w:h="15660"/>
          <w:pgMar w:header="0" w:footer="567" w:top="720" w:bottom="760" w:left="0" w:right="0"/>
          <w:pgNumType w:start="316"/>
        </w:sectPr>
      </w:pPr>
    </w:p>
    <w:p>
      <w:pPr>
        <w:pStyle w:val="BodyText"/>
        <w:spacing w:line="249" w:lineRule="auto" w:before="99"/>
        <w:ind w:left="1080" w:hanging="1"/>
        <w:jc w:val="both"/>
      </w:pPr>
      <w:r>
        <w:rPr>
          <w:color w:val="231F20"/>
          <w:w w:val="105"/>
        </w:rPr>
        <w:t>of </w:t>
      </w:r>
      <w:r>
        <w:rPr>
          <w:i/>
          <w:color w:val="231F20"/>
          <w:w w:val="105"/>
        </w:rPr>
        <w:t>“nephrogenic” diabetes insipidus. </w:t>
      </w:r>
      <w:r>
        <w:rPr>
          <w:color w:val="231F20"/>
          <w:w w:val="105"/>
        </w:rPr>
        <w:t>A more common cause</w:t>
      </w:r>
      <w:r>
        <w:rPr>
          <w:color w:val="231F20"/>
          <w:spacing w:val="-10"/>
          <w:w w:val="105"/>
        </w:rPr>
        <w:t> </w:t>
      </w:r>
      <w:r>
        <w:rPr>
          <w:color w:val="231F20"/>
          <w:w w:val="105"/>
        </w:rPr>
        <w:t>of</w:t>
      </w:r>
      <w:r>
        <w:rPr>
          <w:color w:val="231F20"/>
          <w:spacing w:val="-9"/>
          <w:w w:val="105"/>
        </w:rPr>
        <w:t> </w:t>
      </w:r>
      <w:r>
        <w:rPr>
          <w:color w:val="231F20"/>
          <w:w w:val="105"/>
        </w:rPr>
        <w:t>hypernatremia</w:t>
      </w:r>
      <w:r>
        <w:rPr>
          <w:color w:val="231F20"/>
          <w:spacing w:val="-9"/>
          <w:w w:val="105"/>
        </w:rPr>
        <w:t> </w:t>
      </w:r>
      <w:r>
        <w:rPr>
          <w:color w:val="231F20"/>
          <w:w w:val="105"/>
        </w:rPr>
        <w:t>associated</w:t>
      </w:r>
      <w:r>
        <w:rPr>
          <w:color w:val="231F20"/>
          <w:spacing w:val="-9"/>
          <w:w w:val="105"/>
        </w:rPr>
        <w:t> </w:t>
      </w:r>
      <w:r>
        <w:rPr>
          <w:color w:val="231F20"/>
          <w:w w:val="105"/>
        </w:rPr>
        <w:t>with</w:t>
      </w:r>
      <w:r>
        <w:rPr>
          <w:color w:val="231F20"/>
          <w:spacing w:val="-9"/>
          <w:w w:val="105"/>
        </w:rPr>
        <w:t> </w:t>
      </w:r>
      <w:r>
        <w:rPr>
          <w:color w:val="231F20"/>
          <w:w w:val="105"/>
        </w:rPr>
        <w:t>decreased</w:t>
      </w:r>
      <w:r>
        <w:rPr>
          <w:color w:val="231F20"/>
          <w:spacing w:val="-9"/>
          <w:w w:val="105"/>
        </w:rPr>
        <w:t> </w:t>
      </w:r>
      <w:r>
        <w:rPr>
          <w:color w:val="231F20"/>
          <w:w w:val="105"/>
        </w:rPr>
        <w:t>extra­ cellular fluid volume is simple </w:t>
      </w:r>
      <w:r>
        <w:rPr>
          <w:i/>
          <w:color w:val="231F20"/>
          <w:w w:val="105"/>
        </w:rPr>
        <w:t>dehydration </w:t>
      </w:r>
      <w:r>
        <w:rPr>
          <w:color w:val="231F20"/>
          <w:w w:val="105"/>
        </w:rPr>
        <w:t>caused </w:t>
      </w:r>
      <w:r>
        <w:rPr>
          <w:color w:val="231F20"/>
          <w:spacing w:val="-6"/>
          <w:w w:val="105"/>
        </w:rPr>
        <w:t>by </w:t>
      </w:r>
      <w:r>
        <w:rPr>
          <w:color w:val="231F20"/>
          <w:w w:val="105"/>
        </w:rPr>
        <w:t>water</w:t>
      </w:r>
      <w:r>
        <w:rPr>
          <w:color w:val="231F20"/>
          <w:spacing w:val="-16"/>
          <w:w w:val="105"/>
        </w:rPr>
        <w:t> </w:t>
      </w:r>
      <w:r>
        <w:rPr>
          <w:color w:val="231F20"/>
          <w:w w:val="105"/>
        </w:rPr>
        <w:t>intake</w:t>
      </w:r>
      <w:r>
        <w:rPr>
          <w:color w:val="231F20"/>
          <w:spacing w:val="-15"/>
          <w:w w:val="105"/>
        </w:rPr>
        <w:t> </w:t>
      </w:r>
      <w:r>
        <w:rPr>
          <w:color w:val="231F20"/>
          <w:w w:val="105"/>
        </w:rPr>
        <w:t>that</w:t>
      </w:r>
      <w:r>
        <w:rPr>
          <w:color w:val="231F20"/>
          <w:spacing w:val="-16"/>
          <w:w w:val="105"/>
        </w:rPr>
        <w:t> </w:t>
      </w:r>
      <w:r>
        <w:rPr>
          <w:color w:val="231F20"/>
          <w:w w:val="105"/>
        </w:rPr>
        <w:t>is</w:t>
      </w:r>
      <w:r>
        <w:rPr>
          <w:color w:val="231F20"/>
          <w:spacing w:val="-15"/>
          <w:w w:val="105"/>
        </w:rPr>
        <w:t> </w:t>
      </w:r>
      <w:r>
        <w:rPr>
          <w:color w:val="231F20"/>
          <w:w w:val="105"/>
        </w:rPr>
        <w:t>less</w:t>
      </w:r>
      <w:r>
        <w:rPr>
          <w:color w:val="231F20"/>
          <w:spacing w:val="-16"/>
          <w:w w:val="105"/>
        </w:rPr>
        <w:t> </w:t>
      </w:r>
      <w:r>
        <w:rPr>
          <w:color w:val="231F20"/>
          <w:w w:val="105"/>
        </w:rPr>
        <w:t>than</w:t>
      </w:r>
      <w:r>
        <w:rPr>
          <w:color w:val="231F20"/>
          <w:spacing w:val="-15"/>
          <w:w w:val="105"/>
        </w:rPr>
        <w:t> </w:t>
      </w:r>
      <w:r>
        <w:rPr>
          <w:color w:val="231F20"/>
          <w:w w:val="105"/>
        </w:rPr>
        <w:t>water</w:t>
      </w:r>
      <w:r>
        <w:rPr>
          <w:color w:val="231F20"/>
          <w:spacing w:val="-16"/>
          <w:w w:val="105"/>
        </w:rPr>
        <w:t> </w:t>
      </w:r>
      <w:r>
        <w:rPr>
          <w:color w:val="231F20"/>
          <w:w w:val="105"/>
        </w:rPr>
        <w:t>loss,</w:t>
      </w:r>
      <w:r>
        <w:rPr>
          <w:color w:val="231F20"/>
          <w:spacing w:val="-15"/>
          <w:w w:val="105"/>
        </w:rPr>
        <w:t> </w:t>
      </w:r>
      <w:r>
        <w:rPr>
          <w:color w:val="231F20"/>
          <w:w w:val="105"/>
        </w:rPr>
        <w:t>as</w:t>
      </w:r>
      <w:r>
        <w:rPr>
          <w:color w:val="231F20"/>
          <w:spacing w:val="-16"/>
          <w:w w:val="105"/>
        </w:rPr>
        <w:t> </w:t>
      </w:r>
      <w:r>
        <w:rPr>
          <w:color w:val="231F20"/>
          <w:w w:val="105"/>
        </w:rPr>
        <w:t>can</w:t>
      </w:r>
      <w:r>
        <w:rPr>
          <w:color w:val="231F20"/>
          <w:spacing w:val="-15"/>
          <w:w w:val="105"/>
        </w:rPr>
        <w:t> </w:t>
      </w:r>
      <w:r>
        <w:rPr>
          <w:color w:val="231F20"/>
          <w:w w:val="105"/>
        </w:rPr>
        <w:t>occur</w:t>
      </w:r>
      <w:r>
        <w:rPr>
          <w:color w:val="231F20"/>
          <w:spacing w:val="-16"/>
          <w:w w:val="105"/>
        </w:rPr>
        <w:t> </w:t>
      </w:r>
      <w:r>
        <w:rPr>
          <w:color w:val="231F20"/>
          <w:w w:val="105"/>
        </w:rPr>
        <w:t>with sweating during prolonged, heavy</w:t>
      </w:r>
      <w:r>
        <w:rPr>
          <w:color w:val="231F20"/>
          <w:spacing w:val="-8"/>
          <w:w w:val="105"/>
        </w:rPr>
        <w:t> </w:t>
      </w:r>
      <w:r>
        <w:rPr>
          <w:color w:val="231F20"/>
          <w:w w:val="105"/>
        </w:rPr>
        <w:t>exercise.</w:t>
      </w:r>
    </w:p>
    <w:p>
      <w:pPr>
        <w:pStyle w:val="BodyText"/>
        <w:spacing w:line="249" w:lineRule="auto" w:before="5"/>
        <w:ind w:left="1080" w:firstLine="240"/>
        <w:jc w:val="both"/>
      </w:pPr>
      <w:r>
        <w:rPr/>
        <w:pict>
          <v:rect style="position:absolute;margin-left:0pt;margin-top:80.235962pt;width:36pt;height:24pt;mso-position-horizontal-relative:page;mso-position-vertical-relative:paragraph;z-index:251771904" filled="true" fillcolor="#e8dac8" stroked="false">
            <v:fill type="solid"/>
            <w10:wrap type="none"/>
          </v:rect>
        </w:pict>
      </w:r>
      <w:r>
        <w:rPr>
          <w:color w:val="231F20"/>
        </w:rPr>
        <w:t>Hypernatremia can also occur when excessive sodium chloride is added to the extracellular fluid. This often results in </w:t>
      </w:r>
      <w:r>
        <w:rPr>
          <w:i/>
          <w:color w:val="231F20"/>
        </w:rPr>
        <w:t>hypernatremia—overhydration </w:t>
      </w:r>
      <w:r>
        <w:rPr>
          <w:color w:val="231F20"/>
        </w:rPr>
        <w:t>because excess extracellular sodium chloride is usually associated with </w:t>
      </w:r>
      <w:r>
        <w:rPr>
          <w:color w:val="231F20"/>
          <w:spacing w:val="-7"/>
        </w:rPr>
        <w:t>at </w:t>
      </w:r>
      <w:r>
        <w:rPr>
          <w:color w:val="231F20"/>
        </w:rPr>
        <w:t>least some degree of water retention by the kidneys as well. </w:t>
      </w:r>
      <w:r>
        <w:rPr>
          <w:color w:val="231F20"/>
          <w:spacing w:val="-3"/>
        </w:rPr>
        <w:t>For </w:t>
      </w:r>
      <w:r>
        <w:rPr>
          <w:color w:val="231F20"/>
        </w:rPr>
        <w:t>example, </w:t>
      </w:r>
      <w:r>
        <w:rPr>
          <w:i/>
          <w:color w:val="231F20"/>
        </w:rPr>
        <w:t>excessive secretion of the </w:t>
      </w:r>
      <w:r>
        <w:rPr>
          <w:i/>
          <w:color w:val="231F20"/>
          <w:spacing w:val="-4"/>
        </w:rPr>
        <w:t>sodium- </w:t>
      </w:r>
      <w:r>
        <w:rPr>
          <w:i/>
          <w:color w:val="231F20"/>
        </w:rPr>
        <w:t>retaining hormone aldosterone </w:t>
      </w:r>
      <w:r>
        <w:rPr>
          <w:color w:val="231F20"/>
        </w:rPr>
        <w:t>can cause a mild degree of hypernatremia and overhydration. The reason that </w:t>
      </w:r>
      <w:r>
        <w:rPr>
          <w:color w:val="231F20"/>
          <w:spacing w:val="-5"/>
        </w:rPr>
        <w:t>the </w:t>
      </w:r>
      <w:r>
        <w:rPr>
          <w:color w:val="231F20"/>
        </w:rPr>
        <w:t>hypernatremia is not more severe is that the </w:t>
      </w:r>
      <w:r>
        <w:rPr>
          <w:color w:val="231F20"/>
          <w:spacing w:val="-3"/>
        </w:rPr>
        <w:t>sodium </w:t>
      </w:r>
      <w:r>
        <w:rPr>
          <w:color w:val="231F20"/>
        </w:rPr>
        <w:t>retention caused by increased aldosterone secretion also stimulates secretion of antidiuretic hormone and </w:t>
      </w:r>
      <w:r>
        <w:rPr>
          <w:color w:val="231F20"/>
          <w:spacing w:val="-3"/>
        </w:rPr>
        <w:t>causes </w:t>
      </w:r>
      <w:r>
        <w:rPr>
          <w:color w:val="231F20"/>
        </w:rPr>
        <w:t>the</w:t>
      </w:r>
      <w:r>
        <w:rPr>
          <w:color w:val="231F20"/>
          <w:spacing w:val="15"/>
        </w:rPr>
        <w:t> </w:t>
      </w:r>
      <w:r>
        <w:rPr>
          <w:color w:val="231F20"/>
        </w:rPr>
        <w:t>kidneys</w:t>
      </w:r>
      <w:r>
        <w:rPr>
          <w:color w:val="231F20"/>
          <w:spacing w:val="16"/>
        </w:rPr>
        <w:t> </w:t>
      </w:r>
      <w:r>
        <w:rPr>
          <w:color w:val="231F20"/>
        </w:rPr>
        <w:t>to</w:t>
      </w:r>
      <w:r>
        <w:rPr>
          <w:color w:val="231F20"/>
          <w:spacing w:val="16"/>
        </w:rPr>
        <w:t> </w:t>
      </w:r>
      <w:r>
        <w:rPr>
          <w:color w:val="231F20"/>
        </w:rPr>
        <w:t>also</w:t>
      </w:r>
      <w:r>
        <w:rPr>
          <w:color w:val="231F20"/>
          <w:spacing w:val="16"/>
        </w:rPr>
        <w:t> </w:t>
      </w:r>
      <w:r>
        <w:rPr>
          <w:color w:val="231F20"/>
        </w:rPr>
        <w:t>reabsorb</w:t>
      </w:r>
      <w:r>
        <w:rPr>
          <w:color w:val="231F20"/>
          <w:spacing w:val="16"/>
        </w:rPr>
        <w:t> </w:t>
      </w:r>
      <w:r>
        <w:rPr>
          <w:color w:val="231F20"/>
        </w:rPr>
        <w:t>greater</w:t>
      </w:r>
      <w:r>
        <w:rPr>
          <w:color w:val="231F20"/>
          <w:spacing w:val="16"/>
        </w:rPr>
        <w:t> </w:t>
      </w:r>
      <w:r>
        <w:rPr>
          <w:color w:val="231F20"/>
        </w:rPr>
        <w:t>amounts</w:t>
      </w:r>
      <w:r>
        <w:rPr>
          <w:color w:val="231F20"/>
          <w:spacing w:val="16"/>
        </w:rPr>
        <w:t> </w:t>
      </w:r>
      <w:r>
        <w:rPr>
          <w:color w:val="231F20"/>
        </w:rPr>
        <w:t>of</w:t>
      </w:r>
      <w:r>
        <w:rPr>
          <w:color w:val="231F20"/>
          <w:spacing w:val="16"/>
        </w:rPr>
        <w:t> </w:t>
      </w:r>
      <w:r>
        <w:rPr>
          <w:color w:val="231F20"/>
          <w:spacing w:val="-3"/>
        </w:rPr>
        <w:t>water.</w:t>
      </w:r>
    </w:p>
    <w:p>
      <w:pPr>
        <w:pStyle w:val="BodyText"/>
        <w:spacing w:line="249" w:lineRule="auto" w:before="9"/>
        <w:ind w:left="1080" w:firstLine="240"/>
        <w:jc w:val="both"/>
      </w:pPr>
      <w:r>
        <w:rPr>
          <w:color w:val="231F20"/>
        </w:rPr>
        <w:t>Thus, in analyzing abnormalities of plasma </w:t>
      </w:r>
      <w:r>
        <w:rPr>
          <w:color w:val="231F20"/>
          <w:spacing w:val="-3"/>
        </w:rPr>
        <w:t>sodium </w:t>
      </w:r>
      <w:r>
        <w:rPr>
          <w:color w:val="231F20"/>
        </w:rPr>
        <w:t>concentration and deciding on proper therapy, one </w:t>
      </w:r>
      <w:r>
        <w:rPr>
          <w:color w:val="231F20"/>
          <w:spacing w:val="-3"/>
        </w:rPr>
        <w:t>should </w:t>
      </w:r>
      <w:r>
        <w:rPr>
          <w:color w:val="231F20"/>
        </w:rPr>
        <w:t>first determine whether the abnormality is caused by </w:t>
      </w:r>
      <w:r>
        <w:rPr>
          <w:color w:val="231F20"/>
          <w:spacing w:val="-12"/>
        </w:rPr>
        <w:t>a </w:t>
      </w:r>
      <w:r>
        <w:rPr>
          <w:color w:val="231F20"/>
        </w:rPr>
        <w:t>primary loss or gain of sodium or a primary loss or </w:t>
      </w:r>
      <w:r>
        <w:rPr>
          <w:color w:val="231F20"/>
          <w:spacing w:val="-4"/>
        </w:rPr>
        <w:t>gain  </w:t>
      </w:r>
      <w:r>
        <w:rPr>
          <w:color w:val="231F20"/>
        </w:rPr>
        <w:t>of</w:t>
      </w:r>
      <w:r>
        <w:rPr>
          <w:color w:val="231F20"/>
          <w:spacing w:val="6"/>
        </w:rPr>
        <w:t> </w:t>
      </w:r>
      <w:r>
        <w:rPr>
          <w:color w:val="231F20"/>
          <w:spacing w:val="-3"/>
        </w:rPr>
        <w:t>water.</w:t>
      </w:r>
    </w:p>
    <w:p>
      <w:pPr>
        <w:pStyle w:val="BodyText"/>
        <w:rPr>
          <w:sz w:val="31"/>
        </w:rPr>
      </w:pPr>
    </w:p>
    <w:p>
      <w:pPr>
        <w:pStyle w:val="Heading2"/>
        <w:spacing w:line="225" w:lineRule="auto" w:before="1"/>
        <w:ind w:left="1080" w:right="630"/>
      </w:pPr>
      <w:r>
        <w:rPr>
          <w:color w:val="231F20"/>
          <w:w w:val="105"/>
        </w:rPr>
        <w:t>CONSEQUENCES OF HYPERNATREMIA: CELL SHRINKAGE</w:t>
      </w:r>
    </w:p>
    <w:p>
      <w:pPr>
        <w:pStyle w:val="BodyText"/>
        <w:spacing w:line="249" w:lineRule="auto" w:before="127"/>
        <w:ind w:left="1080"/>
        <w:jc w:val="both"/>
      </w:pPr>
      <w:r>
        <w:rPr>
          <w:color w:val="231F20"/>
          <w:w w:val="105"/>
        </w:rPr>
        <w:t>Hypernatremia</w:t>
      </w:r>
      <w:r>
        <w:rPr>
          <w:color w:val="231F20"/>
          <w:spacing w:val="-23"/>
          <w:w w:val="105"/>
        </w:rPr>
        <w:t> </w:t>
      </w:r>
      <w:r>
        <w:rPr>
          <w:color w:val="231F20"/>
          <w:w w:val="105"/>
        </w:rPr>
        <w:t>is</w:t>
      </w:r>
      <w:r>
        <w:rPr>
          <w:color w:val="231F20"/>
          <w:spacing w:val="-22"/>
          <w:w w:val="105"/>
        </w:rPr>
        <w:t> </w:t>
      </w:r>
      <w:r>
        <w:rPr>
          <w:color w:val="231F20"/>
          <w:w w:val="105"/>
        </w:rPr>
        <w:t>much</w:t>
      </w:r>
      <w:r>
        <w:rPr>
          <w:color w:val="231F20"/>
          <w:spacing w:val="-22"/>
          <w:w w:val="105"/>
        </w:rPr>
        <w:t> </w:t>
      </w:r>
      <w:r>
        <w:rPr>
          <w:color w:val="231F20"/>
          <w:w w:val="105"/>
        </w:rPr>
        <w:t>less</w:t>
      </w:r>
      <w:r>
        <w:rPr>
          <w:color w:val="231F20"/>
          <w:spacing w:val="-23"/>
          <w:w w:val="105"/>
        </w:rPr>
        <w:t> </w:t>
      </w:r>
      <w:r>
        <w:rPr>
          <w:color w:val="231F20"/>
          <w:w w:val="105"/>
        </w:rPr>
        <w:t>common</w:t>
      </w:r>
      <w:r>
        <w:rPr>
          <w:color w:val="231F20"/>
          <w:spacing w:val="-22"/>
          <w:w w:val="105"/>
        </w:rPr>
        <w:t> </w:t>
      </w:r>
      <w:r>
        <w:rPr>
          <w:color w:val="231F20"/>
          <w:w w:val="105"/>
        </w:rPr>
        <w:t>than</w:t>
      </w:r>
      <w:r>
        <w:rPr>
          <w:color w:val="231F20"/>
          <w:spacing w:val="-22"/>
          <w:w w:val="105"/>
        </w:rPr>
        <w:t> </w:t>
      </w:r>
      <w:r>
        <w:rPr>
          <w:color w:val="231F20"/>
          <w:w w:val="105"/>
        </w:rPr>
        <w:t>hyponatremia, and severe symptoms usually occur only with rapid </w:t>
      </w:r>
      <w:r>
        <w:rPr>
          <w:color w:val="231F20"/>
          <w:spacing w:val="-4"/>
          <w:w w:val="105"/>
        </w:rPr>
        <w:t>and </w:t>
      </w:r>
      <w:r>
        <w:rPr>
          <w:color w:val="231F20"/>
          <w:w w:val="105"/>
        </w:rPr>
        <w:t>large</w:t>
      </w:r>
      <w:r>
        <w:rPr>
          <w:color w:val="231F20"/>
          <w:spacing w:val="-22"/>
          <w:w w:val="105"/>
        </w:rPr>
        <w:t> </w:t>
      </w:r>
      <w:r>
        <w:rPr>
          <w:color w:val="231F20"/>
          <w:w w:val="105"/>
        </w:rPr>
        <w:t>increases</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w w:val="105"/>
        </w:rPr>
        <w:t>plasma</w:t>
      </w:r>
      <w:r>
        <w:rPr>
          <w:color w:val="231F20"/>
          <w:spacing w:val="-22"/>
          <w:w w:val="105"/>
        </w:rPr>
        <w:t> </w:t>
      </w:r>
      <w:r>
        <w:rPr>
          <w:color w:val="231F20"/>
          <w:w w:val="105"/>
        </w:rPr>
        <w:t>sodium</w:t>
      </w:r>
      <w:r>
        <w:rPr>
          <w:color w:val="231F20"/>
          <w:spacing w:val="-22"/>
          <w:w w:val="105"/>
        </w:rPr>
        <w:t> </w:t>
      </w:r>
      <w:r>
        <w:rPr>
          <w:color w:val="231F20"/>
          <w:w w:val="105"/>
        </w:rPr>
        <w:t>concentration</w:t>
      </w:r>
      <w:r>
        <w:rPr>
          <w:color w:val="231F20"/>
          <w:spacing w:val="-21"/>
          <w:w w:val="105"/>
        </w:rPr>
        <w:t> </w:t>
      </w:r>
      <w:r>
        <w:rPr>
          <w:color w:val="231F20"/>
          <w:spacing w:val="-3"/>
          <w:w w:val="105"/>
        </w:rPr>
        <w:t>above </w:t>
      </w:r>
      <w:r>
        <w:rPr>
          <w:color w:val="231F20"/>
          <w:w w:val="105"/>
        </w:rPr>
        <w:t>158 to 160 mmol/L. One reason for this phenomenon </w:t>
      </w:r>
      <w:r>
        <w:rPr>
          <w:color w:val="231F20"/>
          <w:spacing w:val="-5"/>
          <w:w w:val="105"/>
        </w:rPr>
        <w:t>is </w:t>
      </w:r>
      <w:r>
        <w:rPr>
          <w:color w:val="231F20"/>
          <w:w w:val="105"/>
        </w:rPr>
        <w:t>that hypernatremia promotes intense thirst and stimu­ lates secretion of antidiuretic hormone, which </w:t>
      </w:r>
      <w:r>
        <w:rPr>
          <w:color w:val="231F20"/>
          <w:spacing w:val="-3"/>
          <w:w w:val="105"/>
        </w:rPr>
        <w:t>both </w:t>
      </w:r>
      <w:r>
        <w:rPr>
          <w:color w:val="231F20"/>
          <w:w w:val="105"/>
        </w:rPr>
        <w:t>protect against a large increase in plasma and extracel­ lular</w:t>
      </w:r>
      <w:r>
        <w:rPr>
          <w:color w:val="231F20"/>
          <w:spacing w:val="-9"/>
          <w:w w:val="105"/>
        </w:rPr>
        <w:t> </w:t>
      </w:r>
      <w:r>
        <w:rPr>
          <w:color w:val="231F20"/>
          <w:w w:val="105"/>
        </w:rPr>
        <w:t>fluid</w:t>
      </w:r>
      <w:r>
        <w:rPr>
          <w:color w:val="231F20"/>
          <w:spacing w:val="-8"/>
          <w:w w:val="105"/>
        </w:rPr>
        <w:t> </w:t>
      </w:r>
      <w:r>
        <w:rPr>
          <w:color w:val="231F20"/>
          <w:w w:val="105"/>
        </w:rPr>
        <w:t>sodium,</w:t>
      </w:r>
      <w:r>
        <w:rPr>
          <w:color w:val="231F20"/>
          <w:spacing w:val="-9"/>
          <w:w w:val="105"/>
        </w:rPr>
        <w:t> </w:t>
      </w:r>
      <w:r>
        <w:rPr>
          <w:color w:val="231F20"/>
          <w:w w:val="105"/>
        </w:rPr>
        <w:t>as</w:t>
      </w:r>
      <w:r>
        <w:rPr>
          <w:color w:val="231F20"/>
          <w:spacing w:val="-8"/>
          <w:w w:val="105"/>
        </w:rPr>
        <w:t> </w:t>
      </w:r>
      <w:r>
        <w:rPr>
          <w:color w:val="231F20"/>
          <w:w w:val="105"/>
        </w:rPr>
        <w:t>discussed</w:t>
      </w:r>
      <w:r>
        <w:rPr>
          <w:color w:val="231F20"/>
          <w:spacing w:val="-8"/>
          <w:w w:val="105"/>
        </w:rPr>
        <w:t> </w:t>
      </w:r>
      <w:r>
        <w:rPr>
          <w:color w:val="231F20"/>
          <w:w w:val="105"/>
        </w:rPr>
        <w:t>in</w:t>
      </w:r>
      <w:r>
        <w:rPr>
          <w:color w:val="231F20"/>
          <w:spacing w:val="-9"/>
          <w:w w:val="105"/>
        </w:rPr>
        <w:t> </w:t>
      </w:r>
      <w:r>
        <w:rPr>
          <w:color w:val="231F20"/>
          <w:w w:val="105"/>
        </w:rPr>
        <w:t>Chapter</w:t>
      </w:r>
      <w:r>
        <w:rPr>
          <w:color w:val="231F20"/>
          <w:spacing w:val="-8"/>
          <w:w w:val="105"/>
        </w:rPr>
        <w:t> </w:t>
      </w:r>
      <w:r>
        <w:rPr>
          <w:color w:val="231F20"/>
          <w:w w:val="105"/>
        </w:rPr>
        <w:t>29.</w:t>
      </w:r>
      <w:r>
        <w:rPr>
          <w:color w:val="231F20"/>
          <w:spacing w:val="-9"/>
          <w:w w:val="105"/>
        </w:rPr>
        <w:t> </w:t>
      </w:r>
      <w:r>
        <w:rPr>
          <w:color w:val="231F20"/>
          <w:spacing w:val="-4"/>
          <w:w w:val="105"/>
        </w:rPr>
        <w:t>However, </w:t>
      </w:r>
      <w:r>
        <w:rPr>
          <w:color w:val="231F20"/>
          <w:w w:val="105"/>
        </w:rPr>
        <w:t>severe</w:t>
      </w:r>
      <w:r>
        <w:rPr>
          <w:color w:val="231F20"/>
          <w:spacing w:val="-20"/>
          <w:w w:val="105"/>
        </w:rPr>
        <w:t> </w:t>
      </w:r>
      <w:r>
        <w:rPr>
          <w:color w:val="231F20"/>
          <w:w w:val="105"/>
        </w:rPr>
        <w:t>hypernatremia</w:t>
      </w:r>
      <w:r>
        <w:rPr>
          <w:color w:val="231F20"/>
          <w:spacing w:val="-20"/>
          <w:w w:val="105"/>
        </w:rPr>
        <w:t> </w:t>
      </w:r>
      <w:r>
        <w:rPr>
          <w:color w:val="231F20"/>
          <w:w w:val="105"/>
        </w:rPr>
        <w:t>can</w:t>
      </w:r>
      <w:r>
        <w:rPr>
          <w:color w:val="231F20"/>
          <w:spacing w:val="-20"/>
          <w:w w:val="105"/>
        </w:rPr>
        <w:t> </w:t>
      </w:r>
      <w:r>
        <w:rPr>
          <w:color w:val="231F20"/>
          <w:w w:val="105"/>
        </w:rPr>
        <w:t>occur</w:t>
      </w:r>
      <w:r>
        <w:rPr>
          <w:color w:val="231F20"/>
          <w:spacing w:val="-20"/>
          <w:w w:val="105"/>
        </w:rPr>
        <w:t> </w:t>
      </w:r>
      <w:r>
        <w:rPr>
          <w:color w:val="231F20"/>
          <w:w w:val="105"/>
        </w:rPr>
        <w:t>in</w:t>
      </w:r>
      <w:r>
        <w:rPr>
          <w:color w:val="231F20"/>
          <w:spacing w:val="-19"/>
          <w:w w:val="105"/>
        </w:rPr>
        <w:t> </w:t>
      </w:r>
      <w:r>
        <w:rPr>
          <w:color w:val="231F20"/>
          <w:w w:val="105"/>
        </w:rPr>
        <w:t>patients</w:t>
      </w:r>
      <w:r>
        <w:rPr>
          <w:color w:val="231F20"/>
          <w:spacing w:val="-20"/>
          <w:w w:val="105"/>
        </w:rPr>
        <w:t> </w:t>
      </w:r>
      <w:r>
        <w:rPr>
          <w:color w:val="231F20"/>
          <w:w w:val="105"/>
        </w:rPr>
        <w:t>with</w:t>
      </w:r>
      <w:r>
        <w:rPr>
          <w:color w:val="231F20"/>
          <w:spacing w:val="-20"/>
          <w:w w:val="105"/>
        </w:rPr>
        <w:t> </w:t>
      </w:r>
      <w:r>
        <w:rPr>
          <w:color w:val="231F20"/>
          <w:w w:val="105"/>
        </w:rPr>
        <w:t>hypotha­ lamic lesions that impair their sense of thirst, in infants who</w:t>
      </w:r>
      <w:r>
        <w:rPr>
          <w:color w:val="231F20"/>
          <w:spacing w:val="-29"/>
          <w:w w:val="105"/>
        </w:rPr>
        <w:t> </w:t>
      </w:r>
      <w:r>
        <w:rPr>
          <w:color w:val="231F20"/>
          <w:w w:val="105"/>
        </w:rPr>
        <w:t>may</w:t>
      </w:r>
      <w:r>
        <w:rPr>
          <w:color w:val="231F20"/>
          <w:spacing w:val="-29"/>
          <w:w w:val="105"/>
        </w:rPr>
        <w:t> </w:t>
      </w:r>
      <w:r>
        <w:rPr>
          <w:color w:val="231F20"/>
          <w:w w:val="105"/>
        </w:rPr>
        <w:t>not</w:t>
      </w:r>
      <w:r>
        <w:rPr>
          <w:color w:val="231F20"/>
          <w:spacing w:val="-29"/>
          <w:w w:val="105"/>
        </w:rPr>
        <w:t> </w:t>
      </w:r>
      <w:r>
        <w:rPr>
          <w:color w:val="231F20"/>
          <w:w w:val="105"/>
        </w:rPr>
        <w:t>have</w:t>
      </w:r>
      <w:r>
        <w:rPr>
          <w:color w:val="231F20"/>
          <w:spacing w:val="-29"/>
          <w:w w:val="105"/>
        </w:rPr>
        <w:t> </w:t>
      </w:r>
      <w:r>
        <w:rPr>
          <w:color w:val="231F20"/>
          <w:w w:val="105"/>
        </w:rPr>
        <w:t>ready</w:t>
      </w:r>
      <w:r>
        <w:rPr>
          <w:color w:val="231F20"/>
          <w:spacing w:val="-28"/>
          <w:w w:val="105"/>
        </w:rPr>
        <w:t> </w:t>
      </w:r>
      <w:r>
        <w:rPr>
          <w:color w:val="231F20"/>
          <w:w w:val="105"/>
        </w:rPr>
        <w:t>access</w:t>
      </w:r>
      <w:r>
        <w:rPr>
          <w:color w:val="231F20"/>
          <w:spacing w:val="-29"/>
          <w:w w:val="105"/>
        </w:rPr>
        <w:t> </w:t>
      </w:r>
      <w:r>
        <w:rPr>
          <w:color w:val="231F20"/>
          <w:w w:val="105"/>
        </w:rPr>
        <w:t>to</w:t>
      </w:r>
      <w:r>
        <w:rPr>
          <w:color w:val="231F20"/>
          <w:spacing w:val="-29"/>
          <w:w w:val="105"/>
        </w:rPr>
        <w:t> </w:t>
      </w:r>
      <w:r>
        <w:rPr>
          <w:color w:val="231F20"/>
          <w:spacing w:val="-3"/>
          <w:w w:val="105"/>
        </w:rPr>
        <w:t>water,</w:t>
      </w:r>
      <w:r>
        <w:rPr>
          <w:color w:val="231F20"/>
          <w:spacing w:val="-29"/>
          <w:w w:val="105"/>
        </w:rPr>
        <w:t> </w:t>
      </w:r>
      <w:r>
        <w:rPr>
          <w:color w:val="231F20"/>
          <w:w w:val="105"/>
        </w:rPr>
        <w:t>in</w:t>
      </w:r>
      <w:r>
        <w:rPr>
          <w:color w:val="231F20"/>
          <w:spacing w:val="-28"/>
          <w:w w:val="105"/>
        </w:rPr>
        <w:t> </w:t>
      </w:r>
      <w:r>
        <w:rPr>
          <w:color w:val="231F20"/>
          <w:w w:val="105"/>
        </w:rPr>
        <w:t>elderly</w:t>
      </w:r>
      <w:r>
        <w:rPr>
          <w:color w:val="231F20"/>
          <w:spacing w:val="-29"/>
          <w:w w:val="105"/>
        </w:rPr>
        <w:t> </w:t>
      </w:r>
      <w:r>
        <w:rPr>
          <w:color w:val="231F20"/>
          <w:spacing w:val="-3"/>
          <w:w w:val="105"/>
        </w:rPr>
        <w:t>patients </w:t>
      </w:r>
      <w:r>
        <w:rPr>
          <w:color w:val="231F20"/>
          <w:w w:val="105"/>
        </w:rPr>
        <w:t>with altered mental status, or in persons with diabetes insipidus.</w:t>
      </w:r>
    </w:p>
    <w:p>
      <w:pPr>
        <w:pStyle w:val="BodyText"/>
        <w:spacing w:line="249" w:lineRule="auto" w:before="10"/>
        <w:ind w:left="1080" w:firstLine="240"/>
        <w:jc w:val="both"/>
      </w:pPr>
      <w:r>
        <w:rPr>
          <w:color w:val="231F20"/>
          <w:w w:val="105"/>
        </w:rPr>
        <w:t>Correction of hypernatremia can be achieved </w:t>
      </w:r>
      <w:r>
        <w:rPr>
          <w:color w:val="231F20"/>
          <w:spacing w:val="-6"/>
          <w:w w:val="105"/>
        </w:rPr>
        <w:t>by </w:t>
      </w:r>
      <w:r>
        <w:rPr>
          <w:color w:val="231F20"/>
          <w:w w:val="105"/>
        </w:rPr>
        <w:t>administering</w:t>
      </w:r>
      <w:r>
        <w:rPr>
          <w:color w:val="231F20"/>
          <w:spacing w:val="-16"/>
          <w:w w:val="105"/>
        </w:rPr>
        <w:t> </w:t>
      </w:r>
      <w:r>
        <w:rPr>
          <w:color w:val="231F20"/>
          <w:w w:val="105"/>
        </w:rPr>
        <w:t>hypo­osmotic</w:t>
      </w:r>
      <w:r>
        <w:rPr>
          <w:color w:val="231F20"/>
          <w:spacing w:val="-15"/>
          <w:w w:val="105"/>
        </w:rPr>
        <w:t> </w:t>
      </w:r>
      <w:r>
        <w:rPr>
          <w:color w:val="231F20"/>
          <w:w w:val="105"/>
        </w:rPr>
        <w:t>sodium</w:t>
      </w:r>
      <w:r>
        <w:rPr>
          <w:color w:val="231F20"/>
          <w:spacing w:val="-15"/>
          <w:w w:val="105"/>
        </w:rPr>
        <w:t> </w:t>
      </w:r>
      <w:r>
        <w:rPr>
          <w:color w:val="231F20"/>
          <w:w w:val="105"/>
        </w:rPr>
        <w:t>chloride</w:t>
      </w:r>
      <w:r>
        <w:rPr>
          <w:color w:val="231F20"/>
          <w:spacing w:val="-15"/>
          <w:w w:val="105"/>
        </w:rPr>
        <w:t> </w:t>
      </w:r>
      <w:r>
        <w:rPr>
          <w:color w:val="231F20"/>
          <w:w w:val="105"/>
        </w:rPr>
        <w:t>or</w:t>
      </w:r>
      <w:r>
        <w:rPr>
          <w:color w:val="231F20"/>
          <w:spacing w:val="-16"/>
          <w:w w:val="105"/>
        </w:rPr>
        <w:t> </w:t>
      </w:r>
      <w:r>
        <w:rPr>
          <w:color w:val="231F20"/>
          <w:spacing w:val="-3"/>
          <w:w w:val="105"/>
        </w:rPr>
        <w:t>dextrose </w:t>
      </w:r>
      <w:r>
        <w:rPr>
          <w:color w:val="231F20"/>
          <w:w w:val="105"/>
        </w:rPr>
        <w:t>solutions. However, it is prudent to correct the</w:t>
      </w:r>
      <w:r>
        <w:rPr>
          <w:color w:val="231F20"/>
          <w:spacing w:val="-37"/>
          <w:w w:val="105"/>
        </w:rPr>
        <w:t> </w:t>
      </w:r>
      <w:r>
        <w:rPr>
          <w:color w:val="231F20"/>
          <w:w w:val="105"/>
        </w:rPr>
        <w:t>hyperna­ tremia</w:t>
      </w:r>
      <w:r>
        <w:rPr>
          <w:color w:val="231F20"/>
          <w:spacing w:val="-16"/>
          <w:w w:val="105"/>
        </w:rPr>
        <w:t> </w:t>
      </w:r>
      <w:r>
        <w:rPr>
          <w:color w:val="231F20"/>
          <w:w w:val="105"/>
        </w:rPr>
        <w:t>slowly</w:t>
      </w:r>
      <w:r>
        <w:rPr>
          <w:color w:val="231F20"/>
          <w:spacing w:val="-16"/>
          <w:w w:val="105"/>
        </w:rPr>
        <w:t> </w:t>
      </w:r>
      <w:r>
        <w:rPr>
          <w:color w:val="231F20"/>
          <w:w w:val="105"/>
        </w:rPr>
        <w:t>in</w:t>
      </w:r>
      <w:r>
        <w:rPr>
          <w:color w:val="231F20"/>
          <w:spacing w:val="-16"/>
          <w:w w:val="105"/>
        </w:rPr>
        <w:t> </w:t>
      </w:r>
      <w:r>
        <w:rPr>
          <w:color w:val="231F20"/>
          <w:w w:val="105"/>
        </w:rPr>
        <w:t>patients</w:t>
      </w:r>
      <w:r>
        <w:rPr>
          <w:color w:val="231F20"/>
          <w:spacing w:val="-16"/>
          <w:w w:val="105"/>
        </w:rPr>
        <w:t> </w:t>
      </w:r>
      <w:r>
        <w:rPr>
          <w:color w:val="231F20"/>
          <w:w w:val="105"/>
        </w:rPr>
        <w:t>who</w:t>
      </w:r>
      <w:r>
        <w:rPr>
          <w:color w:val="231F20"/>
          <w:spacing w:val="-16"/>
          <w:w w:val="105"/>
        </w:rPr>
        <w:t> </w:t>
      </w:r>
      <w:r>
        <w:rPr>
          <w:color w:val="231F20"/>
          <w:w w:val="105"/>
        </w:rPr>
        <w:t>have</w:t>
      </w:r>
      <w:r>
        <w:rPr>
          <w:color w:val="231F20"/>
          <w:spacing w:val="-16"/>
          <w:w w:val="105"/>
        </w:rPr>
        <w:t> </w:t>
      </w:r>
      <w:r>
        <w:rPr>
          <w:color w:val="231F20"/>
          <w:w w:val="105"/>
        </w:rPr>
        <w:t>had</w:t>
      </w:r>
      <w:r>
        <w:rPr>
          <w:color w:val="231F20"/>
          <w:spacing w:val="-16"/>
          <w:w w:val="105"/>
        </w:rPr>
        <w:t> </w:t>
      </w:r>
      <w:r>
        <w:rPr>
          <w:color w:val="231F20"/>
          <w:w w:val="105"/>
        </w:rPr>
        <w:t>chronic</w:t>
      </w:r>
      <w:r>
        <w:rPr>
          <w:color w:val="231F20"/>
          <w:spacing w:val="-16"/>
          <w:w w:val="105"/>
        </w:rPr>
        <w:t> </w:t>
      </w:r>
      <w:r>
        <w:rPr>
          <w:color w:val="231F20"/>
          <w:w w:val="105"/>
        </w:rPr>
        <w:t>increases in plasma sodium concentration because hypernatremia also activates defense mechanisms that protect the cell from</w:t>
      </w:r>
      <w:r>
        <w:rPr>
          <w:color w:val="231F20"/>
          <w:spacing w:val="-8"/>
          <w:w w:val="105"/>
        </w:rPr>
        <w:t> </w:t>
      </w:r>
      <w:r>
        <w:rPr>
          <w:color w:val="231F20"/>
          <w:w w:val="105"/>
        </w:rPr>
        <w:t>changes</w:t>
      </w:r>
      <w:r>
        <w:rPr>
          <w:color w:val="231F20"/>
          <w:spacing w:val="-7"/>
          <w:w w:val="105"/>
        </w:rPr>
        <w:t> </w:t>
      </w:r>
      <w:r>
        <w:rPr>
          <w:color w:val="231F20"/>
          <w:w w:val="105"/>
        </w:rPr>
        <w:t>in</w:t>
      </w:r>
      <w:r>
        <w:rPr>
          <w:color w:val="231F20"/>
          <w:spacing w:val="-7"/>
          <w:w w:val="105"/>
        </w:rPr>
        <w:t> </w:t>
      </w:r>
      <w:r>
        <w:rPr>
          <w:color w:val="231F20"/>
          <w:w w:val="105"/>
        </w:rPr>
        <w:t>volume.</w:t>
      </w:r>
      <w:r>
        <w:rPr>
          <w:color w:val="231F20"/>
          <w:spacing w:val="-8"/>
          <w:w w:val="105"/>
        </w:rPr>
        <w:t> </w:t>
      </w:r>
      <w:r>
        <w:rPr>
          <w:color w:val="231F20"/>
          <w:w w:val="105"/>
        </w:rPr>
        <w:t>These</w:t>
      </w:r>
      <w:r>
        <w:rPr>
          <w:color w:val="231F20"/>
          <w:spacing w:val="-7"/>
          <w:w w:val="105"/>
        </w:rPr>
        <w:t> </w:t>
      </w:r>
      <w:r>
        <w:rPr>
          <w:color w:val="231F20"/>
          <w:w w:val="105"/>
        </w:rPr>
        <w:t>defense</w:t>
      </w:r>
      <w:r>
        <w:rPr>
          <w:color w:val="231F20"/>
          <w:spacing w:val="-7"/>
          <w:w w:val="105"/>
        </w:rPr>
        <w:t> </w:t>
      </w:r>
      <w:r>
        <w:rPr>
          <w:color w:val="231F20"/>
          <w:w w:val="105"/>
        </w:rPr>
        <w:t>mechanisms</w:t>
      </w:r>
      <w:r>
        <w:rPr>
          <w:color w:val="231F20"/>
          <w:spacing w:val="-7"/>
          <w:w w:val="105"/>
        </w:rPr>
        <w:t> </w:t>
      </w:r>
      <w:r>
        <w:rPr>
          <w:color w:val="231F20"/>
          <w:spacing w:val="-6"/>
          <w:w w:val="105"/>
        </w:rPr>
        <w:t>are </w:t>
      </w:r>
      <w:r>
        <w:rPr>
          <w:color w:val="231F20"/>
          <w:w w:val="105"/>
        </w:rPr>
        <w:t>opposite</w:t>
      </w:r>
      <w:r>
        <w:rPr>
          <w:color w:val="231F20"/>
          <w:spacing w:val="-17"/>
          <w:w w:val="105"/>
        </w:rPr>
        <w:t> </w:t>
      </w:r>
      <w:r>
        <w:rPr>
          <w:color w:val="231F20"/>
          <w:w w:val="105"/>
        </w:rPr>
        <w:t>to</w:t>
      </w:r>
      <w:r>
        <w:rPr>
          <w:color w:val="231F20"/>
          <w:spacing w:val="-17"/>
          <w:w w:val="105"/>
        </w:rPr>
        <w:t> </w:t>
      </w:r>
      <w:r>
        <w:rPr>
          <w:color w:val="231F20"/>
          <w:w w:val="105"/>
        </w:rPr>
        <w:t>those</w:t>
      </w:r>
      <w:r>
        <w:rPr>
          <w:color w:val="231F20"/>
          <w:spacing w:val="-17"/>
          <w:w w:val="105"/>
        </w:rPr>
        <w:t> </w:t>
      </w:r>
      <w:r>
        <w:rPr>
          <w:color w:val="231F20"/>
          <w:w w:val="105"/>
        </w:rPr>
        <w:t>that</w:t>
      </w:r>
      <w:r>
        <w:rPr>
          <w:color w:val="231F20"/>
          <w:spacing w:val="-17"/>
          <w:w w:val="105"/>
        </w:rPr>
        <w:t> </w:t>
      </w:r>
      <w:r>
        <w:rPr>
          <w:color w:val="231F20"/>
          <w:w w:val="105"/>
        </w:rPr>
        <w:t>occur</w:t>
      </w:r>
      <w:r>
        <w:rPr>
          <w:color w:val="231F20"/>
          <w:spacing w:val="-17"/>
          <w:w w:val="105"/>
        </w:rPr>
        <w:t> </w:t>
      </w:r>
      <w:r>
        <w:rPr>
          <w:color w:val="231F20"/>
          <w:w w:val="105"/>
        </w:rPr>
        <w:t>for</w:t>
      </w:r>
      <w:r>
        <w:rPr>
          <w:color w:val="231F20"/>
          <w:spacing w:val="-17"/>
          <w:w w:val="105"/>
        </w:rPr>
        <w:t> </w:t>
      </w:r>
      <w:r>
        <w:rPr>
          <w:color w:val="231F20"/>
          <w:w w:val="105"/>
        </w:rPr>
        <w:t>hyponatremia</w:t>
      </w:r>
      <w:r>
        <w:rPr>
          <w:color w:val="231F20"/>
          <w:spacing w:val="-17"/>
          <w:w w:val="105"/>
        </w:rPr>
        <w:t> </w:t>
      </w:r>
      <w:r>
        <w:rPr>
          <w:color w:val="231F20"/>
          <w:w w:val="105"/>
        </w:rPr>
        <w:t>and</w:t>
      </w:r>
      <w:r>
        <w:rPr>
          <w:color w:val="231F20"/>
          <w:spacing w:val="-17"/>
          <w:w w:val="105"/>
        </w:rPr>
        <w:t> </w:t>
      </w:r>
      <w:r>
        <w:rPr>
          <w:color w:val="231F20"/>
          <w:w w:val="105"/>
        </w:rPr>
        <w:t>consist of mechanisms that increase the intracellular </w:t>
      </w:r>
      <w:r>
        <w:rPr>
          <w:color w:val="231F20"/>
          <w:spacing w:val="-3"/>
          <w:w w:val="105"/>
        </w:rPr>
        <w:t>concentra­ </w:t>
      </w:r>
      <w:r>
        <w:rPr>
          <w:color w:val="231F20"/>
          <w:w w:val="105"/>
        </w:rPr>
        <w:t>tion of sodium and other</w:t>
      </w:r>
      <w:r>
        <w:rPr>
          <w:color w:val="231F20"/>
          <w:spacing w:val="14"/>
          <w:w w:val="105"/>
        </w:rPr>
        <w:t> </w:t>
      </w:r>
      <w:r>
        <w:rPr>
          <w:color w:val="231F20"/>
          <w:w w:val="105"/>
        </w:rPr>
        <w:t>solutes.</w:t>
      </w:r>
    </w:p>
    <w:p>
      <w:pPr>
        <w:pStyle w:val="BodyText"/>
        <w:spacing w:before="4"/>
        <w:rPr>
          <w:sz w:val="25"/>
        </w:rPr>
      </w:pPr>
      <w:r>
        <w:rPr/>
        <w:pict>
          <v:shape style="position:absolute;margin-left:54pt;margin-top:15.785918pt;width:234pt;height:28pt;mso-position-horizontal-relative:page;mso-position-vertical-relative:paragraph;z-index:-251546624;mso-wrap-distance-left:0;mso-wrap-distance-right:0" type="#_x0000_t202" filled="true" fillcolor="#e8dac8" stroked="false">
            <v:textbox inset="0,0,0,0">
              <w:txbxContent>
                <w:p>
                  <w:pPr>
                    <w:spacing w:line="225" w:lineRule="auto" w:before="46"/>
                    <w:ind w:left="60" w:right="2055" w:firstLine="0"/>
                    <w:jc w:val="left"/>
                    <w:rPr>
                      <w:rFonts w:ascii="Trebuchet MS"/>
                      <w:b/>
                      <w:sz w:val="22"/>
                    </w:rPr>
                  </w:pPr>
                  <w:r>
                    <w:rPr>
                      <w:rFonts w:ascii="Trebuchet MS"/>
                      <w:b/>
                      <w:color w:val="231F20"/>
                      <w:w w:val="110"/>
                      <w:sz w:val="22"/>
                    </w:rPr>
                    <w:t>EDEMA: EXCESS FLUID IN THE TISSUES</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w w:val="105"/>
        </w:rPr>
        <w:t>Edema refers to the presence of excess fluid in the</w:t>
      </w:r>
      <w:r>
        <w:rPr>
          <w:color w:val="231F20"/>
          <w:spacing w:val="-35"/>
          <w:w w:val="105"/>
        </w:rPr>
        <w:t> </w:t>
      </w:r>
      <w:r>
        <w:rPr>
          <w:color w:val="231F20"/>
          <w:w w:val="105"/>
        </w:rPr>
        <w:t>body tissues. In most instances, edema occurs mainly in the extracellular</w:t>
      </w:r>
      <w:r>
        <w:rPr>
          <w:color w:val="231F20"/>
          <w:spacing w:val="-7"/>
          <w:w w:val="105"/>
        </w:rPr>
        <w:t> </w:t>
      </w:r>
      <w:r>
        <w:rPr>
          <w:color w:val="231F20"/>
          <w:w w:val="105"/>
        </w:rPr>
        <w:t>fluid</w:t>
      </w:r>
      <w:r>
        <w:rPr>
          <w:color w:val="231F20"/>
          <w:spacing w:val="-7"/>
          <w:w w:val="105"/>
        </w:rPr>
        <w:t> </w:t>
      </w:r>
      <w:r>
        <w:rPr>
          <w:color w:val="231F20"/>
          <w:w w:val="105"/>
        </w:rPr>
        <w:t>compartment,</w:t>
      </w:r>
      <w:r>
        <w:rPr>
          <w:color w:val="231F20"/>
          <w:spacing w:val="-6"/>
          <w:w w:val="105"/>
        </w:rPr>
        <w:t> </w:t>
      </w:r>
      <w:r>
        <w:rPr>
          <w:color w:val="231F20"/>
          <w:w w:val="105"/>
        </w:rPr>
        <w:t>but</w:t>
      </w:r>
      <w:r>
        <w:rPr>
          <w:color w:val="231F20"/>
          <w:spacing w:val="-7"/>
          <w:w w:val="105"/>
        </w:rPr>
        <w:t> </w:t>
      </w:r>
      <w:r>
        <w:rPr>
          <w:color w:val="231F20"/>
          <w:w w:val="105"/>
        </w:rPr>
        <w:t>it</w:t>
      </w:r>
      <w:r>
        <w:rPr>
          <w:color w:val="231F20"/>
          <w:spacing w:val="-7"/>
          <w:w w:val="105"/>
        </w:rPr>
        <w:t> </w:t>
      </w:r>
      <w:r>
        <w:rPr>
          <w:color w:val="231F20"/>
          <w:w w:val="105"/>
        </w:rPr>
        <w:t>can</w:t>
      </w:r>
      <w:r>
        <w:rPr>
          <w:color w:val="231F20"/>
          <w:spacing w:val="-6"/>
          <w:w w:val="105"/>
        </w:rPr>
        <w:t> </w:t>
      </w:r>
      <w:r>
        <w:rPr>
          <w:color w:val="231F20"/>
          <w:w w:val="105"/>
        </w:rPr>
        <w:t>involve</w:t>
      </w:r>
      <w:r>
        <w:rPr>
          <w:color w:val="231F20"/>
          <w:spacing w:val="-7"/>
          <w:w w:val="105"/>
        </w:rPr>
        <w:t> </w:t>
      </w:r>
      <w:r>
        <w:rPr>
          <w:color w:val="231F20"/>
          <w:spacing w:val="-4"/>
          <w:w w:val="105"/>
        </w:rPr>
        <w:t>intra­ </w:t>
      </w:r>
      <w:r>
        <w:rPr>
          <w:color w:val="231F20"/>
          <w:w w:val="105"/>
        </w:rPr>
        <w:t>cellular fluid as</w:t>
      </w:r>
      <w:r>
        <w:rPr>
          <w:color w:val="231F20"/>
          <w:spacing w:val="4"/>
          <w:w w:val="105"/>
        </w:rPr>
        <w:t> </w:t>
      </w:r>
      <w:r>
        <w:rPr>
          <w:color w:val="231F20"/>
          <w:w w:val="105"/>
        </w:rPr>
        <w:t>well.</w:t>
      </w:r>
    </w:p>
    <w:p>
      <w:pPr>
        <w:pStyle w:val="Heading2"/>
        <w:spacing w:before="199"/>
      </w:pPr>
      <w:r>
        <w:rPr>
          <w:b w:val="0"/>
        </w:rPr>
        <w:br w:type="column"/>
      </w:r>
      <w:r>
        <w:rPr>
          <w:color w:val="231F20"/>
          <w:w w:val="105"/>
        </w:rPr>
        <w:t>INTRACELLULAR EDEMA</w:t>
      </w:r>
    </w:p>
    <w:p>
      <w:pPr>
        <w:pStyle w:val="BodyText"/>
        <w:spacing w:line="249" w:lineRule="auto" w:before="125"/>
        <w:ind w:left="319" w:right="1439"/>
        <w:jc w:val="both"/>
      </w:pPr>
      <w:r>
        <w:rPr>
          <w:color w:val="231F20"/>
          <w:w w:val="105"/>
        </w:rPr>
        <w:t>Three conditions are especially prone to cause intracel­ lular swelling: (1) hyponatremia, as discussed earlier;</w:t>
      </w:r>
    </w:p>
    <w:p>
      <w:pPr>
        <w:pStyle w:val="ListParagraph"/>
        <w:numPr>
          <w:ilvl w:val="2"/>
          <w:numId w:val="2"/>
        </w:numPr>
        <w:tabs>
          <w:tab w:pos="589" w:val="left" w:leader="none"/>
        </w:tabs>
        <w:spacing w:line="240" w:lineRule="auto" w:before="2" w:after="0"/>
        <w:ind w:left="588" w:right="0" w:hanging="270"/>
        <w:jc w:val="both"/>
        <w:rPr>
          <w:sz w:val="20"/>
        </w:rPr>
      </w:pPr>
      <w:r>
        <w:rPr>
          <w:color w:val="231F20"/>
          <w:w w:val="105"/>
          <w:sz w:val="20"/>
        </w:rPr>
        <w:t>depression</w:t>
      </w:r>
      <w:r>
        <w:rPr>
          <w:color w:val="231F20"/>
          <w:spacing w:val="-14"/>
          <w:w w:val="105"/>
          <w:sz w:val="20"/>
        </w:rPr>
        <w:t> </w:t>
      </w:r>
      <w:r>
        <w:rPr>
          <w:color w:val="231F20"/>
          <w:w w:val="105"/>
          <w:sz w:val="20"/>
        </w:rPr>
        <w:t>of</w:t>
      </w:r>
      <w:r>
        <w:rPr>
          <w:color w:val="231F20"/>
          <w:spacing w:val="-14"/>
          <w:w w:val="105"/>
          <w:sz w:val="20"/>
        </w:rPr>
        <w:t> </w:t>
      </w:r>
      <w:r>
        <w:rPr>
          <w:color w:val="231F20"/>
          <w:w w:val="105"/>
          <w:sz w:val="20"/>
        </w:rPr>
        <w:t>the</w:t>
      </w:r>
      <w:r>
        <w:rPr>
          <w:color w:val="231F20"/>
          <w:spacing w:val="-14"/>
          <w:w w:val="105"/>
          <w:sz w:val="20"/>
        </w:rPr>
        <w:t> </w:t>
      </w:r>
      <w:r>
        <w:rPr>
          <w:color w:val="231F20"/>
          <w:w w:val="105"/>
          <w:sz w:val="20"/>
        </w:rPr>
        <w:t>metabolic</w:t>
      </w:r>
      <w:r>
        <w:rPr>
          <w:color w:val="231F20"/>
          <w:spacing w:val="-14"/>
          <w:w w:val="105"/>
          <w:sz w:val="20"/>
        </w:rPr>
        <w:t> </w:t>
      </w:r>
      <w:r>
        <w:rPr>
          <w:color w:val="231F20"/>
          <w:w w:val="105"/>
          <w:sz w:val="20"/>
        </w:rPr>
        <w:t>systems</w:t>
      </w:r>
      <w:r>
        <w:rPr>
          <w:color w:val="231F20"/>
          <w:spacing w:val="-14"/>
          <w:w w:val="105"/>
          <w:sz w:val="20"/>
        </w:rPr>
        <w:t> </w:t>
      </w:r>
      <w:r>
        <w:rPr>
          <w:color w:val="231F20"/>
          <w:w w:val="105"/>
          <w:sz w:val="20"/>
        </w:rPr>
        <w:t>of</w:t>
      </w:r>
      <w:r>
        <w:rPr>
          <w:color w:val="231F20"/>
          <w:spacing w:val="-14"/>
          <w:w w:val="105"/>
          <w:sz w:val="20"/>
        </w:rPr>
        <w:t> </w:t>
      </w:r>
      <w:r>
        <w:rPr>
          <w:color w:val="231F20"/>
          <w:w w:val="105"/>
          <w:sz w:val="20"/>
        </w:rPr>
        <w:t>the</w:t>
      </w:r>
      <w:r>
        <w:rPr>
          <w:color w:val="231F20"/>
          <w:spacing w:val="-14"/>
          <w:w w:val="105"/>
          <w:sz w:val="20"/>
        </w:rPr>
        <w:t> </w:t>
      </w:r>
      <w:r>
        <w:rPr>
          <w:color w:val="231F20"/>
          <w:w w:val="105"/>
          <w:sz w:val="20"/>
        </w:rPr>
        <w:t>tissues;</w:t>
      </w:r>
      <w:r>
        <w:rPr>
          <w:color w:val="231F20"/>
          <w:spacing w:val="-14"/>
          <w:w w:val="105"/>
          <w:sz w:val="20"/>
        </w:rPr>
        <w:t> </w:t>
      </w:r>
      <w:r>
        <w:rPr>
          <w:color w:val="231F20"/>
          <w:w w:val="105"/>
          <w:sz w:val="20"/>
        </w:rPr>
        <w:t>and</w:t>
      </w:r>
    </w:p>
    <w:p>
      <w:pPr>
        <w:pStyle w:val="ListParagraph"/>
        <w:numPr>
          <w:ilvl w:val="2"/>
          <w:numId w:val="2"/>
        </w:numPr>
        <w:tabs>
          <w:tab w:pos="621" w:val="left" w:leader="none"/>
        </w:tabs>
        <w:spacing w:line="249" w:lineRule="auto" w:before="10" w:after="0"/>
        <w:ind w:left="319" w:right="1437" w:firstLine="0"/>
        <w:jc w:val="both"/>
        <w:rPr>
          <w:sz w:val="20"/>
        </w:rPr>
      </w:pPr>
      <w:r>
        <w:rPr>
          <w:color w:val="231F20"/>
          <w:w w:val="105"/>
          <w:sz w:val="20"/>
        </w:rPr>
        <w:t>lack of adequate nutrition to the cells. </w:t>
      </w:r>
      <w:r>
        <w:rPr>
          <w:color w:val="231F20"/>
          <w:spacing w:val="-3"/>
          <w:w w:val="105"/>
          <w:sz w:val="20"/>
        </w:rPr>
        <w:t>For example, </w:t>
      </w:r>
      <w:r>
        <w:rPr>
          <w:color w:val="231F20"/>
          <w:w w:val="105"/>
          <w:sz w:val="20"/>
        </w:rPr>
        <w:t>when blood flow to a tissue is decreased, the delivery of oxygen and nutrients is reduced. If the blood flow becomes too low to maintain normal tissue</w:t>
      </w:r>
      <w:r>
        <w:rPr>
          <w:color w:val="231F20"/>
          <w:spacing w:val="-23"/>
          <w:w w:val="105"/>
          <w:sz w:val="20"/>
        </w:rPr>
        <w:t> </w:t>
      </w:r>
      <w:r>
        <w:rPr>
          <w:color w:val="231F20"/>
          <w:w w:val="105"/>
          <w:sz w:val="20"/>
        </w:rPr>
        <w:t>metabolism, the</w:t>
      </w:r>
      <w:r>
        <w:rPr>
          <w:color w:val="231F20"/>
          <w:spacing w:val="-23"/>
          <w:w w:val="105"/>
          <w:sz w:val="20"/>
        </w:rPr>
        <w:t> </w:t>
      </w:r>
      <w:r>
        <w:rPr>
          <w:color w:val="231F20"/>
          <w:w w:val="105"/>
          <w:sz w:val="20"/>
        </w:rPr>
        <w:t>cell</w:t>
      </w:r>
      <w:r>
        <w:rPr>
          <w:color w:val="231F20"/>
          <w:spacing w:val="-22"/>
          <w:w w:val="105"/>
          <w:sz w:val="20"/>
        </w:rPr>
        <w:t> </w:t>
      </w:r>
      <w:r>
        <w:rPr>
          <w:color w:val="231F20"/>
          <w:w w:val="105"/>
          <w:sz w:val="20"/>
        </w:rPr>
        <w:t>membrane</w:t>
      </w:r>
      <w:r>
        <w:rPr>
          <w:color w:val="231F20"/>
          <w:spacing w:val="-22"/>
          <w:w w:val="105"/>
          <w:sz w:val="20"/>
        </w:rPr>
        <w:t> </w:t>
      </w:r>
      <w:r>
        <w:rPr>
          <w:color w:val="231F20"/>
          <w:w w:val="105"/>
          <w:sz w:val="20"/>
        </w:rPr>
        <w:t>ionic</w:t>
      </w:r>
      <w:r>
        <w:rPr>
          <w:color w:val="231F20"/>
          <w:spacing w:val="-23"/>
          <w:w w:val="105"/>
          <w:sz w:val="20"/>
        </w:rPr>
        <w:t> </w:t>
      </w:r>
      <w:r>
        <w:rPr>
          <w:color w:val="231F20"/>
          <w:w w:val="105"/>
          <w:sz w:val="20"/>
        </w:rPr>
        <w:t>pumps</w:t>
      </w:r>
      <w:r>
        <w:rPr>
          <w:color w:val="231F20"/>
          <w:spacing w:val="-22"/>
          <w:w w:val="105"/>
          <w:sz w:val="20"/>
        </w:rPr>
        <w:t> </w:t>
      </w:r>
      <w:r>
        <w:rPr>
          <w:color w:val="231F20"/>
          <w:w w:val="105"/>
          <w:sz w:val="20"/>
        </w:rPr>
        <w:t>become</w:t>
      </w:r>
      <w:r>
        <w:rPr>
          <w:color w:val="231F20"/>
          <w:spacing w:val="-22"/>
          <w:w w:val="105"/>
          <w:sz w:val="20"/>
        </w:rPr>
        <w:t> </w:t>
      </w:r>
      <w:r>
        <w:rPr>
          <w:color w:val="231F20"/>
          <w:w w:val="105"/>
          <w:sz w:val="20"/>
        </w:rPr>
        <w:t>depressed.</w:t>
      </w:r>
      <w:r>
        <w:rPr>
          <w:color w:val="231F20"/>
          <w:spacing w:val="-23"/>
          <w:w w:val="105"/>
          <w:sz w:val="20"/>
        </w:rPr>
        <w:t> </w:t>
      </w:r>
      <w:r>
        <w:rPr>
          <w:color w:val="231F20"/>
          <w:w w:val="105"/>
          <w:sz w:val="20"/>
        </w:rPr>
        <w:t>When the</w:t>
      </w:r>
      <w:r>
        <w:rPr>
          <w:color w:val="231F20"/>
          <w:spacing w:val="-14"/>
          <w:w w:val="105"/>
          <w:sz w:val="20"/>
        </w:rPr>
        <w:t> </w:t>
      </w:r>
      <w:r>
        <w:rPr>
          <w:color w:val="231F20"/>
          <w:w w:val="105"/>
          <w:sz w:val="20"/>
        </w:rPr>
        <w:t>pumps</w:t>
      </w:r>
      <w:r>
        <w:rPr>
          <w:color w:val="231F20"/>
          <w:spacing w:val="-13"/>
          <w:w w:val="105"/>
          <w:sz w:val="20"/>
        </w:rPr>
        <w:t> </w:t>
      </w:r>
      <w:r>
        <w:rPr>
          <w:color w:val="231F20"/>
          <w:w w:val="105"/>
          <w:sz w:val="20"/>
        </w:rPr>
        <w:t>become</w:t>
      </w:r>
      <w:r>
        <w:rPr>
          <w:color w:val="231F20"/>
          <w:spacing w:val="-13"/>
          <w:w w:val="105"/>
          <w:sz w:val="20"/>
        </w:rPr>
        <w:t> </w:t>
      </w:r>
      <w:r>
        <w:rPr>
          <w:color w:val="231F20"/>
          <w:w w:val="105"/>
          <w:sz w:val="20"/>
        </w:rPr>
        <w:t>depressed,</w:t>
      </w:r>
      <w:r>
        <w:rPr>
          <w:color w:val="231F20"/>
          <w:spacing w:val="-13"/>
          <w:w w:val="105"/>
          <w:sz w:val="20"/>
        </w:rPr>
        <w:t> </w:t>
      </w:r>
      <w:r>
        <w:rPr>
          <w:color w:val="231F20"/>
          <w:w w:val="105"/>
          <w:sz w:val="20"/>
        </w:rPr>
        <w:t>sodium</w:t>
      </w:r>
      <w:r>
        <w:rPr>
          <w:color w:val="231F20"/>
          <w:spacing w:val="-13"/>
          <w:w w:val="105"/>
          <w:sz w:val="20"/>
        </w:rPr>
        <w:t> </w:t>
      </w:r>
      <w:r>
        <w:rPr>
          <w:color w:val="231F20"/>
          <w:w w:val="105"/>
          <w:sz w:val="20"/>
        </w:rPr>
        <w:t>ions</w:t>
      </w:r>
      <w:r>
        <w:rPr>
          <w:color w:val="231F20"/>
          <w:spacing w:val="-14"/>
          <w:w w:val="105"/>
          <w:sz w:val="20"/>
        </w:rPr>
        <w:t> </w:t>
      </w:r>
      <w:r>
        <w:rPr>
          <w:color w:val="231F20"/>
          <w:w w:val="105"/>
          <w:sz w:val="20"/>
        </w:rPr>
        <w:t>that</w:t>
      </w:r>
      <w:r>
        <w:rPr>
          <w:color w:val="231F20"/>
          <w:spacing w:val="-13"/>
          <w:w w:val="105"/>
          <w:sz w:val="20"/>
        </w:rPr>
        <w:t> </w:t>
      </w:r>
      <w:r>
        <w:rPr>
          <w:color w:val="231F20"/>
          <w:w w:val="105"/>
          <w:sz w:val="20"/>
        </w:rPr>
        <w:t>normally leak</w:t>
      </w:r>
      <w:r>
        <w:rPr>
          <w:color w:val="231F20"/>
          <w:spacing w:val="-10"/>
          <w:w w:val="105"/>
          <w:sz w:val="20"/>
        </w:rPr>
        <w:t> </w:t>
      </w:r>
      <w:r>
        <w:rPr>
          <w:color w:val="231F20"/>
          <w:w w:val="105"/>
          <w:sz w:val="20"/>
        </w:rPr>
        <w:t>into</w:t>
      </w:r>
      <w:r>
        <w:rPr>
          <w:color w:val="231F20"/>
          <w:spacing w:val="-10"/>
          <w:w w:val="105"/>
          <w:sz w:val="20"/>
        </w:rPr>
        <w:t> </w:t>
      </w:r>
      <w:r>
        <w:rPr>
          <w:color w:val="231F20"/>
          <w:w w:val="105"/>
          <w:sz w:val="20"/>
        </w:rPr>
        <w:t>the</w:t>
      </w:r>
      <w:r>
        <w:rPr>
          <w:color w:val="231F20"/>
          <w:spacing w:val="-9"/>
          <w:w w:val="105"/>
          <w:sz w:val="20"/>
        </w:rPr>
        <w:t> </w:t>
      </w:r>
      <w:r>
        <w:rPr>
          <w:color w:val="231F20"/>
          <w:w w:val="105"/>
          <w:sz w:val="20"/>
        </w:rPr>
        <w:t>interior</w:t>
      </w:r>
      <w:r>
        <w:rPr>
          <w:color w:val="231F20"/>
          <w:spacing w:val="-10"/>
          <w:w w:val="105"/>
          <w:sz w:val="20"/>
        </w:rPr>
        <w:t> </w:t>
      </w:r>
      <w:r>
        <w:rPr>
          <w:color w:val="231F20"/>
          <w:w w:val="105"/>
          <w:sz w:val="20"/>
        </w:rPr>
        <w:t>of</w:t>
      </w:r>
      <w:r>
        <w:rPr>
          <w:color w:val="231F20"/>
          <w:spacing w:val="-10"/>
          <w:w w:val="105"/>
          <w:sz w:val="20"/>
        </w:rPr>
        <w:t> </w:t>
      </w:r>
      <w:r>
        <w:rPr>
          <w:color w:val="231F20"/>
          <w:w w:val="105"/>
          <w:sz w:val="20"/>
        </w:rPr>
        <w:t>the</w:t>
      </w:r>
      <w:r>
        <w:rPr>
          <w:color w:val="231F20"/>
          <w:spacing w:val="-9"/>
          <w:w w:val="105"/>
          <w:sz w:val="20"/>
        </w:rPr>
        <w:t> </w:t>
      </w:r>
      <w:r>
        <w:rPr>
          <w:color w:val="231F20"/>
          <w:w w:val="105"/>
          <w:sz w:val="20"/>
        </w:rPr>
        <w:t>cell</w:t>
      </w:r>
      <w:r>
        <w:rPr>
          <w:color w:val="231F20"/>
          <w:spacing w:val="-10"/>
          <w:w w:val="105"/>
          <w:sz w:val="20"/>
        </w:rPr>
        <w:t> </w:t>
      </w:r>
      <w:r>
        <w:rPr>
          <w:color w:val="231F20"/>
          <w:w w:val="105"/>
          <w:sz w:val="20"/>
        </w:rPr>
        <w:t>can</w:t>
      </w:r>
      <w:r>
        <w:rPr>
          <w:color w:val="231F20"/>
          <w:spacing w:val="-9"/>
          <w:w w:val="105"/>
          <w:sz w:val="20"/>
        </w:rPr>
        <w:t> </w:t>
      </w:r>
      <w:r>
        <w:rPr>
          <w:color w:val="231F20"/>
          <w:w w:val="105"/>
          <w:sz w:val="20"/>
        </w:rPr>
        <w:t>no</w:t>
      </w:r>
      <w:r>
        <w:rPr>
          <w:color w:val="231F20"/>
          <w:spacing w:val="-10"/>
          <w:w w:val="105"/>
          <w:sz w:val="20"/>
        </w:rPr>
        <w:t> </w:t>
      </w:r>
      <w:r>
        <w:rPr>
          <w:color w:val="231F20"/>
          <w:w w:val="105"/>
          <w:sz w:val="20"/>
        </w:rPr>
        <w:t>longer</w:t>
      </w:r>
      <w:r>
        <w:rPr>
          <w:color w:val="231F20"/>
          <w:spacing w:val="-10"/>
          <w:w w:val="105"/>
          <w:sz w:val="20"/>
        </w:rPr>
        <w:t> </w:t>
      </w:r>
      <w:r>
        <w:rPr>
          <w:color w:val="231F20"/>
          <w:w w:val="105"/>
          <w:sz w:val="20"/>
        </w:rPr>
        <w:t>be</w:t>
      </w:r>
      <w:r>
        <w:rPr>
          <w:color w:val="231F20"/>
          <w:spacing w:val="-9"/>
          <w:w w:val="105"/>
          <w:sz w:val="20"/>
        </w:rPr>
        <w:t> </w:t>
      </w:r>
      <w:r>
        <w:rPr>
          <w:color w:val="231F20"/>
          <w:w w:val="105"/>
          <w:sz w:val="20"/>
        </w:rPr>
        <w:t>pumped out of the cells and the excess intracellular sodium </w:t>
      </w:r>
      <w:r>
        <w:rPr>
          <w:color w:val="231F20"/>
          <w:spacing w:val="-4"/>
          <w:w w:val="105"/>
          <w:sz w:val="20"/>
        </w:rPr>
        <w:t>ions </w:t>
      </w:r>
      <w:r>
        <w:rPr>
          <w:color w:val="231F20"/>
          <w:w w:val="105"/>
          <w:sz w:val="20"/>
        </w:rPr>
        <w:t>cause osmosis of water into the cells. Sometimes this process can increase intracellular volume of a tissue area—even of an entire ischemic leg, for example—to two to three times normal. When such an increase in intracellular</w:t>
      </w:r>
      <w:r>
        <w:rPr>
          <w:color w:val="231F20"/>
          <w:spacing w:val="-28"/>
          <w:w w:val="105"/>
          <w:sz w:val="20"/>
        </w:rPr>
        <w:t> </w:t>
      </w:r>
      <w:r>
        <w:rPr>
          <w:color w:val="231F20"/>
          <w:w w:val="105"/>
          <w:sz w:val="20"/>
        </w:rPr>
        <w:t>volume</w:t>
      </w:r>
      <w:r>
        <w:rPr>
          <w:color w:val="231F20"/>
          <w:spacing w:val="-28"/>
          <w:w w:val="105"/>
          <w:sz w:val="20"/>
        </w:rPr>
        <w:t> </w:t>
      </w:r>
      <w:r>
        <w:rPr>
          <w:color w:val="231F20"/>
          <w:w w:val="105"/>
          <w:sz w:val="20"/>
        </w:rPr>
        <w:t>occurs,</w:t>
      </w:r>
      <w:r>
        <w:rPr>
          <w:color w:val="231F20"/>
          <w:spacing w:val="-27"/>
          <w:w w:val="105"/>
          <w:sz w:val="20"/>
        </w:rPr>
        <w:t> </w:t>
      </w:r>
      <w:r>
        <w:rPr>
          <w:color w:val="231F20"/>
          <w:w w:val="105"/>
          <w:sz w:val="20"/>
        </w:rPr>
        <w:t>it</w:t>
      </w:r>
      <w:r>
        <w:rPr>
          <w:color w:val="231F20"/>
          <w:spacing w:val="-28"/>
          <w:w w:val="105"/>
          <w:sz w:val="20"/>
        </w:rPr>
        <w:t> </w:t>
      </w:r>
      <w:r>
        <w:rPr>
          <w:color w:val="231F20"/>
          <w:w w:val="105"/>
          <w:sz w:val="20"/>
        </w:rPr>
        <w:t>is</w:t>
      </w:r>
      <w:r>
        <w:rPr>
          <w:color w:val="231F20"/>
          <w:spacing w:val="-28"/>
          <w:w w:val="105"/>
          <w:sz w:val="20"/>
        </w:rPr>
        <w:t> </w:t>
      </w:r>
      <w:r>
        <w:rPr>
          <w:color w:val="231F20"/>
          <w:w w:val="105"/>
          <w:sz w:val="20"/>
        </w:rPr>
        <w:t>usually</w:t>
      </w:r>
      <w:r>
        <w:rPr>
          <w:color w:val="231F20"/>
          <w:spacing w:val="-27"/>
          <w:w w:val="105"/>
          <w:sz w:val="20"/>
        </w:rPr>
        <w:t> </w:t>
      </w:r>
      <w:r>
        <w:rPr>
          <w:color w:val="231F20"/>
          <w:w w:val="105"/>
          <w:sz w:val="20"/>
        </w:rPr>
        <w:t>a</w:t>
      </w:r>
      <w:r>
        <w:rPr>
          <w:color w:val="231F20"/>
          <w:spacing w:val="-28"/>
          <w:w w:val="105"/>
          <w:sz w:val="20"/>
        </w:rPr>
        <w:t> </w:t>
      </w:r>
      <w:r>
        <w:rPr>
          <w:color w:val="231F20"/>
          <w:w w:val="105"/>
          <w:sz w:val="20"/>
        </w:rPr>
        <w:t>prelude</w:t>
      </w:r>
      <w:r>
        <w:rPr>
          <w:color w:val="231F20"/>
          <w:spacing w:val="-27"/>
          <w:w w:val="105"/>
          <w:sz w:val="20"/>
        </w:rPr>
        <w:t> </w:t>
      </w:r>
      <w:r>
        <w:rPr>
          <w:color w:val="231F20"/>
          <w:w w:val="105"/>
          <w:sz w:val="20"/>
        </w:rPr>
        <w:t>to</w:t>
      </w:r>
      <w:r>
        <w:rPr>
          <w:color w:val="231F20"/>
          <w:spacing w:val="-28"/>
          <w:w w:val="105"/>
          <w:sz w:val="20"/>
        </w:rPr>
        <w:t> </w:t>
      </w:r>
      <w:r>
        <w:rPr>
          <w:color w:val="231F20"/>
          <w:w w:val="105"/>
          <w:sz w:val="20"/>
        </w:rPr>
        <w:t>death of the</w:t>
      </w:r>
      <w:r>
        <w:rPr>
          <w:color w:val="231F20"/>
          <w:spacing w:val="6"/>
          <w:w w:val="105"/>
          <w:sz w:val="20"/>
        </w:rPr>
        <w:t> </w:t>
      </w:r>
      <w:r>
        <w:rPr>
          <w:color w:val="231F20"/>
          <w:w w:val="105"/>
          <w:sz w:val="20"/>
        </w:rPr>
        <w:t>tissue.</w:t>
      </w:r>
    </w:p>
    <w:p>
      <w:pPr>
        <w:pStyle w:val="BodyText"/>
        <w:spacing w:line="249" w:lineRule="auto" w:before="11"/>
        <w:ind w:left="319" w:right="1437" w:firstLine="240"/>
        <w:jc w:val="both"/>
      </w:pPr>
      <w:r>
        <w:rPr>
          <w:color w:val="231F20"/>
          <w:w w:val="105"/>
        </w:rPr>
        <w:t>Intracellular</w:t>
      </w:r>
      <w:r>
        <w:rPr>
          <w:color w:val="231F20"/>
          <w:spacing w:val="-18"/>
          <w:w w:val="105"/>
        </w:rPr>
        <w:t> </w:t>
      </w:r>
      <w:r>
        <w:rPr>
          <w:color w:val="231F20"/>
          <w:w w:val="105"/>
        </w:rPr>
        <w:t>edema</w:t>
      </w:r>
      <w:r>
        <w:rPr>
          <w:color w:val="231F20"/>
          <w:spacing w:val="-18"/>
          <w:w w:val="105"/>
        </w:rPr>
        <w:t> </w:t>
      </w:r>
      <w:r>
        <w:rPr>
          <w:color w:val="231F20"/>
          <w:w w:val="105"/>
        </w:rPr>
        <w:t>can</w:t>
      </w:r>
      <w:r>
        <w:rPr>
          <w:color w:val="231F20"/>
          <w:spacing w:val="-18"/>
          <w:w w:val="105"/>
        </w:rPr>
        <w:t> </w:t>
      </w:r>
      <w:r>
        <w:rPr>
          <w:color w:val="231F20"/>
          <w:w w:val="105"/>
        </w:rPr>
        <w:t>also</w:t>
      </w:r>
      <w:r>
        <w:rPr>
          <w:color w:val="231F20"/>
          <w:spacing w:val="-18"/>
          <w:w w:val="105"/>
        </w:rPr>
        <w:t> </w:t>
      </w:r>
      <w:r>
        <w:rPr>
          <w:color w:val="231F20"/>
          <w:w w:val="105"/>
        </w:rPr>
        <w:t>occur</w:t>
      </w:r>
      <w:r>
        <w:rPr>
          <w:color w:val="231F20"/>
          <w:spacing w:val="-18"/>
          <w:w w:val="105"/>
        </w:rPr>
        <w:t> </w:t>
      </w:r>
      <w:r>
        <w:rPr>
          <w:color w:val="231F20"/>
          <w:w w:val="105"/>
        </w:rPr>
        <w:t>in</w:t>
      </w:r>
      <w:r>
        <w:rPr>
          <w:color w:val="231F20"/>
          <w:spacing w:val="-18"/>
          <w:w w:val="105"/>
        </w:rPr>
        <w:t> </w:t>
      </w:r>
      <w:r>
        <w:rPr>
          <w:color w:val="231F20"/>
          <w:w w:val="105"/>
        </w:rPr>
        <w:t>inflamed</w:t>
      </w:r>
      <w:r>
        <w:rPr>
          <w:color w:val="231F20"/>
          <w:spacing w:val="-17"/>
          <w:w w:val="105"/>
        </w:rPr>
        <w:t> </w:t>
      </w:r>
      <w:r>
        <w:rPr>
          <w:color w:val="231F20"/>
          <w:w w:val="105"/>
        </w:rPr>
        <w:t>tissues. Inflammation usually increases cell membrane permea­ bility,</w:t>
      </w:r>
      <w:r>
        <w:rPr>
          <w:color w:val="231F20"/>
          <w:spacing w:val="-8"/>
          <w:w w:val="105"/>
        </w:rPr>
        <w:t> </w:t>
      </w:r>
      <w:r>
        <w:rPr>
          <w:color w:val="231F20"/>
          <w:w w:val="105"/>
        </w:rPr>
        <w:t>allowing</w:t>
      </w:r>
      <w:r>
        <w:rPr>
          <w:color w:val="231F20"/>
          <w:spacing w:val="-7"/>
          <w:w w:val="105"/>
        </w:rPr>
        <w:t> </w:t>
      </w:r>
      <w:r>
        <w:rPr>
          <w:color w:val="231F20"/>
          <w:w w:val="105"/>
        </w:rPr>
        <w:t>sodium</w:t>
      </w:r>
      <w:r>
        <w:rPr>
          <w:color w:val="231F20"/>
          <w:spacing w:val="-7"/>
          <w:w w:val="105"/>
        </w:rPr>
        <w:t> </w:t>
      </w:r>
      <w:r>
        <w:rPr>
          <w:color w:val="231F20"/>
          <w:w w:val="105"/>
        </w:rPr>
        <w:t>and</w:t>
      </w:r>
      <w:r>
        <w:rPr>
          <w:color w:val="231F20"/>
          <w:spacing w:val="-7"/>
          <w:w w:val="105"/>
        </w:rPr>
        <w:t> </w:t>
      </w:r>
      <w:r>
        <w:rPr>
          <w:color w:val="231F20"/>
          <w:w w:val="105"/>
        </w:rPr>
        <w:t>other</w:t>
      </w:r>
      <w:r>
        <w:rPr>
          <w:color w:val="231F20"/>
          <w:spacing w:val="-7"/>
          <w:w w:val="105"/>
        </w:rPr>
        <w:t> </w:t>
      </w:r>
      <w:r>
        <w:rPr>
          <w:color w:val="231F20"/>
          <w:w w:val="105"/>
        </w:rPr>
        <w:t>ions</w:t>
      </w:r>
      <w:r>
        <w:rPr>
          <w:color w:val="231F20"/>
          <w:spacing w:val="-7"/>
          <w:w w:val="105"/>
        </w:rPr>
        <w:t> </w:t>
      </w:r>
      <w:r>
        <w:rPr>
          <w:color w:val="231F20"/>
          <w:w w:val="105"/>
        </w:rPr>
        <w:t>to</w:t>
      </w:r>
      <w:r>
        <w:rPr>
          <w:color w:val="231F20"/>
          <w:spacing w:val="-8"/>
          <w:w w:val="105"/>
        </w:rPr>
        <w:t> </w:t>
      </w:r>
      <w:r>
        <w:rPr>
          <w:color w:val="231F20"/>
          <w:w w:val="105"/>
        </w:rPr>
        <w:t>diffuse</w:t>
      </w:r>
      <w:r>
        <w:rPr>
          <w:color w:val="231F20"/>
          <w:spacing w:val="-7"/>
          <w:w w:val="105"/>
        </w:rPr>
        <w:t> </w:t>
      </w:r>
      <w:r>
        <w:rPr>
          <w:color w:val="231F20"/>
          <w:w w:val="105"/>
        </w:rPr>
        <w:t>into</w:t>
      </w:r>
      <w:r>
        <w:rPr>
          <w:color w:val="231F20"/>
          <w:spacing w:val="-7"/>
          <w:w w:val="105"/>
        </w:rPr>
        <w:t> </w:t>
      </w:r>
      <w:r>
        <w:rPr>
          <w:color w:val="231F20"/>
          <w:w w:val="105"/>
        </w:rPr>
        <w:t>the interior</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8"/>
          <w:w w:val="105"/>
        </w:rPr>
        <w:t> </w:t>
      </w:r>
      <w:r>
        <w:rPr>
          <w:color w:val="231F20"/>
          <w:w w:val="105"/>
        </w:rPr>
        <w:t>cell,</w:t>
      </w:r>
      <w:r>
        <w:rPr>
          <w:color w:val="231F20"/>
          <w:spacing w:val="-17"/>
          <w:w w:val="105"/>
        </w:rPr>
        <w:t> </w:t>
      </w:r>
      <w:r>
        <w:rPr>
          <w:color w:val="231F20"/>
          <w:w w:val="105"/>
        </w:rPr>
        <w:t>with</w:t>
      </w:r>
      <w:r>
        <w:rPr>
          <w:color w:val="231F20"/>
          <w:spacing w:val="-17"/>
          <w:w w:val="105"/>
        </w:rPr>
        <w:t> </w:t>
      </w:r>
      <w:r>
        <w:rPr>
          <w:color w:val="231F20"/>
          <w:w w:val="105"/>
        </w:rPr>
        <w:t>subsequent</w:t>
      </w:r>
      <w:r>
        <w:rPr>
          <w:color w:val="231F20"/>
          <w:spacing w:val="-18"/>
          <w:w w:val="105"/>
        </w:rPr>
        <w:t> </w:t>
      </w:r>
      <w:r>
        <w:rPr>
          <w:color w:val="231F20"/>
          <w:w w:val="105"/>
        </w:rPr>
        <w:t>osmosis</w:t>
      </w:r>
      <w:r>
        <w:rPr>
          <w:color w:val="231F20"/>
          <w:spacing w:val="-17"/>
          <w:w w:val="105"/>
        </w:rPr>
        <w:t> </w:t>
      </w:r>
      <w:r>
        <w:rPr>
          <w:color w:val="231F20"/>
          <w:w w:val="105"/>
        </w:rPr>
        <w:t>of</w:t>
      </w:r>
      <w:r>
        <w:rPr>
          <w:color w:val="231F20"/>
          <w:spacing w:val="-18"/>
          <w:w w:val="105"/>
        </w:rPr>
        <w:t> </w:t>
      </w:r>
      <w:r>
        <w:rPr>
          <w:color w:val="231F20"/>
          <w:w w:val="105"/>
        </w:rPr>
        <w:t>water</w:t>
      </w:r>
      <w:r>
        <w:rPr>
          <w:color w:val="231F20"/>
          <w:spacing w:val="-17"/>
          <w:w w:val="105"/>
        </w:rPr>
        <w:t> </w:t>
      </w:r>
      <w:r>
        <w:rPr>
          <w:color w:val="231F20"/>
          <w:w w:val="105"/>
        </w:rPr>
        <w:t>into the</w:t>
      </w:r>
      <w:r>
        <w:rPr>
          <w:color w:val="231F20"/>
          <w:spacing w:val="3"/>
          <w:w w:val="105"/>
        </w:rPr>
        <w:t> </w:t>
      </w:r>
      <w:r>
        <w:rPr>
          <w:color w:val="231F20"/>
          <w:w w:val="105"/>
        </w:rPr>
        <w:t>cells.</w:t>
      </w:r>
    </w:p>
    <w:p>
      <w:pPr>
        <w:pStyle w:val="BodyText"/>
        <w:spacing w:before="11"/>
        <w:rPr>
          <w:sz w:val="29"/>
        </w:rPr>
      </w:pPr>
    </w:p>
    <w:p>
      <w:pPr>
        <w:pStyle w:val="Heading2"/>
      </w:pPr>
      <w:r>
        <w:rPr>
          <w:color w:val="231F20"/>
          <w:w w:val="105"/>
        </w:rPr>
        <w:t>EXTRACELLULAR EDEMA</w:t>
      </w:r>
    </w:p>
    <w:p>
      <w:pPr>
        <w:pStyle w:val="BodyText"/>
        <w:spacing w:line="249" w:lineRule="auto" w:before="124"/>
        <w:ind w:left="319" w:right="1437"/>
        <w:jc w:val="both"/>
      </w:pPr>
      <w:r>
        <w:rPr>
          <w:color w:val="231F20"/>
        </w:rPr>
        <w:t>Extracellular fluid edema occurs when excess fluid accu­ mulates in the extracellular spaces. There are two general causes of extracellular edema: (1) abnormal leakage of fluid from the plasma to the  interstitial  spaces  across  the capillaries, and (2) failure of the lymphatics to return fluid from the interstitium back into the blood, often called </w:t>
      </w:r>
      <w:r>
        <w:rPr>
          <w:i/>
          <w:color w:val="231F20"/>
        </w:rPr>
        <w:t>lymphedema</w:t>
      </w:r>
      <w:r>
        <w:rPr>
          <w:color w:val="231F20"/>
        </w:rPr>
        <w:t>. The most common clinical cause of interstitial fluid accumulation is excessive capillary fluid filtration.</w:t>
      </w:r>
    </w:p>
    <w:p>
      <w:pPr>
        <w:pStyle w:val="Heading2"/>
        <w:spacing w:line="225" w:lineRule="auto" w:before="160"/>
        <w:ind w:right="2868"/>
      </w:pPr>
      <w:r>
        <w:rPr>
          <w:color w:val="231F20"/>
        </w:rPr>
        <w:t>Factors That Can Increase Capillary Filtration</w:t>
      </w:r>
    </w:p>
    <w:p>
      <w:pPr>
        <w:pStyle w:val="BodyText"/>
        <w:spacing w:line="249" w:lineRule="auto" w:before="88"/>
        <w:ind w:left="319" w:right="1439"/>
        <w:jc w:val="both"/>
      </w:pPr>
      <w:r>
        <w:rPr>
          <w:color w:val="231F20"/>
          <w:spacing w:val="-11"/>
        </w:rPr>
        <w:t>To </w:t>
      </w:r>
      <w:r>
        <w:rPr>
          <w:color w:val="231F20"/>
        </w:rPr>
        <w:t>understand the causes of excessive capillary filtration, it is useful to review the determinants of capillary filtra­ tion discussed in Chapter 16. Mathematically, capillary filtration rate can be expressed</w:t>
      </w:r>
      <w:r>
        <w:rPr>
          <w:color w:val="231F20"/>
          <w:spacing w:val="37"/>
        </w:rPr>
        <w:t> </w:t>
      </w:r>
      <w:r>
        <w:rPr>
          <w:color w:val="231F20"/>
        </w:rPr>
        <w:t>as</w:t>
      </w:r>
    </w:p>
    <w:p>
      <w:pPr>
        <w:pStyle w:val="BodyText"/>
        <w:spacing w:before="6"/>
        <w:rPr>
          <w:sz w:val="22"/>
        </w:rPr>
      </w:pPr>
    </w:p>
    <w:p>
      <w:pPr>
        <w:spacing w:before="0"/>
        <w:ind w:left="1322" w:right="0" w:firstLine="0"/>
        <w:jc w:val="left"/>
        <w:rPr>
          <w:rFonts w:ascii="Trebuchet MS" w:hAnsi="Trebuchet MS"/>
          <w:sz w:val="18"/>
        </w:rPr>
      </w:pPr>
      <w:r>
        <w:rPr>
          <w:rFonts w:ascii="Trebuchet MS" w:hAnsi="Trebuchet MS"/>
          <w:w w:val="105"/>
          <w:sz w:val="18"/>
        </w:rPr>
        <w:t>Filtration = </w:t>
      </w:r>
      <w:r>
        <w:rPr>
          <w:rFonts w:ascii="Trebuchet MS" w:hAnsi="Trebuchet MS"/>
          <w:spacing w:val="4"/>
          <w:w w:val="105"/>
          <w:sz w:val="18"/>
        </w:rPr>
        <w:t>K</w:t>
      </w:r>
      <w:r>
        <w:rPr>
          <w:rFonts w:ascii="Trebuchet MS" w:hAnsi="Trebuchet MS"/>
          <w:spacing w:val="4"/>
          <w:w w:val="105"/>
          <w:position w:val="-2"/>
          <w:sz w:val="10"/>
        </w:rPr>
        <w:t>f </w:t>
      </w:r>
      <w:r>
        <w:rPr>
          <w:rFonts w:ascii="Consolas" w:hAnsi="Consolas"/>
          <w:w w:val="105"/>
          <w:sz w:val="18"/>
        </w:rPr>
        <w:t>¥</w:t>
      </w:r>
      <w:r>
        <w:rPr>
          <w:rFonts w:ascii="Consolas" w:hAnsi="Consolas"/>
          <w:spacing w:val="-54"/>
          <w:w w:val="105"/>
          <w:sz w:val="18"/>
        </w:rPr>
        <w:t> </w:t>
      </w:r>
      <w:r>
        <w:rPr>
          <w:rFonts w:ascii="Trebuchet MS" w:hAnsi="Trebuchet MS"/>
          <w:spacing w:val="-7"/>
          <w:w w:val="105"/>
          <w:sz w:val="18"/>
        </w:rPr>
        <w:t>(P</w:t>
      </w:r>
      <w:r>
        <w:rPr>
          <w:rFonts w:ascii="Trebuchet MS" w:hAnsi="Trebuchet MS"/>
          <w:spacing w:val="-7"/>
          <w:w w:val="105"/>
          <w:position w:val="-2"/>
          <w:sz w:val="10"/>
        </w:rPr>
        <w:t>c  </w:t>
      </w:r>
      <w:r>
        <w:rPr>
          <w:rFonts w:ascii="Consolas" w:hAnsi="Consolas"/>
          <w:w w:val="105"/>
          <w:sz w:val="18"/>
        </w:rPr>
        <w:t>-</w:t>
      </w:r>
      <w:r>
        <w:rPr>
          <w:rFonts w:ascii="Consolas" w:hAnsi="Consolas"/>
          <w:spacing w:val="-63"/>
          <w:w w:val="105"/>
          <w:sz w:val="18"/>
        </w:rPr>
        <w:t> </w:t>
      </w:r>
      <w:r>
        <w:rPr>
          <w:rFonts w:ascii="Trebuchet MS" w:hAnsi="Trebuchet MS"/>
          <w:spacing w:val="-7"/>
          <w:w w:val="105"/>
          <w:sz w:val="18"/>
        </w:rPr>
        <w:t>P</w:t>
      </w:r>
      <w:r>
        <w:rPr>
          <w:rFonts w:ascii="Trebuchet MS" w:hAnsi="Trebuchet MS"/>
          <w:spacing w:val="-7"/>
          <w:w w:val="105"/>
          <w:position w:val="-2"/>
          <w:sz w:val="10"/>
        </w:rPr>
        <w:t>if </w:t>
      </w:r>
      <w:r>
        <w:rPr>
          <w:rFonts w:ascii="Consolas" w:hAnsi="Consolas"/>
          <w:w w:val="105"/>
          <w:sz w:val="18"/>
        </w:rPr>
        <w:t>- </w:t>
      </w:r>
      <w:r>
        <w:rPr>
          <w:rFonts w:ascii="Symbol" w:hAnsi="Symbol"/>
          <w:spacing w:val="3"/>
          <w:w w:val="105"/>
          <w:sz w:val="18"/>
        </w:rPr>
        <w:t></w:t>
      </w:r>
      <w:r>
        <w:rPr>
          <w:rFonts w:ascii="Trebuchet MS" w:hAnsi="Trebuchet MS"/>
          <w:spacing w:val="3"/>
          <w:w w:val="105"/>
          <w:position w:val="-2"/>
          <w:sz w:val="10"/>
        </w:rPr>
        <w:t>c </w:t>
      </w:r>
      <w:r>
        <w:rPr>
          <w:rFonts w:ascii="Trebuchet MS" w:hAnsi="Trebuchet MS"/>
          <w:w w:val="105"/>
          <w:sz w:val="18"/>
        </w:rPr>
        <w:t>+ </w:t>
      </w:r>
      <w:r>
        <w:rPr>
          <w:rFonts w:ascii="Symbol" w:hAnsi="Symbol"/>
          <w:w w:val="105"/>
          <w:sz w:val="18"/>
        </w:rPr>
        <w:t></w:t>
      </w:r>
      <w:r>
        <w:rPr>
          <w:rFonts w:ascii="Trebuchet MS" w:hAnsi="Trebuchet MS"/>
          <w:w w:val="105"/>
          <w:position w:val="-2"/>
          <w:sz w:val="10"/>
        </w:rPr>
        <w:t>if </w:t>
      </w:r>
      <w:r>
        <w:rPr>
          <w:rFonts w:ascii="Trebuchet MS" w:hAnsi="Trebuchet MS"/>
          <w:w w:val="105"/>
          <w:sz w:val="18"/>
        </w:rPr>
        <w:t>)</w:t>
      </w:r>
    </w:p>
    <w:p>
      <w:pPr>
        <w:pStyle w:val="BodyText"/>
        <w:spacing w:before="10"/>
        <w:rPr>
          <w:rFonts w:ascii="Trebuchet MS"/>
          <w:sz w:val="19"/>
        </w:rPr>
      </w:pPr>
    </w:p>
    <w:p>
      <w:pPr>
        <w:spacing w:line="247" w:lineRule="auto" w:before="0"/>
        <w:ind w:left="319" w:right="1437" w:firstLine="0"/>
        <w:jc w:val="both"/>
        <w:rPr>
          <w:i/>
          <w:sz w:val="20"/>
        </w:rPr>
      </w:pPr>
      <w:r>
        <w:rPr>
          <w:color w:val="231F20"/>
          <w:sz w:val="20"/>
        </w:rPr>
        <w:t>where </w:t>
      </w:r>
      <w:r>
        <w:rPr>
          <w:i/>
          <w:color w:val="231F20"/>
          <w:sz w:val="20"/>
        </w:rPr>
        <w:t>K</w:t>
      </w:r>
      <w:r>
        <w:rPr>
          <w:i/>
          <w:color w:val="231F20"/>
          <w:sz w:val="20"/>
          <w:vertAlign w:val="subscript"/>
        </w:rPr>
        <w:t>f</w:t>
      </w:r>
      <w:r>
        <w:rPr>
          <w:i/>
          <w:color w:val="231F20"/>
          <w:sz w:val="20"/>
          <w:vertAlign w:val="baseline"/>
        </w:rPr>
        <w:t> </w:t>
      </w:r>
      <w:r>
        <w:rPr>
          <w:color w:val="231F20"/>
          <w:sz w:val="20"/>
          <w:vertAlign w:val="baseline"/>
        </w:rPr>
        <w:t>is the capillary filtration coefficient (the </w:t>
      </w:r>
      <w:r>
        <w:rPr>
          <w:color w:val="231F20"/>
          <w:spacing w:val="-3"/>
          <w:sz w:val="20"/>
          <w:vertAlign w:val="baseline"/>
        </w:rPr>
        <w:t>product </w:t>
      </w:r>
      <w:r>
        <w:rPr>
          <w:color w:val="231F20"/>
          <w:sz w:val="20"/>
          <w:vertAlign w:val="baseline"/>
        </w:rPr>
        <w:t>of the permeability and surface area of the capillaries), </w:t>
      </w:r>
      <w:r>
        <w:rPr>
          <w:i/>
          <w:color w:val="231F20"/>
          <w:spacing w:val="-9"/>
          <w:sz w:val="20"/>
          <w:vertAlign w:val="baseline"/>
        </w:rPr>
        <w:t>P</w:t>
      </w:r>
      <w:r>
        <w:rPr>
          <w:i/>
          <w:color w:val="231F20"/>
          <w:spacing w:val="-9"/>
          <w:sz w:val="20"/>
          <w:vertAlign w:val="subscript"/>
        </w:rPr>
        <w:t>c</w:t>
      </w:r>
      <w:r>
        <w:rPr>
          <w:i/>
          <w:color w:val="231F20"/>
          <w:spacing w:val="-9"/>
          <w:sz w:val="20"/>
          <w:vertAlign w:val="baseline"/>
        </w:rPr>
        <w:t> </w:t>
      </w:r>
      <w:r>
        <w:rPr>
          <w:color w:val="231F20"/>
          <w:sz w:val="20"/>
          <w:vertAlign w:val="baseline"/>
        </w:rPr>
        <w:t>is the capillary hydrostatic pressure, </w:t>
      </w:r>
      <w:r>
        <w:rPr>
          <w:i/>
          <w:color w:val="231F20"/>
          <w:sz w:val="20"/>
          <w:vertAlign w:val="baseline"/>
        </w:rPr>
        <w:t>P</w:t>
      </w:r>
      <w:r>
        <w:rPr>
          <w:i/>
          <w:color w:val="231F20"/>
          <w:sz w:val="20"/>
          <w:vertAlign w:val="subscript"/>
        </w:rPr>
        <w:t>if</w:t>
      </w:r>
      <w:r>
        <w:rPr>
          <w:i/>
          <w:color w:val="231F20"/>
          <w:sz w:val="20"/>
          <w:vertAlign w:val="baseline"/>
        </w:rPr>
        <w:t> </w:t>
      </w:r>
      <w:r>
        <w:rPr>
          <w:color w:val="231F20"/>
          <w:sz w:val="20"/>
          <w:vertAlign w:val="baseline"/>
        </w:rPr>
        <w:t>is the </w:t>
      </w:r>
      <w:r>
        <w:rPr>
          <w:color w:val="231F20"/>
          <w:spacing w:val="-4"/>
          <w:sz w:val="20"/>
          <w:vertAlign w:val="baseline"/>
        </w:rPr>
        <w:t>interstitial </w:t>
      </w:r>
      <w:r>
        <w:rPr>
          <w:color w:val="231F20"/>
          <w:sz w:val="20"/>
          <w:vertAlign w:val="baseline"/>
        </w:rPr>
        <w:t>fluid</w:t>
      </w:r>
      <w:r>
        <w:rPr>
          <w:color w:val="231F20"/>
          <w:spacing w:val="-8"/>
          <w:sz w:val="20"/>
          <w:vertAlign w:val="baseline"/>
        </w:rPr>
        <w:t> </w:t>
      </w:r>
      <w:r>
        <w:rPr>
          <w:color w:val="231F20"/>
          <w:sz w:val="20"/>
          <w:vertAlign w:val="baseline"/>
        </w:rPr>
        <w:t>hydrostatic</w:t>
      </w:r>
      <w:r>
        <w:rPr>
          <w:color w:val="231F20"/>
          <w:spacing w:val="-7"/>
          <w:sz w:val="20"/>
          <w:vertAlign w:val="baseline"/>
        </w:rPr>
        <w:t> </w:t>
      </w:r>
      <w:r>
        <w:rPr>
          <w:color w:val="231F20"/>
          <w:sz w:val="20"/>
          <w:vertAlign w:val="baseline"/>
        </w:rPr>
        <w:t>pressure,</w:t>
      </w:r>
      <w:r>
        <w:rPr>
          <w:color w:val="231F20"/>
          <w:spacing w:val="-7"/>
          <w:sz w:val="20"/>
          <w:vertAlign w:val="baseline"/>
        </w:rPr>
        <w:t> </w:t>
      </w:r>
      <w:r>
        <w:rPr>
          <w:rFonts w:ascii="Calibri" w:hAnsi="Calibri"/>
          <w:i/>
          <w:color w:val="231F20"/>
          <w:sz w:val="20"/>
          <w:vertAlign w:val="baseline"/>
        </w:rPr>
        <w:t>π</w:t>
      </w:r>
      <w:r>
        <w:rPr>
          <w:i/>
          <w:color w:val="231F20"/>
          <w:sz w:val="20"/>
          <w:vertAlign w:val="subscript"/>
        </w:rPr>
        <w:t>c</w:t>
      </w:r>
      <w:r>
        <w:rPr>
          <w:i/>
          <w:color w:val="231F20"/>
          <w:spacing w:val="-8"/>
          <w:sz w:val="20"/>
          <w:vertAlign w:val="baseline"/>
        </w:rPr>
        <w:t> </w:t>
      </w:r>
      <w:r>
        <w:rPr>
          <w:color w:val="231F20"/>
          <w:sz w:val="20"/>
          <w:vertAlign w:val="baseline"/>
        </w:rPr>
        <w:t>is</w:t>
      </w:r>
      <w:r>
        <w:rPr>
          <w:color w:val="231F20"/>
          <w:spacing w:val="-7"/>
          <w:sz w:val="20"/>
          <w:vertAlign w:val="baseline"/>
        </w:rPr>
        <w:t> </w:t>
      </w:r>
      <w:r>
        <w:rPr>
          <w:color w:val="231F20"/>
          <w:sz w:val="20"/>
          <w:vertAlign w:val="baseline"/>
        </w:rPr>
        <w:t>the</w:t>
      </w:r>
      <w:r>
        <w:rPr>
          <w:color w:val="231F20"/>
          <w:spacing w:val="-7"/>
          <w:sz w:val="20"/>
          <w:vertAlign w:val="baseline"/>
        </w:rPr>
        <w:t> </w:t>
      </w:r>
      <w:r>
        <w:rPr>
          <w:color w:val="231F20"/>
          <w:sz w:val="20"/>
          <w:vertAlign w:val="baseline"/>
        </w:rPr>
        <w:t>capillary</w:t>
      </w:r>
      <w:r>
        <w:rPr>
          <w:color w:val="231F20"/>
          <w:spacing w:val="-7"/>
          <w:sz w:val="20"/>
          <w:vertAlign w:val="baseline"/>
        </w:rPr>
        <w:t> </w:t>
      </w:r>
      <w:r>
        <w:rPr>
          <w:color w:val="231F20"/>
          <w:sz w:val="20"/>
          <w:vertAlign w:val="baseline"/>
        </w:rPr>
        <w:t>plasma</w:t>
      </w:r>
      <w:r>
        <w:rPr>
          <w:color w:val="231F20"/>
          <w:spacing w:val="-8"/>
          <w:sz w:val="20"/>
          <w:vertAlign w:val="baseline"/>
        </w:rPr>
        <w:t> </w:t>
      </w:r>
      <w:r>
        <w:rPr>
          <w:color w:val="231F20"/>
          <w:spacing w:val="-5"/>
          <w:sz w:val="20"/>
          <w:vertAlign w:val="baseline"/>
        </w:rPr>
        <w:t>colloid </w:t>
      </w:r>
      <w:r>
        <w:rPr>
          <w:color w:val="231F20"/>
          <w:sz w:val="20"/>
          <w:vertAlign w:val="baseline"/>
        </w:rPr>
        <w:t>osmotic pressure, and </w:t>
      </w:r>
      <w:r>
        <w:rPr>
          <w:rFonts w:ascii="Calibri" w:hAnsi="Calibri"/>
          <w:i/>
          <w:color w:val="231F20"/>
          <w:sz w:val="20"/>
          <w:vertAlign w:val="baseline"/>
        </w:rPr>
        <w:t>π</w:t>
      </w:r>
      <w:r>
        <w:rPr>
          <w:i/>
          <w:color w:val="231F20"/>
          <w:sz w:val="20"/>
          <w:vertAlign w:val="subscript"/>
        </w:rPr>
        <w:t>if</w:t>
      </w:r>
      <w:r>
        <w:rPr>
          <w:i/>
          <w:color w:val="231F20"/>
          <w:sz w:val="20"/>
          <w:vertAlign w:val="baseline"/>
        </w:rPr>
        <w:t> </w:t>
      </w:r>
      <w:r>
        <w:rPr>
          <w:color w:val="231F20"/>
          <w:sz w:val="20"/>
          <w:vertAlign w:val="baseline"/>
        </w:rPr>
        <w:t>is the interstitial fluid </w:t>
      </w:r>
      <w:r>
        <w:rPr>
          <w:color w:val="231F20"/>
          <w:spacing w:val="-6"/>
          <w:sz w:val="20"/>
          <w:vertAlign w:val="baseline"/>
        </w:rPr>
        <w:t>colloid </w:t>
      </w:r>
      <w:r>
        <w:rPr>
          <w:color w:val="231F20"/>
          <w:sz w:val="20"/>
          <w:vertAlign w:val="baseline"/>
        </w:rPr>
        <w:t>osmotic pressure. From this equation, one can see </w:t>
      </w:r>
      <w:r>
        <w:rPr>
          <w:i/>
          <w:color w:val="231F20"/>
          <w:spacing w:val="-4"/>
          <w:sz w:val="20"/>
          <w:vertAlign w:val="baseline"/>
        </w:rPr>
        <w:t>that</w:t>
      </w:r>
      <w:r>
        <w:rPr>
          <w:i/>
          <w:color w:val="231F20"/>
          <w:spacing w:val="42"/>
          <w:sz w:val="20"/>
          <w:vertAlign w:val="baseline"/>
        </w:rPr>
        <w:t> </w:t>
      </w:r>
      <w:r>
        <w:rPr>
          <w:i/>
          <w:color w:val="231F20"/>
          <w:sz w:val="20"/>
          <w:vertAlign w:val="baseline"/>
        </w:rPr>
        <w:t>any</w:t>
      </w:r>
      <w:r>
        <w:rPr>
          <w:i/>
          <w:color w:val="231F20"/>
          <w:spacing w:val="-12"/>
          <w:sz w:val="20"/>
          <w:vertAlign w:val="baseline"/>
        </w:rPr>
        <w:t> </w:t>
      </w:r>
      <w:r>
        <w:rPr>
          <w:i/>
          <w:color w:val="231F20"/>
          <w:sz w:val="20"/>
          <w:vertAlign w:val="baseline"/>
        </w:rPr>
        <w:t>one</w:t>
      </w:r>
      <w:r>
        <w:rPr>
          <w:i/>
          <w:color w:val="231F20"/>
          <w:spacing w:val="-11"/>
          <w:sz w:val="20"/>
          <w:vertAlign w:val="baseline"/>
        </w:rPr>
        <w:t> </w:t>
      </w:r>
      <w:r>
        <w:rPr>
          <w:i/>
          <w:color w:val="231F20"/>
          <w:sz w:val="20"/>
          <w:vertAlign w:val="baseline"/>
        </w:rPr>
        <w:t>of</w:t>
      </w:r>
      <w:r>
        <w:rPr>
          <w:i/>
          <w:color w:val="231F20"/>
          <w:spacing w:val="-12"/>
          <w:sz w:val="20"/>
          <w:vertAlign w:val="baseline"/>
        </w:rPr>
        <w:t> </w:t>
      </w:r>
      <w:r>
        <w:rPr>
          <w:i/>
          <w:color w:val="231F20"/>
          <w:sz w:val="20"/>
          <w:vertAlign w:val="baseline"/>
        </w:rPr>
        <w:t>the</w:t>
      </w:r>
      <w:r>
        <w:rPr>
          <w:i/>
          <w:color w:val="231F20"/>
          <w:spacing w:val="-11"/>
          <w:sz w:val="20"/>
          <w:vertAlign w:val="baseline"/>
        </w:rPr>
        <w:t> </w:t>
      </w:r>
      <w:r>
        <w:rPr>
          <w:i/>
          <w:color w:val="231F20"/>
          <w:sz w:val="20"/>
          <w:vertAlign w:val="baseline"/>
        </w:rPr>
        <w:t>following</w:t>
      </w:r>
      <w:r>
        <w:rPr>
          <w:i/>
          <w:color w:val="231F20"/>
          <w:spacing w:val="-11"/>
          <w:sz w:val="20"/>
          <w:vertAlign w:val="baseline"/>
        </w:rPr>
        <w:t> </w:t>
      </w:r>
      <w:r>
        <w:rPr>
          <w:i/>
          <w:color w:val="231F20"/>
          <w:sz w:val="20"/>
          <w:vertAlign w:val="baseline"/>
        </w:rPr>
        <w:t>changes</w:t>
      </w:r>
      <w:r>
        <w:rPr>
          <w:i/>
          <w:color w:val="231F20"/>
          <w:spacing w:val="-12"/>
          <w:sz w:val="20"/>
          <w:vertAlign w:val="baseline"/>
        </w:rPr>
        <w:t> </w:t>
      </w:r>
      <w:r>
        <w:rPr>
          <w:i/>
          <w:color w:val="231F20"/>
          <w:sz w:val="20"/>
          <w:vertAlign w:val="baseline"/>
        </w:rPr>
        <w:t>can</w:t>
      </w:r>
      <w:r>
        <w:rPr>
          <w:i/>
          <w:color w:val="231F20"/>
          <w:spacing w:val="-11"/>
          <w:sz w:val="20"/>
          <w:vertAlign w:val="baseline"/>
        </w:rPr>
        <w:t> </w:t>
      </w:r>
      <w:r>
        <w:rPr>
          <w:i/>
          <w:color w:val="231F20"/>
          <w:sz w:val="20"/>
          <w:vertAlign w:val="baseline"/>
        </w:rPr>
        <w:t>increase</w:t>
      </w:r>
      <w:r>
        <w:rPr>
          <w:i/>
          <w:color w:val="231F20"/>
          <w:spacing w:val="-11"/>
          <w:sz w:val="20"/>
          <w:vertAlign w:val="baseline"/>
        </w:rPr>
        <w:t> </w:t>
      </w:r>
      <w:r>
        <w:rPr>
          <w:i/>
          <w:color w:val="231F20"/>
          <w:sz w:val="20"/>
          <w:vertAlign w:val="baseline"/>
        </w:rPr>
        <w:t>the</w:t>
      </w:r>
      <w:r>
        <w:rPr>
          <w:i/>
          <w:color w:val="231F20"/>
          <w:spacing w:val="-12"/>
          <w:sz w:val="20"/>
          <w:vertAlign w:val="baseline"/>
        </w:rPr>
        <w:t> </w:t>
      </w:r>
      <w:r>
        <w:rPr>
          <w:i/>
          <w:color w:val="231F20"/>
          <w:sz w:val="20"/>
          <w:vertAlign w:val="baseline"/>
        </w:rPr>
        <w:t>capillary filtration</w:t>
      </w:r>
      <w:r>
        <w:rPr>
          <w:i/>
          <w:color w:val="231F20"/>
          <w:spacing w:val="5"/>
          <w:sz w:val="20"/>
          <w:vertAlign w:val="baseline"/>
        </w:rPr>
        <w:t> </w:t>
      </w:r>
      <w:r>
        <w:rPr>
          <w:i/>
          <w:color w:val="231F20"/>
          <w:sz w:val="20"/>
          <w:vertAlign w:val="baseline"/>
        </w:rPr>
        <w:t>rate:</w:t>
      </w:r>
    </w:p>
    <w:p>
      <w:pPr>
        <w:pStyle w:val="ListParagraph"/>
        <w:numPr>
          <w:ilvl w:val="0"/>
          <w:numId w:val="4"/>
        </w:numPr>
        <w:tabs>
          <w:tab w:pos="737" w:val="left" w:leader="none"/>
        </w:tabs>
        <w:spacing w:line="226" w:lineRule="exact" w:before="0" w:after="0"/>
        <w:ind w:left="736" w:right="0" w:hanging="178"/>
        <w:jc w:val="left"/>
        <w:rPr>
          <w:sz w:val="20"/>
        </w:rPr>
      </w:pPr>
      <w:r>
        <w:rPr>
          <w:color w:val="231F20"/>
          <w:sz w:val="20"/>
        </w:rPr>
        <w:t>Increased capillary filtration</w:t>
      </w:r>
      <w:r>
        <w:rPr>
          <w:color w:val="231F20"/>
          <w:spacing w:val="20"/>
          <w:sz w:val="20"/>
        </w:rPr>
        <w:t> </w:t>
      </w:r>
      <w:r>
        <w:rPr>
          <w:color w:val="231F20"/>
          <w:sz w:val="20"/>
        </w:rPr>
        <w:t>coefficient</w:t>
      </w:r>
    </w:p>
    <w:p>
      <w:pPr>
        <w:pStyle w:val="ListParagraph"/>
        <w:numPr>
          <w:ilvl w:val="0"/>
          <w:numId w:val="4"/>
        </w:numPr>
        <w:tabs>
          <w:tab w:pos="737" w:val="left" w:leader="none"/>
        </w:tabs>
        <w:spacing w:line="240" w:lineRule="auto" w:before="10" w:after="0"/>
        <w:ind w:left="736" w:right="0" w:hanging="178"/>
        <w:jc w:val="left"/>
        <w:rPr>
          <w:sz w:val="20"/>
        </w:rPr>
      </w:pPr>
      <w:r>
        <w:rPr>
          <w:color w:val="231F20"/>
          <w:w w:val="105"/>
          <w:sz w:val="20"/>
        </w:rPr>
        <w:t>Increased capillary hydrostatic</w:t>
      </w:r>
      <w:r>
        <w:rPr>
          <w:color w:val="231F20"/>
          <w:spacing w:val="5"/>
          <w:w w:val="105"/>
          <w:sz w:val="20"/>
        </w:rPr>
        <w:t> </w:t>
      </w:r>
      <w:r>
        <w:rPr>
          <w:color w:val="231F20"/>
          <w:w w:val="105"/>
          <w:sz w:val="20"/>
        </w:rPr>
        <w:t>pressure</w:t>
      </w:r>
    </w:p>
    <w:p>
      <w:pPr>
        <w:pStyle w:val="ListParagraph"/>
        <w:numPr>
          <w:ilvl w:val="0"/>
          <w:numId w:val="4"/>
        </w:numPr>
        <w:tabs>
          <w:tab w:pos="737" w:val="left" w:leader="none"/>
        </w:tabs>
        <w:spacing w:line="240" w:lineRule="auto" w:before="10" w:after="0"/>
        <w:ind w:left="736" w:right="0" w:hanging="178"/>
        <w:jc w:val="left"/>
        <w:rPr>
          <w:sz w:val="20"/>
        </w:rPr>
      </w:pPr>
      <w:r>
        <w:rPr>
          <w:color w:val="231F20"/>
          <w:sz w:val="20"/>
        </w:rPr>
        <w:t>Decreased plasma colloid osmotic</w:t>
      </w:r>
      <w:r>
        <w:rPr>
          <w:color w:val="231F20"/>
          <w:spacing w:val="31"/>
          <w:sz w:val="20"/>
        </w:rPr>
        <w:t> </w:t>
      </w:r>
      <w:r>
        <w:rPr>
          <w:color w:val="231F20"/>
          <w:sz w:val="20"/>
        </w:rPr>
        <w:t>pressure</w:t>
      </w:r>
    </w:p>
    <w:p>
      <w:pPr>
        <w:spacing w:after="0" w:line="240" w:lineRule="auto"/>
        <w:jc w:val="left"/>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73"/>
          <w:pgSz w:w="12240" w:h="15660"/>
          <w:pgMar w:header="0" w:footer="567" w:top="0" w:bottom="760" w:left="0" w:right="0"/>
        </w:sectPr>
      </w:pPr>
    </w:p>
    <w:p>
      <w:pPr>
        <w:pStyle w:val="BodyText"/>
        <w:spacing w:before="9"/>
        <w:rPr>
          <w:sz w:val="21"/>
        </w:rPr>
      </w:pPr>
      <w:r>
        <w:rPr/>
        <w:pict>
          <v:group style="position:absolute;margin-left:0pt;margin-top:0pt;width:612pt;height:180pt;mso-position-horizontal-relative:page;mso-position-vertical-relative:page;z-index:-27363123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w10:wrap type="none"/>
          </v:group>
        </w:pict>
      </w:r>
    </w:p>
    <w:p>
      <w:pPr>
        <w:pStyle w:val="Heading2"/>
        <w:spacing w:line="225" w:lineRule="auto"/>
        <w:ind w:left="1440" w:right="15"/>
      </w:pPr>
      <w:r>
        <w:rPr>
          <w:color w:val="231F20"/>
        </w:rPr>
        <w:t>Lymphedema—Failure of the Lymph </w:t>
      </w:r>
      <w:r>
        <w:rPr>
          <w:color w:val="231F20"/>
          <w:spacing w:val="-4"/>
        </w:rPr>
        <w:t>Vessels </w:t>
      </w:r>
      <w:r>
        <w:rPr>
          <w:color w:val="231F20"/>
        </w:rPr>
        <w:t>to Return Fluid and Protein to the</w:t>
      </w:r>
      <w:r>
        <w:rPr>
          <w:color w:val="231F20"/>
          <w:spacing w:val="63"/>
        </w:rPr>
        <w:t> </w:t>
      </w:r>
      <w:r>
        <w:rPr>
          <w:color w:val="231F20"/>
        </w:rPr>
        <w:t>Blood</w:t>
      </w:r>
    </w:p>
    <w:p>
      <w:pPr>
        <w:pStyle w:val="BodyText"/>
        <w:spacing w:line="249" w:lineRule="auto" w:before="89"/>
        <w:ind w:left="1440"/>
        <w:jc w:val="both"/>
      </w:pPr>
      <w:r>
        <w:rPr>
          <w:color w:val="231F20"/>
          <w:w w:val="105"/>
        </w:rPr>
        <w:t>When lymphatic function is greatly impaired as a </w:t>
      </w:r>
      <w:r>
        <w:rPr>
          <w:color w:val="231F20"/>
          <w:spacing w:val="-3"/>
          <w:w w:val="105"/>
        </w:rPr>
        <w:t>result </w:t>
      </w:r>
      <w:r>
        <w:rPr>
          <w:color w:val="231F20"/>
          <w:w w:val="105"/>
        </w:rPr>
        <w:t>of blockage or loss of the lymph vessels, edema </w:t>
      </w:r>
      <w:r>
        <w:rPr>
          <w:color w:val="231F20"/>
          <w:spacing w:val="-5"/>
          <w:w w:val="105"/>
        </w:rPr>
        <w:t>can </w:t>
      </w:r>
      <w:r>
        <w:rPr>
          <w:color w:val="231F20"/>
          <w:w w:val="105"/>
        </w:rPr>
        <w:t>become especially severe because plasma proteins </w:t>
      </w:r>
      <w:r>
        <w:rPr>
          <w:color w:val="231F20"/>
          <w:spacing w:val="-4"/>
          <w:w w:val="105"/>
        </w:rPr>
        <w:t>that </w:t>
      </w:r>
      <w:r>
        <w:rPr>
          <w:color w:val="231F20"/>
          <w:w w:val="105"/>
        </w:rPr>
        <w:t>leak</w:t>
      </w:r>
      <w:r>
        <w:rPr>
          <w:color w:val="231F20"/>
          <w:spacing w:val="-30"/>
          <w:w w:val="105"/>
        </w:rPr>
        <w:t> </w:t>
      </w:r>
      <w:r>
        <w:rPr>
          <w:color w:val="231F20"/>
          <w:w w:val="105"/>
        </w:rPr>
        <w:t>into</w:t>
      </w:r>
      <w:r>
        <w:rPr>
          <w:color w:val="231F20"/>
          <w:spacing w:val="-29"/>
          <w:w w:val="105"/>
        </w:rPr>
        <w:t> </w:t>
      </w:r>
      <w:r>
        <w:rPr>
          <w:color w:val="231F20"/>
          <w:w w:val="105"/>
        </w:rPr>
        <w:t>the</w:t>
      </w:r>
      <w:r>
        <w:rPr>
          <w:color w:val="231F20"/>
          <w:spacing w:val="-29"/>
          <w:w w:val="105"/>
        </w:rPr>
        <w:t> </w:t>
      </w:r>
      <w:r>
        <w:rPr>
          <w:color w:val="231F20"/>
          <w:w w:val="105"/>
        </w:rPr>
        <w:t>interstitium</w:t>
      </w:r>
      <w:r>
        <w:rPr>
          <w:color w:val="231F20"/>
          <w:spacing w:val="-29"/>
          <w:w w:val="105"/>
        </w:rPr>
        <w:t> </w:t>
      </w:r>
      <w:r>
        <w:rPr>
          <w:color w:val="231F20"/>
          <w:w w:val="105"/>
        </w:rPr>
        <w:t>have</w:t>
      </w:r>
      <w:r>
        <w:rPr>
          <w:color w:val="231F20"/>
          <w:spacing w:val="-29"/>
          <w:w w:val="105"/>
        </w:rPr>
        <w:t> </w:t>
      </w:r>
      <w:r>
        <w:rPr>
          <w:color w:val="231F20"/>
          <w:w w:val="105"/>
        </w:rPr>
        <w:t>no</w:t>
      </w:r>
      <w:r>
        <w:rPr>
          <w:color w:val="231F20"/>
          <w:spacing w:val="-29"/>
          <w:w w:val="105"/>
        </w:rPr>
        <w:t> </w:t>
      </w:r>
      <w:r>
        <w:rPr>
          <w:color w:val="231F20"/>
          <w:w w:val="105"/>
        </w:rPr>
        <w:t>other</w:t>
      </w:r>
      <w:r>
        <w:rPr>
          <w:color w:val="231F20"/>
          <w:spacing w:val="-29"/>
          <w:w w:val="105"/>
        </w:rPr>
        <w:t> </w:t>
      </w:r>
      <w:r>
        <w:rPr>
          <w:color w:val="231F20"/>
          <w:w w:val="105"/>
        </w:rPr>
        <w:t>way</w:t>
      </w:r>
      <w:r>
        <w:rPr>
          <w:color w:val="231F20"/>
          <w:spacing w:val="-29"/>
          <w:w w:val="105"/>
        </w:rPr>
        <w:t> </w:t>
      </w:r>
      <w:r>
        <w:rPr>
          <w:color w:val="231F20"/>
          <w:w w:val="105"/>
        </w:rPr>
        <w:t>to</w:t>
      </w:r>
      <w:r>
        <w:rPr>
          <w:color w:val="231F20"/>
          <w:spacing w:val="-29"/>
          <w:w w:val="105"/>
        </w:rPr>
        <w:t> </w:t>
      </w:r>
      <w:r>
        <w:rPr>
          <w:color w:val="231F20"/>
          <w:w w:val="105"/>
        </w:rPr>
        <w:t>be</w:t>
      </w:r>
      <w:r>
        <w:rPr>
          <w:color w:val="231F20"/>
          <w:spacing w:val="-29"/>
          <w:w w:val="105"/>
        </w:rPr>
        <w:t> </w:t>
      </w:r>
      <w:r>
        <w:rPr>
          <w:color w:val="231F20"/>
          <w:w w:val="105"/>
        </w:rPr>
        <w:t>removed. The rise in protein concentration raises the </w:t>
      </w:r>
      <w:r>
        <w:rPr>
          <w:color w:val="231F20"/>
          <w:spacing w:val="-3"/>
          <w:w w:val="105"/>
        </w:rPr>
        <w:t>colloid </w:t>
      </w:r>
      <w:r>
        <w:rPr>
          <w:color w:val="231F20"/>
          <w:w w:val="105"/>
        </w:rPr>
        <w:t>osmotic pressure of the interstitial fluid, which </w:t>
      </w:r>
      <w:r>
        <w:rPr>
          <w:color w:val="231F20"/>
          <w:spacing w:val="-5"/>
          <w:w w:val="105"/>
        </w:rPr>
        <w:t>draws </w:t>
      </w:r>
      <w:r>
        <w:rPr>
          <w:color w:val="231F20"/>
          <w:w w:val="105"/>
        </w:rPr>
        <w:t>even more fluid out of the</w:t>
      </w:r>
      <w:r>
        <w:rPr>
          <w:color w:val="231F20"/>
          <w:spacing w:val="6"/>
          <w:w w:val="105"/>
        </w:rPr>
        <w:t> </w:t>
      </w:r>
      <w:r>
        <w:rPr>
          <w:color w:val="231F20"/>
          <w:w w:val="105"/>
        </w:rPr>
        <w:t>capillaries.</w:t>
      </w:r>
    </w:p>
    <w:p>
      <w:pPr>
        <w:pStyle w:val="BodyText"/>
        <w:spacing w:line="249" w:lineRule="auto" w:before="6"/>
        <w:ind w:left="1440" w:firstLine="240"/>
        <w:jc w:val="both"/>
      </w:pPr>
      <w:r>
        <w:rPr>
          <w:color w:val="231F20"/>
        </w:rPr>
        <w:t>Blockage of lymph flow can be especially severe </w:t>
      </w:r>
      <w:r>
        <w:rPr>
          <w:color w:val="231F20"/>
          <w:spacing w:val="-3"/>
        </w:rPr>
        <w:t>with </w:t>
      </w:r>
      <w:r>
        <w:rPr>
          <w:color w:val="231F20"/>
        </w:rPr>
        <w:t>infections of the lymph nodes, such as occurs with infec­ tion by </w:t>
      </w:r>
      <w:r>
        <w:rPr>
          <w:i/>
          <w:color w:val="231F20"/>
        </w:rPr>
        <w:t>filaria nematodes (Wuchereria bancrofti), </w:t>
      </w:r>
      <w:r>
        <w:rPr>
          <w:color w:val="231F20"/>
          <w:spacing w:val="-4"/>
        </w:rPr>
        <w:t>which </w:t>
      </w:r>
      <w:r>
        <w:rPr>
          <w:color w:val="231F20"/>
        </w:rPr>
        <w:t>are microscopic, threadlike worms. The adult worms </w:t>
      </w:r>
      <w:r>
        <w:rPr>
          <w:color w:val="231F20"/>
          <w:spacing w:val="-3"/>
        </w:rPr>
        <w:t>live </w:t>
      </w:r>
      <w:r>
        <w:rPr>
          <w:color w:val="231F20"/>
        </w:rPr>
        <w:t>in the human lymph system and are spread from person  to person by mosquitoes. People with filarial infections can have severe lymphedema  and  </w:t>
      </w:r>
      <w:r>
        <w:rPr>
          <w:i/>
          <w:color w:val="231F20"/>
        </w:rPr>
        <w:t>elephantiasis  </w:t>
      </w:r>
      <w:r>
        <w:rPr>
          <w:color w:val="231F20"/>
          <w:spacing w:val="-4"/>
        </w:rPr>
        <w:t>and  </w:t>
      </w:r>
      <w:r>
        <w:rPr>
          <w:color w:val="231F20"/>
        </w:rPr>
        <w:t>men can have swelling of the scrotum, called </w:t>
      </w:r>
      <w:r>
        <w:rPr>
          <w:i/>
          <w:color w:val="231F20"/>
          <w:spacing w:val="-3"/>
        </w:rPr>
        <w:t>hydrocele</w:t>
      </w:r>
      <w:r>
        <w:rPr>
          <w:color w:val="231F20"/>
          <w:spacing w:val="-3"/>
        </w:rPr>
        <w:t>. </w:t>
      </w:r>
      <w:r>
        <w:rPr>
          <w:color w:val="231F20"/>
        </w:rPr>
        <w:t>Lymphatic filariasis affects more than 120 million people in 80 countries  throughout  the  tropics  and  </w:t>
      </w:r>
      <w:r>
        <w:rPr>
          <w:color w:val="231F20"/>
          <w:spacing w:val="-3"/>
        </w:rPr>
        <w:t>subtropics  </w:t>
      </w:r>
      <w:r>
        <w:rPr>
          <w:color w:val="231F20"/>
        </w:rPr>
        <w:t>of Asia, Africa, the </w:t>
      </w:r>
      <w:r>
        <w:rPr>
          <w:color w:val="231F20"/>
          <w:spacing w:val="-3"/>
        </w:rPr>
        <w:t>Western </w:t>
      </w:r>
      <w:r>
        <w:rPr>
          <w:color w:val="231F20"/>
        </w:rPr>
        <w:t>Pacific, and parts of the Caribbean and South</w:t>
      </w:r>
      <w:r>
        <w:rPr>
          <w:color w:val="231F20"/>
          <w:spacing w:val="23"/>
        </w:rPr>
        <w:t> </w:t>
      </w:r>
      <w:r>
        <w:rPr>
          <w:color w:val="231F20"/>
        </w:rPr>
        <w:t>America.</w:t>
      </w:r>
    </w:p>
    <w:p>
      <w:pPr>
        <w:pStyle w:val="BodyText"/>
        <w:spacing w:line="249" w:lineRule="auto" w:before="9"/>
        <w:ind w:left="1440" w:firstLine="240"/>
        <w:jc w:val="both"/>
      </w:pPr>
      <w:r>
        <w:rPr>
          <w:color w:val="231F20"/>
        </w:rPr>
        <w:t>Lymphedema can also occur in persons who </w:t>
      </w:r>
      <w:r>
        <w:rPr>
          <w:color w:val="231F20"/>
          <w:spacing w:val="-5"/>
        </w:rPr>
        <w:t>have </w:t>
      </w:r>
      <w:r>
        <w:rPr>
          <w:color w:val="231F20"/>
        </w:rPr>
        <w:t>certain types of cancer or after surgery in which lymph vessels are removed or obstructed. </w:t>
      </w:r>
      <w:r>
        <w:rPr>
          <w:color w:val="231F20"/>
          <w:spacing w:val="-3"/>
        </w:rPr>
        <w:t>For </w:t>
      </w:r>
      <w:r>
        <w:rPr>
          <w:color w:val="231F20"/>
        </w:rPr>
        <w:t>example, </w:t>
      </w:r>
      <w:r>
        <w:rPr>
          <w:color w:val="231F20"/>
          <w:spacing w:val="-4"/>
        </w:rPr>
        <w:t>large </w:t>
      </w:r>
      <w:r>
        <w:rPr>
          <w:color w:val="231F20"/>
        </w:rPr>
        <w:t>numbers of lymph vessels are removed during radical mastectomy, impairing removal of fluid from the breast and arm areas and causing edema and swelling of </w:t>
      </w:r>
      <w:r>
        <w:rPr>
          <w:color w:val="231F20"/>
          <w:spacing w:val="-6"/>
        </w:rPr>
        <w:t>the </w:t>
      </w:r>
      <w:r>
        <w:rPr>
          <w:color w:val="231F20"/>
        </w:rPr>
        <w:t>tissue</w:t>
      </w:r>
      <w:r>
        <w:rPr>
          <w:color w:val="231F20"/>
          <w:spacing w:val="-6"/>
        </w:rPr>
        <w:t> </w:t>
      </w:r>
      <w:r>
        <w:rPr>
          <w:color w:val="231F20"/>
        </w:rPr>
        <w:t>spaces.</w:t>
      </w:r>
      <w:r>
        <w:rPr>
          <w:color w:val="231F20"/>
          <w:spacing w:val="-6"/>
        </w:rPr>
        <w:t> </w:t>
      </w:r>
      <w:r>
        <w:rPr>
          <w:color w:val="231F20"/>
        </w:rPr>
        <w:t>A</w:t>
      </w:r>
      <w:r>
        <w:rPr>
          <w:color w:val="231F20"/>
          <w:spacing w:val="-5"/>
        </w:rPr>
        <w:t> </w:t>
      </w:r>
      <w:r>
        <w:rPr>
          <w:color w:val="231F20"/>
        </w:rPr>
        <w:t>few</w:t>
      </w:r>
      <w:r>
        <w:rPr>
          <w:color w:val="231F20"/>
          <w:spacing w:val="-6"/>
        </w:rPr>
        <w:t> </w:t>
      </w:r>
      <w:r>
        <w:rPr>
          <w:color w:val="231F20"/>
        </w:rPr>
        <w:t>lymph</w:t>
      </w:r>
      <w:r>
        <w:rPr>
          <w:color w:val="231F20"/>
          <w:spacing w:val="-6"/>
        </w:rPr>
        <w:t> </w:t>
      </w:r>
      <w:r>
        <w:rPr>
          <w:color w:val="231F20"/>
        </w:rPr>
        <w:t>vessels</w:t>
      </w:r>
      <w:r>
        <w:rPr>
          <w:color w:val="231F20"/>
          <w:spacing w:val="-5"/>
        </w:rPr>
        <w:t> </w:t>
      </w:r>
      <w:r>
        <w:rPr>
          <w:color w:val="231F20"/>
        </w:rPr>
        <w:t>eventually</w:t>
      </w:r>
      <w:r>
        <w:rPr>
          <w:color w:val="231F20"/>
          <w:spacing w:val="-6"/>
        </w:rPr>
        <w:t> </w:t>
      </w:r>
      <w:r>
        <w:rPr>
          <w:color w:val="231F20"/>
        </w:rPr>
        <w:t>regrow</w:t>
      </w:r>
      <w:r>
        <w:rPr>
          <w:color w:val="231F20"/>
          <w:spacing w:val="-6"/>
        </w:rPr>
        <w:t> </w:t>
      </w:r>
      <w:r>
        <w:rPr>
          <w:color w:val="231F20"/>
        </w:rPr>
        <w:t>after this type of surgery, and thus the interstitial edema </w:t>
      </w:r>
      <w:r>
        <w:rPr>
          <w:color w:val="231F20"/>
          <w:spacing w:val="-7"/>
        </w:rPr>
        <w:t>is </w:t>
      </w:r>
      <w:r>
        <w:rPr>
          <w:color w:val="231F20"/>
        </w:rPr>
        <w:t>usually</w:t>
      </w:r>
      <w:r>
        <w:rPr>
          <w:color w:val="231F20"/>
          <w:spacing w:val="6"/>
        </w:rPr>
        <w:t> </w:t>
      </w:r>
      <w:r>
        <w:rPr>
          <w:color w:val="231F20"/>
        </w:rPr>
        <w:t>temporary.</w:t>
      </w:r>
    </w:p>
    <w:p>
      <w:pPr>
        <w:pStyle w:val="BodyText"/>
        <w:spacing w:before="4"/>
        <w:rPr>
          <w:sz w:val="31"/>
        </w:rPr>
      </w:pPr>
    </w:p>
    <w:p>
      <w:pPr>
        <w:pStyle w:val="Heading2"/>
        <w:spacing w:line="225" w:lineRule="auto"/>
        <w:ind w:left="1440" w:right="455"/>
      </w:pPr>
      <w:r>
        <w:rPr>
          <w:color w:val="231F20"/>
          <w:w w:val="105"/>
        </w:rPr>
        <w:t>SUMMARY OF CAUSES OF EXTRACELLULAR EDEMA</w:t>
      </w:r>
    </w:p>
    <w:p>
      <w:pPr>
        <w:pStyle w:val="BodyText"/>
        <w:spacing w:line="249" w:lineRule="auto" w:before="127"/>
        <w:ind w:left="1440"/>
        <w:jc w:val="both"/>
      </w:pPr>
      <w:r>
        <w:rPr>
          <w:color w:val="231F20"/>
        </w:rPr>
        <w:t>A large number of conditions can cause fluid accumula­ tion in the interstitial spaces by abnormal  leaking  </w:t>
      </w:r>
      <w:r>
        <w:rPr>
          <w:color w:val="231F20"/>
          <w:spacing w:val="-5"/>
        </w:rPr>
        <w:t>of  </w:t>
      </w:r>
      <w:r>
        <w:rPr>
          <w:color w:val="231F20"/>
        </w:rPr>
        <w:t>fluid from the capillaries or by preventing the lymphatics from returning fluid from the interstitium back to the circulation. The following is a partial list of </w:t>
      </w:r>
      <w:r>
        <w:rPr>
          <w:color w:val="231F20"/>
          <w:spacing w:val="-3"/>
        </w:rPr>
        <w:t>conditions  </w:t>
      </w:r>
      <w:r>
        <w:rPr>
          <w:color w:val="231F20"/>
        </w:rPr>
        <w:t>that can cause extracellular edema by these two types of abnormalities:</w:t>
      </w:r>
    </w:p>
    <w:p>
      <w:pPr>
        <w:pStyle w:val="ListParagraph"/>
        <w:numPr>
          <w:ilvl w:val="3"/>
          <w:numId w:val="2"/>
        </w:numPr>
        <w:tabs>
          <w:tab w:pos="2020" w:val="left" w:leader="none"/>
        </w:tabs>
        <w:spacing w:line="240" w:lineRule="auto" w:before="6" w:after="0"/>
        <w:ind w:left="2020" w:right="0" w:hanging="240"/>
        <w:jc w:val="both"/>
        <w:rPr>
          <w:sz w:val="20"/>
        </w:rPr>
      </w:pPr>
      <w:r>
        <w:rPr>
          <w:color w:val="231F20"/>
          <w:sz w:val="20"/>
        </w:rPr>
        <w:t>Increased capillary</w:t>
      </w:r>
      <w:r>
        <w:rPr>
          <w:color w:val="231F20"/>
          <w:spacing w:val="14"/>
          <w:sz w:val="20"/>
        </w:rPr>
        <w:t> </w:t>
      </w:r>
      <w:r>
        <w:rPr>
          <w:color w:val="231F20"/>
          <w:sz w:val="20"/>
        </w:rPr>
        <w:t>pressure</w:t>
      </w:r>
    </w:p>
    <w:p>
      <w:pPr>
        <w:pStyle w:val="ListParagraph"/>
        <w:numPr>
          <w:ilvl w:val="4"/>
          <w:numId w:val="2"/>
        </w:numPr>
        <w:tabs>
          <w:tab w:pos="2300" w:val="left" w:leader="none"/>
        </w:tabs>
        <w:spacing w:line="240" w:lineRule="auto" w:before="10" w:after="0"/>
        <w:ind w:left="2300" w:right="0" w:hanging="280"/>
        <w:jc w:val="both"/>
        <w:rPr>
          <w:sz w:val="20"/>
        </w:rPr>
      </w:pPr>
      <w:r>
        <w:rPr>
          <w:color w:val="231F20"/>
          <w:sz w:val="20"/>
        </w:rPr>
        <w:t>Excessive kidney retention of salt and</w:t>
      </w:r>
      <w:r>
        <w:rPr>
          <w:color w:val="231F20"/>
          <w:spacing w:val="12"/>
          <w:sz w:val="20"/>
        </w:rPr>
        <w:t> </w:t>
      </w:r>
      <w:r>
        <w:rPr>
          <w:color w:val="231F20"/>
          <w:sz w:val="20"/>
        </w:rPr>
        <w:t>water</w:t>
      </w:r>
    </w:p>
    <w:p>
      <w:pPr>
        <w:pStyle w:val="ListParagraph"/>
        <w:numPr>
          <w:ilvl w:val="5"/>
          <w:numId w:val="2"/>
        </w:numPr>
        <w:tabs>
          <w:tab w:pos="2540" w:val="left" w:leader="none"/>
        </w:tabs>
        <w:spacing w:line="240" w:lineRule="auto" w:before="10" w:after="0"/>
        <w:ind w:left="2540" w:right="0" w:hanging="240"/>
        <w:jc w:val="both"/>
        <w:rPr>
          <w:sz w:val="20"/>
        </w:rPr>
      </w:pPr>
      <w:r>
        <w:rPr>
          <w:color w:val="231F20"/>
          <w:w w:val="105"/>
          <w:sz w:val="20"/>
        </w:rPr>
        <w:t>Acute or chronic kidney</w:t>
      </w:r>
      <w:r>
        <w:rPr>
          <w:color w:val="231F20"/>
          <w:spacing w:val="1"/>
          <w:w w:val="105"/>
          <w:sz w:val="20"/>
        </w:rPr>
        <w:t> </w:t>
      </w:r>
      <w:r>
        <w:rPr>
          <w:color w:val="231F20"/>
          <w:w w:val="105"/>
          <w:sz w:val="20"/>
        </w:rPr>
        <w:t>failure</w:t>
      </w:r>
    </w:p>
    <w:p>
      <w:pPr>
        <w:pStyle w:val="ListParagraph"/>
        <w:numPr>
          <w:ilvl w:val="5"/>
          <w:numId w:val="2"/>
        </w:numPr>
        <w:tabs>
          <w:tab w:pos="2540" w:val="left" w:leader="none"/>
        </w:tabs>
        <w:spacing w:line="240" w:lineRule="auto" w:before="10" w:after="0"/>
        <w:ind w:left="2540" w:right="0" w:hanging="240"/>
        <w:jc w:val="both"/>
        <w:rPr>
          <w:sz w:val="20"/>
        </w:rPr>
      </w:pPr>
      <w:r>
        <w:rPr>
          <w:color w:val="231F20"/>
          <w:sz w:val="20"/>
        </w:rPr>
        <w:t>Mineralocorticoid</w:t>
      </w:r>
      <w:r>
        <w:rPr>
          <w:color w:val="231F20"/>
          <w:spacing w:val="7"/>
          <w:sz w:val="20"/>
        </w:rPr>
        <w:t> </w:t>
      </w:r>
      <w:r>
        <w:rPr>
          <w:color w:val="231F20"/>
          <w:sz w:val="20"/>
        </w:rPr>
        <w:t>excess</w:t>
      </w:r>
    </w:p>
    <w:p>
      <w:pPr>
        <w:pStyle w:val="ListParagraph"/>
        <w:numPr>
          <w:ilvl w:val="4"/>
          <w:numId w:val="2"/>
        </w:numPr>
        <w:tabs>
          <w:tab w:pos="2300" w:val="left" w:leader="none"/>
        </w:tabs>
        <w:spacing w:line="240" w:lineRule="auto" w:before="10" w:after="0"/>
        <w:ind w:left="2300" w:right="0" w:hanging="280"/>
        <w:jc w:val="both"/>
        <w:rPr>
          <w:sz w:val="20"/>
        </w:rPr>
      </w:pPr>
      <w:r>
        <w:rPr>
          <w:color w:val="231F20"/>
          <w:w w:val="105"/>
          <w:sz w:val="20"/>
        </w:rPr>
        <w:t>High venous pressure and venous</w:t>
      </w:r>
      <w:r>
        <w:rPr>
          <w:color w:val="231F20"/>
          <w:spacing w:val="-28"/>
          <w:w w:val="105"/>
          <w:sz w:val="20"/>
        </w:rPr>
        <w:t> </w:t>
      </w:r>
      <w:r>
        <w:rPr>
          <w:color w:val="231F20"/>
          <w:spacing w:val="-3"/>
          <w:w w:val="105"/>
          <w:sz w:val="20"/>
        </w:rPr>
        <w:t>constriction</w:t>
      </w:r>
    </w:p>
    <w:p>
      <w:pPr>
        <w:pStyle w:val="ListParagraph"/>
        <w:numPr>
          <w:ilvl w:val="5"/>
          <w:numId w:val="2"/>
        </w:numPr>
        <w:tabs>
          <w:tab w:pos="2540" w:val="left" w:leader="none"/>
        </w:tabs>
        <w:spacing w:line="240" w:lineRule="auto" w:before="10" w:after="0"/>
        <w:ind w:left="2540" w:right="0" w:hanging="240"/>
        <w:jc w:val="left"/>
        <w:rPr>
          <w:sz w:val="20"/>
        </w:rPr>
      </w:pPr>
      <w:r>
        <w:rPr>
          <w:color w:val="231F20"/>
          <w:w w:val="105"/>
          <w:sz w:val="20"/>
        </w:rPr>
        <w:t>Heart</w:t>
      </w:r>
      <w:r>
        <w:rPr>
          <w:color w:val="231F20"/>
          <w:spacing w:val="3"/>
          <w:w w:val="105"/>
          <w:sz w:val="20"/>
        </w:rPr>
        <w:t> </w:t>
      </w:r>
      <w:r>
        <w:rPr>
          <w:color w:val="231F20"/>
          <w:w w:val="105"/>
          <w:sz w:val="20"/>
        </w:rPr>
        <w:t>failure</w:t>
      </w:r>
    </w:p>
    <w:p>
      <w:pPr>
        <w:pStyle w:val="ListParagraph"/>
        <w:numPr>
          <w:ilvl w:val="5"/>
          <w:numId w:val="2"/>
        </w:numPr>
        <w:tabs>
          <w:tab w:pos="2540" w:val="left" w:leader="none"/>
        </w:tabs>
        <w:spacing w:line="240" w:lineRule="auto" w:before="10" w:after="0"/>
        <w:ind w:left="2540" w:right="0" w:hanging="240"/>
        <w:jc w:val="left"/>
        <w:rPr>
          <w:sz w:val="20"/>
        </w:rPr>
      </w:pPr>
      <w:r>
        <w:rPr>
          <w:color w:val="231F20"/>
          <w:spacing w:val="-3"/>
          <w:w w:val="105"/>
          <w:sz w:val="20"/>
        </w:rPr>
        <w:t>Venous</w:t>
      </w:r>
      <w:r>
        <w:rPr>
          <w:color w:val="231F20"/>
          <w:spacing w:val="3"/>
          <w:w w:val="105"/>
          <w:sz w:val="20"/>
        </w:rPr>
        <w:t> </w:t>
      </w:r>
      <w:r>
        <w:rPr>
          <w:color w:val="231F20"/>
          <w:w w:val="105"/>
          <w:sz w:val="20"/>
        </w:rPr>
        <w:t>obstruction</w:t>
      </w:r>
    </w:p>
    <w:p>
      <w:pPr>
        <w:pStyle w:val="ListParagraph"/>
        <w:numPr>
          <w:ilvl w:val="5"/>
          <w:numId w:val="2"/>
        </w:numPr>
        <w:tabs>
          <w:tab w:pos="2540" w:val="left" w:leader="none"/>
        </w:tabs>
        <w:spacing w:line="240" w:lineRule="auto" w:before="10" w:after="0"/>
        <w:ind w:left="2540" w:right="0" w:hanging="240"/>
        <w:jc w:val="left"/>
        <w:rPr>
          <w:sz w:val="20"/>
        </w:rPr>
      </w:pPr>
      <w:r>
        <w:rPr>
          <w:color w:val="231F20"/>
          <w:sz w:val="20"/>
        </w:rPr>
        <w:t>Failure of venous</w:t>
      </w:r>
      <w:r>
        <w:rPr>
          <w:color w:val="231F20"/>
          <w:spacing w:val="20"/>
          <w:sz w:val="20"/>
        </w:rPr>
        <w:t> </w:t>
      </w:r>
      <w:r>
        <w:rPr>
          <w:color w:val="231F20"/>
          <w:sz w:val="20"/>
        </w:rPr>
        <w:t>pumps</w:t>
      </w:r>
    </w:p>
    <w:p>
      <w:pPr>
        <w:pStyle w:val="ListParagraph"/>
        <w:numPr>
          <w:ilvl w:val="6"/>
          <w:numId w:val="2"/>
        </w:numPr>
        <w:tabs>
          <w:tab w:pos="2880" w:val="left" w:leader="none"/>
        </w:tabs>
        <w:spacing w:line="240" w:lineRule="auto" w:before="10" w:after="0"/>
        <w:ind w:left="2880" w:right="0" w:hanging="340"/>
        <w:jc w:val="left"/>
        <w:rPr>
          <w:sz w:val="20"/>
        </w:rPr>
      </w:pPr>
      <w:r>
        <w:rPr>
          <w:color w:val="231F20"/>
          <w:sz w:val="20"/>
        </w:rPr>
        <w:t>Paralysis of</w:t>
      </w:r>
      <w:r>
        <w:rPr>
          <w:color w:val="231F20"/>
          <w:spacing w:val="11"/>
          <w:sz w:val="20"/>
        </w:rPr>
        <w:t> </w:t>
      </w:r>
      <w:r>
        <w:rPr>
          <w:color w:val="231F20"/>
          <w:sz w:val="20"/>
        </w:rPr>
        <w:t>muscles</w:t>
      </w:r>
    </w:p>
    <w:p>
      <w:pPr>
        <w:pStyle w:val="ListParagraph"/>
        <w:numPr>
          <w:ilvl w:val="6"/>
          <w:numId w:val="2"/>
        </w:numPr>
        <w:tabs>
          <w:tab w:pos="2880" w:val="left" w:leader="none"/>
        </w:tabs>
        <w:spacing w:line="240" w:lineRule="auto" w:before="10" w:after="0"/>
        <w:ind w:left="2880" w:right="0" w:hanging="340"/>
        <w:jc w:val="left"/>
        <w:rPr>
          <w:sz w:val="20"/>
        </w:rPr>
      </w:pPr>
      <w:r>
        <w:rPr>
          <w:color w:val="231F20"/>
          <w:w w:val="105"/>
          <w:sz w:val="20"/>
        </w:rPr>
        <w:t>Immobilization of parts of the</w:t>
      </w:r>
      <w:r>
        <w:rPr>
          <w:color w:val="231F20"/>
          <w:spacing w:val="-10"/>
          <w:w w:val="105"/>
          <w:sz w:val="20"/>
        </w:rPr>
        <w:t> </w:t>
      </w:r>
      <w:r>
        <w:rPr>
          <w:color w:val="231F20"/>
          <w:w w:val="105"/>
          <w:sz w:val="20"/>
        </w:rPr>
        <w:t>body</w:t>
      </w:r>
    </w:p>
    <w:p>
      <w:pPr>
        <w:pStyle w:val="ListParagraph"/>
        <w:numPr>
          <w:ilvl w:val="6"/>
          <w:numId w:val="2"/>
        </w:numPr>
        <w:tabs>
          <w:tab w:pos="2880" w:val="left" w:leader="none"/>
        </w:tabs>
        <w:spacing w:line="240" w:lineRule="auto" w:before="10" w:after="0"/>
        <w:ind w:left="2880" w:right="0" w:hanging="340"/>
        <w:jc w:val="left"/>
        <w:rPr>
          <w:sz w:val="20"/>
        </w:rPr>
      </w:pPr>
      <w:r>
        <w:rPr>
          <w:color w:val="231F20"/>
          <w:sz w:val="20"/>
        </w:rPr>
        <w:t>Failure of venous</w:t>
      </w:r>
      <w:r>
        <w:rPr>
          <w:color w:val="231F20"/>
          <w:spacing w:val="15"/>
          <w:sz w:val="20"/>
        </w:rPr>
        <w:t> </w:t>
      </w:r>
      <w:r>
        <w:rPr>
          <w:color w:val="231F20"/>
          <w:sz w:val="20"/>
        </w:rPr>
        <w:t>valves</w:t>
      </w:r>
    </w:p>
    <w:p>
      <w:pPr>
        <w:pStyle w:val="ListParagraph"/>
        <w:numPr>
          <w:ilvl w:val="4"/>
          <w:numId w:val="2"/>
        </w:numPr>
        <w:tabs>
          <w:tab w:pos="2300" w:val="left" w:leader="none"/>
        </w:tabs>
        <w:spacing w:line="240" w:lineRule="auto" w:before="10" w:after="0"/>
        <w:ind w:left="2300" w:right="0" w:hanging="280"/>
        <w:jc w:val="left"/>
        <w:rPr>
          <w:sz w:val="20"/>
        </w:rPr>
      </w:pPr>
      <w:r>
        <w:rPr>
          <w:color w:val="231F20"/>
          <w:w w:val="105"/>
          <w:sz w:val="20"/>
        </w:rPr>
        <w:t>Decreased arteriolar</w:t>
      </w:r>
      <w:r>
        <w:rPr>
          <w:color w:val="231F20"/>
          <w:spacing w:val="3"/>
          <w:w w:val="105"/>
          <w:sz w:val="20"/>
        </w:rPr>
        <w:t> </w:t>
      </w:r>
      <w:r>
        <w:rPr>
          <w:color w:val="231F20"/>
          <w:w w:val="105"/>
          <w:sz w:val="20"/>
        </w:rPr>
        <w:t>resistance</w:t>
      </w:r>
    </w:p>
    <w:p>
      <w:pPr>
        <w:pStyle w:val="ListParagraph"/>
        <w:numPr>
          <w:ilvl w:val="5"/>
          <w:numId w:val="2"/>
        </w:numPr>
        <w:tabs>
          <w:tab w:pos="2540" w:val="left" w:leader="none"/>
        </w:tabs>
        <w:spacing w:line="240" w:lineRule="auto" w:before="10" w:after="0"/>
        <w:ind w:left="2540" w:right="0" w:hanging="240"/>
        <w:jc w:val="left"/>
        <w:rPr>
          <w:sz w:val="20"/>
        </w:rPr>
      </w:pPr>
      <w:r>
        <w:rPr>
          <w:color w:val="231F20"/>
          <w:sz w:val="20"/>
        </w:rPr>
        <w:t>Excessive body</w:t>
      </w:r>
      <w:r>
        <w:rPr>
          <w:color w:val="231F20"/>
          <w:spacing w:val="11"/>
          <w:sz w:val="20"/>
        </w:rPr>
        <w:t> </w:t>
      </w:r>
      <w:r>
        <w:rPr>
          <w:color w:val="231F20"/>
          <w:sz w:val="20"/>
        </w:rPr>
        <w:t>heat</w:t>
      </w:r>
    </w:p>
    <w:p>
      <w:pPr>
        <w:pStyle w:val="ListParagraph"/>
        <w:numPr>
          <w:ilvl w:val="5"/>
          <w:numId w:val="2"/>
        </w:numPr>
        <w:tabs>
          <w:tab w:pos="2540" w:val="left" w:leader="none"/>
        </w:tabs>
        <w:spacing w:line="240" w:lineRule="auto" w:before="10" w:after="0"/>
        <w:ind w:left="2540" w:right="0" w:hanging="240"/>
        <w:jc w:val="left"/>
        <w:rPr>
          <w:sz w:val="20"/>
        </w:rPr>
      </w:pPr>
      <w:r>
        <w:rPr>
          <w:color w:val="231F20"/>
          <w:sz w:val="20"/>
        </w:rPr>
        <w:t>Insufficiency of sympathetic nervous</w:t>
      </w:r>
      <w:r>
        <w:rPr>
          <w:color w:val="231F20"/>
          <w:spacing w:val="1"/>
          <w:sz w:val="20"/>
        </w:rPr>
        <w:t> </w:t>
      </w:r>
      <w:r>
        <w:rPr>
          <w:color w:val="231F20"/>
          <w:spacing w:val="-4"/>
          <w:sz w:val="20"/>
        </w:rPr>
        <w:t>system</w:t>
      </w:r>
    </w:p>
    <w:p>
      <w:pPr>
        <w:pStyle w:val="ListParagraph"/>
        <w:numPr>
          <w:ilvl w:val="5"/>
          <w:numId w:val="2"/>
        </w:numPr>
        <w:tabs>
          <w:tab w:pos="2540" w:val="left" w:leader="none"/>
        </w:tabs>
        <w:spacing w:line="240" w:lineRule="auto" w:before="10" w:after="0"/>
        <w:ind w:left="2540" w:right="0" w:hanging="240"/>
        <w:jc w:val="left"/>
        <w:rPr>
          <w:sz w:val="20"/>
        </w:rPr>
      </w:pPr>
      <w:r>
        <w:rPr>
          <w:color w:val="231F20"/>
          <w:w w:val="105"/>
          <w:sz w:val="20"/>
        </w:rPr>
        <w:t>Vasodilator</w:t>
      </w:r>
      <w:r>
        <w:rPr>
          <w:color w:val="231F20"/>
          <w:spacing w:val="2"/>
          <w:w w:val="105"/>
          <w:sz w:val="20"/>
        </w:rPr>
        <w:t> </w:t>
      </w:r>
      <w:r>
        <w:rPr>
          <w:color w:val="231F20"/>
          <w:w w:val="105"/>
          <w:sz w:val="20"/>
        </w:rPr>
        <w:t>drugs</w:t>
      </w:r>
    </w:p>
    <w:p>
      <w:pPr>
        <w:pStyle w:val="ListParagraph"/>
        <w:numPr>
          <w:ilvl w:val="3"/>
          <w:numId w:val="2"/>
        </w:numPr>
        <w:tabs>
          <w:tab w:pos="900" w:val="left" w:leader="none"/>
        </w:tabs>
        <w:spacing w:line="240" w:lineRule="auto" w:before="100" w:after="0"/>
        <w:ind w:left="899" w:right="0" w:hanging="301"/>
        <w:jc w:val="left"/>
        <w:rPr>
          <w:sz w:val="20"/>
        </w:rPr>
      </w:pPr>
      <w:r>
        <w:rPr>
          <w:color w:val="231F20"/>
          <w:spacing w:val="2"/>
          <w:w w:val="100"/>
          <w:sz w:val="20"/>
        </w:rPr>
        <w:br w:type="column"/>
      </w:r>
      <w:r>
        <w:rPr>
          <w:color w:val="231F20"/>
          <w:w w:val="105"/>
          <w:sz w:val="20"/>
        </w:rPr>
        <w:t>Decreased plasma</w:t>
      </w:r>
      <w:r>
        <w:rPr>
          <w:color w:val="231F20"/>
          <w:spacing w:val="5"/>
          <w:w w:val="105"/>
          <w:sz w:val="20"/>
        </w:rPr>
        <w:t> </w:t>
      </w:r>
      <w:r>
        <w:rPr>
          <w:color w:val="231F20"/>
          <w:w w:val="105"/>
          <w:sz w:val="20"/>
        </w:rPr>
        <w:t>proteins</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w w:val="105"/>
          <w:sz w:val="20"/>
        </w:rPr>
        <w:t>Loss</w:t>
      </w:r>
      <w:r>
        <w:rPr>
          <w:color w:val="231F20"/>
          <w:spacing w:val="-10"/>
          <w:w w:val="105"/>
          <w:sz w:val="20"/>
        </w:rPr>
        <w:t> </w:t>
      </w:r>
      <w:r>
        <w:rPr>
          <w:color w:val="231F20"/>
          <w:w w:val="105"/>
          <w:sz w:val="20"/>
        </w:rPr>
        <w:t>of</w:t>
      </w:r>
      <w:r>
        <w:rPr>
          <w:color w:val="231F20"/>
          <w:spacing w:val="-10"/>
          <w:w w:val="105"/>
          <w:sz w:val="20"/>
        </w:rPr>
        <w:t> </w:t>
      </w:r>
      <w:r>
        <w:rPr>
          <w:color w:val="231F20"/>
          <w:w w:val="105"/>
          <w:sz w:val="20"/>
        </w:rPr>
        <w:t>proteins</w:t>
      </w:r>
      <w:r>
        <w:rPr>
          <w:color w:val="231F20"/>
          <w:spacing w:val="-9"/>
          <w:w w:val="105"/>
          <w:sz w:val="20"/>
        </w:rPr>
        <w:t> </w:t>
      </w:r>
      <w:r>
        <w:rPr>
          <w:color w:val="231F20"/>
          <w:w w:val="105"/>
          <w:sz w:val="20"/>
        </w:rPr>
        <w:t>in</w:t>
      </w:r>
      <w:r>
        <w:rPr>
          <w:color w:val="231F20"/>
          <w:spacing w:val="-10"/>
          <w:w w:val="105"/>
          <w:sz w:val="20"/>
        </w:rPr>
        <w:t> </w:t>
      </w:r>
      <w:r>
        <w:rPr>
          <w:color w:val="231F20"/>
          <w:w w:val="105"/>
          <w:sz w:val="20"/>
        </w:rPr>
        <w:t>urine</w:t>
      </w:r>
      <w:r>
        <w:rPr>
          <w:color w:val="231F20"/>
          <w:spacing w:val="-9"/>
          <w:w w:val="105"/>
          <w:sz w:val="20"/>
        </w:rPr>
        <w:t> </w:t>
      </w:r>
      <w:r>
        <w:rPr>
          <w:color w:val="231F20"/>
          <w:w w:val="105"/>
          <w:sz w:val="20"/>
        </w:rPr>
        <w:t>(nephrotic</w:t>
      </w:r>
      <w:r>
        <w:rPr>
          <w:color w:val="231F20"/>
          <w:spacing w:val="-10"/>
          <w:w w:val="105"/>
          <w:sz w:val="20"/>
        </w:rPr>
        <w:t> </w:t>
      </w:r>
      <w:r>
        <w:rPr>
          <w:color w:val="231F20"/>
          <w:w w:val="105"/>
          <w:sz w:val="20"/>
        </w:rPr>
        <w:t>syndrome)</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w w:val="105"/>
          <w:sz w:val="20"/>
        </w:rPr>
        <w:t>Loss of protein from denuded skin</w:t>
      </w:r>
      <w:r>
        <w:rPr>
          <w:color w:val="231F20"/>
          <w:spacing w:val="8"/>
          <w:w w:val="105"/>
          <w:sz w:val="20"/>
        </w:rPr>
        <w:t> </w:t>
      </w:r>
      <w:r>
        <w:rPr>
          <w:color w:val="231F20"/>
          <w:w w:val="105"/>
          <w:sz w:val="20"/>
        </w:rPr>
        <w:t>areas</w:t>
      </w:r>
    </w:p>
    <w:p>
      <w:pPr>
        <w:pStyle w:val="ListParagraph"/>
        <w:numPr>
          <w:ilvl w:val="5"/>
          <w:numId w:val="2"/>
        </w:numPr>
        <w:tabs>
          <w:tab w:pos="1420" w:val="left" w:leader="none"/>
        </w:tabs>
        <w:spacing w:line="240" w:lineRule="auto" w:before="10" w:after="0"/>
        <w:ind w:left="1419" w:right="0" w:hanging="241"/>
        <w:jc w:val="left"/>
        <w:rPr>
          <w:sz w:val="20"/>
        </w:rPr>
      </w:pPr>
      <w:r>
        <w:rPr>
          <w:color w:val="231F20"/>
          <w:w w:val="105"/>
          <w:sz w:val="20"/>
        </w:rPr>
        <w:t>Burns</w:t>
      </w:r>
    </w:p>
    <w:p>
      <w:pPr>
        <w:pStyle w:val="ListParagraph"/>
        <w:numPr>
          <w:ilvl w:val="5"/>
          <w:numId w:val="2"/>
        </w:numPr>
        <w:tabs>
          <w:tab w:pos="1420" w:val="left" w:leader="none"/>
        </w:tabs>
        <w:spacing w:line="240" w:lineRule="auto" w:before="10" w:after="0"/>
        <w:ind w:left="1419" w:right="0" w:hanging="241"/>
        <w:jc w:val="left"/>
        <w:rPr>
          <w:sz w:val="20"/>
        </w:rPr>
      </w:pPr>
      <w:r>
        <w:rPr>
          <w:color w:val="231F20"/>
          <w:spacing w:val="-3"/>
          <w:w w:val="105"/>
          <w:sz w:val="20"/>
        </w:rPr>
        <w:t>Wounds</w:t>
      </w:r>
    </w:p>
    <w:p>
      <w:pPr>
        <w:pStyle w:val="ListParagraph"/>
        <w:numPr>
          <w:ilvl w:val="4"/>
          <w:numId w:val="2"/>
        </w:numPr>
        <w:tabs>
          <w:tab w:pos="1180" w:val="left" w:leader="none"/>
        </w:tabs>
        <w:spacing w:line="240" w:lineRule="auto" w:before="10" w:after="0"/>
        <w:ind w:left="1179" w:right="0" w:hanging="281"/>
        <w:jc w:val="left"/>
        <w:rPr>
          <w:sz w:val="20"/>
        </w:rPr>
      </w:pPr>
      <w:r>
        <w:rPr/>
        <w:pict>
          <v:shape style="position:absolute;margin-left:578.900024pt;margin-top:4.143262pt;width:15.9pt;height:53.35pt;mso-position-horizontal-relative:page;mso-position-vertical-relative:paragraph;z-index:25177600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sz w:val="20"/>
        </w:rPr>
        <w:t>Failure to produce</w:t>
      </w:r>
      <w:r>
        <w:rPr>
          <w:color w:val="231F20"/>
          <w:spacing w:val="8"/>
          <w:w w:val="105"/>
          <w:sz w:val="20"/>
        </w:rPr>
        <w:t> </w:t>
      </w:r>
      <w:r>
        <w:rPr>
          <w:color w:val="231F20"/>
          <w:w w:val="105"/>
          <w:sz w:val="20"/>
        </w:rPr>
        <w:t>proteins</w:t>
      </w:r>
    </w:p>
    <w:p>
      <w:pPr>
        <w:pStyle w:val="ListParagraph"/>
        <w:numPr>
          <w:ilvl w:val="5"/>
          <w:numId w:val="2"/>
        </w:numPr>
        <w:tabs>
          <w:tab w:pos="1420" w:val="left" w:leader="none"/>
        </w:tabs>
        <w:spacing w:line="240" w:lineRule="auto" w:before="10" w:after="0"/>
        <w:ind w:left="1419" w:right="0" w:hanging="241"/>
        <w:jc w:val="left"/>
        <w:rPr>
          <w:sz w:val="20"/>
        </w:rPr>
      </w:pPr>
      <w:r>
        <w:rPr>
          <w:color w:val="231F20"/>
          <w:sz w:val="20"/>
        </w:rPr>
        <w:t>Liver disease (e.g.,</w:t>
      </w:r>
      <w:r>
        <w:rPr>
          <w:color w:val="231F20"/>
          <w:spacing w:val="17"/>
          <w:sz w:val="20"/>
        </w:rPr>
        <w:t> </w:t>
      </w:r>
      <w:r>
        <w:rPr>
          <w:color w:val="231F20"/>
          <w:sz w:val="20"/>
        </w:rPr>
        <w:t>cirrhosis)</w:t>
      </w:r>
    </w:p>
    <w:p>
      <w:pPr>
        <w:pStyle w:val="ListParagraph"/>
        <w:numPr>
          <w:ilvl w:val="5"/>
          <w:numId w:val="2"/>
        </w:numPr>
        <w:tabs>
          <w:tab w:pos="1420" w:val="left" w:leader="none"/>
        </w:tabs>
        <w:spacing w:line="240" w:lineRule="auto" w:before="10" w:after="0"/>
        <w:ind w:left="1419" w:right="0" w:hanging="241"/>
        <w:jc w:val="left"/>
        <w:rPr>
          <w:sz w:val="20"/>
        </w:rPr>
      </w:pPr>
      <w:r>
        <w:rPr>
          <w:color w:val="231F20"/>
          <w:w w:val="105"/>
          <w:sz w:val="20"/>
        </w:rPr>
        <w:t>Serious protein or caloric</w:t>
      </w:r>
      <w:r>
        <w:rPr>
          <w:color w:val="231F20"/>
          <w:spacing w:val="9"/>
          <w:w w:val="105"/>
          <w:sz w:val="20"/>
        </w:rPr>
        <w:t> </w:t>
      </w:r>
      <w:r>
        <w:rPr>
          <w:color w:val="231F20"/>
          <w:w w:val="105"/>
          <w:sz w:val="20"/>
        </w:rPr>
        <w:t>malnutrition</w:t>
      </w:r>
    </w:p>
    <w:p>
      <w:pPr>
        <w:pStyle w:val="ListParagraph"/>
        <w:numPr>
          <w:ilvl w:val="3"/>
          <w:numId w:val="2"/>
        </w:numPr>
        <w:tabs>
          <w:tab w:pos="900" w:val="left" w:leader="none"/>
        </w:tabs>
        <w:spacing w:line="240" w:lineRule="auto" w:before="10" w:after="0"/>
        <w:ind w:left="899" w:right="0" w:hanging="341"/>
        <w:jc w:val="left"/>
        <w:rPr>
          <w:sz w:val="20"/>
        </w:rPr>
      </w:pPr>
      <w:r>
        <w:rPr>
          <w:color w:val="231F20"/>
          <w:sz w:val="20"/>
        </w:rPr>
        <w:t>Increased capillary</w:t>
      </w:r>
      <w:r>
        <w:rPr>
          <w:color w:val="231F20"/>
          <w:spacing w:val="13"/>
          <w:sz w:val="20"/>
        </w:rPr>
        <w:t> </w:t>
      </w:r>
      <w:r>
        <w:rPr>
          <w:color w:val="231F20"/>
          <w:sz w:val="20"/>
        </w:rPr>
        <w:t>permeability</w:t>
      </w:r>
    </w:p>
    <w:p>
      <w:pPr>
        <w:pStyle w:val="ListParagraph"/>
        <w:numPr>
          <w:ilvl w:val="4"/>
          <w:numId w:val="2"/>
        </w:numPr>
        <w:tabs>
          <w:tab w:pos="1180" w:val="left" w:leader="none"/>
        </w:tabs>
        <w:spacing w:line="249" w:lineRule="auto" w:before="10" w:after="0"/>
        <w:ind w:left="1179" w:right="1079" w:hanging="280"/>
        <w:jc w:val="left"/>
        <w:rPr>
          <w:sz w:val="20"/>
        </w:rPr>
      </w:pPr>
      <w:r>
        <w:rPr>
          <w:color w:val="231F20"/>
          <w:w w:val="105"/>
          <w:sz w:val="20"/>
        </w:rPr>
        <w:t>Immune reactions that cause release of hista­ mine and other immune</w:t>
      </w:r>
      <w:r>
        <w:rPr>
          <w:color w:val="231F20"/>
          <w:spacing w:val="16"/>
          <w:w w:val="105"/>
          <w:sz w:val="20"/>
        </w:rPr>
        <w:t> </w:t>
      </w:r>
      <w:r>
        <w:rPr>
          <w:color w:val="231F20"/>
          <w:w w:val="105"/>
          <w:sz w:val="20"/>
        </w:rPr>
        <w:t>products</w:t>
      </w:r>
    </w:p>
    <w:p>
      <w:pPr>
        <w:pStyle w:val="ListParagraph"/>
        <w:numPr>
          <w:ilvl w:val="4"/>
          <w:numId w:val="2"/>
        </w:numPr>
        <w:tabs>
          <w:tab w:pos="1180" w:val="left" w:leader="none"/>
        </w:tabs>
        <w:spacing w:line="240" w:lineRule="auto" w:before="1" w:after="0"/>
        <w:ind w:left="1179" w:right="0" w:hanging="281"/>
        <w:jc w:val="left"/>
        <w:rPr>
          <w:sz w:val="20"/>
        </w:rPr>
      </w:pPr>
      <w:r>
        <w:rPr/>
        <w:pict>
          <v:rect style="position:absolute;margin-left:576pt;margin-top:8.035962pt;width:36pt;height:24pt;mso-position-horizontal-relative:page;mso-position-vertical-relative:paragraph;z-index:251774976" filled="true" fillcolor="#e8dac8" stroked="false">
            <v:fill type="solid"/>
            <w10:wrap type="none"/>
          </v:rect>
        </w:pict>
      </w:r>
      <w:r>
        <w:rPr>
          <w:color w:val="231F20"/>
          <w:spacing w:val="-5"/>
          <w:sz w:val="20"/>
        </w:rPr>
        <w:t>Toxins</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sz w:val="20"/>
        </w:rPr>
        <w:t>Bacterial</w:t>
      </w:r>
      <w:r>
        <w:rPr>
          <w:color w:val="231F20"/>
          <w:spacing w:val="6"/>
          <w:sz w:val="20"/>
        </w:rPr>
        <w:t> </w:t>
      </w:r>
      <w:r>
        <w:rPr>
          <w:color w:val="231F20"/>
          <w:sz w:val="20"/>
        </w:rPr>
        <w:t>infections</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sz w:val="20"/>
        </w:rPr>
        <w:t>Vitamin deficiency, especially vitamin</w:t>
      </w:r>
      <w:r>
        <w:rPr>
          <w:color w:val="231F20"/>
          <w:spacing w:val="23"/>
          <w:sz w:val="20"/>
        </w:rPr>
        <w:t> </w:t>
      </w:r>
      <w:r>
        <w:rPr>
          <w:color w:val="231F20"/>
          <w:sz w:val="20"/>
        </w:rPr>
        <w:t>C</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sz w:val="20"/>
        </w:rPr>
        <w:t>Prolonged</w:t>
      </w:r>
      <w:r>
        <w:rPr>
          <w:color w:val="231F20"/>
          <w:spacing w:val="6"/>
          <w:sz w:val="20"/>
        </w:rPr>
        <w:t> </w:t>
      </w:r>
      <w:r>
        <w:rPr>
          <w:color w:val="231F20"/>
          <w:sz w:val="20"/>
        </w:rPr>
        <w:t>ischemia</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w w:val="105"/>
          <w:sz w:val="20"/>
        </w:rPr>
        <w:t>Burns</w:t>
      </w:r>
    </w:p>
    <w:p>
      <w:pPr>
        <w:pStyle w:val="ListParagraph"/>
        <w:numPr>
          <w:ilvl w:val="3"/>
          <w:numId w:val="2"/>
        </w:numPr>
        <w:tabs>
          <w:tab w:pos="900" w:val="left" w:leader="none"/>
        </w:tabs>
        <w:spacing w:line="240" w:lineRule="auto" w:before="10" w:after="0"/>
        <w:ind w:left="899" w:right="0" w:hanging="341"/>
        <w:jc w:val="left"/>
        <w:rPr>
          <w:sz w:val="20"/>
        </w:rPr>
      </w:pPr>
      <w:r>
        <w:rPr>
          <w:color w:val="231F20"/>
          <w:sz w:val="20"/>
        </w:rPr>
        <w:t>Blockage of lymph</w:t>
      </w:r>
      <w:r>
        <w:rPr>
          <w:color w:val="231F20"/>
          <w:spacing w:val="19"/>
          <w:sz w:val="20"/>
        </w:rPr>
        <w:t> </w:t>
      </w:r>
      <w:r>
        <w:rPr>
          <w:color w:val="231F20"/>
          <w:sz w:val="20"/>
        </w:rPr>
        <w:t>return</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w w:val="105"/>
          <w:sz w:val="20"/>
        </w:rPr>
        <w:t>Cancer</w:t>
      </w:r>
    </w:p>
    <w:p>
      <w:pPr>
        <w:pStyle w:val="ListParagraph"/>
        <w:numPr>
          <w:ilvl w:val="4"/>
          <w:numId w:val="2"/>
        </w:numPr>
        <w:tabs>
          <w:tab w:pos="1180" w:val="left" w:leader="none"/>
        </w:tabs>
        <w:spacing w:line="240" w:lineRule="auto" w:before="11" w:after="0"/>
        <w:ind w:left="1179" w:right="0" w:hanging="281"/>
        <w:jc w:val="left"/>
        <w:rPr>
          <w:sz w:val="20"/>
        </w:rPr>
      </w:pPr>
      <w:r>
        <w:rPr>
          <w:color w:val="231F20"/>
          <w:sz w:val="20"/>
        </w:rPr>
        <w:t>Infections (e.g., filaria</w:t>
      </w:r>
      <w:r>
        <w:rPr>
          <w:color w:val="231F20"/>
          <w:spacing w:val="19"/>
          <w:sz w:val="20"/>
        </w:rPr>
        <w:t> </w:t>
      </w:r>
      <w:r>
        <w:rPr>
          <w:color w:val="231F20"/>
          <w:sz w:val="20"/>
        </w:rPr>
        <w:t>nematodes)</w:t>
      </w:r>
    </w:p>
    <w:p>
      <w:pPr>
        <w:pStyle w:val="ListParagraph"/>
        <w:numPr>
          <w:ilvl w:val="4"/>
          <w:numId w:val="2"/>
        </w:numPr>
        <w:tabs>
          <w:tab w:pos="1180" w:val="left" w:leader="none"/>
        </w:tabs>
        <w:spacing w:line="240" w:lineRule="auto" w:before="10" w:after="0"/>
        <w:ind w:left="1179" w:right="0" w:hanging="281"/>
        <w:jc w:val="left"/>
        <w:rPr>
          <w:sz w:val="20"/>
        </w:rPr>
      </w:pPr>
      <w:r>
        <w:rPr>
          <w:color w:val="231F20"/>
          <w:sz w:val="20"/>
        </w:rPr>
        <w:t>Surgery</w:t>
      </w:r>
    </w:p>
    <w:p>
      <w:pPr>
        <w:pStyle w:val="ListParagraph"/>
        <w:numPr>
          <w:ilvl w:val="4"/>
          <w:numId w:val="2"/>
        </w:numPr>
        <w:tabs>
          <w:tab w:pos="1180" w:val="left" w:leader="none"/>
        </w:tabs>
        <w:spacing w:line="249" w:lineRule="auto" w:before="10" w:after="0"/>
        <w:ind w:left="1179" w:right="1079" w:hanging="280"/>
        <w:jc w:val="left"/>
        <w:rPr>
          <w:sz w:val="20"/>
        </w:rPr>
      </w:pPr>
      <w:r>
        <w:rPr>
          <w:color w:val="231F20"/>
          <w:sz w:val="20"/>
        </w:rPr>
        <w:t>Congenital absence or abnormality of </w:t>
      </w:r>
      <w:r>
        <w:rPr>
          <w:color w:val="231F20"/>
          <w:spacing w:val="-3"/>
          <w:sz w:val="20"/>
        </w:rPr>
        <w:t>lym­ </w:t>
      </w:r>
      <w:r>
        <w:rPr>
          <w:color w:val="231F20"/>
          <w:sz w:val="20"/>
        </w:rPr>
        <w:t>phatic</w:t>
      </w:r>
      <w:r>
        <w:rPr>
          <w:color w:val="231F20"/>
          <w:spacing w:val="6"/>
          <w:sz w:val="20"/>
        </w:rPr>
        <w:t> </w:t>
      </w:r>
      <w:r>
        <w:rPr>
          <w:color w:val="231F20"/>
          <w:sz w:val="20"/>
        </w:rPr>
        <w:t>vessels</w:t>
      </w:r>
    </w:p>
    <w:p>
      <w:pPr>
        <w:pStyle w:val="BodyText"/>
        <w:spacing w:line="249" w:lineRule="auto" w:before="241"/>
        <w:ind w:left="319" w:right="1077" w:hanging="1"/>
        <w:jc w:val="both"/>
      </w:pPr>
      <w:r>
        <w:rPr>
          <w:rFonts w:ascii="Trebuchet MS" w:hAnsi="Trebuchet MS"/>
          <w:b/>
          <w:color w:val="231F20"/>
          <w:sz w:val="19"/>
        </w:rPr>
        <w:t>Edema Caused by Heart Failure. </w:t>
      </w:r>
      <w:r>
        <w:rPr>
          <w:color w:val="231F20"/>
        </w:rPr>
        <w:t>One of the most serious and common causes of edema is heart failure. In heart failure, the heart fails to pump blood normally from the veins into the arteries, which raises venous pressure and capillary pressure, causing increased capillary filtra­ tion. In addition, the arterial pressure tends to fall, causing decreased excretion of salt and water by the kidneys, which causes still more edema. Also, blood flow to the kidneys is reduced in persons with heart failure, and this reduced blood flow stimulates secretion of renin, causing increased formation of angiotensin II and increased secretion of aldosterone, both of which cause additional salt and water retention by the kidneys. Thus, in persons with untreated heart failure, all these factors acting together cause serious generalized extracellular edema.</w:t>
      </w:r>
    </w:p>
    <w:p>
      <w:pPr>
        <w:pStyle w:val="BodyText"/>
        <w:spacing w:line="249" w:lineRule="auto" w:before="12"/>
        <w:ind w:left="319" w:right="1078" w:firstLine="240"/>
        <w:jc w:val="both"/>
      </w:pPr>
      <w:r>
        <w:rPr>
          <w:color w:val="231F20"/>
        </w:rPr>
        <w:t>In patients with left­sided heart failure but without significant failure of the right side of the heart, blood </w:t>
      </w:r>
      <w:r>
        <w:rPr>
          <w:color w:val="231F20"/>
          <w:spacing w:val="-6"/>
        </w:rPr>
        <w:t>is </w:t>
      </w:r>
      <w:r>
        <w:rPr>
          <w:color w:val="231F20"/>
        </w:rPr>
        <w:t>pumped into the lungs normally by the right side of the heart but cannot escape easily from the pulmonary </w:t>
      </w:r>
      <w:r>
        <w:rPr>
          <w:color w:val="231F20"/>
          <w:spacing w:val="-3"/>
        </w:rPr>
        <w:t>veins </w:t>
      </w:r>
      <w:r>
        <w:rPr>
          <w:color w:val="231F20"/>
        </w:rPr>
        <w:t>to the left side of the heart because this part of the heart has been greatly weakened. Consequently, all the pulmo­ nary vascular pressures, including pulmonary capillary pressure, rise far above normal, causing serious and </w:t>
      </w:r>
      <w:r>
        <w:rPr>
          <w:color w:val="231F20"/>
          <w:spacing w:val="-4"/>
        </w:rPr>
        <w:t>life­ </w:t>
      </w:r>
      <w:r>
        <w:rPr>
          <w:color w:val="231F20"/>
        </w:rPr>
        <w:t>threatening pulmonary edema. When untreated, </w:t>
      </w:r>
      <w:r>
        <w:rPr>
          <w:color w:val="231F20"/>
          <w:spacing w:val="-3"/>
        </w:rPr>
        <w:t>fluid </w:t>
      </w:r>
      <w:r>
        <w:rPr>
          <w:color w:val="231F20"/>
        </w:rPr>
        <w:t>accumulation in the lungs can rapidly progress, </w:t>
      </w:r>
      <w:r>
        <w:rPr>
          <w:color w:val="231F20"/>
          <w:spacing w:val="-3"/>
        </w:rPr>
        <w:t>causing </w:t>
      </w:r>
      <w:r>
        <w:rPr>
          <w:color w:val="231F20"/>
        </w:rPr>
        <w:t>death within a few</w:t>
      </w:r>
      <w:r>
        <w:rPr>
          <w:color w:val="231F20"/>
          <w:spacing w:val="28"/>
        </w:rPr>
        <w:t> </w:t>
      </w:r>
      <w:r>
        <w:rPr>
          <w:color w:val="231F20"/>
        </w:rPr>
        <w:t>hours.</w:t>
      </w:r>
    </w:p>
    <w:p>
      <w:pPr>
        <w:pStyle w:val="BodyText"/>
        <w:spacing w:before="5"/>
        <w:rPr>
          <w:sz w:val="22"/>
        </w:rPr>
      </w:pPr>
    </w:p>
    <w:p>
      <w:pPr>
        <w:pStyle w:val="BodyText"/>
        <w:spacing w:line="249" w:lineRule="auto"/>
        <w:ind w:left="319" w:right="1077"/>
        <w:jc w:val="both"/>
      </w:pPr>
      <w:r>
        <w:rPr>
          <w:rFonts w:ascii="Trebuchet MS"/>
          <w:b/>
          <w:color w:val="231F20"/>
          <w:w w:val="105"/>
          <w:sz w:val="19"/>
        </w:rPr>
        <w:t>Edema</w:t>
      </w:r>
      <w:r>
        <w:rPr>
          <w:rFonts w:ascii="Trebuchet MS"/>
          <w:b/>
          <w:color w:val="231F20"/>
          <w:spacing w:val="-41"/>
          <w:w w:val="105"/>
          <w:sz w:val="19"/>
        </w:rPr>
        <w:t> </w:t>
      </w:r>
      <w:r>
        <w:rPr>
          <w:rFonts w:ascii="Trebuchet MS"/>
          <w:b/>
          <w:color w:val="231F20"/>
          <w:w w:val="105"/>
          <w:sz w:val="19"/>
        </w:rPr>
        <w:t>Caused</w:t>
      </w:r>
      <w:r>
        <w:rPr>
          <w:rFonts w:ascii="Trebuchet MS"/>
          <w:b/>
          <w:color w:val="231F20"/>
          <w:spacing w:val="-40"/>
          <w:w w:val="105"/>
          <w:sz w:val="19"/>
        </w:rPr>
        <w:t> </w:t>
      </w:r>
      <w:r>
        <w:rPr>
          <w:rFonts w:ascii="Trebuchet MS"/>
          <w:b/>
          <w:color w:val="231F20"/>
          <w:w w:val="105"/>
          <w:sz w:val="19"/>
        </w:rPr>
        <w:t>by</w:t>
      </w:r>
      <w:r>
        <w:rPr>
          <w:rFonts w:ascii="Trebuchet MS"/>
          <w:b/>
          <w:color w:val="231F20"/>
          <w:spacing w:val="-40"/>
          <w:w w:val="105"/>
          <w:sz w:val="19"/>
        </w:rPr>
        <w:t> </w:t>
      </w:r>
      <w:r>
        <w:rPr>
          <w:rFonts w:ascii="Trebuchet MS"/>
          <w:b/>
          <w:color w:val="231F20"/>
          <w:w w:val="105"/>
          <w:sz w:val="19"/>
        </w:rPr>
        <w:t>Decreased</w:t>
      </w:r>
      <w:r>
        <w:rPr>
          <w:rFonts w:ascii="Trebuchet MS"/>
          <w:b/>
          <w:color w:val="231F20"/>
          <w:spacing w:val="-40"/>
          <w:w w:val="105"/>
          <w:sz w:val="19"/>
        </w:rPr>
        <w:t> </w:t>
      </w:r>
      <w:r>
        <w:rPr>
          <w:rFonts w:ascii="Trebuchet MS"/>
          <w:b/>
          <w:color w:val="231F20"/>
          <w:w w:val="105"/>
          <w:sz w:val="19"/>
        </w:rPr>
        <w:t>Kidney</w:t>
      </w:r>
      <w:r>
        <w:rPr>
          <w:rFonts w:ascii="Trebuchet MS"/>
          <w:b/>
          <w:color w:val="231F20"/>
          <w:spacing w:val="-41"/>
          <w:w w:val="105"/>
          <w:sz w:val="19"/>
        </w:rPr>
        <w:t> </w:t>
      </w:r>
      <w:r>
        <w:rPr>
          <w:rFonts w:ascii="Trebuchet MS"/>
          <w:b/>
          <w:color w:val="231F20"/>
          <w:w w:val="105"/>
          <w:sz w:val="19"/>
        </w:rPr>
        <w:t>Excretion</w:t>
      </w:r>
      <w:r>
        <w:rPr>
          <w:rFonts w:ascii="Trebuchet MS"/>
          <w:b/>
          <w:color w:val="231F20"/>
          <w:spacing w:val="-40"/>
          <w:w w:val="105"/>
          <w:sz w:val="19"/>
        </w:rPr>
        <w:t> </w:t>
      </w:r>
      <w:r>
        <w:rPr>
          <w:rFonts w:ascii="Trebuchet MS"/>
          <w:b/>
          <w:color w:val="231F20"/>
          <w:w w:val="105"/>
          <w:sz w:val="19"/>
        </w:rPr>
        <w:t>of</w:t>
      </w:r>
      <w:r>
        <w:rPr>
          <w:rFonts w:ascii="Trebuchet MS"/>
          <w:b/>
          <w:color w:val="231F20"/>
          <w:spacing w:val="-40"/>
          <w:w w:val="105"/>
          <w:sz w:val="19"/>
        </w:rPr>
        <w:t> </w:t>
      </w:r>
      <w:r>
        <w:rPr>
          <w:rFonts w:ascii="Trebuchet MS"/>
          <w:b/>
          <w:color w:val="231F20"/>
          <w:w w:val="105"/>
          <w:sz w:val="19"/>
        </w:rPr>
        <w:t>Salt and </w:t>
      </w:r>
      <w:r>
        <w:rPr>
          <w:rFonts w:ascii="Trebuchet MS"/>
          <w:b/>
          <w:color w:val="231F20"/>
          <w:spacing w:val="-5"/>
          <w:w w:val="105"/>
          <w:sz w:val="19"/>
        </w:rPr>
        <w:t>Water. </w:t>
      </w:r>
      <w:r>
        <w:rPr>
          <w:color w:val="231F20"/>
          <w:w w:val="105"/>
        </w:rPr>
        <w:t>Most sodium chloride added to the blood remains</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extracellular</w:t>
      </w:r>
      <w:r>
        <w:rPr>
          <w:color w:val="231F20"/>
          <w:spacing w:val="-17"/>
          <w:w w:val="105"/>
        </w:rPr>
        <w:t> </w:t>
      </w:r>
      <w:r>
        <w:rPr>
          <w:color w:val="231F20"/>
          <w:w w:val="105"/>
        </w:rPr>
        <w:t>compartment,</w:t>
      </w:r>
      <w:r>
        <w:rPr>
          <w:color w:val="231F20"/>
          <w:spacing w:val="-17"/>
          <w:w w:val="105"/>
        </w:rPr>
        <w:t> </w:t>
      </w:r>
      <w:r>
        <w:rPr>
          <w:color w:val="231F20"/>
          <w:w w:val="105"/>
        </w:rPr>
        <w:t>and</w:t>
      </w:r>
      <w:r>
        <w:rPr>
          <w:color w:val="231F20"/>
          <w:spacing w:val="-17"/>
          <w:w w:val="105"/>
        </w:rPr>
        <w:t> </w:t>
      </w:r>
      <w:r>
        <w:rPr>
          <w:color w:val="231F20"/>
          <w:w w:val="105"/>
        </w:rPr>
        <w:t>only</w:t>
      </w:r>
      <w:r>
        <w:rPr>
          <w:color w:val="231F20"/>
          <w:spacing w:val="-17"/>
          <w:w w:val="105"/>
        </w:rPr>
        <w:t> </w:t>
      </w:r>
      <w:r>
        <w:rPr>
          <w:color w:val="231F20"/>
          <w:w w:val="105"/>
        </w:rPr>
        <w:t>small amounts</w:t>
      </w:r>
      <w:r>
        <w:rPr>
          <w:color w:val="231F20"/>
          <w:spacing w:val="-24"/>
          <w:w w:val="105"/>
        </w:rPr>
        <w:t> </w:t>
      </w:r>
      <w:r>
        <w:rPr>
          <w:color w:val="231F20"/>
          <w:w w:val="105"/>
        </w:rPr>
        <w:t>enter</w:t>
      </w:r>
      <w:r>
        <w:rPr>
          <w:color w:val="231F20"/>
          <w:spacing w:val="-24"/>
          <w:w w:val="105"/>
        </w:rPr>
        <w:t> </w:t>
      </w:r>
      <w:r>
        <w:rPr>
          <w:color w:val="231F20"/>
          <w:w w:val="105"/>
        </w:rPr>
        <w:t>the</w:t>
      </w:r>
      <w:r>
        <w:rPr>
          <w:color w:val="231F20"/>
          <w:spacing w:val="-23"/>
          <w:w w:val="105"/>
        </w:rPr>
        <w:t> </w:t>
      </w:r>
      <w:r>
        <w:rPr>
          <w:color w:val="231F20"/>
          <w:w w:val="105"/>
        </w:rPr>
        <w:t>cells.</w:t>
      </w:r>
      <w:r>
        <w:rPr>
          <w:color w:val="231F20"/>
          <w:spacing w:val="-24"/>
          <w:w w:val="105"/>
        </w:rPr>
        <w:t> </w:t>
      </w:r>
      <w:r>
        <w:rPr>
          <w:color w:val="231F20"/>
          <w:w w:val="105"/>
        </w:rPr>
        <w:t>Therefore,</w:t>
      </w:r>
      <w:r>
        <w:rPr>
          <w:color w:val="231F20"/>
          <w:spacing w:val="-24"/>
          <w:w w:val="105"/>
        </w:rPr>
        <w:t> </w:t>
      </w:r>
      <w:r>
        <w:rPr>
          <w:color w:val="231F20"/>
          <w:w w:val="105"/>
        </w:rPr>
        <w:t>in</w:t>
      </w:r>
      <w:r>
        <w:rPr>
          <w:color w:val="231F20"/>
          <w:spacing w:val="-23"/>
          <w:w w:val="105"/>
        </w:rPr>
        <w:t> </w:t>
      </w:r>
      <w:r>
        <w:rPr>
          <w:color w:val="231F20"/>
          <w:w w:val="105"/>
        </w:rPr>
        <w:t>kidney</w:t>
      </w:r>
      <w:r>
        <w:rPr>
          <w:color w:val="231F20"/>
          <w:spacing w:val="-24"/>
          <w:w w:val="105"/>
        </w:rPr>
        <w:t> </w:t>
      </w:r>
      <w:r>
        <w:rPr>
          <w:color w:val="231F20"/>
          <w:w w:val="105"/>
        </w:rPr>
        <w:t>diseases</w:t>
      </w:r>
      <w:r>
        <w:rPr>
          <w:color w:val="231F20"/>
          <w:spacing w:val="-23"/>
          <w:w w:val="105"/>
        </w:rPr>
        <w:t> </w:t>
      </w:r>
      <w:r>
        <w:rPr>
          <w:color w:val="231F20"/>
          <w:w w:val="105"/>
        </w:rPr>
        <w:t>that compromise urinary excretion of salt and </w:t>
      </w:r>
      <w:r>
        <w:rPr>
          <w:color w:val="231F20"/>
          <w:spacing w:val="-3"/>
          <w:w w:val="105"/>
        </w:rPr>
        <w:t>water, </w:t>
      </w:r>
      <w:r>
        <w:rPr>
          <w:color w:val="231F20"/>
          <w:w w:val="105"/>
        </w:rPr>
        <w:t>large amounts of sodium chloride and water are added to the extracellular</w:t>
      </w:r>
      <w:r>
        <w:rPr>
          <w:color w:val="231F20"/>
          <w:spacing w:val="-12"/>
          <w:w w:val="105"/>
        </w:rPr>
        <w:t> </w:t>
      </w:r>
      <w:r>
        <w:rPr>
          <w:color w:val="231F20"/>
          <w:w w:val="105"/>
        </w:rPr>
        <w:t>fluid.</w:t>
      </w:r>
      <w:r>
        <w:rPr>
          <w:color w:val="231F20"/>
          <w:spacing w:val="-12"/>
          <w:w w:val="105"/>
        </w:rPr>
        <w:t> </w:t>
      </w:r>
      <w:r>
        <w:rPr>
          <w:color w:val="231F20"/>
          <w:w w:val="105"/>
        </w:rPr>
        <w:t>Most</w:t>
      </w:r>
      <w:r>
        <w:rPr>
          <w:color w:val="231F20"/>
          <w:spacing w:val="-12"/>
          <w:w w:val="105"/>
        </w:rPr>
        <w:t> </w:t>
      </w:r>
      <w:r>
        <w:rPr>
          <w:color w:val="231F20"/>
          <w:w w:val="105"/>
        </w:rPr>
        <w:t>of</w:t>
      </w:r>
      <w:r>
        <w:rPr>
          <w:color w:val="231F20"/>
          <w:spacing w:val="-12"/>
          <w:w w:val="105"/>
        </w:rPr>
        <w:t> </w:t>
      </w:r>
      <w:r>
        <w:rPr>
          <w:color w:val="231F20"/>
          <w:w w:val="105"/>
        </w:rPr>
        <w:t>this</w:t>
      </w:r>
      <w:r>
        <w:rPr>
          <w:color w:val="231F20"/>
          <w:spacing w:val="-13"/>
          <w:w w:val="105"/>
        </w:rPr>
        <w:t> </w:t>
      </w:r>
      <w:r>
        <w:rPr>
          <w:color w:val="231F20"/>
          <w:w w:val="105"/>
        </w:rPr>
        <w:t>salt</w:t>
      </w:r>
      <w:r>
        <w:rPr>
          <w:color w:val="231F20"/>
          <w:spacing w:val="-12"/>
          <w:w w:val="105"/>
        </w:rPr>
        <w:t> </w:t>
      </w:r>
      <w:r>
        <w:rPr>
          <w:color w:val="231F20"/>
          <w:w w:val="105"/>
        </w:rPr>
        <w:t>and</w:t>
      </w:r>
      <w:r>
        <w:rPr>
          <w:color w:val="231F20"/>
          <w:spacing w:val="-12"/>
          <w:w w:val="105"/>
        </w:rPr>
        <w:t> </w:t>
      </w:r>
      <w:r>
        <w:rPr>
          <w:color w:val="231F20"/>
          <w:w w:val="105"/>
        </w:rPr>
        <w:t>water</w:t>
      </w:r>
      <w:r>
        <w:rPr>
          <w:color w:val="231F20"/>
          <w:spacing w:val="-12"/>
          <w:w w:val="105"/>
        </w:rPr>
        <w:t> </w:t>
      </w:r>
      <w:r>
        <w:rPr>
          <w:color w:val="231F20"/>
          <w:w w:val="105"/>
        </w:rPr>
        <w:t>leaks</w:t>
      </w:r>
      <w:r>
        <w:rPr>
          <w:color w:val="231F20"/>
          <w:spacing w:val="-12"/>
          <w:w w:val="105"/>
        </w:rPr>
        <w:t> </w:t>
      </w:r>
      <w:r>
        <w:rPr>
          <w:color w:val="231F20"/>
          <w:w w:val="105"/>
        </w:rPr>
        <w:t>from</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74"/>
          <w:footerReference w:type="even" r:id="rId75"/>
          <w:footerReference w:type="default" r:id="rId76"/>
          <w:pgSz w:w="12240" w:h="15660"/>
          <w:pgMar w:header="0" w:footer="567" w:top="720" w:bottom="760" w:left="0" w:right="0"/>
          <w:pgNumType w:start="318"/>
        </w:sectPr>
      </w:pPr>
    </w:p>
    <w:p>
      <w:pPr>
        <w:pStyle w:val="BodyText"/>
        <w:spacing w:line="249" w:lineRule="auto" w:before="99"/>
        <w:ind w:left="1080"/>
        <w:jc w:val="both"/>
      </w:pPr>
      <w:r>
        <w:rPr>
          <w:color w:val="231F20"/>
        </w:rPr>
        <w:t>the blood into the interstitial spaces, but some </w:t>
      </w:r>
      <w:r>
        <w:rPr>
          <w:color w:val="231F20"/>
          <w:spacing w:val="-3"/>
        </w:rPr>
        <w:t>remains     </w:t>
      </w:r>
      <w:r>
        <w:rPr>
          <w:color w:val="231F20"/>
        </w:rPr>
        <w:t>in the blood. The main effects of this are (1) widespread increases in interstitial fluid volume (extracellular </w:t>
      </w:r>
      <w:r>
        <w:rPr>
          <w:color w:val="231F20"/>
          <w:spacing w:val="-3"/>
        </w:rPr>
        <w:t>edema) </w:t>
      </w:r>
      <w:r>
        <w:rPr>
          <w:color w:val="231F20"/>
        </w:rPr>
        <w:t>and (2) hypertension because of the increase in </w:t>
      </w:r>
      <w:r>
        <w:rPr>
          <w:color w:val="231F20"/>
          <w:spacing w:val="-3"/>
        </w:rPr>
        <w:t>blood </w:t>
      </w:r>
      <w:r>
        <w:rPr>
          <w:color w:val="231F20"/>
        </w:rPr>
        <w:t>volume, as explained in Chapter 19. As an example, </w:t>
      </w:r>
      <w:r>
        <w:rPr>
          <w:color w:val="231F20"/>
          <w:spacing w:val="-7"/>
        </w:rPr>
        <w:t>in </w:t>
      </w:r>
      <w:r>
        <w:rPr>
          <w:color w:val="231F20"/>
        </w:rPr>
        <w:t>children who have acute glomerulonephritis, in which </w:t>
      </w:r>
      <w:r>
        <w:rPr>
          <w:color w:val="231F20"/>
          <w:spacing w:val="-7"/>
        </w:rPr>
        <w:t>the </w:t>
      </w:r>
      <w:r>
        <w:rPr>
          <w:color w:val="231F20"/>
        </w:rPr>
        <w:t>renal glomeruli are injured by inflammation and </w:t>
      </w:r>
      <w:r>
        <w:rPr>
          <w:color w:val="231F20"/>
          <w:spacing w:val="-3"/>
        </w:rPr>
        <w:t>therefore </w:t>
      </w:r>
      <w:r>
        <w:rPr>
          <w:color w:val="231F20"/>
        </w:rPr>
        <w:t>fail to filter adequate amounts of fluid, serious extracel­ lular fluid edema also develops; along with the edema, severe hypertension usually</w:t>
      </w:r>
      <w:r>
        <w:rPr>
          <w:color w:val="231F20"/>
          <w:spacing w:val="21"/>
        </w:rPr>
        <w:t> </w:t>
      </w:r>
      <w:r>
        <w:rPr>
          <w:color w:val="231F20"/>
        </w:rPr>
        <w:t>develops.</w:t>
      </w:r>
    </w:p>
    <w:p>
      <w:pPr>
        <w:pStyle w:val="BodyText"/>
        <w:spacing w:line="249" w:lineRule="auto" w:before="249"/>
        <w:ind w:left="1080"/>
        <w:jc w:val="both"/>
      </w:pPr>
      <w:r>
        <w:rPr/>
        <w:pict>
          <v:rect style="position:absolute;margin-left:0pt;margin-top:20.435963pt;width:36pt;height:24pt;mso-position-horizontal-relative:page;mso-position-vertical-relative:paragraph;z-index:251777024" filled="true" fillcolor="#e8dac8" stroked="false">
            <v:fill type="solid"/>
            <w10:wrap type="none"/>
          </v:rect>
        </w:pict>
      </w:r>
      <w:r>
        <w:rPr>
          <w:rFonts w:ascii="Trebuchet MS"/>
          <w:b/>
          <w:color w:val="231F20"/>
          <w:sz w:val="19"/>
        </w:rPr>
        <w:t>Edema Caused by Decreased Plasma Proteins. </w:t>
      </w:r>
      <w:r>
        <w:rPr>
          <w:color w:val="231F20"/>
          <w:spacing w:val="-4"/>
        </w:rPr>
        <w:t>Failure </w:t>
      </w:r>
      <w:r>
        <w:rPr>
          <w:color w:val="231F20"/>
        </w:rPr>
        <w:t>to produce normal amounts of proteins or leakage of proteins from the plasma causes the plasma </w:t>
      </w:r>
      <w:r>
        <w:rPr>
          <w:color w:val="231F20"/>
          <w:spacing w:val="-4"/>
        </w:rPr>
        <w:t>colloid </w:t>
      </w:r>
      <w:r>
        <w:rPr>
          <w:color w:val="231F20"/>
        </w:rPr>
        <w:t>osmotic pressure to fall. This leads to increased capillary filtration throughout the body and extracellular edema.</w:t>
      </w:r>
    </w:p>
    <w:p>
      <w:pPr>
        <w:pStyle w:val="BodyText"/>
        <w:spacing w:line="249" w:lineRule="auto" w:before="4"/>
        <w:ind w:left="1080" w:firstLine="240"/>
        <w:jc w:val="both"/>
      </w:pPr>
      <w:r>
        <w:rPr>
          <w:color w:val="231F20"/>
          <w:w w:val="105"/>
        </w:rPr>
        <w:t>One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most</w:t>
      </w:r>
      <w:r>
        <w:rPr>
          <w:color w:val="231F20"/>
          <w:spacing w:val="-17"/>
          <w:w w:val="105"/>
        </w:rPr>
        <w:t> </w:t>
      </w:r>
      <w:r>
        <w:rPr>
          <w:color w:val="231F20"/>
          <w:w w:val="105"/>
        </w:rPr>
        <w:t>important</w:t>
      </w:r>
      <w:r>
        <w:rPr>
          <w:color w:val="231F20"/>
          <w:spacing w:val="-18"/>
          <w:w w:val="105"/>
        </w:rPr>
        <w:t> </w:t>
      </w:r>
      <w:r>
        <w:rPr>
          <w:color w:val="231F20"/>
          <w:w w:val="105"/>
        </w:rPr>
        <w:t>causes</w:t>
      </w:r>
      <w:r>
        <w:rPr>
          <w:color w:val="231F20"/>
          <w:spacing w:val="-18"/>
          <w:w w:val="105"/>
        </w:rPr>
        <w:t> </w:t>
      </w:r>
      <w:r>
        <w:rPr>
          <w:color w:val="231F20"/>
          <w:w w:val="105"/>
        </w:rPr>
        <w:t>of</w:t>
      </w:r>
      <w:r>
        <w:rPr>
          <w:color w:val="231F20"/>
          <w:spacing w:val="-18"/>
          <w:w w:val="105"/>
        </w:rPr>
        <w:t> </w:t>
      </w:r>
      <w:r>
        <w:rPr>
          <w:color w:val="231F20"/>
          <w:w w:val="105"/>
        </w:rPr>
        <w:t>decreased</w:t>
      </w:r>
      <w:r>
        <w:rPr>
          <w:color w:val="231F20"/>
          <w:spacing w:val="-17"/>
          <w:w w:val="105"/>
        </w:rPr>
        <w:t> </w:t>
      </w:r>
      <w:r>
        <w:rPr>
          <w:color w:val="231F20"/>
          <w:w w:val="105"/>
        </w:rPr>
        <w:t>plasma protein concentration is loss of proteins in the </w:t>
      </w:r>
      <w:r>
        <w:rPr>
          <w:color w:val="231F20"/>
          <w:spacing w:val="-3"/>
          <w:w w:val="105"/>
        </w:rPr>
        <w:t>urine     </w:t>
      </w:r>
      <w:r>
        <w:rPr>
          <w:color w:val="231F20"/>
          <w:w w:val="105"/>
        </w:rPr>
        <w:t>in certain kidney diseases, a condition referred to as </w:t>
      </w:r>
      <w:r>
        <w:rPr>
          <w:i/>
          <w:color w:val="231F20"/>
          <w:w w:val="105"/>
        </w:rPr>
        <w:t>nephrotic</w:t>
      </w:r>
      <w:r>
        <w:rPr>
          <w:i/>
          <w:color w:val="231F20"/>
          <w:spacing w:val="-16"/>
          <w:w w:val="105"/>
        </w:rPr>
        <w:t> </w:t>
      </w:r>
      <w:r>
        <w:rPr>
          <w:i/>
          <w:color w:val="231F20"/>
          <w:w w:val="105"/>
        </w:rPr>
        <w:t>syndrome.</w:t>
      </w:r>
      <w:r>
        <w:rPr>
          <w:i/>
          <w:color w:val="231F20"/>
          <w:spacing w:val="-16"/>
          <w:w w:val="105"/>
        </w:rPr>
        <w:t> </w:t>
      </w:r>
      <w:r>
        <w:rPr>
          <w:color w:val="231F20"/>
          <w:w w:val="105"/>
        </w:rPr>
        <w:t>Multiple</w:t>
      </w:r>
      <w:r>
        <w:rPr>
          <w:color w:val="231F20"/>
          <w:spacing w:val="-15"/>
          <w:w w:val="105"/>
        </w:rPr>
        <w:t> </w:t>
      </w:r>
      <w:r>
        <w:rPr>
          <w:color w:val="231F20"/>
          <w:w w:val="105"/>
        </w:rPr>
        <w:t>types</w:t>
      </w:r>
      <w:r>
        <w:rPr>
          <w:color w:val="231F20"/>
          <w:spacing w:val="-16"/>
          <w:w w:val="105"/>
        </w:rPr>
        <w:t> </w:t>
      </w:r>
      <w:r>
        <w:rPr>
          <w:color w:val="231F20"/>
          <w:w w:val="105"/>
        </w:rPr>
        <w:t>of</w:t>
      </w:r>
      <w:r>
        <w:rPr>
          <w:color w:val="231F20"/>
          <w:spacing w:val="-15"/>
          <w:w w:val="105"/>
        </w:rPr>
        <w:t> </w:t>
      </w:r>
      <w:r>
        <w:rPr>
          <w:color w:val="231F20"/>
          <w:w w:val="105"/>
        </w:rPr>
        <w:t>renal</w:t>
      </w:r>
      <w:r>
        <w:rPr>
          <w:color w:val="231F20"/>
          <w:spacing w:val="-16"/>
          <w:w w:val="105"/>
        </w:rPr>
        <w:t> </w:t>
      </w:r>
      <w:r>
        <w:rPr>
          <w:color w:val="231F20"/>
          <w:w w:val="105"/>
        </w:rPr>
        <w:t>diseases</w:t>
      </w:r>
      <w:r>
        <w:rPr>
          <w:color w:val="231F20"/>
          <w:spacing w:val="-15"/>
          <w:w w:val="105"/>
        </w:rPr>
        <w:t> </w:t>
      </w:r>
      <w:r>
        <w:rPr>
          <w:color w:val="231F20"/>
          <w:w w:val="105"/>
        </w:rPr>
        <w:t>can damage the membranes of the renal glomeruli, </w:t>
      </w:r>
      <w:r>
        <w:rPr>
          <w:color w:val="231F20"/>
          <w:spacing w:val="-4"/>
          <w:w w:val="105"/>
        </w:rPr>
        <w:t>causing </w:t>
      </w:r>
      <w:r>
        <w:rPr>
          <w:color w:val="231F20"/>
          <w:w w:val="105"/>
        </w:rPr>
        <w:t>the membranes to become leaky to the plasma proteins and often allowing large quantities of these proteins to pass</w:t>
      </w:r>
      <w:r>
        <w:rPr>
          <w:color w:val="231F20"/>
          <w:spacing w:val="-4"/>
          <w:w w:val="105"/>
        </w:rPr>
        <w:t> </w:t>
      </w:r>
      <w:r>
        <w:rPr>
          <w:color w:val="231F20"/>
          <w:w w:val="105"/>
        </w:rPr>
        <w:t>into</w:t>
      </w:r>
      <w:r>
        <w:rPr>
          <w:color w:val="231F20"/>
          <w:spacing w:val="-4"/>
          <w:w w:val="105"/>
        </w:rPr>
        <w:t> </w:t>
      </w:r>
      <w:r>
        <w:rPr>
          <w:color w:val="231F20"/>
          <w:w w:val="105"/>
        </w:rPr>
        <w:t>the</w:t>
      </w:r>
      <w:r>
        <w:rPr>
          <w:color w:val="231F20"/>
          <w:spacing w:val="-4"/>
          <w:w w:val="105"/>
        </w:rPr>
        <w:t> </w:t>
      </w:r>
      <w:r>
        <w:rPr>
          <w:color w:val="231F20"/>
          <w:w w:val="105"/>
        </w:rPr>
        <w:t>urine.</w:t>
      </w:r>
      <w:r>
        <w:rPr>
          <w:color w:val="231F20"/>
          <w:spacing w:val="-4"/>
          <w:w w:val="105"/>
        </w:rPr>
        <w:t> </w:t>
      </w:r>
      <w:r>
        <w:rPr>
          <w:color w:val="231F20"/>
          <w:w w:val="105"/>
        </w:rPr>
        <w:t>When</w:t>
      </w:r>
      <w:r>
        <w:rPr>
          <w:color w:val="231F20"/>
          <w:spacing w:val="-3"/>
          <w:w w:val="105"/>
        </w:rPr>
        <w:t> </w:t>
      </w:r>
      <w:r>
        <w:rPr>
          <w:color w:val="231F20"/>
          <w:w w:val="105"/>
        </w:rPr>
        <w:t>this</w:t>
      </w:r>
      <w:r>
        <w:rPr>
          <w:color w:val="231F20"/>
          <w:spacing w:val="-4"/>
          <w:w w:val="105"/>
        </w:rPr>
        <w:t> </w:t>
      </w:r>
      <w:r>
        <w:rPr>
          <w:color w:val="231F20"/>
          <w:w w:val="105"/>
        </w:rPr>
        <w:t>loss</w:t>
      </w:r>
      <w:r>
        <w:rPr>
          <w:color w:val="231F20"/>
          <w:spacing w:val="-4"/>
          <w:w w:val="105"/>
        </w:rPr>
        <w:t> </w:t>
      </w:r>
      <w:r>
        <w:rPr>
          <w:color w:val="231F20"/>
          <w:w w:val="105"/>
        </w:rPr>
        <w:t>exceeds</w:t>
      </w:r>
      <w:r>
        <w:rPr>
          <w:color w:val="231F20"/>
          <w:spacing w:val="-4"/>
          <w:w w:val="105"/>
        </w:rPr>
        <w:t> </w:t>
      </w:r>
      <w:r>
        <w:rPr>
          <w:color w:val="231F20"/>
          <w:w w:val="105"/>
        </w:rPr>
        <w:t>the</w:t>
      </w:r>
      <w:r>
        <w:rPr>
          <w:color w:val="231F20"/>
          <w:spacing w:val="-4"/>
          <w:w w:val="105"/>
        </w:rPr>
        <w:t> </w:t>
      </w:r>
      <w:r>
        <w:rPr>
          <w:color w:val="231F20"/>
          <w:w w:val="105"/>
        </w:rPr>
        <w:t>ability</w:t>
      </w:r>
      <w:r>
        <w:rPr>
          <w:color w:val="231F20"/>
          <w:spacing w:val="-3"/>
          <w:w w:val="105"/>
        </w:rPr>
        <w:t> </w:t>
      </w:r>
      <w:r>
        <w:rPr>
          <w:color w:val="231F20"/>
          <w:spacing w:val="-8"/>
          <w:w w:val="105"/>
        </w:rPr>
        <w:t>of </w:t>
      </w:r>
      <w:r>
        <w:rPr>
          <w:color w:val="231F20"/>
          <w:w w:val="105"/>
        </w:rPr>
        <w:t>the body to synthesize proteins, a reduction in plasma protein</w:t>
      </w:r>
      <w:r>
        <w:rPr>
          <w:color w:val="231F20"/>
          <w:spacing w:val="-14"/>
          <w:w w:val="105"/>
        </w:rPr>
        <w:t> </w:t>
      </w:r>
      <w:r>
        <w:rPr>
          <w:color w:val="231F20"/>
          <w:w w:val="105"/>
        </w:rPr>
        <w:t>concentration</w:t>
      </w:r>
      <w:r>
        <w:rPr>
          <w:color w:val="231F20"/>
          <w:spacing w:val="-13"/>
          <w:w w:val="105"/>
        </w:rPr>
        <w:t> </w:t>
      </w:r>
      <w:r>
        <w:rPr>
          <w:color w:val="231F20"/>
          <w:w w:val="105"/>
        </w:rPr>
        <w:t>occurs.</w:t>
      </w:r>
      <w:r>
        <w:rPr>
          <w:color w:val="231F20"/>
          <w:spacing w:val="-13"/>
          <w:w w:val="105"/>
        </w:rPr>
        <w:t> </w:t>
      </w:r>
      <w:r>
        <w:rPr>
          <w:color w:val="231F20"/>
          <w:w w:val="105"/>
        </w:rPr>
        <w:t>Serious</w:t>
      </w:r>
      <w:r>
        <w:rPr>
          <w:color w:val="231F20"/>
          <w:spacing w:val="-13"/>
          <w:w w:val="105"/>
        </w:rPr>
        <w:t> </w:t>
      </w:r>
      <w:r>
        <w:rPr>
          <w:color w:val="231F20"/>
          <w:w w:val="105"/>
        </w:rPr>
        <w:t>generalized</w:t>
      </w:r>
      <w:r>
        <w:rPr>
          <w:color w:val="231F20"/>
          <w:spacing w:val="-13"/>
          <w:w w:val="105"/>
        </w:rPr>
        <w:t> </w:t>
      </w:r>
      <w:r>
        <w:rPr>
          <w:color w:val="231F20"/>
          <w:spacing w:val="-3"/>
          <w:w w:val="105"/>
        </w:rPr>
        <w:t>edema </w:t>
      </w:r>
      <w:r>
        <w:rPr>
          <w:color w:val="231F20"/>
          <w:w w:val="105"/>
        </w:rPr>
        <w:t>occurs</w:t>
      </w:r>
      <w:r>
        <w:rPr>
          <w:color w:val="231F20"/>
          <w:spacing w:val="-22"/>
          <w:w w:val="105"/>
        </w:rPr>
        <w:t> </w:t>
      </w:r>
      <w:r>
        <w:rPr>
          <w:color w:val="231F20"/>
          <w:w w:val="105"/>
        </w:rPr>
        <w:t>when</w:t>
      </w:r>
      <w:r>
        <w:rPr>
          <w:color w:val="231F20"/>
          <w:spacing w:val="-22"/>
          <w:w w:val="105"/>
        </w:rPr>
        <w:t> </w:t>
      </w:r>
      <w:r>
        <w:rPr>
          <w:color w:val="231F20"/>
          <w:w w:val="105"/>
        </w:rPr>
        <w:t>the</w:t>
      </w:r>
      <w:r>
        <w:rPr>
          <w:color w:val="231F20"/>
          <w:spacing w:val="-22"/>
          <w:w w:val="105"/>
        </w:rPr>
        <w:t> </w:t>
      </w:r>
      <w:r>
        <w:rPr>
          <w:color w:val="231F20"/>
          <w:w w:val="105"/>
        </w:rPr>
        <w:t>plasma</w:t>
      </w:r>
      <w:r>
        <w:rPr>
          <w:color w:val="231F20"/>
          <w:spacing w:val="-22"/>
          <w:w w:val="105"/>
        </w:rPr>
        <w:t> </w:t>
      </w:r>
      <w:r>
        <w:rPr>
          <w:color w:val="231F20"/>
          <w:w w:val="105"/>
        </w:rPr>
        <w:t>protein</w:t>
      </w:r>
      <w:r>
        <w:rPr>
          <w:color w:val="231F20"/>
          <w:spacing w:val="-22"/>
          <w:w w:val="105"/>
        </w:rPr>
        <w:t> </w:t>
      </w:r>
      <w:r>
        <w:rPr>
          <w:color w:val="231F20"/>
          <w:w w:val="105"/>
        </w:rPr>
        <w:t>concentration</w:t>
      </w:r>
      <w:r>
        <w:rPr>
          <w:color w:val="231F20"/>
          <w:spacing w:val="-22"/>
          <w:w w:val="105"/>
        </w:rPr>
        <w:t> </w:t>
      </w:r>
      <w:r>
        <w:rPr>
          <w:color w:val="231F20"/>
          <w:w w:val="105"/>
        </w:rPr>
        <w:t>falls</w:t>
      </w:r>
      <w:r>
        <w:rPr>
          <w:color w:val="231F20"/>
          <w:spacing w:val="-22"/>
          <w:w w:val="105"/>
        </w:rPr>
        <w:t> </w:t>
      </w:r>
      <w:r>
        <w:rPr>
          <w:color w:val="231F20"/>
          <w:spacing w:val="-3"/>
          <w:w w:val="105"/>
        </w:rPr>
        <w:t>below </w:t>
      </w:r>
      <w:r>
        <w:rPr>
          <w:color w:val="231F20"/>
          <w:w w:val="105"/>
        </w:rPr>
        <w:t>2.5 g/100</w:t>
      </w:r>
      <w:r>
        <w:rPr>
          <w:color w:val="231F20"/>
          <w:spacing w:val="5"/>
          <w:w w:val="105"/>
        </w:rPr>
        <w:t> </w:t>
      </w:r>
      <w:r>
        <w:rPr>
          <w:color w:val="231F20"/>
          <w:w w:val="105"/>
        </w:rPr>
        <w:t>ml.</w:t>
      </w:r>
    </w:p>
    <w:p>
      <w:pPr>
        <w:pStyle w:val="BodyText"/>
        <w:spacing w:line="249" w:lineRule="auto" w:before="10"/>
        <w:ind w:left="1080" w:firstLine="240"/>
        <w:jc w:val="both"/>
      </w:pPr>
      <w:r>
        <w:rPr>
          <w:i/>
          <w:color w:val="231F20"/>
          <w:w w:val="105"/>
        </w:rPr>
        <w:t>Cirrhosis</w:t>
      </w:r>
      <w:r>
        <w:rPr>
          <w:i/>
          <w:color w:val="231F20"/>
          <w:spacing w:val="-17"/>
          <w:w w:val="105"/>
        </w:rPr>
        <w:t> </w:t>
      </w:r>
      <w:r>
        <w:rPr>
          <w:i/>
          <w:color w:val="231F20"/>
          <w:w w:val="105"/>
        </w:rPr>
        <w:t>of</w:t>
      </w:r>
      <w:r>
        <w:rPr>
          <w:i/>
          <w:color w:val="231F20"/>
          <w:spacing w:val="-17"/>
          <w:w w:val="105"/>
        </w:rPr>
        <w:t> </w:t>
      </w:r>
      <w:r>
        <w:rPr>
          <w:i/>
          <w:color w:val="231F20"/>
          <w:w w:val="105"/>
        </w:rPr>
        <w:t>the</w:t>
      </w:r>
      <w:r>
        <w:rPr>
          <w:i/>
          <w:color w:val="231F20"/>
          <w:spacing w:val="-16"/>
          <w:w w:val="105"/>
        </w:rPr>
        <w:t> </w:t>
      </w:r>
      <w:r>
        <w:rPr>
          <w:i/>
          <w:color w:val="231F20"/>
          <w:w w:val="105"/>
        </w:rPr>
        <w:t>liver</w:t>
      </w:r>
      <w:r>
        <w:rPr>
          <w:i/>
          <w:color w:val="231F20"/>
          <w:spacing w:val="-17"/>
          <w:w w:val="105"/>
        </w:rPr>
        <w:t> </w:t>
      </w:r>
      <w:r>
        <w:rPr>
          <w:color w:val="231F20"/>
          <w:w w:val="105"/>
        </w:rPr>
        <w:t>is</w:t>
      </w:r>
      <w:r>
        <w:rPr>
          <w:color w:val="231F20"/>
          <w:spacing w:val="-17"/>
          <w:w w:val="105"/>
        </w:rPr>
        <w:t> </w:t>
      </w:r>
      <w:r>
        <w:rPr>
          <w:color w:val="231F20"/>
          <w:w w:val="105"/>
        </w:rPr>
        <w:t>another</w:t>
      </w:r>
      <w:r>
        <w:rPr>
          <w:color w:val="231F20"/>
          <w:spacing w:val="-16"/>
          <w:w w:val="105"/>
        </w:rPr>
        <w:t> </w:t>
      </w:r>
      <w:r>
        <w:rPr>
          <w:color w:val="231F20"/>
          <w:w w:val="105"/>
        </w:rPr>
        <w:t>condition</w:t>
      </w:r>
      <w:r>
        <w:rPr>
          <w:color w:val="231F20"/>
          <w:spacing w:val="-17"/>
          <w:w w:val="105"/>
        </w:rPr>
        <w:t> </w:t>
      </w:r>
      <w:r>
        <w:rPr>
          <w:color w:val="231F20"/>
          <w:w w:val="105"/>
        </w:rPr>
        <w:t>that</w:t>
      </w:r>
      <w:r>
        <w:rPr>
          <w:color w:val="231F20"/>
          <w:spacing w:val="-16"/>
          <w:w w:val="105"/>
        </w:rPr>
        <w:t> </w:t>
      </w:r>
      <w:r>
        <w:rPr>
          <w:color w:val="231F20"/>
          <w:w w:val="105"/>
        </w:rPr>
        <w:t>causes</w:t>
      </w:r>
      <w:r>
        <w:rPr>
          <w:color w:val="231F20"/>
          <w:spacing w:val="-17"/>
          <w:w w:val="105"/>
        </w:rPr>
        <w:t> </w:t>
      </w:r>
      <w:r>
        <w:rPr>
          <w:color w:val="231F20"/>
          <w:spacing w:val="-14"/>
          <w:w w:val="105"/>
        </w:rPr>
        <w:t>a </w:t>
      </w:r>
      <w:r>
        <w:rPr>
          <w:color w:val="231F20"/>
          <w:w w:val="105"/>
        </w:rPr>
        <w:t>reduction in plasma protein concentration. Cirrhosis means development of large amounts of fibrous </w:t>
      </w:r>
      <w:r>
        <w:rPr>
          <w:color w:val="231F20"/>
          <w:spacing w:val="-3"/>
          <w:w w:val="105"/>
        </w:rPr>
        <w:t>tissue </w:t>
      </w:r>
      <w:r>
        <w:rPr>
          <w:color w:val="231F20"/>
          <w:w w:val="105"/>
        </w:rPr>
        <w:t>among</w:t>
      </w:r>
      <w:r>
        <w:rPr>
          <w:color w:val="231F20"/>
          <w:spacing w:val="-23"/>
          <w:w w:val="105"/>
        </w:rPr>
        <w:t> </w:t>
      </w:r>
      <w:r>
        <w:rPr>
          <w:color w:val="231F20"/>
          <w:w w:val="105"/>
        </w:rPr>
        <w:t>the</w:t>
      </w:r>
      <w:r>
        <w:rPr>
          <w:color w:val="231F20"/>
          <w:spacing w:val="-23"/>
          <w:w w:val="105"/>
        </w:rPr>
        <w:t> </w:t>
      </w:r>
      <w:r>
        <w:rPr>
          <w:color w:val="231F20"/>
          <w:w w:val="105"/>
        </w:rPr>
        <w:t>liver</w:t>
      </w:r>
      <w:r>
        <w:rPr>
          <w:color w:val="231F20"/>
          <w:spacing w:val="-23"/>
          <w:w w:val="105"/>
        </w:rPr>
        <w:t> </w:t>
      </w:r>
      <w:r>
        <w:rPr>
          <w:color w:val="231F20"/>
          <w:w w:val="105"/>
        </w:rPr>
        <w:t>parenchymal</w:t>
      </w:r>
      <w:r>
        <w:rPr>
          <w:color w:val="231F20"/>
          <w:spacing w:val="-23"/>
          <w:w w:val="105"/>
        </w:rPr>
        <w:t> </w:t>
      </w:r>
      <w:r>
        <w:rPr>
          <w:color w:val="231F20"/>
          <w:w w:val="105"/>
        </w:rPr>
        <w:t>cells.</w:t>
      </w:r>
      <w:r>
        <w:rPr>
          <w:color w:val="231F20"/>
          <w:spacing w:val="-23"/>
          <w:w w:val="105"/>
        </w:rPr>
        <w:t> </w:t>
      </w:r>
      <w:r>
        <w:rPr>
          <w:color w:val="231F20"/>
          <w:w w:val="105"/>
        </w:rPr>
        <w:t>One</w:t>
      </w:r>
      <w:r>
        <w:rPr>
          <w:color w:val="231F20"/>
          <w:spacing w:val="-23"/>
          <w:w w:val="105"/>
        </w:rPr>
        <w:t> </w:t>
      </w:r>
      <w:r>
        <w:rPr>
          <w:color w:val="231F20"/>
          <w:w w:val="105"/>
        </w:rPr>
        <w:t>result</w:t>
      </w:r>
      <w:r>
        <w:rPr>
          <w:color w:val="231F20"/>
          <w:spacing w:val="-23"/>
          <w:w w:val="105"/>
        </w:rPr>
        <w:t> </w:t>
      </w:r>
      <w:r>
        <w:rPr>
          <w:color w:val="231F20"/>
          <w:w w:val="105"/>
        </w:rPr>
        <w:t>is</w:t>
      </w:r>
      <w:r>
        <w:rPr>
          <w:color w:val="231F20"/>
          <w:spacing w:val="-23"/>
          <w:w w:val="105"/>
        </w:rPr>
        <w:t> </w:t>
      </w:r>
      <w:r>
        <w:rPr>
          <w:color w:val="231F20"/>
          <w:w w:val="105"/>
        </w:rPr>
        <w:t>failure</w:t>
      </w:r>
      <w:r>
        <w:rPr>
          <w:color w:val="231F20"/>
          <w:spacing w:val="-23"/>
          <w:w w:val="105"/>
        </w:rPr>
        <w:t> </w:t>
      </w:r>
      <w:r>
        <w:rPr>
          <w:color w:val="231F20"/>
          <w:spacing w:val="-6"/>
          <w:w w:val="105"/>
        </w:rPr>
        <w:t>of </w:t>
      </w:r>
      <w:r>
        <w:rPr>
          <w:color w:val="231F20"/>
          <w:w w:val="105"/>
        </w:rPr>
        <w:t>these</w:t>
      </w:r>
      <w:r>
        <w:rPr>
          <w:color w:val="231F20"/>
          <w:spacing w:val="-14"/>
          <w:w w:val="105"/>
        </w:rPr>
        <w:t> </w:t>
      </w:r>
      <w:r>
        <w:rPr>
          <w:color w:val="231F20"/>
          <w:w w:val="105"/>
        </w:rPr>
        <w:t>cells</w:t>
      </w:r>
      <w:r>
        <w:rPr>
          <w:color w:val="231F20"/>
          <w:spacing w:val="-13"/>
          <w:w w:val="105"/>
        </w:rPr>
        <w:t> </w:t>
      </w:r>
      <w:r>
        <w:rPr>
          <w:color w:val="231F20"/>
          <w:w w:val="105"/>
        </w:rPr>
        <w:t>to</w:t>
      </w:r>
      <w:r>
        <w:rPr>
          <w:color w:val="231F20"/>
          <w:spacing w:val="-13"/>
          <w:w w:val="105"/>
        </w:rPr>
        <w:t> </w:t>
      </w:r>
      <w:r>
        <w:rPr>
          <w:color w:val="231F20"/>
          <w:w w:val="105"/>
        </w:rPr>
        <w:t>produce</w:t>
      </w:r>
      <w:r>
        <w:rPr>
          <w:color w:val="231F20"/>
          <w:spacing w:val="-13"/>
          <w:w w:val="105"/>
        </w:rPr>
        <w:t> </w:t>
      </w:r>
      <w:r>
        <w:rPr>
          <w:color w:val="231F20"/>
          <w:w w:val="105"/>
        </w:rPr>
        <w:t>sufficient</w:t>
      </w:r>
      <w:r>
        <w:rPr>
          <w:color w:val="231F20"/>
          <w:spacing w:val="-13"/>
          <w:w w:val="105"/>
        </w:rPr>
        <w:t> </w:t>
      </w:r>
      <w:r>
        <w:rPr>
          <w:color w:val="231F20"/>
          <w:w w:val="105"/>
        </w:rPr>
        <w:t>plasma</w:t>
      </w:r>
      <w:r>
        <w:rPr>
          <w:color w:val="231F20"/>
          <w:spacing w:val="-13"/>
          <w:w w:val="105"/>
        </w:rPr>
        <w:t> </w:t>
      </w:r>
      <w:r>
        <w:rPr>
          <w:color w:val="231F20"/>
          <w:w w:val="105"/>
        </w:rPr>
        <w:t>proteins,</w:t>
      </w:r>
      <w:r>
        <w:rPr>
          <w:color w:val="231F20"/>
          <w:spacing w:val="-13"/>
          <w:w w:val="105"/>
        </w:rPr>
        <w:t> </w:t>
      </w:r>
      <w:r>
        <w:rPr>
          <w:color w:val="231F20"/>
          <w:w w:val="105"/>
        </w:rPr>
        <w:t>leading to decreased plasma colloid osmotic pressure and </w:t>
      </w:r>
      <w:r>
        <w:rPr>
          <w:color w:val="231F20"/>
          <w:spacing w:val="-5"/>
          <w:w w:val="105"/>
        </w:rPr>
        <w:t>the </w:t>
      </w:r>
      <w:r>
        <w:rPr>
          <w:color w:val="231F20"/>
          <w:w w:val="105"/>
        </w:rPr>
        <w:t>generalized edema that goes with this</w:t>
      </w:r>
      <w:r>
        <w:rPr>
          <w:color w:val="231F20"/>
          <w:spacing w:val="-5"/>
          <w:w w:val="105"/>
        </w:rPr>
        <w:t> </w:t>
      </w:r>
      <w:r>
        <w:rPr>
          <w:color w:val="231F20"/>
          <w:w w:val="105"/>
        </w:rPr>
        <w:t>condition.</w:t>
      </w:r>
    </w:p>
    <w:p>
      <w:pPr>
        <w:pStyle w:val="BodyText"/>
        <w:spacing w:line="249" w:lineRule="auto" w:before="5"/>
        <w:ind w:left="1080" w:firstLine="240"/>
        <w:jc w:val="both"/>
        <w:rPr>
          <w:i/>
        </w:rPr>
      </w:pPr>
      <w:r>
        <w:rPr>
          <w:color w:val="231F20"/>
          <w:w w:val="105"/>
        </w:rPr>
        <w:t>Another way liver cirrhosis causes edema is that </w:t>
      </w:r>
      <w:r>
        <w:rPr>
          <w:color w:val="231F20"/>
          <w:spacing w:val="-7"/>
          <w:w w:val="105"/>
        </w:rPr>
        <w:t>the </w:t>
      </w:r>
      <w:r>
        <w:rPr>
          <w:color w:val="231F20"/>
          <w:w w:val="105"/>
        </w:rPr>
        <w:t>liver</w:t>
      </w:r>
      <w:r>
        <w:rPr>
          <w:color w:val="231F20"/>
          <w:spacing w:val="-24"/>
          <w:w w:val="105"/>
        </w:rPr>
        <w:t> </w:t>
      </w:r>
      <w:r>
        <w:rPr>
          <w:color w:val="231F20"/>
          <w:w w:val="105"/>
        </w:rPr>
        <w:t>fibrosis</w:t>
      </w:r>
      <w:r>
        <w:rPr>
          <w:color w:val="231F20"/>
          <w:spacing w:val="-24"/>
          <w:w w:val="105"/>
        </w:rPr>
        <w:t> </w:t>
      </w:r>
      <w:r>
        <w:rPr>
          <w:color w:val="231F20"/>
          <w:w w:val="105"/>
        </w:rPr>
        <w:t>sometimes</w:t>
      </w:r>
      <w:r>
        <w:rPr>
          <w:color w:val="231F20"/>
          <w:spacing w:val="-24"/>
          <w:w w:val="105"/>
        </w:rPr>
        <w:t> </w:t>
      </w:r>
      <w:r>
        <w:rPr>
          <w:color w:val="231F20"/>
          <w:w w:val="105"/>
        </w:rPr>
        <w:t>compresses</w:t>
      </w:r>
      <w:r>
        <w:rPr>
          <w:color w:val="231F20"/>
          <w:spacing w:val="-24"/>
          <w:w w:val="105"/>
        </w:rPr>
        <w:t> </w:t>
      </w:r>
      <w:r>
        <w:rPr>
          <w:color w:val="231F20"/>
          <w:w w:val="105"/>
        </w:rPr>
        <w:t>the</w:t>
      </w:r>
      <w:r>
        <w:rPr>
          <w:color w:val="231F20"/>
          <w:spacing w:val="-24"/>
          <w:w w:val="105"/>
        </w:rPr>
        <w:t> </w:t>
      </w:r>
      <w:r>
        <w:rPr>
          <w:color w:val="231F20"/>
          <w:w w:val="105"/>
        </w:rPr>
        <w:t>abdominal</w:t>
      </w:r>
      <w:r>
        <w:rPr>
          <w:color w:val="231F20"/>
          <w:spacing w:val="-23"/>
          <w:w w:val="105"/>
        </w:rPr>
        <w:t> </w:t>
      </w:r>
      <w:r>
        <w:rPr>
          <w:color w:val="231F20"/>
          <w:spacing w:val="-3"/>
          <w:w w:val="105"/>
        </w:rPr>
        <w:t>portal </w:t>
      </w:r>
      <w:r>
        <w:rPr>
          <w:color w:val="231F20"/>
          <w:w w:val="105"/>
        </w:rPr>
        <w:t>venous drainage vessels as they pass through the </w:t>
      </w:r>
      <w:r>
        <w:rPr>
          <w:color w:val="231F20"/>
          <w:spacing w:val="-3"/>
          <w:w w:val="105"/>
        </w:rPr>
        <w:t>liver </w:t>
      </w:r>
      <w:r>
        <w:rPr>
          <w:color w:val="231F20"/>
          <w:w w:val="105"/>
        </w:rPr>
        <w:t>before emptying back into the general </w:t>
      </w:r>
      <w:r>
        <w:rPr>
          <w:color w:val="231F20"/>
          <w:spacing w:val="-3"/>
          <w:w w:val="105"/>
        </w:rPr>
        <w:t>circulation. </w:t>
      </w:r>
      <w:r>
        <w:rPr>
          <w:color w:val="231F20"/>
          <w:w w:val="105"/>
        </w:rPr>
        <w:t>Blockage of this portal venous outflow raises capillary hydrostatic pressure throughout the gastrointestinal</w:t>
      </w:r>
      <w:r>
        <w:rPr>
          <w:color w:val="231F20"/>
          <w:spacing w:val="-35"/>
          <w:w w:val="105"/>
        </w:rPr>
        <w:t> </w:t>
      </w:r>
      <w:r>
        <w:rPr>
          <w:color w:val="231F20"/>
          <w:w w:val="105"/>
        </w:rPr>
        <w:t>area and further increases filtration of fluid out of the</w:t>
      </w:r>
      <w:r>
        <w:rPr>
          <w:color w:val="231F20"/>
          <w:spacing w:val="-36"/>
          <w:w w:val="105"/>
        </w:rPr>
        <w:t> </w:t>
      </w:r>
      <w:r>
        <w:rPr>
          <w:color w:val="231F20"/>
          <w:spacing w:val="-3"/>
          <w:w w:val="105"/>
        </w:rPr>
        <w:t>plasma </w:t>
      </w:r>
      <w:r>
        <w:rPr>
          <w:color w:val="231F20"/>
          <w:w w:val="105"/>
        </w:rPr>
        <w:t>into the intra­abdominal areas. When this occurs, the combined</w:t>
      </w:r>
      <w:r>
        <w:rPr>
          <w:color w:val="231F20"/>
          <w:spacing w:val="-15"/>
          <w:w w:val="105"/>
        </w:rPr>
        <w:t> </w:t>
      </w:r>
      <w:r>
        <w:rPr>
          <w:color w:val="231F20"/>
          <w:w w:val="105"/>
        </w:rPr>
        <w:t>effects</w:t>
      </w:r>
      <w:r>
        <w:rPr>
          <w:color w:val="231F20"/>
          <w:spacing w:val="-14"/>
          <w:w w:val="105"/>
        </w:rPr>
        <w:t> </w:t>
      </w:r>
      <w:r>
        <w:rPr>
          <w:color w:val="231F20"/>
          <w:w w:val="105"/>
        </w:rPr>
        <w:t>of</w:t>
      </w:r>
      <w:r>
        <w:rPr>
          <w:color w:val="231F20"/>
          <w:spacing w:val="-15"/>
          <w:w w:val="105"/>
        </w:rPr>
        <w:t> </w:t>
      </w:r>
      <w:r>
        <w:rPr>
          <w:color w:val="231F20"/>
          <w:w w:val="105"/>
        </w:rPr>
        <w:t>decreased</w:t>
      </w:r>
      <w:r>
        <w:rPr>
          <w:color w:val="231F20"/>
          <w:spacing w:val="-14"/>
          <w:w w:val="105"/>
        </w:rPr>
        <w:t> </w:t>
      </w:r>
      <w:r>
        <w:rPr>
          <w:color w:val="231F20"/>
          <w:w w:val="105"/>
        </w:rPr>
        <w:t>plasma</w:t>
      </w:r>
      <w:r>
        <w:rPr>
          <w:color w:val="231F20"/>
          <w:spacing w:val="-14"/>
          <w:w w:val="105"/>
        </w:rPr>
        <w:t> </w:t>
      </w:r>
      <w:r>
        <w:rPr>
          <w:color w:val="231F20"/>
          <w:w w:val="105"/>
        </w:rPr>
        <w:t>protein</w:t>
      </w:r>
      <w:r>
        <w:rPr>
          <w:color w:val="231F20"/>
          <w:spacing w:val="-15"/>
          <w:w w:val="105"/>
        </w:rPr>
        <w:t> </w:t>
      </w:r>
      <w:r>
        <w:rPr>
          <w:color w:val="231F20"/>
          <w:spacing w:val="-3"/>
          <w:w w:val="105"/>
        </w:rPr>
        <w:t>concentra­ </w:t>
      </w:r>
      <w:r>
        <w:rPr>
          <w:color w:val="231F20"/>
          <w:w w:val="105"/>
        </w:rPr>
        <w:t>tion and high portal capillary pressures cause </w:t>
      </w:r>
      <w:r>
        <w:rPr>
          <w:color w:val="231F20"/>
          <w:spacing w:val="-3"/>
          <w:w w:val="105"/>
        </w:rPr>
        <w:t>transuda­ </w:t>
      </w:r>
      <w:r>
        <w:rPr>
          <w:color w:val="231F20"/>
          <w:w w:val="105"/>
        </w:rPr>
        <w:t>tion of large amounts of fluid and protein into the abdominal</w:t>
      </w:r>
      <w:r>
        <w:rPr>
          <w:color w:val="231F20"/>
          <w:spacing w:val="-6"/>
          <w:w w:val="105"/>
        </w:rPr>
        <w:t> </w:t>
      </w:r>
      <w:r>
        <w:rPr>
          <w:color w:val="231F20"/>
          <w:w w:val="105"/>
        </w:rPr>
        <w:t>cavity,</w:t>
      </w:r>
      <w:r>
        <w:rPr>
          <w:color w:val="231F20"/>
          <w:spacing w:val="-6"/>
          <w:w w:val="105"/>
        </w:rPr>
        <w:t> </w:t>
      </w:r>
      <w:r>
        <w:rPr>
          <w:color w:val="231F20"/>
          <w:w w:val="105"/>
        </w:rPr>
        <w:t>a</w:t>
      </w:r>
      <w:r>
        <w:rPr>
          <w:color w:val="231F20"/>
          <w:spacing w:val="-6"/>
          <w:w w:val="105"/>
        </w:rPr>
        <w:t> </w:t>
      </w:r>
      <w:r>
        <w:rPr>
          <w:color w:val="231F20"/>
          <w:w w:val="105"/>
        </w:rPr>
        <w:t>condition</w:t>
      </w:r>
      <w:r>
        <w:rPr>
          <w:color w:val="231F20"/>
          <w:spacing w:val="-6"/>
          <w:w w:val="105"/>
        </w:rPr>
        <w:t> </w:t>
      </w:r>
      <w:r>
        <w:rPr>
          <w:color w:val="231F20"/>
          <w:w w:val="105"/>
        </w:rPr>
        <w:t>referred</w:t>
      </w:r>
      <w:r>
        <w:rPr>
          <w:color w:val="231F20"/>
          <w:spacing w:val="-5"/>
          <w:w w:val="105"/>
        </w:rPr>
        <w:t> </w:t>
      </w:r>
      <w:r>
        <w:rPr>
          <w:color w:val="231F20"/>
          <w:w w:val="105"/>
        </w:rPr>
        <w:t>to</w:t>
      </w:r>
      <w:r>
        <w:rPr>
          <w:color w:val="231F20"/>
          <w:spacing w:val="-6"/>
          <w:w w:val="105"/>
        </w:rPr>
        <w:t> </w:t>
      </w:r>
      <w:r>
        <w:rPr>
          <w:color w:val="231F20"/>
          <w:w w:val="105"/>
        </w:rPr>
        <w:t>as</w:t>
      </w:r>
      <w:r>
        <w:rPr>
          <w:color w:val="231F20"/>
          <w:spacing w:val="-5"/>
          <w:w w:val="105"/>
        </w:rPr>
        <w:t> </w:t>
      </w:r>
      <w:r>
        <w:rPr>
          <w:i/>
          <w:color w:val="231F20"/>
          <w:w w:val="105"/>
        </w:rPr>
        <w:t>ascites.</w:t>
      </w:r>
    </w:p>
    <w:p>
      <w:pPr>
        <w:pStyle w:val="BodyText"/>
        <w:spacing w:before="6"/>
        <w:rPr>
          <w:i/>
          <w:sz w:val="31"/>
        </w:rPr>
      </w:pPr>
    </w:p>
    <w:p>
      <w:pPr>
        <w:pStyle w:val="Heading2"/>
        <w:spacing w:line="225" w:lineRule="auto"/>
        <w:ind w:left="1080" w:right="800"/>
      </w:pPr>
      <w:r>
        <w:rPr>
          <w:color w:val="231F20"/>
        </w:rPr>
        <w:t>SAFETY FACTORS THAT NORMALLY PREVENT EDEMA</w:t>
      </w:r>
    </w:p>
    <w:p>
      <w:pPr>
        <w:pStyle w:val="BodyText"/>
        <w:spacing w:line="249" w:lineRule="auto" w:before="128"/>
        <w:ind w:left="1080"/>
        <w:jc w:val="both"/>
      </w:pPr>
      <w:r>
        <w:rPr>
          <w:color w:val="231F20"/>
          <w:w w:val="105"/>
        </w:rPr>
        <w:t>Even</w:t>
      </w:r>
      <w:r>
        <w:rPr>
          <w:color w:val="231F20"/>
          <w:spacing w:val="-28"/>
          <w:w w:val="105"/>
        </w:rPr>
        <w:t> </w:t>
      </w:r>
      <w:r>
        <w:rPr>
          <w:color w:val="231F20"/>
          <w:w w:val="105"/>
        </w:rPr>
        <w:t>though</w:t>
      </w:r>
      <w:r>
        <w:rPr>
          <w:color w:val="231F20"/>
          <w:spacing w:val="-27"/>
          <w:w w:val="105"/>
        </w:rPr>
        <w:t> </w:t>
      </w:r>
      <w:r>
        <w:rPr>
          <w:color w:val="231F20"/>
          <w:w w:val="105"/>
        </w:rPr>
        <w:t>many</w:t>
      </w:r>
      <w:r>
        <w:rPr>
          <w:color w:val="231F20"/>
          <w:spacing w:val="-27"/>
          <w:w w:val="105"/>
        </w:rPr>
        <w:t> </w:t>
      </w:r>
      <w:r>
        <w:rPr>
          <w:color w:val="231F20"/>
          <w:w w:val="105"/>
        </w:rPr>
        <w:t>disturbances</w:t>
      </w:r>
      <w:r>
        <w:rPr>
          <w:color w:val="231F20"/>
          <w:spacing w:val="-27"/>
          <w:w w:val="105"/>
        </w:rPr>
        <w:t> </w:t>
      </w:r>
      <w:r>
        <w:rPr>
          <w:color w:val="231F20"/>
          <w:w w:val="105"/>
        </w:rPr>
        <w:t>can</w:t>
      </w:r>
      <w:r>
        <w:rPr>
          <w:color w:val="231F20"/>
          <w:spacing w:val="-27"/>
          <w:w w:val="105"/>
        </w:rPr>
        <w:t> </w:t>
      </w:r>
      <w:r>
        <w:rPr>
          <w:color w:val="231F20"/>
          <w:w w:val="105"/>
        </w:rPr>
        <w:t>cause</w:t>
      </w:r>
      <w:r>
        <w:rPr>
          <w:color w:val="231F20"/>
          <w:spacing w:val="-27"/>
          <w:w w:val="105"/>
        </w:rPr>
        <w:t> </w:t>
      </w:r>
      <w:r>
        <w:rPr>
          <w:color w:val="231F20"/>
          <w:w w:val="105"/>
        </w:rPr>
        <w:t>edema,</w:t>
      </w:r>
      <w:r>
        <w:rPr>
          <w:color w:val="231F20"/>
          <w:spacing w:val="-27"/>
          <w:w w:val="105"/>
        </w:rPr>
        <w:t> </w:t>
      </w:r>
      <w:r>
        <w:rPr>
          <w:color w:val="231F20"/>
          <w:w w:val="105"/>
        </w:rPr>
        <w:t>usually the abnormality must be severe before serious </w:t>
      </w:r>
      <w:r>
        <w:rPr>
          <w:color w:val="231F20"/>
          <w:spacing w:val="-3"/>
          <w:w w:val="105"/>
        </w:rPr>
        <w:t>edema </w:t>
      </w:r>
      <w:r>
        <w:rPr>
          <w:color w:val="231F20"/>
          <w:w w:val="105"/>
        </w:rPr>
        <w:t>develops. The reason the abnormality must be severe </w:t>
      </w:r>
      <w:r>
        <w:rPr>
          <w:color w:val="231F20"/>
          <w:spacing w:val="-7"/>
          <w:w w:val="105"/>
        </w:rPr>
        <w:t>is </w:t>
      </w:r>
      <w:r>
        <w:rPr>
          <w:color w:val="231F20"/>
          <w:w w:val="105"/>
        </w:rPr>
        <w:t>that three major safety factors prevent excessive </w:t>
      </w:r>
      <w:r>
        <w:rPr>
          <w:color w:val="231F20"/>
          <w:spacing w:val="-3"/>
          <w:w w:val="105"/>
        </w:rPr>
        <w:t>fluid </w:t>
      </w:r>
      <w:r>
        <w:rPr>
          <w:color w:val="231F20"/>
          <w:w w:val="105"/>
        </w:rPr>
        <w:t>accumulation</w:t>
      </w:r>
      <w:r>
        <w:rPr>
          <w:color w:val="231F20"/>
          <w:spacing w:val="-30"/>
          <w:w w:val="105"/>
        </w:rPr>
        <w:t> </w:t>
      </w:r>
      <w:r>
        <w:rPr>
          <w:color w:val="231F20"/>
          <w:w w:val="105"/>
        </w:rPr>
        <w:t>in</w:t>
      </w:r>
      <w:r>
        <w:rPr>
          <w:color w:val="231F20"/>
          <w:spacing w:val="-29"/>
          <w:w w:val="105"/>
        </w:rPr>
        <w:t> </w:t>
      </w:r>
      <w:r>
        <w:rPr>
          <w:color w:val="231F20"/>
          <w:w w:val="105"/>
        </w:rPr>
        <w:t>the</w:t>
      </w:r>
      <w:r>
        <w:rPr>
          <w:color w:val="231F20"/>
          <w:spacing w:val="-29"/>
          <w:w w:val="105"/>
        </w:rPr>
        <w:t> </w:t>
      </w:r>
      <w:r>
        <w:rPr>
          <w:color w:val="231F20"/>
          <w:w w:val="105"/>
        </w:rPr>
        <w:t>interstitial</w:t>
      </w:r>
      <w:r>
        <w:rPr>
          <w:color w:val="231F20"/>
          <w:spacing w:val="-30"/>
          <w:w w:val="105"/>
        </w:rPr>
        <w:t> </w:t>
      </w:r>
      <w:r>
        <w:rPr>
          <w:color w:val="231F20"/>
          <w:w w:val="105"/>
        </w:rPr>
        <w:t>spaces:</w:t>
      </w:r>
      <w:r>
        <w:rPr>
          <w:color w:val="231F20"/>
          <w:spacing w:val="-29"/>
          <w:w w:val="105"/>
        </w:rPr>
        <w:t> </w:t>
      </w:r>
      <w:r>
        <w:rPr>
          <w:color w:val="231F20"/>
          <w:w w:val="105"/>
        </w:rPr>
        <w:t>(1)</w:t>
      </w:r>
      <w:r>
        <w:rPr>
          <w:color w:val="231F20"/>
          <w:spacing w:val="-30"/>
          <w:w w:val="105"/>
        </w:rPr>
        <w:t> </w:t>
      </w:r>
      <w:r>
        <w:rPr>
          <w:color w:val="231F20"/>
          <w:w w:val="105"/>
        </w:rPr>
        <w:t>low</w:t>
      </w:r>
      <w:r>
        <w:rPr>
          <w:color w:val="231F20"/>
          <w:spacing w:val="-29"/>
          <w:w w:val="105"/>
        </w:rPr>
        <w:t> </w:t>
      </w:r>
      <w:r>
        <w:rPr>
          <w:color w:val="231F20"/>
          <w:spacing w:val="-3"/>
          <w:w w:val="105"/>
        </w:rPr>
        <w:t>compliance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interstitium</w:t>
      </w:r>
      <w:r>
        <w:rPr>
          <w:color w:val="231F20"/>
          <w:spacing w:val="-16"/>
          <w:w w:val="105"/>
        </w:rPr>
        <w:t> </w:t>
      </w:r>
      <w:r>
        <w:rPr>
          <w:color w:val="231F20"/>
          <w:w w:val="105"/>
        </w:rPr>
        <w:t>when</w:t>
      </w:r>
      <w:r>
        <w:rPr>
          <w:color w:val="231F20"/>
          <w:spacing w:val="-17"/>
          <w:w w:val="105"/>
        </w:rPr>
        <w:t> </w:t>
      </w:r>
      <w:r>
        <w:rPr>
          <w:color w:val="231F20"/>
          <w:w w:val="105"/>
        </w:rPr>
        <w:t>interstitial</w:t>
      </w:r>
      <w:r>
        <w:rPr>
          <w:color w:val="231F20"/>
          <w:spacing w:val="-17"/>
          <w:w w:val="105"/>
        </w:rPr>
        <w:t> </w:t>
      </w:r>
      <w:r>
        <w:rPr>
          <w:color w:val="231F20"/>
          <w:w w:val="105"/>
        </w:rPr>
        <w:t>fluid</w:t>
      </w:r>
      <w:r>
        <w:rPr>
          <w:color w:val="231F20"/>
          <w:spacing w:val="-16"/>
          <w:w w:val="105"/>
        </w:rPr>
        <w:t> </w:t>
      </w:r>
      <w:r>
        <w:rPr>
          <w:color w:val="231F20"/>
          <w:w w:val="105"/>
        </w:rPr>
        <w:t>pressure</w:t>
      </w:r>
      <w:r>
        <w:rPr>
          <w:color w:val="231F20"/>
          <w:spacing w:val="-17"/>
          <w:w w:val="105"/>
        </w:rPr>
        <w:t> </w:t>
      </w:r>
      <w:r>
        <w:rPr>
          <w:color w:val="231F20"/>
          <w:w w:val="105"/>
        </w:rPr>
        <w:t>is</w:t>
      </w:r>
      <w:r>
        <w:rPr>
          <w:color w:val="231F20"/>
          <w:spacing w:val="-17"/>
          <w:w w:val="105"/>
        </w:rPr>
        <w:t> </w:t>
      </w:r>
      <w:r>
        <w:rPr>
          <w:color w:val="231F20"/>
          <w:w w:val="105"/>
        </w:rPr>
        <w:t>in</w:t>
      </w:r>
      <w:r>
        <w:rPr>
          <w:color w:val="231F20"/>
          <w:spacing w:val="-16"/>
          <w:w w:val="105"/>
        </w:rPr>
        <w:t> </w:t>
      </w:r>
      <w:r>
        <w:rPr>
          <w:color w:val="231F20"/>
          <w:spacing w:val="-7"/>
          <w:w w:val="105"/>
        </w:rPr>
        <w:t>the</w:t>
      </w:r>
    </w:p>
    <w:p>
      <w:pPr>
        <w:pStyle w:val="BodyText"/>
        <w:spacing w:line="249" w:lineRule="auto" w:before="99"/>
        <w:ind w:left="319" w:right="1437"/>
        <w:jc w:val="both"/>
      </w:pPr>
      <w:r>
        <w:rPr/>
        <w:br w:type="column"/>
      </w:r>
      <w:r>
        <w:rPr>
          <w:color w:val="231F20"/>
          <w:w w:val="105"/>
        </w:rPr>
        <w:t>negative pressure range, (2) the ability of lymph flow</w:t>
      </w:r>
      <w:r>
        <w:rPr>
          <w:color w:val="231F20"/>
          <w:spacing w:val="-26"/>
          <w:w w:val="105"/>
        </w:rPr>
        <w:t> </w:t>
      </w:r>
      <w:r>
        <w:rPr>
          <w:color w:val="231F20"/>
          <w:w w:val="105"/>
        </w:rPr>
        <w:t>to increase</w:t>
      </w:r>
      <w:r>
        <w:rPr>
          <w:color w:val="231F20"/>
          <w:spacing w:val="-27"/>
          <w:w w:val="105"/>
        </w:rPr>
        <w:t> </w:t>
      </w:r>
      <w:r>
        <w:rPr>
          <w:color w:val="231F20"/>
          <w:w w:val="105"/>
        </w:rPr>
        <w:t>10­</w:t>
      </w:r>
      <w:r>
        <w:rPr>
          <w:color w:val="231F20"/>
          <w:spacing w:val="-26"/>
          <w:w w:val="105"/>
        </w:rPr>
        <w:t> </w:t>
      </w:r>
      <w:r>
        <w:rPr>
          <w:color w:val="231F20"/>
          <w:w w:val="105"/>
        </w:rPr>
        <w:t>to</w:t>
      </w:r>
      <w:r>
        <w:rPr>
          <w:color w:val="231F20"/>
          <w:spacing w:val="-26"/>
          <w:w w:val="105"/>
        </w:rPr>
        <w:t> </w:t>
      </w:r>
      <w:r>
        <w:rPr>
          <w:color w:val="231F20"/>
          <w:w w:val="105"/>
        </w:rPr>
        <w:t>50­fold,</w:t>
      </w:r>
      <w:r>
        <w:rPr>
          <w:color w:val="231F20"/>
          <w:spacing w:val="-26"/>
          <w:w w:val="105"/>
        </w:rPr>
        <w:t> </w:t>
      </w:r>
      <w:r>
        <w:rPr>
          <w:color w:val="231F20"/>
          <w:w w:val="105"/>
        </w:rPr>
        <w:t>and</w:t>
      </w:r>
      <w:r>
        <w:rPr>
          <w:color w:val="231F20"/>
          <w:spacing w:val="-26"/>
          <w:w w:val="105"/>
        </w:rPr>
        <w:t> </w:t>
      </w:r>
      <w:r>
        <w:rPr>
          <w:color w:val="231F20"/>
          <w:w w:val="105"/>
        </w:rPr>
        <w:t>(3)</w:t>
      </w:r>
      <w:r>
        <w:rPr>
          <w:color w:val="231F20"/>
          <w:spacing w:val="-26"/>
          <w:w w:val="105"/>
        </w:rPr>
        <w:t> </w:t>
      </w:r>
      <w:r>
        <w:rPr>
          <w:color w:val="231F20"/>
          <w:w w:val="105"/>
        </w:rPr>
        <w:t>“washdown”</w:t>
      </w:r>
      <w:r>
        <w:rPr>
          <w:color w:val="231F20"/>
          <w:spacing w:val="-26"/>
          <w:w w:val="105"/>
        </w:rPr>
        <w:t> </w:t>
      </w:r>
      <w:r>
        <w:rPr>
          <w:color w:val="231F20"/>
          <w:w w:val="105"/>
        </w:rPr>
        <w:t>of</w:t>
      </w:r>
      <w:r>
        <w:rPr>
          <w:color w:val="231F20"/>
          <w:spacing w:val="-26"/>
          <w:w w:val="105"/>
        </w:rPr>
        <w:t> </w:t>
      </w:r>
      <w:r>
        <w:rPr>
          <w:color w:val="231F20"/>
          <w:w w:val="105"/>
        </w:rPr>
        <w:t>interstitial fluid protein concentration, which reduces interstitial fluid colloid osmotic pressure as capillary filtration increases.</w:t>
      </w:r>
    </w:p>
    <w:p>
      <w:pPr>
        <w:pStyle w:val="Heading2"/>
        <w:spacing w:line="225" w:lineRule="auto" w:before="157"/>
        <w:ind w:right="1734"/>
      </w:pPr>
      <w:r>
        <w:rPr>
          <w:color w:val="231F20"/>
        </w:rPr>
        <w:t>Safety Factor Caused by Low Compliance of the Interstitium in the Negative Pressure Range</w:t>
      </w:r>
    </w:p>
    <w:p>
      <w:pPr>
        <w:pStyle w:val="BodyText"/>
        <w:spacing w:line="249" w:lineRule="auto" w:before="87"/>
        <w:ind w:left="319" w:right="1437"/>
        <w:jc w:val="both"/>
      </w:pPr>
      <w:r>
        <w:rPr>
          <w:color w:val="231F20"/>
          <w:w w:val="105"/>
        </w:rPr>
        <w:t>In</w:t>
      </w:r>
      <w:r>
        <w:rPr>
          <w:color w:val="231F20"/>
          <w:spacing w:val="-8"/>
          <w:w w:val="105"/>
        </w:rPr>
        <w:t> </w:t>
      </w:r>
      <w:r>
        <w:rPr>
          <w:color w:val="231F20"/>
          <w:w w:val="105"/>
        </w:rPr>
        <w:t>Chapter</w:t>
      </w:r>
      <w:r>
        <w:rPr>
          <w:color w:val="231F20"/>
          <w:spacing w:val="-7"/>
          <w:w w:val="105"/>
        </w:rPr>
        <w:t> </w:t>
      </w:r>
      <w:r>
        <w:rPr>
          <w:color w:val="231F20"/>
          <w:w w:val="105"/>
        </w:rPr>
        <w:t>16,</w:t>
      </w:r>
      <w:r>
        <w:rPr>
          <w:color w:val="231F20"/>
          <w:spacing w:val="-7"/>
          <w:w w:val="105"/>
        </w:rPr>
        <w:t> </w:t>
      </w:r>
      <w:r>
        <w:rPr>
          <w:color w:val="231F20"/>
          <w:w w:val="105"/>
        </w:rPr>
        <w:t>we</w:t>
      </w:r>
      <w:r>
        <w:rPr>
          <w:color w:val="231F20"/>
          <w:spacing w:val="-7"/>
          <w:w w:val="105"/>
        </w:rPr>
        <w:t> </w:t>
      </w:r>
      <w:r>
        <w:rPr>
          <w:color w:val="231F20"/>
          <w:w w:val="105"/>
        </w:rPr>
        <w:t>noted</w:t>
      </w:r>
      <w:r>
        <w:rPr>
          <w:color w:val="231F20"/>
          <w:spacing w:val="-7"/>
          <w:w w:val="105"/>
        </w:rPr>
        <w:t> </w:t>
      </w:r>
      <w:r>
        <w:rPr>
          <w:color w:val="231F20"/>
          <w:w w:val="105"/>
        </w:rPr>
        <w:t>that</w:t>
      </w:r>
      <w:r>
        <w:rPr>
          <w:color w:val="231F20"/>
          <w:spacing w:val="-7"/>
          <w:w w:val="105"/>
        </w:rPr>
        <w:t> </w:t>
      </w:r>
      <w:r>
        <w:rPr>
          <w:color w:val="231F20"/>
          <w:w w:val="105"/>
        </w:rPr>
        <w:t>interstitial</w:t>
      </w:r>
      <w:r>
        <w:rPr>
          <w:color w:val="231F20"/>
          <w:spacing w:val="-7"/>
          <w:w w:val="105"/>
        </w:rPr>
        <w:t> </w:t>
      </w:r>
      <w:r>
        <w:rPr>
          <w:color w:val="231F20"/>
          <w:w w:val="105"/>
        </w:rPr>
        <w:t>fluid</w:t>
      </w:r>
      <w:r>
        <w:rPr>
          <w:color w:val="231F20"/>
          <w:spacing w:val="-7"/>
          <w:w w:val="105"/>
        </w:rPr>
        <w:t> </w:t>
      </w:r>
      <w:r>
        <w:rPr>
          <w:color w:val="231F20"/>
          <w:w w:val="105"/>
        </w:rPr>
        <w:t>hydrostatic pressure in most loose subcutaneous tissues of the body is</w:t>
      </w:r>
      <w:r>
        <w:rPr>
          <w:color w:val="231F20"/>
          <w:spacing w:val="-29"/>
          <w:w w:val="105"/>
        </w:rPr>
        <w:t> </w:t>
      </w:r>
      <w:r>
        <w:rPr>
          <w:color w:val="231F20"/>
          <w:w w:val="105"/>
        </w:rPr>
        <w:t>slightly</w:t>
      </w:r>
      <w:r>
        <w:rPr>
          <w:color w:val="231F20"/>
          <w:spacing w:val="-29"/>
          <w:w w:val="105"/>
        </w:rPr>
        <w:t> </w:t>
      </w:r>
      <w:r>
        <w:rPr>
          <w:color w:val="231F20"/>
          <w:w w:val="105"/>
        </w:rPr>
        <w:t>less</w:t>
      </w:r>
      <w:r>
        <w:rPr>
          <w:color w:val="231F20"/>
          <w:spacing w:val="-28"/>
          <w:w w:val="105"/>
        </w:rPr>
        <w:t> </w:t>
      </w:r>
      <w:r>
        <w:rPr>
          <w:color w:val="231F20"/>
          <w:w w:val="105"/>
        </w:rPr>
        <w:t>than</w:t>
      </w:r>
      <w:r>
        <w:rPr>
          <w:color w:val="231F20"/>
          <w:spacing w:val="-29"/>
          <w:w w:val="105"/>
        </w:rPr>
        <w:t> </w:t>
      </w:r>
      <w:r>
        <w:rPr>
          <w:color w:val="231F20"/>
          <w:w w:val="105"/>
        </w:rPr>
        <w:t>atmospheric</w:t>
      </w:r>
      <w:r>
        <w:rPr>
          <w:color w:val="231F20"/>
          <w:spacing w:val="-29"/>
          <w:w w:val="105"/>
        </w:rPr>
        <w:t> </w:t>
      </w:r>
      <w:r>
        <w:rPr>
          <w:color w:val="231F20"/>
          <w:w w:val="105"/>
        </w:rPr>
        <w:t>pressure,</w:t>
      </w:r>
      <w:r>
        <w:rPr>
          <w:color w:val="231F20"/>
          <w:spacing w:val="-28"/>
          <w:w w:val="105"/>
        </w:rPr>
        <w:t> </w:t>
      </w:r>
      <w:r>
        <w:rPr>
          <w:color w:val="231F20"/>
          <w:w w:val="105"/>
        </w:rPr>
        <w:t>averaging</w:t>
      </w:r>
      <w:r>
        <w:rPr>
          <w:color w:val="231F20"/>
          <w:spacing w:val="-29"/>
          <w:w w:val="105"/>
        </w:rPr>
        <w:t> </w:t>
      </w:r>
      <w:r>
        <w:rPr>
          <w:color w:val="231F20"/>
          <w:spacing w:val="-3"/>
          <w:w w:val="105"/>
        </w:rPr>
        <w:t>about</w:t>
      </w:r>
    </w:p>
    <w:p>
      <w:pPr>
        <w:pStyle w:val="BodyText"/>
        <w:spacing w:line="249" w:lineRule="auto" w:before="3"/>
        <w:ind w:left="319" w:right="1437"/>
        <w:jc w:val="both"/>
      </w:pPr>
      <w:r>
        <w:rPr>
          <w:rFonts w:ascii="Consolas" w:hAnsi="Consolas"/>
          <w:color w:val="231F20"/>
          <w:w w:val="105"/>
        </w:rPr>
        <w:t>−</w:t>
      </w:r>
      <w:r>
        <w:rPr>
          <w:color w:val="231F20"/>
          <w:w w:val="105"/>
        </w:rPr>
        <w:t>3 mm Hg. This slight suction in the tissues helps </w:t>
      </w:r>
      <w:r>
        <w:rPr>
          <w:color w:val="231F20"/>
          <w:spacing w:val="-4"/>
          <w:w w:val="105"/>
        </w:rPr>
        <w:t>hold </w:t>
      </w:r>
      <w:r>
        <w:rPr>
          <w:color w:val="231F20"/>
          <w:w w:val="105"/>
        </w:rPr>
        <w:t>the tissues </w:t>
      </w:r>
      <w:r>
        <w:rPr>
          <w:color w:val="231F20"/>
          <w:spacing w:val="-3"/>
          <w:w w:val="105"/>
        </w:rPr>
        <w:t>together. </w:t>
      </w:r>
      <w:hyperlink w:history="true" w:anchor="_bookmark11">
        <w:r>
          <w:rPr>
            <w:b/>
            <w:color w:val="0080AC"/>
            <w:w w:val="105"/>
          </w:rPr>
          <w:t>Figure 25-8 </w:t>
        </w:r>
      </w:hyperlink>
      <w:r>
        <w:rPr>
          <w:color w:val="231F20"/>
          <w:w w:val="105"/>
        </w:rPr>
        <w:t>shows the</w:t>
      </w:r>
      <w:r>
        <w:rPr>
          <w:color w:val="231F20"/>
          <w:spacing w:val="-34"/>
          <w:w w:val="105"/>
        </w:rPr>
        <w:t> </w:t>
      </w:r>
      <w:r>
        <w:rPr>
          <w:color w:val="231F20"/>
          <w:w w:val="105"/>
        </w:rPr>
        <w:t>approximate relations</w:t>
      </w:r>
      <w:r>
        <w:rPr>
          <w:color w:val="231F20"/>
          <w:spacing w:val="-25"/>
          <w:w w:val="105"/>
        </w:rPr>
        <w:t> </w:t>
      </w:r>
      <w:r>
        <w:rPr>
          <w:color w:val="231F20"/>
          <w:w w:val="105"/>
        </w:rPr>
        <w:t>between</w:t>
      </w:r>
      <w:r>
        <w:rPr>
          <w:color w:val="231F20"/>
          <w:spacing w:val="-24"/>
          <w:w w:val="105"/>
        </w:rPr>
        <w:t> </w:t>
      </w:r>
      <w:r>
        <w:rPr>
          <w:color w:val="231F20"/>
          <w:w w:val="105"/>
        </w:rPr>
        <w:t>different</w:t>
      </w:r>
      <w:r>
        <w:rPr>
          <w:color w:val="231F20"/>
          <w:spacing w:val="-24"/>
          <w:w w:val="105"/>
        </w:rPr>
        <w:t> </w:t>
      </w:r>
      <w:r>
        <w:rPr>
          <w:color w:val="231F20"/>
          <w:w w:val="105"/>
        </w:rPr>
        <w:t>levels</w:t>
      </w:r>
      <w:r>
        <w:rPr>
          <w:color w:val="231F20"/>
          <w:spacing w:val="-25"/>
          <w:w w:val="105"/>
        </w:rPr>
        <w:t> </w:t>
      </w:r>
      <w:r>
        <w:rPr>
          <w:color w:val="231F20"/>
          <w:w w:val="105"/>
        </w:rPr>
        <w:t>of</w:t>
      </w:r>
      <w:r>
        <w:rPr>
          <w:color w:val="231F20"/>
          <w:spacing w:val="-24"/>
          <w:w w:val="105"/>
        </w:rPr>
        <w:t> </w:t>
      </w:r>
      <w:r>
        <w:rPr>
          <w:color w:val="231F20"/>
          <w:w w:val="105"/>
        </w:rPr>
        <w:t>interstitial</w:t>
      </w:r>
      <w:r>
        <w:rPr>
          <w:color w:val="231F20"/>
          <w:spacing w:val="-24"/>
          <w:w w:val="105"/>
        </w:rPr>
        <w:t> </w:t>
      </w:r>
      <w:r>
        <w:rPr>
          <w:color w:val="231F20"/>
          <w:w w:val="105"/>
        </w:rPr>
        <w:t>fluid</w:t>
      </w:r>
      <w:r>
        <w:rPr>
          <w:color w:val="231F20"/>
          <w:spacing w:val="-24"/>
          <w:w w:val="105"/>
        </w:rPr>
        <w:t> </w:t>
      </w:r>
      <w:r>
        <w:rPr>
          <w:color w:val="231F20"/>
          <w:w w:val="105"/>
        </w:rPr>
        <w:t>pres­ sure and interstitial fluid volume, as extrapolated to the human being from animal studies. Note in </w:t>
      </w:r>
      <w:hyperlink w:history="true" w:anchor="_bookmark11">
        <w:r>
          <w:rPr>
            <w:b/>
            <w:color w:val="0080AC"/>
            <w:w w:val="105"/>
          </w:rPr>
          <w:t>Figure </w:t>
        </w:r>
        <w:r>
          <w:rPr>
            <w:b/>
            <w:color w:val="0080AC"/>
            <w:spacing w:val="-3"/>
            <w:w w:val="105"/>
          </w:rPr>
          <w:t>25-8</w:t>
        </w:r>
      </w:hyperlink>
      <w:r>
        <w:rPr>
          <w:b/>
          <w:color w:val="0080AC"/>
          <w:spacing w:val="-3"/>
          <w:w w:val="105"/>
        </w:rPr>
        <w:t> </w:t>
      </w:r>
      <w:r>
        <w:rPr>
          <w:color w:val="231F20"/>
          <w:w w:val="105"/>
        </w:rPr>
        <w:t>that</w:t>
      </w:r>
      <w:r>
        <w:rPr>
          <w:color w:val="231F20"/>
          <w:spacing w:val="-17"/>
          <w:w w:val="105"/>
        </w:rPr>
        <w:t> </w:t>
      </w:r>
      <w:r>
        <w:rPr>
          <w:color w:val="231F20"/>
          <w:w w:val="105"/>
        </w:rPr>
        <w:t>as</w:t>
      </w:r>
      <w:r>
        <w:rPr>
          <w:color w:val="231F20"/>
          <w:spacing w:val="-16"/>
          <w:w w:val="105"/>
        </w:rPr>
        <w:t> </w:t>
      </w:r>
      <w:r>
        <w:rPr>
          <w:color w:val="231F20"/>
          <w:w w:val="105"/>
        </w:rPr>
        <w:t>long</w:t>
      </w:r>
      <w:r>
        <w:rPr>
          <w:color w:val="231F20"/>
          <w:spacing w:val="-16"/>
          <w:w w:val="105"/>
        </w:rPr>
        <w:t> </w:t>
      </w:r>
      <w:r>
        <w:rPr>
          <w:color w:val="231F20"/>
          <w:w w:val="105"/>
        </w:rPr>
        <w:t>as</w:t>
      </w:r>
      <w:r>
        <w:rPr>
          <w:color w:val="231F20"/>
          <w:spacing w:val="-16"/>
          <w:w w:val="105"/>
        </w:rPr>
        <w:t> </w:t>
      </w:r>
      <w:r>
        <w:rPr>
          <w:color w:val="231F20"/>
          <w:w w:val="105"/>
        </w:rPr>
        <w:t>the</w:t>
      </w:r>
      <w:r>
        <w:rPr>
          <w:color w:val="231F20"/>
          <w:spacing w:val="-16"/>
          <w:w w:val="105"/>
        </w:rPr>
        <w:t> </w:t>
      </w:r>
      <w:r>
        <w:rPr>
          <w:color w:val="231F20"/>
          <w:w w:val="105"/>
        </w:rPr>
        <w:t>interstitial</w:t>
      </w:r>
      <w:r>
        <w:rPr>
          <w:color w:val="231F20"/>
          <w:spacing w:val="-16"/>
          <w:w w:val="105"/>
        </w:rPr>
        <w:t> </w:t>
      </w:r>
      <w:r>
        <w:rPr>
          <w:color w:val="231F20"/>
          <w:w w:val="105"/>
        </w:rPr>
        <w:t>fluid</w:t>
      </w:r>
      <w:r>
        <w:rPr>
          <w:color w:val="231F20"/>
          <w:spacing w:val="-16"/>
          <w:w w:val="105"/>
        </w:rPr>
        <w:t> </w:t>
      </w:r>
      <w:r>
        <w:rPr>
          <w:color w:val="231F20"/>
          <w:w w:val="105"/>
        </w:rPr>
        <w:t>pressure</w:t>
      </w:r>
      <w:r>
        <w:rPr>
          <w:color w:val="231F20"/>
          <w:spacing w:val="-16"/>
          <w:w w:val="105"/>
        </w:rPr>
        <w:t> </w:t>
      </w:r>
      <w:r>
        <w:rPr>
          <w:color w:val="231F20"/>
          <w:w w:val="105"/>
        </w:rPr>
        <w:t>is</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nega­ tive range, small changes in interstitial fluid volume </w:t>
      </w:r>
      <w:r>
        <w:rPr>
          <w:color w:val="231F20"/>
          <w:spacing w:val="-5"/>
          <w:w w:val="105"/>
        </w:rPr>
        <w:t>are </w:t>
      </w:r>
      <w:r>
        <w:rPr>
          <w:color w:val="231F20"/>
          <w:w w:val="105"/>
        </w:rPr>
        <w:t>associated</w:t>
      </w:r>
      <w:r>
        <w:rPr>
          <w:color w:val="231F20"/>
          <w:spacing w:val="-33"/>
          <w:w w:val="105"/>
        </w:rPr>
        <w:t> </w:t>
      </w:r>
      <w:r>
        <w:rPr>
          <w:color w:val="231F20"/>
          <w:w w:val="105"/>
        </w:rPr>
        <w:t>with</w:t>
      </w:r>
      <w:r>
        <w:rPr>
          <w:color w:val="231F20"/>
          <w:spacing w:val="-32"/>
          <w:w w:val="105"/>
        </w:rPr>
        <w:t> </w:t>
      </w:r>
      <w:r>
        <w:rPr>
          <w:color w:val="231F20"/>
          <w:w w:val="105"/>
        </w:rPr>
        <w:t>relatively</w:t>
      </w:r>
      <w:r>
        <w:rPr>
          <w:color w:val="231F20"/>
          <w:spacing w:val="-32"/>
          <w:w w:val="105"/>
        </w:rPr>
        <w:t> </w:t>
      </w:r>
      <w:r>
        <w:rPr>
          <w:color w:val="231F20"/>
          <w:w w:val="105"/>
        </w:rPr>
        <w:t>large</w:t>
      </w:r>
      <w:r>
        <w:rPr>
          <w:color w:val="231F20"/>
          <w:spacing w:val="-32"/>
          <w:w w:val="105"/>
        </w:rPr>
        <w:t> </w:t>
      </w:r>
      <w:r>
        <w:rPr>
          <w:color w:val="231F20"/>
          <w:w w:val="105"/>
        </w:rPr>
        <w:t>changes</w:t>
      </w:r>
      <w:r>
        <w:rPr>
          <w:color w:val="231F20"/>
          <w:spacing w:val="-33"/>
          <w:w w:val="105"/>
        </w:rPr>
        <w:t> </w:t>
      </w:r>
      <w:r>
        <w:rPr>
          <w:color w:val="231F20"/>
          <w:w w:val="105"/>
        </w:rPr>
        <w:t>in</w:t>
      </w:r>
      <w:r>
        <w:rPr>
          <w:color w:val="231F20"/>
          <w:spacing w:val="-32"/>
          <w:w w:val="105"/>
        </w:rPr>
        <w:t> </w:t>
      </w:r>
      <w:r>
        <w:rPr>
          <w:color w:val="231F20"/>
          <w:w w:val="105"/>
        </w:rPr>
        <w:t>interstitial</w:t>
      </w:r>
      <w:r>
        <w:rPr>
          <w:color w:val="231F20"/>
          <w:spacing w:val="-32"/>
          <w:w w:val="105"/>
        </w:rPr>
        <w:t> </w:t>
      </w:r>
      <w:r>
        <w:rPr>
          <w:color w:val="231F20"/>
          <w:w w:val="105"/>
        </w:rPr>
        <w:t>fluid hydrostatic pressure. Therefore, in the negative</w:t>
      </w:r>
      <w:r>
        <w:rPr>
          <w:color w:val="231F20"/>
          <w:spacing w:val="-38"/>
          <w:w w:val="105"/>
        </w:rPr>
        <w:t> </w:t>
      </w:r>
      <w:r>
        <w:rPr>
          <w:color w:val="231F20"/>
          <w:w w:val="105"/>
        </w:rPr>
        <w:t>pressure range,</w:t>
      </w:r>
      <w:r>
        <w:rPr>
          <w:color w:val="231F20"/>
          <w:spacing w:val="-27"/>
          <w:w w:val="105"/>
        </w:rPr>
        <w:t> </w:t>
      </w:r>
      <w:r>
        <w:rPr>
          <w:color w:val="231F20"/>
          <w:w w:val="105"/>
        </w:rPr>
        <w:t>the</w:t>
      </w:r>
      <w:r>
        <w:rPr>
          <w:color w:val="231F20"/>
          <w:spacing w:val="-27"/>
          <w:w w:val="105"/>
        </w:rPr>
        <w:t> </w:t>
      </w:r>
      <w:r>
        <w:rPr>
          <w:i/>
          <w:color w:val="231F20"/>
          <w:w w:val="105"/>
        </w:rPr>
        <w:t>compliance</w:t>
      </w:r>
      <w:r>
        <w:rPr>
          <w:i/>
          <w:color w:val="231F20"/>
          <w:spacing w:val="-27"/>
          <w:w w:val="105"/>
        </w:rPr>
        <w:t> </w:t>
      </w:r>
      <w:r>
        <w:rPr>
          <w:color w:val="231F20"/>
          <w:w w:val="105"/>
        </w:rPr>
        <w:t>of</w:t>
      </w:r>
      <w:r>
        <w:rPr>
          <w:color w:val="231F20"/>
          <w:spacing w:val="-26"/>
          <w:w w:val="105"/>
        </w:rPr>
        <w:t> </w:t>
      </w:r>
      <w:r>
        <w:rPr>
          <w:color w:val="231F20"/>
          <w:w w:val="105"/>
        </w:rPr>
        <w:t>the</w:t>
      </w:r>
      <w:r>
        <w:rPr>
          <w:color w:val="231F20"/>
          <w:spacing w:val="-27"/>
          <w:w w:val="105"/>
        </w:rPr>
        <w:t> </w:t>
      </w:r>
      <w:r>
        <w:rPr>
          <w:color w:val="231F20"/>
          <w:w w:val="105"/>
        </w:rPr>
        <w:t>tissues,</w:t>
      </w:r>
      <w:r>
        <w:rPr>
          <w:color w:val="231F20"/>
          <w:spacing w:val="-27"/>
          <w:w w:val="105"/>
        </w:rPr>
        <w:t> </w:t>
      </w:r>
      <w:r>
        <w:rPr>
          <w:color w:val="231F20"/>
          <w:w w:val="105"/>
        </w:rPr>
        <w:t>defined</w:t>
      </w:r>
      <w:r>
        <w:rPr>
          <w:color w:val="231F20"/>
          <w:spacing w:val="-26"/>
          <w:w w:val="105"/>
        </w:rPr>
        <w:t> </w:t>
      </w:r>
      <w:r>
        <w:rPr>
          <w:color w:val="231F20"/>
          <w:w w:val="105"/>
        </w:rPr>
        <w:t>as</w:t>
      </w:r>
      <w:r>
        <w:rPr>
          <w:color w:val="231F20"/>
          <w:spacing w:val="-27"/>
          <w:w w:val="105"/>
        </w:rPr>
        <w:t> </w:t>
      </w:r>
      <w:r>
        <w:rPr>
          <w:color w:val="231F20"/>
          <w:w w:val="105"/>
        </w:rPr>
        <w:t>the</w:t>
      </w:r>
      <w:r>
        <w:rPr>
          <w:color w:val="231F20"/>
          <w:spacing w:val="-27"/>
          <w:w w:val="105"/>
        </w:rPr>
        <w:t> </w:t>
      </w:r>
      <w:r>
        <w:rPr>
          <w:color w:val="231F20"/>
          <w:w w:val="105"/>
        </w:rPr>
        <w:t>change in volume per millimeter of mercury pressure </w:t>
      </w:r>
      <w:r>
        <w:rPr>
          <w:color w:val="231F20"/>
          <w:spacing w:val="-3"/>
          <w:w w:val="105"/>
        </w:rPr>
        <w:t>change,  </w:t>
      </w:r>
      <w:r>
        <w:rPr>
          <w:color w:val="231F20"/>
          <w:w w:val="105"/>
        </w:rPr>
        <w:t>is</w:t>
      </w:r>
      <w:r>
        <w:rPr>
          <w:color w:val="231F20"/>
          <w:spacing w:val="2"/>
          <w:w w:val="105"/>
        </w:rPr>
        <w:t> </w:t>
      </w:r>
      <w:r>
        <w:rPr>
          <w:color w:val="231F20"/>
          <w:spacing w:val="-3"/>
          <w:w w:val="105"/>
        </w:rPr>
        <w:t>low.</w:t>
      </w:r>
    </w:p>
    <w:p>
      <w:pPr>
        <w:pStyle w:val="BodyText"/>
        <w:spacing w:line="249" w:lineRule="auto" w:before="2"/>
        <w:ind w:left="319" w:right="1437" w:firstLine="240"/>
        <w:jc w:val="both"/>
      </w:pPr>
      <w:r>
        <w:rPr>
          <w:color w:val="231F20"/>
          <w:w w:val="105"/>
        </w:rPr>
        <w:t>How does the low compliance of the tissues in </w:t>
      </w:r>
      <w:r>
        <w:rPr>
          <w:color w:val="231F20"/>
          <w:spacing w:val="-6"/>
          <w:w w:val="105"/>
        </w:rPr>
        <w:t>the </w:t>
      </w:r>
      <w:r>
        <w:rPr>
          <w:color w:val="231F20"/>
          <w:w w:val="105"/>
        </w:rPr>
        <w:t>negative pressure range act as a safety factor against edema? </w:t>
      </w:r>
      <w:r>
        <w:rPr>
          <w:color w:val="231F20"/>
          <w:spacing w:val="-11"/>
          <w:w w:val="105"/>
        </w:rPr>
        <w:t>To </w:t>
      </w:r>
      <w:r>
        <w:rPr>
          <w:color w:val="231F20"/>
          <w:w w:val="105"/>
        </w:rPr>
        <w:t>answer this question, recall the determinants</w:t>
      </w:r>
    </w:p>
    <w:p>
      <w:pPr>
        <w:pStyle w:val="BodyText"/>
        <w:spacing w:before="1"/>
        <w:rPr>
          <w:sz w:val="36"/>
        </w:rPr>
      </w:pPr>
    </w:p>
    <w:p>
      <w:pPr>
        <w:spacing w:before="0"/>
        <w:ind w:left="1081" w:right="0" w:firstLine="0"/>
        <w:jc w:val="left"/>
        <w:rPr>
          <w:rFonts w:ascii="Helvetica"/>
          <w:sz w:val="16"/>
        </w:rPr>
      </w:pPr>
      <w:r>
        <w:rPr/>
        <w:pict>
          <v:group style="position:absolute;margin-left:355.528107pt;margin-top:3.837807pt;width:161.85pt;height:239.6pt;mso-position-horizontal-relative:page;mso-position-vertical-relative:paragraph;z-index:-273622016" coordorigin="7111,77" coordsize="3237,4792">
            <v:shape style="position:absolute;left:8590;top:120;width:1703;height:3730" coordorigin="8590,120" coordsize="1703,3730" path="m10293,120l9960,571,9767,911,9638,1314,9500,1950,9494,1999,9462,2164,9386,2469,9250,2940,9111,3374,8995,3598,8843,3683,8590,3700,10293,3850,10293,120xe" filled="true" fillcolor="#ffe098" stroked="false">
              <v:path arrowok="t"/>
              <v:fill type="solid"/>
            </v:shape>
            <v:shape style="position:absolute;left:7183;top:3540;width:3107;height:1254" coordorigin="7184,3540" coordsize="3107,1254" path="m9750,3540l9680,3541,9591,3545,9491,3551,9387,3559,9283,3567,9186,3576,9103,3584,9039,3593,8957,3611,8798,3651,8510,3717,8437,3732,8390,3740,8327,3748,7190,3910,7184,4793,10290,4790,10290,3550,9911,3542,9750,3540xe" filled="true" fillcolor="#f48587" stroked="false">
              <v:path arrowok="t"/>
              <v:fill type="solid"/>
            </v:shape>
            <v:shape style="position:absolute;left:7183;top:3540;width:3107;height:1254" coordorigin="7184,3540" coordsize="3107,1254" path="m7184,4793l7190,3910,7839,3817,8180,3769,8327,3748,8390,3740,8437,3732,8510,3717,8600,3697,8699,3674,8798,3651,8887,3629,8957,3611,9000,3600,9039,3593,9103,3584,9186,3576,9283,3567,9387,3559,9491,3551,9591,3545,9680,3541,9750,3540,9911,3542,10088,3545,10231,3549,10290,3550,10290,4790,7184,4793xe" filled="false" stroked="true" strokeweight=".75pt" strokecolor="#f05661">
              <v:path arrowok="t"/>
              <v:stroke dashstyle="solid"/>
            </v:shape>
            <v:shape style="position:absolute;left:-74;top:3031;width:3065;height:4771" coordorigin="-73,3031" coordsize="3065,4771" path="m7184,4793l7184,4868m7558,4793l7558,4868m7931,4793l7931,4868m8305,4793l8305,4868m8679,4793l8679,4868m9053,4793l9053,4868m9427,4793l9427,4868m9801,4793l9801,4868m10175,4793l10175,4868m7185,97l7111,97m7185,410l7111,410m7185,724l7111,724m7185,1037l7111,1037m7185,1350l7111,1350m7185,1663l7111,1663m7185,1976l7111,1976m7185,2289l7111,2289m7185,2602l7111,2602m7185,2915l7111,2915m7185,3228l7111,3228m7185,3541l7111,3541m7185,3854l7111,3854m7185,4167l7111,4167m7185,4480l7111,4480e" filled="false" stroked="true" strokeweight="1pt" strokecolor="#231f20">
              <v:path arrowok="t"/>
              <v:stroke dashstyle="solid"/>
            </v:shape>
            <v:rect style="position:absolute;left:7110;top:4783;width:75;height:20" filled="true" fillcolor="#231f20" stroked="false">
              <v:fill type="solid"/>
            </v:rect>
            <v:shape style="position:absolute;left:7183;top:86;width:3154;height:4707" coordorigin="7184,87" coordsize="3154,4707" path="m7184,87l7184,4793,10337,4793e" filled="false" stroked="true" strokeweight="1pt" strokecolor="#231f20">
              <v:path arrowok="t"/>
              <v:stroke dashstyle="solid"/>
            </v:shape>
            <v:shape style="position:absolute;left:7190;top:3550;width:3100;height:360" coordorigin="7190,3550" coordsize="3100,360" path="m7190,3910l7253,3900,7317,3891,7398,3881,7493,3868,7597,3855,7708,3840,7821,3825,7933,3810,8042,3795,8142,3781,8230,3768,8303,3757,8390,3740,8440,3727,8511,3711,8596,3693,8688,3674,8781,3654,8869,3635,8944,3616,9000,3600,9053,3588,9126,3578,9213,3569,9309,3563,9407,3558,9501,3554,9586,3552,9654,3550,9700,3550,10290,3550e" filled="false" stroked="true" strokeweight="1pt" strokecolor="#231f20">
              <v:path arrowok="t"/>
              <v:stroke dashstyle="shortdash"/>
            </v:shape>
            <v:rect style="position:absolute;left:7630;top:330;width:220;height:150" filled="true" fillcolor="#ffe098" stroked="false">
              <v:fill type="solid"/>
            </v:rect>
            <v:rect style="position:absolute;left:8756;top:330;width:220;height:150" filled="true" fillcolor="#f48587" stroked="false">
              <v:fill type="solid"/>
            </v:rect>
            <v:rect style="position:absolute;left:8756;top:330;width:220;height:150" filled="false" stroked="true" strokeweight=".75pt" strokecolor="#f05661">
              <v:stroke dashstyle="solid"/>
            </v:rect>
            <v:shape style="position:absolute;left:8343;top:3700;width:80;height:80" coordorigin="8344,3700" coordsize="80,80" path="m8384,3700l8368,3703,8355,3712,8347,3725,8344,3740,8347,3756,8355,3768,8368,3777,8384,3780,8399,3777,8412,3768,8421,3756,8424,3740,8421,3725,8412,3712,8399,3703,8384,3700xe" filled="true" fillcolor="#231f20" stroked="false">
              <v:path arrowok="t"/>
              <v:fill type="solid"/>
            </v:shape>
            <v:line style="position:absolute" from="8261,3486" to="8360,3702" stroked="true" strokeweight=".75pt" strokecolor="#231f20">
              <v:stroke dashstyle="solid"/>
            </v:line>
            <v:shape style="position:absolute;left:7890;top:317;width:6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Free fluid</w:t>
                    </w:r>
                  </w:p>
                </w:txbxContent>
              </v:textbox>
              <w10:wrap type="none"/>
            </v:shape>
            <v:shape style="position:absolute;left:9017;top:317;width:60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Gel fluid</w:t>
                    </w:r>
                  </w:p>
                </w:txbxContent>
              </v:textbox>
              <w10:wrap type="none"/>
            </v:shape>
            <v:shape style="position:absolute;left:9365;top:2537;width:883;height:365" type="#_x0000_t202" filled="false" stroked="false">
              <v:textbox inset="0,0,0,0">
                <w:txbxContent>
                  <w:p>
                    <w:pPr>
                      <w:spacing w:line="235" w:lineRule="auto" w:before="2"/>
                      <w:ind w:left="0" w:right="0" w:firstLine="240"/>
                      <w:jc w:val="left"/>
                      <w:rPr>
                        <w:rFonts w:ascii="Helvetica"/>
                        <w:sz w:val="16"/>
                      </w:rPr>
                    </w:pPr>
                    <w:r>
                      <w:rPr>
                        <w:rFonts w:ascii="Helvetica"/>
                        <w:color w:val="231F20"/>
                        <w:sz w:val="16"/>
                      </w:rPr>
                      <w:t>(High compliance)</w:t>
                    </w:r>
                  </w:p>
                </w:txbxContent>
              </v:textbox>
              <w10:wrap type="none"/>
            </v:shape>
            <v:shape style="position:absolute;left:7960;top:3286;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7303;top:4151;width:12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(Low compliance)</w:t>
                    </w:r>
                  </w:p>
                </w:txbxContent>
              </v:textbox>
              <w10:wrap type="none"/>
            </v:shape>
            <w10:wrap type="none"/>
          </v:group>
        </w:pict>
      </w:r>
      <w:r>
        <w:rPr>
          <w:rFonts w:ascii="Helvetica"/>
          <w:color w:val="231F20"/>
          <w:sz w:val="16"/>
        </w:rPr>
        <w:t>60</w:t>
      </w:r>
    </w:p>
    <w:p>
      <w:pPr>
        <w:spacing w:before="131"/>
        <w:ind w:left="1081" w:right="0" w:firstLine="0"/>
        <w:jc w:val="left"/>
        <w:rPr>
          <w:rFonts w:ascii="Helvetica"/>
          <w:sz w:val="16"/>
        </w:rPr>
      </w:pPr>
      <w:r>
        <w:rPr>
          <w:rFonts w:ascii="Helvetica"/>
          <w:color w:val="231F20"/>
          <w:sz w:val="16"/>
        </w:rPr>
        <w:t>56</w:t>
      </w:r>
    </w:p>
    <w:p>
      <w:pPr>
        <w:spacing w:before="131"/>
        <w:ind w:left="1081" w:right="0" w:firstLine="0"/>
        <w:jc w:val="left"/>
        <w:rPr>
          <w:rFonts w:ascii="Helvetica"/>
          <w:sz w:val="16"/>
        </w:rPr>
      </w:pPr>
      <w:r>
        <w:rPr>
          <w:rFonts w:ascii="Helvetica"/>
          <w:color w:val="231F20"/>
          <w:sz w:val="16"/>
        </w:rPr>
        <w:t>52</w:t>
      </w:r>
    </w:p>
    <w:p>
      <w:pPr>
        <w:spacing w:before="126"/>
        <w:ind w:left="1081" w:right="0" w:firstLine="0"/>
        <w:jc w:val="left"/>
        <w:rPr>
          <w:rFonts w:ascii="Helvetica"/>
          <w:sz w:val="16"/>
        </w:rPr>
      </w:pPr>
      <w:r>
        <w:rPr>
          <w:rFonts w:ascii="Helvetica"/>
          <w:color w:val="231F20"/>
          <w:sz w:val="16"/>
        </w:rPr>
        <w:t>48</w:t>
      </w:r>
    </w:p>
    <w:p>
      <w:pPr>
        <w:spacing w:before="136"/>
        <w:ind w:left="1081" w:right="0" w:firstLine="0"/>
        <w:jc w:val="left"/>
        <w:rPr>
          <w:rFonts w:ascii="Helvetica"/>
          <w:sz w:val="16"/>
        </w:rPr>
      </w:pPr>
      <w:r>
        <w:rPr/>
        <w:pict>
          <v:shape style="position:absolute;margin-left:327.323486pt;margin-top:6.107809pt;width:11.55pt;height:116.25pt;mso-position-horizontal-relative:page;mso-position-vertical-relative:paragraph;z-index:251784192"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Interstitial fluid volume (liters)</w:t>
                  </w:r>
                </w:p>
              </w:txbxContent>
            </v:textbox>
            <w10:wrap type="none"/>
          </v:shape>
        </w:pict>
      </w:r>
      <w:r>
        <w:rPr/>
        <w:pict>
          <v:shape style="position:absolute;margin-left:429.654773pt;margin-top:46.813243pt;width:70.850pt;height:8pt;mso-position-horizontal-relative:page;mso-position-vertical-relative:paragraph;z-index:251785216;rotation:284" type="#_x0000_t136" fillcolor="#231f20" stroked="f">
            <o:extrusion v:ext="view" autorotationcenter="t"/>
            <v:textpath style="font-family:&quot;Helvetica&quot;;font-size:8pt;v-text-kern:t;mso-text-shadow:auto" string="Total interstitial fluid"/>
            <w10:wrap type="none"/>
          </v:shape>
        </w:pict>
      </w:r>
      <w:r>
        <w:rPr>
          <w:rFonts w:ascii="Helvetica"/>
          <w:color w:val="231F20"/>
          <w:sz w:val="16"/>
        </w:rPr>
        <w:t>44</w:t>
      </w:r>
    </w:p>
    <w:p>
      <w:pPr>
        <w:spacing w:before="126"/>
        <w:ind w:left="1081" w:right="0" w:firstLine="0"/>
        <w:jc w:val="left"/>
        <w:rPr>
          <w:rFonts w:ascii="Helvetica"/>
          <w:sz w:val="16"/>
        </w:rPr>
      </w:pPr>
      <w:r>
        <w:rPr>
          <w:rFonts w:ascii="Helvetica"/>
          <w:color w:val="231F20"/>
          <w:sz w:val="16"/>
        </w:rPr>
        <w:t>40</w:t>
      </w:r>
    </w:p>
    <w:p>
      <w:pPr>
        <w:spacing w:before="131"/>
        <w:ind w:left="1081" w:right="0" w:firstLine="0"/>
        <w:jc w:val="left"/>
        <w:rPr>
          <w:rFonts w:ascii="Helvetica"/>
          <w:sz w:val="16"/>
        </w:rPr>
      </w:pPr>
      <w:r>
        <w:rPr>
          <w:rFonts w:ascii="Helvetica"/>
          <w:color w:val="231F20"/>
          <w:sz w:val="16"/>
        </w:rPr>
        <w:t>36</w:t>
      </w:r>
    </w:p>
    <w:p>
      <w:pPr>
        <w:spacing w:before="121"/>
        <w:ind w:left="1081" w:right="0" w:firstLine="0"/>
        <w:jc w:val="left"/>
        <w:rPr>
          <w:rFonts w:ascii="Helvetica"/>
          <w:sz w:val="16"/>
        </w:rPr>
      </w:pPr>
      <w:r>
        <w:rPr>
          <w:rFonts w:ascii="Helvetica"/>
          <w:color w:val="231F20"/>
          <w:sz w:val="16"/>
        </w:rPr>
        <w:t>32</w:t>
      </w:r>
    </w:p>
    <w:p>
      <w:pPr>
        <w:spacing w:before="136"/>
        <w:ind w:left="1081" w:right="0" w:firstLine="0"/>
        <w:jc w:val="left"/>
        <w:rPr>
          <w:rFonts w:ascii="Helvetica"/>
          <w:sz w:val="16"/>
        </w:rPr>
      </w:pPr>
      <w:r>
        <w:rPr>
          <w:rFonts w:ascii="Helvetica"/>
          <w:color w:val="231F20"/>
          <w:sz w:val="16"/>
        </w:rPr>
        <w:t>28</w:t>
      </w:r>
    </w:p>
    <w:p>
      <w:pPr>
        <w:spacing w:before="126"/>
        <w:ind w:left="1081" w:right="0" w:firstLine="0"/>
        <w:jc w:val="left"/>
        <w:rPr>
          <w:rFonts w:ascii="Helvetica"/>
          <w:sz w:val="16"/>
        </w:rPr>
      </w:pPr>
      <w:r>
        <w:rPr>
          <w:rFonts w:ascii="Helvetica"/>
          <w:color w:val="231F20"/>
          <w:sz w:val="16"/>
        </w:rPr>
        <w:t>24</w:t>
      </w:r>
    </w:p>
    <w:p>
      <w:pPr>
        <w:spacing w:before="126"/>
        <w:ind w:left="1081" w:right="0" w:firstLine="0"/>
        <w:jc w:val="left"/>
        <w:rPr>
          <w:rFonts w:ascii="Helvetica"/>
          <w:sz w:val="16"/>
        </w:rPr>
      </w:pPr>
      <w:r>
        <w:rPr>
          <w:rFonts w:ascii="Helvetica"/>
          <w:color w:val="231F20"/>
          <w:sz w:val="16"/>
        </w:rPr>
        <w:t>20</w:t>
      </w:r>
    </w:p>
    <w:p>
      <w:pPr>
        <w:spacing w:before="136"/>
        <w:ind w:left="1081" w:right="0" w:firstLine="0"/>
        <w:jc w:val="left"/>
        <w:rPr>
          <w:rFonts w:ascii="Helvetica"/>
          <w:sz w:val="16"/>
        </w:rPr>
      </w:pPr>
      <w:r>
        <w:rPr>
          <w:rFonts w:ascii="Helvetica"/>
          <w:color w:val="231F20"/>
          <w:sz w:val="16"/>
        </w:rPr>
        <w:t>16</w:t>
      </w:r>
    </w:p>
    <w:p>
      <w:pPr>
        <w:spacing w:before="131"/>
        <w:ind w:left="1081" w:right="0" w:firstLine="0"/>
        <w:jc w:val="left"/>
        <w:rPr>
          <w:rFonts w:ascii="Helvetica"/>
          <w:sz w:val="16"/>
        </w:rPr>
      </w:pPr>
      <w:r>
        <w:rPr>
          <w:rFonts w:ascii="Helvetica"/>
          <w:color w:val="231F20"/>
          <w:sz w:val="16"/>
        </w:rPr>
        <w:t>12</w:t>
      </w:r>
    </w:p>
    <w:p>
      <w:pPr>
        <w:spacing w:before="121"/>
        <w:ind w:left="1170" w:right="0" w:firstLine="0"/>
        <w:jc w:val="left"/>
        <w:rPr>
          <w:rFonts w:ascii="Helvetica"/>
          <w:sz w:val="16"/>
        </w:rPr>
      </w:pPr>
      <w:r>
        <w:rPr>
          <w:rFonts w:ascii="Helvetica"/>
          <w:color w:val="231F20"/>
          <w:w w:val="99"/>
          <w:sz w:val="16"/>
        </w:rPr>
        <w:t>8</w:t>
      </w:r>
    </w:p>
    <w:p>
      <w:pPr>
        <w:spacing w:before="132"/>
        <w:ind w:left="1170" w:right="0" w:firstLine="0"/>
        <w:jc w:val="left"/>
        <w:rPr>
          <w:rFonts w:ascii="Helvetica"/>
          <w:sz w:val="16"/>
        </w:rPr>
      </w:pPr>
      <w:r>
        <w:rPr>
          <w:rFonts w:ascii="Helvetica"/>
          <w:color w:val="231F20"/>
          <w:w w:val="99"/>
          <w:sz w:val="16"/>
        </w:rPr>
        <w:t>4</w:t>
      </w:r>
    </w:p>
    <w:p>
      <w:pPr>
        <w:spacing w:line="177" w:lineRule="exact" w:before="140"/>
        <w:ind w:left="1170" w:right="0" w:firstLine="0"/>
        <w:jc w:val="left"/>
        <w:rPr>
          <w:rFonts w:ascii="Helvetica"/>
          <w:sz w:val="16"/>
        </w:rPr>
      </w:pPr>
      <w:r>
        <w:rPr>
          <w:rFonts w:ascii="Helvetica"/>
          <w:color w:val="231F20"/>
          <w:w w:val="99"/>
          <w:sz w:val="16"/>
        </w:rPr>
        <w:t>0</w:t>
      </w:r>
    </w:p>
    <w:p>
      <w:pPr>
        <w:tabs>
          <w:tab w:pos="2766" w:val="left" w:leader="none"/>
          <w:tab w:pos="3208" w:val="left" w:leader="none"/>
          <w:tab w:pos="3587" w:val="left" w:leader="none"/>
          <w:tab w:pos="3957" w:val="left" w:leader="none"/>
          <w:tab w:pos="4331" w:val="left" w:leader="none"/>
        </w:tabs>
        <w:spacing w:line="189" w:lineRule="exact" w:before="0"/>
        <w:ind w:left="1242" w:right="0" w:firstLine="0"/>
        <w:jc w:val="left"/>
        <w:rPr>
          <w:rFonts w:ascii="Helvetica" w:hAnsi="Helvetica"/>
          <w:sz w:val="16"/>
        </w:rPr>
      </w:pPr>
      <w:r>
        <w:rPr>
          <w:rFonts w:ascii="Symbol" w:hAnsi="Symbol"/>
          <w:color w:val="231F20"/>
          <w:sz w:val="16"/>
        </w:rPr>
        <w:t></w:t>
      </w:r>
      <w:r>
        <w:rPr>
          <w:rFonts w:ascii="Helvetica" w:hAnsi="Helvetica"/>
          <w:color w:val="231F20"/>
          <w:sz w:val="16"/>
        </w:rPr>
        <w:t>10   </w:t>
      </w:r>
      <w:r>
        <w:rPr>
          <w:rFonts w:ascii="Symbol" w:hAnsi="Symbol"/>
          <w:color w:val="231F20"/>
          <w:sz w:val="16"/>
        </w:rPr>
        <w:t></w:t>
      </w:r>
      <w:r>
        <w:rPr>
          <w:rFonts w:ascii="Helvetica" w:hAnsi="Helvetica"/>
          <w:color w:val="231F20"/>
          <w:sz w:val="16"/>
        </w:rPr>
        <w:t>8   </w:t>
      </w:r>
      <w:r>
        <w:rPr>
          <w:rFonts w:ascii="Helvetica" w:hAnsi="Helvetica"/>
          <w:color w:val="231F20"/>
          <w:spacing w:val="20"/>
          <w:sz w:val="16"/>
        </w:rPr>
        <w:t> </w:t>
      </w:r>
      <w:r>
        <w:rPr>
          <w:rFonts w:ascii="Symbol" w:hAnsi="Symbol"/>
          <w:color w:val="231F20"/>
          <w:sz w:val="16"/>
        </w:rPr>
        <w:t></w:t>
      </w:r>
      <w:r>
        <w:rPr>
          <w:rFonts w:ascii="Helvetica" w:hAnsi="Helvetica"/>
          <w:color w:val="231F20"/>
          <w:sz w:val="16"/>
        </w:rPr>
        <w:t>6   </w:t>
      </w:r>
      <w:r>
        <w:rPr>
          <w:rFonts w:ascii="Helvetica" w:hAnsi="Helvetica"/>
          <w:color w:val="231F20"/>
          <w:spacing w:val="15"/>
          <w:sz w:val="16"/>
        </w:rPr>
        <w:t> </w:t>
      </w:r>
      <w:r>
        <w:rPr>
          <w:rFonts w:ascii="Symbol" w:hAnsi="Symbol"/>
          <w:color w:val="231F20"/>
          <w:sz w:val="16"/>
        </w:rPr>
        <w:t></w:t>
      </w:r>
      <w:r>
        <w:rPr>
          <w:rFonts w:ascii="Helvetica" w:hAnsi="Helvetica"/>
          <w:color w:val="231F20"/>
          <w:sz w:val="16"/>
        </w:rPr>
        <w:t>4</w:t>
        <w:tab/>
      </w:r>
      <w:r>
        <w:rPr>
          <w:rFonts w:ascii="Symbol" w:hAnsi="Symbol"/>
          <w:color w:val="231F20"/>
          <w:sz w:val="16"/>
        </w:rPr>
        <w:t></w:t>
      </w:r>
      <w:r>
        <w:rPr>
          <w:rFonts w:ascii="Helvetica" w:hAnsi="Helvetica"/>
          <w:color w:val="231F20"/>
          <w:sz w:val="16"/>
        </w:rPr>
        <w:t>2</w:t>
        <w:tab/>
        <w:t>0</w:t>
        <w:tab/>
        <w:t>2</w:t>
        <w:tab/>
        <w:t>4</w:t>
        <w:tab/>
        <w:t>6</w:t>
      </w:r>
    </w:p>
    <w:p>
      <w:pPr>
        <w:spacing w:line="235" w:lineRule="auto" w:before="55"/>
        <w:ind w:left="2558" w:right="2434" w:hanging="779"/>
        <w:jc w:val="left"/>
        <w:rPr>
          <w:rFonts w:ascii="Helvetica"/>
          <w:b/>
          <w:sz w:val="16"/>
        </w:rPr>
      </w:pPr>
      <w:r>
        <w:rPr>
          <w:rFonts w:ascii="Helvetica"/>
          <w:b/>
          <w:color w:val="231F20"/>
          <w:sz w:val="16"/>
        </w:rPr>
        <w:t>Interstitial free fluid pressure (mm Hg)</w:t>
      </w:r>
    </w:p>
    <w:p>
      <w:pPr>
        <w:spacing w:line="256" w:lineRule="auto" w:before="92"/>
        <w:ind w:left="319" w:right="1437" w:firstLine="0"/>
        <w:jc w:val="both"/>
        <w:rPr>
          <w:rFonts w:ascii="Lucida Sans"/>
          <w:i/>
          <w:sz w:val="16"/>
        </w:rPr>
      </w:pPr>
      <w:bookmarkStart w:name="_bookmark11" w:id="12"/>
      <w:bookmarkEnd w:id="12"/>
      <w:r>
        <w:rPr/>
      </w:r>
      <w:r>
        <w:rPr>
          <w:rFonts w:ascii="Trebuchet MS"/>
          <w:b/>
          <w:color w:val="231F20"/>
          <w:sz w:val="16"/>
        </w:rPr>
        <w:t>Figure</w:t>
      </w:r>
      <w:r>
        <w:rPr>
          <w:rFonts w:ascii="Trebuchet MS"/>
          <w:b/>
          <w:color w:val="231F20"/>
          <w:spacing w:val="-13"/>
          <w:sz w:val="16"/>
        </w:rPr>
        <w:t> </w:t>
      </w:r>
      <w:r>
        <w:rPr>
          <w:rFonts w:ascii="Trebuchet MS"/>
          <w:b/>
          <w:color w:val="231F20"/>
          <w:sz w:val="16"/>
        </w:rPr>
        <w:t>25-8.</w:t>
      </w:r>
      <w:r>
        <w:rPr>
          <w:rFonts w:ascii="Trebuchet MS"/>
          <w:b/>
          <w:color w:val="231F20"/>
          <w:spacing w:val="2"/>
          <w:sz w:val="16"/>
        </w:rPr>
        <w:t> </w:t>
      </w:r>
      <w:r>
        <w:rPr>
          <w:rFonts w:ascii="Arial"/>
          <w:color w:val="231F20"/>
          <w:sz w:val="16"/>
        </w:rPr>
        <w:t>Relation</w:t>
      </w:r>
      <w:r>
        <w:rPr>
          <w:rFonts w:ascii="Arial"/>
          <w:color w:val="231F20"/>
          <w:spacing w:val="-9"/>
          <w:sz w:val="16"/>
        </w:rPr>
        <w:t> </w:t>
      </w:r>
      <w:r>
        <w:rPr>
          <w:rFonts w:ascii="Arial"/>
          <w:color w:val="231F20"/>
          <w:sz w:val="16"/>
        </w:rPr>
        <w:t>between</w:t>
      </w:r>
      <w:r>
        <w:rPr>
          <w:rFonts w:ascii="Arial"/>
          <w:color w:val="231F20"/>
          <w:spacing w:val="-10"/>
          <w:sz w:val="16"/>
        </w:rPr>
        <w:t> </w:t>
      </w:r>
      <w:r>
        <w:rPr>
          <w:rFonts w:ascii="Arial"/>
          <w:color w:val="231F20"/>
          <w:sz w:val="16"/>
        </w:rPr>
        <w:t>interstitial</w:t>
      </w:r>
      <w:r>
        <w:rPr>
          <w:rFonts w:ascii="Arial"/>
          <w:color w:val="231F20"/>
          <w:spacing w:val="-9"/>
          <w:sz w:val="16"/>
        </w:rPr>
        <w:t> </w:t>
      </w:r>
      <w:r>
        <w:rPr>
          <w:rFonts w:ascii="Arial"/>
          <w:color w:val="231F20"/>
          <w:sz w:val="16"/>
        </w:rPr>
        <w:t>fluid</w:t>
      </w:r>
      <w:r>
        <w:rPr>
          <w:rFonts w:ascii="Arial"/>
          <w:color w:val="231F20"/>
          <w:spacing w:val="-9"/>
          <w:sz w:val="16"/>
        </w:rPr>
        <w:t> </w:t>
      </w:r>
      <w:r>
        <w:rPr>
          <w:rFonts w:ascii="Arial"/>
          <w:color w:val="231F20"/>
          <w:sz w:val="16"/>
        </w:rPr>
        <w:t>hydrostatic</w:t>
      </w:r>
      <w:r>
        <w:rPr>
          <w:rFonts w:ascii="Arial"/>
          <w:color w:val="231F20"/>
          <w:spacing w:val="-9"/>
          <w:sz w:val="16"/>
        </w:rPr>
        <w:t> </w:t>
      </w:r>
      <w:r>
        <w:rPr>
          <w:rFonts w:ascii="Arial"/>
          <w:color w:val="231F20"/>
          <w:spacing w:val="-3"/>
          <w:sz w:val="16"/>
        </w:rPr>
        <w:t>pressure </w:t>
      </w:r>
      <w:r>
        <w:rPr>
          <w:rFonts w:ascii="Arial"/>
          <w:color w:val="231F20"/>
          <w:sz w:val="16"/>
        </w:rPr>
        <w:t>and interstitial fluid volumes, including total volume, free </w:t>
      </w:r>
      <w:r>
        <w:rPr>
          <w:rFonts w:ascii="Arial"/>
          <w:color w:val="231F20"/>
          <w:spacing w:val="-3"/>
          <w:sz w:val="16"/>
        </w:rPr>
        <w:t>fluid </w:t>
      </w:r>
      <w:r>
        <w:rPr>
          <w:rFonts w:ascii="Arial"/>
          <w:color w:val="231F20"/>
          <w:sz w:val="16"/>
        </w:rPr>
        <w:t>volume, and gel fluid volume, for loose tissues such as skin. </w:t>
      </w:r>
      <w:r>
        <w:rPr>
          <w:rFonts w:ascii="Arial"/>
          <w:color w:val="231F20"/>
          <w:spacing w:val="-3"/>
          <w:sz w:val="16"/>
        </w:rPr>
        <w:t>Note </w:t>
      </w:r>
      <w:r>
        <w:rPr>
          <w:rFonts w:ascii="Arial"/>
          <w:color w:val="231F20"/>
          <w:sz w:val="16"/>
        </w:rPr>
        <w:t>that significant amounts of free fluid occur only when the </w:t>
      </w:r>
      <w:r>
        <w:rPr>
          <w:rFonts w:ascii="Arial"/>
          <w:color w:val="231F20"/>
          <w:spacing w:val="-2"/>
          <w:sz w:val="16"/>
        </w:rPr>
        <w:t>interstitial </w:t>
      </w:r>
      <w:r>
        <w:rPr>
          <w:rFonts w:ascii="Arial"/>
          <w:color w:val="231F20"/>
          <w:w w:val="95"/>
          <w:sz w:val="16"/>
        </w:rPr>
        <w:t>fluid</w:t>
      </w:r>
      <w:r>
        <w:rPr>
          <w:rFonts w:ascii="Arial"/>
          <w:color w:val="231F20"/>
          <w:spacing w:val="-17"/>
          <w:w w:val="95"/>
          <w:sz w:val="16"/>
        </w:rPr>
        <w:t> </w:t>
      </w:r>
      <w:r>
        <w:rPr>
          <w:rFonts w:ascii="Arial"/>
          <w:color w:val="231F20"/>
          <w:w w:val="95"/>
          <w:sz w:val="16"/>
        </w:rPr>
        <w:t>pressure</w:t>
      </w:r>
      <w:r>
        <w:rPr>
          <w:rFonts w:ascii="Arial"/>
          <w:color w:val="231F20"/>
          <w:spacing w:val="-17"/>
          <w:w w:val="95"/>
          <w:sz w:val="16"/>
        </w:rPr>
        <w:t> </w:t>
      </w:r>
      <w:r>
        <w:rPr>
          <w:rFonts w:ascii="Arial"/>
          <w:color w:val="231F20"/>
          <w:w w:val="95"/>
          <w:sz w:val="16"/>
        </w:rPr>
        <w:t>becomes</w:t>
      </w:r>
      <w:r>
        <w:rPr>
          <w:rFonts w:ascii="Arial"/>
          <w:color w:val="231F20"/>
          <w:spacing w:val="-17"/>
          <w:w w:val="95"/>
          <w:sz w:val="16"/>
        </w:rPr>
        <w:t> </w:t>
      </w:r>
      <w:r>
        <w:rPr>
          <w:rFonts w:ascii="Arial"/>
          <w:color w:val="231F20"/>
          <w:w w:val="95"/>
          <w:sz w:val="16"/>
        </w:rPr>
        <w:t>positive.</w:t>
      </w:r>
      <w:r>
        <w:rPr>
          <w:rFonts w:ascii="Arial"/>
          <w:color w:val="231F20"/>
          <w:spacing w:val="-16"/>
          <w:w w:val="95"/>
          <w:sz w:val="16"/>
        </w:rPr>
        <w:t> </w:t>
      </w:r>
      <w:r>
        <w:rPr>
          <w:rFonts w:ascii="Lucida Sans"/>
          <w:i/>
          <w:color w:val="231F20"/>
          <w:w w:val="95"/>
          <w:sz w:val="16"/>
        </w:rPr>
        <w:t>(Modified</w:t>
      </w:r>
      <w:r>
        <w:rPr>
          <w:rFonts w:ascii="Lucida Sans"/>
          <w:i/>
          <w:color w:val="231F20"/>
          <w:spacing w:val="-23"/>
          <w:w w:val="95"/>
          <w:sz w:val="16"/>
        </w:rPr>
        <w:t> </w:t>
      </w:r>
      <w:r>
        <w:rPr>
          <w:rFonts w:ascii="Lucida Sans"/>
          <w:i/>
          <w:color w:val="231F20"/>
          <w:w w:val="95"/>
          <w:sz w:val="16"/>
        </w:rPr>
        <w:t>from</w:t>
      </w:r>
      <w:r>
        <w:rPr>
          <w:rFonts w:ascii="Lucida Sans"/>
          <w:i/>
          <w:color w:val="231F20"/>
          <w:spacing w:val="-22"/>
          <w:w w:val="95"/>
          <w:sz w:val="16"/>
        </w:rPr>
        <w:t> </w:t>
      </w:r>
      <w:r>
        <w:rPr>
          <w:rFonts w:ascii="Lucida Sans"/>
          <w:i/>
          <w:color w:val="231F20"/>
          <w:w w:val="95"/>
          <w:sz w:val="16"/>
        </w:rPr>
        <w:t>Guyton</w:t>
      </w:r>
      <w:r>
        <w:rPr>
          <w:rFonts w:ascii="Lucida Sans"/>
          <w:i/>
          <w:color w:val="231F20"/>
          <w:spacing w:val="-23"/>
          <w:w w:val="95"/>
          <w:sz w:val="16"/>
        </w:rPr>
        <w:t> </w:t>
      </w:r>
      <w:r>
        <w:rPr>
          <w:rFonts w:ascii="Lucida Sans"/>
          <w:i/>
          <w:color w:val="231F20"/>
          <w:w w:val="95"/>
          <w:sz w:val="16"/>
        </w:rPr>
        <w:t>AC,</w:t>
      </w:r>
      <w:r>
        <w:rPr>
          <w:rFonts w:ascii="Lucida Sans"/>
          <w:i/>
          <w:color w:val="231F20"/>
          <w:spacing w:val="-22"/>
          <w:w w:val="95"/>
          <w:sz w:val="16"/>
        </w:rPr>
        <w:t> </w:t>
      </w:r>
      <w:r>
        <w:rPr>
          <w:rFonts w:ascii="Lucida Sans"/>
          <w:i/>
          <w:color w:val="231F20"/>
          <w:w w:val="95"/>
          <w:sz w:val="16"/>
        </w:rPr>
        <w:t>Granger </w:t>
      </w:r>
      <w:r>
        <w:rPr>
          <w:rFonts w:ascii="Lucida Sans"/>
          <w:i/>
          <w:color w:val="231F20"/>
          <w:w w:val="90"/>
          <w:sz w:val="16"/>
        </w:rPr>
        <w:t>HJ,</w:t>
      </w:r>
      <w:r>
        <w:rPr>
          <w:rFonts w:ascii="Lucida Sans"/>
          <w:i/>
          <w:color w:val="231F20"/>
          <w:spacing w:val="-11"/>
          <w:w w:val="90"/>
          <w:sz w:val="16"/>
        </w:rPr>
        <w:t> </w:t>
      </w:r>
      <w:r>
        <w:rPr>
          <w:rFonts w:ascii="Lucida Sans"/>
          <w:i/>
          <w:color w:val="231F20"/>
          <w:spacing w:val="-3"/>
          <w:w w:val="90"/>
          <w:sz w:val="16"/>
        </w:rPr>
        <w:t>Taylor</w:t>
      </w:r>
      <w:r>
        <w:rPr>
          <w:rFonts w:ascii="Lucida Sans"/>
          <w:i/>
          <w:color w:val="231F20"/>
          <w:spacing w:val="-11"/>
          <w:w w:val="90"/>
          <w:sz w:val="16"/>
        </w:rPr>
        <w:t> </w:t>
      </w:r>
      <w:r>
        <w:rPr>
          <w:rFonts w:ascii="Lucida Sans"/>
          <w:i/>
          <w:color w:val="231F20"/>
          <w:w w:val="90"/>
          <w:sz w:val="16"/>
        </w:rPr>
        <w:t>AE:</w:t>
      </w:r>
      <w:r>
        <w:rPr>
          <w:rFonts w:ascii="Lucida Sans"/>
          <w:i/>
          <w:color w:val="231F20"/>
          <w:spacing w:val="-10"/>
          <w:w w:val="90"/>
          <w:sz w:val="16"/>
        </w:rPr>
        <w:t> </w:t>
      </w:r>
      <w:r>
        <w:rPr>
          <w:rFonts w:ascii="Lucida Sans"/>
          <w:i/>
          <w:color w:val="231F20"/>
          <w:w w:val="90"/>
          <w:sz w:val="16"/>
        </w:rPr>
        <w:t>Interstitial</w:t>
      </w:r>
      <w:r>
        <w:rPr>
          <w:rFonts w:ascii="Lucida Sans"/>
          <w:i/>
          <w:color w:val="231F20"/>
          <w:spacing w:val="-11"/>
          <w:w w:val="90"/>
          <w:sz w:val="16"/>
        </w:rPr>
        <w:t> </w:t>
      </w:r>
      <w:r>
        <w:rPr>
          <w:rFonts w:ascii="Lucida Sans"/>
          <w:i/>
          <w:color w:val="231F20"/>
          <w:w w:val="90"/>
          <w:sz w:val="16"/>
        </w:rPr>
        <w:t>fluid</w:t>
      </w:r>
      <w:r>
        <w:rPr>
          <w:rFonts w:ascii="Lucida Sans"/>
          <w:i/>
          <w:color w:val="231F20"/>
          <w:spacing w:val="-11"/>
          <w:w w:val="90"/>
          <w:sz w:val="16"/>
        </w:rPr>
        <w:t> </w:t>
      </w:r>
      <w:r>
        <w:rPr>
          <w:rFonts w:ascii="Lucida Sans"/>
          <w:i/>
          <w:color w:val="231F20"/>
          <w:w w:val="90"/>
          <w:sz w:val="16"/>
        </w:rPr>
        <w:t>pressure.</w:t>
      </w:r>
      <w:r>
        <w:rPr>
          <w:rFonts w:ascii="Lucida Sans"/>
          <w:i/>
          <w:color w:val="231F20"/>
          <w:spacing w:val="-10"/>
          <w:w w:val="90"/>
          <w:sz w:val="16"/>
        </w:rPr>
        <w:t> </w:t>
      </w:r>
      <w:r>
        <w:rPr>
          <w:rFonts w:ascii="Lucida Sans"/>
          <w:i/>
          <w:color w:val="231F20"/>
          <w:w w:val="90"/>
          <w:sz w:val="16"/>
        </w:rPr>
        <w:t>Physiol</w:t>
      </w:r>
      <w:r>
        <w:rPr>
          <w:rFonts w:ascii="Lucida Sans"/>
          <w:i/>
          <w:color w:val="231F20"/>
          <w:spacing w:val="-11"/>
          <w:w w:val="90"/>
          <w:sz w:val="16"/>
        </w:rPr>
        <w:t> </w:t>
      </w:r>
      <w:r>
        <w:rPr>
          <w:rFonts w:ascii="Lucida Sans"/>
          <w:i/>
          <w:color w:val="231F20"/>
          <w:w w:val="90"/>
          <w:sz w:val="16"/>
        </w:rPr>
        <w:t>Rev</w:t>
      </w:r>
      <w:r>
        <w:rPr>
          <w:rFonts w:ascii="Lucida Sans"/>
          <w:i/>
          <w:color w:val="231F20"/>
          <w:spacing w:val="-11"/>
          <w:w w:val="90"/>
          <w:sz w:val="16"/>
        </w:rPr>
        <w:t> </w:t>
      </w:r>
      <w:r>
        <w:rPr>
          <w:rFonts w:ascii="Lucida Sans"/>
          <w:i/>
          <w:color w:val="231F20"/>
          <w:w w:val="90"/>
          <w:sz w:val="16"/>
        </w:rPr>
        <w:t>51:527,</w:t>
      </w:r>
      <w:r>
        <w:rPr>
          <w:rFonts w:ascii="Lucida Sans"/>
          <w:i/>
          <w:color w:val="231F20"/>
          <w:spacing w:val="-10"/>
          <w:w w:val="90"/>
          <w:sz w:val="16"/>
        </w:rPr>
        <w:t> </w:t>
      </w:r>
      <w:r>
        <w:rPr>
          <w:rFonts w:ascii="Lucida Sans"/>
          <w:i/>
          <w:color w:val="231F20"/>
          <w:w w:val="90"/>
          <w:sz w:val="16"/>
        </w:rPr>
        <w:t>1971.)</w:t>
      </w:r>
    </w:p>
    <w:p>
      <w:pPr>
        <w:spacing w:after="0" w:line="256" w:lineRule="auto"/>
        <w:jc w:val="both"/>
        <w:rPr>
          <w:rFonts w:ascii="Lucida Sans"/>
          <w:sz w:val="16"/>
        </w:rPr>
        <w:sectPr>
          <w:type w:val="continuous"/>
          <w:pgSz w:w="12240" w:h="15660"/>
          <w:pgMar w:top="0" w:bottom="760" w:left="0" w:right="0"/>
          <w:cols w:num="2" w:equalWidth="0">
            <w:col w:w="5761" w:space="40"/>
            <w:col w:w="6439"/>
          </w:cols>
        </w:sect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0"/>
        <w:rPr>
          <w:rFonts w:ascii="Lucida Sans"/>
          <w:i/>
          <w:sz w:val="19"/>
        </w:rPr>
      </w:pPr>
    </w:p>
    <w:p>
      <w:pPr>
        <w:spacing w:after="0"/>
        <w:rPr>
          <w:rFonts w:ascii="Lucida Sans"/>
          <w:sz w:val="19"/>
        </w:rPr>
        <w:sectPr>
          <w:headerReference w:type="default" r:id="rId77"/>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7361792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w10:wrap type="none"/>
          </v:group>
        </w:pict>
      </w:r>
      <w:r>
        <w:rPr>
          <w:color w:val="231F20"/>
          <w:w w:val="105"/>
        </w:rPr>
        <w:t>of</w:t>
      </w:r>
      <w:r>
        <w:rPr>
          <w:color w:val="231F20"/>
          <w:spacing w:val="-27"/>
          <w:w w:val="105"/>
        </w:rPr>
        <w:t> </w:t>
      </w:r>
      <w:r>
        <w:rPr>
          <w:color w:val="231F20"/>
          <w:w w:val="105"/>
        </w:rPr>
        <w:t>capillary</w:t>
      </w:r>
      <w:r>
        <w:rPr>
          <w:color w:val="231F20"/>
          <w:spacing w:val="-27"/>
          <w:w w:val="105"/>
        </w:rPr>
        <w:t> </w:t>
      </w:r>
      <w:r>
        <w:rPr>
          <w:color w:val="231F20"/>
          <w:w w:val="105"/>
        </w:rPr>
        <w:t>filtration</w:t>
      </w:r>
      <w:r>
        <w:rPr>
          <w:color w:val="231F20"/>
          <w:spacing w:val="-27"/>
          <w:w w:val="105"/>
        </w:rPr>
        <w:t> </w:t>
      </w:r>
      <w:r>
        <w:rPr>
          <w:color w:val="231F20"/>
          <w:w w:val="105"/>
        </w:rPr>
        <w:t>discussed</w:t>
      </w:r>
      <w:r>
        <w:rPr>
          <w:color w:val="231F20"/>
          <w:spacing w:val="-27"/>
          <w:w w:val="105"/>
        </w:rPr>
        <w:t> </w:t>
      </w:r>
      <w:r>
        <w:rPr>
          <w:color w:val="231F20"/>
          <w:w w:val="105"/>
        </w:rPr>
        <w:t>previously.</w:t>
      </w:r>
      <w:r>
        <w:rPr>
          <w:color w:val="231F20"/>
          <w:spacing w:val="-27"/>
          <w:w w:val="105"/>
        </w:rPr>
        <w:t> </w:t>
      </w:r>
      <w:r>
        <w:rPr>
          <w:color w:val="231F20"/>
          <w:w w:val="105"/>
        </w:rPr>
        <w:t>When</w:t>
      </w:r>
      <w:r>
        <w:rPr>
          <w:color w:val="231F20"/>
          <w:spacing w:val="-27"/>
          <w:w w:val="105"/>
        </w:rPr>
        <w:t> </w:t>
      </w:r>
      <w:r>
        <w:rPr>
          <w:color w:val="231F20"/>
          <w:spacing w:val="-3"/>
          <w:w w:val="105"/>
        </w:rPr>
        <w:t>intersti­ </w:t>
      </w:r>
      <w:r>
        <w:rPr>
          <w:color w:val="231F20"/>
          <w:w w:val="105"/>
        </w:rPr>
        <w:t>tial fluid hydrostatic pressure increases, this increased pressure tends to oppose further capillary </w:t>
      </w:r>
      <w:r>
        <w:rPr>
          <w:color w:val="231F20"/>
          <w:spacing w:val="-3"/>
          <w:w w:val="105"/>
        </w:rPr>
        <w:t>filtration. </w:t>
      </w:r>
      <w:r>
        <w:rPr>
          <w:color w:val="231F20"/>
          <w:w w:val="105"/>
        </w:rPr>
        <w:t>Therefore,</w:t>
      </w:r>
      <w:r>
        <w:rPr>
          <w:color w:val="231F20"/>
          <w:spacing w:val="-25"/>
          <w:w w:val="105"/>
        </w:rPr>
        <w:t> </w:t>
      </w:r>
      <w:r>
        <w:rPr>
          <w:color w:val="231F20"/>
          <w:w w:val="105"/>
        </w:rPr>
        <w:t>as</w:t>
      </w:r>
      <w:r>
        <w:rPr>
          <w:color w:val="231F20"/>
          <w:spacing w:val="-25"/>
          <w:w w:val="105"/>
        </w:rPr>
        <w:t> </w:t>
      </w:r>
      <w:r>
        <w:rPr>
          <w:color w:val="231F20"/>
          <w:w w:val="105"/>
        </w:rPr>
        <w:t>long</w:t>
      </w:r>
      <w:r>
        <w:rPr>
          <w:color w:val="231F20"/>
          <w:spacing w:val="-25"/>
          <w:w w:val="105"/>
        </w:rPr>
        <w:t> </w:t>
      </w:r>
      <w:r>
        <w:rPr>
          <w:color w:val="231F20"/>
          <w:w w:val="105"/>
        </w:rPr>
        <w:t>as</w:t>
      </w:r>
      <w:r>
        <w:rPr>
          <w:color w:val="231F20"/>
          <w:spacing w:val="-25"/>
          <w:w w:val="105"/>
        </w:rPr>
        <w:t> </w:t>
      </w:r>
      <w:r>
        <w:rPr>
          <w:color w:val="231F20"/>
          <w:w w:val="105"/>
        </w:rPr>
        <w:t>the</w:t>
      </w:r>
      <w:r>
        <w:rPr>
          <w:color w:val="231F20"/>
          <w:spacing w:val="-24"/>
          <w:w w:val="105"/>
        </w:rPr>
        <w:t> </w:t>
      </w:r>
      <w:r>
        <w:rPr>
          <w:color w:val="231F20"/>
          <w:w w:val="105"/>
        </w:rPr>
        <w:t>interstitial</w:t>
      </w:r>
      <w:r>
        <w:rPr>
          <w:color w:val="231F20"/>
          <w:spacing w:val="-25"/>
          <w:w w:val="105"/>
        </w:rPr>
        <w:t> </w:t>
      </w:r>
      <w:r>
        <w:rPr>
          <w:color w:val="231F20"/>
          <w:w w:val="105"/>
        </w:rPr>
        <w:t>fluid</w:t>
      </w:r>
      <w:r>
        <w:rPr>
          <w:color w:val="231F20"/>
          <w:spacing w:val="-25"/>
          <w:w w:val="105"/>
        </w:rPr>
        <w:t> </w:t>
      </w:r>
      <w:r>
        <w:rPr>
          <w:color w:val="231F20"/>
          <w:w w:val="105"/>
        </w:rPr>
        <w:t>hydrostatic</w:t>
      </w:r>
      <w:r>
        <w:rPr>
          <w:color w:val="231F20"/>
          <w:spacing w:val="-25"/>
          <w:w w:val="105"/>
        </w:rPr>
        <w:t> </w:t>
      </w:r>
      <w:r>
        <w:rPr>
          <w:color w:val="231F20"/>
          <w:spacing w:val="-3"/>
          <w:w w:val="105"/>
        </w:rPr>
        <w:t>pres­ </w:t>
      </w:r>
      <w:r>
        <w:rPr>
          <w:color w:val="231F20"/>
          <w:w w:val="105"/>
        </w:rPr>
        <w:t>sure is in the negative pressure range, small increases</w:t>
      </w:r>
      <w:r>
        <w:rPr>
          <w:color w:val="231F20"/>
          <w:spacing w:val="-30"/>
          <w:w w:val="105"/>
        </w:rPr>
        <w:t> </w:t>
      </w:r>
      <w:r>
        <w:rPr>
          <w:color w:val="231F20"/>
          <w:w w:val="105"/>
        </w:rPr>
        <w:t>in interstitial</w:t>
      </w:r>
      <w:r>
        <w:rPr>
          <w:color w:val="231F20"/>
          <w:spacing w:val="-26"/>
          <w:w w:val="105"/>
        </w:rPr>
        <w:t> </w:t>
      </w:r>
      <w:r>
        <w:rPr>
          <w:color w:val="231F20"/>
          <w:w w:val="105"/>
        </w:rPr>
        <w:t>fluid</w:t>
      </w:r>
      <w:r>
        <w:rPr>
          <w:color w:val="231F20"/>
          <w:spacing w:val="-25"/>
          <w:w w:val="105"/>
        </w:rPr>
        <w:t> </w:t>
      </w:r>
      <w:r>
        <w:rPr>
          <w:color w:val="231F20"/>
          <w:w w:val="105"/>
        </w:rPr>
        <w:t>volume</w:t>
      </w:r>
      <w:r>
        <w:rPr>
          <w:color w:val="231F20"/>
          <w:spacing w:val="-25"/>
          <w:w w:val="105"/>
        </w:rPr>
        <w:t> </w:t>
      </w:r>
      <w:r>
        <w:rPr>
          <w:color w:val="231F20"/>
          <w:w w:val="105"/>
        </w:rPr>
        <w:t>cause</w:t>
      </w:r>
      <w:r>
        <w:rPr>
          <w:color w:val="231F20"/>
          <w:spacing w:val="-25"/>
          <w:w w:val="105"/>
        </w:rPr>
        <w:t> </w:t>
      </w:r>
      <w:r>
        <w:rPr>
          <w:color w:val="231F20"/>
          <w:w w:val="105"/>
        </w:rPr>
        <w:t>relatively</w:t>
      </w:r>
      <w:r>
        <w:rPr>
          <w:color w:val="231F20"/>
          <w:spacing w:val="-25"/>
          <w:w w:val="105"/>
        </w:rPr>
        <w:t> </w:t>
      </w:r>
      <w:r>
        <w:rPr>
          <w:color w:val="231F20"/>
          <w:w w:val="105"/>
        </w:rPr>
        <w:t>large</w:t>
      </w:r>
      <w:r>
        <w:rPr>
          <w:color w:val="231F20"/>
          <w:spacing w:val="-25"/>
          <w:w w:val="105"/>
        </w:rPr>
        <w:t> </w:t>
      </w:r>
      <w:r>
        <w:rPr>
          <w:color w:val="231F20"/>
          <w:w w:val="105"/>
        </w:rPr>
        <w:t>increases</w:t>
      </w:r>
      <w:r>
        <w:rPr>
          <w:color w:val="231F20"/>
          <w:spacing w:val="-25"/>
          <w:w w:val="105"/>
        </w:rPr>
        <w:t> </w:t>
      </w:r>
      <w:r>
        <w:rPr>
          <w:color w:val="231F20"/>
          <w:spacing w:val="-6"/>
          <w:w w:val="105"/>
        </w:rPr>
        <w:t>in </w:t>
      </w:r>
      <w:r>
        <w:rPr>
          <w:color w:val="231F20"/>
          <w:w w:val="105"/>
        </w:rPr>
        <w:t>interstitial fluid hydrostatic pressure, opposing further filtration of fluid into the</w:t>
      </w:r>
      <w:r>
        <w:rPr>
          <w:color w:val="231F20"/>
          <w:spacing w:val="8"/>
          <w:w w:val="105"/>
        </w:rPr>
        <w:t> </w:t>
      </w:r>
      <w:r>
        <w:rPr>
          <w:color w:val="231F20"/>
          <w:w w:val="105"/>
        </w:rPr>
        <w:t>tissues.</w:t>
      </w:r>
    </w:p>
    <w:p>
      <w:pPr>
        <w:pStyle w:val="BodyText"/>
        <w:spacing w:line="249" w:lineRule="auto" w:before="6"/>
        <w:ind w:left="1440" w:firstLine="240"/>
        <w:jc w:val="both"/>
      </w:pPr>
      <w:r>
        <w:rPr>
          <w:color w:val="231F20"/>
          <w:w w:val="105"/>
        </w:rPr>
        <w:t>Because the normal interstitial fluid hydrostatic</w:t>
      </w:r>
      <w:r>
        <w:rPr>
          <w:color w:val="231F20"/>
          <w:spacing w:val="-35"/>
          <w:w w:val="105"/>
        </w:rPr>
        <w:t> </w:t>
      </w:r>
      <w:r>
        <w:rPr>
          <w:color w:val="231F20"/>
          <w:w w:val="105"/>
        </w:rPr>
        <w:t>pres­ sure is </w:t>
      </w:r>
      <w:r>
        <w:rPr>
          <w:rFonts w:ascii="Consolas" w:hAnsi="Consolas"/>
          <w:color w:val="231F20"/>
          <w:w w:val="105"/>
        </w:rPr>
        <w:t>−</w:t>
      </w:r>
      <w:r>
        <w:rPr>
          <w:color w:val="231F20"/>
          <w:w w:val="105"/>
        </w:rPr>
        <w:t>3 mm Hg, the interstitial fluid hydrostatic </w:t>
      </w:r>
      <w:r>
        <w:rPr>
          <w:color w:val="231F20"/>
          <w:spacing w:val="-3"/>
          <w:w w:val="105"/>
        </w:rPr>
        <w:t>pres­ </w:t>
      </w:r>
      <w:r>
        <w:rPr>
          <w:color w:val="231F20"/>
          <w:w w:val="105"/>
        </w:rPr>
        <w:t>sure must increase by about 3 mm Hg before large amounts of fluid will begin to accumulate in the</w:t>
      </w:r>
      <w:r>
        <w:rPr>
          <w:color w:val="231F20"/>
          <w:spacing w:val="-36"/>
          <w:w w:val="105"/>
        </w:rPr>
        <w:t> </w:t>
      </w:r>
      <w:r>
        <w:rPr>
          <w:color w:val="231F20"/>
          <w:w w:val="105"/>
        </w:rPr>
        <w:t>tissues. Therefore,</w:t>
      </w:r>
      <w:r>
        <w:rPr>
          <w:color w:val="231F20"/>
          <w:spacing w:val="-9"/>
          <w:w w:val="105"/>
        </w:rPr>
        <w:t> </w:t>
      </w:r>
      <w:r>
        <w:rPr>
          <w:color w:val="231F20"/>
          <w:w w:val="105"/>
        </w:rPr>
        <w:t>the</w:t>
      </w:r>
      <w:r>
        <w:rPr>
          <w:color w:val="231F20"/>
          <w:spacing w:val="-8"/>
          <w:w w:val="105"/>
        </w:rPr>
        <w:t> </w:t>
      </w:r>
      <w:r>
        <w:rPr>
          <w:color w:val="231F20"/>
          <w:w w:val="105"/>
        </w:rPr>
        <w:t>safety</w:t>
      </w:r>
      <w:r>
        <w:rPr>
          <w:color w:val="231F20"/>
          <w:spacing w:val="-8"/>
          <w:w w:val="105"/>
        </w:rPr>
        <w:t> </w:t>
      </w:r>
      <w:r>
        <w:rPr>
          <w:color w:val="231F20"/>
          <w:w w:val="105"/>
        </w:rPr>
        <w:t>factor</w:t>
      </w:r>
      <w:r>
        <w:rPr>
          <w:color w:val="231F20"/>
          <w:spacing w:val="-8"/>
          <w:w w:val="105"/>
        </w:rPr>
        <w:t> </w:t>
      </w:r>
      <w:r>
        <w:rPr>
          <w:color w:val="231F20"/>
          <w:w w:val="105"/>
        </w:rPr>
        <w:t>against</w:t>
      </w:r>
      <w:r>
        <w:rPr>
          <w:color w:val="231F20"/>
          <w:spacing w:val="-9"/>
          <w:w w:val="105"/>
        </w:rPr>
        <w:t> </w:t>
      </w:r>
      <w:r>
        <w:rPr>
          <w:color w:val="231F20"/>
          <w:w w:val="105"/>
        </w:rPr>
        <w:t>edema</w:t>
      </w:r>
      <w:r>
        <w:rPr>
          <w:color w:val="231F20"/>
          <w:spacing w:val="-8"/>
          <w:w w:val="105"/>
        </w:rPr>
        <w:t> </w:t>
      </w:r>
      <w:r>
        <w:rPr>
          <w:color w:val="231F20"/>
          <w:w w:val="105"/>
        </w:rPr>
        <w:t>is</w:t>
      </w:r>
      <w:r>
        <w:rPr>
          <w:color w:val="231F20"/>
          <w:spacing w:val="-8"/>
          <w:w w:val="105"/>
        </w:rPr>
        <w:t> </w:t>
      </w:r>
      <w:r>
        <w:rPr>
          <w:color w:val="231F20"/>
          <w:w w:val="105"/>
        </w:rPr>
        <w:t>a</w:t>
      </w:r>
      <w:r>
        <w:rPr>
          <w:color w:val="231F20"/>
          <w:spacing w:val="-8"/>
          <w:w w:val="105"/>
        </w:rPr>
        <w:t> </w:t>
      </w:r>
      <w:r>
        <w:rPr>
          <w:color w:val="231F20"/>
          <w:w w:val="105"/>
        </w:rPr>
        <w:t>change</w:t>
      </w:r>
      <w:r>
        <w:rPr>
          <w:color w:val="231F20"/>
          <w:spacing w:val="-9"/>
          <w:w w:val="105"/>
        </w:rPr>
        <w:t> </w:t>
      </w:r>
      <w:r>
        <w:rPr>
          <w:color w:val="231F20"/>
          <w:w w:val="105"/>
        </w:rPr>
        <w:t>of interstitial fluid pressure of about 3 mm</w:t>
      </w:r>
      <w:r>
        <w:rPr>
          <w:color w:val="231F20"/>
          <w:spacing w:val="5"/>
          <w:w w:val="105"/>
        </w:rPr>
        <w:t> </w:t>
      </w:r>
      <w:r>
        <w:rPr>
          <w:color w:val="231F20"/>
          <w:w w:val="105"/>
        </w:rPr>
        <w:t>Hg.</w:t>
      </w:r>
    </w:p>
    <w:p>
      <w:pPr>
        <w:pStyle w:val="BodyText"/>
        <w:spacing w:line="249" w:lineRule="auto"/>
        <w:ind w:left="1440" w:firstLine="240"/>
        <w:jc w:val="both"/>
      </w:pPr>
      <w:r>
        <w:rPr>
          <w:color w:val="231F20"/>
          <w:w w:val="105"/>
        </w:rPr>
        <w:t>Once interstitial fluid pressure rises above 0 mm </w:t>
      </w:r>
      <w:r>
        <w:rPr>
          <w:color w:val="231F20"/>
          <w:spacing w:val="-3"/>
          <w:w w:val="105"/>
        </w:rPr>
        <w:t>Hg, </w:t>
      </w:r>
      <w:r>
        <w:rPr>
          <w:color w:val="231F20"/>
          <w:w w:val="105"/>
        </w:rPr>
        <w:t>the</w:t>
      </w:r>
      <w:r>
        <w:rPr>
          <w:color w:val="231F20"/>
          <w:spacing w:val="-38"/>
          <w:w w:val="105"/>
        </w:rPr>
        <w:t> </w:t>
      </w:r>
      <w:r>
        <w:rPr>
          <w:color w:val="231F20"/>
          <w:w w:val="105"/>
        </w:rPr>
        <w:t>compliance</w:t>
      </w:r>
      <w:r>
        <w:rPr>
          <w:color w:val="231F20"/>
          <w:spacing w:val="-37"/>
          <w:w w:val="105"/>
        </w:rPr>
        <w:t> </w:t>
      </w:r>
      <w:r>
        <w:rPr>
          <w:color w:val="231F20"/>
          <w:w w:val="105"/>
        </w:rPr>
        <w:t>of</w:t>
      </w:r>
      <w:r>
        <w:rPr>
          <w:color w:val="231F20"/>
          <w:spacing w:val="-37"/>
          <w:w w:val="105"/>
        </w:rPr>
        <w:t> </w:t>
      </w:r>
      <w:r>
        <w:rPr>
          <w:color w:val="231F20"/>
          <w:w w:val="105"/>
        </w:rPr>
        <w:t>the</w:t>
      </w:r>
      <w:r>
        <w:rPr>
          <w:color w:val="231F20"/>
          <w:spacing w:val="-37"/>
          <w:w w:val="105"/>
        </w:rPr>
        <w:t> </w:t>
      </w:r>
      <w:r>
        <w:rPr>
          <w:color w:val="231F20"/>
          <w:w w:val="105"/>
        </w:rPr>
        <w:t>tissues</w:t>
      </w:r>
      <w:r>
        <w:rPr>
          <w:color w:val="231F20"/>
          <w:spacing w:val="-37"/>
          <w:w w:val="105"/>
        </w:rPr>
        <w:t> </w:t>
      </w:r>
      <w:r>
        <w:rPr>
          <w:color w:val="231F20"/>
          <w:w w:val="105"/>
        </w:rPr>
        <w:t>increases</w:t>
      </w:r>
      <w:r>
        <w:rPr>
          <w:color w:val="231F20"/>
          <w:spacing w:val="-38"/>
          <w:w w:val="105"/>
        </w:rPr>
        <w:t> </w:t>
      </w:r>
      <w:r>
        <w:rPr>
          <w:color w:val="231F20"/>
          <w:w w:val="105"/>
        </w:rPr>
        <w:t>markedly,</w:t>
      </w:r>
      <w:r>
        <w:rPr>
          <w:color w:val="231F20"/>
          <w:spacing w:val="-37"/>
          <w:w w:val="105"/>
        </w:rPr>
        <w:t> </w:t>
      </w:r>
      <w:r>
        <w:rPr>
          <w:color w:val="231F20"/>
          <w:w w:val="105"/>
        </w:rPr>
        <w:t>allowing large amounts of fluid to accumulate in the tissues with relatively small additional increases in interstitial </w:t>
      </w:r>
      <w:r>
        <w:rPr>
          <w:color w:val="231F20"/>
          <w:spacing w:val="-3"/>
          <w:w w:val="105"/>
        </w:rPr>
        <w:t>fluid </w:t>
      </w:r>
      <w:r>
        <w:rPr>
          <w:color w:val="231F20"/>
          <w:w w:val="105"/>
        </w:rPr>
        <w:t>hydrostatic</w:t>
      </w:r>
      <w:r>
        <w:rPr>
          <w:color w:val="231F20"/>
          <w:spacing w:val="-15"/>
          <w:w w:val="105"/>
        </w:rPr>
        <w:t> </w:t>
      </w:r>
      <w:r>
        <w:rPr>
          <w:color w:val="231F20"/>
          <w:w w:val="105"/>
        </w:rPr>
        <w:t>pressure.</w:t>
      </w:r>
      <w:r>
        <w:rPr>
          <w:color w:val="231F20"/>
          <w:spacing w:val="-14"/>
          <w:w w:val="105"/>
        </w:rPr>
        <w:t> </w:t>
      </w:r>
      <w:r>
        <w:rPr>
          <w:color w:val="231F20"/>
          <w:w w:val="105"/>
        </w:rPr>
        <w:t>Thus,</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positive</w:t>
      </w:r>
      <w:r>
        <w:rPr>
          <w:color w:val="231F20"/>
          <w:spacing w:val="-14"/>
          <w:w w:val="105"/>
        </w:rPr>
        <w:t> </w:t>
      </w:r>
      <w:r>
        <w:rPr>
          <w:color w:val="231F20"/>
          <w:w w:val="105"/>
        </w:rPr>
        <w:t>tissue</w:t>
      </w:r>
      <w:r>
        <w:rPr>
          <w:color w:val="231F20"/>
          <w:spacing w:val="-14"/>
          <w:w w:val="105"/>
        </w:rPr>
        <w:t> </w:t>
      </w:r>
      <w:r>
        <w:rPr>
          <w:color w:val="231F20"/>
          <w:spacing w:val="-3"/>
          <w:w w:val="105"/>
        </w:rPr>
        <w:t>pressure </w:t>
      </w:r>
      <w:r>
        <w:rPr>
          <w:color w:val="231F20"/>
          <w:w w:val="105"/>
        </w:rPr>
        <w:t>range, this safety factor against edema is lost because</w:t>
      </w:r>
      <w:r>
        <w:rPr>
          <w:color w:val="231F20"/>
          <w:spacing w:val="-33"/>
          <w:w w:val="105"/>
        </w:rPr>
        <w:t> </w:t>
      </w:r>
      <w:r>
        <w:rPr>
          <w:color w:val="231F20"/>
          <w:spacing w:val="-7"/>
          <w:w w:val="105"/>
        </w:rPr>
        <w:t>of </w:t>
      </w:r>
      <w:r>
        <w:rPr>
          <w:color w:val="231F20"/>
          <w:w w:val="105"/>
        </w:rPr>
        <w:t>the large increase in compliance of the</w:t>
      </w:r>
      <w:r>
        <w:rPr>
          <w:color w:val="231F20"/>
          <w:spacing w:val="-7"/>
          <w:w w:val="105"/>
        </w:rPr>
        <w:t> </w:t>
      </w:r>
      <w:r>
        <w:rPr>
          <w:color w:val="231F20"/>
          <w:w w:val="105"/>
        </w:rPr>
        <w:t>tissues.</w:t>
      </w:r>
    </w:p>
    <w:p>
      <w:pPr>
        <w:pStyle w:val="BodyText"/>
        <w:spacing w:before="10"/>
        <w:rPr>
          <w:sz w:val="21"/>
        </w:rPr>
      </w:pPr>
    </w:p>
    <w:p>
      <w:pPr>
        <w:pStyle w:val="BodyText"/>
        <w:spacing w:line="249" w:lineRule="auto" w:before="1"/>
        <w:ind w:left="1440"/>
        <w:jc w:val="both"/>
      </w:pPr>
      <w:r>
        <w:rPr>
          <w:rFonts w:ascii="Trebuchet MS" w:hAnsi="Trebuchet MS"/>
          <w:b/>
          <w:color w:val="231F20"/>
          <w:sz w:val="19"/>
        </w:rPr>
        <w:t>Importance of Interstitial Gel in Preventing </w:t>
      </w:r>
      <w:r>
        <w:rPr>
          <w:rFonts w:ascii="Trebuchet MS" w:hAnsi="Trebuchet MS"/>
          <w:b/>
          <w:color w:val="231F20"/>
          <w:spacing w:val="-3"/>
          <w:sz w:val="19"/>
        </w:rPr>
        <w:t>Fluid </w:t>
      </w:r>
      <w:r>
        <w:rPr>
          <w:rFonts w:ascii="Trebuchet MS" w:hAnsi="Trebuchet MS"/>
          <w:b/>
          <w:color w:val="231F20"/>
          <w:sz w:val="19"/>
        </w:rPr>
        <w:t>Accumulation in the Interstitium. </w:t>
      </w:r>
      <w:r>
        <w:rPr>
          <w:color w:val="231F20"/>
        </w:rPr>
        <w:t>Note in </w:t>
      </w:r>
      <w:hyperlink w:history="true" w:anchor="_bookmark11">
        <w:r>
          <w:rPr>
            <w:b/>
            <w:color w:val="0080AC"/>
          </w:rPr>
          <w:t>Figure </w:t>
        </w:r>
        <w:r>
          <w:rPr>
            <w:b/>
            <w:color w:val="0080AC"/>
            <w:spacing w:val="-4"/>
          </w:rPr>
          <w:t>25-8</w:t>
        </w:r>
      </w:hyperlink>
      <w:r>
        <w:rPr>
          <w:b/>
          <w:color w:val="0080AC"/>
          <w:spacing w:val="-4"/>
        </w:rPr>
        <w:t> </w:t>
      </w:r>
      <w:r>
        <w:rPr>
          <w:color w:val="231F20"/>
        </w:rPr>
        <w:t>that in normal tissues with negative interstitial </w:t>
      </w:r>
      <w:r>
        <w:rPr>
          <w:color w:val="231F20"/>
          <w:spacing w:val="-3"/>
        </w:rPr>
        <w:t>fluid </w:t>
      </w:r>
      <w:r>
        <w:rPr>
          <w:color w:val="231F20"/>
        </w:rPr>
        <w:t>pressure, virtually all the fluid in the interstitium is in </w:t>
      </w:r>
      <w:r>
        <w:rPr>
          <w:color w:val="231F20"/>
          <w:spacing w:val="-6"/>
        </w:rPr>
        <w:t>gel </w:t>
      </w:r>
      <w:r>
        <w:rPr>
          <w:color w:val="231F20"/>
        </w:rPr>
        <w:t>form. That is, the fluid is bound in a proteoglycan mesh­ work so that there are virtually no “free” fluid</w:t>
      </w:r>
      <w:r>
        <w:rPr>
          <w:color w:val="231F20"/>
          <w:spacing w:val="29"/>
        </w:rPr>
        <w:t> </w:t>
      </w:r>
      <w:r>
        <w:rPr>
          <w:color w:val="231F20"/>
          <w:spacing w:val="-3"/>
        </w:rPr>
        <w:t>spaces </w:t>
      </w:r>
      <w:r>
        <w:rPr>
          <w:color w:val="231F20"/>
        </w:rPr>
        <w:t>larger than a few hundredths of a micrometer in diameter. The importance of the gel is that it prevents fluid </w:t>
      </w:r>
      <w:r>
        <w:rPr>
          <w:color w:val="231F20"/>
          <w:spacing w:val="-5"/>
        </w:rPr>
        <w:t>from </w:t>
      </w:r>
      <w:r>
        <w:rPr>
          <w:i/>
          <w:color w:val="231F20"/>
        </w:rPr>
        <w:t>flowing </w:t>
      </w:r>
      <w:r>
        <w:rPr>
          <w:color w:val="231F20"/>
        </w:rPr>
        <w:t>easily through the tissues because of </w:t>
      </w:r>
      <w:r>
        <w:rPr>
          <w:color w:val="231F20"/>
          <w:spacing w:val="-2"/>
        </w:rPr>
        <w:t>impediment </w:t>
      </w:r>
      <w:r>
        <w:rPr>
          <w:color w:val="231F20"/>
        </w:rPr>
        <w:t>from the “brush pile” of trillions of proteoglycan </w:t>
      </w:r>
      <w:r>
        <w:rPr>
          <w:color w:val="231F20"/>
          <w:spacing w:val="-4"/>
        </w:rPr>
        <w:t>fila­ </w:t>
      </w:r>
      <w:r>
        <w:rPr>
          <w:color w:val="231F20"/>
        </w:rPr>
        <w:t>ments. Also, when the interstitial fluid pressure falls </w:t>
      </w:r>
      <w:r>
        <w:rPr>
          <w:color w:val="231F20"/>
          <w:spacing w:val="-7"/>
        </w:rPr>
        <w:t>to </w:t>
      </w:r>
      <w:r>
        <w:rPr>
          <w:color w:val="231F20"/>
        </w:rPr>
        <w:t>very negative values, the gel does not contract</w:t>
      </w:r>
      <w:r>
        <w:rPr>
          <w:color w:val="231F20"/>
          <w:spacing w:val="25"/>
        </w:rPr>
        <w:t> </w:t>
      </w:r>
      <w:r>
        <w:rPr>
          <w:color w:val="231F20"/>
          <w:spacing w:val="-3"/>
        </w:rPr>
        <w:t>greatly </w:t>
      </w:r>
      <w:r>
        <w:rPr>
          <w:color w:val="231F20"/>
        </w:rPr>
        <w:t>because the meshwork of proteoglycan filaments </w:t>
      </w:r>
      <w:r>
        <w:rPr>
          <w:color w:val="231F20"/>
          <w:spacing w:val="-4"/>
        </w:rPr>
        <w:t>offers  </w:t>
      </w:r>
      <w:r>
        <w:rPr>
          <w:color w:val="231F20"/>
        </w:rPr>
        <w:t>an elastic resistance to compression. In the negative </w:t>
      </w:r>
      <w:r>
        <w:rPr>
          <w:color w:val="231F20"/>
          <w:spacing w:val="-3"/>
        </w:rPr>
        <w:t>fluid </w:t>
      </w:r>
      <w:r>
        <w:rPr>
          <w:color w:val="231F20"/>
        </w:rPr>
        <w:t>pressure range, the interstitial fluid volume does </w:t>
      </w:r>
      <w:r>
        <w:rPr>
          <w:color w:val="231F20"/>
          <w:spacing w:val="-5"/>
        </w:rPr>
        <w:t>not </w:t>
      </w:r>
      <w:r>
        <w:rPr>
          <w:color w:val="231F20"/>
        </w:rPr>
        <w:t>change</w:t>
      </w:r>
      <w:r>
        <w:rPr>
          <w:color w:val="231F20"/>
          <w:spacing w:val="-7"/>
        </w:rPr>
        <w:t> </w:t>
      </w:r>
      <w:r>
        <w:rPr>
          <w:color w:val="231F20"/>
        </w:rPr>
        <w:t>greatly,</w:t>
      </w:r>
      <w:r>
        <w:rPr>
          <w:color w:val="231F20"/>
          <w:spacing w:val="-6"/>
        </w:rPr>
        <w:t> </w:t>
      </w:r>
      <w:r>
        <w:rPr>
          <w:color w:val="231F20"/>
        </w:rPr>
        <w:t>regardless</w:t>
      </w:r>
      <w:r>
        <w:rPr>
          <w:color w:val="231F20"/>
          <w:spacing w:val="-6"/>
        </w:rPr>
        <w:t> </w:t>
      </w:r>
      <w:r>
        <w:rPr>
          <w:color w:val="231F20"/>
        </w:rPr>
        <w:t>of</w:t>
      </w:r>
      <w:r>
        <w:rPr>
          <w:color w:val="231F20"/>
          <w:spacing w:val="-7"/>
        </w:rPr>
        <w:t> </w:t>
      </w:r>
      <w:r>
        <w:rPr>
          <w:color w:val="231F20"/>
        </w:rPr>
        <w:t>whether</w:t>
      </w:r>
      <w:r>
        <w:rPr>
          <w:color w:val="231F20"/>
          <w:spacing w:val="-6"/>
        </w:rPr>
        <w:t> </w:t>
      </w:r>
      <w:r>
        <w:rPr>
          <w:color w:val="231F20"/>
        </w:rPr>
        <w:t>the</w:t>
      </w:r>
      <w:r>
        <w:rPr>
          <w:color w:val="231F20"/>
          <w:spacing w:val="-6"/>
        </w:rPr>
        <w:t> </w:t>
      </w:r>
      <w:r>
        <w:rPr>
          <w:color w:val="231F20"/>
        </w:rPr>
        <w:t>degree</w:t>
      </w:r>
      <w:r>
        <w:rPr>
          <w:color w:val="231F20"/>
          <w:spacing w:val="-7"/>
        </w:rPr>
        <w:t> </w:t>
      </w:r>
      <w:r>
        <w:rPr>
          <w:color w:val="231F20"/>
        </w:rPr>
        <w:t>of</w:t>
      </w:r>
      <w:r>
        <w:rPr>
          <w:color w:val="231F20"/>
          <w:spacing w:val="-6"/>
        </w:rPr>
        <w:t> </w:t>
      </w:r>
      <w:r>
        <w:rPr>
          <w:color w:val="231F20"/>
        </w:rPr>
        <w:t>suction is only a few millimeters of mercury negative pressure </w:t>
      </w:r>
      <w:r>
        <w:rPr>
          <w:color w:val="231F20"/>
          <w:spacing w:val="-8"/>
        </w:rPr>
        <w:t>or </w:t>
      </w:r>
      <w:r>
        <w:rPr>
          <w:color w:val="231F20"/>
        </w:rPr>
        <w:t>10 to 20 mm Hg negative pressure. In other words, </w:t>
      </w:r>
      <w:r>
        <w:rPr>
          <w:color w:val="231F20"/>
          <w:spacing w:val="-6"/>
        </w:rPr>
        <w:t>the </w:t>
      </w:r>
      <w:r>
        <w:rPr>
          <w:color w:val="231F20"/>
        </w:rPr>
        <w:t>compliance of the tissues is very low in the negative pres­ sure</w:t>
      </w:r>
      <w:r>
        <w:rPr>
          <w:color w:val="231F20"/>
          <w:spacing w:val="6"/>
        </w:rPr>
        <w:t> </w:t>
      </w:r>
      <w:r>
        <w:rPr>
          <w:color w:val="231F20"/>
        </w:rPr>
        <w:t>range.</w:t>
      </w:r>
    </w:p>
    <w:p>
      <w:pPr>
        <w:pStyle w:val="BodyText"/>
        <w:spacing w:line="249" w:lineRule="auto" w:before="17"/>
        <w:ind w:left="1439" w:firstLine="240"/>
        <w:jc w:val="both"/>
      </w:pPr>
      <w:r>
        <w:rPr>
          <w:color w:val="231F20"/>
        </w:rPr>
        <w:t>By contrast, when interstitial fluid pressure rises to the positive pressure range, there is a tremendous </w:t>
      </w:r>
      <w:r>
        <w:rPr>
          <w:color w:val="231F20"/>
          <w:spacing w:val="-3"/>
        </w:rPr>
        <w:t>accumula­ </w:t>
      </w:r>
      <w:r>
        <w:rPr>
          <w:color w:val="231F20"/>
        </w:rPr>
        <w:t>tion of </w:t>
      </w:r>
      <w:r>
        <w:rPr>
          <w:i/>
          <w:color w:val="231F20"/>
        </w:rPr>
        <w:t>free fluid </w:t>
      </w:r>
      <w:r>
        <w:rPr>
          <w:color w:val="231F20"/>
        </w:rPr>
        <w:t>in the tissues. In this pressure range, </w:t>
      </w:r>
      <w:r>
        <w:rPr>
          <w:color w:val="231F20"/>
          <w:spacing w:val="-5"/>
        </w:rPr>
        <w:t>the </w:t>
      </w:r>
      <w:r>
        <w:rPr>
          <w:color w:val="231F20"/>
        </w:rPr>
        <w:t>tissues are compliant, allowing large amounts of fluid </w:t>
      </w:r>
      <w:r>
        <w:rPr>
          <w:color w:val="231F20"/>
          <w:spacing w:val="-7"/>
        </w:rPr>
        <w:t>to </w:t>
      </w:r>
      <w:r>
        <w:rPr>
          <w:color w:val="231F20"/>
        </w:rPr>
        <w:t>accumulate with relatively small additional increases </w:t>
      </w:r>
      <w:r>
        <w:rPr>
          <w:color w:val="231F20"/>
          <w:spacing w:val="-7"/>
        </w:rPr>
        <w:t>in </w:t>
      </w:r>
      <w:r>
        <w:rPr>
          <w:color w:val="231F20"/>
        </w:rPr>
        <w:t>interstitial fluid hydrostatic pressure. Most of the </w:t>
      </w:r>
      <w:r>
        <w:rPr>
          <w:color w:val="231F20"/>
          <w:spacing w:val="-4"/>
        </w:rPr>
        <w:t>extra </w:t>
      </w:r>
      <w:r>
        <w:rPr>
          <w:color w:val="231F20"/>
        </w:rPr>
        <w:t>fluid that accumulates is “free fluid” because it pushes the brush pile of proteoglycan filaments apart. Therefore, the fluid can flow freely through the tissue spaces because it is not in gel form. When this free flow of fluid occurs, the edema is said to be </w:t>
      </w:r>
      <w:r>
        <w:rPr>
          <w:i/>
          <w:color w:val="231F20"/>
        </w:rPr>
        <w:t>pitting edema </w:t>
      </w:r>
      <w:r>
        <w:rPr>
          <w:color w:val="231F20"/>
        </w:rPr>
        <w:t>because one can </w:t>
      </w:r>
      <w:r>
        <w:rPr>
          <w:color w:val="231F20"/>
          <w:spacing w:val="-4"/>
        </w:rPr>
        <w:t>press </w:t>
      </w:r>
      <w:r>
        <w:rPr>
          <w:color w:val="231F20"/>
        </w:rPr>
        <w:t>the thumb against the tissue area and push the fluid out   of the area. When  the  thumb  is  removed,  a  pit  is</w:t>
      </w:r>
      <w:r>
        <w:rPr>
          <w:color w:val="231F20"/>
          <w:spacing w:val="11"/>
        </w:rPr>
        <w:t> </w:t>
      </w:r>
      <w:r>
        <w:rPr>
          <w:color w:val="231F20"/>
          <w:spacing w:val="-3"/>
        </w:rPr>
        <w:t>left </w:t>
      </w:r>
      <w:r>
        <w:rPr>
          <w:color w:val="231F20"/>
        </w:rPr>
        <w:t>in the skin for a few seconds until the fluid flows back from</w:t>
      </w:r>
      <w:r>
        <w:rPr>
          <w:color w:val="231F20"/>
          <w:spacing w:val="21"/>
        </w:rPr>
        <w:t> </w:t>
      </w:r>
      <w:r>
        <w:rPr>
          <w:color w:val="231F20"/>
        </w:rPr>
        <w:t>the</w:t>
      </w:r>
      <w:r>
        <w:rPr>
          <w:color w:val="231F20"/>
          <w:spacing w:val="21"/>
        </w:rPr>
        <w:t> </w:t>
      </w:r>
      <w:r>
        <w:rPr>
          <w:color w:val="231F20"/>
        </w:rPr>
        <w:t>surrounding</w:t>
      </w:r>
      <w:r>
        <w:rPr>
          <w:color w:val="231F20"/>
          <w:spacing w:val="21"/>
        </w:rPr>
        <w:t> </w:t>
      </w:r>
      <w:r>
        <w:rPr>
          <w:color w:val="231F20"/>
        </w:rPr>
        <w:t>tissues.</w:t>
      </w:r>
      <w:r>
        <w:rPr>
          <w:color w:val="231F20"/>
          <w:spacing w:val="22"/>
        </w:rPr>
        <w:t> </w:t>
      </w:r>
      <w:r>
        <w:rPr>
          <w:color w:val="231F20"/>
        </w:rPr>
        <w:t>This</w:t>
      </w:r>
      <w:r>
        <w:rPr>
          <w:color w:val="231F20"/>
          <w:spacing w:val="21"/>
        </w:rPr>
        <w:t> </w:t>
      </w:r>
      <w:r>
        <w:rPr>
          <w:color w:val="231F20"/>
        </w:rPr>
        <w:t>type</w:t>
      </w:r>
      <w:r>
        <w:rPr>
          <w:color w:val="231F20"/>
          <w:spacing w:val="21"/>
        </w:rPr>
        <w:t> </w:t>
      </w:r>
      <w:r>
        <w:rPr>
          <w:color w:val="231F20"/>
        </w:rPr>
        <w:t>of</w:t>
      </w:r>
      <w:r>
        <w:rPr>
          <w:color w:val="231F20"/>
          <w:spacing w:val="22"/>
        </w:rPr>
        <w:t> </w:t>
      </w:r>
      <w:r>
        <w:rPr>
          <w:color w:val="231F20"/>
        </w:rPr>
        <w:t>edema</w:t>
      </w:r>
      <w:r>
        <w:rPr>
          <w:color w:val="231F20"/>
          <w:spacing w:val="21"/>
        </w:rPr>
        <w:t> </w:t>
      </w:r>
      <w:r>
        <w:rPr>
          <w:color w:val="231F20"/>
          <w:spacing w:val="-8"/>
        </w:rPr>
        <w:t>is</w:t>
      </w:r>
    </w:p>
    <w:p>
      <w:pPr>
        <w:pStyle w:val="BodyText"/>
        <w:spacing w:line="249" w:lineRule="auto" w:before="100"/>
        <w:ind w:left="319" w:right="1077"/>
        <w:jc w:val="both"/>
      </w:pPr>
      <w:r>
        <w:rPr/>
        <w:br w:type="column"/>
      </w:r>
      <w:r>
        <w:rPr>
          <w:color w:val="231F20"/>
          <w:w w:val="105"/>
        </w:rPr>
        <w:t>distinguished</w:t>
      </w:r>
      <w:r>
        <w:rPr>
          <w:color w:val="231F20"/>
          <w:spacing w:val="-25"/>
          <w:w w:val="105"/>
        </w:rPr>
        <w:t> </w:t>
      </w:r>
      <w:r>
        <w:rPr>
          <w:color w:val="231F20"/>
          <w:w w:val="105"/>
        </w:rPr>
        <w:t>from</w:t>
      </w:r>
      <w:r>
        <w:rPr>
          <w:color w:val="231F20"/>
          <w:spacing w:val="-25"/>
          <w:w w:val="105"/>
        </w:rPr>
        <w:t> </w:t>
      </w:r>
      <w:r>
        <w:rPr>
          <w:i/>
          <w:color w:val="231F20"/>
          <w:w w:val="105"/>
        </w:rPr>
        <w:t>nonpitting</w:t>
      </w:r>
      <w:r>
        <w:rPr>
          <w:i/>
          <w:color w:val="231F20"/>
          <w:spacing w:val="-25"/>
          <w:w w:val="105"/>
        </w:rPr>
        <w:t> </w:t>
      </w:r>
      <w:r>
        <w:rPr>
          <w:i/>
          <w:color w:val="231F20"/>
          <w:w w:val="105"/>
        </w:rPr>
        <w:t>edema,</w:t>
      </w:r>
      <w:r>
        <w:rPr>
          <w:i/>
          <w:color w:val="231F20"/>
          <w:spacing w:val="-25"/>
          <w:w w:val="105"/>
        </w:rPr>
        <w:t> </w:t>
      </w:r>
      <w:r>
        <w:rPr>
          <w:color w:val="231F20"/>
          <w:w w:val="105"/>
        </w:rPr>
        <w:t>which</w:t>
      </w:r>
      <w:r>
        <w:rPr>
          <w:color w:val="231F20"/>
          <w:spacing w:val="-24"/>
          <w:w w:val="105"/>
        </w:rPr>
        <w:t> </w:t>
      </w:r>
      <w:r>
        <w:rPr>
          <w:color w:val="231F20"/>
          <w:w w:val="105"/>
        </w:rPr>
        <w:t>occurs</w:t>
      </w:r>
      <w:r>
        <w:rPr>
          <w:color w:val="231F20"/>
          <w:spacing w:val="-25"/>
          <w:w w:val="105"/>
        </w:rPr>
        <w:t> </w:t>
      </w:r>
      <w:r>
        <w:rPr>
          <w:color w:val="231F20"/>
          <w:w w:val="105"/>
        </w:rPr>
        <w:t>when the tissue cells swell instead of the interstitium or when the</w:t>
      </w:r>
      <w:r>
        <w:rPr>
          <w:color w:val="231F20"/>
          <w:spacing w:val="-14"/>
          <w:w w:val="105"/>
        </w:rPr>
        <w:t> </w:t>
      </w:r>
      <w:r>
        <w:rPr>
          <w:color w:val="231F20"/>
          <w:w w:val="105"/>
        </w:rPr>
        <w:t>fluid</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interstitium</w:t>
      </w:r>
      <w:r>
        <w:rPr>
          <w:color w:val="231F20"/>
          <w:spacing w:val="-14"/>
          <w:w w:val="105"/>
        </w:rPr>
        <w:t> </w:t>
      </w:r>
      <w:r>
        <w:rPr>
          <w:color w:val="231F20"/>
          <w:w w:val="105"/>
        </w:rPr>
        <w:t>becomes</w:t>
      </w:r>
      <w:r>
        <w:rPr>
          <w:color w:val="231F20"/>
          <w:spacing w:val="-14"/>
          <w:w w:val="105"/>
        </w:rPr>
        <w:t> </w:t>
      </w:r>
      <w:r>
        <w:rPr>
          <w:color w:val="231F20"/>
          <w:w w:val="105"/>
        </w:rPr>
        <w:t>clotted</w:t>
      </w:r>
      <w:r>
        <w:rPr>
          <w:color w:val="231F20"/>
          <w:spacing w:val="-14"/>
          <w:w w:val="105"/>
        </w:rPr>
        <w:t> </w:t>
      </w:r>
      <w:r>
        <w:rPr>
          <w:color w:val="231F20"/>
          <w:w w:val="105"/>
        </w:rPr>
        <w:t>with</w:t>
      </w:r>
      <w:r>
        <w:rPr>
          <w:color w:val="231F20"/>
          <w:spacing w:val="-14"/>
          <w:w w:val="105"/>
        </w:rPr>
        <w:t> </w:t>
      </w:r>
      <w:r>
        <w:rPr>
          <w:color w:val="231F20"/>
          <w:w w:val="105"/>
        </w:rPr>
        <w:t>fibrino­ gen</w:t>
      </w:r>
      <w:r>
        <w:rPr>
          <w:color w:val="231F20"/>
          <w:spacing w:val="-17"/>
          <w:w w:val="105"/>
        </w:rPr>
        <w:t> </w:t>
      </w:r>
      <w:r>
        <w:rPr>
          <w:color w:val="231F20"/>
          <w:w w:val="105"/>
        </w:rPr>
        <w:t>so</w:t>
      </w:r>
      <w:r>
        <w:rPr>
          <w:color w:val="231F20"/>
          <w:spacing w:val="-16"/>
          <w:w w:val="105"/>
        </w:rPr>
        <w:t> </w:t>
      </w:r>
      <w:r>
        <w:rPr>
          <w:color w:val="231F20"/>
          <w:w w:val="105"/>
        </w:rPr>
        <w:t>that</w:t>
      </w:r>
      <w:r>
        <w:rPr>
          <w:color w:val="231F20"/>
          <w:spacing w:val="-16"/>
          <w:w w:val="105"/>
        </w:rPr>
        <w:t> </w:t>
      </w:r>
      <w:r>
        <w:rPr>
          <w:color w:val="231F20"/>
          <w:w w:val="105"/>
        </w:rPr>
        <w:t>it</w:t>
      </w:r>
      <w:r>
        <w:rPr>
          <w:color w:val="231F20"/>
          <w:spacing w:val="-16"/>
          <w:w w:val="105"/>
        </w:rPr>
        <w:t> </w:t>
      </w:r>
      <w:r>
        <w:rPr>
          <w:color w:val="231F20"/>
          <w:w w:val="105"/>
        </w:rPr>
        <w:t>cannot</w:t>
      </w:r>
      <w:r>
        <w:rPr>
          <w:color w:val="231F20"/>
          <w:spacing w:val="-16"/>
          <w:w w:val="105"/>
        </w:rPr>
        <w:t> </w:t>
      </w:r>
      <w:r>
        <w:rPr>
          <w:color w:val="231F20"/>
          <w:w w:val="105"/>
        </w:rPr>
        <w:t>move</w:t>
      </w:r>
      <w:r>
        <w:rPr>
          <w:color w:val="231F20"/>
          <w:spacing w:val="-16"/>
          <w:w w:val="105"/>
        </w:rPr>
        <w:t> </w:t>
      </w:r>
      <w:r>
        <w:rPr>
          <w:color w:val="231F20"/>
          <w:w w:val="105"/>
        </w:rPr>
        <w:t>freely</w:t>
      </w:r>
      <w:r>
        <w:rPr>
          <w:color w:val="231F20"/>
          <w:spacing w:val="-16"/>
          <w:w w:val="105"/>
        </w:rPr>
        <w:t> </w:t>
      </w:r>
      <w:r>
        <w:rPr>
          <w:color w:val="231F20"/>
          <w:w w:val="105"/>
        </w:rPr>
        <w:t>within</w:t>
      </w:r>
      <w:r>
        <w:rPr>
          <w:color w:val="231F20"/>
          <w:spacing w:val="-16"/>
          <w:w w:val="105"/>
        </w:rPr>
        <w:t> </w:t>
      </w:r>
      <w:r>
        <w:rPr>
          <w:color w:val="231F20"/>
          <w:w w:val="105"/>
        </w:rPr>
        <w:t>the</w:t>
      </w:r>
      <w:r>
        <w:rPr>
          <w:color w:val="231F20"/>
          <w:spacing w:val="-17"/>
          <w:w w:val="105"/>
        </w:rPr>
        <w:t> </w:t>
      </w:r>
      <w:r>
        <w:rPr>
          <w:color w:val="231F20"/>
          <w:w w:val="105"/>
        </w:rPr>
        <w:t>tissue</w:t>
      </w:r>
      <w:r>
        <w:rPr>
          <w:color w:val="231F20"/>
          <w:spacing w:val="-16"/>
          <w:w w:val="105"/>
        </w:rPr>
        <w:t> </w:t>
      </w:r>
      <w:r>
        <w:rPr>
          <w:color w:val="231F20"/>
          <w:w w:val="105"/>
        </w:rPr>
        <w:t>spaces.</w:t>
      </w:r>
    </w:p>
    <w:p>
      <w:pPr>
        <w:spacing w:line="252" w:lineRule="auto" w:before="251"/>
        <w:ind w:left="319" w:right="1077" w:firstLine="0"/>
        <w:jc w:val="both"/>
        <w:rPr>
          <w:sz w:val="20"/>
        </w:rPr>
      </w:pPr>
      <w:r>
        <w:rPr/>
        <w:pict>
          <v:rect style="position:absolute;margin-left:576pt;margin-top:92.120193pt;width:36pt;height:24pt;mso-position-horizontal-relative:page;mso-position-vertical-relative:paragraph;z-index:251788288" filled="true" fillcolor="#e8dac8" stroked="false">
            <v:fill type="solid"/>
            <w10:wrap type="none"/>
          </v:rect>
        </w:pict>
      </w:r>
      <w:r>
        <w:rPr/>
        <w:pict>
          <v:shape style="position:absolute;margin-left:578.900024pt;margin-top:15.777491pt;width:15.9pt;height:53.35pt;mso-position-horizontal-relative:page;mso-position-vertical-relative:paragraph;z-index:25178931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Trebuchet MS" w:hAnsi="Trebuchet MS"/>
          <w:b/>
          <w:color w:val="231F20"/>
          <w:sz w:val="19"/>
        </w:rPr>
        <w:t>Importance of the Proteoglycan Filaments as </w:t>
      </w:r>
      <w:r>
        <w:rPr>
          <w:rFonts w:ascii="Trebuchet MS" w:hAnsi="Trebuchet MS"/>
          <w:b/>
          <w:color w:val="231F20"/>
          <w:spacing w:val="-11"/>
          <w:sz w:val="19"/>
        </w:rPr>
        <w:t>a </w:t>
      </w:r>
      <w:r>
        <w:rPr>
          <w:rFonts w:ascii="Trebuchet MS" w:hAnsi="Trebuchet MS"/>
          <w:b/>
          <w:color w:val="231F20"/>
          <w:sz w:val="19"/>
        </w:rPr>
        <w:t>“Spacer” for the Cells and in Preventing Rapid Flow of Fluid in the Tissues. </w:t>
      </w:r>
      <w:r>
        <w:rPr>
          <w:color w:val="231F20"/>
          <w:sz w:val="20"/>
        </w:rPr>
        <w:t>The proteoglycan filaments, along with much larger collagen fibrils in the interstitial spaces, act as a “spacer” between the cells. Nutrients </w:t>
      </w:r>
      <w:r>
        <w:rPr>
          <w:color w:val="231F20"/>
          <w:spacing w:val="-4"/>
          <w:sz w:val="20"/>
        </w:rPr>
        <w:t>and </w:t>
      </w:r>
      <w:r>
        <w:rPr>
          <w:color w:val="231F20"/>
          <w:sz w:val="20"/>
        </w:rPr>
        <w:t>ions do not diffuse readily through cell membranes; there­ fore, without adequate spacing between the cells, these nutrients, electrolytes, and cell waste products could not be rapidly exchanged between the blood capillaries and cells located at a distance from one</w:t>
      </w:r>
      <w:r>
        <w:rPr>
          <w:color w:val="231F20"/>
          <w:spacing w:val="18"/>
          <w:sz w:val="20"/>
        </w:rPr>
        <w:t> </w:t>
      </w:r>
      <w:r>
        <w:rPr>
          <w:color w:val="231F20"/>
          <w:spacing w:val="-3"/>
          <w:sz w:val="20"/>
        </w:rPr>
        <w:t>another.</w:t>
      </w:r>
    </w:p>
    <w:p>
      <w:pPr>
        <w:pStyle w:val="BodyText"/>
        <w:spacing w:line="249" w:lineRule="auto"/>
        <w:ind w:left="319" w:right="1077" w:firstLine="240"/>
        <w:jc w:val="both"/>
      </w:pPr>
      <w:r>
        <w:rPr>
          <w:color w:val="231F20"/>
          <w:w w:val="105"/>
        </w:rPr>
        <w:t>The proteoglycan filaments also prevent fluid from flowing too easily through the tissue spaces. If it were not for the proteoglycan filaments, the simple act of </w:t>
      </w:r>
      <w:r>
        <w:rPr>
          <w:color w:val="231F20"/>
          <w:spacing w:val="-11"/>
          <w:w w:val="105"/>
        </w:rPr>
        <w:t>a </w:t>
      </w:r>
      <w:r>
        <w:rPr>
          <w:color w:val="231F20"/>
          <w:w w:val="105"/>
        </w:rPr>
        <w:t>person standing up would cause large amounts of </w:t>
      </w:r>
      <w:r>
        <w:rPr>
          <w:color w:val="231F20"/>
          <w:spacing w:val="-5"/>
          <w:w w:val="105"/>
        </w:rPr>
        <w:t>inter­ </w:t>
      </w:r>
      <w:r>
        <w:rPr>
          <w:color w:val="231F20"/>
          <w:w w:val="105"/>
        </w:rPr>
        <w:t>stitial</w:t>
      </w:r>
      <w:r>
        <w:rPr>
          <w:color w:val="231F20"/>
          <w:spacing w:val="-23"/>
          <w:w w:val="105"/>
        </w:rPr>
        <w:t> </w:t>
      </w:r>
      <w:r>
        <w:rPr>
          <w:color w:val="231F20"/>
          <w:w w:val="105"/>
        </w:rPr>
        <w:t>fluid</w:t>
      </w:r>
      <w:r>
        <w:rPr>
          <w:color w:val="231F20"/>
          <w:spacing w:val="-22"/>
          <w:w w:val="105"/>
        </w:rPr>
        <w:t> </w:t>
      </w:r>
      <w:r>
        <w:rPr>
          <w:color w:val="231F20"/>
          <w:w w:val="105"/>
        </w:rPr>
        <w:t>to</w:t>
      </w:r>
      <w:r>
        <w:rPr>
          <w:color w:val="231F20"/>
          <w:spacing w:val="-23"/>
          <w:w w:val="105"/>
        </w:rPr>
        <w:t> </w:t>
      </w:r>
      <w:r>
        <w:rPr>
          <w:color w:val="231F20"/>
          <w:w w:val="105"/>
        </w:rPr>
        <w:t>flow</w:t>
      </w:r>
      <w:r>
        <w:rPr>
          <w:color w:val="231F20"/>
          <w:spacing w:val="-23"/>
          <w:w w:val="105"/>
        </w:rPr>
        <w:t> </w:t>
      </w:r>
      <w:r>
        <w:rPr>
          <w:color w:val="231F20"/>
          <w:w w:val="105"/>
        </w:rPr>
        <w:t>from</w:t>
      </w:r>
      <w:r>
        <w:rPr>
          <w:color w:val="231F20"/>
          <w:spacing w:val="-22"/>
          <w:w w:val="105"/>
        </w:rPr>
        <w:t> </w:t>
      </w:r>
      <w:r>
        <w:rPr>
          <w:color w:val="231F20"/>
          <w:w w:val="105"/>
        </w:rPr>
        <w:t>the</w:t>
      </w:r>
      <w:r>
        <w:rPr>
          <w:color w:val="231F20"/>
          <w:spacing w:val="-23"/>
          <w:w w:val="105"/>
        </w:rPr>
        <w:t> </w:t>
      </w:r>
      <w:r>
        <w:rPr>
          <w:color w:val="231F20"/>
          <w:w w:val="105"/>
        </w:rPr>
        <w:t>upper</w:t>
      </w:r>
      <w:r>
        <w:rPr>
          <w:color w:val="231F20"/>
          <w:spacing w:val="-22"/>
          <w:w w:val="105"/>
        </w:rPr>
        <w:t> </w:t>
      </w:r>
      <w:r>
        <w:rPr>
          <w:color w:val="231F20"/>
          <w:w w:val="105"/>
        </w:rPr>
        <w:t>body</w:t>
      </w:r>
      <w:r>
        <w:rPr>
          <w:color w:val="231F20"/>
          <w:spacing w:val="-23"/>
          <w:w w:val="105"/>
        </w:rPr>
        <w:t> </w:t>
      </w:r>
      <w:r>
        <w:rPr>
          <w:color w:val="231F20"/>
          <w:w w:val="105"/>
        </w:rPr>
        <w:t>to</w:t>
      </w:r>
      <w:r>
        <w:rPr>
          <w:color w:val="231F20"/>
          <w:spacing w:val="-22"/>
          <w:w w:val="105"/>
        </w:rPr>
        <w:t> </w:t>
      </w:r>
      <w:r>
        <w:rPr>
          <w:color w:val="231F20"/>
          <w:w w:val="105"/>
        </w:rPr>
        <w:t>the</w:t>
      </w:r>
      <w:r>
        <w:rPr>
          <w:color w:val="231F20"/>
          <w:spacing w:val="-23"/>
          <w:w w:val="105"/>
        </w:rPr>
        <w:t> </w:t>
      </w:r>
      <w:r>
        <w:rPr>
          <w:color w:val="231F20"/>
          <w:w w:val="105"/>
        </w:rPr>
        <w:t>lower</w:t>
      </w:r>
      <w:r>
        <w:rPr>
          <w:color w:val="231F20"/>
          <w:spacing w:val="-22"/>
          <w:w w:val="105"/>
        </w:rPr>
        <w:t> </w:t>
      </w:r>
      <w:r>
        <w:rPr>
          <w:color w:val="231F20"/>
          <w:w w:val="105"/>
        </w:rPr>
        <w:t>body. When too much fluid accumulates in the interstitium,</w:t>
      </w:r>
      <w:r>
        <w:rPr>
          <w:color w:val="231F20"/>
          <w:spacing w:val="-36"/>
          <w:w w:val="105"/>
        </w:rPr>
        <w:t> </w:t>
      </w:r>
      <w:r>
        <w:rPr>
          <w:color w:val="231F20"/>
          <w:w w:val="105"/>
        </w:rPr>
        <w:t>as occurs in edema, this extra fluid creates large channels that allow the fluid to flow readily through the intersti­ tium. Therefore, when severe edema occurs in the legs, the</w:t>
      </w:r>
      <w:r>
        <w:rPr>
          <w:color w:val="231F20"/>
          <w:spacing w:val="-12"/>
          <w:w w:val="105"/>
        </w:rPr>
        <w:t> </w:t>
      </w:r>
      <w:r>
        <w:rPr>
          <w:color w:val="231F20"/>
          <w:w w:val="105"/>
        </w:rPr>
        <w:t>edema</w:t>
      </w:r>
      <w:r>
        <w:rPr>
          <w:color w:val="231F20"/>
          <w:spacing w:val="-11"/>
          <w:w w:val="105"/>
        </w:rPr>
        <w:t> </w:t>
      </w:r>
      <w:r>
        <w:rPr>
          <w:color w:val="231F20"/>
          <w:w w:val="105"/>
        </w:rPr>
        <w:t>fluid</w:t>
      </w:r>
      <w:r>
        <w:rPr>
          <w:color w:val="231F20"/>
          <w:spacing w:val="-11"/>
          <w:w w:val="105"/>
        </w:rPr>
        <w:t> </w:t>
      </w:r>
      <w:r>
        <w:rPr>
          <w:color w:val="231F20"/>
          <w:w w:val="105"/>
        </w:rPr>
        <w:t>often</w:t>
      </w:r>
      <w:r>
        <w:rPr>
          <w:color w:val="231F20"/>
          <w:spacing w:val="-12"/>
          <w:w w:val="105"/>
        </w:rPr>
        <w:t> </w:t>
      </w:r>
      <w:r>
        <w:rPr>
          <w:color w:val="231F20"/>
          <w:w w:val="105"/>
        </w:rPr>
        <w:t>can</w:t>
      </w:r>
      <w:r>
        <w:rPr>
          <w:color w:val="231F20"/>
          <w:spacing w:val="-11"/>
          <w:w w:val="105"/>
        </w:rPr>
        <w:t> </w:t>
      </w:r>
      <w:r>
        <w:rPr>
          <w:color w:val="231F20"/>
          <w:w w:val="105"/>
        </w:rPr>
        <w:t>be</w:t>
      </w:r>
      <w:r>
        <w:rPr>
          <w:color w:val="231F20"/>
          <w:spacing w:val="-11"/>
          <w:w w:val="105"/>
        </w:rPr>
        <w:t> </w:t>
      </w:r>
      <w:r>
        <w:rPr>
          <w:color w:val="231F20"/>
          <w:w w:val="105"/>
        </w:rPr>
        <w:t>decreased</w:t>
      </w:r>
      <w:r>
        <w:rPr>
          <w:color w:val="231F20"/>
          <w:spacing w:val="-12"/>
          <w:w w:val="105"/>
        </w:rPr>
        <w:t> </w:t>
      </w:r>
      <w:r>
        <w:rPr>
          <w:color w:val="231F20"/>
          <w:w w:val="105"/>
        </w:rPr>
        <w:t>by</w:t>
      </w:r>
      <w:r>
        <w:rPr>
          <w:color w:val="231F20"/>
          <w:spacing w:val="-11"/>
          <w:w w:val="105"/>
        </w:rPr>
        <w:t> </w:t>
      </w:r>
      <w:r>
        <w:rPr>
          <w:color w:val="231F20"/>
          <w:w w:val="105"/>
        </w:rPr>
        <w:t>simply</w:t>
      </w:r>
      <w:r>
        <w:rPr>
          <w:color w:val="231F20"/>
          <w:spacing w:val="-11"/>
          <w:w w:val="105"/>
        </w:rPr>
        <w:t> </w:t>
      </w:r>
      <w:r>
        <w:rPr>
          <w:color w:val="231F20"/>
          <w:w w:val="105"/>
        </w:rPr>
        <w:t>elevat­ ing the</w:t>
      </w:r>
      <w:r>
        <w:rPr>
          <w:color w:val="231F20"/>
          <w:spacing w:val="5"/>
          <w:w w:val="105"/>
        </w:rPr>
        <w:t> </w:t>
      </w:r>
      <w:r>
        <w:rPr>
          <w:color w:val="231F20"/>
          <w:w w:val="105"/>
        </w:rPr>
        <w:t>legs.</w:t>
      </w:r>
    </w:p>
    <w:p>
      <w:pPr>
        <w:pStyle w:val="BodyText"/>
        <w:spacing w:line="249" w:lineRule="auto" w:before="6"/>
        <w:ind w:left="319" w:right="1077" w:firstLine="240"/>
        <w:jc w:val="both"/>
      </w:pPr>
      <w:r>
        <w:rPr>
          <w:color w:val="231F20"/>
          <w:w w:val="105"/>
        </w:rPr>
        <w:t>Even though fluid does not </w:t>
      </w:r>
      <w:r>
        <w:rPr>
          <w:i/>
          <w:color w:val="231F20"/>
          <w:w w:val="105"/>
        </w:rPr>
        <w:t>flow </w:t>
      </w:r>
      <w:r>
        <w:rPr>
          <w:color w:val="231F20"/>
          <w:w w:val="105"/>
        </w:rPr>
        <w:t>easily through </w:t>
      </w:r>
      <w:r>
        <w:rPr>
          <w:color w:val="231F20"/>
          <w:spacing w:val="-5"/>
          <w:w w:val="105"/>
        </w:rPr>
        <w:t>the </w:t>
      </w:r>
      <w:r>
        <w:rPr>
          <w:color w:val="231F20"/>
          <w:w w:val="105"/>
        </w:rPr>
        <w:t>tissues in the presence of the compacted proteoglycan filaments,</w:t>
      </w:r>
      <w:r>
        <w:rPr>
          <w:color w:val="231F20"/>
          <w:spacing w:val="-28"/>
          <w:w w:val="105"/>
        </w:rPr>
        <w:t> </w:t>
      </w:r>
      <w:r>
        <w:rPr>
          <w:color w:val="231F20"/>
          <w:w w:val="105"/>
        </w:rPr>
        <w:t>different</w:t>
      </w:r>
      <w:r>
        <w:rPr>
          <w:color w:val="231F20"/>
          <w:spacing w:val="-27"/>
          <w:w w:val="105"/>
        </w:rPr>
        <w:t> </w:t>
      </w:r>
      <w:r>
        <w:rPr>
          <w:color w:val="231F20"/>
          <w:w w:val="105"/>
        </w:rPr>
        <w:t>substances</w:t>
      </w:r>
      <w:r>
        <w:rPr>
          <w:color w:val="231F20"/>
          <w:spacing w:val="-28"/>
          <w:w w:val="105"/>
        </w:rPr>
        <w:t> </w:t>
      </w:r>
      <w:r>
        <w:rPr>
          <w:color w:val="231F20"/>
          <w:w w:val="105"/>
        </w:rPr>
        <w:t>within</w:t>
      </w:r>
      <w:r>
        <w:rPr>
          <w:color w:val="231F20"/>
          <w:spacing w:val="-27"/>
          <w:w w:val="105"/>
        </w:rPr>
        <w:t> </w:t>
      </w:r>
      <w:r>
        <w:rPr>
          <w:color w:val="231F20"/>
          <w:w w:val="105"/>
        </w:rPr>
        <w:t>the</w:t>
      </w:r>
      <w:r>
        <w:rPr>
          <w:color w:val="231F20"/>
          <w:spacing w:val="-27"/>
          <w:w w:val="105"/>
        </w:rPr>
        <w:t> </w:t>
      </w:r>
      <w:r>
        <w:rPr>
          <w:color w:val="231F20"/>
          <w:w w:val="105"/>
        </w:rPr>
        <w:t>fluid</w:t>
      </w:r>
      <w:r>
        <w:rPr>
          <w:color w:val="231F20"/>
          <w:spacing w:val="-28"/>
          <w:w w:val="105"/>
        </w:rPr>
        <w:t> </w:t>
      </w:r>
      <w:r>
        <w:rPr>
          <w:color w:val="231F20"/>
          <w:w w:val="105"/>
        </w:rPr>
        <w:t>can</w:t>
      </w:r>
      <w:r>
        <w:rPr>
          <w:color w:val="231F20"/>
          <w:spacing w:val="-27"/>
          <w:w w:val="105"/>
        </w:rPr>
        <w:t> </w:t>
      </w:r>
      <w:r>
        <w:rPr>
          <w:i/>
          <w:color w:val="231F20"/>
          <w:w w:val="105"/>
        </w:rPr>
        <w:t>diffuse </w:t>
      </w:r>
      <w:r>
        <w:rPr>
          <w:color w:val="231F20"/>
          <w:w w:val="105"/>
        </w:rPr>
        <w:t>through the tissues at least 95 percent as easily as they normally</w:t>
      </w:r>
      <w:r>
        <w:rPr>
          <w:color w:val="231F20"/>
          <w:spacing w:val="-8"/>
          <w:w w:val="105"/>
        </w:rPr>
        <w:t> </w:t>
      </w:r>
      <w:r>
        <w:rPr>
          <w:color w:val="231F20"/>
          <w:w w:val="105"/>
        </w:rPr>
        <w:t>diffuse.</w:t>
      </w:r>
      <w:r>
        <w:rPr>
          <w:color w:val="231F20"/>
          <w:spacing w:val="-8"/>
          <w:w w:val="105"/>
        </w:rPr>
        <w:t> </w:t>
      </w:r>
      <w:r>
        <w:rPr>
          <w:color w:val="231F20"/>
          <w:w w:val="105"/>
        </w:rPr>
        <w:t>Therefore,</w:t>
      </w:r>
      <w:r>
        <w:rPr>
          <w:color w:val="231F20"/>
          <w:spacing w:val="-8"/>
          <w:w w:val="105"/>
        </w:rPr>
        <w:t> </w:t>
      </w:r>
      <w:r>
        <w:rPr>
          <w:color w:val="231F20"/>
          <w:w w:val="105"/>
        </w:rPr>
        <w:t>the</w:t>
      </w:r>
      <w:r>
        <w:rPr>
          <w:color w:val="231F20"/>
          <w:spacing w:val="-7"/>
          <w:w w:val="105"/>
        </w:rPr>
        <w:t> </w:t>
      </w:r>
      <w:r>
        <w:rPr>
          <w:color w:val="231F20"/>
          <w:w w:val="105"/>
        </w:rPr>
        <w:t>usual</w:t>
      </w:r>
      <w:r>
        <w:rPr>
          <w:color w:val="231F20"/>
          <w:spacing w:val="-8"/>
          <w:w w:val="105"/>
        </w:rPr>
        <w:t> </w:t>
      </w:r>
      <w:r>
        <w:rPr>
          <w:color w:val="231F20"/>
          <w:w w:val="105"/>
        </w:rPr>
        <w:t>diffusion</w:t>
      </w:r>
      <w:r>
        <w:rPr>
          <w:color w:val="231F20"/>
          <w:spacing w:val="-8"/>
          <w:w w:val="105"/>
        </w:rPr>
        <w:t> </w:t>
      </w:r>
      <w:r>
        <w:rPr>
          <w:color w:val="231F20"/>
          <w:w w:val="105"/>
        </w:rPr>
        <w:t>of</w:t>
      </w:r>
      <w:r>
        <w:rPr>
          <w:color w:val="231F20"/>
          <w:spacing w:val="-7"/>
          <w:w w:val="105"/>
        </w:rPr>
        <w:t> </w:t>
      </w:r>
      <w:r>
        <w:rPr>
          <w:color w:val="231F20"/>
          <w:spacing w:val="-3"/>
          <w:w w:val="105"/>
        </w:rPr>
        <w:t>nutri­ </w:t>
      </w:r>
      <w:r>
        <w:rPr>
          <w:color w:val="231F20"/>
          <w:w w:val="105"/>
        </w:rPr>
        <w:t>ents to the cells and the removal of waste products</w:t>
      </w:r>
      <w:r>
        <w:rPr>
          <w:color w:val="231F20"/>
          <w:spacing w:val="-33"/>
          <w:w w:val="105"/>
        </w:rPr>
        <w:t> </w:t>
      </w:r>
      <w:r>
        <w:rPr>
          <w:color w:val="231F20"/>
          <w:w w:val="105"/>
        </w:rPr>
        <w:t>from the cells are not compromised by the proteoglycan fila­ ments of the</w:t>
      </w:r>
      <w:r>
        <w:rPr>
          <w:color w:val="231F20"/>
          <w:spacing w:val="9"/>
          <w:w w:val="105"/>
        </w:rPr>
        <w:t> </w:t>
      </w:r>
      <w:r>
        <w:rPr>
          <w:color w:val="231F20"/>
          <w:w w:val="105"/>
        </w:rPr>
        <w:t>interstitium.</w:t>
      </w:r>
    </w:p>
    <w:p>
      <w:pPr>
        <w:pStyle w:val="Heading2"/>
        <w:spacing w:line="225" w:lineRule="auto" w:before="159"/>
        <w:ind w:right="1239"/>
      </w:pPr>
      <w:r>
        <w:rPr>
          <w:color w:val="231F20"/>
        </w:rPr>
        <w:t>Increased Lymph Flow as a Safety Factor Against Edema</w:t>
      </w:r>
    </w:p>
    <w:p>
      <w:pPr>
        <w:pStyle w:val="BodyText"/>
        <w:spacing w:line="249" w:lineRule="auto" w:before="87"/>
        <w:ind w:left="319" w:right="1077"/>
        <w:jc w:val="both"/>
      </w:pPr>
      <w:r>
        <w:rPr>
          <w:color w:val="231F20"/>
          <w:w w:val="105"/>
        </w:rPr>
        <w:t>A major function of the lymphatic system is to return</w:t>
      </w:r>
      <w:r>
        <w:rPr>
          <w:color w:val="231F20"/>
          <w:spacing w:val="-18"/>
          <w:w w:val="105"/>
        </w:rPr>
        <w:t> </w:t>
      </w:r>
      <w:r>
        <w:rPr>
          <w:color w:val="231F20"/>
          <w:w w:val="105"/>
        </w:rPr>
        <w:t>to the circulation the fluid and proteins filtered from </w:t>
      </w:r>
      <w:r>
        <w:rPr>
          <w:color w:val="231F20"/>
          <w:spacing w:val="-5"/>
          <w:w w:val="105"/>
        </w:rPr>
        <w:t>the </w:t>
      </w:r>
      <w:r>
        <w:rPr>
          <w:color w:val="231F20"/>
          <w:w w:val="105"/>
        </w:rPr>
        <w:t>capillaries into the interstitium. Without this</w:t>
      </w:r>
      <w:r>
        <w:rPr>
          <w:color w:val="231F20"/>
          <w:spacing w:val="-23"/>
          <w:w w:val="105"/>
        </w:rPr>
        <w:t> </w:t>
      </w:r>
      <w:r>
        <w:rPr>
          <w:color w:val="231F20"/>
          <w:w w:val="105"/>
        </w:rPr>
        <w:t>continuous return of the filtered proteins and fluid to the blood, </w:t>
      </w:r>
      <w:r>
        <w:rPr>
          <w:color w:val="231F20"/>
          <w:spacing w:val="-5"/>
          <w:w w:val="105"/>
        </w:rPr>
        <w:t>the </w:t>
      </w:r>
      <w:r>
        <w:rPr>
          <w:color w:val="231F20"/>
          <w:w w:val="105"/>
        </w:rPr>
        <w:t>plasma</w:t>
      </w:r>
      <w:r>
        <w:rPr>
          <w:color w:val="231F20"/>
          <w:spacing w:val="-22"/>
          <w:w w:val="105"/>
        </w:rPr>
        <w:t> </w:t>
      </w:r>
      <w:r>
        <w:rPr>
          <w:color w:val="231F20"/>
          <w:w w:val="105"/>
        </w:rPr>
        <w:t>volume</w:t>
      </w:r>
      <w:r>
        <w:rPr>
          <w:color w:val="231F20"/>
          <w:spacing w:val="-22"/>
          <w:w w:val="105"/>
        </w:rPr>
        <w:t> </w:t>
      </w:r>
      <w:r>
        <w:rPr>
          <w:color w:val="231F20"/>
          <w:w w:val="105"/>
        </w:rPr>
        <w:t>would</w:t>
      </w:r>
      <w:r>
        <w:rPr>
          <w:color w:val="231F20"/>
          <w:spacing w:val="-22"/>
          <w:w w:val="105"/>
        </w:rPr>
        <w:t> </w:t>
      </w:r>
      <w:r>
        <w:rPr>
          <w:color w:val="231F20"/>
          <w:w w:val="105"/>
        </w:rPr>
        <w:t>be</w:t>
      </w:r>
      <w:r>
        <w:rPr>
          <w:color w:val="231F20"/>
          <w:spacing w:val="-22"/>
          <w:w w:val="105"/>
        </w:rPr>
        <w:t> </w:t>
      </w:r>
      <w:r>
        <w:rPr>
          <w:color w:val="231F20"/>
          <w:w w:val="105"/>
        </w:rPr>
        <w:t>rapidly</w:t>
      </w:r>
      <w:r>
        <w:rPr>
          <w:color w:val="231F20"/>
          <w:spacing w:val="-22"/>
          <w:w w:val="105"/>
        </w:rPr>
        <w:t> </w:t>
      </w:r>
      <w:r>
        <w:rPr>
          <w:color w:val="231F20"/>
          <w:w w:val="105"/>
        </w:rPr>
        <w:t>depleted,</w:t>
      </w:r>
      <w:r>
        <w:rPr>
          <w:color w:val="231F20"/>
          <w:spacing w:val="-22"/>
          <w:w w:val="105"/>
        </w:rPr>
        <w:t> </w:t>
      </w:r>
      <w:r>
        <w:rPr>
          <w:color w:val="231F20"/>
          <w:w w:val="105"/>
        </w:rPr>
        <w:t>and</w:t>
      </w:r>
      <w:r>
        <w:rPr>
          <w:color w:val="231F20"/>
          <w:spacing w:val="-22"/>
          <w:w w:val="105"/>
        </w:rPr>
        <w:t> </w:t>
      </w:r>
      <w:r>
        <w:rPr>
          <w:color w:val="231F20"/>
          <w:w w:val="105"/>
        </w:rPr>
        <w:t>interstitial edema would</w:t>
      </w:r>
      <w:r>
        <w:rPr>
          <w:color w:val="231F20"/>
          <w:spacing w:val="5"/>
          <w:w w:val="105"/>
        </w:rPr>
        <w:t> </w:t>
      </w:r>
      <w:r>
        <w:rPr>
          <w:color w:val="231F20"/>
          <w:spacing w:val="-3"/>
          <w:w w:val="105"/>
        </w:rPr>
        <w:t>occur.</w:t>
      </w:r>
    </w:p>
    <w:p>
      <w:pPr>
        <w:pStyle w:val="BodyText"/>
        <w:spacing w:line="249" w:lineRule="auto" w:before="5"/>
        <w:ind w:left="319" w:right="1077" w:firstLine="240"/>
        <w:jc w:val="both"/>
      </w:pPr>
      <w:r>
        <w:rPr>
          <w:color w:val="231F20"/>
          <w:w w:val="105"/>
        </w:rPr>
        <w:t>The lymphatics act as a safety factor against edema because</w:t>
      </w:r>
      <w:r>
        <w:rPr>
          <w:color w:val="231F20"/>
          <w:spacing w:val="-31"/>
          <w:w w:val="105"/>
        </w:rPr>
        <w:t> </w:t>
      </w:r>
      <w:r>
        <w:rPr>
          <w:color w:val="231F20"/>
          <w:w w:val="105"/>
        </w:rPr>
        <w:t>lymph</w:t>
      </w:r>
      <w:r>
        <w:rPr>
          <w:color w:val="231F20"/>
          <w:spacing w:val="-31"/>
          <w:w w:val="105"/>
        </w:rPr>
        <w:t> </w:t>
      </w:r>
      <w:r>
        <w:rPr>
          <w:color w:val="231F20"/>
          <w:w w:val="105"/>
        </w:rPr>
        <w:t>flow</w:t>
      </w:r>
      <w:r>
        <w:rPr>
          <w:color w:val="231F20"/>
          <w:spacing w:val="-31"/>
          <w:w w:val="105"/>
        </w:rPr>
        <w:t> </w:t>
      </w:r>
      <w:r>
        <w:rPr>
          <w:color w:val="231F20"/>
          <w:w w:val="105"/>
        </w:rPr>
        <w:t>can</w:t>
      </w:r>
      <w:r>
        <w:rPr>
          <w:color w:val="231F20"/>
          <w:spacing w:val="-30"/>
          <w:w w:val="105"/>
        </w:rPr>
        <w:t> </w:t>
      </w:r>
      <w:r>
        <w:rPr>
          <w:color w:val="231F20"/>
          <w:w w:val="105"/>
        </w:rPr>
        <w:t>increase</w:t>
      </w:r>
      <w:r>
        <w:rPr>
          <w:color w:val="231F20"/>
          <w:spacing w:val="-31"/>
          <w:w w:val="105"/>
        </w:rPr>
        <w:t> </w:t>
      </w:r>
      <w:r>
        <w:rPr>
          <w:color w:val="231F20"/>
          <w:w w:val="105"/>
        </w:rPr>
        <w:t>10­</w:t>
      </w:r>
      <w:r>
        <w:rPr>
          <w:color w:val="231F20"/>
          <w:spacing w:val="-31"/>
          <w:w w:val="105"/>
        </w:rPr>
        <w:t> </w:t>
      </w:r>
      <w:r>
        <w:rPr>
          <w:color w:val="231F20"/>
          <w:w w:val="105"/>
        </w:rPr>
        <w:t>to</w:t>
      </w:r>
      <w:r>
        <w:rPr>
          <w:color w:val="231F20"/>
          <w:spacing w:val="-30"/>
          <w:w w:val="105"/>
        </w:rPr>
        <w:t> </w:t>
      </w:r>
      <w:r>
        <w:rPr>
          <w:color w:val="231F20"/>
          <w:w w:val="105"/>
        </w:rPr>
        <w:t>50­fold</w:t>
      </w:r>
      <w:r>
        <w:rPr>
          <w:color w:val="231F20"/>
          <w:spacing w:val="-31"/>
          <w:w w:val="105"/>
        </w:rPr>
        <w:t> </w:t>
      </w:r>
      <w:r>
        <w:rPr>
          <w:color w:val="231F20"/>
          <w:w w:val="105"/>
        </w:rPr>
        <w:t>when</w:t>
      </w:r>
      <w:r>
        <w:rPr>
          <w:color w:val="231F20"/>
          <w:spacing w:val="-31"/>
          <w:w w:val="105"/>
        </w:rPr>
        <w:t> </w:t>
      </w:r>
      <w:r>
        <w:rPr>
          <w:color w:val="231F20"/>
          <w:w w:val="105"/>
        </w:rPr>
        <w:t>fluid begins</w:t>
      </w:r>
      <w:r>
        <w:rPr>
          <w:color w:val="231F20"/>
          <w:spacing w:val="-19"/>
          <w:w w:val="105"/>
        </w:rPr>
        <w:t> </w:t>
      </w:r>
      <w:r>
        <w:rPr>
          <w:color w:val="231F20"/>
          <w:w w:val="105"/>
        </w:rPr>
        <w:t>to</w:t>
      </w:r>
      <w:r>
        <w:rPr>
          <w:color w:val="231F20"/>
          <w:spacing w:val="-19"/>
          <w:w w:val="105"/>
        </w:rPr>
        <w:t> </w:t>
      </w:r>
      <w:r>
        <w:rPr>
          <w:color w:val="231F20"/>
          <w:w w:val="105"/>
        </w:rPr>
        <w:t>accumulate</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tissues.</w:t>
      </w:r>
      <w:r>
        <w:rPr>
          <w:color w:val="231F20"/>
          <w:spacing w:val="-19"/>
          <w:w w:val="105"/>
        </w:rPr>
        <w:t> </w:t>
      </w:r>
      <w:r>
        <w:rPr>
          <w:color w:val="231F20"/>
          <w:w w:val="105"/>
        </w:rPr>
        <w:t>This</w:t>
      </w:r>
      <w:r>
        <w:rPr>
          <w:color w:val="231F20"/>
          <w:spacing w:val="-18"/>
          <w:w w:val="105"/>
        </w:rPr>
        <w:t> </w:t>
      </w:r>
      <w:r>
        <w:rPr>
          <w:color w:val="231F20"/>
          <w:w w:val="105"/>
        </w:rPr>
        <w:t>increased</w:t>
      </w:r>
      <w:r>
        <w:rPr>
          <w:color w:val="231F20"/>
          <w:spacing w:val="-19"/>
          <w:w w:val="105"/>
        </w:rPr>
        <w:t> </w:t>
      </w:r>
      <w:r>
        <w:rPr>
          <w:color w:val="231F20"/>
          <w:w w:val="105"/>
        </w:rPr>
        <w:t>lymph flow allows the lymphatics to carry away large</w:t>
      </w:r>
      <w:r>
        <w:rPr>
          <w:color w:val="231F20"/>
          <w:spacing w:val="-28"/>
          <w:w w:val="105"/>
        </w:rPr>
        <w:t> </w:t>
      </w:r>
      <w:r>
        <w:rPr>
          <w:color w:val="231F20"/>
          <w:w w:val="105"/>
        </w:rPr>
        <w:t>amounts of fluid and proteins in response to increased capillary filtration, preventing the interstitial pressure from</w:t>
      </w:r>
      <w:r>
        <w:rPr>
          <w:color w:val="231F20"/>
          <w:spacing w:val="-27"/>
          <w:w w:val="105"/>
        </w:rPr>
        <w:t> </w:t>
      </w:r>
      <w:r>
        <w:rPr>
          <w:color w:val="231F20"/>
          <w:w w:val="105"/>
        </w:rPr>
        <w:t>rising into</w:t>
      </w:r>
      <w:r>
        <w:rPr>
          <w:color w:val="231F20"/>
          <w:spacing w:val="-13"/>
          <w:w w:val="105"/>
        </w:rPr>
        <w:t> </w:t>
      </w:r>
      <w:r>
        <w:rPr>
          <w:color w:val="231F20"/>
          <w:w w:val="105"/>
        </w:rPr>
        <w:t>the</w:t>
      </w:r>
      <w:r>
        <w:rPr>
          <w:color w:val="231F20"/>
          <w:spacing w:val="-13"/>
          <w:w w:val="105"/>
        </w:rPr>
        <w:t> </w:t>
      </w:r>
      <w:r>
        <w:rPr>
          <w:color w:val="231F20"/>
          <w:w w:val="105"/>
        </w:rPr>
        <w:t>positive</w:t>
      </w:r>
      <w:r>
        <w:rPr>
          <w:color w:val="231F20"/>
          <w:spacing w:val="-12"/>
          <w:w w:val="105"/>
        </w:rPr>
        <w:t> </w:t>
      </w:r>
      <w:r>
        <w:rPr>
          <w:color w:val="231F20"/>
          <w:w w:val="105"/>
        </w:rPr>
        <w:t>pressure</w:t>
      </w:r>
      <w:r>
        <w:rPr>
          <w:color w:val="231F20"/>
          <w:spacing w:val="-13"/>
          <w:w w:val="105"/>
        </w:rPr>
        <w:t> </w:t>
      </w:r>
      <w:r>
        <w:rPr>
          <w:color w:val="231F20"/>
          <w:w w:val="105"/>
        </w:rPr>
        <w:t>range.</w:t>
      </w:r>
      <w:r>
        <w:rPr>
          <w:color w:val="231F20"/>
          <w:spacing w:val="-12"/>
          <w:w w:val="105"/>
        </w:rPr>
        <w:t> </w:t>
      </w:r>
      <w:r>
        <w:rPr>
          <w:color w:val="231F20"/>
          <w:w w:val="105"/>
        </w:rPr>
        <w:t>The</w:t>
      </w:r>
      <w:r>
        <w:rPr>
          <w:color w:val="231F20"/>
          <w:spacing w:val="-13"/>
          <w:w w:val="105"/>
        </w:rPr>
        <w:t> </w:t>
      </w:r>
      <w:r>
        <w:rPr>
          <w:color w:val="231F20"/>
          <w:w w:val="105"/>
        </w:rPr>
        <w:t>safety</w:t>
      </w:r>
      <w:r>
        <w:rPr>
          <w:color w:val="231F20"/>
          <w:spacing w:val="-13"/>
          <w:w w:val="105"/>
        </w:rPr>
        <w:t> </w:t>
      </w:r>
      <w:r>
        <w:rPr>
          <w:color w:val="231F20"/>
          <w:w w:val="105"/>
        </w:rPr>
        <w:t>factor</w:t>
      </w:r>
      <w:r>
        <w:rPr>
          <w:color w:val="231F20"/>
          <w:spacing w:val="-12"/>
          <w:w w:val="105"/>
        </w:rPr>
        <w:t> </w:t>
      </w:r>
      <w:r>
        <w:rPr>
          <w:color w:val="231F20"/>
          <w:w w:val="105"/>
        </w:rPr>
        <w:t>caused by</w:t>
      </w:r>
      <w:r>
        <w:rPr>
          <w:color w:val="231F20"/>
          <w:spacing w:val="-9"/>
          <w:w w:val="105"/>
        </w:rPr>
        <w:t> </w:t>
      </w:r>
      <w:r>
        <w:rPr>
          <w:color w:val="231F20"/>
          <w:w w:val="105"/>
        </w:rPr>
        <w:t>increased</w:t>
      </w:r>
      <w:r>
        <w:rPr>
          <w:color w:val="231F20"/>
          <w:spacing w:val="-9"/>
          <w:w w:val="105"/>
        </w:rPr>
        <w:t> </w:t>
      </w:r>
      <w:r>
        <w:rPr>
          <w:color w:val="231F20"/>
          <w:w w:val="105"/>
        </w:rPr>
        <w:t>lymph</w:t>
      </w:r>
      <w:r>
        <w:rPr>
          <w:color w:val="231F20"/>
          <w:spacing w:val="-9"/>
          <w:w w:val="105"/>
        </w:rPr>
        <w:t> </w:t>
      </w:r>
      <w:r>
        <w:rPr>
          <w:color w:val="231F20"/>
          <w:w w:val="105"/>
        </w:rPr>
        <w:t>flow</w:t>
      </w:r>
      <w:r>
        <w:rPr>
          <w:color w:val="231F20"/>
          <w:spacing w:val="-9"/>
          <w:w w:val="105"/>
        </w:rPr>
        <w:t> </w:t>
      </w:r>
      <w:r>
        <w:rPr>
          <w:color w:val="231F20"/>
          <w:w w:val="105"/>
        </w:rPr>
        <w:t>has</w:t>
      </w:r>
      <w:r>
        <w:rPr>
          <w:color w:val="231F20"/>
          <w:spacing w:val="-9"/>
          <w:w w:val="105"/>
        </w:rPr>
        <w:t> </w:t>
      </w:r>
      <w:r>
        <w:rPr>
          <w:color w:val="231F20"/>
          <w:w w:val="105"/>
        </w:rPr>
        <w:t>been</w:t>
      </w:r>
      <w:r>
        <w:rPr>
          <w:color w:val="231F20"/>
          <w:spacing w:val="-9"/>
          <w:w w:val="105"/>
        </w:rPr>
        <w:t> </w:t>
      </w:r>
      <w:r>
        <w:rPr>
          <w:color w:val="231F20"/>
          <w:w w:val="105"/>
        </w:rPr>
        <w:t>calculated</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about 7 mm</w:t>
      </w:r>
      <w:r>
        <w:rPr>
          <w:color w:val="231F20"/>
          <w:spacing w:val="6"/>
          <w:w w:val="105"/>
        </w:rPr>
        <w:t> </w:t>
      </w:r>
      <w:r>
        <w:rPr>
          <w:color w:val="231F20"/>
          <w:w w:val="105"/>
        </w:rPr>
        <w:t>Hg.</w:t>
      </w:r>
    </w:p>
    <w:p>
      <w:pPr>
        <w:pStyle w:val="Heading2"/>
        <w:spacing w:line="225" w:lineRule="auto" w:before="160"/>
        <w:ind w:right="1490"/>
      </w:pPr>
      <w:r>
        <w:rPr>
          <w:color w:val="231F20"/>
        </w:rPr>
        <w:t>“Washdown” of the Interstitial Fluid Protein as a Safety Factor Against Edema</w:t>
      </w:r>
    </w:p>
    <w:p>
      <w:pPr>
        <w:pStyle w:val="BodyText"/>
        <w:spacing w:line="249" w:lineRule="auto" w:before="87"/>
        <w:ind w:left="319" w:right="1077"/>
        <w:jc w:val="both"/>
      </w:pPr>
      <w:r>
        <w:rPr>
          <w:color w:val="231F20"/>
          <w:w w:val="105"/>
        </w:rPr>
        <w:t>As increased amounts of fluid are filtered into the inter­ stitium, the interstitial fluid pressure increases, causing</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78"/>
          <w:footerReference w:type="even" r:id="rId79"/>
          <w:footerReference w:type="default" r:id="rId80"/>
          <w:pgSz w:w="12240" w:h="15660"/>
          <w:pgMar w:header="0" w:footer="567" w:top="720" w:bottom="760" w:left="0" w:right="0"/>
          <w:pgNumType w:start="320"/>
        </w:sectPr>
      </w:pPr>
    </w:p>
    <w:p>
      <w:pPr>
        <w:pStyle w:val="BodyText"/>
        <w:spacing w:line="249" w:lineRule="auto" w:before="99"/>
        <w:ind w:left="1080"/>
        <w:jc w:val="both"/>
      </w:pPr>
      <w:r>
        <w:rPr>
          <w:color w:val="231F20"/>
          <w:w w:val="105"/>
        </w:rPr>
        <w:t>increased</w:t>
      </w:r>
      <w:r>
        <w:rPr>
          <w:color w:val="231F20"/>
          <w:spacing w:val="-21"/>
          <w:w w:val="105"/>
        </w:rPr>
        <w:t> </w:t>
      </w:r>
      <w:r>
        <w:rPr>
          <w:color w:val="231F20"/>
          <w:w w:val="105"/>
        </w:rPr>
        <w:t>lymph</w:t>
      </w:r>
      <w:r>
        <w:rPr>
          <w:color w:val="231F20"/>
          <w:spacing w:val="-20"/>
          <w:w w:val="105"/>
        </w:rPr>
        <w:t> </w:t>
      </w:r>
      <w:r>
        <w:rPr>
          <w:color w:val="231F20"/>
          <w:spacing w:val="-3"/>
          <w:w w:val="105"/>
        </w:rPr>
        <w:t>flow.</w:t>
      </w:r>
      <w:r>
        <w:rPr>
          <w:color w:val="231F20"/>
          <w:spacing w:val="-20"/>
          <w:w w:val="105"/>
        </w:rPr>
        <w:t> </w:t>
      </w:r>
      <w:r>
        <w:rPr>
          <w:color w:val="231F20"/>
          <w:w w:val="105"/>
        </w:rPr>
        <w:t>In</w:t>
      </w:r>
      <w:r>
        <w:rPr>
          <w:color w:val="231F20"/>
          <w:spacing w:val="-20"/>
          <w:w w:val="105"/>
        </w:rPr>
        <w:t> </w:t>
      </w:r>
      <w:r>
        <w:rPr>
          <w:color w:val="231F20"/>
          <w:w w:val="105"/>
        </w:rPr>
        <w:t>most</w:t>
      </w:r>
      <w:r>
        <w:rPr>
          <w:color w:val="231F20"/>
          <w:spacing w:val="-20"/>
          <w:w w:val="105"/>
        </w:rPr>
        <w:t> </w:t>
      </w:r>
      <w:r>
        <w:rPr>
          <w:color w:val="231F20"/>
          <w:w w:val="105"/>
        </w:rPr>
        <w:t>tissues</w:t>
      </w:r>
      <w:r>
        <w:rPr>
          <w:color w:val="231F20"/>
          <w:spacing w:val="-20"/>
          <w:w w:val="105"/>
        </w:rPr>
        <w:t> </w:t>
      </w:r>
      <w:r>
        <w:rPr>
          <w:color w:val="231F20"/>
          <w:w w:val="105"/>
        </w:rPr>
        <w:t>the</w:t>
      </w:r>
      <w:r>
        <w:rPr>
          <w:color w:val="231F20"/>
          <w:spacing w:val="-20"/>
          <w:w w:val="105"/>
        </w:rPr>
        <w:t> </w:t>
      </w:r>
      <w:r>
        <w:rPr>
          <w:color w:val="231F20"/>
          <w:w w:val="105"/>
        </w:rPr>
        <w:t>protein</w:t>
      </w:r>
      <w:r>
        <w:rPr>
          <w:color w:val="231F20"/>
          <w:spacing w:val="-20"/>
          <w:w w:val="105"/>
        </w:rPr>
        <w:t> </w:t>
      </w:r>
      <w:r>
        <w:rPr>
          <w:color w:val="231F20"/>
          <w:w w:val="105"/>
        </w:rPr>
        <w:t>concen­ tration of the interstitium decreases as lymph flow </w:t>
      </w:r>
      <w:r>
        <w:rPr>
          <w:color w:val="231F20"/>
          <w:spacing w:val="-6"/>
          <w:w w:val="105"/>
        </w:rPr>
        <w:t>is </w:t>
      </w:r>
      <w:r>
        <w:rPr>
          <w:color w:val="231F20"/>
          <w:w w:val="105"/>
        </w:rPr>
        <w:t>increased, because larger amounts of protein are</w:t>
      </w:r>
      <w:r>
        <w:rPr>
          <w:color w:val="231F20"/>
          <w:spacing w:val="-17"/>
          <w:w w:val="105"/>
        </w:rPr>
        <w:t> </w:t>
      </w:r>
      <w:r>
        <w:rPr>
          <w:color w:val="231F20"/>
          <w:w w:val="105"/>
        </w:rPr>
        <w:t>carried away</w:t>
      </w:r>
      <w:r>
        <w:rPr>
          <w:color w:val="231F20"/>
          <w:spacing w:val="-19"/>
          <w:w w:val="105"/>
        </w:rPr>
        <w:t> </w:t>
      </w:r>
      <w:r>
        <w:rPr>
          <w:color w:val="231F20"/>
          <w:w w:val="105"/>
        </w:rPr>
        <w:t>than</w:t>
      </w:r>
      <w:r>
        <w:rPr>
          <w:color w:val="231F20"/>
          <w:spacing w:val="-19"/>
          <w:w w:val="105"/>
        </w:rPr>
        <w:t> </w:t>
      </w:r>
      <w:r>
        <w:rPr>
          <w:color w:val="231F20"/>
          <w:w w:val="105"/>
        </w:rPr>
        <w:t>can</w:t>
      </w:r>
      <w:r>
        <w:rPr>
          <w:color w:val="231F20"/>
          <w:spacing w:val="-18"/>
          <w:w w:val="105"/>
        </w:rPr>
        <w:t> </w:t>
      </w:r>
      <w:r>
        <w:rPr>
          <w:color w:val="231F20"/>
          <w:w w:val="105"/>
        </w:rPr>
        <w:t>be</w:t>
      </w:r>
      <w:r>
        <w:rPr>
          <w:color w:val="231F20"/>
          <w:spacing w:val="-19"/>
          <w:w w:val="105"/>
        </w:rPr>
        <w:t> </w:t>
      </w:r>
      <w:r>
        <w:rPr>
          <w:color w:val="231F20"/>
          <w:w w:val="105"/>
        </w:rPr>
        <w:t>filtered</w:t>
      </w:r>
      <w:r>
        <w:rPr>
          <w:color w:val="231F20"/>
          <w:spacing w:val="-18"/>
          <w:w w:val="105"/>
        </w:rPr>
        <w:t> </w:t>
      </w:r>
      <w:r>
        <w:rPr>
          <w:color w:val="231F20"/>
          <w:w w:val="105"/>
        </w:rPr>
        <w:t>out</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w w:val="105"/>
        </w:rPr>
        <w:t>capillaries;</w:t>
      </w:r>
      <w:r>
        <w:rPr>
          <w:color w:val="231F20"/>
          <w:spacing w:val="-18"/>
          <w:w w:val="105"/>
        </w:rPr>
        <w:t> </w:t>
      </w:r>
      <w:r>
        <w:rPr>
          <w:color w:val="231F20"/>
          <w:w w:val="105"/>
        </w:rPr>
        <w:t>the</w:t>
      </w:r>
      <w:r>
        <w:rPr>
          <w:color w:val="231F20"/>
          <w:spacing w:val="-19"/>
          <w:w w:val="105"/>
        </w:rPr>
        <w:t> </w:t>
      </w:r>
      <w:r>
        <w:rPr>
          <w:color w:val="231F20"/>
          <w:w w:val="105"/>
        </w:rPr>
        <w:t>reason for this phenomenon is that the capillaries are </w:t>
      </w:r>
      <w:r>
        <w:rPr>
          <w:color w:val="231F20"/>
          <w:spacing w:val="-3"/>
          <w:w w:val="105"/>
        </w:rPr>
        <w:t>relatively </w:t>
      </w:r>
      <w:r>
        <w:rPr>
          <w:color w:val="231F20"/>
          <w:w w:val="105"/>
        </w:rPr>
        <w:t>impermeable to proteins compared with the lymph vessels. Therefore, the proteins are “washed out” of the interstitial fluid as lymph flow</w:t>
      </w:r>
      <w:r>
        <w:rPr>
          <w:color w:val="231F20"/>
          <w:spacing w:val="-3"/>
          <w:w w:val="105"/>
        </w:rPr>
        <w:t> </w:t>
      </w:r>
      <w:r>
        <w:rPr>
          <w:color w:val="231F20"/>
          <w:w w:val="105"/>
        </w:rPr>
        <w:t>increases.</w:t>
      </w:r>
    </w:p>
    <w:p>
      <w:pPr>
        <w:pStyle w:val="BodyText"/>
        <w:spacing w:line="249" w:lineRule="auto" w:before="7"/>
        <w:ind w:left="1080" w:firstLine="240"/>
        <w:jc w:val="both"/>
      </w:pPr>
      <w:r>
        <w:rPr/>
        <w:pict>
          <v:rect style="position:absolute;margin-left:0pt;margin-top:44.33596pt;width:36pt;height:24pt;mso-position-horizontal-relative:page;mso-position-vertical-relative:paragraph;z-index:251792384" filled="true" fillcolor="#e8dac8" stroked="false">
            <v:fill type="solid"/>
            <w10:wrap type="none"/>
          </v:rect>
        </w:pict>
      </w:r>
      <w:r>
        <w:rPr>
          <w:color w:val="231F20"/>
          <w:w w:val="105"/>
        </w:rPr>
        <w:t>Because the interstitial fluid colloid osmotic</w:t>
      </w:r>
      <w:r>
        <w:rPr>
          <w:color w:val="231F20"/>
          <w:spacing w:val="-18"/>
          <w:w w:val="105"/>
        </w:rPr>
        <w:t> </w:t>
      </w:r>
      <w:r>
        <w:rPr>
          <w:color w:val="231F20"/>
          <w:spacing w:val="-3"/>
          <w:w w:val="105"/>
        </w:rPr>
        <w:t>pressure </w:t>
      </w:r>
      <w:r>
        <w:rPr>
          <w:color w:val="231F20"/>
          <w:w w:val="105"/>
        </w:rPr>
        <w:t>caused</w:t>
      </w:r>
      <w:r>
        <w:rPr>
          <w:color w:val="231F20"/>
          <w:spacing w:val="-20"/>
          <w:w w:val="105"/>
        </w:rPr>
        <w:t> </w:t>
      </w:r>
      <w:r>
        <w:rPr>
          <w:color w:val="231F20"/>
          <w:w w:val="105"/>
        </w:rPr>
        <w:t>by</w:t>
      </w:r>
      <w:r>
        <w:rPr>
          <w:color w:val="231F20"/>
          <w:spacing w:val="-19"/>
          <w:w w:val="105"/>
        </w:rPr>
        <w:t> </w:t>
      </w:r>
      <w:r>
        <w:rPr>
          <w:color w:val="231F20"/>
          <w:w w:val="105"/>
        </w:rPr>
        <w:t>the</w:t>
      </w:r>
      <w:r>
        <w:rPr>
          <w:color w:val="231F20"/>
          <w:spacing w:val="-19"/>
          <w:w w:val="105"/>
        </w:rPr>
        <w:t> </w:t>
      </w:r>
      <w:r>
        <w:rPr>
          <w:color w:val="231F20"/>
          <w:w w:val="105"/>
        </w:rPr>
        <w:t>proteins</w:t>
      </w:r>
      <w:r>
        <w:rPr>
          <w:color w:val="231F20"/>
          <w:spacing w:val="-19"/>
          <w:w w:val="105"/>
        </w:rPr>
        <w:t> </w:t>
      </w:r>
      <w:r>
        <w:rPr>
          <w:color w:val="231F20"/>
          <w:w w:val="105"/>
        </w:rPr>
        <w:t>tends</w:t>
      </w:r>
      <w:r>
        <w:rPr>
          <w:color w:val="231F20"/>
          <w:spacing w:val="-19"/>
          <w:w w:val="105"/>
        </w:rPr>
        <w:t> </w:t>
      </w:r>
      <w:r>
        <w:rPr>
          <w:color w:val="231F20"/>
          <w:w w:val="105"/>
        </w:rPr>
        <w:t>to</w:t>
      </w:r>
      <w:r>
        <w:rPr>
          <w:color w:val="231F20"/>
          <w:spacing w:val="-19"/>
          <w:w w:val="105"/>
        </w:rPr>
        <w:t> </w:t>
      </w:r>
      <w:r>
        <w:rPr>
          <w:color w:val="231F20"/>
          <w:w w:val="105"/>
        </w:rPr>
        <w:t>draw</w:t>
      </w:r>
      <w:r>
        <w:rPr>
          <w:color w:val="231F20"/>
          <w:spacing w:val="-20"/>
          <w:w w:val="105"/>
        </w:rPr>
        <w:t> </w:t>
      </w:r>
      <w:r>
        <w:rPr>
          <w:color w:val="231F20"/>
          <w:w w:val="105"/>
        </w:rPr>
        <w:t>fluid</w:t>
      </w:r>
      <w:r>
        <w:rPr>
          <w:color w:val="231F20"/>
          <w:spacing w:val="-19"/>
          <w:w w:val="105"/>
        </w:rPr>
        <w:t> </w:t>
      </w:r>
      <w:r>
        <w:rPr>
          <w:color w:val="231F20"/>
          <w:w w:val="105"/>
        </w:rPr>
        <w:t>out</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spacing w:val="-3"/>
          <w:w w:val="105"/>
        </w:rPr>
        <w:t>capil­ </w:t>
      </w:r>
      <w:r>
        <w:rPr>
          <w:color w:val="231F20"/>
          <w:w w:val="105"/>
        </w:rPr>
        <w:t>laries,</w:t>
      </w:r>
      <w:r>
        <w:rPr>
          <w:color w:val="231F20"/>
          <w:spacing w:val="-13"/>
          <w:w w:val="105"/>
        </w:rPr>
        <w:t> </w:t>
      </w:r>
      <w:r>
        <w:rPr>
          <w:color w:val="231F20"/>
          <w:w w:val="105"/>
        </w:rPr>
        <w:t>decreasing</w:t>
      </w:r>
      <w:r>
        <w:rPr>
          <w:color w:val="231F20"/>
          <w:spacing w:val="-13"/>
          <w:w w:val="105"/>
        </w:rPr>
        <w:t> </w:t>
      </w:r>
      <w:r>
        <w:rPr>
          <w:color w:val="231F20"/>
          <w:w w:val="105"/>
        </w:rPr>
        <w:t>the</w:t>
      </w:r>
      <w:r>
        <w:rPr>
          <w:color w:val="231F20"/>
          <w:spacing w:val="-13"/>
          <w:w w:val="105"/>
        </w:rPr>
        <w:t> </w:t>
      </w:r>
      <w:r>
        <w:rPr>
          <w:color w:val="231F20"/>
          <w:w w:val="105"/>
        </w:rPr>
        <w:t>interstitial</w:t>
      </w:r>
      <w:r>
        <w:rPr>
          <w:color w:val="231F20"/>
          <w:spacing w:val="-12"/>
          <w:w w:val="105"/>
        </w:rPr>
        <w:t> </w:t>
      </w:r>
      <w:r>
        <w:rPr>
          <w:color w:val="231F20"/>
          <w:w w:val="105"/>
        </w:rPr>
        <w:t>fluid</w:t>
      </w:r>
      <w:r>
        <w:rPr>
          <w:color w:val="231F20"/>
          <w:spacing w:val="-13"/>
          <w:w w:val="105"/>
        </w:rPr>
        <w:t> </w:t>
      </w:r>
      <w:r>
        <w:rPr>
          <w:color w:val="231F20"/>
          <w:w w:val="105"/>
        </w:rPr>
        <w:t>proteins</w:t>
      </w:r>
      <w:r>
        <w:rPr>
          <w:color w:val="231F20"/>
          <w:spacing w:val="-13"/>
          <w:w w:val="105"/>
        </w:rPr>
        <w:t> </w:t>
      </w:r>
      <w:r>
        <w:rPr>
          <w:color w:val="231F20"/>
          <w:w w:val="105"/>
        </w:rPr>
        <w:t>lowers</w:t>
      </w:r>
      <w:r>
        <w:rPr>
          <w:color w:val="231F20"/>
          <w:spacing w:val="-13"/>
          <w:w w:val="105"/>
        </w:rPr>
        <w:t> </w:t>
      </w:r>
      <w:r>
        <w:rPr>
          <w:color w:val="231F20"/>
          <w:spacing w:val="-5"/>
          <w:w w:val="105"/>
        </w:rPr>
        <w:t>the </w:t>
      </w:r>
      <w:r>
        <w:rPr>
          <w:color w:val="231F20"/>
          <w:w w:val="105"/>
        </w:rPr>
        <w:t>net filtration force across the capillaries and tends to prevent further accumulation of fluid. The safety </w:t>
      </w:r>
      <w:r>
        <w:rPr>
          <w:color w:val="231F20"/>
          <w:spacing w:val="-3"/>
          <w:w w:val="105"/>
        </w:rPr>
        <w:t>factor </w:t>
      </w:r>
      <w:r>
        <w:rPr>
          <w:color w:val="231F20"/>
          <w:w w:val="105"/>
        </w:rPr>
        <w:t>from</w:t>
      </w:r>
      <w:r>
        <w:rPr>
          <w:color w:val="231F20"/>
          <w:spacing w:val="-21"/>
          <w:w w:val="105"/>
        </w:rPr>
        <w:t> </w:t>
      </w:r>
      <w:r>
        <w:rPr>
          <w:color w:val="231F20"/>
          <w:w w:val="105"/>
        </w:rPr>
        <w:t>this</w:t>
      </w:r>
      <w:r>
        <w:rPr>
          <w:color w:val="231F20"/>
          <w:spacing w:val="-20"/>
          <w:w w:val="105"/>
        </w:rPr>
        <w:t> </w:t>
      </w:r>
      <w:r>
        <w:rPr>
          <w:color w:val="231F20"/>
          <w:w w:val="105"/>
        </w:rPr>
        <w:t>effect</w:t>
      </w:r>
      <w:r>
        <w:rPr>
          <w:color w:val="231F20"/>
          <w:spacing w:val="-20"/>
          <w:w w:val="105"/>
        </w:rPr>
        <w:t> </w:t>
      </w:r>
      <w:r>
        <w:rPr>
          <w:color w:val="231F20"/>
          <w:w w:val="105"/>
        </w:rPr>
        <w:t>has</w:t>
      </w:r>
      <w:r>
        <w:rPr>
          <w:color w:val="231F20"/>
          <w:spacing w:val="-21"/>
          <w:w w:val="105"/>
        </w:rPr>
        <w:t> </w:t>
      </w:r>
      <w:r>
        <w:rPr>
          <w:color w:val="231F20"/>
          <w:w w:val="105"/>
        </w:rPr>
        <w:t>been</w:t>
      </w:r>
      <w:r>
        <w:rPr>
          <w:color w:val="231F20"/>
          <w:spacing w:val="-20"/>
          <w:w w:val="105"/>
        </w:rPr>
        <w:t> </w:t>
      </w:r>
      <w:r>
        <w:rPr>
          <w:color w:val="231F20"/>
          <w:w w:val="105"/>
        </w:rPr>
        <w:t>calculated</w:t>
      </w:r>
      <w:r>
        <w:rPr>
          <w:color w:val="231F20"/>
          <w:spacing w:val="-20"/>
          <w:w w:val="105"/>
        </w:rPr>
        <w:t> </w:t>
      </w:r>
      <w:r>
        <w:rPr>
          <w:color w:val="231F20"/>
          <w:w w:val="105"/>
        </w:rPr>
        <w:t>to</w:t>
      </w:r>
      <w:r>
        <w:rPr>
          <w:color w:val="231F20"/>
          <w:spacing w:val="-21"/>
          <w:w w:val="105"/>
        </w:rPr>
        <w:t> </w:t>
      </w:r>
      <w:r>
        <w:rPr>
          <w:color w:val="231F20"/>
          <w:w w:val="105"/>
        </w:rPr>
        <w:t>be</w:t>
      </w:r>
      <w:r>
        <w:rPr>
          <w:color w:val="231F20"/>
          <w:spacing w:val="-20"/>
          <w:w w:val="105"/>
        </w:rPr>
        <w:t> </w:t>
      </w:r>
      <w:r>
        <w:rPr>
          <w:color w:val="231F20"/>
          <w:w w:val="105"/>
        </w:rPr>
        <w:t>about</w:t>
      </w:r>
      <w:r>
        <w:rPr>
          <w:color w:val="231F20"/>
          <w:spacing w:val="-20"/>
          <w:w w:val="105"/>
        </w:rPr>
        <w:t> </w:t>
      </w:r>
      <w:r>
        <w:rPr>
          <w:color w:val="231F20"/>
          <w:w w:val="105"/>
        </w:rPr>
        <w:t>7</w:t>
      </w:r>
      <w:r>
        <w:rPr>
          <w:color w:val="231F20"/>
          <w:spacing w:val="-7"/>
          <w:w w:val="105"/>
        </w:rPr>
        <w:t> </w:t>
      </w:r>
      <w:r>
        <w:rPr>
          <w:color w:val="231F20"/>
          <w:w w:val="105"/>
        </w:rPr>
        <w:t>mm</w:t>
      </w:r>
      <w:r>
        <w:rPr>
          <w:color w:val="231F20"/>
          <w:spacing w:val="-6"/>
          <w:w w:val="105"/>
        </w:rPr>
        <w:t> </w:t>
      </w:r>
      <w:r>
        <w:rPr>
          <w:color w:val="231F20"/>
          <w:w w:val="105"/>
        </w:rPr>
        <w:t>Hg.</w:t>
      </w:r>
    </w:p>
    <w:p>
      <w:pPr>
        <w:pStyle w:val="BodyText"/>
        <w:spacing w:before="1"/>
        <w:rPr>
          <w:sz w:val="31"/>
        </w:rPr>
      </w:pPr>
    </w:p>
    <w:p>
      <w:pPr>
        <w:pStyle w:val="Heading2"/>
        <w:spacing w:line="225" w:lineRule="auto"/>
        <w:ind w:left="1080" w:right="1308"/>
      </w:pPr>
      <w:r>
        <w:rPr>
          <w:color w:val="231F20"/>
          <w:w w:val="105"/>
        </w:rPr>
        <w:t>SUMMARY OF SAFETY FACTORS THAT PREVENT EDEMA</w:t>
      </w:r>
    </w:p>
    <w:p>
      <w:pPr>
        <w:pStyle w:val="BodyText"/>
        <w:spacing w:line="249" w:lineRule="auto" w:before="127"/>
        <w:ind w:left="1080" w:right="-10"/>
      </w:pPr>
      <w:r>
        <w:rPr>
          <w:color w:val="231F20"/>
          <w:w w:val="105"/>
        </w:rPr>
        <w:t>Putting together all the safety factors against edema,</w:t>
      </w:r>
      <w:r>
        <w:rPr>
          <w:color w:val="231F20"/>
          <w:spacing w:val="-24"/>
          <w:w w:val="105"/>
        </w:rPr>
        <w:t> </w:t>
      </w:r>
      <w:r>
        <w:rPr>
          <w:color w:val="231F20"/>
          <w:w w:val="105"/>
        </w:rPr>
        <w:t>we find the</w:t>
      </w:r>
      <w:r>
        <w:rPr>
          <w:color w:val="231F20"/>
          <w:spacing w:val="4"/>
          <w:w w:val="105"/>
        </w:rPr>
        <w:t> </w:t>
      </w:r>
      <w:r>
        <w:rPr>
          <w:color w:val="231F20"/>
          <w:w w:val="105"/>
        </w:rPr>
        <w:t>following:</w:t>
      </w:r>
    </w:p>
    <w:p>
      <w:pPr>
        <w:pStyle w:val="ListParagraph"/>
        <w:numPr>
          <w:ilvl w:val="5"/>
          <w:numId w:val="2"/>
        </w:numPr>
        <w:tabs>
          <w:tab w:pos="1563" w:val="left" w:leader="none"/>
        </w:tabs>
        <w:spacing w:line="249" w:lineRule="auto" w:before="2" w:after="0"/>
        <w:ind w:left="1562" w:right="0" w:hanging="243"/>
        <w:jc w:val="left"/>
        <w:rPr>
          <w:sz w:val="20"/>
        </w:rPr>
      </w:pPr>
      <w:r>
        <w:rPr>
          <w:color w:val="231F20"/>
          <w:sz w:val="20"/>
        </w:rPr>
        <w:t>The safety factor caused by low tissue </w:t>
      </w:r>
      <w:r>
        <w:rPr>
          <w:color w:val="231F20"/>
          <w:spacing w:val="-3"/>
          <w:sz w:val="20"/>
        </w:rPr>
        <w:t>compliance  </w:t>
      </w:r>
      <w:r>
        <w:rPr>
          <w:color w:val="231F20"/>
          <w:sz w:val="20"/>
        </w:rPr>
        <w:t>in</w:t>
      </w:r>
      <w:r>
        <w:rPr>
          <w:color w:val="231F20"/>
          <w:spacing w:val="15"/>
          <w:sz w:val="20"/>
        </w:rPr>
        <w:t> </w:t>
      </w:r>
      <w:r>
        <w:rPr>
          <w:color w:val="231F20"/>
          <w:sz w:val="20"/>
        </w:rPr>
        <w:t>the</w:t>
      </w:r>
      <w:r>
        <w:rPr>
          <w:color w:val="231F20"/>
          <w:spacing w:val="15"/>
          <w:sz w:val="20"/>
        </w:rPr>
        <w:t> </w:t>
      </w:r>
      <w:r>
        <w:rPr>
          <w:color w:val="231F20"/>
          <w:sz w:val="20"/>
        </w:rPr>
        <w:t>negative</w:t>
      </w:r>
      <w:r>
        <w:rPr>
          <w:color w:val="231F20"/>
          <w:spacing w:val="15"/>
          <w:sz w:val="20"/>
        </w:rPr>
        <w:t> </w:t>
      </w:r>
      <w:r>
        <w:rPr>
          <w:color w:val="231F20"/>
          <w:sz w:val="20"/>
        </w:rPr>
        <w:t>pressure</w:t>
      </w:r>
      <w:r>
        <w:rPr>
          <w:color w:val="231F20"/>
          <w:spacing w:val="15"/>
          <w:sz w:val="20"/>
        </w:rPr>
        <w:t> </w:t>
      </w:r>
      <w:r>
        <w:rPr>
          <w:color w:val="231F20"/>
          <w:sz w:val="20"/>
        </w:rPr>
        <w:t>range</w:t>
      </w:r>
      <w:r>
        <w:rPr>
          <w:color w:val="231F20"/>
          <w:spacing w:val="15"/>
          <w:sz w:val="20"/>
        </w:rPr>
        <w:t> </w:t>
      </w:r>
      <w:r>
        <w:rPr>
          <w:color w:val="231F20"/>
          <w:sz w:val="20"/>
        </w:rPr>
        <w:t>is</w:t>
      </w:r>
      <w:r>
        <w:rPr>
          <w:color w:val="231F20"/>
          <w:spacing w:val="15"/>
          <w:sz w:val="20"/>
        </w:rPr>
        <w:t> </w:t>
      </w:r>
      <w:r>
        <w:rPr>
          <w:color w:val="231F20"/>
          <w:sz w:val="20"/>
        </w:rPr>
        <w:t>about</w:t>
      </w:r>
      <w:r>
        <w:rPr>
          <w:color w:val="231F20"/>
          <w:spacing w:val="15"/>
          <w:sz w:val="20"/>
        </w:rPr>
        <w:t> </w:t>
      </w:r>
      <w:r>
        <w:rPr>
          <w:color w:val="231F20"/>
          <w:sz w:val="20"/>
        </w:rPr>
        <w:t>3</w:t>
      </w:r>
      <w:r>
        <w:rPr>
          <w:color w:val="231F20"/>
          <w:spacing w:val="16"/>
          <w:sz w:val="20"/>
        </w:rPr>
        <w:t> </w:t>
      </w:r>
      <w:r>
        <w:rPr>
          <w:color w:val="231F20"/>
          <w:sz w:val="20"/>
        </w:rPr>
        <w:t>mm</w:t>
      </w:r>
      <w:r>
        <w:rPr>
          <w:color w:val="231F20"/>
          <w:spacing w:val="15"/>
          <w:sz w:val="20"/>
        </w:rPr>
        <w:t> </w:t>
      </w:r>
      <w:r>
        <w:rPr>
          <w:color w:val="231F20"/>
          <w:sz w:val="20"/>
        </w:rPr>
        <w:t>Hg.</w:t>
      </w:r>
    </w:p>
    <w:p>
      <w:pPr>
        <w:pStyle w:val="ListParagraph"/>
        <w:numPr>
          <w:ilvl w:val="5"/>
          <w:numId w:val="2"/>
        </w:numPr>
        <w:tabs>
          <w:tab w:pos="1563" w:val="left" w:leader="none"/>
        </w:tabs>
        <w:spacing w:line="249" w:lineRule="auto" w:before="2" w:after="0"/>
        <w:ind w:left="1562" w:right="0" w:hanging="243"/>
        <w:jc w:val="left"/>
        <w:rPr>
          <w:sz w:val="20"/>
        </w:rPr>
      </w:pPr>
      <w:r>
        <w:rPr>
          <w:color w:val="231F20"/>
          <w:sz w:val="20"/>
        </w:rPr>
        <w:t>The safety factor caused by increased lymph flow </w:t>
      </w:r>
      <w:r>
        <w:rPr>
          <w:color w:val="231F20"/>
          <w:spacing w:val="-7"/>
          <w:sz w:val="20"/>
        </w:rPr>
        <w:t>is </w:t>
      </w:r>
      <w:r>
        <w:rPr>
          <w:color w:val="231F20"/>
          <w:sz w:val="20"/>
        </w:rPr>
        <w:t>about 7 mm</w:t>
      </w:r>
      <w:r>
        <w:rPr>
          <w:color w:val="231F20"/>
          <w:spacing w:val="21"/>
          <w:sz w:val="20"/>
        </w:rPr>
        <w:t> </w:t>
      </w:r>
      <w:r>
        <w:rPr>
          <w:color w:val="231F20"/>
          <w:sz w:val="20"/>
        </w:rPr>
        <w:t>Hg.</w:t>
      </w:r>
    </w:p>
    <w:p>
      <w:pPr>
        <w:pStyle w:val="ListParagraph"/>
        <w:numPr>
          <w:ilvl w:val="5"/>
          <w:numId w:val="2"/>
        </w:numPr>
        <w:tabs>
          <w:tab w:pos="1563" w:val="left" w:leader="none"/>
        </w:tabs>
        <w:spacing w:line="249" w:lineRule="auto" w:before="1" w:after="0"/>
        <w:ind w:left="1562" w:right="0" w:hanging="243"/>
        <w:jc w:val="left"/>
        <w:rPr>
          <w:sz w:val="20"/>
        </w:rPr>
      </w:pPr>
      <w:r>
        <w:rPr>
          <w:color w:val="231F20"/>
          <w:w w:val="105"/>
          <w:sz w:val="20"/>
        </w:rPr>
        <w:t>The safety factor caused by washdown of</w:t>
      </w:r>
      <w:r>
        <w:rPr>
          <w:color w:val="231F20"/>
          <w:spacing w:val="-26"/>
          <w:w w:val="105"/>
          <w:sz w:val="20"/>
        </w:rPr>
        <w:t> </w:t>
      </w:r>
      <w:r>
        <w:rPr>
          <w:color w:val="231F20"/>
          <w:w w:val="105"/>
          <w:sz w:val="20"/>
        </w:rPr>
        <w:t>proteins from the interstitial spaces is about 7 mm</w:t>
      </w:r>
      <w:r>
        <w:rPr>
          <w:color w:val="231F20"/>
          <w:spacing w:val="-6"/>
          <w:w w:val="105"/>
          <w:sz w:val="20"/>
        </w:rPr>
        <w:t> </w:t>
      </w:r>
      <w:r>
        <w:rPr>
          <w:color w:val="231F20"/>
          <w:w w:val="105"/>
          <w:sz w:val="20"/>
        </w:rPr>
        <w:t>Hg.</w:t>
      </w:r>
    </w:p>
    <w:p>
      <w:pPr>
        <w:pStyle w:val="BodyText"/>
        <w:spacing w:line="249" w:lineRule="auto" w:before="2"/>
        <w:ind w:left="1080" w:firstLine="240"/>
        <w:jc w:val="both"/>
      </w:pPr>
      <w:r>
        <w:rPr>
          <w:color w:val="231F20"/>
        </w:rPr>
        <w:t>Therefore, the total safety factor against edema is</w:t>
      </w:r>
      <w:r>
        <w:rPr>
          <w:color w:val="231F20"/>
          <w:spacing w:val="-24"/>
        </w:rPr>
        <w:t> </w:t>
      </w:r>
      <w:r>
        <w:rPr>
          <w:color w:val="231F20"/>
        </w:rPr>
        <w:t>about 17 mm Hg. This means that the capillary pressure in </w:t>
      </w:r>
      <w:r>
        <w:rPr>
          <w:color w:val="231F20"/>
          <w:spacing w:val="-13"/>
        </w:rPr>
        <w:t>a </w:t>
      </w:r>
      <w:r>
        <w:rPr>
          <w:color w:val="231F20"/>
        </w:rPr>
        <w:t>peripheral tissue could theoretically rise by 17 mm Hg, </w:t>
      </w:r>
      <w:r>
        <w:rPr>
          <w:color w:val="231F20"/>
          <w:spacing w:val="-6"/>
        </w:rPr>
        <w:t>or </w:t>
      </w:r>
      <w:r>
        <w:rPr>
          <w:color w:val="231F20"/>
        </w:rPr>
        <w:t>approximately double the normal value, before </w:t>
      </w:r>
      <w:r>
        <w:rPr>
          <w:color w:val="231F20"/>
          <w:spacing w:val="-3"/>
        </w:rPr>
        <w:t>marked </w:t>
      </w:r>
      <w:r>
        <w:rPr>
          <w:color w:val="231F20"/>
        </w:rPr>
        <w:t>edema would</w:t>
      </w:r>
      <w:r>
        <w:rPr>
          <w:color w:val="231F20"/>
          <w:spacing w:val="13"/>
        </w:rPr>
        <w:t> </w:t>
      </w:r>
      <w:r>
        <w:rPr>
          <w:color w:val="231F20"/>
          <w:spacing w:val="-3"/>
        </w:rPr>
        <w:t>occur.</w:t>
      </w:r>
    </w:p>
    <w:p>
      <w:pPr>
        <w:pStyle w:val="BodyText"/>
        <w:spacing w:before="10"/>
        <w:rPr>
          <w:sz w:val="24"/>
        </w:rPr>
      </w:pPr>
      <w:r>
        <w:rPr/>
        <w:pict>
          <v:shape style="position:absolute;margin-left:54pt;margin-top:15.547643pt;width:234pt;height:28pt;mso-position-horizontal-relative:page;mso-position-vertical-relative:paragraph;z-index:-251526144;mso-wrap-distance-left:0;mso-wrap-distance-right:0" type="#_x0000_t202" filled="true" fillcolor="#e8dac8" stroked="false">
            <v:textbox inset="0,0,0,0">
              <w:txbxContent>
                <w:p>
                  <w:pPr>
                    <w:spacing w:line="225" w:lineRule="auto" w:before="46"/>
                    <w:ind w:left="60" w:right="633" w:firstLine="0"/>
                    <w:jc w:val="left"/>
                    <w:rPr>
                      <w:rFonts w:ascii="Trebuchet MS" w:hAnsi="Trebuchet MS"/>
                      <w:b/>
                      <w:sz w:val="22"/>
                    </w:rPr>
                  </w:pPr>
                  <w:r>
                    <w:rPr>
                      <w:rFonts w:ascii="Trebuchet MS" w:hAnsi="Trebuchet MS"/>
                      <w:b/>
                      <w:color w:val="231F20"/>
                      <w:w w:val="105"/>
                      <w:sz w:val="22"/>
                    </w:rPr>
                    <w:t>FLUIDS IN THE “POTENTIAL SPACES” OF THE BODY</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w w:val="105"/>
        </w:rPr>
        <w:t>Some examples of “potential spaces” are the pleural cavity,</w:t>
      </w:r>
      <w:r>
        <w:rPr>
          <w:color w:val="231F20"/>
          <w:spacing w:val="-15"/>
          <w:w w:val="105"/>
        </w:rPr>
        <w:t> </w:t>
      </w:r>
      <w:r>
        <w:rPr>
          <w:color w:val="231F20"/>
          <w:w w:val="105"/>
        </w:rPr>
        <w:t>pericardial</w:t>
      </w:r>
      <w:r>
        <w:rPr>
          <w:color w:val="231F20"/>
          <w:spacing w:val="-15"/>
          <w:w w:val="105"/>
        </w:rPr>
        <w:t> </w:t>
      </w:r>
      <w:r>
        <w:rPr>
          <w:color w:val="231F20"/>
          <w:w w:val="105"/>
        </w:rPr>
        <w:t>cavity,</w:t>
      </w:r>
      <w:r>
        <w:rPr>
          <w:color w:val="231F20"/>
          <w:spacing w:val="-15"/>
          <w:w w:val="105"/>
        </w:rPr>
        <w:t> </w:t>
      </w:r>
      <w:r>
        <w:rPr>
          <w:color w:val="231F20"/>
          <w:w w:val="105"/>
        </w:rPr>
        <w:t>peritoneal</w:t>
      </w:r>
      <w:r>
        <w:rPr>
          <w:color w:val="231F20"/>
          <w:spacing w:val="-15"/>
          <w:w w:val="105"/>
        </w:rPr>
        <w:t> </w:t>
      </w:r>
      <w:r>
        <w:rPr>
          <w:color w:val="231F20"/>
          <w:w w:val="105"/>
        </w:rPr>
        <w:t>cavity,</w:t>
      </w:r>
      <w:r>
        <w:rPr>
          <w:color w:val="231F20"/>
          <w:spacing w:val="-15"/>
          <w:w w:val="105"/>
        </w:rPr>
        <w:t> </w:t>
      </w:r>
      <w:r>
        <w:rPr>
          <w:color w:val="231F20"/>
          <w:w w:val="105"/>
        </w:rPr>
        <w:t>and</w:t>
      </w:r>
      <w:r>
        <w:rPr>
          <w:color w:val="231F20"/>
          <w:spacing w:val="-15"/>
          <w:w w:val="105"/>
        </w:rPr>
        <w:t> </w:t>
      </w:r>
      <w:r>
        <w:rPr>
          <w:color w:val="231F20"/>
          <w:w w:val="105"/>
        </w:rPr>
        <w:t>synovial cavities,</w:t>
      </w:r>
      <w:r>
        <w:rPr>
          <w:color w:val="231F20"/>
          <w:spacing w:val="-8"/>
          <w:w w:val="105"/>
        </w:rPr>
        <w:t> </w:t>
      </w:r>
      <w:r>
        <w:rPr>
          <w:color w:val="231F20"/>
          <w:w w:val="105"/>
        </w:rPr>
        <w:t>including</w:t>
      </w:r>
      <w:r>
        <w:rPr>
          <w:color w:val="231F20"/>
          <w:spacing w:val="-7"/>
          <w:w w:val="105"/>
        </w:rPr>
        <w:t> </w:t>
      </w:r>
      <w:r>
        <w:rPr>
          <w:color w:val="231F20"/>
          <w:w w:val="105"/>
        </w:rPr>
        <w:t>both</w:t>
      </w:r>
      <w:r>
        <w:rPr>
          <w:color w:val="231F20"/>
          <w:spacing w:val="-7"/>
          <w:w w:val="105"/>
        </w:rPr>
        <w:t> </w:t>
      </w:r>
      <w:r>
        <w:rPr>
          <w:color w:val="231F20"/>
          <w:w w:val="105"/>
        </w:rPr>
        <w:t>the</w:t>
      </w:r>
      <w:r>
        <w:rPr>
          <w:color w:val="231F20"/>
          <w:spacing w:val="-8"/>
          <w:w w:val="105"/>
        </w:rPr>
        <w:t> </w:t>
      </w:r>
      <w:r>
        <w:rPr>
          <w:color w:val="231F20"/>
          <w:w w:val="105"/>
        </w:rPr>
        <w:t>joint</w:t>
      </w:r>
      <w:r>
        <w:rPr>
          <w:color w:val="231F20"/>
          <w:spacing w:val="-7"/>
          <w:w w:val="105"/>
        </w:rPr>
        <w:t> </w:t>
      </w:r>
      <w:r>
        <w:rPr>
          <w:color w:val="231F20"/>
          <w:w w:val="105"/>
        </w:rPr>
        <w:t>cavities</w:t>
      </w:r>
      <w:r>
        <w:rPr>
          <w:color w:val="231F20"/>
          <w:spacing w:val="-7"/>
          <w:w w:val="105"/>
        </w:rPr>
        <w:t> </w:t>
      </w:r>
      <w:r>
        <w:rPr>
          <w:color w:val="231F20"/>
          <w:w w:val="105"/>
        </w:rPr>
        <w:t>and</w:t>
      </w:r>
      <w:r>
        <w:rPr>
          <w:color w:val="231F20"/>
          <w:spacing w:val="-8"/>
          <w:w w:val="105"/>
        </w:rPr>
        <w:t> </w:t>
      </w:r>
      <w:r>
        <w:rPr>
          <w:color w:val="231F20"/>
          <w:w w:val="105"/>
        </w:rPr>
        <w:t>the</w:t>
      </w:r>
      <w:r>
        <w:rPr>
          <w:color w:val="231F20"/>
          <w:spacing w:val="-7"/>
          <w:w w:val="105"/>
        </w:rPr>
        <w:t> </w:t>
      </w:r>
      <w:r>
        <w:rPr>
          <w:color w:val="231F20"/>
          <w:w w:val="105"/>
        </w:rPr>
        <w:t>bursae. Virtually all these potential spaces have surfaces </w:t>
      </w:r>
      <w:r>
        <w:rPr>
          <w:color w:val="231F20"/>
          <w:spacing w:val="-5"/>
          <w:w w:val="105"/>
        </w:rPr>
        <w:t>that </w:t>
      </w:r>
      <w:r>
        <w:rPr>
          <w:color w:val="231F20"/>
          <w:w w:val="105"/>
        </w:rPr>
        <w:t>almost</w:t>
      </w:r>
      <w:r>
        <w:rPr>
          <w:color w:val="231F20"/>
          <w:spacing w:val="-10"/>
          <w:w w:val="105"/>
        </w:rPr>
        <w:t> </w:t>
      </w:r>
      <w:r>
        <w:rPr>
          <w:color w:val="231F20"/>
          <w:w w:val="105"/>
        </w:rPr>
        <w:t>touch</w:t>
      </w:r>
      <w:r>
        <w:rPr>
          <w:color w:val="231F20"/>
          <w:spacing w:val="-10"/>
          <w:w w:val="105"/>
        </w:rPr>
        <w:t> </w:t>
      </w:r>
      <w:r>
        <w:rPr>
          <w:color w:val="231F20"/>
          <w:w w:val="105"/>
        </w:rPr>
        <w:t>each</w:t>
      </w:r>
      <w:r>
        <w:rPr>
          <w:color w:val="231F20"/>
          <w:spacing w:val="-10"/>
          <w:w w:val="105"/>
        </w:rPr>
        <w:t> </w:t>
      </w:r>
      <w:r>
        <w:rPr>
          <w:color w:val="231F20"/>
          <w:spacing w:val="-3"/>
          <w:w w:val="105"/>
        </w:rPr>
        <w:t>other,</w:t>
      </w:r>
      <w:r>
        <w:rPr>
          <w:color w:val="231F20"/>
          <w:spacing w:val="-10"/>
          <w:w w:val="105"/>
        </w:rPr>
        <w:t> </w:t>
      </w:r>
      <w:r>
        <w:rPr>
          <w:color w:val="231F20"/>
          <w:w w:val="105"/>
        </w:rPr>
        <w:t>with</w:t>
      </w:r>
      <w:r>
        <w:rPr>
          <w:color w:val="231F20"/>
          <w:spacing w:val="-9"/>
          <w:w w:val="105"/>
        </w:rPr>
        <w:t> </w:t>
      </w:r>
      <w:r>
        <w:rPr>
          <w:color w:val="231F20"/>
          <w:w w:val="105"/>
        </w:rPr>
        <w:t>only</w:t>
      </w:r>
      <w:r>
        <w:rPr>
          <w:color w:val="231F20"/>
          <w:spacing w:val="-10"/>
          <w:w w:val="105"/>
        </w:rPr>
        <w:t> </w:t>
      </w:r>
      <w:r>
        <w:rPr>
          <w:color w:val="231F20"/>
          <w:w w:val="105"/>
        </w:rPr>
        <w:t>a</w:t>
      </w:r>
      <w:r>
        <w:rPr>
          <w:color w:val="231F20"/>
          <w:spacing w:val="-10"/>
          <w:w w:val="105"/>
        </w:rPr>
        <w:t> </w:t>
      </w:r>
      <w:r>
        <w:rPr>
          <w:color w:val="231F20"/>
          <w:w w:val="105"/>
        </w:rPr>
        <w:t>thin</w:t>
      </w:r>
      <w:r>
        <w:rPr>
          <w:color w:val="231F20"/>
          <w:spacing w:val="-10"/>
          <w:w w:val="105"/>
        </w:rPr>
        <w:t> </w:t>
      </w:r>
      <w:r>
        <w:rPr>
          <w:color w:val="231F20"/>
          <w:w w:val="105"/>
        </w:rPr>
        <w:t>layer</w:t>
      </w:r>
      <w:r>
        <w:rPr>
          <w:color w:val="231F20"/>
          <w:spacing w:val="-10"/>
          <w:w w:val="105"/>
        </w:rPr>
        <w:t> </w:t>
      </w:r>
      <w:r>
        <w:rPr>
          <w:color w:val="231F20"/>
          <w:w w:val="105"/>
        </w:rPr>
        <w:t>of</w:t>
      </w:r>
      <w:r>
        <w:rPr>
          <w:color w:val="231F20"/>
          <w:spacing w:val="-9"/>
          <w:w w:val="105"/>
        </w:rPr>
        <w:t> </w:t>
      </w:r>
      <w:r>
        <w:rPr>
          <w:color w:val="231F20"/>
          <w:w w:val="105"/>
        </w:rPr>
        <w:t>fluid</w:t>
      </w:r>
      <w:r>
        <w:rPr>
          <w:color w:val="231F20"/>
          <w:spacing w:val="-10"/>
          <w:w w:val="105"/>
        </w:rPr>
        <w:t> </w:t>
      </w:r>
      <w:r>
        <w:rPr>
          <w:color w:val="231F20"/>
          <w:w w:val="105"/>
        </w:rPr>
        <w:t>in between,</w:t>
      </w:r>
      <w:r>
        <w:rPr>
          <w:color w:val="231F20"/>
          <w:spacing w:val="-15"/>
          <w:w w:val="105"/>
        </w:rPr>
        <w:t> </w:t>
      </w:r>
      <w:r>
        <w:rPr>
          <w:color w:val="231F20"/>
          <w:w w:val="105"/>
        </w:rPr>
        <w:t>and</w:t>
      </w:r>
      <w:r>
        <w:rPr>
          <w:color w:val="231F20"/>
          <w:spacing w:val="-15"/>
          <w:w w:val="105"/>
        </w:rPr>
        <w:t> </w:t>
      </w:r>
      <w:r>
        <w:rPr>
          <w:color w:val="231F20"/>
          <w:w w:val="105"/>
        </w:rPr>
        <w:t>the</w:t>
      </w:r>
      <w:r>
        <w:rPr>
          <w:color w:val="231F20"/>
          <w:spacing w:val="-15"/>
          <w:w w:val="105"/>
        </w:rPr>
        <w:t> </w:t>
      </w:r>
      <w:r>
        <w:rPr>
          <w:color w:val="231F20"/>
          <w:w w:val="105"/>
        </w:rPr>
        <w:t>surfaces</w:t>
      </w:r>
      <w:r>
        <w:rPr>
          <w:color w:val="231F20"/>
          <w:spacing w:val="-14"/>
          <w:w w:val="105"/>
        </w:rPr>
        <w:t> </w:t>
      </w:r>
      <w:r>
        <w:rPr>
          <w:color w:val="231F20"/>
          <w:w w:val="105"/>
        </w:rPr>
        <w:t>slide</w:t>
      </w:r>
      <w:r>
        <w:rPr>
          <w:color w:val="231F20"/>
          <w:spacing w:val="-15"/>
          <w:w w:val="105"/>
        </w:rPr>
        <w:t> </w:t>
      </w:r>
      <w:r>
        <w:rPr>
          <w:color w:val="231F20"/>
          <w:w w:val="105"/>
        </w:rPr>
        <w:t>over</w:t>
      </w:r>
      <w:r>
        <w:rPr>
          <w:color w:val="231F20"/>
          <w:spacing w:val="-15"/>
          <w:w w:val="105"/>
        </w:rPr>
        <w:t> </w:t>
      </w:r>
      <w:r>
        <w:rPr>
          <w:color w:val="231F20"/>
          <w:w w:val="105"/>
        </w:rPr>
        <w:t>each</w:t>
      </w:r>
      <w:r>
        <w:rPr>
          <w:color w:val="231F20"/>
          <w:spacing w:val="-14"/>
          <w:w w:val="105"/>
        </w:rPr>
        <w:t> </w:t>
      </w:r>
      <w:r>
        <w:rPr>
          <w:color w:val="231F20"/>
          <w:spacing w:val="-3"/>
          <w:w w:val="105"/>
        </w:rPr>
        <w:t>other.</w:t>
      </w:r>
      <w:r>
        <w:rPr>
          <w:color w:val="231F20"/>
          <w:spacing w:val="-15"/>
          <w:w w:val="105"/>
        </w:rPr>
        <w:t> </w:t>
      </w:r>
      <w:r>
        <w:rPr>
          <w:color w:val="231F20"/>
          <w:spacing w:val="-11"/>
          <w:w w:val="105"/>
        </w:rPr>
        <w:t>To</w:t>
      </w:r>
      <w:r>
        <w:rPr>
          <w:color w:val="231F20"/>
          <w:spacing w:val="-15"/>
          <w:w w:val="105"/>
        </w:rPr>
        <w:t> </w:t>
      </w:r>
      <w:r>
        <w:rPr>
          <w:color w:val="231F20"/>
          <w:w w:val="105"/>
        </w:rPr>
        <w:t>facili­ tate the sliding, a viscous proteinaceous fluid lubricates the</w:t>
      </w:r>
      <w:r>
        <w:rPr>
          <w:color w:val="231F20"/>
          <w:spacing w:val="3"/>
          <w:w w:val="105"/>
        </w:rPr>
        <w:t> </w:t>
      </w:r>
      <w:r>
        <w:rPr>
          <w:color w:val="231F20"/>
          <w:w w:val="105"/>
        </w:rPr>
        <w:t>surfaces.</w:t>
      </w:r>
    </w:p>
    <w:p>
      <w:pPr>
        <w:pStyle w:val="BodyText"/>
        <w:spacing w:before="2"/>
        <w:rPr>
          <w:sz w:val="22"/>
        </w:rPr>
      </w:pPr>
    </w:p>
    <w:p>
      <w:pPr>
        <w:pStyle w:val="BodyText"/>
        <w:spacing w:line="249" w:lineRule="auto"/>
        <w:ind w:left="1080"/>
        <w:jc w:val="both"/>
      </w:pPr>
      <w:r>
        <w:rPr>
          <w:rFonts w:ascii="Trebuchet MS" w:hAnsi="Trebuchet MS"/>
          <w:b/>
          <w:color w:val="231F20"/>
          <w:sz w:val="19"/>
        </w:rPr>
        <w:t>Fluid Is Exchanged Between the Capillaries and </w:t>
      </w:r>
      <w:r>
        <w:rPr>
          <w:rFonts w:ascii="Trebuchet MS" w:hAnsi="Trebuchet MS"/>
          <w:b/>
          <w:color w:val="231F20"/>
          <w:spacing w:val="-7"/>
          <w:sz w:val="19"/>
        </w:rPr>
        <w:t>the </w:t>
      </w:r>
      <w:r>
        <w:rPr>
          <w:rFonts w:ascii="Trebuchet MS" w:hAnsi="Trebuchet MS"/>
          <w:b/>
          <w:color w:val="231F20"/>
          <w:sz w:val="19"/>
        </w:rPr>
        <w:t>Potential Spaces. </w:t>
      </w:r>
      <w:r>
        <w:rPr>
          <w:color w:val="231F20"/>
        </w:rPr>
        <w:t>The surface membrane of a </w:t>
      </w:r>
      <w:r>
        <w:rPr>
          <w:color w:val="231F20"/>
          <w:spacing w:val="-3"/>
        </w:rPr>
        <w:t>potential </w:t>
      </w:r>
      <w:r>
        <w:rPr>
          <w:color w:val="231F20"/>
        </w:rPr>
        <w:t>space usually does not offer significant resistance to </w:t>
      </w:r>
      <w:r>
        <w:rPr>
          <w:color w:val="231F20"/>
          <w:spacing w:val="-5"/>
        </w:rPr>
        <w:t>the </w:t>
      </w:r>
      <w:r>
        <w:rPr>
          <w:color w:val="231F20"/>
        </w:rPr>
        <w:t>passage of fluids, electrolytes, or even proteins, which </w:t>
      </w:r>
      <w:r>
        <w:rPr>
          <w:color w:val="231F20"/>
          <w:spacing w:val="-4"/>
        </w:rPr>
        <w:t>all </w:t>
      </w:r>
      <w:r>
        <w:rPr>
          <w:color w:val="231F20"/>
        </w:rPr>
        <w:t>move back and forth between the space and the </w:t>
      </w:r>
      <w:r>
        <w:rPr>
          <w:color w:val="231F20"/>
          <w:spacing w:val="-3"/>
        </w:rPr>
        <w:t>intersti­ </w:t>
      </w:r>
      <w:r>
        <w:rPr>
          <w:color w:val="231F20"/>
        </w:rPr>
        <w:t>tial fluid in the surrounding tissue with relative </w:t>
      </w:r>
      <w:r>
        <w:rPr>
          <w:color w:val="231F20"/>
          <w:spacing w:val="-4"/>
        </w:rPr>
        <w:t>ease. </w:t>
      </w:r>
      <w:r>
        <w:rPr>
          <w:color w:val="231F20"/>
        </w:rPr>
        <w:t>Therefore, each potential space is in reality a large tissue space. Consequently, fluid in the capillaries adjacent to the potential space diffuses not only into the </w:t>
      </w:r>
      <w:r>
        <w:rPr>
          <w:color w:val="231F20"/>
          <w:spacing w:val="-3"/>
        </w:rPr>
        <w:t>interstitial  </w:t>
      </w:r>
      <w:r>
        <w:rPr>
          <w:color w:val="231F20"/>
        </w:rPr>
        <w:t>fluid but also into the potential</w:t>
      </w:r>
      <w:r>
        <w:rPr>
          <w:color w:val="231F20"/>
          <w:spacing w:val="48"/>
        </w:rPr>
        <w:t> </w:t>
      </w:r>
      <w:r>
        <w:rPr>
          <w:color w:val="231F20"/>
        </w:rPr>
        <w:t>space.</w:t>
      </w:r>
    </w:p>
    <w:p>
      <w:pPr>
        <w:pStyle w:val="BodyText"/>
        <w:spacing w:before="5"/>
        <w:rPr>
          <w:sz w:val="22"/>
        </w:rPr>
      </w:pPr>
    </w:p>
    <w:p>
      <w:pPr>
        <w:spacing w:line="252" w:lineRule="auto" w:before="0"/>
        <w:ind w:left="1080" w:right="0" w:firstLine="0"/>
        <w:jc w:val="left"/>
        <w:rPr>
          <w:sz w:val="20"/>
        </w:rPr>
      </w:pPr>
      <w:r>
        <w:rPr>
          <w:rFonts w:ascii="Trebuchet MS"/>
          <w:b/>
          <w:color w:val="231F20"/>
          <w:sz w:val="19"/>
        </w:rPr>
        <w:t>Lymphatic Vessels Drain Protein from the Potential Spaces.</w:t>
      </w:r>
      <w:r>
        <w:rPr>
          <w:rFonts w:ascii="Trebuchet MS"/>
          <w:b/>
          <w:color w:val="231F20"/>
          <w:spacing w:val="52"/>
          <w:sz w:val="19"/>
        </w:rPr>
        <w:t> </w:t>
      </w:r>
      <w:r>
        <w:rPr>
          <w:color w:val="231F20"/>
          <w:sz w:val="20"/>
        </w:rPr>
        <w:t>Proteins collect in the potential spaces because</w:t>
      </w:r>
    </w:p>
    <w:p>
      <w:pPr>
        <w:pStyle w:val="BodyText"/>
        <w:spacing w:line="249" w:lineRule="auto" w:before="99"/>
        <w:ind w:left="319" w:right="1437"/>
        <w:jc w:val="both"/>
      </w:pPr>
      <w:r>
        <w:rPr/>
        <w:br w:type="column"/>
      </w:r>
      <w:r>
        <w:rPr>
          <w:color w:val="231F20"/>
        </w:rPr>
        <w:t>of leakage out of the capillaries, similar to the </w:t>
      </w:r>
      <w:r>
        <w:rPr>
          <w:color w:val="231F20"/>
          <w:spacing w:val="-3"/>
        </w:rPr>
        <w:t>collection </w:t>
      </w:r>
      <w:r>
        <w:rPr>
          <w:color w:val="231F20"/>
        </w:rPr>
        <w:t>of protein in the interstitial spaces throughout the body. The protein must be removed through lymphatics  or  other channels and returned to the circulation. Each potential space is either directly or indirectly connected with lymph vessels. In some cases, such as the pleural cavity and peritoneal cavity, large lymph vessels arise directly from the cavity</w:t>
      </w:r>
      <w:r>
        <w:rPr>
          <w:color w:val="231F20"/>
          <w:spacing w:val="24"/>
        </w:rPr>
        <w:t> </w:t>
      </w:r>
      <w:r>
        <w:rPr>
          <w:color w:val="231F20"/>
        </w:rPr>
        <w:t>itself.</w:t>
      </w:r>
    </w:p>
    <w:p>
      <w:pPr>
        <w:pStyle w:val="BodyText"/>
        <w:spacing w:before="2"/>
        <w:rPr>
          <w:sz w:val="22"/>
        </w:rPr>
      </w:pPr>
    </w:p>
    <w:p>
      <w:pPr>
        <w:pStyle w:val="BodyText"/>
        <w:spacing w:line="249" w:lineRule="auto"/>
        <w:ind w:left="319" w:right="1437"/>
        <w:jc w:val="both"/>
      </w:pPr>
      <w:r>
        <w:rPr>
          <w:rFonts w:ascii="Trebuchet MS"/>
          <w:b/>
          <w:color w:val="231F20"/>
          <w:sz w:val="19"/>
        </w:rPr>
        <w:t>Edema Fluid in the Potential Spaces Is </w:t>
      </w:r>
      <w:r>
        <w:rPr>
          <w:rFonts w:ascii="Trebuchet MS"/>
          <w:b/>
          <w:color w:val="231F20"/>
          <w:spacing w:val="-3"/>
          <w:sz w:val="19"/>
        </w:rPr>
        <w:t>Called </w:t>
      </w:r>
      <w:r>
        <w:rPr>
          <w:rFonts w:ascii="Trebuchet MS"/>
          <w:b/>
          <w:i/>
          <w:color w:val="231F20"/>
          <w:sz w:val="19"/>
        </w:rPr>
        <w:t>Effusion. </w:t>
      </w:r>
      <w:r>
        <w:rPr>
          <w:color w:val="231F20"/>
        </w:rPr>
        <w:t>When edema occurs in the subcutaneous tissues adjacent to the potential space, edema fluid usually collects in the potential space as well; this fluid is called </w:t>
      </w:r>
      <w:r>
        <w:rPr>
          <w:i/>
          <w:color w:val="231F20"/>
        </w:rPr>
        <w:t>effusion. </w:t>
      </w:r>
      <w:r>
        <w:rPr>
          <w:color w:val="231F20"/>
        </w:rPr>
        <w:t>Thus, lymph blockage or any of the</w:t>
      </w:r>
      <w:r>
        <w:rPr>
          <w:color w:val="231F20"/>
          <w:spacing w:val="23"/>
        </w:rPr>
        <w:t> </w:t>
      </w:r>
      <w:r>
        <w:rPr>
          <w:color w:val="231F20"/>
        </w:rPr>
        <w:t>multiple abnormalities that can cause excessive capillary filtration can cause effusion in the same way that interstitial edema is caused. The abdominal cavity is especially prone to collect effusion fluid, and in this instance, the effusion is called </w:t>
      </w:r>
      <w:r>
        <w:rPr>
          <w:i/>
          <w:color w:val="231F20"/>
        </w:rPr>
        <w:t>ascites. </w:t>
      </w:r>
      <w:r>
        <w:rPr>
          <w:color w:val="231F20"/>
        </w:rPr>
        <w:t>In serious cases, 20 liters or more of ascitic fluid can</w:t>
      </w:r>
      <w:r>
        <w:rPr>
          <w:color w:val="231F20"/>
          <w:spacing w:val="12"/>
        </w:rPr>
        <w:t> </w:t>
      </w:r>
      <w:r>
        <w:rPr>
          <w:color w:val="231F20"/>
        </w:rPr>
        <w:t>accumulate.</w:t>
      </w:r>
    </w:p>
    <w:p>
      <w:pPr>
        <w:pStyle w:val="BodyText"/>
        <w:spacing w:line="249" w:lineRule="auto" w:before="11"/>
        <w:ind w:left="319" w:right="1437" w:firstLine="240"/>
        <w:jc w:val="right"/>
      </w:pPr>
      <w:r>
        <w:rPr>
          <w:color w:val="231F20"/>
          <w:w w:val="105"/>
        </w:rPr>
        <w:t>The</w:t>
      </w:r>
      <w:r>
        <w:rPr>
          <w:color w:val="231F20"/>
          <w:spacing w:val="-6"/>
          <w:w w:val="105"/>
        </w:rPr>
        <w:t> </w:t>
      </w:r>
      <w:r>
        <w:rPr>
          <w:color w:val="231F20"/>
          <w:w w:val="105"/>
        </w:rPr>
        <w:t>other</w:t>
      </w:r>
      <w:r>
        <w:rPr>
          <w:color w:val="231F20"/>
          <w:spacing w:val="-6"/>
          <w:w w:val="105"/>
        </w:rPr>
        <w:t> </w:t>
      </w:r>
      <w:r>
        <w:rPr>
          <w:color w:val="231F20"/>
          <w:w w:val="105"/>
        </w:rPr>
        <w:t>potential</w:t>
      </w:r>
      <w:r>
        <w:rPr>
          <w:color w:val="231F20"/>
          <w:spacing w:val="-5"/>
          <w:w w:val="105"/>
        </w:rPr>
        <w:t> </w:t>
      </w:r>
      <w:r>
        <w:rPr>
          <w:color w:val="231F20"/>
          <w:w w:val="105"/>
        </w:rPr>
        <w:t>spaces,</w:t>
      </w:r>
      <w:r>
        <w:rPr>
          <w:color w:val="231F20"/>
          <w:spacing w:val="-6"/>
          <w:w w:val="105"/>
        </w:rPr>
        <w:t> </w:t>
      </w:r>
      <w:r>
        <w:rPr>
          <w:color w:val="231F20"/>
          <w:w w:val="105"/>
        </w:rPr>
        <w:t>such</w:t>
      </w:r>
      <w:r>
        <w:rPr>
          <w:color w:val="231F20"/>
          <w:spacing w:val="-6"/>
          <w:w w:val="105"/>
        </w:rPr>
        <w:t> </w:t>
      </w:r>
      <w:r>
        <w:rPr>
          <w:color w:val="231F20"/>
          <w:w w:val="105"/>
        </w:rPr>
        <w:t>as</w:t>
      </w:r>
      <w:r>
        <w:rPr>
          <w:color w:val="231F20"/>
          <w:spacing w:val="-5"/>
          <w:w w:val="105"/>
        </w:rPr>
        <w:t> </w:t>
      </w:r>
      <w:r>
        <w:rPr>
          <w:color w:val="231F20"/>
          <w:w w:val="105"/>
        </w:rPr>
        <w:t>the</w:t>
      </w:r>
      <w:r>
        <w:rPr>
          <w:color w:val="231F20"/>
          <w:spacing w:val="-6"/>
          <w:w w:val="105"/>
        </w:rPr>
        <w:t> </w:t>
      </w:r>
      <w:r>
        <w:rPr>
          <w:color w:val="231F20"/>
          <w:w w:val="105"/>
        </w:rPr>
        <w:t>pleural</w:t>
      </w:r>
      <w:r>
        <w:rPr>
          <w:color w:val="231F20"/>
          <w:spacing w:val="-6"/>
          <w:w w:val="105"/>
        </w:rPr>
        <w:t> </w:t>
      </w:r>
      <w:r>
        <w:rPr>
          <w:color w:val="231F20"/>
          <w:w w:val="105"/>
        </w:rPr>
        <w:t>cavity,</w:t>
      </w:r>
      <w:r>
        <w:rPr>
          <w:color w:val="231F20"/>
          <w:w w:val="88"/>
        </w:rPr>
        <w:t> </w:t>
      </w:r>
      <w:r>
        <w:rPr>
          <w:color w:val="231F20"/>
          <w:w w:val="105"/>
        </w:rPr>
        <w:t>pericardial</w:t>
      </w:r>
      <w:r>
        <w:rPr>
          <w:color w:val="231F20"/>
          <w:spacing w:val="-23"/>
          <w:w w:val="105"/>
        </w:rPr>
        <w:t> </w:t>
      </w:r>
      <w:r>
        <w:rPr>
          <w:color w:val="231F20"/>
          <w:w w:val="105"/>
        </w:rPr>
        <w:t>cavity,</w:t>
      </w:r>
      <w:r>
        <w:rPr>
          <w:color w:val="231F20"/>
          <w:spacing w:val="-22"/>
          <w:w w:val="105"/>
        </w:rPr>
        <w:t> </w:t>
      </w:r>
      <w:r>
        <w:rPr>
          <w:color w:val="231F20"/>
          <w:w w:val="105"/>
        </w:rPr>
        <w:t>and</w:t>
      </w:r>
      <w:r>
        <w:rPr>
          <w:color w:val="231F20"/>
          <w:spacing w:val="-22"/>
          <w:w w:val="105"/>
        </w:rPr>
        <w:t> </w:t>
      </w:r>
      <w:r>
        <w:rPr>
          <w:color w:val="231F20"/>
          <w:w w:val="105"/>
        </w:rPr>
        <w:t>joint</w:t>
      </w:r>
      <w:r>
        <w:rPr>
          <w:color w:val="231F20"/>
          <w:spacing w:val="-22"/>
          <w:w w:val="105"/>
        </w:rPr>
        <w:t> </w:t>
      </w:r>
      <w:r>
        <w:rPr>
          <w:color w:val="231F20"/>
          <w:w w:val="105"/>
        </w:rPr>
        <w:t>spaces,</w:t>
      </w:r>
      <w:r>
        <w:rPr>
          <w:color w:val="231F20"/>
          <w:spacing w:val="-22"/>
          <w:w w:val="105"/>
        </w:rPr>
        <w:t> </w:t>
      </w:r>
      <w:r>
        <w:rPr>
          <w:color w:val="231F20"/>
          <w:w w:val="105"/>
        </w:rPr>
        <w:t>can</w:t>
      </w:r>
      <w:r>
        <w:rPr>
          <w:color w:val="231F20"/>
          <w:spacing w:val="-23"/>
          <w:w w:val="105"/>
        </w:rPr>
        <w:t> </w:t>
      </w:r>
      <w:r>
        <w:rPr>
          <w:color w:val="231F20"/>
          <w:w w:val="105"/>
        </w:rPr>
        <w:t>become</w:t>
      </w:r>
      <w:r>
        <w:rPr>
          <w:color w:val="231F20"/>
          <w:spacing w:val="-22"/>
          <w:w w:val="105"/>
        </w:rPr>
        <w:t> </w:t>
      </w:r>
      <w:r>
        <w:rPr>
          <w:color w:val="231F20"/>
          <w:w w:val="105"/>
        </w:rPr>
        <w:t>seriously</w:t>
      </w:r>
      <w:r>
        <w:rPr>
          <w:color w:val="231F20"/>
          <w:w w:val="97"/>
        </w:rPr>
        <w:t> </w:t>
      </w:r>
      <w:r>
        <w:rPr>
          <w:color w:val="231F20"/>
          <w:w w:val="105"/>
        </w:rPr>
        <w:t>swollen</w:t>
      </w:r>
      <w:r>
        <w:rPr>
          <w:color w:val="231F20"/>
          <w:spacing w:val="-11"/>
          <w:w w:val="105"/>
        </w:rPr>
        <w:t> </w:t>
      </w:r>
      <w:r>
        <w:rPr>
          <w:color w:val="231F20"/>
          <w:w w:val="105"/>
        </w:rPr>
        <w:t>when</w:t>
      </w:r>
      <w:r>
        <w:rPr>
          <w:color w:val="231F20"/>
          <w:spacing w:val="-10"/>
          <w:w w:val="105"/>
        </w:rPr>
        <w:t> </w:t>
      </w:r>
      <w:r>
        <w:rPr>
          <w:color w:val="231F20"/>
          <w:w w:val="105"/>
        </w:rPr>
        <w:t>generalized</w:t>
      </w:r>
      <w:r>
        <w:rPr>
          <w:color w:val="231F20"/>
          <w:spacing w:val="-10"/>
          <w:w w:val="105"/>
        </w:rPr>
        <w:t> </w:t>
      </w:r>
      <w:r>
        <w:rPr>
          <w:color w:val="231F20"/>
          <w:w w:val="105"/>
        </w:rPr>
        <w:t>edema</w:t>
      </w:r>
      <w:r>
        <w:rPr>
          <w:color w:val="231F20"/>
          <w:spacing w:val="-10"/>
          <w:w w:val="105"/>
        </w:rPr>
        <w:t> </w:t>
      </w:r>
      <w:r>
        <w:rPr>
          <w:color w:val="231F20"/>
          <w:w w:val="105"/>
        </w:rPr>
        <w:t>is</w:t>
      </w:r>
      <w:r>
        <w:rPr>
          <w:color w:val="231F20"/>
          <w:spacing w:val="-10"/>
          <w:w w:val="105"/>
        </w:rPr>
        <w:t> </w:t>
      </w:r>
      <w:r>
        <w:rPr>
          <w:color w:val="231F20"/>
          <w:w w:val="105"/>
        </w:rPr>
        <w:t>present.</w:t>
      </w:r>
      <w:r>
        <w:rPr>
          <w:color w:val="231F20"/>
          <w:spacing w:val="-10"/>
          <w:w w:val="105"/>
        </w:rPr>
        <w:t> </w:t>
      </w:r>
      <w:r>
        <w:rPr>
          <w:color w:val="231F20"/>
          <w:w w:val="105"/>
        </w:rPr>
        <w:t>Also,</w:t>
      </w:r>
      <w:r>
        <w:rPr>
          <w:color w:val="231F20"/>
          <w:spacing w:val="-10"/>
          <w:w w:val="105"/>
        </w:rPr>
        <w:t> </w:t>
      </w:r>
      <w:r>
        <w:rPr>
          <w:color w:val="231F20"/>
          <w:w w:val="105"/>
        </w:rPr>
        <w:t>injury</w:t>
      </w:r>
      <w:r>
        <w:rPr>
          <w:color w:val="231F20"/>
          <w:w w:val="90"/>
        </w:rPr>
        <w:t> </w:t>
      </w:r>
      <w:r>
        <w:rPr>
          <w:color w:val="231F20"/>
          <w:w w:val="105"/>
        </w:rPr>
        <w:t>or local infection in any one of the cavities</w:t>
      </w:r>
      <w:r>
        <w:rPr>
          <w:color w:val="231F20"/>
          <w:spacing w:val="-4"/>
          <w:w w:val="105"/>
        </w:rPr>
        <w:t> </w:t>
      </w:r>
      <w:r>
        <w:rPr>
          <w:color w:val="231F20"/>
          <w:w w:val="105"/>
        </w:rPr>
        <w:t>often</w:t>
      </w:r>
      <w:r>
        <w:rPr>
          <w:color w:val="231F20"/>
          <w:spacing w:val="-1"/>
          <w:w w:val="105"/>
        </w:rPr>
        <w:t> </w:t>
      </w:r>
      <w:r>
        <w:rPr>
          <w:color w:val="231F20"/>
          <w:w w:val="105"/>
        </w:rPr>
        <w:t>blocks</w:t>
      </w:r>
      <w:r>
        <w:rPr>
          <w:color w:val="231F20"/>
          <w:w w:val="97"/>
        </w:rPr>
        <w:t> </w:t>
      </w:r>
      <w:r>
        <w:rPr>
          <w:color w:val="231F20"/>
          <w:w w:val="105"/>
        </w:rPr>
        <w:t>the</w:t>
      </w:r>
      <w:r>
        <w:rPr>
          <w:color w:val="231F20"/>
          <w:spacing w:val="-37"/>
          <w:w w:val="105"/>
        </w:rPr>
        <w:t> </w:t>
      </w:r>
      <w:r>
        <w:rPr>
          <w:color w:val="231F20"/>
          <w:w w:val="105"/>
        </w:rPr>
        <w:t>lymph</w:t>
      </w:r>
      <w:r>
        <w:rPr>
          <w:color w:val="231F20"/>
          <w:spacing w:val="-36"/>
          <w:w w:val="105"/>
        </w:rPr>
        <w:t> </w:t>
      </w:r>
      <w:r>
        <w:rPr>
          <w:color w:val="231F20"/>
          <w:w w:val="105"/>
        </w:rPr>
        <w:t>drainage,</w:t>
      </w:r>
      <w:r>
        <w:rPr>
          <w:color w:val="231F20"/>
          <w:spacing w:val="-36"/>
          <w:w w:val="105"/>
        </w:rPr>
        <w:t> </w:t>
      </w:r>
      <w:r>
        <w:rPr>
          <w:color w:val="231F20"/>
          <w:w w:val="105"/>
        </w:rPr>
        <w:t>causing</w:t>
      </w:r>
      <w:r>
        <w:rPr>
          <w:color w:val="231F20"/>
          <w:spacing w:val="-36"/>
          <w:w w:val="105"/>
        </w:rPr>
        <w:t> </w:t>
      </w:r>
      <w:r>
        <w:rPr>
          <w:color w:val="231F20"/>
          <w:w w:val="105"/>
        </w:rPr>
        <w:t>isolated</w:t>
      </w:r>
      <w:r>
        <w:rPr>
          <w:color w:val="231F20"/>
          <w:spacing w:val="-36"/>
          <w:w w:val="105"/>
        </w:rPr>
        <w:t> </w:t>
      </w:r>
      <w:r>
        <w:rPr>
          <w:color w:val="231F20"/>
          <w:w w:val="105"/>
        </w:rPr>
        <w:t>swelling</w:t>
      </w:r>
      <w:r>
        <w:rPr>
          <w:color w:val="231F20"/>
          <w:spacing w:val="-36"/>
          <w:w w:val="105"/>
        </w:rPr>
        <w:t> </w:t>
      </w:r>
      <w:r>
        <w:rPr>
          <w:color w:val="231F20"/>
          <w:w w:val="105"/>
        </w:rPr>
        <w:t>in</w:t>
      </w:r>
      <w:r>
        <w:rPr>
          <w:color w:val="231F20"/>
          <w:spacing w:val="-36"/>
          <w:w w:val="105"/>
        </w:rPr>
        <w:t> </w:t>
      </w:r>
      <w:r>
        <w:rPr>
          <w:color w:val="231F20"/>
          <w:w w:val="105"/>
        </w:rPr>
        <w:t>the</w:t>
      </w:r>
      <w:r>
        <w:rPr>
          <w:color w:val="231F20"/>
          <w:spacing w:val="-37"/>
          <w:w w:val="105"/>
        </w:rPr>
        <w:t> </w:t>
      </w:r>
      <w:r>
        <w:rPr>
          <w:color w:val="231F20"/>
          <w:spacing w:val="-4"/>
          <w:w w:val="105"/>
        </w:rPr>
        <w:t>cavity.</w:t>
      </w:r>
      <w:r>
        <w:rPr>
          <w:color w:val="231F20"/>
          <w:w w:val="88"/>
        </w:rPr>
        <w:t> </w:t>
      </w:r>
      <w:r>
        <w:rPr>
          <w:color w:val="231F20"/>
          <w:w w:val="105"/>
        </w:rPr>
        <w:t>The dynamics of fluid exchange in the</w:t>
      </w:r>
      <w:r>
        <w:rPr>
          <w:color w:val="231F20"/>
          <w:spacing w:val="3"/>
          <w:w w:val="105"/>
        </w:rPr>
        <w:t> </w:t>
      </w:r>
      <w:r>
        <w:rPr>
          <w:color w:val="231F20"/>
          <w:w w:val="105"/>
        </w:rPr>
        <w:t>pleural cavity</w:t>
      </w:r>
      <w:r>
        <w:rPr>
          <w:color w:val="231F20"/>
          <w:w w:val="98"/>
        </w:rPr>
        <w:t> </w:t>
      </w:r>
      <w:r>
        <w:rPr>
          <w:color w:val="231F20"/>
          <w:w w:val="105"/>
        </w:rPr>
        <w:t>are</w:t>
      </w:r>
      <w:r>
        <w:rPr>
          <w:color w:val="231F20"/>
          <w:spacing w:val="20"/>
          <w:w w:val="105"/>
        </w:rPr>
        <w:t> </w:t>
      </w:r>
      <w:r>
        <w:rPr>
          <w:color w:val="231F20"/>
          <w:w w:val="105"/>
        </w:rPr>
        <w:t>discussed</w:t>
      </w:r>
      <w:r>
        <w:rPr>
          <w:color w:val="231F20"/>
          <w:spacing w:val="21"/>
          <w:w w:val="105"/>
        </w:rPr>
        <w:t> </w:t>
      </w:r>
      <w:r>
        <w:rPr>
          <w:color w:val="231F20"/>
          <w:w w:val="105"/>
        </w:rPr>
        <w:t>in</w:t>
      </w:r>
      <w:r>
        <w:rPr>
          <w:color w:val="231F20"/>
          <w:spacing w:val="20"/>
          <w:w w:val="105"/>
        </w:rPr>
        <w:t> </w:t>
      </w:r>
      <w:r>
        <w:rPr>
          <w:color w:val="231F20"/>
          <w:w w:val="105"/>
        </w:rPr>
        <w:t>detail</w:t>
      </w:r>
      <w:r>
        <w:rPr>
          <w:color w:val="231F20"/>
          <w:spacing w:val="21"/>
          <w:w w:val="105"/>
        </w:rPr>
        <w:t> </w:t>
      </w:r>
      <w:r>
        <w:rPr>
          <w:color w:val="231F20"/>
          <w:w w:val="105"/>
        </w:rPr>
        <w:t>in</w:t>
      </w:r>
      <w:r>
        <w:rPr>
          <w:color w:val="231F20"/>
          <w:spacing w:val="20"/>
          <w:w w:val="105"/>
        </w:rPr>
        <w:t> </w:t>
      </w:r>
      <w:r>
        <w:rPr>
          <w:color w:val="231F20"/>
          <w:w w:val="105"/>
        </w:rPr>
        <w:t>Chapter</w:t>
      </w:r>
      <w:r>
        <w:rPr>
          <w:color w:val="231F20"/>
          <w:spacing w:val="21"/>
          <w:w w:val="105"/>
        </w:rPr>
        <w:t> </w:t>
      </w:r>
      <w:r>
        <w:rPr>
          <w:color w:val="231F20"/>
          <w:w w:val="105"/>
        </w:rPr>
        <w:t>39.</w:t>
      </w:r>
      <w:r>
        <w:rPr>
          <w:color w:val="231F20"/>
          <w:spacing w:val="20"/>
          <w:w w:val="105"/>
        </w:rPr>
        <w:t> </w:t>
      </w:r>
      <w:r>
        <w:rPr>
          <w:color w:val="231F20"/>
          <w:w w:val="105"/>
        </w:rPr>
        <w:t>These</w:t>
      </w:r>
      <w:r>
        <w:rPr>
          <w:color w:val="231F20"/>
          <w:spacing w:val="21"/>
          <w:w w:val="105"/>
        </w:rPr>
        <w:t> </w:t>
      </w:r>
      <w:r>
        <w:rPr>
          <w:color w:val="231F20"/>
          <w:w w:val="105"/>
        </w:rPr>
        <w:t>dynamics</w:t>
      </w:r>
      <w:r>
        <w:rPr>
          <w:color w:val="231F20"/>
          <w:w w:val="97"/>
        </w:rPr>
        <w:t> </w:t>
      </w:r>
      <w:r>
        <w:rPr>
          <w:color w:val="231F20"/>
          <w:w w:val="105"/>
        </w:rPr>
        <w:t>are</w:t>
      </w:r>
      <w:r>
        <w:rPr>
          <w:color w:val="231F20"/>
          <w:spacing w:val="-16"/>
          <w:w w:val="105"/>
        </w:rPr>
        <w:t> </w:t>
      </w:r>
      <w:r>
        <w:rPr>
          <w:color w:val="231F20"/>
          <w:w w:val="105"/>
        </w:rPr>
        <w:t>mainly</w:t>
      </w:r>
      <w:r>
        <w:rPr>
          <w:color w:val="231F20"/>
          <w:spacing w:val="-15"/>
          <w:w w:val="105"/>
        </w:rPr>
        <w:t> </w:t>
      </w:r>
      <w:r>
        <w:rPr>
          <w:color w:val="231F20"/>
          <w:w w:val="105"/>
        </w:rPr>
        <w:t>representative</w:t>
      </w:r>
      <w:r>
        <w:rPr>
          <w:color w:val="231F20"/>
          <w:spacing w:val="-15"/>
          <w:w w:val="105"/>
        </w:rPr>
        <w:t> </w:t>
      </w:r>
      <w:r>
        <w:rPr>
          <w:color w:val="231F20"/>
          <w:w w:val="105"/>
        </w:rPr>
        <w:t>of</w:t>
      </w:r>
      <w:r>
        <w:rPr>
          <w:color w:val="231F20"/>
          <w:spacing w:val="-16"/>
          <w:w w:val="105"/>
        </w:rPr>
        <w:t> </w:t>
      </w:r>
      <w:r>
        <w:rPr>
          <w:color w:val="231F20"/>
          <w:w w:val="105"/>
        </w:rPr>
        <w:t>all</w:t>
      </w:r>
      <w:r>
        <w:rPr>
          <w:color w:val="231F20"/>
          <w:spacing w:val="-15"/>
          <w:w w:val="105"/>
        </w:rPr>
        <w:t> </w:t>
      </w:r>
      <w:r>
        <w:rPr>
          <w:color w:val="231F20"/>
          <w:w w:val="105"/>
        </w:rPr>
        <w:t>the</w:t>
      </w:r>
      <w:r>
        <w:rPr>
          <w:color w:val="231F20"/>
          <w:spacing w:val="-15"/>
          <w:w w:val="105"/>
        </w:rPr>
        <w:t> </w:t>
      </w:r>
      <w:r>
        <w:rPr>
          <w:color w:val="231F20"/>
          <w:w w:val="105"/>
        </w:rPr>
        <w:t>other</w:t>
      </w:r>
      <w:r>
        <w:rPr>
          <w:color w:val="231F20"/>
          <w:spacing w:val="-16"/>
          <w:w w:val="105"/>
        </w:rPr>
        <w:t> </w:t>
      </w:r>
      <w:r>
        <w:rPr>
          <w:color w:val="231F20"/>
          <w:w w:val="105"/>
        </w:rPr>
        <w:t>potential</w:t>
      </w:r>
      <w:r>
        <w:rPr>
          <w:color w:val="231F20"/>
          <w:spacing w:val="-15"/>
          <w:w w:val="105"/>
        </w:rPr>
        <w:t> </w:t>
      </w:r>
      <w:r>
        <w:rPr>
          <w:color w:val="231F20"/>
          <w:w w:val="105"/>
        </w:rPr>
        <w:t>spaces</w:t>
      </w:r>
      <w:r>
        <w:rPr>
          <w:color w:val="231F20"/>
          <w:w w:val="97"/>
        </w:rPr>
        <w:t> </w:t>
      </w:r>
      <w:r>
        <w:rPr>
          <w:color w:val="231F20"/>
          <w:w w:val="105"/>
        </w:rPr>
        <w:t>as</w:t>
      </w:r>
      <w:r>
        <w:rPr>
          <w:color w:val="231F20"/>
          <w:spacing w:val="9"/>
          <w:w w:val="105"/>
        </w:rPr>
        <w:t> </w:t>
      </w:r>
      <w:r>
        <w:rPr>
          <w:color w:val="231F20"/>
          <w:w w:val="105"/>
        </w:rPr>
        <w:t>well.</w:t>
      </w:r>
      <w:r>
        <w:rPr>
          <w:color w:val="231F20"/>
          <w:spacing w:val="10"/>
          <w:w w:val="105"/>
        </w:rPr>
        <w:t> </w:t>
      </w:r>
      <w:r>
        <w:rPr>
          <w:color w:val="231F20"/>
          <w:w w:val="105"/>
        </w:rPr>
        <w:t>The</w:t>
      </w:r>
      <w:r>
        <w:rPr>
          <w:color w:val="231F20"/>
          <w:spacing w:val="9"/>
          <w:w w:val="105"/>
        </w:rPr>
        <w:t> </w:t>
      </w:r>
      <w:r>
        <w:rPr>
          <w:color w:val="231F20"/>
          <w:w w:val="105"/>
        </w:rPr>
        <w:t>normal</w:t>
      </w:r>
      <w:r>
        <w:rPr>
          <w:color w:val="231F20"/>
          <w:spacing w:val="10"/>
          <w:w w:val="105"/>
        </w:rPr>
        <w:t> </w:t>
      </w:r>
      <w:r>
        <w:rPr>
          <w:color w:val="231F20"/>
          <w:w w:val="105"/>
        </w:rPr>
        <w:t>fluid</w:t>
      </w:r>
      <w:r>
        <w:rPr>
          <w:color w:val="231F20"/>
          <w:spacing w:val="10"/>
          <w:w w:val="105"/>
        </w:rPr>
        <w:t> </w:t>
      </w:r>
      <w:r>
        <w:rPr>
          <w:color w:val="231F20"/>
          <w:w w:val="105"/>
        </w:rPr>
        <w:t>pressure</w:t>
      </w:r>
      <w:r>
        <w:rPr>
          <w:color w:val="231F20"/>
          <w:spacing w:val="9"/>
          <w:w w:val="105"/>
        </w:rPr>
        <w:t> </w:t>
      </w:r>
      <w:r>
        <w:rPr>
          <w:color w:val="231F20"/>
          <w:w w:val="105"/>
        </w:rPr>
        <w:t>in</w:t>
      </w:r>
      <w:r>
        <w:rPr>
          <w:color w:val="231F20"/>
          <w:spacing w:val="10"/>
          <w:w w:val="105"/>
        </w:rPr>
        <w:t> </w:t>
      </w:r>
      <w:r>
        <w:rPr>
          <w:color w:val="231F20"/>
          <w:w w:val="105"/>
        </w:rPr>
        <w:t>most</w:t>
      </w:r>
      <w:r>
        <w:rPr>
          <w:color w:val="231F20"/>
          <w:spacing w:val="10"/>
          <w:w w:val="105"/>
        </w:rPr>
        <w:t> </w:t>
      </w:r>
      <w:r>
        <w:rPr>
          <w:color w:val="231F20"/>
          <w:w w:val="105"/>
        </w:rPr>
        <w:t>or</w:t>
      </w:r>
      <w:r>
        <w:rPr>
          <w:color w:val="231F20"/>
          <w:spacing w:val="9"/>
          <w:w w:val="105"/>
        </w:rPr>
        <w:t> </w:t>
      </w:r>
      <w:r>
        <w:rPr>
          <w:color w:val="231F20"/>
          <w:w w:val="105"/>
        </w:rPr>
        <w:t>all</w:t>
      </w:r>
      <w:r>
        <w:rPr>
          <w:color w:val="231F20"/>
          <w:spacing w:val="10"/>
          <w:w w:val="105"/>
        </w:rPr>
        <w:t> </w:t>
      </w:r>
      <w:r>
        <w:rPr>
          <w:color w:val="231F20"/>
          <w:w w:val="105"/>
        </w:rPr>
        <w:t>of</w:t>
      </w:r>
      <w:r>
        <w:rPr>
          <w:color w:val="231F20"/>
          <w:spacing w:val="10"/>
          <w:w w:val="105"/>
        </w:rPr>
        <w:t> </w:t>
      </w:r>
      <w:r>
        <w:rPr>
          <w:color w:val="231F20"/>
          <w:spacing w:val="-5"/>
          <w:w w:val="105"/>
        </w:rPr>
        <w:t>the</w:t>
      </w:r>
      <w:r>
        <w:rPr>
          <w:color w:val="231F20"/>
          <w:w w:val="104"/>
        </w:rPr>
        <w:t> </w:t>
      </w:r>
      <w:r>
        <w:rPr>
          <w:color w:val="231F20"/>
          <w:w w:val="105"/>
        </w:rPr>
        <w:t>potential</w:t>
      </w:r>
      <w:r>
        <w:rPr>
          <w:color w:val="231F20"/>
          <w:spacing w:val="-8"/>
          <w:w w:val="105"/>
        </w:rPr>
        <w:t> </w:t>
      </w:r>
      <w:r>
        <w:rPr>
          <w:color w:val="231F20"/>
          <w:w w:val="105"/>
        </w:rPr>
        <w:t>spaces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nonedematous</w:t>
      </w:r>
      <w:r>
        <w:rPr>
          <w:color w:val="231F20"/>
          <w:spacing w:val="-7"/>
          <w:w w:val="105"/>
        </w:rPr>
        <w:t> </w:t>
      </w:r>
      <w:r>
        <w:rPr>
          <w:color w:val="231F20"/>
          <w:w w:val="105"/>
        </w:rPr>
        <w:t>state</w:t>
      </w:r>
      <w:r>
        <w:rPr>
          <w:color w:val="231F20"/>
          <w:spacing w:val="-8"/>
          <w:w w:val="105"/>
        </w:rPr>
        <w:t> </w:t>
      </w:r>
      <w:r>
        <w:rPr>
          <w:color w:val="231F20"/>
          <w:w w:val="105"/>
        </w:rPr>
        <w:t>is</w:t>
      </w:r>
      <w:r>
        <w:rPr>
          <w:color w:val="231F20"/>
          <w:spacing w:val="-8"/>
          <w:w w:val="105"/>
        </w:rPr>
        <w:t> </w:t>
      </w:r>
      <w:r>
        <w:rPr>
          <w:i/>
          <w:color w:val="231F20"/>
          <w:w w:val="105"/>
        </w:rPr>
        <w:t>negative</w:t>
      </w:r>
      <w:r>
        <w:rPr>
          <w:i/>
          <w:color w:val="231F20"/>
          <w:spacing w:val="-8"/>
          <w:w w:val="105"/>
        </w:rPr>
        <w:t> </w:t>
      </w:r>
      <w:r>
        <w:rPr>
          <w:color w:val="231F20"/>
          <w:w w:val="105"/>
        </w:rPr>
        <w:t>in</w:t>
      </w:r>
      <w:r>
        <w:rPr>
          <w:color w:val="231F20"/>
          <w:w w:val="103"/>
        </w:rPr>
        <w:t> </w:t>
      </w:r>
      <w:r>
        <w:rPr>
          <w:color w:val="231F20"/>
          <w:w w:val="105"/>
        </w:rPr>
        <w:t>the</w:t>
      </w:r>
      <w:r>
        <w:rPr>
          <w:color w:val="231F20"/>
          <w:spacing w:val="26"/>
          <w:w w:val="105"/>
        </w:rPr>
        <w:t> </w:t>
      </w:r>
      <w:r>
        <w:rPr>
          <w:color w:val="231F20"/>
          <w:w w:val="105"/>
        </w:rPr>
        <w:t>same</w:t>
      </w:r>
      <w:r>
        <w:rPr>
          <w:color w:val="231F20"/>
          <w:spacing w:val="26"/>
          <w:w w:val="105"/>
        </w:rPr>
        <w:t> </w:t>
      </w:r>
      <w:r>
        <w:rPr>
          <w:color w:val="231F20"/>
          <w:w w:val="105"/>
        </w:rPr>
        <w:t>way</w:t>
      </w:r>
      <w:r>
        <w:rPr>
          <w:color w:val="231F20"/>
          <w:spacing w:val="27"/>
          <w:w w:val="105"/>
        </w:rPr>
        <w:t> </w:t>
      </w:r>
      <w:r>
        <w:rPr>
          <w:color w:val="231F20"/>
          <w:w w:val="105"/>
        </w:rPr>
        <w:t>that</w:t>
      </w:r>
      <w:r>
        <w:rPr>
          <w:color w:val="231F20"/>
          <w:spacing w:val="26"/>
          <w:w w:val="105"/>
        </w:rPr>
        <w:t> </w:t>
      </w:r>
      <w:r>
        <w:rPr>
          <w:color w:val="231F20"/>
          <w:w w:val="105"/>
        </w:rPr>
        <w:t>this</w:t>
      </w:r>
      <w:r>
        <w:rPr>
          <w:color w:val="231F20"/>
          <w:spacing w:val="27"/>
          <w:w w:val="105"/>
        </w:rPr>
        <w:t> </w:t>
      </w:r>
      <w:r>
        <w:rPr>
          <w:color w:val="231F20"/>
          <w:w w:val="105"/>
        </w:rPr>
        <w:t>pressure</w:t>
      </w:r>
      <w:r>
        <w:rPr>
          <w:color w:val="231F20"/>
          <w:spacing w:val="26"/>
          <w:w w:val="105"/>
        </w:rPr>
        <w:t> </w:t>
      </w:r>
      <w:r>
        <w:rPr>
          <w:color w:val="231F20"/>
          <w:w w:val="105"/>
        </w:rPr>
        <w:t>is</w:t>
      </w:r>
      <w:r>
        <w:rPr>
          <w:color w:val="231F20"/>
          <w:spacing w:val="27"/>
          <w:w w:val="105"/>
        </w:rPr>
        <w:t> </w:t>
      </w:r>
      <w:r>
        <w:rPr>
          <w:color w:val="231F20"/>
          <w:w w:val="105"/>
        </w:rPr>
        <w:t>negative</w:t>
      </w:r>
      <w:r>
        <w:rPr>
          <w:color w:val="231F20"/>
          <w:spacing w:val="26"/>
          <w:w w:val="105"/>
        </w:rPr>
        <w:t> </w:t>
      </w:r>
      <w:r>
        <w:rPr>
          <w:color w:val="231F20"/>
          <w:spacing w:val="-3"/>
          <w:w w:val="105"/>
        </w:rPr>
        <w:t>(subatmo­</w:t>
      </w:r>
      <w:r>
        <w:rPr>
          <w:color w:val="231F20"/>
          <w:w w:val="109"/>
        </w:rPr>
        <w:t> </w:t>
      </w:r>
      <w:r>
        <w:rPr>
          <w:color w:val="231F20"/>
          <w:w w:val="105"/>
        </w:rPr>
        <w:t>spheric)</w:t>
      </w:r>
      <w:r>
        <w:rPr>
          <w:color w:val="231F20"/>
          <w:spacing w:val="15"/>
          <w:w w:val="105"/>
        </w:rPr>
        <w:t> </w:t>
      </w:r>
      <w:r>
        <w:rPr>
          <w:color w:val="231F20"/>
          <w:w w:val="105"/>
        </w:rPr>
        <w:t>in</w:t>
      </w:r>
      <w:r>
        <w:rPr>
          <w:color w:val="231F20"/>
          <w:spacing w:val="15"/>
          <w:w w:val="105"/>
        </w:rPr>
        <w:t> </w:t>
      </w:r>
      <w:r>
        <w:rPr>
          <w:color w:val="231F20"/>
          <w:w w:val="105"/>
        </w:rPr>
        <w:t>loose</w:t>
      </w:r>
      <w:r>
        <w:rPr>
          <w:color w:val="231F20"/>
          <w:spacing w:val="15"/>
          <w:w w:val="105"/>
        </w:rPr>
        <w:t> </w:t>
      </w:r>
      <w:r>
        <w:rPr>
          <w:color w:val="231F20"/>
          <w:w w:val="105"/>
        </w:rPr>
        <w:t>subcutaneous</w:t>
      </w:r>
      <w:r>
        <w:rPr>
          <w:color w:val="231F20"/>
          <w:spacing w:val="16"/>
          <w:w w:val="105"/>
        </w:rPr>
        <w:t> </w:t>
      </w:r>
      <w:r>
        <w:rPr>
          <w:color w:val="231F20"/>
          <w:w w:val="105"/>
        </w:rPr>
        <w:t>tissue. </w:t>
      </w:r>
      <w:r>
        <w:rPr>
          <w:color w:val="231F20"/>
          <w:spacing w:val="15"/>
          <w:w w:val="105"/>
        </w:rPr>
        <w:t> </w:t>
      </w:r>
      <w:r>
        <w:rPr>
          <w:color w:val="231F20"/>
          <w:spacing w:val="-3"/>
          <w:w w:val="105"/>
        </w:rPr>
        <w:t>For </w:t>
      </w:r>
      <w:r>
        <w:rPr>
          <w:color w:val="231F20"/>
          <w:spacing w:val="18"/>
          <w:w w:val="105"/>
        </w:rPr>
        <w:t> </w:t>
      </w:r>
      <w:r>
        <w:rPr>
          <w:color w:val="231F20"/>
          <w:spacing w:val="-3"/>
          <w:w w:val="105"/>
        </w:rPr>
        <w:t>instance,</w:t>
      </w:r>
      <w:r>
        <w:rPr>
          <w:color w:val="231F20"/>
          <w:w w:val="95"/>
        </w:rPr>
        <w:t> </w:t>
      </w:r>
      <w:r>
        <w:rPr>
          <w:color w:val="231F20"/>
          <w:w w:val="105"/>
        </w:rPr>
        <w:t>the interstitial fluid hydrostatic pressure</w:t>
      </w:r>
      <w:r>
        <w:rPr>
          <w:color w:val="231F20"/>
          <w:spacing w:val="8"/>
          <w:w w:val="105"/>
        </w:rPr>
        <w:t> </w:t>
      </w:r>
      <w:r>
        <w:rPr>
          <w:color w:val="231F20"/>
          <w:w w:val="105"/>
        </w:rPr>
        <w:t>is</w:t>
      </w:r>
      <w:r>
        <w:rPr>
          <w:color w:val="231F20"/>
          <w:spacing w:val="50"/>
          <w:w w:val="105"/>
        </w:rPr>
        <w:t> </w:t>
      </w:r>
      <w:r>
        <w:rPr>
          <w:color w:val="231F20"/>
          <w:w w:val="105"/>
        </w:rPr>
        <w:t>normally</w:t>
      </w:r>
      <w:r>
        <w:rPr>
          <w:color w:val="231F20"/>
          <w:w w:val="97"/>
        </w:rPr>
        <w:t> </w:t>
      </w:r>
      <w:r>
        <w:rPr>
          <w:color w:val="231F20"/>
          <w:w w:val="105"/>
        </w:rPr>
        <w:t>about </w:t>
      </w:r>
      <w:r>
        <w:rPr>
          <w:rFonts w:ascii="Consolas" w:hAnsi="Consolas"/>
          <w:color w:val="231F20"/>
          <w:w w:val="105"/>
        </w:rPr>
        <w:t>−</w:t>
      </w:r>
      <w:r>
        <w:rPr>
          <w:color w:val="231F20"/>
          <w:w w:val="105"/>
        </w:rPr>
        <w:t>7 to </w:t>
      </w:r>
      <w:r>
        <w:rPr>
          <w:rFonts w:ascii="Consolas" w:hAnsi="Consolas"/>
          <w:color w:val="231F20"/>
          <w:w w:val="105"/>
        </w:rPr>
        <w:t>−</w:t>
      </w:r>
      <w:r>
        <w:rPr>
          <w:color w:val="231F20"/>
          <w:w w:val="105"/>
        </w:rPr>
        <w:t>8 mm Hg in the pleural cavity, </w:t>
      </w:r>
      <w:r>
        <w:rPr>
          <w:rFonts w:ascii="Consolas" w:hAnsi="Consolas"/>
          <w:color w:val="231F20"/>
          <w:w w:val="105"/>
        </w:rPr>
        <w:t>−</w:t>
      </w:r>
      <w:r>
        <w:rPr>
          <w:color w:val="231F20"/>
          <w:w w:val="105"/>
        </w:rPr>
        <w:t>3</w:t>
      </w:r>
      <w:r>
        <w:rPr>
          <w:color w:val="231F20"/>
          <w:spacing w:val="14"/>
          <w:w w:val="105"/>
        </w:rPr>
        <w:t> </w:t>
      </w:r>
      <w:r>
        <w:rPr>
          <w:color w:val="231F20"/>
          <w:w w:val="105"/>
        </w:rPr>
        <w:t>to</w:t>
      </w:r>
    </w:p>
    <w:p>
      <w:pPr>
        <w:pStyle w:val="BodyText"/>
        <w:spacing w:line="242" w:lineRule="auto" w:before="4"/>
        <w:ind w:left="319" w:right="1438" w:hanging="1"/>
        <w:jc w:val="both"/>
      </w:pPr>
      <w:r>
        <w:rPr>
          <w:rFonts w:ascii="Consolas" w:hAnsi="Consolas"/>
          <w:color w:val="231F20"/>
        </w:rPr>
        <w:t>−</w:t>
      </w:r>
      <w:r>
        <w:rPr>
          <w:color w:val="231F20"/>
        </w:rPr>
        <w:t>5 mm Hg in the joint spaces, and </w:t>
      </w:r>
      <w:r>
        <w:rPr>
          <w:rFonts w:ascii="Consolas" w:hAnsi="Consolas"/>
          <w:color w:val="231F20"/>
        </w:rPr>
        <w:t>−</w:t>
      </w:r>
      <w:r>
        <w:rPr>
          <w:color w:val="231F20"/>
        </w:rPr>
        <w:t>5 to </w:t>
      </w:r>
      <w:r>
        <w:rPr>
          <w:rFonts w:ascii="Consolas" w:hAnsi="Consolas"/>
          <w:color w:val="231F20"/>
        </w:rPr>
        <w:t>−</w:t>
      </w:r>
      <w:r>
        <w:rPr>
          <w:color w:val="231F20"/>
        </w:rPr>
        <w:t>6 mm Hg in   the pericardial</w:t>
      </w:r>
      <w:r>
        <w:rPr>
          <w:color w:val="231F20"/>
          <w:spacing w:val="12"/>
        </w:rPr>
        <w:t> </w:t>
      </w:r>
      <w:r>
        <w:rPr>
          <w:color w:val="231F20"/>
        </w:rPr>
        <w:t>cavity.</w:t>
      </w:r>
    </w:p>
    <w:p>
      <w:pPr>
        <w:pStyle w:val="BodyText"/>
        <w:spacing w:before="10"/>
        <w:rPr>
          <w:sz w:val="40"/>
        </w:rPr>
      </w:pPr>
    </w:p>
    <w:p>
      <w:pPr>
        <w:pStyle w:val="Heading1"/>
      </w:pPr>
      <w:r>
        <w:rPr>
          <w:color w:val="231F20"/>
        </w:rPr>
        <w:t>Bibliography</w:t>
      </w:r>
    </w:p>
    <w:p>
      <w:pPr>
        <w:spacing w:line="261" w:lineRule="auto" w:before="99"/>
        <w:ind w:left="479" w:right="1430" w:hanging="160"/>
        <w:jc w:val="left"/>
        <w:rPr>
          <w:rFonts w:ascii="Arial" w:hAnsi="Arial"/>
          <w:sz w:val="16"/>
        </w:rPr>
      </w:pPr>
      <w:r>
        <w:rPr>
          <w:rFonts w:ascii="Arial" w:hAnsi="Arial"/>
          <w:color w:val="231F20"/>
          <w:sz w:val="16"/>
        </w:rPr>
        <w:t>Adrogué</w:t>
      </w:r>
      <w:r>
        <w:rPr>
          <w:rFonts w:ascii="Arial" w:hAnsi="Arial"/>
          <w:color w:val="231F20"/>
          <w:spacing w:val="-9"/>
          <w:sz w:val="16"/>
        </w:rPr>
        <w:t> </w:t>
      </w:r>
      <w:r>
        <w:rPr>
          <w:rFonts w:ascii="Arial" w:hAnsi="Arial"/>
          <w:color w:val="231F20"/>
          <w:sz w:val="16"/>
        </w:rPr>
        <w:t>HJ,</w:t>
      </w:r>
      <w:r>
        <w:rPr>
          <w:rFonts w:ascii="Arial" w:hAnsi="Arial"/>
          <w:color w:val="231F20"/>
          <w:spacing w:val="-9"/>
          <w:sz w:val="16"/>
        </w:rPr>
        <w:t> </w:t>
      </w:r>
      <w:r>
        <w:rPr>
          <w:rFonts w:ascii="Arial" w:hAnsi="Arial"/>
          <w:color w:val="231F20"/>
          <w:sz w:val="16"/>
        </w:rPr>
        <w:t>Madias</w:t>
      </w:r>
      <w:r>
        <w:rPr>
          <w:rFonts w:ascii="Arial" w:hAnsi="Arial"/>
          <w:color w:val="231F20"/>
          <w:spacing w:val="-9"/>
          <w:sz w:val="16"/>
        </w:rPr>
        <w:t> </w:t>
      </w:r>
      <w:r>
        <w:rPr>
          <w:rFonts w:ascii="Arial" w:hAnsi="Arial"/>
          <w:color w:val="231F20"/>
          <w:sz w:val="16"/>
        </w:rPr>
        <w:t>NE:</w:t>
      </w:r>
      <w:r>
        <w:rPr>
          <w:rFonts w:ascii="Arial" w:hAnsi="Arial"/>
          <w:color w:val="231F20"/>
          <w:spacing w:val="-8"/>
          <w:sz w:val="16"/>
        </w:rPr>
        <w:t> </w:t>
      </w:r>
      <w:r>
        <w:rPr>
          <w:rFonts w:ascii="Arial" w:hAnsi="Arial"/>
          <w:color w:val="231F20"/>
          <w:sz w:val="16"/>
        </w:rPr>
        <w:t>The</w:t>
      </w:r>
      <w:r>
        <w:rPr>
          <w:rFonts w:ascii="Arial" w:hAnsi="Arial"/>
          <w:color w:val="231F20"/>
          <w:spacing w:val="-9"/>
          <w:sz w:val="16"/>
        </w:rPr>
        <w:t> </w:t>
      </w:r>
      <w:r>
        <w:rPr>
          <w:rFonts w:ascii="Arial" w:hAnsi="Arial"/>
          <w:color w:val="231F20"/>
          <w:sz w:val="16"/>
        </w:rPr>
        <w:t>challenge</w:t>
      </w:r>
      <w:r>
        <w:rPr>
          <w:rFonts w:ascii="Arial" w:hAnsi="Arial"/>
          <w:color w:val="231F20"/>
          <w:spacing w:val="-9"/>
          <w:sz w:val="16"/>
        </w:rPr>
        <w:t> </w:t>
      </w:r>
      <w:r>
        <w:rPr>
          <w:rFonts w:ascii="Arial" w:hAnsi="Arial"/>
          <w:color w:val="231F20"/>
          <w:sz w:val="16"/>
        </w:rPr>
        <w:t>of</w:t>
      </w:r>
      <w:r>
        <w:rPr>
          <w:rFonts w:ascii="Arial" w:hAnsi="Arial"/>
          <w:color w:val="231F20"/>
          <w:spacing w:val="-9"/>
          <w:sz w:val="16"/>
        </w:rPr>
        <w:t> </w:t>
      </w:r>
      <w:r>
        <w:rPr>
          <w:rFonts w:ascii="Arial" w:hAnsi="Arial"/>
          <w:color w:val="231F20"/>
          <w:sz w:val="16"/>
        </w:rPr>
        <w:t>hyponatremia.</w:t>
      </w:r>
      <w:r>
        <w:rPr>
          <w:rFonts w:ascii="Arial" w:hAnsi="Arial"/>
          <w:color w:val="231F20"/>
          <w:spacing w:val="-8"/>
          <w:sz w:val="16"/>
        </w:rPr>
        <w:t> </w:t>
      </w:r>
      <w:r>
        <w:rPr>
          <w:rFonts w:ascii="Arial" w:hAnsi="Arial"/>
          <w:color w:val="231F20"/>
          <w:sz w:val="16"/>
        </w:rPr>
        <w:t>J</w:t>
      </w:r>
      <w:r>
        <w:rPr>
          <w:rFonts w:ascii="Arial" w:hAnsi="Arial"/>
          <w:color w:val="231F20"/>
          <w:spacing w:val="-9"/>
          <w:sz w:val="16"/>
        </w:rPr>
        <w:t> </w:t>
      </w:r>
      <w:r>
        <w:rPr>
          <w:rFonts w:ascii="Arial" w:hAnsi="Arial"/>
          <w:color w:val="231F20"/>
          <w:sz w:val="16"/>
        </w:rPr>
        <w:t>Am</w:t>
      </w:r>
      <w:r>
        <w:rPr>
          <w:rFonts w:ascii="Arial" w:hAnsi="Arial"/>
          <w:color w:val="231F20"/>
          <w:spacing w:val="-9"/>
          <w:sz w:val="16"/>
        </w:rPr>
        <w:t> </w:t>
      </w:r>
      <w:r>
        <w:rPr>
          <w:rFonts w:ascii="Arial" w:hAnsi="Arial"/>
          <w:color w:val="231F20"/>
          <w:spacing w:val="-6"/>
          <w:sz w:val="16"/>
        </w:rPr>
        <w:t>Soc </w:t>
      </w:r>
      <w:r>
        <w:rPr>
          <w:rFonts w:ascii="Arial" w:hAnsi="Arial"/>
          <w:color w:val="231F20"/>
          <w:sz w:val="16"/>
        </w:rPr>
        <w:t>Nephrol 23:1140,</w:t>
      </w:r>
      <w:r>
        <w:rPr>
          <w:rFonts w:ascii="Arial" w:hAnsi="Arial"/>
          <w:color w:val="231F20"/>
          <w:spacing w:val="15"/>
          <w:sz w:val="16"/>
        </w:rPr>
        <w:t> </w:t>
      </w:r>
      <w:r>
        <w:rPr>
          <w:rFonts w:ascii="Arial" w:hAnsi="Arial"/>
          <w:color w:val="231F20"/>
          <w:sz w:val="16"/>
        </w:rPr>
        <w:t>2012.</w:t>
      </w:r>
    </w:p>
    <w:p>
      <w:pPr>
        <w:spacing w:line="261" w:lineRule="auto" w:before="0"/>
        <w:ind w:left="479" w:right="1430" w:hanging="160"/>
        <w:jc w:val="left"/>
        <w:rPr>
          <w:rFonts w:ascii="Arial" w:hAnsi="Arial"/>
          <w:sz w:val="16"/>
        </w:rPr>
      </w:pPr>
      <w:r>
        <w:rPr>
          <w:rFonts w:ascii="Arial" w:hAnsi="Arial"/>
          <w:color w:val="231F20"/>
          <w:sz w:val="16"/>
        </w:rPr>
        <w:t>Aukland K: Why don’t our feet swell in the upright position? News Physiol Sci 9:214,</w:t>
      </w:r>
      <w:r>
        <w:rPr>
          <w:rFonts w:ascii="Arial" w:hAnsi="Arial"/>
          <w:color w:val="231F20"/>
          <w:spacing w:val="19"/>
          <w:sz w:val="16"/>
        </w:rPr>
        <w:t> </w:t>
      </w:r>
      <w:r>
        <w:rPr>
          <w:rFonts w:ascii="Arial" w:hAnsi="Arial"/>
          <w:color w:val="231F20"/>
          <w:sz w:val="16"/>
        </w:rPr>
        <w:t>1994.</w:t>
      </w:r>
    </w:p>
    <w:p>
      <w:pPr>
        <w:spacing w:line="261" w:lineRule="auto" w:before="0"/>
        <w:ind w:left="479" w:right="1351" w:hanging="160"/>
        <w:jc w:val="left"/>
        <w:rPr>
          <w:rFonts w:ascii="Arial"/>
          <w:sz w:val="16"/>
        </w:rPr>
      </w:pPr>
      <w:r>
        <w:rPr>
          <w:rFonts w:ascii="Arial"/>
          <w:color w:val="231F20"/>
          <w:sz w:val="16"/>
        </w:rPr>
        <w:t>Berl T: An elderly patient with chronic hyponatremia. Clin J Am Soc Nephrol 8:469, 2013.</w:t>
      </w:r>
    </w:p>
    <w:p>
      <w:pPr>
        <w:spacing w:line="261" w:lineRule="auto" w:before="0"/>
        <w:ind w:left="479" w:right="1431" w:hanging="160"/>
        <w:jc w:val="left"/>
        <w:rPr>
          <w:rFonts w:ascii="Arial"/>
          <w:sz w:val="16"/>
        </w:rPr>
      </w:pPr>
      <w:r>
        <w:rPr>
          <w:rFonts w:ascii="Arial"/>
          <w:color w:val="231F20"/>
          <w:sz w:val="16"/>
        </w:rPr>
        <w:t>Bhave</w:t>
      </w:r>
      <w:r>
        <w:rPr>
          <w:rFonts w:ascii="Arial"/>
          <w:color w:val="231F20"/>
          <w:spacing w:val="-11"/>
          <w:sz w:val="16"/>
        </w:rPr>
        <w:t> </w:t>
      </w:r>
      <w:r>
        <w:rPr>
          <w:rFonts w:ascii="Arial"/>
          <w:color w:val="231F20"/>
          <w:sz w:val="16"/>
        </w:rPr>
        <w:t>G,</w:t>
      </w:r>
      <w:r>
        <w:rPr>
          <w:rFonts w:ascii="Arial"/>
          <w:color w:val="231F20"/>
          <w:spacing w:val="-11"/>
          <w:sz w:val="16"/>
        </w:rPr>
        <w:t> </w:t>
      </w:r>
      <w:r>
        <w:rPr>
          <w:rFonts w:ascii="Arial"/>
          <w:color w:val="231F20"/>
          <w:sz w:val="16"/>
        </w:rPr>
        <w:t>Neilson</w:t>
      </w:r>
      <w:r>
        <w:rPr>
          <w:rFonts w:ascii="Arial"/>
          <w:color w:val="231F20"/>
          <w:spacing w:val="-10"/>
          <w:sz w:val="16"/>
        </w:rPr>
        <w:t> </w:t>
      </w:r>
      <w:r>
        <w:rPr>
          <w:rFonts w:ascii="Arial"/>
          <w:color w:val="231F20"/>
          <w:sz w:val="16"/>
        </w:rPr>
        <w:t>EG:</w:t>
      </w:r>
      <w:r>
        <w:rPr>
          <w:rFonts w:ascii="Arial"/>
          <w:color w:val="231F20"/>
          <w:spacing w:val="-11"/>
          <w:sz w:val="16"/>
        </w:rPr>
        <w:t> </w:t>
      </w:r>
      <w:r>
        <w:rPr>
          <w:rFonts w:ascii="Arial"/>
          <w:color w:val="231F20"/>
          <w:sz w:val="16"/>
        </w:rPr>
        <w:t>Body</w:t>
      </w:r>
      <w:r>
        <w:rPr>
          <w:rFonts w:ascii="Arial"/>
          <w:color w:val="231F20"/>
          <w:spacing w:val="-10"/>
          <w:sz w:val="16"/>
        </w:rPr>
        <w:t> </w:t>
      </w:r>
      <w:r>
        <w:rPr>
          <w:rFonts w:ascii="Arial"/>
          <w:color w:val="231F20"/>
          <w:sz w:val="16"/>
        </w:rPr>
        <w:t>fluid</w:t>
      </w:r>
      <w:r>
        <w:rPr>
          <w:rFonts w:ascii="Arial"/>
          <w:color w:val="231F20"/>
          <w:spacing w:val="-11"/>
          <w:sz w:val="16"/>
        </w:rPr>
        <w:t> </w:t>
      </w:r>
      <w:r>
        <w:rPr>
          <w:rFonts w:ascii="Arial"/>
          <w:color w:val="231F20"/>
          <w:sz w:val="16"/>
        </w:rPr>
        <w:t>dynamics:</w:t>
      </w:r>
      <w:r>
        <w:rPr>
          <w:rFonts w:ascii="Arial"/>
          <w:color w:val="231F20"/>
          <w:spacing w:val="-11"/>
          <w:sz w:val="16"/>
        </w:rPr>
        <w:t> </w:t>
      </w:r>
      <w:r>
        <w:rPr>
          <w:rFonts w:ascii="Arial"/>
          <w:color w:val="231F20"/>
          <w:sz w:val="16"/>
        </w:rPr>
        <w:t>back</w:t>
      </w:r>
      <w:r>
        <w:rPr>
          <w:rFonts w:ascii="Arial"/>
          <w:color w:val="231F20"/>
          <w:spacing w:val="-10"/>
          <w:sz w:val="16"/>
        </w:rPr>
        <w:t> </w:t>
      </w:r>
      <w:r>
        <w:rPr>
          <w:rFonts w:ascii="Arial"/>
          <w:color w:val="231F20"/>
          <w:sz w:val="16"/>
        </w:rPr>
        <w:t>to</w:t>
      </w:r>
      <w:r>
        <w:rPr>
          <w:rFonts w:ascii="Arial"/>
          <w:color w:val="231F20"/>
          <w:spacing w:val="-11"/>
          <w:sz w:val="16"/>
        </w:rPr>
        <w:t> </w:t>
      </w:r>
      <w:r>
        <w:rPr>
          <w:rFonts w:ascii="Arial"/>
          <w:color w:val="231F20"/>
          <w:sz w:val="16"/>
        </w:rPr>
        <w:t>the</w:t>
      </w:r>
      <w:r>
        <w:rPr>
          <w:rFonts w:ascii="Arial"/>
          <w:color w:val="231F20"/>
          <w:spacing w:val="-10"/>
          <w:sz w:val="16"/>
        </w:rPr>
        <w:t> </w:t>
      </w:r>
      <w:r>
        <w:rPr>
          <w:rFonts w:ascii="Arial"/>
          <w:color w:val="231F20"/>
          <w:sz w:val="16"/>
        </w:rPr>
        <w:t>future.</w:t>
      </w:r>
      <w:r>
        <w:rPr>
          <w:rFonts w:ascii="Arial"/>
          <w:color w:val="231F20"/>
          <w:spacing w:val="-11"/>
          <w:sz w:val="16"/>
        </w:rPr>
        <w:t> </w:t>
      </w:r>
      <w:r>
        <w:rPr>
          <w:rFonts w:ascii="Arial"/>
          <w:color w:val="231F20"/>
          <w:sz w:val="16"/>
        </w:rPr>
        <w:t>J</w:t>
      </w:r>
      <w:r>
        <w:rPr>
          <w:rFonts w:ascii="Arial"/>
          <w:color w:val="231F20"/>
          <w:spacing w:val="-10"/>
          <w:sz w:val="16"/>
        </w:rPr>
        <w:t> </w:t>
      </w:r>
      <w:r>
        <w:rPr>
          <w:rFonts w:ascii="Arial"/>
          <w:color w:val="231F20"/>
          <w:spacing w:val="-8"/>
          <w:sz w:val="16"/>
        </w:rPr>
        <w:t>Am </w:t>
      </w:r>
      <w:r>
        <w:rPr>
          <w:rFonts w:ascii="Arial"/>
          <w:color w:val="231F20"/>
          <w:sz w:val="16"/>
        </w:rPr>
        <w:t>Soc Nephrol 22:2166,</w:t>
      </w:r>
      <w:r>
        <w:rPr>
          <w:rFonts w:ascii="Arial"/>
          <w:color w:val="231F20"/>
          <w:spacing w:val="20"/>
          <w:sz w:val="16"/>
        </w:rPr>
        <w:t> </w:t>
      </w:r>
      <w:r>
        <w:rPr>
          <w:rFonts w:ascii="Arial"/>
          <w:color w:val="231F20"/>
          <w:sz w:val="16"/>
        </w:rPr>
        <w:t>2011.</w:t>
      </w:r>
    </w:p>
    <w:p>
      <w:pPr>
        <w:spacing w:line="261" w:lineRule="auto" w:before="0"/>
        <w:ind w:left="479" w:right="1424" w:hanging="160"/>
        <w:jc w:val="left"/>
        <w:rPr>
          <w:rFonts w:ascii="Arial"/>
          <w:sz w:val="16"/>
        </w:rPr>
      </w:pPr>
      <w:r>
        <w:rPr>
          <w:rFonts w:ascii="Arial"/>
          <w:color w:val="231F20"/>
          <w:sz w:val="16"/>
        </w:rPr>
        <w:t>Centers</w:t>
      </w:r>
      <w:r>
        <w:rPr>
          <w:rFonts w:ascii="Arial"/>
          <w:color w:val="231F20"/>
          <w:spacing w:val="-28"/>
          <w:sz w:val="16"/>
        </w:rPr>
        <w:t> </w:t>
      </w:r>
      <w:r>
        <w:rPr>
          <w:rFonts w:ascii="Arial"/>
          <w:color w:val="231F20"/>
          <w:sz w:val="16"/>
        </w:rPr>
        <w:t>for</w:t>
      </w:r>
      <w:r>
        <w:rPr>
          <w:rFonts w:ascii="Arial"/>
          <w:color w:val="231F20"/>
          <w:spacing w:val="-28"/>
          <w:sz w:val="16"/>
        </w:rPr>
        <w:t> </w:t>
      </w:r>
      <w:r>
        <w:rPr>
          <w:rFonts w:ascii="Arial"/>
          <w:color w:val="231F20"/>
          <w:sz w:val="16"/>
        </w:rPr>
        <w:t>Disease</w:t>
      </w:r>
      <w:r>
        <w:rPr>
          <w:rFonts w:ascii="Arial"/>
          <w:color w:val="231F20"/>
          <w:spacing w:val="-28"/>
          <w:sz w:val="16"/>
        </w:rPr>
        <w:t> </w:t>
      </w:r>
      <w:r>
        <w:rPr>
          <w:rFonts w:ascii="Arial"/>
          <w:color w:val="231F20"/>
          <w:sz w:val="16"/>
        </w:rPr>
        <w:t>Control</w:t>
      </w:r>
      <w:r>
        <w:rPr>
          <w:rFonts w:ascii="Arial"/>
          <w:color w:val="231F20"/>
          <w:spacing w:val="-27"/>
          <w:sz w:val="16"/>
        </w:rPr>
        <w:t> </w:t>
      </w:r>
      <w:r>
        <w:rPr>
          <w:rFonts w:ascii="Arial"/>
          <w:color w:val="231F20"/>
          <w:sz w:val="16"/>
        </w:rPr>
        <w:t>and</w:t>
      </w:r>
      <w:r>
        <w:rPr>
          <w:rFonts w:ascii="Arial"/>
          <w:color w:val="231F20"/>
          <w:spacing w:val="-28"/>
          <w:sz w:val="16"/>
        </w:rPr>
        <w:t> </w:t>
      </w:r>
      <w:r>
        <w:rPr>
          <w:rFonts w:ascii="Arial"/>
          <w:color w:val="231F20"/>
          <w:sz w:val="16"/>
        </w:rPr>
        <w:t>Prevention:</w:t>
      </w:r>
      <w:r>
        <w:rPr>
          <w:rFonts w:ascii="Arial"/>
          <w:color w:val="231F20"/>
          <w:spacing w:val="-28"/>
          <w:sz w:val="16"/>
        </w:rPr>
        <w:t> </w:t>
      </w:r>
      <w:r>
        <w:rPr>
          <w:rFonts w:ascii="Arial"/>
          <w:color w:val="231F20"/>
          <w:sz w:val="16"/>
        </w:rPr>
        <w:t>Parasites:</w:t>
      </w:r>
      <w:r>
        <w:rPr>
          <w:rFonts w:ascii="Arial"/>
          <w:color w:val="231F20"/>
          <w:spacing w:val="-28"/>
          <w:sz w:val="16"/>
        </w:rPr>
        <w:t> </w:t>
      </w:r>
      <w:r>
        <w:rPr>
          <w:rFonts w:ascii="Arial"/>
          <w:color w:val="231F20"/>
          <w:sz w:val="16"/>
        </w:rPr>
        <w:t>lymphatic</w:t>
      </w:r>
      <w:r>
        <w:rPr>
          <w:rFonts w:ascii="Arial"/>
          <w:color w:val="231F20"/>
          <w:spacing w:val="-27"/>
          <w:sz w:val="16"/>
        </w:rPr>
        <w:t> </w:t>
      </w:r>
      <w:r>
        <w:rPr>
          <w:rFonts w:ascii="Arial"/>
          <w:color w:val="231F20"/>
          <w:spacing w:val="-4"/>
          <w:sz w:val="16"/>
        </w:rPr>
        <w:t>fila- </w:t>
      </w:r>
      <w:r>
        <w:rPr>
          <w:rFonts w:ascii="Arial"/>
          <w:color w:val="231F20"/>
          <w:w w:val="95"/>
          <w:sz w:val="16"/>
        </w:rPr>
        <w:t>riasis. Available at</w:t>
      </w:r>
      <w:r>
        <w:rPr>
          <w:rFonts w:ascii="Arial"/>
          <w:color w:val="231F20"/>
          <w:spacing w:val="1"/>
          <w:w w:val="95"/>
          <w:sz w:val="16"/>
        </w:rPr>
        <w:t> </w:t>
      </w:r>
      <w:hyperlink r:id="rId81">
        <w:r>
          <w:rPr>
            <w:rFonts w:ascii="Arial"/>
            <w:color w:val="0080AC"/>
            <w:w w:val="95"/>
            <w:sz w:val="16"/>
          </w:rPr>
          <w:t>www.cdc.gov/parasites/lymphaticfilariasis/index</w:t>
        </w:r>
      </w:hyperlink>
    </w:p>
    <w:p>
      <w:pPr>
        <w:spacing w:line="183" w:lineRule="exact" w:before="0"/>
        <w:ind w:left="479" w:right="0" w:firstLine="0"/>
        <w:jc w:val="left"/>
        <w:rPr>
          <w:rFonts w:ascii="Arial"/>
          <w:sz w:val="16"/>
        </w:rPr>
      </w:pPr>
      <w:hyperlink r:id="rId81">
        <w:r>
          <w:rPr>
            <w:rFonts w:ascii="Arial"/>
            <w:color w:val="0080AC"/>
            <w:sz w:val="16"/>
          </w:rPr>
          <w:t>.html/</w:t>
        </w:r>
      </w:hyperlink>
      <w:r>
        <w:rPr>
          <w:rFonts w:ascii="Arial"/>
          <w:color w:val="231F20"/>
          <w:sz w:val="16"/>
        </w:rPr>
        <w:t>.</w:t>
      </w:r>
    </w:p>
    <w:p>
      <w:pPr>
        <w:spacing w:line="261" w:lineRule="auto" w:before="12"/>
        <w:ind w:left="479" w:right="1425" w:hanging="160"/>
        <w:jc w:val="left"/>
        <w:rPr>
          <w:rFonts w:ascii="Arial"/>
          <w:sz w:val="16"/>
        </w:rPr>
      </w:pPr>
      <w:r>
        <w:rPr>
          <w:rFonts w:ascii="Arial"/>
          <w:color w:val="231F20"/>
          <w:sz w:val="16"/>
        </w:rPr>
        <w:t>Damkier</w:t>
      </w:r>
      <w:r>
        <w:rPr>
          <w:rFonts w:ascii="Arial"/>
          <w:color w:val="231F20"/>
          <w:spacing w:val="-30"/>
          <w:sz w:val="16"/>
        </w:rPr>
        <w:t> </w:t>
      </w:r>
      <w:r>
        <w:rPr>
          <w:rFonts w:ascii="Arial"/>
          <w:color w:val="231F20"/>
          <w:sz w:val="16"/>
        </w:rPr>
        <w:t>HH,</w:t>
      </w:r>
      <w:r>
        <w:rPr>
          <w:rFonts w:ascii="Arial"/>
          <w:color w:val="231F20"/>
          <w:spacing w:val="-30"/>
          <w:sz w:val="16"/>
        </w:rPr>
        <w:t> </w:t>
      </w:r>
      <w:r>
        <w:rPr>
          <w:rFonts w:ascii="Arial"/>
          <w:color w:val="231F20"/>
          <w:sz w:val="16"/>
        </w:rPr>
        <w:t>Brown</w:t>
      </w:r>
      <w:r>
        <w:rPr>
          <w:rFonts w:ascii="Arial"/>
          <w:color w:val="231F20"/>
          <w:spacing w:val="-29"/>
          <w:sz w:val="16"/>
        </w:rPr>
        <w:t> </w:t>
      </w:r>
      <w:r>
        <w:rPr>
          <w:rFonts w:ascii="Arial"/>
          <w:color w:val="231F20"/>
          <w:sz w:val="16"/>
        </w:rPr>
        <w:t>PD,</w:t>
      </w:r>
      <w:r>
        <w:rPr>
          <w:rFonts w:ascii="Arial"/>
          <w:color w:val="231F20"/>
          <w:spacing w:val="-30"/>
          <w:sz w:val="16"/>
        </w:rPr>
        <w:t> </w:t>
      </w:r>
      <w:r>
        <w:rPr>
          <w:rFonts w:ascii="Arial"/>
          <w:color w:val="231F20"/>
          <w:sz w:val="16"/>
        </w:rPr>
        <w:t>Praetorius</w:t>
      </w:r>
      <w:r>
        <w:rPr>
          <w:rFonts w:ascii="Arial"/>
          <w:color w:val="231F20"/>
          <w:spacing w:val="-29"/>
          <w:sz w:val="16"/>
        </w:rPr>
        <w:t> </w:t>
      </w:r>
      <w:r>
        <w:rPr>
          <w:rFonts w:ascii="Arial"/>
          <w:color w:val="231F20"/>
          <w:sz w:val="16"/>
        </w:rPr>
        <w:t>J:</w:t>
      </w:r>
      <w:r>
        <w:rPr>
          <w:rFonts w:ascii="Arial"/>
          <w:color w:val="231F20"/>
          <w:spacing w:val="-30"/>
          <w:sz w:val="16"/>
        </w:rPr>
        <w:t> </w:t>
      </w:r>
      <w:r>
        <w:rPr>
          <w:rFonts w:ascii="Arial"/>
          <w:color w:val="231F20"/>
          <w:sz w:val="16"/>
        </w:rPr>
        <w:t>Cerebrospinal</w:t>
      </w:r>
      <w:r>
        <w:rPr>
          <w:rFonts w:ascii="Arial"/>
          <w:color w:val="231F20"/>
          <w:spacing w:val="-29"/>
          <w:sz w:val="16"/>
        </w:rPr>
        <w:t> </w:t>
      </w:r>
      <w:r>
        <w:rPr>
          <w:rFonts w:ascii="Arial"/>
          <w:color w:val="231F20"/>
          <w:sz w:val="16"/>
        </w:rPr>
        <w:t>fluid</w:t>
      </w:r>
      <w:r>
        <w:rPr>
          <w:rFonts w:ascii="Arial"/>
          <w:color w:val="231F20"/>
          <w:spacing w:val="-30"/>
          <w:sz w:val="16"/>
        </w:rPr>
        <w:t> </w:t>
      </w:r>
      <w:r>
        <w:rPr>
          <w:rFonts w:ascii="Arial"/>
          <w:color w:val="231F20"/>
          <w:sz w:val="16"/>
        </w:rPr>
        <w:t>secretion</w:t>
      </w:r>
      <w:r>
        <w:rPr>
          <w:rFonts w:ascii="Arial"/>
          <w:color w:val="231F20"/>
          <w:spacing w:val="-29"/>
          <w:sz w:val="16"/>
        </w:rPr>
        <w:t> </w:t>
      </w:r>
      <w:r>
        <w:rPr>
          <w:rFonts w:ascii="Arial"/>
          <w:color w:val="231F20"/>
          <w:spacing w:val="-6"/>
          <w:sz w:val="16"/>
        </w:rPr>
        <w:t>by </w:t>
      </w:r>
      <w:r>
        <w:rPr>
          <w:rFonts w:ascii="Arial"/>
          <w:color w:val="231F20"/>
          <w:sz w:val="16"/>
        </w:rPr>
        <w:t>the choroid plexus. Physiol Rev 93:1847,</w:t>
      </w:r>
      <w:r>
        <w:rPr>
          <w:rFonts w:ascii="Arial"/>
          <w:color w:val="231F20"/>
          <w:spacing w:val="19"/>
          <w:sz w:val="16"/>
        </w:rPr>
        <w:t> </w:t>
      </w:r>
      <w:r>
        <w:rPr>
          <w:rFonts w:ascii="Arial"/>
          <w:color w:val="231F20"/>
          <w:sz w:val="16"/>
        </w:rPr>
        <w:t>2013.</w:t>
      </w:r>
    </w:p>
    <w:p>
      <w:pPr>
        <w:spacing w:line="261" w:lineRule="auto" w:before="0"/>
        <w:ind w:left="479" w:right="1424" w:hanging="160"/>
        <w:jc w:val="left"/>
        <w:rPr>
          <w:rFonts w:ascii="Arial"/>
          <w:sz w:val="16"/>
        </w:rPr>
      </w:pPr>
      <w:r>
        <w:rPr>
          <w:rFonts w:ascii="Arial"/>
          <w:color w:val="231F20"/>
          <w:sz w:val="16"/>
        </w:rPr>
        <w:t>Guyton</w:t>
      </w:r>
      <w:r>
        <w:rPr>
          <w:rFonts w:ascii="Arial"/>
          <w:color w:val="231F20"/>
          <w:spacing w:val="-20"/>
          <w:sz w:val="16"/>
        </w:rPr>
        <w:t> </w:t>
      </w:r>
      <w:r>
        <w:rPr>
          <w:rFonts w:ascii="Arial"/>
          <w:color w:val="231F20"/>
          <w:sz w:val="16"/>
        </w:rPr>
        <w:t>AC,</w:t>
      </w:r>
      <w:r>
        <w:rPr>
          <w:rFonts w:ascii="Arial"/>
          <w:color w:val="231F20"/>
          <w:spacing w:val="-20"/>
          <w:sz w:val="16"/>
        </w:rPr>
        <w:t> </w:t>
      </w:r>
      <w:r>
        <w:rPr>
          <w:rFonts w:ascii="Arial"/>
          <w:color w:val="231F20"/>
          <w:sz w:val="16"/>
        </w:rPr>
        <w:t>Granger</w:t>
      </w:r>
      <w:r>
        <w:rPr>
          <w:rFonts w:ascii="Arial"/>
          <w:color w:val="231F20"/>
          <w:spacing w:val="-20"/>
          <w:sz w:val="16"/>
        </w:rPr>
        <w:t> </w:t>
      </w:r>
      <w:r>
        <w:rPr>
          <w:rFonts w:ascii="Arial"/>
          <w:color w:val="231F20"/>
          <w:sz w:val="16"/>
        </w:rPr>
        <w:t>HJ,</w:t>
      </w:r>
      <w:r>
        <w:rPr>
          <w:rFonts w:ascii="Arial"/>
          <w:color w:val="231F20"/>
          <w:spacing w:val="-20"/>
          <w:sz w:val="16"/>
        </w:rPr>
        <w:t> </w:t>
      </w:r>
      <w:r>
        <w:rPr>
          <w:rFonts w:ascii="Arial"/>
          <w:color w:val="231F20"/>
          <w:spacing w:val="-3"/>
          <w:sz w:val="16"/>
        </w:rPr>
        <w:t>Taylor</w:t>
      </w:r>
      <w:r>
        <w:rPr>
          <w:rFonts w:ascii="Arial"/>
          <w:color w:val="231F20"/>
          <w:spacing w:val="-19"/>
          <w:sz w:val="16"/>
        </w:rPr>
        <w:t> </w:t>
      </w:r>
      <w:r>
        <w:rPr>
          <w:rFonts w:ascii="Arial"/>
          <w:color w:val="231F20"/>
          <w:sz w:val="16"/>
        </w:rPr>
        <w:t>AE:</w:t>
      </w:r>
      <w:r>
        <w:rPr>
          <w:rFonts w:ascii="Arial"/>
          <w:color w:val="231F20"/>
          <w:spacing w:val="-20"/>
          <w:sz w:val="16"/>
        </w:rPr>
        <w:t> </w:t>
      </w:r>
      <w:r>
        <w:rPr>
          <w:rFonts w:ascii="Arial"/>
          <w:color w:val="231F20"/>
          <w:sz w:val="16"/>
        </w:rPr>
        <w:t>Interstitial</w:t>
      </w:r>
      <w:r>
        <w:rPr>
          <w:rFonts w:ascii="Arial"/>
          <w:color w:val="231F20"/>
          <w:spacing w:val="-20"/>
          <w:sz w:val="16"/>
        </w:rPr>
        <w:t> </w:t>
      </w:r>
      <w:r>
        <w:rPr>
          <w:rFonts w:ascii="Arial"/>
          <w:color w:val="231F20"/>
          <w:sz w:val="16"/>
        </w:rPr>
        <w:t>fluid</w:t>
      </w:r>
      <w:r>
        <w:rPr>
          <w:rFonts w:ascii="Arial"/>
          <w:color w:val="231F20"/>
          <w:spacing w:val="-20"/>
          <w:sz w:val="16"/>
        </w:rPr>
        <w:t> </w:t>
      </w:r>
      <w:r>
        <w:rPr>
          <w:rFonts w:ascii="Arial"/>
          <w:color w:val="231F20"/>
          <w:sz w:val="16"/>
        </w:rPr>
        <w:t>pressure.</w:t>
      </w:r>
      <w:r>
        <w:rPr>
          <w:rFonts w:ascii="Arial"/>
          <w:color w:val="231F20"/>
          <w:spacing w:val="-20"/>
          <w:sz w:val="16"/>
        </w:rPr>
        <w:t> </w:t>
      </w:r>
      <w:r>
        <w:rPr>
          <w:rFonts w:ascii="Arial"/>
          <w:color w:val="231F20"/>
          <w:sz w:val="16"/>
        </w:rPr>
        <w:t>Physiol Rev 51:527,</w:t>
      </w:r>
      <w:r>
        <w:rPr>
          <w:rFonts w:ascii="Arial"/>
          <w:color w:val="231F20"/>
          <w:spacing w:val="14"/>
          <w:sz w:val="16"/>
        </w:rPr>
        <w:t> </w:t>
      </w:r>
      <w:r>
        <w:rPr>
          <w:rFonts w:ascii="Arial"/>
          <w:color w:val="231F20"/>
          <w:sz w:val="16"/>
        </w:rPr>
        <w:t>1971.</w:t>
      </w:r>
    </w:p>
    <w:p>
      <w:pPr>
        <w:spacing w:line="261" w:lineRule="auto" w:before="0"/>
        <w:ind w:left="479" w:right="1341" w:hanging="160"/>
        <w:jc w:val="left"/>
        <w:rPr>
          <w:rFonts w:ascii="Arial"/>
          <w:sz w:val="16"/>
        </w:rPr>
      </w:pPr>
      <w:r>
        <w:rPr>
          <w:rFonts w:ascii="Arial"/>
          <w:color w:val="231F20"/>
          <w:sz w:val="16"/>
        </w:rPr>
        <w:t>Jovanovich AJ, Berl T: Where vaptans do and do not fit in the treat- ment of hyponatremia. Kidney Int 83:563, 2013.</w:t>
      </w:r>
    </w:p>
    <w:p>
      <w:pPr>
        <w:spacing w:line="261" w:lineRule="auto" w:before="0"/>
        <w:ind w:left="479" w:right="1425" w:hanging="160"/>
        <w:jc w:val="left"/>
        <w:rPr>
          <w:rFonts w:ascii="Arial"/>
          <w:sz w:val="16"/>
        </w:rPr>
      </w:pPr>
      <w:r>
        <w:rPr>
          <w:rFonts w:ascii="Arial"/>
          <w:color w:val="231F20"/>
          <w:sz w:val="16"/>
        </w:rPr>
        <w:t>Jussila</w:t>
      </w:r>
      <w:r>
        <w:rPr>
          <w:rFonts w:ascii="Arial"/>
          <w:color w:val="231F20"/>
          <w:spacing w:val="-20"/>
          <w:sz w:val="16"/>
        </w:rPr>
        <w:t> </w:t>
      </w:r>
      <w:r>
        <w:rPr>
          <w:rFonts w:ascii="Arial"/>
          <w:color w:val="231F20"/>
          <w:sz w:val="16"/>
        </w:rPr>
        <w:t>L,</w:t>
      </w:r>
      <w:r>
        <w:rPr>
          <w:rFonts w:ascii="Arial"/>
          <w:color w:val="231F20"/>
          <w:spacing w:val="-19"/>
          <w:sz w:val="16"/>
        </w:rPr>
        <w:t> </w:t>
      </w:r>
      <w:r>
        <w:rPr>
          <w:rFonts w:ascii="Arial"/>
          <w:color w:val="231F20"/>
          <w:sz w:val="16"/>
        </w:rPr>
        <w:t>Alitalo</w:t>
      </w:r>
      <w:r>
        <w:rPr>
          <w:rFonts w:ascii="Arial"/>
          <w:color w:val="231F20"/>
          <w:spacing w:val="-20"/>
          <w:sz w:val="16"/>
        </w:rPr>
        <w:t> </w:t>
      </w:r>
      <w:r>
        <w:rPr>
          <w:rFonts w:ascii="Arial"/>
          <w:color w:val="231F20"/>
          <w:sz w:val="16"/>
        </w:rPr>
        <w:t>K:</w:t>
      </w:r>
      <w:r>
        <w:rPr>
          <w:rFonts w:ascii="Arial"/>
          <w:color w:val="231F20"/>
          <w:spacing w:val="-19"/>
          <w:sz w:val="16"/>
        </w:rPr>
        <w:t> </w:t>
      </w:r>
      <w:r>
        <w:rPr>
          <w:rFonts w:ascii="Arial"/>
          <w:color w:val="231F20"/>
          <w:sz w:val="16"/>
        </w:rPr>
        <w:t>Vascular</w:t>
      </w:r>
      <w:r>
        <w:rPr>
          <w:rFonts w:ascii="Arial"/>
          <w:color w:val="231F20"/>
          <w:spacing w:val="-19"/>
          <w:sz w:val="16"/>
        </w:rPr>
        <w:t> </w:t>
      </w:r>
      <w:r>
        <w:rPr>
          <w:rFonts w:ascii="Arial"/>
          <w:color w:val="231F20"/>
          <w:sz w:val="16"/>
        </w:rPr>
        <w:t>growth</w:t>
      </w:r>
      <w:r>
        <w:rPr>
          <w:rFonts w:ascii="Arial"/>
          <w:color w:val="231F20"/>
          <w:spacing w:val="-20"/>
          <w:sz w:val="16"/>
        </w:rPr>
        <w:t> </w:t>
      </w:r>
      <w:r>
        <w:rPr>
          <w:rFonts w:ascii="Arial"/>
          <w:color w:val="231F20"/>
          <w:sz w:val="16"/>
        </w:rPr>
        <w:t>factors</w:t>
      </w:r>
      <w:r>
        <w:rPr>
          <w:rFonts w:ascii="Arial"/>
          <w:color w:val="231F20"/>
          <w:spacing w:val="-19"/>
          <w:sz w:val="16"/>
        </w:rPr>
        <w:t> </w:t>
      </w:r>
      <w:r>
        <w:rPr>
          <w:rFonts w:ascii="Arial"/>
          <w:color w:val="231F20"/>
          <w:sz w:val="16"/>
        </w:rPr>
        <w:t>and</w:t>
      </w:r>
      <w:r>
        <w:rPr>
          <w:rFonts w:ascii="Arial"/>
          <w:color w:val="231F20"/>
          <w:spacing w:val="-19"/>
          <w:sz w:val="16"/>
        </w:rPr>
        <w:t> </w:t>
      </w:r>
      <w:r>
        <w:rPr>
          <w:rFonts w:ascii="Arial"/>
          <w:color w:val="231F20"/>
          <w:sz w:val="16"/>
        </w:rPr>
        <w:t>lymphangiogenesis. Physiol Rev 82:673,</w:t>
      </w:r>
      <w:r>
        <w:rPr>
          <w:rFonts w:ascii="Arial"/>
          <w:color w:val="231F20"/>
          <w:spacing w:val="18"/>
          <w:sz w:val="16"/>
        </w:rPr>
        <w:t> </w:t>
      </w:r>
      <w:r>
        <w:rPr>
          <w:rFonts w:ascii="Arial"/>
          <w:color w:val="231F20"/>
          <w:sz w:val="16"/>
        </w:rPr>
        <w:t>2002.</w:t>
      </w:r>
    </w:p>
    <w:p>
      <w:pPr>
        <w:spacing w:line="261" w:lineRule="auto" w:before="0"/>
        <w:ind w:left="479" w:right="1427" w:hanging="160"/>
        <w:jc w:val="left"/>
        <w:rPr>
          <w:rFonts w:ascii="Arial"/>
          <w:sz w:val="16"/>
        </w:rPr>
      </w:pPr>
      <w:r>
        <w:rPr>
          <w:rFonts w:ascii="Arial"/>
          <w:color w:val="231F20"/>
          <w:sz w:val="16"/>
        </w:rPr>
        <w:t>Lindner</w:t>
      </w:r>
      <w:r>
        <w:rPr>
          <w:rFonts w:ascii="Arial"/>
          <w:color w:val="231F20"/>
          <w:spacing w:val="-25"/>
          <w:sz w:val="16"/>
        </w:rPr>
        <w:t> </w:t>
      </w:r>
      <w:r>
        <w:rPr>
          <w:rFonts w:ascii="Arial"/>
          <w:color w:val="231F20"/>
          <w:sz w:val="16"/>
        </w:rPr>
        <w:t>G,</w:t>
      </w:r>
      <w:r>
        <w:rPr>
          <w:rFonts w:ascii="Arial"/>
          <w:color w:val="231F20"/>
          <w:spacing w:val="-24"/>
          <w:sz w:val="16"/>
        </w:rPr>
        <w:t> </w:t>
      </w:r>
      <w:r>
        <w:rPr>
          <w:rFonts w:ascii="Arial"/>
          <w:color w:val="231F20"/>
          <w:sz w:val="16"/>
        </w:rPr>
        <w:t>Funk</w:t>
      </w:r>
      <w:r>
        <w:rPr>
          <w:rFonts w:ascii="Arial"/>
          <w:color w:val="231F20"/>
          <w:spacing w:val="-25"/>
          <w:sz w:val="16"/>
        </w:rPr>
        <w:t> </w:t>
      </w:r>
      <w:r>
        <w:rPr>
          <w:rFonts w:ascii="Arial"/>
          <w:color w:val="231F20"/>
          <w:sz w:val="16"/>
        </w:rPr>
        <w:t>GC:</w:t>
      </w:r>
      <w:r>
        <w:rPr>
          <w:rFonts w:ascii="Arial"/>
          <w:color w:val="231F20"/>
          <w:spacing w:val="-24"/>
          <w:sz w:val="16"/>
        </w:rPr>
        <w:t> </w:t>
      </w:r>
      <w:r>
        <w:rPr>
          <w:rFonts w:ascii="Arial"/>
          <w:color w:val="231F20"/>
          <w:sz w:val="16"/>
        </w:rPr>
        <w:t>Hypernatremia</w:t>
      </w:r>
      <w:r>
        <w:rPr>
          <w:rFonts w:ascii="Arial"/>
          <w:color w:val="231F20"/>
          <w:spacing w:val="-25"/>
          <w:sz w:val="16"/>
        </w:rPr>
        <w:t> </w:t>
      </w:r>
      <w:r>
        <w:rPr>
          <w:rFonts w:ascii="Arial"/>
          <w:color w:val="231F20"/>
          <w:sz w:val="16"/>
        </w:rPr>
        <w:t>in</w:t>
      </w:r>
      <w:r>
        <w:rPr>
          <w:rFonts w:ascii="Arial"/>
          <w:color w:val="231F20"/>
          <w:spacing w:val="-24"/>
          <w:sz w:val="16"/>
        </w:rPr>
        <w:t> </w:t>
      </w:r>
      <w:r>
        <w:rPr>
          <w:rFonts w:ascii="Arial"/>
          <w:color w:val="231F20"/>
          <w:sz w:val="16"/>
        </w:rPr>
        <w:t>critically</w:t>
      </w:r>
      <w:r>
        <w:rPr>
          <w:rFonts w:ascii="Arial"/>
          <w:color w:val="231F20"/>
          <w:spacing w:val="-24"/>
          <w:sz w:val="16"/>
        </w:rPr>
        <w:t> </w:t>
      </w:r>
      <w:r>
        <w:rPr>
          <w:rFonts w:ascii="Arial"/>
          <w:color w:val="231F20"/>
          <w:sz w:val="16"/>
        </w:rPr>
        <w:t>ill</w:t>
      </w:r>
      <w:r>
        <w:rPr>
          <w:rFonts w:ascii="Arial"/>
          <w:color w:val="231F20"/>
          <w:spacing w:val="-25"/>
          <w:sz w:val="16"/>
        </w:rPr>
        <w:t> </w:t>
      </w:r>
      <w:r>
        <w:rPr>
          <w:rFonts w:ascii="Arial"/>
          <w:color w:val="231F20"/>
          <w:sz w:val="16"/>
        </w:rPr>
        <w:t>patients.</w:t>
      </w:r>
      <w:r>
        <w:rPr>
          <w:rFonts w:ascii="Arial"/>
          <w:color w:val="231F20"/>
          <w:spacing w:val="-24"/>
          <w:sz w:val="16"/>
        </w:rPr>
        <w:t> </w:t>
      </w:r>
      <w:r>
        <w:rPr>
          <w:rFonts w:ascii="Arial"/>
          <w:color w:val="231F20"/>
          <w:sz w:val="16"/>
        </w:rPr>
        <w:t>J</w:t>
      </w:r>
      <w:r>
        <w:rPr>
          <w:rFonts w:ascii="Arial"/>
          <w:color w:val="231F20"/>
          <w:spacing w:val="-25"/>
          <w:sz w:val="16"/>
        </w:rPr>
        <w:t> </w:t>
      </w:r>
      <w:r>
        <w:rPr>
          <w:rFonts w:ascii="Arial"/>
          <w:color w:val="231F20"/>
          <w:sz w:val="16"/>
        </w:rPr>
        <w:t>Crit</w:t>
      </w:r>
      <w:r>
        <w:rPr>
          <w:rFonts w:ascii="Arial"/>
          <w:color w:val="231F20"/>
          <w:spacing w:val="-24"/>
          <w:sz w:val="16"/>
        </w:rPr>
        <w:t> </w:t>
      </w:r>
      <w:r>
        <w:rPr>
          <w:rFonts w:ascii="Arial"/>
          <w:color w:val="231F20"/>
          <w:spacing w:val="-5"/>
          <w:sz w:val="16"/>
        </w:rPr>
        <w:t>Care </w:t>
      </w:r>
      <w:r>
        <w:rPr>
          <w:rFonts w:ascii="Arial"/>
          <w:color w:val="231F20"/>
          <w:sz w:val="16"/>
        </w:rPr>
        <w:t>28:216.e11,</w:t>
      </w:r>
      <w:r>
        <w:rPr>
          <w:rFonts w:ascii="Arial"/>
          <w:color w:val="231F20"/>
          <w:spacing w:val="7"/>
          <w:sz w:val="16"/>
        </w:rPr>
        <w:t> </w:t>
      </w:r>
      <w:r>
        <w:rPr>
          <w:rFonts w:ascii="Arial"/>
          <w:color w:val="231F20"/>
          <w:sz w:val="16"/>
        </w:rPr>
        <w:t>2013.</w:t>
      </w:r>
    </w:p>
    <w:p>
      <w:pPr>
        <w:spacing w:after="0" w:line="261" w:lineRule="auto"/>
        <w:jc w:val="left"/>
        <w:rPr>
          <w:rFonts w:ascii="Arial"/>
          <w:sz w:val="16"/>
        </w:rPr>
        <w:sectPr>
          <w:type w:val="continuous"/>
          <w:pgSz w:w="12240" w:h="15660"/>
          <w:pgMar w:top="0" w:bottom="760" w:left="0" w:right="0"/>
          <w:cols w:num="2" w:equalWidth="0">
            <w:col w:w="5761" w:space="40"/>
            <w:col w:w="6439"/>
          </w:cols>
        </w:sect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23"/>
        </w:rPr>
      </w:pPr>
    </w:p>
    <w:p>
      <w:pPr>
        <w:spacing w:after="0"/>
        <w:rPr>
          <w:rFonts w:ascii="Arial"/>
          <w:sz w:val="23"/>
        </w:rPr>
        <w:sectPr>
          <w:headerReference w:type="default" r:id="rId82"/>
          <w:pgSz w:w="12240" w:h="15660"/>
          <w:pgMar w:header="0" w:footer="567" w:top="0" w:bottom="760" w:left="0" w:right="0"/>
        </w:sectPr>
      </w:pPr>
    </w:p>
    <w:p>
      <w:pPr>
        <w:spacing w:line="261" w:lineRule="auto" w:before="96"/>
        <w:ind w:left="1600" w:right="0" w:hanging="160"/>
        <w:jc w:val="both"/>
        <w:rPr>
          <w:rFonts w:ascii="Arial"/>
          <w:sz w:val="16"/>
        </w:rPr>
      </w:pPr>
      <w:r>
        <w:rPr>
          <w:rFonts w:ascii="Arial"/>
          <w:color w:val="231F20"/>
          <w:sz w:val="16"/>
        </w:rPr>
        <w:t>Murdaca G, Cagnati P, Gulli R, et al: Current views on diagnostic approach and treatment of lymphedema. Am J Med 125:134, 2012.</w:t>
      </w:r>
    </w:p>
    <w:p>
      <w:pPr>
        <w:spacing w:line="261" w:lineRule="auto" w:before="0"/>
        <w:ind w:left="1600" w:right="0" w:hanging="160"/>
        <w:jc w:val="both"/>
        <w:rPr>
          <w:rFonts w:ascii="Arial"/>
          <w:sz w:val="16"/>
        </w:rPr>
      </w:pPr>
      <w:r>
        <w:rPr>
          <w:rFonts w:ascii="Arial"/>
          <w:color w:val="231F20"/>
          <w:w w:val="95"/>
          <w:sz w:val="16"/>
        </w:rPr>
        <w:t>Oliver G, Srinivasan RS: Lymphatic vasculature development: current </w:t>
      </w:r>
      <w:r>
        <w:rPr>
          <w:rFonts w:ascii="Arial"/>
          <w:color w:val="231F20"/>
          <w:sz w:val="16"/>
        </w:rPr>
        <w:t>concepts. Ann N Y Acad Sci 1131:75, 2008.</w:t>
      </w:r>
    </w:p>
    <w:p>
      <w:pPr>
        <w:spacing w:line="261" w:lineRule="auto" w:before="0"/>
        <w:ind w:left="1600" w:right="0" w:hanging="160"/>
        <w:jc w:val="both"/>
        <w:rPr>
          <w:rFonts w:ascii="Arial"/>
          <w:sz w:val="16"/>
        </w:rPr>
      </w:pPr>
      <w:r>
        <w:rPr>
          <w:rFonts w:ascii="Arial"/>
          <w:color w:val="231F20"/>
          <w:sz w:val="16"/>
        </w:rPr>
        <w:t>Parker</w:t>
      </w:r>
      <w:r>
        <w:rPr>
          <w:rFonts w:ascii="Arial"/>
          <w:color w:val="231F20"/>
          <w:spacing w:val="-33"/>
          <w:sz w:val="16"/>
        </w:rPr>
        <w:t> </w:t>
      </w:r>
      <w:r>
        <w:rPr>
          <w:rFonts w:ascii="Arial"/>
          <w:color w:val="231F20"/>
          <w:sz w:val="16"/>
        </w:rPr>
        <w:t>JC:</w:t>
      </w:r>
      <w:r>
        <w:rPr>
          <w:rFonts w:ascii="Arial"/>
          <w:color w:val="231F20"/>
          <w:spacing w:val="-32"/>
          <w:sz w:val="16"/>
        </w:rPr>
        <w:t> </w:t>
      </w:r>
      <w:r>
        <w:rPr>
          <w:rFonts w:ascii="Arial"/>
          <w:color w:val="231F20"/>
          <w:sz w:val="16"/>
        </w:rPr>
        <w:t>Hydraulic</w:t>
      </w:r>
      <w:r>
        <w:rPr>
          <w:rFonts w:ascii="Arial"/>
          <w:color w:val="231F20"/>
          <w:spacing w:val="-32"/>
          <w:sz w:val="16"/>
        </w:rPr>
        <w:t> </w:t>
      </w:r>
      <w:r>
        <w:rPr>
          <w:rFonts w:ascii="Arial"/>
          <w:color w:val="231F20"/>
          <w:sz w:val="16"/>
        </w:rPr>
        <w:t>conductance</w:t>
      </w:r>
      <w:r>
        <w:rPr>
          <w:rFonts w:ascii="Arial"/>
          <w:color w:val="231F20"/>
          <w:spacing w:val="-32"/>
          <w:sz w:val="16"/>
        </w:rPr>
        <w:t> </w:t>
      </w:r>
      <w:r>
        <w:rPr>
          <w:rFonts w:ascii="Arial"/>
          <w:color w:val="231F20"/>
          <w:sz w:val="16"/>
        </w:rPr>
        <w:t>of</w:t>
      </w:r>
      <w:r>
        <w:rPr>
          <w:rFonts w:ascii="Arial"/>
          <w:color w:val="231F20"/>
          <w:spacing w:val="-32"/>
          <w:sz w:val="16"/>
        </w:rPr>
        <w:t> </w:t>
      </w:r>
      <w:r>
        <w:rPr>
          <w:rFonts w:ascii="Arial"/>
          <w:color w:val="231F20"/>
          <w:sz w:val="16"/>
        </w:rPr>
        <w:t>lung</w:t>
      </w:r>
      <w:r>
        <w:rPr>
          <w:rFonts w:ascii="Arial"/>
          <w:color w:val="231F20"/>
          <w:spacing w:val="-32"/>
          <w:sz w:val="16"/>
        </w:rPr>
        <w:t> </w:t>
      </w:r>
      <w:r>
        <w:rPr>
          <w:rFonts w:ascii="Arial"/>
          <w:color w:val="231F20"/>
          <w:sz w:val="16"/>
        </w:rPr>
        <w:t>endothelial</w:t>
      </w:r>
      <w:r>
        <w:rPr>
          <w:rFonts w:ascii="Arial"/>
          <w:color w:val="231F20"/>
          <w:spacing w:val="-32"/>
          <w:sz w:val="16"/>
        </w:rPr>
        <w:t> </w:t>
      </w:r>
      <w:r>
        <w:rPr>
          <w:rFonts w:ascii="Arial"/>
          <w:color w:val="231F20"/>
          <w:sz w:val="16"/>
        </w:rPr>
        <w:t>phenotypes</w:t>
      </w:r>
      <w:r>
        <w:rPr>
          <w:rFonts w:ascii="Arial"/>
          <w:color w:val="231F20"/>
          <w:spacing w:val="-32"/>
          <w:sz w:val="16"/>
        </w:rPr>
        <w:t> </w:t>
      </w:r>
      <w:r>
        <w:rPr>
          <w:rFonts w:ascii="Arial"/>
          <w:color w:val="231F20"/>
          <w:spacing w:val="-5"/>
          <w:sz w:val="16"/>
        </w:rPr>
        <w:t>and </w:t>
      </w:r>
      <w:r>
        <w:rPr>
          <w:rFonts w:ascii="Arial"/>
          <w:color w:val="231F20"/>
          <w:sz w:val="16"/>
        </w:rPr>
        <w:t>Starling</w:t>
      </w:r>
      <w:r>
        <w:rPr>
          <w:rFonts w:ascii="Arial"/>
          <w:color w:val="231F20"/>
          <w:spacing w:val="-15"/>
          <w:sz w:val="16"/>
        </w:rPr>
        <w:t> </w:t>
      </w:r>
      <w:r>
        <w:rPr>
          <w:rFonts w:ascii="Arial"/>
          <w:color w:val="231F20"/>
          <w:sz w:val="16"/>
        </w:rPr>
        <w:t>safety</w:t>
      </w:r>
      <w:r>
        <w:rPr>
          <w:rFonts w:ascii="Arial"/>
          <w:color w:val="231F20"/>
          <w:spacing w:val="-14"/>
          <w:sz w:val="16"/>
        </w:rPr>
        <w:t> </w:t>
      </w:r>
      <w:r>
        <w:rPr>
          <w:rFonts w:ascii="Arial"/>
          <w:color w:val="231F20"/>
          <w:sz w:val="16"/>
        </w:rPr>
        <w:t>factors</w:t>
      </w:r>
      <w:r>
        <w:rPr>
          <w:rFonts w:ascii="Arial"/>
          <w:color w:val="231F20"/>
          <w:spacing w:val="-15"/>
          <w:sz w:val="16"/>
        </w:rPr>
        <w:t> </w:t>
      </w:r>
      <w:r>
        <w:rPr>
          <w:rFonts w:ascii="Arial"/>
          <w:color w:val="231F20"/>
          <w:sz w:val="16"/>
        </w:rPr>
        <w:t>against</w:t>
      </w:r>
      <w:r>
        <w:rPr>
          <w:rFonts w:ascii="Arial"/>
          <w:color w:val="231F20"/>
          <w:spacing w:val="-14"/>
          <w:sz w:val="16"/>
        </w:rPr>
        <w:t> </w:t>
      </w:r>
      <w:r>
        <w:rPr>
          <w:rFonts w:ascii="Arial"/>
          <w:color w:val="231F20"/>
          <w:sz w:val="16"/>
        </w:rPr>
        <w:t>edema.</w:t>
      </w:r>
      <w:r>
        <w:rPr>
          <w:rFonts w:ascii="Arial"/>
          <w:color w:val="231F20"/>
          <w:spacing w:val="-15"/>
          <w:sz w:val="16"/>
        </w:rPr>
        <w:t> </w:t>
      </w:r>
      <w:r>
        <w:rPr>
          <w:rFonts w:ascii="Arial"/>
          <w:color w:val="231F20"/>
          <w:sz w:val="16"/>
        </w:rPr>
        <w:t>Am</w:t>
      </w:r>
      <w:r>
        <w:rPr>
          <w:rFonts w:ascii="Arial"/>
          <w:color w:val="231F20"/>
          <w:spacing w:val="-14"/>
          <w:sz w:val="16"/>
        </w:rPr>
        <w:t> </w:t>
      </w:r>
      <w:r>
        <w:rPr>
          <w:rFonts w:ascii="Arial"/>
          <w:color w:val="231F20"/>
          <w:sz w:val="16"/>
        </w:rPr>
        <w:t>J</w:t>
      </w:r>
      <w:r>
        <w:rPr>
          <w:rFonts w:ascii="Arial"/>
          <w:color w:val="231F20"/>
          <w:spacing w:val="-15"/>
          <w:sz w:val="16"/>
        </w:rPr>
        <w:t> </w:t>
      </w:r>
      <w:r>
        <w:rPr>
          <w:rFonts w:ascii="Arial"/>
          <w:color w:val="231F20"/>
          <w:sz w:val="16"/>
        </w:rPr>
        <w:t>Physiol</w:t>
      </w:r>
      <w:r>
        <w:rPr>
          <w:rFonts w:ascii="Arial"/>
          <w:color w:val="231F20"/>
          <w:spacing w:val="-14"/>
          <w:sz w:val="16"/>
        </w:rPr>
        <w:t> </w:t>
      </w:r>
      <w:r>
        <w:rPr>
          <w:rFonts w:ascii="Arial"/>
          <w:color w:val="231F20"/>
          <w:sz w:val="16"/>
        </w:rPr>
        <w:t>Lung</w:t>
      </w:r>
      <w:r>
        <w:rPr>
          <w:rFonts w:ascii="Arial"/>
          <w:color w:val="231F20"/>
          <w:spacing w:val="-15"/>
          <w:sz w:val="16"/>
        </w:rPr>
        <w:t> </w:t>
      </w:r>
      <w:r>
        <w:rPr>
          <w:rFonts w:ascii="Arial"/>
          <w:color w:val="231F20"/>
          <w:sz w:val="16"/>
        </w:rPr>
        <w:t>Cell</w:t>
      </w:r>
      <w:r>
        <w:rPr>
          <w:rFonts w:ascii="Arial"/>
          <w:color w:val="231F20"/>
          <w:spacing w:val="-14"/>
          <w:sz w:val="16"/>
        </w:rPr>
        <w:t> </w:t>
      </w:r>
      <w:r>
        <w:rPr>
          <w:rFonts w:ascii="Arial"/>
          <w:color w:val="231F20"/>
          <w:spacing w:val="-5"/>
          <w:sz w:val="16"/>
        </w:rPr>
        <w:t>Mol </w:t>
      </w:r>
      <w:r>
        <w:rPr>
          <w:rFonts w:ascii="Arial"/>
          <w:color w:val="231F20"/>
          <w:sz w:val="16"/>
        </w:rPr>
        <w:t>Physiol 292:L378,</w:t>
      </w:r>
      <w:r>
        <w:rPr>
          <w:rFonts w:ascii="Arial"/>
          <w:color w:val="231F20"/>
          <w:spacing w:val="13"/>
          <w:sz w:val="16"/>
        </w:rPr>
        <w:t> </w:t>
      </w:r>
      <w:r>
        <w:rPr>
          <w:rFonts w:ascii="Arial"/>
          <w:color w:val="231F20"/>
          <w:sz w:val="16"/>
        </w:rPr>
        <w:t>2007.</w:t>
      </w:r>
    </w:p>
    <w:p>
      <w:pPr>
        <w:spacing w:line="261" w:lineRule="auto" w:before="0"/>
        <w:ind w:left="1600" w:right="0" w:hanging="160"/>
        <w:jc w:val="both"/>
        <w:rPr>
          <w:rFonts w:ascii="Arial"/>
          <w:sz w:val="16"/>
        </w:rPr>
      </w:pPr>
      <w:r>
        <w:rPr>
          <w:rFonts w:ascii="Arial"/>
          <w:color w:val="231F20"/>
          <w:sz w:val="16"/>
        </w:rPr>
        <w:t>Planas-Paz</w:t>
      </w:r>
      <w:r>
        <w:rPr>
          <w:rFonts w:ascii="Arial"/>
          <w:color w:val="231F20"/>
          <w:spacing w:val="-8"/>
          <w:sz w:val="16"/>
        </w:rPr>
        <w:t> </w:t>
      </w:r>
      <w:r>
        <w:rPr>
          <w:rFonts w:ascii="Arial"/>
          <w:color w:val="231F20"/>
          <w:sz w:val="16"/>
        </w:rPr>
        <w:t>L,</w:t>
      </w:r>
      <w:r>
        <w:rPr>
          <w:rFonts w:ascii="Arial"/>
          <w:color w:val="231F20"/>
          <w:spacing w:val="-7"/>
          <w:sz w:val="16"/>
        </w:rPr>
        <w:t> </w:t>
      </w:r>
      <w:r>
        <w:rPr>
          <w:rFonts w:ascii="Arial"/>
          <w:color w:val="231F20"/>
          <w:sz w:val="16"/>
        </w:rPr>
        <w:t>Lammert</w:t>
      </w:r>
      <w:r>
        <w:rPr>
          <w:rFonts w:ascii="Arial"/>
          <w:color w:val="231F20"/>
          <w:spacing w:val="-8"/>
          <w:sz w:val="16"/>
        </w:rPr>
        <w:t> </w:t>
      </w:r>
      <w:r>
        <w:rPr>
          <w:rFonts w:ascii="Arial"/>
          <w:color w:val="231F20"/>
          <w:sz w:val="16"/>
        </w:rPr>
        <w:t>E:</w:t>
      </w:r>
      <w:r>
        <w:rPr>
          <w:rFonts w:ascii="Arial"/>
          <w:color w:val="231F20"/>
          <w:spacing w:val="-7"/>
          <w:sz w:val="16"/>
        </w:rPr>
        <w:t> </w:t>
      </w:r>
      <w:r>
        <w:rPr>
          <w:rFonts w:ascii="Arial"/>
          <w:color w:val="231F20"/>
          <w:sz w:val="16"/>
        </w:rPr>
        <w:t>Mechanical</w:t>
      </w:r>
      <w:r>
        <w:rPr>
          <w:rFonts w:ascii="Arial"/>
          <w:color w:val="231F20"/>
          <w:spacing w:val="-8"/>
          <w:sz w:val="16"/>
        </w:rPr>
        <w:t> </w:t>
      </w:r>
      <w:r>
        <w:rPr>
          <w:rFonts w:ascii="Arial"/>
          <w:color w:val="231F20"/>
          <w:sz w:val="16"/>
        </w:rPr>
        <w:t>forces</w:t>
      </w:r>
      <w:r>
        <w:rPr>
          <w:rFonts w:ascii="Arial"/>
          <w:color w:val="231F20"/>
          <w:spacing w:val="-7"/>
          <w:sz w:val="16"/>
        </w:rPr>
        <w:t> </w:t>
      </w:r>
      <w:r>
        <w:rPr>
          <w:rFonts w:ascii="Arial"/>
          <w:color w:val="231F20"/>
          <w:sz w:val="16"/>
        </w:rPr>
        <w:t>in</w:t>
      </w:r>
      <w:r>
        <w:rPr>
          <w:rFonts w:ascii="Arial"/>
          <w:color w:val="231F20"/>
          <w:spacing w:val="-8"/>
          <w:sz w:val="16"/>
        </w:rPr>
        <w:t> </w:t>
      </w:r>
      <w:r>
        <w:rPr>
          <w:rFonts w:ascii="Arial"/>
          <w:color w:val="231F20"/>
          <w:sz w:val="16"/>
        </w:rPr>
        <w:t>lymphatic</w:t>
      </w:r>
      <w:r>
        <w:rPr>
          <w:rFonts w:ascii="Arial"/>
          <w:color w:val="231F20"/>
          <w:spacing w:val="-7"/>
          <w:sz w:val="16"/>
        </w:rPr>
        <w:t> </w:t>
      </w:r>
      <w:r>
        <w:rPr>
          <w:rFonts w:ascii="Arial"/>
          <w:color w:val="231F20"/>
          <w:sz w:val="16"/>
        </w:rPr>
        <w:t>vascular development and disease. Cell Mol Life Sci 70:4341,</w:t>
      </w:r>
      <w:r>
        <w:rPr>
          <w:rFonts w:ascii="Arial"/>
          <w:color w:val="231F20"/>
          <w:spacing w:val="-15"/>
          <w:sz w:val="16"/>
        </w:rPr>
        <w:t> </w:t>
      </w:r>
      <w:r>
        <w:rPr>
          <w:rFonts w:ascii="Arial"/>
          <w:color w:val="231F20"/>
          <w:sz w:val="16"/>
        </w:rPr>
        <w:t>2013.</w:t>
      </w:r>
    </w:p>
    <w:p>
      <w:pPr>
        <w:spacing w:line="261" w:lineRule="auto" w:before="0"/>
        <w:ind w:left="1600" w:right="0" w:hanging="160"/>
        <w:jc w:val="both"/>
        <w:rPr>
          <w:rFonts w:ascii="Arial"/>
          <w:sz w:val="16"/>
        </w:rPr>
      </w:pPr>
      <w:r>
        <w:rPr/>
        <w:pict>
          <v:rect style="position:absolute;margin-left:576pt;margin-top:39.231934pt;width:36pt;height:24pt;mso-position-horizontal-relative:page;mso-position-vertical-relative:paragraph;z-index:251795456" filled="true" fillcolor="#e8dac8" stroked="false">
            <v:fill type="solid"/>
            <w10:wrap type="none"/>
          </v:rect>
        </w:pict>
      </w:r>
      <w:r>
        <w:rPr>
          <w:rFonts w:ascii="Arial"/>
          <w:color w:val="231F20"/>
          <w:sz w:val="16"/>
        </w:rPr>
        <w:t>Sam</w:t>
      </w:r>
      <w:r>
        <w:rPr>
          <w:rFonts w:ascii="Arial"/>
          <w:color w:val="231F20"/>
          <w:spacing w:val="-7"/>
          <w:sz w:val="16"/>
        </w:rPr>
        <w:t> </w:t>
      </w:r>
      <w:r>
        <w:rPr>
          <w:rFonts w:ascii="Arial"/>
          <w:color w:val="231F20"/>
          <w:sz w:val="16"/>
        </w:rPr>
        <w:t>R,</w:t>
      </w:r>
      <w:r>
        <w:rPr>
          <w:rFonts w:ascii="Arial"/>
          <w:color w:val="231F20"/>
          <w:spacing w:val="-7"/>
          <w:sz w:val="16"/>
        </w:rPr>
        <w:t> </w:t>
      </w:r>
      <w:r>
        <w:rPr>
          <w:rFonts w:ascii="Arial"/>
          <w:color w:val="231F20"/>
          <w:sz w:val="16"/>
        </w:rPr>
        <w:t>Feizi</w:t>
      </w:r>
      <w:r>
        <w:rPr>
          <w:rFonts w:ascii="Arial"/>
          <w:color w:val="231F20"/>
          <w:spacing w:val="-7"/>
          <w:sz w:val="16"/>
        </w:rPr>
        <w:t> </w:t>
      </w:r>
      <w:r>
        <w:rPr>
          <w:rFonts w:ascii="Arial"/>
          <w:color w:val="231F20"/>
          <w:sz w:val="16"/>
        </w:rPr>
        <w:t>I:</w:t>
      </w:r>
      <w:r>
        <w:rPr>
          <w:rFonts w:ascii="Arial"/>
          <w:color w:val="231F20"/>
          <w:spacing w:val="-7"/>
          <w:sz w:val="16"/>
        </w:rPr>
        <w:t> </w:t>
      </w:r>
      <w:r>
        <w:rPr>
          <w:rFonts w:ascii="Arial"/>
          <w:color w:val="231F20"/>
          <w:sz w:val="16"/>
        </w:rPr>
        <w:t>Understanding</w:t>
      </w:r>
      <w:r>
        <w:rPr>
          <w:rFonts w:ascii="Arial"/>
          <w:color w:val="231F20"/>
          <w:spacing w:val="-7"/>
          <w:sz w:val="16"/>
        </w:rPr>
        <w:t> </w:t>
      </w:r>
      <w:r>
        <w:rPr>
          <w:rFonts w:ascii="Arial"/>
          <w:color w:val="231F20"/>
          <w:sz w:val="16"/>
        </w:rPr>
        <w:t>hypernatremia.</w:t>
      </w:r>
      <w:r>
        <w:rPr>
          <w:rFonts w:ascii="Arial"/>
          <w:color w:val="231F20"/>
          <w:spacing w:val="-7"/>
          <w:sz w:val="16"/>
        </w:rPr>
        <w:t> </w:t>
      </w:r>
      <w:r>
        <w:rPr>
          <w:rFonts w:ascii="Arial"/>
          <w:color w:val="231F20"/>
          <w:sz w:val="16"/>
        </w:rPr>
        <w:t>Am</w:t>
      </w:r>
      <w:r>
        <w:rPr>
          <w:rFonts w:ascii="Arial"/>
          <w:color w:val="231F20"/>
          <w:spacing w:val="-7"/>
          <w:sz w:val="16"/>
        </w:rPr>
        <w:t> </w:t>
      </w:r>
      <w:r>
        <w:rPr>
          <w:rFonts w:ascii="Arial"/>
          <w:color w:val="231F20"/>
          <w:sz w:val="16"/>
        </w:rPr>
        <w:t>J</w:t>
      </w:r>
      <w:r>
        <w:rPr>
          <w:rFonts w:ascii="Arial"/>
          <w:color w:val="231F20"/>
          <w:spacing w:val="-7"/>
          <w:sz w:val="16"/>
        </w:rPr>
        <w:t> </w:t>
      </w:r>
      <w:r>
        <w:rPr>
          <w:rFonts w:ascii="Arial"/>
          <w:color w:val="231F20"/>
          <w:sz w:val="16"/>
        </w:rPr>
        <w:t>Nephrol</w:t>
      </w:r>
      <w:r>
        <w:rPr>
          <w:rFonts w:ascii="Arial"/>
          <w:color w:val="231F20"/>
          <w:spacing w:val="-7"/>
          <w:sz w:val="16"/>
        </w:rPr>
        <w:t> </w:t>
      </w:r>
      <w:r>
        <w:rPr>
          <w:rFonts w:ascii="Arial"/>
          <w:color w:val="231F20"/>
          <w:spacing w:val="-3"/>
          <w:sz w:val="16"/>
        </w:rPr>
        <w:t>36:97, </w:t>
      </w:r>
      <w:r>
        <w:rPr>
          <w:rFonts w:ascii="Arial"/>
          <w:color w:val="231F20"/>
          <w:sz w:val="16"/>
        </w:rPr>
        <w:t>2012.</w:t>
      </w:r>
    </w:p>
    <w:p>
      <w:pPr>
        <w:spacing w:line="261" w:lineRule="auto" w:before="96"/>
        <w:ind w:left="479" w:right="1077" w:hanging="160"/>
        <w:jc w:val="both"/>
        <w:rPr>
          <w:rFonts w:ascii="Arial"/>
          <w:sz w:val="16"/>
        </w:rPr>
      </w:pPr>
      <w:r>
        <w:rPr/>
        <w:br w:type="column"/>
      </w:r>
      <w:r>
        <w:rPr>
          <w:rFonts w:ascii="Arial"/>
          <w:color w:val="231F20"/>
          <w:sz w:val="16"/>
        </w:rPr>
        <w:t>Schrier RW, Sharma S, Shchekochikhin D: Hyponatraemia: more than just a marker of disease severity? Nat Rev Nephrol 9:37, 2013.</w:t>
      </w:r>
    </w:p>
    <w:p>
      <w:pPr>
        <w:spacing w:line="261" w:lineRule="auto" w:before="0"/>
        <w:ind w:left="479" w:right="1077" w:hanging="160"/>
        <w:jc w:val="both"/>
        <w:rPr>
          <w:rFonts w:ascii="Arial"/>
          <w:sz w:val="16"/>
        </w:rPr>
      </w:pPr>
      <w:r>
        <w:rPr>
          <w:rFonts w:ascii="Arial"/>
          <w:color w:val="231F20"/>
          <w:sz w:val="16"/>
        </w:rPr>
        <w:t>Sterns RH, Hix JK, Silver SM: Management of hyponatremia in</w:t>
      </w:r>
      <w:r>
        <w:rPr>
          <w:rFonts w:ascii="Arial"/>
          <w:color w:val="231F20"/>
          <w:spacing w:val="-25"/>
          <w:sz w:val="16"/>
        </w:rPr>
        <w:t> </w:t>
      </w:r>
      <w:r>
        <w:rPr>
          <w:rFonts w:ascii="Arial"/>
          <w:color w:val="231F20"/>
          <w:spacing w:val="-6"/>
          <w:sz w:val="16"/>
        </w:rPr>
        <w:t>the </w:t>
      </w:r>
      <w:r>
        <w:rPr>
          <w:rFonts w:ascii="Arial"/>
          <w:color w:val="231F20"/>
          <w:sz w:val="16"/>
        </w:rPr>
        <w:t>ICU. Chest 144:672,</w:t>
      </w:r>
      <w:r>
        <w:rPr>
          <w:rFonts w:ascii="Arial"/>
          <w:color w:val="231F20"/>
          <w:spacing w:val="21"/>
          <w:sz w:val="16"/>
        </w:rPr>
        <w:t> </w:t>
      </w:r>
      <w:r>
        <w:rPr>
          <w:rFonts w:ascii="Arial"/>
          <w:color w:val="231F20"/>
          <w:sz w:val="16"/>
        </w:rPr>
        <w:t>2013.</w:t>
      </w:r>
    </w:p>
    <w:p>
      <w:pPr>
        <w:spacing w:line="261" w:lineRule="auto" w:before="0"/>
        <w:ind w:left="479" w:right="1077" w:hanging="160"/>
        <w:jc w:val="both"/>
        <w:rPr>
          <w:rFonts w:ascii="Arial"/>
          <w:sz w:val="16"/>
        </w:rPr>
      </w:pPr>
      <w:r>
        <w:rPr/>
        <w:pict>
          <v:shape style="position:absolute;margin-left:578.900024pt;margin-top:12.889234pt;width:15.9pt;height:53.35pt;mso-position-horizontal-relative:page;mso-position-vertical-relative:paragraph;z-index:25179648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Arial"/>
          <w:color w:val="231F20"/>
          <w:spacing w:val="-3"/>
          <w:sz w:val="16"/>
        </w:rPr>
        <w:t>Trayes</w:t>
      </w:r>
      <w:r>
        <w:rPr>
          <w:rFonts w:ascii="Arial"/>
          <w:color w:val="231F20"/>
          <w:spacing w:val="-9"/>
          <w:sz w:val="16"/>
        </w:rPr>
        <w:t> KP,</w:t>
      </w:r>
      <w:r>
        <w:rPr>
          <w:rFonts w:ascii="Arial"/>
          <w:color w:val="231F20"/>
          <w:spacing w:val="-8"/>
          <w:sz w:val="16"/>
        </w:rPr>
        <w:t> </w:t>
      </w:r>
      <w:r>
        <w:rPr>
          <w:rFonts w:ascii="Arial"/>
          <w:color w:val="231F20"/>
          <w:sz w:val="16"/>
        </w:rPr>
        <w:t>Studdiford</w:t>
      </w:r>
      <w:r>
        <w:rPr>
          <w:rFonts w:ascii="Arial"/>
          <w:color w:val="231F20"/>
          <w:spacing w:val="-8"/>
          <w:sz w:val="16"/>
        </w:rPr>
        <w:t> </w:t>
      </w:r>
      <w:r>
        <w:rPr>
          <w:rFonts w:ascii="Arial"/>
          <w:color w:val="231F20"/>
          <w:sz w:val="16"/>
        </w:rPr>
        <w:t>JS,</w:t>
      </w:r>
      <w:r>
        <w:rPr>
          <w:rFonts w:ascii="Arial"/>
          <w:color w:val="231F20"/>
          <w:spacing w:val="-8"/>
          <w:sz w:val="16"/>
        </w:rPr>
        <w:t> </w:t>
      </w:r>
      <w:r>
        <w:rPr>
          <w:rFonts w:ascii="Arial"/>
          <w:color w:val="231F20"/>
          <w:sz w:val="16"/>
        </w:rPr>
        <w:t>Pickle</w:t>
      </w:r>
      <w:r>
        <w:rPr>
          <w:rFonts w:ascii="Arial"/>
          <w:color w:val="231F20"/>
          <w:spacing w:val="-9"/>
          <w:sz w:val="16"/>
        </w:rPr>
        <w:t> </w:t>
      </w:r>
      <w:r>
        <w:rPr>
          <w:rFonts w:ascii="Arial"/>
          <w:color w:val="231F20"/>
          <w:sz w:val="16"/>
        </w:rPr>
        <w:t>S,</w:t>
      </w:r>
      <w:r>
        <w:rPr>
          <w:rFonts w:ascii="Arial"/>
          <w:color w:val="231F20"/>
          <w:spacing w:val="-8"/>
          <w:sz w:val="16"/>
        </w:rPr>
        <w:t> </w:t>
      </w:r>
      <w:r>
        <w:rPr>
          <w:rFonts w:ascii="Arial"/>
          <w:color w:val="231F20"/>
          <w:spacing w:val="-3"/>
          <w:sz w:val="16"/>
        </w:rPr>
        <w:t>Tully</w:t>
      </w:r>
      <w:r>
        <w:rPr>
          <w:rFonts w:ascii="Arial"/>
          <w:color w:val="231F20"/>
          <w:spacing w:val="-8"/>
          <w:sz w:val="16"/>
        </w:rPr>
        <w:t> </w:t>
      </w:r>
      <w:r>
        <w:rPr>
          <w:rFonts w:ascii="Arial"/>
          <w:color w:val="231F20"/>
          <w:sz w:val="16"/>
        </w:rPr>
        <w:t>AS:</w:t>
      </w:r>
      <w:r>
        <w:rPr>
          <w:rFonts w:ascii="Arial"/>
          <w:color w:val="231F20"/>
          <w:spacing w:val="-8"/>
          <w:sz w:val="16"/>
        </w:rPr>
        <w:t> </w:t>
      </w:r>
      <w:r>
        <w:rPr>
          <w:rFonts w:ascii="Arial"/>
          <w:color w:val="231F20"/>
          <w:sz w:val="16"/>
        </w:rPr>
        <w:t>Edema:</w:t>
      </w:r>
      <w:r>
        <w:rPr>
          <w:rFonts w:ascii="Arial"/>
          <w:color w:val="231F20"/>
          <w:spacing w:val="-8"/>
          <w:sz w:val="16"/>
        </w:rPr>
        <w:t> </w:t>
      </w:r>
      <w:r>
        <w:rPr>
          <w:rFonts w:ascii="Arial"/>
          <w:color w:val="231F20"/>
          <w:sz w:val="16"/>
        </w:rPr>
        <w:t>diagnosis</w:t>
      </w:r>
      <w:r>
        <w:rPr>
          <w:rFonts w:ascii="Arial"/>
          <w:color w:val="231F20"/>
          <w:spacing w:val="-9"/>
          <w:sz w:val="16"/>
        </w:rPr>
        <w:t> </w:t>
      </w:r>
      <w:r>
        <w:rPr>
          <w:rFonts w:ascii="Arial"/>
          <w:color w:val="231F20"/>
          <w:sz w:val="16"/>
        </w:rPr>
        <w:t>and management. Am Fam Physician 88:102,</w:t>
      </w:r>
      <w:r>
        <w:rPr>
          <w:rFonts w:ascii="Arial"/>
          <w:color w:val="231F20"/>
          <w:spacing w:val="16"/>
          <w:sz w:val="16"/>
        </w:rPr>
        <w:t> </w:t>
      </w:r>
      <w:r>
        <w:rPr>
          <w:rFonts w:ascii="Arial"/>
          <w:color w:val="231F20"/>
          <w:sz w:val="16"/>
        </w:rPr>
        <w:t>2013.</w:t>
      </w:r>
    </w:p>
    <w:p>
      <w:pPr>
        <w:spacing w:line="261" w:lineRule="auto" w:before="0"/>
        <w:ind w:left="479" w:right="1077" w:hanging="160"/>
        <w:jc w:val="both"/>
        <w:rPr>
          <w:rFonts w:ascii="Arial"/>
          <w:sz w:val="16"/>
        </w:rPr>
      </w:pPr>
      <w:r>
        <w:rPr>
          <w:rFonts w:ascii="Arial"/>
          <w:color w:val="231F20"/>
          <w:w w:val="95"/>
          <w:sz w:val="16"/>
        </w:rPr>
        <w:t>Verbalis</w:t>
      </w:r>
      <w:r>
        <w:rPr>
          <w:rFonts w:ascii="Arial"/>
          <w:color w:val="231F20"/>
          <w:spacing w:val="-4"/>
          <w:w w:val="95"/>
          <w:sz w:val="16"/>
        </w:rPr>
        <w:t> </w:t>
      </w:r>
      <w:r>
        <w:rPr>
          <w:rFonts w:ascii="Arial"/>
          <w:color w:val="231F20"/>
          <w:w w:val="95"/>
          <w:sz w:val="16"/>
        </w:rPr>
        <w:t>JG,</w:t>
      </w:r>
      <w:r>
        <w:rPr>
          <w:rFonts w:ascii="Arial"/>
          <w:color w:val="231F20"/>
          <w:spacing w:val="-3"/>
          <w:w w:val="95"/>
          <w:sz w:val="16"/>
        </w:rPr>
        <w:t> </w:t>
      </w:r>
      <w:r>
        <w:rPr>
          <w:rFonts w:ascii="Arial"/>
          <w:color w:val="231F20"/>
          <w:w w:val="95"/>
          <w:sz w:val="16"/>
        </w:rPr>
        <w:t>Goldsmith</w:t>
      </w:r>
      <w:r>
        <w:rPr>
          <w:rFonts w:ascii="Arial"/>
          <w:color w:val="231F20"/>
          <w:spacing w:val="-4"/>
          <w:w w:val="95"/>
          <w:sz w:val="16"/>
        </w:rPr>
        <w:t> </w:t>
      </w:r>
      <w:r>
        <w:rPr>
          <w:rFonts w:ascii="Arial"/>
          <w:color w:val="231F20"/>
          <w:w w:val="95"/>
          <w:sz w:val="16"/>
        </w:rPr>
        <w:t>SR,</w:t>
      </w:r>
      <w:r>
        <w:rPr>
          <w:rFonts w:ascii="Arial"/>
          <w:color w:val="231F20"/>
          <w:spacing w:val="-3"/>
          <w:w w:val="95"/>
          <w:sz w:val="16"/>
        </w:rPr>
        <w:t> </w:t>
      </w:r>
      <w:r>
        <w:rPr>
          <w:rFonts w:ascii="Arial"/>
          <w:color w:val="231F20"/>
          <w:w w:val="95"/>
          <w:sz w:val="16"/>
        </w:rPr>
        <w:t>Greenberg</w:t>
      </w:r>
      <w:r>
        <w:rPr>
          <w:rFonts w:ascii="Arial"/>
          <w:color w:val="231F20"/>
          <w:spacing w:val="-4"/>
          <w:w w:val="95"/>
          <w:sz w:val="16"/>
        </w:rPr>
        <w:t> </w:t>
      </w:r>
      <w:r>
        <w:rPr>
          <w:rFonts w:ascii="Arial"/>
          <w:color w:val="231F20"/>
          <w:w w:val="95"/>
          <w:sz w:val="16"/>
        </w:rPr>
        <w:t>A,</w:t>
      </w:r>
      <w:r>
        <w:rPr>
          <w:rFonts w:ascii="Arial"/>
          <w:color w:val="231F20"/>
          <w:spacing w:val="-3"/>
          <w:w w:val="95"/>
          <w:sz w:val="16"/>
        </w:rPr>
        <w:t> </w:t>
      </w:r>
      <w:r>
        <w:rPr>
          <w:rFonts w:ascii="Arial"/>
          <w:color w:val="231F20"/>
          <w:w w:val="95"/>
          <w:sz w:val="16"/>
        </w:rPr>
        <w:t>et</w:t>
      </w:r>
      <w:r>
        <w:rPr>
          <w:rFonts w:ascii="Arial"/>
          <w:color w:val="231F20"/>
          <w:spacing w:val="-4"/>
          <w:w w:val="95"/>
          <w:sz w:val="16"/>
        </w:rPr>
        <w:t> </w:t>
      </w:r>
      <w:r>
        <w:rPr>
          <w:rFonts w:ascii="Arial"/>
          <w:color w:val="231F20"/>
          <w:w w:val="95"/>
          <w:sz w:val="16"/>
        </w:rPr>
        <w:t>al:</w:t>
      </w:r>
      <w:r>
        <w:rPr>
          <w:rFonts w:ascii="Arial"/>
          <w:color w:val="231F20"/>
          <w:spacing w:val="-3"/>
          <w:w w:val="95"/>
          <w:sz w:val="16"/>
        </w:rPr>
        <w:t> </w:t>
      </w:r>
      <w:r>
        <w:rPr>
          <w:rFonts w:ascii="Arial"/>
          <w:color w:val="231F20"/>
          <w:w w:val="95"/>
          <w:sz w:val="16"/>
        </w:rPr>
        <w:t>Diagnosis,</w:t>
      </w:r>
      <w:r>
        <w:rPr>
          <w:rFonts w:ascii="Arial"/>
          <w:color w:val="231F20"/>
          <w:spacing w:val="-4"/>
          <w:w w:val="95"/>
          <w:sz w:val="16"/>
        </w:rPr>
        <w:t> </w:t>
      </w:r>
      <w:r>
        <w:rPr>
          <w:rFonts w:ascii="Arial"/>
          <w:color w:val="231F20"/>
          <w:w w:val="95"/>
          <w:sz w:val="16"/>
        </w:rPr>
        <w:t>evaluation, </w:t>
      </w:r>
      <w:r>
        <w:rPr>
          <w:rFonts w:ascii="Arial"/>
          <w:color w:val="231F20"/>
          <w:sz w:val="16"/>
        </w:rPr>
        <w:t>and treatment of hyponatremia: expert panel recommendations. Am J Med 126(10 Suppl 1):S1,</w:t>
      </w:r>
      <w:r>
        <w:rPr>
          <w:rFonts w:ascii="Arial"/>
          <w:color w:val="231F20"/>
          <w:spacing w:val="34"/>
          <w:sz w:val="16"/>
        </w:rPr>
        <w:t> </w:t>
      </w:r>
      <w:r>
        <w:rPr>
          <w:rFonts w:ascii="Arial"/>
          <w:color w:val="231F20"/>
          <w:sz w:val="16"/>
        </w:rPr>
        <w:t>2013.</w:t>
      </w:r>
    </w:p>
    <w:p>
      <w:pPr>
        <w:spacing w:after="0" w:line="261" w:lineRule="auto"/>
        <w:jc w:val="both"/>
        <w:rPr>
          <w:rFonts w:ascii="Arial"/>
          <w:sz w:val="16"/>
        </w:rPr>
        <w:sectPr>
          <w:type w:val="continuous"/>
          <w:pgSz w:w="12240" w:h="15660"/>
          <w:pgMar w:top="0" w:bottom="760" w:left="0" w:right="0"/>
          <w:cols w:num="2" w:equalWidth="0">
            <w:col w:w="6121" w:space="40"/>
            <w:col w:w="6079"/>
          </w:cols>
        </w:sectPr>
      </w:pPr>
    </w:p>
    <w:p>
      <w:pPr>
        <w:rPr>
          <w:sz w:val="2"/>
          <w:szCs w:val="2"/>
        </w:rPr>
      </w:pPr>
      <w:r>
        <w:rPr/>
        <w:pict>
          <v:group style="position:absolute;margin-left:0pt;margin-top:0pt;width:612pt;height:180pt;mso-position-horizontal-relative:page;mso-position-vertical-relative:page;z-index:-27361075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3667" w:right="0" w:firstLine="0"/>
                      <w:jc w:val="left"/>
                      <w:rPr>
                        <w:rFonts w:ascii="Trebuchet MS"/>
                        <w:sz w:val="18"/>
                      </w:rPr>
                    </w:pPr>
                    <w:r>
                      <w:rPr>
                        <w:rFonts w:ascii="Trebuchet MS"/>
                        <w:b/>
                        <w:color w:val="231F20"/>
                        <w:w w:val="105"/>
                        <w:sz w:val="18"/>
                      </w:rPr>
                      <w:t>Chapter 25 </w:t>
                    </w:r>
                    <w:r>
                      <w:rPr>
                        <w:rFonts w:ascii="Trebuchet MS"/>
                        <w:color w:val="231F20"/>
                        <w:w w:val="105"/>
                        <w:sz w:val="18"/>
                      </w:rPr>
                      <w:t>The Body Fluid Compartments: Extracellular and Intracellular Fluids; Edema</w:t>
                    </w:r>
                  </w:p>
                </w:txbxContent>
              </v:textbox>
              <v:fill type="solid"/>
              <w10:wrap type="none"/>
            </v:shape>
            <w10:wrap type="none"/>
          </v:group>
        </w:pict>
      </w:r>
    </w:p>
    <w:p>
      <w:pPr>
        <w:spacing w:after="0"/>
        <w:rPr>
          <w:sz w:val="2"/>
          <w:szCs w:val="2"/>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83"/>
          <w:footerReference w:type="default" r:id="rId84"/>
          <w:footerReference w:type="even" r:id="rId85"/>
          <w:pgSz w:w="12240" w:h="15660"/>
          <w:pgMar w:header="0" w:footer="567" w:top="0" w:bottom="760" w:left="0" w:right="0"/>
          <w:pgNumType w:start="323"/>
        </w:sectPr>
      </w:pPr>
    </w:p>
    <w:p>
      <w:pPr>
        <w:pStyle w:val="BodyText"/>
        <w:spacing w:before="2" w:after="1"/>
        <w:rPr>
          <w:rFonts w:ascii="Arial"/>
          <w:sz w:val="27"/>
        </w:rPr>
      </w:pPr>
      <w:r>
        <w:rPr/>
        <w:pict>
          <v:group style="position:absolute;margin-left:0pt;margin-top:0pt;width:612pt;height:180pt;mso-position-horizontal-relative:page;mso-position-vertical-relative:page;z-index:251800576"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86" o:title=""/>
            </v:shape>
            <v:shape style="position:absolute;left:2174;top:2104;width:9007;height:1448" type="#_x0000_t202" filled="false" stroked="false">
              <v:textbox inset="0,0,0,0">
                <w:txbxContent>
                  <w:p>
                    <w:pPr>
                      <w:spacing w:line="240" w:lineRule="auto" w:before="50"/>
                      <w:ind w:left="1087" w:right="10" w:hanging="1088"/>
                      <w:jc w:val="left"/>
                      <w:rPr>
                        <w:b/>
                        <w:sz w:val="52"/>
                      </w:rPr>
                    </w:pPr>
                    <w:r>
                      <w:rPr>
                        <w:b/>
                        <w:color w:val="231F20"/>
                        <w:w w:val="95"/>
                        <w:sz w:val="52"/>
                      </w:rPr>
                      <w:t>The Urinary System: Functional </w:t>
                    </w:r>
                    <w:r>
                      <w:rPr>
                        <w:b/>
                        <w:color w:val="231F20"/>
                        <w:spacing w:val="-3"/>
                        <w:w w:val="95"/>
                        <w:sz w:val="52"/>
                      </w:rPr>
                      <w:t>Anatomy </w:t>
                    </w:r>
                    <w:r>
                      <w:rPr>
                        <w:b/>
                        <w:color w:val="231F20"/>
                        <w:sz w:val="52"/>
                      </w:rPr>
                      <w:t>and</w:t>
                    </w:r>
                    <w:r>
                      <w:rPr>
                        <w:b/>
                        <w:color w:val="231F20"/>
                        <w:spacing w:val="-61"/>
                        <w:sz w:val="52"/>
                      </w:rPr>
                      <w:t> </w:t>
                    </w:r>
                    <w:r>
                      <w:rPr>
                        <w:b/>
                        <w:color w:val="231F20"/>
                        <w:sz w:val="52"/>
                      </w:rPr>
                      <w:t>Urine</w:t>
                    </w:r>
                    <w:r>
                      <w:rPr>
                        <w:b/>
                        <w:color w:val="231F20"/>
                        <w:spacing w:val="-60"/>
                        <w:sz w:val="52"/>
                      </w:rPr>
                      <w:t> </w:t>
                    </w:r>
                    <w:r>
                      <w:rPr>
                        <w:b/>
                        <w:color w:val="231F20"/>
                        <w:sz w:val="52"/>
                      </w:rPr>
                      <w:t>Formation</w:t>
                    </w:r>
                    <w:r>
                      <w:rPr>
                        <w:b/>
                        <w:color w:val="231F20"/>
                        <w:spacing w:val="-60"/>
                        <w:sz w:val="52"/>
                      </w:rPr>
                      <w:t> </w:t>
                    </w:r>
                    <w:r>
                      <w:rPr>
                        <w:b/>
                        <w:color w:val="231F20"/>
                        <w:sz w:val="52"/>
                      </w:rPr>
                      <w:t>by</w:t>
                    </w:r>
                    <w:r>
                      <w:rPr>
                        <w:b/>
                        <w:color w:val="231F20"/>
                        <w:spacing w:val="-60"/>
                        <w:sz w:val="52"/>
                      </w:rPr>
                      <w:t> </w:t>
                    </w:r>
                    <w:r>
                      <w:rPr>
                        <w:b/>
                        <w:color w:val="231F20"/>
                        <w:sz w:val="52"/>
                      </w:rPr>
                      <w:t>the</w:t>
                    </w:r>
                    <w:r>
                      <w:rPr>
                        <w:b/>
                        <w:color w:val="231F20"/>
                        <w:spacing w:val="-60"/>
                        <w:sz w:val="52"/>
                      </w:rPr>
                      <w:t> </w:t>
                    </w:r>
                    <w:r>
                      <w:rPr>
                        <w:b/>
                        <w:color w:val="231F20"/>
                        <w:sz w:val="52"/>
                      </w:rPr>
                      <w:t>Kidneys</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2</w:t>
                    </w:r>
                    <w:r>
                      <w:rPr>
                        <w:rFonts w:ascii="Trebuchet MS"/>
                        <w:b/>
                        <w:color w:val="231F20"/>
                        <w:spacing w:val="-44"/>
                        <w:w w:val="105"/>
                        <w:sz w:val="36"/>
                      </w:rPr>
                      <w:t> </w:t>
                    </w:r>
                    <w:r>
                      <w:rPr>
                        <w:rFonts w:ascii="Trebuchet MS"/>
                        <w:b/>
                        <w:color w:val="231F20"/>
                        <w:w w:val="105"/>
                        <w:sz w:val="36"/>
                      </w:rPr>
                      <w:t>6</w:t>
                    </w:r>
                  </w:p>
                </w:txbxContent>
              </v:textbox>
              <w10:wrap type="none"/>
            </v:shape>
            <w10:wrap type="none"/>
          </v:group>
        </w:pict>
      </w:r>
    </w:p>
    <w:p>
      <w:pPr>
        <w:pStyle w:val="BodyText"/>
        <w:ind w:left="1440" w:right="-58"/>
        <w:rPr>
          <w:rFonts w:ascii="Arial"/>
        </w:rPr>
      </w:pPr>
      <w:r>
        <w:rPr>
          <w:rFonts w:ascii="Arial"/>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2134" w:firstLine="0"/>
                    <w:jc w:val="left"/>
                    <w:rPr>
                      <w:rFonts w:ascii="Trebuchet MS"/>
                      <w:b/>
                      <w:sz w:val="22"/>
                    </w:rPr>
                  </w:pPr>
                  <w:r>
                    <w:rPr>
                      <w:rFonts w:ascii="Trebuchet MS"/>
                      <w:b/>
                      <w:color w:val="231F20"/>
                      <w:w w:val="110"/>
                      <w:sz w:val="22"/>
                    </w:rPr>
                    <w:t>MULTIPLE FUNCTIONS OF THE KIDNEYS</w:t>
                  </w:r>
                </w:p>
              </w:txbxContent>
            </v:textbox>
            <v:fill type="solid"/>
          </v:shape>
        </w:pict>
      </w:r>
      <w:r>
        <w:rPr>
          <w:rFonts w:ascii="Arial"/>
        </w:rPr>
      </w:r>
    </w:p>
    <w:p>
      <w:pPr>
        <w:pStyle w:val="BodyText"/>
        <w:spacing w:line="249" w:lineRule="auto" w:before="82"/>
        <w:ind w:left="1440"/>
        <w:jc w:val="both"/>
      </w:pPr>
      <w:r>
        <w:rPr/>
        <w:pict>
          <v:line style="position:absolute;mso-position-horizontal-relative:page;mso-position-vertical-relative:paragraph;z-index:251802624" from="72pt,-1.014136pt" to="306pt,-1.014136pt" stroked="true" strokeweight=".5pt" strokecolor="#231f20">
            <v:stroke dashstyle="solid"/>
            <w10:wrap type="none"/>
          </v:line>
        </w:pict>
      </w:r>
      <w:r>
        <w:rPr>
          <w:color w:val="231F20"/>
          <w:w w:val="105"/>
        </w:rPr>
        <w:t>Most people are familiar with one important function</w:t>
      </w:r>
      <w:r>
        <w:rPr>
          <w:color w:val="231F20"/>
          <w:spacing w:val="-26"/>
          <w:w w:val="105"/>
        </w:rPr>
        <w:t> </w:t>
      </w:r>
      <w:r>
        <w:rPr>
          <w:color w:val="231F20"/>
          <w:spacing w:val="-6"/>
          <w:w w:val="105"/>
        </w:rPr>
        <w:t>of </w:t>
      </w:r>
      <w:r>
        <w:rPr>
          <w:color w:val="231F20"/>
          <w:w w:val="105"/>
        </w:rPr>
        <w:t>the kidneys—to rid the body of waste materials that are either ingested or produced by metabolism. A second function</w:t>
      </w:r>
      <w:r>
        <w:rPr>
          <w:color w:val="231F20"/>
          <w:spacing w:val="-18"/>
          <w:w w:val="105"/>
        </w:rPr>
        <w:t> </w:t>
      </w:r>
      <w:r>
        <w:rPr>
          <w:color w:val="231F20"/>
          <w:w w:val="105"/>
        </w:rPr>
        <w:t>that</w:t>
      </w:r>
      <w:r>
        <w:rPr>
          <w:color w:val="231F20"/>
          <w:spacing w:val="-18"/>
          <w:w w:val="105"/>
        </w:rPr>
        <w:t> </w:t>
      </w:r>
      <w:r>
        <w:rPr>
          <w:color w:val="231F20"/>
          <w:w w:val="105"/>
        </w:rPr>
        <w:t>is</w:t>
      </w:r>
      <w:r>
        <w:rPr>
          <w:color w:val="231F20"/>
          <w:spacing w:val="-18"/>
          <w:w w:val="105"/>
        </w:rPr>
        <w:t> </w:t>
      </w:r>
      <w:r>
        <w:rPr>
          <w:color w:val="231F20"/>
          <w:w w:val="105"/>
        </w:rPr>
        <w:t>especially</w:t>
      </w:r>
      <w:r>
        <w:rPr>
          <w:color w:val="231F20"/>
          <w:spacing w:val="-18"/>
          <w:w w:val="105"/>
        </w:rPr>
        <w:t> </w:t>
      </w:r>
      <w:r>
        <w:rPr>
          <w:color w:val="231F20"/>
          <w:w w:val="105"/>
        </w:rPr>
        <w:t>critical</w:t>
      </w:r>
      <w:r>
        <w:rPr>
          <w:color w:val="231F20"/>
          <w:spacing w:val="-18"/>
          <w:w w:val="105"/>
        </w:rPr>
        <w:t> </w:t>
      </w:r>
      <w:r>
        <w:rPr>
          <w:color w:val="231F20"/>
          <w:w w:val="105"/>
        </w:rPr>
        <w:t>is</w:t>
      </w:r>
      <w:r>
        <w:rPr>
          <w:color w:val="231F20"/>
          <w:spacing w:val="-18"/>
          <w:w w:val="105"/>
        </w:rPr>
        <w:t> </w:t>
      </w:r>
      <w:r>
        <w:rPr>
          <w:color w:val="231F20"/>
          <w:w w:val="105"/>
        </w:rPr>
        <w:t>to</w:t>
      </w:r>
      <w:r>
        <w:rPr>
          <w:color w:val="231F20"/>
          <w:spacing w:val="-18"/>
          <w:w w:val="105"/>
        </w:rPr>
        <w:t> </w:t>
      </w:r>
      <w:r>
        <w:rPr>
          <w:color w:val="231F20"/>
          <w:w w:val="105"/>
        </w:rPr>
        <w:t>control</w:t>
      </w:r>
      <w:r>
        <w:rPr>
          <w:color w:val="231F20"/>
          <w:spacing w:val="-18"/>
          <w:w w:val="105"/>
        </w:rPr>
        <w:t> </w:t>
      </w:r>
      <w:r>
        <w:rPr>
          <w:color w:val="231F20"/>
          <w:w w:val="105"/>
        </w:rPr>
        <w:t>the</w:t>
      </w:r>
      <w:r>
        <w:rPr>
          <w:color w:val="231F20"/>
          <w:spacing w:val="-18"/>
          <w:w w:val="105"/>
        </w:rPr>
        <w:t> </w:t>
      </w:r>
      <w:r>
        <w:rPr>
          <w:color w:val="231F20"/>
          <w:w w:val="105"/>
        </w:rPr>
        <w:t>volume and</w:t>
      </w:r>
      <w:r>
        <w:rPr>
          <w:color w:val="231F20"/>
          <w:spacing w:val="-14"/>
          <w:w w:val="105"/>
        </w:rPr>
        <w:t> </w:t>
      </w:r>
      <w:r>
        <w:rPr>
          <w:color w:val="231F20"/>
          <w:w w:val="105"/>
        </w:rPr>
        <w:t>electrolyte</w:t>
      </w:r>
      <w:r>
        <w:rPr>
          <w:color w:val="231F20"/>
          <w:spacing w:val="-13"/>
          <w:w w:val="105"/>
        </w:rPr>
        <w:t> </w:t>
      </w:r>
      <w:r>
        <w:rPr>
          <w:color w:val="231F20"/>
          <w:w w:val="105"/>
        </w:rPr>
        <w:t>composition</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4"/>
          <w:w w:val="105"/>
        </w:rPr>
        <w:t> </w:t>
      </w:r>
      <w:r>
        <w:rPr>
          <w:color w:val="231F20"/>
          <w:w w:val="105"/>
        </w:rPr>
        <w:t>body</w:t>
      </w:r>
      <w:r>
        <w:rPr>
          <w:color w:val="231F20"/>
          <w:spacing w:val="-13"/>
          <w:w w:val="105"/>
        </w:rPr>
        <w:t> </w:t>
      </w:r>
      <w:r>
        <w:rPr>
          <w:color w:val="231F20"/>
          <w:w w:val="105"/>
        </w:rPr>
        <w:t>fluids.</w:t>
      </w:r>
      <w:r>
        <w:rPr>
          <w:color w:val="231F20"/>
          <w:spacing w:val="-14"/>
          <w:w w:val="105"/>
        </w:rPr>
        <w:t> </w:t>
      </w:r>
      <w:r>
        <w:rPr>
          <w:color w:val="231F20"/>
          <w:spacing w:val="-3"/>
          <w:w w:val="105"/>
        </w:rPr>
        <w:t>For</w:t>
      </w:r>
      <w:r>
        <w:rPr>
          <w:color w:val="231F20"/>
          <w:spacing w:val="-13"/>
          <w:w w:val="105"/>
        </w:rPr>
        <w:t> </w:t>
      </w:r>
      <w:r>
        <w:rPr>
          <w:color w:val="231F20"/>
          <w:w w:val="105"/>
        </w:rPr>
        <w:t>water and virtually all electrolytes in the body, the </w:t>
      </w:r>
      <w:r>
        <w:rPr>
          <w:color w:val="231F20"/>
          <w:spacing w:val="-3"/>
          <w:w w:val="105"/>
        </w:rPr>
        <w:t>balance </w:t>
      </w:r>
      <w:r>
        <w:rPr>
          <w:color w:val="231F20"/>
          <w:w w:val="105"/>
        </w:rPr>
        <w:t>between intake (due to ingestion or metabolic produc- tion)</w:t>
      </w:r>
      <w:r>
        <w:rPr>
          <w:color w:val="231F20"/>
          <w:spacing w:val="-15"/>
          <w:w w:val="105"/>
        </w:rPr>
        <w:t> </w:t>
      </w:r>
      <w:r>
        <w:rPr>
          <w:color w:val="231F20"/>
          <w:w w:val="105"/>
        </w:rPr>
        <w:t>and</w:t>
      </w:r>
      <w:r>
        <w:rPr>
          <w:color w:val="231F20"/>
          <w:spacing w:val="-15"/>
          <w:w w:val="105"/>
        </w:rPr>
        <w:t> </w:t>
      </w:r>
      <w:r>
        <w:rPr>
          <w:color w:val="231F20"/>
          <w:w w:val="105"/>
        </w:rPr>
        <w:t>output</w:t>
      </w:r>
      <w:r>
        <w:rPr>
          <w:color w:val="231F20"/>
          <w:spacing w:val="-15"/>
          <w:w w:val="105"/>
        </w:rPr>
        <w:t> </w:t>
      </w:r>
      <w:r>
        <w:rPr>
          <w:color w:val="231F20"/>
          <w:w w:val="105"/>
        </w:rPr>
        <w:t>(due</w:t>
      </w:r>
      <w:r>
        <w:rPr>
          <w:color w:val="231F20"/>
          <w:spacing w:val="-15"/>
          <w:w w:val="105"/>
        </w:rPr>
        <w:t> </w:t>
      </w:r>
      <w:r>
        <w:rPr>
          <w:color w:val="231F20"/>
          <w:w w:val="105"/>
        </w:rPr>
        <w:t>to</w:t>
      </w:r>
      <w:r>
        <w:rPr>
          <w:color w:val="231F20"/>
          <w:spacing w:val="-15"/>
          <w:w w:val="105"/>
        </w:rPr>
        <w:t> </w:t>
      </w:r>
      <w:r>
        <w:rPr>
          <w:color w:val="231F20"/>
          <w:w w:val="105"/>
        </w:rPr>
        <w:t>excretion</w:t>
      </w:r>
      <w:r>
        <w:rPr>
          <w:color w:val="231F20"/>
          <w:spacing w:val="-15"/>
          <w:w w:val="105"/>
        </w:rPr>
        <w:t> </w:t>
      </w:r>
      <w:r>
        <w:rPr>
          <w:color w:val="231F20"/>
          <w:w w:val="105"/>
        </w:rPr>
        <w:t>or</w:t>
      </w:r>
      <w:r>
        <w:rPr>
          <w:color w:val="231F20"/>
          <w:spacing w:val="-15"/>
          <w:w w:val="105"/>
        </w:rPr>
        <w:t> </w:t>
      </w:r>
      <w:r>
        <w:rPr>
          <w:color w:val="231F20"/>
          <w:w w:val="105"/>
        </w:rPr>
        <w:t>metabolic</w:t>
      </w:r>
      <w:r>
        <w:rPr>
          <w:color w:val="231F20"/>
          <w:spacing w:val="-15"/>
          <w:w w:val="105"/>
        </w:rPr>
        <w:t> </w:t>
      </w:r>
      <w:r>
        <w:rPr>
          <w:color w:val="231F20"/>
          <w:spacing w:val="-3"/>
          <w:w w:val="105"/>
        </w:rPr>
        <w:t>consump- </w:t>
      </w:r>
      <w:r>
        <w:rPr>
          <w:color w:val="231F20"/>
          <w:w w:val="105"/>
        </w:rPr>
        <w:t>tion)</w:t>
      </w:r>
      <w:r>
        <w:rPr>
          <w:color w:val="231F20"/>
          <w:spacing w:val="-27"/>
          <w:w w:val="105"/>
        </w:rPr>
        <w:t> </w:t>
      </w:r>
      <w:r>
        <w:rPr>
          <w:color w:val="231F20"/>
          <w:w w:val="105"/>
        </w:rPr>
        <w:t>is</w:t>
      </w:r>
      <w:r>
        <w:rPr>
          <w:color w:val="231F20"/>
          <w:spacing w:val="-26"/>
          <w:w w:val="105"/>
        </w:rPr>
        <w:t> </w:t>
      </w:r>
      <w:r>
        <w:rPr>
          <w:color w:val="231F20"/>
          <w:w w:val="105"/>
        </w:rPr>
        <w:t>maintained</w:t>
      </w:r>
      <w:r>
        <w:rPr>
          <w:color w:val="231F20"/>
          <w:spacing w:val="-27"/>
          <w:w w:val="105"/>
        </w:rPr>
        <w:t> </w:t>
      </w:r>
      <w:r>
        <w:rPr>
          <w:color w:val="231F20"/>
          <w:w w:val="105"/>
        </w:rPr>
        <w:t>largely</w:t>
      </w:r>
      <w:r>
        <w:rPr>
          <w:color w:val="231F20"/>
          <w:spacing w:val="-26"/>
          <w:w w:val="105"/>
        </w:rPr>
        <w:t> </w:t>
      </w:r>
      <w:r>
        <w:rPr>
          <w:color w:val="231F20"/>
          <w:w w:val="105"/>
        </w:rPr>
        <w:t>by</w:t>
      </w:r>
      <w:r>
        <w:rPr>
          <w:color w:val="231F20"/>
          <w:spacing w:val="-27"/>
          <w:w w:val="105"/>
        </w:rPr>
        <w:t> </w:t>
      </w:r>
      <w:r>
        <w:rPr>
          <w:color w:val="231F20"/>
          <w:w w:val="105"/>
        </w:rPr>
        <w:t>the</w:t>
      </w:r>
      <w:r>
        <w:rPr>
          <w:color w:val="231F20"/>
          <w:spacing w:val="-26"/>
          <w:w w:val="105"/>
        </w:rPr>
        <w:t> </w:t>
      </w:r>
      <w:r>
        <w:rPr>
          <w:color w:val="231F20"/>
          <w:w w:val="105"/>
        </w:rPr>
        <w:t>kidneys.</w:t>
      </w:r>
      <w:r>
        <w:rPr>
          <w:color w:val="231F20"/>
          <w:spacing w:val="-27"/>
          <w:w w:val="105"/>
        </w:rPr>
        <w:t> </w:t>
      </w:r>
      <w:r>
        <w:rPr>
          <w:color w:val="231F20"/>
          <w:w w:val="105"/>
        </w:rPr>
        <w:t>This</w:t>
      </w:r>
      <w:r>
        <w:rPr>
          <w:color w:val="231F20"/>
          <w:spacing w:val="-26"/>
          <w:w w:val="105"/>
        </w:rPr>
        <w:t> </w:t>
      </w:r>
      <w:r>
        <w:rPr>
          <w:color w:val="231F20"/>
          <w:w w:val="105"/>
        </w:rPr>
        <w:t>regulatory function</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20"/>
          <w:w w:val="105"/>
        </w:rPr>
        <w:t> </w:t>
      </w:r>
      <w:r>
        <w:rPr>
          <w:color w:val="231F20"/>
          <w:w w:val="105"/>
        </w:rPr>
        <w:t>kidneys</w:t>
      </w:r>
      <w:r>
        <w:rPr>
          <w:color w:val="231F20"/>
          <w:spacing w:val="-19"/>
          <w:w w:val="105"/>
        </w:rPr>
        <w:t> </w:t>
      </w:r>
      <w:r>
        <w:rPr>
          <w:color w:val="231F20"/>
          <w:w w:val="105"/>
        </w:rPr>
        <w:t>maintains</w:t>
      </w:r>
      <w:r>
        <w:rPr>
          <w:color w:val="231F20"/>
          <w:spacing w:val="-20"/>
          <w:w w:val="105"/>
        </w:rPr>
        <w:t> </w:t>
      </w:r>
      <w:r>
        <w:rPr>
          <w:color w:val="231F20"/>
          <w:w w:val="105"/>
        </w:rPr>
        <w:t>the</w:t>
      </w:r>
      <w:r>
        <w:rPr>
          <w:color w:val="231F20"/>
          <w:spacing w:val="-19"/>
          <w:w w:val="105"/>
        </w:rPr>
        <w:t> </w:t>
      </w:r>
      <w:r>
        <w:rPr>
          <w:color w:val="231F20"/>
          <w:w w:val="105"/>
        </w:rPr>
        <w:t>stable</w:t>
      </w:r>
      <w:r>
        <w:rPr>
          <w:color w:val="231F20"/>
          <w:spacing w:val="-19"/>
          <w:w w:val="105"/>
        </w:rPr>
        <w:t> </w:t>
      </w:r>
      <w:r>
        <w:rPr>
          <w:color w:val="231F20"/>
          <w:w w:val="105"/>
        </w:rPr>
        <w:t>internal</w:t>
      </w:r>
      <w:r>
        <w:rPr>
          <w:color w:val="231F20"/>
          <w:spacing w:val="-20"/>
          <w:w w:val="105"/>
        </w:rPr>
        <w:t> </w:t>
      </w:r>
      <w:r>
        <w:rPr>
          <w:color w:val="231F20"/>
          <w:spacing w:val="-4"/>
          <w:w w:val="105"/>
        </w:rPr>
        <w:t>envi- </w:t>
      </w:r>
      <w:r>
        <w:rPr>
          <w:color w:val="231F20"/>
          <w:w w:val="105"/>
        </w:rPr>
        <w:t>ronment necessary for the cells to perform their various activities.</w:t>
      </w:r>
    </w:p>
    <w:p>
      <w:pPr>
        <w:pStyle w:val="BodyText"/>
        <w:spacing w:line="249" w:lineRule="auto" w:before="10"/>
        <w:ind w:left="1440" w:firstLine="240"/>
        <w:jc w:val="both"/>
      </w:pPr>
      <w:r>
        <w:rPr>
          <w:color w:val="231F20"/>
          <w:w w:val="105"/>
        </w:rPr>
        <w:t>The kidneys perform their most important functions by</w:t>
      </w:r>
      <w:r>
        <w:rPr>
          <w:color w:val="231F20"/>
          <w:spacing w:val="-18"/>
          <w:w w:val="105"/>
        </w:rPr>
        <w:t> </w:t>
      </w:r>
      <w:r>
        <w:rPr>
          <w:color w:val="231F20"/>
          <w:w w:val="105"/>
        </w:rPr>
        <w:t>filtering</w:t>
      </w:r>
      <w:r>
        <w:rPr>
          <w:color w:val="231F20"/>
          <w:spacing w:val="-18"/>
          <w:w w:val="105"/>
        </w:rPr>
        <w:t> </w:t>
      </w:r>
      <w:r>
        <w:rPr>
          <w:color w:val="231F20"/>
          <w:w w:val="105"/>
        </w:rPr>
        <w:t>the</w:t>
      </w:r>
      <w:r>
        <w:rPr>
          <w:color w:val="231F20"/>
          <w:spacing w:val="-18"/>
          <w:w w:val="105"/>
        </w:rPr>
        <w:t> </w:t>
      </w:r>
      <w:r>
        <w:rPr>
          <w:color w:val="231F20"/>
          <w:w w:val="105"/>
        </w:rPr>
        <w:t>plasma</w:t>
      </w:r>
      <w:r>
        <w:rPr>
          <w:color w:val="231F20"/>
          <w:spacing w:val="-18"/>
          <w:w w:val="105"/>
        </w:rPr>
        <w:t> </w:t>
      </w:r>
      <w:r>
        <w:rPr>
          <w:color w:val="231F20"/>
          <w:w w:val="105"/>
        </w:rPr>
        <w:t>and</w:t>
      </w:r>
      <w:r>
        <w:rPr>
          <w:color w:val="231F20"/>
          <w:spacing w:val="-17"/>
          <w:w w:val="105"/>
        </w:rPr>
        <w:t> </w:t>
      </w:r>
      <w:r>
        <w:rPr>
          <w:color w:val="231F20"/>
          <w:w w:val="105"/>
        </w:rPr>
        <w:t>removing</w:t>
      </w:r>
      <w:r>
        <w:rPr>
          <w:color w:val="231F20"/>
          <w:spacing w:val="-18"/>
          <w:w w:val="105"/>
        </w:rPr>
        <w:t> </w:t>
      </w:r>
      <w:r>
        <w:rPr>
          <w:color w:val="231F20"/>
          <w:w w:val="105"/>
        </w:rPr>
        <w:t>substances</w:t>
      </w:r>
      <w:r>
        <w:rPr>
          <w:color w:val="231F20"/>
          <w:spacing w:val="-18"/>
          <w:w w:val="105"/>
        </w:rPr>
        <w:t> </w:t>
      </w:r>
      <w:r>
        <w:rPr>
          <w:color w:val="231F20"/>
          <w:w w:val="105"/>
        </w:rPr>
        <w:t>from</w:t>
      </w:r>
      <w:r>
        <w:rPr>
          <w:color w:val="231F20"/>
          <w:spacing w:val="-18"/>
          <w:w w:val="105"/>
        </w:rPr>
        <w:t> </w:t>
      </w:r>
      <w:r>
        <w:rPr>
          <w:color w:val="231F20"/>
          <w:spacing w:val="-7"/>
          <w:w w:val="105"/>
        </w:rPr>
        <w:t>the </w:t>
      </w:r>
      <w:r>
        <w:rPr>
          <w:color w:val="231F20"/>
          <w:w w:val="105"/>
        </w:rPr>
        <w:t>filtrate at variable rates, depending on the needs of </w:t>
      </w:r>
      <w:r>
        <w:rPr>
          <w:color w:val="231F20"/>
          <w:spacing w:val="-6"/>
          <w:w w:val="105"/>
        </w:rPr>
        <w:t>the </w:t>
      </w:r>
      <w:r>
        <w:rPr>
          <w:color w:val="231F20"/>
        </w:rPr>
        <w:t>body.</w:t>
      </w:r>
      <w:r>
        <w:rPr>
          <w:color w:val="231F20"/>
          <w:spacing w:val="-9"/>
        </w:rPr>
        <w:t> </w:t>
      </w:r>
      <w:r>
        <w:rPr>
          <w:color w:val="231F20"/>
        </w:rPr>
        <w:t>Ultimately,</w:t>
      </w:r>
      <w:r>
        <w:rPr>
          <w:color w:val="231F20"/>
          <w:spacing w:val="-8"/>
        </w:rPr>
        <w:t> </w:t>
      </w:r>
      <w:r>
        <w:rPr>
          <w:color w:val="231F20"/>
        </w:rPr>
        <w:t>the</w:t>
      </w:r>
      <w:r>
        <w:rPr>
          <w:color w:val="231F20"/>
          <w:spacing w:val="-9"/>
        </w:rPr>
        <w:t> </w:t>
      </w:r>
      <w:r>
        <w:rPr>
          <w:color w:val="231F20"/>
        </w:rPr>
        <w:t>kidneys</w:t>
      </w:r>
      <w:r>
        <w:rPr>
          <w:color w:val="231F20"/>
          <w:spacing w:val="-8"/>
        </w:rPr>
        <w:t> </w:t>
      </w:r>
      <w:r>
        <w:rPr>
          <w:color w:val="231F20"/>
        </w:rPr>
        <w:t>“clear”</w:t>
      </w:r>
      <w:r>
        <w:rPr>
          <w:color w:val="231F20"/>
          <w:spacing w:val="-9"/>
        </w:rPr>
        <w:t> </w:t>
      </w:r>
      <w:r>
        <w:rPr>
          <w:color w:val="231F20"/>
        </w:rPr>
        <w:t>unwanted</w:t>
      </w:r>
      <w:r>
        <w:rPr>
          <w:color w:val="231F20"/>
          <w:spacing w:val="-8"/>
        </w:rPr>
        <w:t> </w:t>
      </w:r>
      <w:r>
        <w:rPr>
          <w:color w:val="231F20"/>
        </w:rPr>
        <w:t>substances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filtrate</w:t>
      </w:r>
      <w:r>
        <w:rPr>
          <w:color w:val="231F20"/>
          <w:spacing w:val="-17"/>
          <w:w w:val="105"/>
        </w:rPr>
        <w:t> </w:t>
      </w:r>
      <w:r>
        <w:rPr>
          <w:color w:val="231F20"/>
          <w:w w:val="105"/>
        </w:rPr>
        <w:t>(and</w:t>
      </w:r>
      <w:r>
        <w:rPr>
          <w:color w:val="231F20"/>
          <w:spacing w:val="-16"/>
          <w:w w:val="105"/>
        </w:rPr>
        <w:t> </w:t>
      </w:r>
      <w:r>
        <w:rPr>
          <w:color w:val="231F20"/>
          <w:w w:val="105"/>
        </w:rPr>
        <w:t>therefore</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6"/>
          <w:w w:val="105"/>
        </w:rPr>
        <w:t> </w:t>
      </w:r>
      <w:r>
        <w:rPr>
          <w:color w:val="231F20"/>
          <w:w w:val="105"/>
        </w:rPr>
        <w:t>blood)</w:t>
      </w:r>
      <w:r>
        <w:rPr>
          <w:color w:val="231F20"/>
          <w:spacing w:val="-17"/>
          <w:w w:val="105"/>
        </w:rPr>
        <w:t> </w:t>
      </w:r>
      <w:r>
        <w:rPr>
          <w:color w:val="231F20"/>
          <w:w w:val="105"/>
        </w:rPr>
        <w:t>by</w:t>
      </w:r>
      <w:r>
        <w:rPr>
          <w:color w:val="231F20"/>
          <w:spacing w:val="-17"/>
          <w:w w:val="105"/>
        </w:rPr>
        <w:t> </w:t>
      </w:r>
      <w:r>
        <w:rPr>
          <w:color w:val="231F20"/>
          <w:spacing w:val="-2"/>
          <w:w w:val="105"/>
        </w:rPr>
        <w:t>excret- </w:t>
      </w:r>
      <w:r>
        <w:rPr>
          <w:color w:val="231F20"/>
          <w:w w:val="105"/>
        </w:rPr>
        <w:t>ing</w:t>
      </w:r>
      <w:r>
        <w:rPr>
          <w:color w:val="231F20"/>
          <w:spacing w:val="-5"/>
          <w:w w:val="105"/>
        </w:rPr>
        <w:t> </w:t>
      </w:r>
      <w:r>
        <w:rPr>
          <w:color w:val="231F20"/>
          <w:w w:val="105"/>
        </w:rPr>
        <w:t>them</w:t>
      </w:r>
      <w:r>
        <w:rPr>
          <w:color w:val="231F20"/>
          <w:spacing w:val="-5"/>
          <w:w w:val="105"/>
        </w:rPr>
        <w:t> </w:t>
      </w:r>
      <w:r>
        <w:rPr>
          <w:color w:val="231F20"/>
          <w:w w:val="105"/>
        </w:rPr>
        <w:t>in</w:t>
      </w:r>
      <w:r>
        <w:rPr>
          <w:color w:val="231F20"/>
          <w:spacing w:val="-4"/>
          <w:w w:val="105"/>
        </w:rPr>
        <w:t> </w:t>
      </w:r>
      <w:r>
        <w:rPr>
          <w:color w:val="231F20"/>
          <w:w w:val="105"/>
        </w:rPr>
        <w:t>the</w:t>
      </w:r>
      <w:r>
        <w:rPr>
          <w:color w:val="231F20"/>
          <w:spacing w:val="-5"/>
          <w:w w:val="105"/>
        </w:rPr>
        <w:t> </w:t>
      </w:r>
      <w:r>
        <w:rPr>
          <w:color w:val="231F20"/>
          <w:w w:val="105"/>
        </w:rPr>
        <w:t>urine</w:t>
      </w:r>
      <w:r>
        <w:rPr>
          <w:color w:val="231F20"/>
          <w:spacing w:val="-4"/>
          <w:w w:val="105"/>
        </w:rPr>
        <w:t> </w:t>
      </w:r>
      <w:r>
        <w:rPr>
          <w:color w:val="231F20"/>
          <w:w w:val="105"/>
        </w:rPr>
        <w:t>while</w:t>
      </w:r>
      <w:r>
        <w:rPr>
          <w:color w:val="231F20"/>
          <w:spacing w:val="-5"/>
          <w:w w:val="105"/>
        </w:rPr>
        <w:t> </w:t>
      </w:r>
      <w:r>
        <w:rPr>
          <w:color w:val="231F20"/>
          <w:w w:val="105"/>
        </w:rPr>
        <w:t>returning</w:t>
      </w:r>
      <w:r>
        <w:rPr>
          <w:color w:val="231F20"/>
          <w:spacing w:val="-4"/>
          <w:w w:val="105"/>
        </w:rPr>
        <w:t> </w:t>
      </w:r>
      <w:r>
        <w:rPr>
          <w:color w:val="231F20"/>
          <w:w w:val="105"/>
        </w:rPr>
        <w:t>substances</w:t>
      </w:r>
      <w:r>
        <w:rPr>
          <w:color w:val="231F20"/>
          <w:spacing w:val="-5"/>
          <w:w w:val="105"/>
        </w:rPr>
        <w:t> </w:t>
      </w:r>
      <w:r>
        <w:rPr>
          <w:color w:val="231F20"/>
          <w:w w:val="105"/>
        </w:rPr>
        <w:t>that</w:t>
      </w:r>
      <w:r>
        <w:rPr>
          <w:color w:val="231F20"/>
          <w:spacing w:val="-4"/>
          <w:w w:val="105"/>
        </w:rPr>
        <w:t> </w:t>
      </w:r>
      <w:r>
        <w:rPr>
          <w:color w:val="231F20"/>
          <w:spacing w:val="-5"/>
          <w:w w:val="105"/>
        </w:rPr>
        <w:t>are </w:t>
      </w:r>
      <w:r>
        <w:rPr>
          <w:color w:val="231F20"/>
          <w:w w:val="105"/>
        </w:rPr>
        <w:t>needed back to the</w:t>
      </w:r>
      <w:r>
        <w:rPr>
          <w:color w:val="231F20"/>
          <w:spacing w:val="11"/>
          <w:w w:val="105"/>
        </w:rPr>
        <w:t> </w:t>
      </w:r>
      <w:r>
        <w:rPr>
          <w:color w:val="231F20"/>
          <w:w w:val="105"/>
        </w:rPr>
        <w:t>blood.</w:t>
      </w:r>
    </w:p>
    <w:p>
      <w:pPr>
        <w:pStyle w:val="BodyText"/>
        <w:spacing w:line="249" w:lineRule="auto" w:before="6"/>
        <w:ind w:left="1440" w:firstLine="240"/>
        <w:jc w:val="both"/>
      </w:pPr>
      <w:r>
        <w:rPr>
          <w:color w:val="231F20"/>
          <w:w w:val="105"/>
        </w:rPr>
        <w:t>Although</w:t>
      </w:r>
      <w:r>
        <w:rPr>
          <w:color w:val="231F20"/>
          <w:spacing w:val="-11"/>
          <w:w w:val="105"/>
        </w:rPr>
        <w:t> </w:t>
      </w:r>
      <w:r>
        <w:rPr>
          <w:color w:val="231F20"/>
          <w:w w:val="105"/>
        </w:rPr>
        <w:t>this</w:t>
      </w:r>
      <w:r>
        <w:rPr>
          <w:color w:val="231F20"/>
          <w:spacing w:val="-11"/>
          <w:w w:val="105"/>
        </w:rPr>
        <w:t> </w:t>
      </w:r>
      <w:r>
        <w:rPr>
          <w:color w:val="231F20"/>
          <w:w w:val="105"/>
        </w:rPr>
        <w:t>chapter</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0"/>
          <w:w w:val="105"/>
        </w:rPr>
        <w:t> </w:t>
      </w:r>
      <w:r>
        <w:rPr>
          <w:color w:val="231F20"/>
          <w:w w:val="105"/>
        </w:rPr>
        <w:t>next</w:t>
      </w:r>
      <w:r>
        <w:rPr>
          <w:color w:val="231F20"/>
          <w:spacing w:val="-11"/>
          <w:w w:val="105"/>
        </w:rPr>
        <w:t> </w:t>
      </w:r>
      <w:r>
        <w:rPr>
          <w:color w:val="231F20"/>
          <w:w w:val="105"/>
        </w:rPr>
        <w:t>few</w:t>
      </w:r>
      <w:r>
        <w:rPr>
          <w:color w:val="231F20"/>
          <w:spacing w:val="-11"/>
          <w:w w:val="105"/>
        </w:rPr>
        <w:t> </w:t>
      </w:r>
      <w:r>
        <w:rPr>
          <w:color w:val="231F20"/>
          <w:w w:val="105"/>
        </w:rPr>
        <w:t>chapters</w:t>
      </w:r>
      <w:r>
        <w:rPr>
          <w:color w:val="231F20"/>
          <w:spacing w:val="-11"/>
          <w:w w:val="105"/>
        </w:rPr>
        <w:t> </w:t>
      </w:r>
      <w:r>
        <w:rPr>
          <w:color w:val="231F20"/>
          <w:spacing w:val="-3"/>
          <w:w w:val="105"/>
        </w:rPr>
        <w:t>focus </w:t>
      </w:r>
      <w:r>
        <w:rPr>
          <w:color w:val="231F20"/>
          <w:w w:val="105"/>
        </w:rPr>
        <w:t>mainly</w:t>
      </w:r>
      <w:r>
        <w:rPr>
          <w:color w:val="231F20"/>
          <w:spacing w:val="-14"/>
          <w:w w:val="105"/>
        </w:rPr>
        <w:t> </w:t>
      </w:r>
      <w:r>
        <w:rPr>
          <w:color w:val="231F20"/>
          <w:w w:val="105"/>
        </w:rPr>
        <w:t>on</w:t>
      </w:r>
      <w:r>
        <w:rPr>
          <w:color w:val="231F20"/>
          <w:spacing w:val="-13"/>
          <w:w w:val="105"/>
        </w:rPr>
        <w:t> </w:t>
      </w:r>
      <w:r>
        <w:rPr>
          <w:color w:val="231F20"/>
          <w:w w:val="105"/>
        </w:rPr>
        <w:t>the</w:t>
      </w:r>
      <w:r>
        <w:rPr>
          <w:color w:val="231F20"/>
          <w:spacing w:val="-14"/>
          <w:w w:val="105"/>
        </w:rPr>
        <w:t> </w:t>
      </w:r>
      <w:r>
        <w:rPr>
          <w:color w:val="231F20"/>
          <w:w w:val="105"/>
        </w:rPr>
        <w:t>control</w:t>
      </w:r>
      <w:r>
        <w:rPr>
          <w:color w:val="231F20"/>
          <w:spacing w:val="-13"/>
          <w:w w:val="105"/>
        </w:rPr>
        <w:t> </w:t>
      </w:r>
      <w:r>
        <w:rPr>
          <w:color w:val="231F20"/>
          <w:w w:val="105"/>
        </w:rPr>
        <w:t>of</w:t>
      </w:r>
      <w:r>
        <w:rPr>
          <w:color w:val="231F20"/>
          <w:spacing w:val="-14"/>
          <w:w w:val="105"/>
        </w:rPr>
        <w:t> </w:t>
      </w:r>
      <w:r>
        <w:rPr>
          <w:color w:val="231F20"/>
          <w:w w:val="105"/>
        </w:rPr>
        <w:t>renal</w:t>
      </w:r>
      <w:r>
        <w:rPr>
          <w:color w:val="231F20"/>
          <w:spacing w:val="-13"/>
          <w:w w:val="105"/>
        </w:rPr>
        <w:t> </w:t>
      </w:r>
      <w:r>
        <w:rPr>
          <w:color w:val="231F20"/>
          <w:w w:val="105"/>
        </w:rPr>
        <w:t>excretion</w:t>
      </w:r>
      <w:r>
        <w:rPr>
          <w:color w:val="231F20"/>
          <w:spacing w:val="-14"/>
          <w:w w:val="105"/>
        </w:rPr>
        <w:t> </w:t>
      </w:r>
      <w:r>
        <w:rPr>
          <w:color w:val="231F20"/>
          <w:w w:val="105"/>
        </w:rPr>
        <w:t>of</w:t>
      </w:r>
      <w:r>
        <w:rPr>
          <w:color w:val="231F20"/>
          <w:spacing w:val="-13"/>
          <w:w w:val="105"/>
        </w:rPr>
        <w:t> </w:t>
      </w:r>
      <w:r>
        <w:rPr>
          <w:color w:val="231F20"/>
          <w:spacing w:val="-3"/>
          <w:w w:val="105"/>
        </w:rPr>
        <w:t>water,</w:t>
      </w:r>
      <w:r>
        <w:rPr>
          <w:color w:val="231F20"/>
          <w:spacing w:val="-14"/>
          <w:w w:val="105"/>
        </w:rPr>
        <w:t> </w:t>
      </w:r>
      <w:r>
        <w:rPr>
          <w:color w:val="231F20"/>
          <w:spacing w:val="-3"/>
          <w:w w:val="105"/>
        </w:rPr>
        <w:t>electro- </w:t>
      </w:r>
      <w:r>
        <w:rPr>
          <w:color w:val="231F20"/>
          <w:w w:val="105"/>
        </w:rPr>
        <w:t>lytes, and metabolic waste products, the kidneys serve many important homeostatic functions, including </w:t>
      </w:r>
      <w:r>
        <w:rPr>
          <w:color w:val="231F20"/>
          <w:spacing w:val="-5"/>
          <w:w w:val="105"/>
        </w:rPr>
        <w:t>the </w:t>
      </w:r>
      <w:r>
        <w:rPr>
          <w:color w:val="231F20"/>
          <w:w w:val="105"/>
        </w:rPr>
        <w:t>following:</w:t>
      </w:r>
    </w:p>
    <w:p>
      <w:pPr>
        <w:pStyle w:val="ListParagraph"/>
        <w:numPr>
          <w:ilvl w:val="0"/>
          <w:numId w:val="5"/>
        </w:numPr>
        <w:tabs>
          <w:tab w:pos="1858" w:val="left" w:leader="none"/>
        </w:tabs>
        <w:spacing w:line="249" w:lineRule="auto" w:before="4" w:after="0"/>
        <w:ind w:left="1857" w:right="0" w:hanging="178"/>
        <w:jc w:val="both"/>
        <w:rPr>
          <w:sz w:val="20"/>
        </w:rPr>
      </w:pPr>
      <w:r>
        <w:rPr>
          <w:color w:val="231F20"/>
          <w:w w:val="105"/>
          <w:sz w:val="20"/>
        </w:rPr>
        <w:t>Excretion of metabolic waste products and foreign chemicals</w:t>
      </w:r>
    </w:p>
    <w:p>
      <w:pPr>
        <w:pStyle w:val="ListParagraph"/>
        <w:numPr>
          <w:ilvl w:val="0"/>
          <w:numId w:val="5"/>
        </w:numPr>
        <w:tabs>
          <w:tab w:pos="1858" w:val="left" w:leader="none"/>
        </w:tabs>
        <w:spacing w:line="240" w:lineRule="auto" w:before="1" w:after="0"/>
        <w:ind w:left="1857" w:right="0" w:hanging="178"/>
        <w:jc w:val="both"/>
        <w:rPr>
          <w:sz w:val="20"/>
        </w:rPr>
      </w:pPr>
      <w:r>
        <w:rPr>
          <w:color w:val="231F20"/>
          <w:sz w:val="20"/>
        </w:rPr>
        <w:t>Regulation of water and electrolyte</w:t>
      </w:r>
      <w:r>
        <w:rPr>
          <w:color w:val="231F20"/>
          <w:spacing w:val="44"/>
          <w:sz w:val="20"/>
        </w:rPr>
        <w:t> </w:t>
      </w:r>
      <w:r>
        <w:rPr>
          <w:color w:val="231F20"/>
          <w:sz w:val="20"/>
        </w:rPr>
        <w:t>balances</w:t>
      </w:r>
    </w:p>
    <w:p>
      <w:pPr>
        <w:pStyle w:val="ListParagraph"/>
        <w:numPr>
          <w:ilvl w:val="0"/>
          <w:numId w:val="5"/>
        </w:numPr>
        <w:tabs>
          <w:tab w:pos="1858" w:val="left" w:leader="none"/>
        </w:tabs>
        <w:spacing w:line="249" w:lineRule="auto" w:before="10" w:after="0"/>
        <w:ind w:left="1857" w:right="1" w:hanging="178"/>
        <w:jc w:val="left"/>
        <w:rPr>
          <w:sz w:val="20"/>
        </w:rPr>
      </w:pPr>
      <w:r>
        <w:rPr>
          <w:color w:val="231F20"/>
          <w:sz w:val="20"/>
        </w:rPr>
        <w:t>Regulation of body fluid osmolality and </w:t>
      </w:r>
      <w:r>
        <w:rPr>
          <w:color w:val="231F20"/>
          <w:spacing w:val="-3"/>
          <w:sz w:val="20"/>
        </w:rPr>
        <w:t>electrolyte </w:t>
      </w:r>
      <w:r>
        <w:rPr>
          <w:color w:val="231F20"/>
          <w:sz w:val="20"/>
        </w:rPr>
        <w:t>concentrations</w:t>
      </w:r>
    </w:p>
    <w:p>
      <w:pPr>
        <w:pStyle w:val="ListParagraph"/>
        <w:numPr>
          <w:ilvl w:val="0"/>
          <w:numId w:val="5"/>
        </w:numPr>
        <w:tabs>
          <w:tab w:pos="1858" w:val="left" w:leader="none"/>
        </w:tabs>
        <w:spacing w:line="240" w:lineRule="auto" w:before="2" w:after="0"/>
        <w:ind w:left="1857" w:right="0" w:hanging="178"/>
        <w:jc w:val="left"/>
        <w:rPr>
          <w:sz w:val="20"/>
        </w:rPr>
      </w:pPr>
      <w:r>
        <w:rPr>
          <w:color w:val="231F20"/>
          <w:sz w:val="20"/>
        </w:rPr>
        <w:t>Regulation of arterial</w:t>
      </w:r>
      <w:r>
        <w:rPr>
          <w:color w:val="231F20"/>
          <w:spacing w:val="21"/>
          <w:sz w:val="20"/>
        </w:rPr>
        <w:t> </w:t>
      </w:r>
      <w:r>
        <w:rPr>
          <w:color w:val="231F20"/>
          <w:sz w:val="20"/>
        </w:rPr>
        <w:t>pressure</w:t>
      </w:r>
    </w:p>
    <w:p>
      <w:pPr>
        <w:pStyle w:val="ListParagraph"/>
        <w:numPr>
          <w:ilvl w:val="0"/>
          <w:numId w:val="5"/>
        </w:numPr>
        <w:tabs>
          <w:tab w:pos="1858" w:val="left" w:leader="none"/>
        </w:tabs>
        <w:spacing w:line="240" w:lineRule="auto" w:before="10" w:after="0"/>
        <w:ind w:left="1857" w:right="0" w:hanging="178"/>
        <w:jc w:val="left"/>
        <w:rPr>
          <w:sz w:val="20"/>
        </w:rPr>
      </w:pPr>
      <w:r>
        <w:rPr>
          <w:color w:val="231F20"/>
          <w:sz w:val="20"/>
        </w:rPr>
        <w:t>Regulation of acid-base</w:t>
      </w:r>
      <w:r>
        <w:rPr>
          <w:color w:val="231F20"/>
          <w:spacing w:val="20"/>
          <w:sz w:val="20"/>
        </w:rPr>
        <w:t> </w:t>
      </w:r>
      <w:r>
        <w:rPr>
          <w:color w:val="231F20"/>
          <w:sz w:val="20"/>
        </w:rPr>
        <w:t>balance</w:t>
      </w:r>
    </w:p>
    <w:p>
      <w:pPr>
        <w:pStyle w:val="ListParagraph"/>
        <w:numPr>
          <w:ilvl w:val="0"/>
          <w:numId w:val="5"/>
        </w:numPr>
        <w:tabs>
          <w:tab w:pos="1858" w:val="left" w:leader="none"/>
        </w:tabs>
        <w:spacing w:line="240" w:lineRule="auto" w:before="10" w:after="0"/>
        <w:ind w:left="1857" w:right="0" w:hanging="178"/>
        <w:jc w:val="left"/>
        <w:rPr>
          <w:sz w:val="20"/>
        </w:rPr>
      </w:pPr>
      <w:r>
        <w:rPr>
          <w:color w:val="231F20"/>
          <w:w w:val="105"/>
          <w:sz w:val="20"/>
        </w:rPr>
        <w:t>Regulation of erythrocyte</w:t>
      </w:r>
      <w:r>
        <w:rPr>
          <w:color w:val="231F20"/>
          <w:spacing w:val="4"/>
          <w:w w:val="105"/>
          <w:sz w:val="20"/>
        </w:rPr>
        <w:t> </w:t>
      </w:r>
      <w:r>
        <w:rPr>
          <w:color w:val="231F20"/>
          <w:w w:val="105"/>
          <w:sz w:val="20"/>
        </w:rPr>
        <w:t>production</w:t>
      </w:r>
    </w:p>
    <w:p>
      <w:pPr>
        <w:pStyle w:val="ListParagraph"/>
        <w:numPr>
          <w:ilvl w:val="0"/>
          <w:numId w:val="5"/>
        </w:numPr>
        <w:tabs>
          <w:tab w:pos="1858" w:val="left" w:leader="none"/>
        </w:tabs>
        <w:spacing w:line="240" w:lineRule="auto" w:before="10" w:after="0"/>
        <w:ind w:left="1857" w:right="0" w:hanging="178"/>
        <w:jc w:val="left"/>
        <w:rPr>
          <w:sz w:val="20"/>
        </w:rPr>
      </w:pPr>
      <w:r>
        <w:rPr>
          <w:color w:val="231F20"/>
          <w:w w:val="105"/>
          <w:sz w:val="20"/>
        </w:rPr>
        <w:t>Secretion, metabolism, and excretion of</w:t>
      </w:r>
      <w:r>
        <w:rPr>
          <w:color w:val="231F20"/>
          <w:spacing w:val="-37"/>
          <w:w w:val="105"/>
          <w:sz w:val="20"/>
        </w:rPr>
        <w:t> </w:t>
      </w:r>
      <w:r>
        <w:rPr>
          <w:color w:val="231F20"/>
          <w:w w:val="105"/>
          <w:sz w:val="20"/>
        </w:rPr>
        <w:t>hormones</w:t>
      </w:r>
    </w:p>
    <w:p>
      <w:pPr>
        <w:pStyle w:val="ListParagraph"/>
        <w:numPr>
          <w:ilvl w:val="0"/>
          <w:numId w:val="5"/>
        </w:numPr>
        <w:tabs>
          <w:tab w:pos="1858" w:val="left" w:leader="none"/>
        </w:tabs>
        <w:spacing w:line="240" w:lineRule="auto" w:before="10" w:after="0"/>
        <w:ind w:left="1857" w:right="0" w:hanging="178"/>
        <w:jc w:val="left"/>
        <w:rPr>
          <w:sz w:val="20"/>
        </w:rPr>
      </w:pPr>
      <w:r>
        <w:rPr>
          <w:color w:val="231F20"/>
          <w:sz w:val="20"/>
        </w:rPr>
        <w:t>Gluconeogenesis</w:t>
      </w:r>
    </w:p>
    <w:p>
      <w:pPr>
        <w:pStyle w:val="BodyText"/>
        <w:spacing w:before="5"/>
        <w:rPr>
          <w:sz w:val="22"/>
        </w:rPr>
      </w:pPr>
    </w:p>
    <w:p>
      <w:pPr>
        <w:spacing w:line="252" w:lineRule="auto" w:before="0"/>
        <w:ind w:left="1440" w:right="0" w:firstLine="0"/>
        <w:jc w:val="both"/>
        <w:rPr>
          <w:sz w:val="20"/>
        </w:rPr>
      </w:pPr>
      <w:r>
        <w:rPr>
          <w:rFonts w:ascii="Trebuchet MS"/>
          <w:b/>
          <w:color w:val="231F20"/>
          <w:sz w:val="19"/>
        </w:rPr>
        <w:t>Excretion of Metabolic Waste Products, Foreign Chemicals, Drugs, and Hormone Metabolites. </w:t>
      </w:r>
      <w:r>
        <w:rPr>
          <w:color w:val="231F20"/>
          <w:sz w:val="20"/>
        </w:rPr>
        <w:t>The kidneys are the primary means for eliminating waste products of metabolism that are no longer needed by the body. These products include </w:t>
      </w:r>
      <w:r>
        <w:rPr>
          <w:i/>
          <w:color w:val="231F20"/>
          <w:sz w:val="20"/>
        </w:rPr>
        <w:t>urea </w:t>
      </w:r>
      <w:r>
        <w:rPr>
          <w:color w:val="231F20"/>
          <w:sz w:val="20"/>
        </w:rPr>
        <w:t>(from the metabolism</w:t>
      </w:r>
    </w:p>
    <w:p>
      <w:pPr>
        <w:pStyle w:val="BodyText"/>
        <w:spacing w:before="7"/>
        <w:rPr>
          <w:sz w:val="22"/>
        </w:rPr>
      </w:pPr>
      <w:r>
        <w:rPr/>
        <w:br w:type="column"/>
      </w:r>
      <w:r>
        <w:rPr>
          <w:sz w:val="22"/>
        </w:rPr>
      </w:r>
    </w:p>
    <w:p>
      <w:pPr>
        <w:spacing w:line="249" w:lineRule="auto" w:before="0"/>
        <w:ind w:left="319" w:right="1077" w:firstLine="0"/>
        <w:jc w:val="both"/>
        <w:rPr>
          <w:sz w:val="20"/>
        </w:rPr>
      </w:pPr>
      <w:r>
        <w:rPr/>
        <w:pict>
          <v:rect style="position:absolute;margin-left:576pt;margin-top:-28.014038pt;width:36pt;height:24pt;mso-position-horizontal-relative:page;mso-position-vertical-relative:paragraph;z-index:251801600" filled="true" fillcolor="#e8dac8" stroked="false">
            <v:fill type="solid"/>
            <w10:wrap type="none"/>
          </v:rect>
        </w:pict>
      </w:r>
      <w:r>
        <w:rPr/>
        <w:pict>
          <v:shape style="position:absolute;margin-left:578.900024pt;margin-top:-104.356735pt;width:15.9pt;height:53.35pt;mso-position-horizontal-relative:page;mso-position-vertical-relative:paragraph;z-index:25180364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sz w:val="20"/>
        </w:rPr>
        <w:t>of amino acids), </w:t>
      </w:r>
      <w:r>
        <w:rPr>
          <w:i/>
          <w:color w:val="231F20"/>
          <w:sz w:val="20"/>
        </w:rPr>
        <w:t>creatinine </w:t>
      </w:r>
      <w:r>
        <w:rPr>
          <w:color w:val="231F20"/>
          <w:sz w:val="20"/>
        </w:rPr>
        <w:t>(from muscle creatine), </w:t>
      </w:r>
      <w:r>
        <w:rPr>
          <w:i/>
          <w:color w:val="231F20"/>
          <w:sz w:val="20"/>
        </w:rPr>
        <w:t>uric </w:t>
      </w:r>
      <w:r>
        <w:rPr>
          <w:i/>
          <w:color w:val="231F20"/>
          <w:sz w:val="20"/>
        </w:rPr>
        <w:t>acid </w:t>
      </w:r>
      <w:r>
        <w:rPr>
          <w:color w:val="231F20"/>
          <w:sz w:val="20"/>
        </w:rPr>
        <w:t>(from nucleic acids), </w:t>
      </w:r>
      <w:r>
        <w:rPr>
          <w:i/>
          <w:color w:val="231F20"/>
          <w:sz w:val="20"/>
        </w:rPr>
        <w:t>end products of </w:t>
      </w:r>
      <w:r>
        <w:rPr>
          <w:i/>
          <w:color w:val="231F20"/>
          <w:spacing w:val="-3"/>
          <w:sz w:val="20"/>
        </w:rPr>
        <w:t>hemoglobin </w:t>
      </w:r>
      <w:r>
        <w:rPr>
          <w:i/>
          <w:color w:val="231F20"/>
          <w:sz w:val="20"/>
        </w:rPr>
        <w:t>breakdown </w:t>
      </w:r>
      <w:r>
        <w:rPr>
          <w:color w:val="231F20"/>
          <w:sz w:val="20"/>
        </w:rPr>
        <w:t>(such as bilirubin), and </w:t>
      </w:r>
      <w:r>
        <w:rPr>
          <w:i/>
          <w:color w:val="231F20"/>
          <w:sz w:val="20"/>
        </w:rPr>
        <w:t>metabolites of various </w:t>
      </w:r>
      <w:r>
        <w:rPr>
          <w:i/>
          <w:color w:val="231F20"/>
          <w:sz w:val="20"/>
        </w:rPr>
        <w:t>hormones. </w:t>
      </w:r>
      <w:r>
        <w:rPr>
          <w:color w:val="231F20"/>
          <w:sz w:val="20"/>
        </w:rPr>
        <w:t>These waste products must be eliminated from the body as rapidly as they are produced. The kidneys </w:t>
      </w:r>
      <w:r>
        <w:rPr>
          <w:color w:val="231F20"/>
          <w:spacing w:val="-4"/>
          <w:sz w:val="20"/>
        </w:rPr>
        <w:t>also </w:t>
      </w:r>
      <w:r>
        <w:rPr>
          <w:color w:val="231F20"/>
          <w:sz w:val="20"/>
        </w:rPr>
        <w:t>eliminate most toxins and other foreign substances that are either produced by the body or ingested, such as pes- ticides, drugs, and food</w:t>
      </w:r>
      <w:r>
        <w:rPr>
          <w:color w:val="231F20"/>
          <w:spacing w:val="29"/>
          <w:sz w:val="20"/>
        </w:rPr>
        <w:t> </w:t>
      </w:r>
      <w:r>
        <w:rPr>
          <w:color w:val="231F20"/>
          <w:sz w:val="20"/>
        </w:rPr>
        <w:t>additives.</w:t>
      </w:r>
    </w:p>
    <w:p>
      <w:pPr>
        <w:pStyle w:val="BodyText"/>
        <w:spacing w:line="249" w:lineRule="auto" w:before="247"/>
        <w:ind w:left="319" w:right="1077"/>
        <w:jc w:val="both"/>
      </w:pPr>
      <w:r>
        <w:rPr>
          <w:rFonts w:ascii="Trebuchet MS"/>
          <w:b/>
          <w:color w:val="231F20"/>
          <w:w w:val="105"/>
          <w:sz w:val="19"/>
        </w:rPr>
        <w:t>Regulation of Water and Electrolyte Balances. </w:t>
      </w:r>
      <w:r>
        <w:rPr>
          <w:color w:val="231F20"/>
          <w:spacing w:val="-8"/>
          <w:w w:val="105"/>
        </w:rPr>
        <w:t>For </w:t>
      </w:r>
      <w:r>
        <w:rPr>
          <w:color w:val="231F20"/>
          <w:w w:val="105"/>
        </w:rPr>
        <w:t>maintenance</w:t>
      </w:r>
      <w:r>
        <w:rPr>
          <w:color w:val="231F20"/>
          <w:spacing w:val="-21"/>
          <w:w w:val="105"/>
        </w:rPr>
        <w:t> </w:t>
      </w:r>
      <w:r>
        <w:rPr>
          <w:color w:val="231F20"/>
          <w:w w:val="105"/>
        </w:rPr>
        <w:t>of</w:t>
      </w:r>
      <w:r>
        <w:rPr>
          <w:color w:val="231F20"/>
          <w:spacing w:val="-20"/>
          <w:w w:val="105"/>
        </w:rPr>
        <w:t> </w:t>
      </w:r>
      <w:r>
        <w:rPr>
          <w:color w:val="231F20"/>
          <w:w w:val="105"/>
        </w:rPr>
        <w:t>homeostasis,</w:t>
      </w:r>
      <w:r>
        <w:rPr>
          <w:color w:val="231F20"/>
          <w:spacing w:val="-20"/>
          <w:w w:val="105"/>
        </w:rPr>
        <w:t> </w:t>
      </w:r>
      <w:r>
        <w:rPr>
          <w:color w:val="231F20"/>
          <w:w w:val="105"/>
        </w:rPr>
        <w:t>excretion</w:t>
      </w:r>
      <w:r>
        <w:rPr>
          <w:color w:val="231F20"/>
          <w:spacing w:val="-20"/>
          <w:w w:val="105"/>
        </w:rPr>
        <w:t> </w:t>
      </w:r>
      <w:r>
        <w:rPr>
          <w:color w:val="231F20"/>
          <w:w w:val="105"/>
        </w:rPr>
        <w:t>of</w:t>
      </w:r>
      <w:r>
        <w:rPr>
          <w:color w:val="231F20"/>
          <w:spacing w:val="-20"/>
          <w:w w:val="105"/>
        </w:rPr>
        <w:t> </w:t>
      </w:r>
      <w:r>
        <w:rPr>
          <w:color w:val="231F20"/>
          <w:w w:val="105"/>
        </w:rPr>
        <w:t>water</w:t>
      </w:r>
      <w:r>
        <w:rPr>
          <w:color w:val="231F20"/>
          <w:spacing w:val="-20"/>
          <w:w w:val="105"/>
        </w:rPr>
        <w:t> </w:t>
      </w:r>
      <w:r>
        <w:rPr>
          <w:color w:val="231F20"/>
          <w:w w:val="105"/>
        </w:rPr>
        <w:t>and</w:t>
      </w:r>
      <w:r>
        <w:rPr>
          <w:color w:val="231F20"/>
          <w:spacing w:val="-20"/>
          <w:w w:val="105"/>
        </w:rPr>
        <w:t> </w:t>
      </w:r>
      <w:r>
        <w:rPr>
          <w:color w:val="231F20"/>
          <w:w w:val="105"/>
        </w:rPr>
        <w:t>elec- trolytes must precisely match intake. If intake exceeds excretion, the amount of that substance in the body will increase. If intake is less than excretion, the amount </w:t>
      </w:r>
      <w:r>
        <w:rPr>
          <w:color w:val="231F20"/>
          <w:spacing w:val="-7"/>
          <w:w w:val="105"/>
        </w:rPr>
        <w:t>of </w:t>
      </w:r>
      <w:r>
        <w:rPr>
          <w:color w:val="231F20"/>
          <w:w w:val="105"/>
        </w:rPr>
        <w:t>that substance in the body will decrease. Although tem- porary (or cyclic) imbalances of water and electrolytes may</w:t>
      </w:r>
      <w:r>
        <w:rPr>
          <w:color w:val="231F20"/>
          <w:spacing w:val="-9"/>
          <w:w w:val="105"/>
        </w:rPr>
        <w:t> </w:t>
      </w:r>
      <w:r>
        <w:rPr>
          <w:color w:val="231F20"/>
          <w:w w:val="105"/>
        </w:rPr>
        <w:t>occur</w:t>
      </w:r>
      <w:r>
        <w:rPr>
          <w:color w:val="231F20"/>
          <w:spacing w:val="-9"/>
          <w:w w:val="105"/>
        </w:rPr>
        <w:t> </w:t>
      </w:r>
      <w:r>
        <w:rPr>
          <w:color w:val="231F20"/>
          <w:w w:val="105"/>
        </w:rPr>
        <w:t>in</w:t>
      </w:r>
      <w:r>
        <w:rPr>
          <w:color w:val="231F20"/>
          <w:spacing w:val="-9"/>
          <w:w w:val="105"/>
        </w:rPr>
        <w:t> </w:t>
      </w:r>
      <w:r>
        <w:rPr>
          <w:color w:val="231F20"/>
          <w:w w:val="105"/>
        </w:rPr>
        <w:t>various</w:t>
      </w:r>
      <w:r>
        <w:rPr>
          <w:color w:val="231F20"/>
          <w:spacing w:val="-9"/>
          <w:w w:val="105"/>
        </w:rPr>
        <w:t> </w:t>
      </w:r>
      <w:r>
        <w:rPr>
          <w:color w:val="231F20"/>
          <w:w w:val="105"/>
        </w:rPr>
        <w:t>physiological</w:t>
      </w:r>
      <w:r>
        <w:rPr>
          <w:color w:val="231F20"/>
          <w:spacing w:val="-9"/>
          <w:w w:val="105"/>
        </w:rPr>
        <w:t> </w:t>
      </w:r>
      <w:r>
        <w:rPr>
          <w:color w:val="231F20"/>
          <w:w w:val="105"/>
        </w:rPr>
        <w:t>and</w:t>
      </w:r>
      <w:r>
        <w:rPr>
          <w:color w:val="231F20"/>
          <w:spacing w:val="-9"/>
          <w:w w:val="105"/>
        </w:rPr>
        <w:t> </w:t>
      </w:r>
      <w:r>
        <w:rPr>
          <w:color w:val="231F20"/>
          <w:w w:val="105"/>
        </w:rPr>
        <w:t>pathophysiolog- ical conditions associated with altered intake or renal excretion,</w:t>
      </w:r>
      <w:r>
        <w:rPr>
          <w:color w:val="231F20"/>
          <w:spacing w:val="-14"/>
          <w:w w:val="105"/>
        </w:rPr>
        <w:t> </w:t>
      </w:r>
      <w:r>
        <w:rPr>
          <w:color w:val="231F20"/>
          <w:w w:val="105"/>
        </w:rPr>
        <w:t>the</w:t>
      </w:r>
      <w:r>
        <w:rPr>
          <w:color w:val="231F20"/>
          <w:spacing w:val="-14"/>
          <w:w w:val="105"/>
        </w:rPr>
        <w:t> </w:t>
      </w:r>
      <w:r>
        <w:rPr>
          <w:color w:val="231F20"/>
          <w:w w:val="105"/>
        </w:rPr>
        <w:t>maintenance</w:t>
      </w:r>
      <w:r>
        <w:rPr>
          <w:color w:val="231F20"/>
          <w:spacing w:val="-14"/>
          <w:w w:val="105"/>
        </w:rPr>
        <w:t> </w:t>
      </w:r>
      <w:r>
        <w:rPr>
          <w:color w:val="231F20"/>
          <w:w w:val="105"/>
        </w:rPr>
        <w:t>of</w:t>
      </w:r>
      <w:r>
        <w:rPr>
          <w:color w:val="231F20"/>
          <w:spacing w:val="-14"/>
          <w:w w:val="105"/>
        </w:rPr>
        <w:t> </w:t>
      </w:r>
      <w:r>
        <w:rPr>
          <w:color w:val="231F20"/>
          <w:w w:val="105"/>
        </w:rPr>
        <w:t>life</w:t>
      </w:r>
      <w:r>
        <w:rPr>
          <w:color w:val="231F20"/>
          <w:spacing w:val="-14"/>
          <w:w w:val="105"/>
        </w:rPr>
        <w:t> </w:t>
      </w:r>
      <w:r>
        <w:rPr>
          <w:color w:val="231F20"/>
          <w:w w:val="105"/>
        </w:rPr>
        <w:t>depends</w:t>
      </w:r>
      <w:r>
        <w:rPr>
          <w:color w:val="231F20"/>
          <w:spacing w:val="-14"/>
          <w:w w:val="105"/>
        </w:rPr>
        <w:t> </w:t>
      </w:r>
      <w:r>
        <w:rPr>
          <w:color w:val="231F20"/>
          <w:w w:val="105"/>
        </w:rPr>
        <w:t>on</w:t>
      </w:r>
      <w:r>
        <w:rPr>
          <w:color w:val="231F20"/>
          <w:spacing w:val="-14"/>
          <w:w w:val="105"/>
        </w:rPr>
        <w:t> </w:t>
      </w:r>
      <w:r>
        <w:rPr>
          <w:color w:val="231F20"/>
          <w:w w:val="105"/>
        </w:rPr>
        <w:t>restoration of water and electrolyte</w:t>
      </w:r>
      <w:r>
        <w:rPr>
          <w:color w:val="231F20"/>
          <w:spacing w:val="5"/>
          <w:w w:val="105"/>
        </w:rPr>
        <w:t> </w:t>
      </w:r>
      <w:r>
        <w:rPr>
          <w:color w:val="231F20"/>
          <w:w w:val="105"/>
        </w:rPr>
        <w:t>balance.</w:t>
      </w:r>
    </w:p>
    <w:p>
      <w:pPr>
        <w:pStyle w:val="BodyText"/>
        <w:spacing w:line="249" w:lineRule="auto" w:before="9"/>
        <w:ind w:left="319" w:right="1077" w:firstLine="240"/>
        <w:jc w:val="both"/>
      </w:pPr>
      <w:r>
        <w:rPr>
          <w:color w:val="231F20"/>
          <w:w w:val="105"/>
        </w:rPr>
        <w:t>Intake of water and many electrolytes is governed mainly</w:t>
      </w:r>
      <w:r>
        <w:rPr>
          <w:color w:val="231F20"/>
          <w:spacing w:val="-22"/>
          <w:w w:val="105"/>
        </w:rPr>
        <w:t> </w:t>
      </w:r>
      <w:r>
        <w:rPr>
          <w:color w:val="231F20"/>
          <w:w w:val="105"/>
        </w:rPr>
        <w:t>by</w:t>
      </w:r>
      <w:r>
        <w:rPr>
          <w:color w:val="231F20"/>
          <w:spacing w:val="-22"/>
          <w:w w:val="105"/>
        </w:rPr>
        <w:t> </w:t>
      </w:r>
      <w:r>
        <w:rPr>
          <w:color w:val="231F20"/>
          <w:w w:val="105"/>
        </w:rPr>
        <w:t>a</w:t>
      </w:r>
      <w:r>
        <w:rPr>
          <w:color w:val="231F20"/>
          <w:spacing w:val="-22"/>
          <w:w w:val="105"/>
        </w:rPr>
        <w:t> </w:t>
      </w:r>
      <w:r>
        <w:rPr>
          <w:color w:val="231F20"/>
          <w:spacing w:val="-3"/>
          <w:w w:val="105"/>
        </w:rPr>
        <w:t>person’s</w:t>
      </w:r>
      <w:r>
        <w:rPr>
          <w:color w:val="231F20"/>
          <w:spacing w:val="-22"/>
          <w:w w:val="105"/>
        </w:rPr>
        <w:t> </w:t>
      </w:r>
      <w:r>
        <w:rPr>
          <w:color w:val="231F20"/>
          <w:w w:val="105"/>
        </w:rPr>
        <w:t>eating</w:t>
      </w:r>
      <w:r>
        <w:rPr>
          <w:color w:val="231F20"/>
          <w:spacing w:val="-22"/>
          <w:w w:val="105"/>
        </w:rPr>
        <w:t> </w:t>
      </w:r>
      <w:r>
        <w:rPr>
          <w:color w:val="231F20"/>
          <w:w w:val="105"/>
        </w:rPr>
        <w:t>and</w:t>
      </w:r>
      <w:r>
        <w:rPr>
          <w:color w:val="231F20"/>
          <w:spacing w:val="-22"/>
          <w:w w:val="105"/>
        </w:rPr>
        <w:t> </w:t>
      </w:r>
      <w:r>
        <w:rPr>
          <w:color w:val="231F20"/>
          <w:w w:val="105"/>
        </w:rPr>
        <w:t>drinking</w:t>
      </w:r>
      <w:r>
        <w:rPr>
          <w:color w:val="231F20"/>
          <w:spacing w:val="-22"/>
          <w:w w:val="105"/>
        </w:rPr>
        <w:t> </w:t>
      </w:r>
      <w:r>
        <w:rPr>
          <w:color w:val="231F20"/>
          <w:w w:val="105"/>
        </w:rPr>
        <w:t>habits,</w:t>
      </w:r>
      <w:r>
        <w:rPr>
          <w:color w:val="231F20"/>
          <w:spacing w:val="-22"/>
          <w:w w:val="105"/>
        </w:rPr>
        <w:t> </w:t>
      </w:r>
      <w:r>
        <w:rPr>
          <w:color w:val="231F20"/>
          <w:w w:val="105"/>
        </w:rPr>
        <w:t>requiring the kidneys to adjust their excretion rates to match the intakes of various substances. </w:t>
      </w:r>
      <w:hyperlink w:history="true" w:anchor="_bookmark12">
        <w:r>
          <w:rPr>
            <w:b/>
            <w:color w:val="0080AC"/>
            <w:w w:val="105"/>
          </w:rPr>
          <w:t>Figure 26-1</w:t>
        </w:r>
      </w:hyperlink>
      <w:r>
        <w:rPr>
          <w:b/>
          <w:color w:val="0080AC"/>
          <w:w w:val="105"/>
        </w:rPr>
        <w:t> </w:t>
      </w:r>
      <w:r>
        <w:rPr>
          <w:color w:val="231F20"/>
          <w:w w:val="105"/>
        </w:rPr>
        <w:t>shows the response of the kidneys to a sudden 10-fold increase </w:t>
      </w:r>
      <w:r>
        <w:rPr>
          <w:color w:val="231F20"/>
          <w:spacing w:val="-6"/>
          <w:w w:val="105"/>
        </w:rPr>
        <w:t>in </w:t>
      </w:r>
      <w:r>
        <w:rPr>
          <w:color w:val="231F20"/>
          <w:w w:val="105"/>
        </w:rPr>
        <w:t>sodium intake from a low level of 30 mEq/day to a</w:t>
      </w:r>
      <w:r>
        <w:rPr>
          <w:color w:val="231F20"/>
          <w:spacing w:val="-32"/>
          <w:w w:val="105"/>
        </w:rPr>
        <w:t> </w:t>
      </w:r>
      <w:r>
        <w:rPr>
          <w:color w:val="231F20"/>
          <w:w w:val="105"/>
        </w:rPr>
        <w:t>high level of 300 mEq/day. Within 2 to 3 days after raising the</w:t>
      </w:r>
      <w:r>
        <w:rPr>
          <w:color w:val="231F20"/>
          <w:spacing w:val="-17"/>
          <w:w w:val="105"/>
        </w:rPr>
        <w:t> </w:t>
      </w:r>
      <w:r>
        <w:rPr>
          <w:color w:val="231F20"/>
          <w:w w:val="105"/>
        </w:rPr>
        <w:t>sodium</w:t>
      </w:r>
      <w:r>
        <w:rPr>
          <w:color w:val="231F20"/>
          <w:spacing w:val="-16"/>
          <w:w w:val="105"/>
        </w:rPr>
        <w:t> </w:t>
      </w:r>
      <w:r>
        <w:rPr>
          <w:color w:val="231F20"/>
          <w:w w:val="105"/>
        </w:rPr>
        <w:t>intake,</w:t>
      </w:r>
      <w:r>
        <w:rPr>
          <w:color w:val="231F20"/>
          <w:spacing w:val="-16"/>
          <w:w w:val="105"/>
        </w:rPr>
        <w:t> </w:t>
      </w:r>
      <w:r>
        <w:rPr>
          <w:color w:val="231F20"/>
          <w:w w:val="105"/>
        </w:rPr>
        <w:t>renal</w:t>
      </w:r>
      <w:r>
        <w:rPr>
          <w:color w:val="231F20"/>
          <w:spacing w:val="-16"/>
          <w:w w:val="105"/>
        </w:rPr>
        <w:t> </w:t>
      </w:r>
      <w:r>
        <w:rPr>
          <w:color w:val="231F20"/>
          <w:w w:val="105"/>
        </w:rPr>
        <w:t>excretion</w:t>
      </w:r>
      <w:r>
        <w:rPr>
          <w:color w:val="231F20"/>
          <w:spacing w:val="-16"/>
          <w:w w:val="105"/>
        </w:rPr>
        <w:t> </w:t>
      </w:r>
      <w:r>
        <w:rPr>
          <w:color w:val="231F20"/>
          <w:w w:val="105"/>
        </w:rPr>
        <w:t>also</w:t>
      </w:r>
      <w:r>
        <w:rPr>
          <w:color w:val="231F20"/>
          <w:spacing w:val="-16"/>
          <w:w w:val="105"/>
        </w:rPr>
        <w:t> </w:t>
      </w:r>
      <w:r>
        <w:rPr>
          <w:color w:val="231F20"/>
          <w:w w:val="105"/>
        </w:rPr>
        <w:t>increases</w:t>
      </w:r>
      <w:r>
        <w:rPr>
          <w:color w:val="231F20"/>
          <w:spacing w:val="-16"/>
          <w:w w:val="105"/>
        </w:rPr>
        <w:t> </w:t>
      </w:r>
      <w:r>
        <w:rPr>
          <w:color w:val="231F20"/>
          <w:w w:val="105"/>
        </w:rPr>
        <w:t>to</w:t>
      </w:r>
      <w:r>
        <w:rPr>
          <w:color w:val="231F20"/>
          <w:spacing w:val="-16"/>
          <w:w w:val="105"/>
        </w:rPr>
        <w:t> </w:t>
      </w:r>
      <w:r>
        <w:rPr>
          <w:color w:val="231F20"/>
          <w:w w:val="105"/>
        </w:rPr>
        <w:t>about 300</w:t>
      </w:r>
      <w:r>
        <w:rPr>
          <w:color w:val="231F20"/>
          <w:spacing w:val="-6"/>
          <w:w w:val="105"/>
        </w:rPr>
        <w:t> </w:t>
      </w:r>
      <w:r>
        <w:rPr>
          <w:color w:val="231F20"/>
          <w:w w:val="105"/>
        </w:rPr>
        <w:t>mEq/day</w:t>
      </w:r>
      <w:r>
        <w:rPr>
          <w:color w:val="231F20"/>
          <w:spacing w:val="-18"/>
          <w:w w:val="105"/>
        </w:rPr>
        <w:t> </w:t>
      </w:r>
      <w:r>
        <w:rPr>
          <w:color w:val="231F20"/>
          <w:w w:val="105"/>
        </w:rPr>
        <w:t>so</w:t>
      </w:r>
      <w:r>
        <w:rPr>
          <w:color w:val="231F20"/>
          <w:spacing w:val="-18"/>
          <w:w w:val="105"/>
        </w:rPr>
        <w:t> </w:t>
      </w:r>
      <w:r>
        <w:rPr>
          <w:color w:val="231F20"/>
          <w:w w:val="105"/>
        </w:rPr>
        <w:t>that</w:t>
      </w:r>
      <w:r>
        <w:rPr>
          <w:color w:val="231F20"/>
          <w:spacing w:val="-18"/>
          <w:w w:val="105"/>
        </w:rPr>
        <w:t> </w:t>
      </w:r>
      <w:r>
        <w:rPr>
          <w:color w:val="231F20"/>
          <w:w w:val="105"/>
        </w:rPr>
        <w:t>a</w:t>
      </w:r>
      <w:r>
        <w:rPr>
          <w:color w:val="231F20"/>
          <w:spacing w:val="-18"/>
          <w:w w:val="105"/>
        </w:rPr>
        <w:t> </w:t>
      </w:r>
      <w:r>
        <w:rPr>
          <w:color w:val="231F20"/>
          <w:w w:val="105"/>
        </w:rPr>
        <w:t>balance</w:t>
      </w:r>
      <w:r>
        <w:rPr>
          <w:color w:val="231F20"/>
          <w:spacing w:val="-18"/>
          <w:w w:val="105"/>
        </w:rPr>
        <w:t> </w:t>
      </w:r>
      <w:r>
        <w:rPr>
          <w:color w:val="231F20"/>
          <w:w w:val="105"/>
        </w:rPr>
        <w:t>between</w:t>
      </w:r>
      <w:r>
        <w:rPr>
          <w:color w:val="231F20"/>
          <w:spacing w:val="-18"/>
          <w:w w:val="105"/>
        </w:rPr>
        <w:t> </w:t>
      </w:r>
      <w:r>
        <w:rPr>
          <w:color w:val="231F20"/>
          <w:w w:val="105"/>
        </w:rPr>
        <w:t>intake</w:t>
      </w:r>
      <w:r>
        <w:rPr>
          <w:color w:val="231F20"/>
          <w:spacing w:val="-18"/>
          <w:w w:val="105"/>
        </w:rPr>
        <w:t> </w:t>
      </w:r>
      <w:r>
        <w:rPr>
          <w:color w:val="231F20"/>
          <w:w w:val="105"/>
        </w:rPr>
        <w:t>and</w:t>
      </w:r>
      <w:r>
        <w:rPr>
          <w:color w:val="231F20"/>
          <w:spacing w:val="-18"/>
          <w:w w:val="105"/>
        </w:rPr>
        <w:t> </w:t>
      </w:r>
      <w:r>
        <w:rPr>
          <w:color w:val="231F20"/>
          <w:spacing w:val="-3"/>
          <w:w w:val="105"/>
        </w:rPr>
        <w:t>output </w:t>
      </w:r>
      <w:r>
        <w:rPr>
          <w:color w:val="231F20"/>
          <w:w w:val="105"/>
        </w:rPr>
        <w:t>is</w:t>
      </w:r>
      <w:r>
        <w:rPr>
          <w:color w:val="231F20"/>
          <w:spacing w:val="-14"/>
          <w:w w:val="105"/>
        </w:rPr>
        <w:t> </w:t>
      </w:r>
      <w:r>
        <w:rPr>
          <w:color w:val="231F20"/>
          <w:w w:val="105"/>
        </w:rPr>
        <w:t>rapidly</w:t>
      </w:r>
      <w:r>
        <w:rPr>
          <w:color w:val="231F20"/>
          <w:spacing w:val="-15"/>
          <w:w w:val="105"/>
        </w:rPr>
        <w:t> </w:t>
      </w:r>
      <w:r>
        <w:rPr>
          <w:color w:val="231F20"/>
          <w:w w:val="105"/>
        </w:rPr>
        <w:t>re-established.</w:t>
      </w:r>
      <w:r>
        <w:rPr>
          <w:color w:val="231F20"/>
          <w:spacing w:val="-14"/>
          <w:w w:val="105"/>
        </w:rPr>
        <w:t> </w:t>
      </w:r>
      <w:r>
        <w:rPr>
          <w:color w:val="231F20"/>
          <w:w w:val="105"/>
        </w:rPr>
        <w:t>However,</w:t>
      </w:r>
      <w:r>
        <w:rPr>
          <w:color w:val="231F20"/>
          <w:spacing w:val="-14"/>
          <w:w w:val="105"/>
        </w:rPr>
        <w:t> </w:t>
      </w:r>
      <w:r>
        <w:rPr>
          <w:color w:val="231F20"/>
          <w:w w:val="105"/>
        </w:rPr>
        <w:t>during</w:t>
      </w:r>
      <w:r>
        <w:rPr>
          <w:color w:val="231F20"/>
          <w:spacing w:val="-14"/>
          <w:w w:val="105"/>
        </w:rPr>
        <w:t> </w:t>
      </w:r>
      <w:r>
        <w:rPr>
          <w:color w:val="231F20"/>
          <w:w w:val="105"/>
        </w:rPr>
        <w:t>the</w:t>
      </w:r>
      <w:r>
        <w:rPr>
          <w:color w:val="231F20"/>
          <w:spacing w:val="-14"/>
          <w:w w:val="105"/>
        </w:rPr>
        <w:t> </w:t>
      </w:r>
      <w:r>
        <w:rPr>
          <w:color w:val="231F20"/>
          <w:w w:val="105"/>
        </w:rPr>
        <w:t>2</w:t>
      </w:r>
      <w:r>
        <w:rPr>
          <w:color w:val="231F20"/>
          <w:spacing w:val="-14"/>
          <w:w w:val="105"/>
        </w:rPr>
        <w:t> </w:t>
      </w:r>
      <w:r>
        <w:rPr>
          <w:color w:val="231F20"/>
          <w:w w:val="105"/>
        </w:rPr>
        <w:t>to</w:t>
      </w:r>
      <w:r>
        <w:rPr>
          <w:color w:val="231F20"/>
          <w:spacing w:val="-14"/>
          <w:w w:val="105"/>
        </w:rPr>
        <w:t> </w:t>
      </w:r>
      <w:r>
        <w:rPr>
          <w:color w:val="231F20"/>
          <w:w w:val="105"/>
        </w:rPr>
        <w:t>3</w:t>
      </w:r>
      <w:r>
        <w:rPr>
          <w:color w:val="231F20"/>
          <w:spacing w:val="-14"/>
          <w:w w:val="105"/>
        </w:rPr>
        <w:t> </w:t>
      </w:r>
      <w:r>
        <w:rPr>
          <w:color w:val="231F20"/>
          <w:spacing w:val="-4"/>
          <w:w w:val="105"/>
        </w:rPr>
        <w:t>days </w:t>
      </w:r>
      <w:r>
        <w:rPr>
          <w:color w:val="231F20"/>
          <w:w w:val="105"/>
        </w:rPr>
        <w:t>of renal adaptation to the high sodium intake, there is a modest accumulation of sodium that raises</w:t>
      </w:r>
      <w:r>
        <w:rPr>
          <w:color w:val="231F20"/>
          <w:spacing w:val="-15"/>
          <w:w w:val="105"/>
        </w:rPr>
        <w:t> </w:t>
      </w:r>
      <w:r>
        <w:rPr>
          <w:color w:val="231F20"/>
          <w:w w:val="105"/>
        </w:rPr>
        <w:t>extracellular fluid</w:t>
      </w:r>
      <w:r>
        <w:rPr>
          <w:color w:val="231F20"/>
          <w:spacing w:val="-11"/>
          <w:w w:val="105"/>
        </w:rPr>
        <w:t> </w:t>
      </w:r>
      <w:r>
        <w:rPr>
          <w:color w:val="231F20"/>
          <w:w w:val="105"/>
        </w:rPr>
        <w:t>volume</w:t>
      </w:r>
      <w:r>
        <w:rPr>
          <w:color w:val="231F20"/>
          <w:spacing w:val="-10"/>
          <w:w w:val="105"/>
        </w:rPr>
        <w:t> </w:t>
      </w:r>
      <w:r>
        <w:rPr>
          <w:color w:val="231F20"/>
          <w:w w:val="105"/>
        </w:rPr>
        <w:t>slightly</w:t>
      </w:r>
      <w:r>
        <w:rPr>
          <w:color w:val="231F20"/>
          <w:spacing w:val="-10"/>
          <w:w w:val="105"/>
        </w:rPr>
        <w:t> </w:t>
      </w:r>
      <w:r>
        <w:rPr>
          <w:color w:val="231F20"/>
          <w:w w:val="105"/>
        </w:rPr>
        <w:t>and</w:t>
      </w:r>
      <w:r>
        <w:rPr>
          <w:color w:val="231F20"/>
          <w:spacing w:val="-11"/>
          <w:w w:val="105"/>
        </w:rPr>
        <w:t> </w:t>
      </w:r>
      <w:r>
        <w:rPr>
          <w:color w:val="231F20"/>
          <w:w w:val="105"/>
        </w:rPr>
        <w:t>triggers</w:t>
      </w:r>
      <w:r>
        <w:rPr>
          <w:color w:val="231F20"/>
          <w:spacing w:val="-10"/>
          <w:w w:val="105"/>
        </w:rPr>
        <w:t> </w:t>
      </w:r>
      <w:r>
        <w:rPr>
          <w:color w:val="231F20"/>
          <w:w w:val="105"/>
        </w:rPr>
        <w:t>hormonal</w:t>
      </w:r>
      <w:r>
        <w:rPr>
          <w:color w:val="231F20"/>
          <w:spacing w:val="-10"/>
          <w:w w:val="105"/>
        </w:rPr>
        <w:t> </w:t>
      </w:r>
      <w:r>
        <w:rPr>
          <w:color w:val="231F20"/>
          <w:w w:val="105"/>
        </w:rPr>
        <w:t>changes</w:t>
      </w:r>
      <w:r>
        <w:rPr>
          <w:color w:val="231F20"/>
          <w:spacing w:val="-10"/>
          <w:w w:val="105"/>
        </w:rPr>
        <w:t> </w:t>
      </w:r>
      <w:r>
        <w:rPr>
          <w:color w:val="231F20"/>
          <w:spacing w:val="-4"/>
          <w:w w:val="105"/>
        </w:rPr>
        <w:t>and </w:t>
      </w:r>
      <w:r>
        <w:rPr>
          <w:color w:val="231F20"/>
          <w:w w:val="105"/>
        </w:rPr>
        <w:t>other compensatory responses that signal the kidneys</w:t>
      </w:r>
      <w:r>
        <w:rPr>
          <w:color w:val="231F20"/>
          <w:spacing w:val="-12"/>
          <w:w w:val="105"/>
        </w:rPr>
        <w:t> </w:t>
      </w:r>
      <w:r>
        <w:rPr>
          <w:color w:val="231F20"/>
          <w:w w:val="105"/>
        </w:rPr>
        <w:t>to increase their sodium</w:t>
      </w:r>
      <w:r>
        <w:rPr>
          <w:color w:val="231F20"/>
          <w:spacing w:val="7"/>
          <w:w w:val="105"/>
        </w:rPr>
        <w:t> </w:t>
      </w:r>
      <w:r>
        <w:rPr>
          <w:color w:val="231F20"/>
          <w:w w:val="105"/>
        </w:rPr>
        <w:t>excretion.</w:t>
      </w:r>
    </w:p>
    <w:p>
      <w:pPr>
        <w:pStyle w:val="BodyText"/>
        <w:spacing w:line="249" w:lineRule="auto" w:before="12"/>
        <w:ind w:left="319" w:right="1077" w:firstLine="240"/>
        <w:jc w:val="both"/>
      </w:pPr>
      <w:r>
        <w:rPr>
          <w:color w:val="231F20"/>
        </w:rPr>
        <w:t>The capacity of the kidneys to alter sodium </w:t>
      </w:r>
      <w:r>
        <w:rPr>
          <w:color w:val="231F20"/>
          <w:spacing w:val="-3"/>
        </w:rPr>
        <w:t>excretion  </w:t>
      </w:r>
      <w:r>
        <w:rPr>
          <w:color w:val="231F20"/>
        </w:rPr>
        <w:t>in response to changes in sodium intake is enormous. Experimental studies have shown that in many people, sodium intake can be increased to 1500 mEq/day (more than 10 times normal) or decreased to 10 mEq/day </w:t>
      </w:r>
      <w:r>
        <w:rPr>
          <w:color w:val="231F20"/>
          <w:spacing w:val="-3"/>
        </w:rPr>
        <w:t>(less </w:t>
      </w:r>
      <w:r>
        <w:rPr>
          <w:color w:val="231F20"/>
        </w:rPr>
        <w:t>than one-tenth normal) with relatively small changes in extracellular fluid volume or plasma sodium concentra- tion. This phenomenon is also true for water and for</w:t>
      </w:r>
      <w:r>
        <w:rPr>
          <w:color w:val="231F20"/>
          <w:spacing w:val="10"/>
        </w:rPr>
        <w:t> </w:t>
      </w:r>
      <w:r>
        <w:rPr>
          <w:color w:val="231F20"/>
        </w:rPr>
        <w:t>most</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10"/>
        <w:rPr>
          <w:sz w:val="19"/>
        </w:rPr>
      </w:pPr>
    </w:p>
    <w:p>
      <w:pPr>
        <w:spacing w:after="0"/>
        <w:rPr>
          <w:sz w:val="19"/>
        </w:rPr>
        <w:sectPr>
          <w:headerReference w:type="default" r:id="rId87"/>
          <w:pgSz w:w="12240" w:h="15660"/>
          <w:pgMar w:header="0" w:footer="567" w:top="720" w:bottom="760" w:left="0" w:right="0"/>
        </w:sectPr>
      </w:pPr>
    </w:p>
    <w:p>
      <w:pPr>
        <w:pStyle w:val="BodyText"/>
        <w:rPr>
          <w:sz w:val="18"/>
        </w:rPr>
      </w:pPr>
    </w:p>
    <w:p>
      <w:pPr>
        <w:pStyle w:val="BodyText"/>
        <w:spacing w:before="9"/>
        <w:rPr>
          <w:sz w:val="26"/>
        </w:rPr>
      </w:pPr>
    </w:p>
    <w:p>
      <w:pPr>
        <w:spacing w:before="0"/>
        <w:ind w:left="0" w:right="0" w:firstLine="0"/>
        <w:jc w:val="right"/>
        <w:rPr>
          <w:rFonts w:ascii="Helvetica"/>
          <w:sz w:val="16"/>
        </w:rPr>
      </w:pPr>
      <w:r>
        <w:rPr/>
        <w:pict>
          <v:shape style="position:absolute;margin-left:64.849403pt;margin-top:5.550398pt;width:29.55pt;height:73.150pt;mso-position-horizontal-relative:page;mso-position-vertical-relative:paragraph;z-index:251813888" type="#_x0000_t202" filled="false" stroked="false">
            <v:textbox inset="0,0,0,0" style="layout-flow:vertical;mso-layout-flow-alt:bottom-to-top">
              <w:txbxContent>
                <w:p>
                  <w:pPr>
                    <w:spacing w:line="235" w:lineRule="auto" w:before="27"/>
                    <w:ind w:left="20" w:right="18" w:firstLine="0"/>
                    <w:jc w:val="center"/>
                    <w:rPr>
                      <w:rFonts w:ascii="Helvetica"/>
                      <w:b/>
                      <w:sz w:val="16"/>
                    </w:rPr>
                  </w:pPr>
                  <w:r>
                    <w:rPr>
                      <w:rFonts w:ascii="Helvetica"/>
                      <w:b/>
                      <w:color w:val="231F20"/>
                      <w:sz w:val="16"/>
                    </w:rPr>
                    <w:t>Sodium intake and excretion (mEq/day)</w:t>
                  </w:r>
                </w:p>
              </w:txbxContent>
            </v:textbox>
            <w10:wrap type="none"/>
          </v:shape>
        </w:pict>
      </w:r>
      <w:r>
        <w:rPr>
          <w:rFonts w:ascii="Helvetica"/>
          <w:color w:val="231F20"/>
          <w:w w:val="95"/>
          <w:sz w:val="16"/>
        </w:rPr>
        <w:t>300</w:t>
      </w:r>
    </w:p>
    <w:p>
      <w:pPr>
        <w:pStyle w:val="BodyText"/>
        <w:rPr>
          <w:rFonts w:ascii="Helvetica"/>
          <w:sz w:val="18"/>
        </w:rPr>
      </w:pPr>
    </w:p>
    <w:p>
      <w:pPr>
        <w:spacing w:before="109"/>
        <w:ind w:left="0" w:right="0" w:firstLine="0"/>
        <w:jc w:val="right"/>
        <w:rPr>
          <w:rFonts w:ascii="Helvetica"/>
          <w:sz w:val="16"/>
        </w:rPr>
      </w:pPr>
      <w:r>
        <w:rPr>
          <w:rFonts w:ascii="Helvetica"/>
          <w:color w:val="231F20"/>
          <w:w w:val="95"/>
          <w:sz w:val="16"/>
        </w:rPr>
        <w:t>200</w:t>
      </w:r>
    </w:p>
    <w:p>
      <w:pPr>
        <w:pStyle w:val="BodyText"/>
        <w:spacing w:before="5"/>
        <w:rPr>
          <w:rFonts w:ascii="Helvetica"/>
          <w:sz w:val="25"/>
        </w:rPr>
      </w:pPr>
    </w:p>
    <w:p>
      <w:pPr>
        <w:spacing w:before="0"/>
        <w:ind w:left="0" w:right="0" w:firstLine="0"/>
        <w:jc w:val="right"/>
        <w:rPr>
          <w:rFonts w:ascii="Helvetica"/>
          <w:sz w:val="16"/>
        </w:rPr>
      </w:pPr>
      <w:r>
        <w:rPr>
          <w:rFonts w:ascii="Helvetica"/>
          <w:color w:val="231F20"/>
          <w:w w:val="95"/>
          <w:sz w:val="16"/>
        </w:rPr>
        <w:t>100</w:t>
      </w:r>
    </w:p>
    <w:p>
      <w:pPr>
        <w:pStyle w:val="BodyText"/>
        <w:spacing w:before="11"/>
        <w:rPr>
          <w:rFonts w:ascii="Helvetica"/>
          <w:sz w:val="26"/>
        </w:rPr>
      </w:pPr>
    </w:p>
    <w:p>
      <w:pPr>
        <w:spacing w:before="0"/>
        <w:ind w:left="0" w:right="0" w:firstLine="0"/>
        <w:jc w:val="right"/>
        <w:rPr>
          <w:rFonts w:ascii="Helvetica"/>
          <w:sz w:val="16"/>
        </w:rPr>
      </w:pPr>
      <w:r>
        <w:rPr>
          <w:rFonts w:ascii="Helvetica"/>
          <w:color w:val="231F20"/>
          <w:w w:val="99"/>
          <w:sz w:val="16"/>
        </w:rPr>
        <w:t>0</w:t>
      </w:r>
    </w:p>
    <w:p>
      <w:pPr>
        <w:pStyle w:val="BodyText"/>
        <w:spacing w:before="8"/>
        <w:rPr>
          <w:rFonts w:ascii="Helvetica"/>
          <w:sz w:val="22"/>
        </w:rPr>
      </w:pPr>
    </w:p>
    <w:p>
      <w:pPr>
        <w:spacing w:before="0"/>
        <w:ind w:left="0" w:right="0" w:firstLine="0"/>
        <w:jc w:val="right"/>
        <w:rPr>
          <w:rFonts w:ascii="Helvetica"/>
          <w:sz w:val="16"/>
        </w:rPr>
      </w:pPr>
      <w:r>
        <w:rPr/>
        <w:pict>
          <v:shape style="position:absolute;margin-left:64.849403pt;margin-top:2.818902pt;width:29.55pt;height:50.05pt;mso-position-horizontal-relative:page;mso-position-vertical-relative:paragraph;z-index:251812864" type="#_x0000_t202" filled="false" stroked="false">
            <v:textbox inset="0,0,0,0" style="layout-flow:vertical;mso-layout-flow-alt:bottom-to-top">
              <w:txbxContent>
                <w:p>
                  <w:pPr>
                    <w:spacing w:line="235" w:lineRule="auto" w:before="27"/>
                    <w:ind w:left="20" w:right="18" w:firstLine="0"/>
                    <w:jc w:val="center"/>
                    <w:rPr>
                      <w:rFonts w:ascii="Helvetica"/>
                      <w:b/>
                      <w:sz w:val="16"/>
                    </w:rPr>
                  </w:pPr>
                  <w:r>
                    <w:rPr>
                      <w:rFonts w:ascii="Helvetica"/>
                      <w:b/>
                      <w:color w:val="231F20"/>
                      <w:sz w:val="16"/>
                    </w:rPr>
                    <w:t>Extracellular</w:t>
                  </w:r>
                  <w:r>
                    <w:rPr>
                      <w:rFonts w:ascii="Helvetica"/>
                      <w:b/>
                      <w:color w:val="231F20"/>
                      <w:w w:val="99"/>
                      <w:sz w:val="16"/>
                    </w:rPr>
                    <w:t> </w:t>
                  </w:r>
                  <w:r>
                    <w:rPr>
                      <w:rFonts w:ascii="Helvetica"/>
                      <w:b/>
                      <w:color w:val="231F20"/>
                      <w:sz w:val="16"/>
                    </w:rPr>
                    <w:t>fluid volume (Liters)</w:t>
                  </w:r>
                </w:p>
              </w:txbxContent>
            </v:textbox>
            <w10:wrap type="none"/>
          </v:shape>
        </w:pict>
      </w:r>
      <w:r>
        <w:rPr>
          <w:rFonts w:ascii="Helvetica"/>
          <w:color w:val="231F20"/>
          <w:w w:val="95"/>
          <w:sz w:val="16"/>
        </w:rPr>
        <w:t>15</w:t>
      </w:r>
    </w:p>
    <w:p>
      <w:pPr>
        <w:pStyle w:val="BodyText"/>
        <w:rPr>
          <w:rFonts w:ascii="Helvetica"/>
          <w:sz w:val="18"/>
        </w:rPr>
      </w:pPr>
    </w:p>
    <w:p>
      <w:pPr>
        <w:spacing w:before="117"/>
        <w:ind w:left="0" w:right="0" w:firstLine="0"/>
        <w:jc w:val="right"/>
        <w:rPr>
          <w:rFonts w:ascii="Helvetica"/>
          <w:sz w:val="16"/>
        </w:rPr>
      </w:pPr>
      <w:r>
        <w:rPr/>
        <w:pict>
          <v:rect style="position:absolute;margin-left:0pt;margin-top:3.490137pt;width:36pt;height:24pt;mso-position-horizontal-relative:page;mso-position-vertical-relative:paragraph;z-index:251811840" filled="true" fillcolor="#e8dac8" stroked="false">
            <v:fill type="solid"/>
            <w10:wrap type="none"/>
          </v:rect>
        </w:pict>
      </w:r>
      <w:r>
        <w:rPr>
          <w:rFonts w:ascii="Helvetica"/>
          <w:color w:val="231F20"/>
          <w:w w:val="95"/>
          <w:sz w:val="16"/>
        </w:rPr>
        <w:t>10</w:t>
      </w:r>
    </w:p>
    <w:p>
      <w:pPr>
        <w:pStyle w:val="BodyText"/>
        <w:rPr>
          <w:rFonts w:ascii="Helvetica"/>
          <w:sz w:val="18"/>
        </w:rPr>
      </w:pPr>
    </w:p>
    <w:p>
      <w:pPr>
        <w:spacing w:before="122"/>
        <w:ind w:left="0" w:right="0" w:firstLine="0"/>
        <w:jc w:val="right"/>
        <w:rPr>
          <w:rFonts w:ascii="Helvetica"/>
          <w:sz w:val="16"/>
        </w:rPr>
      </w:pPr>
      <w:r>
        <w:rPr>
          <w:rFonts w:ascii="Helvetica"/>
          <w:color w:val="231F20"/>
          <w:w w:val="99"/>
          <w:sz w:val="16"/>
        </w:rPr>
        <w:t>5</w:t>
      </w:r>
    </w:p>
    <w:p>
      <w:pPr>
        <w:spacing w:line="235" w:lineRule="auto" w:before="122"/>
        <w:ind w:left="798" w:right="1805" w:firstLine="40"/>
        <w:jc w:val="left"/>
        <w:rPr>
          <w:rFonts w:ascii="Helvetica"/>
          <w:sz w:val="16"/>
        </w:rPr>
      </w:pPr>
      <w:r>
        <w:rPr/>
        <w:br w:type="column"/>
      </w:r>
      <w:r>
        <w:rPr>
          <w:rFonts w:ascii="Helvetica"/>
          <w:color w:val="231F20"/>
          <w:sz w:val="16"/>
        </w:rPr>
        <w:t>Sodium retention</w:t>
      </w:r>
    </w:p>
    <w:p>
      <w:pPr>
        <w:pStyle w:val="BodyText"/>
        <w:ind w:left="-23" w:right="-44"/>
        <w:rPr>
          <w:rFonts w:ascii="Helvetica"/>
        </w:rPr>
      </w:pPr>
      <w:r>
        <w:rPr>
          <w:rFonts w:ascii="Helvetica"/>
        </w:rPr>
        <w:pict>
          <v:group style="width:162.75pt;height:79.650pt;mso-position-horizontal-relative:char;mso-position-vertical-relative:line" coordorigin="0,0" coordsize="3255,1593">
            <v:line style="position:absolute" from="74,120" to="0,120" stroked="true" strokeweight="1pt" strokecolor="#231f20">
              <v:stroke dashstyle="solid"/>
            </v:line>
            <v:line style="position:absolute" from="74,607" to="0,607" stroked="true" strokeweight="1pt" strokecolor="#231f20">
              <v:stroke dashstyle="solid"/>
            </v:line>
            <v:line style="position:absolute" from="74,1094" to="0,1094" stroked="true" strokeweight="1pt" strokecolor="#231f20">
              <v:stroke dashstyle="solid"/>
            </v:line>
            <v:shape style="position:absolute;left:875;top:91;width:570;height:1349" coordorigin="875,91" coordsize="570,1349" path="m1445,91l875,91,875,1439,915,1439,931,1386,957,1277,980,1171,994,1098,1009,1017,1023,931,1039,843,1057,755,1078,669,1103,589,1131,516,1172,435,1218,356,1267,283,1317,218,1364,162,1408,119,1445,91xe" filled="true" fillcolor="#fbc3ae" stroked="false">
              <v:path arrowok="t"/>
              <v:fill type="solid"/>
            </v:shape>
            <v:shape style="position:absolute;left:2181;top:92;width:599;height:1340" coordorigin="2182,92" coordsize="599,1340" path="m2182,92l2182,1432,2781,1432,2644,1395,2558,1331,2485,1196,2388,945,2295,647,2231,373,2194,171,2182,92xe" filled="true" fillcolor="#fbc3ae" stroked="false">
              <v:path arrowok="t"/>
              <v:fill type="solid"/>
            </v:shape>
            <v:shape style="position:absolute;left:875;top:92;width:2367;height:1347" coordorigin="875,92" coordsize="2367,1347" path="m875,1439l875,92,2182,92,2182,1432,3242,1432e" filled="false" stroked="true" strokeweight="1.25pt" strokecolor="#231f20">
              <v:path arrowok="t"/>
              <v:stroke dashstyle="solid"/>
            </v:shape>
            <v:shape style="position:absolute;left:74;top:92;width:3167;height:1347" coordorigin="74,92" coordsize="3167,1347" path="m74,1439l915,1439,977,1184,1009,1046,1020,978,1022,932,1025,895,1051,764,1072,681,1098,593,1129,507,1164,427,1202,359,1282,250,1355,166,1408,112,1429,92,2182,92,2279,781,2370,1147,2509,1317,2749,1412,3241,1412e" filled="false" stroked="true" strokeweight="1.25pt" strokecolor="#f0535f">
              <v:path arrowok="t"/>
              <v:stroke dashstyle="shortdash"/>
            </v:shape>
            <v:line style="position:absolute" from="74,1581" to="0,1581" stroked="true" strokeweight="1pt" strokecolor="#231f20">
              <v:stroke dashstyle="solid"/>
            </v:line>
            <v:line style="position:absolute" from="75,112" to="75,1592" stroked="true" strokeweight="1pt" strokecolor="#231f20">
              <v:stroke dashstyle="solid"/>
            </v:line>
            <v:line style="position:absolute" from="1101,0" to="1101,186" stroked="true" strokeweight=".75pt" strokecolor="#231f20">
              <v:stroke dashstyle="solid"/>
            </v:line>
            <v:line style="position:absolute" from="550,339" to="865,543" stroked="true" strokeweight=".75pt" strokecolor="#231f20">
              <v:stroke dashstyle="solid"/>
            </v:line>
            <v:line style="position:absolute" from="1456,765" to="1131,516" stroked="true" strokeweight=".75pt" strokecolor="#231f20">
              <v:stroke dashstyle="solid"/>
            </v:line>
            <v:line style="position:absolute" from="2582,932" to="2337,1112" stroked="true" strokeweight=".75pt" strokecolor="#231f20">
              <v:stroke dashstyle="solid"/>
            </v:line>
            <v:shape style="position:absolute;left:297;top:150;width:45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Intake</w:t>
                    </w:r>
                  </w:p>
                </w:txbxContent>
              </v:textbox>
              <w10:wrap type="none"/>
            </v:shape>
            <v:shape style="position:absolute;left:1172;top:765;width:6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Excretion</w:t>
                    </w:r>
                  </w:p>
                </w:txbxContent>
              </v:textbox>
              <w10:wrap type="none"/>
            </v:shape>
            <v:shape style="position:absolute;left:2610;top:830;width:563;height:365" type="#_x0000_t202" filled="false" stroked="false">
              <v:textbox inset="0,0,0,0">
                <w:txbxContent>
                  <w:p>
                    <w:pPr>
                      <w:spacing w:line="235" w:lineRule="auto" w:before="2"/>
                      <w:ind w:left="128" w:right="1" w:hanging="129"/>
                      <w:jc w:val="left"/>
                      <w:rPr>
                        <w:rFonts w:ascii="Helvetica"/>
                        <w:sz w:val="16"/>
                      </w:rPr>
                    </w:pPr>
                    <w:r>
                      <w:rPr>
                        <w:rFonts w:ascii="Helvetica"/>
                        <w:color w:val="231F20"/>
                        <w:sz w:val="16"/>
                      </w:rPr>
                      <w:t>Sodium loss</w:t>
                    </w:r>
                  </w:p>
                </w:txbxContent>
              </v:textbox>
              <w10:wrap type="none"/>
            </v:shape>
          </v:group>
        </w:pict>
      </w:r>
      <w:r>
        <w:rPr>
          <w:rFonts w:ascii="Helvetica"/>
        </w:rPr>
      </w:r>
    </w:p>
    <w:p>
      <w:pPr>
        <w:pStyle w:val="BodyText"/>
        <w:spacing w:before="8" w:after="1"/>
        <w:rPr>
          <w:rFonts w:ascii="Helvetica"/>
          <w:sz w:val="23"/>
        </w:rPr>
      </w:pPr>
    </w:p>
    <w:p>
      <w:pPr>
        <w:pStyle w:val="BodyText"/>
        <w:ind w:left="-23"/>
        <w:rPr>
          <w:rFonts w:ascii="Helvetica"/>
        </w:rPr>
      </w:pPr>
      <w:r>
        <w:rPr>
          <w:rFonts w:ascii="Helvetica"/>
        </w:rPr>
        <w:pict>
          <v:group style="width:159.550pt;height:61.75pt;mso-position-horizontal-relative:char;mso-position-vertical-relative:line" coordorigin="0,0" coordsize="3191,1235">
            <v:line style="position:absolute" from="229,1160" to="229,1234" stroked="true" strokeweight="1pt" strokecolor="#231f20">
              <v:stroke dashstyle="solid"/>
            </v:line>
            <v:line style="position:absolute" from="556,1160" to="556,1234" stroked="true" strokeweight="1pt" strokecolor="#231f20">
              <v:stroke dashstyle="solid"/>
            </v:line>
            <v:line style="position:absolute" from="884,1160" to="884,1234" stroked="true" strokeweight="1pt" strokecolor="#231f20">
              <v:stroke dashstyle="solid"/>
            </v:line>
            <v:line style="position:absolute" from="1211,1160" to="1211,1234" stroked="true" strokeweight="1pt" strokecolor="#231f20">
              <v:stroke dashstyle="solid"/>
            </v:line>
            <v:line style="position:absolute" from="1538,1160" to="1538,1234" stroked="true" strokeweight="1pt" strokecolor="#231f20">
              <v:stroke dashstyle="solid"/>
            </v:line>
            <v:line style="position:absolute" from="1865,1160" to="1865,1234" stroked="true" strokeweight="1pt" strokecolor="#231f20">
              <v:stroke dashstyle="solid"/>
            </v:line>
            <v:line style="position:absolute" from="2192,1160" to="2192,1234" stroked="true" strokeweight="1pt" strokecolor="#231f20">
              <v:stroke dashstyle="solid"/>
            </v:line>
            <v:line style="position:absolute" from="2519,1160" to="2519,1234" stroked="true" strokeweight="1pt" strokecolor="#231f20">
              <v:stroke dashstyle="solid"/>
            </v:line>
            <v:line style="position:absolute" from="2847,1160" to="2847,1234" stroked="true" strokeweight="1pt" strokecolor="#231f20">
              <v:stroke dashstyle="solid"/>
            </v:line>
            <v:line style="position:absolute" from="3174,1160" to="3174,1234" stroked="true" strokeweight="1pt" strokecolor="#231f20">
              <v:stroke dashstyle="solid"/>
            </v:line>
            <v:line style="position:absolute" from="74,141" to="0,141" stroked="true" strokeweight="1pt" strokecolor="#231f20">
              <v:stroke dashstyle="solid"/>
            </v:line>
            <v:line style="position:absolute" from="74,651" to="0,651" stroked="true" strokeweight="1pt" strokecolor="#231f20">
              <v:stroke dashstyle="solid"/>
            </v:line>
            <v:line style="position:absolute" from="74,1158" to="0,1158" stroked="true" strokeweight="1pt" strokecolor="#231f20">
              <v:stroke dashstyle="solid"/>
            </v:line>
            <v:shape style="position:absolute;left:75;top:10;width:3106;height:1149" coordorigin="75,10" coordsize="3106,1149" path="m75,10l75,1158,3181,1158e" filled="false" stroked="true" strokeweight="1pt" strokecolor="#231f20">
              <v:path arrowok="t"/>
              <v:stroke dashstyle="solid"/>
            </v:shape>
            <v:shape style="position:absolute;left:88;top:435;width:3074;height:123" coordorigin="89,435" coordsize="3074,123" path="m89,558l955,558,1043,492,1104,458,1167,444,1262,438,1484,435,1815,435,2117,437,2249,438,2350,440,2442,486,2475,551,3162,551e" filled="false" stroked="true" strokeweight="1.25pt" strokecolor="#f0535f">
              <v:path arrowok="t"/>
              <v:stroke dashstyle="solid"/>
            </v:shape>
          </v:group>
        </w:pict>
      </w:r>
      <w:r>
        <w:rPr>
          <w:rFonts w:ascii="Helvetica"/>
        </w:rPr>
      </w:r>
    </w:p>
    <w:p>
      <w:pPr>
        <w:tabs>
          <w:tab w:pos="831" w:val="left" w:leader="none"/>
          <w:tab w:pos="1153" w:val="left" w:leader="none"/>
          <w:tab w:pos="1483" w:val="left" w:leader="none"/>
          <w:tab w:pos="1804" w:val="left" w:leader="none"/>
          <w:tab w:pos="2131" w:val="left" w:leader="none"/>
        </w:tabs>
        <w:spacing w:before="0"/>
        <w:ind w:left="120" w:right="0" w:firstLine="0"/>
        <w:jc w:val="center"/>
        <w:rPr>
          <w:rFonts w:ascii="Helvetica" w:hAnsi="Helvetica"/>
          <w:sz w:val="16"/>
        </w:rPr>
      </w:pPr>
      <w:r>
        <w:rPr>
          <w:rFonts w:ascii="Symbol" w:hAnsi="Symbol"/>
          <w:color w:val="231F20"/>
          <w:sz w:val="16"/>
        </w:rPr>
        <w:t></w:t>
      </w:r>
      <w:r>
        <w:rPr>
          <w:rFonts w:ascii="Helvetica" w:hAnsi="Helvetica"/>
          <w:color w:val="231F20"/>
          <w:sz w:val="16"/>
        </w:rPr>
        <w:t>4  </w:t>
      </w:r>
      <w:r>
        <w:rPr>
          <w:rFonts w:ascii="Helvetica" w:hAnsi="Helvetica"/>
          <w:color w:val="231F20"/>
          <w:spacing w:val="15"/>
          <w:sz w:val="16"/>
        </w:rPr>
        <w:t> </w:t>
      </w:r>
      <w:r>
        <w:rPr>
          <w:rFonts w:ascii="Symbol" w:hAnsi="Symbol"/>
          <w:color w:val="231F20"/>
          <w:sz w:val="16"/>
        </w:rPr>
        <w:t></w:t>
      </w:r>
      <w:r>
        <w:rPr>
          <w:rFonts w:ascii="Helvetica" w:hAnsi="Helvetica"/>
          <w:color w:val="231F20"/>
          <w:sz w:val="16"/>
        </w:rPr>
        <w:t>2</w:t>
        <w:tab/>
        <w:t>0</w:t>
        <w:tab/>
        <w:t>2</w:t>
        <w:tab/>
        <w:t>4</w:t>
        <w:tab/>
        <w:t>6</w:t>
        <w:tab/>
        <w:t>8 10 12</w:t>
      </w:r>
      <w:r>
        <w:rPr>
          <w:rFonts w:ascii="Helvetica" w:hAnsi="Helvetica"/>
          <w:color w:val="231F20"/>
          <w:spacing w:val="2"/>
          <w:sz w:val="16"/>
        </w:rPr>
        <w:t> </w:t>
      </w:r>
      <w:r>
        <w:rPr>
          <w:rFonts w:ascii="Helvetica" w:hAnsi="Helvetica"/>
          <w:color w:val="231F20"/>
          <w:spacing w:val="-10"/>
          <w:sz w:val="16"/>
        </w:rPr>
        <w:t>14</w:t>
      </w:r>
    </w:p>
    <w:p>
      <w:pPr>
        <w:spacing w:before="31"/>
        <w:ind w:left="107" w:right="0" w:firstLine="0"/>
        <w:jc w:val="center"/>
        <w:rPr>
          <w:rFonts w:ascii="Helvetica"/>
          <w:b/>
          <w:sz w:val="16"/>
        </w:rPr>
      </w:pPr>
      <w:r>
        <w:rPr>
          <w:rFonts w:ascii="Helvetica"/>
          <w:b/>
          <w:color w:val="231F20"/>
          <w:sz w:val="16"/>
        </w:rPr>
        <w:t>Time (days)</w:t>
      </w:r>
    </w:p>
    <w:p>
      <w:pPr>
        <w:pStyle w:val="BodyText"/>
        <w:spacing w:line="249" w:lineRule="auto" w:before="100"/>
        <w:ind w:left="573" w:right="1437"/>
        <w:jc w:val="both"/>
      </w:pPr>
      <w:r>
        <w:rPr/>
        <w:br w:type="column"/>
      </w:r>
      <w:r>
        <w:rPr>
          <w:rFonts w:ascii="Trebuchet MS" w:hAnsi="Trebuchet MS"/>
          <w:b/>
          <w:color w:val="231F20"/>
          <w:sz w:val="19"/>
        </w:rPr>
        <w:t>Regulation of 1,25-Dihydroxyvitamin D</w:t>
      </w:r>
      <w:r>
        <w:rPr>
          <w:rFonts w:ascii="Trebuchet MS" w:hAnsi="Trebuchet MS"/>
          <w:b/>
          <w:color w:val="231F20"/>
          <w:position w:val="-2"/>
          <w:sz w:val="11"/>
        </w:rPr>
        <w:t>3 </w:t>
      </w:r>
      <w:r>
        <w:rPr>
          <w:rFonts w:ascii="Trebuchet MS" w:hAnsi="Trebuchet MS"/>
          <w:b/>
          <w:color w:val="231F20"/>
          <w:sz w:val="19"/>
        </w:rPr>
        <w:t>Production. </w:t>
      </w:r>
      <w:r>
        <w:rPr>
          <w:color w:val="231F20"/>
        </w:rPr>
        <w:t>The kidneys produce the active form of vitamin D, 1,25-dihydroxyvitamin D</w:t>
      </w:r>
      <w:r>
        <w:rPr>
          <w:color w:val="231F20"/>
          <w:vertAlign w:val="subscript"/>
        </w:rPr>
        <w:t>3</w:t>
      </w:r>
      <w:r>
        <w:rPr>
          <w:color w:val="231F20"/>
          <w:vertAlign w:val="baseline"/>
        </w:rPr>
        <w:t> </w:t>
      </w:r>
      <w:r>
        <w:rPr>
          <w:i/>
          <w:color w:val="231F20"/>
          <w:vertAlign w:val="baseline"/>
        </w:rPr>
        <w:t>(calcitriol), </w:t>
      </w:r>
      <w:r>
        <w:rPr>
          <w:color w:val="231F20"/>
          <w:vertAlign w:val="baseline"/>
        </w:rPr>
        <w:t>by hydroxylating this vitamin at the “number 1” position. Calcitriol is essential for normal calcium deposition in bone and calcium reabsorption by the gastrointestinal tract. As dis- cussed in Chapter 80, calcitriol plays an important role in calcium and phosphate regulation.</w:t>
      </w:r>
    </w:p>
    <w:p>
      <w:pPr>
        <w:pStyle w:val="BodyText"/>
        <w:spacing w:line="249" w:lineRule="auto" w:before="236"/>
        <w:ind w:left="573" w:right="1437" w:hanging="1"/>
        <w:jc w:val="both"/>
      </w:pPr>
      <w:r>
        <w:rPr>
          <w:rFonts w:ascii="Trebuchet MS" w:hAnsi="Trebuchet MS"/>
          <w:b/>
          <w:color w:val="231F20"/>
          <w:w w:val="105"/>
          <w:sz w:val="19"/>
        </w:rPr>
        <w:t>Glucose</w:t>
      </w:r>
      <w:r>
        <w:rPr>
          <w:rFonts w:ascii="Trebuchet MS" w:hAnsi="Trebuchet MS"/>
          <w:b/>
          <w:color w:val="231F20"/>
          <w:spacing w:val="-43"/>
          <w:w w:val="105"/>
          <w:sz w:val="19"/>
        </w:rPr>
        <w:t> </w:t>
      </w:r>
      <w:r>
        <w:rPr>
          <w:rFonts w:ascii="Trebuchet MS" w:hAnsi="Trebuchet MS"/>
          <w:b/>
          <w:color w:val="231F20"/>
          <w:w w:val="105"/>
          <w:sz w:val="19"/>
        </w:rPr>
        <w:t>Synthesis.</w:t>
      </w:r>
      <w:r>
        <w:rPr>
          <w:rFonts w:ascii="Trebuchet MS" w:hAnsi="Trebuchet MS"/>
          <w:b/>
          <w:color w:val="231F20"/>
          <w:spacing w:val="-20"/>
          <w:w w:val="105"/>
          <w:sz w:val="19"/>
        </w:rPr>
        <w:t> </w:t>
      </w:r>
      <w:r>
        <w:rPr>
          <w:color w:val="231F20"/>
          <w:w w:val="105"/>
        </w:rPr>
        <w:t>The</w:t>
      </w:r>
      <w:r>
        <w:rPr>
          <w:color w:val="231F20"/>
          <w:spacing w:val="-36"/>
          <w:w w:val="105"/>
        </w:rPr>
        <w:t> </w:t>
      </w:r>
      <w:r>
        <w:rPr>
          <w:color w:val="231F20"/>
          <w:w w:val="105"/>
        </w:rPr>
        <w:t>kidneys</w:t>
      </w:r>
      <w:r>
        <w:rPr>
          <w:color w:val="231F20"/>
          <w:spacing w:val="-37"/>
          <w:w w:val="105"/>
        </w:rPr>
        <w:t> </w:t>
      </w:r>
      <w:r>
        <w:rPr>
          <w:color w:val="231F20"/>
          <w:w w:val="105"/>
        </w:rPr>
        <w:t>synthesize</w:t>
      </w:r>
      <w:r>
        <w:rPr>
          <w:color w:val="231F20"/>
          <w:spacing w:val="-36"/>
          <w:w w:val="105"/>
        </w:rPr>
        <w:t> </w:t>
      </w:r>
      <w:r>
        <w:rPr>
          <w:color w:val="231F20"/>
          <w:w w:val="105"/>
        </w:rPr>
        <w:t>glucose</w:t>
      </w:r>
      <w:r>
        <w:rPr>
          <w:color w:val="231F20"/>
          <w:spacing w:val="-36"/>
          <w:w w:val="105"/>
        </w:rPr>
        <w:t> </w:t>
      </w:r>
      <w:r>
        <w:rPr>
          <w:color w:val="231F20"/>
          <w:spacing w:val="-5"/>
          <w:w w:val="105"/>
        </w:rPr>
        <w:t>from </w:t>
      </w:r>
      <w:r>
        <w:rPr>
          <w:color w:val="231F20"/>
          <w:w w:val="105"/>
        </w:rPr>
        <w:t>amino acids and other precursors during prolonged fasting, a process referred to as </w:t>
      </w:r>
      <w:r>
        <w:rPr>
          <w:i/>
          <w:color w:val="231F20"/>
          <w:w w:val="105"/>
        </w:rPr>
        <w:t>gluconeogenesis. </w:t>
      </w:r>
      <w:r>
        <w:rPr>
          <w:color w:val="231F20"/>
          <w:w w:val="105"/>
        </w:rPr>
        <w:t>The kidneys’</w:t>
      </w:r>
      <w:r>
        <w:rPr>
          <w:color w:val="231F20"/>
          <w:spacing w:val="-15"/>
          <w:w w:val="105"/>
        </w:rPr>
        <w:t> </w:t>
      </w:r>
      <w:r>
        <w:rPr>
          <w:color w:val="231F20"/>
          <w:w w:val="105"/>
        </w:rPr>
        <w:t>capacity</w:t>
      </w:r>
      <w:r>
        <w:rPr>
          <w:color w:val="231F20"/>
          <w:spacing w:val="-14"/>
          <w:w w:val="105"/>
        </w:rPr>
        <w:t> </w:t>
      </w:r>
      <w:r>
        <w:rPr>
          <w:color w:val="231F20"/>
          <w:w w:val="105"/>
        </w:rPr>
        <w:t>to</w:t>
      </w:r>
      <w:r>
        <w:rPr>
          <w:color w:val="231F20"/>
          <w:spacing w:val="-14"/>
          <w:w w:val="105"/>
        </w:rPr>
        <w:t> </w:t>
      </w:r>
      <w:r>
        <w:rPr>
          <w:color w:val="231F20"/>
          <w:w w:val="105"/>
        </w:rPr>
        <w:t>add</w:t>
      </w:r>
      <w:r>
        <w:rPr>
          <w:color w:val="231F20"/>
          <w:spacing w:val="-14"/>
          <w:w w:val="105"/>
        </w:rPr>
        <w:t> </w:t>
      </w:r>
      <w:r>
        <w:rPr>
          <w:color w:val="231F20"/>
          <w:w w:val="105"/>
        </w:rPr>
        <w:t>glucose</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blood</w:t>
      </w:r>
      <w:r>
        <w:rPr>
          <w:color w:val="231F20"/>
          <w:spacing w:val="-14"/>
          <w:w w:val="105"/>
        </w:rPr>
        <w:t> </w:t>
      </w:r>
      <w:r>
        <w:rPr>
          <w:color w:val="231F20"/>
          <w:w w:val="105"/>
        </w:rPr>
        <w:t>during</w:t>
      </w:r>
      <w:r>
        <w:rPr>
          <w:color w:val="231F20"/>
          <w:spacing w:val="-14"/>
          <w:w w:val="105"/>
        </w:rPr>
        <w:t> </w:t>
      </w:r>
      <w:r>
        <w:rPr>
          <w:color w:val="231F20"/>
          <w:w w:val="105"/>
        </w:rPr>
        <w:t>pro- longed periods of fasting rivals that of the</w:t>
      </w:r>
      <w:r>
        <w:rPr>
          <w:color w:val="231F20"/>
          <w:spacing w:val="-17"/>
          <w:w w:val="105"/>
        </w:rPr>
        <w:t> </w:t>
      </w:r>
      <w:r>
        <w:rPr>
          <w:color w:val="231F20"/>
          <w:spacing w:val="-3"/>
          <w:w w:val="105"/>
        </w:rPr>
        <w:t>liver.</w:t>
      </w:r>
    </w:p>
    <w:p>
      <w:pPr>
        <w:pStyle w:val="BodyText"/>
        <w:spacing w:line="249" w:lineRule="auto" w:before="4"/>
        <w:ind w:left="573" w:right="1437" w:firstLine="240"/>
        <w:jc w:val="both"/>
      </w:pPr>
      <w:r>
        <w:rPr>
          <w:color w:val="231F20"/>
          <w:spacing w:val="-3"/>
          <w:w w:val="105"/>
        </w:rPr>
        <w:t>With </w:t>
      </w:r>
      <w:r>
        <w:rPr>
          <w:color w:val="231F20"/>
          <w:w w:val="105"/>
        </w:rPr>
        <w:t>chronic kidney disease or acute failure of the kidneys, these homeostatic functions are disrupted </w:t>
      </w:r>
      <w:r>
        <w:rPr>
          <w:color w:val="231F20"/>
          <w:spacing w:val="-5"/>
          <w:w w:val="105"/>
        </w:rPr>
        <w:t>and</w:t>
      </w:r>
      <w:bookmarkStart w:name="_bookmark12" w:id="13"/>
      <w:bookmarkEnd w:id="13"/>
      <w:r>
        <w:rPr>
          <w:color w:val="231F20"/>
          <w:spacing w:val="-5"/>
          <w:w w:val="105"/>
        </w:rPr>
      </w:r>
      <w:r>
        <w:rPr>
          <w:color w:val="231F20"/>
          <w:spacing w:val="-5"/>
          <w:w w:val="105"/>
        </w:rPr>
        <w:t> </w:t>
      </w:r>
      <w:r>
        <w:rPr>
          <w:color w:val="231F20"/>
          <w:w w:val="105"/>
        </w:rPr>
        <w:t>severe</w:t>
      </w:r>
      <w:r>
        <w:rPr>
          <w:color w:val="231F20"/>
          <w:spacing w:val="-23"/>
          <w:w w:val="105"/>
        </w:rPr>
        <w:t> </w:t>
      </w:r>
      <w:r>
        <w:rPr>
          <w:color w:val="231F20"/>
          <w:w w:val="105"/>
        </w:rPr>
        <w:t>abnormalities</w:t>
      </w:r>
      <w:r>
        <w:rPr>
          <w:color w:val="231F20"/>
          <w:spacing w:val="-23"/>
          <w:w w:val="105"/>
        </w:rPr>
        <w:t> </w:t>
      </w:r>
      <w:r>
        <w:rPr>
          <w:color w:val="231F20"/>
          <w:w w:val="105"/>
        </w:rPr>
        <w:t>of</w:t>
      </w:r>
      <w:r>
        <w:rPr>
          <w:color w:val="231F20"/>
          <w:spacing w:val="-23"/>
          <w:w w:val="105"/>
        </w:rPr>
        <w:t> </w:t>
      </w:r>
      <w:r>
        <w:rPr>
          <w:color w:val="231F20"/>
          <w:w w:val="105"/>
        </w:rPr>
        <w:t>body</w:t>
      </w:r>
      <w:r>
        <w:rPr>
          <w:color w:val="231F20"/>
          <w:spacing w:val="-23"/>
          <w:w w:val="105"/>
        </w:rPr>
        <w:t> </w:t>
      </w:r>
      <w:r>
        <w:rPr>
          <w:color w:val="231F20"/>
          <w:w w:val="105"/>
        </w:rPr>
        <w:t>fluid</w:t>
      </w:r>
      <w:r>
        <w:rPr>
          <w:color w:val="231F20"/>
          <w:spacing w:val="-22"/>
          <w:w w:val="105"/>
        </w:rPr>
        <w:t> </w:t>
      </w:r>
      <w:r>
        <w:rPr>
          <w:color w:val="231F20"/>
          <w:w w:val="105"/>
        </w:rPr>
        <w:t>volumes</w:t>
      </w:r>
      <w:r>
        <w:rPr>
          <w:color w:val="231F20"/>
          <w:spacing w:val="-23"/>
          <w:w w:val="105"/>
        </w:rPr>
        <w:t> </w:t>
      </w:r>
      <w:r>
        <w:rPr>
          <w:color w:val="231F20"/>
          <w:w w:val="105"/>
        </w:rPr>
        <w:t>and</w:t>
      </w:r>
      <w:r>
        <w:rPr>
          <w:color w:val="231F20"/>
          <w:spacing w:val="-23"/>
          <w:w w:val="105"/>
        </w:rPr>
        <w:t> </w:t>
      </w:r>
      <w:r>
        <w:rPr>
          <w:color w:val="231F20"/>
          <w:w w:val="105"/>
        </w:rPr>
        <w:t>composi-</w:t>
      </w:r>
    </w:p>
    <w:p>
      <w:pPr>
        <w:spacing w:after="0" w:line="249" w:lineRule="auto"/>
        <w:jc w:val="both"/>
        <w:sectPr>
          <w:type w:val="continuous"/>
          <w:pgSz w:w="12240" w:h="15660"/>
          <w:pgMar w:top="0" w:bottom="760" w:left="0" w:right="0"/>
          <w:cols w:num="3" w:equalWidth="0">
            <w:col w:w="2222" w:space="40"/>
            <w:col w:w="3246" w:space="39"/>
            <w:col w:w="6693"/>
          </w:cols>
        </w:sectPr>
      </w:pPr>
    </w:p>
    <w:p>
      <w:pPr>
        <w:spacing w:line="168" w:lineRule="exact" w:before="0"/>
        <w:ind w:left="1080" w:right="0" w:firstLine="0"/>
        <w:jc w:val="both"/>
        <w:rPr>
          <w:rFonts w:ascii="Arial"/>
          <w:sz w:val="16"/>
        </w:rPr>
      </w:pPr>
      <w:r>
        <w:rPr>
          <w:rFonts w:ascii="Trebuchet MS"/>
          <w:b/>
          <w:color w:val="231F20"/>
          <w:sz w:val="16"/>
        </w:rPr>
        <w:t>Figure</w:t>
      </w:r>
      <w:r>
        <w:rPr>
          <w:rFonts w:ascii="Trebuchet MS"/>
          <w:b/>
          <w:color w:val="231F20"/>
          <w:spacing w:val="-10"/>
          <w:sz w:val="16"/>
        </w:rPr>
        <w:t> </w:t>
      </w:r>
      <w:r>
        <w:rPr>
          <w:rFonts w:ascii="Trebuchet MS"/>
          <w:b/>
          <w:color w:val="231F20"/>
          <w:sz w:val="16"/>
        </w:rPr>
        <w:t>26-1.</w:t>
      </w:r>
      <w:r>
        <w:rPr>
          <w:rFonts w:ascii="Trebuchet MS"/>
          <w:b/>
          <w:color w:val="231F20"/>
          <w:spacing w:val="15"/>
          <w:sz w:val="16"/>
        </w:rPr>
        <w:t> </w:t>
      </w:r>
      <w:r>
        <w:rPr>
          <w:rFonts w:ascii="Arial"/>
          <w:color w:val="231F20"/>
          <w:sz w:val="16"/>
        </w:rPr>
        <w:t>Effect</w:t>
      </w:r>
      <w:r>
        <w:rPr>
          <w:rFonts w:ascii="Arial"/>
          <w:color w:val="231F20"/>
          <w:spacing w:val="-6"/>
          <w:sz w:val="16"/>
        </w:rPr>
        <w:t> </w:t>
      </w:r>
      <w:r>
        <w:rPr>
          <w:rFonts w:ascii="Arial"/>
          <w:color w:val="231F20"/>
          <w:sz w:val="16"/>
        </w:rPr>
        <w:t>of</w:t>
      </w:r>
      <w:r>
        <w:rPr>
          <w:rFonts w:ascii="Arial"/>
          <w:color w:val="231F20"/>
          <w:spacing w:val="-5"/>
          <w:sz w:val="16"/>
        </w:rPr>
        <w:t> </w:t>
      </w:r>
      <w:r>
        <w:rPr>
          <w:rFonts w:ascii="Arial"/>
          <w:color w:val="231F20"/>
          <w:sz w:val="16"/>
        </w:rPr>
        <w:t>increasing</w:t>
      </w:r>
      <w:r>
        <w:rPr>
          <w:rFonts w:ascii="Arial"/>
          <w:color w:val="231F20"/>
          <w:spacing w:val="-6"/>
          <w:sz w:val="16"/>
        </w:rPr>
        <w:t> </w:t>
      </w:r>
      <w:r>
        <w:rPr>
          <w:rFonts w:ascii="Arial"/>
          <w:color w:val="231F20"/>
          <w:sz w:val="16"/>
        </w:rPr>
        <w:t>sodium</w:t>
      </w:r>
      <w:r>
        <w:rPr>
          <w:rFonts w:ascii="Arial"/>
          <w:color w:val="231F20"/>
          <w:spacing w:val="-5"/>
          <w:sz w:val="16"/>
        </w:rPr>
        <w:t> </w:t>
      </w:r>
      <w:r>
        <w:rPr>
          <w:rFonts w:ascii="Arial"/>
          <w:color w:val="231F20"/>
          <w:sz w:val="16"/>
        </w:rPr>
        <w:t>intake</w:t>
      </w:r>
      <w:r>
        <w:rPr>
          <w:rFonts w:ascii="Arial"/>
          <w:color w:val="231F20"/>
          <w:spacing w:val="-6"/>
          <w:sz w:val="16"/>
        </w:rPr>
        <w:t> </w:t>
      </w:r>
      <w:r>
        <w:rPr>
          <w:rFonts w:ascii="Arial"/>
          <w:color w:val="231F20"/>
          <w:sz w:val="16"/>
        </w:rPr>
        <w:t>10-fold</w:t>
      </w:r>
      <w:r>
        <w:rPr>
          <w:rFonts w:ascii="Arial"/>
          <w:color w:val="231F20"/>
          <w:spacing w:val="-5"/>
          <w:sz w:val="16"/>
        </w:rPr>
        <w:t> </w:t>
      </w:r>
      <w:r>
        <w:rPr>
          <w:rFonts w:ascii="Arial"/>
          <w:color w:val="231F20"/>
          <w:sz w:val="16"/>
        </w:rPr>
        <w:t>(from</w:t>
      </w:r>
      <w:r>
        <w:rPr>
          <w:rFonts w:ascii="Arial"/>
          <w:color w:val="231F20"/>
          <w:spacing w:val="-5"/>
          <w:sz w:val="16"/>
        </w:rPr>
        <w:t> </w:t>
      </w:r>
      <w:r>
        <w:rPr>
          <w:rFonts w:ascii="Arial"/>
          <w:color w:val="231F20"/>
          <w:sz w:val="16"/>
        </w:rPr>
        <w:t>30</w:t>
      </w:r>
      <w:r>
        <w:rPr>
          <w:rFonts w:ascii="Arial"/>
          <w:color w:val="231F20"/>
          <w:spacing w:val="-6"/>
          <w:sz w:val="16"/>
        </w:rPr>
        <w:t> to</w:t>
      </w:r>
    </w:p>
    <w:p>
      <w:pPr>
        <w:spacing w:line="261" w:lineRule="auto" w:before="14"/>
        <w:ind w:left="1080" w:right="0" w:firstLine="0"/>
        <w:jc w:val="both"/>
        <w:rPr>
          <w:rFonts w:ascii="Arial"/>
          <w:sz w:val="16"/>
        </w:rPr>
      </w:pPr>
      <w:r>
        <w:rPr>
          <w:rFonts w:ascii="Arial"/>
          <w:color w:val="231F20"/>
          <w:sz w:val="16"/>
        </w:rPr>
        <w:t>300 mEq/day) on urinary sodium excretion and extracellular </w:t>
      </w:r>
      <w:r>
        <w:rPr>
          <w:rFonts w:ascii="Arial"/>
          <w:color w:val="231F20"/>
          <w:spacing w:val="-3"/>
          <w:sz w:val="16"/>
        </w:rPr>
        <w:t>fluid </w:t>
      </w:r>
      <w:r>
        <w:rPr>
          <w:rFonts w:ascii="Arial"/>
          <w:color w:val="231F20"/>
          <w:sz w:val="16"/>
        </w:rPr>
        <w:t>volume.</w:t>
      </w:r>
      <w:r>
        <w:rPr>
          <w:rFonts w:ascii="Arial"/>
          <w:color w:val="231F20"/>
          <w:spacing w:val="-15"/>
          <w:sz w:val="16"/>
        </w:rPr>
        <w:t> </w:t>
      </w:r>
      <w:r>
        <w:rPr>
          <w:rFonts w:ascii="Arial"/>
          <w:color w:val="231F20"/>
          <w:sz w:val="16"/>
        </w:rPr>
        <w:t>The</w:t>
      </w:r>
      <w:r>
        <w:rPr>
          <w:rFonts w:ascii="Arial"/>
          <w:color w:val="231F20"/>
          <w:spacing w:val="-14"/>
          <w:sz w:val="16"/>
        </w:rPr>
        <w:t> </w:t>
      </w:r>
      <w:r>
        <w:rPr>
          <w:rFonts w:ascii="Arial"/>
          <w:color w:val="231F20"/>
          <w:sz w:val="16"/>
        </w:rPr>
        <w:t>shaded</w:t>
      </w:r>
      <w:r>
        <w:rPr>
          <w:rFonts w:ascii="Arial"/>
          <w:color w:val="231F20"/>
          <w:spacing w:val="-14"/>
          <w:sz w:val="16"/>
        </w:rPr>
        <w:t> </w:t>
      </w:r>
      <w:r>
        <w:rPr>
          <w:rFonts w:ascii="Arial"/>
          <w:color w:val="231F20"/>
          <w:sz w:val="16"/>
        </w:rPr>
        <w:t>areas</w:t>
      </w:r>
      <w:r>
        <w:rPr>
          <w:rFonts w:ascii="Arial"/>
          <w:color w:val="231F20"/>
          <w:spacing w:val="-15"/>
          <w:sz w:val="16"/>
        </w:rPr>
        <w:t> </w:t>
      </w:r>
      <w:r>
        <w:rPr>
          <w:rFonts w:ascii="Arial"/>
          <w:color w:val="231F20"/>
          <w:sz w:val="16"/>
        </w:rPr>
        <w:t>represent</w:t>
      </w:r>
      <w:r>
        <w:rPr>
          <w:rFonts w:ascii="Arial"/>
          <w:color w:val="231F20"/>
          <w:spacing w:val="-14"/>
          <w:sz w:val="16"/>
        </w:rPr>
        <w:t> </w:t>
      </w:r>
      <w:r>
        <w:rPr>
          <w:rFonts w:ascii="Arial"/>
          <w:color w:val="231F20"/>
          <w:sz w:val="16"/>
        </w:rPr>
        <w:t>the</w:t>
      </w:r>
      <w:r>
        <w:rPr>
          <w:rFonts w:ascii="Arial"/>
          <w:color w:val="231F20"/>
          <w:spacing w:val="-14"/>
          <w:sz w:val="16"/>
        </w:rPr>
        <w:t> </w:t>
      </w:r>
      <w:r>
        <w:rPr>
          <w:rFonts w:ascii="Arial"/>
          <w:color w:val="231F20"/>
          <w:sz w:val="16"/>
        </w:rPr>
        <w:t>net</w:t>
      </w:r>
      <w:r>
        <w:rPr>
          <w:rFonts w:ascii="Arial"/>
          <w:color w:val="231F20"/>
          <w:spacing w:val="-15"/>
          <w:sz w:val="16"/>
        </w:rPr>
        <w:t> </w:t>
      </w:r>
      <w:r>
        <w:rPr>
          <w:rFonts w:ascii="Arial"/>
          <w:color w:val="231F20"/>
          <w:sz w:val="16"/>
        </w:rPr>
        <w:t>sodium</w:t>
      </w:r>
      <w:r>
        <w:rPr>
          <w:rFonts w:ascii="Arial"/>
          <w:color w:val="231F20"/>
          <w:spacing w:val="-14"/>
          <w:sz w:val="16"/>
        </w:rPr>
        <w:t> </w:t>
      </w:r>
      <w:r>
        <w:rPr>
          <w:rFonts w:ascii="Arial"/>
          <w:color w:val="231F20"/>
          <w:sz w:val="16"/>
        </w:rPr>
        <w:t>retention</w:t>
      </w:r>
      <w:r>
        <w:rPr>
          <w:rFonts w:ascii="Arial"/>
          <w:color w:val="231F20"/>
          <w:spacing w:val="-14"/>
          <w:sz w:val="16"/>
        </w:rPr>
        <w:t> </w:t>
      </w:r>
      <w:r>
        <w:rPr>
          <w:rFonts w:ascii="Arial"/>
          <w:color w:val="231F20"/>
          <w:sz w:val="16"/>
        </w:rPr>
        <w:t>or</w:t>
      </w:r>
      <w:r>
        <w:rPr>
          <w:rFonts w:ascii="Arial"/>
          <w:color w:val="231F20"/>
          <w:spacing w:val="-15"/>
          <w:sz w:val="16"/>
        </w:rPr>
        <w:t> </w:t>
      </w:r>
      <w:r>
        <w:rPr>
          <w:rFonts w:ascii="Arial"/>
          <w:color w:val="231F20"/>
          <w:spacing w:val="-6"/>
          <w:sz w:val="16"/>
        </w:rPr>
        <w:t>the </w:t>
      </w:r>
      <w:r>
        <w:rPr>
          <w:rFonts w:ascii="Arial"/>
          <w:color w:val="231F20"/>
          <w:sz w:val="16"/>
        </w:rPr>
        <w:t>net sodium loss, determined from the difference between </w:t>
      </w:r>
      <w:r>
        <w:rPr>
          <w:rFonts w:ascii="Arial"/>
          <w:color w:val="231F20"/>
          <w:spacing w:val="-3"/>
          <w:sz w:val="16"/>
        </w:rPr>
        <w:t>sodium </w:t>
      </w:r>
      <w:r>
        <w:rPr>
          <w:rFonts w:ascii="Arial"/>
          <w:color w:val="231F20"/>
          <w:sz w:val="16"/>
        </w:rPr>
        <w:t>intake and sodium</w:t>
      </w:r>
      <w:r>
        <w:rPr>
          <w:rFonts w:ascii="Arial"/>
          <w:color w:val="231F20"/>
          <w:spacing w:val="20"/>
          <w:sz w:val="16"/>
        </w:rPr>
        <w:t> </w:t>
      </w:r>
      <w:r>
        <w:rPr>
          <w:rFonts w:ascii="Arial"/>
          <w:color w:val="231F20"/>
          <w:sz w:val="16"/>
        </w:rPr>
        <w:t>excretion.</w:t>
      </w:r>
    </w:p>
    <w:p>
      <w:pPr>
        <w:pStyle w:val="BodyText"/>
        <w:spacing w:before="11"/>
        <w:rPr>
          <w:rFonts w:ascii="Arial"/>
          <w:sz w:val="18"/>
        </w:rPr>
      </w:pPr>
    </w:p>
    <w:p>
      <w:pPr>
        <w:pStyle w:val="BodyText"/>
        <w:spacing w:line="249" w:lineRule="auto"/>
        <w:ind w:left="1079"/>
        <w:jc w:val="both"/>
      </w:pPr>
      <w:r>
        <w:rPr>
          <w:color w:val="231F20"/>
          <w:w w:val="105"/>
        </w:rPr>
        <w:t>other electrolytes, such as chloride, potassium,</w:t>
      </w:r>
      <w:r>
        <w:rPr>
          <w:color w:val="231F20"/>
          <w:spacing w:val="-22"/>
          <w:w w:val="105"/>
        </w:rPr>
        <w:t> </w:t>
      </w:r>
      <w:r>
        <w:rPr>
          <w:color w:val="231F20"/>
          <w:w w:val="105"/>
        </w:rPr>
        <w:t>calcium, hydrogen, magnesium, and phosphate ions. In the </w:t>
      </w:r>
      <w:r>
        <w:rPr>
          <w:color w:val="231F20"/>
          <w:spacing w:val="-4"/>
          <w:w w:val="105"/>
        </w:rPr>
        <w:t>next </w:t>
      </w:r>
      <w:r>
        <w:rPr>
          <w:color w:val="231F20"/>
          <w:w w:val="105"/>
        </w:rPr>
        <w:t>few chapters, we discuss the specific mechanisms that permit the kidneys to perform these amazing feats of homeostasis.</w:t>
      </w:r>
    </w:p>
    <w:p>
      <w:pPr>
        <w:pStyle w:val="BodyText"/>
        <w:spacing w:line="249" w:lineRule="auto" w:before="244"/>
        <w:ind w:left="1080" w:hanging="1"/>
        <w:jc w:val="both"/>
      </w:pPr>
      <w:r>
        <w:rPr>
          <w:rFonts w:ascii="Trebuchet MS"/>
          <w:b/>
          <w:color w:val="231F20"/>
          <w:w w:val="105"/>
          <w:sz w:val="19"/>
        </w:rPr>
        <w:t>Regulation of Arterial Pressure. </w:t>
      </w:r>
      <w:r>
        <w:rPr>
          <w:color w:val="231F20"/>
          <w:w w:val="105"/>
        </w:rPr>
        <w:t>As discussed </w:t>
      </w:r>
      <w:r>
        <w:rPr>
          <w:color w:val="231F20"/>
          <w:spacing w:val="-7"/>
          <w:w w:val="105"/>
        </w:rPr>
        <w:t>in </w:t>
      </w:r>
      <w:r>
        <w:rPr>
          <w:color w:val="231F20"/>
          <w:w w:val="105"/>
        </w:rPr>
        <w:t>Chapter</w:t>
      </w:r>
      <w:r>
        <w:rPr>
          <w:color w:val="231F20"/>
          <w:spacing w:val="-23"/>
          <w:w w:val="105"/>
        </w:rPr>
        <w:t> </w:t>
      </w:r>
      <w:r>
        <w:rPr>
          <w:color w:val="231F20"/>
          <w:w w:val="105"/>
        </w:rPr>
        <w:t>19,</w:t>
      </w:r>
      <w:r>
        <w:rPr>
          <w:color w:val="231F20"/>
          <w:spacing w:val="-22"/>
          <w:w w:val="105"/>
        </w:rPr>
        <w:t> </w:t>
      </w:r>
      <w:r>
        <w:rPr>
          <w:color w:val="231F20"/>
          <w:w w:val="105"/>
        </w:rPr>
        <w:t>the</w:t>
      </w:r>
      <w:r>
        <w:rPr>
          <w:color w:val="231F20"/>
          <w:spacing w:val="-23"/>
          <w:w w:val="105"/>
        </w:rPr>
        <w:t> </w:t>
      </w:r>
      <w:r>
        <w:rPr>
          <w:color w:val="231F20"/>
          <w:w w:val="105"/>
        </w:rPr>
        <w:t>kidneys</w:t>
      </w:r>
      <w:r>
        <w:rPr>
          <w:color w:val="231F20"/>
          <w:spacing w:val="-22"/>
          <w:w w:val="105"/>
        </w:rPr>
        <w:t> </w:t>
      </w:r>
      <w:r>
        <w:rPr>
          <w:color w:val="231F20"/>
          <w:w w:val="105"/>
        </w:rPr>
        <w:t>play</w:t>
      </w:r>
      <w:r>
        <w:rPr>
          <w:color w:val="231F20"/>
          <w:spacing w:val="-23"/>
          <w:w w:val="105"/>
        </w:rPr>
        <w:t> </w:t>
      </w:r>
      <w:r>
        <w:rPr>
          <w:color w:val="231F20"/>
          <w:w w:val="105"/>
        </w:rPr>
        <w:t>a</w:t>
      </w:r>
      <w:r>
        <w:rPr>
          <w:color w:val="231F20"/>
          <w:spacing w:val="-22"/>
          <w:w w:val="105"/>
        </w:rPr>
        <w:t> </w:t>
      </w:r>
      <w:r>
        <w:rPr>
          <w:color w:val="231F20"/>
          <w:w w:val="105"/>
        </w:rPr>
        <w:t>dominant</w:t>
      </w:r>
      <w:r>
        <w:rPr>
          <w:color w:val="231F20"/>
          <w:spacing w:val="-23"/>
          <w:w w:val="105"/>
        </w:rPr>
        <w:t> </w:t>
      </w:r>
      <w:r>
        <w:rPr>
          <w:color w:val="231F20"/>
          <w:w w:val="105"/>
        </w:rPr>
        <w:t>role</w:t>
      </w:r>
      <w:r>
        <w:rPr>
          <w:color w:val="231F20"/>
          <w:spacing w:val="-22"/>
          <w:w w:val="105"/>
        </w:rPr>
        <w:t> </w:t>
      </w:r>
      <w:r>
        <w:rPr>
          <w:color w:val="231F20"/>
          <w:w w:val="105"/>
        </w:rPr>
        <w:t>in</w:t>
      </w:r>
      <w:r>
        <w:rPr>
          <w:color w:val="231F20"/>
          <w:spacing w:val="-23"/>
          <w:w w:val="105"/>
        </w:rPr>
        <w:t> </w:t>
      </w:r>
      <w:r>
        <w:rPr>
          <w:color w:val="231F20"/>
          <w:w w:val="105"/>
        </w:rPr>
        <w:t>long-term regulation of arterial pressure by excreting variable amounts of sodium and </w:t>
      </w:r>
      <w:r>
        <w:rPr>
          <w:color w:val="231F20"/>
          <w:spacing w:val="-3"/>
          <w:w w:val="105"/>
        </w:rPr>
        <w:t>water. </w:t>
      </w:r>
      <w:r>
        <w:rPr>
          <w:color w:val="231F20"/>
          <w:w w:val="105"/>
        </w:rPr>
        <w:t>The kidneys also</w:t>
      </w:r>
      <w:r>
        <w:rPr>
          <w:color w:val="231F20"/>
          <w:spacing w:val="-38"/>
          <w:w w:val="105"/>
        </w:rPr>
        <w:t> </w:t>
      </w:r>
      <w:r>
        <w:rPr>
          <w:color w:val="231F20"/>
          <w:w w:val="105"/>
        </w:rPr>
        <w:t>contrib- ute</w:t>
      </w:r>
      <w:r>
        <w:rPr>
          <w:color w:val="231F20"/>
          <w:spacing w:val="-16"/>
          <w:w w:val="105"/>
        </w:rPr>
        <w:t> </w:t>
      </w:r>
      <w:r>
        <w:rPr>
          <w:color w:val="231F20"/>
          <w:w w:val="105"/>
        </w:rPr>
        <w:t>to</w:t>
      </w:r>
      <w:r>
        <w:rPr>
          <w:color w:val="231F20"/>
          <w:spacing w:val="-15"/>
          <w:w w:val="105"/>
        </w:rPr>
        <w:t> </w:t>
      </w:r>
      <w:r>
        <w:rPr>
          <w:color w:val="231F20"/>
          <w:w w:val="105"/>
        </w:rPr>
        <w:t>short-term</w:t>
      </w:r>
      <w:r>
        <w:rPr>
          <w:color w:val="231F20"/>
          <w:spacing w:val="-15"/>
          <w:w w:val="105"/>
        </w:rPr>
        <w:t> </w:t>
      </w:r>
      <w:r>
        <w:rPr>
          <w:color w:val="231F20"/>
          <w:w w:val="105"/>
        </w:rPr>
        <w:t>arterial</w:t>
      </w:r>
      <w:r>
        <w:rPr>
          <w:color w:val="231F20"/>
          <w:spacing w:val="-15"/>
          <w:w w:val="105"/>
        </w:rPr>
        <w:t> </w:t>
      </w:r>
      <w:r>
        <w:rPr>
          <w:color w:val="231F20"/>
          <w:w w:val="105"/>
        </w:rPr>
        <w:t>pressure</w:t>
      </w:r>
      <w:r>
        <w:rPr>
          <w:color w:val="231F20"/>
          <w:spacing w:val="-16"/>
          <w:w w:val="105"/>
        </w:rPr>
        <w:t> </w:t>
      </w:r>
      <w:r>
        <w:rPr>
          <w:color w:val="231F20"/>
          <w:w w:val="105"/>
        </w:rPr>
        <w:t>regulation</w:t>
      </w:r>
      <w:r>
        <w:rPr>
          <w:color w:val="231F20"/>
          <w:spacing w:val="-15"/>
          <w:w w:val="105"/>
        </w:rPr>
        <w:t> </w:t>
      </w:r>
      <w:r>
        <w:rPr>
          <w:color w:val="231F20"/>
          <w:w w:val="105"/>
        </w:rPr>
        <w:t>by</w:t>
      </w:r>
      <w:r>
        <w:rPr>
          <w:color w:val="231F20"/>
          <w:spacing w:val="-15"/>
          <w:w w:val="105"/>
        </w:rPr>
        <w:t> </w:t>
      </w:r>
      <w:r>
        <w:rPr>
          <w:color w:val="231F20"/>
          <w:w w:val="105"/>
        </w:rPr>
        <w:t>secreting hormones and vasoactive factors or substances (e.g., </w:t>
      </w:r>
      <w:r>
        <w:rPr>
          <w:i/>
          <w:color w:val="231F20"/>
          <w:w w:val="105"/>
        </w:rPr>
        <w:t>renin</w:t>
      </w:r>
      <w:r>
        <w:rPr>
          <w:color w:val="231F20"/>
          <w:w w:val="105"/>
        </w:rPr>
        <w:t>) that lead to the formation of vasoactive products (e.g., angiotensin</w:t>
      </w:r>
      <w:r>
        <w:rPr>
          <w:color w:val="231F20"/>
          <w:spacing w:val="3"/>
          <w:w w:val="105"/>
        </w:rPr>
        <w:t> </w:t>
      </w:r>
      <w:r>
        <w:rPr>
          <w:color w:val="231F20"/>
          <w:w w:val="105"/>
        </w:rPr>
        <w:t>II).</w:t>
      </w:r>
    </w:p>
    <w:p>
      <w:pPr>
        <w:pStyle w:val="BodyText"/>
        <w:spacing w:line="249" w:lineRule="auto" w:before="246"/>
        <w:ind w:left="1080" w:hanging="1"/>
        <w:jc w:val="both"/>
      </w:pPr>
      <w:r>
        <w:rPr>
          <w:rFonts w:ascii="Trebuchet MS"/>
          <w:b/>
          <w:color w:val="231F20"/>
          <w:sz w:val="19"/>
        </w:rPr>
        <w:t>Regulation of Acid-Base Balance. </w:t>
      </w:r>
      <w:r>
        <w:rPr>
          <w:color w:val="231F20"/>
        </w:rPr>
        <w:t>The kidneys </w:t>
      </w:r>
      <w:r>
        <w:rPr>
          <w:color w:val="231F20"/>
          <w:spacing w:val="-3"/>
        </w:rPr>
        <w:t>contrib- </w:t>
      </w:r>
      <w:r>
        <w:rPr>
          <w:color w:val="231F20"/>
        </w:rPr>
        <w:t>ute to acid-base regulation, along with the lungs and body fluid buffers, by excreting acids and by regulating </w:t>
      </w:r>
      <w:r>
        <w:rPr>
          <w:color w:val="231F20"/>
          <w:spacing w:val="-6"/>
        </w:rPr>
        <w:t>the </w:t>
      </w:r>
      <w:r>
        <w:rPr>
          <w:color w:val="231F20"/>
        </w:rPr>
        <w:t>body fluid buffer stores. The kidneys are the only means of eliminating from the body certain types of acids, such as sulfuric acid and phosphoric acid, generated by</w:t>
      </w:r>
      <w:r>
        <w:rPr>
          <w:color w:val="231F20"/>
          <w:spacing w:val="25"/>
        </w:rPr>
        <w:t> </w:t>
      </w:r>
      <w:r>
        <w:rPr>
          <w:color w:val="231F20"/>
        </w:rPr>
        <w:t>the metabolism of</w:t>
      </w:r>
      <w:r>
        <w:rPr>
          <w:color w:val="231F20"/>
          <w:spacing w:val="14"/>
        </w:rPr>
        <w:t> </w:t>
      </w:r>
      <w:r>
        <w:rPr>
          <w:color w:val="231F20"/>
        </w:rPr>
        <w:t>proteins.</w:t>
      </w:r>
    </w:p>
    <w:p>
      <w:pPr>
        <w:pStyle w:val="BodyText"/>
        <w:spacing w:line="249" w:lineRule="auto" w:before="246"/>
        <w:ind w:left="1079"/>
        <w:jc w:val="both"/>
      </w:pPr>
      <w:r>
        <w:rPr>
          <w:rFonts w:ascii="Trebuchet MS"/>
          <w:b/>
          <w:color w:val="231F20"/>
          <w:sz w:val="19"/>
        </w:rPr>
        <w:t>Regulation of Erythrocyte Production. </w:t>
      </w:r>
      <w:r>
        <w:rPr>
          <w:color w:val="231F20"/>
        </w:rPr>
        <w:t>The </w:t>
      </w:r>
      <w:r>
        <w:rPr>
          <w:color w:val="231F20"/>
          <w:spacing w:val="-3"/>
        </w:rPr>
        <w:t>kidneys </w:t>
      </w:r>
      <w:r>
        <w:rPr>
          <w:color w:val="231F20"/>
        </w:rPr>
        <w:t>secrete </w:t>
      </w:r>
      <w:r>
        <w:rPr>
          <w:i/>
          <w:color w:val="231F20"/>
        </w:rPr>
        <w:t>erythropoietin, </w:t>
      </w:r>
      <w:r>
        <w:rPr>
          <w:color w:val="231F20"/>
        </w:rPr>
        <w:t>which stimulates  the  </w:t>
      </w:r>
      <w:r>
        <w:rPr>
          <w:color w:val="231F20"/>
          <w:spacing w:val="-2"/>
        </w:rPr>
        <w:t>production </w:t>
      </w:r>
      <w:r>
        <w:rPr>
          <w:color w:val="231F20"/>
        </w:rPr>
        <w:t>of red blood cells by </w:t>
      </w:r>
      <w:r>
        <w:rPr>
          <w:i/>
          <w:color w:val="231F20"/>
        </w:rPr>
        <w:t>hematopoietic stem cells  </w:t>
      </w:r>
      <w:r>
        <w:rPr>
          <w:color w:val="231F20"/>
        </w:rPr>
        <w:t>in  </w:t>
      </w:r>
      <w:r>
        <w:rPr>
          <w:color w:val="231F20"/>
          <w:spacing w:val="-6"/>
        </w:rPr>
        <w:t>the  </w:t>
      </w:r>
      <w:r>
        <w:rPr>
          <w:color w:val="231F20"/>
        </w:rPr>
        <w:t>bone marrow, as discussed in Chapter 33. One important stimulus for erythropoietin secretion by the kidneys is </w:t>
      </w:r>
      <w:r>
        <w:rPr>
          <w:i/>
          <w:color w:val="231F20"/>
        </w:rPr>
        <w:t>hypoxia. </w:t>
      </w:r>
      <w:r>
        <w:rPr>
          <w:color w:val="231F20"/>
        </w:rPr>
        <w:t>The kidneys normally account for almost all the erythropoietin secreted into the circulation. In people  with severe kidney disease or who have had their </w:t>
      </w:r>
      <w:r>
        <w:rPr>
          <w:color w:val="231F20"/>
          <w:spacing w:val="-3"/>
        </w:rPr>
        <w:t>kidneys </w:t>
      </w:r>
      <w:r>
        <w:rPr>
          <w:color w:val="231F20"/>
        </w:rPr>
        <w:t>removed and have been placed on hemodialysis, severe anemia develops as a result of decreased erythropoietin production.</w:t>
      </w:r>
    </w:p>
    <w:p>
      <w:pPr>
        <w:pStyle w:val="BodyText"/>
        <w:spacing w:line="249" w:lineRule="auto" w:before="2"/>
        <w:ind w:left="319" w:right="1437"/>
        <w:jc w:val="both"/>
      </w:pPr>
      <w:r>
        <w:rPr/>
        <w:br w:type="column"/>
      </w:r>
      <w:r>
        <w:rPr>
          <w:color w:val="231F20"/>
          <w:w w:val="105"/>
        </w:rPr>
        <w:t>tion rapidly </w:t>
      </w:r>
      <w:r>
        <w:rPr>
          <w:color w:val="231F20"/>
          <w:spacing w:val="-3"/>
          <w:w w:val="105"/>
        </w:rPr>
        <w:t>occur. With </w:t>
      </w:r>
      <w:r>
        <w:rPr>
          <w:color w:val="231F20"/>
          <w:w w:val="105"/>
        </w:rPr>
        <w:t>complete renal failure, enough potassium,</w:t>
      </w:r>
      <w:r>
        <w:rPr>
          <w:color w:val="231F20"/>
          <w:spacing w:val="-12"/>
          <w:w w:val="105"/>
        </w:rPr>
        <w:t> </w:t>
      </w:r>
      <w:r>
        <w:rPr>
          <w:color w:val="231F20"/>
          <w:w w:val="105"/>
        </w:rPr>
        <w:t>acids,</w:t>
      </w:r>
      <w:r>
        <w:rPr>
          <w:color w:val="231F20"/>
          <w:spacing w:val="-10"/>
          <w:w w:val="105"/>
        </w:rPr>
        <w:t> </w:t>
      </w:r>
      <w:r>
        <w:rPr>
          <w:color w:val="231F20"/>
          <w:w w:val="105"/>
        </w:rPr>
        <w:t>fluid,</w:t>
      </w:r>
      <w:r>
        <w:rPr>
          <w:color w:val="231F20"/>
          <w:spacing w:val="-11"/>
          <w:w w:val="105"/>
        </w:rPr>
        <w:t> </w:t>
      </w:r>
      <w:r>
        <w:rPr>
          <w:color w:val="231F20"/>
          <w:w w:val="105"/>
        </w:rPr>
        <w:t>and</w:t>
      </w:r>
      <w:r>
        <w:rPr>
          <w:color w:val="231F20"/>
          <w:spacing w:val="-11"/>
          <w:w w:val="105"/>
        </w:rPr>
        <w:t> </w:t>
      </w:r>
      <w:r>
        <w:rPr>
          <w:color w:val="231F20"/>
          <w:w w:val="105"/>
        </w:rPr>
        <w:t>other</w:t>
      </w:r>
      <w:r>
        <w:rPr>
          <w:color w:val="231F20"/>
          <w:spacing w:val="-11"/>
          <w:w w:val="105"/>
        </w:rPr>
        <w:t> </w:t>
      </w:r>
      <w:r>
        <w:rPr>
          <w:color w:val="231F20"/>
          <w:w w:val="105"/>
        </w:rPr>
        <w:t>substances</w:t>
      </w:r>
      <w:r>
        <w:rPr>
          <w:color w:val="231F20"/>
          <w:spacing w:val="-12"/>
          <w:w w:val="105"/>
        </w:rPr>
        <w:t> </w:t>
      </w:r>
      <w:r>
        <w:rPr>
          <w:color w:val="231F20"/>
          <w:w w:val="105"/>
        </w:rPr>
        <w:t>accumulate in</w:t>
      </w:r>
      <w:r>
        <w:rPr>
          <w:color w:val="231F20"/>
          <w:spacing w:val="-17"/>
          <w:w w:val="105"/>
        </w:rPr>
        <w:t> </w:t>
      </w:r>
      <w:r>
        <w:rPr>
          <w:color w:val="231F20"/>
          <w:w w:val="105"/>
        </w:rPr>
        <w:t>the</w:t>
      </w:r>
      <w:r>
        <w:rPr>
          <w:color w:val="231F20"/>
          <w:spacing w:val="-16"/>
          <w:w w:val="105"/>
        </w:rPr>
        <w:t> </w:t>
      </w:r>
      <w:r>
        <w:rPr>
          <w:color w:val="231F20"/>
          <w:w w:val="105"/>
        </w:rPr>
        <w:t>body</w:t>
      </w:r>
      <w:r>
        <w:rPr>
          <w:color w:val="231F20"/>
          <w:spacing w:val="-17"/>
          <w:w w:val="105"/>
        </w:rPr>
        <w:t> </w:t>
      </w:r>
      <w:r>
        <w:rPr>
          <w:color w:val="231F20"/>
          <w:w w:val="105"/>
        </w:rPr>
        <w:t>to</w:t>
      </w:r>
      <w:r>
        <w:rPr>
          <w:color w:val="231F20"/>
          <w:spacing w:val="-16"/>
          <w:w w:val="105"/>
        </w:rPr>
        <w:t> </w:t>
      </w:r>
      <w:r>
        <w:rPr>
          <w:color w:val="231F20"/>
          <w:w w:val="105"/>
        </w:rPr>
        <w:t>cause</w:t>
      </w:r>
      <w:r>
        <w:rPr>
          <w:color w:val="231F20"/>
          <w:spacing w:val="-17"/>
          <w:w w:val="105"/>
        </w:rPr>
        <w:t> </w:t>
      </w:r>
      <w:r>
        <w:rPr>
          <w:color w:val="231F20"/>
          <w:w w:val="105"/>
        </w:rPr>
        <w:t>death</w:t>
      </w:r>
      <w:r>
        <w:rPr>
          <w:color w:val="231F20"/>
          <w:spacing w:val="-16"/>
          <w:w w:val="105"/>
        </w:rPr>
        <w:t> </w:t>
      </w:r>
      <w:r>
        <w:rPr>
          <w:color w:val="231F20"/>
          <w:w w:val="105"/>
        </w:rPr>
        <w:t>within</w:t>
      </w:r>
      <w:r>
        <w:rPr>
          <w:color w:val="231F20"/>
          <w:spacing w:val="-17"/>
          <w:w w:val="105"/>
        </w:rPr>
        <w:t> </w:t>
      </w:r>
      <w:r>
        <w:rPr>
          <w:color w:val="231F20"/>
          <w:w w:val="105"/>
        </w:rPr>
        <w:t>a</w:t>
      </w:r>
      <w:r>
        <w:rPr>
          <w:color w:val="231F20"/>
          <w:spacing w:val="-16"/>
          <w:w w:val="105"/>
        </w:rPr>
        <w:t> </w:t>
      </w:r>
      <w:r>
        <w:rPr>
          <w:color w:val="231F20"/>
          <w:w w:val="105"/>
        </w:rPr>
        <w:t>few</w:t>
      </w:r>
      <w:r>
        <w:rPr>
          <w:color w:val="231F20"/>
          <w:spacing w:val="-17"/>
          <w:w w:val="105"/>
        </w:rPr>
        <w:t> </w:t>
      </w:r>
      <w:r>
        <w:rPr>
          <w:color w:val="231F20"/>
          <w:w w:val="105"/>
        </w:rPr>
        <w:t>days,</w:t>
      </w:r>
      <w:r>
        <w:rPr>
          <w:color w:val="231F20"/>
          <w:spacing w:val="-16"/>
          <w:w w:val="105"/>
        </w:rPr>
        <w:t> </w:t>
      </w:r>
      <w:r>
        <w:rPr>
          <w:color w:val="231F20"/>
          <w:w w:val="105"/>
        </w:rPr>
        <w:t>unless</w:t>
      </w:r>
      <w:r>
        <w:rPr>
          <w:color w:val="231F20"/>
          <w:spacing w:val="-17"/>
          <w:w w:val="105"/>
        </w:rPr>
        <w:t> </w:t>
      </w:r>
      <w:r>
        <w:rPr>
          <w:color w:val="231F20"/>
          <w:w w:val="105"/>
        </w:rPr>
        <w:t>clini- cal interventions such as hemodialysis are initiated </w:t>
      </w:r>
      <w:r>
        <w:rPr>
          <w:color w:val="231F20"/>
          <w:spacing w:val="-6"/>
          <w:w w:val="105"/>
        </w:rPr>
        <w:t>to </w:t>
      </w:r>
      <w:r>
        <w:rPr>
          <w:color w:val="231F20"/>
          <w:w w:val="105"/>
        </w:rPr>
        <w:t>restore, at least partially, the body fluid and electrolyte balances.</w:t>
      </w:r>
    </w:p>
    <w:p>
      <w:pPr>
        <w:pStyle w:val="BodyText"/>
      </w:pPr>
    </w:p>
    <w:p>
      <w:pPr>
        <w:pStyle w:val="BodyText"/>
        <w:spacing w:before="5"/>
        <w:rPr>
          <w:sz w:val="15"/>
        </w:rPr>
      </w:pPr>
      <w:r>
        <w:rPr/>
        <w:pict>
          <v:shape style="position:absolute;margin-left:306pt;margin-top:10.104918pt;width:234pt;height:28pt;mso-position-horizontal-relative:page;mso-position-vertical-relative:paragraph;z-index:-251506688;mso-wrap-distance-left:0;mso-wrap-distance-right:0" type="#_x0000_t202" filled="true" fillcolor="#e8dac8" stroked="false">
            <v:textbox inset="0,0,0,0">
              <w:txbxContent>
                <w:p>
                  <w:pPr>
                    <w:spacing w:line="225" w:lineRule="auto" w:before="46"/>
                    <w:ind w:left="60" w:right="1479" w:firstLine="0"/>
                    <w:jc w:val="left"/>
                    <w:rPr>
                      <w:rFonts w:ascii="Trebuchet MS"/>
                      <w:b/>
                      <w:sz w:val="22"/>
                    </w:rPr>
                  </w:pPr>
                  <w:r>
                    <w:rPr>
                      <w:rFonts w:ascii="Trebuchet MS"/>
                      <w:b/>
                      <w:color w:val="231F20"/>
                      <w:w w:val="110"/>
                      <w:sz w:val="22"/>
                    </w:rPr>
                    <w:t>PHYSIOLOGICAL ANATOMY OF THE KIDNEYS</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Heading2"/>
        <w:spacing w:line="225" w:lineRule="auto" w:before="50"/>
        <w:ind w:right="2554"/>
      </w:pPr>
      <w:r>
        <w:rPr>
          <w:color w:val="231F20"/>
          <w:w w:val="105"/>
        </w:rPr>
        <w:t>GENERAL ORGANIZATION OF THE KIDNEYS AND URINARY TRACT</w:t>
      </w:r>
    </w:p>
    <w:p>
      <w:pPr>
        <w:pStyle w:val="BodyText"/>
        <w:spacing w:line="249" w:lineRule="auto" w:before="128"/>
        <w:ind w:left="319" w:right="1437"/>
        <w:jc w:val="both"/>
      </w:pPr>
      <w:r>
        <w:rPr>
          <w:color w:val="231F20"/>
          <w:w w:val="105"/>
        </w:rPr>
        <w:t>The</w:t>
      </w:r>
      <w:r>
        <w:rPr>
          <w:color w:val="231F20"/>
          <w:spacing w:val="-19"/>
          <w:w w:val="105"/>
        </w:rPr>
        <w:t> </w:t>
      </w:r>
      <w:r>
        <w:rPr>
          <w:color w:val="231F20"/>
          <w:w w:val="105"/>
        </w:rPr>
        <w:t>two</w:t>
      </w:r>
      <w:r>
        <w:rPr>
          <w:color w:val="231F20"/>
          <w:spacing w:val="-19"/>
          <w:w w:val="105"/>
        </w:rPr>
        <w:t> </w:t>
      </w:r>
      <w:r>
        <w:rPr>
          <w:color w:val="231F20"/>
          <w:w w:val="105"/>
        </w:rPr>
        <w:t>kidneys</w:t>
      </w:r>
      <w:r>
        <w:rPr>
          <w:color w:val="231F20"/>
          <w:spacing w:val="-19"/>
          <w:w w:val="105"/>
        </w:rPr>
        <w:t> </w:t>
      </w:r>
      <w:r>
        <w:rPr>
          <w:color w:val="231F20"/>
          <w:w w:val="105"/>
        </w:rPr>
        <w:t>lie</w:t>
      </w:r>
      <w:r>
        <w:rPr>
          <w:color w:val="231F20"/>
          <w:spacing w:val="-19"/>
          <w:w w:val="105"/>
        </w:rPr>
        <w:t> </w:t>
      </w:r>
      <w:r>
        <w:rPr>
          <w:color w:val="231F20"/>
          <w:w w:val="105"/>
        </w:rPr>
        <w:t>on</w:t>
      </w:r>
      <w:r>
        <w:rPr>
          <w:color w:val="231F20"/>
          <w:spacing w:val="-19"/>
          <w:w w:val="105"/>
        </w:rPr>
        <w:t> </w:t>
      </w:r>
      <w:r>
        <w:rPr>
          <w:color w:val="231F20"/>
          <w:w w:val="105"/>
        </w:rPr>
        <w:t>the</w:t>
      </w:r>
      <w:r>
        <w:rPr>
          <w:color w:val="231F20"/>
          <w:spacing w:val="-19"/>
          <w:w w:val="105"/>
        </w:rPr>
        <w:t> </w:t>
      </w:r>
      <w:r>
        <w:rPr>
          <w:color w:val="231F20"/>
          <w:w w:val="105"/>
        </w:rPr>
        <w:t>posterior</w:t>
      </w:r>
      <w:r>
        <w:rPr>
          <w:color w:val="231F20"/>
          <w:spacing w:val="-19"/>
          <w:w w:val="105"/>
        </w:rPr>
        <w:t> </w:t>
      </w:r>
      <w:r>
        <w:rPr>
          <w:color w:val="231F20"/>
          <w:w w:val="105"/>
        </w:rPr>
        <w:t>wall</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abdomen, outside</w:t>
      </w:r>
      <w:r>
        <w:rPr>
          <w:color w:val="231F20"/>
          <w:spacing w:val="-10"/>
          <w:w w:val="105"/>
        </w:rPr>
        <w:t> </w:t>
      </w:r>
      <w:r>
        <w:rPr>
          <w:color w:val="231F20"/>
          <w:w w:val="105"/>
        </w:rPr>
        <w:t>the</w:t>
      </w:r>
      <w:r>
        <w:rPr>
          <w:color w:val="231F20"/>
          <w:spacing w:val="-10"/>
          <w:w w:val="105"/>
        </w:rPr>
        <w:t> </w:t>
      </w:r>
      <w:r>
        <w:rPr>
          <w:color w:val="231F20"/>
          <w:w w:val="105"/>
        </w:rPr>
        <w:t>peritoneal</w:t>
      </w:r>
      <w:r>
        <w:rPr>
          <w:color w:val="231F20"/>
          <w:spacing w:val="-10"/>
          <w:w w:val="105"/>
        </w:rPr>
        <w:t> </w:t>
      </w:r>
      <w:r>
        <w:rPr>
          <w:color w:val="231F20"/>
          <w:w w:val="105"/>
        </w:rPr>
        <w:t>cavity</w:t>
      </w:r>
      <w:r>
        <w:rPr>
          <w:color w:val="231F20"/>
          <w:spacing w:val="-10"/>
          <w:w w:val="105"/>
        </w:rPr>
        <w:t> </w:t>
      </w:r>
      <w:r>
        <w:rPr>
          <w:color w:val="231F20"/>
          <w:w w:val="105"/>
        </w:rPr>
        <w:t>(</w:t>
      </w:r>
      <w:hyperlink w:history="true" w:anchor="_bookmark13">
        <w:r>
          <w:rPr>
            <w:b/>
            <w:color w:val="0080AC"/>
            <w:w w:val="105"/>
          </w:rPr>
          <w:t>Figure</w:t>
        </w:r>
        <w:r>
          <w:rPr>
            <w:b/>
            <w:color w:val="0080AC"/>
            <w:spacing w:val="-12"/>
            <w:w w:val="105"/>
          </w:rPr>
          <w:t> </w:t>
        </w:r>
        <w:r>
          <w:rPr>
            <w:b/>
            <w:color w:val="0080AC"/>
            <w:w w:val="105"/>
          </w:rPr>
          <w:t>26-2</w:t>
        </w:r>
      </w:hyperlink>
      <w:r>
        <w:rPr>
          <w:color w:val="231F20"/>
          <w:w w:val="105"/>
        </w:rPr>
        <w:t>).</w:t>
      </w:r>
      <w:r>
        <w:rPr>
          <w:color w:val="231F20"/>
          <w:spacing w:val="-10"/>
          <w:w w:val="105"/>
        </w:rPr>
        <w:t> </w:t>
      </w:r>
      <w:r>
        <w:rPr>
          <w:color w:val="231F20"/>
          <w:w w:val="105"/>
        </w:rPr>
        <w:t>Each</w:t>
      </w:r>
      <w:r>
        <w:rPr>
          <w:color w:val="231F20"/>
          <w:spacing w:val="-9"/>
          <w:w w:val="105"/>
        </w:rPr>
        <w:t> </w:t>
      </w:r>
      <w:r>
        <w:rPr>
          <w:color w:val="231F20"/>
          <w:w w:val="105"/>
        </w:rPr>
        <w:t>kidney of</w:t>
      </w:r>
      <w:r>
        <w:rPr>
          <w:color w:val="231F20"/>
          <w:spacing w:val="-7"/>
          <w:w w:val="105"/>
        </w:rPr>
        <w:t> </w:t>
      </w:r>
      <w:r>
        <w:rPr>
          <w:color w:val="231F20"/>
          <w:w w:val="105"/>
        </w:rPr>
        <w:t>the</w:t>
      </w:r>
      <w:r>
        <w:rPr>
          <w:color w:val="231F20"/>
          <w:spacing w:val="-7"/>
          <w:w w:val="105"/>
        </w:rPr>
        <w:t> </w:t>
      </w:r>
      <w:r>
        <w:rPr>
          <w:color w:val="231F20"/>
          <w:w w:val="105"/>
        </w:rPr>
        <w:t>adult</w:t>
      </w:r>
      <w:r>
        <w:rPr>
          <w:color w:val="231F20"/>
          <w:spacing w:val="-6"/>
          <w:w w:val="105"/>
        </w:rPr>
        <w:t> </w:t>
      </w:r>
      <w:r>
        <w:rPr>
          <w:color w:val="231F20"/>
          <w:w w:val="105"/>
        </w:rPr>
        <w:t>human</w:t>
      </w:r>
      <w:r>
        <w:rPr>
          <w:color w:val="231F20"/>
          <w:spacing w:val="-7"/>
          <w:w w:val="105"/>
        </w:rPr>
        <w:t> </w:t>
      </w:r>
      <w:r>
        <w:rPr>
          <w:color w:val="231F20"/>
          <w:w w:val="105"/>
        </w:rPr>
        <w:t>weighs</w:t>
      </w:r>
      <w:r>
        <w:rPr>
          <w:color w:val="231F20"/>
          <w:spacing w:val="-7"/>
          <w:w w:val="105"/>
        </w:rPr>
        <w:t> </w:t>
      </w:r>
      <w:r>
        <w:rPr>
          <w:color w:val="231F20"/>
          <w:w w:val="105"/>
        </w:rPr>
        <w:t>about</w:t>
      </w:r>
      <w:r>
        <w:rPr>
          <w:color w:val="231F20"/>
          <w:spacing w:val="-6"/>
          <w:w w:val="105"/>
        </w:rPr>
        <w:t> </w:t>
      </w:r>
      <w:r>
        <w:rPr>
          <w:color w:val="231F20"/>
          <w:w w:val="105"/>
        </w:rPr>
        <w:t>150</w:t>
      </w:r>
      <w:r>
        <w:rPr>
          <w:color w:val="231F20"/>
          <w:spacing w:val="-7"/>
          <w:w w:val="105"/>
        </w:rPr>
        <w:t> </w:t>
      </w:r>
      <w:r>
        <w:rPr>
          <w:color w:val="231F20"/>
          <w:w w:val="105"/>
        </w:rPr>
        <w:t>grams</w:t>
      </w:r>
      <w:r>
        <w:rPr>
          <w:color w:val="231F20"/>
          <w:spacing w:val="-7"/>
          <w:w w:val="105"/>
        </w:rPr>
        <w:t> </w:t>
      </w:r>
      <w:r>
        <w:rPr>
          <w:color w:val="231F20"/>
          <w:w w:val="105"/>
        </w:rPr>
        <w:t>and</w:t>
      </w:r>
      <w:r>
        <w:rPr>
          <w:color w:val="231F20"/>
          <w:spacing w:val="-6"/>
          <w:w w:val="105"/>
        </w:rPr>
        <w:t> </w:t>
      </w:r>
      <w:r>
        <w:rPr>
          <w:color w:val="231F20"/>
          <w:w w:val="105"/>
        </w:rPr>
        <w:t>is</w:t>
      </w:r>
      <w:r>
        <w:rPr>
          <w:color w:val="231F20"/>
          <w:spacing w:val="-7"/>
          <w:w w:val="105"/>
        </w:rPr>
        <w:t> </w:t>
      </w:r>
      <w:r>
        <w:rPr>
          <w:color w:val="231F20"/>
          <w:spacing w:val="-3"/>
          <w:w w:val="105"/>
        </w:rPr>
        <w:t>about </w:t>
      </w:r>
      <w:r>
        <w:rPr>
          <w:color w:val="231F20"/>
          <w:w w:val="105"/>
        </w:rPr>
        <w:t>the</w:t>
      </w:r>
      <w:r>
        <w:rPr>
          <w:color w:val="231F20"/>
          <w:spacing w:val="-18"/>
          <w:w w:val="105"/>
        </w:rPr>
        <w:t> </w:t>
      </w:r>
      <w:r>
        <w:rPr>
          <w:color w:val="231F20"/>
          <w:w w:val="105"/>
        </w:rPr>
        <w:t>size</w:t>
      </w:r>
      <w:r>
        <w:rPr>
          <w:color w:val="231F20"/>
          <w:spacing w:val="-17"/>
          <w:w w:val="105"/>
        </w:rPr>
        <w:t> </w:t>
      </w:r>
      <w:r>
        <w:rPr>
          <w:color w:val="231F20"/>
          <w:w w:val="105"/>
        </w:rPr>
        <w:t>of</w:t>
      </w:r>
      <w:r>
        <w:rPr>
          <w:color w:val="231F20"/>
          <w:spacing w:val="-17"/>
          <w:w w:val="105"/>
        </w:rPr>
        <w:t> </w:t>
      </w:r>
      <w:r>
        <w:rPr>
          <w:color w:val="231F20"/>
          <w:w w:val="105"/>
        </w:rPr>
        <w:t>a</w:t>
      </w:r>
      <w:r>
        <w:rPr>
          <w:color w:val="231F20"/>
          <w:spacing w:val="-17"/>
          <w:w w:val="105"/>
        </w:rPr>
        <w:t> </w:t>
      </w:r>
      <w:r>
        <w:rPr>
          <w:color w:val="231F20"/>
          <w:w w:val="105"/>
        </w:rPr>
        <w:t>clenched</w:t>
      </w:r>
      <w:r>
        <w:rPr>
          <w:color w:val="231F20"/>
          <w:spacing w:val="-17"/>
          <w:w w:val="105"/>
        </w:rPr>
        <w:t> </w:t>
      </w:r>
      <w:r>
        <w:rPr>
          <w:color w:val="231F20"/>
          <w:w w:val="105"/>
        </w:rPr>
        <w:t>fist.</w:t>
      </w:r>
      <w:r>
        <w:rPr>
          <w:color w:val="231F20"/>
          <w:spacing w:val="-18"/>
          <w:w w:val="105"/>
        </w:rPr>
        <w:t> </w:t>
      </w:r>
      <w:r>
        <w:rPr>
          <w:color w:val="231F20"/>
          <w:w w:val="105"/>
        </w:rPr>
        <w:t>The</w:t>
      </w:r>
      <w:r>
        <w:rPr>
          <w:color w:val="231F20"/>
          <w:spacing w:val="-17"/>
          <w:w w:val="105"/>
        </w:rPr>
        <w:t> </w:t>
      </w:r>
      <w:r>
        <w:rPr>
          <w:color w:val="231F20"/>
          <w:w w:val="105"/>
        </w:rPr>
        <w:t>medial</w:t>
      </w:r>
      <w:r>
        <w:rPr>
          <w:color w:val="231F20"/>
          <w:spacing w:val="-17"/>
          <w:w w:val="105"/>
        </w:rPr>
        <w:t> </w:t>
      </w:r>
      <w:r>
        <w:rPr>
          <w:color w:val="231F20"/>
          <w:w w:val="105"/>
        </w:rPr>
        <w:t>side</w:t>
      </w:r>
      <w:r>
        <w:rPr>
          <w:color w:val="231F20"/>
          <w:spacing w:val="-17"/>
          <w:w w:val="105"/>
        </w:rPr>
        <w:t> </w:t>
      </w:r>
      <w:r>
        <w:rPr>
          <w:color w:val="231F20"/>
          <w:w w:val="105"/>
        </w:rPr>
        <w:t>of</w:t>
      </w:r>
      <w:r>
        <w:rPr>
          <w:color w:val="231F20"/>
          <w:spacing w:val="-17"/>
          <w:w w:val="105"/>
        </w:rPr>
        <w:t> </w:t>
      </w:r>
      <w:r>
        <w:rPr>
          <w:color w:val="231F20"/>
          <w:w w:val="105"/>
        </w:rPr>
        <w:t>each</w:t>
      </w:r>
      <w:r>
        <w:rPr>
          <w:color w:val="231F20"/>
          <w:spacing w:val="-18"/>
          <w:w w:val="105"/>
        </w:rPr>
        <w:t> </w:t>
      </w:r>
      <w:r>
        <w:rPr>
          <w:color w:val="231F20"/>
          <w:w w:val="105"/>
        </w:rPr>
        <w:t>kidney contains an indented region called the </w:t>
      </w:r>
      <w:r>
        <w:rPr>
          <w:i/>
          <w:color w:val="231F20"/>
          <w:w w:val="105"/>
        </w:rPr>
        <w:t>hilum </w:t>
      </w:r>
      <w:r>
        <w:rPr>
          <w:color w:val="231F20"/>
          <w:w w:val="105"/>
        </w:rPr>
        <w:t>through which pass the renal artery and vein, lymphatics, nerve supply, and </w:t>
      </w:r>
      <w:r>
        <w:rPr>
          <w:color w:val="231F20"/>
          <w:spacing w:val="-3"/>
          <w:w w:val="105"/>
        </w:rPr>
        <w:t>ureter, </w:t>
      </w:r>
      <w:r>
        <w:rPr>
          <w:color w:val="231F20"/>
          <w:w w:val="105"/>
        </w:rPr>
        <w:t>which carries the final urine from</w:t>
      </w:r>
      <w:r>
        <w:rPr>
          <w:color w:val="231F20"/>
          <w:spacing w:val="-36"/>
          <w:w w:val="105"/>
        </w:rPr>
        <w:t> </w:t>
      </w:r>
      <w:r>
        <w:rPr>
          <w:color w:val="231F20"/>
          <w:spacing w:val="-5"/>
          <w:w w:val="105"/>
        </w:rPr>
        <w:t>the </w:t>
      </w:r>
      <w:r>
        <w:rPr>
          <w:color w:val="231F20"/>
          <w:w w:val="105"/>
        </w:rPr>
        <w:t>kidney</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8"/>
          <w:w w:val="105"/>
        </w:rPr>
        <w:t> </w:t>
      </w:r>
      <w:r>
        <w:rPr>
          <w:color w:val="231F20"/>
          <w:w w:val="105"/>
        </w:rPr>
        <w:t>bladder,</w:t>
      </w:r>
      <w:r>
        <w:rPr>
          <w:color w:val="231F20"/>
          <w:spacing w:val="-9"/>
          <w:w w:val="105"/>
        </w:rPr>
        <w:t> </w:t>
      </w:r>
      <w:r>
        <w:rPr>
          <w:color w:val="231F20"/>
          <w:w w:val="105"/>
        </w:rPr>
        <w:t>where</w:t>
      </w:r>
      <w:r>
        <w:rPr>
          <w:color w:val="231F20"/>
          <w:spacing w:val="-9"/>
          <w:w w:val="105"/>
        </w:rPr>
        <w:t> </w:t>
      </w:r>
      <w:r>
        <w:rPr>
          <w:color w:val="231F20"/>
          <w:w w:val="105"/>
        </w:rPr>
        <w:t>it</w:t>
      </w:r>
      <w:r>
        <w:rPr>
          <w:color w:val="231F20"/>
          <w:spacing w:val="-8"/>
          <w:w w:val="105"/>
        </w:rPr>
        <w:t> </w:t>
      </w:r>
      <w:r>
        <w:rPr>
          <w:color w:val="231F20"/>
          <w:w w:val="105"/>
        </w:rPr>
        <w:t>is</w:t>
      </w:r>
      <w:r>
        <w:rPr>
          <w:color w:val="231F20"/>
          <w:spacing w:val="-9"/>
          <w:w w:val="105"/>
        </w:rPr>
        <w:t> </w:t>
      </w:r>
      <w:r>
        <w:rPr>
          <w:color w:val="231F20"/>
          <w:w w:val="105"/>
        </w:rPr>
        <w:t>stored</w:t>
      </w:r>
      <w:r>
        <w:rPr>
          <w:color w:val="231F20"/>
          <w:spacing w:val="-9"/>
          <w:w w:val="105"/>
        </w:rPr>
        <w:t> </w:t>
      </w:r>
      <w:r>
        <w:rPr>
          <w:color w:val="231F20"/>
          <w:w w:val="105"/>
        </w:rPr>
        <w:t>until</w:t>
      </w:r>
      <w:r>
        <w:rPr>
          <w:color w:val="231F20"/>
          <w:spacing w:val="-8"/>
          <w:w w:val="105"/>
        </w:rPr>
        <w:t> </w:t>
      </w:r>
      <w:r>
        <w:rPr>
          <w:color w:val="231F20"/>
          <w:w w:val="105"/>
        </w:rPr>
        <w:t>the</w:t>
      </w:r>
      <w:r>
        <w:rPr>
          <w:color w:val="231F20"/>
          <w:spacing w:val="-9"/>
          <w:w w:val="105"/>
        </w:rPr>
        <w:t> </w:t>
      </w:r>
      <w:r>
        <w:rPr>
          <w:color w:val="231F20"/>
          <w:w w:val="105"/>
        </w:rPr>
        <w:t>bladder is</w:t>
      </w:r>
      <w:r>
        <w:rPr>
          <w:color w:val="231F20"/>
          <w:spacing w:val="-8"/>
          <w:w w:val="105"/>
        </w:rPr>
        <w:t> </w:t>
      </w:r>
      <w:r>
        <w:rPr>
          <w:color w:val="231F20"/>
          <w:w w:val="105"/>
        </w:rPr>
        <w:t>emptied.</w:t>
      </w:r>
      <w:r>
        <w:rPr>
          <w:color w:val="231F20"/>
          <w:spacing w:val="-7"/>
          <w:w w:val="105"/>
        </w:rPr>
        <w:t> </w:t>
      </w:r>
      <w:r>
        <w:rPr>
          <w:color w:val="231F20"/>
          <w:w w:val="105"/>
        </w:rPr>
        <w:t>The</w:t>
      </w:r>
      <w:r>
        <w:rPr>
          <w:color w:val="231F20"/>
          <w:spacing w:val="-7"/>
          <w:w w:val="105"/>
        </w:rPr>
        <w:t> </w:t>
      </w:r>
      <w:r>
        <w:rPr>
          <w:color w:val="231F20"/>
          <w:w w:val="105"/>
        </w:rPr>
        <w:t>kidney</w:t>
      </w:r>
      <w:r>
        <w:rPr>
          <w:color w:val="231F20"/>
          <w:spacing w:val="-7"/>
          <w:w w:val="105"/>
        </w:rPr>
        <w:t> </w:t>
      </w:r>
      <w:r>
        <w:rPr>
          <w:color w:val="231F20"/>
          <w:w w:val="105"/>
        </w:rPr>
        <w:t>is</w:t>
      </w:r>
      <w:r>
        <w:rPr>
          <w:color w:val="231F20"/>
          <w:spacing w:val="-8"/>
          <w:w w:val="105"/>
        </w:rPr>
        <w:t> </w:t>
      </w:r>
      <w:r>
        <w:rPr>
          <w:color w:val="231F20"/>
          <w:w w:val="105"/>
        </w:rPr>
        <w:t>surrounded</w:t>
      </w:r>
      <w:r>
        <w:rPr>
          <w:color w:val="231F20"/>
          <w:spacing w:val="-7"/>
          <w:w w:val="105"/>
        </w:rPr>
        <w:t> </w:t>
      </w:r>
      <w:r>
        <w:rPr>
          <w:color w:val="231F20"/>
          <w:w w:val="105"/>
        </w:rPr>
        <w:t>by</w:t>
      </w:r>
      <w:r>
        <w:rPr>
          <w:color w:val="231F20"/>
          <w:spacing w:val="-7"/>
          <w:w w:val="105"/>
        </w:rPr>
        <w:t> </w:t>
      </w:r>
      <w:r>
        <w:rPr>
          <w:color w:val="231F20"/>
          <w:w w:val="105"/>
        </w:rPr>
        <w:t>a</w:t>
      </w:r>
      <w:r>
        <w:rPr>
          <w:color w:val="231F20"/>
          <w:spacing w:val="-7"/>
          <w:w w:val="105"/>
        </w:rPr>
        <w:t> </w:t>
      </w:r>
      <w:r>
        <w:rPr>
          <w:color w:val="231F20"/>
          <w:w w:val="105"/>
        </w:rPr>
        <w:t>tough,</w:t>
      </w:r>
      <w:r>
        <w:rPr>
          <w:color w:val="231F20"/>
          <w:spacing w:val="-8"/>
          <w:w w:val="105"/>
        </w:rPr>
        <w:t> </w:t>
      </w:r>
      <w:r>
        <w:rPr>
          <w:color w:val="231F20"/>
          <w:spacing w:val="-3"/>
          <w:w w:val="105"/>
        </w:rPr>
        <w:t>fibrous </w:t>
      </w:r>
      <w:r>
        <w:rPr>
          <w:i/>
          <w:color w:val="231F20"/>
          <w:w w:val="105"/>
        </w:rPr>
        <w:t>capsule </w:t>
      </w:r>
      <w:r>
        <w:rPr>
          <w:color w:val="231F20"/>
          <w:w w:val="105"/>
        </w:rPr>
        <w:t>that protects its delicate inner</w:t>
      </w:r>
      <w:r>
        <w:rPr>
          <w:color w:val="231F20"/>
          <w:spacing w:val="4"/>
          <w:w w:val="105"/>
        </w:rPr>
        <w:t> </w:t>
      </w:r>
      <w:r>
        <w:rPr>
          <w:color w:val="231F20"/>
          <w:w w:val="105"/>
        </w:rPr>
        <w:t>structures.</w:t>
      </w:r>
    </w:p>
    <w:p>
      <w:pPr>
        <w:pStyle w:val="BodyText"/>
        <w:spacing w:line="249" w:lineRule="auto" w:before="8"/>
        <w:ind w:left="319" w:right="1437" w:firstLine="240"/>
        <w:jc w:val="both"/>
      </w:pPr>
      <w:r>
        <w:rPr>
          <w:color w:val="231F20"/>
          <w:w w:val="105"/>
        </w:rPr>
        <w:t>If the kidney is bisected from top to bottom, the two major regions that can be visualized are the outer</w:t>
      </w:r>
      <w:r>
        <w:rPr>
          <w:color w:val="231F20"/>
          <w:spacing w:val="-34"/>
          <w:w w:val="105"/>
        </w:rPr>
        <w:t> </w:t>
      </w:r>
      <w:r>
        <w:rPr>
          <w:i/>
          <w:color w:val="231F20"/>
          <w:w w:val="105"/>
        </w:rPr>
        <w:t>cortex </w:t>
      </w:r>
      <w:r>
        <w:rPr>
          <w:color w:val="231F20"/>
          <w:w w:val="105"/>
        </w:rPr>
        <w:t>and the inner </w:t>
      </w:r>
      <w:r>
        <w:rPr>
          <w:i/>
          <w:color w:val="231F20"/>
          <w:w w:val="105"/>
        </w:rPr>
        <w:t>medulla </w:t>
      </w:r>
      <w:r>
        <w:rPr>
          <w:color w:val="231F20"/>
          <w:w w:val="105"/>
        </w:rPr>
        <w:t>regions. The medulla is divided into 8 to 10 cone-shaped masses of tissue called </w:t>
      </w:r>
      <w:r>
        <w:rPr>
          <w:i/>
          <w:color w:val="231F20"/>
          <w:w w:val="105"/>
        </w:rPr>
        <w:t>renal </w:t>
      </w:r>
      <w:r>
        <w:rPr>
          <w:i/>
          <w:color w:val="231F20"/>
          <w:w w:val="105"/>
        </w:rPr>
        <w:t>pyramids. </w:t>
      </w:r>
      <w:r>
        <w:rPr>
          <w:color w:val="231F20"/>
          <w:w w:val="105"/>
        </w:rPr>
        <w:t>The base of each pyramid originates at the border</w:t>
      </w:r>
      <w:r>
        <w:rPr>
          <w:color w:val="231F20"/>
          <w:spacing w:val="-13"/>
          <w:w w:val="105"/>
        </w:rPr>
        <w:t> </w:t>
      </w:r>
      <w:r>
        <w:rPr>
          <w:color w:val="231F20"/>
          <w:w w:val="105"/>
        </w:rPr>
        <w:t>between</w:t>
      </w:r>
      <w:r>
        <w:rPr>
          <w:color w:val="231F20"/>
          <w:spacing w:val="-13"/>
          <w:w w:val="105"/>
        </w:rPr>
        <w:t> </w:t>
      </w:r>
      <w:r>
        <w:rPr>
          <w:color w:val="231F20"/>
          <w:w w:val="105"/>
        </w:rPr>
        <w:t>the</w:t>
      </w:r>
      <w:r>
        <w:rPr>
          <w:color w:val="231F20"/>
          <w:spacing w:val="-13"/>
          <w:w w:val="105"/>
        </w:rPr>
        <w:t> </w:t>
      </w:r>
      <w:r>
        <w:rPr>
          <w:color w:val="231F20"/>
          <w:w w:val="105"/>
        </w:rPr>
        <w:t>cortex</w:t>
      </w:r>
      <w:r>
        <w:rPr>
          <w:color w:val="231F20"/>
          <w:spacing w:val="-12"/>
          <w:w w:val="105"/>
        </w:rPr>
        <w:t> </w:t>
      </w:r>
      <w:r>
        <w:rPr>
          <w:color w:val="231F20"/>
          <w:w w:val="105"/>
        </w:rPr>
        <w:t>and</w:t>
      </w:r>
      <w:r>
        <w:rPr>
          <w:color w:val="231F20"/>
          <w:spacing w:val="-13"/>
          <w:w w:val="105"/>
        </w:rPr>
        <w:t> </w:t>
      </w:r>
      <w:r>
        <w:rPr>
          <w:color w:val="231F20"/>
          <w:w w:val="105"/>
        </w:rPr>
        <w:t>medulla</w:t>
      </w:r>
      <w:r>
        <w:rPr>
          <w:color w:val="231F20"/>
          <w:spacing w:val="-13"/>
          <w:w w:val="105"/>
        </w:rPr>
        <w:t> </w:t>
      </w:r>
      <w:r>
        <w:rPr>
          <w:color w:val="231F20"/>
          <w:w w:val="105"/>
        </w:rPr>
        <w:t>and</w:t>
      </w:r>
      <w:r>
        <w:rPr>
          <w:color w:val="231F20"/>
          <w:spacing w:val="-12"/>
          <w:w w:val="105"/>
        </w:rPr>
        <w:t> </w:t>
      </w:r>
      <w:r>
        <w:rPr>
          <w:color w:val="231F20"/>
          <w:w w:val="105"/>
        </w:rPr>
        <w:t>terminates</w:t>
      </w:r>
      <w:r>
        <w:rPr>
          <w:color w:val="231F20"/>
          <w:spacing w:val="-13"/>
          <w:w w:val="105"/>
        </w:rPr>
        <w:t> </w:t>
      </w:r>
      <w:r>
        <w:rPr>
          <w:color w:val="231F20"/>
          <w:w w:val="105"/>
        </w:rPr>
        <w:t>in the </w:t>
      </w:r>
      <w:r>
        <w:rPr>
          <w:i/>
          <w:color w:val="231F20"/>
          <w:w w:val="105"/>
        </w:rPr>
        <w:t>papilla, </w:t>
      </w:r>
      <w:r>
        <w:rPr>
          <w:color w:val="231F20"/>
          <w:w w:val="105"/>
        </w:rPr>
        <w:t>which projects into the space of the </w:t>
      </w:r>
      <w:r>
        <w:rPr>
          <w:i/>
          <w:color w:val="231F20"/>
          <w:w w:val="105"/>
        </w:rPr>
        <w:t>renal </w:t>
      </w:r>
      <w:r>
        <w:rPr>
          <w:i/>
          <w:color w:val="231F20"/>
          <w:w w:val="105"/>
        </w:rPr>
        <w:t>pelvis, </w:t>
      </w:r>
      <w:r>
        <w:rPr>
          <w:color w:val="231F20"/>
          <w:w w:val="105"/>
        </w:rPr>
        <w:t>a funnel-shaped continuation of the upper end</w:t>
      </w:r>
      <w:r>
        <w:rPr>
          <w:color w:val="231F20"/>
          <w:spacing w:val="-10"/>
          <w:w w:val="105"/>
        </w:rPr>
        <w:t> </w:t>
      </w:r>
      <w:r>
        <w:rPr>
          <w:color w:val="231F20"/>
          <w:w w:val="105"/>
        </w:rPr>
        <w:t>of the </w:t>
      </w:r>
      <w:r>
        <w:rPr>
          <w:color w:val="231F20"/>
          <w:spacing w:val="-3"/>
          <w:w w:val="105"/>
        </w:rPr>
        <w:t>ureter. </w:t>
      </w:r>
      <w:r>
        <w:rPr>
          <w:color w:val="231F20"/>
          <w:w w:val="105"/>
        </w:rPr>
        <w:t>The outer border of the pelvis is divided into open-ended pouches called </w:t>
      </w:r>
      <w:r>
        <w:rPr>
          <w:i/>
          <w:color w:val="231F20"/>
          <w:w w:val="105"/>
        </w:rPr>
        <w:t>major calyces </w:t>
      </w:r>
      <w:r>
        <w:rPr>
          <w:color w:val="231F20"/>
          <w:w w:val="105"/>
        </w:rPr>
        <w:t>that extend downward and divide into </w:t>
      </w:r>
      <w:r>
        <w:rPr>
          <w:i/>
          <w:color w:val="231F20"/>
          <w:w w:val="105"/>
        </w:rPr>
        <w:t>minor calyces, </w:t>
      </w:r>
      <w:r>
        <w:rPr>
          <w:color w:val="231F20"/>
          <w:w w:val="105"/>
        </w:rPr>
        <w:t>which collect urine from the tubules of each papilla. The walls of the calyces, pelvis, and ureter contain contractile elements that propel the urine toward the </w:t>
      </w:r>
      <w:r>
        <w:rPr>
          <w:i/>
          <w:color w:val="231F20"/>
          <w:w w:val="105"/>
        </w:rPr>
        <w:t>bladder, </w:t>
      </w:r>
      <w:r>
        <w:rPr>
          <w:color w:val="231F20"/>
          <w:w w:val="105"/>
        </w:rPr>
        <w:t>where urine </w:t>
      </w:r>
      <w:r>
        <w:rPr>
          <w:color w:val="231F20"/>
          <w:spacing w:val="-5"/>
          <w:w w:val="105"/>
        </w:rPr>
        <w:t>is </w:t>
      </w:r>
      <w:r>
        <w:rPr>
          <w:color w:val="231F20"/>
          <w:w w:val="105"/>
        </w:rPr>
        <w:t>stored until it is emptied by </w:t>
      </w:r>
      <w:r>
        <w:rPr>
          <w:i/>
          <w:color w:val="231F20"/>
          <w:w w:val="105"/>
        </w:rPr>
        <w:t>micturition, </w:t>
      </w:r>
      <w:r>
        <w:rPr>
          <w:color w:val="231F20"/>
          <w:w w:val="105"/>
        </w:rPr>
        <w:t>discussed later in this</w:t>
      </w:r>
      <w:r>
        <w:rPr>
          <w:color w:val="231F20"/>
          <w:spacing w:val="6"/>
          <w:w w:val="105"/>
        </w:rPr>
        <w:t> </w:t>
      </w:r>
      <w:r>
        <w:rPr>
          <w:color w:val="231F20"/>
          <w:spacing w:val="-3"/>
          <w:w w:val="105"/>
        </w:rPr>
        <w:t>chapter.</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after="0"/>
        <w:rPr>
          <w:sz w:val="24"/>
        </w:rPr>
        <w:sectPr>
          <w:headerReference w:type="even" r:id="rId88"/>
          <w:pgSz w:w="12240" w:h="15660"/>
          <w:pgMar w:header="0" w:footer="567" w:top="0" w:bottom="760" w:left="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684" w:lineRule="auto" w:before="137"/>
        <w:ind w:left="2878" w:right="0" w:hanging="45"/>
        <w:jc w:val="right"/>
        <w:rPr>
          <w:rFonts w:ascii="Helvetica"/>
          <w:sz w:val="16"/>
        </w:rPr>
      </w:pPr>
      <w:r>
        <w:rPr>
          <w:rFonts w:ascii="Helvetica"/>
          <w:color w:val="231F20"/>
          <w:w w:val="95"/>
          <w:sz w:val="16"/>
        </w:rPr>
        <w:t>Kidney Ureter</w:t>
      </w:r>
    </w:p>
    <w:p>
      <w:pPr>
        <w:spacing w:line="235" w:lineRule="auto" w:before="102"/>
        <w:ind w:left="2145" w:right="-20" w:firstLine="0"/>
        <w:jc w:val="left"/>
        <w:rPr>
          <w:rFonts w:ascii="Helvetica"/>
          <w:sz w:val="16"/>
        </w:rPr>
      </w:pPr>
      <w:r>
        <w:rPr/>
        <w:br w:type="column"/>
      </w:r>
      <w:r>
        <w:rPr>
          <w:rFonts w:ascii="Helvetica"/>
          <w:color w:val="231F20"/>
          <w:sz w:val="16"/>
        </w:rPr>
        <w:t>Nephron (enlarged)</w:t>
      </w:r>
    </w:p>
    <w:p>
      <w:pPr>
        <w:pStyle w:val="BodyText"/>
        <w:spacing w:before="8"/>
        <w:rPr>
          <w:rFonts w:ascii="Helvetica"/>
          <w:sz w:val="14"/>
        </w:rPr>
      </w:pPr>
      <w:r>
        <w:rPr/>
        <w:br w:type="column"/>
      </w:r>
      <w:r>
        <w:rPr>
          <w:rFonts w:ascii="Helvetica"/>
          <w:sz w:val="14"/>
        </w:rPr>
      </w:r>
    </w:p>
    <w:p>
      <w:pPr>
        <w:spacing w:before="0"/>
        <w:ind w:left="1257" w:right="0" w:firstLine="0"/>
        <w:jc w:val="left"/>
        <w:rPr>
          <w:rFonts w:ascii="Helvetica"/>
          <w:sz w:val="16"/>
        </w:rPr>
      </w:pPr>
      <w:r>
        <w:rPr>
          <w:rFonts w:ascii="Helvetica"/>
          <w:color w:val="231F20"/>
          <w:sz w:val="16"/>
        </w:rPr>
        <w:t>Minor calyx</w:t>
      </w:r>
    </w:p>
    <w:p>
      <w:pPr>
        <w:pStyle w:val="BodyText"/>
        <w:rPr>
          <w:rFonts w:ascii="Helvetica"/>
          <w:sz w:val="18"/>
        </w:rPr>
      </w:pPr>
    </w:p>
    <w:p>
      <w:pPr>
        <w:pStyle w:val="BodyText"/>
        <w:spacing w:before="2"/>
        <w:rPr>
          <w:rFonts w:ascii="Helvetica"/>
          <w:sz w:val="17"/>
        </w:rPr>
      </w:pPr>
    </w:p>
    <w:p>
      <w:pPr>
        <w:spacing w:before="0"/>
        <w:ind w:left="2006" w:right="3107" w:firstLine="0"/>
        <w:jc w:val="center"/>
        <w:rPr>
          <w:rFonts w:ascii="Helvetica"/>
          <w:sz w:val="16"/>
        </w:rPr>
      </w:pPr>
      <w:r>
        <w:rPr>
          <w:rFonts w:ascii="Helvetica"/>
          <w:color w:val="231F20"/>
          <w:sz w:val="16"/>
        </w:rPr>
        <w:t>Major calyx</w:t>
      </w:r>
    </w:p>
    <w:p>
      <w:pPr>
        <w:pStyle w:val="BodyText"/>
        <w:rPr>
          <w:rFonts w:ascii="Helvetica"/>
          <w:sz w:val="24"/>
        </w:rPr>
      </w:pPr>
    </w:p>
    <w:p>
      <w:pPr>
        <w:spacing w:before="0"/>
        <w:ind w:left="2487" w:right="0" w:firstLine="0"/>
        <w:jc w:val="left"/>
        <w:rPr>
          <w:rFonts w:ascii="Helvetica"/>
          <w:sz w:val="16"/>
        </w:rPr>
      </w:pPr>
      <w:r>
        <w:rPr/>
        <w:pict>
          <v:shape style="position:absolute;margin-left:578.900024pt;margin-top:6.385327pt;width:15.9pt;height:53.35pt;mso-position-horizontal-relative:page;mso-position-vertical-relative:paragraph;z-index:25181900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Papilla</w:t>
      </w:r>
    </w:p>
    <w:p>
      <w:pPr>
        <w:pStyle w:val="BodyText"/>
        <w:spacing w:before="5"/>
        <w:rPr>
          <w:rFonts w:ascii="Helvetica"/>
          <w:sz w:val="22"/>
        </w:rPr>
      </w:pPr>
    </w:p>
    <w:p>
      <w:pPr>
        <w:spacing w:line="525" w:lineRule="auto" w:before="0"/>
        <w:ind w:left="2520" w:right="2400" w:firstLine="0"/>
        <w:jc w:val="left"/>
        <w:rPr>
          <w:rFonts w:ascii="Helvetica"/>
          <w:sz w:val="16"/>
        </w:rPr>
      </w:pPr>
      <w:r>
        <w:rPr>
          <w:rFonts w:ascii="Helvetica"/>
          <w:color w:val="231F20"/>
          <w:sz w:val="16"/>
        </w:rPr>
        <w:t>Renal cortex Renal pelvis Renal medulla</w:t>
      </w:r>
    </w:p>
    <w:p>
      <w:pPr>
        <w:spacing w:after="0" w:line="525" w:lineRule="auto"/>
        <w:jc w:val="left"/>
        <w:rPr>
          <w:rFonts w:ascii="Helvetica"/>
          <w:sz w:val="16"/>
        </w:rPr>
        <w:sectPr>
          <w:type w:val="continuous"/>
          <w:pgSz w:w="12240" w:h="15660"/>
          <w:pgMar w:top="0" w:bottom="760" w:left="0" w:right="0"/>
          <w:cols w:num="3" w:equalWidth="0">
            <w:col w:w="3323" w:space="40"/>
            <w:col w:w="2875" w:space="39"/>
            <w:col w:w="5963"/>
          </w:cols>
        </w:sectPr>
      </w:pPr>
    </w:p>
    <w:p>
      <w:pPr>
        <w:spacing w:line="436" w:lineRule="auto" w:before="76"/>
        <w:ind w:left="2789" w:right="0" w:hanging="18"/>
        <w:jc w:val="right"/>
        <w:rPr>
          <w:rFonts w:ascii="Helvetica"/>
          <w:sz w:val="16"/>
        </w:rPr>
      </w:pPr>
      <w:r>
        <w:rPr>
          <w:rFonts w:ascii="Helvetica"/>
          <w:color w:val="231F20"/>
          <w:w w:val="95"/>
          <w:sz w:val="16"/>
        </w:rPr>
        <w:t>Bladder Urethra</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spacing w:before="10"/>
        <w:rPr>
          <w:rFonts w:ascii="Helvetica"/>
          <w:sz w:val="24"/>
        </w:rPr>
      </w:pPr>
    </w:p>
    <w:p>
      <w:pPr>
        <w:spacing w:before="0"/>
        <w:ind w:left="0" w:right="0" w:firstLine="0"/>
        <w:jc w:val="right"/>
        <w:rPr>
          <w:rFonts w:ascii="Helvetica"/>
          <w:sz w:val="16"/>
        </w:rPr>
      </w:pPr>
      <w:r>
        <w:rPr>
          <w:rFonts w:ascii="Helvetica"/>
          <w:color w:val="231F20"/>
          <w:w w:val="95"/>
          <w:sz w:val="16"/>
        </w:rPr>
        <w:t>Ureter</w:t>
      </w:r>
    </w:p>
    <w:p>
      <w:pPr>
        <w:spacing w:before="21"/>
        <w:ind w:left="2114" w:right="1855" w:firstLine="0"/>
        <w:jc w:val="center"/>
        <w:rPr>
          <w:rFonts w:ascii="Helvetica"/>
          <w:sz w:val="16"/>
        </w:rPr>
      </w:pPr>
      <w:r>
        <w:rPr/>
        <w:br w:type="column"/>
      </w:r>
      <w:r>
        <w:rPr>
          <w:rFonts w:ascii="Helvetica"/>
          <w:color w:val="231F20"/>
          <w:sz w:val="16"/>
        </w:rPr>
        <w:t>Renal pyramid</w:t>
      </w:r>
    </w:p>
    <w:p>
      <w:pPr>
        <w:pStyle w:val="BodyText"/>
        <w:rPr>
          <w:rFonts w:ascii="Helvetica"/>
          <w:sz w:val="18"/>
        </w:rPr>
      </w:pPr>
    </w:p>
    <w:p>
      <w:pPr>
        <w:pStyle w:val="BodyText"/>
        <w:spacing w:before="9"/>
        <w:rPr>
          <w:rFonts w:ascii="Helvetica"/>
          <w:sz w:val="26"/>
        </w:rPr>
      </w:pPr>
    </w:p>
    <w:p>
      <w:pPr>
        <w:spacing w:before="1"/>
        <w:ind w:left="1818" w:right="2391" w:firstLine="0"/>
        <w:jc w:val="center"/>
        <w:rPr>
          <w:rFonts w:ascii="Helvetica"/>
          <w:sz w:val="16"/>
        </w:rPr>
      </w:pPr>
      <w:r>
        <w:rPr/>
        <w:pict>
          <v:rect style="position:absolute;margin-left:576pt;margin-top:-35.789967pt;width:36pt;height:24pt;mso-position-horizontal-relative:page;mso-position-vertical-relative:paragraph;z-index:251816960" filled="true" fillcolor="#e8dac8" stroked="false">
            <v:fill type="solid"/>
            <w10:wrap type="none"/>
          </v:rect>
        </w:pict>
      </w:r>
      <w:r>
        <w:rPr>
          <w:rFonts w:ascii="Helvetica"/>
          <w:color w:val="231F20"/>
          <w:sz w:val="16"/>
        </w:rPr>
        <w:t>Capsule of kidney</w:t>
      </w:r>
    </w:p>
    <w:p>
      <w:pPr>
        <w:spacing w:after="0"/>
        <w:jc w:val="center"/>
        <w:rPr>
          <w:rFonts w:ascii="Helvetica"/>
          <w:sz w:val="16"/>
        </w:rPr>
        <w:sectPr>
          <w:type w:val="continuous"/>
          <w:pgSz w:w="12240" w:h="15660"/>
          <w:pgMar w:top="0" w:bottom="760" w:left="0" w:right="0"/>
          <w:cols w:num="3" w:equalWidth="0">
            <w:col w:w="3323" w:space="40"/>
            <w:col w:w="2724" w:space="39"/>
            <w:col w:w="6114"/>
          </w:cols>
        </w:sectPr>
      </w:pPr>
    </w:p>
    <w:p>
      <w:pPr>
        <w:pStyle w:val="BodyText"/>
        <w:spacing w:before="7"/>
        <w:rPr>
          <w:rFonts w:ascii="Helvetica"/>
          <w:sz w:val="10"/>
        </w:rPr>
      </w:pPr>
    </w:p>
    <w:p>
      <w:pPr>
        <w:spacing w:before="100"/>
        <w:ind w:left="2581" w:right="2221" w:firstLine="0"/>
        <w:jc w:val="center"/>
        <w:rPr>
          <w:rFonts w:ascii="Arial"/>
          <w:sz w:val="16"/>
        </w:rPr>
      </w:pPr>
      <w:r>
        <w:rPr/>
        <w:pict>
          <v:group style="position:absolute;margin-left:167.196564pt;margin-top:-181.330399pt;width:271.05pt;height:181.9pt;mso-position-horizontal-relative:page;mso-position-vertical-relative:paragraph;z-index:-273587200" coordorigin="3344,-3627" coordsize="5421,3638">
            <v:shape style="position:absolute;left:3343;top:-3527;width:2202;height:3528" type="#_x0000_t75" stroked="false">
              <v:imagedata r:id="rId89" o:title=""/>
            </v:shape>
            <v:shape style="position:absolute;left:4123;top:-2011;width:103;height:129" type="#_x0000_t75" stroked="false">
              <v:imagedata r:id="rId90" o:title=""/>
            </v:shape>
            <v:shape style="position:absolute;left:4678;top:-2062;width:87;height:118" coordorigin="4678,-2061" coordsize="87,118" path="m4741,-2061l4686,-2047,4678,-2018,4683,-1986,4698,-1959,4721,-1944,4765,-1960,4741,-2061xe" filled="true" fillcolor="#c06364" stroked="false">
              <v:path arrowok="t"/>
              <v:fill type="solid"/>
            </v:shape>
            <v:shape style="position:absolute;left:4678;top:-2062;width:87;height:118" coordorigin="4678,-2061" coordsize="87,118" path="m4721,-1944l4698,-1959,4683,-1986,4678,-2018,4686,-2047,4741,-2061,4765,-1960,4721,-1944xe" filled="false" stroked="true" strokeweight=".5pt" strokecolor="#b7705b">
              <v:path arrowok="t"/>
              <v:stroke dashstyle="solid"/>
            </v:shape>
            <v:shape style="position:absolute;left:4442;top:-692;width:31;height:146" type="#_x0000_t75" stroked="false">
              <v:imagedata r:id="rId91" o:title=""/>
            </v:shape>
            <v:shape style="position:absolute;left:4442;top:-692;width:31;height:146" coordorigin="4443,-692" coordsize="31,146" path="m4468,-546l4468,-593,4469,-628,4470,-658,4473,-692,4443,-692,4446,-657,4447,-627,4447,-594,4447,-546e" filled="false" stroked="true" strokeweight=".25pt" strokecolor="#b7705b">
              <v:path arrowok="t"/>
              <v:stroke dashstyle="solid"/>
            </v:shape>
            <v:shape style="position:absolute;left:4092;top:-2025;width:232;height:1123" type="#_x0000_t75" stroked="false">
              <v:imagedata r:id="rId92" o:title=""/>
            </v:shape>
            <v:shape style="position:absolute;left:4627;top:-2220;width:300;height:424" type="#_x0000_t75" stroked="false">
              <v:imagedata r:id="rId93" o:title=""/>
            </v:shape>
            <v:shape style="position:absolute;left:4597;top:-2213;width:324;height:1311" type="#_x0000_t75" stroked="false">
              <v:imagedata r:id="rId94" o:title=""/>
            </v:shape>
            <v:shape style="position:absolute;left:4670;top:-2133;width:61;height:60" type="#_x0000_t75" stroked="false">
              <v:imagedata r:id="rId95" o:title=""/>
            </v:shape>
            <v:shape style="position:absolute;left:4670;top:-2133;width:62;height:60" coordorigin="4670,-2133" coordsize="62,60" path="m4731,-2093l4728,-2086,4720,-2080,4708,-2076,4695,-2074,4682,-2076,4674,-2083,4671,-2094,4670,-2107,4672,-2120,4676,-2129,4685,-2133,4698,-2129,4711,-2121,4721,-2112,4729,-2102,4731,-2093xe" filled="false" stroked="true" strokeweight=".25pt" strokecolor="#b7705b">
              <v:path arrowok="t"/>
              <v:stroke dashstyle="solid"/>
            </v:shape>
            <v:shape style="position:absolute;left:-5;top:10747;width:49;height:51" coordorigin="-5,10747" coordsize="49,51" path="m4679,-2081l4689,-2079,4700,-2079,4711,-2081,4721,-2085m4676,-2088l4686,-2086,4697,-2086,4709,-2086,4720,-2088m4675,-2096l4684,-2094,4696,-2093,4708,-2092,4720,-2092m4674,-2104l4683,-2102,4695,-2099,4708,-2097,4720,-2095m4675,-2111l4684,-2109,4696,-2105,4708,-2101,4720,-2098m4676,-2119l4685,-2116,4697,-2111,4709,-2106,4720,-2101m4678,-2126l4687,-2123,4699,-2117,4711,-2111,4721,-2104m4684,-2130l4692,-2127,4703,-2122,4714,-2114,4723,-2106e" filled="false" stroked="true" strokeweight=".125pt" strokecolor="#b7705b">
              <v:path arrowok="t"/>
              <v:stroke dashstyle="solid"/>
            </v:shape>
            <v:shape style="position:absolute;left:4689;top:-2199;width:61;height:61" type="#_x0000_t75" stroked="false">
              <v:imagedata r:id="rId96" o:title=""/>
            </v:shape>
            <v:shape style="position:absolute;left:4689;top:-2198;width:61;height:61" coordorigin="4690,-2198" coordsize="61,61" path="m4741,-2139l4747,-2145,4750,-2156,4750,-2168,4748,-2182,4742,-2193,4732,-2198,4720,-2197,4707,-2192,4696,-2185,4690,-2177,4690,-2168,4698,-2156,4709,-2147,4721,-2141,4732,-2138,4741,-2139xe" filled="false" stroked="true" strokeweight=".25pt" strokecolor="#b7705b">
              <v:path arrowok="t"/>
              <v:stroke dashstyle="solid"/>
            </v:shape>
            <v:shape style="position:absolute;left:-45;top:10796;width:54;height:52" coordorigin="-44,10797" coordsize="54,52" path="m4737,-2194l4741,-2185,4745,-2175,4746,-2163,4746,-2152m4729,-2194l4733,-2186,4737,-2175,4741,-2163,4743,-2152m4721,-2192l4725,-2184,4730,-2173,4735,-2162,4739,-2151m4714,-2189l4719,-2181,4725,-2171,4731,-2160,4736,-2150m4707,-2186l4712,-2178,4719,-2168,4727,-2158,4734,-2149m4701,-2181l4706,-2174,4714,-2165,4722,-2155,4731,-2147m4695,-2176l4700,-2169,4709,-2160,4719,-2152,4728,-2145m4692,-2170l4698,-2163,4706,-2155,4716,-2147,4727,-2142e" filled="false" stroked="true" strokeweight=".125pt" strokecolor="#b7705b">
              <v:path arrowok="t"/>
              <v:stroke dashstyle="solid"/>
            </v:shape>
            <v:shape style="position:absolute;left:4772;top:-2178;width:60;height:62" type="#_x0000_t75" stroked="false">
              <v:imagedata r:id="rId97" o:title=""/>
            </v:shape>
            <v:shape style="position:absolute;left:4772;top:-2178;width:60;height:62" coordorigin="4772,-2177" coordsize="60,62" path="m4782,-2118l4776,-2125,4773,-2135,4772,-2148,4774,-2162,4780,-2173,4789,-2177,4800,-2176,4812,-2170,4823,-2162,4830,-2154,4831,-2144,4824,-2133,4813,-2125,4802,-2119,4791,-2116,4782,-2118xe" filled="false" stroked="true" strokeweight=".25pt" strokecolor="#b7705b">
              <v:path arrowok="t"/>
              <v:stroke dashstyle="solid"/>
            </v:shape>
            <v:shape style="position:absolute;left:-10;top:10796;width:53;height:53" coordorigin="-9,10797" coordsize="53,53" path="m4785,-2173l4781,-2165,4778,-2155,4776,-2143,4776,-2132m4793,-2173l4789,-2165,4785,-2154,4782,-2143,4780,-2132m4801,-2171l4796,-2163,4792,-2152,4787,-2141,4783,-2130m4808,-2167l4803,-2160,4797,-2150,4791,-2139,4786,-2129m4814,-2164l4810,-2156,4803,-2146,4796,-2136,4789,-2127m4821,-2159l4816,-2152,4808,-2143,4800,-2133,4792,-2125m4827,-2153l4821,-2147,4813,-2138,4804,-2129,4794,-2123m4829,-2146l4824,-2140,4816,-2132,4806,-2125,4796,-2120e" filled="false" stroked="true" strokeweight=".125pt" strokecolor="#b7705b">
              <v:path arrowok="t"/>
              <v:stroke dashstyle="solid"/>
            </v:shape>
            <v:shape style="position:absolute;left:4824;top:-2126;width:62;height:70" type="#_x0000_t75" stroked="false">
              <v:imagedata r:id="rId98" o:title=""/>
            </v:shape>
            <v:shape style="position:absolute;left:4824;top:-2125;width:62;height:69" coordorigin="4825,-2125" coordsize="62,69" path="m4827,-2064l4825,-2074,4826,-2087,4831,-2101,4838,-2114,4848,-2124,4857,-2125,4867,-2118,4876,-2107,4883,-2094,4886,-2081,4883,-2070,4872,-2062,4859,-2057,4846,-2056,4835,-2058,4827,-2064xe" filled="false" stroked="true" strokeweight=".25pt" strokecolor="#b7705b">
              <v:path arrowok="t"/>
              <v:stroke dashstyle="solid"/>
            </v:shape>
            <v:shape style="position:absolute;left:-24;top:10796;width:54;height:62" coordorigin="-24,10797" coordsize="54,62" path="m4853,-2122l4846,-2115,4839,-2105,4833,-2094,4829,-2081m4859,-2119l4852,-2112,4845,-2102,4838,-2091,4832,-2080m4866,-2112l4859,-2106,4850,-2097,4842,-2086,4834,-2077m4871,-2106l4864,-2100,4855,-2091,4845,-2082,4836,-2074m4875,-2099l4868,-2093,4858,-2085,4848,-2078,4838,-2071m4879,-2091l4872,-2086,4862,-2079,4851,-2073,4840,-2068m4883,-2082l4875,-2077,4865,-2072,4853,-2067,4841,-2064m4882,-2074l4875,-2069,4865,-2064,4853,-2061,4842,-2061e" filled="false" stroked="true" strokeweight=".125pt" strokecolor="#b7705b">
              <v:path arrowok="t"/>
              <v:stroke dashstyle="solid"/>
            </v:shape>
            <v:shape style="position:absolute;left:4842;top:-2045;width:64;height:68" type="#_x0000_t75" stroked="false">
              <v:imagedata r:id="rId99" o:title=""/>
            </v:shape>
            <v:shape style="position:absolute;left:4842;top:-2045;width:64;height:67" coordorigin="4843,-2044" coordsize="64,67" path="m4843,-2011l4896,-1978,4903,-1984,4906,-1996,4905,-2011,4903,-2026,4898,-2038,4889,-2044,4875,-2043,4863,-2038,4852,-2030,4845,-2020,4843,-2011xe" filled="false" stroked="true" strokeweight=".25pt" strokecolor="#b7705b">
              <v:path arrowok="t"/>
              <v:stroke dashstyle="solid"/>
            </v:shape>
            <v:shape style="position:absolute;left:-47;top:10739;width:50;height:58" coordorigin="-46,10739" coordsize="50,58" path="m4898,-1983l4889,-1984,4877,-1987,4866,-1992,4855,-1998m4901,-1991l4891,-1991,4880,-1994,4867,-1997,4856,-2002m4902,-2000l4893,-2000,4881,-2001,4868,-2003,4856,-2006m4902,-2008l4892,-2008,4880,-2009,4868,-2009,4856,-2010m4900,-2017l4891,-2017,4880,-2016,4867,-2014,4856,-2013m4899,-2026l4890,-2025,4878,-2023,4866,-2020,4855,-2017m4896,-2035l4887,-2034,4876,-2031,4864,-2026,4854,-2020m4890,-2041l4882,-2040,4871,-2036,4861,-2031,4852,-2023e" filled="false" stroked="true" strokeweight=".125pt" strokecolor="#b7705b">
              <v:path arrowok="t"/>
              <v:stroke dashstyle="solid"/>
            </v:shape>
            <v:shape style="position:absolute;left:4838;top:-1946;width:63;height:66" type="#_x0000_t75" stroked="false">
              <v:imagedata r:id="rId100" o:title=""/>
            </v:shape>
            <v:shape style="position:absolute;left:4838;top:-1946;width:63;height:66" coordorigin="4839,-1946" coordsize="63,66" path="m4839,-1933l4874,-1880,4883,-1882,4891,-1891,4897,-1904,4901,-1918,4901,-1931,4896,-1940,4883,-1945,4869,-1946,4856,-1944,4845,-1940,4839,-1933xe" filled="false" stroked="true" strokeweight=".25pt" strokecolor="#b7705b">
              <v:path arrowok="t"/>
              <v:stroke dashstyle="solid"/>
            </v:shape>
            <v:shape style="position:absolute;left:-34;top:10738;width:54;height:58" coordorigin="-33,10739" coordsize="54,58" path="m4878,-1883l4870,-1888,4861,-1895,4852,-1905,4845,-1915m4884,-1888l4876,-1893,4866,-1900,4856,-1909,4848,-1917m4889,-1896l4880,-1900,4870,-1906,4859,-1914,4850,-1921m4892,-1903l4884,-1907,4873,-1913,4861,-1919,4851,-1924m4895,-1911l4886,-1915,4875,-1919,4863,-1923,4852,-1927m4897,-1920l4889,-1923,4877,-1926,4864,-1929,4853,-1931m4898,-1929l4890,-1931,4878,-1934,4865,-1935,4853,-1934m4896,-1936l4888,-1939,4876,-1941,4864,-1941,4853,-1938e" filled="false" stroked="true" strokeweight=".125pt" strokecolor="#b7705b">
              <v:path arrowok="t"/>
              <v:stroke dashstyle="solid"/>
            </v:shape>
            <v:shape style="position:absolute;left:4790;top:-1888;width:62;height:68" type="#_x0000_t75" stroked="false">
              <v:imagedata r:id="rId101" o:title=""/>
            </v:shape>
            <v:shape style="position:absolute;left:4790;top:-1888;width:62;height:68" coordorigin="4790,-1887" coordsize="62,68" path="m4818,-1887l4851,-1837,4845,-1828,4834,-1822,4820,-1820,4806,-1820,4796,-1824,4790,-1833,4790,-1848,4795,-1862,4801,-1874,4810,-1884,4818,-1887xe" filled="false" stroked="true" strokeweight=".25pt" strokecolor="#b7705b">
              <v:path arrowok="t"/>
              <v:stroke dashstyle="solid"/>
            </v:shape>
            <v:shape style="position:absolute;left:-54;top:10753;width:54;height:52" coordorigin="-54,10754" coordsize="54,52" path="m4847,-1834l4846,-1844,4843,-1856,4837,-1867,4831,-1877m4841,-1830l4839,-1840,4836,-1852,4832,-1864,4828,-1875m4832,-1828l4831,-1837,4829,-1850,4827,-1863,4824,-1875m4824,-1826l4824,-1836,4823,-1849,4822,-1862,4820,-1874m4816,-1826l4816,-1836,4816,-1848,4817,-1862,4817,-1874m4808,-1826l4808,-1836,4809,-1848,4811,-1862,4814,-1874m4800,-1828l4800,-1837,4802,-1850,4806,-1863,4810,-1875m4794,-1833l4794,-1842,4797,-1854,4801,-1866,4808,-1876e" filled="false" stroked="true" strokeweight=".125pt" strokecolor="#b7705b">
              <v:path arrowok="t"/>
              <v:stroke dashstyle="solid"/>
            </v:shape>
            <v:shape style="position:absolute;left:4646;top:-2004;width:146;height:173" type="#_x0000_t75" stroked="false">
              <v:imagedata r:id="rId102" o:title=""/>
            </v:shape>
            <v:shape style="position:absolute;left:4273;top:-959;width:368;height:272" type="#_x0000_t75" stroked="false">
              <v:imagedata r:id="rId103" o:title=""/>
            </v:shape>
            <v:shape style="position:absolute;left:4273;top:-959;width:368;height:272" coordorigin="4274,-959" coordsize="368,272" path="m4456,-687l4520,-699,4576,-731,4619,-776,4641,-829,4638,-882,4608,-923,4548,-949,4458,-959,4369,-949,4309,-923,4278,-882,4274,-829,4296,-775,4338,-729,4393,-699,4456,-687xe" filled="false" stroked="true" strokeweight=".25pt" strokecolor="#b7705b">
              <v:path arrowok="t"/>
              <v:stroke dashstyle="solid"/>
            </v:shape>
            <v:shape style="position:absolute;left:4304;top:-908;width:308;height:215" coordorigin="4304,-907" coordsize="308,215" path="m4457,-907l4371,-900,4316,-860,4304,-819,4306,-804,4334,-746,4389,-704,4468,-693,4504,-697,4582,-746,4611,-804,4612,-819,4610,-834,4573,-886,4504,-906,4457,-907xe" filled="true" fillcolor="#fee2c9" stroked="false">
              <v:path arrowok="t"/>
              <v:fill type="solid"/>
            </v:shape>
            <v:shape style="position:absolute;left:4304;top:-908;width:308;height:215" coordorigin="4304,-907" coordsize="308,215" path="m4528,-704l4582,-746,4611,-804,4612,-819,4610,-834,4573,-886,4504,-906,4457,-907,4410,-906,4340,-886,4305,-834,4304,-819,4306,-804,4334,-746,4389,-704,4468,-693,4504,-697,4528,-704xe" filled="false" stroked="true" strokeweight=".25pt" strokecolor="#b7705b">
              <v:path arrowok="t"/>
              <v:stroke dashstyle="solid"/>
            </v:shape>
            <v:shape style="position:absolute;left:4306;top:-905;width:304;height:213" coordorigin="4306,-905" coordsize="304,213" path="m4457,-905l4411,-904,4373,-898,4342,-884,4318,-859,4313,-850,4309,-841,4307,-830,4306,-820,4308,-804,4317,-776,4335,-749,4359,-726,4389,-706,4422,-696,4459,-692,4495,-696,4504,-699,4459,-699,4425,-701,4395,-709,4368,-725,4343,-749,4323,-776,4312,-805,4311,-820,4311,-834,4315,-846,4322,-857,4345,-881,4375,-894,4412,-899,4457,-900,4522,-900,4505,-903,4457,-905xm4522,-900l4457,-900,4504,-899,4541,-893,4570,-880,4591,-858,4597,-848,4601,-838,4604,-827,4605,-817,4604,-805,4593,-776,4572,-747,4547,-723,4521,-709,4493,-702,4459,-699,4504,-699,4526,-706,4556,-726,4581,-749,4599,-776,4608,-804,4609,-817,4608,-828,4606,-839,4601,-850,4595,-860,4573,-883,4543,-897,4522,-900xe" filled="true" fillcolor="#fff3e8" stroked="false">
              <v:path arrowok="t"/>
              <v:fill type="solid"/>
            </v:shape>
            <v:shape style="position:absolute;left:4318;top:-890;width:278;height:345" type="#_x0000_t75" stroked="false">
              <v:imagedata r:id="rId104" o:title=""/>
            </v:shape>
            <v:shape style="position:absolute;left:4318;top:-891;width:278;height:346" coordorigin="4318,-890" coordsize="278,346" path="m4461,-545l4461,-668,4463,-687,4467,-700,4475,-709,4484,-714,4497,-720,4506,-714,4518,-719,4524,-722,4531,-720,4536,-723,4540,-726,4543,-731,4547,-734,4550,-737,4556,-738,4559,-741,4563,-744,4562,-751,4565,-755,4567,-758,4575,-758,4577,-761,4579,-765,4576,-771,4578,-774,4580,-778,4587,-779,4588,-783,4590,-787,4586,-795,4587,-799,4588,-804,4593,-805,4593,-810,4593,-815,4596,-819,4595,-824,4594,-828,4588,-833,4586,-837,4584,-841,4586,-848,4582,-852,4580,-855,4572,-856,4569,-859,4567,-861,4566,-867,4563,-869,4560,-872,4555,-870,4552,-872,4549,-874,4547,-877,4543,-879,4539,-881,4534,-878,4530,-880,4524,-882,4520,-886,4514,-888,4507,-890,4499,-884,4492,-885,4486,-886,4480,-889,4475,-889,4469,-890,4463,-884,4457,-884,4450,-884,4442,-890,4435,-889,4427,-889,4421,-885,4414,-883,4406,-882,4397,-888,4390,-886,4383,-883,4378,-880,4371,-877,4365,-873,4355,-875,4350,-871,4343,-866,4342,-858,4338,-851,4335,-848,4327,-844,4325,-840,4323,-836,4326,-830,4325,-826,4323,-821,4319,-817,4319,-812,4318,-807,4325,-804,4326,-799,4327,-795,4323,-787,4325,-783,4327,-779,4333,-778,4335,-774,4337,-771,4334,-765,4336,-761,4339,-758,4346,-758,4349,-755,4352,-751,4351,-744,4354,-741,4357,-738,4363,-737,4367,-734,4370,-731,4374,-726,4378,-723,4382,-720,4390,-722,4395,-719,4404,-717,4413,-717,4422,-717,4454,-667,4454,-545e" filled="false" stroked="true" strokeweight=".25pt" strokecolor="#b7705b">
              <v:path arrowok="t"/>
              <v:stroke dashstyle="solid"/>
            </v:shape>
            <v:shape style="position:absolute;left:4373;top:-873;width:28;height:56" coordorigin="4373,-873" coordsize="28,56" path="m4373,-817l4379,-832,4392,-835,4396,-848,4401,-866,4397,-873e" filled="false" stroked="true" strokeweight=".25pt" strokecolor="#7d4a3a">
              <v:path arrowok="t"/>
              <v:stroke dashstyle="solid"/>
            </v:shape>
            <v:shape style="position:absolute;left:4381;top:-858;width:10;height:15" coordorigin="4381,-857" coordsize="10,15" path="m4388,-857l4386,-855,4382,-847,4381,-844,4383,-843,4386,-845,4390,-853,4391,-856,4390,-857,4388,-857xe" filled="true" fillcolor="#7d4a3a" stroked="false">
              <v:path arrowok="t"/>
              <v:fill type="solid"/>
            </v:shape>
            <v:shape style="position:absolute;left:4529;top:-873;width:28;height:56" coordorigin="4530,-873" coordsize="28,56" path="m4557,-817l4552,-832,4539,-835,4535,-848,4530,-866,4534,-873e" filled="false" stroked="true" strokeweight=".25pt" strokecolor="#7d4a3a">
              <v:path arrowok="t"/>
              <v:stroke dashstyle="solid"/>
            </v:shape>
            <v:shape style="position:absolute;left:4539;top:-858;width:10;height:15" coordorigin="4540,-857" coordsize="10,15" path="m4542,-857l4541,-857,4540,-856,4541,-853,4543,-849,4545,-845,4547,-843,4550,-844,4549,-847,4545,-855,4542,-857xe" filled="true" fillcolor="#7d4a3a" stroked="false">
              <v:path arrowok="t"/>
              <v:fill type="solid"/>
            </v:shape>
            <v:shape style="position:absolute;left:3358;top:-2156;width:918;height:416" type="#_x0000_t75" stroked="false">
              <v:imagedata r:id="rId105" o:title=""/>
            </v:shape>
            <v:shape style="position:absolute;left:6014;top:-3571;width:2527;height:3582" type="#_x0000_t75" stroked="false">
              <v:imagedata r:id="rId106" o:title=""/>
            </v:shape>
            <v:shape style="position:absolute;left:6226;top:-3501;width:2282;height:3478" type="#_x0000_t75" stroked="false">
              <v:imagedata r:id="rId107" o:title=""/>
            </v:shape>
            <v:shape style="position:absolute;left:6226;top:-3501;width:2282;height:3478" coordorigin="6227,-3500" coordsize="2282,3478" path="m7507,-23l7412,-28,7322,-44,7238,-68,7160,-100,7087,-138,7021,-180,6960,-226,6904,-275,6855,-324,6811,-372,6752,-445,6700,-520,6655,-595,6616,-669,6584,-740,6558,-807,6540,-869,6520,-1017,6529,-1099,6556,-1172,6598,-1235,6656,-1286,6721,-1323,6791,-1347,6860,-1361,6925,-1366,6936,-1366,7012,-1358,7076,-1342,7128,-1312,7144,-1237,7096,-1194,7033,-1162,7010,-1148,6990,-1133,6975,-1114,6967,-1099,7102,-888,7426,-1249,7105,-2503,6673,-2583,6699,-2382,6725,-2353,6745,-2341,6768,-2340,6804,-2349,6865,-2356,6933,-2313,6941,-2230,6867,-2142,6788,-2110,6721,-2096,6651,-2092,6570,-2098,6493,-2117,6425,-2147,6365,-2189,6315,-2242,6277,-2305,6249,-2377,6232,-2459,6227,-2550,6230,-2670,6241,-2779,6257,-2879,6279,-2969,6307,-3051,6339,-3124,6375,-3189,6415,-3246,6458,-3296,6503,-3340,6551,-3377,6650,-3435,6750,-3473,6826,-3491,6914,-3498,6974,-3500,7039,-3497,7109,-3488,7182,-3474,7258,-3454,7336,-3428,7415,-3397,7494,-3361,7573,-3318,7651,-3270,7727,-3216,7785,-3168,7838,-3118,7888,-3066,7936,-3013,7985,-2958,8046,-2891,8100,-2832,8148,-2777,8193,-2724,8234,-2670,8272,-2611,8310,-2546,8347,-2472,8375,-2408,8401,-2340,8426,-2266,8448,-2189,8468,-2109,8484,-2028,8497,-1947,8505,-1866,8508,-1792,8507,-1719,8502,-1645,8493,-1570,8481,-1493,8465,-1412,8445,-1328,8429,-1255,8417,-1175,8405,-1092,8393,-1010,8379,-932,8363,-862,8337,-781,8309,-703,8278,-627,8245,-555,8209,-486,8171,-421,8118,-343,8063,-274,8004,-213,7943,-161,7879,-118,7812,-82,7743,-56,7671,-38,7588,-27,7547,-24,7507,-23xe" filled="false" stroked="true" strokeweight=".25pt" strokecolor="#b7705b">
              <v:path arrowok="t"/>
              <v:stroke dashstyle="solid"/>
            </v:shape>
            <v:shape style="position:absolute;left:6722;top:-3066;width:839;height:1009" coordorigin="6722,-3066" coordsize="839,1009" path="m7312,-2360l6870,-2360,6925,-2345,6969,-2304,6999,-2245,7010,-2181,6997,-2123,7016,-2089,7066,-2067,7134,-2058,7209,-2059,7277,-2071,7327,-2093,7347,-2125,7337,-2144,7327,-2170,7317,-2203,7311,-2240,7308,-2314,7312,-2360xm6846,-2632l6722,-2392,6767,-2356,6816,-2355,6870,-2360,7312,-2360,7316,-2398,7338,-2484,7367,-2539,7010,-2539,6978,-2544,6936,-2566,6876,-2618,6846,-2632xm7073,-3066l6845,-2893,6868,-2854,6909,-2820,6953,-2787,6986,-2753,7007,-2718,7025,-2681,7040,-2641,7051,-2598,7050,-2568,7035,-2548,7010,-2539,7367,-2539,7378,-2561,7408,-2583,7456,-2607,7508,-2648,7218,-2648,7195,-2661,7179,-2686,7165,-2727,7150,-2768,7137,-2808,7126,-2848,7124,-2887,7123,-2941,7110,-3004,7073,-3066xm7296,-2866l7273,-2812,7268,-2761,7268,-2715,7261,-2675,7243,-2651,7218,-2648,7508,-2648,7510,-2650,7561,-2726,7296,-2866xe" filled="true" fillcolor="#e19c98" stroked="false">
              <v:path arrowok="t"/>
              <v:fill type="solid"/>
            </v:shape>
            <v:shape style="position:absolute;left:6349;top:-3383;width:1981;height:3226" coordorigin="6350,-3382" coordsize="1981,3226" path="m6433,-2370l6390,-2416,6363,-2470,6350,-2536,6350,-2618,6361,-2709,6380,-2777,6405,-2829,6433,-2874,6469,-2932,6501,-2997,6524,-3060,6534,-3112,6545,-3177,6571,-3235,6618,-3287,6688,-3335,6763,-3368,6830,-3382,6890,-3382,6944,-3374,6996,-3356,7034,-3333,7064,-3308,7091,-3285,7147,-3253,7207,-3232,7269,-3221,7331,-3217,7400,-3216,7466,-3208,7540,-3184,7628,-3133,7686,-3089,7738,-3036,7775,-2979,7789,-2920,7801,-2865,7832,-2804,7872,-2753,7911,-2724,7971,-2699,8022,-2667,8069,-2620,8116,-2553,8157,-2482,8188,-2411,8206,-2339,8207,-2262,8203,-2228,8201,-2193,8205,-2122,8231,-2061,8254,-2030,8284,-1979,8307,-1926,8321,-1865,8329,-1796,8330,-1719,8324,-1644,8311,-1577,8291,-1514,8261,-1451,8248,-1427,8233,-1395,8220,-1356,8211,-1309,8215,-1247,8234,-1183,8256,-1114,8267,-1036,8260,-966,8238,-888,8207,-811,8174,-745,8113,-661,8058,-616,8007,-588,7960,-558,7900,-496,7861,-437,7835,-381,7814,-329,7791,-281,7705,-197,7647,-175,7569,-161,7481,-157,7391,-164,7307,-183,7239,-217,7169,-294,7133,-377,7100,-428,7057,-467,7010,-496,6962,-519,6901,-556,6849,-602,6805,-655,6770,-712,6733,-790,6714,-865,6713,-931,6731,-984e" filled="false" stroked="true" strokeweight=".5pt" strokecolor="#905745">
              <v:path arrowok="t"/>
              <v:stroke dashstyle="shortdash"/>
            </v:shape>
            <v:shape style="position:absolute;left:6518;top:-2371;width:1397;height:1791" coordorigin="6518,-2370" coordsize="1397,1791" path="m7806,-1059l7359,-1059,7378,-1054,7391,-1034,7404,-975,7413,-920,7416,-864,7411,-803,7398,-761,7377,-715,7354,-660,7340,-592,7649,-580,7633,-678,7612,-741,7594,-784,7586,-818,7584,-873,7578,-917,7568,-960,7557,-1013,7557,-1039,7566,-1053,7581,-1056,7805,-1056,7806,-1059xm7499,-1377l6896,-1377,6962,-1376,7021,-1367,7070,-1354,7109,-1338,7137,-1319,7155,-1291,7165,-1250,7169,-1230,7172,-1213,7171,-1199,7162,-1184,7128,-1155,7092,-1136,7057,-1119,7021,-1092,7171,-774,7248,-852,7289,-928,7308,-993,7322,-1036,7338,-1052,7359,-1059,7806,-1059,7878,-1177,7826,-1195,7770,-1208,7716,-1219,7671,-1233,7608,-1267,7551,-1316,7499,-1377xm7805,-1056l7581,-1056,7597,-1047,7610,-1034,7623,-1021,7646,-995,7662,-977,7678,-957,7696,-936,7718,-914,7805,-1056xm6981,-2176l6953,-2137,6910,-2102,6853,-2072,6781,-2049,6793,-1995,6808,-1867,6800,-1710,6739,-1574,6680,-1496,6629,-1413,6588,-1331,6555,-1256,6532,-1194,6518,-1150,6565,-1224,6622,-1281,6687,-1323,6756,-1352,6826,-1370,6896,-1377,7499,-1377,7499,-1377,7455,-1448,7419,-1527,7404,-1584,7413,-1629,7441,-1660,7483,-1677,7889,-1677,7880,-1852,7729,-1852,7697,-1853,7665,-1859,7634,-1867,7606,-1878,7579,-1902,7570,-1933,7577,-1968,7596,-2001,7613,-2019,7635,-2037,7657,-2052,7678,-2064,7723,-2081,7778,-2094,7843,-2111,7410,-2111,7373,-2114,7343,-2130,7319,-2159,6981,-2176xm7889,-1677l7483,-1677,7533,-1676,7592,-1662,7650,-1641,7746,-1595,7798,-1577,7850,-1566,7895,-1562,7889,-1677xm7878,-1890l7832,-1882,7795,-1870,7763,-1858,7729,-1852,7880,-1852,7878,-1890xm7680,-2370l7652,-2336,7607,-2253,7577,-2216,7549,-2189,7517,-2160,7483,-2134,7451,-2118,7410,-2111,7843,-2111,7843,-2111,7915,-2139,7680,-2370xe" filled="true" fillcolor="#e19c98" stroked="false">
              <v:path arrowok="t"/>
              <v:fill type="solid"/>
            </v:shape>
            <v:shape style="position:absolute;left:6228;top:-2395;width:1650;height:2386" type="#_x0000_t75" stroked="false">
              <v:imagedata r:id="rId108" o:title=""/>
            </v:shape>
            <v:shape style="position:absolute;left:6752;top:-3019;width:747;height:900" type="#_x0000_t75" stroked="false">
              <v:imagedata r:id="rId109" o:title=""/>
            </v:shape>
            <v:shape style="position:absolute;left:6738;top:-3037;width:773;height:860" coordorigin="6738,-3037" coordsize="773,860" path="m7299,-2868l7265,-2868,7486,-2695,7475,-2676,7458,-2660,7438,-2647,7417,-2636,7400,-2629,7381,-2620,7364,-2611,7352,-2602,7308,-2532,7281,-2454,7269,-2372,7265,-2292,7266,-2268,7268,-2241,7271,-2210,7275,-2177,7297,-2179,7293,-2212,7289,-2242,7288,-2269,7287,-2292,7290,-2366,7290,-2369,7302,-2447,7327,-2522,7368,-2587,7378,-2595,7394,-2602,7426,-2616,7451,-2629,7476,-2646,7496,-2668,7509,-2697,7511,-2701,7509,-2706,7505,-2708,7299,-2868xm6934,-2376l6867,-2376,6880,-2375,6891,-2374,6902,-2370,6913,-2366,6948,-2337,6968,-2298,6972,-2251,6959,-2199,6959,-2198,6959,-2196,6959,-2195,6980,-2193,6994,-2252,6988,-2307,6964,-2352,6934,-2376xm6800,-2661l6795,-2660,6791,-2657,6789,-2646,6738,-2399,6738,-2397,6739,-2394,6751,-2379,6765,-2372,6778,-2369,6788,-2368,6799,-2368,6834,-2373,6845,-2375,6856,-2376,6867,-2376,6934,-2376,6923,-2385,6912,-2390,6774,-2390,6766,-2393,6761,-2401,6810,-2639,6868,-2639,6861,-2644,6833,-2657,6800,-2661xm6867,-2398l6855,-2397,6843,-2396,6831,-2395,6797,-2390,6912,-2390,6910,-2391,6897,-2395,6882,-2397,6867,-2398xm6868,-2639l6810,-2639,6833,-2634,6855,-2622,6875,-2607,6896,-2587,6907,-2577,6919,-2566,6932,-2557,6945,-2550,6967,-2545,6986,-2546,7003,-2552,7017,-2563,7019,-2567,6981,-2567,6967,-2567,6953,-2570,6942,-2576,6932,-2584,6920,-2593,6909,-2604,6886,-2625,6868,-2639xm7066,-3037l6804,-2930,6801,-2926,6801,-2922,6806,-2880,6824,-2850,6850,-2828,6880,-2812,6898,-2802,6916,-2792,6931,-2779,6943,-2765,6964,-2728,6982,-2690,6996,-2652,7006,-2613,7009,-2598,7007,-2585,7000,-2577,6992,-2570,6981,-2567,7019,-2567,7024,-2574,7028,-2587,7029,-2602,7029,-2602,7027,-2618,7016,-2658,7002,-2698,6983,-2737,6961,-2776,6946,-2794,6929,-2808,6910,-2820,6890,-2831,6864,-2845,6842,-2862,6827,-2884,6822,-2914,7062,-3012,7085,-3012,7074,-3031,7071,-3035,7066,-3037xm7085,-3012l7062,-3012,7073,-2987,7078,-2960,7080,-2932,7080,-2884,7080,-2876,7081,-2863,7083,-2851,7093,-2816,7105,-2779,7117,-2743,7137,-2687,7145,-2672,7158,-2660,7173,-2652,7190,-2649,7204,-2653,7218,-2663,7225,-2671,7190,-2671,7181,-2672,7171,-2676,7163,-2684,7157,-2694,7138,-2750,7125,-2786,7114,-2822,7104,-2856,7102,-2866,7102,-2878,7101,-2890,7101,-2936,7099,-2969,7090,-3001,7085,-3012xm7263,-2896l7256,-2894,7253,-2890,7236,-2857,7225,-2822,7221,-2792,7221,-2780,7221,-2762,7223,-2746,7223,-2727,7221,-2711,7217,-2696,7213,-2687,7200,-2671,7225,-2671,7229,-2675,7237,-2688,7242,-2707,7245,-2727,7245,-2746,7243,-2765,7243,-2780,7243,-2789,7246,-2815,7254,-2844,7265,-2868,7299,-2868,7267,-2892,7263,-2896xe" filled="true" fillcolor="#ffefcf" stroked="false">
              <v:path arrowok="t"/>
              <v:fill type="solid"/>
            </v:shape>
            <v:shape style="position:absolute;left:6738;top:-3037;width:773;height:860" coordorigin="6738,-3037" coordsize="773,860" path="m7275,-2177l7271,-2210,7268,-2241,7266,-2268,7265,-2292,7269,-2372,7281,-2454,7308,-2532,7352,-2602,7417,-2636,7438,-2647,7458,-2660,7475,-2676,7486,-2695,7265,-2868,7254,-2844,7246,-2815,7243,-2788,7243,-2765,7245,-2746,7245,-2727,7218,-2663,7190,-2649,7173,-2652,7130,-2706,7105,-2780,7083,-2851,7080,-2890,7080,-2905,7080,-2932,7078,-2960,7073,-2987,7062,-3012,6822,-2914,6864,-2845,6910,-2820,6929,-2808,6983,-2737,7016,-2658,7029,-2602,7028,-2587,6967,-2545,6945,-2550,6932,-2557,6919,-2566,6907,-2577,6894,-2589,6875,-2607,6855,-2622,6833,-2634,6810,-2639,6761,-2401,6766,-2393,6774,-2390,6788,-2390,6797,-2390,6809,-2392,6821,-2393,6831,-2395,6843,-2396,6855,-2397,6867,-2398,6882,-2397,6964,-2352,6994,-2252,6980,-2193,6959,-2195,6959,-2196,6959,-2198,6959,-2199,6972,-2251,6948,-2337,6891,-2374,6867,-2376,6856,-2376,6845,-2375,6834,-2373,6824,-2372,6811,-2370,6799,-2368,6788,-2368,6778,-2369,6738,-2399,6739,-2401,6790,-2652,6791,-2657,6795,-2660,6800,-2661,6833,-2657,6861,-2644,6886,-2625,6909,-2604,6920,-2593,6932,-2584,6942,-2576,6953,-2570,6967,-2567,6981,-2567,6992,-2570,7000,-2577,7007,-2585,7009,-2598,7006,-2613,6982,-2690,6943,-2765,6880,-2812,6850,-2828,6824,-2850,6806,-2880,6801,-2922,6801,-2926,6804,-2930,6808,-2931,7062,-3035,7066,-3037,7099,-2969,7101,-2905,7101,-2891,7102,-2878,7125,-2786,7151,-2714,7190,-2671,7200,-2671,7223,-2728,7223,-2745,7221,-2762,7221,-2789,7236,-2857,7263,-2896,7267,-2892,7505,-2708,7509,-2706,7511,-2701,7509,-2697,7496,-2668,7476,-2646,7451,-2629,7426,-2616,7411,-2610,7394,-2602,7327,-2522,7302,-2447,7290,-2369,7287,-2292,7288,-2269,7289,-2242,7293,-2212,7297,-2179,7275,-2177xe" filled="false" stroked="true" strokeweight=".25pt" strokecolor="#b7705b">
              <v:path arrowok="t"/>
              <v:stroke dashstyle="solid"/>
            </v:shape>
            <v:shape style="position:absolute;left:6980;top:-2405;width:908;height:1776" coordorigin="6980,-2404" coordsize="908,1776" path="m7290,-1111l7276,-1152,7238,-1178,7180,-1182,7110,-1167,7041,-1136,6980,-1089,7201,-840,7241,-896,7270,-969,7288,-1045,7290,-1111m7630,-628l7605,-701,7568,-765,7521,-810,7472,-827,7421,-809,7375,-763,7341,-701,7321,-636,7630,-628m7836,-2145l7681,-2404,7632,-2344,7600,-2274,7588,-2206,7599,-2152,7636,-2122,7694,-2112,7764,-2121,7836,-2145m7882,-1182l7798,-1206,7715,-1212,7646,-1199,7607,-1167,7599,-1115,7620,-1049,7663,-979,7717,-917,7882,-1182m7888,-1581l7865,-1908,7800,-1892,7736,-1857,7686,-1808,7665,-1752,7681,-1699,7723,-1647,7793,-1605,7888,-1581e" filled="true" fillcolor="#ffe3a5" stroked="false">
              <v:path arrowok="t"/>
              <v:fill type="solid"/>
            </v:shape>
            <v:shape style="position:absolute;left:7576;top:-2416;width:271;height:314" coordorigin="7577,-2415" coordsize="271,314" path="m7679,-2415l7676,-2414,7674,-2412,7623,-2351,7590,-2278,7577,-2206,7589,-2147,7605,-2128,7629,-2113,7658,-2104,7694,-2101,7730,-2104,7766,-2110,7804,-2121,7809,-2123,7694,-2123,7664,-2125,7640,-2132,7621,-2143,7608,-2157,7599,-2204,7609,-2265,7636,-2330,7679,-2387,7704,-2387,7689,-2412,7686,-2414,7679,-2415xm7704,-2387l7679,-2387,7820,-2150,7788,-2139,7756,-2130,7724,-2125,7694,-2123,7809,-2123,7841,-2135,7843,-2137,7845,-2139,7847,-2145,7847,-2148,7845,-2151,7704,-2387xe" filled="true" fillcolor="#ffefcf" stroked="false">
              <v:path arrowok="t"/>
              <v:fill type="solid"/>
            </v:shape>
            <v:shape style="position:absolute;left:-102;top:10768;width:271;height:314" coordorigin="-102,10769" coordsize="271,314" path="m7679,-2387l7636,-2330,7609,-2265,7599,-2204,7608,-2157,7621,-2143,7640,-2132,7664,-2125,7694,-2123,7724,-2125,7756,-2130,7788,-2139,7820,-2150,7679,-2387xm7694,-2101l7658,-2104,7629,-2113,7605,-2128,7589,-2147,7577,-2206,7590,-2278,7623,-2351,7674,-2412,7676,-2414,7679,-2415,7683,-2415,7686,-2414,7689,-2412,7690,-2410,7845,-2151,7847,-2148,7847,-2145,7846,-2142,7845,-2139,7843,-2137,7841,-2135,7804,-2121,7766,-2110,7730,-2104,7694,-2101xe" filled="false" stroked="true" strokeweight=".25pt" strokecolor="#b7705b">
              <v:path arrowok="t"/>
              <v:stroke dashstyle="solid"/>
            </v:shape>
            <v:shape style="position:absolute;left:7654;top:-1919;width:245;height:349" coordorigin="7654,-1919" coordsize="245,349" path="m7867,-1919l7865,-1919,7798,-1902,7730,-1865,7677,-1813,7654,-1751,7671,-1693,7716,-1639,7788,-1595,7887,-1570,7887,-1570,7888,-1570,7891,-1570,7894,-1571,7898,-1575,7899,-1578,7898,-1593,7876,-1593,7792,-1618,7729,-1656,7690,-1703,7676,-1751,7694,-1800,7736,-1844,7794,-1878,7855,-1896,7877,-1896,7876,-1911,7875,-1914,7870,-1918,7867,-1919xm7877,-1896l7855,-1896,7876,-1593,7898,-1593,7877,-1896xe" filled="true" fillcolor="#ffefcf" stroked="false">
              <v:path arrowok="t"/>
              <v:fill type="solid"/>
            </v:shape>
            <v:shape style="position:absolute;left:-202;top:10773;width:245;height:349" coordorigin="-201,10774" coordsize="245,349" path="m7855,-1896l7794,-1878,7736,-1844,7694,-1800,7676,-1751,7690,-1703,7729,-1656,7792,-1618,7876,-1593,7855,-1896xm7888,-1570l7888,-1570,7887,-1570,7887,-1570,7788,-1595,7716,-1639,7671,-1693,7654,-1751,7677,-1813,7730,-1865,7798,-1902,7865,-1919,7867,-1919,7870,-1918,7873,-1916,7875,-1914,7876,-1911,7876,-1909,7899,-1582,7899,-1578,7898,-1575,7896,-1573,7894,-1571,7891,-1570,7888,-1570xe" filled="false" stroked="true" strokeweight=".25pt" strokecolor="#b7705b">
              <v:path arrowok="t"/>
              <v:stroke dashstyle="solid"/>
            </v:shape>
            <v:shape style="position:absolute;left:7587;top:-1224;width:306;height:318" coordorigin="7588,-1223" coordsize="306,318" path="m7727,-1223l7680,-1220,7642,-1210,7615,-1194,7598,-1173,7588,-1113,7611,-1042,7656,-970,7710,-909,7712,-907,7715,-906,7718,-906,7722,-906,7725,-908,7741,-934,7715,-934,7665,-994,7628,-1058,7610,-1117,7617,-1163,7631,-1179,7654,-1191,7687,-1199,7727,-1201,7858,-1201,7848,-1205,7808,-1215,7767,-1221,7727,-1223xm7858,-1201l7727,-1201,7762,-1200,7797,-1195,7832,-1187,7866,-1176,7715,-934,7741,-934,7893,-1179,7893,-1182,7891,-1188,7889,-1190,7886,-1192,7858,-1201xe" filled="true" fillcolor="#ffefcf" stroked="false">
              <v:path arrowok="t"/>
              <v:fill type="solid"/>
            </v:shape>
            <v:shape style="position:absolute;left:-140;top:10775;width:306;height:318" coordorigin="-139,10775" coordsize="306,318" path="m7727,-1201l7687,-1199,7654,-1191,7631,-1179,7617,-1163,7610,-1117,7628,-1058,7665,-994,7715,-934,7866,-1176,7832,-1187,7797,-1195,7762,-1200,7727,-1201xm7717,-906l7715,-906,7712,-907,7710,-909,7656,-970,7611,-1042,7588,-1113,7598,-1173,7615,-1194,7642,-1210,7680,-1220,7727,-1223,7767,-1221,7808,-1215,7848,-1205,7886,-1192,7889,-1190,7891,-1188,7892,-1185,7893,-1182,7893,-1179,7891,-1176,7727,-911,7725,-908,7722,-906,7719,-906,7718,-906,7718,-906,7717,-906xe" filled="false" stroked="true" strokeweight=".25pt" strokecolor="#b7705b">
              <v:path arrowok="t"/>
              <v:stroke dashstyle="solid"/>
            </v:shape>
            <v:shape style="position:absolute;left:7309;top:-838;width:332;height:221" coordorigin="7310,-838" coordsize="332,221" path="m7472,-838l7415,-818,7367,-769,7330,-704,7310,-637,7310,-634,7311,-631,7314,-626,7317,-625,7630,-618,7630,-618,7636,-618,7641,-622,7641,-630,7641,-632,7640,-633,7638,-639,7616,-639,7334,-646,7355,-707,7388,-762,7428,-801,7472,-816,7530,-816,7526,-820,7472,-838xm7530,-816l7472,-816,7514,-802,7555,-764,7591,-707,7616,-639,7638,-639,7615,-707,7575,-773,7530,-816xe" filled="true" fillcolor="#ffefcf" stroked="false">
              <v:path arrowok="t"/>
              <v:fill type="solid"/>
            </v:shape>
            <v:shape style="position:absolute;left:-25;top:10605;width:332;height:221" coordorigin="-24,10605" coordsize="332,221" path="m7334,-646l7616,-639,7591,-707,7555,-764,7514,-802,7472,-816,7428,-801,7388,-762,7355,-707,7334,-646xm7630,-618l7630,-618,7630,-618,7630,-618,7630,-618,7321,-625,7317,-625,7314,-626,7313,-629,7311,-631,7310,-634,7310,-637,7330,-704,7367,-769,7415,-818,7472,-838,7526,-820,7575,-773,7615,-707,7640,-633,7641,-632,7641,-630,7641,-628,7641,-622,7636,-618,7630,-618xe" filled="false" stroked="true" strokeweight=".25pt" strokecolor="#b7705b">
              <v:path arrowok="t"/>
              <v:stroke dashstyle="solid"/>
            </v:shape>
            <v:shape style="position:absolute;left:6968;top:-1194;width:334;height:365" coordorigin="6968,-1194" coordsize="334,365" path="m7198,-1194l7139,-1187,7078,-1167,7021,-1136,6972,-1097,6968,-1093,6968,-1086,7195,-830,7198,-829,7201,-829,7204,-829,7206,-830,7208,-832,7225,-856,7201,-856,6995,-1089,7040,-1122,7092,-1149,7146,-1166,7198,-1172,7272,-1172,7270,-1174,7251,-1185,7227,-1192,7198,-1194xm7272,-1172l7198,-1172,7222,-1171,7241,-1166,7256,-1158,7267,-1147,7267,-1146,7268,-1146,7268,-1145,7280,-1097,7272,-1017,7245,-929,7201,-856,7225,-856,7249,-889,7281,-964,7299,-1043,7301,-1113,7285,-1159,7272,-1172xe" filled="true" fillcolor="#ffefcf" stroked="false">
              <v:path arrowok="t"/>
              <v:fill type="solid"/>
            </v:shape>
            <v:shape style="position:absolute;left:-27;top:10691;width:334;height:365" coordorigin="-27,10691" coordsize="334,365" path="m6995,-1089l7201,-856,7245,-929,7272,-1017,7280,-1097,7268,-1145,7268,-1146,7267,-1146,7267,-1147,7256,-1158,7241,-1166,7222,-1171,7198,-1172,7146,-1166,7092,-1149,7040,-1122,6995,-1089xm7201,-829l7201,-829,7201,-829,7200,-829,7198,-829,7195,-830,7193,-833,6972,-1082,6968,-1086,6968,-1093,6972,-1097,7021,-1136,7078,-1167,7139,-1187,7198,-1194,7227,-1192,7251,-1185,7270,-1174,7285,-1159,7301,-1113,7299,-1043,7281,-964,7249,-889,7208,-832,7206,-830,7204,-829,7201,-829xe" filled="false" stroked="true" strokeweight=".25pt" strokecolor="#b7705b">
              <v:path arrowok="t"/>
              <v:stroke dashstyle="solid"/>
            </v:shape>
            <v:shape style="position:absolute;left:6370;top:-2857;width:504;height:496" type="#_x0000_t75" stroked="false">
              <v:imagedata r:id="rId110" o:title=""/>
            </v:shape>
            <v:shape style="position:absolute;left:6370;top:-2855;width:504;height:494" coordorigin="6370,-2855" coordsize="504,494" path="m6874,-2502l6802,-2414,6734,-2385,6652,-2367,6565,-2361,6487,-2373,6431,-2403,6395,-2449,6376,-2509,6370,-2577,6376,-2652,6388,-2725,6409,-2786,6439,-2831,6484,-2855,6544,-2851,6623,-2816,6703,-2761,6773,-2697,6830,-2628,6865,-2561,6874,-2502xe" filled="false" stroked="true" strokeweight=".25pt" strokecolor="#b7705b">
              <v:path arrowok="t"/>
              <v:stroke dashstyle="solid"/>
            </v:shape>
            <v:shape style="position:absolute;left:6404;top:-2837;width:412;height:435" type="#_x0000_t75" stroked="false">
              <v:imagedata r:id="rId111" o:title=""/>
            </v:shape>
            <v:shape style="position:absolute;left:6577;top:-3355;width:495;height:484" type="#_x0000_t75" stroked="false">
              <v:imagedata r:id="rId112" o:title=""/>
            </v:shape>
            <v:shape style="position:absolute;left:6577;top:-3355;width:495;height:484" coordorigin="6578,-3354" coordsize="495,484" path="m6985,-2878l7028,-2912,7056,-2972,7071,-3048,7072,-3131,7062,-3214,7035,-3283,6989,-3327,6931,-3350,6866,-3354,6800,-3344,6738,-3323,6682,-3292,6631,-3254,6578,-3156,6589,-3098,6637,-3032,6704,-2974,6779,-2924,6856,-2888,6927,-2871,6985,-2878xe" filled="false" stroked="true" strokeweight=".25pt" strokecolor="#b7705b">
              <v:path arrowok="t"/>
              <v:stroke dashstyle="solid"/>
            </v:shape>
            <v:shape style="position:absolute;left:6594;top:-3309;width:449;height:399" type="#_x0000_t75" stroked="false">
              <v:imagedata r:id="rId113" o:title=""/>
            </v:shape>
            <v:shape style="position:absolute;left:7255;top:-3187;width:501;height:513" type="#_x0000_t75" stroked="false">
              <v:imagedata r:id="rId114" o:title=""/>
            </v:shape>
            <v:shape style="position:absolute;left:7255;top:-3186;width:501;height:513" coordorigin="7255,-3186" coordsize="501,513" path="m7323,-2692l7285,-2736,7263,-2803,7255,-2884,7262,-2972,7282,-3058,7316,-3129,7363,-3170,7419,-3186,7481,-3179,7548,-3155,7615,-3116,7676,-3070,7723,-3020,7756,-2911,7733,-2853,7676,-2793,7604,-2742,7526,-2702,7448,-2678,7379,-2673,7323,-2692xe" filled="false" stroked="true" strokeweight=".25pt" strokecolor="#b7705b">
              <v:path arrowok="t"/>
              <v:stroke dashstyle="solid"/>
            </v:shape>
            <v:shape style="position:absolute;left:7282;top:-3154;width:449;height:451" type="#_x0000_t75" stroked="false">
              <v:imagedata r:id="rId115" o:title=""/>
            </v:shape>
            <v:shape style="position:absolute;left:7637;top:-2687;width:543;height:558" type="#_x0000_t75" stroked="false">
              <v:imagedata r:id="rId116" o:title=""/>
            </v:shape>
            <v:shape style="position:absolute;left:7637;top:-2686;width:543;height:556" coordorigin="7638,-2685" coordsize="543,556" path="m7654,-2202l7638,-2253,7641,-2317,7659,-2388,7690,-2463,7731,-2536,7779,-2604,7831,-2657,7931,-2685,7978,-2666,8064,-2580,8104,-2520,8139,-2457,8166,-2395,8180,-2337,8179,-2283,8115,-2193,8046,-2160,7969,-2140,7891,-2129,7814,-2130,7746,-2141,7691,-2165,7654,-2202xe" filled="false" stroked="true" strokeweight=".25pt" strokecolor="#b7705b">
              <v:path arrowok="t"/>
              <v:stroke dashstyle="solid"/>
            </v:shape>
            <v:shape style="position:absolute;left:7674;top:-2663;width:480;height:502" type="#_x0000_t75" stroked="false">
              <v:imagedata r:id="rId117" o:title=""/>
            </v:shape>
            <v:shape style="position:absolute;left:7735;top:-2010;width:568;height:560" type="#_x0000_t75" stroked="false">
              <v:imagedata r:id="rId118" o:title=""/>
            </v:shape>
            <v:shape style="position:absolute;left:7735;top:-2010;width:568;height:560" coordorigin="7735,-2009" coordsize="568,560" path="m7735,-1753l7785,-1645,7840,-1593,7908,-1544,7983,-1502,8061,-1468,8135,-1450,8192,-1456,8265,-1524,8297,-1645,8303,-1717,8301,-1792,8292,-1860,8274,-1919,8201,-1996,8142,-2009,8064,-2001,7986,-1978,7910,-1944,7842,-1903,7786,-1856,7749,-1805,7735,-1753xe" filled="false" stroked="true" strokeweight=".25pt" strokecolor="#b7705b">
              <v:path arrowok="t"/>
              <v:stroke dashstyle="solid"/>
            </v:shape>
            <v:shape style="position:absolute;left:7832;top:-1674;width:410;height:185" type="#_x0000_t75" stroked="false">
              <v:imagedata r:id="rId119" o:title=""/>
            </v:shape>
            <v:shape style="position:absolute;left:119;top:10706;width:410;height:218" coordorigin="119,10706" coordsize="410,218" path="m8257,-1626l8193,-1633,8112,-1645,8023,-1661,7934,-1682,7855,-1703m8264,-1697l8201,-1700,8119,-1707,8028,-1716,7937,-1725,7857,-1734m8264,-1771l8201,-1771,8119,-1771,8028,-1769,7938,-1766,7858,-1761m8257,-1843l8197,-1842,8116,-1836,8024,-1826,7933,-1811,7855,-1793e" filled="false" stroked="true" strokeweight=".25pt" strokecolor="#b7705b">
              <v:path arrowok="t"/>
              <v:stroke dashstyle="solid"/>
            </v:shape>
            <v:shape style="position:absolute;left:7831;top:-1975;width:412;height:153" type="#_x0000_t75" stroked="false">
              <v:imagedata r:id="rId120" o:title=""/>
            </v:shape>
            <v:shape style="position:absolute;left:7659;top:-1202;width:580;height:564" type="#_x0000_t75" stroked="false">
              <v:imagedata r:id="rId121" o:title=""/>
            </v:shape>
            <v:shape style="position:absolute;left:7659;top:-1202;width:580;height:564" coordorigin="7660,-1201" coordsize="580,564" path="m7670,-1108l7671,-989,7700,-917,7742,-843,7794,-772,7852,-709,7912,-661,8017,-638,8063,-658,8145,-754,8183,-826,8212,-894,8232,-961,8240,-1023,8232,-1078,8154,-1163,8079,-1187,7997,-1199,7913,-1201,7832,-1194,7761,-1177,7705,-1149,7670,-1108xe" filled="false" stroked="true" strokeweight=".25pt" strokecolor="#b7705b">
              <v:path arrowok="t"/>
              <v:stroke dashstyle="solid"/>
            </v:shape>
            <v:shape style="position:absolute;left:7714;top:-1088;width:480;height:420" type="#_x0000_t75" stroked="false">
              <v:imagedata r:id="rId122" o:title=""/>
            </v:shape>
            <v:shape style="position:absolute;left:131;top:10744;width:406;height:119" coordorigin="132,10745" coordsize="406,119" path="m8207,-1042l8151,-1062,8071,-1084,7979,-1103,7886,-1115,7803,-1116m8189,-1108l8133,-1131,8057,-1150,7971,-1160,7882,-1159,7802,-1143e" filled="false" stroked="true" strokeweight=".25pt" strokecolor="#b7705b">
              <v:path arrowok="t"/>
              <v:stroke dashstyle="solid"/>
            </v:shape>
            <v:shape style="position:absolute;left:7188;top:-746;width:566;height:565" type="#_x0000_t75" stroked="false">
              <v:imagedata r:id="rId123" o:title=""/>
            </v:shape>
            <v:shape style="position:absolute;left:7188;top:-746;width:566;height:565" coordorigin="7188,-745" coordsize="566,565" path="m7475,-745l7581,-696,7630,-642,7675,-575,7712,-500,7740,-422,7754,-347,7747,-288,7681,-213,7561,-183,7487,-181,7411,-186,7341,-199,7280,-221,7200,-299,7188,-357,7200,-429,7229,-506,7269,-580,7315,-646,7367,-698,7421,-733,7475,-745xe" filled="false" stroked="true" strokeweight=".25pt" strokecolor="#b7705b">
              <v:path arrowok="t"/>
              <v:stroke dashstyle="solid"/>
            </v:shape>
            <v:shape style="position:absolute;left:7550;top:-655;width:158;height:414" type="#_x0000_t75" stroked="false">
              <v:imagedata r:id="rId124" o:title=""/>
            </v:shape>
            <v:shape style="position:absolute;left:-132;top:10907;width:221;height:414" coordorigin="-132,10907" coordsize="221,414" path="m7564,-228l7563,-292,7557,-374,7547,-464,7534,-553,7519,-633m7492,-222l7493,-285,7493,-368,7492,-460,7490,-551,7487,-632m7417,-223l7421,-287,7429,-369,7438,-460,7449,-551,7460,-631m7344,-232l7350,-291,7363,-373,7381,-465,7403,-556,7428,-635e" filled="false" stroked="true" strokeweight=".25pt" strokecolor="#b7705b">
              <v:path arrowok="t"/>
              <v:stroke dashstyle="solid"/>
            </v:shape>
            <v:shape style="position:absolute;left:7215;top:-660;width:184;height:413" type="#_x0000_t75" stroked="false">
              <v:imagedata r:id="rId125" o:title=""/>
            </v:shape>
            <v:shape style="position:absolute;left:6739;top:-1123;width:508;height:574" type="#_x0000_t75" stroked="false">
              <v:imagedata r:id="rId126" o:title=""/>
            </v:shape>
            <v:shape style="position:absolute;left:6739;top:-1122;width:508;height:573" coordorigin="6739,-1121" coordsize="508,573" path="m7231,-1076l7194,-1107,7139,-1121,7071,-1121,6997,-1109,6920,-1086,6847,-1056,6787,-1014,6751,-962,6739,-902,6747,-837,6772,-769,6811,-700,6850,-645,6890,-598,6973,-549,7018,-555,7116,-650,7160,-725,7198,-805,7227,-886,7244,-962,7247,-1027,7231,-1076xe" filled="false" stroked="true" strokeweight=".25pt" strokecolor="#b7705b">
              <v:path arrowok="t"/>
              <v:stroke dashstyle="solid"/>
            </v:shape>
            <v:shape style="position:absolute;left:6760;top:-1092;width:443;height:519" type="#_x0000_t75" stroked="false">
              <v:imagedata r:id="rId127" o:title=""/>
            </v:shape>
            <v:shape style="position:absolute;left:6956;top:-2198;width:344;height:104" type="#_x0000_t75" stroked="false">
              <v:imagedata r:id="rId128" o:title=""/>
            </v:shape>
            <v:shape style="position:absolute;left:5220;top:-1922;width:860;height:70" coordorigin="5220,-1921" coordsize="860,70" path="m5220,-1921l5279,-1902,5345,-1885,5418,-1873,5495,-1863,5577,-1857,5661,-1853,5746,-1852,5832,-1854,5917,-1859,6000,-1866,6080,-1875e" filled="false" stroked="true" strokeweight="3.0pt" strokecolor="#c63231">
              <v:path arrowok="t"/>
              <v:stroke dashstyle="solid"/>
            </v:shape>
            <v:shape style="position:absolute;left:5972;top:-1981;width:316;height:241" coordorigin="5973,-1981" coordsize="316,241" path="m5973,-1981l6064,-1873,6016,-1741,6288,-1914,5973,-1981xe" filled="true" fillcolor="#c63231" stroked="false">
              <v:path arrowok="t"/>
              <v:fill type="solid"/>
            </v:shape>
            <v:shape style="position:absolute;left:6557;top:-3364;width:436;height:485" coordorigin="6558,-3364" coordsize="436,485" path="m6827,-3329l6785,-3329,6792,-3327,6814,-3313,6838,-3287,6859,-3255,6873,-3224,6887,-3178,6901,-3124,6913,-3072,6922,-3031,6934,-2980,6951,-2934,6966,-2899,6973,-2884,6975,-2881,6978,-2879,6984,-2879,6985,-2879,6991,-2882,6993,-2888,6991,-2893,6986,-2905,6973,-2934,6958,-2974,6945,-3019,6950,-3040,6959,-3050,6938,-3050,6929,-3092,6917,-3141,6905,-3189,6893,-3230,6888,-3243,6882,-3256,6874,-3270,6865,-3284,6865,-3305,6849,-3305,6837,-3320,6827,-3329xm6710,-3273l6666,-3273,6688,-3267,6714,-3242,6745,-3198,6772,-3148,6786,-3108,6796,-3070,6811,-3026,6833,-2987,6858,-2964,6867,-2960,6876,-2961,6884,-2966,6895,-2980,6895,-2981,6869,-2981,6866,-2983,6848,-3000,6830,-3033,6816,-3072,6806,-3111,6791,-3154,6762,-3208,6728,-3257,6710,-3273xm6785,-3349l6774,-3347,6765,-3339,6751,-3317,6752,-3295,6762,-3273,6776,-3253,6788,-3236,6794,-3228,6807,-3202,6819,-3172,6829,-3140,6836,-3108,6840,-3091,6846,-3073,6852,-3056,6860,-3040,6867,-3022,6874,-3004,6876,-2991,6873,-2983,6871,-2982,6869,-2981,6895,-2981,6895,-2991,6895,-3000,6888,-3023,6878,-3048,6871,-3063,6865,-3080,6859,-3096,6856,-3111,6849,-3145,6838,-3179,6825,-3211,6811,-3238,6805,-3248,6792,-3265,6778,-3285,6771,-3300,6771,-3313,6779,-3324,6781,-3326,6785,-3329,6827,-3329,6823,-3332,6810,-3341,6797,-3346,6785,-3349xm6982,-3081l6978,-3080,6968,-3076,6958,-3070,6947,-3061,6938,-3050,6959,-3050,6963,-3054,6976,-3063,6983,-3065,6986,-3067,6989,-3071,6987,-3075,6986,-3079,6982,-3081xm6595,-3272l6586,-3272,6577,-3269,6568,-3263,6561,-3252,6558,-3239,6560,-3227,6567,-3215,6578,-3208,6590,-3205,6603,-3207,6615,-3214,6622,-3223,6625,-3234,6624,-3245,6620,-3256,6632,-3264,6644,-3269,6605,-3269,6595,-3272xm6669,-3293l6643,-3291,6621,-3282,6605,-3269,6644,-3269,6647,-3271,6666,-3273,6710,-3273,6697,-3285,6669,-3293xm6885,-3364l6881,-3361,6877,-3357,6867,-3346,6856,-3328,6849,-3305,6865,-3305,6865,-3310,6874,-3331,6885,-3344,6890,-3349,6894,-3352,6894,-3356,6889,-3363,6885,-3364xe" filled="true" fillcolor="#ffd87d" stroked="false">
              <v:path arrowok="t"/>
              <v:fill type="solid"/>
            </v:shape>
            <v:shape style="position:absolute;left:6557;top:-3364;width:436;height:485" coordorigin="6558,-3364" coordsize="436,485" path="m6991,-2893l6986,-2905,6973,-2934,6958,-2974,6945,-3019,6950,-3040,6963,-3054,6976,-3063,6983,-3065,6986,-3067,6989,-3071,6987,-3075,6986,-3079,6982,-3081,6978,-3080,6968,-3076,6958,-3070,6947,-3061,6938,-3050,6929,-3092,6905,-3189,6882,-3256,6865,-3284,6865,-3310,6874,-3331,6885,-3344,6890,-3349,6894,-3352,6894,-3356,6892,-3360,6889,-3363,6885,-3364,6849,-3305,6837,-3320,6823,-3332,6810,-3341,6797,-3346,6785,-3349,6774,-3347,6765,-3339,6751,-3317,6752,-3295,6762,-3273,6776,-3253,6782,-3245,6788,-3236,6794,-3228,6807,-3202,6819,-3172,6829,-3140,6836,-3108,6840,-3091,6846,-3073,6852,-3056,6860,-3040,6867,-3022,6874,-3004,6876,-2991,6873,-2983,6871,-2982,6869,-2981,6866,-2983,6848,-3000,6830,-3033,6816,-3072,6806,-3111,6791,-3154,6762,-3208,6728,-3257,6697,-3285,6669,-3293,6643,-3291,6621,-3282,6605,-3269,6595,-3272,6558,-3239,6560,-3227,6567,-3215,6578,-3208,6590,-3205,6603,-3207,6615,-3214,6622,-3223,6625,-3234,6624,-3245,6620,-3256,6632,-3264,6647,-3271,6666,-3273,6688,-3267,6745,-3198,6786,-3108,6796,-3070,6811,-3026,6833,-2987,6858,-2964,6867,-2960,6876,-2961,6884,-2966,6895,-2980,6895,-3000,6888,-3023,6878,-3048,6871,-3063,6865,-3079,6859,-3096,6856,-3111,6849,-3145,6838,-3179,6825,-3211,6811,-3238,6805,-3248,6798,-3256,6792,-3265,6778,-3285,6771,-3300,6771,-3313,6779,-3324,6781,-3326,6785,-3329,6792,-3327,6838,-3287,6873,-3224,6901,-3124,6922,-3031,6934,-2980,6966,-2899,6978,-2879,6982,-2879,6984,-2879,6985,-2879,6987,-2880,6991,-2882,6993,-2888,6991,-2893xe" filled="false" stroked="true" strokeweight=".25pt" strokecolor="#231f20">
              <v:path arrowok="t"/>
              <v:stroke dashstyle="solid"/>
            </v:shape>
            <v:shape style="position:absolute;left:0;top:9164;width:5407;height:3405" coordorigin="0,9165" coordsize="5407,3405" path="m3358,-1475l4185,-1475m3358,-840l4294,-840m3358,-522l4454,-625m8037,-215l8233,-215m8366,-2144l8765,-2144m6262,-3524l6762,-3294m7151,-2349l8262,-3031m7031,-2809l7495,-3619m7661,-2194l8753,-2586m7901,-1339l8765,-1339m8067,-909l8765,-909m7025,-1756l8765,-1756m6099,-217l6388,-217e" filled="false" stroked="true" strokeweight=".75pt" strokecolor="#231f20">
              <v:path arrowok="t"/>
              <v:stroke dashstyle="solid"/>
            </v:shape>
            <w10:wrap type="none"/>
          </v:group>
        </w:pict>
      </w:r>
      <w:bookmarkStart w:name="_bookmark13" w:id="14"/>
      <w:bookmarkEnd w:id="14"/>
      <w:r>
        <w:rPr/>
      </w:r>
      <w:r>
        <w:rPr>
          <w:rFonts w:ascii="Trebuchet MS"/>
          <w:b/>
          <w:color w:val="231F20"/>
          <w:sz w:val="16"/>
        </w:rPr>
        <w:t>Figure 26-2. </w:t>
      </w:r>
      <w:r>
        <w:rPr>
          <w:rFonts w:ascii="Arial"/>
          <w:color w:val="231F20"/>
          <w:sz w:val="16"/>
        </w:rPr>
        <w:t>General organization of the kidneys and the urinary system.</w:t>
      </w:r>
    </w:p>
    <w:p>
      <w:pPr>
        <w:pStyle w:val="BodyText"/>
        <w:rPr>
          <w:rFonts w:ascii="Arial"/>
        </w:rPr>
      </w:pPr>
    </w:p>
    <w:p>
      <w:pPr>
        <w:pStyle w:val="BodyText"/>
        <w:rPr>
          <w:rFonts w:ascii="Arial"/>
        </w:rPr>
      </w:pPr>
    </w:p>
    <w:p>
      <w:pPr>
        <w:pStyle w:val="BodyText"/>
        <w:spacing w:before="1"/>
        <w:rPr>
          <w:rFonts w:ascii="Arial"/>
        </w:rPr>
      </w:pPr>
    </w:p>
    <w:p>
      <w:pPr>
        <w:spacing w:after="0"/>
        <w:rPr>
          <w:rFonts w:ascii="Arial"/>
        </w:rPr>
        <w:sectPr>
          <w:type w:val="continuous"/>
          <w:pgSz w:w="12240" w:h="15660"/>
          <w:pgMar w:top="0" w:bottom="760" w:left="0" w:right="0"/>
        </w:sectPr>
      </w:pPr>
    </w:p>
    <w:p>
      <w:pPr>
        <w:pStyle w:val="Heading2"/>
        <w:spacing w:before="99"/>
        <w:ind w:left="1440"/>
        <w:jc w:val="both"/>
      </w:pPr>
      <w:r>
        <w:rPr/>
        <w:pict>
          <v:group style="position:absolute;margin-left:0pt;margin-top:0pt;width:612pt;height:180pt;mso-position-horizontal-relative:page;mso-position-vertical-relative:page;z-index:-27358924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458" w:right="0" w:firstLine="0"/>
                      <w:jc w:val="left"/>
                      <w:rPr>
                        <w:rFonts w:ascii="Trebuchet MS"/>
                        <w:sz w:val="18"/>
                      </w:rPr>
                    </w:pPr>
                    <w:r>
                      <w:rPr>
                        <w:rFonts w:ascii="Trebuchet MS"/>
                        <w:b/>
                        <w:color w:val="231F20"/>
                        <w:w w:val="105"/>
                        <w:sz w:val="18"/>
                      </w:rPr>
                      <w:t>Chapter 26 </w:t>
                    </w:r>
                    <w:r>
                      <w:rPr>
                        <w:rFonts w:ascii="Trebuchet MS"/>
                        <w:color w:val="231F20"/>
                        <w:w w:val="105"/>
                        <w:sz w:val="18"/>
                      </w:rPr>
                      <w:t>The Urinary System: Functional Anatomy and Urine Formation by the Kidneys</w:t>
                    </w:r>
                  </w:p>
                </w:txbxContent>
              </v:textbox>
              <v:fill type="solid"/>
              <w10:wrap type="none"/>
            </v:shape>
            <w10:wrap type="none"/>
          </v:group>
        </w:pict>
      </w:r>
      <w:r>
        <w:rPr>
          <w:color w:val="231F20"/>
          <w:w w:val="105"/>
        </w:rPr>
        <w:t>RENAL BLOOD SUPPLY</w:t>
      </w:r>
    </w:p>
    <w:p>
      <w:pPr>
        <w:spacing w:line="249" w:lineRule="auto" w:before="126"/>
        <w:ind w:left="1440" w:right="0" w:firstLine="0"/>
        <w:jc w:val="both"/>
        <w:rPr>
          <w:sz w:val="20"/>
        </w:rPr>
      </w:pPr>
      <w:r>
        <w:rPr>
          <w:color w:val="231F20"/>
          <w:sz w:val="20"/>
        </w:rPr>
        <w:t>Blood flow to the two kidneys is normally about 22 percent of the cardiac output, or 1100 ml/min. The renal artery enters the kidney through the hilum and then branches progressively to form the </w:t>
      </w:r>
      <w:r>
        <w:rPr>
          <w:i/>
          <w:color w:val="231F20"/>
          <w:sz w:val="20"/>
        </w:rPr>
        <w:t>interlobar arteries, </w:t>
      </w:r>
      <w:r>
        <w:rPr>
          <w:i/>
          <w:color w:val="231F20"/>
          <w:sz w:val="20"/>
        </w:rPr>
        <w:t>arcuate arteries, interlobular arteries </w:t>
      </w:r>
      <w:r>
        <w:rPr>
          <w:color w:val="231F20"/>
          <w:sz w:val="20"/>
        </w:rPr>
        <w:t>(also called </w:t>
      </w:r>
      <w:r>
        <w:rPr>
          <w:i/>
          <w:color w:val="231F20"/>
          <w:sz w:val="20"/>
        </w:rPr>
        <w:t>radial </w:t>
      </w:r>
      <w:r>
        <w:rPr>
          <w:i/>
          <w:color w:val="231F20"/>
          <w:sz w:val="20"/>
        </w:rPr>
        <w:t>arteries</w:t>
      </w:r>
      <w:r>
        <w:rPr>
          <w:color w:val="231F20"/>
          <w:sz w:val="20"/>
        </w:rPr>
        <w:t>), and </w:t>
      </w:r>
      <w:r>
        <w:rPr>
          <w:i/>
          <w:color w:val="231F20"/>
          <w:sz w:val="20"/>
        </w:rPr>
        <w:t>afferent arterioles, </w:t>
      </w:r>
      <w:r>
        <w:rPr>
          <w:color w:val="231F20"/>
          <w:sz w:val="20"/>
        </w:rPr>
        <w:t>which lead to the </w:t>
      </w:r>
      <w:r>
        <w:rPr>
          <w:i/>
          <w:color w:val="231F20"/>
          <w:sz w:val="20"/>
        </w:rPr>
        <w:t>glo- </w:t>
      </w:r>
      <w:r>
        <w:rPr>
          <w:i/>
          <w:color w:val="231F20"/>
          <w:sz w:val="20"/>
        </w:rPr>
        <w:t>merular capillaries, </w:t>
      </w:r>
      <w:r>
        <w:rPr>
          <w:color w:val="231F20"/>
          <w:sz w:val="20"/>
        </w:rPr>
        <w:t>where large amounts of fluid and solutes (except the plasma proteins) are filtered to begin urine formation (</w:t>
      </w:r>
      <w:hyperlink w:history="true" w:anchor="_bookmark15">
        <w:r>
          <w:rPr>
            <w:b/>
            <w:color w:val="0080AC"/>
            <w:sz w:val="20"/>
          </w:rPr>
          <w:t>Figure 26-3</w:t>
        </w:r>
      </w:hyperlink>
      <w:r>
        <w:rPr>
          <w:color w:val="231F20"/>
          <w:sz w:val="20"/>
        </w:rPr>
        <w:t>). The distal ends of the capillaries of each glomerulus coalesce to form the </w:t>
      </w:r>
      <w:r>
        <w:rPr>
          <w:i/>
          <w:color w:val="231F20"/>
          <w:sz w:val="20"/>
        </w:rPr>
        <w:t>effer- </w:t>
      </w:r>
      <w:r>
        <w:rPr>
          <w:i/>
          <w:color w:val="231F20"/>
          <w:sz w:val="20"/>
        </w:rPr>
        <w:t>ent arteriole, </w:t>
      </w:r>
      <w:r>
        <w:rPr>
          <w:color w:val="231F20"/>
          <w:sz w:val="20"/>
        </w:rPr>
        <w:t>which leads to a second capillary network, the </w:t>
      </w:r>
      <w:r>
        <w:rPr>
          <w:i/>
          <w:color w:val="231F20"/>
          <w:sz w:val="20"/>
        </w:rPr>
        <w:t>peritubular capillaries, </w:t>
      </w:r>
      <w:r>
        <w:rPr>
          <w:color w:val="231F20"/>
          <w:sz w:val="20"/>
        </w:rPr>
        <w:t>that surrounds the renal tubules.</w:t>
      </w:r>
    </w:p>
    <w:p>
      <w:pPr>
        <w:pStyle w:val="BodyText"/>
        <w:spacing w:line="249" w:lineRule="auto" w:before="11"/>
        <w:ind w:left="1440" w:firstLine="240"/>
        <w:jc w:val="both"/>
      </w:pPr>
      <w:r>
        <w:rPr>
          <w:color w:val="231F20"/>
          <w:w w:val="105"/>
        </w:rPr>
        <w:t>The</w:t>
      </w:r>
      <w:r>
        <w:rPr>
          <w:color w:val="231F20"/>
          <w:spacing w:val="-17"/>
          <w:w w:val="105"/>
        </w:rPr>
        <w:t> </w:t>
      </w:r>
      <w:r>
        <w:rPr>
          <w:color w:val="231F20"/>
          <w:w w:val="105"/>
        </w:rPr>
        <w:t>renal</w:t>
      </w:r>
      <w:r>
        <w:rPr>
          <w:color w:val="231F20"/>
          <w:spacing w:val="-17"/>
          <w:w w:val="105"/>
        </w:rPr>
        <w:t> </w:t>
      </w:r>
      <w:r>
        <w:rPr>
          <w:color w:val="231F20"/>
          <w:w w:val="105"/>
        </w:rPr>
        <w:t>circulation</w:t>
      </w:r>
      <w:r>
        <w:rPr>
          <w:color w:val="231F20"/>
          <w:spacing w:val="-16"/>
          <w:w w:val="105"/>
        </w:rPr>
        <w:t> </w:t>
      </w:r>
      <w:r>
        <w:rPr>
          <w:color w:val="231F20"/>
          <w:w w:val="105"/>
        </w:rPr>
        <w:t>is</w:t>
      </w:r>
      <w:r>
        <w:rPr>
          <w:color w:val="231F20"/>
          <w:spacing w:val="-17"/>
          <w:w w:val="105"/>
        </w:rPr>
        <w:t> </w:t>
      </w:r>
      <w:r>
        <w:rPr>
          <w:color w:val="231F20"/>
          <w:w w:val="105"/>
        </w:rPr>
        <w:t>unique</w:t>
      </w:r>
      <w:r>
        <w:rPr>
          <w:color w:val="231F20"/>
          <w:spacing w:val="-17"/>
          <w:w w:val="105"/>
        </w:rPr>
        <w:t> </w:t>
      </w:r>
      <w:r>
        <w:rPr>
          <w:color w:val="231F20"/>
          <w:w w:val="105"/>
        </w:rPr>
        <w:t>in</w:t>
      </w:r>
      <w:r>
        <w:rPr>
          <w:color w:val="231F20"/>
          <w:spacing w:val="-16"/>
          <w:w w:val="105"/>
        </w:rPr>
        <w:t> </w:t>
      </w:r>
      <w:r>
        <w:rPr>
          <w:color w:val="231F20"/>
          <w:w w:val="105"/>
        </w:rPr>
        <w:t>having</w:t>
      </w:r>
      <w:r>
        <w:rPr>
          <w:color w:val="231F20"/>
          <w:spacing w:val="-17"/>
          <w:w w:val="105"/>
        </w:rPr>
        <w:t> </w:t>
      </w:r>
      <w:r>
        <w:rPr>
          <w:color w:val="231F20"/>
          <w:w w:val="105"/>
        </w:rPr>
        <w:t>two</w:t>
      </w:r>
      <w:r>
        <w:rPr>
          <w:color w:val="231F20"/>
          <w:spacing w:val="-17"/>
          <w:w w:val="105"/>
        </w:rPr>
        <w:t> </w:t>
      </w:r>
      <w:r>
        <w:rPr>
          <w:color w:val="231F20"/>
          <w:w w:val="105"/>
        </w:rPr>
        <w:t>capillary beds, the glomerular and peritubular capillaries, </w:t>
      </w:r>
      <w:r>
        <w:rPr>
          <w:color w:val="231F20"/>
          <w:spacing w:val="-4"/>
          <w:w w:val="105"/>
        </w:rPr>
        <w:t>which </w:t>
      </w:r>
      <w:r>
        <w:rPr>
          <w:color w:val="231F20"/>
          <w:w w:val="105"/>
        </w:rPr>
        <w:t>are arranged in series and separated by the</w:t>
      </w:r>
      <w:r>
        <w:rPr>
          <w:color w:val="231F20"/>
          <w:spacing w:val="33"/>
          <w:w w:val="105"/>
        </w:rPr>
        <w:t> </w:t>
      </w:r>
      <w:r>
        <w:rPr>
          <w:color w:val="231F20"/>
          <w:w w:val="105"/>
        </w:rPr>
        <w:t>efferent arterioles. These arterioles help regulate the hydrostatic pressure</w:t>
      </w:r>
      <w:r>
        <w:rPr>
          <w:color w:val="231F20"/>
          <w:spacing w:val="-21"/>
          <w:w w:val="105"/>
        </w:rPr>
        <w:t> </w:t>
      </w:r>
      <w:r>
        <w:rPr>
          <w:color w:val="231F20"/>
          <w:w w:val="105"/>
        </w:rPr>
        <w:t>in</w:t>
      </w:r>
      <w:r>
        <w:rPr>
          <w:color w:val="231F20"/>
          <w:spacing w:val="-20"/>
          <w:w w:val="105"/>
        </w:rPr>
        <w:t> </w:t>
      </w:r>
      <w:r>
        <w:rPr>
          <w:color w:val="231F20"/>
          <w:w w:val="105"/>
        </w:rPr>
        <w:t>both</w:t>
      </w:r>
      <w:r>
        <w:rPr>
          <w:color w:val="231F20"/>
          <w:spacing w:val="-20"/>
          <w:w w:val="105"/>
        </w:rPr>
        <w:t> </w:t>
      </w:r>
      <w:r>
        <w:rPr>
          <w:color w:val="231F20"/>
          <w:w w:val="105"/>
        </w:rPr>
        <w:t>sets</w:t>
      </w:r>
      <w:r>
        <w:rPr>
          <w:color w:val="231F20"/>
          <w:spacing w:val="-21"/>
          <w:w w:val="105"/>
        </w:rPr>
        <w:t> </w:t>
      </w:r>
      <w:r>
        <w:rPr>
          <w:color w:val="231F20"/>
          <w:w w:val="105"/>
        </w:rPr>
        <w:t>of</w:t>
      </w:r>
      <w:r>
        <w:rPr>
          <w:color w:val="231F20"/>
          <w:spacing w:val="-20"/>
          <w:w w:val="105"/>
        </w:rPr>
        <w:t> </w:t>
      </w:r>
      <w:r>
        <w:rPr>
          <w:color w:val="231F20"/>
          <w:w w:val="105"/>
        </w:rPr>
        <w:t>capillaries.</w:t>
      </w:r>
      <w:r>
        <w:rPr>
          <w:color w:val="231F20"/>
          <w:spacing w:val="-20"/>
          <w:w w:val="105"/>
        </w:rPr>
        <w:t> </w:t>
      </w:r>
      <w:r>
        <w:rPr>
          <w:color w:val="231F20"/>
          <w:w w:val="105"/>
        </w:rPr>
        <w:t>High</w:t>
      </w:r>
      <w:r>
        <w:rPr>
          <w:color w:val="231F20"/>
          <w:spacing w:val="-21"/>
          <w:w w:val="105"/>
        </w:rPr>
        <w:t> </w:t>
      </w:r>
      <w:r>
        <w:rPr>
          <w:color w:val="231F20"/>
          <w:w w:val="105"/>
        </w:rPr>
        <w:t>hydrostatic</w:t>
      </w:r>
      <w:r>
        <w:rPr>
          <w:color w:val="231F20"/>
          <w:spacing w:val="-20"/>
          <w:w w:val="105"/>
        </w:rPr>
        <w:t> </w:t>
      </w:r>
      <w:r>
        <w:rPr>
          <w:color w:val="231F20"/>
          <w:w w:val="105"/>
        </w:rPr>
        <w:t>pres- sure in the glomerular capillaries (about 60 mm </w:t>
      </w:r>
      <w:r>
        <w:rPr>
          <w:color w:val="231F20"/>
          <w:spacing w:val="-4"/>
          <w:w w:val="105"/>
        </w:rPr>
        <w:t>Hg) </w:t>
      </w:r>
      <w:r>
        <w:rPr>
          <w:color w:val="231F20"/>
          <w:w w:val="105"/>
        </w:rPr>
        <w:t>causes rapid fluid filtration, whereas a much </w:t>
      </w:r>
      <w:r>
        <w:rPr>
          <w:color w:val="231F20"/>
          <w:spacing w:val="-3"/>
          <w:w w:val="105"/>
        </w:rPr>
        <w:t>lower </w:t>
      </w:r>
      <w:r>
        <w:rPr>
          <w:color w:val="231F20"/>
          <w:w w:val="105"/>
        </w:rPr>
        <w:t>hydrostatic pressure in the peritubular capillaries</w:t>
      </w:r>
      <w:r>
        <w:rPr>
          <w:color w:val="231F20"/>
          <w:spacing w:val="-24"/>
          <w:w w:val="105"/>
        </w:rPr>
        <w:t> </w:t>
      </w:r>
      <w:r>
        <w:rPr>
          <w:color w:val="231F20"/>
          <w:w w:val="105"/>
        </w:rPr>
        <w:t>(about 13 mm Hg) permits rapid fluid reabsorption. By </w:t>
      </w:r>
      <w:r>
        <w:rPr>
          <w:color w:val="231F20"/>
          <w:spacing w:val="-5"/>
          <w:w w:val="105"/>
        </w:rPr>
        <w:t>adjust- </w:t>
      </w:r>
      <w:r>
        <w:rPr>
          <w:color w:val="231F20"/>
          <w:w w:val="105"/>
        </w:rPr>
        <w:t>ing the resistance of the afferent and efferent arterioles, the</w:t>
      </w:r>
      <w:r>
        <w:rPr>
          <w:color w:val="231F20"/>
          <w:spacing w:val="-7"/>
          <w:w w:val="105"/>
        </w:rPr>
        <w:t> </w:t>
      </w:r>
      <w:r>
        <w:rPr>
          <w:color w:val="231F20"/>
          <w:w w:val="105"/>
        </w:rPr>
        <w:t>kidneys</w:t>
      </w:r>
      <w:r>
        <w:rPr>
          <w:color w:val="231F20"/>
          <w:spacing w:val="-6"/>
          <w:w w:val="105"/>
        </w:rPr>
        <w:t> </w:t>
      </w:r>
      <w:r>
        <w:rPr>
          <w:color w:val="231F20"/>
          <w:w w:val="105"/>
        </w:rPr>
        <w:t>can</w:t>
      </w:r>
      <w:r>
        <w:rPr>
          <w:color w:val="231F20"/>
          <w:spacing w:val="-6"/>
          <w:w w:val="105"/>
        </w:rPr>
        <w:t> </w:t>
      </w:r>
      <w:r>
        <w:rPr>
          <w:color w:val="231F20"/>
          <w:w w:val="105"/>
        </w:rPr>
        <w:t>regulate</w:t>
      </w:r>
      <w:r>
        <w:rPr>
          <w:color w:val="231F20"/>
          <w:spacing w:val="-6"/>
          <w:w w:val="105"/>
        </w:rPr>
        <w:t> </w:t>
      </w:r>
      <w:r>
        <w:rPr>
          <w:color w:val="231F20"/>
          <w:w w:val="105"/>
        </w:rPr>
        <w:t>the</w:t>
      </w:r>
      <w:r>
        <w:rPr>
          <w:color w:val="231F20"/>
          <w:spacing w:val="-6"/>
          <w:w w:val="105"/>
        </w:rPr>
        <w:t> </w:t>
      </w:r>
      <w:r>
        <w:rPr>
          <w:color w:val="231F20"/>
          <w:w w:val="105"/>
        </w:rPr>
        <w:t>hydrostatic</w:t>
      </w:r>
      <w:r>
        <w:rPr>
          <w:color w:val="231F20"/>
          <w:spacing w:val="-6"/>
          <w:w w:val="105"/>
        </w:rPr>
        <w:t> </w:t>
      </w:r>
      <w:r>
        <w:rPr>
          <w:color w:val="231F20"/>
          <w:w w:val="105"/>
        </w:rPr>
        <w:t>pressure</w:t>
      </w:r>
      <w:r>
        <w:rPr>
          <w:color w:val="231F20"/>
          <w:spacing w:val="-6"/>
          <w:w w:val="105"/>
        </w:rPr>
        <w:t> </w:t>
      </w:r>
      <w:r>
        <w:rPr>
          <w:color w:val="231F20"/>
          <w:w w:val="105"/>
        </w:rPr>
        <w:t>in</w:t>
      </w:r>
      <w:r>
        <w:rPr>
          <w:color w:val="231F20"/>
          <w:spacing w:val="-6"/>
          <w:w w:val="105"/>
        </w:rPr>
        <w:t> </w:t>
      </w:r>
      <w:r>
        <w:rPr>
          <w:color w:val="231F20"/>
          <w:spacing w:val="-3"/>
          <w:w w:val="105"/>
        </w:rPr>
        <w:t>both </w:t>
      </w:r>
      <w:r>
        <w:rPr>
          <w:color w:val="231F20"/>
          <w:w w:val="105"/>
        </w:rPr>
        <w:t>the glomerular and the peritubular capillaries, </w:t>
      </w:r>
      <w:r>
        <w:rPr>
          <w:color w:val="231F20"/>
          <w:spacing w:val="-3"/>
          <w:w w:val="105"/>
        </w:rPr>
        <w:t>thereby </w:t>
      </w:r>
      <w:r>
        <w:rPr>
          <w:color w:val="231F20"/>
          <w:w w:val="105"/>
        </w:rPr>
        <w:t>changing the rate of glomerular filtration, tubular </w:t>
      </w:r>
      <w:r>
        <w:rPr>
          <w:color w:val="231F20"/>
          <w:spacing w:val="-4"/>
          <w:w w:val="105"/>
        </w:rPr>
        <w:t>reab- </w:t>
      </w:r>
      <w:r>
        <w:rPr>
          <w:color w:val="231F20"/>
          <w:w w:val="105"/>
        </w:rPr>
        <w:t>sorption, or both in response to body homeostatic demands.</w:t>
      </w:r>
    </w:p>
    <w:p>
      <w:pPr>
        <w:spacing w:line="249" w:lineRule="auto" w:before="12"/>
        <w:ind w:left="1440" w:right="0" w:firstLine="240"/>
        <w:jc w:val="both"/>
        <w:rPr>
          <w:sz w:val="20"/>
        </w:rPr>
      </w:pPr>
      <w:r>
        <w:rPr>
          <w:color w:val="231F20"/>
          <w:sz w:val="20"/>
        </w:rPr>
        <w:t>The peritubular capillaries empty into the vessels of </w:t>
      </w:r>
      <w:r>
        <w:rPr>
          <w:color w:val="231F20"/>
          <w:spacing w:val="-6"/>
          <w:sz w:val="20"/>
        </w:rPr>
        <w:t>the </w:t>
      </w:r>
      <w:r>
        <w:rPr>
          <w:color w:val="231F20"/>
          <w:sz w:val="20"/>
        </w:rPr>
        <w:t>venous system, which run parallel to the arteriolar vessels. The</w:t>
      </w:r>
      <w:r>
        <w:rPr>
          <w:color w:val="231F20"/>
          <w:spacing w:val="-7"/>
          <w:sz w:val="20"/>
        </w:rPr>
        <w:t> </w:t>
      </w:r>
      <w:r>
        <w:rPr>
          <w:color w:val="231F20"/>
          <w:sz w:val="20"/>
        </w:rPr>
        <w:t>blood</w:t>
      </w:r>
      <w:r>
        <w:rPr>
          <w:color w:val="231F20"/>
          <w:spacing w:val="-7"/>
          <w:sz w:val="20"/>
        </w:rPr>
        <w:t> </w:t>
      </w:r>
      <w:r>
        <w:rPr>
          <w:color w:val="231F20"/>
          <w:sz w:val="20"/>
        </w:rPr>
        <w:t>vessels</w:t>
      </w:r>
      <w:r>
        <w:rPr>
          <w:color w:val="231F20"/>
          <w:spacing w:val="-7"/>
          <w:sz w:val="20"/>
        </w:rPr>
        <w:t> </w:t>
      </w:r>
      <w:r>
        <w:rPr>
          <w:color w:val="231F20"/>
          <w:sz w:val="20"/>
        </w:rPr>
        <w:t>of</w:t>
      </w:r>
      <w:r>
        <w:rPr>
          <w:color w:val="231F20"/>
          <w:spacing w:val="-7"/>
          <w:sz w:val="20"/>
        </w:rPr>
        <w:t> </w:t>
      </w:r>
      <w:r>
        <w:rPr>
          <w:color w:val="231F20"/>
          <w:sz w:val="20"/>
        </w:rPr>
        <w:t>the</w:t>
      </w:r>
      <w:r>
        <w:rPr>
          <w:color w:val="231F20"/>
          <w:spacing w:val="-6"/>
          <w:sz w:val="20"/>
        </w:rPr>
        <w:t> </w:t>
      </w:r>
      <w:r>
        <w:rPr>
          <w:color w:val="231F20"/>
          <w:sz w:val="20"/>
        </w:rPr>
        <w:t>venous</w:t>
      </w:r>
      <w:r>
        <w:rPr>
          <w:color w:val="231F20"/>
          <w:spacing w:val="-7"/>
          <w:sz w:val="20"/>
        </w:rPr>
        <w:t> </w:t>
      </w:r>
      <w:r>
        <w:rPr>
          <w:color w:val="231F20"/>
          <w:sz w:val="20"/>
        </w:rPr>
        <w:t>system</w:t>
      </w:r>
      <w:r>
        <w:rPr>
          <w:color w:val="231F20"/>
          <w:spacing w:val="-7"/>
          <w:sz w:val="20"/>
        </w:rPr>
        <w:t> </w:t>
      </w:r>
      <w:r>
        <w:rPr>
          <w:color w:val="231F20"/>
          <w:sz w:val="20"/>
        </w:rPr>
        <w:t>progressively</w:t>
      </w:r>
      <w:r>
        <w:rPr>
          <w:color w:val="231F20"/>
          <w:spacing w:val="-7"/>
          <w:sz w:val="20"/>
        </w:rPr>
        <w:t> </w:t>
      </w:r>
      <w:r>
        <w:rPr>
          <w:color w:val="231F20"/>
          <w:spacing w:val="-5"/>
          <w:sz w:val="20"/>
        </w:rPr>
        <w:t>form </w:t>
      </w:r>
      <w:r>
        <w:rPr>
          <w:color w:val="231F20"/>
          <w:sz w:val="20"/>
        </w:rPr>
        <w:t>the </w:t>
      </w:r>
      <w:r>
        <w:rPr>
          <w:i/>
          <w:color w:val="231F20"/>
          <w:sz w:val="20"/>
        </w:rPr>
        <w:t>interlobular vein, arcuate vein, interlobar vein, </w:t>
      </w:r>
      <w:r>
        <w:rPr>
          <w:color w:val="231F20"/>
          <w:spacing w:val="-4"/>
          <w:sz w:val="20"/>
        </w:rPr>
        <w:t>and </w:t>
      </w:r>
      <w:r>
        <w:rPr>
          <w:i/>
          <w:color w:val="231F20"/>
          <w:sz w:val="20"/>
        </w:rPr>
        <w:t>renal vein, </w:t>
      </w:r>
      <w:r>
        <w:rPr>
          <w:color w:val="231F20"/>
          <w:sz w:val="20"/>
        </w:rPr>
        <w:t>which leaves the kidney beside the renal artery and</w:t>
      </w:r>
      <w:r>
        <w:rPr>
          <w:color w:val="231F20"/>
          <w:spacing w:val="6"/>
          <w:sz w:val="20"/>
        </w:rPr>
        <w:t> </w:t>
      </w:r>
      <w:r>
        <w:rPr>
          <w:color w:val="231F20"/>
          <w:spacing w:val="-3"/>
          <w:sz w:val="20"/>
        </w:rPr>
        <w:t>ureter.</w:t>
      </w:r>
    </w:p>
    <w:p>
      <w:pPr>
        <w:pStyle w:val="Heading2"/>
        <w:spacing w:line="225" w:lineRule="auto" w:before="112"/>
        <w:ind w:right="1490"/>
      </w:pPr>
      <w:r>
        <w:rPr>
          <w:b w:val="0"/>
        </w:rPr>
        <w:br w:type="column"/>
      </w:r>
      <w:r>
        <w:rPr>
          <w:color w:val="231F20"/>
        </w:rPr>
        <w:t>THE NEPHRON IS THE FUNCTIONAL UNIT OF THE KIDNEY</w:t>
      </w:r>
    </w:p>
    <w:p>
      <w:pPr>
        <w:pStyle w:val="BodyText"/>
        <w:spacing w:line="249" w:lineRule="auto" w:before="128"/>
        <w:ind w:left="319" w:right="1077"/>
        <w:jc w:val="both"/>
      </w:pPr>
      <w:r>
        <w:rPr>
          <w:color w:val="231F20"/>
        </w:rPr>
        <w:t>Each human kidney contains about 800,000 to 1,000,000 </w:t>
      </w:r>
      <w:r>
        <w:rPr>
          <w:i/>
          <w:color w:val="231F20"/>
        </w:rPr>
        <w:t>nephrons, </w:t>
      </w:r>
      <w:r>
        <w:rPr>
          <w:color w:val="231F20"/>
        </w:rPr>
        <w:t>each of which is capable of forming urine. The kidney cannot regenerate new nephrons. Therefore, </w:t>
      </w:r>
      <w:r>
        <w:rPr>
          <w:color w:val="231F20"/>
          <w:spacing w:val="-3"/>
        </w:rPr>
        <w:t>with </w:t>
      </w:r>
      <w:r>
        <w:rPr>
          <w:color w:val="231F20"/>
        </w:rPr>
        <w:t>renal injury, disease, or normal aging, the number of nephrons gradually decreases. After age 40 years, the number of functioning  nephrons  usually  decreases  about 10 percent every 10 years; thus, at age 80 years, many people have 40 percent fewer functioning </w:t>
      </w:r>
      <w:r>
        <w:rPr>
          <w:color w:val="231F20"/>
          <w:spacing w:val="-3"/>
        </w:rPr>
        <w:t>neph- </w:t>
      </w:r>
      <w:r>
        <w:rPr>
          <w:color w:val="231F20"/>
        </w:rPr>
        <w:t>rons than they did at age 40 years. This loss is not life threatening because adaptive changes in the remaining nephrons allow them to excrete the proper amounts of </w:t>
      </w:r>
      <w:r>
        <w:rPr>
          <w:color w:val="231F20"/>
          <w:spacing w:val="-3"/>
        </w:rPr>
        <w:t>water, </w:t>
      </w:r>
      <w:r>
        <w:rPr>
          <w:color w:val="231F20"/>
        </w:rPr>
        <w:t>electrolytes, and waste products, as discussed in Chapter</w:t>
      </w:r>
      <w:r>
        <w:rPr>
          <w:color w:val="231F20"/>
          <w:spacing w:val="6"/>
        </w:rPr>
        <w:t> </w:t>
      </w:r>
      <w:r>
        <w:rPr>
          <w:color w:val="231F20"/>
        </w:rPr>
        <w:t>32.</w:t>
      </w:r>
    </w:p>
    <w:p>
      <w:pPr>
        <w:pStyle w:val="BodyText"/>
        <w:spacing w:line="249" w:lineRule="auto" w:before="11"/>
        <w:ind w:left="319" w:right="1079" w:firstLine="240"/>
        <w:jc w:val="both"/>
      </w:pPr>
      <w:r>
        <w:rPr>
          <w:color w:val="231F20"/>
          <w:w w:val="105"/>
        </w:rPr>
        <w:t>Each nephron contains (1) a tuft of glomerular capil- laries</w:t>
      </w:r>
      <w:r>
        <w:rPr>
          <w:color w:val="231F20"/>
          <w:spacing w:val="-29"/>
          <w:w w:val="105"/>
        </w:rPr>
        <w:t> </w:t>
      </w:r>
      <w:r>
        <w:rPr>
          <w:color w:val="231F20"/>
          <w:w w:val="105"/>
        </w:rPr>
        <w:t>called</w:t>
      </w:r>
      <w:r>
        <w:rPr>
          <w:color w:val="231F20"/>
          <w:spacing w:val="-29"/>
          <w:w w:val="105"/>
        </w:rPr>
        <w:t> </w:t>
      </w:r>
      <w:r>
        <w:rPr>
          <w:color w:val="231F20"/>
          <w:w w:val="105"/>
        </w:rPr>
        <w:t>the</w:t>
      </w:r>
      <w:r>
        <w:rPr>
          <w:color w:val="231F20"/>
          <w:spacing w:val="-29"/>
          <w:w w:val="105"/>
        </w:rPr>
        <w:t> </w:t>
      </w:r>
      <w:r>
        <w:rPr>
          <w:i/>
          <w:color w:val="231F20"/>
          <w:w w:val="105"/>
        </w:rPr>
        <w:t>glomerulus,</w:t>
      </w:r>
      <w:r>
        <w:rPr>
          <w:i/>
          <w:color w:val="231F20"/>
          <w:spacing w:val="-29"/>
          <w:w w:val="105"/>
        </w:rPr>
        <w:t> </w:t>
      </w:r>
      <w:r>
        <w:rPr>
          <w:color w:val="231F20"/>
          <w:w w:val="105"/>
        </w:rPr>
        <w:t>through</w:t>
      </w:r>
      <w:r>
        <w:rPr>
          <w:color w:val="231F20"/>
          <w:spacing w:val="-28"/>
          <w:w w:val="105"/>
        </w:rPr>
        <w:t> </w:t>
      </w:r>
      <w:r>
        <w:rPr>
          <w:color w:val="231F20"/>
          <w:w w:val="105"/>
        </w:rPr>
        <w:t>which</w:t>
      </w:r>
      <w:r>
        <w:rPr>
          <w:color w:val="231F20"/>
          <w:spacing w:val="-29"/>
          <w:w w:val="105"/>
        </w:rPr>
        <w:t> </w:t>
      </w:r>
      <w:r>
        <w:rPr>
          <w:color w:val="231F20"/>
          <w:w w:val="105"/>
        </w:rPr>
        <w:t>large</w:t>
      </w:r>
      <w:r>
        <w:rPr>
          <w:color w:val="231F20"/>
          <w:spacing w:val="-29"/>
          <w:w w:val="105"/>
        </w:rPr>
        <w:t> </w:t>
      </w:r>
      <w:r>
        <w:rPr>
          <w:color w:val="231F20"/>
          <w:w w:val="105"/>
        </w:rPr>
        <w:t>amounts of</w:t>
      </w:r>
      <w:r>
        <w:rPr>
          <w:color w:val="231F20"/>
          <w:spacing w:val="-8"/>
          <w:w w:val="105"/>
        </w:rPr>
        <w:t> </w:t>
      </w:r>
      <w:r>
        <w:rPr>
          <w:color w:val="231F20"/>
          <w:w w:val="105"/>
        </w:rPr>
        <w:t>fluid</w:t>
      </w:r>
      <w:r>
        <w:rPr>
          <w:color w:val="231F20"/>
          <w:spacing w:val="-7"/>
          <w:w w:val="105"/>
        </w:rPr>
        <w:t> </w:t>
      </w:r>
      <w:r>
        <w:rPr>
          <w:color w:val="231F20"/>
          <w:w w:val="105"/>
        </w:rPr>
        <w:t>are</w:t>
      </w:r>
      <w:r>
        <w:rPr>
          <w:color w:val="231F20"/>
          <w:spacing w:val="-7"/>
          <w:w w:val="105"/>
        </w:rPr>
        <w:t> </w:t>
      </w:r>
      <w:r>
        <w:rPr>
          <w:color w:val="231F20"/>
          <w:w w:val="105"/>
        </w:rPr>
        <w:t>filtered</w:t>
      </w:r>
      <w:r>
        <w:rPr>
          <w:color w:val="231F20"/>
          <w:spacing w:val="-7"/>
          <w:w w:val="105"/>
        </w:rPr>
        <w:t> </w:t>
      </w:r>
      <w:r>
        <w:rPr>
          <w:color w:val="231F20"/>
          <w:w w:val="105"/>
        </w:rPr>
        <w:t>from</w:t>
      </w:r>
      <w:r>
        <w:rPr>
          <w:color w:val="231F20"/>
          <w:spacing w:val="-7"/>
          <w:w w:val="105"/>
        </w:rPr>
        <w:t> </w:t>
      </w:r>
      <w:r>
        <w:rPr>
          <w:color w:val="231F20"/>
          <w:w w:val="105"/>
        </w:rPr>
        <w:t>the</w:t>
      </w:r>
      <w:r>
        <w:rPr>
          <w:color w:val="231F20"/>
          <w:spacing w:val="-7"/>
          <w:w w:val="105"/>
        </w:rPr>
        <w:t> </w:t>
      </w:r>
      <w:r>
        <w:rPr>
          <w:color w:val="231F20"/>
          <w:w w:val="105"/>
        </w:rPr>
        <w:t>blood,</w:t>
      </w:r>
      <w:r>
        <w:rPr>
          <w:color w:val="231F20"/>
          <w:spacing w:val="-7"/>
          <w:w w:val="105"/>
        </w:rPr>
        <w:t> </w:t>
      </w:r>
      <w:r>
        <w:rPr>
          <w:color w:val="231F20"/>
          <w:w w:val="105"/>
        </w:rPr>
        <w:t>and</w:t>
      </w:r>
      <w:r>
        <w:rPr>
          <w:color w:val="231F20"/>
          <w:spacing w:val="-7"/>
          <w:w w:val="105"/>
        </w:rPr>
        <w:t> </w:t>
      </w:r>
      <w:r>
        <w:rPr>
          <w:color w:val="231F20"/>
          <w:w w:val="105"/>
        </w:rPr>
        <w:t>(2)</w:t>
      </w:r>
      <w:r>
        <w:rPr>
          <w:color w:val="231F20"/>
          <w:spacing w:val="-7"/>
          <w:w w:val="105"/>
        </w:rPr>
        <w:t> </w:t>
      </w:r>
      <w:r>
        <w:rPr>
          <w:color w:val="231F20"/>
          <w:w w:val="105"/>
        </w:rPr>
        <w:t>a</w:t>
      </w:r>
      <w:r>
        <w:rPr>
          <w:color w:val="231F20"/>
          <w:spacing w:val="-7"/>
          <w:w w:val="105"/>
        </w:rPr>
        <w:t> </w:t>
      </w:r>
      <w:r>
        <w:rPr>
          <w:color w:val="231F20"/>
          <w:w w:val="105"/>
        </w:rPr>
        <w:t>long</w:t>
      </w:r>
      <w:r>
        <w:rPr>
          <w:color w:val="231F20"/>
          <w:spacing w:val="-7"/>
          <w:w w:val="105"/>
        </w:rPr>
        <w:t> </w:t>
      </w:r>
      <w:r>
        <w:rPr>
          <w:i/>
          <w:color w:val="231F20"/>
          <w:w w:val="105"/>
        </w:rPr>
        <w:t>tubule </w:t>
      </w:r>
      <w:r>
        <w:rPr>
          <w:color w:val="231F20"/>
          <w:w w:val="105"/>
        </w:rPr>
        <w:t>in which the filtered fluid is converted into urine on its way to the pelvis of the kidney (see </w:t>
      </w:r>
      <w:hyperlink w:history="true" w:anchor="_bookmark15">
        <w:r>
          <w:rPr>
            <w:b/>
            <w:color w:val="0080AC"/>
            <w:w w:val="105"/>
          </w:rPr>
          <w:t>Figure</w:t>
        </w:r>
        <w:r>
          <w:rPr>
            <w:b/>
            <w:color w:val="0080AC"/>
            <w:spacing w:val="-28"/>
            <w:w w:val="105"/>
          </w:rPr>
          <w:t> </w:t>
        </w:r>
        <w:r>
          <w:rPr>
            <w:b/>
            <w:color w:val="0080AC"/>
            <w:w w:val="105"/>
          </w:rPr>
          <w:t>26-3</w:t>
        </w:r>
      </w:hyperlink>
      <w:r>
        <w:rPr>
          <w:color w:val="231F20"/>
          <w:w w:val="105"/>
        </w:rPr>
        <w:t>).</w:t>
      </w:r>
    </w:p>
    <w:p>
      <w:pPr>
        <w:pStyle w:val="BodyText"/>
        <w:spacing w:line="249" w:lineRule="auto" w:before="4"/>
        <w:ind w:left="319" w:right="1077" w:firstLine="240"/>
        <w:jc w:val="both"/>
        <w:rPr>
          <w:i/>
        </w:rPr>
      </w:pPr>
      <w:r>
        <w:rPr>
          <w:color w:val="231F20"/>
          <w:w w:val="105"/>
        </w:rPr>
        <w:t>The glomerulus contains a network of branching </w:t>
      </w:r>
      <w:r>
        <w:rPr>
          <w:color w:val="231F20"/>
          <w:spacing w:val="-5"/>
          <w:w w:val="105"/>
        </w:rPr>
        <w:t>and </w:t>
      </w:r>
      <w:r>
        <w:rPr>
          <w:color w:val="231F20"/>
          <w:w w:val="105"/>
        </w:rPr>
        <w:t>anastomosing</w:t>
      </w:r>
      <w:r>
        <w:rPr>
          <w:color w:val="231F20"/>
          <w:spacing w:val="-18"/>
          <w:w w:val="105"/>
        </w:rPr>
        <w:t> </w:t>
      </w:r>
      <w:r>
        <w:rPr>
          <w:color w:val="231F20"/>
          <w:w w:val="105"/>
        </w:rPr>
        <w:t>glomerular</w:t>
      </w:r>
      <w:r>
        <w:rPr>
          <w:color w:val="231F20"/>
          <w:spacing w:val="-18"/>
          <w:w w:val="105"/>
        </w:rPr>
        <w:t> </w:t>
      </w:r>
      <w:r>
        <w:rPr>
          <w:color w:val="231F20"/>
          <w:w w:val="105"/>
        </w:rPr>
        <w:t>capillaries</w:t>
      </w:r>
      <w:r>
        <w:rPr>
          <w:color w:val="231F20"/>
          <w:spacing w:val="-17"/>
          <w:w w:val="105"/>
        </w:rPr>
        <w:t> </w:t>
      </w:r>
      <w:r>
        <w:rPr>
          <w:color w:val="231F20"/>
          <w:w w:val="105"/>
        </w:rPr>
        <w:t>that,</w:t>
      </w:r>
      <w:r>
        <w:rPr>
          <w:color w:val="231F20"/>
          <w:spacing w:val="-18"/>
          <w:w w:val="105"/>
        </w:rPr>
        <w:t> </w:t>
      </w:r>
      <w:r>
        <w:rPr>
          <w:color w:val="231F20"/>
          <w:w w:val="105"/>
        </w:rPr>
        <w:t>compared</w:t>
      </w:r>
      <w:r>
        <w:rPr>
          <w:color w:val="231F20"/>
          <w:spacing w:val="-18"/>
          <w:w w:val="105"/>
        </w:rPr>
        <w:t> </w:t>
      </w:r>
      <w:r>
        <w:rPr>
          <w:color w:val="231F20"/>
          <w:spacing w:val="-3"/>
          <w:w w:val="105"/>
        </w:rPr>
        <w:t>with </w:t>
      </w:r>
      <w:r>
        <w:rPr>
          <w:color w:val="231F20"/>
          <w:w w:val="105"/>
        </w:rPr>
        <w:t>other capillaries, have high hydrostatic pressure (about 60 mm Hg). The glomerular capillaries are covered </w:t>
      </w:r>
      <w:r>
        <w:rPr>
          <w:color w:val="231F20"/>
          <w:spacing w:val="-6"/>
          <w:w w:val="105"/>
        </w:rPr>
        <w:t>by </w:t>
      </w:r>
      <w:r>
        <w:rPr>
          <w:color w:val="231F20"/>
          <w:w w:val="105"/>
        </w:rPr>
        <w:t>epithelial cells, and the total glomerulus is encased in </w:t>
      </w:r>
      <w:r>
        <w:rPr>
          <w:i/>
          <w:color w:val="231F20"/>
          <w:w w:val="105"/>
        </w:rPr>
        <w:t>Bowman’s</w:t>
      </w:r>
      <w:r>
        <w:rPr>
          <w:i/>
          <w:color w:val="231F20"/>
          <w:spacing w:val="1"/>
          <w:w w:val="105"/>
        </w:rPr>
        <w:t> </w:t>
      </w:r>
      <w:r>
        <w:rPr>
          <w:i/>
          <w:color w:val="231F20"/>
          <w:w w:val="105"/>
        </w:rPr>
        <w:t>capsule.</w:t>
      </w:r>
    </w:p>
    <w:p>
      <w:pPr>
        <w:spacing w:line="249" w:lineRule="auto" w:before="5"/>
        <w:ind w:left="319" w:right="1077" w:firstLine="240"/>
        <w:jc w:val="both"/>
        <w:rPr>
          <w:sz w:val="20"/>
        </w:rPr>
      </w:pPr>
      <w:r>
        <w:rPr>
          <w:color w:val="231F20"/>
          <w:w w:val="105"/>
          <w:sz w:val="20"/>
        </w:rPr>
        <w:t>Fluid</w:t>
      </w:r>
      <w:r>
        <w:rPr>
          <w:color w:val="231F20"/>
          <w:spacing w:val="-32"/>
          <w:w w:val="105"/>
          <w:sz w:val="20"/>
        </w:rPr>
        <w:t> </w:t>
      </w:r>
      <w:r>
        <w:rPr>
          <w:color w:val="231F20"/>
          <w:w w:val="105"/>
          <w:sz w:val="20"/>
        </w:rPr>
        <w:t>filtered</w:t>
      </w:r>
      <w:r>
        <w:rPr>
          <w:color w:val="231F20"/>
          <w:spacing w:val="-32"/>
          <w:w w:val="105"/>
          <w:sz w:val="20"/>
        </w:rPr>
        <w:t> </w:t>
      </w:r>
      <w:r>
        <w:rPr>
          <w:color w:val="231F20"/>
          <w:w w:val="105"/>
          <w:sz w:val="20"/>
        </w:rPr>
        <w:t>from</w:t>
      </w:r>
      <w:r>
        <w:rPr>
          <w:color w:val="231F20"/>
          <w:spacing w:val="-32"/>
          <w:w w:val="105"/>
          <w:sz w:val="20"/>
        </w:rPr>
        <w:t> </w:t>
      </w:r>
      <w:r>
        <w:rPr>
          <w:color w:val="231F20"/>
          <w:w w:val="105"/>
          <w:sz w:val="20"/>
        </w:rPr>
        <w:t>the</w:t>
      </w:r>
      <w:r>
        <w:rPr>
          <w:color w:val="231F20"/>
          <w:spacing w:val="-32"/>
          <w:w w:val="105"/>
          <w:sz w:val="20"/>
        </w:rPr>
        <w:t> </w:t>
      </w:r>
      <w:r>
        <w:rPr>
          <w:color w:val="231F20"/>
          <w:w w:val="105"/>
          <w:sz w:val="20"/>
        </w:rPr>
        <w:t>glomerular</w:t>
      </w:r>
      <w:r>
        <w:rPr>
          <w:color w:val="231F20"/>
          <w:spacing w:val="-31"/>
          <w:w w:val="105"/>
          <w:sz w:val="20"/>
        </w:rPr>
        <w:t> </w:t>
      </w:r>
      <w:r>
        <w:rPr>
          <w:color w:val="231F20"/>
          <w:w w:val="105"/>
          <w:sz w:val="20"/>
        </w:rPr>
        <w:t>capillaries</w:t>
      </w:r>
      <w:r>
        <w:rPr>
          <w:color w:val="231F20"/>
          <w:spacing w:val="-32"/>
          <w:w w:val="105"/>
          <w:sz w:val="20"/>
        </w:rPr>
        <w:t> </w:t>
      </w:r>
      <w:r>
        <w:rPr>
          <w:color w:val="231F20"/>
          <w:w w:val="105"/>
          <w:sz w:val="20"/>
        </w:rPr>
        <w:t>flows</w:t>
      </w:r>
      <w:r>
        <w:rPr>
          <w:color w:val="231F20"/>
          <w:spacing w:val="-32"/>
          <w:w w:val="105"/>
          <w:sz w:val="20"/>
        </w:rPr>
        <w:t> </w:t>
      </w:r>
      <w:r>
        <w:rPr>
          <w:color w:val="231F20"/>
          <w:w w:val="105"/>
          <w:sz w:val="20"/>
        </w:rPr>
        <w:t>into Bowman’s capsule and then into the </w:t>
      </w:r>
      <w:r>
        <w:rPr>
          <w:i/>
          <w:color w:val="231F20"/>
          <w:w w:val="105"/>
          <w:sz w:val="20"/>
        </w:rPr>
        <w:t>proximal tubule, </w:t>
      </w:r>
      <w:r>
        <w:rPr>
          <w:color w:val="231F20"/>
          <w:w w:val="105"/>
          <w:sz w:val="20"/>
        </w:rPr>
        <w:t>which</w:t>
      </w:r>
      <w:r>
        <w:rPr>
          <w:color w:val="231F20"/>
          <w:spacing w:val="-24"/>
          <w:w w:val="105"/>
          <w:sz w:val="20"/>
        </w:rPr>
        <w:t> </w:t>
      </w:r>
      <w:r>
        <w:rPr>
          <w:color w:val="231F20"/>
          <w:w w:val="105"/>
          <w:sz w:val="20"/>
        </w:rPr>
        <w:t>lies</w:t>
      </w:r>
      <w:r>
        <w:rPr>
          <w:color w:val="231F20"/>
          <w:spacing w:val="-23"/>
          <w:w w:val="105"/>
          <w:sz w:val="20"/>
        </w:rPr>
        <w:t> </w:t>
      </w:r>
      <w:r>
        <w:rPr>
          <w:color w:val="231F20"/>
          <w:w w:val="105"/>
          <w:sz w:val="20"/>
        </w:rPr>
        <w:t>in</w:t>
      </w:r>
      <w:r>
        <w:rPr>
          <w:color w:val="231F20"/>
          <w:spacing w:val="-23"/>
          <w:w w:val="105"/>
          <w:sz w:val="20"/>
        </w:rPr>
        <w:t> </w:t>
      </w:r>
      <w:r>
        <w:rPr>
          <w:color w:val="231F20"/>
          <w:w w:val="105"/>
          <w:sz w:val="20"/>
        </w:rPr>
        <w:t>the</w:t>
      </w:r>
      <w:r>
        <w:rPr>
          <w:color w:val="231F20"/>
          <w:spacing w:val="-23"/>
          <w:w w:val="105"/>
          <w:sz w:val="20"/>
        </w:rPr>
        <w:t> </w:t>
      </w:r>
      <w:r>
        <w:rPr>
          <w:color w:val="231F20"/>
          <w:w w:val="105"/>
          <w:sz w:val="20"/>
        </w:rPr>
        <w:t>cortex</w:t>
      </w:r>
      <w:r>
        <w:rPr>
          <w:color w:val="231F20"/>
          <w:spacing w:val="-23"/>
          <w:w w:val="105"/>
          <w:sz w:val="20"/>
        </w:rPr>
        <w:t> </w:t>
      </w:r>
      <w:r>
        <w:rPr>
          <w:color w:val="231F20"/>
          <w:w w:val="105"/>
          <w:sz w:val="20"/>
        </w:rPr>
        <w:t>of</w:t>
      </w:r>
      <w:r>
        <w:rPr>
          <w:color w:val="231F20"/>
          <w:spacing w:val="-23"/>
          <w:w w:val="105"/>
          <w:sz w:val="20"/>
        </w:rPr>
        <w:t> </w:t>
      </w:r>
      <w:r>
        <w:rPr>
          <w:color w:val="231F20"/>
          <w:w w:val="105"/>
          <w:sz w:val="20"/>
        </w:rPr>
        <w:t>the</w:t>
      </w:r>
      <w:r>
        <w:rPr>
          <w:color w:val="231F20"/>
          <w:spacing w:val="-23"/>
          <w:w w:val="105"/>
          <w:sz w:val="20"/>
        </w:rPr>
        <w:t> </w:t>
      </w:r>
      <w:r>
        <w:rPr>
          <w:color w:val="231F20"/>
          <w:w w:val="105"/>
          <w:sz w:val="20"/>
        </w:rPr>
        <w:t>kidney</w:t>
      </w:r>
      <w:r>
        <w:rPr>
          <w:color w:val="231F20"/>
          <w:spacing w:val="-23"/>
          <w:w w:val="105"/>
          <w:sz w:val="20"/>
        </w:rPr>
        <w:t> </w:t>
      </w:r>
      <w:r>
        <w:rPr>
          <w:color w:val="231F20"/>
          <w:w w:val="105"/>
          <w:sz w:val="20"/>
        </w:rPr>
        <w:t>(</w:t>
      </w:r>
      <w:hyperlink w:history="true" w:anchor="_bookmark14">
        <w:r>
          <w:rPr>
            <w:b/>
            <w:color w:val="0080AC"/>
            <w:w w:val="105"/>
            <w:sz w:val="20"/>
          </w:rPr>
          <w:t>Figure</w:t>
        </w:r>
        <w:r>
          <w:rPr>
            <w:b/>
            <w:color w:val="0080AC"/>
            <w:spacing w:val="-25"/>
            <w:w w:val="105"/>
            <w:sz w:val="20"/>
          </w:rPr>
          <w:t> </w:t>
        </w:r>
        <w:r>
          <w:rPr>
            <w:b/>
            <w:color w:val="0080AC"/>
            <w:w w:val="105"/>
            <w:sz w:val="20"/>
          </w:rPr>
          <w:t>26-4</w:t>
        </w:r>
      </w:hyperlink>
      <w:r>
        <w:rPr>
          <w:color w:val="231F20"/>
          <w:w w:val="105"/>
          <w:sz w:val="20"/>
        </w:rPr>
        <w:t>).</w:t>
      </w:r>
      <w:r>
        <w:rPr>
          <w:color w:val="231F20"/>
          <w:spacing w:val="-23"/>
          <w:w w:val="105"/>
          <w:sz w:val="20"/>
        </w:rPr>
        <w:t> </w:t>
      </w:r>
      <w:r>
        <w:rPr>
          <w:color w:val="231F20"/>
          <w:w w:val="105"/>
          <w:sz w:val="20"/>
        </w:rPr>
        <w:t>From the proximal tubule, fluid flows into the </w:t>
      </w:r>
      <w:r>
        <w:rPr>
          <w:i/>
          <w:color w:val="231F20"/>
          <w:w w:val="105"/>
          <w:sz w:val="20"/>
        </w:rPr>
        <w:t>loop of Henle, </w:t>
      </w:r>
      <w:r>
        <w:rPr>
          <w:color w:val="231F20"/>
          <w:w w:val="105"/>
          <w:sz w:val="20"/>
        </w:rPr>
        <w:t>which dips into the renal medulla. Each loop consists</w:t>
      </w:r>
      <w:r>
        <w:rPr>
          <w:color w:val="231F20"/>
          <w:spacing w:val="-31"/>
          <w:w w:val="105"/>
          <w:sz w:val="20"/>
        </w:rPr>
        <w:t> </w:t>
      </w:r>
      <w:r>
        <w:rPr>
          <w:color w:val="231F20"/>
          <w:w w:val="105"/>
          <w:sz w:val="20"/>
        </w:rPr>
        <w:t>of a </w:t>
      </w:r>
      <w:r>
        <w:rPr>
          <w:i/>
          <w:color w:val="231F20"/>
          <w:w w:val="105"/>
          <w:sz w:val="20"/>
        </w:rPr>
        <w:t>descending </w:t>
      </w:r>
      <w:r>
        <w:rPr>
          <w:color w:val="231F20"/>
          <w:w w:val="105"/>
          <w:sz w:val="20"/>
        </w:rPr>
        <w:t>and an </w:t>
      </w:r>
      <w:r>
        <w:rPr>
          <w:i/>
          <w:color w:val="231F20"/>
          <w:w w:val="105"/>
          <w:sz w:val="20"/>
        </w:rPr>
        <w:t>ascending limb. </w:t>
      </w:r>
      <w:r>
        <w:rPr>
          <w:color w:val="231F20"/>
          <w:w w:val="105"/>
          <w:sz w:val="20"/>
        </w:rPr>
        <w:t>The walls of the descending</w:t>
      </w:r>
      <w:r>
        <w:rPr>
          <w:color w:val="231F20"/>
          <w:spacing w:val="-14"/>
          <w:w w:val="105"/>
          <w:sz w:val="20"/>
        </w:rPr>
        <w:t> </w:t>
      </w:r>
      <w:r>
        <w:rPr>
          <w:color w:val="231F20"/>
          <w:w w:val="105"/>
          <w:sz w:val="20"/>
        </w:rPr>
        <w:t>limb</w:t>
      </w:r>
      <w:r>
        <w:rPr>
          <w:color w:val="231F20"/>
          <w:spacing w:val="-13"/>
          <w:w w:val="105"/>
          <w:sz w:val="20"/>
        </w:rPr>
        <w:t> </w:t>
      </w:r>
      <w:r>
        <w:rPr>
          <w:color w:val="231F20"/>
          <w:w w:val="105"/>
          <w:sz w:val="20"/>
        </w:rPr>
        <w:t>and</w:t>
      </w:r>
      <w:r>
        <w:rPr>
          <w:color w:val="231F20"/>
          <w:spacing w:val="-14"/>
          <w:w w:val="105"/>
          <w:sz w:val="20"/>
        </w:rPr>
        <w:t> </w:t>
      </w:r>
      <w:r>
        <w:rPr>
          <w:color w:val="231F20"/>
          <w:w w:val="105"/>
          <w:sz w:val="20"/>
        </w:rPr>
        <w:t>the</w:t>
      </w:r>
      <w:r>
        <w:rPr>
          <w:color w:val="231F20"/>
          <w:spacing w:val="-13"/>
          <w:w w:val="105"/>
          <w:sz w:val="20"/>
        </w:rPr>
        <w:t> </w:t>
      </w:r>
      <w:r>
        <w:rPr>
          <w:color w:val="231F20"/>
          <w:w w:val="105"/>
          <w:sz w:val="20"/>
        </w:rPr>
        <w:t>lower</w:t>
      </w:r>
      <w:r>
        <w:rPr>
          <w:color w:val="231F20"/>
          <w:spacing w:val="-13"/>
          <w:w w:val="105"/>
          <w:sz w:val="20"/>
        </w:rPr>
        <w:t> </w:t>
      </w:r>
      <w:r>
        <w:rPr>
          <w:color w:val="231F20"/>
          <w:w w:val="105"/>
          <w:sz w:val="20"/>
        </w:rPr>
        <w:t>end</w:t>
      </w:r>
      <w:r>
        <w:rPr>
          <w:color w:val="231F20"/>
          <w:spacing w:val="-14"/>
          <w:w w:val="105"/>
          <w:sz w:val="20"/>
        </w:rPr>
        <w:t> </w:t>
      </w:r>
      <w:r>
        <w:rPr>
          <w:color w:val="231F20"/>
          <w:w w:val="105"/>
          <w:sz w:val="20"/>
        </w:rPr>
        <w:t>of</w:t>
      </w:r>
      <w:r>
        <w:rPr>
          <w:color w:val="231F20"/>
          <w:spacing w:val="-13"/>
          <w:w w:val="105"/>
          <w:sz w:val="20"/>
        </w:rPr>
        <w:t> </w:t>
      </w:r>
      <w:r>
        <w:rPr>
          <w:color w:val="231F20"/>
          <w:w w:val="105"/>
          <w:sz w:val="20"/>
        </w:rPr>
        <w:t>the</w:t>
      </w:r>
      <w:r>
        <w:rPr>
          <w:color w:val="231F20"/>
          <w:spacing w:val="-13"/>
          <w:w w:val="105"/>
          <w:sz w:val="20"/>
        </w:rPr>
        <w:t> </w:t>
      </w:r>
      <w:r>
        <w:rPr>
          <w:color w:val="231F20"/>
          <w:w w:val="105"/>
          <w:sz w:val="20"/>
        </w:rPr>
        <w:t>ascending</w:t>
      </w:r>
      <w:r>
        <w:rPr>
          <w:color w:val="231F20"/>
          <w:spacing w:val="-14"/>
          <w:w w:val="105"/>
          <w:sz w:val="20"/>
        </w:rPr>
        <w:t> </w:t>
      </w:r>
      <w:r>
        <w:rPr>
          <w:color w:val="231F20"/>
          <w:spacing w:val="-3"/>
          <w:w w:val="105"/>
          <w:sz w:val="20"/>
        </w:rPr>
        <w:t>limb </w:t>
      </w:r>
      <w:r>
        <w:rPr>
          <w:color w:val="231F20"/>
          <w:w w:val="105"/>
          <w:sz w:val="20"/>
        </w:rPr>
        <w:t>are</w:t>
      </w:r>
      <w:r>
        <w:rPr>
          <w:color w:val="231F20"/>
          <w:spacing w:val="-6"/>
          <w:w w:val="105"/>
          <w:sz w:val="20"/>
        </w:rPr>
        <w:t> </w:t>
      </w:r>
      <w:r>
        <w:rPr>
          <w:color w:val="231F20"/>
          <w:w w:val="105"/>
          <w:sz w:val="20"/>
        </w:rPr>
        <w:t>very</w:t>
      </w:r>
      <w:r>
        <w:rPr>
          <w:color w:val="231F20"/>
          <w:spacing w:val="-6"/>
          <w:w w:val="105"/>
          <w:sz w:val="20"/>
        </w:rPr>
        <w:t> </w:t>
      </w:r>
      <w:r>
        <w:rPr>
          <w:color w:val="231F20"/>
          <w:w w:val="105"/>
          <w:sz w:val="20"/>
        </w:rPr>
        <w:t>thin</w:t>
      </w:r>
      <w:r>
        <w:rPr>
          <w:color w:val="231F20"/>
          <w:spacing w:val="-6"/>
          <w:w w:val="105"/>
          <w:sz w:val="20"/>
        </w:rPr>
        <w:t> </w:t>
      </w:r>
      <w:r>
        <w:rPr>
          <w:color w:val="231F20"/>
          <w:w w:val="105"/>
          <w:sz w:val="20"/>
        </w:rPr>
        <w:t>and</w:t>
      </w:r>
      <w:r>
        <w:rPr>
          <w:color w:val="231F20"/>
          <w:spacing w:val="-6"/>
          <w:w w:val="105"/>
          <w:sz w:val="20"/>
        </w:rPr>
        <w:t> </w:t>
      </w:r>
      <w:r>
        <w:rPr>
          <w:color w:val="231F20"/>
          <w:w w:val="105"/>
          <w:sz w:val="20"/>
        </w:rPr>
        <w:t>therefore</w:t>
      </w:r>
      <w:r>
        <w:rPr>
          <w:color w:val="231F20"/>
          <w:spacing w:val="-6"/>
          <w:w w:val="105"/>
          <w:sz w:val="20"/>
        </w:rPr>
        <w:t> </w:t>
      </w:r>
      <w:r>
        <w:rPr>
          <w:color w:val="231F20"/>
          <w:w w:val="105"/>
          <w:sz w:val="20"/>
        </w:rPr>
        <w:t>are</w:t>
      </w:r>
      <w:r>
        <w:rPr>
          <w:color w:val="231F20"/>
          <w:spacing w:val="-6"/>
          <w:w w:val="105"/>
          <w:sz w:val="20"/>
        </w:rPr>
        <w:t> </w:t>
      </w:r>
      <w:r>
        <w:rPr>
          <w:color w:val="231F20"/>
          <w:w w:val="105"/>
          <w:sz w:val="20"/>
        </w:rPr>
        <w:t>called</w:t>
      </w:r>
      <w:r>
        <w:rPr>
          <w:color w:val="231F20"/>
          <w:spacing w:val="-6"/>
          <w:w w:val="105"/>
          <w:sz w:val="20"/>
        </w:rPr>
        <w:t> </w:t>
      </w:r>
      <w:r>
        <w:rPr>
          <w:color w:val="231F20"/>
          <w:w w:val="105"/>
          <w:sz w:val="20"/>
        </w:rPr>
        <w:t>the</w:t>
      </w:r>
      <w:r>
        <w:rPr>
          <w:color w:val="231F20"/>
          <w:spacing w:val="-6"/>
          <w:w w:val="105"/>
          <w:sz w:val="20"/>
        </w:rPr>
        <w:t> </w:t>
      </w:r>
      <w:r>
        <w:rPr>
          <w:i/>
          <w:color w:val="231F20"/>
          <w:w w:val="105"/>
          <w:sz w:val="20"/>
        </w:rPr>
        <w:t>thin</w:t>
      </w:r>
      <w:r>
        <w:rPr>
          <w:i/>
          <w:color w:val="231F20"/>
          <w:spacing w:val="-6"/>
          <w:w w:val="105"/>
          <w:sz w:val="20"/>
        </w:rPr>
        <w:t> </w:t>
      </w:r>
      <w:r>
        <w:rPr>
          <w:i/>
          <w:color w:val="231F20"/>
          <w:w w:val="105"/>
          <w:sz w:val="20"/>
        </w:rPr>
        <w:t>segment</w:t>
      </w:r>
      <w:r>
        <w:rPr>
          <w:i/>
          <w:color w:val="231F20"/>
          <w:spacing w:val="-6"/>
          <w:w w:val="105"/>
          <w:sz w:val="20"/>
        </w:rPr>
        <w:t> </w:t>
      </w:r>
      <w:r>
        <w:rPr>
          <w:i/>
          <w:color w:val="231F20"/>
          <w:w w:val="105"/>
          <w:sz w:val="20"/>
        </w:rPr>
        <w:t>of </w:t>
      </w:r>
      <w:r>
        <w:rPr>
          <w:i/>
          <w:color w:val="231F20"/>
          <w:w w:val="105"/>
          <w:sz w:val="20"/>
        </w:rPr>
        <w:t>the</w:t>
      </w:r>
      <w:r>
        <w:rPr>
          <w:i/>
          <w:color w:val="231F20"/>
          <w:spacing w:val="7"/>
          <w:w w:val="105"/>
          <w:sz w:val="20"/>
        </w:rPr>
        <w:t> </w:t>
      </w:r>
      <w:r>
        <w:rPr>
          <w:i/>
          <w:color w:val="231F20"/>
          <w:w w:val="105"/>
          <w:sz w:val="20"/>
        </w:rPr>
        <w:t>loop</w:t>
      </w:r>
      <w:r>
        <w:rPr>
          <w:i/>
          <w:color w:val="231F20"/>
          <w:spacing w:val="8"/>
          <w:w w:val="105"/>
          <w:sz w:val="20"/>
        </w:rPr>
        <w:t> </w:t>
      </w:r>
      <w:r>
        <w:rPr>
          <w:i/>
          <w:color w:val="231F20"/>
          <w:w w:val="105"/>
          <w:sz w:val="20"/>
        </w:rPr>
        <w:t>of</w:t>
      </w:r>
      <w:r>
        <w:rPr>
          <w:i/>
          <w:color w:val="231F20"/>
          <w:spacing w:val="8"/>
          <w:w w:val="105"/>
          <w:sz w:val="20"/>
        </w:rPr>
        <w:t> </w:t>
      </w:r>
      <w:r>
        <w:rPr>
          <w:i/>
          <w:color w:val="231F20"/>
          <w:w w:val="105"/>
          <w:sz w:val="20"/>
        </w:rPr>
        <w:t>Henle.</w:t>
      </w:r>
      <w:r>
        <w:rPr>
          <w:i/>
          <w:color w:val="231F20"/>
          <w:spacing w:val="8"/>
          <w:w w:val="105"/>
          <w:sz w:val="20"/>
        </w:rPr>
        <w:t> </w:t>
      </w:r>
      <w:r>
        <w:rPr>
          <w:color w:val="231F20"/>
          <w:w w:val="105"/>
          <w:sz w:val="20"/>
        </w:rPr>
        <w:t>After</w:t>
      </w:r>
      <w:r>
        <w:rPr>
          <w:color w:val="231F20"/>
          <w:spacing w:val="8"/>
          <w:w w:val="105"/>
          <w:sz w:val="20"/>
        </w:rPr>
        <w:t> </w:t>
      </w:r>
      <w:r>
        <w:rPr>
          <w:color w:val="231F20"/>
          <w:w w:val="105"/>
          <w:sz w:val="20"/>
        </w:rPr>
        <w:t>the</w:t>
      </w:r>
      <w:r>
        <w:rPr>
          <w:color w:val="231F20"/>
          <w:spacing w:val="7"/>
          <w:w w:val="105"/>
          <w:sz w:val="20"/>
        </w:rPr>
        <w:t> </w:t>
      </w:r>
      <w:r>
        <w:rPr>
          <w:color w:val="231F20"/>
          <w:w w:val="105"/>
          <w:sz w:val="20"/>
        </w:rPr>
        <w:t>ascending</w:t>
      </w:r>
      <w:r>
        <w:rPr>
          <w:color w:val="231F20"/>
          <w:spacing w:val="8"/>
          <w:w w:val="105"/>
          <w:sz w:val="20"/>
        </w:rPr>
        <w:t> </w:t>
      </w:r>
      <w:r>
        <w:rPr>
          <w:color w:val="231F20"/>
          <w:w w:val="105"/>
          <w:sz w:val="20"/>
        </w:rPr>
        <w:t>limb</w:t>
      </w:r>
      <w:r>
        <w:rPr>
          <w:color w:val="231F20"/>
          <w:spacing w:val="8"/>
          <w:w w:val="105"/>
          <w:sz w:val="20"/>
        </w:rPr>
        <w:t> </w:t>
      </w:r>
      <w:r>
        <w:rPr>
          <w:color w:val="231F20"/>
          <w:w w:val="105"/>
          <w:sz w:val="20"/>
        </w:rPr>
        <w:t>of</w:t>
      </w:r>
      <w:r>
        <w:rPr>
          <w:color w:val="231F20"/>
          <w:spacing w:val="8"/>
          <w:w w:val="105"/>
          <w:sz w:val="20"/>
        </w:rPr>
        <w:t> </w:t>
      </w:r>
      <w:r>
        <w:rPr>
          <w:color w:val="231F20"/>
          <w:w w:val="105"/>
          <w:sz w:val="20"/>
        </w:rPr>
        <w:t>the</w:t>
      </w:r>
      <w:r>
        <w:rPr>
          <w:color w:val="231F20"/>
          <w:spacing w:val="8"/>
          <w:w w:val="105"/>
          <w:sz w:val="20"/>
        </w:rPr>
        <w:t> </w:t>
      </w:r>
      <w:r>
        <w:rPr>
          <w:color w:val="231F20"/>
          <w:spacing w:val="-3"/>
          <w:w w:val="105"/>
          <w:sz w:val="20"/>
        </w:rPr>
        <w:t>loop</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5"/>
        <w:rPr>
          <w:sz w:val="26"/>
        </w:rPr>
      </w:pPr>
    </w:p>
    <w:p>
      <w:pPr>
        <w:spacing w:line="182" w:lineRule="exact" w:before="99"/>
        <w:ind w:left="0" w:right="6487" w:firstLine="0"/>
        <w:jc w:val="right"/>
        <w:rPr>
          <w:rFonts w:ascii="Helvetica"/>
          <w:sz w:val="16"/>
        </w:rPr>
      </w:pPr>
      <w:r>
        <w:rPr/>
        <w:pict>
          <v:group style="position:absolute;margin-left:55.772697pt;margin-top:2.82036pt;width:231.7pt;height:464.55pt;mso-position-horizontal-relative:page;mso-position-vertical-relative:paragraph;z-index:-273584128" coordorigin="1115,56" coordsize="4634,9291">
            <v:shape style="position:absolute;left:2462;top:56;width:2660;height:4116" type="#_x0000_t75" stroked="false">
              <v:imagedata r:id="rId132" o:title=""/>
            </v:shape>
            <v:shape style="position:absolute;left:2664;top:100;width:2555;height:4087" coordorigin="2664,101" coordsize="2555,4087" path="m3463,2568l3408,2572,3350,2581,3292,2597,3234,2620,3178,2651,3127,2689,3081,2736,3043,2791,3014,2857,2996,2932,2991,3018,2999,3116,3007,3156,3018,3201,3032,3248,3050,3299,3070,3352,3094,3406,3121,3462,3151,3520,3185,3577,3221,3635,3261,3692,3303,3749,3349,3803,3398,3857,3450,3907,3505,3956,3563,4000,3624,4042,3688,4079,3756,4111,3826,4138,3899,4160,3975,4176,4055,4185,4137,4187,4222,4182,4310,4169,4381,4151,4449,4126,4514,4095,4576,4056,4636,4012,4692,3962,4746,3906,4797,3844,4845,3778,4890,3707,4928,3641,4963,3571,4997,3498,5028,3423,5056,3345,5083,3265,5107,3183,5125,3107,5127,3097,3675,3097,3559,2908,3604,2869,3671,2833,3732,2787,3758,2716,3739,2656,3687,2612,3610,2584,3513,2569,3463,2568xm4988,1236l3244,1236,3647,1313,3995,2727,3675,3097,5127,3097,5139,3030,5150,2951,5159,2871,5167,2791,5176,2710,5186,2626,5197,2542,5207,2457,5214,2373,5219,2290,5219,2206,5215,2117,5208,2029,5199,1942,5187,1858,5173,1775,5157,1694,5138,1615,5117,1540,5090,1462,5060,1385,5026,1310,4989,1237,4988,1236xm3442,101l3383,105,3327,115,3252,136,3182,163,3117,195,3057,233,3002,275,2952,322,2906,374,2864,429,2827,489,2795,551,2766,617,2741,686,2720,758,2702,832,2688,909,2678,987,2670,1067,2666,1148,2664,1231,2670,1331,2685,1419,2710,1497,2742,1565,2782,1622,2827,1671,2878,1710,2932,1741,2989,1765,3048,1781,3107,1791,3166,1794,3224,1792,3279,1784,3331,1772,3404,1743,3462,1707,3505,1664,3532,1618,3544,1571,3541,1526,3524,1484,3491,1449,3444,1423,3382,1408,3306,1407,3244,1236,4988,1236,4948,1166,4906,1097,4860,1030,4813,964,4765,901,4715,839,4664,780,4609,718,4556,657,4502,600,4446,546,4386,494,4311,437,4235,383,4158,334,4082,290,4005,250,3930,214,3855,183,3781,157,3708,136,3638,119,3570,108,3505,102,3442,101xe" filled="true" fillcolor="#fcd3c9" stroked="false">
              <v:path arrowok="t"/>
              <v:fill type="solid"/>
            </v:shape>
            <v:shape style="position:absolute;left:2664;top:100;width:2555;height:4087" coordorigin="2664,101" coordsize="2555,4087" path="m3306,1407l3382,1408,3444,1423,3524,1484,3544,1571,3505,1664,3462,1707,3404,1743,3331,1772,3224,1792,3107,1791,3048,1781,2989,1765,2932,1741,2878,1710,2827,1671,2782,1622,2742,1565,2710,1497,2685,1419,2670,1331,2664,1231,2666,1148,2670,1067,2678,987,2688,909,2702,832,2720,758,2741,686,2766,617,2795,551,2827,489,2864,429,2906,374,2952,322,3002,275,3057,233,3117,195,3182,163,3252,136,3327,115,3442,101,3505,102,3570,108,3638,119,3708,136,3781,157,3855,183,3930,214,4005,250,4082,290,4158,334,4235,383,4311,437,4386,494,4446,546,4502,600,4556,657,4609,718,4664,780,4715,839,4765,901,4813,964,4860,1030,4906,1097,4948,1166,4989,1237,5026,1310,5060,1385,5090,1462,5117,1540,5138,1615,5157,1694,5173,1775,5187,1858,5199,1942,5208,2029,5215,2117,5219,2206,5219,2290,5214,2373,5207,2457,5197,2542,5186,2626,5176,2710,5167,2791,5159,2871,5150,2951,5139,3030,5125,3107,5107,3183,5083,3265,5056,3345,5028,3423,4997,3498,4963,3571,4928,3641,4890,3707,4845,3778,4797,3844,4746,3906,4692,3962,4636,4012,4576,4056,4514,4095,4449,4126,4381,4151,4310,4169,4222,4182,4137,4187,4055,4185,3975,4176,3899,4160,3826,4138,3756,4111,3688,4079,3624,4042,3563,4000,3505,3956,3450,3907,3398,3857,3349,3803,3303,3749,3261,3692,3221,3635,3185,3577,3151,3520,3121,3462,3094,3406,3050,3299,3018,3201,2999,3116,2991,3018,2996,2932,3014,2857,3043,2791,3081,2736,3127,2689,3178,2651,3234,2620,3292,2597,3350,2581,3463,2568,3513,2569,3610,2584,3687,2612,3739,2656,3758,2716,3732,2787,3671,2833,3604,2869,3559,2908,3675,3097,3995,2727,3647,1313,3244,1236,3306,1407xe" filled="false" stroked="true" strokeweight=".5pt" strokecolor="#b7705b">
              <v:path arrowok="t"/>
              <v:stroke dashstyle="solid"/>
            </v:shape>
            <v:shape style="position:absolute;left:2697;top:133;width:2490;height:4021" type="#_x0000_t75" stroked="false">
              <v:imagedata r:id="rId133" o:title=""/>
            </v:shape>
            <v:shape style="position:absolute;left:2697;top:133;width:2490;height:4021" coordorigin="2697,134" coordsize="2490,4021" path="m4121,4154l4032,4150,3948,4137,3868,4117,3792,4090,3721,4058,3655,4021,3592,3980,3534,3937,3481,3891,3432,3844,3387,3797,3347,3750,3289,3675,3237,3598,3190,3521,3149,3445,3114,3370,3084,3298,3061,3230,3044,3167,3024,3025,3028,2946,3044,2874,3071,2809,3111,2752,3174,2693,3247,2650,3325,2622,3402,2606,3474,2601,3487,2601,3571,2610,3642,2628,3700,2662,3718,2749,3665,2799,3594,2836,3568,2852,3546,2870,3530,2892,3521,2909,3670,3153,4032,2736,3675,1285,3193,1193,3223,1425,3254,1433,3275,1437,3295,1439,3322,1440,3396,1449,3453,1471,3509,1549,3471,1653,3412,1702,3322,1740,3248,1755,3170,1761,3079,1753,2994,1732,2918,1696,2851,1648,2804,1598,2766,1540,2736,1474,2715,1400,2702,1319,2697,1231,2700,1113,2709,1004,2722,903,2740,810,2762,724,2788,646,2818,575,2852,510,2888,452,2927,399,2968,353,3055,275,3147,217,3242,175,3335,147,3395,137,3462,134,3523,136,3588,144,3654,156,3722,173,3792,195,3862,221,3934,252,4006,287,4079,326,4151,369,4223,415,4295,466,4366,520,4430,576,4489,633,4545,693,4599,755,4653,818,4704,879,4753,941,4801,1005,4846,1069,4889,1135,4930,1202,4968,1270,5002,1339,5034,1408,5061,1479,5085,1550,5106,1625,5125,1704,5142,1784,5156,1866,5167,1949,5176,2034,5183,2120,5187,2206,5187,2291,5183,2376,5175,2461,5165,2546,5153,2630,5143,2715,5134,2795,5125,2875,5116,2954,5105,3032,5091,3108,5073,3183,5049,3264,5022,3342,4994,3418,4964,3492,4931,3562,4896,3630,4860,3694,4808,3774,4753,3847,4696,3911,4637,3968,4575,4018,4511,4059,4444,4093,4375,4118,4304,4136,4212,4150,4166,4153,4121,4154xe" filled="false" stroked="true" strokeweight=".25pt" strokecolor="#b7705b">
              <v:path arrowok="t"/>
              <v:stroke dashstyle="solid"/>
            </v:shape>
            <v:shape style="position:absolute;left:2689;top:688;width:1898;height:3477" type="#_x0000_t75" stroked="false">
              <v:imagedata r:id="rId134" o:title=""/>
            </v:shape>
            <v:shape style="position:absolute;left:2689;top:688;width:1898;height:3477" coordorigin="2689,689" coordsize="1898,3477" path="m2987,4134l2989,4046,2988,3958,2985,3871,2980,3788,2974,3708,2966,3633,2958,3563,2949,3501,2939,3434,2931,3363,2926,3290,2925,3214,2929,3136,2938,3058,2954,2979,2978,2901,3010,2825,3059,2747,3117,2685,3183,2637,3254,2603,3328,2579,3402,2566,3474,2562,3541,2566,3602,2575,3698,2610,3753,2666,3766,2724,3762,2748,3699,2823,3616,2865,3576,2896,3816,3197,3860,3141,3886,3071,3903,3004,3920,2956,3939,2938,3964,2932,3988,2939,4003,2963,4018,3031,4028,3094,4032,3159,4027,3230,4012,3278,3987,3328,3962,3383,3947,3444,4305,3458,4287,3389,4260,3329,4235,3279,4224,3235,4221,3168,4212,3111,4201,3054,4187,2991,4187,2959,4198,2938,4219,2929,4245,2934,4297,2978,4334,3037,4355,3071,4382,3101,4567,2798,4506,2776,4441,2762,4379,2749,4327,2733,4265,2700,4206,2656,4150,2602,4099,2538,4055,2467,4020,2390,4005,2323,4019,2268,4055,2229,4106,2208,4165,2207,4238,2218,4310,2239,4368,2263,4423,2293,4479,2322,4535,2343,4586,2352,4567,1973,4513,1981,4471,1996,4433,2009,4394,2016,4320,2008,4252,1986,4211,1922,4218,1882,4260,1822,4307,1778,4377,1747,4476,1733,4518,1718,4338,1417,4306,1457,4281,1507,4254,1557,4218,1599,4181,1631,4144,1664,4108,1691,4073,1708,4006,1717,3953,1698,3915,1650,3896,1569,3893,1501,3901,1423,3919,1341,3948,1261,3988,1190,4061,1135,4103,1108,4132,1080,3861,897,3847,945,3847,993,3846,1039,3834,1082,3814,1100,3788,1103,3763,1092,3729,1020,3697,925,3679,838,3676,788,3671,735,3657,689,3356,814,3383,859,3430,898,3481,936,3520,975,3545,1016,3565,1059,3582,1105,3595,1155,3594,1189,3576,1213,3547,1223,3510,1217,3462,1191,3425,1160,3393,1132,3357,1116,3306,1407,3343,1405,3384,1406,3473,1433,3542,1512,3551,1562,3541,1615,3463,1716,3392,1757,3298,1788,3236,1807,3175,1832,3117,1864,3061,1903,3008,1947,2958,1997,2911,2053,2868,2113,2829,2179,2794,2248,2763,2321,2737,2398,2717,2479,2702,2562,2692,2648,2689,2736,2692,2823,2700,2910,2712,2997,2726,3082,2741,3166,2756,3247,2770,3326,2781,3401,2789,3473,2792,3556,2792,3633,2788,3706,2782,3780,2776,3856,2770,3939,2766,4031,2764,4134,2799,4157,2875,4165,2952,4157,2987,4134xe" filled="false" stroked="true" strokeweight=".25pt" strokecolor="#b7705b">
              <v:path arrowok="t"/>
              <v:stroke dashstyle="solid"/>
            </v:shape>
            <v:shape style="position:absolute;left:3843;top:904;width:284;height:241" type="#_x0000_t75" stroked="false">
              <v:imagedata r:id="rId135" o:title=""/>
            </v:shape>
            <v:shape style="position:absolute;left:4267;top:1420;width:249;height:317" type="#_x0000_t75" stroked="false">
              <v:imagedata r:id="rId136" o:title=""/>
            </v:shape>
            <v:shape style="position:absolute;left:4368;top:1970;width:211;height:384" type="#_x0000_t75" stroked="false">
              <v:imagedata r:id="rId137" o:title=""/>
            </v:shape>
            <v:shape style="position:absolute;left:3313;top:1117;width:162;height:291" type="#_x0000_t75" stroked="false">
              <v:imagedata r:id="rId138" o:title=""/>
            </v:shape>
            <v:shape style="position:absolute;left:3356;top:687;width:307;height:223" type="#_x0000_t75" stroked="false">
              <v:imagedata r:id="rId139" o:title=""/>
            </v:shape>
            <v:shape style="position:absolute;left:4288;top:2776;width:284;height:327" type="#_x0000_t75" stroked="false">
              <v:imagedata r:id="rId140" o:title=""/>
            </v:shape>
            <v:shape style="position:absolute;left:3944;top:3253;width:363;height:203" type="#_x0000_t75" stroked="false">
              <v:imagedata r:id="rId141" o:title=""/>
            </v:shape>
            <v:shape style="position:absolute;left:3570;top:2833;width:330;height:356" type="#_x0000_t75" stroked="false">
              <v:imagedata r:id="rId142" o:title=""/>
            </v:shape>
            <v:shape style="position:absolute;left:2847;top:875;width:583;height:574" type="#_x0000_t75" stroked="false">
              <v:imagedata r:id="rId143" o:title=""/>
            </v:shape>
            <v:shape style="position:absolute;left:-583;top:14225;width:583;height:574" coordorigin="-583,14226" coordsize="583,574" path="m3430,1286l3411,1334,3369,1374,3310,1406,3238,1430,3157,1444,3073,1449,2993,1439,2934,1413,2891,1372,2864,1319,2850,1257,2847,1187,2853,1113,2866,1040,2884,976,2910,925,2947,890,2996,875,3060,885,3140,923,3217,974,3288,1035,3349,1100,3396,1166,3424,1230,3430,1286xm2923,1372l2994,1389,3078,1398,3167,1398,3254,1386,3331,1362m2897,1300l2967,1317,3053,1329,3145,1336,3237,1336,3319,1329m2889,1219l2957,1237,3043,1256,3138,1273,3233,1286,3318,1294m2891,1147l2945,1164,3014,1183,3092,1204,3173,1226,3251,1246,3321,1263m2901,1074l2954,1093,3023,1118,3099,1146,3179,1177,3255,1208,3323,1236m2918,1005l2968,1024,3034,1052,3111,1087,3190,1126,3266,1167,3331,1206m2945,937l2994,958,3060,990,3135,1031,3211,1078,3283,1128,3343,1178e" filled="false" stroked="true" strokeweight=".25pt" strokecolor="#b7705b">
              <v:path arrowok="t"/>
              <v:stroke dashstyle="solid"/>
            </v:shape>
            <v:shape style="position:absolute;left:2995;top:898;width:367;height:263" type="#_x0000_t75" stroked="false">
              <v:imagedata r:id="rId144" o:title=""/>
            </v:shape>
            <v:shape style="position:absolute;left:3079;top:275;width:584;height:589" type="#_x0000_t75" stroked="false">
              <v:imagedata r:id="rId145" o:title=""/>
            </v:shape>
            <v:shape style="position:absolute;left:-480;top:14057;width:584;height:588" coordorigin="-479,14058" coordsize="584,588" path="m3559,855l3602,822,3633,769,3654,699,3664,620,3663,535,3652,450,3628,374,3588,322,3536,290,3475,277,3408,279,3336,294,3264,320,3197,352,3142,389,3102,430,3080,477,3080,531,3104,592,3155,661,3219,723,3291,778,3365,822,3437,852,3504,864,3559,855xm3551,324l3581,389,3604,469,3619,557,3623,646,3613,728m3478,318l3506,383,3533,463,3556,553,3572,643,3580,726m3398,333l3427,394,3460,474,3494,563,3523,653,3546,734e" filled="false" stroked="true" strokeweight=".25pt" strokecolor="#b7705b">
              <v:path arrowok="t"/>
              <v:stroke dashstyle="solid"/>
            </v:shape>
            <v:shape style="position:absolute;left:3107;top:351;width:412;height:463" type="#_x0000_t75" stroked="false">
              <v:imagedata r:id="rId146" o:title=""/>
            </v:shape>
            <v:shape style="position:absolute;left:3857;top:517;width:573;height:586" type="#_x0000_t75" stroked="false">
              <v:imagedata r:id="rId147" o:title=""/>
            </v:shape>
            <v:shape style="position:absolute;left:3857;top:519;width:573;height:585" coordorigin="3857,519" coordsize="573,585" path="m3935,1083l3897,1042,3871,982,3858,909,3857,827,3867,742,3887,659,3919,587,3961,542,4066,519,4126,535,4190,564,4255,604,4318,649,4370,696,4409,745,4429,797,4428,850,4401,907,4343,966,4274,1016,4200,1057,4124,1087,4051,1103,3987,1103,3935,1083xe" filled="false" stroked="true" strokeweight=".25pt" strokecolor="#b7705b">
              <v:path arrowok="t"/>
              <v:stroke dashstyle="solid"/>
            </v:shape>
            <v:shape style="position:absolute;left:3887;top:549;width:519;height:521" type="#_x0000_t75" stroked="false">
              <v:imagedata r:id="rId148" o:title=""/>
            </v:shape>
            <v:shape style="position:absolute;left:4315;top:1054;width:593;height:665" type="#_x0000_t75" stroked="false">
              <v:imagedata r:id="rId149" o:title=""/>
            </v:shape>
            <v:shape style="position:absolute;left:4315;top:1054;width:593;height:665" coordorigin="4315,1055" coordsize="593,665" path="m4332,1633l4316,1582,4315,1519,4328,1449,4351,1373,4384,1297,4424,1222,4469,1153,4519,1096,4615,1055,4660,1065,4746,1136,4785,1190,4823,1253,4857,1320,4884,1384,4902,1447,4908,1505,4899,1559,4827,1649,4760,1683,4676,1707,4591,1719,4507,1719,4433,1705,4373,1677,4332,1633xe" filled="false" stroked="true" strokeweight=".25pt" strokecolor="#b7705b">
              <v:path arrowok="t"/>
              <v:stroke dashstyle="solid"/>
            </v:shape>
            <v:shape style="position:absolute;left:4355;top:1083;width:497;height:523" type="#_x0000_t75" stroked="false">
              <v:imagedata r:id="rId150" o:title=""/>
            </v:shape>
            <v:shape style="position:absolute;left:134;top:14495;width:410;height:187" coordorigin="134,14496" coordsize="410,187" path="m4876,1492l4831,1519,4768,1550,4694,1581,4615,1609,4537,1629,4466,1639m4864,1573l4809,1609,4733,1642,4645,1667,4553,1679,4468,1671e" filled="false" stroked="true" strokeweight=".25pt" strokecolor="#b7705b">
              <v:path arrowok="t"/>
              <v:stroke dashstyle="solid"/>
            </v:shape>
            <v:shape style="position:absolute;left:4442;top:1851;width:604;height:653" type="#_x0000_t75" stroked="false">
              <v:imagedata r:id="rId151" o:title=""/>
            </v:shape>
            <v:shape style="position:absolute;left:0;top:14335;width:604;height:653" coordorigin="0,14336" coordsize="604,653" path="m4443,2152l4456,2205,4487,2259,4534,2313,4593,2363,4660,2410,4731,2451,4803,2484,4874,2504,4930,2503,4974,2484,5006,2448,5028,2399,5041,2339,5047,2269,5046,2193,5041,2116,5031,2045,5014,1982,4989,1928,4955,1887,4909,1861,4851,1852,4778,1862,4696,1889,4618,1928,4547,1977,4491,2032,4455,2091,4443,2152xm4957,2457l4899,2451,4831,2434,4758,2408,4685,2373,4616,2330,4555,2281m4988,2387l4931,2380,4862,2365,4787,2343,4710,2315,4635,2283,4569,2248m5002,2299l4948,2293,4878,2283,4801,2269,4720,2251,4642,2231,4573,2210m5006,2217l4939,2212,4852,2205,4755,2195,4658,2184,4573,2174m5002,2130l4935,2130,4848,2130,4752,2133,4657,2136,4573,2142m4991,2045l4928,2047,4842,2055,4745,2067,4650,2083,4567,2105m4969,1958l4906,1962,4822,1976,4727,1999,4635,2030,4557,2068m4919,1895l4856,1896,4776,1912,4690,1942,4609,1984,4542,2040e" filled="false" stroked="true" strokeweight=".25pt" strokecolor="#b7705b">
              <v:path arrowok="t"/>
              <v:stroke dashstyle="solid"/>
            </v:shape>
            <v:shape style="position:absolute;left:4343;top:2791;width:611;height:639" type="#_x0000_t75" stroked="false">
              <v:imagedata r:id="rId152" o:title=""/>
            </v:shape>
            <v:shape style="position:absolute;left:4343;top:2792;width:611;height:639" coordorigin="4344,2792" coordsize="611,639" path="m4354,2899l4344,2951,4350,3013,4371,3082,4403,3154,4445,3226,4494,3295,4546,3356,4611,3409,4669,3431,4723,3425,4817,3349,4857,3286,4894,3211,4922,3143,4943,3077,4954,3015,4954,2958,4908,2865,4858,2832,4787,2808,4700,2795,4611,2792,4526,2800,4450,2820,4391,2852,4354,2899xe" filled="false" stroked="true" strokeweight=".25pt" strokecolor="#b7705b">
              <v:path arrowok="t"/>
              <v:stroke dashstyle="solid"/>
            </v:shape>
            <v:shape style="position:absolute;left:4401;top:2984;width:449;height:418" type="#_x0000_t75" stroked="false">
              <v:imagedata r:id="rId153" o:title=""/>
            </v:shape>
            <v:shape style="position:absolute;left:124;top:14576;width:444;height:300" coordorigin="124,14577" coordsize="444,300" path="m4880,3138l4818,3108,4738,3071,4648,3031,4559,2992,4479,2960m4905,3060l4846,3034,4764,3003,4670,2971,4575,2943,4490,2926m4923,2975l4875,2956,4809,2935,4731,2915,4648,2899,4568,2890,4496,2890m4903,2899l4844,2873,4764,2851,4672,2839,4579,2840,4494,2859e" filled="false" stroked="true" strokeweight=".25pt" strokecolor="#b7705b">
              <v:path arrowok="t"/>
              <v:stroke dashstyle="solid"/>
            </v:shape>
            <v:shape style="position:absolute;left:3817;top:3318;width:601;height:648" type="#_x0000_t75" stroked="false">
              <v:imagedata r:id="rId154" o:title=""/>
            </v:shape>
            <v:shape style="position:absolute;left:-309;top:14636;width:601;height:648" coordorigin="-308,14636" coordsize="601,648" path="m4126,3318l4182,3334,4238,3374,4290,3435,4337,3510,4377,3594,4407,3682,4419,3757,4411,3819,4386,3869,4347,3907,4296,3935,4236,3954,4169,3964,4098,3966,4019,3961,3950,3948,3892,3923,3849,3885,3824,3833,3818,3763,3835,3674,3866,3587,3908,3504,3958,3430,4012,3371,4069,3332,4126,3318xm4370,3846l4368,3784,4358,3713,4340,3636,4314,3560,4280,3487,4239,3424m4302,3882l4300,3821,4292,3748,4278,3669,4258,3587,4235,3509,4208,3440m4220,3900l4219,3841,4215,3768,4208,3686,4198,3600,4186,3518,4172,3445m4144,3906l4145,3849,4145,3775,4144,3691,4143,3604,4141,3520,4139,3446m4064,3905l4068,3847,4074,3773,4082,3690,4090,3604,4100,3521,4110,3447m3987,3895l3992,3841,4002,3769,4016,3685,4034,3598,4054,3515,4076,3442m3908,3875l3915,3821,3929,3750,3950,3667,3977,3582,4008,3501,4043,3432m3854,3824l3858,3769,3873,3701,3897,3625,3930,3548,3970,3477,4018,3418e" filled="false" stroked="true" strokeweight=".25pt" strokecolor="#b7705b">
              <v:path arrowok="t"/>
              <v:stroke dashstyle="solid"/>
            </v:shape>
            <v:shape style="position:absolute;left:3261;top:2880;width:601;height:669" type="#_x0000_t75" stroked="false">
              <v:imagedata r:id="rId155" o:title=""/>
            </v:shape>
            <v:shape style="position:absolute;left:3261;top:2882;width:601;height:667" coordorigin="3261,2883" coordsize="601,667" path="m3843,2935l3800,2900,3736,2883,3658,2883,3572,2897,3483,2923,3399,2959,3328,3005,3283,3059,3262,3117,3261,3180,3277,3246,3307,3314,3348,3382,3388,3438,3429,3486,3515,3545,3561,3550,3609,3534,3658,3494,3710,3428,3754,3355,3793,3276,3826,3195,3849,3117,3861,3045,3860,2983,3843,2935xe" filled="false" stroked="true" strokeweight=".25pt" strokecolor="#b7705b">
              <v:path arrowok="t"/>
              <v:stroke dashstyle="solid"/>
            </v:shape>
            <v:shape style="position:absolute;left:3290;top:2918;width:471;height:538" type="#_x0000_t75" stroked="false">
              <v:imagedata r:id="rId156" o:title=""/>
            </v:shape>
            <v:shape style="position:absolute;left:-326;top:14790;width:291;height:426" coordorigin="-325,14790" coordsize="291,426" path="m3517,3506l3555,3463,3602,3402,3654,3328,3705,3247,3750,3165,3783,3089m3585,3515l3625,3474,3669,3415,3714,3343,3756,3263,3788,3180,3808,3100e" filled="false" stroked="true" strokeweight=".25pt" strokecolor="#b7705b">
              <v:path arrowok="t"/>
              <v:stroke dashstyle="solid"/>
            </v:shape>
            <v:shape style="position:absolute;left:1916;top:163;width:3244;height:3948" type="#_x0000_t75" stroked="false">
              <v:imagedata r:id="rId157" o:title=""/>
            </v:shape>
            <v:shape style="position:absolute;left:3111;top:2315;width:550;height:87" type="#_x0000_t75" stroked="false">
              <v:imagedata r:id="rId158" o:title=""/>
            </v:shape>
            <v:shape style="position:absolute;left:1944;top:1851;width:561;height:45" type="#_x0000_t75" stroked="false">
              <v:imagedata r:id="rId159" o:title=""/>
            </v:shape>
            <v:shape style="position:absolute;left:3270;top:1646;width:786;height:506" type="#_x0000_t75" stroked="false">
              <v:imagedata r:id="rId160" o:title=""/>
            </v:shape>
            <v:shape style="position:absolute;left:1795;top:1811;width:1791;height:734" coordorigin="1796,1812" coordsize="1791,734" path="m2789,2321l2442,2321,2530,2331,2606,2350,2677,2375,2788,2423,2827,2440,2870,2457,2917,2475,3019,2507,3110,2528,3192,2539,3265,2544,3332,2545,3443,2545,3443,2455,3333,2455,3270,2454,3202,2448,3127,2437,3043,2417,2949,2387,2904,2370,2863,2353,2824,2337,2789,2321xm3443,2454l3333,2455,3443,2455,3443,2454xm1840,2106l1808,2139,1796,2210,1805,2283,1840,2317,1955,2322,2035,2324,2126,2325,2227,2325,2333,2321,2789,2321,2755,2306,2721,2292,2688,2279,2654,2267,2636,2257,2630,2244,2636,2233,2653,2226,2685,2220,2716,2213,2747,2206,2777,2198,2877,2175,2968,2159,2462,2159,2439,2158,2431,2152,2437,2143,2458,2133,2517,2115,2538,2107,1940,2107,1840,2106xm3583,2017l3486,2018,3392,2020,3302,2025,3215,2032,3131,2040,3050,2050,2972,2062,2897,2075,2824,2091,2709,2118,2682,2124,2610,2138,2536,2150,2462,2159,2968,2159,2977,2157,3075,2144,3171,2133,3261,2126,3345,2122,3421,2119,3488,2118,3586,2118,3583,2017xm3586,2118l3543,2118,3586,2118,3586,2118xm3208,1812l3121,1815,3038,1823,2957,1837,2878,1857,2799,1883,2721,1917,2572,1993,2502,2022,2431,2047,2359,2066,2283,2082,2205,2093,2122,2100,2034,2105,1940,2107,2538,2107,2575,2093,2631,2068,2760,2002,2832,1971,2904,1946,2977,1927,3052,1913,3129,1905,3209,1903,3208,1812xe" filled="true" fillcolor="#3777bc" stroked="false">
              <v:path arrowok="t"/>
              <v:fill type="solid"/>
            </v:shape>
            <v:shape style="position:absolute;left:2430;top:1902;width:1153;height:257" coordorigin="2431,1903" coordsize="1153,257" path="m3583,2017l3486,2018,3392,2020,3302,2025,3215,2032,3131,2040,3050,2050,2972,2062,2897,2075,2824,2091,2754,2107,2682,2124,2610,2138,2536,2150,2462,2159,2439,2158,2431,2152,2437,2143,2458,2133,2517,2115,2575,2093,2631,2068,2687,2039,2760,2002,2832,1971,2904,1946,2977,1927,3052,1913,3129,1905,3209,1903e" filled="false" stroked="true" strokeweight=".25pt" strokecolor="#231f20">
              <v:path arrowok="t"/>
              <v:stroke dashstyle="solid"/>
            </v:shape>
            <v:shape style="position:absolute;left:2449;top:2027;width:1145;height:165" type="#_x0000_t75" stroked="false">
              <v:imagedata r:id="rId161" o:title=""/>
            </v:shape>
            <v:shape style="position:absolute;left:2630;top:2117;width:956;height:338" coordorigin="2630,2118" coordsize="956,338" path="m3443,2454l3430,2454,3418,2454,3405,2454,3391,2455,3333,2455,3270,2454,3202,2448,3127,2437,3043,2417,2949,2387,2863,2353,2789,2321,2755,2306,2721,2292,2688,2279,2654,2267,2636,2257,2630,2244,2636,2233,2653,2226,2685,2220,2716,2213,2747,2206,2777,2198,2877,2175,2977,2157,3075,2144,3171,2133,3261,2126,3345,2122,3421,2119,3488,2118,3543,2118,3586,2118e" filled="false" stroked="true" strokeweight=".25pt" strokecolor="#231f20">
              <v:path arrowok="t"/>
              <v:stroke dashstyle="solid"/>
            </v:shape>
            <v:shape style="position:absolute;left:2936;top:2397;width:518;height:91" type="#_x0000_t75" stroked="false">
              <v:imagedata r:id="rId162" o:title=""/>
            </v:shape>
            <v:shape style="position:absolute;left:1795;top:1811;width:1647;height:734" coordorigin="1796,1812" coordsize="1647,734" path="m3208,1812l3121,1815,3038,1823,2957,1837,2878,1857,2799,1883,2721,1917,2642,1957,2572,1993,2502,2022,2431,2047,2359,2066,2283,2082,2205,2093,2122,2100,2034,2105,1940,2107,1840,2106,1808,2139,1796,2210,1805,2283,1840,2317,1889,2320,1955,2322,2035,2324,2126,2325,2227,2325,2333,2321,2442,2321,2530,2331,2606,2350,2677,2375,2751,2407,2788,2423,2827,2440,2917,2475,3019,2507,3110,2528,3192,2539,3265,2544,3332,2545,3355,2545,3389,2545,3421,2545,3443,2545e" filled="false" stroked="true" strokeweight=".25pt" strokecolor="#231f20">
              <v:path arrowok="t"/>
              <v:stroke dashstyle="solid"/>
            </v:shape>
            <v:shape style="position:absolute;left:1918;top:1822;width:1301;height:317" type="#_x0000_t75" stroked="false">
              <v:imagedata r:id="rId163" o:title=""/>
            </v:shape>
            <v:shape style="position:absolute;left:1911;top:1840;width:86;height:243" coordorigin="1911,1841" coordsize="86,243" path="m1954,1841l1922,1879,1911,1962,1922,2046,1954,2084,1986,2046,1997,1962,1987,1879,1954,1841xe" filled="true" fillcolor="#f69896" stroked="false">
              <v:path arrowok="t"/>
              <v:fill type="solid"/>
            </v:shape>
            <v:shape style="position:absolute;left:1911;top:1840;width:86;height:243" coordorigin="1911,1841" coordsize="86,243" path="m1954,2084l1986,2046,1997,1962,1987,1879,1954,1841,1922,1879,1911,1962,1922,2046,1954,2084xe" filled="false" stroked="true" strokeweight=".25pt" strokecolor="#231f20">
              <v:path arrowok="t"/>
              <v:stroke dashstyle="solid"/>
            </v:shape>
            <v:shape style="position:absolute;left:1926;top:1855;width:56;height:214" type="#_x0000_t75" stroked="false">
              <v:imagedata r:id="rId164" o:title=""/>
            </v:shape>
            <v:shape style="position:absolute;left:1926;top:1855;width:56;height:213" coordorigin="1926,1856" coordsize="56,213" path="m1954,2069l1946,2062,1937,2041,1929,2007,1926,1960,1929,1917,1936,1884,1945,1863,1954,1856,1963,1863,1973,1884,1979,1917,1982,1960,1979,2007,1972,2041,1963,2062,1954,2069xe" filled="false" stroked="true" strokeweight=".25pt" strokecolor="#231f20">
              <v:path arrowok="t"/>
              <v:stroke dashstyle="solid"/>
            </v:shape>
            <v:shape style="position:absolute;left:1795;top:2106;width:77;height:211" coordorigin="1796,2106" coordsize="77,211" path="m1840,2106l1808,2139,1796,2210,1805,2283,1840,2317,1863,2307,1872,2281,1871,2246,1868,2210,1869,2181,1869,2147,1862,2118,1840,2106xe" filled="true" fillcolor="#6c8cc7" stroked="false">
              <v:path arrowok="t"/>
              <v:fill type="solid"/>
            </v:shape>
            <v:shape style="position:absolute;left:1795;top:2106;width:77;height:211" coordorigin="1796,2106" coordsize="77,211" path="m1840,2317l1863,2307,1872,2281,1871,2246,1868,2210,1869,2181,1869,2147,1862,2118,1840,2106,1808,2139,1796,2210,1805,2283,1840,2317xe" filled="false" stroked="true" strokeweight=".25pt" strokecolor="#231f20">
              <v:path arrowok="t"/>
              <v:stroke dashstyle="solid"/>
            </v:shape>
            <v:shape style="position:absolute;left:1810;top:2121;width:47;height:181" type="#_x0000_t75" stroked="false">
              <v:imagedata r:id="rId165" o:title=""/>
            </v:shape>
            <v:shape style="position:absolute;left:1810;top:2121;width:47;height:181" coordorigin="1811,2121" coordsize="47,181" path="m1840,2302l1828,2294,1818,2274,1812,2245,1811,2210,1814,2173,1821,2145,1831,2128,1839,2121,1845,2121,1847,2123,1848,2124,1853,2134,1854,2149,1854,2166,1854,2182,1853,2193,1852,2203,1853,2211,1853,2217,1854,2223,1855,2230,1857,2250,1857,2270,1856,2287,1851,2298,1850,2300,1847,2302,1840,2302xe" filled="false" stroked="true" strokeweight=".25pt" strokecolor="#231f20">
              <v:path arrowok="t"/>
              <v:stroke dashstyle="solid"/>
            </v:shape>
            <v:rect style="position:absolute;left:3905;top:3990;width:126;height:150" filled="false" stroked="true" strokeweight=".75pt" strokecolor="#ffffff">
              <v:stroke dashstyle="solid"/>
            </v:rect>
            <v:rect style="position:absolute;left:3920;top:4005;width:95;height:120" filled="false" stroked="true" strokeweight=".75pt" strokecolor="#231f20">
              <v:stroke dashstyle="solid"/>
            </v:rect>
            <v:shape style="position:absolute;left:1125;top:4638;width:4614;height:334" coordorigin="1125,4638" coordsize="4614,334" path="m5739,4972l5739,4638,1125,4638,1125,4972e" filled="false" stroked="true" strokeweight="1pt" strokecolor="#231f20">
              <v:path arrowok="t"/>
              <v:stroke dashstyle="solid"/>
            </v:shape>
            <v:line style="position:absolute" from="3969,4125" to="3969,4638" stroked="true" strokeweight=".75pt" strokecolor="#231f20">
              <v:stroke dashstyle="solid"/>
            </v:line>
            <v:shape style="position:absolute;left:3251;top:5426;width:421;height:670" coordorigin="3251,5427" coordsize="421,670" path="m3655,5427l3610,5471,3575,5563,3568,5644,3564,5677,3547,5749,3514,5818,3471,5873,3423,5917,3335,5984,3301,6014,3272,6047,3251,6086,3278,6096,3296,6063,3322,6033,3354,6006,3391,5979,3443,5939,3494,5892,3539,5833,3574,5758,3593,5682,3599,5615,3603,5568,3613,5526,3634,5487,3672,5450,3655,5427xe" filled="true" fillcolor="#d04e59" stroked="false">
              <v:path arrowok="t"/>
              <v:fill type="solid"/>
            </v:shape>
            <v:shape style="position:absolute;left:3251;top:5426;width:421;height:670" coordorigin="3251,5427" coordsize="421,670" path="m3570,5613l3564,5677,3547,5749,3514,5818,3471,5873,3423,5917,3373,5955,3335,5984,3301,6014,3272,6047,3251,6086,3278,6096,3296,6063,3322,6033,3354,6006,3391,5979,3443,5939,3494,5892,3539,5833,3574,5758,3593,5682,3599,5615,3603,5568,3613,5526,3634,5487,3672,5450,3655,5427,3610,5471,3586,5516,3575,5563,3570,5613xe" filled="false" stroked="true" strokeweight=".25pt" strokecolor="#231f20">
              <v:path arrowok="t"/>
              <v:stroke dashstyle="solid"/>
            </v:shape>
            <v:shape style="position:absolute;left:2643;top:5447;width:692;height:1469" type="#_x0000_t75" stroked="false">
              <v:imagedata r:id="rId166" o:title=""/>
            </v:shape>
            <v:shape style="position:absolute;left:2643;top:5447;width:692;height:1469" coordorigin="2643,5447" coordsize="692,1469" path="m2940,5475l3012,5506,3080,5547,3142,5596,3196,5654,3241,5717,3276,5786,3298,5859,3305,5933,3300,6017,3282,6096,3253,6169,3213,6238,3160,6303,3095,6363,3045,6417,3001,6487,2962,6566,2927,6647,2896,6724,2895,6725,2848,6804,2787,6854,2718,6879,2643,6887,2643,6915,2728,6908,2796,6885,2849,6848,2890,6798,2922,6736,2923,6735,2953,6660,2986,6581,3024,6504,3066,6437,3114,6385,3173,6331,3222,6274,3263,6213,3294,6149,3317,6081,3330,6009,3334,5933,3328,5863,3310,5794,3281,5728,3242,5666,3195,5609,3141,5558,3082,5513,3017,5476,2949,5447,2940,5475xe" filled="false" stroked="true" strokeweight=".25pt" strokecolor="#231f20">
              <v:path arrowok="t"/>
              <v:stroke dashstyle="solid"/>
            </v:shape>
            <v:shape style="position:absolute;left:1980;top:6288;width:1053;height:442" coordorigin="1980,6288" coordsize="1053,442" path="m2585,6545l2338,6545,2357,6546,2376,6553,2393,6564,2451,6605,2507,6630,2556,6645,2592,6658,2620,6674,2648,6695,2679,6715,2718,6729,2785,6730,2841,6708,2884,6667,2905,6626,2761,6626,2732,6621,2704,6602,2683,6584,2660,6569,2633,6557,2585,6545xm2167,6288l2145,6288,2125,6298,2111,6317,2103,6340,2103,6363,2105,6374,2103,6390,2092,6410,2068,6433,2033,6465,2006,6498,1988,6533,1980,6567,1980,6577,1981,6595,1987,6621,1999,6646,2016,6668,2038,6686,2065,6698,2094,6704,2126,6702,2171,6689,2213,6664,2249,6629,2270,6596,2104,6596,2098,6595,2096,6594,2090,6587,2089,6582,2089,6577,2092,6567,2100,6554,2114,6538,2135,6520,2169,6488,2194,6452,2210,6412,2216,6370,2216,6357,2215,6344,2212,6330,2202,6311,2186,6296,2167,6288xm2941,6468l2916,6471,2896,6477,2865,6496,2840,6520,2822,6548,2809,6576,2788,6611,2761,6626,2905,6626,2913,6610,2917,6598,2928,6582,2937,6578,2939,6578,2943,6576,3011,6576,3013,6575,3027,6558,3033,6537,3030,6516,3020,6498,3003,6484,2971,6472,2941,6468xm2332,6436l2292,6441,2257,6455,2225,6477,2199,6505,2177,6540,2165,6560,2149,6576,2131,6587,2115,6593,2104,6596,2270,6596,2276,6587,2285,6572,2295,6561,2307,6552,2320,6547,2338,6545,2585,6545,2550,6535,2512,6518,2482,6497,2451,6474,2412,6452,2373,6439,2332,6436xm3011,6576l2943,6576,2953,6582,2974,6587,2995,6585,3011,6576xe" filled="true" fillcolor="#ffd768" stroked="false">
              <v:path arrowok="t"/>
              <v:fill type="solid"/>
            </v:shape>
            <v:shape style="position:absolute;left:1980;top:6288;width:1053;height:442" coordorigin="1980,6288" coordsize="1053,442" path="m2592,6658l2620,6674,2648,6695,2679,6715,2718,6729,2785,6730,2841,6708,2884,6667,2913,6610,2917,6598,2928,6582,2937,6578,2939,6578,2943,6576,2953,6582,2974,6587,2995,6585,3013,6575,3027,6558,3033,6537,3030,6516,3020,6498,3003,6484,2971,6472,2941,6468,2916,6471,2840,6520,2809,6576,2788,6611,2761,6626,2732,6621,2704,6602,2683,6584,2660,6569,2633,6557,2603,6549,2550,6535,2512,6518,2482,6497,2451,6474,2412,6452,2373,6439,2332,6436,2292,6441,2257,6455,2225,6477,2199,6505,2177,6540,2165,6560,2149,6576,2131,6587,2115,6593,2104,6596,2098,6595,2096,6594,2090,6587,2089,6582,2089,6579,2089,6578,2089,6578,2089,6577,2092,6567,2100,6554,2114,6538,2135,6520,2169,6488,2194,6452,2210,6412,2216,6370,2216,6357,2186,6296,2167,6288,2145,6288,2125,6298,2111,6317,2103,6340,2103,6363,2105,6374,2103,6390,2092,6410,2068,6433,2033,6465,2006,6498,1988,6533,1980,6568,1981,6595,2016,6668,2094,6704,2126,6702,2213,6664,2276,6587,2285,6572,2295,6561,2307,6552,2320,6547,2338,6545,2357,6546,2376,6553,2393,6564,2451,6605,2507,6630,2556,6645,2592,6658xe" filled="false" stroked="true" strokeweight=".25pt" strokecolor="#b7705b">
              <v:path arrowok="t"/>
              <v:stroke dashstyle="solid"/>
            </v:shape>
            <v:shape style="position:absolute;left:1953;top:5643;width:259;height:719" coordorigin="1953,5644" coordsize="259,719" path="m2094,5644l2064,5649,2037,5660,2014,5677,1998,5697,1987,5722,1982,5749,1983,5779,1987,5802,1995,5825,2005,5848,2017,5873,2028,5896,2039,5922,2046,5946,2047,5964,2038,5984,2029,6003,2018,6021,2007,6039,1988,6070,1971,6104,1958,6143,1953,6187,1965,6246,1994,6286,2031,6313,2066,6331,2077,6336,2088,6342,2098,6351,2103,6363,2212,6330,2210,6323,2206,6314,2203,6307,2184,6279,2161,6258,2136,6243,2112,6231,2085,6217,2071,6206,2064,6194,2063,6182,2065,6163,2072,6144,2084,6122,2113,6076,2126,6053,2139,6028,2150,6000,2153,5989,2155,5979,2156,5968,2157,5958,2153,5924,2143,5890,2130,5857,2115,5825,2108,5810,2102,5796,2097,5784,2094,5773,2093,5759,2102,5751,2138,5751,2149,5745,2164,5727,2172,5706,2170,5684,2162,5665,2147,5652,2126,5645,2094,5644xm2138,5751l2102,5751,2109,5754,2130,5755,2138,5751xe" filled="true" fillcolor="#ffd768" stroked="false">
              <v:path arrowok="t"/>
              <v:fill type="solid"/>
            </v:shape>
            <v:shape style="position:absolute;left:1953;top:5643;width:259;height:719" coordorigin="1953,5644" coordsize="259,719" path="m2212,6330l2161,6258,2112,6231,2085,6217,2071,6206,2064,6194,2063,6182,2065,6163,2072,6144,2084,6122,2099,6097,2113,6076,2126,6053,2153,5989,2157,5958,2153,5924,2143,5890,2130,5857,2115,5825,2108,5810,2102,5796,2097,5784,2094,5773,2093,5759,2102,5751,2109,5754,2130,5755,2149,5745,2164,5727,2172,5706,2170,5684,2162,5665,2147,5652,2126,5645,2094,5644,2064,5649,1998,5697,1982,5749,1983,5779,1987,5802,1995,5825,2005,5848,2017,5873,2028,5896,2039,5922,2046,5946,2047,5964,2038,5984,2029,6003,2018,6021,2007,6039,1988,6070,1971,6104,1958,6143,1953,6187,1965,6246,1994,6286,2031,6313,2066,6331,2077,6336,2088,6342,2098,6351,2103,6363e" filled="false" stroked="true" strokeweight=".25pt" strokecolor="#b7705b">
              <v:path arrowok="t"/>
              <v:stroke dashstyle="solid"/>
            </v:shape>
            <v:shape style="position:absolute;left:2188;top:6445;width:131;height:109" type="#_x0000_t75" stroked="false">
              <v:imagedata r:id="rId167" o:title=""/>
            </v:shape>
            <v:shape style="position:absolute;left:1989;top:6438;width:97;height:176" type="#_x0000_t75" stroked="false">
              <v:imagedata r:id="rId168" o:title=""/>
            </v:shape>
            <v:shape style="position:absolute;left:1958;top:6002;width:94;height:216" type="#_x0000_t75" stroked="false">
              <v:imagedata r:id="rId169" o:title=""/>
            </v:shape>
            <v:shape style="position:absolute;left:2080;top:5609;width:239;height:403" coordorigin="2080,5609" coordsize="239,403" path="m2126,5645l2109,5754,2119,5768,2119,5793,2111,5823,2100,5847,2086,5876,2080,5906,2083,5935,2094,5961,2113,5984,2138,6000,2167,6010,2198,6011,2228,6005,2254,5991,2275,5970,2290,5944,2292,5941,2293,5937,2293,5933,2293,5932,2294,5929,2294,5926,2294,5920,2294,5915,2294,5904,2298,5872,2306,5834,2315,5791,2319,5744,2308,5701,2285,5672,2266,5653,2152,5653,2143,5649,2134,5646,2126,5645xm2150,5609l2149,5620,2149,5631,2150,5642,2152,5653,2266,5653,2263,5650,2258,5628,2150,5609xe" filled="true" fillcolor="#ffd768" stroked="false">
              <v:path arrowok="t"/>
              <v:fill type="solid"/>
            </v:shape>
            <v:shape style="position:absolute;left:2080;top:5609;width:239;height:403" coordorigin="2080,5609" coordsize="239,403" path="m2109,5754l2119,5768,2119,5793,2111,5823,2100,5847,2086,5876,2080,5906,2113,5984,2198,6011,2228,6005,2290,5944,2293,5933,2293,5932,2294,5931,2294,5929,2294,5926,2294,5924,2294,5922,2294,5921,2294,5920,2294,5915,2294,5910,2294,5904,2298,5872,2306,5834,2315,5791,2319,5744,2308,5701,2285,5672,2263,5650,2258,5628,2150,5609,2149,5620,2149,5631,2150,5642,2152,5653,2143,5649,2134,5646,2126,5645e" filled="false" stroked="true" strokeweight=".25pt" strokecolor="#b7705b">
              <v:path arrowok="t"/>
              <v:stroke dashstyle="solid"/>
            </v:shape>
            <v:shape style="position:absolute;left:2149;top:5517;width:454;height:926" coordorigin="2149,5517" coordsize="454,926" path="m2419,5623l2270,5623,2284,5626,2298,5637,2311,5655,2318,5674,2319,5693,2316,5713,2303,5754,2285,5817,2269,5886,2260,5967,2262,6060,2275,6136,2298,6205,2332,6267,2376,6321,2428,6369,2489,6410,2557,6443,2603,6348,2531,6309,2468,6260,2415,6201,2379,6131,2360,6051,2360,5972,2372,5903,2389,5843,2408,5786,2421,5743,2430,5691,2426,5642,2419,5623xm2267,5517l2227,5522,2196,5536,2172,5557,2156,5585,2149,5616,2257,5636,2260,5627,2270,5623,2419,5623,2410,5599,2382,5562,2348,5537,2309,5522,2267,5517xe" filled="true" fillcolor="#ffd768" stroked="false">
              <v:path arrowok="t"/>
              <v:fill type="solid"/>
            </v:shape>
            <v:shape style="position:absolute;left:2149;top:5517;width:454;height:926" coordorigin="2149,5517" coordsize="454,926" path="m2257,5636l2260,5627,2270,5623,2284,5626,2298,5637,2311,5655,2318,5674,2319,5693,2316,5713,2303,5754,2285,5817,2269,5886,2260,5967,2262,6060,2275,6136,2298,6205,2332,6267,2376,6321,2428,6369,2489,6410,2557,6443,2603,6348,2531,6309,2468,6260,2415,6201,2379,6131,2360,6051,2360,5972,2372,5903,2389,5843,2408,5786,2421,5743,2430,5691,2426,5642,2410,5599,2382,5562,2348,5537,2309,5522,2267,5517,2227,5522,2196,5536,2172,5557,2156,5585,2149,5616e" filled="false" stroked="true" strokeweight=".25pt" strokecolor="#b7705b">
              <v:path arrowok="t"/>
              <v:stroke dashstyle="solid"/>
            </v:shape>
            <v:shape style="position:absolute;left:2265;top:5746;width:60;height:217" type="#_x0000_t75" stroked="false">
              <v:imagedata r:id="rId170" o:title=""/>
            </v:shape>
            <v:shape style="position:absolute;left:2186;top:5881;width:19;height:29" coordorigin="2187,5882" coordsize="19,29" path="m2205,5882l2200,5890,2191,5897,2189,5902,2187,5908,2193,5910,2195,5902,2196,5898,2200,5891,2204,5884e" filled="false" stroked="true" strokeweight=".25pt" strokecolor="#b7705b">
              <v:path arrowok="t"/>
              <v:stroke dashstyle="solid"/>
            </v:shape>
            <v:shape style="position:absolute;left:2150;top:5651;width:80;height:233" coordorigin="2151,5652" coordsize="80,233" path="m2204,5884l2215,5859,2223,5835,2228,5810,2230,5786,2226,5751,2197,5689,2159,5655,2151,5652e" filled="false" stroked="true" strokeweight=".25pt" strokecolor="#b7705b">
              <v:path arrowok="t"/>
              <v:stroke dashstyle="solid"/>
            </v:shape>
            <v:shape style="position:absolute;left:1987;top:5648;width:128;height:169" type="#_x0000_t75" stroked="false">
              <v:imagedata r:id="rId171" o:title=""/>
            </v:shape>
            <v:shape style="position:absolute;left:2155;top:5523;width:154;height:104" type="#_x0000_t75" stroked="false">
              <v:imagedata r:id="rId172" o:title=""/>
            </v:shape>
            <v:shape style="position:absolute;left:2456;top:5127;width:3275;height:3576" coordorigin="2457,5127" coordsize="3275,3576" path="m5041,7731l5024,7748,5018,7785,5024,7823,5041,7840,5100,7851,5157,7882,5204,7932,5237,7996,5249,8073,5249,8657,5279,8687,5350,8703,5435,8703,5506,8687,5536,8657,5536,8385,5545,8296,5571,8211,5611,8137,5653,8090,5511,8090,5496,8088,5496,7845,5276,7845,5264,7832,5214,7789,5159,7757,5101,7738,5041,7731xm5681,7940l5635,7964,5592,7995,5554,8033,5519,8078,5511,8090,5653,8090,5662,8079,5721,8042,5731,8020,5722,7983,5703,7950,5681,7940xm5543,6834l5154,6834,5192,6835,5228,6849,5252,6867,5270,6892,5280,6923,5283,6960,5283,7843,5276,7845,5496,7845,5496,7077,5502,6985,5519,6900,5543,6834xm4809,6756l4595,6756,4634,6761,4670,6778,4708,6811,4718,6821,4729,6831,4740,6841,4751,6851,4808,6889,4868,6911,4932,6915,5000,6900,5071,6865,5113,6844,5154,6834,5543,6834,5546,6825,5561,6800,4946,6800,4889,6800,4847,6784,4820,6767,4812,6759,4809,6756xm5151,6724l5082,6739,5013,6772,4946,6800,5561,6800,5574,6776,5324,6776,5316,6775,5305,6768,5297,6762,5290,6757,5281,6753,5218,6729,5151,6724xm5187,5248l5168,5253,5149,5278,5138,5307,5143,5327,5201,5366,5248,5415,5285,5472,5311,5538,5326,5614,5331,5697,5331,6757,5330,6770,5324,6776,5574,6776,5583,6759,5587,6755,5471,6755,5471,6085,5477,5992,5493,5908,5521,5832,5558,5767,5570,5754,5460,5754,5447,5750,5447,5400,5347,5400,5342,5391,5311,5349,5275,5311,5234,5278,5187,5248xm4172,6221l3877,6221,3948,6224,4018,6245,4100,6296,4156,6359,4194,6430,4224,6504,4239,6544,4264,6597,4297,6653,4341,6705,4397,6746,4466,6768,4548,6763,4595,6756,4809,6756,4804,6751,4795,6743,4786,6734,4729,6684,4675,6657,4525,6657,4466,6657,4414,6626,4367,6563,4323,6466,4302,6413,4276,6355,4241,6297,4196,6242,4172,6221xm5641,6587l5596,6617,5556,6653,5520,6695,5488,6742,5482,6753,5471,6755,5587,6755,5630,6706,5685,6666,5690,6647,5679,6618,5660,6593,5641,6587xm4606,6647l4525,6657,4675,6657,4671,6655,4606,6647xm2522,6302l2457,6390,2535,6434,2618,6459,2700,6471,2777,6472,2844,6467,2896,6459,2970,6439,3030,6416,3078,6392,3116,6369,2755,6369,2678,6364,2598,6344,2522,6302xm3244,6213l3172,6223,3114,6247,3063,6277,3026,6299,2985,6321,2936,6339,2876,6355,2823,6364,2755,6369,3116,6369,3162,6341,3203,6324,3251,6318,3596,6318,3650,6297,3729,6260,3804,6234,3483,6234,3413,6234,3336,6222,3244,6213xm3596,6318l3251,6318,3314,6326,3409,6340,3497,6339,3577,6325,3596,6318xm3900,6114l3823,6121,3747,6141,3673,6169,3602,6203,3546,6224,3483,6234,3804,6234,3804,6234,3877,6221,4172,6221,4137,6191,4061,6148,3980,6122,3900,6114xm5615,5595l5572,5623,5533,5658,5498,5697,5467,5742,5460,5754,5570,5754,5604,5714,5659,5674,5664,5655,5653,5625,5634,5601,5615,5595xm5402,5127l5371,5132,5357,5146,5357,5399,5347,5400,5447,5400,5447,5146,5433,5132,5402,5127xe" filled="true" fillcolor="#ffd768" stroked="false">
              <v:path arrowok="t"/>
              <v:fill type="solid"/>
            </v:shape>
            <v:shape style="position:absolute;left:2456;top:5127;width:3275;height:3576" coordorigin="2457,5127" coordsize="3275,3576" path="m2457,6390l2535,6434,2618,6459,2700,6471,2777,6472,2844,6467,2970,6439,3030,6416,3119,6367,3162,6341,3203,6324,3251,6318,3314,6326,3409,6340,3497,6339,3577,6325,3649,6297,3729,6260,3804,6234,3877,6221,3948,6224,4018,6245,4100,6296,4156,6359,4194,6430,4224,6504,4239,6544,4264,6597,4297,6653,4341,6705,4397,6746,4466,6768,4548,6763,4595,6756,4634,6761,4670,6778,4708,6811,4718,6821,4729,6831,4808,6889,4868,6911,4932,6915,5000,6900,5071,6865,5113,6844,5154,6834,5228,6849,5280,6923,5283,6960,5283,7825,5283,7843,5276,7845,5264,7832,5214,7789,5159,7757,5101,7738,5041,7731,5024,7748,5018,7785,5024,7823,5041,7840,5100,7851,5157,7882,5204,7932,5237,7996,5249,8073,5249,8657,5279,8687,5350,8703,5435,8703,5506,8687,5536,8657,5536,8385,5545,8296,5571,8211,5611,8137,5662,8079,5721,8042,5731,8020,5722,7983,5703,7950,5681,7940,5635,7964,5592,7995,5554,8033,5519,8078,5511,8090,5496,8088,5496,8073,5496,7077,5502,6985,5519,6900,5546,6825,5583,6759,5630,6706,5685,6666,5690,6647,5679,6618,5660,6593,5641,6587,5596,6617,5556,6653,5520,6695,5488,6742,5482,6753,5471,6755,5471,6737,5471,6085,5477,5992,5493,5908,5521,5832,5558,5767,5604,5714,5659,5674,5664,5655,5653,5625,5634,5601,5615,5595,5572,5623,5533,5658,5498,5697,5467,5742,5460,5754,5447,5750,5447,5737,5447,5146,5433,5132,5402,5127,5371,5132,5357,5146,5357,5388,5357,5399,5347,5400,5342,5391,5311,5349,5275,5311,5234,5278,5187,5248,5168,5253,5149,5278,5138,5307,5143,5327,5201,5366,5248,5415,5285,5472,5311,5538,5326,5614,5332,5699,5332,6756,5330,6770,5324,6776,5316,6775,5305,6768,5297,6762,5290,6757,5281,6753,5218,6729,5151,6724,5082,6739,5013,6772,4946,6800,4847,6784,4795,6743,4786,6734,4729,6684,4671,6655,4606,6647,4525,6657,4466,6657,4414,6626,4367,6563,4323,6466,4302,6413,4276,6355,4241,6297,4196,6242,4137,6191,4061,6148,3980,6122,3900,6114,3823,6121,3747,6141,3673,6169,3602,6203,3546,6224,3483,6234,3413,6234,3336,6222,3244,6213,3172,6223,3114,6247,3063,6277,3026,6299,2985,6321,2936,6339,2876,6355,2823,6364,2755,6369,2678,6364,2598,6344,2522,6302e" filled="false" stroked="true" strokeweight=".25pt" strokecolor="#b7705b">
              <v:path arrowok="t"/>
              <v:stroke dashstyle="solid"/>
            </v:shape>
            <v:shape style="position:absolute;left:3478;top:7981;width:836;height:1316" type="#_x0000_t75" stroked="false">
              <v:imagedata r:id="rId173" o:title=""/>
            </v:shape>
            <v:shape style="position:absolute;left:3478;top:7981;width:836;height:1316" coordorigin="3478,7981" coordsize="836,1316" path="m3951,8443l3942,8438,3924,8429,3901,8417,3882,8408,3810,8371,3741,8332,3677,8291,3620,8246,3572,8193,3536,8133,3512,8063,3504,7981,3478,7981,3485,8059,3505,8128,3537,8187,3578,8240,3628,8285,3683,8326,3743,8363,3806,8398,3871,8431,3900,8446,3964,8489,3997,8545,4008,8613,3994,8685,3956,8748,3896,8805,3818,8860,3740,8917,3687,8973,3657,9034,3643,9109,3645,9162,3658,9212,3683,9257,3720,9297,3737,9277,3704,9242,3682,9202,3670,9158,3669,9111,3681,9043,3710,8986,3759,8935,3832,8882,3900,8835,3956,8786,3997,8734,4024,8677,4034,8614,4033,8588,4029,8562,4022,8538,4013,8516,4010,8511,4014,8507,4080,8549,4137,8593,4187,8643,4229,8700,4261,8766,4281,8841,4288,8928,4314,8928,4308,8844,4290,8770,4262,8705,4225,8648,4180,8597,4129,8553,4073,8513,4013,8477,3951,8443xe" filled="false" stroked="true" strokeweight=".25pt" strokecolor="#231f20">
              <v:path arrowok="t"/>
              <v:stroke dashstyle="solid"/>
            </v:shape>
            <v:shape style="position:absolute;left:3699;top:8028;width:615;height:634" type="#_x0000_t75" stroked="false">
              <v:imagedata r:id="rId174" o:title=""/>
            </v:shape>
            <v:shape style="position:absolute;left:3699;top:8029;width:615;height:632" coordorigin="3699,8029" coordsize="615,632" path="m3699,8031l3703,8057,3772,8055,3846,8069,3922,8097,3997,8138,4068,8192,4124,8246,4173,8307,4213,8371,4246,8440,4269,8512,4283,8586,4288,8661,4314,8661,4309,8583,4294,8505,4270,8431,4236,8359,4194,8292,4143,8229,4085,8172,4010,8116,3931,8073,3851,8044,3773,8029,3699,8031xe" filled="false" stroked="true" strokeweight=".25pt" strokecolor="#231f20">
              <v:path arrowok="t"/>
              <v:stroke dashstyle="solid"/>
            </v:shape>
            <v:shape style="position:absolute;left:3757;top:7219;width:553;height:360" type="#_x0000_t75" stroked="false">
              <v:imagedata r:id="rId175" o:title=""/>
            </v:shape>
            <v:shape style="position:absolute;left:3757;top:7219;width:553;height:361" coordorigin="3757,7220" coordsize="553,361" path="m4284,7220l4272,7303,4241,7372,4198,7427,4151,7469,4031,7531,3952,7549,3879,7554,3816,7547,3770,7531,3757,7553,3812,7573,3882,7580,3962,7574,4043,7554,4120,7520,4187,7473,4239,7419,4278,7358,4302,7291,4310,7220,4284,7220xe" filled="false" stroked="true" strokeweight=".25pt" strokecolor="#231f20">
              <v:path arrowok="t"/>
              <v:stroke dashstyle="solid"/>
            </v:shape>
            <v:shape style="position:absolute;left:3182;top:6654;width:1133;height:646" type="#_x0000_t75" stroked="false">
              <v:imagedata r:id="rId176" o:title=""/>
            </v:shape>
            <v:shape style="position:absolute;left:3182;top:6654;width:1133;height:646" coordorigin="3182,6655" coordsize="1133,646" path="m3182,6811l3203,6831,3255,6788,3320,6753,3394,6725,3474,6704,3557,6690,3639,6684,3716,6685,3786,6694,3846,6709,3907,6731,3966,6760,4022,6795,4076,6836,4126,6884,4171,6938,4209,6998,4241,7065,4265,7137,4280,7216,4286,7300,4314,7300,4309,7212,4293,7130,4268,7054,4235,6984,4194,6921,4147,6865,4095,6814,4039,6771,3980,6734,3918,6704,3855,6681,3792,6665,3719,6656,3638,6655,3553,6662,3467,6676,3383,6698,3305,6728,3237,6766,3182,6811xe" filled="false" stroked="true" strokeweight=".25pt" strokecolor="#231f20">
              <v:path arrowok="t"/>
              <v:stroke dashstyle="solid"/>
            </v:shape>
            <v:shape style="position:absolute;left:4319;top:5447;width:286;height:1298" coordorigin="4319,5448" coordsize="286,1298" path="m4591,5448l4569,5461,4579,5488,4579,5515,4574,5545,4564,5576,4555,5604,4548,5633,4543,5664,4543,5698,4539,5781,4515,5854,4479,5918,4437,5976,4394,6037,4363,6099,4342,6162,4333,6231,4333,6307,4342,6393,4353,6498,4354,6589,4342,6667,4319,6735,4343,6746,4363,6689,4376,6627,4380,6557,4378,6478,4367,6389,4357,6291,4360,6207,4377,6132,4409,6062,4457,5992,4503,5928,4541,5858,4565,5781,4569,5698,4569,5666,4573,5638,4580,5610,4588,5584,4599,5550,4605,5516,4604,5482,4591,5448xe" filled="true" fillcolor="#d04e59" stroked="false">
              <v:path arrowok="t"/>
              <v:fill type="solid"/>
            </v:shape>
            <v:shape style="position:absolute;left:4319;top:5447;width:286;height:1298" coordorigin="4319,5448" coordsize="286,1298" path="m4569,5461l4579,5488,4579,5515,4574,5545,4564,5576,4555,5604,4548,5633,4543,5664,4543,5698,4539,5781,4515,5854,4479,5918,4437,5976,4394,6037,4363,6099,4342,6162,4333,6231,4333,6307,4342,6393,4353,6498,4354,6589,4342,6667,4319,6735,4343,6746,4363,6689,4376,6627,4380,6557,4378,6478,4367,6389,4357,6291,4360,6207,4377,6132,4409,6062,4457,5992,4503,5928,4541,5858,4565,5781,4569,5695,4569,5666,4573,5638,4580,5610,4588,5584,4599,5550,4605,5516,4604,5482,4591,5448,4569,5461xe" filled="false" stroked="true" strokeweight=".25pt" strokecolor="#231f20">
              <v:path arrowok="t"/>
              <v:stroke dashstyle="solid"/>
            </v:shape>
            <v:shape style="position:absolute;left:3613;top:7640;width:573;height:1577" coordorigin="3613,7640" coordsize="573,1577" path="m3645,7754l3633,7757,3623,7764,3616,7774,3613,7787,3613,8904,3622,8986,3645,9055,3681,9113,3728,9158,3781,9191,3840,9210,3901,9217,3956,9211,4008,9196,4055,9171,4079,9152,3901,9152,3836,9143,3776,9114,3725,9065,3690,8995,3677,8904,3677,7787,3675,7774,3668,7764,3658,7757,3645,7754xm4153,7640l4141,7643,4130,7649,4124,7660,4121,7672,4121,8904,4108,8995,4074,9065,4024,9114,3965,9143,3901,9152,4079,9152,4097,9137,4135,9090,4163,9035,4180,8973,4185,8904,4185,7672,4183,7660,4176,7649,4166,7643,4153,7640xe" filled="true" fillcolor="#ffd768" stroked="false">
              <v:path arrowok="t"/>
              <v:fill type="solid"/>
            </v:shape>
            <v:shape style="position:absolute;left:3613;top:7640;width:573;height:1577" coordorigin="3613,7640" coordsize="573,1577" path="m4121,7672l4121,8904,4108,8995,4074,9065,4024,9114,3965,9143,3901,9152,3836,9143,3776,9114,3725,9065,3690,8995,3677,8904,3677,7787,3675,7774,3613,7787,3613,8904,3622,8986,3645,9055,3681,9113,3728,9158,3781,9191,3840,9210,3901,9217,3956,9211,4055,9171,4135,9090,4163,9035,4180,8973,4185,8904,4185,7672,4183,7660,4176,7649,4166,7643,4153,7640,4141,7643,4130,7649,4124,7660,4121,7672xe" filled="false" stroked="true" strokeweight=".25pt" strokecolor="#b7705b">
              <v:path arrowok="t"/>
              <v:stroke dashstyle="solid"/>
            </v:shape>
            <v:shape style="position:absolute;left:4098;top:5981;width:551;height:1746" coordorigin="4099,5981" coordsize="551,1746" path="m4356,5981l4337,5986,4321,5998,4310,6016,4304,6044,4305,6068,4335,6126,4391,6158,4430,6168,4477,6184,4512,6210,4533,6247,4540,6293,4530,6337,4502,6373,4455,6406,4325,6473,4268,6511,4218,6554,4177,6606,4143,6667,4119,6740,4104,6826,4099,6927,4099,7672,4103,7694,4115,7711,4132,7723,4153,7727,4174,7723,4192,7711,4204,7694,4208,7672,4208,6927,4214,6821,4233,6737,4265,6671,4309,6618,4366,6576,4436,6539,4489,6513,4545,6478,4597,6432,4635,6371,4649,6293,4640,6225,4615,6166,4573,6118,4518,6082,4450,6061,4429,6057,4419,6052,4414,6049,4415,6045,4416,6041,4416,6037,4413,6020,4405,6004,4393,5992,4377,5984,4356,5981xe" filled="true" fillcolor="#ffd768" stroked="false">
              <v:path arrowok="t"/>
              <v:fill type="solid"/>
            </v:shape>
            <v:shape style="position:absolute;left:4098;top:5981;width:551;height:1746" coordorigin="4099,5981" coordsize="551,1746" path="m4310,6016l4304,6044,4305,6068,4310,6088,4360,6144,4430,6168,4477,6184,4512,6210,4533,6247,4540,6293,4530,6337,4502,6373,4455,6406,4389,6440,4325,6473,4268,6511,4218,6554,4177,6606,4143,6667,4119,6740,4104,6826,4099,6927,4099,7672,4103,7694,4115,7711,4132,7723,4153,7727,4174,7723,4192,7711,4204,7694,4208,7672,4208,6927,4214,6821,4233,6737,4265,6671,4309,6618,4366,6576,4436,6539,4489,6513,4545,6478,4597,6432,4635,6371,4649,6293,4640,6225,4615,6166,4573,6118,4518,6082,4450,6061,4429,6057,4419,6052,4414,6049,4415,6045,4416,6041,4416,6037,4413,6020,4405,6004,4393,5992,4377,5984,4356,5981,4337,5986,4321,5998,4310,6016xe" filled="false" stroked="true" strokeweight=".25pt" strokecolor="#b7705b">
              <v:path arrowok="t"/>
              <v:stroke dashstyle="solid"/>
            </v:shape>
            <v:shape style="position:absolute;left:4105;top:6447;width:297;height:484" type="#_x0000_t75" stroked="false">
              <v:imagedata r:id="rId177" o:title=""/>
            </v:shape>
            <v:shape style="position:absolute;left:4312;top:5946;width:573;height:236" coordorigin="4312,5947" coordsize="573,236" path="m4663,6056l4418,6056,4432,6057,4452,6064,4476,6079,4519,6109,4562,6134,4611,6154,4669,6173,4725,6183,4786,6181,4840,6164,4875,6133,4878,6128,4880,6124,4882,6118,4885,6097,4880,6077,4879,6076,4751,6076,4726,6074,4700,6069,4663,6056xm4830,6046l4813,6049,4797,6058,4785,6071,4771,6074,4751,6076,4879,6076,4867,6060,4848,6049,4830,6046xm4415,6057l4411,6058,4407,6062,4414,6063,4421,6060,4415,6057xm4426,5947l4388,5951,4364,5960,4342,5973,4325,5990,4312,6011,4415,6057,4418,6056,4663,6056,4651,6053,4612,6036,4578,6017,4543,5992,4505,5968,4465,5953,4426,5947xe" filled="true" fillcolor="#ffd768" stroked="false">
              <v:path arrowok="t"/>
              <v:fill type="solid"/>
            </v:shape>
            <v:shape style="position:absolute;left:4312;top:5946;width:573;height:236" coordorigin="4312,5947" coordsize="573,236" path="m4312,6011l4364,5960,4426,5947,4465,5953,4505,5968,4543,5992,4578,6017,4612,6036,4651,6053,4700,6069,4726,6074,4751,6076,4771,6074,4785,6071,4797,6058,4813,6049,4830,6046,4848,6049,4867,6060,4880,6077,4885,6097,4882,6118,4840,6164,4725,6183,4669,6173,4611,6154,4562,6134,4519,6109,4476,6079,4452,6064,4432,6057,4418,6056,4411,6058,4407,6062,4414,6063,4421,6060e" filled="false" stroked="true" strokeweight=".25pt" strokecolor="#b7705b">
              <v:path arrowok="t"/>
              <v:stroke dashstyle="solid"/>
            </v:shape>
            <v:shape style="position:absolute;left:4309;top:5953;width:107;height:112" type="#_x0000_t75" stroked="false">
              <v:imagedata r:id="rId178" o:title=""/>
            </v:shape>
            <v:shape style="position:absolute;left:5347;top:5576;width:23;height:1097" type="#_x0000_t75" stroked="false">
              <v:imagedata r:id="rId179" o:title=""/>
            </v:shape>
            <v:shape style="position:absolute;left:5298;top:6834;width:23;height:1100" type="#_x0000_t75" stroked="false">
              <v:imagedata r:id="rId180" o:title=""/>
            </v:shape>
            <v:shape style="position:absolute;left:5506;top:7949;width:194;height:182" type="#_x0000_t75" stroked="false">
              <v:imagedata r:id="rId181" o:title=""/>
            </v:shape>
            <v:shape style="position:absolute;left:5464;top:5602;width:168;height:173" type="#_x0000_t75" stroked="false">
              <v:imagedata r:id="rId182" o:title=""/>
            </v:shape>
            <v:shape style="position:absolute;left:5480;top:6596;width:175;height:186" type="#_x0000_t75" stroked="false">
              <v:imagedata r:id="rId183" o:title=""/>
            </v:shape>
            <v:shape style="position:absolute;left:5178;top:5257;width:166;height:161" type="#_x0000_t75" stroked="false">
              <v:imagedata r:id="rId184" o:title=""/>
            </v:shape>
            <v:shape style="position:absolute;left:4993;top:6728;width:228;height:75" type="#_x0000_t75" stroked="false">
              <v:imagedata r:id="rId185" o:title=""/>
            </v:shape>
            <v:shape style="position:absolute;left:4512;top:6651;width:181;height:32" type="#_x0000_t75" stroked="false">
              <v:imagedata r:id="rId186" o:title=""/>
            </v:shape>
            <v:shape style="position:absolute;left:2798;top:6487;width:252;height:341" type="#_x0000_t75" stroked="false">
              <v:imagedata r:id="rId187" o:title=""/>
            </v:shape>
            <v:shape style="position:absolute;left:3386;top:6301;width:566;height:329" coordorigin="3386,6301" coordsize="566,329" path="m3757,6606l3628,6606,3649,6610,3686,6622,3720,6630,3736,6620,3741,6613,3752,6607,3757,6606xm3467,6425l3425,6428,3406,6438,3393,6453,3386,6472,3387,6493,3387,6494,3396,6512,3411,6526,3429,6533,3450,6534,3453,6537,3460,6545,3477,6564,3501,6583,3532,6600,3573,6610,3588,6611,3602,6610,3615,6608,3628,6606,3757,6606,3766,6604,3780,6602,3824,6595,3864,6578,3899,6553,3927,6521,3937,6501,3583,6501,3572,6498,3562,6493,3553,6485,3543,6473,3525,6455,3500,6436,3467,6425xm3800,6301l3758,6309,3718,6326,3682,6354,3664,6376,3651,6400,3640,6424,3632,6448,3620,6477,3608,6494,3597,6501,3583,6501,3937,6501,3938,6500,3730,6500,3734,6488,3741,6468,3746,6453,3752,6441,3759,6432,3778,6418,3795,6412,3809,6410,3949,6410,3945,6392,3929,6362,3906,6336,3877,6317,3842,6305,3800,6301xm3949,6410l3809,6410,3818,6412,3830,6414,3839,6421,3843,6433,3844,6438,3842,6448,3840,6454,3836,6461,3824,6473,3810,6483,3793,6490,3774,6493,3762,6494,3751,6495,3740,6497,3730,6500,3938,6500,3943,6490,3951,6457,3952,6432,3952,6424,3949,6410xe" filled="true" fillcolor="#ffd768" stroked="false">
              <v:path arrowok="t"/>
              <v:fill type="solid"/>
            </v:shape>
            <v:shape style="position:absolute;left:-350;top:14454;width:567;height:329" coordorigin="-350,14455" coordsize="567,329" path="m3736,6483l3741,6468,3746,6453,3752,6441,3759,6432,3778,6418,3795,6412,3809,6410,3818,6412,3830,6414,3839,6421,3842,6430,3843,6433,3844,6438,3843,6442,3842,6448,3840,6454,3836,6461,3824,6473,3810,6483,3793,6490,3774,6493,3762,6494,3751,6495,3740,6497,3730,6500,3732,6494,3734,6488,3736,6483xm3682,6354l3664,6376,3651,6400,3641,6424,3632,6448,3620,6477,3608,6494,3597,6501,3583,6501,3572,6498,3562,6493,3553,6485,3543,6473,3525,6455,3500,6436,3467,6425,3425,6428,3406,6438,3393,6453,3386,6472,3387,6494,3396,6512,3411,6526,3429,6533,3450,6534,3453,6537,3457,6541,3460,6545,3477,6564,3501,6583,3532,6600,3573,6610,3588,6611,3602,6610,3615,6608,3628,6606,3649,6610,3686,6622,3720,6630,3736,6620,3741,6613,3752,6607,3766,6604,3780,6602,3824,6595,3864,6578,3899,6553,3927,6521,3943,6490,3951,6457,3952,6424,3945,6392,3929,6362,3906,6336,3877,6317,3842,6305,3800,6301,3758,6309,3718,6326,3682,6354xe" filled="false" stroked="true" strokeweight=".25pt" strokecolor="#b7705b">
              <v:path arrowok="t"/>
              <v:stroke dashstyle="solid"/>
            </v:shape>
            <v:shape style="position:absolute;left:3625;top:6471;width:382;height:258" type="#_x0000_t75" stroked="false">
              <v:imagedata r:id="rId188" o:title=""/>
            </v:shape>
            <v:shape style="position:absolute;left:4528;top:5929;width:360;height:206" type="#_x0000_t75" stroked="false">
              <v:imagedata r:id="rId189" o:title=""/>
            </v:shape>
            <v:shape style="position:absolute;left:4518;top:5486;width:587;height:605" coordorigin="4518,5486" coordsize="587,605" path="m4918,5970l4698,5970,4732,5975,4769,5991,4806,6022,4841,6052,4882,6074,4924,6088,4967,6091,4998,6087,5027,6076,5052,6060,5074,6037,5090,6013,5101,5987,5101,5982,4962,5982,4943,5980,4922,5973,4918,5970xm4641,5988l4641,5989,4639,5998,4645,5997,4648,5989,4641,5988xm4692,5861l4637,5869,4598,5885,4567,5907,4544,5937,4531,5976,4641,5988,4650,5979,4668,5974,4698,5970,4918,5970,4902,5961,4885,5946,4821,5895,4755,5868,4692,5861xm4971,5594l4859,5594,4863,5610,4865,5622,4866,5636,4866,5651,4866,5663,4867,5673,4868,5713,4874,5761,4892,5805,4926,5843,4953,5866,4974,5892,4989,5917,4996,5941,4998,5956,4993,5964,4982,5977,4974,5982,4962,5982,5101,5982,5105,5958,5104,5928,5093,5882,5069,5837,5035,5795,4992,5756,4983,5742,4978,5720,4976,5694,4976,5660,4975,5646,4975,5626,4973,5606,4971,5594xm4638,5627l4604,5628,4569,5639,4538,5663,4531,5673,4526,5684,4521,5695,4518,5705,4519,5716,4524,5726,4531,5736,4540,5745,4559,5756,4579,5760,4600,5755,4617,5742,4624,5739,4633,5737,4644,5737,4688,5737,4734,5729,4779,5702,4811,5660,4820,5629,4678,5629,4666,5628,4638,5627xm4688,5737l4644,5737,4678,5738,4688,5737xm4833,5486l4790,5496,4755,5518,4730,5552,4718,5594,4717,5603,4711,5615,4700,5625,4678,5629,4820,5629,4827,5606,4827,5602,4828,5596,4859,5594,4971,5594,4969,5586,4951,5544,4920,5512,4880,5492,4833,5486xe" filled="true" fillcolor="#ffd768" stroked="false">
              <v:path arrowok="t"/>
              <v:fill type="solid"/>
            </v:shape>
            <v:shape style="position:absolute;left:4518;top:5486;width:587;height:605" coordorigin="4518,5486" coordsize="587,605" path="m4531,5976l4567,5907,4637,5869,4692,5861,4755,5868,4821,5895,4885,5946,4902,5961,4922,5973,4943,5980,4962,5982,4974,5982,4982,5977,4989,5969,4993,5964,4998,5956,4996,5941,4989,5917,4974,5892,4953,5866,4926,5843,4892,5805,4874,5761,4868,5713,4866,5668,4866,5651,4866,5636,4865,5622,4863,5610,4859,5594,4840,5595,4839,5595,4828,5596,4827,5602,4827,5606,4811,5660,4779,5702,4734,5729,4678,5738,4658,5737,4644,5737,4633,5737,4624,5739,4617,5742,4600,5755,4579,5760,4524,5726,4518,5705,4521,5695,4569,5639,4638,5627,4666,5628,4678,5629,4700,5625,4711,5615,4717,5603,4718,5594,4730,5552,4755,5518,4790,5496,4833,5486,4880,5492,4951,5544,4973,5606,4976,5667,4976,5694,4978,5720,4983,5742,4992,5756,5035,5795,5069,5837,5093,5882,5104,5928,5105,5958,5101,5987,5052,6060,4998,6087,4967,6091,4924,6088,4882,6074,4841,6052,4806,6022,4769,5991,4732,5975,4698,5970,4668,5974,4650,5979,4641,5989,4640,5994,4639,5998,4645,5997,4648,5989e" filled="false" stroked="true" strokeweight=".25pt" strokecolor="#b7705b">
              <v:path arrowok="t"/>
              <v:stroke dashstyle="solid"/>
            </v:shape>
            <v:shape style="position:absolute;left:4533;top:5868;width:121;height:122" type="#_x0000_t75" stroked="false">
              <v:imagedata r:id="rId190" o:title=""/>
            </v:shape>
            <v:shape style="position:absolute;left:4516;top:5599;width:397;height:236" type="#_x0000_t75" stroked="false">
              <v:imagedata r:id="rId191" o:title=""/>
            </v:shape>
            <v:shape style="position:absolute;left:4516;top:5599;width:397;height:236" coordorigin="4516,5599" coordsize="397,236" path="m4518,5705l4526,5765,4599,5824,4680,5835,4734,5821,4776,5793,4807,5756,4826,5717,4827,5715,4829,5713,4831,5711,4848,5716,4865,5715,4882,5709,4896,5698,4907,5680,4912,5664,4910,5647,4900,5629,4880,5612,4855,5602,4830,5599,4806,5603,4737,5654,4720,5687,4711,5702,4695,5718,4672,5726,4657,5726,4644,5723,4633,5720,4625,5716,4619,5713,4623,5708,4628,5712,4633,5716,4637,5721,4647,5724e" filled="false" stroked="true" strokeweight=".25pt" strokecolor="#b7705b">
              <v:path arrowok="t"/>
              <v:stroke dashstyle="solid"/>
            </v:shape>
            <v:shape style="position:absolute;left:4722;top:5491;width:166;height:114" type="#_x0000_t75" stroked="false">
              <v:imagedata r:id="rId192" o:title=""/>
            </v:shape>
            <v:shape style="position:absolute;left:4520;top:5631;width:123;height:88" type="#_x0000_t75" stroked="false">
              <v:imagedata r:id="rId193" o:title=""/>
            </v:shape>
            <v:shape style="position:absolute;left:4102;top:5629;width:823;height:459" coordorigin="4103,5629" coordsize="823,459" path="m4464,5748l4400,5758,4345,5792,4326,5809,4305,5823,4284,5835,4248,5856,4232,5865,4217,5875,4203,5885,4180,5907,4165,5930,4154,5952,4147,5971,4146,5975,4145,5979,4144,5982,4127,5990,4114,6001,4106,6017,4103,6034,4103,6039,4103,6041,4110,6062,4123,6077,4142,6087,4163,6088,4202,6076,4227,6054,4243,6029,4251,6006,4257,5988,4260,5979,4270,5971,4280,5964,4291,5957,4303,5950,4342,5929,4367,5913,4394,5894,4420,5871,4440,5860,4464,5857,4816,5857,4827,5845,4840,5832,4849,5824,4663,5824,4638,5823,4615,5816,4597,5808,4585,5799,4528,5761,4464,5748xm4816,5857l4464,5857,4488,5863,4510,5878,4545,5904,4586,5922,4629,5932,4673,5934,4715,5928,4750,5914,4780,5895,4804,5871,4814,5859,4816,5857xm4900,5629l4816,5706,4813,5710,4802,5722,4789,5734,4763,5757,4748,5771,4734,5785,4720,5801,4713,5807,4700,5815,4684,5821,4663,5824,4849,5824,4853,5820,4870,5805,4887,5787,4903,5766,4916,5742,4924,5715,4925,5691,4925,5685,4917,5657,4900,5629xm4817,5705l4815,5707,4816,5706,4817,5705xm4817,5704l4817,5705,4817,5704,4817,5704xm4819,5685l4819,5691,4818,5696,4818,5698,4817,5704,4820,5701,4823,5696,4826,5685,4819,5685xe" filled="true" fillcolor="#ffd768" stroked="false">
              <v:path arrowok="t"/>
              <v:fill type="solid"/>
            </v:shape>
            <v:shape style="position:absolute;left:4102;top:5629;width:823;height:459" coordorigin="4103,5629" coordsize="823,459" path="m4900,5629l4917,5657,4925,5686,4924,5715,4887,5787,4853,5820,4840,5832,4827,5845,4814,5859,4804,5871,4780,5895,4750,5914,4715,5928,4673,5934,4629,5932,4586,5922,4545,5904,4510,5878,4488,5863,4464,5857,4440,5860,4420,5871,4394,5894,4367,5913,4342,5929,4317,5943,4303,5950,4291,5957,4251,6006,4243,6029,4227,6054,4202,6076,4163,6088,4142,6087,4103,6039,4103,6037,4103,6034,4106,6017,4114,6001,4127,5990,4144,5982,4145,5979,4146,5975,4147,5971,4154,5952,4203,5885,4263,5847,4284,5835,4305,5823,4326,5809,4345,5792,4400,5758,4464,5748,4528,5761,4585,5799,4597,5808,4615,5816,4638,5823,4663,5824,4684,5821,4700,5815,4713,5807,4720,5801,4734,5785,4748,5771,4763,5757,4777,5745,4789,5734,4826,5685,4822,5685,4819,5685,4819,5691,4818,5695,4818,5698,4817,5704,4815,5707e" filled="false" stroked="true" strokeweight=".25pt" strokecolor="#b7705b">
              <v:path arrowok="t"/>
              <v:stroke dashstyle="solid"/>
            </v:shape>
            <v:shape style="position:absolute;left:1151;top:7340;width:585;height:332" type="#_x0000_t75" stroked="false">
              <v:imagedata r:id="rId194" o:title=""/>
            </v:shape>
            <v:shape style="position:absolute;left:1151;top:7340;width:585;height:332" coordorigin="1151,7340" coordsize="585,332" path="m1680,7590l1719,7562,1736,7499,1731,7424,1707,7364,1665,7340,1607,7342,1493,7355,1385,7371,1306,7386,1231,7404,1151,7424,1153,7464,1171,7550,1194,7634,1210,7671,1278,7654,1322,7643,1421,7623,1524,7606,1606,7596,1660,7592,1680,7590xe" filled="false" stroked="true" strokeweight=".25pt" strokecolor="#231f20">
              <v:path arrowok="t"/>
              <v:stroke dashstyle="solid"/>
            </v:shape>
            <v:shape style="position:absolute;left:1127;top:7424;width:105;height:248" coordorigin="1127,7424" coordsize="105,248" path="m1150,7424l1127,7457,1128,7522,1145,7595,1174,7653,1209,7672,1232,7639,1232,7574,1214,7501,1185,7443,1150,7424xe" filled="true" fillcolor="#f69896" stroked="false">
              <v:path arrowok="t"/>
              <v:fill type="solid"/>
            </v:shape>
            <v:shape style="position:absolute;left:1127;top:7424;width:105;height:248" coordorigin="1127,7424" coordsize="105,248" path="m1150,7424l1127,7457,1128,7522,1145,7595,1174,7653,1209,7672,1232,7639,1232,7574,1214,7501,1185,7443,1150,7424xe" filled="false" stroked="true" strokeweight=".25pt" strokecolor="#231f20">
              <v:path arrowok="t"/>
              <v:stroke dashstyle="solid"/>
            </v:shape>
            <v:shape style="position:absolute;left:1137;top:7445;width:78;height:206" type="#_x0000_t75" stroked="false">
              <v:imagedata r:id="rId195" o:title=""/>
            </v:shape>
            <v:shape style="position:absolute;left:1137;top:7445;width:78;height:206" coordorigin="1137,7446" coordsize="78,206" path="m1206,7542l1193,7496,1178,7466,1164,7449,1152,7446,1143,7455,1137,7476,1138,7509,1160,7601,1201,7652,1209,7643,1215,7622,1214,7588,1206,7542xe" filled="false" stroked="true" strokeweight=".25pt" strokecolor="#231f20">
              <v:path arrowok="t"/>
              <v:stroke dashstyle="solid"/>
            </v:shape>
            <v:shape style="position:absolute;left:1468;top:7440;width:585;height:332" type="#_x0000_t75" stroked="false">
              <v:imagedata r:id="rId196" o:title=""/>
            </v:shape>
            <v:shape style="position:absolute;left:1468;top:7440;width:585;height:332" coordorigin="1469,7440" coordsize="585,332" path="m1998,7690l2037,7662,2053,7599,2049,7524,2024,7464,1982,7440,1924,7442,1810,7455,1702,7471,1624,7486,1548,7504,1469,7524,1471,7564,1489,7650,1512,7734,1528,7771,1595,7754,1640,7743,1739,7723,1841,7706,1923,7696,1978,7692,1998,7690xe" filled="false" stroked="true" strokeweight=".25pt" strokecolor="#231f20">
              <v:path arrowok="t"/>
              <v:stroke dashstyle="solid"/>
            </v:shape>
            <v:shape style="position:absolute;left:1444;top:7524;width:105;height:248" coordorigin="1445,7524" coordsize="105,248" path="m1467,7524l1445,7557,1445,7622,1463,7695,1492,7753,1527,7772,1549,7739,1549,7674,1532,7601,1502,7543,1467,7524xe" filled="true" fillcolor="#6c8cc7" stroked="false">
              <v:path arrowok="t"/>
              <v:fill type="solid"/>
            </v:shape>
            <v:shape style="position:absolute;left:1444;top:7524;width:105;height:248" coordorigin="1445,7524" coordsize="105,248" path="m1467,7524l1445,7557,1445,7622,1463,7695,1492,7753,1527,7772,1549,7739,1549,7674,1532,7601,1502,7543,1467,7524xe" filled="false" stroked="true" strokeweight=".25pt" strokecolor="#231f20">
              <v:path arrowok="t"/>
              <v:stroke dashstyle="solid"/>
            </v:shape>
            <v:shape style="position:absolute;left:1454;top:7545;width:78;height:206" type="#_x0000_t75" stroked="false">
              <v:imagedata r:id="rId197" o:title=""/>
            </v:shape>
            <v:shape style="position:absolute;left:1454;top:7545;width:78;height:206" coordorigin="1455,7546" coordsize="78,206" path="m1524,7642l1510,7596,1495,7566,1481,7549,1469,7546,1460,7555,1455,7576,1455,7609,1478,7701,1519,7752,1527,7743,1532,7722,1532,7688,1524,7642xe" filled="false" stroked="true" strokeweight=".25pt" strokecolor="#231f20">
              <v:path arrowok="t"/>
              <v:stroke dashstyle="solid"/>
            </v:shape>
            <v:shape style="position:absolute;left:4719;top:5604;width:145;height:215" type="#_x0000_t75" stroked="false">
              <v:imagedata r:id="rId198" o:title=""/>
            </v:shape>
            <v:shape style="position:absolute;left:4048;top:5415;width:488;height:674" coordorigin="4049,5416" coordsize="488,674" path="m4442,5416l4423,5421,4408,5434,4397,5452,4395,5458,4394,5464,4394,5471,4397,5486,4403,5499,4413,5511,4426,5519,4427,5522,4427,5525,4426,5535,4422,5547,4415,5562,4404,5577,4390,5593,4377,5610,4365,5627,4353,5644,4332,5675,4310,5703,4286,5728,4258,5748,4186,5790,4150,5814,4117,5840,4087,5872,4070,5897,4058,5923,4051,5949,4049,5972,4049,5979,4049,5989,4051,6002,4054,6014,4059,6026,4075,6052,4097,6071,4124,6084,4154,6089,4160,5980,4159,5980,4155,5966,4160,5955,4172,5941,4193,5919,4217,5900,4246,5882,4314,5842,4355,5812,4390,5778,4418,5742,4443,5706,4454,5691,4464,5676,4475,5662,4486,5649,4507,5620,4523,5589,4533,5557,4536,5525,4536,5514,4535,5502,4532,5492,4522,5467,4508,5446,4488,5429,4463,5418,4442,5416xm4160,5979l4159,5980,4160,5980,4160,5979xm4161,5972l4160,5979,4163,5979,4162,5975,4161,5972xm4162,5957l4159,5962,4161,5971,4161,5972,4162,5957xe" filled="true" fillcolor="#ffd768" stroked="false">
              <v:path arrowok="t"/>
              <v:fill type="solid"/>
            </v:shape>
            <v:shape style="position:absolute;left:4048;top:5415;width:488;height:674" coordorigin="4048,5416" coordsize="488,674" path="m4154,6089l4075,6052,4049,5989,4048,5976,4051,5949,4087,5872,4150,5814,4225,5767,4258,5748,4286,5728,4310,5703,4332,5675,4353,5644,4365,5627,4377,5610,4390,5593,4404,5577,4415,5562,4422,5547,4426,5535,4427,5525,4427,5522,4426,5521,4426,5519,4413,5511,4403,5499,4397,5486,4394,5471,4394,5464,4442,5416,4463,5418,4522,5467,4536,5514,4536,5525,4523,5589,4486,5649,4475,5662,4464,5676,4454,5691,4443,5706,4418,5742,4390,5778,4355,5812,4314,5842,4280,5862,4246,5882,4193,5919,4155,5966,4158,5975,4159,5980,4163,5979,4162,5975,4161,5971,4159,5962,4162,5957e" filled="false" stroked="true" strokeweight=".25pt" strokecolor="#b7705b">
              <v:path arrowok="t"/>
              <v:stroke dashstyle="solid"/>
            </v:shape>
            <v:shape style="position:absolute;left:3641;top:5377;width:822;height:468" coordorigin="3642,5377" coordsize="822,468" path="m3999,5562l3858,5562,3876,5574,3892,5591,3903,5614,3908,5643,3914,5701,3928,5749,3948,5788,3975,5817,3993,5829,4018,5839,4048,5845,4085,5843,4112,5835,4136,5822,4157,5804,4174,5781,4185,5758,4192,5738,4051,5738,4045,5733,4043,5732,4035,5721,4027,5703,4021,5675,4017,5638,3999,5562xm4168,5377l4143,5380,4123,5386,4105,5397,4090,5411,4077,5429,4065,5462,4060,5500,4064,5543,4078,5597,4087,5634,4090,5670,4090,5675,4088,5703,4088,5704,4080,5725,4076,5732,4072,5734,4051,5738,4192,5738,4193,5732,4198,5704,4200,5677,4200,5667,4199,5661,4198,5655,4387,5655,4405,5630,4417,5599,4286,5599,4290,5597,4287,5593,4284,5585,4281,5574,4278,5559,4278,5552,4273,5509,4264,5465,4248,5426,4220,5394,4207,5386,4189,5380,4168,5377xm4387,5655l4198,5655,4207,5667,4216,5677,4227,5686,4238,5694,4256,5701,4281,5706,4312,5703,4348,5689,4382,5663,4387,5655xm3821,5445l3767,5452,3718,5472,3678,5504,3650,5543,3642,5569,3642,5595,3648,5619,3662,5640,3697,5666,3731,5670,3760,5663,3779,5654,3792,5647,3798,5645,3826,5645,3844,5636,3859,5621,3866,5600,3867,5597,3867,5597,3867,5581,3863,5571,3858,5562,3999,5562,3997,5554,3952,5494,3890,5457,3821,5445xm3826,5645l3798,5645,3804,5646,3825,5645,3826,5645xm4292,5597l4290,5597,4286,5599,4292,5597xm4418,5597l4292,5597,4286,5599,4417,5599,4418,5597xm4463,5418l4404,5421,4363,5451,4337,5493,4324,5533,4317,5552,4309,5572,4300,5588,4290,5597,4292,5597,4418,5597,4420,5594,4429,5561,4432,5549,4437,5533,4438,5530,4463,5418xm4444,5514l4441,5524,4438,5530,4436,5540,4437,5536,4439,5532,4444,5524,4448,5518,4444,5514xe" filled="true" fillcolor="#ffd768" stroked="false">
              <v:path arrowok="t"/>
              <v:fill type="solid"/>
            </v:shape>
            <v:shape style="position:absolute;left:3641;top:5377;width:822;height:468" coordorigin="3642,5377" coordsize="822,468" path="m4463,5418l4363,5451,4324,5532,4317,5552,4309,5572,4300,5588,4290,5597,4286,5599,4292,5597,4278,5552,4273,5509,4248,5426,4189,5380,4168,5377,4143,5380,4090,5411,4060,5500,4064,5543,4076,5590,4087,5634,4091,5673,4088,5704,4080,5725,4076,5732,4072,5734,4067,5735,4051,5738,4045,5733,4021,5675,4017,5638,3997,5554,3952,5494,3890,5457,3821,5445,3767,5452,3678,5504,3642,5569,3642,5595,3648,5619,3662,5640,3697,5666,3731,5670,3760,5663,3779,5654,3792,5647,3798,5645,3804,5646,3825,5645,3844,5636,3859,5621,3866,5600,3867,5597,3867,5594,3867,5592,3867,5581,3863,5571,3858,5562,3876,5574,3892,5591,3903,5614,3908,5643,3914,5701,3928,5749,3975,5817,4048,5845,4085,5843,4157,5804,4193,5732,4200,5674,4200,5668,4199,5661,4198,5655,4256,5701,4281,5706,4312,5703,4382,5663,4420,5594,4432,5549,4437,5533,4441,5524,4444,5514,4448,5518,4444,5525,4439,5532,4437,5536,4436,5540e" filled="false" stroked="true" strokeweight=".25pt" strokecolor="#b7705b">
              <v:path arrowok="t"/>
              <v:stroke dashstyle="solid"/>
            </v:shape>
            <v:shape style="position:absolute;left:4053;top:5786;width:160;height:199" type="#_x0000_t75" stroked="false">
              <v:imagedata r:id="rId199" o:title=""/>
            </v:shape>
            <v:shape style="position:absolute;left:4064;top:5382;width:159;height:174" type="#_x0000_t75" stroked="false">
              <v:imagedata r:id="rId200" o:title=""/>
            </v:shape>
            <v:shape style="position:absolute;left:4332;top:5419;width:139;height:107" type="#_x0000_t75" stroked="false">
              <v:imagedata r:id="rId201" o:title=""/>
            </v:shape>
            <v:shape style="position:absolute;left:3645;top:5449;width:182;height:147" type="#_x0000_t75" stroked="false">
              <v:imagedata r:id="rId202" o:title=""/>
            </v:shape>
            <v:shape style="position:absolute;left:3403;top:5529;width:479;height:352" coordorigin="3404,5529" coordsize="479,352" path="m3802,5529l3780,5532,3760,5538,3754,5542,3771,5608,3774,5615,3770,5622,3753,5639,3719,5656,3669,5671,3561,5691,3511,5706,3462,5730,3424,5764,3413,5781,3407,5798,3404,5817,3405,5835,3412,5856,3426,5871,3445,5880,3467,5881,3486,5875,3500,5863,3510,5846,3513,5827,3513,5827,3525,5819,3547,5809,3578,5799,3687,5779,3755,5758,3816,5727,3861,5683,3870,5667,3877,5650,3881,5632,3882,5615,3882,5604,3881,5593,3878,5583,3869,5562,3853,5545,3830,5534,3802,5529xm3746,5546l3745,5546,3735,5555,3728,5565,3734,5565,3741,5552,3746,5546xm3753,5541l3747,5544,3746,5546,3754,5542,3753,5541xe" filled="true" fillcolor="#ffd768" stroked="false">
              <v:path arrowok="t"/>
              <v:fill type="solid"/>
            </v:shape>
            <v:shape style="position:absolute;left:3403;top:5529;width:479;height:352" coordorigin="3404,5529" coordsize="479,352" path="m3753,5541l3747,5544,3741,5552,3738,5557,3734,5565,3802,5529,3830,5534,3878,5583,3882,5604,3882,5614,3861,5683,3816,5727,3755,5758,3687,5779,3621,5791,3578,5799,3547,5809,3525,5819,3513,5827,3513,5827,3510,5846,3500,5863,3486,5875,3467,5881,3445,5880,3426,5871,3412,5856,3405,5835,3404,5817,3407,5798,3462,5730,3561,5691,3606,5683,3669,5671,3719,5656,3753,5639,3770,5622,3774,5615,3772,5610,3771,5608e" filled="false" stroked="true" strokeweight=".25pt" strokecolor="#b7705b">
              <v:path arrowok="t"/>
              <v:stroke dashstyle="solid"/>
            </v:shape>
            <v:shape style="position:absolute;left:3409;top:5688;width:203;height:133" type="#_x0000_t75" stroked="false">
              <v:imagedata r:id="rId203" o:title=""/>
            </v:shape>
            <v:shape style="position:absolute;left:2981;top:5722;width:907;height:516" coordorigin="2981,5722" coordsize="907,516" path="m3113,5810l3093,5818,3078,5833,3070,5853,3070,5875,3066,5929,3047,6011,3020,6094,2993,6149,2983,6168,2981,6189,2987,6209,3001,6226,3020,6236,3041,6237,3061,6231,3078,6217,3129,6172,3188,6149,3258,6143,3555,6143,3579,6140,3624,6129,3664,6116,3738,6082,3795,6043,3467,6043,3456,6043,3393,6037,3325,6020,3261,5987,3209,5933,3177,5853,3169,5833,3154,5818,3135,5810,3113,5810xm3555,6143l3258,6143,3343,6148,3367,6149,3400,6151,3438,6151,3475,6151,3529,6147,3555,6143xm3881,5831l3723,5831,3745,5832,3758,5834,3766,5841,3773,5853,3777,5864,3779,5875,3778,5886,3775,5898,3755,5930,3722,5961,3678,5990,3626,6014,3596,6024,3562,6032,3525,6038,3486,6042,3475,6043,3467,6043,3795,6043,3800,6039,3847,5989,3877,5936,3887,5902,3888,5867,3882,5834,3881,5831xm3714,5722l3662,5733,3616,5754,3577,5780,3558,5794,3541,5802,3527,5807,3517,5809,3405,5835,3412,5859,3425,5880,3443,5898,3466,5910,3507,5918,3552,5914,3599,5896,3645,5866,3670,5849,3697,5837,3723,5831,3881,5831,3869,5801,3850,5773,3827,5751,3799,5735,3767,5725,3714,5722xe" filled="true" fillcolor="#ffd768" stroked="false">
              <v:path arrowok="t"/>
              <v:fill type="solid"/>
            </v:shape>
            <v:shape style="position:absolute;left:2981;top:5722;width:907;height:516" coordorigin="2981,5722" coordsize="907,516" path="m3405,5835l3443,5898,3507,5918,3552,5914,3599,5896,3645,5866,3670,5849,3697,5837,3723,5831,3745,5832,3758,5834,3766,5841,3773,5853,3777,5864,3779,5875,3778,5886,3722,5961,3626,6014,3562,6032,3486,6042,3467,6043,3456,6043,3393,6037,3325,6020,3261,5987,3209,5933,3177,5853,3169,5833,3154,5818,3135,5810,3113,5810,3093,5818,3078,5833,3070,5853,3070,5874,3066,5929,3047,6011,3020,6094,2993,6149,2983,6168,2981,6189,2987,6209,3001,6226,3020,6236,3041,6237,3061,6231,3078,6217,3129,6172,3188,6149,3258,6143,3343,6148,3367,6149,3400,6151,3438,6151,3475,6151,3529,6147,3624,6129,3738,6082,3800,6039,3847,5989,3877,5936,3888,5867,3882,5834,3850,5773,3799,5735,3714,5722,3662,5733,3616,5754,3577,5780,3558,5794,3541,5802,3527,5807,3517,5809e" filled="false" stroked="true" strokeweight=".25pt" strokecolor="#b7705b">
              <v:path arrowok="t"/>
              <v:stroke dashstyle="solid"/>
            </v:shape>
            <v:shape style="position:absolute;left:3566;top:5726;width:212;height:82" type="#_x0000_t75" stroked="false">
              <v:imagedata r:id="rId204" o:title=""/>
            </v:shape>
            <v:shape style="position:absolute;left:3501;top:5802;width:27;height:7" coordorigin="3502,5803" coordsize="27,7" path="m3506,5803l3502,5807,3509,5809,3511,5809,3514,5809,3517,5809,3524,5808,3521,5808,3513,5806,3506,5803xm3528,5807l3521,5808,3524,5808,3528,5807xe" filled="true" fillcolor="#ffd768" stroked="false">
              <v:path arrowok="t"/>
              <v:fill type="solid"/>
            </v:shape>
            <v:shape style="position:absolute;left:3501;top:5802;width:27;height:7" coordorigin="3502,5803" coordsize="27,7" path="m3510,5805l3506,5803,3502,5807,3509,5809,3511,5809,3514,5809,3517,5809,3528,5807,3521,5808,3513,5806,3510,5805xe" filled="false" stroked="true" strokeweight=".25pt" strokecolor="#b7705b">
              <v:path arrowok="t"/>
              <v:stroke dashstyle="solid"/>
            </v:shape>
            <v:shape style="position:absolute;left:2481;top:5593;width:675;height:703" type="#_x0000_t75" stroked="false">
              <v:imagedata r:id="rId205" o:title=""/>
            </v:shape>
            <v:shape style="position:absolute;left:2523;top:5661;width:557;height:569" coordorigin="2524,5662" coordsize="557,569" path="m2829,5662l2784,5678,2745,5712,2718,5765,2716,5772,2685,5777,2667,5783,2625,5801,2602,5809,2570,5825,2551,5849,2545,5877,2550,5906,2552,5917,2550,5928,2546,5938,2542,5947,2534,5964,2527,5985,2524,6007,2524,6013,2524,6033,2533,6060,2549,6084,2574,6103,2607,6113,2619,6116,2632,6121,2642,6128,2647,6135,2655,6162,2670,6187,2692,6208,2721,6224,2771,6230,2821,6215,2863,6184,2889,6146,2769,6146,2751,6145,2741,6137,2730,6121,2722,6099,2717,6073,2717,6047,2718,6046,2642,6046,2624,6021,2615,5988,2615,5953,2620,5923,2628,5905,2637,5890,2647,5878,2658,5869,2667,5863,2676,5859,2686,5856,2698,5853,2724,5848,2751,5838,2776,5819,2792,5786,2801,5766,2814,5747,2832,5734,2855,5732,2960,5732,2945,5704,2914,5677,2873,5662,2829,5662xm2993,5837l2898,5837,2910,5863,2925,5886,2942,5905,2959,5919,2976,5936,2989,5956,2998,5977,3002,5997,3002,6000,3001,6004,3001,6007,2991,6013,2973,6019,2955,6023,2947,6024,2914,6033,2878,6049,2845,6075,2821,6111,2808,6128,2790,6141,2769,6146,2889,6146,2892,6141,2900,6132,2913,6125,2931,6120,2954,6116,2991,6109,3023,6098,3049,6083,3067,6062,3079,6032,3081,5987,3069,5939,3045,5894,2997,5844,2993,5837xm2859,5740l2851,5742,2840,5748,2832,5757,2826,5767,2824,5779,2824,5783,2825,5787,2826,5791,2827,5793,2828,5796,2828,5799,2815,5838,2782,5885,2739,5929,2694,5960,2674,5974,2659,5994,2648,6018,2642,6046,2718,6046,2722,6033,2730,6029,2774,5999,2824,5954,2869,5898,2898,5837,2993,5837,2987,5827,2982,5810,2979,5798,2966,5744,2965,5742,2874,5742,2867,5740,2859,5740xm2960,5732l2855,5732,2863,5733,2869,5737,2874,5742,2965,5742,2960,5732xe" filled="true" fillcolor="#d04e59" stroked="false">
              <v:path arrowok="t"/>
              <v:fill type="solid"/>
            </v:shape>
            <v:shape style="position:absolute;left:2612;top:5729;width:392;height:420" type="#_x0000_t75" stroked="false">
              <v:imagedata r:id="rId206" o:title=""/>
            </v:shape>
            <v:shape style="position:absolute;left:2523;top:5661;width:558;height:569" coordorigin="2523,5662" coordsize="558,569" path="m2718,5765l2717,5770,2716,5772,2685,5777,2667,5783,2646,5792,2625,5801,2602,5809,2570,5825,2551,5849,2545,5877,2550,5906,2552,5917,2550,5928,2546,5938,2542,5947,2534,5964,2527,5985,2523,6008,2524,6033,2574,6103,2619,6116,2632,6121,2642,6128,2647,6135,2655,6162,2670,6187,2692,6208,2721,6224,2771,6230,2821,6215,2863,6184,2892,6141,2900,6132,2913,6125,2931,6120,2954,6116,2991,6109,3049,6083,3081,5987,3069,5939,3045,5894,3010,5858,2997,5844,2987,5827,2982,5810,2979,5798,2966,5744,2945,5704,2914,5677,2873,5662,2829,5662,2784,5678,2745,5712,2718,5765xe" filled="false" stroked="true" strokeweight=".25pt" strokecolor="#231f20">
              <v:path arrowok="t"/>
              <v:stroke dashstyle="solid"/>
            </v:shape>
            <v:shape style="position:absolute;left:2547;top:5811;width:64;height:99" type="#_x0000_t75" stroked="false">
              <v:imagedata r:id="rId207" o:title=""/>
            </v:shape>
            <v:shape style="position:absolute;left:2972;top:5781;width:114;height:188" type="#_x0000_t75" stroked="false">
              <v:imagedata r:id="rId208" o:title=""/>
            </v:shape>
            <v:shape style="position:absolute;left:-280;top:14546;width:27;height:97" coordorigin="-280,14546" coordsize="27,97" path="m2764,5776l2759,5781,2748,5791,2746,5788,2744,5785,2756,5784,2759,5781m2753,5703l2758,5695,2752,5695,2750,5702,2749,5705,2745,5710,2738,5715e" filled="false" stroked="true" strokeweight=".25pt" strokecolor="#231f20">
              <v:path arrowok="t"/>
              <v:stroke dashstyle="solid"/>
            </v:shape>
            <v:shape style="position:absolute;left:2440;top:5558;width:752;height:774" coordorigin="2440,5558" coordsize="752,774" path="m2477,6031l2463,6033,2451,6041,2443,6052,2440,6065,2442,6079,2476,6148,2522,6209,2578,6258,2643,6296,2715,6321,2792,6331,2870,6326,2943,6306,3010,6273,3026,6261,2794,6261,2719,6249,2651,6221,2591,6178,2543,6122,2509,6054,2501,6042,2490,6034,2477,6031xm3027,5629l2816,5629,2888,5640,2954,5666,3011,5705,3058,5756,3094,5816,3115,5883,3121,5956,3110,6028,3084,6093,3045,6151,2994,6198,2934,6233,2867,6255,2794,6261,3026,6261,3069,6227,3118,6172,3156,6107,3181,6036,3192,5958,3186,5880,3166,5807,3133,5740,3088,5681,3032,5632,3027,5629xm2819,5558l2780,5559,2741,5563,2704,5571,2667,5583,2655,5591,2647,5602,2644,5615,2647,5629,2654,5641,2665,5649,2678,5652,2692,5649,2722,5640,2753,5633,2784,5629,2816,5629,3027,5629,2968,5594,2896,5569,2819,5558xe" filled="true" fillcolor="#ffe293" stroked="false">
              <v:path arrowok="t"/>
              <v:fill type="solid"/>
            </v:shape>
            <v:shape style="position:absolute;left:2440;top:5558;width:752;height:774" coordorigin="2440,5558" coordsize="752,774" path="m2667,5583l2655,5591,2647,5602,2644,5615,2647,5629,2654,5641,2665,5649,2678,5652,2692,5649,2722,5640,2753,5633,2784,5629,2816,5629,2888,5640,2954,5666,3011,5705,3058,5756,3094,5816,3115,5883,3121,5956,3110,6028,3084,6093,3045,6151,2994,6198,2934,6233,2867,6255,2794,6261,2719,6249,2651,6221,2591,6178,2543,6122,2509,6054,2501,6042,2440,6065,2442,6079,2476,6148,2522,6209,2578,6258,2643,6296,2715,6321,2792,6331,2870,6326,2943,6306,3010,6273,3069,6227,3118,6172,3156,6107,3181,6036,3192,5958,3186,5880,3166,5807,3133,5740,3088,5681,3032,5632,2968,5594,2896,5569,2819,5558,2780,5559,2741,5563,2704,5571,2667,5583xe" filled="false" stroked="true" strokeweight=".25pt" strokecolor="#b7705b">
              <v:path arrowok="t"/>
              <v:stroke dashstyle="solid"/>
            </v:shape>
            <v:shape style="position:absolute;left:3590;top:6485;width:456;height:1396" coordorigin="3591,6485" coordsize="456,1396" path="m3932,6587l3925,6600,3904,6624,3871,6650,3826,6678,3757,6722,3703,6770,3662,6823,3632,6882,3611,6950,3599,7029,3592,7120,3591,7224,3591,7827,3595,7848,3607,7865,3624,7877,3645,7881,3667,7877,3684,7865,3696,7848,3700,7827,3700,7224,3701,7132,3704,7051,3714,6981,3732,6920,3761,6867,3805,6821,3866,6781,3930,6742,3981,6701,4017,6658,4040,6615,4044,6598,3927,6598,3932,6590,3932,6587xm4005,6485l3927,6598,4044,6598,4046,6587,4046,6559,4040,6533,4027,6508,4021,6498,4013,6491,4005,6485xm3932,6564l3932,6569,3932,6587,3936,6580,3939,6571,3939,6565,3932,6564xe" filled="true" fillcolor="#ffd768" stroked="false">
              <v:path arrowok="t"/>
              <v:fill type="solid"/>
            </v:shape>
            <v:shape style="position:absolute;left:3590;top:6485;width:456;height:1396" coordorigin="3591,6485" coordsize="456,1396" path="m4005,6485l4046,6559,4046,6586,4040,6615,4017,6658,3981,6701,3930,6742,3866,6781,3805,6821,3761,6867,3732,6920,3714,6981,3704,7051,3701,7132,3700,7224,3700,7827,3696,7848,3684,7865,3667,7877,3645,7881,3624,7877,3607,7865,3595,7848,3591,7827,3591,7224,3592,7120,3599,7029,3611,6950,3632,6882,3662,6823,3703,6770,3757,6722,3826,6678,3871,6650,3904,6624,3925,6600,3936,6580,3939,6571,3939,6565,3935,6564,3932,6564,3932,6569,3933,6573,3933,6581,3932,6590,3927,6598e" filled="false" stroked="true" strokeweight=".25pt" strokecolor="#b7705b">
              <v:path arrowok="t"/>
              <v:stroke dashstyle="solid"/>
            </v:shape>
            <v:shape style="position:absolute;left:3262;top:6430;width:300;height:455" coordorigin="3263,6431" coordsize="300,455" path="m3326,6710l3304,6711,3284,6720,3270,6735,3263,6754,3263,6775,3282,6818,3313,6854,3355,6877,3406,6886,3459,6877,3504,6852,3538,6815,3554,6779,3412,6779,3401,6778,3389,6772,3380,6764,3374,6751,3364,6731,3347,6717,3326,6710xm3417,6431l3395,6444,3378,6463,3366,6485,3359,6511,3360,6550,3372,6589,3392,6624,3420,6653,3436,6668,3448,6688,3454,6712,3452,6740,3445,6758,3435,6770,3424,6777,3412,6779,3554,6779,3558,6768,3560,6762,3561,6756,3562,6749,3562,6698,3549,6648,3524,6603,3487,6566,3479,6557,3473,6546,3472,6544,3417,6431xm3475,6520l3468,6520,3468,6527,3469,6536,3472,6544,3472,6545,3471,6537,3473,6532,3475,6520xe" filled="true" fillcolor="#ffd768" stroked="false">
              <v:path arrowok="t"/>
              <v:fill type="solid"/>
            </v:shape>
            <v:shape style="position:absolute;left:3262;top:6430;width:300;height:455" coordorigin="3263,6431" coordsize="300,455" path="m3417,6431l3395,6444,3378,6463,3366,6485,3359,6511,3360,6550,3372,6589,3392,6624,3420,6653,3436,6668,3448,6688,3454,6712,3452,6740,3445,6758,3435,6770,3424,6777,3412,6779,3401,6778,3389,6772,3380,6764,3374,6751,3364,6731,3304,6711,3263,6754,3263,6775,3282,6818,3313,6854,3355,6877,3406,6886,3459,6877,3538,6815,3561,6756,3562,6698,3549,6648,3524,6603,3487,6566,3479,6557,3473,6546,3469,6536,3468,6527,3468,6520,3475,6520,3474,6526,3473,6532,3471,6537,3472,6545e" filled="false" stroked="true" strokeweight=".25pt" strokecolor="#b7705b">
              <v:path arrowok="t"/>
              <v:stroke dashstyle="solid"/>
            </v:shape>
            <v:shape style="position:absolute;left:2813;top:6378;width:601;height:475" coordorigin="2814,6379" coordsize="601,475" path="m2896,6735l2814,6809,2840,6835,2875,6849,2915,6853,2956,6847,3015,6820,3065,6773,3081,6745,2915,6745,2902,6743,2896,6735xm3400,6488l3243,6488,3283,6505,3294,6520,3301,6537,3304,6554,3305,6570,3303,6592,3298,6613,3291,6634,3284,6655,3274,6682,3265,6711,3262,6740,3261,6745,3263,6775,3281,6774,3319,6766,3357,6757,3374,6751,3373,6740,3375,6727,3379,6712,3386,6694,3395,6668,3404,6639,3411,6607,3414,6571,3411,6528,3400,6489,3400,6488xm3210,6379l3157,6393,3104,6432,3056,6501,3022,6605,3004,6662,2981,6703,2955,6729,2929,6741,2915,6745,3081,6745,3103,6708,3129,6627,3158,6547,3199,6501,3243,6488,3400,6488,3382,6455,3358,6426,3335,6407,3303,6391,3262,6381,3210,6379xe" filled="true" fillcolor="#ffd768" stroked="false">
              <v:path arrowok="t"/>
              <v:fill type="solid"/>
            </v:shape>
            <v:shape style="position:absolute;left:2086;top:6341;width:35;height:52" coordorigin="2086,6341" coordsize="35,52" path="m2086,6341l2100,6349,2112,6362,2119,6376,2121,6392e" filled="false" stroked="true" strokeweight=".25pt" strokecolor="#b7705b">
              <v:path arrowok="t"/>
              <v:stroke dashstyle="solid"/>
            </v:shape>
            <v:shape style="position:absolute;left:2895;top:6378;width:519;height:372" coordorigin="2896,6379" coordsize="519,372" path="m3374,6751l3395,6668,3404,6639,3411,6607,3414,6571,3411,6528,3382,6455,3335,6407,3262,6381,3210,6379,3157,6393,3104,6432,3056,6501,3022,6605,3004,6662,2981,6703,2955,6729,2929,6741,2915,6745,2902,6743,2896,6735e" filled="false" stroked="true" strokeweight=".25pt" strokecolor="#b7705b">
              <v:path arrowok="t"/>
              <v:stroke dashstyle="solid"/>
            </v:shape>
            <v:shape style="position:absolute;left:2831;top:6472;width:175;height:78" type="#_x0000_t75" stroked="false">
              <v:imagedata r:id="rId209" o:title=""/>
            </v:shape>
            <v:shape style="position:absolute;left:3040;top:6382;width:244;height:180" type="#_x0000_t75" stroked="false">
              <v:imagedata r:id="rId210" o:title=""/>
            </v:shape>
            <v:shape style="position:absolute;left:2813;top:6487;width:492;height:366" coordorigin="2814,6488" coordsize="492,366" path="m2814,6809l2840,6835,2875,6849,2915,6853,2956,6847,3015,6820,3065,6773,3103,6708,3129,6627,3158,6547,3199,6501,3243,6488,3283,6505,3294,6520,3301,6537,3304,6554,3305,6570,3303,6592,3298,6613,3291,6634,3284,6655,3274,6682,3265,6711,3261,6742,3263,6775e" filled="false" stroked="true" strokeweight=".25pt" strokecolor="#b7705b">
              <v:path arrowok="t"/>
              <v:stroke dashstyle="solid"/>
            </v:shape>
            <v:shape style="position:absolute;left:2850;top:5834;width:241;height:257" type="#_x0000_t75" stroked="false">
              <v:imagedata r:id="rId211" o:title=""/>
            </v:shape>
            <v:shape style="position:absolute;left:3632;top:6500;width:98;height:93" coordorigin="3632,6500" coordsize="98,93" path="m3730,6500l3699,6512,3672,6531,3649,6557,3632,6592e" filled="false" stroked="true" strokeweight=".25pt" strokecolor="#b7705b">
              <v:path arrowok="t"/>
              <v:stroke dashstyle="solid"/>
            </v:shape>
            <v:shape style="position:absolute;left:3636;top:6305;width:214;height:153" type="#_x0000_t75" stroked="false">
              <v:imagedata r:id="rId212" o:title=""/>
            </v:shape>
            <v:shape style="position:absolute;left:3846;top:6479;width:165;height:97" type="#_x0000_t75" stroked="false">
              <v:imagedata r:id="rId213" o:title=""/>
            </v:shape>
            <v:shape style="position:absolute;left:3605;top:6689;width:236;height:422" type="#_x0000_t75" stroked="false">
              <v:imagedata r:id="rId214" o:title=""/>
            </v:shape>
            <v:shape style="position:absolute;left:3635;top:6506;width:105;height:99" type="#_x0000_t75" stroked="false">
              <v:imagedata r:id="rId215" o:title=""/>
            </v:shape>
            <v:shape style="position:absolute;left:-123;top:14518;width:151;height:176" coordorigin="-122,14519" coordsize="151,176" path="m4290,5597l4295,5604,4301,5612,4318,5609m4198,5655l4195,5612,4189,5567,4181,5525,4172,5495,4168,5482,4177,5480,4178,5492,4179,5507,4181,5522,4182,5532,4183,5536e" filled="false" stroked="true" strokeweight=".25pt" strokecolor="#b7705b">
              <v:path arrowok="t"/>
              <v:stroke dashstyle="solid"/>
            </v:shape>
            <v:shape style="position:absolute;left:3393;top:6428;width:112;height:36" type="#_x0000_t75" stroked="false">
              <v:imagedata r:id="rId216" o:title=""/>
            </v:shape>
            <v:shape style="position:absolute;left:2998;top:5303;width:2185;height:4044" type="#_x0000_t75" stroked="false">
              <v:imagedata r:id="rId217" o:title=""/>
            </v:shape>
            <v:shape style="position:absolute;left:1831;top:6883;width:1173;height:374" type="#_x0000_t75" stroked="false">
              <v:imagedata r:id="rId218" o:title=""/>
            </v:shape>
            <v:shape style="position:absolute;left:1831;top:6883;width:1173;height:374" coordorigin="1831,6884" coordsize="1173,374" path="m3004,6884l2924,6884,2819,6884,2726,6884,2687,6884,2578,6891,2490,6910,2418,6938,2358,6974,2305,7014,2255,7057,2180,7110,2106,7145,2030,7163,1950,7168,1927,7169,1894,7171,1859,7177,1831,7186,1831,7257,1857,7244,1892,7236,1928,7233,1955,7232,2038,7228,2108,7215,2171,7192,2232,7156,2295,7107,2344,7065,2393,7027,2448,6995,2511,6970,2590,6953,2688,6948,3004,6948e" filled="false" stroked="true" strokeweight=".25pt" strokecolor="#231f20">
              <v:path arrowok="t"/>
              <v:stroke dashstyle="solid"/>
            </v:shape>
            <v:shape style="position:absolute;left:2467;top:5404;width:639;height:431" coordorigin="2467,5405" coordsize="639,431" path="m2820,5405l2744,5412,2673,5433,2609,5466,2555,5510,2511,5564,2480,5626,2467,5679,2469,5722,2479,5756,2493,5783,2513,5806,2540,5823,2572,5833,2605,5835,2644,5827,2671,5812,2690,5792,2704,5774,2712,5762,2715,5757,2599,5757,2591,5757,2579,5753,2567,5746,2555,5735,2547,5717,2544,5694,2545,5669,2551,5644,2578,5589,2623,5541,2680,5503,2747,5478,2820,5469,3070,5469,3040,5452,2969,5426,2896,5410,2820,5405xm2764,5655l2739,5660,2713,5671,2686,5689,2663,5712,2646,5733,2627,5749,2599,5757,2715,5757,2718,5754,2725,5750,2738,5740,2750,5731,2764,5725,2783,5723,2794,5714,2797,5691,2793,5668,2785,5656,2764,5655xm3070,5469l2820,5469,2888,5473,2954,5486,3016,5508,3072,5540,3106,5489,3070,5469xe" filled="true" fillcolor="#f15b66" stroked="false">
              <v:path arrowok="t"/>
              <v:fill type="solid"/>
            </v:shape>
            <v:shape style="position:absolute;left:2467;top:5404;width:639;height:431" coordorigin="2467,5405" coordsize="639,431" path="m3106,5489l3040,5452,2969,5426,2896,5410,2820,5405,2744,5412,2673,5433,2609,5466,2555,5510,2511,5564,2480,5626,2467,5679,2469,5722,2493,5783,2540,5823,2605,5835,2644,5827,2671,5812,2690,5792,2704,5774,2712,5762,2718,5754,2725,5750,2738,5740,2750,5731,2764,5725,2783,5723,2794,5714,2797,5691,2793,5668,2785,5656,2764,5655,2739,5660,2713,5671,2686,5689,2663,5712,2646,5733,2627,5749,2599,5757,2591,5757,2579,5753,2567,5746,2555,5735,2547,5717,2544,5694,2545,5669,2578,5589,2623,5541,2680,5503,2747,5478,2820,5469,2888,5473,2954,5486,3016,5508,3072,5540e" filled="false" stroked="true" strokeweight=".25pt" strokecolor="#231f20">
              <v:path arrowok="t"/>
              <v:stroke dashstyle="solid"/>
            </v:shape>
            <v:shape style="position:absolute;left:2691;top:5653;width:142;height:147" type="#_x0000_t75" stroked="false">
              <v:imagedata r:id="rId219" o:title=""/>
            </v:shape>
            <v:shape style="position:absolute;left:2588;top:5702;width:470;height:494" coordorigin="2588,5702" coordsize="470,494" path="m2683,6013l2649,6019,2620,6036,2599,6063,2588,6094,2589,6125,2601,6154,2623,6177,2662,6195,2698,6195,2730,6184,2757,6170,2781,6156,2786,6156,3002,6156,3022,6131,3033,6101,3036,6069,3030,6035,3023,6020,2720,6020,2720,6019,2719,6019,2718,6019,2683,6013xm3002,6156l2786,6156,2788,6156,2808,6163,2854,6180,2904,6188,2955,6183,3001,6156,3002,6156xm3055,5872l2768,5872,2758,5892,2745,5919,2733,5947,2723,5977,2720,6007,2720,6013,2720,6018,2720,6020,3023,6020,3023,6018,3014,6001,3003,5983,2991,5967,2989,5961,2993,5956,3002,5950,3016,5939,3029,5925,3041,5909,3050,5890,3055,5872xm2699,5742l2684,5761,2675,5781,2672,5802,2675,5823,2683,5841,2696,5856,2712,5868,2731,5874,2744,5877,2756,5876,2768,5872,3055,5872,3056,5868,3058,5838,3054,5808,3044,5780,3041,5776,2764,5776,2699,5742xm2909,5702l2858,5711,2829,5723,2805,5738,2783,5756,2764,5776,3041,5776,3028,5755,2995,5724,2955,5707,2909,5702xe" filled="true" fillcolor="#f15b66" stroked="false">
              <v:path arrowok="t"/>
              <v:fill type="solid"/>
            </v:shape>
            <v:shape style="position:absolute;left:2588;top:5702;width:470;height:494" coordorigin="2588,5702" coordsize="470,494" path="m2699,5742l2684,5761,2675,5781,2672,5802,2675,5823,2731,5874,2744,5877,2756,5876,2768,5872,2764,5880,2758,5892,2745,5919,2733,5947,2723,5977,2720,6007,2720,6010,2720,6012,2720,6015,2720,6017,2720,6018,2720,6019,2720,6020,2720,6019,2719,6019,2718,6019,2683,6013,2649,6019,2620,6036,2599,6063,2588,6094,2589,6125,2601,6154,2623,6177,2662,6195,2698,6195,2730,6184,2757,6170,2766,6165,2781,6156,2786,6156,2788,6156,2808,6163,2854,6180,2904,6188,3001,6156,3033,6101,3036,6069,3030,6035,3023,6018,3014,6001,3003,5983,2991,5967,2989,5961,2993,5956,3002,5950,3016,5939,3056,5868,3058,5838,3054,5808,2995,5724,2909,5702,2858,5711,2829,5723,2805,5738,2783,5756,2764,5776e" filled="false" stroked="true" strokeweight=".25pt" strokecolor="#231f20">
              <v:path arrowok="t"/>
              <v:stroke dashstyle="solid"/>
            </v:shape>
            <v:shape style="position:absolute;left:2777;top:5779;width:201;height:331" type="#_x0000_t75" stroked="false">
              <v:imagedata r:id="rId220" o:title=""/>
            </v:shape>
            <v:shape style="position:absolute;left:2663;top:6097;width:64;height:20" coordorigin="2664,6098" coordsize="64,20" path="m2716,6098l2701,6098,2686,6099,2674,6102,2664,6106,2665,6114,2667,6116,2673,6117,2679,6114,2689,6108,2708,6101,2711,6100,2724,6100,2728,6098,2716,6098xe" filled="true" fillcolor="#f15b66" stroked="false">
              <v:path arrowok="t"/>
              <v:fill type="solid"/>
            </v:shape>
            <v:shape style="position:absolute;left:2663;top:6097;width:64;height:20" coordorigin="2664,6098" coordsize="64,20" path="m2667,6116l2665,6114,2664,6106,2674,6102,2686,6099,2701,6098,2716,6098,2728,6098,2724,6100,2711,6100,2708,6101,2689,6108,2679,6114,2673,6117,2667,6116xe" filled="false" stroked="true" strokeweight=".25pt" strokecolor="#231f20">
              <v:path arrowok="t"/>
              <v:stroke dashstyle="solid"/>
            </v:shape>
            <v:shape style="position:absolute;left:2591;top:6019;width:78;height:122" type="#_x0000_t75" stroked="false">
              <v:imagedata r:id="rId221" o:title=""/>
            </v:shape>
            <v:shape style="position:absolute;left:2903;top:5863;width:83;height:98" type="#_x0000_t75" stroked="false">
              <v:imagedata r:id="rId222" o:title=""/>
            </v:shape>
            <v:shape style="position:absolute;left:2591;top:5837;width:350;height:409" coordorigin="2592,5837" coordsize="350,409" path="m2723,5837l2697,5841,2665,5855,2634,5879,2608,5918,2592,5974,2594,6024,2611,6061,2636,6087,2660,6105,2670,6111,2681,6118,2693,6124,2727,6138,2740,6148,2746,6161,2751,6186,2758,6207,2771,6224,2790,6238,2817,6246,2846,6243,2873,6232,2896,6213,2908,6189,2910,6163,2823,6163,2817,6161,2814,6150,2805,6112,2782,6085,2752,6067,2711,6047,2709,6045,2693,6031,2683,6017,2677,6000,2676,5980,2681,5958,2690,5943,2700,5933,2709,5928,2733,5924,2760,5924,2783,5921,2793,5911,2794,5901,2793,5891,2791,5879,2785,5868,2769,5851,2748,5841,2723,5837xm2864,5882l2847,5894,2834,5903,2822,5915,2810,5930,2800,5946,2794,5960,2789,5975,2786,5991,2786,6007,2788,6038,2795,6072,2807,6109,2825,6147,2828,6158,2823,6163,2910,6163,2910,6161,2903,6131,2889,6102,2871,6065,2862,6032,2862,6004,2868,5982,2873,5974,2880,5967,2888,5960,2896,5952,2915,5934,2933,5910,2940,5884,2871,5884,2864,5882xm2933,5839l2869,5879,2869,5879,2871,5884,2940,5884,2941,5878,2933,5839xe" filled="true" fillcolor="#f15b66" stroked="false">
              <v:path arrowok="t"/>
              <v:fill type="solid"/>
            </v:shape>
            <v:shape style="position:absolute;left:2591;top:5837;width:350;height:409" coordorigin="2592,5837" coordsize="350,409" path="m2933,5839l2933,5910,2888,5960,2880,5967,2873,5974,2868,5982,2862,6004,2862,6032,2871,6065,2889,6102,2903,6131,2910,6161,2908,6189,2896,6213,2873,6232,2846,6243,2817,6246,2790,6238,2771,6224,2758,6207,2751,6186,2746,6161,2740,6148,2727,6138,2710,6131,2693,6124,2681,6118,2611,6061,2592,5974,2608,5918,2634,5879,2665,5855,2697,5841,2723,5837,2748,5841,2793,5891,2794,5901,2793,5911,2783,5921,2760,5924,2733,5924,2709,5928,2700,5933,2690,5943,2681,5958,2676,5980,2677,6000,2720,6051,2726,6054,2752,6067,2782,6085,2805,6112,2814,6150,2817,6161,2823,6163,2828,6158,2825,6147,2807,6109,2795,6072,2788,6038,2786,6007,2786,5991,2810,5930,2864,5882,2871,5884,2868,5879e" filled="false" stroked="true" strokeweight=".25pt" strokecolor="#231f20">
              <v:path arrowok="t"/>
              <v:stroke dashstyle="solid"/>
            </v:shape>
            <v:shape style="position:absolute;left:1512;top:5885;width:1281;height:1326" coordorigin="1512,5885" coordsize="1281,1326" path="m2479,5885l2420,5896,2363,5928,2311,5977,2270,6042,2242,6120,2231,6208,2234,6286,2240,6357,2250,6421,2260,6481,2271,6552,2279,6622,2280,6694,2272,6772,2248,6856,2211,6922,2161,6972,2103,7009,2039,7032,1971,7045,1901,7049,1798,7052,1710,7061,1635,7077,1570,7098,1512,7127,1512,7211,1576,7176,1643,7151,1717,7134,1802,7126,1901,7123,1995,7118,2072,7104,2137,7078,2192,7042,2241,6995,2288,6936,2308,6903,2326,6866,2339,6826,2348,6785,2357,6698,2356,6618,2348,6542,2335,6468,2326,6409,2317,6348,2311,6281,2309,6208,2326,6107,2368,6030,2424,5980,2479,5962,2766,5962,2778,5951,2786,5930,2651,5930,2629,5929,2613,5925,2600,5920,2569,5904,2547,5895,2518,5888,2479,5885xm2766,5962l2479,5962,2504,5964,2522,5968,2536,5973,2567,5990,2588,5998,2616,6005,2651,6007,2705,6001,2748,5981,2766,5962xm2793,5911l2695,5922,2685,5926,2674,5928,2663,5930,2651,5930,2786,5930,2793,5911xe" filled="true" fillcolor="#f15b66" stroked="false">
              <v:path arrowok="t"/>
              <v:fill type="solid"/>
            </v:shape>
            <v:shape style="position:absolute;left:1512;top:5885;width:1281;height:1326" coordorigin="1512,5885" coordsize="1281,1326" path="m2695,5922l2685,5926,2674,5928,2663,5930,2651,5930,2629,5929,2613,5925,2600,5920,2587,5913,2569,5904,2547,5895,2518,5888,2479,5885,2420,5896,2363,5928,2311,5977,2270,6042,2242,6120,2231,6208,2234,6286,2240,6357,2250,6421,2260,6481,2271,6552,2279,6622,2280,6694,2272,6772,2248,6856,2211,6922,2161,6972,2103,7009,2039,7032,1971,7045,1901,7049,1798,7052,1710,7061,1635,7077,1570,7098,1512,7127,1512,7211,1576,7176,1643,7151,1717,7134,1802,7126,1901,7123,1995,7118,2072,7104,2137,7078,2192,7042,2241,6995,2288,6936,2326,6866,2348,6785,2357,6698,2356,6618,2348,6542,2335,6468,2326,6409,2317,6348,2311,6281,2309,6208,2326,6107,2368,6030,2424,5980,2479,5962,2504,5964,2522,5968,2536,5973,2550,5981,2567,5990,2588,5998,2616,6005,2651,6007,2705,6001,2748,5981,2778,5951,2793,5911e" filled="false" stroked="true" strokeweight=".25pt" strokecolor="#231f20">
              <v:path arrowok="t"/>
              <v:stroke dashstyle="solid"/>
            </v:shape>
            <v:shape style="position:absolute;left:2695;top:5893;width:24;height:29" coordorigin="2695,5894" coordsize="24,29" path="m2707,5916l2695,5922,2706,5917,2707,5916xm2712,5911l2707,5916,2712,5913,2712,5911xm2715,5894l2714,5901,2712,5911,2714,5910,2717,5899,2719,5894,2715,5894xe" filled="true" fillcolor="#f15b66" stroked="false">
              <v:path arrowok="t"/>
              <v:fill type="solid"/>
            </v:shape>
            <v:shape style="position:absolute;left:2695;top:5893;width:24;height:29" coordorigin="2695,5894" coordsize="24,29" path="m2717,5899l2719,5894,2715,5894,2714,5899,2714,5901,2712,5913,2695,5922,2706,5917,2714,5910,2717,5899xe" filled="false" stroked="true" strokeweight=".25pt" strokecolor="#231f20">
              <v:path arrowok="t"/>
              <v:stroke dashstyle="solid"/>
            </v:shape>
            <v:shape style="position:absolute;left:0;top:14421;width:126;height:244" coordorigin="0,14421" coordsize="126,244" path="m2719,6020l2729,6024,2740,6030,2749,6037,2755,6043,2759,6049,2763,6044,2757,6041,2753,6038,2746,6035,2737,6029m2844,5805l2831,5810,2814,5818,2796,5833,2778,5858e" filled="false" stroked="true" strokeweight=".25pt" strokecolor="#231f20">
              <v:path arrowok="t"/>
              <v:stroke dashstyle="solid"/>
            </v:shape>
            <v:shape style="position:absolute;left:2482;top:5409;width:342;height:228" type="#_x0000_t75" stroked="false">
              <v:imagedata r:id="rId223" o:title=""/>
            </v:shape>
            <v:shape style="position:absolute;left:2657;top:5662;width:270;height:194" type="#_x0000_t75" stroked="false">
              <v:imagedata r:id="rId224" o:title=""/>
            </v:shape>
            <v:shape style="position:absolute;left:2789;top:5895;width:71;height:119" type="#_x0000_t75" stroked="false">
              <v:imagedata r:id="rId225" o:title=""/>
            </v:shape>
            <v:shape style="position:absolute;left:2613;top:5840;width:150;height:81" type="#_x0000_t75" stroked="false">
              <v:imagedata r:id="rId226" o:title=""/>
            </v:shape>
            <v:shape style="position:absolute;left:2235;top:5888;width:250;height:321" type="#_x0000_t75" stroked="false">
              <v:imagedata r:id="rId227" o:title=""/>
            </v:shape>
            <v:shape style="position:absolute;left:1389;top:6760;width:174;height:624" coordorigin="1390,6761" coordsize="174,624" path="m1476,6761l1443,6763,1415,6770,1397,6779,1390,6790,1390,7374,1417,7384,1476,7380,1536,7365,1563,7347,1563,6790,1556,6779,1538,6770,1510,6763,1476,6761xe" filled="true" fillcolor="#d04e59" stroked="false">
              <v:path arrowok="t"/>
              <v:fill type="solid"/>
            </v:shape>
            <v:shape style="position:absolute;left:1392;top:6762;width:167;height:622" coordorigin="1393,6762" coordsize="167,622" path="m1476,6762l1443,6765,1417,6771,1399,6780,1393,6790,1393,7374,1419,7384,1476,7380,1533,7367,1559,7350,1559,6790,1552,6780,1534,6771,1508,6765,1476,6762xe" filled="true" fillcolor="#d44f5a" stroked="false">
              <v:path arrowok="t"/>
              <v:fill type="solid"/>
            </v:shape>
            <v:shape style="position:absolute;left:1395;top:6763;width:159;height:620" coordorigin="1395,6763" coordsize="159,620" path="m1475,6763l1444,6766,1419,6772,1402,6780,1395,6790,1395,7374,1420,7383,1475,7380,1529,7368,1554,7352,1554,6790,1548,6780,1531,6772,1506,6766,1475,6763xe" filled="true" fillcolor="#d7515c" stroked="false">
              <v:path arrowok="t"/>
              <v:fill type="solid"/>
            </v:shape>
            <v:shape style="position:absolute;left:1397;top:6764;width:152;height:623" coordorigin="1398,6765" coordsize="152,623" path="m1474,6765l1444,6767,1420,6772,1404,6781,1398,6790,1398,7377,1422,7387,1474,7384,1526,7374,1550,7358,1550,6790,1544,6781,1527,6772,1503,6767,1474,6765xe" filled="true" fillcolor="#da525d" stroked="false">
              <v:path arrowok="t"/>
              <v:fill type="solid"/>
            </v:shape>
            <v:shape style="position:absolute;left:1400;top:6765;width:145;height:623" coordorigin="1401,6766" coordsize="145,623" path="m1473,6766l1445,6768,1422,6773,1406,6781,1401,6790,1401,7380,1423,7388,1473,7385,1523,7375,1545,7360,1545,6790,1539,6781,1524,6773,1501,6768,1473,6766xe" filled="true" fillcolor="#de535f" stroked="false">
              <v:path arrowok="t"/>
              <v:fill type="solid"/>
            </v:shape>
            <v:shape style="position:absolute;left:1403;top:6767;width:138;height:628" coordorigin="1403,6767" coordsize="138,628" path="m1472,6767l1445,6769,1423,6774,1409,6782,1403,6790,1403,7373,1409,7385,1423,7392,1445,7394,1472,7392,1499,7387,1520,7379,1535,7367,1541,7354,1541,6790,1535,6782,1520,6774,1499,6769,1472,6767xe" filled="true" fillcolor="#e15460" stroked="false">
              <v:path arrowok="t"/>
              <v:fill type="solid"/>
            </v:shape>
            <v:shape style="position:absolute;left:1406;top:6768;width:130;height:625" coordorigin="1406,6768" coordsize="130,625" path="m1471,6768l1446,6770,1425,6775,1411,6782,1406,6790,1406,7372,1411,7384,1425,7390,1446,7393,1471,7391,1496,7386,1517,7378,1531,7367,1536,7354,1536,6790,1531,6782,1517,6775,1496,6770,1471,6768xe" filled="true" fillcolor="#e45661" stroked="false">
              <v:path arrowok="t"/>
              <v:fill type="solid"/>
            </v:shape>
            <v:shape style="position:absolute;left:1408;top:6769;width:123;height:622" coordorigin="1409,6770" coordsize="123,622" path="m1470,6770l1446,6771,1427,6776,1414,6782,1409,6790,1409,7372,1414,7383,1427,7389,1446,7391,1470,7389,1494,7384,1514,7377,1527,7367,1532,7355,1532,6790,1527,6782,1514,6776,1494,6771,1470,6770xe" filled="true" fillcolor="#e75763" stroked="false">
              <v:path arrowok="t"/>
              <v:fill type="solid"/>
            </v:shape>
            <v:shape style="position:absolute;left:1411;top:6770;width:116;height:619" coordorigin="1412,6771" coordsize="116,619" path="m1469,6771l1447,6772,1428,6777,1416,6783,1412,6790,1412,7371,1416,7382,1428,7387,1447,7389,1469,7388,1492,7383,1510,7376,1522,7367,1527,7356,1527,6790,1522,6783,1510,6777,1492,6772,1469,6771xe" filled="true" fillcolor="#eb5964" stroked="false">
              <v:path arrowok="t"/>
              <v:fill type="solid"/>
            </v:shape>
            <v:shape style="position:absolute;left:1414;top:6771;width:109;height:616" coordorigin="1414,6772" coordsize="109,616" path="m1468,6772l1447,6773,1430,6778,1418,6783,1414,6790,1414,7371,1418,7381,1430,7386,1447,7388,1468,7386,1489,7382,1507,7375,1518,7367,1523,7356,1523,6790,1518,6783,1507,6778,1489,6773,1468,6772xe" filled="true" fillcolor="#f15b66" stroked="false">
              <v:path arrowok="t"/>
              <v:fill type="solid"/>
            </v:shape>
            <v:shape style="position:absolute;left:1419;top:6773;width:97;height:612" coordorigin="1419,6774" coordsize="97,612" path="m1468,6774l1449,6775,1433,6779,1423,6784,1419,6790,1419,7370,1423,7379,1433,7384,1449,7385,1468,7384,1486,7380,1502,7374,1512,7367,1516,7357,1516,6790,1512,6784,1502,6779,1486,6775,1468,6774xe" filled="true" fillcolor="#f1626b" stroked="false">
              <v:path arrowok="t"/>
              <v:fill type="solid"/>
            </v:shape>
            <v:shape style="position:absolute;left:1424;top:6775;width:86;height:608" coordorigin="1424,6776" coordsize="86,608" path="m1467,6776l1450,6777,1437,6780,1428,6785,1424,6790,1424,7370,1428,7377,1437,7382,1450,7383,1467,7382,1483,7378,1497,7373,1506,7367,1510,7358,1510,6790,1506,6785,1497,6780,1483,6777,1467,6776xe" filled="true" fillcolor="#f26a70" stroked="false">
              <v:path arrowok="t"/>
              <v:fill type="solid"/>
            </v:shape>
            <v:shape style="position:absolute;left:1429;top:6777;width:74;height:603" coordorigin="1429,6778" coordsize="74,603" path="m1487,6778l1446,6778,1429,6784,1429,7369,1432,7376,1440,7379,1452,7381,1466,7380,1481,7377,1492,7372,1500,7366,1503,7359,1503,6784,1487,6778xe" filled="true" fillcolor="#f27175" stroked="false">
              <v:path arrowok="t"/>
              <v:fill type="solid"/>
            </v:shape>
            <v:rect style="position:absolute;left:1434;top:6779;width:63;height:601" filled="true" fillcolor="#f3787a" stroked="false">
              <v:fill type="solid"/>
            </v:rect>
            <v:rect style="position:absolute;left:1439;top:6781;width:52;height:596" filled="true" fillcolor="#f37e7f" stroked="false">
              <v:fill type="solid"/>
            </v:rect>
            <v:rect style="position:absolute;left:1444;top:6783;width:40;height:592" filled="true" fillcolor="#f48585" stroked="false">
              <v:fill type="solid"/>
            </v:rect>
            <v:rect style="position:absolute;left:1448;top:6785;width:29;height:587" filled="true" fillcolor="#f58b8a" stroked="false">
              <v:fill type="solid"/>
            </v:rect>
            <v:line style="position:absolute" from="1462,6787" to="1462,7369" stroked="true" strokeweight=".842pt" strokecolor="#f59190">
              <v:stroke dashstyle="solid"/>
            </v:line>
            <v:line style="position:absolute" from="1462,6789" to="1462,7367" stroked="true" strokeweight=".271pt" strokecolor="#f69896">
              <v:stroke dashstyle="solid"/>
            </v:line>
            <v:shape style="position:absolute;left:1463;top:6789;width:2;height:2" coordorigin="1463,6789" coordsize="2,1" path="m1464,6789l1463,6789,1464,6789xe" filled="true" fillcolor="#f69896" stroked="false">
              <v:path arrowok="t"/>
              <v:fill type="solid"/>
            </v:shape>
            <v:shape style="position:absolute;left:1390;top:6781;width:174;height:598" coordorigin="1390,6782" coordsize="174,598" path="m1390,7379l1390,6788,1417,6783,1477,6782,1537,6783,1564,6788,1564,7359e" filled="false" stroked="true" strokeweight=".25pt" strokecolor="#231f20">
              <v:path arrowok="t"/>
              <v:stroke dashstyle="solid"/>
            </v:shape>
            <v:shape style="position:absolute;left:1390;top:6756;width:174;height:64" coordorigin="1390,6756" coordsize="174,64" path="m1477,6756l1417,6764,1390,6788,1417,6811,1477,6819,1537,6811,1564,6788,1537,6764,1477,6756xe" filled="true" fillcolor="#f69896" stroked="false">
              <v:path arrowok="t"/>
              <v:fill type="solid"/>
            </v:shape>
            <v:shape style="position:absolute;left:1390;top:6756;width:174;height:64" coordorigin="1390,6756" coordsize="174,64" path="m1390,6788l1417,6764,1477,6756,1537,6764,1564,6788,1537,6811,1477,6819,1417,6811,1390,6788xe" filled="false" stroked="true" strokeweight=".25pt" strokecolor="#231f20">
              <v:path arrowok="t"/>
              <v:stroke dashstyle="solid"/>
            </v:shape>
            <v:shape style="position:absolute;left:1404;top:6764;width:145;height:43" type="#_x0000_t75" stroked="false">
              <v:imagedata r:id="rId228" o:title=""/>
            </v:shape>
            <v:shape style="position:absolute;left:1404;top:6764;width:145;height:43" coordorigin="1405,6764" coordsize="145,43" path="m1477,6806l1445,6804,1422,6799,1409,6793,1405,6785,1409,6778,1422,6771,1445,6766,1477,6764,1509,6766,1532,6772,1545,6779,1549,6785,1545,6792,1532,6799,1509,6804,1477,6806xe" filled="false" stroked="true" strokeweight=".25pt" strokecolor="#231f20">
              <v:path arrowok="t"/>
              <v:stroke dashstyle="solid"/>
            </v:shape>
            <v:shape style="position:absolute;left:1672;top:6880;width:174;height:624" coordorigin="1672,6881" coordsize="174,624" path="m1759,6881l1725,6883,1698,6890,1679,6899,1672,6910,1672,7494,1699,7504,1759,7500,1819,7485,1846,7467,1846,6910,1839,6899,1820,6890,1793,6883,1759,6881xe" filled="true" fillcolor="#2f68a5" stroked="false">
              <v:path arrowok="t"/>
              <v:fill type="solid"/>
            </v:shape>
            <v:shape style="position:absolute;left:1675;top:6882;width:167;height:622" coordorigin="1675,6882" coordsize="167,622" path="m1758,6882l1726,6885,1699,6891,1682,6900,1675,6910,1675,7494,1701,7504,1758,7500,1815,7487,1841,7470,1841,6910,1835,6900,1817,6891,1790,6885,1758,6882xe" filled="true" fillcolor="#356ba7" stroked="false">
              <v:path arrowok="t"/>
              <v:fill type="solid"/>
            </v:shape>
            <v:shape style="position:absolute;left:1677;top:6883;width:159;height:620" coordorigin="1678,6883" coordsize="159,620" path="m1757,6883l1726,6886,1701,6892,1684,6900,1678,6910,1678,7494,1703,7503,1757,7500,1812,7488,1837,7472,1837,6910,1830,6900,1813,6892,1788,6886,1757,6883xe" filled="true" fillcolor="#396daa" stroked="false">
              <v:path arrowok="t"/>
              <v:fill type="solid"/>
            </v:shape>
            <v:shape style="position:absolute;left:1680;top:6884;width:152;height:623" coordorigin="1680,6885" coordsize="152,623" path="m1756,6885l1727,6887,1703,6892,1686,6901,1680,6910,1680,7497,1704,7507,1756,7504,1808,7494,1832,7478,1832,6910,1826,6901,1810,6892,1786,6887,1756,6885xe" filled="true" fillcolor="#3e70ac" stroked="false">
              <v:path arrowok="t"/>
              <v:fill type="solid"/>
            </v:shape>
            <v:shape style="position:absolute;left:1683;top:6885;width:145;height:623" coordorigin="1683,6886" coordsize="145,623" path="m1755,6886l1727,6888,1704,6893,1689,6901,1683,6910,1683,7500,1706,7508,1755,7505,1805,7495,1828,7480,1828,6910,1822,6901,1806,6893,1783,6888,1755,6886xe" filled="true" fillcolor="#4372ae" stroked="false">
              <v:path arrowok="t"/>
              <v:fill type="solid"/>
            </v:shape>
            <v:shape style="position:absolute;left:1685;top:6887;width:138;height:628" coordorigin="1686,6887" coordsize="138,628" path="m1754,6887l1728,6889,1706,6894,1691,6902,1686,6910,1686,7493,1691,7505,1706,7512,1728,7514,1754,7512,1781,7507,1803,7499,1818,7487,1823,7474,1823,6910,1818,6902,1803,6894,1781,6889,1754,6887xe" filled="true" fillcolor="#4775b0" stroked="false">
              <v:path arrowok="t"/>
              <v:fill type="solid"/>
            </v:shape>
            <v:shape style="position:absolute;left:1688;top:6888;width:130;height:625" coordorigin="1689,6888" coordsize="130,625" path="m1754,6888l1728,6890,1708,6895,1694,6902,1689,6910,1689,7492,1694,7504,1708,7510,1728,7513,1754,7511,1779,7506,1800,7498,1813,7487,1819,7474,1819,6910,1813,6902,1800,6895,1779,6890,1754,6888xe" filled="true" fillcolor="#4c78b3" stroked="false">
              <v:path arrowok="t"/>
              <v:fill type="solid"/>
            </v:shape>
            <v:shape style="position:absolute;left:1691;top:6889;width:123;height:622" coordorigin="1691,6890" coordsize="123,622" path="m1753,6890l1729,6891,1709,6896,1696,6902,1691,6910,1691,7492,1696,7503,1709,7509,1729,7511,1753,7509,1777,7504,1796,7497,1809,7487,1814,7475,1814,6910,1809,6902,1796,6896,1777,6891,1753,6890xe" filled="true" fillcolor="#507bb5" stroked="false">
              <v:path arrowok="t"/>
              <v:fill type="solid"/>
            </v:shape>
            <v:shape style="position:absolute;left:1694;top:6890;width:116;height:619" coordorigin="1694,6891" coordsize="116,619" path="m1752,6891l1729,6892,1711,6897,1699,6903,1694,6910,1694,7491,1699,7502,1711,7507,1729,7509,1752,7508,1774,7503,1793,7496,1805,7487,1810,7476,1810,6910,1805,6903,1793,6897,1774,6892,1752,6891xe" filled="true" fillcolor="#547eb7" stroked="false">
              <v:path arrowok="t"/>
              <v:fill type="solid"/>
            </v:shape>
            <v:shape style="position:absolute;left:1696;top:6891;width:109;height:616" coordorigin="1697,6892" coordsize="109,616" path="m1751,6892l1730,6893,1713,6898,1701,6903,1697,6910,1697,7491,1701,7501,1713,7506,1730,7508,1751,7506,1772,7502,1789,7495,1801,7487,1805,7476,1805,6910,1801,6903,1789,6898,1772,6893,1751,6892xe" filled="true" fillcolor="#5881ba" stroked="false">
              <v:path arrowok="t"/>
              <v:fill type="solid"/>
            </v:shape>
            <v:shape style="position:absolute;left:1701;top:6893;width:97;height:612" coordorigin="1702,6894" coordsize="97,612" path="m1750,6894l1731,6895,1716,6899,1705,6904,1702,6910,1702,7490,1705,7499,1716,7504,1731,7505,1750,7504,1769,7500,1784,7494,1795,7487,1799,7477,1799,6910,1795,6904,1784,6899,1769,6895,1750,6894xe" filled="true" fillcolor="#5d84bc" stroked="false">
              <v:path arrowok="t"/>
              <v:fill type="solid"/>
            </v:shape>
            <v:shape style="position:absolute;left:1706;top:6895;width:86;height:608" coordorigin="1707,6896" coordsize="86,608" path="m1749,6896l1733,6897,1719,6900,1710,6905,1707,6910,1707,7490,1710,7497,1719,7502,1733,7503,1749,7502,1766,7498,1780,7493,1789,7487,1792,7478,1792,6910,1789,6905,1780,6900,1766,6897,1749,6896xe" filled="true" fillcolor="#6187bf" stroked="false">
              <v:path arrowok="t"/>
              <v:fill type="solid"/>
            </v:shape>
            <v:shape style="position:absolute;left:1711;top:6897;width:74;height:603" coordorigin="1712,6898" coordsize="74,603" path="m1769,6898l1728,6898,1712,6904,1712,7489,1715,7496,1722,7499,1734,7501,1749,7500,1763,7497,1775,7492,1783,7486,1786,7479,1786,6904,1769,6898xe" filled="true" fillcolor="#658ac1" stroked="false">
              <v:path arrowok="t"/>
              <v:fill type="solid"/>
            </v:shape>
            <v:rect style="position:absolute;left:1716;top:6899;width:63;height:601" filled="true" fillcolor="#698dc3" stroked="false">
              <v:fill type="solid"/>
            </v:rect>
            <v:rect style="position:absolute;left:1721;top:6901;width:52;height:596" filled="true" fillcolor="#6d90c6" stroked="false">
              <v:fill type="solid"/>
            </v:rect>
            <v:rect style="position:absolute;left:1726;top:6903;width:40;height:592" filled="true" fillcolor="#7294c9" stroked="false">
              <v:fill type="solid"/>
            </v:rect>
            <v:rect style="position:absolute;left:1731;top:6905;width:29;height:587" filled="true" fillcolor="#7697cc" stroked="false">
              <v:fill type="solid"/>
            </v:rect>
            <v:line style="position:absolute" from="1745,6907" to="1745,7489" stroked="true" strokeweight=".842pt" strokecolor="#7b9bcf">
              <v:stroke dashstyle="solid"/>
            </v:line>
            <v:line style="position:absolute" from="1744,6909" to="1744,7487" stroked="true" strokeweight=".271pt" strokecolor="#80a0d3">
              <v:stroke dashstyle="solid"/>
            </v:line>
            <v:shape style="position:absolute;left:1745;top:6909;width:2;height:2" coordorigin="1746,6909" coordsize="2,1" path="m1747,6909l1746,6909,1747,6909xe" filled="true" fillcolor="#80a0d3" stroked="false">
              <v:path arrowok="t"/>
              <v:fill type="solid"/>
            </v:shape>
            <v:shape style="position:absolute;left:1672;top:6901;width:174;height:593" coordorigin="1673,6902" coordsize="174,593" path="m1673,7494l1673,6908,1700,6903,1759,6902,1819,6903,1846,6908,1846,7470e" filled="false" stroked="true" strokeweight=".25pt" strokecolor="#231f20">
              <v:path arrowok="t"/>
              <v:stroke dashstyle="solid"/>
            </v:shape>
            <v:shape style="position:absolute;left:1672;top:6876;width:174;height:64" coordorigin="1673,6876" coordsize="174,64" path="m1759,6876l1700,6884,1673,6908,1700,6931,1759,6939,1819,6931,1846,6908,1819,6884,1759,6876xe" filled="true" fillcolor="#6c8cc7" stroked="false">
              <v:path arrowok="t"/>
              <v:fill type="solid"/>
            </v:shape>
            <v:shape style="position:absolute;left:1672;top:6876;width:174;height:64" coordorigin="1673,6876" coordsize="174,64" path="m1673,6908l1700,6884,1759,6876,1819,6884,1846,6908,1819,6931,1759,6939,1700,6931,1673,6908xe" filled="false" stroked="true" strokeweight=".25pt" strokecolor="#231f20">
              <v:path arrowok="t"/>
              <v:stroke dashstyle="solid"/>
            </v:shape>
            <v:shape style="position:absolute;left:1687;top:6884;width:145;height:43" type="#_x0000_t75" stroked="false">
              <v:imagedata r:id="rId229" o:title=""/>
            </v:shape>
            <v:shape style="position:absolute;left:1687;top:6884;width:145;height:43" coordorigin="1687,6884" coordsize="145,43" path="m1759,6926l1727,6924,1705,6919,1692,6913,1687,6905,1692,6898,1705,6891,1727,6886,1759,6884,1792,6886,1814,6892,1827,6899,1832,6905,1827,6912,1814,6919,1792,6924,1759,6926xe" filled="false" stroked="true" strokeweight=".25pt" strokecolor="#231f20">
              <v:path arrowok="t"/>
              <v:stroke dashstyle="solid"/>
            </v:shape>
            <v:shape style="position:absolute;left:-3156;top:11570;width:4080;height:3795" coordorigin="-3155,11570" coordsize="4080,3795" path="m4471,8073l4144,8073m3487,8245l3210,8378m2565,5007l2834,5873m2325,5202l2579,5532m3390,5190l3039,5678m4404,5484l4637,5016,4835,5555m2945,6790l2945,7280,3385,6825m4000,8727l3210,8378m2005,8018l1885,7630m1365,8000l1315,7580m1714,6432l2297,6432m5395,8802l5395,8567m4815,7047l4815,6832m2150,5945l1855,5820,2359,5635e" filled="false" stroked="true" strokeweight=".75pt" strokecolor="#231f20">
              <v:path arrowok="t"/>
              <v:stroke dashstyle="solid"/>
            </v:shape>
            <v:line style="position:absolute" from="1962,1698" to="2179,1932" stroked="true" strokeweight=".75pt" strokecolor="#231f20">
              <v:stroke dashstyle="solid"/>
            </v:line>
            <v:shape style="position:absolute;left:0;top:12377;width:2730;height:2575" coordorigin="0,12378" coordsize="2730,2575" path="m1855,2458l2055,2252m3299,1942l2450,2775,3582,2412m3979,488l4585,200,4475,842e" filled="false" stroked="true" strokeweight=".75pt" strokecolor="#231f20">
              <v:path arrowok="t"/>
              <v:stroke dashstyle="solid"/>
            </v:shape>
            <v:shape style="position:absolute;left:3249;top:829;width:321;height:321" type="#_x0000_t75" stroked="false">
              <v:imagedata r:id="rId230" o:title=""/>
            </v:shape>
            <v:shape style="position:absolute;left:-10;top:13172;width:3090;height:3050" coordorigin="-10,13173" coordsize="3090,3050" path="m1845,995l3260,995m4545,3930l4935,4045,4730,3695e" filled="false" stroked="true" strokeweight=".75pt" strokecolor="#231f20">
              <v:path arrowok="t"/>
              <v:stroke dashstyle="solid"/>
            </v:shape>
            <w10:wrap type="none"/>
          </v:group>
        </w:pict>
      </w:r>
      <w:r>
        <w:rPr/>
        <w:pict>
          <v:group style="position:absolute;margin-left:306.265594pt;margin-top:2.80669pt;width:233.5pt;height:212.25pt;mso-position-horizontal-relative:page;mso-position-vertical-relative:paragraph;z-index:251831296" coordorigin="6125,56" coordsize="4670,4245">
            <v:rect style="position:absolute;left:6125;top:1777;width:4670;height:2524" filled="true" fillcolor="#fde8e5" stroked="false">
              <v:fill type="solid"/>
            </v:rect>
            <v:rect style="position:absolute;left:6125;top:56;width:4670;height:1722" filled="true" fillcolor="#fff1e2" stroked="false">
              <v:fill type="solid"/>
            </v:rect>
            <v:shape style="position:absolute;left:7297;top:432;width:1513;height:3651" coordorigin="7297,432" coordsize="1513,3651" path="m8231,432l8127,440,8049,460,7990,489,7945,525,7905,565,7882,589,7858,612,7830,635,7796,657,7772,670,7744,683,7714,695,7628,729,7571,753,7514,783,7458,819,7407,863,7363,917,7328,982,7305,1060,7297,1151,7306,1251,7331,1337,7368,1411,7412,1475,7461,1531,7565,1639,7611,1696,7641,1757,7652,1829,7652,2026,7657,2074,7668,2114,7680,2149,7685,2184,7685,3919,7696,3990,7727,4041,7770,4073,7819,4083,7845,4080,7870,4072,7892,4058,7911,4040,7919,4028,7819,4028,7790,4021,7765,4000,7747,3966,7740,3919,7740,2184,7745,2152,7756,2114,7767,2072,7772,2026,7772,1829,7762,1744,7735,1671,7695,1607,7647,1550,7541,1441,7493,1383,7453,1318,7427,1242,7417,1151,7426,1068,7452,1002,7490,949,7540,907,7597,873,7660,845,7761,806,7795,791,7828,776,7858,760,7901,732,7936,703,7965,675,7991,648,8032,608,8077,578,8139,559,8231,552,8542,552,8487,510,8414,469,8329,442,8231,432xm7950,2654l7895,2654,7895,3919,7893,3944,7888,3968,7880,3987,7869,4004,7859,4014,7846,4022,7833,4026,7819,4028,7919,4028,7928,4015,7940,3986,7947,3954,7950,3919,7950,2654xm8512,864l8475,864,8440,874,8410,895,8385,924,8364,976,8364,1022,8377,1060,8393,1090,8401,1106,8407,1119,8411,1131,8412,1143,8409,1169,8396,1189,8360,1203,8292,1211,8269,1217,8250,1231,8238,1251,8235,1274,8241,1297,8254,1316,8274,1328,8298,1331,8383,1320,8448,1298,8494,1262,8521,1212,8532,1147,8530,1111,8521,1080,8509,1054,8487,1013,8483,1002,8483,1002,8483,995,8487,988,8491,982,8635,982,8618,941,8590,903,8554,877,8512,864xm8635,982l8491,982,8494,982,8495,982,8501,985,8508,991,8515,1002,8522,1020,8537,1061,8561,1101,8594,1135,8636,1158,8666,1165,8696,1164,8725,1155,8752,1140,8773,1121,8790,1098,8802,1072,8809,1045,8677,1045,8669,1041,8658,1030,8647,1012,8637,988,8635,982xm8542,552l8231,552,8315,563,8387,590,8448,631,8500,679,8543,731,8578,783,8606,828,8614,842,8622,855,8629,867,8636,877,8664,921,8682,962,8690,997,8691,1025,8689,1038,8679,1045,8677,1045,8677,1045,8809,1045,8809,1043,8810,991,8810,988,8797,929,8771,867,8733,806,8728,799,8722,789,8716,779,8709,767,8681,721,8646,669,8602,613,8550,559,8542,552xe" filled="true" fillcolor="#ffd768" stroked="false">
              <v:path arrowok="t"/>
              <v:fill type="solid"/>
            </v:shape>
            <v:shape style="position:absolute;left:7297;top:432;width:1513;height:3651" coordorigin="7297,432" coordsize="1513,3651" path="m8733,806l8728,799,8722,789,8716,779,8709,767,8681,721,8646,669,8602,613,8550,559,8487,510,8414,469,8329,442,8231,432,8127,440,8049,460,7990,489,7905,565,7882,589,7858,612,7796,657,7714,695,7681,708,7628,729,7571,753,7514,783,7458,819,7407,863,7363,917,7328,982,7305,1060,7297,1151,7306,1251,7331,1337,7368,1411,7412,1475,7461,1531,7509,1581,7565,1639,7611,1696,7641,1757,7652,1829,7652,2026,7657,2074,7668,2114,7680,2149,7685,2184,7685,3919,7696,3990,7727,4041,7770,4073,7819,4083,7845,4080,7911,4040,7940,3986,7950,3919,7950,2654,7895,2654,7895,3919,7893,3944,7869,4004,7819,4028,7790,4021,7765,4000,7747,3966,7740,3919,7740,2184,7745,2152,7756,2114,7767,2072,7772,2026,7772,1829,7762,1744,7735,1671,7695,1607,7647,1550,7595,1496,7541,1441,7493,1383,7453,1318,7427,1242,7417,1151,7426,1068,7452,1002,7490,949,7540,907,7597,873,7660,845,7724,820,7760,806,7795,791,7858,760,7936,703,7991,648,8032,608,8077,578,8139,559,8231,552,8315,563,8387,590,8448,631,8500,679,8543,731,8578,783,8614,842,8622,855,8629,867,8636,877,8664,921,8682,962,8690,997,8691,1025,8689,1038,8684,1041,8682,1043,8679,1045,8677,1045,8677,1045,8669,1041,8658,1030,8647,1012,8637,988,8618,941,8590,903,8554,877,8512,864,8475,864,8440,874,8410,895,8385,924,8364,976,8364,1022,8377,1060,8393,1090,8401,1106,8407,1119,8411,1131,8412,1143,8409,1169,8396,1189,8360,1203,8292,1211,8269,1217,8250,1231,8238,1251,8235,1274,8241,1297,8254,1316,8274,1328,8298,1331,8383,1320,8448,1298,8494,1262,8521,1212,8532,1147,8530,1111,8521,1080,8509,1054,8497,1031,8487,1013,8483,1002,8483,995,8487,988,8491,982,8494,982,8495,982,8537,1061,8561,1101,8594,1135,8636,1158,8666,1165,8696,1164,8752,1140,8802,1072,8810,988,8797,929,8771,867,8733,806xe" filled="false" stroked="true" strokeweight=".25pt" strokecolor="#b7705b">
              <v:path arrowok="t"/>
              <v:stroke dashstyle="solid"/>
            </v:shape>
            <v:shape style="position:absolute;left:7791;top:442;width:454;height:252" type="#_x0000_t75" stroked="false">
              <v:imagedata r:id="rId231" o:title=""/>
            </v:shape>
            <v:shape style="position:absolute;left:7307;top:716;width:400;height:451" type="#_x0000_t75" stroked="false">
              <v:imagedata r:id="rId232" o:title=""/>
            </v:shape>
            <v:shape style="position:absolute;left:7662;top:1813;width:31;height:228" type="#_x0000_t75" stroked="false">
              <v:imagedata r:id="rId233" o:title=""/>
            </v:shape>
            <v:shape style="position:absolute;left:7697;top:2496;width:20;height:780" type="#_x0000_t75" stroked="false">
              <v:imagedata r:id="rId234" o:title=""/>
            </v:shape>
            <v:shape style="position:absolute;left:7907;top:3111;width:20;height:600" type="#_x0000_t75" stroked="false">
              <v:imagedata r:id="rId235" o:title=""/>
            </v:shape>
            <v:shape style="position:absolute;left:8372;top:872;width:183;height:206" type="#_x0000_t75" stroked="false">
              <v:imagedata r:id="rId236" o:title=""/>
            </v:shape>
            <v:shape style="position:absolute;left:7888;top:1037;width:406;height:447" type="#_x0000_t75" stroked="false">
              <v:imagedata r:id="rId237" o:title=""/>
            </v:shape>
            <v:shape style="position:absolute;left:7605;top:1117;width:375;height:167" coordorigin="7606,1117" coordsize="375,167" path="m7822,1209l7680,1209,7706,1210,7732,1216,7741,1220,7753,1226,7765,1234,7791,1250,7805,1258,7819,1266,7834,1273,7848,1279,7862,1282,7876,1284,7890,1283,7901,1281,7911,1278,7920,1273,7928,1267,7942,1252,7950,1237,7951,1234,7877,1234,7865,1231,7852,1225,7840,1219,7828,1213,7822,1209xm7954,1117l7943,1125,7932,1136,7922,1152,7915,1171,7910,1191,7908,1206,7905,1217,7897,1227,7887,1233,7877,1234,7951,1234,7954,1222,7955,1210,7955,1193,7957,1188,7961,1179,7963,1170,7968,1161,7978,1153,7980,1144,7973,1131,7963,1121,7954,1117xm7683,1157l7647,1159,7606,1166,7614,1217,7650,1211,7680,1209,7822,1209,7816,1205,7790,1189,7775,1180,7761,1173,7748,1168,7716,1160,7683,1157xe" filled="true" fillcolor="#f15b66" stroked="false">
              <v:path arrowok="t"/>
              <v:fill type="solid"/>
            </v:shape>
            <v:shape style="position:absolute;left:7605;top:1117;width:375;height:167" coordorigin="7606,1117" coordsize="375,167" path="m7954,1117l7915,1171,7908,1206,7905,1217,7897,1227,7887,1233,7877,1234,7865,1231,7805,1198,7790,1189,7716,1160,7683,1157,7647,1159,7606,1166,7614,1217,7650,1211,7680,1209,7741,1220,7777,1241,7791,1250,7848,1279,7876,1284,7890,1283,7950,1237,7955,1208,7955,1199,7955,1193,7957,1188,7961,1179,7963,1170,7968,1161,7978,1153,7980,1144,7973,1131,7963,1121,7954,1117xe" filled="false" stroked="true" strokeweight=".25pt" strokecolor="#231f20">
              <v:path arrowok="t"/>
              <v:stroke dashstyle="solid"/>
            </v:shape>
            <v:line style="position:absolute" from="9048,1431" to="9383,1431" stroked="true" strokeweight=".75pt" strokecolor="#231f20">
              <v:stroke dashstyle="solid"/>
            </v:line>
            <v:shape style="position:absolute;left:-20;top:14636;width:107;height:96" coordorigin="-20,14636" coordsize="107,96" path="m8007,1212l8000,1230,7996,1241,7992,1248,7987,1255m8038,1214l8027,1231,8027,1231,8024,1240,8021,1248,8011,1266,8010,1268m8042,1266l8066,1284,8079,1294,8087,1301,8093,1307e" filled="false" stroked="true" strokeweight=".75pt" strokecolor="#c63231">
              <v:path arrowok="t"/>
              <v:stroke dashstyle="solid"/>
            </v:shape>
            <v:line style="position:absolute" from="6125,1777" to="10795,1777" stroked="true" strokeweight="1pt" strokecolor="#231f20">
              <v:stroke dashstyle="shortdash"/>
            </v:line>
            <v:shape style="position:absolute;left:7856;top:1012;width:497;height:498" type="#_x0000_t75" stroked="false">
              <v:imagedata r:id="rId238" o:title=""/>
            </v:shape>
            <v:shape style="position:absolute;left:8008;top:1351;width:30;height:87" type="#_x0000_t75" stroked="false">
              <v:imagedata r:id="rId239" o:title=""/>
            </v:shape>
            <v:shape style="position:absolute;left:8119;top:1154;width:19;height:78" type="#_x0000_t75" stroked="false">
              <v:imagedata r:id="rId240" o:title=""/>
            </v:shape>
            <v:shape style="position:absolute;left:7957;top:1158;width:259;height:261" coordorigin="7957,1159" coordsize="259,261" path="m8208,1391l8100,1391,8110,1391,8119,1395,8130,1407,8142,1415,8155,1419,8170,1420,8186,1414,8201,1402,8208,1391xm8017,1225l8002,1228,7988,1235,7976,1246,7964,1265,7957,1289,7957,1293,7958,1319,7970,1354,7989,1379,8011,1392,8034,1397,8053,1397,8061,1397,8069,1397,8077,1395,8100,1391,8208,1391,8211,1386,8214,1375,8157,1375,8150,1365,8132,1349,8059,1349,8057,1348,8043,1347,8033,1343,8024,1337,8016,1327,8011,1313,8009,1302,8011,1293,8014,1287,8025,1277,8039,1266,8050,1257,8052,1247,8048,1241,8042,1232,8031,1228,8017,1225xm8098,1159l8079,1204,8082,1205,8078,1207,8073,1219,8070,1229,8068,1239,8067,1251,8068,1264,8070,1277,8075,1289,8083,1300,8095,1316,8112,1331,8131,1346,8155,1359,8166,1365,8157,1375,8214,1375,8216,1368,8213,1351,8204,1336,8190,1323,8172,1312,8148,1300,8132,1286,8121,1271,8117,1257,8116,1250,8120,1232,8124,1215,8124,1196,8117,1176,8098,1159xm8109,1343l8087,1344,8069,1347,8065,1347,8059,1349,8132,1349,8132,1348,8109,1343xe" filled="true" fillcolor="#f15b66" stroked="false">
              <v:path arrowok="t"/>
              <v:fill type="solid"/>
            </v:shape>
            <v:shape style="position:absolute;left:7957;top:1158;width:259;height:261" coordorigin="7957,1159" coordsize="259,261" path="m8098,1159l8117,1176,8124,1196,8124,1215,8120,1232,8118,1241,8116,1250,8117,1257,8121,1271,8132,1286,8148,1300,8172,1312,8190,1323,8204,1336,8213,1351,8216,1368,8211,1386,8201,1402,8186,1414,8170,1420,8155,1419,8142,1415,8130,1407,8119,1395,8110,1391,8100,1391,8089,1393,8077,1395,8069,1397,8061,1397,8053,1397,8034,1397,7970,1354,7957,1289,7964,1265,7976,1246,7988,1235,8002,1228,8017,1225,8031,1228,8025,1277,8014,1287,8011,1293,8009,1302,8011,1313,8059,1349,8065,1347,8069,1347,8087,1344,8109,1343,8132,1348,8150,1365,8157,1375,8166,1365,8112,1331,8070,1277,8067,1251,8068,1239,8070,1229,8073,1219,8078,1207,8082,1205,8079,1204e" filled="false" stroked="true" strokeweight=".25pt" strokecolor="#231f20">
              <v:path arrowok="t"/>
              <v:stroke dashstyle="solid"/>
            </v:shape>
            <v:shape style="position:absolute;left:-29;top:14478;width:61;height:159" coordorigin="-28,14478" coordsize="61,159" path="m8053,1332l8061,1329,8074,1329,8080,1331,8084,1332,8085,1328,8080,1329,8077,1329,8072,1330,8066,1330m8040,1174l8035,1181,8029,1191,8025,1206,8025,1226e" filled="false" stroked="true" strokeweight=".25pt" strokecolor="#231f20">
              <v:path arrowok="t"/>
              <v:stroke dashstyle="solid"/>
            </v:shape>
            <v:shape style="position:absolute;left:7913;top:1134;width:30;height:69" type="#_x0000_t75" stroked="false">
              <v:imagedata r:id="rId241" o:title=""/>
            </v:shape>
            <v:shape style="position:absolute;left:7989;top:1092;width:61;height:100" type="#_x0000_t75" stroked="false">
              <v:imagedata r:id="rId242" o:title=""/>
            </v:shape>
            <v:shape style="position:absolute;left:8069;top:1217;width:24;height:85" type="#_x0000_t75" stroked="false">
              <v:imagedata r:id="rId243" o:title=""/>
            </v:shape>
            <v:shape style="position:absolute;left:7958;top:1164;width:101;height:152" type="#_x0000_t75" stroked="false">
              <v:imagedata r:id="rId244" o:title=""/>
            </v:shape>
            <v:shape style="position:absolute;left:7702;top:652;width:1616;height:3520" coordorigin="7702,652" coordsize="1616,3520" path="m8725,3352l8695,3352,8651,3372,8616,3412,8611,3432,8640,3492,8665,3532,8686,3592,8702,3652,8715,3712,8724,3792,8730,3872,8734,3972,8735,4092,8753,4132,8800,4172,9022,4172,9089,4152,9137,4132,9155,4092,9155,4072,9156,4012,9157,3932,9158,3812,9158,3712,9161,3632,9170,3552,9188,3492,9195,3472,8797,3472,8786,3452,8772,3432,8758,3412,8742,3372,8725,3352xm8745,2752l8721,2752,8688,2772,8661,2792,8657,2812,8700,2892,8734,2952,8762,3032,8784,3112,8800,3192,8811,3272,8818,3352,8821,3452,8818,3472,9195,3472,9217,3412,9245,3372,9074,3372,9066,3352,9063,3352,9065,2932,8849,2932,8840,2912,8820,2872,8798,2832,8773,2792,8745,2752xm9242,3172l9212,3172,9176,3232,9145,3272,9119,3312,9096,3352,9085,3372,9245,3372,9260,3352,9318,3272,9315,3252,9284,3212,9242,3172xm8381,672l8265,672,8230,712,8200,732,8178,772,8164,812,8157,832,8138,852,8096,872,7961,872,7899,892,7839,932,7786,972,7742,1032,7713,1112,7702,1212,7707,1292,7722,1372,7745,1452,7774,1512,7809,1572,7848,1612,7890,1672,7919,1732,7931,1792,7929,1872,7914,1952,7889,2072,7871,2152,7862,2232,7858,2292,7859,2372,7862,2432,7863,2492,7864,2592,7864,2692,7865,2752,7869,2792,7890,2872,7895,2932,7950,2932,7954,2872,7971,2792,7975,2752,7974,2692,7974,2572,7973,2472,7971,2412,7969,2352,7969,2272,7977,2192,7996,2092,8015,2012,8030,1932,8040,1852,8041,1792,8032,1712,8011,1652,7975,1592,7936,1552,7902,1512,7872,1452,7847,1412,7832,1352,7821,1312,7815,1272,7812,1212,7812,1192,7813,1192,7815,1172,7817,1152,7847,1072,7898,1032,7959,992,8020,992,8132,972,8206,932,8250,892,8271,832,8276,812,8285,792,8297,792,8310,772,8687,772,8718,752,8965,752,8954,732,8934,712,8467,712,8418,692,8381,672xm8965,752l8784,752,8817,772,8863,812,8897,852,8917,932,8925,1012,8925,1112,8924,1192,8922,1372,8921,1452,8920,1532,8918,1612,8916,1692,8914,1772,8912,1852,8910,1932,8907,1992,8904,2072,8902,2152,8899,2212,8896,2292,8893,2372,8890,2432,8877,2752,8873,2832,8870,2912,8866,2932,9065,2932,9066,2812,9085,2712,9116,2612,9155,2552,9195,2492,9230,2472,9232,2452,9068,2452,9069,2352,9070,2292,9074,2252,9081,2212,9091,2172,9123,2092,9160,2032,9197,1992,9230,1952,9234,1932,9071,1932,9072,1712,9073,1672,9075,1632,9077,1592,9081,1552,9111,1452,9152,1372,9197,1312,9237,1272,9087,1272,9073,1252,9073,1192,9079,1092,9095,1012,9120,932,9150,872,9167,852,9010,852,8986,792,8965,752xm9190,2372l9166,2372,9149,2392,9131,2412,9113,2432,9094,2452,9232,2452,9234,2432,9217,2412,9190,2372xm9190,1872l9150,1872,9133,1892,9115,1912,9097,1932,9234,1932,9217,1892,9190,1872xm9197,1172l9173,1172,9155,1192,9135,1212,9115,1232,9094,1252,9087,1272,9237,1272,9241,1232,9223,1212,9197,1172xm9180,712l9156,712,9134,732,9105,752,9072,792,9039,852,9167,852,9184,832,9220,792,9224,772,9207,732,9180,712xm8687,772l8350,772,8366,792,8437,812,8518,832,8604,812,8687,772xm8806,652l8680,652,8623,692,8574,712,8934,712,8914,692,8867,672,8806,652xe" filled="true" fillcolor="#ffd768" stroked="false">
              <v:path arrowok="t"/>
              <v:fill type="solid"/>
            </v:shape>
            <v:shape style="position:absolute;left:7702;top:634;width:1616;height:3538" coordorigin="7702,635" coordsize="1616,3538" path="m7895,2929l7890,2859,7880,2819,7869,2784,7865,2734,7864,2576,7863,2476,7859,2356,7858,2290,7862,2220,7871,2142,7889,2058,7914,1950,7929,1857,7931,1779,7919,1714,7890,1661,7848,1609,7809,1555,7774,1497,7745,1434,7722,1365,7707,1288,7702,1201,7713,1109,7742,1032,7786,971,7839,923,7899,890,7961,870,8096,856,8138,837,8157,814,8164,796,8178,757,8230,693,8303,660,8342,657,8381,663,8418,678,8467,697,8520,706,8574,701,8623,679,8680,648,8743,635,8806,639,8867,660,8954,732,9010,839,9014,851,9032,850,9072,784,9134,714,9156,696,9180,700,9207,728,9224,762,9220,786,9184,818,9150,863,9120,922,9095,995,9079,1081,9073,1181,9073,1196,9073,1211,9073,1226,9073,1241,9073,1252,9087,1254,9094,1245,9115,1220,9135,1199,9155,1181,9173,1166,9197,1170,9223,1198,9241,1232,9237,1256,9197,1293,9152,1354,9111,1439,9081,1547,9075,1621,9072,1696,9072,1750,9071,1805,9071,1860,9071,1916,9074,1926,9081,1931,9089,1931,9097,1927,9115,1906,9133,1887,9150,1872,9166,1860,9190,1864,9217,1891,9234,1925,9230,1949,9197,1979,9160,2025,9123,2089,9091,2169,9074,2248,9069,2343,9068,2408,9068,2443,9085,2448,9094,2437,9113,2415,9131,2396,9149,2379,9166,2366,9190,2370,9217,2398,9234,2432,9230,2456,9195,2488,9155,2539,9116,2610,9085,2699,9066,2808,9066,2856,9066,2905,9065,2953,9065,3001,9064,3086,9064,3170,9063,3253,9063,3333,9066,3350,9074,3357,9085,3354,9096,3341,9119,3300,9145,3258,9176,3216,9212,3172,9242,3170,9284,3196,9315,3233,9318,3263,9260,3339,9217,3411,9188,3481,9170,3552,9161,3624,9158,3701,9158,3811,9157,3915,9156,4003,9155,4064,9137,4123,9022,4166,8945,4172,8868,4168,8800,4153,8753,4126,8735,4088,8734,3970,8730,3868,8724,3779,8715,3702,8702,3635,8686,3576,8640,3474,8611,3428,8616,3398,8651,3364,8695,3342,8725,3347,8742,3372,8758,3397,8772,3422,8786,3448,8797,3463,8809,3464,8818,3454,8821,3433,8818,3346,8811,3261,8800,3178,8784,3096,8762,3018,8734,2944,8700,2875,8657,2811,8661,2787,8688,2760,8721,2741,8745,2745,8773,2784,8798,2825,8820,2868,8840,2912,8849,2925,8858,2928,8866,2923,8870,2908,8873,2822,8877,2736,8881,2651,8884,2567,8887,2497,8890,2426,8893,2355,8896,2284,8899,2212,8902,2139,8904,2066,8907,1992,8910,1916,8912,1840,8914,1763,8916,1685,8918,1605,8920,1524,8921,1441,8922,1357,8923,1271,8924,1184,8925,1095,8925,1004,8917,919,8897,848,8863,794,8784,746,8751,744,8718,752,8687,768,8604,807,8518,816,8437,803,8366,775,8350,768,8285,792,8271,821,8250,874,8206,923,8132,960,8020,974,7959,984,7898,1016,7847,1071,7817,1150,7812,1201,7815,1255,7832,1350,7872,1446,7936,1543,7975,1591,8011,1648,8032,1711,8041,1779,8040,1851,8030,1926,8015,2005,7996,2085,7977,2178,7969,2262,7969,2339,7971,2412,7973,2471,7974,2572,7974,2673,7975,2734,7971,2790,7962,2828,7954,2868,7950,2929e" filled="false" stroked="true" strokeweight=".25pt" strokecolor="#b7705b">
              <v:path arrowok="t"/>
              <v:stroke dashstyle="solid"/>
            </v:shape>
            <v:shape style="position:absolute;left:7799;top:1144;width:38;height:221" coordorigin="7800,1145" coordsize="38,221" path="m7811,1145l7800,1223,7800,1254,7803,1283,7808,1306,7816,1331,7827,1362,7827,1364,7829,1365,7832,1365,7832,1365,7836,1364,7837,1362,7836,1359,7826,1322,7819,1284,7815,1243,7813,1201,7814,1188,7815,1176,7816,1163,7818,1151,7818,1148,7817,1146,7811,1145xe" filled="true" fillcolor="#b7705b" stroked="false">
              <v:path arrowok="t"/>
              <v:fill type="solid"/>
            </v:shape>
            <v:shape style="position:absolute;left:7868;top:1825;width:103;height:559" type="#_x0000_t75" stroked="false">
              <v:imagedata r:id="rId245" o:title=""/>
            </v:shape>
            <v:shape style="position:absolute;left:7712;top:879;width:269;height:369" type="#_x0000_t75" stroked="false">
              <v:imagedata r:id="rId246" o:title=""/>
            </v:shape>
            <v:shape style="position:absolute;left:8574;top:644;width:261;height:93" type="#_x0000_t75" stroked="false">
              <v:imagedata r:id="rId247" o:title=""/>
            </v:shape>
            <v:shape style="position:absolute;left:8163;top:666;width:208;height:173" type="#_x0000_t75" stroked="false">
              <v:imagedata r:id="rId248" o:title=""/>
            </v:shape>
            <v:shape style="position:absolute;left:9039;top:705;width:143;height:166" type="#_x0000_t75" stroked="false">
              <v:imagedata r:id="rId249" o:title=""/>
            </v:shape>
            <v:shape style="position:absolute;left:9096;top:1175;width:103;height:100" type="#_x0000_t75" stroked="false">
              <v:imagedata r:id="rId250" o:title=""/>
            </v:shape>
            <v:shape style="position:absolute;left:9099;top:1868;width:93;height:89" type="#_x0000_t75" stroked="false">
              <v:imagedata r:id="rId251" o:title=""/>
            </v:shape>
            <v:shape style="position:absolute;left:9066;top:2375;width:126;height:108" type="#_x0000_t75" stroked="false">
              <v:imagedata r:id="rId252" o:title=""/>
            </v:shape>
            <v:shape style="position:absolute;left:9100;top:3176;width:144;height:191" type="#_x0000_t75" stroked="false">
              <v:imagedata r:id="rId253" o:title=""/>
            </v:shape>
            <v:shape style="position:absolute;left:8616;top:3402;width:157;height:544" type="#_x0000_t75" stroked="false">
              <v:imagedata r:id="rId254" o:title=""/>
            </v:shape>
            <v:shape style="position:absolute;left:8664;top:2786;width:195;height:593" type="#_x0000_t75" stroked="false">
              <v:imagedata r:id="rId255" o:title=""/>
            </v:shape>
            <v:shape style="position:absolute;left:8897;top:1151;width:67;height:1346" type="#_x0000_t75" stroked="false">
              <v:imagedata r:id="rId256" o:title=""/>
            </v:shape>
            <v:shape style="position:absolute;left:7624;top:1247;width:435;height:201" coordorigin="7624,1247" coordsize="435,201" path="m7630,1391l7624,1443,7645,1445,7665,1446,7684,1447,7703,1448,7761,1444,7813,1433,7861,1416,7897,1396,7706,1396,7630,1391xm8052,1247l8005,1289,8000,1297,7993,1304,7984,1310,7973,1317,7963,1321,7954,1323,7945,1324,7932,1326,7917,1329,7899,1337,7878,1349,7827,1376,7770,1391,7706,1396,7897,1396,7907,1391,7920,1382,7931,1377,7941,1374,7950,1373,7963,1371,7977,1368,7993,1362,8013,1350,8038,1327,8054,1301,8058,1274,8052,1247xe" filled="true" fillcolor="#f15b66" stroked="false">
              <v:path arrowok="t"/>
              <v:fill type="solid"/>
            </v:shape>
            <v:shape style="position:absolute;left:7624;top:1247;width:435;height:201" coordorigin="7624,1247" coordsize="435,201" path="m8005,1289l8000,1297,7993,1304,7945,1324,7932,1326,7917,1329,7899,1337,7878,1349,7827,1376,7770,1391,7706,1396,7630,1391,7624,1443,7645,1445,7665,1446,7684,1447,7703,1448,7761,1444,7813,1433,7861,1416,7907,1391,7920,1382,7931,1377,7941,1374,7950,1373,7963,1371,7977,1368,8038,1327,8058,1274,8052,1247e" filled="false" stroked="true" strokeweight=".25pt" strokecolor="#231f20">
              <v:path arrowok="t"/>
              <v:stroke dashstyle="solid"/>
            </v:shape>
            <v:shape style="position:absolute;left:8004;top:1266;width:6;height:23" coordorigin="8004,1266" coordsize="6,23" path="m8008,1282l8005,1289,8008,1283,8008,1282xm8009,1277l8008,1282,8010,1279,8009,1277xm8007,1266l8004,1267,8009,1277,8010,1276,8008,1269,8007,1266xe" filled="true" fillcolor="#f15b66" stroked="false">
              <v:path arrowok="t"/>
              <v:fill type="solid"/>
            </v:shape>
            <v:shape style="position:absolute;left:8004;top:1266;width:6;height:23" coordorigin="8004,1266" coordsize="6,23" path="m8008,1269l8007,1266,8004,1267,8006,1270,8007,1272,8010,1279,8005,1289,8008,1283,8010,1276,8008,1269xe" filled="false" stroked="true" strokeweight=".25pt" strokecolor="#231f20">
              <v:path arrowok="t"/>
              <v:stroke dashstyle="solid"/>
            </v:shape>
            <v:shape style="position:absolute;left:8604;top:3332;width:124;height:106" type="#_x0000_t75" stroked="false">
              <v:imagedata r:id="rId257" o:title=""/>
            </v:shape>
            <v:shape style="position:absolute;left:9209;top:3159;width:121;height:109" type="#_x0000_t75" stroked="false">
              <v:imagedata r:id="rId258" o:title=""/>
            </v:shape>
            <v:shape style="position:absolute;left:8650;top:2731;width:96;height:81" coordorigin="8650,2732" coordsize="96,81" path="m8716,2732l8664,2763,8650,2793,8654,2805,8664,2812,8679,2812,8697,2807,8716,2796,8731,2781,8741,2765,8745,2751,8742,2739,8731,2732,8716,2732xe" filled="true" fillcolor="#ffeda9" stroked="false">
              <v:path arrowok="t"/>
              <v:fill type="solid"/>
            </v:shape>
            <v:shape style="position:absolute;left:8650;top:2731;width:96;height:81" coordorigin="8650,2732" coordsize="96,81" path="m8742,2739l8716,2796,8679,2812,8664,2812,8654,2805,8650,2793,8654,2779,8664,2763,8680,2748,8698,2737,8716,2732,8731,2732,8742,2739xe" filled="false" stroked="true" strokeweight=".25pt" strokecolor="#b7705b">
              <v:path arrowok="t"/>
              <v:stroke dashstyle="solid"/>
            </v:shape>
            <v:shape style="position:absolute;left:8663;top:2743;width:69;height:57" coordorigin="8663,2744" coordsize="69,57" path="m8724,2744l8667,2780,8663,2790,8665,2797,8671,2800,8682,2799,8732,2754,8730,2747,8724,2744xe" filled="true" fillcolor="#e9cd86" stroked="false">
              <v:path arrowok="t"/>
              <v:fill type="solid"/>
            </v:shape>
            <v:shape style="position:absolute;left:8663;top:2743;width:69;height:57" coordorigin="8663,2744" coordsize="69,57" path="m8730,2747l8682,2799,8671,2800,8665,2797,8663,2790,8667,2780,8724,2744,8730,2747xe" filled="false" stroked="true" strokeweight=".25pt" strokecolor="#b7705b">
              <v:path arrowok="t"/>
              <v:stroke dashstyle="solid"/>
            </v:shape>
            <v:shape style="position:absolute;left:9163;top:2359;width:80;height:97" coordorigin="9164,2359" coordsize="80,97" path="m9184,2359l9172,2362,9165,2373,9164,2388,9168,2406,9179,2425,9193,2441,9208,2452,9223,2456,9235,2453,9242,2443,9243,2427,9238,2409,9228,2390,9213,2374,9198,2364,9184,2359xe" filled="true" fillcolor="#ffeda9" stroked="false">
              <v:path arrowok="t"/>
              <v:fill type="solid"/>
            </v:shape>
            <v:shape style="position:absolute;left:9163;top:2359;width:80;height:97" coordorigin="9164,2359" coordsize="80,97" path="m9172,2362l9165,2373,9164,2388,9168,2406,9179,2425,9193,2441,9208,2452,9223,2456,9235,2453,9242,2443,9243,2427,9238,2409,9228,2390,9213,2374,9198,2364,9184,2359,9172,2362xe" filled="false" stroked="true" strokeweight=".25pt" strokecolor="#b7705b">
              <v:path arrowok="t"/>
              <v:stroke dashstyle="solid"/>
            </v:shape>
            <v:shape style="position:absolute;left:9179;top:2374;width:49;height:64" coordorigin="9179,2375" coordsize="49,64" path="m9189,2375l9182,2376,9179,2382,9180,2391,9218,2438,9225,2437,9228,2431,9228,2422,9189,2375xe" filled="true" fillcolor="#e9cd86" stroked="false">
              <v:path arrowok="t"/>
              <v:fill type="solid"/>
            </v:shape>
            <v:shape style="position:absolute;left:9179;top:2374;width:49;height:64" coordorigin="9179,2375" coordsize="49,64" path="m9182,2376l9179,2382,9180,2391,9184,2402,9191,2415,9200,2426,9210,2434,9218,2438,9225,2437,9228,2431,9228,2422,9189,2375,9182,2376xe" filled="false" stroked="true" strokeweight=".25pt" strokecolor="#b7705b">
              <v:path arrowok="t"/>
              <v:stroke dashstyle="solid"/>
            </v:shape>
            <v:shape style="position:absolute;left:9164;top:1852;width:79;height:96" coordorigin="9164,1852" coordsize="79,96" path="m9184,1852l9172,1855,9165,1866,9164,1881,9169,1898,9179,1917,9193,1933,9208,1944,9223,1948,9235,1945,9242,1935,9243,1920,9238,1902,9228,1883,9214,1867,9198,1857,9184,1852xe" filled="true" fillcolor="#ffeda9" stroked="false">
              <v:path arrowok="t"/>
              <v:fill type="solid"/>
            </v:shape>
            <v:shape style="position:absolute;left:9164;top:1852;width:79;height:96" coordorigin="9164,1852" coordsize="79,96" path="m9172,1855l9165,1866,9164,1881,9169,1898,9179,1917,9193,1933,9208,1944,9223,1948,9235,1945,9242,1935,9243,1920,9238,1902,9228,1883,9214,1867,9198,1857,9184,1852,9172,1855xe" filled="false" stroked="true" strokeweight=".25pt" strokecolor="#b7705b">
              <v:path arrowok="t"/>
              <v:stroke dashstyle="solid"/>
            </v:shape>
            <v:shape style="position:absolute;left:9179;top:1867;width:49;height:63" coordorigin="9180,1868" coordsize="49,63" path="m9189,1868l9183,1869,9180,1874,9180,1884,9218,1930,9225,1929,9228,1923,9228,1914,9189,1868xe" filled="true" fillcolor="#e9cd86" stroked="false">
              <v:path arrowok="t"/>
              <v:fill type="solid"/>
            </v:shape>
            <v:shape style="position:absolute;left:9179;top:1867;width:49;height:63" coordorigin="9180,1868" coordsize="49,63" path="m9183,1869l9180,1874,9180,1884,9184,1895,9191,1907,9201,1919,9210,1926,9218,1930,9225,1929,9228,1923,9228,1914,9189,1868,9183,1869xe" filled="false" stroked="true" strokeweight=".25pt" strokecolor="#b7705b">
              <v:path arrowok="t"/>
              <v:stroke dashstyle="solid"/>
            </v:shape>
            <v:shape style="position:absolute;left:9165;top:1163;width:79;height:96" coordorigin="9165,1163" coordsize="79,96" path="m9185,1163l9173,1166,9166,1176,9165,1191,9170,1209,9180,1228,9194,1244,9210,1255,9224,1259,9236,1256,9243,1246,9244,1231,9239,1213,9229,1194,9215,1178,9200,1167,9185,1163xe" filled="true" fillcolor="#ffeda9" stroked="false">
              <v:path arrowok="t"/>
              <v:fill type="solid"/>
            </v:shape>
            <v:shape style="position:absolute;left:9165;top:1163;width:79;height:96" coordorigin="9165,1163" coordsize="79,96" path="m9173,1166l9166,1176,9165,1191,9170,1209,9180,1228,9194,1244,9210,1255,9224,1259,9236,1256,9243,1246,9244,1231,9239,1213,9229,1194,9215,1178,9200,1167,9185,1163,9173,1166xe" filled="false" stroked="true" strokeweight=".25pt" strokecolor="#b7705b">
              <v:path arrowok="t"/>
              <v:stroke dashstyle="solid"/>
            </v:shape>
            <v:shape style="position:absolute;left:9180;top:1178;width:49;height:63" coordorigin="9181,1178" coordsize="49,63" path="m9191,1178l9184,1179,9181,1185,9181,1194,9220,1241,9226,1240,9229,1234,9229,1225,9191,1178xe" filled="true" fillcolor="#e9cd86" stroked="false">
              <v:path arrowok="t"/>
              <v:fill type="solid"/>
            </v:shape>
            <v:shape style="position:absolute;left:9180;top:1178;width:49;height:63" coordorigin="9181,1178" coordsize="49,63" path="m9184,1179l9181,1185,9181,1194,9185,1206,9193,1218,9202,1229,9211,1237,9220,1241,9226,1240,9229,1234,9229,1225,9191,1178,9184,1179xe" filled="false" stroked="true" strokeweight=".25pt" strokecolor="#b7705b">
              <v:path arrowok="t"/>
              <v:stroke dashstyle="solid"/>
            </v:shape>
            <v:shape style="position:absolute;left:9155;top:689;width:79;height:96" coordorigin="9155,689" coordsize="79,96" path="m9175,689l9163,692,9156,702,9155,717,9160,735,9170,754,9184,770,9200,781,9214,785,9226,782,9233,772,9234,757,9229,739,9219,720,9205,704,9190,693,9175,689xe" filled="true" fillcolor="#ffeda9" stroked="false">
              <v:path arrowok="t"/>
              <v:fill type="solid"/>
            </v:shape>
            <v:shape style="position:absolute;left:9155;top:689;width:79;height:96" coordorigin="9155,689" coordsize="79,96" path="m9163,692l9156,702,9155,717,9160,735,9170,754,9184,770,9200,781,9214,785,9226,782,9233,772,9234,757,9229,739,9219,720,9205,704,9190,693,9175,689,9163,692xe" filled="false" stroked="true" strokeweight=".25pt" strokecolor="#b7705b">
              <v:path arrowok="t"/>
              <v:stroke dashstyle="solid"/>
            </v:shape>
            <v:shape style="position:absolute;left:9170;top:704;width:49;height:63" coordorigin="9171,704" coordsize="49,63" path="m9181,704l9174,705,9171,711,9171,720,9210,767,9216,766,9219,760,9219,751,9181,704xe" filled="true" fillcolor="#e9cd86" stroked="false">
              <v:path arrowok="t"/>
              <v:fill type="solid"/>
            </v:shape>
            <v:shape style="position:absolute;left:9170;top:704;width:49;height:63" coordorigin="9171,704" coordsize="49,63" path="m9174,705l9171,711,9171,720,9175,732,9183,744,9192,755,9201,763,9210,767,9216,766,9219,760,9219,751,9181,704,9174,705xe" filled="false" stroked="true" strokeweight=".25pt" strokecolor="#b7705b">
              <v:path arrowok="t"/>
              <v:stroke dashstyle="solid"/>
            </v:shape>
            <v:shape style="position:absolute;left:-1762;top:11313;width:2153;height:3323" coordorigin="-1762,11313" coordsize="2153,3323" path="m8992,3650l9383,3650m9020,1431l9383,1431m8297,1266l9383,1065m8815,701l9383,515m8031,327l8075,521m7317,645l7841,981m7230,1282l7807,1282m7422,2689l7905,2689m7498,3004l7925,3004m7542,3475l7710,3475e" filled="false" stroked="true" strokeweight=".75pt" strokecolor="#231f20">
              <v:path arrowok="t"/>
              <v:stroke dashstyle="solid"/>
            </v:shape>
            <v:shape style="position:absolute;left:9404;top:3554;width:107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Collecting duct</w:t>
                    </w:r>
                  </w:p>
                </w:txbxContent>
              </v:textbox>
              <w10:wrap type="none"/>
            </v:shape>
            <v:shape style="position:absolute;left:8992;top:2578;width:1580;height:456" type="#_x0000_t202" filled="false" stroked="false">
              <v:textbox inset="0,0,0,0">
                <w:txbxContent>
                  <w:p>
                    <w:pPr>
                      <w:tabs>
                        <w:tab w:pos="391" w:val="left" w:leader="none"/>
                      </w:tabs>
                      <w:spacing w:line="178" w:lineRule="exact" w:before="97"/>
                      <w:ind w:left="0" w:right="0" w:firstLine="0"/>
                      <w:jc w:val="left"/>
                      <w:rPr>
                        <w:rFonts w:ascii="Helvetica"/>
                        <w:sz w:val="16"/>
                      </w:rPr>
                    </w:pPr>
                    <w:r>
                      <w:rPr>
                        <w:rFonts w:ascii="Helvetica"/>
                        <w:color w:val="231F20"/>
                        <w:w w:val="100"/>
                        <w:position w:val="10"/>
                        <w:sz w:val="16"/>
                        <w:u w:val="single" w:color="231F20"/>
                      </w:rPr>
                      <w:t> </w:t>
                    </w:r>
                    <w:r>
                      <w:rPr>
                        <w:rFonts w:ascii="Helvetica"/>
                        <w:color w:val="231F20"/>
                        <w:position w:val="10"/>
                        <w:sz w:val="16"/>
                        <w:u w:val="single" w:color="231F20"/>
                      </w:rPr>
                      <w:tab/>
                    </w:r>
                    <w:r>
                      <w:rPr>
                        <w:rFonts w:ascii="Helvetica"/>
                        <w:color w:val="231F20"/>
                        <w:spacing w:val="-24"/>
                        <w:position w:val="10"/>
                        <w:sz w:val="16"/>
                      </w:rPr>
                      <w:t> </w:t>
                    </w:r>
                    <w:r>
                      <w:rPr>
                        <w:rFonts w:ascii="Helvetica"/>
                        <w:color w:val="231F20"/>
                        <w:sz w:val="16"/>
                      </w:rPr>
                      <w:t>Medullary</w:t>
                    </w:r>
                  </w:p>
                  <w:p>
                    <w:pPr>
                      <w:spacing w:line="178" w:lineRule="exact" w:before="0"/>
                      <w:ind w:left="412" w:right="0" w:firstLine="0"/>
                      <w:jc w:val="left"/>
                      <w:rPr>
                        <w:rFonts w:ascii="Helvetica"/>
                        <w:sz w:val="16"/>
                      </w:rPr>
                    </w:pPr>
                    <w:r>
                      <w:rPr>
                        <w:rFonts w:ascii="Helvetica"/>
                        <w:color w:val="231F20"/>
                        <w:sz w:val="16"/>
                      </w:rPr>
                      <w:t>collecting tubule</w:t>
                    </w:r>
                  </w:p>
                </w:txbxContent>
              </v:textbox>
              <w10:wrap type="none"/>
            </v:shape>
            <v:shape style="position:absolute;left:6201;top:2234;width:1359;height:1336" type="#_x0000_t202" filled="false" stroked="false">
              <v:textbox inset="0,0,0,0">
                <w:txbxContent>
                  <w:p>
                    <w:pPr>
                      <w:spacing w:line="223" w:lineRule="auto" w:before="9"/>
                      <w:ind w:left="120" w:right="0" w:hanging="120"/>
                      <w:jc w:val="left"/>
                      <w:rPr>
                        <w:rFonts w:ascii="Helvetica"/>
                        <w:sz w:val="16"/>
                      </w:rPr>
                    </w:pPr>
                    <w:r>
                      <w:rPr>
                        <w:rFonts w:ascii="Helvetica"/>
                        <w:color w:val="231F20"/>
                        <w:sz w:val="16"/>
                      </w:rPr>
                      <w:t>Loop of Henle: Thick segment </w:t>
                    </w:r>
                    <w:r>
                      <w:rPr>
                        <w:rFonts w:ascii="Helvetica"/>
                        <w:color w:val="231F20"/>
                        <w:spacing w:val="-9"/>
                        <w:sz w:val="16"/>
                      </w:rPr>
                      <w:t>of </w:t>
                    </w:r>
                    <w:r>
                      <w:rPr>
                        <w:rFonts w:ascii="Helvetica"/>
                        <w:color w:val="231F20"/>
                        <w:sz w:val="16"/>
                      </w:rPr>
                      <w:t>ascending</w:t>
                    </w:r>
                    <w:r>
                      <w:rPr>
                        <w:rFonts w:ascii="Helvetica"/>
                        <w:color w:val="231F20"/>
                        <w:spacing w:val="-1"/>
                        <w:sz w:val="16"/>
                      </w:rPr>
                      <w:t> </w:t>
                    </w:r>
                    <w:r>
                      <w:rPr>
                        <w:rFonts w:ascii="Helvetica"/>
                        <w:color w:val="231F20"/>
                        <w:sz w:val="16"/>
                      </w:rPr>
                      <w:t>limb</w:t>
                    </w:r>
                  </w:p>
                  <w:p>
                    <w:pPr>
                      <w:spacing w:line="223" w:lineRule="auto" w:before="159"/>
                      <w:ind w:left="120" w:right="0" w:firstLine="0"/>
                      <w:jc w:val="left"/>
                      <w:rPr>
                        <w:rFonts w:ascii="Helvetica"/>
                        <w:sz w:val="16"/>
                      </w:rPr>
                    </w:pPr>
                    <w:r>
                      <w:rPr>
                        <w:rFonts w:ascii="Helvetica"/>
                        <w:color w:val="231F20"/>
                        <w:sz w:val="16"/>
                      </w:rPr>
                      <w:t>Thin segment </w:t>
                    </w:r>
                    <w:r>
                      <w:rPr>
                        <w:rFonts w:ascii="Helvetica"/>
                        <w:color w:val="231F20"/>
                        <w:spacing w:val="-9"/>
                        <w:sz w:val="16"/>
                      </w:rPr>
                      <w:t>of </w:t>
                    </w:r>
                    <w:r>
                      <w:rPr>
                        <w:rFonts w:ascii="Helvetica"/>
                        <w:color w:val="231F20"/>
                        <w:sz w:val="16"/>
                      </w:rPr>
                      <w:t>ascending</w:t>
                    </w:r>
                    <w:r>
                      <w:rPr>
                        <w:rFonts w:ascii="Helvetica"/>
                        <w:color w:val="231F20"/>
                        <w:spacing w:val="-1"/>
                        <w:sz w:val="16"/>
                      </w:rPr>
                      <w:t> </w:t>
                    </w:r>
                    <w:r>
                      <w:rPr>
                        <w:rFonts w:ascii="Helvetica"/>
                        <w:color w:val="231F20"/>
                        <w:sz w:val="16"/>
                      </w:rPr>
                      <w:t>limb</w:t>
                    </w:r>
                  </w:p>
                  <w:p>
                    <w:pPr>
                      <w:spacing w:before="126"/>
                      <w:ind w:left="120" w:right="0" w:firstLine="0"/>
                      <w:jc w:val="left"/>
                      <w:rPr>
                        <w:rFonts w:ascii="Helvetica"/>
                        <w:sz w:val="16"/>
                      </w:rPr>
                    </w:pPr>
                    <w:r>
                      <w:rPr>
                        <w:rFonts w:ascii="Helvetica"/>
                        <w:color w:val="231F20"/>
                        <w:sz w:val="16"/>
                      </w:rPr>
                      <w:t>Descending limb</w:t>
                    </w:r>
                  </w:p>
                </w:txbxContent>
              </v:textbox>
              <w10:wrap type="none"/>
            </v:shape>
            <v:shape style="position:absolute;left:9404;top:2038;width:803;height:191" type="#_x0000_t202" filled="false" stroked="false">
              <v:textbox inset="0,0,0,0">
                <w:txbxContent>
                  <w:p>
                    <w:pPr>
                      <w:spacing w:before="4"/>
                      <w:ind w:left="0" w:right="0" w:firstLine="0"/>
                      <w:jc w:val="left"/>
                      <w:rPr>
                        <w:rFonts w:ascii="Helvetica"/>
                        <w:b/>
                        <w:sz w:val="16"/>
                      </w:rPr>
                    </w:pPr>
                    <w:r>
                      <w:rPr>
                        <w:rFonts w:ascii="Helvetica"/>
                        <w:b/>
                        <w:color w:val="231F20"/>
                        <w:sz w:val="16"/>
                      </w:rPr>
                      <w:t>MEDULLA</w:t>
                    </w:r>
                  </w:p>
                </w:txbxContent>
              </v:textbox>
              <w10:wrap type="none"/>
            </v:shape>
            <v:shape style="position:absolute;left:9404;top:1335;width:1168;height:357" type="#_x0000_t202" filled="false" stroked="false">
              <v:textbox inset="0,0,0,0">
                <w:txbxContent>
                  <w:p>
                    <w:pPr>
                      <w:spacing w:line="223" w:lineRule="auto" w:before="9"/>
                      <w:ind w:left="0" w:right="0" w:firstLine="0"/>
                      <w:jc w:val="left"/>
                      <w:rPr>
                        <w:rFonts w:ascii="Helvetica"/>
                        <w:sz w:val="16"/>
                      </w:rPr>
                    </w:pPr>
                    <w:r>
                      <w:rPr>
                        <w:rFonts w:ascii="Helvetica"/>
                        <w:color w:val="231F20"/>
                        <w:sz w:val="16"/>
                      </w:rPr>
                      <w:t>Cortical collecting tubule</w:t>
                    </w:r>
                  </w:p>
                </w:txbxContent>
              </v:textbox>
              <w10:wrap type="none"/>
            </v:shape>
            <v:shape style="position:absolute;left:6220;top:1168;width:101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Macula densa</w:t>
                    </w:r>
                  </w:p>
                </w:txbxContent>
              </v:textbox>
              <w10:wrap type="none"/>
            </v:shape>
            <v:shape style="position:absolute;left:9404;top:150;width:1349;height:1005" type="#_x0000_t202" filled="false" stroked="false">
              <v:textbox inset="0,0,0,0">
                <w:txbxContent>
                  <w:p>
                    <w:pPr>
                      <w:spacing w:before="4"/>
                      <w:ind w:left="0" w:right="0" w:firstLine="0"/>
                      <w:jc w:val="left"/>
                      <w:rPr>
                        <w:rFonts w:ascii="Helvetica"/>
                        <w:b/>
                        <w:sz w:val="16"/>
                      </w:rPr>
                    </w:pPr>
                    <w:r>
                      <w:rPr>
                        <w:rFonts w:ascii="Helvetica"/>
                        <w:b/>
                        <w:color w:val="231F20"/>
                        <w:sz w:val="16"/>
                      </w:rPr>
                      <w:t>CORTEX</w:t>
                    </w:r>
                  </w:p>
                  <w:p>
                    <w:pPr>
                      <w:spacing w:before="81"/>
                      <w:ind w:left="0" w:right="0" w:firstLine="0"/>
                      <w:jc w:val="left"/>
                      <w:rPr>
                        <w:rFonts w:ascii="Helvetica"/>
                        <w:sz w:val="16"/>
                      </w:rPr>
                    </w:pPr>
                    <w:r>
                      <w:rPr>
                        <w:rFonts w:ascii="Helvetica"/>
                        <w:color w:val="231F20"/>
                        <w:sz w:val="16"/>
                      </w:rPr>
                      <w:t>Connecting</w:t>
                    </w:r>
                    <w:r>
                      <w:rPr>
                        <w:rFonts w:ascii="Helvetica"/>
                        <w:color w:val="231F20"/>
                        <w:spacing w:val="-1"/>
                        <w:sz w:val="16"/>
                      </w:rPr>
                      <w:t> </w:t>
                    </w:r>
                    <w:r>
                      <w:rPr>
                        <w:rFonts w:ascii="Helvetica"/>
                        <w:color w:val="231F20"/>
                        <w:sz w:val="16"/>
                      </w:rPr>
                      <w:t>tubule</w:t>
                    </w:r>
                  </w:p>
                  <w:p>
                    <w:pPr>
                      <w:spacing w:line="240" w:lineRule="auto" w:before="0"/>
                      <w:rPr>
                        <w:rFonts w:ascii="Helvetica"/>
                        <w:sz w:val="18"/>
                      </w:rPr>
                    </w:pPr>
                  </w:p>
                  <w:p>
                    <w:pPr>
                      <w:spacing w:before="158"/>
                      <w:ind w:left="0" w:right="0" w:firstLine="0"/>
                      <w:jc w:val="left"/>
                      <w:rPr>
                        <w:rFonts w:ascii="Helvetica"/>
                        <w:sz w:val="16"/>
                      </w:rPr>
                    </w:pPr>
                    <w:r>
                      <w:rPr>
                        <w:rFonts w:ascii="Helvetica"/>
                        <w:color w:val="231F20"/>
                        <w:sz w:val="16"/>
                      </w:rPr>
                      <w:t>Bowman's</w:t>
                    </w:r>
                    <w:r>
                      <w:rPr>
                        <w:rFonts w:ascii="Helvetica"/>
                        <w:color w:val="231F20"/>
                        <w:spacing w:val="-1"/>
                        <w:sz w:val="16"/>
                      </w:rPr>
                      <w:t> </w:t>
                    </w:r>
                    <w:r>
                      <w:rPr>
                        <w:rFonts w:ascii="Helvetica"/>
                        <w:color w:val="231F20"/>
                        <w:sz w:val="16"/>
                      </w:rPr>
                      <w:t>capsule</w:t>
                    </w:r>
                  </w:p>
                </w:txbxContent>
              </v:textbox>
              <w10:wrap type="none"/>
            </v:shape>
            <v:shape style="position:absolute;left:6410;top:528;width:90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Distal tubule</w:t>
                    </w:r>
                  </w:p>
                </w:txbxContent>
              </v:textbox>
              <w10:wrap type="none"/>
            </v:shape>
            <v:shape style="position:absolute;left:7479;top:136;width:112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Proximal tubule</w:t>
                    </w:r>
                  </w:p>
                </w:txbxContent>
              </v:textbox>
              <w10:wrap type="none"/>
            </v:shape>
            <w10:wrap type="none"/>
          </v:group>
        </w:pict>
      </w:r>
      <w:r>
        <w:rPr>
          <w:rFonts w:ascii="Helvetica"/>
          <w:color w:val="231F20"/>
          <w:sz w:val="16"/>
        </w:rPr>
        <w:t>Arcuate</w:t>
      </w:r>
      <w:r>
        <w:rPr>
          <w:rFonts w:ascii="Helvetica"/>
          <w:color w:val="231F20"/>
          <w:spacing w:val="-1"/>
          <w:sz w:val="16"/>
        </w:rPr>
        <w:t> </w:t>
      </w:r>
      <w:r>
        <w:rPr>
          <w:rFonts w:ascii="Helvetica"/>
          <w:color w:val="231F20"/>
          <w:sz w:val="16"/>
        </w:rPr>
        <w:t>arteries</w:t>
      </w:r>
    </w:p>
    <w:p>
      <w:pPr>
        <w:spacing w:line="182" w:lineRule="exact" w:before="0"/>
        <w:ind w:left="0" w:right="6487" w:firstLine="0"/>
        <w:jc w:val="right"/>
        <w:rPr>
          <w:rFonts w:ascii="Helvetica"/>
          <w:sz w:val="16"/>
        </w:rPr>
      </w:pPr>
      <w:r>
        <w:rPr>
          <w:rFonts w:ascii="Helvetica"/>
          <w:color w:val="231F20"/>
          <w:sz w:val="16"/>
        </w:rPr>
        <w:t>and</w:t>
      </w:r>
      <w:r>
        <w:rPr>
          <w:rFonts w:ascii="Helvetica"/>
          <w:color w:val="231F20"/>
          <w:spacing w:val="-1"/>
          <w:sz w:val="16"/>
        </w:rPr>
        <w:t> </w:t>
      </w:r>
      <w:r>
        <w:rPr>
          <w:rFonts w:ascii="Helvetica"/>
          <w:color w:val="231F20"/>
          <w:sz w:val="16"/>
        </w:rPr>
        <w:t>veins</w:t>
      </w:r>
    </w:p>
    <w:p>
      <w:pPr>
        <w:pStyle w:val="BodyText"/>
        <w:spacing w:before="1"/>
        <w:rPr>
          <w:rFonts w:ascii="Helvetica"/>
          <w:sz w:val="13"/>
        </w:rPr>
      </w:pPr>
    </w:p>
    <w:p>
      <w:pPr>
        <w:spacing w:line="235" w:lineRule="auto" w:before="102"/>
        <w:ind w:left="1112" w:right="9854" w:firstLine="0"/>
        <w:jc w:val="left"/>
        <w:rPr>
          <w:rFonts w:ascii="Helvetica"/>
          <w:sz w:val="16"/>
        </w:rPr>
      </w:pPr>
      <w:r>
        <w:rPr>
          <w:rFonts w:ascii="Helvetica"/>
          <w:color w:val="231F20"/>
          <w:sz w:val="16"/>
        </w:rPr>
        <w:t>Interlobar arteries and veins</w:t>
      </w:r>
    </w:p>
    <w:p>
      <w:pPr>
        <w:pStyle w:val="BodyText"/>
        <w:rPr>
          <w:rFonts w:ascii="Helvetica"/>
        </w:rPr>
      </w:pPr>
    </w:p>
    <w:p>
      <w:pPr>
        <w:pStyle w:val="BodyText"/>
        <w:spacing w:before="6"/>
        <w:rPr>
          <w:rFonts w:ascii="Helvetica"/>
          <w:sz w:val="22"/>
        </w:rPr>
      </w:pPr>
    </w:p>
    <w:p>
      <w:pPr>
        <w:spacing w:before="0"/>
        <w:ind w:left="1088" w:right="0" w:firstLine="0"/>
        <w:jc w:val="left"/>
        <w:rPr>
          <w:rFonts w:ascii="Helvetica"/>
          <w:sz w:val="16"/>
        </w:rPr>
      </w:pPr>
      <w:r>
        <w:rPr>
          <w:rFonts w:ascii="Helvetica"/>
          <w:color w:val="231F20"/>
          <w:sz w:val="16"/>
        </w:rPr>
        <w:t>Renal artery</w:t>
      </w:r>
    </w:p>
    <w:p>
      <w:pPr>
        <w:pStyle w:val="BodyText"/>
        <w:rPr>
          <w:rFonts w:ascii="Helvetica"/>
        </w:rPr>
      </w:pPr>
    </w:p>
    <w:p>
      <w:pPr>
        <w:pStyle w:val="BodyText"/>
        <w:rPr>
          <w:rFonts w:ascii="Helvetica"/>
          <w:sz w:val="25"/>
        </w:rPr>
      </w:pPr>
    </w:p>
    <w:p>
      <w:pPr>
        <w:spacing w:line="391" w:lineRule="auto" w:before="99"/>
        <w:ind w:left="1088" w:right="9789" w:hanging="3"/>
        <w:jc w:val="left"/>
        <w:rPr>
          <w:rFonts w:ascii="Helvetica"/>
          <w:sz w:val="16"/>
        </w:rPr>
      </w:pPr>
      <w:r>
        <w:rPr/>
        <w:pict>
          <v:rect style="position:absolute;margin-left:0pt;margin-top:27.473377pt;width:36pt;height:24pt;mso-position-horizontal-relative:page;mso-position-vertical-relative:paragraph;z-index:251820032" filled="true" fillcolor="#e8dac8" stroked="false">
            <v:fill type="solid"/>
            <w10:wrap type="none"/>
          </v:rect>
        </w:pict>
      </w:r>
      <w:r>
        <w:rPr>
          <w:rFonts w:ascii="Helvetica"/>
          <w:color w:val="231F20"/>
          <w:sz w:val="16"/>
        </w:rPr>
        <w:t>Renal vein Segmental arteries</w:t>
      </w:r>
    </w:p>
    <w:p>
      <w:pPr>
        <w:pStyle w:val="BodyText"/>
        <w:rPr>
          <w:rFonts w:ascii="Helvetica"/>
        </w:rPr>
      </w:pPr>
    </w:p>
    <w:p>
      <w:pPr>
        <w:pStyle w:val="BodyText"/>
        <w:rPr>
          <w:rFonts w:ascii="Helvetica"/>
        </w:rPr>
      </w:pPr>
    </w:p>
    <w:p>
      <w:pPr>
        <w:pStyle w:val="BodyText"/>
        <w:rPr>
          <w:rFonts w:ascii="Helvetica"/>
        </w:rPr>
      </w:pPr>
    </w:p>
    <w:p>
      <w:pPr>
        <w:pStyle w:val="BodyText"/>
        <w:spacing w:before="3"/>
        <w:rPr>
          <w:rFonts w:ascii="Helvetica"/>
          <w:sz w:val="19"/>
        </w:rPr>
      </w:pPr>
    </w:p>
    <w:p>
      <w:pPr>
        <w:spacing w:after="0"/>
        <w:rPr>
          <w:rFonts w:ascii="Helvetica"/>
          <w:sz w:val="19"/>
        </w:rPr>
        <w:sectPr>
          <w:headerReference w:type="even" r:id="rId129"/>
          <w:footerReference w:type="even" r:id="rId130"/>
          <w:footerReference w:type="default" r:id="rId131"/>
          <w:pgSz w:w="12240" w:h="15660"/>
          <w:pgMar w:header="0" w:footer="567" w:top="720" w:bottom="760" w:left="0" w:right="0"/>
          <w:pgNumType w:start="326"/>
        </w:sect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181" w:lineRule="exact" w:before="121"/>
        <w:ind w:left="2104" w:right="0" w:firstLine="0"/>
        <w:jc w:val="left"/>
        <w:rPr>
          <w:rFonts w:ascii="Helvetica" w:hAnsi="Helvetica"/>
          <w:sz w:val="16"/>
        </w:rPr>
      </w:pPr>
      <w:r>
        <w:rPr>
          <w:rFonts w:ascii="Helvetica" w:hAnsi="Helvetica"/>
          <w:color w:val="231F20"/>
          <w:sz w:val="16"/>
        </w:rPr>
        <w:t>Glomerulus Bowman’s</w:t>
      </w:r>
    </w:p>
    <w:p>
      <w:pPr>
        <w:spacing w:line="235" w:lineRule="auto" w:before="103"/>
        <w:ind w:left="671" w:right="-20" w:firstLine="462"/>
        <w:jc w:val="left"/>
        <w:rPr>
          <w:rFonts w:ascii="Helvetica"/>
          <w:sz w:val="16"/>
        </w:rPr>
      </w:pPr>
      <w:r>
        <w:rPr/>
        <w:br w:type="column"/>
      </w:r>
      <w:r>
        <w:rPr>
          <w:rFonts w:ascii="Helvetica"/>
          <w:color w:val="231F20"/>
          <w:sz w:val="16"/>
        </w:rPr>
        <w:t>Interlobular</w:t>
      </w:r>
      <w:r>
        <w:rPr>
          <w:rFonts w:ascii="Helvetica"/>
          <w:color w:val="231F20"/>
          <w:w w:val="99"/>
          <w:sz w:val="16"/>
        </w:rPr>
        <w:t> </w:t>
      </w:r>
      <w:r>
        <w:rPr>
          <w:rFonts w:ascii="Helvetica"/>
          <w:color w:val="231F20"/>
          <w:sz w:val="16"/>
        </w:rPr>
        <w:t>arteries and veins</w:t>
      </w:r>
    </w:p>
    <w:p>
      <w:pPr>
        <w:pStyle w:val="BodyText"/>
        <w:rPr>
          <w:rFonts w:ascii="Helvetica"/>
          <w:sz w:val="18"/>
        </w:rPr>
      </w:pPr>
    </w:p>
    <w:p>
      <w:pPr>
        <w:pStyle w:val="BodyText"/>
        <w:spacing w:before="2"/>
        <w:rPr>
          <w:rFonts w:ascii="Helvetica"/>
          <w:sz w:val="24"/>
        </w:rPr>
      </w:pPr>
    </w:p>
    <w:p>
      <w:pPr>
        <w:spacing w:line="181" w:lineRule="exact" w:before="0"/>
        <w:ind w:left="270" w:right="0" w:firstLine="0"/>
        <w:jc w:val="left"/>
        <w:rPr>
          <w:rFonts w:ascii="Helvetica"/>
          <w:sz w:val="16"/>
        </w:rPr>
      </w:pPr>
      <w:r>
        <w:rPr>
          <w:rFonts w:ascii="Helvetica"/>
          <w:color w:val="231F20"/>
          <w:sz w:val="16"/>
        </w:rPr>
        <w:t>Proximal tubule</w:t>
      </w:r>
    </w:p>
    <w:p>
      <w:pPr>
        <w:pStyle w:val="BodyText"/>
        <w:rPr>
          <w:rFonts w:ascii="Helvetica"/>
          <w:sz w:val="18"/>
        </w:rPr>
      </w:pPr>
      <w:r>
        <w:rPr/>
        <w:br w:type="column"/>
      </w:r>
      <w:r>
        <w:rPr>
          <w:rFonts w:ascii="Helvetica"/>
          <w:sz w:val="18"/>
        </w:rPr>
      </w:r>
    </w:p>
    <w:p>
      <w:pPr>
        <w:pStyle w:val="BodyText"/>
        <w:spacing w:before="7"/>
        <w:rPr>
          <w:rFonts w:ascii="Helvetica"/>
          <w:sz w:val="26"/>
        </w:rPr>
      </w:pPr>
    </w:p>
    <w:p>
      <w:pPr>
        <w:spacing w:line="259" w:lineRule="auto" w:before="0"/>
        <w:ind w:left="325" w:right="1437" w:firstLine="0"/>
        <w:jc w:val="both"/>
        <w:rPr>
          <w:rFonts w:ascii="Arial"/>
          <w:sz w:val="16"/>
        </w:rPr>
      </w:pPr>
      <w:bookmarkStart w:name="_bookmark14" w:id="15"/>
      <w:bookmarkEnd w:id="15"/>
      <w:r>
        <w:rPr/>
      </w:r>
      <w:r>
        <w:rPr>
          <w:rFonts w:ascii="Trebuchet MS"/>
          <w:b/>
          <w:color w:val="231F20"/>
          <w:sz w:val="16"/>
        </w:rPr>
        <w:t>Figure 26-4. </w:t>
      </w:r>
      <w:r>
        <w:rPr>
          <w:rFonts w:ascii="Arial"/>
          <w:color w:val="231F20"/>
          <w:sz w:val="16"/>
        </w:rPr>
        <w:t>Basic tubular segments of the  nephron.  The relative lengths of the different tubular segments are not drawn   to</w:t>
      </w:r>
      <w:r>
        <w:rPr>
          <w:rFonts w:ascii="Arial"/>
          <w:color w:val="231F20"/>
          <w:spacing w:val="7"/>
          <w:sz w:val="16"/>
        </w:rPr>
        <w:t> </w:t>
      </w:r>
      <w:r>
        <w:rPr>
          <w:rFonts w:ascii="Arial"/>
          <w:color w:val="231F20"/>
          <w:sz w:val="16"/>
        </w:rPr>
        <w:t>scale.</w:t>
      </w:r>
    </w:p>
    <w:p>
      <w:pPr>
        <w:spacing w:after="0" w:line="259" w:lineRule="auto"/>
        <w:jc w:val="both"/>
        <w:rPr>
          <w:rFonts w:ascii="Arial"/>
          <w:sz w:val="16"/>
        </w:rPr>
        <w:sectPr>
          <w:type w:val="continuous"/>
          <w:pgSz w:w="12240" w:h="15660"/>
          <w:pgMar w:top="0" w:bottom="760" w:left="0" w:right="0"/>
          <w:cols w:num="3" w:equalWidth="0">
            <w:col w:w="3781" w:space="40"/>
            <w:col w:w="1934" w:space="39"/>
            <w:col w:w="6446"/>
          </w:cols>
        </w:sectPr>
      </w:pPr>
    </w:p>
    <w:p>
      <w:pPr>
        <w:spacing w:before="80"/>
        <w:ind w:left="1109" w:right="0" w:firstLine="0"/>
        <w:jc w:val="left"/>
        <w:rPr>
          <w:rFonts w:ascii="Helvetica"/>
          <w:sz w:val="16"/>
        </w:rPr>
      </w:pPr>
      <w:r>
        <w:rPr>
          <w:rFonts w:ascii="Helvetica"/>
          <w:color w:val="231F20"/>
          <w:sz w:val="16"/>
        </w:rPr>
        <w:t>Efferent arteriole</w:t>
      </w:r>
    </w:p>
    <w:p>
      <w:pPr>
        <w:spacing w:line="235" w:lineRule="auto" w:before="94"/>
        <w:ind w:left="1102" w:right="415" w:firstLine="0"/>
        <w:jc w:val="left"/>
        <w:rPr>
          <w:rFonts w:ascii="Helvetica"/>
          <w:sz w:val="16"/>
        </w:rPr>
      </w:pPr>
      <w:r>
        <w:rPr>
          <w:rFonts w:ascii="Helvetica"/>
          <w:color w:val="231F20"/>
          <w:sz w:val="16"/>
        </w:rPr>
        <w:t>Juxta- glomerular apparatus</w:t>
      </w:r>
    </w:p>
    <w:p>
      <w:pPr>
        <w:pStyle w:val="BodyText"/>
        <w:spacing w:before="2"/>
        <w:rPr>
          <w:rFonts w:ascii="Helvetica"/>
          <w:sz w:val="21"/>
        </w:rPr>
      </w:pPr>
    </w:p>
    <w:p>
      <w:pPr>
        <w:spacing w:line="235" w:lineRule="auto" w:before="0"/>
        <w:ind w:left="1102" w:right="592" w:firstLine="0"/>
        <w:jc w:val="left"/>
        <w:rPr>
          <w:rFonts w:ascii="Helvetica"/>
          <w:sz w:val="16"/>
        </w:rPr>
      </w:pPr>
      <w:r>
        <w:rPr>
          <w:rFonts w:ascii="Helvetica"/>
          <w:color w:val="231F20"/>
          <w:sz w:val="16"/>
        </w:rPr>
        <w:t>Afferent arteriole</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
        <w:rPr>
          <w:rFonts w:ascii="Helvetica"/>
        </w:rPr>
      </w:pPr>
    </w:p>
    <w:p>
      <w:pPr>
        <w:tabs>
          <w:tab w:pos="1859" w:val="left" w:leader="none"/>
        </w:tabs>
        <w:spacing w:line="235" w:lineRule="auto" w:before="0"/>
        <w:ind w:left="1161" w:right="9" w:hanging="72"/>
        <w:jc w:val="left"/>
        <w:rPr>
          <w:rFonts w:ascii="Helvetica"/>
          <w:sz w:val="16"/>
        </w:rPr>
      </w:pPr>
      <w:r>
        <w:rPr>
          <w:rFonts w:ascii="Helvetica"/>
          <w:color w:val="231F20"/>
          <w:sz w:val="16"/>
        </w:rPr>
        <w:t>Arcuate </w:t>
      </w:r>
      <w:r>
        <w:rPr>
          <w:rFonts w:ascii="Helvetica"/>
          <w:color w:val="231F20"/>
          <w:spacing w:val="-3"/>
          <w:sz w:val="16"/>
        </w:rPr>
        <w:t>Arcuate </w:t>
      </w:r>
      <w:r>
        <w:rPr>
          <w:rFonts w:ascii="Helvetica"/>
          <w:color w:val="231F20"/>
          <w:sz w:val="16"/>
        </w:rPr>
        <w:t>artery</w:t>
        <w:tab/>
        <w:t>vein</w:t>
      </w:r>
    </w:p>
    <w:p>
      <w:pPr>
        <w:spacing w:line="183" w:lineRule="exact" w:before="0"/>
        <w:ind w:left="803" w:right="0" w:firstLine="0"/>
        <w:jc w:val="left"/>
        <w:rPr>
          <w:rFonts w:ascii="Helvetica"/>
          <w:sz w:val="16"/>
        </w:rPr>
      </w:pPr>
      <w:r>
        <w:rPr/>
        <w:br w:type="column"/>
      </w:r>
      <w:r>
        <w:rPr>
          <w:rFonts w:ascii="Helvetica"/>
          <w:color w:val="231F20"/>
          <w:sz w:val="16"/>
        </w:rPr>
        <w:t>capsule</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2"/>
        <w:rPr>
          <w:rFonts w:ascii="Helvetica"/>
          <w:sz w:val="19"/>
        </w:rPr>
      </w:pPr>
    </w:p>
    <w:p>
      <w:pPr>
        <w:spacing w:before="0"/>
        <w:ind w:left="156" w:right="0" w:firstLine="0"/>
        <w:jc w:val="left"/>
        <w:rPr>
          <w:rFonts w:ascii="Helvetica"/>
          <w:sz w:val="16"/>
        </w:rPr>
      </w:pPr>
      <w:r>
        <w:rPr>
          <w:rFonts w:ascii="Helvetica"/>
          <w:color w:val="231F20"/>
          <w:sz w:val="16"/>
        </w:rPr>
        <w:t>Distal tubule</w:t>
      </w:r>
    </w:p>
    <w:p>
      <w:pPr>
        <w:pStyle w:val="BodyText"/>
        <w:rPr>
          <w:rFonts w:ascii="Helvetica"/>
          <w:sz w:val="18"/>
        </w:rPr>
      </w:pPr>
    </w:p>
    <w:p>
      <w:pPr>
        <w:pStyle w:val="BodyText"/>
        <w:rPr>
          <w:rFonts w:ascii="Helvetica"/>
          <w:sz w:val="18"/>
        </w:rPr>
      </w:pPr>
    </w:p>
    <w:p>
      <w:pPr>
        <w:pStyle w:val="BodyText"/>
        <w:spacing w:before="4"/>
        <w:rPr>
          <w:rFonts w:ascii="Helvetica"/>
          <w:sz w:val="19"/>
        </w:rPr>
      </w:pPr>
    </w:p>
    <w:p>
      <w:pPr>
        <w:spacing w:line="235" w:lineRule="auto" w:before="0"/>
        <w:ind w:left="133" w:right="428" w:firstLine="0"/>
        <w:jc w:val="left"/>
        <w:rPr>
          <w:rFonts w:ascii="Helvetica"/>
          <w:sz w:val="16"/>
        </w:rPr>
      </w:pPr>
      <w:r>
        <w:rPr>
          <w:rFonts w:ascii="Helvetica"/>
          <w:color w:val="231F20"/>
          <w:sz w:val="16"/>
        </w:rPr>
        <w:t>Peritubular capillaries</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6"/>
        <w:rPr>
          <w:rFonts w:ascii="Helvetica"/>
          <w:sz w:val="16"/>
        </w:rPr>
      </w:pPr>
    </w:p>
    <w:p>
      <w:pPr>
        <w:spacing w:line="235" w:lineRule="auto" w:before="0"/>
        <w:ind w:left="754" w:right="575" w:firstLine="0"/>
        <w:jc w:val="center"/>
        <w:rPr>
          <w:rFonts w:ascii="Helvetica"/>
          <w:sz w:val="16"/>
        </w:rPr>
      </w:pPr>
      <w:r>
        <w:rPr>
          <w:rFonts w:ascii="Helvetica"/>
          <w:color w:val="231F20"/>
          <w:sz w:val="16"/>
        </w:rPr>
        <w:t>Cortical collecting</w:t>
      </w:r>
      <w:r>
        <w:rPr>
          <w:rFonts w:ascii="Helvetica"/>
          <w:color w:val="231F20"/>
          <w:w w:val="99"/>
          <w:sz w:val="16"/>
        </w:rPr>
        <w:t> </w:t>
      </w:r>
      <w:r>
        <w:rPr>
          <w:rFonts w:ascii="Helvetica"/>
          <w:color w:val="231F20"/>
          <w:sz w:val="16"/>
        </w:rPr>
        <w:t>tubule</w:t>
      </w:r>
    </w:p>
    <w:p>
      <w:pPr>
        <w:pStyle w:val="BodyText"/>
        <w:rPr>
          <w:rFonts w:ascii="Helvetica"/>
          <w:sz w:val="18"/>
        </w:rPr>
      </w:pPr>
    </w:p>
    <w:p>
      <w:pPr>
        <w:spacing w:line="235" w:lineRule="auto" w:before="157"/>
        <w:ind w:left="778" w:right="668" w:firstLine="0"/>
        <w:jc w:val="left"/>
        <w:rPr>
          <w:rFonts w:ascii="Helvetica"/>
          <w:sz w:val="16"/>
        </w:rPr>
      </w:pPr>
      <w:r>
        <w:rPr>
          <w:rFonts w:ascii="Helvetica"/>
          <w:color w:val="231F20"/>
          <w:sz w:val="16"/>
        </w:rPr>
        <w:t>Loop of Henle</w:t>
      </w:r>
    </w:p>
    <w:p>
      <w:pPr>
        <w:pStyle w:val="BodyText"/>
        <w:rPr>
          <w:rFonts w:ascii="Helvetica"/>
          <w:sz w:val="18"/>
        </w:rPr>
      </w:pPr>
    </w:p>
    <w:p>
      <w:pPr>
        <w:pStyle w:val="BodyText"/>
        <w:spacing w:before="10"/>
        <w:rPr>
          <w:rFonts w:ascii="Helvetica"/>
          <w:sz w:val="22"/>
        </w:rPr>
      </w:pPr>
    </w:p>
    <w:p>
      <w:pPr>
        <w:spacing w:line="235" w:lineRule="auto" w:before="0"/>
        <w:ind w:left="1496" w:right="-19" w:hanging="200"/>
        <w:jc w:val="left"/>
        <w:rPr>
          <w:rFonts w:ascii="Helvetica"/>
          <w:sz w:val="16"/>
        </w:rPr>
      </w:pPr>
      <w:r>
        <w:rPr>
          <w:rFonts w:ascii="Helvetica"/>
          <w:color w:val="231F20"/>
          <w:sz w:val="16"/>
        </w:rPr>
        <w:t>Collecting</w:t>
      </w:r>
      <w:r>
        <w:rPr>
          <w:rFonts w:ascii="Helvetica"/>
          <w:color w:val="231F20"/>
          <w:w w:val="99"/>
          <w:sz w:val="16"/>
        </w:rPr>
        <w:t> </w:t>
      </w:r>
      <w:r>
        <w:rPr>
          <w:rFonts w:ascii="Helvetica"/>
          <w:color w:val="231F20"/>
          <w:sz w:val="16"/>
        </w:rPr>
        <w:t>duct</w:t>
      </w:r>
    </w:p>
    <w:p>
      <w:pPr>
        <w:pStyle w:val="BodyText"/>
        <w:spacing w:before="2"/>
        <w:rPr>
          <w:rFonts w:ascii="Helvetica"/>
          <w:sz w:val="25"/>
        </w:rPr>
      </w:pPr>
      <w:r>
        <w:rPr/>
        <w:br w:type="column"/>
      </w:r>
      <w:r>
        <w:rPr>
          <w:rFonts w:ascii="Helvetica"/>
          <w:sz w:val="25"/>
        </w:rPr>
      </w:r>
    </w:p>
    <w:p>
      <w:pPr>
        <w:pStyle w:val="BodyText"/>
        <w:spacing w:line="249" w:lineRule="auto"/>
        <w:ind w:left="353" w:right="1439"/>
        <w:jc w:val="both"/>
      </w:pPr>
      <w:r>
        <w:rPr>
          <w:color w:val="231F20"/>
        </w:rPr>
        <w:t>medulla and becomes the </w:t>
      </w:r>
      <w:r>
        <w:rPr>
          <w:i/>
          <w:color w:val="231F20"/>
        </w:rPr>
        <w:t>medullary collecting duct. </w:t>
      </w:r>
      <w:r>
        <w:rPr>
          <w:color w:val="231F20"/>
        </w:rPr>
        <w:t>The collecting ducts merge to form progressively larger ducts that eventually empty into the renal pelvis through the  tips of the </w:t>
      </w:r>
      <w:r>
        <w:rPr>
          <w:i/>
          <w:color w:val="231F20"/>
        </w:rPr>
        <w:t>renal papillae. </w:t>
      </w:r>
      <w:r>
        <w:rPr>
          <w:color w:val="231F20"/>
        </w:rPr>
        <w:t>In each kidney, there are about 250 of the very large collecting ducts, each of which col- lects urine from about 4000</w:t>
      </w:r>
      <w:r>
        <w:rPr>
          <w:color w:val="231F20"/>
          <w:spacing w:val="46"/>
        </w:rPr>
        <w:t> </w:t>
      </w:r>
      <w:r>
        <w:rPr>
          <w:color w:val="231F20"/>
        </w:rPr>
        <w:t>nephrons.</w:t>
      </w:r>
    </w:p>
    <w:p>
      <w:pPr>
        <w:pStyle w:val="BodyText"/>
        <w:rPr>
          <w:sz w:val="22"/>
        </w:rPr>
      </w:pPr>
    </w:p>
    <w:p>
      <w:pPr>
        <w:spacing w:line="249" w:lineRule="auto" w:before="0"/>
        <w:ind w:left="353" w:right="1437" w:firstLine="0"/>
        <w:jc w:val="both"/>
        <w:rPr>
          <w:sz w:val="20"/>
        </w:rPr>
      </w:pPr>
      <w:r>
        <w:rPr>
          <w:rFonts w:ascii="Trebuchet MS"/>
          <w:b/>
          <w:color w:val="231F20"/>
          <w:sz w:val="19"/>
        </w:rPr>
        <w:t>Regional Differences in Nephron Structure: Cortical and Juxtamedullary Nephrons. </w:t>
      </w:r>
      <w:r>
        <w:rPr>
          <w:color w:val="231F20"/>
          <w:sz w:val="20"/>
        </w:rPr>
        <w:t>Although each </w:t>
      </w:r>
      <w:r>
        <w:rPr>
          <w:color w:val="231F20"/>
          <w:spacing w:val="-3"/>
          <w:sz w:val="20"/>
        </w:rPr>
        <w:t>neph- </w:t>
      </w:r>
      <w:r>
        <w:rPr>
          <w:color w:val="231F20"/>
          <w:sz w:val="20"/>
        </w:rPr>
        <w:t>ron has all the components described </w:t>
      </w:r>
      <w:r>
        <w:rPr>
          <w:color w:val="231F20"/>
          <w:spacing w:val="-3"/>
          <w:sz w:val="20"/>
        </w:rPr>
        <w:t>earlier, </w:t>
      </w:r>
      <w:r>
        <w:rPr>
          <w:color w:val="231F20"/>
          <w:sz w:val="20"/>
        </w:rPr>
        <w:t>there</w:t>
      </w:r>
      <w:r>
        <w:rPr>
          <w:color w:val="231F20"/>
          <w:spacing w:val="30"/>
          <w:sz w:val="20"/>
        </w:rPr>
        <w:t> </w:t>
      </w:r>
      <w:r>
        <w:rPr>
          <w:color w:val="231F20"/>
          <w:sz w:val="20"/>
        </w:rPr>
        <w:t>are some differences, depending on how deep the nephron  lies within the kidney mass. The nephrons that </w:t>
      </w:r>
      <w:r>
        <w:rPr>
          <w:color w:val="231F20"/>
          <w:spacing w:val="-5"/>
          <w:sz w:val="20"/>
        </w:rPr>
        <w:t>have </w:t>
      </w:r>
      <w:r>
        <w:rPr>
          <w:color w:val="231F20"/>
          <w:sz w:val="20"/>
        </w:rPr>
        <w:t>glomeruli located in the outer cortex are called </w:t>
      </w:r>
      <w:r>
        <w:rPr>
          <w:i/>
          <w:color w:val="231F20"/>
          <w:sz w:val="20"/>
        </w:rPr>
        <w:t>cortical </w:t>
      </w:r>
      <w:r>
        <w:rPr>
          <w:i/>
          <w:color w:val="231F20"/>
          <w:sz w:val="20"/>
        </w:rPr>
        <w:t>nephrons; </w:t>
      </w:r>
      <w:r>
        <w:rPr>
          <w:color w:val="231F20"/>
          <w:sz w:val="20"/>
        </w:rPr>
        <w:t>they have short loops of Henle that </w:t>
      </w:r>
      <w:r>
        <w:rPr>
          <w:color w:val="231F20"/>
          <w:spacing w:val="-3"/>
          <w:sz w:val="20"/>
        </w:rPr>
        <w:t>penetrate </w:t>
      </w:r>
      <w:r>
        <w:rPr>
          <w:color w:val="231F20"/>
          <w:sz w:val="20"/>
        </w:rPr>
        <w:t>only</w:t>
      </w:r>
      <w:r>
        <w:rPr>
          <w:color w:val="231F20"/>
          <w:spacing w:val="15"/>
          <w:sz w:val="20"/>
        </w:rPr>
        <w:t> </w:t>
      </w:r>
      <w:r>
        <w:rPr>
          <w:color w:val="231F20"/>
          <w:sz w:val="20"/>
        </w:rPr>
        <w:t>a</w:t>
      </w:r>
      <w:r>
        <w:rPr>
          <w:color w:val="231F20"/>
          <w:spacing w:val="15"/>
          <w:sz w:val="20"/>
        </w:rPr>
        <w:t> </w:t>
      </w:r>
      <w:r>
        <w:rPr>
          <w:color w:val="231F20"/>
          <w:sz w:val="20"/>
        </w:rPr>
        <w:t>short</w:t>
      </w:r>
      <w:r>
        <w:rPr>
          <w:color w:val="231F20"/>
          <w:spacing w:val="16"/>
          <w:sz w:val="20"/>
        </w:rPr>
        <w:t> </w:t>
      </w:r>
      <w:r>
        <w:rPr>
          <w:color w:val="231F20"/>
          <w:sz w:val="20"/>
        </w:rPr>
        <w:t>distance</w:t>
      </w:r>
      <w:r>
        <w:rPr>
          <w:color w:val="231F20"/>
          <w:spacing w:val="15"/>
          <w:sz w:val="20"/>
        </w:rPr>
        <w:t> </w:t>
      </w:r>
      <w:r>
        <w:rPr>
          <w:color w:val="231F20"/>
          <w:sz w:val="20"/>
        </w:rPr>
        <w:t>into</w:t>
      </w:r>
      <w:r>
        <w:rPr>
          <w:color w:val="231F20"/>
          <w:spacing w:val="15"/>
          <w:sz w:val="20"/>
        </w:rPr>
        <w:t> </w:t>
      </w:r>
      <w:r>
        <w:rPr>
          <w:color w:val="231F20"/>
          <w:sz w:val="20"/>
        </w:rPr>
        <w:t>the</w:t>
      </w:r>
      <w:r>
        <w:rPr>
          <w:color w:val="231F20"/>
          <w:spacing w:val="16"/>
          <w:sz w:val="20"/>
        </w:rPr>
        <w:t> </w:t>
      </w:r>
      <w:r>
        <w:rPr>
          <w:color w:val="231F20"/>
          <w:sz w:val="20"/>
        </w:rPr>
        <w:t>medulla</w:t>
      </w:r>
      <w:r>
        <w:rPr>
          <w:color w:val="231F20"/>
          <w:spacing w:val="15"/>
          <w:sz w:val="20"/>
        </w:rPr>
        <w:t> </w:t>
      </w:r>
      <w:r>
        <w:rPr>
          <w:color w:val="231F20"/>
          <w:sz w:val="20"/>
        </w:rPr>
        <w:t>(</w:t>
      </w:r>
      <w:hyperlink w:history="true" w:anchor="_bookmark16">
        <w:r>
          <w:rPr>
            <w:b/>
            <w:color w:val="0080AC"/>
            <w:sz w:val="20"/>
          </w:rPr>
          <w:t>Figure</w:t>
        </w:r>
        <w:r>
          <w:rPr>
            <w:b/>
            <w:color w:val="0080AC"/>
            <w:spacing w:val="13"/>
            <w:sz w:val="20"/>
          </w:rPr>
          <w:t> </w:t>
        </w:r>
        <w:r>
          <w:rPr>
            <w:b/>
            <w:color w:val="0080AC"/>
            <w:sz w:val="20"/>
          </w:rPr>
          <w:t>26-5</w:t>
        </w:r>
      </w:hyperlink>
      <w:r>
        <w:rPr>
          <w:color w:val="231F20"/>
          <w:sz w:val="20"/>
        </w:rPr>
        <w:t>).</w:t>
      </w:r>
    </w:p>
    <w:p>
      <w:pPr>
        <w:pStyle w:val="BodyText"/>
        <w:spacing w:line="249" w:lineRule="auto" w:before="8"/>
        <w:ind w:left="353" w:right="1437" w:firstLine="240"/>
        <w:jc w:val="both"/>
      </w:pPr>
      <w:r>
        <w:rPr>
          <w:color w:val="231F20"/>
          <w:w w:val="105"/>
        </w:rPr>
        <w:t>About 20 to 30 percent of the nephrons have glo- meruli that lie deep in the renal cortex near the medulla</w:t>
      </w:r>
    </w:p>
    <w:p>
      <w:pPr>
        <w:spacing w:after="0" w:line="249" w:lineRule="auto"/>
        <w:jc w:val="both"/>
        <w:sectPr>
          <w:type w:val="continuous"/>
          <w:pgSz w:w="12240" w:h="15660"/>
          <w:pgMar w:top="0" w:bottom="760" w:left="0" w:right="0"/>
          <w:cols w:num="4" w:equalWidth="0">
            <w:col w:w="2293" w:space="40"/>
            <w:col w:w="1355" w:space="39"/>
            <w:col w:w="2000" w:space="40"/>
            <w:col w:w="6473"/>
          </w:cols>
        </w:sectPr>
      </w:pPr>
    </w:p>
    <w:p>
      <w:pPr>
        <w:spacing w:line="259" w:lineRule="auto" w:before="62"/>
        <w:ind w:left="1080" w:right="0" w:firstLine="0"/>
        <w:jc w:val="both"/>
        <w:rPr>
          <w:rFonts w:ascii="Arial"/>
          <w:sz w:val="16"/>
        </w:rPr>
      </w:pPr>
      <w:bookmarkStart w:name="_bookmark15" w:id="16"/>
      <w:bookmarkEnd w:id="16"/>
      <w:r>
        <w:rPr/>
      </w:r>
      <w:r>
        <w:rPr>
          <w:rFonts w:ascii="Trebuchet MS"/>
          <w:b/>
          <w:color w:val="231F20"/>
          <w:sz w:val="16"/>
        </w:rPr>
        <w:t>Figure</w:t>
      </w:r>
      <w:r>
        <w:rPr>
          <w:rFonts w:ascii="Trebuchet MS"/>
          <w:b/>
          <w:color w:val="231F20"/>
          <w:spacing w:val="-29"/>
          <w:sz w:val="16"/>
        </w:rPr>
        <w:t> </w:t>
      </w:r>
      <w:r>
        <w:rPr>
          <w:rFonts w:ascii="Trebuchet MS"/>
          <w:b/>
          <w:color w:val="231F20"/>
          <w:sz w:val="16"/>
        </w:rPr>
        <w:t>26-3.</w:t>
      </w:r>
      <w:r>
        <w:rPr>
          <w:rFonts w:ascii="Trebuchet MS"/>
          <w:b/>
          <w:color w:val="231F20"/>
          <w:spacing w:val="-8"/>
          <w:sz w:val="16"/>
        </w:rPr>
        <w:t> </w:t>
      </w:r>
      <w:r>
        <w:rPr>
          <w:rFonts w:ascii="Arial"/>
          <w:color w:val="231F20"/>
          <w:sz w:val="16"/>
        </w:rPr>
        <w:t>Section</w:t>
      </w:r>
      <w:r>
        <w:rPr>
          <w:rFonts w:ascii="Arial"/>
          <w:color w:val="231F20"/>
          <w:spacing w:val="-25"/>
          <w:sz w:val="16"/>
        </w:rPr>
        <w:t> </w:t>
      </w:r>
      <w:r>
        <w:rPr>
          <w:rFonts w:ascii="Arial"/>
          <w:color w:val="231F20"/>
          <w:sz w:val="16"/>
        </w:rPr>
        <w:t>of</w:t>
      </w:r>
      <w:r>
        <w:rPr>
          <w:rFonts w:ascii="Arial"/>
          <w:color w:val="231F20"/>
          <w:spacing w:val="-26"/>
          <w:sz w:val="16"/>
        </w:rPr>
        <w:t> </w:t>
      </w:r>
      <w:r>
        <w:rPr>
          <w:rFonts w:ascii="Arial"/>
          <w:color w:val="231F20"/>
          <w:sz w:val="16"/>
        </w:rPr>
        <w:t>the</w:t>
      </w:r>
      <w:r>
        <w:rPr>
          <w:rFonts w:ascii="Arial"/>
          <w:color w:val="231F20"/>
          <w:spacing w:val="-25"/>
          <w:sz w:val="16"/>
        </w:rPr>
        <w:t> </w:t>
      </w:r>
      <w:r>
        <w:rPr>
          <w:rFonts w:ascii="Arial"/>
          <w:color w:val="231F20"/>
          <w:sz w:val="16"/>
        </w:rPr>
        <w:t>human</w:t>
      </w:r>
      <w:r>
        <w:rPr>
          <w:rFonts w:ascii="Arial"/>
          <w:color w:val="231F20"/>
          <w:spacing w:val="-26"/>
          <w:sz w:val="16"/>
        </w:rPr>
        <w:t> </w:t>
      </w:r>
      <w:r>
        <w:rPr>
          <w:rFonts w:ascii="Arial"/>
          <w:color w:val="231F20"/>
          <w:sz w:val="16"/>
        </w:rPr>
        <w:t>kidney</w:t>
      </w:r>
      <w:r>
        <w:rPr>
          <w:rFonts w:ascii="Arial"/>
          <w:color w:val="231F20"/>
          <w:spacing w:val="-26"/>
          <w:sz w:val="16"/>
        </w:rPr>
        <w:t> </w:t>
      </w:r>
      <w:r>
        <w:rPr>
          <w:rFonts w:ascii="Arial"/>
          <w:color w:val="231F20"/>
          <w:sz w:val="16"/>
        </w:rPr>
        <w:t>showing</w:t>
      </w:r>
      <w:r>
        <w:rPr>
          <w:rFonts w:ascii="Arial"/>
          <w:color w:val="231F20"/>
          <w:spacing w:val="-25"/>
          <w:sz w:val="16"/>
        </w:rPr>
        <w:t> </w:t>
      </w:r>
      <w:r>
        <w:rPr>
          <w:rFonts w:ascii="Arial"/>
          <w:color w:val="231F20"/>
          <w:sz w:val="16"/>
        </w:rPr>
        <w:t>the</w:t>
      </w:r>
      <w:r>
        <w:rPr>
          <w:rFonts w:ascii="Arial"/>
          <w:color w:val="231F20"/>
          <w:spacing w:val="-26"/>
          <w:sz w:val="16"/>
        </w:rPr>
        <w:t> </w:t>
      </w:r>
      <w:r>
        <w:rPr>
          <w:rFonts w:ascii="Arial"/>
          <w:color w:val="231F20"/>
          <w:sz w:val="16"/>
        </w:rPr>
        <w:t>major</w:t>
      </w:r>
      <w:r>
        <w:rPr>
          <w:rFonts w:ascii="Arial"/>
          <w:color w:val="231F20"/>
          <w:spacing w:val="-25"/>
          <w:sz w:val="16"/>
        </w:rPr>
        <w:t> </w:t>
      </w:r>
      <w:r>
        <w:rPr>
          <w:rFonts w:ascii="Arial"/>
          <w:color w:val="231F20"/>
          <w:sz w:val="16"/>
        </w:rPr>
        <w:t>vessels that</w:t>
      </w:r>
      <w:r>
        <w:rPr>
          <w:rFonts w:ascii="Arial"/>
          <w:color w:val="231F20"/>
          <w:spacing w:val="-7"/>
          <w:sz w:val="16"/>
        </w:rPr>
        <w:t> </w:t>
      </w:r>
      <w:r>
        <w:rPr>
          <w:rFonts w:ascii="Arial"/>
          <w:color w:val="231F20"/>
          <w:sz w:val="16"/>
        </w:rPr>
        <w:t>supply</w:t>
      </w:r>
      <w:r>
        <w:rPr>
          <w:rFonts w:ascii="Arial"/>
          <w:color w:val="231F20"/>
          <w:spacing w:val="-7"/>
          <w:sz w:val="16"/>
        </w:rPr>
        <w:t> </w:t>
      </w:r>
      <w:r>
        <w:rPr>
          <w:rFonts w:ascii="Arial"/>
          <w:color w:val="231F20"/>
          <w:sz w:val="16"/>
        </w:rPr>
        <w:t>the</w:t>
      </w:r>
      <w:r>
        <w:rPr>
          <w:rFonts w:ascii="Arial"/>
          <w:color w:val="231F20"/>
          <w:spacing w:val="-7"/>
          <w:sz w:val="16"/>
        </w:rPr>
        <w:t> </w:t>
      </w:r>
      <w:r>
        <w:rPr>
          <w:rFonts w:ascii="Arial"/>
          <w:color w:val="231F20"/>
          <w:sz w:val="16"/>
        </w:rPr>
        <w:t>blood</w:t>
      </w:r>
      <w:r>
        <w:rPr>
          <w:rFonts w:ascii="Arial"/>
          <w:color w:val="231F20"/>
          <w:spacing w:val="-6"/>
          <w:sz w:val="16"/>
        </w:rPr>
        <w:t> </w:t>
      </w:r>
      <w:r>
        <w:rPr>
          <w:rFonts w:ascii="Arial"/>
          <w:color w:val="231F20"/>
          <w:sz w:val="16"/>
        </w:rPr>
        <w:t>flow</w:t>
      </w:r>
      <w:r>
        <w:rPr>
          <w:rFonts w:ascii="Arial"/>
          <w:color w:val="231F20"/>
          <w:spacing w:val="-7"/>
          <w:sz w:val="16"/>
        </w:rPr>
        <w:t> </w:t>
      </w:r>
      <w:r>
        <w:rPr>
          <w:rFonts w:ascii="Arial"/>
          <w:color w:val="231F20"/>
          <w:sz w:val="16"/>
        </w:rPr>
        <w:t>to</w:t>
      </w:r>
      <w:r>
        <w:rPr>
          <w:rFonts w:ascii="Arial"/>
          <w:color w:val="231F20"/>
          <w:spacing w:val="-7"/>
          <w:sz w:val="16"/>
        </w:rPr>
        <w:t> </w:t>
      </w:r>
      <w:r>
        <w:rPr>
          <w:rFonts w:ascii="Arial"/>
          <w:color w:val="231F20"/>
          <w:sz w:val="16"/>
        </w:rPr>
        <w:t>the</w:t>
      </w:r>
      <w:r>
        <w:rPr>
          <w:rFonts w:ascii="Arial"/>
          <w:color w:val="231F20"/>
          <w:spacing w:val="-6"/>
          <w:sz w:val="16"/>
        </w:rPr>
        <w:t> </w:t>
      </w:r>
      <w:r>
        <w:rPr>
          <w:rFonts w:ascii="Arial"/>
          <w:color w:val="231F20"/>
          <w:sz w:val="16"/>
        </w:rPr>
        <w:t>kidney</w:t>
      </w:r>
      <w:r>
        <w:rPr>
          <w:rFonts w:ascii="Arial"/>
          <w:color w:val="231F20"/>
          <w:spacing w:val="-7"/>
          <w:sz w:val="16"/>
        </w:rPr>
        <w:t> </w:t>
      </w:r>
      <w:r>
        <w:rPr>
          <w:rFonts w:ascii="Arial"/>
          <w:color w:val="231F20"/>
          <w:sz w:val="16"/>
        </w:rPr>
        <w:t>and</w:t>
      </w:r>
      <w:r>
        <w:rPr>
          <w:rFonts w:ascii="Arial"/>
          <w:color w:val="231F20"/>
          <w:spacing w:val="-7"/>
          <w:sz w:val="16"/>
        </w:rPr>
        <w:t> </w:t>
      </w:r>
      <w:r>
        <w:rPr>
          <w:rFonts w:ascii="Arial"/>
          <w:color w:val="231F20"/>
          <w:sz w:val="16"/>
        </w:rPr>
        <w:t>schematic</w:t>
      </w:r>
      <w:r>
        <w:rPr>
          <w:rFonts w:ascii="Arial"/>
          <w:color w:val="231F20"/>
          <w:spacing w:val="-6"/>
          <w:sz w:val="16"/>
        </w:rPr>
        <w:t> </w:t>
      </w:r>
      <w:r>
        <w:rPr>
          <w:rFonts w:ascii="Arial"/>
          <w:color w:val="231F20"/>
          <w:sz w:val="16"/>
        </w:rPr>
        <w:t>of</w:t>
      </w:r>
      <w:r>
        <w:rPr>
          <w:rFonts w:ascii="Arial"/>
          <w:color w:val="231F20"/>
          <w:spacing w:val="-7"/>
          <w:sz w:val="16"/>
        </w:rPr>
        <w:t> </w:t>
      </w:r>
      <w:r>
        <w:rPr>
          <w:rFonts w:ascii="Arial"/>
          <w:color w:val="231F20"/>
          <w:sz w:val="16"/>
        </w:rPr>
        <w:t>the</w:t>
      </w:r>
      <w:r>
        <w:rPr>
          <w:rFonts w:ascii="Arial"/>
          <w:color w:val="231F20"/>
          <w:spacing w:val="-7"/>
          <w:sz w:val="16"/>
        </w:rPr>
        <w:t> </w:t>
      </w:r>
      <w:r>
        <w:rPr>
          <w:rFonts w:ascii="Arial"/>
          <w:color w:val="231F20"/>
          <w:spacing w:val="-4"/>
          <w:sz w:val="16"/>
        </w:rPr>
        <w:t>micro- </w:t>
      </w:r>
      <w:r>
        <w:rPr>
          <w:rFonts w:ascii="Arial"/>
          <w:color w:val="231F20"/>
          <w:sz w:val="16"/>
        </w:rPr>
        <w:t>circulation of each</w:t>
      </w:r>
      <w:r>
        <w:rPr>
          <w:rFonts w:ascii="Arial"/>
          <w:color w:val="231F20"/>
          <w:spacing w:val="21"/>
          <w:sz w:val="16"/>
        </w:rPr>
        <w:t> </w:t>
      </w:r>
      <w:r>
        <w:rPr>
          <w:rFonts w:ascii="Arial"/>
          <w:color w:val="231F20"/>
          <w:sz w:val="16"/>
        </w:rPr>
        <w:t>nephron.</w:t>
      </w:r>
    </w:p>
    <w:p>
      <w:pPr>
        <w:pStyle w:val="BodyText"/>
        <w:spacing w:before="2"/>
        <w:rPr>
          <w:rFonts w:ascii="Arial"/>
          <w:sz w:val="26"/>
        </w:rPr>
      </w:pPr>
    </w:p>
    <w:p>
      <w:pPr>
        <w:spacing w:line="249" w:lineRule="auto" w:before="1"/>
        <w:ind w:left="1080" w:right="0" w:firstLine="0"/>
        <w:jc w:val="both"/>
        <w:rPr>
          <w:i/>
          <w:sz w:val="20"/>
        </w:rPr>
      </w:pPr>
      <w:r>
        <w:rPr>
          <w:color w:val="231F20"/>
          <w:w w:val="105"/>
          <w:sz w:val="20"/>
        </w:rPr>
        <w:t>returns partway back to the cortex, its wall becomes much</w:t>
      </w:r>
      <w:r>
        <w:rPr>
          <w:color w:val="231F20"/>
          <w:spacing w:val="-6"/>
          <w:w w:val="105"/>
          <w:sz w:val="20"/>
        </w:rPr>
        <w:t> </w:t>
      </w:r>
      <w:r>
        <w:rPr>
          <w:color w:val="231F20"/>
          <w:spacing w:val="-3"/>
          <w:w w:val="105"/>
          <w:sz w:val="20"/>
        </w:rPr>
        <w:t>thicker,</w:t>
      </w:r>
      <w:r>
        <w:rPr>
          <w:color w:val="231F20"/>
          <w:spacing w:val="-5"/>
          <w:w w:val="105"/>
          <w:sz w:val="20"/>
        </w:rPr>
        <w:t> </w:t>
      </w:r>
      <w:r>
        <w:rPr>
          <w:color w:val="231F20"/>
          <w:w w:val="105"/>
          <w:sz w:val="20"/>
        </w:rPr>
        <w:t>and</w:t>
      </w:r>
      <w:r>
        <w:rPr>
          <w:color w:val="231F20"/>
          <w:spacing w:val="-5"/>
          <w:w w:val="105"/>
          <w:sz w:val="20"/>
        </w:rPr>
        <w:t> </w:t>
      </w:r>
      <w:r>
        <w:rPr>
          <w:color w:val="231F20"/>
          <w:w w:val="105"/>
          <w:sz w:val="20"/>
        </w:rPr>
        <w:t>it</w:t>
      </w:r>
      <w:r>
        <w:rPr>
          <w:color w:val="231F20"/>
          <w:spacing w:val="-6"/>
          <w:w w:val="105"/>
          <w:sz w:val="20"/>
        </w:rPr>
        <w:t> </w:t>
      </w:r>
      <w:r>
        <w:rPr>
          <w:color w:val="231F20"/>
          <w:w w:val="105"/>
          <w:sz w:val="20"/>
        </w:rPr>
        <w:t>is</w:t>
      </w:r>
      <w:r>
        <w:rPr>
          <w:color w:val="231F20"/>
          <w:spacing w:val="-5"/>
          <w:w w:val="105"/>
          <w:sz w:val="20"/>
        </w:rPr>
        <w:t> </w:t>
      </w:r>
      <w:r>
        <w:rPr>
          <w:color w:val="231F20"/>
          <w:w w:val="105"/>
          <w:sz w:val="20"/>
        </w:rPr>
        <w:t>referred</w:t>
      </w:r>
      <w:r>
        <w:rPr>
          <w:color w:val="231F20"/>
          <w:spacing w:val="-5"/>
          <w:w w:val="105"/>
          <w:sz w:val="20"/>
        </w:rPr>
        <w:t> </w:t>
      </w:r>
      <w:r>
        <w:rPr>
          <w:color w:val="231F20"/>
          <w:w w:val="105"/>
          <w:sz w:val="20"/>
        </w:rPr>
        <w:t>to</w:t>
      </w:r>
      <w:r>
        <w:rPr>
          <w:color w:val="231F20"/>
          <w:spacing w:val="-6"/>
          <w:w w:val="105"/>
          <w:sz w:val="20"/>
        </w:rPr>
        <w:t> </w:t>
      </w:r>
      <w:r>
        <w:rPr>
          <w:color w:val="231F20"/>
          <w:w w:val="105"/>
          <w:sz w:val="20"/>
        </w:rPr>
        <w:t>as</w:t>
      </w:r>
      <w:r>
        <w:rPr>
          <w:color w:val="231F20"/>
          <w:spacing w:val="-5"/>
          <w:w w:val="105"/>
          <w:sz w:val="20"/>
        </w:rPr>
        <w:t> </w:t>
      </w:r>
      <w:r>
        <w:rPr>
          <w:color w:val="231F20"/>
          <w:w w:val="105"/>
          <w:sz w:val="20"/>
        </w:rPr>
        <w:t>the</w:t>
      </w:r>
      <w:r>
        <w:rPr>
          <w:color w:val="231F20"/>
          <w:spacing w:val="-5"/>
          <w:w w:val="105"/>
          <w:sz w:val="20"/>
        </w:rPr>
        <w:t> </w:t>
      </w:r>
      <w:r>
        <w:rPr>
          <w:i/>
          <w:color w:val="231F20"/>
          <w:w w:val="105"/>
          <w:sz w:val="20"/>
        </w:rPr>
        <w:t>thick</w:t>
      </w:r>
      <w:r>
        <w:rPr>
          <w:i/>
          <w:color w:val="231F20"/>
          <w:spacing w:val="-6"/>
          <w:w w:val="105"/>
          <w:sz w:val="20"/>
        </w:rPr>
        <w:t> </w:t>
      </w:r>
      <w:r>
        <w:rPr>
          <w:i/>
          <w:color w:val="231F20"/>
          <w:w w:val="105"/>
          <w:sz w:val="20"/>
        </w:rPr>
        <w:t>segment</w:t>
      </w:r>
      <w:r>
        <w:rPr>
          <w:i/>
          <w:color w:val="231F20"/>
          <w:spacing w:val="-5"/>
          <w:w w:val="105"/>
          <w:sz w:val="20"/>
        </w:rPr>
        <w:t> </w:t>
      </w:r>
      <w:r>
        <w:rPr>
          <w:i/>
          <w:color w:val="231F20"/>
          <w:spacing w:val="-6"/>
          <w:w w:val="105"/>
          <w:sz w:val="20"/>
        </w:rPr>
        <w:t>of </w:t>
      </w:r>
      <w:r>
        <w:rPr>
          <w:i/>
          <w:color w:val="231F20"/>
          <w:w w:val="105"/>
          <w:sz w:val="20"/>
        </w:rPr>
        <w:t>the ascending</w:t>
      </w:r>
      <w:r>
        <w:rPr>
          <w:i/>
          <w:color w:val="231F20"/>
          <w:spacing w:val="4"/>
          <w:w w:val="105"/>
          <w:sz w:val="20"/>
        </w:rPr>
        <w:t> </w:t>
      </w:r>
      <w:r>
        <w:rPr>
          <w:i/>
          <w:color w:val="231F20"/>
          <w:w w:val="105"/>
          <w:sz w:val="20"/>
        </w:rPr>
        <w:t>limb.</w:t>
      </w:r>
    </w:p>
    <w:p>
      <w:pPr>
        <w:pStyle w:val="BodyText"/>
        <w:spacing w:line="249" w:lineRule="auto" w:before="2"/>
        <w:ind w:left="1080" w:firstLine="240"/>
        <w:jc w:val="both"/>
      </w:pPr>
      <w:r>
        <w:rPr>
          <w:color w:val="231F20"/>
          <w:spacing w:val="-3"/>
          <w:w w:val="105"/>
        </w:rPr>
        <w:t>At </w:t>
      </w:r>
      <w:r>
        <w:rPr>
          <w:color w:val="231F20"/>
          <w:w w:val="105"/>
        </w:rPr>
        <w:t>the end of the thick ascending limb is a </w:t>
      </w:r>
      <w:r>
        <w:rPr>
          <w:color w:val="231F20"/>
          <w:spacing w:val="-3"/>
          <w:w w:val="105"/>
        </w:rPr>
        <w:t>short </w:t>
      </w:r>
      <w:r>
        <w:rPr>
          <w:color w:val="231F20"/>
          <w:w w:val="105"/>
        </w:rPr>
        <w:t>segment that has in its wall a plaque of specialized </w:t>
      </w:r>
      <w:r>
        <w:rPr>
          <w:color w:val="231F20"/>
          <w:spacing w:val="-4"/>
          <w:w w:val="105"/>
        </w:rPr>
        <w:t>epi- </w:t>
      </w:r>
      <w:r>
        <w:rPr>
          <w:color w:val="231F20"/>
          <w:w w:val="105"/>
        </w:rPr>
        <w:t>thelial cells, known as the </w:t>
      </w:r>
      <w:r>
        <w:rPr>
          <w:i/>
          <w:color w:val="231F20"/>
          <w:w w:val="105"/>
        </w:rPr>
        <w:t>macula densa. </w:t>
      </w:r>
      <w:r>
        <w:rPr>
          <w:color w:val="231F20"/>
          <w:w w:val="105"/>
        </w:rPr>
        <w:t>As discussed </w:t>
      </w:r>
      <w:r>
        <w:rPr>
          <w:color w:val="231F20"/>
          <w:spacing w:val="-4"/>
          <w:w w:val="105"/>
        </w:rPr>
        <w:t>later,</w:t>
      </w:r>
      <w:r>
        <w:rPr>
          <w:color w:val="231F20"/>
          <w:spacing w:val="-16"/>
          <w:w w:val="105"/>
        </w:rPr>
        <w:t> </w:t>
      </w:r>
      <w:r>
        <w:rPr>
          <w:color w:val="231F20"/>
          <w:w w:val="105"/>
        </w:rPr>
        <w:t>the</w:t>
      </w:r>
      <w:r>
        <w:rPr>
          <w:color w:val="231F20"/>
          <w:spacing w:val="-16"/>
          <w:w w:val="105"/>
        </w:rPr>
        <w:t> </w:t>
      </w:r>
      <w:r>
        <w:rPr>
          <w:color w:val="231F20"/>
          <w:w w:val="105"/>
        </w:rPr>
        <w:t>macula</w:t>
      </w:r>
      <w:r>
        <w:rPr>
          <w:color w:val="231F20"/>
          <w:spacing w:val="-15"/>
          <w:w w:val="105"/>
        </w:rPr>
        <w:t> </w:t>
      </w:r>
      <w:r>
        <w:rPr>
          <w:color w:val="231F20"/>
          <w:w w:val="105"/>
        </w:rPr>
        <w:t>densa</w:t>
      </w:r>
      <w:r>
        <w:rPr>
          <w:color w:val="231F20"/>
          <w:spacing w:val="-16"/>
          <w:w w:val="105"/>
        </w:rPr>
        <w:t> </w:t>
      </w:r>
      <w:r>
        <w:rPr>
          <w:color w:val="231F20"/>
          <w:w w:val="105"/>
        </w:rPr>
        <w:t>plays</w:t>
      </w:r>
      <w:r>
        <w:rPr>
          <w:color w:val="231F20"/>
          <w:spacing w:val="-16"/>
          <w:w w:val="105"/>
        </w:rPr>
        <w:t> </w:t>
      </w:r>
      <w:r>
        <w:rPr>
          <w:color w:val="231F20"/>
          <w:w w:val="105"/>
        </w:rPr>
        <w:t>an</w:t>
      </w:r>
      <w:r>
        <w:rPr>
          <w:color w:val="231F20"/>
          <w:spacing w:val="-15"/>
          <w:w w:val="105"/>
        </w:rPr>
        <w:t> </w:t>
      </w:r>
      <w:r>
        <w:rPr>
          <w:color w:val="231F20"/>
          <w:w w:val="105"/>
        </w:rPr>
        <w:t>important</w:t>
      </w:r>
      <w:r>
        <w:rPr>
          <w:color w:val="231F20"/>
          <w:spacing w:val="-16"/>
          <w:w w:val="105"/>
        </w:rPr>
        <w:t> </w:t>
      </w:r>
      <w:r>
        <w:rPr>
          <w:color w:val="231F20"/>
          <w:w w:val="105"/>
        </w:rPr>
        <w:t>role</w:t>
      </w:r>
      <w:r>
        <w:rPr>
          <w:color w:val="231F20"/>
          <w:spacing w:val="-15"/>
          <w:w w:val="105"/>
        </w:rPr>
        <w:t> </w:t>
      </w:r>
      <w:r>
        <w:rPr>
          <w:color w:val="231F20"/>
          <w:w w:val="105"/>
        </w:rPr>
        <w:t>in</w:t>
      </w:r>
      <w:r>
        <w:rPr>
          <w:color w:val="231F20"/>
          <w:spacing w:val="-16"/>
          <w:w w:val="105"/>
        </w:rPr>
        <w:t> </w:t>
      </w:r>
      <w:r>
        <w:rPr>
          <w:color w:val="231F20"/>
          <w:spacing w:val="-3"/>
          <w:w w:val="105"/>
        </w:rPr>
        <w:t>control- </w:t>
      </w:r>
      <w:r>
        <w:rPr>
          <w:color w:val="231F20"/>
          <w:w w:val="105"/>
        </w:rPr>
        <w:t>ling nephron function. Beyond the macula densa, </w:t>
      </w:r>
      <w:r>
        <w:rPr>
          <w:color w:val="231F20"/>
          <w:spacing w:val="-3"/>
          <w:w w:val="105"/>
        </w:rPr>
        <w:t>fluid </w:t>
      </w:r>
      <w:r>
        <w:rPr>
          <w:color w:val="231F20"/>
          <w:w w:val="105"/>
        </w:rPr>
        <w:t>enters the </w:t>
      </w:r>
      <w:r>
        <w:rPr>
          <w:i/>
          <w:color w:val="231F20"/>
          <w:w w:val="105"/>
        </w:rPr>
        <w:t>distal tubule, </w:t>
      </w:r>
      <w:r>
        <w:rPr>
          <w:color w:val="231F20"/>
          <w:w w:val="105"/>
        </w:rPr>
        <w:t>which, like the proximal </w:t>
      </w:r>
      <w:r>
        <w:rPr>
          <w:color w:val="231F20"/>
          <w:spacing w:val="-3"/>
          <w:w w:val="105"/>
        </w:rPr>
        <w:t>tubule, </w:t>
      </w:r>
      <w:r>
        <w:rPr>
          <w:color w:val="231F20"/>
          <w:w w:val="105"/>
        </w:rPr>
        <w:t>lies in the renal cortex. The distal tubule is followed by the </w:t>
      </w:r>
      <w:r>
        <w:rPr>
          <w:i/>
          <w:color w:val="231F20"/>
          <w:w w:val="105"/>
        </w:rPr>
        <w:t>connecting tubule </w:t>
      </w:r>
      <w:r>
        <w:rPr>
          <w:color w:val="231F20"/>
          <w:w w:val="105"/>
        </w:rPr>
        <w:t>and the </w:t>
      </w:r>
      <w:r>
        <w:rPr>
          <w:i/>
          <w:color w:val="231F20"/>
          <w:w w:val="105"/>
        </w:rPr>
        <w:t>cortical collecting</w:t>
      </w:r>
      <w:r>
        <w:rPr>
          <w:i/>
          <w:color w:val="231F20"/>
          <w:spacing w:val="-15"/>
          <w:w w:val="105"/>
        </w:rPr>
        <w:t> </w:t>
      </w:r>
      <w:r>
        <w:rPr>
          <w:i/>
          <w:color w:val="231F20"/>
          <w:w w:val="105"/>
        </w:rPr>
        <w:t>tubule, </w:t>
      </w:r>
      <w:r>
        <w:rPr>
          <w:color w:val="231F20"/>
          <w:w w:val="105"/>
        </w:rPr>
        <w:t>which</w:t>
      </w:r>
      <w:r>
        <w:rPr>
          <w:color w:val="231F20"/>
          <w:spacing w:val="-22"/>
          <w:w w:val="105"/>
        </w:rPr>
        <w:t> </w:t>
      </w:r>
      <w:r>
        <w:rPr>
          <w:color w:val="231F20"/>
          <w:w w:val="105"/>
        </w:rPr>
        <w:t>lead</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2"/>
          <w:w w:val="105"/>
        </w:rPr>
        <w:t> </w:t>
      </w:r>
      <w:r>
        <w:rPr>
          <w:i/>
          <w:color w:val="231F20"/>
          <w:w w:val="105"/>
        </w:rPr>
        <w:t>cortical</w:t>
      </w:r>
      <w:r>
        <w:rPr>
          <w:i/>
          <w:color w:val="231F20"/>
          <w:spacing w:val="-21"/>
          <w:w w:val="105"/>
        </w:rPr>
        <w:t> </w:t>
      </w:r>
      <w:r>
        <w:rPr>
          <w:i/>
          <w:color w:val="231F20"/>
          <w:w w:val="105"/>
        </w:rPr>
        <w:t>collecting</w:t>
      </w:r>
      <w:r>
        <w:rPr>
          <w:i/>
          <w:color w:val="231F20"/>
          <w:spacing w:val="-21"/>
          <w:w w:val="105"/>
        </w:rPr>
        <w:t> </w:t>
      </w:r>
      <w:r>
        <w:rPr>
          <w:i/>
          <w:color w:val="231F20"/>
          <w:w w:val="105"/>
        </w:rPr>
        <w:t>duct.</w:t>
      </w:r>
      <w:r>
        <w:rPr>
          <w:i/>
          <w:color w:val="231F20"/>
          <w:spacing w:val="-22"/>
          <w:w w:val="105"/>
        </w:rPr>
        <w:t> </w:t>
      </w:r>
      <w:r>
        <w:rPr>
          <w:color w:val="231F20"/>
          <w:w w:val="105"/>
        </w:rPr>
        <w:t>The</w:t>
      </w:r>
      <w:r>
        <w:rPr>
          <w:color w:val="231F20"/>
          <w:spacing w:val="-21"/>
          <w:w w:val="105"/>
        </w:rPr>
        <w:t> </w:t>
      </w:r>
      <w:r>
        <w:rPr>
          <w:color w:val="231F20"/>
          <w:w w:val="105"/>
        </w:rPr>
        <w:t>initial</w:t>
      </w:r>
      <w:r>
        <w:rPr>
          <w:color w:val="231F20"/>
          <w:spacing w:val="-21"/>
          <w:w w:val="105"/>
        </w:rPr>
        <w:t> </w:t>
      </w:r>
      <w:r>
        <w:rPr>
          <w:color w:val="231F20"/>
          <w:spacing w:val="-3"/>
          <w:w w:val="105"/>
        </w:rPr>
        <w:t>parts </w:t>
      </w:r>
      <w:r>
        <w:rPr>
          <w:color w:val="231F20"/>
          <w:w w:val="105"/>
        </w:rPr>
        <w:t>of 8 to 10 cortical collecting ducts join to form a single larger</w:t>
      </w:r>
      <w:r>
        <w:rPr>
          <w:color w:val="231F20"/>
          <w:spacing w:val="15"/>
          <w:w w:val="105"/>
        </w:rPr>
        <w:t> </w:t>
      </w:r>
      <w:r>
        <w:rPr>
          <w:color w:val="231F20"/>
          <w:w w:val="105"/>
        </w:rPr>
        <w:t>collecting</w:t>
      </w:r>
      <w:r>
        <w:rPr>
          <w:color w:val="231F20"/>
          <w:spacing w:val="16"/>
          <w:w w:val="105"/>
        </w:rPr>
        <w:t> </w:t>
      </w:r>
      <w:r>
        <w:rPr>
          <w:color w:val="231F20"/>
          <w:w w:val="105"/>
        </w:rPr>
        <w:t>duct</w:t>
      </w:r>
      <w:r>
        <w:rPr>
          <w:color w:val="231F20"/>
          <w:spacing w:val="15"/>
          <w:w w:val="105"/>
        </w:rPr>
        <w:t> </w:t>
      </w:r>
      <w:r>
        <w:rPr>
          <w:color w:val="231F20"/>
          <w:w w:val="105"/>
        </w:rPr>
        <w:t>that</w:t>
      </w:r>
      <w:r>
        <w:rPr>
          <w:color w:val="231F20"/>
          <w:spacing w:val="16"/>
          <w:w w:val="105"/>
        </w:rPr>
        <w:t> </w:t>
      </w:r>
      <w:r>
        <w:rPr>
          <w:color w:val="231F20"/>
          <w:w w:val="105"/>
        </w:rPr>
        <w:t>runs</w:t>
      </w:r>
      <w:r>
        <w:rPr>
          <w:color w:val="231F20"/>
          <w:spacing w:val="15"/>
          <w:w w:val="105"/>
        </w:rPr>
        <w:t> </w:t>
      </w:r>
      <w:r>
        <w:rPr>
          <w:color w:val="231F20"/>
          <w:w w:val="105"/>
        </w:rPr>
        <w:t>downward</w:t>
      </w:r>
      <w:r>
        <w:rPr>
          <w:color w:val="231F20"/>
          <w:spacing w:val="16"/>
          <w:w w:val="105"/>
        </w:rPr>
        <w:t> </w:t>
      </w:r>
      <w:r>
        <w:rPr>
          <w:color w:val="231F20"/>
          <w:w w:val="105"/>
        </w:rPr>
        <w:t>into</w:t>
      </w:r>
      <w:r>
        <w:rPr>
          <w:color w:val="231F20"/>
          <w:spacing w:val="16"/>
          <w:w w:val="105"/>
        </w:rPr>
        <w:t> </w:t>
      </w:r>
      <w:r>
        <w:rPr>
          <w:color w:val="231F20"/>
          <w:w w:val="105"/>
        </w:rPr>
        <w:t>the</w:t>
      </w:r>
    </w:p>
    <w:p>
      <w:pPr>
        <w:pStyle w:val="BodyText"/>
        <w:spacing w:line="249" w:lineRule="auto" w:before="2"/>
        <w:ind w:left="319" w:right="1437"/>
        <w:jc w:val="both"/>
      </w:pPr>
      <w:r>
        <w:rPr/>
        <w:br w:type="column"/>
      </w:r>
      <w:r>
        <w:rPr>
          <w:color w:val="231F20"/>
          <w:w w:val="105"/>
        </w:rPr>
        <w:t>and</w:t>
      </w:r>
      <w:r>
        <w:rPr>
          <w:color w:val="231F20"/>
          <w:spacing w:val="-13"/>
          <w:w w:val="105"/>
        </w:rPr>
        <w:t> </w:t>
      </w:r>
      <w:r>
        <w:rPr>
          <w:color w:val="231F20"/>
          <w:w w:val="105"/>
        </w:rPr>
        <w:t>are</w:t>
      </w:r>
      <w:r>
        <w:rPr>
          <w:color w:val="231F20"/>
          <w:spacing w:val="-14"/>
          <w:w w:val="105"/>
        </w:rPr>
        <w:t> </w:t>
      </w:r>
      <w:r>
        <w:rPr>
          <w:color w:val="231F20"/>
          <w:w w:val="105"/>
        </w:rPr>
        <w:t>called</w:t>
      </w:r>
      <w:r>
        <w:rPr>
          <w:color w:val="231F20"/>
          <w:spacing w:val="-13"/>
          <w:w w:val="105"/>
        </w:rPr>
        <w:t> </w:t>
      </w:r>
      <w:r>
        <w:rPr>
          <w:i/>
          <w:color w:val="231F20"/>
          <w:w w:val="105"/>
        </w:rPr>
        <w:t>juxtamedullary</w:t>
      </w:r>
      <w:r>
        <w:rPr>
          <w:i/>
          <w:color w:val="231F20"/>
          <w:spacing w:val="-13"/>
          <w:w w:val="105"/>
        </w:rPr>
        <w:t> </w:t>
      </w:r>
      <w:r>
        <w:rPr>
          <w:i/>
          <w:color w:val="231F20"/>
          <w:w w:val="105"/>
        </w:rPr>
        <w:t>nephrons.</w:t>
      </w:r>
      <w:r>
        <w:rPr>
          <w:i/>
          <w:color w:val="231F20"/>
          <w:spacing w:val="-13"/>
          <w:w w:val="105"/>
        </w:rPr>
        <w:t> </w:t>
      </w:r>
      <w:r>
        <w:rPr>
          <w:color w:val="231F20"/>
          <w:w w:val="105"/>
        </w:rPr>
        <w:t>These</w:t>
      </w:r>
      <w:r>
        <w:rPr>
          <w:color w:val="231F20"/>
          <w:spacing w:val="-14"/>
          <w:w w:val="105"/>
        </w:rPr>
        <w:t> </w:t>
      </w:r>
      <w:r>
        <w:rPr>
          <w:color w:val="231F20"/>
          <w:w w:val="105"/>
        </w:rPr>
        <w:t>nephrons have long loops of Henle that dip deeply into the </w:t>
      </w:r>
      <w:r>
        <w:rPr>
          <w:color w:val="231F20"/>
          <w:spacing w:val="-4"/>
          <w:w w:val="105"/>
        </w:rPr>
        <w:t>me- </w:t>
      </w:r>
      <w:r>
        <w:rPr>
          <w:color w:val="231F20"/>
          <w:w w:val="105"/>
        </w:rPr>
        <w:t>dulla, in some cases all the way to the tips of the renal papillae.</w:t>
      </w:r>
    </w:p>
    <w:p>
      <w:pPr>
        <w:pStyle w:val="BodyText"/>
        <w:spacing w:line="249" w:lineRule="auto" w:before="3"/>
        <w:ind w:left="319" w:right="1437" w:firstLine="240"/>
        <w:jc w:val="both"/>
      </w:pPr>
      <w:r>
        <w:rPr>
          <w:color w:val="231F20"/>
        </w:rPr>
        <w:t>The vascular structures supplying the juxtamedullary nephrons also differ from those supplying the cortical nephrons. </w:t>
      </w:r>
      <w:r>
        <w:rPr>
          <w:color w:val="231F20"/>
          <w:spacing w:val="-3"/>
        </w:rPr>
        <w:t>For </w:t>
      </w:r>
      <w:r>
        <w:rPr>
          <w:color w:val="231F20"/>
        </w:rPr>
        <w:t>the cortical nephrons, the entire tubular system is surrounded by an extensive network of peritu- bular capillaries. </w:t>
      </w:r>
      <w:r>
        <w:rPr>
          <w:color w:val="231F20"/>
          <w:spacing w:val="-3"/>
        </w:rPr>
        <w:t>For </w:t>
      </w:r>
      <w:r>
        <w:rPr>
          <w:color w:val="231F20"/>
        </w:rPr>
        <w:t>the juxtamedullary nephrons, long efferent arterioles extend from the glomeruli down into the outer medulla and then divide into specialized peri- tubular capillaries called </w:t>
      </w:r>
      <w:r>
        <w:rPr>
          <w:i/>
          <w:color w:val="231F20"/>
        </w:rPr>
        <w:t>vasa recta </w:t>
      </w:r>
      <w:r>
        <w:rPr>
          <w:color w:val="231F20"/>
        </w:rPr>
        <w:t>that extend </w:t>
      </w:r>
      <w:r>
        <w:rPr>
          <w:color w:val="231F20"/>
          <w:spacing w:val="-3"/>
        </w:rPr>
        <w:t>down- </w:t>
      </w:r>
      <w:r>
        <w:rPr>
          <w:color w:val="231F20"/>
        </w:rPr>
        <w:t>ward into the medulla, lying side by side with the loops  of Henle. Like the loops of Henle, the vasa recta return toward the cortex and empty into the cortical veins. This specialized network of capillaries in the medulla plays an essential role in the formation of a concentrated urine and is discussed in Chapter</w:t>
      </w:r>
      <w:r>
        <w:rPr>
          <w:color w:val="231F20"/>
          <w:spacing w:val="27"/>
        </w:rPr>
        <w:t> </w:t>
      </w:r>
      <w:r>
        <w:rPr>
          <w:color w:val="231F20"/>
        </w:rPr>
        <w:t>29.</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7"/>
        </w:rPr>
      </w:pPr>
    </w:p>
    <w:p>
      <w:pPr>
        <w:spacing w:line="259" w:lineRule="auto" w:before="99"/>
        <w:ind w:left="1440" w:right="1078" w:firstLine="0"/>
        <w:jc w:val="left"/>
        <w:rPr>
          <w:rFonts w:ascii="Arial"/>
          <w:sz w:val="16"/>
        </w:rPr>
      </w:pPr>
      <w:r>
        <w:rPr/>
        <w:pict>
          <v:group style="position:absolute;margin-left:145.862pt;margin-top:-323.880463pt;width:338.3pt;height:324.4pt;mso-position-horizontal-relative:page;mso-position-vertical-relative:paragraph;z-index:251848704" coordorigin="2917,-6478" coordsize="6766,6488">
            <v:rect style="position:absolute;left:2917;top:-6478;width:6763;height:2215" filled="true" fillcolor="#fff1e2" stroked="false">
              <v:fill type="solid"/>
            </v:rect>
            <v:rect style="position:absolute;left:2917;top:-4256;width:6763;height:4266" filled="true" fillcolor="#fde8e5" stroked="false">
              <v:fill type="solid"/>
            </v:rect>
            <v:rect style="position:absolute;left:2921;top:-4268;width:6759;height:20" filled="true" fillcolor="#231f20" stroked="false">
              <v:fill type="solid"/>
            </v:rect>
            <v:shape style="position:absolute;left:4763;top:-5671;width:4918;height:3407" coordorigin="4763,-5671" coordsize="4918,3407" path="m4829,-3970l4807,-3966,4781,-3940,4763,-3906,4765,-3882,4841,-3813,4907,-3740,4964,-3668,5010,-3597,5044,-3531,5066,-3472,5075,-3423,5070,-3386,5058,-3356,5043,-3320,5026,-3277,5007,-3228,4987,-3172,4966,-3109,4944,-3039,4923,-2961,4902,-2876,4882,-2783,4864,-2682,4847,-2573,4833,-2456,4822,-2330,4981,-2265,4986,-2334,4992,-2404,4998,-2474,5006,-2545,5015,-2616,5025,-2687,5037,-2759,5051,-2830,5067,-2901,5085,-2971,5105,-3041,5127,-3110,5152,-3179,5180,-3246,5211,-3312,5245,-3377,5282,-3440,5323,-3502,5368,-3562,5371,-3567,5169,-3567,5160,-3568,5151,-3579,5119,-3634,5076,-3697,5025,-3765,4966,-3835,4900,-3904,4829,-3970xm7055,-4283l6968,-4282,6883,-4281,6800,-4278,6718,-4274,6638,-4269,6561,-4264,6485,-4256,6411,-4248,6338,-4239,6268,-4228,6200,-4216,6134,-4203,6070,-4188,6008,-4173,5949,-4155,5891,-4137,5836,-4117,5783,-4096,5777,-4094,5772,-4092,5766,-4091,5604,-4009,5597,-4001,5589,-3993,5582,-3987,5537,-3951,5482,-3904,5420,-3848,5355,-3785,5291,-3718,5232,-3649,5184,-3580,5177,-3572,5169,-3567,5371,-3567,5416,-3621,5468,-3677,5525,-3731,5585,-3783,5651,-3832,5721,-3879,5796,-3923,5862,-3958,5931,-3989,6001,-4017,6072,-4042,6145,-4064,6219,-4083,6294,-4100,6371,-4115,6448,-4127,6526,-4136,6605,-4144,6685,-4150,6766,-4155,6847,-4157,6928,-4159,9000,-4159,8924,-4167,8903,-4174,8896,-4183,8754,-4183,8738,-4183,8715,-4185,7709,-4259,7514,-4271,7326,-4278,7234,-4281,7143,-4282,7055,-4283xm9000,-4159l7010,-4159,7092,-4158,7174,-4156,7338,-4150,7903,-4120,8449,-4085,9030,-4036,9680,-3973,9679,-4088,9079,-4150,9000,-4159xm9033,-5671l9006,-5668,8991,-5653,8969,-5544,8949,-5440,8930,-5340,8914,-5244,8899,-5151,8885,-5062,8873,-4977,8862,-4895,8852,-4816,8843,-4741,8835,-4668,8828,-4599,8821,-4532,8815,-4468,8810,-4407,8804,-4348,8799,-4291,8794,-4236,8785,-4204,8771,-4188,8754,-4183,8896,-4183,8892,-4188,8887,-4206,8887,-4228,8889,-4285,8892,-4344,8895,-4404,8899,-4466,8903,-4529,8908,-4596,8914,-4664,8921,-4736,8930,-4810,8939,-4887,8949,-4968,8961,-5052,8975,-5140,8989,-5233,9006,-5329,9024,-5430,9044,-5535,9066,-5645,9058,-5663,9033,-5671xe" filled="true" fillcolor="#f15b66" stroked="false">
              <v:path arrowok="t"/>
              <v:fill type="solid"/>
            </v:shape>
            <v:shape style="position:absolute;left:4763;top:-5671;width:4918;height:3407" coordorigin="4763,-5671" coordsize="4918,3407" path="m5604,-4009l5597,-4001,5589,-3993,5582,-3987,5537,-3951,5482,-3904,5420,-3848,5355,-3785,5291,-3718,5232,-3649,5184,-3580,5177,-3572,5169,-3567,5160,-3568,5151,-3579,5119,-3634,5076,-3697,5025,-3765,4966,-3835,4900,-3904,4829,-3970,4807,-3966,4781,-3940,4763,-3906,4765,-3882,4841,-3813,4907,-3740,4964,-3668,5010,-3597,5044,-3531,5066,-3472,5075,-3423,5070,-3386,5058,-3356,5043,-3320,5026,-3277,4987,-3172,4966,-3109,4944,-3039,4923,-2961,4902,-2876,4882,-2783,4864,-2682,4847,-2573,4833,-2456,4822,-2330,4981,-2265,4986,-2334,4992,-2404,4998,-2474,5006,-2545,5015,-2616,5025,-2687,5037,-2759,5051,-2830,5067,-2901,5085,-2971,5105,-3041,5127,-3110,5152,-3179,5180,-3246,5211,-3312,5245,-3377,5282,-3440,5323,-3502,5368,-3562,5416,-3621,5468,-3677,5525,-3731,5585,-3783,5651,-3832,5721,-3879,5796,-3923,5862,-3958,5931,-3989,6001,-4017,6072,-4042,6145,-4064,6219,-4083,6294,-4100,6371,-4115,6448,-4127,6526,-4136,6605,-4144,6685,-4150,6766,-4155,6847,-4157,6928,-4159,7010,-4159,7092,-4158,7174,-4156,7256,-4153,7338,-4150,7420,-4146,7502,-4142,7583,-4137,7664,-4133,7744,-4128,7824,-4124,7903,-4120,8449,-4085,9030,-4036,9492,-3992,9680,-3973,9679,-4088,9386,-4117,9209,-4136,9079,-4150,8924,-4167,8887,-4228,8889,-4285,8895,-4404,8899,-4466,8903,-4529,8908,-4596,8914,-4664,8921,-4736,8930,-4810,8939,-4887,8949,-4968,8961,-5052,8975,-5140,8989,-5233,9006,-5329,9024,-5430,9044,-5535,9066,-5645,9058,-5663,9033,-5671,9006,-5668,8991,-5653,8969,-5544,8949,-5440,8930,-5340,8914,-5244,8899,-5151,8885,-5062,8873,-4977,8862,-4895,8852,-4816,8843,-4741,8835,-4668,8828,-4599,8821,-4532,8815,-4468,8810,-4407,8804,-4348,8799,-4291,8794,-4236,8785,-4204,8771,-4188,8754,-4183,8738,-4183,8715,-4185,8675,-4188,8620,-4192,8552,-4197,8470,-4203,8376,-4209,8272,-4217,8159,-4225,8038,-4234,7910,-4244,7809,-4252,7709,-4259,7611,-4265,7514,-4271,7419,-4275,7326,-4278,7234,-4281,7143,-4282,7055,-4283,6968,-4282,6883,-4281,6800,-4278,6718,-4274,6638,-4269,6561,-4264,6485,-4256,6411,-4248,6338,-4239,6268,-4228,6200,-4216,6134,-4203,6070,-4188,6008,-4173,5949,-4155,5891,-4137,5783,-4096,5777,-4094,5772,-4092,5766,-4091e" filled="false" stroked="true" strokeweight=".25pt" strokecolor="#231f20">
              <v:path arrowok="t"/>
              <v:stroke dashstyle="solid"/>
            </v:shape>
            <v:shape style="position:absolute;left:5258;top:-2985;width:3165;height:2844" coordorigin="5258,-2984" coordsize="3165,2844" path="m5258,-2430l5369,-2416,5435,-2344,5485,-2152,5546,-1779,5552,-1737,5560,-1691,5578,-1588,5602,-1471,5617,-1409,5633,-1345,5650,-1279,5670,-1212,5691,-1144,5714,-1075,5740,-1006,5768,-938,5798,-869,5830,-802,5865,-735,5903,-671,5943,-608,5986,-548,6032,-490,6081,-436,6133,-385,6189,-337,6247,-294,6309,-256,6375,-222,6444,-194,6517,-171,6593,-154,6674,-144,6758,-141,6817,-141,6932,-149,7044,-164,7153,-186,7258,-216,7359,-255,7456,-301,7549,-356,7638,-420,7723,-492,7804,-573,7880,-664,7916,-712,7952,-763,7986,-817,8019,-872,8050,-931,8081,-991,8110,-1054,8138,-1120,8165,-1188,8191,-1258,8215,-1331,8238,-1407,8260,-1485,8281,-1566,8300,-1649,8318,-1736,8334,-1824,8349,-1916,8363,-2010,8376,-2107,8387,-2207,8396,-2309,8404,-2415,8411,-2523,8416,-2634,8420,-2748,8422,-2865,8423,-2984e" filled="false" stroked="true" strokeweight="1.085pt" strokecolor="#ce9d72">
              <v:path arrowok="t"/>
              <v:stroke dashstyle="solid"/>
            </v:shape>
            <v:line style="position:absolute" from="9680,-3341" to="3629,-3341" stroked="true" strokeweight=".5pt" strokecolor="#231f20">
              <v:stroke dashstyle="shortdash"/>
            </v:line>
            <v:line style="position:absolute" from="9680,-2424" to="3347,-2424" stroked="true" strokeweight=".75pt" strokecolor="#231f20">
              <v:stroke dashstyle="solid"/>
            </v:line>
            <v:shape style="position:absolute;left:4882;top:-6095;width:4798;height:3960" coordorigin="4882,-6095" coordsize="4798,3960" path="m4943,-4115l4923,-4115,4899,-4075,4882,-4055,4884,-4035,4950,-3975,5011,-3915,5067,-3855,5118,-3795,5165,-3735,5206,-3675,5242,-3615,5271,-3535,5295,-3475,5313,-3415,5318,-3395,5317,-3355,5312,-3355,5304,-3335,5280,-3275,5258,-3215,5236,-3175,5214,-3115,5194,-3055,5175,-2995,5156,-2935,5139,-2855,5122,-2775,5107,-2695,5093,-2615,5080,-2535,5069,-2435,5059,-2315,5050,-2215,5213,-2135,5204,-2655,5241,-2975,5360,-3215,5596,-3475,5629,-3515,5414,-3515,5379,-3575,5341,-3655,5301,-3715,5258,-3795,5212,-3855,5164,-3915,5112,-3975,5059,-4015,5002,-4075,4943,-4115xm5100,-4915l5087,-4915,5078,-4895,5074,-4895,5081,-4875,5172,-4835,5246,-4775,5301,-4715,5337,-4655,5353,-4615,5358,-4575,5365,-4515,5373,-4435,5385,-4355,5402,-4255,5419,-4175,5440,-4095,5465,-4015,5491,-3935,5519,-3855,5545,-3795,5570,-3735,5574,-3715,5570,-3695,5561,-3675,5549,-3655,5510,-3615,5466,-3575,5429,-3535,5414,-3515,5629,-3515,5662,-3555,5729,-3615,5797,-3655,5867,-3715,5974,-3775,5685,-3775,5673,-3795,5663,-3795,5636,-3855,5605,-3915,5572,-3995,5540,-4095,5512,-4175,5491,-4275,5477,-4355,5462,-4455,5449,-4555,5437,-4655,5428,-4735,5334,-4735,5326,-4755,5290,-4795,5235,-4835,5170,-4875,5100,-4915xm7943,-4075l6487,-4075,6405,-4055,6250,-4015,6106,-3975,5971,-3935,5905,-3895,5841,-3875,5715,-3795,5699,-3795,5685,-3775,5974,-3775,6010,-3795,6082,-3815,6155,-3855,6450,-3935,6523,-3935,6596,-3955,9310,-3955,8754,-4015,8713,-4015,8705,-4035,8356,-4035,8290,-4055,8020,-4055,7943,-4075xm9310,-3955l7647,-3955,7737,-3935,8069,-3935,8146,-3915,8363,-3915,8430,-3895,8620,-3895,8680,-3875,8737,-3875,9125,-3835,9423,-3815,9613,-3795,9680,-3795,9680,-3915,9310,-3955xm8835,-5675l8806,-5675,8790,-5655,8775,-5575,8761,-5495,8748,-5415,8735,-5335,8722,-5275,8710,-5195,8698,-5115,8687,-5035,8677,-4955,8667,-4875,8658,-4815,8649,-4735,8641,-4655,8634,-4575,8627,-4495,8621,-4395,8616,-4315,8611,-4235,8607,-4155,8604,-4075,8599,-4055,8589,-4035,8705,-4035,8703,-4075,8705,-4155,8707,-4235,8710,-4315,8714,-4395,8718,-4475,8723,-4555,8729,-4635,8735,-4715,8742,-4795,8750,-4875,8758,-4955,8768,-5015,8778,-5095,8788,-5175,8800,-5255,8812,-5315,8825,-5395,8839,-5475,8854,-5555,8869,-5635,8861,-5655,8835,-5675xm7361,-4095l6756,-4095,6662,-4075,7445,-4075,7361,-4095xm5883,-5095l5800,-5095,5863,-5055,5904,-5015,6004,-4855,6044,-4795,6065,-4755,6078,-4735,6095,-4695,6110,-4675,6117,-4675,6130,-4715,6021,-4895,6004,-4915,5997,-4935,5992,-4955,6135,-4955,6132,-4975,6087,-4975,5973,-5015,5934,-5035,5922,-5055,5905,-5075,5883,-5095xm5115,-5535l5095,-5535,5090,-5515,5095,-5515,5159,-5475,5215,-5435,5256,-5395,5274,-5375,5283,-5315,5296,-5235,5308,-5155,5319,-5075,5323,-5035,5327,-4995,5347,-4755,5334,-4735,5428,-4735,5426,-4755,5418,-4815,5412,-4875,5410,-4915,5422,-4935,5455,-4975,5502,-5015,5393,-5015,5391,-5035,5387,-5055,5380,-5115,5371,-5175,5359,-5255,5344,-5335,5327,-5415,5318,-5455,5250,-5455,5241,-5475,5214,-5495,5183,-5495,5150,-5515,5115,-5535xm6130,-4995l6087,-4975,6132,-4975,6130,-4995xm5964,-5155l5646,-5155,5578,-5135,5514,-5095,5455,-5055,5443,-5055,5431,-5035,5421,-5035,5413,-5015,5502,-5015,5557,-5055,5631,-5075,5717,-5095,5883,-5095,5856,-5115,5987,-5115,5964,-5155xm5987,-5115l5985,-5115,5998,-5095,5987,-5115xm5862,-5235l5834,-5215,5800,-5195,5761,-5175,5714,-5155,5852,-5155,5851,-5175,5861,-5175,5876,-5195,5862,-5235xm5113,-6095l5096,-6095,5083,-6075,5082,-6075,5100,-6035,5121,-5975,5145,-5915,5170,-5855,5195,-5775,5219,-5675,5242,-5595,5262,-5475,5262,-5475,5257,-5455,5318,-5455,5308,-5495,5287,-5595,5265,-5695,5240,-5775,5214,-5855,5186,-5935,5157,-6015,5127,-6075,5113,-6095xe" filled="true" fillcolor="#3777bc" stroked="false">
              <v:path arrowok="t"/>
              <v:fill type="solid"/>
            </v:shape>
            <v:shape style="position:absolute;left:4882;top:-6102;width:4798;height:3968" coordorigin="4882,-6102" coordsize="4798,3968" path="m5050,-2219l5213,-2135,5204,-2672,5241,-2992,5360,-3224,5596,-3494,5662,-3560,5729,-3620,5797,-3674,5867,-3722,5938,-3765,6010,-3802,6082,-3835,6155,-3863,6229,-3886,6302,-3906,6376,-3923,6450,-3936,6523,-3947,6596,-3955,6669,-3961,6741,-3965,6812,-3967,6881,-3968,6950,-3968,7058,-3968,7162,-3967,7265,-3966,7364,-3964,7461,-3962,7556,-3959,7647,-3956,7737,-3953,7823,-3949,7908,-3945,7989,-3940,8069,-3936,8146,-3931,8220,-3926,8293,-3921,8363,-3916,8430,-3911,8496,-3906,8559,-3901,8620,-3896,8737,-3887,9125,-3853,9423,-3825,9613,-3806,9680,-3799,9680,-3929,8754,-4021,8703,-4077,8705,-4164,8707,-4249,8710,-4333,8714,-4414,8718,-4494,8723,-4573,8729,-4651,8735,-4728,8742,-4805,8750,-4880,8758,-4956,8768,-5031,8778,-5106,8788,-5181,8800,-5257,8812,-5333,8825,-5410,8839,-5487,8854,-5566,8869,-5645,8861,-5669,8835,-5679,8806,-5675,8790,-5656,8775,-5581,8761,-5505,8748,-5430,8735,-5354,8722,-5278,8710,-5202,8698,-5125,8687,-5049,8677,-4971,8667,-4894,8658,-4815,8649,-4737,8641,-4657,8634,-4577,8627,-4496,8621,-4415,8616,-4332,8611,-4249,8607,-4164,8604,-4079,8599,-4055,8589,-4042,8573,-4036,8551,-4037,8511,-4039,8438,-4045,8356,-4051,8290,-4055,8229,-4059,8163,-4063,8093,-4067,8020,-4071,7943,-4075,7864,-4079,7782,-4082,7700,-4085,7615,-4089,7531,-4091,7445,-4094,7361,-4096,7277,-4098,7194,-4100,7112,-4101,7033,-4102,6957,-4102,6854,-4101,6756,-4098,6662,-4093,6573,-4085,6487,-4076,6405,-4064,6326,-4049,6250,-4032,6177,-4013,6106,-3991,6037,-3967,5971,-3940,5905,-3910,5841,-3878,5778,-3842,5715,-3804,5699,-3796,5636,-3860,5605,-3929,5572,-4011,5540,-4100,5512,-4192,5491,-4280,5477,-4362,5462,-4458,5449,-4561,5437,-4663,5426,-4756,5418,-4835,5410,-4917,5422,-4949,5502,-5031,5557,-5067,5631,-5094,5717,-5105,5800,-5097,5863,-5067,5904,-5018,5954,-4944,6004,-4863,6044,-4796,6065,-4762,6078,-4740,6095,-4712,6110,-4688,6117,-4677,6130,-4723,6058,-4842,6021,-4904,6004,-4932,5997,-4945,5992,-4956,5994,-4964,6001,-4968,6012,-4967,6038,-4961,6068,-4957,6101,-4957,6135,-4960,6130,-4995,6087,-4991,6029,-4999,5973,-5018,5934,-5048,5922,-5063,5905,-5080,5883,-5098,5856,-5116,5849,-5123,5850,-5129,5856,-5133,5864,-5135,5907,-5131,5951,-5124,5985,-5118,5998,-5115,5964,-5157,5927,-5167,5905,-5172,5886,-5173,5861,-5173,5852,-5173,5851,-5183,5856,-5188,5861,-5193,5876,-5204,5862,-5238,5834,-5218,5800,-5195,5761,-5176,5714,-5166,5646,-5158,5578,-5140,5514,-5111,5455,-5070,5413,-5031,5403,-5022,5397,-5020,5393,-5025,5391,-5036,5387,-5073,5380,-5123,5371,-5186,5359,-5258,5344,-5338,5327,-5424,5308,-5514,5287,-5605,5265,-5697,5240,-5787,5214,-5874,5186,-5954,5157,-6027,5127,-6091,5113,-6102,5096,-6101,5083,-6091,5082,-6076,5100,-6036,5121,-5986,5145,-5926,5170,-5856,5195,-5777,5219,-5691,5242,-5596,5262,-5494,5262,-5481,5257,-5475,5250,-5474,5241,-5479,5214,-5496,5183,-5514,5150,-5532,5115,-5550,5104,-5549,5095,-5539,5090,-5526,5095,-5517,5159,-5481,5215,-5442,5256,-5407,5274,-5379,5283,-5323,5296,-5252,5308,-5172,5319,-5091,5327,-5000,5334,-4918,5346,-4770,5347,-4755,5334,-4751,5326,-4760,5290,-4796,5235,-4839,5170,-4883,5100,-4920,5087,-4919,5078,-4909,5074,-4896,5081,-4886,5172,-4836,5246,-4778,5301,-4719,5337,-4664,5358,-4579,5365,-4520,5373,-4445,5385,-4358,5402,-4263,5419,-4185,5440,-4105,5465,-4025,5491,-3947,5519,-3873,5545,-3805,5570,-3744,5574,-3725,5570,-3707,5561,-3690,5549,-3674,5510,-3631,5466,-3580,5429,-3537,5414,-3520,5379,-3592,5341,-3663,5301,-3731,5258,-3797,5212,-3860,5164,-3920,5112,-3977,5059,-4029,5002,-4078,4943,-4123,4923,-4118,4899,-4094,4882,-4065,4884,-4044,4950,-3986,5011,-3927,5067,-3867,5118,-3805,5165,-3742,5206,-3679,5242,-3615,5271,-3551,5295,-3488,5313,-3425,5318,-3395,5317,-3374,5312,-3356,5304,-3338,5280,-3286,5258,-3233,5214,-3122,5194,-3063,5175,-3001,5156,-2936,5139,-2866,5122,-2792,5107,-2713,5093,-2628,5080,-2536,5069,-2438,5059,-2333,5050,-2219xe" filled="false" stroked="true" strokeweight=".25pt" strokecolor="#231f20">
              <v:path arrowok="t"/>
              <v:stroke dashstyle="solid"/>
            </v:shape>
            <v:shape style="position:absolute;left:5875;top:-5781;width:322;height:309" type="#_x0000_t75" stroked="false">
              <v:imagedata r:id="rId260" o:title=""/>
            </v:shape>
            <v:shape style="position:absolute;left:6012;top:-5954;width:740;height:539" coordorigin="6012,-5953" coordsize="740,539" path="m6751,-5807l6324,-5807,6343,-5802,6353,-5786,6350,-5767,6320,-5725,6303,-5686,6300,-5674,6298,-5658,6296,-5640,6293,-5622,6253,-5597,6233,-5576,6226,-5550,6226,-5507,6241,-5462,6273,-5434,6313,-5420,6347,-5415,6390,-5438,6448,-5490,6500,-5543,6522,-5567,6596,-5606,6637,-5629,6660,-5645,6679,-5662,6720,-5709,6749,-5766,6751,-5807xm6363,-5953l6300,-5948,6239,-5926,6183,-5885,6130,-5845,6074,-5816,6030,-5799,6012,-5794,6220,-5647,6213,-5695,6215,-5726,6234,-5752,6272,-5786,6299,-5802,6324,-5807,6751,-5807,6752,-5826,6748,-5834,6497,-5834,6484,-5885,6472,-5913,6453,-5929,6420,-5942,6363,-5953xm6645,-5903l6574,-5883,6519,-5851,6497,-5834,6748,-5834,6715,-5881,6645,-5903xe" filled="true" fillcolor="#ffd768" stroked="false">
              <v:path arrowok="t"/>
              <v:fill type="solid"/>
            </v:shape>
            <v:shape style="position:absolute;left:6012;top:-5954;width:740;height:539" coordorigin="6012,-5953" coordsize="740,539" path="m6012,-5794l6220,-5647,6213,-5695,6215,-5726,6234,-5752,6272,-5786,6299,-5802,6324,-5807,6343,-5802,6353,-5786,6350,-5767,6338,-5750,6320,-5725,6303,-5686,6300,-5674,6298,-5658,6296,-5640,6293,-5622,6253,-5597,6233,-5576,6226,-5550,6226,-5507,6241,-5462,6273,-5434,6313,-5420,6347,-5415,6390,-5438,6448,-5490,6500,-5543,6522,-5567,6596,-5606,6660,-5645,6720,-5709,6749,-5766,6752,-5826,6715,-5881,6645,-5903,6574,-5883,6519,-5851,6497,-5834,6484,-5885,6472,-5913,6453,-5929,6420,-5942,6363,-5953,6300,-5948,6239,-5926,6183,-5885,6130,-5845,6074,-5816,6030,-5799,6012,-5794xe" filled="false" stroked="true" strokeweight=".25pt" strokecolor="#b7705b">
              <v:path arrowok="t"/>
              <v:stroke dashstyle="solid"/>
            </v:shape>
            <v:shape style="position:absolute;left:6302;top:-5797;width:82;height:185" type="#_x0000_t75" stroked="false">
              <v:imagedata r:id="rId261" o:title=""/>
            </v:shape>
            <v:shape style="position:absolute;left:6417;top:-5851;width:86;height:230" coordorigin="6418,-5850" coordsize="86,230" path="m6491,-5850l6501,-5822,6503,-5801,6497,-5777,6481,-5741,6461,-5701,6444,-5671,6430,-5649,6421,-5635,6418,-5625,6420,-5620,6426,-5621,6432,-5628,6435,-5638,6438,-5649,6442,-5662,6446,-5674e" filled="false" stroked="true" strokeweight=".25pt" strokecolor="#b7705b">
              <v:path arrowok="t"/>
              <v:stroke dashstyle="solid"/>
            </v:shape>
            <v:shape style="position:absolute;left:7555;top:-4607;width:1089;height:3613" type="#_x0000_t75" stroked="false">
              <v:imagedata r:id="rId262" o:title=""/>
            </v:shape>
            <v:shape style="position:absolute;left:-493;top:4743;width:1089;height:3613" coordorigin="-493,4744" coordsize="1089,3613" path="m8048,-1248l8040,-1186,8018,-1134,7985,-1094,7944,-1065,7897,-1047,7847,-1041,7797,-1046,7749,-1063,7708,-1092,7675,-1132,7653,-1184,7645,-1248,7645,-1271,7645,-1309,7645,-1361,7645,-1425,7645,-1500,7644,-1585,7644,-1677,7644,-1776,7644,-1880,7644,-1988,7643,-2099,7675,-2049,7717,-2004,7771,-1972,7838,-1959,7914,-1975,7965,-2010,7995,-2052,8008,-2083,8008,-2082,8015,-2104,8022,-2128,8029,-2153,8035,-2178,8038,-2184,8043,-2187,8048,-2184,8051,-2172,8051,-2135,8051,-2077,8051,-2002,8051,-1912,8051,-1815,8050,-1712,8050,-1609,8049,-1511,8049,-1421,8049,-1345,8048,-1286,8048,-1248xm8643,-4607l8606,-4577,8583,-4546,8567,-4498,8549,-4413,8533,-4345,8512,-4258,8488,-4166,8465,-4078,8445,-4006,8431,-3963,8405,-3888,8376,-3810,8344,-3738,8313,-3678,8278,-3635,8241,-3602,8203,-3577,8169,-3555,8100,-3508,8038,-3461,7976,-3405,7910,-3334,7873,-3287,7852,-3256,7843,-3238,7841,-3233,7842,-3194,7863,-3229,7880,-3254,7904,-3281,7942,-3323,7998,-3378,8061,-3432,8122,-3479,8171,-3513,8180,-3516,8186,-3514,8189,-3508,8186,-3499,8161,-3457,8133,-3404,8104,-3343,8077,-3274,8052,-3186,8034,-3094,8022,-3002,8013,-2919,8007,-2849,8001,-2799,7991,-2764,7973,-2733,7948,-2712,7919,-2704,7895,-2708,7871,-2718,7851,-2728,7844,-2733,7823,-2700,7852,-2681,7872,-2671,7892,-2667,7921,-2667,7964,-2676,7999,-2703,8024,-2745,8038,-2798,8045,-2856,8052,-2927,8061,-3009,8074,-3095,8091,-3181,8114,-3264,8137,-3328,8162,-3387,8189,-3440,8218,-3483,8229,-3494,8237,-3499,8240,-3494,8234,-3473,8219,-3432,8202,-3375,8184,-3302,8166,-3212,8148,-3102,8134,-3000,8126,-2937,8122,-2889,8117,-2829,8106,-2749,8085,-2649,8060,-2563,8033,-2522,8011,-2521,7993,-2534,7973,-2555,7948,-2585,7940,-2525,7971,-2487,7997,-2453,8014,-2421,8020,-2386,8019,-2298,8015,-2230,8006,-2173,7989,-2114,7975,-2082,7950,-2041,7905,-2006,7836,-1991,7758,-2014,7703,-2071,7666,-2145,7643,-2219,7643,-2344,7643,-2457,7643,-2553,7642,-2628,7642,-2680,7642,-2703,7641,-2759,7638,-2817,7634,-2874,7629,-2927,7628,-2942,7634,-2950,7642,-2937,7555,-3127,7563,-3094,7570,-3053,7576,-3011,7580,-2975,7588,-2892,7594,-2814,7598,-2746,7599,-2691,7599,-2670,7599,-2627,7599,-2567,7599,-2492,7599,-2403,7600,-2304,7600,-2197,7600,-2086,7600,-1971,7600,-1857,7600,-1745,7600,-1638,7600,-1539,7600,-1450,7601,-1374,7601,-1313,7601,-1270,7601,-1248,7607,-1185,7624,-1130,7651,-1085,7686,-1049,7727,-1022,7772,-1004,7820,-995,7869,-995,7916,-1004,7962,-1022,8002,-1049,8037,-1086,8064,-1131,8082,-1185,8088,-1248,8088,-1311,8088,-1388,8088,-1475,8088,-1568,8088,-1666,8089,-1763,8089,-1856,8089,-1943,8089,-2019,8089,-2081,8087,-2196,8084,-2279,8081,-2347,8079,-2414,8084,-2456,8096,-2506,8113,-2575,8134,-2675,8154,-2818,8165,-2909,8176,-2993,8185,-3068,8193,-3130,8200,-3178,8210,-3227,8232,-3311,8262,-3412,8298,-3510,8325,-3571,8352,-3632,8381,-3699,8411,-3774,8443,-3861,8476,-3964,8496,-4035,8519,-4124,8543,-4220,8564,-4308,8580,-4376,8589,-4412,8597,-4444,8608,-4475,8623,-4501,8644,-4519e" filled="false" stroked="true" strokeweight=".25pt" strokecolor="#231f20">
              <v:path arrowok="t"/>
              <v:stroke dashstyle="solid"/>
            </v:shape>
            <v:shape style="position:absolute;left:6489;top:-5731;width:89;height:162" coordorigin="6489,-5731" coordsize="89,162" path="m6578,-5731l6555,-5659,6538,-5619,6519,-5594,6489,-5569e" filled="false" stroked="true" strokeweight=".25pt" strokecolor="#b7705b">
              <v:path arrowok="t"/>
              <v:stroke dashstyle="solid"/>
            </v:shape>
            <v:shape style="position:absolute;left:7838;top:-2711;width:108;height:187" type="#_x0000_t75" stroked="false">
              <v:imagedata r:id="rId263" o:title=""/>
            </v:shape>
            <v:shape style="position:absolute;left:7838;top:-2711;width:108;height:187" coordorigin="7839,-2711" coordsize="108,187" path="m7839,-2711l7947,-2585,7940,-2525,7839,-2652,7839,-2711xe" filled="false" stroked="true" strokeweight=".25pt" strokecolor="#231f20">
              <v:path arrowok="t"/>
              <v:stroke dashstyle="solid"/>
            </v:shape>
            <v:shape style="position:absolute;left:5867;top:-6073;width:1415;height:5861" type="#_x0000_t75" stroked="false">
              <v:imagedata r:id="rId264" o:title=""/>
            </v:shape>
            <v:shape style="position:absolute;left:6311;top:-5263;width:132;height:254" type="#_x0000_t75" stroked="false">
              <v:imagedata r:id="rId265" o:title=""/>
            </v:shape>
            <v:shape style="position:absolute;left:6044;top:-5945;width:378;height:171" type="#_x0000_t75" stroked="false">
              <v:imagedata r:id="rId266" o:title=""/>
            </v:shape>
            <v:shape style="position:absolute;left:6398;top:-5600;width:297;height:137" type="#_x0000_t75" stroked="false">
              <v:imagedata r:id="rId267" o:title=""/>
            </v:shape>
            <v:shape style="position:absolute;left:5879;top:-5458;width:198;height:176" type="#_x0000_t75" stroked="false">
              <v:imagedata r:id="rId268" o:title=""/>
            </v:shape>
            <v:shape style="position:absolute;left:6488;top:-3287;width:280;height:565" coordorigin="6488,-3287" coordsize="280,565" path="m6644,-3287l6488,-3166,6524,-3114,6604,-2991,6683,-2845,6719,-2722,6768,-3105,6760,-3135,6745,-3164,6710,-3209,6644,-3287xe" filled="true" fillcolor="#ffd768" stroked="false">
              <v:path arrowok="t"/>
              <v:fill type="solid"/>
            </v:shape>
            <v:shape style="position:absolute;left:6488;top:-3287;width:280;height:565" coordorigin="6488,-3287" coordsize="280,565" path="m6719,-2722l6683,-2845,6604,-2991,6524,-3114,6488,-3166,6644,-3287,6710,-3209,6745,-3164,6760,-3135,6768,-3105e" filled="false" stroked="true" strokeweight=".25pt" strokecolor="#b7705b">
              <v:path arrowok="t"/>
              <v:stroke dashstyle="solid"/>
            </v:shape>
            <v:shape style="position:absolute;left:7529;top:-3797;width:207;height:1031" coordorigin="7530,-3796" coordsize="207,1031" path="m7628,-3796l7571,-3670,7542,-3582,7531,-3488,7530,-3348,7533,-3265,7541,-3201,7552,-3143,7564,-3082,7645,-2930,7666,-2889,7689,-2846,7712,-2803,7736,-2766,7736,-2840,7641,-2987,7592,-3089,7575,-3192,7572,-3344,7578,-3443,7593,-3540,7615,-3627,7640,-3701,7666,-3754,7628,-3796xe" filled="true" fillcolor="#f15b66" stroked="false">
              <v:path arrowok="t"/>
              <v:fill type="solid"/>
            </v:shape>
            <v:shape style="position:absolute;left:7529;top:-3797;width:207;height:1031" coordorigin="7530,-3796" coordsize="207,1031" path="m7642,-2935l7645,-2930,7666,-2889,7689,-2846,7712,-2803,7736,-2766,7736,-2840,7641,-2987,7592,-3089,7575,-3192,7572,-3344,7578,-3443,7593,-3540,7615,-3627,7640,-3701,7666,-3754,7628,-3796,7571,-3670,7542,-3582,7531,-3488,7530,-3348,7533,-3265,7541,-3201,7552,-3143,7564,-3082e" filled="false" stroked="true" strokeweight=".25pt" strokecolor="#231f20">
              <v:path arrowok="t"/>
              <v:stroke dashstyle="solid"/>
            </v:shape>
            <v:shape style="position:absolute;left:6533;top:-4785;width:234;height:466" coordorigin="6534,-4785" coordsize="234,466" path="m6650,-4785l6534,-4666,6564,-4630,6631,-4543,6703,-4430,6746,-4319,6767,-4645,6743,-4682,6723,-4708,6696,-4738,6650,-4785xe" filled="true" fillcolor="#ffd768" stroked="false">
              <v:path arrowok="t"/>
              <v:fill type="solid"/>
            </v:shape>
            <v:shape style="position:absolute;left:6533;top:-4785;width:234;height:466" coordorigin="6534,-4785" coordsize="234,466" path="m6746,-4319l6703,-4430,6631,-4543,6564,-4630,6534,-4666,6650,-4785,6696,-4738,6723,-4708,6743,-4682,6767,-4645e" filled="false" stroked="true" strokeweight=".25pt" strokecolor="#b7705b">
              <v:path arrowok="t"/>
              <v:stroke dashstyle="solid"/>
            </v:shape>
            <v:shape style="position:absolute;left:6912;top:-5464;width:321;height:670" coordorigin="6913,-5464" coordsize="321,670" path="m7159,-5464l7073,-5404,7019,-5356,6973,-5293,6913,-5190,6926,-4794,6938,-4997,6974,-5125,7063,-5233,7233,-5375,7159,-5464xe" filled="true" fillcolor="#ffd768" stroked="false">
              <v:path arrowok="t"/>
              <v:fill type="solid"/>
            </v:shape>
            <v:shape style="position:absolute;left:6912;top:-5464;width:321;height:670" coordorigin="6913,-5464" coordsize="321,670" path="m6913,-5190l6973,-5293,7019,-5356,7073,-5404,7159,-5464,7233,-5375,7063,-5233,6974,-5125,6938,-4997,6926,-4794e" filled="false" stroked="true" strokeweight=".25pt" strokecolor="#b7705b">
              <v:path arrowok="t"/>
              <v:stroke dashstyle="solid"/>
            </v:shape>
            <v:shape style="position:absolute;left:6287;top:-5630;width:141;height:117" type="#_x0000_t75" stroked="false">
              <v:imagedata r:id="rId269" o:title=""/>
            </v:shape>
            <v:shape style="position:absolute;left:8143;top:-4536;width:319;height:340" type="#_x0000_t75" stroked="false">
              <v:imagedata r:id="rId270" o:title=""/>
            </v:shape>
            <v:shape style="position:absolute;left:7022;top:-4802;width:1295;height:3665" type="#_x0000_t75" stroked="false">
              <v:imagedata r:id="rId271" o:title=""/>
            </v:shape>
            <v:shape style="position:absolute;left:0;top:7820;width:272;height:333" coordorigin="0,7821" coordsize="272,333" path="m5414,-3520l5434,-3469m5686,-3766l5666,-3801e" filled="false" stroked="true" strokeweight=".25pt" strokecolor="#231f20">
              <v:path arrowok="t"/>
              <v:stroke dashstyle="solid"/>
            </v:shape>
            <v:shape style="position:absolute;left:5854;top:-5526;width:710;height:1822" type="#_x0000_t75" stroked="false">
              <v:imagedata r:id="rId272" o:title=""/>
            </v:shape>
            <v:shape style="position:absolute;left:7719;top:-3885;width:281;height:247" type="#_x0000_t75" stroked="false">
              <v:imagedata r:id="rId273" o:title=""/>
            </v:shape>
            <v:shape style="position:absolute;left:7717;top:-3888;width:286;height:252" type="#_x0000_t75" stroked="false">
              <v:imagedata r:id="rId274" o:title=""/>
            </v:shape>
            <v:shape style="position:absolute;left:7792;top:-4214;width:695;height:322" coordorigin="7793,-4213" coordsize="695,322" path="m7793,-3961l7793,-3929,7811,-3908,7844,-3895,7889,-3892,7929,-3897,7968,-3912,7999,-3929,7880,-3929,7840,-3934,7813,-3945,7797,-3956,7793,-3961xm8044,-4213l8037,-4182,8065,-4172,8089,-4157,8111,-4134,8130,-4099,8139,-4071,8139,-4052,8130,-4038,8110,-4028,8088,-4018,8065,-4007,8041,-3995,8015,-3980,7990,-3965,7959,-3949,7922,-3935,7880,-3929,7999,-3929,8002,-3931,8032,-3948,8066,-3967,8109,-3987,8154,-4002,8195,-4007,8376,-4007,8382,-4009,8420,-4026,8432,-4033,8314,-4033,8260,-4037,8209,-4052,8175,-4079,8158,-4116,8136,-4154,8101,-4189,8044,-4213xm8376,-4007l8195,-4007,8234,-4003,8278,-3997,8327,-3997,8376,-4007xm8487,-4143l8471,-4118,8448,-4092,8411,-4065,8354,-4039,8314,-4033,8432,-4033,8447,-4043,8464,-4057,8470,-4063,8487,-4143xe" filled="true" fillcolor="#3777bc" stroked="false">
              <v:path arrowok="t"/>
              <v:fill type="solid"/>
            </v:shape>
            <v:shape style="position:absolute;left:7792;top:-4214;width:695;height:322" coordorigin="7793,-4213" coordsize="695,322" path="m8487,-4143l8448,-4092,8354,-4039,8314,-4033,8260,-4037,8209,-4052,8175,-4079,8158,-4116,8136,-4154,8101,-4189,8044,-4213,8037,-4182,8065,-4172,8089,-4157,8111,-4134,8130,-4099,8139,-4071,8139,-4052,8130,-4038,8110,-4028,8088,-4018,8065,-4007,8041,-3995,8015,-3980,7990,-3965,7959,-3949,7922,-3935,7880,-3929,7840,-3934,7813,-3945,7797,-3956,7793,-3961,7793,-3929,7811,-3908,7844,-3895,7889,-3892,7929,-3897,7968,-3912,8002,-3931,8032,-3948,8066,-3967,8109,-3987,8154,-4002,8195,-4007,8234,-4003,8278,-3997,8327,-3997,8382,-4009,8420,-4026,8447,-4043,8464,-4057,8470,-4063e" filled="false" stroked="true" strokeweight=".25pt" strokecolor="#231f20">
              <v:path arrowok="t"/>
              <v:stroke dashstyle="solid"/>
            </v:shape>
            <v:shape style="position:absolute;left:7794;top:-4483;width:155;height:152" coordorigin="7794,-4482" coordsize="155,152" path="m7795,-4384l7794,-4370,7801,-4356,7816,-4342,7839,-4332,7862,-4331,7888,-4336,7913,-4350,7920,-4357,7840,-4357,7822,-4362,7802,-4372,7795,-4384xm7894,-4482l7898,-4469,7912,-4457,7918,-4445,7919,-4427,7913,-4405,7897,-4381,7881,-4368,7861,-4360,7840,-4357,7920,-4357,7935,-4374,7948,-4413,7944,-4451,7925,-4477,7894,-4482xe" filled="true" fillcolor="#3777bc" stroked="false">
              <v:path arrowok="t"/>
              <v:fill type="solid"/>
            </v:shape>
            <v:shape style="position:absolute;left:7794;top:-4483;width:155;height:152" coordorigin="7794,-4482" coordsize="155,152" path="m7894,-4482l7898,-4469,7912,-4457,7918,-4445,7897,-4381,7840,-4357,7822,-4362,7802,-4372,7795,-4384,7839,-4332,7862,-4331,7888,-4336,7913,-4350,7935,-4374,7948,-4413,7944,-4451,7925,-4477,7894,-4482xe" filled="false" stroked="true" strokeweight=".25pt" strokecolor="#231f20">
              <v:path arrowok="t"/>
              <v:stroke dashstyle="solid"/>
            </v:shape>
            <v:shape style="position:absolute;left:7591;top:-4543;width:309;height:260" coordorigin="7591,-4542" coordsize="309,260" path="m7731,-4494l7725,-4489,7721,-4480,7719,-4469,7720,-4457,7720,-4456,7723,-4445,7728,-4435,7733,-4427,7738,-4419,7739,-4408,7738,-4394,7734,-4379,7731,-4365,7724,-4344,7715,-4330,7700,-4322,7677,-4320,7639,-4320,7592,-4319,7591,-4283,7697,-4286,7733,-4287,7753,-4287,7778,-4288,7900,-4293,7858,-4320,7762,-4320,7756,-4330,7762,-4347,7766,-4360,7772,-4375,7780,-4391,7792,-4404,7806,-4413,7835,-4425,7856,-4437,7866,-4445,7786,-4445,7770,-4446,7760,-4448,7753,-4453,7746,-4463,7731,-4494xm7856,-4321l7780,-4320,7858,-4320,7856,-4321xm7897,-4542l7878,-4539,7875,-4513,7857,-4482,7827,-4456,7786,-4445,7866,-4445,7880,-4457,7893,-4478,7898,-4498,7899,-4516,7897,-4542xe" filled="true" fillcolor="#3777bc" stroked="false">
              <v:path arrowok="t"/>
              <v:fill type="solid"/>
            </v:shape>
            <v:shape style="position:absolute;left:7591;top:-4543;width:309;height:260" coordorigin="7591,-4542" coordsize="309,260" path="m7878,-4539l7897,-4542,7899,-4516,7898,-4498,7856,-4437,7806,-4413,7792,-4404,7780,-4391,7772,-4375,7766,-4360,7762,-4347,7756,-4330,7762,-4320,7780,-4320,7802,-4320,7827,-4321,7847,-4321,7856,-4321,7900,-4293,7821,-4289,7778,-4288,7753,-4287,7733,-4287,7697,-4286,7650,-4285,7609,-4283,7591,-4283,7592,-4319,7620,-4319,7639,-4320,7655,-4320,7677,-4320,7700,-4322,7734,-4379,7739,-4408,7738,-4419,7733,-4427,7728,-4435,7723,-4445,7720,-4457,7719,-4469,7721,-4480,7725,-4489,7731,-4494,7746,-4463,7753,-4453,7760,-4448,7770,-4446,7786,-4445,7827,-4456,7857,-4482,7875,-4513,7878,-4539xe" filled="false" stroked="true" strokeweight=".25pt" strokecolor="#231f20">
              <v:path arrowok="t"/>
              <v:stroke dashstyle="solid"/>
            </v:shape>
            <v:shape style="position:absolute;left:7382;top:-4637;width:32;height:44" coordorigin="7382,-4636" coordsize="32,44" path="m7413,-4636l7394,-4632,7384,-4627,7382,-4615,7384,-4593e" filled="false" stroked="true" strokeweight=".25pt" strokecolor="#b7705b">
              <v:path arrowok="t"/>
              <v:stroke dashstyle="solid"/>
            </v:shape>
            <v:shape style="position:absolute;left:7412;top:-4792;width:107;height:331" coordorigin="7412,-4791" coordsize="107,331" path="m7451,-4791l7429,-4788,7453,-4773,7465,-4761,7471,-4745,7475,-4719,7475,-4675,7466,-4637,7452,-4603,7435,-4576,7424,-4557,7416,-4535,7412,-4513,7416,-4492,7425,-4477,7434,-4467,7441,-4462,7443,-4461,7443,-4489,7448,-4511,7458,-4531,7472,-4550,7486,-4570,7506,-4616,7518,-4663,7519,-4708,7511,-4748,7496,-4773,7475,-4787,7451,-4791xe" filled="true" fillcolor="#3777bc" stroked="false">
              <v:path arrowok="t"/>
              <v:fill type="solid"/>
            </v:shape>
            <v:shape style="position:absolute;left:7412;top:-4792;width:107;height:331" coordorigin="7412,-4791" coordsize="107,331" path="m7429,-4788l7471,-4745,7475,-4675,7466,-4637,7452,-4603,7435,-4576,7424,-4557,7416,-4535,7412,-4513,7416,-4492,7425,-4477,7434,-4467,7441,-4462,7443,-4461,7443,-4489,7448,-4511,7458,-4531,7472,-4550,7486,-4570,7506,-4616,7518,-4663,7519,-4708,7511,-4748,7496,-4773,7475,-4787,7451,-4791,7429,-4788xe" filled="false" stroked="true" strokeweight=".25pt" strokecolor="#231f20">
              <v:path arrowok="t"/>
              <v:stroke dashstyle="solid"/>
            </v:shape>
            <v:shape style="position:absolute;left:7274;top:-4499;width:178;height:145" type="#_x0000_t75" stroked="false">
              <v:imagedata r:id="rId275" o:title=""/>
            </v:shape>
            <v:shape style="position:absolute;left:7274;top:-4499;width:178;height:144" coordorigin="7275,-4498" coordsize="178,144" path="m7447,-4434l7399,-4486,7355,-4498,7335,-4498,7279,-4456,7275,-4438,7276,-4423,7282,-4406,7293,-4400,7338,-4451,7354,-4452,7371,-4449,7434,-4391,7453,-4355,7447,-4434xe" filled="false" stroked="true" strokeweight=".25pt" strokecolor="#231f20">
              <v:path arrowok="t"/>
              <v:stroke dashstyle="solid"/>
            </v:shape>
            <v:shape style="position:absolute;left:7441;top:-4451;width:168;height:311" coordorigin="7441,-4450" coordsize="168,311" path="m7588,-4450l7592,-4433,7592,-4420,7585,-4407,7526,-4330,7471,-4267,7454,-4243,7441,-4210,7442,-4173,7463,-4140,7464,-4169,7467,-4187,7474,-4200,7488,-4215,7514,-4242,7537,-4269,7579,-4323,7607,-4377,7609,-4398,7608,-4418,7604,-4432,7598,-4443,7588,-4450xe" filled="true" fillcolor="#f15b66" stroked="false">
              <v:path arrowok="t"/>
              <v:fill type="solid"/>
            </v:shape>
            <v:shape style="position:absolute;left:7441;top:-4451;width:168;height:311" coordorigin="7441,-4450" coordsize="168,311" path="m7588,-4450l7592,-4433,7592,-4420,7585,-4407,7526,-4330,7471,-4267,7454,-4243,7441,-4210,7442,-4173,7463,-4140,7464,-4169,7467,-4187,7474,-4200,7488,-4215,7514,-4242,7537,-4269,7579,-4323,7607,-4377,7609,-4398,7608,-4418,7604,-4432,7598,-4443,7588,-4450xe" filled="false" stroked="true" strokeweight=".25pt" strokecolor="#231f20">
              <v:path arrowok="t"/>
              <v:stroke dashstyle="solid"/>
            </v:shape>
            <v:shape style="position:absolute;left:7112;top:-4332;width:128;height:238" coordorigin="7112,-4331" coordsize="128,238" path="m7217,-4331l7153,-4277,7125,-4193,7119,-4115,7112,-4094,7174,-4094,7168,-4111,7165,-4141,7175,-4221,7210,-4284,7234,-4294,7239,-4305,7238,-4319,7231,-4330,7217,-4331xe" filled="true" fillcolor="#3777bc" stroked="false">
              <v:path arrowok="t"/>
              <v:fill type="solid"/>
            </v:shape>
            <v:shape style="position:absolute;left:7112;top:-4332;width:128;height:238" coordorigin="7112,-4331" coordsize="128,238" path="m7112,-4094l7119,-4115,7121,-4150,7125,-4193,7153,-4277,7198,-4322,7217,-4331,7231,-4330,7238,-4319,7239,-4305,7234,-4294,7210,-4284,7195,-4273,7185,-4254,7175,-4221,7166,-4179,7165,-4141,7168,-4111,7174,-4094e" filled="false" stroked="true" strokeweight=".25pt" strokecolor="#231f20">
              <v:path arrowok="t"/>
              <v:stroke dashstyle="solid"/>
            </v:shape>
            <v:shape style="position:absolute;left:7260;top:-4330;width:211;height:259" type="#_x0000_t75" stroked="false">
              <v:imagedata r:id="rId276" o:title=""/>
            </v:shape>
            <v:shape style="position:absolute;left:7260;top:-4330;width:211;height:259" coordorigin="7260,-4329" coordsize="211,259" path="m7462,-4129l7386,-4149,7319,-4215,7294,-4292,7295,-4319,7296,-4329,7282,-4324,7270,-4309,7263,-4287,7260,-4260,7262,-4238,7291,-4171,7364,-4103,7470,-4071,7462,-4129xe" filled="false" stroked="true" strokeweight=".25pt" strokecolor="#231f20">
              <v:path arrowok="t"/>
              <v:stroke dashstyle="solid"/>
            </v:shape>
            <v:shape style="position:absolute;left:7465;top:-4159;width:154;height:348" type="#_x0000_t75" stroked="false">
              <v:imagedata r:id="rId277" o:title=""/>
            </v:shape>
            <v:shape style="position:absolute;left:7465;top:-4159;width:154;height:348" coordorigin="7466,-4158" coordsize="154,348" path="m7617,-4125l7611,-4141,7603,-4152,7596,-4157,7593,-4158,7596,-4131,7592,-4099,7576,-4068,7539,-4041,7516,-4034,7497,-4037,7483,-4047,7475,-4060,7468,-4049,7504,-3993,7515,-3986,7521,-3976,7522,-3952,7519,-3919,7518,-3883,7546,-3817,7568,-3811,7563,-3822,7559,-3830,7557,-3837,7553,-3848,7547,-3882,7549,-3923,7567,-3994,7603,-4052,7611,-4067,7617,-4085,7619,-4105,7617,-4125xe" filled="false" stroked="true" strokeweight=".25pt" strokecolor="#231f20">
              <v:path arrowok="t"/>
              <v:stroke dashstyle="solid"/>
            </v:shape>
            <v:shape style="position:absolute;left:6290;top:-5924;width:481;height:267" coordorigin="6290,-5924" coordsize="481,267" path="m6671,-5768l6478,-5768,6504,-5765,6523,-5761,6538,-5756,6548,-5752,6555,-5748,6567,-5737,6572,-5723,6572,-5709,6569,-5696,6553,-5658,6569,-5659,6580,-5663,6588,-5673,6598,-5692,6608,-5708,6626,-5729,6649,-5751,6671,-5768xm6459,-5924l6453,-5923,6457,-5897,6452,-5871,6439,-5845,6419,-5816,6395,-5789,6369,-5770,6341,-5751,6313,-5728,6297,-5707,6290,-5687,6291,-5671,6297,-5662,6314,-5688,6342,-5712,6375,-5733,6402,-5749,6427,-5759,6452,-5766,6478,-5768,6671,-5768,6673,-5770,6678,-5773,6601,-5773,6583,-5778,6554,-5789,6502,-5802,6501,-5802,6455,-5802,6453,-5810,6462,-5822,6472,-5838,6482,-5856,6490,-5872,6492,-5887,6485,-5912,6471,-5922,6459,-5924xm6769,-5791l6721,-5791,6739,-5787,6753,-5772,6771,-5771,6769,-5791xm6719,-5833l6688,-5825,6658,-5809,6634,-5791,6618,-5780,6601,-5773,6678,-5773,6698,-5784,6721,-5791,6769,-5791,6768,-5800,6764,-5812,6755,-5822,6740,-5830,6719,-5833xm6480,-5804l6455,-5802,6501,-5802,6494,-5804,6480,-5804xe" filled="true" fillcolor="#f15b66" stroked="false">
              <v:path arrowok="t"/>
              <v:fill type="solid"/>
            </v:shape>
            <v:shape style="position:absolute;left:6290;top:-5924;width:481;height:267" coordorigin="6290,-5924" coordsize="481,267" path="m6453,-5923l6439,-5845,6395,-5789,6341,-5751,6313,-5728,6297,-5707,6290,-5687,6291,-5671,6297,-5662,6314,-5688,6342,-5712,6402,-5749,6478,-5768,6504,-5765,6567,-5737,6572,-5709,6569,-5696,6553,-5658,6569,-5659,6580,-5663,6588,-5673,6598,-5692,6608,-5708,6673,-5770,6721,-5791,6739,-5787,6753,-5772,6771,-5771,6768,-5800,6764,-5812,6755,-5822,6740,-5830,6719,-5833,6688,-5825,6658,-5809,6634,-5791,6618,-5780,6601,-5773,6583,-5778,6554,-5789,6502,-5802,6494,-5804,6480,-5804,6468,-5803,6455,-5802,6453,-5810,6462,-5822,6472,-5838,6482,-5856,6490,-5872,6492,-5887,6485,-5912,6471,-5922,6459,-5924,6453,-5923xe" filled="false" stroked="true" strokeweight=".25pt" strokecolor="#231f20">
              <v:path arrowok="t"/>
              <v:stroke dashstyle="solid"/>
            </v:shape>
            <v:shape style="position:absolute;left:7773;top:-4479;width:372;height:495" coordorigin="7773,-4479" coordsize="372,495" path="m8144,-4479l8098,-4474,8063,-4449,8040,-4411,8030,-4364,8029,-4334,8029,-4302,8026,-4267,8020,-4232,8004,-4194,7978,-4177,7893,-4156,7844,-4133,7807,-4102,7783,-4067,7774,-4032,7773,-4026,7773,-4010,7774,-3998,7779,-3991,7787,-3984,7798,-4026,7825,-4066,7869,-4098,7927,-4120,7955,-4124,8042,-4124,8042,-4128,8048,-4166,8059,-4197,8069,-4227,8073,-4265,8074,-4309,8073,-4357,8074,-4395,8079,-4415,8096,-4425,8129,-4430,8144,-4479xm8042,-4124l7955,-4124,7978,-4124,7994,-4115,8000,-4095,7993,-4065,7976,-4046,7958,-4036,7947,-4034,7947,-4027,7947,-4011,7949,-3997,7954,-3991,7978,-3999,8002,-4013,8021,-4032,8032,-4057,8038,-4090,8042,-4124xe" filled="true" fillcolor="#f15b66" stroked="false">
              <v:path arrowok="t"/>
              <v:fill type="solid"/>
            </v:shape>
            <v:shape style="position:absolute;left:7773;top:-4479;width:372;height:495" coordorigin="7773,-4479" coordsize="372,495" path="m7787,-3984l7779,-3991,7774,-3998,7773,-4010,7774,-4032,7807,-4102,7893,-4156,7978,-4177,8004,-4194,8020,-4232,8026,-4267,8029,-4302,8029,-4334,8030,-4364,8040,-4411,8063,-4449,8098,-4474,8144,-4479,8129,-4430,8096,-4425,8079,-4415,8074,-4395,8073,-4357,8074,-4309,8073,-4265,8069,-4227,8059,-4197,8048,-4166,8042,-4128,8032,-4057,7978,-3999,7954,-3991,7949,-3997,7947,-4011,7947,-4027,7947,-4034,7958,-4036,7976,-4046,7993,-4065,8000,-4095,7994,-4115,7978,-4124,7955,-4124,7927,-4120,7869,-4098,7825,-4066,7798,-4026,7787,-3984xe" filled="false" stroked="true" strokeweight=".25pt" strokecolor="#231f20">
              <v:path arrowok="t"/>
              <v:stroke dashstyle="solid"/>
            </v:shape>
            <v:shape style="position:absolute;left:6333;top:-409;width:867;height:60" coordorigin="6334,-409" coordsize="867,60" path="m6334,-354l6453,-381,6522,-392,6598,-401,6681,-407,6770,-409,6875,-406,6971,-397,7057,-384,7133,-368,7201,-349e" filled="false" stroked="true" strokeweight="1.085pt" strokecolor="#ce9d72">
              <v:path arrowok="t"/>
              <v:stroke dashstyle="shortdash"/>
            </v:shape>
            <v:line style="position:absolute" from="3347,-6478" to="3347,10" stroked="true" strokeweight="1pt" strokecolor="#231f20">
              <v:stroke dashstyle="solid"/>
            </v:line>
            <v:line style="position:absolute" from="3629,-4255" to="3629,10" stroked="true" strokeweight=".75pt" strokecolor="#231f20">
              <v:stroke dashstyle="solid"/>
            </v:line>
            <v:shape style="position:absolute;left:8109;top:-4572;width:373;height:416" coordorigin="8109,-4572" coordsize="373,416" path="m8393,-4572l8319,-4571,8246,-4555,8181,-4521,8150,-4491,8127,-4456,8114,-4415,8109,-4370,8117,-4308,8135,-4259,8161,-4224,8189,-4199,8223,-4179,8261,-4166,8299,-4158,8338,-4156,8369,-4158,8399,-4161,8427,-4167,8452,-4174,8463,-4181,8471,-4190,8474,-4202,8472,-4215,8469,-4220,8327,-4220,8273,-4229,8226,-4251,8203,-4273,8186,-4300,8176,-4333,8173,-4370,8176,-4401,8184,-4428,8199,-4450,8219,-4470,8269,-4495,8327,-4507,8387,-4508,8473,-4508,8475,-4510,8481,-4521,8482,-4534,8478,-4545,8470,-4555,8459,-4560,8393,-4572xm8445,-4236l8432,-4235,8381,-4223,8327,-4220,8469,-4220,8466,-4226,8456,-4233,8445,-4236xm8473,-4508l8387,-4508,8442,-4499,8454,-4498,8466,-4502,8473,-4508xe" filled="true" fillcolor="#ffe293" stroked="false">
              <v:path arrowok="t"/>
              <v:fill type="solid"/>
            </v:shape>
            <v:shape style="position:absolute;left:8109;top:-4572;width:373;height:416" coordorigin="8109,-4572" coordsize="373,416" path="m8338,-4156l8261,-4166,8189,-4199,8135,-4259,8109,-4370,8114,-4415,8150,-4491,8246,-4555,8319,-4571,8393,-4572,8459,-4560,8470,-4555,8478,-4545,8482,-4534,8481,-4521,8387,-4508,8327,-4507,8219,-4470,8176,-4401,8173,-4370,8176,-4333,8203,-4273,8273,-4229,8327,-4220,8381,-4223,8432,-4235,8445,-4236,8456,-4233,8466,-4226,8472,-4215,8474,-4202,8471,-4190,8399,-4161,8369,-4158,8338,-4156xe" filled="false" stroked="true" strokeweight=".25pt" strokecolor="#b7705b">
              <v:path arrowok="t"/>
              <v:stroke dashstyle="solid"/>
            </v:shape>
            <v:shape style="position:absolute;left:7779;top:-4238;width:93;height:114" coordorigin="7779,-4237" coordsize="93,114" path="m7872,-4237l7832,-4222,7803,-4194,7786,-4160,7779,-4124,7872,-4237xe" filled="true" fillcolor="#ffd768" stroked="false">
              <v:path arrowok="t"/>
              <v:fill type="solid"/>
            </v:shape>
            <v:shape style="position:absolute;left:7779;top:-4238;width:93;height:114" coordorigin="7779,-4237" coordsize="93,114" path="m7779,-4124l7786,-4160,7803,-4194,7832,-4222,7872,-4237e" filled="false" stroked="true" strokeweight=".25pt" strokecolor="#b7705b">
              <v:path arrowok="t"/>
              <v:stroke dashstyle="solid"/>
            </v:shape>
            <v:shape style="position:absolute;left:7268;top:-4786;width:180;height:217" type="#_x0000_t75" stroked="false">
              <v:imagedata r:id="rId278" o:title=""/>
            </v:shape>
            <v:shape style="position:absolute;left:7605;top:-4699;width:153;height:43" type="#_x0000_t75" stroked="false">
              <v:imagedata r:id="rId279" o:title=""/>
            </v:shape>
            <v:shape style="position:absolute;left:7968;top:-4778;width:193;height:121" type="#_x0000_t75" stroked="false">
              <v:imagedata r:id="rId280" o:title=""/>
            </v:shape>
            <v:shape style="position:absolute;left:7787;top:-4231;width:98;height:114" type="#_x0000_t75" stroked="false">
              <v:imagedata r:id="rId281" o:title=""/>
            </v:shape>
            <v:shape style="position:absolute;left:5924;top:-5588;width:25;height:43" type="#_x0000_t75" stroked="false">
              <v:imagedata r:id="rId282" o:title=""/>
            </v:shape>
            <v:shape style="position:absolute;left:5680;top:-5964;width:754;height:471" type="#_x0000_t75" stroked="false">
              <v:imagedata r:id="rId283" o:title=""/>
            </v:shape>
            <v:shape style="position:absolute;left:6006;top:-5554;width:29;height:53" type="#_x0000_t75" stroked="false">
              <v:imagedata r:id="rId284" o:title=""/>
            </v:shape>
            <v:shape style="position:absolute;left:6046;top:-5693;width:16;height:50" type="#_x0000_t75" stroked="false">
              <v:imagedata r:id="rId285" o:title=""/>
            </v:shape>
            <v:shape style="position:absolute;left:-42;top:8006;width:61;height:97" coordorigin="-41,8006" coordsize="61,97" path="m6026,-5568l6031,-5571,6039,-5573,6043,-5573,6045,-5572,6045,-5575,6042,-5574,6040,-5573,6037,-5572,6033,-5571m5992,-5664l5990,-5658,5984,-5647,5991,-5629e" filled="false" stroked="true" strokeweight=".25pt" strokecolor="#231f20">
              <v:path arrowok="t"/>
              <v:stroke dashstyle="solid"/>
            </v:shape>
            <v:shape style="position:absolute;left:5917;top:-5671;width:11;height:47" type="#_x0000_t75" stroked="false">
              <v:imagedata r:id="rId286" o:title=""/>
            </v:shape>
            <v:shape style="position:absolute;left:6022;top:-5644;width:25;height:52" type="#_x0000_t75" stroked="false">
              <v:imagedata r:id="rId287" o:title=""/>
            </v:shape>
            <v:shape style="position:absolute;left:5960;top:-5714;width:28;height:152" type="#_x0000_t75" stroked="false">
              <v:imagedata r:id="rId288" o:title=""/>
            </v:shape>
            <v:shape style="position:absolute;left:5990;top:-5672;width:17;height:38" type="#_x0000_t75" stroked="false">
              <v:imagedata r:id="rId289" o:title=""/>
            </v:shape>
            <v:shape style="position:absolute;left:5959;top:-5683;width:174;height:160" coordorigin="5959,-5682" coordsize="174,160" path="m5983,-5630l5971,-5622,5964,-5608,5960,-5595,5959,-5579,5965,-5560,5978,-5540,5994,-5528,6010,-5523,6025,-5524,6037,-5527,6041,-5528,6046,-5530,6051,-5532,6060,-5536,6069,-5544,6126,-5544,6129,-5548,6132,-5557,6012,-5557,6018,-5613,6015,-5618,6012,-5621,6003,-5628,5983,-5630xm6126,-5544l6069,-5544,6089,-5531,6100,-5527,6113,-5532,6122,-5538,6126,-5544xm6018,-5613l6012,-5557,6023,-5572,6027,-5588,6024,-5603,6018,-5613xm6026,-5682l6018,-5613,6024,-5603,6027,-5588,6023,-5572,6012,-5557,6132,-5557,6133,-5559,6133,-5571,6129,-5581,6121,-5589,6109,-5595,6097,-5599,6080,-5603,6067,-5609,6059,-5616,6054,-5624,6052,-5629,6052,-5641,6051,-5651,6048,-5663,6041,-5675,6026,-5682xe" filled="true" fillcolor="#f15b66" stroked="false">
              <v:path arrowok="t"/>
              <v:fill type="solid"/>
            </v:shape>
            <v:shape style="position:absolute;left:5959;top:-5683;width:174;height:160" coordorigin="5959,-5682" coordsize="174,160" path="m6012,-5557l6023,-5572,6027,-5588,6024,-5603,6015,-5618,6012,-5621,6003,-5628,5996,-5629,5983,-5630,5971,-5622,5964,-5608,5960,-5595,5959,-5579,5965,-5560,5978,-5540,5994,-5528,6010,-5523,6025,-5524,6037,-5527,6041,-5528,6046,-5530,6051,-5532,6060,-5536,6069,-5544,6077,-5539,6089,-5531,6133,-5571,6129,-5581,6121,-5589,6109,-5595,6097,-5599,6080,-5603,6067,-5609,6059,-5616,6054,-5624,6052,-5629,6052,-5634,6052,-5641,6051,-5651,6048,-5663,6041,-5675,6026,-5682e" filled="false" stroked="true" strokeweight=".25pt" strokecolor="#231f20">
              <v:path arrowok="t"/>
              <v:stroke dashstyle="solid"/>
            </v:shape>
            <v:shape style="position:absolute;left:5054;top:-6123;width:931;height:2115" coordorigin="5054,-6123" coordsize="931,2115" path="m5208,-5041l5198,-5039,5190,-5030,5187,-5018,5192,-5009,5246,-4980,5308,-4942,5373,-4897,5431,-4848,5454,-4821,5473,-4791,5486,-4761,5492,-4737,5501,-4665,5511,-4591,5523,-4513,5537,-4433,5553,-4350,5572,-4264,5594,-4177,5620,-4087,5624,-4063,5622,-4042,5615,-4024,5604,-4009,5764,-4089,5752,-4089,5738,-4093,5724,-4102,5713,-4118,5684,-4185,5660,-4261,5639,-4344,5621,-4430,5605,-4517,5593,-4601,5582,-4679,5574,-4749,5564,-4833,5558,-4877,5461,-4877,5451,-4884,5415,-4913,5357,-4954,5285,-4999,5208,-5041xm5766,-4091l5752,-4089,5764,-4089,5766,-4091xm5067,-5804l5057,-5794,5054,-5780,5060,-5771,5114,-5742,5188,-5697,5268,-5640,5343,-5572,5365,-5546,5380,-5525,5388,-5506,5394,-5482,5402,-5435,5414,-5364,5424,-5292,5431,-5244,5437,-5189,5448,-5091,5461,-4983,5471,-4897,5471,-4884,5467,-4877,5461,-4877,5558,-4877,5546,-4983,5538,-5043,5531,-5092,5526,-5138,5529,-5180,5545,-5219,5569,-5252,5512,-5252,5504,-5252,5497,-5259,5494,-5270,5487,-5314,5480,-5369,5472,-5430,5466,-5483,5450,-5578,5446,-5605,5372,-5605,5360,-5612,5291,-5672,5213,-5726,5138,-5772,5080,-5804,5067,-5804xm5966,-5558l5963,-5557,5958,-5555,5950,-5552,5941,-5547,5931,-5540,5920,-5528,5902,-5512,5883,-5502,5861,-5494,5836,-5487,5799,-5475,5761,-5459,5726,-5442,5696,-5424,5649,-5391,5605,-5352,5562,-5308,5521,-5261,5512,-5252,5569,-5252,5581,-5269,5621,-5314,5665,-5354,5713,-5389,5752,-5413,5783,-5430,5814,-5442,5877,-5462,5901,-5472,5923,-5486,5944,-5507,5954,-5519,5961,-5522,5979,-5529,5985,-5533,5966,-5558xm5272,-6123l5257,-6116,5254,-6100,5270,-6058,5292,-5995,5317,-5918,5343,-5828,5366,-5731,5385,-5631,5384,-5618,5380,-5608,5372,-5605,5446,-5605,5433,-5670,5415,-5758,5394,-5841,5373,-5918,5350,-5990,5327,-6055,5304,-6112,5291,-6122,5272,-6123xe" filled="true" fillcolor="#f15b66" stroked="false">
              <v:path arrowok="t"/>
              <v:fill type="solid"/>
            </v:shape>
            <v:shape style="position:absolute;left:5054;top:-6123;width:931;height:2115" coordorigin="5054,-6123" coordsize="931,2115" path="m5766,-4091l5684,-4185,5660,-4261,5639,-4344,5621,-4430,5605,-4517,5593,-4601,5582,-4679,5574,-4749,5564,-4833,5554,-4912,5546,-4983,5538,-5043,5531,-5092,5526,-5138,5545,-5219,5581,-5269,5665,-5354,5713,-5389,5783,-5430,5852,-5454,5877,-5462,5901,-5472,5923,-5486,5944,-5507,5954,-5519,5961,-5522,5969,-5525,5973,-5527,5979,-5529,5985,-5533,5966,-5558,5963,-5557,5961,-5556,5920,-5528,5902,-5512,5883,-5502,5861,-5494,5836,-5487,5799,-5475,5726,-5442,5649,-5391,5562,-5308,5521,-5261,5512,-5252,5487,-5313,5473,-5429,5466,-5483,5450,-5578,5433,-5670,5415,-5758,5394,-5841,5373,-5918,5350,-5990,5327,-6055,5304,-6112,5272,-6123,5257,-6116,5254,-6100,5270,-6058,5292,-5995,5317,-5918,5343,-5828,5366,-5731,5385,-5631,5384,-5618,5380,-5608,5372,-5605,5360,-5612,5291,-5672,5213,-5726,5138,-5772,5080,-5804,5067,-5804,5057,-5794,5054,-5780,5060,-5771,5114,-5742,5188,-5697,5268,-5640,5343,-5572,5388,-5506,5402,-5435,5414,-5364,5424,-5292,5437,-5189,5448,-5091,5461,-4983,5471,-4896,5471,-4884,5467,-4877,5461,-4877,5451,-4884,5415,-4913,5357,-4954,5285,-4999,5208,-5041,5198,-5039,5190,-5030,5187,-5018,5192,-5009,5246,-4980,5308,-4942,5373,-4897,5431,-4848,5473,-4791,5501,-4665,5511,-4591,5523,-4513,5537,-4433,5553,-4350,5572,-4264,5594,-4177,5620,-4087,5624,-4063,5622,-4042,5615,-4024,5604,-4009e" filled="false" stroked="true" strokeweight=".25pt" strokecolor="#231f20">
              <v:path arrowok="t"/>
              <v:stroke dashstyle="solid"/>
            </v:shape>
            <v:shape style="position:absolute;left:5845;top:-5806;width:383;height:363" type="#_x0000_t75" stroked="false">
              <v:imagedata r:id="rId290" o:title=""/>
            </v:shape>
            <v:shape style="position:absolute;left:8405;top:-4421;width:29;height:41" type="#_x0000_t75" stroked="false">
              <v:imagedata r:id="rId291" o:title=""/>
            </v:shape>
            <v:shape style="position:absolute;left:8202;top:-4773;width:362;height:534" type="#_x0000_t75" stroked="false">
              <v:imagedata r:id="rId292" o:title=""/>
            </v:shape>
            <v:shape style="position:absolute;left:8232;top:-4353;width:26;height:48" type="#_x0000_t75" stroked="false">
              <v:imagedata r:id="rId293" o:title=""/>
            </v:shape>
            <v:shape style="position:absolute;left:-56;top:8013;width:56;height:102" coordorigin="-55,8014" coordsize="56,102" path="m8362,-4331l8356,-4329,8349,-4324,8347,-4321,8345,-4319,8344,-4320,8346,-4322,8348,-4323,8351,-4325,8354,-4327m8307,-4420l8312,-4419,8325,-4416,8335,-4399e" filled="false" stroked="true" strokeweight=".25pt" strokecolor="#231f20">
              <v:path arrowok="t"/>
              <v:stroke dashstyle="solid"/>
            </v:shape>
            <v:shape style="position:absolute;left:8222;top:-4460;width:59;height:44" type="#_x0000_t75" stroked="false">
              <v:imagedata r:id="rId294" o:title=""/>
            </v:shape>
            <v:shape style="position:absolute;left:8313;top:-4482;width:43;height:17" type="#_x0000_t75" stroked="false">
              <v:imagedata r:id="rId295" o:title=""/>
            </v:shape>
            <v:shape style="position:absolute;left:8299;top:-4407;width:106;height:76" type="#_x0000_t75" stroked="false">
              <v:imagedata r:id="rId296" o:title=""/>
            </v:shape>
            <v:shape style="position:absolute;left:8266;top:-4409;width:149;height:174" coordorigin="8266,-4408" coordsize="149,174" path="m8269,-4405l8266,-4388,8270,-4375,8278,-4365,8286,-4358,8296,-4350,8298,-4346,8302,-4336,8302,-4325,8298,-4311,8291,-4295,8285,-4282,8283,-4269,8284,-4258,8289,-4248,8299,-4240,8311,-4236,8323,-4235,8334,-4238,8347,-4245,8351,-4257,8353,-4281,8365,-4283,8379,-4290,8383,-4293,8388,-4296,8398,-4304,8408,-4315,8415,-4331,8415,-4336,8379,-4336,8360,-4336,8345,-4343,8334,-4355,8330,-4367,8269,-4405xm8330,-4367l8334,-4355,8345,-4343,8360,-4336,8379,-4336,8330,-4367xm8358,-4408l8348,-4406,8339,-4402,8332,-4395,8328,-4388,8328,-4377,8328,-4372,8330,-4367,8379,-4336,8415,-4336,8415,-4352,8407,-4375,8396,-4391,8383,-4402,8369,-4407,8358,-4408xe" filled="true" fillcolor="#f15b66" stroked="false">
              <v:path arrowok="t"/>
              <v:fill type="solid"/>
            </v:shape>
            <v:shape style="position:absolute;left:8266;top:-4409;width:149;height:174" coordorigin="8266,-4408" coordsize="149,174" path="m8379,-4336l8328,-4372,8328,-4377,8328,-4388,8332,-4395,8339,-4402,8348,-4406,8358,-4408,8369,-4407,8383,-4402,8396,-4391,8407,-4375,8415,-4352,8415,-4331,8374,-4288,8365,-4283,8353,-4281,8352,-4271,8351,-4257,8347,-4245,8334,-4238,8323,-4235,8311,-4236,8299,-4240,8289,-4248,8284,-4258,8283,-4269,8285,-4282,8291,-4295,8298,-4311,8302,-4325,8302,-4336,8298,-4346,8296,-4350,8291,-4354,8286,-4358,8278,-4365,8270,-4375,8266,-4388,8269,-4405e" filled="false" stroked="true" strokeweight=".25pt" strokecolor="#231f20">
              <v:path arrowok="t"/>
              <v:stroke dashstyle="solid"/>
            </v:shape>
            <v:shape style="position:absolute;left:8407;top:-4506;width:416;height:165" coordorigin="8408,-4506" coordsize="416,165" path="m8725,-4506l8666,-4495,8619,-4477,8582,-4455,8527,-4416,8507,-4403,8486,-4395,8461,-4391,8445,-4389,8433,-4386,8424,-4382,8416,-4378,8413,-4376,8411,-4375,8408,-4373,8416,-4342,8423,-4344,8440,-4354,8447,-4357,8463,-4357,8493,-4361,8519,-4369,8543,-4382,8565,-4397,8603,-4422,8639,-4443,8678,-4458,8722,-4466,8819,-4466,8823,-4497,8814,-4497,8795,-4501,8765,-4505,8725,-4506xm8819,-4466l8757,-4466,8785,-4460,8805,-4447,8815,-4426,8819,-4466xm8823,-4500l8814,-4497,8823,-4497,8823,-4500xe" filled="true" fillcolor="#f15b66" stroked="false">
              <v:path arrowok="t"/>
              <v:fill type="solid"/>
            </v:shape>
            <v:shape style="position:absolute;left:-519;top:8022;width:527;height:239" coordorigin="-519,8023" coordsize="527,239" path="m8815,-4426l8805,-4447,8785,-4460,8757,-4466,8722,-4466,8678,-4458,8639,-4443,8603,-4422,8565,-4397,8543,-4382,8519,-4369,8493,-4361,8463,-4357,8447,-4357,8440,-4354,8433,-4350,8428,-4347,8423,-4344,8416,-4342,8408,-4373,8411,-4375,8413,-4376,8416,-4378,8424,-4382,8433,-4386,8445,-4389,8461,-4391,8486,-4395,8507,-4403,8527,-4416,8549,-4431,8582,-4455,8619,-4477,8666,-4495,8725,-4506,8765,-4505,8795,-4501,8814,-4497,8823,-4500m8371,-4373l8375,-4371,8381,-4363,8382,-4348,8384,-4336,8376,-4329,8366,-4321,8365,-4320,8362,-4318,8359,-4317,8348,-4311,8336,-4303,8326,-4291,8323,-4275,8324,-4267,8314,-4269,8318,-4276,8326,-4293,8330,-4308,8333,-4323,8334,-4336,8333,-4345,8331,-4354,8327,-4361,8321,-4371,8313,-4378,8306,-4383,8299,-4388,8296,-4387,8297,-4389m8359,-4379l8358,-4381,8359,-4382,8360,-4380,8361,-4379,8363,-4374,8371,-4373,8366,-4374,8362,-4376,8359,-4379xe" filled="false" stroked="true" strokeweight=".25pt" strokecolor="#231f20">
              <v:path arrowok="t"/>
              <v:stroke dashstyle="solid"/>
            </v:shape>
            <v:shape style="position:absolute;left:8336;top:-4473;width:12;height:11" coordorigin="8337,-4473" coordsize="12,11" path="m8344,-4464l8337,-4469,8340,-4473,8343,-4467,8344,-4466,8345,-4464,8348,-4462e" filled="false" stroked="true" strokeweight=".25pt" strokecolor="#231f20">
              <v:path arrowok="t"/>
              <v:stroke dashstyle="solid"/>
            </v:shape>
            <v:shape style="position:absolute;left:8270;top:-4419;width:34;height:24" type="#_x0000_t75" stroked="false">
              <v:imagedata r:id="rId297" o:title=""/>
            </v:shape>
            <v:shape style="position:absolute;left:8324;top:-4311;width:41;height:46" type="#_x0000_t75" stroked="false">
              <v:imagedata r:id="rId298" o:title=""/>
            </v:shape>
            <v:shape style="position:absolute;left:-125;top:8102;width:955;height:1545" coordorigin="-125,8102" coordsize="955,1545" path="m4884,-6039l5714,-5712m4880,-5406l5609,-5335m4759,-4654l5540,-4654m4759,-4494l5422,-4494e" filled="false" stroked="true" strokeweight=".75pt" strokecolor="#231f20">
              <v:path arrowok="t"/>
              <v:stroke dashstyle="solid"/>
            </v:shape>
            <v:shape style="position:absolute;left:0;top:8102;width:1395;height:1021" coordorigin="0,8102" coordsize="1395,1021" path="m5401,-1615l6796,-1615m5401,-594l6715,-594e" filled="false" stroked="true" strokeweight="1pt" strokecolor="#231f20">
              <v:path arrowok="t"/>
              <v:stroke dashstyle="solid"/>
            </v:shape>
            <v:shape style="position:absolute;left:7805;top:-3110;width:811;height:210" coordorigin="7806,-3110" coordsize="811,210" path="m7806,-3110l8616,-2988,8157,-2900e" filled="false" stroked="true" strokeweight=".75pt" strokecolor="#231f20">
              <v:path arrowok="t"/>
              <v:stroke dashstyle="solid"/>
            </v:shape>
            <v:line style="position:absolute" from="7938,-1522" to="8638,-1522" stroked="true" strokeweight="1pt" strokecolor="#231f20">
              <v:stroke dashstyle="solid"/>
            </v:line>
            <v:shape style="position:absolute;left:6827;top:-6022;width:22;height:420" type="#_x0000_t75" stroked="false">
              <v:imagedata r:id="rId299" o:title=""/>
            </v:shape>
            <v:shape style="position:absolute;left:6937;top:-5900;width:72;height:112" type="#_x0000_t75" stroked="false">
              <v:imagedata r:id="rId300" o:title=""/>
            </v:shape>
            <v:shape style="position:absolute;left:6948;top:-5441;width:229;height:231" type="#_x0000_t75" stroked="false">
              <v:imagedata r:id="rId301" o:title=""/>
            </v:shape>
            <v:shape style="position:absolute;left:6980;top:-4580;width:162;height:115" type="#_x0000_t75" stroked="false">
              <v:imagedata r:id="rId302" o:title=""/>
            </v:shape>
            <v:shape style="position:absolute;left:6560;top:-4684;width:102;height:117" type="#_x0000_t75" stroked="false">
              <v:imagedata r:id="rId303" o:title=""/>
            </v:shape>
            <v:shape style="position:absolute;left:6513;top:-3178;width:120;height:153" type="#_x0000_t75" stroked="false">
              <v:imagedata r:id="rId304" o:title=""/>
            </v:shape>
            <v:shape style="position:absolute;left:6930;top:-3407;width:120;height:138" type="#_x0000_t75" stroked="false">
              <v:imagedata r:id="rId305" o:title=""/>
            </v:shape>
            <v:shape style="position:absolute;left:6962;top:-2655;width:179;height:122" type="#_x0000_t75" stroked="false">
              <v:imagedata r:id="rId306" o:title=""/>
            </v:shape>
            <v:shape style="position:absolute;left:6446;top:-1925;width:88;height:131" type="#_x0000_t75" stroked="false">
              <v:imagedata r:id="rId307" o:title=""/>
            </v:shape>
            <v:shape style="position:absolute;left:6776;top:-5229;width:22;height:496" type="#_x0000_t75" stroked="false">
              <v:imagedata r:id="rId308" o:title=""/>
            </v:shape>
            <v:shape style="position:absolute;left:6705;top:-2658;width:36;height:577" type="#_x0000_t75" stroked="false">
              <v:imagedata r:id="rId309" o:title=""/>
            </v:shape>
            <v:shape style="position:absolute;left:6762;top:-4225;width:22;height:496" type="#_x0000_t75" stroked="false">
              <v:imagedata r:id="rId310" o:title=""/>
            </v:shape>
            <v:shape style="position:absolute;left:7026;top:-1476;width:127;height:191" type="#_x0000_t75" stroked="false">
              <v:imagedata r:id="rId311" o:title=""/>
            </v:shape>
            <v:shape style="position:absolute;left:6276;top:-1388;width:98;height:262" type="#_x0000_t75" stroked="false">
              <v:imagedata r:id="rId312" o:title=""/>
            </v:shape>
            <v:shape style="position:absolute;left:6652;top:-1504;width:29;height:347" type="#_x0000_t75" stroked="false">
              <v:imagedata r:id="rId313" o:title=""/>
            </v:shape>
            <v:shape style="position:absolute;left:6576;top:-5799;width:74;height:73" coordorigin="6576,-5798" coordsize="74,73" path="m6646,-5798l6588,-5763,6576,-5726,6604,-5741,6627,-5756,6643,-5769,6649,-5779,6650,-5789,6646,-5798xe" filled="true" fillcolor="#ffeda9" stroked="false">
              <v:path arrowok="t"/>
              <v:fill type="solid"/>
            </v:shape>
            <v:shape style="position:absolute;left:6576;top:-5799;width:74;height:73" coordorigin="6576,-5798" coordsize="74,73" path="m6576,-5726l6597,-5783,6646,-5798,6650,-5789,6604,-5741,6576,-5726xe" filled="false" stroked="true" strokeweight=".25pt" strokecolor="#b7705b">
              <v:path arrowok="t"/>
              <v:stroke dashstyle="solid"/>
            </v:shape>
            <v:shape style="position:absolute;left:6484;top:-3295;width:166;height:136" coordorigin="6484,-3295" coordsize="166,136" path="m6630,-3295l6541,-3260,6493,-3208,6484,-3185,6488,-3167,6504,-3159,6529,-3161,6592,-3193,6640,-3245,6649,-3268,6646,-3286,6630,-3295xe" filled="true" fillcolor="#ffeda9" stroked="false">
              <v:path arrowok="t"/>
              <v:fill type="solid"/>
            </v:shape>
            <v:shape style="position:absolute;left:6484;top:-3295;width:166;height:136" coordorigin="6484,-3295" coordsize="166,136" path="m6646,-3286l6621,-3219,6559,-3173,6504,-3159,6488,-3167,6484,-3185,6493,-3208,6541,-3260,6605,-3292,6630,-3295,6646,-3286xe" filled="false" stroked="true" strokeweight=".25pt" strokecolor="#b7705b">
              <v:path arrowok="t"/>
              <v:stroke dashstyle="solid"/>
            </v:shape>
            <v:shape style="position:absolute;left:6526;top:-4791;width:133;height:134" coordorigin="6527,-4791" coordsize="133,134" path="m6636,-4791l6563,-4754,6530,-4703,6527,-4681,6534,-4665,6550,-4658,6572,-4661,6623,-4694,6656,-4745,6659,-4768,6652,-4784,6636,-4791xe" filled="true" fillcolor="#ffeda9" stroked="false">
              <v:path arrowok="t"/>
              <v:fill type="solid"/>
            </v:shape>
            <v:shape style="position:absolute;left:6526;top:-4791;width:133;height:134" coordorigin="6527,-4791" coordsize="133,134" path="m6652,-4784l6659,-4768,6656,-4745,6644,-4720,6623,-4694,6597,-4674,6572,-4661,6550,-4658,6534,-4665,6527,-4681,6530,-4703,6563,-4754,6614,-4788,6636,-4791,6652,-4784xe" filled="false" stroked="true" strokeweight=".25pt" strokecolor="#b7705b">
              <v:path arrowok="t"/>
              <v:stroke dashstyle="solid"/>
            </v:shape>
            <v:shape style="position:absolute;left:6980;top:-5934;width:131;height:103" coordorigin="6980,-5934" coordsize="131,103" path="m7015,-5934l6994,-5930,6982,-5919,6980,-5903,6987,-5885,7001,-5867,7024,-5850,7050,-5837,7074,-5832,7094,-5834,7108,-5844,7111,-5860,7105,-5879,7090,-5899,7067,-5918,7040,-5930,7015,-5934xe" filled="true" fillcolor="#ffeda9" stroked="false">
              <v:path arrowok="t"/>
              <v:fill type="solid"/>
            </v:shape>
            <v:shape style="position:absolute;left:6980;top:-5934;width:131;height:103" coordorigin="6980,-5934" coordsize="131,103" path="m7108,-5844l7094,-5834,7074,-5832,7050,-5837,7024,-5850,7001,-5867,6987,-5885,6980,-5903,6982,-5919,6994,-5930,7015,-5934,7040,-5930,7067,-5918,7090,-5899,7105,-5879,7111,-5860,7108,-5844xe" filled="false" stroked="true" strokeweight=".25pt" strokecolor="#b7705b">
              <v:path arrowok="t"/>
              <v:stroke dashstyle="solid"/>
            </v:shape>
            <v:shape style="position:absolute;left:6815;top:-6081;width:111;height:46" coordorigin="6815,-6080" coordsize="111,46" path="m6872,-6080l6851,-6078,6833,-6073,6820,-6066,6815,-6057,6820,-6049,6833,-6041,6851,-6037,6872,-6035,6893,-6037,6910,-6042,6922,-6049,6926,-6058,6922,-6066,6910,-6074,6893,-6078,6872,-6080xe" filled="true" fillcolor="#ffeda9" stroked="false">
              <v:path arrowok="t"/>
              <v:fill type="solid"/>
            </v:shape>
            <v:shape style="position:absolute;left:6815;top:-6081;width:111;height:46" coordorigin="6815,-6080" coordsize="111,46" path="m6926,-6058l6922,-6049,6910,-6042,6893,-6037,6872,-6035,6851,-6037,6833,-6041,6820,-6049,6815,-6057,6820,-6066,6833,-6073,6851,-6078,6872,-6080,6893,-6078,6910,-6074,6922,-6066,6926,-6058xe" filled="false" stroked="true" strokeweight=".25pt" strokecolor="#b7705b">
              <v:path arrowok="t"/>
              <v:stroke dashstyle="solid"/>
            </v:shape>
            <v:shape style="position:absolute;left:7028;top:-3428;width:114;height:123" coordorigin="7029,-3427" coordsize="114,123" path="m7051,-3427l7036,-3422,7029,-3408,7031,-3388,7079,-3321,7120,-3305,7135,-3310,7142,-3324,7140,-3344,7092,-3410,7051,-3427xe" filled="true" fillcolor="#ffeda9" stroked="false">
              <v:path arrowok="t"/>
              <v:fill type="solid"/>
            </v:shape>
            <v:shape style="position:absolute;left:7028;top:-3428;width:114;height:123" coordorigin="7029,-3427" coordsize="114,123" path="m7135,-3310l7120,-3305,7101,-3309,7079,-3321,7058,-3341,7041,-3365,7031,-3388,7029,-3408,7036,-3422,7051,-3427,7070,-3423,7130,-3367,7142,-3324,7135,-3310xe" filled="false" stroked="true" strokeweight=".25pt" strokecolor="#b7705b">
              <v:path arrowok="t"/>
              <v:stroke dashstyle="solid"/>
            </v:shape>
            <v:shape style="position:absolute;left:7106;top:-2670;width:100;height:130" coordorigin="7106,-2669" coordsize="100,130" path="m7129,-2669l7115,-2667,7107,-2654,7106,-2635,7113,-2611,7127,-2585,7145,-2562,7165,-2547,7183,-2539,7197,-2542,7205,-2554,7206,-2574,7199,-2598,7185,-2623,7167,-2646,7147,-2662,7129,-2669xe" filled="true" fillcolor="#ffeda9" stroked="false">
              <v:path arrowok="t"/>
              <v:fill type="solid"/>
            </v:shape>
            <v:shape style="position:absolute;left:7106;top:-2670;width:100;height:130" coordorigin="7106,-2669" coordsize="100,130" path="m7197,-2542l7127,-2585,7106,-2635,7107,-2654,7115,-2667,7129,-2669,7147,-2662,7167,-2646,7185,-2623,7199,-2598,7206,-2574,7205,-2554,7197,-2542xe" filled="false" stroked="true" strokeweight=".25pt" strokecolor="#b7705b">
              <v:path arrowok="t"/>
              <v:stroke dashstyle="solid"/>
            </v:shape>
            <v:shape style="position:absolute;left:6422;top:-2034;width:172;height:131" coordorigin="6422,-2033" coordsize="172,131" path="m6549,-2033l6483,-2008,6432,-1959,6422,-1935,6425,-1916,6442,-1904,6467,-1903,6499,-1912,6533,-1929,6563,-1953,6584,-1978,6594,-2002,6591,-2021,6575,-2032,6549,-2033xe" filled="true" fillcolor="#ffeda9" stroked="false">
              <v:path arrowok="t"/>
              <v:fill type="solid"/>
            </v:shape>
            <v:shape style="position:absolute;left:6422;top:-2034;width:172;height:131" coordorigin="6422,-2033" coordsize="172,131" path="m6591,-2021l6563,-1953,6499,-1912,6467,-1903,6442,-1904,6425,-1916,6422,-1935,6432,-1959,6453,-1984,6483,-2008,6517,-2025,6549,-2033,6575,-2032,6591,-2021xe" filled="false" stroked="true" strokeweight=".25pt" strokecolor="#b7705b">
              <v:path arrowok="t"/>
              <v:stroke dashstyle="solid"/>
            </v:shape>
            <v:shape style="position:absolute;left:6254;top:-1483;width:247;height:132" coordorigin="6254,-1483" coordsize="247,132" path="m6410,-1483l6314,-1454,6258,-1405,6254,-1380,6271,-1361,6302,-1352,6345,-1351,6394,-1361,6441,-1380,6476,-1403,6498,-1429,6501,-1454,6485,-1473,6453,-1483,6410,-1483xe" filled="true" fillcolor="#ffeda9" stroked="false">
              <v:path arrowok="t"/>
              <v:fill type="solid"/>
            </v:shape>
            <v:shape style="position:absolute;left:6254;top:-1483;width:247;height:132" coordorigin="6254,-1483" coordsize="247,132" path="m6501,-1454l6441,-1380,6345,-1351,6302,-1352,6271,-1361,6254,-1380,6258,-1405,6279,-1431,6314,-1454,6361,-1473,6410,-1483,6453,-1483,6485,-1473,6501,-1454xe" filled="false" stroked="true" strokeweight=".25pt" strokecolor="#b7705b">
              <v:path arrowok="t"/>
              <v:stroke dashstyle="solid"/>
            </v:shape>
            <v:shape style="position:absolute;left:7152;top:-5468;width:87;height:98" coordorigin="7152,-5468" coordsize="87,98" path="m7171,-5468l7159,-5464,7152,-5452,7153,-5436,7188,-5384,7221,-5371,7233,-5375,7239,-5386,7239,-5402,7203,-5455,7171,-5468xe" filled="true" fillcolor="#ffeda9" stroked="false">
              <v:path arrowok="t"/>
              <v:fill type="solid"/>
            </v:shape>
            <v:shape style="position:absolute;left:7152;top:-5468;width:87;height:98" coordorigin="7152,-5468" coordsize="87,98" path="m7159,-5464l7152,-5452,7153,-5436,7159,-5418,7172,-5399,7188,-5384,7205,-5374,7221,-5371,7233,-5375,7239,-5386,7239,-5402,7203,-5455,7171,-5468,7159,-5464xe" filled="false" stroked="true" strokeweight=".25pt" strokecolor="#b7705b">
              <v:path arrowok="t"/>
              <v:stroke dashstyle="solid"/>
            </v:shape>
            <v:shape style="position:absolute;left:6512;top:-3271;width:106;height:86" coordorigin="6513,-3271" coordsize="106,86" path="m6609,-3271l6553,-3244,6513,-3198,6513,-3189,6522,-3186,6537,-3189,6597,-3229,6618,-3258,6618,-3268,6609,-3271xe" filled="true" fillcolor="#e9cd86" stroked="false">
              <v:path arrowok="t"/>
              <v:fill type="solid"/>
            </v:shape>
            <v:shape style="position:absolute;left:6512;top:-3271;width:106;height:86" coordorigin="6513,-3271" coordsize="106,86" path="m6618,-3268l6578,-3212,6522,-3186,6513,-3189,6513,-3198,6520,-3212,6575,-3258,6609,-3271,6618,-3268xe" filled="false" stroked="true" strokeweight=".25pt" strokecolor="#b7705b">
              <v:path arrowok="t"/>
              <v:stroke dashstyle="solid"/>
            </v:shape>
            <v:shape style="position:absolute;left:6553;top:-4768;width:81;height:81" coordorigin="6554,-4767" coordsize="81,81" path="m6622,-4767l6565,-4726,6554,-4698,6557,-4690,6565,-4687,6578,-4690,6631,-4742,6634,-4755,6631,-4764,6622,-4767xe" filled="true" fillcolor="#e9cd86" stroked="false">
              <v:path arrowok="t"/>
              <v:fill type="solid"/>
            </v:shape>
            <v:shape style="position:absolute;left:6553;top:-4768;width:81;height:81" coordorigin="6554,-4767" coordsize="81,81" path="m6631,-4764l6634,-4755,6631,-4742,6622,-4727,6609,-4711,6593,-4698,6578,-4690,6565,-4687,6557,-4690,6554,-4698,6557,-4711,6609,-4764,6622,-4767,6631,-4764xe" filled="false" stroked="true" strokeweight=".25pt" strokecolor="#b7705b">
              <v:path arrowok="t"/>
              <v:stroke dashstyle="solid"/>
            </v:shape>
            <v:shape style="position:absolute;left:7004;top:-5917;width:86;height:63" coordorigin="7004,-5916" coordsize="86,63" path="m7027,-5916l7014,-5915,7006,-5909,7004,-5899,7010,-5888,7021,-5876,7036,-5865,7052,-5857,7067,-5853,7080,-5855,7088,-5861,7089,-5870,7084,-5882,7073,-5893,7058,-5904,7042,-5912,7027,-5916xe" filled="true" fillcolor="#e9cd86" stroked="false">
              <v:path arrowok="t"/>
              <v:fill type="solid"/>
            </v:shape>
            <v:shape style="position:absolute;left:7004;top:-5917;width:86;height:63" coordorigin="7004,-5916" coordsize="86,63" path="m7088,-5861l7080,-5855,7067,-5853,7052,-5857,7036,-5865,7021,-5876,7010,-5888,7004,-5899,7006,-5909,7014,-5915,7027,-5916,7042,-5912,7058,-5904,7073,-5893,7084,-5882,7089,-5870,7088,-5861xe" filled="false" stroked="true" strokeweight=".25pt" strokecolor="#b7705b">
              <v:path arrowok="t"/>
              <v:stroke dashstyle="solid"/>
            </v:shape>
            <v:shape style="position:absolute;left:6837;top:-6067;width:71;height:19" coordorigin="6837,-6066" coordsize="71,19" path="m6892,-6066l6853,-6066,6837,-6062,6837,-6052,6853,-6048,6892,-6048,6907,-6052,6907,-6062,6892,-6066xe" filled="true" fillcolor="#e9cd86" stroked="false">
              <v:path arrowok="t"/>
              <v:fill type="solid"/>
            </v:shape>
            <v:shape style="position:absolute;left:6837;top:-6067;width:71;height:19" coordorigin="6837,-6066" coordsize="71,19" path="m6907,-6057l6907,-6052,6892,-6048,6872,-6048,6853,-6048,6837,-6052,6837,-6057,6837,-6062,6853,-6066,6872,-6066,6892,-6066,6907,-6062,6907,-6057xe" filled="false" stroked="true" strokeweight=".25pt" strokecolor="#b7705b">
              <v:path arrowok="t"/>
              <v:stroke dashstyle="solid"/>
            </v:shape>
            <v:shape style="position:absolute;left:7049;top:-3406;width:72;height:76" coordorigin="7050,-3405" coordsize="72,76" path="m7061,-3405l7053,-3403,7050,-3395,7052,-3383,7099,-3333,7110,-3330,7119,-3333,7122,-3340,7119,-3352,7073,-3402,7061,-3405xe" filled="true" fillcolor="#e9cd86" stroked="false">
              <v:path arrowok="t"/>
              <v:fill type="solid"/>
            </v:shape>
            <v:shape style="position:absolute;left:7049;top:-3406;width:72;height:76" coordorigin="7050,-3405" coordsize="72,76" path="m7119,-3333l7060,-3369,7050,-3395,7053,-3403,7061,-3405,7073,-3402,7119,-3352,7122,-3340,7119,-3333xe" filled="false" stroked="true" strokeweight=".25pt" strokecolor="#b7705b">
              <v:path arrowok="t"/>
              <v:stroke dashstyle="solid"/>
            </v:shape>
            <v:shape style="position:absolute;left:7126;top:-2645;width:62;height:84" coordorigin="7126,-2645" coordsize="62,84" path="m7138,-2645l7130,-2644,7126,-2637,7128,-2625,7166,-2567,7177,-2561,7184,-2562,7188,-2569,7187,-2580,7148,-2639,7138,-2645xe" filled="true" fillcolor="#e9cd86" stroked="false">
              <v:path arrowok="t"/>
              <v:fill type="solid"/>
            </v:shape>
            <v:shape style="position:absolute;left:7126;top:-2645;width:62;height:84" coordorigin="7126,-2645" coordsize="62,84" path="m7184,-2562l7133,-2610,7126,-2637,7130,-2644,7138,-2645,7148,-2639,7187,-2580,7188,-2569,7184,-2562xe" filled="false" stroked="true" strokeweight=".25pt" strokecolor="#b7705b">
              <v:path arrowok="t"/>
              <v:stroke dashstyle="solid"/>
            </v:shape>
            <v:shape style="position:absolute;left:6446;top:-2011;width:121;height:88" coordorigin="6446,-2011" coordsize="121,88" path="m6556,-2011l6493,-1989,6446,-1941,6447,-1929,6457,-1924,6474,-1925,6542,-1962,6567,-1994,6566,-2005,6556,-2011xe" filled="true" fillcolor="#e9cd86" stroked="false">
              <v:path arrowok="t"/>
              <v:fill type="solid"/>
            </v:shape>
            <v:shape style="position:absolute;left:6446;top:-2011;width:121;height:88" coordorigin="6446,-2011" coordsize="121,88" path="m6566,-2005l6520,-1945,6457,-1924,6447,-1929,6446,-1941,6455,-1956,6517,-2002,6556,-2011,6566,-2005xe" filled="false" stroked="true" strokeweight=".25pt" strokecolor="#b7705b">
              <v:path arrowok="t"/>
              <v:stroke dashstyle="solid"/>
            </v:shape>
            <v:shape style="position:absolute;left:6291;top:-1461;width:175;height:81" coordorigin="6291,-1461" coordsize="175,81" path="m6434,-1461l6369,-1452,6310,-1424,6291,-1394,6302,-1384,6323,-1380,6353,-1381,6421,-1402,6466,-1446,6455,-1456,6434,-1461xe" filled="true" fillcolor="#e9cd86" stroked="false">
              <v:path arrowok="t"/>
              <v:fill type="solid"/>
            </v:shape>
            <v:shape style="position:absolute;left:6291;top:-1461;width:175;height:81" coordorigin="6291,-1461" coordsize="175,81" path="m6466,-1446l6421,-1402,6353,-1381,6323,-1380,6302,-1384,6291,-1394,6294,-1409,6369,-1452,6434,-1461,6455,-1456,6466,-1446xe" filled="false" stroked="true" strokeweight=".25pt" strokecolor="#b7705b">
              <v:path arrowok="t"/>
              <v:stroke dashstyle="solid"/>
            </v:shape>
            <v:shape style="position:absolute;left:7170;top:-5451;width:52;height:59" coordorigin="7170,-5451" coordsize="52,59" path="m7179,-5451l7173,-5449,7170,-5443,7172,-5434,7213,-5392,7219,-5394,7222,-5400,7221,-5409,7179,-5451xe" filled="true" fillcolor="#e9cd86" stroked="false">
              <v:path arrowok="t"/>
              <v:fill type="solid"/>
            </v:shape>
            <v:shape style="position:absolute;left:7170;top:-5451;width:52;height:59" coordorigin="7170,-5451" coordsize="52,59" path="m7173,-5449l7170,-5443,7172,-5434,7177,-5423,7185,-5412,7195,-5402,7205,-5395,7213,-5392,7219,-5394,7222,-5400,7221,-5409,7179,-5451,7173,-5449xe" filled="false" stroked="true" strokeweight=".25pt" strokecolor="#b7705b">
              <v:path arrowok="t"/>
              <v:stroke dashstyle="solid"/>
            </v:shape>
            <v:shape style="position:absolute;left:7716;top:-3107;width:30;height:469" type="#_x0000_t75" stroked="false">
              <v:imagedata r:id="rId314" o:title=""/>
            </v:shape>
            <v:shape style="position:absolute;left:7526;top:-4700;width:286;height:200" type="#_x0000_t75" stroked="false">
              <v:imagedata r:id="rId315" o:title=""/>
            </v:shape>
            <v:shape style="position:absolute;left:4388;top:-704;width:99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Duct of Bellini</w:t>
                    </w:r>
                  </w:p>
                </w:txbxContent>
              </v:textbox>
              <w10:wrap type="none"/>
            </v:shape>
            <v:shape style="position:absolute;left:8662;top:-1608;width:679;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Thin loop of Henle</w:t>
                    </w:r>
                  </w:p>
                </w:txbxContent>
              </v:textbox>
              <w10:wrap type="none"/>
            </v:shape>
            <v:shape style="position:absolute;left:4317;top:-1724;width:107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Collecting duct</w:t>
                    </w:r>
                  </w:p>
                </w:txbxContent>
              </v:textbox>
              <w10:wrap type="none"/>
            </v:shape>
            <v:shape style="position:absolute;left:8641;top:-3064;width:385;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Vasa recta</w:t>
                    </w:r>
                  </w:p>
                </w:txbxContent>
              </v:textbox>
              <w10:wrap type="none"/>
            </v:shape>
            <v:shape style="position:absolute;left:4990;top:-3185;width:1344;height:545" type="#_x0000_t202" filled="false" stroked="false">
              <v:textbox inset="0,0,0,0">
                <w:txbxContent>
                  <w:p>
                    <w:pPr>
                      <w:tabs>
                        <w:tab w:pos="624" w:val="left" w:leader="none"/>
                      </w:tabs>
                      <w:spacing w:line="181" w:lineRule="exact" w:before="0"/>
                      <w:ind w:left="-1" w:right="18" w:firstLine="0"/>
                      <w:jc w:val="center"/>
                      <w:rPr>
                        <w:rFonts w:ascii="Helvetica"/>
                        <w:sz w:val="16"/>
                      </w:rPr>
                    </w:pPr>
                    <w:r>
                      <w:rPr>
                        <w:rFonts w:ascii="Helvetica"/>
                        <w:color w:val="231F20"/>
                        <w:w w:val="100"/>
                        <w:sz w:val="16"/>
                        <w:u w:val="single" w:color="231F20"/>
                      </w:rPr>
                      <w:t> </w:t>
                    </w:r>
                    <w:r>
                      <w:rPr>
                        <w:rFonts w:ascii="Helvetica"/>
                        <w:color w:val="231F20"/>
                        <w:sz w:val="16"/>
                        <w:u w:val="single" w:color="231F20"/>
                      </w:rPr>
                      <w:tab/>
                    </w:r>
                    <w:r>
                      <w:rPr>
                        <w:rFonts w:ascii="Helvetica"/>
                        <w:color w:val="231F20"/>
                        <w:spacing w:val="-21"/>
                        <w:sz w:val="16"/>
                      </w:rPr>
                      <w:t> </w:t>
                    </w:r>
                    <w:r>
                      <w:rPr>
                        <w:rFonts w:ascii="Helvetica"/>
                        <w:color w:val="231F20"/>
                        <w:spacing w:val="-2"/>
                        <w:sz w:val="16"/>
                      </w:rPr>
                      <w:t>Interlobar</w:t>
                    </w:r>
                  </w:p>
                  <w:p>
                    <w:pPr>
                      <w:tabs>
                        <w:tab w:pos="408" w:val="left" w:leader="none"/>
                      </w:tabs>
                      <w:spacing w:line="180" w:lineRule="exact" w:before="0"/>
                      <w:ind w:left="0" w:right="69" w:firstLine="0"/>
                      <w:jc w:val="center"/>
                      <w:rPr>
                        <w:rFonts w:ascii="Helvetica"/>
                        <w:sz w:val="16"/>
                      </w:rPr>
                    </w:pPr>
                    <w:r>
                      <w:rPr>
                        <w:rFonts w:ascii="Helvetica"/>
                        <w:color w:val="231F20"/>
                        <w:w w:val="100"/>
                        <w:sz w:val="16"/>
                        <w:u w:val="single" w:color="231F20"/>
                      </w:rPr>
                      <w:t> </w:t>
                    </w:r>
                    <w:r>
                      <w:rPr>
                        <w:rFonts w:ascii="Helvetica"/>
                        <w:color w:val="231F20"/>
                        <w:sz w:val="16"/>
                        <w:u w:val="single" w:color="231F20"/>
                      </w:rPr>
                      <w:tab/>
                    </w:r>
                    <w:r>
                      <w:rPr>
                        <w:rFonts w:ascii="Helvetica"/>
                        <w:color w:val="231F20"/>
                        <w:spacing w:val="-21"/>
                        <w:sz w:val="16"/>
                      </w:rPr>
                      <w:t> </w:t>
                    </w:r>
                    <w:r>
                      <w:rPr>
                        <w:rFonts w:ascii="Helvetica"/>
                        <w:color w:val="231F20"/>
                        <w:sz w:val="16"/>
                      </w:rPr>
                      <w:t>artery</w:t>
                    </w:r>
                  </w:p>
                  <w:p>
                    <w:pPr>
                      <w:spacing w:line="182" w:lineRule="exact" w:before="0"/>
                      <w:ind w:left="263" w:right="18" w:firstLine="0"/>
                      <w:jc w:val="center"/>
                      <w:rPr>
                        <w:rFonts w:ascii="Helvetica"/>
                        <w:sz w:val="16"/>
                      </w:rPr>
                    </w:pPr>
                    <w:r>
                      <w:rPr>
                        <w:rFonts w:ascii="Helvetica"/>
                        <w:color w:val="231F20"/>
                        <w:sz w:val="16"/>
                      </w:rPr>
                      <w:t>vein</w:t>
                    </w:r>
                  </w:p>
                </w:txbxContent>
              </v:textbox>
              <w10:wrap type="none"/>
            </v:shape>
            <v:shape style="position:absolute;left:7696;top:-3857;width:1694;height:440" type="#_x0000_t202" filled="false" stroked="false">
              <v:textbox inset="0,0,0,0">
                <w:txbxContent>
                  <w:p>
                    <w:pPr>
                      <w:tabs>
                        <w:tab w:pos="919" w:val="left" w:leader="none"/>
                      </w:tabs>
                      <w:spacing w:line="182" w:lineRule="exact" w:before="73"/>
                      <w:ind w:left="0" w:right="0" w:firstLine="0"/>
                      <w:jc w:val="left"/>
                      <w:rPr>
                        <w:rFonts w:ascii="Helvetica"/>
                        <w:sz w:val="16"/>
                      </w:rPr>
                    </w:pPr>
                    <w:r>
                      <w:rPr>
                        <w:rFonts w:ascii="Helvetica"/>
                        <w:color w:val="231F20"/>
                        <w:w w:val="100"/>
                        <w:position w:val="7"/>
                        <w:sz w:val="16"/>
                        <w:u w:val="single" w:color="231F20"/>
                      </w:rPr>
                      <w:t> </w:t>
                    </w:r>
                    <w:r>
                      <w:rPr>
                        <w:rFonts w:ascii="Helvetica"/>
                        <w:color w:val="231F20"/>
                        <w:position w:val="7"/>
                        <w:sz w:val="16"/>
                        <w:u w:val="single" w:color="231F20"/>
                      </w:rPr>
                      <w:tab/>
                    </w:r>
                    <w:r>
                      <w:rPr>
                        <w:rFonts w:ascii="Helvetica"/>
                        <w:color w:val="231F20"/>
                        <w:spacing w:val="-20"/>
                        <w:position w:val="7"/>
                        <w:sz w:val="16"/>
                      </w:rPr>
                      <w:t> </w:t>
                    </w:r>
                    <w:r>
                      <w:rPr>
                        <w:rFonts w:ascii="Helvetica"/>
                        <w:color w:val="231F20"/>
                        <w:sz w:val="16"/>
                      </w:rPr>
                      <w:t>Thick</w:t>
                    </w:r>
                    <w:r>
                      <w:rPr>
                        <w:rFonts w:ascii="Helvetica"/>
                        <w:color w:val="231F20"/>
                        <w:spacing w:val="-1"/>
                        <w:sz w:val="16"/>
                      </w:rPr>
                      <w:t> </w:t>
                    </w:r>
                    <w:r>
                      <w:rPr>
                        <w:rFonts w:ascii="Helvetica"/>
                        <w:color w:val="231F20"/>
                        <w:sz w:val="16"/>
                      </w:rPr>
                      <w:t>loop</w:t>
                    </w:r>
                  </w:p>
                  <w:p>
                    <w:pPr>
                      <w:spacing w:line="182" w:lineRule="exact" w:before="0"/>
                      <w:ind w:left="944" w:right="0" w:firstLine="0"/>
                      <w:jc w:val="left"/>
                      <w:rPr>
                        <w:rFonts w:ascii="Helvetica"/>
                        <w:sz w:val="16"/>
                      </w:rPr>
                    </w:pPr>
                    <w:r>
                      <w:rPr>
                        <w:rFonts w:ascii="Helvetica"/>
                        <w:color w:val="231F20"/>
                        <w:sz w:val="16"/>
                      </w:rPr>
                      <w:t>of Henle</w:t>
                    </w:r>
                  </w:p>
                </w:txbxContent>
              </v:textbox>
              <w10:wrap type="none"/>
            </v:shape>
            <w10:wrap type="none"/>
          </v:group>
        </w:pict>
      </w:r>
      <w:r>
        <w:rPr/>
        <w:pict>
          <v:shape style="position:absolute;margin-left:169.246597pt;margin-top:-79.817177pt;width:11.25pt;height:39.8pt;mso-position-horizontal-relative:page;mso-position-vertical-relative:paragraph;z-index:251852800"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Inner zone</w:t>
                  </w:r>
                </w:p>
              </w:txbxContent>
            </v:textbox>
            <w10:wrap type="none"/>
          </v:shape>
        </w:pict>
      </w:r>
      <w:bookmarkStart w:name="_bookmark16" w:id="17"/>
      <w:bookmarkEnd w:id="17"/>
      <w:r>
        <w:rPr/>
      </w:r>
      <w:r>
        <w:rPr>
          <w:rFonts w:ascii="Trebuchet MS"/>
          <w:b/>
          <w:color w:val="231F20"/>
          <w:sz w:val="16"/>
        </w:rPr>
        <w:t>Figure 26-5. </w:t>
      </w:r>
      <w:r>
        <w:rPr>
          <w:rFonts w:ascii="Arial"/>
          <w:color w:val="231F20"/>
          <w:sz w:val="16"/>
        </w:rPr>
        <w:t>Schematic of relations between blood vessels and tubular structures and differences between cortical and juxtamedullary nephrons.</w:t>
      </w:r>
    </w:p>
    <w:p>
      <w:pPr>
        <w:pStyle w:val="BodyText"/>
        <w:spacing w:before="4"/>
        <w:rPr>
          <w:rFonts w:ascii="Arial"/>
          <w:sz w:val="28"/>
        </w:rPr>
      </w:pPr>
    </w:p>
    <w:p>
      <w:pPr>
        <w:spacing w:after="0"/>
        <w:rPr>
          <w:rFonts w:ascii="Arial"/>
          <w:sz w:val="28"/>
        </w:rPr>
        <w:sectPr>
          <w:headerReference w:type="even" r:id="rId259"/>
          <w:pgSz w:w="12240" w:h="15660"/>
          <w:pgMar w:header="0" w:footer="567" w:top="0" w:bottom="760" w:left="0" w:right="0"/>
        </w:sectPr>
      </w:pPr>
    </w:p>
    <w:p>
      <w:pPr>
        <w:pStyle w:val="BodyText"/>
        <w:spacing w:before="3"/>
        <w:rPr>
          <w:rFonts w:ascii="Arial"/>
          <w:sz w:val="14"/>
        </w:rPr>
      </w:pPr>
      <w:r>
        <w:rPr/>
        <w:pict>
          <v:group style="position:absolute;margin-left:0pt;margin-top:0pt;width:612pt;height:203.35pt;mso-position-horizontal-relative:page;mso-position-vertical-relative:page;z-index:251839488" coordorigin="0,0" coordsize="12240,4067">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458" w:right="0" w:firstLine="0"/>
                      <w:jc w:val="left"/>
                      <w:rPr>
                        <w:rFonts w:ascii="Trebuchet MS"/>
                        <w:sz w:val="18"/>
                      </w:rPr>
                    </w:pPr>
                    <w:r>
                      <w:rPr>
                        <w:rFonts w:ascii="Trebuchet MS"/>
                        <w:b/>
                        <w:color w:val="231F20"/>
                        <w:w w:val="105"/>
                        <w:sz w:val="18"/>
                      </w:rPr>
                      <w:t>Chapter 26 </w:t>
                    </w:r>
                    <w:r>
                      <w:rPr>
                        <w:rFonts w:ascii="Trebuchet MS"/>
                        <w:color w:val="231F20"/>
                        <w:w w:val="105"/>
                        <w:sz w:val="18"/>
                      </w:rPr>
                      <w:t>The Urinary System: Functional Anatomy and Urine Formation by the Kidneys</w:t>
                    </w:r>
                  </w:p>
                </w:txbxContent>
              </v:textbox>
              <v:fill type="solid"/>
              <w10:wrap type="none"/>
            </v:shape>
            <v:shape style="position:absolute;left:3939;top:3521;width:1614;height:545" type="#_x0000_t202" filled="false" stroked="false">
              <v:textbox inset="0,0,0,0">
                <w:txbxContent>
                  <w:p>
                    <w:pPr>
                      <w:spacing w:line="181" w:lineRule="exact" w:before="0"/>
                      <w:ind w:left="0" w:right="0" w:firstLine="0"/>
                      <w:jc w:val="left"/>
                      <w:rPr>
                        <w:rFonts w:ascii="Helvetica"/>
                        <w:sz w:val="16"/>
                      </w:rPr>
                    </w:pPr>
                    <w:r>
                      <w:rPr>
                        <w:rFonts w:ascii="Helvetica"/>
                        <w:color w:val="231F20"/>
                        <w:sz w:val="16"/>
                      </w:rPr>
                      <w:t>Arcuate</w:t>
                    </w:r>
                  </w:p>
                  <w:p>
                    <w:pPr>
                      <w:tabs>
                        <w:tab w:pos="1489" w:val="left" w:leader="none"/>
                        <w:tab w:pos="1593" w:val="left" w:leader="none"/>
                      </w:tabs>
                      <w:spacing w:line="235" w:lineRule="auto" w:before="1"/>
                      <w:ind w:left="257" w:right="18" w:hanging="116"/>
                      <w:jc w:val="left"/>
                      <w:rPr>
                        <w:rFonts w:ascii="Helvetica"/>
                        <w:sz w:val="16"/>
                      </w:rPr>
                    </w:pPr>
                    <w:r>
                      <w:rPr>
                        <w:rFonts w:ascii="Helvetica"/>
                        <w:color w:val="231F20"/>
                        <w:sz w:val="16"/>
                      </w:rPr>
                      <w:t>artery</w:t>
                    </w:r>
                    <w:r>
                      <w:rPr>
                        <w:rFonts w:ascii="Helvetica"/>
                        <w:color w:val="231F20"/>
                        <w:sz w:val="16"/>
                        <w:u w:val="single" w:color="231F20"/>
                      </w:rPr>
                      <w:tab/>
                      <w:tab/>
                    </w:r>
                    <w:r>
                      <w:rPr>
                        <w:rFonts w:ascii="Helvetica"/>
                        <w:color w:val="231F20"/>
                        <w:sz w:val="16"/>
                      </w:rPr>
                      <w:t> vein</w:t>
                    </w:r>
                    <w:r>
                      <w:rPr>
                        <w:rFonts w:ascii="Helvetica"/>
                        <w:color w:val="231F20"/>
                        <w:spacing w:val="-17"/>
                        <w:sz w:val="16"/>
                      </w:rPr>
                      <w:t> </w:t>
                    </w:r>
                    <w:r>
                      <w:rPr>
                        <w:rFonts w:ascii="Helvetica"/>
                        <w:color w:val="231F20"/>
                        <w:w w:val="100"/>
                        <w:sz w:val="16"/>
                        <w:u w:val="single" w:color="231F20"/>
                      </w:rPr>
                      <w:t> </w:t>
                    </w:r>
                    <w:r>
                      <w:rPr>
                        <w:rFonts w:ascii="Helvetica"/>
                        <w:color w:val="231F20"/>
                        <w:sz w:val="16"/>
                        <w:u w:val="single" w:color="231F20"/>
                      </w:rPr>
                      <w:tab/>
                      <w:tab/>
                    </w:r>
                  </w:p>
                </w:txbxContent>
              </v:textbox>
              <w10:wrap type="none"/>
            </v:shape>
            <v:shape style="position:absolute;left:7340;top:2372;width:1096;height:365" type="#_x0000_t202" filled="false" stroked="false">
              <v:textbox inset="0,0,0,0">
                <w:txbxContent>
                  <w:p>
                    <w:pPr>
                      <w:spacing w:line="235" w:lineRule="auto" w:before="2"/>
                      <w:ind w:left="244" w:right="0" w:hanging="245"/>
                      <w:jc w:val="left"/>
                      <w:rPr>
                        <w:rFonts w:ascii="Helvetica"/>
                        <w:sz w:val="16"/>
                      </w:rPr>
                    </w:pPr>
                    <w:r>
                      <w:rPr>
                        <w:rFonts w:ascii="Helvetica"/>
                        <w:color w:val="231F20"/>
                        <w:sz w:val="16"/>
                      </w:rPr>
                      <w:t>Juxtamedullary nephron</w:t>
                    </w:r>
                  </w:p>
                </w:txbxContent>
              </v:textbox>
              <w10:wrap type="none"/>
            </v:shape>
            <v:shape style="position:absolute;left:3936;top:1857;width:939;height:1295" type="#_x0000_t202" filled="false" stroked="false">
              <v:textbox inset="0,0,0,0">
                <w:txbxContent>
                  <w:p>
                    <w:pPr>
                      <w:spacing w:line="235" w:lineRule="auto" w:before="2"/>
                      <w:ind w:left="340" w:right="0" w:firstLine="17"/>
                      <w:jc w:val="left"/>
                      <w:rPr>
                        <w:rFonts w:ascii="Helvetica"/>
                        <w:sz w:val="16"/>
                      </w:rPr>
                    </w:pPr>
                    <w:r>
                      <w:rPr>
                        <w:rFonts w:ascii="Helvetica"/>
                        <w:color w:val="231F20"/>
                        <w:sz w:val="16"/>
                      </w:rPr>
                      <w:t>Afferent arteriole</w:t>
                    </w:r>
                  </w:p>
                  <w:p>
                    <w:pPr>
                      <w:spacing w:line="240" w:lineRule="auto" w:before="0"/>
                      <w:rPr>
                        <w:rFonts w:ascii="Helvetica"/>
                        <w:sz w:val="18"/>
                      </w:rPr>
                    </w:pPr>
                  </w:p>
                  <w:p>
                    <w:pPr>
                      <w:spacing w:line="240" w:lineRule="auto" w:before="6"/>
                      <w:rPr>
                        <w:rFonts w:ascii="Helvetica"/>
                        <w:sz w:val="15"/>
                      </w:rPr>
                    </w:pPr>
                  </w:p>
                  <w:p>
                    <w:pPr>
                      <w:spacing w:line="182" w:lineRule="exact" w:before="0"/>
                      <w:ind w:left="0" w:right="135" w:firstLine="0"/>
                      <w:jc w:val="right"/>
                      <w:rPr>
                        <w:rFonts w:ascii="Helvetica"/>
                        <w:sz w:val="16"/>
                      </w:rPr>
                    </w:pPr>
                    <w:r>
                      <w:rPr>
                        <w:rFonts w:ascii="Helvetica"/>
                        <w:color w:val="231F20"/>
                        <w:w w:val="95"/>
                        <w:sz w:val="16"/>
                      </w:rPr>
                      <w:t>Interlobular</w:t>
                    </w:r>
                  </w:p>
                  <w:p>
                    <w:pPr>
                      <w:spacing w:line="235" w:lineRule="auto" w:before="1"/>
                      <w:ind w:left="506" w:right="135" w:hanging="116"/>
                      <w:jc w:val="right"/>
                      <w:rPr>
                        <w:rFonts w:ascii="Helvetica"/>
                        <w:sz w:val="16"/>
                      </w:rPr>
                    </w:pPr>
                    <w:r>
                      <w:rPr>
                        <w:rFonts w:ascii="Helvetica"/>
                        <w:color w:val="231F20"/>
                        <w:w w:val="95"/>
                        <w:sz w:val="16"/>
                      </w:rPr>
                      <w:t>artery vein</w:t>
                    </w:r>
                  </w:p>
                </w:txbxContent>
              </v:textbox>
              <w10:wrap type="none"/>
            </v:shape>
            <v:shape style="position:absolute;left:5842;top:1185;width:608;height:365" type="#_x0000_t202" filled="false" stroked="false">
              <v:textbox inset="0,0,0,0">
                <w:txbxContent>
                  <w:p>
                    <w:pPr>
                      <w:spacing w:line="235" w:lineRule="auto" w:before="2"/>
                      <w:ind w:left="0" w:right="0" w:firstLine="22"/>
                      <w:jc w:val="left"/>
                      <w:rPr>
                        <w:rFonts w:ascii="Helvetica"/>
                        <w:sz w:val="16"/>
                      </w:rPr>
                    </w:pPr>
                    <w:r>
                      <w:rPr>
                        <w:rFonts w:ascii="Helvetica"/>
                        <w:color w:val="231F20"/>
                        <w:sz w:val="16"/>
                      </w:rPr>
                      <w:t>Cortical nephron</w:t>
                    </w:r>
                  </w:p>
                </w:txbxContent>
              </v:textbox>
              <w10:wrap type="none"/>
            </v:shape>
            <v:shape style="position:absolute;left:4277;top:1225;width:598;height:365" type="#_x0000_t202" filled="false" stroked="false">
              <v:textbox inset="0,0,0,0">
                <w:txbxContent>
                  <w:p>
                    <w:pPr>
                      <w:spacing w:line="235" w:lineRule="auto" w:before="2"/>
                      <w:ind w:left="0" w:right="-1" w:firstLine="17"/>
                      <w:jc w:val="left"/>
                      <w:rPr>
                        <w:rFonts w:ascii="Helvetica"/>
                        <w:sz w:val="16"/>
                      </w:rPr>
                    </w:pPr>
                    <w:r>
                      <w:rPr>
                        <w:rFonts w:ascii="Helvetica"/>
                        <w:color w:val="231F20"/>
                        <w:sz w:val="16"/>
                      </w:rPr>
                      <w:t>Efferent arteriole</w:t>
                    </w:r>
                  </w:p>
                </w:txbxContent>
              </v:textbox>
              <w10:wrap type="none"/>
            </v:shape>
            <w10:wrap type="none"/>
          </v:group>
        </w:pict>
      </w:r>
      <w:r>
        <w:rPr/>
        <w:pict>
          <v:rect style="position:absolute;margin-left:576pt;margin-top:192pt;width:36pt;height:24pt;mso-position-horizontal-relative:page;mso-position-vertical-relative:page;z-index:251840512" filled="true" fillcolor="#e8dac8" stroked="false">
            <v:fill type="solid"/>
            <w10:wrap type="none"/>
          </v:rect>
        </w:pict>
      </w:r>
      <w:r>
        <w:rPr/>
        <w:pict>
          <v:shape style="position:absolute;margin-left:578.900024pt;margin-top:115.657303pt;width:15.9pt;height:53.35pt;mso-position-horizontal-relative:page;mso-position-vertical-relative:page;z-index:25184972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151.030594pt;margin-top:239.535294pt;width:11.55pt;height:41.15pt;mso-position-horizontal-relative:page;mso-position-vertical-relative:page;z-index:251850752"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MEDULLA</w:t>
                  </w:r>
                </w:p>
              </w:txbxContent>
            </v:textbox>
            <w10:wrap type="none"/>
          </v:shape>
        </w:pict>
      </w:r>
      <w:r>
        <w:rPr/>
        <w:pict>
          <v:shape style="position:absolute;margin-left:151.030594pt;margin-top:90.911301pt;width:11.55pt;height:35.35pt;mso-position-horizontal-relative:page;mso-position-vertical-relative:page;z-index:251851776"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CORTEX</w:t>
                  </w:r>
                </w:p>
              </w:txbxContent>
            </v:textbox>
            <w10:wrap type="none"/>
          </v:shape>
        </w:pict>
      </w:r>
      <w:r>
        <w:rPr/>
        <w:pict>
          <v:shape style="position:absolute;margin-left:169.246597pt;margin-top:191.831299pt;width:11.25pt;height:41.6pt;mso-position-horizontal-relative:page;mso-position-vertical-relative:page;z-index:251853824"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Outer zone</w:t>
                  </w:r>
                </w:p>
              </w:txbxContent>
            </v:textbox>
            <w10:wrap type="none"/>
          </v:shape>
        </w:pict>
      </w:r>
    </w:p>
    <w:p>
      <w:pPr>
        <w:pStyle w:val="BodyText"/>
        <w:ind w:left="1440" w:right="-58"/>
        <w:rPr>
          <w:rFonts w:ascii="Arial"/>
        </w:rPr>
      </w:pPr>
      <w:r>
        <w:rPr>
          <w:rFonts w:ascii="Arial"/>
        </w:rPr>
        <w:pict>
          <v:shape style="width:234pt;height:16pt;mso-position-horizontal-relative:char;mso-position-vertical-relative:line" type="#_x0000_t202" filled="true" fillcolor="#e8dac8" stroked="false">
            <w10:anchorlock/>
            <v:textbox inset="0,0,0,0">
              <w:txbxContent>
                <w:p>
                  <w:pPr>
                    <w:spacing w:before="33"/>
                    <w:ind w:left="60" w:right="0" w:firstLine="0"/>
                    <w:jc w:val="left"/>
                    <w:rPr>
                      <w:rFonts w:ascii="Trebuchet MS"/>
                      <w:b/>
                      <w:sz w:val="22"/>
                    </w:rPr>
                  </w:pPr>
                  <w:r>
                    <w:rPr>
                      <w:rFonts w:ascii="Trebuchet MS"/>
                      <w:b/>
                      <w:color w:val="231F20"/>
                      <w:w w:val="110"/>
                      <w:sz w:val="22"/>
                    </w:rPr>
                    <w:t>MICTURITION</w:t>
                  </w:r>
                </w:p>
              </w:txbxContent>
            </v:textbox>
            <v:fill type="solid"/>
          </v:shape>
        </w:pict>
      </w:r>
      <w:r>
        <w:rPr>
          <w:rFonts w:ascii="Arial"/>
        </w:rPr>
      </w:r>
    </w:p>
    <w:p>
      <w:pPr>
        <w:pStyle w:val="BodyText"/>
        <w:spacing w:line="249" w:lineRule="auto" w:before="69"/>
        <w:ind w:left="1440"/>
        <w:jc w:val="both"/>
      </w:pPr>
      <w:r>
        <w:rPr/>
        <w:pict>
          <v:line style="position:absolute;mso-position-horizontal-relative:page;mso-position-vertical-relative:paragraph;z-index:251841536" from="72pt,-1.022168pt" to="306pt,-1.022168pt" stroked="true" strokeweight=".5pt" strokecolor="#231f20">
            <v:stroke dashstyle="solid"/>
            <w10:wrap type="none"/>
          </v:line>
        </w:pict>
      </w:r>
      <w:r>
        <w:rPr>
          <w:color w:val="231F20"/>
        </w:rPr>
        <w:t>Micturition is the process by which the urinary bladder empties when it becomes filled. This process  </w:t>
      </w:r>
      <w:r>
        <w:rPr>
          <w:color w:val="231F20"/>
          <w:spacing w:val="-3"/>
        </w:rPr>
        <w:t>involves </w:t>
      </w:r>
      <w:r>
        <w:rPr>
          <w:color w:val="231F20"/>
        </w:rPr>
        <w:t>two main steps: First, the bladder fills progressively until the tension in its walls rises above a threshold level. </w:t>
      </w:r>
      <w:r>
        <w:rPr>
          <w:color w:val="231F20"/>
          <w:spacing w:val="-4"/>
        </w:rPr>
        <w:t>This </w:t>
      </w:r>
      <w:r>
        <w:rPr>
          <w:color w:val="231F20"/>
        </w:rPr>
        <w:t>tension elicits the second step, which is a nervous reflex called the </w:t>
      </w:r>
      <w:r>
        <w:rPr>
          <w:i/>
          <w:color w:val="231F20"/>
        </w:rPr>
        <w:t>micturition reflex </w:t>
      </w:r>
      <w:r>
        <w:rPr>
          <w:color w:val="231F20"/>
        </w:rPr>
        <w:t>that empties the bladder </w:t>
      </w:r>
      <w:r>
        <w:rPr>
          <w:color w:val="231F20"/>
          <w:spacing w:val="-10"/>
        </w:rPr>
        <w:t>or,    </w:t>
      </w:r>
      <w:r>
        <w:rPr>
          <w:color w:val="231F20"/>
        </w:rPr>
        <w:t>if this fails, at least causes a conscious desire to urinate. Although the micturition reflex is an autonomic spinal cord</w:t>
      </w:r>
      <w:r>
        <w:rPr>
          <w:color w:val="231F20"/>
          <w:spacing w:val="-6"/>
        </w:rPr>
        <w:t> </w:t>
      </w:r>
      <w:r>
        <w:rPr>
          <w:color w:val="231F20"/>
        </w:rPr>
        <w:t>reflex,</w:t>
      </w:r>
      <w:r>
        <w:rPr>
          <w:color w:val="231F20"/>
          <w:spacing w:val="-5"/>
        </w:rPr>
        <w:t> </w:t>
      </w:r>
      <w:r>
        <w:rPr>
          <w:color w:val="231F20"/>
        </w:rPr>
        <w:t>it</w:t>
      </w:r>
      <w:r>
        <w:rPr>
          <w:color w:val="231F20"/>
          <w:spacing w:val="-6"/>
        </w:rPr>
        <w:t> </w:t>
      </w:r>
      <w:r>
        <w:rPr>
          <w:color w:val="231F20"/>
        </w:rPr>
        <w:t>can</w:t>
      </w:r>
      <w:r>
        <w:rPr>
          <w:color w:val="231F20"/>
          <w:spacing w:val="-5"/>
        </w:rPr>
        <w:t> </w:t>
      </w:r>
      <w:r>
        <w:rPr>
          <w:color w:val="231F20"/>
        </w:rPr>
        <w:t>also</w:t>
      </w:r>
      <w:r>
        <w:rPr>
          <w:color w:val="231F20"/>
          <w:spacing w:val="-5"/>
        </w:rPr>
        <w:t> </w:t>
      </w:r>
      <w:r>
        <w:rPr>
          <w:color w:val="231F20"/>
        </w:rPr>
        <w:t>be</w:t>
      </w:r>
      <w:r>
        <w:rPr>
          <w:color w:val="231F20"/>
          <w:spacing w:val="-6"/>
        </w:rPr>
        <w:t> </w:t>
      </w:r>
      <w:r>
        <w:rPr>
          <w:color w:val="231F20"/>
        </w:rPr>
        <w:t>inhibited</w:t>
      </w:r>
      <w:r>
        <w:rPr>
          <w:color w:val="231F20"/>
          <w:spacing w:val="-5"/>
        </w:rPr>
        <w:t> </w:t>
      </w:r>
      <w:r>
        <w:rPr>
          <w:color w:val="231F20"/>
        </w:rPr>
        <w:t>or</w:t>
      </w:r>
      <w:r>
        <w:rPr>
          <w:color w:val="231F20"/>
          <w:spacing w:val="-5"/>
        </w:rPr>
        <w:t> </w:t>
      </w:r>
      <w:r>
        <w:rPr>
          <w:color w:val="231F20"/>
        </w:rPr>
        <w:t>facilitated</w:t>
      </w:r>
      <w:r>
        <w:rPr>
          <w:color w:val="231F20"/>
          <w:spacing w:val="-6"/>
        </w:rPr>
        <w:t> </w:t>
      </w:r>
      <w:r>
        <w:rPr>
          <w:color w:val="231F20"/>
        </w:rPr>
        <w:t>by</w:t>
      </w:r>
      <w:r>
        <w:rPr>
          <w:color w:val="231F20"/>
          <w:spacing w:val="-5"/>
        </w:rPr>
        <w:t> </w:t>
      </w:r>
      <w:r>
        <w:rPr>
          <w:color w:val="231F20"/>
        </w:rPr>
        <w:t>centers in the cerebral cortex or brain stem.</w:t>
      </w:r>
    </w:p>
    <w:p>
      <w:pPr>
        <w:pStyle w:val="BodyText"/>
        <w:spacing w:before="4"/>
        <w:rPr>
          <w:sz w:val="31"/>
        </w:rPr>
      </w:pPr>
    </w:p>
    <w:p>
      <w:pPr>
        <w:pStyle w:val="Heading2"/>
        <w:spacing w:line="225" w:lineRule="auto"/>
        <w:ind w:left="1440" w:right="1672"/>
      </w:pPr>
      <w:r>
        <w:rPr>
          <w:color w:val="231F20"/>
          <w:w w:val="105"/>
        </w:rPr>
        <w:t>PHYSIOLOGICAL ANATOMY OF THE BLADDER</w:t>
      </w:r>
    </w:p>
    <w:p>
      <w:pPr>
        <w:pStyle w:val="BodyText"/>
        <w:spacing w:line="249" w:lineRule="auto" w:before="128"/>
        <w:ind w:left="1440"/>
        <w:jc w:val="right"/>
      </w:pPr>
      <w:r>
        <w:rPr>
          <w:color w:val="231F20"/>
          <w:w w:val="105"/>
        </w:rPr>
        <w:t>The urinary bladder, shown in </w:t>
      </w:r>
      <w:hyperlink w:history="true" w:anchor="_bookmark17">
        <w:r>
          <w:rPr>
            <w:b/>
            <w:color w:val="0080AC"/>
            <w:w w:val="105"/>
          </w:rPr>
          <w:t>Figure 26-6</w:t>
        </w:r>
      </w:hyperlink>
      <w:r>
        <w:rPr>
          <w:color w:val="231F20"/>
          <w:w w:val="105"/>
        </w:rPr>
        <w:t>, is</w:t>
      </w:r>
      <w:r>
        <w:rPr>
          <w:color w:val="231F20"/>
          <w:spacing w:val="-5"/>
          <w:w w:val="105"/>
        </w:rPr>
        <w:t> </w:t>
      </w:r>
      <w:r>
        <w:rPr>
          <w:color w:val="231F20"/>
          <w:w w:val="105"/>
        </w:rPr>
        <w:t>a </w:t>
      </w:r>
      <w:r>
        <w:rPr>
          <w:color w:val="231F20"/>
          <w:spacing w:val="-3"/>
          <w:w w:val="105"/>
        </w:rPr>
        <w:t>smooth</w:t>
      </w:r>
      <w:r>
        <w:rPr>
          <w:color w:val="231F20"/>
          <w:w w:val="108"/>
        </w:rPr>
        <w:t> </w:t>
      </w:r>
      <w:r>
        <w:rPr>
          <w:color w:val="231F20"/>
          <w:w w:val="105"/>
        </w:rPr>
        <w:t>muscle</w:t>
      </w:r>
      <w:r>
        <w:rPr>
          <w:color w:val="231F20"/>
          <w:spacing w:val="25"/>
          <w:w w:val="105"/>
        </w:rPr>
        <w:t> </w:t>
      </w:r>
      <w:r>
        <w:rPr>
          <w:color w:val="231F20"/>
          <w:w w:val="105"/>
        </w:rPr>
        <w:t>chamber</w:t>
      </w:r>
      <w:r>
        <w:rPr>
          <w:color w:val="231F20"/>
          <w:spacing w:val="25"/>
          <w:w w:val="105"/>
        </w:rPr>
        <w:t> </w:t>
      </w:r>
      <w:r>
        <w:rPr>
          <w:color w:val="231F20"/>
          <w:w w:val="105"/>
        </w:rPr>
        <w:t>composed</w:t>
      </w:r>
      <w:r>
        <w:rPr>
          <w:color w:val="231F20"/>
          <w:spacing w:val="26"/>
          <w:w w:val="105"/>
        </w:rPr>
        <w:t> </w:t>
      </w:r>
      <w:r>
        <w:rPr>
          <w:color w:val="231F20"/>
          <w:w w:val="105"/>
        </w:rPr>
        <w:t>of</w:t>
      </w:r>
      <w:r>
        <w:rPr>
          <w:color w:val="231F20"/>
          <w:spacing w:val="26"/>
          <w:w w:val="105"/>
        </w:rPr>
        <w:t> </w:t>
      </w:r>
      <w:r>
        <w:rPr>
          <w:color w:val="231F20"/>
          <w:w w:val="105"/>
        </w:rPr>
        <w:t>two</w:t>
      </w:r>
      <w:r>
        <w:rPr>
          <w:color w:val="231F20"/>
          <w:spacing w:val="25"/>
          <w:w w:val="105"/>
        </w:rPr>
        <w:t> </w:t>
      </w:r>
      <w:r>
        <w:rPr>
          <w:color w:val="231F20"/>
          <w:w w:val="105"/>
        </w:rPr>
        <w:t>main</w:t>
      </w:r>
      <w:r>
        <w:rPr>
          <w:color w:val="231F20"/>
          <w:spacing w:val="25"/>
          <w:w w:val="105"/>
        </w:rPr>
        <w:t> </w:t>
      </w:r>
      <w:r>
        <w:rPr>
          <w:color w:val="231F20"/>
          <w:w w:val="105"/>
        </w:rPr>
        <w:t>parts:</w:t>
      </w:r>
      <w:r>
        <w:rPr>
          <w:color w:val="231F20"/>
          <w:spacing w:val="25"/>
          <w:w w:val="105"/>
        </w:rPr>
        <w:t> </w:t>
      </w:r>
      <w:r>
        <w:rPr>
          <w:color w:val="231F20"/>
          <w:w w:val="105"/>
        </w:rPr>
        <w:t>(1)</w:t>
      </w:r>
      <w:r>
        <w:rPr>
          <w:color w:val="231F20"/>
          <w:spacing w:val="25"/>
          <w:w w:val="105"/>
        </w:rPr>
        <w:t> </w:t>
      </w:r>
      <w:r>
        <w:rPr>
          <w:color w:val="231F20"/>
          <w:w w:val="105"/>
        </w:rPr>
        <w:t>the</w:t>
      </w:r>
      <w:r>
        <w:rPr>
          <w:color w:val="231F20"/>
          <w:w w:val="104"/>
        </w:rPr>
        <w:t> </w:t>
      </w:r>
      <w:r>
        <w:rPr>
          <w:i/>
          <w:color w:val="231F20"/>
          <w:w w:val="105"/>
        </w:rPr>
        <w:t>body,</w:t>
      </w:r>
      <w:r>
        <w:rPr>
          <w:i/>
          <w:color w:val="231F20"/>
          <w:spacing w:val="21"/>
          <w:w w:val="105"/>
        </w:rPr>
        <w:t> </w:t>
      </w:r>
      <w:r>
        <w:rPr>
          <w:color w:val="231F20"/>
          <w:w w:val="105"/>
        </w:rPr>
        <w:t>which</w:t>
      </w:r>
      <w:r>
        <w:rPr>
          <w:color w:val="231F20"/>
          <w:spacing w:val="22"/>
          <w:w w:val="105"/>
        </w:rPr>
        <w:t> </w:t>
      </w:r>
      <w:r>
        <w:rPr>
          <w:color w:val="231F20"/>
          <w:w w:val="105"/>
        </w:rPr>
        <w:t>is</w:t>
      </w:r>
      <w:r>
        <w:rPr>
          <w:color w:val="231F20"/>
          <w:spacing w:val="22"/>
          <w:w w:val="105"/>
        </w:rPr>
        <w:t> </w:t>
      </w:r>
      <w:r>
        <w:rPr>
          <w:color w:val="231F20"/>
          <w:w w:val="105"/>
        </w:rPr>
        <w:t>the</w:t>
      </w:r>
      <w:r>
        <w:rPr>
          <w:color w:val="231F20"/>
          <w:spacing w:val="22"/>
          <w:w w:val="105"/>
        </w:rPr>
        <w:t> </w:t>
      </w:r>
      <w:r>
        <w:rPr>
          <w:color w:val="231F20"/>
          <w:w w:val="105"/>
        </w:rPr>
        <w:t>major</w:t>
      </w:r>
      <w:r>
        <w:rPr>
          <w:color w:val="231F20"/>
          <w:spacing w:val="22"/>
          <w:w w:val="105"/>
        </w:rPr>
        <w:t> </w:t>
      </w:r>
      <w:r>
        <w:rPr>
          <w:color w:val="231F20"/>
          <w:w w:val="105"/>
        </w:rPr>
        <w:t>part</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1"/>
          <w:w w:val="105"/>
        </w:rPr>
        <w:t> </w:t>
      </w:r>
      <w:r>
        <w:rPr>
          <w:color w:val="231F20"/>
          <w:w w:val="105"/>
        </w:rPr>
        <w:t>bladder</w:t>
      </w:r>
      <w:r>
        <w:rPr>
          <w:color w:val="231F20"/>
          <w:spacing w:val="22"/>
          <w:w w:val="105"/>
        </w:rPr>
        <w:t> </w:t>
      </w:r>
      <w:r>
        <w:rPr>
          <w:color w:val="231F20"/>
          <w:w w:val="105"/>
        </w:rPr>
        <w:t>in</w:t>
      </w:r>
      <w:r>
        <w:rPr>
          <w:color w:val="231F20"/>
          <w:spacing w:val="22"/>
          <w:w w:val="105"/>
        </w:rPr>
        <w:t> </w:t>
      </w:r>
      <w:r>
        <w:rPr>
          <w:color w:val="231F20"/>
          <w:w w:val="105"/>
        </w:rPr>
        <w:t>which</w:t>
      </w:r>
      <w:r>
        <w:rPr>
          <w:color w:val="231F20"/>
          <w:w w:val="108"/>
        </w:rPr>
        <w:t> </w:t>
      </w:r>
      <w:r>
        <w:rPr>
          <w:color w:val="231F20"/>
          <w:w w:val="105"/>
        </w:rPr>
        <w:t>urine</w:t>
      </w:r>
      <w:r>
        <w:rPr>
          <w:color w:val="231F20"/>
          <w:spacing w:val="-13"/>
          <w:w w:val="105"/>
        </w:rPr>
        <w:t> </w:t>
      </w:r>
      <w:r>
        <w:rPr>
          <w:color w:val="231F20"/>
          <w:w w:val="105"/>
        </w:rPr>
        <w:t>collects,</w:t>
      </w:r>
      <w:r>
        <w:rPr>
          <w:color w:val="231F20"/>
          <w:spacing w:val="-12"/>
          <w:w w:val="105"/>
        </w:rPr>
        <w:t> </w:t>
      </w:r>
      <w:r>
        <w:rPr>
          <w:color w:val="231F20"/>
          <w:w w:val="105"/>
        </w:rPr>
        <w:t>and</w:t>
      </w:r>
      <w:r>
        <w:rPr>
          <w:color w:val="231F20"/>
          <w:spacing w:val="-12"/>
          <w:w w:val="105"/>
        </w:rPr>
        <w:t> </w:t>
      </w:r>
      <w:r>
        <w:rPr>
          <w:color w:val="231F20"/>
          <w:w w:val="105"/>
        </w:rPr>
        <w:t>(2)</w:t>
      </w:r>
      <w:r>
        <w:rPr>
          <w:color w:val="231F20"/>
          <w:spacing w:val="-12"/>
          <w:w w:val="105"/>
        </w:rPr>
        <w:t> </w:t>
      </w:r>
      <w:r>
        <w:rPr>
          <w:color w:val="231F20"/>
          <w:w w:val="105"/>
        </w:rPr>
        <w:t>the</w:t>
      </w:r>
      <w:r>
        <w:rPr>
          <w:color w:val="231F20"/>
          <w:spacing w:val="-12"/>
          <w:w w:val="105"/>
        </w:rPr>
        <w:t> </w:t>
      </w:r>
      <w:r>
        <w:rPr>
          <w:i/>
          <w:color w:val="231F20"/>
          <w:w w:val="105"/>
        </w:rPr>
        <w:t>neck,</w:t>
      </w:r>
      <w:r>
        <w:rPr>
          <w:i/>
          <w:color w:val="231F20"/>
          <w:spacing w:val="-12"/>
          <w:w w:val="105"/>
        </w:rPr>
        <w:t> </w:t>
      </w:r>
      <w:r>
        <w:rPr>
          <w:color w:val="231F20"/>
          <w:w w:val="105"/>
        </w:rPr>
        <w:t>which</w:t>
      </w:r>
      <w:r>
        <w:rPr>
          <w:color w:val="231F20"/>
          <w:spacing w:val="-12"/>
          <w:w w:val="105"/>
        </w:rPr>
        <w:t> </w:t>
      </w:r>
      <w:r>
        <w:rPr>
          <w:color w:val="231F20"/>
          <w:w w:val="105"/>
        </w:rPr>
        <w:t>is</w:t>
      </w:r>
      <w:r>
        <w:rPr>
          <w:color w:val="231F20"/>
          <w:spacing w:val="-12"/>
          <w:w w:val="105"/>
        </w:rPr>
        <w:t> </w:t>
      </w:r>
      <w:r>
        <w:rPr>
          <w:color w:val="231F20"/>
          <w:w w:val="105"/>
        </w:rPr>
        <w:t>a</w:t>
      </w:r>
      <w:r>
        <w:rPr>
          <w:color w:val="231F20"/>
          <w:spacing w:val="-12"/>
          <w:w w:val="105"/>
        </w:rPr>
        <w:t> </w:t>
      </w:r>
      <w:r>
        <w:rPr>
          <w:color w:val="231F20"/>
          <w:w w:val="105"/>
        </w:rPr>
        <w:t>funnel-shaped</w:t>
      </w:r>
      <w:r>
        <w:rPr>
          <w:color w:val="231F20"/>
          <w:w w:val="105"/>
        </w:rPr>
        <w:t> </w:t>
      </w:r>
      <w:r>
        <w:rPr>
          <w:color w:val="231F20"/>
          <w:w w:val="105"/>
        </w:rPr>
        <w:t>extension of the body, passing inferiorly</w:t>
      </w:r>
      <w:r>
        <w:rPr>
          <w:color w:val="231F20"/>
          <w:spacing w:val="8"/>
          <w:w w:val="105"/>
        </w:rPr>
        <w:t> </w:t>
      </w:r>
      <w:r>
        <w:rPr>
          <w:color w:val="231F20"/>
          <w:w w:val="105"/>
        </w:rPr>
        <w:t>and</w:t>
      </w:r>
      <w:r>
        <w:rPr>
          <w:color w:val="231F20"/>
          <w:spacing w:val="11"/>
          <w:w w:val="105"/>
        </w:rPr>
        <w:t> </w:t>
      </w:r>
      <w:r>
        <w:rPr>
          <w:color w:val="231F20"/>
          <w:spacing w:val="-3"/>
          <w:w w:val="105"/>
        </w:rPr>
        <w:t>anteriorly</w:t>
      </w:r>
      <w:r>
        <w:rPr>
          <w:color w:val="231F20"/>
          <w:w w:val="90"/>
        </w:rPr>
        <w:t> </w:t>
      </w:r>
      <w:r>
        <w:rPr>
          <w:color w:val="231F20"/>
          <w:w w:val="105"/>
        </w:rPr>
        <w:t>into the urogenital triangle and connecting</w:t>
      </w:r>
      <w:r>
        <w:rPr>
          <w:color w:val="231F20"/>
          <w:spacing w:val="11"/>
          <w:w w:val="105"/>
        </w:rPr>
        <w:t> </w:t>
      </w:r>
      <w:r>
        <w:rPr>
          <w:color w:val="231F20"/>
          <w:w w:val="105"/>
        </w:rPr>
        <w:t>with</w:t>
      </w:r>
      <w:r>
        <w:rPr>
          <w:color w:val="231F20"/>
          <w:spacing w:val="2"/>
          <w:w w:val="105"/>
        </w:rPr>
        <w:t> </w:t>
      </w:r>
      <w:r>
        <w:rPr>
          <w:color w:val="231F20"/>
          <w:spacing w:val="-6"/>
          <w:w w:val="105"/>
        </w:rPr>
        <w:t>the</w:t>
      </w:r>
      <w:r>
        <w:rPr>
          <w:color w:val="231F20"/>
          <w:w w:val="104"/>
        </w:rPr>
        <w:t> </w:t>
      </w:r>
      <w:r>
        <w:rPr>
          <w:color w:val="231F20"/>
          <w:w w:val="105"/>
        </w:rPr>
        <w:t>urethra.</w:t>
      </w:r>
      <w:r>
        <w:rPr>
          <w:color w:val="231F20"/>
          <w:spacing w:val="-7"/>
          <w:w w:val="105"/>
        </w:rPr>
        <w:t> </w:t>
      </w:r>
      <w:r>
        <w:rPr>
          <w:color w:val="231F20"/>
          <w:w w:val="105"/>
        </w:rPr>
        <w:t>The</w:t>
      </w:r>
      <w:r>
        <w:rPr>
          <w:color w:val="231F20"/>
          <w:spacing w:val="-6"/>
          <w:w w:val="105"/>
        </w:rPr>
        <w:t> </w:t>
      </w:r>
      <w:r>
        <w:rPr>
          <w:color w:val="231F20"/>
          <w:w w:val="105"/>
        </w:rPr>
        <w:t>lower</w:t>
      </w:r>
      <w:r>
        <w:rPr>
          <w:color w:val="231F20"/>
          <w:spacing w:val="-6"/>
          <w:w w:val="105"/>
        </w:rPr>
        <w:t> </w:t>
      </w:r>
      <w:r>
        <w:rPr>
          <w:color w:val="231F20"/>
          <w:w w:val="105"/>
        </w:rPr>
        <w:t>part</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7"/>
          <w:w w:val="105"/>
        </w:rPr>
        <w:t> </w:t>
      </w:r>
      <w:r>
        <w:rPr>
          <w:color w:val="231F20"/>
          <w:w w:val="105"/>
        </w:rPr>
        <w:t>bladder</w:t>
      </w:r>
      <w:r>
        <w:rPr>
          <w:color w:val="231F20"/>
          <w:spacing w:val="-6"/>
          <w:w w:val="105"/>
        </w:rPr>
        <w:t> </w:t>
      </w:r>
      <w:r>
        <w:rPr>
          <w:color w:val="231F20"/>
          <w:w w:val="105"/>
        </w:rPr>
        <w:t>neck</w:t>
      </w:r>
      <w:r>
        <w:rPr>
          <w:color w:val="231F20"/>
          <w:spacing w:val="-6"/>
          <w:w w:val="105"/>
        </w:rPr>
        <w:t> </w:t>
      </w:r>
      <w:r>
        <w:rPr>
          <w:color w:val="231F20"/>
          <w:w w:val="105"/>
        </w:rPr>
        <w:t>is</w:t>
      </w:r>
      <w:r>
        <w:rPr>
          <w:color w:val="231F20"/>
          <w:spacing w:val="-6"/>
          <w:w w:val="105"/>
        </w:rPr>
        <w:t> </w:t>
      </w:r>
      <w:r>
        <w:rPr>
          <w:color w:val="231F20"/>
          <w:w w:val="105"/>
        </w:rPr>
        <w:t>also</w:t>
      </w:r>
      <w:r>
        <w:rPr>
          <w:color w:val="231F20"/>
          <w:spacing w:val="-6"/>
          <w:w w:val="105"/>
        </w:rPr>
        <w:t> </w:t>
      </w:r>
      <w:r>
        <w:rPr>
          <w:color w:val="231F20"/>
          <w:spacing w:val="-3"/>
          <w:w w:val="105"/>
        </w:rPr>
        <w:t>called</w:t>
      </w:r>
      <w:r>
        <w:rPr>
          <w:color w:val="231F20"/>
          <w:w w:val="105"/>
        </w:rPr>
        <w:t> </w:t>
      </w:r>
      <w:r>
        <w:rPr>
          <w:color w:val="231F20"/>
          <w:w w:val="105"/>
        </w:rPr>
        <w:t>the</w:t>
      </w:r>
      <w:r>
        <w:rPr>
          <w:color w:val="231F20"/>
          <w:spacing w:val="-24"/>
          <w:w w:val="105"/>
        </w:rPr>
        <w:t> </w:t>
      </w:r>
      <w:r>
        <w:rPr>
          <w:i/>
          <w:color w:val="231F20"/>
          <w:w w:val="105"/>
        </w:rPr>
        <w:t>posterior</w:t>
      </w:r>
      <w:r>
        <w:rPr>
          <w:i/>
          <w:color w:val="231F20"/>
          <w:spacing w:val="-23"/>
          <w:w w:val="105"/>
        </w:rPr>
        <w:t> </w:t>
      </w:r>
      <w:r>
        <w:rPr>
          <w:i/>
          <w:color w:val="231F20"/>
          <w:w w:val="105"/>
        </w:rPr>
        <w:t>urethra</w:t>
      </w:r>
      <w:r>
        <w:rPr>
          <w:i/>
          <w:color w:val="231F20"/>
          <w:spacing w:val="-23"/>
          <w:w w:val="105"/>
        </w:rPr>
        <w:t> </w:t>
      </w:r>
      <w:r>
        <w:rPr>
          <w:color w:val="231F20"/>
          <w:w w:val="105"/>
        </w:rPr>
        <w:t>because</w:t>
      </w:r>
      <w:r>
        <w:rPr>
          <w:color w:val="231F20"/>
          <w:spacing w:val="-23"/>
          <w:w w:val="105"/>
        </w:rPr>
        <w:t> </w:t>
      </w:r>
      <w:r>
        <w:rPr>
          <w:color w:val="231F20"/>
          <w:w w:val="105"/>
        </w:rPr>
        <w:t>of</w:t>
      </w:r>
      <w:r>
        <w:rPr>
          <w:color w:val="231F20"/>
          <w:spacing w:val="-23"/>
          <w:w w:val="105"/>
        </w:rPr>
        <w:t> </w:t>
      </w:r>
      <w:r>
        <w:rPr>
          <w:color w:val="231F20"/>
          <w:w w:val="105"/>
        </w:rPr>
        <w:t>its</w:t>
      </w:r>
      <w:r>
        <w:rPr>
          <w:color w:val="231F20"/>
          <w:spacing w:val="-23"/>
          <w:w w:val="105"/>
        </w:rPr>
        <w:t> </w:t>
      </w:r>
      <w:r>
        <w:rPr>
          <w:color w:val="231F20"/>
          <w:w w:val="105"/>
        </w:rPr>
        <w:t>relation</w:t>
      </w:r>
      <w:r>
        <w:rPr>
          <w:color w:val="231F20"/>
          <w:spacing w:val="-23"/>
          <w:w w:val="105"/>
        </w:rPr>
        <w:t> </w:t>
      </w:r>
      <w:r>
        <w:rPr>
          <w:color w:val="231F20"/>
          <w:w w:val="105"/>
        </w:rPr>
        <w:t>to</w:t>
      </w:r>
      <w:r>
        <w:rPr>
          <w:color w:val="231F20"/>
          <w:spacing w:val="-23"/>
          <w:w w:val="105"/>
        </w:rPr>
        <w:t> </w:t>
      </w:r>
      <w:r>
        <w:rPr>
          <w:color w:val="231F20"/>
          <w:w w:val="105"/>
        </w:rPr>
        <w:t>the</w:t>
      </w:r>
      <w:r>
        <w:rPr>
          <w:color w:val="231F20"/>
          <w:spacing w:val="-23"/>
          <w:w w:val="105"/>
        </w:rPr>
        <w:t> </w:t>
      </w:r>
      <w:r>
        <w:rPr>
          <w:color w:val="231F20"/>
          <w:w w:val="105"/>
        </w:rPr>
        <w:t>urethra.</w:t>
      </w:r>
      <w:r>
        <w:rPr>
          <w:color w:val="231F20"/>
          <w:w w:val="88"/>
        </w:rPr>
        <w:t> </w:t>
      </w:r>
      <w:r>
        <w:rPr>
          <w:color w:val="231F20"/>
          <w:w w:val="105"/>
        </w:rPr>
        <w:t>The</w:t>
      </w:r>
      <w:r>
        <w:rPr>
          <w:color w:val="231F20"/>
          <w:spacing w:val="-7"/>
          <w:w w:val="105"/>
        </w:rPr>
        <w:t> </w:t>
      </w:r>
      <w:r>
        <w:rPr>
          <w:color w:val="231F20"/>
          <w:w w:val="105"/>
        </w:rPr>
        <w:t>smooth</w:t>
      </w:r>
      <w:r>
        <w:rPr>
          <w:color w:val="231F20"/>
          <w:spacing w:val="-6"/>
          <w:w w:val="105"/>
        </w:rPr>
        <w:t> </w:t>
      </w:r>
      <w:r>
        <w:rPr>
          <w:color w:val="231F20"/>
          <w:w w:val="105"/>
        </w:rPr>
        <w:t>muscle</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bladder</w:t>
      </w:r>
      <w:r>
        <w:rPr>
          <w:color w:val="231F20"/>
          <w:spacing w:val="-6"/>
          <w:w w:val="105"/>
        </w:rPr>
        <w:t> </w:t>
      </w:r>
      <w:r>
        <w:rPr>
          <w:color w:val="231F20"/>
          <w:w w:val="105"/>
        </w:rPr>
        <w:t>is</w:t>
      </w:r>
      <w:r>
        <w:rPr>
          <w:color w:val="231F20"/>
          <w:spacing w:val="-6"/>
          <w:w w:val="105"/>
        </w:rPr>
        <w:t> </w:t>
      </w:r>
      <w:r>
        <w:rPr>
          <w:color w:val="231F20"/>
          <w:w w:val="105"/>
        </w:rPr>
        <w:t>called</w:t>
      </w:r>
      <w:r>
        <w:rPr>
          <w:color w:val="231F20"/>
          <w:spacing w:val="-6"/>
          <w:w w:val="105"/>
        </w:rPr>
        <w:t> </w:t>
      </w:r>
      <w:r>
        <w:rPr>
          <w:color w:val="231F20"/>
          <w:w w:val="105"/>
        </w:rPr>
        <w:t>the</w:t>
      </w:r>
      <w:r>
        <w:rPr>
          <w:color w:val="231F20"/>
          <w:spacing w:val="-6"/>
          <w:w w:val="105"/>
        </w:rPr>
        <w:t> </w:t>
      </w:r>
      <w:r>
        <w:rPr>
          <w:i/>
          <w:color w:val="231F20"/>
          <w:w w:val="105"/>
        </w:rPr>
        <w:t>detru-</w:t>
      </w:r>
      <w:r>
        <w:rPr>
          <w:i/>
          <w:color w:val="231F20"/>
          <w:w w:val="104"/>
        </w:rPr>
        <w:t> </w:t>
      </w:r>
      <w:r>
        <w:rPr>
          <w:i/>
          <w:color w:val="231F20"/>
          <w:w w:val="105"/>
        </w:rPr>
        <w:t>sor</w:t>
      </w:r>
      <w:r>
        <w:rPr>
          <w:i/>
          <w:color w:val="231F20"/>
          <w:spacing w:val="-13"/>
          <w:w w:val="105"/>
        </w:rPr>
        <w:t> </w:t>
      </w:r>
      <w:r>
        <w:rPr>
          <w:i/>
          <w:color w:val="231F20"/>
          <w:w w:val="105"/>
        </w:rPr>
        <w:t>muscle.</w:t>
      </w:r>
      <w:r>
        <w:rPr>
          <w:i/>
          <w:color w:val="231F20"/>
          <w:spacing w:val="-12"/>
          <w:w w:val="105"/>
        </w:rPr>
        <w:t> </w:t>
      </w:r>
      <w:r>
        <w:rPr>
          <w:color w:val="231F20"/>
          <w:w w:val="105"/>
        </w:rPr>
        <w:t>Its</w:t>
      </w:r>
      <w:r>
        <w:rPr>
          <w:color w:val="231F20"/>
          <w:spacing w:val="-12"/>
          <w:w w:val="105"/>
        </w:rPr>
        <w:t> </w:t>
      </w:r>
      <w:r>
        <w:rPr>
          <w:color w:val="231F20"/>
          <w:w w:val="105"/>
        </w:rPr>
        <w:t>muscle</w:t>
      </w:r>
      <w:r>
        <w:rPr>
          <w:color w:val="231F20"/>
          <w:spacing w:val="-12"/>
          <w:w w:val="105"/>
        </w:rPr>
        <w:t> </w:t>
      </w:r>
      <w:r>
        <w:rPr>
          <w:color w:val="231F20"/>
          <w:w w:val="105"/>
        </w:rPr>
        <w:t>fibers</w:t>
      </w:r>
      <w:r>
        <w:rPr>
          <w:color w:val="231F20"/>
          <w:spacing w:val="-12"/>
          <w:w w:val="105"/>
        </w:rPr>
        <w:t> </w:t>
      </w:r>
      <w:r>
        <w:rPr>
          <w:color w:val="231F20"/>
          <w:w w:val="105"/>
        </w:rPr>
        <w:t>extend</w:t>
      </w:r>
      <w:r>
        <w:rPr>
          <w:color w:val="231F20"/>
          <w:spacing w:val="-13"/>
          <w:w w:val="105"/>
        </w:rPr>
        <w:t> </w:t>
      </w:r>
      <w:r>
        <w:rPr>
          <w:color w:val="231F20"/>
          <w:w w:val="105"/>
        </w:rPr>
        <w:t>in</w:t>
      </w:r>
      <w:r>
        <w:rPr>
          <w:color w:val="231F20"/>
          <w:spacing w:val="-12"/>
          <w:w w:val="105"/>
        </w:rPr>
        <w:t> </w:t>
      </w:r>
      <w:r>
        <w:rPr>
          <w:color w:val="231F20"/>
          <w:w w:val="105"/>
        </w:rPr>
        <w:t>all</w:t>
      </w:r>
      <w:r>
        <w:rPr>
          <w:color w:val="231F20"/>
          <w:spacing w:val="-12"/>
          <w:w w:val="105"/>
        </w:rPr>
        <w:t> </w:t>
      </w:r>
      <w:r>
        <w:rPr>
          <w:color w:val="231F20"/>
          <w:w w:val="105"/>
        </w:rPr>
        <w:t>directions</w:t>
      </w:r>
      <w:r>
        <w:rPr>
          <w:color w:val="231F20"/>
          <w:spacing w:val="-12"/>
          <w:w w:val="105"/>
        </w:rPr>
        <w:t> </w:t>
      </w:r>
      <w:r>
        <w:rPr>
          <w:color w:val="231F20"/>
          <w:w w:val="105"/>
        </w:rPr>
        <w:t>and,</w:t>
      </w:r>
    </w:p>
    <w:p>
      <w:pPr>
        <w:pStyle w:val="BodyText"/>
        <w:spacing w:line="249" w:lineRule="auto" w:before="99"/>
        <w:ind w:left="319" w:right="1077"/>
        <w:jc w:val="both"/>
      </w:pPr>
      <w:r>
        <w:rPr/>
        <w:br w:type="column"/>
      </w:r>
      <w:r>
        <w:rPr>
          <w:color w:val="231F20"/>
          <w:w w:val="105"/>
        </w:rPr>
        <w:t>when</w:t>
      </w:r>
      <w:r>
        <w:rPr>
          <w:color w:val="231F20"/>
          <w:spacing w:val="-15"/>
          <w:w w:val="105"/>
        </w:rPr>
        <w:t> </w:t>
      </w:r>
      <w:r>
        <w:rPr>
          <w:color w:val="231F20"/>
          <w:w w:val="105"/>
        </w:rPr>
        <w:t>contracted,</w:t>
      </w:r>
      <w:r>
        <w:rPr>
          <w:color w:val="231F20"/>
          <w:spacing w:val="-15"/>
          <w:w w:val="105"/>
        </w:rPr>
        <w:t> </w:t>
      </w:r>
      <w:r>
        <w:rPr>
          <w:color w:val="231F20"/>
          <w:w w:val="105"/>
        </w:rPr>
        <w:t>can</w:t>
      </w:r>
      <w:r>
        <w:rPr>
          <w:color w:val="231F20"/>
          <w:spacing w:val="-14"/>
          <w:w w:val="105"/>
        </w:rPr>
        <w:t> </w:t>
      </w:r>
      <w:r>
        <w:rPr>
          <w:color w:val="231F20"/>
          <w:w w:val="105"/>
        </w:rPr>
        <w:t>increase</w:t>
      </w:r>
      <w:r>
        <w:rPr>
          <w:color w:val="231F20"/>
          <w:spacing w:val="-15"/>
          <w:w w:val="105"/>
        </w:rPr>
        <w:t> </w:t>
      </w:r>
      <w:r>
        <w:rPr>
          <w:color w:val="231F20"/>
          <w:w w:val="105"/>
        </w:rPr>
        <w:t>the</w:t>
      </w:r>
      <w:r>
        <w:rPr>
          <w:color w:val="231F20"/>
          <w:spacing w:val="-14"/>
          <w:w w:val="105"/>
        </w:rPr>
        <w:t> </w:t>
      </w:r>
      <w:r>
        <w:rPr>
          <w:color w:val="231F20"/>
          <w:w w:val="105"/>
        </w:rPr>
        <w:t>pressure</w:t>
      </w:r>
      <w:r>
        <w:rPr>
          <w:color w:val="231F20"/>
          <w:spacing w:val="-15"/>
          <w:w w:val="105"/>
        </w:rPr>
        <w:t> </w:t>
      </w:r>
      <w:r>
        <w:rPr>
          <w:color w:val="231F20"/>
          <w:w w:val="105"/>
        </w:rPr>
        <w:t>in</w:t>
      </w:r>
      <w:r>
        <w:rPr>
          <w:color w:val="231F20"/>
          <w:spacing w:val="-14"/>
          <w:w w:val="105"/>
        </w:rPr>
        <w:t> </w:t>
      </w:r>
      <w:r>
        <w:rPr>
          <w:color w:val="231F20"/>
          <w:w w:val="105"/>
        </w:rPr>
        <w:t>the</w:t>
      </w:r>
      <w:r>
        <w:rPr>
          <w:color w:val="231F20"/>
          <w:spacing w:val="-15"/>
          <w:w w:val="105"/>
        </w:rPr>
        <w:t> </w:t>
      </w:r>
      <w:r>
        <w:rPr>
          <w:color w:val="231F20"/>
          <w:w w:val="105"/>
        </w:rPr>
        <w:t>bladder to 40 to 60 mm Hg. Thus, </w:t>
      </w:r>
      <w:r>
        <w:rPr>
          <w:i/>
          <w:color w:val="231F20"/>
          <w:w w:val="105"/>
        </w:rPr>
        <w:t>contraction of the detrusor </w:t>
      </w:r>
      <w:r>
        <w:rPr>
          <w:i/>
          <w:color w:val="231F20"/>
          <w:w w:val="105"/>
        </w:rPr>
        <w:t>muscle is a major step in emptying the bladder</w:t>
      </w:r>
      <w:r>
        <w:rPr>
          <w:color w:val="231F20"/>
          <w:w w:val="105"/>
        </w:rPr>
        <w:t>.</w:t>
      </w:r>
      <w:r>
        <w:rPr>
          <w:color w:val="231F20"/>
          <w:spacing w:val="-19"/>
          <w:w w:val="105"/>
        </w:rPr>
        <w:t> </w:t>
      </w:r>
      <w:r>
        <w:rPr>
          <w:color w:val="231F20"/>
          <w:w w:val="105"/>
        </w:rPr>
        <w:t>Smooth muscle</w:t>
      </w:r>
      <w:r>
        <w:rPr>
          <w:color w:val="231F20"/>
          <w:spacing w:val="-17"/>
          <w:w w:val="105"/>
        </w:rPr>
        <w:t> </w:t>
      </w:r>
      <w:r>
        <w:rPr>
          <w:color w:val="231F20"/>
          <w:w w:val="105"/>
        </w:rPr>
        <w:t>cells</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7"/>
          <w:w w:val="105"/>
        </w:rPr>
        <w:t> </w:t>
      </w:r>
      <w:r>
        <w:rPr>
          <w:color w:val="231F20"/>
          <w:w w:val="105"/>
        </w:rPr>
        <w:t>detrusor</w:t>
      </w:r>
      <w:r>
        <w:rPr>
          <w:color w:val="231F20"/>
          <w:spacing w:val="-16"/>
          <w:w w:val="105"/>
        </w:rPr>
        <w:t> </w:t>
      </w:r>
      <w:r>
        <w:rPr>
          <w:color w:val="231F20"/>
          <w:w w:val="105"/>
        </w:rPr>
        <w:t>muscle</w:t>
      </w:r>
      <w:r>
        <w:rPr>
          <w:color w:val="231F20"/>
          <w:spacing w:val="-17"/>
          <w:w w:val="105"/>
        </w:rPr>
        <w:t> </w:t>
      </w:r>
      <w:r>
        <w:rPr>
          <w:color w:val="231F20"/>
          <w:w w:val="105"/>
        </w:rPr>
        <w:t>fuse</w:t>
      </w:r>
      <w:r>
        <w:rPr>
          <w:color w:val="231F20"/>
          <w:spacing w:val="-16"/>
          <w:w w:val="105"/>
        </w:rPr>
        <w:t> </w:t>
      </w:r>
      <w:r>
        <w:rPr>
          <w:color w:val="231F20"/>
          <w:w w:val="105"/>
        </w:rPr>
        <w:t>with</w:t>
      </w:r>
      <w:r>
        <w:rPr>
          <w:color w:val="231F20"/>
          <w:spacing w:val="-17"/>
          <w:w w:val="105"/>
        </w:rPr>
        <w:t> </w:t>
      </w:r>
      <w:r>
        <w:rPr>
          <w:color w:val="231F20"/>
          <w:w w:val="105"/>
        </w:rPr>
        <w:t>one</w:t>
      </w:r>
      <w:r>
        <w:rPr>
          <w:color w:val="231F20"/>
          <w:spacing w:val="-16"/>
          <w:w w:val="105"/>
        </w:rPr>
        <w:t> </w:t>
      </w:r>
      <w:r>
        <w:rPr>
          <w:color w:val="231F20"/>
          <w:w w:val="105"/>
        </w:rPr>
        <w:t>another so</w:t>
      </w:r>
      <w:r>
        <w:rPr>
          <w:color w:val="231F20"/>
          <w:spacing w:val="-12"/>
          <w:w w:val="105"/>
        </w:rPr>
        <w:t> </w:t>
      </w:r>
      <w:r>
        <w:rPr>
          <w:color w:val="231F20"/>
          <w:w w:val="105"/>
        </w:rPr>
        <w:t>that</w:t>
      </w:r>
      <w:r>
        <w:rPr>
          <w:color w:val="231F20"/>
          <w:spacing w:val="-11"/>
          <w:w w:val="105"/>
        </w:rPr>
        <w:t> </w:t>
      </w:r>
      <w:r>
        <w:rPr>
          <w:color w:val="231F20"/>
          <w:w w:val="105"/>
        </w:rPr>
        <w:t>low-resistance</w:t>
      </w:r>
      <w:r>
        <w:rPr>
          <w:color w:val="231F20"/>
          <w:spacing w:val="-12"/>
          <w:w w:val="105"/>
        </w:rPr>
        <w:t> </w:t>
      </w:r>
      <w:r>
        <w:rPr>
          <w:color w:val="231F20"/>
          <w:w w:val="105"/>
        </w:rPr>
        <w:t>electrical</w:t>
      </w:r>
      <w:r>
        <w:rPr>
          <w:color w:val="231F20"/>
          <w:spacing w:val="-11"/>
          <w:w w:val="105"/>
        </w:rPr>
        <w:t> </w:t>
      </w:r>
      <w:r>
        <w:rPr>
          <w:color w:val="231F20"/>
          <w:w w:val="105"/>
        </w:rPr>
        <w:t>pathways</w:t>
      </w:r>
      <w:r>
        <w:rPr>
          <w:color w:val="231F20"/>
          <w:spacing w:val="-11"/>
          <w:w w:val="105"/>
        </w:rPr>
        <w:t> </w:t>
      </w:r>
      <w:r>
        <w:rPr>
          <w:color w:val="231F20"/>
          <w:w w:val="105"/>
        </w:rPr>
        <w:t>exist</w:t>
      </w:r>
      <w:r>
        <w:rPr>
          <w:color w:val="231F20"/>
          <w:spacing w:val="-12"/>
          <w:w w:val="105"/>
        </w:rPr>
        <w:t> </w:t>
      </w:r>
      <w:r>
        <w:rPr>
          <w:color w:val="231F20"/>
          <w:w w:val="105"/>
        </w:rPr>
        <w:t>from</w:t>
      </w:r>
      <w:r>
        <w:rPr>
          <w:color w:val="231F20"/>
          <w:spacing w:val="-11"/>
          <w:w w:val="105"/>
        </w:rPr>
        <w:t> </w:t>
      </w:r>
      <w:r>
        <w:rPr>
          <w:color w:val="231F20"/>
          <w:w w:val="105"/>
        </w:rPr>
        <w:t>one muscle</w:t>
      </w:r>
      <w:r>
        <w:rPr>
          <w:color w:val="231F20"/>
          <w:spacing w:val="-23"/>
          <w:w w:val="105"/>
        </w:rPr>
        <w:t> </w:t>
      </w:r>
      <w:r>
        <w:rPr>
          <w:color w:val="231F20"/>
          <w:w w:val="105"/>
        </w:rPr>
        <w:t>cell</w:t>
      </w:r>
      <w:r>
        <w:rPr>
          <w:color w:val="231F20"/>
          <w:spacing w:val="-22"/>
          <w:w w:val="105"/>
        </w:rPr>
        <w:t> </w:t>
      </w:r>
      <w:r>
        <w:rPr>
          <w:color w:val="231F20"/>
          <w:w w:val="105"/>
        </w:rPr>
        <w:t>to</w:t>
      </w:r>
      <w:r>
        <w:rPr>
          <w:color w:val="231F20"/>
          <w:spacing w:val="-23"/>
          <w:w w:val="105"/>
        </w:rPr>
        <w:t> </w:t>
      </w:r>
      <w:r>
        <w:rPr>
          <w:color w:val="231F20"/>
          <w:w w:val="105"/>
        </w:rPr>
        <w:t>the</w:t>
      </w:r>
      <w:r>
        <w:rPr>
          <w:color w:val="231F20"/>
          <w:spacing w:val="-22"/>
          <w:w w:val="105"/>
        </w:rPr>
        <w:t> </w:t>
      </w:r>
      <w:r>
        <w:rPr>
          <w:color w:val="231F20"/>
          <w:spacing w:val="-3"/>
          <w:w w:val="105"/>
        </w:rPr>
        <w:t>other.</w:t>
      </w:r>
      <w:r>
        <w:rPr>
          <w:color w:val="231F20"/>
          <w:spacing w:val="-22"/>
          <w:w w:val="105"/>
        </w:rPr>
        <w:t> </w:t>
      </w:r>
      <w:r>
        <w:rPr>
          <w:color w:val="231F20"/>
          <w:w w:val="105"/>
        </w:rPr>
        <w:t>Therefore,</w:t>
      </w:r>
      <w:r>
        <w:rPr>
          <w:color w:val="231F20"/>
          <w:spacing w:val="-23"/>
          <w:w w:val="105"/>
        </w:rPr>
        <w:t> </w:t>
      </w:r>
      <w:r>
        <w:rPr>
          <w:color w:val="231F20"/>
          <w:w w:val="105"/>
        </w:rPr>
        <w:t>an</w:t>
      </w:r>
      <w:r>
        <w:rPr>
          <w:color w:val="231F20"/>
          <w:spacing w:val="-22"/>
          <w:w w:val="105"/>
        </w:rPr>
        <w:t> </w:t>
      </w:r>
      <w:r>
        <w:rPr>
          <w:color w:val="231F20"/>
          <w:w w:val="105"/>
        </w:rPr>
        <w:t>action</w:t>
      </w:r>
      <w:r>
        <w:rPr>
          <w:color w:val="231F20"/>
          <w:spacing w:val="-23"/>
          <w:w w:val="105"/>
        </w:rPr>
        <w:t> </w:t>
      </w:r>
      <w:r>
        <w:rPr>
          <w:color w:val="231F20"/>
          <w:w w:val="105"/>
        </w:rPr>
        <w:t>potential</w:t>
      </w:r>
      <w:r>
        <w:rPr>
          <w:color w:val="231F20"/>
          <w:spacing w:val="-22"/>
          <w:w w:val="105"/>
        </w:rPr>
        <w:t> </w:t>
      </w:r>
      <w:r>
        <w:rPr>
          <w:color w:val="231F20"/>
          <w:w w:val="105"/>
        </w:rPr>
        <w:t>can spread</w:t>
      </w:r>
      <w:r>
        <w:rPr>
          <w:color w:val="231F20"/>
          <w:spacing w:val="-9"/>
          <w:w w:val="105"/>
        </w:rPr>
        <w:t> </w:t>
      </w:r>
      <w:r>
        <w:rPr>
          <w:color w:val="231F20"/>
          <w:w w:val="105"/>
        </w:rPr>
        <w:t>throughout</w:t>
      </w:r>
      <w:r>
        <w:rPr>
          <w:color w:val="231F20"/>
          <w:spacing w:val="-9"/>
          <w:w w:val="105"/>
        </w:rPr>
        <w:t> </w:t>
      </w:r>
      <w:r>
        <w:rPr>
          <w:color w:val="231F20"/>
          <w:w w:val="105"/>
        </w:rPr>
        <w:t>the</w:t>
      </w:r>
      <w:r>
        <w:rPr>
          <w:color w:val="231F20"/>
          <w:spacing w:val="-9"/>
          <w:w w:val="105"/>
        </w:rPr>
        <w:t> </w:t>
      </w:r>
      <w:r>
        <w:rPr>
          <w:color w:val="231F20"/>
          <w:w w:val="105"/>
        </w:rPr>
        <w:t>detrusor</w:t>
      </w:r>
      <w:r>
        <w:rPr>
          <w:color w:val="231F20"/>
          <w:spacing w:val="-9"/>
          <w:w w:val="105"/>
        </w:rPr>
        <w:t> </w:t>
      </w:r>
      <w:r>
        <w:rPr>
          <w:color w:val="231F20"/>
          <w:w w:val="105"/>
        </w:rPr>
        <w:t>muscle,</w:t>
      </w:r>
      <w:r>
        <w:rPr>
          <w:color w:val="231F20"/>
          <w:spacing w:val="-9"/>
          <w:w w:val="105"/>
        </w:rPr>
        <w:t> </w:t>
      </w:r>
      <w:r>
        <w:rPr>
          <w:color w:val="231F20"/>
          <w:w w:val="105"/>
        </w:rPr>
        <w:t>from</w:t>
      </w:r>
      <w:r>
        <w:rPr>
          <w:color w:val="231F20"/>
          <w:spacing w:val="-9"/>
          <w:w w:val="105"/>
        </w:rPr>
        <w:t> </w:t>
      </w:r>
      <w:r>
        <w:rPr>
          <w:color w:val="231F20"/>
          <w:w w:val="105"/>
        </w:rPr>
        <w:t>one</w:t>
      </w:r>
      <w:r>
        <w:rPr>
          <w:color w:val="231F20"/>
          <w:spacing w:val="-9"/>
          <w:w w:val="105"/>
        </w:rPr>
        <w:t> </w:t>
      </w:r>
      <w:r>
        <w:rPr>
          <w:color w:val="231F20"/>
          <w:w w:val="105"/>
        </w:rPr>
        <w:t>muscle cell</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0"/>
          <w:w w:val="105"/>
        </w:rPr>
        <w:t> </w:t>
      </w:r>
      <w:r>
        <w:rPr>
          <w:color w:val="231F20"/>
          <w:w w:val="105"/>
        </w:rPr>
        <w:t>next,</w:t>
      </w:r>
      <w:r>
        <w:rPr>
          <w:color w:val="231F20"/>
          <w:spacing w:val="-11"/>
          <w:w w:val="105"/>
        </w:rPr>
        <w:t> </w:t>
      </w:r>
      <w:r>
        <w:rPr>
          <w:color w:val="231F20"/>
          <w:w w:val="105"/>
        </w:rPr>
        <w:t>to</w:t>
      </w:r>
      <w:r>
        <w:rPr>
          <w:color w:val="231F20"/>
          <w:spacing w:val="-10"/>
          <w:w w:val="105"/>
        </w:rPr>
        <w:t> </w:t>
      </w:r>
      <w:r>
        <w:rPr>
          <w:color w:val="231F20"/>
          <w:w w:val="105"/>
        </w:rPr>
        <w:t>cause</w:t>
      </w:r>
      <w:r>
        <w:rPr>
          <w:color w:val="231F20"/>
          <w:spacing w:val="-11"/>
          <w:w w:val="105"/>
        </w:rPr>
        <w:t> </w:t>
      </w:r>
      <w:r>
        <w:rPr>
          <w:color w:val="231F20"/>
          <w:w w:val="105"/>
        </w:rPr>
        <w:t>contraction</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entire</w:t>
      </w:r>
      <w:r>
        <w:rPr>
          <w:color w:val="231F20"/>
          <w:spacing w:val="-11"/>
          <w:w w:val="105"/>
        </w:rPr>
        <w:t> </w:t>
      </w:r>
      <w:r>
        <w:rPr>
          <w:color w:val="231F20"/>
          <w:w w:val="105"/>
        </w:rPr>
        <w:t>bladder at</w:t>
      </w:r>
      <w:r>
        <w:rPr>
          <w:color w:val="231F20"/>
          <w:spacing w:val="3"/>
          <w:w w:val="105"/>
        </w:rPr>
        <w:t> </w:t>
      </w:r>
      <w:r>
        <w:rPr>
          <w:color w:val="231F20"/>
          <w:w w:val="105"/>
        </w:rPr>
        <w:t>once.</w:t>
      </w:r>
    </w:p>
    <w:p>
      <w:pPr>
        <w:pStyle w:val="BodyText"/>
        <w:spacing w:line="249" w:lineRule="auto" w:before="7"/>
        <w:ind w:left="319" w:right="1077" w:firstLine="240"/>
        <w:jc w:val="both"/>
        <w:rPr>
          <w:i/>
        </w:rPr>
      </w:pPr>
      <w:r>
        <w:rPr>
          <w:color w:val="231F20"/>
        </w:rPr>
        <w:t>On the posterior wall of the bladder, lying immediately above the bladder neck, is a small triangular area called the </w:t>
      </w:r>
      <w:r>
        <w:rPr>
          <w:i/>
          <w:color w:val="231F20"/>
        </w:rPr>
        <w:t>trigone. </w:t>
      </w:r>
      <w:r>
        <w:rPr>
          <w:color w:val="231F20"/>
        </w:rPr>
        <w:t>At the lowermost apex of the trigone, the bladder neck opens into the </w:t>
      </w:r>
      <w:r>
        <w:rPr>
          <w:i/>
          <w:color w:val="231F20"/>
        </w:rPr>
        <w:t>posterior urethra </w:t>
      </w:r>
      <w:r>
        <w:rPr>
          <w:color w:val="231F20"/>
        </w:rPr>
        <w:t>and the two ureters enter the bladder at the uppermost angles of the trigone. The trigone can be identified by the fact that its </w:t>
      </w:r>
      <w:r>
        <w:rPr>
          <w:i/>
          <w:color w:val="231F20"/>
        </w:rPr>
        <w:t>mucosa, </w:t>
      </w:r>
      <w:r>
        <w:rPr>
          <w:color w:val="231F20"/>
        </w:rPr>
        <w:t>the inner lining of the bladder, is smooth, in contrast to the remaining bladder mucosa, which is folded to form </w:t>
      </w:r>
      <w:r>
        <w:rPr>
          <w:i/>
          <w:color w:val="231F20"/>
        </w:rPr>
        <w:t>rugae.</w:t>
      </w:r>
    </w:p>
    <w:p>
      <w:pPr>
        <w:pStyle w:val="BodyText"/>
        <w:spacing w:line="249" w:lineRule="auto" w:before="8"/>
        <w:ind w:left="319" w:right="1077" w:firstLine="240"/>
        <w:jc w:val="both"/>
      </w:pPr>
      <w:r>
        <w:rPr>
          <w:color w:val="231F20"/>
          <w:w w:val="105"/>
        </w:rPr>
        <w:t>Each</w:t>
      </w:r>
      <w:r>
        <w:rPr>
          <w:color w:val="231F20"/>
          <w:spacing w:val="-11"/>
          <w:w w:val="105"/>
        </w:rPr>
        <w:t> </w:t>
      </w:r>
      <w:r>
        <w:rPr>
          <w:color w:val="231F20"/>
          <w:spacing w:val="-3"/>
          <w:w w:val="105"/>
        </w:rPr>
        <w:t>ureter,</w:t>
      </w:r>
      <w:r>
        <w:rPr>
          <w:color w:val="231F20"/>
          <w:spacing w:val="-11"/>
          <w:w w:val="105"/>
        </w:rPr>
        <w:t> </w:t>
      </w:r>
      <w:r>
        <w:rPr>
          <w:color w:val="231F20"/>
          <w:w w:val="105"/>
        </w:rPr>
        <w:t>as</w:t>
      </w:r>
      <w:r>
        <w:rPr>
          <w:color w:val="231F20"/>
          <w:spacing w:val="-10"/>
          <w:w w:val="105"/>
        </w:rPr>
        <w:t> </w:t>
      </w:r>
      <w:r>
        <w:rPr>
          <w:color w:val="231F20"/>
          <w:w w:val="105"/>
        </w:rPr>
        <w:t>it</w:t>
      </w:r>
      <w:r>
        <w:rPr>
          <w:color w:val="231F20"/>
          <w:spacing w:val="-11"/>
          <w:w w:val="105"/>
        </w:rPr>
        <w:t> </w:t>
      </w:r>
      <w:r>
        <w:rPr>
          <w:color w:val="231F20"/>
          <w:w w:val="105"/>
        </w:rPr>
        <w:t>enters</w:t>
      </w:r>
      <w:r>
        <w:rPr>
          <w:color w:val="231F20"/>
          <w:spacing w:val="-10"/>
          <w:w w:val="105"/>
        </w:rPr>
        <w:t> </w:t>
      </w:r>
      <w:r>
        <w:rPr>
          <w:color w:val="231F20"/>
          <w:w w:val="105"/>
        </w:rPr>
        <w:t>the</w:t>
      </w:r>
      <w:r>
        <w:rPr>
          <w:color w:val="231F20"/>
          <w:spacing w:val="-11"/>
          <w:w w:val="105"/>
        </w:rPr>
        <w:t> </w:t>
      </w:r>
      <w:r>
        <w:rPr>
          <w:color w:val="231F20"/>
          <w:w w:val="105"/>
        </w:rPr>
        <w:t>bladder,</w:t>
      </w:r>
      <w:r>
        <w:rPr>
          <w:color w:val="231F20"/>
          <w:spacing w:val="-10"/>
          <w:w w:val="105"/>
        </w:rPr>
        <w:t> </w:t>
      </w:r>
      <w:r>
        <w:rPr>
          <w:color w:val="231F20"/>
          <w:w w:val="105"/>
        </w:rPr>
        <w:t>courses</w:t>
      </w:r>
      <w:r>
        <w:rPr>
          <w:color w:val="231F20"/>
          <w:spacing w:val="-11"/>
          <w:w w:val="105"/>
        </w:rPr>
        <w:t> </w:t>
      </w:r>
      <w:r>
        <w:rPr>
          <w:color w:val="231F20"/>
          <w:w w:val="105"/>
        </w:rPr>
        <w:t>obliquely through the detrusor muscle and then passes another </w:t>
      </w:r>
      <w:r>
        <w:rPr>
          <w:color w:val="231F20"/>
          <w:spacing w:val="-14"/>
          <w:w w:val="105"/>
        </w:rPr>
        <w:t>1 </w:t>
      </w:r>
      <w:r>
        <w:rPr>
          <w:color w:val="231F20"/>
          <w:w w:val="105"/>
        </w:rPr>
        <w:t>to</w:t>
      </w:r>
      <w:r>
        <w:rPr>
          <w:color w:val="231F20"/>
          <w:spacing w:val="-17"/>
          <w:w w:val="105"/>
        </w:rPr>
        <w:t> </w:t>
      </w:r>
      <w:r>
        <w:rPr>
          <w:color w:val="231F20"/>
          <w:w w:val="105"/>
        </w:rPr>
        <w:t>2</w:t>
      </w:r>
      <w:r>
        <w:rPr>
          <w:color w:val="231F20"/>
          <w:spacing w:val="-16"/>
          <w:w w:val="105"/>
        </w:rPr>
        <w:t> </w:t>
      </w:r>
      <w:r>
        <w:rPr>
          <w:color w:val="231F20"/>
          <w:w w:val="105"/>
        </w:rPr>
        <w:t>centimeters</w:t>
      </w:r>
      <w:r>
        <w:rPr>
          <w:color w:val="231F20"/>
          <w:spacing w:val="-17"/>
          <w:w w:val="105"/>
        </w:rPr>
        <w:t> </w:t>
      </w:r>
      <w:r>
        <w:rPr>
          <w:color w:val="231F20"/>
          <w:w w:val="105"/>
        </w:rPr>
        <w:t>beneath</w:t>
      </w:r>
      <w:r>
        <w:rPr>
          <w:color w:val="231F20"/>
          <w:spacing w:val="-16"/>
          <w:w w:val="105"/>
        </w:rPr>
        <w:t> </w:t>
      </w:r>
      <w:r>
        <w:rPr>
          <w:color w:val="231F20"/>
          <w:w w:val="105"/>
        </w:rPr>
        <w:t>the</w:t>
      </w:r>
      <w:r>
        <w:rPr>
          <w:color w:val="231F20"/>
          <w:spacing w:val="-16"/>
          <w:w w:val="105"/>
        </w:rPr>
        <w:t> </w:t>
      </w:r>
      <w:r>
        <w:rPr>
          <w:color w:val="231F20"/>
          <w:w w:val="105"/>
        </w:rPr>
        <w:t>bladder</w:t>
      </w:r>
      <w:r>
        <w:rPr>
          <w:color w:val="231F20"/>
          <w:spacing w:val="-17"/>
          <w:w w:val="105"/>
        </w:rPr>
        <w:t> </w:t>
      </w:r>
      <w:r>
        <w:rPr>
          <w:color w:val="231F20"/>
          <w:w w:val="105"/>
        </w:rPr>
        <w:t>mucosa</w:t>
      </w:r>
      <w:r>
        <w:rPr>
          <w:color w:val="231F20"/>
          <w:spacing w:val="-16"/>
          <w:w w:val="105"/>
        </w:rPr>
        <w:t> </w:t>
      </w:r>
      <w:r>
        <w:rPr>
          <w:color w:val="231F20"/>
          <w:w w:val="105"/>
        </w:rPr>
        <w:t>before</w:t>
      </w:r>
      <w:r>
        <w:rPr>
          <w:color w:val="231F20"/>
          <w:spacing w:val="-16"/>
          <w:w w:val="105"/>
        </w:rPr>
        <w:t> </w:t>
      </w:r>
      <w:r>
        <w:rPr>
          <w:color w:val="231F20"/>
          <w:w w:val="105"/>
        </w:rPr>
        <w:t>emp- tying into the</w:t>
      </w:r>
      <w:r>
        <w:rPr>
          <w:color w:val="231F20"/>
          <w:spacing w:val="7"/>
          <w:w w:val="105"/>
        </w:rPr>
        <w:t> </w:t>
      </w:r>
      <w:r>
        <w:rPr>
          <w:color w:val="231F20"/>
          <w:w w:val="105"/>
        </w:rPr>
        <w:t>bladder.</w:t>
      </w:r>
    </w:p>
    <w:p>
      <w:pPr>
        <w:pStyle w:val="BodyText"/>
        <w:spacing w:line="249" w:lineRule="auto" w:before="3"/>
        <w:ind w:left="319" w:right="1078" w:firstLine="240"/>
        <w:jc w:val="both"/>
      </w:pPr>
      <w:r>
        <w:rPr>
          <w:color w:val="231F20"/>
          <w:w w:val="105"/>
        </w:rPr>
        <w:t>The</w:t>
      </w:r>
      <w:r>
        <w:rPr>
          <w:color w:val="231F20"/>
          <w:spacing w:val="-12"/>
          <w:w w:val="105"/>
        </w:rPr>
        <w:t> </w:t>
      </w:r>
      <w:r>
        <w:rPr>
          <w:color w:val="231F20"/>
          <w:w w:val="105"/>
        </w:rPr>
        <w:t>bladder</w:t>
      </w:r>
      <w:r>
        <w:rPr>
          <w:color w:val="231F20"/>
          <w:spacing w:val="-12"/>
          <w:w w:val="105"/>
        </w:rPr>
        <w:t> </w:t>
      </w:r>
      <w:r>
        <w:rPr>
          <w:color w:val="231F20"/>
          <w:w w:val="105"/>
        </w:rPr>
        <w:t>neck</w:t>
      </w:r>
      <w:r>
        <w:rPr>
          <w:color w:val="231F20"/>
          <w:spacing w:val="-12"/>
          <w:w w:val="105"/>
        </w:rPr>
        <w:t> </w:t>
      </w:r>
      <w:r>
        <w:rPr>
          <w:color w:val="231F20"/>
          <w:w w:val="105"/>
        </w:rPr>
        <w:t>(posterior</w:t>
      </w:r>
      <w:r>
        <w:rPr>
          <w:color w:val="231F20"/>
          <w:spacing w:val="-11"/>
          <w:w w:val="105"/>
        </w:rPr>
        <w:t> </w:t>
      </w:r>
      <w:r>
        <w:rPr>
          <w:color w:val="231F20"/>
          <w:w w:val="105"/>
        </w:rPr>
        <w:t>urethra)</w:t>
      </w:r>
      <w:r>
        <w:rPr>
          <w:color w:val="231F20"/>
          <w:spacing w:val="-12"/>
          <w:w w:val="105"/>
        </w:rPr>
        <w:t> </w:t>
      </w:r>
      <w:r>
        <w:rPr>
          <w:color w:val="231F20"/>
          <w:w w:val="105"/>
        </w:rPr>
        <w:t>is</w:t>
      </w:r>
      <w:r>
        <w:rPr>
          <w:color w:val="231F20"/>
          <w:spacing w:val="-12"/>
          <w:w w:val="105"/>
        </w:rPr>
        <w:t> </w:t>
      </w:r>
      <w:r>
        <w:rPr>
          <w:color w:val="231F20"/>
          <w:w w:val="105"/>
        </w:rPr>
        <w:t>2</w:t>
      </w:r>
      <w:r>
        <w:rPr>
          <w:color w:val="231F20"/>
          <w:spacing w:val="-12"/>
          <w:w w:val="105"/>
        </w:rPr>
        <w:t> </w:t>
      </w:r>
      <w:r>
        <w:rPr>
          <w:color w:val="231F20"/>
          <w:w w:val="105"/>
        </w:rPr>
        <w:t>to</w:t>
      </w:r>
      <w:r>
        <w:rPr>
          <w:color w:val="231F20"/>
          <w:spacing w:val="-11"/>
          <w:w w:val="105"/>
        </w:rPr>
        <w:t> </w:t>
      </w:r>
      <w:r>
        <w:rPr>
          <w:color w:val="231F20"/>
          <w:w w:val="105"/>
        </w:rPr>
        <w:t>3</w:t>
      </w:r>
      <w:r>
        <w:rPr>
          <w:color w:val="231F20"/>
          <w:spacing w:val="-12"/>
          <w:w w:val="105"/>
        </w:rPr>
        <w:t> </w:t>
      </w:r>
      <w:r>
        <w:rPr>
          <w:color w:val="231F20"/>
          <w:spacing w:val="-3"/>
          <w:w w:val="105"/>
        </w:rPr>
        <w:t>centime- </w:t>
      </w:r>
      <w:r>
        <w:rPr>
          <w:color w:val="231F20"/>
          <w:w w:val="105"/>
        </w:rPr>
        <w:t>ters long, and its wall is composed of detrusor muscle interlaced with a large amount of elastic tissue. The muscle</w:t>
      </w:r>
      <w:r>
        <w:rPr>
          <w:color w:val="231F20"/>
          <w:spacing w:val="20"/>
          <w:w w:val="105"/>
        </w:rPr>
        <w:t> </w:t>
      </w:r>
      <w:r>
        <w:rPr>
          <w:color w:val="231F20"/>
          <w:w w:val="105"/>
        </w:rPr>
        <w:t>in</w:t>
      </w:r>
      <w:r>
        <w:rPr>
          <w:color w:val="231F20"/>
          <w:spacing w:val="20"/>
          <w:w w:val="105"/>
        </w:rPr>
        <w:t> </w:t>
      </w:r>
      <w:r>
        <w:rPr>
          <w:color w:val="231F20"/>
          <w:w w:val="105"/>
        </w:rPr>
        <w:t>this</w:t>
      </w:r>
      <w:r>
        <w:rPr>
          <w:color w:val="231F20"/>
          <w:spacing w:val="21"/>
          <w:w w:val="105"/>
        </w:rPr>
        <w:t> </w:t>
      </w:r>
      <w:r>
        <w:rPr>
          <w:color w:val="231F20"/>
          <w:w w:val="105"/>
        </w:rPr>
        <w:t>area</w:t>
      </w:r>
      <w:r>
        <w:rPr>
          <w:color w:val="231F20"/>
          <w:spacing w:val="20"/>
          <w:w w:val="105"/>
        </w:rPr>
        <w:t> </w:t>
      </w:r>
      <w:r>
        <w:rPr>
          <w:color w:val="231F20"/>
          <w:w w:val="105"/>
        </w:rPr>
        <w:t>is</w:t>
      </w:r>
      <w:r>
        <w:rPr>
          <w:color w:val="231F20"/>
          <w:spacing w:val="20"/>
          <w:w w:val="105"/>
        </w:rPr>
        <w:t> </w:t>
      </w:r>
      <w:r>
        <w:rPr>
          <w:color w:val="231F20"/>
          <w:w w:val="105"/>
        </w:rPr>
        <w:t>called</w:t>
      </w:r>
      <w:r>
        <w:rPr>
          <w:color w:val="231F20"/>
          <w:spacing w:val="21"/>
          <w:w w:val="105"/>
        </w:rPr>
        <w:t> </w:t>
      </w:r>
      <w:r>
        <w:rPr>
          <w:color w:val="231F20"/>
          <w:w w:val="105"/>
        </w:rPr>
        <w:t>the</w:t>
      </w:r>
      <w:r>
        <w:rPr>
          <w:color w:val="231F20"/>
          <w:spacing w:val="20"/>
          <w:w w:val="105"/>
        </w:rPr>
        <w:t> </w:t>
      </w:r>
      <w:r>
        <w:rPr>
          <w:i/>
          <w:color w:val="231F20"/>
          <w:w w:val="105"/>
        </w:rPr>
        <w:t>internal</w:t>
      </w:r>
      <w:r>
        <w:rPr>
          <w:i/>
          <w:color w:val="231F20"/>
          <w:spacing w:val="21"/>
          <w:w w:val="105"/>
        </w:rPr>
        <w:t> </w:t>
      </w:r>
      <w:r>
        <w:rPr>
          <w:i/>
          <w:color w:val="231F20"/>
          <w:w w:val="105"/>
        </w:rPr>
        <w:t>sphincter.</w:t>
      </w:r>
      <w:r>
        <w:rPr>
          <w:i/>
          <w:color w:val="231F20"/>
          <w:spacing w:val="20"/>
          <w:w w:val="105"/>
        </w:rPr>
        <w:t> </w:t>
      </w:r>
      <w:r>
        <w:rPr>
          <w:color w:val="231F20"/>
          <w:w w:val="105"/>
        </w:rPr>
        <w:t>Its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23"/>
        </w:rPr>
      </w:pPr>
    </w:p>
    <w:p>
      <w:pPr>
        <w:spacing w:after="0"/>
        <w:rPr>
          <w:sz w:val="23"/>
        </w:rPr>
        <w:sectPr>
          <w:headerReference w:type="even" r:id="rId316"/>
          <w:footerReference w:type="even" r:id="rId317"/>
          <w:footerReference w:type="default" r:id="rId318"/>
          <w:pgSz w:w="12240" w:h="15660"/>
          <w:pgMar w:header="0" w:footer="567" w:top="720" w:bottom="760" w:left="0" w:right="0"/>
          <w:pgNumType w:start="328"/>
        </w:sectPr>
      </w:pPr>
    </w:p>
    <w:p>
      <w:pPr>
        <w:tabs>
          <w:tab w:pos="7053" w:val="left" w:leader="none"/>
        </w:tabs>
        <w:spacing w:before="104"/>
        <w:ind w:left="3630" w:right="0" w:firstLine="0"/>
        <w:jc w:val="left"/>
        <w:rPr>
          <w:rFonts w:ascii="Helvetica"/>
          <w:b/>
          <w:sz w:val="16"/>
        </w:rPr>
      </w:pPr>
      <w:r>
        <w:rPr/>
        <w:pict>
          <v:group style="position:absolute;margin-left:282.219208pt;margin-top:4.546466pt;width:149.15pt;height:294pt;mso-position-horizontal-relative:page;mso-position-vertical-relative:paragraph;z-index:-273549312" coordorigin="5644,91" coordsize="2983,5880">
            <v:shape style="position:absolute;left:6081;top:2857;width:1004;height:187" type="#_x0000_t75" stroked="false">
              <v:imagedata r:id="rId319" o:title=""/>
            </v:shape>
            <v:shape style="position:absolute;left:7265;top:2872;width:982;height:192" type="#_x0000_t75" stroked="false">
              <v:imagedata r:id="rId320" o:title=""/>
            </v:shape>
            <v:shape style="position:absolute;left:5874;top:90;width:2654;height:5753" type="#_x0000_t75" stroked="false">
              <v:imagedata r:id="rId321" o:title=""/>
            </v:shape>
            <v:shape style="position:absolute;left:6693;top:3020;width:439;height:2800" type="#_x0000_t75" stroked="false">
              <v:imagedata r:id="rId322" o:title=""/>
            </v:shape>
            <v:shape style="position:absolute;left:6169;top:403;width:2028;height:1649" coordorigin="6170,403" coordsize="2028,1649" path="m7080,2052l7013,2027,6949,2015,6910,2009,6867,2002,6782,1986,6719,1970,6711,1966,6702,1963,6691,1960,6634,1942,6578,1918,6476,1864,6396,1811,6331,1754,6278,1693,6238,1632,6210,1574,6184,1478,6171,1386,6170,1339,6175,1285,6197,1182,6224,1093,6261,1009,6332,884,6383,812,6439,743,6502,679,6555,633,6611,591,6671,554,6737,520,6807,490,6900,457,6978,434,7051,419,7127,409,7214,404,7222,403,7227,403,7239,404,7251,404,7263,405,7276,406,7287,407,7299,408,7311,409,7323,409,7390,415,7460,428,7532,450,7607,480,7683,519,7761,565,7812,602,7858,644,7902,689,7944,738,7967,771,7973,781,7979,790,7986,800,7993,809,8018,842,8043,877,8088,952,8118,1010,8146,1072,8169,1143,8187,1224,8197,1317,8198,1353,8196,1390,8184,1473,8162,1556,8126,1644,8081,1718,8025,1780,7966,1831,7908,1871,7810,1924,7754,1948,7694,1972,7629,1994,7549,2014,7476,2021,7468,2021,7460,2021,7453,2020,7448,2020,7437,2019,7426,2018,7415,2018,7403,2018,7389,2018,7342,2025,7363,2009,7445,1968,7523,1938,7604,1913,7620,1908,7637,1902,7699,1882,7756,1859,7809,1830,7879,1785,7953,1723,7999,1672,8041,1606,8075,1527,8094,1434,8092,1327,8081,1248,8069,1189,8039,1093,8004,1015,8003,1012,8000,1007,7935,901,7889,838,7841,778,7788,722,7730,673,7667,632,7591,593,7515,562,7442,540,7369,527,7301,520,7234,518,7130,524,7038,537,6958,556,6891,577,6807,611,6714,660,6638,709,6552,784,6507,831,6451,897,6400,971,6366,1029,6334,1097,6308,1174,6289,1260,6283,1335,6287,1408,6300,1478,6323,1541,6352,1599,6420,1693,6506,1770,6604,1834,6694,1878,6776,1906,6817,1918,6864,1932,6956,1965,7023,2001,7064,2034,7080,2052xe" filled="false" stroked="true" strokeweight=".25pt" strokecolor="#b7705b">
              <v:path arrowok="t"/>
              <v:stroke dashstyle="solid"/>
            </v:shape>
            <v:shape style="position:absolute;left:6331;top:574;width:1721;height:5200" type="#_x0000_t75" stroked="false">
              <v:imagedata r:id="rId323" o:title=""/>
            </v:shape>
            <v:shape style="position:absolute;left:6354;top:591;width:1665;height:1237" type="#_x0000_t75" stroked="false">
              <v:imagedata r:id="rId324" o:title=""/>
            </v:shape>
            <v:shape style="position:absolute;left:7149;top:2461;width:83;height:211" coordorigin="7149,2462" coordsize="83,211" path="m7185,2671l7184,2664,7176,2664,7171,2660,7173,2667,7176,2672,7185,2671m7201,2662l7198,2659,7193,2660,7193,2663,7191,2666,7193,2667,7196,2668,7200,2668,7201,2662m7229,2616l7226,2615,7223,2613,7218,2612,7215,2622,7211,2634,7210,2645,7213,2655,7216,2644,7218,2632,7222,2622,7229,2616m7231,2570l7230,2537,7224,2505,7218,2478,7217,2476,7211,2467,7201,2462,7188,2462,7174,2467,7158,2496,7150,2535,7149,2577,7154,2618,7156,2629,7159,2643,7167,2649,7158,2606,7156,2558,7163,2512,7187,2476,7210,2495,7221,2527,7225,2564,7224,2600,7231,2570e" filled="true" fillcolor="#b7705b" stroked="false">
              <v:path arrowok="t"/>
              <v:fill type="solid"/>
            </v:shape>
            <v:shape style="position:absolute;left:7023;top:2870;width:58;height:54" coordorigin="7023,2870" coordsize="58,54" path="m7069,2870l7058,2871,7047,2876,7035,2881,7023,2885,7037,2895,7051,2905,7065,2915,7080,2924,7080,2909,7078,2895,7074,2882,7069,2870xe" filled="true" fillcolor="#fbc8b4" stroked="false">
              <v:path arrowok="t"/>
              <v:fill type="solid"/>
            </v:shape>
            <v:shape style="position:absolute;left:6860;top:2908;width:237;height:98" coordorigin="6860,2909" coordsize="237,98" path="m7085,2983l7007,2983,7033,2985,7055,2991,7097,3006,7092,2990,7085,2983xm6927,2909l6891,2919,6866,2944,6860,2972,6885,2994,6915,2998,6945,2993,6976,2986,7007,2983,7085,2983,7079,2976,7061,2964,7042,2951,7016,2935,6989,2922,6960,2912,6927,2909xe" filled="true" fillcolor="#fff685" stroked="false">
              <v:path arrowok="t"/>
              <v:fill type="solid"/>
            </v:shape>
            <v:shape style="position:absolute;left:7292;top:2912;width:62;height:47" coordorigin="7292,2912" coordsize="62,47" path="m7300,2918l7294,2920,7299,2922,7300,2918m7302,2917l7302,2917,7300,2916,7300,2918,7302,2917m7307,2919l7307,2913,7299,2913,7302,2917,7307,2919m7354,2912l7349,2913,7347,2918,7338,2916,7331,2916,7320,2926,7307,2935,7296,2945,7292,2959,7307,2948,7321,2937,7335,2926,7349,2918,7351,2916,7351,2914,7354,2912e" filled="true" fillcolor="#fbc8b4" stroked="false">
              <v:path arrowok="t"/>
              <v:fill type="solid"/>
            </v:shape>
            <v:shape style="position:absolute;left:7281;top:93;width:1098;height:2805" coordorigin="7281,93" coordsize="1098,2805" path="m7567,2356l7559,2271,7537,2196,7500,2135,7459,2102,7405,2079,7346,2075,7290,2097,7283,2115,7281,2139,7282,2166,7285,2193,7288,2214,7291,2236,7294,2256,7298,2274,7314,2360,7327,2444,7336,2528,7338,2614,7334,2706,7334,2718,7333,2729,7332,2739,7331,2747,7329,2751,7331,2750,7326,2783,7320,2816,7316,2850,7316,2885,7321,2888,7326,2892,7329,2898,7358,2893,7381,2880,7402,2862,7421,2844,7432,2821,7446,2798,7461,2776,7474,2754,7477,2749,7495,2712,7514,2664,7530,2613,7544,2561,7550,2534,7554,2505,7557,2476,7561,2447,7567,2356m8379,93l8371,93,8370,99,8366,131,8366,158,8373,148,8376,136,8376,122,8377,108,8379,93e" filled="true" fillcolor="#b7705b" stroked="false">
              <v:path arrowok="t"/>
              <v:fill type="solid"/>
            </v:shape>
            <v:shape style="position:absolute;left:7255;top:2907;width:243;height:114" type="#_x0000_t75" stroked="false">
              <v:imagedata r:id="rId325" o:title=""/>
            </v:shape>
            <v:shape style="position:absolute;left:7173;top:3021;width:385;height:2794" coordorigin="7173,3021" coordsize="385,2794" path="m7279,3021l7257,3050,7247,3088,7247,3132,7250,3178,7254,3261,7255,3345,7253,3431,7248,3607,7245,3676,7242,3749,7238,3821,7235,3892,7231,3969,7227,4043,7223,4122,7219,4201,7214,4280,7210,4359,7206,4438,7203,4515,7201,4590,7200,4663,7200,4732,7201,4816,7203,4898,7207,4979,7212,5060,7220,5138,7231,5216,7235,5233,7238,5249,7242,5266,7244,5283,7246,5364,7237,5440,7222,5512,7206,5586,7199,5610,7184,5658,7178,5682,7173,5726,7179,5769,7199,5802,7235,5815,7248,5812,7265,5806,7282,5798,7296,5791,7305,5784,7315,5775,7326,5765,7347,5746,7356,5736,7365,5726,7373,5717,7421,5652,7468,5580,7509,5503,7539,5428,7543,5414,7546,5398,7548,5383,7552,5367,7558,5302,7555,5288,7338,5288,7319,5274,7306,5246,7297,5212,7292,5181,7290,5168,7289,5155,7287,5142,7287,5130,7283,5054,7280,4978,7280,4901,7280,4824,7282,4749,7285,4675,7288,4600,7292,4523,7300,4368,7305,4289,7308,4210,7312,4130,7315,4050,7317,3969,7319,3889,7319,3809,7319,3729,7317,3649,7314,3570,7314,3545,7314,3520,7314,3495,7314,3471,7312,3415,7306,3361,7299,3307,7290,3255,7281,3200,7273,3137,7271,3076,7279,3023,7280,3023,7281,3022,7279,3021xm7476,5172l7460,5184,7445,5202,7431,5221,7415,5240,7401,5257,7383,5274,7362,5286,7338,5288,7555,5288,7546,5245,7518,5201,7476,5172xm7280,3023l7279,3023,7280,3023,7280,3023xe" filled="true" fillcolor="#b7705b" stroked="false">
              <v:path arrowok="t"/>
              <v:fill type="solid"/>
            </v:shape>
            <v:shape style="position:absolute;left:6614;top:3039;width:388;height:181" type="#_x0000_t75" stroked="false">
              <v:imagedata r:id="rId326" o:title=""/>
            </v:shape>
            <v:shape style="position:absolute;left:7339;top:3043;width:395;height:181" type="#_x0000_t75" stroked="false">
              <v:imagedata r:id="rId327" o:title=""/>
            </v:shape>
            <v:shape style="position:absolute;left:6758;top:632;width:251;height:4654" coordorigin="6758,633" coordsize="251,4654" path="m7005,633l6982,639,6961,648,6942,658,6924,670,6945,663,6964,653,6984,642,7005,633m7009,4516l7008,4432,7007,4349,7006,4265,7004,4183,6999,4020,6997,3940,6996,3869,6995,3794,6995,3717,6995,3639,6997,3564,6999,3494,7001,3479,7003,3463,7005,3448,7005,3434,7001,3413,6994,3397,6984,3382,6970,3367,6963,3360,6955,3352,6948,3345,6940,3340,6908,3325,6871,3317,6835,3320,6806,3334,6802,3342,6794,3353,6785,3364,6775,3369,6789,3369,6775,3386,6772,3395,6769,3406,6767,3413,6760,3450,6758,3491,6759,3537,6762,3587,6762,3600,6762,3614,6761,3628,6762,3642,6766,3679,6771,3717,6777,3755,6782,3793,6786,3832,6788,3871,6790,3911,6791,3951,6794,4036,6796,4119,6796,4200,6795,4281,6794,4441,6793,4521,6794,4600,6795,4682,6797,4773,6800,4861,6805,4945,6813,5028,6816,5057,6819,5086,6822,5114,6828,5141,6836,5165,6848,5193,6861,5221,6874,5244,6878,5251,6881,5258,6885,5264,6911,5287,6936,5282,6954,5258,6961,5224,6973,5152,6983,5078,6991,5002,6997,4924,7002,4845,7005,4764,7008,4680,7009,4599,7009,4516e" filled="true" fillcolor="#b7705b" stroked="false">
              <v:path arrowok="t"/>
              <v:fill type="solid"/>
            </v:shape>
            <v:shape style="position:absolute;left:6350;top:629;width:1529;height:1243" type="#_x0000_t75" stroked="false">
              <v:imagedata r:id="rId328" o:title=""/>
            </v:shape>
            <v:shape style="position:absolute;left:6758;top:3318;width:251;height:1969" type="#_x0000_t75" stroked="false">
              <v:imagedata r:id="rId329" o:title=""/>
            </v:shape>
            <v:shape style="position:absolute;left:7665;top:708;width:144;height:135" type="#_x0000_t75" stroked="false">
              <v:imagedata r:id="rId330" o:title=""/>
            </v:shape>
            <v:shape style="position:absolute;left:7798;top:943;width:142;height:179" type="#_x0000_t75" stroked="false">
              <v:imagedata r:id="rId331" o:title=""/>
            </v:shape>
            <v:shape style="position:absolute;left:6802;top:1075;width:214;height:101" type="#_x0000_t75" stroked="false">
              <v:imagedata r:id="rId332" o:title=""/>
            </v:shape>
            <v:shape style="position:absolute;left:7798;top:1196;width:128;height:179" type="#_x0000_t75" stroked="false">
              <v:imagedata r:id="rId333" o:title=""/>
            </v:shape>
            <v:shape style="position:absolute;left:6621;top:1365;width:899;height:336" coordorigin="6622,1366" coordsize="899,336" path="m6872,1471l6867,1466,6862,1472,6856,1473,6828,1472,6797,1467,6767,1459,6760,1456,6741,1449,6758,1435,6787,1435,6818,1440,6841,1441,6835,1435,6834,1434,6819,1432,6806,1430,6787,1429,6767,1428,6747,1430,6729,1434,6725,1442,6725,1446,6729,1454,6713,1473,6696,1491,6678,1507,6659,1522,6648,1526,6634,1523,6631,1515,6633,1505,6631,1486,6627,1478,6622,1485,6622,1495,6624,1505,6624,1507,6622,1517,6637,1527,6652,1528,6656,1526,6668,1521,6683,1511,6697,1497,6724,1467,6736,1456,6757,1464,6783,1471,6810,1476,6837,1478,6849,1479,6866,1482,6871,1473,6872,1471m7123,1379l7103,1372,7100,1371,7087,1369,7084,1368,7064,1367,7040,1366,7038,1372,7047,1369,7047,1373,7036,1376,7025,1380,7016,1385,7007,1390,7007,1385,7006,1383,7003,1382,7001,1403,7011,1420,7028,1431,7045,1432,7034,1426,7023,1421,7013,1414,7007,1403,7007,1400,7009,1399,7008,1395,7024,1390,7040,1384,7055,1378,7069,1371,7076,1379,7092,1383,7111,1383,7123,1379m7520,1625l7514,1616,7512,1614,7499,1608,7484,1606,7465,1607,7429,1612,7394,1621,7358,1630,7322,1638,7276,1645,7230,1649,7185,1649,7141,1646,7102,1639,7064,1629,7026,1619,6999,1613,6988,1611,6926,1603,6874,1618,6840,1651,6835,1701,6841,1668,6866,1634,6916,1613,6997,1622,7018,1628,7058,1642,7078,1647,7122,1656,7167,1660,7215,1661,7264,1659,7325,1649,7327,1649,7382,1636,7438,1624,7498,1620,7506,1619,7491,1617,7498,1616,7506,1618,7511,1631,7520,1625e" filled="true" fillcolor="#b7705b" stroked="false">
              <v:path arrowok="t"/>
              <v:fill type="solid"/>
            </v:shape>
            <v:shape style="position:absolute;left:7255;top:2907;width:243;height:114" type="#_x0000_t75" stroked="false">
              <v:imagedata r:id="rId334" o:title=""/>
            </v:shape>
            <v:shape style="position:absolute;left:7173;top:3021;width:385;height:2794" type="#_x0000_t75" stroked="false">
              <v:imagedata r:id="rId335" o:title=""/>
            </v:shape>
            <v:shape style="position:absolute;left:6839;top:2099;width:285;height:770" coordorigin="6840,2099" coordsize="285,770" path="m7032,2099l6946,2125,6895,2178,6855,2255,6840,2350,6845,2468,6859,2561,6876,2634,6910,2746,6938,2806,6997,2865,7026,2869,7054,2857,7062,2827,7061,2797,7058,2765,7054,2732,7054,2671,7060,2557,7070,2467,7083,2394,7098,2324,7107,2291,7116,2258,7123,2226,7124,2206,7124,2182,7120,2159,7113,2143,7087,2115,7061,2102,7032,2099xe" filled="true" fillcolor="#ffe1c0" stroked="false">
              <v:path arrowok="t"/>
              <v:fill type="solid"/>
            </v:shape>
            <v:shape style="position:absolute;left:6863;top:2123;width:237;height:722" coordorigin="6864,2123" coordsize="237,722" path="m7037,2123l7026,2123,7014,2124,6914,2192,6878,2262,6864,2350,6868,2458,6880,2545,6895,2614,6915,2685,6943,2765,6982,2826,7020,2845,7025,2845,7030,2844,7035,2842,7038,2826,7038,2816,7038,2808,7037,2794,7035,2776,7033,2765,7032,2755,7031,2744,7031,2733,7030,2670,7032,2611,7042,2501,7053,2425,7066,2354,7087,2272,7092,2255,7096,2238,7099,2222,7100,2203,7100,2184,7065,2129,7052,2124,7037,2123xe" filled="true" fillcolor="#fdc689" stroked="false">
              <v:path arrowok="t"/>
              <v:fill type="solid"/>
            </v:shape>
            <v:shape style="position:absolute;left:7281;top:2072;width:286;height:811" coordorigin="7282,2073" coordsize="286,811" path="m7341,2073l7296,2101,7283,2136,7282,2179,7288,2226,7298,2274,7309,2327,7321,2392,7332,2471,7338,2565,7335,2719,7326,2814,7323,2864,7336,2883,7378,2873,7423,2838,7468,2776,7509,2683,7543,2557,7557,2475,7567,2356,7559,2271,7537,2196,7500,2135,7456,2101,7399,2076,7341,2073xe" filled="true" fillcolor="#ffe1c0" stroked="false">
              <v:path arrowok="t"/>
              <v:fill type="solid"/>
            </v:shape>
            <v:shape style="position:absolute;left:7305;top:2095;width:238;height:764" coordorigin="7306,2095" coordsize="238,764" path="m7361,2095l7306,2142,7306,2178,7311,2219,7319,2260,7324,2285,7326,2294,7337,2346,7348,2408,7357,2480,7362,2564,7362,2651,7359,2721,7355,2775,7350,2816,7349,2829,7348,2840,7347,2851,7346,2859,7377,2846,7451,2756,7488,2671,7519,2552,7533,2472,7543,2353,7535,2272,7515,2204,7482,2151,7429,2113,7394,2100,7361,2095xe" filled="true" fillcolor="#fdc689" stroked="false">
              <v:path arrowok="t"/>
              <v:fill type="solid"/>
            </v:shape>
            <v:shape style="position:absolute;left:349;top:14402;width:2983;height:5603" coordorigin="349,14402" coordsize="2983,5603" path="m5860,631l6064,631m5989,1645l6962,1725m5992,2111l7045,2021m5644,3643l7169,3643m8415,2326l7440,2326m8455,2955l7440,2955m8395,1867l7194,1867m5742,5963l7037,5963,7129,5776m5849,2948l6816,2950m7278,360l7321,360,7321,570,7278,570m7321,465l8627,465e" filled="false" stroked="true" strokeweight=".75pt" strokecolor="#231f20">
              <v:path arrowok="t"/>
              <v:stroke dashstyle="solid"/>
            </v:shape>
            <w10:wrap type="none"/>
          </v:group>
        </w:pict>
      </w:r>
      <w:r>
        <w:rPr/>
        <w:pict>
          <v:group style="position:absolute;margin-left:120.656998pt;margin-top:4.546466pt;width:147.5pt;height:177.3pt;mso-position-horizontal-relative:page;mso-position-vertical-relative:paragraph;z-index:-273548288" coordorigin="2413,91" coordsize="2950,3546">
            <v:shape style="position:absolute;left:2440;top:93;width:438;height:1012" coordorigin="2441,93" coordsize="438,1012" path="m2588,93l2441,93,2443,111,2458,210,2482,343,2519,507,2568,667,2667,913,2750,1064,2781,1105,2878,977,2791,819,2722,660,2681,542,2633,363,2614,262,2588,93xe" filled="true" fillcolor="#ffd768" stroked="false">
              <v:path arrowok="t"/>
              <v:fill type="solid"/>
            </v:shape>
            <v:shape style="position:absolute;left:-310;top:13702;width:438;height:1012" coordorigin="-310,13702" coordsize="438,1012" path="m2750,1064l2667,913,2568,667,2519,507,2482,343,2458,210,2449,146,2443,111,2441,93m2588,93l2595,140,2605,201,2611,245,2614,262,2633,363,2681,542,2722,660,2791,819,2878,977,2781,1105,2750,1064e" filled="false" stroked="true" strokeweight=".25pt" strokecolor="#b7705b">
              <v:path arrowok="t"/>
              <v:stroke dashstyle="solid"/>
            </v:shape>
            <v:shape style="position:absolute;left:2436;top:93;width:16;height:36" coordorigin="2437,93" coordsize="16,36" path="m2452,125l2447,125,2447,129,2453,128,2452,125xm2448,93l2437,93,2437,100,2439,114,2442,126,2447,125,2452,125,2450,113,2449,97,2448,93xe" filled="true" fillcolor="#b7705b" stroked="false">
              <v:path arrowok="t"/>
              <v:fill type="solid"/>
            </v:shape>
            <v:shape style="position:absolute;left:4869;top:93;width:373;height:976" coordorigin="4870,93" coordsize="373,976" path="m5242,93l5089,93,5088,102,5082,175,5069,291,5046,421,5009,580,4968,707,4928,808,4870,940,4895,992,4975,1069,5031,982,5095,833,5152,666,5189,518,5214,380,5229,241,5237,165,5242,93xe" filled="true" fillcolor="#ffd768" stroked="false">
              <v:path arrowok="t"/>
              <v:fill type="solid"/>
            </v:shape>
            <v:shape style="position:absolute;left:0;top:13826;width:373;height:976" coordorigin="0,13827" coordsize="373,976" path="m4870,940l4928,808,4968,707,5009,580,5046,421,5069,291,5082,175,5088,102,5089,93m5242,93l5237,165,5231,220,5229,241,5214,380,5189,518,5152,666,5095,833,5031,982,4975,1069,4895,992,4870,940e" filled="false" stroked="true" strokeweight=".25pt" strokecolor="#b7705b">
              <v:path arrowok="t"/>
              <v:stroke dashstyle="solid"/>
            </v:shape>
            <v:shape style="position:absolute;left:2415;top:2247;width:1162;height:543" type="#_x0000_t75" stroked="false">
              <v:imagedata r:id="rId336" o:title=""/>
            </v:shape>
            <v:shape style="position:absolute;left:4106;top:2342;width:1090;height:457" type="#_x0000_t75" stroked="false">
              <v:imagedata r:id="rId337" o:title=""/>
            </v:shape>
            <v:shape style="position:absolute;left:2413;top:90;width:2950;height:3088" type="#_x0000_t75" stroked="false">
              <v:imagedata r:id="rId338" o:title=""/>
            </v:shape>
            <v:shape style="position:absolute;left:2921;top:817;width:1921;height:2298" type="#_x0000_t75" stroked="false">
              <v:imagedata r:id="rId339" o:title=""/>
            </v:shape>
            <v:shape style="position:absolute;left:2731;top:663;width:2305;height:2500" coordorigin="2731,663" coordsize="2305,2500" path="m4023,663l3715,663,3503,723,3349,763,3272,803,3200,843,3134,883,3117,883,3100,903,3066,923,3030,943,2986,983,2937,1043,2886,1103,2837,1183,2795,1263,2762,1343,2742,1423,2736,1463,2733,1503,2731,1543,2733,1583,2747,1683,2774,1763,2812,1843,2857,1903,2909,1963,2963,2023,3018,2063,3070,2083,3145,2123,3214,2163,3348,2203,3421,2223,3472,2243,3519,2243,3563,2263,3604,2283,3619,2283,3627,2303,3635,2303,3633,2323,3644,2323,3646,2343,3647,2363,3646,2363,3644,2383,3640,2403,3633,2423,3622,2443,3612,2463,3605,2483,3601,2503,3590,2543,3587,2563,3584,2583,3583,2603,3581,2643,3579,2683,3576,2723,3574,2763,3573,2803,3578,2863,3592,2923,3615,3003,3646,3063,3685,3143,3711,3163,3754,3163,3764,3143,3765,3063,3747,3003,3723,2923,3707,2863,3706,2843,3705,2843,3703,2803,3703,2743,3712,2683,3726,2623,3744,2563,3764,2503,3786,2443,3801,2383,3802,2323,3781,2263,3739,2203,3682,2163,3615,2123,3543,2103,3379,2063,3302,2023,3229,2003,3160,1963,3098,1903,3042,1863,2994,1783,2953,1723,2922,1643,2907,1583,2905,1503,2914,1423,2933,1363,2974,1283,3024,1203,3082,1123,3145,1063,3213,1023,3284,963,3357,923,3430,903,3501,863,3570,843,3635,843,3695,823,4509,823,4475,803,4406,763,4334,743,4259,703,4183,683,4104,683,4023,663xm4509,823l4050,823,4115,843,4322,903,4462,983,4530,1023,4596,1083,4660,1143,4720,1203,4775,1283,4810,1343,4841,1403,4862,1483,4867,1563,4866,1583,4865,1603,4864,1623,4861,1643,4850,1683,4833,1723,4814,1763,4795,1803,4752,1863,4697,1923,4640,1963,4594,2003,4557,2023,4519,2043,4479,2043,4438,2063,4410,2083,4381,2083,4351,2103,4322,2103,4228,2123,4180,2143,4132,2143,4092,2163,4050,2163,4010,2183,3977,2203,3940,2243,3914,2283,3903,2343,3907,2423,3911,2443,3916,2443,3921,2463,3926,2483,3938,2543,3942,2543,3958,2623,3968,2683,3972,2763,3970,2843,3968,2863,3965,2903,3961,2943,3954,2983,3948,3003,3941,3043,3933,3063,3928,3083,3927,3123,3934,3143,3947,3163,3980,3163,3994,3143,4006,3123,4014,3123,4032,3083,4050,3063,4066,3023,4082,2983,4092,2963,4104,2903,4113,2843,4117,2783,4115,2723,4110,2663,4101,2603,4090,2543,4080,2503,4070,2463,4066,2423,4072,2363,4103,2343,4141,2303,4184,2303,4231,2283,4323,2243,4403,2223,4475,2203,4541,2183,4603,2163,4666,2123,4730,2083,4804,2043,4869,1983,4926,1923,4975,1863,5008,1783,5028,1723,5036,1643,5034,1563,5025,1483,5010,1423,4993,1363,4970,1323,4944,1263,4916,1223,4874,1163,4827,1103,4777,1043,4723,983,4666,923,4606,883,4542,843,4509,823xe" filled="true" fillcolor="#fcd3c1" stroked="false">
              <v:path arrowok="t"/>
              <v:fill type="solid"/>
            </v:shape>
            <v:shape style="position:absolute;left:2718;top:481;width:2345;height:1058" type="#_x0000_t75" stroked="false">
              <v:imagedata r:id="rId340" o:title=""/>
            </v:shape>
            <v:shape style="position:absolute;left:2934;top:839;width:2364;height:1456" type="#_x0000_t75" stroked="false">
              <v:imagedata r:id="rId341" o:title=""/>
            </v:shape>
            <v:shape style="position:absolute;left:-1451;top:14673;width:1451;height:2998" coordorigin="-1450,14673" coordsize="1451,2998" path="m5295,631l5086,631m5056,3629l3845,2961m5042,2763l4192,2673e" filled="false" stroked="true" strokeweight=".75pt" strokecolor="#231f20">
              <v:path arrowok="t"/>
              <v:stroke dashstyle="solid"/>
            </v:shape>
            <w10:wrap type="none"/>
          </v:group>
        </w:pict>
      </w:r>
      <w:r>
        <w:rPr>
          <w:rFonts w:ascii="Helvetica"/>
          <w:b/>
          <w:color w:val="231F20"/>
          <w:sz w:val="16"/>
        </w:rPr>
        <w:t>Female</w:t>
        <w:tab/>
      </w:r>
      <w:r>
        <w:rPr>
          <w:rFonts w:ascii="Helvetica"/>
          <w:b/>
          <w:color w:val="231F20"/>
          <w:spacing w:val="-5"/>
          <w:sz w:val="16"/>
        </w:rPr>
        <w:t>Male</w:t>
      </w:r>
    </w:p>
    <w:p>
      <w:pPr>
        <w:pStyle w:val="BodyText"/>
        <w:spacing w:before="2"/>
        <w:rPr>
          <w:rFonts w:ascii="Helvetica"/>
          <w:b/>
          <w:sz w:val="21"/>
        </w:rPr>
      </w:pPr>
    </w:p>
    <w:p>
      <w:pPr>
        <w:spacing w:before="0"/>
        <w:ind w:left="0" w:right="1567" w:firstLine="0"/>
        <w:jc w:val="right"/>
        <w:rPr>
          <w:rFonts w:ascii="Helvetica"/>
          <w:sz w:val="16"/>
        </w:rPr>
      </w:pPr>
      <w:r>
        <w:rPr>
          <w:rFonts w:ascii="Helvetica"/>
          <w:color w:val="231F20"/>
          <w:w w:val="95"/>
          <w:sz w:val="16"/>
        </w:rPr>
        <w:t>Ureters</w:t>
      </w:r>
    </w:p>
    <w:p>
      <w:pPr>
        <w:pStyle w:val="BodyText"/>
        <w:rPr>
          <w:rFonts w:ascii="Helvetica"/>
          <w:sz w:val="18"/>
        </w:rPr>
      </w:pPr>
      <w:r>
        <w:rPr/>
        <w:br w:type="column"/>
      </w:r>
      <w:r>
        <w:rPr>
          <w:rFonts w:ascii="Helvetica"/>
          <w:sz w:val="18"/>
        </w:rPr>
      </w:r>
    </w:p>
    <w:p>
      <w:pPr>
        <w:spacing w:line="235" w:lineRule="auto" w:before="152"/>
        <w:ind w:left="1207" w:right="2950" w:firstLine="0"/>
        <w:jc w:val="left"/>
        <w:rPr>
          <w:rFonts w:ascii="Helvetica"/>
          <w:sz w:val="16"/>
        </w:rPr>
      </w:pPr>
      <w:r>
        <w:rPr>
          <w:rFonts w:ascii="Helvetica"/>
          <w:color w:val="231F20"/>
          <w:sz w:val="16"/>
        </w:rPr>
        <w:t>Detrusor muscle</w:t>
      </w:r>
    </w:p>
    <w:p>
      <w:pPr>
        <w:spacing w:after="0" w:line="235" w:lineRule="auto"/>
        <w:jc w:val="left"/>
        <w:rPr>
          <w:rFonts w:ascii="Helvetica"/>
          <w:sz w:val="16"/>
        </w:rPr>
        <w:sectPr>
          <w:type w:val="continuous"/>
          <w:pgSz w:w="12240" w:h="15660"/>
          <w:pgMar w:top="0" w:bottom="760" w:left="0" w:right="0"/>
          <w:cols w:num="2" w:equalWidth="0">
            <w:col w:w="7409" w:space="40"/>
            <w:col w:w="4791"/>
          </w:cols>
        </w:sectPr>
      </w:pPr>
    </w:p>
    <w:p>
      <w:pPr>
        <w:pStyle w:val="BodyText"/>
        <w:rPr>
          <w:rFonts w:ascii="Helvetica"/>
        </w:rPr>
      </w:pPr>
    </w:p>
    <w:p>
      <w:pPr>
        <w:pStyle w:val="BodyText"/>
        <w:spacing w:before="2"/>
        <w:rPr>
          <w:rFonts w:ascii="Helvetica"/>
          <w:sz w:val="27"/>
        </w:rPr>
      </w:pPr>
    </w:p>
    <w:p>
      <w:pPr>
        <w:spacing w:after="0"/>
        <w:rPr>
          <w:rFonts w:ascii="Helvetica"/>
          <w:sz w:val="27"/>
        </w:rPr>
        <w:sectPr>
          <w:type w:val="continuous"/>
          <w:pgSz w:w="12240" w:h="15660"/>
          <w:pgMar w:top="0" w:bottom="760" w:left="0" w:right="0"/>
        </w:sectPr>
      </w:pPr>
    </w:p>
    <w:p>
      <w:pPr>
        <w:spacing w:line="235" w:lineRule="auto" w:before="102"/>
        <w:ind w:left="5315" w:right="389" w:firstLine="0"/>
        <w:jc w:val="left"/>
        <w:rPr>
          <w:rFonts w:ascii="Helvetica"/>
          <w:sz w:val="16"/>
        </w:rPr>
      </w:pPr>
      <w:r>
        <w:rPr>
          <w:rFonts w:ascii="Helvetica"/>
          <w:color w:val="231F20"/>
          <w:sz w:val="16"/>
        </w:rPr>
        <w:t>Ureteric openings</w:t>
      </w:r>
    </w:p>
    <w:p>
      <w:pPr>
        <w:spacing w:line="235" w:lineRule="auto" w:before="96"/>
        <w:ind w:left="5315" w:right="389" w:firstLine="0"/>
        <w:jc w:val="left"/>
        <w:rPr>
          <w:rFonts w:ascii="Helvetica"/>
          <w:sz w:val="16"/>
        </w:rPr>
      </w:pPr>
      <w:r>
        <w:rPr>
          <w:rFonts w:ascii="Helvetica"/>
          <w:color w:val="231F20"/>
          <w:sz w:val="16"/>
        </w:rPr>
        <w:t>Internal sphincter</w:t>
      </w:r>
    </w:p>
    <w:p>
      <w:pPr>
        <w:pStyle w:val="BodyText"/>
        <w:rPr>
          <w:rFonts w:ascii="Helvetica"/>
          <w:sz w:val="18"/>
        </w:rPr>
      </w:pPr>
    </w:p>
    <w:p>
      <w:pPr>
        <w:pStyle w:val="BodyText"/>
        <w:spacing w:before="9"/>
        <w:rPr>
          <w:rFonts w:ascii="Helvetica"/>
          <w:sz w:val="24"/>
        </w:rPr>
      </w:pPr>
    </w:p>
    <w:p>
      <w:pPr>
        <w:spacing w:line="235" w:lineRule="auto" w:before="0"/>
        <w:ind w:left="5075" w:right="-20" w:firstLine="0"/>
        <w:jc w:val="left"/>
        <w:rPr>
          <w:rFonts w:ascii="Helvetica"/>
          <w:sz w:val="16"/>
        </w:rPr>
      </w:pPr>
      <w:r>
        <w:rPr/>
        <w:pict>
          <v:rect style="position:absolute;margin-left:0pt;margin-top:8.98542pt;width:36pt;height:24pt;mso-position-horizontal-relative:page;mso-position-vertical-relative:paragraph;z-index:251854848" filled="true" fillcolor="#e8dac8" stroked="false">
            <v:fill type="solid"/>
            <w10:wrap type="none"/>
          </v:rect>
        </w:pict>
      </w:r>
      <w:r>
        <w:rPr>
          <w:rFonts w:ascii="Helvetica"/>
          <w:color w:val="231F20"/>
          <w:sz w:val="16"/>
        </w:rPr>
        <w:t>Urogenital diaphragm (including external sphincter)</w:t>
      </w:r>
    </w:p>
    <w:p>
      <w:pPr>
        <w:spacing w:before="141"/>
        <w:ind w:left="5092" w:right="0" w:firstLine="0"/>
        <w:jc w:val="left"/>
        <w:rPr>
          <w:rFonts w:ascii="Helvetica"/>
          <w:sz w:val="16"/>
        </w:rPr>
      </w:pPr>
      <w:r>
        <w:rPr>
          <w:rFonts w:ascii="Helvetica"/>
          <w:color w:val="231F20"/>
          <w:sz w:val="16"/>
        </w:rPr>
        <w:t>Urethra</w:t>
      </w:r>
    </w:p>
    <w:p>
      <w:pPr>
        <w:pStyle w:val="BodyText"/>
        <w:rPr>
          <w:rFonts w:ascii="Helvetica"/>
          <w:sz w:val="18"/>
        </w:rPr>
      </w:pPr>
      <w:r>
        <w:rPr/>
        <w:br w:type="column"/>
      </w:r>
      <w:r>
        <w:rPr>
          <w:rFonts w:ascii="Helvetica"/>
          <w:sz w:val="18"/>
        </w:rPr>
      </w:r>
    </w:p>
    <w:p>
      <w:pPr>
        <w:pStyle w:val="BodyText"/>
        <w:spacing w:before="3"/>
        <w:rPr>
          <w:rFonts w:ascii="Helvetica"/>
          <w:sz w:val="25"/>
        </w:rPr>
      </w:pPr>
    </w:p>
    <w:p>
      <w:pPr>
        <w:spacing w:line="600" w:lineRule="auto" w:before="0"/>
        <w:ind w:left="2018" w:right="2756" w:hanging="20"/>
        <w:jc w:val="left"/>
        <w:rPr>
          <w:rFonts w:ascii="Helvetica"/>
          <w:sz w:val="16"/>
        </w:rPr>
      </w:pPr>
      <w:r>
        <w:rPr>
          <w:rFonts w:ascii="Helvetica"/>
          <w:color w:val="231F20"/>
          <w:sz w:val="16"/>
        </w:rPr>
        <w:t>Trigone Prostate gland</w:t>
      </w:r>
    </w:p>
    <w:p>
      <w:pPr>
        <w:pStyle w:val="BodyText"/>
        <w:spacing w:before="10"/>
        <w:rPr>
          <w:rFonts w:ascii="Helvetica"/>
          <w:sz w:val="14"/>
        </w:rPr>
      </w:pPr>
    </w:p>
    <w:p>
      <w:pPr>
        <w:spacing w:line="235" w:lineRule="auto" w:before="0"/>
        <w:ind w:left="2058" w:right="2796" w:firstLine="0"/>
        <w:jc w:val="left"/>
        <w:rPr>
          <w:rFonts w:ascii="Helvetica"/>
          <w:sz w:val="16"/>
        </w:rPr>
      </w:pPr>
      <w:r>
        <w:rPr>
          <w:rFonts w:ascii="Helvetica"/>
          <w:color w:val="231F20"/>
          <w:sz w:val="16"/>
        </w:rPr>
        <w:t>Bulbourethral gland</w:t>
      </w:r>
    </w:p>
    <w:p>
      <w:pPr>
        <w:spacing w:after="0" w:line="235" w:lineRule="auto"/>
        <w:jc w:val="left"/>
        <w:rPr>
          <w:rFonts w:ascii="Helvetica"/>
          <w:sz w:val="16"/>
        </w:rPr>
        <w:sectPr>
          <w:type w:val="continuous"/>
          <w:pgSz w:w="12240" w:h="15660"/>
          <w:pgMar w:top="0" w:bottom="760" w:left="0" w:right="0"/>
          <w:cols w:num="2" w:equalWidth="0">
            <w:col w:w="6374" w:space="40"/>
            <w:col w:w="5826"/>
          </w:cols>
        </w:sect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2"/>
        <w:rPr>
          <w:rFonts w:ascii="Helvetica"/>
          <w:sz w:val="17"/>
        </w:rPr>
      </w:pPr>
    </w:p>
    <w:p>
      <w:pPr>
        <w:spacing w:line="182" w:lineRule="exact" w:before="99"/>
        <w:ind w:left="0" w:right="6538" w:firstLine="0"/>
        <w:jc w:val="right"/>
        <w:rPr>
          <w:rFonts w:ascii="Helvetica"/>
          <w:sz w:val="16"/>
        </w:rPr>
      </w:pPr>
      <w:r>
        <w:rPr>
          <w:rFonts w:ascii="Helvetica"/>
          <w:color w:val="231F20"/>
          <w:sz w:val="16"/>
        </w:rPr>
        <w:t>External</w:t>
      </w:r>
      <w:r>
        <w:rPr>
          <w:rFonts w:ascii="Helvetica"/>
          <w:color w:val="231F20"/>
          <w:spacing w:val="-1"/>
          <w:sz w:val="16"/>
        </w:rPr>
        <w:t> </w:t>
      </w:r>
      <w:r>
        <w:rPr>
          <w:rFonts w:ascii="Helvetica"/>
          <w:color w:val="231F20"/>
          <w:sz w:val="16"/>
        </w:rPr>
        <w:t>urethral</w:t>
      </w:r>
    </w:p>
    <w:p>
      <w:pPr>
        <w:spacing w:line="182" w:lineRule="exact" w:before="0"/>
        <w:ind w:left="0" w:right="6538" w:firstLine="0"/>
        <w:jc w:val="right"/>
        <w:rPr>
          <w:rFonts w:ascii="Helvetica"/>
          <w:sz w:val="16"/>
        </w:rPr>
      </w:pPr>
      <w:r>
        <w:rPr>
          <w:rFonts w:ascii="Helvetica"/>
          <w:color w:val="231F20"/>
          <w:w w:val="95"/>
          <w:sz w:val="16"/>
        </w:rPr>
        <w:t>opening</w:t>
      </w:r>
    </w:p>
    <w:p>
      <w:pPr>
        <w:pStyle w:val="BodyText"/>
        <w:spacing w:before="9"/>
        <w:rPr>
          <w:rFonts w:ascii="Helvetica"/>
          <w:sz w:val="9"/>
        </w:rPr>
      </w:pPr>
    </w:p>
    <w:p>
      <w:pPr>
        <w:spacing w:before="99"/>
        <w:ind w:left="1864" w:right="2221" w:firstLine="0"/>
        <w:jc w:val="center"/>
        <w:rPr>
          <w:rFonts w:ascii="Arial"/>
          <w:sz w:val="16"/>
        </w:rPr>
      </w:pPr>
      <w:bookmarkStart w:name="_bookmark17" w:id="18"/>
      <w:bookmarkEnd w:id="18"/>
      <w:r>
        <w:rPr/>
      </w:r>
      <w:r>
        <w:rPr>
          <w:rFonts w:ascii="Trebuchet MS"/>
          <w:b/>
          <w:color w:val="231F20"/>
          <w:sz w:val="16"/>
        </w:rPr>
        <w:t>Figure 26-6. </w:t>
      </w:r>
      <w:r>
        <w:rPr>
          <w:rFonts w:ascii="Arial"/>
          <w:color w:val="231F20"/>
          <w:sz w:val="16"/>
        </w:rPr>
        <w:t>Anatomy of the urinary bladder and urethra in males and females.</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8"/>
        <w:rPr>
          <w:rFonts w:ascii="Arial"/>
        </w:rPr>
      </w:pPr>
    </w:p>
    <w:p>
      <w:pPr>
        <w:spacing w:before="0"/>
        <w:ind w:left="7946" w:right="0" w:firstLine="0"/>
        <w:jc w:val="left"/>
        <w:rPr>
          <w:rFonts w:ascii="Helvetica"/>
          <w:sz w:val="16"/>
        </w:rPr>
      </w:pPr>
      <w:r>
        <w:rPr/>
        <w:pict>
          <v:group style="position:absolute;margin-left:132.7117pt;margin-top:-39.2155pt;width:263.350pt;height:189.65pt;mso-position-horizontal-relative:page;mso-position-vertical-relative:paragraph;z-index:251862016" coordorigin="2654,-784" coordsize="5267,3793">
            <v:shape style="position:absolute;left:6454;top:1850;width:255;height:1054" type="#_x0000_t75" stroked="false">
              <v:imagedata r:id="rId342" o:title=""/>
            </v:shape>
            <v:shape style="position:absolute;left:6454;top:1850;width:255;height:1054" coordorigin="6454,1850" coordsize="255,1054" path="m6709,1883l6669,1859,6582,1850,6494,1859,6454,1883,6454,2843,6481,2884,6544,2904,6619,2904,6683,2884,6709,2843,6709,1883xe" filled="false" stroked="true" strokeweight=".5pt" strokecolor="#b7705b">
              <v:path arrowok="t"/>
              <v:stroke dashstyle="solid"/>
            </v:shape>
            <v:shape style="position:absolute;left:5606;top:-55;width:730;height:1730" coordorigin="5606,-55" coordsize="730,1730" path="m5691,-55l5653,-50,5618,-34,5606,-13,5609,-1,5617,31,5641,150,5655,235,5668,335,5679,449,5687,576,5689,714,5692,804,5698,889,5710,971,5726,1049,5746,1122,5771,1192,5801,1257,5835,1319,5874,1377,5917,1431,5966,1481,6019,1527,6076,1570,6138,1608,6205,1643,6277,1675,6309,1669,6331,1637,6336,1598,6317,1572,6245,1540,6179,1504,6118,1463,6062,1418,6012,1368,5967,1314,5928,1256,5893,1192,5865,1124,5841,1052,5823,974,5810,892,5802,806,5799,714,5797,585,5791,465,5781,356,5770,258,5757,173,5744,100,5723,-2,5712,-43,5691,-55xe" filled="true" fillcolor="#ffd768" stroked="false">
              <v:path arrowok="t"/>
              <v:fill type="solid"/>
            </v:shape>
            <v:shape style="position:absolute;left:5606;top:-55;width:730;height:1730" coordorigin="5606,-55" coordsize="730,1730" path="m6317,1572l6245,1540,6179,1504,6118,1463,6062,1418,6012,1368,5967,1314,5928,1256,5893,1192,5865,1124,5841,1052,5823,974,5810,892,5802,806,5799,714,5797,585,5791,465,5781,356,5770,258,5757,173,5744,100,5723,-2,5691,-55,5653,-50,5618,-34,5606,-13,5609,-1,5617,31,5641,150,5655,235,5668,335,5679,449,5687,576,5689,714,5692,804,5698,889,5710,971,5726,1049,5746,1122,5771,1192,5801,1257,5835,1319,5874,1377,5917,1431,5966,1481,6019,1527,6076,1570,6138,1608,6205,1643,6277,1675,6309,1669,6331,1637,6336,1598,6317,1572xe" filled="false" stroked="true" strokeweight=".25pt" strokecolor="#b7705b">
              <v:path arrowok="t"/>
              <v:stroke dashstyle="solid"/>
            </v:shape>
            <v:shape style="position:absolute;left:6833;top:-55;width:730;height:1730" coordorigin="6834,-55" coordsize="730,1730" path="m7479,-55l7447,-2,7426,100,7413,173,7400,258,7389,356,7379,465,7373,585,7371,714,7368,806,7360,892,7347,974,7329,1052,7305,1124,7276,1192,7242,1256,7203,1314,7158,1368,7108,1418,7052,1463,6991,1504,6925,1540,6853,1572,6834,1598,6839,1637,6861,1669,6893,1675,6964,1643,7031,1608,7094,1570,7151,1527,7204,1481,7252,1431,7296,1377,7335,1319,7369,1257,7399,1192,7424,1122,7444,1049,7460,971,7471,889,7478,804,7481,714,7483,576,7491,449,7502,335,7515,235,7529,150,7542,81,7560,-1,7564,-13,7552,-34,7517,-50,7479,-55xe" filled="true" fillcolor="#ffd768" stroked="false">
              <v:path arrowok="t"/>
              <v:fill type="solid"/>
            </v:shape>
            <v:shape style="position:absolute;left:6833;top:-55;width:730;height:1730" coordorigin="6834,-55" coordsize="730,1730" path="m6853,1572l6925,1540,6991,1504,7052,1463,7108,1418,7158,1368,7203,1314,7242,1256,7276,1192,7305,1124,7329,1052,7347,974,7360,892,7368,806,7371,714,7373,585,7379,465,7389,356,7400,258,7413,173,7426,100,7447,-2,7479,-55,7517,-50,7552,-34,7564,-13,7560,-1,7553,31,7529,150,7515,235,7502,335,7491,449,7483,576,7481,714,7478,804,7471,889,7460,971,7444,1049,7424,1122,7399,1192,7369,1257,7335,1319,7296,1377,7252,1431,7204,1481,7151,1527,7094,1570,7031,1608,6964,1643,6893,1675,6861,1669,6839,1637,6834,1598,6853,1572xe" filled="false" stroked="true" strokeweight=".25pt" strokecolor="#b7705b">
              <v:path arrowok="t"/>
              <v:stroke dashstyle="solid"/>
            </v:shape>
            <v:shape style="position:absolute;left:5768;top:251;width:1639;height:1690" type="#_x0000_t75" stroked="false">
              <v:imagedata r:id="rId343" o:title=""/>
            </v:shape>
            <v:shape style="position:absolute;left:5768;top:251;width:1639;height:1690" coordorigin="5769,252" coordsize="1639,1690" path="m7407,923l7403,839,7390,761,7370,690,7343,625,7309,566,7269,512,7224,464,7174,421,7120,384,7063,351,7002,324,6939,301,6874,283,6808,269,6741,259,6674,254,6607,252,6540,253,6472,259,6404,268,6335,281,6268,298,6202,320,6138,347,6077,379,6019,415,5966,457,5918,505,5875,559,5839,619,5809,685,5787,757,5774,837,5769,923,5774,1015,5787,1104,5808,1190,5836,1272,5871,1351,5911,1426,5956,1497,6005,1563,6057,1625,6112,1682,6169,1734,6226,1781,6283,1822,6340,1857,6396,1887,6499,1928,6588,1941,6628,1938,6721,1911,6828,1858,6885,1823,6942,1782,7000,1736,7057,1684,7112,1627,7165,1565,7215,1499,7261,1428,7302,1354,7338,1275,7367,1192,7389,1106,7402,1016,7407,923xe" filled="false" stroked="true" strokeweight=".5pt" strokecolor="#b7705b">
              <v:path arrowok="t"/>
              <v:stroke dashstyle="solid"/>
            </v:shape>
            <v:shape style="position:absolute;left:-802;top:6892;width:1590;height:1662" coordorigin="-802,6893" coordsize="1590,1662" path="m6617,272l6643,544,6654,712,6652,844,6638,1011m6638,1362l6635,1626,6630,1770,6619,1845,6598,1900m6524,272l6436,348,6386,423,6358,541,6331,744m6305,1220l6351,1533,6391,1709,6447,1813,6541,1908m6694,275l6816,512,6867,695,6858,916,6797,1268m6780,1385l6747,1595,6721,1716,6688,1796,6636,1882m6278,469l6113,713,6059,909,6115,1158,6283,1563m6736,267l6744,274,6763,294,6790,325,6822,369,6856,426,6891,496,6923,580,6949,677,6968,788,6975,913,6969,1054m6958,1207l6926,1470,6885,1628,6807,1745,6665,1883m6099,378l5935,483,5851,580,5820,729,5816,985m5891,1287l5974,1504,6059,1640,6200,1753,6449,1900m7164,423l7333,601,7405,745,7392,932,7310,1238m6960,314l7158,427,7257,534,7287,698,7278,980m7270,1051l7255,1316,7201,1485,7066,1632,6806,1830m6262,310l6012,456,5891,593,5867,799,5905,1153m5972,1290l6040,1508,6115,1646,6247,1760,6482,1910m6422,273l6234,350,6131,426,6077,550,6038,767m6034,1189l6099,1494,6173,1673,6306,1794,6544,1928m6852,285l7078,396,7188,512,7213,702,7185,1038m7172,1194l7089,1538,7003,1730,6861,1837,6609,1928m6958,460l7136,682,7198,859,7148,1086,6989,1456m7211,1442l7070,1665,6964,1789,6839,1862,6642,1927e" filled="false" stroked="true" strokeweight=".25pt" strokecolor="#daaf9e">
              <v:path arrowok="t"/>
              <v:stroke dashstyle="solid"/>
            </v:shape>
            <v:shape style="position:absolute;left:6289;top:2404;width:577;height:260" type="#_x0000_t75" stroked="false">
              <v:imagedata r:id="rId344" o:title=""/>
            </v:shape>
            <v:shape style="position:absolute;left:6289;top:2404;width:577;height:260" coordorigin="6289,2405" coordsize="577,260" path="m6713,2405l6770,2424,6819,2449,6853,2478,6866,2510,6866,2541,6810,2613,6748,2640,6668,2657,6577,2664,6486,2657,6407,2640,6345,2613,6304,2580,6289,2541,6289,2510,6302,2477,6337,2448,6388,2423,6451,2405,6455,2455,6464,2478,6489,2495,6529,2506,6582,2510,6636,2506,6676,2495,6702,2478,6710,2456,6713,2405xe" filled="false" stroked="true" strokeweight=".5pt" strokecolor="#b7705b">
              <v:path arrowok="t"/>
              <v:stroke dashstyle="solid"/>
            </v:shape>
            <v:shape style="position:absolute;left:6290;top:2431;width:577;height:211" type="#_x0000_t75" stroked="false">
              <v:imagedata r:id="rId345" o:title=""/>
            </v:shape>
            <v:shape style="position:absolute;left:3139;top:2171;width:1025;height:89" coordorigin="3139,2172" coordsize="1025,89" path="m3139,2172l3237,2173,3326,2177,3407,2184,3483,2192,3554,2201,3622,2211,3689,2221,3757,2231,3827,2240,3901,2248,3981,2255,4068,2259,4164,2260e" filled="false" stroked="true" strokeweight="1pt" strokecolor="#0072bc">
              <v:path arrowok="t"/>
              <v:stroke dashstyle="solid"/>
            </v:shape>
            <v:shape style="position:absolute;left:0;top:6516;width:804;height:382" coordorigin="0,6516" coordsize="804,382" path="m3146,2150l3204,2147,3274,2134,3353,2109,3436,2068,3517,2007,3569,1956,3614,1907,3659,1863,3708,1825,3769,1795,3848,1775,3949,1768m3146,1929l3228,1925,3301,1915,3369,1900,3432,1881,3493,1860,3555,1838,3620,1817,3689,1798,3766,1782,3852,1772,3949,1768e" filled="false" stroked="true" strokeweight="1pt" strokecolor="#00a99d">
              <v:path arrowok="t"/>
              <v:stroke dashstyle="solid"/>
            </v:shape>
            <v:shape style="position:absolute;left:3202;top:1741;width:962;height:519" coordorigin="3202,1742" coordsize="962,519" path="m3202,1742l3273,1748,3344,1767,3414,1796,3484,1833,3552,1876,3620,1924,3686,1975,3752,2027,3816,2078,3878,2126,3939,2169,3998,2206,4056,2235,4111,2254,4164,2260e" filled="false" stroked="true" strokeweight="1pt" strokecolor="#0072bc">
              <v:path arrowok="t"/>
              <v:stroke dashstyle="solid"/>
            </v:shape>
            <v:shape style="position:absolute;left:0;top:6897;width:3258;height:654" coordorigin="0,6898" coordsize="3258,654" path="m3179,1937l3264,1941,3341,1952,3412,1970,3476,1993,3536,2021,3593,2051,3648,2082,3702,2115,3757,2146,3814,2176,3873,2203,3936,2227,4005,2244,4081,2256,4164,2260,4217,2260,4283,2260,4360,2260,4446,2260,4538,2260,4636,2260,4736,2260,4838,2260,4938,2260,5034,2260,5126,2260,5209,2260,5284,2260,5347,2260,5397,2260,5529,2263,5643,2270,5742,2282,5828,2297,5903,2314,5968,2334,6027,2356,6081,2378,6132,2400,6182,2422,6234,2442,6290,2461,6351,2477m6437,2590l6395,2589,6362,2585,6320,2579,6251,2567,6163,2547,6085,2523,6014,2496,5950,2466,5889,2434,5832,2402,5777,2371,5722,2342,5665,2315,5606,2293,5542,2275,5473,2264,5397,2260e" filled="false" stroked="true" strokeweight="1pt" strokecolor="#0072bc">
              <v:path arrowok="t"/>
              <v:stroke dashstyle="solid"/>
            </v:shape>
            <v:shape style="position:absolute;left:0;top:6897;width:1338;height:571" coordorigin="0,6898" coordsize="1338,571" path="m5225,1768l5333,1773,5428,1784,5513,1801,5587,1822,5653,1846,5712,1872,5765,1897,5814,1922,5901,1965,5986,2008,6065,2048,6134,2084,6187,2112,6300,2178,6413,2253,6500,2313,6535,2339m6532,2009l6505,2012,6482,2015,6451,2021,6399,2032,6339,2043,6268,2053,6188,2057,6104,2049,6018,2024m6562,2172l6529,2169,6501,2166,6466,2162,6406,2155,6336,2145,6274,2133,6218,2119,6167,2102e" filled="false" stroked="true" strokeweight="1pt" strokecolor="#00a99d">
              <v:path arrowok="t"/>
              <v:stroke dashstyle="solid"/>
            </v:shape>
            <v:shape style="position:absolute;left:0;top:6571;width:3755;height:786" coordorigin="0,6572" coordsize="3755,786" path="m3083,673l5726,673,5807,673,5854,672,5888,668,5927,660,6064,629,6152,600,6226,554,6324,473,6428,397,6496,365,6533,358,6545,359m6345,347l6350,418,6350,460,6344,492,6329,528,6289,597,6234,664,6175,725,6124,777,6091,817,6057,868,6006,935,5942,1007,5868,1073,5819,1103,5765,1121,5697,1130,5606,1132,4112,1132,4031,1116,3965,1073,3919,1009,3897,934m6002,639l6051,628,6120,621,6201,623,6283,641,6359,680,6420,731,6485,793,6535,845,6556,867m6837,510l6741,536,6684,550,6640,555,6589,555,6531,557,6484,559,6444,560,6406,555,6329,544,6268,544,6228,548,6214,550e" filled="false" stroked="true" strokeweight="1pt" strokecolor="#ed145b">
              <v:path arrowok="t"/>
              <v:stroke dashstyle="solid"/>
            </v:shape>
            <v:shape style="position:absolute;left:6410;top:306;width:397;height:390" type="#_x0000_t75" stroked="false">
              <v:imagedata r:id="rId346" o:title=""/>
            </v:shape>
            <v:shape style="position:absolute;left:3204;top:450;width:3686;height:1318" coordorigin="3204,451" coordsize="3686,1318" path="m6890,451l6866,529,6818,608,6783,658,6736,724,6684,798,6633,874,6590,944,6562,1001,6539,1057,6510,1114,6474,1171,6431,1228,6381,1285,6322,1341,6255,1395,6179,1448,6092,1498,6031,1532,5968,1564,5905,1596,5840,1627,5773,1656,5705,1683,5633,1707,5559,1728,5481,1745,5400,1758,5315,1766,5225,1768,3949,1768,3886,1767,3806,1762,3715,1756,3617,1748,3517,1740,3421,1733,3334,1726,3260,1722,3204,1720e" filled="false" stroked="true" strokeweight="1pt" strokecolor="#00a99d">
              <v:path arrowok="t"/>
              <v:stroke dashstyle="solid"/>
            </v:shape>
            <v:shape style="position:absolute;left:2657;top:-337;width:580;height:3342" type="#_x0000_t75" stroked="false">
              <v:imagedata r:id="rId347" o:title=""/>
            </v:shape>
            <v:shape style="position:absolute;left:2657;top:-337;width:580;height:3342" coordorigin="2658,-337" coordsize="580,3342" path="m3155,-337l3155,263,3156,324,3159,387,3163,452,3168,519,3174,588,3181,660,3189,734,3196,810,3204,889,3211,970,3218,1052,3225,1138,3230,1225,3234,1314,3237,1406,3238,1500,3236,1568,3232,1645,3226,1729,3218,1819,3208,1914,3195,2012,3182,2112,3167,2213,3150,2313,3133,2411,3115,2507,3096,2597,3077,2682,3058,2760,3039,2830,3019,2889,2982,2974,2948,3005,2932,2997,2899,2938,2862,2830,2842,2760,2823,2682,2804,2597,2785,2506,2766,2411,2749,2312,2732,2211,2716,2110,2702,2009,2689,1910,2679,1814,2670,1722,2663,1636,2659,1557,2658,1487,2659,1386,2662,1288,2666,1193,2672,1100,2679,1010,2687,923,2695,839,2703,757,2711,678,2719,602,2726,529,2732,458,2736,390,2739,325,2740,263,2740,-337,3155,-337xe" filled="false" stroked="true" strokeweight=".35pt" strokecolor="#b7705b">
              <v:path arrowok="t"/>
              <v:stroke dashstyle="solid"/>
            </v:shape>
            <v:shape style="position:absolute;left:-81;top:6897;width:580;height:1917" coordorigin="-80,6898" coordsize="580,1917" path="m2738,344l3157,344m2670,1199l3225,1199m2658,1416l3237,1416m2739,2261l3157,2261e" filled="false" stroked="true" strokeweight=".5pt" strokecolor="#b7705b">
              <v:path arrowok="t"/>
              <v:stroke dashstyle="solid"/>
            </v:shape>
            <v:shape style="position:absolute;left:-114;top:6724;width:520;height:364" coordorigin="-114,6725" coordsize="520,364" path="m5986,962l6018,942,6049,926,6081,911,6115,896,6163,873,6228,842,6302,812,6381,788m5872,1070l5935,1063,6009,1079,6081,1104,6143,1126,6204,1142,6269,1152,6332,1149,6392,1126e" filled="false" stroked="true" strokeweight="1pt" strokecolor="#ed145b">
              <v:path arrowok="t"/>
              <v:stroke dashstyle="solid"/>
            </v:shape>
            <v:shape style="position:absolute;left:-122;top:6845;width:449;height:412" coordorigin="-121,6845" coordsize="449,412" path="m6693,614l6665,685,6638,758,6613,832,6591,905,6572,974m6783,658l6819,623,6856,594,6896,573,6942,562m6632,875l6678,831,6737,796,6806,770,6879,753,6953,742,7021,739m6608,641l6625,664,6637,692,6643,719,6644,743e" filled="false" stroked="true" strokeweight="1pt" strokecolor="#00a99d">
              <v:path arrowok="t"/>
              <v:stroke dashstyle="solid"/>
            </v:shape>
            <v:shape style="position:absolute;left:6057;top:770;width:405;height:355" type="#_x0000_t75" stroked="false">
              <v:imagedata r:id="rId348" o:title=""/>
            </v:shape>
            <v:shape style="position:absolute;left:6210;top:955;width:549;height:468" coordorigin="6211,955" coordsize="549,468" path="m6211,1423l6288,1378,6367,1329,6441,1280,6503,1237,6561,1194,6625,1143,6685,1085,6732,1022,6759,955e" filled="false" stroked="true" strokeweight="1pt" strokecolor="#00a99d">
              <v:path arrowok="t"/>
              <v:stroke dashstyle="solid"/>
            </v:shape>
            <v:shape style="position:absolute;left:6265;top:995;width:145;height:19" coordorigin="6266,995" coordsize="145,19" path="m6266,1013l6291,1002,6328,996,6369,995,6411,1002e" filled="false" stroked="true" strokeweight="1.0pt" strokecolor="#ed145b">
              <v:path arrowok="t"/>
              <v:stroke dashstyle="solid"/>
            </v:shape>
            <v:shape style="position:absolute;left:6890;top:666;width:66;height:79" coordorigin="6890,667" coordsize="66,79" path="m6890,745l6909,729,6927,711,6944,690,6956,667e" filled="false" stroked="true" strokeweight="1pt" strokecolor="#00a99d">
              <v:path arrowok="t"/>
              <v:stroke dashstyle="solid"/>
            </v:shape>
            <v:shape style="position:absolute;left:6415;top:726;width:179;height:33" coordorigin="6416,727" coordsize="179,33" path="m6416,727l6455,745,6502,756,6551,759,6594,752e" filled="false" stroked="true" strokeweight="1pt" strokecolor="#ed145b">
              <v:path arrowok="t"/>
              <v:stroke dashstyle="solid"/>
            </v:shape>
            <v:shape style="position:absolute;left:-231;top:6846;width:527;height:239" coordorigin="-231,6846" coordsize="527,239" path="m6686,1085l6719,1068,6753,1054,6788,1042,6824,1034m6455,1273l6525,1248,6591,1230,6659,1216,6733,1203,6798,1190,6862,1173,6923,1150,6982,1119m6949,1270l6909,1240,6861,1218,6810,1203,6762,1198e" filled="false" stroked="true" strokeweight="1pt" strokecolor="#00a99d">
              <v:path arrowok="t"/>
              <v:stroke dashstyle="solid"/>
            </v:shape>
            <v:shape style="position:absolute;left:6449;top:1462;width:280;height:291" type="#_x0000_t75" stroked="false">
              <v:imagedata r:id="rId349" o:title=""/>
            </v:shape>
            <v:shape style="position:absolute;left:-2913;top:6098;width:2823;height:1161" coordorigin="-2912,6098" coordsize="2823,1161" path="m6319,1547l6348,1557,6365,1575,6377,1599,6391,1624,6425,1648,6455,1657,6478,1666,6497,1689,6499,1730,6477,1764,6451,1786,6438,1794,6378,1821,6314,1834,6246,1834,6176,1823,6105,1803,6034,1774,5964,1739,5896,1700,5832,1657,5772,1612,5717,1567,5658,1523,5595,1499,5514,1488,5402,1486,4090,1486,4004,1472,3944,1432,3908,1371,3897,1294,3897,1217,3897,1134,3897,1049,3897,965,3897,887,3877,801,3830,733,3771,689,3716,673m6539,1478l6534,1530,6515,1569,6494,1600,6485,1629m6404,1503l6410,1539,6406,1578,6402,1614,6412,1642e" filled="false" stroked="true" strokeweight="1pt" strokecolor="#ed145b">
              <v:path arrowok="t"/>
              <v:stroke dashstyle="solid"/>
            </v:shape>
            <v:shape style="position:absolute;left:-10;top:6897;width:133;height:266" coordorigin="-10,6898" coordsize="133,266" path="m6444,2025l6474,2041,6498,2060,6519,2080,6538,2099m6435,2269l6468,2281,6501,2289,6534,2291,6567,2285e" filled="false" stroked="true" strokeweight="1pt" strokecolor="#00a99d">
              <v:path arrowok="t"/>
              <v:stroke dashstyle="solid"/>
            </v:shape>
            <v:shape style="position:absolute;left:0;top:6897;width:283;height:148" coordorigin="0,6898" coordsize="283,148" path="m6328,2471l6361,2476,6397,2475,6433,2476,6464,2482m6437,2592l6472,2592,6517,2593,6566,2600,6611,2618e" filled="false" stroked="true" strokeweight="1pt" strokecolor="#0072bc">
              <v:path arrowok="t"/>
              <v:stroke dashstyle="solid"/>
            </v:shape>
            <v:shape style="position:absolute;left:6462;top:2160;width:100;height:86" coordorigin="6462,2161" coordsize="100,86" path="m6462,2161l6492,2177,6519,2197,6542,2220,6562,2246e" filled="false" stroked="true" strokeweight="1pt" strokecolor="#00a99d">
              <v:path arrowok="t"/>
              <v:stroke dashstyle="solid"/>
            </v:shape>
            <v:shape style="position:absolute;left:-14;top:6784;width:212;height:284" coordorigin="-14,6785" coordsize="212,284" path="m6334,2582l6381,2609,6423,2651,6453,2698,6462,2742m6321,2469l6353,2480,6380,2497,6402,2519,6420,2546m6404,2632l6433,2654,6466,2675,6501,2705,6532,2752m6447,2592l6469,2601,6489,2618,6508,2636,6529,2650e" filled="false" stroked="true" strokeweight="1pt" strokecolor="#0072bc">
              <v:path arrowok="t"/>
              <v:stroke dashstyle="solid"/>
            </v:shape>
            <v:shape style="position:absolute;left:7458;top:-62;width:106;height:62" coordorigin="7459,-62" coordsize="106,62" path="m7503,-62l7484,-61,7469,-56,7460,-47,7459,-35,7465,-23,7479,-12,7498,-4,7521,0,7542,-1,7557,-7,7564,-16,7564,-28,7557,-39,7543,-49,7524,-57,7503,-62xe" filled="true" fillcolor="#ffeda9" stroked="false">
              <v:path arrowok="t"/>
              <v:fill type="solid"/>
            </v:shape>
            <v:shape style="position:absolute;left:7458;top:-62;width:106;height:62" coordorigin="7459,-62" coordsize="106,62" path="m7498,-4l7521,0,7542,-1,7557,-7,7564,-16,7564,-28,7557,-39,7543,-49,7524,-57,7503,-62,7484,-61,7469,-56,7460,-47,7459,-35,7465,-23,7479,-12,7498,-4xe" filled="false" stroked="true" strokeweight=".25pt" strokecolor="#b7705b">
              <v:path arrowok="t"/>
              <v:stroke dashstyle="solid"/>
            </v:shape>
            <v:shape style="position:absolute;left:7479;top:-49;width:67;height:33" coordorigin="7479,-49" coordsize="67,33" path="m7496,-49l7486,-47,7480,-43,7479,-37,7483,-31,7491,-25,7503,-20,7516,-17,7529,-16,7538,-18,7544,-22,7545,-28,7541,-34,7533,-40,7521,-45,7508,-48,7496,-49xe" filled="true" fillcolor="#e9cd86" stroked="false">
              <v:path arrowok="t"/>
              <v:fill type="solid"/>
            </v:shape>
            <v:shape style="position:absolute;left:7479;top:-49;width:67;height:33" coordorigin="7479,-49" coordsize="67,33" path="m7503,-20l7516,-17,7529,-16,7538,-18,7544,-22,7545,-28,7541,-34,7533,-40,7521,-45,7508,-48,7496,-49,7486,-47,7480,-43,7479,-37,7483,-31,7491,-25,7503,-20xe" filled="false" stroked="true" strokeweight=".25pt" strokecolor="#b7705b">
              <v:path arrowok="t"/>
              <v:stroke dashstyle="solid"/>
            </v:shape>
            <v:shape style="position:absolute;left:5606;top:-62;width:106;height:62" coordorigin="5606,-62" coordsize="106,62" path="m5668,-62l5607,-28,5606,-16,5614,-7,5629,-1,5649,0,5673,-4,5692,-12,5705,-23,5712,-35,5711,-47,5702,-56,5687,-61,5668,-62xe" filled="true" fillcolor="#ffeda9" stroked="false">
              <v:path arrowok="t"/>
              <v:fill type="solid"/>
            </v:shape>
            <v:shape style="position:absolute;left:5606;top:-62;width:106;height:62" coordorigin="5606,-62" coordsize="106,62" path="m5673,-4l5649,0,5629,-1,5614,-7,5606,-16,5607,-28,5614,-39,5627,-49,5647,-57,5668,-62,5687,-61,5702,-56,5711,-47,5712,-35,5705,-23,5692,-12,5673,-4xe" filled="false" stroked="true" strokeweight=".25pt" strokecolor="#b7705b">
              <v:path arrowok="t"/>
              <v:stroke dashstyle="solid"/>
            </v:shape>
            <v:shape style="position:absolute;left:5625;top:-49;width:67;height:33" coordorigin="5625,-49" coordsize="67,33" path="m5675,-49l5625,-28,5626,-22,5632,-18,5642,-16,5654,-17,5667,-20,5679,-25,5687,-31,5691,-37,5690,-43,5684,-47,5675,-49xe" filled="true" fillcolor="#e9cd86" stroked="false">
              <v:path arrowok="t"/>
              <v:fill type="solid"/>
            </v:shape>
            <v:shape style="position:absolute;left:5625;top:-49;width:67;height:33" coordorigin="5625,-49" coordsize="67,33" path="m5667,-20l5654,-17,5642,-16,5632,-18,5626,-22,5625,-28,5629,-34,5637,-40,5649,-45,5662,-48,5675,-49,5684,-47,5690,-43,5691,-37,5687,-31,5679,-25,5667,-20xe" filled="false" stroked="true" strokeweight=".25pt" strokecolor="#b7705b">
              <v:path arrowok="t"/>
              <v:stroke dashstyle="solid"/>
            </v:shape>
            <v:shape style="position:absolute;left:6219;top:1445;width:755;height:179" coordorigin="6220,1446" coordsize="755,179" path="m6220,1625l6290,1533,6349,1497,6421,1470,6506,1452,6602,1446,6693,1451,6773,1466,6842,1490,6898,1521,6943,1558,6974,1601e" filled="false" stroked="true" strokeweight=".5pt" strokecolor="#b7705b">
              <v:path arrowok="t"/>
              <v:stroke dashstyle="solid"/>
            </v:shape>
            <v:shape style="position:absolute;left:3566;top:-582;width:163;height:2174" coordorigin="3567,-581" coordsize="163,2174" path="m3673,-581l3622,-581,3622,-511,3620,-493,3614,-475,3604,-457,3593,-443,3578,-428,3570,-415,3567,-398,3567,-371,3571,-340,3580,-317,3589,-303,3593,-299,3604,-285,3614,-267,3620,-249,3622,-231,3622,-161,3593,-93,3578,-77,3570,-65,3567,-48,3567,-21,3571,10,3580,33,3589,47,3593,52,3604,66,3614,83,3620,102,3622,120,3622,190,3593,258,3578,273,3570,286,3567,302,3567,330,3571,361,3580,383,3589,397,3593,402,3604,416,3614,434,3620,452,3622,470,3622,540,3593,608,3578,624,3570,636,3567,653,3567,680,3571,711,3580,734,3589,748,3593,753,3604,767,3614,784,3620,803,3622,820,3622,891,3593,958,3578,974,3570,987,3567,1003,3567,1031,3571,1062,3580,1084,3589,1098,3593,1103,3604,1117,3614,1134,3620,1153,3622,1171,3622,1241,3593,1309,3578,1324,3570,1337,3567,1354,3567,1381,3571,1412,3580,1435,3589,1449,3593,1453,3604,1467,3614,1485,3620,1504,3622,1521,3622,1592,3673,1592,3673,1521,3676,1504,3682,1485,3691,1467,3702,1453,3718,1438,3725,1425,3728,1409,3729,1381,3725,1350,3716,1328,3706,1314,3702,1309,3691,1295,3682,1277,3676,1259,3673,1241,3673,1171,3702,1103,3718,1087,3725,1075,3728,1058,3729,1031,3725,1000,3716,977,3706,963,3702,958,3691,944,3682,927,3676,908,3673,891,3673,820,3702,753,3718,737,3725,724,3728,708,3729,680,3725,649,3716,627,3706,613,3702,608,3691,594,3682,577,3676,558,3673,540,3673,470,3702,402,3718,387,3725,374,3728,357,3729,330,3725,299,3716,276,3706,262,3702,258,3691,244,3682,226,3676,207,3673,190,3673,120,3702,52,3718,36,3725,23,3728,7,3729,-21,3725,-52,3716,-74,3706,-88,3702,-93,3691,-107,3682,-124,3676,-143,3673,-161,3673,-231,3702,-299,3718,-314,3725,-327,3728,-344,3729,-371,3725,-402,3716,-425,3706,-439,3702,-443,3691,-457,3682,-475,3676,-493,3673,-511,3673,-581xe" filled="true" fillcolor="#ffdaa2" stroked="false">
              <v:path arrowok="t"/>
              <v:fill type="solid"/>
            </v:shape>
            <v:shape style="position:absolute;left:-107;top:4724;width:163;height:2174" coordorigin="-107,4724" coordsize="163,2174" path="m3673,1592l3673,1521,3676,1504,3682,1485,3691,1467,3702,1453,3718,1438,3725,1425,3728,1409,3729,1381,3725,1350,3716,1328,3706,1314,3702,1309,3691,1295,3682,1277,3676,1259,3673,1241,3673,1171,3676,1153,3682,1134,3691,1117,3702,1103,3718,1087,3725,1075,3728,1058,3729,1031,3725,1000,3716,977,3706,963,3702,958,3691,944,3682,927,3676,908,3673,891,3673,820,3676,803,3682,784,3691,767,3702,753,3718,737,3725,724,3728,708,3729,680,3725,649,3716,627,3706,613,3702,608,3691,594,3682,577,3676,558,3673,540,3673,470,3676,452,3682,434,3691,416,3702,402,3718,387,3725,374,3728,357,3729,330,3725,299,3716,276,3706,262,3702,258,3691,244,3682,226,3676,207,3673,190,3673,120,3676,102,3682,83,3691,66,3702,52,3718,36,3725,23,3728,7,3729,-21,3725,-52,3716,-74,3706,-88,3702,-93,3691,-107,3682,-124,3676,-143,3673,-161,3673,-231,3676,-249,3682,-267,3691,-285,3702,-299,3718,-314,3725,-327,3728,-344,3729,-371,3725,-402,3716,-425,3706,-439,3702,-443,3691,-457,3682,-475,3676,-493,3673,-511,3673,-581m3622,-581l3622,-511,3620,-493,3614,-475,3604,-457,3593,-443,3578,-428,3570,-415,3567,-398,3567,-371,3571,-340,3580,-317,3589,-303,3593,-299,3604,-285,3614,-267,3620,-249,3622,-231,3622,-161,3620,-143,3614,-124,3604,-107,3593,-93,3578,-77,3570,-65,3567,-48,3567,-21,3571,10,3580,33,3589,47,3593,52,3604,66,3614,83,3620,102,3622,120,3622,190,3620,207,3614,226,3604,244,3593,258,3578,273,3570,286,3567,302,3567,330,3571,361,3580,383,3589,397,3593,402,3604,416,3614,434,3620,452,3622,470,3622,540,3620,558,3614,577,3604,594,3593,608,3578,624,3570,636,3567,653,3567,680,3571,711,3580,734,3589,748,3593,753,3604,767,3614,784,3620,803,3622,820,3622,891,3620,908,3614,927,3604,944,3593,958,3578,974,3570,987,3567,1003,3567,1031,3571,1062,3580,1084,3589,1098,3593,1103,3604,1117,3614,1134,3620,1153,3622,1171,3622,1241,3620,1259,3614,1277,3604,1295,3593,1309,3578,1324,3570,1337,3567,1354,3567,1381,3571,1412,3580,1435,3589,1449,3593,1453,3604,1467,3614,1485,3620,1504,3622,1521,3622,1592e" filled="false" stroked="true" strokeweight=".35pt" strokecolor="#b7705b">
              <v:path arrowok="t"/>
              <v:stroke dashstyle="solid"/>
            </v:shape>
            <v:shape style="position:absolute;left:2929;top:-420;width:36;height:82" coordorigin="2930,-419" coordsize="36,82" path="m2953,-419l2940,-419,2930,-385,2930,-338,2962,-338,2965,-378,2953,-419xe" filled="true" fillcolor="#eebeab" stroked="false">
              <v:path arrowok="t"/>
              <v:fill type="solid"/>
            </v:shape>
            <v:line style="position:absolute" from="2950,-502" to="2950,-678" stroked="true" strokeweight="1.5pt" strokecolor="#231f20">
              <v:stroke dashstyle="solid"/>
            </v:line>
            <v:shape style="position:absolute;left:2889;top:-785;width:122;height:150" coordorigin="2889,-784" coordsize="122,150" path="m2950,-784l2889,-635,2950,-670,2997,-670,2950,-784xm2997,-670l2950,-670,3011,-635,2997,-670xe" filled="true" fillcolor="#231f20" stroked="false">
              <v:path arrowok="t"/>
              <v:fill type="solid"/>
            </v:shape>
            <v:shape style="position:absolute;left:2893;top:-438;width:107;height:52" coordorigin="2894,-437" coordsize="107,52" path="m2932,-392l2918,-429,2907,-437,2899,-435,2894,-424,2909,-386,2932,-392m3000,-424l2995,-435,2987,-437,2976,-429,2962,-392,2985,-386,3000,-424e" filled="true" fillcolor="#eebeab" stroked="false">
              <v:path arrowok="t"/>
              <v:fill type="solid"/>
            </v:shape>
            <v:shape style="position:absolute;left:2738;top:-439;width:417;height:202" coordorigin="2739,-439" coordsize="417,202" path="m2883,-435l2844,-430,2832,-425,2832,-421,2828,-421,2808,-415,2807,-412,2795,-409,2778,-403,2762,-393,2750,-379,2742,-361,2739,-339,2740,-318,2746,-300,2759,-285,2779,-269,2801,-257,2818,-254,2837,-246,2862,-240,2893,-237,2926,-237,2947,-239,2946,-239,2947,-239,2944,-242,2944,-258,2943,-275,2942,-294,2943,-309,2947,-316,3153,-316,3154,-318,3155,-339,3153,-350,2940,-350,2943,-357,2938,-360,2938,-373,2914,-373,2906,-392,2910,-396,2904,-411,2901,-417,2889,-432,2883,-435xm3153,-316l2947,-316,2951,-309,2952,-294,2951,-275,2950,-258,2950,-242,2947,-239,2948,-239,2947,-239,2968,-237,3001,-237,3032,-240,3057,-246,3076,-254,3093,-257,3115,-269,3135,-285,3148,-300,3153,-316xm2947,-239l2946,-239,2947,-239,2948,-239,2947,-239xm2971,-439l2955,-438,2948,-436,2948,-380,2956,-373,2956,-360,2951,-357,2954,-350,3153,-350,3152,-361,3147,-373,2980,-373,2968,-378,2980,-391,2983,-397,2989,-409,2993,-417,3005,-432,3002,-433,2987,-438,2971,-439xm2923,-439l2907,-438,2892,-433,2889,-432,2895,-425,2901,-417,2905,-409,2911,-397,2914,-391,2926,-378,2914,-373,2938,-373,2947,-380,2947,-436,2939,-438,2923,-439xm3011,-435l3005,-432,2993,-417,2990,-411,2984,-396,2988,-392,2980,-373,3147,-373,3144,-379,3132,-393,3116,-403,3099,-409,3087,-412,3086,-415,3066,-421,3062,-421,3062,-425,3050,-430,3011,-435xe" filled="true" fillcolor="#fdddce" stroked="false">
              <v:path arrowok="t"/>
              <v:fill type="solid"/>
            </v:shape>
            <v:shape style="position:absolute;left:2738;top:-439;width:417;height:202" coordorigin="2739,-439" coordsize="417,202" path="m2940,-350l2943,-357,2938,-360,2938,-366,2938,-373,2947,-380,2947,-389,2947,-431,2947,-436,2939,-438,2933,-438,2923,-439,2907,-438,2899,-435,2892,-433,2889,-432,2911,-397,2914,-391,2920,-385,2926,-378,2914,-373,2909,-384,2906,-392,2910,-396,2907,-404,2904,-411,2901,-417,2895,-425,2889,-432,2883,-435,2864,-433,2844,-430,2832,-425,2832,-421,2828,-421,2808,-415,2807,-412,2795,-409,2742,-361,2739,-339,2740,-318,2779,-269,2818,-254,2837,-246,2862,-240,2893,-237,2926,-237,2948,-239,2944,-242,2944,-258,2943,-275,2942,-294,2943,-309,2947,-316,2951,-309,2952,-294,2951,-275,2950,-258,2950,-242,2946,-239,2968,-237,3001,-237,3032,-240,3057,-246,3076,-254,3093,-257,3148,-300,3155,-339,3152,-361,3099,-409,3087,-412,3086,-415,3066,-421,3062,-421,3062,-425,3050,-430,3030,-433,3011,-435,3005,-432,2999,-425,2993,-417,2990,-411,2987,-404,2984,-396,2988,-392,2985,-384,2980,-373,2968,-378,2974,-385,2980,-391,2983,-397,2986,-403,2989,-409,2993,-417,2999,-425,3005,-432,3002,-433,2995,-435,2987,-438,2971,-439,2961,-438,2955,-438,2948,-436,2948,-431,2948,-389,2948,-380,2956,-373,2956,-366,2956,-360,2951,-357,2954,-350e" filled="false" stroked="true" strokeweight=".35pt" strokecolor="#b7705b">
              <v:path arrowok="t"/>
              <v:stroke dashstyle="solid"/>
            </v:shape>
            <v:shape style="position:absolute;left:2804;top:-409;width:286;height:146" coordorigin="2804,-409" coordsize="286,146" path="m3066,-335l2828,-335,2828,-319,2808,-318,2806,-309,2804,-303,2812,-298,2808,-284,2812,-273,2822,-268,2832,-265,2843,-264,2866,-264,2888,-264,2896,-266,2906,-271,2913,-275,2914,-281,2914,-297,2905,-304,2903,-315,2906,-322,2923,-329,3066,-329,3066,-335xm3057,-264l3028,-264,3051,-264,3057,-264xm2888,-264l2866,-264,2877,-264,2886,-264,2888,-264xm3066,-329l2971,-329,2988,-322,2991,-315,2989,-304,2980,-297,2980,-281,2981,-275,2988,-271,2998,-266,3008,-264,3018,-264,3028,-264,3057,-264,3062,-265,3072,-268,3082,-273,3086,-284,3082,-298,3090,-303,3086,-318,3066,-319,3066,-329xm2971,-329l2923,-329,2936,-328,2958,-328,2971,-329xm2815,-347l2815,-334,2828,-335,3079,-335,3079,-346,2937,-346,2934,-346,2828,-346,2815,-347xm3079,-335l3066,-335,3079,-334,3079,-335xm2947,-346l2937,-346,2957,-346,2947,-346xm3051,-409l3037,-405,3024,-398,3012,-390,3005,-380,2994,-358,2988,-351,2980,-347,2969,-346,2957,-346,3079,-346,3079,-346,3066,-346,3060,-351,3054,-356,3060,-368,3064,-377,3068,-385,3071,-394,3071,-401,3064,-407,3051,-409xm2843,-409l2830,-407,2823,-401,2823,-394,2826,-385,2830,-377,2834,-368,2840,-356,2834,-351,2828,-346,2934,-346,2925,-346,2914,-347,2906,-351,2900,-358,2889,-380,2882,-390,2870,-398,2857,-405,2843,-409xm3079,-347l3066,-346,3079,-346,3079,-347xe" filled="true" fillcolor="#eebeab" stroked="false">
              <v:path arrowok="t"/>
              <v:fill type="solid"/>
            </v:shape>
            <v:shape style="position:absolute;left:0;top:6897;width:2;height:3253" coordorigin="0,6898" coordsize="1,3253" path="m2947,-247l2947,129m2948,3005l2948,2462e" filled="false" stroked="true" strokeweight=".25pt" strokecolor="#b7705b">
              <v:path arrowok="t"/>
              <v:stroke dashstyle="solid"/>
            </v:shape>
            <v:shape style="position:absolute;left:-1424;top:6184;width:1571;height:928" coordorigin="-1423,6185" coordsize="1571,928" path="m7223,1462l7168,1513,7107,1560,7041,1603,6970,1641,6893,1675,6867,1666,6847,1634,6840,1596,6853,1572,6923,1541,6988,1506,7047,1467,7102,1423,7151,1375,7196,1323,7235,1267,7269,1206,7299,1141,7323,1072,7342,998,7356,920,7366,837,7370,749m6854,1572l6880,1579,6899,1612,6905,1651,6889,1677m6863,1599l6876,1602,6886,1618,6889,1636,6881,1648,6869,1644,6860,1629,6857,1610,6863,1599xm5947,1462l6002,1513,6063,1560,6129,1603,6200,1641,6277,1675,6303,1666,6323,1634,6330,1596,6317,1572,6247,1541,6182,1506,6123,1467,6068,1423,6018,1375,5974,1323,5935,1267,5900,1206,5871,1141,5847,1072,5828,998,5813,920,5804,837,5800,749m6315,1572l6290,1579,6270,1612,6264,1651,6281,1677m6306,1599l6294,1602,6284,1618,6281,1636,6289,1648,6301,1644,6310,1629,6313,1610,6306,1599xe" filled="false" stroked="true" strokeweight=".25pt" strokecolor="#b7705b">
              <v:path arrowok="t"/>
              <v:stroke dashstyle="shortdot"/>
            </v:shape>
            <v:shape style="position:absolute;left:-1266;top:6897;width:1266;height:2472" coordorigin="-1265,6898" coordsize="1266,2472" path="m7921,94l7489,94m7921,863l7771,863m7921,1751l6656,1751m7921,2126l6656,2126m7921,2565l6828,2565m7653,1476l7676,1471,7695,1458,7708,1440,7712,1417,7712,922,7717,899,7730,880,7748,867,7771,863,7748,858,7730,845,7717,827,7712,804,7712,308,7708,285,7695,267,7676,254,7653,249,6923,249m7653,1476l7293,1476e" filled="false" stroked="true" strokeweight=".75pt" strokecolor="#231f20">
              <v:path arrowok="t"/>
              <v:stroke dashstyle="solid"/>
            </v:shape>
            <v:shape style="position:absolute;left:2664;top:354;width:586;height:1887" type="#_x0000_t202" filled="false" stroked="false">
              <v:textbox inset="0,0,0,0">
                <w:txbxContent>
                  <w:p>
                    <w:pPr>
                      <w:spacing w:line="183" w:lineRule="exact" w:before="0"/>
                      <w:ind w:left="64" w:right="0" w:firstLine="0"/>
                      <w:jc w:val="left"/>
                      <w:rPr>
                        <w:rFonts w:ascii="Helvetica"/>
                        <w:sz w:val="16"/>
                      </w:rPr>
                    </w:pPr>
                    <w:r>
                      <w:rPr>
                        <w:rFonts w:ascii="Helvetica"/>
                        <w:color w:val="231F20"/>
                        <w:w w:val="100"/>
                        <w:sz w:val="16"/>
                        <w:u w:val="single" w:color="B7705B"/>
                      </w:rPr>
                      <w:t> </w:t>
                    </w:r>
                    <w:r>
                      <w:rPr>
                        <w:rFonts w:ascii="Helvetica"/>
                        <w:color w:val="231F20"/>
                        <w:sz w:val="16"/>
                        <w:u w:val="single" w:color="B7705B"/>
                      </w:rPr>
                      <w:t> </w:t>
                    </w:r>
                    <w:r>
                      <w:rPr>
                        <w:rFonts w:ascii="Helvetica"/>
                        <w:color w:val="231F20"/>
                        <w:spacing w:val="-4"/>
                        <w:sz w:val="16"/>
                        <w:u w:val="single" w:color="B7705B"/>
                      </w:rPr>
                      <w:t> </w:t>
                    </w:r>
                    <w:r>
                      <w:rPr>
                        <w:rFonts w:ascii="Helvetica"/>
                        <w:color w:val="231F20"/>
                        <w:sz w:val="16"/>
                        <w:u w:val="single" w:color="B7705B"/>
                      </w:rPr>
                      <w:t>L1</w:t>
                    </w:r>
                    <w:r>
                      <w:rPr>
                        <w:rFonts w:ascii="Helvetica"/>
                        <w:color w:val="231F20"/>
                        <w:spacing w:val="-4"/>
                        <w:sz w:val="16"/>
                        <w:u w:val="single" w:color="B7705B"/>
                      </w:rPr>
                      <w:t> </w:t>
                    </w:r>
                  </w:p>
                  <w:p>
                    <w:pPr>
                      <w:spacing w:before="33"/>
                      <w:ind w:left="43" w:right="0" w:firstLine="0"/>
                      <w:jc w:val="left"/>
                      <w:rPr>
                        <w:rFonts w:ascii="Helvetica"/>
                        <w:sz w:val="16"/>
                      </w:rPr>
                    </w:pPr>
                    <w:r>
                      <w:rPr>
                        <w:rFonts w:ascii="Helvetica"/>
                        <w:color w:val="231F20"/>
                        <w:w w:val="100"/>
                        <w:sz w:val="16"/>
                        <w:u w:val="single" w:color="B7705B"/>
                      </w:rPr>
                      <w:t> </w:t>
                    </w:r>
                    <w:r>
                      <w:rPr>
                        <w:rFonts w:ascii="Helvetica"/>
                        <w:color w:val="231F20"/>
                        <w:sz w:val="16"/>
                        <w:u w:val="single" w:color="B7705B"/>
                      </w:rPr>
                      <w:t> </w:t>
                    </w:r>
                    <w:r>
                      <w:rPr>
                        <w:rFonts w:ascii="Helvetica"/>
                        <w:color w:val="231F20"/>
                        <w:spacing w:val="16"/>
                        <w:sz w:val="16"/>
                        <w:u w:val="single" w:color="B7705B"/>
                      </w:rPr>
                      <w:t> </w:t>
                    </w:r>
                    <w:r>
                      <w:rPr>
                        <w:rFonts w:ascii="Helvetica"/>
                        <w:color w:val="231F20"/>
                        <w:sz w:val="16"/>
                        <w:u w:val="single" w:color="B7705B"/>
                      </w:rPr>
                      <w:t>L2</w:t>
                    </w:r>
                    <w:r>
                      <w:rPr>
                        <w:rFonts w:ascii="Helvetica"/>
                        <w:color w:val="231F20"/>
                        <w:spacing w:val="16"/>
                        <w:sz w:val="16"/>
                        <w:u w:val="single" w:color="B7705B"/>
                      </w:rPr>
                      <w:t> </w:t>
                    </w:r>
                  </w:p>
                  <w:p>
                    <w:pPr>
                      <w:spacing w:line="285" w:lineRule="auto" w:before="20"/>
                      <w:ind w:left="193" w:right="38" w:hanging="174"/>
                      <w:jc w:val="left"/>
                      <w:rPr>
                        <w:rFonts w:ascii="Helvetica"/>
                        <w:sz w:val="16"/>
                      </w:rPr>
                    </w:pPr>
                    <w:r>
                      <w:rPr>
                        <w:rFonts w:ascii="Helvetica"/>
                        <w:color w:val="231F20"/>
                        <w:w w:val="100"/>
                        <w:sz w:val="16"/>
                        <w:u w:val="single" w:color="B7705B"/>
                      </w:rPr>
                      <w:t> </w:t>
                    </w:r>
                    <w:r>
                      <w:rPr>
                        <w:rFonts w:ascii="Helvetica"/>
                        <w:color w:val="231F20"/>
                        <w:sz w:val="16"/>
                        <w:u w:val="single" w:color="B7705B"/>
                      </w:rPr>
                      <w:t>  </w:t>
                    </w:r>
                    <w:r>
                      <w:rPr>
                        <w:rFonts w:ascii="Helvetica"/>
                        <w:color w:val="231F20"/>
                        <w:spacing w:val="-5"/>
                        <w:sz w:val="16"/>
                        <w:u w:val="single" w:color="B7705B"/>
                      </w:rPr>
                      <w:t> </w:t>
                    </w:r>
                    <w:r>
                      <w:rPr>
                        <w:rFonts w:ascii="Helvetica"/>
                        <w:color w:val="231F20"/>
                        <w:sz w:val="16"/>
                        <w:u w:val="single" w:color="B7705B"/>
                      </w:rPr>
                      <w:t>L3</w:t>
                    </w:r>
                    <w:r>
                      <w:rPr>
                        <w:rFonts w:ascii="Helvetica"/>
                        <w:color w:val="231F20"/>
                        <w:sz w:val="16"/>
                      </w:rPr>
                      <w:t> L4 L5</w:t>
                    </w:r>
                  </w:p>
                  <w:p>
                    <w:pPr>
                      <w:spacing w:line="181" w:lineRule="exact" w:before="0"/>
                      <w:ind w:left="0" w:right="0" w:firstLine="0"/>
                      <w:jc w:val="left"/>
                      <w:rPr>
                        <w:rFonts w:ascii="Helvetica"/>
                        <w:sz w:val="16"/>
                      </w:rPr>
                    </w:pPr>
                    <w:r>
                      <w:rPr>
                        <w:rFonts w:ascii="Helvetica"/>
                        <w:color w:val="231F20"/>
                        <w:w w:val="100"/>
                        <w:sz w:val="16"/>
                        <w:u w:val="single" w:color="B7705B"/>
                      </w:rPr>
                      <w:t> </w:t>
                    </w:r>
                    <w:r>
                      <w:rPr>
                        <w:rFonts w:ascii="Helvetica"/>
                        <w:color w:val="231F20"/>
                        <w:sz w:val="16"/>
                        <w:u w:val="single" w:color="B7705B"/>
                      </w:rPr>
                      <w:t>  </w:t>
                    </w:r>
                    <w:r>
                      <w:rPr>
                        <w:rFonts w:ascii="Helvetica"/>
                        <w:color w:val="231F20"/>
                        <w:spacing w:val="7"/>
                        <w:sz w:val="16"/>
                        <w:u w:val="single" w:color="B7705B"/>
                      </w:rPr>
                      <w:t> </w:t>
                    </w:r>
                    <w:r>
                      <w:rPr>
                        <w:rFonts w:ascii="Helvetica"/>
                        <w:color w:val="231F20"/>
                        <w:sz w:val="16"/>
                        <w:u w:val="single" w:color="B7705B"/>
                      </w:rPr>
                      <w:t>S1</w:t>
                    </w:r>
                    <w:r>
                      <w:rPr>
                        <w:rFonts w:ascii="Helvetica"/>
                        <w:color w:val="231F20"/>
                        <w:spacing w:val="7"/>
                        <w:sz w:val="16"/>
                        <w:u w:val="single" w:color="B7705B"/>
                      </w:rPr>
                      <w:t> </w:t>
                    </w:r>
                  </w:p>
                  <w:p>
                    <w:pPr>
                      <w:spacing w:before="25"/>
                      <w:ind w:left="14" w:right="0" w:firstLine="0"/>
                      <w:jc w:val="left"/>
                      <w:rPr>
                        <w:rFonts w:ascii="Helvetica"/>
                        <w:sz w:val="16"/>
                      </w:rPr>
                    </w:pPr>
                    <w:r>
                      <w:rPr>
                        <w:rFonts w:ascii="Helvetica"/>
                        <w:color w:val="231F20"/>
                        <w:w w:val="100"/>
                        <w:sz w:val="16"/>
                        <w:u w:val="single" w:color="B7705B"/>
                      </w:rPr>
                      <w:t> </w:t>
                    </w:r>
                    <w:r>
                      <w:rPr>
                        <w:rFonts w:ascii="Helvetica"/>
                        <w:color w:val="231F20"/>
                        <w:sz w:val="16"/>
                        <w:u w:val="single" w:color="B7705B"/>
                      </w:rPr>
                      <w:t>  </w:t>
                    </w:r>
                    <w:r>
                      <w:rPr>
                        <w:rFonts w:ascii="Helvetica"/>
                        <w:color w:val="231F20"/>
                        <w:spacing w:val="-8"/>
                        <w:sz w:val="16"/>
                        <w:u w:val="single" w:color="B7705B"/>
                      </w:rPr>
                      <w:t> </w:t>
                    </w:r>
                    <w:r>
                      <w:rPr>
                        <w:rFonts w:ascii="Helvetica"/>
                        <w:color w:val="231F20"/>
                        <w:sz w:val="16"/>
                        <w:u w:val="single" w:color="B7705B"/>
                      </w:rPr>
                      <w:t>S2</w:t>
                    </w:r>
                    <w:r>
                      <w:rPr>
                        <w:rFonts w:ascii="Helvetica"/>
                        <w:color w:val="231F20"/>
                        <w:spacing w:val="-8"/>
                        <w:sz w:val="16"/>
                        <w:u w:val="single" w:color="B7705B"/>
                      </w:rPr>
                      <w:t> </w:t>
                    </w:r>
                  </w:p>
                  <w:p>
                    <w:pPr>
                      <w:spacing w:line="266" w:lineRule="auto" w:before="29"/>
                      <w:ind w:left="184" w:right="38" w:hanging="144"/>
                      <w:jc w:val="left"/>
                      <w:rPr>
                        <w:rFonts w:ascii="Helvetica"/>
                        <w:sz w:val="16"/>
                      </w:rPr>
                    </w:pPr>
                    <w:r>
                      <w:rPr>
                        <w:rFonts w:ascii="Helvetica"/>
                        <w:color w:val="231F20"/>
                        <w:w w:val="100"/>
                        <w:sz w:val="16"/>
                        <w:u w:val="single" w:color="B7705B"/>
                      </w:rPr>
                      <w:t> </w:t>
                    </w:r>
                    <w:r>
                      <w:rPr>
                        <w:rFonts w:ascii="Helvetica"/>
                        <w:color w:val="231F20"/>
                        <w:sz w:val="16"/>
                        <w:u w:val="single" w:color="B7705B"/>
                      </w:rPr>
                      <w:t> </w:t>
                    </w:r>
                    <w:r>
                      <w:rPr>
                        <w:rFonts w:ascii="Helvetica"/>
                        <w:color w:val="231F20"/>
                        <w:spacing w:val="10"/>
                        <w:sz w:val="16"/>
                        <w:u w:val="single" w:color="B7705B"/>
                      </w:rPr>
                      <w:t> </w:t>
                    </w:r>
                    <w:r>
                      <w:rPr>
                        <w:rFonts w:ascii="Helvetica"/>
                        <w:color w:val="231F20"/>
                        <w:sz w:val="16"/>
                        <w:u w:val="single" w:color="B7705B"/>
                      </w:rPr>
                      <w:t>S3</w:t>
                    </w:r>
                    <w:r>
                      <w:rPr>
                        <w:rFonts w:ascii="Helvetica"/>
                        <w:color w:val="231F20"/>
                        <w:sz w:val="16"/>
                      </w:rPr>
                      <w:t> S4</w:t>
                    </w:r>
                  </w:p>
                </w:txbxContent>
              </v:textbox>
              <w10:wrap type="none"/>
            </v:shape>
            <v:shape style="position:absolute;left:4197;top:888;width:98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Sympathetics</w:t>
                    </w:r>
                  </w:p>
                </w:txbxContent>
              </v:textbox>
              <w10:wrap type="none"/>
            </v:shape>
            <v:shape style="position:absolute;left:4042;top:1776;width:12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Parasympathetics</w:t>
                    </w:r>
                  </w:p>
                </w:txbxContent>
              </v:textbox>
              <w10:wrap type="none"/>
            </v:shape>
            <v:shape style="position:absolute;left:4339;top:2287;width:69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Pudendal</w:t>
                    </w:r>
                  </w:p>
                </w:txbxContent>
              </v:textbox>
              <w10:wrap type="none"/>
            </v:shape>
            <w10:wrap type="none"/>
          </v:group>
        </w:pict>
      </w:r>
      <w:r>
        <w:rPr>
          <w:rFonts w:ascii="Helvetica"/>
          <w:color w:val="231F20"/>
          <w:sz w:val="16"/>
        </w:rPr>
        <w:t>Ureter</w:t>
      </w:r>
    </w:p>
    <w:p>
      <w:pPr>
        <w:pStyle w:val="BodyText"/>
        <w:rPr>
          <w:rFonts w:ascii="Helvetica"/>
          <w:sz w:val="18"/>
        </w:rPr>
      </w:pPr>
    </w:p>
    <w:p>
      <w:pPr>
        <w:pStyle w:val="BodyText"/>
        <w:rPr>
          <w:rFonts w:ascii="Helvetica"/>
          <w:sz w:val="18"/>
        </w:rPr>
      </w:pPr>
    </w:p>
    <w:p>
      <w:pPr>
        <w:pStyle w:val="BodyText"/>
        <w:spacing w:before="4"/>
        <w:rPr>
          <w:rFonts w:ascii="Helvetica"/>
          <w:sz w:val="15"/>
        </w:rPr>
      </w:pPr>
    </w:p>
    <w:p>
      <w:pPr>
        <w:spacing w:before="0"/>
        <w:ind w:left="7946" w:right="0" w:firstLine="0"/>
        <w:jc w:val="left"/>
        <w:rPr>
          <w:rFonts w:ascii="Helvetica"/>
          <w:sz w:val="16"/>
        </w:rPr>
      </w:pPr>
      <w:r>
        <w:rPr>
          <w:rFonts w:ascii="Helvetica"/>
          <w:color w:val="231F20"/>
          <w:sz w:val="16"/>
        </w:rPr>
        <w:t>Body</w:t>
      </w:r>
    </w:p>
    <w:p>
      <w:pPr>
        <w:pStyle w:val="BodyText"/>
        <w:rPr>
          <w:rFonts w:ascii="Helvetica"/>
        </w:rPr>
      </w:pPr>
    </w:p>
    <w:p>
      <w:pPr>
        <w:pStyle w:val="BodyText"/>
        <w:rPr>
          <w:rFonts w:ascii="Helvetica"/>
        </w:rPr>
      </w:pPr>
    </w:p>
    <w:p>
      <w:pPr>
        <w:spacing w:line="380" w:lineRule="atLeast" w:before="37"/>
        <w:ind w:left="7946" w:right="3340" w:firstLine="0"/>
        <w:jc w:val="left"/>
        <w:rPr>
          <w:rFonts w:ascii="Helvetica"/>
          <w:sz w:val="16"/>
        </w:rPr>
      </w:pPr>
      <w:r>
        <w:rPr>
          <w:rFonts w:ascii="Helvetica"/>
          <w:color w:val="231F20"/>
          <w:sz w:val="16"/>
        </w:rPr>
        <w:t>Trigone Bladder neck</w:t>
      </w:r>
    </w:p>
    <w:p>
      <w:pPr>
        <w:spacing w:line="338" w:lineRule="auto" w:before="0"/>
        <w:ind w:left="7946" w:right="2993" w:firstLine="0"/>
        <w:jc w:val="left"/>
        <w:rPr>
          <w:rFonts w:ascii="Helvetica"/>
          <w:sz w:val="16"/>
        </w:rPr>
      </w:pPr>
      <w:r>
        <w:rPr>
          <w:rFonts w:ascii="Helvetica"/>
          <w:color w:val="231F20"/>
          <w:sz w:val="16"/>
        </w:rPr>
        <w:t>(posterior urethra) External sphincter</w:t>
      </w:r>
    </w:p>
    <w:p>
      <w:pPr>
        <w:pStyle w:val="BodyText"/>
        <w:rPr>
          <w:rFonts w:ascii="Helvetica"/>
          <w:sz w:val="23"/>
        </w:rPr>
      </w:pPr>
    </w:p>
    <w:p>
      <w:pPr>
        <w:spacing w:before="100"/>
        <w:ind w:left="1864" w:right="2221" w:firstLine="0"/>
        <w:jc w:val="center"/>
        <w:rPr>
          <w:rFonts w:ascii="Arial"/>
          <w:sz w:val="16"/>
        </w:rPr>
      </w:pPr>
      <w:bookmarkStart w:name="_bookmark18" w:id="19"/>
      <w:bookmarkEnd w:id="19"/>
      <w:r>
        <w:rPr/>
      </w:r>
      <w:r>
        <w:rPr>
          <w:rFonts w:ascii="Trebuchet MS"/>
          <w:b/>
          <w:color w:val="231F20"/>
          <w:sz w:val="16"/>
        </w:rPr>
        <w:t>Figure 26-7.  </w:t>
      </w:r>
      <w:r>
        <w:rPr>
          <w:rFonts w:ascii="Arial"/>
          <w:color w:val="231F20"/>
          <w:sz w:val="16"/>
        </w:rPr>
        <w:t>Innervation of the urinary bladder.</w:t>
      </w:r>
    </w:p>
    <w:p>
      <w:pPr>
        <w:pStyle w:val="BodyText"/>
        <w:spacing w:before="2"/>
        <w:rPr>
          <w:rFonts w:ascii="Arial"/>
          <w:sz w:val="15"/>
        </w:rPr>
      </w:pPr>
    </w:p>
    <w:p>
      <w:pPr>
        <w:spacing w:after="0"/>
        <w:rPr>
          <w:rFonts w:ascii="Arial"/>
          <w:sz w:val="15"/>
        </w:rPr>
        <w:sectPr>
          <w:type w:val="continuous"/>
          <w:pgSz w:w="12240" w:h="15660"/>
          <w:pgMar w:top="0" w:bottom="760" w:left="0" w:right="0"/>
        </w:sectPr>
      </w:pPr>
    </w:p>
    <w:p>
      <w:pPr>
        <w:pStyle w:val="BodyText"/>
        <w:spacing w:line="249" w:lineRule="auto" w:before="100"/>
        <w:ind w:left="1080"/>
        <w:jc w:val="both"/>
      </w:pPr>
      <w:r>
        <w:rPr>
          <w:color w:val="231F20"/>
          <w:w w:val="105"/>
        </w:rPr>
        <w:t>natural tone normally keeps the bladder neck and</w:t>
      </w:r>
      <w:r>
        <w:rPr>
          <w:color w:val="231F20"/>
          <w:spacing w:val="-20"/>
          <w:w w:val="105"/>
        </w:rPr>
        <w:t> </w:t>
      </w:r>
      <w:r>
        <w:rPr>
          <w:color w:val="231F20"/>
          <w:spacing w:val="-3"/>
          <w:w w:val="105"/>
        </w:rPr>
        <w:t>poste- </w:t>
      </w:r>
      <w:r>
        <w:rPr>
          <w:color w:val="231F20"/>
          <w:w w:val="105"/>
        </w:rPr>
        <w:t>rior</w:t>
      </w:r>
      <w:r>
        <w:rPr>
          <w:color w:val="231F20"/>
          <w:spacing w:val="-10"/>
          <w:w w:val="105"/>
        </w:rPr>
        <w:t> </w:t>
      </w:r>
      <w:r>
        <w:rPr>
          <w:color w:val="231F20"/>
          <w:w w:val="105"/>
        </w:rPr>
        <w:t>urethra</w:t>
      </w:r>
      <w:r>
        <w:rPr>
          <w:color w:val="231F20"/>
          <w:spacing w:val="-10"/>
          <w:w w:val="105"/>
        </w:rPr>
        <w:t> </w:t>
      </w:r>
      <w:r>
        <w:rPr>
          <w:color w:val="231F20"/>
          <w:w w:val="105"/>
        </w:rPr>
        <w:t>empty</w:t>
      </w:r>
      <w:r>
        <w:rPr>
          <w:color w:val="231F20"/>
          <w:spacing w:val="-9"/>
          <w:w w:val="105"/>
        </w:rPr>
        <w:t> </w:t>
      </w:r>
      <w:r>
        <w:rPr>
          <w:color w:val="231F20"/>
          <w:w w:val="105"/>
        </w:rPr>
        <w:t>of</w:t>
      </w:r>
      <w:r>
        <w:rPr>
          <w:color w:val="231F20"/>
          <w:spacing w:val="-10"/>
          <w:w w:val="105"/>
        </w:rPr>
        <w:t> </w:t>
      </w:r>
      <w:r>
        <w:rPr>
          <w:color w:val="231F20"/>
          <w:w w:val="105"/>
        </w:rPr>
        <w:t>urine</w:t>
      </w:r>
      <w:r>
        <w:rPr>
          <w:color w:val="231F20"/>
          <w:spacing w:val="-9"/>
          <w:w w:val="105"/>
        </w:rPr>
        <w:t> </w:t>
      </w:r>
      <w:r>
        <w:rPr>
          <w:color w:val="231F20"/>
          <w:w w:val="105"/>
        </w:rPr>
        <w:t>and,</w:t>
      </w:r>
      <w:r>
        <w:rPr>
          <w:color w:val="231F20"/>
          <w:spacing w:val="-10"/>
          <w:w w:val="105"/>
        </w:rPr>
        <w:t> </w:t>
      </w:r>
      <w:r>
        <w:rPr>
          <w:color w:val="231F20"/>
          <w:w w:val="105"/>
        </w:rPr>
        <w:t>therefore,</w:t>
      </w:r>
      <w:r>
        <w:rPr>
          <w:color w:val="231F20"/>
          <w:spacing w:val="-9"/>
          <w:w w:val="105"/>
        </w:rPr>
        <w:t> </w:t>
      </w:r>
      <w:r>
        <w:rPr>
          <w:color w:val="231F20"/>
          <w:w w:val="105"/>
        </w:rPr>
        <w:t>prevents</w:t>
      </w:r>
      <w:r>
        <w:rPr>
          <w:color w:val="231F20"/>
          <w:spacing w:val="-10"/>
          <w:w w:val="105"/>
        </w:rPr>
        <w:t> </w:t>
      </w:r>
      <w:r>
        <w:rPr>
          <w:color w:val="231F20"/>
          <w:spacing w:val="-5"/>
          <w:w w:val="105"/>
        </w:rPr>
        <w:t>emp- </w:t>
      </w:r>
      <w:r>
        <w:rPr>
          <w:color w:val="231F20"/>
          <w:w w:val="105"/>
        </w:rPr>
        <w:t>tying</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6"/>
          <w:w w:val="105"/>
        </w:rPr>
        <w:t> </w:t>
      </w:r>
      <w:r>
        <w:rPr>
          <w:color w:val="231F20"/>
          <w:w w:val="105"/>
        </w:rPr>
        <w:t>bladder</w:t>
      </w:r>
      <w:r>
        <w:rPr>
          <w:color w:val="231F20"/>
          <w:spacing w:val="-7"/>
          <w:w w:val="105"/>
        </w:rPr>
        <w:t> </w:t>
      </w:r>
      <w:r>
        <w:rPr>
          <w:color w:val="231F20"/>
          <w:w w:val="105"/>
        </w:rPr>
        <w:t>until</w:t>
      </w:r>
      <w:r>
        <w:rPr>
          <w:color w:val="231F20"/>
          <w:spacing w:val="-7"/>
          <w:w w:val="105"/>
        </w:rPr>
        <w:t> </w:t>
      </w:r>
      <w:r>
        <w:rPr>
          <w:color w:val="231F20"/>
          <w:w w:val="105"/>
        </w:rPr>
        <w:t>the</w:t>
      </w:r>
      <w:r>
        <w:rPr>
          <w:color w:val="231F20"/>
          <w:spacing w:val="-6"/>
          <w:w w:val="105"/>
        </w:rPr>
        <w:t> </w:t>
      </w:r>
      <w:r>
        <w:rPr>
          <w:color w:val="231F20"/>
          <w:w w:val="105"/>
        </w:rPr>
        <w:t>pressure</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6"/>
          <w:w w:val="105"/>
        </w:rPr>
        <w:t> </w:t>
      </w:r>
      <w:r>
        <w:rPr>
          <w:color w:val="231F20"/>
          <w:w w:val="105"/>
        </w:rPr>
        <w:t>main</w:t>
      </w:r>
      <w:r>
        <w:rPr>
          <w:color w:val="231F20"/>
          <w:spacing w:val="-7"/>
          <w:w w:val="105"/>
        </w:rPr>
        <w:t> </w:t>
      </w:r>
      <w:r>
        <w:rPr>
          <w:color w:val="231F20"/>
          <w:w w:val="105"/>
        </w:rPr>
        <w:t>part</w:t>
      </w:r>
      <w:r>
        <w:rPr>
          <w:color w:val="231F20"/>
          <w:spacing w:val="-7"/>
          <w:w w:val="105"/>
        </w:rPr>
        <w:t> </w:t>
      </w:r>
      <w:r>
        <w:rPr>
          <w:color w:val="231F20"/>
          <w:spacing w:val="-9"/>
          <w:w w:val="105"/>
        </w:rPr>
        <w:t>of </w:t>
      </w:r>
      <w:r>
        <w:rPr>
          <w:color w:val="231F20"/>
          <w:w w:val="105"/>
        </w:rPr>
        <w:t>the bladder rises above a critical</w:t>
      </w:r>
      <w:r>
        <w:rPr>
          <w:color w:val="231F20"/>
          <w:spacing w:val="3"/>
          <w:w w:val="105"/>
        </w:rPr>
        <w:t> </w:t>
      </w:r>
      <w:r>
        <w:rPr>
          <w:color w:val="231F20"/>
          <w:w w:val="105"/>
        </w:rPr>
        <w:t>threshold.</w:t>
      </w:r>
    </w:p>
    <w:p>
      <w:pPr>
        <w:pStyle w:val="BodyText"/>
        <w:spacing w:line="249" w:lineRule="auto" w:before="3"/>
        <w:ind w:left="1080" w:firstLine="240"/>
        <w:jc w:val="both"/>
      </w:pPr>
      <w:r>
        <w:rPr>
          <w:color w:val="231F20"/>
          <w:w w:val="105"/>
        </w:rPr>
        <w:t>Beyond the posterior urethra, the urethra passes through</w:t>
      </w:r>
      <w:r>
        <w:rPr>
          <w:color w:val="231F20"/>
          <w:spacing w:val="-26"/>
          <w:w w:val="105"/>
        </w:rPr>
        <w:t> </w:t>
      </w:r>
      <w:r>
        <w:rPr>
          <w:color w:val="231F20"/>
          <w:w w:val="105"/>
        </w:rPr>
        <w:t>the</w:t>
      </w:r>
      <w:r>
        <w:rPr>
          <w:color w:val="231F20"/>
          <w:spacing w:val="-25"/>
          <w:w w:val="105"/>
        </w:rPr>
        <w:t> </w:t>
      </w:r>
      <w:r>
        <w:rPr>
          <w:i/>
          <w:color w:val="231F20"/>
          <w:w w:val="105"/>
        </w:rPr>
        <w:t>urogenital</w:t>
      </w:r>
      <w:r>
        <w:rPr>
          <w:i/>
          <w:color w:val="231F20"/>
          <w:spacing w:val="-26"/>
          <w:w w:val="105"/>
        </w:rPr>
        <w:t> </w:t>
      </w:r>
      <w:r>
        <w:rPr>
          <w:i/>
          <w:color w:val="231F20"/>
          <w:w w:val="105"/>
        </w:rPr>
        <w:t>diaphragm,</w:t>
      </w:r>
      <w:r>
        <w:rPr>
          <w:i/>
          <w:color w:val="231F20"/>
          <w:spacing w:val="-26"/>
          <w:w w:val="105"/>
        </w:rPr>
        <w:t> </w:t>
      </w:r>
      <w:r>
        <w:rPr>
          <w:color w:val="231F20"/>
          <w:w w:val="105"/>
        </w:rPr>
        <w:t>which</w:t>
      </w:r>
      <w:r>
        <w:rPr>
          <w:color w:val="231F20"/>
          <w:spacing w:val="-25"/>
          <w:w w:val="105"/>
        </w:rPr>
        <w:t> </w:t>
      </w:r>
      <w:r>
        <w:rPr>
          <w:color w:val="231F20"/>
          <w:w w:val="105"/>
        </w:rPr>
        <w:t>contains</w:t>
      </w:r>
      <w:r>
        <w:rPr>
          <w:color w:val="231F20"/>
          <w:spacing w:val="-26"/>
          <w:w w:val="105"/>
        </w:rPr>
        <w:t> </w:t>
      </w:r>
      <w:r>
        <w:rPr>
          <w:color w:val="231F20"/>
          <w:w w:val="105"/>
        </w:rPr>
        <w:t>a</w:t>
      </w:r>
      <w:r>
        <w:rPr>
          <w:color w:val="231F20"/>
          <w:spacing w:val="-26"/>
          <w:w w:val="105"/>
        </w:rPr>
        <w:t> </w:t>
      </w:r>
      <w:r>
        <w:rPr>
          <w:color w:val="231F20"/>
          <w:w w:val="105"/>
        </w:rPr>
        <w:t>layer of</w:t>
      </w:r>
      <w:r>
        <w:rPr>
          <w:color w:val="231F20"/>
          <w:spacing w:val="-31"/>
          <w:w w:val="105"/>
        </w:rPr>
        <w:t> </w:t>
      </w:r>
      <w:r>
        <w:rPr>
          <w:color w:val="231F20"/>
          <w:w w:val="105"/>
        </w:rPr>
        <w:t>muscle</w:t>
      </w:r>
      <w:r>
        <w:rPr>
          <w:color w:val="231F20"/>
          <w:spacing w:val="-31"/>
          <w:w w:val="105"/>
        </w:rPr>
        <w:t> </w:t>
      </w:r>
      <w:r>
        <w:rPr>
          <w:color w:val="231F20"/>
          <w:w w:val="105"/>
        </w:rPr>
        <w:t>called</w:t>
      </w:r>
      <w:r>
        <w:rPr>
          <w:color w:val="231F20"/>
          <w:spacing w:val="-30"/>
          <w:w w:val="105"/>
        </w:rPr>
        <w:t> </w:t>
      </w:r>
      <w:r>
        <w:rPr>
          <w:color w:val="231F20"/>
          <w:w w:val="105"/>
        </w:rPr>
        <w:t>the</w:t>
      </w:r>
      <w:r>
        <w:rPr>
          <w:color w:val="231F20"/>
          <w:spacing w:val="-31"/>
          <w:w w:val="105"/>
        </w:rPr>
        <w:t> </w:t>
      </w:r>
      <w:r>
        <w:rPr>
          <w:i/>
          <w:color w:val="231F20"/>
          <w:w w:val="105"/>
        </w:rPr>
        <w:t>external</w:t>
      </w:r>
      <w:r>
        <w:rPr>
          <w:i/>
          <w:color w:val="231F20"/>
          <w:spacing w:val="-30"/>
          <w:w w:val="105"/>
        </w:rPr>
        <w:t> </w:t>
      </w:r>
      <w:r>
        <w:rPr>
          <w:i/>
          <w:color w:val="231F20"/>
          <w:w w:val="105"/>
        </w:rPr>
        <w:t>sphincter</w:t>
      </w:r>
      <w:r>
        <w:rPr>
          <w:i/>
          <w:color w:val="231F20"/>
          <w:spacing w:val="-31"/>
          <w:w w:val="105"/>
        </w:rPr>
        <w:t> </w:t>
      </w:r>
      <w:r>
        <w:rPr>
          <w:color w:val="231F20"/>
          <w:w w:val="105"/>
        </w:rPr>
        <w:t>of</w:t>
      </w:r>
      <w:r>
        <w:rPr>
          <w:color w:val="231F20"/>
          <w:spacing w:val="-30"/>
          <w:w w:val="105"/>
        </w:rPr>
        <w:t> </w:t>
      </w:r>
      <w:r>
        <w:rPr>
          <w:color w:val="231F20"/>
          <w:w w:val="105"/>
        </w:rPr>
        <w:t>the</w:t>
      </w:r>
      <w:r>
        <w:rPr>
          <w:color w:val="231F20"/>
          <w:spacing w:val="-31"/>
          <w:w w:val="105"/>
        </w:rPr>
        <w:t> </w:t>
      </w:r>
      <w:r>
        <w:rPr>
          <w:color w:val="231F20"/>
          <w:w w:val="105"/>
        </w:rPr>
        <w:t>bladder.</w:t>
      </w:r>
      <w:r>
        <w:rPr>
          <w:color w:val="231F20"/>
          <w:spacing w:val="-30"/>
          <w:w w:val="105"/>
        </w:rPr>
        <w:t> </w:t>
      </w:r>
      <w:r>
        <w:rPr>
          <w:color w:val="231F20"/>
          <w:spacing w:val="-3"/>
          <w:w w:val="105"/>
        </w:rPr>
        <w:t>This </w:t>
      </w:r>
      <w:r>
        <w:rPr>
          <w:color w:val="231F20"/>
          <w:w w:val="105"/>
        </w:rPr>
        <w:t>muscle is a voluntary skeletal muscle, in contrast to the muscle of the bladder body and bladder neck, which is entirely</w:t>
      </w:r>
      <w:r>
        <w:rPr>
          <w:color w:val="231F20"/>
          <w:spacing w:val="-15"/>
          <w:w w:val="105"/>
        </w:rPr>
        <w:t> </w:t>
      </w:r>
      <w:r>
        <w:rPr>
          <w:color w:val="231F20"/>
          <w:w w:val="105"/>
        </w:rPr>
        <w:t>smooth</w:t>
      </w:r>
      <w:r>
        <w:rPr>
          <w:color w:val="231F20"/>
          <w:spacing w:val="-15"/>
          <w:w w:val="105"/>
        </w:rPr>
        <w:t> </w:t>
      </w:r>
      <w:r>
        <w:rPr>
          <w:color w:val="231F20"/>
          <w:w w:val="105"/>
        </w:rPr>
        <w:t>muscle.</w:t>
      </w:r>
      <w:r>
        <w:rPr>
          <w:color w:val="231F20"/>
          <w:spacing w:val="-15"/>
          <w:w w:val="105"/>
        </w:rPr>
        <w:t> </w:t>
      </w:r>
      <w:r>
        <w:rPr>
          <w:color w:val="231F20"/>
          <w:w w:val="105"/>
        </w:rPr>
        <w:t>The</w:t>
      </w:r>
      <w:r>
        <w:rPr>
          <w:color w:val="231F20"/>
          <w:spacing w:val="-15"/>
          <w:w w:val="105"/>
        </w:rPr>
        <w:t> </w:t>
      </w:r>
      <w:r>
        <w:rPr>
          <w:color w:val="231F20"/>
          <w:w w:val="105"/>
        </w:rPr>
        <w:t>external</w:t>
      </w:r>
      <w:r>
        <w:rPr>
          <w:color w:val="231F20"/>
          <w:spacing w:val="-15"/>
          <w:w w:val="105"/>
        </w:rPr>
        <w:t> </w:t>
      </w:r>
      <w:r>
        <w:rPr>
          <w:color w:val="231F20"/>
          <w:w w:val="105"/>
        </w:rPr>
        <w:t>sphincter</w:t>
      </w:r>
      <w:r>
        <w:rPr>
          <w:color w:val="231F20"/>
          <w:spacing w:val="-15"/>
          <w:w w:val="105"/>
        </w:rPr>
        <w:t> </w:t>
      </w:r>
      <w:r>
        <w:rPr>
          <w:color w:val="231F20"/>
          <w:w w:val="105"/>
        </w:rPr>
        <w:t>muscle</w:t>
      </w:r>
      <w:r>
        <w:rPr>
          <w:color w:val="231F20"/>
          <w:spacing w:val="-14"/>
          <w:w w:val="105"/>
        </w:rPr>
        <w:t> </w:t>
      </w:r>
      <w:r>
        <w:rPr>
          <w:color w:val="231F20"/>
          <w:spacing w:val="-6"/>
          <w:w w:val="105"/>
        </w:rPr>
        <w:t>is</w:t>
      </w:r>
    </w:p>
    <w:p>
      <w:pPr>
        <w:pStyle w:val="BodyText"/>
        <w:spacing w:line="249" w:lineRule="auto" w:before="100"/>
        <w:ind w:left="319" w:right="1437"/>
        <w:jc w:val="both"/>
      </w:pPr>
      <w:r>
        <w:rPr/>
        <w:br w:type="column"/>
      </w:r>
      <w:r>
        <w:rPr>
          <w:color w:val="231F20"/>
          <w:w w:val="105"/>
        </w:rPr>
        <w:t>under voluntary control of the nervous system and can be used to consciously prevent urination even when involuntary</w:t>
      </w:r>
      <w:r>
        <w:rPr>
          <w:color w:val="231F20"/>
          <w:spacing w:val="-14"/>
          <w:w w:val="105"/>
        </w:rPr>
        <w:t> </w:t>
      </w:r>
      <w:r>
        <w:rPr>
          <w:color w:val="231F20"/>
          <w:w w:val="105"/>
        </w:rPr>
        <w:t>controls</w:t>
      </w:r>
      <w:r>
        <w:rPr>
          <w:color w:val="231F20"/>
          <w:spacing w:val="-14"/>
          <w:w w:val="105"/>
        </w:rPr>
        <w:t> </w:t>
      </w:r>
      <w:r>
        <w:rPr>
          <w:color w:val="231F20"/>
          <w:w w:val="105"/>
        </w:rPr>
        <w:t>are</w:t>
      </w:r>
      <w:r>
        <w:rPr>
          <w:color w:val="231F20"/>
          <w:spacing w:val="-14"/>
          <w:w w:val="105"/>
        </w:rPr>
        <w:t> </w:t>
      </w:r>
      <w:r>
        <w:rPr>
          <w:color w:val="231F20"/>
          <w:w w:val="105"/>
        </w:rPr>
        <w:t>attempting</w:t>
      </w:r>
      <w:r>
        <w:rPr>
          <w:color w:val="231F20"/>
          <w:spacing w:val="-14"/>
          <w:w w:val="105"/>
        </w:rPr>
        <w:t> </w:t>
      </w:r>
      <w:r>
        <w:rPr>
          <w:color w:val="231F20"/>
          <w:w w:val="105"/>
        </w:rPr>
        <w:t>to</w:t>
      </w:r>
      <w:r>
        <w:rPr>
          <w:color w:val="231F20"/>
          <w:spacing w:val="-14"/>
          <w:w w:val="105"/>
        </w:rPr>
        <w:t> </w:t>
      </w:r>
      <w:r>
        <w:rPr>
          <w:color w:val="231F20"/>
          <w:w w:val="105"/>
        </w:rPr>
        <w:t>empty</w:t>
      </w:r>
      <w:r>
        <w:rPr>
          <w:color w:val="231F20"/>
          <w:spacing w:val="-14"/>
          <w:w w:val="105"/>
        </w:rPr>
        <w:t> </w:t>
      </w:r>
      <w:r>
        <w:rPr>
          <w:color w:val="231F20"/>
          <w:w w:val="105"/>
        </w:rPr>
        <w:t>the</w:t>
      </w:r>
      <w:r>
        <w:rPr>
          <w:color w:val="231F20"/>
          <w:spacing w:val="-14"/>
          <w:w w:val="105"/>
        </w:rPr>
        <w:t> </w:t>
      </w:r>
      <w:r>
        <w:rPr>
          <w:color w:val="231F20"/>
          <w:spacing w:val="-4"/>
          <w:w w:val="105"/>
        </w:rPr>
        <w:t>bladder.</w:t>
      </w:r>
    </w:p>
    <w:p>
      <w:pPr>
        <w:spacing w:line="249" w:lineRule="auto" w:before="242"/>
        <w:ind w:left="319" w:right="1437" w:firstLine="0"/>
        <w:jc w:val="both"/>
        <w:rPr>
          <w:sz w:val="20"/>
        </w:rPr>
      </w:pPr>
      <w:r>
        <w:rPr>
          <w:rFonts w:ascii="Trebuchet MS"/>
          <w:b/>
          <w:color w:val="231F20"/>
          <w:sz w:val="19"/>
        </w:rPr>
        <w:t>Innervation of the </w:t>
      </w:r>
      <w:r>
        <w:rPr>
          <w:rFonts w:ascii="Trebuchet MS"/>
          <w:b/>
          <w:color w:val="231F20"/>
          <w:spacing w:val="-3"/>
          <w:sz w:val="19"/>
        </w:rPr>
        <w:t>Bladder. </w:t>
      </w:r>
      <w:r>
        <w:rPr>
          <w:color w:val="231F20"/>
          <w:sz w:val="20"/>
        </w:rPr>
        <w:t>The principal nerve </w:t>
      </w:r>
      <w:r>
        <w:rPr>
          <w:color w:val="231F20"/>
          <w:spacing w:val="-3"/>
          <w:sz w:val="20"/>
        </w:rPr>
        <w:t>supply </w:t>
      </w:r>
      <w:r>
        <w:rPr>
          <w:color w:val="231F20"/>
          <w:sz w:val="20"/>
        </w:rPr>
        <w:t>of</w:t>
      </w:r>
      <w:r>
        <w:rPr>
          <w:color w:val="231F20"/>
          <w:spacing w:val="-12"/>
          <w:sz w:val="20"/>
        </w:rPr>
        <w:t> </w:t>
      </w:r>
      <w:r>
        <w:rPr>
          <w:color w:val="231F20"/>
          <w:sz w:val="20"/>
        </w:rPr>
        <w:t>the</w:t>
      </w:r>
      <w:r>
        <w:rPr>
          <w:color w:val="231F20"/>
          <w:spacing w:val="-12"/>
          <w:sz w:val="20"/>
        </w:rPr>
        <w:t> </w:t>
      </w:r>
      <w:r>
        <w:rPr>
          <w:color w:val="231F20"/>
          <w:sz w:val="20"/>
        </w:rPr>
        <w:t>bladder</w:t>
      </w:r>
      <w:r>
        <w:rPr>
          <w:color w:val="231F20"/>
          <w:spacing w:val="-11"/>
          <w:sz w:val="20"/>
        </w:rPr>
        <w:t> </w:t>
      </w:r>
      <w:r>
        <w:rPr>
          <w:color w:val="231F20"/>
          <w:sz w:val="20"/>
        </w:rPr>
        <w:t>is</w:t>
      </w:r>
      <w:r>
        <w:rPr>
          <w:color w:val="231F20"/>
          <w:spacing w:val="-12"/>
          <w:sz w:val="20"/>
        </w:rPr>
        <w:t> </w:t>
      </w:r>
      <w:r>
        <w:rPr>
          <w:color w:val="231F20"/>
          <w:sz w:val="20"/>
        </w:rPr>
        <w:t>by</w:t>
      </w:r>
      <w:r>
        <w:rPr>
          <w:color w:val="231F20"/>
          <w:spacing w:val="-12"/>
          <w:sz w:val="20"/>
        </w:rPr>
        <w:t> </w:t>
      </w:r>
      <w:r>
        <w:rPr>
          <w:color w:val="231F20"/>
          <w:sz w:val="20"/>
        </w:rPr>
        <w:t>way</w:t>
      </w:r>
      <w:r>
        <w:rPr>
          <w:color w:val="231F20"/>
          <w:spacing w:val="-11"/>
          <w:sz w:val="20"/>
        </w:rPr>
        <w:t> </w:t>
      </w:r>
      <w:r>
        <w:rPr>
          <w:color w:val="231F20"/>
          <w:sz w:val="20"/>
        </w:rPr>
        <w:t>of</w:t>
      </w:r>
      <w:r>
        <w:rPr>
          <w:color w:val="231F20"/>
          <w:spacing w:val="-12"/>
          <w:sz w:val="20"/>
        </w:rPr>
        <w:t> </w:t>
      </w:r>
      <w:r>
        <w:rPr>
          <w:color w:val="231F20"/>
          <w:sz w:val="20"/>
        </w:rPr>
        <w:t>the</w:t>
      </w:r>
      <w:r>
        <w:rPr>
          <w:color w:val="231F20"/>
          <w:spacing w:val="-13"/>
          <w:sz w:val="20"/>
        </w:rPr>
        <w:t> </w:t>
      </w:r>
      <w:r>
        <w:rPr>
          <w:i/>
          <w:color w:val="231F20"/>
          <w:sz w:val="20"/>
        </w:rPr>
        <w:t>pelvic</w:t>
      </w:r>
      <w:r>
        <w:rPr>
          <w:i/>
          <w:color w:val="231F20"/>
          <w:spacing w:val="-11"/>
          <w:sz w:val="20"/>
        </w:rPr>
        <w:t> </w:t>
      </w:r>
      <w:r>
        <w:rPr>
          <w:i/>
          <w:color w:val="231F20"/>
          <w:sz w:val="20"/>
        </w:rPr>
        <w:t>nerves,</w:t>
      </w:r>
      <w:r>
        <w:rPr>
          <w:i/>
          <w:color w:val="231F20"/>
          <w:spacing w:val="-12"/>
          <w:sz w:val="20"/>
        </w:rPr>
        <w:t> </w:t>
      </w:r>
      <w:r>
        <w:rPr>
          <w:color w:val="231F20"/>
          <w:sz w:val="20"/>
        </w:rPr>
        <w:t>which</w:t>
      </w:r>
      <w:r>
        <w:rPr>
          <w:color w:val="231F20"/>
          <w:spacing w:val="-12"/>
          <w:sz w:val="20"/>
        </w:rPr>
        <w:t> </w:t>
      </w:r>
      <w:r>
        <w:rPr>
          <w:color w:val="231F20"/>
          <w:sz w:val="20"/>
        </w:rPr>
        <w:t>connect with the spinal cord through the </w:t>
      </w:r>
      <w:r>
        <w:rPr>
          <w:i/>
          <w:color w:val="231F20"/>
          <w:sz w:val="20"/>
        </w:rPr>
        <w:t>sacral plexus, </w:t>
      </w:r>
      <w:r>
        <w:rPr>
          <w:color w:val="231F20"/>
          <w:sz w:val="20"/>
        </w:rPr>
        <w:t>mainly connecting with cord segments S2 and S3 (</w:t>
      </w:r>
      <w:hyperlink w:history="true" w:anchor="_bookmark18">
        <w:r>
          <w:rPr>
            <w:b/>
            <w:color w:val="0080AC"/>
            <w:sz w:val="20"/>
          </w:rPr>
          <w:t>Figure 26-7</w:t>
        </w:r>
      </w:hyperlink>
      <w:r>
        <w:rPr>
          <w:color w:val="231F20"/>
          <w:sz w:val="20"/>
        </w:rPr>
        <w:t>). Coursing through the pelvic nerves are both </w:t>
      </w:r>
      <w:r>
        <w:rPr>
          <w:i/>
          <w:color w:val="231F20"/>
          <w:sz w:val="20"/>
        </w:rPr>
        <w:t>sensory nerve </w:t>
      </w:r>
      <w:r>
        <w:rPr>
          <w:i/>
          <w:color w:val="231F20"/>
          <w:sz w:val="20"/>
        </w:rPr>
        <w:t>fibers</w:t>
      </w:r>
      <w:r>
        <w:rPr>
          <w:i/>
          <w:color w:val="231F20"/>
          <w:spacing w:val="-6"/>
          <w:sz w:val="20"/>
        </w:rPr>
        <w:t> </w:t>
      </w:r>
      <w:r>
        <w:rPr>
          <w:color w:val="231F20"/>
          <w:sz w:val="20"/>
        </w:rPr>
        <w:t>and</w:t>
      </w:r>
      <w:r>
        <w:rPr>
          <w:color w:val="231F20"/>
          <w:spacing w:val="-5"/>
          <w:sz w:val="20"/>
        </w:rPr>
        <w:t> </w:t>
      </w:r>
      <w:r>
        <w:rPr>
          <w:i/>
          <w:color w:val="231F20"/>
          <w:sz w:val="20"/>
        </w:rPr>
        <w:t>motor</w:t>
      </w:r>
      <w:r>
        <w:rPr>
          <w:i/>
          <w:color w:val="231F20"/>
          <w:spacing w:val="-6"/>
          <w:sz w:val="20"/>
        </w:rPr>
        <w:t> </w:t>
      </w:r>
      <w:r>
        <w:rPr>
          <w:i/>
          <w:color w:val="231F20"/>
          <w:sz w:val="20"/>
        </w:rPr>
        <w:t>nerve</w:t>
      </w:r>
      <w:r>
        <w:rPr>
          <w:i/>
          <w:color w:val="231F20"/>
          <w:spacing w:val="-5"/>
          <w:sz w:val="20"/>
        </w:rPr>
        <w:t> </w:t>
      </w:r>
      <w:r>
        <w:rPr>
          <w:i/>
          <w:color w:val="231F20"/>
          <w:sz w:val="20"/>
        </w:rPr>
        <w:t>fibers.</w:t>
      </w:r>
      <w:r>
        <w:rPr>
          <w:i/>
          <w:color w:val="231F20"/>
          <w:spacing w:val="-6"/>
          <w:sz w:val="20"/>
        </w:rPr>
        <w:t> </w:t>
      </w:r>
      <w:r>
        <w:rPr>
          <w:color w:val="231F20"/>
          <w:sz w:val="20"/>
        </w:rPr>
        <w:t>The</w:t>
      </w:r>
      <w:r>
        <w:rPr>
          <w:color w:val="231F20"/>
          <w:spacing w:val="-5"/>
          <w:sz w:val="20"/>
        </w:rPr>
        <w:t> </w:t>
      </w:r>
      <w:r>
        <w:rPr>
          <w:color w:val="231F20"/>
          <w:sz w:val="20"/>
        </w:rPr>
        <w:t>sensory</w:t>
      </w:r>
      <w:r>
        <w:rPr>
          <w:color w:val="231F20"/>
          <w:spacing w:val="-6"/>
          <w:sz w:val="20"/>
        </w:rPr>
        <w:t> </w:t>
      </w:r>
      <w:r>
        <w:rPr>
          <w:color w:val="231F20"/>
          <w:sz w:val="20"/>
        </w:rPr>
        <w:t>fibers</w:t>
      </w:r>
      <w:r>
        <w:rPr>
          <w:color w:val="231F20"/>
          <w:spacing w:val="-5"/>
          <w:sz w:val="20"/>
        </w:rPr>
        <w:t> </w:t>
      </w:r>
      <w:r>
        <w:rPr>
          <w:color w:val="231F20"/>
          <w:sz w:val="20"/>
        </w:rPr>
        <w:t>detect</w:t>
      </w:r>
      <w:r>
        <w:rPr>
          <w:color w:val="231F20"/>
          <w:spacing w:val="-6"/>
          <w:sz w:val="20"/>
        </w:rPr>
        <w:t> </w:t>
      </w:r>
      <w:r>
        <w:rPr>
          <w:color w:val="231F20"/>
          <w:sz w:val="20"/>
        </w:rPr>
        <w:t>the</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50"/>
          <w:pgSz w:w="12240" w:h="15660"/>
          <w:pgMar w:header="0" w:footer="567" w:top="0" w:bottom="760" w:left="0" w:right="0"/>
        </w:sectPr>
      </w:pPr>
    </w:p>
    <w:p>
      <w:pPr>
        <w:pStyle w:val="BodyText"/>
        <w:spacing w:line="249" w:lineRule="auto" w:before="100"/>
        <w:ind w:left="1440"/>
        <w:jc w:val="both"/>
      </w:pPr>
      <w:r>
        <w:rPr>
          <w:color w:val="231F20"/>
        </w:rPr>
        <w:t>degree of stretch in the bladder wall. Stretch signals from the posterior urethra are especially strong and are mainly responsible for initiating the reflexes that cause bladder emptying.</w:t>
      </w:r>
    </w:p>
    <w:p>
      <w:pPr>
        <w:pStyle w:val="BodyText"/>
        <w:spacing w:line="249" w:lineRule="auto" w:before="3"/>
        <w:ind w:left="1440" w:firstLine="240"/>
        <w:jc w:val="both"/>
      </w:pPr>
      <w:r>
        <w:rPr>
          <w:color w:val="231F20"/>
        </w:rPr>
        <w:t>The motor nerves transmitted in the pelvic nerves are </w:t>
      </w:r>
      <w:r>
        <w:rPr>
          <w:i/>
          <w:color w:val="231F20"/>
        </w:rPr>
        <w:t>parasympathetic fibers. </w:t>
      </w:r>
      <w:r>
        <w:rPr>
          <w:color w:val="231F20"/>
        </w:rPr>
        <w:t>These fibers terminate on gan- glion cells located in the wall of the bladder. Short post- ganglionic nerves then innervate the detrusor muscle.</w:t>
      </w:r>
    </w:p>
    <w:p>
      <w:pPr>
        <w:spacing w:line="249" w:lineRule="auto" w:before="3"/>
        <w:ind w:left="1439" w:right="0" w:firstLine="240"/>
        <w:jc w:val="both"/>
        <w:rPr>
          <w:i/>
          <w:sz w:val="20"/>
        </w:rPr>
      </w:pPr>
      <w:r>
        <w:rPr>
          <w:color w:val="231F20"/>
          <w:w w:val="105"/>
          <w:sz w:val="20"/>
        </w:rPr>
        <w:t>In addition to the  pelvic  nerves,  two  other  types of innervation are important in bladder function. </w:t>
      </w:r>
      <w:r>
        <w:rPr>
          <w:color w:val="231F20"/>
          <w:spacing w:val="-4"/>
          <w:w w:val="105"/>
          <w:sz w:val="20"/>
        </w:rPr>
        <w:t>Most </w:t>
      </w:r>
      <w:r>
        <w:rPr>
          <w:color w:val="231F20"/>
          <w:w w:val="105"/>
          <w:sz w:val="20"/>
        </w:rPr>
        <w:t>important are the </w:t>
      </w:r>
      <w:r>
        <w:rPr>
          <w:i/>
          <w:color w:val="231F20"/>
          <w:w w:val="105"/>
          <w:sz w:val="20"/>
        </w:rPr>
        <w:t>skeletal motor fibers </w:t>
      </w:r>
      <w:r>
        <w:rPr>
          <w:color w:val="231F20"/>
          <w:spacing w:val="-3"/>
          <w:w w:val="105"/>
          <w:sz w:val="20"/>
        </w:rPr>
        <w:t>transmitted </w:t>
      </w:r>
      <w:r>
        <w:rPr>
          <w:color w:val="231F20"/>
          <w:w w:val="105"/>
          <w:sz w:val="20"/>
        </w:rPr>
        <w:t>through the </w:t>
      </w:r>
      <w:r>
        <w:rPr>
          <w:i/>
          <w:color w:val="231F20"/>
          <w:w w:val="105"/>
          <w:sz w:val="20"/>
        </w:rPr>
        <w:t>pudendal nerve </w:t>
      </w:r>
      <w:r>
        <w:rPr>
          <w:color w:val="231F20"/>
          <w:w w:val="105"/>
          <w:sz w:val="20"/>
        </w:rPr>
        <w:t>to the external bladder sphincter.</w:t>
      </w:r>
      <w:r>
        <w:rPr>
          <w:color w:val="231F20"/>
          <w:spacing w:val="-28"/>
          <w:w w:val="105"/>
          <w:sz w:val="20"/>
        </w:rPr>
        <w:t> </w:t>
      </w:r>
      <w:r>
        <w:rPr>
          <w:color w:val="231F20"/>
          <w:w w:val="105"/>
          <w:sz w:val="20"/>
        </w:rPr>
        <w:t>These</w:t>
      </w:r>
      <w:r>
        <w:rPr>
          <w:color w:val="231F20"/>
          <w:spacing w:val="-27"/>
          <w:w w:val="105"/>
          <w:sz w:val="20"/>
        </w:rPr>
        <w:t> </w:t>
      </w:r>
      <w:r>
        <w:rPr>
          <w:color w:val="231F20"/>
          <w:w w:val="105"/>
          <w:sz w:val="20"/>
        </w:rPr>
        <w:t>fibers</w:t>
      </w:r>
      <w:r>
        <w:rPr>
          <w:color w:val="231F20"/>
          <w:spacing w:val="-27"/>
          <w:w w:val="105"/>
          <w:sz w:val="20"/>
        </w:rPr>
        <w:t> </w:t>
      </w:r>
      <w:r>
        <w:rPr>
          <w:color w:val="231F20"/>
          <w:w w:val="105"/>
          <w:sz w:val="20"/>
        </w:rPr>
        <w:t>are</w:t>
      </w:r>
      <w:r>
        <w:rPr>
          <w:color w:val="231F20"/>
          <w:spacing w:val="-27"/>
          <w:w w:val="105"/>
          <w:sz w:val="20"/>
        </w:rPr>
        <w:t> </w:t>
      </w:r>
      <w:r>
        <w:rPr>
          <w:i/>
          <w:color w:val="231F20"/>
          <w:w w:val="105"/>
          <w:sz w:val="20"/>
        </w:rPr>
        <w:t>somatic</w:t>
      </w:r>
      <w:r>
        <w:rPr>
          <w:i/>
          <w:color w:val="231F20"/>
          <w:spacing w:val="-27"/>
          <w:w w:val="105"/>
          <w:sz w:val="20"/>
        </w:rPr>
        <w:t> </w:t>
      </w:r>
      <w:r>
        <w:rPr>
          <w:i/>
          <w:color w:val="231F20"/>
          <w:w w:val="105"/>
          <w:sz w:val="20"/>
        </w:rPr>
        <w:t>nerve</w:t>
      </w:r>
      <w:r>
        <w:rPr>
          <w:i/>
          <w:color w:val="231F20"/>
          <w:spacing w:val="-27"/>
          <w:w w:val="105"/>
          <w:sz w:val="20"/>
        </w:rPr>
        <w:t> </w:t>
      </w:r>
      <w:r>
        <w:rPr>
          <w:i/>
          <w:color w:val="231F20"/>
          <w:w w:val="105"/>
          <w:sz w:val="20"/>
        </w:rPr>
        <w:t>fibers</w:t>
      </w:r>
      <w:r>
        <w:rPr>
          <w:i/>
          <w:color w:val="231F20"/>
          <w:spacing w:val="-27"/>
          <w:w w:val="105"/>
          <w:sz w:val="20"/>
        </w:rPr>
        <w:t> </w:t>
      </w:r>
      <w:r>
        <w:rPr>
          <w:color w:val="231F20"/>
          <w:w w:val="105"/>
          <w:sz w:val="20"/>
        </w:rPr>
        <w:t>that</w:t>
      </w:r>
      <w:r>
        <w:rPr>
          <w:color w:val="231F20"/>
          <w:spacing w:val="-27"/>
          <w:w w:val="105"/>
          <w:sz w:val="20"/>
        </w:rPr>
        <w:t> </w:t>
      </w:r>
      <w:r>
        <w:rPr>
          <w:color w:val="231F20"/>
          <w:w w:val="105"/>
          <w:sz w:val="20"/>
        </w:rPr>
        <w:t>inner- vate and control the voluntary skeletal muscle of </w:t>
      </w:r>
      <w:r>
        <w:rPr>
          <w:color w:val="231F20"/>
          <w:spacing w:val="-5"/>
          <w:w w:val="105"/>
          <w:sz w:val="20"/>
        </w:rPr>
        <w:t>the </w:t>
      </w:r>
      <w:r>
        <w:rPr>
          <w:color w:val="231F20"/>
          <w:w w:val="105"/>
          <w:sz w:val="20"/>
        </w:rPr>
        <w:t>sphincter.</w:t>
      </w:r>
      <w:r>
        <w:rPr>
          <w:color w:val="231F20"/>
          <w:spacing w:val="-34"/>
          <w:w w:val="105"/>
          <w:sz w:val="20"/>
        </w:rPr>
        <w:t> </w:t>
      </w:r>
      <w:r>
        <w:rPr>
          <w:color w:val="231F20"/>
          <w:w w:val="105"/>
          <w:sz w:val="20"/>
        </w:rPr>
        <w:t>Also,</w:t>
      </w:r>
      <w:r>
        <w:rPr>
          <w:color w:val="231F20"/>
          <w:spacing w:val="-33"/>
          <w:w w:val="105"/>
          <w:sz w:val="20"/>
        </w:rPr>
        <w:t> </w:t>
      </w:r>
      <w:r>
        <w:rPr>
          <w:color w:val="231F20"/>
          <w:w w:val="105"/>
          <w:sz w:val="20"/>
        </w:rPr>
        <w:t>the</w:t>
      </w:r>
      <w:r>
        <w:rPr>
          <w:color w:val="231F20"/>
          <w:spacing w:val="-33"/>
          <w:w w:val="105"/>
          <w:sz w:val="20"/>
        </w:rPr>
        <w:t> </w:t>
      </w:r>
      <w:r>
        <w:rPr>
          <w:color w:val="231F20"/>
          <w:w w:val="105"/>
          <w:sz w:val="20"/>
        </w:rPr>
        <w:t>bladder</w:t>
      </w:r>
      <w:r>
        <w:rPr>
          <w:color w:val="231F20"/>
          <w:spacing w:val="-33"/>
          <w:w w:val="105"/>
          <w:sz w:val="20"/>
        </w:rPr>
        <w:t> </w:t>
      </w:r>
      <w:r>
        <w:rPr>
          <w:color w:val="231F20"/>
          <w:w w:val="105"/>
          <w:sz w:val="20"/>
        </w:rPr>
        <w:t>receives</w:t>
      </w:r>
      <w:r>
        <w:rPr>
          <w:color w:val="231F20"/>
          <w:spacing w:val="-33"/>
          <w:w w:val="105"/>
          <w:sz w:val="20"/>
        </w:rPr>
        <w:t> </w:t>
      </w:r>
      <w:r>
        <w:rPr>
          <w:i/>
          <w:color w:val="231F20"/>
          <w:w w:val="105"/>
          <w:sz w:val="20"/>
        </w:rPr>
        <w:t>sympathetic</w:t>
      </w:r>
      <w:r>
        <w:rPr>
          <w:i/>
          <w:color w:val="231F20"/>
          <w:spacing w:val="-33"/>
          <w:w w:val="105"/>
          <w:sz w:val="20"/>
        </w:rPr>
        <w:t> </w:t>
      </w:r>
      <w:r>
        <w:rPr>
          <w:i/>
          <w:color w:val="231F20"/>
          <w:w w:val="105"/>
          <w:sz w:val="20"/>
        </w:rPr>
        <w:t>innerva-</w:t>
      </w:r>
    </w:p>
    <w:p>
      <w:pPr>
        <w:pStyle w:val="BodyText"/>
        <w:rPr>
          <w:i/>
          <w:sz w:val="18"/>
        </w:rPr>
      </w:pPr>
      <w:r>
        <w:rPr/>
        <w:br w:type="column"/>
      </w:r>
      <w:r>
        <w:rPr>
          <w:i/>
          <w:sz w:val="18"/>
        </w:rPr>
      </w:r>
    </w:p>
    <w:p>
      <w:pPr>
        <w:pStyle w:val="BodyText"/>
        <w:rPr>
          <w:i/>
          <w:sz w:val="18"/>
        </w:rPr>
      </w:pPr>
    </w:p>
    <w:p>
      <w:pPr>
        <w:pStyle w:val="BodyText"/>
        <w:rPr>
          <w:i/>
          <w:sz w:val="18"/>
        </w:rPr>
      </w:pPr>
    </w:p>
    <w:p>
      <w:pPr>
        <w:pStyle w:val="BodyText"/>
        <w:spacing w:before="2"/>
        <w:rPr>
          <w:i/>
          <w:sz w:val="16"/>
        </w:rPr>
      </w:pPr>
    </w:p>
    <w:p>
      <w:pPr>
        <w:spacing w:before="0"/>
        <w:ind w:left="1020" w:right="0" w:firstLine="0"/>
        <w:jc w:val="left"/>
        <w:rPr>
          <w:rFonts w:ascii="Helvetica"/>
          <w:sz w:val="16"/>
        </w:rPr>
      </w:pPr>
      <w:r>
        <w:rPr>
          <w:rFonts w:ascii="Helvetica"/>
          <w:color w:val="231F20"/>
          <w:sz w:val="16"/>
        </w:rPr>
        <w:t>40</w:t>
      </w:r>
    </w:p>
    <w:p>
      <w:pPr>
        <w:pStyle w:val="BodyText"/>
        <w:rPr>
          <w:rFonts w:ascii="Helvetica"/>
          <w:sz w:val="18"/>
        </w:rPr>
      </w:pPr>
    </w:p>
    <w:p>
      <w:pPr>
        <w:pStyle w:val="BodyText"/>
        <w:spacing w:before="6"/>
        <w:rPr>
          <w:rFonts w:ascii="Helvetica"/>
          <w:sz w:val="17"/>
        </w:rPr>
      </w:pPr>
    </w:p>
    <w:p>
      <w:pPr>
        <w:spacing w:before="0"/>
        <w:ind w:left="1020" w:right="0" w:firstLine="0"/>
        <w:jc w:val="left"/>
        <w:rPr>
          <w:rFonts w:ascii="Helvetica"/>
          <w:sz w:val="16"/>
        </w:rPr>
      </w:pPr>
      <w:r>
        <w:rPr/>
        <w:pict>
          <v:group style="position:absolute;margin-left:369.143188pt;margin-top:-63.019253pt;width:175.8pt;height:161.25pt;mso-position-horizontal-relative:page;mso-position-vertical-relative:paragraph;z-index:251868160" coordorigin="7383,-1260" coordsize="3516,3225">
            <v:shape style="position:absolute;left:-104;top:13319;width:3368;height:2470" coordorigin="-103,13319" coordsize="3368,2470" path="m7486,-506l7486,1854,10751,1854m7487,1849l7487,1964m8149,1849l8149,1964m8811,1849l8811,1964m9473,1849l9473,1964m10135,1849l10135,1964m7487,1853l7383,1853m7487,1267l7383,1267m7487,679l7383,679m7487,92l7383,92m7487,-495l7383,-495e" filled="false" stroked="true" strokeweight="1pt" strokecolor="#231f20">
              <v:path arrowok="t"/>
              <v:stroke dashstyle="solid"/>
            </v:shape>
            <v:shape style="position:absolute;left:0;top:10692;width:2212;height:2627" coordorigin="0,10693" coordsize="2212,2627" path="m8649,1396l8675,1093,8692,938,8705,881,8722,874,8742,953,8761,1122,8775,1292,8780,1368m8843,1373l8861,1272,8870,1182,8873,1052,8873,831,8879,573,8884,440,8893,390,8908,380,8916,394,8921,436,8925,543,8929,746,8931,1032,8935,1191,8944,1280,8961,1355m9018,1348l9037,1296,9046,1213,9049,1041,9047,721,9046,449,9048,309,9053,257,9065,250,9072,277,9079,346,9084,442,9089,547,9092,647,9093,724,9094,762,9095,802,9097,884,9100,990,9103,1104,9108,1210,9113,1290,9118,1330m9163,1318l9164,1293,9165,1230,9168,1139,9170,1030,9172,914,9174,801,9175,702,9175,627,9174,586,9174,541,9175,460,9177,354,9181,239,9186,125,9191,28,9197,-41,9204,-68,9209,-48,9215,10,9221,96,9227,202,9232,318,9237,436,9242,546,9245,641,9248,711,9249,746,9253,852,9257,956,9261,1054,9265,1141,9269,1213,9272,1262,9274,1286m9322,1272l9329,1013,9333,843,9333,689,9331,474,9308,-137,9301,-452,9311,-571,9337,-594,9344,-578,9350,-529,9356,-455,9361,-362,9366,-256,9370,-143,9373,-30,9376,78,9378,173,9380,250,9380,302,9380,323,9389,780,9395,1028,9402,1152,9414,1238m9478,1220l9480,705,9480,427,9480,292,9478,204,9478,167,9477,107,9476,30,9475,-62,9474,-165,9473,-276,9473,-390,9473,-505,9473,-616,9474,-720,9476,-813,9479,-893,9482,-954,9487,-995,9492,-1010,9511,-866,9521,-541,9525,-214,9525,-66,9537,513,9547,835,9559,1016,9578,1172m9637,1148l9637,-77,9637,-127,9636,-193,9634,-272,9632,-361,9629,-458,9627,-559,9625,-662,9623,-763,9623,-861,9623,-951,9624,-1031,9627,-1098,9631,-1149,9638,-1181,9646,-1192,9657,-1092,9665,-972,9672,-754,9681,-359,9693,458,9703,882,9720,1048,9749,1093m9826,1036l9816,287,9811,-103,9809,-263,9809,-319,9808,-354,9807,-419,9804,-507,9802,-611,9800,-724,9799,-839,9798,-950,9799,-1048,9802,-1127,9807,-1180,9815,-1199,9824,-1207,9832,-1127,9844,-885,9862,-407,9883,339,9896,732,9910,902,9929,978m10013,923l10007,417,10004,117,10000,-93,9993,-332,9984,-831,9982,-1087,9988,-1182,10004,-1197,10019,-1229,10027,-1231,10030,-1194,10032,-1109,10075,106,10085,480,10092,680,10100,773,10111,828m10160,798l10158,217,10157,-86,10156,-207,10156,-244,10156,-274,10155,-329,10153,-403,10152,-493,10150,-594,10149,-701,10149,-809,10149,-913,10150,-1010,10152,-1093,10156,-1158,10162,-1201,10169,-1217,10190,-1101,10202,-843,10207,-584,10208,-467,10232,174,10246,509,10252,646,10255,696m10325,621l10314,95,10309,-180,10307,-294,10308,-337,10308,-368,10307,-429,10306,-514,10304,-616,10303,-727,10302,-841,10302,-951,10304,-1050,10307,-1131,10313,-1187,10321,-1212,10335,-1117,10345,-894,10351,-668,10353,-564,10363,-202,10371,32,10384,237,10407,516m10460,438l10450,-74,10444,-355,10440,-506,10435,-627,10432,-705,10430,-795,10429,-891,10430,-986,10432,-1072,10435,-1142,10441,-1189,10448,-1207,10456,-1186,10465,-1127,10472,-1040,10480,-934,10486,-818,10492,-701,10497,-591,10500,-499,10503,-433,10503,-402,10511,-151,10518,3,10530,126,10550,279m10620,172l10623,-141,10624,-308,10624,-382,10623,-421,10622,-455,10620,-523,10618,-614,10616,-721,10615,-835,10615,-947,10617,-1049,10621,-1133,10628,-1189,10638,-1210,10649,-1185,10658,-1120,10665,-1029,10670,-929,10674,-834,10676,-759,10676,-719,10679,-613,10684,-505,10690,-400,10698,-302,10705,-216,10712,-144,10718,-93,10722,-66m10787,-247l10784,-520,10782,-666,10781,-733,10781,-769,10780,-819,10777,-905,10775,-1007,10775,-1104,10779,-1178,10790,-1206,10808,-1149,10821,-1022,10828,-895,10830,-838,10835,-720,10840,-653,10848,-614,10860,-578e" filled="false" stroked="true" strokeweight="1pt" strokecolor="#f0535f">
              <v:path arrowok="t"/>
              <v:stroke dashstyle="shortdash"/>
            </v:shape>
            <v:shape style="position:absolute;left:8572;top:-1253;width:1035;height:1974" coordorigin="8572,-1253" coordsize="1035,1974" path="m8605,721l8586,706,8575,686,8572,663,8579,640,9025,-237,9032,-260,9029,-282,9018,-303,8999,-317,9022,-311,9045,-314,9065,-325,9080,-344,9526,-1220,9541,-1239,9561,-1250,9584,-1253,9607,-1247e" filled="false" stroked="true" strokeweight=".75pt" strokecolor="#231f20">
              <v:path arrowok="t"/>
              <v:stroke dashstyle="solid"/>
            </v:shape>
            <v:shape style="position:absolute;left:7547;top:-739;width:3331;height:2590" coordorigin="7547,-739" coordsize="3331,2590" path="m7547,1851l7664,1657,7755,1553,7868,1505,8051,1478,8134,1468,8225,1456,8321,1444,8421,1432,8520,1420,8617,1408,8707,1397,8790,1386,8861,1377,8957,1365,9043,1350,9133,1329,9253,1296,9322,1274,9396,1248,9474,1219,9556,1185,9640,1146,9725,1104,9812,1056,9898,1003,9983,945,10067,881,10148,812,10226,736,10300,655,10616,275,10781,3,10851,-291,10878,-739e" filled="false" stroked="true" strokeweight="2pt" strokecolor="#f0535f">
              <v:path arrowok="t"/>
              <v:stroke dashstyle="solid"/>
            </v:shape>
            <v:shape style="position:absolute;left:8071;top:-515;width:883;height:365" type="#_x0000_t202" filled="false" stroked="false">
              <v:textbox inset="0,0,0,0">
                <w:txbxContent>
                  <w:p>
                    <w:pPr>
                      <w:spacing w:line="235" w:lineRule="auto" w:before="2"/>
                      <w:ind w:left="0" w:right="0" w:firstLine="133"/>
                      <w:jc w:val="left"/>
                      <w:rPr>
                        <w:rFonts w:ascii="Helvetica"/>
                        <w:sz w:val="16"/>
                      </w:rPr>
                    </w:pPr>
                    <w:r>
                      <w:rPr>
                        <w:rFonts w:ascii="Helvetica"/>
                        <w:color w:val="231F20"/>
                        <w:sz w:val="16"/>
                      </w:rPr>
                      <w:t>Micturition contractions</w:t>
                    </w:r>
                  </w:p>
                </w:txbxContent>
              </v:textbox>
              <w10:wrap type="none"/>
            </v:shape>
            <w10:wrap type="none"/>
          </v:group>
        </w:pict>
      </w:r>
      <w:r>
        <w:rPr/>
        <w:pict>
          <v:shape style="position:absolute;margin-left:335.266602pt;margin-top:-6.238109pt;width:21.2pt;height:82.05pt;mso-position-horizontal-relative:page;mso-position-vertical-relative:paragraph;z-index:251870208" type="#_x0000_t202" filled="false" stroked="false">
            <v:textbox inset="0,0,0,0" style="layout-flow:vertical;mso-layout-flow-alt:bottom-to-top">
              <w:txbxContent>
                <w:p>
                  <w:pPr>
                    <w:spacing w:line="235" w:lineRule="auto" w:before="27"/>
                    <w:ind w:left="478" w:right="1" w:hanging="459"/>
                    <w:jc w:val="left"/>
                    <w:rPr>
                      <w:rFonts w:ascii="Helvetica"/>
                      <w:b/>
                      <w:sz w:val="16"/>
                    </w:rPr>
                  </w:pPr>
                  <w:r>
                    <w:rPr>
                      <w:rFonts w:ascii="Helvetica"/>
                      <w:b/>
                      <w:color w:val="231F20"/>
                      <w:sz w:val="16"/>
                    </w:rPr>
                    <w:t>Intravesical pressure (cm/H</w:t>
                  </w:r>
                  <w:r>
                    <w:rPr>
                      <w:rFonts w:ascii="Helvetica"/>
                      <w:b/>
                      <w:color w:val="231F20"/>
                      <w:sz w:val="16"/>
                      <w:vertAlign w:val="subscript"/>
                    </w:rPr>
                    <w:t>2</w:t>
                  </w:r>
                  <w:r>
                    <w:rPr>
                      <w:rFonts w:ascii="Helvetica"/>
                      <w:b/>
                      <w:color w:val="231F20"/>
                      <w:sz w:val="16"/>
                      <w:vertAlign w:val="baseline"/>
                    </w:rPr>
                    <w:t>O)</w:t>
                  </w:r>
                </w:p>
              </w:txbxContent>
            </v:textbox>
            <w10:wrap type="none"/>
          </v:shape>
        </w:pict>
      </w:r>
      <w:r>
        <w:rPr>
          <w:rFonts w:ascii="Helvetica"/>
          <w:color w:val="231F20"/>
          <w:sz w:val="16"/>
        </w:rPr>
        <w:t>30</w:t>
      </w:r>
    </w:p>
    <w:p>
      <w:pPr>
        <w:pStyle w:val="BodyText"/>
        <w:rPr>
          <w:rFonts w:ascii="Helvetica"/>
          <w:sz w:val="18"/>
        </w:rPr>
      </w:pPr>
    </w:p>
    <w:p>
      <w:pPr>
        <w:pStyle w:val="BodyText"/>
        <w:spacing w:before="6"/>
        <w:rPr>
          <w:rFonts w:ascii="Helvetica"/>
          <w:sz w:val="16"/>
        </w:rPr>
      </w:pPr>
    </w:p>
    <w:p>
      <w:pPr>
        <w:spacing w:before="0"/>
        <w:ind w:left="1020" w:right="0" w:firstLine="0"/>
        <w:jc w:val="left"/>
        <w:rPr>
          <w:rFonts w:ascii="Helvetica"/>
          <w:sz w:val="16"/>
        </w:rPr>
      </w:pPr>
      <w:r>
        <w:rPr>
          <w:rFonts w:ascii="Helvetica"/>
          <w:color w:val="231F20"/>
          <w:sz w:val="16"/>
        </w:rPr>
        <w:t>20</w:t>
      </w:r>
    </w:p>
    <w:p>
      <w:pPr>
        <w:pStyle w:val="BodyText"/>
        <w:rPr>
          <w:rFonts w:ascii="Helvetica"/>
          <w:sz w:val="18"/>
        </w:rPr>
      </w:pPr>
    </w:p>
    <w:p>
      <w:pPr>
        <w:pStyle w:val="BodyText"/>
        <w:spacing w:before="2"/>
        <w:rPr>
          <w:rFonts w:ascii="Helvetica"/>
          <w:sz w:val="17"/>
        </w:rPr>
      </w:pPr>
    </w:p>
    <w:p>
      <w:pPr>
        <w:spacing w:before="0"/>
        <w:ind w:left="1020" w:right="0" w:firstLine="0"/>
        <w:jc w:val="left"/>
        <w:rPr>
          <w:rFonts w:ascii="Helvetica"/>
          <w:sz w:val="16"/>
        </w:rPr>
      </w:pPr>
      <w:r>
        <w:rPr/>
        <w:pict>
          <v:shape style="position:absolute;margin-left:412.796967pt;margin-top:11.500459pt;width:79.6pt;height:8pt;mso-position-horizontal-relative:page;mso-position-vertical-relative:paragraph;z-index:251871232;rotation:352" type="#_x0000_t136" fillcolor="#231f20" stroked="f">
            <o:extrusion v:ext="view" autorotationcenter="t"/>
            <v:textpath style="font-family:&quot;Helvetica&quot;;font-size:8pt;v-text-kern:t;mso-text-shadow:auto" string="Basal cystometrogram"/>
            <w10:wrap type="none"/>
          </v:shape>
        </w:pict>
      </w:r>
      <w:r>
        <w:rPr>
          <w:rFonts w:ascii="Helvetica"/>
          <w:color w:val="231F20"/>
          <w:sz w:val="16"/>
        </w:rPr>
        <w:t>10</w:t>
      </w:r>
    </w:p>
    <w:p>
      <w:pPr>
        <w:pStyle w:val="BodyText"/>
        <w:rPr>
          <w:rFonts w:ascii="Helvetica"/>
          <w:sz w:val="18"/>
        </w:rPr>
      </w:pPr>
    </w:p>
    <w:p>
      <w:pPr>
        <w:pStyle w:val="BodyText"/>
        <w:spacing w:before="1"/>
        <w:rPr>
          <w:rFonts w:ascii="Helvetica"/>
          <w:sz w:val="17"/>
        </w:rPr>
      </w:pPr>
    </w:p>
    <w:p>
      <w:pPr>
        <w:spacing w:before="0"/>
        <w:ind w:left="1109" w:right="0" w:firstLine="0"/>
        <w:jc w:val="left"/>
        <w:rPr>
          <w:rFonts w:ascii="Helvetica"/>
          <w:sz w:val="16"/>
        </w:rPr>
      </w:pPr>
      <w:r>
        <w:rPr>
          <w:rFonts w:ascii="Helvetica"/>
          <w:color w:val="231F20"/>
          <w:w w:val="99"/>
          <w:sz w:val="16"/>
        </w:rPr>
        <w:t>0</w:t>
      </w:r>
    </w:p>
    <w:p>
      <w:pPr>
        <w:tabs>
          <w:tab w:pos="1849" w:val="left" w:leader="none"/>
          <w:tab w:pos="2507" w:val="left" w:leader="none"/>
          <w:tab w:pos="3171" w:val="left" w:leader="none"/>
        </w:tabs>
        <w:spacing w:before="4"/>
        <w:ind w:left="1283" w:right="0" w:firstLine="0"/>
        <w:jc w:val="left"/>
        <w:rPr>
          <w:rFonts w:ascii="Helvetica"/>
          <w:sz w:val="16"/>
        </w:rPr>
      </w:pPr>
      <w:r>
        <w:rPr>
          <w:rFonts w:ascii="Helvetica"/>
          <w:color w:val="231F20"/>
          <w:sz w:val="16"/>
        </w:rPr>
        <w:t>0</w:t>
        <w:tab/>
        <w:t>100</w:t>
        <w:tab/>
        <w:t>200</w:t>
        <w:tab/>
        <w:t>300</w:t>
      </w:r>
    </w:p>
    <w:p>
      <w:pPr>
        <w:spacing w:line="116" w:lineRule="exact" w:before="56"/>
        <w:ind w:left="2254" w:right="0" w:firstLine="0"/>
        <w:jc w:val="left"/>
        <w:rPr>
          <w:rFonts w:ascii="Helvetica"/>
          <w:b/>
          <w:sz w:val="16"/>
        </w:rPr>
      </w:pPr>
      <w:r>
        <w:rPr>
          <w:rFonts w:ascii="Helvetica"/>
          <w:b/>
          <w:color w:val="231F20"/>
          <w:sz w:val="16"/>
        </w:rPr>
        <w:t>Volume (milliliters)</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spacing w:before="9"/>
        <w:rPr>
          <w:rFonts w:ascii="Helvetica"/>
          <w:b/>
        </w:rPr>
      </w:pPr>
    </w:p>
    <w:p>
      <w:pPr>
        <w:spacing w:before="0"/>
        <w:ind w:left="105" w:right="0" w:firstLine="0"/>
        <w:jc w:val="left"/>
        <w:rPr>
          <w:rFonts w:ascii="Helvetica"/>
          <w:sz w:val="16"/>
        </w:rPr>
      </w:pPr>
      <w:r>
        <w:rPr/>
        <w:pict>
          <v:shape style="position:absolute;margin-left:578.900024pt;margin-top:-98.57811pt;width:15.9pt;height:53.35pt;mso-position-horizontal-relative:page;mso-position-vertical-relative:paragraph;z-index:25186918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400</w:t>
      </w:r>
    </w:p>
    <w:p>
      <w:pPr>
        <w:spacing w:after="0"/>
        <w:jc w:val="left"/>
        <w:rPr>
          <w:rFonts w:ascii="Helvetica"/>
          <w:sz w:val="16"/>
        </w:rPr>
        <w:sectPr>
          <w:type w:val="continuous"/>
          <w:pgSz w:w="12240" w:h="15660"/>
          <w:pgMar w:top="0" w:bottom="760" w:left="0" w:right="0"/>
          <w:cols w:num="3" w:equalWidth="0">
            <w:col w:w="6121" w:space="40"/>
            <w:col w:w="3687" w:space="39"/>
            <w:col w:w="2353"/>
          </w:cols>
        </w:sectPr>
      </w:pPr>
    </w:p>
    <w:p>
      <w:pPr>
        <w:pStyle w:val="BodyText"/>
        <w:spacing w:line="249" w:lineRule="auto"/>
        <w:ind w:left="1440"/>
        <w:jc w:val="both"/>
      </w:pPr>
      <w:r>
        <w:rPr/>
        <w:pict>
          <v:group style="position:absolute;margin-left:0pt;margin-top:0pt;width:612pt;height:180pt;mso-position-horizontal-relative:page;mso-position-vertical-relative:page;z-index:-27354009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458" w:right="0" w:firstLine="0"/>
                      <w:jc w:val="left"/>
                      <w:rPr>
                        <w:rFonts w:ascii="Trebuchet MS"/>
                        <w:sz w:val="18"/>
                      </w:rPr>
                    </w:pPr>
                    <w:r>
                      <w:rPr>
                        <w:rFonts w:ascii="Trebuchet MS"/>
                        <w:b/>
                        <w:color w:val="231F20"/>
                        <w:w w:val="105"/>
                        <w:sz w:val="18"/>
                      </w:rPr>
                      <w:t>Chapter 26 </w:t>
                    </w:r>
                    <w:r>
                      <w:rPr>
                        <w:rFonts w:ascii="Trebuchet MS"/>
                        <w:color w:val="231F20"/>
                        <w:w w:val="105"/>
                        <w:sz w:val="18"/>
                      </w:rPr>
                      <w:t>The Urinary System: Functional Anatomy and Urine Formation by the Kidneys</w:t>
                    </w:r>
                  </w:p>
                </w:txbxContent>
              </v:textbox>
              <v:fill type="solid"/>
              <w10:wrap type="none"/>
            </v:shape>
            <w10:wrap type="none"/>
          </v:group>
        </w:pict>
      </w:r>
      <w:r>
        <w:rPr/>
        <w:pict>
          <v:rect style="position:absolute;margin-left:576pt;margin-top:-40.014038pt;width:36pt;height:24pt;mso-position-horizontal-relative:page;mso-position-vertical-relative:paragraph;z-index:251866112" filled="true" fillcolor="#e8dac8" stroked="false">
            <v:fill type="solid"/>
            <w10:wrap type="none"/>
          </v:rect>
        </w:pict>
      </w:r>
      <w:r>
        <w:rPr>
          <w:i/>
          <w:color w:val="231F20"/>
          <w:w w:val="105"/>
        </w:rPr>
        <w:t>tion</w:t>
      </w:r>
      <w:r>
        <w:rPr>
          <w:i/>
          <w:color w:val="231F20"/>
          <w:spacing w:val="-10"/>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sympathetic</w:t>
      </w:r>
      <w:r>
        <w:rPr>
          <w:color w:val="231F20"/>
          <w:spacing w:val="-9"/>
          <w:w w:val="105"/>
        </w:rPr>
        <w:t> </w:t>
      </w:r>
      <w:r>
        <w:rPr>
          <w:color w:val="231F20"/>
          <w:w w:val="105"/>
        </w:rPr>
        <w:t>chain</w:t>
      </w:r>
      <w:r>
        <w:rPr>
          <w:color w:val="231F20"/>
          <w:spacing w:val="-9"/>
          <w:w w:val="105"/>
        </w:rPr>
        <w:t> </w:t>
      </w:r>
      <w:r>
        <w:rPr>
          <w:color w:val="231F20"/>
          <w:w w:val="105"/>
        </w:rPr>
        <w:t>through</w:t>
      </w:r>
      <w:r>
        <w:rPr>
          <w:color w:val="231F20"/>
          <w:spacing w:val="-10"/>
          <w:w w:val="105"/>
        </w:rPr>
        <w:t> </w:t>
      </w:r>
      <w:r>
        <w:rPr>
          <w:color w:val="231F20"/>
          <w:w w:val="105"/>
        </w:rPr>
        <w:t>the</w:t>
      </w:r>
      <w:r>
        <w:rPr>
          <w:color w:val="231F20"/>
          <w:spacing w:val="-9"/>
          <w:w w:val="105"/>
        </w:rPr>
        <w:t> </w:t>
      </w:r>
      <w:r>
        <w:rPr>
          <w:i/>
          <w:color w:val="231F20"/>
          <w:w w:val="105"/>
        </w:rPr>
        <w:t>hypogastric </w:t>
      </w:r>
      <w:r>
        <w:rPr>
          <w:i/>
          <w:color w:val="231F20"/>
          <w:w w:val="105"/>
        </w:rPr>
        <w:t>nerves, </w:t>
      </w:r>
      <w:r>
        <w:rPr>
          <w:color w:val="231F20"/>
          <w:w w:val="105"/>
        </w:rPr>
        <w:t>connecting mainly with the L2 segment of </w:t>
      </w:r>
      <w:r>
        <w:rPr>
          <w:color w:val="231F20"/>
          <w:spacing w:val="-7"/>
          <w:w w:val="105"/>
        </w:rPr>
        <w:t>the </w:t>
      </w:r>
      <w:r>
        <w:rPr>
          <w:color w:val="231F20"/>
          <w:w w:val="105"/>
        </w:rPr>
        <w:t>spinal</w:t>
      </w:r>
      <w:r>
        <w:rPr>
          <w:color w:val="231F20"/>
          <w:spacing w:val="-31"/>
          <w:w w:val="105"/>
        </w:rPr>
        <w:t> </w:t>
      </w:r>
      <w:r>
        <w:rPr>
          <w:color w:val="231F20"/>
          <w:w w:val="105"/>
        </w:rPr>
        <w:t>cord.</w:t>
      </w:r>
      <w:r>
        <w:rPr>
          <w:color w:val="231F20"/>
          <w:spacing w:val="-30"/>
          <w:w w:val="105"/>
        </w:rPr>
        <w:t> </w:t>
      </w:r>
      <w:r>
        <w:rPr>
          <w:color w:val="231F20"/>
          <w:w w:val="105"/>
        </w:rPr>
        <w:t>These</w:t>
      </w:r>
      <w:r>
        <w:rPr>
          <w:color w:val="231F20"/>
          <w:spacing w:val="-30"/>
          <w:w w:val="105"/>
        </w:rPr>
        <w:t> </w:t>
      </w:r>
      <w:r>
        <w:rPr>
          <w:color w:val="231F20"/>
          <w:w w:val="105"/>
        </w:rPr>
        <w:t>sympathetic</w:t>
      </w:r>
      <w:r>
        <w:rPr>
          <w:color w:val="231F20"/>
          <w:spacing w:val="-30"/>
          <w:w w:val="105"/>
        </w:rPr>
        <w:t> </w:t>
      </w:r>
      <w:r>
        <w:rPr>
          <w:color w:val="231F20"/>
          <w:w w:val="105"/>
        </w:rPr>
        <w:t>fibers</w:t>
      </w:r>
      <w:r>
        <w:rPr>
          <w:color w:val="231F20"/>
          <w:spacing w:val="-30"/>
          <w:w w:val="105"/>
        </w:rPr>
        <w:t> </w:t>
      </w:r>
      <w:r>
        <w:rPr>
          <w:color w:val="231F20"/>
          <w:w w:val="105"/>
        </w:rPr>
        <w:t>stimulate</w:t>
      </w:r>
      <w:r>
        <w:rPr>
          <w:color w:val="231F20"/>
          <w:spacing w:val="-30"/>
          <w:w w:val="105"/>
        </w:rPr>
        <w:t> </w:t>
      </w:r>
      <w:r>
        <w:rPr>
          <w:color w:val="231F20"/>
          <w:w w:val="105"/>
        </w:rPr>
        <w:t>mainly</w:t>
      </w:r>
      <w:r>
        <w:rPr>
          <w:color w:val="231F20"/>
          <w:spacing w:val="-31"/>
          <w:w w:val="105"/>
        </w:rPr>
        <w:t> </w:t>
      </w:r>
      <w:r>
        <w:rPr>
          <w:color w:val="231F20"/>
          <w:spacing w:val="-6"/>
          <w:w w:val="105"/>
        </w:rPr>
        <w:t>the </w:t>
      </w:r>
      <w:r>
        <w:rPr>
          <w:color w:val="231F20"/>
          <w:w w:val="105"/>
        </w:rPr>
        <w:t>blood vessels and have little to do with bladder </w:t>
      </w:r>
      <w:r>
        <w:rPr>
          <w:color w:val="231F20"/>
          <w:spacing w:val="-4"/>
          <w:w w:val="105"/>
        </w:rPr>
        <w:t>contrac- </w:t>
      </w:r>
      <w:r>
        <w:rPr>
          <w:color w:val="231F20"/>
          <w:w w:val="105"/>
        </w:rPr>
        <w:t>tion. Some sensory nerve fibers also pass by way of </w:t>
      </w:r>
      <w:r>
        <w:rPr>
          <w:color w:val="231F20"/>
          <w:spacing w:val="-6"/>
          <w:w w:val="105"/>
        </w:rPr>
        <w:t>the </w:t>
      </w:r>
      <w:r>
        <w:rPr>
          <w:color w:val="231F20"/>
          <w:w w:val="105"/>
        </w:rPr>
        <w:t>sympathetic nerves and may be important in the </w:t>
      </w:r>
      <w:r>
        <w:rPr>
          <w:color w:val="231F20"/>
          <w:spacing w:val="-3"/>
          <w:w w:val="105"/>
        </w:rPr>
        <w:t>sensa- </w:t>
      </w:r>
      <w:r>
        <w:rPr>
          <w:color w:val="231F20"/>
          <w:w w:val="105"/>
        </w:rPr>
        <w:t>tion of fullness and, in some instances,</w:t>
      </w:r>
      <w:r>
        <w:rPr>
          <w:color w:val="231F20"/>
          <w:spacing w:val="-1"/>
          <w:w w:val="105"/>
        </w:rPr>
        <w:t> </w:t>
      </w:r>
      <w:r>
        <w:rPr>
          <w:color w:val="231F20"/>
          <w:w w:val="105"/>
        </w:rPr>
        <w:t>pain.</w:t>
      </w:r>
    </w:p>
    <w:p>
      <w:pPr>
        <w:pStyle w:val="BodyText"/>
        <w:spacing w:before="1"/>
        <w:rPr>
          <w:sz w:val="31"/>
        </w:rPr>
      </w:pPr>
    </w:p>
    <w:p>
      <w:pPr>
        <w:pStyle w:val="Heading2"/>
        <w:spacing w:line="225" w:lineRule="auto"/>
        <w:ind w:left="1440" w:right="1040"/>
      </w:pPr>
      <w:r>
        <w:rPr>
          <w:color w:val="231F20"/>
        </w:rPr>
        <w:t>TRANSPORT OF URINE FROM THE KIDNEY THROUGH THE URETERS AND INTO THE BLADDER</w:t>
      </w:r>
    </w:p>
    <w:p>
      <w:pPr>
        <w:pStyle w:val="BodyText"/>
        <w:spacing w:line="249" w:lineRule="auto" w:before="127"/>
        <w:ind w:left="1440"/>
        <w:jc w:val="both"/>
      </w:pPr>
      <w:r>
        <w:rPr>
          <w:color w:val="231F20"/>
          <w:w w:val="105"/>
        </w:rPr>
        <w:t>Urine</w:t>
      </w:r>
      <w:r>
        <w:rPr>
          <w:color w:val="231F20"/>
          <w:spacing w:val="-19"/>
          <w:w w:val="105"/>
        </w:rPr>
        <w:t> </w:t>
      </w:r>
      <w:r>
        <w:rPr>
          <w:color w:val="231F20"/>
          <w:w w:val="105"/>
        </w:rPr>
        <w:t>that</w:t>
      </w:r>
      <w:r>
        <w:rPr>
          <w:color w:val="231F20"/>
          <w:spacing w:val="-18"/>
          <w:w w:val="105"/>
        </w:rPr>
        <w:t> </w:t>
      </w:r>
      <w:r>
        <w:rPr>
          <w:color w:val="231F20"/>
          <w:w w:val="105"/>
        </w:rPr>
        <w:t>is</w:t>
      </w:r>
      <w:r>
        <w:rPr>
          <w:color w:val="231F20"/>
          <w:spacing w:val="-18"/>
          <w:w w:val="105"/>
        </w:rPr>
        <w:t> </w:t>
      </w:r>
      <w:r>
        <w:rPr>
          <w:color w:val="231F20"/>
          <w:w w:val="105"/>
        </w:rPr>
        <w:t>expelled</w:t>
      </w:r>
      <w:r>
        <w:rPr>
          <w:color w:val="231F20"/>
          <w:spacing w:val="-19"/>
          <w:w w:val="105"/>
        </w:rPr>
        <w:t> </w:t>
      </w:r>
      <w:r>
        <w:rPr>
          <w:color w:val="231F20"/>
          <w:w w:val="105"/>
        </w:rPr>
        <w:t>from</w:t>
      </w:r>
      <w:r>
        <w:rPr>
          <w:color w:val="231F20"/>
          <w:spacing w:val="-18"/>
          <w:w w:val="105"/>
        </w:rPr>
        <w:t> </w:t>
      </w:r>
      <w:r>
        <w:rPr>
          <w:color w:val="231F20"/>
          <w:w w:val="105"/>
        </w:rPr>
        <w:t>the</w:t>
      </w:r>
      <w:r>
        <w:rPr>
          <w:color w:val="231F20"/>
          <w:spacing w:val="-18"/>
          <w:w w:val="105"/>
        </w:rPr>
        <w:t> </w:t>
      </w:r>
      <w:r>
        <w:rPr>
          <w:color w:val="231F20"/>
          <w:w w:val="105"/>
        </w:rPr>
        <w:t>bladder</w:t>
      </w:r>
      <w:r>
        <w:rPr>
          <w:color w:val="231F20"/>
          <w:spacing w:val="-18"/>
          <w:w w:val="105"/>
        </w:rPr>
        <w:t> </w:t>
      </w:r>
      <w:r>
        <w:rPr>
          <w:color w:val="231F20"/>
          <w:w w:val="105"/>
        </w:rPr>
        <w:t>has</w:t>
      </w:r>
      <w:r>
        <w:rPr>
          <w:color w:val="231F20"/>
          <w:spacing w:val="-19"/>
          <w:w w:val="105"/>
        </w:rPr>
        <w:t> </w:t>
      </w:r>
      <w:r>
        <w:rPr>
          <w:color w:val="231F20"/>
          <w:w w:val="105"/>
        </w:rPr>
        <w:t>essentially</w:t>
      </w:r>
      <w:r>
        <w:rPr>
          <w:color w:val="231F20"/>
          <w:spacing w:val="-18"/>
          <w:w w:val="105"/>
        </w:rPr>
        <w:t> </w:t>
      </w:r>
      <w:r>
        <w:rPr>
          <w:color w:val="231F20"/>
          <w:w w:val="105"/>
        </w:rPr>
        <w:t>the same composition as fluid flowing out of the collecting ducts;</w:t>
      </w:r>
      <w:r>
        <w:rPr>
          <w:color w:val="231F20"/>
          <w:spacing w:val="-17"/>
          <w:w w:val="105"/>
        </w:rPr>
        <w:t> </w:t>
      </w:r>
      <w:r>
        <w:rPr>
          <w:color w:val="231F20"/>
          <w:w w:val="105"/>
        </w:rPr>
        <w:t>there</w:t>
      </w:r>
      <w:r>
        <w:rPr>
          <w:color w:val="231F20"/>
          <w:spacing w:val="-16"/>
          <w:w w:val="105"/>
        </w:rPr>
        <w:t> </w:t>
      </w:r>
      <w:r>
        <w:rPr>
          <w:color w:val="231F20"/>
          <w:w w:val="105"/>
        </w:rPr>
        <w:t>are</w:t>
      </w:r>
      <w:r>
        <w:rPr>
          <w:color w:val="231F20"/>
          <w:spacing w:val="-17"/>
          <w:w w:val="105"/>
        </w:rPr>
        <w:t> </w:t>
      </w:r>
      <w:r>
        <w:rPr>
          <w:color w:val="231F20"/>
          <w:w w:val="105"/>
        </w:rPr>
        <w:t>no</w:t>
      </w:r>
      <w:r>
        <w:rPr>
          <w:color w:val="231F20"/>
          <w:spacing w:val="-16"/>
          <w:w w:val="105"/>
        </w:rPr>
        <w:t> </w:t>
      </w:r>
      <w:r>
        <w:rPr>
          <w:color w:val="231F20"/>
          <w:w w:val="105"/>
        </w:rPr>
        <w:t>significant</w:t>
      </w:r>
      <w:r>
        <w:rPr>
          <w:color w:val="231F20"/>
          <w:spacing w:val="-17"/>
          <w:w w:val="105"/>
        </w:rPr>
        <w:t> </w:t>
      </w:r>
      <w:r>
        <w:rPr>
          <w:color w:val="231F20"/>
          <w:w w:val="105"/>
        </w:rPr>
        <w:t>changes</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spacing w:val="-3"/>
          <w:w w:val="105"/>
        </w:rPr>
        <w:t>composition </w:t>
      </w:r>
      <w:r>
        <w:rPr>
          <w:color w:val="231F20"/>
          <w:w w:val="105"/>
        </w:rPr>
        <w:t>of</w:t>
      </w:r>
      <w:r>
        <w:rPr>
          <w:color w:val="231F20"/>
          <w:spacing w:val="-4"/>
          <w:w w:val="105"/>
        </w:rPr>
        <w:t> </w:t>
      </w:r>
      <w:r>
        <w:rPr>
          <w:color w:val="231F20"/>
          <w:w w:val="105"/>
        </w:rPr>
        <w:t>urine</w:t>
      </w:r>
      <w:r>
        <w:rPr>
          <w:color w:val="231F20"/>
          <w:spacing w:val="-4"/>
          <w:w w:val="105"/>
        </w:rPr>
        <w:t> </w:t>
      </w:r>
      <w:r>
        <w:rPr>
          <w:color w:val="231F20"/>
          <w:w w:val="105"/>
        </w:rPr>
        <w:t>as</w:t>
      </w:r>
      <w:r>
        <w:rPr>
          <w:color w:val="231F20"/>
          <w:spacing w:val="-4"/>
          <w:w w:val="105"/>
        </w:rPr>
        <w:t> </w:t>
      </w:r>
      <w:r>
        <w:rPr>
          <w:color w:val="231F20"/>
          <w:w w:val="105"/>
        </w:rPr>
        <w:t>it</w:t>
      </w:r>
      <w:r>
        <w:rPr>
          <w:color w:val="231F20"/>
          <w:spacing w:val="-4"/>
          <w:w w:val="105"/>
        </w:rPr>
        <w:t> </w:t>
      </w:r>
      <w:r>
        <w:rPr>
          <w:color w:val="231F20"/>
          <w:w w:val="105"/>
        </w:rPr>
        <w:t>flows</w:t>
      </w:r>
      <w:r>
        <w:rPr>
          <w:color w:val="231F20"/>
          <w:spacing w:val="-4"/>
          <w:w w:val="105"/>
        </w:rPr>
        <w:t> </w:t>
      </w:r>
      <w:r>
        <w:rPr>
          <w:color w:val="231F20"/>
          <w:w w:val="105"/>
        </w:rPr>
        <w:t>through</w:t>
      </w:r>
      <w:r>
        <w:rPr>
          <w:color w:val="231F20"/>
          <w:spacing w:val="-4"/>
          <w:w w:val="105"/>
        </w:rPr>
        <w:t> </w:t>
      </w:r>
      <w:r>
        <w:rPr>
          <w:color w:val="231F20"/>
          <w:w w:val="105"/>
        </w:rPr>
        <w:t>the</w:t>
      </w:r>
      <w:r>
        <w:rPr>
          <w:color w:val="231F20"/>
          <w:spacing w:val="-4"/>
          <w:w w:val="105"/>
        </w:rPr>
        <w:t> </w:t>
      </w:r>
      <w:r>
        <w:rPr>
          <w:color w:val="231F20"/>
          <w:w w:val="105"/>
        </w:rPr>
        <w:t>renal</w:t>
      </w:r>
      <w:r>
        <w:rPr>
          <w:color w:val="231F20"/>
          <w:spacing w:val="-4"/>
          <w:w w:val="105"/>
        </w:rPr>
        <w:t> </w:t>
      </w:r>
      <w:r>
        <w:rPr>
          <w:color w:val="231F20"/>
          <w:w w:val="105"/>
        </w:rPr>
        <w:t>calyces</w:t>
      </w:r>
      <w:r>
        <w:rPr>
          <w:color w:val="231F20"/>
          <w:spacing w:val="-4"/>
          <w:w w:val="105"/>
        </w:rPr>
        <w:t> </w:t>
      </w:r>
      <w:r>
        <w:rPr>
          <w:color w:val="231F20"/>
          <w:w w:val="105"/>
        </w:rPr>
        <w:t>and</w:t>
      </w:r>
      <w:r>
        <w:rPr>
          <w:color w:val="231F20"/>
          <w:spacing w:val="-4"/>
          <w:w w:val="105"/>
        </w:rPr>
        <w:t> </w:t>
      </w:r>
      <w:r>
        <w:rPr>
          <w:color w:val="231F20"/>
          <w:w w:val="105"/>
        </w:rPr>
        <w:t>ureters to the</w:t>
      </w:r>
      <w:r>
        <w:rPr>
          <w:color w:val="231F20"/>
          <w:spacing w:val="6"/>
          <w:w w:val="105"/>
        </w:rPr>
        <w:t> </w:t>
      </w:r>
      <w:r>
        <w:rPr>
          <w:color w:val="231F20"/>
          <w:w w:val="105"/>
        </w:rPr>
        <w:t>bladder.</w:t>
      </w:r>
    </w:p>
    <w:p>
      <w:pPr>
        <w:pStyle w:val="BodyText"/>
        <w:spacing w:line="249" w:lineRule="auto" w:before="5"/>
        <w:ind w:left="1440" w:firstLine="240"/>
        <w:jc w:val="both"/>
      </w:pPr>
      <w:r>
        <w:rPr>
          <w:color w:val="231F20"/>
          <w:w w:val="105"/>
        </w:rPr>
        <w:t>Urine</w:t>
      </w:r>
      <w:r>
        <w:rPr>
          <w:color w:val="231F20"/>
          <w:spacing w:val="-8"/>
          <w:w w:val="105"/>
        </w:rPr>
        <w:t> </w:t>
      </w:r>
      <w:r>
        <w:rPr>
          <w:color w:val="231F20"/>
          <w:w w:val="105"/>
        </w:rPr>
        <w:t>flowing</w:t>
      </w:r>
      <w:r>
        <w:rPr>
          <w:color w:val="231F20"/>
          <w:spacing w:val="-7"/>
          <w:w w:val="105"/>
        </w:rPr>
        <w:t> </w:t>
      </w:r>
      <w:r>
        <w:rPr>
          <w:color w:val="231F20"/>
          <w:w w:val="105"/>
        </w:rPr>
        <w:t>from</w:t>
      </w:r>
      <w:r>
        <w:rPr>
          <w:color w:val="231F20"/>
          <w:spacing w:val="-8"/>
          <w:w w:val="105"/>
        </w:rPr>
        <w:t> </w:t>
      </w:r>
      <w:r>
        <w:rPr>
          <w:color w:val="231F20"/>
          <w:w w:val="105"/>
        </w:rPr>
        <w:t>the</w:t>
      </w:r>
      <w:r>
        <w:rPr>
          <w:color w:val="231F20"/>
          <w:spacing w:val="-7"/>
          <w:w w:val="105"/>
        </w:rPr>
        <w:t> </w:t>
      </w:r>
      <w:r>
        <w:rPr>
          <w:color w:val="231F20"/>
          <w:w w:val="105"/>
        </w:rPr>
        <w:t>collecting</w:t>
      </w:r>
      <w:r>
        <w:rPr>
          <w:color w:val="231F20"/>
          <w:spacing w:val="-8"/>
          <w:w w:val="105"/>
        </w:rPr>
        <w:t> </w:t>
      </w:r>
      <w:r>
        <w:rPr>
          <w:color w:val="231F20"/>
          <w:w w:val="105"/>
        </w:rPr>
        <w:t>ducts</w:t>
      </w:r>
      <w:r>
        <w:rPr>
          <w:color w:val="231F20"/>
          <w:spacing w:val="-7"/>
          <w:w w:val="105"/>
        </w:rPr>
        <w:t> </w:t>
      </w:r>
      <w:r>
        <w:rPr>
          <w:color w:val="231F20"/>
          <w:w w:val="105"/>
        </w:rPr>
        <w:t>into</w:t>
      </w:r>
      <w:r>
        <w:rPr>
          <w:color w:val="231F20"/>
          <w:spacing w:val="-8"/>
          <w:w w:val="105"/>
        </w:rPr>
        <w:t> </w:t>
      </w:r>
      <w:r>
        <w:rPr>
          <w:color w:val="231F20"/>
          <w:w w:val="105"/>
        </w:rPr>
        <w:t>the</w:t>
      </w:r>
      <w:r>
        <w:rPr>
          <w:color w:val="231F20"/>
          <w:spacing w:val="-7"/>
          <w:w w:val="105"/>
        </w:rPr>
        <w:t> </w:t>
      </w:r>
      <w:r>
        <w:rPr>
          <w:color w:val="231F20"/>
          <w:w w:val="105"/>
        </w:rPr>
        <w:t>renal calyces</w:t>
      </w:r>
      <w:r>
        <w:rPr>
          <w:color w:val="231F20"/>
          <w:spacing w:val="-10"/>
          <w:w w:val="105"/>
        </w:rPr>
        <w:t> </w:t>
      </w:r>
      <w:r>
        <w:rPr>
          <w:color w:val="231F20"/>
          <w:w w:val="105"/>
        </w:rPr>
        <w:t>stretches</w:t>
      </w:r>
      <w:r>
        <w:rPr>
          <w:color w:val="231F20"/>
          <w:spacing w:val="-10"/>
          <w:w w:val="105"/>
        </w:rPr>
        <w:t> </w:t>
      </w:r>
      <w:r>
        <w:rPr>
          <w:color w:val="231F20"/>
          <w:w w:val="105"/>
        </w:rPr>
        <w:t>the</w:t>
      </w:r>
      <w:r>
        <w:rPr>
          <w:color w:val="231F20"/>
          <w:spacing w:val="-10"/>
          <w:w w:val="105"/>
        </w:rPr>
        <w:t> </w:t>
      </w:r>
      <w:r>
        <w:rPr>
          <w:color w:val="231F20"/>
          <w:w w:val="105"/>
        </w:rPr>
        <w:t>calyces</w:t>
      </w:r>
      <w:r>
        <w:rPr>
          <w:color w:val="231F20"/>
          <w:spacing w:val="-10"/>
          <w:w w:val="105"/>
        </w:rPr>
        <w:t> </w:t>
      </w:r>
      <w:r>
        <w:rPr>
          <w:color w:val="231F20"/>
          <w:w w:val="105"/>
        </w:rPr>
        <w:t>and</w:t>
      </w:r>
      <w:r>
        <w:rPr>
          <w:color w:val="231F20"/>
          <w:spacing w:val="-10"/>
          <w:w w:val="105"/>
        </w:rPr>
        <w:t> </w:t>
      </w:r>
      <w:r>
        <w:rPr>
          <w:color w:val="231F20"/>
          <w:w w:val="105"/>
        </w:rPr>
        <w:t>increases</w:t>
      </w:r>
      <w:r>
        <w:rPr>
          <w:color w:val="231F20"/>
          <w:spacing w:val="-10"/>
          <w:w w:val="105"/>
        </w:rPr>
        <w:t> </w:t>
      </w:r>
      <w:r>
        <w:rPr>
          <w:color w:val="231F20"/>
          <w:w w:val="105"/>
        </w:rPr>
        <w:t>their</w:t>
      </w:r>
      <w:r>
        <w:rPr>
          <w:color w:val="231F20"/>
          <w:spacing w:val="-10"/>
          <w:w w:val="105"/>
        </w:rPr>
        <w:t> </w:t>
      </w:r>
      <w:r>
        <w:rPr>
          <w:color w:val="231F20"/>
          <w:w w:val="105"/>
        </w:rPr>
        <w:t>inherent pacemaker</w:t>
      </w:r>
      <w:r>
        <w:rPr>
          <w:color w:val="231F20"/>
          <w:spacing w:val="-23"/>
          <w:w w:val="105"/>
        </w:rPr>
        <w:t> </w:t>
      </w:r>
      <w:r>
        <w:rPr>
          <w:color w:val="231F20"/>
          <w:w w:val="105"/>
        </w:rPr>
        <w:t>activity,</w:t>
      </w:r>
      <w:r>
        <w:rPr>
          <w:color w:val="231F20"/>
          <w:spacing w:val="-22"/>
          <w:w w:val="105"/>
        </w:rPr>
        <w:t> </w:t>
      </w:r>
      <w:r>
        <w:rPr>
          <w:color w:val="231F20"/>
          <w:w w:val="105"/>
        </w:rPr>
        <w:t>which</w:t>
      </w:r>
      <w:r>
        <w:rPr>
          <w:color w:val="231F20"/>
          <w:spacing w:val="-23"/>
          <w:w w:val="105"/>
        </w:rPr>
        <w:t> </w:t>
      </w:r>
      <w:r>
        <w:rPr>
          <w:color w:val="231F20"/>
          <w:w w:val="105"/>
        </w:rPr>
        <w:t>in</w:t>
      </w:r>
      <w:r>
        <w:rPr>
          <w:color w:val="231F20"/>
          <w:spacing w:val="-22"/>
          <w:w w:val="105"/>
        </w:rPr>
        <w:t> </w:t>
      </w:r>
      <w:r>
        <w:rPr>
          <w:color w:val="231F20"/>
          <w:w w:val="105"/>
        </w:rPr>
        <w:t>turn</w:t>
      </w:r>
      <w:r>
        <w:rPr>
          <w:color w:val="231F20"/>
          <w:spacing w:val="-23"/>
          <w:w w:val="105"/>
        </w:rPr>
        <w:t> </w:t>
      </w:r>
      <w:r>
        <w:rPr>
          <w:color w:val="231F20"/>
          <w:w w:val="105"/>
        </w:rPr>
        <w:t>initiates</w:t>
      </w:r>
      <w:r>
        <w:rPr>
          <w:color w:val="231F20"/>
          <w:spacing w:val="-22"/>
          <w:w w:val="105"/>
        </w:rPr>
        <w:t> </w:t>
      </w:r>
      <w:r>
        <w:rPr>
          <w:color w:val="231F20"/>
          <w:w w:val="105"/>
        </w:rPr>
        <w:t>peristaltic</w:t>
      </w:r>
      <w:r>
        <w:rPr>
          <w:color w:val="231F20"/>
          <w:spacing w:val="-22"/>
          <w:w w:val="105"/>
        </w:rPr>
        <w:t> </w:t>
      </w:r>
      <w:r>
        <w:rPr>
          <w:color w:val="231F20"/>
          <w:spacing w:val="-4"/>
          <w:w w:val="105"/>
        </w:rPr>
        <w:t>con- </w:t>
      </w:r>
      <w:r>
        <w:rPr>
          <w:color w:val="231F20"/>
          <w:w w:val="105"/>
        </w:rPr>
        <w:t>tractions that spread to the renal pelvis and then </w:t>
      </w:r>
      <w:r>
        <w:rPr>
          <w:color w:val="231F20"/>
          <w:spacing w:val="-3"/>
          <w:w w:val="105"/>
        </w:rPr>
        <w:t>down- </w:t>
      </w:r>
      <w:r>
        <w:rPr>
          <w:color w:val="231F20"/>
          <w:w w:val="105"/>
        </w:rPr>
        <w:t>ward</w:t>
      </w:r>
      <w:r>
        <w:rPr>
          <w:color w:val="231F20"/>
          <w:spacing w:val="-10"/>
          <w:w w:val="105"/>
        </w:rPr>
        <w:t> </w:t>
      </w:r>
      <w:r>
        <w:rPr>
          <w:color w:val="231F20"/>
          <w:w w:val="105"/>
        </w:rPr>
        <w:t>along</w:t>
      </w:r>
      <w:r>
        <w:rPr>
          <w:color w:val="231F20"/>
          <w:spacing w:val="-10"/>
          <w:w w:val="105"/>
        </w:rPr>
        <w:t> </w:t>
      </w:r>
      <w:r>
        <w:rPr>
          <w:color w:val="231F20"/>
          <w:w w:val="105"/>
        </w:rPr>
        <w:t>the</w:t>
      </w:r>
      <w:r>
        <w:rPr>
          <w:color w:val="231F20"/>
          <w:spacing w:val="-10"/>
          <w:w w:val="105"/>
        </w:rPr>
        <w:t> </w:t>
      </w:r>
      <w:r>
        <w:rPr>
          <w:color w:val="231F20"/>
          <w:w w:val="105"/>
        </w:rPr>
        <w:t>length</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spacing w:val="-3"/>
          <w:w w:val="105"/>
        </w:rPr>
        <w:t>ureter,</w:t>
      </w:r>
      <w:r>
        <w:rPr>
          <w:color w:val="231F20"/>
          <w:spacing w:val="-10"/>
          <w:w w:val="105"/>
        </w:rPr>
        <w:t> </w:t>
      </w:r>
      <w:r>
        <w:rPr>
          <w:color w:val="231F20"/>
          <w:w w:val="105"/>
        </w:rPr>
        <w:t>thereby</w:t>
      </w:r>
      <w:r>
        <w:rPr>
          <w:color w:val="231F20"/>
          <w:spacing w:val="-10"/>
          <w:w w:val="105"/>
        </w:rPr>
        <w:t> </w:t>
      </w:r>
      <w:r>
        <w:rPr>
          <w:color w:val="231F20"/>
          <w:w w:val="105"/>
        </w:rPr>
        <w:t>forcing</w:t>
      </w:r>
      <w:r>
        <w:rPr>
          <w:color w:val="231F20"/>
          <w:spacing w:val="-10"/>
          <w:w w:val="105"/>
        </w:rPr>
        <w:t> </w:t>
      </w:r>
      <w:r>
        <w:rPr>
          <w:color w:val="231F20"/>
          <w:w w:val="105"/>
        </w:rPr>
        <w:t>urine from the renal pelvis toward the bladder. In adults, </w:t>
      </w:r>
      <w:r>
        <w:rPr>
          <w:color w:val="231F20"/>
          <w:spacing w:val="-5"/>
          <w:w w:val="105"/>
        </w:rPr>
        <w:t>the </w:t>
      </w:r>
      <w:r>
        <w:rPr>
          <w:color w:val="231F20"/>
          <w:w w:val="105"/>
        </w:rPr>
        <w:t>ureters</w:t>
      </w:r>
      <w:r>
        <w:rPr>
          <w:color w:val="231F20"/>
          <w:spacing w:val="-26"/>
          <w:w w:val="105"/>
        </w:rPr>
        <w:t> </w:t>
      </w:r>
      <w:r>
        <w:rPr>
          <w:color w:val="231F20"/>
          <w:w w:val="105"/>
        </w:rPr>
        <w:t>are</w:t>
      </w:r>
      <w:r>
        <w:rPr>
          <w:color w:val="231F20"/>
          <w:spacing w:val="-25"/>
          <w:w w:val="105"/>
        </w:rPr>
        <w:t> </w:t>
      </w:r>
      <w:r>
        <w:rPr>
          <w:color w:val="231F20"/>
          <w:w w:val="105"/>
        </w:rPr>
        <w:t>normally</w:t>
      </w:r>
      <w:r>
        <w:rPr>
          <w:color w:val="231F20"/>
          <w:spacing w:val="-25"/>
          <w:w w:val="105"/>
        </w:rPr>
        <w:t> </w:t>
      </w:r>
      <w:r>
        <w:rPr>
          <w:color w:val="231F20"/>
          <w:w w:val="105"/>
        </w:rPr>
        <w:t>25</w:t>
      </w:r>
      <w:r>
        <w:rPr>
          <w:color w:val="231F20"/>
          <w:spacing w:val="-25"/>
          <w:w w:val="105"/>
        </w:rPr>
        <w:t> </w:t>
      </w:r>
      <w:r>
        <w:rPr>
          <w:color w:val="231F20"/>
          <w:w w:val="105"/>
        </w:rPr>
        <w:t>to</w:t>
      </w:r>
      <w:r>
        <w:rPr>
          <w:color w:val="231F20"/>
          <w:spacing w:val="-26"/>
          <w:w w:val="105"/>
        </w:rPr>
        <w:t> </w:t>
      </w:r>
      <w:r>
        <w:rPr>
          <w:color w:val="231F20"/>
          <w:w w:val="105"/>
        </w:rPr>
        <w:t>35</w:t>
      </w:r>
      <w:r>
        <w:rPr>
          <w:color w:val="231F20"/>
          <w:spacing w:val="-25"/>
          <w:w w:val="105"/>
        </w:rPr>
        <w:t> </w:t>
      </w:r>
      <w:r>
        <w:rPr>
          <w:color w:val="231F20"/>
          <w:w w:val="105"/>
        </w:rPr>
        <w:t>centimeters</w:t>
      </w:r>
      <w:r>
        <w:rPr>
          <w:color w:val="231F20"/>
          <w:spacing w:val="-25"/>
          <w:w w:val="105"/>
        </w:rPr>
        <w:t> </w:t>
      </w:r>
      <w:r>
        <w:rPr>
          <w:color w:val="231F20"/>
          <w:w w:val="105"/>
        </w:rPr>
        <w:t>(10</w:t>
      </w:r>
      <w:r>
        <w:rPr>
          <w:color w:val="231F20"/>
          <w:spacing w:val="-25"/>
          <w:w w:val="105"/>
        </w:rPr>
        <w:t> </w:t>
      </w:r>
      <w:r>
        <w:rPr>
          <w:color w:val="231F20"/>
          <w:w w:val="105"/>
        </w:rPr>
        <w:t>to</w:t>
      </w:r>
      <w:r>
        <w:rPr>
          <w:color w:val="231F20"/>
          <w:spacing w:val="-26"/>
          <w:w w:val="105"/>
        </w:rPr>
        <w:t> </w:t>
      </w:r>
      <w:r>
        <w:rPr>
          <w:color w:val="231F20"/>
          <w:w w:val="105"/>
        </w:rPr>
        <w:t>14</w:t>
      </w:r>
      <w:r>
        <w:rPr>
          <w:color w:val="231F20"/>
          <w:spacing w:val="-25"/>
          <w:w w:val="105"/>
        </w:rPr>
        <w:t> </w:t>
      </w:r>
      <w:r>
        <w:rPr>
          <w:color w:val="231F20"/>
          <w:w w:val="105"/>
        </w:rPr>
        <w:t>inches) long.</w:t>
      </w:r>
    </w:p>
    <w:p>
      <w:pPr>
        <w:spacing w:line="249" w:lineRule="auto" w:before="6"/>
        <w:ind w:left="1440" w:right="0" w:firstLine="240"/>
        <w:jc w:val="both"/>
        <w:rPr>
          <w:i/>
          <w:sz w:val="20"/>
        </w:rPr>
      </w:pPr>
      <w:r>
        <w:rPr>
          <w:color w:val="231F20"/>
          <w:sz w:val="20"/>
        </w:rPr>
        <w:t>The walls of  the  ureters  contain  smooth  </w:t>
      </w:r>
      <w:r>
        <w:rPr>
          <w:color w:val="231F20"/>
          <w:spacing w:val="-3"/>
          <w:sz w:val="20"/>
        </w:rPr>
        <w:t>muscle   </w:t>
      </w:r>
      <w:r>
        <w:rPr>
          <w:color w:val="231F20"/>
          <w:sz w:val="20"/>
        </w:rPr>
        <w:t>and are innervated by both sympathetic and parasympa- thetic</w:t>
      </w:r>
      <w:r>
        <w:rPr>
          <w:color w:val="231F20"/>
          <w:spacing w:val="-8"/>
          <w:sz w:val="20"/>
        </w:rPr>
        <w:t> </w:t>
      </w:r>
      <w:r>
        <w:rPr>
          <w:color w:val="231F20"/>
          <w:sz w:val="20"/>
        </w:rPr>
        <w:t>nerves,</w:t>
      </w:r>
      <w:r>
        <w:rPr>
          <w:color w:val="231F20"/>
          <w:spacing w:val="-7"/>
          <w:sz w:val="20"/>
        </w:rPr>
        <w:t> </w:t>
      </w:r>
      <w:r>
        <w:rPr>
          <w:color w:val="231F20"/>
          <w:sz w:val="20"/>
        </w:rPr>
        <w:t>as</w:t>
      </w:r>
      <w:r>
        <w:rPr>
          <w:color w:val="231F20"/>
          <w:spacing w:val="-7"/>
          <w:sz w:val="20"/>
        </w:rPr>
        <w:t> </w:t>
      </w:r>
      <w:r>
        <w:rPr>
          <w:color w:val="231F20"/>
          <w:sz w:val="20"/>
        </w:rPr>
        <w:t>well</w:t>
      </w:r>
      <w:r>
        <w:rPr>
          <w:color w:val="231F20"/>
          <w:spacing w:val="-7"/>
          <w:sz w:val="20"/>
        </w:rPr>
        <w:t> </w:t>
      </w:r>
      <w:r>
        <w:rPr>
          <w:color w:val="231F20"/>
          <w:sz w:val="20"/>
        </w:rPr>
        <w:t>as</w:t>
      </w:r>
      <w:r>
        <w:rPr>
          <w:color w:val="231F20"/>
          <w:spacing w:val="-7"/>
          <w:sz w:val="20"/>
        </w:rPr>
        <w:t> </w:t>
      </w:r>
      <w:r>
        <w:rPr>
          <w:color w:val="231F20"/>
          <w:sz w:val="20"/>
        </w:rPr>
        <w:t>by</w:t>
      </w:r>
      <w:r>
        <w:rPr>
          <w:color w:val="231F20"/>
          <w:spacing w:val="-8"/>
          <w:sz w:val="20"/>
        </w:rPr>
        <w:t> </w:t>
      </w:r>
      <w:r>
        <w:rPr>
          <w:color w:val="231F20"/>
          <w:sz w:val="20"/>
        </w:rPr>
        <w:t>an</w:t>
      </w:r>
      <w:r>
        <w:rPr>
          <w:color w:val="231F20"/>
          <w:spacing w:val="-7"/>
          <w:sz w:val="20"/>
        </w:rPr>
        <w:t> </w:t>
      </w:r>
      <w:r>
        <w:rPr>
          <w:color w:val="231F20"/>
          <w:sz w:val="20"/>
        </w:rPr>
        <w:t>intramural</w:t>
      </w:r>
      <w:r>
        <w:rPr>
          <w:color w:val="231F20"/>
          <w:spacing w:val="-7"/>
          <w:sz w:val="20"/>
        </w:rPr>
        <w:t> </w:t>
      </w:r>
      <w:r>
        <w:rPr>
          <w:color w:val="231F20"/>
          <w:sz w:val="20"/>
        </w:rPr>
        <w:t>plexus</w:t>
      </w:r>
      <w:r>
        <w:rPr>
          <w:color w:val="231F20"/>
          <w:spacing w:val="-7"/>
          <w:sz w:val="20"/>
        </w:rPr>
        <w:t> </w:t>
      </w:r>
      <w:r>
        <w:rPr>
          <w:color w:val="231F20"/>
          <w:sz w:val="20"/>
        </w:rPr>
        <w:t>of</w:t>
      </w:r>
      <w:r>
        <w:rPr>
          <w:color w:val="231F20"/>
          <w:spacing w:val="-7"/>
          <w:sz w:val="20"/>
        </w:rPr>
        <w:t> </w:t>
      </w:r>
      <w:r>
        <w:rPr>
          <w:color w:val="231F20"/>
          <w:sz w:val="20"/>
        </w:rPr>
        <w:t>neurons and nerve fibers  that  extends  along  the  entire  length  of the ureters. As with other visceral smooth </w:t>
      </w:r>
      <w:r>
        <w:rPr>
          <w:color w:val="231F20"/>
          <w:spacing w:val="-3"/>
          <w:sz w:val="20"/>
        </w:rPr>
        <w:t>muscle, </w:t>
      </w:r>
      <w:r>
        <w:rPr>
          <w:i/>
          <w:color w:val="231F20"/>
          <w:sz w:val="20"/>
        </w:rPr>
        <w:t>peristaltic contractions in the ureter are enhanced by </w:t>
      </w:r>
      <w:r>
        <w:rPr>
          <w:i/>
          <w:color w:val="231F20"/>
          <w:sz w:val="20"/>
        </w:rPr>
        <w:t>parasympathetic stimulation and inhibited by </w:t>
      </w:r>
      <w:r>
        <w:rPr>
          <w:i/>
          <w:color w:val="231F20"/>
          <w:spacing w:val="-3"/>
          <w:sz w:val="20"/>
        </w:rPr>
        <w:t>sympa- </w:t>
      </w:r>
      <w:r>
        <w:rPr>
          <w:i/>
          <w:color w:val="231F20"/>
          <w:sz w:val="20"/>
        </w:rPr>
        <w:t>thetic</w:t>
      </w:r>
      <w:r>
        <w:rPr>
          <w:i/>
          <w:color w:val="231F20"/>
          <w:spacing w:val="6"/>
          <w:sz w:val="20"/>
        </w:rPr>
        <w:t> </w:t>
      </w:r>
      <w:r>
        <w:rPr>
          <w:i/>
          <w:color w:val="231F20"/>
          <w:sz w:val="20"/>
        </w:rPr>
        <w:t>stimulation.</w:t>
      </w:r>
    </w:p>
    <w:p>
      <w:pPr>
        <w:pStyle w:val="BodyText"/>
        <w:spacing w:line="249" w:lineRule="auto" w:before="7"/>
        <w:ind w:left="1440" w:firstLine="240"/>
        <w:jc w:val="both"/>
      </w:pPr>
      <w:r>
        <w:rPr>
          <w:color w:val="231F20"/>
          <w:w w:val="105"/>
        </w:rPr>
        <w:t>The ureters enter the bladder through the </w:t>
      </w:r>
      <w:r>
        <w:rPr>
          <w:i/>
          <w:color w:val="231F20"/>
          <w:w w:val="105"/>
        </w:rPr>
        <w:t>detrusor </w:t>
      </w:r>
      <w:r>
        <w:rPr>
          <w:i/>
          <w:color w:val="231F20"/>
          <w:w w:val="105"/>
        </w:rPr>
        <w:t>muscle </w:t>
      </w:r>
      <w:r>
        <w:rPr>
          <w:color w:val="231F20"/>
          <w:w w:val="105"/>
        </w:rPr>
        <w:t>in the trigone region of the bladder, as shown </w:t>
      </w:r>
      <w:r>
        <w:rPr>
          <w:color w:val="231F20"/>
          <w:spacing w:val="-7"/>
          <w:w w:val="105"/>
        </w:rPr>
        <w:t>in </w:t>
      </w:r>
      <w:hyperlink w:history="true" w:anchor="_bookmark17">
        <w:r>
          <w:rPr>
            <w:b/>
            <w:color w:val="0080AC"/>
            <w:w w:val="105"/>
          </w:rPr>
          <w:t>Figure 26-6</w:t>
        </w:r>
      </w:hyperlink>
      <w:r>
        <w:rPr>
          <w:color w:val="231F20"/>
          <w:w w:val="105"/>
        </w:rPr>
        <w:t>. Normally, the ureters course obliquely for several</w:t>
      </w:r>
      <w:r>
        <w:rPr>
          <w:color w:val="231F20"/>
          <w:spacing w:val="-18"/>
          <w:w w:val="105"/>
        </w:rPr>
        <w:t> </w:t>
      </w:r>
      <w:r>
        <w:rPr>
          <w:color w:val="231F20"/>
          <w:w w:val="105"/>
        </w:rPr>
        <w:t>centimeters</w:t>
      </w:r>
      <w:r>
        <w:rPr>
          <w:color w:val="231F20"/>
          <w:spacing w:val="-17"/>
          <w:w w:val="105"/>
        </w:rPr>
        <w:t> </w:t>
      </w:r>
      <w:r>
        <w:rPr>
          <w:color w:val="231F20"/>
          <w:w w:val="105"/>
        </w:rPr>
        <w:t>through</w:t>
      </w:r>
      <w:r>
        <w:rPr>
          <w:color w:val="231F20"/>
          <w:spacing w:val="-17"/>
          <w:w w:val="105"/>
        </w:rPr>
        <w:t> </w:t>
      </w:r>
      <w:r>
        <w:rPr>
          <w:color w:val="231F20"/>
          <w:w w:val="105"/>
        </w:rPr>
        <w:t>the</w:t>
      </w:r>
      <w:r>
        <w:rPr>
          <w:color w:val="231F20"/>
          <w:spacing w:val="-18"/>
          <w:w w:val="105"/>
        </w:rPr>
        <w:t> </w:t>
      </w:r>
      <w:r>
        <w:rPr>
          <w:color w:val="231F20"/>
          <w:w w:val="105"/>
        </w:rPr>
        <w:t>bladder</w:t>
      </w:r>
      <w:r>
        <w:rPr>
          <w:color w:val="231F20"/>
          <w:spacing w:val="-17"/>
          <w:w w:val="105"/>
        </w:rPr>
        <w:t> </w:t>
      </w:r>
      <w:r>
        <w:rPr>
          <w:color w:val="231F20"/>
          <w:w w:val="105"/>
        </w:rPr>
        <w:t>wall.</w:t>
      </w:r>
      <w:r>
        <w:rPr>
          <w:color w:val="231F20"/>
          <w:spacing w:val="-17"/>
          <w:w w:val="105"/>
        </w:rPr>
        <w:t> </w:t>
      </w:r>
      <w:r>
        <w:rPr>
          <w:color w:val="231F20"/>
          <w:w w:val="105"/>
        </w:rPr>
        <w:t>The</w:t>
      </w:r>
      <w:r>
        <w:rPr>
          <w:color w:val="231F20"/>
          <w:spacing w:val="-18"/>
          <w:w w:val="105"/>
        </w:rPr>
        <w:t> </w:t>
      </w:r>
      <w:r>
        <w:rPr>
          <w:color w:val="231F20"/>
          <w:spacing w:val="-3"/>
          <w:w w:val="105"/>
        </w:rPr>
        <w:t>normal </w:t>
      </w:r>
      <w:r>
        <w:rPr>
          <w:color w:val="231F20"/>
          <w:w w:val="105"/>
        </w:rPr>
        <w:t>tone of the detrusor muscle in the bladder wall tends to compress</w:t>
      </w:r>
      <w:r>
        <w:rPr>
          <w:color w:val="231F20"/>
          <w:spacing w:val="-27"/>
          <w:w w:val="105"/>
        </w:rPr>
        <w:t> </w:t>
      </w:r>
      <w:r>
        <w:rPr>
          <w:color w:val="231F20"/>
          <w:w w:val="105"/>
        </w:rPr>
        <w:t>the</w:t>
      </w:r>
      <w:r>
        <w:rPr>
          <w:color w:val="231F20"/>
          <w:spacing w:val="-27"/>
          <w:w w:val="105"/>
        </w:rPr>
        <w:t> </w:t>
      </w:r>
      <w:r>
        <w:rPr>
          <w:color w:val="231F20"/>
          <w:spacing w:val="-3"/>
          <w:w w:val="105"/>
        </w:rPr>
        <w:t>ureter,</w:t>
      </w:r>
      <w:r>
        <w:rPr>
          <w:color w:val="231F20"/>
          <w:spacing w:val="-27"/>
          <w:w w:val="105"/>
        </w:rPr>
        <w:t> </w:t>
      </w:r>
      <w:r>
        <w:rPr>
          <w:color w:val="231F20"/>
          <w:w w:val="105"/>
        </w:rPr>
        <w:t>thereby</w:t>
      </w:r>
      <w:r>
        <w:rPr>
          <w:color w:val="231F20"/>
          <w:spacing w:val="-27"/>
          <w:w w:val="105"/>
        </w:rPr>
        <w:t> </w:t>
      </w:r>
      <w:r>
        <w:rPr>
          <w:color w:val="231F20"/>
          <w:w w:val="105"/>
        </w:rPr>
        <w:t>preventing</w:t>
      </w:r>
      <w:r>
        <w:rPr>
          <w:color w:val="231F20"/>
          <w:spacing w:val="-27"/>
          <w:w w:val="105"/>
        </w:rPr>
        <w:t> </w:t>
      </w:r>
      <w:r>
        <w:rPr>
          <w:color w:val="231F20"/>
          <w:w w:val="105"/>
        </w:rPr>
        <w:t>backflow</w:t>
      </w:r>
      <w:r>
        <w:rPr>
          <w:color w:val="231F20"/>
          <w:spacing w:val="-27"/>
          <w:w w:val="105"/>
        </w:rPr>
        <w:t> </w:t>
      </w:r>
      <w:r>
        <w:rPr>
          <w:color w:val="231F20"/>
          <w:w w:val="105"/>
        </w:rPr>
        <w:t>(reflux) of</w:t>
      </w:r>
      <w:r>
        <w:rPr>
          <w:color w:val="231F20"/>
          <w:spacing w:val="-5"/>
          <w:w w:val="105"/>
        </w:rPr>
        <w:t> </w:t>
      </w:r>
      <w:r>
        <w:rPr>
          <w:color w:val="231F20"/>
          <w:w w:val="105"/>
        </w:rPr>
        <w:t>urine</w:t>
      </w:r>
      <w:r>
        <w:rPr>
          <w:color w:val="231F20"/>
          <w:spacing w:val="-4"/>
          <w:w w:val="105"/>
        </w:rPr>
        <w:t> </w:t>
      </w:r>
      <w:r>
        <w:rPr>
          <w:color w:val="231F20"/>
          <w:w w:val="105"/>
        </w:rPr>
        <w:t>from</w:t>
      </w:r>
      <w:r>
        <w:rPr>
          <w:color w:val="231F20"/>
          <w:spacing w:val="-4"/>
          <w:w w:val="105"/>
        </w:rPr>
        <w:t> </w:t>
      </w:r>
      <w:r>
        <w:rPr>
          <w:color w:val="231F20"/>
          <w:w w:val="105"/>
        </w:rPr>
        <w:t>the</w:t>
      </w:r>
      <w:r>
        <w:rPr>
          <w:color w:val="231F20"/>
          <w:spacing w:val="-4"/>
          <w:w w:val="105"/>
        </w:rPr>
        <w:t> </w:t>
      </w:r>
      <w:r>
        <w:rPr>
          <w:color w:val="231F20"/>
          <w:w w:val="105"/>
        </w:rPr>
        <w:t>bladder</w:t>
      </w:r>
      <w:r>
        <w:rPr>
          <w:color w:val="231F20"/>
          <w:spacing w:val="-4"/>
          <w:w w:val="105"/>
        </w:rPr>
        <w:t> </w:t>
      </w:r>
      <w:r>
        <w:rPr>
          <w:color w:val="231F20"/>
          <w:w w:val="105"/>
        </w:rPr>
        <w:t>when</w:t>
      </w:r>
      <w:r>
        <w:rPr>
          <w:color w:val="231F20"/>
          <w:spacing w:val="-4"/>
          <w:w w:val="105"/>
        </w:rPr>
        <w:t> </w:t>
      </w:r>
      <w:r>
        <w:rPr>
          <w:color w:val="231F20"/>
          <w:w w:val="105"/>
        </w:rPr>
        <w:t>pressure</w:t>
      </w:r>
      <w:r>
        <w:rPr>
          <w:color w:val="231F20"/>
          <w:spacing w:val="-4"/>
          <w:w w:val="105"/>
        </w:rPr>
        <w:t> </w:t>
      </w:r>
      <w:r>
        <w:rPr>
          <w:color w:val="231F20"/>
          <w:w w:val="105"/>
        </w:rPr>
        <w:t>builds</w:t>
      </w:r>
      <w:r>
        <w:rPr>
          <w:color w:val="231F20"/>
          <w:spacing w:val="-4"/>
          <w:w w:val="105"/>
        </w:rPr>
        <w:t> </w:t>
      </w:r>
      <w:r>
        <w:rPr>
          <w:color w:val="231F20"/>
          <w:w w:val="105"/>
        </w:rPr>
        <w:t>up</w:t>
      </w:r>
      <w:r>
        <w:rPr>
          <w:color w:val="231F20"/>
          <w:spacing w:val="-4"/>
          <w:w w:val="105"/>
        </w:rPr>
        <w:t> </w:t>
      </w:r>
      <w:r>
        <w:rPr>
          <w:color w:val="231F20"/>
          <w:w w:val="105"/>
        </w:rPr>
        <w:t>in</w:t>
      </w:r>
      <w:r>
        <w:rPr>
          <w:color w:val="231F20"/>
          <w:spacing w:val="-4"/>
          <w:w w:val="105"/>
        </w:rPr>
        <w:t> </w:t>
      </w:r>
      <w:r>
        <w:rPr>
          <w:color w:val="231F20"/>
          <w:spacing w:val="-7"/>
          <w:w w:val="105"/>
        </w:rPr>
        <w:t>the </w:t>
      </w:r>
      <w:r>
        <w:rPr>
          <w:color w:val="231F20"/>
          <w:w w:val="105"/>
        </w:rPr>
        <w:t>bladder</w:t>
      </w:r>
      <w:r>
        <w:rPr>
          <w:color w:val="231F20"/>
          <w:spacing w:val="-14"/>
          <w:w w:val="105"/>
        </w:rPr>
        <w:t> </w:t>
      </w:r>
      <w:r>
        <w:rPr>
          <w:color w:val="231F20"/>
          <w:w w:val="105"/>
        </w:rPr>
        <w:t>during</w:t>
      </w:r>
      <w:r>
        <w:rPr>
          <w:color w:val="231F20"/>
          <w:spacing w:val="-14"/>
          <w:w w:val="105"/>
        </w:rPr>
        <w:t> </w:t>
      </w:r>
      <w:r>
        <w:rPr>
          <w:color w:val="231F20"/>
          <w:w w:val="105"/>
        </w:rPr>
        <w:t>micturition</w:t>
      </w:r>
      <w:r>
        <w:rPr>
          <w:color w:val="231F20"/>
          <w:spacing w:val="-14"/>
          <w:w w:val="105"/>
        </w:rPr>
        <w:t> </w:t>
      </w:r>
      <w:r>
        <w:rPr>
          <w:color w:val="231F20"/>
          <w:w w:val="105"/>
        </w:rPr>
        <w:t>or</w:t>
      </w:r>
      <w:r>
        <w:rPr>
          <w:color w:val="231F20"/>
          <w:spacing w:val="-14"/>
          <w:w w:val="105"/>
        </w:rPr>
        <w:t> </w:t>
      </w:r>
      <w:r>
        <w:rPr>
          <w:color w:val="231F20"/>
          <w:w w:val="105"/>
        </w:rPr>
        <w:t>bladder</w:t>
      </w:r>
      <w:r>
        <w:rPr>
          <w:color w:val="231F20"/>
          <w:spacing w:val="-14"/>
          <w:w w:val="105"/>
        </w:rPr>
        <w:t> </w:t>
      </w:r>
      <w:r>
        <w:rPr>
          <w:color w:val="231F20"/>
          <w:w w:val="105"/>
        </w:rPr>
        <w:t>compression.</w:t>
      </w:r>
      <w:r>
        <w:rPr>
          <w:color w:val="231F20"/>
          <w:spacing w:val="-14"/>
          <w:w w:val="105"/>
        </w:rPr>
        <w:t> </w:t>
      </w:r>
      <w:r>
        <w:rPr>
          <w:color w:val="231F20"/>
          <w:spacing w:val="-4"/>
          <w:w w:val="105"/>
        </w:rPr>
        <w:t>Each </w:t>
      </w:r>
      <w:r>
        <w:rPr>
          <w:color w:val="231F20"/>
          <w:w w:val="105"/>
        </w:rPr>
        <w:t>peristaltic</w:t>
      </w:r>
      <w:r>
        <w:rPr>
          <w:color w:val="231F20"/>
          <w:spacing w:val="13"/>
          <w:w w:val="105"/>
        </w:rPr>
        <w:t> </w:t>
      </w:r>
      <w:r>
        <w:rPr>
          <w:color w:val="231F20"/>
          <w:w w:val="105"/>
        </w:rPr>
        <w:t>wave</w:t>
      </w:r>
      <w:r>
        <w:rPr>
          <w:color w:val="231F20"/>
          <w:spacing w:val="13"/>
          <w:w w:val="105"/>
        </w:rPr>
        <w:t> </w:t>
      </w:r>
      <w:r>
        <w:rPr>
          <w:color w:val="231F20"/>
          <w:w w:val="105"/>
        </w:rPr>
        <w:t>along</w:t>
      </w:r>
      <w:r>
        <w:rPr>
          <w:color w:val="231F20"/>
          <w:spacing w:val="14"/>
          <w:w w:val="105"/>
        </w:rPr>
        <w:t> </w:t>
      </w:r>
      <w:r>
        <w:rPr>
          <w:color w:val="231F20"/>
          <w:w w:val="105"/>
        </w:rPr>
        <w:t>the</w:t>
      </w:r>
      <w:r>
        <w:rPr>
          <w:color w:val="231F20"/>
          <w:spacing w:val="13"/>
          <w:w w:val="105"/>
        </w:rPr>
        <w:t> </w:t>
      </w:r>
      <w:r>
        <w:rPr>
          <w:color w:val="231F20"/>
          <w:w w:val="105"/>
        </w:rPr>
        <w:t>ureter</w:t>
      </w:r>
      <w:r>
        <w:rPr>
          <w:color w:val="231F20"/>
          <w:spacing w:val="14"/>
          <w:w w:val="105"/>
        </w:rPr>
        <w:t> </w:t>
      </w:r>
      <w:r>
        <w:rPr>
          <w:color w:val="231F20"/>
          <w:w w:val="105"/>
        </w:rPr>
        <w:t>increases</w:t>
      </w:r>
      <w:r>
        <w:rPr>
          <w:color w:val="231F20"/>
          <w:spacing w:val="13"/>
          <w:w w:val="105"/>
        </w:rPr>
        <w:t> </w:t>
      </w:r>
      <w:r>
        <w:rPr>
          <w:color w:val="231F20"/>
          <w:w w:val="105"/>
        </w:rPr>
        <w:t>the</w:t>
      </w:r>
      <w:r>
        <w:rPr>
          <w:color w:val="231F20"/>
          <w:spacing w:val="14"/>
          <w:w w:val="105"/>
        </w:rPr>
        <w:t> </w:t>
      </w:r>
      <w:r>
        <w:rPr>
          <w:color w:val="231F20"/>
          <w:w w:val="105"/>
        </w:rPr>
        <w:t>pressure</w:t>
      </w:r>
    </w:p>
    <w:p>
      <w:pPr>
        <w:spacing w:line="252" w:lineRule="auto" w:before="160"/>
        <w:ind w:left="319" w:right="1079" w:firstLine="0"/>
        <w:jc w:val="both"/>
        <w:rPr>
          <w:rFonts w:ascii="Arial"/>
          <w:sz w:val="16"/>
        </w:rPr>
      </w:pPr>
      <w:r>
        <w:rPr/>
        <w:br w:type="column"/>
      </w:r>
      <w:bookmarkStart w:name="_bookmark19" w:id="20"/>
      <w:bookmarkEnd w:id="20"/>
      <w:r>
        <w:rPr/>
      </w:r>
      <w:r>
        <w:rPr>
          <w:rFonts w:ascii="Trebuchet MS"/>
          <w:b/>
          <w:color w:val="231F20"/>
          <w:sz w:val="16"/>
        </w:rPr>
        <w:t>Figure 26-8. </w:t>
      </w:r>
      <w:r>
        <w:rPr>
          <w:rFonts w:ascii="Arial"/>
          <w:color w:val="231F20"/>
          <w:sz w:val="16"/>
        </w:rPr>
        <w:t>A normal cystometrogram, showing also acute pres- sure waves (</w:t>
      </w:r>
      <w:r>
        <w:rPr>
          <w:rFonts w:ascii="Lucida Sans"/>
          <w:i/>
          <w:color w:val="231F20"/>
          <w:sz w:val="16"/>
        </w:rPr>
        <w:t>dashed spikes</w:t>
      </w:r>
      <w:r>
        <w:rPr>
          <w:rFonts w:ascii="Arial"/>
          <w:color w:val="231F20"/>
          <w:sz w:val="16"/>
        </w:rPr>
        <w:t>) caused by micturition reflexes.</w:t>
      </w:r>
    </w:p>
    <w:p>
      <w:pPr>
        <w:pStyle w:val="BodyText"/>
        <w:rPr>
          <w:rFonts w:ascii="Arial"/>
          <w:sz w:val="18"/>
        </w:rPr>
      </w:pPr>
    </w:p>
    <w:p>
      <w:pPr>
        <w:pStyle w:val="BodyText"/>
        <w:spacing w:before="4"/>
        <w:rPr>
          <w:rFonts w:ascii="Arial"/>
          <w:sz w:val="17"/>
        </w:rPr>
      </w:pPr>
    </w:p>
    <w:p>
      <w:pPr>
        <w:pStyle w:val="BodyText"/>
        <w:spacing w:line="249" w:lineRule="auto"/>
        <w:ind w:left="319" w:right="1077"/>
        <w:jc w:val="both"/>
      </w:pPr>
      <w:r>
        <w:rPr>
          <w:color w:val="231F20"/>
          <w:w w:val="105"/>
        </w:rPr>
        <w:t>within the ureter so that the region passing through the bladder wall opens and allows urine to flow into the bladder.</w:t>
      </w:r>
    </w:p>
    <w:p>
      <w:pPr>
        <w:pStyle w:val="BodyText"/>
        <w:spacing w:line="249" w:lineRule="auto" w:before="2"/>
        <w:ind w:left="319" w:right="1077" w:firstLine="240"/>
        <w:jc w:val="both"/>
      </w:pPr>
      <w:r>
        <w:rPr>
          <w:color w:val="231F20"/>
          <w:w w:val="105"/>
        </w:rPr>
        <w:t>In some people, the distance that the ureter courses through the bladder wall is less than normal, and thus contraction of the bladder during micturition does not always lead to complete occlusion of the </w:t>
      </w:r>
      <w:r>
        <w:rPr>
          <w:color w:val="231F20"/>
          <w:spacing w:val="-3"/>
          <w:w w:val="105"/>
        </w:rPr>
        <w:t>ureter. </w:t>
      </w:r>
      <w:r>
        <w:rPr>
          <w:color w:val="231F20"/>
          <w:w w:val="105"/>
        </w:rPr>
        <w:t>As a result,</w:t>
      </w:r>
      <w:r>
        <w:rPr>
          <w:color w:val="231F20"/>
          <w:spacing w:val="-13"/>
          <w:w w:val="105"/>
        </w:rPr>
        <w:t> </w:t>
      </w:r>
      <w:r>
        <w:rPr>
          <w:color w:val="231F20"/>
          <w:w w:val="105"/>
        </w:rPr>
        <w:t>some</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urine</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bladder</w:t>
      </w:r>
      <w:r>
        <w:rPr>
          <w:color w:val="231F20"/>
          <w:spacing w:val="-13"/>
          <w:w w:val="105"/>
        </w:rPr>
        <w:t> </w:t>
      </w:r>
      <w:r>
        <w:rPr>
          <w:color w:val="231F20"/>
          <w:w w:val="105"/>
        </w:rPr>
        <w:t>is</w:t>
      </w:r>
      <w:r>
        <w:rPr>
          <w:color w:val="231F20"/>
          <w:spacing w:val="-13"/>
          <w:w w:val="105"/>
        </w:rPr>
        <w:t> </w:t>
      </w:r>
      <w:r>
        <w:rPr>
          <w:color w:val="231F20"/>
          <w:w w:val="105"/>
        </w:rPr>
        <w:t>propelled</w:t>
      </w:r>
      <w:r>
        <w:rPr>
          <w:color w:val="231F20"/>
          <w:spacing w:val="-12"/>
          <w:w w:val="105"/>
        </w:rPr>
        <w:t> </w:t>
      </w:r>
      <w:r>
        <w:rPr>
          <w:color w:val="231F20"/>
          <w:w w:val="105"/>
        </w:rPr>
        <w:t>back- ward into the </w:t>
      </w:r>
      <w:r>
        <w:rPr>
          <w:color w:val="231F20"/>
          <w:spacing w:val="-3"/>
          <w:w w:val="105"/>
        </w:rPr>
        <w:t>ureter, </w:t>
      </w:r>
      <w:r>
        <w:rPr>
          <w:color w:val="231F20"/>
          <w:w w:val="105"/>
        </w:rPr>
        <w:t>a condition called </w:t>
      </w:r>
      <w:r>
        <w:rPr>
          <w:i/>
          <w:color w:val="231F20"/>
          <w:w w:val="105"/>
        </w:rPr>
        <w:t>vesicoureteral </w:t>
      </w:r>
      <w:r>
        <w:rPr>
          <w:i/>
          <w:color w:val="231F20"/>
          <w:w w:val="105"/>
        </w:rPr>
        <w:t>reflux.</w:t>
      </w:r>
      <w:r>
        <w:rPr>
          <w:i/>
          <w:color w:val="231F20"/>
          <w:spacing w:val="-13"/>
          <w:w w:val="105"/>
        </w:rPr>
        <w:t> </w:t>
      </w:r>
      <w:r>
        <w:rPr>
          <w:color w:val="231F20"/>
          <w:w w:val="105"/>
        </w:rPr>
        <w:t>Such</w:t>
      </w:r>
      <w:r>
        <w:rPr>
          <w:color w:val="231F20"/>
          <w:spacing w:val="-12"/>
          <w:w w:val="105"/>
        </w:rPr>
        <w:t> </w:t>
      </w:r>
      <w:r>
        <w:rPr>
          <w:color w:val="231F20"/>
          <w:w w:val="105"/>
        </w:rPr>
        <w:t>reflux</w:t>
      </w:r>
      <w:r>
        <w:rPr>
          <w:color w:val="231F20"/>
          <w:spacing w:val="-13"/>
          <w:w w:val="105"/>
        </w:rPr>
        <w:t> </w:t>
      </w:r>
      <w:r>
        <w:rPr>
          <w:color w:val="231F20"/>
          <w:w w:val="105"/>
        </w:rPr>
        <w:t>can</w:t>
      </w:r>
      <w:r>
        <w:rPr>
          <w:color w:val="231F20"/>
          <w:spacing w:val="-12"/>
          <w:w w:val="105"/>
        </w:rPr>
        <w:t> </w:t>
      </w:r>
      <w:r>
        <w:rPr>
          <w:color w:val="231F20"/>
          <w:w w:val="105"/>
        </w:rPr>
        <w:t>lead</w:t>
      </w:r>
      <w:r>
        <w:rPr>
          <w:color w:val="231F20"/>
          <w:spacing w:val="-13"/>
          <w:w w:val="105"/>
        </w:rPr>
        <w:t> </w:t>
      </w:r>
      <w:r>
        <w:rPr>
          <w:color w:val="231F20"/>
          <w:w w:val="105"/>
        </w:rPr>
        <w:t>to</w:t>
      </w:r>
      <w:r>
        <w:rPr>
          <w:color w:val="231F20"/>
          <w:spacing w:val="-12"/>
          <w:w w:val="105"/>
        </w:rPr>
        <w:t> </w:t>
      </w:r>
      <w:r>
        <w:rPr>
          <w:color w:val="231F20"/>
          <w:w w:val="105"/>
        </w:rPr>
        <w:t>enlargement</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ureters and, if severe, it can increase the pressure in the renal calyces and structures of the renal medulla, </w:t>
      </w:r>
      <w:r>
        <w:rPr>
          <w:color w:val="231F20"/>
          <w:spacing w:val="-3"/>
          <w:w w:val="105"/>
        </w:rPr>
        <w:t>causing </w:t>
      </w:r>
      <w:r>
        <w:rPr>
          <w:color w:val="231F20"/>
          <w:w w:val="105"/>
        </w:rPr>
        <w:t>damage to these</w:t>
      </w:r>
      <w:r>
        <w:rPr>
          <w:color w:val="231F20"/>
          <w:spacing w:val="8"/>
          <w:w w:val="105"/>
        </w:rPr>
        <w:t> </w:t>
      </w:r>
      <w:r>
        <w:rPr>
          <w:color w:val="231F20"/>
          <w:w w:val="105"/>
        </w:rPr>
        <w:t>regions.</w:t>
      </w:r>
    </w:p>
    <w:p>
      <w:pPr>
        <w:pStyle w:val="BodyText"/>
        <w:spacing w:before="4"/>
        <w:rPr>
          <w:sz w:val="22"/>
        </w:rPr>
      </w:pPr>
    </w:p>
    <w:p>
      <w:pPr>
        <w:pStyle w:val="BodyText"/>
        <w:spacing w:line="249" w:lineRule="auto"/>
        <w:ind w:left="319" w:right="1077"/>
        <w:jc w:val="both"/>
      </w:pPr>
      <w:r>
        <w:rPr>
          <w:rFonts w:ascii="Trebuchet MS"/>
          <w:b/>
          <w:color w:val="231F20"/>
          <w:sz w:val="19"/>
        </w:rPr>
        <w:t>Pain Sensation in the Ureters and the Ureterorenal Reflex. </w:t>
      </w:r>
      <w:r>
        <w:rPr>
          <w:color w:val="231F20"/>
        </w:rPr>
        <w:t>The ureters are well supplied with pain nerve fibers. When a ureter becomes blocked (e.g., by a ureteral stone), intense reflex constriction occurs, which is associ- ated with severe pain. Also, the pain impulses cause a sympathetic reflex back to the kidney to constrict  </w:t>
      </w:r>
      <w:r>
        <w:rPr>
          <w:color w:val="231F20"/>
          <w:spacing w:val="-5"/>
        </w:rPr>
        <w:t>the </w:t>
      </w:r>
      <w:r>
        <w:rPr>
          <w:color w:val="231F20"/>
        </w:rPr>
        <w:t>renal arterioles, thereby decreasing urine output from the kidney. This effect is called the </w:t>
      </w:r>
      <w:r>
        <w:rPr>
          <w:i/>
          <w:color w:val="231F20"/>
        </w:rPr>
        <w:t>ureterorenal reflex </w:t>
      </w:r>
      <w:r>
        <w:rPr>
          <w:color w:val="231F20"/>
        </w:rPr>
        <w:t>and is important for preventing excessive flow of fluid into the pelvis of a kidney with a blocked </w:t>
      </w:r>
      <w:r>
        <w:rPr>
          <w:color w:val="231F20"/>
          <w:spacing w:val="-3"/>
        </w:rPr>
        <w:t>ureter.</w:t>
      </w:r>
    </w:p>
    <w:p>
      <w:pPr>
        <w:pStyle w:val="BodyText"/>
        <w:spacing w:before="2"/>
        <w:rPr>
          <w:sz w:val="27"/>
        </w:rPr>
      </w:pPr>
      <w:r>
        <w:rPr/>
        <w:pict>
          <v:shape style="position:absolute;margin-left:324pt;margin-top:16.846081pt;width:234pt;height:149pt;mso-position-horizontal-relative:page;mso-position-vertical-relative:paragraph;z-index:-251453440;mso-wrap-distance-left:0;mso-wrap-distance-right:0" type="#_x0000_t202" filled="true" fillcolor="#f0eef6" stroked="false">
            <v:textbox inset="0,0,0,0">
              <w:txbxContent>
                <w:p>
                  <w:pPr>
                    <w:spacing w:line="252" w:lineRule="auto" w:before="130"/>
                    <w:ind w:left="180" w:right="633" w:firstLine="0"/>
                    <w:jc w:val="left"/>
                    <w:rPr>
                      <w:rFonts w:ascii="Trebuchet MS"/>
                      <w:b/>
                      <w:sz w:val="18"/>
                    </w:rPr>
                  </w:pPr>
                  <w:r>
                    <w:rPr>
                      <w:rFonts w:ascii="Trebuchet MS"/>
                      <w:b/>
                      <w:color w:val="231F20"/>
                      <w:sz w:val="18"/>
                    </w:rPr>
                    <w:t>Filling of the Bladder and Bladder Wall Tone; the Cystometrogram</w:t>
                  </w:r>
                </w:p>
                <w:p>
                  <w:pPr>
                    <w:spacing w:line="254" w:lineRule="auto" w:before="82"/>
                    <w:ind w:left="180" w:right="177" w:firstLine="0"/>
                    <w:jc w:val="both"/>
                    <w:rPr>
                      <w:sz w:val="18"/>
                    </w:rPr>
                  </w:pPr>
                  <w:hyperlink w:history="true" w:anchor="_bookmark19">
                    <w:r>
                      <w:rPr>
                        <w:b/>
                        <w:color w:val="0080AC"/>
                        <w:w w:val="105"/>
                        <w:sz w:val="18"/>
                      </w:rPr>
                      <w:t>Figure 26-8</w:t>
                    </w:r>
                  </w:hyperlink>
                  <w:r>
                    <w:rPr>
                      <w:b/>
                      <w:color w:val="0080AC"/>
                      <w:w w:val="105"/>
                      <w:sz w:val="18"/>
                    </w:rPr>
                    <w:t> </w:t>
                  </w:r>
                  <w:r>
                    <w:rPr>
                      <w:color w:val="231F20"/>
                      <w:w w:val="105"/>
                      <w:sz w:val="18"/>
                    </w:rPr>
                    <w:t>shows the approximate changes in intrave- sicular</w:t>
                  </w:r>
                  <w:r>
                    <w:rPr>
                      <w:color w:val="231F20"/>
                      <w:spacing w:val="-11"/>
                      <w:w w:val="105"/>
                      <w:sz w:val="18"/>
                    </w:rPr>
                    <w:t> </w:t>
                  </w:r>
                  <w:r>
                    <w:rPr>
                      <w:color w:val="231F20"/>
                      <w:w w:val="105"/>
                      <w:sz w:val="18"/>
                    </w:rPr>
                    <w:t>pressure</w:t>
                  </w:r>
                  <w:r>
                    <w:rPr>
                      <w:color w:val="231F20"/>
                      <w:spacing w:val="-11"/>
                      <w:w w:val="105"/>
                      <w:sz w:val="18"/>
                    </w:rPr>
                    <w:t> </w:t>
                  </w:r>
                  <w:r>
                    <w:rPr>
                      <w:color w:val="231F20"/>
                      <w:w w:val="105"/>
                      <w:sz w:val="18"/>
                    </w:rPr>
                    <w:t>as</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bladder</w:t>
                  </w:r>
                  <w:r>
                    <w:rPr>
                      <w:color w:val="231F20"/>
                      <w:spacing w:val="-11"/>
                      <w:w w:val="105"/>
                      <w:sz w:val="18"/>
                    </w:rPr>
                    <w:t> </w:t>
                  </w:r>
                  <w:r>
                    <w:rPr>
                      <w:color w:val="231F20"/>
                      <w:w w:val="105"/>
                      <w:sz w:val="18"/>
                    </w:rPr>
                    <w:t>fills</w:t>
                  </w:r>
                  <w:r>
                    <w:rPr>
                      <w:color w:val="231F20"/>
                      <w:spacing w:val="-11"/>
                      <w:w w:val="105"/>
                      <w:sz w:val="18"/>
                    </w:rPr>
                    <w:t> </w:t>
                  </w:r>
                  <w:r>
                    <w:rPr>
                      <w:color w:val="231F20"/>
                      <w:w w:val="105"/>
                      <w:sz w:val="18"/>
                    </w:rPr>
                    <w:t>with</w:t>
                  </w:r>
                  <w:r>
                    <w:rPr>
                      <w:color w:val="231F20"/>
                      <w:spacing w:val="-11"/>
                      <w:w w:val="105"/>
                      <w:sz w:val="18"/>
                    </w:rPr>
                    <w:t> </w:t>
                  </w:r>
                  <w:r>
                    <w:rPr>
                      <w:color w:val="231F20"/>
                      <w:w w:val="105"/>
                      <w:sz w:val="18"/>
                    </w:rPr>
                    <w:t>urine.</w:t>
                  </w:r>
                  <w:r>
                    <w:rPr>
                      <w:color w:val="231F20"/>
                      <w:spacing w:val="-11"/>
                      <w:w w:val="105"/>
                      <w:sz w:val="18"/>
                    </w:rPr>
                    <w:t> </w:t>
                  </w:r>
                  <w:r>
                    <w:rPr>
                      <w:color w:val="231F20"/>
                      <w:w w:val="105"/>
                      <w:sz w:val="18"/>
                    </w:rPr>
                    <w:t>When</w:t>
                  </w:r>
                  <w:r>
                    <w:rPr>
                      <w:color w:val="231F20"/>
                      <w:spacing w:val="-11"/>
                      <w:w w:val="105"/>
                      <w:sz w:val="18"/>
                    </w:rPr>
                    <w:t> </w:t>
                  </w:r>
                  <w:r>
                    <w:rPr>
                      <w:color w:val="231F20"/>
                      <w:w w:val="105"/>
                      <w:sz w:val="18"/>
                    </w:rPr>
                    <w:t>there is no urine in the bladder, the intravesicular pressure is about 0, but by the time 30 to 50 milliliters of urine </w:t>
                  </w:r>
                  <w:r>
                    <w:rPr>
                      <w:color w:val="231F20"/>
                      <w:spacing w:val="-4"/>
                      <w:w w:val="105"/>
                      <w:sz w:val="18"/>
                    </w:rPr>
                    <w:t>have </w:t>
                  </w:r>
                  <w:r>
                    <w:rPr>
                      <w:color w:val="231F20"/>
                      <w:w w:val="105"/>
                      <w:sz w:val="18"/>
                    </w:rPr>
                    <w:t>collected,</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pressure</w:t>
                  </w:r>
                  <w:r>
                    <w:rPr>
                      <w:color w:val="231F20"/>
                      <w:spacing w:val="-15"/>
                      <w:w w:val="105"/>
                      <w:sz w:val="18"/>
                    </w:rPr>
                    <w:t> </w:t>
                  </w:r>
                  <w:r>
                    <w:rPr>
                      <w:color w:val="231F20"/>
                      <w:w w:val="105"/>
                      <w:sz w:val="18"/>
                    </w:rPr>
                    <w:t>rises</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5</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10</w:t>
                  </w:r>
                  <w:r>
                    <w:rPr>
                      <w:color w:val="231F20"/>
                      <w:spacing w:val="-15"/>
                      <w:w w:val="105"/>
                      <w:sz w:val="18"/>
                    </w:rPr>
                    <w:t> </w:t>
                  </w:r>
                  <w:r>
                    <w:rPr>
                      <w:color w:val="231F20"/>
                      <w:w w:val="105"/>
                      <w:sz w:val="18"/>
                    </w:rPr>
                    <w:t>centimeters</w:t>
                  </w:r>
                  <w:r>
                    <w:rPr>
                      <w:color w:val="231F20"/>
                      <w:spacing w:val="-15"/>
                      <w:w w:val="105"/>
                      <w:sz w:val="18"/>
                    </w:rPr>
                    <w:t> </w:t>
                  </w:r>
                  <w:r>
                    <w:rPr>
                      <w:color w:val="231F20"/>
                      <w:w w:val="105"/>
                      <w:sz w:val="18"/>
                    </w:rPr>
                    <w:t>of</w:t>
                  </w:r>
                  <w:r>
                    <w:rPr>
                      <w:color w:val="231F20"/>
                      <w:spacing w:val="-15"/>
                      <w:w w:val="105"/>
                      <w:sz w:val="18"/>
                    </w:rPr>
                    <w:t> </w:t>
                  </w:r>
                  <w:r>
                    <w:rPr>
                      <w:color w:val="231F20"/>
                      <w:spacing w:val="-3"/>
                      <w:w w:val="105"/>
                      <w:sz w:val="18"/>
                    </w:rPr>
                    <w:t>water. </w:t>
                  </w:r>
                  <w:r>
                    <w:rPr>
                      <w:color w:val="231F20"/>
                      <w:w w:val="105"/>
                      <w:sz w:val="18"/>
                    </w:rPr>
                    <w:t>Additional</w:t>
                  </w:r>
                  <w:r>
                    <w:rPr>
                      <w:color w:val="231F20"/>
                      <w:spacing w:val="-16"/>
                      <w:w w:val="105"/>
                      <w:sz w:val="18"/>
                    </w:rPr>
                    <w:t> </w:t>
                  </w:r>
                  <w:r>
                    <w:rPr>
                      <w:color w:val="231F20"/>
                      <w:w w:val="105"/>
                      <w:sz w:val="18"/>
                    </w:rPr>
                    <w:t>urine—200</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300</w:t>
                  </w:r>
                  <w:r>
                    <w:rPr>
                      <w:color w:val="231F20"/>
                      <w:spacing w:val="-16"/>
                      <w:w w:val="105"/>
                      <w:sz w:val="18"/>
                    </w:rPr>
                    <w:t> </w:t>
                  </w:r>
                  <w:r>
                    <w:rPr>
                      <w:color w:val="231F20"/>
                      <w:w w:val="105"/>
                      <w:sz w:val="18"/>
                    </w:rPr>
                    <w:t>milliliters—can</w:t>
                  </w:r>
                  <w:r>
                    <w:rPr>
                      <w:color w:val="231F20"/>
                      <w:spacing w:val="-15"/>
                      <w:w w:val="105"/>
                      <w:sz w:val="18"/>
                    </w:rPr>
                    <w:t> </w:t>
                  </w:r>
                  <w:r>
                    <w:rPr>
                      <w:color w:val="231F20"/>
                      <w:w w:val="105"/>
                      <w:sz w:val="18"/>
                    </w:rPr>
                    <w:t>collect</w:t>
                  </w:r>
                  <w:r>
                    <w:rPr>
                      <w:color w:val="231F20"/>
                      <w:spacing w:val="-16"/>
                      <w:w w:val="105"/>
                      <w:sz w:val="18"/>
                    </w:rPr>
                    <w:t> </w:t>
                  </w:r>
                  <w:r>
                    <w:rPr>
                      <w:color w:val="231F20"/>
                      <w:w w:val="105"/>
                      <w:sz w:val="18"/>
                    </w:rPr>
                    <w:t>with only</w:t>
                  </w:r>
                  <w:r>
                    <w:rPr>
                      <w:color w:val="231F20"/>
                      <w:spacing w:val="-7"/>
                      <w:w w:val="105"/>
                      <w:sz w:val="18"/>
                    </w:rPr>
                    <w:t> </w:t>
                  </w:r>
                  <w:r>
                    <w:rPr>
                      <w:color w:val="231F20"/>
                      <w:w w:val="105"/>
                      <w:sz w:val="18"/>
                    </w:rPr>
                    <w:t>a</w:t>
                  </w:r>
                  <w:r>
                    <w:rPr>
                      <w:color w:val="231F20"/>
                      <w:spacing w:val="-7"/>
                      <w:w w:val="105"/>
                      <w:sz w:val="18"/>
                    </w:rPr>
                    <w:t> </w:t>
                  </w:r>
                  <w:r>
                    <w:rPr>
                      <w:color w:val="231F20"/>
                      <w:w w:val="105"/>
                      <w:sz w:val="18"/>
                    </w:rPr>
                    <w:t>small</w:t>
                  </w:r>
                  <w:r>
                    <w:rPr>
                      <w:color w:val="231F20"/>
                      <w:spacing w:val="-7"/>
                      <w:w w:val="105"/>
                      <w:sz w:val="18"/>
                    </w:rPr>
                    <w:t> </w:t>
                  </w:r>
                  <w:r>
                    <w:rPr>
                      <w:color w:val="231F20"/>
                      <w:w w:val="105"/>
                      <w:sz w:val="18"/>
                    </w:rPr>
                    <w:t>additional</w:t>
                  </w:r>
                  <w:r>
                    <w:rPr>
                      <w:color w:val="231F20"/>
                      <w:spacing w:val="-6"/>
                      <w:w w:val="105"/>
                      <w:sz w:val="18"/>
                    </w:rPr>
                    <w:t> </w:t>
                  </w:r>
                  <w:r>
                    <w:rPr>
                      <w:color w:val="231F20"/>
                      <w:w w:val="105"/>
                      <w:sz w:val="18"/>
                    </w:rPr>
                    <w:t>rise</w:t>
                  </w:r>
                  <w:r>
                    <w:rPr>
                      <w:color w:val="231F20"/>
                      <w:spacing w:val="-7"/>
                      <w:w w:val="105"/>
                      <w:sz w:val="18"/>
                    </w:rPr>
                    <w:t> </w:t>
                  </w:r>
                  <w:r>
                    <w:rPr>
                      <w:color w:val="231F20"/>
                      <w:w w:val="105"/>
                      <w:sz w:val="18"/>
                    </w:rPr>
                    <w:t>in</w:t>
                  </w:r>
                  <w:r>
                    <w:rPr>
                      <w:color w:val="231F20"/>
                      <w:spacing w:val="-7"/>
                      <w:w w:val="105"/>
                      <w:sz w:val="18"/>
                    </w:rPr>
                    <w:t> </w:t>
                  </w:r>
                  <w:r>
                    <w:rPr>
                      <w:color w:val="231F20"/>
                      <w:w w:val="105"/>
                      <w:sz w:val="18"/>
                    </w:rPr>
                    <w:t>pressure;</w:t>
                  </w:r>
                  <w:r>
                    <w:rPr>
                      <w:color w:val="231F20"/>
                      <w:spacing w:val="-6"/>
                      <w:w w:val="105"/>
                      <w:sz w:val="18"/>
                    </w:rPr>
                    <w:t> </w:t>
                  </w:r>
                  <w:r>
                    <w:rPr>
                      <w:color w:val="231F20"/>
                      <w:w w:val="105"/>
                      <w:sz w:val="18"/>
                    </w:rPr>
                    <w:t>this</w:t>
                  </w:r>
                  <w:r>
                    <w:rPr>
                      <w:color w:val="231F20"/>
                      <w:spacing w:val="-7"/>
                      <w:w w:val="105"/>
                      <w:sz w:val="18"/>
                    </w:rPr>
                    <w:t> </w:t>
                  </w:r>
                  <w:r>
                    <w:rPr>
                      <w:color w:val="231F20"/>
                      <w:w w:val="105"/>
                      <w:sz w:val="18"/>
                    </w:rPr>
                    <w:t>constant</w:t>
                  </w:r>
                  <w:r>
                    <w:rPr>
                      <w:color w:val="231F20"/>
                      <w:spacing w:val="-7"/>
                      <w:w w:val="105"/>
                      <w:sz w:val="18"/>
                    </w:rPr>
                    <w:t> </w:t>
                  </w:r>
                  <w:r>
                    <w:rPr>
                      <w:color w:val="231F20"/>
                      <w:spacing w:val="-3"/>
                      <w:w w:val="105"/>
                      <w:sz w:val="18"/>
                    </w:rPr>
                    <w:t>level </w:t>
                  </w:r>
                  <w:r>
                    <w:rPr>
                      <w:color w:val="231F20"/>
                      <w:w w:val="105"/>
                      <w:sz w:val="18"/>
                    </w:rPr>
                    <w:t>of</w:t>
                  </w:r>
                  <w:r>
                    <w:rPr>
                      <w:color w:val="231F20"/>
                      <w:spacing w:val="-6"/>
                      <w:w w:val="105"/>
                      <w:sz w:val="18"/>
                    </w:rPr>
                    <w:t> </w:t>
                  </w:r>
                  <w:r>
                    <w:rPr>
                      <w:color w:val="231F20"/>
                      <w:w w:val="105"/>
                      <w:sz w:val="18"/>
                    </w:rPr>
                    <w:t>pressure</w:t>
                  </w:r>
                  <w:r>
                    <w:rPr>
                      <w:color w:val="231F20"/>
                      <w:spacing w:val="-5"/>
                      <w:w w:val="105"/>
                      <w:sz w:val="18"/>
                    </w:rPr>
                    <w:t> </w:t>
                  </w:r>
                  <w:r>
                    <w:rPr>
                      <w:color w:val="231F20"/>
                      <w:w w:val="105"/>
                      <w:sz w:val="18"/>
                    </w:rPr>
                    <w:t>is</w:t>
                  </w:r>
                  <w:r>
                    <w:rPr>
                      <w:color w:val="231F20"/>
                      <w:spacing w:val="-5"/>
                      <w:w w:val="105"/>
                      <w:sz w:val="18"/>
                    </w:rPr>
                    <w:t> </w:t>
                  </w:r>
                  <w:r>
                    <w:rPr>
                      <w:color w:val="231F20"/>
                      <w:w w:val="105"/>
                      <w:sz w:val="18"/>
                    </w:rPr>
                    <w:t>caused</w:t>
                  </w:r>
                  <w:r>
                    <w:rPr>
                      <w:color w:val="231F20"/>
                      <w:spacing w:val="-5"/>
                      <w:w w:val="105"/>
                      <w:sz w:val="18"/>
                    </w:rPr>
                    <w:t> </w:t>
                  </w:r>
                  <w:r>
                    <w:rPr>
                      <w:color w:val="231F20"/>
                      <w:w w:val="105"/>
                      <w:sz w:val="18"/>
                    </w:rPr>
                    <w:t>by</w:t>
                  </w:r>
                  <w:r>
                    <w:rPr>
                      <w:color w:val="231F20"/>
                      <w:spacing w:val="-6"/>
                      <w:w w:val="105"/>
                      <w:sz w:val="18"/>
                    </w:rPr>
                    <w:t> </w:t>
                  </w:r>
                  <w:r>
                    <w:rPr>
                      <w:color w:val="231F20"/>
                      <w:w w:val="105"/>
                      <w:sz w:val="18"/>
                    </w:rPr>
                    <w:t>intrinsic</w:t>
                  </w:r>
                  <w:r>
                    <w:rPr>
                      <w:color w:val="231F20"/>
                      <w:spacing w:val="-5"/>
                      <w:w w:val="105"/>
                      <w:sz w:val="18"/>
                    </w:rPr>
                    <w:t> </w:t>
                  </w:r>
                  <w:r>
                    <w:rPr>
                      <w:color w:val="231F20"/>
                      <w:w w:val="105"/>
                      <w:sz w:val="18"/>
                    </w:rPr>
                    <w:t>tone</w:t>
                  </w:r>
                  <w:r>
                    <w:rPr>
                      <w:color w:val="231F20"/>
                      <w:spacing w:val="-5"/>
                      <w:w w:val="105"/>
                      <w:sz w:val="18"/>
                    </w:rPr>
                    <w:t> </w:t>
                  </w:r>
                  <w:r>
                    <w:rPr>
                      <w:color w:val="231F20"/>
                      <w:w w:val="105"/>
                      <w:sz w:val="18"/>
                    </w:rPr>
                    <w:t>of</w:t>
                  </w:r>
                  <w:r>
                    <w:rPr>
                      <w:color w:val="231F20"/>
                      <w:spacing w:val="-5"/>
                      <w:w w:val="105"/>
                      <w:sz w:val="18"/>
                    </w:rPr>
                    <w:t> </w:t>
                  </w:r>
                  <w:r>
                    <w:rPr>
                      <w:color w:val="231F20"/>
                      <w:w w:val="105"/>
                      <w:sz w:val="18"/>
                    </w:rPr>
                    <w:t>the</w:t>
                  </w:r>
                  <w:r>
                    <w:rPr>
                      <w:color w:val="231F20"/>
                      <w:spacing w:val="-5"/>
                      <w:w w:val="105"/>
                      <w:sz w:val="18"/>
                    </w:rPr>
                    <w:t> </w:t>
                  </w:r>
                  <w:r>
                    <w:rPr>
                      <w:color w:val="231F20"/>
                      <w:w w:val="105"/>
                      <w:sz w:val="18"/>
                    </w:rPr>
                    <w:t>bladder</w:t>
                  </w:r>
                  <w:r>
                    <w:rPr>
                      <w:color w:val="231F20"/>
                      <w:spacing w:val="-6"/>
                      <w:w w:val="105"/>
                      <w:sz w:val="18"/>
                    </w:rPr>
                    <w:t> </w:t>
                  </w:r>
                  <w:r>
                    <w:rPr>
                      <w:color w:val="231F20"/>
                      <w:w w:val="105"/>
                      <w:sz w:val="18"/>
                    </w:rPr>
                    <w:t>wall. Beyond 300 to 400 milliliters, collection of more urine</w:t>
                  </w:r>
                  <w:r>
                    <w:rPr>
                      <w:color w:val="231F20"/>
                      <w:spacing w:val="-26"/>
                      <w:w w:val="105"/>
                      <w:sz w:val="18"/>
                    </w:rPr>
                    <w:t> </w:t>
                  </w:r>
                  <w:r>
                    <w:rPr>
                      <w:color w:val="231F20"/>
                      <w:w w:val="105"/>
                      <w:sz w:val="18"/>
                    </w:rPr>
                    <w:t>in the bladder causes the pressure to rise</w:t>
                  </w:r>
                  <w:r>
                    <w:rPr>
                      <w:color w:val="231F20"/>
                      <w:spacing w:val="4"/>
                      <w:w w:val="105"/>
                      <w:sz w:val="18"/>
                    </w:rPr>
                    <w:t> </w:t>
                  </w:r>
                  <w:r>
                    <w:rPr>
                      <w:color w:val="231F20"/>
                      <w:w w:val="105"/>
                      <w:sz w:val="18"/>
                    </w:rPr>
                    <w:t>rapidly.</w:t>
                  </w:r>
                </w:p>
              </w:txbxContent>
            </v:textbox>
            <v:fill type="solid"/>
            <w10:wrap type="topAndBottom"/>
          </v:shape>
        </w:pict>
      </w:r>
    </w:p>
    <w:p>
      <w:pPr>
        <w:spacing w:after="0"/>
        <w:rPr>
          <w:sz w:val="27"/>
        </w:rPr>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351"/>
          <w:footerReference w:type="even" r:id="rId352"/>
          <w:footerReference w:type="default" r:id="rId353"/>
          <w:pgSz w:w="12240" w:h="15660"/>
          <w:pgMar w:header="0" w:footer="567" w:top="720" w:bottom="760" w:left="0" w:right="0"/>
          <w:pgNumType w:start="330"/>
        </w:sectPr>
      </w:pPr>
    </w:p>
    <w:p>
      <w:pPr>
        <w:pStyle w:val="BodyText"/>
        <w:spacing w:before="1"/>
        <w:rPr>
          <w:sz w:val="12"/>
        </w:rPr>
      </w:pPr>
    </w:p>
    <w:p>
      <w:pPr>
        <w:pStyle w:val="BodyText"/>
        <w:ind w:left="1080" w:right="-58"/>
      </w:pPr>
      <w:r>
        <w:rPr/>
        <w:pict>
          <v:shape style="width:234pt;height:90pt;mso-position-horizontal-relative:char;mso-position-vertical-relative:line" type="#_x0000_t202" filled="true" fillcolor="#f0eef6" stroked="false">
            <w10:anchorlock/>
            <v:textbox inset="0,0,0,0">
              <w:txbxContent>
                <w:p>
                  <w:pPr>
                    <w:spacing w:line="254" w:lineRule="auto" w:before="126"/>
                    <w:ind w:left="180" w:right="177" w:firstLine="240"/>
                    <w:jc w:val="both"/>
                    <w:rPr>
                      <w:sz w:val="18"/>
                    </w:rPr>
                  </w:pPr>
                  <w:r>
                    <w:rPr>
                      <w:color w:val="231F20"/>
                      <w:w w:val="105"/>
                      <w:sz w:val="18"/>
                    </w:rPr>
                    <w:t>Superimposed on the tonic pressure changes during filling of the bladder are periodic acute increases in pres- sure that last from a few seconds to more than a minute. The</w:t>
                  </w:r>
                  <w:r>
                    <w:rPr>
                      <w:color w:val="231F20"/>
                      <w:spacing w:val="-27"/>
                      <w:w w:val="105"/>
                      <w:sz w:val="18"/>
                    </w:rPr>
                    <w:t> </w:t>
                  </w:r>
                  <w:r>
                    <w:rPr>
                      <w:color w:val="231F20"/>
                      <w:w w:val="105"/>
                      <w:sz w:val="18"/>
                    </w:rPr>
                    <w:t>pressure</w:t>
                  </w:r>
                  <w:r>
                    <w:rPr>
                      <w:color w:val="231F20"/>
                      <w:spacing w:val="-26"/>
                      <w:w w:val="105"/>
                      <w:sz w:val="18"/>
                    </w:rPr>
                    <w:t> </w:t>
                  </w:r>
                  <w:r>
                    <w:rPr>
                      <w:color w:val="231F20"/>
                      <w:w w:val="105"/>
                      <w:sz w:val="18"/>
                    </w:rPr>
                    <w:t>peaks</w:t>
                  </w:r>
                  <w:r>
                    <w:rPr>
                      <w:color w:val="231F20"/>
                      <w:spacing w:val="-26"/>
                      <w:w w:val="105"/>
                      <w:sz w:val="18"/>
                    </w:rPr>
                    <w:t> </w:t>
                  </w:r>
                  <w:r>
                    <w:rPr>
                      <w:color w:val="231F20"/>
                      <w:w w:val="105"/>
                      <w:sz w:val="18"/>
                    </w:rPr>
                    <w:t>may</w:t>
                  </w:r>
                  <w:r>
                    <w:rPr>
                      <w:color w:val="231F20"/>
                      <w:spacing w:val="-26"/>
                      <w:w w:val="105"/>
                      <w:sz w:val="18"/>
                    </w:rPr>
                    <w:t> </w:t>
                  </w:r>
                  <w:r>
                    <w:rPr>
                      <w:color w:val="231F20"/>
                      <w:w w:val="105"/>
                      <w:sz w:val="18"/>
                    </w:rPr>
                    <w:t>rise</w:t>
                  </w:r>
                  <w:r>
                    <w:rPr>
                      <w:color w:val="231F20"/>
                      <w:spacing w:val="-26"/>
                      <w:w w:val="105"/>
                      <w:sz w:val="18"/>
                    </w:rPr>
                    <w:t> </w:t>
                  </w:r>
                  <w:r>
                    <w:rPr>
                      <w:color w:val="231F20"/>
                      <w:w w:val="105"/>
                      <w:sz w:val="18"/>
                    </w:rPr>
                    <w:t>only</w:t>
                  </w:r>
                  <w:r>
                    <w:rPr>
                      <w:color w:val="231F20"/>
                      <w:spacing w:val="-26"/>
                      <w:w w:val="105"/>
                      <w:sz w:val="18"/>
                    </w:rPr>
                    <w:t> </w:t>
                  </w:r>
                  <w:r>
                    <w:rPr>
                      <w:color w:val="231F20"/>
                      <w:w w:val="105"/>
                      <w:sz w:val="18"/>
                    </w:rPr>
                    <w:t>a</w:t>
                  </w:r>
                  <w:r>
                    <w:rPr>
                      <w:color w:val="231F20"/>
                      <w:spacing w:val="-27"/>
                      <w:w w:val="105"/>
                      <w:sz w:val="18"/>
                    </w:rPr>
                    <w:t> </w:t>
                  </w:r>
                  <w:r>
                    <w:rPr>
                      <w:color w:val="231F20"/>
                      <w:w w:val="105"/>
                      <w:sz w:val="18"/>
                    </w:rPr>
                    <w:t>few</w:t>
                  </w:r>
                  <w:r>
                    <w:rPr>
                      <w:color w:val="231F20"/>
                      <w:spacing w:val="-26"/>
                      <w:w w:val="105"/>
                      <w:sz w:val="18"/>
                    </w:rPr>
                    <w:t> </w:t>
                  </w:r>
                  <w:r>
                    <w:rPr>
                      <w:color w:val="231F20"/>
                      <w:w w:val="105"/>
                      <w:sz w:val="18"/>
                    </w:rPr>
                    <w:t>centimeters</w:t>
                  </w:r>
                  <w:r>
                    <w:rPr>
                      <w:color w:val="231F20"/>
                      <w:spacing w:val="-26"/>
                      <w:w w:val="105"/>
                      <w:sz w:val="18"/>
                    </w:rPr>
                    <w:t> </w:t>
                  </w:r>
                  <w:r>
                    <w:rPr>
                      <w:color w:val="231F20"/>
                      <w:w w:val="105"/>
                      <w:sz w:val="18"/>
                    </w:rPr>
                    <w:t>of</w:t>
                  </w:r>
                  <w:r>
                    <w:rPr>
                      <w:color w:val="231F20"/>
                      <w:spacing w:val="-26"/>
                      <w:w w:val="105"/>
                      <w:sz w:val="18"/>
                    </w:rPr>
                    <w:t> </w:t>
                  </w:r>
                  <w:r>
                    <w:rPr>
                      <w:color w:val="231F20"/>
                      <w:w w:val="105"/>
                      <w:sz w:val="18"/>
                    </w:rPr>
                    <w:t>water or may rise to more than 100 centimeters of </w:t>
                  </w:r>
                  <w:r>
                    <w:rPr>
                      <w:color w:val="231F20"/>
                      <w:spacing w:val="-3"/>
                      <w:w w:val="105"/>
                      <w:sz w:val="18"/>
                    </w:rPr>
                    <w:t>water. </w:t>
                  </w:r>
                  <w:r>
                    <w:rPr>
                      <w:color w:val="231F20"/>
                      <w:w w:val="105"/>
                      <w:sz w:val="18"/>
                    </w:rPr>
                    <w:t>These pressure peaks are called </w:t>
                  </w:r>
                  <w:r>
                    <w:rPr>
                      <w:i/>
                      <w:color w:val="231F20"/>
                      <w:w w:val="105"/>
                      <w:sz w:val="18"/>
                    </w:rPr>
                    <w:t>micturition waves </w:t>
                  </w:r>
                  <w:r>
                    <w:rPr>
                      <w:color w:val="231F20"/>
                      <w:w w:val="105"/>
                      <w:sz w:val="18"/>
                    </w:rPr>
                    <w:t>in the cysto- metrogram and are caused by the micturition reflex.</w:t>
                  </w:r>
                </w:p>
              </w:txbxContent>
            </v:textbox>
            <v:fill type="solid"/>
          </v:shape>
        </w:pict>
      </w:r>
      <w:r>
        <w:rPr/>
      </w:r>
    </w:p>
    <w:p>
      <w:pPr>
        <w:pStyle w:val="BodyText"/>
        <w:spacing w:before="1"/>
        <w:rPr>
          <w:sz w:val="34"/>
        </w:rPr>
      </w:pPr>
    </w:p>
    <w:p>
      <w:pPr>
        <w:pStyle w:val="Heading2"/>
        <w:spacing w:before="1"/>
        <w:ind w:left="1080"/>
      </w:pPr>
      <w:r>
        <w:rPr>
          <w:color w:val="231F20"/>
        </w:rPr>
        <w:t>MICTURITION REFLEX</w:t>
      </w:r>
    </w:p>
    <w:p>
      <w:pPr>
        <w:pStyle w:val="BodyText"/>
        <w:spacing w:line="249" w:lineRule="auto" w:before="137"/>
        <w:ind w:left="1072"/>
        <w:jc w:val="right"/>
      </w:pPr>
      <w:r>
        <w:rPr/>
        <w:pict>
          <v:rect style="position:absolute;margin-left:0pt;margin-top:14.835962pt;width:36pt;height:24pt;mso-position-horizontal-relative:page;mso-position-vertical-relative:paragraph;z-index:251874304" filled="true" fillcolor="#e8dac8" stroked="false">
            <v:fill type="solid"/>
            <w10:wrap type="none"/>
          </v:rect>
        </w:pict>
      </w:r>
      <w:r>
        <w:rPr>
          <w:color w:val="231F20"/>
        </w:rPr>
        <w:t>Referring</w:t>
      </w:r>
      <w:r>
        <w:rPr>
          <w:color w:val="231F20"/>
          <w:spacing w:val="30"/>
        </w:rPr>
        <w:t> </w:t>
      </w:r>
      <w:r>
        <w:rPr>
          <w:color w:val="231F20"/>
        </w:rPr>
        <w:t>again</w:t>
      </w:r>
      <w:r>
        <w:rPr>
          <w:color w:val="231F20"/>
          <w:spacing w:val="30"/>
        </w:rPr>
        <w:t> </w:t>
      </w:r>
      <w:r>
        <w:rPr>
          <w:color w:val="231F20"/>
        </w:rPr>
        <w:t>to</w:t>
      </w:r>
      <w:r>
        <w:rPr>
          <w:color w:val="231F20"/>
          <w:spacing w:val="30"/>
        </w:rPr>
        <w:t> </w:t>
      </w:r>
      <w:hyperlink w:history="true" w:anchor="_bookmark19">
        <w:r>
          <w:rPr>
            <w:b/>
            <w:color w:val="0080AC"/>
          </w:rPr>
          <w:t>Figure</w:t>
        </w:r>
        <w:r>
          <w:rPr>
            <w:b/>
            <w:color w:val="0080AC"/>
            <w:spacing w:val="27"/>
          </w:rPr>
          <w:t> </w:t>
        </w:r>
        <w:r>
          <w:rPr>
            <w:b/>
            <w:color w:val="0080AC"/>
          </w:rPr>
          <w:t>26-8</w:t>
        </w:r>
      </w:hyperlink>
      <w:r>
        <w:rPr>
          <w:color w:val="231F20"/>
        </w:rPr>
        <w:t>,</w:t>
      </w:r>
      <w:r>
        <w:rPr>
          <w:color w:val="231F20"/>
          <w:spacing w:val="30"/>
        </w:rPr>
        <w:t> </w:t>
      </w:r>
      <w:r>
        <w:rPr>
          <w:color w:val="231F20"/>
        </w:rPr>
        <w:t>one</w:t>
      </w:r>
      <w:r>
        <w:rPr>
          <w:color w:val="231F20"/>
          <w:spacing w:val="30"/>
        </w:rPr>
        <w:t> </w:t>
      </w:r>
      <w:r>
        <w:rPr>
          <w:color w:val="231F20"/>
        </w:rPr>
        <w:t>can</w:t>
      </w:r>
      <w:r>
        <w:rPr>
          <w:color w:val="231F20"/>
          <w:spacing w:val="31"/>
        </w:rPr>
        <w:t> </w:t>
      </w:r>
      <w:r>
        <w:rPr>
          <w:color w:val="231F20"/>
        </w:rPr>
        <w:t>see</w:t>
      </w:r>
      <w:r>
        <w:rPr>
          <w:color w:val="231F20"/>
          <w:spacing w:val="30"/>
        </w:rPr>
        <w:t> </w:t>
      </w:r>
      <w:r>
        <w:rPr>
          <w:color w:val="231F20"/>
        </w:rPr>
        <w:t>that</w:t>
      </w:r>
      <w:r>
        <w:rPr>
          <w:color w:val="231F20"/>
          <w:spacing w:val="30"/>
        </w:rPr>
        <w:t> </w:t>
      </w:r>
      <w:r>
        <w:rPr>
          <w:color w:val="231F20"/>
        </w:rPr>
        <w:t>as</w:t>
      </w:r>
      <w:r>
        <w:rPr>
          <w:color w:val="231F20"/>
          <w:spacing w:val="30"/>
        </w:rPr>
        <w:t> </w:t>
      </w:r>
      <w:r>
        <w:rPr>
          <w:color w:val="231F20"/>
        </w:rPr>
        <w:t>the</w:t>
      </w:r>
      <w:r>
        <w:rPr>
          <w:color w:val="231F20"/>
          <w:w w:val="104"/>
        </w:rPr>
        <w:t> </w:t>
      </w:r>
      <w:r>
        <w:rPr>
          <w:color w:val="231F20"/>
        </w:rPr>
        <w:t>bladder fills, many superimposed</w:t>
      </w:r>
      <w:r>
        <w:rPr>
          <w:color w:val="231F20"/>
          <w:spacing w:val="4"/>
        </w:rPr>
        <w:t> </w:t>
      </w:r>
      <w:r>
        <w:rPr>
          <w:i/>
          <w:color w:val="231F20"/>
        </w:rPr>
        <w:t>micturition</w:t>
      </w:r>
      <w:r>
        <w:rPr>
          <w:i/>
          <w:color w:val="231F20"/>
          <w:spacing w:val="1"/>
        </w:rPr>
        <w:t> </w:t>
      </w:r>
      <w:r>
        <w:rPr>
          <w:i/>
          <w:color w:val="231F20"/>
        </w:rPr>
        <w:t>contractions</w:t>
      </w:r>
      <w:r>
        <w:rPr>
          <w:i/>
          <w:color w:val="231F20"/>
          <w:w w:val="89"/>
        </w:rPr>
        <w:t> </w:t>
      </w:r>
      <w:r>
        <w:rPr>
          <w:color w:val="231F20"/>
        </w:rPr>
        <w:t>begin</w:t>
      </w:r>
      <w:r>
        <w:rPr>
          <w:color w:val="231F20"/>
          <w:spacing w:val="11"/>
        </w:rPr>
        <w:t> </w:t>
      </w:r>
      <w:r>
        <w:rPr>
          <w:color w:val="231F20"/>
        </w:rPr>
        <w:t>to</w:t>
      </w:r>
      <w:r>
        <w:rPr>
          <w:color w:val="231F20"/>
          <w:spacing w:val="11"/>
        </w:rPr>
        <w:t> </w:t>
      </w:r>
      <w:r>
        <w:rPr>
          <w:color w:val="231F20"/>
          <w:spacing w:val="-3"/>
        </w:rPr>
        <w:t>appear,</w:t>
      </w:r>
      <w:r>
        <w:rPr>
          <w:color w:val="231F20"/>
          <w:spacing w:val="11"/>
        </w:rPr>
        <w:t> </w:t>
      </w:r>
      <w:r>
        <w:rPr>
          <w:color w:val="231F20"/>
        </w:rPr>
        <w:t>as</w:t>
      </w:r>
      <w:r>
        <w:rPr>
          <w:color w:val="231F20"/>
          <w:spacing w:val="11"/>
        </w:rPr>
        <w:t> </w:t>
      </w:r>
      <w:r>
        <w:rPr>
          <w:color w:val="231F20"/>
        </w:rPr>
        <w:t>shown</w:t>
      </w:r>
      <w:r>
        <w:rPr>
          <w:color w:val="231F20"/>
          <w:spacing w:val="11"/>
        </w:rPr>
        <w:t> </w:t>
      </w:r>
      <w:r>
        <w:rPr>
          <w:color w:val="231F20"/>
        </w:rPr>
        <w:t>by</w:t>
      </w:r>
      <w:r>
        <w:rPr>
          <w:color w:val="231F20"/>
          <w:spacing w:val="11"/>
        </w:rPr>
        <w:t> </w:t>
      </w:r>
      <w:r>
        <w:rPr>
          <w:color w:val="231F20"/>
        </w:rPr>
        <w:t>the</w:t>
      </w:r>
      <w:r>
        <w:rPr>
          <w:color w:val="231F20"/>
          <w:spacing w:val="11"/>
        </w:rPr>
        <w:t> </w:t>
      </w:r>
      <w:r>
        <w:rPr>
          <w:color w:val="231F20"/>
        </w:rPr>
        <w:t>dashed</w:t>
      </w:r>
      <w:r>
        <w:rPr>
          <w:color w:val="231F20"/>
          <w:spacing w:val="11"/>
        </w:rPr>
        <w:t> </w:t>
      </w:r>
      <w:r>
        <w:rPr>
          <w:color w:val="231F20"/>
        </w:rPr>
        <w:t>spikes.</w:t>
      </w:r>
      <w:r>
        <w:rPr>
          <w:color w:val="231F20"/>
          <w:spacing w:val="11"/>
        </w:rPr>
        <w:t> </w:t>
      </w:r>
      <w:r>
        <w:rPr>
          <w:color w:val="231F20"/>
        </w:rPr>
        <w:t>They</w:t>
      </w:r>
      <w:r>
        <w:rPr>
          <w:color w:val="231F20"/>
          <w:spacing w:val="11"/>
        </w:rPr>
        <w:t> </w:t>
      </w:r>
      <w:r>
        <w:rPr>
          <w:color w:val="231F20"/>
        </w:rPr>
        <w:t>are</w:t>
      </w:r>
      <w:r>
        <w:rPr>
          <w:color w:val="231F20"/>
          <w:w w:val="100"/>
        </w:rPr>
        <w:t> </w:t>
      </w:r>
      <w:r>
        <w:rPr>
          <w:color w:val="231F20"/>
        </w:rPr>
        <w:t>the</w:t>
      </w:r>
      <w:r>
        <w:rPr>
          <w:color w:val="231F20"/>
          <w:spacing w:val="29"/>
        </w:rPr>
        <w:t> </w:t>
      </w:r>
      <w:r>
        <w:rPr>
          <w:color w:val="231F20"/>
        </w:rPr>
        <w:t>result</w:t>
      </w:r>
      <w:r>
        <w:rPr>
          <w:color w:val="231F20"/>
          <w:spacing w:val="29"/>
        </w:rPr>
        <w:t> </w:t>
      </w:r>
      <w:r>
        <w:rPr>
          <w:color w:val="231F20"/>
        </w:rPr>
        <w:t>of</w:t>
      </w:r>
      <w:r>
        <w:rPr>
          <w:color w:val="231F20"/>
          <w:spacing w:val="29"/>
        </w:rPr>
        <w:t> </w:t>
      </w:r>
      <w:r>
        <w:rPr>
          <w:color w:val="231F20"/>
        </w:rPr>
        <w:t>a</w:t>
      </w:r>
      <w:r>
        <w:rPr>
          <w:color w:val="231F20"/>
          <w:spacing w:val="30"/>
        </w:rPr>
        <w:t> </w:t>
      </w:r>
      <w:r>
        <w:rPr>
          <w:color w:val="231F20"/>
        </w:rPr>
        <w:t>stretch</w:t>
      </w:r>
      <w:r>
        <w:rPr>
          <w:color w:val="231F20"/>
          <w:spacing w:val="29"/>
        </w:rPr>
        <w:t> </w:t>
      </w:r>
      <w:r>
        <w:rPr>
          <w:color w:val="231F20"/>
        </w:rPr>
        <w:t>reflex</w:t>
      </w:r>
      <w:r>
        <w:rPr>
          <w:color w:val="231F20"/>
          <w:spacing w:val="29"/>
        </w:rPr>
        <w:t> </w:t>
      </w:r>
      <w:r>
        <w:rPr>
          <w:color w:val="231F20"/>
        </w:rPr>
        <w:t>initiated</w:t>
      </w:r>
      <w:r>
        <w:rPr>
          <w:color w:val="231F20"/>
          <w:spacing w:val="30"/>
        </w:rPr>
        <w:t> </w:t>
      </w:r>
      <w:r>
        <w:rPr>
          <w:color w:val="231F20"/>
        </w:rPr>
        <w:t>by</w:t>
      </w:r>
      <w:r>
        <w:rPr>
          <w:color w:val="231F20"/>
          <w:spacing w:val="29"/>
        </w:rPr>
        <w:t> </w:t>
      </w:r>
      <w:r>
        <w:rPr>
          <w:i/>
          <w:color w:val="231F20"/>
        </w:rPr>
        <w:t>sensory</w:t>
      </w:r>
      <w:r>
        <w:rPr>
          <w:i/>
          <w:color w:val="231F20"/>
          <w:spacing w:val="29"/>
        </w:rPr>
        <w:t> </w:t>
      </w:r>
      <w:r>
        <w:rPr>
          <w:i/>
          <w:color w:val="231F20"/>
        </w:rPr>
        <w:t>stretch</w:t>
      </w:r>
      <w:r>
        <w:rPr>
          <w:i/>
          <w:color w:val="231F20"/>
          <w:w w:val="105"/>
        </w:rPr>
        <w:t> </w:t>
      </w:r>
      <w:r>
        <w:rPr>
          <w:i/>
          <w:color w:val="231F20"/>
        </w:rPr>
        <w:t>receptors</w:t>
      </w:r>
      <w:r>
        <w:rPr>
          <w:i/>
          <w:color w:val="231F20"/>
          <w:spacing w:val="20"/>
        </w:rPr>
        <w:t> </w:t>
      </w:r>
      <w:r>
        <w:rPr>
          <w:color w:val="231F20"/>
        </w:rPr>
        <w:t>in</w:t>
      </w:r>
      <w:r>
        <w:rPr>
          <w:color w:val="231F20"/>
          <w:spacing w:val="20"/>
        </w:rPr>
        <w:t> </w:t>
      </w:r>
      <w:r>
        <w:rPr>
          <w:color w:val="231F20"/>
        </w:rPr>
        <w:t>the</w:t>
      </w:r>
      <w:r>
        <w:rPr>
          <w:color w:val="231F20"/>
          <w:spacing w:val="20"/>
        </w:rPr>
        <w:t> </w:t>
      </w:r>
      <w:r>
        <w:rPr>
          <w:color w:val="231F20"/>
        </w:rPr>
        <w:t>bladder</w:t>
      </w:r>
      <w:r>
        <w:rPr>
          <w:color w:val="231F20"/>
          <w:spacing w:val="20"/>
        </w:rPr>
        <w:t> </w:t>
      </w:r>
      <w:r>
        <w:rPr>
          <w:color w:val="231F20"/>
        </w:rPr>
        <w:t>wall,</w:t>
      </w:r>
      <w:r>
        <w:rPr>
          <w:color w:val="231F20"/>
          <w:spacing w:val="20"/>
        </w:rPr>
        <w:t> </w:t>
      </w:r>
      <w:r>
        <w:rPr>
          <w:color w:val="231F20"/>
        </w:rPr>
        <w:t>especially</w:t>
      </w:r>
      <w:r>
        <w:rPr>
          <w:color w:val="231F20"/>
          <w:spacing w:val="21"/>
        </w:rPr>
        <w:t> </w:t>
      </w:r>
      <w:r>
        <w:rPr>
          <w:color w:val="231F20"/>
        </w:rPr>
        <w:t>by</w:t>
      </w:r>
      <w:r>
        <w:rPr>
          <w:color w:val="231F20"/>
          <w:spacing w:val="20"/>
        </w:rPr>
        <w:t> </w:t>
      </w:r>
      <w:r>
        <w:rPr>
          <w:color w:val="231F20"/>
        </w:rPr>
        <w:t>the</w:t>
      </w:r>
      <w:r>
        <w:rPr>
          <w:color w:val="231F20"/>
          <w:spacing w:val="20"/>
        </w:rPr>
        <w:t> </w:t>
      </w:r>
      <w:r>
        <w:rPr>
          <w:color w:val="231F20"/>
          <w:spacing w:val="-3"/>
        </w:rPr>
        <w:t>receptors</w:t>
      </w:r>
      <w:r>
        <w:rPr>
          <w:color w:val="231F20"/>
          <w:w w:val="104"/>
        </w:rPr>
        <w:t> </w:t>
      </w:r>
      <w:r>
        <w:rPr>
          <w:color w:val="231F20"/>
        </w:rPr>
        <w:t>in</w:t>
      </w:r>
      <w:r>
        <w:rPr>
          <w:color w:val="231F20"/>
          <w:spacing w:val="16"/>
        </w:rPr>
        <w:t> </w:t>
      </w:r>
      <w:r>
        <w:rPr>
          <w:color w:val="231F20"/>
        </w:rPr>
        <w:t>the</w:t>
      </w:r>
      <w:r>
        <w:rPr>
          <w:color w:val="231F20"/>
          <w:spacing w:val="17"/>
        </w:rPr>
        <w:t> </w:t>
      </w:r>
      <w:r>
        <w:rPr>
          <w:color w:val="231F20"/>
        </w:rPr>
        <w:t>posterior</w:t>
      </w:r>
      <w:r>
        <w:rPr>
          <w:color w:val="231F20"/>
          <w:spacing w:val="17"/>
        </w:rPr>
        <w:t> </w:t>
      </w:r>
      <w:r>
        <w:rPr>
          <w:color w:val="231F20"/>
        </w:rPr>
        <w:t>urethra</w:t>
      </w:r>
      <w:r>
        <w:rPr>
          <w:color w:val="231F20"/>
          <w:spacing w:val="16"/>
        </w:rPr>
        <w:t> </w:t>
      </w:r>
      <w:r>
        <w:rPr>
          <w:color w:val="231F20"/>
        </w:rPr>
        <w:t>when</w:t>
      </w:r>
      <w:r>
        <w:rPr>
          <w:color w:val="231F20"/>
          <w:spacing w:val="17"/>
        </w:rPr>
        <w:t> </w:t>
      </w:r>
      <w:r>
        <w:rPr>
          <w:color w:val="231F20"/>
        </w:rPr>
        <w:t>this</w:t>
      </w:r>
      <w:r>
        <w:rPr>
          <w:color w:val="231F20"/>
          <w:spacing w:val="17"/>
        </w:rPr>
        <w:t> </w:t>
      </w:r>
      <w:r>
        <w:rPr>
          <w:color w:val="231F20"/>
        </w:rPr>
        <w:t>area</w:t>
      </w:r>
      <w:r>
        <w:rPr>
          <w:color w:val="231F20"/>
          <w:spacing w:val="16"/>
        </w:rPr>
        <w:t> </w:t>
      </w:r>
      <w:r>
        <w:rPr>
          <w:color w:val="231F20"/>
        </w:rPr>
        <w:t>begins</w:t>
      </w:r>
      <w:r>
        <w:rPr>
          <w:color w:val="231F20"/>
          <w:spacing w:val="17"/>
        </w:rPr>
        <w:t> </w:t>
      </w:r>
      <w:r>
        <w:rPr>
          <w:color w:val="231F20"/>
        </w:rPr>
        <w:t>to</w:t>
      </w:r>
      <w:r>
        <w:rPr>
          <w:color w:val="231F20"/>
          <w:spacing w:val="17"/>
        </w:rPr>
        <w:t> </w:t>
      </w:r>
      <w:r>
        <w:rPr>
          <w:color w:val="231F20"/>
        </w:rPr>
        <w:t>fill</w:t>
      </w:r>
      <w:r>
        <w:rPr>
          <w:color w:val="231F20"/>
          <w:spacing w:val="16"/>
        </w:rPr>
        <w:t> </w:t>
      </w:r>
      <w:r>
        <w:rPr>
          <w:color w:val="231F20"/>
        </w:rPr>
        <w:t>with</w:t>
      </w:r>
      <w:r>
        <w:rPr>
          <w:color w:val="231F20"/>
          <w:w w:val="108"/>
        </w:rPr>
        <w:t> </w:t>
      </w:r>
      <w:r>
        <w:rPr>
          <w:color w:val="231F20"/>
        </w:rPr>
        <w:t>urine at the higher bladder pressures.</w:t>
      </w:r>
      <w:r>
        <w:rPr>
          <w:color w:val="231F20"/>
          <w:spacing w:val="6"/>
        </w:rPr>
        <w:t> </w:t>
      </w:r>
      <w:r>
        <w:rPr>
          <w:color w:val="231F20"/>
        </w:rPr>
        <w:t>Sensory </w:t>
      </w:r>
      <w:r>
        <w:rPr>
          <w:color w:val="231F20"/>
          <w:spacing w:val="9"/>
        </w:rPr>
        <w:t> </w:t>
      </w:r>
      <w:r>
        <w:rPr>
          <w:color w:val="231F20"/>
        </w:rPr>
        <w:t>signals</w:t>
      </w:r>
      <w:r>
        <w:rPr>
          <w:color w:val="231F20"/>
          <w:w w:val="101"/>
        </w:rPr>
        <w:t> </w:t>
      </w:r>
      <w:r>
        <w:rPr>
          <w:color w:val="231F20"/>
        </w:rPr>
        <w:t>from</w:t>
      </w:r>
      <w:r>
        <w:rPr>
          <w:color w:val="231F20"/>
          <w:spacing w:val="37"/>
        </w:rPr>
        <w:t> </w:t>
      </w:r>
      <w:r>
        <w:rPr>
          <w:color w:val="231F20"/>
        </w:rPr>
        <w:t>the</w:t>
      </w:r>
      <w:r>
        <w:rPr>
          <w:color w:val="231F20"/>
          <w:spacing w:val="37"/>
        </w:rPr>
        <w:t> </w:t>
      </w:r>
      <w:r>
        <w:rPr>
          <w:color w:val="231F20"/>
        </w:rPr>
        <w:t>bladder</w:t>
      </w:r>
      <w:r>
        <w:rPr>
          <w:color w:val="231F20"/>
          <w:spacing w:val="38"/>
        </w:rPr>
        <w:t> </w:t>
      </w:r>
      <w:r>
        <w:rPr>
          <w:color w:val="231F20"/>
        </w:rPr>
        <w:t>stretch</w:t>
      </w:r>
      <w:r>
        <w:rPr>
          <w:color w:val="231F20"/>
          <w:spacing w:val="37"/>
        </w:rPr>
        <w:t> </w:t>
      </w:r>
      <w:r>
        <w:rPr>
          <w:color w:val="231F20"/>
        </w:rPr>
        <w:t>receptors</w:t>
      </w:r>
      <w:r>
        <w:rPr>
          <w:color w:val="231F20"/>
          <w:spacing w:val="38"/>
        </w:rPr>
        <w:t> </w:t>
      </w:r>
      <w:r>
        <w:rPr>
          <w:color w:val="231F20"/>
        </w:rPr>
        <w:t>are</w:t>
      </w:r>
      <w:r>
        <w:rPr>
          <w:color w:val="231F20"/>
          <w:spacing w:val="37"/>
        </w:rPr>
        <w:t> </w:t>
      </w:r>
      <w:r>
        <w:rPr>
          <w:color w:val="231F20"/>
        </w:rPr>
        <w:t>conducted</w:t>
      </w:r>
      <w:r>
        <w:rPr>
          <w:color w:val="231F20"/>
          <w:spacing w:val="37"/>
        </w:rPr>
        <w:t> </w:t>
      </w:r>
      <w:r>
        <w:rPr>
          <w:color w:val="231F20"/>
        </w:rPr>
        <w:t>to</w:t>
      </w:r>
      <w:r>
        <w:rPr>
          <w:color w:val="231F20"/>
          <w:spacing w:val="38"/>
        </w:rPr>
        <w:t> </w:t>
      </w:r>
      <w:r>
        <w:rPr>
          <w:color w:val="231F20"/>
        </w:rPr>
        <w:t>the</w:t>
      </w:r>
      <w:r>
        <w:rPr>
          <w:color w:val="231F20"/>
          <w:w w:val="104"/>
        </w:rPr>
        <w:t> </w:t>
      </w:r>
      <w:r>
        <w:rPr>
          <w:color w:val="231F20"/>
        </w:rPr>
        <w:t>sacral</w:t>
      </w:r>
      <w:r>
        <w:rPr>
          <w:color w:val="231F20"/>
          <w:spacing w:val="10"/>
        </w:rPr>
        <w:t> </w:t>
      </w:r>
      <w:r>
        <w:rPr>
          <w:color w:val="231F20"/>
        </w:rPr>
        <w:t>segments</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cord</w:t>
      </w:r>
      <w:r>
        <w:rPr>
          <w:color w:val="231F20"/>
          <w:spacing w:val="10"/>
        </w:rPr>
        <w:t> </w:t>
      </w:r>
      <w:r>
        <w:rPr>
          <w:color w:val="231F20"/>
        </w:rPr>
        <w:t>through</w:t>
      </w:r>
      <w:r>
        <w:rPr>
          <w:color w:val="231F20"/>
          <w:spacing w:val="10"/>
        </w:rPr>
        <w:t> </w:t>
      </w:r>
      <w:r>
        <w:rPr>
          <w:color w:val="231F20"/>
        </w:rPr>
        <w:t>the</w:t>
      </w:r>
      <w:r>
        <w:rPr>
          <w:color w:val="231F20"/>
          <w:spacing w:val="10"/>
        </w:rPr>
        <w:t> </w:t>
      </w:r>
      <w:r>
        <w:rPr>
          <w:i/>
          <w:color w:val="231F20"/>
        </w:rPr>
        <w:t>pelvic</w:t>
      </w:r>
      <w:r>
        <w:rPr>
          <w:i/>
          <w:color w:val="231F20"/>
          <w:spacing w:val="10"/>
        </w:rPr>
        <w:t> </w:t>
      </w:r>
      <w:r>
        <w:rPr>
          <w:i/>
          <w:color w:val="231F20"/>
        </w:rPr>
        <w:t>nerves</w:t>
      </w:r>
      <w:r>
        <w:rPr>
          <w:i/>
          <w:color w:val="231F20"/>
          <w:spacing w:val="10"/>
        </w:rPr>
        <w:t> </w:t>
      </w:r>
      <w:r>
        <w:rPr>
          <w:color w:val="231F20"/>
          <w:spacing w:val="-4"/>
        </w:rPr>
        <w:t>and</w:t>
      </w:r>
      <w:r>
        <w:rPr>
          <w:color w:val="231F20"/>
          <w:w w:val="105"/>
        </w:rPr>
        <w:t> </w:t>
      </w:r>
      <w:r>
        <w:rPr>
          <w:color w:val="231F20"/>
        </w:rPr>
        <w:t>then reflexively back again to the bladder</w:t>
      </w:r>
      <w:r>
        <w:rPr>
          <w:color w:val="231F20"/>
          <w:spacing w:val="34"/>
        </w:rPr>
        <w:t> </w:t>
      </w:r>
      <w:r>
        <w:rPr>
          <w:color w:val="231F20"/>
        </w:rPr>
        <w:t>through</w:t>
      </w:r>
      <w:r>
        <w:rPr>
          <w:color w:val="231F20"/>
          <w:spacing w:val="48"/>
        </w:rPr>
        <w:t> </w:t>
      </w:r>
      <w:r>
        <w:rPr>
          <w:color w:val="231F20"/>
        </w:rPr>
        <w:t>the</w:t>
      </w:r>
      <w:r>
        <w:rPr>
          <w:color w:val="231F20"/>
          <w:w w:val="104"/>
        </w:rPr>
        <w:t> </w:t>
      </w:r>
      <w:r>
        <w:rPr>
          <w:i/>
          <w:color w:val="231F20"/>
        </w:rPr>
        <w:t>parasympathetic</w:t>
      </w:r>
      <w:r>
        <w:rPr>
          <w:i/>
          <w:color w:val="231F20"/>
          <w:spacing w:val="-9"/>
        </w:rPr>
        <w:t> </w:t>
      </w:r>
      <w:r>
        <w:rPr>
          <w:i/>
          <w:color w:val="231F20"/>
        </w:rPr>
        <w:t>nerve</w:t>
      </w:r>
      <w:r>
        <w:rPr>
          <w:i/>
          <w:color w:val="231F20"/>
          <w:spacing w:val="-8"/>
        </w:rPr>
        <w:t> </w:t>
      </w:r>
      <w:r>
        <w:rPr>
          <w:i/>
          <w:color w:val="231F20"/>
        </w:rPr>
        <w:t>fibers</w:t>
      </w:r>
      <w:r>
        <w:rPr>
          <w:i/>
          <w:color w:val="231F20"/>
          <w:spacing w:val="-8"/>
        </w:rPr>
        <w:t> </w:t>
      </w:r>
      <w:r>
        <w:rPr>
          <w:color w:val="231F20"/>
        </w:rPr>
        <w:t>by</w:t>
      </w:r>
      <w:r>
        <w:rPr>
          <w:color w:val="231F20"/>
          <w:spacing w:val="-8"/>
        </w:rPr>
        <w:t> </w:t>
      </w:r>
      <w:r>
        <w:rPr>
          <w:color w:val="231F20"/>
        </w:rPr>
        <w:t>way</w:t>
      </w:r>
      <w:r>
        <w:rPr>
          <w:color w:val="231F20"/>
          <w:spacing w:val="-9"/>
        </w:rPr>
        <w:t> </w:t>
      </w:r>
      <w:r>
        <w:rPr>
          <w:color w:val="231F20"/>
        </w:rPr>
        <w:t>of</w:t>
      </w:r>
      <w:r>
        <w:rPr>
          <w:color w:val="231F20"/>
          <w:spacing w:val="-8"/>
        </w:rPr>
        <w:t> </w:t>
      </w:r>
      <w:r>
        <w:rPr>
          <w:color w:val="231F20"/>
        </w:rPr>
        <w:t>these</w:t>
      </w:r>
      <w:r>
        <w:rPr>
          <w:color w:val="231F20"/>
          <w:spacing w:val="-8"/>
        </w:rPr>
        <w:t> </w:t>
      </w:r>
      <w:r>
        <w:rPr>
          <w:color w:val="231F20"/>
        </w:rPr>
        <w:t>same</w:t>
      </w:r>
      <w:r>
        <w:rPr>
          <w:color w:val="231F20"/>
          <w:spacing w:val="-8"/>
        </w:rPr>
        <w:t> </w:t>
      </w:r>
      <w:r>
        <w:rPr>
          <w:color w:val="231F20"/>
        </w:rPr>
        <w:t>nerves.</w:t>
      </w:r>
      <w:r>
        <w:rPr>
          <w:color w:val="231F20"/>
          <w:w w:val="88"/>
        </w:rPr>
        <w:t> </w:t>
      </w:r>
      <w:r>
        <w:rPr>
          <w:color w:val="231F20"/>
        </w:rPr>
        <w:t>When the bladder is only partially filled,</w:t>
      </w:r>
      <w:r>
        <w:rPr>
          <w:color w:val="231F20"/>
          <w:spacing w:val="24"/>
        </w:rPr>
        <w:t> </w:t>
      </w:r>
      <w:r>
        <w:rPr>
          <w:color w:val="231F20"/>
        </w:rPr>
        <w:t>these</w:t>
      </w:r>
      <w:r>
        <w:rPr>
          <w:color w:val="231F20"/>
          <w:spacing w:val="3"/>
        </w:rPr>
        <w:t> </w:t>
      </w:r>
      <w:r>
        <w:rPr>
          <w:color w:val="231F20"/>
        </w:rPr>
        <w:t>micturi-</w:t>
      </w:r>
      <w:r>
        <w:rPr>
          <w:color w:val="231F20"/>
          <w:w w:val="109"/>
        </w:rPr>
        <w:t> </w:t>
      </w:r>
      <w:r>
        <w:rPr>
          <w:color w:val="231F20"/>
        </w:rPr>
        <w:t>tion</w:t>
      </w:r>
      <w:r>
        <w:rPr>
          <w:color w:val="231F20"/>
          <w:spacing w:val="12"/>
        </w:rPr>
        <w:t> </w:t>
      </w:r>
      <w:r>
        <w:rPr>
          <w:color w:val="231F20"/>
        </w:rPr>
        <w:t>contractions</w:t>
      </w:r>
      <w:r>
        <w:rPr>
          <w:color w:val="231F20"/>
          <w:spacing w:val="13"/>
        </w:rPr>
        <w:t> </w:t>
      </w:r>
      <w:r>
        <w:rPr>
          <w:color w:val="231F20"/>
        </w:rPr>
        <w:t>usually</w:t>
      </w:r>
      <w:r>
        <w:rPr>
          <w:color w:val="231F20"/>
          <w:spacing w:val="12"/>
        </w:rPr>
        <w:t> </w:t>
      </w:r>
      <w:r>
        <w:rPr>
          <w:color w:val="231F20"/>
        </w:rPr>
        <w:t>relax</w:t>
      </w:r>
      <w:r>
        <w:rPr>
          <w:color w:val="231F20"/>
          <w:spacing w:val="13"/>
        </w:rPr>
        <w:t> </w:t>
      </w:r>
      <w:r>
        <w:rPr>
          <w:color w:val="231F20"/>
        </w:rPr>
        <w:t>spontaneously</w:t>
      </w:r>
      <w:r>
        <w:rPr>
          <w:color w:val="231F20"/>
          <w:spacing w:val="12"/>
        </w:rPr>
        <w:t> </w:t>
      </w:r>
      <w:r>
        <w:rPr>
          <w:color w:val="231F20"/>
        </w:rPr>
        <w:t>after</w:t>
      </w:r>
      <w:r>
        <w:rPr>
          <w:color w:val="231F20"/>
          <w:spacing w:val="13"/>
        </w:rPr>
        <w:t> </w:t>
      </w:r>
      <w:r>
        <w:rPr>
          <w:color w:val="231F20"/>
        </w:rPr>
        <w:t>a</w:t>
      </w:r>
      <w:r>
        <w:rPr>
          <w:color w:val="231F20"/>
          <w:spacing w:val="12"/>
        </w:rPr>
        <w:t> </w:t>
      </w:r>
      <w:r>
        <w:rPr>
          <w:color w:val="231F20"/>
          <w:spacing w:val="-4"/>
        </w:rPr>
        <w:t>frac-</w:t>
      </w:r>
      <w:r>
        <w:rPr>
          <w:color w:val="231F20"/>
          <w:w w:val="109"/>
        </w:rPr>
        <w:t> </w:t>
      </w:r>
      <w:r>
        <w:rPr>
          <w:color w:val="231F20"/>
        </w:rPr>
        <w:t>tion</w:t>
      </w:r>
      <w:r>
        <w:rPr>
          <w:color w:val="231F20"/>
          <w:spacing w:val="35"/>
        </w:rPr>
        <w:t> </w:t>
      </w:r>
      <w:r>
        <w:rPr>
          <w:color w:val="231F20"/>
        </w:rPr>
        <w:t>of</w:t>
      </w:r>
      <w:r>
        <w:rPr>
          <w:color w:val="231F20"/>
          <w:spacing w:val="36"/>
        </w:rPr>
        <w:t> </w:t>
      </w:r>
      <w:r>
        <w:rPr>
          <w:color w:val="231F20"/>
        </w:rPr>
        <w:t>a</w:t>
      </w:r>
      <w:r>
        <w:rPr>
          <w:color w:val="231F20"/>
          <w:spacing w:val="36"/>
        </w:rPr>
        <w:t> </w:t>
      </w:r>
      <w:r>
        <w:rPr>
          <w:color w:val="231F20"/>
        </w:rPr>
        <w:t>minute,</w:t>
      </w:r>
      <w:r>
        <w:rPr>
          <w:color w:val="231F20"/>
          <w:spacing w:val="35"/>
        </w:rPr>
        <w:t> </w:t>
      </w:r>
      <w:r>
        <w:rPr>
          <w:color w:val="231F20"/>
        </w:rPr>
        <w:t>the</w:t>
      </w:r>
      <w:r>
        <w:rPr>
          <w:color w:val="231F20"/>
          <w:spacing w:val="36"/>
        </w:rPr>
        <w:t> </w:t>
      </w:r>
      <w:r>
        <w:rPr>
          <w:color w:val="231F20"/>
        </w:rPr>
        <w:t>detrusor</w:t>
      </w:r>
      <w:r>
        <w:rPr>
          <w:color w:val="231F20"/>
          <w:spacing w:val="36"/>
        </w:rPr>
        <w:t> </w:t>
      </w:r>
      <w:r>
        <w:rPr>
          <w:color w:val="231F20"/>
        </w:rPr>
        <w:t>muscles</w:t>
      </w:r>
      <w:r>
        <w:rPr>
          <w:color w:val="231F20"/>
          <w:spacing w:val="35"/>
        </w:rPr>
        <w:t> </w:t>
      </w:r>
      <w:r>
        <w:rPr>
          <w:color w:val="231F20"/>
        </w:rPr>
        <w:t>stop</w:t>
      </w:r>
      <w:r>
        <w:rPr>
          <w:color w:val="231F20"/>
          <w:spacing w:val="36"/>
        </w:rPr>
        <w:t> </w:t>
      </w:r>
      <w:r>
        <w:rPr>
          <w:color w:val="231F20"/>
          <w:spacing w:val="-2"/>
        </w:rPr>
        <w:t>contracting,</w:t>
      </w:r>
      <w:r>
        <w:rPr>
          <w:color w:val="231F20"/>
          <w:w w:val="88"/>
        </w:rPr>
        <w:t> </w:t>
      </w:r>
      <w:r>
        <w:rPr>
          <w:color w:val="231F20"/>
        </w:rPr>
        <w:t>and pressure falls back to the baseline. As</w:t>
      </w:r>
      <w:r>
        <w:rPr>
          <w:color w:val="231F20"/>
          <w:spacing w:val="-10"/>
        </w:rPr>
        <w:t> </w:t>
      </w:r>
      <w:r>
        <w:rPr>
          <w:color w:val="231F20"/>
        </w:rPr>
        <w:t>the</w:t>
      </w:r>
      <w:r>
        <w:rPr>
          <w:color w:val="231F20"/>
          <w:spacing w:val="43"/>
        </w:rPr>
        <w:t> </w:t>
      </w:r>
      <w:r>
        <w:rPr>
          <w:color w:val="231F20"/>
          <w:spacing w:val="-3"/>
        </w:rPr>
        <w:t>bladder</w:t>
      </w:r>
      <w:r>
        <w:rPr>
          <w:color w:val="231F20"/>
          <w:w w:val="103"/>
        </w:rPr>
        <w:t> </w:t>
      </w:r>
      <w:r>
        <w:rPr>
          <w:color w:val="231F20"/>
        </w:rPr>
        <w:t>continues to fill, the micturition reflexes</w:t>
      </w:r>
      <w:r>
        <w:rPr>
          <w:color w:val="231F20"/>
          <w:spacing w:val="20"/>
        </w:rPr>
        <w:t> </w:t>
      </w:r>
      <w:r>
        <w:rPr>
          <w:color w:val="231F20"/>
        </w:rPr>
        <w:t>become</w:t>
      </w:r>
      <w:r>
        <w:rPr>
          <w:color w:val="231F20"/>
          <w:spacing w:val="45"/>
        </w:rPr>
        <w:t> </w:t>
      </w:r>
      <w:r>
        <w:rPr>
          <w:color w:val="231F20"/>
        </w:rPr>
        <w:t>more</w:t>
      </w:r>
      <w:r>
        <w:rPr>
          <w:color w:val="231F20"/>
          <w:w w:val="100"/>
        </w:rPr>
        <w:t> </w:t>
      </w:r>
      <w:r>
        <w:rPr>
          <w:color w:val="231F20"/>
        </w:rPr>
        <w:t>frequent and cause greater contractions of the</w:t>
      </w:r>
      <w:r>
        <w:rPr>
          <w:color w:val="231F20"/>
          <w:spacing w:val="22"/>
        </w:rPr>
        <w:t> </w:t>
      </w:r>
      <w:r>
        <w:rPr>
          <w:color w:val="231F20"/>
        </w:rPr>
        <w:t>detrusor</w:t>
      </w:r>
    </w:p>
    <w:p>
      <w:pPr>
        <w:pStyle w:val="BodyText"/>
        <w:spacing w:before="14"/>
        <w:ind w:left="1080"/>
      </w:pPr>
      <w:r>
        <w:rPr>
          <w:color w:val="231F20"/>
        </w:rPr>
        <w:t>muscle.</w:t>
      </w:r>
    </w:p>
    <w:p>
      <w:pPr>
        <w:pStyle w:val="BodyText"/>
        <w:spacing w:line="249" w:lineRule="auto" w:before="10"/>
        <w:ind w:left="1080" w:firstLine="240"/>
        <w:jc w:val="both"/>
      </w:pPr>
      <w:r>
        <w:rPr>
          <w:color w:val="231F20"/>
        </w:rPr>
        <w:t>Once</w:t>
      </w:r>
      <w:r>
        <w:rPr>
          <w:color w:val="231F20"/>
          <w:spacing w:val="-16"/>
        </w:rPr>
        <w:t> </w:t>
      </w:r>
      <w:r>
        <w:rPr>
          <w:color w:val="231F20"/>
        </w:rPr>
        <w:t>a</w:t>
      </w:r>
      <w:r>
        <w:rPr>
          <w:color w:val="231F20"/>
          <w:spacing w:val="-15"/>
        </w:rPr>
        <w:t> </w:t>
      </w:r>
      <w:r>
        <w:rPr>
          <w:color w:val="231F20"/>
        </w:rPr>
        <w:t>micturition</w:t>
      </w:r>
      <w:r>
        <w:rPr>
          <w:color w:val="231F20"/>
          <w:spacing w:val="-15"/>
        </w:rPr>
        <w:t> </w:t>
      </w:r>
      <w:r>
        <w:rPr>
          <w:color w:val="231F20"/>
        </w:rPr>
        <w:t>reflex</w:t>
      </w:r>
      <w:r>
        <w:rPr>
          <w:color w:val="231F20"/>
          <w:spacing w:val="-16"/>
        </w:rPr>
        <w:t> </w:t>
      </w:r>
      <w:r>
        <w:rPr>
          <w:color w:val="231F20"/>
        </w:rPr>
        <w:t>begins,</w:t>
      </w:r>
      <w:r>
        <w:rPr>
          <w:color w:val="231F20"/>
          <w:spacing w:val="-15"/>
        </w:rPr>
        <w:t> </w:t>
      </w:r>
      <w:r>
        <w:rPr>
          <w:color w:val="231F20"/>
        </w:rPr>
        <w:t>it</w:t>
      </w:r>
      <w:r>
        <w:rPr>
          <w:color w:val="231F20"/>
          <w:spacing w:val="-15"/>
        </w:rPr>
        <w:t> </w:t>
      </w:r>
      <w:r>
        <w:rPr>
          <w:color w:val="231F20"/>
        </w:rPr>
        <w:t>is</w:t>
      </w:r>
      <w:r>
        <w:rPr>
          <w:color w:val="231F20"/>
          <w:spacing w:val="-17"/>
        </w:rPr>
        <w:t> </w:t>
      </w:r>
      <w:r>
        <w:rPr>
          <w:color w:val="231F20"/>
          <w:spacing w:val="-4"/>
        </w:rPr>
        <w:t>“self-regenerative.” </w:t>
      </w:r>
      <w:r>
        <w:rPr>
          <w:color w:val="231F20"/>
        </w:rPr>
        <w:t>That is, initial contraction of the bladder activates </w:t>
      </w:r>
      <w:r>
        <w:rPr>
          <w:color w:val="231F20"/>
          <w:spacing w:val="-5"/>
        </w:rPr>
        <w:t>the </w:t>
      </w:r>
      <w:r>
        <w:rPr>
          <w:color w:val="231F20"/>
        </w:rPr>
        <w:t>stretch receptors to cause a greater increase in sensory impulses from the bladder and posterior urethra, which causes a further increase in reflex contraction of </w:t>
      </w:r>
      <w:r>
        <w:rPr>
          <w:color w:val="231F20"/>
          <w:spacing w:val="-5"/>
        </w:rPr>
        <w:t>the </w:t>
      </w:r>
      <w:r>
        <w:rPr>
          <w:color w:val="231F20"/>
        </w:rPr>
        <w:t>bladder; thus, the cycle is repeated again and again </w:t>
      </w:r>
      <w:r>
        <w:rPr>
          <w:color w:val="231F20"/>
          <w:spacing w:val="-4"/>
        </w:rPr>
        <w:t>until </w:t>
      </w:r>
      <w:r>
        <w:rPr>
          <w:color w:val="231F20"/>
        </w:rPr>
        <w:t>the bladder has reached a strong degree of contraction. Then, after a few seconds to more than a minute, the </w:t>
      </w:r>
      <w:r>
        <w:rPr>
          <w:color w:val="231F20"/>
          <w:spacing w:val="-4"/>
        </w:rPr>
        <w:t>self- </w:t>
      </w:r>
      <w:r>
        <w:rPr>
          <w:color w:val="231F20"/>
        </w:rPr>
        <w:t>regenerative reflex begins to fatigue and the regenerative cycle of the micturition reflex ceases, permitting the bladder to</w:t>
      </w:r>
      <w:r>
        <w:rPr>
          <w:color w:val="231F20"/>
          <w:spacing w:val="12"/>
        </w:rPr>
        <w:t> </w:t>
      </w:r>
      <w:r>
        <w:rPr>
          <w:color w:val="231F20"/>
        </w:rPr>
        <w:t>relax.</w:t>
      </w:r>
    </w:p>
    <w:p>
      <w:pPr>
        <w:pStyle w:val="BodyText"/>
        <w:spacing w:line="249" w:lineRule="auto" w:before="9"/>
        <w:ind w:left="1080" w:firstLine="240"/>
        <w:jc w:val="both"/>
      </w:pPr>
      <w:r>
        <w:rPr>
          <w:color w:val="231F20"/>
        </w:rPr>
        <w:t>Thus, the micturition reflex is a single complete </w:t>
      </w:r>
      <w:r>
        <w:rPr>
          <w:color w:val="231F20"/>
          <w:spacing w:val="-3"/>
        </w:rPr>
        <w:t>cycle </w:t>
      </w:r>
      <w:r>
        <w:rPr>
          <w:color w:val="231F20"/>
        </w:rPr>
        <w:t>of (1) progressive and rapid increase of pressure, (2) </w:t>
      </w:r>
      <w:r>
        <w:rPr>
          <w:color w:val="231F20"/>
          <w:spacing w:val="-13"/>
        </w:rPr>
        <w:t>a </w:t>
      </w:r>
      <w:r>
        <w:rPr>
          <w:color w:val="231F20"/>
        </w:rPr>
        <w:t>period of sustained pressure, and (3) return of the pres- sure to the basal tone of the bladder. Once a </w:t>
      </w:r>
      <w:r>
        <w:rPr>
          <w:color w:val="231F20"/>
          <w:spacing w:val="-3"/>
        </w:rPr>
        <w:t>micturition </w:t>
      </w:r>
      <w:r>
        <w:rPr>
          <w:color w:val="231F20"/>
        </w:rPr>
        <w:t>reflex has occurred but has not succeeded in emptying  the bladder, the nervous elements of this reflex usually remain in an inhibited state for a few minutes to 1 hour   or more before another micturition reflex occurs. As </w:t>
      </w:r>
      <w:r>
        <w:rPr>
          <w:color w:val="231F20"/>
          <w:spacing w:val="-6"/>
        </w:rPr>
        <w:t>the </w:t>
      </w:r>
      <w:r>
        <w:rPr>
          <w:color w:val="231F20"/>
        </w:rPr>
        <w:t>bladder becomes more and more filled, </w:t>
      </w:r>
      <w:r>
        <w:rPr>
          <w:color w:val="231F20"/>
          <w:spacing w:val="-3"/>
        </w:rPr>
        <w:t>micturition </w:t>
      </w:r>
      <w:r>
        <w:rPr>
          <w:color w:val="231F20"/>
        </w:rPr>
        <w:t>reflexes occur more and more often and more and </w:t>
      </w:r>
      <w:r>
        <w:rPr>
          <w:color w:val="231F20"/>
          <w:spacing w:val="-4"/>
        </w:rPr>
        <w:t>more </w:t>
      </w:r>
      <w:r>
        <w:rPr>
          <w:color w:val="231F20"/>
        </w:rPr>
        <w:t>powerfully.</w:t>
      </w:r>
    </w:p>
    <w:p>
      <w:pPr>
        <w:pStyle w:val="BodyText"/>
        <w:spacing w:line="249" w:lineRule="auto" w:before="9"/>
        <w:ind w:left="1080" w:firstLine="240"/>
        <w:jc w:val="both"/>
      </w:pPr>
      <w:r>
        <w:rPr>
          <w:color w:val="231F20"/>
          <w:w w:val="105"/>
        </w:rPr>
        <w:t>Once</w:t>
      </w:r>
      <w:r>
        <w:rPr>
          <w:color w:val="231F20"/>
          <w:spacing w:val="-29"/>
          <w:w w:val="105"/>
        </w:rPr>
        <w:t> </w:t>
      </w:r>
      <w:r>
        <w:rPr>
          <w:color w:val="231F20"/>
          <w:w w:val="105"/>
        </w:rPr>
        <w:t>the</w:t>
      </w:r>
      <w:r>
        <w:rPr>
          <w:color w:val="231F20"/>
          <w:spacing w:val="-29"/>
          <w:w w:val="105"/>
        </w:rPr>
        <w:t> </w:t>
      </w:r>
      <w:r>
        <w:rPr>
          <w:color w:val="231F20"/>
          <w:w w:val="105"/>
        </w:rPr>
        <w:t>micturition</w:t>
      </w:r>
      <w:r>
        <w:rPr>
          <w:color w:val="231F20"/>
          <w:spacing w:val="-29"/>
          <w:w w:val="105"/>
        </w:rPr>
        <w:t> </w:t>
      </w:r>
      <w:r>
        <w:rPr>
          <w:color w:val="231F20"/>
          <w:w w:val="105"/>
        </w:rPr>
        <w:t>reflex</w:t>
      </w:r>
      <w:r>
        <w:rPr>
          <w:color w:val="231F20"/>
          <w:spacing w:val="-29"/>
          <w:w w:val="105"/>
        </w:rPr>
        <w:t> </w:t>
      </w:r>
      <w:r>
        <w:rPr>
          <w:color w:val="231F20"/>
          <w:w w:val="105"/>
        </w:rPr>
        <w:t>becomes</w:t>
      </w:r>
      <w:r>
        <w:rPr>
          <w:color w:val="231F20"/>
          <w:spacing w:val="-28"/>
          <w:w w:val="105"/>
        </w:rPr>
        <w:t> </w:t>
      </w:r>
      <w:r>
        <w:rPr>
          <w:color w:val="231F20"/>
          <w:w w:val="105"/>
        </w:rPr>
        <w:t>powerful</w:t>
      </w:r>
      <w:r>
        <w:rPr>
          <w:color w:val="231F20"/>
          <w:spacing w:val="-29"/>
          <w:w w:val="105"/>
        </w:rPr>
        <w:t> </w:t>
      </w:r>
      <w:r>
        <w:rPr>
          <w:color w:val="231F20"/>
          <w:w w:val="105"/>
        </w:rPr>
        <w:t>enough, it</w:t>
      </w:r>
      <w:r>
        <w:rPr>
          <w:color w:val="231F20"/>
          <w:spacing w:val="-15"/>
          <w:w w:val="105"/>
        </w:rPr>
        <w:t> </w:t>
      </w:r>
      <w:r>
        <w:rPr>
          <w:color w:val="231F20"/>
          <w:w w:val="105"/>
        </w:rPr>
        <w:t>causes</w:t>
      </w:r>
      <w:r>
        <w:rPr>
          <w:color w:val="231F20"/>
          <w:spacing w:val="-15"/>
          <w:w w:val="105"/>
        </w:rPr>
        <w:t> </w:t>
      </w:r>
      <w:r>
        <w:rPr>
          <w:color w:val="231F20"/>
          <w:w w:val="105"/>
        </w:rPr>
        <w:t>another</w:t>
      </w:r>
      <w:r>
        <w:rPr>
          <w:color w:val="231F20"/>
          <w:spacing w:val="-14"/>
          <w:w w:val="105"/>
        </w:rPr>
        <w:t> </w:t>
      </w:r>
      <w:r>
        <w:rPr>
          <w:color w:val="231F20"/>
          <w:w w:val="105"/>
        </w:rPr>
        <w:t>reflex,</w:t>
      </w:r>
      <w:r>
        <w:rPr>
          <w:color w:val="231F20"/>
          <w:spacing w:val="-15"/>
          <w:w w:val="105"/>
        </w:rPr>
        <w:t> </w:t>
      </w:r>
      <w:r>
        <w:rPr>
          <w:color w:val="231F20"/>
          <w:w w:val="105"/>
        </w:rPr>
        <w:t>which</w:t>
      </w:r>
      <w:r>
        <w:rPr>
          <w:color w:val="231F20"/>
          <w:spacing w:val="-14"/>
          <w:w w:val="105"/>
        </w:rPr>
        <w:t> </w:t>
      </w:r>
      <w:r>
        <w:rPr>
          <w:color w:val="231F20"/>
          <w:w w:val="105"/>
        </w:rPr>
        <w:t>passes</w:t>
      </w:r>
      <w:r>
        <w:rPr>
          <w:color w:val="231F20"/>
          <w:spacing w:val="-15"/>
          <w:w w:val="105"/>
        </w:rPr>
        <w:t> </w:t>
      </w:r>
      <w:r>
        <w:rPr>
          <w:color w:val="231F20"/>
          <w:w w:val="105"/>
        </w:rPr>
        <w:t>through</w:t>
      </w:r>
      <w:r>
        <w:rPr>
          <w:color w:val="231F20"/>
          <w:spacing w:val="-15"/>
          <w:w w:val="105"/>
        </w:rPr>
        <w:t> </w:t>
      </w:r>
      <w:r>
        <w:rPr>
          <w:color w:val="231F20"/>
          <w:w w:val="105"/>
        </w:rPr>
        <w:t>the</w:t>
      </w:r>
      <w:r>
        <w:rPr>
          <w:color w:val="231F20"/>
          <w:spacing w:val="-14"/>
          <w:w w:val="105"/>
        </w:rPr>
        <w:t> </w:t>
      </w:r>
      <w:r>
        <w:rPr>
          <w:i/>
          <w:color w:val="231F20"/>
          <w:spacing w:val="-3"/>
          <w:w w:val="105"/>
        </w:rPr>
        <w:t>puden- </w:t>
      </w:r>
      <w:r>
        <w:rPr>
          <w:i/>
          <w:color w:val="231F20"/>
          <w:w w:val="105"/>
        </w:rPr>
        <w:t>dal nerves </w:t>
      </w:r>
      <w:r>
        <w:rPr>
          <w:color w:val="231F20"/>
          <w:w w:val="105"/>
        </w:rPr>
        <w:t>to the </w:t>
      </w:r>
      <w:r>
        <w:rPr>
          <w:i/>
          <w:color w:val="231F20"/>
          <w:w w:val="105"/>
        </w:rPr>
        <w:t>external sphincter </w:t>
      </w:r>
      <w:r>
        <w:rPr>
          <w:color w:val="231F20"/>
          <w:w w:val="105"/>
        </w:rPr>
        <w:t>to inhibit it. If this inhibition is more potent in the brain than the voluntary constrictor</w:t>
      </w:r>
      <w:r>
        <w:rPr>
          <w:color w:val="231F20"/>
          <w:spacing w:val="-25"/>
          <w:w w:val="105"/>
        </w:rPr>
        <w:t> </w:t>
      </w:r>
      <w:r>
        <w:rPr>
          <w:color w:val="231F20"/>
          <w:w w:val="105"/>
        </w:rPr>
        <w:t>signals</w:t>
      </w:r>
      <w:r>
        <w:rPr>
          <w:color w:val="231F20"/>
          <w:spacing w:val="-25"/>
          <w:w w:val="105"/>
        </w:rPr>
        <w:t> </w:t>
      </w:r>
      <w:r>
        <w:rPr>
          <w:color w:val="231F20"/>
          <w:w w:val="105"/>
        </w:rPr>
        <w:t>to</w:t>
      </w:r>
      <w:r>
        <w:rPr>
          <w:color w:val="231F20"/>
          <w:spacing w:val="-25"/>
          <w:w w:val="105"/>
        </w:rPr>
        <w:t> </w:t>
      </w:r>
      <w:r>
        <w:rPr>
          <w:color w:val="231F20"/>
          <w:w w:val="105"/>
        </w:rPr>
        <w:t>the</w:t>
      </w:r>
      <w:r>
        <w:rPr>
          <w:color w:val="231F20"/>
          <w:spacing w:val="-25"/>
          <w:w w:val="105"/>
        </w:rPr>
        <w:t> </w:t>
      </w:r>
      <w:r>
        <w:rPr>
          <w:color w:val="231F20"/>
          <w:w w:val="105"/>
        </w:rPr>
        <w:t>external</w:t>
      </w:r>
      <w:r>
        <w:rPr>
          <w:color w:val="231F20"/>
          <w:spacing w:val="-24"/>
          <w:w w:val="105"/>
        </w:rPr>
        <w:t> </w:t>
      </w:r>
      <w:r>
        <w:rPr>
          <w:color w:val="231F20"/>
          <w:w w:val="105"/>
        </w:rPr>
        <w:t>sphincter,</w:t>
      </w:r>
      <w:r>
        <w:rPr>
          <w:color w:val="231F20"/>
          <w:spacing w:val="-25"/>
          <w:w w:val="105"/>
        </w:rPr>
        <w:t> </w:t>
      </w:r>
      <w:r>
        <w:rPr>
          <w:color w:val="231F20"/>
          <w:w w:val="105"/>
        </w:rPr>
        <w:t>urination</w:t>
      </w:r>
      <w:r>
        <w:rPr>
          <w:color w:val="231F20"/>
          <w:spacing w:val="-25"/>
          <w:w w:val="105"/>
        </w:rPr>
        <w:t> </w:t>
      </w:r>
      <w:r>
        <w:rPr>
          <w:color w:val="231F20"/>
          <w:spacing w:val="-3"/>
          <w:w w:val="105"/>
        </w:rPr>
        <w:t>will occur.</w:t>
      </w:r>
      <w:r>
        <w:rPr>
          <w:color w:val="231F20"/>
          <w:spacing w:val="15"/>
          <w:w w:val="105"/>
        </w:rPr>
        <w:t> </w:t>
      </w:r>
      <w:r>
        <w:rPr>
          <w:color w:val="231F20"/>
          <w:w w:val="105"/>
        </w:rPr>
        <w:t>If</w:t>
      </w:r>
      <w:r>
        <w:rPr>
          <w:color w:val="231F20"/>
          <w:spacing w:val="16"/>
          <w:w w:val="105"/>
        </w:rPr>
        <w:t> </w:t>
      </w:r>
      <w:r>
        <w:rPr>
          <w:color w:val="231F20"/>
          <w:w w:val="105"/>
        </w:rPr>
        <w:t>not,</w:t>
      </w:r>
      <w:r>
        <w:rPr>
          <w:color w:val="231F20"/>
          <w:spacing w:val="16"/>
          <w:w w:val="105"/>
        </w:rPr>
        <w:t> </w:t>
      </w:r>
      <w:r>
        <w:rPr>
          <w:color w:val="231F20"/>
          <w:w w:val="105"/>
        </w:rPr>
        <w:t>urination</w:t>
      </w:r>
      <w:r>
        <w:rPr>
          <w:color w:val="231F20"/>
          <w:spacing w:val="16"/>
          <w:w w:val="105"/>
        </w:rPr>
        <w:t> </w:t>
      </w:r>
      <w:r>
        <w:rPr>
          <w:color w:val="231F20"/>
          <w:w w:val="105"/>
        </w:rPr>
        <w:t>will</w:t>
      </w:r>
      <w:r>
        <w:rPr>
          <w:color w:val="231F20"/>
          <w:spacing w:val="16"/>
          <w:w w:val="105"/>
        </w:rPr>
        <w:t> </w:t>
      </w:r>
      <w:r>
        <w:rPr>
          <w:color w:val="231F20"/>
          <w:w w:val="105"/>
        </w:rPr>
        <w:t>not</w:t>
      </w:r>
      <w:r>
        <w:rPr>
          <w:color w:val="231F20"/>
          <w:spacing w:val="16"/>
          <w:w w:val="105"/>
        </w:rPr>
        <w:t> </w:t>
      </w:r>
      <w:r>
        <w:rPr>
          <w:color w:val="231F20"/>
          <w:w w:val="105"/>
        </w:rPr>
        <w:t>occur</w:t>
      </w:r>
      <w:r>
        <w:rPr>
          <w:color w:val="231F20"/>
          <w:spacing w:val="16"/>
          <w:w w:val="105"/>
        </w:rPr>
        <w:t> </w:t>
      </w:r>
      <w:r>
        <w:rPr>
          <w:color w:val="231F20"/>
          <w:w w:val="105"/>
        </w:rPr>
        <w:t>until</w:t>
      </w:r>
      <w:r>
        <w:rPr>
          <w:color w:val="231F20"/>
          <w:spacing w:val="16"/>
          <w:w w:val="105"/>
        </w:rPr>
        <w:t> </w:t>
      </w:r>
      <w:r>
        <w:rPr>
          <w:color w:val="231F20"/>
          <w:w w:val="105"/>
        </w:rPr>
        <w:t>the</w:t>
      </w:r>
      <w:r>
        <w:rPr>
          <w:color w:val="231F20"/>
          <w:spacing w:val="16"/>
          <w:w w:val="105"/>
        </w:rPr>
        <w:t> </w:t>
      </w:r>
      <w:r>
        <w:rPr>
          <w:color w:val="231F20"/>
          <w:w w:val="105"/>
        </w:rPr>
        <w:t>bladder</w:t>
      </w:r>
    </w:p>
    <w:p>
      <w:pPr>
        <w:pStyle w:val="BodyText"/>
        <w:spacing w:line="249" w:lineRule="auto" w:before="99"/>
        <w:ind w:left="319" w:right="1438"/>
        <w:jc w:val="both"/>
      </w:pPr>
      <w:r>
        <w:rPr/>
        <w:br w:type="column"/>
      </w:r>
      <w:r>
        <w:rPr>
          <w:color w:val="231F20"/>
          <w:w w:val="105"/>
        </w:rPr>
        <w:t>fills</w:t>
      </w:r>
      <w:r>
        <w:rPr>
          <w:color w:val="231F20"/>
          <w:spacing w:val="-13"/>
          <w:w w:val="105"/>
        </w:rPr>
        <w:t> </w:t>
      </w:r>
      <w:r>
        <w:rPr>
          <w:color w:val="231F20"/>
          <w:w w:val="105"/>
        </w:rPr>
        <w:t>still</w:t>
      </w:r>
      <w:r>
        <w:rPr>
          <w:color w:val="231F20"/>
          <w:spacing w:val="-12"/>
          <w:w w:val="105"/>
        </w:rPr>
        <w:t> </w:t>
      </w:r>
      <w:r>
        <w:rPr>
          <w:color w:val="231F20"/>
          <w:w w:val="105"/>
        </w:rPr>
        <w:t>further</w:t>
      </w:r>
      <w:r>
        <w:rPr>
          <w:color w:val="231F20"/>
          <w:spacing w:val="-13"/>
          <w:w w:val="105"/>
        </w:rPr>
        <w:t> </w:t>
      </w:r>
      <w:r>
        <w:rPr>
          <w:color w:val="231F20"/>
          <w:w w:val="105"/>
        </w:rPr>
        <w:t>and</w:t>
      </w:r>
      <w:r>
        <w:rPr>
          <w:color w:val="231F20"/>
          <w:spacing w:val="-12"/>
          <w:w w:val="105"/>
        </w:rPr>
        <w:t> </w:t>
      </w:r>
      <w:r>
        <w:rPr>
          <w:color w:val="231F20"/>
          <w:w w:val="105"/>
        </w:rPr>
        <w:t>the</w:t>
      </w:r>
      <w:r>
        <w:rPr>
          <w:color w:val="231F20"/>
          <w:spacing w:val="-13"/>
          <w:w w:val="105"/>
        </w:rPr>
        <w:t> </w:t>
      </w:r>
      <w:r>
        <w:rPr>
          <w:color w:val="231F20"/>
          <w:w w:val="105"/>
        </w:rPr>
        <w:t>micturition</w:t>
      </w:r>
      <w:r>
        <w:rPr>
          <w:color w:val="231F20"/>
          <w:spacing w:val="-12"/>
          <w:w w:val="105"/>
        </w:rPr>
        <w:t> </w:t>
      </w:r>
      <w:r>
        <w:rPr>
          <w:color w:val="231F20"/>
          <w:w w:val="105"/>
        </w:rPr>
        <w:t>reflex</w:t>
      </w:r>
      <w:r>
        <w:rPr>
          <w:color w:val="231F20"/>
          <w:spacing w:val="-12"/>
          <w:w w:val="105"/>
        </w:rPr>
        <w:t> </w:t>
      </w:r>
      <w:r>
        <w:rPr>
          <w:color w:val="231F20"/>
          <w:w w:val="105"/>
        </w:rPr>
        <w:t>becomes</w:t>
      </w:r>
      <w:r>
        <w:rPr>
          <w:color w:val="231F20"/>
          <w:spacing w:val="-13"/>
          <w:w w:val="105"/>
        </w:rPr>
        <w:t> </w:t>
      </w:r>
      <w:r>
        <w:rPr>
          <w:color w:val="231F20"/>
          <w:spacing w:val="-4"/>
          <w:w w:val="105"/>
        </w:rPr>
        <w:t>more </w:t>
      </w:r>
      <w:r>
        <w:rPr>
          <w:color w:val="231F20"/>
          <w:w w:val="105"/>
        </w:rPr>
        <w:t>powerful.</w:t>
      </w:r>
    </w:p>
    <w:p>
      <w:pPr>
        <w:spacing w:line="249" w:lineRule="auto" w:before="250"/>
        <w:ind w:left="319" w:right="1437" w:firstLine="0"/>
        <w:jc w:val="both"/>
        <w:rPr>
          <w:sz w:val="20"/>
        </w:rPr>
      </w:pPr>
      <w:r>
        <w:rPr>
          <w:rFonts w:ascii="Trebuchet MS"/>
          <w:b/>
          <w:color w:val="231F20"/>
          <w:sz w:val="19"/>
        </w:rPr>
        <w:t>Facilitation or Inhibition of Micturition by the </w:t>
      </w:r>
      <w:r>
        <w:rPr>
          <w:rFonts w:ascii="Trebuchet MS"/>
          <w:b/>
          <w:color w:val="231F20"/>
          <w:spacing w:val="-3"/>
          <w:sz w:val="19"/>
        </w:rPr>
        <w:t>Brain. </w:t>
      </w:r>
      <w:r>
        <w:rPr>
          <w:color w:val="231F20"/>
          <w:sz w:val="20"/>
        </w:rPr>
        <w:t>The micturition reflex is an autonomic spinal cord reflex, but it can be inhibited or facilitated by centers in the brain. These centers include (1) strong </w:t>
      </w:r>
      <w:r>
        <w:rPr>
          <w:i/>
          <w:color w:val="231F20"/>
          <w:sz w:val="20"/>
        </w:rPr>
        <w:t>facilitative </w:t>
      </w:r>
      <w:r>
        <w:rPr>
          <w:color w:val="231F20"/>
          <w:spacing w:val="-4"/>
          <w:sz w:val="20"/>
        </w:rPr>
        <w:t>and </w:t>
      </w:r>
      <w:r>
        <w:rPr>
          <w:i/>
          <w:color w:val="231F20"/>
          <w:sz w:val="20"/>
        </w:rPr>
        <w:t>inhibitory centers in the brain stem, located mainly in the </w:t>
      </w:r>
      <w:r>
        <w:rPr>
          <w:i/>
          <w:color w:val="231F20"/>
          <w:sz w:val="20"/>
        </w:rPr>
        <w:t>pons,</w:t>
      </w:r>
      <w:r>
        <w:rPr>
          <w:i/>
          <w:color w:val="231F20"/>
          <w:spacing w:val="-5"/>
          <w:sz w:val="20"/>
        </w:rPr>
        <w:t> </w:t>
      </w:r>
      <w:r>
        <w:rPr>
          <w:color w:val="231F20"/>
          <w:sz w:val="20"/>
        </w:rPr>
        <w:t>and</w:t>
      </w:r>
      <w:r>
        <w:rPr>
          <w:color w:val="231F20"/>
          <w:spacing w:val="-4"/>
          <w:sz w:val="20"/>
        </w:rPr>
        <w:t> </w:t>
      </w:r>
      <w:r>
        <w:rPr>
          <w:color w:val="231F20"/>
          <w:sz w:val="20"/>
        </w:rPr>
        <w:t>(2)</w:t>
      </w:r>
      <w:r>
        <w:rPr>
          <w:color w:val="231F20"/>
          <w:spacing w:val="-4"/>
          <w:sz w:val="20"/>
        </w:rPr>
        <w:t> </w:t>
      </w:r>
      <w:r>
        <w:rPr>
          <w:color w:val="231F20"/>
          <w:sz w:val="20"/>
        </w:rPr>
        <w:t>several</w:t>
      </w:r>
      <w:r>
        <w:rPr>
          <w:color w:val="231F20"/>
          <w:spacing w:val="-4"/>
          <w:sz w:val="20"/>
        </w:rPr>
        <w:t> </w:t>
      </w:r>
      <w:r>
        <w:rPr>
          <w:i/>
          <w:color w:val="231F20"/>
          <w:sz w:val="20"/>
        </w:rPr>
        <w:t>centers</w:t>
      </w:r>
      <w:r>
        <w:rPr>
          <w:i/>
          <w:color w:val="231F20"/>
          <w:spacing w:val="-4"/>
          <w:sz w:val="20"/>
        </w:rPr>
        <w:t> </w:t>
      </w:r>
      <w:r>
        <w:rPr>
          <w:i/>
          <w:color w:val="231F20"/>
          <w:sz w:val="20"/>
        </w:rPr>
        <w:t>located</w:t>
      </w:r>
      <w:r>
        <w:rPr>
          <w:i/>
          <w:color w:val="231F20"/>
          <w:spacing w:val="-4"/>
          <w:sz w:val="20"/>
        </w:rPr>
        <w:t> </w:t>
      </w:r>
      <w:r>
        <w:rPr>
          <w:i/>
          <w:color w:val="231F20"/>
          <w:sz w:val="20"/>
        </w:rPr>
        <w:t>in</w:t>
      </w:r>
      <w:r>
        <w:rPr>
          <w:i/>
          <w:color w:val="231F20"/>
          <w:spacing w:val="-4"/>
          <w:sz w:val="20"/>
        </w:rPr>
        <w:t> </w:t>
      </w:r>
      <w:r>
        <w:rPr>
          <w:i/>
          <w:color w:val="231F20"/>
          <w:sz w:val="20"/>
        </w:rPr>
        <w:t>the</w:t>
      </w:r>
      <w:r>
        <w:rPr>
          <w:i/>
          <w:color w:val="231F20"/>
          <w:spacing w:val="-4"/>
          <w:sz w:val="20"/>
        </w:rPr>
        <w:t> </w:t>
      </w:r>
      <w:r>
        <w:rPr>
          <w:i/>
          <w:color w:val="231F20"/>
          <w:sz w:val="20"/>
        </w:rPr>
        <w:t>cerebral</w:t>
      </w:r>
      <w:r>
        <w:rPr>
          <w:i/>
          <w:color w:val="231F20"/>
          <w:spacing w:val="-4"/>
          <w:sz w:val="20"/>
        </w:rPr>
        <w:t> </w:t>
      </w:r>
      <w:r>
        <w:rPr>
          <w:i/>
          <w:color w:val="231F20"/>
          <w:sz w:val="20"/>
        </w:rPr>
        <w:t>cortex </w:t>
      </w:r>
      <w:r>
        <w:rPr>
          <w:color w:val="231F20"/>
          <w:sz w:val="20"/>
        </w:rPr>
        <w:t>that</w:t>
      </w:r>
      <w:r>
        <w:rPr>
          <w:color w:val="231F20"/>
          <w:spacing w:val="15"/>
          <w:sz w:val="20"/>
        </w:rPr>
        <w:t> </w:t>
      </w:r>
      <w:r>
        <w:rPr>
          <w:color w:val="231F20"/>
          <w:sz w:val="20"/>
        </w:rPr>
        <w:t>are</w:t>
      </w:r>
      <w:r>
        <w:rPr>
          <w:color w:val="231F20"/>
          <w:spacing w:val="15"/>
          <w:sz w:val="20"/>
        </w:rPr>
        <w:t> </w:t>
      </w:r>
      <w:r>
        <w:rPr>
          <w:color w:val="231F20"/>
          <w:sz w:val="20"/>
        </w:rPr>
        <w:t>mainly</w:t>
      </w:r>
      <w:r>
        <w:rPr>
          <w:color w:val="231F20"/>
          <w:spacing w:val="15"/>
          <w:sz w:val="20"/>
        </w:rPr>
        <w:t> </w:t>
      </w:r>
      <w:r>
        <w:rPr>
          <w:color w:val="231F20"/>
          <w:sz w:val="20"/>
        </w:rPr>
        <w:t>inhibitory</w:t>
      </w:r>
      <w:r>
        <w:rPr>
          <w:color w:val="231F20"/>
          <w:spacing w:val="15"/>
          <w:sz w:val="20"/>
        </w:rPr>
        <w:t> </w:t>
      </w:r>
      <w:r>
        <w:rPr>
          <w:color w:val="231F20"/>
          <w:sz w:val="20"/>
        </w:rPr>
        <w:t>but</w:t>
      </w:r>
      <w:r>
        <w:rPr>
          <w:color w:val="231F20"/>
          <w:spacing w:val="15"/>
          <w:sz w:val="20"/>
        </w:rPr>
        <w:t> </w:t>
      </w:r>
      <w:r>
        <w:rPr>
          <w:color w:val="231F20"/>
          <w:sz w:val="20"/>
        </w:rPr>
        <w:t>can</w:t>
      </w:r>
      <w:r>
        <w:rPr>
          <w:color w:val="231F20"/>
          <w:spacing w:val="15"/>
          <w:sz w:val="20"/>
        </w:rPr>
        <w:t> </w:t>
      </w:r>
      <w:r>
        <w:rPr>
          <w:color w:val="231F20"/>
          <w:sz w:val="20"/>
        </w:rPr>
        <w:t>become</w:t>
      </w:r>
      <w:r>
        <w:rPr>
          <w:color w:val="231F20"/>
          <w:spacing w:val="15"/>
          <w:sz w:val="20"/>
        </w:rPr>
        <w:t> </w:t>
      </w:r>
      <w:r>
        <w:rPr>
          <w:color w:val="231F20"/>
          <w:sz w:val="20"/>
        </w:rPr>
        <w:t>excitatory.</w:t>
      </w:r>
    </w:p>
    <w:p>
      <w:pPr>
        <w:pStyle w:val="BodyText"/>
        <w:spacing w:line="249" w:lineRule="auto" w:before="8"/>
        <w:ind w:left="319" w:right="1437" w:firstLine="240"/>
        <w:jc w:val="both"/>
      </w:pPr>
      <w:r>
        <w:rPr>
          <w:color w:val="231F20"/>
          <w:w w:val="105"/>
        </w:rPr>
        <w:t>The</w:t>
      </w:r>
      <w:r>
        <w:rPr>
          <w:color w:val="231F20"/>
          <w:spacing w:val="-24"/>
          <w:w w:val="105"/>
        </w:rPr>
        <w:t> </w:t>
      </w:r>
      <w:r>
        <w:rPr>
          <w:color w:val="231F20"/>
          <w:w w:val="105"/>
        </w:rPr>
        <w:t>micturition</w:t>
      </w:r>
      <w:r>
        <w:rPr>
          <w:color w:val="231F20"/>
          <w:spacing w:val="-24"/>
          <w:w w:val="105"/>
        </w:rPr>
        <w:t> </w:t>
      </w:r>
      <w:r>
        <w:rPr>
          <w:color w:val="231F20"/>
          <w:w w:val="105"/>
        </w:rPr>
        <w:t>reflex</w:t>
      </w:r>
      <w:r>
        <w:rPr>
          <w:color w:val="231F20"/>
          <w:spacing w:val="-24"/>
          <w:w w:val="105"/>
        </w:rPr>
        <w:t> </w:t>
      </w:r>
      <w:r>
        <w:rPr>
          <w:color w:val="231F20"/>
          <w:w w:val="105"/>
        </w:rPr>
        <w:t>is</w:t>
      </w:r>
      <w:r>
        <w:rPr>
          <w:color w:val="231F20"/>
          <w:spacing w:val="-24"/>
          <w:w w:val="105"/>
        </w:rPr>
        <w:t> </w:t>
      </w:r>
      <w:r>
        <w:rPr>
          <w:color w:val="231F20"/>
          <w:w w:val="105"/>
        </w:rPr>
        <w:t>the</w:t>
      </w:r>
      <w:r>
        <w:rPr>
          <w:color w:val="231F20"/>
          <w:spacing w:val="-23"/>
          <w:w w:val="105"/>
        </w:rPr>
        <w:t> </w:t>
      </w:r>
      <w:r>
        <w:rPr>
          <w:color w:val="231F20"/>
          <w:w w:val="105"/>
        </w:rPr>
        <w:t>basic</w:t>
      </w:r>
      <w:r>
        <w:rPr>
          <w:color w:val="231F20"/>
          <w:spacing w:val="-24"/>
          <w:w w:val="105"/>
        </w:rPr>
        <w:t> </w:t>
      </w:r>
      <w:r>
        <w:rPr>
          <w:color w:val="231F20"/>
          <w:w w:val="105"/>
        </w:rPr>
        <w:t>cause</w:t>
      </w:r>
      <w:r>
        <w:rPr>
          <w:color w:val="231F20"/>
          <w:spacing w:val="-24"/>
          <w:w w:val="105"/>
        </w:rPr>
        <w:t> </w:t>
      </w:r>
      <w:r>
        <w:rPr>
          <w:color w:val="231F20"/>
          <w:w w:val="105"/>
        </w:rPr>
        <w:t>of</w:t>
      </w:r>
      <w:r>
        <w:rPr>
          <w:color w:val="231F20"/>
          <w:spacing w:val="-24"/>
          <w:w w:val="105"/>
        </w:rPr>
        <w:t> </w:t>
      </w:r>
      <w:r>
        <w:rPr>
          <w:color w:val="231F20"/>
          <w:w w:val="105"/>
        </w:rPr>
        <w:t>micturition, but</w:t>
      </w:r>
      <w:r>
        <w:rPr>
          <w:color w:val="231F20"/>
          <w:spacing w:val="-20"/>
          <w:w w:val="105"/>
        </w:rPr>
        <w:t> </w:t>
      </w:r>
      <w:r>
        <w:rPr>
          <w:color w:val="231F20"/>
          <w:w w:val="105"/>
        </w:rPr>
        <w:t>the</w:t>
      </w:r>
      <w:r>
        <w:rPr>
          <w:color w:val="231F20"/>
          <w:spacing w:val="-19"/>
          <w:w w:val="105"/>
        </w:rPr>
        <w:t> </w:t>
      </w:r>
      <w:r>
        <w:rPr>
          <w:color w:val="231F20"/>
          <w:w w:val="105"/>
        </w:rPr>
        <w:t>higher</w:t>
      </w:r>
      <w:r>
        <w:rPr>
          <w:color w:val="231F20"/>
          <w:spacing w:val="-19"/>
          <w:w w:val="105"/>
        </w:rPr>
        <w:t> </w:t>
      </w:r>
      <w:r>
        <w:rPr>
          <w:color w:val="231F20"/>
          <w:w w:val="105"/>
        </w:rPr>
        <w:t>centers</w:t>
      </w:r>
      <w:r>
        <w:rPr>
          <w:color w:val="231F20"/>
          <w:spacing w:val="-19"/>
          <w:w w:val="105"/>
        </w:rPr>
        <w:t> </w:t>
      </w:r>
      <w:r>
        <w:rPr>
          <w:color w:val="231F20"/>
          <w:w w:val="105"/>
        </w:rPr>
        <w:t>normally</w:t>
      </w:r>
      <w:r>
        <w:rPr>
          <w:color w:val="231F20"/>
          <w:spacing w:val="-19"/>
          <w:w w:val="105"/>
        </w:rPr>
        <w:t> </w:t>
      </w:r>
      <w:r>
        <w:rPr>
          <w:color w:val="231F20"/>
          <w:w w:val="105"/>
        </w:rPr>
        <w:t>exert</w:t>
      </w:r>
      <w:r>
        <w:rPr>
          <w:color w:val="231F20"/>
          <w:spacing w:val="-20"/>
          <w:w w:val="105"/>
        </w:rPr>
        <w:t> </w:t>
      </w:r>
      <w:r>
        <w:rPr>
          <w:color w:val="231F20"/>
          <w:w w:val="105"/>
        </w:rPr>
        <w:t>final</w:t>
      </w:r>
      <w:r>
        <w:rPr>
          <w:color w:val="231F20"/>
          <w:spacing w:val="-19"/>
          <w:w w:val="105"/>
        </w:rPr>
        <w:t> </w:t>
      </w:r>
      <w:r>
        <w:rPr>
          <w:color w:val="231F20"/>
          <w:w w:val="105"/>
        </w:rPr>
        <w:t>control</w:t>
      </w:r>
      <w:r>
        <w:rPr>
          <w:color w:val="231F20"/>
          <w:spacing w:val="-19"/>
          <w:w w:val="105"/>
        </w:rPr>
        <w:t> </w:t>
      </w:r>
      <w:r>
        <w:rPr>
          <w:color w:val="231F20"/>
          <w:w w:val="105"/>
        </w:rPr>
        <w:t>of</w:t>
      </w:r>
      <w:r>
        <w:rPr>
          <w:color w:val="231F20"/>
          <w:spacing w:val="-19"/>
          <w:w w:val="105"/>
        </w:rPr>
        <w:t> </w:t>
      </w:r>
      <w:r>
        <w:rPr>
          <w:color w:val="231F20"/>
          <w:w w:val="105"/>
        </w:rPr>
        <w:t>mic- turition as</w:t>
      </w:r>
      <w:r>
        <w:rPr>
          <w:color w:val="231F20"/>
          <w:spacing w:val="5"/>
          <w:w w:val="105"/>
        </w:rPr>
        <w:t> </w:t>
      </w:r>
      <w:r>
        <w:rPr>
          <w:color w:val="231F20"/>
          <w:w w:val="105"/>
        </w:rPr>
        <w:t>follows:</w:t>
      </w:r>
    </w:p>
    <w:p>
      <w:pPr>
        <w:pStyle w:val="ListParagraph"/>
        <w:numPr>
          <w:ilvl w:val="0"/>
          <w:numId w:val="6"/>
        </w:numPr>
        <w:tabs>
          <w:tab w:pos="802" w:val="left" w:leader="none"/>
        </w:tabs>
        <w:spacing w:line="249" w:lineRule="auto" w:before="2" w:after="0"/>
        <w:ind w:left="801" w:right="1439" w:hanging="243"/>
        <w:jc w:val="both"/>
        <w:rPr>
          <w:sz w:val="20"/>
        </w:rPr>
      </w:pPr>
      <w:r>
        <w:rPr>
          <w:color w:val="231F20"/>
          <w:sz w:val="20"/>
        </w:rPr>
        <w:t>The higher centers keep the micturition reflex par- tially</w:t>
      </w:r>
      <w:r>
        <w:rPr>
          <w:color w:val="231F20"/>
          <w:spacing w:val="16"/>
          <w:sz w:val="20"/>
        </w:rPr>
        <w:t> </w:t>
      </w:r>
      <w:r>
        <w:rPr>
          <w:color w:val="231F20"/>
          <w:sz w:val="20"/>
        </w:rPr>
        <w:t>inhibited,</w:t>
      </w:r>
      <w:r>
        <w:rPr>
          <w:color w:val="231F20"/>
          <w:spacing w:val="16"/>
          <w:sz w:val="20"/>
        </w:rPr>
        <w:t> </w:t>
      </w:r>
      <w:r>
        <w:rPr>
          <w:color w:val="231F20"/>
          <w:sz w:val="20"/>
        </w:rPr>
        <w:t>except</w:t>
      </w:r>
      <w:r>
        <w:rPr>
          <w:color w:val="231F20"/>
          <w:spacing w:val="17"/>
          <w:sz w:val="20"/>
        </w:rPr>
        <w:t> </w:t>
      </w:r>
      <w:r>
        <w:rPr>
          <w:color w:val="231F20"/>
          <w:sz w:val="20"/>
        </w:rPr>
        <w:t>when</w:t>
      </w:r>
      <w:r>
        <w:rPr>
          <w:color w:val="231F20"/>
          <w:spacing w:val="16"/>
          <w:sz w:val="20"/>
        </w:rPr>
        <w:t> </w:t>
      </w:r>
      <w:r>
        <w:rPr>
          <w:color w:val="231F20"/>
          <w:sz w:val="20"/>
        </w:rPr>
        <w:t>micturition</w:t>
      </w:r>
      <w:r>
        <w:rPr>
          <w:color w:val="231F20"/>
          <w:spacing w:val="17"/>
          <w:sz w:val="20"/>
        </w:rPr>
        <w:t> </w:t>
      </w:r>
      <w:r>
        <w:rPr>
          <w:color w:val="231F20"/>
          <w:sz w:val="20"/>
        </w:rPr>
        <w:t>is</w:t>
      </w:r>
      <w:r>
        <w:rPr>
          <w:color w:val="231F20"/>
          <w:spacing w:val="16"/>
          <w:sz w:val="20"/>
        </w:rPr>
        <w:t> </w:t>
      </w:r>
      <w:r>
        <w:rPr>
          <w:color w:val="231F20"/>
          <w:sz w:val="20"/>
        </w:rPr>
        <w:t>desired.</w:t>
      </w:r>
    </w:p>
    <w:p>
      <w:pPr>
        <w:pStyle w:val="ListParagraph"/>
        <w:numPr>
          <w:ilvl w:val="0"/>
          <w:numId w:val="6"/>
        </w:numPr>
        <w:tabs>
          <w:tab w:pos="802" w:val="left" w:leader="none"/>
        </w:tabs>
        <w:spacing w:line="249" w:lineRule="auto" w:before="2" w:after="0"/>
        <w:ind w:left="801" w:right="1437" w:hanging="243"/>
        <w:jc w:val="both"/>
        <w:rPr>
          <w:sz w:val="20"/>
        </w:rPr>
      </w:pPr>
      <w:r>
        <w:rPr>
          <w:color w:val="231F20"/>
          <w:w w:val="105"/>
          <w:sz w:val="20"/>
        </w:rPr>
        <w:t>The</w:t>
      </w:r>
      <w:r>
        <w:rPr>
          <w:color w:val="231F20"/>
          <w:spacing w:val="-9"/>
          <w:w w:val="105"/>
          <w:sz w:val="20"/>
        </w:rPr>
        <w:t> </w:t>
      </w:r>
      <w:r>
        <w:rPr>
          <w:color w:val="231F20"/>
          <w:w w:val="105"/>
          <w:sz w:val="20"/>
        </w:rPr>
        <w:t>higher</w:t>
      </w:r>
      <w:r>
        <w:rPr>
          <w:color w:val="231F20"/>
          <w:spacing w:val="-8"/>
          <w:w w:val="105"/>
          <w:sz w:val="20"/>
        </w:rPr>
        <w:t> </w:t>
      </w:r>
      <w:r>
        <w:rPr>
          <w:color w:val="231F20"/>
          <w:w w:val="105"/>
          <w:sz w:val="20"/>
        </w:rPr>
        <w:t>centers</w:t>
      </w:r>
      <w:r>
        <w:rPr>
          <w:color w:val="231F20"/>
          <w:spacing w:val="-9"/>
          <w:w w:val="105"/>
          <w:sz w:val="20"/>
        </w:rPr>
        <w:t> </w:t>
      </w:r>
      <w:r>
        <w:rPr>
          <w:color w:val="231F20"/>
          <w:w w:val="105"/>
          <w:sz w:val="20"/>
        </w:rPr>
        <w:t>can</w:t>
      </w:r>
      <w:r>
        <w:rPr>
          <w:color w:val="231F20"/>
          <w:spacing w:val="-8"/>
          <w:w w:val="105"/>
          <w:sz w:val="20"/>
        </w:rPr>
        <w:t> </w:t>
      </w:r>
      <w:r>
        <w:rPr>
          <w:color w:val="231F20"/>
          <w:w w:val="105"/>
          <w:sz w:val="20"/>
        </w:rPr>
        <w:t>prevent</w:t>
      </w:r>
      <w:r>
        <w:rPr>
          <w:color w:val="231F20"/>
          <w:spacing w:val="-9"/>
          <w:w w:val="105"/>
          <w:sz w:val="20"/>
        </w:rPr>
        <w:t> </w:t>
      </w:r>
      <w:r>
        <w:rPr>
          <w:color w:val="231F20"/>
          <w:w w:val="105"/>
          <w:sz w:val="20"/>
        </w:rPr>
        <w:t>micturition,</w:t>
      </w:r>
      <w:r>
        <w:rPr>
          <w:color w:val="231F20"/>
          <w:spacing w:val="-8"/>
          <w:w w:val="105"/>
          <w:sz w:val="20"/>
        </w:rPr>
        <w:t> </w:t>
      </w:r>
      <w:r>
        <w:rPr>
          <w:color w:val="231F20"/>
          <w:w w:val="105"/>
          <w:sz w:val="20"/>
        </w:rPr>
        <w:t>even</w:t>
      </w:r>
      <w:r>
        <w:rPr>
          <w:color w:val="231F20"/>
          <w:spacing w:val="-9"/>
          <w:w w:val="105"/>
          <w:sz w:val="20"/>
        </w:rPr>
        <w:t> </w:t>
      </w:r>
      <w:r>
        <w:rPr>
          <w:color w:val="231F20"/>
          <w:spacing w:val="-6"/>
          <w:w w:val="105"/>
          <w:sz w:val="20"/>
        </w:rPr>
        <w:t>if </w:t>
      </w:r>
      <w:r>
        <w:rPr>
          <w:color w:val="231F20"/>
          <w:w w:val="105"/>
          <w:sz w:val="20"/>
        </w:rPr>
        <w:t>the micturition reflex occurs, by tonic contraction of</w:t>
      </w:r>
      <w:r>
        <w:rPr>
          <w:color w:val="231F20"/>
          <w:spacing w:val="-9"/>
          <w:w w:val="105"/>
          <w:sz w:val="20"/>
        </w:rPr>
        <w:t> </w:t>
      </w:r>
      <w:r>
        <w:rPr>
          <w:color w:val="231F20"/>
          <w:w w:val="105"/>
          <w:sz w:val="20"/>
        </w:rPr>
        <w:t>the</w:t>
      </w:r>
      <w:r>
        <w:rPr>
          <w:color w:val="231F20"/>
          <w:spacing w:val="-9"/>
          <w:w w:val="105"/>
          <w:sz w:val="20"/>
        </w:rPr>
        <w:t> </w:t>
      </w:r>
      <w:r>
        <w:rPr>
          <w:color w:val="231F20"/>
          <w:w w:val="105"/>
          <w:sz w:val="20"/>
        </w:rPr>
        <w:t>external</w:t>
      </w:r>
      <w:r>
        <w:rPr>
          <w:color w:val="231F20"/>
          <w:spacing w:val="-8"/>
          <w:w w:val="105"/>
          <w:sz w:val="20"/>
        </w:rPr>
        <w:t> </w:t>
      </w:r>
      <w:r>
        <w:rPr>
          <w:color w:val="231F20"/>
          <w:w w:val="105"/>
          <w:sz w:val="20"/>
        </w:rPr>
        <w:t>bladder</w:t>
      </w:r>
      <w:r>
        <w:rPr>
          <w:color w:val="231F20"/>
          <w:spacing w:val="-9"/>
          <w:w w:val="105"/>
          <w:sz w:val="20"/>
        </w:rPr>
        <w:t> </w:t>
      </w:r>
      <w:r>
        <w:rPr>
          <w:color w:val="231F20"/>
          <w:w w:val="105"/>
          <w:sz w:val="20"/>
        </w:rPr>
        <w:t>sphincter</w:t>
      </w:r>
      <w:r>
        <w:rPr>
          <w:color w:val="231F20"/>
          <w:spacing w:val="-9"/>
          <w:w w:val="105"/>
          <w:sz w:val="20"/>
        </w:rPr>
        <w:t> </w:t>
      </w:r>
      <w:r>
        <w:rPr>
          <w:color w:val="231F20"/>
          <w:w w:val="105"/>
          <w:sz w:val="20"/>
        </w:rPr>
        <w:t>until</w:t>
      </w:r>
      <w:r>
        <w:rPr>
          <w:color w:val="231F20"/>
          <w:spacing w:val="-8"/>
          <w:w w:val="105"/>
          <w:sz w:val="20"/>
        </w:rPr>
        <w:t> </w:t>
      </w:r>
      <w:r>
        <w:rPr>
          <w:color w:val="231F20"/>
          <w:w w:val="105"/>
          <w:sz w:val="20"/>
        </w:rPr>
        <w:t>a</w:t>
      </w:r>
      <w:r>
        <w:rPr>
          <w:color w:val="231F20"/>
          <w:spacing w:val="-9"/>
          <w:w w:val="105"/>
          <w:sz w:val="20"/>
        </w:rPr>
        <w:t> </w:t>
      </w:r>
      <w:r>
        <w:rPr>
          <w:color w:val="231F20"/>
          <w:spacing w:val="-3"/>
          <w:w w:val="105"/>
          <w:sz w:val="20"/>
        </w:rPr>
        <w:t>convenient </w:t>
      </w:r>
      <w:r>
        <w:rPr>
          <w:color w:val="231F20"/>
          <w:w w:val="105"/>
          <w:sz w:val="20"/>
        </w:rPr>
        <w:t>time presents</w:t>
      </w:r>
      <w:r>
        <w:rPr>
          <w:color w:val="231F20"/>
          <w:spacing w:val="5"/>
          <w:w w:val="105"/>
          <w:sz w:val="20"/>
        </w:rPr>
        <w:t> </w:t>
      </w:r>
      <w:r>
        <w:rPr>
          <w:color w:val="231F20"/>
          <w:w w:val="105"/>
          <w:sz w:val="20"/>
        </w:rPr>
        <w:t>itself.</w:t>
      </w:r>
    </w:p>
    <w:p>
      <w:pPr>
        <w:pStyle w:val="ListParagraph"/>
        <w:numPr>
          <w:ilvl w:val="0"/>
          <w:numId w:val="6"/>
        </w:numPr>
        <w:tabs>
          <w:tab w:pos="802" w:val="left" w:leader="none"/>
        </w:tabs>
        <w:spacing w:line="249" w:lineRule="auto" w:before="3" w:after="0"/>
        <w:ind w:left="801" w:right="1437" w:hanging="243"/>
        <w:jc w:val="both"/>
        <w:rPr>
          <w:sz w:val="20"/>
        </w:rPr>
      </w:pPr>
      <w:r>
        <w:rPr>
          <w:color w:val="231F20"/>
          <w:w w:val="105"/>
          <w:sz w:val="20"/>
        </w:rPr>
        <w:t>When it is time to urinate, the cortical centers can facilitate</w:t>
      </w:r>
      <w:r>
        <w:rPr>
          <w:color w:val="231F20"/>
          <w:spacing w:val="-17"/>
          <w:w w:val="105"/>
          <w:sz w:val="20"/>
        </w:rPr>
        <w:t> </w:t>
      </w:r>
      <w:r>
        <w:rPr>
          <w:color w:val="231F20"/>
          <w:w w:val="105"/>
          <w:sz w:val="20"/>
        </w:rPr>
        <w:t>the</w:t>
      </w:r>
      <w:r>
        <w:rPr>
          <w:color w:val="231F20"/>
          <w:spacing w:val="-17"/>
          <w:w w:val="105"/>
          <w:sz w:val="20"/>
        </w:rPr>
        <w:t> </w:t>
      </w:r>
      <w:r>
        <w:rPr>
          <w:color w:val="231F20"/>
          <w:w w:val="105"/>
          <w:sz w:val="20"/>
        </w:rPr>
        <w:t>sacral</w:t>
      </w:r>
      <w:r>
        <w:rPr>
          <w:color w:val="231F20"/>
          <w:spacing w:val="-17"/>
          <w:w w:val="105"/>
          <w:sz w:val="20"/>
        </w:rPr>
        <w:t> </w:t>
      </w:r>
      <w:r>
        <w:rPr>
          <w:color w:val="231F20"/>
          <w:w w:val="105"/>
          <w:sz w:val="20"/>
        </w:rPr>
        <w:t>micturition</w:t>
      </w:r>
      <w:r>
        <w:rPr>
          <w:color w:val="231F20"/>
          <w:spacing w:val="-17"/>
          <w:w w:val="105"/>
          <w:sz w:val="20"/>
        </w:rPr>
        <w:t> </w:t>
      </w:r>
      <w:r>
        <w:rPr>
          <w:color w:val="231F20"/>
          <w:w w:val="105"/>
          <w:sz w:val="20"/>
        </w:rPr>
        <w:t>centers</w:t>
      </w:r>
      <w:r>
        <w:rPr>
          <w:color w:val="231F20"/>
          <w:spacing w:val="-17"/>
          <w:w w:val="105"/>
          <w:sz w:val="20"/>
        </w:rPr>
        <w:t> </w:t>
      </w:r>
      <w:r>
        <w:rPr>
          <w:color w:val="231F20"/>
          <w:w w:val="105"/>
          <w:sz w:val="20"/>
        </w:rPr>
        <w:t>to</w:t>
      </w:r>
      <w:r>
        <w:rPr>
          <w:color w:val="231F20"/>
          <w:spacing w:val="-17"/>
          <w:w w:val="105"/>
          <w:sz w:val="20"/>
        </w:rPr>
        <w:t> </w:t>
      </w:r>
      <w:r>
        <w:rPr>
          <w:color w:val="231F20"/>
          <w:w w:val="105"/>
          <w:sz w:val="20"/>
        </w:rPr>
        <w:t>help</w:t>
      </w:r>
      <w:r>
        <w:rPr>
          <w:color w:val="231F20"/>
          <w:spacing w:val="-17"/>
          <w:w w:val="105"/>
          <w:sz w:val="20"/>
        </w:rPr>
        <w:t> </w:t>
      </w:r>
      <w:r>
        <w:rPr>
          <w:color w:val="231F20"/>
          <w:w w:val="105"/>
          <w:sz w:val="20"/>
        </w:rPr>
        <w:t>initi- ate</w:t>
      </w:r>
      <w:r>
        <w:rPr>
          <w:color w:val="231F20"/>
          <w:spacing w:val="-13"/>
          <w:w w:val="105"/>
          <w:sz w:val="20"/>
        </w:rPr>
        <w:t> </w:t>
      </w:r>
      <w:r>
        <w:rPr>
          <w:color w:val="231F20"/>
          <w:w w:val="105"/>
          <w:sz w:val="20"/>
        </w:rPr>
        <w:t>a</w:t>
      </w:r>
      <w:r>
        <w:rPr>
          <w:color w:val="231F20"/>
          <w:spacing w:val="-13"/>
          <w:w w:val="105"/>
          <w:sz w:val="20"/>
        </w:rPr>
        <w:t> </w:t>
      </w:r>
      <w:r>
        <w:rPr>
          <w:color w:val="231F20"/>
          <w:w w:val="105"/>
          <w:sz w:val="20"/>
        </w:rPr>
        <w:t>micturition</w:t>
      </w:r>
      <w:r>
        <w:rPr>
          <w:color w:val="231F20"/>
          <w:spacing w:val="-12"/>
          <w:w w:val="105"/>
          <w:sz w:val="20"/>
        </w:rPr>
        <w:t> </w:t>
      </w:r>
      <w:r>
        <w:rPr>
          <w:color w:val="231F20"/>
          <w:w w:val="105"/>
          <w:sz w:val="20"/>
        </w:rPr>
        <w:t>reflex</w:t>
      </w:r>
      <w:r>
        <w:rPr>
          <w:color w:val="231F20"/>
          <w:spacing w:val="-13"/>
          <w:w w:val="105"/>
          <w:sz w:val="20"/>
        </w:rPr>
        <w:t> </w:t>
      </w:r>
      <w:r>
        <w:rPr>
          <w:color w:val="231F20"/>
          <w:w w:val="105"/>
          <w:sz w:val="20"/>
        </w:rPr>
        <w:t>and</w:t>
      </w:r>
      <w:r>
        <w:rPr>
          <w:color w:val="231F20"/>
          <w:spacing w:val="-12"/>
          <w:w w:val="105"/>
          <w:sz w:val="20"/>
        </w:rPr>
        <w:t> </w:t>
      </w:r>
      <w:r>
        <w:rPr>
          <w:color w:val="231F20"/>
          <w:w w:val="105"/>
          <w:sz w:val="20"/>
        </w:rPr>
        <w:t>at</w:t>
      </w:r>
      <w:r>
        <w:rPr>
          <w:color w:val="231F20"/>
          <w:spacing w:val="-13"/>
          <w:w w:val="105"/>
          <w:sz w:val="20"/>
        </w:rPr>
        <w:t> </w:t>
      </w:r>
      <w:r>
        <w:rPr>
          <w:color w:val="231F20"/>
          <w:w w:val="105"/>
          <w:sz w:val="20"/>
        </w:rPr>
        <w:t>the</w:t>
      </w:r>
      <w:r>
        <w:rPr>
          <w:color w:val="231F20"/>
          <w:spacing w:val="-13"/>
          <w:w w:val="105"/>
          <w:sz w:val="20"/>
        </w:rPr>
        <w:t> </w:t>
      </w:r>
      <w:r>
        <w:rPr>
          <w:color w:val="231F20"/>
          <w:w w:val="105"/>
          <w:sz w:val="20"/>
        </w:rPr>
        <w:t>same</w:t>
      </w:r>
      <w:r>
        <w:rPr>
          <w:color w:val="231F20"/>
          <w:spacing w:val="-12"/>
          <w:w w:val="105"/>
          <w:sz w:val="20"/>
        </w:rPr>
        <w:t> </w:t>
      </w:r>
      <w:r>
        <w:rPr>
          <w:color w:val="231F20"/>
          <w:w w:val="105"/>
          <w:sz w:val="20"/>
        </w:rPr>
        <w:t>time</w:t>
      </w:r>
      <w:r>
        <w:rPr>
          <w:color w:val="231F20"/>
          <w:spacing w:val="-13"/>
          <w:w w:val="105"/>
          <w:sz w:val="20"/>
        </w:rPr>
        <w:t> </w:t>
      </w:r>
      <w:r>
        <w:rPr>
          <w:color w:val="231F20"/>
          <w:w w:val="105"/>
          <w:sz w:val="20"/>
        </w:rPr>
        <w:t>inhibit the</w:t>
      </w:r>
      <w:r>
        <w:rPr>
          <w:color w:val="231F20"/>
          <w:spacing w:val="-6"/>
          <w:w w:val="105"/>
          <w:sz w:val="20"/>
        </w:rPr>
        <w:t> </w:t>
      </w:r>
      <w:r>
        <w:rPr>
          <w:color w:val="231F20"/>
          <w:w w:val="105"/>
          <w:sz w:val="20"/>
        </w:rPr>
        <w:t>external</w:t>
      </w:r>
      <w:r>
        <w:rPr>
          <w:color w:val="231F20"/>
          <w:spacing w:val="-6"/>
          <w:w w:val="105"/>
          <w:sz w:val="20"/>
        </w:rPr>
        <w:t> </w:t>
      </w:r>
      <w:r>
        <w:rPr>
          <w:color w:val="231F20"/>
          <w:w w:val="105"/>
          <w:sz w:val="20"/>
        </w:rPr>
        <w:t>urinary</w:t>
      </w:r>
      <w:r>
        <w:rPr>
          <w:color w:val="231F20"/>
          <w:spacing w:val="-6"/>
          <w:w w:val="105"/>
          <w:sz w:val="20"/>
        </w:rPr>
        <w:t> </w:t>
      </w:r>
      <w:r>
        <w:rPr>
          <w:color w:val="231F20"/>
          <w:w w:val="105"/>
          <w:sz w:val="20"/>
        </w:rPr>
        <w:t>sphincter</w:t>
      </w:r>
      <w:r>
        <w:rPr>
          <w:color w:val="231F20"/>
          <w:spacing w:val="-6"/>
          <w:w w:val="105"/>
          <w:sz w:val="20"/>
        </w:rPr>
        <w:t> </w:t>
      </w:r>
      <w:r>
        <w:rPr>
          <w:color w:val="231F20"/>
          <w:w w:val="105"/>
          <w:sz w:val="20"/>
        </w:rPr>
        <w:t>so</w:t>
      </w:r>
      <w:r>
        <w:rPr>
          <w:color w:val="231F20"/>
          <w:spacing w:val="-5"/>
          <w:w w:val="105"/>
          <w:sz w:val="20"/>
        </w:rPr>
        <w:t> </w:t>
      </w:r>
      <w:r>
        <w:rPr>
          <w:color w:val="231F20"/>
          <w:w w:val="105"/>
          <w:sz w:val="20"/>
        </w:rPr>
        <w:t>that</w:t>
      </w:r>
      <w:r>
        <w:rPr>
          <w:color w:val="231F20"/>
          <w:spacing w:val="-6"/>
          <w:w w:val="105"/>
          <w:sz w:val="20"/>
        </w:rPr>
        <w:t> </w:t>
      </w:r>
      <w:r>
        <w:rPr>
          <w:color w:val="231F20"/>
          <w:w w:val="105"/>
          <w:sz w:val="20"/>
        </w:rPr>
        <w:t>urination</w:t>
      </w:r>
      <w:r>
        <w:rPr>
          <w:color w:val="231F20"/>
          <w:spacing w:val="-6"/>
          <w:w w:val="105"/>
          <w:sz w:val="20"/>
        </w:rPr>
        <w:t> </w:t>
      </w:r>
      <w:r>
        <w:rPr>
          <w:color w:val="231F20"/>
          <w:w w:val="105"/>
          <w:sz w:val="20"/>
        </w:rPr>
        <w:t>can </w:t>
      </w:r>
      <w:r>
        <w:rPr>
          <w:color w:val="231F20"/>
          <w:spacing w:val="-3"/>
          <w:w w:val="105"/>
          <w:sz w:val="20"/>
        </w:rPr>
        <w:t>occur.</w:t>
      </w:r>
    </w:p>
    <w:p>
      <w:pPr>
        <w:pStyle w:val="BodyText"/>
        <w:spacing w:line="249" w:lineRule="auto" w:before="4"/>
        <w:ind w:left="319" w:right="1437" w:firstLine="240"/>
        <w:jc w:val="both"/>
      </w:pPr>
      <w:r>
        <w:rPr>
          <w:i/>
          <w:color w:val="231F20"/>
        </w:rPr>
        <w:t>Voluntary urination </w:t>
      </w:r>
      <w:r>
        <w:rPr>
          <w:color w:val="231F20"/>
        </w:rPr>
        <w:t>is usually initiated in the following way: First, a person voluntarily contracts his or her abdominal muscles, which increases the pressure in the bladder and allows extra urine to enter the bladder </w:t>
      </w:r>
      <w:r>
        <w:rPr>
          <w:color w:val="231F20"/>
          <w:spacing w:val="-3"/>
        </w:rPr>
        <w:t>neck </w:t>
      </w:r>
      <w:r>
        <w:rPr>
          <w:color w:val="231F20"/>
        </w:rPr>
        <w:t>and posterior urethra under pressure,  thus  stretching  their walls. This action stimulates the stretch receptors, which excites the micturition reflex and simultaneously inhibits the external urethral sphincter. Ordinarily, all the urine will be emptied, with rarely more than 5 to 10 mil- liliters left in the</w:t>
      </w:r>
      <w:r>
        <w:rPr>
          <w:color w:val="231F20"/>
          <w:spacing w:val="25"/>
        </w:rPr>
        <w:t> </w:t>
      </w:r>
      <w:r>
        <w:rPr>
          <w:color w:val="231F20"/>
        </w:rPr>
        <w:t>bladder.</w:t>
      </w:r>
    </w:p>
    <w:p>
      <w:pPr>
        <w:pStyle w:val="BodyText"/>
        <w:spacing w:before="2"/>
        <w:rPr>
          <w:sz w:val="24"/>
        </w:rPr>
      </w:pPr>
      <w:r>
        <w:rPr/>
        <w:pict>
          <v:shape style="position:absolute;margin-left:306pt;margin-top:15.116436pt;width:234pt;height:258.6500pt;mso-position-horizontal-relative:page;mso-position-vertical-relative:paragraph;z-index:-251443200;mso-wrap-distance-left:0;mso-wrap-distance-right:0" type="#_x0000_t202" filled="true" fillcolor="#f0eef6" stroked="false">
            <v:textbox inset="0,0,0,0">
              <w:txbxContent>
                <w:p>
                  <w:pPr>
                    <w:spacing w:before="124"/>
                    <w:ind w:left="180" w:right="0" w:firstLine="0"/>
                    <w:jc w:val="both"/>
                    <w:rPr>
                      <w:rFonts w:ascii="Trebuchet MS"/>
                      <w:b/>
                      <w:sz w:val="18"/>
                    </w:rPr>
                  </w:pPr>
                  <w:r>
                    <w:rPr>
                      <w:rFonts w:ascii="Trebuchet MS"/>
                      <w:b/>
                      <w:color w:val="231F20"/>
                      <w:w w:val="105"/>
                      <w:sz w:val="18"/>
                    </w:rPr>
                    <w:t>Abnormalities of Micturition</w:t>
                  </w:r>
                </w:p>
                <w:p>
                  <w:pPr>
                    <w:spacing w:line="256" w:lineRule="auto" w:before="109"/>
                    <w:ind w:left="180" w:right="177" w:firstLine="0"/>
                    <w:jc w:val="both"/>
                    <w:rPr>
                      <w:i/>
                      <w:sz w:val="18"/>
                    </w:rPr>
                  </w:pPr>
                  <w:r>
                    <w:rPr>
                      <w:rFonts w:ascii="Trebuchet MS"/>
                      <w:b/>
                      <w:color w:val="231F20"/>
                      <w:sz w:val="16"/>
                    </w:rPr>
                    <w:t>Atonic Bladder and Incontinence Caused by Destruction of Sensory Nerve Fibers. </w:t>
                  </w:r>
                  <w:r>
                    <w:rPr>
                      <w:color w:val="231F20"/>
                      <w:sz w:val="18"/>
                    </w:rPr>
                    <w:t>Micturition reflex contraction cannot occur if the sensory nerve fibers from the bladder   to the spinal cord are destroyed, thereby preventing trans- mission of stretch signals from the bladder. When </w:t>
                  </w:r>
                  <w:r>
                    <w:rPr>
                      <w:color w:val="231F20"/>
                      <w:spacing w:val="-4"/>
                      <w:sz w:val="18"/>
                    </w:rPr>
                    <w:t>this </w:t>
                  </w:r>
                  <w:r>
                    <w:rPr>
                      <w:color w:val="231F20"/>
                      <w:sz w:val="18"/>
                    </w:rPr>
                    <w:t>happens, a person loses bladder control, despite </w:t>
                  </w:r>
                  <w:r>
                    <w:rPr>
                      <w:color w:val="231F20"/>
                      <w:spacing w:val="-3"/>
                      <w:sz w:val="18"/>
                    </w:rPr>
                    <w:t>intact </w:t>
                  </w:r>
                  <w:r>
                    <w:rPr>
                      <w:color w:val="231F20"/>
                      <w:sz w:val="18"/>
                    </w:rPr>
                    <w:t>efferent fibers from the cord to the bladder and</w:t>
                  </w:r>
                  <w:r>
                    <w:rPr>
                      <w:color w:val="231F20"/>
                      <w:spacing w:val="17"/>
                      <w:sz w:val="18"/>
                    </w:rPr>
                    <w:t> </w:t>
                  </w:r>
                  <w:r>
                    <w:rPr>
                      <w:color w:val="231F20"/>
                      <w:sz w:val="18"/>
                    </w:rPr>
                    <w:t>despite intact neurogenic connections within the brain. Instead of emptying periodically, the bladder fills to capacity and overflows a few drops at a time through the urethra. This occurrence is called </w:t>
                  </w:r>
                  <w:r>
                    <w:rPr>
                      <w:i/>
                      <w:color w:val="231F20"/>
                      <w:sz w:val="18"/>
                    </w:rPr>
                    <w:t>overflow</w:t>
                  </w:r>
                  <w:r>
                    <w:rPr>
                      <w:i/>
                      <w:color w:val="231F20"/>
                      <w:spacing w:val="24"/>
                      <w:sz w:val="18"/>
                    </w:rPr>
                    <w:t> </w:t>
                  </w:r>
                  <w:r>
                    <w:rPr>
                      <w:i/>
                      <w:color w:val="231F20"/>
                      <w:sz w:val="18"/>
                    </w:rPr>
                    <w:t>incontinence.</w:t>
                  </w:r>
                </w:p>
                <w:p>
                  <w:pPr>
                    <w:spacing w:line="195" w:lineRule="exact" w:before="0"/>
                    <w:ind w:left="419" w:right="0" w:firstLine="0"/>
                    <w:jc w:val="both"/>
                    <w:rPr>
                      <w:sz w:val="18"/>
                    </w:rPr>
                  </w:pPr>
                  <w:r>
                    <w:rPr>
                      <w:color w:val="231F20"/>
                      <w:w w:val="105"/>
                      <w:sz w:val="18"/>
                    </w:rPr>
                    <w:t>A common cause of atonic bladder is crush injury to the</w:t>
                  </w:r>
                </w:p>
                <w:p>
                  <w:pPr>
                    <w:spacing w:line="254" w:lineRule="auto" w:before="13"/>
                    <w:ind w:left="180" w:right="177" w:firstLine="0"/>
                    <w:jc w:val="both"/>
                    <w:rPr>
                      <w:rFonts w:ascii="Cambria"/>
                      <w:i/>
                      <w:sz w:val="18"/>
                    </w:rPr>
                  </w:pPr>
                  <w:r>
                    <w:rPr>
                      <w:color w:val="231F20"/>
                      <w:w w:val="105"/>
                      <w:sz w:val="18"/>
                    </w:rPr>
                    <w:t>sacral region of the spinal cord. Certain diseases can also cause</w:t>
                  </w:r>
                  <w:r>
                    <w:rPr>
                      <w:color w:val="231F20"/>
                      <w:spacing w:val="-6"/>
                      <w:w w:val="105"/>
                      <w:sz w:val="18"/>
                    </w:rPr>
                    <w:t> </w:t>
                  </w:r>
                  <w:r>
                    <w:rPr>
                      <w:color w:val="231F20"/>
                      <w:w w:val="105"/>
                      <w:sz w:val="18"/>
                    </w:rPr>
                    <w:t>damage</w:t>
                  </w:r>
                  <w:r>
                    <w:rPr>
                      <w:color w:val="231F20"/>
                      <w:spacing w:val="-5"/>
                      <w:w w:val="105"/>
                      <w:sz w:val="18"/>
                    </w:rPr>
                    <w:t> </w:t>
                  </w:r>
                  <w:r>
                    <w:rPr>
                      <w:color w:val="231F20"/>
                      <w:w w:val="105"/>
                      <w:sz w:val="18"/>
                    </w:rPr>
                    <w:t>to</w:t>
                  </w:r>
                  <w:r>
                    <w:rPr>
                      <w:color w:val="231F20"/>
                      <w:spacing w:val="-6"/>
                      <w:w w:val="105"/>
                      <w:sz w:val="18"/>
                    </w:rPr>
                    <w:t> </w:t>
                  </w:r>
                  <w:r>
                    <w:rPr>
                      <w:color w:val="231F20"/>
                      <w:w w:val="105"/>
                      <w:sz w:val="18"/>
                    </w:rPr>
                    <w:t>the</w:t>
                  </w:r>
                  <w:r>
                    <w:rPr>
                      <w:color w:val="231F20"/>
                      <w:spacing w:val="-5"/>
                      <w:w w:val="105"/>
                      <w:sz w:val="18"/>
                    </w:rPr>
                    <w:t> </w:t>
                  </w:r>
                  <w:r>
                    <w:rPr>
                      <w:color w:val="231F20"/>
                      <w:w w:val="105"/>
                      <w:sz w:val="18"/>
                    </w:rPr>
                    <w:t>dorsal</w:t>
                  </w:r>
                  <w:r>
                    <w:rPr>
                      <w:color w:val="231F20"/>
                      <w:spacing w:val="-5"/>
                      <w:w w:val="105"/>
                      <w:sz w:val="18"/>
                    </w:rPr>
                    <w:t> </w:t>
                  </w:r>
                  <w:r>
                    <w:rPr>
                      <w:color w:val="231F20"/>
                      <w:w w:val="105"/>
                      <w:sz w:val="18"/>
                    </w:rPr>
                    <w:t>root</w:t>
                  </w:r>
                  <w:r>
                    <w:rPr>
                      <w:color w:val="231F20"/>
                      <w:spacing w:val="-6"/>
                      <w:w w:val="105"/>
                      <w:sz w:val="18"/>
                    </w:rPr>
                    <w:t> </w:t>
                  </w:r>
                  <w:r>
                    <w:rPr>
                      <w:color w:val="231F20"/>
                      <w:w w:val="105"/>
                      <w:sz w:val="18"/>
                    </w:rPr>
                    <w:t>nerve</w:t>
                  </w:r>
                  <w:r>
                    <w:rPr>
                      <w:color w:val="231F20"/>
                      <w:spacing w:val="-5"/>
                      <w:w w:val="105"/>
                      <w:sz w:val="18"/>
                    </w:rPr>
                    <w:t> </w:t>
                  </w:r>
                  <w:r>
                    <w:rPr>
                      <w:color w:val="231F20"/>
                      <w:w w:val="105"/>
                      <w:sz w:val="18"/>
                    </w:rPr>
                    <w:t>fibers</w:t>
                  </w:r>
                  <w:r>
                    <w:rPr>
                      <w:color w:val="231F20"/>
                      <w:spacing w:val="-5"/>
                      <w:w w:val="105"/>
                      <w:sz w:val="18"/>
                    </w:rPr>
                    <w:t> </w:t>
                  </w:r>
                  <w:r>
                    <w:rPr>
                      <w:color w:val="231F20"/>
                      <w:w w:val="105"/>
                      <w:sz w:val="18"/>
                    </w:rPr>
                    <w:t>that</w:t>
                  </w:r>
                  <w:r>
                    <w:rPr>
                      <w:color w:val="231F20"/>
                      <w:spacing w:val="-6"/>
                      <w:w w:val="105"/>
                      <w:sz w:val="18"/>
                    </w:rPr>
                    <w:t> </w:t>
                  </w:r>
                  <w:r>
                    <w:rPr>
                      <w:color w:val="231F20"/>
                      <w:w w:val="105"/>
                      <w:sz w:val="18"/>
                    </w:rPr>
                    <w:t>enter</w:t>
                  </w:r>
                  <w:r>
                    <w:rPr>
                      <w:color w:val="231F20"/>
                      <w:spacing w:val="-5"/>
                      <w:w w:val="105"/>
                      <w:sz w:val="18"/>
                    </w:rPr>
                    <w:t> </w:t>
                  </w:r>
                  <w:r>
                    <w:rPr>
                      <w:color w:val="231F20"/>
                      <w:w w:val="105"/>
                      <w:sz w:val="18"/>
                    </w:rPr>
                    <w:t>the spinal cord. </w:t>
                  </w:r>
                  <w:r>
                    <w:rPr>
                      <w:color w:val="231F20"/>
                      <w:spacing w:val="-3"/>
                      <w:w w:val="105"/>
                      <w:sz w:val="18"/>
                    </w:rPr>
                    <w:t>For </w:t>
                  </w:r>
                  <w:r>
                    <w:rPr>
                      <w:color w:val="231F20"/>
                      <w:w w:val="105"/>
                      <w:sz w:val="18"/>
                    </w:rPr>
                    <w:t>example, syphilis can cause constrictive fibrosis around the dorsal root nerve fibers, destroying them.</w:t>
                  </w:r>
                  <w:r>
                    <w:rPr>
                      <w:color w:val="231F20"/>
                      <w:spacing w:val="-26"/>
                      <w:w w:val="105"/>
                      <w:sz w:val="18"/>
                    </w:rPr>
                    <w:t> </w:t>
                  </w:r>
                  <w:r>
                    <w:rPr>
                      <w:color w:val="231F20"/>
                      <w:w w:val="105"/>
                      <w:sz w:val="18"/>
                    </w:rPr>
                    <w:t>This</w:t>
                  </w:r>
                  <w:r>
                    <w:rPr>
                      <w:color w:val="231F20"/>
                      <w:spacing w:val="-25"/>
                      <w:w w:val="105"/>
                      <w:sz w:val="18"/>
                    </w:rPr>
                    <w:t> </w:t>
                  </w:r>
                  <w:r>
                    <w:rPr>
                      <w:color w:val="231F20"/>
                      <w:w w:val="105"/>
                      <w:sz w:val="18"/>
                    </w:rPr>
                    <w:t>condition</w:t>
                  </w:r>
                  <w:r>
                    <w:rPr>
                      <w:color w:val="231F20"/>
                      <w:spacing w:val="-25"/>
                      <w:w w:val="105"/>
                      <w:sz w:val="18"/>
                    </w:rPr>
                    <w:t> </w:t>
                  </w:r>
                  <w:r>
                    <w:rPr>
                      <w:color w:val="231F20"/>
                      <w:w w:val="105"/>
                      <w:sz w:val="18"/>
                    </w:rPr>
                    <w:t>is</w:t>
                  </w:r>
                  <w:r>
                    <w:rPr>
                      <w:color w:val="231F20"/>
                      <w:spacing w:val="-25"/>
                      <w:w w:val="105"/>
                      <w:sz w:val="18"/>
                    </w:rPr>
                    <w:t> </w:t>
                  </w:r>
                  <w:r>
                    <w:rPr>
                      <w:color w:val="231F20"/>
                      <w:w w:val="105"/>
                      <w:sz w:val="18"/>
                    </w:rPr>
                    <w:t>called</w:t>
                  </w:r>
                  <w:r>
                    <w:rPr>
                      <w:color w:val="231F20"/>
                      <w:spacing w:val="-25"/>
                      <w:w w:val="105"/>
                      <w:sz w:val="18"/>
                    </w:rPr>
                    <w:t> </w:t>
                  </w:r>
                  <w:r>
                    <w:rPr>
                      <w:rFonts w:ascii="Cambria"/>
                      <w:i/>
                      <w:color w:val="231F20"/>
                      <w:w w:val="105"/>
                      <w:sz w:val="18"/>
                    </w:rPr>
                    <w:t>tabes</w:t>
                  </w:r>
                  <w:r>
                    <w:rPr>
                      <w:rFonts w:ascii="Cambria"/>
                      <w:i/>
                      <w:color w:val="231F20"/>
                      <w:spacing w:val="-20"/>
                      <w:w w:val="105"/>
                      <w:sz w:val="18"/>
                    </w:rPr>
                    <w:t> </w:t>
                  </w:r>
                  <w:r>
                    <w:rPr>
                      <w:rFonts w:ascii="Cambria"/>
                      <w:i/>
                      <w:color w:val="231F20"/>
                      <w:w w:val="105"/>
                      <w:sz w:val="18"/>
                    </w:rPr>
                    <w:t>dorsalis,</w:t>
                  </w:r>
                  <w:r>
                    <w:rPr>
                      <w:rFonts w:ascii="Cambria"/>
                      <w:i/>
                      <w:color w:val="231F20"/>
                      <w:spacing w:val="-19"/>
                      <w:w w:val="105"/>
                      <w:sz w:val="18"/>
                    </w:rPr>
                    <w:t> </w:t>
                  </w:r>
                  <w:r>
                    <w:rPr>
                      <w:color w:val="231F20"/>
                      <w:w w:val="105"/>
                      <w:sz w:val="18"/>
                    </w:rPr>
                    <w:t>and</w:t>
                  </w:r>
                  <w:r>
                    <w:rPr>
                      <w:color w:val="231F20"/>
                      <w:spacing w:val="-25"/>
                      <w:w w:val="105"/>
                      <w:sz w:val="18"/>
                    </w:rPr>
                    <w:t> </w:t>
                  </w:r>
                  <w:r>
                    <w:rPr>
                      <w:color w:val="231F20"/>
                      <w:w w:val="105"/>
                      <w:sz w:val="18"/>
                    </w:rPr>
                    <w:t>the</w:t>
                  </w:r>
                  <w:r>
                    <w:rPr>
                      <w:color w:val="231F20"/>
                      <w:spacing w:val="-25"/>
                      <w:w w:val="105"/>
                      <w:sz w:val="18"/>
                    </w:rPr>
                    <w:t> </w:t>
                  </w:r>
                  <w:r>
                    <w:rPr>
                      <w:color w:val="231F20"/>
                      <w:w w:val="105"/>
                      <w:sz w:val="18"/>
                    </w:rPr>
                    <w:t>result- ing bladder condition is called </w:t>
                  </w:r>
                  <w:r>
                    <w:rPr>
                      <w:rFonts w:ascii="Cambria"/>
                      <w:i/>
                      <w:color w:val="231F20"/>
                      <w:w w:val="105"/>
                      <w:sz w:val="18"/>
                    </w:rPr>
                    <w:t>tabetic</w:t>
                  </w:r>
                  <w:r>
                    <w:rPr>
                      <w:rFonts w:ascii="Cambria"/>
                      <w:i/>
                      <w:color w:val="231F20"/>
                      <w:spacing w:val="-9"/>
                      <w:w w:val="105"/>
                      <w:sz w:val="18"/>
                    </w:rPr>
                    <w:t> </w:t>
                  </w:r>
                  <w:r>
                    <w:rPr>
                      <w:rFonts w:ascii="Cambria"/>
                      <w:i/>
                      <w:color w:val="231F20"/>
                      <w:w w:val="105"/>
                      <w:sz w:val="18"/>
                    </w:rPr>
                    <w:t>bladder.</w:t>
                  </w:r>
                </w:p>
                <w:p>
                  <w:pPr>
                    <w:spacing w:line="259" w:lineRule="auto" w:before="14"/>
                    <w:ind w:left="179" w:right="177" w:firstLine="240"/>
                    <w:jc w:val="both"/>
                    <w:rPr>
                      <w:sz w:val="18"/>
                    </w:rPr>
                  </w:pPr>
                  <w:r>
                    <w:rPr>
                      <w:rFonts w:ascii="Trebuchet MS"/>
                      <w:b/>
                      <w:color w:val="231F20"/>
                      <w:sz w:val="16"/>
                    </w:rPr>
                    <w:t>Automatic Bladder Caused by Spinal Cord Damage Above the Sacral Region. </w:t>
                  </w:r>
                  <w:r>
                    <w:rPr>
                      <w:color w:val="231F20"/>
                      <w:sz w:val="18"/>
                    </w:rPr>
                    <w:t>If the spinal cord is damaged above the sacral region but the sacral cord segments are</w:t>
                  </w:r>
                </w:p>
              </w:txbxContent>
            </v:textbox>
            <v:fill type="solid"/>
            <w10:wrap type="topAndBottom"/>
          </v:shape>
        </w:pict>
      </w:r>
    </w:p>
    <w:p>
      <w:pPr>
        <w:spacing w:after="0"/>
        <w:rPr>
          <w:sz w:val="24"/>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after="0"/>
        <w:rPr>
          <w:sz w:val="24"/>
        </w:rPr>
        <w:sectPr>
          <w:headerReference w:type="even" r:id="rId354"/>
          <w:pgSz w:w="12240" w:h="15660"/>
          <w:pgMar w:header="0" w:footer="567" w:top="0" w:bottom="760" w:left="0" w:right="0"/>
        </w:sectPr>
      </w:pPr>
    </w:p>
    <w:p>
      <w:pPr>
        <w:pStyle w:val="BodyText"/>
        <w:rPr>
          <w:sz w:val="18"/>
        </w:rPr>
      </w:pPr>
    </w:p>
    <w:p>
      <w:pPr>
        <w:pStyle w:val="BodyText"/>
        <w:rPr>
          <w:sz w:val="18"/>
        </w:rPr>
      </w:pPr>
    </w:p>
    <w:p>
      <w:pPr>
        <w:pStyle w:val="BodyText"/>
        <w:rPr>
          <w:sz w:val="18"/>
        </w:rPr>
      </w:pPr>
    </w:p>
    <w:p>
      <w:pPr>
        <w:pStyle w:val="BodyText"/>
        <w:rPr>
          <w:sz w:val="18"/>
        </w:rPr>
      </w:pPr>
    </w:p>
    <w:p>
      <w:pPr>
        <w:spacing w:line="235" w:lineRule="auto" w:before="111"/>
        <w:ind w:left="6694" w:right="0" w:hanging="80"/>
        <w:jc w:val="right"/>
        <w:rPr>
          <w:rFonts w:ascii="Helvetica"/>
          <w:sz w:val="16"/>
        </w:rPr>
      </w:pPr>
      <w:r>
        <w:rPr>
          <w:rFonts w:ascii="Helvetica"/>
          <w:color w:val="231F20"/>
          <w:w w:val="95"/>
          <w:sz w:val="16"/>
        </w:rPr>
        <w:t>Glomerular capillaries</w:t>
      </w:r>
    </w:p>
    <w:p>
      <w:pPr>
        <w:spacing w:line="235" w:lineRule="auto" w:before="102"/>
        <w:ind w:left="147" w:right="-20" w:firstLine="8"/>
        <w:jc w:val="left"/>
        <w:rPr>
          <w:rFonts w:ascii="Helvetica"/>
          <w:sz w:val="16"/>
        </w:rPr>
      </w:pPr>
      <w:r>
        <w:rPr/>
        <w:br w:type="column"/>
      </w:r>
      <w:r>
        <w:rPr>
          <w:rFonts w:ascii="Helvetica"/>
          <w:color w:val="231F20"/>
          <w:sz w:val="16"/>
        </w:rPr>
        <w:t>Afferent arteriole</w:t>
      </w:r>
    </w:p>
    <w:p>
      <w:pPr>
        <w:spacing w:line="235" w:lineRule="auto" w:before="102"/>
        <w:ind w:left="700" w:right="-20" w:firstLine="8"/>
        <w:jc w:val="left"/>
        <w:rPr>
          <w:rFonts w:ascii="Helvetica"/>
          <w:sz w:val="16"/>
        </w:rPr>
      </w:pPr>
      <w:r>
        <w:rPr/>
        <w:br w:type="column"/>
      </w:r>
      <w:r>
        <w:rPr>
          <w:rFonts w:ascii="Helvetica"/>
          <w:color w:val="231F20"/>
          <w:sz w:val="16"/>
        </w:rPr>
        <w:t>Efferent arteriole</w:t>
      </w:r>
    </w:p>
    <w:p>
      <w:pPr>
        <w:pStyle w:val="BodyText"/>
        <w:rPr>
          <w:rFonts w:ascii="Helvetica"/>
          <w:sz w:val="18"/>
        </w:rPr>
      </w:pPr>
      <w:r>
        <w:rPr/>
        <w:br w:type="column"/>
      </w:r>
      <w:r>
        <w:rPr>
          <w:rFonts w:ascii="Helvetica"/>
          <w:sz w:val="18"/>
        </w:rPr>
      </w:r>
    </w:p>
    <w:p>
      <w:pPr>
        <w:pStyle w:val="BodyText"/>
        <w:rPr>
          <w:rFonts w:ascii="Helvetica"/>
          <w:sz w:val="18"/>
        </w:rPr>
      </w:pPr>
    </w:p>
    <w:p>
      <w:pPr>
        <w:pStyle w:val="ListParagraph"/>
        <w:numPr>
          <w:ilvl w:val="0"/>
          <w:numId w:val="7"/>
        </w:numPr>
        <w:tabs>
          <w:tab w:pos="545" w:val="left" w:leader="none"/>
        </w:tabs>
        <w:spacing w:line="182" w:lineRule="exact" w:before="160" w:after="0"/>
        <w:ind w:left="544" w:right="0" w:hanging="179"/>
        <w:jc w:val="left"/>
        <w:rPr>
          <w:rFonts w:ascii="Helvetica"/>
          <w:sz w:val="16"/>
        </w:rPr>
      </w:pPr>
      <w:r>
        <w:rPr>
          <w:rFonts w:ascii="Helvetica"/>
          <w:color w:val="231F20"/>
          <w:sz w:val="16"/>
        </w:rPr>
        <w:t>Filtration</w:t>
      </w:r>
    </w:p>
    <w:p>
      <w:pPr>
        <w:pStyle w:val="ListParagraph"/>
        <w:numPr>
          <w:ilvl w:val="0"/>
          <w:numId w:val="7"/>
        </w:numPr>
        <w:tabs>
          <w:tab w:pos="545" w:val="left" w:leader="none"/>
        </w:tabs>
        <w:spacing w:line="180" w:lineRule="exact" w:before="0" w:after="0"/>
        <w:ind w:left="544" w:right="0" w:hanging="179"/>
        <w:jc w:val="left"/>
        <w:rPr>
          <w:rFonts w:ascii="Helvetica"/>
          <w:sz w:val="16"/>
        </w:rPr>
      </w:pPr>
      <w:r>
        <w:rPr>
          <w:rFonts w:ascii="Helvetica"/>
          <w:color w:val="231F20"/>
          <w:sz w:val="16"/>
        </w:rPr>
        <w:t>Reabsorption</w:t>
      </w:r>
    </w:p>
    <w:p>
      <w:pPr>
        <w:pStyle w:val="ListParagraph"/>
        <w:numPr>
          <w:ilvl w:val="0"/>
          <w:numId w:val="7"/>
        </w:numPr>
        <w:tabs>
          <w:tab w:pos="545" w:val="left" w:leader="none"/>
        </w:tabs>
        <w:spacing w:line="180" w:lineRule="exact" w:before="0" w:after="0"/>
        <w:ind w:left="544" w:right="0" w:hanging="179"/>
        <w:jc w:val="left"/>
        <w:rPr>
          <w:rFonts w:ascii="Helvetica"/>
          <w:sz w:val="16"/>
        </w:rPr>
      </w:pPr>
      <w:r>
        <w:rPr>
          <w:rFonts w:ascii="Helvetica"/>
          <w:color w:val="231F20"/>
          <w:sz w:val="16"/>
        </w:rPr>
        <w:t>Secretion</w:t>
      </w:r>
    </w:p>
    <w:p>
      <w:pPr>
        <w:pStyle w:val="ListParagraph"/>
        <w:numPr>
          <w:ilvl w:val="0"/>
          <w:numId w:val="7"/>
        </w:numPr>
        <w:tabs>
          <w:tab w:pos="545" w:val="left" w:leader="none"/>
        </w:tabs>
        <w:spacing w:line="182" w:lineRule="exact" w:before="0" w:after="0"/>
        <w:ind w:left="544" w:right="0" w:hanging="179"/>
        <w:jc w:val="left"/>
        <w:rPr>
          <w:rFonts w:ascii="Helvetica"/>
          <w:sz w:val="16"/>
        </w:rPr>
      </w:pPr>
      <w:r>
        <w:rPr/>
        <w:pict>
          <v:shape style="position:absolute;margin-left:578.900024pt;margin-top:11.463025pt;width:15.9pt;height:53.35pt;mso-position-horizontal-relative:page;mso-position-vertical-relative:paragraph;z-index:25188249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Excretion</w:t>
      </w:r>
    </w:p>
    <w:p>
      <w:pPr>
        <w:spacing w:after="0" w:line="182" w:lineRule="exact"/>
        <w:jc w:val="left"/>
        <w:rPr>
          <w:rFonts w:ascii="Helvetica"/>
          <w:sz w:val="16"/>
        </w:rPr>
        <w:sectPr>
          <w:type w:val="continuous"/>
          <w:pgSz w:w="12240" w:h="15660"/>
          <w:pgMar w:top="0" w:bottom="760" w:left="0" w:right="0"/>
          <w:cols w:num="4" w:equalWidth="0">
            <w:col w:w="7406" w:space="40"/>
            <w:col w:w="726" w:space="39"/>
            <w:col w:w="1279" w:space="40"/>
            <w:col w:w="2710"/>
          </w:cols>
        </w:sectPr>
      </w:pPr>
    </w:p>
    <w:p>
      <w:pPr>
        <w:pStyle w:val="BodyText"/>
        <w:spacing w:before="4"/>
        <w:rPr>
          <w:rFonts w:ascii="Helvetica"/>
          <w:sz w:val="29"/>
        </w:rPr>
      </w:pPr>
    </w:p>
    <w:p>
      <w:pPr>
        <w:spacing w:after="0"/>
        <w:rPr>
          <w:rFonts w:ascii="Helvetica"/>
          <w:sz w:val="29"/>
        </w:rPr>
        <w:sectPr>
          <w:type w:val="continuous"/>
          <w:pgSz w:w="12240" w:h="15660"/>
          <w:pgMar w:top="0" w:bottom="760" w:left="0" w:right="0"/>
        </w:sectPr>
      </w:pPr>
    </w:p>
    <w:p>
      <w:pPr>
        <w:tabs>
          <w:tab w:pos="7906" w:val="left" w:leader="none"/>
        </w:tabs>
        <w:spacing w:line="235" w:lineRule="auto" w:before="102"/>
        <w:ind w:left="6854" w:right="834" w:hanging="182"/>
        <w:jc w:val="left"/>
        <w:rPr>
          <w:rFonts w:ascii="Helvetica"/>
          <w:sz w:val="16"/>
        </w:rPr>
      </w:pPr>
      <w:r>
        <w:rPr>
          <w:rFonts w:ascii="Helvetica"/>
          <w:color w:val="231F20"/>
          <w:sz w:val="16"/>
        </w:rPr>
        <w:t>Bowman's</w:t>
      </w:r>
      <w:r>
        <w:rPr>
          <w:rFonts w:ascii="Helvetica"/>
          <w:color w:val="231F20"/>
          <w:sz w:val="16"/>
          <w:u w:val="single" w:color="231F20"/>
        </w:rPr>
        <w:tab/>
      </w:r>
      <w:r>
        <w:rPr>
          <w:rFonts w:ascii="Helvetica"/>
          <w:color w:val="231F20"/>
          <w:sz w:val="16"/>
        </w:rPr>
        <w:t> capsule</w:t>
      </w:r>
    </w:p>
    <w:p>
      <w:pPr>
        <w:spacing w:before="159"/>
        <w:ind w:left="0" w:right="0" w:firstLine="0"/>
        <w:jc w:val="right"/>
        <w:rPr>
          <w:rFonts w:ascii="Helvetica"/>
          <w:sz w:val="16"/>
        </w:rPr>
      </w:pPr>
      <w:r>
        <w:rPr>
          <w:rFonts w:ascii="Helvetica"/>
          <w:color w:val="231F20"/>
          <w:w w:val="99"/>
          <w:sz w:val="16"/>
        </w:rPr>
        <w:t>1</w:t>
      </w:r>
    </w:p>
    <w:p>
      <w:pPr>
        <w:pStyle w:val="BodyText"/>
        <w:rPr>
          <w:rFonts w:ascii="Helvetica"/>
          <w:sz w:val="18"/>
        </w:rPr>
      </w:pPr>
    </w:p>
    <w:p>
      <w:pPr>
        <w:spacing w:before="151"/>
        <w:ind w:left="8490" w:right="0" w:firstLine="0"/>
        <w:jc w:val="left"/>
        <w:rPr>
          <w:rFonts w:ascii="Helvetica"/>
          <w:sz w:val="16"/>
        </w:rPr>
      </w:pPr>
      <w:r>
        <w:rPr>
          <w:rFonts w:ascii="Helvetica"/>
          <w:color w:val="231F20"/>
          <w:w w:val="99"/>
          <w:sz w:val="16"/>
        </w:rPr>
        <w:t>2</w:t>
      </w:r>
    </w:p>
    <w:p>
      <w:pPr>
        <w:pStyle w:val="BodyText"/>
        <w:rPr>
          <w:rFonts w:ascii="Helvetica"/>
          <w:sz w:val="18"/>
        </w:rPr>
      </w:pPr>
    </w:p>
    <w:p>
      <w:pPr>
        <w:pStyle w:val="BodyText"/>
        <w:spacing w:before="3"/>
        <w:rPr>
          <w:rFonts w:ascii="Helvetica"/>
          <w:sz w:val="24"/>
        </w:rPr>
      </w:pPr>
    </w:p>
    <w:p>
      <w:pPr>
        <w:spacing w:before="0"/>
        <w:ind w:left="8490" w:right="0" w:firstLine="0"/>
        <w:jc w:val="left"/>
        <w:rPr>
          <w:rFonts w:ascii="Helvetica"/>
          <w:sz w:val="16"/>
        </w:rPr>
      </w:pPr>
      <w:r>
        <w:rPr>
          <w:rFonts w:ascii="Helvetica"/>
          <w:color w:val="231F20"/>
          <w:w w:val="99"/>
          <w:sz w:val="16"/>
        </w:rPr>
        <w:t>3</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14"/>
        </w:rPr>
      </w:pPr>
    </w:p>
    <w:p>
      <w:pPr>
        <w:spacing w:line="235" w:lineRule="auto" w:before="0"/>
        <w:ind w:left="1112" w:right="1550" w:firstLine="0"/>
        <w:jc w:val="left"/>
        <w:rPr>
          <w:rFonts w:ascii="Helvetica"/>
          <w:sz w:val="16"/>
        </w:rPr>
      </w:pPr>
      <w:r>
        <w:rPr>
          <w:rFonts w:ascii="Helvetica"/>
          <w:color w:val="231F20"/>
          <w:sz w:val="16"/>
        </w:rPr>
        <w:t>Peritubular capillaries</w:t>
      </w:r>
    </w:p>
    <w:p>
      <w:pPr>
        <w:spacing w:after="0" w:line="235" w:lineRule="auto"/>
        <w:jc w:val="left"/>
        <w:rPr>
          <w:rFonts w:ascii="Helvetica"/>
          <w:sz w:val="16"/>
        </w:rPr>
        <w:sectPr>
          <w:type w:val="continuous"/>
          <w:pgSz w:w="12240" w:h="15660"/>
          <w:pgMar w:top="0" w:bottom="760" w:left="0" w:right="0"/>
          <w:cols w:num="2" w:equalWidth="0">
            <w:col w:w="8744" w:space="40"/>
            <w:col w:w="3456"/>
          </w:cols>
        </w:sectPr>
      </w:pPr>
    </w:p>
    <w:p>
      <w:pPr>
        <w:pStyle w:val="BodyText"/>
        <w:spacing w:before="4"/>
        <w:rPr>
          <w:rFonts w:ascii="Helvetica"/>
          <w:sz w:val="17"/>
        </w:rPr>
      </w:pPr>
    </w:p>
    <w:p>
      <w:pPr>
        <w:tabs>
          <w:tab w:pos="10520" w:val="left" w:leader="none"/>
        </w:tabs>
        <w:spacing w:line="194" w:lineRule="exact" w:before="96"/>
        <w:ind w:left="8490" w:right="0" w:firstLine="0"/>
        <w:jc w:val="left"/>
        <w:rPr>
          <w:rFonts w:ascii="Helvetica"/>
          <w:sz w:val="16"/>
        </w:rPr>
      </w:pPr>
      <w:r>
        <w:rPr/>
        <w:pict>
          <v:rect style="position:absolute;margin-left:576pt;margin-top:-49.134693pt;width:36pt;height:24pt;mso-position-horizontal-relative:page;mso-position-vertical-relative:paragraph;z-index:251879424" filled="true" fillcolor="#e8dac8" stroked="false">
            <v:fill type="solid"/>
            <w10:wrap type="none"/>
          </v:rect>
        </w:pict>
      </w:r>
      <w:r>
        <w:rPr>
          <w:rFonts w:ascii="Helvetica"/>
          <w:color w:val="231F20"/>
          <w:sz w:val="16"/>
        </w:rPr>
        <w:t>4</w:t>
        <w:tab/>
      </w:r>
      <w:r>
        <w:rPr>
          <w:rFonts w:ascii="Helvetica"/>
          <w:color w:val="231F20"/>
          <w:position w:val="2"/>
          <w:sz w:val="16"/>
        </w:rPr>
        <w:t>Renal</w:t>
      </w:r>
    </w:p>
    <w:p>
      <w:pPr>
        <w:spacing w:line="174" w:lineRule="exact" w:before="0"/>
        <w:ind w:left="10520" w:right="0" w:firstLine="0"/>
        <w:jc w:val="left"/>
        <w:rPr>
          <w:rFonts w:ascii="Helvetica"/>
          <w:sz w:val="16"/>
        </w:rPr>
      </w:pPr>
      <w:r>
        <w:rPr>
          <w:rFonts w:ascii="Helvetica"/>
          <w:color w:val="231F20"/>
          <w:sz w:val="16"/>
        </w:rPr>
        <w:t>vein</w:t>
      </w:r>
    </w:p>
    <w:p>
      <w:pPr>
        <w:pStyle w:val="BodyText"/>
        <w:rPr>
          <w:rFonts w:ascii="Helvetica"/>
        </w:rPr>
      </w:pPr>
    </w:p>
    <w:p>
      <w:pPr>
        <w:spacing w:after="0"/>
        <w:rPr>
          <w:rFonts w:ascii="Helvetica"/>
        </w:rPr>
        <w:sectPr>
          <w:type w:val="continuous"/>
          <w:pgSz w:w="12240" w:h="15660"/>
          <w:pgMar w:top="0" w:bottom="760" w:left="0" w:right="0"/>
        </w:sectPr>
      </w:pPr>
    </w:p>
    <w:p>
      <w:pPr>
        <w:pStyle w:val="BodyText"/>
        <w:rPr>
          <w:rFonts w:ascii="Helvetica"/>
        </w:rPr>
      </w:pPr>
      <w:r>
        <w:rPr/>
        <w:pict>
          <v:group style="position:absolute;margin-left:0pt;margin-top:0pt;width:612pt;height:353pt;mso-position-horizontal-relative:page;mso-position-vertical-relative:page;z-index:-273526784" coordorigin="0,0" coordsize="12240,706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3458" w:right="0" w:firstLine="0"/>
                      <w:jc w:val="left"/>
                      <w:rPr>
                        <w:rFonts w:ascii="Trebuchet MS"/>
                        <w:sz w:val="18"/>
                      </w:rPr>
                    </w:pPr>
                    <w:r>
                      <w:rPr>
                        <w:rFonts w:ascii="Trebuchet MS"/>
                        <w:b/>
                        <w:color w:val="231F20"/>
                        <w:w w:val="105"/>
                        <w:sz w:val="18"/>
                      </w:rPr>
                      <w:t>Chapter 26 </w:t>
                    </w:r>
                    <w:r>
                      <w:rPr>
                        <w:rFonts w:ascii="Trebuchet MS"/>
                        <w:color w:val="231F20"/>
                        <w:w w:val="105"/>
                        <w:sz w:val="18"/>
                      </w:rPr>
                      <w:t>The Urinary System: Functional Anatomy and Urine Formation by the Kidneys</w:t>
                    </w:r>
                  </w:p>
                </w:txbxContent>
              </v:textbox>
              <v:fill type="solid"/>
              <w10:wrap type="none"/>
            </v:shape>
            <v:shape style="position:absolute;left:1440;top:1080;width:4680;height:5980" type="#_x0000_t202" filled="true" fillcolor="#f0eef6" stroked="false">
              <v:textbox inset="0,0,0,0">
                <w:txbxContent>
                  <w:p>
                    <w:pPr>
                      <w:spacing w:line="254" w:lineRule="auto" w:before="129"/>
                      <w:ind w:left="180" w:right="177" w:firstLine="0"/>
                      <w:jc w:val="both"/>
                      <w:rPr>
                        <w:sz w:val="18"/>
                      </w:rPr>
                    </w:pPr>
                    <w:r>
                      <w:rPr>
                        <w:color w:val="231F20"/>
                        <w:w w:val="105"/>
                        <w:sz w:val="18"/>
                      </w:rPr>
                      <w:t>still intact, typical micturition reflexes can still </w:t>
                    </w:r>
                    <w:r>
                      <w:rPr>
                        <w:color w:val="231F20"/>
                        <w:spacing w:val="-3"/>
                        <w:w w:val="105"/>
                        <w:sz w:val="18"/>
                      </w:rPr>
                      <w:t>occur. </w:t>
                    </w:r>
                    <w:r>
                      <w:rPr>
                        <w:color w:val="231F20"/>
                        <w:w w:val="105"/>
                        <w:sz w:val="18"/>
                      </w:rPr>
                      <w:t>However,</w:t>
                    </w:r>
                    <w:r>
                      <w:rPr>
                        <w:color w:val="231F20"/>
                        <w:spacing w:val="-27"/>
                        <w:w w:val="105"/>
                        <w:sz w:val="18"/>
                      </w:rPr>
                      <w:t> </w:t>
                    </w:r>
                    <w:r>
                      <w:rPr>
                        <w:color w:val="231F20"/>
                        <w:w w:val="105"/>
                        <w:sz w:val="18"/>
                      </w:rPr>
                      <w:t>they</w:t>
                    </w:r>
                    <w:r>
                      <w:rPr>
                        <w:color w:val="231F20"/>
                        <w:spacing w:val="-27"/>
                        <w:w w:val="105"/>
                        <w:sz w:val="18"/>
                      </w:rPr>
                      <w:t> </w:t>
                    </w:r>
                    <w:r>
                      <w:rPr>
                        <w:color w:val="231F20"/>
                        <w:w w:val="105"/>
                        <w:sz w:val="18"/>
                      </w:rPr>
                      <w:t>are</w:t>
                    </w:r>
                    <w:r>
                      <w:rPr>
                        <w:color w:val="231F20"/>
                        <w:spacing w:val="-27"/>
                        <w:w w:val="105"/>
                        <w:sz w:val="18"/>
                      </w:rPr>
                      <w:t> </w:t>
                    </w:r>
                    <w:r>
                      <w:rPr>
                        <w:color w:val="231F20"/>
                        <w:w w:val="105"/>
                        <w:sz w:val="18"/>
                      </w:rPr>
                      <w:t>no</w:t>
                    </w:r>
                    <w:r>
                      <w:rPr>
                        <w:color w:val="231F20"/>
                        <w:spacing w:val="-26"/>
                        <w:w w:val="105"/>
                        <w:sz w:val="18"/>
                      </w:rPr>
                      <w:t> </w:t>
                    </w:r>
                    <w:r>
                      <w:rPr>
                        <w:color w:val="231F20"/>
                        <w:w w:val="105"/>
                        <w:sz w:val="18"/>
                      </w:rPr>
                      <w:t>longer</w:t>
                    </w:r>
                    <w:r>
                      <w:rPr>
                        <w:color w:val="231F20"/>
                        <w:spacing w:val="-27"/>
                        <w:w w:val="105"/>
                        <w:sz w:val="18"/>
                      </w:rPr>
                      <w:t> </w:t>
                    </w:r>
                    <w:r>
                      <w:rPr>
                        <w:color w:val="231F20"/>
                        <w:w w:val="105"/>
                        <w:sz w:val="18"/>
                      </w:rPr>
                      <w:t>controlled</w:t>
                    </w:r>
                    <w:r>
                      <w:rPr>
                        <w:color w:val="231F20"/>
                        <w:spacing w:val="-27"/>
                        <w:w w:val="105"/>
                        <w:sz w:val="18"/>
                      </w:rPr>
                      <w:t> </w:t>
                    </w:r>
                    <w:r>
                      <w:rPr>
                        <w:color w:val="231F20"/>
                        <w:w w:val="105"/>
                        <w:sz w:val="18"/>
                      </w:rPr>
                      <w:t>by</w:t>
                    </w:r>
                    <w:r>
                      <w:rPr>
                        <w:color w:val="231F20"/>
                        <w:spacing w:val="-26"/>
                        <w:w w:val="105"/>
                        <w:sz w:val="18"/>
                      </w:rPr>
                      <w:t> </w:t>
                    </w:r>
                    <w:r>
                      <w:rPr>
                        <w:color w:val="231F20"/>
                        <w:w w:val="105"/>
                        <w:sz w:val="18"/>
                      </w:rPr>
                      <w:t>the</w:t>
                    </w:r>
                    <w:r>
                      <w:rPr>
                        <w:color w:val="231F20"/>
                        <w:spacing w:val="-27"/>
                        <w:w w:val="105"/>
                        <w:sz w:val="18"/>
                      </w:rPr>
                      <w:t> </w:t>
                    </w:r>
                    <w:r>
                      <w:rPr>
                        <w:color w:val="231F20"/>
                        <w:w w:val="105"/>
                        <w:sz w:val="18"/>
                      </w:rPr>
                      <w:t>brain.</w:t>
                    </w:r>
                    <w:r>
                      <w:rPr>
                        <w:color w:val="231F20"/>
                        <w:spacing w:val="-27"/>
                        <w:w w:val="105"/>
                        <w:sz w:val="18"/>
                      </w:rPr>
                      <w:t> </w:t>
                    </w:r>
                    <w:r>
                      <w:rPr>
                        <w:color w:val="231F20"/>
                        <w:w w:val="105"/>
                        <w:sz w:val="18"/>
                      </w:rPr>
                      <w:t>During the</w:t>
                    </w:r>
                    <w:r>
                      <w:rPr>
                        <w:color w:val="231F20"/>
                        <w:spacing w:val="-7"/>
                        <w:w w:val="105"/>
                        <w:sz w:val="18"/>
                      </w:rPr>
                      <w:t> </w:t>
                    </w:r>
                    <w:r>
                      <w:rPr>
                        <w:color w:val="231F20"/>
                        <w:w w:val="105"/>
                        <w:sz w:val="18"/>
                      </w:rPr>
                      <w:t>first</w:t>
                    </w:r>
                    <w:r>
                      <w:rPr>
                        <w:color w:val="231F20"/>
                        <w:spacing w:val="-6"/>
                        <w:w w:val="105"/>
                        <w:sz w:val="18"/>
                      </w:rPr>
                      <w:t> </w:t>
                    </w:r>
                    <w:r>
                      <w:rPr>
                        <w:color w:val="231F20"/>
                        <w:w w:val="105"/>
                        <w:sz w:val="18"/>
                      </w:rPr>
                      <w:t>few</w:t>
                    </w:r>
                    <w:r>
                      <w:rPr>
                        <w:color w:val="231F20"/>
                        <w:spacing w:val="-6"/>
                        <w:w w:val="105"/>
                        <w:sz w:val="18"/>
                      </w:rPr>
                      <w:t> </w:t>
                    </w:r>
                    <w:r>
                      <w:rPr>
                        <w:color w:val="231F20"/>
                        <w:w w:val="105"/>
                        <w:sz w:val="18"/>
                      </w:rPr>
                      <w:t>days</w:t>
                    </w:r>
                    <w:r>
                      <w:rPr>
                        <w:color w:val="231F20"/>
                        <w:spacing w:val="-6"/>
                        <w:w w:val="105"/>
                        <w:sz w:val="18"/>
                      </w:rPr>
                      <w:t> </w:t>
                    </w:r>
                    <w:r>
                      <w:rPr>
                        <w:color w:val="231F20"/>
                        <w:w w:val="105"/>
                        <w:sz w:val="18"/>
                      </w:rPr>
                      <w:t>to</w:t>
                    </w:r>
                    <w:r>
                      <w:rPr>
                        <w:color w:val="231F20"/>
                        <w:spacing w:val="-7"/>
                        <w:w w:val="105"/>
                        <w:sz w:val="18"/>
                      </w:rPr>
                      <w:t> </w:t>
                    </w:r>
                    <w:r>
                      <w:rPr>
                        <w:color w:val="231F20"/>
                        <w:w w:val="105"/>
                        <w:sz w:val="18"/>
                      </w:rPr>
                      <w:t>several</w:t>
                    </w:r>
                    <w:r>
                      <w:rPr>
                        <w:color w:val="231F20"/>
                        <w:spacing w:val="-6"/>
                        <w:w w:val="105"/>
                        <w:sz w:val="18"/>
                      </w:rPr>
                      <w:t> </w:t>
                    </w:r>
                    <w:r>
                      <w:rPr>
                        <w:color w:val="231F20"/>
                        <w:w w:val="105"/>
                        <w:sz w:val="18"/>
                      </w:rPr>
                      <w:t>weeks</w:t>
                    </w:r>
                    <w:r>
                      <w:rPr>
                        <w:color w:val="231F20"/>
                        <w:spacing w:val="-6"/>
                        <w:w w:val="105"/>
                        <w:sz w:val="18"/>
                      </w:rPr>
                      <w:t> </w:t>
                    </w:r>
                    <w:r>
                      <w:rPr>
                        <w:color w:val="231F20"/>
                        <w:w w:val="105"/>
                        <w:sz w:val="18"/>
                      </w:rPr>
                      <w:t>after</w:t>
                    </w:r>
                    <w:r>
                      <w:rPr>
                        <w:color w:val="231F20"/>
                        <w:spacing w:val="-6"/>
                        <w:w w:val="105"/>
                        <w:sz w:val="18"/>
                      </w:rPr>
                      <w:t> </w:t>
                    </w:r>
                    <w:r>
                      <w:rPr>
                        <w:color w:val="231F20"/>
                        <w:w w:val="105"/>
                        <w:sz w:val="18"/>
                      </w:rPr>
                      <w:t>the</w:t>
                    </w:r>
                    <w:r>
                      <w:rPr>
                        <w:color w:val="231F20"/>
                        <w:spacing w:val="-6"/>
                        <w:w w:val="105"/>
                        <w:sz w:val="18"/>
                      </w:rPr>
                      <w:t> </w:t>
                    </w:r>
                    <w:r>
                      <w:rPr>
                        <w:color w:val="231F20"/>
                        <w:w w:val="105"/>
                        <w:sz w:val="18"/>
                      </w:rPr>
                      <w:t>damage</w:t>
                    </w:r>
                    <w:r>
                      <w:rPr>
                        <w:color w:val="231F20"/>
                        <w:spacing w:val="-7"/>
                        <w:w w:val="105"/>
                        <w:sz w:val="18"/>
                      </w:rPr>
                      <w:t> </w:t>
                    </w:r>
                    <w:r>
                      <w:rPr>
                        <w:color w:val="231F20"/>
                        <w:w w:val="105"/>
                        <w:sz w:val="18"/>
                      </w:rPr>
                      <w:t>to</w:t>
                    </w:r>
                    <w:r>
                      <w:rPr>
                        <w:color w:val="231F20"/>
                        <w:spacing w:val="-6"/>
                        <w:w w:val="105"/>
                        <w:sz w:val="18"/>
                      </w:rPr>
                      <w:t> </w:t>
                    </w:r>
                    <w:r>
                      <w:rPr>
                        <w:color w:val="231F20"/>
                        <w:w w:val="105"/>
                        <w:sz w:val="18"/>
                      </w:rPr>
                      <w:t>the cord</w:t>
                    </w:r>
                    <w:r>
                      <w:rPr>
                        <w:color w:val="231F20"/>
                        <w:spacing w:val="-7"/>
                        <w:w w:val="105"/>
                        <w:sz w:val="18"/>
                      </w:rPr>
                      <w:t> </w:t>
                    </w:r>
                    <w:r>
                      <w:rPr>
                        <w:color w:val="231F20"/>
                        <w:w w:val="105"/>
                        <w:sz w:val="18"/>
                      </w:rPr>
                      <w:t>has</w:t>
                    </w:r>
                    <w:r>
                      <w:rPr>
                        <w:color w:val="231F20"/>
                        <w:spacing w:val="-7"/>
                        <w:w w:val="105"/>
                        <w:sz w:val="18"/>
                      </w:rPr>
                      <w:t> </w:t>
                    </w:r>
                    <w:r>
                      <w:rPr>
                        <w:color w:val="231F20"/>
                        <w:w w:val="105"/>
                        <w:sz w:val="18"/>
                      </w:rPr>
                      <w:t>occurred,</w:t>
                    </w:r>
                    <w:r>
                      <w:rPr>
                        <w:color w:val="231F20"/>
                        <w:spacing w:val="-7"/>
                        <w:w w:val="105"/>
                        <w:sz w:val="18"/>
                      </w:rPr>
                      <w:t> </w:t>
                    </w:r>
                    <w:r>
                      <w:rPr>
                        <w:color w:val="231F20"/>
                        <w:w w:val="105"/>
                        <w:sz w:val="18"/>
                      </w:rPr>
                      <w:t>the</w:t>
                    </w:r>
                    <w:r>
                      <w:rPr>
                        <w:color w:val="231F20"/>
                        <w:spacing w:val="-7"/>
                        <w:w w:val="105"/>
                        <w:sz w:val="18"/>
                      </w:rPr>
                      <w:t> </w:t>
                    </w:r>
                    <w:r>
                      <w:rPr>
                        <w:color w:val="231F20"/>
                        <w:w w:val="105"/>
                        <w:sz w:val="18"/>
                      </w:rPr>
                      <w:t>micturition</w:t>
                    </w:r>
                    <w:r>
                      <w:rPr>
                        <w:color w:val="231F20"/>
                        <w:spacing w:val="-6"/>
                        <w:w w:val="105"/>
                        <w:sz w:val="18"/>
                      </w:rPr>
                      <w:t> </w:t>
                    </w:r>
                    <w:r>
                      <w:rPr>
                        <w:color w:val="231F20"/>
                        <w:w w:val="105"/>
                        <w:sz w:val="18"/>
                      </w:rPr>
                      <w:t>reflexes</w:t>
                    </w:r>
                    <w:r>
                      <w:rPr>
                        <w:color w:val="231F20"/>
                        <w:spacing w:val="-7"/>
                        <w:w w:val="105"/>
                        <w:sz w:val="18"/>
                      </w:rPr>
                      <w:t> </w:t>
                    </w:r>
                    <w:r>
                      <w:rPr>
                        <w:color w:val="231F20"/>
                        <w:w w:val="105"/>
                        <w:sz w:val="18"/>
                      </w:rPr>
                      <w:t>are</w:t>
                    </w:r>
                    <w:r>
                      <w:rPr>
                        <w:color w:val="231F20"/>
                        <w:spacing w:val="-7"/>
                        <w:w w:val="105"/>
                        <w:sz w:val="18"/>
                      </w:rPr>
                      <w:t> </w:t>
                    </w:r>
                    <w:r>
                      <w:rPr>
                        <w:color w:val="231F20"/>
                        <w:w w:val="105"/>
                        <w:sz w:val="18"/>
                      </w:rPr>
                      <w:t>suppressed because</w:t>
                    </w:r>
                    <w:r>
                      <w:rPr>
                        <w:color w:val="231F20"/>
                        <w:spacing w:val="-18"/>
                        <w:w w:val="105"/>
                        <w:sz w:val="18"/>
                      </w:rPr>
                      <w:t> </w:t>
                    </w:r>
                    <w:r>
                      <w:rPr>
                        <w:color w:val="231F20"/>
                        <w:w w:val="105"/>
                        <w:sz w:val="18"/>
                      </w:rPr>
                      <w:t>of</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state</w:t>
                    </w:r>
                    <w:r>
                      <w:rPr>
                        <w:color w:val="231F20"/>
                        <w:spacing w:val="-18"/>
                        <w:w w:val="105"/>
                        <w:sz w:val="18"/>
                      </w:rPr>
                      <w:t> </w:t>
                    </w:r>
                    <w:r>
                      <w:rPr>
                        <w:color w:val="231F20"/>
                        <w:w w:val="105"/>
                        <w:sz w:val="18"/>
                      </w:rPr>
                      <w:t>of</w:t>
                    </w:r>
                    <w:r>
                      <w:rPr>
                        <w:color w:val="231F20"/>
                        <w:spacing w:val="-17"/>
                        <w:w w:val="105"/>
                        <w:sz w:val="18"/>
                      </w:rPr>
                      <w:t> </w:t>
                    </w:r>
                    <w:r>
                      <w:rPr>
                        <w:color w:val="231F20"/>
                        <w:w w:val="105"/>
                        <w:sz w:val="18"/>
                      </w:rPr>
                      <w:t>“spinal</w:t>
                    </w:r>
                    <w:r>
                      <w:rPr>
                        <w:color w:val="231F20"/>
                        <w:spacing w:val="-18"/>
                        <w:w w:val="105"/>
                        <w:sz w:val="18"/>
                      </w:rPr>
                      <w:t> </w:t>
                    </w:r>
                    <w:r>
                      <w:rPr>
                        <w:color w:val="231F20"/>
                        <w:w w:val="105"/>
                        <w:sz w:val="18"/>
                      </w:rPr>
                      <w:t>shock”</w:t>
                    </w:r>
                    <w:r>
                      <w:rPr>
                        <w:color w:val="231F20"/>
                        <w:spacing w:val="-18"/>
                        <w:w w:val="105"/>
                        <w:sz w:val="18"/>
                      </w:rPr>
                      <w:t> </w:t>
                    </w:r>
                    <w:r>
                      <w:rPr>
                        <w:color w:val="231F20"/>
                        <w:w w:val="105"/>
                        <w:sz w:val="18"/>
                      </w:rPr>
                      <w:t>caused</w:t>
                    </w:r>
                    <w:r>
                      <w:rPr>
                        <w:color w:val="231F20"/>
                        <w:spacing w:val="-18"/>
                        <w:w w:val="105"/>
                        <w:sz w:val="18"/>
                      </w:rPr>
                      <w:t> </w:t>
                    </w:r>
                    <w:r>
                      <w:rPr>
                        <w:color w:val="231F20"/>
                        <w:w w:val="105"/>
                        <w:sz w:val="18"/>
                      </w:rPr>
                      <w:t>by</w:t>
                    </w:r>
                    <w:r>
                      <w:rPr>
                        <w:color w:val="231F20"/>
                        <w:spacing w:val="-18"/>
                        <w:w w:val="105"/>
                        <w:sz w:val="18"/>
                      </w:rPr>
                      <w:t> </w:t>
                    </w:r>
                    <w:r>
                      <w:rPr>
                        <w:color w:val="231F20"/>
                        <w:w w:val="105"/>
                        <w:sz w:val="18"/>
                      </w:rPr>
                      <w:t>the</w:t>
                    </w:r>
                    <w:r>
                      <w:rPr>
                        <w:color w:val="231F20"/>
                        <w:spacing w:val="-17"/>
                        <w:w w:val="105"/>
                        <w:sz w:val="18"/>
                      </w:rPr>
                      <w:t> </w:t>
                    </w:r>
                    <w:r>
                      <w:rPr>
                        <w:color w:val="231F20"/>
                        <w:w w:val="105"/>
                        <w:sz w:val="18"/>
                      </w:rPr>
                      <w:t>sudden loss</w:t>
                    </w:r>
                    <w:r>
                      <w:rPr>
                        <w:color w:val="231F20"/>
                        <w:spacing w:val="-5"/>
                        <w:w w:val="105"/>
                        <w:sz w:val="18"/>
                      </w:rPr>
                      <w:t> </w:t>
                    </w:r>
                    <w:r>
                      <w:rPr>
                        <w:color w:val="231F20"/>
                        <w:w w:val="105"/>
                        <w:sz w:val="18"/>
                      </w:rPr>
                      <w:t>of</w:t>
                    </w:r>
                    <w:r>
                      <w:rPr>
                        <w:color w:val="231F20"/>
                        <w:spacing w:val="-4"/>
                        <w:w w:val="105"/>
                        <w:sz w:val="18"/>
                      </w:rPr>
                      <w:t> </w:t>
                    </w:r>
                    <w:r>
                      <w:rPr>
                        <w:color w:val="231F20"/>
                        <w:w w:val="105"/>
                        <w:sz w:val="18"/>
                      </w:rPr>
                      <w:t>facilitative</w:t>
                    </w:r>
                    <w:r>
                      <w:rPr>
                        <w:color w:val="231F20"/>
                        <w:spacing w:val="-5"/>
                        <w:w w:val="105"/>
                        <w:sz w:val="18"/>
                      </w:rPr>
                      <w:t> </w:t>
                    </w:r>
                    <w:r>
                      <w:rPr>
                        <w:color w:val="231F20"/>
                        <w:w w:val="105"/>
                        <w:sz w:val="18"/>
                      </w:rPr>
                      <w:t>impulses</w:t>
                    </w:r>
                    <w:r>
                      <w:rPr>
                        <w:color w:val="231F20"/>
                        <w:spacing w:val="-4"/>
                        <w:w w:val="105"/>
                        <w:sz w:val="18"/>
                      </w:rPr>
                      <w:t> </w:t>
                    </w:r>
                    <w:r>
                      <w:rPr>
                        <w:color w:val="231F20"/>
                        <w:w w:val="105"/>
                        <w:sz w:val="18"/>
                      </w:rPr>
                      <w:t>from</w:t>
                    </w:r>
                    <w:r>
                      <w:rPr>
                        <w:color w:val="231F20"/>
                        <w:spacing w:val="-5"/>
                        <w:w w:val="105"/>
                        <w:sz w:val="18"/>
                      </w:rPr>
                      <w:t> </w:t>
                    </w:r>
                    <w:r>
                      <w:rPr>
                        <w:color w:val="231F20"/>
                        <w:w w:val="105"/>
                        <w:sz w:val="18"/>
                      </w:rPr>
                      <w:t>the</w:t>
                    </w:r>
                    <w:r>
                      <w:rPr>
                        <w:color w:val="231F20"/>
                        <w:spacing w:val="-4"/>
                        <w:w w:val="105"/>
                        <w:sz w:val="18"/>
                      </w:rPr>
                      <w:t> </w:t>
                    </w:r>
                    <w:r>
                      <w:rPr>
                        <w:color w:val="231F20"/>
                        <w:w w:val="105"/>
                        <w:sz w:val="18"/>
                      </w:rPr>
                      <w:t>brain</w:t>
                    </w:r>
                    <w:r>
                      <w:rPr>
                        <w:color w:val="231F20"/>
                        <w:spacing w:val="-4"/>
                        <w:w w:val="105"/>
                        <w:sz w:val="18"/>
                      </w:rPr>
                      <w:t> </w:t>
                    </w:r>
                    <w:r>
                      <w:rPr>
                        <w:color w:val="231F20"/>
                        <w:w w:val="105"/>
                        <w:sz w:val="18"/>
                      </w:rPr>
                      <w:t>stem</w:t>
                    </w:r>
                    <w:r>
                      <w:rPr>
                        <w:color w:val="231F20"/>
                        <w:spacing w:val="-5"/>
                        <w:w w:val="105"/>
                        <w:sz w:val="18"/>
                      </w:rPr>
                      <w:t> </w:t>
                    </w:r>
                    <w:r>
                      <w:rPr>
                        <w:color w:val="231F20"/>
                        <w:w w:val="105"/>
                        <w:sz w:val="18"/>
                      </w:rPr>
                      <w:t>and</w:t>
                    </w:r>
                    <w:r>
                      <w:rPr>
                        <w:color w:val="231F20"/>
                        <w:spacing w:val="-4"/>
                        <w:w w:val="105"/>
                        <w:sz w:val="18"/>
                      </w:rPr>
                      <w:t> </w:t>
                    </w:r>
                    <w:r>
                      <w:rPr>
                        <w:color w:val="231F20"/>
                        <w:w w:val="105"/>
                        <w:sz w:val="18"/>
                      </w:rPr>
                      <w:t>cere- brum. However, if the bladder is emptied periodically by catheterization to prevent bladder injury caused by over- stretching</w:t>
                    </w:r>
                    <w:r>
                      <w:rPr>
                        <w:color w:val="231F20"/>
                        <w:spacing w:val="-16"/>
                        <w:w w:val="105"/>
                        <w:sz w:val="18"/>
                      </w:rPr>
                      <w:t> </w:t>
                    </w:r>
                    <w:r>
                      <w:rPr>
                        <w:color w:val="231F20"/>
                        <w:w w:val="105"/>
                        <w:sz w:val="18"/>
                      </w:rPr>
                      <w:t>of</w:t>
                    </w:r>
                    <w:r>
                      <w:rPr>
                        <w:color w:val="231F20"/>
                        <w:spacing w:val="-15"/>
                        <w:w w:val="105"/>
                        <w:sz w:val="18"/>
                      </w:rPr>
                      <w:t> </w:t>
                    </w:r>
                    <w:r>
                      <w:rPr>
                        <w:color w:val="231F20"/>
                        <w:w w:val="105"/>
                        <w:sz w:val="18"/>
                      </w:rPr>
                      <w:t>the</w:t>
                    </w:r>
                    <w:r>
                      <w:rPr>
                        <w:color w:val="231F20"/>
                        <w:spacing w:val="-16"/>
                        <w:w w:val="105"/>
                        <w:sz w:val="18"/>
                      </w:rPr>
                      <w:t> </w:t>
                    </w:r>
                    <w:r>
                      <w:rPr>
                        <w:color w:val="231F20"/>
                        <w:w w:val="105"/>
                        <w:sz w:val="18"/>
                      </w:rPr>
                      <w:t>bladder,</w:t>
                    </w:r>
                    <w:r>
                      <w:rPr>
                        <w:color w:val="231F20"/>
                        <w:spacing w:val="-15"/>
                        <w:w w:val="105"/>
                        <w:sz w:val="18"/>
                      </w:rPr>
                      <w:t> </w:t>
                    </w:r>
                    <w:r>
                      <w:rPr>
                        <w:color w:val="231F20"/>
                        <w:w w:val="105"/>
                        <w:sz w:val="18"/>
                      </w:rPr>
                      <w:t>the</w:t>
                    </w:r>
                    <w:r>
                      <w:rPr>
                        <w:color w:val="231F20"/>
                        <w:spacing w:val="-16"/>
                        <w:w w:val="105"/>
                        <w:sz w:val="18"/>
                      </w:rPr>
                      <w:t> </w:t>
                    </w:r>
                    <w:r>
                      <w:rPr>
                        <w:color w:val="231F20"/>
                        <w:w w:val="105"/>
                        <w:sz w:val="18"/>
                      </w:rPr>
                      <w:t>excitability</w:t>
                    </w:r>
                    <w:r>
                      <w:rPr>
                        <w:color w:val="231F20"/>
                        <w:spacing w:val="-15"/>
                        <w:w w:val="105"/>
                        <w:sz w:val="18"/>
                      </w:rPr>
                      <w:t> </w:t>
                    </w:r>
                    <w:r>
                      <w:rPr>
                        <w:color w:val="231F20"/>
                        <w:w w:val="105"/>
                        <w:sz w:val="18"/>
                      </w:rPr>
                      <w:t>of</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micturition reflex</w:t>
                    </w:r>
                    <w:r>
                      <w:rPr>
                        <w:color w:val="231F20"/>
                        <w:spacing w:val="-20"/>
                        <w:w w:val="105"/>
                        <w:sz w:val="18"/>
                      </w:rPr>
                      <w:t> </w:t>
                    </w:r>
                    <w:r>
                      <w:rPr>
                        <w:color w:val="231F20"/>
                        <w:w w:val="105"/>
                        <w:sz w:val="18"/>
                      </w:rPr>
                      <w:t>gradually</w:t>
                    </w:r>
                    <w:r>
                      <w:rPr>
                        <w:color w:val="231F20"/>
                        <w:spacing w:val="-19"/>
                        <w:w w:val="105"/>
                        <w:sz w:val="18"/>
                      </w:rPr>
                      <w:t> </w:t>
                    </w:r>
                    <w:r>
                      <w:rPr>
                        <w:color w:val="231F20"/>
                        <w:w w:val="105"/>
                        <w:sz w:val="18"/>
                      </w:rPr>
                      <w:t>increases</w:t>
                    </w:r>
                    <w:r>
                      <w:rPr>
                        <w:color w:val="231F20"/>
                        <w:spacing w:val="-19"/>
                        <w:w w:val="105"/>
                        <w:sz w:val="18"/>
                      </w:rPr>
                      <w:t> </w:t>
                    </w:r>
                    <w:r>
                      <w:rPr>
                        <w:color w:val="231F20"/>
                        <w:w w:val="105"/>
                        <w:sz w:val="18"/>
                      </w:rPr>
                      <w:t>until</w:t>
                    </w:r>
                    <w:r>
                      <w:rPr>
                        <w:color w:val="231F20"/>
                        <w:spacing w:val="-19"/>
                        <w:w w:val="105"/>
                        <w:sz w:val="18"/>
                      </w:rPr>
                      <w:t> </w:t>
                    </w:r>
                    <w:r>
                      <w:rPr>
                        <w:color w:val="231F20"/>
                        <w:w w:val="105"/>
                        <w:sz w:val="18"/>
                      </w:rPr>
                      <w:t>typical</w:t>
                    </w:r>
                    <w:r>
                      <w:rPr>
                        <w:color w:val="231F20"/>
                        <w:spacing w:val="-19"/>
                        <w:w w:val="105"/>
                        <w:sz w:val="18"/>
                      </w:rPr>
                      <w:t> </w:t>
                    </w:r>
                    <w:r>
                      <w:rPr>
                        <w:color w:val="231F20"/>
                        <w:w w:val="105"/>
                        <w:sz w:val="18"/>
                      </w:rPr>
                      <w:t>micturition</w:t>
                    </w:r>
                    <w:r>
                      <w:rPr>
                        <w:color w:val="231F20"/>
                        <w:spacing w:val="-19"/>
                        <w:w w:val="105"/>
                        <w:sz w:val="18"/>
                      </w:rPr>
                      <w:t> </w:t>
                    </w:r>
                    <w:r>
                      <w:rPr>
                        <w:color w:val="231F20"/>
                        <w:w w:val="105"/>
                        <w:sz w:val="18"/>
                      </w:rPr>
                      <w:t>reflexes return; then, periodic (but unannounced) bladder </w:t>
                    </w:r>
                    <w:r>
                      <w:rPr>
                        <w:color w:val="231F20"/>
                        <w:spacing w:val="-3"/>
                        <w:w w:val="105"/>
                        <w:sz w:val="18"/>
                      </w:rPr>
                      <w:t>empty- </w:t>
                    </w:r>
                    <w:r>
                      <w:rPr>
                        <w:color w:val="231F20"/>
                        <w:w w:val="105"/>
                        <w:sz w:val="18"/>
                      </w:rPr>
                      <w:t>ing</w:t>
                    </w:r>
                    <w:r>
                      <w:rPr>
                        <w:color w:val="231F20"/>
                        <w:spacing w:val="3"/>
                        <w:w w:val="105"/>
                        <w:sz w:val="18"/>
                      </w:rPr>
                      <w:t> </w:t>
                    </w:r>
                    <w:r>
                      <w:rPr>
                        <w:color w:val="231F20"/>
                        <w:w w:val="105"/>
                        <w:sz w:val="18"/>
                      </w:rPr>
                      <w:t>occurs.</w:t>
                    </w:r>
                  </w:p>
                  <w:p>
                    <w:pPr>
                      <w:spacing w:line="256" w:lineRule="auto" w:before="7"/>
                      <w:ind w:left="180" w:right="177" w:firstLine="239"/>
                      <w:jc w:val="right"/>
                      <w:rPr>
                        <w:sz w:val="18"/>
                      </w:rPr>
                    </w:pPr>
                    <w:r>
                      <w:rPr>
                        <w:color w:val="231F20"/>
                        <w:w w:val="105"/>
                        <w:sz w:val="18"/>
                      </w:rPr>
                      <w:t>Some patients can still control urination in</w:t>
                    </w:r>
                    <w:r>
                      <w:rPr>
                        <w:color w:val="231F20"/>
                        <w:spacing w:val="7"/>
                        <w:w w:val="105"/>
                        <w:sz w:val="18"/>
                      </w:rPr>
                      <w:t> </w:t>
                    </w:r>
                    <w:r>
                      <w:rPr>
                        <w:color w:val="231F20"/>
                        <w:w w:val="105"/>
                        <w:sz w:val="18"/>
                      </w:rPr>
                      <w:t>this</w:t>
                    </w:r>
                    <w:r>
                      <w:rPr>
                        <w:color w:val="231F20"/>
                        <w:spacing w:val="2"/>
                        <w:w w:val="105"/>
                        <w:sz w:val="18"/>
                      </w:rPr>
                      <w:t> </w:t>
                    </w:r>
                    <w:r>
                      <w:rPr>
                        <w:color w:val="231F20"/>
                        <w:w w:val="105"/>
                        <w:sz w:val="18"/>
                      </w:rPr>
                      <w:t>condi-</w:t>
                    </w:r>
                    <w:r>
                      <w:rPr>
                        <w:color w:val="231F20"/>
                        <w:w w:val="109"/>
                        <w:sz w:val="18"/>
                      </w:rPr>
                      <w:t> </w:t>
                    </w:r>
                    <w:r>
                      <w:rPr>
                        <w:color w:val="231F20"/>
                        <w:w w:val="105"/>
                        <w:sz w:val="18"/>
                      </w:rPr>
                      <w:t>tion by stimulating the skin (scratching or tickling)</w:t>
                    </w:r>
                    <w:r>
                      <w:rPr>
                        <w:color w:val="231F20"/>
                        <w:spacing w:val="-13"/>
                        <w:w w:val="105"/>
                        <w:sz w:val="18"/>
                      </w:rPr>
                      <w:t> </w:t>
                    </w:r>
                    <w:r>
                      <w:rPr>
                        <w:color w:val="231F20"/>
                        <w:w w:val="105"/>
                        <w:sz w:val="18"/>
                      </w:rPr>
                      <w:t>in</w:t>
                    </w:r>
                    <w:r>
                      <w:rPr>
                        <w:color w:val="231F20"/>
                        <w:spacing w:val="-2"/>
                        <w:w w:val="105"/>
                        <w:sz w:val="18"/>
                      </w:rPr>
                      <w:t> </w:t>
                    </w:r>
                    <w:r>
                      <w:rPr>
                        <w:color w:val="231F20"/>
                        <w:w w:val="105"/>
                        <w:sz w:val="18"/>
                      </w:rPr>
                      <w:t>the</w:t>
                    </w:r>
                    <w:r>
                      <w:rPr>
                        <w:color w:val="231F20"/>
                        <w:w w:val="104"/>
                        <w:sz w:val="18"/>
                      </w:rPr>
                      <w:t> </w:t>
                    </w:r>
                    <w:r>
                      <w:rPr>
                        <w:color w:val="231F20"/>
                        <w:w w:val="105"/>
                        <w:sz w:val="18"/>
                      </w:rPr>
                      <w:t>genital</w:t>
                    </w:r>
                    <w:r>
                      <w:rPr>
                        <w:color w:val="231F20"/>
                        <w:spacing w:val="-29"/>
                        <w:w w:val="105"/>
                        <w:sz w:val="18"/>
                      </w:rPr>
                      <w:t> </w:t>
                    </w:r>
                    <w:r>
                      <w:rPr>
                        <w:color w:val="231F20"/>
                        <w:w w:val="105"/>
                        <w:sz w:val="18"/>
                      </w:rPr>
                      <w:t>region,</w:t>
                    </w:r>
                    <w:r>
                      <w:rPr>
                        <w:color w:val="231F20"/>
                        <w:spacing w:val="-28"/>
                        <w:w w:val="105"/>
                        <w:sz w:val="18"/>
                      </w:rPr>
                      <w:t> </w:t>
                    </w:r>
                    <w:r>
                      <w:rPr>
                        <w:color w:val="231F20"/>
                        <w:w w:val="105"/>
                        <w:sz w:val="18"/>
                      </w:rPr>
                      <w:t>which</w:t>
                    </w:r>
                    <w:r>
                      <w:rPr>
                        <w:color w:val="231F20"/>
                        <w:spacing w:val="-29"/>
                        <w:w w:val="105"/>
                        <w:sz w:val="18"/>
                      </w:rPr>
                      <w:t> </w:t>
                    </w:r>
                    <w:r>
                      <w:rPr>
                        <w:color w:val="231F20"/>
                        <w:w w:val="105"/>
                        <w:sz w:val="18"/>
                      </w:rPr>
                      <w:t>sometimes</w:t>
                    </w:r>
                    <w:r>
                      <w:rPr>
                        <w:color w:val="231F20"/>
                        <w:spacing w:val="-28"/>
                        <w:w w:val="105"/>
                        <w:sz w:val="18"/>
                      </w:rPr>
                      <w:t> </w:t>
                    </w:r>
                    <w:r>
                      <w:rPr>
                        <w:color w:val="231F20"/>
                        <w:w w:val="105"/>
                        <w:sz w:val="18"/>
                      </w:rPr>
                      <w:t>elicits</w:t>
                    </w:r>
                    <w:r>
                      <w:rPr>
                        <w:color w:val="231F20"/>
                        <w:spacing w:val="-29"/>
                        <w:w w:val="105"/>
                        <w:sz w:val="18"/>
                      </w:rPr>
                      <w:t> </w:t>
                    </w:r>
                    <w:r>
                      <w:rPr>
                        <w:color w:val="231F20"/>
                        <w:w w:val="105"/>
                        <w:sz w:val="18"/>
                      </w:rPr>
                      <w:t>a</w:t>
                    </w:r>
                    <w:r>
                      <w:rPr>
                        <w:color w:val="231F20"/>
                        <w:spacing w:val="-28"/>
                        <w:w w:val="105"/>
                        <w:sz w:val="18"/>
                      </w:rPr>
                      <w:t> </w:t>
                    </w:r>
                    <w:r>
                      <w:rPr>
                        <w:color w:val="231F20"/>
                        <w:w w:val="105"/>
                        <w:sz w:val="18"/>
                      </w:rPr>
                      <w:t>micturition</w:t>
                    </w:r>
                    <w:r>
                      <w:rPr>
                        <w:color w:val="231F20"/>
                        <w:spacing w:val="-28"/>
                        <w:w w:val="105"/>
                        <w:sz w:val="18"/>
                      </w:rPr>
                      <w:t> </w:t>
                    </w:r>
                    <w:r>
                      <w:rPr>
                        <w:color w:val="231F20"/>
                        <w:w w:val="105"/>
                        <w:sz w:val="18"/>
                      </w:rPr>
                      <w:t>reflex.</w:t>
                    </w:r>
                    <w:r>
                      <w:rPr>
                        <w:color w:val="231F20"/>
                        <w:w w:val="88"/>
                        <w:sz w:val="18"/>
                      </w:rPr>
                      <w:t> </w:t>
                    </w:r>
                    <w:r>
                      <w:rPr>
                        <w:rFonts w:ascii="Trebuchet MS"/>
                        <w:b/>
                        <w:color w:val="231F20"/>
                        <w:w w:val="105"/>
                        <w:sz w:val="16"/>
                      </w:rPr>
                      <w:t>Uninhibited Neurogenic Bladder Caused by</w:t>
                    </w:r>
                    <w:r>
                      <w:rPr>
                        <w:rFonts w:ascii="Trebuchet MS"/>
                        <w:b/>
                        <w:color w:val="231F20"/>
                        <w:spacing w:val="27"/>
                        <w:w w:val="105"/>
                        <w:sz w:val="16"/>
                      </w:rPr>
                      <w:t> </w:t>
                    </w:r>
                    <w:r>
                      <w:rPr>
                        <w:rFonts w:ascii="Trebuchet MS"/>
                        <w:b/>
                        <w:color w:val="231F20"/>
                        <w:w w:val="105"/>
                        <w:sz w:val="16"/>
                      </w:rPr>
                      <w:t>Lack</w:t>
                    </w:r>
                    <w:r>
                      <w:rPr>
                        <w:rFonts w:ascii="Trebuchet MS"/>
                        <w:b/>
                        <w:color w:val="231F20"/>
                        <w:spacing w:val="16"/>
                        <w:w w:val="105"/>
                        <w:sz w:val="16"/>
                      </w:rPr>
                      <w:t> </w:t>
                    </w:r>
                    <w:r>
                      <w:rPr>
                        <w:rFonts w:ascii="Trebuchet MS"/>
                        <w:b/>
                        <w:color w:val="231F20"/>
                        <w:w w:val="105"/>
                        <w:sz w:val="16"/>
                      </w:rPr>
                      <w:t>of</w:t>
                    </w:r>
                    <w:r>
                      <w:rPr>
                        <w:rFonts w:ascii="Trebuchet MS"/>
                        <w:b/>
                        <w:color w:val="231F20"/>
                        <w:w w:val="106"/>
                        <w:sz w:val="16"/>
                      </w:rPr>
                      <w:t> </w:t>
                    </w:r>
                    <w:r>
                      <w:rPr>
                        <w:rFonts w:ascii="Trebuchet MS"/>
                        <w:b/>
                        <w:color w:val="231F20"/>
                        <w:w w:val="105"/>
                        <w:sz w:val="16"/>
                      </w:rPr>
                      <w:t>Inhibitory Signals from the</w:t>
                    </w:r>
                    <w:r>
                      <w:rPr>
                        <w:rFonts w:ascii="Trebuchet MS"/>
                        <w:b/>
                        <w:color w:val="231F20"/>
                        <w:spacing w:val="29"/>
                        <w:w w:val="105"/>
                        <w:sz w:val="16"/>
                      </w:rPr>
                      <w:t> </w:t>
                    </w:r>
                    <w:r>
                      <w:rPr>
                        <w:rFonts w:ascii="Trebuchet MS"/>
                        <w:b/>
                        <w:color w:val="231F20"/>
                        <w:w w:val="105"/>
                        <w:sz w:val="16"/>
                      </w:rPr>
                      <w:t>Brain. </w:t>
                    </w:r>
                    <w:r>
                      <w:rPr>
                        <w:color w:val="231F20"/>
                        <w:w w:val="105"/>
                        <w:sz w:val="18"/>
                      </w:rPr>
                      <w:t>Another</w:t>
                    </w:r>
                    <w:r>
                      <w:rPr>
                        <w:color w:val="231F20"/>
                        <w:spacing w:val="17"/>
                        <w:w w:val="105"/>
                        <w:sz w:val="18"/>
                      </w:rPr>
                      <w:t> </w:t>
                    </w:r>
                    <w:r>
                      <w:rPr>
                        <w:color w:val="231F20"/>
                        <w:spacing w:val="-3"/>
                        <w:w w:val="105"/>
                        <w:sz w:val="18"/>
                      </w:rPr>
                      <w:t>abnormality</w:t>
                    </w:r>
                    <w:r>
                      <w:rPr>
                        <w:color w:val="231F20"/>
                        <w:w w:val="100"/>
                        <w:sz w:val="18"/>
                      </w:rPr>
                      <w:t> </w:t>
                    </w:r>
                    <w:r>
                      <w:rPr>
                        <w:color w:val="231F20"/>
                        <w:w w:val="105"/>
                        <w:sz w:val="18"/>
                      </w:rPr>
                      <w:t>of micturition is the so-called</w:t>
                    </w:r>
                    <w:r>
                      <w:rPr>
                        <w:color w:val="231F20"/>
                        <w:spacing w:val="43"/>
                        <w:w w:val="105"/>
                        <w:sz w:val="18"/>
                      </w:rPr>
                      <w:t> </w:t>
                    </w:r>
                    <w:r>
                      <w:rPr>
                        <w:i/>
                        <w:color w:val="231F20"/>
                        <w:w w:val="105"/>
                        <w:sz w:val="18"/>
                      </w:rPr>
                      <w:t>uninhibited  neurogenic</w:t>
                    </w:r>
                    <w:r>
                      <w:rPr>
                        <w:i/>
                        <w:color w:val="231F20"/>
                        <w:w w:val="94"/>
                        <w:sz w:val="18"/>
                      </w:rPr>
                      <w:t> </w:t>
                    </w:r>
                    <w:r>
                      <w:rPr>
                        <w:i/>
                        <w:color w:val="231F20"/>
                        <w:w w:val="105"/>
                        <w:sz w:val="18"/>
                      </w:rPr>
                      <w:t>bladder,</w:t>
                    </w:r>
                    <w:r>
                      <w:rPr>
                        <w:i/>
                        <w:color w:val="231F20"/>
                        <w:spacing w:val="14"/>
                        <w:w w:val="105"/>
                        <w:sz w:val="18"/>
                      </w:rPr>
                      <w:t> </w:t>
                    </w:r>
                    <w:r>
                      <w:rPr>
                        <w:color w:val="231F20"/>
                        <w:w w:val="105"/>
                        <w:sz w:val="18"/>
                      </w:rPr>
                      <w:t>which</w:t>
                    </w:r>
                    <w:r>
                      <w:rPr>
                        <w:color w:val="231F20"/>
                        <w:spacing w:val="14"/>
                        <w:w w:val="105"/>
                        <w:sz w:val="18"/>
                      </w:rPr>
                      <w:t> </w:t>
                    </w:r>
                    <w:r>
                      <w:rPr>
                        <w:color w:val="231F20"/>
                        <w:w w:val="105"/>
                        <w:sz w:val="18"/>
                      </w:rPr>
                      <w:t>results</w:t>
                    </w:r>
                    <w:r>
                      <w:rPr>
                        <w:color w:val="231F20"/>
                        <w:spacing w:val="15"/>
                        <w:w w:val="105"/>
                        <w:sz w:val="18"/>
                      </w:rPr>
                      <w:t> </w:t>
                    </w:r>
                    <w:r>
                      <w:rPr>
                        <w:color w:val="231F20"/>
                        <w:w w:val="105"/>
                        <w:sz w:val="18"/>
                      </w:rPr>
                      <w:t>in</w:t>
                    </w:r>
                    <w:r>
                      <w:rPr>
                        <w:color w:val="231F20"/>
                        <w:spacing w:val="14"/>
                        <w:w w:val="105"/>
                        <w:sz w:val="18"/>
                      </w:rPr>
                      <w:t> </w:t>
                    </w:r>
                    <w:r>
                      <w:rPr>
                        <w:color w:val="231F20"/>
                        <w:w w:val="105"/>
                        <w:sz w:val="18"/>
                      </w:rPr>
                      <w:t>frequent</w:t>
                    </w:r>
                    <w:r>
                      <w:rPr>
                        <w:color w:val="231F20"/>
                        <w:spacing w:val="15"/>
                        <w:w w:val="105"/>
                        <w:sz w:val="18"/>
                      </w:rPr>
                      <w:t> </w:t>
                    </w:r>
                    <w:r>
                      <w:rPr>
                        <w:color w:val="231F20"/>
                        <w:w w:val="105"/>
                        <w:sz w:val="18"/>
                      </w:rPr>
                      <w:t>and</w:t>
                    </w:r>
                    <w:r>
                      <w:rPr>
                        <w:color w:val="231F20"/>
                        <w:spacing w:val="14"/>
                        <w:w w:val="105"/>
                        <w:sz w:val="18"/>
                      </w:rPr>
                      <w:t> </w:t>
                    </w:r>
                    <w:r>
                      <w:rPr>
                        <w:color w:val="231F20"/>
                        <w:w w:val="105"/>
                        <w:sz w:val="18"/>
                      </w:rPr>
                      <w:t>relatively</w:t>
                    </w:r>
                    <w:r>
                      <w:rPr>
                        <w:color w:val="231F20"/>
                        <w:spacing w:val="15"/>
                        <w:w w:val="105"/>
                        <w:sz w:val="18"/>
                      </w:rPr>
                      <w:t> </w:t>
                    </w:r>
                    <w:r>
                      <w:rPr>
                        <w:color w:val="231F20"/>
                        <w:w w:val="105"/>
                        <w:sz w:val="18"/>
                      </w:rPr>
                      <w:t>uncon-</w:t>
                    </w:r>
                    <w:r>
                      <w:rPr>
                        <w:color w:val="231F20"/>
                        <w:w w:val="109"/>
                        <w:sz w:val="18"/>
                      </w:rPr>
                      <w:t> </w:t>
                    </w:r>
                    <w:r>
                      <w:rPr>
                        <w:color w:val="231F20"/>
                        <w:w w:val="105"/>
                        <w:sz w:val="18"/>
                      </w:rPr>
                      <w:t>trolled</w:t>
                    </w:r>
                    <w:r>
                      <w:rPr>
                        <w:color w:val="231F20"/>
                        <w:spacing w:val="32"/>
                        <w:w w:val="105"/>
                        <w:sz w:val="18"/>
                      </w:rPr>
                      <w:t> </w:t>
                    </w:r>
                    <w:r>
                      <w:rPr>
                        <w:color w:val="231F20"/>
                        <w:w w:val="105"/>
                        <w:sz w:val="18"/>
                      </w:rPr>
                      <w:t>micturition.</w:t>
                    </w:r>
                    <w:r>
                      <w:rPr>
                        <w:color w:val="231F20"/>
                        <w:spacing w:val="32"/>
                        <w:w w:val="105"/>
                        <w:sz w:val="18"/>
                      </w:rPr>
                      <w:t> </w:t>
                    </w:r>
                    <w:r>
                      <w:rPr>
                        <w:color w:val="231F20"/>
                        <w:w w:val="105"/>
                        <w:sz w:val="18"/>
                      </w:rPr>
                      <w:t>This</w:t>
                    </w:r>
                    <w:r>
                      <w:rPr>
                        <w:color w:val="231F20"/>
                        <w:spacing w:val="32"/>
                        <w:w w:val="105"/>
                        <w:sz w:val="18"/>
                      </w:rPr>
                      <w:t> </w:t>
                    </w:r>
                    <w:r>
                      <w:rPr>
                        <w:color w:val="231F20"/>
                        <w:w w:val="105"/>
                        <w:sz w:val="18"/>
                      </w:rPr>
                      <w:t>condition</w:t>
                    </w:r>
                    <w:r>
                      <w:rPr>
                        <w:color w:val="231F20"/>
                        <w:spacing w:val="32"/>
                        <w:w w:val="105"/>
                        <w:sz w:val="18"/>
                      </w:rPr>
                      <w:t> </w:t>
                    </w:r>
                    <w:r>
                      <w:rPr>
                        <w:color w:val="231F20"/>
                        <w:w w:val="105"/>
                        <w:sz w:val="18"/>
                      </w:rPr>
                      <w:t>derives</w:t>
                    </w:r>
                    <w:r>
                      <w:rPr>
                        <w:color w:val="231F20"/>
                        <w:spacing w:val="32"/>
                        <w:w w:val="105"/>
                        <w:sz w:val="18"/>
                      </w:rPr>
                      <w:t> </w:t>
                    </w:r>
                    <w:r>
                      <w:rPr>
                        <w:color w:val="231F20"/>
                        <w:w w:val="105"/>
                        <w:sz w:val="18"/>
                      </w:rPr>
                      <w:t>from</w:t>
                    </w:r>
                    <w:r>
                      <w:rPr>
                        <w:color w:val="231F20"/>
                        <w:spacing w:val="33"/>
                        <w:w w:val="105"/>
                        <w:sz w:val="18"/>
                      </w:rPr>
                      <w:t> </w:t>
                    </w:r>
                    <w:r>
                      <w:rPr>
                        <w:color w:val="231F20"/>
                        <w:w w:val="105"/>
                        <w:sz w:val="18"/>
                      </w:rPr>
                      <w:t>partial</w:t>
                    </w:r>
                    <w:r>
                      <w:rPr>
                        <w:color w:val="231F20"/>
                        <w:w w:val="100"/>
                        <w:sz w:val="18"/>
                      </w:rPr>
                      <w:t> </w:t>
                    </w:r>
                    <w:r>
                      <w:rPr>
                        <w:color w:val="231F20"/>
                        <w:w w:val="105"/>
                        <w:sz w:val="18"/>
                      </w:rPr>
                      <w:t>damage</w:t>
                    </w:r>
                    <w:r>
                      <w:rPr>
                        <w:color w:val="231F20"/>
                        <w:spacing w:val="-6"/>
                        <w:w w:val="105"/>
                        <w:sz w:val="18"/>
                      </w:rPr>
                      <w:t> </w:t>
                    </w:r>
                    <w:r>
                      <w:rPr>
                        <w:color w:val="231F20"/>
                        <w:w w:val="105"/>
                        <w:sz w:val="18"/>
                      </w:rPr>
                      <w:t>in</w:t>
                    </w:r>
                    <w:r>
                      <w:rPr>
                        <w:color w:val="231F20"/>
                        <w:spacing w:val="-6"/>
                        <w:w w:val="105"/>
                        <w:sz w:val="18"/>
                      </w:rPr>
                      <w:t> </w:t>
                    </w:r>
                    <w:r>
                      <w:rPr>
                        <w:color w:val="231F20"/>
                        <w:w w:val="105"/>
                        <w:sz w:val="18"/>
                      </w:rPr>
                      <w:t>the</w:t>
                    </w:r>
                    <w:r>
                      <w:rPr>
                        <w:color w:val="231F20"/>
                        <w:spacing w:val="-5"/>
                        <w:w w:val="105"/>
                        <w:sz w:val="18"/>
                      </w:rPr>
                      <w:t> </w:t>
                    </w:r>
                    <w:r>
                      <w:rPr>
                        <w:color w:val="231F20"/>
                        <w:w w:val="105"/>
                        <w:sz w:val="18"/>
                      </w:rPr>
                      <w:t>spinal</w:t>
                    </w:r>
                    <w:r>
                      <w:rPr>
                        <w:color w:val="231F20"/>
                        <w:spacing w:val="-6"/>
                        <w:w w:val="105"/>
                        <w:sz w:val="18"/>
                      </w:rPr>
                      <w:t> </w:t>
                    </w:r>
                    <w:r>
                      <w:rPr>
                        <w:color w:val="231F20"/>
                        <w:w w:val="105"/>
                        <w:sz w:val="18"/>
                      </w:rPr>
                      <w:t>cord</w:t>
                    </w:r>
                    <w:r>
                      <w:rPr>
                        <w:color w:val="231F20"/>
                        <w:spacing w:val="-5"/>
                        <w:w w:val="105"/>
                        <w:sz w:val="18"/>
                      </w:rPr>
                      <w:t> </w:t>
                    </w:r>
                    <w:r>
                      <w:rPr>
                        <w:color w:val="231F20"/>
                        <w:w w:val="105"/>
                        <w:sz w:val="18"/>
                      </w:rPr>
                      <w:t>or</w:t>
                    </w:r>
                    <w:r>
                      <w:rPr>
                        <w:color w:val="231F20"/>
                        <w:spacing w:val="-6"/>
                        <w:w w:val="105"/>
                        <w:sz w:val="18"/>
                      </w:rPr>
                      <w:t> </w:t>
                    </w:r>
                    <w:r>
                      <w:rPr>
                        <w:color w:val="231F20"/>
                        <w:w w:val="105"/>
                        <w:sz w:val="18"/>
                      </w:rPr>
                      <w:t>the</w:t>
                    </w:r>
                    <w:r>
                      <w:rPr>
                        <w:color w:val="231F20"/>
                        <w:spacing w:val="-6"/>
                        <w:w w:val="105"/>
                        <w:sz w:val="18"/>
                      </w:rPr>
                      <w:t> </w:t>
                    </w:r>
                    <w:r>
                      <w:rPr>
                        <w:color w:val="231F20"/>
                        <w:w w:val="105"/>
                        <w:sz w:val="18"/>
                      </w:rPr>
                      <w:t>brain</w:t>
                    </w:r>
                    <w:r>
                      <w:rPr>
                        <w:color w:val="231F20"/>
                        <w:spacing w:val="-5"/>
                        <w:w w:val="105"/>
                        <w:sz w:val="18"/>
                      </w:rPr>
                      <w:t> </w:t>
                    </w:r>
                    <w:r>
                      <w:rPr>
                        <w:color w:val="231F20"/>
                        <w:w w:val="105"/>
                        <w:sz w:val="18"/>
                      </w:rPr>
                      <w:t>stem</w:t>
                    </w:r>
                    <w:r>
                      <w:rPr>
                        <w:color w:val="231F20"/>
                        <w:spacing w:val="-6"/>
                        <w:w w:val="105"/>
                        <w:sz w:val="18"/>
                      </w:rPr>
                      <w:t> </w:t>
                    </w:r>
                    <w:r>
                      <w:rPr>
                        <w:color w:val="231F20"/>
                        <w:w w:val="105"/>
                        <w:sz w:val="18"/>
                      </w:rPr>
                      <w:t>that</w:t>
                    </w:r>
                    <w:r>
                      <w:rPr>
                        <w:color w:val="231F20"/>
                        <w:spacing w:val="-5"/>
                        <w:w w:val="105"/>
                        <w:sz w:val="18"/>
                      </w:rPr>
                      <w:t> </w:t>
                    </w:r>
                    <w:r>
                      <w:rPr>
                        <w:color w:val="231F20"/>
                        <w:w w:val="105"/>
                        <w:sz w:val="18"/>
                      </w:rPr>
                      <w:t>interrupts</w:t>
                    </w:r>
                    <w:r>
                      <w:rPr>
                        <w:color w:val="231F20"/>
                        <w:w w:val="97"/>
                        <w:sz w:val="18"/>
                      </w:rPr>
                      <w:t> </w:t>
                    </w:r>
                    <w:r>
                      <w:rPr>
                        <w:color w:val="231F20"/>
                        <w:w w:val="105"/>
                        <w:sz w:val="18"/>
                      </w:rPr>
                      <w:t>most of the inhibitory signals.</w:t>
                    </w:r>
                    <w:r>
                      <w:rPr>
                        <w:color w:val="231F20"/>
                        <w:spacing w:val="8"/>
                        <w:w w:val="105"/>
                        <w:sz w:val="18"/>
                      </w:rPr>
                      <w:t> </w:t>
                    </w:r>
                    <w:r>
                      <w:rPr>
                        <w:color w:val="231F20"/>
                        <w:w w:val="105"/>
                        <w:sz w:val="18"/>
                      </w:rPr>
                      <w:t>Therefore,</w:t>
                    </w:r>
                    <w:r>
                      <w:rPr>
                        <w:color w:val="231F20"/>
                        <w:spacing w:val="11"/>
                        <w:w w:val="105"/>
                        <w:sz w:val="18"/>
                      </w:rPr>
                      <w:t> </w:t>
                    </w:r>
                    <w:r>
                      <w:rPr>
                        <w:color w:val="231F20"/>
                        <w:w w:val="105"/>
                        <w:sz w:val="18"/>
                      </w:rPr>
                      <w:t>facilitative</w:t>
                    </w:r>
                    <w:r>
                      <w:rPr>
                        <w:color w:val="231F20"/>
                        <w:w w:val="99"/>
                        <w:sz w:val="18"/>
                      </w:rPr>
                      <w:t> </w:t>
                    </w:r>
                    <w:r>
                      <w:rPr>
                        <w:color w:val="231F20"/>
                        <w:w w:val="105"/>
                        <w:sz w:val="18"/>
                      </w:rPr>
                      <w:t>impulses</w:t>
                    </w:r>
                    <w:r>
                      <w:rPr>
                        <w:color w:val="231F20"/>
                        <w:spacing w:val="-22"/>
                        <w:w w:val="105"/>
                        <w:sz w:val="18"/>
                      </w:rPr>
                      <w:t> </w:t>
                    </w:r>
                    <w:r>
                      <w:rPr>
                        <w:color w:val="231F20"/>
                        <w:w w:val="105"/>
                        <w:sz w:val="18"/>
                      </w:rPr>
                      <w:t>passing</w:t>
                    </w:r>
                    <w:r>
                      <w:rPr>
                        <w:color w:val="231F20"/>
                        <w:spacing w:val="-22"/>
                        <w:w w:val="105"/>
                        <w:sz w:val="18"/>
                      </w:rPr>
                      <w:t> </w:t>
                    </w:r>
                    <w:r>
                      <w:rPr>
                        <w:color w:val="231F20"/>
                        <w:w w:val="105"/>
                        <w:sz w:val="18"/>
                      </w:rPr>
                      <w:t>continually</w:t>
                    </w:r>
                    <w:r>
                      <w:rPr>
                        <w:color w:val="231F20"/>
                        <w:spacing w:val="-22"/>
                        <w:w w:val="105"/>
                        <w:sz w:val="18"/>
                      </w:rPr>
                      <w:t> </w:t>
                    </w:r>
                    <w:r>
                      <w:rPr>
                        <w:color w:val="231F20"/>
                        <w:w w:val="105"/>
                        <w:sz w:val="18"/>
                      </w:rPr>
                      <w:t>down</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cord</w:t>
                    </w:r>
                    <w:r>
                      <w:rPr>
                        <w:color w:val="231F20"/>
                        <w:spacing w:val="-22"/>
                        <w:w w:val="105"/>
                        <w:sz w:val="18"/>
                      </w:rPr>
                      <w:t> </w:t>
                    </w:r>
                    <w:r>
                      <w:rPr>
                        <w:color w:val="231F20"/>
                        <w:w w:val="105"/>
                        <w:sz w:val="18"/>
                      </w:rPr>
                      <w:t>keep</w:t>
                    </w:r>
                    <w:r>
                      <w:rPr>
                        <w:color w:val="231F20"/>
                        <w:spacing w:val="-22"/>
                        <w:w w:val="105"/>
                        <w:sz w:val="18"/>
                      </w:rPr>
                      <w:t> </w:t>
                    </w:r>
                    <w:r>
                      <w:rPr>
                        <w:color w:val="231F20"/>
                        <w:w w:val="105"/>
                        <w:sz w:val="18"/>
                      </w:rPr>
                      <w:t>the</w:t>
                    </w:r>
                    <w:r>
                      <w:rPr>
                        <w:color w:val="231F20"/>
                        <w:spacing w:val="-21"/>
                        <w:w w:val="105"/>
                        <w:sz w:val="18"/>
                      </w:rPr>
                      <w:t> </w:t>
                    </w:r>
                    <w:r>
                      <w:rPr>
                        <w:color w:val="231F20"/>
                        <w:w w:val="105"/>
                        <w:sz w:val="18"/>
                      </w:rPr>
                      <w:t>sacral</w:t>
                    </w:r>
                    <w:r>
                      <w:rPr>
                        <w:color w:val="231F20"/>
                        <w:w w:val="101"/>
                        <w:sz w:val="18"/>
                      </w:rPr>
                      <w:t> </w:t>
                    </w:r>
                    <w:r>
                      <w:rPr>
                        <w:color w:val="231F20"/>
                        <w:w w:val="105"/>
                        <w:sz w:val="18"/>
                      </w:rPr>
                      <w:t>centers</w:t>
                    </w:r>
                    <w:r>
                      <w:rPr>
                        <w:color w:val="231F20"/>
                        <w:spacing w:val="22"/>
                        <w:w w:val="105"/>
                        <w:sz w:val="18"/>
                      </w:rPr>
                      <w:t> </w:t>
                    </w:r>
                    <w:r>
                      <w:rPr>
                        <w:color w:val="231F20"/>
                        <w:w w:val="105"/>
                        <w:sz w:val="18"/>
                      </w:rPr>
                      <w:t>so</w:t>
                    </w:r>
                    <w:r>
                      <w:rPr>
                        <w:color w:val="231F20"/>
                        <w:spacing w:val="22"/>
                        <w:w w:val="105"/>
                        <w:sz w:val="18"/>
                      </w:rPr>
                      <w:t> </w:t>
                    </w:r>
                    <w:r>
                      <w:rPr>
                        <w:color w:val="231F20"/>
                        <w:w w:val="105"/>
                        <w:sz w:val="18"/>
                      </w:rPr>
                      <w:t>excitable</w:t>
                    </w:r>
                    <w:r>
                      <w:rPr>
                        <w:color w:val="231F20"/>
                        <w:spacing w:val="22"/>
                        <w:w w:val="105"/>
                        <w:sz w:val="18"/>
                      </w:rPr>
                      <w:t> </w:t>
                    </w:r>
                    <w:r>
                      <w:rPr>
                        <w:color w:val="231F20"/>
                        <w:w w:val="105"/>
                        <w:sz w:val="18"/>
                      </w:rPr>
                      <w:t>that</w:t>
                    </w:r>
                    <w:r>
                      <w:rPr>
                        <w:color w:val="231F20"/>
                        <w:spacing w:val="22"/>
                        <w:w w:val="105"/>
                        <w:sz w:val="18"/>
                      </w:rPr>
                      <w:t> </w:t>
                    </w:r>
                    <w:r>
                      <w:rPr>
                        <w:color w:val="231F20"/>
                        <w:w w:val="105"/>
                        <w:sz w:val="18"/>
                      </w:rPr>
                      <w:t>even</w:t>
                    </w:r>
                    <w:r>
                      <w:rPr>
                        <w:color w:val="231F20"/>
                        <w:spacing w:val="22"/>
                        <w:w w:val="105"/>
                        <w:sz w:val="18"/>
                      </w:rPr>
                      <w:t> </w:t>
                    </w:r>
                    <w:r>
                      <w:rPr>
                        <w:color w:val="231F20"/>
                        <w:w w:val="105"/>
                        <w:sz w:val="18"/>
                      </w:rPr>
                      <w:t>a</w:t>
                    </w:r>
                    <w:r>
                      <w:rPr>
                        <w:color w:val="231F20"/>
                        <w:spacing w:val="23"/>
                        <w:w w:val="105"/>
                        <w:sz w:val="18"/>
                      </w:rPr>
                      <w:t> </w:t>
                    </w:r>
                    <w:r>
                      <w:rPr>
                        <w:color w:val="231F20"/>
                        <w:w w:val="105"/>
                        <w:sz w:val="18"/>
                      </w:rPr>
                      <w:t>small</w:t>
                    </w:r>
                    <w:r>
                      <w:rPr>
                        <w:color w:val="231F20"/>
                        <w:spacing w:val="22"/>
                        <w:w w:val="105"/>
                        <w:sz w:val="18"/>
                      </w:rPr>
                      <w:t> </w:t>
                    </w:r>
                    <w:r>
                      <w:rPr>
                        <w:color w:val="231F20"/>
                        <w:w w:val="105"/>
                        <w:sz w:val="18"/>
                      </w:rPr>
                      <w:t>quantity</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urine</w:t>
                    </w:r>
                    <w:r>
                      <w:rPr>
                        <w:color w:val="231F20"/>
                        <w:w w:val="102"/>
                        <w:sz w:val="18"/>
                      </w:rPr>
                      <w:t> </w:t>
                    </w:r>
                    <w:r>
                      <w:rPr>
                        <w:color w:val="231F20"/>
                        <w:w w:val="105"/>
                        <w:sz w:val="18"/>
                      </w:rPr>
                      <w:t>elicits</w:t>
                    </w:r>
                    <w:r>
                      <w:rPr>
                        <w:color w:val="231F20"/>
                        <w:spacing w:val="16"/>
                        <w:w w:val="105"/>
                        <w:sz w:val="18"/>
                      </w:rPr>
                      <w:t> </w:t>
                    </w:r>
                    <w:r>
                      <w:rPr>
                        <w:color w:val="231F20"/>
                        <w:w w:val="105"/>
                        <w:sz w:val="18"/>
                      </w:rPr>
                      <w:t>an</w:t>
                    </w:r>
                    <w:r>
                      <w:rPr>
                        <w:color w:val="231F20"/>
                        <w:spacing w:val="16"/>
                        <w:w w:val="105"/>
                        <w:sz w:val="18"/>
                      </w:rPr>
                      <w:t> </w:t>
                    </w:r>
                    <w:r>
                      <w:rPr>
                        <w:color w:val="231F20"/>
                        <w:w w:val="105"/>
                        <w:sz w:val="18"/>
                      </w:rPr>
                      <w:t>uncontrollable</w:t>
                    </w:r>
                    <w:r>
                      <w:rPr>
                        <w:color w:val="231F20"/>
                        <w:spacing w:val="17"/>
                        <w:w w:val="105"/>
                        <w:sz w:val="18"/>
                      </w:rPr>
                      <w:t> </w:t>
                    </w:r>
                    <w:r>
                      <w:rPr>
                        <w:color w:val="231F20"/>
                        <w:w w:val="105"/>
                        <w:sz w:val="18"/>
                      </w:rPr>
                      <w:t>micturition</w:t>
                    </w:r>
                    <w:r>
                      <w:rPr>
                        <w:color w:val="231F20"/>
                        <w:spacing w:val="16"/>
                        <w:w w:val="105"/>
                        <w:sz w:val="18"/>
                      </w:rPr>
                      <w:t> </w:t>
                    </w:r>
                    <w:r>
                      <w:rPr>
                        <w:color w:val="231F20"/>
                        <w:w w:val="105"/>
                        <w:sz w:val="18"/>
                      </w:rPr>
                      <w:t>reflex,</w:t>
                    </w:r>
                    <w:r>
                      <w:rPr>
                        <w:color w:val="231F20"/>
                        <w:spacing w:val="16"/>
                        <w:w w:val="105"/>
                        <w:sz w:val="18"/>
                      </w:rPr>
                      <w:t> </w:t>
                    </w:r>
                    <w:r>
                      <w:rPr>
                        <w:color w:val="231F20"/>
                        <w:w w:val="105"/>
                        <w:sz w:val="18"/>
                      </w:rPr>
                      <w:t>thereby</w:t>
                    </w:r>
                    <w:r>
                      <w:rPr>
                        <w:color w:val="231F20"/>
                        <w:spacing w:val="17"/>
                        <w:w w:val="105"/>
                        <w:sz w:val="18"/>
                      </w:rPr>
                      <w:t> </w:t>
                    </w:r>
                    <w:r>
                      <w:rPr>
                        <w:color w:val="231F20"/>
                        <w:w w:val="105"/>
                        <w:sz w:val="18"/>
                      </w:rPr>
                      <w:t>pro-</w:t>
                    </w:r>
                  </w:p>
                  <w:p>
                    <w:pPr>
                      <w:spacing w:before="4"/>
                      <w:ind w:left="180" w:right="0" w:firstLine="0"/>
                      <w:jc w:val="both"/>
                      <w:rPr>
                        <w:sz w:val="18"/>
                      </w:rPr>
                    </w:pPr>
                    <w:r>
                      <w:rPr>
                        <w:color w:val="231F20"/>
                        <w:w w:val="105"/>
                        <w:sz w:val="18"/>
                      </w:rPr>
                      <w:t>moting frequent urination.</w:t>
                    </w:r>
                  </w:p>
                </w:txbxContent>
              </v:textbox>
              <v:fill type="solid"/>
              <w10:wrap type="none"/>
            </v:shape>
            <w10:wrap type="none"/>
          </v:group>
        </w:pict>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4"/>
        <w:rPr>
          <w:rFonts w:ascii="Helvetica"/>
          <w:sz w:val="19"/>
        </w:rPr>
      </w:pPr>
    </w:p>
    <w:p>
      <w:pPr>
        <w:pStyle w:val="BodyText"/>
        <w:ind w:left="1440" w:right="-58"/>
        <w:rPr>
          <w:rFonts w:ascii="Helvetica"/>
        </w:rPr>
      </w:pPr>
      <w:r>
        <w:rPr>
          <w:rFonts w:ascii="Helvetica"/>
        </w:rPr>
        <w:pict>
          <v:shape style="width:234pt;height:52pt;mso-position-horizontal-relative:char;mso-position-vertical-relative:line" type="#_x0000_t202" filled="true" fillcolor="#e8dac8" stroked="false">
            <w10:anchorlock/>
            <v:textbox inset="0,0,0,0">
              <w:txbxContent>
                <w:p>
                  <w:pPr>
                    <w:spacing w:line="225" w:lineRule="auto" w:before="46"/>
                    <w:ind w:left="60" w:right="856" w:firstLine="0"/>
                    <w:jc w:val="left"/>
                    <w:rPr>
                      <w:rFonts w:ascii="Trebuchet MS"/>
                      <w:b/>
                      <w:sz w:val="22"/>
                    </w:rPr>
                  </w:pPr>
                  <w:r>
                    <w:rPr>
                      <w:rFonts w:ascii="Trebuchet MS"/>
                      <w:b/>
                      <w:color w:val="231F20"/>
                      <w:w w:val="110"/>
                      <w:sz w:val="22"/>
                    </w:rPr>
                    <w:t>URINE FORMATION RESULTS FROM GLOMERULAR FILTRATION, TUBULAR REABSORPTION, AND TUBULAR SECRETION</w:t>
                  </w:r>
                </w:p>
              </w:txbxContent>
            </v:textbox>
            <v:fill type="solid"/>
          </v:shape>
        </w:pict>
      </w:r>
      <w:r>
        <w:rPr>
          <w:rFonts w:ascii="Helvetica"/>
        </w:rPr>
      </w:r>
    </w:p>
    <w:p>
      <w:pPr>
        <w:pStyle w:val="BodyText"/>
        <w:spacing w:line="249" w:lineRule="auto" w:before="77"/>
        <w:ind w:left="1440"/>
        <w:jc w:val="both"/>
      </w:pPr>
      <w:r>
        <w:rPr/>
        <w:pict>
          <v:line style="position:absolute;mso-position-horizontal-relative:page;mso-position-vertical-relative:paragraph;z-index:251880448" from="72pt,-1.023077pt" to="306pt,-1.023077pt" stroked="true" strokeweight=".5pt" strokecolor="#231f20">
            <v:stroke dashstyle="solid"/>
            <w10:wrap type="none"/>
          </v:line>
        </w:pict>
      </w:r>
      <w:r>
        <w:rPr>
          <w:color w:val="231F20"/>
          <w:w w:val="105"/>
        </w:rPr>
        <w:t>The</w:t>
      </w:r>
      <w:r>
        <w:rPr>
          <w:color w:val="231F20"/>
          <w:spacing w:val="-21"/>
          <w:w w:val="105"/>
        </w:rPr>
        <w:t> </w:t>
      </w:r>
      <w:r>
        <w:rPr>
          <w:color w:val="231F20"/>
          <w:w w:val="105"/>
        </w:rPr>
        <w:t>rates</w:t>
      </w:r>
      <w:r>
        <w:rPr>
          <w:color w:val="231F20"/>
          <w:spacing w:val="-21"/>
          <w:w w:val="105"/>
        </w:rPr>
        <w:t> </w:t>
      </w:r>
      <w:r>
        <w:rPr>
          <w:color w:val="231F20"/>
          <w:w w:val="105"/>
        </w:rPr>
        <w:t>at</w:t>
      </w:r>
      <w:r>
        <w:rPr>
          <w:color w:val="231F20"/>
          <w:spacing w:val="-20"/>
          <w:w w:val="105"/>
        </w:rPr>
        <w:t> </w:t>
      </w:r>
      <w:r>
        <w:rPr>
          <w:color w:val="231F20"/>
          <w:w w:val="105"/>
        </w:rPr>
        <w:t>which</w:t>
      </w:r>
      <w:r>
        <w:rPr>
          <w:color w:val="231F20"/>
          <w:spacing w:val="-21"/>
          <w:w w:val="105"/>
        </w:rPr>
        <w:t> </w:t>
      </w:r>
      <w:r>
        <w:rPr>
          <w:color w:val="231F20"/>
          <w:w w:val="105"/>
        </w:rPr>
        <w:t>different</w:t>
      </w:r>
      <w:r>
        <w:rPr>
          <w:color w:val="231F20"/>
          <w:spacing w:val="-20"/>
          <w:w w:val="105"/>
        </w:rPr>
        <w:t> </w:t>
      </w:r>
      <w:r>
        <w:rPr>
          <w:color w:val="231F20"/>
          <w:w w:val="105"/>
        </w:rPr>
        <w:t>substances</w:t>
      </w:r>
      <w:r>
        <w:rPr>
          <w:color w:val="231F20"/>
          <w:spacing w:val="-21"/>
          <w:w w:val="105"/>
        </w:rPr>
        <w:t> </w:t>
      </w:r>
      <w:r>
        <w:rPr>
          <w:color w:val="231F20"/>
          <w:w w:val="105"/>
        </w:rPr>
        <w:t>are</w:t>
      </w:r>
      <w:r>
        <w:rPr>
          <w:color w:val="231F20"/>
          <w:spacing w:val="-20"/>
          <w:w w:val="105"/>
        </w:rPr>
        <w:t> </w:t>
      </w:r>
      <w:r>
        <w:rPr>
          <w:color w:val="231F20"/>
          <w:w w:val="105"/>
        </w:rPr>
        <w:t>excreted</w:t>
      </w:r>
      <w:r>
        <w:rPr>
          <w:color w:val="231F20"/>
          <w:spacing w:val="-21"/>
          <w:w w:val="105"/>
        </w:rPr>
        <w:t> </w:t>
      </w:r>
      <w:r>
        <w:rPr>
          <w:color w:val="231F20"/>
          <w:w w:val="105"/>
        </w:rPr>
        <w:t>in</w:t>
      </w:r>
      <w:r>
        <w:rPr>
          <w:color w:val="231F20"/>
          <w:spacing w:val="-21"/>
          <w:w w:val="105"/>
        </w:rPr>
        <w:t> </w:t>
      </w:r>
      <w:r>
        <w:rPr>
          <w:color w:val="231F20"/>
          <w:spacing w:val="-6"/>
          <w:w w:val="105"/>
        </w:rPr>
        <w:t>the </w:t>
      </w:r>
      <w:r>
        <w:rPr>
          <w:color w:val="231F20"/>
          <w:w w:val="105"/>
        </w:rPr>
        <w:t>urine represent the sum of three renal processes, </w:t>
      </w:r>
      <w:r>
        <w:rPr>
          <w:color w:val="231F20"/>
          <w:spacing w:val="-3"/>
          <w:w w:val="105"/>
        </w:rPr>
        <w:t>shown </w:t>
      </w:r>
      <w:r>
        <w:rPr>
          <w:color w:val="231F20"/>
          <w:w w:val="105"/>
        </w:rPr>
        <w:t>in</w:t>
      </w:r>
      <w:r>
        <w:rPr>
          <w:color w:val="231F20"/>
          <w:spacing w:val="-22"/>
          <w:w w:val="105"/>
        </w:rPr>
        <w:t> </w:t>
      </w:r>
      <w:hyperlink w:history="true" w:anchor="_bookmark20">
        <w:r>
          <w:rPr>
            <w:b/>
            <w:color w:val="0080AC"/>
            <w:w w:val="105"/>
          </w:rPr>
          <w:t>Figure</w:t>
        </w:r>
        <w:r>
          <w:rPr>
            <w:b/>
            <w:color w:val="0080AC"/>
            <w:spacing w:val="-22"/>
            <w:w w:val="105"/>
          </w:rPr>
          <w:t> </w:t>
        </w:r>
        <w:r>
          <w:rPr>
            <w:b/>
            <w:color w:val="0080AC"/>
            <w:w w:val="105"/>
          </w:rPr>
          <w:t>26-9</w:t>
        </w:r>
      </w:hyperlink>
      <w:r>
        <w:rPr>
          <w:color w:val="231F20"/>
          <w:w w:val="105"/>
        </w:rPr>
        <w:t>:</w:t>
      </w:r>
      <w:r>
        <w:rPr>
          <w:color w:val="231F20"/>
          <w:spacing w:val="-21"/>
          <w:w w:val="105"/>
        </w:rPr>
        <w:t> </w:t>
      </w:r>
      <w:r>
        <w:rPr>
          <w:color w:val="231F20"/>
          <w:w w:val="105"/>
        </w:rPr>
        <w:t>(1)</w:t>
      </w:r>
      <w:r>
        <w:rPr>
          <w:color w:val="231F20"/>
          <w:spacing w:val="-21"/>
          <w:w w:val="105"/>
        </w:rPr>
        <w:t> </w:t>
      </w:r>
      <w:r>
        <w:rPr>
          <w:color w:val="231F20"/>
          <w:w w:val="105"/>
        </w:rPr>
        <w:t>glomerular</w:t>
      </w:r>
      <w:r>
        <w:rPr>
          <w:color w:val="231F20"/>
          <w:spacing w:val="-22"/>
          <w:w w:val="105"/>
        </w:rPr>
        <w:t> </w:t>
      </w:r>
      <w:r>
        <w:rPr>
          <w:color w:val="231F20"/>
          <w:w w:val="105"/>
        </w:rPr>
        <w:t>filtration,</w:t>
      </w:r>
      <w:r>
        <w:rPr>
          <w:color w:val="231F20"/>
          <w:spacing w:val="-21"/>
          <w:w w:val="105"/>
        </w:rPr>
        <w:t> </w:t>
      </w:r>
      <w:r>
        <w:rPr>
          <w:color w:val="231F20"/>
          <w:w w:val="105"/>
        </w:rPr>
        <w:t>(2)</w:t>
      </w:r>
      <w:r>
        <w:rPr>
          <w:color w:val="231F20"/>
          <w:spacing w:val="-21"/>
          <w:w w:val="105"/>
        </w:rPr>
        <w:t> </w:t>
      </w:r>
      <w:r>
        <w:rPr>
          <w:color w:val="231F20"/>
          <w:w w:val="105"/>
        </w:rPr>
        <w:t>reabsorption of substances from the renal tubules into the blood,</w:t>
      </w:r>
      <w:r>
        <w:rPr>
          <w:color w:val="231F20"/>
          <w:spacing w:val="20"/>
          <w:w w:val="105"/>
        </w:rPr>
        <w:t> </w:t>
      </w:r>
      <w:r>
        <w:rPr>
          <w:color w:val="231F20"/>
          <w:spacing w:val="-4"/>
          <w:w w:val="105"/>
        </w:rPr>
        <w:t>and</w:t>
      </w:r>
    </w:p>
    <w:p>
      <w:pPr>
        <w:pStyle w:val="BodyText"/>
        <w:spacing w:line="249" w:lineRule="auto" w:before="3"/>
        <w:ind w:left="1440" w:right="1"/>
        <w:jc w:val="both"/>
      </w:pPr>
      <w:r>
        <w:rPr>
          <w:color w:val="231F20"/>
        </w:rPr>
        <w:t>(3) secretion of substances from the blood into the renal tubules. Expressed mathematically,</w:t>
      </w:r>
    </w:p>
    <w:p>
      <w:pPr>
        <w:spacing w:before="157"/>
        <w:ind w:left="1596" w:right="0" w:firstLine="0"/>
        <w:jc w:val="left"/>
        <w:rPr>
          <w:rFonts w:ascii="Trebuchet MS"/>
          <w:sz w:val="18"/>
        </w:rPr>
      </w:pPr>
      <w:r>
        <w:rPr>
          <w:rFonts w:ascii="Trebuchet MS"/>
          <w:sz w:val="18"/>
        </w:rPr>
        <w:t>Urinary excretion rate</w:t>
      </w:r>
    </w:p>
    <w:p>
      <w:pPr>
        <w:spacing w:before="19"/>
        <w:ind w:left="1611" w:right="0" w:firstLine="0"/>
        <w:jc w:val="left"/>
        <w:rPr>
          <w:rFonts w:ascii="Trebuchet MS" w:hAnsi="Trebuchet MS"/>
          <w:sz w:val="18"/>
        </w:rPr>
      </w:pPr>
      <w:r>
        <w:rPr>
          <w:rFonts w:ascii="Symbol" w:hAnsi="Symbol"/>
          <w:sz w:val="18"/>
        </w:rPr>
        <w:t></w:t>
      </w:r>
      <w:r>
        <w:rPr>
          <w:sz w:val="18"/>
        </w:rPr>
        <w:t> </w:t>
      </w:r>
      <w:r>
        <w:rPr>
          <w:rFonts w:ascii="Trebuchet MS" w:hAnsi="Trebuchet MS"/>
          <w:sz w:val="18"/>
        </w:rPr>
        <w:t>Filtration rate </w:t>
      </w:r>
      <w:r>
        <w:rPr>
          <w:rFonts w:ascii="Symbol" w:hAnsi="Symbol"/>
          <w:sz w:val="18"/>
        </w:rPr>
        <w:t></w:t>
      </w:r>
      <w:r>
        <w:rPr>
          <w:sz w:val="18"/>
        </w:rPr>
        <w:t> </w:t>
      </w:r>
      <w:r>
        <w:rPr>
          <w:rFonts w:ascii="Trebuchet MS" w:hAnsi="Trebuchet MS"/>
          <w:sz w:val="18"/>
        </w:rPr>
        <w:t>Reabsorption rate </w:t>
      </w:r>
      <w:r>
        <w:rPr>
          <w:rFonts w:ascii="Symbol" w:hAnsi="Symbol"/>
          <w:sz w:val="18"/>
        </w:rPr>
        <w:t></w:t>
      </w:r>
      <w:r>
        <w:rPr>
          <w:sz w:val="18"/>
        </w:rPr>
        <w:t> </w:t>
      </w:r>
      <w:r>
        <w:rPr>
          <w:rFonts w:ascii="Trebuchet MS" w:hAnsi="Trebuchet MS"/>
          <w:sz w:val="18"/>
        </w:rPr>
        <w:t>Secretion rate</w:t>
      </w:r>
    </w:p>
    <w:p>
      <w:pPr>
        <w:pStyle w:val="BodyText"/>
        <w:spacing w:line="249" w:lineRule="auto" w:before="116"/>
        <w:ind w:left="1440" w:firstLine="240"/>
        <w:jc w:val="both"/>
      </w:pPr>
      <w:r>
        <w:rPr>
          <w:color w:val="231F20"/>
          <w:w w:val="105"/>
        </w:rPr>
        <w:t>Urine formation begins when a large amount of </w:t>
      </w:r>
      <w:r>
        <w:rPr>
          <w:color w:val="231F20"/>
          <w:spacing w:val="-4"/>
          <w:w w:val="105"/>
        </w:rPr>
        <w:t>fluid </w:t>
      </w:r>
      <w:r>
        <w:rPr>
          <w:color w:val="231F20"/>
          <w:w w:val="105"/>
        </w:rPr>
        <w:t>that is virtually free of protein is filtered from the glo- merular capillaries into Bowman’s capsule. Most </w:t>
      </w:r>
      <w:r>
        <w:rPr>
          <w:color w:val="231F20"/>
          <w:spacing w:val="-4"/>
          <w:w w:val="105"/>
        </w:rPr>
        <w:t>sub- </w:t>
      </w:r>
      <w:r>
        <w:rPr>
          <w:color w:val="231F20"/>
          <w:w w:val="105"/>
        </w:rPr>
        <w:t>stances in the plasma, except for proteins, are freely filtered, so their concentration in the glomerular </w:t>
      </w:r>
      <w:r>
        <w:rPr>
          <w:color w:val="231F20"/>
          <w:spacing w:val="-3"/>
          <w:w w:val="105"/>
        </w:rPr>
        <w:t>filtrate </w:t>
      </w:r>
      <w:r>
        <w:rPr>
          <w:color w:val="231F20"/>
          <w:w w:val="105"/>
        </w:rPr>
        <w:t>in</w:t>
      </w:r>
      <w:r>
        <w:rPr>
          <w:color w:val="231F20"/>
          <w:spacing w:val="-20"/>
          <w:w w:val="105"/>
        </w:rPr>
        <w:t> </w:t>
      </w:r>
      <w:r>
        <w:rPr>
          <w:color w:val="231F20"/>
          <w:w w:val="105"/>
        </w:rPr>
        <w:t>Bowman’s</w:t>
      </w:r>
      <w:r>
        <w:rPr>
          <w:color w:val="231F20"/>
          <w:spacing w:val="-19"/>
          <w:w w:val="105"/>
        </w:rPr>
        <w:t> </w:t>
      </w:r>
      <w:r>
        <w:rPr>
          <w:color w:val="231F20"/>
          <w:w w:val="105"/>
        </w:rPr>
        <w:t>capsule</w:t>
      </w:r>
      <w:r>
        <w:rPr>
          <w:color w:val="231F20"/>
          <w:spacing w:val="-19"/>
          <w:w w:val="105"/>
        </w:rPr>
        <w:t> </w:t>
      </w:r>
      <w:r>
        <w:rPr>
          <w:color w:val="231F20"/>
          <w:w w:val="105"/>
        </w:rPr>
        <w:t>is</w:t>
      </w:r>
      <w:r>
        <w:rPr>
          <w:color w:val="231F20"/>
          <w:spacing w:val="-19"/>
          <w:w w:val="105"/>
        </w:rPr>
        <w:t> </w:t>
      </w:r>
      <w:r>
        <w:rPr>
          <w:color w:val="231F20"/>
          <w:w w:val="105"/>
        </w:rPr>
        <w:t>almost</w:t>
      </w:r>
      <w:r>
        <w:rPr>
          <w:color w:val="231F20"/>
          <w:spacing w:val="-19"/>
          <w:w w:val="105"/>
        </w:rPr>
        <w:t> </w:t>
      </w:r>
      <w:r>
        <w:rPr>
          <w:color w:val="231F20"/>
          <w:w w:val="105"/>
        </w:rPr>
        <w:t>the</w:t>
      </w:r>
      <w:r>
        <w:rPr>
          <w:color w:val="231F20"/>
          <w:spacing w:val="-19"/>
          <w:w w:val="105"/>
        </w:rPr>
        <w:t> </w:t>
      </w:r>
      <w:r>
        <w:rPr>
          <w:color w:val="231F20"/>
          <w:w w:val="105"/>
        </w:rPr>
        <w:t>same</w:t>
      </w:r>
      <w:r>
        <w:rPr>
          <w:color w:val="231F20"/>
          <w:spacing w:val="-19"/>
          <w:w w:val="105"/>
        </w:rPr>
        <w:t> </w:t>
      </w:r>
      <w:r>
        <w:rPr>
          <w:color w:val="231F20"/>
          <w:w w:val="105"/>
        </w:rPr>
        <w:t>as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plasma. As filtered fluid leaves Bowman’s capsule and passes through the tubules, it is modified by reabsorption </w:t>
      </w:r>
      <w:r>
        <w:rPr>
          <w:color w:val="231F20"/>
          <w:spacing w:val="-8"/>
          <w:w w:val="105"/>
        </w:rPr>
        <w:t>of </w:t>
      </w:r>
      <w:r>
        <w:rPr>
          <w:color w:val="231F20"/>
          <w:w w:val="105"/>
        </w:rPr>
        <w:t>water</w:t>
      </w:r>
      <w:r>
        <w:rPr>
          <w:color w:val="231F20"/>
          <w:spacing w:val="-21"/>
          <w:w w:val="105"/>
        </w:rPr>
        <w:t> </w:t>
      </w:r>
      <w:r>
        <w:rPr>
          <w:color w:val="231F20"/>
          <w:w w:val="105"/>
        </w:rPr>
        <w:t>and</w:t>
      </w:r>
      <w:r>
        <w:rPr>
          <w:color w:val="231F20"/>
          <w:spacing w:val="-20"/>
          <w:w w:val="105"/>
        </w:rPr>
        <w:t> </w:t>
      </w:r>
      <w:r>
        <w:rPr>
          <w:color w:val="231F20"/>
          <w:w w:val="105"/>
        </w:rPr>
        <w:t>specific</w:t>
      </w:r>
      <w:r>
        <w:rPr>
          <w:color w:val="231F20"/>
          <w:spacing w:val="-21"/>
          <w:w w:val="105"/>
        </w:rPr>
        <w:t> </w:t>
      </w:r>
      <w:r>
        <w:rPr>
          <w:color w:val="231F20"/>
          <w:w w:val="105"/>
        </w:rPr>
        <w:t>solutes</w:t>
      </w:r>
      <w:r>
        <w:rPr>
          <w:color w:val="231F20"/>
          <w:spacing w:val="-20"/>
          <w:w w:val="105"/>
        </w:rPr>
        <w:t> </w:t>
      </w:r>
      <w:r>
        <w:rPr>
          <w:color w:val="231F20"/>
          <w:w w:val="105"/>
        </w:rPr>
        <w:t>back</w:t>
      </w:r>
      <w:r>
        <w:rPr>
          <w:color w:val="231F20"/>
          <w:spacing w:val="-21"/>
          <w:w w:val="105"/>
        </w:rPr>
        <w:t> </w:t>
      </w:r>
      <w:r>
        <w:rPr>
          <w:color w:val="231F20"/>
          <w:w w:val="105"/>
        </w:rPr>
        <w:t>into</w:t>
      </w:r>
      <w:r>
        <w:rPr>
          <w:color w:val="231F20"/>
          <w:spacing w:val="-20"/>
          <w:w w:val="105"/>
        </w:rPr>
        <w:t> </w:t>
      </w:r>
      <w:r>
        <w:rPr>
          <w:color w:val="231F20"/>
          <w:w w:val="105"/>
        </w:rPr>
        <w:t>the</w:t>
      </w:r>
      <w:r>
        <w:rPr>
          <w:color w:val="231F20"/>
          <w:spacing w:val="-21"/>
          <w:w w:val="105"/>
        </w:rPr>
        <w:t> </w:t>
      </w:r>
      <w:r>
        <w:rPr>
          <w:color w:val="231F20"/>
          <w:w w:val="105"/>
        </w:rPr>
        <w:t>blood</w:t>
      </w:r>
      <w:r>
        <w:rPr>
          <w:color w:val="231F20"/>
          <w:spacing w:val="-20"/>
          <w:w w:val="105"/>
        </w:rPr>
        <w:t> </w:t>
      </w:r>
      <w:r>
        <w:rPr>
          <w:color w:val="231F20"/>
          <w:w w:val="105"/>
        </w:rPr>
        <w:t>or</w:t>
      </w:r>
      <w:r>
        <w:rPr>
          <w:color w:val="231F20"/>
          <w:spacing w:val="-21"/>
          <w:w w:val="105"/>
        </w:rPr>
        <w:t> </w:t>
      </w:r>
      <w:r>
        <w:rPr>
          <w:color w:val="231F20"/>
          <w:w w:val="105"/>
        </w:rPr>
        <w:t>by</w:t>
      </w:r>
      <w:r>
        <w:rPr>
          <w:color w:val="231F20"/>
          <w:spacing w:val="-20"/>
          <w:w w:val="105"/>
        </w:rPr>
        <w:t> </w:t>
      </w:r>
      <w:r>
        <w:rPr>
          <w:color w:val="231F20"/>
          <w:w w:val="105"/>
        </w:rPr>
        <w:t>secre- tion of other substances from the peritubular capillaries into the</w:t>
      </w:r>
      <w:r>
        <w:rPr>
          <w:color w:val="231F20"/>
          <w:spacing w:val="6"/>
          <w:w w:val="105"/>
        </w:rPr>
        <w:t> </w:t>
      </w:r>
      <w:r>
        <w:rPr>
          <w:color w:val="231F20"/>
          <w:w w:val="105"/>
        </w:rPr>
        <w:t>tubules.</w:t>
      </w:r>
    </w:p>
    <w:p>
      <w:pPr>
        <w:pStyle w:val="BodyText"/>
        <w:spacing w:line="249" w:lineRule="auto" w:before="9"/>
        <w:ind w:left="1440" w:firstLine="240"/>
        <w:jc w:val="both"/>
      </w:pPr>
      <w:hyperlink w:history="true" w:anchor="_bookmark21">
        <w:r>
          <w:rPr>
            <w:b/>
            <w:color w:val="0080AC"/>
          </w:rPr>
          <w:t>Figure 26-10 </w:t>
        </w:r>
      </w:hyperlink>
      <w:r>
        <w:rPr>
          <w:color w:val="231F20"/>
        </w:rPr>
        <w:t>shows the renal handling of four hypo- thetical substances. The substance shown in panel A is freely filtered by the glomerular capillaries but is neither reabsorbed nor secreted. Therefore, its excretion rate is equal to the rate at which it was filtered. Certain waste</w:t>
      </w:r>
    </w:p>
    <w:p>
      <w:pPr>
        <w:pStyle w:val="BodyText"/>
        <w:rPr>
          <w:sz w:val="19"/>
        </w:rPr>
      </w:pPr>
      <w:r>
        <w:rPr/>
        <w:br w:type="column"/>
      </w:r>
      <w:r>
        <w:rPr>
          <w:sz w:val="19"/>
        </w:rPr>
      </w:r>
    </w:p>
    <w:p>
      <w:pPr>
        <w:spacing w:before="0"/>
        <w:ind w:left="295" w:right="1612" w:firstLine="0"/>
        <w:jc w:val="center"/>
        <w:rPr>
          <w:rFonts w:ascii="Helvetica"/>
          <w:sz w:val="16"/>
        </w:rPr>
      </w:pPr>
      <w:r>
        <w:rPr/>
        <w:pict>
          <v:group style="position:absolute;margin-left:341.390594pt;margin-top:-215.014801pt;width:182.45pt;height:214.35pt;mso-position-horizontal-relative:page;mso-position-vertical-relative:paragraph;z-index:-273523712" coordorigin="6828,-4300" coordsize="3649,4287">
            <v:shape style="position:absolute;left:7787;top:-3693;width:1516;height:1283" type="#_x0000_t75" stroked="false">
              <v:imagedata r:id="rId355" o:title=""/>
            </v:shape>
            <v:shape style="position:absolute;left:7922;top:-3752;width:1246;height:1204" coordorigin="7922,-3752" coordsize="1246,1204" path="m8184,-3502l8107,-3483,8042,-3449,7990,-3402,7953,-3347,7931,-3289,7922,-3212,7934,-3142,7968,-3078,8023,-3017,8102,-2959,8124,-2943,8150,-2916,8175,-2883,8191,-2843,8214,-2776,8251,-2713,8298,-2656,8353,-2609,8411,-2574,8471,-2553,8540,-2548,8599,-2566,8651,-2603,8701,-2657,8748,-2722,8752,-2728,8503,-2728,8491,-2729,8485,-2730,8479,-2733,8472,-2736,8435,-2760,8402,-2796,8375,-2841,8358,-2890,8344,-2935,8322,-2986,8291,-3036,8251,-3082,8360,-3082,8419,-3089,8505,-3110,8588,-3138,8664,-3171,8728,-3206,8739,-3213,8087,-3213,8084,-3225,8082,-3237,8081,-3249,8083,-3262,8107,-3304,8149,-3328,8199,-3337,8294,-3337,8325,-3338,8385,-3369,8430,-3414,8463,-3461,8479,-3482,8494,-3498,8495,-3499,8279,-3499,8184,-3502xm9120,-3247l8812,-3247,8836,-3242,8862,-3232,8866,-3230,8871,-3227,8875,-3225,8923,-3192,8958,-3156,8980,-3122,8986,-3095,8973,-3058,8944,-3022,8903,-2997,8857,-2987,8783,-2978,8715,-2949,8657,-2909,8610,-2864,8575,-2819,8537,-2764,8516,-2737,8503,-2728,8752,-2728,8776,-2763,8802,-2794,8827,-2814,8853,-2821,8926,-2829,8998,-2854,9062,-2894,9115,-2947,9152,-3011,9168,-3083,9163,-3154,9142,-3215,9120,-3247xm8360,-3082l8251,-3082,8333,-3079,8360,-3082xm8179,-3285l8153,-3285,8129,-3276,8108,-3259,8100,-3249,8093,-3238,8089,-3226,8087,-3213,8739,-3213,8778,-3241,8787,-3244,8294,-3244,8240,-3254,8234,-3257,8229,-3260,8225,-3264,8219,-3270,8211,-3275,8203,-3278,8179,-3285xm8774,-3410l8721,-3398,8675,-3371,8612,-3331,8534,-3295,8449,-3267,8366,-3249,8294,-3244,8787,-3244,8792,-3246,8812,-3247,9120,-3247,9107,-3266,9061,-3307,9051,-3324,9048,-3350,9049,-3379,9052,-3397,8890,-3397,8830,-3410,8774,-3410xm8294,-3337l8199,-3337,8246,-3335,8294,-3337xm9045,-3551l8626,-3551,8669,-3549,8733,-3534,8801,-3501,8858,-3454,8890,-3397,9052,-3397,9054,-3405,9063,-3480,9048,-3545,9045,-3551xm8586,-3752l8521,-3737,8462,-3689,8426,-3651,8352,-3585,8325,-3554,8302,-3521,8288,-3505,8279,-3499,8495,-3499,8510,-3511,8529,-3524,8558,-3538,8590,-3547,8626,-3551,9045,-3551,9016,-3599,8971,-3639,8923,-3663,8874,-3677,8832,-3682,8766,-3682,8742,-3683,8718,-3690,8698,-3703,8647,-3738,8586,-3752xm8787,-3682l8766,-3682,8832,-3682,8828,-3682,8787,-3682xe" filled="true" fillcolor="#d04e59" stroked="false">
              <v:path arrowok="t"/>
              <v:fill type="solid"/>
            </v:shape>
            <v:shape style="position:absolute;left:-936;top:9161;width:1246;height:1204" coordorigin="-935,9162" coordsize="1246,1204" path="m8857,-2987l8783,-2978,8715,-2949,8657,-2909,8610,-2864,8575,-2819,8537,-2764,8516,-2737,8503,-2728,8491,-2729,8485,-2730,8479,-2733,8472,-2736,8435,-2760,8402,-2796,8375,-2841,8358,-2890,8344,-2935,8322,-2986,8291,-3036,8251,-3082,8333,-3079,8419,-3089,8505,-3110,8588,-3138,8664,-3171,8728,-3206,8778,-3241,8792,-3246,8812,-3247,8836,-3242,8862,-3232,8866,-3230,8871,-3227,8875,-3225,8923,-3192,8958,-3156,8980,-3122,8986,-3095,8973,-3058,8944,-3022,8903,-2997,8857,-2987xm8890,-3397l8830,-3410,8774,-3410,8721,-3398,8675,-3371,8612,-3331,8534,-3295,8449,-3267,8366,-3249,8294,-3244,8240,-3254,8234,-3257,8229,-3260,8225,-3264,8219,-3270,8211,-3275,8203,-3278,8179,-3285,8153,-3285,8129,-3276,8108,-3259,8100,-3249,8093,-3238,8089,-3226,8087,-3213,8083,-3225,8082,-3237,8081,-3249,8083,-3262,8107,-3304,8149,-3328,8199,-3337,8246,-3335,8325,-3338,8385,-3369,8430,-3414,8463,-3461,8479,-3482,8494,-3498,8510,-3511,8529,-3524,8558,-3538,8590,-3547,8626,-3551,8669,-3549,8733,-3534,8801,-3501,8858,-3454,8890,-3397xm7931,-3289l7922,-3212,7934,-3142,7968,-3078,8023,-3017,8102,-2959,8124,-2943,8150,-2916,8175,-2883,8191,-2843,8214,-2776,8251,-2713,8298,-2656,8353,-2609,8411,-2574,8471,-2553,8540,-2548,8599,-2566,8651,-2603,8701,-2657,8748,-2722,8776,-2763,8802,-2794,8827,-2814,8853,-2821,8926,-2829,8998,-2854,9062,-2894,9115,-2947,9152,-3011,9168,-3083,9163,-3154,9142,-3215,9107,-3266,9061,-3307,9051,-3324,9048,-3350,9049,-3379,9054,-3405,9063,-3480,9048,-3545,9016,-3599,8971,-3639,8923,-3663,8874,-3677,8828,-3682,8787,-3682,8766,-3682,8742,-3683,8718,-3690,8698,-3703,8647,-3738,8586,-3752,8521,-3737,8462,-3689,8426,-3651,8388,-3617,8352,-3585,8325,-3554,8302,-3521,8288,-3505,8279,-3499,8272,-3499,8184,-3502,8107,-3483,8042,-3449,7990,-3402,7953,-3347,7931,-3289xe" filled="false" stroked="true" strokeweight=".25pt" strokecolor="#231f20">
              <v:path arrowok="t"/>
              <v:stroke dashstyle="solid"/>
            </v:shape>
            <v:shape style="position:absolute;left:8462;top:-3746;width:238;height:85" type="#_x0000_t75" stroked="false">
              <v:imagedata r:id="rId356" o:title=""/>
            </v:shape>
            <v:shape style="position:absolute;left:7465;top:-4156;width:1704;height:1582" type="#_x0000_t75" stroked="false">
              <v:imagedata r:id="rId357" o:title=""/>
            </v:shape>
            <v:shape style="position:absolute;left:8228;top:-2974;width:259;height:95" type="#_x0000_t75" stroked="false">
              <v:imagedata r:id="rId358" o:title=""/>
            </v:shape>
            <v:shape style="position:absolute;left:8816;top:-3459;width:296;height:99" type="#_x0000_t75" stroked="false">
              <v:imagedata r:id="rId359" o:title=""/>
            </v:shape>
            <v:shape style="position:absolute;left:8222;top:-3578;width:913;height:831" coordorigin="8222,-3577" coordsize="913,831" path="m8871,-3011l8561,-3011,8611,-3004,8665,-2979,8722,-2932,8779,-2862,8824,-2808,8877,-2768,8933,-2747,8990,-2749,9048,-2776,9095,-2821,9125,-2875,9134,-2932,8943,-2932,8924,-2946,8871,-3011xm8967,-3399l8683,-3399,8731,-3388,8770,-3369,8796,-3344,8815,-3310,8828,-3267,8829,-3259,8830,-3248,8831,-3236,8831,-3222,8832,-3163,8832,-3161,8842,-3088,8874,-3017,8941,-2965,8958,-2951,8957,-2937,8943,-2932,9134,-2932,9135,-2934,9125,-2984,9102,-3024,9067,-3059,9023,-3089,9002,-3114,8995,-3148,8996,-3187,8997,-3222,8997,-3229,8996,-3249,8995,-3269,8992,-3289,8989,-3308,8980,-3358,8967,-3399xm8360,-3103l8222,-3012,8292,-2960,8363,-2949,8427,-2962,8479,-2983,8501,-2993,8522,-3001,8542,-3008,8561,-3011,8871,-3011,8866,-3017,8805,-3074,8769,-3100,8366,-3100,8360,-3103xm8553,-3177l8512,-3172,8473,-3161,8438,-3148,8408,-3132,8386,-3116,8373,-3105,8366,-3100,8769,-3100,8745,-3118,8685,-3151,8653,-3163,8620,-3172,8587,-3176,8553,-3177xm8694,-3577l8608,-3572,8538,-3548,8482,-3513,8440,-3473,8408,-3425,8393,-3374,8394,-3324,8413,-3277,8430,-3255,8450,-3240,8470,-3229,8489,-3222,8519,-3233,8544,-3275,8570,-3328,8600,-3372,8618,-3385,8645,-3396,8683,-3399,8967,-3399,8961,-3415,8928,-3472,8875,-3523,8795,-3560,8694,-3577xe" filled="true" fillcolor="#f15b66" stroked="false">
              <v:path arrowok="t"/>
              <v:fill type="solid"/>
            </v:shape>
            <v:shape style="position:absolute;left:8222;top:-3578;width:913;height:831" coordorigin="8222,-3577" coordsize="913,831" path="m8222,-3012l8292,-2960,8363,-2949,8427,-2962,8479,-2983,8501,-2993,8522,-3001,8542,-3008,8561,-3011,8611,-3004,8665,-2979,8722,-2932,8779,-2862,8824,-2808,8877,-2768,8933,-2747,8990,-2749,9048,-2776,9095,-2821,9125,-2875,9135,-2934,9125,-2984,9102,-3024,9067,-3059,9023,-3089,9002,-3114,8995,-3148,8996,-3187,8997,-3228,8996,-3249,8980,-3358,8928,-3472,8875,-3523,8795,-3560,8694,-3577,8608,-3572,8538,-3548,8482,-3513,8408,-3425,8393,-3374,8394,-3324,8430,-3255,8489,-3222,8519,-3233,8544,-3275,8570,-3328,8600,-3372,8618,-3385,8645,-3396,8683,-3399,8731,-3388,8796,-3344,8828,-3267,8832,-3162,8842,-3088,8874,-3017,8941,-2965,8958,-2951,8957,-2937,8943,-2932,8924,-2946,8866,-3017,8805,-3074,8745,-3118,8685,-3151,8620,-3172,8553,-3177,8512,-3172,8438,-3148,8386,-3116,8373,-3105,8366,-3100,8360,-3103e" filled="false" stroked="true" strokeweight=".25pt" strokecolor="#231f20">
              <v:path arrowok="t"/>
              <v:stroke dashstyle="solid"/>
            </v:shape>
            <v:shape style="position:absolute;left:8524;top:-3404;width:75;height:22" coordorigin="8524,-3404" coordsize="75,22" path="m8526,-3391l8524,-3383,8534,-3382,8552,-3382,8569,-3386,8570,-3386,8558,-3386,8545,-3386,8537,-3388,8526,-3391xm8599,-3404l8577,-3391,8558,-3386,8570,-3386,8584,-3393,8599,-3404xe" filled="true" fillcolor="#f15b66" stroked="false">
              <v:path arrowok="t"/>
              <v:fill type="solid"/>
            </v:shape>
            <v:shape style="position:absolute;left:8524;top:-3404;width:75;height:22" coordorigin="8524,-3404" coordsize="75,22" path="m8534,-3382l8524,-3383,8526,-3391,8537,-3388,8545,-3386,8558,-3386,8577,-3391,8599,-3404,8584,-3393,8569,-3386,8552,-3382,8534,-3382xe" filled="false" stroked="true" strokeweight=".25pt" strokecolor="#231f20">
              <v:path arrowok="t"/>
              <v:stroke dashstyle="solid"/>
            </v:shape>
            <v:shape style="position:absolute;left:-534;top:9897;width:554;height:138" coordorigin="-534,9898" coordsize="554,138" path="m8771,-3270l8770,-3245,8772,-3220,8778,-3196,8784,-3178,8791,-3165,8779,-3161,8777,-3176,8776,-3186,8775,-3197,8774,-3210,8772,-3226m8237,-3217l8257,-3238,8289,-3263,8335,-3286,8401,-3299e" filled="false" stroked="true" strokeweight=".25pt" strokecolor="#231f20">
              <v:path arrowok="t"/>
              <v:stroke dashstyle="solid"/>
            </v:shape>
            <v:shape style="position:absolute;left:8041;top:-3652;width:220;height:137" type="#_x0000_t75" stroked="false">
              <v:imagedata r:id="rId360" o:title=""/>
            </v:shape>
            <v:shape style="position:absolute;left:7969;top:-3393;width:412;height:258" type="#_x0000_t75" stroked="false">
              <v:imagedata r:id="rId361" o:title=""/>
            </v:shape>
            <v:shape style="position:absolute;left:8404;top:-3170;width:291;height:73" type="#_x0000_t75" stroked="false">
              <v:imagedata r:id="rId362" o:title=""/>
            </v:shape>
            <v:shape style="position:absolute;left:8400;top:-3571;width:265;height:241" type="#_x0000_t75" stroked="false">
              <v:imagedata r:id="rId363" o:title=""/>
            </v:shape>
            <v:shape style="position:absolute;left:7711;top:-3785;width:1670;height:3499" coordorigin="7712,-3785" coordsize="1670,3499" path="m8015,-3785l7986,-3779,7961,-3763,7904,-3701,7855,-3635,7812,-3564,7776,-3488,7747,-3407,7727,-3325,7715,-3243,7712,-3161,7717,-3080,7729,-3000,7749,-2921,7777,-2846,7813,-2767,7851,-2695,7891,-2629,7932,-2566,7974,-2508,8016,-2452,8100,-2346,8140,-2294,8178,-2241,8214,-2187,8246,-2132,8275,-2074,8300,-2012,8321,-1946,8336,-1875,8346,-1797,8349,-1713,8351,-1328,8356,-904,8360,-561,8362,-420,8359,-350,8376,-313,8430,-296,8537,-287,8642,-313,8694,-358,8710,-401,8711,-420,8719,-923,8723,-1226,8725,-1449,8725,-1713,8728,-1797,8738,-1874,8754,-1945,8775,-2011,8801,-2073,8832,-2132,8866,-2188,8903,-2241,8942,-2294,8983,-2346,9070,-2453,9096,-2487,8567,-2487,8496,-2488,8425,-2497,8354,-2514,8284,-2539,8217,-2571,8155,-2609,8099,-2653,8048,-2703,8002,-2757,7963,-2815,7930,-2876,7903,-2941,7883,-3008,7870,-3076,7864,-3147,7866,-3218,7875,-3289,7892,-3360,7916,-3429,7946,-3491,7981,-3550,8022,-3604,8068,-3654,8085,-3679,8090,-3708,8085,-3737,8069,-3762,8044,-3779,8015,-3785xm9080,-3781l9052,-3776,9026,-3759,9010,-3734,9004,-3705,9010,-3676,9027,-3651,9077,-3595,9120,-3535,9156,-3472,9185,-3405,9207,-3336,9221,-3266,9227,-3194,9226,-3121,9217,-3049,9200,-2977,9175,-2906,9143,-2839,9104,-2777,9060,-2721,9011,-2670,8957,-2625,8899,-2585,8837,-2552,8773,-2526,8706,-2506,8637,-2493,8567,-2487,9096,-2487,9114,-2509,9157,-2568,9200,-2631,9241,-2697,9280,-2770,9316,-2848,9343,-2921,9363,-2995,9376,-3069,9381,-3145,9380,-3219,9372,-3294,9357,-3367,9336,-3439,9308,-3509,9274,-3576,9233,-3641,9187,-3702,9134,-3759,9109,-3776,9080,-3781xe" filled="true" fillcolor="#ffe293" stroked="false">
              <v:path arrowok="t"/>
              <v:fill type="solid"/>
            </v:shape>
            <v:shape style="position:absolute;left:7711;top:-3785;width:1670;height:3499" coordorigin="7712,-3785" coordsize="1670,3499" path="m9134,-3759l9109,-3776,9080,-3781,9052,-3776,9026,-3759,9010,-3734,9004,-3705,9010,-3676,9027,-3651,9077,-3595,9120,-3535,9156,-3472,9185,-3405,9207,-3336,9221,-3266,9227,-3194,9226,-3121,9217,-3049,9200,-2977,9175,-2906,9143,-2839,9104,-2777,9060,-2721,9011,-2670,8957,-2625,8899,-2585,8837,-2552,8773,-2526,8706,-2506,8637,-2493,8567,-2487,8496,-2488,8425,-2497,8354,-2514,8284,-2539,8217,-2571,8155,-2609,8099,-2653,8048,-2703,8002,-2757,7963,-2815,7930,-2876,7903,-2941,7883,-3008,7870,-3076,7864,-3147,7866,-3218,7875,-3289,7892,-3360,7916,-3429,7946,-3491,7981,-3550,8022,-3604,8068,-3654,8085,-3679,8069,-3762,8015,-3785,7986,-3779,7904,-3701,7855,-3635,7812,-3564,7776,-3488,7747,-3407,7727,-3325,7715,-3243,7712,-3161,7717,-3080,7729,-3000,7749,-2921,7777,-2846,7813,-2767,7851,-2695,7891,-2629,7932,-2566,7974,-2508,8016,-2452,8059,-2398,8100,-2346,8140,-2294,8178,-2241,8214,-2188,8246,-2132,8275,-2074,8300,-2012,8321,-1946,8336,-1875,8346,-1797,8349,-1713,8351,-1328,8356,-904,8360,-561,8362,-420,8359,-350,8376,-313,8430,-296,8537,-287,8642,-313,8694,-358,8711,-420,8719,-923,8723,-1226,8725,-1449,8725,-1713,8728,-1797,8738,-1874,8754,-1945,8775,-2011,8801,-2073,8832,-2132,8866,-2187,8903,-2241,8942,-2294,8983,-2346,9026,-2399,9070,-2453,9114,-2509,9157,-2568,9200,-2631,9241,-2697,9280,-2770,9316,-2848,9343,-2921,9363,-2995,9376,-3069,9381,-3145,9380,-3219,9372,-3294,9357,-3367,9336,-3439,9308,-3509,9274,-3576,9233,-3641,9187,-3702,9134,-3759xe" filled="false" stroked="true" strokeweight=".25pt" strokecolor="#b7705b">
              <v:path arrowok="t"/>
              <v:stroke dashstyle="solid"/>
            </v:shape>
            <v:shape style="position:absolute;left:7428;top:-4152;width:78;height:151" coordorigin="7428,-4152" coordsize="78,151" path="m7467,-4152l7452,-4146,7439,-4130,7431,-4106,7428,-4077,7431,-4048,7439,-4024,7452,-4008,7467,-4002,7482,-4008,7494,-4024,7503,-4048,7506,-4077,7503,-4106,7494,-4130,7482,-4146,7467,-4152xe" filled="true" fillcolor="#f8aba6" stroked="false">
              <v:path arrowok="t"/>
              <v:fill type="solid"/>
            </v:shape>
            <v:shape style="position:absolute;left:7428;top:-4152;width:78;height:151" coordorigin="7428,-4152" coordsize="78,151" path="m7506,-4077l7503,-4048,7494,-4024,7482,-4008,7467,-4002,7452,-4008,7439,-4024,7431,-4048,7428,-4077,7431,-4106,7439,-4130,7452,-4146,7467,-4152,7482,-4146,7494,-4130,7503,-4106,7506,-4077xe" filled="false" stroked="true" strokeweight=".25pt" strokecolor="#231f20">
              <v:path arrowok="t"/>
              <v:stroke dashstyle="solid"/>
            </v:shape>
            <v:shape style="position:absolute;left:7445;top:-4125;width:42;height:96" coordorigin="7446,-4124" coordsize="42,96" path="m7467,-4124l7459,-4121,7452,-4110,7448,-4095,7446,-4077,7448,-4058,7452,-4043,7459,-4033,7467,-4029,7475,-4033,7482,-4043,7486,-4058,7488,-4077,7486,-4095,7482,-4110,7475,-4121,7467,-4124xe" filled="true" fillcolor="#c74a54" stroked="false">
              <v:path arrowok="t"/>
              <v:fill type="solid"/>
            </v:shape>
            <v:shape style="position:absolute;left:7445;top:-4125;width:42;height:96" coordorigin="7446,-4124" coordsize="42,96" path="m7488,-4077l7486,-4058,7482,-4043,7475,-4033,7467,-4029,7459,-4033,7452,-4043,7448,-4058,7446,-4077,7448,-4095,7452,-4110,7459,-4121,7467,-4124,7475,-4121,7482,-4110,7486,-4095,7488,-4077xe" filled="false" stroked="true" strokeweight=".25pt" strokecolor="#231f20">
              <v:path arrowok="t"/>
              <v:stroke dashstyle="solid"/>
            </v:shape>
            <v:line style="position:absolute" from="7436,-3543" to="8089,-3420" stroked="true" strokeweight=".75pt" strokecolor="#231f20">
              <v:stroke dashstyle="solid"/>
            </v:line>
            <v:shape style="position:absolute;left:8489;top:-4169;width:1606;height:3619" type="#_x0000_t75" stroked="false">
              <v:imagedata r:id="rId364" o:title=""/>
            </v:shape>
            <v:shape style="position:absolute;left:-780;top:7058;width:1606;height:3619" coordorigin="-780,7059" coordsize="1606,3619" path="m9269,-1301l9251,-1324,9239,-1384,9233,-1464,9230,-1547,9232,-1630,9239,-1710,9251,-1770,9269,-1794,9287,-1769,9299,-1708,9306,-1627,9308,-1547,9306,-1467,9299,-1387,9287,-1325,9269,-1301xm9111,-1281l9069,-1356,9043,-1432,9031,-1507,9032,-1581,9042,-1650,9060,-1713,9084,-1768,9111,-1813,9131,-1831,9150,-1835,9163,-1824,9161,-1796,9138,-1701,9125,-1611,9122,-1527,9128,-1448,9142,-1374,9163,-1305,9163,-1283,9151,-1268,9131,-1266,9111,-1281xm9375,-1796l9373,-1824,9385,-1835,9405,-1831,9425,-1813,9452,-1768,9475,-1713,9493,-1650,9504,-1581,9504,-1507,9493,-1432,9467,-1356,9425,-1281,9404,-1266,9385,-1268,9373,-1283,9373,-1305,9394,-1374,9408,-1448,9414,-1527,9411,-1611,9398,-1701,9375,-1796xm8489,-3222l8551,-3213,8611,-3222,8668,-3248,8721,-3289,8768,-3345,8807,-3414,8833,-3486,8845,-3545,8847,-3594,8845,-3637,8840,-3679,8835,-3734,8837,-3795,8854,-3854,8899,-3930,8953,-3975,9025,-3997,9127,-4002,9393,-4002,9459,-3990,9510,-3956,9543,-3905,9555,-3840,9555,-3130,9551,-3037,9540,-2954,9522,-2878,9497,-2807,9467,-2740,9431,-2673,9399,-2620,9363,-2565,9326,-2508,9291,-2445,9260,-2376,9235,-2298,9218,-2209,9212,-2107,9204,-2060,9182,-2019,9152,-1984,9119,-1957,9068,-1913,9024,-1857,8988,-1792,8961,-1718,8944,-1637,8938,-1550,8944,-1462,8962,-1380,8990,-1305,9028,-1239,9073,-1183,9125,-1140,9149,-1122,9170,-1102,9184,-1078,9190,-1051,9190,-855,9196,-772,9214,-703,9245,-647,9289,-604,9346,-574,9416,-556,9500,-550,9500,-550,10062,-550,10087,-575,10095,-632,10087,-689,10062,-714,10062,-715,9492,-715,9428,-726,9386,-756,9364,-799,9357,-850,9357,-1047,9364,-1083,9379,-1109,9397,-1128,9413,-1140,9465,-1183,9511,-1239,9548,-1305,9576,-1380,9594,-1462,9600,-1550,9595,-1634,9579,-1712,9553,-1784,9520,-1848,9479,-1903,9431,-1948,9403,-1978,9382,-2016,9369,-2061,9365,-2110,9372,-2208,9391,-2290,9419,-2362,9453,-2425,9491,-2484,9530,-2541,9567,-2600,9599,-2659,9629,-2723,9655,-2792,9678,-2867,9695,-2947,9706,-3032,9710,-3125,9710,-3836,9703,-3921,9682,-3994,9648,-4055,9601,-4104,9542,-4139,9469,-4161,9385,-4168,9126,-4168,9038,-4164,8960,-4150,8890,-4126,8829,-4092,8778,-4046,8734,-3988,8700,-3917,8677,-3830,8671,-3747,8674,-3676,8679,-3623,8681,-3592,8680,-3561,8672,-3526,8656,-3483,8644,-3461,8631,-3439,8616,-3420,8599,-3404e" filled="false" stroked="true" strokeweight=".25pt" strokecolor="#231f20">
              <v:path arrowok="t"/>
              <v:stroke dashstyle="solid"/>
            </v:shape>
            <v:shape style="position:absolute;left:9836;top:-730;width:636;height:204" coordorigin="9836,-729" coordsize="636,204" path="m10295,-729l10295,-670,9836,-670,9836,-585,10295,-585,10295,-526,10471,-628,10295,-729xe" filled="true" fillcolor="#ffffff" stroked="false">
              <v:path arrowok="t"/>
              <v:fill type="solid"/>
            </v:shape>
            <v:shape style="position:absolute;left:9836;top:-730;width:636;height:204" coordorigin="9836,-729" coordsize="636,204" path="m10471,-628l10295,-729,10295,-670,9836,-670,9836,-585,10295,-585,10295,-526,10471,-628xe" filled="false" stroked="true" strokeweight=".5pt" strokecolor="#231f20">
              <v:path arrowok="t"/>
              <v:stroke dashstyle="solid"/>
            </v:shape>
            <v:shape style="position:absolute;left:8435;top:-574;width:204;height:556" coordorigin="8435,-574" coordsize="204,556" path="m8639,-195l8435,-195,8537,-19,8639,-195xm8579,-574l8495,-574,8495,-195,8579,-195,8579,-574xe" filled="true" fillcolor="#ffffff" stroked="false">
              <v:path arrowok="t"/>
              <v:fill type="solid"/>
            </v:shape>
            <v:shape style="position:absolute;left:8435;top:-574;width:204;height:556" coordorigin="8435,-574" coordsize="204,556" path="m8537,-19l8435,-195,8495,-195,8495,-574,8579,-574,8579,-195,8639,-195,8537,-19xe" filled="false" stroked="true" strokeweight=".5pt" strokecolor="#231f20">
              <v:path arrowok="t"/>
              <v:stroke dashstyle="solid"/>
            </v:shape>
            <v:shape style="position:absolute;left:8435;top:-2729;width:204;height:591" coordorigin="8435,-2729" coordsize="204,591" path="m8639,-2315l8435,-2315,8537,-2139,8639,-2315xm8579,-2729l8495,-2729,8495,-2315,8579,-2315,8579,-2729xe" filled="true" fillcolor="#ffffff" stroked="false">
              <v:path arrowok="t"/>
              <v:fill type="solid"/>
            </v:shape>
            <v:shape style="position:absolute;left:8435;top:-2729;width:204;height:591" coordorigin="8435,-2729" coordsize="204,591" path="m8537,-2139l8435,-2315,8495,-2315,8495,-2729,8579,-2729,8579,-2315,8639,-2315,8537,-2139xe" filled="false" stroked="true" strokeweight=".5pt" strokecolor="#231f20">
              <v:path arrowok="t"/>
              <v:stroke dashstyle="solid"/>
            </v:shape>
            <v:shape style="position:absolute;left:8595;top:-1871;width:399;height:269" type="#_x0000_t75" stroked="false">
              <v:imagedata r:id="rId365" o:title=""/>
            </v:shape>
            <v:shape style="position:absolute;left:8595;top:-1871;width:399;height:269" coordorigin="8596,-1871" coordsize="399,269" path="m8994,-1603l8790,-1609,8822,-1660,8596,-1799,8640,-1871,8866,-1731,8898,-1782,8994,-1603xe" filled="false" stroked="true" strokeweight=".5pt" strokecolor="#231f20">
              <v:path arrowok="t"/>
              <v:stroke dashstyle="solid"/>
            </v:shape>
            <v:shape style="position:absolute;left:8596;top:-1452;width:414;height:249" coordorigin="8596,-1452" coordsize="414,249" path="m8707,-1385l8596,-1214,8800,-1204,8773,-1257,8921,-1332,8734,-1332,8707,-1385xm8971,-1452l8734,-1332,8921,-1332,9010,-1377,8971,-1452xe" filled="true" fillcolor="#ffffff" stroked="false">
              <v:path arrowok="t"/>
              <v:fill type="solid"/>
            </v:shape>
            <v:shape style="position:absolute;left:8596;top:-1452;width:414;height:249" coordorigin="8596,-1452" coordsize="414,249" path="m8596,-1214l8800,-1204,8773,-1257,9010,-1377,8971,-1452,8734,-1332,8707,-1385,8596,-1214xe" filled="false" stroked="true" strokeweight=".5pt" strokecolor="#231f20">
              <v:path arrowok="t"/>
              <v:stroke dashstyle="solid"/>
            </v:shape>
            <v:shape style="position:absolute;left:6832;top:-4181;width:636;height:204" coordorigin="6833,-4180" coordsize="636,204" path="m7292,-4180l7292,-4121,6833,-4121,6833,-4036,7292,-4036,7292,-3977,7468,-4078,7292,-4180xe" filled="true" fillcolor="#ffffff" stroked="false">
              <v:path arrowok="t"/>
              <v:fill type="solid"/>
            </v:shape>
            <v:shape style="position:absolute;left:6832;top:-4181;width:636;height:204" coordorigin="6833,-4180" coordsize="636,204" path="m7468,-4078l7292,-3977,7292,-4036,6833,-4036,6833,-4121,7292,-4121,7292,-4180,7468,-4078xe" filled="false" stroked="true" strokeweight=".5pt" strokecolor="#231f20">
              <v:path arrowok="t"/>
              <v:stroke dashstyle="solid"/>
            </v:shape>
            <v:line style="position:absolute" from="9861,-1627" to="9548,-1627" stroked="true" strokeweight=".75pt" strokecolor="#231f20">
              <v:stroke dashstyle="solid"/>
            </v:line>
            <v:shape style="position:absolute;left:8688;top:-4153;width:439;height:391" type="#_x0000_t75" stroked="false">
              <v:imagedata r:id="rId366" o:title=""/>
            </v:shape>
            <v:shape style="position:absolute;left:0;top:9926;width:1348;height:203" coordorigin="0,9926" coordsize="1348,203" path="m7863,-4300l7863,-4098m9211,-4300l9211,-4098e" filled="false" stroked="true" strokeweight=".75pt" strokecolor="#231f20">
              <v:path arrowok="t"/>
              <v:stroke dashstyle="solid"/>
            </v:shape>
            <w10:wrap type="none"/>
          </v:group>
        </w:pict>
      </w:r>
      <w:r>
        <w:rPr>
          <w:rFonts w:ascii="Helvetica"/>
          <w:color w:val="231F20"/>
          <w:sz w:val="16"/>
        </w:rPr>
        <w:t>Urinary excretion</w:t>
      </w:r>
    </w:p>
    <w:p>
      <w:pPr>
        <w:spacing w:before="36"/>
        <w:ind w:left="295" w:right="1562" w:firstLine="0"/>
        <w:jc w:val="center"/>
        <w:rPr>
          <w:rFonts w:ascii="Helvetica" w:hAnsi="Helvetica"/>
          <w:b/>
          <w:sz w:val="16"/>
        </w:rPr>
      </w:pPr>
      <w:r>
        <w:rPr>
          <w:rFonts w:ascii="Helvetica" w:hAnsi="Helvetica"/>
          <w:b/>
          <w:color w:val="231F20"/>
          <w:sz w:val="16"/>
        </w:rPr>
        <w:t>Excretion = Filtration – Reabsorption + Secretion</w:t>
      </w:r>
    </w:p>
    <w:p>
      <w:pPr>
        <w:spacing w:line="259" w:lineRule="auto" w:before="92"/>
        <w:ind w:left="319" w:right="1077" w:firstLine="0"/>
        <w:jc w:val="both"/>
        <w:rPr>
          <w:rFonts w:ascii="Arial"/>
          <w:sz w:val="16"/>
        </w:rPr>
      </w:pPr>
      <w:bookmarkStart w:name="_bookmark20" w:id="21"/>
      <w:bookmarkEnd w:id="21"/>
      <w:r>
        <w:rPr/>
      </w:r>
      <w:r>
        <w:rPr>
          <w:rFonts w:ascii="Trebuchet MS"/>
          <w:b/>
          <w:color w:val="231F20"/>
          <w:sz w:val="16"/>
        </w:rPr>
        <w:t>Figure</w:t>
      </w:r>
      <w:r>
        <w:rPr>
          <w:rFonts w:ascii="Trebuchet MS"/>
          <w:b/>
          <w:color w:val="231F20"/>
          <w:spacing w:val="-30"/>
          <w:sz w:val="16"/>
        </w:rPr>
        <w:t> </w:t>
      </w:r>
      <w:r>
        <w:rPr>
          <w:rFonts w:ascii="Trebuchet MS"/>
          <w:b/>
          <w:color w:val="231F20"/>
          <w:sz w:val="16"/>
        </w:rPr>
        <w:t>26-9.</w:t>
      </w:r>
      <w:r>
        <w:rPr>
          <w:rFonts w:ascii="Trebuchet MS"/>
          <w:b/>
          <w:color w:val="231F20"/>
          <w:spacing w:val="-15"/>
          <w:sz w:val="16"/>
        </w:rPr>
        <w:t> </w:t>
      </w:r>
      <w:r>
        <w:rPr>
          <w:rFonts w:ascii="Arial"/>
          <w:color w:val="231F20"/>
          <w:sz w:val="16"/>
        </w:rPr>
        <w:t>Basic</w:t>
      </w:r>
      <w:r>
        <w:rPr>
          <w:rFonts w:ascii="Arial"/>
          <w:color w:val="231F20"/>
          <w:spacing w:val="-26"/>
          <w:sz w:val="16"/>
        </w:rPr>
        <w:t> </w:t>
      </w:r>
      <w:r>
        <w:rPr>
          <w:rFonts w:ascii="Arial"/>
          <w:color w:val="231F20"/>
          <w:sz w:val="16"/>
        </w:rPr>
        <w:t>kidney</w:t>
      </w:r>
      <w:r>
        <w:rPr>
          <w:rFonts w:ascii="Arial"/>
          <w:color w:val="231F20"/>
          <w:spacing w:val="-26"/>
          <w:sz w:val="16"/>
        </w:rPr>
        <w:t> </w:t>
      </w:r>
      <w:r>
        <w:rPr>
          <w:rFonts w:ascii="Arial"/>
          <w:color w:val="231F20"/>
          <w:sz w:val="16"/>
        </w:rPr>
        <w:t>processes</w:t>
      </w:r>
      <w:r>
        <w:rPr>
          <w:rFonts w:ascii="Arial"/>
          <w:color w:val="231F20"/>
          <w:spacing w:val="-26"/>
          <w:sz w:val="16"/>
        </w:rPr>
        <w:t> </w:t>
      </w:r>
      <w:r>
        <w:rPr>
          <w:rFonts w:ascii="Arial"/>
          <w:color w:val="231F20"/>
          <w:sz w:val="16"/>
        </w:rPr>
        <w:t>that</w:t>
      </w:r>
      <w:r>
        <w:rPr>
          <w:rFonts w:ascii="Arial"/>
          <w:color w:val="231F20"/>
          <w:spacing w:val="-26"/>
          <w:sz w:val="16"/>
        </w:rPr>
        <w:t> </w:t>
      </w:r>
      <w:r>
        <w:rPr>
          <w:rFonts w:ascii="Arial"/>
          <w:color w:val="231F20"/>
          <w:sz w:val="16"/>
        </w:rPr>
        <w:t>determine</w:t>
      </w:r>
      <w:r>
        <w:rPr>
          <w:rFonts w:ascii="Arial"/>
          <w:color w:val="231F20"/>
          <w:spacing w:val="-26"/>
          <w:sz w:val="16"/>
        </w:rPr>
        <w:t> </w:t>
      </w:r>
      <w:r>
        <w:rPr>
          <w:rFonts w:ascii="Arial"/>
          <w:color w:val="231F20"/>
          <w:sz w:val="16"/>
        </w:rPr>
        <w:t>the</w:t>
      </w:r>
      <w:r>
        <w:rPr>
          <w:rFonts w:ascii="Arial"/>
          <w:color w:val="231F20"/>
          <w:spacing w:val="-26"/>
          <w:sz w:val="16"/>
        </w:rPr>
        <w:t> </w:t>
      </w:r>
      <w:r>
        <w:rPr>
          <w:rFonts w:ascii="Arial"/>
          <w:color w:val="231F20"/>
          <w:sz w:val="16"/>
        </w:rPr>
        <w:t>composition of</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urine.</w:t>
      </w:r>
      <w:r>
        <w:rPr>
          <w:rFonts w:ascii="Arial"/>
          <w:color w:val="231F20"/>
          <w:spacing w:val="-15"/>
          <w:sz w:val="16"/>
        </w:rPr>
        <w:t> </w:t>
      </w:r>
      <w:r>
        <w:rPr>
          <w:rFonts w:ascii="Arial"/>
          <w:color w:val="231F20"/>
          <w:sz w:val="16"/>
        </w:rPr>
        <w:t>Urinary</w:t>
      </w:r>
      <w:r>
        <w:rPr>
          <w:rFonts w:ascii="Arial"/>
          <w:color w:val="231F20"/>
          <w:spacing w:val="-15"/>
          <w:sz w:val="16"/>
        </w:rPr>
        <w:t> </w:t>
      </w:r>
      <w:r>
        <w:rPr>
          <w:rFonts w:ascii="Arial"/>
          <w:color w:val="231F20"/>
          <w:sz w:val="16"/>
        </w:rPr>
        <w:t>excretion</w:t>
      </w:r>
      <w:r>
        <w:rPr>
          <w:rFonts w:ascii="Arial"/>
          <w:color w:val="231F20"/>
          <w:spacing w:val="-14"/>
          <w:sz w:val="16"/>
        </w:rPr>
        <w:t> </w:t>
      </w:r>
      <w:r>
        <w:rPr>
          <w:rFonts w:ascii="Arial"/>
          <w:color w:val="231F20"/>
          <w:sz w:val="16"/>
        </w:rPr>
        <w:t>rate</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a</w:t>
      </w:r>
      <w:r>
        <w:rPr>
          <w:rFonts w:ascii="Arial"/>
          <w:color w:val="231F20"/>
          <w:spacing w:val="-15"/>
          <w:sz w:val="16"/>
        </w:rPr>
        <w:t> </w:t>
      </w:r>
      <w:r>
        <w:rPr>
          <w:rFonts w:ascii="Arial"/>
          <w:color w:val="231F20"/>
          <w:sz w:val="16"/>
        </w:rPr>
        <w:t>substance</w:t>
      </w:r>
      <w:r>
        <w:rPr>
          <w:rFonts w:ascii="Arial"/>
          <w:color w:val="231F20"/>
          <w:spacing w:val="-14"/>
          <w:sz w:val="16"/>
        </w:rPr>
        <w:t> </w:t>
      </w:r>
      <w:r>
        <w:rPr>
          <w:rFonts w:ascii="Arial"/>
          <w:color w:val="231F20"/>
          <w:sz w:val="16"/>
        </w:rPr>
        <w:t>is</w:t>
      </w:r>
      <w:r>
        <w:rPr>
          <w:rFonts w:ascii="Arial"/>
          <w:color w:val="231F20"/>
          <w:spacing w:val="-15"/>
          <w:sz w:val="16"/>
        </w:rPr>
        <w:t> </w:t>
      </w:r>
      <w:r>
        <w:rPr>
          <w:rFonts w:ascii="Arial"/>
          <w:color w:val="231F20"/>
          <w:sz w:val="16"/>
        </w:rPr>
        <w:t>equal</w:t>
      </w:r>
      <w:r>
        <w:rPr>
          <w:rFonts w:ascii="Arial"/>
          <w:color w:val="231F20"/>
          <w:spacing w:val="-15"/>
          <w:sz w:val="16"/>
        </w:rPr>
        <w:t> </w:t>
      </w:r>
      <w:r>
        <w:rPr>
          <w:rFonts w:ascii="Arial"/>
          <w:color w:val="231F20"/>
          <w:sz w:val="16"/>
        </w:rPr>
        <w:t>to</w:t>
      </w:r>
      <w:r>
        <w:rPr>
          <w:rFonts w:ascii="Arial"/>
          <w:color w:val="231F20"/>
          <w:spacing w:val="-15"/>
          <w:sz w:val="16"/>
        </w:rPr>
        <w:t> </w:t>
      </w:r>
      <w:r>
        <w:rPr>
          <w:rFonts w:ascii="Arial"/>
          <w:color w:val="231F20"/>
          <w:sz w:val="16"/>
        </w:rPr>
        <w:t>the</w:t>
      </w:r>
      <w:r>
        <w:rPr>
          <w:rFonts w:ascii="Arial"/>
          <w:color w:val="231F20"/>
          <w:spacing w:val="-14"/>
          <w:sz w:val="16"/>
        </w:rPr>
        <w:t> </w:t>
      </w:r>
      <w:r>
        <w:rPr>
          <w:rFonts w:ascii="Arial"/>
          <w:color w:val="231F20"/>
          <w:sz w:val="16"/>
        </w:rPr>
        <w:t>rate at</w:t>
      </w:r>
      <w:r>
        <w:rPr>
          <w:rFonts w:ascii="Arial"/>
          <w:color w:val="231F20"/>
          <w:spacing w:val="-15"/>
          <w:sz w:val="16"/>
        </w:rPr>
        <w:t> </w:t>
      </w:r>
      <w:r>
        <w:rPr>
          <w:rFonts w:ascii="Arial"/>
          <w:color w:val="231F20"/>
          <w:sz w:val="16"/>
        </w:rPr>
        <w:t>which</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substance</w:t>
      </w:r>
      <w:r>
        <w:rPr>
          <w:rFonts w:ascii="Arial"/>
          <w:color w:val="231F20"/>
          <w:spacing w:val="-15"/>
          <w:sz w:val="16"/>
        </w:rPr>
        <w:t> </w:t>
      </w:r>
      <w:r>
        <w:rPr>
          <w:rFonts w:ascii="Arial"/>
          <w:color w:val="231F20"/>
          <w:sz w:val="16"/>
        </w:rPr>
        <w:t>is</w:t>
      </w:r>
      <w:r>
        <w:rPr>
          <w:rFonts w:ascii="Arial"/>
          <w:color w:val="231F20"/>
          <w:spacing w:val="-14"/>
          <w:sz w:val="16"/>
        </w:rPr>
        <w:t> </w:t>
      </w:r>
      <w:r>
        <w:rPr>
          <w:rFonts w:ascii="Arial"/>
          <w:color w:val="231F20"/>
          <w:sz w:val="16"/>
        </w:rPr>
        <w:t>filtered</w:t>
      </w:r>
      <w:r>
        <w:rPr>
          <w:rFonts w:ascii="Arial"/>
          <w:color w:val="231F20"/>
          <w:spacing w:val="-15"/>
          <w:sz w:val="16"/>
        </w:rPr>
        <w:t> </w:t>
      </w:r>
      <w:r>
        <w:rPr>
          <w:rFonts w:ascii="Arial"/>
          <w:color w:val="231F20"/>
          <w:sz w:val="16"/>
        </w:rPr>
        <w:t>minus</w:t>
      </w:r>
      <w:r>
        <w:rPr>
          <w:rFonts w:ascii="Arial"/>
          <w:color w:val="231F20"/>
          <w:spacing w:val="-15"/>
          <w:sz w:val="16"/>
        </w:rPr>
        <w:t> </w:t>
      </w:r>
      <w:r>
        <w:rPr>
          <w:rFonts w:ascii="Arial"/>
          <w:color w:val="231F20"/>
          <w:sz w:val="16"/>
        </w:rPr>
        <w:t>its</w:t>
      </w:r>
      <w:r>
        <w:rPr>
          <w:rFonts w:ascii="Arial"/>
          <w:color w:val="231F20"/>
          <w:spacing w:val="-15"/>
          <w:sz w:val="16"/>
        </w:rPr>
        <w:t> </w:t>
      </w:r>
      <w:r>
        <w:rPr>
          <w:rFonts w:ascii="Arial"/>
          <w:color w:val="231F20"/>
          <w:sz w:val="16"/>
        </w:rPr>
        <w:t>reabsorption</w:t>
      </w:r>
      <w:r>
        <w:rPr>
          <w:rFonts w:ascii="Arial"/>
          <w:color w:val="231F20"/>
          <w:spacing w:val="-14"/>
          <w:sz w:val="16"/>
        </w:rPr>
        <w:t> </w:t>
      </w:r>
      <w:r>
        <w:rPr>
          <w:rFonts w:ascii="Arial"/>
          <w:color w:val="231F20"/>
          <w:sz w:val="16"/>
        </w:rPr>
        <w:t>rate</w:t>
      </w:r>
      <w:r>
        <w:rPr>
          <w:rFonts w:ascii="Arial"/>
          <w:color w:val="231F20"/>
          <w:spacing w:val="-15"/>
          <w:sz w:val="16"/>
        </w:rPr>
        <w:t> </w:t>
      </w:r>
      <w:r>
        <w:rPr>
          <w:rFonts w:ascii="Arial"/>
          <w:color w:val="231F20"/>
          <w:sz w:val="16"/>
        </w:rPr>
        <w:t>plus</w:t>
      </w:r>
      <w:r>
        <w:rPr>
          <w:rFonts w:ascii="Arial"/>
          <w:color w:val="231F20"/>
          <w:spacing w:val="-15"/>
          <w:sz w:val="16"/>
        </w:rPr>
        <w:t> </w:t>
      </w:r>
      <w:r>
        <w:rPr>
          <w:rFonts w:ascii="Arial"/>
          <w:color w:val="231F20"/>
          <w:spacing w:val="-5"/>
          <w:sz w:val="16"/>
        </w:rPr>
        <w:t>the </w:t>
      </w:r>
      <w:r>
        <w:rPr>
          <w:rFonts w:ascii="Arial"/>
          <w:color w:val="231F20"/>
          <w:sz w:val="16"/>
        </w:rPr>
        <w:t>rate at which it is secreted from the peritubular capillary blood </w:t>
      </w:r>
      <w:r>
        <w:rPr>
          <w:rFonts w:ascii="Arial"/>
          <w:color w:val="231F20"/>
          <w:spacing w:val="-3"/>
          <w:sz w:val="16"/>
        </w:rPr>
        <w:t>into </w:t>
      </w:r>
      <w:r>
        <w:rPr>
          <w:rFonts w:ascii="Arial"/>
          <w:color w:val="231F20"/>
          <w:sz w:val="16"/>
        </w:rPr>
        <w:t>the</w:t>
      </w:r>
      <w:r>
        <w:rPr>
          <w:rFonts w:ascii="Arial"/>
          <w:color w:val="231F20"/>
          <w:spacing w:val="7"/>
          <w:sz w:val="16"/>
        </w:rPr>
        <w:t> </w:t>
      </w:r>
      <w:r>
        <w:rPr>
          <w:rFonts w:ascii="Arial"/>
          <w:color w:val="231F20"/>
          <w:sz w:val="16"/>
        </w:rPr>
        <w:t>tubules.</w:t>
      </w:r>
    </w:p>
    <w:p>
      <w:pPr>
        <w:pStyle w:val="BodyText"/>
        <w:rPr>
          <w:rFonts w:ascii="Arial"/>
          <w:sz w:val="18"/>
        </w:rPr>
      </w:pPr>
    </w:p>
    <w:p>
      <w:pPr>
        <w:pStyle w:val="BodyText"/>
        <w:rPr>
          <w:rFonts w:ascii="Arial"/>
          <w:sz w:val="18"/>
        </w:rPr>
      </w:pPr>
    </w:p>
    <w:p>
      <w:pPr>
        <w:pStyle w:val="BodyText"/>
        <w:spacing w:line="249" w:lineRule="auto" w:before="121"/>
        <w:ind w:left="319" w:right="1077"/>
        <w:jc w:val="both"/>
      </w:pPr>
      <w:r>
        <w:rPr>
          <w:color w:val="231F20"/>
          <w:w w:val="105"/>
        </w:rPr>
        <w:t>products in the body, such as creatinine, are handled </w:t>
      </w:r>
      <w:r>
        <w:rPr>
          <w:color w:val="231F20"/>
          <w:spacing w:val="-6"/>
          <w:w w:val="105"/>
        </w:rPr>
        <w:t>by </w:t>
      </w:r>
      <w:r>
        <w:rPr>
          <w:color w:val="231F20"/>
          <w:w w:val="105"/>
        </w:rPr>
        <w:t>the kidneys in this </w:t>
      </w:r>
      <w:r>
        <w:rPr>
          <w:color w:val="231F20"/>
          <w:spacing w:val="-3"/>
          <w:w w:val="105"/>
        </w:rPr>
        <w:t>manner, </w:t>
      </w:r>
      <w:r>
        <w:rPr>
          <w:color w:val="231F20"/>
          <w:w w:val="105"/>
        </w:rPr>
        <w:t>allowing excretion of </w:t>
      </w:r>
      <w:r>
        <w:rPr>
          <w:color w:val="231F20"/>
          <w:spacing w:val="-3"/>
          <w:w w:val="105"/>
        </w:rPr>
        <w:t>essen- </w:t>
      </w:r>
      <w:r>
        <w:rPr>
          <w:color w:val="231F20"/>
          <w:w w:val="105"/>
        </w:rPr>
        <w:t>tially all that is filtered.</w:t>
      </w:r>
    </w:p>
    <w:p>
      <w:pPr>
        <w:pStyle w:val="BodyText"/>
        <w:spacing w:line="249" w:lineRule="auto" w:before="3"/>
        <w:ind w:left="319" w:right="1077" w:firstLine="240"/>
        <w:jc w:val="both"/>
      </w:pPr>
      <w:r>
        <w:rPr>
          <w:color w:val="231F20"/>
          <w:w w:val="105"/>
        </w:rPr>
        <w:t>In panel B, the substance is freely filtered but is also partly reabsorbed from the tubules back into the blood. Therefore, the rate of urinary excretion is less than the rate of filtration at the glomerular capillaries. In this case, the excretion rate is calculated as the filtration</w:t>
      </w:r>
      <w:r>
        <w:rPr>
          <w:color w:val="231F20"/>
          <w:spacing w:val="-37"/>
          <w:w w:val="105"/>
        </w:rPr>
        <w:t> </w:t>
      </w:r>
      <w:r>
        <w:rPr>
          <w:color w:val="231F20"/>
          <w:w w:val="105"/>
        </w:rPr>
        <w:t>rate minus the reabsorption rate. This pattern is typical for many</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electrolytes</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body</w:t>
      </w:r>
      <w:r>
        <w:rPr>
          <w:color w:val="231F20"/>
          <w:spacing w:val="-5"/>
          <w:w w:val="105"/>
        </w:rPr>
        <w:t> </w:t>
      </w:r>
      <w:r>
        <w:rPr>
          <w:color w:val="231F20"/>
          <w:w w:val="105"/>
        </w:rPr>
        <w:t>such</w:t>
      </w:r>
      <w:r>
        <w:rPr>
          <w:color w:val="231F20"/>
          <w:spacing w:val="-5"/>
          <w:w w:val="105"/>
        </w:rPr>
        <w:t> </w:t>
      </w:r>
      <w:r>
        <w:rPr>
          <w:color w:val="231F20"/>
          <w:w w:val="105"/>
        </w:rPr>
        <w:t>as</w:t>
      </w:r>
      <w:r>
        <w:rPr>
          <w:color w:val="231F20"/>
          <w:spacing w:val="-5"/>
          <w:w w:val="105"/>
        </w:rPr>
        <w:t> </w:t>
      </w:r>
      <w:r>
        <w:rPr>
          <w:color w:val="231F20"/>
          <w:w w:val="105"/>
        </w:rPr>
        <w:t>sodium</w:t>
      </w:r>
      <w:r>
        <w:rPr>
          <w:color w:val="231F20"/>
          <w:spacing w:val="-5"/>
          <w:w w:val="105"/>
        </w:rPr>
        <w:t> </w:t>
      </w:r>
      <w:r>
        <w:rPr>
          <w:color w:val="231F20"/>
          <w:w w:val="105"/>
        </w:rPr>
        <w:t>and chloride</w:t>
      </w:r>
      <w:r>
        <w:rPr>
          <w:color w:val="231F20"/>
          <w:spacing w:val="3"/>
          <w:w w:val="105"/>
        </w:rPr>
        <w:t> </w:t>
      </w:r>
      <w:r>
        <w:rPr>
          <w:color w:val="231F20"/>
          <w:w w:val="105"/>
        </w:rPr>
        <w:t>ions.</w:t>
      </w:r>
    </w:p>
    <w:p>
      <w:pPr>
        <w:pStyle w:val="BodyText"/>
        <w:spacing w:line="249" w:lineRule="auto" w:before="6"/>
        <w:ind w:left="319" w:right="1077" w:firstLine="240"/>
        <w:jc w:val="both"/>
      </w:pPr>
      <w:r>
        <w:rPr>
          <w:color w:val="231F20"/>
          <w:w w:val="105"/>
        </w:rPr>
        <w:t>In panel C, the substance is freely filtered at the glomerular capillaries but is not excreted into the urine because all the filtered substance is reabsorbed from</w:t>
      </w:r>
      <w:r>
        <w:rPr>
          <w:color w:val="231F20"/>
          <w:spacing w:val="-30"/>
          <w:w w:val="105"/>
        </w:rPr>
        <w:t> </w:t>
      </w:r>
      <w:r>
        <w:rPr>
          <w:color w:val="231F20"/>
          <w:w w:val="105"/>
        </w:rPr>
        <w:t>the tubules</w:t>
      </w:r>
      <w:r>
        <w:rPr>
          <w:color w:val="231F20"/>
          <w:spacing w:val="-12"/>
          <w:w w:val="105"/>
        </w:rPr>
        <w:t> </w:t>
      </w:r>
      <w:r>
        <w:rPr>
          <w:color w:val="231F20"/>
          <w:w w:val="105"/>
        </w:rPr>
        <w:t>back</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blood.</w:t>
      </w:r>
      <w:r>
        <w:rPr>
          <w:color w:val="231F20"/>
          <w:spacing w:val="-12"/>
          <w:w w:val="105"/>
        </w:rPr>
        <w:t> </w:t>
      </w:r>
      <w:r>
        <w:rPr>
          <w:color w:val="231F20"/>
          <w:w w:val="105"/>
        </w:rPr>
        <w:t>This</w:t>
      </w:r>
      <w:r>
        <w:rPr>
          <w:color w:val="231F20"/>
          <w:spacing w:val="-12"/>
          <w:w w:val="105"/>
        </w:rPr>
        <w:t> </w:t>
      </w:r>
      <w:r>
        <w:rPr>
          <w:color w:val="231F20"/>
          <w:w w:val="105"/>
        </w:rPr>
        <w:t>pattern</w:t>
      </w:r>
      <w:r>
        <w:rPr>
          <w:color w:val="231F20"/>
          <w:spacing w:val="-12"/>
          <w:w w:val="105"/>
        </w:rPr>
        <w:t> </w:t>
      </w:r>
      <w:r>
        <w:rPr>
          <w:color w:val="231F20"/>
          <w:w w:val="105"/>
        </w:rPr>
        <w:t>occurs</w:t>
      </w:r>
      <w:r>
        <w:rPr>
          <w:color w:val="231F20"/>
          <w:spacing w:val="-12"/>
          <w:w w:val="105"/>
        </w:rPr>
        <w:t> </w:t>
      </w:r>
      <w:r>
        <w:rPr>
          <w:color w:val="231F20"/>
          <w:w w:val="105"/>
        </w:rPr>
        <w:t>for</w:t>
      </w:r>
      <w:r>
        <w:rPr>
          <w:color w:val="231F20"/>
          <w:spacing w:val="-12"/>
          <w:w w:val="105"/>
        </w:rPr>
        <w:t> </w:t>
      </w:r>
      <w:r>
        <w:rPr>
          <w:color w:val="231F20"/>
          <w:w w:val="105"/>
        </w:rPr>
        <w:t>some of</w:t>
      </w:r>
      <w:r>
        <w:rPr>
          <w:color w:val="231F20"/>
          <w:spacing w:val="-5"/>
          <w:w w:val="105"/>
        </w:rPr>
        <w:t> </w:t>
      </w:r>
      <w:r>
        <w:rPr>
          <w:color w:val="231F20"/>
          <w:w w:val="105"/>
        </w:rPr>
        <w:t>the</w:t>
      </w:r>
      <w:r>
        <w:rPr>
          <w:color w:val="231F20"/>
          <w:spacing w:val="-4"/>
          <w:w w:val="105"/>
        </w:rPr>
        <w:t> </w:t>
      </w:r>
      <w:r>
        <w:rPr>
          <w:color w:val="231F20"/>
          <w:w w:val="105"/>
        </w:rPr>
        <w:t>nutritional</w:t>
      </w:r>
      <w:r>
        <w:rPr>
          <w:color w:val="231F20"/>
          <w:spacing w:val="-4"/>
          <w:w w:val="105"/>
        </w:rPr>
        <w:t> </w:t>
      </w:r>
      <w:r>
        <w:rPr>
          <w:color w:val="231F20"/>
          <w:w w:val="105"/>
        </w:rPr>
        <w:t>substances</w:t>
      </w:r>
      <w:r>
        <w:rPr>
          <w:color w:val="231F20"/>
          <w:spacing w:val="-5"/>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blood,</w:t>
      </w:r>
      <w:r>
        <w:rPr>
          <w:color w:val="231F20"/>
          <w:spacing w:val="-4"/>
          <w:w w:val="105"/>
        </w:rPr>
        <w:t> </w:t>
      </w:r>
      <w:r>
        <w:rPr>
          <w:color w:val="231F20"/>
          <w:w w:val="105"/>
        </w:rPr>
        <w:t>such</w:t>
      </w:r>
      <w:r>
        <w:rPr>
          <w:color w:val="231F20"/>
          <w:spacing w:val="-5"/>
          <w:w w:val="105"/>
        </w:rPr>
        <w:t> </w:t>
      </w:r>
      <w:r>
        <w:rPr>
          <w:color w:val="231F20"/>
          <w:w w:val="105"/>
        </w:rPr>
        <w:t>as</w:t>
      </w:r>
      <w:r>
        <w:rPr>
          <w:color w:val="231F20"/>
          <w:spacing w:val="-4"/>
          <w:w w:val="105"/>
        </w:rPr>
        <w:t> </w:t>
      </w:r>
      <w:r>
        <w:rPr>
          <w:color w:val="231F20"/>
          <w:w w:val="105"/>
        </w:rPr>
        <w:t>amino acids and glucose, allowing them to be conserved in</w:t>
      </w:r>
      <w:r>
        <w:rPr>
          <w:color w:val="231F20"/>
          <w:spacing w:val="-17"/>
          <w:w w:val="105"/>
        </w:rPr>
        <w:t> </w:t>
      </w:r>
      <w:r>
        <w:rPr>
          <w:color w:val="231F20"/>
          <w:w w:val="105"/>
        </w:rPr>
        <w:t>the body</w:t>
      </w:r>
      <w:r>
        <w:rPr>
          <w:color w:val="231F20"/>
          <w:spacing w:val="2"/>
          <w:w w:val="105"/>
        </w:rPr>
        <w:t> </w:t>
      </w:r>
      <w:r>
        <w:rPr>
          <w:color w:val="231F20"/>
          <w:w w:val="105"/>
        </w:rPr>
        <w:t>fluids.</w:t>
      </w:r>
    </w:p>
    <w:p>
      <w:pPr>
        <w:pStyle w:val="BodyText"/>
        <w:spacing w:line="249" w:lineRule="auto" w:before="6"/>
        <w:ind w:left="319" w:right="1077" w:firstLine="240"/>
        <w:jc w:val="both"/>
      </w:pPr>
      <w:r>
        <w:rPr>
          <w:color w:val="231F20"/>
          <w:w w:val="105"/>
        </w:rPr>
        <w:t>The substance in panel D is freely filtered at the glo- merular capillaries and is not reabsorbed, but additional quantities of this substance are secreted from the</w:t>
      </w:r>
      <w:r>
        <w:rPr>
          <w:color w:val="231F20"/>
          <w:spacing w:val="-29"/>
          <w:w w:val="105"/>
        </w:rPr>
        <w:t> </w:t>
      </w:r>
      <w:r>
        <w:rPr>
          <w:color w:val="231F20"/>
          <w:w w:val="105"/>
        </w:rPr>
        <w:t>peritu- bular capillary blood into the renal tubules. This </w:t>
      </w:r>
      <w:r>
        <w:rPr>
          <w:color w:val="231F20"/>
          <w:spacing w:val="-3"/>
          <w:w w:val="105"/>
        </w:rPr>
        <w:t>pattern </w:t>
      </w:r>
      <w:r>
        <w:rPr>
          <w:color w:val="231F20"/>
          <w:w w:val="105"/>
        </w:rPr>
        <w:t>often</w:t>
      </w:r>
      <w:r>
        <w:rPr>
          <w:color w:val="231F20"/>
          <w:spacing w:val="-17"/>
          <w:w w:val="105"/>
        </w:rPr>
        <w:t> </w:t>
      </w:r>
      <w:r>
        <w:rPr>
          <w:color w:val="231F20"/>
          <w:w w:val="105"/>
        </w:rPr>
        <w:t>occurs</w:t>
      </w:r>
      <w:r>
        <w:rPr>
          <w:color w:val="231F20"/>
          <w:spacing w:val="-17"/>
          <w:w w:val="105"/>
        </w:rPr>
        <w:t> </w:t>
      </w:r>
      <w:r>
        <w:rPr>
          <w:color w:val="231F20"/>
          <w:w w:val="105"/>
        </w:rPr>
        <w:t>for</w:t>
      </w:r>
      <w:r>
        <w:rPr>
          <w:color w:val="231F20"/>
          <w:spacing w:val="-17"/>
          <w:w w:val="105"/>
        </w:rPr>
        <w:t> </w:t>
      </w:r>
      <w:r>
        <w:rPr>
          <w:color w:val="231F20"/>
          <w:w w:val="105"/>
        </w:rPr>
        <w:t>organic</w:t>
      </w:r>
      <w:r>
        <w:rPr>
          <w:color w:val="231F20"/>
          <w:spacing w:val="-17"/>
          <w:w w:val="105"/>
        </w:rPr>
        <w:t> </w:t>
      </w:r>
      <w:r>
        <w:rPr>
          <w:color w:val="231F20"/>
          <w:w w:val="105"/>
        </w:rPr>
        <w:t>acids</w:t>
      </w:r>
      <w:r>
        <w:rPr>
          <w:color w:val="231F20"/>
          <w:spacing w:val="-17"/>
          <w:w w:val="105"/>
        </w:rPr>
        <w:t> </w:t>
      </w:r>
      <w:r>
        <w:rPr>
          <w:color w:val="231F20"/>
          <w:w w:val="105"/>
        </w:rPr>
        <w:t>and</w:t>
      </w:r>
      <w:r>
        <w:rPr>
          <w:color w:val="231F20"/>
          <w:spacing w:val="-17"/>
          <w:w w:val="105"/>
        </w:rPr>
        <w:t> </w:t>
      </w:r>
      <w:r>
        <w:rPr>
          <w:color w:val="231F20"/>
          <w:w w:val="105"/>
        </w:rPr>
        <w:t>bases,</w:t>
      </w:r>
      <w:r>
        <w:rPr>
          <w:color w:val="231F20"/>
          <w:spacing w:val="-17"/>
          <w:w w:val="105"/>
        </w:rPr>
        <w:t> </w:t>
      </w:r>
      <w:r>
        <w:rPr>
          <w:color w:val="231F20"/>
          <w:w w:val="105"/>
        </w:rPr>
        <w:t>permitting</w:t>
      </w:r>
      <w:r>
        <w:rPr>
          <w:color w:val="231F20"/>
          <w:spacing w:val="-17"/>
          <w:w w:val="105"/>
        </w:rPr>
        <w:t> </w:t>
      </w:r>
      <w:r>
        <w:rPr>
          <w:color w:val="231F20"/>
          <w:w w:val="105"/>
        </w:rPr>
        <w:t>them to</w:t>
      </w:r>
      <w:r>
        <w:rPr>
          <w:color w:val="231F20"/>
          <w:spacing w:val="-17"/>
          <w:w w:val="105"/>
        </w:rPr>
        <w:t> </w:t>
      </w:r>
      <w:r>
        <w:rPr>
          <w:color w:val="231F20"/>
          <w:w w:val="105"/>
        </w:rPr>
        <w:t>be</w:t>
      </w:r>
      <w:r>
        <w:rPr>
          <w:color w:val="231F20"/>
          <w:spacing w:val="-16"/>
          <w:w w:val="105"/>
        </w:rPr>
        <w:t> </w:t>
      </w:r>
      <w:r>
        <w:rPr>
          <w:color w:val="231F20"/>
          <w:w w:val="105"/>
        </w:rPr>
        <w:t>rapidly</w:t>
      </w:r>
      <w:r>
        <w:rPr>
          <w:color w:val="231F20"/>
          <w:spacing w:val="-16"/>
          <w:w w:val="105"/>
        </w:rPr>
        <w:t> </w:t>
      </w:r>
      <w:r>
        <w:rPr>
          <w:color w:val="231F20"/>
          <w:w w:val="105"/>
        </w:rPr>
        <w:t>cleared</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blood</w:t>
      </w:r>
      <w:r>
        <w:rPr>
          <w:color w:val="231F20"/>
          <w:spacing w:val="-16"/>
          <w:w w:val="105"/>
        </w:rPr>
        <w:t> </w:t>
      </w:r>
      <w:r>
        <w:rPr>
          <w:color w:val="231F20"/>
          <w:w w:val="105"/>
        </w:rPr>
        <w:t>and</w:t>
      </w:r>
      <w:r>
        <w:rPr>
          <w:color w:val="231F20"/>
          <w:spacing w:val="-16"/>
          <w:w w:val="105"/>
        </w:rPr>
        <w:t> </w:t>
      </w:r>
      <w:r>
        <w:rPr>
          <w:color w:val="231F20"/>
          <w:w w:val="105"/>
        </w:rPr>
        <w:t>excreted</w:t>
      </w:r>
      <w:r>
        <w:rPr>
          <w:color w:val="231F20"/>
          <w:spacing w:val="-16"/>
          <w:w w:val="105"/>
        </w:rPr>
        <w:t> </w:t>
      </w:r>
      <w:r>
        <w:rPr>
          <w:color w:val="231F20"/>
          <w:w w:val="105"/>
        </w:rPr>
        <w:t>in</w:t>
      </w:r>
      <w:r>
        <w:rPr>
          <w:color w:val="231F20"/>
          <w:spacing w:val="-16"/>
          <w:w w:val="105"/>
        </w:rPr>
        <w:t> </w:t>
      </w:r>
      <w:r>
        <w:rPr>
          <w:color w:val="231F20"/>
          <w:w w:val="105"/>
        </w:rPr>
        <w:t>large amounts in the urine. The excretion rate in this case </w:t>
      </w:r>
      <w:r>
        <w:rPr>
          <w:color w:val="231F20"/>
          <w:spacing w:val="-6"/>
          <w:w w:val="105"/>
        </w:rPr>
        <w:t>is </w:t>
      </w:r>
      <w:r>
        <w:rPr>
          <w:color w:val="231F20"/>
          <w:w w:val="105"/>
        </w:rPr>
        <w:t>calculated as filtration rate plus tubular secretion</w:t>
      </w:r>
      <w:r>
        <w:rPr>
          <w:color w:val="231F20"/>
          <w:spacing w:val="-26"/>
          <w:w w:val="105"/>
        </w:rPr>
        <w:t> </w:t>
      </w:r>
      <w:r>
        <w:rPr>
          <w:color w:val="231F20"/>
          <w:w w:val="105"/>
        </w:rPr>
        <w:t>rate.</w:t>
      </w:r>
    </w:p>
    <w:p>
      <w:pPr>
        <w:pStyle w:val="BodyText"/>
        <w:spacing w:line="249" w:lineRule="auto" w:before="7"/>
        <w:ind w:left="319" w:right="1077" w:firstLine="240"/>
        <w:jc w:val="both"/>
      </w:pPr>
      <w:r>
        <w:rPr>
          <w:color w:val="231F20"/>
          <w:spacing w:val="-3"/>
          <w:w w:val="105"/>
        </w:rPr>
        <w:t>For </w:t>
      </w:r>
      <w:r>
        <w:rPr>
          <w:color w:val="231F20"/>
          <w:w w:val="105"/>
        </w:rPr>
        <w:t>each substance in the plasma, a particular </w:t>
      </w:r>
      <w:r>
        <w:rPr>
          <w:color w:val="231F20"/>
          <w:spacing w:val="-3"/>
          <w:w w:val="105"/>
        </w:rPr>
        <w:t>combi- </w:t>
      </w:r>
      <w:r>
        <w:rPr>
          <w:color w:val="231F20"/>
          <w:w w:val="105"/>
        </w:rPr>
        <w:t>nation of filtration, reabsorption, and secretion occurs. The rate at which the substance is excreted in the urine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367"/>
          <w:footerReference w:type="even" r:id="rId368"/>
          <w:footerReference w:type="default" r:id="rId369"/>
          <w:pgSz w:w="12240" w:h="15660"/>
          <w:pgMar w:header="0" w:footer="567" w:top="720" w:bottom="760" w:left="0" w:right="0"/>
          <w:pgNumType w:start="332"/>
        </w:sectPr>
      </w:pPr>
    </w:p>
    <w:p>
      <w:pPr>
        <w:spacing w:before="119"/>
        <w:ind w:left="1161" w:right="0" w:firstLine="0"/>
        <w:jc w:val="left"/>
        <w:rPr>
          <w:rFonts w:ascii="Helvetica"/>
          <w:sz w:val="16"/>
        </w:rPr>
      </w:pPr>
      <w:r>
        <w:rPr>
          <w:rFonts w:ascii="Helvetica"/>
          <w:color w:val="231F20"/>
          <w:position w:val="1"/>
          <w:sz w:val="20"/>
        </w:rPr>
        <w:t>A </w:t>
      </w:r>
      <w:r>
        <w:rPr>
          <w:rFonts w:ascii="Helvetica"/>
          <w:color w:val="231F20"/>
          <w:sz w:val="16"/>
        </w:rPr>
        <w:t>Filtration only</w:t>
      </w:r>
    </w:p>
    <w:p>
      <w:pPr>
        <w:pStyle w:val="BodyText"/>
        <w:rPr>
          <w:rFonts w:ascii="Helvetica"/>
          <w:sz w:val="22"/>
        </w:rPr>
      </w:pPr>
    </w:p>
    <w:p>
      <w:pPr>
        <w:pStyle w:val="BodyText"/>
        <w:spacing w:before="2"/>
        <w:rPr>
          <w:rFonts w:ascii="Helvetica"/>
          <w:sz w:val="23"/>
        </w:rPr>
      </w:pPr>
    </w:p>
    <w:p>
      <w:pPr>
        <w:spacing w:line="235" w:lineRule="auto" w:before="1"/>
        <w:ind w:left="1498" w:right="771" w:hanging="325"/>
        <w:jc w:val="left"/>
        <w:rPr>
          <w:rFonts w:ascii="Helvetica"/>
          <w:sz w:val="16"/>
        </w:rPr>
      </w:pPr>
      <w:r>
        <w:rPr/>
        <w:pict>
          <v:group style="position:absolute;margin-left:68.286903pt;margin-top:-11.988777pt;width:97.15pt;height:117.15pt;mso-position-horizontal-relative:page;mso-position-vertical-relative:paragraph;z-index:-273520640" coordorigin="1366,-240" coordsize="1943,2343">
            <v:shape style="position:absolute;left:1985;top:-63;width:587;height:1945" coordorigin="1986,-63" coordsize="587,1945" path="m2035,-63l2018,-58,2001,-33,1991,4,1986,60,1993,126,2020,195,2074,261,2161,316,2182,322,2193,330,2197,344,2199,370,2199,1834,2202,1861,2211,1874,2234,1880,2279,1881,2324,1873,2348,1857,2358,1841,2359,1834,2359,370,2366,343,2379,326,2391,319,2397,316,2484,261,2538,195,2565,126,2569,88,2212,88,2172,83,2142,65,2106,29,2082,2,2066,-20,2056,-37,2053,-47,2048,-56,2035,-63xm2523,-63l2510,-56,2505,-47,2502,-37,2492,-20,2476,2,2452,29,2400,64,2343,81,2298,86,2279,86,2212,88,2569,88,2572,60,2567,4,2557,-33,2539,-58,2523,-63xe" filled="true" fillcolor="#ffe293" stroked="false">
              <v:path arrowok="t"/>
              <v:fill type="solid"/>
            </v:shape>
            <v:shape style="position:absolute;left:1985;top:-63;width:587;height:1945" coordorigin="1986,-63" coordsize="587,1945" path="m2279,1881l2324,1873,2348,1857,2358,1841,2359,1834,2359,370,2366,343,2379,326,2391,319,2397,316,2484,261,2538,195,2565,126,2572,60,2567,4,2557,-33,2539,-58,2523,-63,2510,-56,2505,-47,2502,-37,2492,-20,2452,29,2400,64,2298,86,2279,86,2212,88,2142,65,2082,2,2053,-47,2048,-56,2035,-63,2018,-58,2001,-33,1991,4,1986,60,1993,126,2020,195,2074,261,2161,316,2182,322,2193,330,2197,344,2199,370,2199,1834,2202,1861,2211,1874,2234,1880,2279,1881xe" filled="false" stroked="true" strokeweight=".25pt" strokecolor="#b7705b">
              <v:path arrowok="t"/>
              <v:stroke dashstyle="solid"/>
            </v:shape>
            <v:shape style="position:absolute;left:1411;top:-238;width:1628;height:1949" coordorigin="1411,-237" coordsize="1628,1949" path="m2585,1484l2452,1484,2452,1505,2456,1546,2473,1598,2508,1650,2532,1672,2566,1692,2610,1706,2666,1711,3039,1711,3039,1578,2665,1578,2639,1576,2621,1571,2611,1565,2605,1560,2595,1545,2589,1527,2586,1511,2585,1497,2585,1496,2585,1490,2585,1484xm2842,-104l2531,-104,2542,-104,2678,-104,2693,-101,2705,-93,2713,-80,2716,-66,2716,116,2715,128,2711,145,2703,162,2692,177,2690,179,2508,375,2497,388,2478,421,2460,474,2452,548,2452,554,2452,1487,2452,1484,2585,1484,2585,554,2585,548,2588,511,2595,486,2603,471,2606,465,2784,274,2784,274,2820,227,2840,179,2848,141,2850,121,2850,-66,2842,-104xm2786,273l2784,274,2784,274,2786,273xm2278,43l2277,43,2279,43,2278,43xm2229,-104l2027,-104,2047,-101,2054,-92,2113,-23,2173,19,2229,38,2279,43,2329,38,2385,19,2445,-23,2503,-91,2277,-91,2248,-95,2229,-104xm2280,-91l2278,-91,2277,-91,2281,-91,2280,-91xm2678,-237l2544,-237,2547,-237,2526,-237,2485,-230,2438,-210,2394,-167,2367,-133,2339,-109,2310,-95,2281,-91,2503,-91,2504,-92,2511,-101,2531,-104,2842,-104,2836,-132,2799,-187,2745,-224,2678,-237xm2014,-237l1411,-237,1411,-104,2016,-104,2027,-104,2229,-104,2219,-109,2191,-133,2164,-167,2120,-210,2072,-230,2032,-237,2011,-237,2014,-237xe" filled="true" fillcolor="#f15b66" stroked="false">
              <v:path arrowok="t"/>
              <v:fill type="solid"/>
            </v:shape>
            <v:shape style="position:absolute;left:-868;top:13569;width:1628;height:1949" coordorigin="-868,13569" coordsize="1628,1949" path="m2279,43l2279,43m2394,-167l2367,-133,2339,-109,2310,-95,2281,-91,2280,-91,2278,-91,2277,-91,2248,-95,2219,-109,2191,-133,2164,-167,2120,-210,2072,-230,2032,-237,2011,-237,2013,-237,2014,-237,2015,-237,1411,-237,1411,-104,2015,-104,2016,-104,2018,-104,2019,-104,2027,-104,2047,-101,2054,-92,2113,-23,2173,19,2229,38,2279,43,2278,43,2278,43,2277,43,2278,43,2278,43,2279,43,2280,43,2280,43,2281,43,2280,43,2280,43,2279,43,2329,38,2385,19,2445,-23,2504,-92,2511,-101,2531,-104,2539,-104,2540,-104,2542,-104,2542,-104,2678,-104,2693,-101,2705,-93,2713,-80,2716,-66,2716,116,2715,128,2711,145,2703,162,2692,177,2691,178,2690,179,2689,180,2508,375,2497,388,2478,421,2460,474,2452,548,2452,552,2452,556,2452,560,2452,1489,2452,1487,2452,1485,2452,1484,2452,1505,2456,1546,2473,1598,2508,1650,2532,1672,2566,1692,2610,1706,2666,1711,3039,1711,3039,1578,2665,1578,2639,1576,2621,1571,2611,1565,2605,1560,2595,1545,2589,1527,2586,1511,2585,1497,2585,1496,2585,1495,2585,1494,2585,1492,2585,1490,2585,1489,2585,560,2585,559,2585,558,2585,557,2585,554,2585,551,2585,548,2588,511,2595,486,2603,471,2606,465,2641,428,2703,362,2761,299,2787,271,2786,272,2785,273,2784,274,2820,227,2840,179,2848,141,2850,121,2850,-66,2836,-132,2799,-187,2745,-224,2678,-237,2542,-237,2544,-237,2545,-237,2547,-237,2526,-237,2485,-230,2438,-210,2394,-167xe" filled="false" stroked="true" strokeweight=".25pt" strokecolor="#231f20">
              <v:path arrowok="t"/>
              <v:stroke dashstyle="solid"/>
            </v:shape>
            <v:shape style="position:absolute;left:1411;top:-173;width:1761;height:1817" coordorigin="1411,-172" coordsize="1761,1817" path="m3172,1645l2665,1645,2575,1621,2532,1568,2519,1514,2519,1489,2519,560,2523,497,2550,428,2738,226,2763,192,2777,157,2782,130,2783,119,2783,-66,2775,-106,2752,-140,2719,-162,2678,-170,2542,-170,2506,-172,2484,-168,2468,-155,2449,-129,2418,-91,2380,-56,2334,-32,2279,-24,2224,-32,2178,-56,2140,-91,2109,-129,2081,-155,2051,-167,2026,-170,2015,-170,1411,-170e" filled="false" stroked="true" strokeweight="2.25pt" strokecolor="#231f20">
              <v:path arrowok="t"/>
              <v:stroke dashstyle="solid"/>
            </v:shape>
            <v:shape style="position:absolute;left:1368;top:-238;width:87;height:134" coordorigin="1368,-237" coordsize="87,134" path="m1411,-237l1395,-232,1381,-218,1372,-196,1368,-170,1372,-144,1381,-123,1395,-109,1411,-103,1428,-109,1442,-123,1451,-144,1455,-170,1451,-196,1442,-218,1428,-232,1411,-237xe" filled="true" fillcolor="#f8aba6" stroked="false">
              <v:path arrowok="t"/>
              <v:fill type="solid"/>
            </v:shape>
            <v:shape style="position:absolute;left:1368;top:-238;width:87;height:134" coordorigin="1368,-237" coordsize="87,134" path="m1455,-170l1451,-144,1442,-123,1428,-109,1411,-103,1395,-109,1381,-123,1372,-144,1368,-170,1372,-196,1381,-218,1395,-232,1411,-237,1428,-232,1442,-218,1451,-196,1455,-170xe" filled="false" stroked="true" strokeweight=".25pt" strokecolor="#231f20">
              <v:path arrowok="t"/>
              <v:stroke dashstyle="solid"/>
            </v:shape>
            <v:shape style="position:absolute;left:1386;top:-217;width:51;height:92" coordorigin="1386,-216" coordsize="51,92" path="m1411,-216l1402,-213,1394,-203,1388,-188,1386,-170,1388,-152,1394,-138,1402,-128,1411,-124,1421,-128,1429,-138,1435,-152,1437,-170,1435,-188,1429,-203,1421,-213,1411,-216xe" filled="true" fillcolor="#da525d" stroked="false">
              <v:path arrowok="t"/>
              <v:fill type="solid"/>
            </v:shape>
            <v:shape style="position:absolute;left:1386;top:-217;width:51;height:92" coordorigin="1386,-216" coordsize="51,92" path="m1437,-170l1435,-152,1429,-138,1421,-128,1411,-124,1402,-128,1394,-138,1388,-152,1386,-170,1388,-188,1394,-203,1402,-213,1411,-216,1421,-213,1429,-203,1435,-188,1437,-170xe" filled="false" stroked="true" strokeweight=".25pt" strokecolor="#231f20">
              <v:path arrowok="t"/>
              <v:stroke dashstyle="solid"/>
            </v:shape>
            <v:line style="position:absolute" from="2279,-15" to="2279,1998" stroked="true" strokeweight="1pt" strokecolor="#231f20">
              <v:stroke dashstyle="solid"/>
            </v:line>
            <v:shape style="position:absolute;left:3110;top:1580;width:199;height:129" type="#_x0000_t75" stroked="false">
              <v:imagedata r:id="rId370" o:title=""/>
            </v:shape>
            <v:shape style="position:absolute;left:2239;top:1979;width:80;height:123" coordorigin="2239,1980" coordsize="80,123" path="m2240,1980l2239,1981,2264,2040,2279,2102,2294,2040,2310,2002,2279,2002,2240,1980xm2318,1980l2279,2002,2310,2002,2319,1981,2318,1980xe" filled="true" fillcolor="#231f20" stroked="false">
              <v:path arrowok="t"/>
              <v:fill type="solid"/>
            </v:shape>
            <w10:wrap type="none"/>
          </v:group>
        </w:pict>
      </w:r>
      <w:r>
        <w:rPr>
          <w:rFonts w:ascii="Helvetica"/>
          <w:color w:val="231F20"/>
          <w:sz w:val="16"/>
        </w:rPr>
        <w:t>Substance A</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10"/>
        <w:ind w:left="2087" w:right="0" w:firstLine="0"/>
        <w:jc w:val="left"/>
        <w:rPr>
          <w:rFonts w:ascii="Helvetica"/>
          <w:sz w:val="16"/>
        </w:rPr>
      </w:pPr>
      <w:r>
        <w:rPr/>
        <w:pict>
          <v:rect style="position:absolute;margin-left:0pt;margin-top:.571777pt;width:36pt;height:24pt;mso-position-horizontal-relative:page;mso-position-vertical-relative:paragraph;z-index:251883520" filled="true" fillcolor="#e8dac8" stroked="false">
            <v:fill type="solid"/>
            <w10:wrap type="none"/>
          </v:rect>
        </w:pict>
      </w:r>
      <w:r>
        <w:rPr>
          <w:rFonts w:ascii="Helvetica"/>
          <w:color w:val="231F20"/>
          <w:sz w:val="16"/>
        </w:rPr>
        <w:t>Urine</w:t>
      </w:r>
    </w:p>
    <w:p>
      <w:pPr>
        <w:pStyle w:val="BodyText"/>
        <w:spacing w:before="9"/>
        <w:rPr>
          <w:rFonts w:ascii="Helvetica"/>
          <w:sz w:val="22"/>
        </w:rPr>
      </w:pPr>
    </w:p>
    <w:p>
      <w:pPr>
        <w:spacing w:line="235" w:lineRule="auto" w:before="0"/>
        <w:ind w:left="1369" w:right="-11" w:hanging="209"/>
        <w:jc w:val="left"/>
        <w:rPr>
          <w:rFonts w:ascii="Helvetica"/>
          <w:sz w:val="16"/>
        </w:rPr>
      </w:pPr>
      <w:r>
        <w:rPr/>
        <w:pict>
          <v:group style="position:absolute;margin-left:58.168598pt;margin-top:25.574781pt;width:107.3pt;height:106.2pt;mso-position-horizontal-relative:page;mso-position-vertical-relative:paragraph;z-index:251888640" coordorigin="1163,511" coordsize="2146,2124">
            <v:shape style="position:absolute;left:1985;top:688;width:587;height:1945" coordorigin="1986,688" coordsize="587,1945" path="m2035,688l2018,693,2001,718,1991,756,1986,811,1993,877,2020,947,2074,1013,2161,1068,2182,1074,2193,1081,2197,1095,2199,1121,2199,2585,2202,2612,2211,2626,2234,2631,2279,2633,2324,2625,2348,2608,2358,2593,2359,2585,2359,1121,2366,1094,2379,1078,2391,1070,2397,1068,2484,1013,2538,947,2565,877,2569,839,2212,839,2172,834,2142,816,2106,781,2082,754,2066,731,2056,714,2053,704,2048,695,2035,688xm2523,688l2510,695,2505,704,2502,714,2492,731,2476,754,2452,781,2400,816,2343,832,2298,837,2279,838,2212,839,2569,839,2572,811,2567,756,2557,718,2539,693,2523,688xe" filled="true" fillcolor="#ffe293" stroked="false">
              <v:path arrowok="t"/>
              <v:fill type="solid"/>
            </v:shape>
            <v:shape style="position:absolute;left:1985;top:688;width:587;height:1945" coordorigin="1986,688" coordsize="587,1945" path="m2279,2633l2324,2625,2348,2608,2358,2593,2359,2585,2359,1121,2366,1094,2379,1078,2391,1070,2397,1068,2484,1013,2538,947,2565,877,2572,811,2567,756,2557,718,2539,693,2523,688,2510,695,2505,704,2502,714,2492,731,2452,781,2400,816,2298,837,2279,838,2212,839,2142,816,2082,754,2053,704,2048,695,2035,688,2018,693,2001,718,1991,756,1986,811,1993,877,2020,947,2074,1013,2161,1068,2182,1074,2193,1081,2197,1095,2199,1121,2199,2585,2202,2612,2211,2626,2234,2631,2279,2633xe" filled="false" stroked="true" strokeweight=".25pt" strokecolor="#b7705b">
              <v:path arrowok="t"/>
              <v:stroke dashstyle="solid"/>
            </v:shape>
            <v:shape style="position:absolute;left:1411;top:514;width:1628;height:1949" coordorigin="1411,514" coordsize="1628,1949" path="m2585,2235l2452,2235,2452,2256,2456,2297,2473,2349,2508,2402,2532,2423,2566,2443,2610,2458,2666,2463,3039,2463,3039,2329,2665,2329,2639,2327,2621,2322,2611,2316,2605,2311,2595,2296,2589,2279,2586,2262,2585,2249,2585,2247,2585,2241,2585,2235xm2842,647l2531,647,2539,647,2540,647,2542,648,2678,648,2693,651,2705,659,2713,671,2716,686,2716,868,2715,879,2711,896,2703,914,2692,929,2691,930,2689,932,2508,1126,2497,1140,2478,1173,2460,1226,2452,1299,2452,1305,2452,2238,2452,2235,2585,2235,2585,1305,2585,1299,2588,1263,2595,1237,2603,1222,2606,1216,2784,1026,2784,1026,2820,979,2840,931,2848,892,2850,872,2850,686,2842,647xm2787,1023l2785,1025,2784,1026,2784,1026,2787,1023xm2229,647l2027,647,2047,650,2054,659,2113,729,2173,770,2229,790,2279,794,2329,790,2385,770,2445,729,2503,661,2277,661,2248,657,2229,647xm2280,661l2278,661,2277,661,2281,661,2280,661xm2678,514l2542,514,2545,514,2547,514,2526,514,2485,521,2438,542,2394,584,2367,618,2339,642,2310,657,2281,661,2503,661,2504,659,2511,650,2531,647,2842,647,2836,619,2799,564,2745,528,2678,514xm2014,514l1411,514,1411,648,2016,648,2018,647,2019,647,2027,647,2229,647,2219,642,2191,618,2164,584,2120,542,2072,521,2032,514,2011,514,2014,514xe" filled="true" fillcolor="#f15b66" stroked="false">
              <v:path arrowok="t"/>
              <v:fill type="solid"/>
            </v:shape>
            <v:shape style="position:absolute;left:-868;top:10995;width:1628;height:1949" coordorigin="-868,10996" coordsize="1628,1949" path="m2279,794l2279,794m2394,584l2367,618,2339,642,2310,657,2281,661,2280,661,2278,661,2277,661,2248,657,2219,642,2191,618,2164,584,2120,542,2072,521,2032,514,2011,514,2013,514,2014,514,2015,514,1411,514,1411,648,2015,648,2016,648,2018,647,2019,647,2027,647,2047,650,2054,659,2113,729,2173,770,2229,790,2279,794,2278,794,2278,794,2277,794,2278,794,2278,794,2279,794,2280,794,2280,794,2281,794,2280,794,2280,794,2279,794,2329,790,2385,770,2445,729,2504,659,2511,650,2531,647,2539,647,2540,647,2542,648,2542,648,2678,648,2693,651,2705,659,2713,671,2716,686,2716,868,2715,879,2711,896,2703,914,2692,929,2691,930,2690,931,2689,932,2508,1126,2497,1140,2478,1173,2460,1226,2452,1299,2452,1303,2452,1307,2452,1311,2452,2240,2452,2238,2452,2237,2452,2235,2452,2256,2456,2297,2473,2349,2508,2402,2532,2423,2566,2443,2610,2458,2666,2463,3039,2463,3039,2329,2665,2329,2639,2327,2621,2322,2611,2316,2605,2311,2595,2296,2589,2279,2586,2262,2585,2249,2585,2247,2585,2246,2585,2245,2585,2243,2585,2241,2585,2240,2585,1311,2585,1310,2585,1309,2585,1309,2585,1305,2585,1302,2585,1299,2588,1263,2595,1237,2603,1222,2606,1216,2641,1179,2703,1113,2761,1051,2787,1023,2786,1024,2785,1025,2784,1026,2820,979,2840,931,2848,892,2850,872,2850,686,2836,619,2799,564,2745,528,2678,514,2542,514,2544,514,2545,514,2547,514,2526,514,2485,521,2438,542,2394,584xe" filled="false" stroked="true" strokeweight=".25pt" strokecolor="#231f20">
              <v:path arrowok="t"/>
              <v:stroke dashstyle="solid"/>
            </v:shape>
            <v:shape style="position:absolute;left:1411;top:579;width:1761;height:1817" coordorigin="1411,579" coordsize="1761,1817" path="m3172,2396l2665,2396,2575,2372,2532,2319,2519,2265,2519,2240,2519,1311,2523,1248,2550,1180,2738,977,2763,943,2777,908,2782,881,2783,870,2783,686,2775,645,2752,611,2719,589,2678,581,2542,581,2506,579,2484,583,2468,596,2449,622,2418,661,2380,695,2334,719,2279,727,2224,719,2178,695,2140,661,2109,622,2081,596,2051,584,2026,581,2015,581,1411,581e" filled="false" stroked="true" strokeweight="2.25pt" strokecolor="#231f20">
              <v:path arrowok="t"/>
              <v:stroke dashstyle="solid"/>
            </v:shape>
            <v:shape style="position:absolute;left:1368;top:514;width:87;height:134" coordorigin="1368,514" coordsize="87,134" path="m1411,514l1395,519,1381,534,1372,555,1368,581,1372,607,1381,628,1395,643,1411,648,1428,643,1442,628,1451,607,1455,581,1451,555,1442,534,1428,519,1411,514xe" filled="true" fillcolor="#f8aba6" stroked="false">
              <v:path arrowok="t"/>
              <v:fill type="solid"/>
            </v:shape>
            <v:shape style="position:absolute;left:1368;top:514;width:87;height:134" coordorigin="1368,514" coordsize="87,134" path="m1455,581l1451,607,1442,628,1428,643,1411,648,1395,643,1381,628,1372,607,1368,581,1372,555,1381,534,1395,519,1411,514,1428,519,1442,534,1451,555,1455,581xe" filled="false" stroked="true" strokeweight=".25pt" strokecolor="#231f20">
              <v:path arrowok="t"/>
              <v:stroke dashstyle="solid"/>
            </v:shape>
            <v:shape style="position:absolute;left:1386;top:534;width:51;height:92" coordorigin="1386,535" coordsize="51,92" path="m1411,535l1402,539,1394,548,1388,563,1386,581,1388,599,1394,613,1402,623,1411,627,1421,623,1429,613,1435,599,1437,581,1435,563,1429,548,1421,539,1411,535xe" filled="true" fillcolor="#da525d" stroked="false">
              <v:path arrowok="t"/>
              <v:fill type="solid"/>
            </v:shape>
            <v:shape style="position:absolute;left:1386;top:534;width:51;height:92" coordorigin="1386,535" coordsize="51,92" path="m1437,581l1435,599,1429,613,1421,623,1411,627,1402,623,1394,613,1388,599,1386,581,1388,563,1394,548,1402,539,1411,535,1421,539,1429,548,1435,563,1437,581xe" filled="false" stroked="true" strokeweight=".25pt" strokecolor="#231f20">
              <v:path arrowok="t"/>
              <v:stroke dashstyle="solid"/>
            </v:shape>
            <v:shape style="position:absolute;left:3110;top:2331;width:199;height:129" type="#_x0000_t75" stroked="false">
              <v:imagedata r:id="rId371" o:title=""/>
            </v:shape>
            <v:shape style="position:absolute;left:2278;top:736;width:241;height:1004" coordorigin="2279,736" coordsize="241,1004" path="m2519,1739l2279,1595,2279,1595,2279,736e" filled="false" stroked="true" strokeweight="1pt" strokecolor="#231f20">
              <v:path arrowok="t"/>
              <v:stroke dashstyle="solid"/>
            </v:shape>
            <v:shape style="position:absolute;left:1163;top:511;width:2146;height:2124" type="#_x0000_t202" filled="false" stroked="false">
              <v:textbox inset="0,0,0,0">
                <w:txbxContent>
                  <w:p>
                    <w:pPr>
                      <w:spacing w:line="240" w:lineRule="auto" w:before="10"/>
                      <w:rPr>
                        <w:rFonts w:ascii="Arial"/>
                        <w:sz w:val="20"/>
                      </w:rPr>
                    </w:pPr>
                  </w:p>
                  <w:p>
                    <w:pPr>
                      <w:spacing w:line="235" w:lineRule="auto" w:before="1"/>
                      <w:ind w:left="320" w:right="1370" w:hanging="321"/>
                      <w:jc w:val="left"/>
                      <w:rPr>
                        <w:rFonts w:ascii="Helvetica"/>
                        <w:sz w:val="16"/>
                      </w:rPr>
                    </w:pPr>
                    <w:r>
                      <w:rPr>
                        <w:rFonts w:ascii="Helvetica"/>
                        <w:color w:val="231F20"/>
                        <w:sz w:val="16"/>
                      </w:rPr>
                      <w:t>Substance C</w:t>
                    </w:r>
                  </w:p>
                </w:txbxContent>
              </v:textbox>
              <w10:wrap type="none"/>
            </v:shape>
            <w10:wrap type="none"/>
          </v:group>
        </w:pict>
      </w:r>
      <w:r>
        <w:rPr>
          <w:rFonts w:ascii="Helvetica"/>
          <w:color w:val="231F20"/>
          <w:position w:val="1"/>
          <w:sz w:val="20"/>
        </w:rPr>
        <w:t>C </w:t>
      </w:r>
      <w:r>
        <w:rPr>
          <w:rFonts w:ascii="Helvetica"/>
          <w:color w:val="231F20"/>
          <w:sz w:val="16"/>
        </w:rPr>
        <w:t>Filtration, complete reabsorption</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rPr>
      </w:pPr>
    </w:p>
    <w:p>
      <w:pPr>
        <w:spacing w:before="0"/>
        <w:ind w:left="2145" w:right="0" w:firstLine="0"/>
        <w:jc w:val="left"/>
        <w:rPr>
          <w:rFonts w:ascii="Helvetica"/>
          <w:sz w:val="16"/>
        </w:rPr>
      </w:pPr>
      <w:r>
        <w:rPr>
          <w:rFonts w:ascii="Helvetica"/>
          <w:color w:val="231F20"/>
          <w:sz w:val="16"/>
        </w:rPr>
        <w:t>Urine</w:t>
      </w:r>
    </w:p>
    <w:p>
      <w:pPr>
        <w:spacing w:line="235" w:lineRule="auto" w:before="123"/>
        <w:ind w:left="868" w:right="0" w:hanging="222"/>
        <w:jc w:val="left"/>
        <w:rPr>
          <w:rFonts w:ascii="Helvetica"/>
          <w:sz w:val="16"/>
        </w:rPr>
      </w:pPr>
      <w:r>
        <w:rPr/>
        <w:br w:type="column"/>
      </w:r>
      <w:r>
        <w:rPr>
          <w:rFonts w:ascii="Helvetica"/>
          <w:color w:val="231F20"/>
          <w:position w:val="1"/>
          <w:sz w:val="20"/>
        </w:rPr>
        <w:t>B </w:t>
      </w:r>
      <w:r>
        <w:rPr>
          <w:rFonts w:ascii="Helvetica"/>
          <w:color w:val="231F20"/>
          <w:sz w:val="16"/>
        </w:rPr>
        <w:t>Filtration, partial reabsorption</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7"/>
        <w:rPr>
          <w:rFonts w:ascii="Helvetica"/>
          <w:sz w:val="16"/>
        </w:rPr>
      </w:pPr>
    </w:p>
    <w:p>
      <w:pPr>
        <w:spacing w:before="0"/>
        <w:ind w:left="1697" w:right="0" w:firstLine="0"/>
        <w:jc w:val="left"/>
        <w:rPr>
          <w:rFonts w:ascii="Helvetica"/>
          <w:sz w:val="16"/>
        </w:rPr>
      </w:pPr>
      <w:r>
        <w:rPr/>
        <w:pict>
          <v:group style="position:absolute;margin-left:176.672607pt;margin-top:-118.400726pt;width:107.3pt;height:117.15pt;mso-position-horizontal-relative:page;mso-position-vertical-relative:paragraph;z-index:251886592" coordorigin="3533,-2368" coordsize="2146,2343">
            <v:shape style="position:absolute;left:4355;top:-2192;width:587;height:1945" coordorigin="4356,-2191" coordsize="587,1945" path="m4405,-2191l4389,-2187,4371,-2161,4361,-2124,4356,-2069,4363,-2003,4390,-1933,4444,-1867,4531,-1812,4552,-1806,4563,-1798,4567,-1784,4569,-1758,4569,-294,4572,-268,4581,-254,4605,-248,4649,-247,4694,-255,4718,-271,4728,-287,4729,-294,4729,-1758,4736,-1785,4749,-1802,4761,-1810,4767,-1812,4854,-1867,4908,-1933,4935,-2003,4939,-2040,4582,-2040,4542,-2045,4512,-2063,4476,-2099,4452,-2126,4436,-2148,4426,-2165,4423,-2176,4418,-2184,4405,-2191xm4893,-2191l4880,-2184,4875,-2176,4872,-2165,4862,-2148,4846,-2126,4822,-2099,4770,-2064,4713,-2047,4668,-2042,4649,-2042,4582,-2040,4939,-2040,4942,-2069,4937,-2124,4927,-2161,4910,-2187,4893,-2191xe" filled="true" fillcolor="#ffe293" stroked="false">
              <v:path arrowok="t"/>
              <v:fill type="solid"/>
            </v:shape>
            <v:shape style="position:absolute;left:4355;top:-2192;width:587;height:1945" coordorigin="4356,-2191" coordsize="587,1945" path="m4649,-247l4694,-255,4718,-271,4728,-287,4729,-294,4729,-1758,4736,-1785,4749,-1802,4761,-1810,4767,-1812,4854,-1867,4908,-1933,4935,-2003,4942,-2069,4937,-2124,4927,-2161,4910,-2187,4893,-2191,4880,-2184,4875,-2176,4872,-2165,4862,-2148,4822,-2099,4770,-2064,4668,-2042,4649,-2042,4582,-2040,4512,-2063,4452,-2126,4423,-2176,4418,-2184,4405,-2191,4389,-2187,4371,-2161,4361,-2124,4356,-2069,4363,-2003,4390,-1933,4444,-1867,4531,-1812,4552,-1806,4563,-1798,4567,-1784,4569,-1758,4569,-294,4572,-268,4581,-254,4605,-248,4649,-247xe" filled="false" stroked="true" strokeweight=".25pt" strokecolor="#b7705b">
              <v:path arrowok="t"/>
              <v:stroke dashstyle="solid"/>
            </v:shape>
            <v:shape style="position:absolute;left:3781;top:-2366;width:1628;height:1949" coordorigin="3782,-2366" coordsize="1628,1949" path="m4956,-645l4822,-645,4822,-623,4827,-582,4843,-530,4878,-478,4902,-456,4936,-436,4980,-422,5036,-417,5409,-417,5409,-550,5035,-550,5009,-552,4991,-558,4981,-564,4976,-569,4965,-584,4959,-601,4956,-617,4955,-631,4955,-636,4956,-645xm5212,-2232l4901,-2232,4912,-2232,5048,-2232,5063,-2229,5075,-2221,5083,-2209,5086,-2194,5086,-2012,5085,-2000,5081,-1984,5074,-1966,5062,-1951,5060,-1949,4878,-1754,4867,-1740,4848,-1707,4830,-1654,4822,-1580,4822,-1574,4822,-641,4822,-643,4822,-645,4956,-645,4955,-1574,4955,-1580,4958,-1617,4965,-1642,4973,-1658,4976,-1663,5154,-1854,5154,-1854,5190,-1901,5210,-1949,5218,-1988,5220,-2008,5220,-2194,5212,-2232xm5156,-1855l5154,-1854,5154,-1854,5156,-1855xm5157,-1857l5156,-1855,5156,-1856,5157,-1857xm4648,-2085l4647,-2085,4649,-2085,4648,-2085xm4599,-2232l4397,-2232,4417,-2230,4424,-2220,4484,-2151,4543,-2110,4600,-2090,4649,-2085,4699,-2090,4755,-2110,4815,-2151,4873,-2219,4647,-2219,4618,-2223,4599,-2232xm4650,-2219l4648,-2219,4647,-2219,4651,-2219,4650,-2219xm5048,-2366l4914,-2366,4917,-2365,4896,-2365,4856,-2358,4808,-2338,4764,-2295,4737,-2261,4709,-2237,4680,-2223,4651,-2219,4873,-2219,4874,-2220,4881,-2230,4901,-2232,5212,-2232,5206,-2261,5169,-2315,5115,-2352,5048,-2366xm4384,-2366l3782,-2366,3782,-2232,4386,-2232,4397,-2232,4599,-2232,4589,-2237,4561,-2261,4534,-2295,4490,-2338,4443,-2358,4403,-2365,4381,-2365,4384,-2366xe" filled="true" fillcolor="#f15b66" stroked="false">
              <v:path arrowok="t"/>
              <v:fill type="solid"/>
            </v:shape>
            <v:shape style="position:absolute;left:-868;top:11441;width:1628;height:1949" coordorigin="-868,11441" coordsize="1628,1949" path="m4649,-2085l4649,-2085m4764,-2295l4737,-2261,4709,-2237,4680,-2223,4651,-2219,4650,-2219,4648,-2219,4647,-2219,4618,-2223,4589,-2237,4561,-2261,4534,-2295,4490,-2338,4443,-2358,4403,-2365,4381,-2365,4383,-2365,4384,-2366,4386,-2366,3782,-2366,3782,-2232,4386,-2232,4386,-2232,4388,-2232,4389,-2232,4397,-2232,4417,-2230,4424,-2220,4484,-2151,4543,-2110,4600,-2090,4649,-2085,4648,-2085,4648,-2085,4647,-2085,4648,-2085,4648,-2085,4649,-2085,4650,-2085,4650,-2085,4651,-2085,4650,-2085,4650,-2085,4649,-2085,4699,-2090,4755,-2110,4815,-2151,4874,-2220,4881,-2230,4901,-2232,4909,-2232,4910,-2232,4912,-2232,4913,-2232,5048,-2232,5063,-2229,5075,-2221,5083,-2209,5086,-2194,5086,-2012,5085,-2000,5081,-1984,5074,-1966,5062,-1951,5061,-1950,5060,-1949,5059,-1948,4878,-1754,4867,-1740,4848,-1707,4830,-1654,4822,-1580,4822,-1576,4822,-1572,4822,-1568,4822,-639,4822,-641,4822,-643,4822,-645,4822,-623,4827,-582,4843,-530,4878,-478,4902,-456,4936,-436,4980,-422,5036,-417,5409,-417,5409,-550,5035,-550,5009,-552,4991,-558,4981,-564,4976,-569,4965,-584,4959,-601,4956,-617,4955,-631,4955,-632,4955,-634,4955,-635,4955,-636,4956,-638,4956,-639,4956,-1568,4956,-1569,4956,-1570,4956,-1571,4955,-1574,4955,-1577,4955,-1580,4958,-1617,4965,-1642,4973,-1658,4976,-1663,5011,-1701,5073,-1766,5131,-1829,5157,-1857,5156,-1856,5155,-1855,5154,-1854,5190,-1901,5210,-1949,5218,-1988,5220,-2008,5220,-2194,5206,-2261,5169,-2315,5115,-2352,5048,-2366,4913,-2366,4914,-2366,4915,-2365,4917,-2365,4896,-2365,4856,-2358,4808,-2338,4764,-2295xe" filled="false" stroked="true" strokeweight=".25pt" strokecolor="#231f20">
              <v:path arrowok="t"/>
              <v:stroke dashstyle="solid"/>
            </v:shape>
            <v:shape style="position:absolute;left:3781;top:-2301;width:1761;height:1817" coordorigin="3782,-2300" coordsize="1761,1817" path="m5543,-484l5035,-484,4945,-507,4902,-561,4889,-615,4889,-639,4889,-1568,4893,-1631,4920,-1700,5108,-1902,5133,-1936,5147,-1971,5152,-1999,5153,-2010,5153,-2194,5145,-2235,5122,-2268,5089,-2290,5048,-2299,4913,-2299,4876,-2300,4854,-2297,4838,-2284,4819,-2258,4789,-2219,4750,-2185,4704,-2160,4649,-2152,4595,-2160,4548,-2185,4510,-2219,4479,-2258,4452,-2283,4421,-2295,4396,-2299,4386,-2299,3782,-2299e" filled="false" stroked="true" strokeweight="2.25pt" strokecolor="#231f20">
              <v:path arrowok="t"/>
              <v:stroke dashstyle="solid"/>
            </v:shape>
            <v:shape style="position:absolute;left:3738;top:-2366;width:87;height:134" coordorigin="3738,-2366" coordsize="87,134" path="m3782,-2366l3765,-2360,3751,-2346,3742,-2325,3738,-2299,3742,-2273,3751,-2251,3765,-2237,3782,-2232,3798,-2237,3812,-2251,3821,-2273,3825,-2299,3821,-2325,3812,-2346,3798,-2360,3782,-2366xe" filled="true" fillcolor="#f8aba6" stroked="false">
              <v:path arrowok="t"/>
              <v:fill type="solid"/>
            </v:shape>
            <v:shape style="position:absolute;left:3738;top:-2366;width:87;height:134" coordorigin="3738,-2366" coordsize="87,134" path="m3825,-2299l3821,-2273,3812,-2251,3798,-2237,3782,-2232,3765,-2237,3751,-2251,3742,-2273,3738,-2299,3742,-2325,3751,-2346,3765,-2360,3782,-2366,3798,-2360,3812,-2346,3821,-2325,3825,-2299xe" filled="false" stroked="true" strokeweight=".25pt" strokecolor="#231f20">
              <v:path arrowok="t"/>
              <v:stroke dashstyle="solid"/>
            </v:shape>
            <v:shape style="position:absolute;left:3756;top:-2345;width:51;height:92" coordorigin="3756,-2345" coordsize="51,92" path="m3782,-2345l3772,-2341,3764,-2331,3758,-2316,3756,-2299,3758,-2281,3764,-2266,3772,-2256,3782,-2253,3792,-2256,3800,-2266,3805,-2281,3807,-2299,3805,-2316,3800,-2331,3792,-2341,3782,-2345xe" filled="true" fillcolor="#da525d" stroked="false">
              <v:path arrowok="t"/>
              <v:fill type="solid"/>
            </v:shape>
            <v:shape style="position:absolute;left:3756;top:-2345;width:51;height:92" coordorigin="3756,-2345" coordsize="51,92" path="m3807,-2299l3805,-2281,3800,-2266,3792,-2256,3782,-2253,3772,-2256,3764,-2266,3758,-2281,3756,-2299,3758,-2316,3764,-2331,3772,-2341,3782,-2345,3792,-2341,3800,-2331,3805,-2316,3807,-2299xe" filled="false" stroked="true" strokeweight=".25pt" strokecolor="#231f20">
              <v:path arrowok="t"/>
              <v:stroke dashstyle="solid"/>
            </v:shape>
            <v:line style="position:absolute" from="4649,-2143" to="4649,-130" stroked="true" strokeweight="1pt" strokecolor="#231f20">
              <v:stroke dashstyle="solid"/>
            </v:line>
            <v:shape style="position:absolute;left:5480;top:-548;width:199;height:129" type="#_x0000_t75" stroked="false">
              <v:imagedata r:id="rId372" o:title=""/>
            </v:shape>
            <v:shape style="position:absolute;left:4609;top:-149;width:80;height:123" coordorigin="4609,-149" coordsize="80,123" path="m4610,-149l4609,-147,4635,-88,4649,-26,4664,-88,4680,-126,4649,-126,4610,-149xm4688,-148l4649,-126,4680,-126,4689,-147,4688,-148xe" filled="true" fillcolor="#231f20" stroked="false">
              <v:path arrowok="t"/>
              <v:fill type="solid"/>
            </v:shape>
            <v:line style="position:absolute" from="4888,-1140" to="4647,-1284" stroked="true" strokeweight="1.0pt" strokecolor="#231f20">
              <v:stroke dashstyle="solid"/>
            </v:line>
            <v:shape style="position:absolute;left:3533;top:-2369;width:2146;height:2343" type="#_x0000_t202" filled="false" stroked="false">
              <v:textbox inset="0,0,0,0">
                <w:txbxContent>
                  <w:p>
                    <w:pPr>
                      <w:spacing w:line="240" w:lineRule="auto" w:before="10"/>
                      <w:rPr>
                        <w:rFonts w:ascii="Arial"/>
                        <w:sz w:val="20"/>
                      </w:rPr>
                    </w:pPr>
                  </w:p>
                  <w:p>
                    <w:pPr>
                      <w:spacing w:line="235" w:lineRule="auto" w:before="0"/>
                      <w:ind w:left="324" w:right="1370" w:hanging="325"/>
                      <w:jc w:val="left"/>
                      <w:rPr>
                        <w:rFonts w:ascii="Helvetica"/>
                        <w:sz w:val="16"/>
                      </w:rPr>
                    </w:pPr>
                    <w:r>
                      <w:rPr>
                        <w:rFonts w:ascii="Helvetica"/>
                        <w:color w:val="231F20"/>
                        <w:sz w:val="16"/>
                      </w:rPr>
                      <w:t>Substance B</w:t>
                    </w:r>
                  </w:p>
                </w:txbxContent>
              </v:textbox>
              <w10:wrap type="none"/>
            </v:shape>
            <w10:wrap type="none"/>
          </v:group>
        </w:pict>
      </w:r>
      <w:r>
        <w:rPr>
          <w:rFonts w:ascii="Helvetica"/>
          <w:color w:val="231F20"/>
          <w:sz w:val="16"/>
        </w:rPr>
        <w:t>Urine</w:t>
      </w:r>
    </w:p>
    <w:p>
      <w:pPr>
        <w:pStyle w:val="BodyText"/>
        <w:spacing w:before="4"/>
        <w:rPr>
          <w:rFonts w:ascii="Helvetica"/>
          <w:sz w:val="22"/>
        </w:rPr>
      </w:pPr>
    </w:p>
    <w:p>
      <w:pPr>
        <w:spacing w:before="0"/>
        <w:ind w:left="646" w:right="0" w:firstLine="0"/>
        <w:jc w:val="left"/>
        <w:rPr>
          <w:rFonts w:ascii="Helvetica"/>
          <w:sz w:val="16"/>
        </w:rPr>
      </w:pPr>
      <w:r>
        <w:rPr/>
        <w:pict>
          <v:group style="position:absolute;margin-left:176.816605pt;margin-top:25.762859pt;width:93.8pt;height:120pt;mso-position-horizontal-relative:page;mso-position-vertical-relative:paragraph;z-index:251890688" coordorigin="3536,515" coordsize="1876,2400">
            <v:shape style="position:absolute;left:4355;top:692;width:587;height:1945" coordorigin="4356,692" coordsize="587,1945" path="m4405,692l4389,697,4371,722,4361,759,4356,815,4363,881,4390,950,4444,1016,4531,1071,4552,1077,4563,1085,4567,1099,4569,1125,4569,2589,4572,2616,4581,2629,4605,2635,4649,2636,4694,2628,4718,2612,4728,2596,4729,2589,4729,1125,4736,1098,4749,1081,4761,1074,4767,1071,4854,1016,4908,950,4935,881,4939,843,4582,843,4542,838,4512,820,4476,784,4452,757,4436,735,4426,718,4423,708,4418,699,4405,692xm4893,692l4880,699,4875,708,4872,718,4862,735,4846,757,4822,784,4770,819,4713,836,4668,841,4649,841,4582,843,4939,843,4942,815,4937,759,4927,722,4910,697,4893,692xe" filled="true" fillcolor="#ffe293" stroked="false">
              <v:path arrowok="t"/>
              <v:fill type="solid"/>
            </v:shape>
            <v:shape style="position:absolute;left:4355;top:692;width:587;height:1945" coordorigin="4356,692" coordsize="587,1945" path="m4649,2636l4694,2628,4718,2612,4728,2596,4729,2589,4729,1125,4736,1098,4749,1081,4761,1074,4767,1071,4854,1016,4908,950,4935,881,4942,815,4937,759,4927,722,4910,697,4893,692,4880,699,4875,708,4872,718,4862,735,4822,784,4770,819,4668,841,4649,841,4582,843,4512,820,4452,757,4423,708,4418,699,4405,692,4389,697,4371,722,4361,759,4356,815,4363,881,4390,950,4444,1016,4531,1071,4552,1077,4563,1085,4567,1099,4569,1125,4569,2589,4572,2616,4581,2629,4605,2635,4649,2636xe" filled="false" stroked="true" strokeweight=".25pt" strokecolor="#b7705b">
              <v:path arrowok="t"/>
              <v:stroke dashstyle="solid"/>
            </v:shape>
            <v:shape style="position:absolute;left:3781;top:517;width:1628;height:1949" coordorigin="3782,518" coordsize="1628,1949" path="m4956,2239l4822,2239,4822,2260,4827,2301,4843,2353,4878,2405,4902,2427,4936,2447,4980,2461,5036,2467,5409,2467,5409,2333,5035,2333,5009,2331,4991,2326,4981,2320,4976,2315,4965,2300,4959,2282,4956,2266,4955,2252,4955,2247,4956,2239xm5212,651l4901,651,4909,651,4910,651,4912,651,5048,651,5063,654,5075,662,5083,675,5086,689,5086,871,5085,883,5081,900,5074,917,5062,932,5061,933,5059,935,4878,1130,4867,1143,4848,1176,4830,1230,4822,1303,4822,1309,4822,2242,4822,2240,4822,2239,4956,2239,4955,1309,4955,1303,4958,1266,4965,1241,4973,1226,4976,1220,5154,1029,5154,1029,5190,982,5210,934,5218,896,5220,876,5220,689,5212,651xm5157,1026l5156,1027,5154,1029,5154,1029,5157,1026xm4599,651l4397,651,4417,654,4424,663,4484,732,4543,774,4600,793,4649,798,4699,793,4755,774,4815,732,4873,664,4647,664,4618,660,4599,651xm4650,664l4648,664,4647,664,4651,664,4650,664xm5048,518l4914,518,4917,518,4896,518,4856,525,4808,546,4764,588,4737,622,4709,646,4680,660,4651,664,4873,664,4874,663,4881,654,4901,651,5212,651,5206,623,5169,568,5115,531,5048,518xm4384,518l3782,518,3782,651,4386,651,4388,651,4389,651,4397,651,4599,651,4589,646,4561,622,4534,588,4490,546,4443,525,4403,518,4381,518,4383,518,4384,518xe" filled="true" fillcolor="#f15b66" stroked="false">
              <v:path arrowok="t"/>
              <v:fill type="solid"/>
            </v:shape>
            <v:shape style="position:absolute;left:-868;top:10999;width:1628;height:1949" coordorigin="-868,11000" coordsize="1628,1949" path="m4649,798l4649,798m4764,588l4737,622,4709,646,4680,660,4651,664,4650,664,4648,664,4647,664,4618,660,4589,646,4561,622,4534,588,4490,546,4443,525,4403,518,4381,518,4383,518,4384,518,4386,518,3782,518,3782,651,4386,651,4386,651,4388,651,4389,651,4397,651,4417,654,4424,663,4484,732,4543,774,4600,793,4649,798,4648,798,4648,798,4647,798,4648,798,4648,798,4649,798,4650,798,4650,798,4651,798,4650,798,4650,798,4649,798,4699,793,4755,774,4815,732,4874,663,4881,654,4901,651,4909,651,4910,651,4912,651,4913,651,5048,651,5063,654,5075,662,5083,675,5086,689,5086,871,5085,883,5081,900,5074,917,5062,932,5061,933,5060,934,5059,935,4878,1130,4867,1143,4848,1176,4830,1230,4822,1303,4822,1307,4822,1311,4822,1315,4822,2244,4822,2242,4822,2240,4822,2239,4822,2260,4827,2301,4843,2353,4878,2405,4902,2427,4936,2447,4980,2461,5036,2467,5409,2467,5409,2333,5035,2333,5009,2331,4991,2326,4981,2320,4976,2315,4965,2300,4959,2282,4956,2266,4955,2252,4955,2251,4955,2250,4955,2249,4955,2247,4956,2245,4956,2244,4956,1315,4956,1314,4956,1313,4956,1312,4955,1309,4955,1306,4955,1303,4958,1266,4965,1241,4973,1226,4976,1220,5011,1183,5073,1117,5131,1054,5157,1026,5156,1027,5155,1028,5154,1029,5190,982,5210,934,5218,896,5220,876,5220,689,5206,623,5169,568,5115,531,5048,518,4913,518,4914,518,4915,518,4917,518,4896,518,4856,525,4808,546,4764,588xe" filled="false" stroked="true" strokeweight=".25pt" strokecolor="#231f20">
              <v:path arrowok="t"/>
              <v:stroke dashstyle="solid"/>
            </v:shape>
            <v:line style="position:absolute" from="4649,740" to="4649,2773" stroked="true" strokeweight="1pt" strokecolor="#231f20">
              <v:stroke dashstyle="solid"/>
            </v:line>
            <v:shape style="position:absolute;left:4585;top:2716;width:129;height:199" type="#_x0000_t75" stroked="false">
              <v:imagedata r:id="rId373" o:title=""/>
            </v:shape>
            <v:shape style="position:absolute;left:3781;top:582;width:1372;height:2206" coordorigin="3782,583" coordsize="1372,2206" path="m3782,585l4386,585,4422,583,4444,587,4460,600,4479,626,4510,664,4548,699,4595,723,4649,731,4704,723,4750,699,4789,664,4819,626,4847,600,4877,588,4902,585,4913,585,5048,585,5089,593,5122,615,5145,649,5153,689,5153,874,5151,913,5146,937,5133,956,5108,981,4927,1175,4903,1202,4891,1225,4887,1258,4889,1315,4889,1610,4649,1736,4649,2788e" filled="false" stroked="true" strokeweight="2.25pt" strokecolor="#231f20">
              <v:path arrowok="t"/>
              <v:stroke dashstyle="solid"/>
            </v:shape>
            <v:shape style="position:absolute;left:3738;top:517;width:87;height:134" coordorigin="3738,518" coordsize="87,134" path="m3782,518l3765,523,3751,537,3742,559,3738,585,3742,611,3751,632,3765,646,3782,652,3798,646,3812,632,3821,611,3825,585,3821,559,3812,537,3798,523,3782,518xe" filled="true" fillcolor="#f8aba6" stroked="false">
              <v:path arrowok="t"/>
              <v:fill type="solid"/>
            </v:shape>
            <v:shape style="position:absolute;left:3738;top:517;width:87;height:134" coordorigin="3738,518" coordsize="87,134" path="m3825,585l3821,611,3812,632,3798,646,3782,652,3765,646,3751,632,3742,611,3738,585,3742,559,3751,537,3765,523,3782,518,3798,523,3812,537,3821,559,3825,585xe" filled="false" stroked="true" strokeweight=".25pt" strokecolor="#231f20">
              <v:path arrowok="t"/>
              <v:stroke dashstyle="solid"/>
            </v:shape>
            <v:shape style="position:absolute;left:3756;top:538;width:51;height:92" coordorigin="3756,539" coordsize="51,92" path="m3782,539l3772,542,3764,552,3758,567,3756,585,3758,603,3764,617,3772,627,3782,631,3792,627,3800,617,3805,603,3807,585,3805,567,3800,552,3792,542,3782,539xe" filled="true" fillcolor="#da525d" stroked="false">
              <v:path arrowok="t"/>
              <v:fill type="solid"/>
            </v:shape>
            <v:shape style="position:absolute;left:3756;top:538;width:51;height:92" coordorigin="3756,539" coordsize="51,92" path="m3807,585l3805,603,3800,617,3792,627,3782,631,3772,627,3764,617,3758,603,3756,585,3758,567,3764,552,3772,542,3782,539,3792,542,3800,552,3805,567,3807,585xe" filled="false" stroked="true" strokeweight=".25pt" strokecolor="#231f20">
              <v:path arrowok="t"/>
              <v:stroke dashstyle="solid"/>
            </v:shape>
            <v:shape style="position:absolute;left:3536;top:515;width:1876;height:2400" type="#_x0000_t202" filled="false" stroked="false">
              <v:textbox inset="0,0,0,0">
                <w:txbxContent>
                  <w:p>
                    <w:pPr>
                      <w:spacing w:line="240" w:lineRule="auto" w:before="11"/>
                      <w:rPr>
                        <w:rFonts w:ascii="Arial"/>
                        <w:sz w:val="20"/>
                      </w:rPr>
                    </w:pPr>
                  </w:p>
                  <w:p>
                    <w:pPr>
                      <w:spacing w:line="235" w:lineRule="auto" w:before="0"/>
                      <w:ind w:left="320" w:right="1100" w:hanging="321"/>
                      <w:jc w:val="left"/>
                      <w:rPr>
                        <w:rFonts w:ascii="Helvetica"/>
                        <w:sz w:val="16"/>
                      </w:rPr>
                    </w:pPr>
                    <w:r>
                      <w:rPr>
                        <w:rFonts w:ascii="Helvetica"/>
                        <w:color w:val="231F20"/>
                        <w:sz w:val="16"/>
                      </w:rPr>
                      <w:t>Substance D</w:t>
                    </w:r>
                  </w:p>
                </w:txbxContent>
              </v:textbox>
              <w10:wrap type="none"/>
            </v:shape>
            <w10:wrap type="none"/>
          </v:group>
        </w:pict>
      </w:r>
      <w:r>
        <w:rPr>
          <w:rFonts w:ascii="Helvetica"/>
          <w:color w:val="231F20"/>
          <w:position w:val="1"/>
          <w:sz w:val="20"/>
        </w:rPr>
        <w:t>D </w:t>
      </w:r>
      <w:r>
        <w:rPr>
          <w:rFonts w:ascii="Helvetica"/>
          <w:color w:val="231F20"/>
          <w:sz w:val="16"/>
        </w:rPr>
        <w:t>Filtration, secretion</w:t>
      </w: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spacing w:before="163"/>
        <w:ind w:left="1697" w:right="0" w:firstLine="0"/>
        <w:jc w:val="left"/>
        <w:rPr>
          <w:rFonts w:ascii="Helvetica"/>
          <w:sz w:val="16"/>
        </w:rPr>
      </w:pPr>
      <w:r>
        <w:rPr>
          <w:rFonts w:ascii="Helvetica"/>
          <w:color w:val="231F20"/>
          <w:sz w:val="16"/>
        </w:rPr>
        <w:t>Urine</w:t>
      </w:r>
    </w:p>
    <w:p>
      <w:pPr>
        <w:pStyle w:val="BodyText"/>
        <w:spacing w:line="249" w:lineRule="auto" w:before="99"/>
        <w:ind w:left="1098" w:right="1437"/>
        <w:jc w:val="both"/>
      </w:pPr>
      <w:r>
        <w:rPr/>
        <w:br w:type="column"/>
      </w:r>
      <w:r>
        <w:rPr>
          <w:color w:val="231F20"/>
          <w:w w:val="105"/>
        </w:rPr>
        <w:t>as amino acids and glucose, are completely reabsorbed from the tubules and do not appear in the urine even though large amounts are filtered by the glomerular capillaries.</w:t>
      </w:r>
    </w:p>
    <w:p>
      <w:pPr>
        <w:pStyle w:val="BodyText"/>
        <w:spacing w:line="249" w:lineRule="auto" w:before="4"/>
        <w:ind w:left="1098" w:right="1437" w:firstLine="240"/>
        <w:jc w:val="both"/>
      </w:pPr>
      <w:r>
        <w:rPr>
          <w:color w:val="231F20"/>
        </w:rPr>
        <w:t>Each of the processes—glomerular filtration, tubular reabsorption, and tubular secretion—is regulated accord- ing to the needs of the body. For example, when there is excess sodium in the body, the rate at which sodium is filtered usually increases and a smaller fraction of the filtered sodium is reabsorbed, causing increased urinary excretion of sodium.</w:t>
      </w:r>
    </w:p>
    <w:p>
      <w:pPr>
        <w:pStyle w:val="BodyText"/>
        <w:spacing w:line="249" w:lineRule="auto" w:before="6"/>
        <w:ind w:left="1098" w:right="1437" w:firstLine="240"/>
        <w:jc w:val="both"/>
      </w:pPr>
      <w:r>
        <w:rPr>
          <w:color w:val="231F20"/>
          <w:spacing w:val="-3"/>
        </w:rPr>
        <w:t>For </w:t>
      </w:r>
      <w:r>
        <w:rPr>
          <w:color w:val="231F20"/>
        </w:rPr>
        <w:t>most substances, the rates of filtration and reabsorption are extremely large relative to the rates of excretion. Therefore, even  slight  changes  of  filtration  or reabsorption can lead to relatively large changes</w:t>
      </w:r>
      <w:r>
        <w:rPr>
          <w:color w:val="231F20"/>
          <w:spacing w:val="28"/>
        </w:rPr>
        <w:t> </w:t>
      </w:r>
      <w:r>
        <w:rPr>
          <w:color w:val="231F20"/>
        </w:rPr>
        <w:t>in renal excretion. </w:t>
      </w:r>
      <w:r>
        <w:rPr>
          <w:color w:val="231F20"/>
          <w:spacing w:val="-3"/>
        </w:rPr>
        <w:t>For </w:t>
      </w:r>
      <w:r>
        <w:rPr>
          <w:color w:val="231F20"/>
        </w:rPr>
        <w:t>example, an increase in glomerular filtration rate (GFR) of only 10  percent  (from  180  </w:t>
      </w:r>
      <w:r>
        <w:rPr>
          <w:color w:val="231F20"/>
          <w:spacing w:val="-7"/>
        </w:rPr>
        <w:t>to </w:t>
      </w:r>
      <w:r>
        <w:rPr>
          <w:color w:val="231F20"/>
        </w:rPr>
        <w:t>198 L/day) would raise urine volume 13-fold (from 1.5</w:t>
      </w:r>
      <w:r>
        <w:rPr>
          <w:color w:val="231F20"/>
          <w:spacing w:val="1"/>
        </w:rPr>
        <w:t> </w:t>
      </w:r>
      <w:r>
        <w:rPr>
          <w:color w:val="231F20"/>
        </w:rPr>
        <w:t>to</w:t>
      </w:r>
    </w:p>
    <w:p>
      <w:pPr>
        <w:pStyle w:val="BodyText"/>
        <w:spacing w:line="249" w:lineRule="auto" w:before="5"/>
        <w:ind w:left="1098" w:right="1439"/>
        <w:jc w:val="both"/>
      </w:pPr>
      <w:r>
        <w:rPr>
          <w:color w:val="231F20"/>
          <w:w w:val="105"/>
        </w:rPr>
        <w:t>19.5</w:t>
      </w:r>
      <w:r>
        <w:rPr>
          <w:color w:val="231F20"/>
          <w:spacing w:val="-10"/>
          <w:w w:val="105"/>
        </w:rPr>
        <w:t> </w:t>
      </w:r>
      <w:r>
        <w:rPr>
          <w:color w:val="231F20"/>
          <w:w w:val="105"/>
        </w:rPr>
        <w:t>L/day)</w:t>
      </w:r>
      <w:r>
        <w:rPr>
          <w:color w:val="231F20"/>
          <w:spacing w:val="-16"/>
          <w:w w:val="105"/>
        </w:rPr>
        <w:t> </w:t>
      </w:r>
      <w:r>
        <w:rPr>
          <w:color w:val="231F20"/>
          <w:w w:val="105"/>
        </w:rPr>
        <w:t>if</w:t>
      </w:r>
      <w:r>
        <w:rPr>
          <w:color w:val="231F20"/>
          <w:spacing w:val="-15"/>
          <w:w w:val="105"/>
        </w:rPr>
        <w:t> </w:t>
      </w:r>
      <w:r>
        <w:rPr>
          <w:color w:val="231F20"/>
          <w:w w:val="105"/>
        </w:rPr>
        <w:t>tubular</w:t>
      </w:r>
      <w:r>
        <w:rPr>
          <w:color w:val="231F20"/>
          <w:spacing w:val="-16"/>
          <w:w w:val="105"/>
        </w:rPr>
        <w:t> </w:t>
      </w:r>
      <w:r>
        <w:rPr>
          <w:color w:val="231F20"/>
          <w:w w:val="105"/>
        </w:rPr>
        <w:t>reabsorption</w:t>
      </w:r>
      <w:r>
        <w:rPr>
          <w:color w:val="231F20"/>
          <w:spacing w:val="-16"/>
          <w:w w:val="105"/>
        </w:rPr>
        <w:t> </w:t>
      </w:r>
      <w:r>
        <w:rPr>
          <w:color w:val="231F20"/>
          <w:w w:val="105"/>
        </w:rPr>
        <w:t>remained</w:t>
      </w:r>
      <w:r>
        <w:rPr>
          <w:color w:val="231F20"/>
          <w:spacing w:val="-15"/>
          <w:w w:val="105"/>
        </w:rPr>
        <w:t> </w:t>
      </w:r>
      <w:r>
        <w:rPr>
          <w:color w:val="231F20"/>
          <w:w w:val="105"/>
        </w:rPr>
        <w:t>constant.</w:t>
      </w:r>
      <w:r>
        <w:rPr>
          <w:color w:val="231F20"/>
          <w:spacing w:val="-16"/>
          <w:w w:val="105"/>
        </w:rPr>
        <w:t> </w:t>
      </w:r>
      <w:r>
        <w:rPr>
          <w:color w:val="231F20"/>
          <w:w w:val="105"/>
        </w:rPr>
        <w:t>In reality,</w:t>
      </w:r>
      <w:r>
        <w:rPr>
          <w:color w:val="231F20"/>
          <w:spacing w:val="-14"/>
          <w:w w:val="105"/>
        </w:rPr>
        <w:t> </w:t>
      </w:r>
      <w:r>
        <w:rPr>
          <w:color w:val="231F20"/>
          <w:w w:val="105"/>
        </w:rPr>
        <w:t>changes</w:t>
      </w:r>
      <w:r>
        <w:rPr>
          <w:color w:val="231F20"/>
          <w:spacing w:val="-13"/>
          <w:w w:val="105"/>
        </w:rPr>
        <w:t> </w:t>
      </w:r>
      <w:r>
        <w:rPr>
          <w:color w:val="231F20"/>
          <w:w w:val="105"/>
        </w:rPr>
        <w:t>in</w:t>
      </w:r>
      <w:r>
        <w:rPr>
          <w:color w:val="231F20"/>
          <w:spacing w:val="-14"/>
          <w:w w:val="105"/>
        </w:rPr>
        <w:t> </w:t>
      </w:r>
      <w:r>
        <w:rPr>
          <w:color w:val="231F20"/>
          <w:w w:val="105"/>
        </w:rPr>
        <w:t>glomerular</w:t>
      </w:r>
      <w:r>
        <w:rPr>
          <w:color w:val="231F20"/>
          <w:spacing w:val="-13"/>
          <w:w w:val="105"/>
        </w:rPr>
        <w:t> </w:t>
      </w:r>
      <w:r>
        <w:rPr>
          <w:color w:val="231F20"/>
          <w:w w:val="105"/>
        </w:rPr>
        <w:t>filtration</w:t>
      </w:r>
      <w:r>
        <w:rPr>
          <w:color w:val="231F20"/>
          <w:spacing w:val="-14"/>
          <w:w w:val="105"/>
        </w:rPr>
        <w:t> </w:t>
      </w:r>
      <w:r>
        <w:rPr>
          <w:color w:val="231F20"/>
          <w:w w:val="105"/>
        </w:rPr>
        <w:t>and</w:t>
      </w:r>
      <w:r>
        <w:rPr>
          <w:color w:val="231F20"/>
          <w:spacing w:val="-13"/>
          <w:w w:val="105"/>
        </w:rPr>
        <w:t> </w:t>
      </w:r>
      <w:r>
        <w:rPr>
          <w:color w:val="231F20"/>
          <w:w w:val="105"/>
        </w:rPr>
        <w:t>tubular</w:t>
      </w:r>
      <w:r>
        <w:rPr>
          <w:color w:val="231F20"/>
          <w:spacing w:val="-14"/>
          <w:w w:val="105"/>
        </w:rPr>
        <w:t> </w:t>
      </w:r>
      <w:r>
        <w:rPr>
          <w:color w:val="231F20"/>
          <w:spacing w:val="-4"/>
          <w:w w:val="105"/>
        </w:rPr>
        <w:t>reab- </w:t>
      </w:r>
      <w:r>
        <w:rPr>
          <w:color w:val="231F20"/>
          <w:w w:val="105"/>
        </w:rPr>
        <w:t>sorption usually act in a coordinated manner to produce the necessary changes in renal</w:t>
      </w:r>
      <w:r>
        <w:rPr>
          <w:color w:val="231F20"/>
          <w:spacing w:val="3"/>
          <w:w w:val="105"/>
        </w:rPr>
        <w:t> </w:t>
      </w:r>
      <w:r>
        <w:rPr>
          <w:color w:val="231F20"/>
          <w:w w:val="105"/>
        </w:rPr>
        <w:t>excretion.</w:t>
      </w:r>
    </w:p>
    <w:p>
      <w:pPr>
        <w:pStyle w:val="BodyText"/>
        <w:spacing w:before="10"/>
        <w:rPr>
          <w:sz w:val="21"/>
        </w:rPr>
      </w:pPr>
    </w:p>
    <w:p>
      <w:pPr>
        <w:spacing w:line="261" w:lineRule="auto" w:before="0"/>
        <w:ind w:left="1098" w:right="1483" w:firstLine="0"/>
        <w:jc w:val="left"/>
        <w:rPr>
          <w:rFonts w:ascii="Trebuchet MS"/>
          <w:b/>
          <w:sz w:val="19"/>
        </w:rPr>
      </w:pPr>
      <w:r>
        <w:rPr>
          <w:rFonts w:ascii="Trebuchet MS"/>
          <w:b/>
          <w:color w:val="231F20"/>
          <w:sz w:val="19"/>
        </w:rPr>
        <w:t>Why Are Large Amounts of Solutes Filtered and Then Reabsorbed by the Kidneys?</w:t>
      </w:r>
    </w:p>
    <w:p>
      <w:pPr>
        <w:pStyle w:val="BodyText"/>
        <w:spacing w:line="249" w:lineRule="auto"/>
        <w:ind w:left="1098" w:right="1437"/>
        <w:jc w:val="both"/>
      </w:pPr>
      <w:r>
        <w:rPr>
          <w:color w:val="231F20"/>
          <w:w w:val="105"/>
        </w:rPr>
        <w:t>One might question the wisdom of filtering such large amounts</w:t>
      </w:r>
      <w:r>
        <w:rPr>
          <w:color w:val="231F20"/>
          <w:spacing w:val="-7"/>
          <w:w w:val="105"/>
        </w:rPr>
        <w:t> </w:t>
      </w:r>
      <w:r>
        <w:rPr>
          <w:color w:val="231F20"/>
          <w:w w:val="105"/>
        </w:rPr>
        <w:t>of</w:t>
      </w:r>
      <w:r>
        <w:rPr>
          <w:color w:val="231F20"/>
          <w:spacing w:val="-6"/>
          <w:w w:val="105"/>
        </w:rPr>
        <w:t> </w:t>
      </w:r>
      <w:r>
        <w:rPr>
          <w:color w:val="231F20"/>
          <w:w w:val="105"/>
        </w:rPr>
        <w:t>water</w:t>
      </w:r>
      <w:r>
        <w:rPr>
          <w:color w:val="231F20"/>
          <w:spacing w:val="-6"/>
          <w:w w:val="105"/>
        </w:rPr>
        <w:t> </w:t>
      </w:r>
      <w:r>
        <w:rPr>
          <w:color w:val="231F20"/>
          <w:w w:val="105"/>
        </w:rPr>
        <w:t>and</w:t>
      </w:r>
      <w:r>
        <w:rPr>
          <w:color w:val="231F20"/>
          <w:spacing w:val="-6"/>
          <w:w w:val="105"/>
        </w:rPr>
        <w:t> </w:t>
      </w:r>
      <w:r>
        <w:rPr>
          <w:color w:val="231F20"/>
          <w:w w:val="105"/>
        </w:rPr>
        <w:t>solutes</w:t>
      </w:r>
      <w:r>
        <w:rPr>
          <w:color w:val="231F20"/>
          <w:spacing w:val="-6"/>
          <w:w w:val="105"/>
        </w:rPr>
        <w:t> </w:t>
      </w:r>
      <w:r>
        <w:rPr>
          <w:color w:val="231F20"/>
          <w:w w:val="105"/>
        </w:rPr>
        <w:t>and</w:t>
      </w:r>
      <w:r>
        <w:rPr>
          <w:color w:val="231F20"/>
          <w:spacing w:val="-7"/>
          <w:w w:val="105"/>
        </w:rPr>
        <w:t> </w:t>
      </w:r>
      <w:r>
        <w:rPr>
          <w:color w:val="231F20"/>
          <w:w w:val="105"/>
        </w:rPr>
        <w:t>then</w:t>
      </w:r>
      <w:r>
        <w:rPr>
          <w:color w:val="231F20"/>
          <w:spacing w:val="-6"/>
          <w:w w:val="105"/>
        </w:rPr>
        <w:t> </w:t>
      </w:r>
      <w:r>
        <w:rPr>
          <w:color w:val="231F20"/>
          <w:w w:val="105"/>
        </w:rPr>
        <w:t>reabsorbing</w:t>
      </w:r>
      <w:r>
        <w:rPr>
          <w:color w:val="231F20"/>
          <w:spacing w:val="-6"/>
          <w:w w:val="105"/>
        </w:rPr>
        <w:t> </w:t>
      </w:r>
      <w:r>
        <w:rPr>
          <w:color w:val="231F20"/>
          <w:w w:val="105"/>
        </w:rPr>
        <w:t>most</w:t>
      </w:r>
    </w:p>
    <w:p>
      <w:pPr>
        <w:spacing w:after="0" w:line="249" w:lineRule="auto"/>
        <w:jc w:val="both"/>
        <w:sectPr>
          <w:type w:val="continuous"/>
          <w:pgSz w:w="12240" w:h="15660"/>
          <w:pgMar w:top="0" w:bottom="760" w:left="0" w:right="0"/>
          <w:cols w:num="3" w:equalWidth="0">
            <w:col w:w="2721" w:space="40"/>
            <w:col w:w="2221" w:space="39"/>
            <w:col w:w="7219"/>
          </w:cols>
        </w:sectPr>
      </w:pPr>
    </w:p>
    <w:p>
      <w:pPr>
        <w:spacing w:line="256" w:lineRule="auto" w:before="51"/>
        <w:ind w:left="1080" w:right="0" w:firstLine="0"/>
        <w:jc w:val="both"/>
        <w:rPr>
          <w:rFonts w:ascii="Arial"/>
          <w:sz w:val="16"/>
        </w:rPr>
      </w:pPr>
      <w:bookmarkStart w:name="_bookmark21" w:id="22"/>
      <w:bookmarkEnd w:id="22"/>
      <w:r>
        <w:rPr/>
      </w:r>
      <w:r>
        <w:rPr>
          <w:rFonts w:ascii="Trebuchet MS"/>
          <w:b/>
          <w:color w:val="231F20"/>
          <w:sz w:val="16"/>
        </w:rPr>
        <w:t>Figure 26-10. </w:t>
      </w:r>
      <w:r>
        <w:rPr>
          <w:rFonts w:ascii="Arial"/>
          <w:color w:val="231F20"/>
          <w:sz w:val="16"/>
        </w:rPr>
        <w:t>Renal handling of four  hypothetical  substances. </w:t>
      </w:r>
      <w:r>
        <w:rPr>
          <w:rFonts w:ascii="Lucida Sans"/>
          <w:i/>
          <w:color w:val="231F20"/>
          <w:sz w:val="16"/>
        </w:rPr>
        <w:t>A, </w:t>
      </w:r>
      <w:r>
        <w:rPr>
          <w:rFonts w:ascii="Arial"/>
          <w:color w:val="231F20"/>
          <w:sz w:val="16"/>
        </w:rPr>
        <w:t>The substance is freely filtered but not reabsorbed. </w:t>
      </w:r>
      <w:r>
        <w:rPr>
          <w:rFonts w:ascii="Lucida Sans"/>
          <w:i/>
          <w:color w:val="231F20"/>
          <w:sz w:val="16"/>
        </w:rPr>
        <w:t>B, </w:t>
      </w:r>
      <w:r>
        <w:rPr>
          <w:rFonts w:ascii="Arial"/>
          <w:color w:val="231F20"/>
          <w:sz w:val="16"/>
        </w:rPr>
        <w:t>The </w:t>
      </w:r>
      <w:r>
        <w:rPr>
          <w:rFonts w:ascii="Arial"/>
          <w:color w:val="231F20"/>
          <w:spacing w:val="-4"/>
          <w:sz w:val="16"/>
        </w:rPr>
        <w:t>sub- </w:t>
      </w:r>
      <w:r>
        <w:rPr>
          <w:rFonts w:ascii="Arial"/>
          <w:color w:val="231F20"/>
          <w:sz w:val="16"/>
        </w:rPr>
        <w:t>stance is freely filtered, but part of the filtered load is </w:t>
      </w:r>
      <w:r>
        <w:rPr>
          <w:rFonts w:ascii="Arial"/>
          <w:color w:val="231F20"/>
          <w:spacing w:val="-3"/>
          <w:sz w:val="16"/>
        </w:rPr>
        <w:t>reabsorbed </w:t>
      </w:r>
      <w:r>
        <w:rPr>
          <w:rFonts w:ascii="Arial"/>
          <w:color w:val="231F20"/>
          <w:sz w:val="16"/>
        </w:rPr>
        <w:t>back in the blood. </w:t>
      </w:r>
      <w:r>
        <w:rPr>
          <w:rFonts w:ascii="Lucida Sans"/>
          <w:i/>
          <w:color w:val="231F20"/>
          <w:sz w:val="16"/>
        </w:rPr>
        <w:t>C, </w:t>
      </w:r>
      <w:r>
        <w:rPr>
          <w:rFonts w:ascii="Arial"/>
          <w:color w:val="231F20"/>
          <w:sz w:val="16"/>
        </w:rPr>
        <w:t>The substance is freely filtered but is not excreted</w:t>
      </w:r>
      <w:r>
        <w:rPr>
          <w:rFonts w:ascii="Arial"/>
          <w:color w:val="231F20"/>
          <w:spacing w:val="-19"/>
          <w:sz w:val="16"/>
        </w:rPr>
        <w:t> </w:t>
      </w:r>
      <w:r>
        <w:rPr>
          <w:rFonts w:ascii="Arial"/>
          <w:color w:val="231F20"/>
          <w:sz w:val="16"/>
        </w:rPr>
        <w:t>in</w:t>
      </w:r>
      <w:r>
        <w:rPr>
          <w:rFonts w:ascii="Arial"/>
          <w:color w:val="231F20"/>
          <w:spacing w:val="-18"/>
          <w:sz w:val="16"/>
        </w:rPr>
        <w:t> </w:t>
      </w:r>
      <w:r>
        <w:rPr>
          <w:rFonts w:ascii="Arial"/>
          <w:color w:val="231F20"/>
          <w:sz w:val="16"/>
        </w:rPr>
        <w:t>the</w:t>
      </w:r>
      <w:r>
        <w:rPr>
          <w:rFonts w:ascii="Arial"/>
          <w:color w:val="231F20"/>
          <w:spacing w:val="-18"/>
          <w:sz w:val="16"/>
        </w:rPr>
        <w:t> </w:t>
      </w:r>
      <w:r>
        <w:rPr>
          <w:rFonts w:ascii="Arial"/>
          <w:color w:val="231F20"/>
          <w:sz w:val="16"/>
        </w:rPr>
        <w:t>urine</w:t>
      </w:r>
      <w:r>
        <w:rPr>
          <w:rFonts w:ascii="Arial"/>
          <w:color w:val="231F20"/>
          <w:spacing w:val="-19"/>
          <w:sz w:val="16"/>
        </w:rPr>
        <w:t> </w:t>
      </w:r>
      <w:r>
        <w:rPr>
          <w:rFonts w:ascii="Arial"/>
          <w:color w:val="231F20"/>
          <w:sz w:val="16"/>
        </w:rPr>
        <w:t>because</w:t>
      </w:r>
      <w:r>
        <w:rPr>
          <w:rFonts w:ascii="Arial"/>
          <w:color w:val="231F20"/>
          <w:spacing w:val="-18"/>
          <w:sz w:val="16"/>
        </w:rPr>
        <w:t> </w:t>
      </w:r>
      <w:r>
        <w:rPr>
          <w:rFonts w:ascii="Arial"/>
          <w:color w:val="231F20"/>
          <w:sz w:val="16"/>
        </w:rPr>
        <w:t>all</w:t>
      </w:r>
      <w:r>
        <w:rPr>
          <w:rFonts w:ascii="Arial"/>
          <w:color w:val="231F20"/>
          <w:spacing w:val="-18"/>
          <w:sz w:val="16"/>
        </w:rPr>
        <w:t> </w:t>
      </w:r>
      <w:r>
        <w:rPr>
          <w:rFonts w:ascii="Arial"/>
          <w:color w:val="231F20"/>
          <w:sz w:val="16"/>
        </w:rPr>
        <w:t>the</w:t>
      </w:r>
      <w:r>
        <w:rPr>
          <w:rFonts w:ascii="Arial"/>
          <w:color w:val="231F20"/>
          <w:spacing w:val="-19"/>
          <w:sz w:val="16"/>
        </w:rPr>
        <w:t> </w:t>
      </w:r>
      <w:r>
        <w:rPr>
          <w:rFonts w:ascii="Arial"/>
          <w:color w:val="231F20"/>
          <w:sz w:val="16"/>
        </w:rPr>
        <w:t>filtered</w:t>
      </w:r>
      <w:r>
        <w:rPr>
          <w:rFonts w:ascii="Arial"/>
          <w:color w:val="231F20"/>
          <w:spacing w:val="-18"/>
          <w:sz w:val="16"/>
        </w:rPr>
        <w:t> </w:t>
      </w:r>
      <w:r>
        <w:rPr>
          <w:rFonts w:ascii="Arial"/>
          <w:color w:val="231F20"/>
          <w:sz w:val="16"/>
        </w:rPr>
        <w:t>substance</w:t>
      </w:r>
      <w:r>
        <w:rPr>
          <w:rFonts w:ascii="Arial"/>
          <w:color w:val="231F20"/>
          <w:spacing w:val="-18"/>
          <w:sz w:val="16"/>
        </w:rPr>
        <w:t> </w:t>
      </w:r>
      <w:r>
        <w:rPr>
          <w:rFonts w:ascii="Arial"/>
          <w:color w:val="231F20"/>
          <w:sz w:val="16"/>
        </w:rPr>
        <w:t>is</w:t>
      </w:r>
      <w:r>
        <w:rPr>
          <w:rFonts w:ascii="Arial"/>
          <w:color w:val="231F20"/>
          <w:spacing w:val="-19"/>
          <w:sz w:val="16"/>
        </w:rPr>
        <w:t> </w:t>
      </w:r>
      <w:r>
        <w:rPr>
          <w:rFonts w:ascii="Arial"/>
          <w:color w:val="231F20"/>
          <w:spacing w:val="-3"/>
          <w:sz w:val="16"/>
        </w:rPr>
        <w:t>reabsorbed </w:t>
      </w:r>
      <w:r>
        <w:rPr>
          <w:rFonts w:ascii="Arial"/>
          <w:color w:val="231F20"/>
          <w:sz w:val="16"/>
        </w:rPr>
        <w:t>from the tubules into the blood. </w:t>
      </w:r>
      <w:r>
        <w:rPr>
          <w:rFonts w:ascii="Lucida Sans"/>
          <w:i/>
          <w:color w:val="231F20"/>
          <w:sz w:val="16"/>
        </w:rPr>
        <w:t>D, </w:t>
      </w:r>
      <w:r>
        <w:rPr>
          <w:rFonts w:ascii="Arial"/>
          <w:color w:val="231F20"/>
          <w:sz w:val="16"/>
        </w:rPr>
        <w:t>The substance is freely </w:t>
      </w:r>
      <w:r>
        <w:rPr>
          <w:rFonts w:ascii="Arial"/>
          <w:color w:val="231F20"/>
          <w:spacing w:val="-4"/>
          <w:sz w:val="16"/>
        </w:rPr>
        <w:t>filtered </w:t>
      </w:r>
      <w:r>
        <w:rPr>
          <w:rFonts w:ascii="Arial"/>
          <w:color w:val="231F20"/>
          <w:sz w:val="16"/>
        </w:rPr>
        <w:t>and is not reabsorbed but is secreted from the peritubular</w:t>
      </w:r>
      <w:r>
        <w:rPr>
          <w:rFonts w:ascii="Arial"/>
          <w:color w:val="231F20"/>
          <w:spacing w:val="-30"/>
          <w:sz w:val="16"/>
        </w:rPr>
        <w:t> </w:t>
      </w:r>
      <w:r>
        <w:rPr>
          <w:rFonts w:ascii="Arial"/>
          <w:color w:val="231F20"/>
          <w:sz w:val="16"/>
        </w:rPr>
        <w:t>capillary blood into the renal</w:t>
      </w:r>
      <w:r>
        <w:rPr>
          <w:rFonts w:ascii="Arial"/>
          <w:color w:val="231F20"/>
          <w:spacing w:val="29"/>
          <w:sz w:val="16"/>
        </w:rPr>
        <w:t> </w:t>
      </w:r>
      <w:r>
        <w:rPr>
          <w:rFonts w:ascii="Arial"/>
          <w:color w:val="231F20"/>
          <w:sz w:val="16"/>
        </w:rPr>
        <w:t>tubules.</w:t>
      </w:r>
    </w:p>
    <w:p>
      <w:pPr>
        <w:pStyle w:val="BodyText"/>
        <w:rPr>
          <w:rFonts w:ascii="Arial"/>
          <w:sz w:val="18"/>
        </w:rPr>
      </w:pPr>
    </w:p>
    <w:p>
      <w:pPr>
        <w:pStyle w:val="BodyText"/>
        <w:spacing w:before="4"/>
        <w:rPr>
          <w:rFonts w:ascii="Arial"/>
          <w:sz w:val="26"/>
        </w:rPr>
      </w:pPr>
    </w:p>
    <w:p>
      <w:pPr>
        <w:pStyle w:val="BodyText"/>
        <w:spacing w:line="249" w:lineRule="auto"/>
        <w:ind w:left="1080"/>
        <w:jc w:val="both"/>
      </w:pPr>
      <w:r>
        <w:rPr>
          <w:color w:val="231F20"/>
        </w:rPr>
        <w:t>depends on the relative rates of these three basic renal processes.</w:t>
      </w:r>
    </w:p>
    <w:p>
      <w:pPr>
        <w:pStyle w:val="BodyText"/>
        <w:spacing w:before="9"/>
        <w:rPr>
          <w:sz w:val="30"/>
        </w:rPr>
      </w:pPr>
    </w:p>
    <w:p>
      <w:pPr>
        <w:pStyle w:val="Heading2"/>
        <w:spacing w:line="225" w:lineRule="auto"/>
        <w:ind w:left="1080" w:right="367"/>
      </w:pPr>
      <w:r>
        <w:rPr>
          <w:color w:val="231F20"/>
        </w:rPr>
        <w:t>FILTRATION, REABSORPTION, AND SECRETION OF DIFFERENT SUBSTANCES</w:t>
      </w:r>
    </w:p>
    <w:p>
      <w:pPr>
        <w:pStyle w:val="BodyText"/>
        <w:spacing w:line="249" w:lineRule="auto" w:before="128"/>
        <w:ind w:left="1080"/>
        <w:jc w:val="both"/>
      </w:pPr>
      <w:r>
        <w:rPr>
          <w:color w:val="231F20"/>
          <w:w w:val="105"/>
        </w:rPr>
        <w:t>In general, tubular reabsorption is quantitatively </w:t>
      </w:r>
      <w:r>
        <w:rPr>
          <w:color w:val="231F20"/>
          <w:spacing w:val="-4"/>
          <w:w w:val="105"/>
        </w:rPr>
        <w:t>more </w:t>
      </w:r>
      <w:r>
        <w:rPr>
          <w:color w:val="231F20"/>
          <w:w w:val="105"/>
        </w:rPr>
        <w:t>important than tubular secretion in the formation </w:t>
      </w:r>
      <w:r>
        <w:rPr>
          <w:color w:val="231F20"/>
          <w:spacing w:val="-8"/>
          <w:w w:val="105"/>
        </w:rPr>
        <w:t>of </w:t>
      </w:r>
      <w:r>
        <w:rPr>
          <w:color w:val="231F20"/>
          <w:w w:val="105"/>
        </w:rPr>
        <w:t>urine, but secretion plays an important role in </w:t>
      </w:r>
      <w:r>
        <w:rPr>
          <w:color w:val="231F20"/>
          <w:spacing w:val="-2"/>
          <w:w w:val="105"/>
        </w:rPr>
        <w:t>determin- </w:t>
      </w:r>
      <w:r>
        <w:rPr>
          <w:color w:val="231F20"/>
          <w:w w:val="105"/>
        </w:rPr>
        <w:t>ing the amounts of potassium and hydrogen ions and </w:t>
      </w:r>
      <w:r>
        <w:rPr>
          <w:color w:val="231F20"/>
          <w:spacing w:val="-14"/>
          <w:w w:val="105"/>
        </w:rPr>
        <w:t>a </w:t>
      </w:r>
      <w:r>
        <w:rPr>
          <w:color w:val="231F20"/>
          <w:w w:val="105"/>
        </w:rPr>
        <w:t>few</w:t>
      </w:r>
      <w:r>
        <w:rPr>
          <w:color w:val="231F20"/>
          <w:spacing w:val="-7"/>
          <w:w w:val="105"/>
        </w:rPr>
        <w:t> </w:t>
      </w:r>
      <w:r>
        <w:rPr>
          <w:color w:val="231F20"/>
          <w:w w:val="105"/>
        </w:rPr>
        <w:t>other</w:t>
      </w:r>
      <w:r>
        <w:rPr>
          <w:color w:val="231F20"/>
          <w:spacing w:val="-7"/>
          <w:w w:val="105"/>
        </w:rPr>
        <w:t> </w:t>
      </w:r>
      <w:r>
        <w:rPr>
          <w:color w:val="231F20"/>
          <w:w w:val="105"/>
        </w:rPr>
        <w:t>substances</w:t>
      </w:r>
      <w:r>
        <w:rPr>
          <w:color w:val="231F20"/>
          <w:spacing w:val="-7"/>
          <w:w w:val="105"/>
        </w:rPr>
        <w:t> </w:t>
      </w:r>
      <w:r>
        <w:rPr>
          <w:color w:val="231F20"/>
          <w:w w:val="105"/>
        </w:rPr>
        <w:t>that</w:t>
      </w:r>
      <w:r>
        <w:rPr>
          <w:color w:val="231F20"/>
          <w:spacing w:val="-6"/>
          <w:w w:val="105"/>
        </w:rPr>
        <w:t> </w:t>
      </w:r>
      <w:r>
        <w:rPr>
          <w:color w:val="231F20"/>
          <w:w w:val="105"/>
        </w:rPr>
        <w:t>are</w:t>
      </w:r>
      <w:r>
        <w:rPr>
          <w:color w:val="231F20"/>
          <w:spacing w:val="-7"/>
          <w:w w:val="105"/>
        </w:rPr>
        <w:t> </w:t>
      </w:r>
      <w:r>
        <w:rPr>
          <w:color w:val="231F20"/>
          <w:w w:val="105"/>
        </w:rPr>
        <w:t>excreted</w:t>
      </w:r>
      <w:r>
        <w:rPr>
          <w:color w:val="231F20"/>
          <w:spacing w:val="-7"/>
          <w:w w:val="105"/>
        </w:rPr>
        <w:t> </w:t>
      </w:r>
      <w:r>
        <w:rPr>
          <w:color w:val="231F20"/>
          <w:w w:val="105"/>
        </w:rPr>
        <w:t>in</w:t>
      </w:r>
      <w:r>
        <w:rPr>
          <w:color w:val="231F20"/>
          <w:spacing w:val="-6"/>
          <w:w w:val="105"/>
        </w:rPr>
        <w:t> </w:t>
      </w:r>
      <w:r>
        <w:rPr>
          <w:color w:val="231F20"/>
          <w:w w:val="105"/>
        </w:rPr>
        <w:t>the</w:t>
      </w:r>
      <w:r>
        <w:rPr>
          <w:color w:val="231F20"/>
          <w:spacing w:val="-7"/>
          <w:w w:val="105"/>
        </w:rPr>
        <w:t> </w:t>
      </w:r>
      <w:r>
        <w:rPr>
          <w:color w:val="231F20"/>
          <w:w w:val="105"/>
        </w:rPr>
        <w:t>urine.</w:t>
      </w:r>
      <w:r>
        <w:rPr>
          <w:color w:val="231F20"/>
          <w:spacing w:val="-7"/>
          <w:w w:val="105"/>
        </w:rPr>
        <w:t> </w:t>
      </w:r>
      <w:r>
        <w:rPr>
          <w:color w:val="231F20"/>
          <w:spacing w:val="-3"/>
          <w:w w:val="105"/>
        </w:rPr>
        <w:t>Most </w:t>
      </w:r>
      <w:r>
        <w:rPr>
          <w:color w:val="231F20"/>
          <w:w w:val="105"/>
        </w:rPr>
        <w:t>substances</w:t>
      </w:r>
      <w:r>
        <w:rPr>
          <w:color w:val="231F20"/>
          <w:spacing w:val="-26"/>
          <w:w w:val="105"/>
        </w:rPr>
        <w:t> </w:t>
      </w:r>
      <w:r>
        <w:rPr>
          <w:color w:val="231F20"/>
          <w:w w:val="105"/>
        </w:rPr>
        <w:t>that</w:t>
      </w:r>
      <w:r>
        <w:rPr>
          <w:color w:val="231F20"/>
          <w:spacing w:val="-26"/>
          <w:w w:val="105"/>
        </w:rPr>
        <w:t> </w:t>
      </w:r>
      <w:r>
        <w:rPr>
          <w:color w:val="231F20"/>
          <w:w w:val="105"/>
        </w:rPr>
        <w:t>must</w:t>
      </w:r>
      <w:r>
        <w:rPr>
          <w:color w:val="231F20"/>
          <w:spacing w:val="-26"/>
          <w:w w:val="105"/>
        </w:rPr>
        <w:t> </w:t>
      </w:r>
      <w:r>
        <w:rPr>
          <w:color w:val="231F20"/>
          <w:w w:val="105"/>
        </w:rPr>
        <w:t>be</w:t>
      </w:r>
      <w:r>
        <w:rPr>
          <w:color w:val="231F20"/>
          <w:spacing w:val="-26"/>
          <w:w w:val="105"/>
        </w:rPr>
        <w:t> </w:t>
      </w:r>
      <w:r>
        <w:rPr>
          <w:color w:val="231F20"/>
          <w:w w:val="105"/>
        </w:rPr>
        <w:t>cleared</w:t>
      </w:r>
      <w:r>
        <w:rPr>
          <w:color w:val="231F20"/>
          <w:spacing w:val="-26"/>
          <w:w w:val="105"/>
        </w:rPr>
        <w:t> </w:t>
      </w:r>
      <w:r>
        <w:rPr>
          <w:color w:val="231F20"/>
          <w:w w:val="105"/>
        </w:rPr>
        <w:t>from</w:t>
      </w:r>
      <w:r>
        <w:rPr>
          <w:color w:val="231F20"/>
          <w:spacing w:val="-26"/>
          <w:w w:val="105"/>
        </w:rPr>
        <w:t> </w:t>
      </w:r>
      <w:r>
        <w:rPr>
          <w:color w:val="231F20"/>
          <w:w w:val="105"/>
        </w:rPr>
        <w:t>the</w:t>
      </w:r>
      <w:r>
        <w:rPr>
          <w:color w:val="231F20"/>
          <w:spacing w:val="-26"/>
          <w:w w:val="105"/>
        </w:rPr>
        <w:t> </w:t>
      </w:r>
      <w:r>
        <w:rPr>
          <w:color w:val="231F20"/>
          <w:w w:val="105"/>
        </w:rPr>
        <w:t>blood,</w:t>
      </w:r>
      <w:r>
        <w:rPr>
          <w:color w:val="231F20"/>
          <w:spacing w:val="-26"/>
          <w:w w:val="105"/>
        </w:rPr>
        <w:t> </w:t>
      </w:r>
      <w:r>
        <w:rPr>
          <w:color w:val="231F20"/>
          <w:w w:val="105"/>
        </w:rPr>
        <w:t>especially the</w:t>
      </w:r>
      <w:r>
        <w:rPr>
          <w:color w:val="231F20"/>
          <w:spacing w:val="-6"/>
          <w:w w:val="105"/>
        </w:rPr>
        <w:t> </w:t>
      </w:r>
      <w:r>
        <w:rPr>
          <w:color w:val="231F20"/>
          <w:w w:val="105"/>
        </w:rPr>
        <w:t>end</w:t>
      </w:r>
      <w:r>
        <w:rPr>
          <w:color w:val="231F20"/>
          <w:spacing w:val="-5"/>
          <w:w w:val="105"/>
        </w:rPr>
        <w:t> </w:t>
      </w:r>
      <w:r>
        <w:rPr>
          <w:color w:val="231F20"/>
          <w:w w:val="105"/>
        </w:rPr>
        <w:t>products</w:t>
      </w:r>
      <w:r>
        <w:rPr>
          <w:color w:val="231F20"/>
          <w:spacing w:val="-5"/>
          <w:w w:val="105"/>
        </w:rPr>
        <w:t> </w:t>
      </w:r>
      <w:r>
        <w:rPr>
          <w:color w:val="231F20"/>
          <w:w w:val="105"/>
        </w:rPr>
        <w:t>of</w:t>
      </w:r>
      <w:r>
        <w:rPr>
          <w:color w:val="231F20"/>
          <w:spacing w:val="-5"/>
          <w:w w:val="105"/>
        </w:rPr>
        <w:t> </w:t>
      </w:r>
      <w:r>
        <w:rPr>
          <w:color w:val="231F20"/>
          <w:w w:val="105"/>
        </w:rPr>
        <w:t>metabolism</w:t>
      </w:r>
      <w:r>
        <w:rPr>
          <w:color w:val="231F20"/>
          <w:spacing w:val="-5"/>
          <w:w w:val="105"/>
        </w:rPr>
        <w:t> </w:t>
      </w:r>
      <w:r>
        <w:rPr>
          <w:color w:val="231F20"/>
          <w:w w:val="105"/>
        </w:rPr>
        <w:t>such</w:t>
      </w:r>
      <w:r>
        <w:rPr>
          <w:color w:val="231F20"/>
          <w:spacing w:val="-5"/>
          <w:w w:val="105"/>
        </w:rPr>
        <w:t> </w:t>
      </w:r>
      <w:r>
        <w:rPr>
          <w:color w:val="231F20"/>
          <w:w w:val="105"/>
        </w:rPr>
        <w:t>as</w:t>
      </w:r>
      <w:r>
        <w:rPr>
          <w:color w:val="231F20"/>
          <w:spacing w:val="-5"/>
          <w:w w:val="105"/>
        </w:rPr>
        <w:t> </w:t>
      </w:r>
      <w:r>
        <w:rPr>
          <w:color w:val="231F20"/>
          <w:w w:val="105"/>
        </w:rPr>
        <w:t>urea,</w:t>
      </w:r>
      <w:r>
        <w:rPr>
          <w:color w:val="231F20"/>
          <w:spacing w:val="-5"/>
          <w:w w:val="105"/>
        </w:rPr>
        <w:t> </w:t>
      </w:r>
      <w:r>
        <w:rPr>
          <w:color w:val="231F20"/>
          <w:w w:val="105"/>
        </w:rPr>
        <w:t>creatinine, uric</w:t>
      </w:r>
      <w:r>
        <w:rPr>
          <w:color w:val="231F20"/>
          <w:spacing w:val="-19"/>
          <w:w w:val="105"/>
        </w:rPr>
        <w:t> </w:t>
      </w:r>
      <w:r>
        <w:rPr>
          <w:color w:val="231F20"/>
          <w:w w:val="105"/>
        </w:rPr>
        <w:t>acid,</w:t>
      </w:r>
      <w:r>
        <w:rPr>
          <w:color w:val="231F20"/>
          <w:spacing w:val="-18"/>
          <w:w w:val="105"/>
        </w:rPr>
        <w:t> </w:t>
      </w:r>
      <w:r>
        <w:rPr>
          <w:color w:val="231F20"/>
          <w:w w:val="105"/>
        </w:rPr>
        <w:t>and</w:t>
      </w:r>
      <w:r>
        <w:rPr>
          <w:color w:val="231F20"/>
          <w:spacing w:val="-19"/>
          <w:w w:val="105"/>
        </w:rPr>
        <w:t> </w:t>
      </w:r>
      <w:r>
        <w:rPr>
          <w:color w:val="231F20"/>
          <w:w w:val="105"/>
        </w:rPr>
        <w:t>urates,</w:t>
      </w:r>
      <w:r>
        <w:rPr>
          <w:color w:val="231F20"/>
          <w:spacing w:val="-18"/>
          <w:w w:val="105"/>
        </w:rPr>
        <w:t> </w:t>
      </w:r>
      <w:r>
        <w:rPr>
          <w:color w:val="231F20"/>
          <w:w w:val="105"/>
        </w:rPr>
        <w:t>are</w:t>
      </w:r>
      <w:r>
        <w:rPr>
          <w:color w:val="231F20"/>
          <w:spacing w:val="-19"/>
          <w:w w:val="105"/>
        </w:rPr>
        <w:t> </w:t>
      </w:r>
      <w:r>
        <w:rPr>
          <w:color w:val="231F20"/>
          <w:w w:val="105"/>
        </w:rPr>
        <w:t>poorly</w:t>
      </w:r>
      <w:r>
        <w:rPr>
          <w:color w:val="231F20"/>
          <w:spacing w:val="-18"/>
          <w:w w:val="105"/>
        </w:rPr>
        <w:t> </w:t>
      </w:r>
      <w:r>
        <w:rPr>
          <w:color w:val="231F20"/>
          <w:w w:val="105"/>
        </w:rPr>
        <w:t>reabsorbed</w:t>
      </w:r>
      <w:r>
        <w:rPr>
          <w:color w:val="231F20"/>
          <w:spacing w:val="-19"/>
          <w:w w:val="105"/>
        </w:rPr>
        <w:t> </w:t>
      </w:r>
      <w:r>
        <w:rPr>
          <w:color w:val="231F20"/>
          <w:w w:val="105"/>
        </w:rPr>
        <w:t>and</w:t>
      </w:r>
      <w:r>
        <w:rPr>
          <w:color w:val="231F20"/>
          <w:spacing w:val="-18"/>
          <w:w w:val="105"/>
        </w:rPr>
        <w:t> </w:t>
      </w:r>
      <w:r>
        <w:rPr>
          <w:color w:val="231F20"/>
          <w:w w:val="105"/>
        </w:rPr>
        <w:t>are</w:t>
      </w:r>
      <w:r>
        <w:rPr>
          <w:color w:val="231F20"/>
          <w:spacing w:val="-18"/>
          <w:w w:val="105"/>
        </w:rPr>
        <w:t> </w:t>
      </w:r>
      <w:r>
        <w:rPr>
          <w:color w:val="231F20"/>
          <w:w w:val="105"/>
        </w:rPr>
        <w:t>there- fore excreted in large amounts in the urine. Certain foreign substances and drugs are also poorly</w:t>
      </w:r>
      <w:r>
        <w:rPr>
          <w:color w:val="231F20"/>
          <w:spacing w:val="-34"/>
          <w:w w:val="105"/>
        </w:rPr>
        <w:t> </w:t>
      </w:r>
      <w:r>
        <w:rPr>
          <w:color w:val="231F20"/>
          <w:w w:val="105"/>
        </w:rPr>
        <w:t>reabsorbed but, in addition, are secreted from the blood into the tubules,</w:t>
      </w:r>
      <w:r>
        <w:rPr>
          <w:color w:val="231F20"/>
          <w:spacing w:val="-30"/>
          <w:w w:val="105"/>
        </w:rPr>
        <w:t> </w:t>
      </w:r>
      <w:r>
        <w:rPr>
          <w:color w:val="231F20"/>
          <w:w w:val="105"/>
        </w:rPr>
        <w:t>so</w:t>
      </w:r>
      <w:r>
        <w:rPr>
          <w:color w:val="231F20"/>
          <w:spacing w:val="-30"/>
          <w:w w:val="105"/>
        </w:rPr>
        <w:t> </w:t>
      </w:r>
      <w:r>
        <w:rPr>
          <w:color w:val="231F20"/>
          <w:w w:val="105"/>
        </w:rPr>
        <w:t>their</w:t>
      </w:r>
      <w:r>
        <w:rPr>
          <w:color w:val="231F20"/>
          <w:spacing w:val="-30"/>
          <w:w w:val="105"/>
        </w:rPr>
        <w:t> </w:t>
      </w:r>
      <w:r>
        <w:rPr>
          <w:color w:val="231F20"/>
          <w:w w:val="105"/>
        </w:rPr>
        <w:t>excretion</w:t>
      </w:r>
      <w:r>
        <w:rPr>
          <w:color w:val="231F20"/>
          <w:spacing w:val="-30"/>
          <w:w w:val="105"/>
        </w:rPr>
        <w:t> </w:t>
      </w:r>
      <w:r>
        <w:rPr>
          <w:color w:val="231F20"/>
          <w:w w:val="105"/>
        </w:rPr>
        <w:t>rates</w:t>
      </w:r>
      <w:r>
        <w:rPr>
          <w:color w:val="231F20"/>
          <w:spacing w:val="-29"/>
          <w:w w:val="105"/>
        </w:rPr>
        <w:t> </w:t>
      </w:r>
      <w:r>
        <w:rPr>
          <w:color w:val="231F20"/>
          <w:w w:val="105"/>
        </w:rPr>
        <w:t>are</w:t>
      </w:r>
      <w:r>
        <w:rPr>
          <w:color w:val="231F20"/>
          <w:spacing w:val="-30"/>
          <w:w w:val="105"/>
        </w:rPr>
        <w:t> </w:t>
      </w:r>
      <w:r>
        <w:rPr>
          <w:color w:val="231F20"/>
          <w:w w:val="105"/>
        </w:rPr>
        <w:t>high.</w:t>
      </w:r>
      <w:r>
        <w:rPr>
          <w:color w:val="231F20"/>
          <w:spacing w:val="-30"/>
          <w:w w:val="105"/>
        </w:rPr>
        <w:t> </w:t>
      </w:r>
      <w:r>
        <w:rPr>
          <w:color w:val="231F20"/>
          <w:w w:val="105"/>
        </w:rPr>
        <w:t>Conversely,</w:t>
      </w:r>
      <w:r>
        <w:rPr>
          <w:color w:val="231F20"/>
          <w:spacing w:val="-30"/>
          <w:w w:val="105"/>
        </w:rPr>
        <w:t> </w:t>
      </w:r>
      <w:r>
        <w:rPr>
          <w:color w:val="231F20"/>
          <w:spacing w:val="-4"/>
          <w:w w:val="105"/>
        </w:rPr>
        <w:t>elec- </w:t>
      </w:r>
      <w:r>
        <w:rPr>
          <w:color w:val="231F20"/>
          <w:w w:val="105"/>
        </w:rPr>
        <w:t>trolytes, such as sodium ions, chloride ions, and </w:t>
      </w:r>
      <w:r>
        <w:rPr>
          <w:color w:val="231F20"/>
          <w:spacing w:val="-4"/>
          <w:w w:val="105"/>
        </w:rPr>
        <w:t>bicar- </w:t>
      </w:r>
      <w:r>
        <w:rPr>
          <w:color w:val="231F20"/>
          <w:w w:val="105"/>
        </w:rPr>
        <w:t>bonate</w:t>
      </w:r>
      <w:r>
        <w:rPr>
          <w:color w:val="231F20"/>
          <w:spacing w:val="-26"/>
          <w:w w:val="105"/>
        </w:rPr>
        <w:t> </w:t>
      </w:r>
      <w:r>
        <w:rPr>
          <w:color w:val="231F20"/>
          <w:w w:val="105"/>
        </w:rPr>
        <w:t>ions,</w:t>
      </w:r>
      <w:r>
        <w:rPr>
          <w:color w:val="231F20"/>
          <w:spacing w:val="-26"/>
          <w:w w:val="105"/>
        </w:rPr>
        <w:t> </w:t>
      </w:r>
      <w:r>
        <w:rPr>
          <w:color w:val="231F20"/>
          <w:w w:val="105"/>
        </w:rPr>
        <w:t>are</w:t>
      </w:r>
      <w:r>
        <w:rPr>
          <w:color w:val="231F20"/>
          <w:spacing w:val="-26"/>
          <w:w w:val="105"/>
        </w:rPr>
        <w:t> </w:t>
      </w:r>
      <w:r>
        <w:rPr>
          <w:color w:val="231F20"/>
          <w:w w:val="105"/>
        </w:rPr>
        <w:t>highly</w:t>
      </w:r>
      <w:r>
        <w:rPr>
          <w:color w:val="231F20"/>
          <w:spacing w:val="-26"/>
          <w:w w:val="105"/>
        </w:rPr>
        <w:t> </w:t>
      </w:r>
      <w:r>
        <w:rPr>
          <w:color w:val="231F20"/>
          <w:w w:val="105"/>
        </w:rPr>
        <w:t>reabsorbed,</w:t>
      </w:r>
      <w:r>
        <w:rPr>
          <w:color w:val="231F20"/>
          <w:spacing w:val="-26"/>
          <w:w w:val="105"/>
        </w:rPr>
        <w:t> </w:t>
      </w:r>
      <w:r>
        <w:rPr>
          <w:color w:val="231F20"/>
          <w:w w:val="105"/>
        </w:rPr>
        <w:t>so</w:t>
      </w:r>
      <w:r>
        <w:rPr>
          <w:color w:val="231F20"/>
          <w:spacing w:val="-26"/>
          <w:w w:val="105"/>
        </w:rPr>
        <w:t> </w:t>
      </w:r>
      <w:r>
        <w:rPr>
          <w:color w:val="231F20"/>
          <w:w w:val="105"/>
        </w:rPr>
        <w:t>only</w:t>
      </w:r>
      <w:r>
        <w:rPr>
          <w:color w:val="231F20"/>
          <w:spacing w:val="-26"/>
          <w:w w:val="105"/>
        </w:rPr>
        <w:t> </w:t>
      </w:r>
      <w:r>
        <w:rPr>
          <w:color w:val="231F20"/>
          <w:w w:val="105"/>
        </w:rPr>
        <w:t>small</w:t>
      </w:r>
      <w:r>
        <w:rPr>
          <w:color w:val="231F20"/>
          <w:spacing w:val="-26"/>
          <w:w w:val="105"/>
        </w:rPr>
        <w:t> </w:t>
      </w:r>
      <w:r>
        <w:rPr>
          <w:color w:val="231F20"/>
          <w:w w:val="105"/>
        </w:rPr>
        <w:t>amounts appear in the urine. Certain nutritional substances,</w:t>
      </w:r>
      <w:r>
        <w:rPr>
          <w:color w:val="231F20"/>
          <w:spacing w:val="10"/>
          <w:w w:val="105"/>
        </w:rPr>
        <w:t> </w:t>
      </w:r>
      <w:r>
        <w:rPr>
          <w:color w:val="231F20"/>
          <w:w w:val="105"/>
        </w:rPr>
        <w:t>such</w:t>
      </w:r>
    </w:p>
    <w:p>
      <w:pPr>
        <w:pStyle w:val="BodyText"/>
        <w:spacing w:line="249" w:lineRule="auto"/>
        <w:ind w:left="319" w:right="1437"/>
        <w:jc w:val="both"/>
      </w:pPr>
      <w:r>
        <w:rPr/>
        <w:br w:type="column"/>
      </w:r>
      <w:r>
        <w:rPr>
          <w:color w:val="231F20"/>
        </w:rPr>
        <w:t>of these substances. One advantage of a high GFR is that it allows the kidneys to rapidly remove waste products from the body that depend mainly on glomerular filtra- tion for their excretion. Most waste products are poorly reabsorbed by the tubules and, therefore, depend on  a high GFR for effective removal from the</w:t>
      </w:r>
      <w:r>
        <w:rPr>
          <w:color w:val="231F20"/>
          <w:spacing w:val="43"/>
        </w:rPr>
        <w:t> </w:t>
      </w:r>
      <w:r>
        <w:rPr>
          <w:color w:val="231F20"/>
        </w:rPr>
        <w:t>body.</w:t>
      </w:r>
    </w:p>
    <w:p>
      <w:pPr>
        <w:pStyle w:val="BodyText"/>
        <w:spacing w:line="249" w:lineRule="auto"/>
        <w:ind w:left="319" w:right="1437" w:firstLine="240"/>
        <w:jc w:val="both"/>
      </w:pPr>
      <w:r>
        <w:rPr>
          <w:color w:val="231F20"/>
          <w:w w:val="105"/>
        </w:rPr>
        <w:t>A</w:t>
      </w:r>
      <w:r>
        <w:rPr>
          <w:color w:val="231F20"/>
          <w:spacing w:val="-10"/>
          <w:w w:val="105"/>
        </w:rPr>
        <w:t> </w:t>
      </w:r>
      <w:r>
        <w:rPr>
          <w:color w:val="231F20"/>
          <w:w w:val="105"/>
        </w:rPr>
        <w:t>second</w:t>
      </w:r>
      <w:r>
        <w:rPr>
          <w:color w:val="231F20"/>
          <w:spacing w:val="-10"/>
          <w:w w:val="105"/>
        </w:rPr>
        <w:t> </w:t>
      </w:r>
      <w:r>
        <w:rPr>
          <w:color w:val="231F20"/>
          <w:w w:val="105"/>
        </w:rPr>
        <w:t>advantage</w:t>
      </w:r>
      <w:r>
        <w:rPr>
          <w:color w:val="231F20"/>
          <w:spacing w:val="-10"/>
          <w:w w:val="105"/>
        </w:rPr>
        <w:t> </w:t>
      </w:r>
      <w:r>
        <w:rPr>
          <w:color w:val="231F20"/>
          <w:w w:val="105"/>
        </w:rPr>
        <w:t>of</w:t>
      </w:r>
      <w:r>
        <w:rPr>
          <w:color w:val="231F20"/>
          <w:spacing w:val="-10"/>
          <w:w w:val="105"/>
        </w:rPr>
        <w:t> </w:t>
      </w:r>
      <w:r>
        <w:rPr>
          <w:color w:val="231F20"/>
          <w:w w:val="105"/>
        </w:rPr>
        <w:t>a</w:t>
      </w:r>
      <w:r>
        <w:rPr>
          <w:color w:val="231F20"/>
          <w:spacing w:val="-9"/>
          <w:w w:val="105"/>
        </w:rPr>
        <w:t> </w:t>
      </w:r>
      <w:r>
        <w:rPr>
          <w:color w:val="231F20"/>
          <w:w w:val="105"/>
        </w:rPr>
        <w:t>high</w:t>
      </w:r>
      <w:r>
        <w:rPr>
          <w:color w:val="231F20"/>
          <w:spacing w:val="-10"/>
          <w:w w:val="105"/>
        </w:rPr>
        <w:t> </w:t>
      </w:r>
      <w:r>
        <w:rPr>
          <w:color w:val="231F20"/>
          <w:w w:val="105"/>
        </w:rPr>
        <w:t>GFR</w:t>
      </w:r>
      <w:r>
        <w:rPr>
          <w:color w:val="231F20"/>
          <w:spacing w:val="-10"/>
          <w:w w:val="105"/>
        </w:rPr>
        <w:t> </w:t>
      </w:r>
      <w:r>
        <w:rPr>
          <w:color w:val="231F20"/>
          <w:w w:val="105"/>
        </w:rPr>
        <w:t>is</w:t>
      </w:r>
      <w:r>
        <w:rPr>
          <w:color w:val="231F20"/>
          <w:spacing w:val="-10"/>
          <w:w w:val="105"/>
        </w:rPr>
        <w:t> </w:t>
      </w:r>
      <w:r>
        <w:rPr>
          <w:color w:val="231F20"/>
          <w:w w:val="105"/>
        </w:rPr>
        <w:t>that</w:t>
      </w:r>
      <w:r>
        <w:rPr>
          <w:color w:val="231F20"/>
          <w:spacing w:val="-10"/>
          <w:w w:val="105"/>
        </w:rPr>
        <w:t> </w:t>
      </w:r>
      <w:r>
        <w:rPr>
          <w:color w:val="231F20"/>
          <w:w w:val="105"/>
        </w:rPr>
        <w:t>it</w:t>
      </w:r>
      <w:r>
        <w:rPr>
          <w:color w:val="231F20"/>
          <w:spacing w:val="-9"/>
          <w:w w:val="105"/>
        </w:rPr>
        <w:t> </w:t>
      </w:r>
      <w:r>
        <w:rPr>
          <w:color w:val="231F20"/>
          <w:w w:val="105"/>
        </w:rPr>
        <w:t>allows</w:t>
      </w:r>
      <w:r>
        <w:rPr>
          <w:color w:val="231F20"/>
          <w:spacing w:val="-10"/>
          <w:w w:val="105"/>
        </w:rPr>
        <w:t> </w:t>
      </w:r>
      <w:r>
        <w:rPr>
          <w:color w:val="231F20"/>
          <w:w w:val="105"/>
        </w:rPr>
        <w:t>all the</w:t>
      </w:r>
      <w:r>
        <w:rPr>
          <w:color w:val="231F20"/>
          <w:spacing w:val="-23"/>
          <w:w w:val="105"/>
        </w:rPr>
        <w:t> </w:t>
      </w:r>
      <w:r>
        <w:rPr>
          <w:color w:val="231F20"/>
          <w:w w:val="105"/>
        </w:rPr>
        <w:t>body</w:t>
      </w:r>
      <w:r>
        <w:rPr>
          <w:color w:val="231F20"/>
          <w:spacing w:val="-23"/>
          <w:w w:val="105"/>
        </w:rPr>
        <w:t> </w:t>
      </w:r>
      <w:r>
        <w:rPr>
          <w:color w:val="231F20"/>
          <w:w w:val="105"/>
        </w:rPr>
        <w:t>fluids</w:t>
      </w:r>
      <w:r>
        <w:rPr>
          <w:color w:val="231F20"/>
          <w:spacing w:val="-23"/>
          <w:w w:val="105"/>
        </w:rPr>
        <w:t> </w:t>
      </w:r>
      <w:r>
        <w:rPr>
          <w:color w:val="231F20"/>
          <w:w w:val="105"/>
        </w:rPr>
        <w:t>to</w:t>
      </w:r>
      <w:r>
        <w:rPr>
          <w:color w:val="231F20"/>
          <w:spacing w:val="-23"/>
          <w:w w:val="105"/>
        </w:rPr>
        <w:t> </w:t>
      </w:r>
      <w:r>
        <w:rPr>
          <w:color w:val="231F20"/>
          <w:w w:val="105"/>
        </w:rPr>
        <w:t>be</w:t>
      </w:r>
      <w:r>
        <w:rPr>
          <w:color w:val="231F20"/>
          <w:spacing w:val="-23"/>
          <w:w w:val="105"/>
        </w:rPr>
        <w:t> </w:t>
      </w:r>
      <w:r>
        <w:rPr>
          <w:color w:val="231F20"/>
          <w:w w:val="105"/>
        </w:rPr>
        <w:t>filtered</w:t>
      </w:r>
      <w:r>
        <w:rPr>
          <w:color w:val="231F20"/>
          <w:spacing w:val="-23"/>
          <w:w w:val="105"/>
        </w:rPr>
        <w:t> </w:t>
      </w:r>
      <w:r>
        <w:rPr>
          <w:color w:val="231F20"/>
          <w:w w:val="105"/>
        </w:rPr>
        <w:t>and</w:t>
      </w:r>
      <w:r>
        <w:rPr>
          <w:color w:val="231F20"/>
          <w:spacing w:val="-22"/>
          <w:w w:val="105"/>
        </w:rPr>
        <w:t> </w:t>
      </w:r>
      <w:r>
        <w:rPr>
          <w:color w:val="231F20"/>
          <w:w w:val="105"/>
        </w:rPr>
        <w:t>processed</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3"/>
          <w:w w:val="105"/>
        </w:rPr>
        <w:t> </w:t>
      </w:r>
      <w:r>
        <w:rPr>
          <w:color w:val="231F20"/>
          <w:w w:val="105"/>
        </w:rPr>
        <w:t>kidneys many</w:t>
      </w:r>
      <w:r>
        <w:rPr>
          <w:color w:val="231F20"/>
          <w:spacing w:val="-7"/>
          <w:w w:val="105"/>
        </w:rPr>
        <w:t> </w:t>
      </w:r>
      <w:r>
        <w:rPr>
          <w:color w:val="231F20"/>
          <w:w w:val="105"/>
        </w:rPr>
        <w:t>times</w:t>
      </w:r>
      <w:r>
        <w:rPr>
          <w:color w:val="231F20"/>
          <w:spacing w:val="-6"/>
          <w:w w:val="105"/>
        </w:rPr>
        <w:t> </w:t>
      </w:r>
      <w:r>
        <w:rPr>
          <w:color w:val="231F20"/>
          <w:w w:val="105"/>
        </w:rPr>
        <w:t>each</w:t>
      </w:r>
      <w:r>
        <w:rPr>
          <w:color w:val="231F20"/>
          <w:spacing w:val="-7"/>
          <w:w w:val="105"/>
        </w:rPr>
        <w:t> </w:t>
      </w:r>
      <w:r>
        <w:rPr>
          <w:color w:val="231F20"/>
          <w:spacing w:val="-4"/>
          <w:w w:val="105"/>
        </w:rPr>
        <w:t>day.</w:t>
      </w:r>
      <w:r>
        <w:rPr>
          <w:color w:val="231F20"/>
          <w:spacing w:val="-6"/>
          <w:w w:val="105"/>
        </w:rPr>
        <w:t> </w:t>
      </w:r>
      <w:r>
        <w:rPr>
          <w:color w:val="231F20"/>
          <w:w w:val="105"/>
        </w:rPr>
        <w:t>Because</w:t>
      </w:r>
      <w:r>
        <w:rPr>
          <w:color w:val="231F20"/>
          <w:spacing w:val="-7"/>
          <w:w w:val="105"/>
        </w:rPr>
        <w:t> </w:t>
      </w:r>
      <w:r>
        <w:rPr>
          <w:color w:val="231F20"/>
          <w:w w:val="105"/>
        </w:rPr>
        <w:t>the</w:t>
      </w:r>
      <w:r>
        <w:rPr>
          <w:color w:val="231F20"/>
          <w:spacing w:val="-6"/>
          <w:w w:val="105"/>
        </w:rPr>
        <w:t> </w:t>
      </w:r>
      <w:r>
        <w:rPr>
          <w:color w:val="231F20"/>
          <w:w w:val="105"/>
        </w:rPr>
        <w:t>entire</w:t>
      </w:r>
      <w:r>
        <w:rPr>
          <w:color w:val="231F20"/>
          <w:spacing w:val="-7"/>
          <w:w w:val="105"/>
        </w:rPr>
        <w:t> </w:t>
      </w:r>
      <w:r>
        <w:rPr>
          <w:color w:val="231F20"/>
          <w:w w:val="105"/>
        </w:rPr>
        <w:t>plasma</w:t>
      </w:r>
      <w:r>
        <w:rPr>
          <w:color w:val="231F20"/>
          <w:spacing w:val="-6"/>
          <w:w w:val="105"/>
        </w:rPr>
        <w:t> </w:t>
      </w:r>
      <w:r>
        <w:rPr>
          <w:color w:val="231F20"/>
          <w:w w:val="105"/>
        </w:rPr>
        <w:t>volume is</w:t>
      </w:r>
      <w:r>
        <w:rPr>
          <w:color w:val="231F20"/>
          <w:spacing w:val="-24"/>
          <w:w w:val="105"/>
        </w:rPr>
        <w:t> </w:t>
      </w:r>
      <w:r>
        <w:rPr>
          <w:color w:val="231F20"/>
          <w:w w:val="105"/>
        </w:rPr>
        <w:t>only</w:t>
      </w:r>
      <w:r>
        <w:rPr>
          <w:color w:val="231F20"/>
          <w:spacing w:val="-24"/>
          <w:w w:val="105"/>
        </w:rPr>
        <w:t> </w:t>
      </w:r>
      <w:r>
        <w:rPr>
          <w:color w:val="231F20"/>
          <w:w w:val="105"/>
        </w:rPr>
        <w:t>about</w:t>
      </w:r>
      <w:r>
        <w:rPr>
          <w:color w:val="231F20"/>
          <w:spacing w:val="-24"/>
          <w:w w:val="105"/>
        </w:rPr>
        <w:t> </w:t>
      </w:r>
      <w:r>
        <w:rPr>
          <w:color w:val="231F20"/>
          <w:w w:val="105"/>
        </w:rPr>
        <w:t>3</w:t>
      </w:r>
      <w:r>
        <w:rPr>
          <w:color w:val="231F20"/>
          <w:spacing w:val="-24"/>
          <w:w w:val="105"/>
        </w:rPr>
        <w:t> </w:t>
      </w:r>
      <w:r>
        <w:rPr>
          <w:color w:val="231F20"/>
          <w:w w:val="105"/>
        </w:rPr>
        <w:t>liters,</w:t>
      </w:r>
      <w:r>
        <w:rPr>
          <w:color w:val="231F20"/>
          <w:spacing w:val="-24"/>
          <w:w w:val="105"/>
        </w:rPr>
        <w:t> </w:t>
      </w:r>
      <w:r>
        <w:rPr>
          <w:color w:val="231F20"/>
          <w:w w:val="105"/>
        </w:rPr>
        <w:t>whereas</w:t>
      </w:r>
      <w:r>
        <w:rPr>
          <w:color w:val="231F20"/>
          <w:spacing w:val="-24"/>
          <w:w w:val="105"/>
        </w:rPr>
        <w:t> </w:t>
      </w:r>
      <w:r>
        <w:rPr>
          <w:color w:val="231F20"/>
          <w:w w:val="105"/>
        </w:rPr>
        <w:t>the</w:t>
      </w:r>
      <w:r>
        <w:rPr>
          <w:color w:val="231F20"/>
          <w:spacing w:val="-23"/>
          <w:w w:val="105"/>
        </w:rPr>
        <w:t> </w:t>
      </w:r>
      <w:r>
        <w:rPr>
          <w:color w:val="231F20"/>
          <w:w w:val="105"/>
        </w:rPr>
        <w:t>GFR</w:t>
      </w:r>
      <w:r>
        <w:rPr>
          <w:color w:val="231F20"/>
          <w:spacing w:val="-24"/>
          <w:w w:val="105"/>
        </w:rPr>
        <w:t> </w:t>
      </w:r>
      <w:r>
        <w:rPr>
          <w:color w:val="231F20"/>
          <w:w w:val="105"/>
        </w:rPr>
        <w:t>is</w:t>
      </w:r>
      <w:r>
        <w:rPr>
          <w:color w:val="231F20"/>
          <w:spacing w:val="-24"/>
          <w:w w:val="105"/>
        </w:rPr>
        <w:t> </w:t>
      </w:r>
      <w:r>
        <w:rPr>
          <w:color w:val="231F20"/>
          <w:w w:val="105"/>
        </w:rPr>
        <w:t>about</w:t>
      </w:r>
      <w:r>
        <w:rPr>
          <w:color w:val="231F20"/>
          <w:spacing w:val="-24"/>
          <w:w w:val="105"/>
        </w:rPr>
        <w:t> </w:t>
      </w:r>
      <w:r>
        <w:rPr>
          <w:color w:val="231F20"/>
          <w:w w:val="105"/>
        </w:rPr>
        <w:t>180</w:t>
      </w:r>
      <w:r>
        <w:rPr>
          <w:color w:val="231F20"/>
          <w:spacing w:val="-14"/>
          <w:w w:val="105"/>
        </w:rPr>
        <w:t> </w:t>
      </w:r>
      <w:r>
        <w:rPr>
          <w:color w:val="231F20"/>
          <w:spacing w:val="-5"/>
          <w:w w:val="105"/>
        </w:rPr>
        <w:t>L/day, </w:t>
      </w:r>
      <w:r>
        <w:rPr>
          <w:color w:val="231F20"/>
          <w:w w:val="105"/>
        </w:rPr>
        <w:t>the entire plasma can be filtered and processed about</w:t>
      </w:r>
      <w:r>
        <w:rPr>
          <w:color w:val="231F20"/>
          <w:spacing w:val="-38"/>
          <w:w w:val="105"/>
        </w:rPr>
        <w:t> </w:t>
      </w:r>
      <w:r>
        <w:rPr>
          <w:color w:val="231F20"/>
          <w:w w:val="105"/>
        </w:rPr>
        <w:t>60 times</w:t>
      </w:r>
      <w:r>
        <w:rPr>
          <w:color w:val="231F20"/>
          <w:spacing w:val="-15"/>
          <w:w w:val="105"/>
        </w:rPr>
        <w:t> </w:t>
      </w:r>
      <w:r>
        <w:rPr>
          <w:color w:val="231F20"/>
          <w:w w:val="105"/>
        </w:rPr>
        <w:t>each</w:t>
      </w:r>
      <w:r>
        <w:rPr>
          <w:color w:val="231F20"/>
          <w:spacing w:val="-14"/>
          <w:w w:val="105"/>
        </w:rPr>
        <w:t> </w:t>
      </w:r>
      <w:r>
        <w:rPr>
          <w:color w:val="231F20"/>
          <w:spacing w:val="-4"/>
          <w:w w:val="105"/>
        </w:rPr>
        <w:t>day.</w:t>
      </w:r>
      <w:r>
        <w:rPr>
          <w:color w:val="231F20"/>
          <w:spacing w:val="-15"/>
          <w:w w:val="105"/>
        </w:rPr>
        <w:t> </w:t>
      </w:r>
      <w:r>
        <w:rPr>
          <w:color w:val="231F20"/>
          <w:w w:val="105"/>
        </w:rPr>
        <w:t>This</w:t>
      </w:r>
      <w:r>
        <w:rPr>
          <w:color w:val="231F20"/>
          <w:spacing w:val="-14"/>
          <w:w w:val="105"/>
        </w:rPr>
        <w:t> </w:t>
      </w:r>
      <w:r>
        <w:rPr>
          <w:color w:val="231F20"/>
          <w:w w:val="105"/>
        </w:rPr>
        <w:t>high</w:t>
      </w:r>
      <w:r>
        <w:rPr>
          <w:color w:val="231F20"/>
          <w:spacing w:val="-15"/>
          <w:w w:val="105"/>
        </w:rPr>
        <w:t> </w:t>
      </w:r>
      <w:r>
        <w:rPr>
          <w:color w:val="231F20"/>
          <w:w w:val="105"/>
        </w:rPr>
        <w:t>GFR</w:t>
      </w:r>
      <w:r>
        <w:rPr>
          <w:color w:val="231F20"/>
          <w:spacing w:val="-14"/>
          <w:w w:val="105"/>
        </w:rPr>
        <w:t> </w:t>
      </w:r>
      <w:r>
        <w:rPr>
          <w:color w:val="231F20"/>
          <w:w w:val="105"/>
        </w:rPr>
        <w:t>allows</w:t>
      </w:r>
      <w:r>
        <w:rPr>
          <w:color w:val="231F20"/>
          <w:spacing w:val="-15"/>
          <w:w w:val="105"/>
        </w:rPr>
        <w:t> </w:t>
      </w:r>
      <w:r>
        <w:rPr>
          <w:color w:val="231F20"/>
          <w:w w:val="105"/>
        </w:rPr>
        <w:t>the</w:t>
      </w:r>
      <w:r>
        <w:rPr>
          <w:color w:val="231F20"/>
          <w:spacing w:val="-14"/>
          <w:w w:val="105"/>
        </w:rPr>
        <w:t> </w:t>
      </w:r>
      <w:r>
        <w:rPr>
          <w:color w:val="231F20"/>
          <w:w w:val="105"/>
        </w:rPr>
        <w:t>kidneys</w:t>
      </w:r>
      <w:r>
        <w:rPr>
          <w:color w:val="231F20"/>
          <w:spacing w:val="-15"/>
          <w:w w:val="105"/>
        </w:rPr>
        <w:t> </w:t>
      </w:r>
      <w:r>
        <w:rPr>
          <w:color w:val="231F20"/>
          <w:w w:val="105"/>
        </w:rPr>
        <w:t>to</w:t>
      </w:r>
      <w:r>
        <w:rPr>
          <w:color w:val="231F20"/>
          <w:spacing w:val="-14"/>
          <w:w w:val="105"/>
        </w:rPr>
        <w:t> </w:t>
      </w:r>
      <w:r>
        <w:rPr>
          <w:color w:val="231F20"/>
          <w:w w:val="105"/>
        </w:rPr>
        <w:t>pre- cisely</w:t>
      </w:r>
      <w:r>
        <w:rPr>
          <w:color w:val="231F20"/>
          <w:spacing w:val="-16"/>
          <w:w w:val="105"/>
        </w:rPr>
        <w:t> </w:t>
      </w:r>
      <w:r>
        <w:rPr>
          <w:color w:val="231F20"/>
          <w:w w:val="105"/>
        </w:rPr>
        <w:t>and</w:t>
      </w:r>
      <w:r>
        <w:rPr>
          <w:color w:val="231F20"/>
          <w:spacing w:val="-15"/>
          <w:w w:val="105"/>
        </w:rPr>
        <w:t> </w:t>
      </w:r>
      <w:r>
        <w:rPr>
          <w:color w:val="231F20"/>
          <w:w w:val="105"/>
        </w:rPr>
        <w:t>rapidly</w:t>
      </w:r>
      <w:r>
        <w:rPr>
          <w:color w:val="231F20"/>
          <w:spacing w:val="-15"/>
          <w:w w:val="105"/>
        </w:rPr>
        <w:t> </w:t>
      </w:r>
      <w:r>
        <w:rPr>
          <w:color w:val="231F20"/>
          <w:w w:val="105"/>
        </w:rPr>
        <w:t>control</w:t>
      </w:r>
      <w:r>
        <w:rPr>
          <w:color w:val="231F20"/>
          <w:spacing w:val="-15"/>
          <w:w w:val="105"/>
        </w:rPr>
        <w:t> </w:t>
      </w:r>
      <w:r>
        <w:rPr>
          <w:color w:val="231F20"/>
          <w:w w:val="105"/>
        </w:rPr>
        <w:t>the</w:t>
      </w:r>
      <w:r>
        <w:rPr>
          <w:color w:val="231F20"/>
          <w:spacing w:val="-15"/>
          <w:w w:val="105"/>
        </w:rPr>
        <w:t> </w:t>
      </w:r>
      <w:r>
        <w:rPr>
          <w:color w:val="231F20"/>
          <w:w w:val="105"/>
        </w:rPr>
        <w:t>volume</w:t>
      </w:r>
      <w:r>
        <w:rPr>
          <w:color w:val="231F20"/>
          <w:spacing w:val="-15"/>
          <w:w w:val="105"/>
        </w:rPr>
        <w:t> </w:t>
      </w:r>
      <w:r>
        <w:rPr>
          <w:color w:val="231F20"/>
          <w:w w:val="105"/>
        </w:rPr>
        <w:t>and</w:t>
      </w:r>
      <w:r>
        <w:rPr>
          <w:color w:val="231F20"/>
          <w:spacing w:val="-15"/>
          <w:w w:val="105"/>
        </w:rPr>
        <w:t> </w:t>
      </w:r>
      <w:r>
        <w:rPr>
          <w:color w:val="231F20"/>
          <w:w w:val="105"/>
        </w:rPr>
        <w:t>composition</w:t>
      </w:r>
      <w:r>
        <w:rPr>
          <w:color w:val="231F20"/>
          <w:spacing w:val="-15"/>
          <w:w w:val="105"/>
        </w:rPr>
        <w:t> </w:t>
      </w:r>
      <w:r>
        <w:rPr>
          <w:color w:val="231F20"/>
          <w:spacing w:val="-8"/>
          <w:w w:val="105"/>
        </w:rPr>
        <w:t>of </w:t>
      </w:r>
      <w:r>
        <w:rPr>
          <w:color w:val="231F20"/>
          <w:w w:val="105"/>
        </w:rPr>
        <w:t>the body</w:t>
      </w:r>
      <w:r>
        <w:rPr>
          <w:color w:val="231F20"/>
          <w:spacing w:val="5"/>
          <w:w w:val="105"/>
        </w:rPr>
        <w:t> </w:t>
      </w:r>
      <w:r>
        <w:rPr>
          <w:color w:val="231F20"/>
          <w:w w:val="105"/>
        </w:rPr>
        <w:t>fluids.</w:t>
      </w:r>
    </w:p>
    <w:p>
      <w:pPr>
        <w:pStyle w:val="BodyText"/>
        <w:spacing w:before="3"/>
        <w:rPr>
          <w:sz w:val="22"/>
        </w:rPr>
      </w:pPr>
    </w:p>
    <w:p>
      <w:pPr>
        <w:pStyle w:val="Heading1"/>
      </w:pPr>
      <w:r>
        <w:rPr>
          <w:color w:val="231F20"/>
        </w:rPr>
        <w:t>Bibliography</w:t>
      </w:r>
    </w:p>
    <w:p>
      <w:pPr>
        <w:spacing w:line="261" w:lineRule="auto" w:before="99"/>
        <w:ind w:left="479" w:right="1359" w:hanging="160"/>
        <w:jc w:val="left"/>
        <w:rPr>
          <w:rFonts w:ascii="Arial"/>
          <w:sz w:val="16"/>
        </w:rPr>
      </w:pPr>
      <w:r>
        <w:rPr>
          <w:rFonts w:ascii="Arial"/>
          <w:color w:val="231F20"/>
          <w:sz w:val="16"/>
        </w:rPr>
        <w:t>Beeuwkes R III: The vascular organization of the kidney. Annu Rev Physiol 42:531, 1980.</w:t>
      </w:r>
    </w:p>
    <w:p>
      <w:pPr>
        <w:spacing w:line="261" w:lineRule="auto" w:before="0"/>
        <w:ind w:left="479" w:right="1430" w:hanging="160"/>
        <w:jc w:val="left"/>
        <w:rPr>
          <w:rFonts w:ascii="Arial"/>
          <w:sz w:val="16"/>
        </w:rPr>
      </w:pPr>
      <w:r>
        <w:rPr>
          <w:rFonts w:ascii="Arial"/>
          <w:color w:val="231F20"/>
          <w:sz w:val="16"/>
        </w:rPr>
        <w:t>Bosworth C, de Boer IH: Impaired vitamin D metabolism in CKD. Semin Nephrol 33:158, 2013.</w:t>
      </w:r>
    </w:p>
    <w:p>
      <w:pPr>
        <w:spacing w:line="195" w:lineRule="exact" w:before="0"/>
        <w:ind w:left="319" w:right="0" w:firstLine="0"/>
        <w:jc w:val="left"/>
        <w:rPr>
          <w:rFonts w:ascii="Arial" w:hAnsi="Arial"/>
          <w:sz w:val="16"/>
        </w:rPr>
      </w:pPr>
      <w:r>
        <w:rPr>
          <w:rFonts w:ascii="Arial" w:hAnsi="Arial"/>
          <w:color w:val="231F20"/>
          <w:sz w:val="16"/>
        </w:rPr>
        <w:t>Brown D, Bouley R, P</w:t>
      </w:r>
      <w:r>
        <w:rPr>
          <w:rFonts w:ascii="Calibri" w:hAnsi="Calibri"/>
          <w:color w:val="231F20"/>
          <w:sz w:val="17"/>
        </w:rPr>
        <w:t>ă</w:t>
      </w:r>
      <w:r>
        <w:rPr>
          <w:rFonts w:ascii="Arial" w:hAnsi="Arial"/>
          <w:color w:val="231F20"/>
          <w:sz w:val="16"/>
        </w:rPr>
        <w:t>unescu TG, et al: New insights into the dynamic</w:t>
      </w:r>
    </w:p>
    <w:p>
      <w:pPr>
        <w:spacing w:line="261" w:lineRule="auto" w:before="3"/>
        <w:ind w:left="479" w:right="1430" w:firstLine="0"/>
        <w:jc w:val="left"/>
        <w:rPr>
          <w:rFonts w:ascii="Arial"/>
          <w:sz w:val="16"/>
        </w:rPr>
      </w:pPr>
      <w:r>
        <w:rPr>
          <w:rFonts w:ascii="Arial"/>
          <w:color w:val="231F20"/>
          <w:sz w:val="16"/>
        </w:rPr>
        <w:t>regulation</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water</w:t>
      </w:r>
      <w:r>
        <w:rPr>
          <w:rFonts w:ascii="Arial"/>
          <w:color w:val="231F20"/>
          <w:spacing w:val="-16"/>
          <w:sz w:val="16"/>
        </w:rPr>
        <w:t> </w:t>
      </w:r>
      <w:r>
        <w:rPr>
          <w:rFonts w:ascii="Arial"/>
          <w:color w:val="231F20"/>
          <w:sz w:val="16"/>
        </w:rPr>
        <w:t>and</w:t>
      </w:r>
      <w:r>
        <w:rPr>
          <w:rFonts w:ascii="Arial"/>
          <w:color w:val="231F20"/>
          <w:spacing w:val="-15"/>
          <w:sz w:val="16"/>
        </w:rPr>
        <w:t> </w:t>
      </w:r>
      <w:r>
        <w:rPr>
          <w:rFonts w:ascii="Arial"/>
          <w:color w:val="231F20"/>
          <w:sz w:val="16"/>
        </w:rPr>
        <w:t>acid-base</w:t>
      </w:r>
      <w:r>
        <w:rPr>
          <w:rFonts w:ascii="Arial"/>
          <w:color w:val="231F20"/>
          <w:spacing w:val="-16"/>
          <w:sz w:val="16"/>
        </w:rPr>
        <w:t> </w:t>
      </w:r>
      <w:r>
        <w:rPr>
          <w:rFonts w:ascii="Arial"/>
          <w:color w:val="231F20"/>
          <w:sz w:val="16"/>
        </w:rPr>
        <w:t>balance</w:t>
      </w:r>
      <w:r>
        <w:rPr>
          <w:rFonts w:ascii="Arial"/>
          <w:color w:val="231F20"/>
          <w:spacing w:val="-16"/>
          <w:sz w:val="16"/>
        </w:rPr>
        <w:t> </w:t>
      </w:r>
      <w:r>
        <w:rPr>
          <w:rFonts w:ascii="Arial"/>
          <w:color w:val="231F20"/>
          <w:sz w:val="16"/>
        </w:rPr>
        <w:t>by</w:t>
      </w:r>
      <w:r>
        <w:rPr>
          <w:rFonts w:ascii="Arial"/>
          <w:color w:val="231F20"/>
          <w:spacing w:val="-15"/>
          <w:sz w:val="16"/>
        </w:rPr>
        <w:t> </w:t>
      </w:r>
      <w:r>
        <w:rPr>
          <w:rFonts w:ascii="Arial"/>
          <w:color w:val="231F20"/>
          <w:sz w:val="16"/>
        </w:rPr>
        <w:t>renal</w:t>
      </w:r>
      <w:r>
        <w:rPr>
          <w:rFonts w:ascii="Arial"/>
          <w:color w:val="231F20"/>
          <w:spacing w:val="-16"/>
          <w:sz w:val="16"/>
        </w:rPr>
        <w:t> </w:t>
      </w:r>
      <w:r>
        <w:rPr>
          <w:rFonts w:ascii="Arial"/>
          <w:color w:val="231F20"/>
          <w:sz w:val="16"/>
        </w:rPr>
        <w:t>epithelial</w:t>
      </w:r>
      <w:r>
        <w:rPr>
          <w:rFonts w:ascii="Arial"/>
          <w:color w:val="231F20"/>
          <w:spacing w:val="-16"/>
          <w:sz w:val="16"/>
        </w:rPr>
        <w:t> </w:t>
      </w:r>
      <w:r>
        <w:rPr>
          <w:rFonts w:ascii="Arial"/>
          <w:color w:val="231F20"/>
          <w:spacing w:val="-3"/>
          <w:sz w:val="16"/>
        </w:rPr>
        <w:t>cells. </w:t>
      </w:r>
      <w:r>
        <w:rPr>
          <w:rFonts w:ascii="Arial"/>
          <w:color w:val="231F20"/>
          <w:sz w:val="16"/>
        </w:rPr>
        <w:t>Am J Physiol Cell Physiol 302:C1421,</w:t>
      </w:r>
      <w:r>
        <w:rPr>
          <w:rFonts w:ascii="Arial"/>
          <w:color w:val="231F20"/>
          <w:spacing w:val="20"/>
          <w:sz w:val="16"/>
        </w:rPr>
        <w:t> </w:t>
      </w:r>
      <w:r>
        <w:rPr>
          <w:rFonts w:ascii="Arial"/>
          <w:color w:val="231F20"/>
          <w:sz w:val="16"/>
        </w:rPr>
        <w:t>2012.</w:t>
      </w:r>
    </w:p>
    <w:p>
      <w:pPr>
        <w:spacing w:line="261" w:lineRule="auto" w:before="0"/>
        <w:ind w:left="479" w:right="1438" w:hanging="160"/>
        <w:jc w:val="both"/>
        <w:rPr>
          <w:rFonts w:ascii="Arial"/>
          <w:sz w:val="16"/>
        </w:rPr>
      </w:pPr>
      <w:r>
        <w:rPr>
          <w:rFonts w:ascii="Arial"/>
          <w:color w:val="231F20"/>
          <w:sz w:val="16"/>
        </w:rPr>
        <w:t>DiBona</w:t>
      </w:r>
      <w:r>
        <w:rPr>
          <w:rFonts w:ascii="Arial"/>
          <w:color w:val="231F20"/>
          <w:spacing w:val="-29"/>
          <w:sz w:val="16"/>
        </w:rPr>
        <w:t> </w:t>
      </w:r>
      <w:r>
        <w:rPr>
          <w:rFonts w:ascii="Arial"/>
          <w:color w:val="231F20"/>
          <w:sz w:val="16"/>
        </w:rPr>
        <w:t>GF:</w:t>
      </w:r>
      <w:r>
        <w:rPr>
          <w:rFonts w:ascii="Arial"/>
          <w:color w:val="231F20"/>
          <w:spacing w:val="-29"/>
          <w:sz w:val="16"/>
        </w:rPr>
        <w:t> </w:t>
      </w:r>
      <w:r>
        <w:rPr>
          <w:rFonts w:ascii="Arial"/>
          <w:color w:val="231F20"/>
          <w:sz w:val="16"/>
        </w:rPr>
        <w:t>Physiology</w:t>
      </w:r>
      <w:r>
        <w:rPr>
          <w:rFonts w:ascii="Arial"/>
          <w:color w:val="231F20"/>
          <w:spacing w:val="-29"/>
          <w:sz w:val="16"/>
        </w:rPr>
        <w:t> </w:t>
      </w:r>
      <w:r>
        <w:rPr>
          <w:rFonts w:ascii="Arial"/>
          <w:color w:val="231F20"/>
          <w:sz w:val="16"/>
        </w:rPr>
        <w:t>in</w:t>
      </w:r>
      <w:r>
        <w:rPr>
          <w:rFonts w:ascii="Arial"/>
          <w:color w:val="231F20"/>
          <w:spacing w:val="-29"/>
          <w:sz w:val="16"/>
        </w:rPr>
        <w:t> </w:t>
      </w:r>
      <w:r>
        <w:rPr>
          <w:rFonts w:ascii="Arial"/>
          <w:color w:val="231F20"/>
          <w:sz w:val="16"/>
        </w:rPr>
        <w:t>perspective:</w:t>
      </w:r>
      <w:r>
        <w:rPr>
          <w:rFonts w:ascii="Arial"/>
          <w:color w:val="231F20"/>
          <w:spacing w:val="-28"/>
          <w:sz w:val="16"/>
        </w:rPr>
        <w:t> </w:t>
      </w:r>
      <w:r>
        <w:rPr>
          <w:rFonts w:ascii="Arial"/>
          <w:color w:val="231F20"/>
          <w:sz w:val="16"/>
        </w:rPr>
        <w:t>the</w:t>
      </w:r>
      <w:r>
        <w:rPr>
          <w:rFonts w:ascii="Arial"/>
          <w:color w:val="231F20"/>
          <w:spacing w:val="-29"/>
          <w:sz w:val="16"/>
        </w:rPr>
        <w:t> </w:t>
      </w:r>
      <w:r>
        <w:rPr>
          <w:rFonts w:ascii="Arial"/>
          <w:color w:val="231F20"/>
          <w:sz w:val="16"/>
        </w:rPr>
        <w:t>wisdom</w:t>
      </w:r>
      <w:r>
        <w:rPr>
          <w:rFonts w:ascii="Arial"/>
          <w:color w:val="231F20"/>
          <w:spacing w:val="-29"/>
          <w:sz w:val="16"/>
        </w:rPr>
        <w:t> </w:t>
      </w:r>
      <w:r>
        <w:rPr>
          <w:rFonts w:ascii="Arial"/>
          <w:color w:val="231F20"/>
          <w:sz w:val="16"/>
        </w:rPr>
        <w:t>of</w:t>
      </w:r>
      <w:r>
        <w:rPr>
          <w:rFonts w:ascii="Arial"/>
          <w:color w:val="231F20"/>
          <w:spacing w:val="-29"/>
          <w:sz w:val="16"/>
        </w:rPr>
        <w:t> </w:t>
      </w:r>
      <w:r>
        <w:rPr>
          <w:rFonts w:ascii="Arial"/>
          <w:color w:val="231F20"/>
          <w:sz w:val="16"/>
        </w:rPr>
        <w:t>the</w:t>
      </w:r>
      <w:r>
        <w:rPr>
          <w:rFonts w:ascii="Arial"/>
          <w:color w:val="231F20"/>
          <w:spacing w:val="-28"/>
          <w:sz w:val="16"/>
        </w:rPr>
        <w:t> </w:t>
      </w:r>
      <w:r>
        <w:rPr>
          <w:rFonts w:ascii="Arial"/>
          <w:color w:val="231F20"/>
          <w:spacing w:val="-3"/>
          <w:sz w:val="16"/>
        </w:rPr>
        <w:t>body.</w:t>
      </w:r>
      <w:r>
        <w:rPr>
          <w:rFonts w:ascii="Arial"/>
          <w:color w:val="231F20"/>
          <w:spacing w:val="-29"/>
          <w:sz w:val="16"/>
        </w:rPr>
        <w:t> </w:t>
      </w:r>
      <w:r>
        <w:rPr>
          <w:rFonts w:ascii="Arial"/>
          <w:color w:val="231F20"/>
          <w:sz w:val="16"/>
        </w:rPr>
        <w:t>Neural control of the </w:t>
      </w:r>
      <w:r>
        <w:rPr>
          <w:rFonts w:ascii="Arial"/>
          <w:color w:val="231F20"/>
          <w:spacing w:val="-3"/>
          <w:sz w:val="16"/>
        </w:rPr>
        <w:t>kidney. </w:t>
      </w:r>
      <w:r>
        <w:rPr>
          <w:rFonts w:ascii="Arial"/>
          <w:color w:val="231F20"/>
          <w:sz w:val="16"/>
        </w:rPr>
        <w:t>Am J Physiol Regul Integr Comp Physiol 289:R633,</w:t>
      </w:r>
      <w:r>
        <w:rPr>
          <w:rFonts w:ascii="Arial"/>
          <w:color w:val="231F20"/>
          <w:spacing w:val="7"/>
          <w:sz w:val="16"/>
        </w:rPr>
        <w:t> </w:t>
      </w:r>
      <w:r>
        <w:rPr>
          <w:rFonts w:ascii="Arial"/>
          <w:color w:val="231F20"/>
          <w:sz w:val="16"/>
        </w:rPr>
        <w:t>2005.</w:t>
      </w:r>
    </w:p>
    <w:p>
      <w:pPr>
        <w:spacing w:line="261" w:lineRule="auto" w:before="0"/>
        <w:ind w:left="479" w:right="1439" w:hanging="160"/>
        <w:jc w:val="both"/>
        <w:rPr>
          <w:rFonts w:ascii="Arial"/>
          <w:sz w:val="16"/>
        </w:rPr>
      </w:pPr>
      <w:r>
        <w:rPr>
          <w:rFonts w:ascii="Arial"/>
          <w:color w:val="231F20"/>
          <w:sz w:val="16"/>
        </w:rPr>
        <w:t>Fowler CJ, Griffiths D, de Groat WC: The neural control of micturi- tion. Nat Rev Neurosci 9:453, 2008.</w:t>
      </w:r>
    </w:p>
    <w:p>
      <w:pPr>
        <w:spacing w:line="261" w:lineRule="auto" w:before="0"/>
        <w:ind w:left="479" w:right="1439" w:hanging="160"/>
        <w:jc w:val="both"/>
        <w:rPr>
          <w:rFonts w:ascii="Arial"/>
          <w:sz w:val="16"/>
        </w:rPr>
      </w:pPr>
      <w:r>
        <w:rPr>
          <w:rFonts w:ascii="Arial"/>
          <w:color w:val="231F20"/>
          <w:sz w:val="16"/>
        </w:rPr>
        <w:t>Griffiths</w:t>
      </w:r>
      <w:r>
        <w:rPr>
          <w:rFonts w:ascii="Arial"/>
          <w:color w:val="231F20"/>
          <w:spacing w:val="-13"/>
          <w:sz w:val="16"/>
        </w:rPr>
        <w:t> </w:t>
      </w:r>
      <w:r>
        <w:rPr>
          <w:rFonts w:ascii="Arial"/>
          <w:color w:val="231F20"/>
          <w:sz w:val="16"/>
        </w:rPr>
        <w:t>DJ,</w:t>
      </w:r>
      <w:r>
        <w:rPr>
          <w:rFonts w:ascii="Arial"/>
          <w:color w:val="231F20"/>
          <w:spacing w:val="-13"/>
          <w:sz w:val="16"/>
        </w:rPr>
        <w:t> </w:t>
      </w:r>
      <w:r>
        <w:rPr>
          <w:rFonts w:ascii="Arial"/>
          <w:color w:val="231F20"/>
          <w:sz w:val="16"/>
        </w:rPr>
        <w:t>Fowler</w:t>
      </w:r>
      <w:r>
        <w:rPr>
          <w:rFonts w:ascii="Arial"/>
          <w:color w:val="231F20"/>
          <w:spacing w:val="-12"/>
          <w:sz w:val="16"/>
        </w:rPr>
        <w:t> </w:t>
      </w:r>
      <w:r>
        <w:rPr>
          <w:rFonts w:ascii="Arial"/>
          <w:color w:val="231F20"/>
          <w:sz w:val="16"/>
        </w:rPr>
        <w:t>CJ:</w:t>
      </w:r>
      <w:r>
        <w:rPr>
          <w:rFonts w:ascii="Arial"/>
          <w:color w:val="231F20"/>
          <w:spacing w:val="-13"/>
          <w:sz w:val="16"/>
        </w:rPr>
        <w:t> </w:t>
      </w:r>
      <w:r>
        <w:rPr>
          <w:rFonts w:ascii="Arial"/>
          <w:color w:val="231F20"/>
          <w:sz w:val="16"/>
        </w:rPr>
        <w:t>The</w:t>
      </w:r>
      <w:r>
        <w:rPr>
          <w:rFonts w:ascii="Arial"/>
          <w:color w:val="231F20"/>
          <w:spacing w:val="-12"/>
          <w:sz w:val="16"/>
        </w:rPr>
        <w:t> </w:t>
      </w:r>
      <w:r>
        <w:rPr>
          <w:rFonts w:ascii="Arial"/>
          <w:color w:val="231F20"/>
          <w:sz w:val="16"/>
        </w:rPr>
        <w:t>micturition</w:t>
      </w:r>
      <w:r>
        <w:rPr>
          <w:rFonts w:ascii="Arial"/>
          <w:color w:val="231F20"/>
          <w:spacing w:val="-13"/>
          <w:sz w:val="16"/>
        </w:rPr>
        <w:t> </w:t>
      </w:r>
      <w:r>
        <w:rPr>
          <w:rFonts w:ascii="Arial"/>
          <w:color w:val="231F20"/>
          <w:sz w:val="16"/>
        </w:rPr>
        <w:t>switch</w:t>
      </w:r>
      <w:r>
        <w:rPr>
          <w:rFonts w:ascii="Arial"/>
          <w:color w:val="231F20"/>
          <w:spacing w:val="-12"/>
          <w:sz w:val="16"/>
        </w:rPr>
        <w:t> </w:t>
      </w:r>
      <w:r>
        <w:rPr>
          <w:rFonts w:ascii="Arial"/>
          <w:color w:val="231F20"/>
          <w:sz w:val="16"/>
        </w:rPr>
        <w:t>and</w:t>
      </w:r>
      <w:r>
        <w:rPr>
          <w:rFonts w:ascii="Arial"/>
          <w:color w:val="231F20"/>
          <w:spacing w:val="-13"/>
          <w:sz w:val="16"/>
        </w:rPr>
        <w:t> </w:t>
      </w:r>
      <w:r>
        <w:rPr>
          <w:rFonts w:ascii="Arial"/>
          <w:color w:val="231F20"/>
          <w:sz w:val="16"/>
        </w:rPr>
        <w:t>its</w:t>
      </w:r>
      <w:r>
        <w:rPr>
          <w:rFonts w:ascii="Arial"/>
          <w:color w:val="231F20"/>
          <w:spacing w:val="-12"/>
          <w:sz w:val="16"/>
        </w:rPr>
        <w:t> </w:t>
      </w:r>
      <w:r>
        <w:rPr>
          <w:rFonts w:ascii="Arial"/>
          <w:color w:val="231F20"/>
          <w:sz w:val="16"/>
        </w:rPr>
        <w:t>forebrain</w:t>
      </w:r>
      <w:r>
        <w:rPr>
          <w:rFonts w:ascii="Arial"/>
          <w:color w:val="231F20"/>
          <w:spacing w:val="-13"/>
          <w:sz w:val="16"/>
        </w:rPr>
        <w:t> </w:t>
      </w:r>
      <w:r>
        <w:rPr>
          <w:rFonts w:ascii="Arial"/>
          <w:color w:val="231F20"/>
          <w:spacing w:val="-3"/>
          <w:sz w:val="16"/>
        </w:rPr>
        <w:t>influ- </w:t>
      </w:r>
      <w:r>
        <w:rPr>
          <w:rFonts w:ascii="Arial"/>
          <w:color w:val="231F20"/>
          <w:sz w:val="16"/>
        </w:rPr>
        <w:t>ences. Acta Physiol (Oxf) 207:93,</w:t>
      </w:r>
      <w:r>
        <w:rPr>
          <w:rFonts w:ascii="Arial"/>
          <w:color w:val="231F20"/>
          <w:spacing w:val="22"/>
          <w:sz w:val="16"/>
        </w:rPr>
        <w:t> </w:t>
      </w:r>
      <w:r>
        <w:rPr>
          <w:rFonts w:ascii="Arial"/>
          <w:color w:val="231F20"/>
          <w:sz w:val="16"/>
        </w:rPr>
        <w:t>2013.</w:t>
      </w:r>
    </w:p>
    <w:p>
      <w:pPr>
        <w:spacing w:line="261" w:lineRule="auto" w:before="0"/>
        <w:ind w:left="479" w:right="1438" w:hanging="160"/>
        <w:jc w:val="both"/>
        <w:rPr>
          <w:rFonts w:ascii="Arial"/>
          <w:sz w:val="16"/>
        </w:rPr>
      </w:pPr>
      <w:r>
        <w:rPr>
          <w:rFonts w:ascii="Arial"/>
          <w:color w:val="231F20"/>
          <w:sz w:val="16"/>
        </w:rPr>
        <w:t>Hall JE, Granger </w:t>
      </w:r>
      <w:r>
        <w:rPr>
          <w:rFonts w:ascii="Arial"/>
          <w:color w:val="231F20"/>
          <w:spacing w:val="-9"/>
          <w:sz w:val="16"/>
        </w:rPr>
        <w:t>JP, </w:t>
      </w:r>
      <w:r>
        <w:rPr>
          <w:rFonts w:ascii="Arial"/>
          <w:color w:val="231F20"/>
          <w:sz w:val="16"/>
        </w:rPr>
        <w:t>Hall ME: Physiology and pathophysiology </w:t>
      </w:r>
      <w:r>
        <w:rPr>
          <w:rFonts w:ascii="Arial"/>
          <w:color w:val="231F20"/>
          <w:spacing w:val="-8"/>
          <w:sz w:val="16"/>
        </w:rPr>
        <w:t>of </w:t>
      </w:r>
      <w:r>
        <w:rPr>
          <w:rFonts w:ascii="Arial"/>
          <w:color w:val="231F20"/>
          <w:sz w:val="16"/>
        </w:rPr>
        <w:t>hypertension.</w:t>
      </w:r>
      <w:r>
        <w:rPr>
          <w:rFonts w:ascii="Arial"/>
          <w:color w:val="231F20"/>
          <w:spacing w:val="-15"/>
          <w:sz w:val="16"/>
        </w:rPr>
        <w:t> </w:t>
      </w:r>
      <w:r>
        <w:rPr>
          <w:rFonts w:ascii="Arial"/>
          <w:color w:val="231F20"/>
          <w:sz w:val="16"/>
        </w:rPr>
        <w:t>In:</w:t>
      </w:r>
      <w:r>
        <w:rPr>
          <w:rFonts w:ascii="Arial"/>
          <w:color w:val="231F20"/>
          <w:spacing w:val="-14"/>
          <w:sz w:val="16"/>
        </w:rPr>
        <w:t> </w:t>
      </w:r>
      <w:r>
        <w:rPr>
          <w:rFonts w:ascii="Arial"/>
          <w:color w:val="231F20"/>
          <w:sz w:val="16"/>
        </w:rPr>
        <w:t>Alpern</w:t>
      </w:r>
      <w:r>
        <w:rPr>
          <w:rFonts w:ascii="Arial"/>
          <w:color w:val="231F20"/>
          <w:spacing w:val="-14"/>
          <w:sz w:val="16"/>
        </w:rPr>
        <w:t> </w:t>
      </w:r>
      <w:r>
        <w:rPr>
          <w:rFonts w:ascii="Arial"/>
          <w:color w:val="231F20"/>
          <w:sz w:val="16"/>
        </w:rPr>
        <w:t>RJ,</w:t>
      </w:r>
      <w:r>
        <w:rPr>
          <w:rFonts w:ascii="Arial"/>
          <w:color w:val="231F20"/>
          <w:spacing w:val="-14"/>
          <w:sz w:val="16"/>
        </w:rPr>
        <w:t> </w:t>
      </w:r>
      <w:r>
        <w:rPr>
          <w:rFonts w:ascii="Arial"/>
          <w:color w:val="231F20"/>
          <w:sz w:val="16"/>
        </w:rPr>
        <w:t>Moe</w:t>
      </w:r>
      <w:r>
        <w:rPr>
          <w:rFonts w:ascii="Arial"/>
          <w:color w:val="231F20"/>
          <w:spacing w:val="-14"/>
          <w:sz w:val="16"/>
        </w:rPr>
        <w:t> </w:t>
      </w:r>
      <w:r>
        <w:rPr>
          <w:rFonts w:ascii="Arial"/>
          <w:color w:val="231F20"/>
          <w:spacing w:val="-4"/>
          <w:sz w:val="16"/>
        </w:rPr>
        <w:t>OW,</w:t>
      </w:r>
      <w:r>
        <w:rPr>
          <w:rFonts w:ascii="Arial"/>
          <w:color w:val="231F20"/>
          <w:spacing w:val="-14"/>
          <w:sz w:val="16"/>
        </w:rPr>
        <w:t> </w:t>
      </w:r>
      <w:r>
        <w:rPr>
          <w:rFonts w:ascii="Arial"/>
          <w:color w:val="231F20"/>
          <w:sz w:val="16"/>
        </w:rPr>
        <w:t>Caplan</w:t>
      </w:r>
      <w:r>
        <w:rPr>
          <w:rFonts w:ascii="Arial"/>
          <w:color w:val="231F20"/>
          <w:spacing w:val="-14"/>
          <w:sz w:val="16"/>
        </w:rPr>
        <w:t> </w:t>
      </w:r>
      <w:r>
        <w:rPr>
          <w:rFonts w:ascii="Arial"/>
          <w:color w:val="231F20"/>
          <w:sz w:val="16"/>
        </w:rPr>
        <w:t>M</w:t>
      </w:r>
      <w:r>
        <w:rPr>
          <w:rFonts w:ascii="Arial"/>
          <w:color w:val="231F20"/>
          <w:spacing w:val="-14"/>
          <w:sz w:val="16"/>
        </w:rPr>
        <w:t> </w:t>
      </w:r>
      <w:r>
        <w:rPr>
          <w:rFonts w:ascii="Arial"/>
          <w:color w:val="231F20"/>
          <w:sz w:val="16"/>
        </w:rPr>
        <w:t>(eds):</w:t>
      </w:r>
      <w:r>
        <w:rPr>
          <w:rFonts w:ascii="Arial"/>
          <w:color w:val="231F20"/>
          <w:spacing w:val="-14"/>
          <w:sz w:val="16"/>
        </w:rPr>
        <w:t> </w:t>
      </w:r>
      <w:r>
        <w:rPr>
          <w:rFonts w:ascii="Arial"/>
          <w:color w:val="231F20"/>
          <w:sz w:val="16"/>
        </w:rPr>
        <w:t>Seldin</w:t>
      </w:r>
      <w:r>
        <w:rPr>
          <w:rFonts w:ascii="Arial"/>
          <w:color w:val="231F20"/>
          <w:spacing w:val="-14"/>
          <w:sz w:val="16"/>
        </w:rPr>
        <w:t> </w:t>
      </w:r>
      <w:r>
        <w:rPr>
          <w:rFonts w:ascii="Arial"/>
          <w:color w:val="231F20"/>
          <w:spacing w:val="-5"/>
          <w:sz w:val="16"/>
        </w:rPr>
        <w:t>and</w:t>
      </w:r>
    </w:p>
    <w:p>
      <w:pPr>
        <w:spacing w:after="0" w:line="261" w:lineRule="auto"/>
        <w:jc w:val="both"/>
        <w:rPr>
          <w:rFonts w:ascii="Arial"/>
          <w:sz w:val="16"/>
        </w:rPr>
        <w:sectPr>
          <w:type w:val="continuous"/>
          <w:pgSz w:w="12240" w:h="15660"/>
          <w:pgMar w:top="0" w:bottom="760" w:left="0" w:right="0"/>
          <w:cols w:num="2" w:equalWidth="0">
            <w:col w:w="5761" w:space="40"/>
            <w:col w:w="6439"/>
          </w:cols>
        </w:sect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23"/>
        </w:rPr>
      </w:pPr>
    </w:p>
    <w:p>
      <w:pPr>
        <w:spacing w:after="0"/>
        <w:rPr>
          <w:rFonts w:ascii="Arial"/>
          <w:sz w:val="23"/>
        </w:rPr>
        <w:sectPr>
          <w:headerReference w:type="even" r:id="rId374"/>
          <w:pgSz w:w="12240" w:h="15660"/>
          <w:pgMar w:header="0" w:footer="567" w:top="0" w:bottom="760" w:left="0" w:right="0"/>
        </w:sectPr>
      </w:pPr>
    </w:p>
    <w:p>
      <w:pPr>
        <w:spacing w:line="261" w:lineRule="auto" w:before="96"/>
        <w:ind w:left="1600" w:right="0" w:firstLine="0"/>
        <w:jc w:val="both"/>
        <w:rPr>
          <w:rFonts w:ascii="Arial" w:hAnsi="Arial"/>
          <w:sz w:val="16"/>
        </w:rPr>
      </w:pPr>
      <w:r>
        <w:rPr>
          <w:rFonts w:ascii="Arial" w:hAnsi="Arial"/>
          <w:color w:val="231F20"/>
          <w:sz w:val="16"/>
        </w:rPr>
        <w:t>Giebisch’s The Kidney, 5th ed: Physiology &amp; Pathophysiology. London: Elsevier, 2013.</w:t>
      </w:r>
    </w:p>
    <w:p>
      <w:pPr>
        <w:spacing w:line="261" w:lineRule="auto" w:before="0"/>
        <w:ind w:left="1600" w:right="0" w:hanging="160"/>
        <w:jc w:val="both"/>
        <w:rPr>
          <w:rFonts w:ascii="Arial" w:hAnsi="Arial"/>
          <w:sz w:val="16"/>
        </w:rPr>
      </w:pPr>
      <w:r>
        <w:rPr>
          <w:rFonts w:ascii="Arial" w:hAnsi="Arial"/>
          <w:color w:val="231F20"/>
          <w:sz w:val="16"/>
        </w:rPr>
        <w:t>Kriz</w:t>
      </w:r>
      <w:r>
        <w:rPr>
          <w:rFonts w:ascii="Arial" w:hAnsi="Arial"/>
          <w:color w:val="231F20"/>
          <w:spacing w:val="-21"/>
          <w:sz w:val="16"/>
        </w:rPr>
        <w:t> </w:t>
      </w:r>
      <w:r>
        <w:rPr>
          <w:rFonts w:ascii="Arial" w:hAnsi="Arial"/>
          <w:color w:val="231F20"/>
          <w:spacing w:val="-6"/>
          <w:sz w:val="16"/>
        </w:rPr>
        <w:t>W,</w:t>
      </w:r>
      <w:r>
        <w:rPr>
          <w:rFonts w:ascii="Arial" w:hAnsi="Arial"/>
          <w:color w:val="231F20"/>
          <w:spacing w:val="-21"/>
          <w:sz w:val="16"/>
        </w:rPr>
        <w:t> </w:t>
      </w:r>
      <w:r>
        <w:rPr>
          <w:rFonts w:ascii="Arial" w:hAnsi="Arial"/>
          <w:color w:val="231F20"/>
          <w:sz w:val="16"/>
        </w:rPr>
        <w:t>Kaissling</w:t>
      </w:r>
      <w:r>
        <w:rPr>
          <w:rFonts w:ascii="Arial" w:hAnsi="Arial"/>
          <w:color w:val="231F20"/>
          <w:spacing w:val="-20"/>
          <w:sz w:val="16"/>
        </w:rPr>
        <w:t> </w:t>
      </w:r>
      <w:r>
        <w:rPr>
          <w:rFonts w:ascii="Arial" w:hAnsi="Arial"/>
          <w:color w:val="231F20"/>
          <w:sz w:val="16"/>
        </w:rPr>
        <w:t>B:</w:t>
      </w:r>
      <w:r>
        <w:rPr>
          <w:rFonts w:ascii="Arial" w:hAnsi="Arial"/>
          <w:color w:val="231F20"/>
          <w:spacing w:val="-21"/>
          <w:sz w:val="16"/>
        </w:rPr>
        <w:t> </w:t>
      </w:r>
      <w:r>
        <w:rPr>
          <w:rFonts w:ascii="Arial" w:hAnsi="Arial"/>
          <w:color w:val="231F20"/>
          <w:sz w:val="16"/>
        </w:rPr>
        <w:t>Structural</w:t>
      </w:r>
      <w:r>
        <w:rPr>
          <w:rFonts w:ascii="Arial" w:hAnsi="Arial"/>
          <w:color w:val="231F20"/>
          <w:spacing w:val="-21"/>
          <w:sz w:val="16"/>
        </w:rPr>
        <w:t> </w:t>
      </w:r>
      <w:r>
        <w:rPr>
          <w:rFonts w:ascii="Arial" w:hAnsi="Arial"/>
          <w:color w:val="231F20"/>
          <w:sz w:val="16"/>
        </w:rPr>
        <w:t>organization</w:t>
      </w:r>
      <w:r>
        <w:rPr>
          <w:rFonts w:ascii="Arial" w:hAnsi="Arial"/>
          <w:color w:val="231F20"/>
          <w:spacing w:val="-20"/>
          <w:sz w:val="16"/>
        </w:rPr>
        <w:t> </w:t>
      </w:r>
      <w:r>
        <w:rPr>
          <w:rFonts w:ascii="Arial" w:hAnsi="Arial"/>
          <w:color w:val="231F20"/>
          <w:sz w:val="16"/>
        </w:rPr>
        <w:t>of</w:t>
      </w:r>
      <w:r>
        <w:rPr>
          <w:rFonts w:ascii="Arial" w:hAnsi="Arial"/>
          <w:color w:val="231F20"/>
          <w:spacing w:val="-21"/>
          <w:sz w:val="16"/>
        </w:rPr>
        <w:t> </w:t>
      </w:r>
      <w:r>
        <w:rPr>
          <w:rFonts w:ascii="Arial" w:hAnsi="Arial"/>
          <w:color w:val="231F20"/>
          <w:sz w:val="16"/>
        </w:rPr>
        <w:t>the</w:t>
      </w:r>
      <w:r>
        <w:rPr>
          <w:rFonts w:ascii="Arial" w:hAnsi="Arial"/>
          <w:color w:val="231F20"/>
          <w:spacing w:val="-21"/>
          <w:sz w:val="16"/>
        </w:rPr>
        <w:t> </w:t>
      </w:r>
      <w:r>
        <w:rPr>
          <w:rFonts w:ascii="Arial" w:hAnsi="Arial"/>
          <w:color w:val="231F20"/>
          <w:sz w:val="16"/>
        </w:rPr>
        <w:t>mammalian</w:t>
      </w:r>
      <w:r>
        <w:rPr>
          <w:rFonts w:ascii="Arial" w:hAnsi="Arial"/>
          <w:color w:val="231F20"/>
          <w:spacing w:val="-20"/>
          <w:sz w:val="16"/>
        </w:rPr>
        <w:t> </w:t>
      </w:r>
      <w:r>
        <w:rPr>
          <w:rFonts w:ascii="Arial" w:hAnsi="Arial"/>
          <w:color w:val="231F20"/>
          <w:spacing w:val="-6"/>
          <w:sz w:val="16"/>
        </w:rPr>
        <w:t>kidney. </w:t>
      </w:r>
      <w:r>
        <w:rPr>
          <w:rFonts w:ascii="Arial" w:hAnsi="Arial"/>
          <w:color w:val="231F20"/>
          <w:sz w:val="16"/>
        </w:rPr>
        <w:t>In Seldin </w:t>
      </w:r>
      <w:r>
        <w:rPr>
          <w:rFonts w:ascii="Arial" w:hAnsi="Arial"/>
          <w:color w:val="231F20"/>
          <w:spacing w:val="-4"/>
          <w:sz w:val="16"/>
        </w:rPr>
        <w:t>DW, </w:t>
      </w:r>
      <w:r>
        <w:rPr>
          <w:rFonts w:ascii="Arial" w:hAnsi="Arial"/>
          <w:color w:val="231F20"/>
          <w:sz w:val="16"/>
        </w:rPr>
        <w:t>Giebisch G (eds): The Kidney—Physiology </w:t>
      </w:r>
      <w:r>
        <w:rPr>
          <w:rFonts w:ascii="Arial" w:hAnsi="Arial"/>
          <w:color w:val="231F20"/>
          <w:spacing w:val="-5"/>
          <w:sz w:val="16"/>
        </w:rPr>
        <w:t>and </w:t>
      </w:r>
      <w:r>
        <w:rPr>
          <w:rFonts w:ascii="Arial" w:hAnsi="Arial"/>
          <w:color w:val="231F20"/>
          <w:sz w:val="16"/>
        </w:rPr>
        <w:t>Pathophysiology, 3rd ed. New </w:t>
      </w:r>
      <w:r>
        <w:rPr>
          <w:rFonts w:ascii="Arial" w:hAnsi="Arial"/>
          <w:color w:val="231F20"/>
          <w:spacing w:val="-3"/>
          <w:sz w:val="16"/>
        </w:rPr>
        <w:t>York: </w:t>
      </w:r>
      <w:r>
        <w:rPr>
          <w:rFonts w:ascii="Arial" w:hAnsi="Arial"/>
          <w:color w:val="231F20"/>
          <w:sz w:val="16"/>
        </w:rPr>
        <w:t>Raven Press,</w:t>
      </w:r>
      <w:r>
        <w:rPr>
          <w:rFonts w:ascii="Arial" w:hAnsi="Arial"/>
          <w:color w:val="231F20"/>
          <w:spacing w:val="-21"/>
          <w:sz w:val="16"/>
        </w:rPr>
        <w:t> </w:t>
      </w:r>
      <w:r>
        <w:rPr>
          <w:rFonts w:ascii="Arial" w:hAnsi="Arial"/>
          <w:color w:val="231F20"/>
          <w:sz w:val="16"/>
        </w:rPr>
        <w:t>2000.</w:t>
      </w:r>
    </w:p>
    <w:p>
      <w:pPr>
        <w:spacing w:line="261" w:lineRule="auto" w:before="0"/>
        <w:ind w:left="1600" w:right="0" w:hanging="160"/>
        <w:jc w:val="both"/>
        <w:rPr>
          <w:rFonts w:ascii="Arial"/>
          <w:sz w:val="16"/>
        </w:rPr>
      </w:pPr>
      <w:r>
        <w:rPr>
          <w:rFonts w:ascii="Arial"/>
          <w:color w:val="231F20"/>
          <w:sz w:val="16"/>
        </w:rPr>
        <w:t>Negoro</w:t>
      </w:r>
      <w:r>
        <w:rPr>
          <w:rFonts w:ascii="Arial"/>
          <w:color w:val="231F20"/>
          <w:spacing w:val="-14"/>
          <w:sz w:val="16"/>
        </w:rPr>
        <w:t> </w:t>
      </w:r>
      <w:r>
        <w:rPr>
          <w:rFonts w:ascii="Arial"/>
          <w:color w:val="231F20"/>
          <w:sz w:val="16"/>
        </w:rPr>
        <w:t>H,</w:t>
      </w:r>
      <w:r>
        <w:rPr>
          <w:rFonts w:ascii="Arial"/>
          <w:color w:val="231F20"/>
          <w:spacing w:val="-13"/>
          <w:sz w:val="16"/>
        </w:rPr>
        <w:t> </w:t>
      </w:r>
      <w:r>
        <w:rPr>
          <w:rFonts w:ascii="Arial"/>
          <w:color w:val="231F20"/>
          <w:sz w:val="16"/>
        </w:rPr>
        <w:t>Kanematsu</w:t>
      </w:r>
      <w:r>
        <w:rPr>
          <w:rFonts w:ascii="Arial"/>
          <w:color w:val="231F20"/>
          <w:spacing w:val="-14"/>
          <w:sz w:val="16"/>
        </w:rPr>
        <w:t> </w:t>
      </w:r>
      <w:r>
        <w:rPr>
          <w:rFonts w:ascii="Arial"/>
          <w:color w:val="231F20"/>
          <w:sz w:val="16"/>
        </w:rPr>
        <w:t>A,</w:t>
      </w:r>
      <w:r>
        <w:rPr>
          <w:rFonts w:ascii="Arial"/>
          <w:color w:val="231F20"/>
          <w:spacing w:val="-13"/>
          <w:sz w:val="16"/>
        </w:rPr>
        <w:t> </w:t>
      </w:r>
      <w:r>
        <w:rPr>
          <w:rFonts w:ascii="Arial"/>
          <w:color w:val="231F20"/>
          <w:sz w:val="16"/>
        </w:rPr>
        <w:t>Yoshimura</w:t>
      </w:r>
      <w:r>
        <w:rPr>
          <w:rFonts w:ascii="Arial"/>
          <w:color w:val="231F20"/>
          <w:spacing w:val="-13"/>
          <w:sz w:val="16"/>
        </w:rPr>
        <w:t> </w:t>
      </w:r>
      <w:r>
        <w:rPr>
          <w:rFonts w:ascii="Arial"/>
          <w:color w:val="231F20"/>
          <w:sz w:val="16"/>
        </w:rPr>
        <w:t>K,</w:t>
      </w:r>
      <w:r>
        <w:rPr>
          <w:rFonts w:ascii="Arial"/>
          <w:color w:val="231F20"/>
          <w:spacing w:val="-14"/>
          <w:sz w:val="16"/>
        </w:rPr>
        <w:t> </w:t>
      </w:r>
      <w:r>
        <w:rPr>
          <w:rFonts w:ascii="Arial"/>
          <w:color w:val="231F20"/>
          <w:sz w:val="16"/>
        </w:rPr>
        <w:t>Ogawa</w:t>
      </w:r>
      <w:r>
        <w:rPr>
          <w:rFonts w:ascii="Arial"/>
          <w:color w:val="231F20"/>
          <w:spacing w:val="-13"/>
          <w:sz w:val="16"/>
        </w:rPr>
        <w:t> </w:t>
      </w:r>
      <w:r>
        <w:rPr>
          <w:rFonts w:ascii="Arial"/>
          <w:color w:val="231F20"/>
          <w:sz w:val="16"/>
        </w:rPr>
        <w:t>O:</w:t>
      </w:r>
      <w:r>
        <w:rPr>
          <w:rFonts w:ascii="Arial"/>
          <w:color w:val="231F20"/>
          <w:spacing w:val="-14"/>
          <w:sz w:val="16"/>
        </w:rPr>
        <w:t> </w:t>
      </w:r>
      <w:r>
        <w:rPr>
          <w:rFonts w:ascii="Arial"/>
          <w:color w:val="231F20"/>
          <w:sz w:val="16"/>
        </w:rPr>
        <w:t>Chronobiology</w:t>
      </w:r>
      <w:r>
        <w:rPr>
          <w:rFonts w:ascii="Arial"/>
          <w:color w:val="231F20"/>
          <w:spacing w:val="-13"/>
          <w:sz w:val="16"/>
        </w:rPr>
        <w:t> </w:t>
      </w:r>
      <w:r>
        <w:rPr>
          <w:rFonts w:ascii="Arial"/>
          <w:color w:val="231F20"/>
          <w:spacing w:val="-7"/>
          <w:sz w:val="16"/>
        </w:rPr>
        <w:t>of </w:t>
      </w:r>
      <w:r>
        <w:rPr>
          <w:rFonts w:ascii="Arial"/>
          <w:color w:val="231F20"/>
          <w:sz w:val="16"/>
        </w:rPr>
        <w:t>micturition: putative role of the circadian clock. J Urol 190:843, 2013.</w:t>
      </w:r>
    </w:p>
    <w:p>
      <w:pPr>
        <w:spacing w:line="261" w:lineRule="auto" w:before="0"/>
        <w:ind w:left="1600" w:right="0" w:hanging="160"/>
        <w:jc w:val="both"/>
        <w:rPr>
          <w:rFonts w:ascii="Arial"/>
          <w:sz w:val="16"/>
        </w:rPr>
      </w:pPr>
      <w:r>
        <w:rPr/>
        <w:pict>
          <v:rect style="position:absolute;margin-left:576pt;margin-top:59.231934pt;width:36pt;height:24pt;mso-position-horizontal-relative:page;mso-position-vertical-relative:paragraph;z-index:251893760" filled="true" fillcolor="#e8dac8" stroked="false">
            <v:fill type="solid"/>
            <w10:wrap type="none"/>
          </v:rect>
        </w:pict>
      </w:r>
      <w:r>
        <w:rPr>
          <w:rFonts w:ascii="Arial"/>
          <w:color w:val="231F20"/>
          <w:sz w:val="16"/>
        </w:rPr>
        <w:t>Pallone</w:t>
      </w:r>
      <w:r>
        <w:rPr>
          <w:rFonts w:ascii="Arial"/>
          <w:color w:val="231F20"/>
          <w:spacing w:val="-16"/>
          <w:sz w:val="16"/>
        </w:rPr>
        <w:t> </w:t>
      </w:r>
      <w:r>
        <w:rPr>
          <w:rFonts w:ascii="Arial"/>
          <w:color w:val="231F20"/>
          <w:sz w:val="16"/>
        </w:rPr>
        <w:t>TL,</w:t>
      </w:r>
      <w:r>
        <w:rPr>
          <w:rFonts w:ascii="Arial"/>
          <w:color w:val="231F20"/>
          <w:spacing w:val="-16"/>
          <w:sz w:val="16"/>
        </w:rPr>
        <w:t> </w:t>
      </w:r>
      <w:r>
        <w:rPr>
          <w:rFonts w:ascii="Arial"/>
          <w:color w:val="231F20"/>
          <w:sz w:val="16"/>
        </w:rPr>
        <w:t>Zhang</w:t>
      </w:r>
      <w:r>
        <w:rPr>
          <w:rFonts w:ascii="Arial"/>
          <w:color w:val="231F20"/>
          <w:spacing w:val="-16"/>
          <w:sz w:val="16"/>
        </w:rPr>
        <w:t> </w:t>
      </w:r>
      <w:r>
        <w:rPr>
          <w:rFonts w:ascii="Arial"/>
          <w:color w:val="231F20"/>
          <w:sz w:val="16"/>
        </w:rPr>
        <w:t>Z,</w:t>
      </w:r>
      <w:r>
        <w:rPr>
          <w:rFonts w:ascii="Arial"/>
          <w:color w:val="231F20"/>
          <w:spacing w:val="-16"/>
          <w:sz w:val="16"/>
        </w:rPr>
        <w:t> </w:t>
      </w:r>
      <w:r>
        <w:rPr>
          <w:rFonts w:ascii="Arial"/>
          <w:color w:val="231F20"/>
          <w:sz w:val="16"/>
        </w:rPr>
        <w:t>Rhinehart</w:t>
      </w:r>
      <w:r>
        <w:rPr>
          <w:rFonts w:ascii="Arial"/>
          <w:color w:val="231F20"/>
          <w:spacing w:val="-16"/>
          <w:sz w:val="16"/>
        </w:rPr>
        <w:t> </w:t>
      </w:r>
      <w:r>
        <w:rPr>
          <w:rFonts w:ascii="Arial"/>
          <w:color w:val="231F20"/>
          <w:sz w:val="16"/>
        </w:rPr>
        <w:t>K:</w:t>
      </w:r>
      <w:r>
        <w:rPr>
          <w:rFonts w:ascii="Arial"/>
          <w:color w:val="231F20"/>
          <w:spacing w:val="-16"/>
          <w:sz w:val="16"/>
        </w:rPr>
        <w:t> </w:t>
      </w:r>
      <w:r>
        <w:rPr>
          <w:rFonts w:ascii="Arial"/>
          <w:color w:val="231F20"/>
          <w:sz w:val="16"/>
        </w:rPr>
        <w:t>Physiology</w:t>
      </w:r>
      <w:r>
        <w:rPr>
          <w:rFonts w:ascii="Arial"/>
          <w:color w:val="231F20"/>
          <w:spacing w:val="-16"/>
          <w:sz w:val="16"/>
        </w:rPr>
        <w:t> </w:t>
      </w:r>
      <w:r>
        <w:rPr>
          <w:rFonts w:ascii="Arial"/>
          <w:color w:val="231F20"/>
          <w:sz w:val="16"/>
        </w:rPr>
        <w:t>of</w:t>
      </w:r>
      <w:r>
        <w:rPr>
          <w:rFonts w:ascii="Arial"/>
          <w:color w:val="231F20"/>
          <w:spacing w:val="-15"/>
          <w:sz w:val="16"/>
        </w:rPr>
        <w:t> </w:t>
      </w:r>
      <w:r>
        <w:rPr>
          <w:rFonts w:ascii="Arial"/>
          <w:color w:val="231F20"/>
          <w:sz w:val="16"/>
        </w:rPr>
        <w:t>the</w:t>
      </w:r>
      <w:r>
        <w:rPr>
          <w:rFonts w:ascii="Arial"/>
          <w:color w:val="231F20"/>
          <w:spacing w:val="-16"/>
          <w:sz w:val="16"/>
        </w:rPr>
        <w:t> </w:t>
      </w:r>
      <w:r>
        <w:rPr>
          <w:rFonts w:ascii="Arial"/>
          <w:color w:val="231F20"/>
          <w:sz w:val="16"/>
        </w:rPr>
        <w:t>renal</w:t>
      </w:r>
      <w:r>
        <w:rPr>
          <w:rFonts w:ascii="Arial"/>
          <w:color w:val="231F20"/>
          <w:spacing w:val="-16"/>
          <w:sz w:val="16"/>
        </w:rPr>
        <w:t> </w:t>
      </w:r>
      <w:r>
        <w:rPr>
          <w:rFonts w:ascii="Arial"/>
          <w:color w:val="231F20"/>
          <w:sz w:val="16"/>
        </w:rPr>
        <w:t>medullary microcirculation.</w:t>
      </w:r>
      <w:r>
        <w:rPr>
          <w:rFonts w:ascii="Arial"/>
          <w:color w:val="231F20"/>
          <w:spacing w:val="-10"/>
          <w:sz w:val="16"/>
        </w:rPr>
        <w:t> </w:t>
      </w:r>
      <w:r>
        <w:rPr>
          <w:rFonts w:ascii="Arial"/>
          <w:color w:val="231F20"/>
          <w:sz w:val="16"/>
        </w:rPr>
        <w:t>Am</w:t>
      </w:r>
      <w:r>
        <w:rPr>
          <w:rFonts w:ascii="Arial"/>
          <w:color w:val="231F20"/>
          <w:spacing w:val="-10"/>
          <w:sz w:val="16"/>
        </w:rPr>
        <w:t> </w:t>
      </w:r>
      <w:r>
        <w:rPr>
          <w:rFonts w:ascii="Arial"/>
          <w:color w:val="231F20"/>
          <w:sz w:val="16"/>
        </w:rPr>
        <w:t>J</w:t>
      </w:r>
      <w:r>
        <w:rPr>
          <w:rFonts w:ascii="Arial"/>
          <w:color w:val="231F20"/>
          <w:spacing w:val="-9"/>
          <w:sz w:val="16"/>
        </w:rPr>
        <w:t> </w:t>
      </w:r>
      <w:r>
        <w:rPr>
          <w:rFonts w:ascii="Arial"/>
          <w:color w:val="231F20"/>
          <w:sz w:val="16"/>
        </w:rPr>
        <w:t>Physiol</w:t>
      </w:r>
      <w:r>
        <w:rPr>
          <w:rFonts w:ascii="Arial"/>
          <w:color w:val="231F20"/>
          <w:spacing w:val="-10"/>
          <w:sz w:val="16"/>
        </w:rPr>
        <w:t> </w:t>
      </w:r>
      <w:r>
        <w:rPr>
          <w:rFonts w:ascii="Arial"/>
          <w:color w:val="231F20"/>
          <w:sz w:val="16"/>
        </w:rPr>
        <w:t>Renal</w:t>
      </w:r>
      <w:r>
        <w:rPr>
          <w:rFonts w:ascii="Arial"/>
          <w:color w:val="231F20"/>
          <w:spacing w:val="-9"/>
          <w:sz w:val="16"/>
        </w:rPr>
        <w:t> </w:t>
      </w:r>
      <w:r>
        <w:rPr>
          <w:rFonts w:ascii="Arial"/>
          <w:color w:val="231F20"/>
          <w:sz w:val="16"/>
        </w:rPr>
        <w:t>Physiol</w:t>
      </w:r>
      <w:r>
        <w:rPr>
          <w:rFonts w:ascii="Arial"/>
          <w:color w:val="231F20"/>
          <w:spacing w:val="-10"/>
          <w:sz w:val="16"/>
        </w:rPr>
        <w:t> </w:t>
      </w:r>
      <w:r>
        <w:rPr>
          <w:rFonts w:ascii="Arial"/>
          <w:color w:val="231F20"/>
          <w:sz w:val="16"/>
        </w:rPr>
        <w:t>284:F253,</w:t>
      </w:r>
      <w:r>
        <w:rPr>
          <w:rFonts w:ascii="Arial"/>
          <w:color w:val="231F20"/>
          <w:spacing w:val="-9"/>
          <w:sz w:val="16"/>
        </w:rPr>
        <w:t> </w:t>
      </w:r>
      <w:r>
        <w:rPr>
          <w:rFonts w:ascii="Arial"/>
          <w:color w:val="231F20"/>
          <w:sz w:val="16"/>
        </w:rPr>
        <w:t>2003.</w:t>
      </w:r>
    </w:p>
    <w:p>
      <w:pPr>
        <w:spacing w:line="261" w:lineRule="auto" w:before="96"/>
        <w:ind w:left="479" w:right="1079" w:hanging="160"/>
        <w:jc w:val="both"/>
        <w:rPr>
          <w:rFonts w:ascii="Arial"/>
          <w:sz w:val="16"/>
        </w:rPr>
      </w:pPr>
      <w:r>
        <w:rPr/>
        <w:br w:type="column"/>
      </w:r>
      <w:r>
        <w:rPr>
          <w:rFonts w:ascii="Arial"/>
          <w:color w:val="231F20"/>
          <w:sz w:val="16"/>
        </w:rPr>
        <w:t>Sato</w:t>
      </w:r>
      <w:r>
        <w:rPr>
          <w:rFonts w:ascii="Arial"/>
          <w:color w:val="231F20"/>
          <w:spacing w:val="-6"/>
          <w:sz w:val="16"/>
        </w:rPr>
        <w:t> </w:t>
      </w:r>
      <w:r>
        <w:rPr>
          <w:rFonts w:ascii="Arial"/>
          <w:color w:val="231F20"/>
          <w:spacing w:val="-10"/>
          <w:sz w:val="16"/>
        </w:rPr>
        <w:t>Y,</w:t>
      </w:r>
      <w:r>
        <w:rPr>
          <w:rFonts w:ascii="Arial"/>
          <w:color w:val="231F20"/>
          <w:spacing w:val="-5"/>
          <w:sz w:val="16"/>
        </w:rPr>
        <w:t> </w:t>
      </w:r>
      <w:r>
        <w:rPr>
          <w:rFonts w:ascii="Arial"/>
          <w:color w:val="231F20"/>
          <w:sz w:val="16"/>
        </w:rPr>
        <w:t>Yanagita</w:t>
      </w:r>
      <w:r>
        <w:rPr>
          <w:rFonts w:ascii="Arial"/>
          <w:color w:val="231F20"/>
          <w:spacing w:val="-5"/>
          <w:sz w:val="16"/>
        </w:rPr>
        <w:t> </w:t>
      </w:r>
      <w:r>
        <w:rPr>
          <w:rFonts w:ascii="Arial"/>
          <w:color w:val="231F20"/>
          <w:sz w:val="16"/>
        </w:rPr>
        <w:t>M:</w:t>
      </w:r>
      <w:r>
        <w:rPr>
          <w:rFonts w:ascii="Arial"/>
          <w:color w:val="231F20"/>
          <w:spacing w:val="-5"/>
          <w:sz w:val="16"/>
        </w:rPr>
        <w:t> </w:t>
      </w:r>
      <w:r>
        <w:rPr>
          <w:rFonts w:ascii="Arial"/>
          <w:color w:val="231F20"/>
          <w:sz w:val="16"/>
        </w:rPr>
        <w:t>Renal</w:t>
      </w:r>
      <w:r>
        <w:rPr>
          <w:rFonts w:ascii="Arial"/>
          <w:color w:val="231F20"/>
          <w:spacing w:val="-5"/>
          <w:sz w:val="16"/>
        </w:rPr>
        <w:t> </w:t>
      </w:r>
      <w:r>
        <w:rPr>
          <w:rFonts w:ascii="Arial"/>
          <w:color w:val="231F20"/>
          <w:sz w:val="16"/>
        </w:rPr>
        <w:t>anemia:</w:t>
      </w:r>
      <w:r>
        <w:rPr>
          <w:rFonts w:ascii="Arial"/>
          <w:color w:val="231F20"/>
          <w:spacing w:val="-6"/>
          <w:sz w:val="16"/>
        </w:rPr>
        <w:t> </w:t>
      </w:r>
      <w:r>
        <w:rPr>
          <w:rFonts w:ascii="Arial"/>
          <w:color w:val="231F20"/>
          <w:sz w:val="16"/>
        </w:rPr>
        <w:t>from</w:t>
      </w:r>
      <w:r>
        <w:rPr>
          <w:rFonts w:ascii="Arial"/>
          <w:color w:val="231F20"/>
          <w:spacing w:val="-5"/>
          <w:sz w:val="16"/>
        </w:rPr>
        <w:t> </w:t>
      </w:r>
      <w:r>
        <w:rPr>
          <w:rFonts w:ascii="Arial"/>
          <w:color w:val="231F20"/>
          <w:sz w:val="16"/>
        </w:rPr>
        <w:t>incurable</w:t>
      </w:r>
      <w:r>
        <w:rPr>
          <w:rFonts w:ascii="Arial"/>
          <w:color w:val="231F20"/>
          <w:spacing w:val="-5"/>
          <w:sz w:val="16"/>
        </w:rPr>
        <w:t> </w:t>
      </w:r>
      <w:r>
        <w:rPr>
          <w:rFonts w:ascii="Arial"/>
          <w:color w:val="231F20"/>
          <w:sz w:val="16"/>
        </w:rPr>
        <w:t>to</w:t>
      </w:r>
      <w:r>
        <w:rPr>
          <w:rFonts w:ascii="Arial"/>
          <w:color w:val="231F20"/>
          <w:spacing w:val="-5"/>
          <w:sz w:val="16"/>
        </w:rPr>
        <w:t> </w:t>
      </w:r>
      <w:r>
        <w:rPr>
          <w:rFonts w:ascii="Arial"/>
          <w:color w:val="231F20"/>
          <w:sz w:val="16"/>
        </w:rPr>
        <w:t>curable.</w:t>
      </w:r>
      <w:r>
        <w:rPr>
          <w:rFonts w:ascii="Arial"/>
          <w:color w:val="231F20"/>
          <w:spacing w:val="-5"/>
          <w:sz w:val="16"/>
        </w:rPr>
        <w:t> </w:t>
      </w:r>
      <w:r>
        <w:rPr>
          <w:rFonts w:ascii="Arial"/>
          <w:color w:val="231F20"/>
          <w:sz w:val="16"/>
        </w:rPr>
        <w:t>Am</w:t>
      </w:r>
      <w:r>
        <w:rPr>
          <w:rFonts w:ascii="Arial"/>
          <w:color w:val="231F20"/>
          <w:spacing w:val="-6"/>
          <w:sz w:val="16"/>
        </w:rPr>
        <w:t> </w:t>
      </w:r>
      <w:r>
        <w:rPr>
          <w:rFonts w:ascii="Arial"/>
          <w:color w:val="231F20"/>
          <w:spacing w:val="-13"/>
          <w:sz w:val="16"/>
        </w:rPr>
        <w:t>J </w:t>
      </w:r>
      <w:r>
        <w:rPr>
          <w:rFonts w:ascii="Arial"/>
          <w:color w:val="231F20"/>
          <w:sz w:val="16"/>
        </w:rPr>
        <w:t>Physiol Renal Physiol 305(9):F1239,</w:t>
      </w:r>
      <w:r>
        <w:rPr>
          <w:rFonts w:ascii="Arial"/>
          <w:color w:val="231F20"/>
          <w:spacing w:val="9"/>
          <w:sz w:val="16"/>
        </w:rPr>
        <w:t> </w:t>
      </w:r>
      <w:r>
        <w:rPr>
          <w:rFonts w:ascii="Arial"/>
          <w:color w:val="231F20"/>
          <w:sz w:val="16"/>
        </w:rPr>
        <w:t>2013.</w:t>
      </w:r>
    </w:p>
    <w:p>
      <w:pPr>
        <w:spacing w:line="261" w:lineRule="auto" w:before="0"/>
        <w:ind w:left="479" w:right="1079" w:hanging="160"/>
        <w:jc w:val="both"/>
        <w:rPr>
          <w:rFonts w:ascii="Arial"/>
          <w:sz w:val="16"/>
        </w:rPr>
      </w:pPr>
      <w:r>
        <w:rPr>
          <w:rFonts w:ascii="Arial"/>
          <w:color w:val="231F20"/>
          <w:w w:val="95"/>
          <w:sz w:val="16"/>
        </w:rPr>
        <w:t>Schnermann</w:t>
      </w:r>
      <w:r>
        <w:rPr>
          <w:rFonts w:ascii="Arial"/>
          <w:color w:val="231F20"/>
          <w:spacing w:val="-9"/>
          <w:w w:val="95"/>
          <w:sz w:val="16"/>
        </w:rPr>
        <w:t> </w:t>
      </w:r>
      <w:r>
        <w:rPr>
          <w:rFonts w:ascii="Arial"/>
          <w:color w:val="231F20"/>
          <w:w w:val="95"/>
          <w:sz w:val="16"/>
        </w:rPr>
        <w:t>J,</w:t>
      </w:r>
      <w:r>
        <w:rPr>
          <w:rFonts w:ascii="Arial"/>
          <w:color w:val="231F20"/>
          <w:spacing w:val="-9"/>
          <w:w w:val="95"/>
          <w:sz w:val="16"/>
        </w:rPr>
        <w:t> </w:t>
      </w:r>
      <w:r>
        <w:rPr>
          <w:rFonts w:ascii="Arial"/>
          <w:color w:val="231F20"/>
          <w:w w:val="95"/>
          <w:sz w:val="16"/>
        </w:rPr>
        <w:t>Briggs</w:t>
      </w:r>
      <w:r>
        <w:rPr>
          <w:rFonts w:ascii="Arial"/>
          <w:color w:val="231F20"/>
          <w:spacing w:val="-9"/>
          <w:w w:val="95"/>
          <w:sz w:val="16"/>
        </w:rPr>
        <w:t> </w:t>
      </w:r>
      <w:r>
        <w:rPr>
          <w:rFonts w:ascii="Arial"/>
          <w:color w:val="231F20"/>
          <w:w w:val="95"/>
          <w:sz w:val="16"/>
        </w:rPr>
        <w:t>JP:</w:t>
      </w:r>
      <w:r>
        <w:rPr>
          <w:rFonts w:ascii="Arial"/>
          <w:color w:val="231F20"/>
          <w:spacing w:val="-9"/>
          <w:w w:val="95"/>
          <w:sz w:val="16"/>
        </w:rPr>
        <w:t> </w:t>
      </w:r>
      <w:r>
        <w:rPr>
          <w:rFonts w:ascii="Arial"/>
          <w:color w:val="231F20"/>
          <w:spacing w:val="-3"/>
          <w:w w:val="95"/>
          <w:sz w:val="16"/>
        </w:rPr>
        <w:t>Tubular</w:t>
      </w:r>
      <w:r>
        <w:rPr>
          <w:rFonts w:ascii="Arial"/>
          <w:color w:val="231F20"/>
          <w:spacing w:val="-9"/>
          <w:w w:val="95"/>
          <w:sz w:val="16"/>
        </w:rPr>
        <w:t> </w:t>
      </w:r>
      <w:r>
        <w:rPr>
          <w:rFonts w:ascii="Arial"/>
          <w:color w:val="231F20"/>
          <w:w w:val="95"/>
          <w:sz w:val="16"/>
        </w:rPr>
        <w:t>control</w:t>
      </w:r>
      <w:r>
        <w:rPr>
          <w:rFonts w:ascii="Arial"/>
          <w:color w:val="231F20"/>
          <w:spacing w:val="-9"/>
          <w:w w:val="95"/>
          <w:sz w:val="16"/>
        </w:rPr>
        <w:t> </w:t>
      </w:r>
      <w:r>
        <w:rPr>
          <w:rFonts w:ascii="Arial"/>
          <w:color w:val="231F20"/>
          <w:w w:val="95"/>
          <w:sz w:val="16"/>
        </w:rPr>
        <w:t>of</w:t>
      </w:r>
      <w:r>
        <w:rPr>
          <w:rFonts w:ascii="Arial"/>
          <w:color w:val="231F20"/>
          <w:spacing w:val="-9"/>
          <w:w w:val="95"/>
          <w:sz w:val="16"/>
        </w:rPr>
        <w:t> </w:t>
      </w:r>
      <w:r>
        <w:rPr>
          <w:rFonts w:ascii="Arial"/>
          <w:color w:val="231F20"/>
          <w:w w:val="95"/>
          <w:sz w:val="16"/>
        </w:rPr>
        <w:t>renin</w:t>
      </w:r>
      <w:r>
        <w:rPr>
          <w:rFonts w:ascii="Arial"/>
          <w:color w:val="231F20"/>
          <w:spacing w:val="-8"/>
          <w:w w:val="95"/>
          <w:sz w:val="16"/>
        </w:rPr>
        <w:t> </w:t>
      </w:r>
      <w:r>
        <w:rPr>
          <w:rFonts w:ascii="Arial"/>
          <w:color w:val="231F20"/>
          <w:w w:val="95"/>
          <w:sz w:val="16"/>
        </w:rPr>
        <w:t>synthesis</w:t>
      </w:r>
      <w:r>
        <w:rPr>
          <w:rFonts w:ascii="Arial"/>
          <w:color w:val="231F20"/>
          <w:spacing w:val="-9"/>
          <w:w w:val="95"/>
          <w:sz w:val="16"/>
        </w:rPr>
        <w:t> </w:t>
      </w:r>
      <w:r>
        <w:rPr>
          <w:rFonts w:ascii="Arial"/>
          <w:color w:val="231F20"/>
          <w:w w:val="95"/>
          <w:sz w:val="16"/>
        </w:rPr>
        <w:t>and</w:t>
      </w:r>
      <w:r>
        <w:rPr>
          <w:rFonts w:ascii="Arial"/>
          <w:color w:val="231F20"/>
          <w:spacing w:val="-9"/>
          <w:w w:val="95"/>
          <w:sz w:val="16"/>
        </w:rPr>
        <w:t> </w:t>
      </w:r>
      <w:r>
        <w:rPr>
          <w:rFonts w:ascii="Arial"/>
          <w:color w:val="231F20"/>
          <w:spacing w:val="-4"/>
          <w:w w:val="95"/>
          <w:sz w:val="16"/>
        </w:rPr>
        <w:t>secre- </w:t>
      </w:r>
      <w:r>
        <w:rPr>
          <w:rFonts w:ascii="Arial"/>
          <w:color w:val="231F20"/>
          <w:sz w:val="16"/>
        </w:rPr>
        <w:t>tion. Pflugers Arch 465:39,</w:t>
      </w:r>
      <w:r>
        <w:rPr>
          <w:rFonts w:ascii="Arial"/>
          <w:color w:val="231F20"/>
          <w:spacing w:val="27"/>
          <w:sz w:val="16"/>
        </w:rPr>
        <w:t> </w:t>
      </w:r>
      <w:r>
        <w:rPr>
          <w:rFonts w:ascii="Arial"/>
          <w:color w:val="231F20"/>
          <w:sz w:val="16"/>
        </w:rPr>
        <w:t>2013.</w:t>
      </w:r>
    </w:p>
    <w:p>
      <w:pPr>
        <w:spacing w:line="261" w:lineRule="auto" w:before="0"/>
        <w:ind w:left="479" w:right="1079" w:hanging="160"/>
        <w:jc w:val="both"/>
        <w:rPr>
          <w:rFonts w:ascii="Arial"/>
          <w:sz w:val="16"/>
        </w:rPr>
      </w:pPr>
      <w:r>
        <w:rPr/>
        <w:pict>
          <v:shape style="position:absolute;margin-left:578.900024pt;margin-top:22.889235pt;width:15.9pt;height:53.35pt;mso-position-horizontal-relative:page;mso-position-vertical-relative:paragraph;z-index:25189478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Arial"/>
          <w:color w:val="231F20"/>
          <w:w w:val="95"/>
          <w:sz w:val="16"/>
        </w:rPr>
        <w:t>Schnermann</w:t>
      </w:r>
      <w:r>
        <w:rPr>
          <w:rFonts w:ascii="Arial"/>
          <w:color w:val="231F20"/>
          <w:spacing w:val="-4"/>
          <w:w w:val="95"/>
          <w:sz w:val="16"/>
        </w:rPr>
        <w:t> </w:t>
      </w:r>
      <w:r>
        <w:rPr>
          <w:rFonts w:ascii="Arial"/>
          <w:color w:val="231F20"/>
          <w:w w:val="95"/>
          <w:sz w:val="16"/>
        </w:rPr>
        <w:t>J,</w:t>
      </w:r>
      <w:r>
        <w:rPr>
          <w:rFonts w:ascii="Arial"/>
          <w:color w:val="231F20"/>
          <w:spacing w:val="-4"/>
          <w:w w:val="95"/>
          <w:sz w:val="16"/>
        </w:rPr>
        <w:t> </w:t>
      </w:r>
      <w:r>
        <w:rPr>
          <w:rFonts w:ascii="Arial"/>
          <w:color w:val="231F20"/>
          <w:w w:val="95"/>
          <w:sz w:val="16"/>
        </w:rPr>
        <w:t>Levine</w:t>
      </w:r>
      <w:r>
        <w:rPr>
          <w:rFonts w:ascii="Arial"/>
          <w:color w:val="231F20"/>
          <w:spacing w:val="-4"/>
          <w:w w:val="95"/>
          <w:sz w:val="16"/>
        </w:rPr>
        <w:t> </w:t>
      </w:r>
      <w:r>
        <w:rPr>
          <w:rFonts w:ascii="Arial"/>
          <w:color w:val="231F20"/>
          <w:w w:val="95"/>
          <w:sz w:val="16"/>
        </w:rPr>
        <w:t>DZ:</w:t>
      </w:r>
      <w:r>
        <w:rPr>
          <w:rFonts w:ascii="Arial"/>
          <w:color w:val="231F20"/>
          <w:spacing w:val="-4"/>
          <w:w w:val="95"/>
          <w:sz w:val="16"/>
        </w:rPr>
        <w:t> </w:t>
      </w:r>
      <w:r>
        <w:rPr>
          <w:rFonts w:ascii="Arial"/>
          <w:color w:val="231F20"/>
          <w:w w:val="95"/>
          <w:sz w:val="16"/>
        </w:rPr>
        <w:t>Paracrine</w:t>
      </w:r>
      <w:r>
        <w:rPr>
          <w:rFonts w:ascii="Arial"/>
          <w:color w:val="231F20"/>
          <w:spacing w:val="-4"/>
          <w:w w:val="95"/>
          <w:sz w:val="16"/>
        </w:rPr>
        <w:t> </w:t>
      </w:r>
      <w:r>
        <w:rPr>
          <w:rFonts w:ascii="Arial"/>
          <w:color w:val="231F20"/>
          <w:w w:val="95"/>
          <w:sz w:val="16"/>
        </w:rPr>
        <w:t>factors</w:t>
      </w:r>
      <w:r>
        <w:rPr>
          <w:rFonts w:ascii="Arial"/>
          <w:color w:val="231F20"/>
          <w:spacing w:val="-4"/>
          <w:w w:val="95"/>
          <w:sz w:val="16"/>
        </w:rPr>
        <w:t> </w:t>
      </w:r>
      <w:r>
        <w:rPr>
          <w:rFonts w:ascii="Arial"/>
          <w:color w:val="231F20"/>
          <w:w w:val="95"/>
          <w:sz w:val="16"/>
        </w:rPr>
        <w:t>in</w:t>
      </w:r>
      <w:r>
        <w:rPr>
          <w:rFonts w:ascii="Arial"/>
          <w:color w:val="231F20"/>
          <w:spacing w:val="-4"/>
          <w:w w:val="95"/>
          <w:sz w:val="16"/>
        </w:rPr>
        <w:t> </w:t>
      </w:r>
      <w:r>
        <w:rPr>
          <w:rFonts w:ascii="Arial"/>
          <w:color w:val="231F20"/>
          <w:w w:val="95"/>
          <w:sz w:val="16"/>
        </w:rPr>
        <w:t>tubuloglomerular</w:t>
      </w:r>
      <w:r>
        <w:rPr>
          <w:rFonts w:ascii="Arial"/>
          <w:color w:val="231F20"/>
          <w:spacing w:val="-4"/>
          <w:w w:val="95"/>
          <w:sz w:val="16"/>
        </w:rPr>
        <w:t> feed- </w:t>
      </w:r>
      <w:r>
        <w:rPr>
          <w:rFonts w:ascii="Arial"/>
          <w:color w:val="231F20"/>
          <w:sz w:val="16"/>
        </w:rPr>
        <w:t>back:</w:t>
      </w:r>
      <w:r>
        <w:rPr>
          <w:rFonts w:ascii="Arial"/>
          <w:color w:val="231F20"/>
          <w:spacing w:val="-11"/>
          <w:sz w:val="16"/>
        </w:rPr>
        <w:t> </w:t>
      </w:r>
      <w:r>
        <w:rPr>
          <w:rFonts w:ascii="Arial"/>
          <w:color w:val="231F20"/>
          <w:sz w:val="16"/>
        </w:rPr>
        <w:t>adenosine,</w:t>
      </w:r>
      <w:r>
        <w:rPr>
          <w:rFonts w:ascii="Arial"/>
          <w:color w:val="231F20"/>
          <w:spacing w:val="-10"/>
          <w:sz w:val="16"/>
        </w:rPr>
        <w:t> </w:t>
      </w:r>
      <w:r>
        <w:rPr>
          <w:rFonts w:ascii="Arial"/>
          <w:color w:val="231F20"/>
          <w:spacing w:val="-9"/>
          <w:sz w:val="16"/>
        </w:rPr>
        <w:t>ATP,</w:t>
      </w:r>
      <w:r>
        <w:rPr>
          <w:rFonts w:ascii="Arial"/>
          <w:color w:val="231F20"/>
          <w:spacing w:val="-11"/>
          <w:sz w:val="16"/>
        </w:rPr>
        <w:t> </w:t>
      </w:r>
      <w:r>
        <w:rPr>
          <w:rFonts w:ascii="Arial"/>
          <w:color w:val="231F20"/>
          <w:sz w:val="16"/>
        </w:rPr>
        <w:t>and</w:t>
      </w:r>
      <w:r>
        <w:rPr>
          <w:rFonts w:ascii="Arial"/>
          <w:color w:val="231F20"/>
          <w:spacing w:val="-10"/>
          <w:sz w:val="16"/>
        </w:rPr>
        <w:t> </w:t>
      </w:r>
      <w:r>
        <w:rPr>
          <w:rFonts w:ascii="Arial"/>
          <w:color w:val="231F20"/>
          <w:sz w:val="16"/>
        </w:rPr>
        <w:t>nitric</w:t>
      </w:r>
      <w:r>
        <w:rPr>
          <w:rFonts w:ascii="Arial"/>
          <w:color w:val="231F20"/>
          <w:spacing w:val="-11"/>
          <w:sz w:val="16"/>
        </w:rPr>
        <w:t> </w:t>
      </w:r>
      <w:r>
        <w:rPr>
          <w:rFonts w:ascii="Arial"/>
          <w:color w:val="231F20"/>
          <w:sz w:val="16"/>
        </w:rPr>
        <w:t>oxide.</w:t>
      </w:r>
      <w:r>
        <w:rPr>
          <w:rFonts w:ascii="Arial"/>
          <w:color w:val="231F20"/>
          <w:spacing w:val="-10"/>
          <w:sz w:val="16"/>
        </w:rPr>
        <w:t> </w:t>
      </w:r>
      <w:r>
        <w:rPr>
          <w:rFonts w:ascii="Arial"/>
          <w:color w:val="231F20"/>
          <w:sz w:val="16"/>
        </w:rPr>
        <w:t>Annu</w:t>
      </w:r>
      <w:r>
        <w:rPr>
          <w:rFonts w:ascii="Arial"/>
          <w:color w:val="231F20"/>
          <w:spacing w:val="-10"/>
          <w:sz w:val="16"/>
        </w:rPr>
        <w:t> </w:t>
      </w:r>
      <w:r>
        <w:rPr>
          <w:rFonts w:ascii="Arial"/>
          <w:color w:val="231F20"/>
          <w:sz w:val="16"/>
        </w:rPr>
        <w:t>Rev</w:t>
      </w:r>
      <w:r>
        <w:rPr>
          <w:rFonts w:ascii="Arial"/>
          <w:color w:val="231F20"/>
          <w:spacing w:val="-11"/>
          <w:sz w:val="16"/>
        </w:rPr>
        <w:t> </w:t>
      </w:r>
      <w:r>
        <w:rPr>
          <w:rFonts w:ascii="Arial"/>
          <w:color w:val="231F20"/>
          <w:sz w:val="16"/>
        </w:rPr>
        <w:t>Physiol</w:t>
      </w:r>
      <w:r>
        <w:rPr>
          <w:rFonts w:ascii="Arial"/>
          <w:color w:val="231F20"/>
          <w:spacing w:val="-10"/>
          <w:sz w:val="16"/>
        </w:rPr>
        <w:t> </w:t>
      </w:r>
      <w:r>
        <w:rPr>
          <w:rFonts w:ascii="Arial"/>
          <w:color w:val="231F20"/>
          <w:spacing w:val="-3"/>
          <w:sz w:val="16"/>
        </w:rPr>
        <w:t>65:501, </w:t>
      </w:r>
      <w:r>
        <w:rPr>
          <w:rFonts w:ascii="Arial"/>
          <w:color w:val="231F20"/>
          <w:sz w:val="16"/>
        </w:rPr>
        <w:t>2003.</w:t>
      </w:r>
    </w:p>
    <w:p>
      <w:pPr>
        <w:spacing w:line="261" w:lineRule="auto" w:before="0"/>
        <w:ind w:left="479" w:right="1078" w:hanging="160"/>
        <w:jc w:val="both"/>
        <w:rPr>
          <w:rFonts w:ascii="Arial"/>
          <w:sz w:val="16"/>
        </w:rPr>
      </w:pPr>
      <w:r>
        <w:rPr>
          <w:rFonts w:ascii="Arial"/>
          <w:color w:val="231F20"/>
          <w:sz w:val="16"/>
        </w:rPr>
        <w:t>Vella</w:t>
      </w:r>
      <w:r>
        <w:rPr>
          <w:rFonts w:ascii="Arial"/>
          <w:color w:val="231F20"/>
          <w:spacing w:val="-18"/>
          <w:sz w:val="16"/>
        </w:rPr>
        <w:t> </w:t>
      </w:r>
      <w:r>
        <w:rPr>
          <w:rFonts w:ascii="Arial"/>
          <w:color w:val="231F20"/>
          <w:sz w:val="16"/>
        </w:rPr>
        <w:t>M,</w:t>
      </w:r>
      <w:r>
        <w:rPr>
          <w:rFonts w:ascii="Arial"/>
          <w:color w:val="231F20"/>
          <w:spacing w:val="-17"/>
          <w:sz w:val="16"/>
        </w:rPr>
        <w:t> </w:t>
      </w:r>
      <w:r>
        <w:rPr>
          <w:rFonts w:ascii="Arial"/>
          <w:color w:val="231F20"/>
          <w:sz w:val="16"/>
        </w:rPr>
        <w:t>Robinson</w:t>
      </w:r>
      <w:r>
        <w:rPr>
          <w:rFonts w:ascii="Arial"/>
          <w:color w:val="231F20"/>
          <w:spacing w:val="-18"/>
          <w:sz w:val="16"/>
        </w:rPr>
        <w:t> </w:t>
      </w:r>
      <w:r>
        <w:rPr>
          <w:rFonts w:ascii="Arial"/>
          <w:color w:val="231F20"/>
          <w:sz w:val="16"/>
        </w:rPr>
        <w:t>D,</w:t>
      </w:r>
      <w:r>
        <w:rPr>
          <w:rFonts w:ascii="Arial"/>
          <w:color w:val="231F20"/>
          <w:spacing w:val="-17"/>
          <w:sz w:val="16"/>
        </w:rPr>
        <w:t> </w:t>
      </w:r>
      <w:r>
        <w:rPr>
          <w:rFonts w:ascii="Arial"/>
          <w:color w:val="231F20"/>
          <w:sz w:val="16"/>
        </w:rPr>
        <w:t>Staskin</w:t>
      </w:r>
      <w:r>
        <w:rPr>
          <w:rFonts w:ascii="Arial"/>
          <w:color w:val="231F20"/>
          <w:spacing w:val="-17"/>
          <w:sz w:val="16"/>
        </w:rPr>
        <w:t> </w:t>
      </w:r>
      <w:r>
        <w:rPr>
          <w:rFonts w:ascii="Arial"/>
          <w:color w:val="231F20"/>
          <w:sz w:val="16"/>
        </w:rPr>
        <w:t>D:</w:t>
      </w:r>
      <w:r>
        <w:rPr>
          <w:rFonts w:ascii="Arial"/>
          <w:color w:val="231F20"/>
          <w:spacing w:val="-18"/>
          <w:sz w:val="16"/>
        </w:rPr>
        <w:t> </w:t>
      </w:r>
      <w:r>
        <w:rPr>
          <w:rFonts w:ascii="Arial"/>
          <w:color w:val="231F20"/>
          <w:sz w:val="16"/>
        </w:rPr>
        <w:t>A</w:t>
      </w:r>
      <w:r>
        <w:rPr>
          <w:rFonts w:ascii="Arial"/>
          <w:color w:val="231F20"/>
          <w:spacing w:val="-17"/>
          <w:sz w:val="16"/>
        </w:rPr>
        <w:t> </w:t>
      </w:r>
      <w:r>
        <w:rPr>
          <w:rFonts w:ascii="Arial"/>
          <w:color w:val="231F20"/>
          <w:sz w:val="16"/>
        </w:rPr>
        <w:t>reappraisal</w:t>
      </w:r>
      <w:r>
        <w:rPr>
          <w:rFonts w:ascii="Arial"/>
          <w:color w:val="231F20"/>
          <w:spacing w:val="-17"/>
          <w:sz w:val="16"/>
        </w:rPr>
        <w:t> </w:t>
      </w:r>
      <w:r>
        <w:rPr>
          <w:rFonts w:ascii="Arial"/>
          <w:color w:val="231F20"/>
          <w:sz w:val="16"/>
        </w:rPr>
        <w:t>of</w:t>
      </w:r>
      <w:r>
        <w:rPr>
          <w:rFonts w:ascii="Arial"/>
          <w:color w:val="231F20"/>
          <w:spacing w:val="-18"/>
          <w:sz w:val="16"/>
        </w:rPr>
        <w:t> </w:t>
      </w:r>
      <w:r>
        <w:rPr>
          <w:rFonts w:ascii="Arial"/>
          <w:color w:val="231F20"/>
          <w:sz w:val="16"/>
        </w:rPr>
        <w:t>storage</w:t>
      </w:r>
      <w:r>
        <w:rPr>
          <w:rFonts w:ascii="Arial"/>
          <w:color w:val="231F20"/>
          <w:spacing w:val="-17"/>
          <w:sz w:val="16"/>
        </w:rPr>
        <w:t> </w:t>
      </w:r>
      <w:r>
        <w:rPr>
          <w:rFonts w:ascii="Arial"/>
          <w:color w:val="231F20"/>
          <w:sz w:val="16"/>
        </w:rPr>
        <w:t>and</w:t>
      </w:r>
      <w:r>
        <w:rPr>
          <w:rFonts w:ascii="Arial"/>
          <w:color w:val="231F20"/>
          <w:spacing w:val="-17"/>
          <w:sz w:val="16"/>
        </w:rPr>
        <w:t> </w:t>
      </w:r>
      <w:r>
        <w:rPr>
          <w:rFonts w:ascii="Arial"/>
          <w:color w:val="231F20"/>
          <w:spacing w:val="-3"/>
          <w:sz w:val="16"/>
        </w:rPr>
        <w:t>voiding </w:t>
      </w:r>
      <w:r>
        <w:rPr>
          <w:rFonts w:ascii="Arial"/>
          <w:color w:val="231F20"/>
          <w:sz w:val="16"/>
        </w:rPr>
        <w:t>dysfunction. Curr Urol Rep 13:482,</w:t>
      </w:r>
      <w:r>
        <w:rPr>
          <w:rFonts w:ascii="Arial"/>
          <w:color w:val="231F20"/>
          <w:spacing w:val="29"/>
          <w:sz w:val="16"/>
        </w:rPr>
        <w:t> </w:t>
      </w:r>
      <w:r>
        <w:rPr>
          <w:rFonts w:ascii="Arial"/>
          <w:color w:val="231F20"/>
          <w:sz w:val="16"/>
        </w:rPr>
        <w:t>2012.</w:t>
      </w:r>
    </w:p>
    <w:p>
      <w:pPr>
        <w:spacing w:after="0" w:line="261" w:lineRule="auto"/>
        <w:jc w:val="both"/>
        <w:rPr>
          <w:rFonts w:ascii="Arial"/>
          <w:sz w:val="16"/>
        </w:rPr>
        <w:sectPr>
          <w:type w:val="continuous"/>
          <w:pgSz w:w="12240" w:h="15660"/>
          <w:pgMar w:top="0" w:bottom="760" w:left="0" w:right="0"/>
          <w:cols w:num="2" w:equalWidth="0">
            <w:col w:w="6121" w:space="40"/>
            <w:col w:w="6079"/>
          </w:cols>
        </w:sectPr>
      </w:pPr>
    </w:p>
    <w:p>
      <w:pPr>
        <w:rPr>
          <w:sz w:val="2"/>
          <w:szCs w:val="2"/>
        </w:rPr>
      </w:pPr>
      <w:r>
        <w:rPr/>
        <w:pict>
          <v:group style="position:absolute;margin-left:0pt;margin-top:0pt;width:612pt;height:180pt;mso-position-horizontal-relative:page;mso-position-vertical-relative:page;z-index:-27351244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3458" w:right="0" w:firstLine="0"/>
                      <w:jc w:val="left"/>
                      <w:rPr>
                        <w:rFonts w:ascii="Trebuchet MS"/>
                        <w:sz w:val="18"/>
                      </w:rPr>
                    </w:pPr>
                    <w:r>
                      <w:rPr>
                        <w:rFonts w:ascii="Trebuchet MS"/>
                        <w:b/>
                        <w:color w:val="231F20"/>
                        <w:w w:val="105"/>
                        <w:sz w:val="18"/>
                      </w:rPr>
                      <w:t>Chapter 26 </w:t>
                    </w:r>
                    <w:r>
                      <w:rPr>
                        <w:rFonts w:ascii="Trebuchet MS"/>
                        <w:color w:val="231F20"/>
                        <w:w w:val="105"/>
                        <w:sz w:val="18"/>
                      </w:rPr>
                      <w:t>The Urinary System: Functional Anatomy and Urine Formation by the Kidneys</w:t>
                    </w:r>
                  </w:p>
                </w:txbxContent>
              </v:textbox>
              <v:fill type="solid"/>
              <w10:wrap type="none"/>
            </v:shape>
            <w10:wrap type="none"/>
          </v:group>
        </w:pict>
      </w:r>
    </w:p>
    <w:p>
      <w:pPr>
        <w:spacing w:after="0"/>
        <w:rPr>
          <w:sz w:val="2"/>
          <w:szCs w:val="2"/>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375"/>
          <w:footerReference w:type="default" r:id="rId376"/>
          <w:footerReference w:type="even" r:id="rId377"/>
          <w:pgSz w:w="12240" w:h="15660"/>
          <w:pgMar w:header="0" w:footer="567" w:top="0" w:bottom="760" w:left="0" w:right="0"/>
          <w:pgNumType w:start="335"/>
        </w:sectPr>
      </w:pPr>
    </w:p>
    <w:p>
      <w:pPr>
        <w:pStyle w:val="BodyText"/>
        <w:spacing w:before="6"/>
        <w:rPr>
          <w:rFonts w:ascii="Arial"/>
          <w:sz w:val="27"/>
        </w:rPr>
      </w:pPr>
      <w:r>
        <w:rPr/>
        <w:pict>
          <v:group style="position:absolute;margin-left:0pt;margin-top:0pt;width:612pt;height:180pt;mso-position-horizontal-relative:page;mso-position-vertical-relative:page;z-index:251898880"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378" o:title=""/>
            </v:shape>
            <v:shape style="position:absolute;left:2315;top:2104;width:8866;height:1448" type="#_x0000_t202" filled="false" stroked="false">
              <v:textbox inset="0,0,0,0">
                <w:txbxContent>
                  <w:p>
                    <w:pPr>
                      <w:spacing w:before="50"/>
                      <w:ind w:left="0" w:right="19" w:firstLine="0"/>
                      <w:jc w:val="right"/>
                      <w:rPr>
                        <w:b/>
                        <w:sz w:val="52"/>
                      </w:rPr>
                    </w:pPr>
                    <w:r>
                      <w:rPr>
                        <w:b/>
                        <w:color w:val="231F20"/>
                        <w:w w:val="95"/>
                        <w:sz w:val="52"/>
                      </w:rPr>
                      <w:t>Glomerular Filtration, Renal </w:t>
                    </w:r>
                    <w:r>
                      <w:rPr>
                        <w:b/>
                        <w:color w:val="231F20"/>
                        <w:spacing w:val="2"/>
                        <w:w w:val="95"/>
                        <w:sz w:val="52"/>
                      </w:rPr>
                      <w:t>Blood</w:t>
                    </w:r>
                    <w:r>
                      <w:rPr>
                        <w:b/>
                        <w:color w:val="231F20"/>
                        <w:spacing w:val="74"/>
                        <w:w w:val="95"/>
                        <w:sz w:val="52"/>
                      </w:rPr>
                      <w:t> </w:t>
                    </w:r>
                    <w:r>
                      <w:rPr>
                        <w:b/>
                        <w:color w:val="231F20"/>
                        <w:spacing w:val="-8"/>
                        <w:w w:val="95"/>
                        <w:sz w:val="52"/>
                      </w:rPr>
                      <w:t>Flow,</w:t>
                    </w:r>
                  </w:p>
                  <w:p>
                    <w:pPr>
                      <w:spacing w:before="2"/>
                      <w:ind w:left="0" w:right="18" w:firstLine="0"/>
                      <w:jc w:val="right"/>
                      <w:rPr>
                        <w:b/>
                        <w:sz w:val="52"/>
                      </w:rPr>
                    </w:pPr>
                    <w:r>
                      <w:rPr>
                        <w:b/>
                        <w:color w:val="231F20"/>
                        <w:sz w:val="52"/>
                      </w:rPr>
                      <w:t>and</w:t>
                    </w:r>
                    <w:r>
                      <w:rPr>
                        <w:b/>
                        <w:color w:val="231F20"/>
                        <w:spacing w:val="-89"/>
                        <w:sz w:val="52"/>
                      </w:rPr>
                      <w:t> </w:t>
                    </w:r>
                    <w:r>
                      <w:rPr>
                        <w:b/>
                        <w:color w:val="231F20"/>
                        <w:sz w:val="52"/>
                      </w:rPr>
                      <w:t>Their</w:t>
                    </w:r>
                    <w:r>
                      <w:rPr>
                        <w:b/>
                        <w:color w:val="231F20"/>
                        <w:spacing w:val="-88"/>
                        <w:sz w:val="52"/>
                      </w:rPr>
                      <w:t> </w:t>
                    </w:r>
                    <w:r>
                      <w:rPr>
                        <w:b/>
                        <w:color w:val="231F20"/>
                        <w:sz w:val="52"/>
                      </w:rPr>
                      <w:t>Control</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2</w:t>
                    </w:r>
                    <w:r>
                      <w:rPr>
                        <w:rFonts w:ascii="Trebuchet MS"/>
                        <w:b/>
                        <w:color w:val="231F20"/>
                        <w:spacing w:val="-44"/>
                        <w:w w:val="105"/>
                        <w:sz w:val="36"/>
                      </w:rPr>
                      <w:t> </w:t>
                    </w:r>
                    <w:r>
                      <w:rPr>
                        <w:rFonts w:ascii="Trebuchet MS"/>
                        <w:b/>
                        <w:color w:val="231F20"/>
                        <w:w w:val="105"/>
                        <w:sz w:val="36"/>
                      </w:rPr>
                      <w:t>7</w:t>
                    </w:r>
                  </w:p>
                </w:txbxContent>
              </v:textbox>
              <w10:wrap type="none"/>
            </v:shape>
            <w10:wrap type="none"/>
          </v:group>
        </w:pict>
      </w:r>
    </w:p>
    <w:p>
      <w:pPr>
        <w:pStyle w:val="BodyText"/>
        <w:ind w:left="1440" w:right="-58"/>
        <w:rPr>
          <w:rFonts w:ascii="Arial"/>
        </w:rPr>
      </w:pPr>
      <w:r>
        <w:rPr>
          <w:rFonts w:ascii="Arial"/>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327" w:firstLine="0"/>
                    <w:jc w:val="left"/>
                    <w:rPr>
                      <w:rFonts w:ascii="Trebuchet MS" w:hAnsi="Trebuchet MS"/>
                      <w:b/>
                      <w:sz w:val="22"/>
                    </w:rPr>
                  </w:pPr>
                  <w:r>
                    <w:rPr>
                      <w:rFonts w:ascii="Trebuchet MS" w:hAnsi="Trebuchet MS"/>
                      <w:b/>
                      <w:color w:val="231F20"/>
                      <w:w w:val="110"/>
                      <w:sz w:val="22"/>
                    </w:rPr>
                    <w:t>GLOMERULAR FILTRATION—THE FIRST STEP IN URINE FORMATION</w:t>
                  </w:r>
                </w:p>
              </w:txbxContent>
            </v:textbox>
            <v:fill type="solid"/>
          </v:shape>
        </w:pict>
      </w:r>
      <w:r>
        <w:rPr>
          <w:rFonts w:ascii="Arial"/>
        </w:rPr>
      </w:r>
    </w:p>
    <w:p>
      <w:pPr>
        <w:pStyle w:val="BodyText"/>
        <w:spacing w:line="249" w:lineRule="auto" w:before="69"/>
        <w:ind w:left="1440"/>
        <w:jc w:val="both"/>
      </w:pPr>
      <w:r>
        <w:rPr/>
        <w:pict>
          <v:line style="position:absolute;mso-position-horizontal-relative:page;mso-position-vertical-relative:paragraph;z-index:251900928" from="72pt,-1.002682pt" to="306pt,-1.002682pt" stroked="true" strokeweight=".5pt" strokecolor="#231f20">
            <v:stroke dashstyle="solid"/>
            <w10:wrap type="none"/>
          </v:line>
        </w:pict>
      </w:r>
      <w:r>
        <w:rPr/>
        <w:pict>
          <v:shape style="position:absolute;margin-left:578.900024pt;margin-top:-124.906677pt;width:15.9pt;height:53.35pt;mso-position-horizontal-relative:page;mso-position-vertical-relative:paragraph;z-index:25190195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The first step in urine formation is the filtration of </w:t>
      </w:r>
      <w:r>
        <w:rPr>
          <w:color w:val="231F20"/>
          <w:spacing w:val="-4"/>
        </w:rPr>
        <w:t>large </w:t>
      </w:r>
      <w:r>
        <w:rPr>
          <w:color w:val="231F20"/>
        </w:rPr>
        <w:t>amounts of fluid through the glomerular capillaries </w:t>
      </w:r>
      <w:r>
        <w:rPr>
          <w:color w:val="231F20"/>
          <w:spacing w:val="-5"/>
        </w:rPr>
        <w:t>into </w:t>
      </w:r>
      <w:r>
        <w:rPr>
          <w:color w:val="231F20"/>
        </w:rPr>
        <w:t>Bowman’s capsule—almost 180 liters each </w:t>
      </w:r>
      <w:r>
        <w:rPr>
          <w:color w:val="231F20"/>
          <w:spacing w:val="-4"/>
        </w:rPr>
        <w:t>day. </w:t>
      </w:r>
      <w:r>
        <w:rPr>
          <w:color w:val="231F20"/>
        </w:rPr>
        <w:t>Most </w:t>
      </w:r>
      <w:r>
        <w:rPr>
          <w:color w:val="231F20"/>
          <w:spacing w:val="-7"/>
        </w:rPr>
        <w:t>of </w:t>
      </w:r>
      <w:r>
        <w:rPr>
          <w:color w:val="231F20"/>
        </w:rPr>
        <w:t>this</w:t>
      </w:r>
      <w:r>
        <w:rPr>
          <w:color w:val="231F20"/>
          <w:spacing w:val="-7"/>
        </w:rPr>
        <w:t> </w:t>
      </w:r>
      <w:r>
        <w:rPr>
          <w:color w:val="231F20"/>
        </w:rPr>
        <w:t>filtrate</w:t>
      </w:r>
      <w:r>
        <w:rPr>
          <w:color w:val="231F20"/>
          <w:spacing w:val="-6"/>
        </w:rPr>
        <w:t> </w:t>
      </w:r>
      <w:r>
        <w:rPr>
          <w:color w:val="231F20"/>
        </w:rPr>
        <w:t>is</w:t>
      </w:r>
      <w:r>
        <w:rPr>
          <w:color w:val="231F20"/>
          <w:spacing w:val="-7"/>
        </w:rPr>
        <w:t> </w:t>
      </w:r>
      <w:r>
        <w:rPr>
          <w:color w:val="231F20"/>
        </w:rPr>
        <w:t>reabsorbed,</w:t>
      </w:r>
      <w:r>
        <w:rPr>
          <w:color w:val="231F20"/>
          <w:spacing w:val="-6"/>
        </w:rPr>
        <w:t> </w:t>
      </w:r>
      <w:r>
        <w:rPr>
          <w:color w:val="231F20"/>
        </w:rPr>
        <w:t>leaving</w:t>
      </w:r>
      <w:r>
        <w:rPr>
          <w:color w:val="231F20"/>
          <w:spacing w:val="-7"/>
        </w:rPr>
        <w:t> </w:t>
      </w:r>
      <w:r>
        <w:rPr>
          <w:color w:val="231F20"/>
        </w:rPr>
        <w:t>only</w:t>
      </w:r>
      <w:r>
        <w:rPr>
          <w:color w:val="231F20"/>
          <w:spacing w:val="-6"/>
        </w:rPr>
        <w:t> </w:t>
      </w:r>
      <w:r>
        <w:rPr>
          <w:color w:val="231F20"/>
        </w:rPr>
        <w:t>about</w:t>
      </w:r>
      <w:r>
        <w:rPr>
          <w:color w:val="231F20"/>
          <w:spacing w:val="-7"/>
        </w:rPr>
        <w:t> </w:t>
      </w:r>
      <w:r>
        <w:rPr>
          <w:color w:val="231F20"/>
        </w:rPr>
        <w:t>1</w:t>
      </w:r>
      <w:r>
        <w:rPr>
          <w:color w:val="231F20"/>
          <w:spacing w:val="-6"/>
        </w:rPr>
        <w:t> </w:t>
      </w:r>
      <w:r>
        <w:rPr>
          <w:color w:val="231F20"/>
        </w:rPr>
        <w:t>liter</w:t>
      </w:r>
      <w:r>
        <w:rPr>
          <w:color w:val="231F20"/>
          <w:spacing w:val="-7"/>
        </w:rPr>
        <w:t> </w:t>
      </w:r>
      <w:r>
        <w:rPr>
          <w:color w:val="231F20"/>
        </w:rPr>
        <w:t>of</w:t>
      </w:r>
      <w:r>
        <w:rPr>
          <w:color w:val="231F20"/>
          <w:spacing w:val="-6"/>
        </w:rPr>
        <w:t> </w:t>
      </w:r>
      <w:r>
        <w:rPr>
          <w:color w:val="231F20"/>
          <w:spacing w:val="-3"/>
        </w:rPr>
        <w:t>fluid </w:t>
      </w:r>
      <w:r>
        <w:rPr>
          <w:color w:val="231F20"/>
        </w:rPr>
        <w:t>to be excreted each </w:t>
      </w:r>
      <w:r>
        <w:rPr>
          <w:color w:val="231F20"/>
          <w:spacing w:val="-4"/>
        </w:rPr>
        <w:t>day, </w:t>
      </w:r>
      <w:r>
        <w:rPr>
          <w:color w:val="231F20"/>
        </w:rPr>
        <w:t>although the renal fluid excretion rate may be highly variable depending on fluid intake.</w:t>
      </w:r>
      <w:r>
        <w:rPr>
          <w:color w:val="231F20"/>
          <w:spacing w:val="-31"/>
        </w:rPr>
        <w:t> </w:t>
      </w:r>
      <w:r>
        <w:rPr>
          <w:color w:val="231F20"/>
        </w:rPr>
        <w:t>The high rate of glomerular filtration depends on a high </w:t>
      </w:r>
      <w:r>
        <w:rPr>
          <w:color w:val="231F20"/>
          <w:spacing w:val="-4"/>
        </w:rPr>
        <w:t>rate  </w:t>
      </w:r>
      <w:r>
        <w:rPr>
          <w:color w:val="231F20"/>
        </w:rPr>
        <w:t>of kidney blood </w:t>
      </w:r>
      <w:r>
        <w:rPr>
          <w:color w:val="231F20"/>
          <w:spacing w:val="-3"/>
        </w:rPr>
        <w:t>flow, </w:t>
      </w:r>
      <w:r>
        <w:rPr>
          <w:color w:val="231F20"/>
        </w:rPr>
        <w:t>as well as the special properties of the glomerular capillary membranes. In this chapter </w:t>
      </w:r>
      <w:r>
        <w:rPr>
          <w:color w:val="231F20"/>
          <w:spacing w:val="-6"/>
        </w:rPr>
        <w:t>we </w:t>
      </w:r>
      <w:r>
        <w:rPr>
          <w:color w:val="231F20"/>
        </w:rPr>
        <w:t>discuss the physical forces that determine the glomerular filtration rate (GFR), as well as the physiological mecha­ nisms that regulate GFR and renal blood</w:t>
      </w:r>
      <w:r>
        <w:rPr>
          <w:color w:val="231F20"/>
          <w:spacing w:val="10"/>
        </w:rPr>
        <w:t> </w:t>
      </w:r>
      <w:r>
        <w:rPr>
          <w:color w:val="231F20"/>
          <w:spacing w:val="-3"/>
        </w:rPr>
        <w:t>flow.</w:t>
      </w:r>
    </w:p>
    <w:p>
      <w:pPr>
        <w:pStyle w:val="BodyText"/>
        <w:spacing w:before="5"/>
        <w:rPr>
          <w:sz w:val="31"/>
        </w:rPr>
      </w:pPr>
    </w:p>
    <w:p>
      <w:pPr>
        <w:pStyle w:val="Heading2"/>
        <w:spacing w:line="225" w:lineRule="auto" w:before="1"/>
        <w:ind w:left="1440" w:right="2223"/>
      </w:pPr>
      <w:r>
        <w:rPr>
          <w:color w:val="231F20"/>
          <w:w w:val="105"/>
        </w:rPr>
        <w:t>COMPOSITION OF THE </w:t>
      </w:r>
      <w:r>
        <w:rPr>
          <w:color w:val="231F20"/>
        </w:rPr>
        <w:t>GLOMERULAR FILTRATE</w:t>
      </w:r>
    </w:p>
    <w:p>
      <w:pPr>
        <w:pStyle w:val="BodyText"/>
        <w:spacing w:line="249" w:lineRule="auto" w:before="127"/>
        <w:ind w:left="1416"/>
        <w:jc w:val="right"/>
      </w:pPr>
      <w:r>
        <w:rPr>
          <w:color w:val="231F20"/>
        </w:rPr>
        <w:t>Like most capillaries, the glomerular capillaries are</w:t>
      </w:r>
      <w:r>
        <w:rPr>
          <w:color w:val="231F20"/>
          <w:w w:val="100"/>
        </w:rPr>
        <w:t> </w:t>
      </w:r>
      <w:r>
        <w:rPr>
          <w:color w:val="231F20"/>
        </w:rPr>
        <w:t>relatively impermeable to proteins, so the filtered fluid</w:t>
      </w:r>
      <w:r>
        <w:rPr>
          <w:color w:val="231F20"/>
          <w:w w:val="98"/>
        </w:rPr>
        <w:t> </w:t>
      </w:r>
      <w:r>
        <w:rPr>
          <w:color w:val="231F20"/>
        </w:rPr>
        <w:t>(called the </w:t>
      </w:r>
      <w:r>
        <w:rPr>
          <w:i/>
          <w:color w:val="231F20"/>
        </w:rPr>
        <w:t>glomerular filtrate</w:t>
      </w:r>
      <w:r>
        <w:rPr>
          <w:color w:val="231F20"/>
        </w:rPr>
        <w:t>) is essentially protein free</w:t>
      </w:r>
      <w:r>
        <w:rPr>
          <w:color w:val="231F20"/>
          <w:w w:val="100"/>
        </w:rPr>
        <w:t> </w:t>
      </w:r>
      <w:r>
        <w:rPr>
          <w:color w:val="231F20"/>
        </w:rPr>
        <w:t>and devoid of cellular elements, including red blood cells.</w:t>
      </w:r>
      <w:r>
        <w:rPr>
          <w:color w:val="231F20"/>
          <w:w w:val="88"/>
        </w:rPr>
        <w:t> </w:t>
      </w:r>
      <w:r>
        <w:rPr>
          <w:color w:val="231F20"/>
        </w:rPr>
        <w:t>The concentrations of other constituents of the glo­</w:t>
      </w:r>
      <w:r>
        <w:rPr>
          <w:color w:val="231F20"/>
          <w:w w:val="109"/>
        </w:rPr>
        <w:t> </w:t>
      </w:r>
      <w:r>
        <w:rPr>
          <w:color w:val="231F20"/>
        </w:rPr>
        <w:t>merular filtrate, including most salts and organic mole­</w:t>
      </w:r>
      <w:r>
        <w:rPr>
          <w:color w:val="231F20"/>
          <w:w w:val="109"/>
        </w:rPr>
        <w:t> </w:t>
      </w:r>
      <w:r>
        <w:rPr>
          <w:color w:val="231F20"/>
        </w:rPr>
        <w:t>cules, are similar to the concentrations in the plasma.</w:t>
      </w:r>
      <w:r>
        <w:rPr>
          <w:color w:val="231F20"/>
          <w:w w:val="88"/>
        </w:rPr>
        <w:t> </w:t>
      </w:r>
      <w:r>
        <w:rPr>
          <w:color w:val="231F20"/>
        </w:rPr>
        <w:t>Exceptions to this generalization include a few low molec­</w:t>
      </w:r>
      <w:r>
        <w:rPr>
          <w:color w:val="231F20"/>
          <w:w w:val="109"/>
        </w:rPr>
        <w:t> </w:t>
      </w:r>
      <w:r>
        <w:rPr>
          <w:color w:val="231F20"/>
        </w:rPr>
        <w:t>ular weight substances such as calcium  and fatty acids</w:t>
      </w:r>
      <w:r>
        <w:rPr>
          <w:color w:val="231F20"/>
          <w:w w:val="100"/>
        </w:rPr>
        <w:t> </w:t>
      </w:r>
      <w:r>
        <w:rPr>
          <w:color w:val="231F20"/>
        </w:rPr>
        <w:t>that are not freely filtered because they are partially bound</w:t>
      </w:r>
      <w:r>
        <w:rPr>
          <w:color w:val="231F20"/>
          <w:w w:val="106"/>
        </w:rPr>
        <w:t> </w:t>
      </w:r>
      <w:r>
        <w:rPr>
          <w:color w:val="231F20"/>
        </w:rPr>
        <w:t>to the plasma proteins. For example, almost one half of</w:t>
      </w:r>
      <w:r>
        <w:rPr>
          <w:color w:val="231F20"/>
          <w:w w:val="97"/>
        </w:rPr>
        <w:t> </w:t>
      </w:r>
      <w:r>
        <w:rPr>
          <w:color w:val="231F20"/>
        </w:rPr>
        <w:t>the plasma calcium and most of the plasma fatty acids are</w:t>
      </w:r>
      <w:r>
        <w:rPr>
          <w:color w:val="231F20"/>
          <w:w w:val="100"/>
        </w:rPr>
        <w:t> </w:t>
      </w:r>
      <w:r>
        <w:rPr>
          <w:color w:val="231F20"/>
        </w:rPr>
        <w:t>bound to proteins, and these bound portions are not fil­</w:t>
      </w:r>
    </w:p>
    <w:p>
      <w:pPr>
        <w:pStyle w:val="BodyText"/>
        <w:spacing w:before="11"/>
        <w:ind w:left="1440"/>
        <w:jc w:val="both"/>
      </w:pPr>
      <w:r>
        <w:rPr>
          <w:color w:val="231F20"/>
        </w:rPr>
        <w:t>tered through the glomerular capillaries.</w:t>
      </w:r>
    </w:p>
    <w:p>
      <w:pPr>
        <w:pStyle w:val="BodyText"/>
        <w:spacing w:before="5"/>
        <w:rPr>
          <w:sz w:val="31"/>
        </w:rPr>
      </w:pPr>
    </w:p>
    <w:p>
      <w:pPr>
        <w:pStyle w:val="Heading2"/>
        <w:spacing w:line="225" w:lineRule="auto" w:before="1"/>
        <w:ind w:left="1440" w:right="1672"/>
      </w:pPr>
      <w:r>
        <w:rPr>
          <w:color w:val="231F20"/>
        </w:rPr>
        <w:t>GFR IS ABOUT 20 PERCENT OF RENAL PLASMA FLOW</w:t>
      </w:r>
    </w:p>
    <w:p>
      <w:pPr>
        <w:pStyle w:val="BodyText"/>
        <w:spacing w:line="249" w:lineRule="auto" w:before="127"/>
        <w:ind w:left="1440"/>
        <w:jc w:val="both"/>
      </w:pPr>
      <w:r>
        <w:rPr>
          <w:color w:val="231F20"/>
        </w:rPr>
        <w:t>The GFR is determined by (1) the balance of hydrostatic and colloid osmotic forces acting across the capillary membrane and (2) the capillary filtration coefficient (K</w:t>
      </w:r>
      <w:r>
        <w:rPr>
          <w:color w:val="231F20"/>
          <w:vertAlign w:val="subscript"/>
        </w:rPr>
        <w:t>f</w:t>
      </w:r>
      <w:r>
        <w:rPr>
          <w:color w:val="231F20"/>
          <w:vertAlign w:val="baseline"/>
        </w:rPr>
        <w:t>), the product of the permeability and filtering surface area of the capillaries. The glomerular capillaries have a much higher rate of filtration than most other capillaries because of a high glomerular hydrostatic pressure and a large K</w:t>
      </w:r>
      <w:r>
        <w:rPr>
          <w:color w:val="231F20"/>
          <w:vertAlign w:val="subscript"/>
        </w:rPr>
        <w:t>f</w:t>
      </w:r>
      <w:r>
        <w:rPr>
          <w:color w:val="231F20"/>
          <w:vertAlign w:val="baseline"/>
        </w:rPr>
        <w:t>.</w:t>
      </w:r>
    </w:p>
    <w:p>
      <w:pPr>
        <w:pStyle w:val="BodyText"/>
        <w:spacing w:line="249" w:lineRule="auto" w:before="250"/>
        <w:ind w:left="319" w:right="1079"/>
        <w:jc w:val="both"/>
      </w:pPr>
      <w:r>
        <w:rPr/>
        <w:br w:type="column"/>
      </w:r>
      <w:r>
        <w:rPr>
          <w:color w:val="231F20"/>
        </w:rPr>
        <w:t>In the average adult human, the GFR is about 125 ml/min, or 180 </w:t>
      </w:r>
      <w:r>
        <w:rPr>
          <w:color w:val="231F20"/>
          <w:spacing w:val="-3"/>
        </w:rPr>
        <w:t>L/day. </w:t>
      </w:r>
      <w:r>
        <w:rPr>
          <w:color w:val="231F20"/>
        </w:rPr>
        <w:t>The fraction of the renal plasma flow that is filtered (the filtration fraction) averages about 0.2, which means that about 20 percent of the plasma flowing through the kidney is filtered through the glomerular </w:t>
      </w:r>
      <w:r>
        <w:rPr>
          <w:color w:val="231F20"/>
          <w:spacing w:val="-4"/>
        </w:rPr>
        <w:t>cap­ </w:t>
      </w:r>
      <w:r>
        <w:rPr>
          <w:color w:val="231F20"/>
        </w:rPr>
        <w:t>illaries (</w:t>
      </w:r>
      <w:hyperlink w:history="true" w:anchor="_bookmark23">
        <w:r>
          <w:rPr>
            <w:b/>
            <w:color w:val="0080AC"/>
          </w:rPr>
          <w:t>Figure 27-1</w:t>
        </w:r>
      </w:hyperlink>
      <w:r>
        <w:rPr>
          <w:color w:val="231F20"/>
        </w:rPr>
        <w:t>). The filtration fraction is calculated as</w:t>
      </w:r>
      <w:r>
        <w:rPr>
          <w:color w:val="231F20"/>
          <w:spacing w:val="5"/>
        </w:rPr>
        <w:t> </w:t>
      </w:r>
      <w:r>
        <w:rPr>
          <w:color w:val="231F20"/>
        </w:rPr>
        <w:t>follows:</w:t>
      </w:r>
    </w:p>
    <w:p>
      <w:pPr>
        <w:spacing w:before="74"/>
        <w:ind w:left="862" w:right="0" w:firstLine="0"/>
        <w:jc w:val="left"/>
        <w:rPr>
          <w:rFonts w:ascii="Trebuchet MS" w:hAnsi="Trebuchet MS"/>
          <w:sz w:val="18"/>
        </w:rPr>
      </w:pPr>
      <w:r>
        <w:rPr/>
        <w:pict>
          <v:rect style="position:absolute;margin-left:576pt;margin-top:-99.717056pt;width:36pt;height:24pt;mso-position-horizontal-relative:page;mso-position-vertical-relative:paragraph;z-index:251899904" filled="true" fillcolor="#e8dac8" stroked="false">
            <v:fill type="solid"/>
            <w10:wrap type="none"/>
          </v:rect>
        </w:pict>
      </w:r>
      <w:r>
        <w:rPr>
          <w:rFonts w:ascii="Trebuchet MS" w:hAnsi="Trebuchet MS"/>
          <w:w w:val="102"/>
          <w:sz w:val="18"/>
        </w:rPr>
        <w:t>Filtration</w:t>
      </w:r>
      <w:r>
        <w:rPr>
          <w:rFonts w:ascii="Trebuchet MS" w:hAnsi="Trebuchet MS"/>
          <w:spacing w:val="-13"/>
          <w:sz w:val="18"/>
        </w:rPr>
        <w:t> </w:t>
      </w:r>
      <w:r>
        <w:rPr>
          <w:rFonts w:ascii="Trebuchet MS" w:hAnsi="Trebuchet MS"/>
          <w:spacing w:val="-1"/>
          <w:w w:val="105"/>
          <w:sz w:val="18"/>
        </w:rPr>
        <w:t>f</w:t>
      </w:r>
      <w:r>
        <w:rPr>
          <w:rFonts w:ascii="Trebuchet MS" w:hAnsi="Trebuchet MS"/>
          <w:spacing w:val="-1"/>
          <w:w w:val="100"/>
          <w:sz w:val="18"/>
        </w:rPr>
        <w:t>r</w:t>
      </w:r>
      <w:r>
        <w:rPr>
          <w:rFonts w:ascii="Trebuchet MS" w:hAnsi="Trebuchet MS"/>
          <w:spacing w:val="-1"/>
          <w:w w:val="105"/>
          <w:sz w:val="18"/>
        </w:rPr>
        <w:t>a</w:t>
      </w:r>
      <w:r>
        <w:rPr>
          <w:rFonts w:ascii="Trebuchet MS" w:hAnsi="Trebuchet MS"/>
          <w:spacing w:val="-1"/>
          <w:w w:val="89"/>
          <w:sz w:val="18"/>
        </w:rPr>
        <w:t>c</w:t>
      </w:r>
      <w:r>
        <w:rPr>
          <w:rFonts w:ascii="Trebuchet MS" w:hAnsi="Trebuchet MS"/>
          <w:spacing w:val="-1"/>
          <w:w w:val="98"/>
          <w:sz w:val="18"/>
        </w:rPr>
        <w:t>t</w:t>
      </w:r>
      <w:r>
        <w:rPr>
          <w:rFonts w:ascii="Trebuchet MS" w:hAnsi="Trebuchet MS"/>
          <w:spacing w:val="-1"/>
          <w:w w:val="97"/>
          <w:sz w:val="18"/>
        </w:rPr>
        <w:t>i</w:t>
      </w:r>
      <w:r>
        <w:rPr>
          <w:rFonts w:ascii="Trebuchet MS" w:hAnsi="Trebuchet MS"/>
          <w:spacing w:val="1"/>
          <w:w w:val="113"/>
          <w:sz w:val="18"/>
        </w:rPr>
        <w:t>o</w:t>
      </w:r>
      <w:r>
        <w:rPr>
          <w:rFonts w:ascii="Trebuchet MS" w:hAnsi="Trebuchet MS"/>
          <w:w w:val="111"/>
          <w:sz w:val="18"/>
        </w:rPr>
        <w:t>n</w:t>
      </w:r>
      <w:r>
        <w:rPr>
          <w:rFonts w:ascii="Trebuchet MS" w:hAnsi="Trebuchet MS"/>
          <w:spacing w:val="-15"/>
          <w:sz w:val="18"/>
        </w:rPr>
        <w:t> </w:t>
      </w:r>
      <w:r>
        <w:rPr>
          <w:rFonts w:ascii="Symbol" w:hAnsi="Symbol"/>
          <w:w w:val="100"/>
          <w:sz w:val="18"/>
        </w:rPr>
        <w:t></w:t>
      </w:r>
      <w:r>
        <w:rPr>
          <w:sz w:val="18"/>
        </w:rPr>
        <w:t> </w:t>
      </w:r>
      <w:r>
        <w:rPr>
          <w:rFonts w:ascii="Trebuchet MS" w:hAnsi="Trebuchet MS"/>
          <w:spacing w:val="-1"/>
          <w:w w:val="106"/>
          <w:sz w:val="18"/>
        </w:rPr>
        <w:t>G</w:t>
      </w:r>
      <w:r>
        <w:rPr>
          <w:rFonts w:ascii="Trebuchet MS" w:hAnsi="Trebuchet MS"/>
          <w:w w:val="100"/>
          <w:sz w:val="18"/>
        </w:rPr>
        <w:t>F</w:t>
      </w:r>
      <w:r>
        <w:rPr>
          <w:rFonts w:ascii="Trebuchet MS" w:hAnsi="Trebuchet MS"/>
          <w:spacing w:val="19"/>
          <w:w w:val="100"/>
          <w:sz w:val="18"/>
        </w:rPr>
        <w:t>R</w:t>
      </w:r>
      <w:r>
        <w:rPr>
          <w:rFonts w:ascii="Trebuchet MS" w:hAnsi="Trebuchet MS"/>
          <w:spacing w:val="6"/>
          <w:w w:val="53"/>
          <w:sz w:val="18"/>
        </w:rPr>
        <w:t>/</w:t>
      </w:r>
      <w:r>
        <w:rPr>
          <w:rFonts w:ascii="Trebuchet MS" w:hAnsi="Trebuchet MS"/>
          <w:spacing w:val="-1"/>
          <w:w w:val="104"/>
          <w:sz w:val="18"/>
        </w:rPr>
        <w:t>R</w:t>
      </w:r>
      <w:r>
        <w:rPr>
          <w:rFonts w:ascii="Trebuchet MS" w:hAnsi="Trebuchet MS"/>
          <w:spacing w:val="-1"/>
          <w:w w:val="101"/>
          <w:sz w:val="18"/>
        </w:rPr>
        <w:t>e</w:t>
      </w:r>
      <w:r>
        <w:rPr>
          <w:rFonts w:ascii="Trebuchet MS" w:hAnsi="Trebuchet MS"/>
          <w:spacing w:val="-1"/>
          <w:w w:val="111"/>
          <w:sz w:val="18"/>
        </w:rPr>
        <w:t>n</w:t>
      </w:r>
      <w:r>
        <w:rPr>
          <w:rFonts w:ascii="Trebuchet MS" w:hAnsi="Trebuchet MS"/>
          <w:spacing w:val="2"/>
          <w:w w:val="105"/>
          <w:sz w:val="18"/>
        </w:rPr>
        <w:t>a</w:t>
      </w:r>
      <w:r>
        <w:rPr>
          <w:rFonts w:ascii="Trebuchet MS" w:hAnsi="Trebuchet MS"/>
          <w:w w:val="94"/>
          <w:sz w:val="18"/>
        </w:rPr>
        <w:t>l</w:t>
      </w:r>
      <w:r>
        <w:rPr>
          <w:rFonts w:ascii="Trebuchet MS" w:hAnsi="Trebuchet MS"/>
          <w:spacing w:val="-28"/>
          <w:sz w:val="18"/>
        </w:rPr>
        <w:t> </w:t>
      </w:r>
      <w:r>
        <w:rPr>
          <w:rFonts w:ascii="Trebuchet MS" w:hAnsi="Trebuchet MS"/>
          <w:spacing w:val="-1"/>
          <w:w w:val="109"/>
          <w:sz w:val="18"/>
        </w:rPr>
        <w:t>p</w:t>
      </w:r>
      <w:r>
        <w:rPr>
          <w:rFonts w:ascii="Trebuchet MS" w:hAnsi="Trebuchet MS"/>
          <w:w w:val="94"/>
          <w:sz w:val="18"/>
        </w:rPr>
        <w:t>l</w:t>
      </w:r>
      <w:r>
        <w:rPr>
          <w:rFonts w:ascii="Trebuchet MS" w:hAnsi="Trebuchet MS"/>
          <w:w w:val="105"/>
          <w:sz w:val="18"/>
        </w:rPr>
        <w:t>a</w:t>
      </w:r>
      <w:r>
        <w:rPr>
          <w:rFonts w:ascii="Trebuchet MS" w:hAnsi="Trebuchet MS"/>
          <w:w w:val="96"/>
          <w:sz w:val="18"/>
        </w:rPr>
        <w:t>s</w:t>
      </w:r>
      <w:r>
        <w:rPr>
          <w:rFonts w:ascii="Trebuchet MS" w:hAnsi="Trebuchet MS"/>
          <w:w w:val="107"/>
          <w:sz w:val="18"/>
        </w:rPr>
        <w:t>m</w:t>
      </w:r>
      <w:r>
        <w:rPr>
          <w:rFonts w:ascii="Trebuchet MS" w:hAnsi="Trebuchet MS"/>
          <w:w w:val="105"/>
          <w:sz w:val="18"/>
        </w:rPr>
        <w:t>a</w:t>
      </w:r>
      <w:r>
        <w:rPr>
          <w:rFonts w:ascii="Trebuchet MS" w:hAnsi="Trebuchet MS"/>
          <w:spacing w:val="-13"/>
          <w:sz w:val="18"/>
        </w:rPr>
        <w:t> </w:t>
      </w:r>
      <w:r>
        <w:rPr>
          <w:rFonts w:ascii="Trebuchet MS" w:hAnsi="Trebuchet MS"/>
          <w:spacing w:val="-1"/>
          <w:w w:val="105"/>
          <w:sz w:val="18"/>
        </w:rPr>
        <w:t>f</w:t>
      </w:r>
      <w:r>
        <w:rPr>
          <w:rFonts w:ascii="Trebuchet MS" w:hAnsi="Trebuchet MS"/>
          <w:spacing w:val="-1"/>
          <w:w w:val="94"/>
          <w:sz w:val="18"/>
        </w:rPr>
        <w:t>l</w:t>
      </w:r>
      <w:r>
        <w:rPr>
          <w:rFonts w:ascii="Trebuchet MS" w:hAnsi="Trebuchet MS"/>
          <w:spacing w:val="-1"/>
          <w:w w:val="113"/>
          <w:sz w:val="18"/>
        </w:rPr>
        <w:t>o</w:t>
      </w:r>
      <w:r>
        <w:rPr>
          <w:rFonts w:ascii="Trebuchet MS" w:hAnsi="Trebuchet MS"/>
          <w:w w:val="111"/>
          <w:sz w:val="18"/>
        </w:rPr>
        <w:t>w</w:t>
      </w:r>
    </w:p>
    <w:p>
      <w:pPr>
        <w:pStyle w:val="BodyText"/>
        <w:spacing w:before="1"/>
        <w:rPr>
          <w:rFonts w:ascii="Trebuchet MS"/>
          <w:sz w:val="25"/>
        </w:rPr>
      </w:pPr>
    </w:p>
    <w:p>
      <w:pPr>
        <w:pStyle w:val="Heading2"/>
        <w:jc w:val="both"/>
      </w:pPr>
      <w:r>
        <w:rPr>
          <w:color w:val="231F20"/>
          <w:w w:val="105"/>
        </w:rPr>
        <w:t>GLOMERULAR CAPILLARY MEMBRANE</w:t>
      </w:r>
    </w:p>
    <w:p>
      <w:pPr>
        <w:pStyle w:val="BodyText"/>
        <w:spacing w:line="249" w:lineRule="auto" w:before="124"/>
        <w:ind w:left="319" w:right="1077"/>
        <w:jc w:val="both"/>
      </w:pPr>
      <w:r>
        <w:rPr>
          <w:color w:val="231F20"/>
          <w:w w:val="105"/>
        </w:rPr>
        <w:t>The glomerular capillary membrane is similar to that </w:t>
      </w:r>
      <w:r>
        <w:rPr>
          <w:color w:val="231F20"/>
          <w:spacing w:val="-6"/>
          <w:w w:val="105"/>
        </w:rPr>
        <w:t>of </w:t>
      </w:r>
      <w:r>
        <w:rPr>
          <w:color w:val="231F20"/>
          <w:w w:val="105"/>
        </w:rPr>
        <w:t>other capillaries, except that it has three (instead of the usual</w:t>
      </w:r>
      <w:r>
        <w:rPr>
          <w:color w:val="231F20"/>
          <w:spacing w:val="-13"/>
          <w:w w:val="105"/>
        </w:rPr>
        <w:t> </w:t>
      </w:r>
      <w:r>
        <w:rPr>
          <w:color w:val="231F20"/>
          <w:w w:val="105"/>
        </w:rPr>
        <w:t>two)</w:t>
      </w:r>
      <w:r>
        <w:rPr>
          <w:color w:val="231F20"/>
          <w:spacing w:val="-12"/>
          <w:w w:val="105"/>
        </w:rPr>
        <w:t> </w:t>
      </w:r>
      <w:r>
        <w:rPr>
          <w:color w:val="231F20"/>
          <w:w w:val="105"/>
        </w:rPr>
        <w:t>major</w:t>
      </w:r>
      <w:r>
        <w:rPr>
          <w:color w:val="231F20"/>
          <w:spacing w:val="-13"/>
          <w:w w:val="105"/>
        </w:rPr>
        <w:t> </w:t>
      </w:r>
      <w:r>
        <w:rPr>
          <w:color w:val="231F20"/>
          <w:w w:val="105"/>
        </w:rPr>
        <w:t>layers:</w:t>
      </w:r>
      <w:r>
        <w:rPr>
          <w:color w:val="231F20"/>
          <w:spacing w:val="-12"/>
          <w:w w:val="105"/>
        </w:rPr>
        <w:t> </w:t>
      </w:r>
      <w:r>
        <w:rPr>
          <w:color w:val="231F20"/>
          <w:w w:val="105"/>
        </w:rPr>
        <w:t>(1)</w:t>
      </w:r>
      <w:r>
        <w:rPr>
          <w:color w:val="231F20"/>
          <w:spacing w:val="-13"/>
          <w:w w:val="105"/>
        </w:rPr>
        <w:t> </w:t>
      </w:r>
      <w:r>
        <w:rPr>
          <w:color w:val="231F20"/>
          <w:w w:val="105"/>
        </w:rPr>
        <w:t>the</w:t>
      </w:r>
      <w:r>
        <w:rPr>
          <w:color w:val="231F20"/>
          <w:spacing w:val="-13"/>
          <w:w w:val="105"/>
        </w:rPr>
        <w:t> </w:t>
      </w:r>
      <w:r>
        <w:rPr>
          <w:i/>
          <w:color w:val="231F20"/>
          <w:w w:val="105"/>
        </w:rPr>
        <w:t>endothelium</w:t>
      </w:r>
      <w:r>
        <w:rPr>
          <w:i/>
          <w:color w:val="231F20"/>
          <w:spacing w:val="-12"/>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spacing w:val="-3"/>
          <w:w w:val="105"/>
        </w:rPr>
        <w:t>capil­ </w:t>
      </w:r>
      <w:r>
        <w:rPr>
          <w:color w:val="231F20"/>
          <w:w w:val="105"/>
        </w:rPr>
        <w:t>lary,</w:t>
      </w:r>
      <w:r>
        <w:rPr>
          <w:color w:val="231F20"/>
          <w:spacing w:val="-33"/>
          <w:w w:val="105"/>
        </w:rPr>
        <w:t> </w:t>
      </w:r>
      <w:r>
        <w:rPr>
          <w:color w:val="231F20"/>
          <w:w w:val="105"/>
        </w:rPr>
        <w:t>(2)</w:t>
      </w:r>
      <w:r>
        <w:rPr>
          <w:color w:val="231F20"/>
          <w:spacing w:val="-33"/>
          <w:w w:val="105"/>
        </w:rPr>
        <w:t> </w:t>
      </w:r>
      <w:r>
        <w:rPr>
          <w:color w:val="231F20"/>
          <w:w w:val="105"/>
        </w:rPr>
        <w:t>a</w:t>
      </w:r>
      <w:r>
        <w:rPr>
          <w:color w:val="231F20"/>
          <w:spacing w:val="-32"/>
          <w:w w:val="105"/>
        </w:rPr>
        <w:t> </w:t>
      </w:r>
      <w:r>
        <w:rPr>
          <w:i/>
          <w:color w:val="231F20"/>
          <w:w w:val="105"/>
        </w:rPr>
        <w:t>basement</w:t>
      </w:r>
      <w:r>
        <w:rPr>
          <w:i/>
          <w:color w:val="231F20"/>
          <w:spacing w:val="-33"/>
          <w:w w:val="105"/>
        </w:rPr>
        <w:t> </w:t>
      </w:r>
      <w:r>
        <w:rPr>
          <w:i/>
          <w:color w:val="231F20"/>
          <w:w w:val="105"/>
        </w:rPr>
        <w:t>membrane,</w:t>
      </w:r>
      <w:r>
        <w:rPr>
          <w:i/>
          <w:color w:val="231F20"/>
          <w:spacing w:val="-32"/>
          <w:w w:val="105"/>
        </w:rPr>
        <w:t> </w:t>
      </w:r>
      <w:r>
        <w:rPr>
          <w:color w:val="231F20"/>
          <w:w w:val="105"/>
        </w:rPr>
        <w:t>and</w:t>
      </w:r>
      <w:r>
        <w:rPr>
          <w:color w:val="231F20"/>
          <w:spacing w:val="-33"/>
          <w:w w:val="105"/>
        </w:rPr>
        <w:t> </w:t>
      </w:r>
      <w:r>
        <w:rPr>
          <w:color w:val="231F20"/>
          <w:w w:val="105"/>
        </w:rPr>
        <w:t>(3)</w:t>
      </w:r>
      <w:r>
        <w:rPr>
          <w:color w:val="231F20"/>
          <w:spacing w:val="-33"/>
          <w:w w:val="105"/>
        </w:rPr>
        <w:t> </w:t>
      </w:r>
      <w:r>
        <w:rPr>
          <w:color w:val="231F20"/>
          <w:w w:val="105"/>
        </w:rPr>
        <w:t>a</w:t>
      </w:r>
      <w:r>
        <w:rPr>
          <w:color w:val="231F20"/>
          <w:spacing w:val="-32"/>
          <w:w w:val="105"/>
        </w:rPr>
        <w:t> </w:t>
      </w:r>
      <w:r>
        <w:rPr>
          <w:color w:val="231F20"/>
          <w:w w:val="105"/>
        </w:rPr>
        <w:t>layer</w:t>
      </w:r>
      <w:r>
        <w:rPr>
          <w:color w:val="231F20"/>
          <w:spacing w:val="-33"/>
          <w:w w:val="105"/>
        </w:rPr>
        <w:t> </w:t>
      </w:r>
      <w:r>
        <w:rPr>
          <w:color w:val="231F20"/>
          <w:w w:val="105"/>
        </w:rPr>
        <w:t>of</w:t>
      </w:r>
      <w:r>
        <w:rPr>
          <w:color w:val="231F20"/>
          <w:spacing w:val="-32"/>
          <w:w w:val="105"/>
        </w:rPr>
        <w:t> </w:t>
      </w:r>
      <w:r>
        <w:rPr>
          <w:i/>
          <w:color w:val="231F20"/>
          <w:w w:val="105"/>
        </w:rPr>
        <w:t>epithelial </w:t>
      </w:r>
      <w:r>
        <w:rPr>
          <w:i/>
          <w:color w:val="231F20"/>
          <w:w w:val="105"/>
        </w:rPr>
        <w:t>cells</w:t>
      </w:r>
      <w:r>
        <w:rPr>
          <w:i/>
          <w:color w:val="231F20"/>
          <w:spacing w:val="-27"/>
          <w:w w:val="105"/>
        </w:rPr>
        <w:t> </w:t>
      </w:r>
      <w:r>
        <w:rPr>
          <w:i/>
          <w:color w:val="231F20"/>
          <w:w w:val="105"/>
        </w:rPr>
        <w:t>(podocytes)</w:t>
      </w:r>
      <w:r>
        <w:rPr>
          <w:i/>
          <w:color w:val="231F20"/>
          <w:spacing w:val="-26"/>
          <w:w w:val="105"/>
        </w:rPr>
        <w:t> </w:t>
      </w:r>
      <w:r>
        <w:rPr>
          <w:color w:val="231F20"/>
          <w:w w:val="105"/>
        </w:rPr>
        <w:t>surrounding</w:t>
      </w:r>
      <w:r>
        <w:rPr>
          <w:color w:val="231F20"/>
          <w:spacing w:val="-26"/>
          <w:w w:val="105"/>
        </w:rPr>
        <w:t> </w:t>
      </w:r>
      <w:r>
        <w:rPr>
          <w:color w:val="231F20"/>
          <w:w w:val="105"/>
        </w:rPr>
        <w:t>the</w:t>
      </w:r>
      <w:r>
        <w:rPr>
          <w:color w:val="231F20"/>
          <w:spacing w:val="-27"/>
          <w:w w:val="105"/>
        </w:rPr>
        <w:t> </w:t>
      </w:r>
      <w:r>
        <w:rPr>
          <w:color w:val="231F20"/>
          <w:w w:val="105"/>
        </w:rPr>
        <w:t>outer</w:t>
      </w:r>
      <w:r>
        <w:rPr>
          <w:color w:val="231F20"/>
          <w:spacing w:val="-26"/>
          <w:w w:val="105"/>
        </w:rPr>
        <w:t> </w:t>
      </w:r>
      <w:r>
        <w:rPr>
          <w:color w:val="231F20"/>
          <w:w w:val="105"/>
        </w:rPr>
        <w:t>surface</w:t>
      </w:r>
      <w:r>
        <w:rPr>
          <w:color w:val="231F20"/>
          <w:spacing w:val="-26"/>
          <w:w w:val="105"/>
        </w:rPr>
        <w:t> </w:t>
      </w:r>
      <w:r>
        <w:rPr>
          <w:color w:val="231F20"/>
          <w:w w:val="105"/>
        </w:rPr>
        <w:t>of</w:t>
      </w:r>
      <w:r>
        <w:rPr>
          <w:color w:val="231F20"/>
          <w:spacing w:val="-27"/>
          <w:w w:val="105"/>
        </w:rPr>
        <w:t> </w:t>
      </w:r>
      <w:r>
        <w:rPr>
          <w:color w:val="231F20"/>
          <w:w w:val="105"/>
        </w:rPr>
        <w:t>the</w:t>
      </w:r>
      <w:r>
        <w:rPr>
          <w:color w:val="231F20"/>
          <w:spacing w:val="-26"/>
          <w:w w:val="105"/>
        </w:rPr>
        <w:t> </w:t>
      </w:r>
      <w:r>
        <w:rPr>
          <w:color w:val="231F20"/>
          <w:w w:val="105"/>
        </w:rPr>
        <w:t>cap­ illary</w:t>
      </w:r>
      <w:r>
        <w:rPr>
          <w:color w:val="231F20"/>
          <w:spacing w:val="-22"/>
          <w:w w:val="105"/>
        </w:rPr>
        <w:t> </w:t>
      </w:r>
      <w:r>
        <w:rPr>
          <w:color w:val="231F20"/>
          <w:w w:val="105"/>
        </w:rPr>
        <w:t>basement</w:t>
      </w:r>
      <w:r>
        <w:rPr>
          <w:color w:val="231F20"/>
          <w:spacing w:val="-22"/>
          <w:w w:val="105"/>
        </w:rPr>
        <w:t> </w:t>
      </w:r>
      <w:r>
        <w:rPr>
          <w:color w:val="231F20"/>
          <w:w w:val="105"/>
        </w:rPr>
        <w:t>membrane</w:t>
      </w:r>
      <w:r>
        <w:rPr>
          <w:color w:val="231F20"/>
          <w:spacing w:val="-22"/>
          <w:w w:val="105"/>
        </w:rPr>
        <w:t> </w:t>
      </w:r>
      <w:r>
        <w:rPr>
          <w:color w:val="231F20"/>
          <w:w w:val="105"/>
        </w:rPr>
        <w:t>(</w:t>
      </w:r>
      <w:hyperlink w:history="true" w:anchor="_bookmark24">
        <w:r>
          <w:rPr>
            <w:b/>
            <w:color w:val="0080AC"/>
            <w:w w:val="105"/>
          </w:rPr>
          <w:t>Figure</w:t>
        </w:r>
        <w:r>
          <w:rPr>
            <w:b/>
            <w:color w:val="0080AC"/>
            <w:spacing w:val="-22"/>
            <w:w w:val="105"/>
          </w:rPr>
          <w:t> </w:t>
        </w:r>
        <w:r>
          <w:rPr>
            <w:b/>
            <w:color w:val="0080AC"/>
            <w:w w:val="105"/>
          </w:rPr>
          <w:t>27-2</w:t>
        </w:r>
      </w:hyperlink>
      <w:r>
        <w:rPr>
          <w:color w:val="231F20"/>
          <w:w w:val="105"/>
        </w:rPr>
        <w:t>).</w:t>
      </w:r>
      <w:r>
        <w:rPr>
          <w:color w:val="231F20"/>
          <w:spacing w:val="-22"/>
          <w:w w:val="105"/>
        </w:rPr>
        <w:t> </w:t>
      </w:r>
      <w:r>
        <w:rPr>
          <w:color w:val="231F20"/>
          <w:spacing w:val="-5"/>
          <w:w w:val="105"/>
        </w:rPr>
        <w:t>Together,</w:t>
      </w:r>
      <w:r>
        <w:rPr>
          <w:color w:val="231F20"/>
          <w:spacing w:val="-22"/>
          <w:w w:val="105"/>
        </w:rPr>
        <w:t> </w:t>
      </w:r>
      <w:r>
        <w:rPr>
          <w:color w:val="231F20"/>
          <w:w w:val="105"/>
        </w:rPr>
        <w:t>these layers make up the filtration barrier, which, despite the three</w:t>
      </w:r>
      <w:r>
        <w:rPr>
          <w:color w:val="231F20"/>
          <w:spacing w:val="-6"/>
          <w:w w:val="105"/>
        </w:rPr>
        <w:t> </w:t>
      </w:r>
      <w:r>
        <w:rPr>
          <w:color w:val="231F20"/>
          <w:w w:val="105"/>
        </w:rPr>
        <w:t>layers,</w:t>
      </w:r>
      <w:r>
        <w:rPr>
          <w:color w:val="231F20"/>
          <w:spacing w:val="-6"/>
          <w:w w:val="105"/>
        </w:rPr>
        <w:t> </w:t>
      </w:r>
      <w:r>
        <w:rPr>
          <w:color w:val="231F20"/>
          <w:w w:val="105"/>
        </w:rPr>
        <w:t>filters</w:t>
      </w:r>
      <w:r>
        <w:rPr>
          <w:color w:val="231F20"/>
          <w:spacing w:val="-6"/>
          <w:w w:val="105"/>
        </w:rPr>
        <w:t> </w:t>
      </w:r>
      <w:r>
        <w:rPr>
          <w:color w:val="231F20"/>
          <w:w w:val="105"/>
        </w:rPr>
        <w:t>several</w:t>
      </w:r>
      <w:r>
        <w:rPr>
          <w:color w:val="231F20"/>
          <w:spacing w:val="-6"/>
          <w:w w:val="105"/>
        </w:rPr>
        <w:t> </w:t>
      </w:r>
      <w:r>
        <w:rPr>
          <w:color w:val="231F20"/>
          <w:w w:val="105"/>
        </w:rPr>
        <w:t>hundred</w:t>
      </w:r>
      <w:r>
        <w:rPr>
          <w:color w:val="231F20"/>
          <w:spacing w:val="-6"/>
          <w:w w:val="105"/>
        </w:rPr>
        <w:t> </w:t>
      </w:r>
      <w:r>
        <w:rPr>
          <w:color w:val="231F20"/>
          <w:w w:val="105"/>
        </w:rPr>
        <w:t>times</w:t>
      </w:r>
      <w:r>
        <w:rPr>
          <w:color w:val="231F20"/>
          <w:spacing w:val="-6"/>
          <w:w w:val="105"/>
        </w:rPr>
        <w:t> </w:t>
      </w:r>
      <w:r>
        <w:rPr>
          <w:color w:val="231F20"/>
          <w:w w:val="105"/>
        </w:rPr>
        <w:t>as</w:t>
      </w:r>
      <w:r>
        <w:rPr>
          <w:color w:val="231F20"/>
          <w:spacing w:val="-5"/>
          <w:w w:val="105"/>
        </w:rPr>
        <w:t> </w:t>
      </w:r>
      <w:r>
        <w:rPr>
          <w:color w:val="231F20"/>
          <w:w w:val="105"/>
        </w:rPr>
        <w:t>much</w:t>
      </w:r>
      <w:r>
        <w:rPr>
          <w:color w:val="231F20"/>
          <w:spacing w:val="-6"/>
          <w:w w:val="105"/>
        </w:rPr>
        <w:t> </w:t>
      </w:r>
      <w:r>
        <w:rPr>
          <w:color w:val="231F20"/>
          <w:spacing w:val="-3"/>
          <w:w w:val="105"/>
        </w:rPr>
        <w:t>water </w:t>
      </w:r>
      <w:r>
        <w:rPr>
          <w:color w:val="231F20"/>
          <w:w w:val="105"/>
        </w:rPr>
        <w:t>and solutes as the usual capillary membrane. Even </w:t>
      </w:r>
      <w:r>
        <w:rPr>
          <w:color w:val="231F20"/>
          <w:spacing w:val="-3"/>
          <w:w w:val="105"/>
        </w:rPr>
        <w:t>with </w:t>
      </w:r>
      <w:r>
        <w:rPr>
          <w:color w:val="231F20"/>
          <w:w w:val="105"/>
        </w:rPr>
        <w:t>this</w:t>
      </w:r>
      <w:r>
        <w:rPr>
          <w:color w:val="231F20"/>
          <w:spacing w:val="-12"/>
          <w:w w:val="105"/>
        </w:rPr>
        <w:t> </w:t>
      </w:r>
      <w:r>
        <w:rPr>
          <w:color w:val="231F20"/>
          <w:w w:val="105"/>
        </w:rPr>
        <w:t>high</w:t>
      </w:r>
      <w:r>
        <w:rPr>
          <w:color w:val="231F20"/>
          <w:spacing w:val="-11"/>
          <w:w w:val="105"/>
        </w:rPr>
        <w:t> </w:t>
      </w:r>
      <w:r>
        <w:rPr>
          <w:color w:val="231F20"/>
          <w:w w:val="105"/>
        </w:rPr>
        <w:t>rate</w:t>
      </w:r>
      <w:r>
        <w:rPr>
          <w:color w:val="231F20"/>
          <w:spacing w:val="-11"/>
          <w:w w:val="105"/>
        </w:rPr>
        <w:t> </w:t>
      </w:r>
      <w:r>
        <w:rPr>
          <w:color w:val="231F20"/>
          <w:w w:val="105"/>
        </w:rPr>
        <w:t>of</w:t>
      </w:r>
      <w:r>
        <w:rPr>
          <w:color w:val="231F20"/>
          <w:spacing w:val="-11"/>
          <w:w w:val="105"/>
        </w:rPr>
        <w:t> </w:t>
      </w:r>
      <w:r>
        <w:rPr>
          <w:color w:val="231F20"/>
          <w:w w:val="105"/>
        </w:rPr>
        <w:t>filtration,</w:t>
      </w:r>
      <w:r>
        <w:rPr>
          <w:color w:val="231F20"/>
          <w:spacing w:val="-11"/>
          <w:w w:val="105"/>
        </w:rPr>
        <w:t> </w:t>
      </w:r>
      <w:r>
        <w:rPr>
          <w:color w:val="231F20"/>
          <w:w w:val="105"/>
        </w:rPr>
        <w:t>the</w:t>
      </w:r>
      <w:r>
        <w:rPr>
          <w:color w:val="231F20"/>
          <w:spacing w:val="-11"/>
          <w:w w:val="105"/>
        </w:rPr>
        <w:t> </w:t>
      </w:r>
      <w:r>
        <w:rPr>
          <w:color w:val="231F20"/>
          <w:w w:val="105"/>
        </w:rPr>
        <w:t>glomerular</w:t>
      </w:r>
      <w:r>
        <w:rPr>
          <w:color w:val="231F20"/>
          <w:spacing w:val="-11"/>
          <w:w w:val="105"/>
        </w:rPr>
        <w:t> </w:t>
      </w:r>
      <w:r>
        <w:rPr>
          <w:color w:val="231F20"/>
          <w:w w:val="105"/>
        </w:rPr>
        <w:t>capillary</w:t>
      </w:r>
      <w:r>
        <w:rPr>
          <w:color w:val="231F20"/>
          <w:spacing w:val="-11"/>
          <w:w w:val="105"/>
        </w:rPr>
        <w:t> </w:t>
      </w:r>
      <w:r>
        <w:rPr>
          <w:color w:val="231F20"/>
          <w:spacing w:val="-5"/>
          <w:w w:val="105"/>
        </w:rPr>
        <w:t>mem­ </w:t>
      </w:r>
      <w:r>
        <w:rPr>
          <w:color w:val="231F20"/>
          <w:w w:val="105"/>
        </w:rPr>
        <w:t>brane normally prevents filtration of plasma</w:t>
      </w:r>
      <w:r>
        <w:rPr>
          <w:color w:val="231F20"/>
          <w:spacing w:val="-27"/>
          <w:w w:val="105"/>
        </w:rPr>
        <w:t> </w:t>
      </w:r>
      <w:r>
        <w:rPr>
          <w:color w:val="231F20"/>
          <w:w w:val="105"/>
        </w:rPr>
        <w:t>proteins.</w:t>
      </w:r>
    </w:p>
    <w:p>
      <w:pPr>
        <w:pStyle w:val="BodyText"/>
        <w:spacing w:line="249" w:lineRule="auto" w:before="9"/>
        <w:ind w:left="319" w:right="1077" w:firstLine="240"/>
        <w:jc w:val="both"/>
      </w:pPr>
      <w:r>
        <w:rPr>
          <w:color w:val="231F20"/>
        </w:rPr>
        <w:t>The high filtration rate across the glomerular capillary membrane is due partly to its  special  characteristics.  The capillary </w:t>
      </w:r>
      <w:r>
        <w:rPr>
          <w:i/>
          <w:color w:val="231F20"/>
        </w:rPr>
        <w:t>endothelium </w:t>
      </w:r>
      <w:r>
        <w:rPr>
          <w:color w:val="231F20"/>
        </w:rPr>
        <w:t>is perforated by thousands of small holes called </w:t>
      </w:r>
      <w:r>
        <w:rPr>
          <w:i/>
          <w:color w:val="231F20"/>
        </w:rPr>
        <w:t>fenestrae, </w:t>
      </w:r>
      <w:r>
        <w:rPr>
          <w:color w:val="231F20"/>
        </w:rPr>
        <w:t>similar to the fenestrated</w:t>
      </w:r>
      <w:r>
        <w:rPr>
          <w:color w:val="231F20"/>
          <w:spacing w:val="-28"/>
        </w:rPr>
        <w:t> </w:t>
      </w:r>
      <w:r>
        <w:rPr>
          <w:color w:val="231F20"/>
        </w:rPr>
        <w:t>cap­ illaries found in the </w:t>
      </w:r>
      <w:r>
        <w:rPr>
          <w:color w:val="231F20"/>
          <w:spacing w:val="-3"/>
        </w:rPr>
        <w:t>liver, </w:t>
      </w:r>
      <w:r>
        <w:rPr>
          <w:color w:val="231F20"/>
        </w:rPr>
        <w:t>although smaller than the fenes­ trae of the </w:t>
      </w:r>
      <w:r>
        <w:rPr>
          <w:color w:val="231F20"/>
          <w:spacing w:val="-3"/>
        </w:rPr>
        <w:t>liver. </w:t>
      </w:r>
      <w:r>
        <w:rPr>
          <w:color w:val="231F20"/>
        </w:rPr>
        <w:t>Although the fenestrations are relatively large, endothelial cell proteins are richly endowed with fixed negative charges that hinder the passage of plasma proteins.</w:t>
      </w:r>
    </w:p>
    <w:p>
      <w:pPr>
        <w:pStyle w:val="BodyText"/>
        <w:spacing w:line="249" w:lineRule="auto" w:before="8"/>
        <w:ind w:left="319" w:right="1077" w:firstLine="240"/>
        <w:jc w:val="both"/>
      </w:pPr>
      <w:r>
        <w:rPr>
          <w:color w:val="231F20"/>
        </w:rPr>
        <w:t>Surrounding the endothelium is the </w:t>
      </w:r>
      <w:r>
        <w:rPr>
          <w:i/>
          <w:color w:val="231F20"/>
        </w:rPr>
        <w:t>basement mem- </w:t>
      </w:r>
      <w:r>
        <w:rPr>
          <w:i/>
          <w:color w:val="231F20"/>
        </w:rPr>
        <w:t>brane, </w:t>
      </w:r>
      <w:r>
        <w:rPr>
          <w:color w:val="231F20"/>
        </w:rPr>
        <w:t>which consists of a meshwork of collagen and pro­ teoglycan fibrillae that have large spaces through which large amounts of water and small solutes can filter. The basement membrane effectively prevents filtration of plasma proteins, in part because of strong negative elec­ trical charges associated with the proteoglycans.</w:t>
      </w:r>
    </w:p>
    <w:p>
      <w:pPr>
        <w:pStyle w:val="BodyText"/>
        <w:spacing w:line="249" w:lineRule="auto" w:before="6"/>
        <w:ind w:left="319" w:right="1077" w:firstLine="240"/>
        <w:jc w:val="both"/>
      </w:pPr>
      <w:r>
        <w:rPr>
          <w:color w:val="231F20"/>
        </w:rPr>
        <w:t>The final part of the glomerular membrane is a </w:t>
      </w:r>
      <w:r>
        <w:rPr>
          <w:color w:val="231F20"/>
          <w:spacing w:val="-4"/>
        </w:rPr>
        <w:t>layer   </w:t>
      </w:r>
      <w:r>
        <w:rPr>
          <w:color w:val="231F20"/>
        </w:rPr>
        <w:t>of epithelial cells that line the outer surface of the glo­ merulus. These cells are not continuous but have long footlike processes (podocytes) that encircle the outer surface of the capillaries (see </w:t>
      </w:r>
      <w:hyperlink w:history="true" w:anchor="_bookmark24">
        <w:r>
          <w:rPr>
            <w:b/>
            <w:color w:val="0080AC"/>
          </w:rPr>
          <w:t>Figure 27-2</w:t>
        </w:r>
      </w:hyperlink>
      <w:r>
        <w:rPr>
          <w:color w:val="231F20"/>
        </w:rPr>
        <w:t>). The foot pro­ cesses are separated by gaps called </w:t>
      </w:r>
      <w:r>
        <w:rPr>
          <w:i/>
          <w:color w:val="231F20"/>
        </w:rPr>
        <w:t>slit pores</w:t>
      </w:r>
      <w:r>
        <w:rPr>
          <w:i/>
          <w:color w:val="231F20"/>
          <w:spacing w:val="15"/>
        </w:rPr>
        <w:t> </w:t>
      </w:r>
      <w:r>
        <w:rPr>
          <w:color w:val="231F20"/>
        </w:rPr>
        <w:t>through</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1"/>
      </w:pPr>
    </w:p>
    <w:p>
      <w:pPr>
        <w:spacing w:after="0"/>
        <w:sectPr>
          <w:headerReference w:type="even" r:id="rId379"/>
          <w:pgSz w:w="12240" w:h="15660"/>
          <w:pgMar w:header="0" w:footer="567" w:top="720" w:bottom="760" w:left="0" w:right="0"/>
        </w:sectPr>
      </w:pPr>
    </w:p>
    <w:p>
      <w:pPr>
        <w:spacing w:line="182" w:lineRule="exact" w:before="131"/>
        <w:ind w:left="1256" w:right="0" w:firstLine="0"/>
        <w:jc w:val="center"/>
        <w:rPr>
          <w:rFonts w:ascii="Helvetica"/>
          <w:b/>
          <w:sz w:val="16"/>
        </w:rPr>
      </w:pPr>
      <w:r>
        <w:rPr>
          <w:rFonts w:ascii="Helvetica"/>
          <w:b/>
          <w:color w:val="231F20"/>
          <w:sz w:val="16"/>
        </w:rPr>
        <w:t>RPF</w:t>
      </w:r>
    </w:p>
    <w:p>
      <w:pPr>
        <w:spacing w:line="182" w:lineRule="exact" w:before="0"/>
        <w:ind w:left="1256" w:right="0" w:firstLine="0"/>
        <w:jc w:val="center"/>
        <w:rPr>
          <w:rFonts w:ascii="Helvetica"/>
          <w:sz w:val="16"/>
        </w:rPr>
      </w:pPr>
      <w:r>
        <w:rPr/>
        <w:pict>
          <v:group style="position:absolute;margin-left:64.933998pt;margin-top:8.453598pt;width:204.55pt;height:211.35pt;mso-position-horizontal-relative:page;mso-position-vertical-relative:paragraph;z-index:251908096" coordorigin="1299,169" coordsize="4091,4227">
            <v:shape style="position:absolute;left:2431;top:716;width:1516;height:1283" type="#_x0000_t75" stroked="false">
              <v:imagedata r:id="rId380" o:title=""/>
            </v:shape>
            <v:shape style="position:absolute;left:2566;top:657;width:1246;height:1204" coordorigin="2566,658" coordsize="1246,1204" path="m2828,908l2751,926,2686,961,2634,1008,2597,1062,2575,1121,2566,1198,2578,1267,2612,1331,2667,1392,2746,1450,2768,1467,2794,1493,2819,1527,2835,1566,2858,1633,2895,1697,2942,1753,2997,1800,3055,1836,3115,1857,3184,1861,3243,1843,3295,1806,3345,1753,3392,1688,3396,1682,3147,1682,3135,1680,3129,1679,3123,1677,3117,1674,3079,1649,3046,1613,3019,1568,3002,1519,2988,1475,2966,1424,2935,1373,2895,1327,3004,1327,3063,1320,3149,1300,3232,1271,3308,1238,3372,1203,3383,1196,2731,1196,2728,1184,2726,1172,2725,1160,2727,1148,2751,1105,2793,1081,2843,1072,2938,1072,2969,1071,3029,1040,3074,995,3107,949,3123,927,3138,912,3139,910,2923,910,2828,908xm3764,1163l3456,1163,3480,1168,3506,1178,3510,1180,3515,1182,3519,1184,3567,1217,3602,1253,3624,1288,3631,1314,3617,1352,3588,1387,3547,1413,3501,1422,3427,1432,3359,1460,3301,1500,3254,1546,3219,1591,3181,1645,3160,1673,3147,1682,3396,1682,3420,1647,3446,1615,3471,1595,3498,1589,3571,1581,3642,1556,3706,1516,3759,1462,3796,1399,3812,1326,3807,1255,3786,1194,3764,1163xm3004,1327l2895,1327,2977,1330,3004,1327xm2823,1124l2797,1125,2773,1134,2752,1150,2744,1161,2737,1172,2733,1184,2731,1196,3383,1196,3422,1169,3431,1165,2938,1165,2884,1155,2878,1152,2873,1149,2869,1145,2863,1139,2855,1134,2848,1131,2823,1124xm3418,999l3365,1012,3319,1038,3256,1078,3178,1114,3093,1142,3010,1160,2938,1165,3431,1165,3436,1163,3456,1163,3764,1163,3751,1143,3705,1102,3695,1086,3692,1060,3693,1030,3696,1013,3534,1013,3474,999,3418,999xm2938,1072l2843,1072,2890,1075,2938,1072xm3689,859l3270,859,3313,860,3377,875,3445,908,3503,956,3534,1013,3696,1013,3698,1005,3707,929,3692,864,3689,859xm3230,658l3166,672,3106,721,3071,759,2996,825,2969,856,2946,888,2932,905,2923,910,3139,910,3154,898,3173,885,3202,871,3234,862,3270,859,3689,859,3660,810,3615,770,3567,746,3518,733,3476,728,3410,728,3386,726,3362,720,3342,706,3291,671,3230,658xm3431,727l3410,728,3476,728,3472,727,3431,727xe" filled="true" fillcolor="#d04e59" stroked="false">
              <v:path arrowok="t"/>
              <v:fill type="solid"/>
            </v:shape>
            <v:shape style="position:absolute;left:-936;top:13630;width:1246;height:1204" coordorigin="-935,13631" coordsize="1246,1204" path="m3501,1422l3427,1432,3359,1460,3301,1500,3254,1546,3219,1591,3181,1645,3160,1673,3147,1682,3135,1680,3129,1679,3123,1677,3117,1674,3079,1649,3046,1613,3019,1568,3002,1519,2988,1475,2966,1424,2935,1373,2895,1327,2977,1330,3063,1320,3149,1300,3232,1271,3308,1238,3372,1203,3422,1169,3436,1163,3456,1163,3480,1168,3506,1178,3510,1180,3515,1182,3519,1184,3567,1217,3602,1253,3624,1288,3631,1314,3617,1352,3588,1387,3547,1413,3501,1422xm3534,1013l3474,999,3418,999,3365,1012,3319,1038,3256,1078,3178,1114,3093,1142,3010,1160,2938,1165,2884,1155,2878,1152,2873,1149,2869,1145,2863,1139,2855,1134,2848,1131,2823,1124,2797,1125,2773,1134,2752,1150,2744,1161,2737,1172,2733,1184,2731,1196,2728,1184,2726,1172,2725,1160,2727,1148,2751,1105,2793,1081,2843,1072,2890,1075,2969,1071,3029,1040,3074,995,3107,949,3123,927,3138,912,3154,898,3173,885,3202,871,3234,862,3270,859,3313,860,3377,875,3445,908,3503,956,3534,1013xm2575,1121l2566,1198,2578,1267,2612,1331,2667,1392,2746,1450,2768,1467,2794,1493,2819,1527,2835,1566,2858,1633,2895,1697,2942,1753,2997,1800,3055,1836,3115,1857,3184,1861,3243,1843,3295,1806,3345,1753,3392,1688,3420,1647,3446,1615,3471,1595,3498,1589,3571,1581,3642,1556,3706,1516,3759,1462,3796,1399,3812,1326,3807,1255,3786,1194,3751,1143,3705,1102,3695,1086,3692,1060,3693,1030,3698,1005,3707,929,3692,864,3660,810,3615,770,3567,746,3518,733,3472,727,3431,727,3410,728,3386,726,3362,720,3342,706,3291,671,3230,658,3166,672,3106,721,3071,759,3032,793,2996,825,2969,856,2946,888,2932,905,2923,910,2916,910,2828,908,2751,926,2686,961,2634,1008,2597,1062,2575,1121xe" filled="false" stroked="true" strokeweight=".25pt" strokecolor="#231f20">
              <v:path arrowok="t"/>
              <v:stroke dashstyle="solid"/>
            </v:shape>
            <v:shape style="position:absolute;left:3106;top:664;width:238;height:85" type="#_x0000_t75" stroked="false">
              <v:imagedata r:id="rId381" o:title=""/>
            </v:shape>
            <v:shape style="position:absolute;left:2109;top:254;width:1704;height:1582" type="#_x0000_t75" stroked="false">
              <v:imagedata r:id="rId382" o:title=""/>
            </v:shape>
            <v:shape style="position:absolute;left:2872;top:1435;width:259;height:95" type="#_x0000_t75" stroked="false">
              <v:imagedata r:id="rId383" o:title=""/>
            </v:shape>
            <v:shape style="position:absolute;left:3460;top:950;width:296;height:99" type="#_x0000_t75" stroked="false">
              <v:imagedata r:id="rId384" o:title=""/>
            </v:shape>
            <v:shape style="position:absolute;left:2866;top:831;width:913;height:831" coordorigin="2867,832" coordsize="913,831" path="m3515,1399l3205,1399,3255,1405,3309,1431,3366,1477,3423,1548,3468,1601,3521,1641,3577,1663,3634,1660,3692,1633,3739,1589,3769,1534,3778,1477,3587,1477,3569,1463,3515,1399xm3611,1011l3327,1011,3375,1021,3414,1040,3441,1066,3459,1099,3472,1143,3474,1150,3474,1161,3475,1173,3475,1188,3476,1246,3476,1248,3486,1322,3518,1392,3585,1444,3602,1459,3601,1473,3587,1477,3778,1477,3779,1476,3769,1426,3746,1385,3711,1351,3667,1320,3646,1296,3640,1262,3640,1222,3641,1188,3641,1181,3640,1160,3639,1140,3636,1120,3633,1101,3624,1051,3611,1011xm3004,1307l2867,1397,2937,1449,3007,1460,3071,1448,3123,1427,3145,1417,3166,1408,3186,1402,3205,1399,3515,1399,3510,1393,3449,1336,3413,1309,3010,1309,3004,1307xm3197,1233l3156,1238,3117,1248,3082,1262,3052,1278,3030,1293,3017,1304,3010,1309,3413,1309,3389,1291,3329,1259,3297,1246,3264,1237,3231,1233,3197,1233xm3338,832l3252,838,3182,861,3126,896,3084,937,3053,985,3037,1036,3038,1086,3057,1132,3074,1154,3094,1170,3114,1181,3133,1188,3163,1176,3188,1134,3214,1082,3244,1038,3262,1024,3289,1013,3327,1011,3611,1011,3606,994,3572,937,3519,887,3439,850,3338,832xe" filled="true" fillcolor="#f15b66" stroked="false">
              <v:path arrowok="t"/>
              <v:fill type="solid"/>
            </v:shape>
            <v:shape style="position:absolute;left:2866;top:831;width:913;height:831" coordorigin="2867,832" coordsize="913,831" path="m2867,1397l2937,1449,3007,1460,3071,1448,3123,1427,3145,1417,3166,1408,3186,1402,3205,1399,3255,1405,3309,1431,3366,1477,3423,1548,3468,1601,3521,1641,3577,1663,3634,1660,3692,1633,3739,1589,3769,1534,3779,1476,3769,1426,3746,1385,3711,1351,3667,1320,3646,1296,3640,1262,3640,1222,3641,1181,3640,1160,3624,1051,3572,937,3519,887,3439,850,3338,832,3252,838,3182,861,3126,896,3053,985,3037,1036,3038,1086,3074,1154,3133,1188,3163,1176,3188,1134,3214,1082,3244,1038,3262,1024,3289,1013,3327,1011,3375,1021,3441,1066,3472,1143,3476,1247,3486,1322,3518,1392,3585,1444,3602,1459,3601,1473,3587,1477,3569,1463,3510,1393,3449,1336,3389,1291,3329,1259,3264,1237,3197,1233,3156,1238,3082,1262,3030,1293,3017,1304,3010,1309,3004,1307e" filled="false" stroked="true" strokeweight=".25pt" strokecolor="#231f20">
              <v:path arrowok="t"/>
              <v:stroke dashstyle="solid"/>
            </v:shape>
            <v:shape style="position:absolute;left:3168;top:1005;width:75;height:22" coordorigin="3168,1006" coordsize="75,22" path="m3170,1018l3168,1027,3178,1028,3196,1028,3213,1024,3214,1023,3203,1023,3189,1023,3182,1022,3170,1018xm3243,1006l3221,1019,3203,1023,3214,1023,3228,1016,3243,1006xe" filled="true" fillcolor="#f15b66" stroked="false">
              <v:path arrowok="t"/>
              <v:fill type="solid"/>
            </v:shape>
            <v:shape style="position:absolute;left:3168;top:1005;width:75;height:22" coordorigin="3168,1006" coordsize="75,22" path="m3178,1028l3168,1027,3170,1018,3182,1022,3189,1023,3203,1023,3221,1019,3243,1006,3228,1016,3213,1024,3196,1028,3178,1028xe" filled="false" stroked="true" strokeweight=".25pt" strokecolor="#231f20">
              <v:path arrowok="t"/>
              <v:stroke dashstyle="solid"/>
            </v:shape>
            <v:shape style="position:absolute;left:-534;top:14366;width:554;height:138" coordorigin="-534,14367" coordsize="554,138" path="m3415,1139l3414,1164,3417,1190,3422,1214,3428,1231,3435,1244,3423,1248,3421,1233,3420,1224,3419,1212,3418,1199,3416,1183m2881,1193l2901,1171,2933,1146,2979,1124,3045,1111e" filled="false" stroked="true" strokeweight=".25pt" strokecolor="#231f20">
              <v:path arrowok="t"/>
              <v:stroke dashstyle="solid"/>
            </v:shape>
            <v:shape style="position:absolute;left:2686;top:757;width:220;height:137" type="#_x0000_t75" stroked="false">
              <v:imagedata r:id="rId385" o:title=""/>
            </v:shape>
            <v:shape style="position:absolute;left:2613;top:1017;width:412;height:258" type="#_x0000_t75" stroked="false">
              <v:imagedata r:id="rId386" o:title=""/>
            </v:shape>
            <v:shape style="position:absolute;left:3048;top:1239;width:291;height:73" type="#_x0000_t75" stroked="false">
              <v:imagedata r:id="rId387" o:title=""/>
            </v:shape>
            <v:shape style="position:absolute;left:3044;top:839;width:265;height:241" type="#_x0000_t75" stroked="false">
              <v:imagedata r:id="rId388" o:title=""/>
            </v:shape>
            <v:shape style="position:absolute;left:2355;top:624;width:1670;height:3499" coordorigin="2356,625" coordsize="1670,3499" path="m2659,625l2630,630,2605,647,2548,708,2499,774,2456,845,2420,921,2391,1002,2371,1084,2359,1166,2356,1248,2361,1330,2373,1410,2393,1488,2421,1564,2457,1642,2495,1714,2535,1781,2576,1843,2618,1902,2661,1957,2744,2064,2784,2116,2822,2168,2858,2222,2890,2277,2920,2335,2945,2397,2965,2463,2980,2535,2990,2612,2993,2696,2995,3081,3000,3506,3004,3849,3006,3990,3003,4059,3020,4096,3074,4113,3181,4123,3287,4096,3338,4051,3354,4009,3355,3990,3363,3486,3367,3183,3369,2960,3369,2696,3372,2613,3382,2535,3398,2464,3419,2398,3445,2336,3476,2278,3510,2222,3547,2168,3586,2116,3628,2063,3714,1956,3740,1923,3211,1923,3140,1921,3069,1912,2998,1895,2928,1871,2861,1839,2799,1800,2743,1756,2692,1707,2646,1653,2607,1595,2574,1533,2548,1469,2528,1402,2514,1333,2509,1263,2510,1192,2519,1121,2536,1050,2560,980,2590,918,2625,860,2666,805,2712,755,2729,730,2735,702,2729,673,2713,647,2688,630,2659,625xm3724,628l3696,633,3670,650,3654,676,3648,704,3654,733,3671,758,3721,814,3764,874,3800,937,3829,1004,3851,1073,3865,1144,3871,1216,3870,1288,3861,1361,3844,1433,3819,1503,3787,1570,3748,1632,3704,1689,3655,1740,3601,1785,3543,1824,3481,1857,3417,1884,3350,1904,3281,1917,3211,1923,3740,1923,3758,1900,3801,1841,3844,1779,3885,1712,3924,1640,3960,1562,3987,1489,4007,1415,4020,1340,4025,1265,4024,1190,4016,1116,4001,1042,3980,970,3952,901,3918,833,3877,769,3831,708,3778,650,3753,633,3724,628xe" filled="true" fillcolor="#ffe293" stroked="false">
              <v:path arrowok="t"/>
              <v:fill type="solid"/>
            </v:shape>
            <v:shape style="position:absolute;left:2355;top:624;width:1670;height:3499" coordorigin="2356,625" coordsize="1670,3499" path="m3778,650l3753,633,3724,628,3696,633,3670,650,3654,676,3648,704,3654,733,3671,758,3721,814,3764,874,3800,937,3829,1004,3851,1073,3865,1144,3871,1216,3870,1288,3861,1361,3844,1433,3819,1503,3787,1570,3748,1632,3704,1689,3655,1740,3601,1785,3543,1824,3481,1857,3417,1884,3350,1904,3281,1917,3211,1923,3140,1921,3069,1912,2998,1895,2928,1871,2861,1839,2799,1800,2743,1756,2692,1707,2646,1653,2607,1595,2574,1533,2548,1469,2528,1402,2514,1333,2509,1263,2510,1192,2519,1121,2536,1050,2560,980,2590,918,2625,860,2666,805,2712,755,2729,730,2713,647,2659,625,2630,630,2548,708,2499,774,2456,845,2420,921,2391,1002,2371,1084,2359,1166,2356,1248,2361,1330,2373,1410,2393,1488,2421,1564,2457,1642,2495,1714,2535,1781,2576,1843,2618,1902,2661,1957,2703,2011,2744,2064,2784,2116,2822,2168,2858,2222,2890,2277,2920,2335,2945,2397,2965,2463,2980,2535,2990,2612,2993,2696,2995,3081,3000,3506,3004,3849,3006,3990,3003,4059,3020,4096,3074,4113,3181,4123,3287,4096,3338,4051,3355,3990,3363,3486,3367,3183,3369,2960,3369,2696,3372,2613,3382,2535,3398,2464,3419,2398,3445,2336,3476,2278,3510,2222,3547,2168,3586,2116,3628,2063,3670,2010,3714,1956,3758,1900,3801,1841,3844,1779,3885,1712,3924,1640,3960,1562,3987,1489,4007,1415,4020,1340,4025,1265,4024,1190,4016,1116,4001,1042,3980,970,3952,901,3918,833,3877,769,3831,708,3778,650xe" filled="false" stroked="true" strokeweight=".25pt" strokecolor="#b7705b">
              <v:path arrowok="t"/>
              <v:stroke dashstyle="solid"/>
            </v:shape>
            <v:shape style="position:absolute;left:2072;top:257;width:78;height:151" coordorigin="2072,258" coordsize="78,151" path="m2111,258l2096,263,2084,279,2075,303,2072,333,2075,362,2084,386,2096,402,2111,408,2126,402,2138,386,2147,362,2150,333,2147,303,2138,279,2126,263,2111,258xe" filled="true" fillcolor="#f8aba6" stroked="false">
              <v:path arrowok="t"/>
              <v:fill type="solid"/>
            </v:shape>
            <v:shape style="position:absolute;left:2072;top:257;width:78;height:151" coordorigin="2072,258" coordsize="78,151" path="m2150,333l2147,362,2138,386,2126,402,2111,408,2096,402,2084,386,2075,362,2072,333,2075,303,2084,279,2096,263,2111,258,2126,263,2138,279,2147,303,2150,333xe" filled="false" stroked="true" strokeweight=".25pt" strokecolor="#231f20">
              <v:path arrowok="t"/>
              <v:stroke dashstyle="solid"/>
            </v:shape>
            <v:shape style="position:absolute;left:2089;top:284;width:42;height:96" coordorigin="2090,285" coordsize="42,96" path="m2111,285l2103,289,2096,299,2092,314,2090,333,2092,351,2096,366,2103,376,2111,380,2119,376,2126,366,2130,351,2132,333,2130,314,2126,299,2119,289,2111,285xe" filled="true" fillcolor="#c74a54" stroked="false">
              <v:path arrowok="t"/>
              <v:fill type="solid"/>
            </v:shape>
            <v:shape style="position:absolute;left:2089;top:284;width:42;height:96" coordorigin="2090,285" coordsize="42,96" path="m2132,333l2130,351,2126,366,2119,376,2111,380,2103,376,2096,366,2092,351,2090,333,2092,314,2096,299,2103,289,2111,285,2119,289,2126,299,2130,314,2132,333xe" filled="false" stroked="true" strokeweight=".25pt" strokecolor="#231f20">
              <v:path arrowok="t"/>
              <v:stroke dashstyle="solid"/>
            </v:shape>
            <v:line style="position:absolute" from="2120,1148" to="2793,1148" stroked="true" strokeweight=".75pt" strokecolor="#231f20">
              <v:stroke dashstyle="solid"/>
            </v:line>
            <v:shape style="position:absolute;left:3133;top:240;width:1606;height:3859" type="#_x0000_t75" stroked="false">
              <v:imagedata r:id="rId389" o:title=""/>
            </v:shape>
            <v:shape style="position:absolute;left:-780;top:11287;width:1606;height:3859" coordorigin="-780,11288" coordsize="1606,3859" path="m3913,3349l3896,3325,3883,3265,3877,3185,3874,3102,3876,3019,3883,2939,3895,2879,3913,2856,3931,2880,3943,2942,3950,3022,3952,3102,3950,3183,3943,3263,3931,3324,3913,3349xm3755,3368l3713,3294,3687,3218,3676,3142,3676,3069,3686,3000,3704,2937,3728,2882,3755,2836,3775,2818,3795,2814,3807,2826,3805,2853,3782,2948,3769,3038,3766,3122,3772,3201,3786,3275,3807,3345,3807,3367,3795,3382,3775,3384,3755,3368xm4019,2853l4017,2826,4029,2814,4049,2818,4069,2836,4096,2882,4119,2937,4138,3000,4148,3069,4148,3142,4137,3218,4111,3294,4069,3368,4048,3384,4029,3382,4017,3367,4017,3345,4038,3275,4052,3201,4058,3122,4055,3038,4042,2948,4019,2853xm3133,1188l3195,1196,3255,1187,3312,1162,3365,1121,3412,1065,3451,995,3478,924,3489,865,3492,815,3489,773,3484,730,3479,675,3481,615,3498,556,3543,480,3597,434,3669,413,3771,407,4037,407,4103,420,4154,453,4187,505,4199,569,4199,1480,4195,1572,4184,1655,4166,1731,4142,1802,4111,1870,4076,1936,4043,1991,4007,2050,3970,2114,3935,2184,3904,2261,3879,2345,3862,2439,3856,2543,3848,2589,3826,2630,3796,2666,3763,2693,3712,2736,3668,2792,3632,2857,3605,2931,3588,3013,3582,3099,3588,3187,3606,3270,3634,3345,3672,3411,3717,3466,3769,3510,3793,3527,3814,3548,3828,3571,3834,3598,3834,3794,3840,3877,3858,3947,3889,4003,3933,4046,3990,4076,4060,4093,4144,4099,4144,4100,4707,4100,4731,4074,4739,4017,4731,3961,4707,3935,4707,3935,4136,3935,4072,3923,4030,3893,4008,3850,4001,3799,4001,3602,4008,3567,4023,3540,4042,3521,4057,3510,4109,3466,4155,3411,4192,3345,4220,3269,4238,3187,4244,3099,4239,3016,4223,2937,4197,2866,4164,2801,4123,2746,4075,2701,4047,2672,4026,2633,4013,2589,4009,2539,4016,2440,4035,2351,4063,2272,4097,2200,4136,2133,4174,2071,4211,2010,4243,1950,4273,1886,4300,1817,4322,1743,4339,1663,4350,1577,4354,1485,4354,573,4347,489,4326,415,4292,354,4245,305,4186,270,4114,248,4029,241,3770,241,3682,245,3604,259,3534,283,3474,317,3422,363,3378,421,3344,492,3321,579,3315,662,3318,734,3323,786,3325,817,3324,848,3316,883,3300,926,3288,949,3275,970,3260,990,3243,1006e" filled="false" stroked="true" strokeweight=".25pt" strokecolor="#231f20">
              <v:path arrowok="t"/>
              <v:stroke dashstyle="solid"/>
            </v:shape>
            <v:shape style="position:absolute;left:4480;top:3920;width:636;height:204" coordorigin="4480,3920" coordsize="636,204" path="m4939,3920l4939,3980,4480,3980,4480,4064,4939,4064,4939,4124,5115,4022,4939,3920xe" filled="true" fillcolor="#ffffff" stroked="false">
              <v:path arrowok="t"/>
              <v:fill type="solid"/>
            </v:shape>
            <v:shape style="position:absolute;left:4480;top:3920;width:636;height:204" coordorigin="4480,3920" coordsize="636,204" path="m5115,4022l4939,3920,4939,3980,4480,3980,4480,4064,4939,4064,4939,4124,5115,4022xe" filled="false" stroked="true" strokeweight=".5pt" strokecolor="#231f20">
              <v:path arrowok="t"/>
              <v:stroke dashstyle="solid"/>
            </v:shape>
            <v:shape style="position:absolute;left:3079;top:3835;width:204;height:556" coordorigin="3079,3836" coordsize="204,556" path="m3283,4214l3079,4214,3181,4391,3283,4214xm3223,3836l3139,3836,3139,4214,3223,4214,3223,3836xe" filled="true" fillcolor="#ffffff" stroked="false">
              <v:path arrowok="t"/>
              <v:fill type="solid"/>
            </v:shape>
            <v:shape style="position:absolute;left:3079;top:3835;width:204;height:556" coordorigin="3079,3836" coordsize="204,556" path="m3181,4391l3079,4214,3139,4214,3139,3836,3223,3836,3223,4214,3283,4214,3181,4391xe" filled="false" stroked="true" strokeweight=".5pt" strokecolor="#231f20">
              <v:path arrowok="t"/>
              <v:stroke dashstyle="solid"/>
            </v:shape>
            <v:shape style="position:absolute;left:3079;top:1680;width:204;height:731" coordorigin="3079,1681" coordsize="204,731" path="m3283,2234l3079,2234,3181,2411,3283,2234xm3223,1681l3139,1681,3139,2234,3223,2234,3223,1681xe" filled="true" fillcolor="#ffffff" stroked="false">
              <v:path arrowok="t"/>
              <v:fill type="solid"/>
            </v:shape>
            <v:shape style="position:absolute;left:3079;top:1680;width:204;height:731" coordorigin="3079,1681" coordsize="204,731" path="m3181,2411l3079,2234,3139,2234,3139,1681,3223,1681,3223,2234,3283,2234,3181,2411xe" filled="false" stroked="true" strokeweight=".5pt" strokecolor="#231f20">
              <v:path arrowok="t"/>
              <v:stroke dashstyle="solid"/>
            </v:shape>
            <v:shape style="position:absolute;left:3174;top:2793;width:464;height:314" coordorigin="3175,2794" coordsize="464,314" path="m3219,2794l3175,2865,3466,3050,3434,3100,3638,3107,3569,2978,3510,2978,3219,2794xm3542,2927l3510,2978,3569,2978,3542,2927xe" filled="true" fillcolor="#ffffff" stroked="false">
              <v:path arrowok="t"/>
              <v:fill type="solid"/>
            </v:shape>
            <v:shape style="position:absolute;left:3174;top:2793;width:464;height:314" coordorigin="3175,2794" coordsize="464,314" path="m3638,3107l3434,3100,3466,3050,3175,2865,3219,2794,3510,2978,3542,2927,3638,3107xe" filled="false" stroked="true" strokeweight=".5pt" strokecolor="#231f20">
              <v:path arrowok="t"/>
              <v:stroke dashstyle="solid"/>
            </v:shape>
            <v:shape style="position:absolute;left:1336;top:229;width:776;height:204" coordorigin="1337,229" coordsize="776,204" path="m1936,229l1936,289,1337,289,1337,373,1936,373,1936,433,2112,331,1936,229xe" filled="true" fillcolor="#ffffff" stroked="false">
              <v:path arrowok="t"/>
              <v:fill type="solid"/>
            </v:shape>
            <v:shape style="position:absolute;left:1336;top:229;width:776;height:204" coordorigin="1337,229" coordsize="776,204" path="m2112,331l1936,433,1936,373,1337,373,1337,289,1936,289,1936,229,2112,331xe" filled="false" stroked="true" strokeweight=".5pt" strokecolor="#231f20">
              <v:path arrowok="t"/>
              <v:stroke dashstyle="solid"/>
            </v:shape>
            <v:line style="position:absolute" from="4505,3022" to="4192,3022" stroked="true" strokeweight=".75pt" strokecolor="#231f20">
              <v:stroke dashstyle="solid"/>
            </v:line>
            <v:shape style="position:absolute;left:3332;top:257;width:439;height:390" type="#_x0000_t75" stroked="false">
              <v:imagedata r:id="rId390" o:title=""/>
            </v:shape>
            <v:shape style="position:absolute;left:0;top:14395;width:1208;height:143" coordorigin="0,14396" coordsize="1208,143" path="m2727,169l2727,312m3935,169l3935,312e" filled="false" stroked="true" strokeweight=".75pt" strokecolor="#231f20">
              <v:path arrowok="t"/>
              <v:stroke dashstyle="solid"/>
            </v:shape>
            <v:shape style="position:absolute;left:1298;top:860;width:1533;height:1504" type="#_x0000_t202" filled="false" stroked="false">
              <v:textbox inset="0,0,0,0">
                <w:txbxContent>
                  <w:p>
                    <w:pPr>
                      <w:spacing w:line="235" w:lineRule="auto" w:before="2"/>
                      <w:ind w:left="80" w:right="721" w:hanging="80"/>
                      <w:jc w:val="left"/>
                      <w:rPr>
                        <w:rFonts w:ascii="Helvetica"/>
                        <w:sz w:val="16"/>
                      </w:rPr>
                    </w:pPr>
                    <w:r>
                      <w:rPr>
                        <w:rFonts w:ascii="Helvetica"/>
                        <w:color w:val="231F20"/>
                        <w:sz w:val="16"/>
                      </w:rPr>
                      <w:t>Glomerular capillaries</w:t>
                    </w:r>
                  </w:p>
                  <w:p>
                    <w:pPr>
                      <w:tabs>
                        <w:tab w:pos="1232" w:val="left" w:leader="none"/>
                      </w:tabs>
                      <w:spacing w:line="235" w:lineRule="auto" w:before="119"/>
                      <w:ind w:left="239" w:right="297" w:hanging="182"/>
                      <w:jc w:val="left"/>
                      <w:rPr>
                        <w:rFonts w:ascii="Helvetica"/>
                        <w:sz w:val="16"/>
                      </w:rPr>
                    </w:pPr>
                    <w:r>
                      <w:rPr>
                        <w:rFonts w:ascii="Helvetica"/>
                        <w:color w:val="231F20"/>
                        <w:sz w:val="16"/>
                      </w:rPr>
                      <w:t>Bowman's</w:t>
                    </w:r>
                    <w:r>
                      <w:rPr>
                        <w:rFonts w:ascii="Helvetica"/>
                        <w:color w:val="231F20"/>
                        <w:sz w:val="16"/>
                        <w:u w:val="single" w:color="231F20"/>
                      </w:rPr>
                      <w:tab/>
                    </w:r>
                    <w:r>
                      <w:rPr>
                        <w:rFonts w:ascii="Helvetica"/>
                        <w:color w:val="231F20"/>
                        <w:sz w:val="16"/>
                      </w:rPr>
                      <w:t> capsule</w:t>
                    </w:r>
                  </w:p>
                  <w:p>
                    <w:pPr>
                      <w:spacing w:line="240" w:lineRule="auto" w:before="7"/>
                      <w:rPr>
                        <w:rFonts w:ascii="Helvetica"/>
                        <w:sz w:val="25"/>
                      </w:rPr>
                    </w:pPr>
                  </w:p>
                  <w:p>
                    <w:pPr>
                      <w:spacing w:line="182" w:lineRule="exact" w:before="0"/>
                      <w:ind w:left="603" w:right="0" w:firstLine="0"/>
                      <w:jc w:val="center"/>
                      <w:rPr>
                        <w:rFonts w:ascii="Helvetica"/>
                        <w:b/>
                        <w:sz w:val="16"/>
                      </w:rPr>
                    </w:pPr>
                    <w:r>
                      <w:rPr>
                        <w:rFonts w:ascii="Helvetica"/>
                        <w:b/>
                        <w:color w:val="231F20"/>
                        <w:sz w:val="16"/>
                      </w:rPr>
                      <w:t>GFR</w:t>
                    </w:r>
                  </w:p>
                  <w:p>
                    <w:pPr>
                      <w:spacing w:line="182" w:lineRule="exact" w:before="0"/>
                      <w:ind w:left="603" w:right="0" w:firstLine="0"/>
                      <w:jc w:val="center"/>
                      <w:rPr>
                        <w:rFonts w:ascii="Helvetica"/>
                        <w:sz w:val="16"/>
                      </w:rPr>
                    </w:pPr>
                    <w:r>
                      <w:rPr>
                        <w:rFonts w:ascii="Helvetica"/>
                        <w:color w:val="231F20"/>
                        <w:sz w:val="16"/>
                      </w:rPr>
                      <w:t>(125 ml/min)</w:t>
                    </w:r>
                  </w:p>
                </w:txbxContent>
              </v:textbox>
              <w10:wrap type="none"/>
            </v:shape>
            <v:shape style="position:absolute;left:2067;top:2784;width:909;height:370" type="#_x0000_t202" filled="false" stroked="false">
              <v:textbox inset="0,0,0,0">
                <w:txbxContent>
                  <w:p>
                    <w:pPr>
                      <w:spacing w:line="182" w:lineRule="exact" w:before="4"/>
                      <w:ind w:left="0" w:right="18" w:firstLine="0"/>
                      <w:jc w:val="center"/>
                      <w:rPr>
                        <w:rFonts w:ascii="Helvetica"/>
                        <w:b/>
                        <w:sz w:val="16"/>
                      </w:rPr>
                    </w:pPr>
                    <w:r>
                      <w:rPr>
                        <w:rFonts w:ascii="Helvetica"/>
                        <w:b/>
                        <w:color w:val="231F20"/>
                        <w:sz w:val="16"/>
                      </w:rPr>
                      <w:t>REAB</w:t>
                    </w:r>
                  </w:p>
                  <w:p>
                    <w:pPr>
                      <w:spacing w:line="182" w:lineRule="exact" w:before="0"/>
                      <w:ind w:left="0" w:right="18" w:firstLine="0"/>
                      <w:jc w:val="center"/>
                      <w:rPr>
                        <w:rFonts w:ascii="Helvetica"/>
                        <w:sz w:val="16"/>
                      </w:rPr>
                    </w:pPr>
                    <w:r>
                      <w:rPr>
                        <w:rFonts w:ascii="Helvetica"/>
                        <w:color w:val="231F20"/>
                        <w:sz w:val="16"/>
                      </w:rPr>
                      <w:t>(124 ml/min)</w:t>
                    </w:r>
                  </w:p>
                </w:txbxContent>
              </v:textbox>
              <w10:wrap type="none"/>
            </v:shape>
            <v:shape style="position:absolute;left:4540;top:2932;width:794;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Peritubular capillaries</w:t>
                    </w:r>
                  </w:p>
                </w:txbxContent>
              </v:textbox>
              <w10:wrap type="none"/>
            </v:shape>
            <v:shape style="position:absolute;left:5165;top:3838;width:225;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Re vei</w:t>
                    </w:r>
                  </w:p>
                </w:txbxContent>
              </v:textbox>
              <w10:wrap type="none"/>
            </v:shape>
            <w10:wrap type="none"/>
          </v:group>
        </w:pict>
      </w:r>
      <w:r>
        <w:rPr>
          <w:rFonts w:ascii="Helvetica"/>
          <w:color w:val="231F20"/>
          <w:sz w:val="16"/>
        </w:rPr>
        <w:t>(625 ml/min)</w:t>
      </w:r>
    </w:p>
    <w:p>
      <w:pPr>
        <w:spacing w:line="235" w:lineRule="auto" w:before="119"/>
        <w:ind w:left="271" w:right="-20" w:firstLine="8"/>
        <w:jc w:val="left"/>
        <w:rPr>
          <w:rFonts w:ascii="Helvetica"/>
          <w:sz w:val="16"/>
        </w:rPr>
      </w:pPr>
      <w:r>
        <w:rPr/>
        <w:br w:type="column"/>
      </w:r>
      <w:r>
        <w:rPr>
          <w:rFonts w:ascii="Helvetica"/>
          <w:color w:val="231F20"/>
          <w:sz w:val="16"/>
        </w:rPr>
        <w:t>Afferent arteriole</w:t>
      </w:r>
    </w:p>
    <w:p>
      <w:pPr>
        <w:spacing w:line="235" w:lineRule="auto" w:before="119"/>
        <w:ind w:left="560" w:right="20" w:firstLine="8"/>
        <w:jc w:val="left"/>
        <w:rPr>
          <w:rFonts w:ascii="Helvetica"/>
          <w:sz w:val="16"/>
        </w:rPr>
      </w:pPr>
      <w:r>
        <w:rPr/>
        <w:br w:type="column"/>
      </w:r>
      <w:r>
        <w:rPr>
          <w:rFonts w:ascii="Helvetica"/>
          <w:color w:val="231F20"/>
          <w:sz w:val="16"/>
        </w:rPr>
        <w:t>Efferent arteriole</w:t>
      </w:r>
    </w:p>
    <w:p>
      <w:pPr>
        <w:spacing w:line="252" w:lineRule="auto" w:before="100"/>
        <w:ind w:left="1256" w:right="1720" w:firstLine="0"/>
        <w:jc w:val="left"/>
        <w:rPr>
          <w:rFonts w:ascii="Trebuchet MS"/>
          <w:sz w:val="18"/>
        </w:rPr>
      </w:pPr>
      <w:r>
        <w:rPr/>
        <w:br w:type="column"/>
      </w:r>
      <w:bookmarkStart w:name="_bookmark22" w:id="23"/>
      <w:bookmarkEnd w:id="23"/>
      <w:r>
        <w:rPr/>
      </w:r>
      <w:r>
        <w:rPr>
          <w:rFonts w:ascii="Trebuchet MS"/>
          <w:b/>
          <w:color w:val="231F20"/>
          <w:w w:val="105"/>
          <w:sz w:val="18"/>
        </w:rPr>
        <w:t>Table 27-1 </w:t>
      </w:r>
      <w:r>
        <w:rPr>
          <w:rFonts w:ascii="Trebuchet MS"/>
          <w:color w:val="231F20"/>
          <w:w w:val="105"/>
          <w:sz w:val="18"/>
        </w:rPr>
        <w:t>Filterability of Substances by Glomerular Capillaries Based on Molecular Weight</w:t>
      </w:r>
    </w:p>
    <w:p>
      <w:pPr>
        <w:spacing w:after="0" w:line="252" w:lineRule="auto"/>
        <w:jc w:val="left"/>
        <w:rPr>
          <w:rFonts w:ascii="Trebuchet MS"/>
          <w:sz w:val="18"/>
        </w:rPr>
        <w:sectPr>
          <w:type w:val="continuous"/>
          <w:pgSz w:w="12240" w:h="15660"/>
          <w:pgMar w:top="0" w:bottom="760" w:left="0" w:right="0"/>
          <w:cols w:num="4" w:equalWidth="0">
            <w:col w:w="2146" w:space="40"/>
            <w:col w:w="850" w:space="39"/>
            <w:col w:w="1179" w:space="609"/>
            <w:col w:w="7377"/>
          </w:cols>
        </w:sectPr>
      </w:pPr>
    </w:p>
    <w:p>
      <w:pPr>
        <w:pStyle w:val="BodyText"/>
        <w:spacing w:before="5"/>
        <w:rPr>
          <w:rFonts w:ascii="Trebuchet MS"/>
          <w:sz w:val="9"/>
        </w:rPr>
      </w:pPr>
    </w:p>
    <w:tbl>
      <w:tblPr>
        <w:tblW w:w="0" w:type="auto"/>
        <w:jc w:val="left"/>
        <w:tblInd w:w="6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4"/>
        <w:gridCol w:w="2059"/>
        <w:gridCol w:w="1335"/>
      </w:tblGrid>
      <w:tr>
        <w:trPr>
          <w:trHeight w:val="264" w:hRule="atLeast"/>
        </w:trPr>
        <w:tc>
          <w:tcPr>
            <w:tcW w:w="1284" w:type="dxa"/>
            <w:shd w:val="clear" w:color="auto" w:fill="D1DDF1"/>
          </w:tcPr>
          <w:p>
            <w:pPr>
              <w:pStyle w:val="TableParagraph"/>
              <w:spacing w:before="34"/>
              <w:ind w:left="120"/>
              <w:rPr>
                <w:b/>
                <w:sz w:val="16"/>
              </w:rPr>
            </w:pPr>
            <w:r>
              <w:rPr>
                <w:b/>
                <w:color w:val="231F20"/>
                <w:sz w:val="16"/>
              </w:rPr>
              <w:t>Substance</w:t>
            </w:r>
          </w:p>
        </w:tc>
        <w:tc>
          <w:tcPr>
            <w:tcW w:w="2059" w:type="dxa"/>
            <w:shd w:val="clear" w:color="auto" w:fill="D1DDF1"/>
          </w:tcPr>
          <w:p>
            <w:pPr>
              <w:pStyle w:val="TableParagraph"/>
              <w:spacing w:before="34"/>
              <w:ind w:left="356"/>
              <w:rPr>
                <w:b/>
                <w:sz w:val="16"/>
              </w:rPr>
            </w:pPr>
            <w:r>
              <w:rPr>
                <w:b/>
                <w:color w:val="231F20"/>
                <w:w w:val="105"/>
                <w:sz w:val="16"/>
              </w:rPr>
              <w:t>Molecular Weight</w:t>
            </w:r>
          </w:p>
        </w:tc>
        <w:tc>
          <w:tcPr>
            <w:tcW w:w="1335" w:type="dxa"/>
            <w:shd w:val="clear" w:color="auto" w:fill="D1DDF1"/>
          </w:tcPr>
          <w:p>
            <w:pPr>
              <w:pStyle w:val="TableParagraph"/>
              <w:spacing w:before="34"/>
              <w:ind w:left="357"/>
              <w:rPr>
                <w:b/>
                <w:sz w:val="16"/>
              </w:rPr>
            </w:pPr>
            <w:r>
              <w:rPr>
                <w:b/>
                <w:color w:val="231F20"/>
                <w:sz w:val="16"/>
              </w:rPr>
              <w:t>Filterability</w:t>
            </w:r>
          </w:p>
        </w:tc>
      </w:tr>
      <w:tr>
        <w:trPr>
          <w:trHeight w:val="259" w:hRule="atLeast"/>
        </w:trPr>
        <w:tc>
          <w:tcPr>
            <w:tcW w:w="1284" w:type="dxa"/>
            <w:tcBorders>
              <w:bottom w:val="single" w:sz="4" w:space="0" w:color="FFFFFF"/>
            </w:tcBorders>
            <w:shd w:val="clear" w:color="auto" w:fill="E6ECF7"/>
          </w:tcPr>
          <w:p>
            <w:pPr>
              <w:pStyle w:val="TableParagraph"/>
              <w:spacing w:before="24"/>
              <w:ind w:left="120"/>
              <w:rPr>
                <w:sz w:val="16"/>
              </w:rPr>
            </w:pPr>
            <w:r>
              <w:rPr>
                <w:color w:val="231F20"/>
                <w:w w:val="105"/>
                <w:sz w:val="16"/>
              </w:rPr>
              <w:t>Water</w:t>
            </w:r>
          </w:p>
        </w:tc>
        <w:tc>
          <w:tcPr>
            <w:tcW w:w="2059" w:type="dxa"/>
            <w:tcBorders>
              <w:bottom w:val="single" w:sz="4" w:space="0" w:color="FFFFFF"/>
            </w:tcBorders>
            <w:shd w:val="clear" w:color="auto" w:fill="E6ECF7"/>
          </w:tcPr>
          <w:p>
            <w:pPr>
              <w:pStyle w:val="TableParagraph"/>
              <w:spacing w:before="24"/>
              <w:ind w:left="673" w:right="558"/>
              <w:jc w:val="center"/>
              <w:rPr>
                <w:sz w:val="16"/>
              </w:rPr>
            </w:pPr>
            <w:r>
              <w:rPr>
                <w:color w:val="231F20"/>
                <w:w w:val="105"/>
                <w:sz w:val="16"/>
              </w:rPr>
              <w:t>18</w:t>
            </w:r>
          </w:p>
        </w:tc>
        <w:tc>
          <w:tcPr>
            <w:tcW w:w="1335" w:type="dxa"/>
            <w:tcBorders>
              <w:bottom w:val="single" w:sz="4" w:space="0" w:color="FFFFFF"/>
            </w:tcBorders>
            <w:shd w:val="clear" w:color="auto" w:fill="E6ECF7"/>
          </w:tcPr>
          <w:p>
            <w:pPr>
              <w:pStyle w:val="TableParagraph"/>
              <w:spacing w:before="24"/>
              <w:ind w:left="565" w:right="502"/>
              <w:jc w:val="center"/>
              <w:rPr>
                <w:sz w:val="16"/>
              </w:rPr>
            </w:pPr>
            <w:r>
              <w:rPr>
                <w:color w:val="231F20"/>
                <w:sz w:val="16"/>
              </w:rPr>
              <w:t>1.0</w:t>
            </w:r>
          </w:p>
        </w:tc>
      </w:tr>
      <w:tr>
        <w:trPr>
          <w:trHeight w:val="264" w:hRule="atLeast"/>
        </w:trPr>
        <w:tc>
          <w:tcPr>
            <w:tcW w:w="1284" w:type="dxa"/>
            <w:tcBorders>
              <w:top w:val="single" w:sz="4" w:space="0" w:color="FFFFFF"/>
              <w:bottom w:val="single" w:sz="4" w:space="0" w:color="FFFFFF"/>
            </w:tcBorders>
            <w:shd w:val="clear" w:color="auto" w:fill="E6ECF7"/>
          </w:tcPr>
          <w:p>
            <w:pPr>
              <w:pStyle w:val="TableParagraph"/>
              <w:ind w:left="120"/>
              <w:rPr>
                <w:sz w:val="16"/>
              </w:rPr>
            </w:pPr>
            <w:r>
              <w:rPr>
                <w:color w:val="231F20"/>
                <w:w w:val="110"/>
                <w:sz w:val="16"/>
              </w:rPr>
              <w:t>Sodium</w:t>
            </w:r>
          </w:p>
        </w:tc>
        <w:tc>
          <w:tcPr>
            <w:tcW w:w="2059" w:type="dxa"/>
            <w:tcBorders>
              <w:top w:val="single" w:sz="4" w:space="0" w:color="FFFFFF"/>
              <w:bottom w:val="single" w:sz="4" w:space="0" w:color="FFFFFF"/>
            </w:tcBorders>
            <w:shd w:val="clear" w:color="auto" w:fill="E6ECF7"/>
          </w:tcPr>
          <w:p>
            <w:pPr>
              <w:pStyle w:val="TableParagraph"/>
              <w:ind w:left="673" w:right="558"/>
              <w:jc w:val="center"/>
              <w:rPr>
                <w:sz w:val="16"/>
              </w:rPr>
            </w:pPr>
            <w:r>
              <w:rPr>
                <w:color w:val="231F20"/>
                <w:w w:val="105"/>
                <w:sz w:val="16"/>
              </w:rPr>
              <w:t>23</w:t>
            </w:r>
          </w:p>
        </w:tc>
        <w:tc>
          <w:tcPr>
            <w:tcW w:w="1335" w:type="dxa"/>
            <w:tcBorders>
              <w:top w:val="single" w:sz="4" w:space="0" w:color="FFFFFF"/>
              <w:bottom w:val="single" w:sz="4" w:space="0" w:color="FFFFFF"/>
            </w:tcBorders>
            <w:shd w:val="clear" w:color="auto" w:fill="E6ECF7"/>
          </w:tcPr>
          <w:p>
            <w:pPr>
              <w:pStyle w:val="TableParagraph"/>
              <w:ind w:left="565" w:right="502"/>
              <w:jc w:val="center"/>
              <w:rPr>
                <w:sz w:val="16"/>
              </w:rPr>
            </w:pPr>
            <w:r>
              <w:rPr>
                <w:color w:val="231F20"/>
                <w:sz w:val="16"/>
              </w:rPr>
              <w:t>1.0</w:t>
            </w:r>
          </w:p>
        </w:tc>
      </w:tr>
      <w:tr>
        <w:trPr>
          <w:trHeight w:val="264" w:hRule="atLeast"/>
        </w:trPr>
        <w:tc>
          <w:tcPr>
            <w:tcW w:w="1284"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Glucose</w:t>
            </w:r>
          </w:p>
        </w:tc>
        <w:tc>
          <w:tcPr>
            <w:tcW w:w="2059" w:type="dxa"/>
            <w:tcBorders>
              <w:top w:val="single" w:sz="4" w:space="0" w:color="FFFFFF"/>
              <w:bottom w:val="single" w:sz="4" w:space="0" w:color="FFFFFF"/>
            </w:tcBorders>
            <w:shd w:val="clear" w:color="auto" w:fill="E6ECF7"/>
          </w:tcPr>
          <w:p>
            <w:pPr>
              <w:pStyle w:val="TableParagraph"/>
              <w:ind w:left="673" w:right="647"/>
              <w:jc w:val="center"/>
              <w:rPr>
                <w:sz w:val="16"/>
              </w:rPr>
            </w:pPr>
            <w:r>
              <w:rPr>
                <w:color w:val="231F20"/>
                <w:w w:val="105"/>
                <w:sz w:val="16"/>
              </w:rPr>
              <w:t>180</w:t>
            </w:r>
          </w:p>
        </w:tc>
        <w:tc>
          <w:tcPr>
            <w:tcW w:w="1335" w:type="dxa"/>
            <w:tcBorders>
              <w:top w:val="single" w:sz="4" w:space="0" w:color="FFFFFF"/>
              <w:bottom w:val="single" w:sz="4" w:space="0" w:color="FFFFFF"/>
            </w:tcBorders>
            <w:shd w:val="clear" w:color="auto" w:fill="E6ECF7"/>
          </w:tcPr>
          <w:p>
            <w:pPr>
              <w:pStyle w:val="TableParagraph"/>
              <w:ind w:left="565" w:right="502"/>
              <w:jc w:val="center"/>
              <w:rPr>
                <w:sz w:val="16"/>
              </w:rPr>
            </w:pPr>
            <w:r>
              <w:rPr>
                <w:color w:val="231F20"/>
                <w:sz w:val="16"/>
              </w:rPr>
              <w:t>1.0</w:t>
            </w:r>
          </w:p>
        </w:tc>
      </w:tr>
      <w:tr>
        <w:trPr>
          <w:trHeight w:val="264" w:hRule="atLeast"/>
        </w:trPr>
        <w:tc>
          <w:tcPr>
            <w:tcW w:w="1284"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Inulin</w:t>
            </w:r>
          </w:p>
        </w:tc>
        <w:tc>
          <w:tcPr>
            <w:tcW w:w="2059" w:type="dxa"/>
            <w:tcBorders>
              <w:top w:val="single" w:sz="4" w:space="0" w:color="FFFFFF"/>
              <w:bottom w:val="single" w:sz="4" w:space="0" w:color="FFFFFF"/>
            </w:tcBorders>
            <w:shd w:val="clear" w:color="auto" w:fill="E6ECF7"/>
          </w:tcPr>
          <w:p>
            <w:pPr>
              <w:pStyle w:val="TableParagraph"/>
              <w:ind w:left="673" w:right="733"/>
              <w:jc w:val="center"/>
              <w:rPr>
                <w:sz w:val="16"/>
              </w:rPr>
            </w:pPr>
            <w:r>
              <w:rPr>
                <w:color w:val="231F20"/>
                <w:w w:val="105"/>
                <w:sz w:val="16"/>
              </w:rPr>
              <w:t>5500</w:t>
            </w:r>
          </w:p>
        </w:tc>
        <w:tc>
          <w:tcPr>
            <w:tcW w:w="1335" w:type="dxa"/>
            <w:tcBorders>
              <w:top w:val="single" w:sz="4" w:space="0" w:color="FFFFFF"/>
              <w:bottom w:val="single" w:sz="4" w:space="0" w:color="FFFFFF"/>
            </w:tcBorders>
            <w:shd w:val="clear" w:color="auto" w:fill="E6ECF7"/>
          </w:tcPr>
          <w:p>
            <w:pPr>
              <w:pStyle w:val="TableParagraph"/>
              <w:ind w:left="565" w:right="502"/>
              <w:jc w:val="center"/>
              <w:rPr>
                <w:sz w:val="16"/>
              </w:rPr>
            </w:pPr>
            <w:r>
              <w:rPr>
                <w:color w:val="231F20"/>
                <w:sz w:val="16"/>
              </w:rPr>
              <w:t>1.0</w:t>
            </w:r>
          </w:p>
        </w:tc>
      </w:tr>
      <w:tr>
        <w:trPr>
          <w:trHeight w:val="264" w:hRule="atLeast"/>
        </w:trPr>
        <w:tc>
          <w:tcPr>
            <w:tcW w:w="1284" w:type="dxa"/>
            <w:tcBorders>
              <w:top w:val="single" w:sz="4" w:space="0" w:color="FFFFFF"/>
              <w:bottom w:val="single" w:sz="4" w:space="0" w:color="FFFFFF"/>
            </w:tcBorders>
            <w:shd w:val="clear" w:color="auto" w:fill="E6ECF7"/>
          </w:tcPr>
          <w:p>
            <w:pPr>
              <w:pStyle w:val="TableParagraph"/>
              <w:ind w:left="120"/>
              <w:rPr>
                <w:sz w:val="16"/>
              </w:rPr>
            </w:pPr>
            <w:r>
              <w:rPr>
                <w:color w:val="231F20"/>
                <w:w w:val="115"/>
                <w:sz w:val="16"/>
              </w:rPr>
              <w:t>Myoglobin</w:t>
            </w:r>
          </w:p>
        </w:tc>
        <w:tc>
          <w:tcPr>
            <w:tcW w:w="2059" w:type="dxa"/>
            <w:tcBorders>
              <w:top w:val="single" w:sz="4" w:space="0" w:color="FFFFFF"/>
              <w:bottom w:val="single" w:sz="4" w:space="0" w:color="FFFFFF"/>
            </w:tcBorders>
            <w:shd w:val="clear" w:color="auto" w:fill="E6ECF7"/>
          </w:tcPr>
          <w:p>
            <w:pPr>
              <w:pStyle w:val="TableParagraph"/>
              <w:ind w:left="669" w:right="863"/>
              <w:jc w:val="center"/>
              <w:rPr>
                <w:sz w:val="16"/>
              </w:rPr>
            </w:pPr>
            <w:r>
              <w:rPr>
                <w:color w:val="231F20"/>
                <w:sz w:val="16"/>
              </w:rPr>
              <w:t>17,000</w:t>
            </w:r>
          </w:p>
        </w:tc>
        <w:tc>
          <w:tcPr>
            <w:tcW w:w="1335" w:type="dxa"/>
            <w:tcBorders>
              <w:top w:val="single" w:sz="4" w:space="0" w:color="FFFFFF"/>
              <w:bottom w:val="single" w:sz="4" w:space="0" w:color="FFFFFF"/>
            </w:tcBorders>
            <w:shd w:val="clear" w:color="auto" w:fill="E6ECF7"/>
          </w:tcPr>
          <w:p>
            <w:pPr>
              <w:pStyle w:val="TableParagraph"/>
              <w:ind w:left="588"/>
              <w:rPr>
                <w:sz w:val="16"/>
              </w:rPr>
            </w:pPr>
            <w:r>
              <w:rPr>
                <w:color w:val="231F20"/>
                <w:sz w:val="16"/>
              </w:rPr>
              <w:t>0.75</w:t>
            </w:r>
          </w:p>
        </w:tc>
      </w:tr>
      <w:tr>
        <w:trPr>
          <w:trHeight w:val="279" w:hRule="atLeast"/>
        </w:trPr>
        <w:tc>
          <w:tcPr>
            <w:tcW w:w="1284" w:type="dxa"/>
            <w:tcBorders>
              <w:top w:val="single" w:sz="4" w:space="0" w:color="FFFFFF"/>
            </w:tcBorders>
            <w:shd w:val="clear" w:color="auto" w:fill="E6ECF7"/>
          </w:tcPr>
          <w:p>
            <w:pPr>
              <w:pStyle w:val="TableParagraph"/>
              <w:ind w:left="120"/>
              <w:rPr>
                <w:sz w:val="16"/>
              </w:rPr>
            </w:pPr>
            <w:r>
              <w:rPr>
                <w:color w:val="231F20"/>
                <w:w w:val="110"/>
                <w:sz w:val="16"/>
              </w:rPr>
              <w:t>Albumin</w:t>
            </w:r>
          </w:p>
        </w:tc>
        <w:tc>
          <w:tcPr>
            <w:tcW w:w="2059" w:type="dxa"/>
            <w:tcBorders>
              <w:top w:val="single" w:sz="4" w:space="0" w:color="FFFFFF"/>
            </w:tcBorders>
            <w:shd w:val="clear" w:color="auto" w:fill="E6ECF7"/>
          </w:tcPr>
          <w:p>
            <w:pPr>
              <w:pStyle w:val="TableParagraph"/>
              <w:ind w:left="669" w:right="863"/>
              <w:jc w:val="center"/>
              <w:rPr>
                <w:sz w:val="16"/>
              </w:rPr>
            </w:pPr>
            <w:r>
              <w:rPr>
                <w:color w:val="231F20"/>
                <w:sz w:val="16"/>
              </w:rPr>
              <w:t>69,000</w:t>
            </w:r>
          </w:p>
        </w:tc>
        <w:tc>
          <w:tcPr>
            <w:tcW w:w="1335" w:type="dxa"/>
            <w:tcBorders>
              <w:top w:val="single" w:sz="4" w:space="0" w:color="FFFFFF"/>
            </w:tcBorders>
            <w:shd w:val="clear" w:color="auto" w:fill="E6ECF7"/>
          </w:tcPr>
          <w:p>
            <w:pPr>
              <w:pStyle w:val="TableParagraph"/>
              <w:ind w:left="586"/>
              <w:rPr>
                <w:sz w:val="16"/>
              </w:rPr>
            </w:pPr>
            <w:r>
              <w:rPr>
                <w:color w:val="231F20"/>
                <w:sz w:val="16"/>
              </w:rPr>
              <w:t>0.005</w:t>
            </w:r>
          </w:p>
        </w:tc>
      </w:tr>
    </w:tbl>
    <w:p>
      <w:pPr>
        <w:pStyle w:val="BodyText"/>
        <w:spacing w:before="7"/>
        <w:rPr>
          <w:rFonts w:ascii="Trebuchet MS"/>
          <w:sz w:val="26"/>
        </w:rPr>
      </w:pPr>
    </w:p>
    <w:p>
      <w:pPr>
        <w:spacing w:after="0"/>
        <w:rPr>
          <w:rFonts w:ascii="Trebuchet MS"/>
          <w:sz w:val="26"/>
        </w:rPr>
        <w:sectPr>
          <w:type w:val="continuous"/>
          <w:pgSz w:w="12240" w:h="15660"/>
          <w:pgMar w:top="0" w:bottom="760" w:left="0" w:right="0"/>
        </w:sectPr>
      </w:pPr>
    </w:p>
    <w:p>
      <w:pPr>
        <w:pStyle w:val="BodyText"/>
        <w:rPr>
          <w:rFonts w:ascii="Trebuchet MS"/>
        </w:rPr>
      </w:pPr>
      <w:r>
        <w:rPr>
          <w:rFonts w:ascii="Trebuchet MS"/>
        </w:rPr>
        <w:pict>
          <v:group style="width:36pt;height:24pt;mso-position-horizontal-relative:char;mso-position-vertical-relative:line" coordorigin="0,0" coordsize="720,480">
            <v:rect style="position:absolute;left:0;top:0;width:720;height:480" filled="true" fillcolor="#e8dac8" stroked="false">
              <v:fill type="solid"/>
            </v:rect>
          </v:group>
        </w:pict>
      </w:r>
      <w:r>
        <w:rPr>
          <w:rFonts w:ascii="Trebuchet MS"/>
        </w:rPr>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spacing w:before="1"/>
        <w:rPr>
          <w:rFonts w:ascii="Trebuchet MS"/>
          <w:sz w:val="26"/>
        </w:rPr>
      </w:pPr>
    </w:p>
    <w:p>
      <w:pPr>
        <w:spacing w:line="182" w:lineRule="exact" w:before="0"/>
        <w:ind w:left="2526" w:right="0" w:firstLine="0"/>
        <w:jc w:val="center"/>
        <w:rPr>
          <w:rFonts w:ascii="Helvetica"/>
          <w:b/>
          <w:sz w:val="16"/>
        </w:rPr>
      </w:pPr>
      <w:r>
        <w:rPr>
          <w:rFonts w:ascii="Helvetica"/>
          <w:b/>
          <w:color w:val="231F20"/>
          <w:sz w:val="16"/>
        </w:rPr>
        <w:t>Urinary excretion</w:t>
      </w:r>
    </w:p>
    <w:p>
      <w:pPr>
        <w:spacing w:line="182" w:lineRule="exact" w:before="0"/>
        <w:ind w:left="2526" w:right="0" w:firstLine="0"/>
        <w:jc w:val="center"/>
        <w:rPr>
          <w:rFonts w:ascii="Helvetica"/>
          <w:sz w:val="16"/>
        </w:rPr>
      </w:pPr>
      <w:r>
        <w:rPr>
          <w:rFonts w:ascii="Helvetica"/>
          <w:color w:val="231F20"/>
          <w:sz w:val="16"/>
        </w:rPr>
        <w:t>(1 ml/min)</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8"/>
        <w:rPr>
          <w:rFonts w:ascii="Helvetica"/>
          <w:sz w:val="21"/>
        </w:rPr>
      </w:pPr>
    </w:p>
    <w:p>
      <w:pPr>
        <w:spacing w:line="235" w:lineRule="auto" w:before="0"/>
        <w:ind w:left="1486" w:right="-19" w:firstLine="0"/>
        <w:jc w:val="left"/>
        <w:rPr>
          <w:rFonts w:ascii="Helvetica"/>
          <w:sz w:val="16"/>
        </w:rPr>
      </w:pPr>
      <w:r>
        <w:rPr>
          <w:rFonts w:ascii="Helvetica"/>
          <w:color w:val="231F20"/>
          <w:sz w:val="16"/>
        </w:rPr>
        <w:t>nal</w:t>
      </w:r>
      <w:r>
        <w:rPr>
          <w:rFonts w:ascii="Helvetica"/>
          <w:color w:val="231F20"/>
          <w:w w:val="99"/>
          <w:sz w:val="16"/>
        </w:rPr>
        <w:t> </w:t>
      </w:r>
      <w:r>
        <w:rPr>
          <w:rFonts w:ascii="Helvetica"/>
          <w:color w:val="231F20"/>
          <w:sz w:val="16"/>
        </w:rPr>
        <w:t>n</w:t>
      </w:r>
    </w:p>
    <w:p>
      <w:pPr>
        <w:pStyle w:val="BodyText"/>
        <w:spacing w:line="249" w:lineRule="auto" w:before="100"/>
        <w:ind w:left="496" w:right="1437"/>
        <w:jc w:val="both"/>
      </w:pPr>
      <w:r>
        <w:rPr/>
        <w:br w:type="column"/>
      </w:r>
      <w:r>
        <w:rPr>
          <w:color w:val="231F20"/>
        </w:rPr>
        <w:t>which the glomerular filtrate moves. The epithelial cells, which also have negative charges, provide additional restriction to filtration of plasma proteins. Thus, all layers of the glomerular capillary wall provide a barrier to filtra­ tion of plasma proteins.</w:t>
      </w:r>
    </w:p>
    <w:p>
      <w:pPr>
        <w:pStyle w:val="BodyText"/>
        <w:spacing w:before="10"/>
        <w:rPr>
          <w:sz w:val="21"/>
        </w:rPr>
      </w:pPr>
    </w:p>
    <w:p>
      <w:pPr>
        <w:spacing w:line="252" w:lineRule="auto" w:before="1"/>
        <w:ind w:left="496" w:right="1437" w:firstLine="0"/>
        <w:jc w:val="both"/>
        <w:rPr>
          <w:sz w:val="20"/>
        </w:rPr>
      </w:pPr>
      <w:r>
        <w:rPr>
          <w:rFonts w:ascii="Trebuchet MS"/>
          <w:b/>
          <w:color w:val="231F20"/>
          <w:sz w:val="19"/>
        </w:rPr>
        <w:t>Filterability of Solutes Is Inversely Related to Their Size. </w:t>
      </w:r>
      <w:r>
        <w:rPr>
          <w:color w:val="231F20"/>
          <w:sz w:val="20"/>
        </w:rPr>
        <w:t>The glomerular capillary membrane is thicker than most other capillaries, but it is also much more porous</w:t>
      </w:r>
    </w:p>
    <w:p>
      <w:pPr>
        <w:spacing w:after="0" w:line="252" w:lineRule="auto"/>
        <w:jc w:val="both"/>
        <w:rPr>
          <w:sz w:val="20"/>
        </w:rPr>
        <w:sectPr>
          <w:type w:val="continuous"/>
          <w:pgSz w:w="12240" w:h="15660"/>
          <w:pgMar w:top="0" w:bottom="760" w:left="0" w:right="0"/>
          <w:cols w:num="3" w:equalWidth="0">
            <w:col w:w="3843" w:space="40"/>
            <w:col w:w="1701" w:space="39"/>
            <w:col w:w="6617"/>
          </w:cols>
        </w:sectPr>
      </w:pPr>
    </w:p>
    <w:p>
      <w:pPr>
        <w:spacing w:line="256" w:lineRule="auto" w:before="41"/>
        <w:ind w:left="1080" w:right="0" w:firstLine="0"/>
        <w:jc w:val="both"/>
        <w:rPr>
          <w:rFonts w:ascii="Arial" w:hAnsi="Arial"/>
          <w:sz w:val="16"/>
        </w:rPr>
      </w:pPr>
      <w:bookmarkStart w:name="_bookmark23" w:id="24"/>
      <w:bookmarkEnd w:id="24"/>
      <w:r>
        <w:rPr/>
      </w:r>
      <w:r>
        <w:rPr>
          <w:rFonts w:ascii="Trebuchet MS" w:hAnsi="Trebuchet MS"/>
          <w:b/>
          <w:color w:val="231F20"/>
          <w:sz w:val="16"/>
        </w:rPr>
        <w:t>Figure</w:t>
      </w:r>
      <w:r>
        <w:rPr>
          <w:rFonts w:ascii="Trebuchet MS" w:hAnsi="Trebuchet MS"/>
          <w:b/>
          <w:color w:val="231F20"/>
          <w:spacing w:val="-9"/>
          <w:sz w:val="16"/>
        </w:rPr>
        <w:t> </w:t>
      </w:r>
      <w:r>
        <w:rPr>
          <w:rFonts w:ascii="Trebuchet MS" w:hAnsi="Trebuchet MS"/>
          <w:b/>
          <w:color w:val="231F20"/>
          <w:sz w:val="16"/>
        </w:rPr>
        <w:t>27-1.</w:t>
      </w:r>
      <w:r>
        <w:rPr>
          <w:rFonts w:ascii="Trebuchet MS" w:hAnsi="Trebuchet MS"/>
          <w:b/>
          <w:color w:val="231F20"/>
          <w:spacing w:val="6"/>
          <w:sz w:val="16"/>
        </w:rPr>
        <w:t> </w:t>
      </w:r>
      <w:r>
        <w:rPr>
          <w:rFonts w:ascii="Arial" w:hAnsi="Arial"/>
          <w:color w:val="231F20"/>
          <w:sz w:val="16"/>
        </w:rPr>
        <w:t>Average</w:t>
      </w:r>
      <w:r>
        <w:rPr>
          <w:rFonts w:ascii="Arial" w:hAnsi="Arial"/>
          <w:color w:val="231F20"/>
          <w:spacing w:val="-4"/>
          <w:sz w:val="16"/>
        </w:rPr>
        <w:t> </w:t>
      </w:r>
      <w:r>
        <w:rPr>
          <w:rFonts w:ascii="Arial" w:hAnsi="Arial"/>
          <w:color w:val="231F20"/>
          <w:sz w:val="16"/>
        </w:rPr>
        <w:t>values</w:t>
      </w:r>
      <w:r>
        <w:rPr>
          <w:rFonts w:ascii="Arial" w:hAnsi="Arial"/>
          <w:color w:val="231F20"/>
          <w:spacing w:val="-5"/>
          <w:sz w:val="16"/>
        </w:rPr>
        <w:t> </w:t>
      </w:r>
      <w:r>
        <w:rPr>
          <w:rFonts w:ascii="Arial" w:hAnsi="Arial"/>
          <w:color w:val="231F20"/>
          <w:sz w:val="16"/>
        </w:rPr>
        <w:t>for</w:t>
      </w:r>
      <w:r>
        <w:rPr>
          <w:rFonts w:ascii="Arial" w:hAnsi="Arial"/>
          <w:color w:val="231F20"/>
          <w:spacing w:val="-4"/>
          <w:sz w:val="16"/>
        </w:rPr>
        <w:t> </w:t>
      </w:r>
      <w:r>
        <w:rPr>
          <w:rFonts w:ascii="Arial" w:hAnsi="Arial"/>
          <w:color w:val="231F20"/>
          <w:sz w:val="16"/>
        </w:rPr>
        <w:t>total</w:t>
      </w:r>
      <w:r>
        <w:rPr>
          <w:rFonts w:ascii="Arial" w:hAnsi="Arial"/>
          <w:color w:val="231F20"/>
          <w:spacing w:val="-5"/>
          <w:sz w:val="16"/>
        </w:rPr>
        <w:t> </w:t>
      </w:r>
      <w:r>
        <w:rPr>
          <w:rFonts w:ascii="Arial" w:hAnsi="Arial"/>
          <w:color w:val="231F20"/>
          <w:sz w:val="16"/>
        </w:rPr>
        <w:t>renal</w:t>
      </w:r>
      <w:r>
        <w:rPr>
          <w:rFonts w:ascii="Arial" w:hAnsi="Arial"/>
          <w:color w:val="231F20"/>
          <w:spacing w:val="-4"/>
          <w:sz w:val="16"/>
        </w:rPr>
        <w:t> </w:t>
      </w:r>
      <w:r>
        <w:rPr>
          <w:rFonts w:ascii="Arial" w:hAnsi="Arial"/>
          <w:color w:val="231F20"/>
          <w:sz w:val="16"/>
        </w:rPr>
        <w:t>plasma</w:t>
      </w:r>
      <w:r>
        <w:rPr>
          <w:rFonts w:ascii="Arial" w:hAnsi="Arial"/>
          <w:color w:val="231F20"/>
          <w:spacing w:val="-5"/>
          <w:sz w:val="16"/>
        </w:rPr>
        <w:t> </w:t>
      </w:r>
      <w:r>
        <w:rPr>
          <w:rFonts w:ascii="Arial" w:hAnsi="Arial"/>
          <w:color w:val="231F20"/>
          <w:sz w:val="16"/>
        </w:rPr>
        <w:t>flow</w:t>
      </w:r>
      <w:r>
        <w:rPr>
          <w:rFonts w:ascii="Arial" w:hAnsi="Arial"/>
          <w:color w:val="231F20"/>
          <w:spacing w:val="-4"/>
          <w:sz w:val="16"/>
        </w:rPr>
        <w:t> </w:t>
      </w:r>
      <w:r>
        <w:rPr>
          <w:rFonts w:ascii="Lucida Sans" w:hAnsi="Lucida Sans"/>
          <w:i/>
          <w:color w:val="231F20"/>
          <w:sz w:val="16"/>
        </w:rPr>
        <w:t>(RPF)</w:t>
      </w:r>
      <w:r>
        <w:rPr>
          <w:rFonts w:ascii="Arial" w:hAnsi="Arial"/>
          <w:color w:val="231F20"/>
          <w:sz w:val="16"/>
        </w:rPr>
        <w:t>,</w:t>
      </w:r>
      <w:r>
        <w:rPr>
          <w:rFonts w:ascii="Arial" w:hAnsi="Arial"/>
          <w:color w:val="231F20"/>
          <w:spacing w:val="-5"/>
          <w:sz w:val="16"/>
        </w:rPr>
        <w:t> glo- </w:t>
      </w:r>
      <w:r>
        <w:rPr>
          <w:rFonts w:ascii="Arial" w:hAnsi="Arial"/>
          <w:color w:val="231F20"/>
          <w:sz w:val="16"/>
        </w:rPr>
        <w:t>merular</w:t>
      </w:r>
      <w:r>
        <w:rPr>
          <w:rFonts w:ascii="Arial" w:hAnsi="Arial"/>
          <w:color w:val="231F20"/>
          <w:spacing w:val="-6"/>
          <w:sz w:val="16"/>
        </w:rPr>
        <w:t> </w:t>
      </w:r>
      <w:r>
        <w:rPr>
          <w:rFonts w:ascii="Arial" w:hAnsi="Arial"/>
          <w:color w:val="231F20"/>
          <w:sz w:val="16"/>
        </w:rPr>
        <w:t>filtration</w:t>
      </w:r>
      <w:r>
        <w:rPr>
          <w:rFonts w:ascii="Arial" w:hAnsi="Arial"/>
          <w:color w:val="231F20"/>
          <w:spacing w:val="-5"/>
          <w:sz w:val="16"/>
        </w:rPr>
        <w:t> </w:t>
      </w:r>
      <w:r>
        <w:rPr>
          <w:rFonts w:ascii="Arial" w:hAnsi="Arial"/>
          <w:color w:val="231F20"/>
          <w:sz w:val="16"/>
        </w:rPr>
        <w:t>rate</w:t>
      </w:r>
      <w:r>
        <w:rPr>
          <w:rFonts w:ascii="Arial" w:hAnsi="Arial"/>
          <w:color w:val="231F20"/>
          <w:spacing w:val="-5"/>
          <w:sz w:val="16"/>
        </w:rPr>
        <w:t> </w:t>
      </w:r>
      <w:r>
        <w:rPr>
          <w:rFonts w:ascii="Lucida Sans" w:hAnsi="Lucida Sans"/>
          <w:i/>
          <w:color w:val="231F20"/>
          <w:sz w:val="16"/>
        </w:rPr>
        <w:t>(GFR)</w:t>
      </w:r>
      <w:r>
        <w:rPr>
          <w:rFonts w:ascii="Arial" w:hAnsi="Arial"/>
          <w:color w:val="231F20"/>
          <w:sz w:val="16"/>
        </w:rPr>
        <w:t>,</w:t>
      </w:r>
      <w:r>
        <w:rPr>
          <w:rFonts w:ascii="Arial" w:hAnsi="Arial"/>
          <w:color w:val="231F20"/>
          <w:spacing w:val="-4"/>
          <w:sz w:val="16"/>
        </w:rPr>
        <w:t> </w:t>
      </w:r>
      <w:r>
        <w:rPr>
          <w:rFonts w:ascii="Arial" w:hAnsi="Arial"/>
          <w:color w:val="231F20"/>
          <w:sz w:val="16"/>
        </w:rPr>
        <w:t>tubular</w:t>
      </w:r>
      <w:r>
        <w:rPr>
          <w:rFonts w:ascii="Arial" w:hAnsi="Arial"/>
          <w:color w:val="231F20"/>
          <w:spacing w:val="-5"/>
          <w:sz w:val="16"/>
        </w:rPr>
        <w:t> </w:t>
      </w:r>
      <w:r>
        <w:rPr>
          <w:rFonts w:ascii="Arial" w:hAnsi="Arial"/>
          <w:color w:val="231F20"/>
          <w:sz w:val="16"/>
        </w:rPr>
        <w:t>reabsorption</w:t>
      </w:r>
      <w:r>
        <w:rPr>
          <w:rFonts w:ascii="Arial" w:hAnsi="Arial"/>
          <w:color w:val="231F20"/>
          <w:spacing w:val="-5"/>
          <w:sz w:val="16"/>
        </w:rPr>
        <w:t> </w:t>
      </w:r>
      <w:r>
        <w:rPr>
          <w:rFonts w:ascii="Lucida Sans" w:hAnsi="Lucida Sans"/>
          <w:i/>
          <w:color w:val="231F20"/>
          <w:sz w:val="16"/>
        </w:rPr>
        <w:t>(REAB)</w:t>
      </w:r>
      <w:r>
        <w:rPr>
          <w:rFonts w:ascii="Arial" w:hAnsi="Arial"/>
          <w:color w:val="231F20"/>
          <w:sz w:val="16"/>
        </w:rPr>
        <w:t>,</w:t>
      </w:r>
      <w:r>
        <w:rPr>
          <w:rFonts w:ascii="Arial" w:hAnsi="Arial"/>
          <w:color w:val="231F20"/>
          <w:spacing w:val="-5"/>
          <w:sz w:val="16"/>
        </w:rPr>
        <w:t> </w:t>
      </w:r>
      <w:r>
        <w:rPr>
          <w:rFonts w:ascii="Arial" w:hAnsi="Arial"/>
          <w:color w:val="231F20"/>
          <w:sz w:val="16"/>
        </w:rPr>
        <w:t>and</w:t>
      </w:r>
      <w:r>
        <w:rPr>
          <w:rFonts w:ascii="Arial" w:hAnsi="Arial"/>
          <w:color w:val="231F20"/>
          <w:spacing w:val="-4"/>
          <w:sz w:val="16"/>
        </w:rPr>
        <w:t> urine </w:t>
      </w:r>
      <w:r>
        <w:rPr>
          <w:rFonts w:ascii="Arial" w:hAnsi="Arial"/>
          <w:color w:val="231F20"/>
          <w:sz w:val="16"/>
        </w:rPr>
        <w:t>flow rate. RPF is equal to renal blood flow </w:t>
      </w:r>
      <w:r>
        <w:rPr>
          <w:rFonts w:ascii="Consolas" w:hAnsi="Consolas"/>
          <w:color w:val="231F20"/>
          <w:sz w:val="16"/>
        </w:rPr>
        <w:t>×</w:t>
      </w:r>
      <w:r>
        <w:rPr>
          <w:rFonts w:ascii="Consolas" w:hAnsi="Consolas"/>
          <w:color w:val="231F20"/>
          <w:spacing w:val="-63"/>
          <w:sz w:val="16"/>
        </w:rPr>
        <w:t> </w:t>
      </w:r>
      <w:r>
        <w:rPr>
          <w:rFonts w:ascii="Arial" w:hAnsi="Arial"/>
          <w:color w:val="231F20"/>
          <w:sz w:val="16"/>
        </w:rPr>
        <w:t>(1 – Hematocrit). </w:t>
      </w:r>
      <w:r>
        <w:rPr>
          <w:rFonts w:ascii="Arial" w:hAnsi="Arial"/>
          <w:color w:val="231F20"/>
          <w:spacing w:val="-5"/>
          <w:sz w:val="16"/>
        </w:rPr>
        <w:t>Note </w:t>
      </w:r>
      <w:r>
        <w:rPr>
          <w:rFonts w:ascii="Arial" w:hAnsi="Arial"/>
          <w:color w:val="231F20"/>
          <w:sz w:val="16"/>
        </w:rPr>
        <w:t>that GFR averages about 20% of the </w:t>
      </w:r>
      <w:r>
        <w:rPr>
          <w:rFonts w:ascii="Arial" w:hAnsi="Arial"/>
          <w:color w:val="231F20"/>
          <w:spacing w:val="-6"/>
          <w:sz w:val="16"/>
        </w:rPr>
        <w:t>RPF, </w:t>
      </w:r>
      <w:r>
        <w:rPr>
          <w:rFonts w:ascii="Arial" w:hAnsi="Arial"/>
          <w:color w:val="231F20"/>
          <w:sz w:val="16"/>
        </w:rPr>
        <w:t>while urine flow rate </w:t>
      </w:r>
      <w:r>
        <w:rPr>
          <w:rFonts w:ascii="Arial" w:hAnsi="Arial"/>
          <w:color w:val="231F20"/>
          <w:spacing w:val="-8"/>
          <w:sz w:val="16"/>
        </w:rPr>
        <w:t>is </w:t>
      </w:r>
      <w:r>
        <w:rPr>
          <w:rFonts w:ascii="Arial" w:hAnsi="Arial"/>
          <w:color w:val="231F20"/>
          <w:sz w:val="16"/>
        </w:rPr>
        <w:t>less than 1% of the GFR. Therefore, more than 99% of the </w:t>
      </w:r>
      <w:r>
        <w:rPr>
          <w:rFonts w:ascii="Arial" w:hAnsi="Arial"/>
          <w:color w:val="231F20"/>
          <w:spacing w:val="-4"/>
          <w:sz w:val="16"/>
        </w:rPr>
        <w:t>fluid </w:t>
      </w:r>
      <w:r>
        <w:rPr>
          <w:rFonts w:ascii="Arial" w:hAnsi="Arial"/>
          <w:color w:val="231F20"/>
          <w:sz w:val="16"/>
        </w:rPr>
        <w:t>filtered</w:t>
      </w:r>
      <w:r>
        <w:rPr>
          <w:rFonts w:ascii="Arial" w:hAnsi="Arial"/>
          <w:color w:val="231F20"/>
          <w:spacing w:val="-21"/>
          <w:sz w:val="16"/>
        </w:rPr>
        <w:t> </w:t>
      </w:r>
      <w:r>
        <w:rPr>
          <w:rFonts w:ascii="Arial" w:hAnsi="Arial"/>
          <w:color w:val="231F20"/>
          <w:sz w:val="16"/>
        </w:rPr>
        <w:t>is</w:t>
      </w:r>
      <w:r>
        <w:rPr>
          <w:rFonts w:ascii="Arial" w:hAnsi="Arial"/>
          <w:color w:val="231F20"/>
          <w:spacing w:val="-21"/>
          <w:sz w:val="16"/>
        </w:rPr>
        <w:t> </w:t>
      </w:r>
      <w:r>
        <w:rPr>
          <w:rFonts w:ascii="Arial" w:hAnsi="Arial"/>
          <w:color w:val="231F20"/>
          <w:sz w:val="16"/>
        </w:rPr>
        <w:t>normally</w:t>
      </w:r>
      <w:r>
        <w:rPr>
          <w:rFonts w:ascii="Arial" w:hAnsi="Arial"/>
          <w:color w:val="231F20"/>
          <w:spacing w:val="-21"/>
          <w:sz w:val="16"/>
        </w:rPr>
        <w:t> </w:t>
      </w:r>
      <w:r>
        <w:rPr>
          <w:rFonts w:ascii="Arial" w:hAnsi="Arial"/>
          <w:color w:val="231F20"/>
          <w:sz w:val="16"/>
        </w:rPr>
        <w:t>reabsorbed.</w:t>
      </w:r>
      <w:r>
        <w:rPr>
          <w:rFonts w:ascii="Arial" w:hAnsi="Arial"/>
          <w:color w:val="231F20"/>
          <w:spacing w:val="-21"/>
          <w:sz w:val="16"/>
        </w:rPr>
        <w:t> </w:t>
      </w:r>
      <w:r>
        <w:rPr>
          <w:rFonts w:ascii="Arial" w:hAnsi="Arial"/>
          <w:color w:val="231F20"/>
          <w:sz w:val="16"/>
        </w:rPr>
        <w:t>The</w:t>
      </w:r>
      <w:r>
        <w:rPr>
          <w:rFonts w:ascii="Arial" w:hAnsi="Arial"/>
          <w:color w:val="231F20"/>
          <w:spacing w:val="-21"/>
          <w:sz w:val="16"/>
        </w:rPr>
        <w:t> </w:t>
      </w:r>
      <w:r>
        <w:rPr>
          <w:rFonts w:ascii="Arial" w:hAnsi="Arial"/>
          <w:color w:val="231F20"/>
          <w:sz w:val="16"/>
        </w:rPr>
        <w:t>filtration</w:t>
      </w:r>
      <w:r>
        <w:rPr>
          <w:rFonts w:ascii="Arial" w:hAnsi="Arial"/>
          <w:color w:val="231F20"/>
          <w:spacing w:val="-21"/>
          <w:sz w:val="16"/>
        </w:rPr>
        <w:t> </w:t>
      </w:r>
      <w:r>
        <w:rPr>
          <w:rFonts w:ascii="Arial" w:hAnsi="Arial"/>
          <w:color w:val="231F20"/>
          <w:sz w:val="16"/>
        </w:rPr>
        <w:t>fraction</w:t>
      </w:r>
      <w:r>
        <w:rPr>
          <w:rFonts w:ascii="Arial" w:hAnsi="Arial"/>
          <w:color w:val="231F20"/>
          <w:spacing w:val="-21"/>
          <w:sz w:val="16"/>
        </w:rPr>
        <w:t> </w:t>
      </w:r>
      <w:r>
        <w:rPr>
          <w:rFonts w:ascii="Arial" w:hAnsi="Arial"/>
          <w:color w:val="231F20"/>
          <w:sz w:val="16"/>
        </w:rPr>
        <w:t>is</w:t>
      </w:r>
      <w:r>
        <w:rPr>
          <w:rFonts w:ascii="Arial" w:hAnsi="Arial"/>
          <w:color w:val="231F20"/>
          <w:spacing w:val="-21"/>
          <w:sz w:val="16"/>
        </w:rPr>
        <w:t> </w:t>
      </w:r>
      <w:r>
        <w:rPr>
          <w:rFonts w:ascii="Arial" w:hAnsi="Arial"/>
          <w:color w:val="231F20"/>
          <w:sz w:val="16"/>
        </w:rPr>
        <w:t>the</w:t>
      </w:r>
      <w:r>
        <w:rPr>
          <w:rFonts w:ascii="Arial" w:hAnsi="Arial"/>
          <w:color w:val="231F20"/>
          <w:spacing w:val="-21"/>
          <w:sz w:val="16"/>
        </w:rPr>
        <w:t> </w:t>
      </w:r>
      <w:r>
        <w:rPr>
          <w:rFonts w:ascii="Arial" w:hAnsi="Arial"/>
          <w:color w:val="231F20"/>
          <w:spacing w:val="-5"/>
          <w:sz w:val="16"/>
        </w:rPr>
        <w:t>GFR/RPF.</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14"/>
        <w:ind w:left="3296" w:right="0" w:firstLine="0"/>
        <w:jc w:val="left"/>
        <w:rPr>
          <w:rFonts w:ascii="Helvetica"/>
          <w:sz w:val="16"/>
        </w:rPr>
      </w:pPr>
      <w:r>
        <w:rPr/>
        <w:pict>
          <v:group style="position:absolute;margin-left:73.189003pt;margin-top:10.146813pt;width:182.4pt;height:253.9pt;mso-position-horizontal-relative:page;mso-position-vertical-relative:paragraph;z-index:-273496064" coordorigin="1464,203" coordsize="3648,5078">
            <v:shape style="position:absolute;left:2192;top:261;width:2187;height:2185" type="#_x0000_t75" stroked="false">
              <v:imagedata r:id="rId391" o:title=""/>
            </v:shape>
            <v:shape style="position:absolute;left:-267;top:7252;width:2187;height:2184" coordorigin="-266,7253" coordsize="2187,2184" path="m2459,312l2445,337,2430,365,2422,394,2429,420,2411,435,2397,459,2392,487,2399,508,2382,507,2368,515,2360,529,2363,544,2343,548,2328,564,2325,581,2341,591,2322,586,2300,591,2288,604,2297,622,2278,613,2253,608,2228,609,2208,615,2193,639,2205,664,2231,687,2256,703,2294,722,2334,739,2373,756,2412,775,2446,794,2484,817,2514,846,2526,880,2554,888,2571,901,2586,926,2605,972,2623,1046,2628,1135,2622,1220,2605,1280,2588,1333,2572,1417,2559,1512,2552,1603,2551,1670,2557,1709,2572,1762,2595,1827,2627,1901,2668,1980,2718,2062,2779,2143,2849,2222,2919,2284,2991,2334,3064,2373,3138,2402,3211,2424,3282,2437,3350,2445,3413,2447,3471,2444,3525,2439,3584,2431,3648,2418,3714,2399,3781,2374,3846,2341,3908,2299,3965,2248,4014,2185,4054,2111,4057,2104,4062,2108,4062,2108,4078,1975,4088,1903,4093,1867,4097,1841,4107,1795,4130,1727,4167,1661,4220,1616,4280,1584,4332,1539,4367,1476,4379,1391,4378,1328,4375,1255,4369,1176,4357,1095,4338,1017,4309,947,4268,889,4223,841,4172,788,4114,733,4051,678,3981,628,3906,585,3825,552,3738,534,3630,521,3539,513,3463,510,3395,516,3332,530,3268,556,3167,606,3069,655,2992,693,2955,712,2932,716,2893,710,2846,683,2799,629,2761,571,2713,499,2660,422,2608,351,2562,296,2529,267,2497,263,2475,280,2463,301,2459,312xm2429,418l2440,427,2452,436,2463,444,2475,452e" filled="false" stroked="true" strokeweight=".35pt" strokecolor="#b7705b">
              <v:path arrowok="t"/>
              <v:stroke dashstyle="solid"/>
            </v:shape>
            <v:shape style="position:absolute;left:2290;top:499;width:159;height:138" type="#_x0000_t75" stroked="false">
              <v:imagedata r:id="rId392" o:title=""/>
            </v:shape>
            <v:shape style="position:absolute;left:2820;top:680;width:1984;height:1659" coordorigin="2821,681" coordsize="1984,1659" path="m4253,1941l4000,1941,4049,1949,4094,1990,4143,2076,4179,2152,4206,2217,4224,2271,4235,2315,4267,2339,4325,2333,4378,2303,4394,2259,4385,2228,4366,2171,4336,2095,4297,2013,4253,1941xm2997,1499l2898,1524,2844,1549,2824,1588,2821,1656,2825,1720,2835,1747,2849,1760,2866,1778,2882,1803,2894,1827,2903,1854,2911,1885,2929,1939,2958,1996,2998,2047,3047,2082,3097,2100,3187,2117,3237,2135,3282,2154,3313,2166,3368,2185,3402,2190,3459,2189,3536,2176,3628,2147,3730,2097,3826,2035,3885,1991,3919,1964,3938,1952,4000,1941,4253,1941,4248,1932,4190,1864,4123,1819,4379,1819,4464,1793,4589,1736,4691,1680,4758,1634,4791,1604,4310,1604,4267,1603,4235,1582,4214,1550,4206,1514,3011,1514,2998,1501,2997,1499xm4379,1819l4123,1819,4275,1827,4374,1821,4379,1819xm4642,1428l4571,1502,4513,1545,4436,1573,4310,1604,4791,1604,4794,1602,4804,1590,4642,1428xm3004,1497l2997,1499,2998,1501,3011,1514,3008,1505,3004,1497xm4208,1497l3004,1497,3008,1505,3011,1514,4206,1514,4208,1497xm3104,1156l3057,1171,3007,1207,2952,1254,2918,1306,2915,1368,2954,1445,2997,1499,3004,1497,4208,1497,4209,1481,4218,1452,4227,1423,4230,1387,4229,1342,4223,1277,4207,1205,4193,1176,3302,1176,3177,1159,3104,1156xm3479,681l3423,707,3328,781,3241,784,3194,795,3171,826,3156,885,3148,948,3154,991,3170,1026,3192,1064,3223,1105,3259,1141,3289,1166,3302,1176,4193,1176,4174,1138,4118,1088,4057,1052,4034,1032,4031,1017,4028,997,4011,966,3978,915,3931,853,3871,793,3801,744,3723,719,3619,699,3541,682,3479,681xe" filled="true" fillcolor="#f15b66" stroked="false">
              <v:path arrowok="t"/>
              <v:fill type="solid"/>
            </v:shape>
            <v:shape style="position:absolute;left:2820;top:680;width:1984;height:1659" coordorigin="2821,681" coordsize="1984,1659" path="m4642,1428l4571,1502,4513,1545,4436,1573,4310,1604,4267,1603,4235,1582,4214,1550,4206,1514,4209,1481,4218,1452,4227,1423,4230,1387,4229,1342,4223,1277,4207,1205,4174,1138,4118,1088,4057,1052,4034,1032,4031,1017,4028,997,4011,966,3978,915,3931,853,3871,793,3801,744,3723,719,3619,699,3541,682,3479,681,3423,707,3376,743,3347,766,3332,777,3328,781,3241,784,3194,795,3171,826,3156,885,3148,948,3154,991,3192,1064,3259,1141,3302,1176,3177,1159,3104,1156,3007,1207,2952,1254,2918,1306,2915,1368,2954,1445,2998,1501,2898,1524,2844,1549,2821,1656,2825,1720,2835,1747,2849,1760,2866,1778,2882,1803,2894,1827,2903,1854,2911,1885,2929,1939,2958,1996,2998,2047,3047,2082,3141,2109,3187,2117,3237,2135,3282,2154,3313,2166,3338,2175,3368,2185,3402,2190,3459,2189,3536,2176,3628,2147,3730,2097,3826,2035,3885,1991,3919,1964,3938,1952,4000,1941,4049,1949,4094,1990,4143,2076,4179,2152,4206,2217,4235,2315,4267,2339,4325,2333,4378,2303,4394,2259,4385,2228,4366,2171,4336,2095,4297,2013,4248,1932,4190,1864,4123,1819,4275,1827,4374,1821,4464,1793,4589,1736,4691,1680,4758,1634,4804,1590,4642,1428xe" filled="false" stroked="true" strokeweight=".25pt" strokecolor="#231f20">
              <v:path arrowok="t"/>
              <v:stroke dashstyle="solid"/>
            </v:shape>
            <v:shape style="position:absolute;left:3213;top:910;width:674;height:503" coordorigin="3214,911" coordsize="674,503" path="m3238,911l3218,920,3214,932,3219,942,3268,1031,3321,1109,3388,1188,3467,1252,3569,1299,3721,1345,3769,1362,3813,1382,3852,1409,3856,1412,3860,1414,3871,1414,3876,1411,3887,1399,3886,1386,3835,1348,3735,1308,3632,1278,3584,1262,3488,1218,3414,1158,3350,1082,3300,1007,3267,949,3250,915,3238,911xe" filled="true" fillcolor="#f8aba6" stroked="false">
              <v:path arrowok="t"/>
              <v:fill type="solid"/>
            </v:shape>
            <v:shape style="position:absolute;left:4163;top:1486;width:509;height:197" type="#_x0000_t75" stroked="false">
              <v:imagedata r:id="rId393" o:title=""/>
            </v:shape>
            <v:shape style="position:absolute;left:4041;top:1854;width:253;height:472" type="#_x0000_t75" stroked="false">
              <v:imagedata r:id="rId394" o:title=""/>
            </v:shape>
            <v:shape style="position:absolute;left:2864;top:722;width:1910;height:1580" type="#_x0000_t75" stroked="false">
              <v:imagedata r:id="rId395" o:title=""/>
            </v:shape>
            <v:shape style="position:absolute;left:3494;top:790;width:623;height:651" type="#_x0000_t75" stroked="false">
              <v:imagedata r:id="rId396" o:title=""/>
            </v:shape>
            <v:shape style="position:absolute;left:4631;top:1407;width:192;height:198" type="#_x0000_t75" stroked="false">
              <v:imagedata r:id="rId397" o:title=""/>
            </v:shape>
            <v:shape style="position:absolute;left:1978;top:231;width:2442;height:2420" type="#_x0000_t75" stroked="false">
              <v:imagedata r:id="rId398" o:title=""/>
            </v:shape>
            <v:shape style="position:absolute;left:4725;top:1135;width:351;height:382" type="#_x0000_t75" stroked="false">
              <v:imagedata r:id="rId399" o:title=""/>
            </v:shape>
            <v:rect style="position:absolute;left:1473;top:2955;width:2905;height:2211" filled="true" fillcolor="#d3bd8b" stroked="false">
              <v:fill type="solid"/>
            </v:rect>
            <v:shape style="position:absolute;left:3829;top:3760;width:525;height:535" coordorigin="3829,3761" coordsize="525,535" path="m4004,3873l3948,3875,3894,3886,3837,3901,3829,4181,4304,4296,4342,3892,4144,3892,4072,3888,4004,3873xm4354,3761l4282,3768,4256,3816,4208,3863,4144,3892,4342,3892,4354,3761xe" filled="true" fillcolor="#d5dce9" stroked="false">
              <v:path arrowok="t"/>
              <v:fill type="solid"/>
            </v:shape>
            <v:shape style="position:absolute;left:3829;top:3760;width:525;height:535" coordorigin="3829,3761" coordsize="525,535" path="m3837,3901l3894,3886,3948,3875,4004,3873,4072,3888,4144,3892,4208,3863,4256,3816,4282,3768,4354,3761,4304,4296,3829,4181,3837,3901xe" filled="false" stroked="true" strokeweight=".35pt" strokecolor="#857fb2">
              <v:path arrowok="t"/>
              <v:stroke dashstyle="solid"/>
            </v:shape>
            <v:shape style="position:absolute;left:2831;top:3500;width:550;height:590" coordorigin="2832,3501" coordsize="550,590" path="m3033,3557l2956,3557,2891,3568,2832,3583,2842,4073,3332,4091,3375,3575,3217,3575,3127,3571,3033,3557xm3382,3501l3348,3526,3292,3555,3217,3575,3375,3575,3382,3501xe" filled="true" fillcolor="#d5dce9" stroked="false">
              <v:path arrowok="t"/>
              <v:fill type="solid"/>
            </v:shape>
            <v:shape style="position:absolute;left:2831;top:3500;width:550;height:590" coordorigin="2832,3501" coordsize="550,590" path="m2832,3583l2891,3568,2956,3557,3033,3557,3127,3571,3217,3575,3292,3555,3348,3526,3382,3501,3332,4091,2842,4073,2832,3583xe" filled="false" stroked="true" strokeweight=".35pt" strokecolor="#857fb2">
              <v:path arrowok="t"/>
              <v:stroke dashstyle="solid"/>
            </v:shape>
            <v:shape style="position:absolute;left:1472;top:4235;width:2901;height:726" coordorigin="1472,4236" coordsize="2901,726" path="m2882,4236l1479,4474,1472,4961,4373,4961,4373,4389,2882,4236xe" filled="true" fillcolor="#d8b4c5" stroked="false">
              <v:path arrowok="t"/>
              <v:fill type="solid"/>
            </v:shape>
            <v:shape style="position:absolute;left:1473;top:4073;width:2905;height:635" coordorigin="1474,4073" coordsize="2905,635" path="m4379,4402l2945,4402,3514,4407,3855,4443,4108,4539,4379,4708,4379,4402xm2948,4073l2454,4077,2134,4101,1845,4167,1474,4287,1474,4695,1544,4660,1827,4555,2295,4450,2945,4402,4379,4402,4379,4312,4298,4283,3992,4198,3529,4112,2948,4073xe" filled="true" fillcolor="#f5989d" stroked="false">
              <v:path arrowok="t"/>
              <v:fill type="solid"/>
            </v:shape>
            <v:shape style="position:absolute;left:24;top:7079;width:2905;height:635" coordorigin="24,7079" coordsize="2905,635" path="m1474,4287l1845,4167,2134,4101,2454,4077,2948,4073,3529,4112,3992,4198,4298,4283,4379,4312m4379,4708l4108,4539,3855,4443,3514,4407,2945,4402,2295,4450,1827,4555,1544,4660,1474,4695m1474,4420l1533,4405,1595,4384,1654,4362,1720,4341,1798,4326m1928,4294l1998,4275,2067,4259,2137,4247,2212,4239m2417,4200l2485,4177,2559,4168,2636,4165,2713,4165,2787,4162,2870,4159,2953,4161,3037,4167,3120,4172,3204,4175m3464,4203l3530,4214,3591,4231,3650,4248,3708,4259,3781,4267,3859,4275,3939,4287,4022,4309m4205,4373l4249,4395,4298,4415,4348,4432,4379,4439m4379,4587l4320,4578,4242,4538,4166,4491,4094,4458,4019,4441,3945,4432,3870,4425,3795,4413,3721,4393m3520,4335l3455,4335,3389,4330,3323,4322,3259,4315,3206,4313,3150,4311,3095,4307,3044,4297m2785,4311l2713,4326,2638,4331,2563,4331,2489,4330,2415,4335,2344,4347,2270,4361,2197,4372,2125,4375m1905,4451l1827,4471,1748,4484,1670,4499,1593,4524,1559,4541,1526,4560,1494,4579,1474,4590e" filled="false" stroked="true" strokeweight=".25pt" strokecolor="#b7705b">
              <v:path arrowok="t"/>
              <v:stroke dashstyle="solid"/>
            </v:shape>
            <v:shape style="position:absolute;left:1472;top:4449;width:2901;height:639" type="#_x0000_t75" stroked="false">
              <v:imagedata r:id="rId400" o:title=""/>
            </v:shape>
            <v:shape style="position:absolute;left:1472;top:4449;width:2901;height:639" coordorigin="1472,4450" coordsize="2901,639" path="m1472,4754l1510,4731,1537,4716,1567,4703,1612,4685,1663,4663,1701,4642,1724,4627,1732,4621,1770,4658,1798,4675,1834,4676,1890,4665,1949,4646,1987,4623,2008,4600,2017,4582,2017,4553,2093,4555,2191,4547,2259,4533,2333,4513,2415,4480,2424,4474,2448,4508,2470,4525,2505,4530,2564,4528,2627,4517,2665,4497,2685,4478,2691,4469,2741,4458,2781,4452,2834,4450,2919,4450,3018,4453,3096,4462,3159,4470,3211,4474,3279,4477,3306,4525,3320,4550,3350,4561,3408,4567,3488,4563,3548,4542,3585,4519,3598,4508,3651,4515,3731,4531,3795,4548,3878,4572,3957,4596,4022,4616,4062,4626,4083,4630,4099,4632,4108,4634,4112,4634,4107,4674,4110,4697,4128,4714,4163,4734,4232,4753,4300,4749,4352,4737,4373,4729,4373,5088,1474,5088,1472,4754xe" filled="false" stroked="true" strokeweight=".5pt" strokecolor="#b7705b">
              <v:path arrowok="t"/>
              <v:stroke dashstyle="solid"/>
            </v:shape>
            <v:shape style="position:absolute;left:1473;top:4537;width:2899;height:629" type="#_x0000_t75" stroked="false">
              <v:imagedata r:id="rId401" o:title=""/>
            </v:shape>
            <v:shape style="position:absolute;left:1473;top:4537;width:2899;height:629" coordorigin="1474,4538" coordsize="2899,629" path="m1474,4841l1510,4819,1537,4804,1567,4791,1612,4774,1663,4751,1701,4731,1724,4716,1732,4710,1774,4745,1805,4761,1841,4761,1897,4749,1962,4725,1998,4694,2013,4664,2017,4641,2093,4644,2191,4636,2259,4621,2333,4602,2415,4568,2424,4562,2448,4596,2470,4613,2505,4618,2564,4617,2627,4605,2665,4585,2685,4566,2691,4558,2741,4546,2781,4540,2834,4538,2919,4538,3018,4542,3096,4550,3159,4559,3211,4562,3279,4565,3300,4613,3312,4637,3344,4649,3408,4656,3488,4651,3548,4630,3585,4608,3598,4597,3651,4603,3731,4619,3795,4636,3878,4660,3957,4685,4022,4705,4083,4718,4111,4721,4092,4759,4092,4782,4114,4800,4163,4823,4234,4838,4301,4835,4353,4824,4373,4818,4373,5167e" filled="false" stroked="true" strokeweight=".5pt" strokecolor="#b7705b">
              <v:path arrowok="t"/>
              <v:stroke dashstyle="solid"/>
            </v:shape>
            <v:shape style="position:absolute;left:3643;top:4829;width:277;height:141" type="#_x0000_t75" stroked="false">
              <v:imagedata r:id="rId402" o:title=""/>
            </v:shape>
            <v:shape style="position:absolute;left:3638;top:4801;width:287;height:173" type="#_x0000_t75" stroked="false">
              <v:imagedata r:id="rId403" o:title=""/>
            </v:shape>
            <v:shape style="position:absolute;left:4198;top:5067;width:181;height:99" type="#_x0000_t75" stroked="false">
              <v:imagedata r:id="rId404" o:title=""/>
            </v:shape>
            <v:shape style="position:absolute;left:4195;top:5046;width:189;height:126" type="#_x0000_t75" stroked="false">
              <v:imagedata r:id="rId405" o:title=""/>
            </v:shape>
            <v:shape style="position:absolute;left:2902;top:4765;width:281;height:120" type="#_x0000_t75" stroked="false">
              <v:imagedata r:id="rId406" o:title=""/>
            </v:shape>
            <v:shape style="position:absolute;left:2897;top:4723;width:291;height:168" type="#_x0000_t75" stroked="false">
              <v:imagedata r:id="rId407" o:title=""/>
            </v:shape>
            <v:shape style="position:absolute;left:2571;top:5054;width:270;height:112" type="#_x0000_t75" stroked="false">
              <v:imagedata r:id="rId408" o:title=""/>
            </v:shape>
            <v:shape style="position:absolute;left:2566;top:5013;width:280;height:163" type="#_x0000_t75" stroked="false">
              <v:imagedata r:id="rId409" o:title=""/>
            </v:shape>
            <v:shape style="position:absolute;left:1856;top:5072;width:268;height:95" type="#_x0000_t75" stroked="false">
              <v:imagedata r:id="rId410" o:title=""/>
            </v:shape>
            <v:shape style="position:absolute;left:1851;top:5047;width:278;height:125" type="#_x0000_t75" stroked="false">
              <v:imagedata r:id="rId411" o:title=""/>
            </v:shape>
            <v:shape style="position:absolute;left:3309;top:5072;width:270;height:95" type="#_x0000_t75" stroked="false">
              <v:imagedata r:id="rId412" o:title=""/>
            </v:shape>
            <v:shape style="position:absolute;left:3304;top:5033;width:280;height:138" type="#_x0000_t75" stroked="false">
              <v:imagedata r:id="rId413" o:title=""/>
            </v:shape>
            <v:shape style="position:absolute;left:2144;top:4772;width:280;height:136" type="#_x0000_t75" stroked="false">
              <v:imagedata r:id="rId414" o:title=""/>
            </v:shape>
            <v:shape style="position:absolute;left:2139;top:4742;width:290;height:171" type="#_x0000_t75" stroked="false">
              <v:imagedata r:id="rId415" o:title=""/>
            </v:shape>
            <v:shape style="position:absolute;left:1473;top:5016;width:173;height:150" type="#_x0000_t75" stroked="false">
              <v:imagedata r:id="rId416" o:title=""/>
            </v:shape>
            <v:shape style="position:absolute;left:1463;top:1650;width:3648;height:3630" type="#_x0000_t75" stroked="false">
              <v:imagedata r:id="rId417" o:title=""/>
            </v:shape>
            <v:shape style="position:absolute;left:161;top:2715;width:1895;height:1430" coordorigin="161,2716" coordsize="1895,1430" path="m2559,561l3270,210m3164,1373l2459,1229,3040,1640m3859,761l4354,645,4116,1216e" filled="false" stroked="true" strokeweight=".75pt" strokecolor="#231f20">
              <v:path arrowok="t"/>
              <v:stroke dashstyle="solid"/>
            </v:shape>
            <w10:wrap type="none"/>
          </v:group>
        </w:pict>
      </w:r>
      <w:r>
        <w:rPr>
          <w:rFonts w:ascii="Helvetica"/>
          <w:color w:val="231F20"/>
          <w:sz w:val="16"/>
        </w:rPr>
        <w:t>Proximal tubule</w:t>
      </w:r>
    </w:p>
    <w:p>
      <w:pPr>
        <w:pStyle w:val="BodyText"/>
        <w:spacing w:before="3"/>
        <w:rPr>
          <w:rFonts w:ascii="Helvetica"/>
          <w:sz w:val="21"/>
        </w:rPr>
      </w:pPr>
    </w:p>
    <w:p>
      <w:pPr>
        <w:spacing w:before="0"/>
        <w:ind w:left="1072" w:right="638" w:firstLine="0"/>
        <w:jc w:val="right"/>
        <w:rPr>
          <w:rFonts w:ascii="Helvetica"/>
          <w:sz w:val="16"/>
        </w:rPr>
      </w:pPr>
      <w:r>
        <w:rPr>
          <w:rFonts w:ascii="Helvetica"/>
          <w:color w:val="231F20"/>
          <w:w w:val="95"/>
          <w:sz w:val="16"/>
        </w:rPr>
        <w:t>Podocytes</w:t>
      </w:r>
    </w:p>
    <w:p>
      <w:pPr>
        <w:pStyle w:val="BodyText"/>
        <w:rPr>
          <w:rFonts w:ascii="Helvetica"/>
          <w:sz w:val="18"/>
        </w:rPr>
      </w:pPr>
    </w:p>
    <w:p>
      <w:pPr>
        <w:pStyle w:val="BodyText"/>
        <w:spacing w:before="9"/>
        <w:rPr>
          <w:rFonts w:ascii="Helvetica"/>
          <w:sz w:val="16"/>
        </w:rPr>
      </w:pPr>
    </w:p>
    <w:p>
      <w:pPr>
        <w:spacing w:before="0"/>
        <w:ind w:left="1381" w:right="0" w:firstLine="0"/>
        <w:jc w:val="left"/>
        <w:rPr>
          <w:rFonts w:ascii="Helvetica"/>
          <w:sz w:val="16"/>
        </w:rPr>
      </w:pPr>
      <w:r>
        <w:rPr>
          <w:rFonts w:ascii="Helvetica"/>
          <w:color w:val="231F20"/>
          <w:sz w:val="16"/>
        </w:rPr>
        <w:t>Capillary loops</w:t>
      </w:r>
    </w:p>
    <w:p>
      <w:pPr>
        <w:pStyle w:val="BodyText"/>
        <w:spacing w:line="249" w:lineRule="auto"/>
        <w:ind w:left="319" w:right="1437"/>
        <w:jc w:val="both"/>
      </w:pPr>
      <w:r>
        <w:rPr/>
        <w:br w:type="column"/>
      </w:r>
      <w:r>
        <w:rPr>
          <w:color w:val="231F20"/>
        </w:rPr>
        <w:t>and therefore filters fluid at a high rate. Despite the high filtration rate, the glomerular filtration barrier is selective in determining which molecules will filter, based on their size and electrical charge.</w:t>
      </w:r>
    </w:p>
    <w:p>
      <w:pPr>
        <w:pStyle w:val="BodyText"/>
        <w:spacing w:line="249" w:lineRule="auto"/>
        <w:ind w:left="319" w:right="1437" w:firstLine="240"/>
        <w:jc w:val="both"/>
      </w:pPr>
      <w:hyperlink w:history="true" w:anchor="_bookmark22">
        <w:r>
          <w:rPr>
            <w:b/>
            <w:color w:val="0080AC"/>
          </w:rPr>
          <w:t>Table 27-1 </w:t>
        </w:r>
      </w:hyperlink>
      <w:r>
        <w:rPr>
          <w:color w:val="231F20"/>
        </w:rPr>
        <w:t>lists the effect of molecular size on filter­ ability of different molecules. A filterability of 1.0 means that the substance is filtered as freely as water, whereas a filterability of 0.75 means that the substance is filtered only 75 percent as rapidly as water. Note that electrolytes such as sodium and small organic compounds such as glucose are freely filtered. As the molecular weight of the molecule approaches that of albumin, the filterability rapidly decreases, approaching zero.</w:t>
      </w:r>
    </w:p>
    <w:p>
      <w:pPr>
        <w:pStyle w:val="BodyText"/>
        <w:spacing w:before="3"/>
        <w:rPr>
          <w:sz w:val="22"/>
        </w:rPr>
      </w:pPr>
    </w:p>
    <w:p>
      <w:pPr>
        <w:spacing w:line="256" w:lineRule="auto" w:before="0"/>
        <w:ind w:left="319" w:right="1438" w:firstLine="0"/>
        <w:jc w:val="both"/>
        <w:rPr>
          <w:sz w:val="20"/>
        </w:rPr>
      </w:pPr>
      <w:r>
        <w:rPr>
          <w:rFonts w:ascii="Trebuchet MS"/>
          <w:b/>
          <w:color w:val="231F20"/>
          <w:sz w:val="19"/>
        </w:rPr>
        <w:t>Negatively Charged Large Molecules Are </w:t>
      </w:r>
      <w:r>
        <w:rPr>
          <w:rFonts w:ascii="Trebuchet MS"/>
          <w:b/>
          <w:color w:val="231F20"/>
          <w:spacing w:val="-3"/>
          <w:sz w:val="19"/>
        </w:rPr>
        <w:t>Filtered </w:t>
      </w:r>
      <w:r>
        <w:rPr>
          <w:rFonts w:ascii="Trebuchet MS"/>
          <w:b/>
          <w:color w:val="231F20"/>
          <w:sz w:val="19"/>
        </w:rPr>
        <w:t>Less Easily Than Positively Charged Molecules </w:t>
      </w:r>
      <w:r>
        <w:rPr>
          <w:rFonts w:ascii="Trebuchet MS"/>
          <w:b/>
          <w:color w:val="231F20"/>
          <w:spacing w:val="-7"/>
          <w:sz w:val="19"/>
        </w:rPr>
        <w:t>of </w:t>
      </w:r>
      <w:r>
        <w:rPr>
          <w:rFonts w:ascii="Trebuchet MS"/>
          <w:b/>
          <w:color w:val="231F20"/>
          <w:sz w:val="19"/>
        </w:rPr>
        <w:t>Equal Molecular Size. </w:t>
      </w:r>
      <w:r>
        <w:rPr>
          <w:color w:val="231F20"/>
          <w:sz w:val="20"/>
        </w:rPr>
        <w:t>The molecular diameter of</w:t>
      </w:r>
      <w:r>
        <w:rPr>
          <w:color w:val="231F20"/>
          <w:spacing w:val="40"/>
          <w:sz w:val="20"/>
        </w:rPr>
        <w:t> </w:t>
      </w:r>
      <w:r>
        <w:rPr>
          <w:color w:val="231F20"/>
          <w:spacing w:val="-5"/>
          <w:sz w:val="20"/>
        </w:rPr>
        <w:t>the</w:t>
      </w:r>
    </w:p>
    <w:p>
      <w:pPr>
        <w:spacing w:after="0" w:line="256" w:lineRule="auto"/>
        <w:jc w:val="both"/>
        <w:rPr>
          <w:sz w:val="20"/>
        </w:rPr>
        <w:sectPr>
          <w:type w:val="continuous"/>
          <w:pgSz w:w="12240" w:h="15660"/>
          <w:pgMar w:top="0" w:bottom="760" w:left="0" w:right="0"/>
          <w:cols w:num="2" w:equalWidth="0">
            <w:col w:w="5761" w:space="40"/>
            <w:col w:w="6439"/>
          </w:cols>
        </w:sectPr>
      </w:pPr>
    </w:p>
    <w:p>
      <w:pPr>
        <w:spacing w:line="176" w:lineRule="exact" w:before="0"/>
        <w:ind w:left="1246" w:right="0" w:firstLine="0"/>
        <w:jc w:val="left"/>
        <w:rPr>
          <w:rFonts w:ascii="Helvetica"/>
          <w:sz w:val="16"/>
        </w:rPr>
      </w:pPr>
      <w:r>
        <w:rPr>
          <w:rFonts w:ascii="Helvetica"/>
          <w:color w:val="231F20"/>
          <w:sz w:val="16"/>
        </w:rPr>
        <w:t>Bowman's</w:t>
      </w:r>
      <w:r>
        <w:rPr>
          <w:rFonts w:ascii="Helvetica"/>
          <w:color w:val="231F20"/>
          <w:spacing w:val="-1"/>
          <w:sz w:val="16"/>
        </w:rPr>
        <w:t> </w:t>
      </w:r>
      <w:r>
        <w:rPr>
          <w:rFonts w:ascii="Helvetica"/>
          <w:color w:val="231F20"/>
          <w:sz w:val="16"/>
        </w:rPr>
        <w:t>space</w:t>
      </w:r>
    </w:p>
    <w:p>
      <w:pPr>
        <w:spacing w:before="129"/>
        <w:ind w:left="0" w:right="38" w:firstLine="0"/>
        <w:jc w:val="right"/>
        <w:rPr>
          <w:rFonts w:ascii="Helvetica"/>
          <w:sz w:val="16"/>
        </w:rPr>
      </w:pPr>
      <w:r>
        <w:rPr>
          <w:rFonts w:ascii="Helvetica"/>
          <w:color w:val="231F20"/>
          <w:sz w:val="16"/>
        </w:rPr>
        <w:t>Bowman's</w:t>
      </w:r>
      <w:r>
        <w:rPr>
          <w:rFonts w:ascii="Helvetica"/>
          <w:color w:val="231F20"/>
          <w:spacing w:val="-1"/>
          <w:sz w:val="16"/>
        </w:rPr>
        <w:t> </w:t>
      </w:r>
      <w:r>
        <w:rPr>
          <w:rFonts w:ascii="Helvetica"/>
          <w:color w:val="231F20"/>
          <w:sz w:val="16"/>
        </w:rPr>
        <w:t>capsule</w:t>
      </w:r>
    </w:p>
    <w:p>
      <w:pPr>
        <w:pStyle w:val="BodyText"/>
        <w:spacing w:before="58"/>
        <w:ind w:left="1171"/>
        <w:rPr>
          <w:rFonts w:ascii="Helvetica"/>
        </w:rPr>
      </w:pPr>
      <w:r>
        <w:rPr>
          <w:rFonts w:ascii="Helvetica"/>
          <w:color w:val="231F20"/>
          <w:w w:val="100"/>
        </w:rPr>
        <w:t>A</w:t>
      </w:r>
    </w:p>
    <w:p>
      <w:pPr>
        <w:spacing w:before="39"/>
        <w:ind w:left="0" w:right="68" w:firstLine="0"/>
        <w:jc w:val="right"/>
        <w:rPr>
          <w:rFonts w:ascii="Helvetica"/>
          <w:sz w:val="16"/>
        </w:rPr>
      </w:pPr>
      <w:r>
        <w:rPr>
          <w:rFonts w:ascii="Helvetica"/>
          <w:color w:val="231F20"/>
          <w:sz w:val="16"/>
        </w:rPr>
        <w:t>Slit</w:t>
      </w:r>
      <w:r>
        <w:rPr>
          <w:rFonts w:ascii="Helvetica"/>
          <w:color w:val="231F20"/>
          <w:spacing w:val="-1"/>
          <w:sz w:val="16"/>
        </w:rPr>
        <w:t> </w:t>
      </w:r>
      <w:r>
        <w:rPr>
          <w:rFonts w:ascii="Helvetica"/>
          <w:color w:val="231F20"/>
          <w:sz w:val="16"/>
        </w:rPr>
        <w:t>pores</w:t>
      </w:r>
    </w:p>
    <w:p>
      <w:pPr>
        <w:spacing w:line="357" w:lineRule="auto" w:before="68"/>
        <w:ind w:left="1123" w:right="-19" w:hanging="2"/>
        <w:jc w:val="left"/>
        <w:rPr>
          <w:rFonts w:ascii="Helvetica"/>
          <w:sz w:val="16"/>
        </w:rPr>
      </w:pPr>
      <w:r>
        <w:rPr/>
        <w:br w:type="column"/>
      </w:r>
      <w:r>
        <w:rPr>
          <w:rFonts w:ascii="Helvetica"/>
          <w:color w:val="231F20"/>
          <w:sz w:val="16"/>
        </w:rPr>
        <w:t>Afferent arteriole Efferent arteriole</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2"/>
        </w:rPr>
      </w:pPr>
    </w:p>
    <w:p>
      <w:pPr>
        <w:spacing w:before="0"/>
        <w:ind w:left="1221" w:right="0" w:firstLine="0"/>
        <w:jc w:val="left"/>
        <w:rPr>
          <w:rFonts w:ascii="Helvetica"/>
          <w:sz w:val="16"/>
        </w:rPr>
      </w:pPr>
      <w:r>
        <w:rPr>
          <w:rFonts w:ascii="Helvetica"/>
          <w:color w:val="231F20"/>
          <w:sz w:val="16"/>
        </w:rPr>
        <w:t>Epithelium</w:t>
      </w:r>
    </w:p>
    <w:p>
      <w:pPr>
        <w:pStyle w:val="BodyText"/>
        <w:rPr>
          <w:rFonts w:ascii="Helvetica"/>
          <w:sz w:val="18"/>
        </w:rPr>
      </w:pPr>
    </w:p>
    <w:p>
      <w:pPr>
        <w:pStyle w:val="BodyText"/>
        <w:rPr>
          <w:rFonts w:ascii="Helvetica"/>
          <w:sz w:val="18"/>
        </w:rPr>
      </w:pPr>
    </w:p>
    <w:p>
      <w:pPr>
        <w:pStyle w:val="BodyText"/>
        <w:spacing w:before="1"/>
        <w:rPr>
          <w:rFonts w:ascii="Helvetica"/>
          <w:sz w:val="16"/>
        </w:rPr>
      </w:pPr>
    </w:p>
    <w:p>
      <w:pPr>
        <w:spacing w:line="235" w:lineRule="auto" w:before="0"/>
        <w:ind w:left="1221" w:right="301" w:firstLine="0"/>
        <w:jc w:val="left"/>
        <w:rPr>
          <w:rFonts w:ascii="Helvetica"/>
          <w:sz w:val="16"/>
        </w:rPr>
      </w:pPr>
      <w:r>
        <w:rPr>
          <w:rFonts w:ascii="Helvetica"/>
          <w:color w:val="231F20"/>
          <w:sz w:val="16"/>
        </w:rPr>
        <w:t>Basement membrane</w:t>
      </w:r>
    </w:p>
    <w:p>
      <w:pPr>
        <w:pStyle w:val="BodyText"/>
        <w:spacing w:before="7"/>
        <w:rPr>
          <w:rFonts w:ascii="Helvetica"/>
          <w:sz w:val="18"/>
        </w:rPr>
      </w:pPr>
    </w:p>
    <w:p>
      <w:pPr>
        <w:spacing w:before="0"/>
        <w:ind w:left="1221" w:right="0" w:firstLine="0"/>
        <w:jc w:val="left"/>
        <w:rPr>
          <w:rFonts w:ascii="Helvetica"/>
          <w:sz w:val="16"/>
        </w:rPr>
      </w:pPr>
      <w:r>
        <w:rPr>
          <w:rFonts w:ascii="Helvetica"/>
          <w:color w:val="231F20"/>
          <w:sz w:val="16"/>
        </w:rPr>
        <w:t>Endothelium</w:t>
      </w:r>
    </w:p>
    <w:p>
      <w:pPr>
        <w:pStyle w:val="BodyText"/>
        <w:spacing w:line="249" w:lineRule="auto"/>
        <w:ind w:left="361" w:right="1437"/>
        <w:jc w:val="both"/>
      </w:pPr>
      <w:r>
        <w:rPr/>
        <w:br w:type="column"/>
      </w:r>
      <w:r>
        <w:rPr>
          <w:color w:val="231F20"/>
        </w:rPr>
        <w:t>plasma protein albumin is only about 6 nanometers, whereas the pores of the glomerular membrane are thought to be about 8 nanometers (80 </w:t>
      </w:r>
      <w:r>
        <w:rPr>
          <w:color w:val="231F20"/>
          <w:spacing w:val="-3"/>
        </w:rPr>
        <w:t>angstroms). </w:t>
      </w:r>
      <w:r>
        <w:rPr>
          <w:color w:val="231F20"/>
        </w:rPr>
        <w:t>Albumin is restricted from filtration, however, because   of its negative charge and the electrostatic repulsion exerted by negative charges of the glomerular capillary wall</w:t>
      </w:r>
      <w:r>
        <w:rPr>
          <w:color w:val="231F20"/>
          <w:spacing w:val="6"/>
        </w:rPr>
        <w:t> </w:t>
      </w:r>
      <w:r>
        <w:rPr>
          <w:color w:val="231F20"/>
        </w:rPr>
        <w:t>proteoglycans.</w:t>
      </w:r>
    </w:p>
    <w:p>
      <w:pPr>
        <w:pStyle w:val="BodyText"/>
        <w:spacing w:line="249" w:lineRule="auto"/>
        <w:ind w:left="361" w:right="1437" w:firstLine="240"/>
        <w:jc w:val="both"/>
      </w:pPr>
      <w:hyperlink w:history="true" w:anchor="_bookmark25">
        <w:r>
          <w:rPr>
            <w:b/>
            <w:color w:val="0080AC"/>
          </w:rPr>
          <w:t>Figure  27-3</w:t>
        </w:r>
      </w:hyperlink>
      <w:r>
        <w:rPr>
          <w:b/>
          <w:color w:val="0080AC"/>
        </w:rPr>
        <w:t>  </w:t>
      </w:r>
      <w:r>
        <w:rPr>
          <w:color w:val="231F20"/>
        </w:rPr>
        <w:t>shows  how  electrical  charge  affects the filtration of different molecular weight dextrans by  the glomerulus. Dextrans are polysaccharides  that  can  be manufactured as neutral molecules or with negative   or positive charges. Note that for any given molecular radius, positively charged molecules are filtered much more</w:t>
      </w:r>
      <w:r>
        <w:rPr>
          <w:color w:val="231F20"/>
          <w:spacing w:val="31"/>
        </w:rPr>
        <w:t> </w:t>
      </w:r>
      <w:r>
        <w:rPr>
          <w:color w:val="231F20"/>
        </w:rPr>
        <w:t>readily</w:t>
      </w:r>
      <w:r>
        <w:rPr>
          <w:color w:val="231F20"/>
          <w:spacing w:val="31"/>
        </w:rPr>
        <w:t> </w:t>
      </w:r>
      <w:r>
        <w:rPr>
          <w:color w:val="231F20"/>
        </w:rPr>
        <w:t>than</w:t>
      </w:r>
      <w:r>
        <w:rPr>
          <w:color w:val="231F20"/>
          <w:spacing w:val="32"/>
        </w:rPr>
        <w:t> </w:t>
      </w:r>
      <w:r>
        <w:rPr>
          <w:color w:val="231F20"/>
        </w:rPr>
        <w:t>are</w:t>
      </w:r>
      <w:r>
        <w:rPr>
          <w:color w:val="231F20"/>
          <w:spacing w:val="31"/>
        </w:rPr>
        <w:t> </w:t>
      </w:r>
      <w:r>
        <w:rPr>
          <w:color w:val="231F20"/>
        </w:rPr>
        <w:t>negatively</w:t>
      </w:r>
      <w:r>
        <w:rPr>
          <w:color w:val="231F20"/>
          <w:spacing w:val="31"/>
        </w:rPr>
        <w:t> </w:t>
      </w:r>
      <w:r>
        <w:rPr>
          <w:color w:val="231F20"/>
        </w:rPr>
        <w:t>charged</w:t>
      </w:r>
      <w:r>
        <w:rPr>
          <w:color w:val="231F20"/>
          <w:spacing w:val="32"/>
        </w:rPr>
        <w:t> </w:t>
      </w:r>
      <w:r>
        <w:rPr>
          <w:color w:val="231F20"/>
        </w:rPr>
        <w:t>molecules.</w:t>
      </w:r>
    </w:p>
    <w:p>
      <w:pPr>
        <w:spacing w:after="0" w:line="249" w:lineRule="auto"/>
        <w:jc w:val="both"/>
        <w:sectPr>
          <w:type w:val="continuous"/>
          <w:pgSz w:w="12240" w:h="15660"/>
          <w:pgMar w:top="0" w:bottom="760" w:left="0" w:right="0"/>
          <w:cols w:num="3" w:equalWidth="0">
            <w:col w:w="2491" w:space="921"/>
            <w:col w:w="2307" w:space="39"/>
            <w:col w:w="6482"/>
          </w:cols>
        </w:sectPr>
      </w:pPr>
    </w:p>
    <w:p>
      <w:pPr>
        <w:tabs>
          <w:tab w:pos="1829" w:val="left" w:leader="none"/>
        </w:tabs>
        <w:spacing w:line="177" w:lineRule="exact" w:before="68"/>
        <w:ind w:left="1167" w:right="0" w:firstLine="0"/>
        <w:jc w:val="left"/>
        <w:rPr>
          <w:rFonts w:ascii="Helvetica"/>
          <w:sz w:val="16"/>
        </w:rPr>
      </w:pPr>
      <w:r>
        <w:rPr>
          <w:rFonts w:ascii="Helvetica"/>
          <w:color w:val="231F20"/>
          <w:position w:val="2"/>
          <w:sz w:val="20"/>
        </w:rPr>
        <w:t>B</w:t>
        <w:tab/>
      </w:r>
      <w:r>
        <w:rPr>
          <w:rFonts w:ascii="Helvetica"/>
          <w:color w:val="231F20"/>
          <w:sz w:val="16"/>
        </w:rPr>
        <w:t>Fenestrations</w:t>
      </w:r>
    </w:p>
    <w:p>
      <w:pPr>
        <w:pStyle w:val="BodyText"/>
        <w:spacing w:before="5"/>
        <w:ind w:left="1191" w:right="1461"/>
        <w:jc w:val="center"/>
      </w:pPr>
      <w:r>
        <w:rPr/>
        <w:br w:type="column"/>
      </w:r>
      <w:r>
        <w:rPr>
          <w:color w:val="231F20"/>
          <w:w w:val="105"/>
        </w:rPr>
        <w:t>Neutral dextrans are also filtered more readily than are</w:t>
      </w:r>
    </w:p>
    <w:p>
      <w:pPr>
        <w:spacing w:after="0"/>
        <w:jc w:val="center"/>
        <w:sectPr>
          <w:type w:val="continuous"/>
          <w:pgSz w:w="12240" w:h="15660"/>
          <w:pgMar w:top="0" w:bottom="760" w:left="0" w:right="0"/>
          <w:cols w:num="2" w:equalWidth="0">
            <w:col w:w="2839" w:space="2114"/>
            <w:col w:w="7287"/>
          </w:cols>
        </w:sectPr>
      </w:pPr>
    </w:p>
    <w:p>
      <w:pPr>
        <w:spacing w:line="259" w:lineRule="auto" w:before="156"/>
        <w:ind w:left="1080" w:right="0" w:firstLine="0"/>
        <w:jc w:val="both"/>
        <w:rPr>
          <w:rFonts w:ascii="Arial"/>
          <w:sz w:val="16"/>
        </w:rPr>
      </w:pPr>
      <w:bookmarkStart w:name="_bookmark24" w:id="25"/>
      <w:bookmarkEnd w:id="25"/>
      <w:r>
        <w:rPr/>
      </w:r>
      <w:r>
        <w:rPr>
          <w:rFonts w:ascii="Trebuchet MS"/>
          <w:b/>
          <w:color w:val="231F20"/>
          <w:sz w:val="16"/>
        </w:rPr>
        <w:t>Figure 27-2. A, </w:t>
      </w:r>
      <w:r>
        <w:rPr>
          <w:rFonts w:ascii="Arial"/>
          <w:color w:val="231F20"/>
          <w:sz w:val="16"/>
        </w:rPr>
        <w:t>Basic ultrastructure of the glomerular </w:t>
      </w:r>
      <w:r>
        <w:rPr>
          <w:rFonts w:ascii="Arial"/>
          <w:color w:val="231F20"/>
          <w:spacing w:val="-2"/>
          <w:sz w:val="16"/>
        </w:rPr>
        <w:t>capillaries. </w:t>
      </w:r>
      <w:r>
        <w:rPr>
          <w:rFonts w:ascii="Trebuchet MS"/>
          <w:b/>
          <w:color w:val="231F20"/>
          <w:sz w:val="16"/>
        </w:rPr>
        <w:t>B,</w:t>
      </w:r>
      <w:r>
        <w:rPr>
          <w:rFonts w:ascii="Trebuchet MS"/>
          <w:b/>
          <w:color w:val="231F20"/>
          <w:spacing w:val="-17"/>
          <w:sz w:val="16"/>
        </w:rPr>
        <w:t> </w:t>
      </w:r>
      <w:r>
        <w:rPr>
          <w:rFonts w:ascii="Arial"/>
          <w:color w:val="231F20"/>
          <w:sz w:val="16"/>
        </w:rPr>
        <w:t>Cross</w:t>
      </w:r>
      <w:r>
        <w:rPr>
          <w:rFonts w:ascii="Arial"/>
          <w:color w:val="231F20"/>
          <w:spacing w:val="-13"/>
          <w:sz w:val="16"/>
        </w:rPr>
        <w:t> </w:t>
      </w:r>
      <w:r>
        <w:rPr>
          <w:rFonts w:ascii="Arial"/>
          <w:color w:val="231F20"/>
          <w:sz w:val="16"/>
        </w:rPr>
        <w:t>section</w:t>
      </w:r>
      <w:r>
        <w:rPr>
          <w:rFonts w:ascii="Arial"/>
          <w:color w:val="231F20"/>
          <w:spacing w:val="-12"/>
          <w:sz w:val="16"/>
        </w:rPr>
        <w:t> </w:t>
      </w:r>
      <w:r>
        <w:rPr>
          <w:rFonts w:ascii="Arial"/>
          <w:color w:val="231F20"/>
          <w:sz w:val="16"/>
        </w:rPr>
        <w:t>of</w:t>
      </w:r>
      <w:r>
        <w:rPr>
          <w:rFonts w:ascii="Arial"/>
          <w:color w:val="231F20"/>
          <w:spacing w:val="-13"/>
          <w:sz w:val="16"/>
        </w:rPr>
        <w:t> </w:t>
      </w:r>
      <w:r>
        <w:rPr>
          <w:rFonts w:ascii="Arial"/>
          <w:color w:val="231F20"/>
          <w:sz w:val="16"/>
        </w:rPr>
        <w:t>the</w:t>
      </w:r>
      <w:r>
        <w:rPr>
          <w:rFonts w:ascii="Arial"/>
          <w:color w:val="231F20"/>
          <w:spacing w:val="-12"/>
          <w:sz w:val="16"/>
        </w:rPr>
        <w:t> </w:t>
      </w:r>
      <w:r>
        <w:rPr>
          <w:rFonts w:ascii="Arial"/>
          <w:color w:val="231F20"/>
          <w:sz w:val="16"/>
        </w:rPr>
        <w:t>glomerular</w:t>
      </w:r>
      <w:r>
        <w:rPr>
          <w:rFonts w:ascii="Arial"/>
          <w:color w:val="231F20"/>
          <w:spacing w:val="-13"/>
          <w:sz w:val="16"/>
        </w:rPr>
        <w:t> </w:t>
      </w:r>
      <w:r>
        <w:rPr>
          <w:rFonts w:ascii="Arial"/>
          <w:color w:val="231F20"/>
          <w:sz w:val="16"/>
        </w:rPr>
        <w:t>capillary</w:t>
      </w:r>
      <w:r>
        <w:rPr>
          <w:rFonts w:ascii="Arial"/>
          <w:color w:val="231F20"/>
          <w:spacing w:val="-13"/>
          <w:sz w:val="16"/>
        </w:rPr>
        <w:t> </w:t>
      </w:r>
      <w:r>
        <w:rPr>
          <w:rFonts w:ascii="Arial"/>
          <w:color w:val="231F20"/>
          <w:sz w:val="16"/>
        </w:rPr>
        <w:t>membrane</w:t>
      </w:r>
      <w:r>
        <w:rPr>
          <w:rFonts w:ascii="Arial"/>
          <w:color w:val="231F20"/>
          <w:spacing w:val="-12"/>
          <w:sz w:val="16"/>
        </w:rPr>
        <w:t> </w:t>
      </w:r>
      <w:r>
        <w:rPr>
          <w:rFonts w:ascii="Arial"/>
          <w:color w:val="231F20"/>
          <w:sz w:val="16"/>
        </w:rPr>
        <w:t>and</w:t>
      </w:r>
      <w:r>
        <w:rPr>
          <w:rFonts w:ascii="Arial"/>
          <w:color w:val="231F20"/>
          <w:spacing w:val="-13"/>
          <w:sz w:val="16"/>
        </w:rPr>
        <w:t> </w:t>
      </w:r>
      <w:r>
        <w:rPr>
          <w:rFonts w:ascii="Arial"/>
          <w:color w:val="231F20"/>
          <w:sz w:val="16"/>
        </w:rPr>
        <w:t>its</w:t>
      </w:r>
      <w:r>
        <w:rPr>
          <w:rFonts w:ascii="Arial"/>
          <w:color w:val="231F20"/>
          <w:spacing w:val="-12"/>
          <w:sz w:val="16"/>
        </w:rPr>
        <w:t> </w:t>
      </w:r>
      <w:r>
        <w:rPr>
          <w:rFonts w:ascii="Arial"/>
          <w:color w:val="231F20"/>
          <w:spacing w:val="-4"/>
          <w:sz w:val="16"/>
        </w:rPr>
        <w:t>major </w:t>
      </w:r>
      <w:r>
        <w:rPr>
          <w:rFonts w:ascii="Arial"/>
          <w:color w:val="231F20"/>
          <w:sz w:val="16"/>
        </w:rPr>
        <w:t>components:</w:t>
      </w:r>
      <w:r>
        <w:rPr>
          <w:rFonts w:ascii="Arial"/>
          <w:color w:val="231F20"/>
          <w:spacing w:val="-8"/>
          <w:sz w:val="16"/>
        </w:rPr>
        <w:t> </w:t>
      </w:r>
      <w:r>
        <w:rPr>
          <w:rFonts w:ascii="Arial"/>
          <w:color w:val="231F20"/>
          <w:sz w:val="16"/>
        </w:rPr>
        <w:t>capillary</w:t>
      </w:r>
      <w:r>
        <w:rPr>
          <w:rFonts w:ascii="Arial"/>
          <w:color w:val="231F20"/>
          <w:spacing w:val="-7"/>
          <w:sz w:val="16"/>
        </w:rPr>
        <w:t> </w:t>
      </w:r>
      <w:r>
        <w:rPr>
          <w:rFonts w:ascii="Arial"/>
          <w:color w:val="231F20"/>
          <w:sz w:val="16"/>
        </w:rPr>
        <w:t>endothelium,</w:t>
      </w:r>
      <w:r>
        <w:rPr>
          <w:rFonts w:ascii="Arial"/>
          <w:color w:val="231F20"/>
          <w:spacing w:val="-7"/>
          <w:sz w:val="16"/>
        </w:rPr>
        <w:t> </w:t>
      </w:r>
      <w:r>
        <w:rPr>
          <w:rFonts w:ascii="Arial"/>
          <w:color w:val="231F20"/>
          <w:sz w:val="16"/>
        </w:rPr>
        <w:t>basement</w:t>
      </w:r>
      <w:r>
        <w:rPr>
          <w:rFonts w:ascii="Arial"/>
          <w:color w:val="231F20"/>
          <w:spacing w:val="-7"/>
          <w:sz w:val="16"/>
        </w:rPr>
        <w:t> </w:t>
      </w:r>
      <w:r>
        <w:rPr>
          <w:rFonts w:ascii="Arial"/>
          <w:color w:val="231F20"/>
          <w:sz w:val="16"/>
        </w:rPr>
        <w:t>membrane,</w:t>
      </w:r>
      <w:r>
        <w:rPr>
          <w:rFonts w:ascii="Arial"/>
          <w:color w:val="231F20"/>
          <w:spacing w:val="-8"/>
          <w:sz w:val="16"/>
        </w:rPr>
        <w:t> </w:t>
      </w:r>
      <w:r>
        <w:rPr>
          <w:rFonts w:ascii="Arial"/>
          <w:color w:val="231F20"/>
          <w:sz w:val="16"/>
        </w:rPr>
        <w:t>and</w:t>
      </w:r>
      <w:r>
        <w:rPr>
          <w:rFonts w:ascii="Arial"/>
          <w:color w:val="231F20"/>
          <w:spacing w:val="-7"/>
          <w:sz w:val="16"/>
        </w:rPr>
        <w:t> </w:t>
      </w:r>
      <w:r>
        <w:rPr>
          <w:rFonts w:ascii="Arial"/>
          <w:color w:val="231F20"/>
          <w:spacing w:val="-5"/>
          <w:sz w:val="16"/>
        </w:rPr>
        <w:t>epi- </w:t>
      </w:r>
      <w:r>
        <w:rPr>
          <w:rFonts w:ascii="Arial"/>
          <w:color w:val="231F20"/>
          <w:sz w:val="16"/>
        </w:rPr>
        <w:t>thelium</w:t>
      </w:r>
      <w:r>
        <w:rPr>
          <w:rFonts w:ascii="Arial"/>
          <w:color w:val="231F20"/>
          <w:spacing w:val="7"/>
          <w:sz w:val="16"/>
        </w:rPr>
        <w:t> </w:t>
      </w:r>
      <w:r>
        <w:rPr>
          <w:rFonts w:ascii="Arial"/>
          <w:color w:val="231F20"/>
          <w:sz w:val="16"/>
        </w:rPr>
        <w:t>(podocytes).</w:t>
      </w:r>
    </w:p>
    <w:p>
      <w:pPr>
        <w:pStyle w:val="BodyText"/>
        <w:spacing w:line="249" w:lineRule="auto"/>
        <w:ind w:left="319" w:right="1437"/>
        <w:jc w:val="both"/>
      </w:pPr>
      <w:r>
        <w:rPr/>
        <w:br w:type="column"/>
      </w:r>
      <w:r>
        <w:rPr>
          <w:color w:val="231F20"/>
          <w:w w:val="105"/>
        </w:rPr>
        <w:t>negatively charged dextrans of equal molecular weight. The reason for these differences in filterability is that the negative charges of the basement membrane and</w:t>
      </w:r>
      <w:r>
        <w:rPr>
          <w:color w:val="231F20"/>
          <w:spacing w:val="-26"/>
          <w:w w:val="105"/>
        </w:rPr>
        <w:t> </w:t>
      </w:r>
      <w:r>
        <w:rPr>
          <w:color w:val="231F20"/>
          <w:w w:val="105"/>
        </w:rPr>
        <w:t>the podocytes</w:t>
      </w:r>
      <w:r>
        <w:rPr>
          <w:color w:val="231F20"/>
          <w:spacing w:val="35"/>
          <w:w w:val="105"/>
        </w:rPr>
        <w:t> </w:t>
      </w:r>
      <w:r>
        <w:rPr>
          <w:color w:val="231F20"/>
          <w:w w:val="105"/>
        </w:rPr>
        <w:t>provide</w:t>
      </w:r>
      <w:r>
        <w:rPr>
          <w:color w:val="231F20"/>
          <w:spacing w:val="36"/>
          <w:w w:val="105"/>
        </w:rPr>
        <w:t> </w:t>
      </w:r>
      <w:r>
        <w:rPr>
          <w:color w:val="231F20"/>
          <w:w w:val="105"/>
        </w:rPr>
        <w:t>an</w:t>
      </w:r>
      <w:r>
        <w:rPr>
          <w:color w:val="231F20"/>
          <w:spacing w:val="36"/>
          <w:w w:val="105"/>
        </w:rPr>
        <w:t> </w:t>
      </w:r>
      <w:r>
        <w:rPr>
          <w:color w:val="231F20"/>
          <w:w w:val="105"/>
        </w:rPr>
        <w:t>important</w:t>
      </w:r>
      <w:r>
        <w:rPr>
          <w:color w:val="231F20"/>
          <w:spacing w:val="35"/>
          <w:w w:val="105"/>
        </w:rPr>
        <w:t> </w:t>
      </w:r>
      <w:r>
        <w:rPr>
          <w:color w:val="231F20"/>
          <w:w w:val="105"/>
        </w:rPr>
        <w:t>means</w:t>
      </w:r>
      <w:r>
        <w:rPr>
          <w:color w:val="231F20"/>
          <w:spacing w:val="36"/>
          <w:w w:val="105"/>
        </w:rPr>
        <w:t> </w:t>
      </w:r>
      <w:r>
        <w:rPr>
          <w:color w:val="231F20"/>
          <w:w w:val="105"/>
        </w:rPr>
        <w:t>for</w:t>
      </w:r>
      <w:r>
        <w:rPr>
          <w:color w:val="231F20"/>
          <w:spacing w:val="36"/>
          <w:w w:val="105"/>
        </w:rPr>
        <w:t> </w:t>
      </w:r>
      <w:r>
        <w:rPr>
          <w:color w:val="231F20"/>
          <w:w w:val="105"/>
        </w:rPr>
        <w:t>restricting</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before="99"/>
        <w:ind w:left="2110" w:right="0" w:firstLine="0"/>
        <w:jc w:val="left"/>
        <w:rPr>
          <w:rFonts w:ascii="Helvetica"/>
          <w:sz w:val="16"/>
        </w:rPr>
      </w:pPr>
      <w:r>
        <w:rPr/>
        <w:pict>
          <v:group style="position:absolute;margin-left:119.046997pt;margin-top:8.558414pt;width:167.25pt;height:137.2pt;mso-position-horizontal-relative:page;mso-position-vertical-relative:paragraph;z-index:251916288" coordorigin="2381,171" coordsize="3345,2744">
            <v:shape style="position:absolute;left:2455;top:200;width:3260;height:2648" coordorigin="2455,200" coordsize="3260,2648" path="m2455,200l2455,2848,5715,2848e" filled="false" stroked="true" strokeweight="1pt" strokecolor="#231f20">
              <v:path arrowok="t"/>
              <v:stroke dashstyle="solid"/>
            </v:shape>
            <v:line style="position:absolute" from="2455,200" to="2381,200" stroked="true" strokeweight="1pt" strokecolor="#231f20">
              <v:stroke dashstyle="solid"/>
            </v:line>
            <v:shape style="position:absolute;left:-75;top:14691;width:3036;height:2185" coordorigin="-74,14692" coordsize="3036,2185" path="m2455,730l2381,730m2455,1259l2381,1259m2455,1789l2381,1789m2455,2318l2381,2318m2455,2848l2381,2848m2452,2840l2452,2915m2946,2840l2946,2915m3440,2840l3440,2915m3934,2840l3934,2915m4428,2840l4428,2915m4922,2840l4922,2915m5416,2840l5416,2915e" filled="false" stroked="true" strokeweight="1pt" strokecolor="#231f20">
              <v:path arrowok="t"/>
              <v:stroke dashstyle="solid"/>
            </v:shape>
            <v:shape style="position:absolute;left:2565;top:191;width:2854;height:2374" coordorigin="2565,191" coordsize="2854,2374" path="m2565,191l3035,330,3326,451,3558,622,3852,911,3943,1004,4023,1089,4094,1167,4157,1239,4213,1304,4262,1365,4307,1421,4347,1474,4384,1524,4452,1619,4485,1665,4567,1765,4620,1825,4680,1890,4745,1958,4813,2028,4885,2099,4957,2169,5029,2238,5100,2304,5168,2366,5232,2422,5290,2471,5341,2512,5385,2544,5419,2564e" filled="false" stroked="true" strokeweight="2pt" strokecolor="#f0535f">
              <v:path arrowok="t"/>
              <v:stroke dashstyle="solid"/>
            </v:shape>
            <v:shape style="position:absolute;left:2472;top:1291;width:1957;height:1549" coordorigin="2472,1291" coordsize="1957,1549" path="m2472,1291l2534,1783,2640,2075,2867,2281,3292,2518,3679,2679,4046,2777,4320,2827,4428,2840e" filled="false" stroked="true" strokeweight="2pt" strokecolor="#231f20">
              <v:path arrowok="t"/>
              <v:stroke dashstyle="solid"/>
            </v:shape>
            <v:shape style="position:absolute;left:2518;top:374;width:2914;height:2470" coordorigin="2519,375" coordsize="2914,2470" path="m2519,378l2657,375,2772,454,2927,686,3185,1144,3255,1265,3323,1378,3391,1482,3457,1578,3522,1666,3584,1747,3645,1821,3704,1888,3759,1949,3812,2003,3862,2052,3908,2095,3989,2165,4053,2217,4078,2237,4098,2252,4152,2297,4224,2348,4324,2413,4383,2449,4449,2488,4519,2527,4595,2566,4675,2606,4760,2645,4848,2682,4940,2718,5034,2751,5131,2780,5230,2806,5330,2828,5432,2844e" filled="false" stroked="true" strokeweight="2.0pt" strokecolor="#2062af">
              <v:path arrowok="t"/>
              <v:stroke dashstyle="solid"/>
            </v:shape>
            <v:shape style="position:absolute;left:2380;top:171;width:3345;height:2744" type="#_x0000_t202" filled="false" stroked="false">
              <v:textbox inset="0,0,0,0">
                <w:txbxContent>
                  <w:p>
                    <w:pPr>
                      <w:spacing w:line="240" w:lineRule="auto" w:before="0"/>
                      <w:rPr>
                        <w:rFonts w:ascii="Trebuchet MS"/>
                        <w:sz w:val="18"/>
                      </w:rPr>
                    </w:pPr>
                  </w:p>
                  <w:p>
                    <w:pPr>
                      <w:spacing w:line="240" w:lineRule="auto" w:before="3"/>
                      <w:rPr>
                        <w:rFonts w:ascii="Trebuchet MS"/>
                        <w:sz w:val="20"/>
                      </w:rPr>
                    </w:pPr>
                  </w:p>
                  <w:p>
                    <w:pPr>
                      <w:spacing w:line="430" w:lineRule="atLeast" w:before="0"/>
                      <w:ind w:left="1143" w:right="0" w:firstLine="491"/>
                      <w:jc w:val="left"/>
                      <w:rPr>
                        <w:rFonts w:ascii="Helvetica"/>
                        <w:sz w:val="16"/>
                      </w:rPr>
                    </w:pPr>
                    <w:r>
                      <w:rPr>
                        <w:rFonts w:ascii="Helvetica"/>
                        <w:color w:val="231F20"/>
                        <w:sz w:val="16"/>
                      </w:rPr>
                      <w:t>Polycationic </w:t>
                    </w:r>
                    <w:r>
                      <w:rPr>
                        <w:rFonts w:ascii="Helvetica"/>
                        <w:color w:val="231F20"/>
                        <w:spacing w:val="-3"/>
                        <w:sz w:val="16"/>
                      </w:rPr>
                      <w:t>dextran </w:t>
                    </w:r>
                    <w:r>
                      <w:rPr>
                        <w:rFonts w:ascii="Helvetica"/>
                        <w:color w:val="231F20"/>
                        <w:sz w:val="16"/>
                      </w:rPr>
                      <w:t>Neutral</w:t>
                    </w:r>
                  </w:p>
                  <w:p>
                    <w:pPr>
                      <w:spacing w:before="3"/>
                      <w:ind w:left="1125" w:right="1646" w:firstLine="0"/>
                      <w:jc w:val="center"/>
                      <w:rPr>
                        <w:rFonts w:ascii="Helvetica"/>
                        <w:sz w:val="16"/>
                      </w:rPr>
                    </w:pPr>
                    <w:r>
                      <w:rPr>
                        <w:rFonts w:ascii="Helvetica"/>
                        <w:color w:val="231F20"/>
                        <w:sz w:val="16"/>
                      </w:rPr>
                      <w:t>dextran</w:t>
                    </w:r>
                  </w:p>
                  <w:p>
                    <w:pPr>
                      <w:spacing w:line="240" w:lineRule="auto" w:before="10"/>
                      <w:rPr>
                        <w:rFonts w:ascii="Helvetica"/>
                        <w:sz w:val="19"/>
                      </w:rPr>
                    </w:pPr>
                  </w:p>
                  <w:p>
                    <w:pPr>
                      <w:spacing w:line="235" w:lineRule="auto" w:before="0"/>
                      <w:ind w:left="573" w:right="2098" w:hanging="165"/>
                      <w:jc w:val="left"/>
                      <w:rPr>
                        <w:rFonts w:ascii="Helvetica"/>
                        <w:sz w:val="16"/>
                      </w:rPr>
                    </w:pPr>
                    <w:r>
                      <w:rPr>
                        <w:rFonts w:ascii="Helvetica"/>
                        <w:color w:val="231F20"/>
                        <w:sz w:val="16"/>
                      </w:rPr>
                      <w:t>Polyanionic dextran</w:t>
                    </w:r>
                  </w:p>
                </w:txbxContent>
              </v:textbox>
              <w10:wrap type="none"/>
            </v:shape>
            <w10:wrap type="none"/>
          </v:group>
        </w:pict>
      </w:r>
      <w:r>
        <w:rPr/>
        <w:pict>
          <v:group style="position:absolute;margin-left:324.249786pt;margin-top:5.582016pt;width:233.5pt;height:147.3pt;mso-position-horizontal-relative:page;mso-position-vertical-relative:paragraph;z-index:251922432" coordorigin="6485,112" coordsize="4670,2946">
            <v:shape style="position:absolute;left:7641;top:989;width:2358;height:2062" coordorigin="7641,990" coordsize="2358,2062" path="m9605,990l8035,990,7852,1073,7752,1163,7699,1314,7657,1583,7645,1685,7641,1777,7645,1861,7655,1938,7673,2008,7697,2072,7729,2133,7767,2190,7811,2245,7862,2299,7920,2352,7983,2407,8023,2443,8104,2537,8144,2597,8181,2666,8214,2746,8241,2836,8262,2938,8275,3052,9365,3052,9378,2938,9399,2836,9426,2746,9459,2666,9496,2597,9536,2537,9577,2486,9657,2407,9720,2352,9778,2299,9829,2245,9873,2190,9911,2133,9943,2072,9967,2008,9985,1938,9995,1861,9999,1777,9995,1685,9983,1583,9897,1296,9770,1113,9655,1018,9605,990xe" filled="true" fillcolor="#ffe293" stroked="false">
              <v:path arrowok="t"/>
              <v:fill type="solid"/>
            </v:shape>
            <v:shape style="position:absolute;left:7641;top:989;width:2358;height:2062" coordorigin="7641,990" coordsize="2358,2062" path="m8820,3052l9365,3052,9378,2938,9399,2836,9426,2746,9459,2666,9496,2597,9536,2537,9577,2486,9657,2407,9720,2352,9778,2299,9829,2245,9873,2190,9911,2133,9943,2072,9967,2008,9985,1938,9995,1861,9999,1777,9995,1685,9983,1583,9897,1296,9770,1113,9655,1018,9605,990,8820,990,8035,990,7852,1073,7752,1163,7699,1314,7657,1583,7645,1685,7641,1777,7645,1861,7655,1938,7673,2008,7697,2072,7729,2133,7767,2190,7811,2245,7862,2299,7920,2352,7983,2407,8023,2443,8104,2537,8144,2597,8181,2666,8214,2746,8241,2836,8262,2938,8275,3052,8820,3052xe" filled="false" stroked="true" strokeweight=".5pt" strokecolor="#b7705b">
              <v:path arrowok="t"/>
              <v:stroke dashstyle="solid"/>
            </v:shape>
            <v:shape style="position:absolute;left:6490;top:116;width:4660;height:1546" coordorigin="6490,117" coordsize="4660,1546" path="m10212,1063l7389,1063,7499,1078,7581,1115,7637,1161,7671,1201,7708,1248,7750,1293,7797,1336,7847,1377,7903,1416,7962,1453,8025,1487,8092,1518,8162,1547,8235,1573,8311,1596,8390,1615,8472,1632,8556,1645,8642,1654,8730,1660,8820,1662,8914,1660,9007,1653,9097,1643,9185,1629,9270,1610,9353,1589,9432,1564,9508,1536,9580,1504,9648,1470,9712,1432,9772,1392,9827,1350,9878,1305,9923,1258,9963,1209,10000,1167,10057,1119,10129,1079,10212,1063xm11150,715l6490,715,6490,1063,11150,1063,11150,715xm8820,117l8726,119,8634,125,8544,135,8457,149,8372,167,8290,189,8211,213,8136,241,8064,273,7996,307,7932,343,7872,383,7817,425,7766,469,7721,516,7681,565,7640,608,7574,658,7490,699,7392,715,10232,715,10150,699,10071,660,10005,613,9964,571,9924,522,9879,474,9829,429,9773,387,9714,347,9649,309,9581,275,9509,243,9433,215,9354,190,9271,168,9186,150,9098,136,9007,125,8915,119,8820,117xe" filled="true" fillcolor="#f9b5b2" stroked="false">
              <v:path arrowok="t"/>
              <v:fill type="solid"/>
            </v:shape>
            <v:shape style="position:absolute;left:6490;top:116;width:4660;height:1546" coordorigin="6490,117" coordsize="4660,1546" path="m11150,715l10232,715,10150,699,10071,660,10005,613,9964,571,9924,522,9879,474,9829,429,9773,387,9714,347,9649,309,9581,275,9509,243,9433,215,9354,190,9271,168,9186,150,9098,136,9007,125,8915,119,8820,117,8726,119,8634,125,8544,135,8457,149,8372,167,8290,189,8211,213,8136,241,8064,273,7996,307,7932,343,7872,383,7817,425,7766,469,7721,516,7681,565,7640,608,7574,658,7490,699,7392,715,6490,715,6490,1063,7389,1063,7499,1078,7581,1115,7637,1161,7671,1201,7708,1248,7750,1293,7797,1336,7847,1377,7903,1416,7962,1453,8025,1487,8092,1518,8162,1547,8235,1573,8311,1596,8390,1615,8472,1632,8556,1645,8642,1654,8730,1660,8820,1662,8914,1660,9007,1653,9097,1643,9185,1629,9270,1610,9353,1589,9432,1564,9508,1536,9580,1504,9648,1470,9712,1432,9772,1392,9827,1350,9878,1305,9923,1258,9963,1209,10000,1167,10057,1119,10129,1079,10212,1063,11150,1063,11150,715xe" filled="false" stroked="true" strokeweight=".5pt" strokecolor="#b7705b">
              <v:path arrowok="t"/>
              <v:stroke dashstyle="solid"/>
            </v:shape>
            <v:line style="position:absolute" from="8259,1246" to="8259,1453" stroked="true" strokeweight="1.5pt" strokecolor="#231f20">
              <v:stroke dashstyle="solid"/>
            </v:line>
            <v:shape style="position:absolute;left:8202;top:1397;width:116;height:179" coordorigin="8202,1398" coordsize="116,179" path="m8203,1398l8202,1400,8239,1486,8260,1576,8281,1486,8305,1430,8260,1430,8203,1398xm8317,1398l8260,1430,8305,1430,8318,1399,8317,1398xe" filled="true" fillcolor="#231f20" stroked="false">
              <v:path arrowok="t"/>
              <v:fill type="solid"/>
            </v:shape>
            <v:line style="position:absolute" from="9369,1584" to="9369,1377" stroked="true" strokeweight="1.5pt" strokecolor="#231f20">
              <v:stroke dashstyle="solid"/>
            </v:line>
            <v:shape style="position:absolute;left:9312;top:1253;width:116;height:179" coordorigin="9313,1254" coordsize="116,179" path="m9415,1400l9370,1400,9427,1432,9428,1430,9415,1400xm9371,1254l9349,1344,9313,1430,9314,1432,9370,1400,9415,1400,9392,1344,9387,1321,9371,1254xe" filled="true" fillcolor="#231f20" stroked="false">
              <v:path arrowok="t"/>
              <v:fill type="solid"/>
            </v:shape>
            <v:line style="position:absolute" from="8820,2124" to="8820,1918" stroked="true" strokeweight="1.5pt" strokecolor="#231f20">
              <v:stroke dashstyle="solid"/>
            </v:line>
            <v:shape style="position:absolute;left:8763;top:1794;width:116;height:179" coordorigin="8763,1795" coordsize="116,179" path="m8866,1940l8821,1940,8878,1973,8879,1971,8866,1940xm8821,1795l8800,1885,8763,1971,8764,1972,8821,1940,8866,1940,8842,1885,8821,1795xe" filled="true" fillcolor="#231f20" stroked="false">
              <v:path arrowok="t"/>
              <v:fill type="solid"/>
            </v:shape>
            <v:line style="position:absolute" from="6528,746" to="7323,746" stroked="true" strokeweight="2.988pt" strokecolor="#fcd3ce">
              <v:stroke dashstyle="solid"/>
            </v:line>
            <v:shape style="position:absolute;left:6528;top:716;width:795;height:60" coordorigin="6528,716" coordsize="795,60" path="m7323,716l7240,751,7151,764,7043,773,6926,776,6809,773,6701,764,6612,751,6551,735,6528,716,7323,716xe" filled="false" stroked="true" strokeweight=".5pt" strokecolor="#b7705b">
              <v:path arrowok="t"/>
              <v:stroke dashstyle="solid"/>
            </v:shape>
            <v:line style="position:absolute" from="6528,1033" to="7323,1033" stroked="true" strokeweight="2.988pt" strokecolor="#fcd3ce">
              <v:stroke dashstyle="solid"/>
            </v:line>
            <v:shape style="position:absolute;left:6528;top:1003;width:795;height:60" coordorigin="6528,1004" coordsize="795,60" path="m7323,1063l7240,1028,7151,1015,7043,1007,6926,1004,6809,1007,6701,1015,6612,1028,6551,1044,6528,1063,7323,1063xe" filled="false" stroked="true" strokeweight=".5pt" strokecolor="#b7705b">
              <v:path arrowok="t"/>
              <v:stroke dashstyle="solid"/>
            </v:shape>
            <v:line style="position:absolute" from="10317,746" to="11111,746" stroked="true" strokeweight="2.988pt" strokecolor="#fcd3ce">
              <v:stroke dashstyle="solid"/>
            </v:line>
            <v:shape style="position:absolute;left:10316;top:716;width:795;height:60" coordorigin="10317,716" coordsize="795,60" path="m10317,716l10400,751,10489,764,10597,773,10714,776,10831,773,10939,764,11028,751,11089,735,11111,716,10317,716xe" filled="false" stroked="true" strokeweight=".5pt" strokecolor="#b7705b">
              <v:path arrowok="t"/>
              <v:stroke dashstyle="solid"/>
            </v:shape>
            <v:line style="position:absolute" from="10317,1033" to="11111,1033" stroked="true" strokeweight="2.988pt" strokecolor="#fcd3ce">
              <v:stroke dashstyle="solid"/>
            </v:line>
            <v:shape style="position:absolute;left:10316;top:1003;width:795;height:60" coordorigin="10317,1004" coordsize="795,60" path="m10317,1063l10400,1028,10489,1015,10597,1007,10714,1004,10831,1007,10939,1015,11028,1028,11089,1044,11111,1063,10317,1063xe" filled="false" stroked="true" strokeweight=".5pt" strokecolor="#b7705b">
              <v:path arrowok="t"/>
              <v:stroke dashstyle="solid"/>
            </v:shape>
            <v:shape style="position:absolute;left:6637;top:316;width:598;height:365" type="#_x0000_t202" filled="false" stroked="false">
              <v:textbox inset="0,0,0,0">
                <w:txbxContent>
                  <w:p>
                    <w:pPr>
                      <w:spacing w:line="235" w:lineRule="auto" w:before="2"/>
                      <w:ind w:left="0" w:right="-1" w:firstLine="8"/>
                      <w:jc w:val="left"/>
                      <w:rPr>
                        <w:rFonts w:ascii="Helvetica"/>
                        <w:sz w:val="16"/>
                      </w:rPr>
                    </w:pPr>
                    <w:r>
                      <w:rPr>
                        <w:rFonts w:ascii="Helvetica"/>
                        <w:color w:val="231F20"/>
                        <w:sz w:val="16"/>
                      </w:rPr>
                      <w:t>Afferent arteriole</w:t>
                    </w:r>
                  </w:p>
                </w:txbxContent>
              </v:textbox>
              <w10:wrap type="none"/>
            </v:shape>
            <v:shape style="position:absolute;left:7852;top:522;width:1975;height:191" type="#_x0000_t202" filled="false" stroked="false">
              <v:textbox inset="0,0,0,0">
                <w:txbxContent>
                  <w:p>
                    <w:pPr>
                      <w:tabs>
                        <w:tab w:pos="1101" w:val="left" w:leader="none"/>
                      </w:tabs>
                      <w:spacing w:before="4"/>
                      <w:ind w:left="0" w:right="0" w:firstLine="0"/>
                      <w:jc w:val="left"/>
                      <w:rPr>
                        <w:rFonts w:ascii="Helvetica"/>
                        <w:b/>
                        <w:sz w:val="16"/>
                      </w:rPr>
                    </w:pPr>
                    <w:r>
                      <w:rPr>
                        <w:rFonts w:ascii="Helvetica"/>
                        <w:b/>
                        <w:color w:val="231F20"/>
                        <w:sz w:val="16"/>
                      </w:rPr>
                      <w:t>Glomerular</w:t>
                      <w:tab/>
                      <w:t>Glomerular</w:t>
                    </w:r>
                  </w:p>
                </w:txbxContent>
              </v:textbox>
              <w10:wrap type="none"/>
            </v:shape>
            <v:shape style="position:absolute;left:10432;top:316;width:598;height:365" type="#_x0000_t202" filled="false" stroked="false">
              <v:textbox inset="0,0,0,0">
                <w:txbxContent>
                  <w:p>
                    <w:pPr>
                      <w:spacing w:line="235" w:lineRule="auto" w:before="2"/>
                      <w:ind w:left="0" w:right="-1" w:firstLine="8"/>
                      <w:jc w:val="left"/>
                      <w:rPr>
                        <w:rFonts w:ascii="Helvetica"/>
                        <w:sz w:val="16"/>
                      </w:rPr>
                    </w:pPr>
                    <w:r>
                      <w:rPr>
                        <w:rFonts w:ascii="Helvetica"/>
                        <w:color w:val="231F20"/>
                        <w:sz w:val="16"/>
                      </w:rPr>
                      <w:t>Efferent arteriole</w:t>
                    </w:r>
                  </w:p>
                </w:txbxContent>
              </v:textbox>
              <w10:wrap type="none"/>
            </v:shape>
            <v:shape style="position:absolute;left:7843;top:702;width:2144;height:551" type="#_x0000_t202" filled="false" stroked="false">
              <v:textbox inset="0,0,0,0">
                <w:txbxContent>
                  <w:p>
                    <w:pPr>
                      <w:tabs>
                        <w:tab w:pos="1198" w:val="left" w:leader="none"/>
                      </w:tabs>
                      <w:spacing w:line="235" w:lineRule="auto" w:before="7"/>
                      <w:ind w:left="97" w:right="18" w:hanging="94"/>
                      <w:jc w:val="left"/>
                      <w:rPr>
                        <w:rFonts w:ascii="Helvetica"/>
                        <w:b/>
                        <w:sz w:val="16"/>
                      </w:rPr>
                    </w:pPr>
                    <w:r>
                      <w:rPr>
                        <w:rFonts w:ascii="Helvetica"/>
                        <w:b/>
                        <w:color w:val="231F20"/>
                        <w:sz w:val="16"/>
                      </w:rPr>
                      <w:t>hydrostatic colloid </w:t>
                    </w:r>
                    <w:r>
                      <w:rPr>
                        <w:rFonts w:ascii="Helvetica"/>
                        <w:b/>
                        <w:color w:val="231F20"/>
                        <w:spacing w:val="-3"/>
                        <w:sz w:val="16"/>
                      </w:rPr>
                      <w:t>osmotic </w:t>
                    </w:r>
                    <w:r>
                      <w:rPr>
                        <w:rFonts w:ascii="Helvetica"/>
                        <w:b/>
                        <w:color w:val="231F20"/>
                        <w:sz w:val="16"/>
                      </w:rPr>
                      <w:t>pressure</w:t>
                      <w:tab/>
                      <w:t>pressure</w:t>
                    </w:r>
                  </w:p>
                  <w:p>
                    <w:pPr>
                      <w:tabs>
                        <w:tab w:pos="1101" w:val="left" w:leader="none"/>
                      </w:tabs>
                      <w:spacing w:line="180" w:lineRule="exact" w:before="0"/>
                      <w:ind w:left="0" w:right="0" w:firstLine="0"/>
                      <w:jc w:val="left"/>
                      <w:rPr>
                        <w:rFonts w:ascii="Helvetica"/>
                        <w:b/>
                        <w:sz w:val="16"/>
                      </w:rPr>
                    </w:pPr>
                    <w:r>
                      <w:rPr>
                        <w:rFonts w:ascii="Helvetica"/>
                        <w:b/>
                        <w:color w:val="231F20"/>
                        <w:sz w:val="16"/>
                      </w:rPr>
                      <w:t>(60</w:t>
                    </w:r>
                    <w:r>
                      <w:rPr>
                        <w:rFonts w:ascii="Helvetica"/>
                        <w:b/>
                        <w:color w:val="231F20"/>
                        <w:spacing w:val="-1"/>
                        <w:sz w:val="16"/>
                      </w:rPr>
                      <w:t> </w:t>
                    </w:r>
                    <w:r>
                      <w:rPr>
                        <w:rFonts w:ascii="Helvetica"/>
                        <w:b/>
                        <w:color w:val="231F20"/>
                        <w:sz w:val="16"/>
                      </w:rPr>
                      <w:t>mm Hg)</w:t>
                      <w:tab/>
                      <w:t>(32 mm Hg)</w:t>
                    </w:r>
                  </w:p>
                </w:txbxContent>
              </v:textbox>
              <w10:wrap type="none"/>
            </v:shape>
            <v:shape style="position:absolute;left:8384;top:2159;width:892;height:731" type="#_x0000_t202" filled="false" stroked="false">
              <v:textbox inset="0,0,0,0">
                <w:txbxContent>
                  <w:p>
                    <w:pPr>
                      <w:spacing w:line="235" w:lineRule="auto" w:before="7"/>
                      <w:ind w:left="0" w:right="18" w:firstLine="0"/>
                      <w:jc w:val="center"/>
                      <w:rPr>
                        <w:rFonts w:ascii="Helvetica"/>
                        <w:b/>
                        <w:sz w:val="16"/>
                      </w:rPr>
                    </w:pPr>
                    <w:r>
                      <w:rPr>
                        <w:rFonts w:ascii="Helvetica"/>
                        <w:b/>
                        <w:color w:val="231F20"/>
                        <w:sz w:val="16"/>
                      </w:rPr>
                      <w:t>Bowman's capsule pressure (18 mm Hg)</w:t>
                    </w:r>
                  </w:p>
                </w:txbxContent>
              </v:textbox>
              <w10:wrap type="none"/>
            </v:shape>
            <w10:wrap type="none"/>
          </v:group>
        </w:pict>
      </w:r>
      <w:r>
        <w:rPr>
          <w:rFonts w:ascii="Helvetica"/>
          <w:color w:val="231F20"/>
          <w:sz w:val="16"/>
        </w:rPr>
        <w:t>1.0</w:t>
      </w:r>
    </w:p>
    <w:p>
      <w:pPr>
        <w:pStyle w:val="BodyText"/>
        <w:rPr>
          <w:rFonts w:ascii="Helvetica"/>
          <w:sz w:val="18"/>
        </w:rPr>
      </w:pPr>
    </w:p>
    <w:p>
      <w:pPr>
        <w:spacing w:before="143"/>
        <w:ind w:left="2110" w:right="0" w:firstLine="0"/>
        <w:jc w:val="left"/>
        <w:rPr>
          <w:rFonts w:ascii="Helvetica"/>
          <w:sz w:val="16"/>
        </w:rPr>
      </w:pPr>
      <w:r>
        <w:rPr/>
        <w:pict>
          <v:shape style="position:absolute;margin-left:90.406502pt;margin-top:13.72289pt;width:11.55pt;height:75.4pt;mso-position-horizontal-relative:page;mso-position-vertical-relative:paragraph;z-index:25192448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Relative filterability</w:t>
                  </w:r>
                </w:p>
              </w:txbxContent>
            </v:textbox>
            <w10:wrap type="none"/>
          </v:shape>
        </w:pict>
      </w:r>
      <w:r>
        <w:rPr>
          <w:rFonts w:ascii="Helvetica"/>
          <w:color w:val="231F20"/>
          <w:sz w:val="16"/>
        </w:rPr>
        <w:t>0.8</w:t>
      </w:r>
    </w:p>
    <w:p>
      <w:pPr>
        <w:pStyle w:val="BodyText"/>
        <w:rPr>
          <w:rFonts w:ascii="Helvetica"/>
          <w:sz w:val="18"/>
        </w:rPr>
      </w:pPr>
    </w:p>
    <w:p>
      <w:pPr>
        <w:spacing w:before="140"/>
        <w:ind w:left="2110" w:right="0" w:firstLine="0"/>
        <w:jc w:val="left"/>
        <w:rPr>
          <w:rFonts w:ascii="Helvetica"/>
          <w:sz w:val="16"/>
        </w:rPr>
      </w:pPr>
      <w:r>
        <w:rPr/>
        <w:pict>
          <v:shape style="position:absolute;margin-left:578.900024pt;margin-top:16.056288pt;width:15.9pt;height:53.35pt;mso-position-horizontal-relative:page;mso-position-vertical-relative:paragraph;z-index:25192345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0.6</w:t>
      </w:r>
    </w:p>
    <w:p>
      <w:pPr>
        <w:pStyle w:val="BodyText"/>
        <w:rPr>
          <w:rFonts w:ascii="Helvetica"/>
          <w:sz w:val="18"/>
        </w:rPr>
      </w:pPr>
    </w:p>
    <w:p>
      <w:pPr>
        <w:spacing w:before="140"/>
        <w:ind w:left="2110" w:right="0" w:firstLine="0"/>
        <w:jc w:val="left"/>
        <w:rPr>
          <w:rFonts w:ascii="Helvetica"/>
          <w:sz w:val="16"/>
        </w:rPr>
      </w:pPr>
      <w:r>
        <w:rPr>
          <w:rFonts w:ascii="Helvetica"/>
          <w:color w:val="231F20"/>
          <w:sz w:val="16"/>
        </w:rPr>
        <w:t>0.4</w:t>
      </w:r>
    </w:p>
    <w:p>
      <w:pPr>
        <w:pStyle w:val="BodyText"/>
        <w:rPr>
          <w:rFonts w:ascii="Helvetica"/>
          <w:sz w:val="18"/>
        </w:rPr>
      </w:pPr>
    </w:p>
    <w:p>
      <w:pPr>
        <w:spacing w:before="137"/>
        <w:ind w:left="2110" w:right="0" w:firstLine="0"/>
        <w:jc w:val="left"/>
        <w:rPr>
          <w:rFonts w:ascii="Helvetica"/>
          <w:sz w:val="16"/>
        </w:rPr>
      </w:pPr>
      <w:r>
        <w:rPr>
          <w:rFonts w:ascii="Helvetica"/>
          <w:color w:val="231F20"/>
          <w:sz w:val="16"/>
        </w:rPr>
        <w:t>0.2</w:t>
      </w:r>
    </w:p>
    <w:p>
      <w:pPr>
        <w:pStyle w:val="BodyText"/>
        <w:rPr>
          <w:rFonts w:ascii="Helvetica"/>
          <w:sz w:val="21"/>
        </w:rPr>
      </w:pPr>
    </w:p>
    <w:p>
      <w:pPr>
        <w:spacing w:after="0"/>
        <w:rPr>
          <w:rFonts w:ascii="Helvetica"/>
          <w:sz w:val="21"/>
        </w:rPr>
        <w:sectPr>
          <w:headerReference w:type="default" r:id="rId418"/>
          <w:pgSz w:w="12240" w:h="15660"/>
          <w:pgMar w:header="0" w:footer="567" w:top="0" w:bottom="760" w:left="0" w:right="0"/>
        </w:sectPr>
      </w:pPr>
    </w:p>
    <w:p>
      <w:pPr>
        <w:spacing w:before="99"/>
        <w:ind w:left="553" w:right="0" w:firstLine="0"/>
        <w:jc w:val="center"/>
        <w:rPr>
          <w:rFonts w:ascii="Helvetica"/>
          <w:sz w:val="16"/>
        </w:rPr>
      </w:pPr>
      <w:r>
        <w:rPr>
          <w:rFonts w:ascii="Helvetica"/>
          <w:color w:val="231F20"/>
          <w:w w:val="99"/>
          <w:sz w:val="16"/>
        </w:rPr>
        <w:t>0</w:t>
      </w:r>
    </w:p>
    <w:p>
      <w:pPr>
        <w:tabs>
          <w:tab w:pos="2850" w:val="left" w:leader="none"/>
          <w:tab w:pos="3349" w:val="left" w:leader="none"/>
          <w:tab w:pos="3846" w:val="left" w:leader="none"/>
        </w:tabs>
        <w:spacing w:before="7"/>
        <w:ind w:left="2358" w:right="0" w:firstLine="0"/>
        <w:jc w:val="center"/>
        <w:rPr>
          <w:rFonts w:ascii="Helvetica"/>
          <w:sz w:val="16"/>
        </w:rPr>
      </w:pPr>
      <w:r>
        <w:rPr>
          <w:rFonts w:ascii="Helvetica"/>
          <w:color w:val="231F20"/>
          <w:sz w:val="16"/>
        </w:rPr>
        <w:t>18</w:t>
        <w:tab/>
        <w:t>22</w:t>
        <w:tab/>
        <w:t>26</w:t>
        <w:tab/>
      </w:r>
      <w:r>
        <w:rPr>
          <w:rFonts w:ascii="Helvetica"/>
          <w:color w:val="231F20"/>
          <w:spacing w:val="-10"/>
          <w:sz w:val="16"/>
        </w:rPr>
        <w:t>30</w:t>
      </w:r>
    </w:p>
    <w:p>
      <w:pPr>
        <w:pStyle w:val="BodyText"/>
        <w:spacing w:before="2"/>
        <w:rPr>
          <w:rFonts w:ascii="Helvetica"/>
          <w:sz w:val="25"/>
        </w:rPr>
      </w:pPr>
      <w:r>
        <w:rPr/>
        <w:br w:type="column"/>
      </w:r>
      <w:r>
        <w:rPr>
          <w:rFonts w:ascii="Helvetica"/>
          <w:sz w:val="25"/>
        </w:rPr>
      </w:r>
    </w:p>
    <w:p>
      <w:pPr>
        <w:tabs>
          <w:tab w:pos="771" w:val="left" w:leader="none"/>
          <w:tab w:pos="1257" w:val="left" w:leader="none"/>
        </w:tabs>
        <w:spacing w:before="0"/>
        <w:ind w:left="276" w:right="0" w:firstLine="0"/>
        <w:jc w:val="left"/>
        <w:rPr>
          <w:rFonts w:ascii="Helvetica"/>
          <w:sz w:val="16"/>
        </w:rPr>
      </w:pPr>
      <w:r>
        <w:rPr/>
        <w:pict>
          <v:rect style="position:absolute;margin-left:576pt;margin-top:-3.312988pt;width:36pt;height:24pt;mso-position-horizontal-relative:page;mso-position-vertical-relative:paragraph;z-index:251914240" filled="true" fillcolor="#e8dac8" stroked="false">
            <v:fill type="solid"/>
            <w10:wrap type="none"/>
          </v:rect>
        </w:pict>
      </w:r>
      <w:r>
        <w:rPr>
          <w:rFonts w:ascii="Helvetica"/>
          <w:color w:val="231F20"/>
          <w:sz w:val="16"/>
        </w:rPr>
        <w:t>34</w:t>
        <w:tab/>
        <w:t>38</w:t>
        <w:tab/>
        <w:t>42</w:t>
      </w:r>
    </w:p>
    <w:p>
      <w:pPr>
        <w:spacing w:after="0"/>
        <w:jc w:val="left"/>
        <w:rPr>
          <w:rFonts w:ascii="Helvetica"/>
          <w:sz w:val="16"/>
        </w:rPr>
        <w:sectPr>
          <w:type w:val="continuous"/>
          <w:pgSz w:w="12240" w:h="15660"/>
          <w:pgMar w:top="0" w:bottom="760" w:left="0" w:right="0"/>
          <w:cols w:num="2" w:equalWidth="0">
            <w:col w:w="4025" w:space="40"/>
            <w:col w:w="8175"/>
          </w:cols>
        </w:sectPr>
      </w:pPr>
    </w:p>
    <w:p>
      <w:pPr>
        <w:spacing w:before="63"/>
        <w:ind w:left="2819" w:right="0" w:firstLine="0"/>
        <w:jc w:val="left"/>
        <w:rPr>
          <w:rFonts w:ascii="Helvetica" w:hAnsi="Helvetica"/>
          <w:b/>
          <w:sz w:val="16"/>
        </w:rPr>
      </w:pPr>
      <w:r>
        <w:rPr>
          <w:rFonts w:ascii="Helvetica" w:hAnsi="Helvetica"/>
          <w:b/>
          <w:color w:val="231F20"/>
          <w:sz w:val="16"/>
        </w:rPr>
        <w:t>Effective molecular radius (Å)</w:t>
      </w:r>
    </w:p>
    <w:p>
      <w:pPr>
        <w:spacing w:line="259" w:lineRule="auto" w:before="91"/>
        <w:ind w:left="1440" w:right="0" w:firstLine="0"/>
        <w:jc w:val="both"/>
        <w:rPr>
          <w:rFonts w:ascii="Arial"/>
          <w:sz w:val="16"/>
        </w:rPr>
      </w:pPr>
      <w:bookmarkStart w:name="_bookmark25" w:id="26"/>
      <w:bookmarkEnd w:id="26"/>
      <w:r>
        <w:rPr/>
      </w:r>
      <w:r>
        <w:rPr>
          <w:rFonts w:ascii="Trebuchet MS"/>
          <w:b/>
          <w:color w:val="231F20"/>
          <w:sz w:val="16"/>
        </w:rPr>
        <w:t>Figure 27-3. </w:t>
      </w:r>
      <w:r>
        <w:rPr>
          <w:rFonts w:ascii="Arial"/>
          <w:color w:val="231F20"/>
          <w:sz w:val="16"/>
        </w:rPr>
        <w:t>Effect of molecular radius and electrical charge </w:t>
      </w:r>
      <w:r>
        <w:rPr>
          <w:rFonts w:ascii="Arial"/>
          <w:color w:val="231F20"/>
          <w:spacing w:val="-9"/>
          <w:sz w:val="16"/>
        </w:rPr>
        <w:t>of </w:t>
      </w:r>
      <w:r>
        <w:rPr>
          <w:rFonts w:ascii="Arial"/>
          <w:color w:val="231F20"/>
          <w:sz w:val="16"/>
        </w:rPr>
        <w:t>dextran</w:t>
      </w:r>
      <w:r>
        <w:rPr>
          <w:rFonts w:ascii="Arial"/>
          <w:color w:val="231F20"/>
          <w:spacing w:val="-13"/>
          <w:sz w:val="16"/>
        </w:rPr>
        <w:t> </w:t>
      </w:r>
      <w:r>
        <w:rPr>
          <w:rFonts w:ascii="Arial"/>
          <w:color w:val="231F20"/>
          <w:sz w:val="16"/>
        </w:rPr>
        <w:t>on</w:t>
      </w:r>
      <w:r>
        <w:rPr>
          <w:rFonts w:ascii="Arial"/>
          <w:color w:val="231F20"/>
          <w:spacing w:val="-13"/>
          <w:sz w:val="16"/>
        </w:rPr>
        <w:t> </w:t>
      </w:r>
      <w:r>
        <w:rPr>
          <w:rFonts w:ascii="Arial"/>
          <w:color w:val="231F20"/>
          <w:sz w:val="16"/>
        </w:rPr>
        <w:t>its</w:t>
      </w:r>
      <w:r>
        <w:rPr>
          <w:rFonts w:ascii="Arial"/>
          <w:color w:val="231F20"/>
          <w:spacing w:val="-13"/>
          <w:sz w:val="16"/>
        </w:rPr>
        <w:t> </w:t>
      </w:r>
      <w:r>
        <w:rPr>
          <w:rFonts w:ascii="Arial"/>
          <w:color w:val="231F20"/>
          <w:sz w:val="16"/>
        </w:rPr>
        <w:t>filterability</w:t>
      </w:r>
      <w:r>
        <w:rPr>
          <w:rFonts w:ascii="Arial"/>
          <w:color w:val="231F20"/>
          <w:spacing w:val="-13"/>
          <w:sz w:val="16"/>
        </w:rPr>
        <w:t> </w:t>
      </w:r>
      <w:r>
        <w:rPr>
          <w:rFonts w:ascii="Arial"/>
          <w:color w:val="231F20"/>
          <w:sz w:val="16"/>
        </w:rPr>
        <w:t>by</w:t>
      </w:r>
      <w:r>
        <w:rPr>
          <w:rFonts w:ascii="Arial"/>
          <w:color w:val="231F20"/>
          <w:spacing w:val="-13"/>
          <w:sz w:val="16"/>
        </w:rPr>
        <w:t> </w:t>
      </w:r>
      <w:r>
        <w:rPr>
          <w:rFonts w:ascii="Arial"/>
          <w:color w:val="231F20"/>
          <w:sz w:val="16"/>
        </w:rPr>
        <w:t>the</w:t>
      </w:r>
      <w:r>
        <w:rPr>
          <w:rFonts w:ascii="Arial"/>
          <w:color w:val="231F20"/>
          <w:spacing w:val="-13"/>
          <w:sz w:val="16"/>
        </w:rPr>
        <w:t> </w:t>
      </w:r>
      <w:r>
        <w:rPr>
          <w:rFonts w:ascii="Arial"/>
          <w:color w:val="231F20"/>
          <w:sz w:val="16"/>
        </w:rPr>
        <w:t>glomerular</w:t>
      </w:r>
      <w:r>
        <w:rPr>
          <w:rFonts w:ascii="Arial"/>
          <w:color w:val="231F20"/>
          <w:spacing w:val="-13"/>
          <w:sz w:val="16"/>
        </w:rPr>
        <w:t> </w:t>
      </w:r>
      <w:r>
        <w:rPr>
          <w:rFonts w:ascii="Arial"/>
          <w:color w:val="231F20"/>
          <w:sz w:val="16"/>
        </w:rPr>
        <w:t>capillaries.</w:t>
      </w:r>
      <w:r>
        <w:rPr>
          <w:rFonts w:ascii="Arial"/>
          <w:color w:val="231F20"/>
          <w:spacing w:val="-13"/>
          <w:sz w:val="16"/>
        </w:rPr>
        <w:t> </w:t>
      </w:r>
      <w:r>
        <w:rPr>
          <w:rFonts w:ascii="Arial"/>
          <w:color w:val="231F20"/>
          <w:sz w:val="16"/>
        </w:rPr>
        <w:t>A</w:t>
      </w:r>
      <w:r>
        <w:rPr>
          <w:rFonts w:ascii="Arial"/>
          <w:color w:val="231F20"/>
          <w:spacing w:val="-13"/>
          <w:sz w:val="16"/>
        </w:rPr>
        <w:t> </w:t>
      </w:r>
      <w:r>
        <w:rPr>
          <w:rFonts w:ascii="Arial"/>
          <w:color w:val="231F20"/>
          <w:sz w:val="16"/>
        </w:rPr>
        <w:t>value</w:t>
      </w:r>
      <w:r>
        <w:rPr>
          <w:rFonts w:ascii="Arial"/>
          <w:color w:val="231F20"/>
          <w:spacing w:val="-13"/>
          <w:sz w:val="16"/>
        </w:rPr>
        <w:t> </w:t>
      </w:r>
      <w:r>
        <w:rPr>
          <w:rFonts w:ascii="Arial"/>
          <w:color w:val="231F20"/>
          <w:sz w:val="16"/>
        </w:rPr>
        <w:t>of</w:t>
      </w:r>
      <w:r>
        <w:rPr>
          <w:rFonts w:ascii="Arial"/>
          <w:color w:val="231F20"/>
          <w:spacing w:val="-13"/>
          <w:sz w:val="16"/>
        </w:rPr>
        <w:t> </w:t>
      </w:r>
      <w:r>
        <w:rPr>
          <w:rFonts w:ascii="Arial"/>
          <w:color w:val="231F20"/>
          <w:spacing w:val="-4"/>
          <w:sz w:val="16"/>
        </w:rPr>
        <w:t>1.0 </w:t>
      </w:r>
      <w:r>
        <w:rPr>
          <w:rFonts w:ascii="Arial"/>
          <w:color w:val="231F20"/>
          <w:sz w:val="16"/>
        </w:rPr>
        <w:t>indicates</w:t>
      </w:r>
      <w:r>
        <w:rPr>
          <w:rFonts w:ascii="Arial"/>
          <w:color w:val="231F20"/>
          <w:spacing w:val="-9"/>
          <w:sz w:val="16"/>
        </w:rPr>
        <w:t> </w:t>
      </w:r>
      <w:r>
        <w:rPr>
          <w:rFonts w:ascii="Arial"/>
          <w:color w:val="231F20"/>
          <w:sz w:val="16"/>
        </w:rPr>
        <w:t>that</w:t>
      </w:r>
      <w:r>
        <w:rPr>
          <w:rFonts w:ascii="Arial"/>
          <w:color w:val="231F20"/>
          <w:spacing w:val="-8"/>
          <w:sz w:val="16"/>
        </w:rPr>
        <w:t> </w:t>
      </w:r>
      <w:r>
        <w:rPr>
          <w:rFonts w:ascii="Arial"/>
          <w:color w:val="231F20"/>
          <w:sz w:val="16"/>
        </w:rPr>
        <w:t>the</w:t>
      </w:r>
      <w:r>
        <w:rPr>
          <w:rFonts w:ascii="Arial"/>
          <w:color w:val="231F20"/>
          <w:spacing w:val="-9"/>
          <w:sz w:val="16"/>
        </w:rPr>
        <w:t> </w:t>
      </w:r>
      <w:r>
        <w:rPr>
          <w:rFonts w:ascii="Arial"/>
          <w:color w:val="231F20"/>
          <w:sz w:val="16"/>
        </w:rPr>
        <w:t>substance</w:t>
      </w:r>
      <w:r>
        <w:rPr>
          <w:rFonts w:ascii="Arial"/>
          <w:color w:val="231F20"/>
          <w:spacing w:val="-8"/>
          <w:sz w:val="16"/>
        </w:rPr>
        <w:t> </w:t>
      </w:r>
      <w:r>
        <w:rPr>
          <w:rFonts w:ascii="Arial"/>
          <w:color w:val="231F20"/>
          <w:sz w:val="16"/>
        </w:rPr>
        <w:t>is</w:t>
      </w:r>
      <w:r>
        <w:rPr>
          <w:rFonts w:ascii="Arial"/>
          <w:color w:val="231F20"/>
          <w:spacing w:val="-9"/>
          <w:sz w:val="16"/>
        </w:rPr>
        <w:t> </w:t>
      </w:r>
      <w:r>
        <w:rPr>
          <w:rFonts w:ascii="Arial"/>
          <w:color w:val="231F20"/>
          <w:sz w:val="16"/>
        </w:rPr>
        <w:t>filtered</w:t>
      </w:r>
      <w:r>
        <w:rPr>
          <w:rFonts w:ascii="Arial"/>
          <w:color w:val="231F20"/>
          <w:spacing w:val="-8"/>
          <w:sz w:val="16"/>
        </w:rPr>
        <w:t> </w:t>
      </w:r>
      <w:r>
        <w:rPr>
          <w:rFonts w:ascii="Arial"/>
          <w:color w:val="231F20"/>
          <w:sz w:val="16"/>
        </w:rPr>
        <w:t>as</w:t>
      </w:r>
      <w:r>
        <w:rPr>
          <w:rFonts w:ascii="Arial"/>
          <w:color w:val="231F20"/>
          <w:spacing w:val="-9"/>
          <w:sz w:val="16"/>
        </w:rPr>
        <w:t> </w:t>
      </w:r>
      <w:r>
        <w:rPr>
          <w:rFonts w:ascii="Arial"/>
          <w:color w:val="231F20"/>
          <w:sz w:val="16"/>
        </w:rPr>
        <w:t>freely</w:t>
      </w:r>
      <w:r>
        <w:rPr>
          <w:rFonts w:ascii="Arial"/>
          <w:color w:val="231F20"/>
          <w:spacing w:val="-8"/>
          <w:sz w:val="16"/>
        </w:rPr>
        <w:t> </w:t>
      </w:r>
      <w:r>
        <w:rPr>
          <w:rFonts w:ascii="Arial"/>
          <w:color w:val="231F20"/>
          <w:sz w:val="16"/>
        </w:rPr>
        <w:t>as</w:t>
      </w:r>
      <w:r>
        <w:rPr>
          <w:rFonts w:ascii="Arial"/>
          <w:color w:val="231F20"/>
          <w:spacing w:val="-9"/>
          <w:sz w:val="16"/>
        </w:rPr>
        <w:t> </w:t>
      </w:r>
      <w:r>
        <w:rPr>
          <w:rFonts w:ascii="Arial"/>
          <w:color w:val="231F20"/>
          <w:spacing w:val="-3"/>
          <w:sz w:val="16"/>
        </w:rPr>
        <w:t>water,</w:t>
      </w:r>
      <w:r>
        <w:rPr>
          <w:rFonts w:ascii="Arial"/>
          <w:color w:val="231F20"/>
          <w:spacing w:val="-8"/>
          <w:sz w:val="16"/>
        </w:rPr>
        <w:t> </w:t>
      </w:r>
      <w:r>
        <w:rPr>
          <w:rFonts w:ascii="Arial"/>
          <w:color w:val="231F20"/>
          <w:sz w:val="16"/>
        </w:rPr>
        <w:t>whereas</w:t>
      </w:r>
      <w:r>
        <w:rPr>
          <w:rFonts w:ascii="Arial"/>
          <w:color w:val="231F20"/>
          <w:spacing w:val="-9"/>
          <w:sz w:val="16"/>
        </w:rPr>
        <w:t> </w:t>
      </w:r>
      <w:r>
        <w:rPr>
          <w:rFonts w:ascii="Arial"/>
          <w:color w:val="231F20"/>
          <w:spacing w:val="-15"/>
          <w:sz w:val="16"/>
        </w:rPr>
        <w:t>a</w:t>
      </w:r>
    </w:p>
    <w:p>
      <w:pPr>
        <w:pStyle w:val="BodyText"/>
        <w:spacing w:before="4"/>
        <w:rPr>
          <w:rFonts w:ascii="Arial"/>
          <w:sz w:val="18"/>
        </w:rPr>
      </w:pPr>
      <w:r>
        <w:rPr/>
        <w:br w:type="column"/>
      </w:r>
      <w:r>
        <w:rPr>
          <w:rFonts w:ascii="Arial"/>
          <w:sz w:val="18"/>
        </w:rPr>
      </w:r>
    </w:p>
    <w:p>
      <w:pPr>
        <w:tabs>
          <w:tab w:pos="1413" w:val="left" w:leader="none"/>
        </w:tabs>
        <w:spacing w:line="228" w:lineRule="auto" w:before="0"/>
        <w:ind w:left="409" w:right="0" w:firstLine="0"/>
        <w:jc w:val="left"/>
        <w:rPr>
          <w:rFonts w:ascii="Helvetica"/>
          <w:sz w:val="16"/>
        </w:rPr>
      </w:pPr>
      <w:r>
        <w:rPr>
          <w:rFonts w:ascii="Helvetica"/>
          <w:color w:val="231F20"/>
          <w:sz w:val="16"/>
        </w:rPr>
        <w:t>Net filtration pressure</w:t>
        <w:tab/>
      </w:r>
      <w:r>
        <w:rPr>
          <w:rFonts w:ascii="Helvetica"/>
          <w:color w:val="231F20"/>
          <w:spacing w:val="-20"/>
          <w:position w:val="1"/>
          <w:sz w:val="16"/>
        </w:rPr>
        <w:t>= </w:t>
      </w:r>
      <w:r>
        <w:rPr>
          <w:rFonts w:ascii="Helvetica"/>
          <w:color w:val="231F20"/>
          <w:sz w:val="16"/>
        </w:rPr>
        <w:t>(10 mm</w:t>
      </w:r>
      <w:r>
        <w:rPr>
          <w:rFonts w:ascii="Helvetica"/>
          <w:color w:val="231F20"/>
          <w:spacing w:val="-1"/>
          <w:sz w:val="16"/>
        </w:rPr>
        <w:t> </w:t>
      </w:r>
      <w:r>
        <w:rPr>
          <w:rFonts w:ascii="Helvetica"/>
          <w:color w:val="231F20"/>
          <w:sz w:val="16"/>
        </w:rPr>
        <w:t>Hg)</w:t>
      </w:r>
    </w:p>
    <w:p>
      <w:pPr>
        <w:spacing w:line="235" w:lineRule="auto" w:before="129"/>
        <w:ind w:left="136" w:right="0" w:firstLine="0"/>
        <w:jc w:val="left"/>
        <w:rPr>
          <w:rFonts w:ascii="Helvetica" w:hAnsi="Helvetica"/>
          <w:sz w:val="16"/>
        </w:rPr>
      </w:pPr>
      <w:r>
        <w:rPr/>
        <w:br w:type="column"/>
      </w:r>
      <w:r>
        <w:rPr>
          <w:rFonts w:ascii="Helvetica" w:hAnsi="Helvetica"/>
          <w:color w:val="231F20"/>
          <w:sz w:val="16"/>
        </w:rPr>
        <w:t>Glomerular hydrostatic </w:t>
      </w:r>
      <w:r>
        <w:rPr>
          <w:rFonts w:ascii="Helvetica" w:hAnsi="Helvetica"/>
          <w:color w:val="231F20"/>
          <w:position w:val="-6"/>
          <w:sz w:val="16"/>
        </w:rPr>
        <w:t>–</w:t>
      </w:r>
    </w:p>
    <w:p>
      <w:pPr>
        <w:spacing w:line="108" w:lineRule="exact" w:before="0"/>
        <w:ind w:left="136" w:right="0" w:firstLine="0"/>
        <w:jc w:val="left"/>
        <w:rPr>
          <w:rFonts w:ascii="Helvetica"/>
          <w:sz w:val="16"/>
        </w:rPr>
      </w:pPr>
      <w:r>
        <w:rPr>
          <w:rFonts w:ascii="Helvetica"/>
          <w:color w:val="231F20"/>
          <w:sz w:val="16"/>
        </w:rPr>
        <w:t>pressure</w:t>
      </w:r>
    </w:p>
    <w:p>
      <w:pPr>
        <w:spacing w:line="182" w:lineRule="exact" w:before="0"/>
        <w:ind w:left="136" w:right="0" w:firstLine="0"/>
        <w:jc w:val="left"/>
        <w:rPr>
          <w:rFonts w:ascii="Helvetica"/>
          <w:sz w:val="16"/>
        </w:rPr>
      </w:pPr>
      <w:r>
        <w:rPr>
          <w:rFonts w:ascii="Helvetica"/>
          <w:color w:val="231F20"/>
          <w:sz w:val="16"/>
        </w:rPr>
        <w:t>(60 mm Hg)</w:t>
      </w:r>
    </w:p>
    <w:p>
      <w:pPr>
        <w:tabs>
          <w:tab w:pos="1049" w:val="left" w:leader="none"/>
        </w:tabs>
        <w:spacing w:line="235" w:lineRule="auto" w:before="129"/>
        <w:ind w:left="150" w:right="0" w:firstLine="0"/>
        <w:jc w:val="left"/>
        <w:rPr>
          <w:rFonts w:ascii="Helvetica" w:hAnsi="Helvetica"/>
          <w:sz w:val="16"/>
        </w:rPr>
      </w:pPr>
      <w:r>
        <w:rPr/>
        <w:br w:type="column"/>
      </w:r>
      <w:r>
        <w:rPr>
          <w:rFonts w:ascii="Helvetica" w:hAnsi="Helvetica"/>
          <w:color w:val="231F20"/>
          <w:sz w:val="16"/>
        </w:rPr>
        <w:t>Bowman's capsule</w:t>
        <w:tab/>
      </w:r>
      <w:r>
        <w:rPr>
          <w:rFonts w:ascii="Helvetica" w:hAnsi="Helvetica"/>
          <w:color w:val="231F20"/>
          <w:spacing w:val="-20"/>
          <w:position w:val="-6"/>
          <w:sz w:val="16"/>
        </w:rPr>
        <w:t>–</w:t>
      </w:r>
    </w:p>
    <w:p>
      <w:pPr>
        <w:spacing w:line="108" w:lineRule="exact" w:before="0"/>
        <w:ind w:left="150" w:right="0" w:firstLine="0"/>
        <w:jc w:val="left"/>
        <w:rPr>
          <w:rFonts w:ascii="Helvetica"/>
          <w:sz w:val="16"/>
        </w:rPr>
      </w:pPr>
      <w:r>
        <w:rPr>
          <w:rFonts w:ascii="Helvetica"/>
          <w:color w:val="231F20"/>
          <w:sz w:val="16"/>
        </w:rPr>
        <w:t>pressure</w:t>
      </w:r>
    </w:p>
    <w:p>
      <w:pPr>
        <w:spacing w:line="182" w:lineRule="exact" w:before="0"/>
        <w:ind w:left="150" w:right="0" w:firstLine="0"/>
        <w:jc w:val="left"/>
        <w:rPr>
          <w:rFonts w:ascii="Helvetica"/>
          <w:sz w:val="16"/>
        </w:rPr>
      </w:pPr>
      <w:r>
        <w:rPr>
          <w:rFonts w:ascii="Helvetica"/>
          <w:color w:val="231F20"/>
          <w:sz w:val="16"/>
        </w:rPr>
        <w:t>(18 mm Hg)</w:t>
      </w:r>
    </w:p>
    <w:p>
      <w:pPr>
        <w:spacing w:line="235" w:lineRule="auto" w:before="129"/>
        <w:ind w:left="160" w:right="1137" w:firstLine="0"/>
        <w:jc w:val="left"/>
        <w:rPr>
          <w:rFonts w:ascii="Helvetica"/>
          <w:sz w:val="16"/>
        </w:rPr>
      </w:pPr>
      <w:r>
        <w:rPr/>
        <w:br w:type="column"/>
      </w:r>
      <w:r>
        <w:rPr>
          <w:rFonts w:ascii="Helvetica"/>
          <w:color w:val="231F20"/>
          <w:sz w:val="16"/>
        </w:rPr>
        <w:t>Glomerular oncotic pressure (32 mm Hg)</w:t>
      </w:r>
    </w:p>
    <w:p>
      <w:pPr>
        <w:spacing w:after="0" w:line="235" w:lineRule="auto"/>
        <w:jc w:val="left"/>
        <w:rPr>
          <w:rFonts w:ascii="Helvetica"/>
          <w:sz w:val="16"/>
        </w:rPr>
        <w:sectPr>
          <w:type w:val="continuous"/>
          <w:pgSz w:w="12240" w:h="15660"/>
          <w:pgMar w:top="0" w:bottom="760" w:left="0" w:right="0"/>
          <w:cols w:num="5" w:equalWidth="0">
            <w:col w:w="6121" w:space="40"/>
            <w:col w:w="1508" w:space="39"/>
            <w:col w:w="1163" w:space="39"/>
            <w:col w:w="1139" w:space="40"/>
            <w:col w:w="2151"/>
          </w:cols>
        </w:sectPr>
      </w:pPr>
    </w:p>
    <w:p>
      <w:pPr>
        <w:spacing w:line="261" w:lineRule="auto" w:before="3"/>
        <w:ind w:left="1440" w:right="0" w:firstLine="0"/>
        <w:jc w:val="both"/>
        <w:rPr>
          <w:rFonts w:ascii="Arial"/>
          <w:sz w:val="16"/>
        </w:rPr>
      </w:pPr>
      <w:r>
        <w:rPr/>
        <w:pict>
          <v:group style="position:absolute;margin-left:0pt;margin-top:0pt;width:612pt;height:180pt;mso-position-horizontal-relative:page;mso-position-vertical-relative:page;z-index:-27349196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Trebuchet MS"/>
                        <w:sz w:val="20"/>
                      </w:rPr>
                    </w:pPr>
                  </w:p>
                  <w:p>
                    <w:pPr>
                      <w:spacing w:line="240" w:lineRule="auto" w:before="9"/>
                      <w:rPr>
                        <w:rFonts w:ascii="Trebuchet MS"/>
                        <w:sz w:val="18"/>
                      </w:rPr>
                    </w:pPr>
                  </w:p>
                  <w:p>
                    <w:pPr>
                      <w:spacing w:before="0"/>
                      <w:ind w:left="5078" w:right="0" w:firstLine="0"/>
                      <w:jc w:val="left"/>
                      <w:rPr>
                        <w:rFonts w:ascii="Trebuchet MS"/>
                        <w:sz w:val="18"/>
                      </w:rPr>
                    </w:pPr>
                    <w:r>
                      <w:rPr>
                        <w:rFonts w:ascii="Trebuchet MS"/>
                        <w:b/>
                        <w:color w:val="231F20"/>
                        <w:w w:val="105"/>
                        <w:sz w:val="18"/>
                      </w:rPr>
                      <w:t>Chapter 27 </w:t>
                    </w:r>
                    <w:r>
                      <w:rPr>
                        <w:rFonts w:ascii="Trebuchet MS"/>
                        <w:color w:val="231F20"/>
                        <w:w w:val="105"/>
                        <w:sz w:val="18"/>
                      </w:rPr>
                      <w:t>Glomerular Filtration, Renal Blood Flow, and Their Control</w:t>
                    </w:r>
                  </w:p>
                </w:txbxContent>
              </v:textbox>
              <v:fill type="solid"/>
              <w10:wrap type="none"/>
            </v:shape>
            <w10:wrap type="none"/>
          </v:group>
        </w:pict>
      </w:r>
      <w:r>
        <w:rPr>
          <w:rFonts w:ascii="Arial"/>
          <w:color w:val="231F20"/>
          <w:sz w:val="16"/>
        </w:rPr>
        <w:t>value</w:t>
      </w:r>
      <w:r>
        <w:rPr>
          <w:rFonts w:ascii="Arial"/>
          <w:color w:val="231F20"/>
          <w:spacing w:val="-26"/>
          <w:sz w:val="16"/>
        </w:rPr>
        <w:t> </w:t>
      </w:r>
      <w:r>
        <w:rPr>
          <w:rFonts w:ascii="Arial"/>
          <w:color w:val="231F20"/>
          <w:sz w:val="16"/>
        </w:rPr>
        <w:t>of</w:t>
      </w:r>
      <w:r>
        <w:rPr>
          <w:rFonts w:ascii="Arial"/>
          <w:color w:val="231F20"/>
          <w:spacing w:val="-26"/>
          <w:sz w:val="16"/>
        </w:rPr>
        <w:t> </w:t>
      </w:r>
      <w:r>
        <w:rPr>
          <w:rFonts w:ascii="Arial"/>
          <w:color w:val="231F20"/>
          <w:sz w:val="16"/>
        </w:rPr>
        <w:t>0</w:t>
      </w:r>
      <w:r>
        <w:rPr>
          <w:rFonts w:ascii="Arial"/>
          <w:color w:val="231F20"/>
          <w:spacing w:val="-26"/>
          <w:sz w:val="16"/>
        </w:rPr>
        <w:t> </w:t>
      </w:r>
      <w:r>
        <w:rPr>
          <w:rFonts w:ascii="Arial"/>
          <w:color w:val="231F20"/>
          <w:sz w:val="16"/>
        </w:rPr>
        <w:t>indicates</w:t>
      </w:r>
      <w:r>
        <w:rPr>
          <w:rFonts w:ascii="Arial"/>
          <w:color w:val="231F20"/>
          <w:spacing w:val="-25"/>
          <w:sz w:val="16"/>
        </w:rPr>
        <w:t> </w:t>
      </w:r>
      <w:r>
        <w:rPr>
          <w:rFonts w:ascii="Arial"/>
          <w:color w:val="231F20"/>
          <w:sz w:val="16"/>
        </w:rPr>
        <w:t>that</w:t>
      </w:r>
      <w:r>
        <w:rPr>
          <w:rFonts w:ascii="Arial"/>
          <w:color w:val="231F20"/>
          <w:spacing w:val="-26"/>
          <w:sz w:val="16"/>
        </w:rPr>
        <w:t> </w:t>
      </w:r>
      <w:r>
        <w:rPr>
          <w:rFonts w:ascii="Arial"/>
          <w:color w:val="231F20"/>
          <w:sz w:val="16"/>
        </w:rPr>
        <w:t>it</w:t>
      </w:r>
      <w:r>
        <w:rPr>
          <w:rFonts w:ascii="Arial"/>
          <w:color w:val="231F20"/>
          <w:spacing w:val="-26"/>
          <w:sz w:val="16"/>
        </w:rPr>
        <w:t> </w:t>
      </w:r>
      <w:r>
        <w:rPr>
          <w:rFonts w:ascii="Arial"/>
          <w:color w:val="231F20"/>
          <w:sz w:val="16"/>
        </w:rPr>
        <w:t>is</w:t>
      </w:r>
      <w:r>
        <w:rPr>
          <w:rFonts w:ascii="Arial"/>
          <w:color w:val="231F20"/>
          <w:spacing w:val="-26"/>
          <w:sz w:val="16"/>
        </w:rPr>
        <w:t> </w:t>
      </w:r>
      <w:r>
        <w:rPr>
          <w:rFonts w:ascii="Arial"/>
          <w:color w:val="231F20"/>
          <w:sz w:val="16"/>
        </w:rPr>
        <w:t>not</w:t>
      </w:r>
      <w:r>
        <w:rPr>
          <w:rFonts w:ascii="Arial"/>
          <w:color w:val="231F20"/>
          <w:spacing w:val="-25"/>
          <w:sz w:val="16"/>
        </w:rPr>
        <w:t> </w:t>
      </w:r>
      <w:r>
        <w:rPr>
          <w:rFonts w:ascii="Arial"/>
          <w:color w:val="231F20"/>
          <w:sz w:val="16"/>
        </w:rPr>
        <w:t>filtered.</w:t>
      </w:r>
      <w:r>
        <w:rPr>
          <w:rFonts w:ascii="Arial"/>
          <w:color w:val="231F20"/>
          <w:spacing w:val="-26"/>
          <w:sz w:val="16"/>
        </w:rPr>
        <w:t> </w:t>
      </w:r>
      <w:r>
        <w:rPr>
          <w:rFonts w:ascii="Arial"/>
          <w:color w:val="231F20"/>
          <w:sz w:val="16"/>
        </w:rPr>
        <w:t>Dextrans</w:t>
      </w:r>
      <w:r>
        <w:rPr>
          <w:rFonts w:ascii="Arial"/>
          <w:color w:val="231F20"/>
          <w:spacing w:val="-26"/>
          <w:sz w:val="16"/>
        </w:rPr>
        <w:t> </w:t>
      </w:r>
      <w:r>
        <w:rPr>
          <w:rFonts w:ascii="Arial"/>
          <w:color w:val="231F20"/>
          <w:sz w:val="16"/>
        </w:rPr>
        <w:t>are</w:t>
      </w:r>
      <w:r>
        <w:rPr>
          <w:rFonts w:ascii="Arial"/>
          <w:color w:val="231F20"/>
          <w:spacing w:val="-25"/>
          <w:sz w:val="16"/>
        </w:rPr>
        <w:t> </w:t>
      </w:r>
      <w:r>
        <w:rPr>
          <w:rFonts w:ascii="Arial"/>
          <w:color w:val="231F20"/>
          <w:sz w:val="16"/>
        </w:rPr>
        <w:t>polysaccharides that can be manufactured as neutral molecules or with negative </w:t>
      </w:r>
      <w:r>
        <w:rPr>
          <w:rFonts w:ascii="Arial"/>
          <w:color w:val="231F20"/>
          <w:spacing w:val="-9"/>
          <w:sz w:val="16"/>
        </w:rPr>
        <w:t>or </w:t>
      </w:r>
      <w:r>
        <w:rPr>
          <w:rFonts w:ascii="Arial"/>
          <w:color w:val="231F20"/>
          <w:sz w:val="16"/>
        </w:rPr>
        <w:t>positive charges and with varying molecular</w:t>
      </w:r>
      <w:r>
        <w:rPr>
          <w:rFonts w:ascii="Arial"/>
          <w:color w:val="231F20"/>
          <w:spacing w:val="18"/>
          <w:sz w:val="16"/>
        </w:rPr>
        <w:t> </w:t>
      </w:r>
      <w:r>
        <w:rPr>
          <w:rFonts w:ascii="Arial"/>
          <w:color w:val="231F20"/>
          <w:sz w:val="16"/>
        </w:rPr>
        <w:t>weights.</w:t>
      </w:r>
    </w:p>
    <w:p>
      <w:pPr>
        <w:pStyle w:val="BodyText"/>
        <w:spacing w:before="2"/>
        <w:rPr>
          <w:rFonts w:ascii="Arial"/>
          <w:sz w:val="18"/>
        </w:rPr>
      </w:pPr>
    </w:p>
    <w:p>
      <w:pPr>
        <w:pStyle w:val="BodyText"/>
        <w:spacing w:line="249" w:lineRule="auto"/>
        <w:ind w:left="1440"/>
        <w:jc w:val="both"/>
      </w:pPr>
      <w:r>
        <w:rPr>
          <w:color w:val="231F20"/>
        </w:rPr>
        <w:t>large negatively charged molecules, including the plasma proteins.</w:t>
      </w:r>
    </w:p>
    <w:p>
      <w:pPr>
        <w:pStyle w:val="BodyText"/>
        <w:spacing w:line="249" w:lineRule="auto" w:before="2"/>
        <w:ind w:left="1440" w:firstLine="240"/>
        <w:jc w:val="both"/>
      </w:pPr>
      <w:r>
        <w:rPr>
          <w:color w:val="231F20"/>
        </w:rPr>
        <w:t>In certain kidney diseases, the negative charges on </w:t>
      </w:r>
      <w:r>
        <w:rPr>
          <w:color w:val="231F20"/>
          <w:spacing w:val="-6"/>
        </w:rPr>
        <w:t>the </w:t>
      </w:r>
      <w:r>
        <w:rPr>
          <w:color w:val="231F20"/>
        </w:rPr>
        <w:t>basement membrane are lost even before there are </w:t>
      </w:r>
      <w:r>
        <w:rPr>
          <w:color w:val="231F20"/>
          <w:spacing w:val="-4"/>
        </w:rPr>
        <w:t>notice­ </w:t>
      </w:r>
      <w:r>
        <w:rPr>
          <w:color w:val="231F20"/>
        </w:rPr>
        <w:t>able changes in kidney histology, a condition referred to as </w:t>
      </w:r>
      <w:r>
        <w:rPr>
          <w:i/>
          <w:color w:val="231F20"/>
        </w:rPr>
        <w:t>minimal change nephropathy. </w:t>
      </w:r>
      <w:r>
        <w:rPr>
          <w:color w:val="231F20"/>
        </w:rPr>
        <w:t>The cause for this loss of negative charges is still unclear but is believed to be related to an immunological response with </w:t>
      </w:r>
      <w:r>
        <w:rPr>
          <w:color w:val="231F20"/>
          <w:spacing w:val="-3"/>
        </w:rPr>
        <w:t>abnormal T­cell </w:t>
      </w:r>
      <w:r>
        <w:rPr>
          <w:color w:val="231F20"/>
        </w:rPr>
        <w:t>secretion of cytokines that reduce anions in the glomerular capillary or podocyte proteins. As a result </w:t>
      </w:r>
      <w:r>
        <w:rPr>
          <w:color w:val="231F20"/>
          <w:spacing w:val="-7"/>
        </w:rPr>
        <w:t>of </w:t>
      </w:r>
      <w:r>
        <w:rPr>
          <w:color w:val="231F20"/>
        </w:rPr>
        <w:t>this loss of negative charges on the basement membranes, some of the lower molecular weight proteins, especially albumin, are filtered and appear in the urine, a condition known as </w:t>
      </w:r>
      <w:r>
        <w:rPr>
          <w:i/>
          <w:color w:val="231F20"/>
        </w:rPr>
        <w:t>proteinuria </w:t>
      </w:r>
      <w:r>
        <w:rPr>
          <w:color w:val="231F20"/>
        </w:rPr>
        <w:t>or </w:t>
      </w:r>
      <w:r>
        <w:rPr>
          <w:i/>
          <w:color w:val="231F20"/>
        </w:rPr>
        <w:t>albuminuria. </w:t>
      </w:r>
      <w:r>
        <w:rPr>
          <w:color w:val="231F20"/>
        </w:rPr>
        <w:t>Minimal</w:t>
      </w:r>
      <w:r>
        <w:rPr>
          <w:color w:val="231F20"/>
          <w:spacing w:val="33"/>
        </w:rPr>
        <w:t> </w:t>
      </w:r>
      <w:r>
        <w:rPr>
          <w:color w:val="231F20"/>
        </w:rPr>
        <w:t>change nephropathy is most common in young children but </w:t>
      </w:r>
      <w:r>
        <w:rPr>
          <w:color w:val="231F20"/>
          <w:spacing w:val="-6"/>
        </w:rPr>
        <w:t>can </w:t>
      </w:r>
      <w:r>
        <w:rPr>
          <w:color w:val="231F20"/>
        </w:rPr>
        <w:t>also occur in adults, especially in those who have autoim­ mune</w:t>
      </w:r>
      <w:r>
        <w:rPr>
          <w:color w:val="231F20"/>
          <w:spacing w:val="6"/>
        </w:rPr>
        <w:t> </w:t>
      </w:r>
      <w:r>
        <w:rPr>
          <w:color w:val="231F20"/>
        </w:rPr>
        <w:t>disorders.</w:t>
      </w:r>
    </w:p>
    <w:p>
      <w:pPr>
        <w:pStyle w:val="BodyText"/>
        <w:spacing w:before="7"/>
        <w:rPr>
          <w:sz w:val="25"/>
        </w:rPr>
      </w:pPr>
      <w:r>
        <w:rPr/>
        <w:pict>
          <v:shape style="position:absolute;margin-left:72pt;margin-top:15.954098pt;width:234pt;height:16pt;mso-position-horizontal-relative:page;mso-position-vertical-relative:paragraph;z-index:-251406336;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DETERMINANTS OF THE GFR</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rPr>
        <w:t>The GFR is determined by (1) the sum of the hydrostatic and colloid osmotic forces across the glomerular mem­ brane, which gives the </w:t>
      </w:r>
      <w:r>
        <w:rPr>
          <w:i/>
          <w:color w:val="231F20"/>
        </w:rPr>
        <w:t>net filtration pressure, </w:t>
      </w:r>
      <w:r>
        <w:rPr>
          <w:color w:val="231F20"/>
        </w:rPr>
        <w:t>and (2) the glomerular K</w:t>
      </w:r>
      <w:r>
        <w:rPr>
          <w:color w:val="231F20"/>
          <w:vertAlign w:val="subscript"/>
        </w:rPr>
        <w:t>f</w:t>
      </w:r>
      <w:r>
        <w:rPr>
          <w:color w:val="231F20"/>
          <w:vertAlign w:val="baseline"/>
        </w:rPr>
        <w:t>. Expressed mathematically, the GFR equals the product of K</w:t>
      </w:r>
      <w:r>
        <w:rPr>
          <w:color w:val="231F20"/>
          <w:vertAlign w:val="subscript"/>
        </w:rPr>
        <w:t>f</w:t>
      </w:r>
      <w:r>
        <w:rPr>
          <w:color w:val="231F20"/>
          <w:vertAlign w:val="baseline"/>
        </w:rPr>
        <w:t> and the net filtration pressure:</w:t>
      </w:r>
    </w:p>
    <w:p>
      <w:pPr>
        <w:spacing w:before="139"/>
        <w:ind w:left="2431" w:right="0" w:firstLine="0"/>
        <w:jc w:val="left"/>
        <w:rPr>
          <w:rFonts w:ascii="Trebuchet MS" w:hAnsi="Trebuchet MS"/>
          <w:sz w:val="18"/>
        </w:rPr>
      </w:pPr>
      <w:r>
        <w:rPr>
          <w:rFonts w:ascii="Trebuchet MS" w:hAnsi="Trebuchet MS"/>
          <w:w w:val="105"/>
          <w:sz w:val="18"/>
        </w:rPr>
        <w:t>GFR </w:t>
      </w:r>
      <w:r>
        <w:rPr>
          <w:rFonts w:ascii="Symbol" w:hAnsi="Symbol"/>
          <w:w w:val="105"/>
          <w:sz w:val="18"/>
        </w:rPr>
        <w:t></w:t>
      </w:r>
      <w:r>
        <w:rPr>
          <w:w w:val="105"/>
          <w:sz w:val="18"/>
        </w:rPr>
        <w:t> </w:t>
      </w:r>
      <w:r>
        <w:rPr>
          <w:rFonts w:ascii="Trebuchet MS" w:hAnsi="Trebuchet MS"/>
          <w:w w:val="105"/>
          <w:sz w:val="18"/>
        </w:rPr>
        <w:t>K</w:t>
      </w:r>
      <w:r>
        <w:rPr>
          <w:rFonts w:ascii="Trebuchet MS" w:hAnsi="Trebuchet MS"/>
          <w:w w:val="105"/>
          <w:position w:val="-2"/>
          <w:sz w:val="10"/>
        </w:rPr>
        <w:t>f </w:t>
      </w:r>
      <w:r>
        <w:rPr>
          <w:rFonts w:ascii="Symbol" w:hAnsi="Symbol"/>
          <w:w w:val="105"/>
          <w:sz w:val="18"/>
        </w:rPr>
        <w:t></w:t>
      </w:r>
      <w:r>
        <w:rPr>
          <w:w w:val="105"/>
          <w:sz w:val="18"/>
        </w:rPr>
        <w:t> </w:t>
      </w:r>
      <w:r>
        <w:rPr>
          <w:rFonts w:ascii="Trebuchet MS" w:hAnsi="Trebuchet MS"/>
          <w:w w:val="105"/>
          <w:sz w:val="18"/>
        </w:rPr>
        <w:t>Net filtration pressure</w:t>
      </w:r>
    </w:p>
    <w:p>
      <w:pPr>
        <w:pStyle w:val="BodyText"/>
        <w:spacing w:line="249" w:lineRule="auto" w:before="112"/>
        <w:ind w:left="1440" w:firstLine="240"/>
        <w:jc w:val="both"/>
      </w:pPr>
      <w:r>
        <w:rPr>
          <w:color w:val="231F20"/>
          <w:w w:val="105"/>
        </w:rPr>
        <w:t>The net filtration pressure represents the sum of </w:t>
      </w:r>
      <w:r>
        <w:rPr>
          <w:color w:val="231F20"/>
          <w:spacing w:val="-5"/>
          <w:w w:val="105"/>
        </w:rPr>
        <w:t>the </w:t>
      </w:r>
      <w:r>
        <w:rPr>
          <w:color w:val="231F20"/>
          <w:w w:val="105"/>
        </w:rPr>
        <w:t>hydrostatic</w:t>
      </w:r>
      <w:r>
        <w:rPr>
          <w:color w:val="231F20"/>
          <w:spacing w:val="-19"/>
          <w:w w:val="105"/>
        </w:rPr>
        <w:t> </w:t>
      </w:r>
      <w:r>
        <w:rPr>
          <w:color w:val="231F20"/>
          <w:w w:val="105"/>
        </w:rPr>
        <w:t>and</w:t>
      </w:r>
      <w:r>
        <w:rPr>
          <w:color w:val="231F20"/>
          <w:spacing w:val="-19"/>
          <w:w w:val="105"/>
        </w:rPr>
        <w:t> </w:t>
      </w:r>
      <w:r>
        <w:rPr>
          <w:color w:val="231F20"/>
          <w:w w:val="105"/>
        </w:rPr>
        <w:t>colloid</w:t>
      </w:r>
      <w:r>
        <w:rPr>
          <w:color w:val="231F20"/>
          <w:spacing w:val="-19"/>
          <w:w w:val="105"/>
        </w:rPr>
        <w:t> </w:t>
      </w:r>
      <w:r>
        <w:rPr>
          <w:color w:val="231F20"/>
          <w:w w:val="105"/>
        </w:rPr>
        <w:t>osmotic</w:t>
      </w:r>
      <w:r>
        <w:rPr>
          <w:color w:val="231F20"/>
          <w:spacing w:val="-19"/>
          <w:w w:val="105"/>
        </w:rPr>
        <w:t> </w:t>
      </w:r>
      <w:r>
        <w:rPr>
          <w:color w:val="231F20"/>
          <w:w w:val="105"/>
        </w:rPr>
        <w:t>forces</w:t>
      </w:r>
      <w:r>
        <w:rPr>
          <w:color w:val="231F20"/>
          <w:spacing w:val="-19"/>
          <w:w w:val="105"/>
        </w:rPr>
        <w:t> </w:t>
      </w:r>
      <w:r>
        <w:rPr>
          <w:color w:val="231F20"/>
          <w:w w:val="105"/>
        </w:rPr>
        <w:t>that</w:t>
      </w:r>
      <w:r>
        <w:rPr>
          <w:color w:val="231F20"/>
          <w:spacing w:val="-19"/>
          <w:w w:val="105"/>
        </w:rPr>
        <w:t> </w:t>
      </w:r>
      <w:r>
        <w:rPr>
          <w:color w:val="231F20"/>
          <w:w w:val="105"/>
        </w:rPr>
        <w:t>either</w:t>
      </w:r>
      <w:r>
        <w:rPr>
          <w:color w:val="231F20"/>
          <w:spacing w:val="-18"/>
          <w:w w:val="105"/>
        </w:rPr>
        <w:t> </w:t>
      </w:r>
      <w:r>
        <w:rPr>
          <w:color w:val="231F20"/>
          <w:w w:val="105"/>
        </w:rPr>
        <w:t>favor</w:t>
      </w:r>
      <w:r>
        <w:rPr>
          <w:color w:val="231F20"/>
          <w:spacing w:val="-19"/>
          <w:w w:val="105"/>
        </w:rPr>
        <w:t> </w:t>
      </w:r>
      <w:r>
        <w:rPr>
          <w:color w:val="231F20"/>
          <w:spacing w:val="-6"/>
          <w:w w:val="105"/>
        </w:rPr>
        <w:t>or </w:t>
      </w:r>
      <w:r>
        <w:rPr>
          <w:color w:val="231F20"/>
          <w:w w:val="105"/>
        </w:rPr>
        <w:t>oppose</w:t>
      </w:r>
      <w:r>
        <w:rPr>
          <w:color w:val="231F20"/>
          <w:spacing w:val="-31"/>
          <w:w w:val="105"/>
        </w:rPr>
        <w:t> </w:t>
      </w:r>
      <w:r>
        <w:rPr>
          <w:color w:val="231F20"/>
          <w:w w:val="105"/>
        </w:rPr>
        <w:t>filtration</w:t>
      </w:r>
      <w:r>
        <w:rPr>
          <w:color w:val="231F20"/>
          <w:spacing w:val="-31"/>
          <w:w w:val="105"/>
        </w:rPr>
        <w:t> </w:t>
      </w:r>
      <w:r>
        <w:rPr>
          <w:color w:val="231F20"/>
          <w:w w:val="105"/>
        </w:rPr>
        <w:t>across</w:t>
      </w:r>
      <w:r>
        <w:rPr>
          <w:color w:val="231F20"/>
          <w:spacing w:val="-31"/>
          <w:w w:val="105"/>
        </w:rPr>
        <w:t> </w:t>
      </w:r>
      <w:r>
        <w:rPr>
          <w:color w:val="231F20"/>
          <w:w w:val="105"/>
        </w:rPr>
        <w:t>the</w:t>
      </w:r>
      <w:r>
        <w:rPr>
          <w:color w:val="231F20"/>
          <w:spacing w:val="-30"/>
          <w:w w:val="105"/>
        </w:rPr>
        <w:t> </w:t>
      </w:r>
      <w:r>
        <w:rPr>
          <w:color w:val="231F20"/>
          <w:w w:val="105"/>
        </w:rPr>
        <w:t>glomerular</w:t>
      </w:r>
      <w:r>
        <w:rPr>
          <w:color w:val="231F20"/>
          <w:spacing w:val="-31"/>
          <w:w w:val="105"/>
        </w:rPr>
        <w:t> </w:t>
      </w:r>
      <w:r>
        <w:rPr>
          <w:color w:val="231F20"/>
          <w:w w:val="105"/>
        </w:rPr>
        <w:t>capillaries</w:t>
      </w:r>
      <w:r>
        <w:rPr>
          <w:color w:val="231F20"/>
          <w:spacing w:val="-31"/>
          <w:w w:val="105"/>
        </w:rPr>
        <w:t> </w:t>
      </w:r>
      <w:r>
        <w:rPr>
          <w:color w:val="231F20"/>
          <w:spacing w:val="-3"/>
          <w:w w:val="105"/>
        </w:rPr>
        <w:t>(</w:t>
      </w:r>
      <w:hyperlink w:history="true" w:anchor="_bookmark26">
        <w:r>
          <w:rPr>
            <w:b/>
            <w:color w:val="0080AC"/>
            <w:spacing w:val="-3"/>
            <w:w w:val="105"/>
          </w:rPr>
          <w:t>Figure</w:t>
        </w:r>
      </w:hyperlink>
      <w:r>
        <w:rPr>
          <w:b/>
          <w:color w:val="0080AC"/>
          <w:spacing w:val="-3"/>
          <w:w w:val="105"/>
        </w:rPr>
        <w:t> </w:t>
      </w:r>
      <w:hyperlink w:history="true" w:anchor="_bookmark26">
        <w:r>
          <w:rPr>
            <w:b/>
            <w:color w:val="0080AC"/>
            <w:w w:val="105"/>
          </w:rPr>
          <w:t>27-4</w:t>
        </w:r>
      </w:hyperlink>
      <w:r>
        <w:rPr>
          <w:color w:val="231F20"/>
          <w:w w:val="105"/>
        </w:rPr>
        <w:t>).</w:t>
      </w:r>
      <w:r>
        <w:rPr>
          <w:color w:val="231F20"/>
          <w:spacing w:val="-31"/>
          <w:w w:val="105"/>
        </w:rPr>
        <w:t> </w:t>
      </w:r>
      <w:r>
        <w:rPr>
          <w:color w:val="231F20"/>
          <w:w w:val="105"/>
        </w:rPr>
        <w:t>These</w:t>
      </w:r>
      <w:r>
        <w:rPr>
          <w:color w:val="231F20"/>
          <w:spacing w:val="-31"/>
          <w:w w:val="105"/>
        </w:rPr>
        <w:t> </w:t>
      </w:r>
      <w:r>
        <w:rPr>
          <w:color w:val="231F20"/>
          <w:w w:val="105"/>
        </w:rPr>
        <w:t>forces</w:t>
      </w:r>
      <w:r>
        <w:rPr>
          <w:color w:val="231F20"/>
          <w:spacing w:val="-31"/>
          <w:w w:val="105"/>
        </w:rPr>
        <w:t> </w:t>
      </w:r>
      <w:r>
        <w:rPr>
          <w:color w:val="231F20"/>
          <w:w w:val="105"/>
        </w:rPr>
        <w:t>include</w:t>
      </w:r>
      <w:r>
        <w:rPr>
          <w:color w:val="231F20"/>
          <w:spacing w:val="-31"/>
          <w:w w:val="105"/>
        </w:rPr>
        <w:t> </w:t>
      </w:r>
      <w:r>
        <w:rPr>
          <w:color w:val="231F20"/>
          <w:w w:val="105"/>
        </w:rPr>
        <w:t>(1)</w:t>
      </w:r>
      <w:r>
        <w:rPr>
          <w:color w:val="231F20"/>
          <w:spacing w:val="-31"/>
          <w:w w:val="105"/>
        </w:rPr>
        <w:t> </w:t>
      </w:r>
      <w:r>
        <w:rPr>
          <w:color w:val="231F20"/>
          <w:w w:val="105"/>
        </w:rPr>
        <w:t>hydrostatic</w:t>
      </w:r>
      <w:r>
        <w:rPr>
          <w:color w:val="231F20"/>
          <w:spacing w:val="-31"/>
          <w:w w:val="105"/>
        </w:rPr>
        <w:t> </w:t>
      </w:r>
      <w:r>
        <w:rPr>
          <w:color w:val="231F20"/>
          <w:w w:val="105"/>
        </w:rPr>
        <w:t>pressure</w:t>
      </w:r>
      <w:r>
        <w:rPr>
          <w:color w:val="231F20"/>
          <w:spacing w:val="-31"/>
          <w:w w:val="105"/>
        </w:rPr>
        <w:t> </w:t>
      </w:r>
      <w:r>
        <w:rPr>
          <w:color w:val="231F20"/>
          <w:w w:val="105"/>
        </w:rPr>
        <w:t>inside the glomerular capillaries (glomerular hydrostatic </w:t>
      </w:r>
      <w:r>
        <w:rPr>
          <w:color w:val="231F20"/>
          <w:spacing w:val="-3"/>
          <w:w w:val="105"/>
        </w:rPr>
        <w:t>pres­ </w:t>
      </w:r>
      <w:r>
        <w:rPr>
          <w:color w:val="231F20"/>
          <w:w w:val="105"/>
        </w:rPr>
        <w:t>sure, P</w:t>
      </w:r>
      <w:r>
        <w:rPr>
          <w:color w:val="231F20"/>
          <w:w w:val="105"/>
          <w:vertAlign w:val="subscript"/>
        </w:rPr>
        <w:t>G</w:t>
      </w:r>
      <w:r>
        <w:rPr>
          <w:color w:val="231F20"/>
          <w:w w:val="105"/>
          <w:vertAlign w:val="baseline"/>
        </w:rPr>
        <w:t>), which promotes filtration; (2) the </w:t>
      </w:r>
      <w:r>
        <w:rPr>
          <w:color w:val="231F20"/>
          <w:spacing w:val="-4"/>
          <w:w w:val="105"/>
          <w:vertAlign w:val="baseline"/>
        </w:rPr>
        <w:t>hydrostatic </w:t>
      </w:r>
      <w:r>
        <w:rPr>
          <w:color w:val="231F20"/>
          <w:w w:val="105"/>
          <w:vertAlign w:val="baseline"/>
        </w:rPr>
        <w:t>pressure</w:t>
      </w:r>
      <w:r>
        <w:rPr>
          <w:color w:val="231F20"/>
          <w:spacing w:val="-32"/>
          <w:w w:val="105"/>
          <w:vertAlign w:val="baseline"/>
        </w:rPr>
        <w:t> </w:t>
      </w:r>
      <w:r>
        <w:rPr>
          <w:color w:val="231F20"/>
          <w:w w:val="105"/>
          <w:vertAlign w:val="baseline"/>
        </w:rPr>
        <w:t>in</w:t>
      </w:r>
      <w:r>
        <w:rPr>
          <w:color w:val="231F20"/>
          <w:spacing w:val="-32"/>
          <w:w w:val="105"/>
          <w:vertAlign w:val="baseline"/>
        </w:rPr>
        <w:t> </w:t>
      </w:r>
      <w:r>
        <w:rPr>
          <w:color w:val="231F20"/>
          <w:w w:val="105"/>
          <w:vertAlign w:val="baseline"/>
        </w:rPr>
        <w:t>Bowman’s</w:t>
      </w:r>
      <w:r>
        <w:rPr>
          <w:color w:val="231F20"/>
          <w:spacing w:val="-32"/>
          <w:w w:val="105"/>
          <w:vertAlign w:val="baseline"/>
        </w:rPr>
        <w:t> </w:t>
      </w:r>
      <w:r>
        <w:rPr>
          <w:color w:val="231F20"/>
          <w:w w:val="105"/>
          <w:vertAlign w:val="baseline"/>
        </w:rPr>
        <w:t>capsule</w:t>
      </w:r>
      <w:r>
        <w:rPr>
          <w:color w:val="231F20"/>
          <w:spacing w:val="-32"/>
          <w:w w:val="105"/>
          <w:vertAlign w:val="baseline"/>
        </w:rPr>
        <w:t> </w:t>
      </w:r>
      <w:r>
        <w:rPr>
          <w:color w:val="231F20"/>
          <w:w w:val="105"/>
          <w:vertAlign w:val="baseline"/>
        </w:rPr>
        <w:t>(P</w:t>
      </w:r>
      <w:r>
        <w:rPr>
          <w:color w:val="231F20"/>
          <w:w w:val="105"/>
          <w:vertAlign w:val="subscript"/>
        </w:rPr>
        <w:t>B</w:t>
      </w:r>
      <w:r>
        <w:rPr>
          <w:color w:val="231F20"/>
          <w:w w:val="105"/>
          <w:vertAlign w:val="baseline"/>
        </w:rPr>
        <w:t>)</w:t>
      </w:r>
      <w:r>
        <w:rPr>
          <w:color w:val="231F20"/>
          <w:spacing w:val="-32"/>
          <w:w w:val="105"/>
          <w:vertAlign w:val="baseline"/>
        </w:rPr>
        <w:t> </w:t>
      </w:r>
      <w:r>
        <w:rPr>
          <w:color w:val="231F20"/>
          <w:w w:val="105"/>
          <w:vertAlign w:val="baseline"/>
        </w:rPr>
        <w:t>outside</w:t>
      </w:r>
      <w:r>
        <w:rPr>
          <w:color w:val="231F20"/>
          <w:spacing w:val="-32"/>
          <w:w w:val="105"/>
          <w:vertAlign w:val="baseline"/>
        </w:rPr>
        <w:t> </w:t>
      </w:r>
      <w:r>
        <w:rPr>
          <w:color w:val="231F20"/>
          <w:w w:val="105"/>
          <w:vertAlign w:val="baseline"/>
        </w:rPr>
        <w:t>the</w:t>
      </w:r>
      <w:r>
        <w:rPr>
          <w:color w:val="231F20"/>
          <w:spacing w:val="-32"/>
          <w:w w:val="105"/>
          <w:vertAlign w:val="baseline"/>
        </w:rPr>
        <w:t> </w:t>
      </w:r>
      <w:r>
        <w:rPr>
          <w:color w:val="231F20"/>
          <w:w w:val="105"/>
          <w:vertAlign w:val="baseline"/>
        </w:rPr>
        <w:t>capillaries, which</w:t>
      </w:r>
      <w:r>
        <w:rPr>
          <w:color w:val="231F20"/>
          <w:spacing w:val="-16"/>
          <w:w w:val="105"/>
          <w:vertAlign w:val="baseline"/>
        </w:rPr>
        <w:t> </w:t>
      </w:r>
      <w:r>
        <w:rPr>
          <w:color w:val="231F20"/>
          <w:w w:val="105"/>
          <w:vertAlign w:val="baseline"/>
        </w:rPr>
        <w:t>opposes</w:t>
      </w:r>
      <w:r>
        <w:rPr>
          <w:color w:val="231F20"/>
          <w:spacing w:val="-16"/>
          <w:w w:val="105"/>
          <w:vertAlign w:val="baseline"/>
        </w:rPr>
        <w:t> </w:t>
      </w:r>
      <w:r>
        <w:rPr>
          <w:color w:val="231F20"/>
          <w:w w:val="105"/>
          <w:vertAlign w:val="baseline"/>
        </w:rPr>
        <w:t>filtration;</w:t>
      </w:r>
      <w:r>
        <w:rPr>
          <w:color w:val="231F20"/>
          <w:spacing w:val="-15"/>
          <w:w w:val="105"/>
          <w:vertAlign w:val="baseline"/>
        </w:rPr>
        <w:t> </w:t>
      </w:r>
      <w:r>
        <w:rPr>
          <w:color w:val="231F20"/>
          <w:w w:val="105"/>
          <w:vertAlign w:val="baseline"/>
        </w:rPr>
        <w:t>(3)</w:t>
      </w:r>
      <w:r>
        <w:rPr>
          <w:color w:val="231F20"/>
          <w:spacing w:val="-16"/>
          <w:w w:val="105"/>
          <w:vertAlign w:val="baseline"/>
        </w:rPr>
        <w:t> </w:t>
      </w:r>
      <w:r>
        <w:rPr>
          <w:color w:val="231F20"/>
          <w:w w:val="105"/>
          <w:vertAlign w:val="baseline"/>
        </w:rPr>
        <w:t>the</w:t>
      </w:r>
      <w:r>
        <w:rPr>
          <w:color w:val="231F20"/>
          <w:spacing w:val="-16"/>
          <w:w w:val="105"/>
          <w:vertAlign w:val="baseline"/>
        </w:rPr>
        <w:t> </w:t>
      </w:r>
      <w:r>
        <w:rPr>
          <w:color w:val="231F20"/>
          <w:w w:val="105"/>
          <w:vertAlign w:val="baseline"/>
        </w:rPr>
        <w:t>colloid</w:t>
      </w:r>
      <w:r>
        <w:rPr>
          <w:color w:val="231F20"/>
          <w:spacing w:val="-15"/>
          <w:w w:val="105"/>
          <w:vertAlign w:val="baseline"/>
        </w:rPr>
        <w:t> </w:t>
      </w:r>
      <w:r>
        <w:rPr>
          <w:color w:val="231F20"/>
          <w:w w:val="105"/>
          <w:vertAlign w:val="baseline"/>
        </w:rPr>
        <w:t>osmotic</w:t>
      </w:r>
      <w:r>
        <w:rPr>
          <w:color w:val="231F20"/>
          <w:spacing w:val="-16"/>
          <w:w w:val="105"/>
          <w:vertAlign w:val="baseline"/>
        </w:rPr>
        <w:t> </w:t>
      </w:r>
      <w:r>
        <w:rPr>
          <w:color w:val="231F20"/>
          <w:spacing w:val="-3"/>
          <w:w w:val="105"/>
          <w:vertAlign w:val="baseline"/>
        </w:rPr>
        <w:t>pressure </w:t>
      </w:r>
      <w:r>
        <w:rPr>
          <w:color w:val="231F20"/>
          <w:w w:val="105"/>
          <w:vertAlign w:val="baseline"/>
        </w:rPr>
        <w:t>of the glomerular capillary plasma proteins (</w:t>
      </w:r>
      <w:r>
        <w:rPr>
          <w:rFonts w:ascii="Consolas" w:hAnsi="Consolas"/>
          <w:color w:val="231F20"/>
          <w:w w:val="105"/>
          <w:vertAlign w:val="baseline"/>
        </w:rPr>
        <w:t>π</w:t>
      </w:r>
      <w:r>
        <w:rPr>
          <w:color w:val="231F20"/>
          <w:w w:val="105"/>
          <w:vertAlign w:val="subscript"/>
        </w:rPr>
        <w:t>G</w:t>
      </w:r>
      <w:r>
        <w:rPr>
          <w:color w:val="231F20"/>
          <w:w w:val="105"/>
          <w:vertAlign w:val="baseline"/>
        </w:rPr>
        <w:t>), </w:t>
      </w:r>
      <w:r>
        <w:rPr>
          <w:color w:val="231F20"/>
          <w:spacing w:val="-7"/>
          <w:w w:val="105"/>
          <w:vertAlign w:val="baseline"/>
        </w:rPr>
        <w:t>which </w:t>
      </w:r>
      <w:r>
        <w:rPr>
          <w:color w:val="231F20"/>
          <w:w w:val="105"/>
          <w:vertAlign w:val="baseline"/>
        </w:rPr>
        <w:t>opposes</w:t>
      </w:r>
      <w:r>
        <w:rPr>
          <w:color w:val="231F20"/>
          <w:spacing w:val="-18"/>
          <w:w w:val="105"/>
          <w:vertAlign w:val="baseline"/>
        </w:rPr>
        <w:t> </w:t>
      </w:r>
      <w:r>
        <w:rPr>
          <w:color w:val="231F20"/>
          <w:w w:val="105"/>
          <w:vertAlign w:val="baseline"/>
        </w:rPr>
        <w:t>filtration;</w:t>
      </w:r>
      <w:r>
        <w:rPr>
          <w:color w:val="231F20"/>
          <w:spacing w:val="-17"/>
          <w:w w:val="105"/>
          <w:vertAlign w:val="baseline"/>
        </w:rPr>
        <w:t> </w:t>
      </w:r>
      <w:r>
        <w:rPr>
          <w:color w:val="231F20"/>
          <w:w w:val="105"/>
          <w:vertAlign w:val="baseline"/>
        </w:rPr>
        <w:t>and</w:t>
      </w:r>
      <w:r>
        <w:rPr>
          <w:color w:val="231F20"/>
          <w:spacing w:val="-18"/>
          <w:w w:val="105"/>
          <w:vertAlign w:val="baseline"/>
        </w:rPr>
        <w:t> </w:t>
      </w:r>
      <w:r>
        <w:rPr>
          <w:color w:val="231F20"/>
          <w:w w:val="105"/>
          <w:vertAlign w:val="baseline"/>
        </w:rPr>
        <w:t>(4)</w:t>
      </w:r>
      <w:r>
        <w:rPr>
          <w:color w:val="231F20"/>
          <w:spacing w:val="-17"/>
          <w:w w:val="105"/>
          <w:vertAlign w:val="baseline"/>
        </w:rPr>
        <w:t> </w:t>
      </w:r>
      <w:r>
        <w:rPr>
          <w:color w:val="231F20"/>
          <w:w w:val="105"/>
          <w:vertAlign w:val="baseline"/>
        </w:rPr>
        <w:t>the</w:t>
      </w:r>
      <w:r>
        <w:rPr>
          <w:color w:val="231F20"/>
          <w:spacing w:val="-17"/>
          <w:w w:val="105"/>
          <w:vertAlign w:val="baseline"/>
        </w:rPr>
        <w:t> </w:t>
      </w:r>
      <w:r>
        <w:rPr>
          <w:color w:val="231F20"/>
          <w:w w:val="105"/>
          <w:vertAlign w:val="baseline"/>
        </w:rPr>
        <w:t>colloid</w:t>
      </w:r>
      <w:r>
        <w:rPr>
          <w:color w:val="231F20"/>
          <w:spacing w:val="-18"/>
          <w:w w:val="105"/>
          <w:vertAlign w:val="baseline"/>
        </w:rPr>
        <w:t> </w:t>
      </w:r>
      <w:r>
        <w:rPr>
          <w:color w:val="231F20"/>
          <w:w w:val="105"/>
          <w:vertAlign w:val="baseline"/>
        </w:rPr>
        <w:t>osmotic</w:t>
      </w:r>
      <w:r>
        <w:rPr>
          <w:color w:val="231F20"/>
          <w:spacing w:val="-17"/>
          <w:w w:val="105"/>
          <w:vertAlign w:val="baseline"/>
        </w:rPr>
        <w:t> </w:t>
      </w:r>
      <w:r>
        <w:rPr>
          <w:color w:val="231F20"/>
          <w:w w:val="105"/>
          <w:vertAlign w:val="baseline"/>
        </w:rPr>
        <w:t>pressure</w:t>
      </w:r>
      <w:r>
        <w:rPr>
          <w:color w:val="231F20"/>
          <w:spacing w:val="-17"/>
          <w:w w:val="105"/>
          <w:vertAlign w:val="baseline"/>
        </w:rPr>
        <w:t> </w:t>
      </w:r>
      <w:r>
        <w:rPr>
          <w:color w:val="231F20"/>
          <w:spacing w:val="-6"/>
          <w:w w:val="105"/>
          <w:vertAlign w:val="baseline"/>
        </w:rPr>
        <w:t>of</w:t>
      </w:r>
    </w:p>
    <w:p>
      <w:pPr>
        <w:spacing w:line="259" w:lineRule="auto" w:before="6"/>
        <w:ind w:left="319" w:right="1077" w:firstLine="0"/>
        <w:jc w:val="both"/>
        <w:rPr>
          <w:rFonts w:ascii="Arial"/>
          <w:sz w:val="16"/>
        </w:rPr>
      </w:pPr>
      <w:r>
        <w:rPr/>
        <w:br w:type="column"/>
      </w:r>
      <w:bookmarkStart w:name="_bookmark26" w:id="27"/>
      <w:bookmarkEnd w:id="27"/>
      <w:r>
        <w:rPr/>
      </w:r>
      <w:r>
        <w:rPr>
          <w:rFonts w:ascii="Trebuchet MS"/>
          <w:b/>
          <w:color w:val="231F20"/>
          <w:sz w:val="16"/>
        </w:rPr>
        <w:t>Figure</w:t>
      </w:r>
      <w:r>
        <w:rPr>
          <w:rFonts w:ascii="Trebuchet MS"/>
          <w:b/>
          <w:color w:val="231F20"/>
          <w:spacing w:val="-20"/>
          <w:sz w:val="16"/>
        </w:rPr>
        <w:t> </w:t>
      </w:r>
      <w:r>
        <w:rPr>
          <w:rFonts w:ascii="Trebuchet MS"/>
          <w:b/>
          <w:color w:val="231F20"/>
          <w:sz w:val="16"/>
        </w:rPr>
        <w:t>27-4.</w:t>
      </w:r>
      <w:r>
        <w:rPr>
          <w:rFonts w:ascii="Trebuchet MS"/>
          <w:b/>
          <w:color w:val="231F20"/>
          <w:spacing w:val="3"/>
          <w:sz w:val="16"/>
        </w:rPr>
        <w:t> </w:t>
      </w:r>
      <w:r>
        <w:rPr>
          <w:rFonts w:ascii="Arial"/>
          <w:color w:val="231F20"/>
          <w:sz w:val="16"/>
        </w:rPr>
        <w:t>Summary</w:t>
      </w:r>
      <w:r>
        <w:rPr>
          <w:rFonts w:ascii="Arial"/>
          <w:color w:val="231F20"/>
          <w:spacing w:val="-16"/>
          <w:sz w:val="16"/>
        </w:rPr>
        <w:t> </w:t>
      </w:r>
      <w:r>
        <w:rPr>
          <w:rFonts w:ascii="Arial"/>
          <w:color w:val="231F20"/>
          <w:sz w:val="16"/>
        </w:rPr>
        <w:t>of</w:t>
      </w:r>
      <w:r>
        <w:rPr>
          <w:rFonts w:ascii="Arial"/>
          <w:color w:val="231F20"/>
          <w:spacing w:val="-15"/>
          <w:sz w:val="16"/>
        </w:rPr>
        <w:t> </w:t>
      </w:r>
      <w:r>
        <w:rPr>
          <w:rFonts w:ascii="Arial"/>
          <w:color w:val="231F20"/>
          <w:sz w:val="16"/>
        </w:rPr>
        <w:t>forces</w:t>
      </w:r>
      <w:r>
        <w:rPr>
          <w:rFonts w:ascii="Arial"/>
          <w:color w:val="231F20"/>
          <w:spacing w:val="-16"/>
          <w:sz w:val="16"/>
        </w:rPr>
        <w:t> </w:t>
      </w:r>
      <w:r>
        <w:rPr>
          <w:rFonts w:ascii="Arial"/>
          <w:color w:val="231F20"/>
          <w:sz w:val="16"/>
        </w:rPr>
        <w:t>causing</w:t>
      </w:r>
      <w:r>
        <w:rPr>
          <w:rFonts w:ascii="Arial"/>
          <w:color w:val="231F20"/>
          <w:spacing w:val="-15"/>
          <w:sz w:val="16"/>
        </w:rPr>
        <w:t> </w:t>
      </w:r>
      <w:r>
        <w:rPr>
          <w:rFonts w:ascii="Arial"/>
          <w:color w:val="231F20"/>
          <w:sz w:val="16"/>
        </w:rPr>
        <w:t>filtration</w:t>
      </w:r>
      <w:r>
        <w:rPr>
          <w:rFonts w:ascii="Arial"/>
          <w:color w:val="231F20"/>
          <w:spacing w:val="-15"/>
          <w:sz w:val="16"/>
        </w:rPr>
        <w:t> </w:t>
      </w:r>
      <w:r>
        <w:rPr>
          <w:rFonts w:ascii="Arial"/>
          <w:color w:val="231F20"/>
          <w:sz w:val="16"/>
        </w:rPr>
        <w:t>by</w:t>
      </w:r>
      <w:r>
        <w:rPr>
          <w:rFonts w:ascii="Arial"/>
          <w:color w:val="231F20"/>
          <w:spacing w:val="-16"/>
          <w:sz w:val="16"/>
        </w:rPr>
        <w:t> </w:t>
      </w:r>
      <w:r>
        <w:rPr>
          <w:rFonts w:ascii="Arial"/>
          <w:color w:val="231F20"/>
          <w:sz w:val="16"/>
        </w:rPr>
        <w:t>the</w:t>
      </w:r>
      <w:r>
        <w:rPr>
          <w:rFonts w:ascii="Arial"/>
          <w:color w:val="231F20"/>
          <w:spacing w:val="-15"/>
          <w:sz w:val="16"/>
        </w:rPr>
        <w:t> </w:t>
      </w:r>
      <w:r>
        <w:rPr>
          <w:rFonts w:ascii="Arial"/>
          <w:color w:val="231F20"/>
          <w:sz w:val="16"/>
        </w:rPr>
        <w:t>glomerular capillaries.</w:t>
      </w:r>
      <w:r>
        <w:rPr>
          <w:rFonts w:ascii="Arial"/>
          <w:color w:val="231F20"/>
          <w:spacing w:val="-9"/>
          <w:sz w:val="16"/>
        </w:rPr>
        <w:t> </w:t>
      </w:r>
      <w:r>
        <w:rPr>
          <w:rFonts w:ascii="Arial"/>
          <w:color w:val="231F20"/>
          <w:sz w:val="16"/>
        </w:rPr>
        <w:t>The</w:t>
      </w:r>
      <w:r>
        <w:rPr>
          <w:rFonts w:ascii="Arial"/>
          <w:color w:val="231F20"/>
          <w:spacing w:val="-9"/>
          <w:sz w:val="16"/>
        </w:rPr>
        <w:t> </w:t>
      </w:r>
      <w:r>
        <w:rPr>
          <w:rFonts w:ascii="Arial"/>
          <w:color w:val="231F20"/>
          <w:sz w:val="16"/>
        </w:rPr>
        <w:t>values</w:t>
      </w:r>
      <w:r>
        <w:rPr>
          <w:rFonts w:ascii="Arial"/>
          <w:color w:val="231F20"/>
          <w:spacing w:val="-9"/>
          <w:sz w:val="16"/>
        </w:rPr>
        <w:t> </w:t>
      </w:r>
      <w:r>
        <w:rPr>
          <w:rFonts w:ascii="Arial"/>
          <w:color w:val="231F20"/>
          <w:sz w:val="16"/>
        </w:rPr>
        <w:t>shown</w:t>
      </w:r>
      <w:r>
        <w:rPr>
          <w:rFonts w:ascii="Arial"/>
          <w:color w:val="231F20"/>
          <w:spacing w:val="-9"/>
          <w:sz w:val="16"/>
        </w:rPr>
        <w:t> </w:t>
      </w:r>
      <w:r>
        <w:rPr>
          <w:rFonts w:ascii="Arial"/>
          <w:color w:val="231F20"/>
          <w:sz w:val="16"/>
        </w:rPr>
        <w:t>are</w:t>
      </w:r>
      <w:r>
        <w:rPr>
          <w:rFonts w:ascii="Arial"/>
          <w:color w:val="231F20"/>
          <w:spacing w:val="-9"/>
          <w:sz w:val="16"/>
        </w:rPr>
        <w:t> </w:t>
      </w:r>
      <w:r>
        <w:rPr>
          <w:rFonts w:ascii="Arial"/>
          <w:color w:val="231F20"/>
          <w:sz w:val="16"/>
        </w:rPr>
        <w:t>estimates</w:t>
      </w:r>
      <w:r>
        <w:rPr>
          <w:rFonts w:ascii="Arial"/>
          <w:color w:val="231F20"/>
          <w:spacing w:val="-9"/>
          <w:sz w:val="16"/>
        </w:rPr>
        <w:t> </w:t>
      </w:r>
      <w:r>
        <w:rPr>
          <w:rFonts w:ascii="Arial"/>
          <w:color w:val="231F20"/>
          <w:sz w:val="16"/>
        </w:rPr>
        <w:t>for</w:t>
      </w:r>
      <w:r>
        <w:rPr>
          <w:rFonts w:ascii="Arial"/>
          <w:color w:val="231F20"/>
          <w:spacing w:val="-9"/>
          <w:sz w:val="16"/>
        </w:rPr>
        <w:t> </w:t>
      </w:r>
      <w:r>
        <w:rPr>
          <w:rFonts w:ascii="Arial"/>
          <w:color w:val="231F20"/>
          <w:sz w:val="16"/>
        </w:rPr>
        <w:t>healthy</w:t>
      </w:r>
      <w:r>
        <w:rPr>
          <w:rFonts w:ascii="Arial"/>
          <w:color w:val="231F20"/>
          <w:spacing w:val="-9"/>
          <w:sz w:val="16"/>
        </w:rPr>
        <w:t> </w:t>
      </w:r>
      <w:r>
        <w:rPr>
          <w:rFonts w:ascii="Arial"/>
          <w:color w:val="231F20"/>
          <w:sz w:val="16"/>
        </w:rPr>
        <w:t>humans.</w:t>
      </w:r>
    </w:p>
    <w:p>
      <w:pPr>
        <w:pStyle w:val="BodyText"/>
        <w:spacing w:before="7"/>
        <w:rPr>
          <w:rFonts w:ascii="Arial"/>
          <w:sz w:val="14"/>
        </w:rPr>
      </w:pPr>
    </w:p>
    <w:p>
      <w:pPr>
        <w:pStyle w:val="BodyText"/>
        <w:spacing w:line="249" w:lineRule="auto"/>
        <w:ind w:left="319" w:right="1078"/>
        <w:jc w:val="both"/>
      </w:pPr>
      <w:r>
        <w:rPr>
          <w:color w:val="231F20"/>
          <w:w w:val="105"/>
        </w:rPr>
        <w:t>the proteins in Bowman’s capsule (</w:t>
      </w:r>
      <w:r>
        <w:rPr>
          <w:rFonts w:ascii="Consolas" w:hAnsi="Consolas"/>
          <w:color w:val="231F20"/>
          <w:w w:val="105"/>
        </w:rPr>
        <w:t>π</w:t>
      </w:r>
      <w:r>
        <w:rPr>
          <w:color w:val="231F20"/>
          <w:w w:val="105"/>
          <w:vertAlign w:val="subscript"/>
        </w:rPr>
        <w:t>B</w:t>
      </w:r>
      <w:r>
        <w:rPr>
          <w:color w:val="231F20"/>
          <w:w w:val="105"/>
          <w:vertAlign w:val="baseline"/>
        </w:rPr>
        <w:t>), which </w:t>
      </w:r>
      <w:r>
        <w:rPr>
          <w:color w:val="231F20"/>
          <w:spacing w:val="-4"/>
          <w:w w:val="105"/>
          <w:vertAlign w:val="baseline"/>
        </w:rPr>
        <w:t>promotes </w:t>
      </w:r>
      <w:r>
        <w:rPr>
          <w:color w:val="231F20"/>
          <w:w w:val="105"/>
          <w:vertAlign w:val="baseline"/>
        </w:rPr>
        <w:t>filtration.</w:t>
      </w:r>
      <w:r>
        <w:rPr>
          <w:color w:val="231F20"/>
          <w:spacing w:val="-20"/>
          <w:w w:val="105"/>
          <w:vertAlign w:val="baseline"/>
        </w:rPr>
        <w:t> </w:t>
      </w:r>
      <w:r>
        <w:rPr>
          <w:color w:val="231F20"/>
          <w:w w:val="105"/>
          <w:vertAlign w:val="baseline"/>
        </w:rPr>
        <w:t>(Under</w:t>
      </w:r>
      <w:r>
        <w:rPr>
          <w:color w:val="231F20"/>
          <w:spacing w:val="-20"/>
          <w:w w:val="105"/>
          <w:vertAlign w:val="baseline"/>
        </w:rPr>
        <w:t> </w:t>
      </w:r>
      <w:r>
        <w:rPr>
          <w:color w:val="231F20"/>
          <w:w w:val="105"/>
          <w:vertAlign w:val="baseline"/>
        </w:rPr>
        <w:t>normal</w:t>
      </w:r>
      <w:r>
        <w:rPr>
          <w:color w:val="231F20"/>
          <w:spacing w:val="-20"/>
          <w:w w:val="105"/>
          <w:vertAlign w:val="baseline"/>
        </w:rPr>
        <w:t> </w:t>
      </w:r>
      <w:r>
        <w:rPr>
          <w:color w:val="231F20"/>
          <w:w w:val="105"/>
          <w:vertAlign w:val="baseline"/>
        </w:rPr>
        <w:t>conditions,</w:t>
      </w:r>
      <w:r>
        <w:rPr>
          <w:color w:val="231F20"/>
          <w:spacing w:val="-20"/>
          <w:w w:val="105"/>
          <w:vertAlign w:val="baseline"/>
        </w:rPr>
        <w:t> </w:t>
      </w:r>
      <w:r>
        <w:rPr>
          <w:color w:val="231F20"/>
          <w:w w:val="105"/>
          <w:vertAlign w:val="baseline"/>
        </w:rPr>
        <w:t>the</w:t>
      </w:r>
      <w:r>
        <w:rPr>
          <w:color w:val="231F20"/>
          <w:spacing w:val="-20"/>
          <w:w w:val="105"/>
          <w:vertAlign w:val="baseline"/>
        </w:rPr>
        <w:t> </w:t>
      </w:r>
      <w:r>
        <w:rPr>
          <w:color w:val="231F20"/>
          <w:w w:val="105"/>
          <w:vertAlign w:val="baseline"/>
        </w:rPr>
        <w:t>concentration</w:t>
      </w:r>
      <w:r>
        <w:rPr>
          <w:color w:val="231F20"/>
          <w:spacing w:val="-20"/>
          <w:w w:val="105"/>
          <w:vertAlign w:val="baseline"/>
        </w:rPr>
        <w:t> </w:t>
      </w:r>
      <w:r>
        <w:rPr>
          <w:color w:val="231F20"/>
          <w:w w:val="105"/>
          <w:vertAlign w:val="baseline"/>
        </w:rPr>
        <w:t>of protein</w:t>
      </w:r>
      <w:r>
        <w:rPr>
          <w:color w:val="231F20"/>
          <w:spacing w:val="-15"/>
          <w:w w:val="105"/>
          <w:vertAlign w:val="baseline"/>
        </w:rPr>
        <w:t> </w:t>
      </w:r>
      <w:r>
        <w:rPr>
          <w:color w:val="231F20"/>
          <w:w w:val="105"/>
          <w:vertAlign w:val="baseline"/>
        </w:rPr>
        <w:t>in</w:t>
      </w:r>
      <w:r>
        <w:rPr>
          <w:color w:val="231F20"/>
          <w:spacing w:val="-15"/>
          <w:w w:val="105"/>
          <w:vertAlign w:val="baseline"/>
        </w:rPr>
        <w:t> </w:t>
      </w:r>
      <w:r>
        <w:rPr>
          <w:color w:val="231F20"/>
          <w:w w:val="105"/>
          <w:vertAlign w:val="baseline"/>
        </w:rPr>
        <w:t>the</w:t>
      </w:r>
      <w:r>
        <w:rPr>
          <w:color w:val="231F20"/>
          <w:spacing w:val="-14"/>
          <w:w w:val="105"/>
          <w:vertAlign w:val="baseline"/>
        </w:rPr>
        <w:t> </w:t>
      </w:r>
      <w:r>
        <w:rPr>
          <w:color w:val="231F20"/>
          <w:w w:val="105"/>
          <w:vertAlign w:val="baseline"/>
        </w:rPr>
        <w:t>glomerular</w:t>
      </w:r>
      <w:r>
        <w:rPr>
          <w:color w:val="231F20"/>
          <w:spacing w:val="-15"/>
          <w:w w:val="105"/>
          <w:vertAlign w:val="baseline"/>
        </w:rPr>
        <w:t> </w:t>
      </w:r>
      <w:r>
        <w:rPr>
          <w:color w:val="231F20"/>
          <w:w w:val="105"/>
          <w:vertAlign w:val="baseline"/>
        </w:rPr>
        <w:t>filtrate</w:t>
      </w:r>
      <w:r>
        <w:rPr>
          <w:color w:val="231F20"/>
          <w:spacing w:val="-15"/>
          <w:w w:val="105"/>
          <w:vertAlign w:val="baseline"/>
        </w:rPr>
        <w:t> </w:t>
      </w:r>
      <w:r>
        <w:rPr>
          <w:color w:val="231F20"/>
          <w:w w:val="105"/>
          <w:vertAlign w:val="baseline"/>
        </w:rPr>
        <w:t>is</w:t>
      </w:r>
      <w:r>
        <w:rPr>
          <w:color w:val="231F20"/>
          <w:spacing w:val="-14"/>
          <w:w w:val="105"/>
          <w:vertAlign w:val="baseline"/>
        </w:rPr>
        <w:t> </w:t>
      </w:r>
      <w:r>
        <w:rPr>
          <w:color w:val="231F20"/>
          <w:w w:val="105"/>
          <w:vertAlign w:val="baseline"/>
        </w:rPr>
        <w:t>so</w:t>
      </w:r>
      <w:r>
        <w:rPr>
          <w:color w:val="231F20"/>
          <w:spacing w:val="-15"/>
          <w:w w:val="105"/>
          <w:vertAlign w:val="baseline"/>
        </w:rPr>
        <w:t> </w:t>
      </w:r>
      <w:r>
        <w:rPr>
          <w:color w:val="231F20"/>
          <w:w w:val="105"/>
          <w:vertAlign w:val="baseline"/>
        </w:rPr>
        <w:t>low</w:t>
      </w:r>
      <w:r>
        <w:rPr>
          <w:color w:val="231F20"/>
          <w:spacing w:val="-15"/>
          <w:w w:val="105"/>
          <w:vertAlign w:val="baseline"/>
        </w:rPr>
        <w:t> </w:t>
      </w:r>
      <w:r>
        <w:rPr>
          <w:color w:val="231F20"/>
          <w:w w:val="105"/>
          <w:vertAlign w:val="baseline"/>
        </w:rPr>
        <w:t>that</w:t>
      </w:r>
      <w:r>
        <w:rPr>
          <w:color w:val="231F20"/>
          <w:spacing w:val="-14"/>
          <w:w w:val="105"/>
          <w:vertAlign w:val="baseline"/>
        </w:rPr>
        <w:t> </w:t>
      </w:r>
      <w:r>
        <w:rPr>
          <w:color w:val="231F20"/>
          <w:w w:val="105"/>
          <w:vertAlign w:val="baseline"/>
        </w:rPr>
        <w:t>the</w:t>
      </w:r>
      <w:r>
        <w:rPr>
          <w:color w:val="231F20"/>
          <w:spacing w:val="-15"/>
          <w:w w:val="105"/>
          <w:vertAlign w:val="baseline"/>
        </w:rPr>
        <w:t> </w:t>
      </w:r>
      <w:r>
        <w:rPr>
          <w:color w:val="231F20"/>
          <w:w w:val="105"/>
          <w:vertAlign w:val="baseline"/>
        </w:rPr>
        <w:t>colloid osmotic</w:t>
      </w:r>
      <w:r>
        <w:rPr>
          <w:color w:val="231F20"/>
          <w:spacing w:val="-30"/>
          <w:w w:val="105"/>
          <w:vertAlign w:val="baseline"/>
        </w:rPr>
        <w:t> </w:t>
      </w:r>
      <w:r>
        <w:rPr>
          <w:color w:val="231F20"/>
          <w:w w:val="105"/>
          <w:vertAlign w:val="baseline"/>
        </w:rPr>
        <w:t>pressure</w:t>
      </w:r>
      <w:r>
        <w:rPr>
          <w:color w:val="231F20"/>
          <w:spacing w:val="-29"/>
          <w:w w:val="105"/>
          <w:vertAlign w:val="baseline"/>
        </w:rPr>
        <w:t> </w:t>
      </w:r>
      <w:r>
        <w:rPr>
          <w:color w:val="231F20"/>
          <w:w w:val="105"/>
          <w:vertAlign w:val="baseline"/>
        </w:rPr>
        <w:t>of</w:t>
      </w:r>
      <w:r>
        <w:rPr>
          <w:color w:val="231F20"/>
          <w:spacing w:val="-29"/>
          <w:w w:val="105"/>
          <w:vertAlign w:val="baseline"/>
        </w:rPr>
        <w:t> </w:t>
      </w:r>
      <w:r>
        <w:rPr>
          <w:color w:val="231F20"/>
          <w:w w:val="105"/>
          <w:vertAlign w:val="baseline"/>
        </w:rPr>
        <w:t>the</w:t>
      </w:r>
      <w:r>
        <w:rPr>
          <w:color w:val="231F20"/>
          <w:spacing w:val="-30"/>
          <w:w w:val="105"/>
          <w:vertAlign w:val="baseline"/>
        </w:rPr>
        <w:t> </w:t>
      </w:r>
      <w:r>
        <w:rPr>
          <w:color w:val="231F20"/>
          <w:w w:val="105"/>
          <w:vertAlign w:val="baseline"/>
        </w:rPr>
        <w:t>Bowman’s</w:t>
      </w:r>
      <w:r>
        <w:rPr>
          <w:color w:val="231F20"/>
          <w:spacing w:val="-29"/>
          <w:w w:val="105"/>
          <w:vertAlign w:val="baseline"/>
        </w:rPr>
        <w:t> </w:t>
      </w:r>
      <w:r>
        <w:rPr>
          <w:color w:val="231F20"/>
          <w:w w:val="105"/>
          <w:vertAlign w:val="baseline"/>
        </w:rPr>
        <w:t>capsule</w:t>
      </w:r>
      <w:r>
        <w:rPr>
          <w:color w:val="231F20"/>
          <w:spacing w:val="-29"/>
          <w:w w:val="105"/>
          <w:vertAlign w:val="baseline"/>
        </w:rPr>
        <w:t> </w:t>
      </w:r>
      <w:r>
        <w:rPr>
          <w:color w:val="231F20"/>
          <w:w w:val="105"/>
          <w:vertAlign w:val="baseline"/>
        </w:rPr>
        <w:t>fluid</w:t>
      </w:r>
      <w:r>
        <w:rPr>
          <w:color w:val="231F20"/>
          <w:spacing w:val="-30"/>
          <w:w w:val="105"/>
          <w:vertAlign w:val="baseline"/>
        </w:rPr>
        <w:t> </w:t>
      </w:r>
      <w:r>
        <w:rPr>
          <w:color w:val="231F20"/>
          <w:w w:val="105"/>
          <w:vertAlign w:val="baseline"/>
        </w:rPr>
        <w:t>is</w:t>
      </w:r>
      <w:r>
        <w:rPr>
          <w:color w:val="231F20"/>
          <w:spacing w:val="-29"/>
          <w:w w:val="105"/>
          <w:vertAlign w:val="baseline"/>
        </w:rPr>
        <w:t> </w:t>
      </w:r>
      <w:r>
        <w:rPr>
          <w:color w:val="231F20"/>
          <w:w w:val="105"/>
          <w:vertAlign w:val="baseline"/>
        </w:rPr>
        <w:t>consid­ ered to be</w:t>
      </w:r>
      <w:r>
        <w:rPr>
          <w:color w:val="231F20"/>
          <w:spacing w:val="9"/>
          <w:w w:val="105"/>
          <w:vertAlign w:val="baseline"/>
        </w:rPr>
        <w:t> </w:t>
      </w:r>
      <w:r>
        <w:rPr>
          <w:color w:val="231F20"/>
          <w:w w:val="105"/>
          <w:vertAlign w:val="baseline"/>
        </w:rPr>
        <w:t>zero.)</w:t>
      </w:r>
    </w:p>
    <w:p>
      <w:pPr>
        <w:pStyle w:val="BodyText"/>
        <w:spacing w:line="227" w:lineRule="exact"/>
        <w:ind w:left="559"/>
        <w:jc w:val="both"/>
      </w:pPr>
      <w:r>
        <w:rPr>
          <w:color w:val="231F20"/>
        </w:rPr>
        <w:t>The</w:t>
      </w:r>
      <w:r>
        <w:rPr>
          <w:color w:val="231F20"/>
          <w:spacing w:val="12"/>
        </w:rPr>
        <w:t> </w:t>
      </w:r>
      <w:r>
        <w:rPr>
          <w:color w:val="231F20"/>
        </w:rPr>
        <w:t>GFR</w:t>
      </w:r>
      <w:r>
        <w:rPr>
          <w:color w:val="231F20"/>
          <w:spacing w:val="13"/>
        </w:rPr>
        <w:t> </w:t>
      </w:r>
      <w:r>
        <w:rPr>
          <w:color w:val="231F20"/>
        </w:rPr>
        <w:t>can</w:t>
      </w:r>
      <w:r>
        <w:rPr>
          <w:color w:val="231F20"/>
          <w:spacing w:val="12"/>
        </w:rPr>
        <w:t> </w:t>
      </w:r>
      <w:r>
        <w:rPr>
          <w:color w:val="231F20"/>
        </w:rPr>
        <w:t>therefore</w:t>
      </w:r>
      <w:r>
        <w:rPr>
          <w:color w:val="231F20"/>
          <w:spacing w:val="13"/>
        </w:rPr>
        <w:t> </w:t>
      </w:r>
      <w:r>
        <w:rPr>
          <w:color w:val="231F20"/>
        </w:rPr>
        <w:t>be</w:t>
      </w:r>
      <w:r>
        <w:rPr>
          <w:color w:val="231F20"/>
          <w:spacing w:val="12"/>
        </w:rPr>
        <w:t> </w:t>
      </w:r>
      <w:r>
        <w:rPr>
          <w:color w:val="231F20"/>
        </w:rPr>
        <w:t>expressed</w:t>
      </w:r>
      <w:r>
        <w:rPr>
          <w:color w:val="231F20"/>
          <w:spacing w:val="13"/>
        </w:rPr>
        <w:t> </w:t>
      </w:r>
      <w:r>
        <w:rPr>
          <w:color w:val="231F20"/>
        </w:rPr>
        <w:t>as</w:t>
      </w:r>
    </w:p>
    <w:p>
      <w:pPr>
        <w:spacing w:before="145"/>
        <w:ind w:left="295" w:right="1054" w:firstLine="0"/>
        <w:jc w:val="center"/>
        <w:rPr>
          <w:rFonts w:ascii="Trebuchet MS" w:hAnsi="Trebuchet MS"/>
          <w:sz w:val="18"/>
        </w:rPr>
      </w:pPr>
      <w:r>
        <w:rPr>
          <w:rFonts w:ascii="Trebuchet MS" w:hAnsi="Trebuchet MS"/>
          <w:w w:val="105"/>
          <w:sz w:val="18"/>
        </w:rPr>
        <w:t>GFR</w:t>
      </w:r>
      <w:r>
        <w:rPr>
          <w:rFonts w:ascii="Trebuchet MS" w:hAnsi="Trebuchet MS"/>
          <w:spacing w:val="-13"/>
          <w:w w:val="105"/>
          <w:sz w:val="18"/>
        </w:rPr>
        <w:t> </w:t>
      </w:r>
      <w:r>
        <w:rPr>
          <w:rFonts w:ascii="Symbol" w:hAnsi="Symbol"/>
          <w:w w:val="105"/>
          <w:sz w:val="18"/>
        </w:rPr>
        <w:t></w:t>
      </w:r>
      <w:r>
        <w:rPr>
          <w:spacing w:val="-14"/>
          <w:w w:val="105"/>
          <w:sz w:val="18"/>
        </w:rPr>
        <w:t> </w:t>
      </w:r>
      <w:r>
        <w:rPr>
          <w:rFonts w:ascii="Trebuchet MS" w:hAnsi="Trebuchet MS"/>
          <w:spacing w:val="4"/>
          <w:w w:val="105"/>
          <w:sz w:val="18"/>
        </w:rPr>
        <w:t>K</w:t>
      </w:r>
      <w:r>
        <w:rPr>
          <w:rFonts w:ascii="Trebuchet MS" w:hAnsi="Trebuchet MS"/>
          <w:spacing w:val="4"/>
          <w:w w:val="105"/>
          <w:position w:val="-2"/>
          <w:sz w:val="10"/>
        </w:rPr>
        <w:t>f</w:t>
      </w:r>
      <w:r>
        <w:rPr>
          <w:rFonts w:ascii="Trebuchet MS" w:hAnsi="Trebuchet MS"/>
          <w:spacing w:val="20"/>
          <w:w w:val="105"/>
          <w:position w:val="-2"/>
          <w:sz w:val="10"/>
        </w:rPr>
        <w:t> </w:t>
      </w:r>
      <w:r>
        <w:rPr>
          <w:rFonts w:ascii="Symbol" w:hAnsi="Symbol"/>
          <w:w w:val="105"/>
          <w:sz w:val="18"/>
        </w:rPr>
        <w:t></w:t>
      </w:r>
      <w:r>
        <w:rPr>
          <w:spacing w:val="-19"/>
          <w:w w:val="105"/>
          <w:sz w:val="18"/>
        </w:rPr>
        <w:t> </w:t>
      </w:r>
      <w:r>
        <w:rPr>
          <w:rFonts w:ascii="Trebuchet MS" w:hAnsi="Trebuchet MS"/>
          <w:spacing w:val="-9"/>
          <w:w w:val="105"/>
          <w:sz w:val="18"/>
        </w:rPr>
        <w:t>(P</w:t>
      </w:r>
      <w:r>
        <w:rPr>
          <w:rFonts w:ascii="Trebuchet MS" w:hAnsi="Trebuchet MS"/>
          <w:spacing w:val="-9"/>
          <w:w w:val="105"/>
          <w:position w:val="-2"/>
          <w:sz w:val="10"/>
        </w:rPr>
        <w:t>G</w:t>
      </w:r>
      <w:r>
        <w:rPr>
          <w:rFonts w:ascii="Trebuchet MS" w:hAnsi="Trebuchet MS"/>
          <w:spacing w:val="12"/>
          <w:w w:val="105"/>
          <w:position w:val="-2"/>
          <w:sz w:val="10"/>
        </w:rPr>
        <w:t> </w:t>
      </w:r>
      <w:r>
        <w:rPr>
          <w:rFonts w:ascii="Symbol" w:hAnsi="Symbol"/>
          <w:w w:val="105"/>
          <w:sz w:val="18"/>
        </w:rPr>
        <w:t></w:t>
      </w:r>
      <w:r>
        <w:rPr>
          <w:spacing w:val="-24"/>
          <w:w w:val="105"/>
          <w:sz w:val="18"/>
        </w:rPr>
        <w:t> </w:t>
      </w:r>
      <w:r>
        <w:rPr>
          <w:rFonts w:ascii="Trebuchet MS" w:hAnsi="Trebuchet MS"/>
          <w:spacing w:val="-12"/>
          <w:w w:val="105"/>
          <w:sz w:val="18"/>
        </w:rPr>
        <w:t>P</w:t>
      </w:r>
      <w:r>
        <w:rPr>
          <w:rFonts w:ascii="Trebuchet MS" w:hAnsi="Trebuchet MS"/>
          <w:spacing w:val="-12"/>
          <w:w w:val="105"/>
          <w:position w:val="-2"/>
          <w:sz w:val="10"/>
        </w:rPr>
        <w:t>B </w:t>
      </w:r>
      <w:r>
        <w:rPr>
          <w:rFonts w:ascii="Trebuchet MS" w:hAnsi="Trebuchet MS"/>
          <w:spacing w:val="-6"/>
          <w:w w:val="105"/>
          <w:position w:val="-2"/>
          <w:sz w:val="10"/>
        </w:rPr>
        <w:t> </w:t>
      </w:r>
      <w:r>
        <w:rPr>
          <w:rFonts w:ascii="Symbol" w:hAnsi="Symbol"/>
          <w:w w:val="105"/>
          <w:sz w:val="18"/>
        </w:rPr>
        <w:t></w:t>
      </w:r>
      <w:r>
        <w:rPr>
          <w:spacing w:val="-11"/>
          <w:w w:val="105"/>
          <w:sz w:val="18"/>
        </w:rPr>
        <w:t> </w:t>
      </w:r>
      <w:r>
        <w:rPr>
          <w:rFonts w:ascii="Symbol" w:hAnsi="Symbol"/>
          <w:spacing w:val="3"/>
          <w:w w:val="105"/>
          <w:sz w:val="18"/>
        </w:rPr>
        <w:t></w:t>
      </w:r>
      <w:r>
        <w:rPr>
          <w:rFonts w:ascii="Trebuchet MS" w:hAnsi="Trebuchet MS"/>
          <w:spacing w:val="3"/>
          <w:w w:val="105"/>
          <w:position w:val="-2"/>
          <w:sz w:val="10"/>
        </w:rPr>
        <w:t>G</w:t>
      </w:r>
      <w:r>
        <w:rPr>
          <w:rFonts w:ascii="Trebuchet MS" w:hAnsi="Trebuchet MS"/>
          <w:spacing w:val="11"/>
          <w:w w:val="105"/>
          <w:position w:val="-2"/>
          <w:sz w:val="10"/>
        </w:rPr>
        <w:t> </w:t>
      </w:r>
      <w:r>
        <w:rPr>
          <w:rFonts w:ascii="Symbol" w:hAnsi="Symbol"/>
          <w:w w:val="105"/>
          <w:sz w:val="18"/>
        </w:rPr>
        <w:t></w:t>
      </w:r>
      <w:r>
        <w:rPr>
          <w:spacing w:val="-8"/>
          <w:w w:val="105"/>
          <w:sz w:val="18"/>
        </w:rPr>
        <w:t> </w:t>
      </w:r>
      <w:r>
        <w:rPr>
          <w:rFonts w:ascii="Symbol" w:hAnsi="Symbol"/>
          <w:w w:val="105"/>
          <w:sz w:val="18"/>
        </w:rPr>
        <w:t></w:t>
      </w:r>
      <w:r>
        <w:rPr>
          <w:rFonts w:ascii="Trebuchet MS" w:hAnsi="Trebuchet MS"/>
          <w:w w:val="105"/>
          <w:position w:val="-2"/>
          <w:sz w:val="10"/>
        </w:rPr>
        <w:t>B</w:t>
      </w:r>
      <w:r>
        <w:rPr>
          <w:rFonts w:ascii="Trebuchet MS" w:hAnsi="Trebuchet MS"/>
          <w:spacing w:val="-16"/>
          <w:w w:val="105"/>
          <w:position w:val="-2"/>
          <w:sz w:val="10"/>
        </w:rPr>
        <w:t> </w:t>
      </w:r>
      <w:r>
        <w:rPr>
          <w:rFonts w:ascii="Trebuchet MS" w:hAnsi="Trebuchet MS"/>
          <w:w w:val="105"/>
          <w:sz w:val="18"/>
        </w:rPr>
        <w:t>)</w:t>
      </w:r>
    </w:p>
    <w:p>
      <w:pPr>
        <w:pStyle w:val="BodyText"/>
        <w:spacing w:line="249" w:lineRule="auto" w:before="112"/>
        <w:ind w:left="319" w:right="1079" w:firstLine="240"/>
        <w:jc w:val="both"/>
      </w:pPr>
      <w:r>
        <w:rPr>
          <w:color w:val="231F20"/>
          <w:w w:val="105"/>
        </w:rPr>
        <w:t>Although the normal values for the determinants </w:t>
      </w:r>
      <w:r>
        <w:rPr>
          <w:color w:val="231F20"/>
          <w:spacing w:val="-7"/>
          <w:w w:val="105"/>
        </w:rPr>
        <w:t>of </w:t>
      </w:r>
      <w:r>
        <w:rPr>
          <w:color w:val="231F20"/>
          <w:w w:val="105"/>
        </w:rPr>
        <w:t>GFR have not been measured directly in humans, they have been estimated in animals such as dogs and rats. Based</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6"/>
          <w:w w:val="105"/>
        </w:rPr>
        <w:t> </w:t>
      </w:r>
      <w:r>
        <w:rPr>
          <w:color w:val="231F20"/>
          <w:w w:val="105"/>
        </w:rPr>
        <w:t>results</w:t>
      </w:r>
      <w:r>
        <w:rPr>
          <w:color w:val="231F20"/>
          <w:spacing w:val="-7"/>
          <w:w w:val="105"/>
        </w:rPr>
        <w:t> </w:t>
      </w:r>
      <w:r>
        <w:rPr>
          <w:color w:val="231F20"/>
          <w:w w:val="105"/>
        </w:rPr>
        <w:t>in</w:t>
      </w:r>
      <w:r>
        <w:rPr>
          <w:color w:val="231F20"/>
          <w:spacing w:val="-7"/>
          <w:w w:val="105"/>
        </w:rPr>
        <w:t> </w:t>
      </w:r>
      <w:r>
        <w:rPr>
          <w:color w:val="231F20"/>
          <w:w w:val="105"/>
        </w:rPr>
        <w:t>animals,</w:t>
      </w:r>
      <w:r>
        <w:rPr>
          <w:color w:val="231F20"/>
          <w:spacing w:val="-6"/>
          <w:w w:val="105"/>
        </w:rPr>
        <w:t> </w:t>
      </w:r>
      <w:r>
        <w:rPr>
          <w:color w:val="231F20"/>
          <w:w w:val="105"/>
        </w:rPr>
        <w:t>the</w:t>
      </w:r>
      <w:r>
        <w:rPr>
          <w:color w:val="231F20"/>
          <w:spacing w:val="-7"/>
          <w:w w:val="105"/>
        </w:rPr>
        <w:t> </w:t>
      </w:r>
      <w:r>
        <w:rPr>
          <w:color w:val="231F20"/>
          <w:w w:val="105"/>
        </w:rPr>
        <w:t>approximate</w:t>
      </w:r>
      <w:r>
        <w:rPr>
          <w:color w:val="231F20"/>
          <w:spacing w:val="-7"/>
          <w:w w:val="105"/>
        </w:rPr>
        <w:t> </w:t>
      </w:r>
      <w:r>
        <w:rPr>
          <w:color w:val="231F20"/>
          <w:w w:val="105"/>
        </w:rPr>
        <w:t>normal forces favoring and opposing glomerular filtration </w:t>
      </w:r>
      <w:r>
        <w:rPr>
          <w:color w:val="231F20"/>
          <w:spacing w:val="-7"/>
          <w:w w:val="105"/>
        </w:rPr>
        <w:t>in </w:t>
      </w:r>
      <w:r>
        <w:rPr>
          <w:color w:val="231F20"/>
          <w:w w:val="105"/>
        </w:rPr>
        <w:t>humans</w:t>
      </w:r>
      <w:r>
        <w:rPr>
          <w:color w:val="231F20"/>
          <w:spacing w:val="-10"/>
          <w:w w:val="105"/>
        </w:rPr>
        <w:t> </w:t>
      </w:r>
      <w:r>
        <w:rPr>
          <w:color w:val="231F20"/>
          <w:w w:val="105"/>
        </w:rPr>
        <w:t>are</w:t>
      </w:r>
      <w:r>
        <w:rPr>
          <w:color w:val="231F20"/>
          <w:spacing w:val="-10"/>
          <w:w w:val="105"/>
        </w:rPr>
        <w:t> </w:t>
      </w:r>
      <w:r>
        <w:rPr>
          <w:color w:val="231F20"/>
          <w:w w:val="105"/>
        </w:rPr>
        <w:t>believed</w:t>
      </w:r>
      <w:r>
        <w:rPr>
          <w:color w:val="231F20"/>
          <w:spacing w:val="-10"/>
          <w:w w:val="105"/>
        </w:rPr>
        <w:t> </w:t>
      </w:r>
      <w:r>
        <w:rPr>
          <w:color w:val="231F20"/>
          <w:w w:val="105"/>
        </w:rPr>
        <w:t>to</w:t>
      </w:r>
      <w:r>
        <w:rPr>
          <w:color w:val="231F20"/>
          <w:spacing w:val="-9"/>
          <w:w w:val="105"/>
        </w:rPr>
        <w:t> </w:t>
      </w:r>
      <w:r>
        <w:rPr>
          <w:color w:val="231F20"/>
          <w:w w:val="105"/>
        </w:rPr>
        <w:t>be</w:t>
      </w:r>
      <w:r>
        <w:rPr>
          <w:color w:val="231F20"/>
          <w:spacing w:val="-10"/>
          <w:w w:val="105"/>
        </w:rPr>
        <w:t> </w:t>
      </w:r>
      <w:r>
        <w:rPr>
          <w:color w:val="231F20"/>
          <w:w w:val="105"/>
        </w:rPr>
        <w:t>as</w:t>
      </w:r>
      <w:r>
        <w:rPr>
          <w:color w:val="231F20"/>
          <w:spacing w:val="-10"/>
          <w:w w:val="105"/>
        </w:rPr>
        <w:t> </w:t>
      </w:r>
      <w:r>
        <w:rPr>
          <w:color w:val="231F20"/>
          <w:w w:val="105"/>
        </w:rPr>
        <w:t>follows</w:t>
      </w:r>
      <w:r>
        <w:rPr>
          <w:color w:val="231F20"/>
          <w:spacing w:val="-9"/>
          <w:w w:val="105"/>
        </w:rPr>
        <w:t> </w:t>
      </w:r>
      <w:r>
        <w:rPr>
          <w:color w:val="231F20"/>
          <w:w w:val="105"/>
        </w:rPr>
        <w:t>(see</w:t>
      </w:r>
      <w:r>
        <w:rPr>
          <w:color w:val="231F20"/>
          <w:spacing w:val="-9"/>
          <w:w w:val="105"/>
        </w:rPr>
        <w:t> </w:t>
      </w:r>
      <w:hyperlink w:history="true" w:anchor="_bookmark26">
        <w:r>
          <w:rPr>
            <w:b/>
            <w:color w:val="0080AC"/>
            <w:w w:val="105"/>
          </w:rPr>
          <w:t>Figure</w:t>
        </w:r>
        <w:r>
          <w:rPr>
            <w:b/>
            <w:color w:val="0080AC"/>
            <w:spacing w:val="-11"/>
            <w:w w:val="105"/>
          </w:rPr>
          <w:t> </w:t>
        </w:r>
        <w:r>
          <w:rPr>
            <w:b/>
            <w:color w:val="0080AC"/>
            <w:w w:val="105"/>
          </w:rPr>
          <w:t>27-4</w:t>
        </w:r>
      </w:hyperlink>
      <w:r>
        <w:rPr>
          <w:color w:val="231F20"/>
          <w:w w:val="105"/>
        </w:rPr>
        <w:t>):</w:t>
      </w:r>
    </w:p>
    <w:p>
      <w:pPr>
        <w:pStyle w:val="BodyText"/>
        <w:spacing w:before="7"/>
        <w:rPr>
          <w:sz w:val="26"/>
        </w:rPr>
      </w:pPr>
    </w:p>
    <w:p>
      <w:pPr>
        <w:spacing w:before="0"/>
        <w:ind w:left="559" w:right="0" w:firstLine="0"/>
        <w:jc w:val="left"/>
        <w:rPr>
          <w:rFonts w:ascii="Trebuchet MS"/>
          <w:b/>
          <w:sz w:val="16"/>
        </w:rPr>
      </w:pPr>
      <w:r>
        <w:rPr>
          <w:rFonts w:ascii="Trebuchet MS"/>
          <w:b/>
          <w:color w:val="231F20"/>
          <w:sz w:val="16"/>
        </w:rPr>
        <w:t>Forces Favoring Filtration (mm Hg)</w:t>
      </w:r>
    </w:p>
    <w:p>
      <w:pPr>
        <w:tabs>
          <w:tab w:pos="4597" w:val="right" w:leader="none"/>
        </w:tabs>
        <w:spacing w:before="89"/>
        <w:ind w:left="559" w:right="0" w:firstLine="0"/>
        <w:jc w:val="left"/>
        <w:rPr>
          <w:rFonts w:ascii="Trebuchet MS"/>
          <w:sz w:val="16"/>
        </w:rPr>
      </w:pPr>
      <w:r>
        <w:rPr>
          <w:rFonts w:ascii="Trebuchet MS"/>
          <w:color w:val="231F20"/>
          <w:w w:val="105"/>
          <w:sz w:val="16"/>
        </w:rPr>
        <w:t>Glomerular</w:t>
      </w:r>
      <w:r>
        <w:rPr>
          <w:rFonts w:ascii="Trebuchet MS"/>
          <w:color w:val="231F20"/>
          <w:spacing w:val="1"/>
          <w:w w:val="105"/>
          <w:sz w:val="16"/>
        </w:rPr>
        <w:t> </w:t>
      </w:r>
      <w:r>
        <w:rPr>
          <w:rFonts w:ascii="Trebuchet MS"/>
          <w:color w:val="231F20"/>
          <w:w w:val="105"/>
          <w:sz w:val="16"/>
        </w:rPr>
        <w:t>hydrostatic</w:t>
      </w:r>
      <w:r>
        <w:rPr>
          <w:rFonts w:ascii="Trebuchet MS"/>
          <w:color w:val="231F20"/>
          <w:spacing w:val="2"/>
          <w:w w:val="105"/>
          <w:sz w:val="16"/>
        </w:rPr>
        <w:t> </w:t>
      </w:r>
      <w:r>
        <w:rPr>
          <w:rFonts w:ascii="Trebuchet MS"/>
          <w:color w:val="231F20"/>
          <w:w w:val="105"/>
          <w:sz w:val="16"/>
        </w:rPr>
        <w:t>pressure</w:t>
        <w:tab/>
        <w:t>60</w:t>
      </w:r>
    </w:p>
    <w:p>
      <w:pPr>
        <w:tabs>
          <w:tab w:pos="4509" w:val="left" w:leader="none"/>
        </w:tabs>
        <w:spacing w:before="89"/>
        <w:ind w:left="559" w:right="0" w:firstLine="0"/>
        <w:jc w:val="left"/>
        <w:rPr>
          <w:rFonts w:ascii="Trebuchet MS" w:hAnsi="Trebuchet MS"/>
          <w:sz w:val="16"/>
        </w:rPr>
      </w:pPr>
      <w:r>
        <w:rPr>
          <w:rFonts w:ascii="Trebuchet MS" w:hAnsi="Trebuchet MS"/>
          <w:color w:val="231F20"/>
          <w:w w:val="105"/>
          <w:sz w:val="16"/>
        </w:rPr>
        <w:t>Bowman’s capsule colloid</w:t>
      </w:r>
      <w:r>
        <w:rPr>
          <w:rFonts w:ascii="Trebuchet MS" w:hAnsi="Trebuchet MS"/>
          <w:color w:val="231F20"/>
          <w:spacing w:val="-17"/>
          <w:w w:val="105"/>
          <w:sz w:val="16"/>
        </w:rPr>
        <w:t> </w:t>
      </w:r>
      <w:r>
        <w:rPr>
          <w:rFonts w:ascii="Trebuchet MS" w:hAnsi="Trebuchet MS"/>
          <w:color w:val="231F20"/>
          <w:w w:val="105"/>
          <w:sz w:val="16"/>
        </w:rPr>
        <w:t>osmotic</w:t>
      </w:r>
      <w:r>
        <w:rPr>
          <w:rFonts w:ascii="Trebuchet MS" w:hAnsi="Trebuchet MS"/>
          <w:color w:val="231F20"/>
          <w:spacing w:val="-5"/>
          <w:w w:val="105"/>
          <w:sz w:val="16"/>
        </w:rPr>
        <w:t> </w:t>
      </w:r>
      <w:r>
        <w:rPr>
          <w:rFonts w:ascii="Trebuchet MS" w:hAnsi="Trebuchet MS"/>
          <w:color w:val="231F20"/>
          <w:w w:val="105"/>
          <w:sz w:val="16"/>
        </w:rPr>
        <w:t>pressure</w:t>
        <w:tab/>
        <w:t>0</w:t>
      </w:r>
    </w:p>
    <w:p>
      <w:pPr>
        <w:spacing w:before="88"/>
        <w:ind w:left="559" w:right="0" w:firstLine="0"/>
        <w:jc w:val="left"/>
        <w:rPr>
          <w:rFonts w:ascii="Trebuchet MS"/>
          <w:b/>
          <w:sz w:val="16"/>
        </w:rPr>
      </w:pPr>
      <w:r>
        <w:rPr>
          <w:rFonts w:ascii="Trebuchet MS"/>
          <w:b/>
          <w:color w:val="231F20"/>
          <w:sz w:val="16"/>
        </w:rPr>
        <w:t>Forces Opposing Filtration (mm Hg)</w:t>
      </w:r>
    </w:p>
    <w:p>
      <w:pPr>
        <w:tabs>
          <w:tab w:pos="4597" w:val="right" w:leader="none"/>
        </w:tabs>
        <w:spacing w:before="89"/>
        <w:ind w:left="559" w:right="0" w:firstLine="0"/>
        <w:jc w:val="left"/>
        <w:rPr>
          <w:rFonts w:ascii="Trebuchet MS" w:hAnsi="Trebuchet MS"/>
          <w:sz w:val="16"/>
        </w:rPr>
      </w:pPr>
      <w:r>
        <w:rPr>
          <w:rFonts w:ascii="Trebuchet MS" w:hAnsi="Trebuchet MS"/>
          <w:color w:val="231F20"/>
          <w:w w:val="105"/>
          <w:sz w:val="16"/>
        </w:rPr>
        <w:t>Bowman’s capsule hydrostatic pressure</w:t>
        <w:tab/>
        <w:t>18</w:t>
      </w:r>
    </w:p>
    <w:p>
      <w:pPr>
        <w:tabs>
          <w:tab w:pos="4597" w:val="right" w:leader="none"/>
        </w:tabs>
        <w:spacing w:before="89"/>
        <w:ind w:left="559" w:right="0" w:firstLine="0"/>
        <w:jc w:val="left"/>
        <w:rPr>
          <w:rFonts w:ascii="Trebuchet MS"/>
          <w:sz w:val="16"/>
        </w:rPr>
      </w:pPr>
      <w:r>
        <w:rPr>
          <w:rFonts w:ascii="Trebuchet MS"/>
          <w:color w:val="231F20"/>
          <w:w w:val="105"/>
          <w:sz w:val="16"/>
        </w:rPr>
        <w:t>Glomerular capillary colloid</w:t>
      </w:r>
      <w:r>
        <w:rPr>
          <w:rFonts w:ascii="Trebuchet MS"/>
          <w:color w:val="231F20"/>
          <w:spacing w:val="-4"/>
          <w:w w:val="105"/>
          <w:sz w:val="16"/>
        </w:rPr>
        <w:t> </w:t>
      </w:r>
      <w:r>
        <w:rPr>
          <w:rFonts w:ascii="Trebuchet MS"/>
          <w:color w:val="231F20"/>
          <w:w w:val="105"/>
          <w:sz w:val="16"/>
        </w:rPr>
        <w:t>osmotic</w:t>
      </w:r>
      <w:r>
        <w:rPr>
          <w:rFonts w:ascii="Trebuchet MS"/>
          <w:color w:val="231F20"/>
          <w:spacing w:val="-2"/>
          <w:w w:val="105"/>
          <w:sz w:val="16"/>
        </w:rPr>
        <w:t> </w:t>
      </w:r>
      <w:r>
        <w:rPr>
          <w:rFonts w:ascii="Trebuchet MS"/>
          <w:color w:val="231F20"/>
          <w:w w:val="105"/>
          <w:sz w:val="16"/>
        </w:rPr>
        <w:t>pressure</w:t>
        <w:tab/>
        <w:t>32</w:t>
      </w:r>
    </w:p>
    <w:p>
      <w:pPr>
        <w:spacing w:before="83"/>
        <w:ind w:left="555" w:right="0" w:firstLine="0"/>
        <w:jc w:val="left"/>
        <w:rPr>
          <w:rFonts w:ascii="Trebuchet MS" w:hAnsi="Trebuchet MS"/>
          <w:sz w:val="16"/>
        </w:rPr>
      </w:pPr>
      <w:r>
        <w:rPr>
          <w:rFonts w:ascii="Trebuchet MS" w:hAnsi="Trebuchet MS"/>
          <w:w w:val="105"/>
          <w:sz w:val="16"/>
        </w:rPr>
        <w:t>Net filtration pressure </w:t>
      </w:r>
      <w:r>
        <w:rPr>
          <w:rFonts w:ascii="Symbol" w:hAnsi="Symbol"/>
          <w:w w:val="105"/>
          <w:sz w:val="16"/>
        </w:rPr>
        <w:t></w:t>
      </w:r>
      <w:r>
        <w:rPr>
          <w:w w:val="105"/>
          <w:sz w:val="16"/>
        </w:rPr>
        <w:t> </w:t>
      </w:r>
      <w:r>
        <w:rPr>
          <w:rFonts w:ascii="Trebuchet MS" w:hAnsi="Trebuchet MS"/>
          <w:w w:val="105"/>
          <w:sz w:val="16"/>
        </w:rPr>
        <w:t>60 </w:t>
      </w:r>
      <w:r>
        <w:rPr>
          <w:rFonts w:ascii="Symbol" w:hAnsi="Symbol"/>
          <w:w w:val="105"/>
          <w:sz w:val="16"/>
        </w:rPr>
        <w:t></w:t>
      </w:r>
      <w:r>
        <w:rPr>
          <w:w w:val="105"/>
          <w:sz w:val="16"/>
        </w:rPr>
        <w:t> </w:t>
      </w:r>
      <w:r>
        <w:rPr>
          <w:rFonts w:ascii="Trebuchet MS" w:hAnsi="Trebuchet MS"/>
          <w:w w:val="105"/>
          <w:sz w:val="16"/>
        </w:rPr>
        <w:t>18 </w:t>
      </w:r>
      <w:r>
        <w:rPr>
          <w:rFonts w:ascii="Symbol" w:hAnsi="Symbol"/>
          <w:w w:val="105"/>
          <w:sz w:val="16"/>
        </w:rPr>
        <w:t></w:t>
      </w:r>
      <w:r>
        <w:rPr>
          <w:w w:val="105"/>
          <w:sz w:val="16"/>
        </w:rPr>
        <w:t> </w:t>
      </w:r>
      <w:r>
        <w:rPr>
          <w:rFonts w:ascii="Trebuchet MS" w:hAnsi="Trebuchet MS"/>
          <w:w w:val="105"/>
          <w:sz w:val="16"/>
        </w:rPr>
        <w:t>32 </w:t>
      </w:r>
      <w:r>
        <w:rPr>
          <w:rFonts w:ascii="Symbol" w:hAnsi="Symbol"/>
          <w:w w:val="105"/>
          <w:sz w:val="16"/>
        </w:rPr>
        <w:t></w:t>
      </w:r>
      <w:r>
        <w:rPr>
          <w:w w:val="105"/>
          <w:sz w:val="16"/>
        </w:rPr>
        <w:t> </w:t>
      </w:r>
      <w:r>
        <w:rPr>
          <w:rFonts w:ascii="Symbol" w:hAnsi="Symbol"/>
          <w:w w:val="105"/>
          <w:sz w:val="16"/>
        </w:rPr>
        <w:t></w:t>
      </w:r>
      <w:r>
        <w:rPr>
          <w:rFonts w:ascii="Trebuchet MS" w:hAnsi="Trebuchet MS"/>
          <w:w w:val="105"/>
          <w:sz w:val="16"/>
        </w:rPr>
        <w:t>10 mm Hg</w:t>
      </w:r>
    </w:p>
    <w:p>
      <w:pPr>
        <w:pStyle w:val="BodyText"/>
        <w:spacing w:before="5"/>
        <w:rPr>
          <w:rFonts w:ascii="Trebuchet MS"/>
          <w:sz w:val="22"/>
        </w:rPr>
      </w:pPr>
    </w:p>
    <w:p>
      <w:pPr>
        <w:pStyle w:val="BodyText"/>
        <w:spacing w:line="249" w:lineRule="auto" w:before="1"/>
        <w:ind w:left="319" w:right="1077" w:firstLine="240"/>
        <w:jc w:val="both"/>
      </w:pPr>
      <w:r>
        <w:rPr>
          <w:color w:val="231F20"/>
        </w:rPr>
        <w:t>Some of these values can change markedly under </w:t>
      </w:r>
      <w:r>
        <w:rPr>
          <w:color w:val="231F20"/>
          <w:spacing w:val="-3"/>
        </w:rPr>
        <w:t>dif­ </w:t>
      </w:r>
      <w:r>
        <w:rPr>
          <w:color w:val="231F20"/>
        </w:rPr>
        <w:t>ferent physiological conditions, whereas others are </w:t>
      </w:r>
      <w:r>
        <w:rPr>
          <w:color w:val="231F20"/>
          <w:spacing w:val="-3"/>
        </w:rPr>
        <w:t>altered </w:t>
      </w:r>
      <w:r>
        <w:rPr>
          <w:color w:val="231F20"/>
        </w:rPr>
        <w:t>mainly in disease states, as discussed </w:t>
      </w:r>
      <w:r>
        <w:rPr>
          <w:color w:val="231F20"/>
          <w:spacing w:val="-4"/>
        </w:rPr>
        <w:t>later.</w:t>
      </w:r>
    </w:p>
    <w:p>
      <w:pPr>
        <w:pStyle w:val="BodyText"/>
        <w:spacing w:before="9"/>
        <w:rPr>
          <w:sz w:val="30"/>
        </w:rPr>
      </w:pPr>
    </w:p>
    <w:p>
      <w:pPr>
        <w:pStyle w:val="Heading2"/>
        <w:spacing w:line="225" w:lineRule="auto" w:before="1"/>
        <w:ind w:right="1239"/>
      </w:pPr>
      <w:r>
        <w:rPr>
          <w:color w:val="231F20"/>
        </w:rPr>
        <w:t>INCREASED GLOMERULAR CAPILLARY FILTRATION COEFFICIENT INCREASES GFR</w:t>
      </w:r>
    </w:p>
    <w:p>
      <w:pPr>
        <w:pStyle w:val="BodyText"/>
        <w:spacing w:line="249" w:lineRule="auto" w:before="127"/>
        <w:ind w:left="319" w:right="1077"/>
        <w:jc w:val="both"/>
      </w:pPr>
      <w:r>
        <w:rPr>
          <w:color w:val="231F20"/>
        </w:rPr>
        <w:t>The K</w:t>
      </w:r>
      <w:r>
        <w:rPr>
          <w:color w:val="231F20"/>
          <w:vertAlign w:val="subscript"/>
        </w:rPr>
        <w:t>f</w:t>
      </w:r>
      <w:r>
        <w:rPr>
          <w:color w:val="231F20"/>
          <w:vertAlign w:val="baseline"/>
        </w:rPr>
        <w:t> is a measure of the product of the hydraulic con­ ductivity and surface area of the glomerular capillaries. The K</w:t>
      </w:r>
      <w:r>
        <w:rPr>
          <w:color w:val="231F20"/>
          <w:vertAlign w:val="subscript"/>
        </w:rPr>
        <w:t>f</w:t>
      </w:r>
      <w:r>
        <w:rPr>
          <w:color w:val="231F20"/>
          <w:vertAlign w:val="baseline"/>
        </w:rPr>
        <w:t> cannot be measured directly, but it is estimated  experimentally by dividing the rate of glomerular filtra­ tion by net filtration pressure:</w:t>
      </w:r>
    </w:p>
    <w:p>
      <w:pPr>
        <w:spacing w:before="249"/>
        <w:ind w:left="295" w:right="1073" w:firstLine="0"/>
        <w:jc w:val="center"/>
        <w:rPr>
          <w:rFonts w:ascii="Trebuchet MS" w:hAnsi="Trebuchet MS"/>
          <w:sz w:val="18"/>
        </w:rPr>
      </w:pPr>
      <w:r>
        <w:rPr>
          <w:rFonts w:ascii="Trebuchet MS" w:hAnsi="Trebuchet MS"/>
          <w:spacing w:val="8"/>
          <w:w w:val="115"/>
          <w:sz w:val="18"/>
        </w:rPr>
        <w:t>K</w:t>
      </w:r>
      <w:r>
        <w:rPr>
          <w:rFonts w:ascii="Trebuchet MS" w:hAnsi="Trebuchet MS"/>
          <w:w w:val="113"/>
          <w:position w:val="-2"/>
          <w:sz w:val="10"/>
        </w:rPr>
        <w:t>f</w:t>
      </w:r>
      <w:r>
        <w:rPr>
          <w:rFonts w:ascii="Trebuchet MS" w:hAnsi="Trebuchet MS"/>
          <w:position w:val="-2"/>
          <w:sz w:val="10"/>
        </w:rPr>
        <w:t> </w:t>
      </w:r>
      <w:r>
        <w:rPr>
          <w:rFonts w:ascii="Trebuchet MS" w:hAnsi="Trebuchet MS"/>
          <w:spacing w:val="6"/>
          <w:position w:val="-2"/>
          <w:sz w:val="10"/>
        </w:rPr>
        <w:t> </w:t>
      </w:r>
      <w:r>
        <w:rPr>
          <w:rFonts w:ascii="Symbol" w:hAnsi="Symbol"/>
          <w:w w:val="100"/>
          <w:sz w:val="18"/>
        </w:rPr>
        <w:t></w:t>
      </w:r>
      <w:r>
        <w:rPr>
          <w:sz w:val="18"/>
        </w:rPr>
        <w:t> </w:t>
      </w:r>
      <w:r>
        <w:rPr>
          <w:rFonts w:ascii="Trebuchet MS" w:hAnsi="Trebuchet MS"/>
          <w:spacing w:val="-1"/>
          <w:w w:val="106"/>
          <w:sz w:val="18"/>
        </w:rPr>
        <w:t>G</w:t>
      </w:r>
      <w:r>
        <w:rPr>
          <w:rFonts w:ascii="Trebuchet MS" w:hAnsi="Trebuchet MS"/>
          <w:w w:val="100"/>
          <w:sz w:val="18"/>
        </w:rPr>
        <w:t>F</w:t>
      </w:r>
      <w:r>
        <w:rPr>
          <w:rFonts w:ascii="Trebuchet MS" w:hAnsi="Trebuchet MS"/>
          <w:spacing w:val="19"/>
          <w:w w:val="100"/>
          <w:sz w:val="18"/>
        </w:rPr>
        <w:t>R</w:t>
      </w:r>
      <w:r>
        <w:rPr>
          <w:rFonts w:ascii="Trebuchet MS" w:hAnsi="Trebuchet MS"/>
          <w:spacing w:val="6"/>
          <w:w w:val="53"/>
          <w:sz w:val="18"/>
        </w:rPr>
        <w:t>/</w:t>
      </w:r>
      <w:r>
        <w:rPr>
          <w:rFonts w:ascii="Trebuchet MS" w:hAnsi="Trebuchet MS"/>
          <w:spacing w:val="-1"/>
          <w:w w:val="113"/>
          <w:sz w:val="18"/>
        </w:rPr>
        <w:t>N</w:t>
      </w:r>
      <w:r>
        <w:rPr>
          <w:rFonts w:ascii="Trebuchet MS" w:hAnsi="Trebuchet MS"/>
          <w:spacing w:val="1"/>
          <w:w w:val="101"/>
          <w:sz w:val="18"/>
        </w:rPr>
        <w:t>e</w:t>
      </w:r>
      <w:r>
        <w:rPr>
          <w:rFonts w:ascii="Trebuchet MS" w:hAnsi="Trebuchet MS"/>
          <w:w w:val="98"/>
          <w:sz w:val="18"/>
        </w:rPr>
        <w:t>t</w:t>
      </w:r>
      <w:r>
        <w:rPr>
          <w:rFonts w:ascii="Trebuchet MS" w:hAnsi="Trebuchet MS"/>
          <w:spacing w:val="-7"/>
          <w:sz w:val="18"/>
        </w:rPr>
        <w:t> </w:t>
      </w:r>
      <w:r>
        <w:rPr>
          <w:rFonts w:ascii="Trebuchet MS" w:hAnsi="Trebuchet MS"/>
          <w:w w:val="103"/>
          <w:sz w:val="18"/>
        </w:rPr>
        <w:t>filtration</w:t>
      </w:r>
      <w:r>
        <w:rPr>
          <w:rFonts w:ascii="Trebuchet MS" w:hAnsi="Trebuchet MS"/>
          <w:spacing w:val="-24"/>
          <w:sz w:val="18"/>
        </w:rPr>
        <w:t> </w:t>
      </w:r>
      <w:r>
        <w:rPr>
          <w:rFonts w:ascii="Trebuchet MS" w:hAnsi="Trebuchet MS"/>
          <w:spacing w:val="-1"/>
          <w:w w:val="109"/>
          <w:sz w:val="18"/>
        </w:rPr>
        <w:t>p</w:t>
      </w:r>
      <w:r>
        <w:rPr>
          <w:rFonts w:ascii="Trebuchet MS" w:hAnsi="Trebuchet MS"/>
          <w:spacing w:val="-1"/>
          <w:w w:val="100"/>
          <w:sz w:val="18"/>
        </w:rPr>
        <w:t>r</w:t>
      </w:r>
      <w:r>
        <w:rPr>
          <w:rFonts w:ascii="Trebuchet MS" w:hAnsi="Trebuchet MS"/>
          <w:spacing w:val="-1"/>
          <w:w w:val="101"/>
          <w:sz w:val="18"/>
        </w:rPr>
        <w:t>e</w:t>
      </w:r>
      <w:r>
        <w:rPr>
          <w:rFonts w:ascii="Trebuchet MS" w:hAnsi="Trebuchet MS"/>
          <w:spacing w:val="-1"/>
          <w:w w:val="96"/>
          <w:sz w:val="18"/>
        </w:rPr>
        <w:t>ss</w:t>
      </w:r>
      <w:r>
        <w:rPr>
          <w:rFonts w:ascii="Trebuchet MS" w:hAnsi="Trebuchet MS"/>
          <w:spacing w:val="-1"/>
          <w:w w:val="111"/>
          <w:sz w:val="18"/>
        </w:rPr>
        <w:t>u</w:t>
      </w:r>
      <w:r>
        <w:rPr>
          <w:rFonts w:ascii="Trebuchet MS" w:hAnsi="Trebuchet MS"/>
          <w:spacing w:val="-1"/>
          <w:w w:val="100"/>
          <w:sz w:val="18"/>
        </w:rPr>
        <w:t>r</w:t>
      </w:r>
      <w:r>
        <w:rPr>
          <w:rFonts w:ascii="Trebuchet MS" w:hAnsi="Trebuchet MS"/>
          <w:w w:val="101"/>
          <w:sz w:val="18"/>
        </w:rPr>
        <w:t>e</w:t>
      </w:r>
    </w:p>
    <w:p>
      <w:pPr>
        <w:spacing w:after="0"/>
        <w:jc w:val="center"/>
        <w:rPr>
          <w:rFonts w:ascii="Trebuchet MS" w:hAnsi="Trebuchet MS"/>
          <w:sz w:val="18"/>
        </w:rPr>
        <w:sectPr>
          <w:type w:val="continuous"/>
          <w:pgSz w:w="12240" w:h="15660"/>
          <w:pgMar w:top="0" w:bottom="760" w:left="0" w:right="0"/>
          <w:cols w:num="2" w:equalWidth="0">
            <w:col w:w="6121" w:space="40"/>
            <w:col w:w="6079"/>
          </w:cols>
        </w:sectPr>
      </w:pPr>
    </w:p>
    <w:p>
      <w:pPr>
        <w:pStyle w:val="BodyText"/>
        <w:rPr>
          <w:rFonts w:ascii="Trebuchet MS"/>
          <w:sz w:val="19"/>
        </w:rPr>
      </w:pPr>
    </w:p>
    <w:p>
      <w:pPr>
        <w:spacing w:after="0"/>
        <w:rPr>
          <w:rFonts w:ascii="Trebuchet MS"/>
          <w:sz w:val="19"/>
        </w:rPr>
        <w:sectPr>
          <w:headerReference w:type="even" r:id="rId419"/>
          <w:footerReference w:type="even" r:id="rId420"/>
          <w:footerReference w:type="default" r:id="rId421"/>
          <w:pgSz w:w="12240" w:h="15660"/>
          <w:pgMar w:header="0" w:footer="567" w:top="720" w:bottom="760" w:left="0" w:right="0"/>
          <w:pgNumType w:start="338"/>
        </w:sectPr>
      </w:pPr>
    </w:p>
    <w:p>
      <w:pPr>
        <w:pStyle w:val="BodyText"/>
        <w:spacing w:line="249" w:lineRule="auto" w:before="99"/>
        <w:ind w:left="1079" w:right="38" w:firstLine="240"/>
        <w:jc w:val="both"/>
      </w:pPr>
      <w:r>
        <w:rPr>
          <w:color w:val="231F20"/>
        </w:rPr>
        <w:t>Because the total GFR  for  both  kidneys  is  about  125 ml/min and the net filtration pressure is 10 mm Hg, the normal K</w:t>
      </w:r>
      <w:r>
        <w:rPr>
          <w:color w:val="231F20"/>
          <w:vertAlign w:val="subscript"/>
        </w:rPr>
        <w:t>f</w:t>
      </w:r>
      <w:r>
        <w:rPr>
          <w:color w:val="231F20"/>
          <w:vertAlign w:val="baseline"/>
        </w:rPr>
        <w:t> is calculated to  be  about  12.5 </w:t>
      </w:r>
      <w:r>
        <w:rPr>
          <w:color w:val="231F20"/>
          <w:spacing w:val="-3"/>
          <w:vertAlign w:val="baseline"/>
        </w:rPr>
        <w:t>ml/min/  </w:t>
      </w:r>
      <w:r>
        <w:rPr>
          <w:color w:val="231F20"/>
          <w:vertAlign w:val="baseline"/>
        </w:rPr>
        <w:t>mm Hg of filtration pressure. When K</w:t>
      </w:r>
      <w:r>
        <w:rPr>
          <w:color w:val="231F20"/>
          <w:vertAlign w:val="subscript"/>
        </w:rPr>
        <w:t>f</w:t>
      </w:r>
      <w:r>
        <w:rPr>
          <w:color w:val="231F20"/>
          <w:vertAlign w:val="baseline"/>
        </w:rPr>
        <w:t> is expressed </w:t>
      </w:r>
      <w:r>
        <w:rPr>
          <w:color w:val="231F20"/>
          <w:spacing w:val="-5"/>
          <w:vertAlign w:val="baseline"/>
        </w:rPr>
        <w:t>per </w:t>
      </w:r>
      <w:r>
        <w:rPr>
          <w:color w:val="231F20"/>
          <w:vertAlign w:val="baseline"/>
        </w:rPr>
        <w:t>100 grams of kidney weight, it averages about 4.2</w:t>
      </w:r>
      <w:r>
        <w:rPr>
          <w:color w:val="231F20"/>
          <w:spacing w:val="-14"/>
          <w:vertAlign w:val="baseline"/>
        </w:rPr>
        <w:t> </w:t>
      </w:r>
      <w:r>
        <w:rPr>
          <w:color w:val="231F20"/>
          <w:vertAlign w:val="baseline"/>
        </w:rPr>
        <w:t>ml/min/ mm Hg, a value about 400 times as high as the K</w:t>
      </w:r>
      <w:r>
        <w:rPr>
          <w:color w:val="231F20"/>
          <w:vertAlign w:val="subscript"/>
        </w:rPr>
        <w:t>f</w:t>
      </w:r>
      <w:r>
        <w:rPr>
          <w:color w:val="231F20"/>
          <w:vertAlign w:val="baseline"/>
        </w:rPr>
        <w:t> of </w:t>
      </w:r>
      <w:r>
        <w:rPr>
          <w:color w:val="231F20"/>
          <w:spacing w:val="-3"/>
          <w:vertAlign w:val="baseline"/>
        </w:rPr>
        <w:t>most </w:t>
      </w:r>
      <w:r>
        <w:rPr>
          <w:color w:val="231F20"/>
          <w:vertAlign w:val="baseline"/>
        </w:rPr>
        <w:t>other capillary systems of the body; the average K</w:t>
      </w:r>
      <w:r>
        <w:rPr>
          <w:color w:val="231F20"/>
          <w:vertAlign w:val="subscript"/>
        </w:rPr>
        <w:t>f</w:t>
      </w:r>
      <w:r>
        <w:rPr>
          <w:color w:val="231F20"/>
          <w:vertAlign w:val="baseline"/>
        </w:rPr>
        <w:t> </w:t>
      </w:r>
      <w:r>
        <w:rPr>
          <w:color w:val="231F20"/>
          <w:spacing w:val="-6"/>
          <w:vertAlign w:val="baseline"/>
        </w:rPr>
        <w:t>of </w:t>
      </w:r>
      <w:r>
        <w:rPr>
          <w:color w:val="231F20"/>
          <w:vertAlign w:val="baseline"/>
        </w:rPr>
        <w:t>many other tissues in the body is only about 0.01</w:t>
      </w:r>
      <w:r>
        <w:rPr>
          <w:color w:val="231F20"/>
          <w:spacing w:val="-18"/>
          <w:vertAlign w:val="baseline"/>
        </w:rPr>
        <w:t> </w:t>
      </w:r>
      <w:r>
        <w:rPr>
          <w:color w:val="231F20"/>
          <w:vertAlign w:val="baseline"/>
        </w:rPr>
        <w:t>ml/ min/mm Hg per 100 grams. This high K</w:t>
      </w:r>
      <w:r>
        <w:rPr>
          <w:color w:val="231F20"/>
          <w:vertAlign w:val="subscript"/>
        </w:rPr>
        <w:t>f</w:t>
      </w:r>
      <w:r>
        <w:rPr>
          <w:color w:val="231F20"/>
          <w:vertAlign w:val="baseline"/>
        </w:rPr>
        <w:t> for the glomeru­ lar capillaries contributes to their rapid rate of fluid filtration.</w:t>
      </w:r>
    </w:p>
    <w:p>
      <w:pPr>
        <w:spacing w:before="126"/>
        <w:ind w:left="1059" w:right="655" w:firstLine="0"/>
        <w:jc w:val="center"/>
        <w:rPr>
          <w:rFonts w:ascii="Helvetica"/>
          <w:sz w:val="16"/>
        </w:rPr>
      </w:pPr>
      <w:r>
        <w:rPr/>
        <w:br w:type="column"/>
      </w:r>
      <w:r>
        <w:rPr>
          <w:rFonts w:ascii="Helvetica"/>
          <w:color w:val="231F20"/>
          <w:sz w:val="16"/>
        </w:rPr>
        <w:t>40</w:t>
      </w:r>
    </w:p>
    <w:p>
      <w:pPr>
        <w:spacing w:before="116"/>
        <w:ind w:left="1059" w:right="655" w:firstLine="0"/>
        <w:jc w:val="center"/>
        <w:rPr>
          <w:rFonts w:ascii="Helvetica"/>
          <w:sz w:val="16"/>
        </w:rPr>
      </w:pPr>
      <w:r>
        <w:rPr/>
        <w:pict>
          <v:group style="position:absolute;margin-left:363.739105pt;margin-top:-6.07421pt;width:160.5pt;height:102.8pt;mso-position-horizontal-relative:page;mso-position-vertical-relative:paragraph;z-index:251930624" coordorigin="7275,-121" coordsize="3210,2056">
            <v:shape style="position:absolute;left:-80;top:14408;width:3200;height:2020" coordorigin="-80,14409" coordsize="3200,2020" path="m7354,-96l7354,1924,10474,1924m7349,-86l7275,-86m7349,201l7275,201m7349,488l7275,488m7349,775l7275,775m7349,1062l7275,1062m7349,1350l7275,1350m7349,1637l7275,1637m7349,1924l7275,1924e" filled="false" stroked="true" strokeweight="1pt" strokecolor="#231f20">
              <v:path arrowok="t"/>
              <v:stroke dashstyle="solid"/>
            </v:shape>
            <v:line style="position:absolute" from="9512,1230" to="9512,1377" stroked="true" strokeweight="1.5pt" strokecolor="#231f20">
              <v:stroke dashstyle="solid"/>
            </v:line>
            <v:shape style="position:absolute;left:9451;top:1320;width:120;height:185" coordorigin="9451,1320" coordsize="120,185" path="m9452,1320l9451,1322,9489,1412,9511,1505,9516,1482,9533,1412,9558,1354,9511,1354,9452,1320xm9570,1321l9511,1354,9558,1354,9571,1323,9570,1321xe" filled="true" fillcolor="#231f20" stroked="false">
              <v:path arrowok="t"/>
              <v:fill type="solid"/>
            </v:shape>
            <v:line style="position:absolute" from="8259,260" to="8259,112" stroked="true" strokeweight="1.5pt" strokecolor="#231f20">
              <v:stroke dashstyle="solid"/>
            </v:line>
            <v:shape style="position:absolute;left:8198;top:-16;width:120;height:185" coordorigin="8199,-15" coordsize="120,185" path="m8258,-15l8236,78,8199,167,8200,169,8258,136,8305,136,8280,78,8258,-15xm8305,136l8258,136,8317,169,8318,167,8305,136xe" filled="true" fillcolor="#231f20" stroked="false">
              <v:path arrowok="t"/>
              <v:fill type="solid"/>
            </v:shape>
            <v:shape style="position:absolute;left:7374;top:-102;width:3000;height:1726" coordorigin="7374,-101" coordsize="3000,1726" path="m7374,1624l7730,1525,7969,1404,8201,1184,8534,784,8618,684,8698,590,8776,504,8851,425,8923,352,8992,286,9059,226,9124,172,9186,123,9246,81,9305,43,9361,10,9416,-17,9521,-59,9620,-85,9714,-96,9941,-101,10154,-101,10313,-98,10374,-96e" filled="false" stroked="true" strokeweight="2pt" strokecolor="#2062af">
              <v:path arrowok="t"/>
              <v:stroke dashstyle="solid"/>
            </v:shape>
            <v:shape style="position:absolute;left:7381;top:1044;width:2980;height:600" coordorigin="7381,1044" coordsize="2980,600" path="m7381,1644l7798,1627,8044,1611,8213,1584,8401,1537,8496,1511,8594,1482,8692,1450,8789,1417,8881,1385,8966,1355,9041,1327,9104,1305,9151,1287,9181,1277,9210,1268,9256,1253,9317,1233,9390,1208,9473,1182,9563,1153,9657,1124,9753,1097,9848,1071,9952,1057,10048,1051,10187,1050,10284,1047,10342,1045,10361,1044e" filled="false" stroked="true" strokeweight="2pt" strokecolor="#00a650">
              <v:path arrowok="t"/>
              <v:stroke dashstyle="solid"/>
            </v:shape>
            <v:shape style="position:absolute;left:7367;top:517;width:3000;height:1127" coordorigin="7368,517" coordsize="3000,1127" path="m10368,517l10292,521,10214,528,10134,537,10053,550,9970,568,9888,591,9809,617,9729,646,9648,678,9566,712,9484,748,9402,786,9320,825,9239,864,9159,905,9079,946,9001,986,8925,1027,8850,1067,8778,1106,8709,1143,8642,1179,8578,1213,8518,1245,8462,1275,8361,1324,8031,1456,7709,1557,7465,1621,7368,1644e" filled="false" stroked="true" strokeweight="2pt" strokecolor="#f0535f">
              <v:path arrowok="t"/>
              <v:stroke dashstyle="solid"/>
            </v:shape>
            <v:shape style="position:absolute;left:8362;top:-55;width:634;height:365" type="#_x0000_t202" filled="false" stroked="false">
              <v:textbox inset="0,0,0,0">
                <w:txbxContent>
                  <w:p>
                    <w:pPr>
                      <w:spacing w:line="235" w:lineRule="auto" w:before="2"/>
                      <w:ind w:left="44" w:right="1" w:hanging="45"/>
                      <w:jc w:val="left"/>
                      <w:rPr>
                        <w:rFonts w:ascii="Helvetica"/>
                        <w:sz w:val="16"/>
                      </w:rPr>
                    </w:pPr>
                    <w:r>
                      <w:rPr>
                        <w:rFonts w:ascii="Helvetica"/>
                        <w:color w:val="231F20"/>
                        <w:sz w:val="16"/>
                      </w:rPr>
                      <w:t>Filtration fraction</w:t>
                    </w:r>
                  </w:p>
                </w:txbxContent>
              </v:textbox>
              <w10:wrap type="none"/>
            </v:shape>
            <v:shape style="position:absolute;left:9859;top:280;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9642;top:1195;width:634;height:365" type="#_x0000_t202" filled="false" stroked="false">
              <v:textbox inset="0,0,0,0">
                <w:txbxContent>
                  <w:p>
                    <w:pPr>
                      <w:spacing w:line="235" w:lineRule="auto" w:before="2"/>
                      <w:ind w:left="44" w:right="1" w:hanging="45"/>
                      <w:jc w:val="left"/>
                      <w:rPr>
                        <w:rFonts w:ascii="Helvetica"/>
                        <w:sz w:val="16"/>
                      </w:rPr>
                    </w:pPr>
                    <w:r>
                      <w:rPr>
                        <w:rFonts w:ascii="Helvetica"/>
                        <w:color w:val="231F20"/>
                        <w:sz w:val="16"/>
                      </w:rPr>
                      <w:t>Filtration fraction</w:t>
                    </w:r>
                  </w:p>
                </w:txbxContent>
              </v:textbox>
              <w10:wrap type="none"/>
            </v:shape>
            <w10:wrap type="none"/>
          </v:group>
        </w:pict>
      </w:r>
      <w:r>
        <w:rPr/>
        <w:pict>
          <v:shape style="position:absolute;margin-left:319.357208pt;margin-top:9.730077pt;width:29.55pt;height:72.7pt;mso-position-horizontal-relative:page;mso-position-vertical-relative:paragraph;z-index:251931648" type="#_x0000_t202" filled="false" stroked="false">
            <v:textbox inset="0,0,0,0" style="layout-flow:vertical;mso-layout-flow-alt:bottom-to-top">
              <w:txbxContent>
                <w:p>
                  <w:pPr>
                    <w:spacing w:line="235" w:lineRule="auto" w:before="27"/>
                    <w:ind w:left="20" w:right="18" w:firstLine="0"/>
                    <w:jc w:val="center"/>
                    <w:rPr>
                      <w:rFonts w:ascii="Helvetica"/>
                      <w:b/>
                      <w:sz w:val="16"/>
                    </w:rPr>
                  </w:pPr>
                  <w:r>
                    <w:rPr>
                      <w:rFonts w:ascii="Helvetica"/>
                      <w:b/>
                      <w:color w:val="231F20"/>
                      <w:sz w:val="16"/>
                    </w:rPr>
                    <w:t>Glomerular colloid osmotic pressure (mm Hg)</w:t>
                  </w:r>
                </w:p>
              </w:txbxContent>
            </v:textbox>
            <w10:wrap type="none"/>
          </v:shape>
        </w:pict>
      </w:r>
      <w:r>
        <w:rPr>
          <w:rFonts w:ascii="Helvetica"/>
          <w:color w:val="231F20"/>
          <w:sz w:val="16"/>
        </w:rPr>
        <w:t>38</w:t>
      </w:r>
    </w:p>
    <w:p>
      <w:pPr>
        <w:spacing w:before="100"/>
        <w:ind w:left="1059" w:right="655" w:firstLine="0"/>
        <w:jc w:val="center"/>
        <w:rPr>
          <w:rFonts w:ascii="Helvetica"/>
          <w:sz w:val="16"/>
        </w:rPr>
      </w:pPr>
      <w:r>
        <w:rPr>
          <w:rFonts w:ascii="Helvetica"/>
          <w:color w:val="231F20"/>
          <w:sz w:val="16"/>
        </w:rPr>
        <w:t>36</w:t>
      </w:r>
    </w:p>
    <w:p>
      <w:pPr>
        <w:spacing w:before="96"/>
        <w:ind w:left="1059" w:right="655" w:firstLine="0"/>
        <w:jc w:val="center"/>
        <w:rPr>
          <w:rFonts w:ascii="Helvetica"/>
          <w:sz w:val="16"/>
        </w:rPr>
      </w:pPr>
      <w:r>
        <w:rPr>
          <w:rFonts w:ascii="Helvetica"/>
          <w:color w:val="231F20"/>
          <w:sz w:val="16"/>
        </w:rPr>
        <w:t>34</w:t>
      </w:r>
    </w:p>
    <w:p>
      <w:pPr>
        <w:spacing w:before="101"/>
        <w:ind w:left="1059" w:right="655" w:firstLine="0"/>
        <w:jc w:val="center"/>
        <w:rPr>
          <w:rFonts w:ascii="Helvetica"/>
          <w:sz w:val="16"/>
        </w:rPr>
      </w:pPr>
      <w:r>
        <w:rPr>
          <w:rFonts w:ascii="Helvetica"/>
          <w:color w:val="231F20"/>
          <w:sz w:val="16"/>
        </w:rPr>
        <w:t>32</w:t>
      </w:r>
    </w:p>
    <w:p>
      <w:pPr>
        <w:spacing w:before="100"/>
        <w:ind w:left="1059" w:right="655" w:firstLine="0"/>
        <w:jc w:val="center"/>
        <w:rPr>
          <w:rFonts w:ascii="Helvetica"/>
          <w:sz w:val="16"/>
        </w:rPr>
      </w:pPr>
      <w:r>
        <w:rPr>
          <w:rFonts w:ascii="Helvetica"/>
          <w:color w:val="231F20"/>
          <w:sz w:val="16"/>
        </w:rPr>
        <w:t>30</w:t>
      </w:r>
    </w:p>
    <w:p>
      <w:pPr>
        <w:spacing w:before="112"/>
        <w:ind w:left="1059" w:right="655" w:firstLine="0"/>
        <w:jc w:val="center"/>
        <w:rPr>
          <w:rFonts w:ascii="Helvetica"/>
          <w:sz w:val="16"/>
        </w:rPr>
      </w:pPr>
      <w:r>
        <w:rPr>
          <w:rFonts w:ascii="Helvetica"/>
          <w:color w:val="231F20"/>
          <w:sz w:val="16"/>
        </w:rPr>
        <w:t>28</w:t>
      </w:r>
    </w:p>
    <w:p>
      <w:pPr>
        <w:pStyle w:val="BodyText"/>
        <w:rPr>
          <w:rFonts w:ascii="Helvetica"/>
          <w:sz w:val="26"/>
        </w:rPr>
      </w:pPr>
    </w:p>
    <w:p>
      <w:pPr>
        <w:spacing w:line="235" w:lineRule="auto" w:before="0"/>
        <w:ind w:left="1519" w:right="-20" w:hanging="147"/>
        <w:jc w:val="left"/>
        <w:rPr>
          <w:rFonts w:ascii="Helvetica"/>
          <w:sz w:val="16"/>
        </w:rPr>
      </w:pPr>
      <w:r>
        <w:rPr>
          <w:rFonts w:ascii="Helvetica"/>
          <w:color w:val="231F20"/>
          <w:sz w:val="16"/>
        </w:rPr>
        <w:t>Afferent</w:t>
      </w:r>
      <w:r>
        <w:rPr>
          <w:rFonts w:ascii="Helvetica"/>
          <w:color w:val="231F20"/>
          <w:w w:val="100"/>
          <w:sz w:val="16"/>
        </w:rPr>
        <w:t> </w:t>
      </w:r>
      <w:r>
        <w:rPr>
          <w:rFonts w:ascii="Helvetica"/>
          <w:color w:val="231F20"/>
          <w:sz w:val="16"/>
        </w:rPr>
        <w:t>end</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8"/>
        <w:rPr>
          <w:rFonts w:ascii="Helvetica"/>
          <w:sz w:val="22"/>
        </w:rPr>
      </w:pPr>
      <w:r>
        <w:rPr/>
        <w:pict>
          <v:group style="position:absolute;margin-left:414.251984pt;margin-top:15.019627pt;width:66.150pt;height:6pt;mso-position-horizontal-relative:page;mso-position-vertical-relative:paragraph;z-index:-251390976;mso-wrap-distance-left:0;mso-wrap-distance-right:0" coordorigin="8285,300" coordsize="1323,120">
            <v:line style="position:absolute" from="8285,369" to="9562,369" stroked="true" strokeweight="1.5pt" strokecolor="#231f20">
              <v:stroke dashstyle="solid"/>
            </v:line>
            <v:shape style="position:absolute;left:9422;top:300;width:185;height:120" type="#_x0000_t75" stroked="false">
              <v:imagedata r:id="rId422" o:title=""/>
            </v:shape>
            <w10:wrap type="topAndBottom"/>
          </v:group>
        </w:pict>
      </w:r>
    </w:p>
    <w:p>
      <w:pPr>
        <w:spacing w:line="157" w:lineRule="exact" w:before="0"/>
        <w:ind w:left="226" w:right="-19" w:firstLine="191"/>
        <w:jc w:val="left"/>
        <w:rPr>
          <w:rFonts w:ascii="Helvetica"/>
          <w:b/>
          <w:sz w:val="16"/>
        </w:rPr>
      </w:pPr>
      <w:r>
        <w:rPr>
          <w:rFonts w:ascii="Helvetica"/>
          <w:b/>
          <w:color w:val="231F20"/>
          <w:sz w:val="16"/>
        </w:rPr>
        <w:t>Distance along glomerular capillary</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spacing w:before="3"/>
        <w:rPr>
          <w:rFonts w:ascii="Helvetica"/>
          <w:b/>
          <w:sz w:val="23"/>
        </w:rPr>
      </w:pPr>
    </w:p>
    <w:p>
      <w:pPr>
        <w:spacing w:line="235" w:lineRule="auto" w:before="0"/>
        <w:ind w:left="358" w:right="1724" w:hanging="147"/>
        <w:jc w:val="left"/>
        <w:rPr>
          <w:rFonts w:ascii="Helvetica"/>
          <w:sz w:val="16"/>
        </w:rPr>
      </w:pPr>
      <w:r>
        <w:rPr>
          <w:rFonts w:ascii="Helvetica"/>
          <w:color w:val="231F20"/>
          <w:sz w:val="16"/>
        </w:rPr>
        <w:t>Efferent end</w:t>
      </w:r>
    </w:p>
    <w:p>
      <w:pPr>
        <w:spacing w:after="0" w:line="235" w:lineRule="auto"/>
        <w:jc w:val="left"/>
        <w:rPr>
          <w:rFonts w:ascii="Helvetica"/>
          <w:sz w:val="16"/>
        </w:rPr>
        <w:sectPr>
          <w:type w:val="continuous"/>
          <w:pgSz w:w="12240" w:h="15660"/>
          <w:pgMar w:top="0" w:bottom="760" w:left="0" w:right="0"/>
          <w:cols w:num="4" w:equalWidth="0">
            <w:col w:w="5801" w:space="163"/>
            <w:col w:w="1933" w:space="39"/>
            <w:col w:w="1748" w:space="40"/>
            <w:col w:w="2516"/>
          </w:cols>
        </w:sectPr>
      </w:pPr>
    </w:p>
    <w:p>
      <w:pPr>
        <w:pStyle w:val="BodyText"/>
        <w:spacing w:line="135" w:lineRule="exact"/>
        <w:ind w:left="1319"/>
        <w:jc w:val="both"/>
      </w:pPr>
      <w:r>
        <w:rPr/>
        <w:pict>
          <v:rect style="position:absolute;margin-left:0pt;margin-top:3.261279pt;width:36pt;height:24pt;mso-position-horizontal-relative:page;mso-position-vertical-relative:paragraph;z-index:251926528" filled="true" fillcolor="#e8dac8" stroked="false">
            <v:fill type="solid"/>
            <w10:wrap type="none"/>
          </v:rect>
        </w:pict>
      </w:r>
      <w:r>
        <w:rPr>
          <w:color w:val="231F20"/>
        </w:rPr>
        <w:t>Although increased K</w:t>
      </w:r>
      <w:r>
        <w:rPr>
          <w:color w:val="231F20"/>
          <w:vertAlign w:val="subscript"/>
        </w:rPr>
        <w:t>f</w:t>
      </w:r>
      <w:r>
        <w:rPr>
          <w:color w:val="231F20"/>
          <w:vertAlign w:val="baseline"/>
        </w:rPr>
        <w:t> raises GFR and decreased K</w:t>
      </w:r>
      <w:r>
        <w:rPr>
          <w:color w:val="231F20"/>
          <w:vertAlign w:val="subscript"/>
        </w:rPr>
        <w:t>f</w:t>
      </w:r>
    </w:p>
    <w:p>
      <w:pPr>
        <w:pStyle w:val="BodyText"/>
        <w:spacing w:line="249" w:lineRule="auto" w:before="10"/>
        <w:ind w:left="1080"/>
        <w:jc w:val="both"/>
      </w:pPr>
      <w:r>
        <w:rPr>
          <w:color w:val="231F20"/>
        </w:rPr>
        <w:t>reduces GFR, changes in K</w:t>
      </w:r>
      <w:r>
        <w:rPr>
          <w:color w:val="231F20"/>
          <w:vertAlign w:val="subscript"/>
        </w:rPr>
        <w:t>f</w:t>
      </w:r>
      <w:r>
        <w:rPr>
          <w:color w:val="231F20"/>
          <w:vertAlign w:val="baseline"/>
        </w:rPr>
        <w:t> probably do not provide </w:t>
      </w:r>
      <w:r>
        <w:rPr>
          <w:color w:val="231F20"/>
          <w:spacing w:val="-21"/>
          <w:vertAlign w:val="baseline"/>
        </w:rPr>
        <w:t>a </w:t>
      </w:r>
      <w:r>
        <w:rPr>
          <w:color w:val="231F20"/>
          <w:vertAlign w:val="baseline"/>
        </w:rPr>
        <w:t>primary mechanism for the normal day­to­day </w:t>
      </w:r>
      <w:r>
        <w:rPr>
          <w:color w:val="231F20"/>
          <w:spacing w:val="-3"/>
          <w:vertAlign w:val="baseline"/>
        </w:rPr>
        <w:t>regulation </w:t>
      </w:r>
      <w:r>
        <w:rPr>
          <w:color w:val="231F20"/>
          <w:vertAlign w:val="baseline"/>
        </w:rPr>
        <w:t>of</w:t>
      </w:r>
      <w:r>
        <w:rPr>
          <w:color w:val="231F20"/>
          <w:spacing w:val="-7"/>
          <w:vertAlign w:val="baseline"/>
        </w:rPr>
        <w:t> </w:t>
      </w:r>
      <w:r>
        <w:rPr>
          <w:color w:val="231F20"/>
          <w:vertAlign w:val="baseline"/>
        </w:rPr>
        <w:t>GFR.</w:t>
      </w:r>
      <w:r>
        <w:rPr>
          <w:color w:val="231F20"/>
          <w:spacing w:val="-7"/>
          <w:vertAlign w:val="baseline"/>
        </w:rPr>
        <w:t> </w:t>
      </w:r>
      <w:r>
        <w:rPr>
          <w:color w:val="231F20"/>
          <w:vertAlign w:val="baseline"/>
        </w:rPr>
        <w:t>Some</w:t>
      </w:r>
      <w:r>
        <w:rPr>
          <w:color w:val="231F20"/>
          <w:spacing w:val="-7"/>
          <w:vertAlign w:val="baseline"/>
        </w:rPr>
        <w:t> </w:t>
      </w:r>
      <w:r>
        <w:rPr>
          <w:color w:val="231F20"/>
          <w:vertAlign w:val="baseline"/>
        </w:rPr>
        <w:t>diseases,</w:t>
      </w:r>
      <w:r>
        <w:rPr>
          <w:color w:val="231F20"/>
          <w:spacing w:val="-7"/>
          <w:vertAlign w:val="baseline"/>
        </w:rPr>
        <w:t> </w:t>
      </w:r>
      <w:r>
        <w:rPr>
          <w:color w:val="231F20"/>
          <w:vertAlign w:val="baseline"/>
        </w:rPr>
        <w:t>however,</w:t>
      </w:r>
      <w:r>
        <w:rPr>
          <w:color w:val="231F20"/>
          <w:spacing w:val="-7"/>
          <w:vertAlign w:val="baseline"/>
        </w:rPr>
        <w:t> </w:t>
      </w:r>
      <w:r>
        <w:rPr>
          <w:color w:val="231F20"/>
          <w:vertAlign w:val="baseline"/>
        </w:rPr>
        <w:t>lower</w:t>
      </w:r>
      <w:r>
        <w:rPr>
          <w:color w:val="231F20"/>
          <w:spacing w:val="-6"/>
          <w:vertAlign w:val="baseline"/>
        </w:rPr>
        <w:t> </w:t>
      </w:r>
      <w:r>
        <w:rPr>
          <w:color w:val="231F20"/>
          <w:vertAlign w:val="baseline"/>
        </w:rPr>
        <w:t>K</w:t>
      </w:r>
      <w:r>
        <w:rPr>
          <w:color w:val="231F20"/>
          <w:vertAlign w:val="subscript"/>
        </w:rPr>
        <w:t>f</w:t>
      </w:r>
      <w:r>
        <w:rPr>
          <w:color w:val="231F20"/>
          <w:spacing w:val="-7"/>
          <w:vertAlign w:val="baseline"/>
        </w:rPr>
        <w:t> </w:t>
      </w:r>
      <w:r>
        <w:rPr>
          <w:color w:val="231F20"/>
          <w:vertAlign w:val="baseline"/>
        </w:rPr>
        <w:t>by</w:t>
      </w:r>
      <w:r>
        <w:rPr>
          <w:color w:val="231F20"/>
          <w:spacing w:val="-7"/>
          <w:vertAlign w:val="baseline"/>
        </w:rPr>
        <w:t> </w:t>
      </w:r>
      <w:r>
        <w:rPr>
          <w:color w:val="231F20"/>
          <w:vertAlign w:val="baseline"/>
        </w:rPr>
        <w:t>reducing</w:t>
      </w:r>
      <w:r>
        <w:rPr>
          <w:color w:val="231F20"/>
          <w:spacing w:val="-7"/>
          <w:vertAlign w:val="baseline"/>
        </w:rPr>
        <w:t> the </w:t>
      </w:r>
      <w:r>
        <w:rPr>
          <w:color w:val="231F20"/>
          <w:vertAlign w:val="baseline"/>
        </w:rPr>
        <w:t>number of functional glomerular capillaries </w:t>
      </w:r>
      <w:r>
        <w:rPr>
          <w:color w:val="231F20"/>
          <w:spacing w:val="-3"/>
          <w:vertAlign w:val="baseline"/>
        </w:rPr>
        <w:t>(thereby </w:t>
      </w:r>
      <w:r>
        <w:rPr>
          <w:color w:val="231F20"/>
          <w:vertAlign w:val="baseline"/>
        </w:rPr>
        <w:t>reducing the surface area for filtration) or by increasing the thickness of the glomerular capillary membrane </w:t>
      </w:r>
      <w:r>
        <w:rPr>
          <w:color w:val="231F20"/>
          <w:spacing w:val="-4"/>
          <w:vertAlign w:val="baseline"/>
        </w:rPr>
        <w:t>and </w:t>
      </w:r>
      <w:r>
        <w:rPr>
          <w:color w:val="231F20"/>
          <w:vertAlign w:val="baseline"/>
        </w:rPr>
        <w:t>reducing its hydraulic conductivity. </w:t>
      </w:r>
      <w:r>
        <w:rPr>
          <w:color w:val="231F20"/>
          <w:spacing w:val="-3"/>
          <w:vertAlign w:val="baseline"/>
        </w:rPr>
        <w:t>For </w:t>
      </w:r>
      <w:r>
        <w:rPr>
          <w:color w:val="231F20"/>
          <w:vertAlign w:val="baseline"/>
        </w:rPr>
        <w:t>example, </w:t>
      </w:r>
      <w:r>
        <w:rPr>
          <w:color w:val="231F20"/>
          <w:spacing w:val="-3"/>
          <w:vertAlign w:val="baseline"/>
        </w:rPr>
        <w:t>chronic, </w:t>
      </w:r>
      <w:r>
        <w:rPr>
          <w:color w:val="231F20"/>
          <w:vertAlign w:val="baseline"/>
        </w:rPr>
        <w:t>uncontrolled hypertension and diabetes mellitus gradu­ ally reduce K</w:t>
      </w:r>
      <w:r>
        <w:rPr>
          <w:color w:val="231F20"/>
          <w:vertAlign w:val="subscript"/>
        </w:rPr>
        <w:t>f</w:t>
      </w:r>
      <w:r>
        <w:rPr>
          <w:color w:val="231F20"/>
          <w:vertAlign w:val="baseline"/>
        </w:rPr>
        <w:t> by increasing the thickness of the glomeru­ lar capillary basement membrane and, eventually, </w:t>
      </w:r>
      <w:r>
        <w:rPr>
          <w:color w:val="231F20"/>
          <w:spacing w:val="-8"/>
          <w:vertAlign w:val="baseline"/>
        </w:rPr>
        <w:t>by </w:t>
      </w:r>
      <w:r>
        <w:rPr>
          <w:color w:val="231F20"/>
          <w:vertAlign w:val="baseline"/>
        </w:rPr>
        <w:t>damaging the capillaries so severely that there is loss </w:t>
      </w:r>
      <w:r>
        <w:rPr>
          <w:color w:val="231F20"/>
          <w:spacing w:val="-6"/>
          <w:vertAlign w:val="baseline"/>
        </w:rPr>
        <w:t>of </w:t>
      </w:r>
      <w:r>
        <w:rPr>
          <w:color w:val="231F20"/>
          <w:vertAlign w:val="baseline"/>
        </w:rPr>
        <w:t>capillary</w:t>
      </w:r>
      <w:r>
        <w:rPr>
          <w:color w:val="231F20"/>
          <w:spacing w:val="6"/>
          <w:vertAlign w:val="baseline"/>
        </w:rPr>
        <w:t> </w:t>
      </w:r>
      <w:r>
        <w:rPr>
          <w:color w:val="231F20"/>
          <w:vertAlign w:val="baseline"/>
        </w:rPr>
        <w:t>function.</w:t>
      </w:r>
    </w:p>
    <w:p>
      <w:pPr>
        <w:pStyle w:val="BodyText"/>
        <w:spacing w:before="5"/>
        <w:rPr>
          <w:sz w:val="31"/>
        </w:rPr>
      </w:pPr>
    </w:p>
    <w:p>
      <w:pPr>
        <w:pStyle w:val="Heading2"/>
        <w:spacing w:line="225" w:lineRule="auto" w:before="1"/>
        <w:ind w:left="1080" w:right="1013"/>
      </w:pPr>
      <w:r>
        <w:rPr>
          <w:color w:val="231F20"/>
          <w:w w:val="105"/>
        </w:rPr>
        <w:t>INCREASED BOWMAN’S CAPSULE HYDROSTATIC PRESSURE DECREASES GFR</w:t>
      </w:r>
    </w:p>
    <w:p>
      <w:pPr>
        <w:pStyle w:val="BodyText"/>
        <w:spacing w:line="249" w:lineRule="auto" w:before="127"/>
        <w:ind w:left="1080"/>
        <w:jc w:val="both"/>
      </w:pPr>
      <w:r>
        <w:rPr>
          <w:color w:val="231F20"/>
          <w:w w:val="105"/>
        </w:rPr>
        <w:t>Direct</w:t>
      </w:r>
      <w:r>
        <w:rPr>
          <w:color w:val="231F20"/>
          <w:spacing w:val="-21"/>
          <w:w w:val="105"/>
        </w:rPr>
        <w:t> </w:t>
      </w:r>
      <w:r>
        <w:rPr>
          <w:color w:val="231F20"/>
          <w:w w:val="105"/>
        </w:rPr>
        <w:t>measurements,</w:t>
      </w:r>
      <w:r>
        <w:rPr>
          <w:color w:val="231F20"/>
          <w:spacing w:val="-20"/>
          <w:w w:val="105"/>
        </w:rPr>
        <w:t> </w:t>
      </w:r>
      <w:r>
        <w:rPr>
          <w:color w:val="231F20"/>
          <w:w w:val="105"/>
        </w:rPr>
        <w:t>using</w:t>
      </w:r>
      <w:r>
        <w:rPr>
          <w:color w:val="231F20"/>
          <w:spacing w:val="-20"/>
          <w:w w:val="105"/>
        </w:rPr>
        <w:t> </w:t>
      </w:r>
      <w:r>
        <w:rPr>
          <w:color w:val="231F20"/>
          <w:w w:val="105"/>
        </w:rPr>
        <w:t>micropipettes,</w:t>
      </w:r>
      <w:r>
        <w:rPr>
          <w:color w:val="231F20"/>
          <w:spacing w:val="-21"/>
          <w:w w:val="105"/>
        </w:rPr>
        <w:t> </w:t>
      </w:r>
      <w:r>
        <w:rPr>
          <w:color w:val="231F20"/>
          <w:w w:val="105"/>
        </w:rPr>
        <w:t>of</w:t>
      </w:r>
      <w:r>
        <w:rPr>
          <w:color w:val="231F20"/>
          <w:spacing w:val="-20"/>
          <w:w w:val="105"/>
        </w:rPr>
        <w:t> </w:t>
      </w:r>
      <w:r>
        <w:rPr>
          <w:color w:val="231F20"/>
          <w:spacing w:val="-3"/>
          <w:w w:val="105"/>
        </w:rPr>
        <w:t>hydrostatic </w:t>
      </w:r>
      <w:r>
        <w:rPr>
          <w:color w:val="231F20"/>
          <w:w w:val="105"/>
        </w:rPr>
        <w:t>pressure in Bowman’s capsule and at different points  in the proximal tubule in experimental animals </w:t>
      </w:r>
      <w:r>
        <w:rPr>
          <w:color w:val="231F20"/>
          <w:spacing w:val="-3"/>
          <w:w w:val="105"/>
        </w:rPr>
        <w:t>suggest </w:t>
      </w:r>
      <w:r>
        <w:rPr>
          <w:color w:val="231F20"/>
          <w:w w:val="105"/>
        </w:rPr>
        <w:t>that a reasonable estimate for Bowman’s capsule pres­ sure in humans is about 18 mm Hg under normal </w:t>
      </w:r>
      <w:r>
        <w:rPr>
          <w:color w:val="231F20"/>
          <w:spacing w:val="-4"/>
          <w:w w:val="105"/>
        </w:rPr>
        <w:t>condi­ </w:t>
      </w:r>
      <w:r>
        <w:rPr>
          <w:color w:val="231F20"/>
          <w:w w:val="105"/>
        </w:rPr>
        <w:t>tions. Increasing the hydrostatic pressure in </w:t>
      </w:r>
      <w:r>
        <w:rPr>
          <w:color w:val="231F20"/>
          <w:spacing w:val="-4"/>
          <w:w w:val="105"/>
        </w:rPr>
        <w:t>Bowman’s </w:t>
      </w:r>
      <w:r>
        <w:rPr>
          <w:color w:val="231F20"/>
          <w:w w:val="105"/>
        </w:rPr>
        <w:t>capsule reduces GFR, whereas decreasing this pressure raises</w:t>
      </w:r>
      <w:r>
        <w:rPr>
          <w:color w:val="231F20"/>
          <w:spacing w:val="-36"/>
          <w:w w:val="105"/>
        </w:rPr>
        <w:t> </w:t>
      </w:r>
      <w:r>
        <w:rPr>
          <w:color w:val="231F20"/>
          <w:w w:val="105"/>
        </w:rPr>
        <w:t>GFR.</w:t>
      </w:r>
      <w:r>
        <w:rPr>
          <w:color w:val="231F20"/>
          <w:spacing w:val="-36"/>
          <w:w w:val="105"/>
        </w:rPr>
        <w:t> </w:t>
      </w:r>
      <w:r>
        <w:rPr>
          <w:color w:val="231F20"/>
          <w:w w:val="105"/>
        </w:rPr>
        <w:t>However,</w:t>
      </w:r>
      <w:r>
        <w:rPr>
          <w:color w:val="231F20"/>
          <w:spacing w:val="-36"/>
          <w:w w:val="105"/>
        </w:rPr>
        <w:t> </w:t>
      </w:r>
      <w:r>
        <w:rPr>
          <w:color w:val="231F20"/>
          <w:w w:val="105"/>
        </w:rPr>
        <w:t>changes</w:t>
      </w:r>
      <w:r>
        <w:rPr>
          <w:color w:val="231F20"/>
          <w:spacing w:val="-36"/>
          <w:w w:val="105"/>
        </w:rPr>
        <w:t> </w:t>
      </w:r>
      <w:r>
        <w:rPr>
          <w:color w:val="231F20"/>
          <w:w w:val="105"/>
        </w:rPr>
        <w:t>in</w:t>
      </w:r>
      <w:r>
        <w:rPr>
          <w:color w:val="231F20"/>
          <w:spacing w:val="-35"/>
          <w:w w:val="105"/>
        </w:rPr>
        <w:t> </w:t>
      </w:r>
      <w:r>
        <w:rPr>
          <w:color w:val="231F20"/>
          <w:w w:val="105"/>
        </w:rPr>
        <w:t>Bowman’s</w:t>
      </w:r>
      <w:r>
        <w:rPr>
          <w:color w:val="231F20"/>
          <w:spacing w:val="-36"/>
          <w:w w:val="105"/>
        </w:rPr>
        <w:t> </w:t>
      </w:r>
      <w:r>
        <w:rPr>
          <w:color w:val="231F20"/>
          <w:w w:val="105"/>
        </w:rPr>
        <w:t>capsule</w:t>
      </w:r>
      <w:r>
        <w:rPr>
          <w:color w:val="231F20"/>
          <w:spacing w:val="-36"/>
          <w:w w:val="105"/>
        </w:rPr>
        <w:t> </w:t>
      </w:r>
      <w:r>
        <w:rPr>
          <w:color w:val="231F20"/>
          <w:w w:val="105"/>
        </w:rPr>
        <w:t>pres­ sure</w:t>
      </w:r>
      <w:r>
        <w:rPr>
          <w:color w:val="231F20"/>
          <w:spacing w:val="-5"/>
          <w:w w:val="105"/>
        </w:rPr>
        <w:t> </w:t>
      </w:r>
      <w:r>
        <w:rPr>
          <w:color w:val="231F20"/>
          <w:w w:val="105"/>
        </w:rPr>
        <w:t>normally</w:t>
      </w:r>
      <w:r>
        <w:rPr>
          <w:color w:val="231F20"/>
          <w:spacing w:val="-4"/>
          <w:w w:val="105"/>
        </w:rPr>
        <w:t> </w:t>
      </w:r>
      <w:r>
        <w:rPr>
          <w:color w:val="231F20"/>
          <w:w w:val="105"/>
        </w:rPr>
        <w:t>do</w:t>
      </w:r>
      <w:r>
        <w:rPr>
          <w:color w:val="231F20"/>
          <w:spacing w:val="-4"/>
          <w:w w:val="105"/>
        </w:rPr>
        <w:t> </w:t>
      </w:r>
      <w:r>
        <w:rPr>
          <w:color w:val="231F20"/>
          <w:w w:val="105"/>
        </w:rPr>
        <w:t>not</w:t>
      </w:r>
      <w:r>
        <w:rPr>
          <w:color w:val="231F20"/>
          <w:spacing w:val="-4"/>
          <w:w w:val="105"/>
        </w:rPr>
        <w:t> </w:t>
      </w:r>
      <w:r>
        <w:rPr>
          <w:color w:val="231F20"/>
          <w:w w:val="105"/>
        </w:rPr>
        <w:t>serve</w:t>
      </w:r>
      <w:r>
        <w:rPr>
          <w:color w:val="231F20"/>
          <w:spacing w:val="-4"/>
          <w:w w:val="105"/>
        </w:rPr>
        <w:t> </w:t>
      </w:r>
      <w:r>
        <w:rPr>
          <w:color w:val="231F20"/>
          <w:w w:val="105"/>
        </w:rPr>
        <w:t>as</w:t>
      </w:r>
      <w:r>
        <w:rPr>
          <w:color w:val="231F20"/>
          <w:spacing w:val="-4"/>
          <w:w w:val="105"/>
        </w:rPr>
        <w:t> </w:t>
      </w:r>
      <w:r>
        <w:rPr>
          <w:color w:val="231F20"/>
          <w:w w:val="105"/>
        </w:rPr>
        <w:t>a</w:t>
      </w:r>
      <w:r>
        <w:rPr>
          <w:color w:val="231F20"/>
          <w:spacing w:val="-5"/>
          <w:w w:val="105"/>
        </w:rPr>
        <w:t> </w:t>
      </w:r>
      <w:r>
        <w:rPr>
          <w:color w:val="231F20"/>
          <w:w w:val="105"/>
        </w:rPr>
        <w:t>primary</w:t>
      </w:r>
      <w:r>
        <w:rPr>
          <w:color w:val="231F20"/>
          <w:spacing w:val="-4"/>
          <w:w w:val="105"/>
        </w:rPr>
        <w:t> </w:t>
      </w:r>
      <w:r>
        <w:rPr>
          <w:color w:val="231F20"/>
          <w:w w:val="105"/>
        </w:rPr>
        <w:t>means</w:t>
      </w:r>
      <w:r>
        <w:rPr>
          <w:color w:val="231F20"/>
          <w:spacing w:val="-4"/>
          <w:w w:val="105"/>
        </w:rPr>
        <w:t> </w:t>
      </w:r>
      <w:r>
        <w:rPr>
          <w:color w:val="231F20"/>
          <w:w w:val="105"/>
        </w:rPr>
        <w:t>for</w:t>
      </w:r>
      <w:r>
        <w:rPr>
          <w:color w:val="231F20"/>
          <w:spacing w:val="-4"/>
          <w:w w:val="105"/>
        </w:rPr>
        <w:t> </w:t>
      </w:r>
      <w:r>
        <w:rPr>
          <w:color w:val="231F20"/>
          <w:w w:val="105"/>
        </w:rPr>
        <w:t>regu­ lating</w:t>
      </w:r>
      <w:r>
        <w:rPr>
          <w:color w:val="231F20"/>
          <w:spacing w:val="2"/>
          <w:w w:val="105"/>
        </w:rPr>
        <w:t> </w:t>
      </w:r>
      <w:r>
        <w:rPr>
          <w:color w:val="231F20"/>
          <w:w w:val="105"/>
        </w:rPr>
        <w:t>GFR.</w:t>
      </w:r>
    </w:p>
    <w:p>
      <w:pPr>
        <w:pStyle w:val="BodyText"/>
        <w:spacing w:line="249" w:lineRule="auto" w:before="8"/>
        <w:ind w:left="1080" w:firstLine="240"/>
        <w:jc w:val="both"/>
      </w:pPr>
      <w:r>
        <w:rPr>
          <w:color w:val="231F20"/>
          <w:w w:val="105"/>
        </w:rPr>
        <w:t>In</w:t>
      </w:r>
      <w:r>
        <w:rPr>
          <w:color w:val="231F20"/>
          <w:spacing w:val="-11"/>
          <w:w w:val="105"/>
        </w:rPr>
        <w:t> </w:t>
      </w:r>
      <w:r>
        <w:rPr>
          <w:color w:val="231F20"/>
          <w:w w:val="105"/>
        </w:rPr>
        <w:t>certain</w:t>
      </w:r>
      <w:r>
        <w:rPr>
          <w:color w:val="231F20"/>
          <w:spacing w:val="-11"/>
          <w:w w:val="105"/>
        </w:rPr>
        <w:t> </w:t>
      </w:r>
      <w:r>
        <w:rPr>
          <w:color w:val="231F20"/>
          <w:w w:val="105"/>
        </w:rPr>
        <w:t>pathological</w:t>
      </w:r>
      <w:r>
        <w:rPr>
          <w:color w:val="231F20"/>
          <w:spacing w:val="-11"/>
          <w:w w:val="105"/>
        </w:rPr>
        <w:t> </w:t>
      </w:r>
      <w:r>
        <w:rPr>
          <w:color w:val="231F20"/>
          <w:w w:val="105"/>
        </w:rPr>
        <w:t>states</w:t>
      </w:r>
      <w:r>
        <w:rPr>
          <w:color w:val="231F20"/>
          <w:spacing w:val="-11"/>
          <w:w w:val="105"/>
        </w:rPr>
        <w:t> </w:t>
      </w:r>
      <w:r>
        <w:rPr>
          <w:color w:val="231F20"/>
          <w:w w:val="105"/>
        </w:rPr>
        <w:t>associated</w:t>
      </w:r>
      <w:r>
        <w:rPr>
          <w:color w:val="231F20"/>
          <w:spacing w:val="-10"/>
          <w:w w:val="105"/>
        </w:rPr>
        <w:t> </w:t>
      </w:r>
      <w:r>
        <w:rPr>
          <w:color w:val="231F20"/>
          <w:w w:val="105"/>
        </w:rPr>
        <w:t>with</w:t>
      </w:r>
      <w:r>
        <w:rPr>
          <w:color w:val="231F20"/>
          <w:spacing w:val="-11"/>
          <w:w w:val="105"/>
        </w:rPr>
        <w:t> </w:t>
      </w:r>
      <w:r>
        <w:rPr>
          <w:color w:val="231F20"/>
          <w:w w:val="105"/>
        </w:rPr>
        <w:t>obstruc­ tion</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8"/>
          <w:w w:val="105"/>
        </w:rPr>
        <w:t> </w:t>
      </w:r>
      <w:r>
        <w:rPr>
          <w:color w:val="231F20"/>
          <w:w w:val="105"/>
        </w:rPr>
        <w:t>urinary</w:t>
      </w:r>
      <w:r>
        <w:rPr>
          <w:color w:val="231F20"/>
          <w:spacing w:val="-9"/>
          <w:w w:val="105"/>
        </w:rPr>
        <w:t> </w:t>
      </w:r>
      <w:r>
        <w:rPr>
          <w:color w:val="231F20"/>
          <w:w w:val="105"/>
        </w:rPr>
        <w:t>tract,</w:t>
      </w:r>
      <w:r>
        <w:rPr>
          <w:color w:val="231F20"/>
          <w:spacing w:val="-9"/>
          <w:w w:val="105"/>
        </w:rPr>
        <w:t> </w:t>
      </w:r>
      <w:r>
        <w:rPr>
          <w:color w:val="231F20"/>
          <w:w w:val="105"/>
        </w:rPr>
        <w:t>Bowman’s</w:t>
      </w:r>
      <w:r>
        <w:rPr>
          <w:color w:val="231F20"/>
          <w:spacing w:val="-8"/>
          <w:w w:val="105"/>
        </w:rPr>
        <w:t> </w:t>
      </w:r>
      <w:r>
        <w:rPr>
          <w:color w:val="231F20"/>
          <w:w w:val="105"/>
        </w:rPr>
        <w:t>capsule</w:t>
      </w:r>
      <w:r>
        <w:rPr>
          <w:color w:val="231F20"/>
          <w:spacing w:val="-9"/>
          <w:w w:val="105"/>
        </w:rPr>
        <w:t> </w:t>
      </w:r>
      <w:r>
        <w:rPr>
          <w:color w:val="231F20"/>
          <w:w w:val="105"/>
        </w:rPr>
        <w:t>pressure</w:t>
      </w:r>
      <w:r>
        <w:rPr>
          <w:color w:val="231F20"/>
          <w:spacing w:val="-9"/>
          <w:w w:val="105"/>
        </w:rPr>
        <w:t> </w:t>
      </w:r>
      <w:r>
        <w:rPr>
          <w:color w:val="231F20"/>
          <w:w w:val="105"/>
        </w:rPr>
        <w:t>can increase</w:t>
      </w:r>
      <w:r>
        <w:rPr>
          <w:color w:val="231F20"/>
          <w:spacing w:val="-26"/>
          <w:w w:val="105"/>
        </w:rPr>
        <w:t> </w:t>
      </w:r>
      <w:r>
        <w:rPr>
          <w:color w:val="231F20"/>
          <w:w w:val="105"/>
        </w:rPr>
        <w:t>markedly,</w:t>
      </w:r>
      <w:r>
        <w:rPr>
          <w:color w:val="231F20"/>
          <w:spacing w:val="-25"/>
          <w:w w:val="105"/>
        </w:rPr>
        <w:t> </w:t>
      </w:r>
      <w:r>
        <w:rPr>
          <w:color w:val="231F20"/>
          <w:w w:val="105"/>
        </w:rPr>
        <w:t>causing</w:t>
      </w:r>
      <w:r>
        <w:rPr>
          <w:color w:val="231F20"/>
          <w:spacing w:val="-25"/>
          <w:w w:val="105"/>
        </w:rPr>
        <w:t> </w:t>
      </w:r>
      <w:r>
        <w:rPr>
          <w:color w:val="231F20"/>
          <w:w w:val="105"/>
        </w:rPr>
        <w:t>serious</w:t>
      </w:r>
      <w:r>
        <w:rPr>
          <w:color w:val="231F20"/>
          <w:spacing w:val="-25"/>
          <w:w w:val="105"/>
        </w:rPr>
        <w:t> </w:t>
      </w:r>
      <w:r>
        <w:rPr>
          <w:color w:val="231F20"/>
          <w:w w:val="105"/>
        </w:rPr>
        <w:t>reduction</w:t>
      </w:r>
      <w:r>
        <w:rPr>
          <w:color w:val="231F20"/>
          <w:spacing w:val="-25"/>
          <w:w w:val="105"/>
        </w:rPr>
        <w:t> </w:t>
      </w:r>
      <w:r>
        <w:rPr>
          <w:color w:val="231F20"/>
          <w:w w:val="105"/>
        </w:rPr>
        <w:t>of</w:t>
      </w:r>
      <w:r>
        <w:rPr>
          <w:color w:val="231F20"/>
          <w:spacing w:val="-25"/>
          <w:w w:val="105"/>
        </w:rPr>
        <w:t> </w:t>
      </w:r>
      <w:r>
        <w:rPr>
          <w:color w:val="231F20"/>
          <w:w w:val="105"/>
        </w:rPr>
        <w:t>GFR.</w:t>
      </w:r>
      <w:r>
        <w:rPr>
          <w:color w:val="231F20"/>
          <w:spacing w:val="-25"/>
          <w:w w:val="105"/>
        </w:rPr>
        <w:t> </w:t>
      </w:r>
      <w:r>
        <w:rPr>
          <w:color w:val="231F20"/>
          <w:spacing w:val="-3"/>
          <w:w w:val="105"/>
        </w:rPr>
        <w:t>For </w:t>
      </w:r>
      <w:r>
        <w:rPr>
          <w:color w:val="231F20"/>
          <w:w w:val="105"/>
        </w:rPr>
        <w:t>example,</w:t>
      </w:r>
      <w:r>
        <w:rPr>
          <w:color w:val="231F20"/>
          <w:spacing w:val="-22"/>
          <w:w w:val="105"/>
        </w:rPr>
        <w:t> </w:t>
      </w:r>
      <w:r>
        <w:rPr>
          <w:color w:val="231F20"/>
          <w:w w:val="105"/>
        </w:rPr>
        <w:t>precipitation</w:t>
      </w:r>
      <w:r>
        <w:rPr>
          <w:color w:val="231F20"/>
          <w:spacing w:val="-21"/>
          <w:w w:val="105"/>
        </w:rPr>
        <w:t> </w:t>
      </w:r>
      <w:r>
        <w:rPr>
          <w:color w:val="231F20"/>
          <w:w w:val="105"/>
        </w:rPr>
        <w:t>of</w:t>
      </w:r>
      <w:r>
        <w:rPr>
          <w:color w:val="231F20"/>
          <w:spacing w:val="-21"/>
          <w:w w:val="105"/>
        </w:rPr>
        <w:t> </w:t>
      </w:r>
      <w:r>
        <w:rPr>
          <w:color w:val="231F20"/>
          <w:w w:val="105"/>
        </w:rPr>
        <w:t>calcium</w:t>
      </w:r>
      <w:r>
        <w:rPr>
          <w:color w:val="231F20"/>
          <w:spacing w:val="-22"/>
          <w:w w:val="105"/>
        </w:rPr>
        <w:t> </w:t>
      </w:r>
      <w:r>
        <w:rPr>
          <w:color w:val="231F20"/>
          <w:w w:val="105"/>
        </w:rPr>
        <w:t>or</w:t>
      </w:r>
      <w:r>
        <w:rPr>
          <w:color w:val="231F20"/>
          <w:spacing w:val="-21"/>
          <w:w w:val="105"/>
        </w:rPr>
        <w:t> </w:t>
      </w:r>
      <w:r>
        <w:rPr>
          <w:color w:val="231F20"/>
          <w:w w:val="105"/>
        </w:rPr>
        <w:t>of</w:t>
      </w:r>
      <w:r>
        <w:rPr>
          <w:color w:val="231F20"/>
          <w:spacing w:val="-21"/>
          <w:w w:val="105"/>
        </w:rPr>
        <w:t> </w:t>
      </w:r>
      <w:r>
        <w:rPr>
          <w:color w:val="231F20"/>
          <w:w w:val="105"/>
        </w:rPr>
        <w:t>uric</w:t>
      </w:r>
      <w:r>
        <w:rPr>
          <w:color w:val="231F20"/>
          <w:spacing w:val="-22"/>
          <w:w w:val="105"/>
        </w:rPr>
        <w:t> </w:t>
      </w:r>
      <w:r>
        <w:rPr>
          <w:color w:val="231F20"/>
          <w:w w:val="105"/>
        </w:rPr>
        <w:t>acid</w:t>
      </w:r>
      <w:r>
        <w:rPr>
          <w:color w:val="231F20"/>
          <w:spacing w:val="-21"/>
          <w:w w:val="105"/>
        </w:rPr>
        <w:t> </w:t>
      </w:r>
      <w:r>
        <w:rPr>
          <w:color w:val="231F20"/>
          <w:w w:val="105"/>
        </w:rPr>
        <w:t>may</w:t>
      </w:r>
      <w:r>
        <w:rPr>
          <w:color w:val="231F20"/>
          <w:spacing w:val="-21"/>
          <w:w w:val="105"/>
        </w:rPr>
        <w:t> </w:t>
      </w:r>
      <w:r>
        <w:rPr>
          <w:color w:val="231F20"/>
          <w:spacing w:val="-4"/>
          <w:w w:val="105"/>
        </w:rPr>
        <w:t>lead </w:t>
      </w:r>
      <w:r>
        <w:rPr>
          <w:color w:val="231F20"/>
          <w:w w:val="105"/>
        </w:rPr>
        <w:t>to “stones” that lodge in the urinary tract, often in the </w:t>
      </w:r>
      <w:r>
        <w:rPr>
          <w:color w:val="231F20"/>
          <w:spacing w:val="-3"/>
          <w:w w:val="105"/>
        </w:rPr>
        <w:t>ureter, </w:t>
      </w:r>
      <w:r>
        <w:rPr>
          <w:color w:val="231F20"/>
          <w:w w:val="105"/>
        </w:rPr>
        <w:t>thereby obstructing outflow of the urinary </w:t>
      </w:r>
      <w:r>
        <w:rPr>
          <w:color w:val="231F20"/>
          <w:spacing w:val="-3"/>
          <w:w w:val="105"/>
        </w:rPr>
        <w:t>tract </w:t>
      </w:r>
      <w:r>
        <w:rPr>
          <w:color w:val="231F20"/>
          <w:w w:val="105"/>
        </w:rPr>
        <w:t>and raising Bowman’s capsule pressure. This </w:t>
      </w:r>
      <w:r>
        <w:rPr>
          <w:color w:val="231F20"/>
          <w:spacing w:val="-3"/>
          <w:w w:val="105"/>
        </w:rPr>
        <w:t>situation </w:t>
      </w:r>
      <w:r>
        <w:rPr>
          <w:color w:val="231F20"/>
          <w:w w:val="105"/>
        </w:rPr>
        <w:t>reduces GFR and eventually can cause </w:t>
      </w:r>
      <w:r>
        <w:rPr>
          <w:i/>
          <w:color w:val="231F20"/>
          <w:w w:val="105"/>
        </w:rPr>
        <w:t>hydronephrosis </w:t>
      </w:r>
      <w:r>
        <w:rPr>
          <w:color w:val="231F20"/>
          <w:w w:val="105"/>
        </w:rPr>
        <w:t>(distention and dilation of the renal pelvis and </w:t>
      </w:r>
      <w:r>
        <w:rPr>
          <w:color w:val="231F20"/>
          <w:spacing w:val="-3"/>
          <w:w w:val="105"/>
        </w:rPr>
        <w:t>calyces) </w:t>
      </w:r>
      <w:r>
        <w:rPr>
          <w:color w:val="231F20"/>
          <w:w w:val="105"/>
        </w:rPr>
        <w:t>and can damage or even destroy the kidney unless </w:t>
      </w:r>
      <w:r>
        <w:rPr>
          <w:color w:val="231F20"/>
          <w:spacing w:val="-7"/>
          <w:w w:val="105"/>
        </w:rPr>
        <w:t>the </w:t>
      </w:r>
      <w:r>
        <w:rPr>
          <w:color w:val="231F20"/>
          <w:w w:val="105"/>
        </w:rPr>
        <w:t>obstruction is</w:t>
      </w:r>
      <w:r>
        <w:rPr>
          <w:color w:val="231F20"/>
          <w:spacing w:val="5"/>
          <w:w w:val="105"/>
        </w:rPr>
        <w:t> </w:t>
      </w:r>
      <w:r>
        <w:rPr>
          <w:color w:val="231F20"/>
          <w:w w:val="105"/>
        </w:rPr>
        <w:t>relieved.</w:t>
      </w:r>
    </w:p>
    <w:p>
      <w:pPr>
        <w:pStyle w:val="BodyText"/>
        <w:spacing w:before="5"/>
        <w:rPr>
          <w:sz w:val="31"/>
        </w:rPr>
      </w:pPr>
    </w:p>
    <w:p>
      <w:pPr>
        <w:pStyle w:val="Heading2"/>
        <w:spacing w:line="225" w:lineRule="auto"/>
        <w:ind w:left="1080" w:right="630"/>
      </w:pPr>
      <w:r>
        <w:rPr>
          <w:color w:val="231F20"/>
          <w:w w:val="105"/>
        </w:rPr>
        <w:t>INCREASED GLOMERULAR CAPILLARY COLLOID OSMOTIC PRESSURE DECREASES GFR</w:t>
      </w:r>
    </w:p>
    <w:p>
      <w:pPr>
        <w:pStyle w:val="BodyText"/>
        <w:spacing w:line="249" w:lineRule="auto" w:before="127"/>
        <w:ind w:left="1080"/>
        <w:jc w:val="both"/>
      </w:pPr>
      <w:r>
        <w:rPr>
          <w:color w:val="231F20"/>
        </w:rPr>
        <w:t>As blood  passes  from  the  afferent  arteriole  through  the glomerular capillaries to the efferent arterioles,</w:t>
      </w:r>
      <w:r>
        <w:rPr>
          <w:color w:val="231F20"/>
          <w:spacing w:val="17"/>
        </w:rPr>
        <w:t> </w:t>
      </w:r>
      <w:r>
        <w:rPr>
          <w:color w:val="231F20"/>
          <w:spacing w:val="-5"/>
        </w:rPr>
        <w:t>the</w:t>
      </w:r>
    </w:p>
    <w:p>
      <w:pPr>
        <w:spacing w:line="261" w:lineRule="auto" w:before="89"/>
        <w:ind w:left="319" w:right="1437" w:firstLine="0"/>
        <w:jc w:val="both"/>
        <w:rPr>
          <w:rFonts w:ascii="Arial" w:hAnsi="Arial"/>
          <w:sz w:val="16"/>
        </w:rPr>
      </w:pPr>
      <w:r>
        <w:rPr/>
        <w:br w:type="column"/>
      </w:r>
      <w:bookmarkStart w:name="_bookmark27" w:id="28"/>
      <w:bookmarkEnd w:id="28"/>
      <w:r>
        <w:rPr/>
      </w:r>
      <w:r>
        <w:rPr>
          <w:rFonts w:ascii="Trebuchet MS" w:hAnsi="Trebuchet MS"/>
          <w:b/>
          <w:color w:val="231F20"/>
          <w:sz w:val="16"/>
        </w:rPr>
        <w:t>Figure</w:t>
      </w:r>
      <w:r>
        <w:rPr>
          <w:rFonts w:ascii="Trebuchet MS" w:hAnsi="Trebuchet MS"/>
          <w:b/>
          <w:color w:val="231F20"/>
          <w:spacing w:val="-17"/>
          <w:sz w:val="16"/>
        </w:rPr>
        <w:t> </w:t>
      </w:r>
      <w:r>
        <w:rPr>
          <w:rFonts w:ascii="Trebuchet MS" w:hAnsi="Trebuchet MS"/>
          <w:b/>
          <w:color w:val="231F20"/>
          <w:sz w:val="16"/>
        </w:rPr>
        <w:t>27-5.</w:t>
      </w:r>
      <w:r>
        <w:rPr>
          <w:rFonts w:ascii="Trebuchet MS" w:hAnsi="Trebuchet MS"/>
          <w:b/>
          <w:color w:val="231F20"/>
          <w:spacing w:val="-2"/>
          <w:sz w:val="16"/>
        </w:rPr>
        <w:t> </w:t>
      </w:r>
      <w:r>
        <w:rPr>
          <w:rFonts w:ascii="Arial" w:hAnsi="Arial"/>
          <w:color w:val="231F20"/>
          <w:sz w:val="16"/>
        </w:rPr>
        <w:t>Increase</w:t>
      </w:r>
      <w:r>
        <w:rPr>
          <w:rFonts w:ascii="Arial" w:hAnsi="Arial"/>
          <w:color w:val="231F20"/>
          <w:spacing w:val="-13"/>
          <w:sz w:val="16"/>
        </w:rPr>
        <w:t> </w:t>
      </w:r>
      <w:r>
        <w:rPr>
          <w:rFonts w:ascii="Arial" w:hAnsi="Arial"/>
          <w:color w:val="231F20"/>
          <w:sz w:val="16"/>
        </w:rPr>
        <w:t>in</w:t>
      </w:r>
      <w:r>
        <w:rPr>
          <w:rFonts w:ascii="Arial" w:hAnsi="Arial"/>
          <w:color w:val="231F20"/>
          <w:spacing w:val="-13"/>
          <w:sz w:val="16"/>
        </w:rPr>
        <w:t> </w:t>
      </w:r>
      <w:r>
        <w:rPr>
          <w:rFonts w:ascii="Arial" w:hAnsi="Arial"/>
          <w:color w:val="231F20"/>
          <w:sz w:val="16"/>
        </w:rPr>
        <w:t>colloid</w:t>
      </w:r>
      <w:r>
        <w:rPr>
          <w:rFonts w:ascii="Arial" w:hAnsi="Arial"/>
          <w:color w:val="231F20"/>
          <w:spacing w:val="-13"/>
          <w:sz w:val="16"/>
        </w:rPr>
        <w:t> </w:t>
      </w:r>
      <w:r>
        <w:rPr>
          <w:rFonts w:ascii="Arial" w:hAnsi="Arial"/>
          <w:color w:val="231F20"/>
          <w:sz w:val="16"/>
        </w:rPr>
        <w:t>osmotic</w:t>
      </w:r>
      <w:r>
        <w:rPr>
          <w:rFonts w:ascii="Arial" w:hAnsi="Arial"/>
          <w:color w:val="231F20"/>
          <w:spacing w:val="-13"/>
          <w:sz w:val="16"/>
        </w:rPr>
        <w:t> </w:t>
      </w:r>
      <w:r>
        <w:rPr>
          <w:rFonts w:ascii="Arial" w:hAnsi="Arial"/>
          <w:color w:val="231F20"/>
          <w:sz w:val="16"/>
        </w:rPr>
        <w:t>pressure</w:t>
      </w:r>
      <w:r>
        <w:rPr>
          <w:rFonts w:ascii="Arial" w:hAnsi="Arial"/>
          <w:color w:val="231F20"/>
          <w:spacing w:val="-13"/>
          <w:sz w:val="16"/>
        </w:rPr>
        <w:t> </w:t>
      </w:r>
      <w:r>
        <w:rPr>
          <w:rFonts w:ascii="Arial" w:hAnsi="Arial"/>
          <w:color w:val="231F20"/>
          <w:sz w:val="16"/>
        </w:rPr>
        <w:t>in</w:t>
      </w:r>
      <w:r>
        <w:rPr>
          <w:rFonts w:ascii="Arial" w:hAnsi="Arial"/>
          <w:color w:val="231F20"/>
          <w:spacing w:val="-13"/>
          <w:sz w:val="16"/>
        </w:rPr>
        <w:t> </w:t>
      </w:r>
      <w:r>
        <w:rPr>
          <w:rFonts w:ascii="Arial" w:hAnsi="Arial"/>
          <w:color w:val="231F20"/>
          <w:sz w:val="16"/>
        </w:rPr>
        <w:t>plasma</w:t>
      </w:r>
      <w:r>
        <w:rPr>
          <w:rFonts w:ascii="Arial" w:hAnsi="Arial"/>
          <w:color w:val="231F20"/>
          <w:spacing w:val="-13"/>
          <w:sz w:val="16"/>
        </w:rPr>
        <w:t> </w:t>
      </w:r>
      <w:r>
        <w:rPr>
          <w:rFonts w:ascii="Arial" w:hAnsi="Arial"/>
          <w:color w:val="231F20"/>
          <w:sz w:val="16"/>
        </w:rPr>
        <w:t>flowing through the glomerular capillary. Normally, about one fifth of </w:t>
      </w:r>
      <w:r>
        <w:rPr>
          <w:rFonts w:ascii="Arial" w:hAnsi="Arial"/>
          <w:color w:val="231F20"/>
          <w:spacing w:val="-5"/>
          <w:sz w:val="16"/>
        </w:rPr>
        <w:t>the </w:t>
      </w:r>
      <w:r>
        <w:rPr>
          <w:rFonts w:ascii="Arial" w:hAnsi="Arial"/>
          <w:color w:val="231F20"/>
          <w:sz w:val="16"/>
        </w:rPr>
        <w:t>fluid in the glomerular capillaries filters into </w:t>
      </w:r>
      <w:r>
        <w:rPr>
          <w:rFonts w:ascii="Arial" w:hAnsi="Arial"/>
          <w:color w:val="231F20"/>
          <w:spacing w:val="-3"/>
          <w:sz w:val="16"/>
        </w:rPr>
        <w:t>Bowman’s </w:t>
      </w:r>
      <w:r>
        <w:rPr>
          <w:rFonts w:ascii="Arial" w:hAnsi="Arial"/>
          <w:color w:val="231F20"/>
          <w:sz w:val="16"/>
        </w:rPr>
        <w:t>capsule, thereby concentrating the plasma proteins that are not </w:t>
      </w:r>
      <w:r>
        <w:rPr>
          <w:rFonts w:ascii="Arial" w:hAnsi="Arial"/>
          <w:color w:val="231F20"/>
          <w:spacing w:val="-3"/>
          <w:sz w:val="16"/>
        </w:rPr>
        <w:t>filtered. </w:t>
      </w:r>
      <w:r>
        <w:rPr>
          <w:rFonts w:ascii="Arial" w:hAnsi="Arial"/>
          <w:color w:val="231F20"/>
          <w:sz w:val="16"/>
        </w:rPr>
        <w:t>Increases in the filtration fraction (glomerular filtration rate/renal plasma flow) increase the rate at which the plasma colloid</w:t>
      </w:r>
      <w:r>
        <w:rPr>
          <w:rFonts w:ascii="Arial" w:hAnsi="Arial"/>
          <w:color w:val="231F20"/>
          <w:spacing w:val="-13"/>
          <w:sz w:val="16"/>
        </w:rPr>
        <w:t> </w:t>
      </w:r>
      <w:r>
        <w:rPr>
          <w:rFonts w:ascii="Arial" w:hAnsi="Arial"/>
          <w:color w:val="231F20"/>
          <w:sz w:val="16"/>
        </w:rPr>
        <w:t>osmotic pressure</w:t>
      </w:r>
      <w:r>
        <w:rPr>
          <w:rFonts w:ascii="Arial" w:hAnsi="Arial"/>
          <w:color w:val="231F20"/>
          <w:spacing w:val="-15"/>
          <w:sz w:val="16"/>
        </w:rPr>
        <w:t> </w:t>
      </w:r>
      <w:r>
        <w:rPr>
          <w:rFonts w:ascii="Arial" w:hAnsi="Arial"/>
          <w:color w:val="231F20"/>
          <w:sz w:val="16"/>
        </w:rPr>
        <w:t>rises</w:t>
      </w:r>
      <w:r>
        <w:rPr>
          <w:rFonts w:ascii="Arial" w:hAnsi="Arial"/>
          <w:color w:val="231F20"/>
          <w:spacing w:val="-14"/>
          <w:sz w:val="16"/>
        </w:rPr>
        <w:t> </w:t>
      </w:r>
      <w:r>
        <w:rPr>
          <w:rFonts w:ascii="Arial" w:hAnsi="Arial"/>
          <w:color w:val="231F20"/>
          <w:sz w:val="16"/>
        </w:rPr>
        <w:t>along</w:t>
      </w:r>
      <w:r>
        <w:rPr>
          <w:rFonts w:ascii="Arial" w:hAnsi="Arial"/>
          <w:color w:val="231F20"/>
          <w:spacing w:val="-15"/>
          <w:sz w:val="16"/>
        </w:rPr>
        <w:t> </w:t>
      </w:r>
      <w:r>
        <w:rPr>
          <w:rFonts w:ascii="Arial" w:hAnsi="Arial"/>
          <w:color w:val="231F20"/>
          <w:sz w:val="16"/>
        </w:rPr>
        <w:t>the</w:t>
      </w:r>
      <w:r>
        <w:rPr>
          <w:rFonts w:ascii="Arial" w:hAnsi="Arial"/>
          <w:color w:val="231F20"/>
          <w:spacing w:val="-14"/>
          <w:sz w:val="16"/>
        </w:rPr>
        <w:t> </w:t>
      </w:r>
      <w:r>
        <w:rPr>
          <w:rFonts w:ascii="Arial" w:hAnsi="Arial"/>
          <w:color w:val="231F20"/>
          <w:sz w:val="16"/>
        </w:rPr>
        <w:t>glomerular</w:t>
      </w:r>
      <w:r>
        <w:rPr>
          <w:rFonts w:ascii="Arial" w:hAnsi="Arial"/>
          <w:color w:val="231F20"/>
          <w:spacing w:val="-14"/>
          <w:sz w:val="16"/>
        </w:rPr>
        <w:t> </w:t>
      </w:r>
      <w:r>
        <w:rPr>
          <w:rFonts w:ascii="Arial" w:hAnsi="Arial"/>
          <w:color w:val="231F20"/>
          <w:sz w:val="16"/>
        </w:rPr>
        <w:t>capillary;</w:t>
      </w:r>
      <w:r>
        <w:rPr>
          <w:rFonts w:ascii="Arial" w:hAnsi="Arial"/>
          <w:color w:val="231F20"/>
          <w:spacing w:val="-15"/>
          <w:sz w:val="16"/>
        </w:rPr>
        <w:t> </w:t>
      </w:r>
      <w:r>
        <w:rPr>
          <w:rFonts w:ascii="Arial" w:hAnsi="Arial"/>
          <w:color w:val="231F20"/>
          <w:sz w:val="16"/>
        </w:rPr>
        <w:t>decreases</w:t>
      </w:r>
      <w:r>
        <w:rPr>
          <w:rFonts w:ascii="Arial" w:hAnsi="Arial"/>
          <w:color w:val="231F20"/>
          <w:spacing w:val="-14"/>
          <w:sz w:val="16"/>
        </w:rPr>
        <w:t> </w:t>
      </w:r>
      <w:r>
        <w:rPr>
          <w:rFonts w:ascii="Arial" w:hAnsi="Arial"/>
          <w:color w:val="231F20"/>
          <w:sz w:val="16"/>
        </w:rPr>
        <w:t>in</w:t>
      </w:r>
      <w:r>
        <w:rPr>
          <w:rFonts w:ascii="Arial" w:hAnsi="Arial"/>
          <w:color w:val="231F20"/>
          <w:spacing w:val="-14"/>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filtra- tion fraction have the opposite</w:t>
      </w:r>
      <w:r>
        <w:rPr>
          <w:rFonts w:ascii="Arial" w:hAnsi="Arial"/>
          <w:color w:val="231F20"/>
          <w:spacing w:val="35"/>
          <w:sz w:val="16"/>
        </w:rPr>
        <w:t> </w:t>
      </w:r>
      <w:r>
        <w:rPr>
          <w:rFonts w:ascii="Arial" w:hAnsi="Arial"/>
          <w:color w:val="231F20"/>
          <w:sz w:val="16"/>
        </w:rPr>
        <w:t>effect.</w:t>
      </w:r>
    </w:p>
    <w:p>
      <w:pPr>
        <w:pStyle w:val="BodyText"/>
        <w:rPr>
          <w:rFonts w:ascii="Arial"/>
          <w:sz w:val="18"/>
        </w:rPr>
      </w:pPr>
    </w:p>
    <w:p>
      <w:pPr>
        <w:pStyle w:val="BodyText"/>
        <w:spacing w:before="2"/>
        <w:rPr>
          <w:rFonts w:ascii="Arial"/>
          <w:sz w:val="14"/>
        </w:rPr>
      </w:pPr>
    </w:p>
    <w:p>
      <w:pPr>
        <w:pStyle w:val="BodyText"/>
        <w:spacing w:line="249" w:lineRule="auto"/>
        <w:ind w:left="319" w:right="1437"/>
        <w:jc w:val="both"/>
      </w:pPr>
      <w:r>
        <w:rPr>
          <w:color w:val="231F20"/>
          <w:w w:val="105"/>
        </w:rPr>
        <w:t>plasma</w:t>
      </w:r>
      <w:r>
        <w:rPr>
          <w:color w:val="231F20"/>
          <w:spacing w:val="-7"/>
          <w:w w:val="105"/>
        </w:rPr>
        <w:t> </w:t>
      </w:r>
      <w:r>
        <w:rPr>
          <w:color w:val="231F20"/>
          <w:w w:val="105"/>
        </w:rPr>
        <w:t>protein</w:t>
      </w:r>
      <w:r>
        <w:rPr>
          <w:color w:val="231F20"/>
          <w:spacing w:val="-7"/>
          <w:w w:val="105"/>
        </w:rPr>
        <w:t> </w:t>
      </w:r>
      <w:r>
        <w:rPr>
          <w:color w:val="231F20"/>
          <w:w w:val="105"/>
        </w:rPr>
        <w:t>concentration</w:t>
      </w:r>
      <w:r>
        <w:rPr>
          <w:color w:val="231F20"/>
          <w:spacing w:val="-7"/>
          <w:w w:val="105"/>
        </w:rPr>
        <w:t> </w:t>
      </w:r>
      <w:r>
        <w:rPr>
          <w:color w:val="231F20"/>
          <w:w w:val="105"/>
        </w:rPr>
        <w:t>increases</w:t>
      </w:r>
      <w:r>
        <w:rPr>
          <w:color w:val="231F20"/>
          <w:spacing w:val="-7"/>
          <w:w w:val="105"/>
        </w:rPr>
        <w:t> </w:t>
      </w:r>
      <w:r>
        <w:rPr>
          <w:color w:val="231F20"/>
          <w:w w:val="105"/>
        </w:rPr>
        <w:t>about</w:t>
      </w:r>
      <w:r>
        <w:rPr>
          <w:color w:val="231F20"/>
          <w:spacing w:val="-6"/>
          <w:w w:val="105"/>
        </w:rPr>
        <w:t> </w:t>
      </w:r>
      <w:r>
        <w:rPr>
          <w:color w:val="231F20"/>
          <w:w w:val="105"/>
        </w:rPr>
        <w:t>20</w:t>
      </w:r>
      <w:r>
        <w:rPr>
          <w:color w:val="231F20"/>
          <w:spacing w:val="-7"/>
          <w:w w:val="105"/>
        </w:rPr>
        <w:t> </w:t>
      </w:r>
      <w:r>
        <w:rPr>
          <w:color w:val="231F20"/>
          <w:w w:val="105"/>
        </w:rPr>
        <w:t>percent (</w:t>
      </w:r>
      <w:hyperlink w:history="true" w:anchor="_bookmark27">
        <w:r>
          <w:rPr>
            <w:b/>
            <w:color w:val="0080AC"/>
            <w:w w:val="105"/>
          </w:rPr>
          <w:t>Figure 27-5</w:t>
        </w:r>
      </w:hyperlink>
      <w:r>
        <w:rPr>
          <w:color w:val="231F20"/>
          <w:w w:val="105"/>
        </w:rPr>
        <w:t>). The reason for this increase is that </w:t>
      </w:r>
      <w:r>
        <w:rPr>
          <w:color w:val="231F20"/>
          <w:spacing w:val="-3"/>
          <w:w w:val="105"/>
        </w:rPr>
        <w:t>about </w:t>
      </w:r>
      <w:r>
        <w:rPr>
          <w:color w:val="231F20"/>
          <w:w w:val="105"/>
        </w:rPr>
        <w:t>one</w:t>
      </w:r>
      <w:r>
        <w:rPr>
          <w:color w:val="231F20"/>
          <w:spacing w:val="-35"/>
          <w:w w:val="105"/>
        </w:rPr>
        <w:t> </w:t>
      </w:r>
      <w:r>
        <w:rPr>
          <w:color w:val="231F20"/>
          <w:w w:val="105"/>
        </w:rPr>
        <w:t>fifth</w:t>
      </w:r>
      <w:r>
        <w:rPr>
          <w:color w:val="231F20"/>
          <w:spacing w:val="-35"/>
          <w:w w:val="105"/>
        </w:rPr>
        <w:t> </w:t>
      </w:r>
      <w:r>
        <w:rPr>
          <w:color w:val="231F20"/>
          <w:w w:val="105"/>
        </w:rPr>
        <w:t>of</w:t>
      </w:r>
      <w:r>
        <w:rPr>
          <w:color w:val="231F20"/>
          <w:spacing w:val="-35"/>
          <w:w w:val="105"/>
        </w:rPr>
        <w:t> </w:t>
      </w:r>
      <w:r>
        <w:rPr>
          <w:color w:val="231F20"/>
          <w:w w:val="105"/>
        </w:rPr>
        <w:t>the</w:t>
      </w:r>
      <w:r>
        <w:rPr>
          <w:color w:val="231F20"/>
          <w:spacing w:val="-35"/>
          <w:w w:val="105"/>
        </w:rPr>
        <w:t> </w:t>
      </w:r>
      <w:r>
        <w:rPr>
          <w:color w:val="231F20"/>
          <w:w w:val="105"/>
        </w:rPr>
        <w:t>fluid</w:t>
      </w:r>
      <w:r>
        <w:rPr>
          <w:color w:val="231F20"/>
          <w:spacing w:val="-35"/>
          <w:w w:val="105"/>
        </w:rPr>
        <w:t> </w:t>
      </w:r>
      <w:r>
        <w:rPr>
          <w:color w:val="231F20"/>
          <w:w w:val="105"/>
        </w:rPr>
        <w:t>in</w:t>
      </w:r>
      <w:r>
        <w:rPr>
          <w:color w:val="231F20"/>
          <w:spacing w:val="-35"/>
          <w:w w:val="105"/>
        </w:rPr>
        <w:t> </w:t>
      </w:r>
      <w:r>
        <w:rPr>
          <w:color w:val="231F20"/>
          <w:w w:val="105"/>
        </w:rPr>
        <w:t>the</w:t>
      </w:r>
      <w:r>
        <w:rPr>
          <w:color w:val="231F20"/>
          <w:spacing w:val="-35"/>
          <w:w w:val="105"/>
        </w:rPr>
        <w:t> </w:t>
      </w:r>
      <w:r>
        <w:rPr>
          <w:color w:val="231F20"/>
          <w:w w:val="105"/>
        </w:rPr>
        <w:t>capillaries</w:t>
      </w:r>
      <w:r>
        <w:rPr>
          <w:color w:val="231F20"/>
          <w:spacing w:val="-35"/>
          <w:w w:val="105"/>
        </w:rPr>
        <w:t> </w:t>
      </w:r>
      <w:r>
        <w:rPr>
          <w:color w:val="231F20"/>
          <w:w w:val="105"/>
        </w:rPr>
        <w:t>filters</w:t>
      </w:r>
      <w:r>
        <w:rPr>
          <w:color w:val="231F20"/>
          <w:spacing w:val="-35"/>
          <w:w w:val="105"/>
        </w:rPr>
        <w:t> </w:t>
      </w:r>
      <w:r>
        <w:rPr>
          <w:color w:val="231F20"/>
          <w:w w:val="105"/>
        </w:rPr>
        <w:t>into</w:t>
      </w:r>
      <w:r>
        <w:rPr>
          <w:color w:val="231F20"/>
          <w:spacing w:val="-35"/>
          <w:w w:val="105"/>
        </w:rPr>
        <w:t> </w:t>
      </w:r>
      <w:r>
        <w:rPr>
          <w:color w:val="231F20"/>
          <w:w w:val="105"/>
        </w:rPr>
        <w:t>Bowman’s capsule, thereby concentrating the glomerular plasma proteins that are not filtered. Assuming that the normal colloid</w:t>
      </w:r>
      <w:r>
        <w:rPr>
          <w:color w:val="231F20"/>
          <w:spacing w:val="-18"/>
          <w:w w:val="105"/>
        </w:rPr>
        <w:t> </w:t>
      </w:r>
      <w:r>
        <w:rPr>
          <w:color w:val="231F20"/>
          <w:w w:val="105"/>
        </w:rPr>
        <w:t>osmotic</w:t>
      </w:r>
      <w:r>
        <w:rPr>
          <w:color w:val="231F20"/>
          <w:spacing w:val="-18"/>
          <w:w w:val="105"/>
        </w:rPr>
        <w:t> </w:t>
      </w:r>
      <w:r>
        <w:rPr>
          <w:color w:val="231F20"/>
          <w:w w:val="105"/>
        </w:rPr>
        <w:t>pressure</w:t>
      </w:r>
      <w:r>
        <w:rPr>
          <w:color w:val="231F20"/>
          <w:spacing w:val="-18"/>
          <w:w w:val="105"/>
        </w:rPr>
        <w:t> </w:t>
      </w:r>
      <w:r>
        <w:rPr>
          <w:color w:val="231F20"/>
          <w:w w:val="105"/>
        </w:rPr>
        <w:t>of</w:t>
      </w:r>
      <w:r>
        <w:rPr>
          <w:color w:val="231F20"/>
          <w:spacing w:val="-18"/>
          <w:w w:val="105"/>
        </w:rPr>
        <w:t> </w:t>
      </w:r>
      <w:r>
        <w:rPr>
          <w:color w:val="231F20"/>
          <w:w w:val="105"/>
        </w:rPr>
        <w:t>plasma</w:t>
      </w:r>
      <w:r>
        <w:rPr>
          <w:color w:val="231F20"/>
          <w:spacing w:val="-18"/>
          <w:w w:val="105"/>
        </w:rPr>
        <w:t> </w:t>
      </w:r>
      <w:r>
        <w:rPr>
          <w:color w:val="231F20"/>
          <w:w w:val="105"/>
        </w:rPr>
        <w:t>entering</w:t>
      </w:r>
      <w:r>
        <w:rPr>
          <w:color w:val="231F20"/>
          <w:spacing w:val="-18"/>
          <w:w w:val="105"/>
        </w:rPr>
        <w:t> </w:t>
      </w:r>
      <w:r>
        <w:rPr>
          <w:color w:val="231F20"/>
          <w:w w:val="105"/>
        </w:rPr>
        <w:t>the</w:t>
      </w:r>
      <w:r>
        <w:rPr>
          <w:color w:val="231F20"/>
          <w:spacing w:val="-17"/>
          <w:w w:val="105"/>
        </w:rPr>
        <w:t> </w:t>
      </w:r>
      <w:r>
        <w:rPr>
          <w:color w:val="231F20"/>
          <w:w w:val="105"/>
        </w:rPr>
        <w:t>glomeru­ lar capillaries is 28 mm Hg, this value usually rises to about</w:t>
      </w:r>
      <w:r>
        <w:rPr>
          <w:color w:val="231F20"/>
          <w:spacing w:val="-10"/>
          <w:w w:val="105"/>
        </w:rPr>
        <w:t> </w:t>
      </w:r>
      <w:r>
        <w:rPr>
          <w:color w:val="231F20"/>
          <w:w w:val="105"/>
        </w:rPr>
        <w:t>36</w:t>
      </w:r>
      <w:r>
        <w:rPr>
          <w:color w:val="231F20"/>
          <w:spacing w:val="-4"/>
          <w:w w:val="105"/>
        </w:rPr>
        <w:t> </w:t>
      </w:r>
      <w:r>
        <w:rPr>
          <w:color w:val="231F20"/>
          <w:w w:val="105"/>
        </w:rPr>
        <w:t>mm</w:t>
      </w:r>
      <w:r>
        <w:rPr>
          <w:color w:val="231F20"/>
          <w:spacing w:val="-3"/>
          <w:w w:val="105"/>
        </w:rPr>
        <w:t> </w:t>
      </w:r>
      <w:r>
        <w:rPr>
          <w:color w:val="231F20"/>
          <w:w w:val="105"/>
        </w:rPr>
        <w:t>Hg</w:t>
      </w:r>
      <w:r>
        <w:rPr>
          <w:color w:val="231F20"/>
          <w:spacing w:val="-10"/>
          <w:w w:val="105"/>
        </w:rPr>
        <w:t> </w:t>
      </w:r>
      <w:r>
        <w:rPr>
          <w:color w:val="231F20"/>
          <w:w w:val="105"/>
        </w:rPr>
        <w:t>by</w:t>
      </w:r>
      <w:r>
        <w:rPr>
          <w:color w:val="231F20"/>
          <w:spacing w:val="-9"/>
          <w:w w:val="105"/>
        </w:rPr>
        <w:t> </w:t>
      </w:r>
      <w:r>
        <w:rPr>
          <w:color w:val="231F20"/>
          <w:w w:val="105"/>
        </w:rPr>
        <w:t>the</w:t>
      </w:r>
      <w:r>
        <w:rPr>
          <w:color w:val="231F20"/>
          <w:spacing w:val="-9"/>
          <w:w w:val="105"/>
        </w:rPr>
        <w:t> </w:t>
      </w:r>
      <w:r>
        <w:rPr>
          <w:color w:val="231F20"/>
          <w:w w:val="105"/>
        </w:rPr>
        <w:t>time</w:t>
      </w:r>
      <w:r>
        <w:rPr>
          <w:color w:val="231F20"/>
          <w:spacing w:val="-9"/>
          <w:w w:val="105"/>
        </w:rPr>
        <w:t> </w:t>
      </w:r>
      <w:r>
        <w:rPr>
          <w:color w:val="231F20"/>
          <w:w w:val="105"/>
        </w:rPr>
        <w:t>the</w:t>
      </w:r>
      <w:r>
        <w:rPr>
          <w:color w:val="231F20"/>
          <w:spacing w:val="-9"/>
          <w:w w:val="105"/>
        </w:rPr>
        <w:t> </w:t>
      </w:r>
      <w:r>
        <w:rPr>
          <w:color w:val="231F20"/>
          <w:w w:val="105"/>
        </w:rPr>
        <w:t>blood</w:t>
      </w:r>
      <w:r>
        <w:rPr>
          <w:color w:val="231F20"/>
          <w:spacing w:val="-9"/>
          <w:w w:val="105"/>
        </w:rPr>
        <w:t> </w:t>
      </w:r>
      <w:r>
        <w:rPr>
          <w:color w:val="231F20"/>
          <w:w w:val="105"/>
        </w:rPr>
        <w:t>reaches</w:t>
      </w:r>
      <w:r>
        <w:rPr>
          <w:color w:val="231F20"/>
          <w:spacing w:val="-9"/>
          <w:w w:val="105"/>
        </w:rPr>
        <w:t> </w:t>
      </w:r>
      <w:r>
        <w:rPr>
          <w:color w:val="231F20"/>
          <w:w w:val="105"/>
        </w:rPr>
        <w:t>the</w:t>
      </w:r>
      <w:r>
        <w:rPr>
          <w:color w:val="231F20"/>
          <w:spacing w:val="-9"/>
          <w:w w:val="105"/>
        </w:rPr>
        <w:t> </w:t>
      </w:r>
      <w:r>
        <w:rPr>
          <w:color w:val="231F20"/>
          <w:w w:val="105"/>
        </w:rPr>
        <w:t>effer­ ent end of the capillaries. Therefore, the average </w:t>
      </w:r>
      <w:r>
        <w:rPr>
          <w:color w:val="231F20"/>
          <w:spacing w:val="-3"/>
          <w:w w:val="105"/>
        </w:rPr>
        <w:t>colloid </w:t>
      </w:r>
      <w:r>
        <w:rPr>
          <w:color w:val="231F20"/>
          <w:w w:val="105"/>
        </w:rPr>
        <w:t>osmotic</w:t>
      </w:r>
      <w:r>
        <w:rPr>
          <w:color w:val="231F20"/>
          <w:spacing w:val="-12"/>
          <w:w w:val="105"/>
        </w:rPr>
        <w:t> </w:t>
      </w:r>
      <w:r>
        <w:rPr>
          <w:color w:val="231F20"/>
          <w:w w:val="105"/>
        </w:rPr>
        <w:t>pressure</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glomerular</w:t>
      </w:r>
      <w:r>
        <w:rPr>
          <w:color w:val="231F20"/>
          <w:spacing w:val="-12"/>
          <w:w w:val="105"/>
        </w:rPr>
        <w:t> </w:t>
      </w:r>
      <w:r>
        <w:rPr>
          <w:color w:val="231F20"/>
          <w:w w:val="105"/>
        </w:rPr>
        <w:t>capillary</w:t>
      </w:r>
      <w:r>
        <w:rPr>
          <w:color w:val="231F20"/>
          <w:spacing w:val="-11"/>
          <w:w w:val="105"/>
        </w:rPr>
        <w:t> </w:t>
      </w:r>
      <w:r>
        <w:rPr>
          <w:color w:val="231F20"/>
          <w:w w:val="105"/>
        </w:rPr>
        <w:t>plasma</w:t>
      </w:r>
      <w:r>
        <w:rPr>
          <w:color w:val="231F20"/>
          <w:spacing w:val="-12"/>
          <w:w w:val="105"/>
        </w:rPr>
        <w:t> </w:t>
      </w:r>
      <w:r>
        <w:rPr>
          <w:color w:val="231F20"/>
          <w:spacing w:val="-4"/>
          <w:w w:val="105"/>
        </w:rPr>
        <w:t>pro­ </w:t>
      </w:r>
      <w:r>
        <w:rPr>
          <w:color w:val="231F20"/>
          <w:w w:val="105"/>
        </w:rPr>
        <w:t>teins is midway between 28 and 36 mm Hg, or about 32 mm</w:t>
      </w:r>
      <w:r>
        <w:rPr>
          <w:color w:val="231F20"/>
          <w:spacing w:val="6"/>
          <w:w w:val="105"/>
        </w:rPr>
        <w:t> </w:t>
      </w:r>
      <w:r>
        <w:rPr>
          <w:color w:val="231F20"/>
          <w:w w:val="105"/>
        </w:rPr>
        <w:t>Hg.</w:t>
      </w:r>
    </w:p>
    <w:p>
      <w:pPr>
        <w:pStyle w:val="BodyText"/>
        <w:spacing w:line="249" w:lineRule="auto" w:before="10"/>
        <w:ind w:left="319" w:right="1437" w:firstLine="240"/>
        <w:jc w:val="both"/>
      </w:pPr>
      <w:r>
        <w:rPr>
          <w:color w:val="231F20"/>
          <w:w w:val="105"/>
        </w:rPr>
        <w:t>Thus,</w:t>
      </w:r>
      <w:r>
        <w:rPr>
          <w:color w:val="231F20"/>
          <w:spacing w:val="-7"/>
          <w:w w:val="105"/>
        </w:rPr>
        <w:t> </w:t>
      </w:r>
      <w:r>
        <w:rPr>
          <w:color w:val="231F20"/>
          <w:w w:val="105"/>
        </w:rPr>
        <w:t>two</w:t>
      </w:r>
      <w:r>
        <w:rPr>
          <w:color w:val="231F20"/>
          <w:spacing w:val="-6"/>
          <w:w w:val="105"/>
        </w:rPr>
        <w:t> </w:t>
      </w:r>
      <w:r>
        <w:rPr>
          <w:color w:val="231F20"/>
          <w:w w:val="105"/>
        </w:rPr>
        <w:t>factors</w:t>
      </w:r>
      <w:r>
        <w:rPr>
          <w:color w:val="231F20"/>
          <w:spacing w:val="-6"/>
          <w:w w:val="105"/>
        </w:rPr>
        <w:t> </w:t>
      </w:r>
      <w:r>
        <w:rPr>
          <w:color w:val="231F20"/>
          <w:w w:val="105"/>
        </w:rPr>
        <w:t>that</w:t>
      </w:r>
      <w:r>
        <w:rPr>
          <w:color w:val="231F20"/>
          <w:spacing w:val="-6"/>
          <w:w w:val="105"/>
        </w:rPr>
        <w:t> </w:t>
      </w:r>
      <w:r>
        <w:rPr>
          <w:color w:val="231F20"/>
          <w:w w:val="105"/>
        </w:rPr>
        <w:t>influence</w:t>
      </w:r>
      <w:r>
        <w:rPr>
          <w:color w:val="231F20"/>
          <w:spacing w:val="-6"/>
          <w:w w:val="105"/>
        </w:rPr>
        <w:t> </w:t>
      </w:r>
      <w:r>
        <w:rPr>
          <w:color w:val="231F20"/>
          <w:w w:val="105"/>
        </w:rPr>
        <w:t>the</w:t>
      </w:r>
      <w:r>
        <w:rPr>
          <w:color w:val="231F20"/>
          <w:spacing w:val="-6"/>
          <w:w w:val="105"/>
        </w:rPr>
        <w:t> </w:t>
      </w:r>
      <w:r>
        <w:rPr>
          <w:color w:val="231F20"/>
          <w:w w:val="105"/>
        </w:rPr>
        <w:t>glomerular</w:t>
      </w:r>
      <w:r>
        <w:rPr>
          <w:color w:val="231F20"/>
          <w:spacing w:val="-6"/>
          <w:w w:val="105"/>
        </w:rPr>
        <w:t> </w:t>
      </w:r>
      <w:r>
        <w:rPr>
          <w:color w:val="231F20"/>
          <w:w w:val="105"/>
        </w:rPr>
        <w:t>capil­ lary colloid osmotic pressure are (1) the arterial plasma colloid osmotic pressure and (2) the fraction of </w:t>
      </w:r>
      <w:r>
        <w:rPr>
          <w:color w:val="231F20"/>
          <w:spacing w:val="-3"/>
          <w:w w:val="105"/>
        </w:rPr>
        <w:t>plasma </w:t>
      </w:r>
      <w:r>
        <w:rPr>
          <w:color w:val="231F20"/>
          <w:w w:val="105"/>
        </w:rPr>
        <w:t>filtered</w:t>
      </w:r>
      <w:r>
        <w:rPr>
          <w:color w:val="231F20"/>
          <w:spacing w:val="-13"/>
          <w:w w:val="105"/>
        </w:rPr>
        <w:t> </w:t>
      </w:r>
      <w:r>
        <w:rPr>
          <w:color w:val="231F20"/>
          <w:w w:val="105"/>
        </w:rPr>
        <w:t>by</w:t>
      </w:r>
      <w:r>
        <w:rPr>
          <w:color w:val="231F20"/>
          <w:spacing w:val="-13"/>
          <w:w w:val="105"/>
        </w:rPr>
        <w:t> </w:t>
      </w:r>
      <w:r>
        <w:rPr>
          <w:color w:val="231F20"/>
          <w:w w:val="105"/>
        </w:rPr>
        <w:t>the</w:t>
      </w:r>
      <w:r>
        <w:rPr>
          <w:color w:val="231F20"/>
          <w:spacing w:val="-13"/>
          <w:w w:val="105"/>
        </w:rPr>
        <w:t> </w:t>
      </w:r>
      <w:r>
        <w:rPr>
          <w:color w:val="231F20"/>
          <w:w w:val="105"/>
        </w:rPr>
        <w:t>glomerular</w:t>
      </w:r>
      <w:r>
        <w:rPr>
          <w:color w:val="231F20"/>
          <w:spacing w:val="-12"/>
          <w:w w:val="105"/>
        </w:rPr>
        <w:t> </w:t>
      </w:r>
      <w:r>
        <w:rPr>
          <w:color w:val="231F20"/>
          <w:w w:val="105"/>
        </w:rPr>
        <w:t>capillaries</w:t>
      </w:r>
      <w:r>
        <w:rPr>
          <w:color w:val="231F20"/>
          <w:spacing w:val="-13"/>
          <w:w w:val="105"/>
        </w:rPr>
        <w:t> </w:t>
      </w:r>
      <w:r>
        <w:rPr>
          <w:color w:val="231F20"/>
          <w:w w:val="105"/>
        </w:rPr>
        <w:t>(filtration</w:t>
      </w:r>
      <w:r>
        <w:rPr>
          <w:color w:val="231F20"/>
          <w:spacing w:val="-13"/>
          <w:w w:val="105"/>
        </w:rPr>
        <w:t> </w:t>
      </w:r>
      <w:r>
        <w:rPr>
          <w:color w:val="231F20"/>
          <w:w w:val="105"/>
        </w:rPr>
        <w:t>fraction). Increasing the arterial plasma colloid osmotic </w:t>
      </w:r>
      <w:r>
        <w:rPr>
          <w:color w:val="231F20"/>
          <w:spacing w:val="-3"/>
          <w:w w:val="105"/>
        </w:rPr>
        <w:t>pressure </w:t>
      </w:r>
      <w:r>
        <w:rPr>
          <w:color w:val="231F20"/>
          <w:w w:val="105"/>
        </w:rPr>
        <w:t>raises the glomerular capillary colloid osmotic </w:t>
      </w:r>
      <w:r>
        <w:rPr>
          <w:color w:val="231F20"/>
          <w:spacing w:val="-3"/>
          <w:w w:val="105"/>
        </w:rPr>
        <w:t>pressure, </w:t>
      </w:r>
      <w:r>
        <w:rPr>
          <w:color w:val="231F20"/>
          <w:w w:val="105"/>
        </w:rPr>
        <w:t>which in turn decreases the</w:t>
      </w:r>
      <w:r>
        <w:rPr>
          <w:color w:val="231F20"/>
          <w:spacing w:val="11"/>
          <w:w w:val="105"/>
        </w:rPr>
        <w:t> </w:t>
      </w:r>
      <w:r>
        <w:rPr>
          <w:color w:val="231F20"/>
          <w:w w:val="105"/>
        </w:rPr>
        <w:t>GFR.</w:t>
      </w:r>
    </w:p>
    <w:p>
      <w:pPr>
        <w:spacing w:line="249" w:lineRule="auto" w:before="6"/>
        <w:ind w:left="319" w:right="1437" w:firstLine="240"/>
        <w:jc w:val="both"/>
        <w:rPr>
          <w:sz w:val="20"/>
        </w:rPr>
      </w:pPr>
      <w:r>
        <w:rPr>
          <w:i/>
          <w:color w:val="231F20"/>
          <w:w w:val="105"/>
          <w:sz w:val="20"/>
        </w:rPr>
        <w:t>Increasing</w:t>
      </w:r>
      <w:r>
        <w:rPr>
          <w:i/>
          <w:color w:val="231F20"/>
          <w:spacing w:val="-21"/>
          <w:w w:val="105"/>
          <w:sz w:val="20"/>
        </w:rPr>
        <w:t> </w:t>
      </w:r>
      <w:r>
        <w:rPr>
          <w:i/>
          <w:color w:val="231F20"/>
          <w:w w:val="105"/>
          <w:sz w:val="20"/>
        </w:rPr>
        <w:t>the</w:t>
      </w:r>
      <w:r>
        <w:rPr>
          <w:i/>
          <w:color w:val="231F20"/>
          <w:spacing w:val="-20"/>
          <w:w w:val="105"/>
          <w:sz w:val="20"/>
        </w:rPr>
        <w:t> </w:t>
      </w:r>
      <w:r>
        <w:rPr>
          <w:i/>
          <w:color w:val="231F20"/>
          <w:w w:val="105"/>
          <w:sz w:val="20"/>
        </w:rPr>
        <w:t>filtration</w:t>
      </w:r>
      <w:r>
        <w:rPr>
          <w:i/>
          <w:color w:val="231F20"/>
          <w:spacing w:val="-21"/>
          <w:w w:val="105"/>
          <w:sz w:val="20"/>
        </w:rPr>
        <w:t> </w:t>
      </w:r>
      <w:r>
        <w:rPr>
          <w:i/>
          <w:color w:val="231F20"/>
          <w:w w:val="105"/>
          <w:sz w:val="20"/>
        </w:rPr>
        <w:t>fraction</w:t>
      </w:r>
      <w:r>
        <w:rPr>
          <w:i/>
          <w:color w:val="231F20"/>
          <w:spacing w:val="-20"/>
          <w:w w:val="105"/>
          <w:sz w:val="20"/>
        </w:rPr>
        <w:t> </w:t>
      </w:r>
      <w:r>
        <w:rPr>
          <w:i/>
          <w:color w:val="231F20"/>
          <w:w w:val="105"/>
          <w:sz w:val="20"/>
        </w:rPr>
        <w:t>also</w:t>
      </w:r>
      <w:r>
        <w:rPr>
          <w:i/>
          <w:color w:val="231F20"/>
          <w:spacing w:val="-21"/>
          <w:w w:val="105"/>
          <w:sz w:val="20"/>
        </w:rPr>
        <w:t> </w:t>
      </w:r>
      <w:r>
        <w:rPr>
          <w:i/>
          <w:color w:val="231F20"/>
          <w:w w:val="105"/>
          <w:sz w:val="20"/>
        </w:rPr>
        <w:t>concentrates</w:t>
      </w:r>
      <w:r>
        <w:rPr>
          <w:i/>
          <w:color w:val="231F20"/>
          <w:spacing w:val="-20"/>
          <w:w w:val="105"/>
          <w:sz w:val="20"/>
        </w:rPr>
        <w:t> </w:t>
      </w:r>
      <w:r>
        <w:rPr>
          <w:i/>
          <w:color w:val="231F20"/>
          <w:w w:val="105"/>
          <w:sz w:val="20"/>
        </w:rPr>
        <w:t>the </w:t>
      </w:r>
      <w:r>
        <w:rPr>
          <w:i/>
          <w:color w:val="231F20"/>
          <w:w w:val="105"/>
          <w:sz w:val="20"/>
        </w:rPr>
        <w:t>plasma</w:t>
      </w:r>
      <w:r>
        <w:rPr>
          <w:i/>
          <w:color w:val="231F20"/>
          <w:spacing w:val="-32"/>
          <w:w w:val="105"/>
          <w:sz w:val="20"/>
        </w:rPr>
        <w:t> </w:t>
      </w:r>
      <w:r>
        <w:rPr>
          <w:i/>
          <w:color w:val="231F20"/>
          <w:w w:val="105"/>
          <w:sz w:val="20"/>
        </w:rPr>
        <w:t>proteins</w:t>
      </w:r>
      <w:r>
        <w:rPr>
          <w:i/>
          <w:color w:val="231F20"/>
          <w:spacing w:val="-32"/>
          <w:w w:val="105"/>
          <w:sz w:val="20"/>
        </w:rPr>
        <w:t> </w:t>
      </w:r>
      <w:r>
        <w:rPr>
          <w:i/>
          <w:color w:val="231F20"/>
          <w:w w:val="105"/>
          <w:sz w:val="20"/>
        </w:rPr>
        <w:t>and</w:t>
      </w:r>
      <w:r>
        <w:rPr>
          <w:i/>
          <w:color w:val="231F20"/>
          <w:spacing w:val="-31"/>
          <w:w w:val="105"/>
          <w:sz w:val="20"/>
        </w:rPr>
        <w:t> </w:t>
      </w:r>
      <w:r>
        <w:rPr>
          <w:i/>
          <w:color w:val="231F20"/>
          <w:w w:val="105"/>
          <w:sz w:val="20"/>
        </w:rPr>
        <w:t>raises</w:t>
      </w:r>
      <w:r>
        <w:rPr>
          <w:i/>
          <w:color w:val="231F20"/>
          <w:spacing w:val="-32"/>
          <w:w w:val="105"/>
          <w:sz w:val="20"/>
        </w:rPr>
        <w:t> </w:t>
      </w:r>
      <w:r>
        <w:rPr>
          <w:i/>
          <w:color w:val="231F20"/>
          <w:w w:val="105"/>
          <w:sz w:val="20"/>
        </w:rPr>
        <w:t>the</w:t>
      </w:r>
      <w:r>
        <w:rPr>
          <w:i/>
          <w:color w:val="231F20"/>
          <w:spacing w:val="-32"/>
          <w:w w:val="105"/>
          <w:sz w:val="20"/>
        </w:rPr>
        <w:t> </w:t>
      </w:r>
      <w:r>
        <w:rPr>
          <w:i/>
          <w:color w:val="231F20"/>
          <w:w w:val="105"/>
          <w:sz w:val="20"/>
        </w:rPr>
        <w:t>glomerular</w:t>
      </w:r>
      <w:r>
        <w:rPr>
          <w:i/>
          <w:color w:val="231F20"/>
          <w:spacing w:val="-31"/>
          <w:w w:val="105"/>
          <w:sz w:val="20"/>
        </w:rPr>
        <w:t> </w:t>
      </w:r>
      <w:r>
        <w:rPr>
          <w:i/>
          <w:color w:val="231F20"/>
          <w:w w:val="105"/>
          <w:sz w:val="20"/>
        </w:rPr>
        <w:t>colloid</w:t>
      </w:r>
      <w:r>
        <w:rPr>
          <w:i/>
          <w:color w:val="231F20"/>
          <w:spacing w:val="-32"/>
          <w:w w:val="105"/>
          <w:sz w:val="20"/>
        </w:rPr>
        <w:t> </w:t>
      </w:r>
      <w:r>
        <w:rPr>
          <w:i/>
          <w:color w:val="231F20"/>
          <w:spacing w:val="-3"/>
          <w:w w:val="105"/>
          <w:sz w:val="20"/>
        </w:rPr>
        <w:t>osmotic </w:t>
      </w:r>
      <w:r>
        <w:rPr>
          <w:i/>
          <w:color w:val="231F20"/>
          <w:w w:val="105"/>
          <w:sz w:val="20"/>
        </w:rPr>
        <w:t>pressure</w:t>
      </w:r>
      <w:r>
        <w:rPr>
          <w:i/>
          <w:color w:val="231F20"/>
          <w:spacing w:val="-29"/>
          <w:w w:val="105"/>
          <w:sz w:val="20"/>
        </w:rPr>
        <w:t> </w:t>
      </w:r>
      <w:r>
        <w:rPr>
          <w:color w:val="231F20"/>
          <w:w w:val="105"/>
          <w:sz w:val="20"/>
        </w:rPr>
        <w:t>(see</w:t>
      </w:r>
      <w:r>
        <w:rPr>
          <w:color w:val="231F20"/>
          <w:spacing w:val="-28"/>
          <w:w w:val="105"/>
          <w:sz w:val="20"/>
        </w:rPr>
        <w:t> </w:t>
      </w:r>
      <w:hyperlink w:history="true" w:anchor="_bookmark27">
        <w:r>
          <w:rPr>
            <w:b/>
            <w:color w:val="0080AC"/>
            <w:w w:val="105"/>
            <w:sz w:val="20"/>
          </w:rPr>
          <w:t>Figure</w:t>
        </w:r>
        <w:r>
          <w:rPr>
            <w:b/>
            <w:color w:val="0080AC"/>
            <w:spacing w:val="-29"/>
            <w:w w:val="105"/>
            <w:sz w:val="20"/>
          </w:rPr>
          <w:t> </w:t>
        </w:r>
        <w:r>
          <w:rPr>
            <w:b/>
            <w:color w:val="0080AC"/>
            <w:w w:val="105"/>
            <w:sz w:val="20"/>
          </w:rPr>
          <w:t>27-5</w:t>
        </w:r>
      </w:hyperlink>
      <w:r>
        <w:rPr>
          <w:color w:val="231F20"/>
          <w:w w:val="105"/>
          <w:sz w:val="20"/>
        </w:rPr>
        <w:t>).</w:t>
      </w:r>
      <w:r>
        <w:rPr>
          <w:color w:val="231F20"/>
          <w:spacing w:val="-28"/>
          <w:w w:val="105"/>
          <w:sz w:val="20"/>
        </w:rPr>
        <w:t> </w:t>
      </w:r>
      <w:r>
        <w:rPr>
          <w:color w:val="231F20"/>
          <w:w w:val="105"/>
          <w:sz w:val="20"/>
        </w:rPr>
        <w:t>Because</w:t>
      </w:r>
      <w:r>
        <w:rPr>
          <w:color w:val="231F20"/>
          <w:spacing w:val="-28"/>
          <w:w w:val="105"/>
          <w:sz w:val="20"/>
        </w:rPr>
        <w:t> </w:t>
      </w:r>
      <w:r>
        <w:rPr>
          <w:color w:val="231F20"/>
          <w:w w:val="105"/>
          <w:sz w:val="20"/>
        </w:rPr>
        <w:t>the</w:t>
      </w:r>
      <w:r>
        <w:rPr>
          <w:color w:val="231F20"/>
          <w:spacing w:val="-28"/>
          <w:w w:val="105"/>
          <w:sz w:val="20"/>
        </w:rPr>
        <w:t> </w:t>
      </w:r>
      <w:r>
        <w:rPr>
          <w:color w:val="231F20"/>
          <w:w w:val="105"/>
          <w:sz w:val="20"/>
        </w:rPr>
        <w:t>filtration</w:t>
      </w:r>
      <w:r>
        <w:rPr>
          <w:color w:val="231F20"/>
          <w:spacing w:val="-28"/>
          <w:w w:val="105"/>
          <w:sz w:val="20"/>
        </w:rPr>
        <w:t> </w:t>
      </w:r>
      <w:r>
        <w:rPr>
          <w:color w:val="231F20"/>
          <w:w w:val="105"/>
          <w:sz w:val="20"/>
        </w:rPr>
        <w:t>fraction is</w:t>
      </w:r>
      <w:r>
        <w:rPr>
          <w:color w:val="231F20"/>
          <w:spacing w:val="-30"/>
          <w:w w:val="105"/>
          <w:sz w:val="20"/>
        </w:rPr>
        <w:t> </w:t>
      </w:r>
      <w:r>
        <w:rPr>
          <w:color w:val="231F20"/>
          <w:w w:val="105"/>
          <w:sz w:val="20"/>
        </w:rPr>
        <w:t>defined</w:t>
      </w:r>
      <w:r>
        <w:rPr>
          <w:color w:val="231F20"/>
          <w:spacing w:val="-29"/>
          <w:w w:val="105"/>
          <w:sz w:val="20"/>
        </w:rPr>
        <w:t> </w:t>
      </w:r>
      <w:r>
        <w:rPr>
          <w:color w:val="231F20"/>
          <w:w w:val="105"/>
          <w:sz w:val="20"/>
        </w:rPr>
        <w:t>as</w:t>
      </w:r>
      <w:r>
        <w:rPr>
          <w:color w:val="231F20"/>
          <w:spacing w:val="-30"/>
          <w:w w:val="105"/>
          <w:sz w:val="20"/>
        </w:rPr>
        <w:t> </w:t>
      </w:r>
      <w:r>
        <w:rPr>
          <w:color w:val="231F20"/>
          <w:w w:val="105"/>
          <w:sz w:val="20"/>
        </w:rPr>
        <w:t>GFR/renal</w:t>
      </w:r>
      <w:r>
        <w:rPr>
          <w:color w:val="231F20"/>
          <w:spacing w:val="-29"/>
          <w:w w:val="105"/>
          <w:sz w:val="20"/>
        </w:rPr>
        <w:t> </w:t>
      </w:r>
      <w:r>
        <w:rPr>
          <w:color w:val="231F20"/>
          <w:w w:val="105"/>
          <w:sz w:val="20"/>
        </w:rPr>
        <w:t>plasma</w:t>
      </w:r>
      <w:r>
        <w:rPr>
          <w:color w:val="231F20"/>
          <w:spacing w:val="-30"/>
          <w:w w:val="105"/>
          <w:sz w:val="20"/>
        </w:rPr>
        <w:t> </w:t>
      </w:r>
      <w:r>
        <w:rPr>
          <w:color w:val="231F20"/>
          <w:spacing w:val="-3"/>
          <w:w w:val="105"/>
          <w:sz w:val="20"/>
        </w:rPr>
        <w:t>flow,</w:t>
      </w:r>
      <w:r>
        <w:rPr>
          <w:color w:val="231F20"/>
          <w:spacing w:val="-29"/>
          <w:w w:val="105"/>
          <w:sz w:val="20"/>
        </w:rPr>
        <w:t> </w:t>
      </w:r>
      <w:r>
        <w:rPr>
          <w:color w:val="231F20"/>
          <w:w w:val="105"/>
          <w:sz w:val="20"/>
        </w:rPr>
        <w:t>the</w:t>
      </w:r>
      <w:r>
        <w:rPr>
          <w:color w:val="231F20"/>
          <w:spacing w:val="-29"/>
          <w:w w:val="105"/>
          <w:sz w:val="20"/>
        </w:rPr>
        <w:t> </w:t>
      </w:r>
      <w:r>
        <w:rPr>
          <w:color w:val="231F20"/>
          <w:w w:val="105"/>
          <w:sz w:val="20"/>
        </w:rPr>
        <w:t>filtration</w:t>
      </w:r>
      <w:r>
        <w:rPr>
          <w:color w:val="231F20"/>
          <w:spacing w:val="-30"/>
          <w:w w:val="105"/>
          <w:sz w:val="20"/>
        </w:rPr>
        <w:t> </w:t>
      </w:r>
      <w:r>
        <w:rPr>
          <w:color w:val="231F20"/>
          <w:w w:val="105"/>
          <w:sz w:val="20"/>
        </w:rPr>
        <w:t>fraction can</w:t>
      </w:r>
      <w:r>
        <w:rPr>
          <w:color w:val="231F20"/>
          <w:spacing w:val="-19"/>
          <w:w w:val="105"/>
          <w:sz w:val="20"/>
        </w:rPr>
        <w:t> </w:t>
      </w:r>
      <w:r>
        <w:rPr>
          <w:color w:val="231F20"/>
          <w:w w:val="105"/>
          <w:sz w:val="20"/>
        </w:rPr>
        <w:t>be</w:t>
      </w:r>
      <w:r>
        <w:rPr>
          <w:color w:val="231F20"/>
          <w:spacing w:val="-18"/>
          <w:w w:val="105"/>
          <w:sz w:val="20"/>
        </w:rPr>
        <w:t> </w:t>
      </w:r>
      <w:r>
        <w:rPr>
          <w:color w:val="231F20"/>
          <w:w w:val="105"/>
          <w:sz w:val="20"/>
        </w:rPr>
        <w:t>increased</w:t>
      </w:r>
      <w:r>
        <w:rPr>
          <w:color w:val="231F20"/>
          <w:spacing w:val="-18"/>
          <w:w w:val="105"/>
          <w:sz w:val="20"/>
        </w:rPr>
        <w:t> </w:t>
      </w:r>
      <w:r>
        <w:rPr>
          <w:color w:val="231F20"/>
          <w:w w:val="105"/>
          <w:sz w:val="20"/>
        </w:rPr>
        <w:t>either</w:t>
      </w:r>
      <w:r>
        <w:rPr>
          <w:color w:val="231F20"/>
          <w:spacing w:val="-19"/>
          <w:w w:val="105"/>
          <w:sz w:val="20"/>
        </w:rPr>
        <w:t> </w:t>
      </w:r>
      <w:r>
        <w:rPr>
          <w:color w:val="231F20"/>
          <w:w w:val="105"/>
          <w:sz w:val="20"/>
        </w:rPr>
        <w:t>by</w:t>
      </w:r>
      <w:r>
        <w:rPr>
          <w:color w:val="231F20"/>
          <w:spacing w:val="-18"/>
          <w:w w:val="105"/>
          <w:sz w:val="20"/>
        </w:rPr>
        <w:t> </w:t>
      </w:r>
      <w:r>
        <w:rPr>
          <w:color w:val="231F20"/>
          <w:w w:val="105"/>
          <w:sz w:val="20"/>
        </w:rPr>
        <w:t>raising</w:t>
      </w:r>
      <w:r>
        <w:rPr>
          <w:color w:val="231F20"/>
          <w:spacing w:val="-18"/>
          <w:w w:val="105"/>
          <w:sz w:val="20"/>
        </w:rPr>
        <w:t> </w:t>
      </w:r>
      <w:r>
        <w:rPr>
          <w:color w:val="231F20"/>
          <w:w w:val="105"/>
          <w:sz w:val="20"/>
        </w:rPr>
        <w:t>the</w:t>
      </w:r>
      <w:r>
        <w:rPr>
          <w:color w:val="231F20"/>
          <w:spacing w:val="-19"/>
          <w:w w:val="105"/>
          <w:sz w:val="20"/>
        </w:rPr>
        <w:t> </w:t>
      </w:r>
      <w:r>
        <w:rPr>
          <w:color w:val="231F20"/>
          <w:w w:val="105"/>
          <w:sz w:val="20"/>
        </w:rPr>
        <w:t>GFR</w:t>
      </w:r>
      <w:r>
        <w:rPr>
          <w:color w:val="231F20"/>
          <w:spacing w:val="-18"/>
          <w:w w:val="105"/>
          <w:sz w:val="20"/>
        </w:rPr>
        <w:t> </w:t>
      </w:r>
      <w:r>
        <w:rPr>
          <w:color w:val="231F20"/>
          <w:w w:val="105"/>
          <w:sz w:val="20"/>
        </w:rPr>
        <w:t>or</w:t>
      </w:r>
      <w:r>
        <w:rPr>
          <w:color w:val="231F20"/>
          <w:spacing w:val="-18"/>
          <w:w w:val="105"/>
          <w:sz w:val="20"/>
        </w:rPr>
        <w:t> </w:t>
      </w:r>
      <w:r>
        <w:rPr>
          <w:color w:val="231F20"/>
          <w:w w:val="105"/>
          <w:sz w:val="20"/>
        </w:rPr>
        <w:t>by</w:t>
      </w:r>
      <w:r>
        <w:rPr>
          <w:color w:val="231F20"/>
          <w:spacing w:val="-19"/>
          <w:w w:val="105"/>
          <w:sz w:val="20"/>
        </w:rPr>
        <w:t> </w:t>
      </w:r>
      <w:r>
        <w:rPr>
          <w:color w:val="231F20"/>
          <w:w w:val="105"/>
          <w:sz w:val="20"/>
        </w:rPr>
        <w:t>reducing renal plasma </w:t>
      </w:r>
      <w:r>
        <w:rPr>
          <w:color w:val="231F20"/>
          <w:spacing w:val="-3"/>
          <w:w w:val="105"/>
          <w:sz w:val="20"/>
        </w:rPr>
        <w:t>flow. For </w:t>
      </w:r>
      <w:r>
        <w:rPr>
          <w:color w:val="231F20"/>
          <w:w w:val="105"/>
          <w:sz w:val="20"/>
        </w:rPr>
        <w:t>example, a reduction in </w:t>
      </w:r>
      <w:r>
        <w:rPr>
          <w:color w:val="231F20"/>
          <w:spacing w:val="-4"/>
          <w:w w:val="105"/>
          <w:sz w:val="20"/>
        </w:rPr>
        <w:t>renal </w:t>
      </w:r>
      <w:r>
        <w:rPr>
          <w:color w:val="231F20"/>
          <w:w w:val="105"/>
          <w:sz w:val="20"/>
        </w:rPr>
        <w:t>plasma</w:t>
      </w:r>
      <w:r>
        <w:rPr>
          <w:color w:val="231F20"/>
          <w:spacing w:val="-12"/>
          <w:w w:val="105"/>
          <w:sz w:val="20"/>
        </w:rPr>
        <w:t> </w:t>
      </w:r>
      <w:r>
        <w:rPr>
          <w:color w:val="231F20"/>
          <w:w w:val="105"/>
          <w:sz w:val="20"/>
        </w:rPr>
        <w:t>flow</w:t>
      </w:r>
      <w:r>
        <w:rPr>
          <w:color w:val="231F20"/>
          <w:spacing w:val="-11"/>
          <w:w w:val="105"/>
          <w:sz w:val="20"/>
        </w:rPr>
        <w:t> </w:t>
      </w:r>
      <w:r>
        <w:rPr>
          <w:color w:val="231F20"/>
          <w:w w:val="105"/>
          <w:sz w:val="20"/>
        </w:rPr>
        <w:t>with</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initial</w:t>
      </w:r>
      <w:r>
        <w:rPr>
          <w:color w:val="231F20"/>
          <w:spacing w:val="-12"/>
          <w:w w:val="105"/>
          <w:sz w:val="20"/>
        </w:rPr>
        <w:t> </w:t>
      </w:r>
      <w:r>
        <w:rPr>
          <w:color w:val="231F20"/>
          <w:w w:val="105"/>
          <w:sz w:val="20"/>
        </w:rPr>
        <w:t>change</w:t>
      </w:r>
      <w:r>
        <w:rPr>
          <w:color w:val="231F20"/>
          <w:spacing w:val="-11"/>
          <w:w w:val="105"/>
          <w:sz w:val="20"/>
        </w:rPr>
        <w:t> </w:t>
      </w:r>
      <w:r>
        <w:rPr>
          <w:color w:val="231F20"/>
          <w:w w:val="105"/>
          <w:sz w:val="20"/>
        </w:rPr>
        <w:t>in</w:t>
      </w:r>
      <w:r>
        <w:rPr>
          <w:color w:val="231F20"/>
          <w:spacing w:val="-11"/>
          <w:w w:val="105"/>
          <w:sz w:val="20"/>
        </w:rPr>
        <w:t> </w:t>
      </w:r>
      <w:r>
        <w:rPr>
          <w:color w:val="231F20"/>
          <w:w w:val="105"/>
          <w:sz w:val="20"/>
        </w:rPr>
        <w:t>GFR</w:t>
      </w:r>
      <w:r>
        <w:rPr>
          <w:color w:val="231F20"/>
          <w:spacing w:val="-11"/>
          <w:w w:val="105"/>
          <w:sz w:val="20"/>
        </w:rPr>
        <w:t> </w:t>
      </w:r>
      <w:r>
        <w:rPr>
          <w:color w:val="231F20"/>
          <w:w w:val="105"/>
          <w:sz w:val="20"/>
        </w:rPr>
        <w:t>would</w:t>
      </w:r>
      <w:r>
        <w:rPr>
          <w:color w:val="231F20"/>
          <w:spacing w:val="-12"/>
          <w:w w:val="105"/>
          <w:sz w:val="20"/>
        </w:rPr>
        <w:t> </w:t>
      </w:r>
      <w:r>
        <w:rPr>
          <w:color w:val="231F20"/>
          <w:w w:val="105"/>
          <w:sz w:val="20"/>
        </w:rPr>
        <w:t>tend</w:t>
      </w:r>
      <w:r>
        <w:rPr>
          <w:color w:val="231F20"/>
          <w:spacing w:val="-11"/>
          <w:w w:val="105"/>
          <w:sz w:val="20"/>
        </w:rPr>
        <w:t> </w:t>
      </w:r>
      <w:r>
        <w:rPr>
          <w:color w:val="231F20"/>
          <w:spacing w:val="-7"/>
          <w:w w:val="105"/>
          <w:sz w:val="20"/>
        </w:rPr>
        <w:t>to </w:t>
      </w:r>
      <w:r>
        <w:rPr>
          <w:color w:val="231F20"/>
          <w:w w:val="105"/>
          <w:sz w:val="20"/>
        </w:rPr>
        <w:t>increase</w:t>
      </w:r>
      <w:r>
        <w:rPr>
          <w:color w:val="231F20"/>
          <w:spacing w:val="-20"/>
          <w:w w:val="105"/>
          <w:sz w:val="20"/>
        </w:rPr>
        <w:t> </w:t>
      </w:r>
      <w:r>
        <w:rPr>
          <w:color w:val="231F20"/>
          <w:w w:val="105"/>
          <w:sz w:val="20"/>
        </w:rPr>
        <w:t>the</w:t>
      </w:r>
      <w:r>
        <w:rPr>
          <w:color w:val="231F20"/>
          <w:spacing w:val="-20"/>
          <w:w w:val="105"/>
          <w:sz w:val="20"/>
        </w:rPr>
        <w:t> </w:t>
      </w:r>
      <w:r>
        <w:rPr>
          <w:color w:val="231F20"/>
          <w:w w:val="105"/>
          <w:sz w:val="20"/>
        </w:rPr>
        <w:t>filtration</w:t>
      </w:r>
      <w:r>
        <w:rPr>
          <w:color w:val="231F20"/>
          <w:spacing w:val="-20"/>
          <w:w w:val="105"/>
          <w:sz w:val="20"/>
        </w:rPr>
        <w:t> </w:t>
      </w:r>
      <w:r>
        <w:rPr>
          <w:color w:val="231F20"/>
          <w:w w:val="105"/>
          <w:sz w:val="20"/>
        </w:rPr>
        <w:t>fraction,</w:t>
      </w:r>
      <w:r>
        <w:rPr>
          <w:color w:val="231F20"/>
          <w:spacing w:val="-20"/>
          <w:w w:val="105"/>
          <w:sz w:val="20"/>
        </w:rPr>
        <w:t> </w:t>
      </w:r>
      <w:r>
        <w:rPr>
          <w:color w:val="231F20"/>
          <w:w w:val="105"/>
          <w:sz w:val="20"/>
        </w:rPr>
        <w:t>which</w:t>
      </w:r>
      <w:r>
        <w:rPr>
          <w:color w:val="231F20"/>
          <w:spacing w:val="-19"/>
          <w:w w:val="105"/>
          <w:sz w:val="20"/>
        </w:rPr>
        <w:t> </w:t>
      </w:r>
      <w:r>
        <w:rPr>
          <w:color w:val="231F20"/>
          <w:w w:val="105"/>
          <w:sz w:val="20"/>
        </w:rPr>
        <w:t>would</w:t>
      </w:r>
      <w:r>
        <w:rPr>
          <w:color w:val="231F20"/>
          <w:spacing w:val="-20"/>
          <w:w w:val="105"/>
          <w:sz w:val="20"/>
        </w:rPr>
        <w:t> </w:t>
      </w:r>
      <w:r>
        <w:rPr>
          <w:color w:val="231F20"/>
          <w:w w:val="105"/>
          <w:sz w:val="20"/>
        </w:rPr>
        <w:t>raise</w:t>
      </w:r>
      <w:r>
        <w:rPr>
          <w:color w:val="231F20"/>
          <w:spacing w:val="-20"/>
          <w:w w:val="105"/>
          <w:sz w:val="20"/>
        </w:rPr>
        <w:t> </w:t>
      </w:r>
      <w:r>
        <w:rPr>
          <w:color w:val="231F20"/>
          <w:w w:val="105"/>
          <w:sz w:val="20"/>
        </w:rPr>
        <w:t>the</w:t>
      </w:r>
      <w:r>
        <w:rPr>
          <w:color w:val="231F20"/>
          <w:spacing w:val="-20"/>
          <w:w w:val="105"/>
          <w:sz w:val="20"/>
        </w:rPr>
        <w:t> </w:t>
      </w:r>
      <w:r>
        <w:rPr>
          <w:color w:val="231F20"/>
          <w:w w:val="105"/>
          <w:sz w:val="20"/>
        </w:rPr>
        <w:t>glo­ merular capillary colloid osmotic pressure and tend to reduce the GFR. </w:t>
      </w:r>
      <w:r>
        <w:rPr>
          <w:color w:val="231F20"/>
          <w:spacing w:val="-3"/>
          <w:w w:val="105"/>
          <w:sz w:val="20"/>
        </w:rPr>
        <w:t>For </w:t>
      </w:r>
      <w:r>
        <w:rPr>
          <w:color w:val="231F20"/>
          <w:w w:val="105"/>
          <w:sz w:val="20"/>
        </w:rPr>
        <w:t>this reason, changes in renal blood flow</w:t>
      </w:r>
      <w:r>
        <w:rPr>
          <w:color w:val="231F20"/>
          <w:spacing w:val="-18"/>
          <w:w w:val="105"/>
          <w:sz w:val="20"/>
        </w:rPr>
        <w:t> </w:t>
      </w:r>
      <w:r>
        <w:rPr>
          <w:color w:val="231F20"/>
          <w:w w:val="105"/>
          <w:sz w:val="20"/>
        </w:rPr>
        <w:t>can</w:t>
      </w:r>
      <w:r>
        <w:rPr>
          <w:color w:val="231F20"/>
          <w:spacing w:val="-18"/>
          <w:w w:val="105"/>
          <w:sz w:val="20"/>
        </w:rPr>
        <w:t> </w:t>
      </w:r>
      <w:r>
        <w:rPr>
          <w:color w:val="231F20"/>
          <w:w w:val="105"/>
          <w:sz w:val="20"/>
        </w:rPr>
        <w:t>influence</w:t>
      </w:r>
      <w:r>
        <w:rPr>
          <w:color w:val="231F20"/>
          <w:spacing w:val="-18"/>
          <w:w w:val="105"/>
          <w:sz w:val="20"/>
        </w:rPr>
        <w:t> </w:t>
      </w:r>
      <w:r>
        <w:rPr>
          <w:color w:val="231F20"/>
          <w:w w:val="105"/>
          <w:sz w:val="20"/>
        </w:rPr>
        <w:t>GFR</w:t>
      </w:r>
      <w:r>
        <w:rPr>
          <w:color w:val="231F20"/>
          <w:spacing w:val="-17"/>
          <w:w w:val="105"/>
          <w:sz w:val="20"/>
        </w:rPr>
        <w:t> </w:t>
      </w:r>
      <w:r>
        <w:rPr>
          <w:color w:val="231F20"/>
          <w:w w:val="105"/>
          <w:sz w:val="20"/>
        </w:rPr>
        <w:t>independently</w:t>
      </w:r>
      <w:r>
        <w:rPr>
          <w:color w:val="231F20"/>
          <w:spacing w:val="-18"/>
          <w:w w:val="105"/>
          <w:sz w:val="20"/>
        </w:rPr>
        <w:t> </w:t>
      </w:r>
      <w:r>
        <w:rPr>
          <w:color w:val="231F20"/>
          <w:w w:val="105"/>
          <w:sz w:val="20"/>
        </w:rPr>
        <w:t>of</w:t>
      </w:r>
      <w:r>
        <w:rPr>
          <w:color w:val="231F20"/>
          <w:spacing w:val="-18"/>
          <w:w w:val="105"/>
          <w:sz w:val="20"/>
        </w:rPr>
        <w:t> </w:t>
      </w:r>
      <w:r>
        <w:rPr>
          <w:color w:val="231F20"/>
          <w:w w:val="105"/>
          <w:sz w:val="20"/>
        </w:rPr>
        <w:t>changes</w:t>
      </w:r>
      <w:r>
        <w:rPr>
          <w:color w:val="231F20"/>
          <w:spacing w:val="-18"/>
          <w:w w:val="105"/>
          <w:sz w:val="20"/>
        </w:rPr>
        <w:t> </w:t>
      </w:r>
      <w:r>
        <w:rPr>
          <w:color w:val="231F20"/>
          <w:w w:val="105"/>
          <w:sz w:val="20"/>
        </w:rPr>
        <w:t>in</w:t>
      </w:r>
      <w:r>
        <w:rPr>
          <w:color w:val="231F20"/>
          <w:spacing w:val="-17"/>
          <w:w w:val="105"/>
          <w:sz w:val="20"/>
        </w:rPr>
        <w:t> </w:t>
      </w:r>
      <w:r>
        <w:rPr>
          <w:color w:val="231F20"/>
          <w:spacing w:val="-4"/>
          <w:w w:val="105"/>
          <w:sz w:val="20"/>
        </w:rPr>
        <w:t>glo­ </w:t>
      </w:r>
      <w:r>
        <w:rPr>
          <w:color w:val="231F20"/>
          <w:w w:val="105"/>
          <w:sz w:val="20"/>
        </w:rPr>
        <w:t>merular hydrostatic</w:t>
      </w:r>
      <w:r>
        <w:rPr>
          <w:color w:val="231F20"/>
          <w:spacing w:val="5"/>
          <w:w w:val="105"/>
          <w:sz w:val="20"/>
        </w:rPr>
        <w:t> </w:t>
      </w:r>
      <w:r>
        <w:rPr>
          <w:color w:val="231F20"/>
          <w:w w:val="105"/>
          <w:sz w:val="20"/>
        </w:rPr>
        <w:t>pressure.</w:t>
      </w:r>
    </w:p>
    <w:p>
      <w:pPr>
        <w:spacing w:line="249" w:lineRule="auto" w:before="9"/>
        <w:ind w:left="319" w:right="1437" w:firstLine="240"/>
        <w:jc w:val="both"/>
        <w:rPr>
          <w:i/>
          <w:sz w:val="20"/>
        </w:rPr>
      </w:pPr>
      <w:r>
        <w:rPr>
          <w:color w:val="231F20"/>
          <w:spacing w:val="-3"/>
          <w:sz w:val="20"/>
        </w:rPr>
        <w:t>With </w:t>
      </w:r>
      <w:r>
        <w:rPr>
          <w:color w:val="231F20"/>
          <w:sz w:val="20"/>
        </w:rPr>
        <w:t>increasing renal blood </w:t>
      </w:r>
      <w:r>
        <w:rPr>
          <w:color w:val="231F20"/>
          <w:spacing w:val="-3"/>
          <w:sz w:val="20"/>
        </w:rPr>
        <w:t>flow, </w:t>
      </w:r>
      <w:r>
        <w:rPr>
          <w:color w:val="231F20"/>
          <w:sz w:val="20"/>
        </w:rPr>
        <w:t>a lower fraction </w:t>
      </w:r>
      <w:r>
        <w:rPr>
          <w:color w:val="231F20"/>
          <w:spacing w:val="-7"/>
          <w:sz w:val="20"/>
        </w:rPr>
        <w:t>of </w:t>
      </w:r>
      <w:r>
        <w:rPr>
          <w:color w:val="231F20"/>
          <w:sz w:val="20"/>
        </w:rPr>
        <w:t>the plasma is initially filtered out of the glomerular </w:t>
      </w:r>
      <w:r>
        <w:rPr>
          <w:color w:val="231F20"/>
          <w:spacing w:val="-4"/>
          <w:sz w:val="20"/>
        </w:rPr>
        <w:t>capil­ </w:t>
      </w:r>
      <w:r>
        <w:rPr>
          <w:color w:val="231F20"/>
          <w:sz w:val="20"/>
        </w:rPr>
        <w:t>laries, causing a slower rise in the glomerular capillary colloid osmotic pressure and less inhibitory effect on </w:t>
      </w:r>
      <w:r>
        <w:rPr>
          <w:color w:val="231F20"/>
          <w:spacing w:val="-5"/>
          <w:sz w:val="20"/>
        </w:rPr>
        <w:t>the </w:t>
      </w:r>
      <w:r>
        <w:rPr>
          <w:color w:val="231F20"/>
          <w:sz w:val="20"/>
        </w:rPr>
        <w:t>GFR. </w:t>
      </w:r>
      <w:r>
        <w:rPr>
          <w:i/>
          <w:color w:val="231F20"/>
          <w:sz w:val="20"/>
        </w:rPr>
        <w:t>Consequently, even with a constant glomerular </w:t>
      </w:r>
      <w:r>
        <w:rPr>
          <w:i/>
          <w:color w:val="231F20"/>
          <w:sz w:val="20"/>
        </w:rPr>
        <w:t>hydrostatic</w:t>
      </w:r>
      <w:r>
        <w:rPr>
          <w:i/>
          <w:color w:val="231F20"/>
          <w:spacing w:val="8"/>
          <w:sz w:val="20"/>
        </w:rPr>
        <w:t> </w:t>
      </w:r>
      <w:r>
        <w:rPr>
          <w:i/>
          <w:color w:val="231F20"/>
          <w:sz w:val="20"/>
        </w:rPr>
        <w:t>pressure,</w:t>
      </w:r>
      <w:r>
        <w:rPr>
          <w:i/>
          <w:color w:val="231F20"/>
          <w:spacing w:val="8"/>
          <w:sz w:val="20"/>
        </w:rPr>
        <w:t> </w:t>
      </w:r>
      <w:r>
        <w:rPr>
          <w:i/>
          <w:color w:val="231F20"/>
          <w:sz w:val="20"/>
        </w:rPr>
        <w:t>a</w:t>
      </w:r>
      <w:r>
        <w:rPr>
          <w:i/>
          <w:color w:val="231F20"/>
          <w:spacing w:val="8"/>
          <w:sz w:val="20"/>
        </w:rPr>
        <w:t> </w:t>
      </w:r>
      <w:r>
        <w:rPr>
          <w:i/>
          <w:color w:val="231F20"/>
          <w:sz w:val="20"/>
        </w:rPr>
        <w:t>greater</w:t>
      </w:r>
      <w:r>
        <w:rPr>
          <w:i/>
          <w:color w:val="231F20"/>
          <w:spacing w:val="8"/>
          <w:sz w:val="20"/>
        </w:rPr>
        <w:t> </w:t>
      </w:r>
      <w:r>
        <w:rPr>
          <w:i/>
          <w:color w:val="231F20"/>
          <w:sz w:val="20"/>
        </w:rPr>
        <w:t>rate</w:t>
      </w:r>
      <w:r>
        <w:rPr>
          <w:i/>
          <w:color w:val="231F20"/>
          <w:spacing w:val="8"/>
          <w:sz w:val="20"/>
        </w:rPr>
        <w:t> </w:t>
      </w:r>
      <w:r>
        <w:rPr>
          <w:i/>
          <w:color w:val="231F20"/>
          <w:sz w:val="20"/>
        </w:rPr>
        <w:t>of</w:t>
      </w:r>
      <w:r>
        <w:rPr>
          <w:i/>
          <w:color w:val="231F20"/>
          <w:spacing w:val="8"/>
          <w:sz w:val="20"/>
        </w:rPr>
        <w:t> </w:t>
      </w:r>
      <w:r>
        <w:rPr>
          <w:i/>
          <w:color w:val="231F20"/>
          <w:sz w:val="20"/>
        </w:rPr>
        <w:t>blood</w:t>
      </w:r>
      <w:r>
        <w:rPr>
          <w:i/>
          <w:color w:val="231F20"/>
          <w:spacing w:val="8"/>
          <w:sz w:val="20"/>
        </w:rPr>
        <w:t> </w:t>
      </w:r>
      <w:r>
        <w:rPr>
          <w:i/>
          <w:color w:val="231F20"/>
          <w:sz w:val="20"/>
        </w:rPr>
        <w:t>flow</w:t>
      </w:r>
      <w:r>
        <w:rPr>
          <w:i/>
          <w:color w:val="231F20"/>
          <w:spacing w:val="8"/>
          <w:sz w:val="20"/>
        </w:rPr>
        <w:t> </w:t>
      </w:r>
      <w:r>
        <w:rPr>
          <w:i/>
          <w:color w:val="231F20"/>
          <w:sz w:val="20"/>
        </w:rPr>
        <w:t>into</w:t>
      </w:r>
      <w:r>
        <w:rPr>
          <w:i/>
          <w:color w:val="231F20"/>
          <w:spacing w:val="8"/>
          <w:sz w:val="20"/>
        </w:rPr>
        <w:t> </w:t>
      </w:r>
      <w:r>
        <w:rPr>
          <w:i/>
          <w:color w:val="231F20"/>
          <w:spacing w:val="-6"/>
          <w:sz w:val="20"/>
        </w:rPr>
        <w:t>the</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rPr>
          <w:i/>
        </w:rPr>
      </w:pPr>
    </w:p>
    <w:p>
      <w:pPr>
        <w:pStyle w:val="BodyText"/>
        <w:rPr>
          <w:i/>
        </w:rPr>
      </w:pPr>
    </w:p>
    <w:p>
      <w:pPr>
        <w:pStyle w:val="BodyText"/>
        <w:rPr>
          <w:i/>
        </w:rPr>
      </w:pPr>
    </w:p>
    <w:p>
      <w:pPr>
        <w:pStyle w:val="BodyText"/>
        <w:spacing w:before="9"/>
        <w:rPr>
          <w:i/>
          <w:sz w:val="21"/>
        </w:rPr>
      </w:pPr>
    </w:p>
    <w:p>
      <w:pPr>
        <w:spacing w:after="0"/>
        <w:rPr>
          <w:sz w:val="21"/>
        </w:rPr>
        <w:sectPr>
          <w:headerReference w:type="default" r:id="rId423"/>
          <w:pgSz w:w="12240" w:h="15660"/>
          <w:pgMar w:header="0" w:footer="567" w:top="0" w:bottom="760" w:left="0" w:right="0"/>
        </w:sectPr>
      </w:pPr>
    </w:p>
    <w:p>
      <w:pPr>
        <w:spacing w:line="249" w:lineRule="auto" w:before="100"/>
        <w:ind w:left="1440" w:right="0" w:firstLine="0"/>
        <w:jc w:val="both"/>
        <w:rPr>
          <w:i/>
          <w:sz w:val="20"/>
        </w:rPr>
      </w:pPr>
      <w:r>
        <w:rPr>
          <w:i/>
          <w:color w:val="231F20"/>
          <w:sz w:val="20"/>
        </w:rPr>
        <w:t>glomerulus tends to increase the GFR and a lower rate of </w:t>
      </w:r>
      <w:r>
        <w:rPr>
          <w:i/>
          <w:color w:val="231F20"/>
          <w:sz w:val="20"/>
        </w:rPr>
        <w:t>blood flow into the glomerulus tends to decrease the GFR.</w:t>
      </w:r>
    </w:p>
    <w:p>
      <w:pPr>
        <w:pStyle w:val="BodyText"/>
        <w:spacing w:before="9"/>
        <w:rPr>
          <w:i/>
          <w:sz w:val="30"/>
        </w:rPr>
      </w:pPr>
    </w:p>
    <w:p>
      <w:pPr>
        <w:pStyle w:val="Heading2"/>
        <w:spacing w:line="225" w:lineRule="auto"/>
        <w:ind w:left="1440" w:right="416"/>
      </w:pPr>
      <w:r>
        <w:rPr>
          <w:color w:val="231F20"/>
          <w:w w:val="105"/>
        </w:rPr>
        <w:t>INCREASED GLOMERULAR CAPILLARY </w:t>
      </w:r>
      <w:r>
        <w:rPr>
          <w:color w:val="231F20"/>
          <w:spacing w:val="-4"/>
          <w:w w:val="105"/>
        </w:rPr>
        <w:t>HYDROSTATIC </w:t>
      </w:r>
      <w:r>
        <w:rPr>
          <w:color w:val="231F20"/>
          <w:w w:val="105"/>
        </w:rPr>
        <w:t>PRESSURE INCREASES</w:t>
      </w:r>
      <w:r>
        <w:rPr>
          <w:color w:val="231F20"/>
          <w:spacing w:val="-53"/>
          <w:w w:val="105"/>
        </w:rPr>
        <w:t> </w:t>
      </w:r>
      <w:r>
        <w:rPr>
          <w:color w:val="231F20"/>
          <w:spacing w:val="-6"/>
          <w:w w:val="105"/>
        </w:rPr>
        <w:t>GFR</w:t>
      </w:r>
    </w:p>
    <w:p>
      <w:pPr>
        <w:pStyle w:val="BodyText"/>
        <w:spacing w:line="249" w:lineRule="auto" w:before="127"/>
        <w:ind w:left="1440"/>
        <w:jc w:val="both"/>
      </w:pPr>
      <w:r>
        <w:rPr>
          <w:color w:val="231F20"/>
          <w:w w:val="105"/>
        </w:rPr>
        <w:t>The glomerular capillary hydrostatic pressure has been estimated to be about 60 mm Hg under normal </w:t>
      </w:r>
      <w:r>
        <w:rPr>
          <w:color w:val="231F20"/>
          <w:spacing w:val="-4"/>
          <w:w w:val="105"/>
        </w:rPr>
        <w:t>condi­ </w:t>
      </w:r>
      <w:r>
        <w:rPr>
          <w:color w:val="231F20"/>
          <w:w w:val="105"/>
        </w:rPr>
        <w:t>tions. Changes in glomerular hydrostatic pressure serve as</w:t>
      </w:r>
      <w:r>
        <w:rPr>
          <w:color w:val="231F20"/>
          <w:spacing w:val="-31"/>
          <w:w w:val="105"/>
        </w:rPr>
        <w:t> </w:t>
      </w:r>
      <w:r>
        <w:rPr>
          <w:color w:val="231F20"/>
          <w:w w:val="105"/>
        </w:rPr>
        <w:t>the</w:t>
      </w:r>
      <w:r>
        <w:rPr>
          <w:color w:val="231F20"/>
          <w:spacing w:val="-30"/>
          <w:w w:val="105"/>
        </w:rPr>
        <w:t> </w:t>
      </w:r>
      <w:r>
        <w:rPr>
          <w:color w:val="231F20"/>
          <w:w w:val="105"/>
        </w:rPr>
        <w:t>primary</w:t>
      </w:r>
      <w:r>
        <w:rPr>
          <w:color w:val="231F20"/>
          <w:spacing w:val="-30"/>
          <w:w w:val="105"/>
        </w:rPr>
        <w:t> </w:t>
      </w:r>
      <w:r>
        <w:rPr>
          <w:color w:val="231F20"/>
          <w:w w:val="105"/>
        </w:rPr>
        <w:t>means</w:t>
      </w:r>
      <w:r>
        <w:rPr>
          <w:color w:val="231F20"/>
          <w:spacing w:val="-30"/>
          <w:w w:val="105"/>
        </w:rPr>
        <w:t> </w:t>
      </w:r>
      <w:r>
        <w:rPr>
          <w:color w:val="231F20"/>
          <w:w w:val="105"/>
        </w:rPr>
        <w:t>for</w:t>
      </w:r>
      <w:r>
        <w:rPr>
          <w:color w:val="231F20"/>
          <w:spacing w:val="-31"/>
          <w:w w:val="105"/>
        </w:rPr>
        <w:t> </w:t>
      </w:r>
      <w:r>
        <w:rPr>
          <w:color w:val="231F20"/>
          <w:w w:val="105"/>
        </w:rPr>
        <w:t>physiological</w:t>
      </w:r>
      <w:r>
        <w:rPr>
          <w:color w:val="231F20"/>
          <w:spacing w:val="-30"/>
          <w:w w:val="105"/>
        </w:rPr>
        <w:t> </w:t>
      </w:r>
      <w:r>
        <w:rPr>
          <w:color w:val="231F20"/>
          <w:w w:val="105"/>
        </w:rPr>
        <w:t>regulation</w:t>
      </w:r>
      <w:r>
        <w:rPr>
          <w:color w:val="231F20"/>
          <w:spacing w:val="-30"/>
          <w:w w:val="105"/>
        </w:rPr>
        <w:t> </w:t>
      </w:r>
      <w:r>
        <w:rPr>
          <w:color w:val="231F20"/>
          <w:w w:val="105"/>
        </w:rPr>
        <w:t>of</w:t>
      </w:r>
      <w:r>
        <w:rPr>
          <w:color w:val="231F20"/>
          <w:spacing w:val="-30"/>
          <w:w w:val="105"/>
        </w:rPr>
        <w:t> </w:t>
      </w:r>
      <w:r>
        <w:rPr>
          <w:color w:val="231F20"/>
          <w:w w:val="105"/>
        </w:rPr>
        <w:t>GFR. Increases in glomerular hydrostatic pressure raise the GFR, whereas decreases in glomerular hydrostatic</w:t>
      </w:r>
      <w:r>
        <w:rPr>
          <w:color w:val="231F20"/>
          <w:spacing w:val="-34"/>
          <w:w w:val="105"/>
        </w:rPr>
        <w:t> </w:t>
      </w:r>
      <w:r>
        <w:rPr>
          <w:color w:val="231F20"/>
          <w:w w:val="105"/>
        </w:rPr>
        <w:t>pres­ sure reduce the</w:t>
      </w:r>
      <w:r>
        <w:rPr>
          <w:color w:val="231F20"/>
          <w:spacing w:val="8"/>
          <w:w w:val="105"/>
        </w:rPr>
        <w:t> </w:t>
      </w:r>
      <w:r>
        <w:rPr>
          <w:color w:val="231F20"/>
          <w:w w:val="105"/>
        </w:rPr>
        <w:t>GFR.</w:t>
      </w:r>
    </w:p>
    <w:p>
      <w:pPr>
        <w:spacing w:line="249" w:lineRule="auto" w:before="6"/>
        <w:ind w:left="1440" w:right="0" w:firstLine="240"/>
        <w:jc w:val="both"/>
        <w:rPr>
          <w:i/>
          <w:sz w:val="20"/>
        </w:rPr>
      </w:pPr>
      <w:r>
        <w:rPr>
          <w:color w:val="231F20"/>
          <w:sz w:val="20"/>
        </w:rPr>
        <w:t>Glomerular hydrostatic pressure is determined  </w:t>
      </w:r>
      <w:r>
        <w:rPr>
          <w:color w:val="231F20"/>
          <w:spacing w:val="-7"/>
          <w:sz w:val="20"/>
        </w:rPr>
        <w:t>by</w:t>
      </w:r>
      <w:r>
        <w:rPr>
          <w:color w:val="231F20"/>
          <w:spacing w:val="36"/>
          <w:sz w:val="20"/>
        </w:rPr>
        <w:t> </w:t>
      </w:r>
      <w:r>
        <w:rPr>
          <w:color w:val="231F20"/>
          <w:sz w:val="20"/>
        </w:rPr>
        <w:t>three variables, each of which is under physiological control: (1) </w:t>
      </w:r>
      <w:r>
        <w:rPr>
          <w:i/>
          <w:color w:val="231F20"/>
          <w:sz w:val="20"/>
        </w:rPr>
        <w:t>arterial pressure, </w:t>
      </w:r>
      <w:r>
        <w:rPr>
          <w:color w:val="231F20"/>
          <w:sz w:val="20"/>
        </w:rPr>
        <w:t>(2) </w:t>
      </w:r>
      <w:r>
        <w:rPr>
          <w:i/>
          <w:color w:val="231F20"/>
          <w:sz w:val="20"/>
        </w:rPr>
        <w:t>afferent arteriolar resis- </w:t>
      </w:r>
      <w:r>
        <w:rPr>
          <w:i/>
          <w:color w:val="231F20"/>
          <w:sz w:val="20"/>
        </w:rPr>
        <w:t>tance, </w:t>
      </w:r>
      <w:r>
        <w:rPr>
          <w:color w:val="231F20"/>
          <w:sz w:val="20"/>
        </w:rPr>
        <w:t>and (3) </w:t>
      </w:r>
      <w:r>
        <w:rPr>
          <w:i/>
          <w:color w:val="231F20"/>
          <w:sz w:val="20"/>
        </w:rPr>
        <w:t>efferent arteriolar</w:t>
      </w:r>
      <w:r>
        <w:rPr>
          <w:i/>
          <w:color w:val="231F20"/>
          <w:spacing w:val="26"/>
          <w:sz w:val="20"/>
        </w:rPr>
        <w:t> </w:t>
      </w:r>
      <w:r>
        <w:rPr>
          <w:i/>
          <w:color w:val="231F20"/>
          <w:sz w:val="20"/>
        </w:rPr>
        <w:t>resistance.</w:t>
      </w:r>
    </w:p>
    <w:p>
      <w:pPr>
        <w:pStyle w:val="BodyText"/>
        <w:spacing w:line="249" w:lineRule="auto" w:before="3"/>
        <w:ind w:left="1440" w:firstLine="240"/>
        <w:jc w:val="both"/>
      </w:pPr>
      <w:r>
        <w:rPr>
          <w:color w:val="231F20"/>
          <w:w w:val="105"/>
        </w:rPr>
        <w:t>Increased arterial pressure tends to raise glomerular hydrostatic</w:t>
      </w:r>
      <w:r>
        <w:rPr>
          <w:color w:val="231F20"/>
          <w:spacing w:val="-13"/>
          <w:w w:val="105"/>
        </w:rPr>
        <w:t> </w:t>
      </w:r>
      <w:r>
        <w:rPr>
          <w:color w:val="231F20"/>
          <w:w w:val="105"/>
        </w:rPr>
        <w:t>pressure</w:t>
      </w:r>
      <w:r>
        <w:rPr>
          <w:color w:val="231F20"/>
          <w:spacing w:val="-13"/>
          <w:w w:val="105"/>
        </w:rPr>
        <w:t> </w:t>
      </w:r>
      <w:r>
        <w:rPr>
          <w:color w:val="231F20"/>
          <w:w w:val="105"/>
        </w:rPr>
        <w:t>and,</w:t>
      </w:r>
      <w:r>
        <w:rPr>
          <w:color w:val="231F20"/>
          <w:spacing w:val="-12"/>
          <w:w w:val="105"/>
        </w:rPr>
        <w:t> </w:t>
      </w:r>
      <w:r>
        <w:rPr>
          <w:color w:val="231F20"/>
          <w:w w:val="105"/>
        </w:rPr>
        <w:t>therefore,</w:t>
      </w:r>
      <w:r>
        <w:rPr>
          <w:color w:val="231F20"/>
          <w:spacing w:val="-13"/>
          <w:w w:val="105"/>
        </w:rPr>
        <w:t> </w:t>
      </w:r>
      <w:r>
        <w:rPr>
          <w:color w:val="231F20"/>
          <w:w w:val="105"/>
        </w:rPr>
        <w:t>to</w:t>
      </w:r>
      <w:r>
        <w:rPr>
          <w:color w:val="231F20"/>
          <w:spacing w:val="-13"/>
          <w:w w:val="105"/>
        </w:rPr>
        <w:t> </w:t>
      </w:r>
      <w:r>
        <w:rPr>
          <w:color w:val="231F20"/>
          <w:w w:val="105"/>
        </w:rPr>
        <w:t>increase</w:t>
      </w:r>
      <w:r>
        <w:rPr>
          <w:color w:val="231F20"/>
          <w:spacing w:val="-12"/>
          <w:w w:val="105"/>
        </w:rPr>
        <w:t> </w:t>
      </w:r>
      <w:r>
        <w:rPr>
          <w:color w:val="231F20"/>
          <w:w w:val="105"/>
        </w:rPr>
        <w:t>the</w:t>
      </w:r>
      <w:r>
        <w:rPr>
          <w:color w:val="231F20"/>
          <w:spacing w:val="18"/>
          <w:w w:val="105"/>
        </w:rPr>
        <w:t> </w:t>
      </w:r>
      <w:r>
        <w:rPr>
          <w:color w:val="231F20"/>
          <w:spacing w:val="-3"/>
          <w:w w:val="105"/>
        </w:rPr>
        <w:t>GFR. </w:t>
      </w:r>
      <w:r>
        <w:rPr>
          <w:color w:val="231F20"/>
          <w:w w:val="105"/>
        </w:rPr>
        <w:t>(However, as discussed </w:t>
      </w:r>
      <w:r>
        <w:rPr>
          <w:color w:val="231F20"/>
          <w:spacing w:val="-4"/>
          <w:w w:val="105"/>
        </w:rPr>
        <w:t>later, </w:t>
      </w:r>
      <w:r>
        <w:rPr>
          <w:color w:val="231F20"/>
          <w:w w:val="105"/>
        </w:rPr>
        <w:t>this effect is buffered by autoregulatory</w:t>
      </w:r>
      <w:r>
        <w:rPr>
          <w:color w:val="231F20"/>
          <w:spacing w:val="-36"/>
          <w:w w:val="105"/>
        </w:rPr>
        <w:t> </w:t>
      </w:r>
      <w:r>
        <w:rPr>
          <w:color w:val="231F20"/>
          <w:w w:val="105"/>
        </w:rPr>
        <w:t>mechanisms</w:t>
      </w:r>
      <w:r>
        <w:rPr>
          <w:color w:val="231F20"/>
          <w:spacing w:val="-35"/>
          <w:w w:val="105"/>
        </w:rPr>
        <w:t> </w:t>
      </w:r>
      <w:r>
        <w:rPr>
          <w:color w:val="231F20"/>
          <w:w w:val="105"/>
        </w:rPr>
        <w:t>that</w:t>
      </w:r>
      <w:r>
        <w:rPr>
          <w:color w:val="231F20"/>
          <w:spacing w:val="-35"/>
          <w:w w:val="105"/>
        </w:rPr>
        <w:t> </w:t>
      </w:r>
      <w:r>
        <w:rPr>
          <w:color w:val="231F20"/>
          <w:w w:val="105"/>
        </w:rPr>
        <w:t>maintain</w:t>
      </w:r>
      <w:r>
        <w:rPr>
          <w:color w:val="231F20"/>
          <w:spacing w:val="-36"/>
          <w:w w:val="105"/>
        </w:rPr>
        <w:t> </w:t>
      </w:r>
      <w:r>
        <w:rPr>
          <w:color w:val="231F20"/>
          <w:w w:val="105"/>
        </w:rPr>
        <w:t>a</w:t>
      </w:r>
      <w:r>
        <w:rPr>
          <w:color w:val="231F20"/>
          <w:spacing w:val="-35"/>
          <w:w w:val="105"/>
        </w:rPr>
        <w:t> </w:t>
      </w:r>
      <w:r>
        <w:rPr>
          <w:color w:val="231F20"/>
          <w:w w:val="105"/>
        </w:rPr>
        <w:t>relatively</w:t>
      </w:r>
      <w:r>
        <w:rPr>
          <w:color w:val="231F20"/>
          <w:spacing w:val="-35"/>
          <w:w w:val="105"/>
        </w:rPr>
        <w:t> </w:t>
      </w:r>
      <w:r>
        <w:rPr>
          <w:color w:val="231F20"/>
          <w:w w:val="105"/>
        </w:rPr>
        <w:t>con­ stant glomerular pressure as blood pressure</w:t>
      </w:r>
      <w:r>
        <w:rPr>
          <w:color w:val="231F20"/>
          <w:spacing w:val="-38"/>
          <w:w w:val="105"/>
        </w:rPr>
        <w:t> </w:t>
      </w:r>
      <w:r>
        <w:rPr>
          <w:color w:val="231F20"/>
          <w:w w:val="105"/>
        </w:rPr>
        <w:t>fluctuates.)</w:t>
      </w:r>
    </w:p>
    <w:p>
      <w:pPr>
        <w:pStyle w:val="BodyText"/>
        <w:spacing w:line="249" w:lineRule="auto" w:before="4"/>
        <w:ind w:left="1440" w:firstLine="240"/>
        <w:jc w:val="both"/>
      </w:pPr>
      <w:r>
        <w:rPr>
          <w:color w:val="231F20"/>
          <w:w w:val="105"/>
        </w:rPr>
        <w:t>Increased</w:t>
      </w:r>
      <w:r>
        <w:rPr>
          <w:color w:val="231F20"/>
          <w:spacing w:val="-17"/>
          <w:w w:val="105"/>
        </w:rPr>
        <w:t> </w:t>
      </w:r>
      <w:r>
        <w:rPr>
          <w:color w:val="231F20"/>
          <w:w w:val="105"/>
        </w:rPr>
        <w:t>resistance</w:t>
      </w:r>
      <w:r>
        <w:rPr>
          <w:color w:val="231F20"/>
          <w:spacing w:val="-16"/>
          <w:w w:val="105"/>
        </w:rPr>
        <w:t> </w:t>
      </w:r>
      <w:r>
        <w:rPr>
          <w:color w:val="231F20"/>
          <w:w w:val="105"/>
        </w:rPr>
        <w:t>of</w:t>
      </w:r>
      <w:r>
        <w:rPr>
          <w:color w:val="231F20"/>
          <w:spacing w:val="-16"/>
          <w:w w:val="105"/>
        </w:rPr>
        <w:t> </w:t>
      </w:r>
      <w:r>
        <w:rPr>
          <w:color w:val="231F20"/>
          <w:w w:val="105"/>
        </w:rPr>
        <w:t>afferent</w:t>
      </w:r>
      <w:r>
        <w:rPr>
          <w:color w:val="231F20"/>
          <w:spacing w:val="-16"/>
          <w:w w:val="105"/>
        </w:rPr>
        <w:t> </w:t>
      </w:r>
      <w:r>
        <w:rPr>
          <w:color w:val="231F20"/>
          <w:w w:val="105"/>
        </w:rPr>
        <w:t>arterioles</w:t>
      </w:r>
      <w:r>
        <w:rPr>
          <w:color w:val="231F20"/>
          <w:spacing w:val="-16"/>
          <w:w w:val="105"/>
        </w:rPr>
        <w:t> </w:t>
      </w:r>
      <w:r>
        <w:rPr>
          <w:color w:val="231F20"/>
          <w:w w:val="105"/>
        </w:rPr>
        <w:t>reduces</w:t>
      </w:r>
      <w:r>
        <w:rPr>
          <w:color w:val="231F20"/>
          <w:spacing w:val="-16"/>
          <w:w w:val="105"/>
        </w:rPr>
        <w:t> </w:t>
      </w:r>
      <w:r>
        <w:rPr>
          <w:color w:val="231F20"/>
          <w:spacing w:val="-3"/>
          <w:w w:val="105"/>
        </w:rPr>
        <w:t>glo­ </w:t>
      </w:r>
      <w:r>
        <w:rPr>
          <w:color w:val="231F20"/>
          <w:w w:val="105"/>
        </w:rPr>
        <w:t>merular hydrostatic pressure and decreases the </w:t>
      </w:r>
      <w:r>
        <w:rPr>
          <w:color w:val="231F20"/>
          <w:spacing w:val="-5"/>
          <w:w w:val="105"/>
        </w:rPr>
        <w:t>GFR </w:t>
      </w:r>
      <w:r>
        <w:rPr>
          <w:color w:val="231F20"/>
          <w:w w:val="105"/>
        </w:rPr>
        <w:t>(</w:t>
      </w:r>
      <w:hyperlink w:history="true" w:anchor="_bookmark28">
        <w:r>
          <w:rPr>
            <w:b/>
            <w:color w:val="0080AC"/>
            <w:w w:val="105"/>
          </w:rPr>
          <w:t>Figure</w:t>
        </w:r>
        <w:r>
          <w:rPr>
            <w:b/>
            <w:color w:val="0080AC"/>
            <w:spacing w:val="-19"/>
            <w:w w:val="105"/>
          </w:rPr>
          <w:t> </w:t>
        </w:r>
        <w:r>
          <w:rPr>
            <w:b/>
            <w:color w:val="0080AC"/>
            <w:w w:val="105"/>
          </w:rPr>
          <w:t>27-6</w:t>
        </w:r>
      </w:hyperlink>
      <w:r>
        <w:rPr>
          <w:color w:val="231F20"/>
          <w:w w:val="105"/>
        </w:rPr>
        <w:t>).</w:t>
      </w:r>
      <w:r>
        <w:rPr>
          <w:color w:val="231F20"/>
          <w:spacing w:val="-17"/>
          <w:w w:val="105"/>
        </w:rPr>
        <w:t> </w:t>
      </w:r>
      <w:r>
        <w:rPr>
          <w:color w:val="231F20"/>
          <w:w w:val="105"/>
        </w:rPr>
        <w:t>Conversely,</w:t>
      </w:r>
      <w:r>
        <w:rPr>
          <w:color w:val="231F20"/>
          <w:spacing w:val="-17"/>
          <w:w w:val="105"/>
        </w:rPr>
        <w:t> </w:t>
      </w:r>
      <w:r>
        <w:rPr>
          <w:color w:val="231F20"/>
          <w:w w:val="105"/>
        </w:rPr>
        <w:t>dilation</w:t>
      </w:r>
      <w:r>
        <w:rPr>
          <w:color w:val="231F20"/>
          <w:spacing w:val="-16"/>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afferent</w:t>
      </w:r>
      <w:r>
        <w:rPr>
          <w:color w:val="231F20"/>
          <w:spacing w:val="-17"/>
          <w:w w:val="105"/>
        </w:rPr>
        <w:t> </w:t>
      </w:r>
      <w:r>
        <w:rPr>
          <w:color w:val="231F20"/>
          <w:w w:val="105"/>
        </w:rPr>
        <w:t>arteri­ oles increases both glomerular hydrostatic  </w:t>
      </w:r>
      <w:r>
        <w:rPr>
          <w:color w:val="231F20"/>
          <w:spacing w:val="-3"/>
          <w:w w:val="105"/>
        </w:rPr>
        <w:t>pressure  </w:t>
      </w:r>
      <w:r>
        <w:rPr>
          <w:color w:val="231F20"/>
          <w:w w:val="105"/>
        </w:rPr>
        <w:t>and</w:t>
      </w:r>
      <w:r>
        <w:rPr>
          <w:color w:val="231F20"/>
          <w:spacing w:val="3"/>
          <w:w w:val="105"/>
        </w:rPr>
        <w:t> </w:t>
      </w:r>
      <w:r>
        <w:rPr>
          <w:color w:val="231F20"/>
          <w:w w:val="105"/>
        </w:rPr>
        <w:t>GFR.</w:t>
      </w:r>
    </w:p>
    <w:p>
      <w:pPr>
        <w:pStyle w:val="BodyText"/>
        <w:spacing w:line="249" w:lineRule="auto" w:before="4"/>
        <w:ind w:left="1440" w:firstLine="240"/>
        <w:jc w:val="both"/>
      </w:pPr>
      <w:r>
        <w:rPr>
          <w:color w:val="231F20"/>
          <w:w w:val="105"/>
        </w:rPr>
        <w:t>Constriction of the efferent arterioles increases </w:t>
      </w:r>
      <w:r>
        <w:rPr>
          <w:color w:val="231F20"/>
          <w:spacing w:val="-6"/>
          <w:w w:val="105"/>
        </w:rPr>
        <w:t>the </w:t>
      </w:r>
      <w:r>
        <w:rPr>
          <w:color w:val="231F20"/>
          <w:w w:val="105"/>
        </w:rPr>
        <w:t>resistance</w:t>
      </w:r>
      <w:r>
        <w:rPr>
          <w:color w:val="231F20"/>
          <w:spacing w:val="-30"/>
          <w:w w:val="105"/>
        </w:rPr>
        <w:t> </w:t>
      </w:r>
      <w:r>
        <w:rPr>
          <w:color w:val="231F20"/>
          <w:w w:val="105"/>
        </w:rPr>
        <w:t>to</w:t>
      </w:r>
      <w:r>
        <w:rPr>
          <w:color w:val="231F20"/>
          <w:spacing w:val="-29"/>
          <w:w w:val="105"/>
        </w:rPr>
        <w:t> </w:t>
      </w:r>
      <w:r>
        <w:rPr>
          <w:color w:val="231F20"/>
          <w:w w:val="105"/>
        </w:rPr>
        <w:t>outflow</w:t>
      </w:r>
      <w:r>
        <w:rPr>
          <w:color w:val="231F20"/>
          <w:spacing w:val="-30"/>
          <w:w w:val="105"/>
        </w:rPr>
        <w:t> </w:t>
      </w:r>
      <w:r>
        <w:rPr>
          <w:color w:val="231F20"/>
          <w:w w:val="105"/>
        </w:rPr>
        <w:t>from</w:t>
      </w:r>
      <w:r>
        <w:rPr>
          <w:color w:val="231F20"/>
          <w:spacing w:val="-29"/>
          <w:w w:val="105"/>
        </w:rPr>
        <w:t> </w:t>
      </w:r>
      <w:r>
        <w:rPr>
          <w:color w:val="231F20"/>
          <w:w w:val="105"/>
        </w:rPr>
        <w:t>the</w:t>
      </w:r>
      <w:r>
        <w:rPr>
          <w:color w:val="231F20"/>
          <w:spacing w:val="-29"/>
          <w:w w:val="105"/>
        </w:rPr>
        <w:t> </w:t>
      </w:r>
      <w:r>
        <w:rPr>
          <w:color w:val="231F20"/>
          <w:w w:val="105"/>
        </w:rPr>
        <w:t>glomerular</w:t>
      </w:r>
      <w:r>
        <w:rPr>
          <w:color w:val="231F20"/>
          <w:spacing w:val="-30"/>
          <w:w w:val="105"/>
        </w:rPr>
        <w:t> </w:t>
      </w:r>
      <w:r>
        <w:rPr>
          <w:color w:val="231F20"/>
          <w:w w:val="105"/>
        </w:rPr>
        <w:t>capillaries.</w:t>
      </w:r>
      <w:r>
        <w:rPr>
          <w:color w:val="231F20"/>
          <w:spacing w:val="-29"/>
          <w:w w:val="105"/>
        </w:rPr>
        <w:t> </w:t>
      </w:r>
      <w:r>
        <w:rPr>
          <w:color w:val="231F20"/>
          <w:spacing w:val="-3"/>
          <w:w w:val="105"/>
        </w:rPr>
        <w:t>This </w:t>
      </w:r>
      <w:r>
        <w:rPr>
          <w:color w:val="231F20"/>
          <w:w w:val="105"/>
        </w:rPr>
        <w:t>mechanism</w:t>
      </w:r>
      <w:r>
        <w:rPr>
          <w:color w:val="231F20"/>
          <w:spacing w:val="-27"/>
          <w:w w:val="105"/>
        </w:rPr>
        <w:t> </w:t>
      </w:r>
      <w:r>
        <w:rPr>
          <w:color w:val="231F20"/>
          <w:w w:val="105"/>
        </w:rPr>
        <w:t>raises</w:t>
      </w:r>
      <w:r>
        <w:rPr>
          <w:color w:val="231F20"/>
          <w:spacing w:val="-26"/>
          <w:w w:val="105"/>
        </w:rPr>
        <w:t> </w:t>
      </w:r>
      <w:r>
        <w:rPr>
          <w:color w:val="231F20"/>
          <w:w w:val="105"/>
        </w:rPr>
        <w:t>glomerular</w:t>
      </w:r>
      <w:r>
        <w:rPr>
          <w:color w:val="231F20"/>
          <w:spacing w:val="-26"/>
          <w:w w:val="105"/>
        </w:rPr>
        <w:t> </w:t>
      </w:r>
      <w:r>
        <w:rPr>
          <w:color w:val="231F20"/>
          <w:w w:val="105"/>
        </w:rPr>
        <w:t>hydrostatic</w:t>
      </w:r>
      <w:r>
        <w:rPr>
          <w:color w:val="231F20"/>
          <w:spacing w:val="-26"/>
          <w:w w:val="105"/>
        </w:rPr>
        <w:t> </w:t>
      </w:r>
      <w:r>
        <w:rPr>
          <w:color w:val="231F20"/>
          <w:w w:val="105"/>
        </w:rPr>
        <w:t>pressure,</w:t>
      </w:r>
      <w:r>
        <w:rPr>
          <w:color w:val="231F20"/>
          <w:spacing w:val="-26"/>
          <w:w w:val="105"/>
        </w:rPr>
        <w:t> </w:t>
      </w:r>
      <w:r>
        <w:rPr>
          <w:color w:val="231F20"/>
          <w:w w:val="105"/>
        </w:rPr>
        <w:t>and</w:t>
      </w:r>
      <w:r>
        <w:rPr>
          <w:color w:val="231F20"/>
          <w:spacing w:val="-26"/>
          <w:w w:val="105"/>
        </w:rPr>
        <w:t> </w:t>
      </w:r>
      <w:r>
        <w:rPr>
          <w:color w:val="231F20"/>
          <w:spacing w:val="-5"/>
          <w:w w:val="105"/>
        </w:rPr>
        <w:t>as</w:t>
      </w:r>
    </w:p>
    <w:p>
      <w:pPr>
        <w:pStyle w:val="BodyText"/>
        <w:spacing w:line="249" w:lineRule="auto" w:before="100"/>
        <w:ind w:left="319" w:right="1077"/>
        <w:jc w:val="both"/>
      </w:pPr>
      <w:r>
        <w:rPr/>
        <w:br w:type="column"/>
      </w:r>
      <w:r>
        <w:rPr>
          <w:color w:val="231F20"/>
          <w:w w:val="105"/>
        </w:rPr>
        <w:t>and</w:t>
      </w:r>
      <w:r>
        <w:rPr>
          <w:color w:val="231F20"/>
          <w:spacing w:val="-28"/>
          <w:w w:val="105"/>
        </w:rPr>
        <w:t> </w:t>
      </w:r>
      <w:r>
        <w:rPr>
          <w:color w:val="231F20"/>
          <w:w w:val="105"/>
        </w:rPr>
        <w:t>glomerular</w:t>
      </w:r>
      <w:r>
        <w:rPr>
          <w:color w:val="231F20"/>
          <w:spacing w:val="-27"/>
          <w:w w:val="105"/>
        </w:rPr>
        <w:t> </w:t>
      </w:r>
      <w:r>
        <w:rPr>
          <w:color w:val="231F20"/>
          <w:w w:val="105"/>
        </w:rPr>
        <w:t>colloid</w:t>
      </w:r>
      <w:r>
        <w:rPr>
          <w:color w:val="231F20"/>
          <w:spacing w:val="-28"/>
          <w:w w:val="105"/>
        </w:rPr>
        <w:t> </w:t>
      </w:r>
      <w:r>
        <w:rPr>
          <w:color w:val="231F20"/>
          <w:w w:val="105"/>
        </w:rPr>
        <w:t>osmotic</w:t>
      </w:r>
      <w:r>
        <w:rPr>
          <w:color w:val="231F20"/>
          <w:spacing w:val="-27"/>
          <w:w w:val="105"/>
        </w:rPr>
        <w:t> </w:t>
      </w:r>
      <w:r>
        <w:rPr>
          <w:color w:val="231F20"/>
          <w:w w:val="105"/>
        </w:rPr>
        <w:t>pressure</w:t>
      </w:r>
      <w:r>
        <w:rPr>
          <w:color w:val="231F20"/>
          <w:spacing w:val="-28"/>
          <w:w w:val="105"/>
        </w:rPr>
        <w:t> </w:t>
      </w:r>
      <w:r>
        <w:rPr>
          <w:color w:val="231F20"/>
          <w:w w:val="105"/>
        </w:rPr>
        <w:t>increase</w:t>
      </w:r>
      <w:r>
        <w:rPr>
          <w:color w:val="231F20"/>
          <w:spacing w:val="-27"/>
          <w:w w:val="105"/>
        </w:rPr>
        <w:t> </w:t>
      </w:r>
      <w:r>
        <w:rPr>
          <w:color w:val="231F20"/>
          <w:w w:val="105"/>
        </w:rPr>
        <w:t>as</w:t>
      </w:r>
      <w:r>
        <w:rPr>
          <w:color w:val="231F20"/>
          <w:spacing w:val="-27"/>
          <w:w w:val="105"/>
        </w:rPr>
        <w:t> </w:t>
      </w:r>
      <w:r>
        <w:rPr>
          <w:color w:val="231F20"/>
          <w:w w:val="105"/>
        </w:rPr>
        <w:t>effer­ ent</w:t>
      </w:r>
      <w:r>
        <w:rPr>
          <w:color w:val="231F20"/>
          <w:spacing w:val="-10"/>
          <w:w w:val="105"/>
        </w:rPr>
        <w:t> </w:t>
      </w:r>
      <w:r>
        <w:rPr>
          <w:color w:val="231F20"/>
          <w:w w:val="105"/>
        </w:rPr>
        <w:t>arteriolar</w:t>
      </w:r>
      <w:r>
        <w:rPr>
          <w:color w:val="231F20"/>
          <w:spacing w:val="-11"/>
          <w:w w:val="105"/>
        </w:rPr>
        <w:t> </w:t>
      </w:r>
      <w:r>
        <w:rPr>
          <w:color w:val="231F20"/>
          <w:w w:val="105"/>
        </w:rPr>
        <w:t>resistance</w:t>
      </w:r>
      <w:r>
        <w:rPr>
          <w:color w:val="231F20"/>
          <w:spacing w:val="-10"/>
          <w:w w:val="105"/>
        </w:rPr>
        <w:t> </w:t>
      </w:r>
      <w:r>
        <w:rPr>
          <w:color w:val="231F20"/>
          <w:w w:val="105"/>
        </w:rPr>
        <w:t>increases.</w:t>
      </w:r>
      <w:r>
        <w:rPr>
          <w:color w:val="231F20"/>
          <w:spacing w:val="-10"/>
          <w:w w:val="105"/>
        </w:rPr>
        <w:t> </w:t>
      </w:r>
      <w:r>
        <w:rPr>
          <w:color w:val="231F20"/>
          <w:w w:val="105"/>
        </w:rPr>
        <w:t>Therefore,</w:t>
      </w:r>
      <w:r>
        <w:rPr>
          <w:color w:val="231F20"/>
          <w:spacing w:val="-10"/>
          <w:w w:val="105"/>
        </w:rPr>
        <w:t> </w:t>
      </w:r>
      <w:r>
        <w:rPr>
          <w:color w:val="231F20"/>
          <w:w w:val="105"/>
        </w:rPr>
        <w:t>if</w:t>
      </w:r>
      <w:r>
        <w:rPr>
          <w:color w:val="231F20"/>
          <w:spacing w:val="-10"/>
          <w:w w:val="105"/>
        </w:rPr>
        <w:t> </w:t>
      </w:r>
      <w:r>
        <w:rPr>
          <w:color w:val="231F20"/>
          <w:w w:val="105"/>
        </w:rPr>
        <w:t>constric­ tion of efferent arterioles is severe (more than about a threefold increase in efferent arteriolar resistance), the rise in colloid osmotic pressure exceeds the increase in glomerular</w:t>
      </w:r>
      <w:r>
        <w:rPr>
          <w:color w:val="231F20"/>
          <w:spacing w:val="-30"/>
          <w:w w:val="105"/>
        </w:rPr>
        <w:t> </w:t>
      </w:r>
      <w:r>
        <w:rPr>
          <w:color w:val="231F20"/>
          <w:w w:val="105"/>
        </w:rPr>
        <w:t>capillary</w:t>
      </w:r>
      <w:r>
        <w:rPr>
          <w:color w:val="231F20"/>
          <w:spacing w:val="-29"/>
          <w:w w:val="105"/>
        </w:rPr>
        <w:t> </w:t>
      </w:r>
      <w:r>
        <w:rPr>
          <w:color w:val="231F20"/>
          <w:w w:val="105"/>
        </w:rPr>
        <w:t>hydrostatic</w:t>
      </w:r>
      <w:r>
        <w:rPr>
          <w:color w:val="231F20"/>
          <w:spacing w:val="-29"/>
          <w:w w:val="105"/>
        </w:rPr>
        <w:t> </w:t>
      </w:r>
      <w:r>
        <w:rPr>
          <w:color w:val="231F20"/>
          <w:w w:val="105"/>
        </w:rPr>
        <w:t>pressure</w:t>
      </w:r>
      <w:r>
        <w:rPr>
          <w:color w:val="231F20"/>
          <w:spacing w:val="-29"/>
          <w:w w:val="105"/>
        </w:rPr>
        <w:t> </w:t>
      </w:r>
      <w:r>
        <w:rPr>
          <w:color w:val="231F20"/>
          <w:w w:val="105"/>
        </w:rPr>
        <w:t>caused</w:t>
      </w:r>
      <w:r>
        <w:rPr>
          <w:color w:val="231F20"/>
          <w:spacing w:val="-29"/>
          <w:w w:val="105"/>
        </w:rPr>
        <w:t> </w:t>
      </w:r>
      <w:r>
        <w:rPr>
          <w:color w:val="231F20"/>
          <w:w w:val="105"/>
        </w:rPr>
        <w:t>by</w:t>
      </w:r>
      <w:r>
        <w:rPr>
          <w:color w:val="231F20"/>
          <w:spacing w:val="-29"/>
          <w:w w:val="105"/>
        </w:rPr>
        <w:t> </w:t>
      </w:r>
      <w:r>
        <w:rPr>
          <w:color w:val="231F20"/>
          <w:w w:val="105"/>
        </w:rPr>
        <w:t>effer­ ent arteriolar constriction. When this situation occurs, the </w:t>
      </w:r>
      <w:r>
        <w:rPr>
          <w:i/>
          <w:color w:val="231F20"/>
          <w:w w:val="105"/>
        </w:rPr>
        <w:t>net force </w:t>
      </w:r>
      <w:r>
        <w:rPr>
          <w:color w:val="231F20"/>
          <w:w w:val="105"/>
        </w:rPr>
        <w:t>for filtration actually decreases, causing a reduction in</w:t>
      </w:r>
      <w:r>
        <w:rPr>
          <w:color w:val="231F20"/>
          <w:spacing w:val="5"/>
          <w:w w:val="105"/>
        </w:rPr>
        <w:t> </w:t>
      </w:r>
      <w:r>
        <w:rPr>
          <w:color w:val="231F20"/>
          <w:w w:val="105"/>
        </w:rPr>
        <w:t>GFR.</w:t>
      </w:r>
    </w:p>
    <w:p>
      <w:pPr>
        <w:pStyle w:val="BodyText"/>
        <w:spacing w:line="249" w:lineRule="auto" w:before="7"/>
        <w:ind w:left="319" w:right="1077" w:firstLine="240"/>
        <w:jc w:val="both"/>
      </w:pPr>
      <w:r>
        <w:rPr/>
        <w:pict>
          <v:rect style="position:absolute;margin-left:576pt;margin-top:32.33596pt;width:36pt;height:24pt;mso-position-horizontal-relative:page;mso-position-vertical-relative:paragraph;z-index:251934720" filled="true" fillcolor="#e8dac8" stroked="false">
            <v:fill type="solid"/>
            <w10:wrap type="none"/>
          </v:rect>
        </w:pict>
      </w:r>
      <w:r>
        <w:rPr/>
        <w:pict>
          <v:shape style="position:absolute;margin-left:578.900024pt;margin-top:-44.006737pt;width:15.9pt;height:53.35pt;mso-position-horizontal-relative:page;mso-position-vertical-relative:paragraph;z-index:25195315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Thus, efferent arteriolar constriction has a biphasic effect</w:t>
      </w:r>
      <w:r>
        <w:rPr>
          <w:color w:val="231F20"/>
          <w:spacing w:val="-10"/>
          <w:w w:val="105"/>
        </w:rPr>
        <w:t> </w:t>
      </w:r>
      <w:r>
        <w:rPr>
          <w:color w:val="231F20"/>
          <w:w w:val="105"/>
        </w:rPr>
        <w:t>on</w:t>
      </w:r>
      <w:r>
        <w:rPr>
          <w:color w:val="231F20"/>
          <w:spacing w:val="-10"/>
          <w:w w:val="105"/>
        </w:rPr>
        <w:t> </w:t>
      </w:r>
      <w:r>
        <w:rPr>
          <w:color w:val="231F20"/>
          <w:w w:val="105"/>
        </w:rPr>
        <w:t>GFR</w:t>
      </w:r>
      <w:r>
        <w:rPr>
          <w:color w:val="231F20"/>
          <w:spacing w:val="-9"/>
          <w:w w:val="105"/>
        </w:rPr>
        <w:t> </w:t>
      </w:r>
      <w:r>
        <w:rPr>
          <w:color w:val="231F20"/>
          <w:w w:val="105"/>
        </w:rPr>
        <w:t>(</w:t>
      </w:r>
      <w:hyperlink w:history="true" w:anchor="_bookmark29">
        <w:r>
          <w:rPr>
            <w:b/>
            <w:color w:val="0080AC"/>
            <w:w w:val="105"/>
          </w:rPr>
          <w:t>Figure</w:t>
        </w:r>
        <w:r>
          <w:rPr>
            <w:b/>
            <w:color w:val="0080AC"/>
            <w:spacing w:val="-12"/>
            <w:w w:val="105"/>
          </w:rPr>
          <w:t> </w:t>
        </w:r>
        <w:r>
          <w:rPr>
            <w:b/>
            <w:color w:val="0080AC"/>
            <w:w w:val="105"/>
          </w:rPr>
          <w:t>27-7</w:t>
        </w:r>
      </w:hyperlink>
      <w:r>
        <w:rPr>
          <w:color w:val="231F20"/>
          <w:w w:val="105"/>
        </w:rPr>
        <w:t>).</w:t>
      </w:r>
      <w:r>
        <w:rPr>
          <w:color w:val="231F20"/>
          <w:spacing w:val="-10"/>
          <w:w w:val="105"/>
        </w:rPr>
        <w:t> </w:t>
      </w:r>
      <w:r>
        <w:rPr>
          <w:color w:val="231F20"/>
          <w:spacing w:val="-3"/>
          <w:w w:val="105"/>
        </w:rPr>
        <w:t>At</w:t>
      </w:r>
      <w:r>
        <w:rPr>
          <w:color w:val="231F20"/>
          <w:spacing w:val="-9"/>
          <w:w w:val="105"/>
        </w:rPr>
        <w:t> </w:t>
      </w:r>
      <w:r>
        <w:rPr>
          <w:color w:val="231F20"/>
          <w:w w:val="105"/>
        </w:rPr>
        <w:t>moderate</w:t>
      </w:r>
      <w:r>
        <w:rPr>
          <w:color w:val="231F20"/>
          <w:spacing w:val="-10"/>
          <w:w w:val="105"/>
        </w:rPr>
        <w:t> </w:t>
      </w:r>
      <w:r>
        <w:rPr>
          <w:color w:val="231F20"/>
          <w:w w:val="105"/>
        </w:rPr>
        <w:t>levels</w:t>
      </w:r>
      <w:r>
        <w:rPr>
          <w:color w:val="231F20"/>
          <w:spacing w:val="-10"/>
          <w:w w:val="105"/>
        </w:rPr>
        <w:t> </w:t>
      </w:r>
      <w:r>
        <w:rPr>
          <w:color w:val="231F20"/>
          <w:w w:val="105"/>
        </w:rPr>
        <w:t>of</w:t>
      </w:r>
      <w:r>
        <w:rPr>
          <w:color w:val="231F20"/>
          <w:spacing w:val="-9"/>
          <w:w w:val="105"/>
        </w:rPr>
        <w:t> </w:t>
      </w:r>
      <w:r>
        <w:rPr>
          <w:color w:val="231F20"/>
          <w:w w:val="105"/>
        </w:rPr>
        <w:t>con­ striction,</w:t>
      </w:r>
      <w:r>
        <w:rPr>
          <w:color w:val="231F20"/>
          <w:spacing w:val="-21"/>
          <w:w w:val="105"/>
        </w:rPr>
        <w:t> </w:t>
      </w:r>
      <w:r>
        <w:rPr>
          <w:color w:val="231F20"/>
          <w:w w:val="105"/>
        </w:rPr>
        <w:t>there</w:t>
      </w:r>
      <w:r>
        <w:rPr>
          <w:color w:val="231F20"/>
          <w:spacing w:val="-20"/>
          <w:w w:val="105"/>
        </w:rPr>
        <w:t> </w:t>
      </w:r>
      <w:r>
        <w:rPr>
          <w:color w:val="231F20"/>
          <w:w w:val="105"/>
        </w:rPr>
        <w:t>is</w:t>
      </w:r>
      <w:r>
        <w:rPr>
          <w:color w:val="231F20"/>
          <w:spacing w:val="-20"/>
          <w:w w:val="105"/>
        </w:rPr>
        <w:t> </w:t>
      </w:r>
      <w:r>
        <w:rPr>
          <w:color w:val="231F20"/>
          <w:w w:val="105"/>
        </w:rPr>
        <w:t>a</w:t>
      </w:r>
      <w:r>
        <w:rPr>
          <w:color w:val="231F20"/>
          <w:spacing w:val="-20"/>
          <w:w w:val="105"/>
        </w:rPr>
        <w:t> </w:t>
      </w:r>
      <w:r>
        <w:rPr>
          <w:color w:val="231F20"/>
          <w:w w:val="105"/>
        </w:rPr>
        <w:t>slight</w:t>
      </w:r>
      <w:r>
        <w:rPr>
          <w:color w:val="231F20"/>
          <w:spacing w:val="-20"/>
          <w:w w:val="105"/>
        </w:rPr>
        <w:t> </w:t>
      </w:r>
      <w:r>
        <w:rPr>
          <w:color w:val="231F20"/>
          <w:w w:val="105"/>
        </w:rPr>
        <w:t>increase</w:t>
      </w:r>
      <w:r>
        <w:rPr>
          <w:color w:val="231F20"/>
          <w:spacing w:val="-20"/>
          <w:w w:val="105"/>
        </w:rPr>
        <w:t> </w:t>
      </w:r>
      <w:r>
        <w:rPr>
          <w:color w:val="231F20"/>
          <w:w w:val="105"/>
        </w:rPr>
        <w:t>in</w:t>
      </w:r>
      <w:r>
        <w:rPr>
          <w:color w:val="231F20"/>
          <w:spacing w:val="-20"/>
          <w:w w:val="105"/>
        </w:rPr>
        <w:t> </w:t>
      </w:r>
      <w:r>
        <w:rPr>
          <w:color w:val="231F20"/>
          <w:w w:val="105"/>
        </w:rPr>
        <w:t>GFR,</w:t>
      </w:r>
      <w:r>
        <w:rPr>
          <w:color w:val="231F20"/>
          <w:spacing w:val="-20"/>
          <w:w w:val="105"/>
        </w:rPr>
        <w:t> </w:t>
      </w:r>
      <w:r>
        <w:rPr>
          <w:color w:val="231F20"/>
          <w:w w:val="105"/>
        </w:rPr>
        <w:t>but</w:t>
      </w:r>
      <w:r>
        <w:rPr>
          <w:color w:val="231F20"/>
          <w:spacing w:val="-20"/>
          <w:w w:val="105"/>
        </w:rPr>
        <w:t> </w:t>
      </w:r>
      <w:r>
        <w:rPr>
          <w:color w:val="231F20"/>
          <w:w w:val="105"/>
        </w:rPr>
        <w:t>with</w:t>
      </w:r>
      <w:r>
        <w:rPr>
          <w:color w:val="231F20"/>
          <w:spacing w:val="-20"/>
          <w:w w:val="105"/>
        </w:rPr>
        <w:t> </w:t>
      </w:r>
      <w:r>
        <w:rPr>
          <w:color w:val="231F20"/>
          <w:w w:val="105"/>
        </w:rPr>
        <w:t>severe constriction, there is a decrease in GFR. The primary cause of the eventual decrease in GFR is as follows: As efferent constriction becomes severe and as plasma protein</w:t>
      </w:r>
      <w:r>
        <w:rPr>
          <w:color w:val="231F20"/>
          <w:spacing w:val="-27"/>
          <w:w w:val="105"/>
        </w:rPr>
        <w:t> </w:t>
      </w:r>
      <w:r>
        <w:rPr>
          <w:color w:val="231F20"/>
          <w:w w:val="105"/>
        </w:rPr>
        <w:t>concentration</w:t>
      </w:r>
      <w:r>
        <w:rPr>
          <w:color w:val="231F20"/>
          <w:spacing w:val="-27"/>
          <w:w w:val="105"/>
        </w:rPr>
        <w:t> </w:t>
      </w:r>
      <w:r>
        <w:rPr>
          <w:color w:val="231F20"/>
          <w:w w:val="105"/>
        </w:rPr>
        <w:t>increases,</w:t>
      </w:r>
      <w:r>
        <w:rPr>
          <w:color w:val="231F20"/>
          <w:spacing w:val="-27"/>
          <w:w w:val="105"/>
        </w:rPr>
        <w:t> </w:t>
      </w:r>
      <w:r>
        <w:rPr>
          <w:color w:val="231F20"/>
          <w:w w:val="105"/>
        </w:rPr>
        <w:t>there</w:t>
      </w:r>
      <w:r>
        <w:rPr>
          <w:color w:val="231F20"/>
          <w:spacing w:val="-27"/>
          <w:w w:val="105"/>
        </w:rPr>
        <w:t> </w:t>
      </w:r>
      <w:r>
        <w:rPr>
          <w:color w:val="231F20"/>
          <w:w w:val="105"/>
        </w:rPr>
        <w:t>is</w:t>
      </w:r>
      <w:r>
        <w:rPr>
          <w:color w:val="231F20"/>
          <w:spacing w:val="-27"/>
          <w:w w:val="105"/>
        </w:rPr>
        <w:t> </w:t>
      </w:r>
      <w:r>
        <w:rPr>
          <w:color w:val="231F20"/>
          <w:w w:val="105"/>
        </w:rPr>
        <w:t>a</w:t>
      </w:r>
      <w:r>
        <w:rPr>
          <w:color w:val="231F20"/>
          <w:spacing w:val="-27"/>
          <w:w w:val="105"/>
        </w:rPr>
        <w:t> </w:t>
      </w:r>
      <w:r>
        <w:rPr>
          <w:color w:val="231F20"/>
          <w:w w:val="105"/>
        </w:rPr>
        <w:t>rapid,</w:t>
      </w:r>
      <w:r>
        <w:rPr>
          <w:color w:val="231F20"/>
          <w:spacing w:val="-27"/>
          <w:w w:val="105"/>
        </w:rPr>
        <w:t> </w:t>
      </w:r>
      <w:r>
        <w:rPr>
          <w:color w:val="231F20"/>
          <w:w w:val="105"/>
        </w:rPr>
        <w:t>nonlinear increase</w:t>
      </w:r>
      <w:r>
        <w:rPr>
          <w:color w:val="231F20"/>
          <w:spacing w:val="-32"/>
          <w:w w:val="105"/>
        </w:rPr>
        <w:t> </w:t>
      </w:r>
      <w:r>
        <w:rPr>
          <w:color w:val="231F20"/>
          <w:w w:val="105"/>
        </w:rPr>
        <w:t>in</w:t>
      </w:r>
      <w:r>
        <w:rPr>
          <w:color w:val="231F20"/>
          <w:spacing w:val="-31"/>
          <w:w w:val="105"/>
        </w:rPr>
        <w:t> </w:t>
      </w:r>
      <w:r>
        <w:rPr>
          <w:color w:val="231F20"/>
          <w:w w:val="105"/>
        </w:rPr>
        <w:t>colloid</w:t>
      </w:r>
      <w:r>
        <w:rPr>
          <w:color w:val="231F20"/>
          <w:spacing w:val="-32"/>
          <w:w w:val="105"/>
        </w:rPr>
        <w:t> </w:t>
      </w:r>
      <w:r>
        <w:rPr>
          <w:color w:val="231F20"/>
          <w:w w:val="105"/>
        </w:rPr>
        <w:t>osmotic</w:t>
      </w:r>
      <w:r>
        <w:rPr>
          <w:color w:val="231F20"/>
          <w:spacing w:val="-31"/>
          <w:w w:val="105"/>
        </w:rPr>
        <w:t> </w:t>
      </w:r>
      <w:r>
        <w:rPr>
          <w:color w:val="231F20"/>
          <w:w w:val="105"/>
        </w:rPr>
        <w:t>pressure</w:t>
      </w:r>
      <w:r>
        <w:rPr>
          <w:color w:val="231F20"/>
          <w:spacing w:val="-32"/>
          <w:w w:val="105"/>
        </w:rPr>
        <w:t> </w:t>
      </w:r>
      <w:r>
        <w:rPr>
          <w:color w:val="231F20"/>
          <w:w w:val="105"/>
        </w:rPr>
        <w:t>caused</w:t>
      </w:r>
      <w:r>
        <w:rPr>
          <w:color w:val="231F20"/>
          <w:spacing w:val="-31"/>
          <w:w w:val="105"/>
        </w:rPr>
        <w:t> </w:t>
      </w:r>
      <w:r>
        <w:rPr>
          <w:color w:val="231F20"/>
          <w:w w:val="105"/>
        </w:rPr>
        <w:t>by</w:t>
      </w:r>
      <w:r>
        <w:rPr>
          <w:color w:val="231F20"/>
          <w:spacing w:val="-32"/>
          <w:w w:val="105"/>
        </w:rPr>
        <w:t> </w:t>
      </w:r>
      <w:r>
        <w:rPr>
          <w:color w:val="231F20"/>
          <w:w w:val="105"/>
        </w:rPr>
        <w:t>the</w:t>
      </w:r>
      <w:r>
        <w:rPr>
          <w:color w:val="231F20"/>
          <w:spacing w:val="-31"/>
          <w:w w:val="105"/>
        </w:rPr>
        <w:t> </w:t>
      </w:r>
      <w:r>
        <w:rPr>
          <w:color w:val="231F20"/>
          <w:w w:val="105"/>
        </w:rPr>
        <w:t>Donnan effect; the higher the protein concentration, the more rapidly the colloid osmotic pressure rises because of</w:t>
      </w:r>
      <w:r>
        <w:rPr>
          <w:color w:val="231F20"/>
          <w:spacing w:val="-26"/>
          <w:w w:val="105"/>
        </w:rPr>
        <w:t> </w:t>
      </w:r>
      <w:r>
        <w:rPr>
          <w:color w:val="231F20"/>
          <w:w w:val="105"/>
        </w:rPr>
        <w:t>the interaction of ions bound to the plasma proteins, </w:t>
      </w:r>
      <w:r>
        <w:rPr>
          <w:color w:val="231F20"/>
          <w:spacing w:val="-4"/>
          <w:w w:val="105"/>
        </w:rPr>
        <w:t>which </w:t>
      </w:r>
      <w:r>
        <w:rPr>
          <w:color w:val="231F20"/>
          <w:w w:val="105"/>
        </w:rPr>
        <w:t>also</w:t>
      </w:r>
      <w:r>
        <w:rPr>
          <w:color w:val="231F20"/>
          <w:spacing w:val="-9"/>
          <w:w w:val="105"/>
        </w:rPr>
        <w:t> </w:t>
      </w:r>
      <w:r>
        <w:rPr>
          <w:color w:val="231F20"/>
          <w:w w:val="105"/>
        </w:rPr>
        <w:t>exert</w:t>
      </w:r>
      <w:r>
        <w:rPr>
          <w:color w:val="231F20"/>
          <w:spacing w:val="-8"/>
          <w:w w:val="105"/>
        </w:rPr>
        <w:t> </w:t>
      </w:r>
      <w:r>
        <w:rPr>
          <w:color w:val="231F20"/>
          <w:w w:val="105"/>
        </w:rPr>
        <w:t>an</w:t>
      </w:r>
      <w:r>
        <w:rPr>
          <w:color w:val="231F20"/>
          <w:spacing w:val="-8"/>
          <w:w w:val="105"/>
        </w:rPr>
        <w:t> </w:t>
      </w:r>
      <w:r>
        <w:rPr>
          <w:color w:val="231F20"/>
          <w:w w:val="105"/>
        </w:rPr>
        <w:t>osmotic</w:t>
      </w:r>
      <w:r>
        <w:rPr>
          <w:color w:val="231F20"/>
          <w:spacing w:val="-9"/>
          <w:w w:val="105"/>
        </w:rPr>
        <w:t> </w:t>
      </w:r>
      <w:r>
        <w:rPr>
          <w:color w:val="231F20"/>
          <w:w w:val="105"/>
        </w:rPr>
        <w:t>effect,</w:t>
      </w:r>
      <w:r>
        <w:rPr>
          <w:color w:val="231F20"/>
          <w:spacing w:val="-8"/>
          <w:w w:val="105"/>
        </w:rPr>
        <w:t> </w:t>
      </w:r>
      <w:r>
        <w:rPr>
          <w:color w:val="231F20"/>
          <w:w w:val="105"/>
        </w:rPr>
        <w:t>as</w:t>
      </w:r>
      <w:r>
        <w:rPr>
          <w:color w:val="231F20"/>
          <w:spacing w:val="-8"/>
          <w:w w:val="105"/>
        </w:rPr>
        <w:t> </w:t>
      </w:r>
      <w:r>
        <w:rPr>
          <w:color w:val="231F20"/>
          <w:w w:val="105"/>
        </w:rPr>
        <w:t>discussed</w:t>
      </w:r>
      <w:r>
        <w:rPr>
          <w:color w:val="231F20"/>
          <w:spacing w:val="-8"/>
          <w:w w:val="105"/>
        </w:rPr>
        <w:t> </w:t>
      </w:r>
      <w:r>
        <w:rPr>
          <w:color w:val="231F20"/>
          <w:w w:val="105"/>
        </w:rPr>
        <w:t>in</w:t>
      </w:r>
      <w:r>
        <w:rPr>
          <w:color w:val="231F20"/>
          <w:spacing w:val="-9"/>
          <w:w w:val="105"/>
        </w:rPr>
        <w:t> </w:t>
      </w:r>
      <w:r>
        <w:rPr>
          <w:color w:val="231F20"/>
          <w:w w:val="105"/>
        </w:rPr>
        <w:t>Chapter</w:t>
      </w:r>
      <w:r>
        <w:rPr>
          <w:color w:val="231F20"/>
          <w:spacing w:val="-8"/>
          <w:w w:val="105"/>
        </w:rPr>
        <w:t> </w:t>
      </w:r>
      <w:r>
        <w:rPr>
          <w:color w:val="231F20"/>
          <w:w w:val="105"/>
        </w:rPr>
        <w:t>16.</w:t>
      </w:r>
    </w:p>
    <w:p>
      <w:pPr>
        <w:pStyle w:val="BodyText"/>
        <w:spacing w:line="249" w:lineRule="auto" w:before="10"/>
        <w:ind w:left="319" w:right="1077" w:firstLine="240"/>
        <w:jc w:val="both"/>
      </w:pPr>
      <w:r>
        <w:rPr>
          <w:color w:val="231F20"/>
          <w:spacing w:val="-11"/>
          <w:w w:val="105"/>
        </w:rPr>
        <w:t>To </w:t>
      </w:r>
      <w:r>
        <w:rPr>
          <w:color w:val="231F20"/>
          <w:w w:val="105"/>
        </w:rPr>
        <w:t>summarize, constriction of afferent arterioles reduces GFR. However, the effect of efferent arteriolar constriction depends on the severity of the constriction; modest</w:t>
      </w:r>
      <w:r>
        <w:rPr>
          <w:color w:val="231F20"/>
          <w:spacing w:val="-22"/>
          <w:w w:val="105"/>
        </w:rPr>
        <w:t> </w:t>
      </w:r>
      <w:r>
        <w:rPr>
          <w:color w:val="231F20"/>
          <w:w w:val="105"/>
        </w:rPr>
        <w:t>efferent</w:t>
      </w:r>
      <w:r>
        <w:rPr>
          <w:color w:val="231F20"/>
          <w:spacing w:val="-22"/>
          <w:w w:val="105"/>
        </w:rPr>
        <w:t> </w:t>
      </w:r>
      <w:r>
        <w:rPr>
          <w:color w:val="231F20"/>
          <w:w w:val="105"/>
        </w:rPr>
        <w:t>constriction</w:t>
      </w:r>
      <w:r>
        <w:rPr>
          <w:color w:val="231F20"/>
          <w:spacing w:val="-21"/>
          <w:w w:val="105"/>
        </w:rPr>
        <w:t> </w:t>
      </w:r>
      <w:r>
        <w:rPr>
          <w:color w:val="231F20"/>
          <w:w w:val="105"/>
        </w:rPr>
        <w:t>raises</w:t>
      </w:r>
      <w:r>
        <w:rPr>
          <w:color w:val="231F20"/>
          <w:spacing w:val="-22"/>
          <w:w w:val="105"/>
        </w:rPr>
        <w:t> </w:t>
      </w:r>
      <w:r>
        <w:rPr>
          <w:color w:val="231F20"/>
          <w:w w:val="105"/>
        </w:rPr>
        <w:t>GFR,</w:t>
      </w:r>
      <w:r>
        <w:rPr>
          <w:color w:val="231F20"/>
          <w:spacing w:val="-22"/>
          <w:w w:val="105"/>
        </w:rPr>
        <w:t> </w:t>
      </w:r>
      <w:r>
        <w:rPr>
          <w:color w:val="231F20"/>
          <w:w w:val="105"/>
        </w:rPr>
        <w:t>but</w:t>
      </w:r>
      <w:r>
        <w:rPr>
          <w:color w:val="231F20"/>
          <w:spacing w:val="-21"/>
          <w:w w:val="105"/>
        </w:rPr>
        <w:t> </w:t>
      </w:r>
      <w:r>
        <w:rPr>
          <w:color w:val="231F20"/>
          <w:w w:val="105"/>
        </w:rPr>
        <w:t>severe</w:t>
      </w:r>
      <w:r>
        <w:rPr>
          <w:color w:val="231F20"/>
          <w:spacing w:val="-22"/>
          <w:w w:val="105"/>
        </w:rPr>
        <w:t> </w:t>
      </w:r>
      <w:r>
        <w:rPr>
          <w:color w:val="231F20"/>
          <w:w w:val="105"/>
        </w:rPr>
        <w:t>effer­ ent constriction (more than a threefold increase in</w:t>
      </w:r>
      <w:r>
        <w:rPr>
          <w:color w:val="231F20"/>
          <w:spacing w:val="-23"/>
          <w:w w:val="105"/>
        </w:rPr>
        <w:t> </w:t>
      </w:r>
      <w:r>
        <w:rPr>
          <w:color w:val="231F20"/>
          <w:w w:val="105"/>
        </w:rPr>
        <w:t>resis­ tance) tends to reduce</w:t>
      </w:r>
      <w:r>
        <w:rPr>
          <w:color w:val="231F20"/>
          <w:spacing w:val="10"/>
          <w:w w:val="105"/>
        </w:rPr>
        <w:t> </w:t>
      </w:r>
      <w:r>
        <w:rPr>
          <w:color w:val="231F20"/>
          <w:w w:val="105"/>
        </w:rPr>
        <w:t>GFR.</w:t>
      </w:r>
    </w:p>
    <w:p>
      <w:pPr>
        <w:pStyle w:val="BodyText"/>
        <w:spacing w:line="249" w:lineRule="auto" w:before="5"/>
        <w:ind w:left="319" w:right="1077" w:firstLine="240"/>
        <w:jc w:val="both"/>
      </w:pPr>
      <w:hyperlink w:history="true" w:anchor="_bookmark30">
        <w:r>
          <w:rPr>
            <w:b/>
            <w:color w:val="0080AC"/>
            <w:w w:val="105"/>
          </w:rPr>
          <w:t>Table 27-2</w:t>
        </w:r>
      </w:hyperlink>
      <w:r>
        <w:rPr>
          <w:b/>
          <w:color w:val="0080AC"/>
          <w:w w:val="105"/>
        </w:rPr>
        <w:t> </w:t>
      </w:r>
      <w:r>
        <w:rPr>
          <w:color w:val="231F20"/>
          <w:w w:val="105"/>
        </w:rPr>
        <w:t>summarizes the factors that can de­ crease GFR.</w:t>
      </w:r>
    </w:p>
    <w:p>
      <w:pPr>
        <w:spacing w:after="0" w:line="249" w:lineRule="auto"/>
        <w:jc w:val="both"/>
        <w:sectPr>
          <w:type w:val="continuous"/>
          <w:pgSz w:w="12240" w:h="15660"/>
          <w:pgMar w:top="0" w:bottom="760" w:left="0" w:right="0"/>
          <w:cols w:num="2" w:equalWidth="0">
            <w:col w:w="6121" w:space="40"/>
            <w:col w:w="6079"/>
          </w:cols>
        </w:sectPr>
      </w:pPr>
    </w:p>
    <w:p>
      <w:pPr>
        <w:pStyle w:val="BodyText"/>
        <w:spacing w:line="249" w:lineRule="auto" w:before="3"/>
        <w:ind w:left="1440"/>
        <w:jc w:val="both"/>
      </w:pPr>
      <w:r>
        <w:rPr>
          <w:color w:val="231F20"/>
          <w:w w:val="105"/>
        </w:rPr>
        <w:t>long</w:t>
      </w:r>
      <w:r>
        <w:rPr>
          <w:color w:val="231F20"/>
          <w:spacing w:val="-17"/>
          <w:w w:val="105"/>
        </w:rPr>
        <w:t> </w:t>
      </w:r>
      <w:r>
        <w:rPr>
          <w:color w:val="231F20"/>
          <w:w w:val="105"/>
        </w:rPr>
        <w:t>as</w:t>
      </w:r>
      <w:r>
        <w:rPr>
          <w:color w:val="231F20"/>
          <w:spacing w:val="-17"/>
          <w:w w:val="105"/>
        </w:rPr>
        <w:t> </w:t>
      </w:r>
      <w:r>
        <w:rPr>
          <w:color w:val="231F20"/>
          <w:w w:val="105"/>
        </w:rPr>
        <w:t>the</w:t>
      </w:r>
      <w:r>
        <w:rPr>
          <w:color w:val="231F20"/>
          <w:spacing w:val="-17"/>
          <w:w w:val="105"/>
        </w:rPr>
        <w:t> </w:t>
      </w:r>
      <w:r>
        <w:rPr>
          <w:color w:val="231F20"/>
          <w:w w:val="105"/>
        </w:rPr>
        <w:t>increase</w:t>
      </w:r>
      <w:r>
        <w:rPr>
          <w:color w:val="231F20"/>
          <w:spacing w:val="-16"/>
          <w:w w:val="105"/>
        </w:rPr>
        <w:t> </w:t>
      </w:r>
      <w:r>
        <w:rPr>
          <w:color w:val="231F20"/>
          <w:w w:val="105"/>
        </w:rPr>
        <w:t>in</w:t>
      </w:r>
      <w:r>
        <w:rPr>
          <w:color w:val="231F20"/>
          <w:spacing w:val="-17"/>
          <w:w w:val="105"/>
        </w:rPr>
        <w:t> </w:t>
      </w:r>
      <w:r>
        <w:rPr>
          <w:color w:val="231F20"/>
          <w:w w:val="105"/>
        </w:rPr>
        <w:t>efferent</w:t>
      </w:r>
      <w:r>
        <w:rPr>
          <w:color w:val="231F20"/>
          <w:spacing w:val="-17"/>
          <w:w w:val="105"/>
        </w:rPr>
        <w:t> </w:t>
      </w:r>
      <w:r>
        <w:rPr>
          <w:color w:val="231F20"/>
          <w:w w:val="105"/>
        </w:rPr>
        <w:t>resistance</w:t>
      </w:r>
      <w:r>
        <w:rPr>
          <w:color w:val="231F20"/>
          <w:spacing w:val="-17"/>
          <w:w w:val="105"/>
        </w:rPr>
        <w:t> </w:t>
      </w:r>
      <w:r>
        <w:rPr>
          <w:color w:val="231F20"/>
          <w:w w:val="105"/>
        </w:rPr>
        <w:t>does</w:t>
      </w:r>
      <w:r>
        <w:rPr>
          <w:color w:val="231F20"/>
          <w:spacing w:val="-16"/>
          <w:w w:val="105"/>
        </w:rPr>
        <w:t> </w:t>
      </w:r>
      <w:r>
        <w:rPr>
          <w:color w:val="231F20"/>
          <w:w w:val="105"/>
        </w:rPr>
        <w:t>not</w:t>
      </w:r>
      <w:r>
        <w:rPr>
          <w:color w:val="231F20"/>
          <w:spacing w:val="-17"/>
          <w:w w:val="105"/>
        </w:rPr>
        <w:t> </w:t>
      </w:r>
      <w:r>
        <w:rPr>
          <w:color w:val="231F20"/>
          <w:w w:val="105"/>
        </w:rPr>
        <w:t>reduce renal blood flow too much, GFR increases slightly </w:t>
      </w:r>
      <w:r>
        <w:rPr>
          <w:color w:val="231F20"/>
          <w:spacing w:val="-3"/>
          <w:w w:val="105"/>
        </w:rPr>
        <w:t>(see </w:t>
      </w:r>
      <w:hyperlink w:history="true" w:anchor="_bookmark28">
        <w:r>
          <w:rPr>
            <w:b/>
            <w:color w:val="0080AC"/>
            <w:w w:val="105"/>
          </w:rPr>
          <w:t>Figure 27-6</w:t>
        </w:r>
      </w:hyperlink>
      <w:r>
        <w:rPr>
          <w:color w:val="231F20"/>
          <w:w w:val="105"/>
        </w:rPr>
        <w:t>). However, because efferent arteriolar</w:t>
      </w:r>
      <w:r>
        <w:rPr>
          <w:color w:val="231F20"/>
          <w:spacing w:val="-27"/>
          <w:w w:val="105"/>
        </w:rPr>
        <w:t> </w:t>
      </w:r>
      <w:r>
        <w:rPr>
          <w:color w:val="231F20"/>
          <w:w w:val="105"/>
        </w:rPr>
        <w:t>con­ striction</w:t>
      </w:r>
      <w:r>
        <w:rPr>
          <w:color w:val="231F20"/>
          <w:spacing w:val="-12"/>
          <w:w w:val="105"/>
        </w:rPr>
        <w:t> </w:t>
      </w:r>
      <w:r>
        <w:rPr>
          <w:color w:val="231F20"/>
          <w:w w:val="105"/>
        </w:rPr>
        <w:t>also</w:t>
      </w:r>
      <w:r>
        <w:rPr>
          <w:color w:val="231F20"/>
          <w:spacing w:val="-11"/>
          <w:w w:val="105"/>
        </w:rPr>
        <w:t> </w:t>
      </w:r>
      <w:r>
        <w:rPr>
          <w:color w:val="231F20"/>
          <w:w w:val="105"/>
        </w:rPr>
        <w:t>reduces</w:t>
      </w:r>
      <w:r>
        <w:rPr>
          <w:color w:val="231F20"/>
          <w:spacing w:val="-11"/>
          <w:w w:val="105"/>
        </w:rPr>
        <w:t> </w:t>
      </w:r>
      <w:r>
        <w:rPr>
          <w:color w:val="231F20"/>
          <w:w w:val="105"/>
        </w:rPr>
        <w:t>renal</w:t>
      </w:r>
      <w:r>
        <w:rPr>
          <w:color w:val="231F20"/>
          <w:spacing w:val="-11"/>
          <w:w w:val="105"/>
        </w:rPr>
        <w:t> </w:t>
      </w:r>
      <w:r>
        <w:rPr>
          <w:color w:val="231F20"/>
          <w:w w:val="105"/>
        </w:rPr>
        <w:t>blood</w:t>
      </w:r>
      <w:r>
        <w:rPr>
          <w:color w:val="231F20"/>
          <w:spacing w:val="-11"/>
          <w:w w:val="105"/>
        </w:rPr>
        <w:t> </w:t>
      </w:r>
      <w:r>
        <w:rPr>
          <w:color w:val="231F20"/>
          <w:spacing w:val="-3"/>
          <w:w w:val="105"/>
        </w:rPr>
        <w:t>flow,</w:t>
      </w:r>
      <w:r>
        <w:rPr>
          <w:color w:val="231F20"/>
          <w:spacing w:val="-11"/>
          <w:w w:val="105"/>
        </w:rPr>
        <w:t> </w:t>
      </w:r>
      <w:r>
        <w:rPr>
          <w:color w:val="231F20"/>
          <w:w w:val="105"/>
        </w:rPr>
        <w:t>filtration</w:t>
      </w:r>
      <w:r>
        <w:rPr>
          <w:color w:val="231F20"/>
          <w:spacing w:val="-11"/>
          <w:w w:val="105"/>
        </w:rPr>
        <w:t> </w:t>
      </w:r>
      <w:r>
        <w:rPr>
          <w:color w:val="231F20"/>
          <w:w w:val="105"/>
        </w:rPr>
        <w:t>fraction</w:t>
      </w:r>
    </w:p>
    <w:p>
      <w:pPr>
        <w:spacing w:before="132"/>
        <w:ind w:left="0" w:right="38" w:firstLine="0"/>
        <w:jc w:val="right"/>
        <w:rPr>
          <w:rFonts w:ascii="Helvetica"/>
          <w:sz w:val="16"/>
        </w:rPr>
      </w:pPr>
      <w:r>
        <w:rPr/>
        <w:br w:type="column"/>
      </w:r>
      <w:r>
        <w:rPr>
          <w:rFonts w:ascii="Helvetica"/>
          <w:color w:val="231F20"/>
          <w:w w:val="95"/>
          <w:sz w:val="16"/>
        </w:rPr>
        <w:t>150</w:t>
      </w:r>
    </w:p>
    <w:p>
      <w:pPr>
        <w:pStyle w:val="BodyText"/>
        <w:rPr>
          <w:rFonts w:ascii="Helvetica"/>
          <w:sz w:val="18"/>
        </w:rPr>
      </w:pPr>
    </w:p>
    <w:p>
      <w:pPr>
        <w:pStyle w:val="BodyText"/>
        <w:spacing w:before="6"/>
        <w:rPr>
          <w:rFonts w:ascii="Helvetica"/>
          <w:sz w:val="19"/>
        </w:rPr>
      </w:pPr>
    </w:p>
    <w:p>
      <w:pPr>
        <w:spacing w:before="0"/>
        <w:ind w:left="0" w:right="38" w:firstLine="0"/>
        <w:jc w:val="right"/>
        <w:rPr>
          <w:rFonts w:ascii="Helvetica"/>
          <w:sz w:val="16"/>
        </w:rPr>
      </w:pPr>
      <w:r>
        <w:rPr/>
        <w:pict>
          <v:shape style="position:absolute;margin-left:334.983398pt;margin-top:-19.442896pt;width:20.55pt;height:78.95pt;mso-position-horizontal-relative:page;mso-position-vertical-relative:paragraph;z-index:251955200" type="#_x0000_t202" filled="false" stroked="false">
            <v:textbox inset="0,0,0,0" style="layout-flow:vertical;mso-layout-flow-alt:bottom-to-top">
              <w:txbxContent>
                <w:p>
                  <w:pPr>
                    <w:spacing w:line="235" w:lineRule="auto" w:before="27"/>
                    <w:ind w:left="308" w:right="2" w:hanging="289"/>
                    <w:jc w:val="left"/>
                    <w:rPr>
                      <w:rFonts w:ascii="Helvetica"/>
                      <w:b/>
                      <w:sz w:val="16"/>
                    </w:rPr>
                  </w:pPr>
                  <w:r>
                    <w:rPr>
                      <w:rFonts w:ascii="Helvetica"/>
                      <w:b/>
                      <w:color w:val="231F20"/>
                      <w:sz w:val="16"/>
                    </w:rPr>
                    <w:t>Glomerular filtration rate (ml/min)</w:t>
                  </w:r>
                </w:p>
              </w:txbxContent>
            </v:textbox>
            <w10:wrap type="none"/>
          </v:shape>
        </w:pict>
      </w:r>
      <w:r>
        <w:rPr>
          <w:rFonts w:ascii="Helvetica"/>
          <w:color w:val="231F20"/>
          <w:w w:val="95"/>
          <w:sz w:val="16"/>
        </w:rPr>
        <w:t>100</w:t>
      </w:r>
    </w:p>
    <w:p>
      <w:pPr>
        <w:spacing w:before="132"/>
        <w:ind w:left="1421" w:right="1771" w:firstLine="0"/>
        <w:jc w:val="center"/>
        <w:rPr>
          <w:rFonts w:ascii="Helvetica"/>
          <w:sz w:val="16"/>
        </w:rPr>
      </w:pPr>
      <w:r>
        <w:rPr/>
        <w:br w:type="column"/>
      </w:r>
      <w:r>
        <w:rPr>
          <w:rFonts w:ascii="Helvetica"/>
          <w:color w:val="231F20"/>
          <w:sz w:val="16"/>
        </w:rPr>
        <w:t>2000</w:t>
      </w:r>
    </w:p>
    <w:p>
      <w:pPr>
        <w:pStyle w:val="BodyText"/>
        <w:rPr>
          <w:rFonts w:ascii="Helvetica"/>
          <w:sz w:val="18"/>
        </w:rPr>
      </w:pPr>
    </w:p>
    <w:p>
      <w:pPr>
        <w:pStyle w:val="BodyText"/>
        <w:spacing w:before="6"/>
        <w:rPr>
          <w:rFonts w:ascii="Helvetica"/>
          <w:sz w:val="19"/>
        </w:rPr>
      </w:pPr>
    </w:p>
    <w:p>
      <w:pPr>
        <w:spacing w:before="0"/>
        <w:ind w:left="1421" w:right="1771" w:firstLine="0"/>
        <w:jc w:val="center"/>
        <w:rPr>
          <w:rFonts w:ascii="Helvetica"/>
          <w:sz w:val="16"/>
        </w:rPr>
      </w:pPr>
      <w:r>
        <w:rPr/>
        <w:pict>
          <v:group style="position:absolute;margin-left:373.863403pt;margin-top:-36.610981pt;width:128.9pt;height:105.7pt;mso-position-horizontal-relative:page;mso-position-vertical-relative:paragraph;z-index:251948032" coordorigin="7477,-732" coordsize="2578,2114">
            <v:shape style="position:absolute;left:-81;top:6670;width:2578;height:1904" coordorigin="-81,6671" coordsize="2578,1904" path="m7558,-518l7477,-518m7558,91l7477,91m7558,699l7477,699m7558,1307l7477,1307m7548,1298l7548,1379m10055,-518l9967,-518m10055,91l9974,91m10055,699l9974,699m10055,1307l9974,1307m9976,1301l9976,1381m8155,1298l8155,1379m8762,1299l8762,1380m9369,1300l9369,1381m9976,-522l9976,1307,7549,1307,7549,-522e" filled="false" stroked="true" strokeweight="1pt" strokecolor="#231f20">
              <v:path arrowok="t"/>
              <v:stroke dashstyle="solid"/>
            </v:shape>
            <v:shape style="position:absolute;left:7922;top:-270;width:2005;height:1130" coordorigin="7922,-270" coordsize="2005,1130" path="m7922,860l8002,207,8102,-129,8290,-252,8632,-270,8999,-175,9426,35,9780,245,9927,340e" filled="false" stroked="true" strokeweight="2pt" strokecolor="#f0535f">
              <v:path arrowok="t"/>
              <v:stroke dashstyle="solid"/>
            </v:shape>
            <v:shape style="position:absolute;left:7817;top:-215;width:2145;height:1300" coordorigin="7817,-215" coordsize="2145,1300" path="m7817,-215l7998,47,8135,212,8298,349,8558,529,8610,564,8665,599,8722,633,8782,667,8843,700,8907,733,8973,766,9041,797,9112,828,9185,859,9261,888,9340,916,9421,944,9504,970,9590,996,9679,1020,9771,1043,9865,1065,9962,1085e" filled="false" stroked="true" strokeweight="2pt" strokecolor="#2062af">
              <v:path arrowok="t"/>
              <v:stroke dashstyle="solid"/>
            </v:shape>
            <v:shape style="position:absolute;left:8181;top:-76;width:109;height:368" coordorigin="8181,-75" coordsize="109,368" path="m8261,253l8258,237,8249,224,8237,216,8221,213,8206,216,8193,224,8184,237,8181,253,8184,268,8193,281,8206,290,8221,293,8237,290,8249,281,8258,268,8261,253m8290,-35l8286,-51,8278,-64,8265,-72,8250,-75,8234,-72,8221,-64,8213,-51,8210,-35,8213,-20,8221,-7,8234,2,8250,5,8265,2,8278,-7,8286,-20,8290,-35e" filled="true" fillcolor="#231f20" stroked="false">
              <v:path arrowok="t"/>
              <v:fill type="solid"/>
            </v:shape>
            <v:shape style="position:absolute;left:8258;top:-15;width:238;height:259" coordorigin="8258,-15" coordsize="238,259" path="m8281,-15l8495,158,8258,244e" filled="false" stroked="true" strokeweight=".75pt" strokecolor="#231f20">
              <v:path arrowok="t"/>
              <v:stroke dashstyle="solid"/>
            </v:shape>
            <v:shape style="position:absolute;left:8501;top:-733;width:1283;height:980" type="#_x0000_t202" filled="false" stroked="false">
              <v:textbox inset="0,0,0,0">
                <w:txbxContent>
                  <w:p>
                    <w:pPr>
                      <w:spacing w:line="235" w:lineRule="auto" w:before="2"/>
                      <w:ind w:left="471" w:right="18" w:firstLine="0"/>
                      <w:jc w:val="center"/>
                      <w:rPr>
                        <w:rFonts w:ascii="Helvetica"/>
                        <w:sz w:val="16"/>
                      </w:rPr>
                    </w:pPr>
                    <w:r>
                      <w:rPr>
                        <w:rFonts w:ascii="Helvetica"/>
                        <w:color w:val="231F20"/>
                        <w:sz w:val="16"/>
                      </w:rPr>
                      <w:t>Glomerular</w:t>
                    </w:r>
                    <w:r>
                      <w:rPr>
                        <w:rFonts w:ascii="Helvetica"/>
                        <w:color w:val="231F20"/>
                        <w:w w:val="99"/>
                        <w:sz w:val="16"/>
                      </w:rPr>
                      <w:t> </w:t>
                    </w:r>
                    <w:r>
                      <w:rPr>
                        <w:rFonts w:ascii="Helvetica"/>
                        <w:color w:val="231F20"/>
                        <w:sz w:val="16"/>
                      </w:rPr>
                      <w:t>filtration rate</w:t>
                    </w:r>
                  </w:p>
                  <w:p>
                    <w:pPr>
                      <w:spacing w:line="240" w:lineRule="auto" w:before="9"/>
                      <w:rPr>
                        <w:rFonts w:ascii="Helvetica"/>
                        <w:sz w:val="21"/>
                      </w:rPr>
                    </w:pPr>
                  </w:p>
                  <w:p>
                    <w:pPr>
                      <w:spacing w:before="0"/>
                      <w:ind w:left="0" w:right="0" w:firstLine="0"/>
                      <w:jc w:val="left"/>
                      <w:rPr>
                        <w:rFonts w:ascii="Helvetica"/>
                        <w:sz w:val="16"/>
                      </w:rPr>
                    </w:pPr>
                    <w:r>
                      <w:rPr>
                        <w:rFonts w:ascii="Helvetica"/>
                        <w:color w:val="231F20"/>
                        <w:sz w:val="16"/>
                      </w:rPr>
                      <w:t>Normal</w:t>
                    </w:r>
                  </w:p>
                </w:txbxContent>
              </v:textbox>
              <w10:wrap type="none"/>
            </v:shape>
            <v:shape style="position:absolute;left:8488;top:920;width:874;height:365" type="#_x0000_t202" filled="false" stroked="false">
              <v:textbox inset="0,0,0,0">
                <w:txbxContent>
                  <w:p>
                    <w:pPr>
                      <w:spacing w:line="235" w:lineRule="auto" w:before="2"/>
                      <w:ind w:left="284" w:right="1" w:hanging="285"/>
                      <w:jc w:val="left"/>
                      <w:rPr>
                        <w:rFonts w:ascii="Helvetica"/>
                        <w:sz w:val="16"/>
                      </w:rPr>
                    </w:pPr>
                    <w:r>
                      <w:rPr>
                        <w:rFonts w:ascii="Helvetica"/>
                        <w:color w:val="231F20"/>
                        <w:sz w:val="16"/>
                      </w:rPr>
                      <w:t>Renal blood flow</w:t>
                    </w:r>
                  </w:p>
                </w:txbxContent>
              </v:textbox>
              <w10:wrap type="none"/>
            </v:shape>
            <w10:wrap type="none"/>
          </v:group>
        </w:pict>
      </w:r>
      <w:r>
        <w:rPr/>
        <w:pict>
          <v:shape style="position:absolute;margin-left:525.672302pt;margin-top:-12.997886pt;width:20.55pt;height:66.05pt;mso-position-horizontal-relative:page;mso-position-vertical-relative:paragraph;z-index:251957248" type="#_x0000_t202" filled="false" stroked="false">
            <v:textbox inset="0,0,0,0" style="layout-flow:vertical;mso-layout-flow-alt:bottom-to-top">
              <w:txbxContent>
                <w:p>
                  <w:pPr>
                    <w:spacing w:line="235" w:lineRule="auto" w:before="27"/>
                    <w:ind w:left="348" w:right="2" w:hanging="329"/>
                    <w:jc w:val="left"/>
                    <w:rPr>
                      <w:rFonts w:ascii="Helvetica"/>
                      <w:b/>
                      <w:sz w:val="16"/>
                    </w:rPr>
                  </w:pPr>
                  <w:r>
                    <w:rPr>
                      <w:rFonts w:ascii="Helvetica"/>
                      <w:b/>
                      <w:color w:val="231F20"/>
                      <w:sz w:val="16"/>
                    </w:rPr>
                    <w:t>Renal blood flow (ml/min)</w:t>
                  </w:r>
                </w:p>
              </w:txbxContent>
            </v:textbox>
            <w10:wrap type="none"/>
          </v:shape>
        </w:pict>
      </w:r>
      <w:r>
        <w:rPr>
          <w:rFonts w:ascii="Helvetica"/>
          <w:color w:val="231F20"/>
          <w:sz w:val="16"/>
        </w:rPr>
        <w:t>1400</w:t>
      </w:r>
    </w:p>
    <w:p>
      <w:pPr>
        <w:spacing w:after="0"/>
        <w:jc w:val="center"/>
        <w:rPr>
          <w:rFonts w:ascii="Helvetica"/>
          <w:sz w:val="16"/>
        </w:rPr>
        <w:sectPr>
          <w:type w:val="continuous"/>
          <w:pgSz w:w="12240" w:h="15660"/>
          <w:pgMar w:top="0" w:bottom="760" w:left="0" w:right="0"/>
          <w:cols w:num="3" w:equalWidth="0">
            <w:col w:w="6121" w:space="40"/>
            <w:col w:w="1304" w:space="1186"/>
            <w:col w:w="3589"/>
          </w:cols>
        </w:sectPr>
      </w:pPr>
    </w:p>
    <w:p>
      <w:pPr>
        <w:pStyle w:val="BodyText"/>
        <w:spacing w:before="6"/>
        <w:rPr>
          <w:rFonts w:ascii="Helvetica"/>
          <w:sz w:val="25"/>
        </w:rPr>
      </w:pPr>
    </w:p>
    <w:p>
      <w:pPr>
        <w:spacing w:after="0"/>
        <w:rPr>
          <w:rFonts w:ascii="Helvetica"/>
          <w:sz w:val="25"/>
        </w:rPr>
        <w:sectPr>
          <w:type w:val="continuous"/>
          <w:pgSz w:w="12240" w:h="15660"/>
          <w:pgMar w:top="0" w:bottom="760" w:left="0" w:right="0"/>
        </w:sectPr>
      </w:pPr>
    </w:p>
    <w:p>
      <w:pPr>
        <w:spacing w:before="99"/>
        <w:ind w:left="7246" w:right="0" w:firstLine="0"/>
        <w:jc w:val="left"/>
        <w:rPr>
          <w:rFonts w:ascii="Helvetica"/>
          <w:sz w:val="16"/>
        </w:rPr>
      </w:pPr>
      <w:r>
        <w:rPr/>
        <w:pict>
          <v:group style="position:absolute;margin-left:78.402206pt;margin-top:1.485292pt;width:221.2pt;height:101.05pt;mso-position-horizontal-relative:page;mso-position-vertical-relative:paragraph;z-index:251939840" coordorigin="1568,30" coordsize="4424,2021">
            <v:shape style="position:absolute;left:3329;top:692;width:1386;height:1353" coordorigin="3330,692" coordsize="1386,1353" path="m4458,692l3587,692,3468,747,3402,806,3367,905,3339,1081,3330,1179,3331,1264,3344,1337,3366,1402,3398,1461,3441,1515,3492,1568,3553,1622,3593,1659,3633,1707,3671,1769,3705,1844,3730,1936,3745,2045,4300,2045,4315,1936,4340,1844,4374,1769,4412,1707,4452,1659,4553,1568,4604,1515,4647,1461,4679,1402,4701,1337,4714,1264,4715,1179,4706,1081,4649,893,4566,773,4491,710,4458,692xe" filled="true" fillcolor="#ffe293" stroked="false">
              <v:path arrowok="t"/>
              <v:fill type="solid"/>
            </v:shape>
            <v:shape style="position:absolute;left:3329;top:692;width:1386;height:1353" coordorigin="3330,692" coordsize="1386,1353" path="m4023,2045l4300,2045,4315,1936,4340,1844,4374,1769,4412,1707,4452,1659,4553,1568,4604,1515,4647,1461,4679,1402,4701,1337,4714,1264,4715,1179,4706,1081,4649,893,4566,773,4491,710,4458,692,4023,692,3587,692,3468,747,3402,806,3367,905,3339,1081,3330,1179,3331,1264,3344,1337,3366,1402,3398,1461,3441,1515,3492,1568,3553,1622,3593,1659,3633,1707,3671,1769,3705,1844,3730,1936,3745,2045,4023,2045xe" filled="false" stroked="true" strokeweight=".5pt" strokecolor="#b7705b">
              <v:path arrowok="t"/>
              <v:stroke dashstyle="solid"/>
            </v:shape>
            <v:shape style="position:absolute;left:2060;top:34;width:3926;height:1127" coordorigin="2061,35" coordsize="3926,1127" path="m4909,754l3104,754,3190,761,3233,778,3252,801,3266,825,3307,878,3354,927,3405,972,3462,1013,3524,1050,3593,1083,3667,1110,3746,1132,3832,1148,3925,1158,4024,1161,4121,1158,4213,1148,4298,1132,4377,1111,4450,1084,4518,1053,4580,1016,4637,976,4688,931,4735,883,4776,831,4793,805,4813,780,4848,762,4909,754xm5987,441l2061,441,2061,754,5987,754,5987,441xm4024,35l3926,38,3836,48,3751,63,3672,84,3599,111,3532,142,3470,178,3413,218,3362,262,3315,310,3273,361,3253,388,3226,414,3181,434,3107,441,4927,441,4867,434,4825,416,4798,392,4777,366,4736,314,4689,266,4638,221,4581,180,4519,144,4451,112,4378,85,4298,63,4213,48,4121,38,4024,35xe" filled="true" fillcolor="#f9b5b2" stroked="false">
              <v:path arrowok="t"/>
              <v:fill type="solid"/>
            </v:shape>
            <v:shape style="position:absolute;left:2060;top:34;width:3926;height:1127" coordorigin="2061,35" coordsize="3926,1127" path="m5987,441l4927,441,4867,434,4825,416,4798,392,4777,366,4736,314,4689,266,4638,221,4581,180,4519,144,4451,112,4378,85,4298,63,4213,48,4121,38,4024,35,3926,38,3836,48,3751,63,3672,84,3599,111,3532,142,3470,178,3413,218,3362,262,3315,310,3273,361,3253,388,3226,414,3181,434,3107,441,2061,441,2061,754,3104,754,3190,761,3233,778,3252,801,3266,825,3307,878,3354,927,3405,972,3462,1013,3524,1050,3593,1083,3667,1110,3746,1132,3832,1148,3925,1158,4024,1161,4121,1158,4213,1148,4298,1132,4377,1111,4450,1084,4518,1053,4580,1016,4637,976,4688,931,4735,883,4776,831,4793,805,4813,780,4848,762,4909,754,5987,754,5987,441xe" filled="false" stroked="true" strokeweight=".5pt" strokecolor="#b7705b">
              <v:path arrowok="t"/>
              <v:stroke dashstyle="solid"/>
            </v:shape>
            <v:line style="position:absolute" from="2420,354" to="2420,237" stroked="true" strokeweight="1pt" strokecolor="#231f20">
              <v:stroke dashstyle="solid"/>
            </v:line>
            <v:shape style="position:absolute;left:2379;top:166;width:82;height:100" coordorigin="2379,167" coordsize="82,100" path="m2420,167l2379,266,2420,243,2451,243,2420,167xm2451,243l2420,243,2460,266,2451,243xe" filled="true" fillcolor="#231f20" stroked="false">
              <v:path arrowok="t"/>
              <v:fill type="solid"/>
            </v:shape>
            <v:line style="position:absolute" from="3873,507" to="3873,623" stroked="true" strokeweight="1pt" strokecolor="#231f20">
              <v:stroke dashstyle="solid"/>
            </v:line>
            <v:shape style="position:absolute;left:3832;top:594;width:82;height:100" coordorigin="3832,594" coordsize="82,100" path="m3832,594l3873,694,3904,618,3873,618,3832,594xm3914,594l3873,618,3904,618,3914,594xe" filled="true" fillcolor="#231f20" stroked="false">
              <v:path arrowok="t"/>
              <v:fill type="solid"/>
            </v:shape>
            <v:line style="position:absolute" from="3813,1377" to="3813,1493" stroked="true" strokeweight="1pt" strokecolor="#231f20">
              <v:stroke dashstyle="solid"/>
            </v:line>
            <v:shape style="position:absolute;left:3772;top:1464;width:82;height:100" coordorigin="3772,1464" coordsize="82,100" path="m3772,1464l3813,1564,3844,1488,3813,1488,3772,1464xm3854,1464l3813,1488,3844,1488,3854,1464xe" filled="true" fillcolor="#231f20" stroked="false">
              <v:path arrowok="t"/>
              <v:fill type="solid"/>
            </v:shape>
            <v:line style="position:absolute" from="2420,841" to="2420,1058" stroked="true" strokeweight="1pt" strokecolor="#231f20">
              <v:stroke dashstyle="solid"/>
            </v:line>
            <v:shape style="position:absolute;left:2379;top:1029;width:82;height:100" coordorigin="2379,1029" coordsize="82,100" path="m2379,1029l2420,1129,2451,1053,2420,1053,2379,1029xm2460,1029l2420,1053,2451,1053,2460,1029xe" filled="true" fillcolor="#231f20" stroked="false">
              <v:path arrowok="t"/>
              <v:fill type="solid"/>
            </v:shape>
            <v:shape style="position:absolute;left:2109;top:442;width:959;height:125" coordorigin="2110,442" coordsize="959,125" path="m3068,442l2110,442,2124,466,2223,513,2300,534,2390,551,2488,562,2589,566,2691,562,2788,551,2878,534,2955,513,3015,490,3068,442xe" filled="true" fillcolor="#f4858e" stroked="false">
              <v:path arrowok="t"/>
              <v:fill type="solid"/>
            </v:shape>
            <v:shape style="position:absolute;left:2109;top:442;width:959;height:125" coordorigin="2110,442" coordsize="959,125" path="m3068,442l3015,490,2955,513,2878,534,2788,551,2691,562,2589,566,2488,562,2390,551,2300,534,2223,513,2163,490,2110,442,3068,442xe" filled="false" stroked="true" strokeweight=".5pt" strokecolor="#b7705b">
              <v:path arrowok="t"/>
              <v:stroke dashstyle="solid"/>
            </v:shape>
            <v:shape style="position:absolute;left:2109;top:630;width:959;height:125" coordorigin="2110,630" coordsize="959,125" path="m2589,630l2488,635,2390,646,2300,663,2223,684,2163,707,2110,755,3068,755,3015,707,2955,684,2878,663,2788,646,2691,635,2589,630xe" filled="true" fillcolor="#f4858e" stroked="false">
              <v:path arrowok="t"/>
              <v:fill type="solid"/>
            </v:shape>
            <v:shape style="position:absolute;left:2109;top:630;width:959;height:125" coordorigin="2110,630" coordsize="959,125" path="m3068,755l3015,707,2955,684,2878,663,2788,646,2691,635,2589,630,2488,635,2390,646,2300,663,2223,684,2163,707,2110,755,3068,755xe" filled="false" stroked="true" strokeweight=".5pt" strokecolor="#b7705b">
              <v:path arrowok="t"/>
              <v:stroke dashstyle="solid"/>
            </v:shape>
            <v:line style="position:absolute" from="5032,469" to="5945,469" stroked="true" strokeweight="2.689pt" strokecolor="#fcd3ce">
              <v:stroke dashstyle="solid"/>
            </v:line>
            <v:shape style="position:absolute;left:5031;top:442;width:913;height:54" coordorigin="5032,442" coordsize="913,54" path="m5032,442l5100,469,5175,480,5269,489,5376,494,5488,496,5601,494,5707,489,5801,480,5877,469,5945,442,5032,442xe" filled="false" stroked="true" strokeweight=".5pt" strokecolor="#b7705b">
              <v:path arrowok="t"/>
              <v:stroke dashstyle="solid"/>
            </v:shape>
            <v:line style="position:absolute" from="5032,728" to="5945,728" stroked="true" strokeweight="2.689pt" strokecolor="#fcd3ce">
              <v:stroke dashstyle="solid"/>
            </v:line>
            <v:shape style="position:absolute;left:5031;top:700;width:913;height:54" coordorigin="5032,701" coordsize="913,54" path="m5032,755l5100,727,5175,717,5269,708,5376,703,5488,701,5601,703,5707,708,5801,717,5877,727,5945,755,5032,755xe" filled="false" stroked="true" strokeweight=".5pt" strokecolor="#b7705b">
              <v:path arrowok="t"/>
              <v:stroke dashstyle="solid"/>
            </v:shape>
            <v:shape style="position:absolute;left:1573;top:490;width:576;height:204" coordorigin="1573,490" coordsize="576,204" path="m1972,490l1972,550,1573,550,1573,634,1972,634,1972,694,2148,592,1972,490xe" filled="true" fillcolor="#ffffff" stroked="false">
              <v:path arrowok="t"/>
              <v:fill type="solid"/>
            </v:shape>
            <v:shape style="position:absolute;left:1573;top:490;width:576;height:204" coordorigin="1573,490" coordsize="576,204" path="m2148,592l1972,694,1972,634,1573,634,1573,550,1972,550,1972,490,2148,592xe" filled="false" stroked="true" strokeweight=".5pt" strokecolor="#231f20">
              <v:path arrowok="t"/>
              <v:stroke dashstyle="solid"/>
            </v:shape>
            <v:shape style="position:absolute;left:2523;top:167;width:223;height:212" type="#_x0000_t202" filled="false" stroked="false">
              <v:textbox inset="0,0,0,0">
                <w:txbxContent>
                  <w:p>
                    <w:pPr>
                      <w:spacing w:before="4"/>
                      <w:ind w:left="0" w:right="0" w:firstLine="0"/>
                      <w:jc w:val="left"/>
                      <w:rPr>
                        <w:rFonts w:ascii="Helvetica"/>
                        <w:b/>
                        <w:sz w:val="16"/>
                      </w:rPr>
                    </w:pPr>
                    <w:r>
                      <w:rPr>
                        <w:rFonts w:ascii="Helvetica"/>
                        <w:b/>
                        <w:color w:val="231F20"/>
                        <w:sz w:val="16"/>
                      </w:rPr>
                      <w:t>R</w:t>
                    </w:r>
                    <w:r>
                      <w:rPr>
                        <w:rFonts w:ascii="Helvetica"/>
                        <w:b/>
                        <w:color w:val="231F20"/>
                        <w:sz w:val="16"/>
                        <w:vertAlign w:val="subscript"/>
                      </w:rPr>
                      <w:t>A</w:t>
                    </w:r>
                  </w:p>
                </w:txbxContent>
              </v:textbox>
              <w10:wrap type="none"/>
            </v:shape>
            <v:shape style="position:absolute;left:3957;top:507;width:221;height:212" type="#_x0000_t202" filled="false" stroked="false">
              <v:textbox inset="0,0,0,0">
                <w:txbxContent>
                  <w:p>
                    <w:pPr>
                      <w:spacing w:before="4"/>
                      <w:ind w:left="0" w:right="0" w:firstLine="0"/>
                      <w:jc w:val="left"/>
                      <w:rPr>
                        <w:rFonts w:ascii="Helvetica"/>
                        <w:b/>
                        <w:sz w:val="16"/>
                      </w:rPr>
                    </w:pPr>
                    <w:r>
                      <w:rPr>
                        <w:rFonts w:ascii="Helvetica"/>
                        <w:b/>
                        <w:color w:val="231F20"/>
                        <w:sz w:val="16"/>
                      </w:rPr>
                      <w:t>P</w:t>
                    </w:r>
                    <w:r>
                      <w:rPr>
                        <w:rFonts w:ascii="Helvetica"/>
                        <w:b/>
                        <w:color w:val="231F20"/>
                        <w:sz w:val="16"/>
                        <w:vertAlign w:val="subscript"/>
                      </w:rPr>
                      <w:t>G</w:t>
                    </w:r>
                  </w:p>
                </w:txbxContent>
              </v:textbox>
              <w10:wrap type="none"/>
            </v:shape>
            <v:shape style="position:absolute;left:2516;top:803;width:456;height:551" type="#_x0000_t202" filled="false" stroked="false">
              <v:textbox inset="0,0,0,0">
                <w:txbxContent>
                  <w:p>
                    <w:pPr>
                      <w:spacing w:line="235" w:lineRule="auto" w:before="7"/>
                      <w:ind w:left="0" w:right="18" w:firstLine="0"/>
                      <w:jc w:val="both"/>
                      <w:rPr>
                        <w:rFonts w:ascii="Helvetica"/>
                        <w:b/>
                        <w:sz w:val="16"/>
                      </w:rPr>
                    </w:pPr>
                    <w:r>
                      <w:rPr>
                        <w:rFonts w:ascii="Helvetica"/>
                        <w:b/>
                        <w:color w:val="231F20"/>
                        <w:sz w:val="16"/>
                      </w:rPr>
                      <w:t>Renal blood flow</w:t>
                    </w:r>
                  </w:p>
                </w:txbxContent>
              </v:textbox>
              <w10:wrap type="none"/>
            </v:shape>
            <v:shape style="position:absolute;left:3897;top:1377;width:358;height:191" type="#_x0000_t202" filled="false" stroked="false">
              <v:textbox inset="0,0,0,0">
                <w:txbxContent>
                  <w:p>
                    <w:pPr>
                      <w:spacing w:before="4"/>
                      <w:ind w:left="0" w:right="0" w:firstLine="0"/>
                      <w:jc w:val="left"/>
                      <w:rPr>
                        <w:rFonts w:ascii="Helvetica"/>
                        <w:b/>
                        <w:sz w:val="16"/>
                      </w:rPr>
                    </w:pPr>
                    <w:r>
                      <w:rPr>
                        <w:rFonts w:ascii="Helvetica"/>
                        <w:b/>
                        <w:color w:val="231F20"/>
                        <w:sz w:val="16"/>
                      </w:rPr>
                      <w:t>GFR</w:t>
                    </w:r>
                  </w:p>
                </w:txbxContent>
              </v:textbox>
              <w10:wrap type="none"/>
            </v:shape>
            <w10:wrap type="none"/>
          </v:group>
        </w:pict>
      </w:r>
      <w:r>
        <w:rPr>
          <w:rFonts w:ascii="Helvetica"/>
          <w:color w:val="231F20"/>
          <w:sz w:val="16"/>
        </w:rPr>
        <w:t>50</w:t>
      </w:r>
    </w:p>
    <w:p>
      <w:pPr>
        <w:pStyle w:val="BodyText"/>
        <w:rPr>
          <w:rFonts w:ascii="Helvetica"/>
          <w:sz w:val="18"/>
        </w:rPr>
      </w:pPr>
    </w:p>
    <w:p>
      <w:pPr>
        <w:pStyle w:val="BodyText"/>
        <w:spacing w:before="6"/>
        <w:rPr>
          <w:rFonts w:ascii="Helvetica"/>
          <w:sz w:val="18"/>
        </w:rPr>
      </w:pPr>
    </w:p>
    <w:p>
      <w:pPr>
        <w:spacing w:before="0"/>
        <w:ind w:left="7334" w:right="0" w:firstLine="0"/>
        <w:jc w:val="left"/>
        <w:rPr>
          <w:rFonts w:ascii="Helvetica"/>
          <w:sz w:val="16"/>
        </w:rPr>
      </w:pPr>
      <w:r>
        <w:rPr>
          <w:rFonts w:ascii="Helvetica"/>
          <w:color w:val="231F20"/>
          <w:w w:val="99"/>
          <w:sz w:val="16"/>
        </w:rPr>
        <w:t>0</w:t>
      </w:r>
    </w:p>
    <w:p>
      <w:pPr>
        <w:tabs>
          <w:tab w:pos="8113" w:val="left" w:leader="none"/>
          <w:tab w:pos="8717" w:val="left" w:leader="none"/>
          <w:tab w:pos="9327" w:val="left" w:leader="none"/>
          <w:tab w:pos="9930" w:val="left" w:leader="none"/>
        </w:tabs>
        <w:spacing w:before="11"/>
        <w:ind w:left="7503" w:right="0" w:firstLine="0"/>
        <w:jc w:val="left"/>
        <w:rPr>
          <w:rFonts w:ascii="Helvetica"/>
          <w:sz w:val="16"/>
        </w:rPr>
      </w:pPr>
      <w:r>
        <w:rPr>
          <w:rFonts w:ascii="Helvetica"/>
          <w:color w:val="231F20"/>
          <w:sz w:val="16"/>
        </w:rPr>
        <w:t>0</w:t>
        <w:tab/>
        <w:t>1</w:t>
        <w:tab/>
        <w:t>2</w:t>
        <w:tab/>
        <w:t>3</w:t>
        <w:tab/>
      </w:r>
      <w:r>
        <w:rPr>
          <w:rFonts w:ascii="Helvetica"/>
          <w:color w:val="231F20"/>
          <w:spacing w:val="-19"/>
          <w:sz w:val="16"/>
        </w:rPr>
        <w:t>4</w:t>
      </w:r>
    </w:p>
    <w:p>
      <w:pPr>
        <w:spacing w:before="99"/>
        <w:ind w:left="31" w:right="0" w:firstLine="0"/>
        <w:jc w:val="left"/>
        <w:rPr>
          <w:rFonts w:ascii="Helvetica"/>
          <w:sz w:val="16"/>
        </w:rPr>
      </w:pPr>
      <w:r>
        <w:rPr/>
        <w:br w:type="column"/>
      </w:r>
      <w:r>
        <w:rPr>
          <w:rFonts w:ascii="Helvetica"/>
          <w:color w:val="231F20"/>
          <w:sz w:val="16"/>
        </w:rPr>
        <w:t>800</w:t>
      </w:r>
    </w:p>
    <w:p>
      <w:pPr>
        <w:pStyle w:val="BodyText"/>
        <w:rPr>
          <w:rFonts w:ascii="Helvetica"/>
          <w:sz w:val="18"/>
        </w:rPr>
      </w:pPr>
    </w:p>
    <w:p>
      <w:pPr>
        <w:pStyle w:val="BodyText"/>
        <w:spacing w:before="6"/>
        <w:rPr>
          <w:rFonts w:ascii="Helvetica"/>
          <w:sz w:val="18"/>
        </w:rPr>
      </w:pPr>
    </w:p>
    <w:p>
      <w:pPr>
        <w:spacing w:before="0"/>
        <w:ind w:left="31" w:right="0" w:firstLine="0"/>
        <w:jc w:val="left"/>
        <w:rPr>
          <w:rFonts w:ascii="Helvetica"/>
          <w:sz w:val="16"/>
        </w:rPr>
      </w:pPr>
      <w:r>
        <w:rPr>
          <w:rFonts w:ascii="Helvetica"/>
          <w:color w:val="231F20"/>
          <w:sz w:val="16"/>
        </w:rPr>
        <w:t>200</w:t>
      </w:r>
    </w:p>
    <w:p>
      <w:pPr>
        <w:spacing w:after="0"/>
        <w:jc w:val="left"/>
        <w:rPr>
          <w:rFonts w:ascii="Helvetica"/>
          <w:sz w:val="16"/>
        </w:rPr>
        <w:sectPr>
          <w:type w:val="continuous"/>
          <w:pgSz w:w="12240" w:h="15660"/>
          <w:pgMar w:top="0" w:bottom="760" w:left="0" w:right="0"/>
          <w:cols w:num="2" w:equalWidth="0">
            <w:col w:w="10021" w:space="40"/>
            <w:col w:w="2179"/>
          </w:cols>
        </w:sectPr>
      </w:pPr>
    </w:p>
    <w:p>
      <w:pPr>
        <w:spacing w:line="235" w:lineRule="auto" w:before="55"/>
        <w:ind w:left="8376" w:right="2369" w:hanging="704"/>
        <w:jc w:val="left"/>
        <w:rPr>
          <w:rFonts w:ascii="Helvetica" w:hAnsi="Helvetica"/>
          <w:b/>
          <w:sz w:val="16"/>
        </w:rPr>
      </w:pPr>
      <w:r>
        <w:rPr>
          <w:rFonts w:ascii="Helvetica" w:hAnsi="Helvetica"/>
          <w:b/>
          <w:color w:val="231F20"/>
          <w:sz w:val="16"/>
        </w:rPr>
        <w:t>Efferent arteriolar resistance (</w:t>
      </w:r>
      <w:r>
        <w:rPr>
          <w:rFonts w:ascii="Ink Free" w:hAnsi="Ink Free"/>
          <w:color w:val="231F20"/>
          <w:sz w:val="16"/>
        </w:rPr>
        <w:t>¥ </w:t>
      </w:r>
      <w:r>
        <w:rPr>
          <w:rFonts w:ascii="Helvetica" w:hAnsi="Helvetica"/>
          <w:b/>
          <w:color w:val="231F20"/>
          <w:sz w:val="16"/>
        </w:rPr>
        <w:t>normal)</w:t>
      </w:r>
    </w:p>
    <w:p>
      <w:pPr>
        <w:pStyle w:val="BodyText"/>
        <w:spacing w:before="9"/>
        <w:rPr>
          <w:rFonts w:ascii="Helvetica"/>
          <w:b/>
          <w:sz w:val="25"/>
        </w:rPr>
      </w:pPr>
    </w:p>
    <w:p>
      <w:pPr>
        <w:spacing w:after="0"/>
        <w:rPr>
          <w:rFonts w:ascii="Helvetica"/>
          <w:sz w:val="25"/>
        </w:rPr>
        <w:sectPr>
          <w:type w:val="continuous"/>
          <w:pgSz w:w="12240" w:h="15660"/>
          <w:pgMar w:top="0" w:bottom="760" w:left="0" w:right="0"/>
        </w:sectPr>
      </w:pPr>
    </w:p>
    <w:p>
      <w:pPr>
        <w:spacing w:before="99"/>
        <w:ind w:left="0" w:right="776" w:firstLine="0"/>
        <w:jc w:val="right"/>
        <w:rPr>
          <w:rFonts w:ascii="Helvetica"/>
          <w:sz w:val="16"/>
        </w:rPr>
      </w:pPr>
      <w:r>
        <w:rPr/>
        <w:pict>
          <v:group style="position:absolute;margin-left:373.863403pt;margin-top:9.123916pt;width:128.9pt;height:95.7pt;mso-position-horizontal-relative:page;mso-position-vertical-relative:paragraph;z-index:251952128" coordorigin="7477,182" coordsize="2578,1914">
            <v:shape style="position:absolute;left:-81;top:4352;width:2578;height:1904" coordorigin="-81,4352" coordsize="2578,1904" path="m7558,197l7477,197m7558,562l7477,562m7558,927l7477,927m7558,1292l7477,1292m7558,1656l7477,1656m7558,2021l7477,2021m7548,2012l7548,2093m10055,197l9967,197m10055,805l9974,805m10055,1413l9974,1413m10055,2021l9974,2021m9976,2015l9976,2096m8155,2013l8155,2094m8762,2013l8762,2094m9369,2014l9369,2095m9976,192l9976,2022,7549,2022,7549,192e" filled="false" stroked="true" strokeweight="1pt" strokecolor="#231f20">
              <v:path arrowok="t"/>
              <v:stroke dashstyle="solid"/>
            </v:shape>
            <v:shape style="position:absolute;left:7862;top:661;width:2010;height:1130" coordorigin="7862,662" coordsize="2010,1130" path="m7862,662l8026,889,8159,1033,8331,1157,8612,1322,8674,1356,8736,1390,8800,1422,8865,1454,8931,1485,8999,1516,9069,1545,9140,1574,9213,1601,9288,1628,9365,1654,9444,1679,9525,1704,9608,1727,9694,1749,9782,1771,9872,1792e" filled="false" stroked="true" strokeweight="2pt" strokecolor="#2062af">
              <v:path arrowok="t"/>
              <v:stroke dashstyle="solid"/>
            </v:shape>
            <v:shape style="position:absolute;left:8119;top:941;width:80;height:80" coordorigin="8119,941" coordsize="80,80" path="m8159,941l8144,944,8131,953,8122,966,8119,981,8122,997,8131,1010,8144,1018,8159,1021,8175,1018,8188,1010,8196,997,8199,981,8196,966,8188,953,8175,944,8159,941xe" filled="true" fillcolor="#231f20" stroked="false">
              <v:path arrowok="t"/>
              <v:fill type="solid"/>
            </v:shape>
            <v:shape style="position:absolute;left:7812;top:451;width:1540;height:1565" coordorigin="7812,452" coordsize="1540,1565" path="m7812,452l8092,1174,8346,1577,8718,1810,9352,2017e" filled="false" stroked="true" strokeweight="2pt" strokecolor="#f0535f">
              <v:path arrowok="t"/>
              <v:stroke dashstyle="solid"/>
            </v:shape>
            <v:shape style="position:absolute;left:8119;top:1047;width:80;height:80" coordorigin="8119,1047" coordsize="80,80" path="m8159,1047l8144,1050,8131,1059,8122,1072,8119,1087,8122,1103,8131,1116,8144,1124,8159,1127,8175,1124,8188,1116,8196,1103,8199,1087,8196,1072,8188,1059,8175,1050,8159,1047xe" filled="true" fillcolor="#231f20" stroked="false">
              <v:path arrowok="t"/>
              <v:fill type="solid"/>
            </v:shape>
            <v:shape style="position:absolute;left:8189;top:989;width:300;height:106" coordorigin="8189,989" coordsize="300,106" path="m8189,989l8489,1033,8195,1094e" filled="false" stroked="true" strokeweight=".75pt" strokecolor="#231f20">
              <v:path arrowok="t"/>
              <v:stroke dashstyle="solid"/>
            </v:shape>
            <v:shape style="position:absolute;left:8495;top:937;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7611;top:1405;width:812;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Glomerular</w:t>
                    </w:r>
                    <w:r>
                      <w:rPr>
                        <w:rFonts w:ascii="Helvetica"/>
                        <w:color w:val="231F20"/>
                        <w:w w:val="99"/>
                        <w:sz w:val="16"/>
                      </w:rPr>
                      <w:t> </w:t>
                    </w:r>
                    <w:r>
                      <w:rPr>
                        <w:rFonts w:ascii="Helvetica"/>
                        <w:color w:val="231F20"/>
                        <w:sz w:val="16"/>
                      </w:rPr>
                      <w:t>filtration rate</w:t>
                    </w:r>
                  </w:p>
                </w:txbxContent>
              </v:textbox>
              <w10:wrap type="none"/>
            </v:shape>
            <v:shape style="position:absolute;left:9058;top:1275;width:874;height:365" type="#_x0000_t202" filled="false" stroked="false">
              <v:textbox inset="0,0,0,0">
                <w:txbxContent>
                  <w:p>
                    <w:pPr>
                      <w:spacing w:line="235" w:lineRule="auto" w:before="2"/>
                      <w:ind w:left="284" w:right="1" w:hanging="285"/>
                      <w:jc w:val="left"/>
                      <w:rPr>
                        <w:rFonts w:ascii="Helvetica"/>
                        <w:sz w:val="16"/>
                      </w:rPr>
                    </w:pPr>
                    <w:r>
                      <w:rPr>
                        <w:rFonts w:ascii="Helvetica"/>
                        <w:color w:val="231F20"/>
                        <w:sz w:val="16"/>
                      </w:rPr>
                      <w:t>Renal blood flow</w:t>
                    </w:r>
                  </w:p>
                </w:txbxContent>
              </v:textbox>
              <w10:wrap type="none"/>
            </v:shape>
            <w10:wrap type="none"/>
          </v:group>
        </w:pict>
      </w:r>
      <w:r>
        <w:rPr/>
        <w:pict>
          <v:shape style="position:absolute;margin-left:334.483398pt;margin-top:16.271908pt;width:20.55pt;height:78.95pt;mso-position-horizontal-relative:page;mso-position-vertical-relative:paragraph;z-index:251954176" type="#_x0000_t202" filled="false" stroked="false">
            <v:textbox inset="0,0,0,0" style="layout-flow:vertical;mso-layout-flow-alt:bottom-to-top">
              <w:txbxContent>
                <w:p>
                  <w:pPr>
                    <w:spacing w:line="235" w:lineRule="auto" w:before="27"/>
                    <w:ind w:left="308" w:right="2" w:hanging="289"/>
                    <w:jc w:val="left"/>
                    <w:rPr>
                      <w:rFonts w:ascii="Helvetica"/>
                      <w:b/>
                      <w:sz w:val="16"/>
                    </w:rPr>
                  </w:pPr>
                  <w:r>
                    <w:rPr>
                      <w:rFonts w:ascii="Helvetica"/>
                      <w:b/>
                      <w:color w:val="231F20"/>
                      <w:sz w:val="16"/>
                    </w:rPr>
                    <w:t>Glomerular filtration rate (ml/min)</w:t>
                  </w:r>
                </w:p>
              </w:txbxContent>
            </v:textbox>
            <w10:wrap type="none"/>
          </v:shape>
        </w:pict>
      </w:r>
      <w:r>
        <w:rPr>
          <w:rFonts w:ascii="Helvetica"/>
          <w:color w:val="231F20"/>
          <w:w w:val="95"/>
          <w:sz w:val="16"/>
        </w:rPr>
        <w:t>250</w:t>
      </w:r>
    </w:p>
    <w:p>
      <w:pPr>
        <w:pStyle w:val="BodyText"/>
        <w:spacing w:before="10"/>
        <w:rPr>
          <w:rFonts w:ascii="Helvetica"/>
          <w:sz w:val="15"/>
        </w:rPr>
      </w:pPr>
    </w:p>
    <w:p>
      <w:pPr>
        <w:spacing w:before="1"/>
        <w:ind w:left="0" w:right="776" w:firstLine="0"/>
        <w:jc w:val="right"/>
        <w:rPr>
          <w:rFonts w:ascii="Helvetica"/>
          <w:sz w:val="16"/>
        </w:rPr>
      </w:pPr>
      <w:r>
        <w:rPr/>
        <w:pict>
          <v:group style="position:absolute;margin-left:78.402206pt;margin-top:1.953906pt;width:221.2pt;height:101.05pt;mso-position-horizontal-relative:page;mso-position-vertical-relative:paragraph;z-index:251944960" coordorigin="1568,39" coordsize="4424,2021">
            <v:shape style="position:absolute;left:3329;top:701;width:1386;height:1353" coordorigin="3330,701" coordsize="1386,1353" path="m4458,701l3587,701,3468,756,3402,815,3367,914,3339,1090,3330,1189,3331,1273,3344,1347,3366,1412,3398,1470,3441,1525,3492,1578,3553,1632,3593,1668,3633,1717,3671,1778,3705,1854,3730,1945,3745,2054,4300,2054,4315,1945,4340,1854,4374,1778,4412,1717,4452,1668,4553,1578,4604,1525,4647,1470,4679,1412,4701,1347,4714,1273,4715,1189,4706,1090,4649,902,4566,783,4491,720,4458,701xe" filled="true" fillcolor="#ffe293" stroked="false">
              <v:path arrowok="t"/>
              <v:fill type="solid"/>
            </v:shape>
            <v:shape style="position:absolute;left:3329;top:701;width:1386;height:1353" coordorigin="3330,701" coordsize="1386,1353" path="m4023,2054l4300,2054,4315,1945,4340,1854,4374,1778,4412,1717,4452,1668,4553,1578,4604,1525,4647,1470,4679,1412,4701,1347,4714,1273,4715,1189,4706,1090,4649,902,4566,783,4491,720,4458,701,4023,701,3587,701,3468,756,3402,815,3367,914,3339,1090,3330,1189,3331,1273,3344,1347,3366,1412,3398,1470,3441,1525,3492,1578,3553,1632,3593,1668,3633,1717,3671,1778,3705,1854,3730,1945,3745,2054,4023,2054xe" filled="false" stroked="true" strokeweight=".5pt" strokecolor="#b7705b">
              <v:path arrowok="t"/>
              <v:stroke dashstyle="solid"/>
            </v:shape>
            <v:shape style="position:absolute;left:2060;top:44;width:3926;height:1127" coordorigin="2061,44" coordsize="3926,1127" path="m4909,764l3104,764,3190,770,3233,787,3252,810,3266,834,3307,887,3354,936,3405,981,3462,1023,3524,1060,3593,1092,3667,1119,3746,1141,3832,1157,3925,1167,4024,1170,4121,1167,4213,1157,4298,1142,4377,1120,4450,1094,4518,1062,4580,1026,4637,985,4688,940,4735,892,4776,841,4793,814,4813,789,4848,771,4909,764xm5987,451l2061,451,2061,764,5987,764,5987,451xm4024,44l3926,47,3836,57,3751,72,3672,94,3599,120,3532,151,3470,187,3413,228,3362,272,3315,320,3273,371,3253,398,3226,424,3181,443,3107,451,4927,451,4867,444,4825,426,4798,401,4777,375,4736,323,4689,275,4638,230,4581,189,4519,153,4451,121,4378,94,4298,73,4213,57,4121,47,4024,44xe" filled="true" fillcolor="#f9b5b2" stroked="false">
              <v:path arrowok="t"/>
              <v:fill type="solid"/>
            </v:shape>
            <v:shape style="position:absolute;left:2060;top:44;width:3926;height:1127" coordorigin="2061,44" coordsize="3926,1127" path="m5987,451l4927,451,4867,444,4825,426,4798,401,4777,375,4736,323,4689,275,4638,230,4581,189,4519,153,4451,121,4378,94,4298,73,4213,57,4121,47,4024,44,3926,47,3836,57,3751,72,3672,94,3599,120,3532,151,3470,187,3413,228,3362,272,3315,320,3273,371,3253,398,3226,424,3181,443,3107,451,2061,451,2061,764,3104,764,3190,770,3233,787,3252,810,3266,834,3307,887,3354,936,3405,981,3462,1023,3524,1060,3593,1092,3667,1119,3746,1141,3832,1157,3925,1167,4024,1170,4121,1167,4213,1157,4298,1142,4377,1120,4450,1094,4518,1062,4580,1026,4637,985,4688,940,4735,892,4776,841,4793,814,4813,789,4848,771,4909,764,5987,764,5987,451xe" filled="false" stroked="true" strokeweight=".5pt" strokecolor="#b7705b">
              <v:path arrowok="t"/>
              <v:stroke dashstyle="solid"/>
            </v:shape>
            <v:line style="position:absolute" from="5353,363" to="5353,247" stroked="true" strokeweight="1pt" strokecolor="#231f20">
              <v:stroke dashstyle="solid"/>
            </v:line>
            <v:shape style="position:absolute;left:5312;top:176;width:82;height:100" coordorigin="5312,176" coordsize="82,100" path="m5353,176l5312,276,5353,252,5384,252,5353,176xm5384,252l5353,252,5394,276,5384,252xe" filled="true" fillcolor="#231f20" stroked="false">
              <v:path arrowok="t"/>
              <v:fill type="solid"/>
            </v:shape>
            <v:line style="position:absolute" from="3873,703" to="3873,587" stroked="true" strokeweight="1pt" strokecolor="#231f20">
              <v:stroke dashstyle="solid"/>
            </v:line>
            <v:shape style="position:absolute;left:3832;top:516;width:82;height:100" coordorigin="3832,516" coordsize="82,100" path="m3873,516l3832,616,3873,592,3904,592,3873,516xm3904,592l3873,592,3914,616,3904,592xe" filled="true" fillcolor="#231f20" stroked="false">
              <v:path arrowok="t"/>
              <v:fill type="solid"/>
            </v:shape>
            <v:line style="position:absolute" from="3813,1573" to="3813,1457" stroked="true" strokeweight="1pt" strokecolor="#231f20">
              <v:stroke dashstyle="solid"/>
            </v:line>
            <v:shape style="position:absolute;left:3772;top:1386;width:82;height:100" coordorigin="3772,1386" coordsize="82,100" path="m3813,1386l3772,1486,3813,1462,3844,1462,3813,1386xm3844,1462l3813,1462,3854,1486,3844,1462xe" filled="true" fillcolor="#231f20" stroked="false">
              <v:path arrowok="t"/>
              <v:fill type="solid"/>
            </v:shape>
            <v:line style="position:absolute" from="2420,851" to="2420,1067" stroked="true" strokeweight="1pt" strokecolor="#231f20">
              <v:stroke dashstyle="solid"/>
            </v:line>
            <v:shape style="position:absolute;left:2379;top:1038;width:82;height:100" coordorigin="2379,1039" coordsize="82,100" path="m2379,1039l2420,1138,2451,1062,2420,1062,2379,1039xm2460,1039l2420,1062,2451,1062,2460,1039xe" filled="true" fillcolor="#231f20" stroked="false">
              <v:path arrowok="t"/>
              <v:fill type="solid"/>
            </v:shape>
            <v:line style="position:absolute" from="2110,478" to="3068,478" stroked="true" strokeweight="2.69pt" strokecolor="#fcd3ce">
              <v:stroke dashstyle="solid"/>
            </v:line>
            <v:shape style="position:absolute;left:2109;top:451;width:959;height:54" coordorigin="2110,452" coordsize="959,54" path="m3068,452l2997,479,2918,490,2819,498,2707,503,2589,505,2471,503,2359,498,2260,490,2181,479,2110,452,3068,452xe" filled="false" stroked="true" strokeweight=".5pt" strokecolor="#b7705b">
              <v:path arrowok="t"/>
              <v:stroke dashstyle="solid"/>
            </v:shape>
            <v:line style="position:absolute" from="2110,737" to="3068,737" stroked="true" strokeweight="2.69pt" strokecolor="#fcd3ce">
              <v:stroke dashstyle="solid"/>
            </v:line>
            <v:shape style="position:absolute;left:2109;top:710;width:959;height:54" coordorigin="2110,710" coordsize="959,54" path="m3068,764l2997,737,2918,726,2819,718,2707,712,2589,710,2471,712,2359,718,2260,726,2181,737,2110,764,3068,764xe" filled="false" stroked="true" strokeweight=".5pt" strokecolor="#b7705b">
              <v:path arrowok="t"/>
              <v:stroke dashstyle="solid"/>
            </v:shape>
            <v:shape style="position:absolute;left:5031;top:451;width:913;height:117" coordorigin="5032,452" coordsize="913,117" path="m5945,452l5032,452,5045,482,5140,529,5213,546,5298,558,5391,566,5488,568,5585,566,5678,558,5763,546,5836,529,5894,507,5945,452xe" filled="true" fillcolor="#f4858e" stroked="false">
              <v:path arrowok="t"/>
              <v:fill type="solid"/>
            </v:shape>
            <v:shape style="position:absolute;left:5031;top:451;width:913;height:117" coordorigin="5032,452" coordsize="913,117" path="m5032,452l5082,507,5140,529,5213,546,5298,558,5391,566,5488,568,5585,566,5678,558,5763,546,5836,529,5894,507,5945,452,5032,452xe" filled="false" stroked="true" strokeweight=".5pt" strokecolor="#b7705b">
              <v:path arrowok="t"/>
              <v:stroke dashstyle="solid"/>
            </v:shape>
            <v:shape style="position:absolute;left:5031;top:647;width:913;height:117" coordorigin="5032,647" coordsize="913,117" path="m5488,647l5391,650,5298,657,5213,670,5140,687,5082,708,5032,764,5945,764,5894,708,5836,687,5763,670,5678,657,5585,650,5488,647xe" filled="true" fillcolor="#f4858e" stroked="false">
              <v:path arrowok="t"/>
              <v:fill type="solid"/>
            </v:shape>
            <v:shape style="position:absolute;left:5031;top:647;width:913;height:117" coordorigin="5032,647" coordsize="913,117" path="m5032,764l5082,708,5140,687,5213,670,5298,657,5391,650,5488,647,5585,650,5678,657,5763,670,5836,687,5894,708,5945,764,5032,764xe" filled="false" stroked="true" strokeweight=".5pt" strokecolor="#b7705b">
              <v:path arrowok="t"/>
              <v:stroke dashstyle="solid"/>
            </v:shape>
            <v:shape style="position:absolute;left:1573;top:499;width:576;height:204" coordorigin="1573,500" coordsize="576,204" path="m1972,500l1972,560,1573,560,1573,644,1972,644,1972,704,2148,602,1972,500xe" filled="true" fillcolor="#ffffff" stroked="false">
              <v:path arrowok="t"/>
              <v:fill type="solid"/>
            </v:shape>
            <v:shape style="position:absolute;left:1573;top:499;width:576;height:204" coordorigin="1573,500" coordsize="576,204" path="m2148,602l1972,704,1972,644,1573,644,1573,560,1972,560,1972,500,2148,602xe" filled="false" stroked="true" strokeweight=".5pt" strokecolor="#231f20">
              <v:path arrowok="t"/>
              <v:stroke dashstyle="solid"/>
            </v:shape>
            <v:shape style="position:absolute;left:5459;top:176;width:216;height:212" type="#_x0000_t202" filled="false" stroked="false">
              <v:textbox inset="0,0,0,0">
                <w:txbxContent>
                  <w:p>
                    <w:pPr>
                      <w:spacing w:before="4"/>
                      <w:ind w:left="0" w:right="0" w:firstLine="0"/>
                      <w:jc w:val="left"/>
                      <w:rPr>
                        <w:rFonts w:ascii="Helvetica"/>
                        <w:b/>
                        <w:sz w:val="16"/>
                      </w:rPr>
                    </w:pPr>
                    <w:r>
                      <w:rPr>
                        <w:rFonts w:ascii="Helvetica"/>
                        <w:b/>
                        <w:color w:val="231F20"/>
                        <w:sz w:val="16"/>
                      </w:rPr>
                      <w:t>R</w:t>
                    </w:r>
                    <w:r>
                      <w:rPr>
                        <w:rFonts w:ascii="Helvetica"/>
                        <w:b/>
                        <w:color w:val="231F20"/>
                        <w:sz w:val="16"/>
                        <w:vertAlign w:val="subscript"/>
                      </w:rPr>
                      <w:t>E</w:t>
                    </w:r>
                  </w:p>
                </w:txbxContent>
              </v:textbox>
              <w10:wrap type="none"/>
            </v:shape>
            <v:shape style="position:absolute;left:3957;top:516;width:221;height:212" type="#_x0000_t202" filled="false" stroked="false">
              <v:textbox inset="0,0,0,0">
                <w:txbxContent>
                  <w:p>
                    <w:pPr>
                      <w:spacing w:before="4"/>
                      <w:ind w:left="0" w:right="0" w:firstLine="0"/>
                      <w:jc w:val="left"/>
                      <w:rPr>
                        <w:rFonts w:ascii="Helvetica"/>
                        <w:b/>
                        <w:sz w:val="16"/>
                      </w:rPr>
                    </w:pPr>
                    <w:r>
                      <w:rPr>
                        <w:rFonts w:ascii="Helvetica"/>
                        <w:b/>
                        <w:color w:val="231F20"/>
                        <w:sz w:val="16"/>
                      </w:rPr>
                      <w:t>P</w:t>
                    </w:r>
                    <w:r>
                      <w:rPr>
                        <w:rFonts w:ascii="Helvetica"/>
                        <w:b/>
                        <w:color w:val="231F20"/>
                        <w:sz w:val="16"/>
                        <w:vertAlign w:val="subscript"/>
                      </w:rPr>
                      <w:t>G</w:t>
                    </w:r>
                  </w:p>
                </w:txbxContent>
              </v:textbox>
              <w10:wrap type="none"/>
            </v:shape>
            <v:shape style="position:absolute;left:2516;top:812;width:456;height:551" type="#_x0000_t202" filled="false" stroked="false">
              <v:textbox inset="0,0,0,0">
                <w:txbxContent>
                  <w:p>
                    <w:pPr>
                      <w:spacing w:line="235" w:lineRule="auto" w:before="7"/>
                      <w:ind w:left="0" w:right="18" w:firstLine="0"/>
                      <w:jc w:val="both"/>
                      <w:rPr>
                        <w:rFonts w:ascii="Helvetica"/>
                        <w:b/>
                        <w:sz w:val="16"/>
                      </w:rPr>
                    </w:pPr>
                    <w:r>
                      <w:rPr>
                        <w:rFonts w:ascii="Helvetica"/>
                        <w:b/>
                        <w:color w:val="231F20"/>
                        <w:sz w:val="16"/>
                      </w:rPr>
                      <w:t>Renal blood flow</w:t>
                    </w:r>
                  </w:p>
                </w:txbxContent>
              </v:textbox>
              <w10:wrap type="none"/>
            </v:shape>
            <v:shape style="position:absolute;left:3897;top:1386;width:358;height:191" type="#_x0000_t202" filled="false" stroked="false">
              <v:textbox inset="0,0,0,0">
                <w:txbxContent>
                  <w:p>
                    <w:pPr>
                      <w:spacing w:before="4"/>
                      <w:ind w:left="0" w:right="0" w:firstLine="0"/>
                      <w:jc w:val="left"/>
                      <w:rPr>
                        <w:rFonts w:ascii="Helvetica"/>
                        <w:b/>
                        <w:sz w:val="16"/>
                      </w:rPr>
                    </w:pPr>
                    <w:r>
                      <w:rPr>
                        <w:rFonts w:ascii="Helvetica"/>
                        <w:b/>
                        <w:color w:val="231F20"/>
                        <w:sz w:val="16"/>
                      </w:rPr>
                      <w:t>GFR</w:t>
                    </w:r>
                  </w:p>
                </w:txbxContent>
              </v:textbox>
              <w10:wrap type="none"/>
            </v:shape>
            <w10:wrap type="none"/>
          </v:group>
        </w:pict>
      </w:r>
      <w:r>
        <w:rPr>
          <w:rFonts w:ascii="Helvetica"/>
          <w:color w:val="231F20"/>
          <w:w w:val="95"/>
          <w:sz w:val="16"/>
        </w:rPr>
        <w:t>100</w:t>
      </w:r>
    </w:p>
    <w:p>
      <w:pPr>
        <w:pStyle w:val="BodyText"/>
        <w:rPr>
          <w:rFonts w:ascii="Helvetica"/>
          <w:sz w:val="16"/>
        </w:rPr>
      </w:pPr>
    </w:p>
    <w:p>
      <w:pPr>
        <w:spacing w:before="0"/>
        <w:ind w:left="0" w:right="776" w:firstLine="0"/>
        <w:jc w:val="right"/>
        <w:rPr>
          <w:rFonts w:ascii="Helvetica"/>
          <w:sz w:val="16"/>
        </w:rPr>
      </w:pPr>
      <w:r>
        <w:rPr>
          <w:rFonts w:ascii="Helvetica"/>
          <w:color w:val="231F20"/>
          <w:w w:val="95"/>
          <w:sz w:val="16"/>
        </w:rPr>
        <w:t>150</w:t>
      </w:r>
    </w:p>
    <w:p>
      <w:pPr>
        <w:pStyle w:val="BodyText"/>
        <w:spacing w:before="4"/>
        <w:rPr>
          <w:rFonts w:ascii="Helvetica"/>
          <w:sz w:val="16"/>
        </w:rPr>
      </w:pPr>
    </w:p>
    <w:p>
      <w:pPr>
        <w:spacing w:before="0"/>
        <w:ind w:left="0" w:right="776" w:firstLine="0"/>
        <w:jc w:val="right"/>
        <w:rPr>
          <w:rFonts w:ascii="Helvetica"/>
          <w:sz w:val="16"/>
        </w:rPr>
      </w:pPr>
      <w:r>
        <w:rPr>
          <w:rFonts w:ascii="Helvetica"/>
          <w:color w:val="231F20"/>
          <w:w w:val="95"/>
          <w:sz w:val="16"/>
        </w:rPr>
        <w:t>100</w:t>
      </w:r>
    </w:p>
    <w:p>
      <w:pPr>
        <w:pStyle w:val="BodyText"/>
        <w:spacing w:before="9"/>
        <w:rPr>
          <w:rFonts w:ascii="Helvetica"/>
          <w:sz w:val="14"/>
        </w:rPr>
      </w:pPr>
    </w:p>
    <w:p>
      <w:pPr>
        <w:spacing w:before="0"/>
        <w:ind w:left="0" w:right="776" w:firstLine="0"/>
        <w:jc w:val="right"/>
        <w:rPr>
          <w:rFonts w:ascii="Helvetica"/>
          <w:sz w:val="16"/>
        </w:rPr>
      </w:pPr>
      <w:r>
        <w:rPr>
          <w:rFonts w:ascii="Helvetica"/>
          <w:color w:val="231F20"/>
          <w:spacing w:val="-1"/>
          <w:sz w:val="16"/>
        </w:rPr>
        <w:t>50</w:t>
      </w:r>
    </w:p>
    <w:p>
      <w:pPr>
        <w:pStyle w:val="BodyText"/>
        <w:spacing w:before="7"/>
        <w:rPr>
          <w:rFonts w:ascii="Helvetica"/>
          <w:sz w:val="15"/>
        </w:rPr>
      </w:pPr>
    </w:p>
    <w:p>
      <w:pPr>
        <w:spacing w:before="0"/>
        <w:ind w:left="7334" w:right="0" w:firstLine="0"/>
        <w:jc w:val="left"/>
        <w:rPr>
          <w:rFonts w:ascii="Helvetica"/>
          <w:sz w:val="16"/>
        </w:rPr>
      </w:pPr>
      <w:r>
        <w:rPr>
          <w:rFonts w:ascii="Helvetica"/>
          <w:color w:val="231F20"/>
          <w:w w:val="99"/>
          <w:sz w:val="16"/>
        </w:rPr>
        <w:t>0</w:t>
      </w:r>
    </w:p>
    <w:p>
      <w:pPr>
        <w:tabs>
          <w:tab w:pos="8113" w:val="left" w:leader="none"/>
        </w:tabs>
        <w:spacing w:before="8"/>
        <w:ind w:left="7503" w:right="0" w:firstLine="0"/>
        <w:jc w:val="left"/>
        <w:rPr>
          <w:rFonts w:ascii="Helvetica"/>
          <w:sz w:val="16"/>
        </w:rPr>
      </w:pPr>
      <w:r>
        <w:rPr>
          <w:rFonts w:ascii="Helvetica"/>
          <w:color w:val="231F20"/>
          <w:sz w:val="16"/>
        </w:rPr>
        <w:t>0</w:t>
        <w:tab/>
      </w:r>
      <w:r>
        <w:rPr>
          <w:rFonts w:ascii="Helvetica"/>
          <w:color w:val="231F20"/>
          <w:spacing w:val="-20"/>
          <w:sz w:val="16"/>
        </w:rPr>
        <w:t>1</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2"/>
        <w:rPr>
          <w:rFonts w:ascii="Helvetica"/>
          <w:sz w:val="22"/>
        </w:rPr>
      </w:pPr>
    </w:p>
    <w:p>
      <w:pPr>
        <w:tabs>
          <w:tab w:pos="1085" w:val="left" w:leader="none"/>
          <w:tab w:pos="1688" w:val="left" w:leader="none"/>
        </w:tabs>
        <w:spacing w:before="0"/>
        <w:ind w:left="475" w:right="0" w:firstLine="0"/>
        <w:jc w:val="left"/>
        <w:rPr>
          <w:rFonts w:ascii="Helvetica"/>
          <w:sz w:val="16"/>
        </w:rPr>
      </w:pPr>
      <w:r>
        <w:rPr>
          <w:rFonts w:ascii="Helvetica"/>
          <w:color w:val="231F20"/>
          <w:sz w:val="16"/>
        </w:rPr>
        <w:t>2</w:t>
        <w:tab/>
        <w:t>3</w:t>
        <w:tab/>
      </w:r>
      <w:r>
        <w:rPr>
          <w:rFonts w:ascii="Helvetica"/>
          <w:color w:val="231F20"/>
          <w:spacing w:val="-20"/>
          <w:sz w:val="16"/>
        </w:rPr>
        <w:t>4</w:t>
      </w:r>
    </w:p>
    <w:p>
      <w:pPr>
        <w:spacing w:before="99"/>
        <w:ind w:left="41" w:right="0" w:firstLine="0"/>
        <w:jc w:val="left"/>
        <w:rPr>
          <w:rFonts w:ascii="Helvetica"/>
          <w:sz w:val="16"/>
        </w:rPr>
      </w:pPr>
      <w:r>
        <w:rPr/>
        <w:br w:type="column"/>
      </w:r>
      <w:r>
        <w:rPr>
          <w:rFonts w:ascii="Helvetica"/>
          <w:color w:val="231F20"/>
          <w:sz w:val="16"/>
        </w:rPr>
        <w:t>2000</w:t>
      </w:r>
    </w:p>
    <w:p>
      <w:pPr>
        <w:pStyle w:val="BodyText"/>
        <w:rPr>
          <w:rFonts w:ascii="Helvetica"/>
          <w:sz w:val="18"/>
        </w:rPr>
      </w:pPr>
    </w:p>
    <w:p>
      <w:pPr>
        <w:pStyle w:val="BodyText"/>
        <w:spacing w:before="6"/>
        <w:rPr>
          <w:rFonts w:ascii="Helvetica"/>
          <w:sz w:val="19"/>
        </w:rPr>
      </w:pPr>
    </w:p>
    <w:p>
      <w:pPr>
        <w:spacing w:before="0"/>
        <w:ind w:left="41" w:right="0" w:firstLine="0"/>
        <w:jc w:val="left"/>
        <w:rPr>
          <w:rFonts w:ascii="Helvetica"/>
          <w:sz w:val="16"/>
        </w:rPr>
      </w:pPr>
      <w:r>
        <w:rPr/>
        <w:pict>
          <v:shape style="position:absolute;margin-left:526.172302pt;margin-top:-12.997096pt;width:20.55pt;height:66.05pt;mso-position-horizontal-relative:page;mso-position-vertical-relative:paragraph;z-index:251956224" type="#_x0000_t202" filled="false" stroked="false">
            <v:textbox inset="0,0,0,0" style="layout-flow:vertical;mso-layout-flow-alt:bottom-to-top">
              <w:txbxContent>
                <w:p>
                  <w:pPr>
                    <w:spacing w:line="235" w:lineRule="auto" w:before="27"/>
                    <w:ind w:left="348" w:right="2" w:hanging="329"/>
                    <w:jc w:val="left"/>
                    <w:rPr>
                      <w:rFonts w:ascii="Helvetica"/>
                      <w:b/>
                      <w:sz w:val="16"/>
                    </w:rPr>
                  </w:pPr>
                  <w:r>
                    <w:rPr>
                      <w:rFonts w:ascii="Helvetica"/>
                      <w:b/>
                      <w:color w:val="231F20"/>
                      <w:sz w:val="16"/>
                    </w:rPr>
                    <w:t>Renal blood flow (ml/min)</w:t>
                  </w:r>
                </w:p>
              </w:txbxContent>
            </v:textbox>
            <w10:wrap type="none"/>
          </v:shape>
        </w:pict>
      </w:r>
      <w:r>
        <w:rPr>
          <w:rFonts w:ascii="Helvetica"/>
          <w:color w:val="231F20"/>
          <w:sz w:val="16"/>
        </w:rPr>
        <w:t>1400</w:t>
      </w:r>
    </w:p>
    <w:p>
      <w:pPr>
        <w:pStyle w:val="BodyText"/>
        <w:rPr>
          <w:rFonts w:ascii="Helvetica"/>
          <w:sz w:val="18"/>
        </w:rPr>
      </w:pPr>
    </w:p>
    <w:p>
      <w:pPr>
        <w:pStyle w:val="BodyText"/>
        <w:spacing w:before="7"/>
        <w:rPr>
          <w:rFonts w:ascii="Helvetica"/>
          <w:sz w:val="18"/>
        </w:rPr>
      </w:pPr>
    </w:p>
    <w:p>
      <w:pPr>
        <w:spacing w:before="0"/>
        <w:ind w:left="41" w:right="0" w:firstLine="0"/>
        <w:jc w:val="left"/>
        <w:rPr>
          <w:rFonts w:ascii="Helvetica"/>
          <w:sz w:val="16"/>
        </w:rPr>
      </w:pPr>
      <w:r>
        <w:rPr>
          <w:rFonts w:ascii="Helvetica"/>
          <w:color w:val="231F20"/>
          <w:sz w:val="16"/>
        </w:rPr>
        <w:t>800</w:t>
      </w:r>
    </w:p>
    <w:p>
      <w:pPr>
        <w:pStyle w:val="BodyText"/>
        <w:rPr>
          <w:rFonts w:ascii="Helvetica"/>
          <w:sz w:val="18"/>
        </w:rPr>
      </w:pPr>
    </w:p>
    <w:p>
      <w:pPr>
        <w:pStyle w:val="BodyText"/>
        <w:spacing w:before="6"/>
        <w:rPr>
          <w:rFonts w:ascii="Helvetica"/>
          <w:sz w:val="18"/>
        </w:rPr>
      </w:pPr>
    </w:p>
    <w:p>
      <w:pPr>
        <w:spacing w:before="0"/>
        <w:ind w:left="41" w:right="0" w:firstLine="0"/>
        <w:jc w:val="left"/>
        <w:rPr>
          <w:rFonts w:ascii="Helvetica"/>
          <w:sz w:val="16"/>
        </w:rPr>
      </w:pPr>
      <w:r>
        <w:rPr>
          <w:rFonts w:ascii="Helvetica"/>
          <w:color w:val="231F20"/>
          <w:sz w:val="16"/>
        </w:rPr>
        <w:t>200</w:t>
      </w:r>
    </w:p>
    <w:p>
      <w:pPr>
        <w:spacing w:after="0"/>
        <w:jc w:val="left"/>
        <w:rPr>
          <w:rFonts w:ascii="Helvetica"/>
          <w:sz w:val="16"/>
        </w:rPr>
        <w:sectPr>
          <w:type w:val="continuous"/>
          <w:pgSz w:w="12240" w:h="15660"/>
          <w:pgMar w:top="0" w:bottom="760" w:left="0" w:right="0"/>
          <w:cols w:num="3" w:equalWidth="0">
            <w:col w:w="8203" w:space="40"/>
            <w:col w:w="1778" w:space="39"/>
            <w:col w:w="2180"/>
          </w:cols>
        </w:sectPr>
      </w:pPr>
    </w:p>
    <w:p>
      <w:pPr>
        <w:pStyle w:val="BodyText"/>
        <w:spacing w:before="8"/>
        <w:rPr>
          <w:rFonts w:ascii="Helvetica"/>
          <w:sz w:val="26"/>
        </w:rPr>
      </w:pPr>
      <w:r>
        <w:rPr/>
        <w:pict>
          <v:group style="position:absolute;margin-left:0pt;margin-top:0pt;width:612pt;height:180pt;mso-position-horizontal-relative:page;mso-position-vertical-relative:page;z-index:-27347148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5078" w:right="0" w:firstLine="0"/>
                      <w:jc w:val="left"/>
                      <w:rPr>
                        <w:rFonts w:ascii="Trebuchet MS"/>
                        <w:sz w:val="18"/>
                      </w:rPr>
                    </w:pPr>
                    <w:r>
                      <w:rPr>
                        <w:rFonts w:ascii="Trebuchet MS"/>
                        <w:b/>
                        <w:color w:val="231F20"/>
                        <w:w w:val="105"/>
                        <w:sz w:val="18"/>
                      </w:rPr>
                      <w:t>Chapter 27 </w:t>
                    </w:r>
                    <w:r>
                      <w:rPr>
                        <w:rFonts w:ascii="Trebuchet MS"/>
                        <w:color w:val="231F20"/>
                        <w:w w:val="105"/>
                        <w:sz w:val="18"/>
                      </w:rPr>
                      <w:t>Glomerular Filtration, Renal Blood Flow, and Their Control</w:t>
                    </w:r>
                  </w:p>
                </w:txbxContent>
              </v:textbox>
              <v:fill type="solid"/>
              <w10:wrap type="none"/>
            </v:shape>
            <w10:wrap type="none"/>
          </v:group>
        </w:pict>
      </w:r>
    </w:p>
    <w:p>
      <w:pPr>
        <w:spacing w:line="247" w:lineRule="auto" w:before="0"/>
        <w:ind w:left="1440" w:right="0" w:firstLine="0"/>
        <w:jc w:val="both"/>
        <w:rPr>
          <w:rFonts w:ascii="Arial"/>
          <w:sz w:val="16"/>
        </w:rPr>
      </w:pPr>
      <w:bookmarkStart w:name="_bookmark28" w:id="29"/>
      <w:bookmarkEnd w:id="29"/>
      <w:r>
        <w:rPr/>
      </w:r>
      <w:r>
        <w:rPr>
          <w:rFonts w:ascii="Trebuchet MS"/>
          <w:b/>
          <w:color w:val="231F20"/>
          <w:sz w:val="16"/>
        </w:rPr>
        <w:t>Figure</w:t>
      </w:r>
      <w:r>
        <w:rPr>
          <w:rFonts w:ascii="Trebuchet MS"/>
          <w:b/>
          <w:color w:val="231F20"/>
          <w:spacing w:val="-18"/>
          <w:sz w:val="16"/>
        </w:rPr>
        <w:t> </w:t>
      </w:r>
      <w:r>
        <w:rPr>
          <w:rFonts w:ascii="Trebuchet MS"/>
          <w:b/>
          <w:color w:val="231F20"/>
          <w:sz w:val="16"/>
        </w:rPr>
        <w:t>27-6.</w:t>
      </w:r>
      <w:r>
        <w:rPr>
          <w:rFonts w:ascii="Trebuchet MS"/>
          <w:b/>
          <w:color w:val="231F20"/>
          <w:spacing w:val="-5"/>
          <w:sz w:val="16"/>
        </w:rPr>
        <w:t> </w:t>
      </w:r>
      <w:r>
        <w:rPr>
          <w:rFonts w:ascii="Arial"/>
          <w:color w:val="231F20"/>
          <w:sz w:val="16"/>
        </w:rPr>
        <w:t>Effect</w:t>
      </w:r>
      <w:r>
        <w:rPr>
          <w:rFonts w:ascii="Arial"/>
          <w:color w:val="231F20"/>
          <w:spacing w:val="-13"/>
          <w:sz w:val="16"/>
        </w:rPr>
        <w:t> </w:t>
      </w:r>
      <w:r>
        <w:rPr>
          <w:rFonts w:ascii="Arial"/>
          <w:color w:val="231F20"/>
          <w:sz w:val="16"/>
        </w:rPr>
        <w:t>of</w:t>
      </w:r>
      <w:r>
        <w:rPr>
          <w:rFonts w:ascii="Arial"/>
          <w:color w:val="231F20"/>
          <w:spacing w:val="-14"/>
          <w:sz w:val="16"/>
        </w:rPr>
        <w:t> </w:t>
      </w:r>
      <w:r>
        <w:rPr>
          <w:rFonts w:ascii="Arial"/>
          <w:color w:val="231F20"/>
          <w:sz w:val="16"/>
        </w:rPr>
        <w:t>increases</w:t>
      </w:r>
      <w:r>
        <w:rPr>
          <w:rFonts w:ascii="Arial"/>
          <w:color w:val="231F20"/>
          <w:spacing w:val="-14"/>
          <w:sz w:val="16"/>
        </w:rPr>
        <w:t> </w:t>
      </w:r>
      <w:r>
        <w:rPr>
          <w:rFonts w:ascii="Arial"/>
          <w:color w:val="231F20"/>
          <w:sz w:val="16"/>
        </w:rPr>
        <w:t>in</w:t>
      </w:r>
      <w:r>
        <w:rPr>
          <w:rFonts w:ascii="Arial"/>
          <w:color w:val="231F20"/>
          <w:spacing w:val="-14"/>
          <w:sz w:val="16"/>
        </w:rPr>
        <w:t> </w:t>
      </w:r>
      <w:r>
        <w:rPr>
          <w:rFonts w:ascii="Arial"/>
          <w:color w:val="231F20"/>
          <w:sz w:val="16"/>
        </w:rPr>
        <w:t>afferent</w:t>
      </w:r>
      <w:r>
        <w:rPr>
          <w:rFonts w:ascii="Arial"/>
          <w:color w:val="231F20"/>
          <w:spacing w:val="-14"/>
          <w:sz w:val="16"/>
        </w:rPr>
        <w:t> </w:t>
      </w:r>
      <w:r>
        <w:rPr>
          <w:rFonts w:ascii="Arial"/>
          <w:color w:val="231F20"/>
          <w:sz w:val="16"/>
        </w:rPr>
        <w:t>arteriolar</w:t>
      </w:r>
      <w:r>
        <w:rPr>
          <w:rFonts w:ascii="Arial"/>
          <w:color w:val="231F20"/>
          <w:spacing w:val="-13"/>
          <w:sz w:val="16"/>
        </w:rPr>
        <w:t> </w:t>
      </w:r>
      <w:r>
        <w:rPr>
          <w:rFonts w:ascii="Arial"/>
          <w:color w:val="231F20"/>
          <w:sz w:val="16"/>
        </w:rPr>
        <w:t>resistance</w:t>
      </w:r>
      <w:r>
        <w:rPr>
          <w:rFonts w:ascii="Arial"/>
          <w:color w:val="231F20"/>
          <w:spacing w:val="-14"/>
          <w:sz w:val="16"/>
        </w:rPr>
        <w:t> </w:t>
      </w:r>
      <w:r>
        <w:rPr>
          <w:rFonts w:ascii="Arial"/>
          <w:color w:val="231F20"/>
          <w:spacing w:val="-4"/>
          <w:sz w:val="16"/>
        </w:rPr>
        <w:t>(</w:t>
      </w:r>
      <w:r>
        <w:rPr>
          <w:rFonts w:ascii="Lucida Sans"/>
          <w:i/>
          <w:color w:val="231F20"/>
          <w:spacing w:val="-4"/>
          <w:sz w:val="16"/>
        </w:rPr>
        <w:t>R</w:t>
      </w:r>
      <w:r>
        <w:rPr>
          <w:rFonts w:ascii="Lucida Sans"/>
          <w:i/>
          <w:color w:val="231F20"/>
          <w:spacing w:val="-4"/>
          <w:position w:val="-1"/>
          <w:sz w:val="9"/>
        </w:rPr>
        <w:t>A</w:t>
      </w:r>
      <w:r>
        <w:rPr>
          <w:rFonts w:ascii="Lucida Sans"/>
          <w:i/>
          <w:color w:val="231F20"/>
          <w:spacing w:val="-4"/>
          <w:sz w:val="16"/>
        </w:rPr>
        <w:t>, </w:t>
      </w:r>
      <w:r>
        <w:rPr>
          <w:rFonts w:ascii="Arial"/>
          <w:color w:val="231F20"/>
          <w:sz w:val="16"/>
        </w:rPr>
        <w:t>top</w:t>
      </w:r>
      <w:r>
        <w:rPr>
          <w:rFonts w:ascii="Arial"/>
          <w:color w:val="231F20"/>
          <w:spacing w:val="-20"/>
          <w:sz w:val="16"/>
        </w:rPr>
        <w:t> </w:t>
      </w:r>
      <w:r>
        <w:rPr>
          <w:rFonts w:ascii="Arial"/>
          <w:color w:val="231F20"/>
          <w:sz w:val="16"/>
        </w:rPr>
        <w:t>panel)</w:t>
      </w:r>
      <w:r>
        <w:rPr>
          <w:rFonts w:ascii="Arial"/>
          <w:color w:val="231F20"/>
          <w:spacing w:val="-19"/>
          <w:sz w:val="16"/>
        </w:rPr>
        <w:t> </w:t>
      </w:r>
      <w:r>
        <w:rPr>
          <w:rFonts w:ascii="Arial"/>
          <w:color w:val="231F20"/>
          <w:sz w:val="16"/>
        </w:rPr>
        <w:t>or</w:t>
      </w:r>
      <w:r>
        <w:rPr>
          <w:rFonts w:ascii="Arial"/>
          <w:color w:val="231F20"/>
          <w:spacing w:val="-19"/>
          <w:sz w:val="16"/>
        </w:rPr>
        <w:t> </w:t>
      </w:r>
      <w:r>
        <w:rPr>
          <w:rFonts w:ascii="Arial"/>
          <w:color w:val="231F20"/>
          <w:sz w:val="16"/>
        </w:rPr>
        <w:t>efferent</w:t>
      </w:r>
      <w:r>
        <w:rPr>
          <w:rFonts w:ascii="Arial"/>
          <w:color w:val="231F20"/>
          <w:spacing w:val="-19"/>
          <w:sz w:val="16"/>
        </w:rPr>
        <w:t> </w:t>
      </w:r>
      <w:r>
        <w:rPr>
          <w:rFonts w:ascii="Arial"/>
          <w:color w:val="231F20"/>
          <w:sz w:val="16"/>
        </w:rPr>
        <w:t>arteriolar</w:t>
      </w:r>
      <w:r>
        <w:rPr>
          <w:rFonts w:ascii="Arial"/>
          <w:color w:val="231F20"/>
          <w:spacing w:val="-19"/>
          <w:sz w:val="16"/>
        </w:rPr>
        <w:t> </w:t>
      </w:r>
      <w:r>
        <w:rPr>
          <w:rFonts w:ascii="Arial"/>
          <w:color w:val="231F20"/>
          <w:sz w:val="16"/>
        </w:rPr>
        <w:t>resistance</w:t>
      </w:r>
      <w:r>
        <w:rPr>
          <w:rFonts w:ascii="Arial"/>
          <w:color w:val="231F20"/>
          <w:spacing w:val="-19"/>
          <w:sz w:val="16"/>
        </w:rPr>
        <w:t> </w:t>
      </w:r>
      <w:r>
        <w:rPr>
          <w:rFonts w:ascii="Arial"/>
          <w:color w:val="231F20"/>
          <w:sz w:val="16"/>
        </w:rPr>
        <w:t>(</w:t>
      </w:r>
      <w:r>
        <w:rPr>
          <w:rFonts w:ascii="Lucida Sans"/>
          <w:i/>
          <w:color w:val="231F20"/>
          <w:sz w:val="16"/>
        </w:rPr>
        <w:t>R</w:t>
      </w:r>
      <w:r>
        <w:rPr>
          <w:rFonts w:ascii="Lucida Sans"/>
          <w:i/>
          <w:color w:val="231F20"/>
          <w:position w:val="-1"/>
          <w:sz w:val="9"/>
        </w:rPr>
        <w:t>E</w:t>
      </w:r>
      <w:r>
        <w:rPr>
          <w:rFonts w:ascii="Lucida Sans"/>
          <w:i/>
          <w:color w:val="231F20"/>
          <w:sz w:val="16"/>
        </w:rPr>
        <w:t>,</w:t>
      </w:r>
      <w:r>
        <w:rPr>
          <w:rFonts w:ascii="Lucida Sans"/>
          <w:i/>
          <w:color w:val="231F20"/>
          <w:spacing w:val="-25"/>
          <w:sz w:val="16"/>
        </w:rPr>
        <w:t> </w:t>
      </w:r>
      <w:r>
        <w:rPr>
          <w:rFonts w:ascii="Arial"/>
          <w:color w:val="231F20"/>
          <w:sz w:val="16"/>
        </w:rPr>
        <w:t>bottom</w:t>
      </w:r>
      <w:r>
        <w:rPr>
          <w:rFonts w:ascii="Arial"/>
          <w:color w:val="231F20"/>
          <w:spacing w:val="-20"/>
          <w:sz w:val="16"/>
        </w:rPr>
        <w:t> </w:t>
      </w:r>
      <w:r>
        <w:rPr>
          <w:rFonts w:ascii="Arial"/>
          <w:color w:val="231F20"/>
          <w:sz w:val="16"/>
        </w:rPr>
        <w:t>panel)</w:t>
      </w:r>
      <w:r>
        <w:rPr>
          <w:rFonts w:ascii="Arial"/>
          <w:color w:val="231F20"/>
          <w:spacing w:val="-19"/>
          <w:sz w:val="16"/>
        </w:rPr>
        <w:t> </w:t>
      </w:r>
      <w:r>
        <w:rPr>
          <w:rFonts w:ascii="Arial"/>
          <w:color w:val="231F20"/>
          <w:sz w:val="16"/>
        </w:rPr>
        <w:t>on</w:t>
      </w:r>
      <w:r>
        <w:rPr>
          <w:rFonts w:ascii="Arial"/>
          <w:color w:val="231F20"/>
          <w:spacing w:val="-19"/>
          <w:sz w:val="16"/>
        </w:rPr>
        <w:t> </w:t>
      </w:r>
      <w:r>
        <w:rPr>
          <w:rFonts w:ascii="Arial"/>
          <w:color w:val="231F20"/>
          <w:spacing w:val="-4"/>
          <w:sz w:val="16"/>
        </w:rPr>
        <w:t>renal </w:t>
      </w:r>
      <w:r>
        <w:rPr>
          <w:rFonts w:ascii="Arial"/>
          <w:color w:val="231F20"/>
          <w:sz w:val="16"/>
        </w:rPr>
        <w:t>blood</w:t>
      </w:r>
      <w:r>
        <w:rPr>
          <w:rFonts w:ascii="Arial"/>
          <w:color w:val="231F20"/>
          <w:spacing w:val="-6"/>
          <w:sz w:val="16"/>
        </w:rPr>
        <w:t> </w:t>
      </w:r>
      <w:r>
        <w:rPr>
          <w:rFonts w:ascii="Arial"/>
          <w:color w:val="231F20"/>
          <w:sz w:val="16"/>
        </w:rPr>
        <w:t>flow,</w:t>
      </w:r>
      <w:r>
        <w:rPr>
          <w:rFonts w:ascii="Arial"/>
          <w:color w:val="231F20"/>
          <w:spacing w:val="-5"/>
          <w:sz w:val="16"/>
        </w:rPr>
        <w:t> </w:t>
      </w:r>
      <w:r>
        <w:rPr>
          <w:rFonts w:ascii="Arial"/>
          <w:color w:val="231F20"/>
          <w:sz w:val="16"/>
        </w:rPr>
        <w:t>glomerular</w:t>
      </w:r>
      <w:r>
        <w:rPr>
          <w:rFonts w:ascii="Arial"/>
          <w:color w:val="231F20"/>
          <w:spacing w:val="-5"/>
          <w:sz w:val="16"/>
        </w:rPr>
        <w:t> </w:t>
      </w:r>
      <w:r>
        <w:rPr>
          <w:rFonts w:ascii="Arial"/>
          <w:color w:val="231F20"/>
          <w:sz w:val="16"/>
        </w:rPr>
        <w:t>hydrostatic</w:t>
      </w:r>
      <w:r>
        <w:rPr>
          <w:rFonts w:ascii="Arial"/>
          <w:color w:val="231F20"/>
          <w:spacing w:val="-5"/>
          <w:sz w:val="16"/>
        </w:rPr>
        <w:t> </w:t>
      </w:r>
      <w:r>
        <w:rPr>
          <w:rFonts w:ascii="Arial"/>
          <w:color w:val="231F20"/>
          <w:sz w:val="16"/>
        </w:rPr>
        <w:t>pressure</w:t>
      </w:r>
      <w:r>
        <w:rPr>
          <w:rFonts w:ascii="Arial"/>
          <w:color w:val="231F20"/>
          <w:spacing w:val="-5"/>
          <w:sz w:val="16"/>
        </w:rPr>
        <w:t> </w:t>
      </w:r>
      <w:r>
        <w:rPr>
          <w:rFonts w:ascii="Lucida Sans"/>
          <w:i/>
          <w:color w:val="231F20"/>
          <w:sz w:val="16"/>
        </w:rPr>
        <w:t>(P</w:t>
      </w:r>
      <w:r>
        <w:rPr>
          <w:rFonts w:ascii="Lucida Sans"/>
          <w:i/>
          <w:color w:val="231F20"/>
          <w:position w:val="-1"/>
          <w:sz w:val="9"/>
        </w:rPr>
        <w:t>G</w:t>
      </w:r>
      <w:r>
        <w:rPr>
          <w:rFonts w:ascii="Lucida Sans"/>
          <w:i/>
          <w:color w:val="231F20"/>
          <w:sz w:val="16"/>
        </w:rPr>
        <w:t>)</w:t>
      </w:r>
      <w:r>
        <w:rPr>
          <w:rFonts w:ascii="Arial"/>
          <w:color w:val="231F20"/>
          <w:sz w:val="16"/>
        </w:rPr>
        <w:t>,</w:t>
      </w:r>
      <w:r>
        <w:rPr>
          <w:rFonts w:ascii="Arial"/>
          <w:color w:val="231F20"/>
          <w:spacing w:val="-5"/>
          <w:sz w:val="16"/>
        </w:rPr>
        <w:t> </w:t>
      </w:r>
      <w:r>
        <w:rPr>
          <w:rFonts w:ascii="Arial"/>
          <w:color w:val="231F20"/>
          <w:sz w:val="16"/>
        </w:rPr>
        <w:t>and</w:t>
      </w:r>
      <w:r>
        <w:rPr>
          <w:rFonts w:ascii="Arial"/>
          <w:color w:val="231F20"/>
          <w:spacing w:val="-6"/>
          <w:sz w:val="16"/>
        </w:rPr>
        <w:t> </w:t>
      </w:r>
      <w:r>
        <w:rPr>
          <w:rFonts w:ascii="Arial"/>
          <w:color w:val="231F20"/>
          <w:sz w:val="16"/>
        </w:rPr>
        <w:t>glomerular</w:t>
      </w:r>
      <w:r>
        <w:rPr>
          <w:rFonts w:ascii="Arial"/>
          <w:color w:val="231F20"/>
          <w:spacing w:val="-5"/>
          <w:sz w:val="16"/>
        </w:rPr>
        <w:t> </w:t>
      </w:r>
      <w:r>
        <w:rPr>
          <w:rFonts w:ascii="Arial"/>
          <w:color w:val="231F20"/>
          <w:spacing w:val="-4"/>
          <w:sz w:val="16"/>
        </w:rPr>
        <w:t>fil- </w:t>
      </w:r>
      <w:r>
        <w:rPr>
          <w:rFonts w:ascii="Arial"/>
          <w:color w:val="231F20"/>
          <w:sz w:val="16"/>
        </w:rPr>
        <w:t>tration rate</w:t>
      </w:r>
      <w:r>
        <w:rPr>
          <w:rFonts w:ascii="Arial"/>
          <w:color w:val="231F20"/>
          <w:spacing w:val="14"/>
          <w:sz w:val="16"/>
        </w:rPr>
        <w:t> </w:t>
      </w:r>
      <w:r>
        <w:rPr>
          <w:rFonts w:ascii="Lucida Sans"/>
          <w:i/>
          <w:color w:val="231F20"/>
          <w:sz w:val="16"/>
        </w:rPr>
        <w:t>(GFR)</w:t>
      </w:r>
      <w:r>
        <w:rPr>
          <w:rFonts w:ascii="Arial"/>
          <w:color w:val="231F20"/>
          <w:sz w:val="16"/>
        </w:rPr>
        <w:t>.</w:t>
      </w:r>
    </w:p>
    <w:p>
      <w:pPr>
        <w:spacing w:line="235" w:lineRule="auto" w:before="46"/>
        <w:ind w:left="1508" w:right="2381" w:firstLine="0"/>
        <w:jc w:val="center"/>
        <w:rPr>
          <w:rFonts w:ascii="Helvetica" w:hAnsi="Helvetica"/>
          <w:b/>
          <w:sz w:val="16"/>
        </w:rPr>
      </w:pPr>
      <w:r>
        <w:rPr/>
        <w:br w:type="column"/>
      </w:r>
      <w:r>
        <w:rPr>
          <w:rFonts w:ascii="Helvetica" w:hAnsi="Helvetica"/>
          <w:b/>
          <w:color w:val="231F20"/>
          <w:sz w:val="16"/>
        </w:rPr>
        <w:t>Afferent arteriolar resistance (</w:t>
      </w:r>
      <w:r>
        <w:rPr>
          <w:rFonts w:ascii="Ink Free" w:hAnsi="Ink Free"/>
          <w:color w:val="231F20"/>
          <w:sz w:val="16"/>
        </w:rPr>
        <w:t>¥ </w:t>
      </w:r>
      <w:r>
        <w:rPr>
          <w:rFonts w:ascii="Helvetica" w:hAnsi="Helvetica"/>
          <w:b/>
          <w:color w:val="231F20"/>
          <w:sz w:val="16"/>
        </w:rPr>
        <w:t>normal)</w:t>
      </w:r>
    </w:p>
    <w:p>
      <w:pPr>
        <w:spacing w:line="259" w:lineRule="auto" w:before="87"/>
        <w:ind w:left="319" w:right="1077" w:firstLine="0"/>
        <w:jc w:val="both"/>
        <w:rPr>
          <w:rFonts w:ascii="Arial"/>
          <w:sz w:val="16"/>
        </w:rPr>
      </w:pPr>
      <w:bookmarkStart w:name="_bookmark29" w:id="30"/>
      <w:bookmarkEnd w:id="30"/>
      <w:r>
        <w:rPr/>
      </w:r>
      <w:r>
        <w:rPr>
          <w:rFonts w:ascii="Trebuchet MS"/>
          <w:b/>
          <w:color w:val="231F20"/>
          <w:sz w:val="16"/>
        </w:rPr>
        <w:t>Figure 27-7. </w:t>
      </w:r>
      <w:r>
        <w:rPr>
          <w:rFonts w:ascii="Arial"/>
          <w:color w:val="231F20"/>
          <w:sz w:val="16"/>
        </w:rPr>
        <w:t>Effect of change in afferent arteriolar resistance or efferent arteriolar resistance on glomerular filtration rate and renal blood flow.</w:t>
      </w:r>
    </w:p>
    <w:p>
      <w:pPr>
        <w:spacing w:after="0" w:line="259" w:lineRule="auto"/>
        <w:jc w:val="both"/>
        <w:rPr>
          <w:rFonts w:ascii="Arial"/>
          <w:sz w:val="16"/>
        </w:rPr>
        <w:sectPr>
          <w:type w:val="continuous"/>
          <w:pgSz w:w="12240" w:h="15660"/>
          <w:pgMar w:top="0" w:bottom="760" w:left="0" w:right="0"/>
          <w:cols w:num="2" w:equalWidth="0">
            <w:col w:w="6121" w:space="40"/>
            <w:col w:w="6079"/>
          </w:cols>
        </w:sectPr>
      </w:pPr>
    </w:p>
    <w:p>
      <w:pPr>
        <w:pStyle w:val="BodyText"/>
        <w:spacing w:before="6"/>
        <w:rPr>
          <w:rFonts w:ascii="Arial"/>
        </w:rPr>
      </w:pPr>
    </w:p>
    <w:p>
      <w:pPr>
        <w:spacing w:after="0"/>
        <w:rPr>
          <w:rFonts w:ascii="Arial"/>
        </w:rPr>
        <w:sectPr>
          <w:headerReference w:type="even" r:id="rId424"/>
          <w:footerReference w:type="even" r:id="rId425"/>
          <w:footerReference w:type="default" r:id="rId426"/>
          <w:pgSz w:w="12240" w:h="15660"/>
          <w:pgMar w:header="0" w:footer="567" w:top="720" w:bottom="760" w:left="0" w:right="0"/>
          <w:pgNumType w:start="340"/>
        </w:sectPr>
      </w:pPr>
    </w:p>
    <w:p>
      <w:pPr>
        <w:spacing w:line="252" w:lineRule="auto" w:before="99"/>
        <w:ind w:left="1080" w:right="402" w:firstLine="0"/>
        <w:jc w:val="left"/>
        <w:rPr>
          <w:rFonts w:ascii="Trebuchet MS"/>
          <w:sz w:val="18"/>
        </w:rPr>
      </w:pPr>
      <w:bookmarkStart w:name="_bookmark30" w:id="31"/>
      <w:bookmarkEnd w:id="31"/>
      <w:r>
        <w:rPr/>
      </w:r>
      <w:r>
        <w:rPr>
          <w:rFonts w:ascii="Trebuchet MS"/>
          <w:b/>
          <w:color w:val="231F20"/>
          <w:sz w:val="18"/>
        </w:rPr>
        <w:t>Table 27-2 </w:t>
      </w:r>
      <w:r>
        <w:rPr>
          <w:rFonts w:ascii="Trebuchet MS"/>
          <w:color w:val="231F20"/>
          <w:sz w:val="18"/>
        </w:rPr>
        <w:t>Factors That Can Decrease the Glomerular Filtration Rate</w:t>
      </w:r>
    </w:p>
    <w:p>
      <w:pPr>
        <w:spacing w:before="111"/>
        <w:ind w:left="1080" w:right="0" w:firstLine="0"/>
        <w:jc w:val="left"/>
        <w:rPr>
          <w:rFonts w:ascii="Helvetica"/>
          <w:sz w:val="16"/>
        </w:rPr>
      </w:pPr>
      <w:r>
        <w:rPr/>
        <w:br w:type="column"/>
      </w:r>
      <w:r>
        <w:rPr>
          <w:rFonts w:ascii="Helvetica"/>
          <w:color w:val="231F20"/>
          <w:sz w:val="16"/>
        </w:rPr>
        <w:t>3.0</w:t>
      </w:r>
    </w:p>
    <w:p>
      <w:pPr>
        <w:pStyle w:val="BodyText"/>
        <w:rPr>
          <w:rFonts w:ascii="Helvetica"/>
          <w:sz w:val="18"/>
        </w:rPr>
      </w:pPr>
    </w:p>
    <w:p>
      <w:pPr>
        <w:pStyle w:val="BodyText"/>
        <w:rPr>
          <w:rFonts w:ascii="Helvetica"/>
          <w:sz w:val="15"/>
        </w:rPr>
      </w:pPr>
    </w:p>
    <w:p>
      <w:pPr>
        <w:spacing w:before="0"/>
        <w:ind w:left="1080" w:right="0" w:firstLine="0"/>
        <w:jc w:val="left"/>
        <w:rPr>
          <w:rFonts w:ascii="Helvetica"/>
          <w:sz w:val="16"/>
        </w:rPr>
      </w:pPr>
      <w:r>
        <w:rPr/>
        <w:pict>
          <v:group style="position:absolute;margin-left:362.369293pt;margin-top:-24.412123pt;width:156.7pt;height:172.7pt;mso-position-horizontal-relative:page;mso-position-vertical-relative:paragraph;z-index:251962368" coordorigin="7247,-488" coordsize="3134,3454">
            <v:rect style="position:absolute;left:7336;top:2368;width:3024;height:519" filled="true" fillcolor="#ffe098" stroked="false">
              <v:fill type="solid"/>
            </v:rect>
            <v:rect style="position:absolute;left:7336;top:2368;width:3024;height:519" filled="false" stroked="true" strokeweight=".75pt" strokecolor="#231f20">
              <v:stroke dashstyle="solid"/>
            </v:rect>
            <v:line style="position:absolute" from="7337,2369" to="9727,-468" stroked="true" strokeweight="2pt" strokecolor="#f0535f">
              <v:stroke dashstyle="solid"/>
            </v:line>
            <v:shape style="position:absolute;left:-81;top:14019;width:3124;height:3441" coordorigin="-81,14019" coordsize="3124,3441" path="m7328,-466l7247,-466m7328,92l7247,92m7328,651l7247,651m7328,1209l7247,1209m7328,1767l7247,1767m7328,2326l7247,2326m7328,2884l7247,2884m7331,2884l7331,2965m7937,2884l7937,2965m8543,2884l8543,2965m9149,2884l9149,2965m9755,2884l9755,2965m10361,2884l10361,2965m7331,-475l7331,2884,10371,2884e" filled="false" stroked="true" strokeweight="1pt" strokecolor="#231f20">
              <v:path arrowok="t"/>
              <v:stroke dashstyle="solid"/>
            </v:shape>
            <v:shape style="position:absolute;left:7891;top:2384;width:19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Basal oxygen consumption</w:t>
                    </w:r>
                  </w:p>
                </w:txbxContent>
              </v:textbox>
              <w10:wrap type="none"/>
            </v:shape>
            <w10:wrap type="none"/>
          </v:group>
        </w:pict>
      </w:r>
      <w:r>
        <w:rPr/>
        <w:pict>
          <v:shape style="position:absolute;margin-left:325.641602pt;margin-top:6.122879pt;width:20.55pt;height:110.95pt;mso-position-horizontal-relative:page;mso-position-vertical-relative:paragraph;z-index:251963392" type="#_x0000_t202" filled="false" stroked="false">
            <v:textbox inset="0,0,0,0" style="layout-flow:vertical;mso-layout-flow-alt:bottom-to-top">
              <w:txbxContent>
                <w:p>
                  <w:pPr>
                    <w:spacing w:line="235" w:lineRule="auto" w:before="27"/>
                    <w:ind w:left="20" w:right="0" w:firstLine="271"/>
                    <w:jc w:val="left"/>
                    <w:rPr>
                      <w:rFonts w:ascii="Helvetica"/>
                      <w:b/>
                      <w:sz w:val="16"/>
                    </w:rPr>
                  </w:pPr>
                  <w:r>
                    <w:rPr>
                      <w:rFonts w:ascii="Helvetica"/>
                      <w:b/>
                      <w:color w:val="231F20"/>
                      <w:sz w:val="16"/>
                    </w:rPr>
                    <w:t>Oxygen consumption (ml/min/100 g kidney weight)</w:t>
                  </w:r>
                </w:p>
              </w:txbxContent>
            </v:textbox>
            <w10:wrap type="none"/>
          </v:shape>
        </w:pict>
      </w:r>
      <w:r>
        <w:rPr>
          <w:rFonts w:ascii="Helvetica"/>
          <w:color w:val="231F20"/>
          <w:sz w:val="16"/>
        </w:rPr>
        <w:t>2.5</w:t>
      </w:r>
    </w:p>
    <w:p>
      <w:pPr>
        <w:pStyle w:val="BodyText"/>
        <w:rPr>
          <w:rFonts w:ascii="Helvetica"/>
          <w:sz w:val="18"/>
        </w:rPr>
      </w:pPr>
    </w:p>
    <w:p>
      <w:pPr>
        <w:pStyle w:val="BodyText"/>
        <w:spacing w:before="8"/>
        <w:rPr>
          <w:rFonts w:ascii="Helvetica"/>
          <w:sz w:val="14"/>
        </w:rPr>
      </w:pPr>
    </w:p>
    <w:p>
      <w:pPr>
        <w:spacing w:before="0"/>
        <w:ind w:left="1080" w:right="0" w:firstLine="0"/>
        <w:jc w:val="left"/>
        <w:rPr>
          <w:rFonts w:ascii="Helvetica"/>
          <w:sz w:val="16"/>
        </w:rPr>
      </w:pPr>
      <w:r>
        <w:rPr>
          <w:rFonts w:ascii="Helvetica"/>
          <w:color w:val="231F20"/>
          <w:sz w:val="16"/>
        </w:rPr>
        <w:t>2.0</w:t>
      </w:r>
    </w:p>
    <w:p>
      <w:pPr>
        <w:pStyle w:val="BodyText"/>
        <w:rPr>
          <w:rFonts w:ascii="Helvetica"/>
          <w:sz w:val="18"/>
        </w:rPr>
      </w:pPr>
    </w:p>
    <w:p>
      <w:pPr>
        <w:pStyle w:val="BodyText"/>
        <w:spacing w:before="3"/>
        <w:rPr>
          <w:rFonts w:ascii="Helvetica"/>
          <w:sz w:val="14"/>
        </w:rPr>
      </w:pPr>
    </w:p>
    <w:p>
      <w:pPr>
        <w:spacing w:before="1"/>
        <w:ind w:left="1080" w:right="0" w:firstLine="0"/>
        <w:jc w:val="left"/>
        <w:rPr>
          <w:rFonts w:ascii="Helvetica"/>
          <w:sz w:val="16"/>
        </w:rPr>
      </w:pPr>
      <w:r>
        <w:rPr>
          <w:rFonts w:ascii="Helvetica"/>
          <w:color w:val="231F20"/>
          <w:sz w:val="16"/>
        </w:rPr>
        <w:t>1.5</w:t>
      </w:r>
    </w:p>
    <w:p>
      <w:pPr>
        <w:pStyle w:val="BodyText"/>
        <w:rPr>
          <w:rFonts w:ascii="Helvetica"/>
          <w:sz w:val="18"/>
        </w:rPr>
      </w:pPr>
    </w:p>
    <w:p>
      <w:pPr>
        <w:pStyle w:val="BodyText"/>
        <w:spacing w:before="7"/>
        <w:rPr>
          <w:rFonts w:ascii="Helvetica"/>
          <w:sz w:val="14"/>
        </w:rPr>
      </w:pPr>
    </w:p>
    <w:p>
      <w:pPr>
        <w:spacing w:before="1"/>
        <w:ind w:left="1080" w:right="0" w:firstLine="0"/>
        <w:jc w:val="left"/>
        <w:rPr>
          <w:rFonts w:ascii="Helvetica"/>
          <w:sz w:val="16"/>
        </w:rPr>
      </w:pPr>
      <w:r>
        <w:rPr>
          <w:rFonts w:ascii="Helvetica"/>
          <w:color w:val="231F20"/>
          <w:sz w:val="16"/>
        </w:rPr>
        <w:t>1.0</w:t>
      </w:r>
    </w:p>
    <w:p>
      <w:pPr>
        <w:spacing w:after="0"/>
        <w:jc w:val="left"/>
        <w:rPr>
          <w:rFonts w:ascii="Helvetica"/>
          <w:sz w:val="16"/>
        </w:rPr>
        <w:sectPr>
          <w:type w:val="continuous"/>
          <w:pgSz w:w="12240" w:h="15660"/>
          <w:pgMar w:top="0" w:bottom="760" w:left="0" w:right="0"/>
          <w:cols w:num="2" w:equalWidth="0">
            <w:col w:w="5800" w:space="101"/>
            <w:col w:w="6339"/>
          </w:cols>
        </w:sectPr>
      </w:pPr>
    </w:p>
    <w:p>
      <w:pPr>
        <w:pStyle w:val="BodyText"/>
        <w:spacing w:before="7"/>
        <w:rPr>
          <w:rFonts w:ascii="Helvetica"/>
          <w:sz w:val="23"/>
        </w:rPr>
      </w:pPr>
    </w:p>
    <w:p>
      <w:pPr>
        <w:spacing w:after="0"/>
        <w:rPr>
          <w:rFonts w:ascii="Helvetica"/>
          <w:sz w:val="23"/>
        </w:rPr>
        <w:sectPr>
          <w:type w:val="continuous"/>
          <w:pgSz w:w="12240" w:h="15660"/>
          <w:pgMar w:top="0" w:bottom="760" w:left="0" w:right="0"/>
        </w:sectPr>
      </w:pPr>
    </w:p>
    <w:p>
      <w:pPr>
        <w:spacing w:before="99"/>
        <w:ind w:left="0" w:right="0" w:firstLine="0"/>
        <w:jc w:val="right"/>
        <w:rPr>
          <w:rFonts w:ascii="Helvetica"/>
          <w:sz w:val="16"/>
        </w:rPr>
      </w:pPr>
      <w:r>
        <w:rPr/>
        <w:pict>
          <v:rect style="position:absolute;margin-left:0pt;margin-top:3.887317pt;width:36pt;height:24pt;mso-position-horizontal-relative:page;mso-position-vertical-relative:paragraph;z-index:251960320" filled="true" fillcolor="#e8dac8" stroked="false">
            <v:fill type="solid"/>
            <w10:wrap type="none"/>
          </v:rect>
        </w:pict>
      </w:r>
      <w:r>
        <w:rPr/>
        <w:pict>
          <v:shape style="position:absolute;margin-left:54pt;margin-top:-107.894684pt;width:234pt;height:185.6pt;mso-position-horizontal-relative:page;mso-position-vertical-relative:paragraph;z-index:2519644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3235"/>
                  </w:tblGrid>
                  <w:tr>
                    <w:trPr>
                      <w:trHeight w:val="464" w:hRule="atLeast"/>
                    </w:trPr>
                    <w:tc>
                      <w:tcPr>
                        <w:tcW w:w="1446" w:type="dxa"/>
                        <w:shd w:val="clear" w:color="auto" w:fill="D1DDF1"/>
                      </w:tcPr>
                      <w:p>
                        <w:pPr>
                          <w:pStyle w:val="TableParagraph"/>
                          <w:spacing w:line="259" w:lineRule="auto" w:before="34"/>
                          <w:ind w:left="120"/>
                          <w:rPr>
                            <w:b/>
                            <w:sz w:val="16"/>
                          </w:rPr>
                        </w:pPr>
                        <w:r>
                          <w:rPr>
                            <w:b/>
                            <w:color w:val="231F20"/>
                            <w:sz w:val="16"/>
                          </w:rPr>
                          <w:t>Physical Determinants</w:t>
                        </w:r>
                        <w:hyperlink w:history="true" w:anchor="_bookmark31">
                          <w:r>
                            <w:rPr>
                              <w:b/>
                              <w:color w:val="0080AC"/>
                              <w:sz w:val="16"/>
                            </w:rPr>
                            <w:t>*</w:t>
                          </w:r>
                        </w:hyperlink>
                      </w:p>
                    </w:tc>
                    <w:tc>
                      <w:tcPr>
                        <w:tcW w:w="3235" w:type="dxa"/>
                        <w:shd w:val="clear" w:color="auto" w:fill="D1DDF1"/>
                      </w:tcPr>
                      <w:p>
                        <w:pPr>
                          <w:pStyle w:val="TableParagraph"/>
                          <w:spacing w:line="259" w:lineRule="auto" w:before="34"/>
                          <w:ind w:left="214" w:right="512"/>
                          <w:rPr>
                            <w:b/>
                            <w:sz w:val="16"/>
                          </w:rPr>
                        </w:pPr>
                        <w:r>
                          <w:rPr>
                            <w:b/>
                            <w:color w:val="231F20"/>
                            <w:sz w:val="16"/>
                          </w:rPr>
                          <w:t>Physiological/Pathophysiological Causes</w:t>
                        </w:r>
                      </w:p>
                    </w:tc>
                  </w:tr>
                  <w:tr>
                    <w:trPr>
                      <w:trHeight w:val="459" w:hRule="atLeast"/>
                    </w:trPr>
                    <w:tc>
                      <w:tcPr>
                        <w:tcW w:w="1446" w:type="dxa"/>
                        <w:tcBorders>
                          <w:bottom w:val="single" w:sz="4" w:space="0" w:color="FFFFFF"/>
                        </w:tcBorders>
                        <w:shd w:val="clear" w:color="auto" w:fill="E6ECF7"/>
                      </w:tcPr>
                      <w:p>
                        <w:pPr>
                          <w:pStyle w:val="TableParagraph"/>
                          <w:spacing w:before="24"/>
                          <w:ind w:right="429"/>
                          <w:jc w:val="right"/>
                          <w:rPr>
                            <w:sz w:val="16"/>
                          </w:rPr>
                        </w:pPr>
                        <w:r>
                          <w:rPr>
                            <w:rFonts w:ascii="Consolas" w:hAnsi="Consolas"/>
                            <w:color w:val="231F20"/>
                            <w:w w:val="115"/>
                            <w:sz w:val="16"/>
                          </w:rPr>
                          <w:t>↓</w:t>
                        </w:r>
                        <w:r>
                          <w:rPr>
                            <w:color w:val="231F20"/>
                            <w:w w:val="115"/>
                            <w:sz w:val="16"/>
                          </w:rPr>
                          <w:t>K</w:t>
                        </w:r>
                        <w:r>
                          <w:rPr>
                            <w:color w:val="231F20"/>
                            <w:w w:val="115"/>
                            <w:position w:val="-1"/>
                            <w:sz w:val="9"/>
                          </w:rPr>
                          <w:t>f </w:t>
                        </w:r>
                        <w:r>
                          <w:rPr>
                            <w:rFonts w:ascii="Consolas" w:hAnsi="Consolas"/>
                            <w:color w:val="231F20"/>
                            <w:w w:val="150"/>
                            <w:sz w:val="16"/>
                          </w:rPr>
                          <w:t>→</w:t>
                        </w:r>
                        <w:r>
                          <w:rPr>
                            <w:rFonts w:ascii="Consolas" w:hAnsi="Consolas"/>
                            <w:color w:val="231F20"/>
                            <w:spacing w:val="-107"/>
                            <w:w w:val="150"/>
                            <w:sz w:val="16"/>
                          </w:rPr>
                          <w:t> </w:t>
                        </w:r>
                        <w:r>
                          <w:rPr>
                            <w:rFonts w:ascii="Consolas" w:hAnsi="Consolas"/>
                            <w:color w:val="231F20"/>
                            <w:w w:val="115"/>
                            <w:sz w:val="16"/>
                          </w:rPr>
                          <w:t>↓</w:t>
                        </w:r>
                        <w:r>
                          <w:rPr>
                            <w:color w:val="231F20"/>
                            <w:w w:val="115"/>
                            <w:sz w:val="16"/>
                          </w:rPr>
                          <w:t>GFR</w:t>
                        </w:r>
                      </w:p>
                    </w:tc>
                    <w:tc>
                      <w:tcPr>
                        <w:tcW w:w="3235" w:type="dxa"/>
                        <w:tcBorders>
                          <w:bottom w:val="single" w:sz="4" w:space="0" w:color="FFFFFF"/>
                        </w:tcBorders>
                        <w:shd w:val="clear" w:color="auto" w:fill="E6ECF7"/>
                      </w:tcPr>
                      <w:p>
                        <w:pPr>
                          <w:pStyle w:val="TableParagraph"/>
                          <w:spacing w:line="259" w:lineRule="auto" w:before="24"/>
                          <w:ind w:left="374" w:right="512" w:hanging="160"/>
                          <w:rPr>
                            <w:sz w:val="16"/>
                          </w:rPr>
                        </w:pPr>
                        <w:r>
                          <w:rPr>
                            <w:color w:val="231F20"/>
                            <w:w w:val="105"/>
                            <w:sz w:val="16"/>
                          </w:rPr>
                          <w:t>Renal disease, diabetes mellitus, hypertension</w:t>
                        </w:r>
                      </w:p>
                    </w:tc>
                  </w:tr>
                  <w:tr>
                    <w:trPr>
                      <w:trHeight w:val="464" w:hRule="atLeast"/>
                    </w:trPr>
                    <w:tc>
                      <w:tcPr>
                        <w:tcW w:w="1446" w:type="dxa"/>
                        <w:tcBorders>
                          <w:top w:val="single" w:sz="4" w:space="0" w:color="FFFFFF"/>
                          <w:bottom w:val="single" w:sz="4" w:space="0" w:color="FFFFFF"/>
                        </w:tcBorders>
                        <w:shd w:val="clear" w:color="auto" w:fill="E6ECF7"/>
                      </w:tcPr>
                      <w:p>
                        <w:pPr>
                          <w:pStyle w:val="TableParagraph"/>
                          <w:ind w:right="425"/>
                          <w:jc w:val="right"/>
                          <w:rPr>
                            <w:sz w:val="16"/>
                          </w:rPr>
                        </w:pPr>
                        <w:r>
                          <w:rPr>
                            <w:rFonts w:ascii="Consolas" w:hAnsi="Consolas"/>
                            <w:color w:val="231F20"/>
                            <w:w w:val="115"/>
                            <w:sz w:val="16"/>
                          </w:rPr>
                          <w:t>↑</w:t>
                        </w:r>
                        <w:r>
                          <w:rPr>
                            <w:color w:val="231F20"/>
                            <w:w w:val="115"/>
                            <w:sz w:val="16"/>
                          </w:rPr>
                          <w:t>P</w:t>
                        </w:r>
                        <w:r>
                          <w:rPr>
                            <w:color w:val="231F20"/>
                            <w:w w:val="115"/>
                            <w:position w:val="-1"/>
                            <w:sz w:val="9"/>
                          </w:rPr>
                          <w:t>B </w:t>
                        </w:r>
                        <w:r>
                          <w:rPr>
                            <w:rFonts w:ascii="Consolas" w:hAnsi="Consolas"/>
                            <w:color w:val="231F20"/>
                            <w:w w:val="150"/>
                            <w:sz w:val="16"/>
                          </w:rPr>
                          <w:t>→</w:t>
                        </w:r>
                        <w:r>
                          <w:rPr>
                            <w:rFonts w:ascii="Consolas" w:hAnsi="Consolas"/>
                            <w:color w:val="231F20"/>
                            <w:spacing w:val="-89"/>
                            <w:w w:val="150"/>
                            <w:sz w:val="16"/>
                          </w:rPr>
                          <w:t> </w:t>
                        </w:r>
                        <w:r>
                          <w:rPr>
                            <w:rFonts w:ascii="Consolas" w:hAnsi="Consolas"/>
                            <w:color w:val="231F20"/>
                            <w:w w:val="115"/>
                            <w:sz w:val="16"/>
                          </w:rPr>
                          <w:t>↓</w:t>
                        </w:r>
                        <w:r>
                          <w:rPr>
                            <w:color w:val="231F20"/>
                            <w:w w:val="115"/>
                            <w:sz w:val="16"/>
                          </w:rPr>
                          <w:t>GFR</w:t>
                        </w:r>
                      </w:p>
                    </w:tc>
                    <w:tc>
                      <w:tcPr>
                        <w:tcW w:w="3235" w:type="dxa"/>
                        <w:tcBorders>
                          <w:top w:val="single" w:sz="4" w:space="0" w:color="FFFFFF"/>
                          <w:bottom w:val="single" w:sz="4" w:space="0" w:color="FFFFFF"/>
                        </w:tcBorders>
                        <w:shd w:val="clear" w:color="auto" w:fill="E6ECF7"/>
                      </w:tcPr>
                      <w:p>
                        <w:pPr>
                          <w:pStyle w:val="TableParagraph"/>
                          <w:spacing w:line="259" w:lineRule="auto"/>
                          <w:ind w:left="374" w:right="107" w:hanging="160"/>
                          <w:rPr>
                            <w:sz w:val="16"/>
                          </w:rPr>
                        </w:pPr>
                        <w:r>
                          <w:rPr>
                            <w:color w:val="231F20"/>
                            <w:w w:val="105"/>
                            <w:sz w:val="16"/>
                          </w:rPr>
                          <w:t>Urinary tract obstruction (e.g., kidney stones)</w:t>
                        </w:r>
                      </w:p>
                    </w:tc>
                  </w:tr>
                  <w:tr>
                    <w:trPr>
                      <w:trHeight w:val="464" w:hRule="atLeast"/>
                    </w:trPr>
                    <w:tc>
                      <w:tcPr>
                        <w:tcW w:w="1446" w:type="dxa"/>
                        <w:tcBorders>
                          <w:top w:val="single" w:sz="4" w:space="0" w:color="FFFFFF"/>
                          <w:bottom w:val="single" w:sz="4" w:space="0" w:color="FFFFFF"/>
                        </w:tcBorders>
                        <w:shd w:val="clear" w:color="auto" w:fill="E6ECF7"/>
                      </w:tcPr>
                      <w:p>
                        <w:pPr>
                          <w:pStyle w:val="TableParagraph"/>
                          <w:ind w:right="415"/>
                          <w:jc w:val="right"/>
                          <w:rPr>
                            <w:sz w:val="16"/>
                          </w:rPr>
                        </w:pPr>
                        <w:r>
                          <w:rPr>
                            <w:rFonts w:ascii="Consolas" w:hAnsi="Consolas"/>
                            <w:color w:val="231F20"/>
                            <w:w w:val="115"/>
                            <w:sz w:val="16"/>
                          </w:rPr>
                          <w:t>↑π</w:t>
                        </w:r>
                        <w:r>
                          <w:rPr>
                            <w:color w:val="231F20"/>
                            <w:w w:val="115"/>
                            <w:position w:val="-1"/>
                            <w:sz w:val="9"/>
                          </w:rPr>
                          <w:t>G </w:t>
                        </w:r>
                        <w:r>
                          <w:rPr>
                            <w:rFonts w:ascii="Consolas" w:hAnsi="Consolas"/>
                            <w:color w:val="231F20"/>
                            <w:w w:val="150"/>
                            <w:sz w:val="16"/>
                          </w:rPr>
                          <w:t>→</w:t>
                        </w:r>
                        <w:r>
                          <w:rPr>
                            <w:rFonts w:ascii="Consolas" w:hAnsi="Consolas"/>
                            <w:color w:val="231F20"/>
                            <w:spacing w:val="-90"/>
                            <w:w w:val="150"/>
                            <w:sz w:val="16"/>
                          </w:rPr>
                          <w:t> </w:t>
                        </w:r>
                        <w:r>
                          <w:rPr>
                            <w:rFonts w:ascii="Consolas" w:hAnsi="Consolas"/>
                            <w:color w:val="231F20"/>
                            <w:w w:val="115"/>
                            <w:sz w:val="16"/>
                          </w:rPr>
                          <w:t>↓</w:t>
                        </w:r>
                        <w:r>
                          <w:rPr>
                            <w:color w:val="231F20"/>
                            <w:w w:val="115"/>
                            <w:sz w:val="16"/>
                          </w:rPr>
                          <w:t>GFR</w:t>
                        </w:r>
                      </w:p>
                    </w:tc>
                    <w:tc>
                      <w:tcPr>
                        <w:tcW w:w="3235" w:type="dxa"/>
                        <w:tcBorders>
                          <w:top w:val="single" w:sz="4" w:space="0" w:color="FFFFFF"/>
                          <w:bottom w:val="single" w:sz="4" w:space="0" w:color="FFFFFF"/>
                        </w:tcBorders>
                        <w:shd w:val="clear" w:color="auto" w:fill="E6ECF7"/>
                      </w:tcPr>
                      <w:p>
                        <w:pPr>
                          <w:pStyle w:val="TableParagraph"/>
                          <w:spacing w:line="252" w:lineRule="auto"/>
                          <w:ind w:left="374" w:right="107" w:hanging="160"/>
                          <w:rPr>
                            <w:sz w:val="16"/>
                          </w:rPr>
                        </w:pPr>
                        <w:r>
                          <w:rPr>
                            <w:rFonts w:ascii="Consolas" w:hAnsi="Consolas"/>
                            <w:color w:val="231F20"/>
                            <w:w w:val="105"/>
                            <w:sz w:val="16"/>
                          </w:rPr>
                          <w:t>↓ </w:t>
                        </w:r>
                        <w:r>
                          <w:rPr>
                            <w:color w:val="231F20"/>
                            <w:w w:val="105"/>
                            <w:sz w:val="16"/>
                          </w:rPr>
                          <w:t>Renal blood flow, increased plasma proteins</w:t>
                        </w:r>
                      </w:p>
                    </w:tc>
                  </w:tr>
                  <w:tr>
                    <w:trPr>
                      <w:trHeight w:val="664" w:hRule="atLeast"/>
                    </w:trPr>
                    <w:tc>
                      <w:tcPr>
                        <w:tcW w:w="1446" w:type="dxa"/>
                        <w:tcBorders>
                          <w:top w:val="single" w:sz="4" w:space="0" w:color="FFFFFF"/>
                          <w:bottom w:val="single" w:sz="4" w:space="0" w:color="FFFFFF"/>
                        </w:tcBorders>
                        <w:shd w:val="clear" w:color="auto" w:fill="E6ECF7"/>
                      </w:tcPr>
                      <w:p>
                        <w:pPr>
                          <w:pStyle w:val="TableParagraph"/>
                          <w:ind w:right="414"/>
                          <w:jc w:val="right"/>
                          <w:rPr>
                            <w:sz w:val="16"/>
                          </w:rPr>
                        </w:pPr>
                        <w:r>
                          <w:rPr>
                            <w:rFonts w:ascii="Consolas" w:hAnsi="Consolas"/>
                            <w:color w:val="231F20"/>
                            <w:w w:val="115"/>
                            <w:sz w:val="16"/>
                          </w:rPr>
                          <w:t>↓</w:t>
                        </w:r>
                        <w:r>
                          <w:rPr>
                            <w:color w:val="231F20"/>
                            <w:w w:val="115"/>
                            <w:sz w:val="16"/>
                          </w:rPr>
                          <w:t>P</w:t>
                        </w:r>
                        <w:r>
                          <w:rPr>
                            <w:color w:val="231F20"/>
                            <w:w w:val="115"/>
                            <w:position w:val="-1"/>
                            <w:sz w:val="9"/>
                          </w:rPr>
                          <w:t>G </w:t>
                        </w:r>
                        <w:r>
                          <w:rPr>
                            <w:rFonts w:ascii="Consolas" w:hAnsi="Consolas"/>
                            <w:color w:val="231F20"/>
                            <w:w w:val="150"/>
                            <w:sz w:val="16"/>
                          </w:rPr>
                          <w:t>→</w:t>
                        </w:r>
                        <w:r>
                          <w:rPr>
                            <w:rFonts w:ascii="Consolas" w:hAnsi="Consolas"/>
                            <w:color w:val="231F20"/>
                            <w:spacing w:val="-90"/>
                            <w:w w:val="150"/>
                            <w:sz w:val="16"/>
                          </w:rPr>
                          <w:t> </w:t>
                        </w:r>
                        <w:r>
                          <w:rPr>
                            <w:rFonts w:ascii="Consolas" w:hAnsi="Consolas"/>
                            <w:color w:val="231F20"/>
                            <w:w w:val="115"/>
                            <w:sz w:val="16"/>
                          </w:rPr>
                          <w:t>↓</w:t>
                        </w:r>
                        <w:r>
                          <w:rPr>
                            <w:color w:val="231F20"/>
                            <w:w w:val="115"/>
                            <w:sz w:val="16"/>
                          </w:rPr>
                          <w:t>GFR</w:t>
                        </w:r>
                      </w:p>
                      <w:p>
                        <w:pPr>
                          <w:pStyle w:val="TableParagraph"/>
                          <w:spacing w:before="10"/>
                          <w:ind w:right="379"/>
                          <w:jc w:val="right"/>
                          <w:rPr>
                            <w:sz w:val="9"/>
                          </w:rPr>
                        </w:pPr>
                        <w:r>
                          <w:rPr>
                            <w:rFonts w:ascii="Consolas" w:hAnsi="Consolas"/>
                            <w:color w:val="231F20"/>
                            <w:w w:val="120"/>
                            <w:sz w:val="16"/>
                          </w:rPr>
                          <w:t>↓</w:t>
                        </w:r>
                        <w:r>
                          <w:rPr>
                            <w:color w:val="231F20"/>
                            <w:w w:val="120"/>
                            <w:sz w:val="16"/>
                          </w:rPr>
                          <w:t>A</w:t>
                        </w:r>
                        <w:r>
                          <w:rPr>
                            <w:color w:val="231F20"/>
                            <w:w w:val="120"/>
                            <w:position w:val="-1"/>
                            <w:sz w:val="9"/>
                          </w:rPr>
                          <w:t>P </w:t>
                        </w:r>
                        <w:r>
                          <w:rPr>
                            <w:rFonts w:ascii="Consolas" w:hAnsi="Consolas"/>
                            <w:color w:val="231F20"/>
                            <w:w w:val="160"/>
                            <w:sz w:val="16"/>
                          </w:rPr>
                          <w:t>→</w:t>
                        </w:r>
                        <w:r>
                          <w:rPr>
                            <w:rFonts w:ascii="Consolas" w:hAnsi="Consolas"/>
                            <w:color w:val="231F20"/>
                            <w:spacing w:val="-96"/>
                            <w:w w:val="160"/>
                            <w:sz w:val="16"/>
                          </w:rPr>
                          <w:t> </w:t>
                        </w:r>
                        <w:r>
                          <w:rPr>
                            <w:rFonts w:ascii="Consolas" w:hAnsi="Consolas"/>
                            <w:color w:val="231F20"/>
                            <w:w w:val="120"/>
                            <w:sz w:val="16"/>
                          </w:rPr>
                          <w:t>↓</w:t>
                        </w:r>
                        <w:r>
                          <w:rPr>
                            <w:color w:val="231F20"/>
                            <w:w w:val="120"/>
                            <w:sz w:val="16"/>
                          </w:rPr>
                          <w:t>P</w:t>
                        </w:r>
                        <w:r>
                          <w:rPr>
                            <w:color w:val="231F20"/>
                            <w:w w:val="120"/>
                            <w:position w:val="-1"/>
                            <w:sz w:val="9"/>
                          </w:rPr>
                          <w:t>G</w:t>
                        </w:r>
                      </w:p>
                    </w:tc>
                    <w:tc>
                      <w:tcPr>
                        <w:tcW w:w="3235" w:type="dxa"/>
                        <w:tcBorders>
                          <w:top w:val="single" w:sz="4" w:space="0" w:color="FFFFFF"/>
                          <w:bottom w:val="single" w:sz="4" w:space="0" w:color="FFFFFF"/>
                        </w:tcBorders>
                        <w:shd w:val="clear" w:color="auto" w:fill="E6ECF7"/>
                      </w:tcPr>
                      <w:p>
                        <w:pPr>
                          <w:pStyle w:val="TableParagraph"/>
                          <w:spacing w:before="10"/>
                          <w:rPr>
                            <w:rFonts w:ascii="Times New Roman"/>
                            <w:sz w:val="19"/>
                          </w:rPr>
                        </w:pPr>
                      </w:p>
                      <w:p>
                        <w:pPr>
                          <w:pStyle w:val="TableParagraph"/>
                          <w:spacing w:line="252" w:lineRule="auto" w:before="0"/>
                          <w:ind w:left="374" w:right="247" w:hanging="160"/>
                          <w:rPr>
                            <w:sz w:val="16"/>
                          </w:rPr>
                        </w:pPr>
                        <w:r>
                          <w:rPr>
                            <w:rFonts w:ascii="Consolas" w:hAnsi="Consolas"/>
                            <w:color w:val="231F20"/>
                            <w:w w:val="105"/>
                            <w:sz w:val="16"/>
                          </w:rPr>
                          <w:t>↓ </w:t>
                        </w:r>
                        <w:r>
                          <w:rPr>
                            <w:color w:val="231F20"/>
                            <w:w w:val="105"/>
                            <w:sz w:val="16"/>
                          </w:rPr>
                          <w:t>Arterial pressure (has only a small effect because of autoregulation)</w:t>
                        </w:r>
                      </w:p>
                    </w:tc>
                  </w:tr>
                  <w:tr>
                    <w:trPr>
                      <w:trHeight w:val="464" w:hRule="atLeast"/>
                    </w:trPr>
                    <w:tc>
                      <w:tcPr>
                        <w:tcW w:w="1446" w:type="dxa"/>
                        <w:tcBorders>
                          <w:top w:val="single" w:sz="4" w:space="0" w:color="FFFFFF"/>
                          <w:bottom w:val="single" w:sz="4" w:space="0" w:color="FFFFFF"/>
                        </w:tcBorders>
                        <w:shd w:val="clear" w:color="auto" w:fill="E6ECF7"/>
                      </w:tcPr>
                      <w:p>
                        <w:pPr>
                          <w:pStyle w:val="TableParagraph"/>
                          <w:ind w:right="396"/>
                          <w:jc w:val="right"/>
                          <w:rPr>
                            <w:sz w:val="9"/>
                          </w:rPr>
                        </w:pPr>
                        <w:r>
                          <w:rPr>
                            <w:rFonts w:ascii="Consolas" w:hAnsi="Consolas"/>
                            <w:color w:val="231F20"/>
                            <w:w w:val="120"/>
                            <w:sz w:val="16"/>
                          </w:rPr>
                          <w:t>↓</w:t>
                        </w:r>
                        <w:r>
                          <w:rPr>
                            <w:color w:val="231F20"/>
                            <w:w w:val="120"/>
                            <w:sz w:val="16"/>
                          </w:rPr>
                          <w:t>R</w:t>
                        </w:r>
                        <w:r>
                          <w:rPr>
                            <w:color w:val="231F20"/>
                            <w:w w:val="120"/>
                            <w:position w:val="-1"/>
                            <w:sz w:val="9"/>
                          </w:rPr>
                          <w:t>E </w:t>
                        </w:r>
                        <w:r>
                          <w:rPr>
                            <w:rFonts w:ascii="Consolas" w:hAnsi="Consolas"/>
                            <w:color w:val="231F20"/>
                            <w:w w:val="160"/>
                            <w:sz w:val="16"/>
                          </w:rPr>
                          <w:t>→</w:t>
                        </w:r>
                        <w:r>
                          <w:rPr>
                            <w:rFonts w:ascii="Consolas" w:hAnsi="Consolas"/>
                            <w:color w:val="231F20"/>
                            <w:spacing w:val="-109"/>
                            <w:w w:val="160"/>
                            <w:sz w:val="16"/>
                          </w:rPr>
                          <w:t> </w:t>
                        </w:r>
                        <w:r>
                          <w:rPr>
                            <w:rFonts w:ascii="Consolas" w:hAnsi="Consolas"/>
                            <w:color w:val="231F20"/>
                            <w:w w:val="120"/>
                            <w:sz w:val="16"/>
                          </w:rPr>
                          <w:t>↓</w:t>
                        </w:r>
                        <w:r>
                          <w:rPr>
                            <w:color w:val="231F20"/>
                            <w:w w:val="120"/>
                            <w:sz w:val="16"/>
                          </w:rPr>
                          <w:t>P</w:t>
                        </w:r>
                        <w:r>
                          <w:rPr>
                            <w:color w:val="231F20"/>
                            <w:w w:val="120"/>
                            <w:position w:val="-1"/>
                            <w:sz w:val="9"/>
                          </w:rPr>
                          <w:t>G</w:t>
                        </w:r>
                      </w:p>
                    </w:tc>
                    <w:tc>
                      <w:tcPr>
                        <w:tcW w:w="3235" w:type="dxa"/>
                        <w:tcBorders>
                          <w:top w:val="single" w:sz="4" w:space="0" w:color="FFFFFF"/>
                          <w:bottom w:val="single" w:sz="4" w:space="0" w:color="FFFFFF"/>
                        </w:tcBorders>
                        <w:shd w:val="clear" w:color="auto" w:fill="E6ECF7"/>
                      </w:tcPr>
                      <w:p>
                        <w:pPr>
                          <w:pStyle w:val="TableParagraph"/>
                          <w:spacing w:line="252" w:lineRule="auto"/>
                          <w:ind w:left="374" w:right="470" w:hanging="160"/>
                          <w:rPr>
                            <w:sz w:val="16"/>
                          </w:rPr>
                        </w:pPr>
                        <w:r>
                          <w:rPr>
                            <w:rFonts w:ascii="Consolas" w:hAnsi="Consolas"/>
                            <w:color w:val="231F20"/>
                            <w:w w:val="105"/>
                            <w:sz w:val="16"/>
                          </w:rPr>
                          <w:t>↓ </w:t>
                        </w:r>
                        <w:r>
                          <w:rPr>
                            <w:color w:val="231F20"/>
                            <w:w w:val="105"/>
                            <w:sz w:val="16"/>
                          </w:rPr>
                          <w:t>Angiotensin II (drugs that block angiotensin II formation)</w:t>
                        </w:r>
                      </w:p>
                    </w:tc>
                  </w:tr>
                  <w:tr>
                    <w:trPr>
                      <w:trHeight w:val="679" w:hRule="atLeast"/>
                    </w:trPr>
                    <w:tc>
                      <w:tcPr>
                        <w:tcW w:w="1446" w:type="dxa"/>
                        <w:tcBorders>
                          <w:top w:val="single" w:sz="4" w:space="0" w:color="FFFFFF"/>
                        </w:tcBorders>
                        <w:shd w:val="clear" w:color="auto" w:fill="E6ECF7"/>
                      </w:tcPr>
                      <w:p>
                        <w:pPr>
                          <w:pStyle w:val="TableParagraph"/>
                          <w:ind w:right="381"/>
                          <w:jc w:val="right"/>
                          <w:rPr>
                            <w:sz w:val="9"/>
                          </w:rPr>
                        </w:pPr>
                        <w:r>
                          <w:rPr>
                            <w:rFonts w:ascii="Consolas" w:hAnsi="Consolas"/>
                            <w:color w:val="231F20"/>
                            <w:w w:val="120"/>
                            <w:sz w:val="16"/>
                          </w:rPr>
                          <w:t>↑</w:t>
                        </w:r>
                        <w:r>
                          <w:rPr>
                            <w:color w:val="231F20"/>
                            <w:w w:val="120"/>
                            <w:sz w:val="16"/>
                          </w:rPr>
                          <w:t>R</w:t>
                        </w:r>
                        <w:r>
                          <w:rPr>
                            <w:color w:val="231F20"/>
                            <w:w w:val="120"/>
                            <w:position w:val="-1"/>
                            <w:sz w:val="9"/>
                          </w:rPr>
                          <w:t>A </w:t>
                        </w:r>
                        <w:r>
                          <w:rPr>
                            <w:rFonts w:ascii="Consolas" w:hAnsi="Consolas"/>
                            <w:color w:val="231F20"/>
                            <w:w w:val="160"/>
                            <w:sz w:val="16"/>
                          </w:rPr>
                          <w:t>→</w:t>
                        </w:r>
                        <w:r>
                          <w:rPr>
                            <w:rFonts w:ascii="Consolas" w:hAnsi="Consolas"/>
                            <w:color w:val="231F20"/>
                            <w:spacing w:val="-99"/>
                            <w:w w:val="160"/>
                            <w:sz w:val="16"/>
                          </w:rPr>
                          <w:t> </w:t>
                        </w:r>
                        <w:r>
                          <w:rPr>
                            <w:rFonts w:ascii="Consolas" w:hAnsi="Consolas"/>
                            <w:color w:val="231F20"/>
                            <w:w w:val="120"/>
                            <w:sz w:val="16"/>
                          </w:rPr>
                          <w:t>↓</w:t>
                        </w:r>
                        <w:r>
                          <w:rPr>
                            <w:color w:val="231F20"/>
                            <w:w w:val="120"/>
                            <w:sz w:val="16"/>
                          </w:rPr>
                          <w:t>P</w:t>
                        </w:r>
                        <w:r>
                          <w:rPr>
                            <w:color w:val="231F20"/>
                            <w:w w:val="120"/>
                            <w:position w:val="-1"/>
                            <w:sz w:val="9"/>
                          </w:rPr>
                          <w:t>G</w:t>
                        </w:r>
                      </w:p>
                    </w:tc>
                    <w:tc>
                      <w:tcPr>
                        <w:tcW w:w="3235" w:type="dxa"/>
                        <w:tcBorders>
                          <w:top w:val="single" w:sz="4" w:space="0" w:color="FFFFFF"/>
                        </w:tcBorders>
                        <w:shd w:val="clear" w:color="auto" w:fill="E6ECF7"/>
                      </w:tcPr>
                      <w:p>
                        <w:pPr>
                          <w:pStyle w:val="TableParagraph"/>
                          <w:spacing w:line="254" w:lineRule="auto"/>
                          <w:ind w:left="374" w:hanging="160"/>
                          <w:rPr>
                            <w:sz w:val="16"/>
                          </w:rPr>
                        </w:pPr>
                        <w:r>
                          <w:rPr>
                            <w:rFonts w:ascii="Consolas" w:hAnsi="Consolas"/>
                            <w:color w:val="231F20"/>
                            <w:w w:val="105"/>
                            <w:sz w:val="16"/>
                          </w:rPr>
                          <w:t>↑</w:t>
                        </w:r>
                        <w:r>
                          <w:rPr>
                            <w:rFonts w:ascii="Consolas" w:hAnsi="Consolas"/>
                            <w:color w:val="231F20"/>
                            <w:spacing w:val="-66"/>
                            <w:w w:val="105"/>
                            <w:sz w:val="16"/>
                          </w:rPr>
                          <w:t> </w:t>
                        </w:r>
                        <w:r>
                          <w:rPr>
                            <w:color w:val="231F20"/>
                            <w:w w:val="105"/>
                            <w:sz w:val="16"/>
                          </w:rPr>
                          <w:t>Sympathetic activity, </w:t>
                        </w:r>
                        <w:r>
                          <w:rPr>
                            <w:color w:val="231F20"/>
                            <w:spacing w:val="-2"/>
                            <w:w w:val="105"/>
                            <w:sz w:val="16"/>
                          </w:rPr>
                          <w:t>vasoconstrictor </w:t>
                        </w:r>
                        <w:r>
                          <w:rPr>
                            <w:color w:val="231F20"/>
                            <w:w w:val="105"/>
                            <w:sz w:val="16"/>
                          </w:rPr>
                          <w:t>hormones (e.g., norepinephrine, endothelin)</w:t>
                        </w:r>
                      </w:p>
                    </w:tc>
                  </w:tr>
                </w:tbl>
                <w:p>
                  <w:pPr>
                    <w:pStyle w:val="BodyText"/>
                  </w:pPr>
                </w:p>
              </w:txbxContent>
            </v:textbox>
            <w10:wrap type="none"/>
          </v:shape>
        </w:pict>
      </w:r>
      <w:r>
        <w:rPr>
          <w:rFonts w:ascii="Helvetica"/>
          <w:color w:val="231F20"/>
          <w:w w:val="95"/>
          <w:sz w:val="16"/>
        </w:rPr>
        <w:t>0.5</w:t>
      </w:r>
    </w:p>
    <w:p>
      <w:pPr>
        <w:pStyle w:val="BodyText"/>
        <w:rPr>
          <w:rFonts w:ascii="Helvetica"/>
          <w:sz w:val="18"/>
        </w:rPr>
      </w:pPr>
    </w:p>
    <w:p>
      <w:pPr>
        <w:pStyle w:val="BodyText"/>
        <w:spacing w:before="4"/>
        <w:rPr>
          <w:rFonts w:ascii="Helvetica"/>
          <w:sz w:val="14"/>
        </w:rPr>
      </w:pPr>
    </w:p>
    <w:p>
      <w:pPr>
        <w:spacing w:before="0"/>
        <w:ind w:left="0" w:right="0" w:firstLine="0"/>
        <w:jc w:val="righ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7"/>
        <w:rPr>
          <w:rFonts w:ascii="Helvetica"/>
          <w:sz w:val="19"/>
        </w:rPr>
      </w:pPr>
    </w:p>
    <w:p>
      <w:pPr>
        <w:tabs>
          <w:tab w:pos="648" w:val="left" w:leader="none"/>
          <w:tab w:pos="1203" w:val="left" w:leader="none"/>
        </w:tabs>
        <w:spacing w:before="0"/>
        <w:ind w:left="41" w:right="0" w:firstLine="0"/>
        <w:jc w:val="left"/>
        <w:rPr>
          <w:rFonts w:ascii="Helvetica"/>
          <w:sz w:val="16"/>
        </w:rPr>
      </w:pPr>
      <w:r>
        <w:rPr>
          <w:rFonts w:ascii="Helvetica"/>
          <w:color w:val="231F20"/>
          <w:sz w:val="16"/>
        </w:rPr>
        <w:t>0</w:t>
        <w:tab/>
        <w:t>5</w:t>
        <w:tab/>
      </w:r>
      <w:r>
        <w:rPr>
          <w:rFonts w:ascii="Helvetica"/>
          <w:color w:val="231F20"/>
          <w:spacing w:val="-10"/>
          <w:sz w:val="16"/>
        </w:rPr>
        <w:t>10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7"/>
        <w:rPr>
          <w:rFonts w:ascii="Helvetica"/>
          <w:sz w:val="19"/>
        </w:rPr>
      </w:pPr>
    </w:p>
    <w:p>
      <w:pPr>
        <w:tabs>
          <w:tab w:pos="992" w:val="left" w:leader="none"/>
        </w:tabs>
        <w:spacing w:before="0"/>
        <w:ind w:left="388" w:right="0" w:firstLine="0"/>
        <w:jc w:val="left"/>
        <w:rPr>
          <w:rFonts w:ascii="Helvetica"/>
          <w:sz w:val="16"/>
        </w:rPr>
      </w:pPr>
      <w:r>
        <w:rPr>
          <w:rFonts w:ascii="Helvetica"/>
          <w:color w:val="231F20"/>
          <w:sz w:val="16"/>
        </w:rPr>
        <w:t>15</w:t>
        <w:tab/>
        <w:t>20</w:t>
      </w:r>
    </w:p>
    <w:p>
      <w:pPr>
        <w:spacing w:after="0"/>
        <w:jc w:val="left"/>
        <w:rPr>
          <w:rFonts w:ascii="Helvetica"/>
          <w:sz w:val="16"/>
        </w:rPr>
        <w:sectPr>
          <w:type w:val="continuous"/>
          <w:pgSz w:w="12240" w:h="15660"/>
          <w:pgMar w:top="0" w:bottom="760" w:left="0" w:right="0"/>
          <w:cols w:num="3" w:equalWidth="0">
            <w:col w:w="7204" w:space="40"/>
            <w:col w:w="1382" w:space="39"/>
            <w:col w:w="3575"/>
          </w:cols>
        </w:sectPr>
      </w:pPr>
    </w:p>
    <w:p>
      <w:pPr>
        <w:pStyle w:val="BodyText"/>
        <w:rPr>
          <w:rFonts w:ascii="Helvetica"/>
          <w:sz w:val="18"/>
        </w:rPr>
      </w:pPr>
    </w:p>
    <w:p>
      <w:pPr>
        <w:pStyle w:val="BodyText"/>
        <w:rPr>
          <w:rFonts w:ascii="Helvetica"/>
          <w:sz w:val="18"/>
        </w:rPr>
      </w:pPr>
    </w:p>
    <w:p>
      <w:pPr>
        <w:spacing w:line="261" w:lineRule="auto" w:before="139"/>
        <w:ind w:left="1080" w:right="467" w:firstLine="0"/>
        <w:jc w:val="center"/>
        <w:rPr>
          <w:rFonts w:ascii="Arial"/>
          <w:sz w:val="16"/>
        </w:rPr>
      </w:pPr>
      <w:bookmarkStart w:name="_bookmark31" w:id="32"/>
      <w:bookmarkEnd w:id="32"/>
      <w:r>
        <w:rPr/>
      </w:r>
      <w:r>
        <w:rPr>
          <w:rFonts w:ascii="Arial"/>
          <w:color w:val="231F20"/>
          <w:sz w:val="16"/>
        </w:rPr>
        <w:t>*Opposite</w:t>
      </w:r>
      <w:r>
        <w:rPr>
          <w:rFonts w:ascii="Arial"/>
          <w:color w:val="231F20"/>
          <w:spacing w:val="-24"/>
          <w:sz w:val="16"/>
        </w:rPr>
        <w:t> </w:t>
      </w:r>
      <w:r>
        <w:rPr>
          <w:rFonts w:ascii="Arial"/>
          <w:color w:val="231F20"/>
          <w:sz w:val="16"/>
        </w:rPr>
        <w:t>changes</w:t>
      </w:r>
      <w:r>
        <w:rPr>
          <w:rFonts w:ascii="Arial"/>
          <w:color w:val="231F20"/>
          <w:spacing w:val="-23"/>
          <w:sz w:val="16"/>
        </w:rPr>
        <w:t> </w:t>
      </w:r>
      <w:r>
        <w:rPr>
          <w:rFonts w:ascii="Arial"/>
          <w:color w:val="231F20"/>
          <w:sz w:val="16"/>
        </w:rPr>
        <w:t>in</w:t>
      </w:r>
      <w:r>
        <w:rPr>
          <w:rFonts w:ascii="Arial"/>
          <w:color w:val="231F20"/>
          <w:spacing w:val="-24"/>
          <w:sz w:val="16"/>
        </w:rPr>
        <w:t> </w:t>
      </w:r>
      <w:r>
        <w:rPr>
          <w:rFonts w:ascii="Arial"/>
          <w:color w:val="231F20"/>
          <w:sz w:val="16"/>
        </w:rPr>
        <w:t>the</w:t>
      </w:r>
      <w:r>
        <w:rPr>
          <w:rFonts w:ascii="Arial"/>
          <w:color w:val="231F20"/>
          <w:spacing w:val="-23"/>
          <w:sz w:val="16"/>
        </w:rPr>
        <w:t> </w:t>
      </w:r>
      <w:r>
        <w:rPr>
          <w:rFonts w:ascii="Arial"/>
          <w:color w:val="231F20"/>
          <w:sz w:val="16"/>
        </w:rPr>
        <w:t>determinants</w:t>
      </w:r>
      <w:r>
        <w:rPr>
          <w:rFonts w:ascii="Arial"/>
          <w:color w:val="231F20"/>
          <w:spacing w:val="-24"/>
          <w:sz w:val="16"/>
        </w:rPr>
        <w:t> </w:t>
      </w:r>
      <w:r>
        <w:rPr>
          <w:rFonts w:ascii="Arial"/>
          <w:color w:val="231F20"/>
          <w:sz w:val="16"/>
        </w:rPr>
        <w:t>usually</w:t>
      </w:r>
      <w:r>
        <w:rPr>
          <w:rFonts w:ascii="Arial"/>
          <w:color w:val="231F20"/>
          <w:spacing w:val="-23"/>
          <w:sz w:val="16"/>
        </w:rPr>
        <w:t> </w:t>
      </w:r>
      <w:r>
        <w:rPr>
          <w:rFonts w:ascii="Arial"/>
          <w:color w:val="231F20"/>
          <w:sz w:val="16"/>
        </w:rPr>
        <w:t>increase</w:t>
      </w:r>
      <w:r>
        <w:rPr>
          <w:rFonts w:ascii="Arial"/>
          <w:color w:val="231F20"/>
          <w:spacing w:val="-23"/>
          <w:sz w:val="16"/>
        </w:rPr>
        <w:t> </w:t>
      </w:r>
      <w:r>
        <w:rPr>
          <w:rFonts w:ascii="Arial"/>
          <w:color w:val="231F20"/>
          <w:spacing w:val="-3"/>
          <w:sz w:val="16"/>
        </w:rPr>
        <w:t>GFR. </w:t>
      </w:r>
      <w:r>
        <w:rPr>
          <w:rFonts w:ascii="Arial"/>
          <w:color w:val="231F20"/>
          <w:spacing w:val="-5"/>
          <w:sz w:val="16"/>
        </w:rPr>
        <w:t>A</w:t>
      </w:r>
      <w:r>
        <w:rPr>
          <w:rFonts w:ascii="Arial"/>
          <w:color w:val="231F20"/>
          <w:spacing w:val="-5"/>
          <w:position w:val="-1"/>
          <w:sz w:val="9"/>
        </w:rPr>
        <w:t>P</w:t>
      </w:r>
      <w:r>
        <w:rPr>
          <w:rFonts w:ascii="Arial"/>
          <w:color w:val="231F20"/>
          <w:spacing w:val="-5"/>
          <w:sz w:val="16"/>
        </w:rPr>
        <w:t>,</w:t>
      </w:r>
      <w:r>
        <w:rPr>
          <w:rFonts w:ascii="Arial"/>
          <w:color w:val="231F20"/>
          <w:spacing w:val="-21"/>
          <w:sz w:val="16"/>
        </w:rPr>
        <w:t> </w:t>
      </w:r>
      <w:r>
        <w:rPr>
          <w:rFonts w:ascii="Arial"/>
          <w:color w:val="231F20"/>
          <w:sz w:val="16"/>
        </w:rPr>
        <w:t>systemic</w:t>
      </w:r>
      <w:r>
        <w:rPr>
          <w:rFonts w:ascii="Arial"/>
          <w:color w:val="231F20"/>
          <w:spacing w:val="-20"/>
          <w:sz w:val="16"/>
        </w:rPr>
        <w:t> </w:t>
      </w:r>
      <w:r>
        <w:rPr>
          <w:rFonts w:ascii="Arial"/>
          <w:color w:val="231F20"/>
          <w:sz w:val="16"/>
        </w:rPr>
        <w:t>arterial</w:t>
      </w:r>
      <w:r>
        <w:rPr>
          <w:rFonts w:ascii="Arial"/>
          <w:color w:val="231F20"/>
          <w:spacing w:val="-20"/>
          <w:sz w:val="16"/>
        </w:rPr>
        <w:t> </w:t>
      </w:r>
      <w:r>
        <w:rPr>
          <w:rFonts w:ascii="Arial"/>
          <w:color w:val="231F20"/>
          <w:sz w:val="16"/>
        </w:rPr>
        <w:t>pressure;</w:t>
      </w:r>
      <w:r>
        <w:rPr>
          <w:rFonts w:ascii="Arial"/>
          <w:color w:val="231F20"/>
          <w:spacing w:val="-20"/>
          <w:sz w:val="16"/>
        </w:rPr>
        <w:t> </w:t>
      </w:r>
      <w:r>
        <w:rPr>
          <w:rFonts w:ascii="Arial"/>
          <w:color w:val="231F20"/>
          <w:sz w:val="16"/>
        </w:rPr>
        <w:t>GFR,</w:t>
      </w:r>
      <w:r>
        <w:rPr>
          <w:rFonts w:ascii="Arial"/>
          <w:color w:val="231F20"/>
          <w:spacing w:val="-20"/>
          <w:sz w:val="16"/>
        </w:rPr>
        <w:t> </w:t>
      </w:r>
      <w:r>
        <w:rPr>
          <w:rFonts w:ascii="Arial"/>
          <w:color w:val="231F20"/>
          <w:sz w:val="16"/>
        </w:rPr>
        <w:t>glomerular</w:t>
      </w:r>
      <w:r>
        <w:rPr>
          <w:rFonts w:ascii="Arial"/>
          <w:color w:val="231F20"/>
          <w:spacing w:val="-20"/>
          <w:sz w:val="16"/>
        </w:rPr>
        <w:t> </w:t>
      </w:r>
      <w:r>
        <w:rPr>
          <w:rFonts w:ascii="Arial"/>
          <w:color w:val="231F20"/>
          <w:sz w:val="16"/>
        </w:rPr>
        <w:t>filtration</w:t>
      </w:r>
      <w:r>
        <w:rPr>
          <w:rFonts w:ascii="Arial"/>
          <w:color w:val="231F20"/>
          <w:spacing w:val="-20"/>
          <w:sz w:val="16"/>
        </w:rPr>
        <w:t> </w:t>
      </w:r>
      <w:r>
        <w:rPr>
          <w:rFonts w:ascii="Arial"/>
          <w:color w:val="231F20"/>
          <w:sz w:val="16"/>
        </w:rPr>
        <w:t>rate;</w:t>
      </w:r>
    </w:p>
    <w:p>
      <w:pPr>
        <w:spacing w:line="254" w:lineRule="auto" w:before="0"/>
        <w:ind w:left="1240" w:right="367" w:firstLine="0"/>
        <w:jc w:val="left"/>
        <w:rPr>
          <w:rFonts w:ascii="Arial" w:hAnsi="Arial"/>
          <w:sz w:val="16"/>
        </w:rPr>
      </w:pPr>
      <w:r>
        <w:rPr>
          <w:rFonts w:ascii="Arial" w:hAnsi="Arial"/>
          <w:color w:val="231F20"/>
          <w:sz w:val="16"/>
        </w:rPr>
        <w:t>K</w:t>
      </w:r>
      <w:r>
        <w:rPr>
          <w:rFonts w:ascii="Arial" w:hAnsi="Arial"/>
          <w:color w:val="231F20"/>
          <w:position w:val="-1"/>
          <w:sz w:val="9"/>
        </w:rPr>
        <w:t>f</w:t>
      </w:r>
      <w:r>
        <w:rPr>
          <w:rFonts w:ascii="Arial" w:hAnsi="Arial"/>
          <w:color w:val="231F20"/>
          <w:sz w:val="16"/>
        </w:rPr>
        <w:t>, glomerular filtration coefficient; P</w:t>
      </w:r>
      <w:r>
        <w:rPr>
          <w:rFonts w:ascii="Arial" w:hAnsi="Arial"/>
          <w:color w:val="231F20"/>
          <w:position w:val="-1"/>
          <w:sz w:val="9"/>
        </w:rPr>
        <w:t>B</w:t>
      </w:r>
      <w:r>
        <w:rPr>
          <w:rFonts w:ascii="Arial" w:hAnsi="Arial"/>
          <w:color w:val="231F20"/>
          <w:sz w:val="16"/>
        </w:rPr>
        <w:t>, </w:t>
      </w:r>
      <w:r>
        <w:rPr>
          <w:rFonts w:ascii="Arial" w:hAnsi="Arial"/>
          <w:color w:val="231F20"/>
          <w:spacing w:val="-3"/>
          <w:sz w:val="16"/>
        </w:rPr>
        <w:t>Bowman’s </w:t>
      </w:r>
      <w:r>
        <w:rPr>
          <w:rFonts w:ascii="Arial" w:hAnsi="Arial"/>
          <w:color w:val="231F20"/>
          <w:sz w:val="16"/>
        </w:rPr>
        <w:t>capsule hydrostatic</w:t>
      </w:r>
      <w:r>
        <w:rPr>
          <w:rFonts w:ascii="Arial" w:hAnsi="Arial"/>
          <w:color w:val="231F20"/>
          <w:spacing w:val="-21"/>
          <w:sz w:val="16"/>
        </w:rPr>
        <w:t> </w:t>
      </w:r>
      <w:r>
        <w:rPr>
          <w:rFonts w:ascii="Arial" w:hAnsi="Arial"/>
          <w:color w:val="231F20"/>
          <w:sz w:val="16"/>
        </w:rPr>
        <w:t>pressure;</w:t>
      </w:r>
      <w:r>
        <w:rPr>
          <w:rFonts w:ascii="Arial" w:hAnsi="Arial"/>
          <w:color w:val="231F20"/>
          <w:spacing w:val="-21"/>
          <w:sz w:val="16"/>
        </w:rPr>
        <w:t> </w:t>
      </w:r>
      <w:r>
        <w:rPr>
          <w:rFonts w:ascii="Consolas" w:hAnsi="Consolas"/>
          <w:color w:val="231F20"/>
          <w:sz w:val="16"/>
        </w:rPr>
        <w:t>π</w:t>
      </w:r>
      <w:r>
        <w:rPr>
          <w:rFonts w:ascii="Arial" w:hAnsi="Arial"/>
          <w:color w:val="231F20"/>
          <w:position w:val="-1"/>
          <w:sz w:val="9"/>
        </w:rPr>
        <w:t>G</w:t>
      </w:r>
      <w:r>
        <w:rPr>
          <w:rFonts w:ascii="Arial" w:hAnsi="Arial"/>
          <w:color w:val="231F20"/>
          <w:sz w:val="16"/>
        </w:rPr>
        <w:t>,</w:t>
      </w:r>
      <w:r>
        <w:rPr>
          <w:rFonts w:ascii="Arial" w:hAnsi="Arial"/>
          <w:color w:val="231F20"/>
          <w:spacing w:val="-20"/>
          <w:sz w:val="16"/>
        </w:rPr>
        <w:t> </w:t>
      </w:r>
      <w:r>
        <w:rPr>
          <w:rFonts w:ascii="Arial" w:hAnsi="Arial"/>
          <w:color w:val="231F20"/>
          <w:sz w:val="16"/>
        </w:rPr>
        <w:t>glomerular</w:t>
      </w:r>
      <w:r>
        <w:rPr>
          <w:rFonts w:ascii="Arial" w:hAnsi="Arial"/>
          <w:color w:val="231F20"/>
          <w:spacing w:val="-21"/>
          <w:sz w:val="16"/>
        </w:rPr>
        <w:t> </w:t>
      </w:r>
      <w:r>
        <w:rPr>
          <w:rFonts w:ascii="Arial" w:hAnsi="Arial"/>
          <w:color w:val="231F20"/>
          <w:sz w:val="16"/>
        </w:rPr>
        <w:t>capillary</w:t>
      </w:r>
      <w:r>
        <w:rPr>
          <w:rFonts w:ascii="Arial" w:hAnsi="Arial"/>
          <w:color w:val="231F20"/>
          <w:spacing w:val="-21"/>
          <w:sz w:val="16"/>
        </w:rPr>
        <w:t> </w:t>
      </w:r>
      <w:r>
        <w:rPr>
          <w:rFonts w:ascii="Arial" w:hAnsi="Arial"/>
          <w:color w:val="231F20"/>
          <w:sz w:val="16"/>
        </w:rPr>
        <w:t>colloid</w:t>
      </w:r>
      <w:r>
        <w:rPr>
          <w:rFonts w:ascii="Arial" w:hAnsi="Arial"/>
          <w:color w:val="231F20"/>
          <w:spacing w:val="-20"/>
          <w:sz w:val="16"/>
        </w:rPr>
        <w:t> </w:t>
      </w:r>
      <w:r>
        <w:rPr>
          <w:rFonts w:ascii="Arial" w:hAnsi="Arial"/>
          <w:color w:val="231F20"/>
          <w:sz w:val="16"/>
        </w:rPr>
        <w:t>osmotic pressure;</w:t>
      </w:r>
      <w:r>
        <w:rPr>
          <w:rFonts w:ascii="Arial" w:hAnsi="Arial"/>
          <w:color w:val="231F20"/>
          <w:spacing w:val="-10"/>
          <w:sz w:val="16"/>
        </w:rPr>
        <w:t> </w:t>
      </w:r>
      <w:r>
        <w:rPr>
          <w:rFonts w:ascii="Arial" w:hAnsi="Arial"/>
          <w:color w:val="231F20"/>
          <w:sz w:val="16"/>
        </w:rPr>
        <w:t>P</w:t>
      </w:r>
      <w:r>
        <w:rPr>
          <w:rFonts w:ascii="Arial" w:hAnsi="Arial"/>
          <w:color w:val="231F20"/>
          <w:position w:val="-1"/>
          <w:sz w:val="9"/>
        </w:rPr>
        <w:t>G</w:t>
      </w:r>
      <w:r>
        <w:rPr>
          <w:rFonts w:ascii="Arial" w:hAnsi="Arial"/>
          <w:color w:val="231F20"/>
          <w:sz w:val="16"/>
        </w:rPr>
        <w:t>,</w:t>
      </w:r>
      <w:r>
        <w:rPr>
          <w:rFonts w:ascii="Arial" w:hAnsi="Arial"/>
          <w:color w:val="231F20"/>
          <w:spacing w:val="-9"/>
          <w:sz w:val="16"/>
        </w:rPr>
        <w:t> </w:t>
      </w:r>
      <w:r>
        <w:rPr>
          <w:rFonts w:ascii="Arial" w:hAnsi="Arial"/>
          <w:color w:val="231F20"/>
          <w:sz w:val="16"/>
        </w:rPr>
        <w:t>glomerular</w:t>
      </w:r>
      <w:r>
        <w:rPr>
          <w:rFonts w:ascii="Arial" w:hAnsi="Arial"/>
          <w:color w:val="231F20"/>
          <w:spacing w:val="-9"/>
          <w:sz w:val="16"/>
        </w:rPr>
        <w:t> </w:t>
      </w:r>
      <w:r>
        <w:rPr>
          <w:rFonts w:ascii="Arial" w:hAnsi="Arial"/>
          <w:color w:val="231F20"/>
          <w:sz w:val="16"/>
        </w:rPr>
        <w:t>capillary</w:t>
      </w:r>
      <w:r>
        <w:rPr>
          <w:rFonts w:ascii="Arial" w:hAnsi="Arial"/>
          <w:color w:val="231F20"/>
          <w:spacing w:val="-10"/>
          <w:sz w:val="16"/>
        </w:rPr>
        <w:t> </w:t>
      </w:r>
      <w:r>
        <w:rPr>
          <w:rFonts w:ascii="Arial" w:hAnsi="Arial"/>
          <w:color w:val="231F20"/>
          <w:sz w:val="16"/>
        </w:rPr>
        <w:t>hydrostatic</w:t>
      </w:r>
      <w:r>
        <w:rPr>
          <w:rFonts w:ascii="Arial" w:hAnsi="Arial"/>
          <w:color w:val="231F20"/>
          <w:spacing w:val="-9"/>
          <w:sz w:val="16"/>
        </w:rPr>
        <w:t> </w:t>
      </w:r>
      <w:r>
        <w:rPr>
          <w:rFonts w:ascii="Arial" w:hAnsi="Arial"/>
          <w:color w:val="231F20"/>
          <w:sz w:val="16"/>
        </w:rPr>
        <w:t>pressure;</w:t>
      </w:r>
    </w:p>
    <w:p>
      <w:pPr>
        <w:spacing w:line="187" w:lineRule="exact" w:before="0"/>
        <w:ind w:left="1240" w:right="0" w:firstLine="0"/>
        <w:jc w:val="left"/>
        <w:rPr>
          <w:rFonts w:ascii="Arial"/>
          <w:sz w:val="16"/>
        </w:rPr>
      </w:pPr>
      <w:r>
        <w:rPr>
          <w:rFonts w:ascii="Arial"/>
          <w:color w:val="231F20"/>
          <w:sz w:val="16"/>
        </w:rPr>
        <w:t>R</w:t>
      </w:r>
      <w:r>
        <w:rPr>
          <w:rFonts w:ascii="Arial"/>
          <w:color w:val="231F20"/>
          <w:position w:val="-1"/>
          <w:sz w:val="9"/>
        </w:rPr>
        <w:t>A</w:t>
      </w:r>
      <w:r>
        <w:rPr>
          <w:rFonts w:ascii="Arial"/>
          <w:color w:val="231F20"/>
          <w:sz w:val="16"/>
        </w:rPr>
        <w:t>,</w:t>
      </w:r>
      <w:r>
        <w:rPr>
          <w:rFonts w:ascii="Arial"/>
          <w:color w:val="231F20"/>
          <w:spacing w:val="-22"/>
          <w:sz w:val="16"/>
        </w:rPr>
        <w:t> </w:t>
      </w:r>
      <w:r>
        <w:rPr>
          <w:rFonts w:ascii="Arial"/>
          <w:color w:val="231F20"/>
          <w:sz w:val="16"/>
        </w:rPr>
        <w:t>afferent</w:t>
      </w:r>
      <w:r>
        <w:rPr>
          <w:rFonts w:ascii="Arial"/>
          <w:color w:val="231F20"/>
          <w:spacing w:val="-22"/>
          <w:sz w:val="16"/>
        </w:rPr>
        <w:t> </w:t>
      </w:r>
      <w:r>
        <w:rPr>
          <w:rFonts w:ascii="Arial"/>
          <w:color w:val="231F20"/>
          <w:sz w:val="16"/>
        </w:rPr>
        <w:t>arteriolar</w:t>
      </w:r>
      <w:r>
        <w:rPr>
          <w:rFonts w:ascii="Arial"/>
          <w:color w:val="231F20"/>
          <w:spacing w:val="-22"/>
          <w:sz w:val="16"/>
        </w:rPr>
        <w:t> </w:t>
      </w:r>
      <w:r>
        <w:rPr>
          <w:rFonts w:ascii="Arial"/>
          <w:color w:val="231F20"/>
          <w:sz w:val="16"/>
        </w:rPr>
        <w:t>resistance;</w:t>
      </w:r>
      <w:r>
        <w:rPr>
          <w:rFonts w:ascii="Arial"/>
          <w:color w:val="231F20"/>
          <w:spacing w:val="-21"/>
          <w:sz w:val="16"/>
        </w:rPr>
        <w:t> </w:t>
      </w:r>
      <w:r>
        <w:rPr>
          <w:rFonts w:ascii="Arial"/>
          <w:color w:val="231F20"/>
          <w:sz w:val="16"/>
        </w:rPr>
        <w:t>R</w:t>
      </w:r>
      <w:r>
        <w:rPr>
          <w:rFonts w:ascii="Arial"/>
          <w:color w:val="231F20"/>
          <w:position w:val="-1"/>
          <w:sz w:val="9"/>
        </w:rPr>
        <w:t>E</w:t>
      </w:r>
      <w:r>
        <w:rPr>
          <w:rFonts w:ascii="Arial"/>
          <w:color w:val="231F20"/>
          <w:sz w:val="16"/>
        </w:rPr>
        <w:t>,</w:t>
      </w:r>
      <w:r>
        <w:rPr>
          <w:rFonts w:ascii="Arial"/>
          <w:color w:val="231F20"/>
          <w:spacing w:val="-22"/>
          <w:sz w:val="16"/>
        </w:rPr>
        <w:t> </w:t>
      </w:r>
      <w:r>
        <w:rPr>
          <w:rFonts w:ascii="Arial"/>
          <w:color w:val="231F20"/>
          <w:sz w:val="16"/>
        </w:rPr>
        <w:t>efferent</w:t>
      </w:r>
      <w:r>
        <w:rPr>
          <w:rFonts w:ascii="Arial"/>
          <w:color w:val="231F20"/>
          <w:spacing w:val="-22"/>
          <w:sz w:val="16"/>
        </w:rPr>
        <w:t> </w:t>
      </w:r>
      <w:r>
        <w:rPr>
          <w:rFonts w:ascii="Arial"/>
          <w:color w:val="231F20"/>
          <w:sz w:val="16"/>
        </w:rPr>
        <w:t>arteriolar</w:t>
      </w:r>
      <w:r>
        <w:rPr>
          <w:rFonts w:ascii="Arial"/>
          <w:color w:val="231F20"/>
          <w:spacing w:val="-22"/>
          <w:sz w:val="16"/>
        </w:rPr>
        <w:t> </w:t>
      </w:r>
      <w:r>
        <w:rPr>
          <w:rFonts w:ascii="Arial"/>
          <w:color w:val="231F20"/>
          <w:sz w:val="16"/>
        </w:rPr>
        <w:t>resistance.</w:t>
      </w:r>
    </w:p>
    <w:p>
      <w:pPr>
        <w:pStyle w:val="BodyText"/>
        <w:rPr>
          <w:rFonts w:ascii="Arial"/>
        </w:rPr>
      </w:pPr>
    </w:p>
    <w:p>
      <w:pPr>
        <w:pStyle w:val="BodyText"/>
        <w:spacing w:before="7"/>
        <w:rPr>
          <w:rFonts w:ascii="Arial"/>
          <w:sz w:val="26"/>
        </w:rPr>
      </w:pPr>
      <w:r>
        <w:rPr/>
        <w:pict>
          <v:shape style="position:absolute;margin-left:54pt;margin-top:16.50477pt;width:234pt;height:16pt;mso-position-horizontal-relative:page;mso-position-vertical-relative:paragraph;z-index:-251358208;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RENAL BLOOD FLOW</w:t>
                  </w:r>
                </w:p>
              </w:txbxContent>
            </v:textbox>
            <v:fill type="solid"/>
            <w10:wrap type="topAndBottom"/>
          </v:shape>
        </w:pict>
      </w:r>
    </w:p>
    <w:p>
      <w:pPr>
        <w:pStyle w:val="BodyText"/>
        <w:spacing w:line="20" w:lineRule="exact"/>
        <w:ind w:left="1075" w:right="-72"/>
        <w:rPr>
          <w:rFonts w:ascii="Arial"/>
          <w:sz w:val="2"/>
        </w:rPr>
      </w:pPr>
      <w:r>
        <w:rPr>
          <w:rFonts w:ascii="Arial"/>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rFonts w:ascii="Arial"/>
          <w:sz w:val="2"/>
        </w:rPr>
      </w:r>
    </w:p>
    <w:p>
      <w:pPr>
        <w:pStyle w:val="BodyText"/>
        <w:spacing w:line="249" w:lineRule="auto" w:before="64"/>
        <w:ind w:left="1080"/>
        <w:jc w:val="both"/>
      </w:pPr>
      <w:r>
        <w:rPr>
          <w:color w:val="231F20"/>
          <w:w w:val="105"/>
        </w:rPr>
        <w:t>In</w:t>
      </w:r>
      <w:r>
        <w:rPr>
          <w:color w:val="231F20"/>
          <w:spacing w:val="-7"/>
          <w:w w:val="105"/>
        </w:rPr>
        <w:t> </w:t>
      </w:r>
      <w:r>
        <w:rPr>
          <w:color w:val="231F20"/>
          <w:w w:val="105"/>
        </w:rPr>
        <w:t>a</w:t>
      </w:r>
      <w:r>
        <w:rPr>
          <w:color w:val="231F20"/>
          <w:spacing w:val="-6"/>
          <w:w w:val="105"/>
        </w:rPr>
        <w:t> </w:t>
      </w:r>
      <w:r>
        <w:rPr>
          <w:color w:val="231F20"/>
          <w:w w:val="105"/>
        </w:rPr>
        <w:t>70­kilogram</w:t>
      </w:r>
      <w:r>
        <w:rPr>
          <w:color w:val="231F20"/>
          <w:spacing w:val="-6"/>
          <w:w w:val="105"/>
        </w:rPr>
        <w:t> </w:t>
      </w:r>
      <w:r>
        <w:rPr>
          <w:color w:val="231F20"/>
          <w:w w:val="105"/>
        </w:rPr>
        <w:t>man,</w:t>
      </w:r>
      <w:r>
        <w:rPr>
          <w:color w:val="231F20"/>
          <w:spacing w:val="-6"/>
          <w:w w:val="105"/>
        </w:rPr>
        <w:t> </w:t>
      </w:r>
      <w:r>
        <w:rPr>
          <w:color w:val="231F20"/>
          <w:w w:val="105"/>
        </w:rPr>
        <w:t>the</w:t>
      </w:r>
      <w:r>
        <w:rPr>
          <w:color w:val="231F20"/>
          <w:spacing w:val="-7"/>
          <w:w w:val="105"/>
        </w:rPr>
        <w:t> </w:t>
      </w:r>
      <w:r>
        <w:rPr>
          <w:color w:val="231F20"/>
          <w:w w:val="105"/>
        </w:rPr>
        <w:t>combined</w:t>
      </w:r>
      <w:r>
        <w:rPr>
          <w:color w:val="231F20"/>
          <w:spacing w:val="-6"/>
          <w:w w:val="105"/>
        </w:rPr>
        <w:t> </w:t>
      </w:r>
      <w:r>
        <w:rPr>
          <w:color w:val="231F20"/>
          <w:w w:val="105"/>
        </w:rPr>
        <w:t>blood</w:t>
      </w:r>
      <w:r>
        <w:rPr>
          <w:color w:val="231F20"/>
          <w:spacing w:val="-6"/>
          <w:w w:val="105"/>
        </w:rPr>
        <w:t> </w:t>
      </w:r>
      <w:r>
        <w:rPr>
          <w:color w:val="231F20"/>
          <w:w w:val="105"/>
        </w:rPr>
        <w:t>flow</w:t>
      </w:r>
      <w:r>
        <w:rPr>
          <w:color w:val="231F20"/>
          <w:spacing w:val="-6"/>
          <w:w w:val="105"/>
        </w:rPr>
        <w:t> </w:t>
      </w:r>
      <w:r>
        <w:rPr>
          <w:color w:val="231F20"/>
          <w:spacing w:val="-4"/>
          <w:w w:val="105"/>
        </w:rPr>
        <w:t>through </w:t>
      </w:r>
      <w:r>
        <w:rPr>
          <w:color w:val="231F20"/>
          <w:w w:val="105"/>
        </w:rPr>
        <w:t>both kidneys is about 1100 ml/min, or about 22 </w:t>
      </w:r>
      <w:r>
        <w:rPr>
          <w:color w:val="231F20"/>
          <w:spacing w:val="-3"/>
          <w:w w:val="105"/>
        </w:rPr>
        <w:t>percent </w:t>
      </w:r>
      <w:r>
        <w:rPr>
          <w:color w:val="231F20"/>
          <w:w w:val="105"/>
        </w:rPr>
        <w:t>of the cardiac output. Considering that the two kidneys constitute</w:t>
      </w:r>
      <w:r>
        <w:rPr>
          <w:color w:val="231F20"/>
          <w:spacing w:val="-22"/>
          <w:w w:val="105"/>
        </w:rPr>
        <w:t> </w:t>
      </w:r>
      <w:r>
        <w:rPr>
          <w:color w:val="231F20"/>
          <w:w w:val="105"/>
        </w:rPr>
        <w:t>only</w:t>
      </w:r>
      <w:r>
        <w:rPr>
          <w:color w:val="231F20"/>
          <w:spacing w:val="-21"/>
          <w:w w:val="105"/>
        </w:rPr>
        <w:t> </w:t>
      </w:r>
      <w:r>
        <w:rPr>
          <w:color w:val="231F20"/>
          <w:w w:val="105"/>
        </w:rPr>
        <w:t>about</w:t>
      </w:r>
      <w:r>
        <w:rPr>
          <w:color w:val="231F20"/>
          <w:spacing w:val="-22"/>
          <w:w w:val="105"/>
        </w:rPr>
        <w:t> </w:t>
      </w:r>
      <w:r>
        <w:rPr>
          <w:color w:val="231F20"/>
          <w:w w:val="105"/>
        </w:rPr>
        <w:t>0.4</w:t>
      </w:r>
      <w:r>
        <w:rPr>
          <w:color w:val="231F20"/>
          <w:spacing w:val="-21"/>
          <w:w w:val="105"/>
        </w:rPr>
        <w:t> </w:t>
      </w:r>
      <w:r>
        <w:rPr>
          <w:color w:val="231F20"/>
          <w:w w:val="105"/>
        </w:rPr>
        <w:t>percent</w:t>
      </w:r>
      <w:r>
        <w:rPr>
          <w:color w:val="231F20"/>
          <w:spacing w:val="-21"/>
          <w:w w:val="105"/>
        </w:rPr>
        <w:t> </w:t>
      </w:r>
      <w:r>
        <w:rPr>
          <w:color w:val="231F20"/>
          <w:w w:val="105"/>
        </w:rPr>
        <w:t>of</w:t>
      </w:r>
      <w:r>
        <w:rPr>
          <w:color w:val="231F20"/>
          <w:spacing w:val="-22"/>
          <w:w w:val="105"/>
        </w:rPr>
        <w:t> </w:t>
      </w:r>
      <w:r>
        <w:rPr>
          <w:color w:val="231F20"/>
          <w:w w:val="105"/>
        </w:rPr>
        <w:t>the</w:t>
      </w:r>
      <w:r>
        <w:rPr>
          <w:color w:val="231F20"/>
          <w:spacing w:val="-21"/>
          <w:w w:val="105"/>
        </w:rPr>
        <w:t> </w:t>
      </w:r>
      <w:r>
        <w:rPr>
          <w:color w:val="231F20"/>
          <w:w w:val="105"/>
        </w:rPr>
        <w:t>total</w:t>
      </w:r>
      <w:r>
        <w:rPr>
          <w:color w:val="231F20"/>
          <w:spacing w:val="-21"/>
          <w:w w:val="105"/>
        </w:rPr>
        <w:t> </w:t>
      </w:r>
      <w:r>
        <w:rPr>
          <w:color w:val="231F20"/>
          <w:w w:val="105"/>
        </w:rPr>
        <w:t>body</w:t>
      </w:r>
      <w:r>
        <w:rPr>
          <w:color w:val="231F20"/>
          <w:spacing w:val="-22"/>
          <w:w w:val="105"/>
        </w:rPr>
        <w:t> </w:t>
      </w:r>
      <w:r>
        <w:rPr>
          <w:color w:val="231F20"/>
          <w:w w:val="105"/>
        </w:rPr>
        <w:t>weight, one can readily see that they receive an extremely high blood flow compared with other</w:t>
      </w:r>
      <w:r>
        <w:rPr>
          <w:color w:val="231F20"/>
          <w:spacing w:val="6"/>
          <w:w w:val="105"/>
        </w:rPr>
        <w:t> </w:t>
      </w:r>
      <w:r>
        <w:rPr>
          <w:color w:val="231F20"/>
          <w:w w:val="105"/>
        </w:rPr>
        <w:t>organs.</w:t>
      </w:r>
    </w:p>
    <w:p>
      <w:pPr>
        <w:pStyle w:val="BodyText"/>
        <w:spacing w:line="249" w:lineRule="auto" w:before="5"/>
        <w:ind w:left="1080" w:firstLine="240"/>
        <w:jc w:val="both"/>
      </w:pPr>
      <w:r>
        <w:rPr>
          <w:color w:val="231F20"/>
          <w:w w:val="105"/>
        </w:rPr>
        <w:t>As</w:t>
      </w:r>
      <w:r>
        <w:rPr>
          <w:color w:val="231F20"/>
          <w:spacing w:val="-11"/>
          <w:w w:val="105"/>
        </w:rPr>
        <w:t> </w:t>
      </w:r>
      <w:r>
        <w:rPr>
          <w:color w:val="231F20"/>
          <w:w w:val="105"/>
        </w:rPr>
        <w:t>with</w:t>
      </w:r>
      <w:r>
        <w:rPr>
          <w:color w:val="231F20"/>
          <w:spacing w:val="-11"/>
          <w:w w:val="105"/>
        </w:rPr>
        <w:t> </w:t>
      </w:r>
      <w:r>
        <w:rPr>
          <w:color w:val="231F20"/>
          <w:w w:val="105"/>
        </w:rPr>
        <w:t>other</w:t>
      </w:r>
      <w:r>
        <w:rPr>
          <w:color w:val="231F20"/>
          <w:spacing w:val="-11"/>
          <w:w w:val="105"/>
        </w:rPr>
        <w:t> </w:t>
      </w:r>
      <w:r>
        <w:rPr>
          <w:color w:val="231F20"/>
          <w:w w:val="105"/>
        </w:rPr>
        <w:t>tissues,</w:t>
      </w:r>
      <w:r>
        <w:rPr>
          <w:color w:val="231F20"/>
          <w:spacing w:val="-10"/>
          <w:w w:val="105"/>
        </w:rPr>
        <w:t> </w:t>
      </w:r>
      <w:r>
        <w:rPr>
          <w:color w:val="231F20"/>
          <w:w w:val="105"/>
        </w:rPr>
        <w:t>blood</w:t>
      </w:r>
      <w:r>
        <w:rPr>
          <w:color w:val="231F20"/>
          <w:spacing w:val="-11"/>
          <w:w w:val="105"/>
        </w:rPr>
        <w:t> </w:t>
      </w:r>
      <w:r>
        <w:rPr>
          <w:color w:val="231F20"/>
          <w:w w:val="105"/>
        </w:rPr>
        <w:t>flow</w:t>
      </w:r>
      <w:r>
        <w:rPr>
          <w:color w:val="231F20"/>
          <w:spacing w:val="-11"/>
          <w:w w:val="105"/>
        </w:rPr>
        <w:t> </w:t>
      </w:r>
      <w:r>
        <w:rPr>
          <w:color w:val="231F20"/>
          <w:w w:val="105"/>
        </w:rPr>
        <w:t>supplies</w:t>
      </w:r>
      <w:r>
        <w:rPr>
          <w:color w:val="231F20"/>
          <w:spacing w:val="-10"/>
          <w:w w:val="105"/>
        </w:rPr>
        <w:t> </w:t>
      </w:r>
      <w:r>
        <w:rPr>
          <w:color w:val="231F20"/>
          <w:w w:val="105"/>
        </w:rPr>
        <w:t>the</w:t>
      </w:r>
      <w:r>
        <w:rPr>
          <w:color w:val="231F20"/>
          <w:spacing w:val="-11"/>
          <w:w w:val="105"/>
        </w:rPr>
        <w:t> </w:t>
      </w:r>
      <w:r>
        <w:rPr>
          <w:color w:val="231F20"/>
          <w:spacing w:val="-3"/>
          <w:w w:val="105"/>
        </w:rPr>
        <w:t>kidneys </w:t>
      </w:r>
      <w:r>
        <w:rPr>
          <w:color w:val="231F20"/>
          <w:w w:val="105"/>
        </w:rPr>
        <w:t>with</w:t>
      </w:r>
      <w:r>
        <w:rPr>
          <w:color w:val="231F20"/>
          <w:spacing w:val="-21"/>
          <w:w w:val="105"/>
        </w:rPr>
        <w:t> </w:t>
      </w:r>
      <w:r>
        <w:rPr>
          <w:color w:val="231F20"/>
          <w:w w:val="105"/>
        </w:rPr>
        <w:t>nutrients</w:t>
      </w:r>
      <w:r>
        <w:rPr>
          <w:color w:val="231F20"/>
          <w:spacing w:val="-20"/>
          <w:w w:val="105"/>
        </w:rPr>
        <w:t> </w:t>
      </w:r>
      <w:r>
        <w:rPr>
          <w:color w:val="231F20"/>
          <w:w w:val="105"/>
        </w:rPr>
        <w:t>and</w:t>
      </w:r>
      <w:r>
        <w:rPr>
          <w:color w:val="231F20"/>
          <w:spacing w:val="-21"/>
          <w:w w:val="105"/>
        </w:rPr>
        <w:t> </w:t>
      </w:r>
      <w:r>
        <w:rPr>
          <w:color w:val="231F20"/>
          <w:w w:val="105"/>
        </w:rPr>
        <w:t>removes</w:t>
      </w:r>
      <w:r>
        <w:rPr>
          <w:color w:val="231F20"/>
          <w:spacing w:val="-20"/>
          <w:w w:val="105"/>
        </w:rPr>
        <w:t> </w:t>
      </w:r>
      <w:r>
        <w:rPr>
          <w:color w:val="231F20"/>
          <w:w w:val="105"/>
        </w:rPr>
        <w:t>waste</w:t>
      </w:r>
      <w:r>
        <w:rPr>
          <w:color w:val="231F20"/>
          <w:spacing w:val="-21"/>
          <w:w w:val="105"/>
        </w:rPr>
        <w:t> </w:t>
      </w:r>
      <w:r>
        <w:rPr>
          <w:color w:val="231F20"/>
          <w:w w:val="105"/>
        </w:rPr>
        <w:t>products.</w:t>
      </w:r>
      <w:r>
        <w:rPr>
          <w:color w:val="231F20"/>
          <w:spacing w:val="-20"/>
          <w:w w:val="105"/>
        </w:rPr>
        <w:t> </w:t>
      </w:r>
      <w:r>
        <w:rPr>
          <w:color w:val="231F20"/>
          <w:w w:val="105"/>
        </w:rPr>
        <w:t>However,</w:t>
      </w:r>
      <w:r>
        <w:rPr>
          <w:color w:val="231F20"/>
          <w:spacing w:val="-20"/>
          <w:w w:val="105"/>
        </w:rPr>
        <w:t> </w:t>
      </w:r>
      <w:r>
        <w:rPr>
          <w:color w:val="231F20"/>
          <w:spacing w:val="-5"/>
          <w:w w:val="105"/>
        </w:rPr>
        <w:t>the </w:t>
      </w:r>
      <w:r>
        <w:rPr>
          <w:color w:val="231F20"/>
          <w:w w:val="105"/>
        </w:rPr>
        <w:t>high flow to the kidneys greatly exceeds this need. The purpose</w:t>
      </w:r>
      <w:r>
        <w:rPr>
          <w:color w:val="231F20"/>
          <w:spacing w:val="-26"/>
          <w:w w:val="105"/>
        </w:rPr>
        <w:t> </w:t>
      </w:r>
      <w:r>
        <w:rPr>
          <w:color w:val="231F20"/>
          <w:w w:val="105"/>
        </w:rPr>
        <w:t>of</w:t>
      </w:r>
      <w:r>
        <w:rPr>
          <w:color w:val="231F20"/>
          <w:spacing w:val="-26"/>
          <w:w w:val="105"/>
        </w:rPr>
        <w:t> </w:t>
      </w:r>
      <w:r>
        <w:rPr>
          <w:color w:val="231F20"/>
          <w:w w:val="105"/>
        </w:rPr>
        <w:t>this</w:t>
      </w:r>
      <w:r>
        <w:rPr>
          <w:color w:val="231F20"/>
          <w:spacing w:val="-26"/>
          <w:w w:val="105"/>
        </w:rPr>
        <w:t> </w:t>
      </w:r>
      <w:r>
        <w:rPr>
          <w:color w:val="231F20"/>
          <w:w w:val="105"/>
        </w:rPr>
        <w:t>additional</w:t>
      </w:r>
      <w:r>
        <w:rPr>
          <w:color w:val="231F20"/>
          <w:spacing w:val="-26"/>
          <w:w w:val="105"/>
        </w:rPr>
        <w:t> </w:t>
      </w:r>
      <w:r>
        <w:rPr>
          <w:color w:val="231F20"/>
          <w:w w:val="105"/>
        </w:rPr>
        <w:t>flow</w:t>
      </w:r>
      <w:r>
        <w:rPr>
          <w:color w:val="231F20"/>
          <w:spacing w:val="-25"/>
          <w:w w:val="105"/>
        </w:rPr>
        <w:t> </w:t>
      </w:r>
      <w:r>
        <w:rPr>
          <w:color w:val="231F20"/>
          <w:w w:val="105"/>
        </w:rPr>
        <w:t>is</w:t>
      </w:r>
      <w:r>
        <w:rPr>
          <w:color w:val="231F20"/>
          <w:spacing w:val="-26"/>
          <w:w w:val="105"/>
        </w:rPr>
        <w:t> </w:t>
      </w:r>
      <w:r>
        <w:rPr>
          <w:color w:val="231F20"/>
          <w:w w:val="105"/>
        </w:rPr>
        <w:t>to</w:t>
      </w:r>
      <w:r>
        <w:rPr>
          <w:color w:val="231F20"/>
          <w:spacing w:val="-26"/>
          <w:w w:val="105"/>
        </w:rPr>
        <w:t> </w:t>
      </w:r>
      <w:r>
        <w:rPr>
          <w:color w:val="231F20"/>
          <w:w w:val="105"/>
        </w:rPr>
        <w:t>supply</w:t>
      </w:r>
      <w:r>
        <w:rPr>
          <w:color w:val="231F20"/>
          <w:spacing w:val="-26"/>
          <w:w w:val="105"/>
        </w:rPr>
        <w:t> </w:t>
      </w:r>
      <w:r>
        <w:rPr>
          <w:color w:val="231F20"/>
          <w:w w:val="105"/>
        </w:rPr>
        <w:t>enough</w:t>
      </w:r>
      <w:r>
        <w:rPr>
          <w:color w:val="231F20"/>
          <w:spacing w:val="-25"/>
          <w:w w:val="105"/>
        </w:rPr>
        <w:t> </w:t>
      </w:r>
      <w:r>
        <w:rPr>
          <w:color w:val="231F20"/>
          <w:spacing w:val="-3"/>
          <w:w w:val="105"/>
        </w:rPr>
        <w:t>plasma </w:t>
      </w:r>
      <w:r>
        <w:rPr>
          <w:color w:val="231F20"/>
          <w:w w:val="105"/>
        </w:rPr>
        <w:t>for the high rates of glomerular filtration that are </w:t>
      </w:r>
      <w:r>
        <w:rPr>
          <w:color w:val="231F20"/>
          <w:spacing w:val="-3"/>
          <w:w w:val="105"/>
        </w:rPr>
        <w:t>neces­ </w:t>
      </w:r>
      <w:r>
        <w:rPr>
          <w:color w:val="231F20"/>
          <w:w w:val="105"/>
        </w:rPr>
        <w:t>sary for precise regulation of body fluid volumes </w:t>
      </w:r>
      <w:r>
        <w:rPr>
          <w:color w:val="231F20"/>
          <w:spacing w:val="-5"/>
          <w:w w:val="105"/>
        </w:rPr>
        <w:t>and </w:t>
      </w:r>
      <w:r>
        <w:rPr>
          <w:color w:val="231F20"/>
          <w:w w:val="105"/>
        </w:rPr>
        <w:t>solute</w:t>
      </w:r>
      <w:r>
        <w:rPr>
          <w:color w:val="231F20"/>
          <w:spacing w:val="-10"/>
          <w:w w:val="105"/>
        </w:rPr>
        <w:t> </w:t>
      </w:r>
      <w:r>
        <w:rPr>
          <w:color w:val="231F20"/>
          <w:w w:val="105"/>
        </w:rPr>
        <w:t>concentrations.</w:t>
      </w:r>
      <w:r>
        <w:rPr>
          <w:color w:val="231F20"/>
          <w:spacing w:val="-10"/>
          <w:w w:val="105"/>
        </w:rPr>
        <w:t> </w:t>
      </w:r>
      <w:r>
        <w:rPr>
          <w:color w:val="231F20"/>
          <w:w w:val="105"/>
        </w:rPr>
        <w:t>As</w:t>
      </w:r>
      <w:r>
        <w:rPr>
          <w:color w:val="231F20"/>
          <w:spacing w:val="-10"/>
          <w:w w:val="105"/>
        </w:rPr>
        <w:t> </w:t>
      </w:r>
      <w:r>
        <w:rPr>
          <w:color w:val="231F20"/>
          <w:w w:val="105"/>
        </w:rPr>
        <w:t>might</w:t>
      </w:r>
      <w:r>
        <w:rPr>
          <w:color w:val="231F20"/>
          <w:spacing w:val="-10"/>
          <w:w w:val="105"/>
        </w:rPr>
        <w:t> </w:t>
      </w:r>
      <w:r>
        <w:rPr>
          <w:color w:val="231F20"/>
          <w:w w:val="105"/>
        </w:rPr>
        <w:t>be</w:t>
      </w:r>
      <w:r>
        <w:rPr>
          <w:color w:val="231F20"/>
          <w:spacing w:val="-10"/>
          <w:w w:val="105"/>
        </w:rPr>
        <w:t> </w:t>
      </w:r>
      <w:r>
        <w:rPr>
          <w:color w:val="231F20"/>
          <w:w w:val="105"/>
        </w:rPr>
        <w:t>expected,</w:t>
      </w:r>
      <w:r>
        <w:rPr>
          <w:color w:val="231F20"/>
          <w:spacing w:val="-10"/>
          <w:w w:val="105"/>
        </w:rPr>
        <w:t> </w:t>
      </w:r>
      <w:r>
        <w:rPr>
          <w:color w:val="231F20"/>
          <w:w w:val="105"/>
        </w:rPr>
        <w:t>the</w:t>
      </w:r>
      <w:r>
        <w:rPr>
          <w:color w:val="231F20"/>
          <w:spacing w:val="-10"/>
          <w:w w:val="105"/>
        </w:rPr>
        <w:t> </w:t>
      </w:r>
      <w:r>
        <w:rPr>
          <w:color w:val="231F20"/>
          <w:w w:val="105"/>
        </w:rPr>
        <w:t>mecha­ nisms</w:t>
      </w:r>
      <w:r>
        <w:rPr>
          <w:color w:val="231F20"/>
          <w:spacing w:val="-12"/>
          <w:w w:val="105"/>
        </w:rPr>
        <w:t> </w:t>
      </w:r>
      <w:r>
        <w:rPr>
          <w:color w:val="231F20"/>
          <w:w w:val="105"/>
        </w:rPr>
        <w:t>that</w:t>
      </w:r>
      <w:r>
        <w:rPr>
          <w:color w:val="231F20"/>
          <w:spacing w:val="-12"/>
          <w:w w:val="105"/>
        </w:rPr>
        <w:t> </w:t>
      </w:r>
      <w:r>
        <w:rPr>
          <w:color w:val="231F20"/>
          <w:w w:val="105"/>
        </w:rPr>
        <w:t>regulate</w:t>
      </w:r>
      <w:r>
        <w:rPr>
          <w:color w:val="231F20"/>
          <w:spacing w:val="-12"/>
          <w:w w:val="105"/>
        </w:rPr>
        <w:t> </w:t>
      </w:r>
      <w:r>
        <w:rPr>
          <w:color w:val="231F20"/>
          <w:w w:val="105"/>
        </w:rPr>
        <w:t>renal</w:t>
      </w:r>
      <w:r>
        <w:rPr>
          <w:color w:val="231F20"/>
          <w:spacing w:val="-11"/>
          <w:w w:val="105"/>
        </w:rPr>
        <w:t> </w:t>
      </w:r>
      <w:r>
        <w:rPr>
          <w:color w:val="231F20"/>
          <w:w w:val="105"/>
        </w:rPr>
        <w:t>blood</w:t>
      </w:r>
      <w:r>
        <w:rPr>
          <w:color w:val="231F20"/>
          <w:spacing w:val="-12"/>
          <w:w w:val="105"/>
        </w:rPr>
        <w:t> </w:t>
      </w:r>
      <w:r>
        <w:rPr>
          <w:color w:val="231F20"/>
          <w:w w:val="105"/>
        </w:rPr>
        <w:t>flow</w:t>
      </w:r>
      <w:r>
        <w:rPr>
          <w:color w:val="231F20"/>
          <w:spacing w:val="-12"/>
          <w:w w:val="105"/>
        </w:rPr>
        <w:t> </w:t>
      </w:r>
      <w:r>
        <w:rPr>
          <w:color w:val="231F20"/>
          <w:w w:val="105"/>
        </w:rPr>
        <w:t>are</w:t>
      </w:r>
      <w:r>
        <w:rPr>
          <w:color w:val="231F20"/>
          <w:spacing w:val="-11"/>
          <w:w w:val="105"/>
        </w:rPr>
        <w:t> </w:t>
      </w:r>
      <w:r>
        <w:rPr>
          <w:color w:val="231F20"/>
          <w:w w:val="105"/>
        </w:rPr>
        <w:t>closely</w:t>
      </w:r>
      <w:r>
        <w:rPr>
          <w:color w:val="231F20"/>
          <w:spacing w:val="-12"/>
          <w:w w:val="105"/>
        </w:rPr>
        <w:t> </w:t>
      </w:r>
      <w:r>
        <w:rPr>
          <w:color w:val="231F20"/>
          <w:w w:val="105"/>
        </w:rPr>
        <w:t>linked</w:t>
      </w:r>
      <w:r>
        <w:rPr>
          <w:color w:val="231F20"/>
          <w:spacing w:val="-12"/>
          <w:w w:val="105"/>
        </w:rPr>
        <w:t> </w:t>
      </w:r>
      <w:r>
        <w:rPr>
          <w:color w:val="231F20"/>
          <w:w w:val="105"/>
        </w:rPr>
        <w:t>to the control of GFR and the excretory functions of </w:t>
      </w:r>
      <w:r>
        <w:rPr>
          <w:color w:val="231F20"/>
          <w:spacing w:val="-6"/>
          <w:w w:val="105"/>
        </w:rPr>
        <w:t>the </w:t>
      </w:r>
      <w:r>
        <w:rPr>
          <w:color w:val="231F20"/>
          <w:w w:val="105"/>
        </w:rPr>
        <w:t>kidneys.</w:t>
      </w:r>
    </w:p>
    <w:p>
      <w:pPr>
        <w:pStyle w:val="BodyText"/>
        <w:spacing w:before="4"/>
        <w:rPr>
          <w:sz w:val="31"/>
        </w:rPr>
      </w:pPr>
    </w:p>
    <w:p>
      <w:pPr>
        <w:pStyle w:val="Heading2"/>
        <w:spacing w:line="225" w:lineRule="auto" w:before="1"/>
        <w:ind w:left="1080" w:right="1935"/>
      </w:pPr>
      <w:r>
        <w:rPr>
          <w:color w:val="231F20"/>
          <w:w w:val="105"/>
        </w:rPr>
        <w:t>RENAL BLOOD FLOW AND OXYGEN CONSUMPTION</w:t>
      </w:r>
    </w:p>
    <w:p>
      <w:pPr>
        <w:pStyle w:val="BodyText"/>
        <w:spacing w:line="249" w:lineRule="auto" w:before="127"/>
        <w:ind w:left="1072"/>
        <w:jc w:val="right"/>
      </w:pPr>
      <w:r>
        <w:rPr>
          <w:color w:val="231F20"/>
          <w:w w:val="105"/>
        </w:rPr>
        <w:t>On</w:t>
      </w:r>
      <w:r>
        <w:rPr>
          <w:color w:val="231F20"/>
          <w:spacing w:val="21"/>
          <w:w w:val="105"/>
        </w:rPr>
        <w:t> </w:t>
      </w:r>
      <w:r>
        <w:rPr>
          <w:color w:val="231F20"/>
          <w:w w:val="105"/>
        </w:rPr>
        <w:t>a</w:t>
      </w:r>
      <w:r>
        <w:rPr>
          <w:color w:val="231F20"/>
          <w:spacing w:val="22"/>
          <w:w w:val="105"/>
        </w:rPr>
        <w:t> </w:t>
      </w:r>
      <w:r>
        <w:rPr>
          <w:color w:val="231F20"/>
          <w:w w:val="105"/>
        </w:rPr>
        <w:t>per­gram­weight</w:t>
      </w:r>
      <w:r>
        <w:rPr>
          <w:color w:val="231F20"/>
          <w:spacing w:val="21"/>
          <w:w w:val="105"/>
        </w:rPr>
        <w:t> </w:t>
      </w:r>
      <w:r>
        <w:rPr>
          <w:color w:val="231F20"/>
          <w:w w:val="105"/>
        </w:rPr>
        <w:t>basis,</w:t>
      </w:r>
      <w:r>
        <w:rPr>
          <w:color w:val="231F20"/>
          <w:spacing w:val="22"/>
          <w:w w:val="105"/>
        </w:rPr>
        <w:t> </w:t>
      </w:r>
      <w:r>
        <w:rPr>
          <w:color w:val="231F20"/>
          <w:w w:val="105"/>
        </w:rPr>
        <w:t>the</w:t>
      </w:r>
      <w:r>
        <w:rPr>
          <w:color w:val="231F20"/>
          <w:spacing w:val="21"/>
          <w:w w:val="105"/>
        </w:rPr>
        <w:t> </w:t>
      </w:r>
      <w:r>
        <w:rPr>
          <w:color w:val="231F20"/>
          <w:w w:val="105"/>
        </w:rPr>
        <w:t>kidneys</w:t>
      </w:r>
      <w:r>
        <w:rPr>
          <w:color w:val="231F20"/>
          <w:spacing w:val="22"/>
          <w:w w:val="105"/>
        </w:rPr>
        <w:t> </w:t>
      </w:r>
      <w:r>
        <w:rPr>
          <w:color w:val="231F20"/>
          <w:w w:val="105"/>
        </w:rPr>
        <w:t>normally</w:t>
      </w:r>
      <w:r>
        <w:rPr>
          <w:color w:val="231F20"/>
          <w:w w:val="97"/>
        </w:rPr>
        <w:t> </w:t>
      </w:r>
      <w:r>
        <w:rPr>
          <w:color w:val="231F20"/>
          <w:w w:val="105"/>
        </w:rPr>
        <w:t>consume</w:t>
      </w:r>
      <w:r>
        <w:rPr>
          <w:color w:val="231F20"/>
          <w:spacing w:val="8"/>
          <w:w w:val="105"/>
        </w:rPr>
        <w:t> </w:t>
      </w:r>
      <w:r>
        <w:rPr>
          <w:color w:val="231F20"/>
          <w:w w:val="105"/>
        </w:rPr>
        <w:t>oxygen</w:t>
      </w:r>
      <w:r>
        <w:rPr>
          <w:color w:val="231F20"/>
          <w:spacing w:val="9"/>
          <w:w w:val="105"/>
        </w:rPr>
        <w:t> </w:t>
      </w:r>
      <w:r>
        <w:rPr>
          <w:color w:val="231F20"/>
          <w:w w:val="105"/>
        </w:rPr>
        <w:t>at</w:t>
      </w:r>
      <w:r>
        <w:rPr>
          <w:color w:val="231F20"/>
          <w:spacing w:val="8"/>
          <w:w w:val="105"/>
        </w:rPr>
        <w:t> </w:t>
      </w:r>
      <w:r>
        <w:rPr>
          <w:color w:val="231F20"/>
          <w:w w:val="105"/>
        </w:rPr>
        <w:t>twice</w:t>
      </w:r>
      <w:r>
        <w:rPr>
          <w:color w:val="231F20"/>
          <w:spacing w:val="9"/>
          <w:w w:val="105"/>
        </w:rPr>
        <w:t> </w:t>
      </w:r>
      <w:r>
        <w:rPr>
          <w:color w:val="231F20"/>
          <w:w w:val="105"/>
        </w:rPr>
        <w:t>the</w:t>
      </w:r>
      <w:r>
        <w:rPr>
          <w:color w:val="231F20"/>
          <w:spacing w:val="8"/>
          <w:w w:val="105"/>
        </w:rPr>
        <w:t> </w:t>
      </w:r>
      <w:r>
        <w:rPr>
          <w:color w:val="231F20"/>
          <w:w w:val="105"/>
        </w:rPr>
        <w:t>rate</w:t>
      </w:r>
      <w:r>
        <w:rPr>
          <w:color w:val="231F20"/>
          <w:spacing w:val="9"/>
          <w:w w:val="105"/>
        </w:rPr>
        <w:t> </w:t>
      </w:r>
      <w:r>
        <w:rPr>
          <w:color w:val="231F20"/>
          <w:w w:val="105"/>
        </w:rPr>
        <w:t>of</w:t>
      </w:r>
      <w:r>
        <w:rPr>
          <w:color w:val="231F20"/>
          <w:spacing w:val="8"/>
          <w:w w:val="105"/>
        </w:rPr>
        <w:t> </w:t>
      </w:r>
      <w:r>
        <w:rPr>
          <w:color w:val="231F20"/>
          <w:w w:val="105"/>
        </w:rPr>
        <w:t>the</w:t>
      </w:r>
      <w:r>
        <w:rPr>
          <w:color w:val="231F20"/>
          <w:spacing w:val="9"/>
          <w:w w:val="105"/>
        </w:rPr>
        <w:t> </w:t>
      </w:r>
      <w:r>
        <w:rPr>
          <w:color w:val="231F20"/>
          <w:w w:val="105"/>
        </w:rPr>
        <w:t>brain</w:t>
      </w:r>
      <w:r>
        <w:rPr>
          <w:color w:val="231F20"/>
          <w:spacing w:val="9"/>
          <w:w w:val="105"/>
        </w:rPr>
        <w:t> </w:t>
      </w:r>
      <w:r>
        <w:rPr>
          <w:color w:val="231F20"/>
          <w:w w:val="105"/>
        </w:rPr>
        <w:t>but</w:t>
      </w:r>
      <w:r>
        <w:rPr>
          <w:color w:val="231F20"/>
          <w:spacing w:val="8"/>
          <w:w w:val="105"/>
        </w:rPr>
        <w:t> </w:t>
      </w:r>
      <w:r>
        <w:rPr>
          <w:color w:val="231F20"/>
          <w:spacing w:val="-5"/>
          <w:w w:val="105"/>
        </w:rPr>
        <w:t>have</w:t>
      </w:r>
      <w:r>
        <w:rPr>
          <w:color w:val="231F20"/>
          <w:w w:val="96"/>
        </w:rPr>
        <w:t> </w:t>
      </w:r>
      <w:r>
        <w:rPr>
          <w:color w:val="231F20"/>
          <w:w w:val="105"/>
        </w:rPr>
        <w:t>almost</w:t>
      </w:r>
      <w:r>
        <w:rPr>
          <w:color w:val="231F20"/>
          <w:spacing w:val="-11"/>
          <w:w w:val="105"/>
        </w:rPr>
        <w:t> </w:t>
      </w:r>
      <w:r>
        <w:rPr>
          <w:color w:val="231F20"/>
          <w:w w:val="105"/>
        </w:rPr>
        <w:t>seven</w:t>
      </w:r>
      <w:r>
        <w:rPr>
          <w:color w:val="231F20"/>
          <w:spacing w:val="-10"/>
          <w:w w:val="105"/>
        </w:rPr>
        <w:t> </w:t>
      </w:r>
      <w:r>
        <w:rPr>
          <w:color w:val="231F20"/>
          <w:w w:val="105"/>
        </w:rPr>
        <w:t>times</w:t>
      </w:r>
      <w:r>
        <w:rPr>
          <w:color w:val="231F20"/>
          <w:spacing w:val="-11"/>
          <w:w w:val="105"/>
        </w:rPr>
        <w:t> </w:t>
      </w:r>
      <w:r>
        <w:rPr>
          <w:color w:val="231F20"/>
          <w:w w:val="105"/>
        </w:rPr>
        <w:t>the</w:t>
      </w:r>
      <w:r>
        <w:rPr>
          <w:color w:val="231F20"/>
          <w:spacing w:val="-10"/>
          <w:w w:val="105"/>
        </w:rPr>
        <w:t> </w:t>
      </w:r>
      <w:r>
        <w:rPr>
          <w:color w:val="231F20"/>
          <w:w w:val="105"/>
        </w:rPr>
        <w:t>blood</w:t>
      </w:r>
      <w:r>
        <w:rPr>
          <w:color w:val="231F20"/>
          <w:spacing w:val="-10"/>
          <w:w w:val="105"/>
        </w:rPr>
        <w:t> </w:t>
      </w:r>
      <w:r>
        <w:rPr>
          <w:color w:val="231F20"/>
          <w:w w:val="105"/>
        </w:rPr>
        <w:t>flow</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1"/>
          <w:w w:val="105"/>
        </w:rPr>
        <w:t> </w:t>
      </w:r>
      <w:r>
        <w:rPr>
          <w:color w:val="231F20"/>
          <w:w w:val="105"/>
        </w:rPr>
        <w:t>brain.</w:t>
      </w:r>
      <w:r>
        <w:rPr>
          <w:color w:val="231F20"/>
          <w:spacing w:val="-10"/>
          <w:w w:val="105"/>
        </w:rPr>
        <w:t> </w:t>
      </w:r>
      <w:r>
        <w:rPr>
          <w:color w:val="231F20"/>
          <w:w w:val="105"/>
        </w:rPr>
        <w:t>Thus,</w:t>
      </w:r>
      <w:r>
        <w:rPr>
          <w:color w:val="231F20"/>
          <w:spacing w:val="-10"/>
          <w:w w:val="105"/>
        </w:rPr>
        <w:t> </w:t>
      </w:r>
      <w:r>
        <w:rPr>
          <w:color w:val="231F20"/>
          <w:spacing w:val="-6"/>
          <w:w w:val="105"/>
        </w:rPr>
        <w:t>the</w:t>
      </w:r>
      <w:r>
        <w:rPr>
          <w:color w:val="231F20"/>
          <w:w w:val="104"/>
        </w:rPr>
        <w:t> </w:t>
      </w:r>
      <w:r>
        <w:rPr>
          <w:color w:val="231F20"/>
          <w:w w:val="105"/>
        </w:rPr>
        <w:t>oxygen delivered to the kidneys far exceeds</w:t>
      </w:r>
      <w:r>
        <w:rPr>
          <w:color w:val="231F20"/>
          <w:spacing w:val="19"/>
          <w:w w:val="105"/>
        </w:rPr>
        <w:t> </w:t>
      </w:r>
      <w:r>
        <w:rPr>
          <w:color w:val="231F20"/>
          <w:w w:val="105"/>
        </w:rPr>
        <w:t>their</w:t>
      </w:r>
      <w:r>
        <w:rPr>
          <w:color w:val="231F20"/>
          <w:spacing w:val="3"/>
          <w:w w:val="105"/>
        </w:rPr>
        <w:t> </w:t>
      </w:r>
      <w:r>
        <w:rPr>
          <w:color w:val="231F20"/>
          <w:spacing w:val="-3"/>
          <w:w w:val="105"/>
        </w:rPr>
        <w:t>meta­</w:t>
      </w:r>
      <w:r>
        <w:rPr>
          <w:color w:val="231F20"/>
          <w:w w:val="109"/>
        </w:rPr>
        <w:t> </w:t>
      </w:r>
      <w:r>
        <w:rPr>
          <w:color w:val="231F20"/>
          <w:w w:val="105"/>
        </w:rPr>
        <w:t>bolic</w:t>
      </w:r>
      <w:r>
        <w:rPr>
          <w:color w:val="231F20"/>
          <w:spacing w:val="-15"/>
          <w:w w:val="105"/>
        </w:rPr>
        <w:t> </w:t>
      </w:r>
      <w:r>
        <w:rPr>
          <w:color w:val="231F20"/>
          <w:w w:val="105"/>
        </w:rPr>
        <w:t>needs,</w:t>
      </w:r>
      <w:r>
        <w:rPr>
          <w:color w:val="231F20"/>
          <w:spacing w:val="-14"/>
          <w:w w:val="105"/>
        </w:rPr>
        <w:t> </w:t>
      </w:r>
      <w:r>
        <w:rPr>
          <w:color w:val="231F20"/>
          <w:w w:val="105"/>
        </w:rPr>
        <w:t>and</w:t>
      </w:r>
      <w:r>
        <w:rPr>
          <w:color w:val="231F20"/>
          <w:spacing w:val="-14"/>
          <w:w w:val="105"/>
        </w:rPr>
        <w:t> </w:t>
      </w:r>
      <w:r>
        <w:rPr>
          <w:color w:val="231F20"/>
          <w:w w:val="105"/>
        </w:rPr>
        <w:t>the</w:t>
      </w:r>
      <w:r>
        <w:rPr>
          <w:color w:val="231F20"/>
          <w:spacing w:val="-14"/>
          <w:w w:val="105"/>
        </w:rPr>
        <w:t> </w:t>
      </w:r>
      <w:r>
        <w:rPr>
          <w:color w:val="231F20"/>
          <w:w w:val="105"/>
        </w:rPr>
        <w:t>arterial­venous</w:t>
      </w:r>
      <w:r>
        <w:rPr>
          <w:color w:val="231F20"/>
          <w:spacing w:val="-15"/>
          <w:w w:val="105"/>
        </w:rPr>
        <w:t> </w:t>
      </w:r>
      <w:r>
        <w:rPr>
          <w:color w:val="231F20"/>
          <w:w w:val="105"/>
        </w:rPr>
        <w:t>extraction</w:t>
      </w:r>
      <w:r>
        <w:rPr>
          <w:color w:val="231F20"/>
          <w:spacing w:val="-14"/>
          <w:w w:val="105"/>
        </w:rPr>
        <w:t> </w:t>
      </w:r>
      <w:r>
        <w:rPr>
          <w:color w:val="231F20"/>
          <w:w w:val="105"/>
        </w:rPr>
        <w:t>of</w:t>
      </w:r>
      <w:r>
        <w:rPr>
          <w:color w:val="231F20"/>
          <w:spacing w:val="-14"/>
          <w:w w:val="105"/>
        </w:rPr>
        <w:t> </w:t>
      </w:r>
      <w:r>
        <w:rPr>
          <w:color w:val="231F20"/>
          <w:w w:val="105"/>
        </w:rPr>
        <w:t>oxygen</w:t>
      </w:r>
      <w:r>
        <w:rPr>
          <w:color w:val="231F20"/>
          <w:w w:val="105"/>
        </w:rPr>
        <w:t> </w:t>
      </w:r>
      <w:r>
        <w:rPr>
          <w:color w:val="231F20"/>
          <w:w w:val="105"/>
        </w:rPr>
        <w:t>is</w:t>
      </w:r>
      <w:r>
        <w:rPr>
          <w:color w:val="231F20"/>
          <w:spacing w:val="-23"/>
          <w:w w:val="105"/>
        </w:rPr>
        <w:t> </w:t>
      </w:r>
      <w:r>
        <w:rPr>
          <w:color w:val="231F20"/>
          <w:w w:val="105"/>
        </w:rPr>
        <w:t>relatively</w:t>
      </w:r>
      <w:r>
        <w:rPr>
          <w:color w:val="231F20"/>
          <w:spacing w:val="-23"/>
          <w:w w:val="105"/>
        </w:rPr>
        <w:t> </w:t>
      </w:r>
      <w:r>
        <w:rPr>
          <w:color w:val="231F20"/>
          <w:w w:val="105"/>
        </w:rPr>
        <w:t>low</w:t>
      </w:r>
      <w:r>
        <w:rPr>
          <w:color w:val="231F20"/>
          <w:spacing w:val="-22"/>
          <w:w w:val="105"/>
        </w:rPr>
        <w:t> </w:t>
      </w:r>
      <w:r>
        <w:rPr>
          <w:color w:val="231F20"/>
          <w:w w:val="105"/>
        </w:rPr>
        <w:t>compared</w:t>
      </w:r>
      <w:r>
        <w:rPr>
          <w:color w:val="231F20"/>
          <w:spacing w:val="-23"/>
          <w:w w:val="105"/>
        </w:rPr>
        <w:t> </w:t>
      </w:r>
      <w:r>
        <w:rPr>
          <w:color w:val="231F20"/>
          <w:w w:val="105"/>
        </w:rPr>
        <w:t>with</w:t>
      </w:r>
      <w:r>
        <w:rPr>
          <w:color w:val="231F20"/>
          <w:spacing w:val="-23"/>
          <w:w w:val="105"/>
        </w:rPr>
        <w:t> </w:t>
      </w:r>
      <w:r>
        <w:rPr>
          <w:color w:val="231F20"/>
          <w:w w:val="105"/>
        </w:rPr>
        <w:t>that</w:t>
      </w:r>
      <w:r>
        <w:rPr>
          <w:color w:val="231F20"/>
          <w:spacing w:val="-22"/>
          <w:w w:val="105"/>
        </w:rPr>
        <w:t> </w:t>
      </w:r>
      <w:r>
        <w:rPr>
          <w:color w:val="231F20"/>
          <w:w w:val="105"/>
        </w:rPr>
        <w:t>of</w:t>
      </w:r>
      <w:r>
        <w:rPr>
          <w:color w:val="231F20"/>
          <w:spacing w:val="-23"/>
          <w:w w:val="105"/>
        </w:rPr>
        <w:t> </w:t>
      </w:r>
      <w:r>
        <w:rPr>
          <w:color w:val="231F20"/>
          <w:w w:val="105"/>
        </w:rPr>
        <w:t>most</w:t>
      </w:r>
      <w:r>
        <w:rPr>
          <w:color w:val="231F20"/>
          <w:spacing w:val="-23"/>
          <w:w w:val="105"/>
        </w:rPr>
        <w:t> </w:t>
      </w:r>
      <w:r>
        <w:rPr>
          <w:color w:val="231F20"/>
          <w:w w:val="105"/>
        </w:rPr>
        <w:t>other</w:t>
      </w:r>
      <w:r>
        <w:rPr>
          <w:color w:val="231F20"/>
          <w:spacing w:val="-22"/>
          <w:w w:val="105"/>
        </w:rPr>
        <w:t> </w:t>
      </w:r>
      <w:r>
        <w:rPr>
          <w:color w:val="231F20"/>
          <w:w w:val="105"/>
        </w:rPr>
        <w:t>tissues.</w:t>
      </w:r>
    </w:p>
    <w:p>
      <w:pPr>
        <w:pStyle w:val="BodyText"/>
        <w:spacing w:line="249" w:lineRule="auto" w:before="5"/>
        <w:ind w:left="1080" w:firstLine="240"/>
        <w:jc w:val="both"/>
      </w:pPr>
      <w:r>
        <w:rPr>
          <w:color w:val="231F20"/>
          <w:w w:val="105"/>
        </w:rPr>
        <w:t>A</w:t>
      </w:r>
      <w:r>
        <w:rPr>
          <w:color w:val="231F20"/>
          <w:spacing w:val="-32"/>
          <w:w w:val="105"/>
        </w:rPr>
        <w:t> </w:t>
      </w:r>
      <w:r>
        <w:rPr>
          <w:color w:val="231F20"/>
          <w:w w:val="105"/>
        </w:rPr>
        <w:t>large</w:t>
      </w:r>
      <w:r>
        <w:rPr>
          <w:color w:val="231F20"/>
          <w:spacing w:val="-31"/>
          <w:w w:val="105"/>
        </w:rPr>
        <w:t> </w:t>
      </w:r>
      <w:r>
        <w:rPr>
          <w:color w:val="231F20"/>
          <w:w w:val="105"/>
        </w:rPr>
        <w:t>fraction</w:t>
      </w:r>
      <w:r>
        <w:rPr>
          <w:color w:val="231F20"/>
          <w:spacing w:val="-32"/>
          <w:w w:val="105"/>
        </w:rPr>
        <w:t> </w:t>
      </w:r>
      <w:r>
        <w:rPr>
          <w:color w:val="231F20"/>
          <w:w w:val="105"/>
        </w:rPr>
        <w:t>of</w:t>
      </w:r>
      <w:r>
        <w:rPr>
          <w:color w:val="231F20"/>
          <w:spacing w:val="-31"/>
          <w:w w:val="105"/>
        </w:rPr>
        <w:t> </w:t>
      </w:r>
      <w:r>
        <w:rPr>
          <w:color w:val="231F20"/>
          <w:w w:val="105"/>
        </w:rPr>
        <w:t>the</w:t>
      </w:r>
      <w:r>
        <w:rPr>
          <w:color w:val="231F20"/>
          <w:spacing w:val="-32"/>
          <w:w w:val="105"/>
        </w:rPr>
        <w:t> </w:t>
      </w:r>
      <w:r>
        <w:rPr>
          <w:color w:val="231F20"/>
          <w:w w:val="105"/>
        </w:rPr>
        <w:t>oxygen</w:t>
      </w:r>
      <w:r>
        <w:rPr>
          <w:color w:val="231F20"/>
          <w:spacing w:val="-31"/>
          <w:w w:val="105"/>
        </w:rPr>
        <w:t> </w:t>
      </w:r>
      <w:r>
        <w:rPr>
          <w:color w:val="231F20"/>
          <w:w w:val="105"/>
        </w:rPr>
        <w:t>consumed</w:t>
      </w:r>
      <w:r>
        <w:rPr>
          <w:color w:val="231F20"/>
          <w:spacing w:val="-32"/>
          <w:w w:val="105"/>
        </w:rPr>
        <w:t> </w:t>
      </w:r>
      <w:r>
        <w:rPr>
          <w:color w:val="231F20"/>
          <w:w w:val="105"/>
        </w:rPr>
        <w:t>by</w:t>
      </w:r>
      <w:r>
        <w:rPr>
          <w:color w:val="231F20"/>
          <w:spacing w:val="-31"/>
          <w:w w:val="105"/>
        </w:rPr>
        <w:t> </w:t>
      </w:r>
      <w:r>
        <w:rPr>
          <w:color w:val="231F20"/>
          <w:w w:val="105"/>
        </w:rPr>
        <w:t>the</w:t>
      </w:r>
      <w:r>
        <w:rPr>
          <w:color w:val="231F20"/>
          <w:spacing w:val="-32"/>
          <w:w w:val="105"/>
        </w:rPr>
        <w:t> </w:t>
      </w:r>
      <w:r>
        <w:rPr>
          <w:color w:val="231F20"/>
          <w:w w:val="105"/>
        </w:rPr>
        <w:t>kidneys is related to the high rate of active sodium reabsorption by the renal tubules. If renal blood flow and GFR are reduced  and  less  sodium  is  filtered,  less  sodium  </w:t>
      </w:r>
      <w:r>
        <w:rPr>
          <w:color w:val="231F20"/>
          <w:spacing w:val="8"/>
          <w:w w:val="105"/>
        </w:rPr>
        <w:t> </w:t>
      </w:r>
      <w:r>
        <w:rPr>
          <w:color w:val="231F20"/>
          <w:spacing w:val="-7"/>
          <w:w w:val="105"/>
        </w:rPr>
        <w:t>is</w:t>
      </w:r>
    </w:p>
    <w:p>
      <w:pPr>
        <w:spacing w:line="235" w:lineRule="auto" w:before="51"/>
        <w:ind w:left="1724" w:right="2063" w:firstLine="511"/>
        <w:jc w:val="left"/>
        <w:rPr>
          <w:rFonts w:ascii="Helvetica"/>
          <w:b/>
          <w:sz w:val="16"/>
        </w:rPr>
      </w:pPr>
      <w:r>
        <w:rPr/>
        <w:br w:type="column"/>
      </w:r>
      <w:r>
        <w:rPr>
          <w:rFonts w:ascii="Helvetica"/>
          <w:b/>
          <w:color w:val="231F20"/>
          <w:sz w:val="16"/>
        </w:rPr>
        <w:t>Sodium reabsorption (mEq/min per 100 g kidney weight)</w:t>
      </w:r>
    </w:p>
    <w:p>
      <w:pPr>
        <w:spacing w:line="254" w:lineRule="auto" w:before="92"/>
        <w:ind w:left="319" w:right="1438" w:firstLine="0"/>
        <w:jc w:val="both"/>
        <w:rPr>
          <w:rFonts w:ascii="Lucida Sans"/>
          <w:i/>
          <w:sz w:val="16"/>
        </w:rPr>
      </w:pPr>
      <w:bookmarkStart w:name="_bookmark32" w:id="33"/>
      <w:bookmarkEnd w:id="33"/>
      <w:r>
        <w:rPr/>
      </w:r>
      <w:r>
        <w:rPr>
          <w:rFonts w:ascii="Trebuchet MS"/>
          <w:b/>
          <w:color w:val="231F20"/>
          <w:sz w:val="16"/>
        </w:rPr>
        <w:t>Figure</w:t>
      </w:r>
      <w:r>
        <w:rPr>
          <w:rFonts w:ascii="Trebuchet MS"/>
          <w:b/>
          <w:color w:val="231F20"/>
          <w:spacing w:val="-34"/>
          <w:sz w:val="16"/>
        </w:rPr>
        <w:t> </w:t>
      </w:r>
      <w:r>
        <w:rPr>
          <w:rFonts w:ascii="Trebuchet MS"/>
          <w:b/>
          <w:color w:val="231F20"/>
          <w:sz w:val="16"/>
        </w:rPr>
        <w:t>27-8.</w:t>
      </w:r>
      <w:r>
        <w:rPr>
          <w:rFonts w:ascii="Trebuchet MS"/>
          <w:b/>
          <w:color w:val="231F20"/>
          <w:spacing w:val="-13"/>
          <w:sz w:val="16"/>
        </w:rPr>
        <w:t> </w:t>
      </w:r>
      <w:r>
        <w:rPr>
          <w:rFonts w:ascii="Arial"/>
          <w:color w:val="231F20"/>
          <w:sz w:val="16"/>
        </w:rPr>
        <w:t>Relationship</w:t>
      </w:r>
      <w:r>
        <w:rPr>
          <w:rFonts w:ascii="Arial"/>
          <w:color w:val="231F20"/>
          <w:spacing w:val="-30"/>
          <w:sz w:val="16"/>
        </w:rPr>
        <w:t> </w:t>
      </w:r>
      <w:r>
        <w:rPr>
          <w:rFonts w:ascii="Arial"/>
          <w:color w:val="231F20"/>
          <w:sz w:val="16"/>
        </w:rPr>
        <w:t>between</w:t>
      </w:r>
      <w:r>
        <w:rPr>
          <w:rFonts w:ascii="Arial"/>
          <w:color w:val="231F20"/>
          <w:spacing w:val="-29"/>
          <w:sz w:val="16"/>
        </w:rPr>
        <w:t> </w:t>
      </w:r>
      <w:r>
        <w:rPr>
          <w:rFonts w:ascii="Arial"/>
          <w:color w:val="231F20"/>
          <w:sz w:val="16"/>
        </w:rPr>
        <w:t>oxygen</w:t>
      </w:r>
      <w:r>
        <w:rPr>
          <w:rFonts w:ascii="Arial"/>
          <w:color w:val="231F20"/>
          <w:spacing w:val="-29"/>
          <w:sz w:val="16"/>
        </w:rPr>
        <w:t> </w:t>
      </w:r>
      <w:r>
        <w:rPr>
          <w:rFonts w:ascii="Arial"/>
          <w:color w:val="231F20"/>
          <w:sz w:val="16"/>
        </w:rPr>
        <w:t>consumption</w:t>
      </w:r>
      <w:r>
        <w:rPr>
          <w:rFonts w:ascii="Arial"/>
          <w:color w:val="231F20"/>
          <w:spacing w:val="-30"/>
          <w:sz w:val="16"/>
        </w:rPr>
        <w:t> </w:t>
      </w:r>
      <w:r>
        <w:rPr>
          <w:rFonts w:ascii="Arial"/>
          <w:color w:val="231F20"/>
          <w:sz w:val="16"/>
        </w:rPr>
        <w:t>and</w:t>
      </w:r>
      <w:r>
        <w:rPr>
          <w:rFonts w:ascii="Arial"/>
          <w:color w:val="231F20"/>
          <w:spacing w:val="-29"/>
          <w:sz w:val="16"/>
        </w:rPr>
        <w:t> </w:t>
      </w:r>
      <w:r>
        <w:rPr>
          <w:rFonts w:ascii="Arial"/>
          <w:color w:val="231F20"/>
          <w:spacing w:val="-3"/>
          <w:sz w:val="16"/>
        </w:rPr>
        <w:t>sodium </w:t>
      </w:r>
      <w:r>
        <w:rPr>
          <w:rFonts w:ascii="Arial"/>
          <w:color w:val="231F20"/>
          <w:w w:val="95"/>
          <w:sz w:val="16"/>
        </w:rPr>
        <w:t>reabsorption</w:t>
      </w:r>
      <w:r>
        <w:rPr>
          <w:rFonts w:ascii="Arial"/>
          <w:color w:val="231F20"/>
          <w:spacing w:val="-9"/>
          <w:w w:val="95"/>
          <w:sz w:val="16"/>
        </w:rPr>
        <w:t> </w:t>
      </w:r>
      <w:r>
        <w:rPr>
          <w:rFonts w:ascii="Arial"/>
          <w:color w:val="231F20"/>
          <w:w w:val="95"/>
          <w:sz w:val="16"/>
        </w:rPr>
        <w:t>in</w:t>
      </w:r>
      <w:r>
        <w:rPr>
          <w:rFonts w:ascii="Arial"/>
          <w:color w:val="231F20"/>
          <w:spacing w:val="-9"/>
          <w:w w:val="95"/>
          <w:sz w:val="16"/>
        </w:rPr>
        <w:t> </w:t>
      </w:r>
      <w:r>
        <w:rPr>
          <w:rFonts w:ascii="Arial"/>
          <w:color w:val="231F20"/>
          <w:w w:val="95"/>
          <w:sz w:val="16"/>
        </w:rPr>
        <w:t>dog</w:t>
      </w:r>
      <w:r>
        <w:rPr>
          <w:rFonts w:ascii="Arial"/>
          <w:color w:val="231F20"/>
          <w:spacing w:val="-9"/>
          <w:w w:val="95"/>
          <w:sz w:val="16"/>
        </w:rPr>
        <w:t> </w:t>
      </w:r>
      <w:r>
        <w:rPr>
          <w:rFonts w:ascii="Arial"/>
          <w:color w:val="231F20"/>
          <w:w w:val="95"/>
          <w:sz w:val="16"/>
        </w:rPr>
        <w:t>kidneys.</w:t>
      </w:r>
      <w:r>
        <w:rPr>
          <w:rFonts w:ascii="Arial"/>
          <w:color w:val="231F20"/>
          <w:spacing w:val="-8"/>
          <w:w w:val="95"/>
          <w:sz w:val="16"/>
        </w:rPr>
        <w:t> </w:t>
      </w:r>
      <w:r>
        <w:rPr>
          <w:rFonts w:ascii="Lucida Sans"/>
          <w:i/>
          <w:color w:val="231F20"/>
          <w:w w:val="95"/>
          <w:sz w:val="16"/>
        </w:rPr>
        <w:t>(From</w:t>
      </w:r>
      <w:r>
        <w:rPr>
          <w:rFonts w:ascii="Lucida Sans"/>
          <w:i/>
          <w:color w:val="231F20"/>
          <w:spacing w:val="-14"/>
          <w:w w:val="95"/>
          <w:sz w:val="16"/>
        </w:rPr>
        <w:t> </w:t>
      </w:r>
      <w:r>
        <w:rPr>
          <w:rFonts w:ascii="Lucida Sans"/>
          <w:i/>
          <w:color w:val="231F20"/>
          <w:w w:val="95"/>
          <w:sz w:val="16"/>
        </w:rPr>
        <w:t>Kramer</w:t>
      </w:r>
      <w:r>
        <w:rPr>
          <w:rFonts w:ascii="Lucida Sans"/>
          <w:i/>
          <w:color w:val="231F20"/>
          <w:spacing w:val="-15"/>
          <w:w w:val="95"/>
          <w:sz w:val="16"/>
        </w:rPr>
        <w:t> </w:t>
      </w:r>
      <w:r>
        <w:rPr>
          <w:rFonts w:ascii="Lucida Sans"/>
          <w:i/>
          <w:color w:val="231F20"/>
          <w:w w:val="95"/>
          <w:sz w:val="16"/>
        </w:rPr>
        <w:t>K,</w:t>
      </w:r>
      <w:r>
        <w:rPr>
          <w:rFonts w:ascii="Lucida Sans"/>
          <w:i/>
          <w:color w:val="231F20"/>
          <w:spacing w:val="-14"/>
          <w:w w:val="95"/>
          <w:sz w:val="16"/>
        </w:rPr>
        <w:t> </w:t>
      </w:r>
      <w:r>
        <w:rPr>
          <w:rFonts w:ascii="Lucida Sans"/>
          <w:i/>
          <w:color w:val="231F20"/>
          <w:w w:val="95"/>
          <w:sz w:val="16"/>
        </w:rPr>
        <w:t>Deetjen</w:t>
      </w:r>
      <w:r>
        <w:rPr>
          <w:rFonts w:ascii="Lucida Sans"/>
          <w:i/>
          <w:color w:val="231F20"/>
          <w:spacing w:val="-15"/>
          <w:w w:val="95"/>
          <w:sz w:val="16"/>
        </w:rPr>
        <w:t> </w:t>
      </w:r>
      <w:r>
        <w:rPr>
          <w:rFonts w:ascii="Lucida Sans"/>
          <w:i/>
          <w:color w:val="231F20"/>
          <w:w w:val="95"/>
          <w:sz w:val="16"/>
        </w:rPr>
        <w:t>P:</w:t>
      </w:r>
      <w:r>
        <w:rPr>
          <w:rFonts w:ascii="Lucida Sans"/>
          <w:i/>
          <w:color w:val="231F20"/>
          <w:spacing w:val="-14"/>
          <w:w w:val="95"/>
          <w:sz w:val="16"/>
        </w:rPr>
        <w:t> </w:t>
      </w:r>
      <w:r>
        <w:rPr>
          <w:rFonts w:ascii="Lucida Sans"/>
          <w:i/>
          <w:color w:val="231F20"/>
          <w:w w:val="95"/>
          <w:sz w:val="16"/>
        </w:rPr>
        <w:t>Relation</w:t>
      </w:r>
      <w:r>
        <w:rPr>
          <w:rFonts w:ascii="Lucida Sans"/>
          <w:i/>
          <w:color w:val="231F20"/>
          <w:spacing w:val="-15"/>
          <w:w w:val="95"/>
          <w:sz w:val="16"/>
        </w:rPr>
        <w:t> </w:t>
      </w:r>
      <w:r>
        <w:rPr>
          <w:rFonts w:ascii="Lucida Sans"/>
          <w:i/>
          <w:color w:val="231F20"/>
          <w:w w:val="95"/>
          <w:sz w:val="16"/>
        </w:rPr>
        <w:t>of </w:t>
      </w:r>
      <w:r>
        <w:rPr>
          <w:rFonts w:ascii="Lucida Sans"/>
          <w:i/>
          <w:color w:val="231F20"/>
          <w:w w:val="90"/>
          <w:sz w:val="16"/>
        </w:rPr>
        <w:t>renal</w:t>
      </w:r>
      <w:r>
        <w:rPr>
          <w:rFonts w:ascii="Lucida Sans"/>
          <w:i/>
          <w:color w:val="231F20"/>
          <w:spacing w:val="-10"/>
          <w:w w:val="90"/>
          <w:sz w:val="16"/>
        </w:rPr>
        <w:t> </w:t>
      </w:r>
      <w:r>
        <w:rPr>
          <w:rFonts w:ascii="Lucida Sans"/>
          <w:i/>
          <w:color w:val="231F20"/>
          <w:w w:val="90"/>
          <w:sz w:val="16"/>
        </w:rPr>
        <w:t>oxygen</w:t>
      </w:r>
      <w:r>
        <w:rPr>
          <w:rFonts w:ascii="Lucida Sans"/>
          <w:i/>
          <w:color w:val="231F20"/>
          <w:spacing w:val="-10"/>
          <w:w w:val="90"/>
          <w:sz w:val="16"/>
        </w:rPr>
        <w:t> </w:t>
      </w:r>
      <w:r>
        <w:rPr>
          <w:rFonts w:ascii="Lucida Sans"/>
          <w:i/>
          <w:color w:val="231F20"/>
          <w:w w:val="90"/>
          <w:sz w:val="16"/>
        </w:rPr>
        <w:t>consumption</w:t>
      </w:r>
      <w:r>
        <w:rPr>
          <w:rFonts w:ascii="Lucida Sans"/>
          <w:i/>
          <w:color w:val="231F20"/>
          <w:spacing w:val="-9"/>
          <w:w w:val="90"/>
          <w:sz w:val="16"/>
        </w:rPr>
        <w:t> </w:t>
      </w:r>
      <w:r>
        <w:rPr>
          <w:rFonts w:ascii="Lucida Sans"/>
          <w:i/>
          <w:color w:val="231F20"/>
          <w:w w:val="90"/>
          <w:sz w:val="16"/>
        </w:rPr>
        <w:t>to</w:t>
      </w:r>
      <w:r>
        <w:rPr>
          <w:rFonts w:ascii="Lucida Sans"/>
          <w:i/>
          <w:color w:val="231F20"/>
          <w:spacing w:val="-10"/>
          <w:w w:val="90"/>
          <w:sz w:val="16"/>
        </w:rPr>
        <w:t> </w:t>
      </w:r>
      <w:r>
        <w:rPr>
          <w:rFonts w:ascii="Lucida Sans"/>
          <w:i/>
          <w:color w:val="231F20"/>
          <w:w w:val="90"/>
          <w:sz w:val="16"/>
        </w:rPr>
        <w:t>blood</w:t>
      </w:r>
      <w:r>
        <w:rPr>
          <w:rFonts w:ascii="Lucida Sans"/>
          <w:i/>
          <w:color w:val="231F20"/>
          <w:spacing w:val="-9"/>
          <w:w w:val="90"/>
          <w:sz w:val="16"/>
        </w:rPr>
        <w:t> </w:t>
      </w:r>
      <w:r>
        <w:rPr>
          <w:rFonts w:ascii="Lucida Sans"/>
          <w:i/>
          <w:color w:val="231F20"/>
          <w:w w:val="90"/>
          <w:sz w:val="16"/>
        </w:rPr>
        <w:t>supply</w:t>
      </w:r>
      <w:r>
        <w:rPr>
          <w:rFonts w:ascii="Lucida Sans"/>
          <w:i/>
          <w:color w:val="231F20"/>
          <w:spacing w:val="-10"/>
          <w:w w:val="90"/>
          <w:sz w:val="16"/>
        </w:rPr>
        <w:t> </w:t>
      </w:r>
      <w:r>
        <w:rPr>
          <w:rFonts w:ascii="Lucida Sans"/>
          <w:i/>
          <w:color w:val="231F20"/>
          <w:w w:val="90"/>
          <w:sz w:val="16"/>
        </w:rPr>
        <w:t>and</w:t>
      </w:r>
      <w:r>
        <w:rPr>
          <w:rFonts w:ascii="Lucida Sans"/>
          <w:i/>
          <w:color w:val="231F20"/>
          <w:spacing w:val="-10"/>
          <w:w w:val="90"/>
          <w:sz w:val="16"/>
        </w:rPr>
        <w:t> </w:t>
      </w:r>
      <w:r>
        <w:rPr>
          <w:rFonts w:ascii="Lucida Sans"/>
          <w:i/>
          <w:color w:val="231F20"/>
          <w:w w:val="90"/>
          <w:sz w:val="16"/>
        </w:rPr>
        <w:t>glomerular</w:t>
      </w:r>
      <w:r>
        <w:rPr>
          <w:rFonts w:ascii="Lucida Sans"/>
          <w:i/>
          <w:color w:val="231F20"/>
          <w:spacing w:val="-9"/>
          <w:w w:val="90"/>
          <w:sz w:val="16"/>
        </w:rPr>
        <w:t> </w:t>
      </w:r>
      <w:r>
        <w:rPr>
          <w:rFonts w:ascii="Lucida Sans"/>
          <w:i/>
          <w:color w:val="231F20"/>
          <w:w w:val="90"/>
          <w:sz w:val="16"/>
        </w:rPr>
        <w:t>filtration during</w:t>
      </w:r>
      <w:r>
        <w:rPr>
          <w:rFonts w:ascii="Lucida Sans"/>
          <w:i/>
          <w:color w:val="231F20"/>
          <w:spacing w:val="-8"/>
          <w:w w:val="90"/>
          <w:sz w:val="16"/>
        </w:rPr>
        <w:t> </w:t>
      </w:r>
      <w:r>
        <w:rPr>
          <w:rFonts w:ascii="Lucida Sans"/>
          <w:i/>
          <w:color w:val="231F20"/>
          <w:w w:val="90"/>
          <w:sz w:val="16"/>
        </w:rPr>
        <w:t>variations</w:t>
      </w:r>
      <w:r>
        <w:rPr>
          <w:rFonts w:ascii="Lucida Sans"/>
          <w:i/>
          <w:color w:val="231F20"/>
          <w:spacing w:val="-7"/>
          <w:w w:val="90"/>
          <w:sz w:val="16"/>
        </w:rPr>
        <w:t> </w:t>
      </w:r>
      <w:r>
        <w:rPr>
          <w:rFonts w:ascii="Lucida Sans"/>
          <w:i/>
          <w:color w:val="231F20"/>
          <w:w w:val="90"/>
          <w:sz w:val="16"/>
        </w:rPr>
        <w:t>of</w:t>
      </w:r>
      <w:r>
        <w:rPr>
          <w:rFonts w:ascii="Lucida Sans"/>
          <w:i/>
          <w:color w:val="231F20"/>
          <w:spacing w:val="-7"/>
          <w:w w:val="90"/>
          <w:sz w:val="16"/>
        </w:rPr>
        <w:t> </w:t>
      </w:r>
      <w:r>
        <w:rPr>
          <w:rFonts w:ascii="Lucida Sans"/>
          <w:i/>
          <w:color w:val="231F20"/>
          <w:w w:val="90"/>
          <w:sz w:val="16"/>
        </w:rPr>
        <w:t>blood</w:t>
      </w:r>
      <w:r>
        <w:rPr>
          <w:rFonts w:ascii="Lucida Sans"/>
          <w:i/>
          <w:color w:val="231F20"/>
          <w:spacing w:val="-7"/>
          <w:w w:val="90"/>
          <w:sz w:val="16"/>
        </w:rPr>
        <w:t> </w:t>
      </w:r>
      <w:r>
        <w:rPr>
          <w:rFonts w:ascii="Lucida Sans"/>
          <w:i/>
          <w:color w:val="231F20"/>
          <w:w w:val="90"/>
          <w:sz w:val="16"/>
        </w:rPr>
        <w:t>pressure.</w:t>
      </w:r>
      <w:r>
        <w:rPr>
          <w:rFonts w:ascii="Lucida Sans"/>
          <w:i/>
          <w:color w:val="231F20"/>
          <w:spacing w:val="-7"/>
          <w:w w:val="90"/>
          <w:sz w:val="16"/>
        </w:rPr>
        <w:t> </w:t>
      </w:r>
      <w:r>
        <w:rPr>
          <w:rFonts w:ascii="Lucida Sans"/>
          <w:i/>
          <w:color w:val="231F20"/>
          <w:w w:val="90"/>
          <w:sz w:val="16"/>
        </w:rPr>
        <w:t>Pflugers</w:t>
      </w:r>
      <w:r>
        <w:rPr>
          <w:rFonts w:ascii="Lucida Sans"/>
          <w:i/>
          <w:color w:val="231F20"/>
          <w:spacing w:val="-7"/>
          <w:w w:val="90"/>
          <w:sz w:val="16"/>
        </w:rPr>
        <w:t> </w:t>
      </w:r>
      <w:r>
        <w:rPr>
          <w:rFonts w:ascii="Lucida Sans"/>
          <w:i/>
          <w:color w:val="231F20"/>
          <w:w w:val="90"/>
          <w:sz w:val="16"/>
        </w:rPr>
        <w:t>Arch</w:t>
      </w:r>
      <w:r>
        <w:rPr>
          <w:rFonts w:ascii="Lucida Sans"/>
          <w:i/>
          <w:color w:val="231F20"/>
          <w:spacing w:val="-7"/>
          <w:w w:val="90"/>
          <w:sz w:val="16"/>
        </w:rPr>
        <w:t> </w:t>
      </w:r>
      <w:r>
        <w:rPr>
          <w:rFonts w:ascii="Lucida Sans"/>
          <w:i/>
          <w:color w:val="231F20"/>
          <w:w w:val="90"/>
          <w:sz w:val="16"/>
        </w:rPr>
        <w:t>Physiol</w:t>
      </w:r>
      <w:r>
        <w:rPr>
          <w:rFonts w:ascii="Lucida Sans"/>
          <w:i/>
          <w:color w:val="231F20"/>
          <w:spacing w:val="-7"/>
          <w:w w:val="90"/>
          <w:sz w:val="16"/>
        </w:rPr>
        <w:t> </w:t>
      </w:r>
      <w:r>
        <w:rPr>
          <w:rFonts w:ascii="Lucida Sans"/>
          <w:i/>
          <w:color w:val="231F20"/>
          <w:w w:val="90"/>
          <w:sz w:val="16"/>
        </w:rPr>
        <w:t>271:782, </w:t>
      </w:r>
      <w:r>
        <w:rPr>
          <w:rFonts w:ascii="Lucida Sans"/>
          <w:i/>
          <w:color w:val="231F20"/>
          <w:sz w:val="16"/>
        </w:rPr>
        <w:t>1960.)</w:t>
      </w:r>
    </w:p>
    <w:p>
      <w:pPr>
        <w:pStyle w:val="BodyText"/>
        <w:rPr>
          <w:rFonts w:ascii="Lucida Sans"/>
          <w:i/>
          <w:sz w:val="18"/>
        </w:rPr>
      </w:pPr>
    </w:p>
    <w:p>
      <w:pPr>
        <w:pStyle w:val="BodyText"/>
        <w:spacing w:before="2"/>
        <w:rPr>
          <w:rFonts w:ascii="Lucida Sans"/>
          <w:i/>
          <w:sz w:val="25"/>
        </w:rPr>
      </w:pPr>
    </w:p>
    <w:p>
      <w:pPr>
        <w:pStyle w:val="BodyText"/>
        <w:spacing w:line="249" w:lineRule="auto"/>
        <w:ind w:left="319" w:right="1437"/>
        <w:jc w:val="both"/>
      </w:pPr>
      <w:r>
        <w:rPr>
          <w:color w:val="231F20"/>
          <w:w w:val="105"/>
        </w:rPr>
        <w:t>reabsorbed</w:t>
      </w:r>
      <w:r>
        <w:rPr>
          <w:color w:val="231F20"/>
          <w:spacing w:val="-28"/>
          <w:w w:val="105"/>
        </w:rPr>
        <w:t> </w:t>
      </w:r>
      <w:r>
        <w:rPr>
          <w:color w:val="231F20"/>
          <w:w w:val="105"/>
        </w:rPr>
        <w:t>and</w:t>
      </w:r>
      <w:r>
        <w:rPr>
          <w:color w:val="231F20"/>
          <w:spacing w:val="-27"/>
          <w:w w:val="105"/>
        </w:rPr>
        <w:t> </w:t>
      </w:r>
      <w:r>
        <w:rPr>
          <w:color w:val="231F20"/>
          <w:w w:val="105"/>
        </w:rPr>
        <w:t>less</w:t>
      </w:r>
      <w:r>
        <w:rPr>
          <w:color w:val="231F20"/>
          <w:spacing w:val="-28"/>
          <w:w w:val="105"/>
        </w:rPr>
        <w:t> </w:t>
      </w:r>
      <w:r>
        <w:rPr>
          <w:color w:val="231F20"/>
          <w:w w:val="105"/>
        </w:rPr>
        <w:t>oxygen</w:t>
      </w:r>
      <w:r>
        <w:rPr>
          <w:color w:val="231F20"/>
          <w:spacing w:val="-27"/>
          <w:w w:val="105"/>
        </w:rPr>
        <w:t> </w:t>
      </w:r>
      <w:r>
        <w:rPr>
          <w:color w:val="231F20"/>
          <w:w w:val="105"/>
        </w:rPr>
        <w:t>is</w:t>
      </w:r>
      <w:r>
        <w:rPr>
          <w:color w:val="231F20"/>
          <w:spacing w:val="-28"/>
          <w:w w:val="105"/>
        </w:rPr>
        <w:t> </w:t>
      </w:r>
      <w:r>
        <w:rPr>
          <w:color w:val="231F20"/>
          <w:w w:val="105"/>
        </w:rPr>
        <w:t>consumed.</w:t>
      </w:r>
      <w:r>
        <w:rPr>
          <w:color w:val="231F20"/>
          <w:spacing w:val="-27"/>
          <w:w w:val="105"/>
        </w:rPr>
        <w:t> </w:t>
      </w:r>
      <w:r>
        <w:rPr>
          <w:color w:val="231F20"/>
          <w:w w:val="105"/>
        </w:rPr>
        <w:t>Therefore,</w:t>
      </w:r>
      <w:r>
        <w:rPr>
          <w:color w:val="231F20"/>
          <w:spacing w:val="-28"/>
          <w:w w:val="105"/>
        </w:rPr>
        <w:t> </w:t>
      </w:r>
      <w:r>
        <w:rPr>
          <w:color w:val="231F20"/>
          <w:w w:val="105"/>
        </w:rPr>
        <w:t>renal oxygen</w:t>
      </w:r>
      <w:r>
        <w:rPr>
          <w:color w:val="231F20"/>
          <w:spacing w:val="-19"/>
          <w:w w:val="105"/>
        </w:rPr>
        <w:t> </w:t>
      </w:r>
      <w:r>
        <w:rPr>
          <w:color w:val="231F20"/>
          <w:w w:val="105"/>
        </w:rPr>
        <w:t>consumption</w:t>
      </w:r>
      <w:r>
        <w:rPr>
          <w:color w:val="231F20"/>
          <w:spacing w:val="-18"/>
          <w:w w:val="105"/>
        </w:rPr>
        <w:t> </w:t>
      </w:r>
      <w:r>
        <w:rPr>
          <w:color w:val="231F20"/>
          <w:w w:val="105"/>
        </w:rPr>
        <w:t>varies</w:t>
      </w:r>
      <w:r>
        <w:rPr>
          <w:color w:val="231F20"/>
          <w:spacing w:val="-18"/>
          <w:w w:val="105"/>
        </w:rPr>
        <w:t> </w:t>
      </w:r>
      <w:r>
        <w:rPr>
          <w:color w:val="231F20"/>
          <w:w w:val="105"/>
        </w:rPr>
        <w:t>in</w:t>
      </w:r>
      <w:r>
        <w:rPr>
          <w:color w:val="231F20"/>
          <w:spacing w:val="-19"/>
          <w:w w:val="105"/>
        </w:rPr>
        <w:t> </w:t>
      </w:r>
      <w:r>
        <w:rPr>
          <w:color w:val="231F20"/>
          <w:w w:val="105"/>
        </w:rPr>
        <w:t>proportion</w:t>
      </w:r>
      <w:r>
        <w:rPr>
          <w:color w:val="231F20"/>
          <w:spacing w:val="-18"/>
          <w:w w:val="105"/>
        </w:rPr>
        <w:t> </w:t>
      </w:r>
      <w:r>
        <w:rPr>
          <w:color w:val="231F20"/>
          <w:w w:val="105"/>
        </w:rPr>
        <w:t>to</w:t>
      </w:r>
      <w:r>
        <w:rPr>
          <w:color w:val="231F20"/>
          <w:spacing w:val="-18"/>
          <w:w w:val="105"/>
        </w:rPr>
        <w:t> </w:t>
      </w:r>
      <w:r>
        <w:rPr>
          <w:color w:val="231F20"/>
          <w:w w:val="105"/>
        </w:rPr>
        <w:t>renal</w:t>
      </w:r>
      <w:r>
        <w:rPr>
          <w:color w:val="231F20"/>
          <w:spacing w:val="-19"/>
          <w:w w:val="105"/>
        </w:rPr>
        <w:t> </w:t>
      </w:r>
      <w:r>
        <w:rPr>
          <w:color w:val="231F20"/>
          <w:w w:val="105"/>
        </w:rPr>
        <w:t>tubular sodium reabsorption, which in turn is closely related to GFR and the rate of sodium filtered (</w:t>
      </w:r>
      <w:hyperlink w:history="true" w:anchor="_bookmark32">
        <w:r>
          <w:rPr>
            <w:b/>
            <w:color w:val="0080AC"/>
            <w:w w:val="105"/>
          </w:rPr>
          <w:t>Figure 27-8</w:t>
        </w:r>
      </w:hyperlink>
      <w:r>
        <w:rPr>
          <w:color w:val="231F20"/>
          <w:w w:val="105"/>
        </w:rPr>
        <w:t>). If glomerular filtration completely ceases, renal sodium reabsorption also ceases and oxygen consumption decreases to about one­fourth normal. This residual oxygen</w:t>
      </w:r>
      <w:r>
        <w:rPr>
          <w:color w:val="231F20"/>
          <w:spacing w:val="-27"/>
          <w:w w:val="105"/>
        </w:rPr>
        <w:t> </w:t>
      </w:r>
      <w:r>
        <w:rPr>
          <w:color w:val="231F20"/>
          <w:w w:val="105"/>
        </w:rPr>
        <w:t>consumption</w:t>
      </w:r>
      <w:r>
        <w:rPr>
          <w:color w:val="231F20"/>
          <w:spacing w:val="-26"/>
          <w:w w:val="105"/>
        </w:rPr>
        <w:t> </w:t>
      </w:r>
      <w:r>
        <w:rPr>
          <w:color w:val="231F20"/>
          <w:w w:val="105"/>
        </w:rPr>
        <w:t>reflects</w:t>
      </w:r>
      <w:r>
        <w:rPr>
          <w:color w:val="231F20"/>
          <w:spacing w:val="-26"/>
          <w:w w:val="105"/>
        </w:rPr>
        <w:t> </w:t>
      </w:r>
      <w:r>
        <w:rPr>
          <w:color w:val="231F20"/>
          <w:w w:val="105"/>
        </w:rPr>
        <w:t>the</w:t>
      </w:r>
      <w:r>
        <w:rPr>
          <w:color w:val="231F20"/>
          <w:spacing w:val="-26"/>
          <w:w w:val="105"/>
        </w:rPr>
        <w:t> </w:t>
      </w:r>
      <w:r>
        <w:rPr>
          <w:color w:val="231F20"/>
          <w:w w:val="105"/>
        </w:rPr>
        <w:t>basic</w:t>
      </w:r>
      <w:r>
        <w:rPr>
          <w:color w:val="231F20"/>
          <w:spacing w:val="-26"/>
          <w:w w:val="105"/>
        </w:rPr>
        <w:t> </w:t>
      </w:r>
      <w:r>
        <w:rPr>
          <w:color w:val="231F20"/>
          <w:w w:val="105"/>
        </w:rPr>
        <w:t>metabolic</w:t>
      </w:r>
      <w:r>
        <w:rPr>
          <w:color w:val="231F20"/>
          <w:spacing w:val="-26"/>
          <w:w w:val="105"/>
        </w:rPr>
        <w:t> </w:t>
      </w:r>
      <w:r>
        <w:rPr>
          <w:color w:val="231F20"/>
          <w:w w:val="105"/>
        </w:rPr>
        <w:t>needs</w:t>
      </w:r>
      <w:r>
        <w:rPr>
          <w:color w:val="231F20"/>
          <w:spacing w:val="-26"/>
          <w:w w:val="105"/>
        </w:rPr>
        <w:t> </w:t>
      </w:r>
      <w:r>
        <w:rPr>
          <w:color w:val="231F20"/>
          <w:w w:val="105"/>
        </w:rPr>
        <w:t>of the renal</w:t>
      </w:r>
      <w:r>
        <w:rPr>
          <w:color w:val="231F20"/>
          <w:spacing w:val="5"/>
          <w:w w:val="105"/>
        </w:rPr>
        <w:t> </w:t>
      </w:r>
      <w:r>
        <w:rPr>
          <w:color w:val="231F20"/>
          <w:w w:val="105"/>
        </w:rPr>
        <w:t>cells.</w:t>
      </w:r>
    </w:p>
    <w:p>
      <w:pPr>
        <w:pStyle w:val="BodyText"/>
        <w:spacing w:before="2"/>
        <w:rPr>
          <w:sz w:val="30"/>
        </w:rPr>
      </w:pPr>
    </w:p>
    <w:p>
      <w:pPr>
        <w:pStyle w:val="Heading2"/>
        <w:jc w:val="both"/>
      </w:pPr>
      <w:r>
        <w:rPr>
          <w:color w:val="231F20"/>
          <w:w w:val="105"/>
        </w:rPr>
        <w:t>DETERMINANTS OF RENAL BLOOD FLOW</w:t>
      </w:r>
    </w:p>
    <w:p>
      <w:pPr>
        <w:pStyle w:val="BodyText"/>
        <w:spacing w:line="249" w:lineRule="auto" w:before="125"/>
        <w:ind w:left="319" w:right="1437"/>
        <w:jc w:val="both"/>
      </w:pPr>
      <w:r>
        <w:rPr>
          <w:color w:val="231F20"/>
          <w:w w:val="105"/>
        </w:rPr>
        <w:t>Renal blood flow is determined by the pressure</w:t>
      </w:r>
      <w:r>
        <w:rPr>
          <w:color w:val="231F20"/>
          <w:spacing w:val="-37"/>
          <w:w w:val="105"/>
        </w:rPr>
        <w:t> </w:t>
      </w:r>
      <w:r>
        <w:rPr>
          <w:color w:val="231F20"/>
          <w:w w:val="105"/>
        </w:rPr>
        <w:t>gradient across</w:t>
      </w:r>
      <w:r>
        <w:rPr>
          <w:color w:val="231F20"/>
          <w:spacing w:val="-22"/>
          <w:w w:val="105"/>
        </w:rPr>
        <w:t> </w:t>
      </w:r>
      <w:r>
        <w:rPr>
          <w:color w:val="231F20"/>
          <w:w w:val="105"/>
        </w:rPr>
        <w:t>the</w:t>
      </w:r>
      <w:r>
        <w:rPr>
          <w:color w:val="231F20"/>
          <w:spacing w:val="-21"/>
          <w:w w:val="105"/>
        </w:rPr>
        <w:t> </w:t>
      </w:r>
      <w:r>
        <w:rPr>
          <w:color w:val="231F20"/>
          <w:w w:val="105"/>
        </w:rPr>
        <w:t>renal</w:t>
      </w:r>
      <w:r>
        <w:rPr>
          <w:color w:val="231F20"/>
          <w:spacing w:val="-21"/>
          <w:w w:val="105"/>
        </w:rPr>
        <w:t> </w:t>
      </w:r>
      <w:r>
        <w:rPr>
          <w:color w:val="231F20"/>
          <w:w w:val="105"/>
        </w:rPr>
        <w:t>vasculature</w:t>
      </w:r>
      <w:r>
        <w:rPr>
          <w:color w:val="231F20"/>
          <w:spacing w:val="-21"/>
          <w:w w:val="105"/>
        </w:rPr>
        <w:t> </w:t>
      </w:r>
      <w:r>
        <w:rPr>
          <w:color w:val="231F20"/>
          <w:w w:val="105"/>
        </w:rPr>
        <w:t>(the</w:t>
      </w:r>
      <w:r>
        <w:rPr>
          <w:color w:val="231F20"/>
          <w:spacing w:val="-22"/>
          <w:w w:val="105"/>
        </w:rPr>
        <w:t> </w:t>
      </w:r>
      <w:r>
        <w:rPr>
          <w:color w:val="231F20"/>
          <w:w w:val="105"/>
        </w:rPr>
        <w:t>difference</w:t>
      </w:r>
      <w:r>
        <w:rPr>
          <w:color w:val="231F20"/>
          <w:spacing w:val="-21"/>
          <w:w w:val="105"/>
        </w:rPr>
        <w:t> </w:t>
      </w:r>
      <w:r>
        <w:rPr>
          <w:color w:val="231F20"/>
          <w:w w:val="105"/>
        </w:rPr>
        <w:t>between</w:t>
      </w:r>
      <w:r>
        <w:rPr>
          <w:color w:val="231F20"/>
          <w:spacing w:val="-21"/>
          <w:w w:val="105"/>
        </w:rPr>
        <w:t> </w:t>
      </w:r>
      <w:r>
        <w:rPr>
          <w:color w:val="231F20"/>
          <w:w w:val="105"/>
        </w:rPr>
        <w:t>renal artery and renal vein hydrostatic pressures), divided by the total renal vascular</w:t>
      </w:r>
      <w:r>
        <w:rPr>
          <w:color w:val="231F20"/>
          <w:spacing w:val="7"/>
          <w:w w:val="105"/>
        </w:rPr>
        <w:t> </w:t>
      </w:r>
      <w:r>
        <w:rPr>
          <w:color w:val="231F20"/>
          <w:w w:val="105"/>
        </w:rPr>
        <w:t>resistance:</w:t>
      </w:r>
    </w:p>
    <w:p>
      <w:pPr>
        <w:spacing w:line="288" w:lineRule="auto" w:before="158"/>
        <w:ind w:left="1428" w:right="1734" w:hanging="576"/>
        <w:jc w:val="left"/>
        <w:rPr>
          <w:rFonts w:ascii="Trebuchet MS" w:hAnsi="Trebuchet MS"/>
          <w:sz w:val="18"/>
        </w:rPr>
      </w:pPr>
      <w:r>
        <w:rPr>
          <w:rFonts w:ascii="Trebuchet MS" w:hAnsi="Trebuchet MS"/>
          <w:sz w:val="18"/>
          <w:u w:val="single"/>
        </w:rPr>
        <w:t>(Renal artery pressure </w:t>
      </w:r>
      <w:r>
        <w:rPr>
          <w:rFonts w:ascii="Symbol" w:hAnsi="Symbol"/>
          <w:sz w:val="18"/>
          <w:u w:val="single"/>
        </w:rPr>
        <w:t></w:t>
      </w:r>
      <w:r>
        <w:rPr>
          <w:sz w:val="18"/>
          <w:u w:val="single"/>
        </w:rPr>
        <w:t> </w:t>
      </w:r>
      <w:r>
        <w:rPr>
          <w:rFonts w:ascii="Trebuchet MS" w:hAnsi="Trebuchet MS"/>
          <w:sz w:val="18"/>
          <w:u w:val="single"/>
        </w:rPr>
        <w:t>Renal vein pressure)</w:t>
      </w:r>
      <w:r>
        <w:rPr>
          <w:rFonts w:ascii="Trebuchet MS" w:hAnsi="Trebuchet MS"/>
          <w:sz w:val="18"/>
        </w:rPr>
        <w:t> Total renal vascular resistance</w:t>
      </w:r>
    </w:p>
    <w:p>
      <w:pPr>
        <w:pStyle w:val="BodyText"/>
        <w:spacing w:line="249" w:lineRule="auto" w:before="49"/>
        <w:ind w:left="319" w:right="1437" w:firstLine="240"/>
        <w:jc w:val="both"/>
      </w:pPr>
      <w:r>
        <w:rPr>
          <w:color w:val="231F20"/>
          <w:w w:val="105"/>
        </w:rPr>
        <w:t>Renal artery pressure is about equal to systemic</w:t>
      </w:r>
      <w:r>
        <w:rPr>
          <w:color w:val="231F20"/>
          <w:spacing w:val="-14"/>
          <w:w w:val="105"/>
        </w:rPr>
        <w:t> </w:t>
      </w:r>
      <w:r>
        <w:rPr>
          <w:color w:val="231F20"/>
          <w:w w:val="105"/>
        </w:rPr>
        <w:t>arte­ rial pressure, and renal vein pressure averages about 3 to</w:t>
      </w:r>
      <w:r>
        <w:rPr>
          <w:color w:val="231F20"/>
          <w:spacing w:val="-6"/>
          <w:w w:val="105"/>
        </w:rPr>
        <w:t> </w:t>
      </w:r>
      <w:r>
        <w:rPr>
          <w:color w:val="231F20"/>
          <w:w w:val="105"/>
        </w:rPr>
        <w:t>4</w:t>
      </w:r>
      <w:r>
        <w:rPr>
          <w:color w:val="231F20"/>
          <w:spacing w:val="-1"/>
          <w:w w:val="105"/>
        </w:rPr>
        <w:t> </w:t>
      </w:r>
      <w:r>
        <w:rPr>
          <w:color w:val="231F20"/>
          <w:w w:val="105"/>
        </w:rPr>
        <w:t>mm</w:t>
      </w:r>
      <w:r>
        <w:rPr>
          <w:color w:val="231F20"/>
          <w:spacing w:val="-1"/>
          <w:w w:val="105"/>
        </w:rPr>
        <w:t> </w:t>
      </w:r>
      <w:r>
        <w:rPr>
          <w:color w:val="231F20"/>
          <w:w w:val="105"/>
        </w:rPr>
        <w:t>Hg</w:t>
      </w:r>
      <w:r>
        <w:rPr>
          <w:color w:val="231F20"/>
          <w:spacing w:val="-6"/>
          <w:w w:val="105"/>
        </w:rPr>
        <w:t> </w:t>
      </w:r>
      <w:r>
        <w:rPr>
          <w:color w:val="231F20"/>
          <w:w w:val="105"/>
        </w:rPr>
        <w:t>under</w:t>
      </w:r>
      <w:r>
        <w:rPr>
          <w:color w:val="231F20"/>
          <w:spacing w:val="-5"/>
          <w:w w:val="105"/>
        </w:rPr>
        <w:t> </w:t>
      </w:r>
      <w:r>
        <w:rPr>
          <w:color w:val="231F20"/>
          <w:w w:val="105"/>
        </w:rPr>
        <w:t>most</w:t>
      </w:r>
      <w:r>
        <w:rPr>
          <w:color w:val="231F20"/>
          <w:spacing w:val="-6"/>
          <w:w w:val="105"/>
        </w:rPr>
        <w:t> </w:t>
      </w:r>
      <w:r>
        <w:rPr>
          <w:color w:val="231F20"/>
          <w:w w:val="105"/>
        </w:rPr>
        <w:t>conditions.</w:t>
      </w:r>
      <w:r>
        <w:rPr>
          <w:color w:val="231F20"/>
          <w:spacing w:val="-5"/>
          <w:w w:val="105"/>
        </w:rPr>
        <w:t> </w:t>
      </w:r>
      <w:r>
        <w:rPr>
          <w:color w:val="231F20"/>
          <w:w w:val="105"/>
        </w:rPr>
        <w:t>As</w:t>
      </w:r>
      <w:r>
        <w:rPr>
          <w:color w:val="231F20"/>
          <w:spacing w:val="-6"/>
          <w:w w:val="105"/>
        </w:rPr>
        <w:t> </w:t>
      </w:r>
      <w:r>
        <w:rPr>
          <w:color w:val="231F20"/>
          <w:w w:val="105"/>
        </w:rPr>
        <w:t>in</w:t>
      </w:r>
      <w:r>
        <w:rPr>
          <w:color w:val="231F20"/>
          <w:spacing w:val="-5"/>
          <w:w w:val="105"/>
        </w:rPr>
        <w:t> </w:t>
      </w:r>
      <w:r>
        <w:rPr>
          <w:color w:val="231F20"/>
          <w:w w:val="105"/>
        </w:rPr>
        <w:t>other</w:t>
      </w:r>
      <w:r>
        <w:rPr>
          <w:color w:val="231F20"/>
          <w:spacing w:val="-6"/>
          <w:w w:val="105"/>
        </w:rPr>
        <w:t> </w:t>
      </w:r>
      <w:r>
        <w:rPr>
          <w:color w:val="231F20"/>
          <w:w w:val="105"/>
        </w:rPr>
        <w:t>vascular beds,</w:t>
      </w:r>
      <w:r>
        <w:rPr>
          <w:color w:val="231F20"/>
          <w:spacing w:val="-6"/>
          <w:w w:val="105"/>
        </w:rPr>
        <w:t> </w:t>
      </w:r>
      <w:r>
        <w:rPr>
          <w:color w:val="231F20"/>
          <w:w w:val="105"/>
        </w:rPr>
        <w:t>the</w:t>
      </w:r>
      <w:r>
        <w:rPr>
          <w:color w:val="231F20"/>
          <w:spacing w:val="-6"/>
          <w:w w:val="105"/>
        </w:rPr>
        <w:t> </w:t>
      </w:r>
      <w:r>
        <w:rPr>
          <w:color w:val="231F20"/>
          <w:w w:val="105"/>
        </w:rPr>
        <w:t>total</w:t>
      </w:r>
      <w:r>
        <w:rPr>
          <w:color w:val="231F20"/>
          <w:spacing w:val="-5"/>
          <w:w w:val="105"/>
        </w:rPr>
        <w:t> </w:t>
      </w:r>
      <w:r>
        <w:rPr>
          <w:color w:val="231F20"/>
          <w:w w:val="105"/>
        </w:rPr>
        <w:t>vascular</w:t>
      </w:r>
      <w:r>
        <w:rPr>
          <w:color w:val="231F20"/>
          <w:spacing w:val="-6"/>
          <w:w w:val="105"/>
        </w:rPr>
        <w:t> </w:t>
      </w:r>
      <w:r>
        <w:rPr>
          <w:color w:val="231F20"/>
          <w:w w:val="105"/>
        </w:rPr>
        <w:t>resistance</w:t>
      </w:r>
      <w:r>
        <w:rPr>
          <w:color w:val="231F20"/>
          <w:spacing w:val="-5"/>
          <w:w w:val="105"/>
        </w:rPr>
        <w:t> </w:t>
      </w:r>
      <w:r>
        <w:rPr>
          <w:color w:val="231F20"/>
          <w:w w:val="105"/>
        </w:rPr>
        <w:t>through</w:t>
      </w:r>
      <w:r>
        <w:rPr>
          <w:color w:val="231F20"/>
          <w:spacing w:val="-6"/>
          <w:w w:val="105"/>
        </w:rPr>
        <w:t> </w:t>
      </w:r>
      <w:r>
        <w:rPr>
          <w:color w:val="231F20"/>
          <w:w w:val="105"/>
        </w:rPr>
        <w:t>the</w:t>
      </w:r>
      <w:r>
        <w:rPr>
          <w:color w:val="231F20"/>
          <w:spacing w:val="-6"/>
          <w:w w:val="105"/>
        </w:rPr>
        <w:t> </w:t>
      </w:r>
      <w:r>
        <w:rPr>
          <w:color w:val="231F20"/>
          <w:w w:val="105"/>
        </w:rPr>
        <w:t>kidneys</w:t>
      </w:r>
      <w:r>
        <w:rPr>
          <w:color w:val="231F20"/>
          <w:spacing w:val="-5"/>
          <w:w w:val="105"/>
        </w:rPr>
        <w:t> </w:t>
      </w:r>
      <w:r>
        <w:rPr>
          <w:color w:val="231F20"/>
          <w:w w:val="105"/>
        </w:rPr>
        <w:t>is determined</w:t>
      </w:r>
      <w:r>
        <w:rPr>
          <w:color w:val="231F20"/>
          <w:spacing w:val="-20"/>
          <w:w w:val="105"/>
        </w:rPr>
        <w:t> </w:t>
      </w:r>
      <w:r>
        <w:rPr>
          <w:color w:val="231F20"/>
          <w:w w:val="105"/>
        </w:rPr>
        <w:t>by</w:t>
      </w:r>
      <w:r>
        <w:rPr>
          <w:color w:val="231F20"/>
          <w:spacing w:val="-19"/>
          <w:w w:val="105"/>
        </w:rPr>
        <w:t> </w:t>
      </w:r>
      <w:r>
        <w:rPr>
          <w:color w:val="231F20"/>
          <w:w w:val="105"/>
        </w:rPr>
        <w:t>the</w:t>
      </w:r>
      <w:r>
        <w:rPr>
          <w:color w:val="231F20"/>
          <w:spacing w:val="-19"/>
          <w:w w:val="105"/>
        </w:rPr>
        <w:t> </w:t>
      </w:r>
      <w:r>
        <w:rPr>
          <w:color w:val="231F20"/>
          <w:w w:val="105"/>
        </w:rPr>
        <w:t>sum</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resistances</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individual vasculature segments, including the arteries, arterioles, capillaries, and veins </w:t>
      </w:r>
      <w:r>
        <w:rPr>
          <w:color w:val="231F20"/>
          <w:spacing w:val="-3"/>
          <w:w w:val="105"/>
        </w:rPr>
        <w:t>(</w:t>
      </w:r>
      <w:hyperlink w:history="true" w:anchor="_bookmark33">
        <w:r>
          <w:rPr>
            <w:b/>
            <w:color w:val="0080AC"/>
            <w:spacing w:val="-3"/>
            <w:w w:val="105"/>
          </w:rPr>
          <w:t>Table</w:t>
        </w:r>
        <w:r>
          <w:rPr>
            <w:b/>
            <w:color w:val="0080AC"/>
            <w:spacing w:val="3"/>
            <w:w w:val="105"/>
          </w:rPr>
          <w:t> </w:t>
        </w:r>
        <w:r>
          <w:rPr>
            <w:b/>
            <w:color w:val="0080AC"/>
            <w:w w:val="105"/>
          </w:rPr>
          <w:t>27-3</w:t>
        </w:r>
      </w:hyperlink>
      <w:r>
        <w:rPr>
          <w:color w:val="231F20"/>
          <w:w w:val="105"/>
        </w:rPr>
        <w:t>).</w:t>
      </w:r>
    </w:p>
    <w:p>
      <w:pPr>
        <w:pStyle w:val="BodyText"/>
        <w:spacing w:line="249" w:lineRule="auto" w:before="6"/>
        <w:ind w:left="319" w:right="1437" w:firstLine="240"/>
        <w:jc w:val="both"/>
      </w:pPr>
      <w:r>
        <w:rPr>
          <w:color w:val="231F20"/>
          <w:w w:val="105"/>
        </w:rPr>
        <w:t>Most of the renal vascular resistance resides in three major</w:t>
      </w:r>
      <w:r>
        <w:rPr>
          <w:color w:val="231F20"/>
          <w:spacing w:val="-11"/>
          <w:w w:val="105"/>
        </w:rPr>
        <w:t> </w:t>
      </w:r>
      <w:r>
        <w:rPr>
          <w:color w:val="231F20"/>
          <w:w w:val="105"/>
        </w:rPr>
        <w:t>segments:</w:t>
      </w:r>
      <w:r>
        <w:rPr>
          <w:color w:val="231F20"/>
          <w:spacing w:val="-11"/>
          <w:w w:val="105"/>
        </w:rPr>
        <w:t> </w:t>
      </w:r>
      <w:r>
        <w:rPr>
          <w:color w:val="231F20"/>
          <w:w w:val="105"/>
        </w:rPr>
        <w:t>interlobular</w:t>
      </w:r>
      <w:r>
        <w:rPr>
          <w:color w:val="231F20"/>
          <w:spacing w:val="-11"/>
          <w:w w:val="105"/>
        </w:rPr>
        <w:t> </w:t>
      </w:r>
      <w:r>
        <w:rPr>
          <w:color w:val="231F20"/>
          <w:w w:val="105"/>
        </w:rPr>
        <w:t>arteries,</w:t>
      </w:r>
      <w:r>
        <w:rPr>
          <w:color w:val="231F20"/>
          <w:spacing w:val="-11"/>
          <w:w w:val="105"/>
        </w:rPr>
        <w:t> </w:t>
      </w:r>
      <w:r>
        <w:rPr>
          <w:color w:val="231F20"/>
          <w:w w:val="105"/>
        </w:rPr>
        <w:t>afferent</w:t>
      </w:r>
      <w:r>
        <w:rPr>
          <w:color w:val="231F20"/>
          <w:spacing w:val="-10"/>
          <w:w w:val="105"/>
        </w:rPr>
        <w:t> </w:t>
      </w:r>
      <w:r>
        <w:rPr>
          <w:color w:val="231F20"/>
          <w:w w:val="105"/>
        </w:rPr>
        <w:t>arterioles, and</w:t>
      </w:r>
      <w:r>
        <w:rPr>
          <w:color w:val="231F20"/>
          <w:spacing w:val="-18"/>
          <w:w w:val="105"/>
        </w:rPr>
        <w:t> </w:t>
      </w:r>
      <w:r>
        <w:rPr>
          <w:color w:val="231F20"/>
          <w:w w:val="105"/>
        </w:rPr>
        <w:t>efferent</w:t>
      </w:r>
      <w:r>
        <w:rPr>
          <w:color w:val="231F20"/>
          <w:spacing w:val="-17"/>
          <w:w w:val="105"/>
        </w:rPr>
        <w:t> </w:t>
      </w:r>
      <w:r>
        <w:rPr>
          <w:color w:val="231F20"/>
          <w:w w:val="105"/>
        </w:rPr>
        <w:t>arterioles.</w:t>
      </w:r>
      <w:r>
        <w:rPr>
          <w:color w:val="231F20"/>
          <w:spacing w:val="-17"/>
          <w:w w:val="105"/>
        </w:rPr>
        <w:t> </w:t>
      </w:r>
      <w:r>
        <w:rPr>
          <w:color w:val="231F20"/>
          <w:w w:val="105"/>
        </w:rPr>
        <w:t>Resistance</w:t>
      </w:r>
      <w:r>
        <w:rPr>
          <w:color w:val="231F20"/>
          <w:spacing w:val="-17"/>
          <w:w w:val="105"/>
        </w:rPr>
        <w:t> </w:t>
      </w:r>
      <w:r>
        <w:rPr>
          <w:color w:val="231F20"/>
          <w:w w:val="105"/>
        </w:rPr>
        <w:t>of</w:t>
      </w:r>
      <w:r>
        <w:rPr>
          <w:color w:val="231F20"/>
          <w:spacing w:val="-17"/>
          <w:w w:val="105"/>
        </w:rPr>
        <w:t> </w:t>
      </w:r>
      <w:r>
        <w:rPr>
          <w:color w:val="231F20"/>
          <w:w w:val="105"/>
        </w:rPr>
        <w:t>these</w:t>
      </w:r>
      <w:r>
        <w:rPr>
          <w:color w:val="231F20"/>
          <w:spacing w:val="-17"/>
          <w:w w:val="105"/>
        </w:rPr>
        <w:t> </w:t>
      </w:r>
      <w:r>
        <w:rPr>
          <w:color w:val="231F20"/>
          <w:w w:val="105"/>
        </w:rPr>
        <w:t>vessels</w:t>
      </w:r>
      <w:r>
        <w:rPr>
          <w:color w:val="231F20"/>
          <w:spacing w:val="-17"/>
          <w:w w:val="105"/>
        </w:rPr>
        <w:t> </w:t>
      </w:r>
      <w:r>
        <w:rPr>
          <w:color w:val="231F20"/>
          <w:w w:val="105"/>
        </w:rPr>
        <w:t>is</w:t>
      </w:r>
      <w:r>
        <w:rPr>
          <w:color w:val="231F20"/>
          <w:spacing w:val="-17"/>
          <w:w w:val="105"/>
        </w:rPr>
        <w:t> </w:t>
      </w:r>
      <w:r>
        <w:rPr>
          <w:color w:val="231F20"/>
          <w:spacing w:val="-4"/>
          <w:w w:val="105"/>
        </w:rPr>
        <w:t>con­ </w:t>
      </w:r>
      <w:r>
        <w:rPr>
          <w:color w:val="231F20"/>
          <w:w w:val="105"/>
        </w:rPr>
        <w:t>trolled by the sympathetic nervous system, various </w:t>
      </w:r>
      <w:r>
        <w:rPr>
          <w:color w:val="231F20"/>
          <w:spacing w:val="-5"/>
          <w:w w:val="105"/>
        </w:rPr>
        <w:t>hor­ </w:t>
      </w:r>
      <w:r>
        <w:rPr>
          <w:color w:val="231F20"/>
          <w:w w:val="105"/>
        </w:rPr>
        <w:t>mones, and local internal renal control mechanisms, as discussed</w:t>
      </w:r>
      <w:r>
        <w:rPr>
          <w:color w:val="231F20"/>
          <w:spacing w:val="-17"/>
          <w:w w:val="105"/>
        </w:rPr>
        <w:t> </w:t>
      </w:r>
      <w:r>
        <w:rPr>
          <w:color w:val="231F20"/>
          <w:spacing w:val="-4"/>
          <w:w w:val="105"/>
        </w:rPr>
        <w:t>later.</w:t>
      </w:r>
      <w:r>
        <w:rPr>
          <w:color w:val="231F20"/>
          <w:spacing w:val="-16"/>
          <w:w w:val="105"/>
        </w:rPr>
        <w:t> </w:t>
      </w:r>
      <w:r>
        <w:rPr>
          <w:color w:val="231F20"/>
          <w:w w:val="105"/>
        </w:rPr>
        <w:t>An</w:t>
      </w:r>
      <w:r>
        <w:rPr>
          <w:color w:val="231F20"/>
          <w:spacing w:val="-16"/>
          <w:w w:val="105"/>
        </w:rPr>
        <w:t> </w:t>
      </w:r>
      <w:r>
        <w:rPr>
          <w:color w:val="231F20"/>
          <w:w w:val="105"/>
        </w:rPr>
        <w:t>increase</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resistance</w:t>
      </w:r>
      <w:r>
        <w:rPr>
          <w:color w:val="231F20"/>
          <w:spacing w:val="-16"/>
          <w:w w:val="105"/>
        </w:rPr>
        <w:t> </w:t>
      </w:r>
      <w:r>
        <w:rPr>
          <w:color w:val="231F20"/>
          <w:w w:val="105"/>
        </w:rPr>
        <w:t>of</w:t>
      </w:r>
      <w:r>
        <w:rPr>
          <w:color w:val="231F20"/>
          <w:spacing w:val="-16"/>
          <w:w w:val="105"/>
        </w:rPr>
        <w:t> </w:t>
      </w:r>
      <w:r>
        <w:rPr>
          <w:color w:val="231F20"/>
          <w:w w:val="105"/>
        </w:rPr>
        <w:t>any</w:t>
      </w:r>
      <w:r>
        <w:rPr>
          <w:color w:val="231F20"/>
          <w:spacing w:val="-16"/>
          <w:w w:val="105"/>
        </w:rPr>
        <w:t> </w:t>
      </w:r>
      <w:r>
        <w:rPr>
          <w:color w:val="231F20"/>
          <w:w w:val="105"/>
        </w:rPr>
        <w:t>of</w:t>
      </w:r>
      <w:r>
        <w:rPr>
          <w:color w:val="231F20"/>
          <w:spacing w:val="-16"/>
          <w:w w:val="105"/>
        </w:rPr>
        <w:t> </w:t>
      </w:r>
      <w:r>
        <w:rPr>
          <w:color w:val="231F20"/>
          <w:w w:val="105"/>
        </w:rPr>
        <w:t>the vascular</w:t>
      </w:r>
      <w:r>
        <w:rPr>
          <w:color w:val="231F20"/>
          <w:spacing w:val="-24"/>
          <w:w w:val="105"/>
        </w:rPr>
        <w:t> </w:t>
      </w:r>
      <w:r>
        <w:rPr>
          <w:color w:val="231F20"/>
          <w:w w:val="105"/>
        </w:rPr>
        <w:t>segments</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kidneys</w:t>
      </w:r>
      <w:r>
        <w:rPr>
          <w:color w:val="231F20"/>
          <w:spacing w:val="-23"/>
          <w:w w:val="105"/>
        </w:rPr>
        <w:t> </w:t>
      </w:r>
      <w:r>
        <w:rPr>
          <w:color w:val="231F20"/>
          <w:w w:val="105"/>
        </w:rPr>
        <w:t>tends</w:t>
      </w:r>
      <w:r>
        <w:rPr>
          <w:color w:val="231F20"/>
          <w:spacing w:val="-23"/>
          <w:w w:val="105"/>
        </w:rPr>
        <w:t> </w:t>
      </w:r>
      <w:r>
        <w:rPr>
          <w:color w:val="231F20"/>
          <w:w w:val="105"/>
        </w:rPr>
        <w:t>to</w:t>
      </w:r>
      <w:r>
        <w:rPr>
          <w:color w:val="231F20"/>
          <w:spacing w:val="-23"/>
          <w:w w:val="105"/>
        </w:rPr>
        <w:t> </w:t>
      </w:r>
      <w:r>
        <w:rPr>
          <w:color w:val="231F20"/>
          <w:w w:val="105"/>
        </w:rPr>
        <w:t>reduce</w:t>
      </w:r>
      <w:r>
        <w:rPr>
          <w:color w:val="231F20"/>
          <w:spacing w:val="-23"/>
          <w:w w:val="105"/>
        </w:rPr>
        <w:t> </w:t>
      </w:r>
      <w:r>
        <w:rPr>
          <w:color w:val="231F20"/>
          <w:w w:val="105"/>
        </w:rPr>
        <w:t>the</w:t>
      </w:r>
      <w:r>
        <w:rPr>
          <w:color w:val="231F20"/>
          <w:spacing w:val="-23"/>
          <w:w w:val="105"/>
        </w:rPr>
        <w:t> </w:t>
      </w:r>
      <w:r>
        <w:rPr>
          <w:color w:val="231F20"/>
          <w:w w:val="105"/>
        </w:rPr>
        <w:t>renal</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8"/>
        <w:rPr>
          <w:sz w:val="22"/>
        </w:rPr>
      </w:pPr>
    </w:p>
    <w:p>
      <w:pPr>
        <w:spacing w:after="0"/>
        <w:rPr>
          <w:sz w:val="22"/>
        </w:rPr>
        <w:sectPr>
          <w:headerReference w:type="default" r:id="rId427"/>
          <w:pgSz w:w="12240" w:h="15660"/>
          <w:pgMar w:header="0" w:footer="567" w:top="0" w:bottom="760" w:left="0" w:right="0"/>
        </w:sectPr>
      </w:pPr>
    </w:p>
    <w:p>
      <w:pPr>
        <w:spacing w:line="252" w:lineRule="auto" w:before="100"/>
        <w:ind w:left="1440" w:right="455" w:firstLine="0"/>
        <w:jc w:val="left"/>
        <w:rPr>
          <w:rFonts w:ascii="Trebuchet MS"/>
          <w:sz w:val="18"/>
        </w:rPr>
      </w:pPr>
      <w:r>
        <w:rPr/>
        <w:pict>
          <v:group style="position:absolute;margin-left:0pt;margin-top:0pt;width:612pt;height:180pt;mso-position-horizontal-relative:page;mso-position-vertical-relative:page;z-index:-27343564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5078" w:right="0" w:firstLine="0"/>
                      <w:jc w:val="left"/>
                      <w:rPr>
                        <w:rFonts w:ascii="Trebuchet MS"/>
                        <w:sz w:val="18"/>
                      </w:rPr>
                    </w:pPr>
                    <w:r>
                      <w:rPr>
                        <w:rFonts w:ascii="Trebuchet MS"/>
                        <w:b/>
                        <w:color w:val="231F20"/>
                        <w:w w:val="105"/>
                        <w:sz w:val="18"/>
                      </w:rPr>
                      <w:t>Chapter 27 </w:t>
                    </w:r>
                    <w:r>
                      <w:rPr>
                        <w:rFonts w:ascii="Trebuchet MS"/>
                        <w:color w:val="231F20"/>
                        <w:w w:val="105"/>
                        <w:sz w:val="18"/>
                      </w:rPr>
                      <w:t>Glomerular Filtration, Renal Blood Flow, and Their Control</w:t>
                    </w:r>
                  </w:p>
                </w:txbxContent>
              </v:textbox>
              <v:fill type="solid"/>
              <w10:wrap type="none"/>
            </v:shape>
            <w10:wrap type="none"/>
          </v:group>
        </w:pict>
      </w:r>
      <w:bookmarkStart w:name="_bookmark33" w:id="34"/>
      <w:bookmarkEnd w:id="34"/>
      <w:r>
        <w:rPr/>
      </w:r>
      <w:r>
        <w:rPr>
          <w:rFonts w:ascii="Trebuchet MS"/>
          <w:b/>
          <w:color w:val="231F20"/>
          <w:sz w:val="18"/>
        </w:rPr>
        <w:t>Table 27-3 </w:t>
      </w:r>
      <w:r>
        <w:rPr>
          <w:rFonts w:ascii="Trebuchet MS"/>
          <w:color w:val="231F20"/>
          <w:sz w:val="18"/>
        </w:rPr>
        <w:t>Approximate Pressures and Vascular Resistances in the Circulation of a Normal Kidney</w:t>
      </w:r>
    </w:p>
    <w:p>
      <w:pPr>
        <w:pStyle w:val="BodyText"/>
        <w:spacing w:before="5"/>
        <w:rPr>
          <w:rFonts w:ascii="Trebuchet MS"/>
          <w:sz w:val="9"/>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7"/>
        <w:gridCol w:w="879"/>
        <w:gridCol w:w="648"/>
        <w:gridCol w:w="1485"/>
      </w:tblGrid>
      <w:tr>
        <w:trPr>
          <w:trHeight w:val="739" w:hRule="atLeast"/>
        </w:trPr>
        <w:tc>
          <w:tcPr>
            <w:tcW w:w="1667" w:type="dxa"/>
            <w:shd w:val="clear" w:color="auto" w:fill="D1DDF1"/>
          </w:tcPr>
          <w:p>
            <w:pPr>
              <w:pStyle w:val="TableParagraph"/>
              <w:spacing w:before="0"/>
              <w:rPr>
                <w:sz w:val="18"/>
              </w:rPr>
            </w:pPr>
          </w:p>
          <w:p>
            <w:pPr>
              <w:pStyle w:val="TableParagraph"/>
              <w:spacing w:before="9"/>
              <w:rPr>
                <w:sz w:val="25"/>
              </w:rPr>
            </w:pPr>
          </w:p>
          <w:p>
            <w:pPr>
              <w:pStyle w:val="TableParagraph"/>
              <w:spacing w:before="0"/>
              <w:ind w:left="120"/>
              <w:rPr>
                <w:b/>
                <w:sz w:val="16"/>
              </w:rPr>
            </w:pPr>
            <w:r>
              <w:rPr>
                <w:b/>
                <w:color w:val="231F20"/>
                <w:sz w:val="16"/>
              </w:rPr>
              <w:t>Vessel</w:t>
            </w:r>
          </w:p>
        </w:tc>
        <w:tc>
          <w:tcPr>
            <w:tcW w:w="1527" w:type="dxa"/>
            <w:gridSpan w:val="2"/>
            <w:shd w:val="clear" w:color="auto" w:fill="D1DDF1"/>
          </w:tcPr>
          <w:p>
            <w:pPr>
              <w:pStyle w:val="TableParagraph"/>
              <w:spacing w:line="259" w:lineRule="auto" w:before="34" w:after="34"/>
              <w:ind w:left="174" w:right="173"/>
              <w:jc w:val="center"/>
              <w:rPr>
                <w:b/>
                <w:i/>
                <w:sz w:val="16"/>
              </w:rPr>
            </w:pPr>
            <w:r>
              <w:rPr>
                <w:b/>
                <w:i/>
                <w:color w:val="231F20"/>
                <w:sz w:val="16"/>
              </w:rPr>
              <w:t>Pressure in </w:t>
            </w:r>
            <w:r>
              <w:rPr>
                <w:b/>
                <w:i/>
                <w:color w:val="231F20"/>
                <w:sz w:val="16"/>
              </w:rPr>
              <w:t>Vessel (mm</w:t>
            </w:r>
            <w:r>
              <w:rPr>
                <w:b/>
                <w:i/>
                <w:color w:val="231F20"/>
                <w:spacing w:val="20"/>
                <w:sz w:val="16"/>
              </w:rPr>
              <w:t> </w:t>
            </w:r>
            <w:r>
              <w:rPr>
                <w:b/>
                <w:i/>
                <w:color w:val="231F20"/>
                <w:spacing w:val="-6"/>
                <w:sz w:val="16"/>
              </w:rPr>
              <w:t>Hg)</w:t>
            </w:r>
          </w:p>
          <w:p>
            <w:pPr>
              <w:pStyle w:val="TableParagraph"/>
              <w:spacing w:line="20" w:lineRule="exact" w:before="0"/>
              <w:ind w:left="120"/>
              <w:rPr>
                <w:sz w:val="2"/>
              </w:rPr>
            </w:pPr>
            <w:r>
              <w:rPr>
                <w:sz w:val="2"/>
              </w:rPr>
              <w:pict>
                <v:group style="width:63.6pt;height:.5pt;mso-position-horizontal-relative:char;mso-position-vertical-relative:line" coordorigin="0,0" coordsize="1272,10">
                  <v:line style="position:absolute" from="0,5" to="888,5" stroked="true" strokeweight=".5pt" strokecolor="#ffffff">
                    <v:stroke dashstyle="solid"/>
                  </v:line>
                  <v:line style="position:absolute" from="888,5" to="1271,5" stroked="true" strokeweight=".5pt" strokecolor="#ffffff">
                    <v:stroke dashstyle="solid"/>
                  </v:line>
                </v:group>
              </w:pict>
            </w:r>
            <w:r>
              <w:rPr>
                <w:sz w:val="2"/>
              </w:rPr>
            </w:r>
          </w:p>
          <w:p>
            <w:pPr>
              <w:pStyle w:val="TableParagraph"/>
              <w:tabs>
                <w:tab w:pos="999" w:val="left" w:leader="none"/>
              </w:tabs>
              <w:spacing w:before="19"/>
              <w:ind w:right="14"/>
              <w:jc w:val="center"/>
              <w:rPr>
                <w:b/>
                <w:sz w:val="16"/>
              </w:rPr>
            </w:pPr>
            <w:r>
              <w:rPr>
                <w:b/>
                <w:color w:val="231F20"/>
                <w:w w:val="105"/>
                <w:sz w:val="16"/>
              </w:rPr>
              <w:t>Beginning</w:t>
              <w:tab/>
              <w:t>End</w:t>
            </w:r>
          </w:p>
        </w:tc>
        <w:tc>
          <w:tcPr>
            <w:tcW w:w="1485" w:type="dxa"/>
            <w:shd w:val="clear" w:color="auto" w:fill="D1DDF1"/>
          </w:tcPr>
          <w:p>
            <w:pPr>
              <w:pStyle w:val="TableParagraph"/>
              <w:spacing w:line="259" w:lineRule="auto" w:before="108"/>
              <w:ind w:left="104" w:right="135"/>
              <w:jc w:val="center"/>
              <w:rPr>
                <w:b/>
                <w:sz w:val="16"/>
              </w:rPr>
            </w:pPr>
            <w:r>
              <w:rPr>
                <w:b/>
                <w:color w:val="231F20"/>
                <w:sz w:val="16"/>
              </w:rPr>
              <w:t>Percent of Total Renal Vascular Resistance</w:t>
            </w:r>
          </w:p>
        </w:tc>
      </w:tr>
      <w:tr>
        <w:trPr>
          <w:trHeight w:val="259" w:hRule="atLeast"/>
        </w:trPr>
        <w:tc>
          <w:tcPr>
            <w:tcW w:w="1667" w:type="dxa"/>
            <w:tcBorders>
              <w:bottom w:val="single" w:sz="4" w:space="0" w:color="FFFFFF"/>
            </w:tcBorders>
            <w:shd w:val="clear" w:color="auto" w:fill="E6ECF7"/>
          </w:tcPr>
          <w:p>
            <w:pPr>
              <w:pStyle w:val="TableParagraph"/>
              <w:spacing w:before="24"/>
              <w:ind w:left="120"/>
              <w:rPr>
                <w:sz w:val="16"/>
              </w:rPr>
            </w:pPr>
            <w:r>
              <w:rPr>
                <w:color w:val="231F20"/>
                <w:w w:val="105"/>
                <w:sz w:val="16"/>
              </w:rPr>
              <w:t>Renal artery</w:t>
            </w:r>
          </w:p>
        </w:tc>
        <w:tc>
          <w:tcPr>
            <w:tcW w:w="879" w:type="dxa"/>
            <w:tcBorders>
              <w:bottom w:val="single" w:sz="4" w:space="0" w:color="FFFFFF"/>
            </w:tcBorders>
            <w:shd w:val="clear" w:color="auto" w:fill="E6ECF7"/>
          </w:tcPr>
          <w:p>
            <w:pPr>
              <w:pStyle w:val="TableParagraph"/>
              <w:spacing w:before="24"/>
              <w:ind w:right="225"/>
              <w:jc w:val="right"/>
              <w:rPr>
                <w:sz w:val="16"/>
              </w:rPr>
            </w:pPr>
            <w:r>
              <w:rPr>
                <w:color w:val="231F20"/>
                <w:w w:val="105"/>
                <w:sz w:val="16"/>
              </w:rPr>
              <w:t>100</w:t>
            </w:r>
          </w:p>
        </w:tc>
        <w:tc>
          <w:tcPr>
            <w:tcW w:w="648" w:type="dxa"/>
            <w:tcBorders>
              <w:bottom w:val="single" w:sz="4" w:space="0" w:color="FFFFFF"/>
            </w:tcBorders>
            <w:shd w:val="clear" w:color="auto" w:fill="E6ECF7"/>
          </w:tcPr>
          <w:p>
            <w:pPr>
              <w:pStyle w:val="TableParagraph"/>
              <w:spacing w:before="24"/>
              <w:ind w:right="153"/>
              <w:jc w:val="right"/>
              <w:rPr>
                <w:sz w:val="16"/>
              </w:rPr>
            </w:pPr>
            <w:r>
              <w:rPr>
                <w:color w:val="231F20"/>
                <w:w w:val="105"/>
                <w:sz w:val="16"/>
              </w:rPr>
              <w:t>100</w:t>
            </w:r>
          </w:p>
        </w:tc>
        <w:tc>
          <w:tcPr>
            <w:tcW w:w="1485" w:type="dxa"/>
            <w:tcBorders>
              <w:bottom w:val="single" w:sz="4" w:space="0" w:color="FFFFFF"/>
            </w:tcBorders>
            <w:shd w:val="clear" w:color="auto" w:fill="E6ECF7"/>
          </w:tcPr>
          <w:p>
            <w:pPr>
              <w:pStyle w:val="TableParagraph"/>
              <w:spacing w:before="24"/>
              <w:ind w:right="658"/>
              <w:jc w:val="right"/>
              <w:rPr>
                <w:sz w:val="16"/>
              </w:rPr>
            </w:pPr>
            <w:r>
              <w:rPr>
                <w:rFonts w:ascii="Consolas" w:hAnsi="Consolas"/>
                <w:color w:val="231F20"/>
                <w:sz w:val="16"/>
              </w:rPr>
              <w:t>≈</w:t>
            </w:r>
            <w:r>
              <w:rPr>
                <w:color w:val="231F20"/>
                <w:sz w:val="16"/>
              </w:rPr>
              <w:t>0</w:t>
            </w:r>
          </w:p>
        </w:tc>
      </w:tr>
      <w:tr>
        <w:trPr>
          <w:trHeight w:val="664" w:hRule="atLeast"/>
        </w:trPr>
        <w:tc>
          <w:tcPr>
            <w:tcW w:w="1667" w:type="dxa"/>
            <w:tcBorders>
              <w:top w:val="single" w:sz="4" w:space="0" w:color="FFFFFF"/>
              <w:bottom w:val="single" w:sz="4" w:space="0" w:color="FFFFFF"/>
            </w:tcBorders>
            <w:shd w:val="clear" w:color="auto" w:fill="E6ECF7"/>
          </w:tcPr>
          <w:p>
            <w:pPr>
              <w:pStyle w:val="TableParagraph"/>
              <w:spacing w:line="259" w:lineRule="auto"/>
              <w:ind w:left="280" w:right="100" w:hanging="160"/>
              <w:rPr>
                <w:sz w:val="16"/>
              </w:rPr>
            </w:pPr>
            <w:r>
              <w:rPr>
                <w:color w:val="231F20"/>
                <w:sz w:val="16"/>
              </w:rPr>
              <w:t>Interlobar, arcuate, </w:t>
            </w:r>
            <w:r>
              <w:rPr>
                <w:color w:val="231F20"/>
                <w:w w:val="105"/>
                <w:sz w:val="16"/>
              </w:rPr>
              <w:t>and interlobular arteries</w:t>
            </w:r>
          </w:p>
        </w:tc>
        <w:tc>
          <w:tcPr>
            <w:tcW w:w="879" w:type="dxa"/>
            <w:tcBorders>
              <w:top w:val="single" w:sz="4" w:space="0" w:color="FFFFFF"/>
              <w:bottom w:val="single" w:sz="4" w:space="0" w:color="FFFFFF"/>
            </w:tcBorders>
            <w:shd w:val="clear" w:color="auto" w:fill="E6ECF7"/>
          </w:tcPr>
          <w:p>
            <w:pPr>
              <w:pStyle w:val="TableParagraph"/>
              <w:ind w:right="225"/>
              <w:jc w:val="right"/>
              <w:rPr>
                <w:sz w:val="16"/>
              </w:rPr>
            </w:pPr>
            <w:r>
              <w:rPr>
                <w:rFonts w:ascii="Consolas" w:hAnsi="Consolas"/>
                <w:color w:val="231F20"/>
                <w:w w:val="105"/>
                <w:sz w:val="16"/>
              </w:rPr>
              <w:t>≈</w:t>
            </w:r>
            <w:r>
              <w:rPr>
                <w:color w:val="231F20"/>
                <w:w w:val="105"/>
                <w:sz w:val="16"/>
              </w:rPr>
              <w:t>100</w:t>
            </w:r>
          </w:p>
        </w:tc>
        <w:tc>
          <w:tcPr>
            <w:tcW w:w="648" w:type="dxa"/>
            <w:tcBorders>
              <w:top w:val="single" w:sz="4" w:space="0" w:color="FFFFFF"/>
              <w:bottom w:val="single" w:sz="4" w:space="0" w:color="FFFFFF"/>
            </w:tcBorders>
            <w:shd w:val="clear" w:color="auto" w:fill="E6ECF7"/>
          </w:tcPr>
          <w:p>
            <w:pPr>
              <w:pStyle w:val="TableParagraph"/>
              <w:ind w:right="153"/>
              <w:jc w:val="right"/>
              <w:rPr>
                <w:sz w:val="16"/>
              </w:rPr>
            </w:pPr>
            <w:r>
              <w:rPr>
                <w:color w:val="231F20"/>
                <w:w w:val="105"/>
                <w:sz w:val="16"/>
              </w:rPr>
              <w:t>85</w:t>
            </w:r>
          </w:p>
        </w:tc>
        <w:tc>
          <w:tcPr>
            <w:tcW w:w="1485" w:type="dxa"/>
            <w:tcBorders>
              <w:top w:val="single" w:sz="4" w:space="0" w:color="FFFFFF"/>
              <w:bottom w:val="single" w:sz="4" w:space="0" w:color="FFFFFF"/>
            </w:tcBorders>
            <w:shd w:val="clear" w:color="auto" w:fill="E6ECF7"/>
          </w:tcPr>
          <w:p>
            <w:pPr>
              <w:pStyle w:val="TableParagraph"/>
              <w:ind w:right="658"/>
              <w:jc w:val="right"/>
              <w:rPr>
                <w:sz w:val="16"/>
              </w:rPr>
            </w:pPr>
            <w:r>
              <w:rPr>
                <w:rFonts w:ascii="Consolas" w:hAnsi="Consolas"/>
                <w:color w:val="231F20"/>
                <w:w w:val="105"/>
                <w:sz w:val="16"/>
              </w:rPr>
              <w:t>≈</w:t>
            </w:r>
            <w:r>
              <w:rPr>
                <w:color w:val="231F20"/>
                <w:w w:val="105"/>
                <w:sz w:val="16"/>
              </w:rPr>
              <w:t>16</w:t>
            </w:r>
          </w:p>
        </w:tc>
      </w:tr>
      <w:tr>
        <w:trPr>
          <w:trHeight w:val="264" w:hRule="atLeast"/>
        </w:trPr>
        <w:tc>
          <w:tcPr>
            <w:tcW w:w="166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Afferent arteriole</w:t>
            </w:r>
          </w:p>
        </w:tc>
        <w:tc>
          <w:tcPr>
            <w:tcW w:w="879" w:type="dxa"/>
            <w:tcBorders>
              <w:top w:val="single" w:sz="4" w:space="0" w:color="FFFFFF"/>
              <w:bottom w:val="single" w:sz="4" w:space="0" w:color="FFFFFF"/>
            </w:tcBorders>
            <w:shd w:val="clear" w:color="auto" w:fill="E6ECF7"/>
          </w:tcPr>
          <w:p>
            <w:pPr>
              <w:pStyle w:val="TableParagraph"/>
              <w:ind w:right="225"/>
              <w:jc w:val="right"/>
              <w:rPr>
                <w:sz w:val="16"/>
              </w:rPr>
            </w:pPr>
            <w:r>
              <w:rPr>
                <w:color w:val="231F20"/>
                <w:w w:val="105"/>
                <w:sz w:val="16"/>
              </w:rPr>
              <w:t>85</w:t>
            </w:r>
          </w:p>
        </w:tc>
        <w:tc>
          <w:tcPr>
            <w:tcW w:w="648" w:type="dxa"/>
            <w:tcBorders>
              <w:top w:val="single" w:sz="4" w:space="0" w:color="FFFFFF"/>
              <w:bottom w:val="single" w:sz="4" w:space="0" w:color="FFFFFF"/>
            </w:tcBorders>
            <w:shd w:val="clear" w:color="auto" w:fill="E6ECF7"/>
          </w:tcPr>
          <w:p>
            <w:pPr>
              <w:pStyle w:val="TableParagraph"/>
              <w:ind w:right="153"/>
              <w:jc w:val="right"/>
              <w:rPr>
                <w:sz w:val="16"/>
              </w:rPr>
            </w:pPr>
            <w:r>
              <w:rPr>
                <w:color w:val="231F20"/>
                <w:w w:val="105"/>
                <w:sz w:val="16"/>
              </w:rPr>
              <w:t>60</w:t>
            </w:r>
          </w:p>
        </w:tc>
        <w:tc>
          <w:tcPr>
            <w:tcW w:w="1485" w:type="dxa"/>
            <w:tcBorders>
              <w:top w:val="single" w:sz="4" w:space="0" w:color="FFFFFF"/>
              <w:bottom w:val="single" w:sz="4" w:space="0" w:color="FFFFFF"/>
            </w:tcBorders>
            <w:shd w:val="clear" w:color="auto" w:fill="E6ECF7"/>
          </w:tcPr>
          <w:p>
            <w:pPr>
              <w:pStyle w:val="TableParagraph"/>
              <w:ind w:right="658"/>
              <w:jc w:val="right"/>
              <w:rPr>
                <w:sz w:val="16"/>
              </w:rPr>
            </w:pPr>
            <w:r>
              <w:rPr>
                <w:rFonts w:ascii="Consolas" w:hAnsi="Consolas"/>
                <w:color w:val="231F20"/>
                <w:w w:val="105"/>
                <w:sz w:val="16"/>
              </w:rPr>
              <w:t>≈</w:t>
            </w:r>
            <w:r>
              <w:rPr>
                <w:color w:val="231F20"/>
                <w:w w:val="105"/>
                <w:sz w:val="16"/>
              </w:rPr>
              <w:t>26</w:t>
            </w:r>
          </w:p>
        </w:tc>
      </w:tr>
      <w:tr>
        <w:trPr>
          <w:trHeight w:val="464" w:hRule="atLeast"/>
        </w:trPr>
        <w:tc>
          <w:tcPr>
            <w:tcW w:w="1667" w:type="dxa"/>
            <w:tcBorders>
              <w:top w:val="single" w:sz="4" w:space="0" w:color="FFFFFF"/>
              <w:bottom w:val="single" w:sz="4" w:space="0" w:color="FFFFFF"/>
            </w:tcBorders>
            <w:shd w:val="clear" w:color="auto" w:fill="E6ECF7"/>
          </w:tcPr>
          <w:p>
            <w:pPr>
              <w:pStyle w:val="TableParagraph"/>
              <w:spacing w:line="259" w:lineRule="auto"/>
              <w:ind w:left="280" w:right="630" w:hanging="160"/>
              <w:rPr>
                <w:sz w:val="16"/>
              </w:rPr>
            </w:pPr>
            <w:r>
              <w:rPr>
                <w:color w:val="231F20"/>
                <w:w w:val="105"/>
                <w:sz w:val="16"/>
              </w:rPr>
              <w:t>Glomerular </w:t>
            </w:r>
            <w:r>
              <w:rPr>
                <w:color w:val="231F20"/>
                <w:sz w:val="16"/>
              </w:rPr>
              <w:t>capillaries</w:t>
            </w:r>
          </w:p>
        </w:tc>
        <w:tc>
          <w:tcPr>
            <w:tcW w:w="879" w:type="dxa"/>
            <w:tcBorders>
              <w:top w:val="single" w:sz="4" w:space="0" w:color="FFFFFF"/>
              <w:bottom w:val="single" w:sz="4" w:space="0" w:color="FFFFFF"/>
            </w:tcBorders>
            <w:shd w:val="clear" w:color="auto" w:fill="E6ECF7"/>
          </w:tcPr>
          <w:p>
            <w:pPr>
              <w:pStyle w:val="TableParagraph"/>
              <w:ind w:right="225"/>
              <w:jc w:val="right"/>
              <w:rPr>
                <w:sz w:val="16"/>
              </w:rPr>
            </w:pPr>
            <w:r>
              <w:rPr>
                <w:color w:val="231F20"/>
                <w:w w:val="105"/>
                <w:sz w:val="16"/>
              </w:rPr>
              <w:t>60</w:t>
            </w:r>
          </w:p>
        </w:tc>
        <w:tc>
          <w:tcPr>
            <w:tcW w:w="648" w:type="dxa"/>
            <w:tcBorders>
              <w:top w:val="single" w:sz="4" w:space="0" w:color="FFFFFF"/>
              <w:bottom w:val="single" w:sz="4" w:space="0" w:color="FFFFFF"/>
            </w:tcBorders>
            <w:shd w:val="clear" w:color="auto" w:fill="E6ECF7"/>
          </w:tcPr>
          <w:p>
            <w:pPr>
              <w:pStyle w:val="TableParagraph"/>
              <w:ind w:right="153"/>
              <w:jc w:val="right"/>
              <w:rPr>
                <w:sz w:val="16"/>
              </w:rPr>
            </w:pPr>
            <w:r>
              <w:rPr>
                <w:color w:val="231F20"/>
                <w:w w:val="105"/>
                <w:sz w:val="16"/>
              </w:rPr>
              <w:t>59</w:t>
            </w:r>
          </w:p>
        </w:tc>
        <w:tc>
          <w:tcPr>
            <w:tcW w:w="1485" w:type="dxa"/>
            <w:tcBorders>
              <w:top w:val="single" w:sz="4" w:space="0" w:color="FFFFFF"/>
              <w:bottom w:val="single" w:sz="4" w:space="0" w:color="FFFFFF"/>
            </w:tcBorders>
            <w:shd w:val="clear" w:color="auto" w:fill="E6ECF7"/>
          </w:tcPr>
          <w:p>
            <w:pPr>
              <w:pStyle w:val="TableParagraph"/>
              <w:ind w:right="658"/>
              <w:jc w:val="right"/>
              <w:rPr>
                <w:sz w:val="16"/>
              </w:rPr>
            </w:pPr>
            <w:r>
              <w:rPr>
                <w:rFonts w:ascii="Consolas" w:hAnsi="Consolas"/>
                <w:color w:val="231F20"/>
                <w:sz w:val="16"/>
              </w:rPr>
              <w:t>≈</w:t>
            </w:r>
            <w:r>
              <w:rPr>
                <w:color w:val="231F20"/>
                <w:sz w:val="16"/>
              </w:rPr>
              <w:t>1</w:t>
            </w:r>
          </w:p>
        </w:tc>
      </w:tr>
      <w:tr>
        <w:trPr>
          <w:trHeight w:val="264" w:hRule="atLeast"/>
        </w:trPr>
        <w:tc>
          <w:tcPr>
            <w:tcW w:w="166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Efferent arteriole</w:t>
            </w:r>
          </w:p>
        </w:tc>
        <w:tc>
          <w:tcPr>
            <w:tcW w:w="879" w:type="dxa"/>
            <w:tcBorders>
              <w:top w:val="single" w:sz="4" w:space="0" w:color="FFFFFF"/>
              <w:bottom w:val="single" w:sz="4" w:space="0" w:color="FFFFFF"/>
            </w:tcBorders>
            <w:shd w:val="clear" w:color="auto" w:fill="E6ECF7"/>
          </w:tcPr>
          <w:p>
            <w:pPr>
              <w:pStyle w:val="TableParagraph"/>
              <w:ind w:right="225"/>
              <w:jc w:val="right"/>
              <w:rPr>
                <w:sz w:val="16"/>
              </w:rPr>
            </w:pPr>
            <w:r>
              <w:rPr>
                <w:color w:val="231F20"/>
                <w:w w:val="105"/>
                <w:sz w:val="16"/>
              </w:rPr>
              <w:t>59</w:t>
            </w:r>
          </w:p>
        </w:tc>
        <w:tc>
          <w:tcPr>
            <w:tcW w:w="648" w:type="dxa"/>
            <w:tcBorders>
              <w:top w:val="single" w:sz="4" w:space="0" w:color="FFFFFF"/>
              <w:bottom w:val="single" w:sz="4" w:space="0" w:color="FFFFFF"/>
            </w:tcBorders>
            <w:shd w:val="clear" w:color="auto" w:fill="E6ECF7"/>
          </w:tcPr>
          <w:p>
            <w:pPr>
              <w:pStyle w:val="TableParagraph"/>
              <w:ind w:right="153"/>
              <w:jc w:val="right"/>
              <w:rPr>
                <w:sz w:val="16"/>
              </w:rPr>
            </w:pPr>
            <w:r>
              <w:rPr>
                <w:color w:val="231F20"/>
                <w:w w:val="105"/>
                <w:sz w:val="16"/>
              </w:rPr>
              <w:t>18</w:t>
            </w:r>
          </w:p>
        </w:tc>
        <w:tc>
          <w:tcPr>
            <w:tcW w:w="1485" w:type="dxa"/>
            <w:tcBorders>
              <w:top w:val="single" w:sz="4" w:space="0" w:color="FFFFFF"/>
              <w:bottom w:val="single" w:sz="4" w:space="0" w:color="FFFFFF"/>
            </w:tcBorders>
            <w:shd w:val="clear" w:color="auto" w:fill="E6ECF7"/>
          </w:tcPr>
          <w:p>
            <w:pPr>
              <w:pStyle w:val="TableParagraph"/>
              <w:ind w:right="658"/>
              <w:jc w:val="right"/>
              <w:rPr>
                <w:sz w:val="16"/>
              </w:rPr>
            </w:pPr>
            <w:r>
              <w:rPr>
                <w:rFonts w:ascii="Consolas" w:hAnsi="Consolas"/>
                <w:color w:val="231F20"/>
                <w:w w:val="105"/>
                <w:sz w:val="16"/>
              </w:rPr>
              <w:t>≈</w:t>
            </w:r>
            <w:r>
              <w:rPr>
                <w:color w:val="231F20"/>
                <w:w w:val="105"/>
                <w:sz w:val="16"/>
              </w:rPr>
              <w:t>43</w:t>
            </w:r>
          </w:p>
        </w:tc>
      </w:tr>
      <w:tr>
        <w:trPr>
          <w:trHeight w:val="464" w:hRule="atLeast"/>
        </w:trPr>
        <w:tc>
          <w:tcPr>
            <w:tcW w:w="1667" w:type="dxa"/>
            <w:tcBorders>
              <w:top w:val="single" w:sz="4" w:space="0" w:color="FFFFFF"/>
              <w:bottom w:val="single" w:sz="4" w:space="0" w:color="FFFFFF"/>
            </w:tcBorders>
            <w:shd w:val="clear" w:color="auto" w:fill="E6ECF7"/>
          </w:tcPr>
          <w:p>
            <w:pPr>
              <w:pStyle w:val="TableParagraph"/>
              <w:spacing w:line="259" w:lineRule="auto"/>
              <w:ind w:left="280" w:right="630" w:hanging="160"/>
              <w:rPr>
                <w:sz w:val="16"/>
              </w:rPr>
            </w:pPr>
            <w:r>
              <w:rPr>
                <w:color w:val="231F20"/>
                <w:sz w:val="16"/>
              </w:rPr>
              <w:t>Peritubular capillaries</w:t>
            </w:r>
          </w:p>
        </w:tc>
        <w:tc>
          <w:tcPr>
            <w:tcW w:w="879" w:type="dxa"/>
            <w:tcBorders>
              <w:top w:val="single" w:sz="4" w:space="0" w:color="FFFFFF"/>
              <w:bottom w:val="single" w:sz="4" w:space="0" w:color="FFFFFF"/>
            </w:tcBorders>
            <w:shd w:val="clear" w:color="auto" w:fill="E6ECF7"/>
          </w:tcPr>
          <w:p>
            <w:pPr>
              <w:pStyle w:val="TableParagraph"/>
              <w:ind w:right="225"/>
              <w:jc w:val="right"/>
              <w:rPr>
                <w:sz w:val="16"/>
              </w:rPr>
            </w:pPr>
            <w:r>
              <w:rPr>
                <w:color w:val="231F20"/>
                <w:w w:val="105"/>
                <w:sz w:val="16"/>
              </w:rPr>
              <w:t>18</w:t>
            </w:r>
          </w:p>
        </w:tc>
        <w:tc>
          <w:tcPr>
            <w:tcW w:w="648" w:type="dxa"/>
            <w:tcBorders>
              <w:top w:val="single" w:sz="4" w:space="0" w:color="FFFFFF"/>
              <w:bottom w:val="single" w:sz="4" w:space="0" w:color="FFFFFF"/>
            </w:tcBorders>
            <w:shd w:val="clear" w:color="auto" w:fill="E6ECF7"/>
          </w:tcPr>
          <w:p>
            <w:pPr>
              <w:pStyle w:val="TableParagraph"/>
              <w:ind w:right="153"/>
              <w:jc w:val="right"/>
              <w:rPr>
                <w:sz w:val="16"/>
              </w:rPr>
            </w:pPr>
            <w:r>
              <w:rPr>
                <w:color w:val="231F20"/>
                <w:w w:val="106"/>
                <w:sz w:val="16"/>
              </w:rPr>
              <w:t>8</w:t>
            </w:r>
          </w:p>
        </w:tc>
        <w:tc>
          <w:tcPr>
            <w:tcW w:w="1485" w:type="dxa"/>
            <w:tcBorders>
              <w:top w:val="single" w:sz="4" w:space="0" w:color="FFFFFF"/>
              <w:bottom w:val="single" w:sz="4" w:space="0" w:color="FFFFFF"/>
            </w:tcBorders>
            <w:shd w:val="clear" w:color="auto" w:fill="E6ECF7"/>
          </w:tcPr>
          <w:p>
            <w:pPr>
              <w:pStyle w:val="TableParagraph"/>
              <w:ind w:right="658"/>
              <w:jc w:val="right"/>
              <w:rPr>
                <w:sz w:val="16"/>
              </w:rPr>
            </w:pPr>
            <w:r>
              <w:rPr>
                <w:rFonts w:ascii="Consolas" w:hAnsi="Consolas"/>
                <w:color w:val="231F20"/>
                <w:w w:val="105"/>
                <w:sz w:val="16"/>
              </w:rPr>
              <w:t>≈</w:t>
            </w:r>
            <w:r>
              <w:rPr>
                <w:color w:val="231F20"/>
                <w:w w:val="105"/>
                <w:sz w:val="16"/>
              </w:rPr>
              <w:t>10</w:t>
            </w:r>
          </w:p>
        </w:tc>
      </w:tr>
      <w:tr>
        <w:trPr>
          <w:trHeight w:val="664" w:hRule="atLeast"/>
        </w:trPr>
        <w:tc>
          <w:tcPr>
            <w:tcW w:w="1667" w:type="dxa"/>
            <w:tcBorders>
              <w:top w:val="single" w:sz="4" w:space="0" w:color="FFFFFF"/>
              <w:bottom w:val="single" w:sz="4" w:space="0" w:color="FFFFFF"/>
            </w:tcBorders>
            <w:shd w:val="clear" w:color="auto" w:fill="E6ECF7"/>
          </w:tcPr>
          <w:p>
            <w:pPr>
              <w:pStyle w:val="TableParagraph"/>
              <w:spacing w:line="259" w:lineRule="auto"/>
              <w:ind w:left="280" w:hanging="160"/>
              <w:rPr>
                <w:sz w:val="16"/>
              </w:rPr>
            </w:pPr>
            <w:r>
              <w:rPr>
                <w:color w:val="231F20"/>
                <w:w w:val="105"/>
                <w:sz w:val="16"/>
              </w:rPr>
              <w:t>Interlobar, interlobular, and arcuate veins</w:t>
            </w:r>
          </w:p>
        </w:tc>
        <w:tc>
          <w:tcPr>
            <w:tcW w:w="879" w:type="dxa"/>
            <w:tcBorders>
              <w:top w:val="single" w:sz="4" w:space="0" w:color="FFFFFF"/>
              <w:bottom w:val="single" w:sz="4" w:space="0" w:color="FFFFFF"/>
            </w:tcBorders>
            <w:shd w:val="clear" w:color="auto" w:fill="E6ECF7"/>
          </w:tcPr>
          <w:p>
            <w:pPr>
              <w:pStyle w:val="TableParagraph"/>
              <w:ind w:right="225"/>
              <w:jc w:val="right"/>
              <w:rPr>
                <w:sz w:val="16"/>
              </w:rPr>
            </w:pPr>
            <w:r>
              <w:rPr>
                <w:color w:val="231F20"/>
                <w:w w:val="106"/>
                <w:sz w:val="16"/>
              </w:rPr>
              <w:t>8</w:t>
            </w:r>
          </w:p>
        </w:tc>
        <w:tc>
          <w:tcPr>
            <w:tcW w:w="648" w:type="dxa"/>
            <w:tcBorders>
              <w:top w:val="single" w:sz="4" w:space="0" w:color="FFFFFF"/>
              <w:bottom w:val="single" w:sz="4" w:space="0" w:color="FFFFFF"/>
            </w:tcBorders>
            <w:shd w:val="clear" w:color="auto" w:fill="E6ECF7"/>
          </w:tcPr>
          <w:p>
            <w:pPr>
              <w:pStyle w:val="TableParagraph"/>
              <w:ind w:right="153"/>
              <w:jc w:val="right"/>
              <w:rPr>
                <w:sz w:val="16"/>
              </w:rPr>
            </w:pPr>
            <w:r>
              <w:rPr>
                <w:color w:val="231F20"/>
                <w:w w:val="106"/>
                <w:sz w:val="16"/>
              </w:rPr>
              <w:t>4</w:t>
            </w:r>
          </w:p>
        </w:tc>
        <w:tc>
          <w:tcPr>
            <w:tcW w:w="1485" w:type="dxa"/>
            <w:tcBorders>
              <w:top w:val="single" w:sz="4" w:space="0" w:color="FFFFFF"/>
              <w:bottom w:val="single" w:sz="4" w:space="0" w:color="FFFFFF"/>
            </w:tcBorders>
            <w:shd w:val="clear" w:color="auto" w:fill="E6ECF7"/>
          </w:tcPr>
          <w:p>
            <w:pPr>
              <w:pStyle w:val="TableParagraph"/>
              <w:ind w:right="658"/>
              <w:jc w:val="right"/>
              <w:rPr>
                <w:sz w:val="16"/>
              </w:rPr>
            </w:pPr>
            <w:r>
              <w:rPr>
                <w:rFonts w:ascii="Consolas" w:hAnsi="Consolas"/>
                <w:color w:val="231F20"/>
                <w:sz w:val="16"/>
              </w:rPr>
              <w:t>≈</w:t>
            </w:r>
            <w:r>
              <w:rPr>
                <w:color w:val="231F20"/>
                <w:sz w:val="16"/>
              </w:rPr>
              <w:t>4</w:t>
            </w:r>
          </w:p>
        </w:tc>
      </w:tr>
      <w:tr>
        <w:trPr>
          <w:trHeight w:val="279" w:hRule="atLeast"/>
        </w:trPr>
        <w:tc>
          <w:tcPr>
            <w:tcW w:w="1667" w:type="dxa"/>
            <w:tcBorders>
              <w:top w:val="single" w:sz="4" w:space="0" w:color="FFFFFF"/>
            </w:tcBorders>
            <w:shd w:val="clear" w:color="auto" w:fill="E6ECF7"/>
          </w:tcPr>
          <w:p>
            <w:pPr>
              <w:pStyle w:val="TableParagraph"/>
              <w:ind w:left="120"/>
              <w:rPr>
                <w:sz w:val="16"/>
              </w:rPr>
            </w:pPr>
            <w:r>
              <w:rPr>
                <w:color w:val="231F20"/>
                <w:w w:val="105"/>
                <w:sz w:val="16"/>
              </w:rPr>
              <w:t>Renal vein</w:t>
            </w:r>
          </w:p>
        </w:tc>
        <w:tc>
          <w:tcPr>
            <w:tcW w:w="879" w:type="dxa"/>
            <w:tcBorders>
              <w:top w:val="single" w:sz="4" w:space="0" w:color="FFFFFF"/>
            </w:tcBorders>
            <w:shd w:val="clear" w:color="auto" w:fill="E6ECF7"/>
          </w:tcPr>
          <w:p>
            <w:pPr>
              <w:pStyle w:val="TableParagraph"/>
              <w:ind w:right="225"/>
              <w:jc w:val="right"/>
              <w:rPr>
                <w:sz w:val="16"/>
              </w:rPr>
            </w:pPr>
            <w:r>
              <w:rPr>
                <w:color w:val="231F20"/>
                <w:w w:val="106"/>
                <w:sz w:val="16"/>
              </w:rPr>
              <w:t>4</w:t>
            </w:r>
          </w:p>
        </w:tc>
        <w:tc>
          <w:tcPr>
            <w:tcW w:w="648" w:type="dxa"/>
            <w:tcBorders>
              <w:top w:val="single" w:sz="4" w:space="0" w:color="FFFFFF"/>
            </w:tcBorders>
            <w:shd w:val="clear" w:color="auto" w:fill="E6ECF7"/>
          </w:tcPr>
          <w:p>
            <w:pPr>
              <w:pStyle w:val="TableParagraph"/>
              <w:ind w:right="153"/>
              <w:jc w:val="right"/>
              <w:rPr>
                <w:sz w:val="16"/>
              </w:rPr>
            </w:pPr>
            <w:r>
              <w:rPr>
                <w:rFonts w:ascii="Consolas" w:hAnsi="Consolas"/>
                <w:color w:val="231F20"/>
                <w:sz w:val="16"/>
              </w:rPr>
              <w:t>≈</w:t>
            </w:r>
            <w:r>
              <w:rPr>
                <w:color w:val="231F20"/>
                <w:sz w:val="16"/>
              </w:rPr>
              <w:t>4</w:t>
            </w:r>
          </w:p>
        </w:tc>
        <w:tc>
          <w:tcPr>
            <w:tcW w:w="1485" w:type="dxa"/>
            <w:tcBorders>
              <w:top w:val="single" w:sz="4" w:space="0" w:color="FFFFFF"/>
            </w:tcBorders>
            <w:shd w:val="clear" w:color="auto" w:fill="E6ECF7"/>
          </w:tcPr>
          <w:p>
            <w:pPr>
              <w:pStyle w:val="TableParagraph"/>
              <w:ind w:right="658"/>
              <w:jc w:val="right"/>
              <w:rPr>
                <w:sz w:val="16"/>
              </w:rPr>
            </w:pPr>
            <w:r>
              <w:rPr>
                <w:rFonts w:ascii="Consolas" w:hAnsi="Consolas"/>
                <w:color w:val="231F20"/>
                <w:sz w:val="16"/>
              </w:rPr>
              <w:t>≈</w:t>
            </w:r>
            <w:r>
              <w:rPr>
                <w:color w:val="231F20"/>
                <w:sz w:val="16"/>
              </w:rPr>
              <w:t>0</w:t>
            </w:r>
          </w:p>
        </w:tc>
      </w:tr>
    </w:tbl>
    <w:p>
      <w:pPr>
        <w:pStyle w:val="BodyText"/>
        <w:spacing w:before="8"/>
        <w:rPr>
          <w:rFonts w:ascii="Trebuchet MS"/>
          <w:sz w:val="29"/>
        </w:rPr>
      </w:pPr>
    </w:p>
    <w:p>
      <w:pPr>
        <w:pStyle w:val="BodyText"/>
        <w:spacing w:line="249" w:lineRule="auto"/>
        <w:ind w:left="1440"/>
        <w:jc w:val="both"/>
      </w:pPr>
      <w:r>
        <w:rPr>
          <w:color w:val="231F20"/>
          <w:w w:val="105"/>
        </w:rPr>
        <w:t>blood flow, whereas a decrease in vascular resistance increases renal blood flow if renal artery and renal vein pressures remain constant.</w:t>
      </w:r>
    </w:p>
    <w:p>
      <w:pPr>
        <w:pStyle w:val="BodyText"/>
        <w:spacing w:line="249" w:lineRule="auto" w:before="3"/>
        <w:ind w:left="1440" w:firstLine="240"/>
        <w:jc w:val="both"/>
      </w:pPr>
      <w:r>
        <w:rPr>
          <w:color w:val="231F20"/>
          <w:w w:val="105"/>
        </w:rPr>
        <w:t>Although</w:t>
      </w:r>
      <w:r>
        <w:rPr>
          <w:color w:val="231F20"/>
          <w:spacing w:val="-25"/>
          <w:w w:val="105"/>
        </w:rPr>
        <w:t> </w:t>
      </w:r>
      <w:r>
        <w:rPr>
          <w:color w:val="231F20"/>
          <w:w w:val="105"/>
        </w:rPr>
        <w:t>changes</w:t>
      </w:r>
      <w:r>
        <w:rPr>
          <w:color w:val="231F20"/>
          <w:spacing w:val="-25"/>
          <w:w w:val="105"/>
        </w:rPr>
        <w:t> </w:t>
      </w:r>
      <w:r>
        <w:rPr>
          <w:color w:val="231F20"/>
          <w:w w:val="105"/>
        </w:rPr>
        <w:t>in</w:t>
      </w:r>
      <w:r>
        <w:rPr>
          <w:color w:val="231F20"/>
          <w:spacing w:val="-25"/>
          <w:w w:val="105"/>
        </w:rPr>
        <w:t> </w:t>
      </w:r>
      <w:r>
        <w:rPr>
          <w:color w:val="231F20"/>
          <w:w w:val="105"/>
        </w:rPr>
        <w:t>arterial</w:t>
      </w:r>
      <w:r>
        <w:rPr>
          <w:color w:val="231F20"/>
          <w:spacing w:val="-25"/>
          <w:w w:val="105"/>
        </w:rPr>
        <w:t> </w:t>
      </w:r>
      <w:r>
        <w:rPr>
          <w:color w:val="231F20"/>
          <w:w w:val="105"/>
        </w:rPr>
        <w:t>pressure</w:t>
      </w:r>
      <w:r>
        <w:rPr>
          <w:color w:val="231F20"/>
          <w:spacing w:val="-24"/>
          <w:w w:val="105"/>
        </w:rPr>
        <w:t> </w:t>
      </w:r>
      <w:r>
        <w:rPr>
          <w:color w:val="231F20"/>
          <w:w w:val="105"/>
        </w:rPr>
        <w:t>have</w:t>
      </w:r>
      <w:r>
        <w:rPr>
          <w:color w:val="231F20"/>
          <w:spacing w:val="-25"/>
          <w:w w:val="105"/>
        </w:rPr>
        <w:t> </w:t>
      </w:r>
      <w:r>
        <w:rPr>
          <w:color w:val="231F20"/>
          <w:w w:val="105"/>
        </w:rPr>
        <w:t>some</w:t>
      </w:r>
      <w:r>
        <w:rPr>
          <w:color w:val="231F20"/>
          <w:spacing w:val="-25"/>
          <w:w w:val="105"/>
        </w:rPr>
        <w:t> </w:t>
      </w:r>
      <w:r>
        <w:rPr>
          <w:color w:val="231F20"/>
          <w:w w:val="105"/>
        </w:rPr>
        <w:t>influ­ ence</w:t>
      </w:r>
      <w:r>
        <w:rPr>
          <w:color w:val="231F20"/>
          <w:spacing w:val="-32"/>
          <w:w w:val="105"/>
        </w:rPr>
        <w:t> </w:t>
      </w:r>
      <w:r>
        <w:rPr>
          <w:color w:val="231F20"/>
          <w:w w:val="105"/>
        </w:rPr>
        <w:t>on</w:t>
      </w:r>
      <w:r>
        <w:rPr>
          <w:color w:val="231F20"/>
          <w:spacing w:val="-31"/>
          <w:w w:val="105"/>
        </w:rPr>
        <w:t> </w:t>
      </w:r>
      <w:r>
        <w:rPr>
          <w:color w:val="231F20"/>
          <w:w w:val="105"/>
        </w:rPr>
        <w:t>renal</w:t>
      </w:r>
      <w:r>
        <w:rPr>
          <w:color w:val="231F20"/>
          <w:spacing w:val="-31"/>
          <w:w w:val="105"/>
        </w:rPr>
        <w:t> </w:t>
      </w:r>
      <w:r>
        <w:rPr>
          <w:color w:val="231F20"/>
          <w:w w:val="105"/>
        </w:rPr>
        <w:t>blood</w:t>
      </w:r>
      <w:r>
        <w:rPr>
          <w:color w:val="231F20"/>
          <w:spacing w:val="-31"/>
          <w:w w:val="105"/>
        </w:rPr>
        <w:t> </w:t>
      </w:r>
      <w:r>
        <w:rPr>
          <w:color w:val="231F20"/>
          <w:spacing w:val="-3"/>
          <w:w w:val="105"/>
        </w:rPr>
        <w:t>flow,</w:t>
      </w:r>
      <w:r>
        <w:rPr>
          <w:color w:val="231F20"/>
          <w:spacing w:val="-31"/>
          <w:w w:val="105"/>
        </w:rPr>
        <w:t> </w:t>
      </w:r>
      <w:r>
        <w:rPr>
          <w:color w:val="231F20"/>
          <w:w w:val="105"/>
        </w:rPr>
        <w:t>the</w:t>
      </w:r>
      <w:r>
        <w:rPr>
          <w:color w:val="231F20"/>
          <w:spacing w:val="-31"/>
          <w:w w:val="105"/>
        </w:rPr>
        <w:t> </w:t>
      </w:r>
      <w:r>
        <w:rPr>
          <w:color w:val="231F20"/>
          <w:w w:val="105"/>
        </w:rPr>
        <w:t>kidneys</w:t>
      </w:r>
      <w:r>
        <w:rPr>
          <w:color w:val="231F20"/>
          <w:spacing w:val="-31"/>
          <w:w w:val="105"/>
        </w:rPr>
        <w:t> </w:t>
      </w:r>
      <w:r>
        <w:rPr>
          <w:color w:val="231F20"/>
          <w:w w:val="105"/>
        </w:rPr>
        <w:t>have</w:t>
      </w:r>
      <w:r>
        <w:rPr>
          <w:color w:val="231F20"/>
          <w:spacing w:val="-31"/>
          <w:w w:val="105"/>
        </w:rPr>
        <w:t> </w:t>
      </w:r>
      <w:r>
        <w:rPr>
          <w:color w:val="231F20"/>
          <w:w w:val="105"/>
        </w:rPr>
        <w:t>effective</w:t>
      </w:r>
      <w:r>
        <w:rPr>
          <w:color w:val="231F20"/>
          <w:spacing w:val="-31"/>
          <w:w w:val="105"/>
        </w:rPr>
        <w:t> </w:t>
      </w:r>
      <w:r>
        <w:rPr>
          <w:color w:val="231F20"/>
          <w:w w:val="105"/>
        </w:rPr>
        <w:t>mech­ anisms</w:t>
      </w:r>
      <w:r>
        <w:rPr>
          <w:color w:val="231F20"/>
          <w:spacing w:val="-42"/>
          <w:w w:val="105"/>
        </w:rPr>
        <w:t> </w:t>
      </w:r>
      <w:r>
        <w:rPr>
          <w:color w:val="231F20"/>
          <w:w w:val="105"/>
        </w:rPr>
        <w:t>for</w:t>
      </w:r>
      <w:r>
        <w:rPr>
          <w:color w:val="231F20"/>
          <w:spacing w:val="-42"/>
          <w:w w:val="105"/>
        </w:rPr>
        <w:t> </w:t>
      </w:r>
      <w:r>
        <w:rPr>
          <w:color w:val="231F20"/>
          <w:w w:val="105"/>
        </w:rPr>
        <w:t>maintaining</w:t>
      </w:r>
      <w:r>
        <w:rPr>
          <w:color w:val="231F20"/>
          <w:spacing w:val="-42"/>
          <w:w w:val="105"/>
        </w:rPr>
        <w:t> </w:t>
      </w:r>
      <w:r>
        <w:rPr>
          <w:color w:val="231F20"/>
          <w:w w:val="105"/>
        </w:rPr>
        <w:t>renal</w:t>
      </w:r>
      <w:r>
        <w:rPr>
          <w:color w:val="231F20"/>
          <w:spacing w:val="-42"/>
          <w:w w:val="105"/>
        </w:rPr>
        <w:t> </w:t>
      </w:r>
      <w:r>
        <w:rPr>
          <w:color w:val="231F20"/>
          <w:w w:val="105"/>
        </w:rPr>
        <w:t>blood</w:t>
      </w:r>
      <w:r>
        <w:rPr>
          <w:color w:val="231F20"/>
          <w:spacing w:val="-42"/>
          <w:w w:val="105"/>
        </w:rPr>
        <w:t> </w:t>
      </w:r>
      <w:r>
        <w:rPr>
          <w:color w:val="231F20"/>
          <w:w w:val="105"/>
        </w:rPr>
        <w:t>flow</w:t>
      </w:r>
      <w:r>
        <w:rPr>
          <w:color w:val="231F20"/>
          <w:spacing w:val="-42"/>
          <w:w w:val="105"/>
        </w:rPr>
        <w:t> </w:t>
      </w:r>
      <w:r>
        <w:rPr>
          <w:color w:val="231F20"/>
          <w:w w:val="105"/>
        </w:rPr>
        <w:t>and</w:t>
      </w:r>
      <w:r>
        <w:rPr>
          <w:color w:val="231F20"/>
          <w:spacing w:val="-42"/>
          <w:w w:val="105"/>
        </w:rPr>
        <w:t> </w:t>
      </w:r>
      <w:r>
        <w:rPr>
          <w:color w:val="231F20"/>
          <w:w w:val="105"/>
        </w:rPr>
        <w:t>GFR</w:t>
      </w:r>
      <w:r>
        <w:rPr>
          <w:color w:val="231F20"/>
          <w:spacing w:val="-42"/>
          <w:w w:val="105"/>
        </w:rPr>
        <w:t> </w:t>
      </w:r>
      <w:r>
        <w:rPr>
          <w:color w:val="231F20"/>
          <w:spacing w:val="-3"/>
          <w:w w:val="105"/>
        </w:rPr>
        <w:t>relatively </w:t>
      </w:r>
      <w:r>
        <w:rPr>
          <w:color w:val="231F20"/>
          <w:w w:val="105"/>
        </w:rPr>
        <w:t>constant over an arterial pressure range between 80 and 170</w:t>
      </w:r>
      <w:r>
        <w:rPr>
          <w:color w:val="231F20"/>
          <w:spacing w:val="-16"/>
          <w:w w:val="105"/>
        </w:rPr>
        <w:t> </w:t>
      </w:r>
      <w:r>
        <w:rPr>
          <w:color w:val="231F20"/>
          <w:w w:val="105"/>
        </w:rPr>
        <w:t>mm</w:t>
      </w:r>
      <w:r>
        <w:rPr>
          <w:color w:val="231F20"/>
          <w:spacing w:val="-15"/>
          <w:w w:val="105"/>
        </w:rPr>
        <w:t> </w:t>
      </w:r>
      <w:r>
        <w:rPr>
          <w:color w:val="231F20"/>
          <w:w w:val="105"/>
        </w:rPr>
        <w:t>Hg,</w:t>
      </w:r>
      <w:r>
        <w:rPr>
          <w:color w:val="231F20"/>
          <w:spacing w:val="-17"/>
          <w:w w:val="105"/>
        </w:rPr>
        <w:t> </w:t>
      </w:r>
      <w:r>
        <w:rPr>
          <w:color w:val="231F20"/>
          <w:w w:val="105"/>
        </w:rPr>
        <w:t>a</w:t>
      </w:r>
      <w:r>
        <w:rPr>
          <w:color w:val="231F20"/>
          <w:spacing w:val="-17"/>
          <w:w w:val="105"/>
        </w:rPr>
        <w:t> </w:t>
      </w:r>
      <w:r>
        <w:rPr>
          <w:color w:val="231F20"/>
          <w:w w:val="105"/>
        </w:rPr>
        <w:t>process</w:t>
      </w:r>
      <w:r>
        <w:rPr>
          <w:color w:val="231F20"/>
          <w:spacing w:val="-17"/>
          <w:w w:val="105"/>
        </w:rPr>
        <w:t> </w:t>
      </w:r>
      <w:r>
        <w:rPr>
          <w:color w:val="231F20"/>
          <w:w w:val="105"/>
        </w:rPr>
        <w:t>called</w:t>
      </w:r>
      <w:r>
        <w:rPr>
          <w:color w:val="231F20"/>
          <w:spacing w:val="-17"/>
          <w:w w:val="105"/>
        </w:rPr>
        <w:t> </w:t>
      </w:r>
      <w:r>
        <w:rPr>
          <w:i/>
          <w:color w:val="231F20"/>
          <w:w w:val="105"/>
        </w:rPr>
        <w:t>autoregulation.</w:t>
      </w:r>
      <w:r>
        <w:rPr>
          <w:i/>
          <w:color w:val="231F20"/>
          <w:spacing w:val="-16"/>
          <w:w w:val="105"/>
        </w:rPr>
        <w:t> </w:t>
      </w:r>
      <w:r>
        <w:rPr>
          <w:color w:val="231F20"/>
          <w:w w:val="105"/>
        </w:rPr>
        <w:t>This</w:t>
      </w:r>
      <w:r>
        <w:rPr>
          <w:color w:val="231F20"/>
          <w:spacing w:val="-17"/>
          <w:w w:val="105"/>
        </w:rPr>
        <w:t> </w:t>
      </w:r>
      <w:r>
        <w:rPr>
          <w:color w:val="231F20"/>
          <w:spacing w:val="-3"/>
          <w:w w:val="105"/>
        </w:rPr>
        <w:t>capac­ </w:t>
      </w:r>
      <w:r>
        <w:rPr>
          <w:color w:val="231F20"/>
          <w:w w:val="105"/>
        </w:rPr>
        <w:t>ity for autoregulation occurs through mechanisms </w:t>
      </w:r>
      <w:r>
        <w:rPr>
          <w:color w:val="231F20"/>
          <w:spacing w:val="-5"/>
          <w:w w:val="105"/>
        </w:rPr>
        <w:t>that </w:t>
      </w:r>
      <w:r>
        <w:rPr>
          <w:color w:val="231F20"/>
          <w:w w:val="105"/>
        </w:rPr>
        <w:t>are</w:t>
      </w:r>
      <w:r>
        <w:rPr>
          <w:color w:val="231F20"/>
          <w:spacing w:val="-12"/>
          <w:w w:val="105"/>
        </w:rPr>
        <w:t> </w:t>
      </w:r>
      <w:r>
        <w:rPr>
          <w:color w:val="231F20"/>
          <w:w w:val="105"/>
        </w:rPr>
        <w:t>completely</w:t>
      </w:r>
      <w:r>
        <w:rPr>
          <w:color w:val="231F20"/>
          <w:spacing w:val="-11"/>
          <w:w w:val="105"/>
        </w:rPr>
        <w:t> </w:t>
      </w:r>
      <w:r>
        <w:rPr>
          <w:color w:val="231F20"/>
          <w:w w:val="105"/>
        </w:rPr>
        <w:t>intrinsic</w:t>
      </w:r>
      <w:r>
        <w:rPr>
          <w:color w:val="231F20"/>
          <w:spacing w:val="-12"/>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kidneys,</w:t>
      </w:r>
      <w:r>
        <w:rPr>
          <w:color w:val="231F20"/>
          <w:spacing w:val="-12"/>
          <w:w w:val="105"/>
        </w:rPr>
        <w:t> </w:t>
      </w:r>
      <w:r>
        <w:rPr>
          <w:color w:val="231F20"/>
          <w:w w:val="105"/>
        </w:rPr>
        <w:t>as</w:t>
      </w:r>
      <w:r>
        <w:rPr>
          <w:color w:val="231F20"/>
          <w:spacing w:val="-11"/>
          <w:w w:val="105"/>
        </w:rPr>
        <w:t> </w:t>
      </w:r>
      <w:r>
        <w:rPr>
          <w:color w:val="231F20"/>
          <w:w w:val="105"/>
        </w:rPr>
        <w:t>discussed</w:t>
      </w:r>
      <w:r>
        <w:rPr>
          <w:color w:val="231F20"/>
          <w:spacing w:val="-11"/>
          <w:w w:val="105"/>
        </w:rPr>
        <w:t> </w:t>
      </w:r>
      <w:r>
        <w:rPr>
          <w:color w:val="231F20"/>
          <w:spacing w:val="-4"/>
          <w:w w:val="105"/>
        </w:rPr>
        <w:t>later </w:t>
      </w:r>
      <w:r>
        <w:rPr>
          <w:color w:val="231F20"/>
          <w:w w:val="105"/>
        </w:rPr>
        <w:t>in this</w:t>
      </w:r>
      <w:r>
        <w:rPr>
          <w:color w:val="231F20"/>
          <w:spacing w:val="6"/>
          <w:w w:val="105"/>
        </w:rPr>
        <w:t> </w:t>
      </w:r>
      <w:r>
        <w:rPr>
          <w:color w:val="231F20"/>
          <w:spacing w:val="-3"/>
          <w:w w:val="105"/>
        </w:rPr>
        <w:t>chapter.</w:t>
      </w:r>
    </w:p>
    <w:p>
      <w:pPr>
        <w:pStyle w:val="BodyText"/>
        <w:spacing w:before="2"/>
        <w:rPr>
          <w:sz w:val="31"/>
        </w:rPr>
      </w:pPr>
    </w:p>
    <w:p>
      <w:pPr>
        <w:pStyle w:val="Heading2"/>
        <w:spacing w:line="225" w:lineRule="auto" w:before="1"/>
        <w:ind w:left="1440" w:right="1040"/>
      </w:pPr>
      <w:r>
        <w:rPr>
          <w:color w:val="231F20"/>
          <w:w w:val="105"/>
        </w:rPr>
        <w:t>BLOOD FLOW IN THE VASA RECTA OF THE RENAL MEDULLA IS VERY LOW COMPARED WITH FLOW IN THE RENAL CORTEX</w:t>
      </w:r>
    </w:p>
    <w:p>
      <w:pPr>
        <w:pStyle w:val="BodyText"/>
        <w:spacing w:line="249" w:lineRule="auto" w:before="126"/>
        <w:ind w:left="1440"/>
        <w:jc w:val="both"/>
      </w:pPr>
      <w:r>
        <w:rPr>
          <w:color w:val="231F20"/>
          <w:w w:val="105"/>
        </w:rPr>
        <w:t>The outer part of the kidney, the renal cortex, receives most</w:t>
      </w:r>
      <w:r>
        <w:rPr>
          <w:color w:val="231F20"/>
          <w:spacing w:val="-6"/>
          <w:w w:val="105"/>
        </w:rPr>
        <w:t> </w:t>
      </w:r>
      <w:r>
        <w:rPr>
          <w:color w:val="231F20"/>
          <w:w w:val="105"/>
        </w:rPr>
        <w:t>of</w:t>
      </w:r>
      <w:r>
        <w:rPr>
          <w:color w:val="231F20"/>
          <w:spacing w:val="-5"/>
          <w:w w:val="105"/>
        </w:rPr>
        <w:t> </w:t>
      </w:r>
      <w:r>
        <w:rPr>
          <w:color w:val="231F20"/>
          <w:w w:val="105"/>
        </w:rPr>
        <w:t>the</w:t>
      </w:r>
      <w:r>
        <w:rPr>
          <w:color w:val="231F20"/>
          <w:spacing w:val="-6"/>
          <w:w w:val="105"/>
        </w:rPr>
        <w:t> </w:t>
      </w:r>
      <w:r>
        <w:rPr>
          <w:color w:val="231F20"/>
          <w:w w:val="105"/>
        </w:rPr>
        <w:t>kidney’s</w:t>
      </w:r>
      <w:r>
        <w:rPr>
          <w:color w:val="231F20"/>
          <w:spacing w:val="-5"/>
          <w:w w:val="105"/>
        </w:rPr>
        <w:t> </w:t>
      </w:r>
      <w:r>
        <w:rPr>
          <w:color w:val="231F20"/>
          <w:w w:val="105"/>
        </w:rPr>
        <w:t>blood</w:t>
      </w:r>
      <w:r>
        <w:rPr>
          <w:color w:val="231F20"/>
          <w:spacing w:val="-5"/>
          <w:w w:val="105"/>
        </w:rPr>
        <w:t> </w:t>
      </w:r>
      <w:r>
        <w:rPr>
          <w:color w:val="231F20"/>
          <w:spacing w:val="-3"/>
          <w:w w:val="105"/>
        </w:rPr>
        <w:t>flow.</w:t>
      </w:r>
      <w:r>
        <w:rPr>
          <w:color w:val="231F20"/>
          <w:spacing w:val="-6"/>
          <w:w w:val="105"/>
        </w:rPr>
        <w:t> </w:t>
      </w:r>
      <w:r>
        <w:rPr>
          <w:color w:val="231F20"/>
          <w:w w:val="105"/>
        </w:rPr>
        <w:t>Blood</w:t>
      </w:r>
      <w:r>
        <w:rPr>
          <w:color w:val="231F20"/>
          <w:spacing w:val="-5"/>
          <w:w w:val="105"/>
        </w:rPr>
        <w:t> </w:t>
      </w:r>
      <w:r>
        <w:rPr>
          <w:color w:val="231F20"/>
          <w:w w:val="105"/>
        </w:rPr>
        <w:t>flow</w:t>
      </w:r>
      <w:r>
        <w:rPr>
          <w:color w:val="231F20"/>
          <w:spacing w:val="-5"/>
          <w:w w:val="105"/>
        </w:rPr>
        <w:t> </w:t>
      </w:r>
      <w:r>
        <w:rPr>
          <w:color w:val="231F20"/>
          <w:w w:val="105"/>
        </w:rPr>
        <w:t>in</w:t>
      </w:r>
      <w:r>
        <w:rPr>
          <w:color w:val="231F20"/>
          <w:spacing w:val="-6"/>
          <w:w w:val="105"/>
        </w:rPr>
        <w:t> </w:t>
      </w:r>
      <w:r>
        <w:rPr>
          <w:color w:val="231F20"/>
          <w:w w:val="105"/>
        </w:rPr>
        <w:t>the</w:t>
      </w:r>
      <w:r>
        <w:rPr>
          <w:color w:val="231F20"/>
          <w:spacing w:val="-5"/>
          <w:w w:val="105"/>
        </w:rPr>
        <w:t> </w:t>
      </w:r>
      <w:r>
        <w:rPr>
          <w:color w:val="231F20"/>
          <w:w w:val="105"/>
        </w:rPr>
        <w:t>renal medulla</w:t>
      </w:r>
      <w:r>
        <w:rPr>
          <w:color w:val="231F20"/>
          <w:spacing w:val="-14"/>
          <w:w w:val="105"/>
        </w:rPr>
        <w:t> </w:t>
      </w:r>
      <w:r>
        <w:rPr>
          <w:color w:val="231F20"/>
          <w:w w:val="105"/>
        </w:rPr>
        <w:t>accounts</w:t>
      </w:r>
      <w:r>
        <w:rPr>
          <w:color w:val="231F20"/>
          <w:spacing w:val="-14"/>
          <w:w w:val="105"/>
        </w:rPr>
        <w:t> </w:t>
      </w:r>
      <w:r>
        <w:rPr>
          <w:color w:val="231F20"/>
          <w:w w:val="105"/>
        </w:rPr>
        <w:t>for</w:t>
      </w:r>
      <w:r>
        <w:rPr>
          <w:color w:val="231F20"/>
          <w:spacing w:val="-14"/>
          <w:w w:val="105"/>
        </w:rPr>
        <w:t> </w:t>
      </w:r>
      <w:r>
        <w:rPr>
          <w:color w:val="231F20"/>
          <w:w w:val="105"/>
        </w:rPr>
        <w:t>only</w:t>
      </w:r>
      <w:r>
        <w:rPr>
          <w:color w:val="231F20"/>
          <w:spacing w:val="-14"/>
          <w:w w:val="105"/>
        </w:rPr>
        <w:t> </w:t>
      </w:r>
      <w:r>
        <w:rPr>
          <w:color w:val="231F20"/>
          <w:w w:val="105"/>
        </w:rPr>
        <w:t>1</w:t>
      </w:r>
      <w:r>
        <w:rPr>
          <w:color w:val="231F20"/>
          <w:spacing w:val="-14"/>
          <w:w w:val="105"/>
        </w:rPr>
        <w:t> </w:t>
      </w:r>
      <w:r>
        <w:rPr>
          <w:color w:val="231F20"/>
          <w:w w:val="105"/>
        </w:rPr>
        <w:t>to</w:t>
      </w:r>
      <w:r>
        <w:rPr>
          <w:color w:val="231F20"/>
          <w:spacing w:val="-14"/>
          <w:w w:val="105"/>
        </w:rPr>
        <w:t> </w:t>
      </w:r>
      <w:r>
        <w:rPr>
          <w:color w:val="231F20"/>
          <w:w w:val="105"/>
        </w:rPr>
        <w:t>2</w:t>
      </w:r>
      <w:r>
        <w:rPr>
          <w:color w:val="231F20"/>
          <w:spacing w:val="-14"/>
          <w:w w:val="105"/>
        </w:rPr>
        <w:t> </w:t>
      </w:r>
      <w:r>
        <w:rPr>
          <w:color w:val="231F20"/>
          <w:w w:val="105"/>
        </w:rPr>
        <w:t>percent</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total</w:t>
      </w:r>
      <w:r>
        <w:rPr>
          <w:color w:val="231F20"/>
          <w:spacing w:val="-14"/>
          <w:w w:val="105"/>
        </w:rPr>
        <w:t> </w:t>
      </w:r>
      <w:r>
        <w:rPr>
          <w:color w:val="231F20"/>
          <w:w w:val="105"/>
        </w:rPr>
        <w:t>renal blood </w:t>
      </w:r>
      <w:r>
        <w:rPr>
          <w:color w:val="231F20"/>
          <w:spacing w:val="-3"/>
          <w:w w:val="105"/>
        </w:rPr>
        <w:t>flow. </w:t>
      </w:r>
      <w:r>
        <w:rPr>
          <w:color w:val="231F20"/>
          <w:w w:val="105"/>
        </w:rPr>
        <w:t>Flow to the renal medulla is supplied by a specialized portion of the peritubular capillary </w:t>
      </w:r>
      <w:r>
        <w:rPr>
          <w:color w:val="231F20"/>
          <w:spacing w:val="-4"/>
          <w:w w:val="105"/>
        </w:rPr>
        <w:t>system </w:t>
      </w:r>
      <w:r>
        <w:rPr>
          <w:color w:val="231F20"/>
          <w:w w:val="105"/>
        </w:rPr>
        <w:t>called the </w:t>
      </w:r>
      <w:r>
        <w:rPr>
          <w:i/>
          <w:color w:val="231F20"/>
          <w:w w:val="105"/>
        </w:rPr>
        <w:t>vasa recta. </w:t>
      </w:r>
      <w:r>
        <w:rPr>
          <w:color w:val="231F20"/>
          <w:w w:val="105"/>
        </w:rPr>
        <w:t>These vessels descend into </w:t>
      </w:r>
      <w:r>
        <w:rPr>
          <w:color w:val="231F20"/>
          <w:spacing w:val="-6"/>
          <w:w w:val="105"/>
        </w:rPr>
        <w:t>the </w:t>
      </w:r>
      <w:r>
        <w:rPr>
          <w:color w:val="231F20"/>
          <w:w w:val="105"/>
        </w:rPr>
        <w:t>medulla</w:t>
      </w:r>
      <w:r>
        <w:rPr>
          <w:color w:val="231F20"/>
          <w:spacing w:val="-13"/>
          <w:w w:val="105"/>
        </w:rPr>
        <w:t> </w:t>
      </w:r>
      <w:r>
        <w:rPr>
          <w:color w:val="231F20"/>
          <w:w w:val="105"/>
        </w:rPr>
        <w:t>in</w:t>
      </w:r>
      <w:r>
        <w:rPr>
          <w:color w:val="231F20"/>
          <w:spacing w:val="-12"/>
          <w:w w:val="105"/>
        </w:rPr>
        <w:t> </w:t>
      </w:r>
      <w:r>
        <w:rPr>
          <w:color w:val="231F20"/>
          <w:w w:val="105"/>
        </w:rPr>
        <w:t>parallel</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3"/>
          <w:w w:val="105"/>
        </w:rPr>
        <w:t> </w:t>
      </w:r>
      <w:r>
        <w:rPr>
          <w:color w:val="231F20"/>
          <w:w w:val="105"/>
        </w:rPr>
        <w:t>loops</w:t>
      </w:r>
      <w:r>
        <w:rPr>
          <w:color w:val="231F20"/>
          <w:spacing w:val="-12"/>
          <w:w w:val="105"/>
        </w:rPr>
        <w:t> </w:t>
      </w:r>
      <w:r>
        <w:rPr>
          <w:color w:val="231F20"/>
          <w:w w:val="105"/>
        </w:rPr>
        <w:t>of</w:t>
      </w:r>
      <w:r>
        <w:rPr>
          <w:color w:val="231F20"/>
          <w:spacing w:val="-12"/>
          <w:w w:val="105"/>
        </w:rPr>
        <w:t> </w:t>
      </w:r>
      <w:r>
        <w:rPr>
          <w:color w:val="231F20"/>
          <w:w w:val="105"/>
        </w:rPr>
        <w:t>Henle</w:t>
      </w:r>
      <w:r>
        <w:rPr>
          <w:color w:val="231F20"/>
          <w:spacing w:val="-12"/>
          <w:w w:val="105"/>
        </w:rPr>
        <w:t> </w:t>
      </w:r>
      <w:r>
        <w:rPr>
          <w:color w:val="231F20"/>
          <w:w w:val="105"/>
        </w:rPr>
        <w:t>and</w:t>
      </w:r>
      <w:r>
        <w:rPr>
          <w:color w:val="231F20"/>
          <w:spacing w:val="-12"/>
          <w:w w:val="105"/>
        </w:rPr>
        <w:t> </w:t>
      </w:r>
      <w:r>
        <w:rPr>
          <w:color w:val="231F20"/>
          <w:w w:val="105"/>
        </w:rPr>
        <w:t>then</w:t>
      </w:r>
      <w:r>
        <w:rPr>
          <w:color w:val="231F20"/>
          <w:spacing w:val="-13"/>
          <w:w w:val="105"/>
        </w:rPr>
        <w:t> </w:t>
      </w:r>
      <w:r>
        <w:rPr>
          <w:color w:val="231F20"/>
          <w:w w:val="105"/>
        </w:rPr>
        <w:t>loop back along with the loops of Henle and return to the cortex before emptying into the venous system. As </w:t>
      </w:r>
      <w:r>
        <w:rPr>
          <w:color w:val="231F20"/>
          <w:spacing w:val="-3"/>
          <w:w w:val="105"/>
        </w:rPr>
        <w:t>dis­ </w:t>
      </w:r>
      <w:r>
        <w:rPr>
          <w:color w:val="231F20"/>
          <w:w w:val="105"/>
        </w:rPr>
        <w:t>cussed in Chapter 29, the vasa recta play an important role</w:t>
      </w:r>
      <w:r>
        <w:rPr>
          <w:color w:val="231F20"/>
          <w:spacing w:val="-7"/>
          <w:w w:val="105"/>
        </w:rPr>
        <w:t> </w:t>
      </w:r>
      <w:r>
        <w:rPr>
          <w:color w:val="231F20"/>
          <w:w w:val="105"/>
        </w:rPr>
        <w:t>in</w:t>
      </w:r>
      <w:r>
        <w:rPr>
          <w:color w:val="231F20"/>
          <w:spacing w:val="-6"/>
          <w:w w:val="105"/>
        </w:rPr>
        <w:t> </w:t>
      </w:r>
      <w:r>
        <w:rPr>
          <w:color w:val="231F20"/>
          <w:w w:val="105"/>
        </w:rPr>
        <w:t>allowing</w:t>
      </w:r>
      <w:r>
        <w:rPr>
          <w:color w:val="231F20"/>
          <w:spacing w:val="-7"/>
          <w:w w:val="105"/>
        </w:rPr>
        <w:t> </w:t>
      </w:r>
      <w:r>
        <w:rPr>
          <w:color w:val="231F20"/>
          <w:w w:val="105"/>
        </w:rPr>
        <w:t>the</w:t>
      </w:r>
      <w:r>
        <w:rPr>
          <w:color w:val="231F20"/>
          <w:spacing w:val="-6"/>
          <w:w w:val="105"/>
        </w:rPr>
        <w:t> </w:t>
      </w:r>
      <w:r>
        <w:rPr>
          <w:color w:val="231F20"/>
          <w:w w:val="105"/>
        </w:rPr>
        <w:t>kidneys</w:t>
      </w:r>
      <w:r>
        <w:rPr>
          <w:color w:val="231F20"/>
          <w:spacing w:val="-6"/>
          <w:w w:val="105"/>
        </w:rPr>
        <w:t> </w:t>
      </w:r>
      <w:r>
        <w:rPr>
          <w:color w:val="231F20"/>
          <w:w w:val="105"/>
        </w:rPr>
        <w:t>to</w:t>
      </w:r>
      <w:r>
        <w:rPr>
          <w:color w:val="231F20"/>
          <w:spacing w:val="-7"/>
          <w:w w:val="105"/>
        </w:rPr>
        <w:t> </w:t>
      </w:r>
      <w:r>
        <w:rPr>
          <w:color w:val="231F20"/>
          <w:w w:val="105"/>
        </w:rPr>
        <w:t>form</w:t>
      </w:r>
      <w:r>
        <w:rPr>
          <w:color w:val="231F20"/>
          <w:spacing w:val="-6"/>
          <w:w w:val="105"/>
        </w:rPr>
        <w:t> </w:t>
      </w:r>
      <w:r>
        <w:rPr>
          <w:color w:val="231F20"/>
          <w:w w:val="105"/>
        </w:rPr>
        <w:t>concentrated</w:t>
      </w:r>
      <w:r>
        <w:rPr>
          <w:color w:val="231F20"/>
          <w:spacing w:val="-6"/>
          <w:w w:val="105"/>
        </w:rPr>
        <w:t> </w:t>
      </w:r>
      <w:r>
        <w:rPr>
          <w:color w:val="231F20"/>
          <w:w w:val="105"/>
        </w:rPr>
        <w:t>urine.</w:t>
      </w:r>
    </w:p>
    <w:p>
      <w:pPr>
        <w:pStyle w:val="BodyText"/>
        <w:spacing w:before="5"/>
        <w:rPr>
          <w:sz w:val="25"/>
        </w:rPr>
      </w:pPr>
      <w:r>
        <w:rPr/>
        <w:pict>
          <v:shape style="position:absolute;margin-left:72pt;margin-top:15.825985pt;width:234pt;height:40pt;mso-position-horizontal-relative:page;mso-position-vertical-relative:paragraph;z-index:-251350016;mso-wrap-distance-left:0;mso-wrap-distance-right:0" type="#_x0000_t202" filled="true" fillcolor="#e8dac8" stroked="false">
            <v:textbox inset="0,0,0,0">
              <w:txbxContent>
                <w:p>
                  <w:pPr>
                    <w:spacing w:line="225" w:lineRule="auto" w:before="46"/>
                    <w:ind w:left="60" w:right="1227" w:firstLine="0"/>
                    <w:jc w:val="left"/>
                    <w:rPr>
                      <w:rFonts w:ascii="Trebuchet MS"/>
                      <w:b/>
                      <w:sz w:val="22"/>
                    </w:rPr>
                  </w:pPr>
                  <w:r>
                    <w:rPr>
                      <w:rFonts w:ascii="Trebuchet MS"/>
                      <w:b/>
                      <w:color w:val="231F20"/>
                      <w:w w:val="110"/>
                      <w:sz w:val="22"/>
                    </w:rPr>
                    <w:t>PHYSIOLOGICAL CONTROL OF GLOMERULAR FILTRATION AND RENAL BLOOD FLOW</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w w:val="105"/>
        </w:rPr>
        <w:t>The determinants of GFR that are most variable </w:t>
      </w:r>
      <w:r>
        <w:rPr>
          <w:color w:val="231F20"/>
          <w:spacing w:val="-4"/>
          <w:w w:val="105"/>
        </w:rPr>
        <w:t>and </w:t>
      </w:r>
      <w:r>
        <w:rPr>
          <w:color w:val="231F20"/>
          <w:w w:val="105"/>
        </w:rPr>
        <w:t>subject to physiological control include the glomerular hydrostatic</w:t>
      </w:r>
      <w:r>
        <w:rPr>
          <w:color w:val="231F20"/>
          <w:spacing w:val="-10"/>
          <w:w w:val="105"/>
        </w:rPr>
        <w:t> </w:t>
      </w:r>
      <w:r>
        <w:rPr>
          <w:color w:val="231F20"/>
          <w:w w:val="105"/>
        </w:rPr>
        <w:t>pressure</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9"/>
          <w:w w:val="105"/>
        </w:rPr>
        <w:t> </w:t>
      </w:r>
      <w:r>
        <w:rPr>
          <w:color w:val="231F20"/>
          <w:w w:val="105"/>
        </w:rPr>
        <w:t>glomerular</w:t>
      </w:r>
      <w:r>
        <w:rPr>
          <w:color w:val="231F20"/>
          <w:spacing w:val="-10"/>
          <w:w w:val="105"/>
        </w:rPr>
        <w:t> </w:t>
      </w:r>
      <w:r>
        <w:rPr>
          <w:color w:val="231F20"/>
          <w:w w:val="105"/>
        </w:rPr>
        <w:t>capillary</w:t>
      </w:r>
      <w:r>
        <w:rPr>
          <w:color w:val="231F20"/>
          <w:spacing w:val="-10"/>
          <w:w w:val="105"/>
        </w:rPr>
        <w:t> </w:t>
      </w:r>
      <w:r>
        <w:rPr>
          <w:color w:val="231F20"/>
          <w:spacing w:val="-4"/>
          <w:w w:val="105"/>
        </w:rPr>
        <w:t>colloid</w:t>
      </w:r>
    </w:p>
    <w:p>
      <w:pPr>
        <w:spacing w:line="252" w:lineRule="auto" w:before="100"/>
        <w:ind w:left="319" w:right="1490" w:firstLine="0"/>
        <w:jc w:val="left"/>
        <w:rPr>
          <w:rFonts w:ascii="Trebuchet MS"/>
          <w:sz w:val="18"/>
        </w:rPr>
      </w:pPr>
      <w:r>
        <w:rPr/>
        <w:br w:type="column"/>
      </w:r>
      <w:bookmarkStart w:name="_bookmark34" w:id="35"/>
      <w:bookmarkEnd w:id="35"/>
      <w:r>
        <w:rPr/>
      </w:r>
      <w:r>
        <w:rPr>
          <w:rFonts w:ascii="Trebuchet MS"/>
          <w:b/>
          <w:color w:val="231F20"/>
          <w:w w:val="105"/>
          <w:sz w:val="18"/>
        </w:rPr>
        <w:t>Table 27-4 </w:t>
      </w:r>
      <w:r>
        <w:rPr>
          <w:rFonts w:ascii="Trebuchet MS"/>
          <w:color w:val="231F20"/>
          <w:w w:val="105"/>
          <w:sz w:val="18"/>
        </w:rPr>
        <w:t>Hormones and Autacoids That Influence GFR</w:t>
      </w:r>
    </w:p>
    <w:p>
      <w:pPr>
        <w:pStyle w:val="BodyText"/>
        <w:spacing w:before="5"/>
        <w:rPr>
          <w:rFonts w:ascii="Trebuchet MS"/>
          <w:sz w:val="9"/>
        </w:rPr>
      </w:pPr>
    </w:p>
    <w:tbl>
      <w:tblPr>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4"/>
        <w:gridCol w:w="436"/>
        <w:gridCol w:w="913"/>
        <w:gridCol w:w="671"/>
        <w:gridCol w:w="747"/>
        <w:gridCol w:w="300"/>
      </w:tblGrid>
      <w:tr>
        <w:trPr>
          <w:trHeight w:val="264" w:hRule="atLeast"/>
        </w:trPr>
        <w:tc>
          <w:tcPr>
            <w:tcW w:w="4681" w:type="dxa"/>
            <w:gridSpan w:val="6"/>
            <w:shd w:val="clear" w:color="auto" w:fill="D1DDF1"/>
          </w:tcPr>
          <w:p>
            <w:pPr>
              <w:pStyle w:val="TableParagraph"/>
              <w:tabs>
                <w:tab w:pos="3439" w:val="left" w:leader="none"/>
              </w:tabs>
              <w:spacing w:before="34"/>
              <w:ind w:left="120"/>
              <w:rPr>
                <w:b/>
                <w:sz w:val="16"/>
              </w:rPr>
            </w:pPr>
            <w:r>
              <w:rPr>
                <w:b/>
                <w:color w:val="231F20"/>
                <w:sz w:val="16"/>
              </w:rPr>
              <w:t>Hormone</w:t>
            </w:r>
            <w:r>
              <w:rPr>
                <w:b/>
                <w:color w:val="231F20"/>
                <w:spacing w:val="15"/>
                <w:sz w:val="16"/>
              </w:rPr>
              <w:t> </w:t>
            </w:r>
            <w:r>
              <w:rPr>
                <w:b/>
                <w:color w:val="231F20"/>
                <w:sz w:val="16"/>
              </w:rPr>
              <w:t>or</w:t>
            </w:r>
            <w:r>
              <w:rPr>
                <w:b/>
                <w:color w:val="231F20"/>
                <w:spacing w:val="15"/>
                <w:sz w:val="16"/>
              </w:rPr>
              <w:t> </w:t>
            </w:r>
            <w:r>
              <w:rPr>
                <w:b/>
                <w:color w:val="231F20"/>
                <w:sz w:val="16"/>
              </w:rPr>
              <w:t>Autacoid</w:t>
              <w:tab/>
              <w:t>Effect on</w:t>
            </w:r>
            <w:r>
              <w:rPr>
                <w:b/>
                <w:color w:val="231F20"/>
                <w:spacing w:val="7"/>
                <w:sz w:val="16"/>
              </w:rPr>
              <w:t> </w:t>
            </w:r>
            <w:r>
              <w:rPr>
                <w:b/>
                <w:color w:val="231F20"/>
                <w:sz w:val="16"/>
              </w:rPr>
              <w:t>GFR</w:t>
            </w:r>
          </w:p>
        </w:tc>
      </w:tr>
      <w:tr>
        <w:trPr>
          <w:trHeight w:val="259" w:hRule="atLeast"/>
        </w:trPr>
        <w:tc>
          <w:tcPr>
            <w:tcW w:w="1614" w:type="dxa"/>
            <w:tcBorders>
              <w:bottom w:val="single" w:sz="4" w:space="0" w:color="FFFFFF"/>
            </w:tcBorders>
            <w:shd w:val="clear" w:color="auto" w:fill="E6ECF7"/>
          </w:tcPr>
          <w:p>
            <w:pPr>
              <w:pStyle w:val="TableParagraph"/>
              <w:spacing w:before="24"/>
              <w:ind w:left="120"/>
              <w:rPr>
                <w:sz w:val="16"/>
              </w:rPr>
            </w:pPr>
            <w:r>
              <w:rPr>
                <w:color w:val="231F20"/>
                <w:w w:val="105"/>
                <w:sz w:val="16"/>
              </w:rPr>
              <w:t>Norepinephrine</w:t>
            </w:r>
          </w:p>
        </w:tc>
        <w:tc>
          <w:tcPr>
            <w:tcW w:w="436" w:type="dxa"/>
            <w:tcBorders>
              <w:bottom w:val="single" w:sz="4" w:space="0" w:color="FFFFFF"/>
            </w:tcBorders>
            <w:shd w:val="clear" w:color="auto" w:fill="E6ECF7"/>
          </w:tcPr>
          <w:p>
            <w:pPr>
              <w:pStyle w:val="TableParagraph"/>
              <w:spacing w:before="0"/>
              <w:rPr>
                <w:rFonts w:ascii="Times New Roman"/>
                <w:sz w:val="18"/>
              </w:rPr>
            </w:pPr>
          </w:p>
        </w:tc>
        <w:tc>
          <w:tcPr>
            <w:tcW w:w="913" w:type="dxa"/>
            <w:tcBorders>
              <w:bottom w:val="single" w:sz="4" w:space="0" w:color="FFFFFF"/>
            </w:tcBorders>
            <w:shd w:val="clear" w:color="auto" w:fill="E6ECF7"/>
          </w:tcPr>
          <w:p>
            <w:pPr>
              <w:pStyle w:val="TableParagraph"/>
              <w:spacing w:before="0"/>
              <w:rPr>
                <w:rFonts w:ascii="Times New Roman"/>
                <w:sz w:val="18"/>
              </w:rPr>
            </w:pPr>
          </w:p>
        </w:tc>
        <w:tc>
          <w:tcPr>
            <w:tcW w:w="671" w:type="dxa"/>
            <w:tcBorders>
              <w:bottom w:val="single" w:sz="4" w:space="0" w:color="FFFFFF"/>
            </w:tcBorders>
            <w:shd w:val="clear" w:color="auto" w:fill="E6ECF7"/>
          </w:tcPr>
          <w:p>
            <w:pPr>
              <w:pStyle w:val="TableParagraph"/>
              <w:spacing w:before="27"/>
              <w:ind w:right="95"/>
              <w:jc w:val="right"/>
              <w:rPr>
                <w:rFonts w:ascii="Consolas" w:hAnsi="Consolas"/>
                <w:sz w:val="16"/>
              </w:rPr>
            </w:pPr>
            <w:r>
              <w:rPr>
                <w:rFonts w:ascii="Consolas" w:hAnsi="Consolas"/>
                <w:color w:val="231F20"/>
                <w:w w:val="109"/>
                <w:sz w:val="16"/>
              </w:rPr>
              <w:t>↓</w:t>
            </w:r>
          </w:p>
        </w:tc>
        <w:tc>
          <w:tcPr>
            <w:tcW w:w="747" w:type="dxa"/>
            <w:tcBorders>
              <w:bottom w:val="single" w:sz="4" w:space="0" w:color="FFFFFF"/>
            </w:tcBorders>
            <w:shd w:val="clear" w:color="auto" w:fill="E6ECF7"/>
          </w:tcPr>
          <w:p>
            <w:pPr>
              <w:pStyle w:val="TableParagraph"/>
              <w:spacing w:before="0"/>
              <w:rPr>
                <w:rFonts w:ascii="Times New Roman"/>
                <w:sz w:val="18"/>
              </w:rPr>
            </w:pPr>
          </w:p>
        </w:tc>
        <w:tc>
          <w:tcPr>
            <w:tcW w:w="300" w:type="dxa"/>
            <w:tcBorders>
              <w:bottom w:val="single" w:sz="4" w:space="0" w:color="FFFFFF"/>
            </w:tcBorders>
            <w:shd w:val="clear" w:color="auto" w:fill="E6ECF7"/>
          </w:tcPr>
          <w:p>
            <w:pPr>
              <w:pStyle w:val="TableParagraph"/>
              <w:spacing w:before="0"/>
              <w:rPr>
                <w:rFonts w:ascii="Times New Roman"/>
                <w:sz w:val="18"/>
              </w:rPr>
            </w:pPr>
          </w:p>
        </w:tc>
      </w:tr>
      <w:tr>
        <w:trPr>
          <w:trHeight w:val="264" w:hRule="atLeast"/>
        </w:trPr>
        <w:tc>
          <w:tcPr>
            <w:tcW w:w="1614"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Epinephrine</w:t>
            </w:r>
          </w:p>
        </w:tc>
        <w:tc>
          <w:tcPr>
            <w:tcW w:w="436"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913"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671" w:type="dxa"/>
            <w:tcBorders>
              <w:top w:val="single" w:sz="4" w:space="0" w:color="FFFFFF"/>
              <w:bottom w:val="single" w:sz="4" w:space="0" w:color="FFFFFF"/>
            </w:tcBorders>
            <w:shd w:val="clear" w:color="auto" w:fill="E6ECF7"/>
          </w:tcPr>
          <w:p>
            <w:pPr>
              <w:pStyle w:val="TableParagraph"/>
              <w:spacing w:before="32"/>
              <w:ind w:right="95"/>
              <w:jc w:val="right"/>
              <w:rPr>
                <w:rFonts w:ascii="Consolas" w:hAnsi="Consolas"/>
                <w:sz w:val="16"/>
              </w:rPr>
            </w:pPr>
            <w:r>
              <w:rPr>
                <w:rFonts w:ascii="Consolas" w:hAnsi="Consolas"/>
                <w:color w:val="231F20"/>
                <w:w w:val="109"/>
                <w:sz w:val="16"/>
              </w:rPr>
              <w:t>↓</w:t>
            </w:r>
          </w:p>
        </w:tc>
        <w:tc>
          <w:tcPr>
            <w:tcW w:w="747"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300"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r>
      <w:tr>
        <w:trPr>
          <w:trHeight w:val="264" w:hRule="atLeast"/>
        </w:trPr>
        <w:tc>
          <w:tcPr>
            <w:tcW w:w="1614"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Endothelin</w:t>
            </w:r>
          </w:p>
        </w:tc>
        <w:tc>
          <w:tcPr>
            <w:tcW w:w="436"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913"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671" w:type="dxa"/>
            <w:tcBorders>
              <w:top w:val="single" w:sz="4" w:space="0" w:color="FFFFFF"/>
              <w:bottom w:val="single" w:sz="4" w:space="0" w:color="FFFFFF"/>
            </w:tcBorders>
            <w:shd w:val="clear" w:color="auto" w:fill="E6ECF7"/>
          </w:tcPr>
          <w:p>
            <w:pPr>
              <w:pStyle w:val="TableParagraph"/>
              <w:spacing w:before="32"/>
              <w:ind w:right="95"/>
              <w:jc w:val="right"/>
              <w:rPr>
                <w:rFonts w:ascii="Consolas" w:hAnsi="Consolas"/>
                <w:sz w:val="16"/>
              </w:rPr>
            </w:pPr>
            <w:r>
              <w:rPr>
                <w:rFonts w:ascii="Consolas" w:hAnsi="Consolas"/>
                <w:color w:val="231F20"/>
                <w:w w:val="109"/>
                <w:sz w:val="16"/>
              </w:rPr>
              <w:t>↓</w:t>
            </w:r>
          </w:p>
        </w:tc>
        <w:tc>
          <w:tcPr>
            <w:tcW w:w="747"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300"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r>
      <w:tr>
        <w:trPr>
          <w:trHeight w:val="264" w:hRule="atLeast"/>
        </w:trPr>
        <w:tc>
          <w:tcPr>
            <w:tcW w:w="1614"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Angiotensin II</w:t>
            </w:r>
          </w:p>
        </w:tc>
        <w:tc>
          <w:tcPr>
            <w:tcW w:w="436"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913"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671" w:type="dxa"/>
            <w:tcBorders>
              <w:top w:val="single" w:sz="4" w:space="0" w:color="FFFFFF"/>
              <w:bottom w:val="single" w:sz="4" w:space="0" w:color="FFFFFF"/>
            </w:tcBorders>
            <w:shd w:val="clear" w:color="auto" w:fill="E6ECF7"/>
          </w:tcPr>
          <w:p>
            <w:pPr>
              <w:pStyle w:val="TableParagraph"/>
              <w:spacing w:before="32"/>
              <w:ind w:right="25"/>
              <w:jc w:val="right"/>
              <w:rPr>
                <w:rFonts w:ascii="Consolas" w:hAnsi="Consolas"/>
                <w:sz w:val="16"/>
              </w:rPr>
            </w:pPr>
            <w:r>
              <w:rPr>
                <w:rFonts w:ascii="Consolas" w:hAnsi="Consolas"/>
                <w:color w:val="231F20"/>
                <w:w w:val="189"/>
                <w:sz w:val="16"/>
              </w:rPr>
              <w:t>↔</w:t>
            </w:r>
          </w:p>
        </w:tc>
        <w:tc>
          <w:tcPr>
            <w:tcW w:w="747" w:type="dxa"/>
            <w:tcBorders>
              <w:top w:val="single" w:sz="4" w:space="0" w:color="FFFFFF"/>
              <w:bottom w:val="single" w:sz="4" w:space="0" w:color="FFFFFF"/>
            </w:tcBorders>
            <w:shd w:val="clear" w:color="auto" w:fill="E6ECF7"/>
          </w:tcPr>
          <w:p>
            <w:pPr>
              <w:pStyle w:val="TableParagraph"/>
              <w:ind w:left="26"/>
              <w:rPr>
                <w:sz w:val="16"/>
              </w:rPr>
            </w:pPr>
            <w:r>
              <w:rPr>
                <w:color w:val="231F20"/>
                <w:sz w:val="16"/>
              </w:rPr>
              <w:t>(prevents</w:t>
            </w:r>
          </w:p>
        </w:tc>
        <w:tc>
          <w:tcPr>
            <w:tcW w:w="300" w:type="dxa"/>
            <w:tcBorders>
              <w:top w:val="single" w:sz="4" w:space="0" w:color="FFFFFF"/>
              <w:bottom w:val="single" w:sz="4" w:space="0" w:color="FFFFFF"/>
            </w:tcBorders>
            <w:shd w:val="clear" w:color="auto" w:fill="E6ECF7"/>
          </w:tcPr>
          <w:p>
            <w:pPr>
              <w:pStyle w:val="TableParagraph"/>
              <w:ind w:left="25"/>
              <w:rPr>
                <w:sz w:val="16"/>
              </w:rPr>
            </w:pPr>
            <w:r>
              <w:rPr>
                <w:rFonts w:ascii="Consolas" w:hAnsi="Consolas"/>
                <w:color w:val="231F20"/>
                <w:sz w:val="16"/>
              </w:rPr>
              <w:t>↓</w:t>
            </w:r>
            <w:r>
              <w:rPr>
                <w:color w:val="231F20"/>
                <w:sz w:val="16"/>
              </w:rPr>
              <w:t>)</w:t>
            </w:r>
          </w:p>
        </w:tc>
      </w:tr>
      <w:tr>
        <w:trPr>
          <w:trHeight w:val="264" w:hRule="atLeast"/>
        </w:trPr>
        <w:tc>
          <w:tcPr>
            <w:tcW w:w="1614"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Endothelial-derived</w:t>
            </w:r>
          </w:p>
        </w:tc>
        <w:tc>
          <w:tcPr>
            <w:tcW w:w="436" w:type="dxa"/>
            <w:tcBorders>
              <w:top w:val="single" w:sz="4" w:space="0" w:color="FFFFFF"/>
              <w:bottom w:val="single" w:sz="4" w:space="0" w:color="FFFFFF"/>
            </w:tcBorders>
            <w:shd w:val="clear" w:color="auto" w:fill="E6ECF7"/>
          </w:tcPr>
          <w:p>
            <w:pPr>
              <w:pStyle w:val="TableParagraph"/>
              <w:ind w:left="26"/>
              <w:rPr>
                <w:sz w:val="16"/>
              </w:rPr>
            </w:pPr>
            <w:r>
              <w:rPr>
                <w:color w:val="231F20"/>
                <w:sz w:val="16"/>
              </w:rPr>
              <w:t>nitric</w:t>
            </w:r>
          </w:p>
        </w:tc>
        <w:tc>
          <w:tcPr>
            <w:tcW w:w="913" w:type="dxa"/>
            <w:tcBorders>
              <w:top w:val="single" w:sz="4" w:space="0" w:color="FFFFFF"/>
              <w:bottom w:val="single" w:sz="4" w:space="0" w:color="FFFFFF"/>
            </w:tcBorders>
            <w:shd w:val="clear" w:color="auto" w:fill="E6ECF7"/>
          </w:tcPr>
          <w:p>
            <w:pPr>
              <w:pStyle w:val="TableParagraph"/>
              <w:ind w:left="26"/>
              <w:rPr>
                <w:sz w:val="16"/>
              </w:rPr>
            </w:pPr>
            <w:r>
              <w:rPr>
                <w:color w:val="231F20"/>
                <w:w w:val="105"/>
                <w:sz w:val="16"/>
              </w:rPr>
              <w:t>oxide</w:t>
            </w:r>
          </w:p>
        </w:tc>
        <w:tc>
          <w:tcPr>
            <w:tcW w:w="671" w:type="dxa"/>
            <w:tcBorders>
              <w:top w:val="single" w:sz="4" w:space="0" w:color="FFFFFF"/>
              <w:bottom w:val="single" w:sz="4" w:space="0" w:color="FFFFFF"/>
            </w:tcBorders>
            <w:shd w:val="clear" w:color="auto" w:fill="E6ECF7"/>
          </w:tcPr>
          <w:p>
            <w:pPr>
              <w:pStyle w:val="TableParagraph"/>
              <w:spacing w:before="32"/>
              <w:ind w:right="95"/>
              <w:jc w:val="right"/>
              <w:rPr>
                <w:rFonts w:ascii="Consolas" w:hAnsi="Consolas"/>
                <w:sz w:val="16"/>
              </w:rPr>
            </w:pPr>
            <w:r>
              <w:rPr>
                <w:rFonts w:ascii="Consolas" w:hAnsi="Consolas"/>
                <w:color w:val="231F20"/>
                <w:w w:val="109"/>
                <w:sz w:val="16"/>
              </w:rPr>
              <w:t>↑</w:t>
            </w:r>
          </w:p>
        </w:tc>
        <w:tc>
          <w:tcPr>
            <w:tcW w:w="747"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300"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r>
      <w:tr>
        <w:trPr>
          <w:trHeight w:val="279" w:hRule="atLeast"/>
        </w:trPr>
        <w:tc>
          <w:tcPr>
            <w:tcW w:w="1614" w:type="dxa"/>
            <w:tcBorders>
              <w:top w:val="single" w:sz="4" w:space="0" w:color="FFFFFF"/>
            </w:tcBorders>
            <w:shd w:val="clear" w:color="auto" w:fill="E6ECF7"/>
          </w:tcPr>
          <w:p>
            <w:pPr>
              <w:pStyle w:val="TableParagraph"/>
              <w:ind w:left="120"/>
              <w:rPr>
                <w:sz w:val="16"/>
              </w:rPr>
            </w:pPr>
            <w:r>
              <w:rPr>
                <w:color w:val="231F20"/>
                <w:w w:val="105"/>
                <w:sz w:val="16"/>
              </w:rPr>
              <w:t>Prostaglandins</w:t>
            </w:r>
          </w:p>
        </w:tc>
        <w:tc>
          <w:tcPr>
            <w:tcW w:w="436" w:type="dxa"/>
            <w:tcBorders>
              <w:top w:val="single" w:sz="4" w:space="0" w:color="FFFFFF"/>
            </w:tcBorders>
            <w:shd w:val="clear" w:color="auto" w:fill="E6ECF7"/>
          </w:tcPr>
          <w:p>
            <w:pPr>
              <w:pStyle w:val="TableParagraph"/>
              <w:spacing w:before="0"/>
              <w:rPr>
                <w:rFonts w:ascii="Times New Roman"/>
                <w:sz w:val="18"/>
              </w:rPr>
            </w:pPr>
          </w:p>
        </w:tc>
        <w:tc>
          <w:tcPr>
            <w:tcW w:w="913" w:type="dxa"/>
            <w:tcBorders>
              <w:top w:val="single" w:sz="4" w:space="0" w:color="FFFFFF"/>
            </w:tcBorders>
            <w:shd w:val="clear" w:color="auto" w:fill="E6ECF7"/>
          </w:tcPr>
          <w:p>
            <w:pPr>
              <w:pStyle w:val="TableParagraph"/>
              <w:spacing w:before="0"/>
              <w:rPr>
                <w:rFonts w:ascii="Times New Roman"/>
                <w:sz w:val="18"/>
              </w:rPr>
            </w:pPr>
          </w:p>
        </w:tc>
        <w:tc>
          <w:tcPr>
            <w:tcW w:w="671" w:type="dxa"/>
            <w:tcBorders>
              <w:top w:val="single" w:sz="4" w:space="0" w:color="FFFFFF"/>
            </w:tcBorders>
            <w:shd w:val="clear" w:color="auto" w:fill="E6ECF7"/>
          </w:tcPr>
          <w:p>
            <w:pPr>
              <w:pStyle w:val="TableParagraph"/>
              <w:spacing w:before="32"/>
              <w:ind w:right="95"/>
              <w:jc w:val="right"/>
              <w:rPr>
                <w:rFonts w:ascii="Consolas" w:hAnsi="Consolas"/>
                <w:sz w:val="16"/>
              </w:rPr>
            </w:pPr>
            <w:r>
              <w:rPr>
                <w:rFonts w:ascii="Consolas" w:hAnsi="Consolas"/>
                <w:color w:val="231F20"/>
                <w:w w:val="109"/>
                <w:sz w:val="16"/>
              </w:rPr>
              <w:t>↑</w:t>
            </w:r>
          </w:p>
        </w:tc>
        <w:tc>
          <w:tcPr>
            <w:tcW w:w="747" w:type="dxa"/>
            <w:tcBorders>
              <w:top w:val="single" w:sz="4" w:space="0" w:color="FFFFFF"/>
            </w:tcBorders>
            <w:shd w:val="clear" w:color="auto" w:fill="E6ECF7"/>
          </w:tcPr>
          <w:p>
            <w:pPr>
              <w:pStyle w:val="TableParagraph"/>
              <w:spacing w:before="0"/>
              <w:rPr>
                <w:rFonts w:ascii="Times New Roman"/>
                <w:sz w:val="18"/>
              </w:rPr>
            </w:pPr>
          </w:p>
        </w:tc>
        <w:tc>
          <w:tcPr>
            <w:tcW w:w="300" w:type="dxa"/>
            <w:tcBorders>
              <w:top w:val="single" w:sz="4" w:space="0" w:color="FFFFFF"/>
            </w:tcBorders>
            <w:shd w:val="clear" w:color="auto" w:fill="E6ECF7"/>
          </w:tcPr>
          <w:p>
            <w:pPr>
              <w:pStyle w:val="TableParagraph"/>
              <w:spacing w:before="0"/>
              <w:rPr>
                <w:rFonts w:ascii="Times New Roman"/>
                <w:sz w:val="18"/>
              </w:rPr>
            </w:pPr>
          </w:p>
        </w:tc>
      </w:tr>
    </w:tbl>
    <w:p>
      <w:pPr>
        <w:pStyle w:val="BodyText"/>
        <w:rPr>
          <w:rFonts w:ascii="Trebuchet MS"/>
        </w:rPr>
      </w:pPr>
    </w:p>
    <w:p>
      <w:pPr>
        <w:pStyle w:val="BodyText"/>
        <w:spacing w:line="249" w:lineRule="auto" w:before="176"/>
        <w:ind w:left="319" w:right="1077"/>
        <w:jc w:val="both"/>
      </w:pPr>
      <w:r>
        <w:rPr/>
        <w:pict>
          <v:rect style="position:absolute;margin-left:576pt;margin-top:4.785962pt;width:36pt;height:24pt;mso-position-horizontal-relative:page;mso-position-vertical-relative:paragraph;z-index:251970560" filled="true" fillcolor="#e8dac8" stroked="false">
            <v:fill type="solid"/>
            <w10:wrap type="none"/>
          </v:rect>
        </w:pict>
      </w:r>
      <w:r>
        <w:rPr/>
        <w:pict>
          <v:shape style="position:absolute;margin-left:578.900024pt;margin-top:-71.556740pt;width:15.9pt;height:53.35pt;mso-position-horizontal-relative:page;mso-position-vertical-relative:paragraph;z-index:25197158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osmotic</w:t>
      </w:r>
      <w:r>
        <w:rPr>
          <w:color w:val="231F20"/>
          <w:spacing w:val="-17"/>
          <w:w w:val="105"/>
        </w:rPr>
        <w:t> </w:t>
      </w:r>
      <w:r>
        <w:rPr>
          <w:color w:val="231F20"/>
          <w:w w:val="105"/>
        </w:rPr>
        <w:t>pressure.</w:t>
      </w:r>
      <w:r>
        <w:rPr>
          <w:color w:val="231F20"/>
          <w:spacing w:val="-17"/>
          <w:w w:val="105"/>
        </w:rPr>
        <w:t> </w:t>
      </w:r>
      <w:r>
        <w:rPr>
          <w:color w:val="231F20"/>
          <w:w w:val="105"/>
        </w:rPr>
        <w:t>These</w:t>
      </w:r>
      <w:r>
        <w:rPr>
          <w:color w:val="231F20"/>
          <w:spacing w:val="-17"/>
          <w:w w:val="105"/>
        </w:rPr>
        <w:t> </w:t>
      </w:r>
      <w:r>
        <w:rPr>
          <w:color w:val="231F20"/>
          <w:w w:val="105"/>
        </w:rPr>
        <w:t>variables,</w:t>
      </w:r>
      <w:r>
        <w:rPr>
          <w:color w:val="231F20"/>
          <w:spacing w:val="-17"/>
          <w:w w:val="105"/>
        </w:rPr>
        <w:t> </w:t>
      </w:r>
      <w:r>
        <w:rPr>
          <w:color w:val="231F20"/>
          <w:w w:val="105"/>
        </w:rPr>
        <w:t>in</w:t>
      </w:r>
      <w:r>
        <w:rPr>
          <w:color w:val="231F20"/>
          <w:spacing w:val="-16"/>
          <w:w w:val="105"/>
        </w:rPr>
        <w:t> </w:t>
      </w:r>
      <w:r>
        <w:rPr>
          <w:color w:val="231F20"/>
          <w:w w:val="105"/>
        </w:rPr>
        <w:t>turn,</w:t>
      </w:r>
      <w:r>
        <w:rPr>
          <w:color w:val="231F20"/>
          <w:spacing w:val="-17"/>
          <w:w w:val="105"/>
        </w:rPr>
        <w:t> </w:t>
      </w:r>
      <w:r>
        <w:rPr>
          <w:color w:val="231F20"/>
          <w:w w:val="105"/>
        </w:rPr>
        <w:t>are</w:t>
      </w:r>
      <w:r>
        <w:rPr>
          <w:color w:val="231F20"/>
          <w:spacing w:val="-17"/>
          <w:w w:val="105"/>
        </w:rPr>
        <w:t> </w:t>
      </w:r>
      <w:r>
        <w:rPr>
          <w:color w:val="231F20"/>
          <w:w w:val="105"/>
        </w:rPr>
        <w:t>influenced by the sympathetic nervous system, hormones and </w:t>
      </w:r>
      <w:r>
        <w:rPr>
          <w:color w:val="231F20"/>
          <w:spacing w:val="-4"/>
          <w:w w:val="105"/>
        </w:rPr>
        <w:t>auta­ </w:t>
      </w:r>
      <w:r>
        <w:rPr>
          <w:color w:val="231F20"/>
          <w:w w:val="105"/>
        </w:rPr>
        <w:t>coids (vasoactive substances that are released in the kidneys</w:t>
      </w:r>
      <w:r>
        <w:rPr>
          <w:color w:val="231F20"/>
          <w:spacing w:val="-15"/>
          <w:w w:val="105"/>
        </w:rPr>
        <w:t> </w:t>
      </w:r>
      <w:r>
        <w:rPr>
          <w:color w:val="231F20"/>
          <w:w w:val="105"/>
        </w:rPr>
        <w:t>and</w:t>
      </w:r>
      <w:r>
        <w:rPr>
          <w:color w:val="231F20"/>
          <w:spacing w:val="-14"/>
          <w:w w:val="105"/>
        </w:rPr>
        <w:t> </w:t>
      </w:r>
      <w:r>
        <w:rPr>
          <w:color w:val="231F20"/>
          <w:w w:val="105"/>
        </w:rPr>
        <w:t>act</w:t>
      </w:r>
      <w:r>
        <w:rPr>
          <w:color w:val="231F20"/>
          <w:spacing w:val="-14"/>
          <w:w w:val="105"/>
        </w:rPr>
        <w:t> </w:t>
      </w:r>
      <w:r>
        <w:rPr>
          <w:color w:val="231F20"/>
          <w:w w:val="105"/>
        </w:rPr>
        <w:t>locally),</w:t>
      </w:r>
      <w:r>
        <w:rPr>
          <w:color w:val="231F20"/>
          <w:spacing w:val="-15"/>
          <w:w w:val="105"/>
        </w:rPr>
        <w:t> </w:t>
      </w:r>
      <w:r>
        <w:rPr>
          <w:color w:val="231F20"/>
          <w:w w:val="105"/>
        </w:rPr>
        <w:t>and</w:t>
      </w:r>
      <w:r>
        <w:rPr>
          <w:color w:val="231F20"/>
          <w:spacing w:val="-14"/>
          <w:w w:val="105"/>
        </w:rPr>
        <w:t> </w:t>
      </w:r>
      <w:r>
        <w:rPr>
          <w:color w:val="231F20"/>
          <w:w w:val="105"/>
        </w:rPr>
        <w:t>other</w:t>
      </w:r>
      <w:r>
        <w:rPr>
          <w:color w:val="231F20"/>
          <w:spacing w:val="-14"/>
          <w:w w:val="105"/>
        </w:rPr>
        <w:t> </w:t>
      </w:r>
      <w:r>
        <w:rPr>
          <w:color w:val="231F20"/>
          <w:w w:val="105"/>
        </w:rPr>
        <w:t>feedback</w:t>
      </w:r>
      <w:r>
        <w:rPr>
          <w:color w:val="231F20"/>
          <w:spacing w:val="-15"/>
          <w:w w:val="105"/>
        </w:rPr>
        <w:t> </w:t>
      </w:r>
      <w:r>
        <w:rPr>
          <w:color w:val="231F20"/>
          <w:w w:val="105"/>
        </w:rPr>
        <w:t>controls</w:t>
      </w:r>
      <w:r>
        <w:rPr>
          <w:color w:val="231F20"/>
          <w:spacing w:val="-14"/>
          <w:w w:val="105"/>
        </w:rPr>
        <w:t> </w:t>
      </w:r>
      <w:r>
        <w:rPr>
          <w:color w:val="231F20"/>
          <w:spacing w:val="-4"/>
          <w:w w:val="105"/>
        </w:rPr>
        <w:t>that </w:t>
      </w:r>
      <w:r>
        <w:rPr>
          <w:color w:val="231F20"/>
          <w:w w:val="105"/>
        </w:rPr>
        <w:t>are intrinsic to the</w:t>
      </w:r>
      <w:r>
        <w:rPr>
          <w:color w:val="231F20"/>
          <w:spacing w:val="10"/>
          <w:w w:val="105"/>
        </w:rPr>
        <w:t> </w:t>
      </w:r>
      <w:r>
        <w:rPr>
          <w:color w:val="231F20"/>
          <w:w w:val="105"/>
        </w:rPr>
        <w:t>kidneys.</w:t>
      </w:r>
    </w:p>
    <w:p>
      <w:pPr>
        <w:pStyle w:val="BodyText"/>
        <w:rPr>
          <w:sz w:val="31"/>
        </w:rPr>
      </w:pPr>
    </w:p>
    <w:p>
      <w:pPr>
        <w:pStyle w:val="Heading2"/>
        <w:spacing w:line="225" w:lineRule="auto" w:before="1"/>
        <w:ind w:right="1764"/>
      </w:pPr>
      <w:r>
        <w:rPr>
          <w:color w:val="231F20"/>
          <w:w w:val="105"/>
        </w:rPr>
        <w:t>STRONG SYMPATHETIC NERVOUS SYSTEM ACTIVATION DECREASES GFR</w:t>
      </w:r>
    </w:p>
    <w:p>
      <w:pPr>
        <w:pStyle w:val="BodyText"/>
        <w:spacing w:line="249" w:lineRule="auto" w:before="127"/>
        <w:ind w:left="319" w:right="1077"/>
        <w:jc w:val="both"/>
      </w:pPr>
      <w:r>
        <w:rPr>
          <w:color w:val="231F20"/>
          <w:w w:val="105"/>
        </w:rPr>
        <w:t>Essentially</w:t>
      </w:r>
      <w:r>
        <w:rPr>
          <w:color w:val="231F20"/>
          <w:spacing w:val="-15"/>
          <w:w w:val="105"/>
        </w:rPr>
        <w:t> </w:t>
      </w:r>
      <w:r>
        <w:rPr>
          <w:color w:val="231F20"/>
          <w:w w:val="105"/>
        </w:rPr>
        <w:t>all</w:t>
      </w:r>
      <w:r>
        <w:rPr>
          <w:color w:val="231F20"/>
          <w:spacing w:val="-14"/>
          <w:w w:val="105"/>
        </w:rPr>
        <w:t> </w:t>
      </w:r>
      <w:r>
        <w:rPr>
          <w:color w:val="231F20"/>
          <w:w w:val="105"/>
        </w:rPr>
        <w:t>the</w:t>
      </w:r>
      <w:r>
        <w:rPr>
          <w:color w:val="231F20"/>
          <w:spacing w:val="-14"/>
          <w:w w:val="105"/>
        </w:rPr>
        <w:t> </w:t>
      </w:r>
      <w:r>
        <w:rPr>
          <w:color w:val="231F20"/>
          <w:w w:val="105"/>
        </w:rPr>
        <w:t>blood</w:t>
      </w:r>
      <w:r>
        <w:rPr>
          <w:color w:val="231F20"/>
          <w:spacing w:val="-15"/>
          <w:w w:val="105"/>
        </w:rPr>
        <w:t> </w:t>
      </w:r>
      <w:r>
        <w:rPr>
          <w:color w:val="231F20"/>
          <w:w w:val="105"/>
        </w:rPr>
        <w:t>vessels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kidneys,</w:t>
      </w:r>
      <w:r>
        <w:rPr>
          <w:color w:val="231F20"/>
          <w:spacing w:val="-15"/>
          <w:w w:val="105"/>
        </w:rPr>
        <w:t> </w:t>
      </w:r>
      <w:r>
        <w:rPr>
          <w:color w:val="231F20"/>
          <w:spacing w:val="-3"/>
          <w:w w:val="105"/>
        </w:rPr>
        <w:t>including </w:t>
      </w:r>
      <w:r>
        <w:rPr>
          <w:color w:val="231F20"/>
          <w:w w:val="105"/>
        </w:rPr>
        <w:t>the afferent and the efferent arterioles, are richly inner­ vated by sympathetic nerve fibers. Strong activation </w:t>
      </w:r>
      <w:r>
        <w:rPr>
          <w:color w:val="231F20"/>
          <w:spacing w:val="-6"/>
          <w:w w:val="105"/>
        </w:rPr>
        <w:t>of </w:t>
      </w:r>
      <w:r>
        <w:rPr>
          <w:color w:val="231F20"/>
          <w:w w:val="105"/>
        </w:rPr>
        <w:t>the</w:t>
      </w:r>
      <w:r>
        <w:rPr>
          <w:color w:val="231F20"/>
          <w:spacing w:val="-9"/>
          <w:w w:val="105"/>
        </w:rPr>
        <w:t> </w:t>
      </w:r>
      <w:r>
        <w:rPr>
          <w:color w:val="231F20"/>
          <w:w w:val="105"/>
        </w:rPr>
        <w:t>renal</w:t>
      </w:r>
      <w:r>
        <w:rPr>
          <w:color w:val="231F20"/>
          <w:spacing w:val="-8"/>
          <w:w w:val="105"/>
        </w:rPr>
        <w:t> </w:t>
      </w:r>
      <w:r>
        <w:rPr>
          <w:color w:val="231F20"/>
          <w:w w:val="105"/>
        </w:rPr>
        <w:t>sympathetic</w:t>
      </w:r>
      <w:r>
        <w:rPr>
          <w:color w:val="231F20"/>
          <w:spacing w:val="-8"/>
          <w:w w:val="105"/>
        </w:rPr>
        <w:t> </w:t>
      </w:r>
      <w:r>
        <w:rPr>
          <w:color w:val="231F20"/>
          <w:w w:val="105"/>
        </w:rPr>
        <w:t>nerves</w:t>
      </w:r>
      <w:r>
        <w:rPr>
          <w:color w:val="231F20"/>
          <w:spacing w:val="-8"/>
          <w:w w:val="105"/>
        </w:rPr>
        <w:t> </w:t>
      </w:r>
      <w:r>
        <w:rPr>
          <w:color w:val="231F20"/>
          <w:w w:val="105"/>
        </w:rPr>
        <w:t>can</w:t>
      </w:r>
      <w:r>
        <w:rPr>
          <w:color w:val="231F20"/>
          <w:spacing w:val="-9"/>
          <w:w w:val="105"/>
        </w:rPr>
        <w:t> </w:t>
      </w:r>
      <w:r>
        <w:rPr>
          <w:color w:val="231F20"/>
          <w:w w:val="105"/>
        </w:rPr>
        <w:t>constrict</w:t>
      </w:r>
      <w:r>
        <w:rPr>
          <w:color w:val="231F20"/>
          <w:spacing w:val="-8"/>
          <w:w w:val="105"/>
        </w:rPr>
        <w:t> </w:t>
      </w:r>
      <w:r>
        <w:rPr>
          <w:color w:val="231F20"/>
          <w:w w:val="105"/>
        </w:rPr>
        <w:t>the</w:t>
      </w:r>
      <w:r>
        <w:rPr>
          <w:color w:val="231F20"/>
          <w:spacing w:val="-8"/>
          <w:w w:val="105"/>
        </w:rPr>
        <w:t> </w:t>
      </w:r>
      <w:r>
        <w:rPr>
          <w:color w:val="231F20"/>
          <w:w w:val="105"/>
        </w:rPr>
        <w:t>renal</w:t>
      </w:r>
      <w:r>
        <w:rPr>
          <w:color w:val="231F20"/>
          <w:spacing w:val="-8"/>
          <w:w w:val="105"/>
        </w:rPr>
        <w:t> </w:t>
      </w:r>
      <w:r>
        <w:rPr>
          <w:color w:val="231F20"/>
          <w:w w:val="105"/>
        </w:rPr>
        <w:t>arte­ rioles</w:t>
      </w:r>
      <w:r>
        <w:rPr>
          <w:color w:val="231F20"/>
          <w:spacing w:val="-12"/>
          <w:w w:val="105"/>
        </w:rPr>
        <w:t> </w:t>
      </w:r>
      <w:r>
        <w:rPr>
          <w:color w:val="231F20"/>
          <w:w w:val="105"/>
        </w:rPr>
        <w:t>and</w:t>
      </w:r>
      <w:r>
        <w:rPr>
          <w:color w:val="231F20"/>
          <w:spacing w:val="-11"/>
          <w:w w:val="105"/>
        </w:rPr>
        <w:t> </w:t>
      </w:r>
      <w:r>
        <w:rPr>
          <w:color w:val="231F20"/>
          <w:w w:val="105"/>
        </w:rPr>
        <w:t>decrease</w:t>
      </w:r>
      <w:r>
        <w:rPr>
          <w:color w:val="231F20"/>
          <w:spacing w:val="-11"/>
          <w:w w:val="105"/>
        </w:rPr>
        <w:t> </w:t>
      </w:r>
      <w:r>
        <w:rPr>
          <w:color w:val="231F20"/>
          <w:w w:val="105"/>
        </w:rPr>
        <w:t>renal</w:t>
      </w:r>
      <w:r>
        <w:rPr>
          <w:color w:val="231F20"/>
          <w:spacing w:val="-11"/>
          <w:w w:val="105"/>
        </w:rPr>
        <w:t> </w:t>
      </w:r>
      <w:r>
        <w:rPr>
          <w:color w:val="231F20"/>
          <w:w w:val="105"/>
        </w:rPr>
        <w:t>blood</w:t>
      </w:r>
      <w:r>
        <w:rPr>
          <w:color w:val="231F20"/>
          <w:spacing w:val="-11"/>
          <w:w w:val="105"/>
        </w:rPr>
        <w:t> </w:t>
      </w:r>
      <w:r>
        <w:rPr>
          <w:color w:val="231F20"/>
          <w:w w:val="105"/>
        </w:rPr>
        <w:t>flow</w:t>
      </w:r>
      <w:r>
        <w:rPr>
          <w:color w:val="231F20"/>
          <w:spacing w:val="-11"/>
          <w:w w:val="105"/>
        </w:rPr>
        <w:t> </w:t>
      </w:r>
      <w:r>
        <w:rPr>
          <w:color w:val="231F20"/>
          <w:w w:val="105"/>
        </w:rPr>
        <w:t>and</w:t>
      </w:r>
      <w:r>
        <w:rPr>
          <w:color w:val="231F20"/>
          <w:spacing w:val="-11"/>
          <w:w w:val="105"/>
        </w:rPr>
        <w:t> </w:t>
      </w:r>
      <w:r>
        <w:rPr>
          <w:color w:val="231F20"/>
          <w:w w:val="105"/>
        </w:rPr>
        <w:t>GFR.</w:t>
      </w:r>
      <w:r>
        <w:rPr>
          <w:color w:val="231F20"/>
          <w:spacing w:val="-11"/>
          <w:w w:val="105"/>
        </w:rPr>
        <w:t> </w:t>
      </w:r>
      <w:r>
        <w:rPr>
          <w:color w:val="231F20"/>
          <w:w w:val="105"/>
        </w:rPr>
        <w:t>Moderate or mild sympathetic stimulation has little influence </w:t>
      </w:r>
      <w:r>
        <w:rPr>
          <w:color w:val="231F20"/>
          <w:spacing w:val="-7"/>
          <w:w w:val="105"/>
        </w:rPr>
        <w:t>on </w:t>
      </w:r>
      <w:r>
        <w:rPr>
          <w:color w:val="231F20"/>
          <w:w w:val="105"/>
        </w:rPr>
        <w:t>renal</w:t>
      </w:r>
      <w:r>
        <w:rPr>
          <w:color w:val="231F20"/>
          <w:spacing w:val="-18"/>
          <w:w w:val="105"/>
        </w:rPr>
        <w:t> </w:t>
      </w:r>
      <w:r>
        <w:rPr>
          <w:color w:val="231F20"/>
          <w:w w:val="105"/>
        </w:rPr>
        <w:t>blood</w:t>
      </w:r>
      <w:r>
        <w:rPr>
          <w:color w:val="231F20"/>
          <w:spacing w:val="-18"/>
          <w:w w:val="105"/>
        </w:rPr>
        <w:t> </w:t>
      </w:r>
      <w:r>
        <w:rPr>
          <w:color w:val="231F20"/>
          <w:w w:val="105"/>
        </w:rPr>
        <w:t>flow</w:t>
      </w:r>
      <w:r>
        <w:rPr>
          <w:color w:val="231F20"/>
          <w:spacing w:val="-17"/>
          <w:w w:val="105"/>
        </w:rPr>
        <w:t> </w:t>
      </w:r>
      <w:r>
        <w:rPr>
          <w:color w:val="231F20"/>
          <w:w w:val="105"/>
        </w:rPr>
        <w:t>and</w:t>
      </w:r>
      <w:r>
        <w:rPr>
          <w:color w:val="231F20"/>
          <w:spacing w:val="-18"/>
          <w:w w:val="105"/>
        </w:rPr>
        <w:t> </w:t>
      </w:r>
      <w:r>
        <w:rPr>
          <w:color w:val="231F20"/>
          <w:w w:val="105"/>
        </w:rPr>
        <w:t>GFR.</w:t>
      </w:r>
      <w:r>
        <w:rPr>
          <w:color w:val="231F20"/>
          <w:spacing w:val="-17"/>
          <w:w w:val="105"/>
        </w:rPr>
        <w:t> </w:t>
      </w:r>
      <w:r>
        <w:rPr>
          <w:color w:val="231F20"/>
          <w:spacing w:val="-3"/>
          <w:w w:val="105"/>
        </w:rPr>
        <w:t>For</w:t>
      </w:r>
      <w:r>
        <w:rPr>
          <w:color w:val="231F20"/>
          <w:spacing w:val="-18"/>
          <w:w w:val="105"/>
        </w:rPr>
        <w:t> </w:t>
      </w:r>
      <w:r>
        <w:rPr>
          <w:color w:val="231F20"/>
          <w:w w:val="105"/>
        </w:rPr>
        <w:t>example,</w:t>
      </w:r>
      <w:r>
        <w:rPr>
          <w:color w:val="231F20"/>
          <w:spacing w:val="-17"/>
          <w:w w:val="105"/>
        </w:rPr>
        <w:t> </w:t>
      </w:r>
      <w:r>
        <w:rPr>
          <w:color w:val="231F20"/>
          <w:w w:val="105"/>
        </w:rPr>
        <w:t>reflex</w:t>
      </w:r>
      <w:r>
        <w:rPr>
          <w:color w:val="231F20"/>
          <w:spacing w:val="-18"/>
          <w:w w:val="105"/>
        </w:rPr>
        <w:t> </w:t>
      </w:r>
      <w:r>
        <w:rPr>
          <w:color w:val="231F20"/>
          <w:spacing w:val="-2"/>
          <w:w w:val="105"/>
        </w:rPr>
        <w:t>activation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sympathetic</w:t>
      </w:r>
      <w:r>
        <w:rPr>
          <w:color w:val="231F20"/>
          <w:spacing w:val="-19"/>
          <w:w w:val="105"/>
        </w:rPr>
        <w:t> </w:t>
      </w:r>
      <w:r>
        <w:rPr>
          <w:color w:val="231F20"/>
          <w:w w:val="105"/>
        </w:rPr>
        <w:t>nervous</w:t>
      </w:r>
      <w:r>
        <w:rPr>
          <w:color w:val="231F20"/>
          <w:spacing w:val="-18"/>
          <w:w w:val="105"/>
        </w:rPr>
        <w:t> </w:t>
      </w:r>
      <w:r>
        <w:rPr>
          <w:color w:val="231F20"/>
          <w:w w:val="105"/>
        </w:rPr>
        <w:t>system</w:t>
      </w:r>
      <w:r>
        <w:rPr>
          <w:color w:val="231F20"/>
          <w:spacing w:val="-18"/>
          <w:w w:val="105"/>
        </w:rPr>
        <w:t> </w:t>
      </w:r>
      <w:r>
        <w:rPr>
          <w:color w:val="231F20"/>
          <w:w w:val="105"/>
        </w:rPr>
        <w:t>resulting</w:t>
      </w:r>
      <w:r>
        <w:rPr>
          <w:color w:val="231F20"/>
          <w:spacing w:val="-17"/>
          <w:w w:val="105"/>
        </w:rPr>
        <w:t> </w:t>
      </w:r>
      <w:r>
        <w:rPr>
          <w:color w:val="231F20"/>
          <w:w w:val="105"/>
        </w:rPr>
        <w:t>from</w:t>
      </w:r>
      <w:r>
        <w:rPr>
          <w:color w:val="231F20"/>
          <w:spacing w:val="-18"/>
          <w:w w:val="105"/>
        </w:rPr>
        <w:t> </w:t>
      </w:r>
      <w:r>
        <w:rPr>
          <w:color w:val="231F20"/>
          <w:spacing w:val="-3"/>
          <w:w w:val="105"/>
        </w:rPr>
        <w:t>moder­ </w:t>
      </w:r>
      <w:r>
        <w:rPr>
          <w:color w:val="231F20"/>
          <w:w w:val="105"/>
        </w:rPr>
        <w:t>ate decreases in pressure at the carotid sinus barorecep­ tors</w:t>
      </w:r>
      <w:r>
        <w:rPr>
          <w:color w:val="231F20"/>
          <w:spacing w:val="-7"/>
          <w:w w:val="105"/>
        </w:rPr>
        <w:t> </w:t>
      </w:r>
      <w:r>
        <w:rPr>
          <w:color w:val="231F20"/>
          <w:w w:val="105"/>
        </w:rPr>
        <w:t>or</w:t>
      </w:r>
      <w:r>
        <w:rPr>
          <w:color w:val="231F20"/>
          <w:spacing w:val="-6"/>
          <w:w w:val="105"/>
        </w:rPr>
        <w:t> </w:t>
      </w:r>
      <w:r>
        <w:rPr>
          <w:color w:val="231F20"/>
          <w:w w:val="105"/>
        </w:rPr>
        <w:t>cardiopulmonary</w:t>
      </w:r>
      <w:r>
        <w:rPr>
          <w:color w:val="231F20"/>
          <w:spacing w:val="-7"/>
          <w:w w:val="105"/>
        </w:rPr>
        <w:t> </w:t>
      </w:r>
      <w:r>
        <w:rPr>
          <w:color w:val="231F20"/>
          <w:w w:val="105"/>
        </w:rPr>
        <w:t>receptors</w:t>
      </w:r>
      <w:r>
        <w:rPr>
          <w:color w:val="231F20"/>
          <w:spacing w:val="-6"/>
          <w:w w:val="105"/>
        </w:rPr>
        <w:t> </w:t>
      </w:r>
      <w:r>
        <w:rPr>
          <w:color w:val="231F20"/>
          <w:w w:val="105"/>
        </w:rPr>
        <w:t>has</w:t>
      </w:r>
      <w:r>
        <w:rPr>
          <w:color w:val="231F20"/>
          <w:spacing w:val="-6"/>
          <w:w w:val="105"/>
        </w:rPr>
        <w:t> </w:t>
      </w:r>
      <w:r>
        <w:rPr>
          <w:color w:val="231F20"/>
          <w:w w:val="105"/>
        </w:rPr>
        <w:t>little</w:t>
      </w:r>
      <w:r>
        <w:rPr>
          <w:color w:val="231F20"/>
          <w:spacing w:val="-7"/>
          <w:w w:val="105"/>
        </w:rPr>
        <w:t> </w:t>
      </w:r>
      <w:r>
        <w:rPr>
          <w:color w:val="231F20"/>
          <w:w w:val="105"/>
        </w:rPr>
        <w:t>influence</w:t>
      </w:r>
      <w:r>
        <w:rPr>
          <w:color w:val="231F20"/>
          <w:spacing w:val="-6"/>
          <w:w w:val="105"/>
        </w:rPr>
        <w:t> </w:t>
      </w:r>
      <w:r>
        <w:rPr>
          <w:color w:val="231F20"/>
          <w:w w:val="105"/>
        </w:rPr>
        <w:t>on renal</w:t>
      </w:r>
      <w:r>
        <w:rPr>
          <w:color w:val="231F20"/>
          <w:spacing w:val="-37"/>
          <w:w w:val="105"/>
        </w:rPr>
        <w:t> </w:t>
      </w:r>
      <w:r>
        <w:rPr>
          <w:color w:val="231F20"/>
          <w:w w:val="105"/>
        </w:rPr>
        <w:t>blood</w:t>
      </w:r>
      <w:r>
        <w:rPr>
          <w:color w:val="231F20"/>
          <w:spacing w:val="-36"/>
          <w:w w:val="105"/>
        </w:rPr>
        <w:t> </w:t>
      </w:r>
      <w:r>
        <w:rPr>
          <w:color w:val="231F20"/>
          <w:w w:val="105"/>
        </w:rPr>
        <w:t>flow</w:t>
      </w:r>
      <w:r>
        <w:rPr>
          <w:color w:val="231F20"/>
          <w:spacing w:val="-37"/>
          <w:w w:val="105"/>
        </w:rPr>
        <w:t> </w:t>
      </w:r>
      <w:r>
        <w:rPr>
          <w:color w:val="231F20"/>
          <w:w w:val="105"/>
        </w:rPr>
        <w:t>or</w:t>
      </w:r>
      <w:r>
        <w:rPr>
          <w:color w:val="231F20"/>
          <w:spacing w:val="-36"/>
          <w:w w:val="105"/>
        </w:rPr>
        <w:t> </w:t>
      </w:r>
      <w:r>
        <w:rPr>
          <w:color w:val="231F20"/>
          <w:w w:val="105"/>
        </w:rPr>
        <w:t>GFR.</w:t>
      </w:r>
      <w:r>
        <w:rPr>
          <w:color w:val="231F20"/>
          <w:spacing w:val="-36"/>
          <w:w w:val="105"/>
        </w:rPr>
        <w:t> </w:t>
      </w:r>
      <w:r>
        <w:rPr>
          <w:color w:val="231F20"/>
          <w:w w:val="105"/>
        </w:rPr>
        <w:t>However,</w:t>
      </w:r>
      <w:r>
        <w:rPr>
          <w:color w:val="231F20"/>
          <w:spacing w:val="-37"/>
          <w:w w:val="105"/>
        </w:rPr>
        <w:t> </w:t>
      </w:r>
      <w:r>
        <w:rPr>
          <w:color w:val="231F20"/>
          <w:w w:val="105"/>
        </w:rPr>
        <w:t>as</w:t>
      </w:r>
      <w:r>
        <w:rPr>
          <w:color w:val="231F20"/>
          <w:spacing w:val="-36"/>
          <w:w w:val="105"/>
        </w:rPr>
        <w:t> </w:t>
      </w:r>
      <w:r>
        <w:rPr>
          <w:color w:val="231F20"/>
          <w:w w:val="105"/>
        </w:rPr>
        <w:t>discussed</w:t>
      </w:r>
      <w:r>
        <w:rPr>
          <w:color w:val="231F20"/>
          <w:spacing w:val="-36"/>
          <w:w w:val="105"/>
        </w:rPr>
        <w:t> </w:t>
      </w:r>
      <w:r>
        <w:rPr>
          <w:color w:val="231F20"/>
          <w:w w:val="105"/>
        </w:rPr>
        <w:t>in</w:t>
      </w:r>
      <w:r>
        <w:rPr>
          <w:color w:val="231F20"/>
          <w:spacing w:val="-37"/>
          <w:w w:val="105"/>
        </w:rPr>
        <w:t> </w:t>
      </w:r>
      <w:r>
        <w:rPr>
          <w:color w:val="231F20"/>
          <w:spacing w:val="-3"/>
          <w:w w:val="105"/>
        </w:rPr>
        <w:t>Chapter </w:t>
      </w:r>
      <w:r>
        <w:rPr>
          <w:color w:val="231F20"/>
          <w:w w:val="105"/>
        </w:rPr>
        <w:t>28,</w:t>
      </w:r>
      <w:r>
        <w:rPr>
          <w:color w:val="231F20"/>
          <w:spacing w:val="-10"/>
          <w:w w:val="105"/>
        </w:rPr>
        <w:t> </w:t>
      </w:r>
      <w:r>
        <w:rPr>
          <w:color w:val="231F20"/>
          <w:w w:val="105"/>
        </w:rPr>
        <w:t>even</w:t>
      </w:r>
      <w:r>
        <w:rPr>
          <w:color w:val="231F20"/>
          <w:spacing w:val="-10"/>
          <w:w w:val="105"/>
        </w:rPr>
        <w:t> </w:t>
      </w:r>
      <w:r>
        <w:rPr>
          <w:color w:val="231F20"/>
          <w:w w:val="105"/>
        </w:rPr>
        <w:t>mild</w:t>
      </w:r>
      <w:r>
        <w:rPr>
          <w:color w:val="231F20"/>
          <w:spacing w:val="-10"/>
          <w:w w:val="105"/>
        </w:rPr>
        <w:t> </w:t>
      </w:r>
      <w:r>
        <w:rPr>
          <w:color w:val="231F20"/>
          <w:w w:val="105"/>
        </w:rPr>
        <w:t>increases</w:t>
      </w:r>
      <w:r>
        <w:rPr>
          <w:color w:val="231F20"/>
          <w:spacing w:val="-10"/>
          <w:w w:val="105"/>
        </w:rPr>
        <w:t> </w:t>
      </w:r>
      <w:r>
        <w:rPr>
          <w:color w:val="231F20"/>
          <w:w w:val="105"/>
        </w:rPr>
        <w:t>in</w:t>
      </w:r>
      <w:r>
        <w:rPr>
          <w:color w:val="231F20"/>
          <w:spacing w:val="-10"/>
          <w:w w:val="105"/>
        </w:rPr>
        <w:t> </w:t>
      </w:r>
      <w:r>
        <w:rPr>
          <w:color w:val="231F20"/>
          <w:w w:val="105"/>
        </w:rPr>
        <w:t>renal</w:t>
      </w:r>
      <w:r>
        <w:rPr>
          <w:color w:val="231F20"/>
          <w:spacing w:val="-10"/>
          <w:w w:val="105"/>
        </w:rPr>
        <w:t> </w:t>
      </w:r>
      <w:r>
        <w:rPr>
          <w:color w:val="231F20"/>
          <w:w w:val="105"/>
        </w:rPr>
        <w:t>sympathetic</w:t>
      </w:r>
      <w:r>
        <w:rPr>
          <w:color w:val="231F20"/>
          <w:spacing w:val="-10"/>
          <w:w w:val="105"/>
        </w:rPr>
        <w:t> </w:t>
      </w:r>
      <w:r>
        <w:rPr>
          <w:color w:val="231F20"/>
          <w:w w:val="105"/>
        </w:rPr>
        <w:t>activity</w:t>
      </w:r>
      <w:r>
        <w:rPr>
          <w:color w:val="231F20"/>
          <w:spacing w:val="-10"/>
          <w:w w:val="105"/>
        </w:rPr>
        <w:t> </w:t>
      </w:r>
      <w:r>
        <w:rPr>
          <w:color w:val="231F20"/>
          <w:w w:val="105"/>
        </w:rPr>
        <w:t>can cause decreased sodium and water excretion by</w:t>
      </w:r>
      <w:r>
        <w:rPr>
          <w:color w:val="231F20"/>
          <w:spacing w:val="-32"/>
          <w:w w:val="105"/>
        </w:rPr>
        <w:t> </w:t>
      </w:r>
      <w:r>
        <w:rPr>
          <w:color w:val="231F20"/>
          <w:w w:val="105"/>
        </w:rPr>
        <w:t>increas­ ing renal tubular</w:t>
      </w:r>
      <w:r>
        <w:rPr>
          <w:color w:val="231F20"/>
          <w:spacing w:val="8"/>
          <w:w w:val="105"/>
        </w:rPr>
        <w:t> </w:t>
      </w:r>
      <w:r>
        <w:rPr>
          <w:color w:val="231F20"/>
          <w:w w:val="105"/>
        </w:rPr>
        <w:t>reabsorption.</w:t>
      </w:r>
    </w:p>
    <w:p>
      <w:pPr>
        <w:pStyle w:val="BodyText"/>
        <w:spacing w:line="249" w:lineRule="auto" w:before="11"/>
        <w:ind w:left="319" w:right="1077" w:firstLine="240"/>
        <w:jc w:val="both"/>
      </w:pPr>
      <w:r>
        <w:rPr>
          <w:color w:val="231F20"/>
          <w:w w:val="105"/>
        </w:rPr>
        <w:t>The renal sympathetic nerves seem to be most im­ portant in reducing GFR during severe, acute </w:t>
      </w:r>
      <w:r>
        <w:rPr>
          <w:color w:val="231F20"/>
          <w:spacing w:val="-4"/>
          <w:w w:val="105"/>
        </w:rPr>
        <w:t>distur­ </w:t>
      </w:r>
      <w:r>
        <w:rPr>
          <w:color w:val="231F20"/>
          <w:w w:val="105"/>
        </w:rPr>
        <w:t>bances lasting for a few minutes to a few hours, such as those</w:t>
      </w:r>
      <w:r>
        <w:rPr>
          <w:color w:val="231F20"/>
          <w:spacing w:val="-7"/>
          <w:w w:val="105"/>
        </w:rPr>
        <w:t> </w:t>
      </w:r>
      <w:r>
        <w:rPr>
          <w:color w:val="231F20"/>
          <w:w w:val="105"/>
        </w:rPr>
        <w:t>elicited</w:t>
      </w:r>
      <w:r>
        <w:rPr>
          <w:color w:val="231F20"/>
          <w:spacing w:val="-6"/>
          <w:w w:val="105"/>
        </w:rPr>
        <w:t> </w:t>
      </w:r>
      <w:r>
        <w:rPr>
          <w:color w:val="231F20"/>
          <w:w w:val="105"/>
        </w:rPr>
        <w:t>by</w:t>
      </w:r>
      <w:r>
        <w:rPr>
          <w:color w:val="231F20"/>
          <w:spacing w:val="-6"/>
          <w:w w:val="105"/>
        </w:rPr>
        <w:t> </w:t>
      </w:r>
      <w:r>
        <w:rPr>
          <w:color w:val="231F20"/>
          <w:w w:val="105"/>
        </w:rPr>
        <w:t>the</w:t>
      </w:r>
      <w:r>
        <w:rPr>
          <w:color w:val="231F20"/>
          <w:spacing w:val="-6"/>
          <w:w w:val="105"/>
        </w:rPr>
        <w:t> </w:t>
      </w:r>
      <w:r>
        <w:rPr>
          <w:color w:val="231F20"/>
          <w:w w:val="105"/>
        </w:rPr>
        <w:t>defense</w:t>
      </w:r>
      <w:r>
        <w:rPr>
          <w:color w:val="231F20"/>
          <w:spacing w:val="-6"/>
          <w:w w:val="105"/>
        </w:rPr>
        <w:t> </w:t>
      </w:r>
      <w:r>
        <w:rPr>
          <w:color w:val="231F20"/>
          <w:w w:val="105"/>
        </w:rPr>
        <w:t>reaction,</w:t>
      </w:r>
      <w:r>
        <w:rPr>
          <w:color w:val="231F20"/>
          <w:spacing w:val="-6"/>
          <w:w w:val="105"/>
        </w:rPr>
        <w:t> </w:t>
      </w:r>
      <w:r>
        <w:rPr>
          <w:color w:val="231F20"/>
          <w:w w:val="105"/>
        </w:rPr>
        <w:t>brain</w:t>
      </w:r>
      <w:r>
        <w:rPr>
          <w:color w:val="231F20"/>
          <w:spacing w:val="-6"/>
          <w:w w:val="105"/>
        </w:rPr>
        <w:t> </w:t>
      </w:r>
      <w:r>
        <w:rPr>
          <w:color w:val="231F20"/>
          <w:w w:val="105"/>
        </w:rPr>
        <w:t>ischemia,</w:t>
      </w:r>
      <w:r>
        <w:rPr>
          <w:color w:val="231F20"/>
          <w:spacing w:val="-6"/>
          <w:w w:val="105"/>
        </w:rPr>
        <w:t> </w:t>
      </w:r>
      <w:r>
        <w:rPr>
          <w:color w:val="231F20"/>
          <w:w w:val="105"/>
        </w:rPr>
        <w:t>or severe hemorrhage. In the healthy resting person, sym­ pathetic tone appears to have little influence on renal blood</w:t>
      </w:r>
      <w:r>
        <w:rPr>
          <w:color w:val="231F20"/>
          <w:spacing w:val="2"/>
          <w:w w:val="105"/>
        </w:rPr>
        <w:t> </w:t>
      </w:r>
      <w:r>
        <w:rPr>
          <w:color w:val="231F20"/>
          <w:spacing w:val="-3"/>
          <w:w w:val="105"/>
        </w:rPr>
        <w:t>flow.</w:t>
      </w:r>
    </w:p>
    <w:p>
      <w:pPr>
        <w:pStyle w:val="BodyText"/>
        <w:spacing w:before="2"/>
        <w:rPr>
          <w:sz w:val="31"/>
        </w:rPr>
      </w:pPr>
    </w:p>
    <w:p>
      <w:pPr>
        <w:pStyle w:val="Heading2"/>
        <w:spacing w:line="225" w:lineRule="auto"/>
        <w:ind w:right="1490"/>
      </w:pPr>
      <w:r>
        <w:rPr>
          <w:color w:val="231F20"/>
          <w:w w:val="105"/>
        </w:rPr>
        <w:t>HORMONAL AND AUTACOID CONTROL OF RENAL CIRCULATION</w:t>
      </w:r>
    </w:p>
    <w:p>
      <w:pPr>
        <w:pStyle w:val="BodyText"/>
        <w:spacing w:line="249" w:lineRule="auto" w:before="127"/>
        <w:ind w:left="319" w:right="1079"/>
        <w:jc w:val="both"/>
      </w:pPr>
      <w:r>
        <w:rPr>
          <w:color w:val="231F20"/>
          <w:w w:val="105"/>
        </w:rPr>
        <w:t>Several hormones and autacoids can influence GFR</w:t>
      </w:r>
      <w:r>
        <w:rPr>
          <w:color w:val="231F20"/>
          <w:spacing w:val="-33"/>
          <w:w w:val="105"/>
        </w:rPr>
        <w:t> </w:t>
      </w:r>
      <w:r>
        <w:rPr>
          <w:color w:val="231F20"/>
          <w:w w:val="105"/>
        </w:rPr>
        <w:t>and renal blood </w:t>
      </w:r>
      <w:r>
        <w:rPr>
          <w:color w:val="231F20"/>
          <w:spacing w:val="-3"/>
          <w:w w:val="105"/>
        </w:rPr>
        <w:t>flow, </w:t>
      </w:r>
      <w:r>
        <w:rPr>
          <w:color w:val="231F20"/>
          <w:w w:val="105"/>
        </w:rPr>
        <w:t>as summarized in </w:t>
      </w:r>
      <w:hyperlink w:history="true" w:anchor="_bookmark34">
        <w:r>
          <w:rPr>
            <w:b/>
            <w:color w:val="0080AC"/>
            <w:spacing w:val="-4"/>
            <w:w w:val="105"/>
          </w:rPr>
          <w:t>Table</w:t>
        </w:r>
        <w:r>
          <w:rPr>
            <w:b/>
            <w:color w:val="0080AC"/>
            <w:spacing w:val="2"/>
            <w:w w:val="105"/>
          </w:rPr>
          <w:t> </w:t>
        </w:r>
        <w:r>
          <w:rPr>
            <w:b/>
            <w:color w:val="0080AC"/>
            <w:w w:val="105"/>
          </w:rPr>
          <w:t>27-4</w:t>
        </w:r>
      </w:hyperlink>
      <w:r>
        <w:rPr>
          <w:color w:val="231F20"/>
          <w:w w:val="105"/>
        </w:rPr>
        <w:t>.</w:t>
      </w:r>
    </w:p>
    <w:p>
      <w:pPr>
        <w:spacing w:line="249" w:lineRule="auto" w:before="250"/>
        <w:ind w:left="319" w:right="1077" w:firstLine="0"/>
        <w:jc w:val="both"/>
        <w:rPr>
          <w:sz w:val="20"/>
        </w:rPr>
      </w:pPr>
      <w:r>
        <w:rPr>
          <w:rFonts w:ascii="Trebuchet MS" w:hAnsi="Trebuchet MS"/>
          <w:b/>
          <w:color w:val="231F20"/>
          <w:sz w:val="19"/>
        </w:rPr>
        <w:t>Norepinephrine, Epinephrine, and Endothelin Con- strict Renal Blood Vessels and Decrease GFR. </w:t>
      </w:r>
      <w:r>
        <w:rPr>
          <w:color w:val="231F20"/>
          <w:sz w:val="20"/>
        </w:rPr>
        <w:t>Hor­ mones that constrict afferent and efferent arterioles, causing reductions in GFR and renal blood flow, include </w:t>
      </w:r>
      <w:r>
        <w:rPr>
          <w:i/>
          <w:color w:val="231F20"/>
          <w:sz w:val="20"/>
        </w:rPr>
        <w:t>norepinephrine </w:t>
      </w:r>
      <w:r>
        <w:rPr>
          <w:color w:val="231F20"/>
          <w:sz w:val="20"/>
        </w:rPr>
        <w:t>and </w:t>
      </w:r>
      <w:r>
        <w:rPr>
          <w:i/>
          <w:color w:val="231F20"/>
          <w:sz w:val="20"/>
        </w:rPr>
        <w:t>epinephrine </w:t>
      </w:r>
      <w:r>
        <w:rPr>
          <w:color w:val="231F20"/>
          <w:sz w:val="20"/>
        </w:rPr>
        <w:t>released from the adrenal medulla. In general, blood levels of these hormones paral­ lel the activity of the sympathetic nervous system; thus, norepinephrine and epinephrine have little influence on</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428"/>
          <w:footerReference w:type="even" r:id="rId429"/>
          <w:footerReference w:type="default" r:id="rId430"/>
          <w:pgSz w:w="12240" w:h="15660"/>
          <w:pgMar w:header="0" w:footer="567" w:top="720" w:bottom="760" w:left="0" w:right="0"/>
          <w:pgNumType w:start="342"/>
        </w:sectPr>
      </w:pPr>
    </w:p>
    <w:p>
      <w:pPr>
        <w:pStyle w:val="BodyText"/>
        <w:spacing w:line="249" w:lineRule="auto" w:before="99"/>
        <w:ind w:left="1080"/>
        <w:jc w:val="both"/>
      </w:pPr>
      <w:r>
        <w:rPr>
          <w:color w:val="231F20"/>
          <w:w w:val="105"/>
        </w:rPr>
        <w:t>renal hemodynamics except under extreme conditions, such as severe hemorrhage.</w:t>
      </w:r>
    </w:p>
    <w:p>
      <w:pPr>
        <w:pStyle w:val="BodyText"/>
        <w:spacing w:line="249" w:lineRule="auto" w:before="2"/>
        <w:ind w:left="1079" w:firstLine="240"/>
        <w:jc w:val="both"/>
      </w:pPr>
      <w:r>
        <w:rPr/>
        <w:pict>
          <v:rect style="position:absolute;margin-left:0pt;margin-top:116.08596pt;width:36pt;height:24pt;mso-position-horizontal-relative:page;mso-position-vertical-relative:paragraph;z-index:251974656" filled="true" fillcolor="#e8dac8" stroked="false">
            <v:fill type="solid"/>
            <w10:wrap type="none"/>
          </v:rect>
        </w:pict>
      </w:r>
      <w:r>
        <w:rPr>
          <w:color w:val="231F20"/>
          <w:w w:val="105"/>
        </w:rPr>
        <w:t>Another vasoconstrictor, </w:t>
      </w:r>
      <w:r>
        <w:rPr>
          <w:i/>
          <w:color w:val="231F20"/>
          <w:w w:val="105"/>
        </w:rPr>
        <w:t>endothelin, </w:t>
      </w:r>
      <w:r>
        <w:rPr>
          <w:color w:val="231F20"/>
          <w:w w:val="105"/>
        </w:rPr>
        <w:t>is a peptide </w:t>
      </w:r>
      <w:r>
        <w:rPr>
          <w:color w:val="231F20"/>
          <w:spacing w:val="-4"/>
          <w:w w:val="105"/>
        </w:rPr>
        <w:t>that </w:t>
      </w:r>
      <w:r>
        <w:rPr>
          <w:color w:val="231F20"/>
          <w:w w:val="105"/>
        </w:rPr>
        <w:t>can be released by damaged vascular endothelial cells of the kidneys, as well as by other tissues. The physio­ logical</w:t>
      </w:r>
      <w:r>
        <w:rPr>
          <w:color w:val="231F20"/>
          <w:spacing w:val="-21"/>
          <w:w w:val="105"/>
        </w:rPr>
        <w:t> </w:t>
      </w:r>
      <w:r>
        <w:rPr>
          <w:color w:val="231F20"/>
          <w:w w:val="105"/>
        </w:rPr>
        <w:t>role</w:t>
      </w:r>
      <w:r>
        <w:rPr>
          <w:color w:val="231F20"/>
          <w:spacing w:val="-20"/>
          <w:w w:val="105"/>
        </w:rPr>
        <w:t> </w:t>
      </w:r>
      <w:r>
        <w:rPr>
          <w:color w:val="231F20"/>
          <w:w w:val="105"/>
        </w:rPr>
        <w:t>of</w:t>
      </w:r>
      <w:r>
        <w:rPr>
          <w:color w:val="231F20"/>
          <w:spacing w:val="-20"/>
          <w:w w:val="105"/>
        </w:rPr>
        <w:t> </w:t>
      </w:r>
      <w:r>
        <w:rPr>
          <w:color w:val="231F20"/>
          <w:w w:val="105"/>
        </w:rPr>
        <w:t>this</w:t>
      </w:r>
      <w:r>
        <w:rPr>
          <w:color w:val="231F20"/>
          <w:spacing w:val="-20"/>
          <w:w w:val="105"/>
        </w:rPr>
        <w:t> </w:t>
      </w:r>
      <w:r>
        <w:rPr>
          <w:color w:val="231F20"/>
          <w:w w:val="105"/>
        </w:rPr>
        <w:t>autacoid</w:t>
      </w:r>
      <w:r>
        <w:rPr>
          <w:color w:val="231F20"/>
          <w:spacing w:val="-21"/>
          <w:w w:val="105"/>
        </w:rPr>
        <w:t> </w:t>
      </w:r>
      <w:r>
        <w:rPr>
          <w:color w:val="231F20"/>
          <w:w w:val="105"/>
        </w:rPr>
        <w:t>is</w:t>
      </w:r>
      <w:r>
        <w:rPr>
          <w:color w:val="231F20"/>
          <w:spacing w:val="-20"/>
          <w:w w:val="105"/>
        </w:rPr>
        <w:t> </w:t>
      </w:r>
      <w:r>
        <w:rPr>
          <w:color w:val="231F20"/>
          <w:w w:val="105"/>
        </w:rPr>
        <w:t>not</w:t>
      </w:r>
      <w:r>
        <w:rPr>
          <w:color w:val="231F20"/>
          <w:spacing w:val="-20"/>
          <w:w w:val="105"/>
        </w:rPr>
        <w:t> </w:t>
      </w:r>
      <w:r>
        <w:rPr>
          <w:color w:val="231F20"/>
          <w:w w:val="105"/>
        </w:rPr>
        <w:t>completely</w:t>
      </w:r>
      <w:r>
        <w:rPr>
          <w:color w:val="231F20"/>
          <w:spacing w:val="-20"/>
          <w:w w:val="105"/>
        </w:rPr>
        <w:t> </w:t>
      </w:r>
      <w:r>
        <w:rPr>
          <w:color w:val="231F20"/>
          <w:w w:val="105"/>
        </w:rPr>
        <w:t>understood. However,</w:t>
      </w:r>
      <w:r>
        <w:rPr>
          <w:color w:val="231F20"/>
          <w:spacing w:val="-27"/>
          <w:w w:val="105"/>
        </w:rPr>
        <w:t> </w:t>
      </w:r>
      <w:r>
        <w:rPr>
          <w:color w:val="231F20"/>
          <w:w w:val="105"/>
        </w:rPr>
        <w:t>endothelin</w:t>
      </w:r>
      <w:r>
        <w:rPr>
          <w:color w:val="231F20"/>
          <w:spacing w:val="-27"/>
          <w:w w:val="105"/>
        </w:rPr>
        <w:t> </w:t>
      </w:r>
      <w:r>
        <w:rPr>
          <w:color w:val="231F20"/>
          <w:w w:val="105"/>
        </w:rPr>
        <w:t>may</w:t>
      </w:r>
      <w:r>
        <w:rPr>
          <w:color w:val="231F20"/>
          <w:spacing w:val="-26"/>
          <w:w w:val="105"/>
        </w:rPr>
        <w:t> </w:t>
      </w:r>
      <w:r>
        <w:rPr>
          <w:color w:val="231F20"/>
          <w:w w:val="105"/>
        </w:rPr>
        <w:t>contribute</w:t>
      </w:r>
      <w:r>
        <w:rPr>
          <w:color w:val="231F20"/>
          <w:spacing w:val="-27"/>
          <w:w w:val="105"/>
        </w:rPr>
        <w:t> </w:t>
      </w:r>
      <w:r>
        <w:rPr>
          <w:color w:val="231F20"/>
          <w:w w:val="105"/>
        </w:rPr>
        <w:t>to</w:t>
      </w:r>
      <w:r>
        <w:rPr>
          <w:color w:val="231F20"/>
          <w:spacing w:val="-27"/>
          <w:w w:val="105"/>
        </w:rPr>
        <w:t> </w:t>
      </w:r>
      <w:r>
        <w:rPr>
          <w:color w:val="231F20"/>
          <w:w w:val="105"/>
        </w:rPr>
        <w:t>hemostasis</w:t>
      </w:r>
      <w:r>
        <w:rPr>
          <w:color w:val="231F20"/>
          <w:spacing w:val="-26"/>
          <w:w w:val="105"/>
        </w:rPr>
        <w:t> </w:t>
      </w:r>
      <w:r>
        <w:rPr>
          <w:color w:val="231F20"/>
          <w:spacing w:val="-3"/>
          <w:w w:val="105"/>
        </w:rPr>
        <w:t>(mini­ </w:t>
      </w:r>
      <w:r>
        <w:rPr>
          <w:color w:val="231F20"/>
          <w:w w:val="105"/>
        </w:rPr>
        <w:t>mizing</w:t>
      </w:r>
      <w:r>
        <w:rPr>
          <w:color w:val="231F20"/>
          <w:spacing w:val="-17"/>
          <w:w w:val="105"/>
        </w:rPr>
        <w:t> </w:t>
      </w:r>
      <w:r>
        <w:rPr>
          <w:color w:val="231F20"/>
          <w:w w:val="105"/>
        </w:rPr>
        <w:t>blood</w:t>
      </w:r>
      <w:r>
        <w:rPr>
          <w:color w:val="231F20"/>
          <w:spacing w:val="-16"/>
          <w:w w:val="105"/>
        </w:rPr>
        <w:t> </w:t>
      </w:r>
      <w:r>
        <w:rPr>
          <w:color w:val="231F20"/>
          <w:w w:val="105"/>
        </w:rPr>
        <w:t>loss)</w:t>
      </w:r>
      <w:r>
        <w:rPr>
          <w:color w:val="231F20"/>
          <w:spacing w:val="-16"/>
          <w:w w:val="105"/>
        </w:rPr>
        <w:t> </w:t>
      </w:r>
      <w:r>
        <w:rPr>
          <w:color w:val="231F20"/>
          <w:w w:val="105"/>
        </w:rPr>
        <w:t>when</w:t>
      </w:r>
      <w:r>
        <w:rPr>
          <w:color w:val="231F20"/>
          <w:spacing w:val="-16"/>
          <w:w w:val="105"/>
        </w:rPr>
        <w:t> </w:t>
      </w:r>
      <w:r>
        <w:rPr>
          <w:color w:val="231F20"/>
          <w:w w:val="105"/>
        </w:rPr>
        <w:t>a</w:t>
      </w:r>
      <w:r>
        <w:rPr>
          <w:color w:val="231F20"/>
          <w:spacing w:val="-16"/>
          <w:w w:val="105"/>
        </w:rPr>
        <w:t> </w:t>
      </w:r>
      <w:r>
        <w:rPr>
          <w:color w:val="231F20"/>
          <w:w w:val="105"/>
        </w:rPr>
        <w:t>blood</w:t>
      </w:r>
      <w:r>
        <w:rPr>
          <w:color w:val="231F20"/>
          <w:spacing w:val="-16"/>
          <w:w w:val="105"/>
        </w:rPr>
        <w:t> </w:t>
      </w:r>
      <w:r>
        <w:rPr>
          <w:color w:val="231F20"/>
          <w:w w:val="105"/>
        </w:rPr>
        <w:t>vessel</w:t>
      </w:r>
      <w:r>
        <w:rPr>
          <w:color w:val="231F20"/>
          <w:spacing w:val="-16"/>
          <w:w w:val="105"/>
        </w:rPr>
        <w:t> </w:t>
      </w:r>
      <w:r>
        <w:rPr>
          <w:color w:val="231F20"/>
          <w:w w:val="105"/>
        </w:rPr>
        <w:t>is</w:t>
      </w:r>
      <w:r>
        <w:rPr>
          <w:color w:val="231F20"/>
          <w:spacing w:val="-16"/>
          <w:w w:val="105"/>
        </w:rPr>
        <w:t> </w:t>
      </w:r>
      <w:r>
        <w:rPr>
          <w:color w:val="231F20"/>
          <w:w w:val="105"/>
        </w:rPr>
        <w:t>severed,</w:t>
      </w:r>
      <w:r>
        <w:rPr>
          <w:color w:val="231F20"/>
          <w:spacing w:val="-16"/>
          <w:w w:val="105"/>
        </w:rPr>
        <w:t> </w:t>
      </w:r>
      <w:r>
        <w:rPr>
          <w:color w:val="231F20"/>
          <w:w w:val="105"/>
        </w:rPr>
        <w:t>which damages the endothelium and releases this powerful</w:t>
      </w:r>
      <w:r>
        <w:rPr>
          <w:color w:val="231F20"/>
          <w:spacing w:val="-34"/>
          <w:w w:val="105"/>
        </w:rPr>
        <w:t> </w:t>
      </w:r>
      <w:r>
        <w:rPr>
          <w:color w:val="231F20"/>
          <w:w w:val="105"/>
        </w:rPr>
        <w:t>va­ soconstrictor.</w:t>
      </w:r>
      <w:r>
        <w:rPr>
          <w:color w:val="231F20"/>
          <w:spacing w:val="-26"/>
          <w:w w:val="105"/>
        </w:rPr>
        <w:t> </w:t>
      </w:r>
      <w:r>
        <w:rPr>
          <w:color w:val="231F20"/>
          <w:w w:val="105"/>
        </w:rPr>
        <w:t>Plasma</w:t>
      </w:r>
      <w:r>
        <w:rPr>
          <w:color w:val="231F20"/>
          <w:spacing w:val="-25"/>
          <w:w w:val="105"/>
        </w:rPr>
        <w:t> </w:t>
      </w:r>
      <w:r>
        <w:rPr>
          <w:color w:val="231F20"/>
          <w:w w:val="105"/>
        </w:rPr>
        <w:t>endothelin</w:t>
      </w:r>
      <w:r>
        <w:rPr>
          <w:color w:val="231F20"/>
          <w:spacing w:val="-25"/>
          <w:w w:val="105"/>
        </w:rPr>
        <w:t> </w:t>
      </w:r>
      <w:r>
        <w:rPr>
          <w:color w:val="231F20"/>
          <w:w w:val="105"/>
        </w:rPr>
        <w:t>levels</w:t>
      </w:r>
      <w:r>
        <w:rPr>
          <w:color w:val="231F20"/>
          <w:spacing w:val="-26"/>
          <w:w w:val="105"/>
        </w:rPr>
        <w:t> </w:t>
      </w:r>
      <w:r>
        <w:rPr>
          <w:color w:val="231F20"/>
          <w:w w:val="105"/>
        </w:rPr>
        <w:t>are</w:t>
      </w:r>
      <w:r>
        <w:rPr>
          <w:color w:val="231F20"/>
          <w:spacing w:val="-25"/>
          <w:w w:val="105"/>
        </w:rPr>
        <w:t> </w:t>
      </w:r>
      <w:r>
        <w:rPr>
          <w:color w:val="231F20"/>
          <w:w w:val="105"/>
        </w:rPr>
        <w:t>also</w:t>
      </w:r>
      <w:r>
        <w:rPr>
          <w:color w:val="231F20"/>
          <w:spacing w:val="-25"/>
          <w:w w:val="105"/>
        </w:rPr>
        <w:t> </w:t>
      </w:r>
      <w:r>
        <w:rPr>
          <w:color w:val="231F20"/>
          <w:w w:val="105"/>
        </w:rPr>
        <w:t>increased in many disease states associated with vascular injury, such as toxemia of pregnancy, acute renal failure, </w:t>
      </w:r>
      <w:r>
        <w:rPr>
          <w:color w:val="231F20"/>
          <w:spacing w:val="-5"/>
          <w:w w:val="105"/>
        </w:rPr>
        <w:t>and </w:t>
      </w:r>
      <w:r>
        <w:rPr>
          <w:color w:val="231F20"/>
          <w:w w:val="105"/>
        </w:rPr>
        <w:t>chronic uremia, and may contribute to renal vasocon­ striction</w:t>
      </w:r>
      <w:r>
        <w:rPr>
          <w:color w:val="231F20"/>
          <w:spacing w:val="-23"/>
          <w:w w:val="105"/>
        </w:rPr>
        <w:t> </w:t>
      </w:r>
      <w:r>
        <w:rPr>
          <w:color w:val="231F20"/>
          <w:w w:val="105"/>
        </w:rPr>
        <w:t>and</w:t>
      </w:r>
      <w:r>
        <w:rPr>
          <w:color w:val="231F20"/>
          <w:spacing w:val="-22"/>
          <w:w w:val="105"/>
        </w:rPr>
        <w:t> </w:t>
      </w:r>
      <w:r>
        <w:rPr>
          <w:color w:val="231F20"/>
          <w:w w:val="105"/>
        </w:rPr>
        <w:t>decreased</w:t>
      </w:r>
      <w:r>
        <w:rPr>
          <w:color w:val="231F20"/>
          <w:spacing w:val="-22"/>
          <w:w w:val="105"/>
        </w:rPr>
        <w:t> </w:t>
      </w:r>
      <w:r>
        <w:rPr>
          <w:color w:val="231F20"/>
          <w:w w:val="105"/>
        </w:rPr>
        <w:t>GFR</w:t>
      </w:r>
      <w:r>
        <w:rPr>
          <w:color w:val="231F20"/>
          <w:spacing w:val="-23"/>
          <w:w w:val="105"/>
        </w:rPr>
        <w:t> </w:t>
      </w:r>
      <w:r>
        <w:rPr>
          <w:color w:val="231F20"/>
          <w:w w:val="105"/>
        </w:rPr>
        <w:t>in</w:t>
      </w:r>
      <w:r>
        <w:rPr>
          <w:color w:val="231F20"/>
          <w:spacing w:val="-22"/>
          <w:w w:val="105"/>
        </w:rPr>
        <w:t> </w:t>
      </w:r>
      <w:r>
        <w:rPr>
          <w:color w:val="231F20"/>
          <w:w w:val="105"/>
        </w:rPr>
        <w:t>some</w:t>
      </w:r>
      <w:r>
        <w:rPr>
          <w:color w:val="231F20"/>
          <w:spacing w:val="-22"/>
          <w:w w:val="105"/>
        </w:rPr>
        <w:t> </w:t>
      </w:r>
      <w:r>
        <w:rPr>
          <w:color w:val="231F20"/>
          <w:w w:val="105"/>
        </w:rPr>
        <w:t>of</w:t>
      </w:r>
      <w:r>
        <w:rPr>
          <w:color w:val="231F20"/>
          <w:spacing w:val="-23"/>
          <w:w w:val="105"/>
        </w:rPr>
        <w:t> </w:t>
      </w:r>
      <w:r>
        <w:rPr>
          <w:color w:val="231F20"/>
          <w:w w:val="105"/>
        </w:rPr>
        <w:t>these</w:t>
      </w:r>
      <w:r>
        <w:rPr>
          <w:color w:val="231F20"/>
          <w:spacing w:val="-22"/>
          <w:w w:val="105"/>
        </w:rPr>
        <w:t> </w:t>
      </w:r>
      <w:r>
        <w:rPr>
          <w:color w:val="231F20"/>
          <w:w w:val="105"/>
        </w:rPr>
        <w:t>pathophysi­ ological</w:t>
      </w:r>
      <w:r>
        <w:rPr>
          <w:color w:val="231F20"/>
          <w:spacing w:val="2"/>
          <w:w w:val="105"/>
        </w:rPr>
        <w:t> </w:t>
      </w:r>
      <w:r>
        <w:rPr>
          <w:color w:val="231F20"/>
          <w:w w:val="105"/>
        </w:rPr>
        <w:t>conditions.</w:t>
      </w:r>
    </w:p>
    <w:p>
      <w:pPr>
        <w:pStyle w:val="BodyText"/>
        <w:spacing w:before="6"/>
        <w:rPr>
          <w:sz w:val="22"/>
        </w:rPr>
      </w:pPr>
    </w:p>
    <w:p>
      <w:pPr>
        <w:pStyle w:val="BodyText"/>
        <w:spacing w:line="249" w:lineRule="auto"/>
        <w:ind w:left="1079"/>
        <w:jc w:val="both"/>
      </w:pPr>
      <w:r>
        <w:rPr>
          <w:rFonts w:ascii="Trebuchet MS" w:hAnsi="Trebuchet MS"/>
          <w:b/>
          <w:color w:val="231F20"/>
          <w:w w:val="105"/>
          <w:sz w:val="19"/>
        </w:rPr>
        <w:t>Angiotensin II Preferentially Constricts </w:t>
      </w:r>
      <w:r>
        <w:rPr>
          <w:rFonts w:ascii="Trebuchet MS" w:hAnsi="Trebuchet MS"/>
          <w:b/>
          <w:color w:val="231F20"/>
          <w:spacing w:val="-3"/>
          <w:w w:val="105"/>
          <w:sz w:val="19"/>
        </w:rPr>
        <w:t>Efferent </w:t>
      </w:r>
      <w:r>
        <w:rPr>
          <w:rFonts w:ascii="Trebuchet MS" w:hAnsi="Trebuchet MS"/>
          <w:b/>
          <w:color w:val="231F20"/>
          <w:w w:val="105"/>
          <w:sz w:val="19"/>
        </w:rPr>
        <w:t>Arterioles in Most Physiological Conditions. </w:t>
      </w:r>
      <w:r>
        <w:rPr>
          <w:color w:val="231F20"/>
          <w:w w:val="105"/>
        </w:rPr>
        <w:t>A</w:t>
      </w:r>
      <w:r>
        <w:rPr>
          <w:color w:val="231F20"/>
          <w:spacing w:val="-39"/>
          <w:w w:val="105"/>
        </w:rPr>
        <w:t> </w:t>
      </w:r>
      <w:r>
        <w:rPr>
          <w:color w:val="231F20"/>
          <w:spacing w:val="-3"/>
          <w:w w:val="105"/>
        </w:rPr>
        <w:t>pow­ </w:t>
      </w:r>
      <w:r>
        <w:rPr>
          <w:color w:val="231F20"/>
          <w:w w:val="105"/>
        </w:rPr>
        <w:t>erful</w:t>
      </w:r>
      <w:r>
        <w:rPr>
          <w:color w:val="231F20"/>
          <w:spacing w:val="-19"/>
          <w:w w:val="105"/>
        </w:rPr>
        <w:t> </w:t>
      </w:r>
      <w:r>
        <w:rPr>
          <w:color w:val="231F20"/>
          <w:w w:val="105"/>
        </w:rPr>
        <w:t>renal</w:t>
      </w:r>
      <w:r>
        <w:rPr>
          <w:color w:val="231F20"/>
          <w:spacing w:val="-18"/>
          <w:w w:val="105"/>
        </w:rPr>
        <w:t> </w:t>
      </w:r>
      <w:r>
        <w:rPr>
          <w:color w:val="231F20"/>
          <w:w w:val="105"/>
        </w:rPr>
        <w:t>vasoconstrictor,</w:t>
      </w:r>
      <w:r>
        <w:rPr>
          <w:color w:val="231F20"/>
          <w:spacing w:val="-18"/>
          <w:w w:val="105"/>
        </w:rPr>
        <w:t> </w:t>
      </w:r>
      <w:r>
        <w:rPr>
          <w:i/>
          <w:color w:val="231F20"/>
          <w:w w:val="105"/>
        </w:rPr>
        <w:t>angiotensin</w:t>
      </w:r>
      <w:r>
        <w:rPr>
          <w:i/>
          <w:color w:val="231F20"/>
          <w:spacing w:val="-18"/>
          <w:w w:val="105"/>
        </w:rPr>
        <w:t> </w:t>
      </w:r>
      <w:r>
        <w:rPr>
          <w:i/>
          <w:color w:val="231F20"/>
          <w:w w:val="105"/>
        </w:rPr>
        <w:t>II,</w:t>
      </w:r>
      <w:r>
        <w:rPr>
          <w:i/>
          <w:color w:val="231F20"/>
          <w:spacing w:val="-18"/>
          <w:w w:val="105"/>
        </w:rPr>
        <w:t> </w:t>
      </w:r>
      <w:r>
        <w:rPr>
          <w:color w:val="231F20"/>
          <w:w w:val="105"/>
        </w:rPr>
        <w:t>can</w:t>
      </w:r>
      <w:r>
        <w:rPr>
          <w:color w:val="231F20"/>
          <w:spacing w:val="-18"/>
          <w:w w:val="105"/>
        </w:rPr>
        <w:t> </w:t>
      </w:r>
      <w:r>
        <w:rPr>
          <w:color w:val="231F20"/>
          <w:w w:val="105"/>
        </w:rPr>
        <w:t>be</w:t>
      </w:r>
      <w:r>
        <w:rPr>
          <w:color w:val="231F20"/>
          <w:spacing w:val="-19"/>
          <w:w w:val="105"/>
        </w:rPr>
        <w:t> </w:t>
      </w:r>
      <w:r>
        <w:rPr>
          <w:color w:val="231F20"/>
          <w:w w:val="105"/>
        </w:rPr>
        <w:t>consid­ ered a circulating hormone and a locally </w:t>
      </w:r>
      <w:r>
        <w:rPr>
          <w:color w:val="231F20"/>
          <w:spacing w:val="-3"/>
          <w:w w:val="105"/>
        </w:rPr>
        <w:t>produced </w:t>
      </w:r>
      <w:r>
        <w:rPr>
          <w:color w:val="231F20"/>
          <w:w w:val="105"/>
        </w:rPr>
        <w:t>autacoid because it is formed in the kidneys and in </w:t>
      </w:r>
      <w:r>
        <w:rPr>
          <w:color w:val="231F20"/>
          <w:spacing w:val="-6"/>
          <w:w w:val="105"/>
        </w:rPr>
        <w:t>the </w:t>
      </w:r>
      <w:r>
        <w:rPr>
          <w:color w:val="231F20"/>
          <w:w w:val="105"/>
        </w:rPr>
        <w:t>systemic circulation. Receptors for angiotensin II </w:t>
      </w:r>
      <w:r>
        <w:rPr>
          <w:color w:val="231F20"/>
          <w:spacing w:val="-6"/>
          <w:w w:val="105"/>
        </w:rPr>
        <w:t>are </w:t>
      </w:r>
      <w:r>
        <w:rPr>
          <w:color w:val="231F20"/>
          <w:w w:val="105"/>
        </w:rPr>
        <w:t>present in virtually all blood vessels of the kidneys. However,</w:t>
      </w:r>
      <w:r>
        <w:rPr>
          <w:color w:val="231F20"/>
          <w:spacing w:val="-22"/>
          <w:w w:val="105"/>
        </w:rPr>
        <w:t> </w:t>
      </w:r>
      <w:r>
        <w:rPr>
          <w:color w:val="231F20"/>
          <w:w w:val="105"/>
        </w:rPr>
        <w:t>the</w:t>
      </w:r>
      <w:r>
        <w:rPr>
          <w:color w:val="231F20"/>
          <w:spacing w:val="-22"/>
          <w:w w:val="105"/>
        </w:rPr>
        <w:t> </w:t>
      </w:r>
      <w:r>
        <w:rPr>
          <w:color w:val="231F20"/>
          <w:w w:val="105"/>
        </w:rPr>
        <w:t>preglomerular</w:t>
      </w:r>
      <w:r>
        <w:rPr>
          <w:color w:val="231F20"/>
          <w:spacing w:val="-21"/>
          <w:w w:val="105"/>
        </w:rPr>
        <w:t> </w:t>
      </w:r>
      <w:r>
        <w:rPr>
          <w:color w:val="231F20"/>
          <w:w w:val="105"/>
        </w:rPr>
        <w:t>blood</w:t>
      </w:r>
      <w:r>
        <w:rPr>
          <w:color w:val="231F20"/>
          <w:spacing w:val="-22"/>
          <w:w w:val="105"/>
        </w:rPr>
        <w:t> </w:t>
      </w:r>
      <w:r>
        <w:rPr>
          <w:color w:val="231F20"/>
          <w:w w:val="105"/>
        </w:rPr>
        <w:t>vessels,</w:t>
      </w:r>
      <w:r>
        <w:rPr>
          <w:color w:val="231F20"/>
          <w:spacing w:val="-21"/>
          <w:w w:val="105"/>
        </w:rPr>
        <w:t> </w:t>
      </w:r>
      <w:r>
        <w:rPr>
          <w:color w:val="231F20"/>
          <w:w w:val="105"/>
        </w:rPr>
        <w:t>especially</w:t>
      </w:r>
      <w:r>
        <w:rPr>
          <w:color w:val="231F20"/>
          <w:spacing w:val="-22"/>
          <w:w w:val="105"/>
        </w:rPr>
        <w:t> </w:t>
      </w:r>
      <w:r>
        <w:rPr>
          <w:color w:val="231F20"/>
          <w:w w:val="105"/>
        </w:rPr>
        <w:t>the afferent</w:t>
      </w:r>
      <w:r>
        <w:rPr>
          <w:color w:val="231F20"/>
          <w:spacing w:val="-13"/>
          <w:w w:val="105"/>
        </w:rPr>
        <w:t> </w:t>
      </w:r>
      <w:r>
        <w:rPr>
          <w:color w:val="231F20"/>
          <w:w w:val="105"/>
        </w:rPr>
        <w:t>arterioles,</w:t>
      </w:r>
      <w:r>
        <w:rPr>
          <w:color w:val="231F20"/>
          <w:spacing w:val="-13"/>
          <w:w w:val="105"/>
        </w:rPr>
        <w:t> </w:t>
      </w:r>
      <w:r>
        <w:rPr>
          <w:color w:val="231F20"/>
          <w:w w:val="105"/>
        </w:rPr>
        <w:t>appear</w:t>
      </w:r>
      <w:r>
        <w:rPr>
          <w:color w:val="231F20"/>
          <w:spacing w:val="-12"/>
          <w:w w:val="105"/>
        </w:rPr>
        <w:t> </w:t>
      </w:r>
      <w:r>
        <w:rPr>
          <w:color w:val="231F20"/>
          <w:w w:val="105"/>
        </w:rPr>
        <w:t>to</w:t>
      </w:r>
      <w:r>
        <w:rPr>
          <w:color w:val="231F20"/>
          <w:spacing w:val="-13"/>
          <w:w w:val="105"/>
        </w:rPr>
        <w:t> </w:t>
      </w:r>
      <w:r>
        <w:rPr>
          <w:color w:val="231F20"/>
          <w:w w:val="105"/>
        </w:rPr>
        <w:t>be</w:t>
      </w:r>
      <w:r>
        <w:rPr>
          <w:color w:val="231F20"/>
          <w:spacing w:val="-12"/>
          <w:w w:val="105"/>
        </w:rPr>
        <w:t> </w:t>
      </w:r>
      <w:r>
        <w:rPr>
          <w:color w:val="231F20"/>
          <w:w w:val="105"/>
        </w:rPr>
        <w:t>relatively</w:t>
      </w:r>
      <w:r>
        <w:rPr>
          <w:color w:val="231F20"/>
          <w:spacing w:val="-13"/>
          <w:w w:val="105"/>
        </w:rPr>
        <w:t> </w:t>
      </w:r>
      <w:r>
        <w:rPr>
          <w:color w:val="231F20"/>
          <w:w w:val="105"/>
        </w:rPr>
        <w:t>protected</w:t>
      </w:r>
      <w:r>
        <w:rPr>
          <w:color w:val="231F20"/>
          <w:spacing w:val="-12"/>
          <w:w w:val="105"/>
        </w:rPr>
        <w:t> </w:t>
      </w:r>
      <w:r>
        <w:rPr>
          <w:color w:val="231F20"/>
          <w:w w:val="105"/>
        </w:rPr>
        <w:t>from angiotensin</w:t>
      </w:r>
      <w:r>
        <w:rPr>
          <w:color w:val="231F20"/>
          <w:spacing w:val="-20"/>
          <w:w w:val="105"/>
        </w:rPr>
        <w:t> </w:t>
      </w:r>
      <w:r>
        <w:rPr>
          <w:color w:val="231F20"/>
          <w:w w:val="105"/>
        </w:rPr>
        <w:t>II–mediated</w:t>
      </w:r>
      <w:r>
        <w:rPr>
          <w:color w:val="231F20"/>
          <w:spacing w:val="-19"/>
          <w:w w:val="105"/>
        </w:rPr>
        <w:t> </w:t>
      </w:r>
      <w:r>
        <w:rPr>
          <w:color w:val="231F20"/>
          <w:w w:val="105"/>
        </w:rPr>
        <w:t>constriction</w:t>
      </w:r>
      <w:r>
        <w:rPr>
          <w:color w:val="231F20"/>
          <w:spacing w:val="-20"/>
          <w:w w:val="105"/>
        </w:rPr>
        <w:t> </w:t>
      </w:r>
      <w:r>
        <w:rPr>
          <w:color w:val="231F20"/>
          <w:w w:val="105"/>
        </w:rPr>
        <w:t>in</w:t>
      </w:r>
      <w:r>
        <w:rPr>
          <w:color w:val="231F20"/>
          <w:spacing w:val="-19"/>
          <w:w w:val="105"/>
        </w:rPr>
        <w:t> </w:t>
      </w:r>
      <w:r>
        <w:rPr>
          <w:color w:val="231F20"/>
          <w:w w:val="105"/>
        </w:rPr>
        <w:t>most</w:t>
      </w:r>
      <w:r>
        <w:rPr>
          <w:color w:val="231F20"/>
          <w:spacing w:val="-20"/>
          <w:w w:val="105"/>
        </w:rPr>
        <w:t> </w:t>
      </w:r>
      <w:r>
        <w:rPr>
          <w:color w:val="231F20"/>
          <w:w w:val="105"/>
        </w:rPr>
        <w:t>physiologi­ cal conditions associated with activation of the </w:t>
      </w:r>
      <w:r>
        <w:rPr>
          <w:color w:val="231F20"/>
          <w:spacing w:val="-4"/>
          <w:w w:val="105"/>
        </w:rPr>
        <w:t>renin­ </w:t>
      </w:r>
      <w:r>
        <w:rPr>
          <w:color w:val="231F20"/>
          <w:w w:val="105"/>
        </w:rPr>
        <w:t>angiotensin</w:t>
      </w:r>
      <w:r>
        <w:rPr>
          <w:color w:val="231F20"/>
          <w:spacing w:val="-6"/>
          <w:w w:val="105"/>
        </w:rPr>
        <w:t> </w:t>
      </w:r>
      <w:r>
        <w:rPr>
          <w:color w:val="231F20"/>
          <w:w w:val="105"/>
        </w:rPr>
        <w:t>system,</w:t>
      </w:r>
      <w:r>
        <w:rPr>
          <w:color w:val="231F20"/>
          <w:spacing w:val="-6"/>
          <w:w w:val="105"/>
        </w:rPr>
        <w:t> </w:t>
      </w:r>
      <w:r>
        <w:rPr>
          <w:color w:val="231F20"/>
          <w:w w:val="105"/>
        </w:rPr>
        <w:t>such</w:t>
      </w:r>
      <w:r>
        <w:rPr>
          <w:color w:val="231F20"/>
          <w:spacing w:val="-6"/>
          <w:w w:val="105"/>
        </w:rPr>
        <w:t> </w:t>
      </w:r>
      <w:r>
        <w:rPr>
          <w:color w:val="231F20"/>
          <w:w w:val="105"/>
        </w:rPr>
        <w:t>as</w:t>
      </w:r>
      <w:r>
        <w:rPr>
          <w:color w:val="231F20"/>
          <w:spacing w:val="-6"/>
          <w:w w:val="105"/>
        </w:rPr>
        <w:t> </w:t>
      </w:r>
      <w:r>
        <w:rPr>
          <w:color w:val="231F20"/>
          <w:w w:val="105"/>
        </w:rPr>
        <w:t>during</w:t>
      </w:r>
      <w:r>
        <w:rPr>
          <w:color w:val="231F20"/>
          <w:spacing w:val="-6"/>
          <w:w w:val="105"/>
        </w:rPr>
        <w:t> </w:t>
      </w:r>
      <w:r>
        <w:rPr>
          <w:color w:val="231F20"/>
          <w:w w:val="105"/>
        </w:rPr>
        <w:t>a</w:t>
      </w:r>
      <w:r>
        <w:rPr>
          <w:color w:val="231F20"/>
          <w:spacing w:val="-6"/>
          <w:w w:val="105"/>
        </w:rPr>
        <w:t> </w:t>
      </w:r>
      <w:r>
        <w:rPr>
          <w:color w:val="231F20"/>
          <w:w w:val="105"/>
        </w:rPr>
        <w:t>low­sodium</w:t>
      </w:r>
      <w:r>
        <w:rPr>
          <w:color w:val="231F20"/>
          <w:spacing w:val="-6"/>
          <w:w w:val="105"/>
        </w:rPr>
        <w:t> </w:t>
      </w:r>
      <w:r>
        <w:rPr>
          <w:color w:val="231F20"/>
          <w:w w:val="105"/>
        </w:rPr>
        <w:t>diet</w:t>
      </w:r>
      <w:r>
        <w:rPr>
          <w:color w:val="231F20"/>
          <w:spacing w:val="-6"/>
          <w:w w:val="105"/>
        </w:rPr>
        <w:t> </w:t>
      </w:r>
      <w:r>
        <w:rPr>
          <w:color w:val="231F20"/>
          <w:w w:val="105"/>
        </w:rPr>
        <w:t>or reduced renal perfusion pressure due to renal artery ste­ nosis. This protection is due to release of vasodilators, especially</w:t>
      </w:r>
      <w:r>
        <w:rPr>
          <w:color w:val="231F20"/>
          <w:spacing w:val="-36"/>
          <w:w w:val="105"/>
        </w:rPr>
        <w:t> </w:t>
      </w:r>
      <w:r>
        <w:rPr>
          <w:i/>
          <w:color w:val="231F20"/>
          <w:w w:val="105"/>
        </w:rPr>
        <w:t>nitric</w:t>
      </w:r>
      <w:r>
        <w:rPr>
          <w:i/>
          <w:color w:val="231F20"/>
          <w:spacing w:val="-36"/>
          <w:w w:val="105"/>
        </w:rPr>
        <w:t> </w:t>
      </w:r>
      <w:r>
        <w:rPr>
          <w:i/>
          <w:color w:val="231F20"/>
          <w:w w:val="105"/>
        </w:rPr>
        <w:t>oxide</w:t>
      </w:r>
      <w:r>
        <w:rPr>
          <w:i/>
          <w:color w:val="231F20"/>
          <w:spacing w:val="-36"/>
          <w:w w:val="105"/>
        </w:rPr>
        <w:t> </w:t>
      </w:r>
      <w:r>
        <w:rPr>
          <w:color w:val="231F20"/>
          <w:w w:val="105"/>
        </w:rPr>
        <w:t>and</w:t>
      </w:r>
      <w:r>
        <w:rPr>
          <w:color w:val="231F20"/>
          <w:spacing w:val="-36"/>
          <w:w w:val="105"/>
        </w:rPr>
        <w:t> </w:t>
      </w:r>
      <w:r>
        <w:rPr>
          <w:i/>
          <w:color w:val="231F20"/>
          <w:w w:val="105"/>
        </w:rPr>
        <w:t>prostaglandins,</w:t>
      </w:r>
      <w:r>
        <w:rPr>
          <w:i/>
          <w:color w:val="231F20"/>
          <w:spacing w:val="-36"/>
          <w:w w:val="105"/>
        </w:rPr>
        <w:t> </w:t>
      </w:r>
      <w:r>
        <w:rPr>
          <w:color w:val="231F20"/>
          <w:w w:val="105"/>
        </w:rPr>
        <w:t>which</w:t>
      </w:r>
      <w:r>
        <w:rPr>
          <w:color w:val="231F20"/>
          <w:spacing w:val="-36"/>
          <w:w w:val="105"/>
        </w:rPr>
        <w:t> </w:t>
      </w:r>
      <w:r>
        <w:rPr>
          <w:color w:val="231F20"/>
          <w:w w:val="105"/>
        </w:rPr>
        <w:t>counter­ act the vasoconstrictor effects of angiotensin II in these blood</w:t>
      </w:r>
      <w:r>
        <w:rPr>
          <w:color w:val="231F20"/>
          <w:spacing w:val="2"/>
          <w:w w:val="105"/>
        </w:rPr>
        <w:t> </w:t>
      </w:r>
      <w:r>
        <w:rPr>
          <w:color w:val="231F20"/>
          <w:w w:val="105"/>
        </w:rPr>
        <w:t>vessels.</w:t>
      </w:r>
    </w:p>
    <w:p>
      <w:pPr>
        <w:pStyle w:val="BodyText"/>
        <w:spacing w:line="249" w:lineRule="auto" w:before="16"/>
        <w:ind w:left="1080" w:firstLine="240"/>
        <w:jc w:val="both"/>
      </w:pPr>
      <w:r>
        <w:rPr>
          <w:color w:val="231F20"/>
        </w:rPr>
        <w:t>The efferent arterioles, however, are highly sensitive </w:t>
      </w:r>
      <w:r>
        <w:rPr>
          <w:color w:val="231F20"/>
          <w:spacing w:val="-8"/>
        </w:rPr>
        <w:t>to </w:t>
      </w:r>
      <w:r>
        <w:rPr>
          <w:color w:val="231F20"/>
        </w:rPr>
        <w:t>angiotensin II. Because angiotensin II preferentially </w:t>
      </w:r>
      <w:r>
        <w:rPr>
          <w:color w:val="231F20"/>
          <w:spacing w:val="-4"/>
        </w:rPr>
        <w:t>con­ </w:t>
      </w:r>
      <w:r>
        <w:rPr>
          <w:color w:val="231F20"/>
        </w:rPr>
        <w:t>stricts efferent arterioles in most physiological conditions, increased angiotensin II levels raise glomerular </w:t>
      </w:r>
      <w:r>
        <w:rPr>
          <w:color w:val="231F20"/>
          <w:spacing w:val="-4"/>
        </w:rPr>
        <w:t>hydro­ </w:t>
      </w:r>
      <w:r>
        <w:rPr>
          <w:color w:val="231F20"/>
        </w:rPr>
        <w:t>static pressure while reducing renal blood </w:t>
      </w:r>
      <w:r>
        <w:rPr>
          <w:color w:val="231F20"/>
          <w:spacing w:val="-3"/>
        </w:rPr>
        <w:t>flow. It should </w:t>
      </w:r>
      <w:r>
        <w:rPr>
          <w:color w:val="231F20"/>
        </w:rPr>
        <w:t>be kept in mind that increased angiotensin II </w:t>
      </w:r>
      <w:r>
        <w:rPr>
          <w:color w:val="231F20"/>
          <w:spacing w:val="-3"/>
        </w:rPr>
        <w:t>formation  </w:t>
      </w:r>
      <w:r>
        <w:rPr>
          <w:color w:val="231F20"/>
        </w:rPr>
        <w:t>usually occurs in circumstances associated with decreased arterial pressure or volume depletion, which tend </w:t>
      </w:r>
      <w:r>
        <w:rPr>
          <w:color w:val="231F20"/>
          <w:spacing w:val="-9"/>
        </w:rPr>
        <w:t>to </w:t>
      </w:r>
      <w:r>
        <w:rPr>
          <w:color w:val="231F20"/>
        </w:rPr>
        <w:t>decrease GFR. In these circumstances, the increased level of angiotensin II, by constricting efferent arterioles, </w:t>
      </w:r>
      <w:r>
        <w:rPr>
          <w:color w:val="231F20"/>
          <w:spacing w:val="-4"/>
        </w:rPr>
        <w:t>helps </w:t>
      </w:r>
      <w:r>
        <w:rPr>
          <w:i/>
          <w:color w:val="231F20"/>
        </w:rPr>
        <w:t>prevent </w:t>
      </w:r>
      <w:r>
        <w:rPr>
          <w:color w:val="231F20"/>
        </w:rPr>
        <w:t>decreases in glomerular hydrostatic pressure </w:t>
      </w:r>
      <w:r>
        <w:rPr>
          <w:color w:val="231F20"/>
          <w:spacing w:val="-4"/>
        </w:rPr>
        <w:t>and </w:t>
      </w:r>
      <w:r>
        <w:rPr>
          <w:color w:val="231F20"/>
        </w:rPr>
        <w:t>GFR; at the same time, though, the reduction in </w:t>
      </w:r>
      <w:r>
        <w:rPr>
          <w:color w:val="231F20"/>
          <w:spacing w:val="-4"/>
        </w:rPr>
        <w:t>renal </w:t>
      </w:r>
      <w:r>
        <w:rPr>
          <w:color w:val="231F20"/>
        </w:rPr>
        <w:t>blood flow caused by efferent arteriolar constriction con­ tributes to decreased flow through the peritubular capil­ laries, which in turn increases reabsorption  of  </w:t>
      </w:r>
      <w:r>
        <w:rPr>
          <w:color w:val="231F20"/>
          <w:spacing w:val="-3"/>
        </w:rPr>
        <w:t>sodium </w:t>
      </w:r>
      <w:r>
        <w:rPr>
          <w:color w:val="231F20"/>
        </w:rPr>
        <w:t>and </w:t>
      </w:r>
      <w:r>
        <w:rPr>
          <w:color w:val="231F20"/>
          <w:spacing w:val="-3"/>
        </w:rPr>
        <w:t>water, </w:t>
      </w:r>
      <w:r>
        <w:rPr>
          <w:color w:val="231F20"/>
        </w:rPr>
        <w:t>as discussed in Chapter</w:t>
      </w:r>
      <w:r>
        <w:rPr>
          <w:color w:val="231F20"/>
          <w:spacing w:val="1"/>
        </w:rPr>
        <w:t> </w:t>
      </w:r>
      <w:r>
        <w:rPr>
          <w:color w:val="231F20"/>
        </w:rPr>
        <w:t>28.</w:t>
      </w:r>
    </w:p>
    <w:p>
      <w:pPr>
        <w:pStyle w:val="BodyText"/>
        <w:spacing w:line="249" w:lineRule="auto" w:before="13"/>
        <w:ind w:left="1080" w:firstLine="240"/>
        <w:jc w:val="both"/>
      </w:pPr>
      <w:r>
        <w:rPr>
          <w:color w:val="231F20"/>
          <w:w w:val="105"/>
        </w:rPr>
        <w:t>Thus,</w:t>
      </w:r>
      <w:r>
        <w:rPr>
          <w:color w:val="231F20"/>
          <w:spacing w:val="-13"/>
          <w:w w:val="105"/>
        </w:rPr>
        <w:t> </w:t>
      </w:r>
      <w:r>
        <w:rPr>
          <w:color w:val="231F20"/>
          <w:w w:val="105"/>
        </w:rPr>
        <w:t>increased</w:t>
      </w:r>
      <w:r>
        <w:rPr>
          <w:color w:val="231F20"/>
          <w:spacing w:val="-12"/>
          <w:w w:val="105"/>
        </w:rPr>
        <w:t> </w:t>
      </w:r>
      <w:r>
        <w:rPr>
          <w:color w:val="231F20"/>
          <w:w w:val="105"/>
        </w:rPr>
        <w:t>angiotensin</w:t>
      </w:r>
      <w:r>
        <w:rPr>
          <w:color w:val="231F20"/>
          <w:spacing w:val="-12"/>
          <w:w w:val="105"/>
        </w:rPr>
        <w:t> </w:t>
      </w:r>
      <w:r>
        <w:rPr>
          <w:color w:val="231F20"/>
          <w:w w:val="105"/>
        </w:rPr>
        <w:t>II</w:t>
      </w:r>
      <w:r>
        <w:rPr>
          <w:color w:val="231F20"/>
          <w:spacing w:val="-13"/>
          <w:w w:val="105"/>
        </w:rPr>
        <w:t> </w:t>
      </w:r>
      <w:r>
        <w:rPr>
          <w:color w:val="231F20"/>
          <w:w w:val="105"/>
        </w:rPr>
        <w:t>levels</w:t>
      </w:r>
      <w:r>
        <w:rPr>
          <w:color w:val="231F20"/>
          <w:spacing w:val="-12"/>
          <w:w w:val="105"/>
        </w:rPr>
        <w:t> </w:t>
      </w:r>
      <w:r>
        <w:rPr>
          <w:color w:val="231F20"/>
          <w:w w:val="105"/>
        </w:rPr>
        <w:t>that</w:t>
      </w:r>
      <w:r>
        <w:rPr>
          <w:color w:val="231F20"/>
          <w:spacing w:val="-12"/>
          <w:w w:val="105"/>
        </w:rPr>
        <w:t> </w:t>
      </w:r>
      <w:r>
        <w:rPr>
          <w:color w:val="231F20"/>
          <w:w w:val="105"/>
        </w:rPr>
        <w:t>occur</w:t>
      </w:r>
      <w:r>
        <w:rPr>
          <w:color w:val="231F20"/>
          <w:spacing w:val="-13"/>
          <w:w w:val="105"/>
        </w:rPr>
        <w:t> </w:t>
      </w:r>
      <w:r>
        <w:rPr>
          <w:color w:val="231F20"/>
          <w:w w:val="105"/>
        </w:rPr>
        <w:t>with</w:t>
      </w:r>
      <w:r>
        <w:rPr>
          <w:color w:val="231F20"/>
          <w:spacing w:val="-12"/>
          <w:w w:val="105"/>
        </w:rPr>
        <w:t> </w:t>
      </w:r>
      <w:r>
        <w:rPr>
          <w:color w:val="231F20"/>
          <w:w w:val="105"/>
        </w:rPr>
        <w:t>a low­sodium</w:t>
      </w:r>
      <w:r>
        <w:rPr>
          <w:color w:val="231F20"/>
          <w:spacing w:val="-14"/>
          <w:w w:val="105"/>
        </w:rPr>
        <w:t> </w:t>
      </w:r>
      <w:r>
        <w:rPr>
          <w:color w:val="231F20"/>
          <w:w w:val="105"/>
        </w:rPr>
        <w:t>diet</w:t>
      </w:r>
      <w:r>
        <w:rPr>
          <w:color w:val="231F20"/>
          <w:spacing w:val="-14"/>
          <w:w w:val="105"/>
        </w:rPr>
        <w:t> </w:t>
      </w:r>
      <w:r>
        <w:rPr>
          <w:color w:val="231F20"/>
          <w:w w:val="105"/>
        </w:rPr>
        <w:t>or</w:t>
      </w:r>
      <w:r>
        <w:rPr>
          <w:color w:val="231F20"/>
          <w:spacing w:val="-13"/>
          <w:w w:val="105"/>
        </w:rPr>
        <w:t> </w:t>
      </w:r>
      <w:r>
        <w:rPr>
          <w:color w:val="231F20"/>
          <w:w w:val="105"/>
        </w:rPr>
        <w:t>volume</w:t>
      </w:r>
      <w:r>
        <w:rPr>
          <w:color w:val="231F20"/>
          <w:spacing w:val="-13"/>
          <w:w w:val="105"/>
        </w:rPr>
        <w:t> </w:t>
      </w:r>
      <w:r>
        <w:rPr>
          <w:color w:val="231F20"/>
          <w:w w:val="105"/>
        </w:rPr>
        <w:t>depletion</w:t>
      </w:r>
      <w:r>
        <w:rPr>
          <w:color w:val="231F20"/>
          <w:spacing w:val="-13"/>
          <w:w w:val="105"/>
        </w:rPr>
        <w:t> </w:t>
      </w:r>
      <w:r>
        <w:rPr>
          <w:color w:val="231F20"/>
          <w:w w:val="105"/>
        </w:rPr>
        <w:t>help</w:t>
      </w:r>
      <w:r>
        <w:rPr>
          <w:color w:val="231F20"/>
          <w:spacing w:val="-14"/>
          <w:w w:val="105"/>
        </w:rPr>
        <w:t> </w:t>
      </w:r>
      <w:r>
        <w:rPr>
          <w:color w:val="231F20"/>
          <w:w w:val="105"/>
        </w:rPr>
        <w:t>maintain</w:t>
      </w:r>
      <w:r>
        <w:rPr>
          <w:color w:val="231F20"/>
          <w:spacing w:val="-13"/>
          <w:w w:val="105"/>
        </w:rPr>
        <w:t> </w:t>
      </w:r>
      <w:r>
        <w:rPr>
          <w:color w:val="231F20"/>
          <w:spacing w:val="-6"/>
          <w:w w:val="105"/>
        </w:rPr>
        <w:t>GFR </w:t>
      </w:r>
      <w:r>
        <w:rPr>
          <w:color w:val="231F20"/>
          <w:w w:val="105"/>
        </w:rPr>
        <w:t>and normal excretion of metabolic waste products </w:t>
      </w:r>
      <w:r>
        <w:rPr>
          <w:color w:val="231F20"/>
          <w:spacing w:val="-4"/>
          <w:w w:val="105"/>
        </w:rPr>
        <w:t>such </w:t>
      </w:r>
      <w:r>
        <w:rPr>
          <w:color w:val="231F20"/>
          <w:w w:val="105"/>
        </w:rPr>
        <w:t>as urea and creatinine that depend on glomerular filtra­ tion</w:t>
      </w:r>
      <w:r>
        <w:rPr>
          <w:color w:val="231F20"/>
          <w:spacing w:val="-11"/>
          <w:w w:val="105"/>
        </w:rPr>
        <w:t> </w:t>
      </w:r>
      <w:r>
        <w:rPr>
          <w:color w:val="231F20"/>
          <w:w w:val="105"/>
        </w:rPr>
        <w:t>for</w:t>
      </w:r>
      <w:r>
        <w:rPr>
          <w:color w:val="231F20"/>
          <w:spacing w:val="-11"/>
          <w:w w:val="105"/>
        </w:rPr>
        <w:t> </w:t>
      </w:r>
      <w:r>
        <w:rPr>
          <w:color w:val="231F20"/>
          <w:w w:val="105"/>
        </w:rPr>
        <w:t>their</w:t>
      </w:r>
      <w:r>
        <w:rPr>
          <w:color w:val="231F20"/>
          <w:spacing w:val="-10"/>
          <w:w w:val="105"/>
        </w:rPr>
        <w:t> </w:t>
      </w:r>
      <w:r>
        <w:rPr>
          <w:color w:val="231F20"/>
          <w:w w:val="105"/>
        </w:rPr>
        <w:t>excretion;</w:t>
      </w:r>
      <w:r>
        <w:rPr>
          <w:color w:val="231F20"/>
          <w:spacing w:val="-11"/>
          <w:w w:val="105"/>
        </w:rPr>
        <w:t> </w:t>
      </w:r>
      <w:r>
        <w:rPr>
          <w:color w:val="231F20"/>
          <w:w w:val="105"/>
        </w:rPr>
        <w:t>at</w:t>
      </w:r>
      <w:r>
        <w:rPr>
          <w:color w:val="231F20"/>
          <w:spacing w:val="-10"/>
          <w:w w:val="105"/>
        </w:rPr>
        <w:t> </w:t>
      </w:r>
      <w:r>
        <w:rPr>
          <w:color w:val="231F20"/>
          <w:w w:val="105"/>
        </w:rPr>
        <w:t>the</w:t>
      </w:r>
      <w:r>
        <w:rPr>
          <w:color w:val="231F20"/>
          <w:spacing w:val="-11"/>
          <w:w w:val="105"/>
        </w:rPr>
        <w:t> </w:t>
      </w:r>
      <w:r>
        <w:rPr>
          <w:color w:val="231F20"/>
          <w:w w:val="105"/>
        </w:rPr>
        <w:t>same</w:t>
      </w:r>
      <w:r>
        <w:rPr>
          <w:color w:val="231F20"/>
          <w:spacing w:val="-10"/>
          <w:w w:val="105"/>
        </w:rPr>
        <w:t> </w:t>
      </w:r>
      <w:r>
        <w:rPr>
          <w:color w:val="231F20"/>
          <w:w w:val="105"/>
        </w:rPr>
        <w:t>time,</w:t>
      </w:r>
      <w:r>
        <w:rPr>
          <w:color w:val="231F20"/>
          <w:spacing w:val="-11"/>
          <w:w w:val="105"/>
        </w:rPr>
        <w:t> </w:t>
      </w:r>
      <w:r>
        <w:rPr>
          <w:color w:val="231F20"/>
          <w:w w:val="105"/>
        </w:rPr>
        <w:t>the</w:t>
      </w:r>
      <w:r>
        <w:rPr>
          <w:color w:val="231F20"/>
          <w:spacing w:val="-10"/>
          <w:w w:val="105"/>
        </w:rPr>
        <w:t> </w:t>
      </w:r>
      <w:r>
        <w:rPr>
          <w:color w:val="231F20"/>
          <w:w w:val="105"/>
        </w:rPr>
        <w:t>angiotensin II–induced constriction of efferent arterioles increases tubular reabsorption of sodium and </w:t>
      </w:r>
      <w:r>
        <w:rPr>
          <w:color w:val="231F20"/>
          <w:spacing w:val="-3"/>
          <w:w w:val="105"/>
        </w:rPr>
        <w:t>water, </w:t>
      </w:r>
      <w:r>
        <w:rPr>
          <w:color w:val="231F20"/>
          <w:w w:val="105"/>
        </w:rPr>
        <w:t>which </w:t>
      </w:r>
      <w:r>
        <w:rPr>
          <w:color w:val="231F20"/>
          <w:spacing w:val="-4"/>
          <w:w w:val="105"/>
        </w:rPr>
        <w:t>helps </w:t>
      </w:r>
      <w:r>
        <w:rPr>
          <w:color w:val="231F20"/>
          <w:w w:val="105"/>
        </w:rPr>
        <w:t>restore blood volume and blood pressure. This effect</w:t>
      </w:r>
      <w:r>
        <w:rPr>
          <w:color w:val="231F20"/>
          <w:spacing w:val="11"/>
          <w:w w:val="105"/>
        </w:rPr>
        <w:t> </w:t>
      </w:r>
      <w:r>
        <w:rPr>
          <w:color w:val="231F20"/>
          <w:w w:val="105"/>
        </w:rPr>
        <w:t>of</w:t>
      </w:r>
    </w:p>
    <w:p>
      <w:pPr>
        <w:pStyle w:val="BodyText"/>
        <w:spacing w:line="249" w:lineRule="auto" w:before="99"/>
        <w:ind w:left="319" w:right="1439"/>
        <w:jc w:val="both"/>
      </w:pPr>
      <w:r>
        <w:rPr/>
        <w:br w:type="column"/>
      </w:r>
      <w:r>
        <w:rPr>
          <w:color w:val="231F20"/>
        </w:rPr>
        <w:t>angiotensin II in helping to “autoregulate” GFR is dis­ cussed in more detail later in this chapter.</w:t>
      </w:r>
    </w:p>
    <w:p>
      <w:pPr>
        <w:pStyle w:val="BodyText"/>
        <w:spacing w:line="249" w:lineRule="auto" w:before="250"/>
        <w:ind w:left="319" w:right="1437"/>
        <w:jc w:val="both"/>
      </w:pPr>
      <w:r>
        <w:rPr>
          <w:rFonts w:ascii="Trebuchet MS" w:hAnsi="Trebuchet MS"/>
          <w:b/>
          <w:color w:val="231F20"/>
          <w:sz w:val="19"/>
        </w:rPr>
        <w:t>Endothelial-Derived Nitric Oxide Decreases </w:t>
      </w:r>
      <w:r>
        <w:rPr>
          <w:rFonts w:ascii="Trebuchet MS" w:hAnsi="Trebuchet MS"/>
          <w:b/>
          <w:color w:val="231F20"/>
          <w:spacing w:val="-3"/>
          <w:sz w:val="19"/>
        </w:rPr>
        <w:t>Renal </w:t>
      </w:r>
      <w:r>
        <w:rPr>
          <w:rFonts w:ascii="Trebuchet MS" w:hAnsi="Trebuchet MS"/>
          <w:b/>
          <w:color w:val="231F20"/>
          <w:sz w:val="19"/>
        </w:rPr>
        <w:t>Vascular Resistance and Increases GFR. </w:t>
      </w:r>
      <w:r>
        <w:rPr>
          <w:color w:val="231F20"/>
        </w:rPr>
        <w:t>An </w:t>
      </w:r>
      <w:r>
        <w:rPr>
          <w:color w:val="231F20"/>
          <w:spacing w:val="-3"/>
        </w:rPr>
        <w:t>autacoid </w:t>
      </w:r>
      <w:r>
        <w:rPr>
          <w:color w:val="231F20"/>
        </w:rPr>
        <w:t>that decreases renal vascular resistance and is released   by the vascular endothelium throughout the body is </w:t>
      </w:r>
      <w:r>
        <w:rPr>
          <w:i/>
          <w:color w:val="231F20"/>
        </w:rPr>
        <w:t>endothelial-derived nitric oxide. </w:t>
      </w:r>
      <w:r>
        <w:rPr>
          <w:color w:val="231F20"/>
        </w:rPr>
        <w:t>A basal level of nitric oxide production appears to be important for </w:t>
      </w:r>
      <w:r>
        <w:rPr>
          <w:color w:val="231F20"/>
          <w:spacing w:val="-3"/>
        </w:rPr>
        <w:t>maintain­  </w:t>
      </w:r>
      <w:r>
        <w:rPr>
          <w:color w:val="231F20"/>
        </w:rPr>
        <w:t>ing vasodilation of the kidneys because it allows </w:t>
      </w:r>
      <w:r>
        <w:rPr>
          <w:color w:val="231F20"/>
          <w:spacing w:val="-5"/>
        </w:rPr>
        <w:t>the </w:t>
      </w:r>
      <w:r>
        <w:rPr>
          <w:color w:val="231F20"/>
        </w:rPr>
        <w:t>kidneys to excrete normal amounts of sodium and </w:t>
      </w:r>
      <w:r>
        <w:rPr>
          <w:color w:val="231F20"/>
          <w:spacing w:val="-3"/>
        </w:rPr>
        <w:t>water. </w:t>
      </w:r>
      <w:r>
        <w:rPr>
          <w:color w:val="231F20"/>
        </w:rPr>
        <w:t>Therefore, administration of drugs that inhibit </w:t>
      </w:r>
      <w:r>
        <w:rPr>
          <w:color w:val="231F20"/>
          <w:spacing w:val="-3"/>
        </w:rPr>
        <w:t>formation </w:t>
      </w:r>
      <w:r>
        <w:rPr>
          <w:color w:val="231F20"/>
        </w:rPr>
        <w:t>of nitric oxide increases renal vascular resistance and decreases GFR and urinary sodium excretion, eventually causing high blood pressure. In some hypertensive patients or in patients with atherosclerosis, damage of </w:t>
      </w:r>
      <w:r>
        <w:rPr>
          <w:color w:val="231F20"/>
          <w:spacing w:val="-5"/>
        </w:rPr>
        <w:t>the </w:t>
      </w:r>
      <w:r>
        <w:rPr>
          <w:color w:val="231F20"/>
        </w:rPr>
        <w:t>vascular endothelium and impaired nitric oxide produc­ tion may contribute to increased renal vasoconstriction and elevated blood</w:t>
      </w:r>
      <w:r>
        <w:rPr>
          <w:color w:val="231F20"/>
          <w:spacing w:val="21"/>
        </w:rPr>
        <w:t> </w:t>
      </w:r>
      <w:r>
        <w:rPr>
          <w:color w:val="231F20"/>
        </w:rPr>
        <w:t>pressure.</w:t>
      </w:r>
    </w:p>
    <w:p>
      <w:pPr>
        <w:pStyle w:val="BodyText"/>
        <w:spacing w:before="10"/>
        <w:rPr>
          <w:sz w:val="22"/>
        </w:rPr>
      </w:pPr>
    </w:p>
    <w:p>
      <w:pPr>
        <w:pStyle w:val="BodyText"/>
        <w:spacing w:line="249" w:lineRule="auto"/>
        <w:ind w:left="319" w:right="1437"/>
        <w:jc w:val="both"/>
      </w:pPr>
      <w:r>
        <w:rPr>
          <w:rFonts w:ascii="Trebuchet MS"/>
          <w:b/>
          <w:color w:val="231F20"/>
          <w:w w:val="105"/>
          <w:sz w:val="19"/>
        </w:rPr>
        <w:t>Prostaglandins</w:t>
      </w:r>
      <w:r>
        <w:rPr>
          <w:rFonts w:ascii="Trebuchet MS"/>
          <w:b/>
          <w:color w:val="231F20"/>
          <w:spacing w:val="-11"/>
          <w:w w:val="105"/>
          <w:sz w:val="19"/>
        </w:rPr>
        <w:t> </w:t>
      </w:r>
      <w:r>
        <w:rPr>
          <w:rFonts w:ascii="Trebuchet MS"/>
          <w:b/>
          <w:color w:val="231F20"/>
          <w:w w:val="105"/>
          <w:sz w:val="19"/>
        </w:rPr>
        <w:t>and</w:t>
      </w:r>
      <w:r>
        <w:rPr>
          <w:rFonts w:ascii="Trebuchet MS"/>
          <w:b/>
          <w:color w:val="231F20"/>
          <w:spacing w:val="-10"/>
          <w:w w:val="105"/>
          <w:sz w:val="19"/>
        </w:rPr>
        <w:t> </w:t>
      </w:r>
      <w:r>
        <w:rPr>
          <w:rFonts w:ascii="Trebuchet MS"/>
          <w:b/>
          <w:color w:val="231F20"/>
          <w:w w:val="105"/>
          <w:sz w:val="19"/>
        </w:rPr>
        <w:t>Bradykinin</w:t>
      </w:r>
      <w:r>
        <w:rPr>
          <w:rFonts w:ascii="Trebuchet MS"/>
          <w:b/>
          <w:color w:val="231F20"/>
          <w:spacing w:val="-10"/>
          <w:w w:val="105"/>
          <w:sz w:val="19"/>
        </w:rPr>
        <w:t> </w:t>
      </w:r>
      <w:r>
        <w:rPr>
          <w:rFonts w:ascii="Trebuchet MS"/>
          <w:b/>
          <w:color w:val="231F20"/>
          <w:w w:val="105"/>
          <w:sz w:val="19"/>
        </w:rPr>
        <w:t>Decrease</w:t>
      </w:r>
      <w:r>
        <w:rPr>
          <w:rFonts w:ascii="Trebuchet MS"/>
          <w:b/>
          <w:color w:val="231F20"/>
          <w:spacing w:val="-10"/>
          <w:w w:val="105"/>
          <w:sz w:val="19"/>
        </w:rPr>
        <w:t> </w:t>
      </w:r>
      <w:r>
        <w:rPr>
          <w:rFonts w:ascii="Trebuchet MS"/>
          <w:b/>
          <w:color w:val="231F20"/>
          <w:w w:val="105"/>
          <w:sz w:val="19"/>
        </w:rPr>
        <w:t>Renal</w:t>
      </w:r>
      <w:r>
        <w:rPr>
          <w:rFonts w:ascii="Trebuchet MS"/>
          <w:b/>
          <w:color w:val="231F20"/>
          <w:spacing w:val="-11"/>
          <w:w w:val="105"/>
          <w:sz w:val="19"/>
        </w:rPr>
        <w:t> </w:t>
      </w:r>
      <w:r>
        <w:rPr>
          <w:rFonts w:ascii="Trebuchet MS"/>
          <w:b/>
          <w:color w:val="231F20"/>
          <w:spacing w:val="-6"/>
          <w:w w:val="105"/>
          <w:sz w:val="19"/>
        </w:rPr>
        <w:t>Vas- </w:t>
      </w:r>
      <w:r>
        <w:rPr>
          <w:rFonts w:ascii="Trebuchet MS"/>
          <w:b/>
          <w:color w:val="231F20"/>
          <w:w w:val="105"/>
          <w:sz w:val="19"/>
        </w:rPr>
        <w:t>cular</w:t>
      </w:r>
      <w:r>
        <w:rPr>
          <w:rFonts w:ascii="Trebuchet MS"/>
          <w:b/>
          <w:color w:val="231F20"/>
          <w:spacing w:val="-43"/>
          <w:w w:val="105"/>
          <w:sz w:val="19"/>
        </w:rPr>
        <w:t> </w:t>
      </w:r>
      <w:r>
        <w:rPr>
          <w:rFonts w:ascii="Trebuchet MS"/>
          <w:b/>
          <w:color w:val="231F20"/>
          <w:w w:val="105"/>
          <w:sz w:val="19"/>
        </w:rPr>
        <w:t>Resistance</w:t>
      </w:r>
      <w:r>
        <w:rPr>
          <w:rFonts w:ascii="Trebuchet MS"/>
          <w:b/>
          <w:color w:val="231F20"/>
          <w:spacing w:val="-43"/>
          <w:w w:val="105"/>
          <w:sz w:val="19"/>
        </w:rPr>
        <w:t> </w:t>
      </w:r>
      <w:r>
        <w:rPr>
          <w:rFonts w:ascii="Trebuchet MS"/>
          <w:b/>
          <w:color w:val="231F20"/>
          <w:w w:val="105"/>
          <w:sz w:val="19"/>
        </w:rPr>
        <w:t>and</w:t>
      </w:r>
      <w:r>
        <w:rPr>
          <w:rFonts w:ascii="Trebuchet MS"/>
          <w:b/>
          <w:color w:val="231F20"/>
          <w:spacing w:val="-43"/>
          <w:w w:val="105"/>
          <w:sz w:val="19"/>
        </w:rPr>
        <w:t> </w:t>
      </w:r>
      <w:r>
        <w:rPr>
          <w:rFonts w:ascii="Trebuchet MS"/>
          <w:b/>
          <w:color w:val="231F20"/>
          <w:spacing w:val="-6"/>
          <w:w w:val="105"/>
          <w:sz w:val="19"/>
        </w:rPr>
        <w:t>Tend</w:t>
      </w:r>
      <w:r>
        <w:rPr>
          <w:rFonts w:ascii="Trebuchet MS"/>
          <w:b/>
          <w:color w:val="231F20"/>
          <w:spacing w:val="-43"/>
          <w:w w:val="105"/>
          <w:sz w:val="19"/>
        </w:rPr>
        <w:t> </w:t>
      </w:r>
      <w:r>
        <w:rPr>
          <w:rFonts w:ascii="Trebuchet MS"/>
          <w:b/>
          <w:color w:val="231F20"/>
          <w:w w:val="105"/>
          <w:sz w:val="19"/>
        </w:rPr>
        <w:t>to</w:t>
      </w:r>
      <w:r>
        <w:rPr>
          <w:rFonts w:ascii="Trebuchet MS"/>
          <w:b/>
          <w:color w:val="231F20"/>
          <w:spacing w:val="-43"/>
          <w:w w:val="105"/>
          <w:sz w:val="19"/>
        </w:rPr>
        <w:t> </w:t>
      </w:r>
      <w:r>
        <w:rPr>
          <w:rFonts w:ascii="Trebuchet MS"/>
          <w:b/>
          <w:color w:val="231F20"/>
          <w:w w:val="105"/>
          <w:sz w:val="19"/>
        </w:rPr>
        <w:t>Increase</w:t>
      </w:r>
      <w:r>
        <w:rPr>
          <w:rFonts w:ascii="Trebuchet MS"/>
          <w:b/>
          <w:color w:val="231F20"/>
          <w:spacing w:val="-43"/>
          <w:w w:val="105"/>
          <w:sz w:val="19"/>
        </w:rPr>
        <w:t> </w:t>
      </w:r>
      <w:r>
        <w:rPr>
          <w:rFonts w:ascii="Trebuchet MS"/>
          <w:b/>
          <w:color w:val="231F20"/>
          <w:w w:val="105"/>
          <w:sz w:val="19"/>
        </w:rPr>
        <w:t>GFR.</w:t>
      </w:r>
      <w:r>
        <w:rPr>
          <w:rFonts w:ascii="Trebuchet MS"/>
          <w:b/>
          <w:color w:val="231F20"/>
          <w:spacing w:val="-23"/>
          <w:w w:val="105"/>
          <w:sz w:val="19"/>
        </w:rPr>
        <w:t> </w:t>
      </w:r>
      <w:r>
        <w:rPr>
          <w:color w:val="231F20"/>
          <w:w w:val="105"/>
        </w:rPr>
        <w:t>Hormones and</w:t>
      </w:r>
      <w:r>
        <w:rPr>
          <w:color w:val="231F20"/>
          <w:spacing w:val="-16"/>
          <w:w w:val="105"/>
        </w:rPr>
        <w:t> </w:t>
      </w:r>
      <w:r>
        <w:rPr>
          <w:color w:val="231F20"/>
          <w:w w:val="105"/>
        </w:rPr>
        <w:t>autacoids</w:t>
      </w:r>
      <w:r>
        <w:rPr>
          <w:color w:val="231F20"/>
          <w:spacing w:val="-16"/>
          <w:w w:val="105"/>
        </w:rPr>
        <w:t> </w:t>
      </w:r>
      <w:r>
        <w:rPr>
          <w:color w:val="231F20"/>
          <w:w w:val="105"/>
        </w:rPr>
        <w:t>that</w:t>
      </w:r>
      <w:r>
        <w:rPr>
          <w:color w:val="231F20"/>
          <w:spacing w:val="-16"/>
          <w:w w:val="105"/>
        </w:rPr>
        <w:t> </w:t>
      </w:r>
      <w:r>
        <w:rPr>
          <w:color w:val="231F20"/>
          <w:w w:val="105"/>
        </w:rPr>
        <w:t>cause</w:t>
      </w:r>
      <w:r>
        <w:rPr>
          <w:color w:val="231F20"/>
          <w:spacing w:val="-16"/>
          <w:w w:val="105"/>
        </w:rPr>
        <w:t> </w:t>
      </w:r>
      <w:r>
        <w:rPr>
          <w:color w:val="231F20"/>
          <w:w w:val="105"/>
        </w:rPr>
        <w:t>vasodilation</w:t>
      </w:r>
      <w:r>
        <w:rPr>
          <w:color w:val="231F20"/>
          <w:spacing w:val="-16"/>
          <w:w w:val="105"/>
        </w:rPr>
        <w:t> </w:t>
      </w:r>
      <w:r>
        <w:rPr>
          <w:color w:val="231F20"/>
          <w:w w:val="105"/>
        </w:rPr>
        <w:t>and</w:t>
      </w:r>
      <w:r>
        <w:rPr>
          <w:color w:val="231F20"/>
          <w:spacing w:val="-16"/>
          <w:w w:val="105"/>
        </w:rPr>
        <w:t> </w:t>
      </w:r>
      <w:r>
        <w:rPr>
          <w:color w:val="231F20"/>
          <w:w w:val="105"/>
        </w:rPr>
        <w:t>increased</w:t>
      </w:r>
      <w:r>
        <w:rPr>
          <w:color w:val="231F20"/>
          <w:spacing w:val="-16"/>
          <w:w w:val="105"/>
        </w:rPr>
        <w:t> </w:t>
      </w:r>
      <w:r>
        <w:rPr>
          <w:color w:val="231F20"/>
          <w:w w:val="105"/>
        </w:rPr>
        <w:t>renal blood</w:t>
      </w:r>
      <w:r>
        <w:rPr>
          <w:color w:val="231F20"/>
          <w:spacing w:val="-31"/>
          <w:w w:val="105"/>
        </w:rPr>
        <w:t> </w:t>
      </w:r>
      <w:r>
        <w:rPr>
          <w:color w:val="231F20"/>
          <w:w w:val="105"/>
        </w:rPr>
        <w:t>flow</w:t>
      </w:r>
      <w:r>
        <w:rPr>
          <w:color w:val="231F20"/>
          <w:spacing w:val="-30"/>
          <w:w w:val="105"/>
        </w:rPr>
        <w:t> </w:t>
      </w:r>
      <w:r>
        <w:rPr>
          <w:color w:val="231F20"/>
          <w:w w:val="105"/>
        </w:rPr>
        <w:t>and</w:t>
      </w:r>
      <w:r>
        <w:rPr>
          <w:color w:val="231F20"/>
          <w:spacing w:val="-31"/>
          <w:w w:val="105"/>
        </w:rPr>
        <w:t> </w:t>
      </w:r>
      <w:r>
        <w:rPr>
          <w:color w:val="231F20"/>
          <w:w w:val="105"/>
        </w:rPr>
        <w:t>GFR</w:t>
      </w:r>
      <w:r>
        <w:rPr>
          <w:color w:val="231F20"/>
          <w:spacing w:val="-30"/>
          <w:w w:val="105"/>
        </w:rPr>
        <w:t> </w:t>
      </w:r>
      <w:r>
        <w:rPr>
          <w:color w:val="231F20"/>
          <w:w w:val="105"/>
        </w:rPr>
        <w:t>include</w:t>
      </w:r>
      <w:r>
        <w:rPr>
          <w:color w:val="231F20"/>
          <w:spacing w:val="-30"/>
          <w:w w:val="105"/>
        </w:rPr>
        <w:t> </w:t>
      </w:r>
      <w:r>
        <w:rPr>
          <w:color w:val="231F20"/>
          <w:w w:val="105"/>
        </w:rPr>
        <w:t>the</w:t>
      </w:r>
      <w:r>
        <w:rPr>
          <w:color w:val="231F20"/>
          <w:spacing w:val="-31"/>
          <w:w w:val="105"/>
        </w:rPr>
        <w:t> </w:t>
      </w:r>
      <w:r>
        <w:rPr>
          <w:color w:val="231F20"/>
          <w:w w:val="105"/>
        </w:rPr>
        <w:t>prostaglandins</w:t>
      </w:r>
      <w:r>
        <w:rPr>
          <w:color w:val="231F20"/>
          <w:spacing w:val="-30"/>
          <w:w w:val="105"/>
        </w:rPr>
        <w:t> </w:t>
      </w:r>
      <w:r>
        <w:rPr>
          <w:color w:val="231F20"/>
          <w:w w:val="105"/>
        </w:rPr>
        <w:t>(PGE</w:t>
      </w:r>
      <w:r>
        <w:rPr>
          <w:color w:val="231F20"/>
          <w:w w:val="105"/>
          <w:vertAlign w:val="subscript"/>
        </w:rPr>
        <w:t>2</w:t>
      </w:r>
      <w:r>
        <w:rPr>
          <w:color w:val="231F20"/>
          <w:spacing w:val="-31"/>
          <w:w w:val="105"/>
          <w:vertAlign w:val="baseline"/>
        </w:rPr>
        <w:t> </w:t>
      </w:r>
      <w:r>
        <w:rPr>
          <w:color w:val="231F20"/>
          <w:spacing w:val="-6"/>
          <w:w w:val="105"/>
          <w:vertAlign w:val="baseline"/>
        </w:rPr>
        <w:t>and </w:t>
      </w:r>
      <w:r>
        <w:rPr>
          <w:color w:val="231F20"/>
          <w:w w:val="105"/>
          <w:vertAlign w:val="baseline"/>
        </w:rPr>
        <w:t>PGI</w:t>
      </w:r>
      <w:r>
        <w:rPr>
          <w:color w:val="231F20"/>
          <w:w w:val="105"/>
          <w:vertAlign w:val="subscript"/>
        </w:rPr>
        <w:t>2</w:t>
      </w:r>
      <w:r>
        <w:rPr>
          <w:color w:val="231F20"/>
          <w:w w:val="105"/>
          <w:vertAlign w:val="baseline"/>
        </w:rPr>
        <w:t>)</w:t>
      </w:r>
      <w:r>
        <w:rPr>
          <w:color w:val="231F20"/>
          <w:spacing w:val="-7"/>
          <w:w w:val="105"/>
          <w:vertAlign w:val="baseline"/>
        </w:rPr>
        <w:t> </w:t>
      </w:r>
      <w:r>
        <w:rPr>
          <w:color w:val="231F20"/>
          <w:w w:val="105"/>
          <w:vertAlign w:val="baseline"/>
        </w:rPr>
        <w:t>and</w:t>
      </w:r>
      <w:r>
        <w:rPr>
          <w:color w:val="231F20"/>
          <w:spacing w:val="-6"/>
          <w:w w:val="105"/>
          <w:vertAlign w:val="baseline"/>
        </w:rPr>
        <w:t> </w:t>
      </w:r>
      <w:r>
        <w:rPr>
          <w:color w:val="231F20"/>
          <w:w w:val="105"/>
          <w:vertAlign w:val="baseline"/>
        </w:rPr>
        <w:t>bradykinin.</w:t>
      </w:r>
      <w:r>
        <w:rPr>
          <w:color w:val="231F20"/>
          <w:spacing w:val="-7"/>
          <w:w w:val="105"/>
          <w:vertAlign w:val="baseline"/>
        </w:rPr>
        <w:t> </w:t>
      </w:r>
      <w:r>
        <w:rPr>
          <w:color w:val="231F20"/>
          <w:w w:val="105"/>
          <w:vertAlign w:val="baseline"/>
        </w:rPr>
        <w:t>These</w:t>
      </w:r>
      <w:r>
        <w:rPr>
          <w:color w:val="231F20"/>
          <w:spacing w:val="-6"/>
          <w:w w:val="105"/>
          <w:vertAlign w:val="baseline"/>
        </w:rPr>
        <w:t> </w:t>
      </w:r>
      <w:r>
        <w:rPr>
          <w:color w:val="231F20"/>
          <w:w w:val="105"/>
          <w:vertAlign w:val="baseline"/>
        </w:rPr>
        <w:t>substances</w:t>
      </w:r>
      <w:r>
        <w:rPr>
          <w:color w:val="231F20"/>
          <w:spacing w:val="-7"/>
          <w:w w:val="105"/>
          <w:vertAlign w:val="baseline"/>
        </w:rPr>
        <w:t> </w:t>
      </w:r>
      <w:r>
        <w:rPr>
          <w:color w:val="231F20"/>
          <w:w w:val="105"/>
          <w:vertAlign w:val="baseline"/>
        </w:rPr>
        <w:t>are</w:t>
      </w:r>
      <w:r>
        <w:rPr>
          <w:color w:val="231F20"/>
          <w:spacing w:val="-6"/>
          <w:w w:val="105"/>
          <w:vertAlign w:val="baseline"/>
        </w:rPr>
        <w:t> </w:t>
      </w:r>
      <w:r>
        <w:rPr>
          <w:color w:val="231F20"/>
          <w:w w:val="105"/>
          <w:vertAlign w:val="baseline"/>
        </w:rPr>
        <w:t>discussed</w:t>
      </w:r>
      <w:r>
        <w:rPr>
          <w:color w:val="231F20"/>
          <w:spacing w:val="-7"/>
          <w:w w:val="105"/>
          <w:vertAlign w:val="baseline"/>
        </w:rPr>
        <w:t> </w:t>
      </w:r>
      <w:r>
        <w:rPr>
          <w:color w:val="231F20"/>
          <w:spacing w:val="-10"/>
          <w:w w:val="105"/>
          <w:vertAlign w:val="baseline"/>
        </w:rPr>
        <w:t>in </w:t>
      </w:r>
      <w:r>
        <w:rPr>
          <w:color w:val="231F20"/>
          <w:w w:val="105"/>
          <w:vertAlign w:val="baseline"/>
        </w:rPr>
        <w:t>Chapter</w:t>
      </w:r>
      <w:r>
        <w:rPr>
          <w:color w:val="231F20"/>
          <w:spacing w:val="-15"/>
          <w:w w:val="105"/>
          <w:vertAlign w:val="baseline"/>
        </w:rPr>
        <w:t> </w:t>
      </w:r>
      <w:r>
        <w:rPr>
          <w:color w:val="231F20"/>
          <w:w w:val="105"/>
          <w:vertAlign w:val="baseline"/>
        </w:rPr>
        <w:t>17.</w:t>
      </w:r>
      <w:r>
        <w:rPr>
          <w:color w:val="231F20"/>
          <w:spacing w:val="-15"/>
          <w:w w:val="105"/>
          <w:vertAlign w:val="baseline"/>
        </w:rPr>
        <w:t> </w:t>
      </w:r>
      <w:r>
        <w:rPr>
          <w:color w:val="231F20"/>
          <w:w w:val="105"/>
          <w:vertAlign w:val="baseline"/>
        </w:rPr>
        <w:t>Although</w:t>
      </w:r>
      <w:r>
        <w:rPr>
          <w:color w:val="231F20"/>
          <w:spacing w:val="-14"/>
          <w:w w:val="105"/>
          <w:vertAlign w:val="baseline"/>
        </w:rPr>
        <w:t> </w:t>
      </w:r>
      <w:r>
        <w:rPr>
          <w:color w:val="231F20"/>
          <w:w w:val="105"/>
          <w:vertAlign w:val="baseline"/>
        </w:rPr>
        <w:t>these</w:t>
      </w:r>
      <w:r>
        <w:rPr>
          <w:color w:val="231F20"/>
          <w:spacing w:val="-15"/>
          <w:w w:val="105"/>
          <w:vertAlign w:val="baseline"/>
        </w:rPr>
        <w:t> </w:t>
      </w:r>
      <w:r>
        <w:rPr>
          <w:color w:val="231F20"/>
          <w:w w:val="105"/>
          <w:vertAlign w:val="baseline"/>
        </w:rPr>
        <w:t>vasodilators</w:t>
      </w:r>
      <w:r>
        <w:rPr>
          <w:color w:val="231F20"/>
          <w:spacing w:val="-14"/>
          <w:w w:val="105"/>
          <w:vertAlign w:val="baseline"/>
        </w:rPr>
        <w:t> </w:t>
      </w:r>
      <w:r>
        <w:rPr>
          <w:color w:val="231F20"/>
          <w:w w:val="105"/>
          <w:vertAlign w:val="baseline"/>
        </w:rPr>
        <w:t>do</w:t>
      </w:r>
      <w:r>
        <w:rPr>
          <w:color w:val="231F20"/>
          <w:spacing w:val="-15"/>
          <w:w w:val="105"/>
          <w:vertAlign w:val="baseline"/>
        </w:rPr>
        <w:t> </w:t>
      </w:r>
      <w:r>
        <w:rPr>
          <w:color w:val="231F20"/>
          <w:w w:val="105"/>
          <w:vertAlign w:val="baseline"/>
        </w:rPr>
        <w:t>not</w:t>
      </w:r>
      <w:r>
        <w:rPr>
          <w:color w:val="231F20"/>
          <w:spacing w:val="-14"/>
          <w:w w:val="105"/>
          <w:vertAlign w:val="baseline"/>
        </w:rPr>
        <w:t> </w:t>
      </w:r>
      <w:r>
        <w:rPr>
          <w:color w:val="231F20"/>
          <w:w w:val="105"/>
          <w:vertAlign w:val="baseline"/>
        </w:rPr>
        <w:t>appear</w:t>
      </w:r>
      <w:r>
        <w:rPr>
          <w:color w:val="231F20"/>
          <w:spacing w:val="-15"/>
          <w:w w:val="105"/>
          <w:vertAlign w:val="baseline"/>
        </w:rPr>
        <w:t> </w:t>
      </w:r>
      <w:r>
        <w:rPr>
          <w:color w:val="231F20"/>
          <w:w w:val="105"/>
          <w:vertAlign w:val="baseline"/>
        </w:rPr>
        <w:t>to be</w:t>
      </w:r>
      <w:r>
        <w:rPr>
          <w:color w:val="231F20"/>
          <w:spacing w:val="-10"/>
          <w:w w:val="105"/>
          <w:vertAlign w:val="baseline"/>
        </w:rPr>
        <w:t> </w:t>
      </w:r>
      <w:r>
        <w:rPr>
          <w:color w:val="231F20"/>
          <w:w w:val="105"/>
          <w:vertAlign w:val="baseline"/>
        </w:rPr>
        <w:t>of</w:t>
      </w:r>
      <w:r>
        <w:rPr>
          <w:color w:val="231F20"/>
          <w:spacing w:val="-9"/>
          <w:w w:val="105"/>
          <w:vertAlign w:val="baseline"/>
        </w:rPr>
        <w:t> </w:t>
      </w:r>
      <w:r>
        <w:rPr>
          <w:color w:val="231F20"/>
          <w:w w:val="105"/>
          <w:vertAlign w:val="baseline"/>
        </w:rPr>
        <w:t>major</w:t>
      </w:r>
      <w:r>
        <w:rPr>
          <w:color w:val="231F20"/>
          <w:spacing w:val="-9"/>
          <w:w w:val="105"/>
          <w:vertAlign w:val="baseline"/>
        </w:rPr>
        <w:t> </w:t>
      </w:r>
      <w:r>
        <w:rPr>
          <w:color w:val="231F20"/>
          <w:w w:val="105"/>
          <w:vertAlign w:val="baseline"/>
        </w:rPr>
        <w:t>importance</w:t>
      </w:r>
      <w:r>
        <w:rPr>
          <w:color w:val="231F20"/>
          <w:spacing w:val="-9"/>
          <w:w w:val="105"/>
          <w:vertAlign w:val="baseline"/>
        </w:rPr>
        <w:t> </w:t>
      </w:r>
      <w:r>
        <w:rPr>
          <w:color w:val="231F20"/>
          <w:w w:val="105"/>
          <w:vertAlign w:val="baseline"/>
        </w:rPr>
        <w:t>in</w:t>
      </w:r>
      <w:r>
        <w:rPr>
          <w:color w:val="231F20"/>
          <w:spacing w:val="-9"/>
          <w:w w:val="105"/>
          <w:vertAlign w:val="baseline"/>
        </w:rPr>
        <w:t> </w:t>
      </w:r>
      <w:r>
        <w:rPr>
          <w:color w:val="231F20"/>
          <w:w w:val="105"/>
          <w:vertAlign w:val="baseline"/>
        </w:rPr>
        <w:t>regulating</w:t>
      </w:r>
      <w:r>
        <w:rPr>
          <w:color w:val="231F20"/>
          <w:spacing w:val="-9"/>
          <w:w w:val="105"/>
          <w:vertAlign w:val="baseline"/>
        </w:rPr>
        <w:t> </w:t>
      </w:r>
      <w:r>
        <w:rPr>
          <w:color w:val="231F20"/>
          <w:w w:val="105"/>
          <w:vertAlign w:val="baseline"/>
        </w:rPr>
        <w:t>renal</w:t>
      </w:r>
      <w:r>
        <w:rPr>
          <w:color w:val="231F20"/>
          <w:spacing w:val="-9"/>
          <w:w w:val="105"/>
          <w:vertAlign w:val="baseline"/>
        </w:rPr>
        <w:t> </w:t>
      </w:r>
      <w:r>
        <w:rPr>
          <w:color w:val="231F20"/>
          <w:w w:val="105"/>
          <w:vertAlign w:val="baseline"/>
        </w:rPr>
        <w:t>blood</w:t>
      </w:r>
      <w:r>
        <w:rPr>
          <w:color w:val="231F20"/>
          <w:spacing w:val="-9"/>
          <w:w w:val="105"/>
          <w:vertAlign w:val="baseline"/>
        </w:rPr>
        <w:t> </w:t>
      </w:r>
      <w:r>
        <w:rPr>
          <w:color w:val="231F20"/>
          <w:w w:val="105"/>
          <w:vertAlign w:val="baseline"/>
        </w:rPr>
        <w:t>flow</w:t>
      </w:r>
      <w:r>
        <w:rPr>
          <w:color w:val="231F20"/>
          <w:spacing w:val="-9"/>
          <w:w w:val="105"/>
          <w:vertAlign w:val="baseline"/>
        </w:rPr>
        <w:t> </w:t>
      </w:r>
      <w:r>
        <w:rPr>
          <w:color w:val="231F20"/>
          <w:w w:val="105"/>
          <w:vertAlign w:val="baseline"/>
        </w:rPr>
        <w:t>or GFR in normal conditions, they may dampen the renal vasoconstrictor effects of the sympathetic nerves or angiotensin II, especially their effects to constrict the afferent</w:t>
      </w:r>
      <w:r>
        <w:rPr>
          <w:color w:val="231F20"/>
          <w:spacing w:val="2"/>
          <w:w w:val="105"/>
          <w:vertAlign w:val="baseline"/>
        </w:rPr>
        <w:t> </w:t>
      </w:r>
      <w:r>
        <w:rPr>
          <w:color w:val="231F20"/>
          <w:w w:val="105"/>
          <w:vertAlign w:val="baseline"/>
        </w:rPr>
        <w:t>arterioles.</w:t>
      </w:r>
    </w:p>
    <w:p>
      <w:pPr>
        <w:pStyle w:val="BodyText"/>
        <w:spacing w:line="249" w:lineRule="auto" w:before="11"/>
        <w:ind w:left="319" w:right="1437" w:firstLine="240"/>
        <w:jc w:val="both"/>
      </w:pPr>
      <w:r>
        <w:rPr>
          <w:color w:val="231F20"/>
          <w:w w:val="105"/>
        </w:rPr>
        <w:t>By</w:t>
      </w:r>
      <w:r>
        <w:rPr>
          <w:color w:val="231F20"/>
          <w:spacing w:val="-30"/>
          <w:w w:val="105"/>
        </w:rPr>
        <w:t> </w:t>
      </w:r>
      <w:r>
        <w:rPr>
          <w:color w:val="231F20"/>
          <w:w w:val="105"/>
        </w:rPr>
        <w:t>opposing</w:t>
      </w:r>
      <w:r>
        <w:rPr>
          <w:color w:val="231F20"/>
          <w:spacing w:val="-30"/>
          <w:w w:val="105"/>
        </w:rPr>
        <w:t> </w:t>
      </w:r>
      <w:r>
        <w:rPr>
          <w:color w:val="231F20"/>
          <w:w w:val="105"/>
        </w:rPr>
        <w:t>vasoconstriction</w:t>
      </w:r>
      <w:r>
        <w:rPr>
          <w:color w:val="231F20"/>
          <w:spacing w:val="-29"/>
          <w:w w:val="105"/>
        </w:rPr>
        <w:t> </w:t>
      </w:r>
      <w:r>
        <w:rPr>
          <w:color w:val="231F20"/>
          <w:w w:val="105"/>
        </w:rPr>
        <w:t>of</w:t>
      </w:r>
      <w:r>
        <w:rPr>
          <w:color w:val="231F20"/>
          <w:spacing w:val="-30"/>
          <w:w w:val="105"/>
        </w:rPr>
        <w:t> </w:t>
      </w:r>
      <w:r>
        <w:rPr>
          <w:color w:val="231F20"/>
          <w:w w:val="105"/>
        </w:rPr>
        <w:t>afferent</w:t>
      </w:r>
      <w:r>
        <w:rPr>
          <w:color w:val="231F20"/>
          <w:spacing w:val="-29"/>
          <w:w w:val="105"/>
        </w:rPr>
        <w:t> </w:t>
      </w:r>
      <w:r>
        <w:rPr>
          <w:color w:val="231F20"/>
          <w:w w:val="105"/>
        </w:rPr>
        <w:t>arterioles,</w:t>
      </w:r>
      <w:r>
        <w:rPr>
          <w:color w:val="231F20"/>
          <w:spacing w:val="-30"/>
          <w:w w:val="105"/>
        </w:rPr>
        <w:t> </w:t>
      </w:r>
      <w:r>
        <w:rPr>
          <w:color w:val="231F20"/>
          <w:spacing w:val="-5"/>
          <w:w w:val="105"/>
        </w:rPr>
        <w:t>the </w:t>
      </w:r>
      <w:r>
        <w:rPr>
          <w:color w:val="231F20"/>
          <w:w w:val="105"/>
        </w:rPr>
        <w:t>prostaglandins</w:t>
      </w:r>
      <w:r>
        <w:rPr>
          <w:color w:val="231F20"/>
          <w:spacing w:val="-10"/>
          <w:w w:val="105"/>
        </w:rPr>
        <w:t> </w:t>
      </w:r>
      <w:r>
        <w:rPr>
          <w:color w:val="231F20"/>
          <w:w w:val="105"/>
        </w:rPr>
        <w:t>may</w:t>
      </w:r>
      <w:r>
        <w:rPr>
          <w:color w:val="231F20"/>
          <w:spacing w:val="-10"/>
          <w:w w:val="105"/>
        </w:rPr>
        <w:t> </w:t>
      </w:r>
      <w:r>
        <w:rPr>
          <w:color w:val="231F20"/>
          <w:w w:val="105"/>
        </w:rPr>
        <w:t>help</w:t>
      </w:r>
      <w:r>
        <w:rPr>
          <w:color w:val="231F20"/>
          <w:spacing w:val="-10"/>
          <w:w w:val="105"/>
        </w:rPr>
        <w:t> </w:t>
      </w:r>
      <w:r>
        <w:rPr>
          <w:color w:val="231F20"/>
          <w:w w:val="105"/>
        </w:rPr>
        <w:t>prevent</w:t>
      </w:r>
      <w:r>
        <w:rPr>
          <w:color w:val="231F20"/>
          <w:spacing w:val="-10"/>
          <w:w w:val="105"/>
        </w:rPr>
        <w:t> </w:t>
      </w:r>
      <w:r>
        <w:rPr>
          <w:color w:val="231F20"/>
          <w:w w:val="105"/>
        </w:rPr>
        <w:t>excessive</w:t>
      </w:r>
      <w:r>
        <w:rPr>
          <w:color w:val="231F20"/>
          <w:spacing w:val="-10"/>
          <w:w w:val="105"/>
        </w:rPr>
        <w:t> </w:t>
      </w:r>
      <w:r>
        <w:rPr>
          <w:color w:val="231F20"/>
          <w:w w:val="105"/>
        </w:rPr>
        <w:t>reductions</w:t>
      </w:r>
      <w:r>
        <w:rPr>
          <w:color w:val="231F20"/>
          <w:spacing w:val="-10"/>
          <w:w w:val="105"/>
        </w:rPr>
        <w:t> </w:t>
      </w:r>
      <w:r>
        <w:rPr>
          <w:color w:val="231F20"/>
          <w:w w:val="105"/>
        </w:rPr>
        <w:t>in GFR and renal blood </w:t>
      </w:r>
      <w:r>
        <w:rPr>
          <w:color w:val="231F20"/>
          <w:spacing w:val="-3"/>
          <w:w w:val="105"/>
        </w:rPr>
        <w:t>flow. </w:t>
      </w:r>
      <w:r>
        <w:rPr>
          <w:color w:val="231F20"/>
          <w:w w:val="105"/>
        </w:rPr>
        <w:t>Under stressful conditions, such</w:t>
      </w:r>
      <w:r>
        <w:rPr>
          <w:color w:val="231F20"/>
          <w:spacing w:val="-23"/>
          <w:w w:val="105"/>
        </w:rPr>
        <w:t> </w:t>
      </w:r>
      <w:r>
        <w:rPr>
          <w:color w:val="231F20"/>
          <w:w w:val="105"/>
        </w:rPr>
        <w:t>as</w:t>
      </w:r>
      <w:r>
        <w:rPr>
          <w:color w:val="231F20"/>
          <w:spacing w:val="-22"/>
          <w:w w:val="105"/>
        </w:rPr>
        <w:t> </w:t>
      </w:r>
      <w:r>
        <w:rPr>
          <w:color w:val="231F20"/>
          <w:w w:val="105"/>
        </w:rPr>
        <w:t>volume</w:t>
      </w:r>
      <w:r>
        <w:rPr>
          <w:color w:val="231F20"/>
          <w:spacing w:val="-22"/>
          <w:w w:val="105"/>
        </w:rPr>
        <w:t> </w:t>
      </w:r>
      <w:r>
        <w:rPr>
          <w:color w:val="231F20"/>
          <w:w w:val="105"/>
        </w:rPr>
        <w:t>depletion</w:t>
      </w:r>
      <w:r>
        <w:rPr>
          <w:color w:val="231F20"/>
          <w:spacing w:val="-22"/>
          <w:w w:val="105"/>
        </w:rPr>
        <w:t> </w:t>
      </w:r>
      <w:r>
        <w:rPr>
          <w:color w:val="231F20"/>
          <w:w w:val="105"/>
        </w:rPr>
        <w:t>or</w:t>
      </w:r>
      <w:r>
        <w:rPr>
          <w:color w:val="231F20"/>
          <w:spacing w:val="-22"/>
          <w:w w:val="105"/>
        </w:rPr>
        <w:t> </w:t>
      </w:r>
      <w:r>
        <w:rPr>
          <w:color w:val="231F20"/>
          <w:w w:val="105"/>
        </w:rPr>
        <w:t>after</w:t>
      </w:r>
      <w:r>
        <w:rPr>
          <w:color w:val="231F20"/>
          <w:spacing w:val="-22"/>
          <w:w w:val="105"/>
        </w:rPr>
        <w:t> </w:t>
      </w:r>
      <w:r>
        <w:rPr>
          <w:color w:val="231F20"/>
          <w:w w:val="105"/>
        </w:rPr>
        <w:t>surgery,</w:t>
      </w:r>
      <w:r>
        <w:rPr>
          <w:color w:val="231F20"/>
          <w:spacing w:val="-22"/>
          <w:w w:val="105"/>
        </w:rPr>
        <w:t> </w:t>
      </w:r>
      <w:r>
        <w:rPr>
          <w:color w:val="231F20"/>
          <w:w w:val="105"/>
        </w:rPr>
        <w:t>the</w:t>
      </w:r>
      <w:r>
        <w:rPr>
          <w:color w:val="231F20"/>
          <w:spacing w:val="-23"/>
          <w:w w:val="105"/>
        </w:rPr>
        <w:t> </w:t>
      </w:r>
      <w:r>
        <w:rPr>
          <w:color w:val="231F20"/>
          <w:w w:val="105"/>
        </w:rPr>
        <w:t>administra­ tion of nonsteroidal anti­inflammatory agents, such as aspirin, that inhibit prostaglandin synthesis may </w:t>
      </w:r>
      <w:r>
        <w:rPr>
          <w:color w:val="231F20"/>
          <w:spacing w:val="-3"/>
          <w:w w:val="105"/>
        </w:rPr>
        <w:t>cause </w:t>
      </w:r>
      <w:r>
        <w:rPr>
          <w:color w:val="231F20"/>
          <w:w w:val="105"/>
        </w:rPr>
        <w:t>significant reductions in</w:t>
      </w:r>
      <w:r>
        <w:rPr>
          <w:color w:val="231F20"/>
          <w:spacing w:val="4"/>
          <w:w w:val="105"/>
        </w:rPr>
        <w:t> </w:t>
      </w:r>
      <w:r>
        <w:rPr>
          <w:color w:val="231F20"/>
          <w:w w:val="105"/>
        </w:rPr>
        <w:t>GFR.</w:t>
      </w:r>
    </w:p>
    <w:p>
      <w:pPr>
        <w:pStyle w:val="BodyText"/>
        <w:spacing w:before="1"/>
        <w:rPr>
          <w:sz w:val="25"/>
        </w:rPr>
      </w:pPr>
      <w:r>
        <w:rPr/>
        <w:pict>
          <v:shape style="position:absolute;margin-left:306pt;margin-top:15.627555pt;width:234pt;height:28pt;mso-position-horizontal-relative:page;mso-position-vertical-relative:paragraph;z-index:-251343872;mso-wrap-distance-left:0;mso-wrap-distance-right:0" type="#_x0000_t202" filled="true" fillcolor="#e8dac8" stroked="false">
            <v:textbox inset="0,0,0,0">
              <w:txbxContent>
                <w:p>
                  <w:pPr>
                    <w:spacing w:line="225" w:lineRule="auto" w:before="46"/>
                    <w:ind w:left="60" w:right="1479" w:firstLine="0"/>
                    <w:jc w:val="left"/>
                    <w:rPr>
                      <w:rFonts w:ascii="Trebuchet MS"/>
                      <w:b/>
                      <w:sz w:val="22"/>
                    </w:rPr>
                  </w:pPr>
                  <w:r>
                    <w:rPr>
                      <w:rFonts w:ascii="Trebuchet MS"/>
                      <w:b/>
                      <w:color w:val="231F20"/>
                      <w:w w:val="110"/>
                      <w:sz w:val="22"/>
                    </w:rPr>
                    <w:t>AUTOREGULATION OF </w:t>
                  </w:r>
                  <w:r>
                    <w:rPr>
                      <w:rFonts w:ascii="Trebuchet MS"/>
                      <w:b/>
                      <w:color w:val="231F20"/>
                      <w:spacing w:val="-6"/>
                      <w:w w:val="110"/>
                      <w:sz w:val="22"/>
                    </w:rPr>
                    <w:t>GFR </w:t>
                  </w:r>
                  <w:r>
                    <w:rPr>
                      <w:rFonts w:ascii="Trebuchet MS"/>
                      <w:b/>
                      <w:color w:val="231F20"/>
                      <w:w w:val="110"/>
                      <w:sz w:val="22"/>
                    </w:rPr>
                    <w:t>AND RENAL BLOOD</w:t>
                  </w:r>
                  <w:r>
                    <w:rPr>
                      <w:rFonts w:ascii="Trebuchet MS"/>
                      <w:b/>
                      <w:color w:val="231F20"/>
                      <w:spacing w:val="58"/>
                      <w:w w:val="110"/>
                      <w:sz w:val="22"/>
                    </w:rPr>
                    <w:t> </w:t>
                  </w:r>
                  <w:r>
                    <w:rPr>
                      <w:rFonts w:ascii="Trebuchet MS"/>
                      <w:b/>
                      <w:color w:val="231F20"/>
                      <w:w w:val="110"/>
                      <w:sz w:val="22"/>
                    </w:rPr>
                    <w:t>FLOW</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299" w:right="1437"/>
        <w:jc w:val="right"/>
      </w:pPr>
      <w:r>
        <w:rPr>
          <w:color w:val="231F20"/>
          <w:w w:val="105"/>
        </w:rPr>
        <w:t>Feedback mechanisms intrinsic to the</w:t>
      </w:r>
      <w:r>
        <w:rPr>
          <w:color w:val="231F20"/>
          <w:spacing w:val="-8"/>
          <w:w w:val="105"/>
        </w:rPr>
        <w:t> </w:t>
      </w:r>
      <w:r>
        <w:rPr>
          <w:color w:val="231F20"/>
          <w:w w:val="105"/>
        </w:rPr>
        <w:t>kidneys</w:t>
      </w:r>
      <w:r>
        <w:rPr>
          <w:color w:val="231F20"/>
          <w:spacing w:val="-2"/>
          <w:w w:val="105"/>
        </w:rPr>
        <w:t> </w:t>
      </w:r>
      <w:r>
        <w:rPr>
          <w:color w:val="231F20"/>
          <w:w w:val="105"/>
        </w:rPr>
        <w:t>normally</w:t>
      </w:r>
      <w:r>
        <w:rPr>
          <w:color w:val="231F20"/>
          <w:w w:val="97"/>
        </w:rPr>
        <w:t> </w:t>
      </w:r>
      <w:r>
        <w:rPr>
          <w:color w:val="231F20"/>
          <w:w w:val="105"/>
        </w:rPr>
        <w:t>keep the renal blood flow and GFR</w:t>
      </w:r>
      <w:r>
        <w:rPr>
          <w:color w:val="231F20"/>
          <w:spacing w:val="15"/>
          <w:w w:val="105"/>
        </w:rPr>
        <w:t> </w:t>
      </w:r>
      <w:r>
        <w:rPr>
          <w:color w:val="231F20"/>
          <w:w w:val="105"/>
        </w:rPr>
        <w:t>relatively</w:t>
      </w:r>
      <w:r>
        <w:rPr>
          <w:color w:val="231F20"/>
          <w:spacing w:val="9"/>
          <w:w w:val="105"/>
        </w:rPr>
        <w:t> </w:t>
      </w:r>
      <w:r>
        <w:rPr>
          <w:color w:val="231F20"/>
          <w:spacing w:val="-3"/>
          <w:w w:val="105"/>
        </w:rPr>
        <w:t>constant,</w:t>
      </w:r>
      <w:r>
        <w:rPr>
          <w:color w:val="231F20"/>
          <w:w w:val="88"/>
        </w:rPr>
        <w:t> </w:t>
      </w:r>
      <w:r>
        <w:rPr>
          <w:color w:val="231F20"/>
          <w:w w:val="105"/>
        </w:rPr>
        <w:t>despite</w:t>
      </w:r>
      <w:r>
        <w:rPr>
          <w:color w:val="231F20"/>
          <w:spacing w:val="-13"/>
          <w:w w:val="105"/>
        </w:rPr>
        <w:t> </w:t>
      </w:r>
      <w:r>
        <w:rPr>
          <w:color w:val="231F20"/>
          <w:w w:val="105"/>
        </w:rPr>
        <w:t>marked</w:t>
      </w:r>
      <w:r>
        <w:rPr>
          <w:color w:val="231F20"/>
          <w:spacing w:val="-12"/>
          <w:w w:val="105"/>
        </w:rPr>
        <w:t> </w:t>
      </w:r>
      <w:r>
        <w:rPr>
          <w:color w:val="231F20"/>
          <w:w w:val="105"/>
        </w:rPr>
        <w:t>changes</w:t>
      </w:r>
      <w:r>
        <w:rPr>
          <w:color w:val="231F20"/>
          <w:spacing w:val="-12"/>
          <w:w w:val="105"/>
        </w:rPr>
        <w:t> </w:t>
      </w:r>
      <w:r>
        <w:rPr>
          <w:color w:val="231F20"/>
          <w:w w:val="105"/>
        </w:rPr>
        <w:t>in</w:t>
      </w:r>
      <w:r>
        <w:rPr>
          <w:color w:val="231F20"/>
          <w:spacing w:val="-13"/>
          <w:w w:val="105"/>
        </w:rPr>
        <w:t> </w:t>
      </w:r>
      <w:r>
        <w:rPr>
          <w:color w:val="231F20"/>
          <w:w w:val="105"/>
        </w:rPr>
        <w:t>arterial</w:t>
      </w:r>
      <w:r>
        <w:rPr>
          <w:color w:val="231F20"/>
          <w:spacing w:val="-12"/>
          <w:w w:val="105"/>
        </w:rPr>
        <w:t> </w:t>
      </w:r>
      <w:r>
        <w:rPr>
          <w:color w:val="231F20"/>
          <w:w w:val="105"/>
        </w:rPr>
        <w:t>blood</w:t>
      </w:r>
      <w:r>
        <w:rPr>
          <w:color w:val="231F20"/>
          <w:spacing w:val="-12"/>
          <w:w w:val="105"/>
        </w:rPr>
        <w:t> </w:t>
      </w:r>
      <w:r>
        <w:rPr>
          <w:color w:val="231F20"/>
          <w:w w:val="105"/>
        </w:rPr>
        <w:t>pressure.</w:t>
      </w:r>
      <w:r>
        <w:rPr>
          <w:color w:val="231F20"/>
          <w:spacing w:val="-12"/>
          <w:w w:val="105"/>
        </w:rPr>
        <w:t> </w:t>
      </w:r>
      <w:r>
        <w:rPr>
          <w:color w:val="231F20"/>
          <w:w w:val="105"/>
        </w:rPr>
        <w:t>These</w:t>
      </w:r>
      <w:r>
        <w:rPr>
          <w:color w:val="231F20"/>
          <w:w w:val="100"/>
        </w:rPr>
        <w:t> </w:t>
      </w:r>
      <w:r>
        <w:rPr>
          <w:color w:val="231F20"/>
          <w:w w:val="105"/>
        </w:rPr>
        <w:t>mechanisms</w:t>
      </w:r>
      <w:r>
        <w:rPr>
          <w:color w:val="231F20"/>
          <w:spacing w:val="-16"/>
          <w:w w:val="105"/>
        </w:rPr>
        <w:t> </w:t>
      </w:r>
      <w:r>
        <w:rPr>
          <w:color w:val="231F20"/>
          <w:w w:val="105"/>
        </w:rPr>
        <w:t>still</w:t>
      </w:r>
      <w:r>
        <w:rPr>
          <w:color w:val="231F20"/>
          <w:spacing w:val="-15"/>
          <w:w w:val="105"/>
        </w:rPr>
        <w:t> </w:t>
      </w:r>
      <w:r>
        <w:rPr>
          <w:color w:val="231F20"/>
          <w:w w:val="105"/>
        </w:rPr>
        <w:t>function</w:t>
      </w:r>
      <w:r>
        <w:rPr>
          <w:color w:val="231F20"/>
          <w:spacing w:val="-15"/>
          <w:w w:val="105"/>
        </w:rPr>
        <w:t> </w:t>
      </w:r>
      <w:r>
        <w:rPr>
          <w:color w:val="231F20"/>
          <w:w w:val="105"/>
        </w:rPr>
        <w:t>in</w:t>
      </w:r>
      <w:r>
        <w:rPr>
          <w:color w:val="231F20"/>
          <w:spacing w:val="-15"/>
          <w:w w:val="105"/>
        </w:rPr>
        <w:t> </w:t>
      </w:r>
      <w:r>
        <w:rPr>
          <w:color w:val="231F20"/>
          <w:w w:val="105"/>
        </w:rPr>
        <w:t>blood­perfused</w:t>
      </w:r>
      <w:r>
        <w:rPr>
          <w:color w:val="231F20"/>
          <w:spacing w:val="-16"/>
          <w:w w:val="105"/>
        </w:rPr>
        <w:t> </w:t>
      </w:r>
      <w:r>
        <w:rPr>
          <w:color w:val="231F20"/>
          <w:w w:val="105"/>
        </w:rPr>
        <w:t>kidneys</w:t>
      </w:r>
      <w:r>
        <w:rPr>
          <w:color w:val="231F20"/>
          <w:spacing w:val="-15"/>
          <w:w w:val="105"/>
        </w:rPr>
        <w:t> </w:t>
      </w:r>
      <w:r>
        <w:rPr>
          <w:color w:val="231F20"/>
          <w:spacing w:val="-4"/>
          <w:w w:val="105"/>
        </w:rPr>
        <w:t>that</w:t>
      </w:r>
      <w:r>
        <w:rPr>
          <w:color w:val="231F20"/>
          <w:w w:val="116"/>
        </w:rPr>
        <w:t> </w:t>
      </w:r>
      <w:r>
        <w:rPr>
          <w:color w:val="231F20"/>
          <w:w w:val="105"/>
        </w:rPr>
        <w:t>have been removed from the body, independent</w:t>
      </w:r>
      <w:r>
        <w:rPr>
          <w:color w:val="231F20"/>
          <w:spacing w:val="39"/>
          <w:w w:val="105"/>
        </w:rPr>
        <w:t> </w:t>
      </w:r>
      <w:r>
        <w:rPr>
          <w:color w:val="231F20"/>
          <w:w w:val="105"/>
        </w:rPr>
        <w:t>of</w:t>
      </w:r>
      <w:r>
        <w:rPr>
          <w:color w:val="231F20"/>
          <w:spacing w:val="5"/>
          <w:w w:val="105"/>
        </w:rPr>
        <w:t> </w:t>
      </w:r>
      <w:r>
        <w:rPr>
          <w:color w:val="231F20"/>
          <w:w w:val="105"/>
        </w:rPr>
        <w:t>sys­</w:t>
      </w:r>
      <w:r>
        <w:rPr>
          <w:color w:val="231F20"/>
          <w:w w:val="109"/>
        </w:rPr>
        <w:t> </w:t>
      </w:r>
      <w:r>
        <w:rPr>
          <w:color w:val="231F20"/>
          <w:w w:val="105"/>
        </w:rPr>
        <w:t>temic</w:t>
      </w:r>
      <w:r>
        <w:rPr>
          <w:color w:val="231F20"/>
          <w:spacing w:val="-35"/>
          <w:w w:val="105"/>
        </w:rPr>
        <w:t> </w:t>
      </w:r>
      <w:r>
        <w:rPr>
          <w:color w:val="231F20"/>
          <w:w w:val="105"/>
        </w:rPr>
        <w:t>influences.</w:t>
      </w:r>
      <w:r>
        <w:rPr>
          <w:color w:val="231F20"/>
          <w:spacing w:val="-35"/>
          <w:w w:val="105"/>
        </w:rPr>
        <w:t> </w:t>
      </w:r>
      <w:r>
        <w:rPr>
          <w:color w:val="231F20"/>
          <w:w w:val="105"/>
        </w:rPr>
        <w:t>This</w:t>
      </w:r>
      <w:r>
        <w:rPr>
          <w:color w:val="231F20"/>
          <w:spacing w:val="-35"/>
          <w:w w:val="105"/>
        </w:rPr>
        <w:t> </w:t>
      </w:r>
      <w:r>
        <w:rPr>
          <w:color w:val="231F20"/>
          <w:w w:val="105"/>
        </w:rPr>
        <w:t>relative</w:t>
      </w:r>
      <w:r>
        <w:rPr>
          <w:color w:val="231F20"/>
          <w:spacing w:val="-35"/>
          <w:w w:val="105"/>
        </w:rPr>
        <w:t> </w:t>
      </w:r>
      <w:r>
        <w:rPr>
          <w:color w:val="231F20"/>
          <w:w w:val="105"/>
        </w:rPr>
        <w:t>constancy</w:t>
      </w:r>
      <w:r>
        <w:rPr>
          <w:color w:val="231F20"/>
          <w:spacing w:val="-35"/>
          <w:w w:val="105"/>
        </w:rPr>
        <w:t> </w:t>
      </w:r>
      <w:r>
        <w:rPr>
          <w:color w:val="231F20"/>
          <w:w w:val="105"/>
        </w:rPr>
        <w:t>of</w:t>
      </w:r>
      <w:r>
        <w:rPr>
          <w:color w:val="231F20"/>
          <w:spacing w:val="-35"/>
          <w:w w:val="105"/>
        </w:rPr>
        <w:t> </w:t>
      </w:r>
      <w:r>
        <w:rPr>
          <w:color w:val="231F20"/>
          <w:w w:val="105"/>
        </w:rPr>
        <w:t>GFR</w:t>
      </w:r>
      <w:r>
        <w:rPr>
          <w:color w:val="231F20"/>
          <w:spacing w:val="-35"/>
          <w:w w:val="105"/>
        </w:rPr>
        <w:t> </w:t>
      </w:r>
      <w:r>
        <w:rPr>
          <w:color w:val="231F20"/>
          <w:w w:val="105"/>
        </w:rPr>
        <w:t>and</w:t>
      </w:r>
      <w:r>
        <w:rPr>
          <w:color w:val="231F20"/>
          <w:spacing w:val="-35"/>
          <w:w w:val="105"/>
        </w:rPr>
        <w:t> </w:t>
      </w:r>
      <w:r>
        <w:rPr>
          <w:color w:val="231F20"/>
          <w:w w:val="105"/>
        </w:rPr>
        <w:t>renal</w:t>
      </w:r>
      <w:r>
        <w:rPr>
          <w:color w:val="231F20"/>
          <w:w w:val="101"/>
        </w:rPr>
        <w:t> </w:t>
      </w:r>
      <w:r>
        <w:rPr>
          <w:color w:val="231F20"/>
          <w:w w:val="105"/>
        </w:rPr>
        <w:t>blood</w:t>
      </w:r>
      <w:r>
        <w:rPr>
          <w:color w:val="231F20"/>
          <w:spacing w:val="-23"/>
          <w:w w:val="105"/>
        </w:rPr>
        <w:t> </w:t>
      </w:r>
      <w:r>
        <w:rPr>
          <w:color w:val="231F20"/>
          <w:w w:val="105"/>
        </w:rPr>
        <w:t>flow</w:t>
      </w:r>
      <w:r>
        <w:rPr>
          <w:color w:val="231F20"/>
          <w:spacing w:val="-22"/>
          <w:w w:val="105"/>
        </w:rPr>
        <w:t> </w:t>
      </w:r>
      <w:r>
        <w:rPr>
          <w:color w:val="231F20"/>
          <w:w w:val="105"/>
        </w:rPr>
        <w:t>is</w:t>
      </w:r>
      <w:r>
        <w:rPr>
          <w:color w:val="231F20"/>
          <w:spacing w:val="-22"/>
          <w:w w:val="105"/>
        </w:rPr>
        <w:t> </w:t>
      </w:r>
      <w:r>
        <w:rPr>
          <w:color w:val="231F20"/>
          <w:w w:val="105"/>
        </w:rPr>
        <w:t>referred</w:t>
      </w:r>
      <w:r>
        <w:rPr>
          <w:color w:val="231F20"/>
          <w:spacing w:val="-22"/>
          <w:w w:val="105"/>
        </w:rPr>
        <w:t> </w:t>
      </w:r>
      <w:r>
        <w:rPr>
          <w:color w:val="231F20"/>
          <w:w w:val="105"/>
        </w:rPr>
        <w:t>to</w:t>
      </w:r>
      <w:r>
        <w:rPr>
          <w:color w:val="231F20"/>
          <w:spacing w:val="-22"/>
          <w:w w:val="105"/>
        </w:rPr>
        <w:t> </w:t>
      </w:r>
      <w:r>
        <w:rPr>
          <w:color w:val="231F20"/>
          <w:w w:val="105"/>
        </w:rPr>
        <w:t>as</w:t>
      </w:r>
      <w:r>
        <w:rPr>
          <w:color w:val="231F20"/>
          <w:spacing w:val="-22"/>
          <w:w w:val="105"/>
        </w:rPr>
        <w:t> </w:t>
      </w:r>
      <w:r>
        <w:rPr>
          <w:i/>
          <w:color w:val="231F20"/>
          <w:w w:val="105"/>
        </w:rPr>
        <w:t>autoregulation</w:t>
      </w:r>
      <w:r>
        <w:rPr>
          <w:i/>
          <w:color w:val="231F20"/>
          <w:spacing w:val="-22"/>
          <w:w w:val="105"/>
        </w:rPr>
        <w:t> </w:t>
      </w:r>
      <w:r>
        <w:rPr>
          <w:color w:val="231F20"/>
          <w:w w:val="105"/>
        </w:rPr>
        <w:t>(</w:t>
      </w:r>
      <w:hyperlink w:history="true" w:anchor="_bookmark35">
        <w:r>
          <w:rPr>
            <w:b/>
            <w:color w:val="0080AC"/>
            <w:w w:val="105"/>
          </w:rPr>
          <w:t>Figure</w:t>
        </w:r>
        <w:r>
          <w:rPr>
            <w:b/>
            <w:color w:val="0080AC"/>
            <w:spacing w:val="-23"/>
            <w:w w:val="105"/>
          </w:rPr>
          <w:t> </w:t>
        </w:r>
        <w:r>
          <w:rPr>
            <w:b/>
            <w:color w:val="0080AC"/>
            <w:w w:val="105"/>
          </w:rPr>
          <w:t>27-9</w:t>
        </w:r>
      </w:hyperlink>
      <w:r>
        <w:rPr>
          <w:color w:val="231F20"/>
          <w:w w:val="105"/>
        </w:rPr>
        <w:t>).</w:t>
      </w:r>
      <w:r>
        <w:rPr>
          <w:color w:val="231F20"/>
          <w:w w:val="93"/>
        </w:rPr>
        <w:t> </w:t>
      </w:r>
      <w:r>
        <w:rPr>
          <w:color w:val="231F20"/>
          <w:w w:val="105"/>
        </w:rPr>
        <w:t>The primary function of blood flow</w:t>
      </w:r>
      <w:r>
        <w:rPr>
          <w:color w:val="231F20"/>
          <w:spacing w:val="-33"/>
          <w:w w:val="105"/>
        </w:rPr>
        <w:t> </w:t>
      </w:r>
      <w:r>
        <w:rPr>
          <w:color w:val="231F20"/>
          <w:w w:val="105"/>
        </w:rPr>
        <w:t>autoregulation</w:t>
      </w:r>
      <w:r>
        <w:rPr>
          <w:color w:val="231F20"/>
          <w:spacing w:val="-6"/>
          <w:w w:val="105"/>
        </w:rPr>
        <w:t> </w:t>
      </w:r>
      <w:r>
        <w:rPr>
          <w:color w:val="231F20"/>
          <w:w w:val="105"/>
        </w:rPr>
        <w:t>in</w:t>
      </w:r>
      <w:r>
        <w:rPr>
          <w:color w:val="231F20"/>
          <w:w w:val="103"/>
        </w:rPr>
        <w:t> </w:t>
      </w:r>
      <w:r>
        <w:rPr>
          <w:color w:val="231F20"/>
          <w:w w:val="105"/>
        </w:rPr>
        <w:t>most</w:t>
      </w:r>
      <w:r>
        <w:rPr>
          <w:color w:val="231F20"/>
          <w:spacing w:val="26"/>
          <w:w w:val="105"/>
        </w:rPr>
        <w:t> </w:t>
      </w:r>
      <w:r>
        <w:rPr>
          <w:color w:val="231F20"/>
          <w:w w:val="105"/>
        </w:rPr>
        <w:t>tissues</w:t>
      </w:r>
      <w:r>
        <w:rPr>
          <w:color w:val="231F20"/>
          <w:spacing w:val="27"/>
          <w:w w:val="105"/>
        </w:rPr>
        <w:t> </w:t>
      </w:r>
      <w:r>
        <w:rPr>
          <w:color w:val="231F20"/>
          <w:w w:val="105"/>
        </w:rPr>
        <w:t>other</w:t>
      </w:r>
      <w:r>
        <w:rPr>
          <w:color w:val="231F20"/>
          <w:spacing w:val="27"/>
          <w:w w:val="105"/>
        </w:rPr>
        <w:t> </w:t>
      </w:r>
      <w:r>
        <w:rPr>
          <w:color w:val="231F20"/>
          <w:w w:val="105"/>
        </w:rPr>
        <w:t>than</w:t>
      </w:r>
      <w:r>
        <w:rPr>
          <w:color w:val="231F20"/>
          <w:spacing w:val="27"/>
          <w:w w:val="105"/>
        </w:rPr>
        <w:t> </w:t>
      </w:r>
      <w:r>
        <w:rPr>
          <w:color w:val="231F20"/>
          <w:w w:val="105"/>
        </w:rPr>
        <w:t>the</w:t>
      </w:r>
      <w:r>
        <w:rPr>
          <w:color w:val="231F20"/>
          <w:spacing w:val="27"/>
          <w:w w:val="105"/>
        </w:rPr>
        <w:t> </w:t>
      </w:r>
      <w:r>
        <w:rPr>
          <w:color w:val="231F20"/>
          <w:w w:val="105"/>
        </w:rPr>
        <w:t>kidneys</w:t>
      </w:r>
      <w:r>
        <w:rPr>
          <w:color w:val="231F20"/>
          <w:spacing w:val="27"/>
          <w:w w:val="105"/>
        </w:rPr>
        <w:t> </w:t>
      </w:r>
      <w:r>
        <w:rPr>
          <w:color w:val="231F20"/>
          <w:w w:val="105"/>
        </w:rPr>
        <w:t>is</w:t>
      </w:r>
      <w:r>
        <w:rPr>
          <w:color w:val="231F20"/>
          <w:spacing w:val="27"/>
          <w:w w:val="105"/>
        </w:rPr>
        <w:t> </w:t>
      </w:r>
      <w:r>
        <w:rPr>
          <w:color w:val="231F20"/>
          <w:w w:val="105"/>
        </w:rPr>
        <w:t>to</w:t>
      </w:r>
      <w:r>
        <w:rPr>
          <w:color w:val="231F20"/>
          <w:spacing w:val="27"/>
          <w:w w:val="105"/>
        </w:rPr>
        <w:t> </w:t>
      </w:r>
      <w:r>
        <w:rPr>
          <w:color w:val="231F20"/>
          <w:w w:val="105"/>
        </w:rPr>
        <w:t>maintain</w:t>
      </w:r>
      <w:r>
        <w:rPr>
          <w:color w:val="231F20"/>
          <w:spacing w:val="27"/>
          <w:w w:val="105"/>
        </w:rPr>
        <w:t> </w:t>
      </w:r>
      <w:r>
        <w:rPr>
          <w:color w:val="231F20"/>
          <w:spacing w:val="-6"/>
          <w:w w:val="105"/>
        </w:rPr>
        <w:t>the</w:t>
      </w:r>
      <w:r>
        <w:rPr>
          <w:color w:val="231F20"/>
          <w:w w:val="104"/>
        </w:rPr>
        <w:t> </w:t>
      </w:r>
      <w:r>
        <w:rPr>
          <w:color w:val="231F20"/>
          <w:w w:val="105"/>
        </w:rPr>
        <w:t>delivery</w:t>
      </w:r>
      <w:r>
        <w:rPr>
          <w:color w:val="231F20"/>
          <w:spacing w:val="-9"/>
          <w:w w:val="105"/>
        </w:rPr>
        <w:t> </w:t>
      </w:r>
      <w:r>
        <w:rPr>
          <w:color w:val="231F20"/>
          <w:w w:val="105"/>
        </w:rPr>
        <w:t>of</w:t>
      </w:r>
      <w:r>
        <w:rPr>
          <w:color w:val="231F20"/>
          <w:spacing w:val="-9"/>
          <w:w w:val="105"/>
        </w:rPr>
        <w:t> </w:t>
      </w:r>
      <w:r>
        <w:rPr>
          <w:color w:val="231F20"/>
          <w:w w:val="105"/>
        </w:rPr>
        <w:t>oxygen</w:t>
      </w:r>
      <w:r>
        <w:rPr>
          <w:color w:val="231F20"/>
          <w:spacing w:val="-9"/>
          <w:w w:val="105"/>
        </w:rPr>
        <w:t> </w:t>
      </w:r>
      <w:r>
        <w:rPr>
          <w:color w:val="231F20"/>
          <w:w w:val="105"/>
        </w:rPr>
        <w:t>and</w:t>
      </w:r>
      <w:r>
        <w:rPr>
          <w:color w:val="231F20"/>
          <w:spacing w:val="-9"/>
          <w:w w:val="105"/>
        </w:rPr>
        <w:t> </w:t>
      </w:r>
      <w:r>
        <w:rPr>
          <w:color w:val="231F20"/>
          <w:w w:val="105"/>
        </w:rPr>
        <w:t>nutrients</w:t>
      </w:r>
      <w:r>
        <w:rPr>
          <w:color w:val="231F20"/>
          <w:spacing w:val="-8"/>
          <w:w w:val="105"/>
        </w:rPr>
        <w:t> </w:t>
      </w:r>
      <w:r>
        <w:rPr>
          <w:color w:val="231F20"/>
          <w:w w:val="105"/>
        </w:rPr>
        <w:t>at</w:t>
      </w:r>
      <w:r>
        <w:rPr>
          <w:color w:val="231F20"/>
          <w:spacing w:val="-9"/>
          <w:w w:val="105"/>
        </w:rPr>
        <w:t> </w:t>
      </w:r>
      <w:r>
        <w:rPr>
          <w:color w:val="231F20"/>
          <w:w w:val="105"/>
        </w:rPr>
        <w:t>a</w:t>
      </w:r>
      <w:r>
        <w:rPr>
          <w:color w:val="231F20"/>
          <w:spacing w:val="-9"/>
          <w:w w:val="105"/>
        </w:rPr>
        <w:t> </w:t>
      </w:r>
      <w:r>
        <w:rPr>
          <w:color w:val="231F20"/>
          <w:w w:val="105"/>
        </w:rPr>
        <w:t>normal</w:t>
      </w:r>
      <w:r>
        <w:rPr>
          <w:color w:val="231F20"/>
          <w:spacing w:val="-9"/>
          <w:w w:val="105"/>
        </w:rPr>
        <w:t> </w:t>
      </w:r>
      <w:r>
        <w:rPr>
          <w:color w:val="231F20"/>
          <w:w w:val="105"/>
        </w:rPr>
        <w:t>level</w:t>
      </w:r>
      <w:r>
        <w:rPr>
          <w:color w:val="231F20"/>
          <w:spacing w:val="-8"/>
          <w:w w:val="105"/>
        </w:rPr>
        <w:t> </w:t>
      </w:r>
      <w:r>
        <w:rPr>
          <w:color w:val="231F20"/>
          <w:w w:val="105"/>
        </w:rPr>
        <w:t>and</w:t>
      </w:r>
      <w:r>
        <w:rPr>
          <w:color w:val="231F20"/>
          <w:spacing w:val="-9"/>
          <w:w w:val="105"/>
        </w:rPr>
        <w:t> </w:t>
      </w:r>
      <w:r>
        <w:rPr>
          <w:color w:val="231F20"/>
          <w:w w:val="105"/>
        </w:rPr>
        <w:t>to</w:t>
      </w:r>
      <w:r>
        <w:rPr>
          <w:color w:val="231F20"/>
          <w:w w:val="103"/>
        </w:rPr>
        <w:t> </w:t>
      </w:r>
      <w:r>
        <w:rPr>
          <w:color w:val="231F20"/>
          <w:w w:val="105"/>
        </w:rPr>
        <w:t>remove</w:t>
      </w:r>
      <w:r>
        <w:rPr>
          <w:color w:val="231F20"/>
          <w:spacing w:val="25"/>
          <w:w w:val="105"/>
        </w:rPr>
        <w:t> </w:t>
      </w:r>
      <w:r>
        <w:rPr>
          <w:color w:val="231F20"/>
          <w:w w:val="105"/>
        </w:rPr>
        <w:t>the</w:t>
      </w:r>
      <w:r>
        <w:rPr>
          <w:color w:val="231F20"/>
          <w:spacing w:val="25"/>
          <w:w w:val="105"/>
        </w:rPr>
        <w:t> </w:t>
      </w:r>
      <w:r>
        <w:rPr>
          <w:color w:val="231F20"/>
          <w:w w:val="105"/>
        </w:rPr>
        <w:t>waste</w:t>
      </w:r>
      <w:r>
        <w:rPr>
          <w:color w:val="231F20"/>
          <w:spacing w:val="25"/>
          <w:w w:val="105"/>
        </w:rPr>
        <w:t> </w:t>
      </w:r>
      <w:r>
        <w:rPr>
          <w:color w:val="231F20"/>
          <w:w w:val="105"/>
        </w:rPr>
        <w:t>products</w:t>
      </w:r>
      <w:r>
        <w:rPr>
          <w:color w:val="231F20"/>
          <w:spacing w:val="25"/>
          <w:w w:val="105"/>
        </w:rPr>
        <w:t> </w:t>
      </w:r>
      <w:r>
        <w:rPr>
          <w:color w:val="231F20"/>
          <w:w w:val="105"/>
        </w:rPr>
        <w:t>of</w:t>
      </w:r>
      <w:r>
        <w:rPr>
          <w:color w:val="231F20"/>
          <w:spacing w:val="25"/>
          <w:w w:val="105"/>
        </w:rPr>
        <w:t> </w:t>
      </w:r>
      <w:r>
        <w:rPr>
          <w:color w:val="231F20"/>
          <w:w w:val="105"/>
        </w:rPr>
        <w:t>metabolism,</w:t>
      </w:r>
      <w:r>
        <w:rPr>
          <w:color w:val="231F20"/>
          <w:spacing w:val="25"/>
          <w:w w:val="105"/>
        </w:rPr>
        <w:t> </w:t>
      </w:r>
      <w:r>
        <w:rPr>
          <w:color w:val="231F20"/>
          <w:w w:val="105"/>
        </w:rPr>
        <w:t>despite</w:t>
      </w:r>
      <w:r>
        <w:rPr>
          <w:color w:val="231F20"/>
          <w:w w:val="100"/>
        </w:rPr>
        <w:t> </w:t>
      </w:r>
      <w:r>
        <w:rPr>
          <w:color w:val="231F20"/>
          <w:w w:val="105"/>
        </w:rPr>
        <w:t>changes</w:t>
      </w:r>
      <w:r>
        <w:rPr>
          <w:color w:val="231F20"/>
          <w:spacing w:val="-27"/>
          <w:w w:val="105"/>
        </w:rPr>
        <w:t> </w:t>
      </w:r>
      <w:r>
        <w:rPr>
          <w:color w:val="231F20"/>
          <w:w w:val="105"/>
        </w:rPr>
        <w:t>in</w:t>
      </w:r>
      <w:r>
        <w:rPr>
          <w:color w:val="231F20"/>
          <w:spacing w:val="-26"/>
          <w:w w:val="105"/>
        </w:rPr>
        <w:t> </w:t>
      </w:r>
      <w:r>
        <w:rPr>
          <w:color w:val="231F20"/>
          <w:w w:val="105"/>
        </w:rPr>
        <w:t>the</w:t>
      </w:r>
      <w:r>
        <w:rPr>
          <w:color w:val="231F20"/>
          <w:spacing w:val="-26"/>
          <w:w w:val="105"/>
        </w:rPr>
        <w:t> </w:t>
      </w:r>
      <w:r>
        <w:rPr>
          <w:color w:val="231F20"/>
          <w:w w:val="105"/>
        </w:rPr>
        <w:t>arterial</w:t>
      </w:r>
      <w:r>
        <w:rPr>
          <w:color w:val="231F20"/>
          <w:spacing w:val="-26"/>
          <w:w w:val="105"/>
        </w:rPr>
        <w:t> </w:t>
      </w:r>
      <w:r>
        <w:rPr>
          <w:color w:val="231F20"/>
          <w:w w:val="105"/>
        </w:rPr>
        <w:t>pressure.</w:t>
      </w:r>
      <w:r>
        <w:rPr>
          <w:color w:val="231F20"/>
          <w:spacing w:val="-26"/>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kidneys,</w:t>
      </w:r>
      <w:r>
        <w:rPr>
          <w:color w:val="231F20"/>
          <w:spacing w:val="-26"/>
          <w:w w:val="105"/>
        </w:rPr>
        <w:t> </w:t>
      </w:r>
      <w:r>
        <w:rPr>
          <w:color w:val="231F20"/>
          <w:w w:val="105"/>
        </w:rPr>
        <w:t>the</w:t>
      </w:r>
      <w:r>
        <w:rPr>
          <w:color w:val="231F20"/>
          <w:spacing w:val="-26"/>
          <w:w w:val="105"/>
        </w:rPr>
        <w:t> </w:t>
      </w:r>
      <w:r>
        <w:rPr>
          <w:color w:val="231F20"/>
          <w:w w:val="105"/>
        </w:rPr>
        <w:t>normal</w:t>
      </w:r>
      <w:r>
        <w:rPr>
          <w:color w:val="231F20"/>
          <w:w w:val="101"/>
        </w:rPr>
        <w:t> </w:t>
      </w:r>
      <w:r>
        <w:rPr>
          <w:color w:val="231F20"/>
          <w:w w:val="105"/>
        </w:rPr>
        <w:t>blood</w:t>
      </w:r>
      <w:r>
        <w:rPr>
          <w:color w:val="231F20"/>
          <w:spacing w:val="14"/>
          <w:w w:val="105"/>
        </w:rPr>
        <w:t> </w:t>
      </w:r>
      <w:r>
        <w:rPr>
          <w:color w:val="231F20"/>
          <w:w w:val="105"/>
        </w:rPr>
        <w:t>flow</w:t>
      </w:r>
      <w:r>
        <w:rPr>
          <w:color w:val="231F20"/>
          <w:spacing w:val="15"/>
          <w:w w:val="105"/>
        </w:rPr>
        <w:t> </w:t>
      </w:r>
      <w:r>
        <w:rPr>
          <w:color w:val="231F20"/>
          <w:w w:val="105"/>
        </w:rPr>
        <w:t>is</w:t>
      </w:r>
      <w:r>
        <w:rPr>
          <w:color w:val="231F20"/>
          <w:spacing w:val="15"/>
          <w:w w:val="105"/>
        </w:rPr>
        <w:t> </w:t>
      </w:r>
      <w:r>
        <w:rPr>
          <w:color w:val="231F20"/>
          <w:w w:val="105"/>
        </w:rPr>
        <w:t>much</w:t>
      </w:r>
      <w:r>
        <w:rPr>
          <w:color w:val="231F20"/>
          <w:spacing w:val="15"/>
          <w:w w:val="105"/>
        </w:rPr>
        <w:t> </w:t>
      </w:r>
      <w:r>
        <w:rPr>
          <w:color w:val="231F20"/>
          <w:w w:val="105"/>
        </w:rPr>
        <w:t>higher</w:t>
      </w:r>
      <w:r>
        <w:rPr>
          <w:color w:val="231F20"/>
          <w:spacing w:val="15"/>
          <w:w w:val="105"/>
        </w:rPr>
        <w:t> </w:t>
      </w:r>
      <w:r>
        <w:rPr>
          <w:color w:val="231F20"/>
          <w:w w:val="105"/>
        </w:rPr>
        <w:t>than</w:t>
      </w:r>
      <w:r>
        <w:rPr>
          <w:color w:val="231F20"/>
          <w:spacing w:val="15"/>
          <w:w w:val="105"/>
        </w:rPr>
        <w:t> </w:t>
      </w:r>
      <w:r>
        <w:rPr>
          <w:color w:val="231F20"/>
          <w:w w:val="105"/>
        </w:rPr>
        <w:t>that</w:t>
      </w:r>
      <w:r>
        <w:rPr>
          <w:color w:val="231F20"/>
          <w:spacing w:val="15"/>
          <w:w w:val="105"/>
        </w:rPr>
        <w:t> </w:t>
      </w:r>
      <w:r>
        <w:rPr>
          <w:color w:val="231F20"/>
          <w:w w:val="105"/>
        </w:rPr>
        <w:t>required</w:t>
      </w:r>
      <w:r>
        <w:rPr>
          <w:color w:val="231F20"/>
          <w:spacing w:val="15"/>
          <w:w w:val="105"/>
        </w:rPr>
        <w:t> </w:t>
      </w:r>
      <w:r>
        <w:rPr>
          <w:color w:val="231F20"/>
          <w:w w:val="105"/>
        </w:rPr>
        <w:t>for</w:t>
      </w:r>
      <w:r>
        <w:rPr>
          <w:color w:val="231F20"/>
          <w:spacing w:val="15"/>
          <w:w w:val="105"/>
        </w:rPr>
        <w:t> </w:t>
      </w:r>
      <w:r>
        <w:rPr>
          <w:color w:val="231F20"/>
          <w:w w:val="105"/>
        </w:rPr>
        <w:t>these</w:t>
      </w:r>
      <w:r>
        <w:rPr>
          <w:color w:val="231F20"/>
          <w:w w:val="100"/>
        </w:rPr>
        <w:t> </w:t>
      </w:r>
      <w:r>
        <w:rPr>
          <w:color w:val="231F20"/>
          <w:w w:val="105"/>
        </w:rPr>
        <w:t>functions.</w:t>
      </w:r>
      <w:r>
        <w:rPr>
          <w:color w:val="231F20"/>
          <w:spacing w:val="20"/>
          <w:w w:val="105"/>
        </w:rPr>
        <w:t> </w:t>
      </w:r>
      <w:r>
        <w:rPr>
          <w:color w:val="231F20"/>
          <w:w w:val="105"/>
        </w:rPr>
        <w:t>The</w:t>
      </w:r>
      <w:r>
        <w:rPr>
          <w:color w:val="231F20"/>
          <w:spacing w:val="21"/>
          <w:w w:val="105"/>
        </w:rPr>
        <w:t> </w:t>
      </w:r>
      <w:r>
        <w:rPr>
          <w:color w:val="231F20"/>
          <w:w w:val="105"/>
        </w:rPr>
        <w:t>major</w:t>
      </w:r>
      <w:r>
        <w:rPr>
          <w:color w:val="231F20"/>
          <w:spacing w:val="21"/>
          <w:w w:val="105"/>
        </w:rPr>
        <w:t> </w:t>
      </w:r>
      <w:r>
        <w:rPr>
          <w:color w:val="231F20"/>
          <w:w w:val="105"/>
        </w:rPr>
        <w:t>function</w:t>
      </w:r>
      <w:r>
        <w:rPr>
          <w:color w:val="231F20"/>
          <w:spacing w:val="20"/>
          <w:w w:val="105"/>
        </w:rPr>
        <w:t> </w:t>
      </w:r>
      <w:r>
        <w:rPr>
          <w:color w:val="231F20"/>
          <w:w w:val="105"/>
        </w:rPr>
        <w:t>of</w:t>
      </w:r>
      <w:r>
        <w:rPr>
          <w:color w:val="231F20"/>
          <w:spacing w:val="21"/>
          <w:w w:val="105"/>
        </w:rPr>
        <w:t> </w:t>
      </w:r>
      <w:r>
        <w:rPr>
          <w:color w:val="231F20"/>
          <w:w w:val="105"/>
        </w:rPr>
        <w:t>autoregulation</w:t>
      </w:r>
      <w:r>
        <w:rPr>
          <w:color w:val="231F20"/>
          <w:spacing w:val="21"/>
          <w:w w:val="105"/>
        </w:rPr>
        <w:t> </w:t>
      </w:r>
      <w:r>
        <w:rPr>
          <w:color w:val="231F20"/>
          <w:w w:val="105"/>
        </w:rPr>
        <w:t>in</w:t>
      </w:r>
      <w:r>
        <w:rPr>
          <w:color w:val="231F20"/>
          <w:spacing w:val="20"/>
          <w:w w:val="105"/>
        </w:rPr>
        <w:t> </w:t>
      </w:r>
      <w:r>
        <w:rPr>
          <w:color w:val="231F20"/>
          <w:w w:val="105"/>
        </w:rPr>
        <w:t>the</w:t>
      </w:r>
      <w:r>
        <w:rPr>
          <w:color w:val="231F20"/>
          <w:w w:val="104"/>
        </w:rPr>
        <w:t> </w:t>
      </w:r>
      <w:r>
        <w:rPr>
          <w:color w:val="231F20"/>
          <w:w w:val="105"/>
        </w:rPr>
        <w:t>kidneys is to maintain a relatively constant GFR and</w:t>
      </w:r>
      <w:r>
        <w:rPr>
          <w:color w:val="231F20"/>
          <w:spacing w:val="47"/>
          <w:w w:val="105"/>
        </w:rPr>
        <w:t> </w:t>
      </w:r>
      <w:r>
        <w:rPr>
          <w:color w:val="231F20"/>
          <w:w w:val="105"/>
        </w:rPr>
        <w:t>to</w:t>
      </w:r>
    </w:p>
    <w:p>
      <w:pPr>
        <w:spacing w:after="0" w:line="249" w:lineRule="auto"/>
        <w:jc w:val="right"/>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431"/>
          <w:pgSz w:w="12240" w:h="15660"/>
          <w:pgMar w:header="0" w:footer="567" w:top="0" w:bottom="760" w:left="0" w:right="0"/>
        </w:sectPr>
      </w:pPr>
    </w:p>
    <w:p>
      <w:pPr>
        <w:spacing w:before="127"/>
        <w:ind w:left="0" w:right="0" w:firstLine="0"/>
        <w:jc w:val="right"/>
        <w:rPr>
          <w:rFonts w:ascii="Helvetica"/>
          <w:sz w:val="16"/>
        </w:rPr>
      </w:pPr>
      <w:r>
        <w:rPr/>
        <w:pict>
          <v:shape style="position:absolute;margin-left:85.225403pt;margin-top:17.370234pt;width:20.55pt;height:66.05pt;mso-position-horizontal-relative:page;mso-position-vertical-relative:paragraph;z-index:251982848" type="#_x0000_t202" filled="false" stroked="false">
            <v:textbox inset="0,0,0,0" style="layout-flow:vertical;mso-layout-flow-alt:bottom-to-top">
              <w:txbxContent>
                <w:p>
                  <w:pPr>
                    <w:spacing w:line="235" w:lineRule="auto" w:before="27"/>
                    <w:ind w:left="348" w:right="2" w:hanging="329"/>
                    <w:jc w:val="left"/>
                    <w:rPr>
                      <w:rFonts w:ascii="Helvetica"/>
                      <w:b/>
                      <w:sz w:val="16"/>
                    </w:rPr>
                  </w:pPr>
                  <w:r>
                    <w:rPr>
                      <w:rFonts w:ascii="Helvetica"/>
                      <w:b/>
                      <w:color w:val="231F20"/>
                      <w:sz w:val="16"/>
                    </w:rPr>
                    <w:t>Renal blood flow (ml/min)</w:t>
                  </w:r>
                </w:p>
              </w:txbxContent>
            </v:textbox>
            <w10:wrap type="none"/>
          </v:shape>
        </w:pict>
      </w:r>
      <w:r>
        <w:rPr>
          <w:rFonts w:ascii="Helvetica"/>
          <w:color w:val="231F20"/>
          <w:w w:val="95"/>
          <w:sz w:val="16"/>
        </w:rPr>
        <w:t>1600</w:t>
      </w:r>
    </w:p>
    <w:p>
      <w:pPr>
        <w:pStyle w:val="BodyText"/>
        <w:spacing w:before="3"/>
        <w:rPr>
          <w:rFonts w:ascii="Helvetica"/>
          <w:sz w:val="18"/>
        </w:rPr>
      </w:pPr>
    </w:p>
    <w:p>
      <w:pPr>
        <w:spacing w:before="1"/>
        <w:ind w:left="0" w:right="0" w:firstLine="0"/>
        <w:jc w:val="right"/>
        <w:rPr>
          <w:rFonts w:ascii="Helvetica"/>
          <w:sz w:val="16"/>
        </w:rPr>
      </w:pPr>
      <w:r>
        <w:rPr>
          <w:rFonts w:ascii="Helvetica"/>
          <w:color w:val="231F20"/>
          <w:w w:val="95"/>
          <w:sz w:val="16"/>
        </w:rPr>
        <w:t>1200</w:t>
      </w:r>
    </w:p>
    <w:p>
      <w:pPr>
        <w:pStyle w:val="BodyText"/>
        <w:spacing w:before="9"/>
        <w:rPr>
          <w:rFonts w:ascii="Helvetica"/>
          <w:sz w:val="17"/>
        </w:rPr>
      </w:pPr>
    </w:p>
    <w:p>
      <w:pPr>
        <w:spacing w:before="1"/>
        <w:ind w:left="0" w:right="0" w:firstLine="0"/>
        <w:jc w:val="right"/>
        <w:rPr>
          <w:rFonts w:ascii="Helvetica"/>
          <w:sz w:val="16"/>
        </w:rPr>
      </w:pPr>
      <w:r>
        <w:rPr>
          <w:rFonts w:ascii="Helvetica"/>
          <w:color w:val="231F20"/>
          <w:w w:val="95"/>
          <w:sz w:val="16"/>
        </w:rPr>
        <w:t>800</w:t>
      </w:r>
    </w:p>
    <w:p>
      <w:pPr>
        <w:pStyle w:val="BodyText"/>
        <w:spacing w:before="10"/>
        <w:rPr>
          <w:rFonts w:ascii="Helvetica"/>
          <w:sz w:val="17"/>
        </w:rPr>
      </w:pPr>
    </w:p>
    <w:p>
      <w:pPr>
        <w:spacing w:before="0"/>
        <w:ind w:left="0" w:right="0" w:firstLine="0"/>
        <w:jc w:val="right"/>
        <w:rPr>
          <w:rFonts w:ascii="Helvetica"/>
          <w:sz w:val="16"/>
        </w:rPr>
      </w:pPr>
      <w:r>
        <w:rPr>
          <w:rFonts w:ascii="Helvetica"/>
          <w:color w:val="231F20"/>
          <w:w w:val="95"/>
          <w:sz w:val="16"/>
        </w:rPr>
        <w:t>400</w:t>
      </w:r>
    </w:p>
    <w:p>
      <w:pPr>
        <w:pStyle w:val="BodyText"/>
        <w:spacing w:before="6"/>
        <w:rPr>
          <w:rFonts w:ascii="Helvetica"/>
          <w:sz w:val="17"/>
        </w:rPr>
      </w:pPr>
    </w:p>
    <w:p>
      <w:pPr>
        <w:spacing w:before="0"/>
        <w:ind w:left="0" w:right="0" w:firstLine="0"/>
        <w:jc w:val="right"/>
        <w:rPr>
          <w:rFonts w:ascii="Helvetica"/>
          <w:sz w:val="16"/>
        </w:rPr>
      </w:pPr>
      <w:r>
        <w:rPr>
          <w:rFonts w:ascii="Helvetica"/>
          <w:color w:val="231F20"/>
          <w:w w:val="99"/>
          <w:sz w:val="16"/>
        </w:rPr>
        <w:t>0</w:t>
      </w:r>
    </w:p>
    <w:p>
      <w:pPr>
        <w:pStyle w:val="BodyText"/>
        <w:spacing w:before="7"/>
        <w:rPr>
          <w:rFonts w:ascii="Helvetica"/>
          <w:sz w:val="17"/>
        </w:rPr>
      </w:pPr>
    </w:p>
    <w:p>
      <w:pPr>
        <w:spacing w:before="0"/>
        <w:ind w:left="0" w:right="0" w:firstLine="0"/>
        <w:jc w:val="right"/>
        <w:rPr>
          <w:rFonts w:ascii="Helvetica"/>
          <w:sz w:val="16"/>
        </w:rPr>
      </w:pPr>
      <w:r>
        <w:rPr>
          <w:rFonts w:ascii="Helvetica"/>
          <w:color w:val="231F20"/>
          <w:w w:val="99"/>
          <w:sz w:val="16"/>
        </w:rPr>
        <w:t>8</w:t>
      </w:r>
    </w:p>
    <w:p>
      <w:pPr>
        <w:pStyle w:val="BodyText"/>
        <w:spacing w:before="4"/>
        <w:rPr>
          <w:rFonts w:ascii="Helvetica"/>
          <w:sz w:val="18"/>
        </w:rPr>
      </w:pPr>
    </w:p>
    <w:p>
      <w:pPr>
        <w:spacing w:before="0"/>
        <w:ind w:left="0" w:right="0" w:firstLine="0"/>
        <w:jc w:val="right"/>
        <w:rPr>
          <w:rFonts w:ascii="Helvetica"/>
          <w:sz w:val="16"/>
        </w:rPr>
      </w:pPr>
      <w:r>
        <w:rPr/>
        <w:pict>
          <v:shape style="position:absolute;margin-left:97.725403pt;margin-top:-.502113pt;width:20.55pt;height:49.6pt;mso-position-horizontal-relative:page;mso-position-vertical-relative:paragraph;z-index:251983872" type="#_x0000_t202" filled="false" stroked="false">
            <v:textbox inset="0,0,0,0" style="layout-flow:vertical;mso-layout-flow-alt:bottom-to-top">
              <w:txbxContent>
                <w:p>
                  <w:pPr>
                    <w:spacing w:line="235" w:lineRule="auto" w:before="27"/>
                    <w:ind w:left="184" w:right="2" w:hanging="165"/>
                    <w:jc w:val="left"/>
                    <w:rPr>
                      <w:rFonts w:ascii="Helvetica"/>
                      <w:b/>
                      <w:sz w:val="16"/>
                    </w:rPr>
                  </w:pPr>
                  <w:r>
                    <w:rPr>
                      <w:rFonts w:ascii="Helvetica"/>
                      <w:b/>
                      <w:color w:val="231F20"/>
                      <w:sz w:val="16"/>
                    </w:rPr>
                    <w:t>Urine output (ml/min)</w:t>
                  </w:r>
                </w:p>
              </w:txbxContent>
            </v:textbox>
            <w10:wrap type="none"/>
          </v:shape>
        </w:pict>
      </w:r>
      <w:r>
        <w:rPr>
          <w:rFonts w:ascii="Helvetica"/>
          <w:color w:val="231F20"/>
          <w:w w:val="99"/>
          <w:sz w:val="16"/>
        </w:rPr>
        <w:t>6</w:t>
      </w:r>
    </w:p>
    <w:p>
      <w:pPr>
        <w:pStyle w:val="BodyText"/>
        <w:spacing w:before="10"/>
        <w:rPr>
          <w:rFonts w:ascii="Helvetica"/>
          <w:sz w:val="17"/>
        </w:rPr>
      </w:pPr>
    </w:p>
    <w:p>
      <w:pPr>
        <w:spacing w:before="0"/>
        <w:ind w:left="0" w:right="0" w:firstLine="0"/>
        <w:jc w:val="right"/>
        <w:rPr>
          <w:rFonts w:ascii="Helvetica"/>
          <w:sz w:val="16"/>
        </w:rPr>
      </w:pPr>
      <w:r>
        <w:rPr>
          <w:rFonts w:ascii="Helvetica"/>
          <w:color w:val="231F20"/>
          <w:w w:val="99"/>
          <w:sz w:val="16"/>
        </w:rPr>
        <w:t>4</w:t>
      </w:r>
    </w:p>
    <w:p>
      <w:pPr>
        <w:pStyle w:val="BodyText"/>
        <w:spacing w:before="11"/>
        <w:rPr>
          <w:rFonts w:ascii="Helvetica"/>
          <w:sz w:val="17"/>
        </w:rPr>
      </w:pPr>
    </w:p>
    <w:p>
      <w:pPr>
        <w:spacing w:before="0"/>
        <w:ind w:left="0" w:right="0" w:firstLine="0"/>
        <w:jc w:val="right"/>
        <w:rPr>
          <w:rFonts w:ascii="Helvetica"/>
          <w:sz w:val="16"/>
        </w:rPr>
      </w:pPr>
      <w:r>
        <w:rPr>
          <w:rFonts w:ascii="Helvetica"/>
          <w:color w:val="231F20"/>
          <w:w w:val="99"/>
          <w:sz w:val="16"/>
        </w:rPr>
        <w:t>2</w:t>
      </w:r>
    </w:p>
    <w:p>
      <w:pPr>
        <w:pStyle w:val="BodyText"/>
        <w:spacing w:before="6"/>
        <w:rPr>
          <w:rFonts w:ascii="Helvetica"/>
          <w:sz w:val="17"/>
        </w:rPr>
      </w:pPr>
    </w:p>
    <w:p>
      <w:pPr>
        <w:spacing w:before="0"/>
        <w:ind w:left="0" w:right="0" w:firstLine="0"/>
        <w:jc w:val="right"/>
        <w:rPr>
          <w:rFonts w:ascii="Helvetica"/>
          <w:sz w:val="16"/>
        </w:rPr>
      </w:pPr>
      <w:r>
        <w:rPr>
          <w:rFonts w:ascii="Helvetica"/>
          <w:color w:val="231F20"/>
          <w:w w:val="99"/>
          <w:sz w:val="16"/>
        </w:rPr>
        <w:t>0</w:t>
      </w:r>
    </w:p>
    <w:p>
      <w:pPr>
        <w:spacing w:before="127"/>
        <w:ind w:left="2549" w:right="0" w:firstLine="0"/>
        <w:jc w:val="left"/>
        <w:rPr>
          <w:rFonts w:ascii="Helvetica"/>
          <w:sz w:val="16"/>
        </w:rPr>
      </w:pPr>
      <w:r>
        <w:rPr/>
        <w:br w:type="column"/>
      </w:r>
      <w:r>
        <w:rPr>
          <w:rFonts w:ascii="Helvetica"/>
          <w:color w:val="231F20"/>
          <w:sz w:val="16"/>
        </w:rPr>
        <w:t>160</w:t>
      </w:r>
    </w:p>
    <w:p>
      <w:pPr>
        <w:pStyle w:val="BodyText"/>
        <w:spacing w:before="3"/>
        <w:rPr>
          <w:rFonts w:ascii="Helvetica"/>
          <w:sz w:val="17"/>
        </w:rPr>
      </w:pPr>
    </w:p>
    <w:p>
      <w:pPr>
        <w:spacing w:before="1"/>
        <w:ind w:left="2549" w:right="0" w:firstLine="0"/>
        <w:jc w:val="left"/>
        <w:rPr>
          <w:rFonts w:ascii="Helvetica"/>
          <w:sz w:val="16"/>
        </w:rPr>
      </w:pPr>
      <w:r>
        <w:rPr/>
        <w:pict>
          <v:group style="position:absolute;margin-left:127.9804pt;margin-top:-15.895274pt;width:125.8pt;height:80.350pt;mso-position-horizontal-relative:page;mso-position-vertical-relative:paragraph;z-index:251980800" coordorigin="2560,-318" coordsize="2516,1607">
            <v:shape style="position:absolute;left:-81;top:10689;width:2516;height:1577" coordorigin="-81,10690" coordsize="2516,1577" path="m2640,-295l2640,1282m2640,-285l2560,-285m2640,105l2560,105m2640,494l2560,494m2640,883l2560,883m2640,1272l2560,1272m4994,-295l4994,1282m4994,-285l5075,-285m4994,105l5075,105m4994,494l5075,494m4994,883l5075,883m4994,1272l5075,1272e" filled="false" stroked="true" strokeweight="1pt" strokecolor="#231f20">
              <v:path arrowok="t"/>
              <v:stroke dashstyle="solid"/>
            </v:shape>
            <v:shape style="position:absolute;left:2987;top:-5;width:1920;height:1267" coordorigin="2987,-5" coordsize="1920,1267" path="m2987,1262l3022,614,3112,279,3330,148,3747,115,4122,140,4367,135,4593,91,4907,-5e" filled="false" stroked="true" strokeweight="2.0pt" strokecolor="#f0535f">
              <v:path arrowok="t"/>
              <v:stroke dashstyle="solid"/>
            </v:shape>
            <v:shape style="position:absolute;left:2740;top:-298;width:2174;height:1567" coordorigin="2740,-298" coordsize="2174,1567" path="m2740,1269l2904,583,3050,231,3259,103,3614,89,3712,89,3805,87,3893,83,3977,76,4057,68,4133,57,4206,43,4276,27,4344,8,4410,-14,4474,-38,4537,-66,4599,-96,4661,-130,4723,-167,4786,-207,4849,-251,4914,-298e" filled="false" stroked="true" strokeweight="2pt" strokecolor="#2062af">
              <v:path arrowok="t"/>
              <v:stroke dashstyle="solid"/>
            </v:shape>
            <v:shape style="position:absolute;left:2559;top:-318;width:2516;height:1607" type="#_x0000_t202" filled="false" stroked="false">
              <v:textbox inset="0,0,0,0">
                <w:txbxContent>
                  <w:p>
                    <w:pPr>
                      <w:spacing w:line="240" w:lineRule="auto" w:before="3"/>
                      <w:rPr>
                        <w:sz w:val="14"/>
                      </w:rPr>
                    </w:pPr>
                  </w:p>
                  <w:p>
                    <w:pPr>
                      <w:spacing w:before="1"/>
                      <w:ind w:left="420" w:right="0" w:firstLine="0"/>
                      <w:jc w:val="left"/>
                      <w:rPr>
                        <w:rFonts w:ascii="Helvetica"/>
                        <w:sz w:val="16"/>
                      </w:rPr>
                    </w:pPr>
                    <w:r>
                      <w:rPr>
                        <w:rFonts w:ascii="Helvetica"/>
                        <w:color w:val="231F20"/>
                        <w:sz w:val="16"/>
                      </w:rPr>
                      <w:t>Renal blood flow</w:t>
                    </w:r>
                  </w:p>
                  <w:p>
                    <w:pPr>
                      <w:spacing w:line="235" w:lineRule="auto" w:before="161"/>
                      <w:ind w:left="911" w:right="188" w:firstLine="0"/>
                      <w:jc w:val="left"/>
                      <w:rPr>
                        <w:rFonts w:ascii="Helvetica"/>
                        <w:sz w:val="16"/>
                      </w:rPr>
                    </w:pPr>
                    <w:r>
                      <w:rPr>
                        <w:rFonts w:ascii="Helvetica"/>
                        <w:color w:val="231F20"/>
                        <w:sz w:val="16"/>
                      </w:rPr>
                      <w:t>Glomerular filtration rate</w:t>
                    </w:r>
                  </w:p>
                </w:txbxContent>
              </v:textbox>
              <w10:wrap type="none"/>
            </v:shape>
            <w10:wrap type="none"/>
          </v:group>
        </w:pict>
      </w:r>
      <w:r>
        <w:rPr>
          <w:rFonts w:ascii="Helvetica"/>
          <w:color w:val="231F20"/>
          <w:sz w:val="16"/>
        </w:rPr>
        <w:t>120</w:t>
      </w:r>
    </w:p>
    <w:p>
      <w:pPr>
        <w:pStyle w:val="BodyText"/>
        <w:spacing w:before="11"/>
        <w:rPr>
          <w:rFonts w:ascii="Helvetica"/>
          <w:sz w:val="17"/>
        </w:rPr>
      </w:pPr>
    </w:p>
    <w:p>
      <w:pPr>
        <w:spacing w:before="0"/>
        <w:ind w:left="2560" w:right="0" w:firstLine="0"/>
        <w:jc w:val="left"/>
        <w:rPr>
          <w:rFonts w:ascii="Helvetica"/>
          <w:sz w:val="16"/>
        </w:rPr>
      </w:pPr>
      <w:r>
        <w:rPr>
          <w:rFonts w:ascii="Helvetica"/>
          <w:color w:val="231F20"/>
          <w:sz w:val="16"/>
        </w:rPr>
        <w:t>80</w:t>
      </w:r>
    </w:p>
    <w:p>
      <w:pPr>
        <w:pStyle w:val="BodyText"/>
        <w:spacing w:before="11"/>
        <w:rPr>
          <w:rFonts w:ascii="Helvetica"/>
          <w:sz w:val="17"/>
        </w:rPr>
      </w:pPr>
    </w:p>
    <w:p>
      <w:pPr>
        <w:spacing w:before="0"/>
        <w:ind w:left="2560" w:right="0" w:firstLine="0"/>
        <w:jc w:val="left"/>
        <w:rPr>
          <w:rFonts w:ascii="Helvetica"/>
          <w:sz w:val="16"/>
        </w:rPr>
      </w:pPr>
      <w:r>
        <w:rPr>
          <w:rFonts w:ascii="Helvetica"/>
          <w:color w:val="231F20"/>
          <w:sz w:val="16"/>
        </w:rPr>
        <w:t>40</w:t>
      </w:r>
    </w:p>
    <w:p>
      <w:pPr>
        <w:pStyle w:val="BodyText"/>
        <w:spacing w:before="6"/>
        <w:rPr>
          <w:rFonts w:ascii="Helvetica"/>
          <w:sz w:val="17"/>
        </w:rPr>
      </w:pPr>
    </w:p>
    <w:p>
      <w:pPr>
        <w:spacing w:before="0"/>
        <w:ind w:left="2604" w:right="0" w:firstLine="0"/>
        <w:jc w:val="left"/>
        <w:rPr>
          <w:rFonts w:ascii="Helvetica"/>
          <w:sz w:val="16"/>
        </w:rPr>
      </w:pPr>
      <w:r>
        <w:rPr>
          <w:rFonts w:ascii="Helvetica"/>
          <w:color w:val="231F20"/>
          <w:w w:val="99"/>
          <w:sz w:val="16"/>
        </w:rPr>
        <w:t>0</w:t>
      </w:r>
    </w:p>
    <w:p>
      <w:pPr>
        <w:pStyle w:val="BodyText"/>
        <w:spacing w:before="3"/>
        <w:rPr>
          <w:rFonts w:ascii="Helvetica"/>
          <w:sz w:val="25"/>
        </w:rPr>
      </w:pPr>
    </w:p>
    <w:p>
      <w:pPr>
        <w:pStyle w:val="BodyText"/>
        <w:ind w:left="-7"/>
        <w:rPr>
          <w:rFonts w:ascii="Helvetica"/>
        </w:rPr>
      </w:pPr>
      <w:r>
        <w:rPr>
          <w:rFonts w:ascii="Helvetica"/>
        </w:rPr>
        <w:pict>
          <v:group style="width:122.25pt;height:83.4pt;mso-position-horizontal-relative:char;mso-position-vertical-relative:line" coordorigin="0,0" coordsize="2445,1668">
            <v:line style="position:absolute" from="81,1584" to="81,1665" stroked="true" strokeweight="1pt" strokecolor="#231f20">
              <v:stroke dashstyle="solid"/>
            </v:line>
            <v:line style="position:absolute" from="669,1585" to="669,1666" stroked="true" strokeweight="1pt" strokecolor="#231f20">
              <v:stroke dashstyle="solid"/>
            </v:line>
            <v:line style="position:absolute" from="1258,1585" to="1258,1666" stroked="true" strokeweight="1pt" strokecolor="#231f20">
              <v:stroke dashstyle="solid"/>
            </v:line>
            <v:line style="position:absolute" from="1846,1586" to="1846,1667" stroked="true" strokeweight="1pt" strokecolor="#231f20">
              <v:stroke dashstyle="solid"/>
            </v:line>
            <v:line style="position:absolute" from="2434,1587" to="2434,1668" stroked="true" strokeweight="1pt" strokecolor="#231f20">
              <v:stroke dashstyle="solid"/>
            </v:line>
            <v:shape style="position:absolute;left:80;top:10;width:2354;height:1577" coordorigin="81,10" coordsize="2354,1577" path="m81,10l81,1587,2434,1587,2434,20e" filled="false" stroked="true" strokeweight="1pt" strokecolor="#231f20">
              <v:path arrowok="t"/>
              <v:stroke dashstyle="solid"/>
            </v:shape>
            <v:line style="position:absolute" from="81,20" to="0,20" stroked="true" strokeweight="1pt" strokecolor="#231f20">
              <v:stroke dashstyle="solid"/>
            </v:line>
            <v:line style="position:absolute" from="81,409" to="0,409" stroked="true" strokeweight="1pt" strokecolor="#231f20">
              <v:stroke dashstyle="solid"/>
            </v:line>
            <v:line style="position:absolute" from="81,798" to="0,798" stroked="true" strokeweight="1pt" strokecolor="#231f20">
              <v:stroke dashstyle="solid"/>
            </v:line>
            <v:line style="position:absolute" from="81,1188" to="0,1188" stroked="true" strokeweight="1pt" strokecolor="#231f20">
              <v:stroke dashstyle="solid"/>
            </v:line>
            <v:line style="position:absolute" from="81,1577" to="0,1577" stroked="true" strokeweight="1pt" strokecolor="#231f20">
              <v:stroke dashstyle="solid"/>
            </v:line>
            <v:shape style="position:absolute;left:567;top:46;width:1807;height:1529" coordorigin="568,47" coordsize="1807,1529" path="m568,1575l1143,1501,1523,1318,1877,881,2374,47e" filled="false" stroked="true" strokeweight="2pt" strokecolor="#00a650">
              <v:path arrowok="t"/>
              <v:stroke dashstyle="solid"/>
            </v:shape>
          </v:group>
        </w:pict>
      </w:r>
      <w:r>
        <w:rPr>
          <w:rFonts w:ascii="Helvetica"/>
        </w:rPr>
      </w:r>
    </w:p>
    <w:p>
      <w:pPr>
        <w:tabs>
          <w:tab w:pos="1127" w:val="left" w:leader="none"/>
          <w:tab w:pos="1717" w:val="left" w:leader="none"/>
          <w:tab w:pos="2303" w:val="left" w:leader="none"/>
        </w:tabs>
        <w:spacing w:before="0"/>
        <w:ind w:left="582" w:right="0" w:firstLine="0"/>
        <w:jc w:val="left"/>
        <w:rPr>
          <w:rFonts w:ascii="Helvetica"/>
          <w:sz w:val="16"/>
        </w:rPr>
      </w:pPr>
      <w:r>
        <w:rPr>
          <w:rFonts w:ascii="Helvetica"/>
          <w:color w:val="231F20"/>
          <w:sz w:val="16"/>
        </w:rPr>
        <w:t>50</w:t>
        <w:tab/>
        <w:t>100</w:t>
        <w:tab/>
        <w:t>150</w:t>
        <w:tab/>
        <w:t>200</w:t>
      </w:r>
    </w:p>
    <w:p>
      <w:pPr>
        <w:spacing w:line="235" w:lineRule="auto" w:before="53"/>
        <w:ind w:left="929" w:right="689" w:hanging="530"/>
        <w:jc w:val="left"/>
        <w:rPr>
          <w:rFonts w:ascii="Helvetica"/>
          <w:b/>
          <w:sz w:val="16"/>
        </w:rPr>
      </w:pPr>
      <w:r>
        <w:rPr>
          <w:rFonts w:ascii="Helvetica"/>
          <w:b/>
          <w:color w:val="231F20"/>
          <w:sz w:val="16"/>
        </w:rPr>
        <w:t>Mean arterial pressure (mm Hg)</w:t>
      </w:r>
    </w:p>
    <w:p>
      <w:pPr>
        <w:pStyle w:val="BodyText"/>
        <w:spacing w:line="249" w:lineRule="auto" w:before="100"/>
        <w:ind w:left="1067" w:right="1077"/>
        <w:jc w:val="both"/>
      </w:pPr>
      <w:r>
        <w:rPr/>
        <w:br w:type="column"/>
      </w:r>
      <w:r>
        <w:rPr>
          <w:color w:val="231F20"/>
        </w:rPr>
        <w:t>only about 3 liters, such a change would quickly deplete the blood volume.</w:t>
      </w:r>
    </w:p>
    <w:p>
      <w:pPr>
        <w:pStyle w:val="BodyText"/>
        <w:spacing w:line="249" w:lineRule="auto" w:before="1"/>
        <w:ind w:left="1067" w:right="1077" w:firstLine="240"/>
        <w:jc w:val="both"/>
      </w:pPr>
      <w:r>
        <w:rPr/>
        <w:pict>
          <v:shape style="position:absolute;margin-left:271.430298pt;margin-top:-18.845442pt;width:20.55pt;height:78.95pt;mso-position-horizontal-relative:page;mso-position-vertical-relative:paragraph;z-index:251984896" type="#_x0000_t202" filled="false" stroked="false">
            <v:textbox inset="0,0,0,0" style="layout-flow:vertical;mso-layout-flow-alt:bottom-to-top">
              <w:txbxContent>
                <w:p>
                  <w:pPr>
                    <w:spacing w:line="235" w:lineRule="auto" w:before="27"/>
                    <w:ind w:left="308" w:right="2" w:hanging="289"/>
                    <w:jc w:val="left"/>
                    <w:rPr>
                      <w:rFonts w:ascii="Helvetica"/>
                      <w:b/>
                      <w:sz w:val="16"/>
                    </w:rPr>
                  </w:pPr>
                  <w:r>
                    <w:rPr>
                      <w:rFonts w:ascii="Helvetica"/>
                      <w:b/>
                      <w:color w:val="231F20"/>
                      <w:sz w:val="16"/>
                    </w:rPr>
                    <w:t>Glomerular filtration rate (ml/min)</w:t>
                  </w:r>
                </w:p>
              </w:txbxContent>
            </v:textbox>
            <w10:wrap type="none"/>
          </v:shape>
        </w:pict>
      </w:r>
      <w:r>
        <w:rPr>
          <w:color w:val="231F20"/>
        </w:rPr>
        <w:t>In reality, changes in arterial pressure usually exert much less of an effect on urine volume for two reasons:</w:t>
      </w:r>
    </w:p>
    <w:p>
      <w:pPr>
        <w:pStyle w:val="ListParagraph"/>
        <w:numPr>
          <w:ilvl w:val="0"/>
          <w:numId w:val="8"/>
        </w:numPr>
        <w:tabs>
          <w:tab w:pos="1375" w:val="left" w:leader="none"/>
        </w:tabs>
        <w:spacing w:line="249" w:lineRule="auto" w:before="2" w:after="0"/>
        <w:ind w:left="1067" w:right="1077" w:firstLine="0"/>
        <w:jc w:val="both"/>
        <w:rPr>
          <w:sz w:val="20"/>
        </w:rPr>
      </w:pPr>
      <w:r>
        <w:rPr/>
        <w:pict>
          <v:rect style="position:absolute;margin-left:576pt;margin-top:92.08596pt;width:36pt;height:24pt;mso-position-horizontal-relative:page;mso-position-vertical-relative:paragraph;z-index:251978752" filled="true" fillcolor="#e8dac8" stroked="false">
            <v:fill type="solid"/>
            <w10:wrap type="none"/>
          </v:rect>
        </w:pict>
      </w:r>
      <w:r>
        <w:rPr/>
        <w:pict>
          <v:shape style="position:absolute;margin-left:578.900024pt;margin-top:15.743262pt;width:15.9pt;height:53.35pt;mso-position-horizontal-relative:page;mso-position-vertical-relative:paragraph;z-index:25198182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sz w:val="20"/>
        </w:rPr>
        <w:t>renal autoregulation prevents large changes in </w:t>
      </w:r>
      <w:r>
        <w:rPr>
          <w:color w:val="231F20"/>
          <w:spacing w:val="-4"/>
          <w:sz w:val="20"/>
        </w:rPr>
        <w:t>GFR </w:t>
      </w:r>
      <w:r>
        <w:rPr>
          <w:color w:val="231F20"/>
          <w:sz w:val="20"/>
        </w:rPr>
        <w:t>that would otherwise </w:t>
      </w:r>
      <w:r>
        <w:rPr>
          <w:color w:val="231F20"/>
          <w:spacing w:val="-3"/>
          <w:sz w:val="20"/>
        </w:rPr>
        <w:t>occur, </w:t>
      </w:r>
      <w:r>
        <w:rPr>
          <w:color w:val="231F20"/>
          <w:sz w:val="20"/>
        </w:rPr>
        <w:t>and (2) there are additional adaptive mechanisms in the renal tubules that  cause  them to increase their reabsorption rate when GFR rises,  a phenomenon referred to as </w:t>
      </w:r>
      <w:r>
        <w:rPr>
          <w:i/>
          <w:color w:val="231F20"/>
          <w:sz w:val="20"/>
        </w:rPr>
        <w:t>glomerulotubular balance </w:t>
      </w:r>
      <w:r>
        <w:rPr>
          <w:color w:val="231F20"/>
          <w:sz w:val="20"/>
        </w:rPr>
        <w:t>(discussed in Chapter 28). Even with these special control mechanisms, changes in arterial pressure still have signifi­ cant effects on renal excretion of water and sodium; this  is referred to as </w:t>
      </w:r>
      <w:r>
        <w:rPr>
          <w:i/>
          <w:color w:val="231F20"/>
          <w:sz w:val="20"/>
        </w:rPr>
        <w:t>pressure diuresis </w:t>
      </w:r>
      <w:r>
        <w:rPr>
          <w:color w:val="231F20"/>
          <w:sz w:val="20"/>
        </w:rPr>
        <w:t>or </w:t>
      </w:r>
      <w:r>
        <w:rPr>
          <w:i/>
          <w:color w:val="231F20"/>
          <w:sz w:val="20"/>
        </w:rPr>
        <w:t>pressure natriuresis, </w:t>
      </w:r>
      <w:r>
        <w:rPr>
          <w:color w:val="231F20"/>
          <w:sz w:val="20"/>
        </w:rPr>
        <w:t>and it is crucial in the regulation of body fluid volumes and</w:t>
      </w:r>
      <w:r>
        <w:rPr>
          <w:color w:val="231F20"/>
          <w:spacing w:val="11"/>
          <w:sz w:val="20"/>
        </w:rPr>
        <w:t> </w:t>
      </w:r>
      <w:r>
        <w:rPr>
          <w:color w:val="231F20"/>
          <w:sz w:val="20"/>
        </w:rPr>
        <w:t>arterial</w:t>
      </w:r>
      <w:r>
        <w:rPr>
          <w:color w:val="231F20"/>
          <w:spacing w:val="12"/>
          <w:sz w:val="20"/>
        </w:rPr>
        <w:t> </w:t>
      </w:r>
      <w:r>
        <w:rPr>
          <w:color w:val="231F20"/>
          <w:sz w:val="20"/>
        </w:rPr>
        <w:t>pressure,</w:t>
      </w:r>
      <w:r>
        <w:rPr>
          <w:color w:val="231F20"/>
          <w:spacing w:val="12"/>
          <w:sz w:val="20"/>
        </w:rPr>
        <w:t> </w:t>
      </w:r>
      <w:r>
        <w:rPr>
          <w:color w:val="231F20"/>
          <w:sz w:val="20"/>
        </w:rPr>
        <w:t>as</w:t>
      </w:r>
      <w:r>
        <w:rPr>
          <w:color w:val="231F20"/>
          <w:spacing w:val="12"/>
          <w:sz w:val="20"/>
        </w:rPr>
        <w:t> </w:t>
      </w:r>
      <w:r>
        <w:rPr>
          <w:color w:val="231F20"/>
          <w:sz w:val="20"/>
        </w:rPr>
        <w:t>discussed</w:t>
      </w:r>
      <w:r>
        <w:rPr>
          <w:color w:val="231F20"/>
          <w:spacing w:val="12"/>
          <w:sz w:val="20"/>
        </w:rPr>
        <w:t> </w:t>
      </w:r>
      <w:r>
        <w:rPr>
          <w:color w:val="231F20"/>
          <w:sz w:val="20"/>
        </w:rPr>
        <w:t>in</w:t>
      </w:r>
      <w:r>
        <w:rPr>
          <w:color w:val="231F20"/>
          <w:spacing w:val="12"/>
          <w:sz w:val="20"/>
        </w:rPr>
        <w:t> </w:t>
      </w:r>
      <w:r>
        <w:rPr>
          <w:color w:val="231F20"/>
          <w:sz w:val="20"/>
        </w:rPr>
        <w:t>Chapters</w:t>
      </w:r>
      <w:r>
        <w:rPr>
          <w:color w:val="231F20"/>
          <w:spacing w:val="12"/>
          <w:sz w:val="20"/>
        </w:rPr>
        <w:t> </w:t>
      </w:r>
      <w:r>
        <w:rPr>
          <w:color w:val="231F20"/>
          <w:sz w:val="20"/>
        </w:rPr>
        <w:t>19</w:t>
      </w:r>
      <w:r>
        <w:rPr>
          <w:color w:val="231F20"/>
          <w:spacing w:val="12"/>
          <w:sz w:val="20"/>
        </w:rPr>
        <w:t> </w:t>
      </w:r>
      <w:r>
        <w:rPr>
          <w:color w:val="231F20"/>
          <w:sz w:val="20"/>
        </w:rPr>
        <w:t>and</w:t>
      </w:r>
      <w:r>
        <w:rPr>
          <w:color w:val="231F20"/>
          <w:spacing w:val="12"/>
          <w:sz w:val="20"/>
        </w:rPr>
        <w:t> </w:t>
      </w:r>
      <w:r>
        <w:rPr>
          <w:color w:val="231F20"/>
          <w:sz w:val="20"/>
        </w:rPr>
        <w:t>30.</w:t>
      </w:r>
    </w:p>
    <w:p>
      <w:pPr>
        <w:pStyle w:val="BodyText"/>
        <w:spacing w:before="5"/>
        <w:rPr>
          <w:sz w:val="31"/>
        </w:rPr>
      </w:pPr>
    </w:p>
    <w:p>
      <w:pPr>
        <w:pStyle w:val="Heading2"/>
        <w:spacing w:line="225" w:lineRule="auto"/>
        <w:ind w:left="1067" w:right="1973"/>
      </w:pPr>
      <w:r>
        <w:rPr>
          <w:color w:val="231F20"/>
        </w:rPr>
        <w:t>TUBULOGLOMERULAR FEEDBACK </w:t>
      </w:r>
      <w:r>
        <w:rPr>
          <w:color w:val="231F20"/>
          <w:w w:val="105"/>
        </w:rPr>
        <w:t>AND AUTOREGULATION OF GFR</w:t>
      </w:r>
    </w:p>
    <w:p>
      <w:pPr>
        <w:spacing w:after="0" w:line="225" w:lineRule="auto"/>
        <w:sectPr>
          <w:type w:val="continuous"/>
          <w:pgSz w:w="12240" w:h="15660"/>
          <w:pgMar w:top="0" w:bottom="760" w:left="0" w:right="0"/>
          <w:cols w:num="3" w:equalWidth="0">
            <w:col w:w="2517" w:space="40"/>
            <w:col w:w="2816" w:space="39"/>
            <w:col w:w="6828"/>
          </w:cols>
        </w:sectPr>
      </w:pPr>
    </w:p>
    <w:p>
      <w:pPr>
        <w:spacing w:line="175" w:lineRule="exact" w:before="0"/>
        <w:ind w:left="1440" w:right="0" w:firstLine="0"/>
        <w:jc w:val="both"/>
        <w:rPr>
          <w:rFonts w:ascii="Arial"/>
          <w:sz w:val="16"/>
        </w:rPr>
      </w:pPr>
      <w:r>
        <w:rPr/>
        <w:pict>
          <v:group style="position:absolute;margin-left:0pt;margin-top:0pt;width:612pt;height:180pt;mso-position-horizontal-relative:page;mso-position-vertical-relative:page;z-index:-27342745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5078" w:right="0" w:firstLine="0"/>
                      <w:jc w:val="left"/>
                      <w:rPr>
                        <w:rFonts w:ascii="Trebuchet MS"/>
                        <w:sz w:val="18"/>
                      </w:rPr>
                    </w:pPr>
                    <w:r>
                      <w:rPr>
                        <w:rFonts w:ascii="Trebuchet MS"/>
                        <w:b/>
                        <w:color w:val="231F20"/>
                        <w:w w:val="105"/>
                        <w:sz w:val="18"/>
                      </w:rPr>
                      <w:t>Chapter 27 </w:t>
                    </w:r>
                    <w:r>
                      <w:rPr>
                        <w:rFonts w:ascii="Trebuchet MS"/>
                        <w:color w:val="231F20"/>
                        <w:w w:val="105"/>
                        <w:sz w:val="18"/>
                      </w:rPr>
                      <w:t>Glomerular Filtration, Renal Blood Flow, and Their Control</w:t>
                    </w:r>
                  </w:p>
                </w:txbxContent>
              </v:textbox>
              <v:fill type="solid"/>
              <w10:wrap type="none"/>
            </v:shape>
            <w10:wrap type="none"/>
          </v:group>
        </w:pict>
      </w:r>
      <w:bookmarkStart w:name="_bookmark35" w:id="36"/>
      <w:bookmarkEnd w:id="36"/>
      <w:r>
        <w:rPr/>
      </w:r>
      <w:r>
        <w:rPr>
          <w:rFonts w:ascii="Trebuchet MS"/>
          <w:b/>
          <w:color w:val="231F20"/>
          <w:sz w:val="16"/>
        </w:rPr>
        <w:t>Figure 27-9. </w:t>
      </w:r>
      <w:r>
        <w:rPr>
          <w:rFonts w:ascii="Arial"/>
          <w:color w:val="231F20"/>
          <w:sz w:val="16"/>
        </w:rPr>
        <w:t>Autoregulation of renal blood flow and glomerular</w:t>
      </w:r>
    </w:p>
    <w:p>
      <w:pPr>
        <w:spacing w:line="261" w:lineRule="auto" w:before="14"/>
        <w:ind w:left="1440" w:right="0" w:firstLine="0"/>
        <w:jc w:val="both"/>
        <w:rPr>
          <w:rFonts w:ascii="Arial"/>
          <w:sz w:val="16"/>
        </w:rPr>
      </w:pPr>
      <w:r>
        <w:rPr>
          <w:rFonts w:ascii="Arial"/>
          <w:color w:val="231F20"/>
          <w:sz w:val="16"/>
        </w:rPr>
        <w:t>filtration</w:t>
      </w:r>
      <w:r>
        <w:rPr>
          <w:rFonts w:ascii="Arial"/>
          <w:color w:val="231F20"/>
          <w:spacing w:val="-8"/>
          <w:sz w:val="16"/>
        </w:rPr>
        <w:t> </w:t>
      </w:r>
      <w:r>
        <w:rPr>
          <w:rFonts w:ascii="Arial"/>
          <w:color w:val="231F20"/>
          <w:sz w:val="16"/>
        </w:rPr>
        <w:t>rate</w:t>
      </w:r>
      <w:r>
        <w:rPr>
          <w:rFonts w:ascii="Arial"/>
          <w:color w:val="231F20"/>
          <w:spacing w:val="-8"/>
          <w:sz w:val="16"/>
        </w:rPr>
        <w:t> </w:t>
      </w:r>
      <w:r>
        <w:rPr>
          <w:rFonts w:ascii="Arial"/>
          <w:color w:val="231F20"/>
          <w:sz w:val="16"/>
        </w:rPr>
        <w:t>but</w:t>
      </w:r>
      <w:r>
        <w:rPr>
          <w:rFonts w:ascii="Arial"/>
          <w:color w:val="231F20"/>
          <w:spacing w:val="-7"/>
          <w:sz w:val="16"/>
        </w:rPr>
        <w:t> </w:t>
      </w:r>
      <w:r>
        <w:rPr>
          <w:rFonts w:ascii="Arial"/>
          <w:color w:val="231F20"/>
          <w:sz w:val="16"/>
        </w:rPr>
        <w:t>lack</w:t>
      </w:r>
      <w:r>
        <w:rPr>
          <w:rFonts w:ascii="Arial"/>
          <w:color w:val="231F20"/>
          <w:spacing w:val="-8"/>
          <w:sz w:val="16"/>
        </w:rPr>
        <w:t> </w:t>
      </w:r>
      <w:r>
        <w:rPr>
          <w:rFonts w:ascii="Arial"/>
          <w:color w:val="231F20"/>
          <w:sz w:val="16"/>
        </w:rPr>
        <w:t>of</w:t>
      </w:r>
      <w:r>
        <w:rPr>
          <w:rFonts w:ascii="Arial"/>
          <w:color w:val="231F20"/>
          <w:spacing w:val="-7"/>
          <w:sz w:val="16"/>
        </w:rPr>
        <w:t> </w:t>
      </w:r>
      <w:r>
        <w:rPr>
          <w:rFonts w:ascii="Arial"/>
          <w:color w:val="231F20"/>
          <w:sz w:val="16"/>
        </w:rPr>
        <w:t>autoregulation</w:t>
      </w:r>
      <w:r>
        <w:rPr>
          <w:rFonts w:ascii="Arial"/>
          <w:color w:val="231F20"/>
          <w:spacing w:val="-8"/>
          <w:sz w:val="16"/>
        </w:rPr>
        <w:t> </w:t>
      </w:r>
      <w:r>
        <w:rPr>
          <w:rFonts w:ascii="Arial"/>
          <w:color w:val="231F20"/>
          <w:sz w:val="16"/>
        </w:rPr>
        <w:t>of</w:t>
      </w:r>
      <w:r>
        <w:rPr>
          <w:rFonts w:ascii="Arial"/>
          <w:color w:val="231F20"/>
          <w:spacing w:val="-7"/>
          <w:sz w:val="16"/>
        </w:rPr>
        <w:t> </w:t>
      </w:r>
      <w:r>
        <w:rPr>
          <w:rFonts w:ascii="Arial"/>
          <w:color w:val="231F20"/>
          <w:sz w:val="16"/>
        </w:rPr>
        <w:t>urine</w:t>
      </w:r>
      <w:r>
        <w:rPr>
          <w:rFonts w:ascii="Arial"/>
          <w:color w:val="231F20"/>
          <w:spacing w:val="-8"/>
          <w:sz w:val="16"/>
        </w:rPr>
        <w:t> </w:t>
      </w:r>
      <w:r>
        <w:rPr>
          <w:rFonts w:ascii="Arial"/>
          <w:color w:val="231F20"/>
          <w:sz w:val="16"/>
        </w:rPr>
        <w:t>flow</w:t>
      </w:r>
      <w:r>
        <w:rPr>
          <w:rFonts w:ascii="Arial"/>
          <w:color w:val="231F20"/>
          <w:spacing w:val="-7"/>
          <w:sz w:val="16"/>
        </w:rPr>
        <w:t> </w:t>
      </w:r>
      <w:r>
        <w:rPr>
          <w:rFonts w:ascii="Arial"/>
          <w:color w:val="231F20"/>
          <w:sz w:val="16"/>
        </w:rPr>
        <w:t>during</w:t>
      </w:r>
      <w:r>
        <w:rPr>
          <w:rFonts w:ascii="Arial"/>
          <w:color w:val="231F20"/>
          <w:spacing w:val="-8"/>
          <w:sz w:val="16"/>
        </w:rPr>
        <w:t> </w:t>
      </w:r>
      <w:r>
        <w:rPr>
          <w:rFonts w:ascii="Arial"/>
          <w:color w:val="231F20"/>
          <w:spacing w:val="-3"/>
          <w:sz w:val="16"/>
        </w:rPr>
        <w:t>changes </w:t>
      </w:r>
      <w:r>
        <w:rPr>
          <w:rFonts w:ascii="Arial"/>
          <w:color w:val="231F20"/>
          <w:sz w:val="16"/>
        </w:rPr>
        <w:t>in renal arterial</w:t>
      </w:r>
      <w:r>
        <w:rPr>
          <w:rFonts w:ascii="Arial"/>
          <w:color w:val="231F20"/>
          <w:spacing w:val="19"/>
          <w:sz w:val="16"/>
        </w:rPr>
        <w:t> </w:t>
      </w:r>
      <w:r>
        <w:rPr>
          <w:rFonts w:ascii="Arial"/>
          <w:color w:val="231F20"/>
          <w:sz w:val="16"/>
        </w:rPr>
        <w:t>pressure.</w:t>
      </w:r>
    </w:p>
    <w:p>
      <w:pPr>
        <w:pStyle w:val="BodyText"/>
        <w:spacing w:before="4"/>
        <w:rPr>
          <w:rFonts w:ascii="Arial"/>
          <w:sz w:val="22"/>
        </w:rPr>
      </w:pPr>
    </w:p>
    <w:p>
      <w:pPr>
        <w:pStyle w:val="BodyText"/>
        <w:spacing w:line="249" w:lineRule="auto"/>
        <w:ind w:left="1440"/>
        <w:jc w:val="both"/>
      </w:pPr>
      <w:r>
        <w:rPr>
          <w:color w:val="231F20"/>
        </w:rPr>
        <w:t>allow precise control of renal excretion of water and solutes.</w:t>
      </w:r>
    </w:p>
    <w:p>
      <w:pPr>
        <w:pStyle w:val="BodyText"/>
        <w:spacing w:line="249" w:lineRule="auto" w:before="2"/>
        <w:ind w:left="1440" w:firstLine="240"/>
        <w:jc w:val="both"/>
      </w:pPr>
      <w:r>
        <w:rPr>
          <w:color w:val="231F20"/>
        </w:rPr>
        <w:t>The GFR normally remains autoregulated (that is, </w:t>
      </w:r>
      <w:r>
        <w:rPr>
          <w:color w:val="231F20"/>
          <w:spacing w:val="-7"/>
        </w:rPr>
        <w:t>it </w:t>
      </w:r>
      <w:r>
        <w:rPr>
          <w:color w:val="231F20"/>
        </w:rPr>
        <w:t>remains relatively constant) despite considerable arterial pressure fluctuations that occur during a </w:t>
      </w:r>
      <w:r>
        <w:rPr>
          <w:color w:val="231F20"/>
          <w:spacing w:val="-3"/>
        </w:rPr>
        <w:t>person’s </w:t>
      </w:r>
      <w:r>
        <w:rPr>
          <w:color w:val="231F20"/>
        </w:rPr>
        <w:t>usual activities. </w:t>
      </w:r>
      <w:r>
        <w:rPr>
          <w:color w:val="231F20"/>
          <w:spacing w:val="-3"/>
        </w:rPr>
        <w:t>For </w:t>
      </w:r>
      <w:r>
        <w:rPr>
          <w:color w:val="231F20"/>
        </w:rPr>
        <w:t>instance, a decrease in arterial pressure to  as low as 70 to 75 mm Hg or an increase to as high as 160 to 180 mm Hg usually changes the GFR less than </w:t>
      </w:r>
      <w:r>
        <w:rPr>
          <w:color w:val="231F20"/>
          <w:spacing w:val="-7"/>
        </w:rPr>
        <w:t>10 </w:t>
      </w:r>
      <w:r>
        <w:rPr>
          <w:color w:val="231F20"/>
        </w:rPr>
        <w:t>percent. In general, renal blood flow is autoregulated </w:t>
      </w:r>
      <w:r>
        <w:rPr>
          <w:color w:val="231F20"/>
          <w:spacing w:val="-6"/>
        </w:rPr>
        <w:t>in </w:t>
      </w:r>
      <w:r>
        <w:rPr>
          <w:color w:val="231F20"/>
        </w:rPr>
        <w:t>parallel with GFR, but GFR is more efficiently </w:t>
      </w:r>
      <w:r>
        <w:rPr>
          <w:color w:val="231F20"/>
          <w:spacing w:val="-3"/>
        </w:rPr>
        <w:t>autoregu­ </w:t>
      </w:r>
      <w:r>
        <w:rPr>
          <w:color w:val="231F20"/>
        </w:rPr>
        <w:t>lated under certain</w:t>
      </w:r>
      <w:r>
        <w:rPr>
          <w:color w:val="231F20"/>
          <w:spacing w:val="24"/>
        </w:rPr>
        <w:t> </w:t>
      </w:r>
      <w:r>
        <w:rPr>
          <w:color w:val="231F20"/>
        </w:rPr>
        <w:t>conditions.</w:t>
      </w:r>
    </w:p>
    <w:p>
      <w:pPr>
        <w:pStyle w:val="BodyText"/>
        <w:spacing w:before="3"/>
        <w:rPr>
          <w:sz w:val="31"/>
        </w:rPr>
      </w:pPr>
    </w:p>
    <w:p>
      <w:pPr>
        <w:pStyle w:val="Heading2"/>
        <w:spacing w:line="225" w:lineRule="auto"/>
        <w:ind w:left="1440" w:right="436"/>
      </w:pPr>
      <w:r>
        <w:rPr>
          <w:color w:val="231F20"/>
          <w:spacing w:val="-3"/>
          <w:w w:val="105"/>
        </w:rPr>
        <w:t>IMPORTANCE </w:t>
      </w:r>
      <w:r>
        <w:rPr>
          <w:color w:val="231F20"/>
          <w:w w:val="105"/>
        </w:rPr>
        <w:t>OF GFR </w:t>
      </w:r>
      <w:r>
        <w:rPr>
          <w:color w:val="231F20"/>
          <w:spacing w:val="-4"/>
          <w:w w:val="105"/>
        </w:rPr>
        <w:t>AUTOREGULATION </w:t>
      </w:r>
      <w:r>
        <w:rPr>
          <w:color w:val="231F20"/>
          <w:w w:val="105"/>
        </w:rPr>
        <w:t>IN PREVENTING EXTREME CHANGES</w:t>
      </w:r>
    </w:p>
    <w:p>
      <w:pPr>
        <w:spacing w:line="243" w:lineRule="exact" w:before="0"/>
        <w:ind w:left="1440" w:right="0" w:firstLine="0"/>
        <w:jc w:val="left"/>
        <w:rPr>
          <w:rFonts w:ascii="Trebuchet MS"/>
          <w:b/>
          <w:sz w:val="22"/>
        </w:rPr>
      </w:pPr>
      <w:r>
        <w:rPr>
          <w:rFonts w:ascii="Trebuchet MS"/>
          <w:b/>
          <w:color w:val="231F20"/>
          <w:w w:val="105"/>
          <w:sz w:val="22"/>
        </w:rPr>
        <w:t>IN RENAL EXCRETION</w:t>
      </w:r>
    </w:p>
    <w:p>
      <w:pPr>
        <w:pStyle w:val="BodyText"/>
        <w:spacing w:line="249" w:lineRule="auto" w:before="125"/>
        <w:ind w:left="1440"/>
        <w:jc w:val="both"/>
      </w:pPr>
      <w:r>
        <w:rPr>
          <w:color w:val="231F20"/>
          <w:w w:val="105"/>
        </w:rPr>
        <w:t>Although the renal autoregulatory mechanisms are </w:t>
      </w:r>
      <w:r>
        <w:rPr>
          <w:color w:val="231F20"/>
          <w:spacing w:val="-4"/>
          <w:w w:val="105"/>
        </w:rPr>
        <w:t>not </w:t>
      </w:r>
      <w:r>
        <w:rPr>
          <w:color w:val="231F20"/>
          <w:w w:val="105"/>
        </w:rPr>
        <w:t>perfect,</w:t>
      </w:r>
      <w:r>
        <w:rPr>
          <w:color w:val="231F20"/>
          <w:spacing w:val="-18"/>
          <w:w w:val="105"/>
        </w:rPr>
        <w:t> </w:t>
      </w:r>
      <w:r>
        <w:rPr>
          <w:color w:val="231F20"/>
          <w:w w:val="105"/>
        </w:rPr>
        <w:t>they</w:t>
      </w:r>
      <w:r>
        <w:rPr>
          <w:color w:val="231F20"/>
          <w:spacing w:val="-18"/>
          <w:w w:val="105"/>
        </w:rPr>
        <w:t> </w:t>
      </w:r>
      <w:r>
        <w:rPr>
          <w:color w:val="231F20"/>
          <w:w w:val="105"/>
        </w:rPr>
        <w:t>do</w:t>
      </w:r>
      <w:r>
        <w:rPr>
          <w:color w:val="231F20"/>
          <w:spacing w:val="-18"/>
          <w:w w:val="105"/>
        </w:rPr>
        <w:t> </w:t>
      </w:r>
      <w:r>
        <w:rPr>
          <w:color w:val="231F20"/>
          <w:w w:val="105"/>
        </w:rPr>
        <w:t>prevent</w:t>
      </w:r>
      <w:r>
        <w:rPr>
          <w:color w:val="231F20"/>
          <w:spacing w:val="-18"/>
          <w:w w:val="105"/>
        </w:rPr>
        <w:t> </w:t>
      </w:r>
      <w:r>
        <w:rPr>
          <w:color w:val="231F20"/>
          <w:w w:val="105"/>
        </w:rPr>
        <w:t>potentially</w:t>
      </w:r>
      <w:r>
        <w:rPr>
          <w:color w:val="231F20"/>
          <w:spacing w:val="-18"/>
          <w:w w:val="105"/>
        </w:rPr>
        <w:t> </w:t>
      </w:r>
      <w:r>
        <w:rPr>
          <w:color w:val="231F20"/>
          <w:w w:val="105"/>
        </w:rPr>
        <w:t>large</w:t>
      </w:r>
      <w:r>
        <w:rPr>
          <w:color w:val="231F20"/>
          <w:spacing w:val="-18"/>
          <w:w w:val="105"/>
        </w:rPr>
        <w:t> </w:t>
      </w:r>
      <w:r>
        <w:rPr>
          <w:color w:val="231F20"/>
          <w:w w:val="105"/>
        </w:rPr>
        <w:t>changes</w:t>
      </w:r>
      <w:r>
        <w:rPr>
          <w:color w:val="231F20"/>
          <w:spacing w:val="-18"/>
          <w:w w:val="105"/>
        </w:rPr>
        <w:t> </w:t>
      </w:r>
      <w:r>
        <w:rPr>
          <w:color w:val="231F20"/>
          <w:w w:val="105"/>
        </w:rPr>
        <w:t>in</w:t>
      </w:r>
      <w:r>
        <w:rPr>
          <w:color w:val="231F20"/>
          <w:spacing w:val="-18"/>
          <w:w w:val="105"/>
        </w:rPr>
        <w:t> </w:t>
      </w:r>
      <w:r>
        <w:rPr>
          <w:color w:val="231F20"/>
          <w:spacing w:val="-4"/>
          <w:w w:val="105"/>
        </w:rPr>
        <w:t>GFR </w:t>
      </w:r>
      <w:r>
        <w:rPr>
          <w:color w:val="231F20"/>
          <w:w w:val="105"/>
        </w:rPr>
        <w:t>and renal excretion of water and solutes that would </w:t>
      </w:r>
      <w:r>
        <w:rPr>
          <w:color w:val="231F20"/>
          <w:spacing w:val="-5"/>
          <w:w w:val="105"/>
        </w:rPr>
        <w:t>oth­ </w:t>
      </w:r>
      <w:r>
        <w:rPr>
          <w:color w:val="231F20"/>
          <w:w w:val="105"/>
        </w:rPr>
        <w:t>erwise occur with changes in blood pressure. One can understand</w:t>
      </w:r>
      <w:r>
        <w:rPr>
          <w:color w:val="231F20"/>
          <w:spacing w:val="-20"/>
          <w:w w:val="105"/>
        </w:rPr>
        <w:t> </w:t>
      </w:r>
      <w:r>
        <w:rPr>
          <w:color w:val="231F20"/>
          <w:w w:val="105"/>
        </w:rPr>
        <w:t>the</w:t>
      </w:r>
      <w:r>
        <w:rPr>
          <w:color w:val="231F20"/>
          <w:spacing w:val="-20"/>
          <w:w w:val="105"/>
        </w:rPr>
        <w:t> </w:t>
      </w:r>
      <w:r>
        <w:rPr>
          <w:color w:val="231F20"/>
          <w:w w:val="105"/>
        </w:rPr>
        <w:t>quantitative</w:t>
      </w:r>
      <w:r>
        <w:rPr>
          <w:color w:val="231F20"/>
          <w:spacing w:val="-20"/>
          <w:w w:val="105"/>
        </w:rPr>
        <w:t> </w:t>
      </w:r>
      <w:r>
        <w:rPr>
          <w:color w:val="231F20"/>
          <w:w w:val="105"/>
        </w:rPr>
        <w:t>importance</w:t>
      </w:r>
      <w:r>
        <w:rPr>
          <w:color w:val="231F20"/>
          <w:spacing w:val="-20"/>
          <w:w w:val="105"/>
        </w:rPr>
        <w:t> </w:t>
      </w:r>
      <w:r>
        <w:rPr>
          <w:color w:val="231F20"/>
          <w:w w:val="105"/>
        </w:rPr>
        <w:t>of</w:t>
      </w:r>
      <w:r>
        <w:rPr>
          <w:color w:val="231F20"/>
          <w:spacing w:val="-20"/>
          <w:w w:val="105"/>
        </w:rPr>
        <w:t> </w:t>
      </w:r>
      <w:r>
        <w:rPr>
          <w:color w:val="231F20"/>
          <w:w w:val="105"/>
        </w:rPr>
        <w:t>autoregulation by</w:t>
      </w:r>
      <w:r>
        <w:rPr>
          <w:color w:val="231F20"/>
          <w:spacing w:val="-12"/>
          <w:w w:val="105"/>
        </w:rPr>
        <w:t> </w:t>
      </w:r>
      <w:r>
        <w:rPr>
          <w:color w:val="231F20"/>
          <w:w w:val="105"/>
        </w:rPr>
        <w:t>considering</w:t>
      </w:r>
      <w:r>
        <w:rPr>
          <w:color w:val="231F20"/>
          <w:spacing w:val="-12"/>
          <w:w w:val="105"/>
        </w:rPr>
        <w:t> </w:t>
      </w:r>
      <w:r>
        <w:rPr>
          <w:color w:val="231F20"/>
          <w:w w:val="105"/>
        </w:rPr>
        <w:t>the</w:t>
      </w:r>
      <w:r>
        <w:rPr>
          <w:color w:val="231F20"/>
          <w:spacing w:val="-11"/>
          <w:w w:val="105"/>
        </w:rPr>
        <w:t> </w:t>
      </w:r>
      <w:r>
        <w:rPr>
          <w:color w:val="231F20"/>
          <w:w w:val="105"/>
        </w:rPr>
        <w:t>relative</w:t>
      </w:r>
      <w:r>
        <w:rPr>
          <w:color w:val="231F20"/>
          <w:spacing w:val="-12"/>
          <w:w w:val="105"/>
        </w:rPr>
        <w:t> </w:t>
      </w:r>
      <w:r>
        <w:rPr>
          <w:color w:val="231F20"/>
          <w:w w:val="105"/>
        </w:rPr>
        <w:t>magnitudes</w:t>
      </w:r>
      <w:r>
        <w:rPr>
          <w:color w:val="231F20"/>
          <w:spacing w:val="-12"/>
          <w:w w:val="105"/>
        </w:rPr>
        <w:t> </w:t>
      </w:r>
      <w:r>
        <w:rPr>
          <w:color w:val="231F20"/>
          <w:w w:val="105"/>
        </w:rPr>
        <w:t>of</w:t>
      </w:r>
      <w:r>
        <w:rPr>
          <w:color w:val="231F20"/>
          <w:spacing w:val="-11"/>
          <w:w w:val="105"/>
        </w:rPr>
        <w:t> </w:t>
      </w:r>
      <w:r>
        <w:rPr>
          <w:color w:val="231F20"/>
          <w:w w:val="105"/>
        </w:rPr>
        <w:t>glomerular</w:t>
      </w:r>
      <w:r>
        <w:rPr>
          <w:color w:val="231F20"/>
          <w:spacing w:val="-12"/>
          <w:w w:val="105"/>
        </w:rPr>
        <w:t> </w:t>
      </w:r>
      <w:r>
        <w:rPr>
          <w:color w:val="231F20"/>
          <w:spacing w:val="-4"/>
          <w:w w:val="105"/>
        </w:rPr>
        <w:t>fil­ </w:t>
      </w:r>
      <w:r>
        <w:rPr>
          <w:color w:val="231F20"/>
          <w:w w:val="105"/>
        </w:rPr>
        <w:t>tration,</w:t>
      </w:r>
      <w:r>
        <w:rPr>
          <w:color w:val="231F20"/>
          <w:spacing w:val="-8"/>
          <w:w w:val="105"/>
        </w:rPr>
        <w:t> </w:t>
      </w:r>
      <w:r>
        <w:rPr>
          <w:color w:val="231F20"/>
          <w:w w:val="105"/>
        </w:rPr>
        <w:t>tubular</w:t>
      </w:r>
      <w:r>
        <w:rPr>
          <w:color w:val="231F20"/>
          <w:spacing w:val="-7"/>
          <w:w w:val="105"/>
        </w:rPr>
        <w:t> </w:t>
      </w:r>
      <w:r>
        <w:rPr>
          <w:color w:val="231F20"/>
          <w:w w:val="105"/>
        </w:rPr>
        <w:t>reabsorption,</w:t>
      </w:r>
      <w:r>
        <w:rPr>
          <w:color w:val="231F20"/>
          <w:spacing w:val="-8"/>
          <w:w w:val="105"/>
        </w:rPr>
        <w:t> </w:t>
      </w:r>
      <w:r>
        <w:rPr>
          <w:color w:val="231F20"/>
          <w:w w:val="105"/>
        </w:rPr>
        <w:t>and</w:t>
      </w:r>
      <w:r>
        <w:rPr>
          <w:color w:val="231F20"/>
          <w:spacing w:val="-7"/>
          <w:w w:val="105"/>
        </w:rPr>
        <w:t> </w:t>
      </w:r>
      <w:r>
        <w:rPr>
          <w:color w:val="231F20"/>
          <w:w w:val="105"/>
        </w:rPr>
        <w:t>renal</w:t>
      </w:r>
      <w:r>
        <w:rPr>
          <w:color w:val="231F20"/>
          <w:spacing w:val="-8"/>
          <w:w w:val="105"/>
        </w:rPr>
        <w:t> </w:t>
      </w:r>
      <w:r>
        <w:rPr>
          <w:color w:val="231F20"/>
          <w:w w:val="105"/>
        </w:rPr>
        <w:t>excretion</w:t>
      </w:r>
      <w:r>
        <w:rPr>
          <w:color w:val="231F20"/>
          <w:spacing w:val="-7"/>
          <w:w w:val="105"/>
        </w:rPr>
        <w:t> </w:t>
      </w:r>
      <w:r>
        <w:rPr>
          <w:color w:val="231F20"/>
          <w:w w:val="105"/>
        </w:rPr>
        <w:t>and</w:t>
      </w:r>
      <w:r>
        <w:rPr>
          <w:color w:val="231F20"/>
          <w:spacing w:val="-8"/>
          <w:w w:val="105"/>
        </w:rPr>
        <w:t> </w:t>
      </w:r>
      <w:r>
        <w:rPr>
          <w:color w:val="231F20"/>
          <w:spacing w:val="-5"/>
          <w:w w:val="105"/>
        </w:rPr>
        <w:t>the </w:t>
      </w:r>
      <w:r>
        <w:rPr>
          <w:color w:val="231F20"/>
          <w:w w:val="105"/>
        </w:rPr>
        <w:t>changes</w:t>
      </w:r>
      <w:r>
        <w:rPr>
          <w:color w:val="231F20"/>
          <w:spacing w:val="-20"/>
          <w:w w:val="105"/>
        </w:rPr>
        <w:t> </w:t>
      </w:r>
      <w:r>
        <w:rPr>
          <w:color w:val="231F20"/>
          <w:w w:val="105"/>
        </w:rPr>
        <w:t>in</w:t>
      </w:r>
      <w:r>
        <w:rPr>
          <w:color w:val="231F20"/>
          <w:spacing w:val="-20"/>
          <w:w w:val="105"/>
        </w:rPr>
        <w:t> </w:t>
      </w:r>
      <w:r>
        <w:rPr>
          <w:color w:val="231F20"/>
          <w:w w:val="105"/>
        </w:rPr>
        <w:t>renal</w:t>
      </w:r>
      <w:r>
        <w:rPr>
          <w:color w:val="231F20"/>
          <w:spacing w:val="-19"/>
          <w:w w:val="105"/>
        </w:rPr>
        <w:t> </w:t>
      </w:r>
      <w:r>
        <w:rPr>
          <w:color w:val="231F20"/>
          <w:w w:val="105"/>
        </w:rPr>
        <w:t>excretion</w:t>
      </w:r>
      <w:r>
        <w:rPr>
          <w:color w:val="231F20"/>
          <w:spacing w:val="-20"/>
          <w:w w:val="105"/>
        </w:rPr>
        <w:t> </w:t>
      </w:r>
      <w:r>
        <w:rPr>
          <w:color w:val="231F20"/>
          <w:w w:val="105"/>
        </w:rPr>
        <w:t>that</w:t>
      </w:r>
      <w:r>
        <w:rPr>
          <w:color w:val="231F20"/>
          <w:spacing w:val="-19"/>
          <w:w w:val="105"/>
        </w:rPr>
        <w:t> </w:t>
      </w:r>
      <w:r>
        <w:rPr>
          <w:color w:val="231F20"/>
          <w:w w:val="105"/>
        </w:rPr>
        <w:t>would</w:t>
      </w:r>
      <w:r>
        <w:rPr>
          <w:color w:val="231F20"/>
          <w:spacing w:val="-20"/>
          <w:w w:val="105"/>
        </w:rPr>
        <w:t> </w:t>
      </w:r>
      <w:r>
        <w:rPr>
          <w:color w:val="231F20"/>
          <w:w w:val="105"/>
        </w:rPr>
        <w:t>occur</w:t>
      </w:r>
      <w:r>
        <w:rPr>
          <w:color w:val="231F20"/>
          <w:spacing w:val="-19"/>
          <w:w w:val="105"/>
        </w:rPr>
        <w:t> </w:t>
      </w:r>
      <w:r>
        <w:rPr>
          <w:color w:val="231F20"/>
          <w:w w:val="105"/>
        </w:rPr>
        <w:t>without</w:t>
      </w:r>
      <w:r>
        <w:rPr>
          <w:color w:val="231F20"/>
          <w:spacing w:val="-20"/>
          <w:w w:val="105"/>
        </w:rPr>
        <w:t> </w:t>
      </w:r>
      <w:r>
        <w:rPr>
          <w:color w:val="231F20"/>
          <w:spacing w:val="-4"/>
          <w:w w:val="105"/>
        </w:rPr>
        <w:t>auto­ </w:t>
      </w:r>
      <w:r>
        <w:rPr>
          <w:color w:val="231F20"/>
          <w:w w:val="105"/>
        </w:rPr>
        <w:t>regulatory</w:t>
      </w:r>
      <w:r>
        <w:rPr>
          <w:color w:val="231F20"/>
          <w:spacing w:val="2"/>
          <w:w w:val="105"/>
        </w:rPr>
        <w:t> </w:t>
      </w:r>
      <w:r>
        <w:rPr>
          <w:color w:val="231F20"/>
          <w:w w:val="105"/>
        </w:rPr>
        <w:t>mechanisms.</w:t>
      </w:r>
    </w:p>
    <w:p>
      <w:pPr>
        <w:pStyle w:val="BodyText"/>
        <w:spacing w:line="249" w:lineRule="auto" w:before="7"/>
        <w:ind w:left="1440" w:firstLine="240"/>
        <w:jc w:val="both"/>
      </w:pPr>
      <w:r>
        <w:rPr>
          <w:color w:val="231F20"/>
          <w:w w:val="105"/>
        </w:rPr>
        <w:t>Normally, GFR is about 180 L/day and tubular </w:t>
      </w:r>
      <w:r>
        <w:rPr>
          <w:color w:val="231F20"/>
          <w:spacing w:val="-5"/>
          <w:w w:val="105"/>
        </w:rPr>
        <w:t>reab­ </w:t>
      </w:r>
      <w:r>
        <w:rPr>
          <w:color w:val="231F20"/>
          <w:w w:val="105"/>
        </w:rPr>
        <w:t>sorption is 178.5 </w:t>
      </w:r>
      <w:r>
        <w:rPr>
          <w:color w:val="231F20"/>
          <w:spacing w:val="-3"/>
          <w:w w:val="105"/>
        </w:rPr>
        <w:t>L/day, </w:t>
      </w:r>
      <w:r>
        <w:rPr>
          <w:color w:val="231F20"/>
          <w:w w:val="105"/>
        </w:rPr>
        <w:t>leaving 1.5 L/day of fluid to </w:t>
      </w:r>
      <w:r>
        <w:rPr>
          <w:color w:val="231F20"/>
          <w:spacing w:val="-6"/>
          <w:w w:val="105"/>
        </w:rPr>
        <w:t>be </w:t>
      </w:r>
      <w:r>
        <w:rPr>
          <w:color w:val="231F20"/>
          <w:w w:val="105"/>
        </w:rPr>
        <w:t>excreted</w:t>
      </w:r>
      <w:r>
        <w:rPr>
          <w:color w:val="231F20"/>
          <w:spacing w:val="-6"/>
          <w:w w:val="105"/>
        </w:rPr>
        <w:t> </w:t>
      </w:r>
      <w:r>
        <w:rPr>
          <w:color w:val="231F20"/>
          <w:w w:val="105"/>
        </w:rPr>
        <w:t>in</w:t>
      </w:r>
      <w:r>
        <w:rPr>
          <w:color w:val="231F20"/>
          <w:spacing w:val="-5"/>
          <w:w w:val="105"/>
        </w:rPr>
        <w:t> </w:t>
      </w:r>
      <w:r>
        <w:rPr>
          <w:color w:val="231F20"/>
          <w:w w:val="105"/>
        </w:rPr>
        <w:t>the</w:t>
      </w:r>
      <w:r>
        <w:rPr>
          <w:color w:val="231F20"/>
          <w:spacing w:val="-6"/>
          <w:w w:val="105"/>
        </w:rPr>
        <w:t> </w:t>
      </w:r>
      <w:r>
        <w:rPr>
          <w:color w:val="231F20"/>
          <w:w w:val="105"/>
        </w:rPr>
        <w:t>urine.</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6"/>
          <w:w w:val="105"/>
        </w:rPr>
        <w:t> </w:t>
      </w:r>
      <w:r>
        <w:rPr>
          <w:color w:val="231F20"/>
          <w:w w:val="105"/>
        </w:rPr>
        <w:t>absence</w:t>
      </w:r>
      <w:r>
        <w:rPr>
          <w:color w:val="231F20"/>
          <w:spacing w:val="-5"/>
          <w:w w:val="105"/>
        </w:rPr>
        <w:t> </w:t>
      </w:r>
      <w:r>
        <w:rPr>
          <w:color w:val="231F20"/>
          <w:w w:val="105"/>
        </w:rPr>
        <w:t>of</w:t>
      </w:r>
      <w:r>
        <w:rPr>
          <w:color w:val="231F20"/>
          <w:spacing w:val="-5"/>
          <w:w w:val="105"/>
        </w:rPr>
        <w:t> </w:t>
      </w:r>
      <w:r>
        <w:rPr>
          <w:color w:val="231F20"/>
          <w:w w:val="105"/>
        </w:rPr>
        <w:t>autoregulation,</w:t>
      </w:r>
      <w:r>
        <w:rPr>
          <w:color w:val="231F20"/>
          <w:spacing w:val="-6"/>
          <w:w w:val="105"/>
        </w:rPr>
        <w:t> </w:t>
      </w:r>
      <w:r>
        <w:rPr>
          <w:color w:val="231F20"/>
          <w:w w:val="105"/>
        </w:rPr>
        <w:t>a relatively small increase in blood pressure (from 100 to 125</w:t>
      </w:r>
      <w:r>
        <w:rPr>
          <w:color w:val="231F20"/>
          <w:spacing w:val="-10"/>
          <w:w w:val="105"/>
        </w:rPr>
        <w:t> </w:t>
      </w:r>
      <w:r>
        <w:rPr>
          <w:color w:val="231F20"/>
          <w:w w:val="105"/>
        </w:rPr>
        <w:t>mm</w:t>
      </w:r>
      <w:r>
        <w:rPr>
          <w:color w:val="231F20"/>
          <w:spacing w:val="-10"/>
          <w:w w:val="105"/>
        </w:rPr>
        <w:t> </w:t>
      </w:r>
      <w:r>
        <w:rPr>
          <w:color w:val="231F20"/>
          <w:w w:val="105"/>
        </w:rPr>
        <w:t>Hg)</w:t>
      </w:r>
      <w:r>
        <w:rPr>
          <w:color w:val="231F20"/>
          <w:spacing w:val="-18"/>
          <w:w w:val="105"/>
        </w:rPr>
        <w:t> </w:t>
      </w:r>
      <w:r>
        <w:rPr>
          <w:color w:val="231F20"/>
          <w:w w:val="105"/>
        </w:rPr>
        <w:t>would</w:t>
      </w:r>
      <w:r>
        <w:rPr>
          <w:color w:val="231F20"/>
          <w:spacing w:val="-17"/>
          <w:w w:val="105"/>
        </w:rPr>
        <w:t> </w:t>
      </w:r>
      <w:r>
        <w:rPr>
          <w:color w:val="231F20"/>
          <w:w w:val="105"/>
        </w:rPr>
        <w:t>cause</w:t>
      </w:r>
      <w:r>
        <w:rPr>
          <w:color w:val="231F20"/>
          <w:spacing w:val="-18"/>
          <w:w w:val="105"/>
        </w:rPr>
        <w:t> </w:t>
      </w:r>
      <w:r>
        <w:rPr>
          <w:color w:val="231F20"/>
          <w:w w:val="105"/>
        </w:rPr>
        <w:t>a</w:t>
      </w:r>
      <w:r>
        <w:rPr>
          <w:color w:val="231F20"/>
          <w:spacing w:val="-18"/>
          <w:w w:val="105"/>
        </w:rPr>
        <w:t> </w:t>
      </w:r>
      <w:r>
        <w:rPr>
          <w:color w:val="231F20"/>
          <w:w w:val="105"/>
        </w:rPr>
        <w:t>similar</w:t>
      </w:r>
      <w:r>
        <w:rPr>
          <w:color w:val="231F20"/>
          <w:spacing w:val="-18"/>
          <w:w w:val="105"/>
        </w:rPr>
        <w:t> </w:t>
      </w:r>
      <w:r>
        <w:rPr>
          <w:color w:val="231F20"/>
          <w:w w:val="105"/>
        </w:rPr>
        <w:t>25</w:t>
      </w:r>
      <w:r>
        <w:rPr>
          <w:color w:val="231F20"/>
          <w:spacing w:val="-18"/>
          <w:w w:val="105"/>
        </w:rPr>
        <w:t> </w:t>
      </w:r>
      <w:r>
        <w:rPr>
          <w:color w:val="231F20"/>
          <w:w w:val="105"/>
        </w:rPr>
        <w:t>percent</w:t>
      </w:r>
      <w:r>
        <w:rPr>
          <w:color w:val="231F20"/>
          <w:spacing w:val="-18"/>
          <w:w w:val="105"/>
        </w:rPr>
        <w:t> </w:t>
      </w:r>
      <w:r>
        <w:rPr>
          <w:color w:val="231F20"/>
          <w:w w:val="105"/>
        </w:rPr>
        <w:t>increase</w:t>
      </w:r>
      <w:r>
        <w:rPr>
          <w:color w:val="231F20"/>
          <w:spacing w:val="-18"/>
          <w:w w:val="105"/>
        </w:rPr>
        <w:t> </w:t>
      </w:r>
      <w:r>
        <w:rPr>
          <w:color w:val="231F20"/>
          <w:spacing w:val="-6"/>
          <w:w w:val="105"/>
        </w:rPr>
        <w:t>in </w:t>
      </w:r>
      <w:r>
        <w:rPr>
          <w:color w:val="231F20"/>
          <w:w w:val="105"/>
        </w:rPr>
        <w:t>GFR</w:t>
      </w:r>
      <w:r>
        <w:rPr>
          <w:color w:val="231F20"/>
          <w:spacing w:val="-11"/>
          <w:w w:val="105"/>
        </w:rPr>
        <w:t> </w:t>
      </w:r>
      <w:r>
        <w:rPr>
          <w:color w:val="231F20"/>
          <w:w w:val="105"/>
        </w:rPr>
        <w:t>(from</w:t>
      </w:r>
      <w:r>
        <w:rPr>
          <w:color w:val="231F20"/>
          <w:spacing w:val="-10"/>
          <w:w w:val="105"/>
        </w:rPr>
        <w:t> </w:t>
      </w:r>
      <w:r>
        <w:rPr>
          <w:color w:val="231F20"/>
          <w:w w:val="105"/>
        </w:rPr>
        <w:t>about</w:t>
      </w:r>
      <w:r>
        <w:rPr>
          <w:color w:val="231F20"/>
          <w:spacing w:val="-10"/>
          <w:w w:val="105"/>
        </w:rPr>
        <w:t> </w:t>
      </w:r>
      <w:r>
        <w:rPr>
          <w:color w:val="231F20"/>
          <w:w w:val="105"/>
        </w:rPr>
        <w:t>180</w:t>
      </w:r>
      <w:r>
        <w:rPr>
          <w:color w:val="231F20"/>
          <w:spacing w:val="-10"/>
          <w:w w:val="105"/>
        </w:rPr>
        <w:t> </w:t>
      </w:r>
      <w:r>
        <w:rPr>
          <w:color w:val="231F20"/>
          <w:w w:val="105"/>
        </w:rPr>
        <w:t>to</w:t>
      </w:r>
      <w:r>
        <w:rPr>
          <w:color w:val="231F20"/>
          <w:spacing w:val="-11"/>
          <w:w w:val="105"/>
        </w:rPr>
        <w:t> </w:t>
      </w:r>
      <w:r>
        <w:rPr>
          <w:color w:val="231F20"/>
          <w:w w:val="105"/>
        </w:rPr>
        <w:t>225</w:t>
      </w:r>
      <w:r>
        <w:rPr>
          <w:color w:val="231F20"/>
          <w:spacing w:val="-11"/>
          <w:w w:val="105"/>
        </w:rPr>
        <w:t> </w:t>
      </w:r>
      <w:r>
        <w:rPr>
          <w:color w:val="231F20"/>
          <w:w w:val="105"/>
        </w:rPr>
        <w:t>L/day).</w:t>
      </w:r>
      <w:r>
        <w:rPr>
          <w:color w:val="231F20"/>
          <w:spacing w:val="-10"/>
          <w:w w:val="105"/>
        </w:rPr>
        <w:t> </w:t>
      </w:r>
      <w:r>
        <w:rPr>
          <w:color w:val="231F20"/>
          <w:w w:val="105"/>
        </w:rPr>
        <w:t>If</w:t>
      </w:r>
      <w:r>
        <w:rPr>
          <w:color w:val="231F20"/>
          <w:spacing w:val="-10"/>
          <w:w w:val="105"/>
        </w:rPr>
        <w:t> </w:t>
      </w:r>
      <w:r>
        <w:rPr>
          <w:color w:val="231F20"/>
          <w:w w:val="105"/>
        </w:rPr>
        <w:t>tubular</w:t>
      </w:r>
      <w:r>
        <w:rPr>
          <w:color w:val="231F20"/>
          <w:spacing w:val="-10"/>
          <w:w w:val="105"/>
        </w:rPr>
        <w:t> </w:t>
      </w:r>
      <w:r>
        <w:rPr>
          <w:color w:val="231F20"/>
          <w:w w:val="105"/>
        </w:rPr>
        <w:t>reabsorp­ tion remained constant at 178.5 </w:t>
      </w:r>
      <w:r>
        <w:rPr>
          <w:color w:val="231F20"/>
          <w:spacing w:val="-3"/>
          <w:w w:val="105"/>
        </w:rPr>
        <w:t>L/day, </w:t>
      </w:r>
      <w:r>
        <w:rPr>
          <w:color w:val="231F20"/>
          <w:w w:val="105"/>
        </w:rPr>
        <w:t>the urine </w:t>
      </w:r>
      <w:r>
        <w:rPr>
          <w:color w:val="231F20"/>
          <w:spacing w:val="-4"/>
          <w:w w:val="105"/>
        </w:rPr>
        <w:t>flow </w:t>
      </w:r>
      <w:r>
        <w:rPr>
          <w:color w:val="231F20"/>
          <w:w w:val="105"/>
        </w:rPr>
        <w:t>would</w:t>
      </w:r>
      <w:r>
        <w:rPr>
          <w:color w:val="231F20"/>
          <w:spacing w:val="-33"/>
          <w:w w:val="105"/>
        </w:rPr>
        <w:t> </w:t>
      </w:r>
      <w:r>
        <w:rPr>
          <w:color w:val="231F20"/>
          <w:w w:val="105"/>
        </w:rPr>
        <w:t>increase</w:t>
      </w:r>
      <w:r>
        <w:rPr>
          <w:color w:val="231F20"/>
          <w:spacing w:val="-33"/>
          <w:w w:val="105"/>
        </w:rPr>
        <w:t> </w:t>
      </w:r>
      <w:r>
        <w:rPr>
          <w:color w:val="231F20"/>
          <w:w w:val="105"/>
        </w:rPr>
        <w:t>to</w:t>
      </w:r>
      <w:r>
        <w:rPr>
          <w:color w:val="231F20"/>
          <w:spacing w:val="-33"/>
          <w:w w:val="105"/>
        </w:rPr>
        <w:t> </w:t>
      </w:r>
      <w:r>
        <w:rPr>
          <w:color w:val="231F20"/>
          <w:w w:val="105"/>
        </w:rPr>
        <w:t>46.5</w:t>
      </w:r>
      <w:r>
        <w:rPr>
          <w:color w:val="231F20"/>
          <w:spacing w:val="-23"/>
          <w:w w:val="105"/>
        </w:rPr>
        <w:t> </w:t>
      </w:r>
      <w:r>
        <w:rPr>
          <w:color w:val="231F20"/>
          <w:w w:val="105"/>
        </w:rPr>
        <w:t>L/day</w:t>
      </w:r>
      <w:r>
        <w:rPr>
          <w:color w:val="231F20"/>
          <w:spacing w:val="-33"/>
          <w:w w:val="105"/>
        </w:rPr>
        <w:t> </w:t>
      </w:r>
      <w:r>
        <w:rPr>
          <w:color w:val="231F20"/>
          <w:w w:val="105"/>
        </w:rPr>
        <w:t>(the</w:t>
      </w:r>
      <w:r>
        <w:rPr>
          <w:color w:val="231F20"/>
          <w:spacing w:val="-33"/>
          <w:w w:val="105"/>
        </w:rPr>
        <w:t> </w:t>
      </w:r>
      <w:r>
        <w:rPr>
          <w:color w:val="231F20"/>
          <w:w w:val="105"/>
        </w:rPr>
        <w:t>difference</w:t>
      </w:r>
      <w:r>
        <w:rPr>
          <w:color w:val="231F20"/>
          <w:spacing w:val="-33"/>
          <w:w w:val="105"/>
        </w:rPr>
        <w:t> </w:t>
      </w:r>
      <w:r>
        <w:rPr>
          <w:color w:val="231F20"/>
          <w:w w:val="105"/>
        </w:rPr>
        <w:t>between</w:t>
      </w:r>
      <w:r>
        <w:rPr>
          <w:color w:val="231F20"/>
          <w:spacing w:val="-33"/>
          <w:w w:val="105"/>
        </w:rPr>
        <w:t> </w:t>
      </w:r>
      <w:r>
        <w:rPr>
          <w:color w:val="231F20"/>
          <w:spacing w:val="-5"/>
          <w:w w:val="105"/>
        </w:rPr>
        <w:t>GFR </w:t>
      </w:r>
      <w:r>
        <w:rPr>
          <w:color w:val="231F20"/>
          <w:w w:val="105"/>
        </w:rPr>
        <w:t>and tubular reabsorption)—a total increase in urine </w:t>
      </w:r>
      <w:r>
        <w:rPr>
          <w:color w:val="231F20"/>
          <w:spacing w:val="-6"/>
          <w:w w:val="105"/>
        </w:rPr>
        <w:t>of </w:t>
      </w:r>
      <w:r>
        <w:rPr>
          <w:color w:val="231F20"/>
          <w:w w:val="105"/>
        </w:rPr>
        <w:t>more</w:t>
      </w:r>
      <w:r>
        <w:rPr>
          <w:color w:val="231F20"/>
          <w:spacing w:val="11"/>
          <w:w w:val="105"/>
        </w:rPr>
        <w:t> </w:t>
      </w:r>
      <w:r>
        <w:rPr>
          <w:color w:val="231F20"/>
          <w:w w:val="105"/>
        </w:rPr>
        <w:t>than</w:t>
      </w:r>
      <w:r>
        <w:rPr>
          <w:color w:val="231F20"/>
          <w:spacing w:val="12"/>
          <w:w w:val="105"/>
        </w:rPr>
        <w:t> </w:t>
      </w:r>
      <w:r>
        <w:rPr>
          <w:color w:val="231F20"/>
          <w:w w:val="105"/>
        </w:rPr>
        <w:t>30­fold.</w:t>
      </w:r>
      <w:r>
        <w:rPr>
          <w:color w:val="231F20"/>
          <w:spacing w:val="12"/>
          <w:w w:val="105"/>
        </w:rPr>
        <w:t> </w:t>
      </w:r>
      <w:r>
        <w:rPr>
          <w:color w:val="231F20"/>
          <w:w w:val="105"/>
        </w:rPr>
        <w:t>Because</w:t>
      </w:r>
      <w:r>
        <w:rPr>
          <w:color w:val="231F20"/>
          <w:spacing w:val="11"/>
          <w:w w:val="105"/>
        </w:rPr>
        <w:t> </w:t>
      </w:r>
      <w:r>
        <w:rPr>
          <w:color w:val="231F20"/>
          <w:w w:val="105"/>
        </w:rPr>
        <w:t>the</w:t>
      </w:r>
      <w:r>
        <w:rPr>
          <w:color w:val="231F20"/>
          <w:spacing w:val="12"/>
          <w:w w:val="105"/>
        </w:rPr>
        <w:t> </w:t>
      </w:r>
      <w:r>
        <w:rPr>
          <w:color w:val="231F20"/>
          <w:w w:val="105"/>
        </w:rPr>
        <w:t>total</w:t>
      </w:r>
      <w:r>
        <w:rPr>
          <w:color w:val="231F20"/>
          <w:spacing w:val="12"/>
          <w:w w:val="105"/>
        </w:rPr>
        <w:t> </w:t>
      </w:r>
      <w:r>
        <w:rPr>
          <w:color w:val="231F20"/>
          <w:w w:val="105"/>
        </w:rPr>
        <w:t>plasma</w:t>
      </w:r>
      <w:r>
        <w:rPr>
          <w:color w:val="231F20"/>
          <w:spacing w:val="11"/>
          <w:w w:val="105"/>
        </w:rPr>
        <w:t> </w:t>
      </w:r>
      <w:r>
        <w:rPr>
          <w:color w:val="231F20"/>
          <w:w w:val="105"/>
        </w:rPr>
        <w:t>volume</w:t>
      </w:r>
      <w:r>
        <w:rPr>
          <w:color w:val="231F20"/>
          <w:spacing w:val="12"/>
          <w:w w:val="105"/>
        </w:rPr>
        <w:t> </w:t>
      </w:r>
      <w:r>
        <w:rPr>
          <w:color w:val="231F20"/>
          <w:w w:val="105"/>
        </w:rPr>
        <w:t>is</w:t>
      </w:r>
    </w:p>
    <w:p>
      <w:pPr>
        <w:pStyle w:val="BodyText"/>
        <w:spacing w:line="249" w:lineRule="auto" w:before="127"/>
        <w:ind w:left="319" w:right="1077"/>
        <w:jc w:val="both"/>
      </w:pPr>
      <w:r>
        <w:rPr/>
        <w:br w:type="column"/>
      </w:r>
      <w:r>
        <w:rPr>
          <w:color w:val="231F20"/>
          <w:w w:val="105"/>
        </w:rPr>
        <w:t>The</w:t>
      </w:r>
      <w:r>
        <w:rPr>
          <w:color w:val="231F20"/>
          <w:spacing w:val="-30"/>
          <w:w w:val="105"/>
        </w:rPr>
        <w:t> </w:t>
      </w:r>
      <w:r>
        <w:rPr>
          <w:color w:val="231F20"/>
          <w:w w:val="105"/>
        </w:rPr>
        <w:t>kidneys</w:t>
      </w:r>
      <w:r>
        <w:rPr>
          <w:color w:val="231F20"/>
          <w:spacing w:val="-29"/>
          <w:w w:val="105"/>
        </w:rPr>
        <w:t> </w:t>
      </w:r>
      <w:r>
        <w:rPr>
          <w:color w:val="231F20"/>
          <w:w w:val="105"/>
        </w:rPr>
        <w:t>have</w:t>
      </w:r>
      <w:r>
        <w:rPr>
          <w:color w:val="231F20"/>
          <w:spacing w:val="-30"/>
          <w:w w:val="105"/>
        </w:rPr>
        <w:t> </w:t>
      </w:r>
      <w:r>
        <w:rPr>
          <w:color w:val="231F20"/>
          <w:w w:val="105"/>
        </w:rPr>
        <w:t>a</w:t>
      </w:r>
      <w:r>
        <w:rPr>
          <w:color w:val="231F20"/>
          <w:spacing w:val="-29"/>
          <w:w w:val="105"/>
        </w:rPr>
        <w:t> </w:t>
      </w:r>
      <w:r>
        <w:rPr>
          <w:color w:val="231F20"/>
          <w:w w:val="105"/>
        </w:rPr>
        <w:t>special</w:t>
      </w:r>
      <w:r>
        <w:rPr>
          <w:color w:val="231F20"/>
          <w:spacing w:val="-29"/>
          <w:w w:val="105"/>
        </w:rPr>
        <w:t> </w:t>
      </w:r>
      <w:r>
        <w:rPr>
          <w:color w:val="231F20"/>
          <w:w w:val="105"/>
        </w:rPr>
        <w:t>feedback</w:t>
      </w:r>
      <w:r>
        <w:rPr>
          <w:color w:val="231F20"/>
          <w:spacing w:val="-30"/>
          <w:w w:val="105"/>
        </w:rPr>
        <w:t> </w:t>
      </w:r>
      <w:r>
        <w:rPr>
          <w:color w:val="231F20"/>
          <w:w w:val="105"/>
        </w:rPr>
        <w:t>mechanism</w:t>
      </w:r>
      <w:r>
        <w:rPr>
          <w:color w:val="231F20"/>
          <w:spacing w:val="-29"/>
          <w:w w:val="105"/>
        </w:rPr>
        <w:t> </w:t>
      </w:r>
      <w:r>
        <w:rPr>
          <w:color w:val="231F20"/>
          <w:w w:val="105"/>
        </w:rPr>
        <w:t>that</w:t>
      </w:r>
      <w:r>
        <w:rPr>
          <w:color w:val="231F20"/>
          <w:spacing w:val="-30"/>
          <w:w w:val="105"/>
        </w:rPr>
        <w:t> </w:t>
      </w:r>
      <w:r>
        <w:rPr>
          <w:color w:val="231F20"/>
          <w:w w:val="105"/>
        </w:rPr>
        <w:t>links changes in sodium chloride concentration at the macula densa with the control of renal arteriolar resistance </w:t>
      </w:r>
      <w:r>
        <w:rPr>
          <w:color w:val="231F20"/>
          <w:spacing w:val="-4"/>
          <w:w w:val="105"/>
        </w:rPr>
        <w:t>and </w:t>
      </w:r>
      <w:r>
        <w:rPr>
          <w:color w:val="231F20"/>
          <w:w w:val="105"/>
        </w:rPr>
        <w:t>autoregulation</w:t>
      </w:r>
      <w:r>
        <w:rPr>
          <w:color w:val="231F20"/>
          <w:spacing w:val="-25"/>
          <w:w w:val="105"/>
        </w:rPr>
        <w:t> </w:t>
      </w:r>
      <w:r>
        <w:rPr>
          <w:color w:val="231F20"/>
          <w:w w:val="105"/>
        </w:rPr>
        <w:t>of</w:t>
      </w:r>
      <w:r>
        <w:rPr>
          <w:color w:val="231F20"/>
          <w:spacing w:val="-24"/>
          <w:w w:val="105"/>
        </w:rPr>
        <w:t> </w:t>
      </w:r>
      <w:r>
        <w:rPr>
          <w:color w:val="231F20"/>
          <w:w w:val="105"/>
        </w:rPr>
        <w:t>GFR.</w:t>
      </w:r>
      <w:r>
        <w:rPr>
          <w:color w:val="231F20"/>
          <w:spacing w:val="-24"/>
          <w:w w:val="105"/>
        </w:rPr>
        <w:t> </w:t>
      </w:r>
      <w:r>
        <w:rPr>
          <w:color w:val="231F20"/>
          <w:w w:val="105"/>
        </w:rPr>
        <w:t>This</w:t>
      </w:r>
      <w:r>
        <w:rPr>
          <w:color w:val="231F20"/>
          <w:spacing w:val="-24"/>
          <w:w w:val="105"/>
        </w:rPr>
        <w:t> </w:t>
      </w:r>
      <w:r>
        <w:rPr>
          <w:color w:val="231F20"/>
          <w:w w:val="105"/>
        </w:rPr>
        <w:t>feedback</w:t>
      </w:r>
      <w:r>
        <w:rPr>
          <w:color w:val="231F20"/>
          <w:spacing w:val="-25"/>
          <w:w w:val="105"/>
        </w:rPr>
        <w:t> </w:t>
      </w:r>
      <w:r>
        <w:rPr>
          <w:color w:val="231F20"/>
          <w:w w:val="105"/>
        </w:rPr>
        <w:t>helps</w:t>
      </w:r>
      <w:r>
        <w:rPr>
          <w:color w:val="231F20"/>
          <w:spacing w:val="-24"/>
          <w:w w:val="105"/>
        </w:rPr>
        <w:t> </w:t>
      </w:r>
      <w:r>
        <w:rPr>
          <w:color w:val="231F20"/>
          <w:w w:val="105"/>
        </w:rPr>
        <w:t>ensure</w:t>
      </w:r>
      <w:r>
        <w:rPr>
          <w:color w:val="231F20"/>
          <w:spacing w:val="-24"/>
          <w:w w:val="105"/>
        </w:rPr>
        <w:t> </w:t>
      </w:r>
      <w:r>
        <w:rPr>
          <w:color w:val="231F20"/>
          <w:w w:val="105"/>
        </w:rPr>
        <w:t>a</w:t>
      </w:r>
      <w:r>
        <w:rPr>
          <w:color w:val="231F20"/>
          <w:spacing w:val="-24"/>
          <w:w w:val="105"/>
        </w:rPr>
        <w:t> </w:t>
      </w:r>
      <w:r>
        <w:rPr>
          <w:color w:val="231F20"/>
          <w:w w:val="105"/>
        </w:rPr>
        <w:t>rela­ tively constant delivery of sodium chloride to the distal tubule and helps prevent spurious fluctuations in </w:t>
      </w:r>
      <w:r>
        <w:rPr>
          <w:color w:val="231F20"/>
          <w:spacing w:val="-4"/>
          <w:w w:val="105"/>
        </w:rPr>
        <w:t>renal </w:t>
      </w:r>
      <w:r>
        <w:rPr>
          <w:color w:val="231F20"/>
          <w:w w:val="105"/>
        </w:rPr>
        <w:t>excretion that would otherwise </w:t>
      </w:r>
      <w:r>
        <w:rPr>
          <w:color w:val="231F20"/>
          <w:spacing w:val="-3"/>
          <w:w w:val="105"/>
        </w:rPr>
        <w:t>occur. </w:t>
      </w:r>
      <w:r>
        <w:rPr>
          <w:color w:val="231F20"/>
          <w:w w:val="105"/>
        </w:rPr>
        <w:t>In many circum­ stances,</w:t>
      </w:r>
      <w:r>
        <w:rPr>
          <w:color w:val="231F20"/>
          <w:spacing w:val="-18"/>
          <w:w w:val="105"/>
        </w:rPr>
        <w:t> </w:t>
      </w:r>
      <w:r>
        <w:rPr>
          <w:color w:val="231F20"/>
          <w:w w:val="105"/>
        </w:rPr>
        <w:t>this</w:t>
      </w:r>
      <w:r>
        <w:rPr>
          <w:color w:val="231F20"/>
          <w:spacing w:val="-17"/>
          <w:w w:val="105"/>
        </w:rPr>
        <w:t> </w:t>
      </w:r>
      <w:r>
        <w:rPr>
          <w:color w:val="231F20"/>
          <w:w w:val="105"/>
        </w:rPr>
        <w:t>feedback</w:t>
      </w:r>
      <w:r>
        <w:rPr>
          <w:color w:val="231F20"/>
          <w:spacing w:val="-17"/>
          <w:w w:val="105"/>
        </w:rPr>
        <w:t> </w:t>
      </w:r>
      <w:r>
        <w:rPr>
          <w:color w:val="231F20"/>
          <w:w w:val="105"/>
        </w:rPr>
        <w:t>autoregulates</w:t>
      </w:r>
      <w:r>
        <w:rPr>
          <w:color w:val="231F20"/>
          <w:spacing w:val="-17"/>
          <w:w w:val="105"/>
        </w:rPr>
        <w:t> </w:t>
      </w:r>
      <w:r>
        <w:rPr>
          <w:color w:val="231F20"/>
          <w:w w:val="105"/>
        </w:rPr>
        <w:t>renal</w:t>
      </w:r>
      <w:r>
        <w:rPr>
          <w:color w:val="231F20"/>
          <w:spacing w:val="-17"/>
          <w:w w:val="105"/>
        </w:rPr>
        <w:t> </w:t>
      </w:r>
      <w:r>
        <w:rPr>
          <w:color w:val="231F20"/>
          <w:w w:val="105"/>
        </w:rPr>
        <w:t>blood</w:t>
      </w:r>
      <w:r>
        <w:rPr>
          <w:color w:val="231F20"/>
          <w:spacing w:val="-17"/>
          <w:w w:val="105"/>
        </w:rPr>
        <w:t> </w:t>
      </w:r>
      <w:r>
        <w:rPr>
          <w:color w:val="231F20"/>
          <w:w w:val="105"/>
        </w:rPr>
        <w:t>flow</w:t>
      </w:r>
      <w:r>
        <w:rPr>
          <w:color w:val="231F20"/>
          <w:spacing w:val="-18"/>
          <w:w w:val="105"/>
        </w:rPr>
        <w:t> </w:t>
      </w:r>
      <w:r>
        <w:rPr>
          <w:color w:val="231F20"/>
          <w:w w:val="105"/>
        </w:rPr>
        <w:t>and GFR</w:t>
      </w:r>
      <w:r>
        <w:rPr>
          <w:color w:val="231F20"/>
          <w:spacing w:val="-30"/>
          <w:w w:val="105"/>
        </w:rPr>
        <w:t> </w:t>
      </w:r>
      <w:r>
        <w:rPr>
          <w:color w:val="231F20"/>
          <w:w w:val="105"/>
        </w:rPr>
        <w:t>in</w:t>
      </w:r>
      <w:r>
        <w:rPr>
          <w:color w:val="231F20"/>
          <w:spacing w:val="-29"/>
          <w:w w:val="105"/>
        </w:rPr>
        <w:t> </w:t>
      </w:r>
      <w:r>
        <w:rPr>
          <w:color w:val="231F20"/>
          <w:w w:val="105"/>
        </w:rPr>
        <w:t>parallel.</w:t>
      </w:r>
      <w:r>
        <w:rPr>
          <w:color w:val="231F20"/>
          <w:spacing w:val="-29"/>
          <w:w w:val="105"/>
        </w:rPr>
        <w:t> </w:t>
      </w:r>
      <w:r>
        <w:rPr>
          <w:color w:val="231F20"/>
          <w:w w:val="105"/>
        </w:rPr>
        <w:t>However,</w:t>
      </w:r>
      <w:r>
        <w:rPr>
          <w:color w:val="231F20"/>
          <w:spacing w:val="-29"/>
          <w:w w:val="105"/>
        </w:rPr>
        <w:t> </w:t>
      </w:r>
      <w:r>
        <w:rPr>
          <w:color w:val="231F20"/>
          <w:w w:val="105"/>
        </w:rPr>
        <w:t>because</w:t>
      </w:r>
      <w:r>
        <w:rPr>
          <w:color w:val="231F20"/>
          <w:spacing w:val="-30"/>
          <w:w w:val="105"/>
        </w:rPr>
        <w:t> </w:t>
      </w:r>
      <w:r>
        <w:rPr>
          <w:color w:val="231F20"/>
          <w:w w:val="105"/>
        </w:rPr>
        <w:t>this</w:t>
      </w:r>
      <w:r>
        <w:rPr>
          <w:color w:val="231F20"/>
          <w:spacing w:val="-29"/>
          <w:w w:val="105"/>
        </w:rPr>
        <w:t> </w:t>
      </w:r>
      <w:r>
        <w:rPr>
          <w:color w:val="231F20"/>
          <w:w w:val="105"/>
        </w:rPr>
        <w:t>mechanism</w:t>
      </w:r>
      <w:r>
        <w:rPr>
          <w:color w:val="231F20"/>
          <w:spacing w:val="-29"/>
          <w:w w:val="105"/>
        </w:rPr>
        <w:t> </w:t>
      </w:r>
      <w:r>
        <w:rPr>
          <w:color w:val="231F20"/>
          <w:w w:val="105"/>
        </w:rPr>
        <w:t>is</w:t>
      </w:r>
      <w:r>
        <w:rPr>
          <w:color w:val="231F20"/>
          <w:spacing w:val="-29"/>
          <w:w w:val="105"/>
        </w:rPr>
        <w:t> </w:t>
      </w:r>
      <w:r>
        <w:rPr>
          <w:color w:val="231F20"/>
          <w:w w:val="105"/>
        </w:rPr>
        <w:t>spe­ </w:t>
      </w:r>
      <w:r>
        <w:rPr>
          <w:color w:val="231F20"/>
        </w:rPr>
        <w:t>cifically directed toward stabilizing sodium chloride</w:t>
      </w:r>
      <w:r>
        <w:rPr>
          <w:color w:val="231F20"/>
          <w:spacing w:val="-34"/>
        </w:rPr>
        <w:t> </w:t>
      </w:r>
      <w:r>
        <w:rPr>
          <w:color w:val="231F20"/>
        </w:rPr>
        <w:t>deliv­ </w:t>
      </w:r>
      <w:r>
        <w:rPr>
          <w:color w:val="231F20"/>
          <w:w w:val="105"/>
        </w:rPr>
        <w:t>ery to the distal tubule, instances occur when GFR is autoregulated at the expense of changes in renal blood </w:t>
      </w:r>
      <w:r>
        <w:rPr>
          <w:color w:val="231F20"/>
          <w:spacing w:val="-3"/>
          <w:w w:val="105"/>
        </w:rPr>
        <w:t>flow,</w:t>
      </w:r>
      <w:r>
        <w:rPr>
          <w:color w:val="231F20"/>
          <w:spacing w:val="-30"/>
          <w:w w:val="105"/>
        </w:rPr>
        <w:t> </w:t>
      </w:r>
      <w:r>
        <w:rPr>
          <w:color w:val="231F20"/>
          <w:w w:val="105"/>
        </w:rPr>
        <w:t>as</w:t>
      </w:r>
      <w:r>
        <w:rPr>
          <w:color w:val="231F20"/>
          <w:spacing w:val="-29"/>
          <w:w w:val="105"/>
        </w:rPr>
        <w:t> </w:t>
      </w:r>
      <w:r>
        <w:rPr>
          <w:color w:val="231F20"/>
          <w:w w:val="105"/>
        </w:rPr>
        <w:t>discussed</w:t>
      </w:r>
      <w:r>
        <w:rPr>
          <w:color w:val="231F20"/>
          <w:spacing w:val="-30"/>
          <w:w w:val="105"/>
        </w:rPr>
        <w:t> </w:t>
      </w:r>
      <w:r>
        <w:rPr>
          <w:color w:val="231F20"/>
          <w:spacing w:val="-4"/>
          <w:w w:val="105"/>
        </w:rPr>
        <w:t>later.</w:t>
      </w:r>
      <w:r>
        <w:rPr>
          <w:color w:val="231F20"/>
          <w:spacing w:val="-29"/>
          <w:w w:val="105"/>
        </w:rPr>
        <w:t> </w:t>
      </w:r>
      <w:r>
        <w:rPr>
          <w:color w:val="231F20"/>
          <w:w w:val="105"/>
        </w:rPr>
        <w:t>In</w:t>
      </w:r>
      <w:r>
        <w:rPr>
          <w:color w:val="231F20"/>
          <w:spacing w:val="-30"/>
          <w:w w:val="105"/>
        </w:rPr>
        <w:t> </w:t>
      </w:r>
      <w:r>
        <w:rPr>
          <w:color w:val="231F20"/>
          <w:w w:val="105"/>
        </w:rPr>
        <w:t>other</w:t>
      </w:r>
      <w:r>
        <w:rPr>
          <w:color w:val="231F20"/>
          <w:spacing w:val="-29"/>
          <w:w w:val="105"/>
        </w:rPr>
        <w:t> </w:t>
      </w:r>
      <w:r>
        <w:rPr>
          <w:color w:val="231F20"/>
          <w:w w:val="105"/>
        </w:rPr>
        <w:t>instances,</w:t>
      </w:r>
      <w:r>
        <w:rPr>
          <w:color w:val="231F20"/>
          <w:spacing w:val="-30"/>
          <w:w w:val="105"/>
        </w:rPr>
        <w:t> </w:t>
      </w:r>
      <w:r>
        <w:rPr>
          <w:color w:val="231F20"/>
          <w:w w:val="105"/>
        </w:rPr>
        <w:t>this</w:t>
      </w:r>
      <w:r>
        <w:rPr>
          <w:color w:val="231F20"/>
          <w:spacing w:val="-29"/>
          <w:w w:val="105"/>
        </w:rPr>
        <w:t> </w:t>
      </w:r>
      <w:r>
        <w:rPr>
          <w:color w:val="231F20"/>
          <w:w w:val="105"/>
        </w:rPr>
        <w:t>mechanism may</w:t>
      </w:r>
      <w:r>
        <w:rPr>
          <w:color w:val="231F20"/>
          <w:spacing w:val="-30"/>
          <w:w w:val="105"/>
        </w:rPr>
        <w:t> </w:t>
      </w:r>
      <w:r>
        <w:rPr>
          <w:color w:val="231F20"/>
          <w:w w:val="105"/>
        </w:rPr>
        <w:t>actually</w:t>
      </w:r>
      <w:r>
        <w:rPr>
          <w:color w:val="231F20"/>
          <w:spacing w:val="-29"/>
          <w:w w:val="105"/>
        </w:rPr>
        <w:t> </w:t>
      </w:r>
      <w:r>
        <w:rPr>
          <w:color w:val="231F20"/>
          <w:w w:val="105"/>
        </w:rPr>
        <w:t>cause</w:t>
      </w:r>
      <w:r>
        <w:rPr>
          <w:color w:val="231F20"/>
          <w:spacing w:val="-30"/>
          <w:w w:val="105"/>
        </w:rPr>
        <w:t> </w:t>
      </w:r>
      <w:r>
        <w:rPr>
          <w:color w:val="231F20"/>
          <w:w w:val="105"/>
        </w:rPr>
        <w:t>changes</w:t>
      </w:r>
      <w:r>
        <w:rPr>
          <w:color w:val="231F20"/>
          <w:spacing w:val="-29"/>
          <w:w w:val="105"/>
        </w:rPr>
        <w:t> </w:t>
      </w:r>
      <w:r>
        <w:rPr>
          <w:color w:val="231F20"/>
          <w:w w:val="105"/>
        </w:rPr>
        <w:t>in</w:t>
      </w:r>
      <w:r>
        <w:rPr>
          <w:color w:val="231F20"/>
          <w:spacing w:val="-29"/>
          <w:w w:val="105"/>
        </w:rPr>
        <w:t> </w:t>
      </w:r>
      <w:r>
        <w:rPr>
          <w:color w:val="231F20"/>
          <w:w w:val="105"/>
        </w:rPr>
        <w:t>GFR</w:t>
      </w:r>
      <w:r>
        <w:rPr>
          <w:color w:val="231F20"/>
          <w:spacing w:val="-30"/>
          <w:w w:val="105"/>
        </w:rPr>
        <w:t> </w:t>
      </w:r>
      <w:r>
        <w:rPr>
          <w:color w:val="231F20"/>
          <w:w w:val="105"/>
        </w:rPr>
        <w:t>in</w:t>
      </w:r>
      <w:r>
        <w:rPr>
          <w:color w:val="231F20"/>
          <w:spacing w:val="-29"/>
          <w:w w:val="105"/>
        </w:rPr>
        <w:t> </w:t>
      </w:r>
      <w:r>
        <w:rPr>
          <w:color w:val="231F20"/>
          <w:w w:val="105"/>
        </w:rPr>
        <w:t>response</w:t>
      </w:r>
      <w:r>
        <w:rPr>
          <w:color w:val="231F20"/>
          <w:spacing w:val="-29"/>
          <w:w w:val="105"/>
        </w:rPr>
        <w:t> </w:t>
      </w:r>
      <w:r>
        <w:rPr>
          <w:color w:val="231F20"/>
          <w:w w:val="105"/>
        </w:rPr>
        <w:t>to</w:t>
      </w:r>
      <w:r>
        <w:rPr>
          <w:color w:val="231F20"/>
          <w:spacing w:val="-30"/>
          <w:w w:val="105"/>
        </w:rPr>
        <w:t> </w:t>
      </w:r>
      <w:r>
        <w:rPr>
          <w:color w:val="231F20"/>
          <w:w w:val="105"/>
        </w:rPr>
        <w:t>primary changes in renal tubular sodium chloride</w:t>
      </w:r>
      <w:r>
        <w:rPr>
          <w:color w:val="231F20"/>
          <w:spacing w:val="-22"/>
          <w:w w:val="105"/>
        </w:rPr>
        <w:t> </w:t>
      </w:r>
      <w:r>
        <w:rPr>
          <w:color w:val="231F20"/>
          <w:w w:val="105"/>
        </w:rPr>
        <w:t>reabsorption.</w:t>
      </w:r>
    </w:p>
    <w:p>
      <w:pPr>
        <w:pStyle w:val="BodyText"/>
        <w:spacing w:line="249" w:lineRule="auto" w:before="12"/>
        <w:ind w:left="319" w:right="1079" w:firstLine="240"/>
        <w:jc w:val="both"/>
      </w:pPr>
      <w:r>
        <w:rPr>
          <w:color w:val="231F20"/>
          <w:w w:val="105"/>
        </w:rPr>
        <w:t>The tubuloglomerular feedback mechanism has </w:t>
      </w:r>
      <w:r>
        <w:rPr>
          <w:color w:val="231F20"/>
          <w:spacing w:val="-4"/>
          <w:w w:val="105"/>
        </w:rPr>
        <w:t>two </w:t>
      </w:r>
      <w:r>
        <w:rPr>
          <w:color w:val="231F20"/>
          <w:w w:val="105"/>
        </w:rPr>
        <w:t>components</w:t>
      </w:r>
      <w:r>
        <w:rPr>
          <w:color w:val="231F20"/>
          <w:spacing w:val="-20"/>
          <w:w w:val="105"/>
        </w:rPr>
        <w:t> </w:t>
      </w:r>
      <w:r>
        <w:rPr>
          <w:color w:val="231F20"/>
          <w:w w:val="105"/>
        </w:rPr>
        <w:t>that</w:t>
      </w:r>
      <w:r>
        <w:rPr>
          <w:color w:val="231F20"/>
          <w:spacing w:val="-20"/>
          <w:w w:val="105"/>
        </w:rPr>
        <w:t> </w:t>
      </w:r>
      <w:r>
        <w:rPr>
          <w:color w:val="231F20"/>
          <w:w w:val="105"/>
        </w:rPr>
        <w:t>act</w:t>
      </w:r>
      <w:r>
        <w:rPr>
          <w:color w:val="231F20"/>
          <w:spacing w:val="-20"/>
          <w:w w:val="105"/>
        </w:rPr>
        <w:t> </w:t>
      </w:r>
      <w:r>
        <w:rPr>
          <w:color w:val="231F20"/>
          <w:w w:val="105"/>
        </w:rPr>
        <w:t>together</w:t>
      </w:r>
      <w:r>
        <w:rPr>
          <w:color w:val="231F20"/>
          <w:spacing w:val="-20"/>
          <w:w w:val="105"/>
        </w:rPr>
        <w:t> </w:t>
      </w:r>
      <w:r>
        <w:rPr>
          <w:color w:val="231F20"/>
          <w:w w:val="105"/>
        </w:rPr>
        <w:t>to</w:t>
      </w:r>
      <w:r>
        <w:rPr>
          <w:color w:val="231F20"/>
          <w:spacing w:val="-20"/>
          <w:w w:val="105"/>
        </w:rPr>
        <w:t> </w:t>
      </w:r>
      <w:r>
        <w:rPr>
          <w:color w:val="231F20"/>
          <w:w w:val="105"/>
        </w:rPr>
        <w:t>control</w:t>
      </w:r>
      <w:r>
        <w:rPr>
          <w:color w:val="231F20"/>
          <w:spacing w:val="-20"/>
          <w:w w:val="105"/>
        </w:rPr>
        <w:t> </w:t>
      </w:r>
      <w:r>
        <w:rPr>
          <w:color w:val="231F20"/>
          <w:w w:val="105"/>
        </w:rPr>
        <w:t>GFR:</w:t>
      </w:r>
      <w:r>
        <w:rPr>
          <w:color w:val="231F20"/>
          <w:spacing w:val="-20"/>
          <w:w w:val="105"/>
        </w:rPr>
        <w:t> </w:t>
      </w:r>
      <w:r>
        <w:rPr>
          <w:color w:val="231F20"/>
          <w:w w:val="105"/>
        </w:rPr>
        <w:t>(1)</w:t>
      </w:r>
      <w:r>
        <w:rPr>
          <w:color w:val="231F20"/>
          <w:spacing w:val="-20"/>
          <w:w w:val="105"/>
        </w:rPr>
        <w:t> </w:t>
      </w:r>
      <w:r>
        <w:rPr>
          <w:color w:val="231F20"/>
          <w:w w:val="105"/>
        </w:rPr>
        <w:t>an</w:t>
      </w:r>
      <w:r>
        <w:rPr>
          <w:color w:val="231F20"/>
          <w:spacing w:val="-20"/>
          <w:w w:val="105"/>
        </w:rPr>
        <w:t> </w:t>
      </w:r>
      <w:r>
        <w:rPr>
          <w:color w:val="231F20"/>
          <w:spacing w:val="-4"/>
          <w:w w:val="105"/>
        </w:rPr>
        <w:t>affer­ </w:t>
      </w:r>
      <w:r>
        <w:rPr>
          <w:color w:val="231F20"/>
          <w:w w:val="105"/>
        </w:rPr>
        <w:t>ent arteriolar feedback mechanism and (2) an efferent arteriolar feedback mechanism. These feedback mecha­ nisms</w:t>
      </w:r>
      <w:r>
        <w:rPr>
          <w:color w:val="231F20"/>
          <w:spacing w:val="-9"/>
          <w:w w:val="105"/>
        </w:rPr>
        <w:t> </w:t>
      </w:r>
      <w:r>
        <w:rPr>
          <w:color w:val="231F20"/>
          <w:w w:val="105"/>
        </w:rPr>
        <w:t>depend</w:t>
      </w:r>
      <w:r>
        <w:rPr>
          <w:color w:val="231F20"/>
          <w:spacing w:val="-8"/>
          <w:w w:val="105"/>
        </w:rPr>
        <w:t> </w:t>
      </w:r>
      <w:r>
        <w:rPr>
          <w:color w:val="231F20"/>
          <w:w w:val="105"/>
        </w:rPr>
        <w:t>on</w:t>
      </w:r>
      <w:r>
        <w:rPr>
          <w:color w:val="231F20"/>
          <w:spacing w:val="-9"/>
          <w:w w:val="105"/>
        </w:rPr>
        <w:t> </w:t>
      </w:r>
      <w:r>
        <w:rPr>
          <w:color w:val="231F20"/>
          <w:w w:val="105"/>
        </w:rPr>
        <w:t>special</w:t>
      </w:r>
      <w:r>
        <w:rPr>
          <w:color w:val="231F20"/>
          <w:spacing w:val="-8"/>
          <w:w w:val="105"/>
        </w:rPr>
        <w:t> </w:t>
      </w:r>
      <w:r>
        <w:rPr>
          <w:color w:val="231F20"/>
          <w:w w:val="105"/>
        </w:rPr>
        <w:t>anatomical</w:t>
      </w:r>
      <w:r>
        <w:rPr>
          <w:color w:val="231F20"/>
          <w:spacing w:val="-8"/>
          <w:w w:val="105"/>
        </w:rPr>
        <w:t> </w:t>
      </w:r>
      <w:r>
        <w:rPr>
          <w:color w:val="231F20"/>
          <w:w w:val="105"/>
        </w:rPr>
        <w:t>arrangements</w:t>
      </w:r>
      <w:r>
        <w:rPr>
          <w:color w:val="231F20"/>
          <w:spacing w:val="-9"/>
          <w:w w:val="105"/>
        </w:rPr>
        <w:t> </w:t>
      </w:r>
      <w:r>
        <w:rPr>
          <w:color w:val="231F20"/>
          <w:w w:val="105"/>
        </w:rPr>
        <w:t>of</w:t>
      </w:r>
      <w:r>
        <w:rPr>
          <w:color w:val="231F20"/>
          <w:spacing w:val="-8"/>
          <w:w w:val="105"/>
        </w:rPr>
        <w:t> </w:t>
      </w:r>
      <w:r>
        <w:rPr>
          <w:color w:val="231F20"/>
          <w:spacing w:val="-6"/>
          <w:w w:val="105"/>
        </w:rPr>
        <w:t>the </w:t>
      </w:r>
      <w:r>
        <w:rPr>
          <w:i/>
          <w:color w:val="231F20"/>
          <w:w w:val="105"/>
        </w:rPr>
        <w:t>juxtaglomerular complex </w:t>
      </w:r>
      <w:r>
        <w:rPr>
          <w:color w:val="231F20"/>
          <w:w w:val="105"/>
        </w:rPr>
        <w:t>(</w:t>
      </w:r>
      <w:hyperlink w:history="true" w:anchor="_bookmark36">
        <w:r>
          <w:rPr>
            <w:b/>
            <w:color w:val="0080AC"/>
            <w:w w:val="105"/>
          </w:rPr>
          <w:t>Figure</w:t>
        </w:r>
        <w:r>
          <w:rPr>
            <w:b/>
            <w:color w:val="0080AC"/>
            <w:spacing w:val="-2"/>
            <w:w w:val="105"/>
          </w:rPr>
          <w:t> </w:t>
        </w:r>
        <w:r>
          <w:rPr>
            <w:b/>
            <w:color w:val="0080AC"/>
            <w:w w:val="105"/>
          </w:rPr>
          <w:t>27-10</w:t>
        </w:r>
      </w:hyperlink>
      <w:r>
        <w:rPr>
          <w:color w:val="231F20"/>
          <w:w w:val="105"/>
        </w:rPr>
        <w:t>).</w:t>
      </w:r>
    </w:p>
    <w:p>
      <w:pPr>
        <w:pStyle w:val="BodyText"/>
        <w:spacing w:line="249" w:lineRule="auto" w:before="5"/>
        <w:ind w:left="319" w:right="1077" w:firstLine="240"/>
        <w:jc w:val="both"/>
      </w:pPr>
      <w:r>
        <w:rPr>
          <w:color w:val="231F20"/>
        </w:rPr>
        <w:t>The juxtaglomerular complex consists of </w:t>
      </w:r>
      <w:r>
        <w:rPr>
          <w:i/>
          <w:color w:val="231F20"/>
        </w:rPr>
        <w:t>macula densa </w:t>
      </w:r>
      <w:r>
        <w:rPr>
          <w:i/>
          <w:color w:val="231F20"/>
        </w:rPr>
        <w:t>cells </w:t>
      </w:r>
      <w:r>
        <w:rPr>
          <w:color w:val="231F20"/>
        </w:rPr>
        <w:t>in the initial portion of the distal tubule and </w:t>
      </w:r>
      <w:r>
        <w:rPr>
          <w:i/>
          <w:color w:val="231F20"/>
        </w:rPr>
        <w:t>juxta- </w:t>
      </w:r>
      <w:r>
        <w:rPr>
          <w:i/>
          <w:color w:val="231F20"/>
        </w:rPr>
        <w:t>glomerular cells </w:t>
      </w:r>
      <w:r>
        <w:rPr>
          <w:color w:val="231F20"/>
        </w:rPr>
        <w:t>in the walls of the afferent and efferent arterioles. The macula densa is a specialized group of epithelial cells in the distal tubules that comes in close contact with the afferent and efferent arterioles. The macula densa cells contain Golgi apparatus, which are intracellular secretory organelles directed toward the arterioles, suggesting that these cells may be secreting a substance toward the arterioles.</w:t>
      </w:r>
    </w:p>
    <w:p>
      <w:pPr>
        <w:pStyle w:val="BodyText"/>
        <w:spacing w:before="4"/>
        <w:rPr>
          <w:sz w:val="22"/>
        </w:rPr>
      </w:pPr>
    </w:p>
    <w:p>
      <w:pPr>
        <w:spacing w:line="252" w:lineRule="auto" w:before="0"/>
        <w:ind w:left="319" w:right="1077" w:firstLine="0"/>
        <w:jc w:val="both"/>
        <w:rPr>
          <w:sz w:val="20"/>
        </w:rPr>
      </w:pPr>
      <w:r>
        <w:rPr>
          <w:rFonts w:ascii="Trebuchet MS"/>
          <w:b/>
          <w:color w:val="231F20"/>
          <w:w w:val="105"/>
          <w:sz w:val="19"/>
        </w:rPr>
        <w:t>Decreased Macula Densa Sodium Chloride </w:t>
      </w:r>
      <w:r>
        <w:rPr>
          <w:rFonts w:ascii="Trebuchet MS"/>
          <w:b/>
          <w:color w:val="231F20"/>
          <w:spacing w:val="-3"/>
          <w:w w:val="105"/>
          <w:sz w:val="19"/>
        </w:rPr>
        <w:t>Causes </w:t>
      </w:r>
      <w:r>
        <w:rPr>
          <w:rFonts w:ascii="Trebuchet MS"/>
          <w:b/>
          <w:color w:val="231F20"/>
          <w:w w:val="105"/>
          <w:sz w:val="19"/>
        </w:rPr>
        <w:t>Dilation</w:t>
      </w:r>
      <w:r>
        <w:rPr>
          <w:rFonts w:ascii="Trebuchet MS"/>
          <w:b/>
          <w:color w:val="231F20"/>
          <w:spacing w:val="-11"/>
          <w:w w:val="105"/>
          <w:sz w:val="19"/>
        </w:rPr>
        <w:t> </w:t>
      </w:r>
      <w:r>
        <w:rPr>
          <w:rFonts w:ascii="Trebuchet MS"/>
          <w:b/>
          <w:color w:val="231F20"/>
          <w:w w:val="105"/>
          <w:sz w:val="19"/>
        </w:rPr>
        <w:t>of</w:t>
      </w:r>
      <w:r>
        <w:rPr>
          <w:rFonts w:ascii="Trebuchet MS"/>
          <w:b/>
          <w:color w:val="231F20"/>
          <w:spacing w:val="-10"/>
          <w:w w:val="105"/>
          <w:sz w:val="19"/>
        </w:rPr>
        <w:t> </w:t>
      </w:r>
      <w:r>
        <w:rPr>
          <w:rFonts w:ascii="Trebuchet MS"/>
          <w:b/>
          <w:color w:val="231F20"/>
          <w:w w:val="105"/>
          <w:sz w:val="19"/>
        </w:rPr>
        <w:t>Afferent</w:t>
      </w:r>
      <w:r>
        <w:rPr>
          <w:rFonts w:ascii="Trebuchet MS"/>
          <w:b/>
          <w:color w:val="231F20"/>
          <w:spacing w:val="-10"/>
          <w:w w:val="105"/>
          <w:sz w:val="19"/>
        </w:rPr>
        <w:t> </w:t>
      </w:r>
      <w:r>
        <w:rPr>
          <w:rFonts w:ascii="Trebuchet MS"/>
          <w:b/>
          <w:color w:val="231F20"/>
          <w:w w:val="105"/>
          <w:sz w:val="19"/>
        </w:rPr>
        <w:t>Arterioles</w:t>
      </w:r>
      <w:r>
        <w:rPr>
          <w:rFonts w:ascii="Trebuchet MS"/>
          <w:b/>
          <w:color w:val="231F20"/>
          <w:spacing w:val="-10"/>
          <w:w w:val="105"/>
          <w:sz w:val="19"/>
        </w:rPr>
        <w:t> </w:t>
      </w:r>
      <w:r>
        <w:rPr>
          <w:rFonts w:ascii="Trebuchet MS"/>
          <w:b/>
          <w:color w:val="231F20"/>
          <w:w w:val="105"/>
          <w:sz w:val="19"/>
        </w:rPr>
        <w:t>and</w:t>
      </w:r>
      <w:r>
        <w:rPr>
          <w:rFonts w:ascii="Trebuchet MS"/>
          <w:b/>
          <w:color w:val="231F20"/>
          <w:spacing w:val="-10"/>
          <w:w w:val="105"/>
          <w:sz w:val="19"/>
        </w:rPr>
        <w:t> </w:t>
      </w:r>
      <w:r>
        <w:rPr>
          <w:rFonts w:ascii="Trebuchet MS"/>
          <w:b/>
          <w:color w:val="231F20"/>
          <w:w w:val="105"/>
          <w:sz w:val="19"/>
        </w:rPr>
        <w:t>Increased</w:t>
      </w:r>
      <w:r>
        <w:rPr>
          <w:rFonts w:ascii="Trebuchet MS"/>
          <w:b/>
          <w:color w:val="231F20"/>
          <w:spacing w:val="-11"/>
          <w:w w:val="105"/>
          <w:sz w:val="19"/>
        </w:rPr>
        <w:t> </w:t>
      </w:r>
      <w:r>
        <w:rPr>
          <w:rFonts w:ascii="Trebuchet MS"/>
          <w:b/>
          <w:color w:val="231F20"/>
          <w:spacing w:val="-3"/>
          <w:w w:val="105"/>
          <w:sz w:val="19"/>
        </w:rPr>
        <w:t>Renin </w:t>
      </w:r>
      <w:r>
        <w:rPr>
          <w:rFonts w:ascii="Trebuchet MS"/>
          <w:b/>
          <w:color w:val="231F20"/>
          <w:w w:val="105"/>
          <w:sz w:val="19"/>
        </w:rPr>
        <w:t>Release.</w:t>
      </w:r>
      <w:r>
        <w:rPr>
          <w:rFonts w:ascii="Trebuchet MS"/>
          <w:b/>
          <w:color w:val="231F20"/>
          <w:spacing w:val="-16"/>
          <w:w w:val="105"/>
          <w:sz w:val="19"/>
        </w:rPr>
        <w:t> </w:t>
      </w:r>
      <w:r>
        <w:rPr>
          <w:color w:val="231F20"/>
          <w:w w:val="105"/>
          <w:sz w:val="20"/>
        </w:rPr>
        <w:t>The</w:t>
      </w:r>
      <w:r>
        <w:rPr>
          <w:color w:val="231F20"/>
          <w:spacing w:val="-35"/>
          <w:w w:val="105"/>
          <w:sz w:val="20"/>
        </w:rPr>
        <w:t> </w:t>
      </w:r>
      <w:r>
        <w:rPr>
          <w:color w:val="231F20"/>
          <w:w w:val="105"/>
          <w:sz w:val="20"/>
        </w:rPr>
        <w:t>macula</w:t>
      </w:r>
      <w:r>
        <w:rPr>
          <w:color w:val="231F20"/>
          <w:spacing w:val="-35"/>
          <w:w w:val="105"/>
          <w:sz w:val="20"/>
        </w:rPr>
        <w:t> </w:t>
      </w:r>
      <w:r>
        <w:rPr>
          <w:color w:val="231F20"/>
          <w:w w:val="105"/>
          <w:sz w:val="20"/>
        </w:rPr>
        <w:t>densa</w:t>
      </w:r>
      <w:r>
        <w:rPr>
          <w:color w:val="231F20"/>
          <w:spacing w:val="-35"/>
          <w:w w:val="105"/>
          <w:sz w:val="20"/>
        </w:rPr>
        <w:t> </w:t>
      </w:r>
      <w:r>
        <w:rPr>
          <w:color w:val="231F20"/>
          <w:w w:val="105"/>
          <w:sz w:val="20"/>
        </w:rPr>
        <w:t>cells</w:t>
      </w:r>
      <w:r>
        <w:rPr>
          <w:color w:val="231F20"/>
          <w:spacing w:val="-35"/>
          <w:w w:val="105"/>
          <w:sz w:val="20"/>
        </w:rPr>
        <w:t> </w:t>
      </w:r>
      <w:r>
        <w:rPr>
          <w:color w:val="231F20"/>
          <w:w w:val="105"/>
          <w:sz w:val="20"/>
        </w:rPr>
        <w:t>sense</w:t>
      </w:r>
      <w:r>
        <w:rPr>
          <w:color w:val="231F20"/>
          <w:spacing w:val="-35"/>
          <w:w w:val="105"/>
          <w:sz w:val="20"/>
        </w:rPr>
        <w:t> </w:t>
      </w:r>
      <w:r>
        <w:rPr>
          <w:color w:val="231F20"/>
          <w:w w:val="105"/>
          <w:sz w:val="20"/>
        </w:rPr>
        <w:t>changes</w:t>
      </w:r>
      <w:r>
        <w:rPr>
          <w:color w:val="231F20"/>
          <w:spacing w:val="-35"/>
          <w:w w:val="105"/>
          <w:sz w:val="20"/>
        </w:rPr>
        <w:t> </w:t>
      </w:r>
      <w:r>
        <w:rPr>
          <w:color w:val="231F20"/>
          <w:w w:val="105"/>
          <w:sz w:val="20"/>
        </w:rPr>
        <w:t>in</w:t>
      </w:r>
      <w:r>
        <w:rPr>
          <w:color w:val="231F20"/>
          <w:spacing w:val="-35"/>
          <w:w w:val="105"/>
          <w:sz w:val="20"/>
        </w:rPr>
        <w:t> </w:t>
      </w:r>
      <w:r>
        <w:rPr>
          <w:color w:val="231F20"/>
          <w:w w:val="105"/>
          <w:sz w:val="20"/>
        </w:rPr>
        <w:t>volume delivery to the distal tubule by way of signals that </w:t>
      </w:r>
      <w:r>
        <w:rPr>
          <w:color w:val="231F20"/>
          <w:spacing w:val="-5"/>
          <w:w w:val="105"/>
          <w:sz w:val="20"/>
        </w:rPr>
        <w:t>are </w:t>
      </w:r>
      <w:r>
        <w:rPr>
          <w:color w:val="231F20"/>
          <w:w w:val="105"/>
          <w:sz w:val="20"/>
        </w:rPr>
        <w:t>not</w:t>
      </w:r>
      <w:r>
        <w:rPr>
          <w:color w:val="231F20"/>
          <w:spacing w:val="-24"/>
          <w:w w:val="105"/>
          <w:sz w:val="20"/>
        </w:rPr>
        <w:t> </w:t>
      </w:r>
      <w:r>
        <w:rPr>
          <w:color w:val="231F20"/>
          <w:w w:val="105"/>
          <w:sz w:val="20"/>
        </w:rPr>
        <w:t>completely</w:t>
      </w:r>
      <w:r>
        <w:rPr>
          <w:color w:val="231F20"/>
          <w:spacing w:val="-24"/>
          <w:w w:val="105"/>
          <w:sz w:val="20"/>
        </w:rPr>
        <w:t> </w:t>
      </w:r>
      <w:r>
        <w:rPr>
          <w:color w:val="231F20"/>
          <w:w w:val="105"/>
          <w:sz w:val="20"/>
        </w:rPr>
        <w:t>understood.</w:t>
      </w:r>
      <w:r>
        <w:rPr>
          <w:color w:val="231F20"/>
          <w:spacing w:val="-24"/>
          <w:w w:val="105"/>
          <w:sz w:val="20"/>
        </w:rPr>
        <w:t> </w:t>
      </w:r>
      <w:r>
        <w:rPr>
          <w:color w:val="231F20"/>
          <w:w w:val="105"/>
          <w:sz w:val="20"/>
        </w:rPr>
        <w:t>Experimental</w:t>
      </w:r>
      <w:r>
        <w:rPr>
          <w:color w:val="231F20"/>
          <w:spacing w:val="-24"/>
          <w:w w:val="105"/>
          <w:sz w:val="20"/>
        </w:rPr>
        <w:t> </w:t>
      </w:r>
      <w:r>
        <w:rPr>
          <w:color w:val="231F20"/>
          <w:w w:val="105"/>
          <w:sz w:val="20"/>
        </w:rPr>
        <w:t>studies</w:t>
      </w:r>
      <w:r>
        <w:rPr>
          <w:color w:val="231F20"/>
          <w:spacing w:val="-23"/>
          <w:w w:val="105"/>
          <w:sz w:val="20"/>
        </w:rPr>
        <w:t> </w:t>
      </w:r>
      <w:r>
        <w:rPr>
          <w:color w:val="231F20"/>
          <w:w w:val="105"/>
          <w:sz w:val="20"/>
        </w:rPr>
        <w:t>suggest that a decreased GFR slows the flow rate in the loop</w:t>
      </w:r>
      <w:r>
        <w:rPr>
          <w:color w:val="231F20"/>
          <w:spacing w:val="1"/>
          <w:w w:val="105"/>
          <w:sz w:val="20"/>
        </w:rPr>
        <w:t> </w:t>
      </w:r>
      <w:r>
        <w:rPr>
          <w:color w:val="231F20"/>
          <w:spacing w:val="-6"/>
          <w:w w:val="105"/>
          <w:sz w:val="20"/>
        </w:rPr>
        <w:t>of</w:t>
      </w:r>
    </w:p>
    <w:p>
      <w:pPr>
        <w:spacing w:after="0" w:line="252" w:lineRule="auto"/>
        <w:jc w:val="both"/>
        <w:rPr>
          <w:sz w:val="20"/>
        </w:rPr>
        <w:sectPr>
          <w:type w:val="continuous"/>
          <w:pgSz w:w="12240" w:h="15660"/>
          <w:pgMar w:top="0" w:bottom="760" w:left="0" w:right="0"/>
          <w:cols w:num="2" w:equalWidth="0">
            <w:col w:w="6121" w:space="40"/>
            <w:col w:w="6079"/>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spacing w:line="235" w:lineRule="auto" w:before="102"/>
        <w:ind w:left="4044" w:right="7384" w:firstLine="0"/>
        <w:jc w:val="left"/>
        <w:rPr>
          <w:rFonts w:ascii="Helvetica"/>
          <w:sz w:val="16"/>
        </w:rPr>
      </w:pPr>
      <w:r>
        <w:rPr/>
        <w:pict>
          <v:group style="position:absolute;margin-left:60.584099pt;margin-top:-61.595486pt;width:196.9pt;height:251.5pt;mso-position-horizontal-relative:page;mso-position-vertical-relative:paragraph;z-index:-273416192" coordorigin="1212,-1232" coordsize="3938,5030">
            <v:shape style="position:absolute;left:1270;top:-1204;width:2578;height:3133" type="#_x0000_t75" stroked="false">
              <v:imagedata r:id="rId435" o:title=""/>
            </v:shape>
            <v:shape style="position:absolute;left:1211;top:-1232;width:3938;height:5030" type="#_x0000_t75" stroked="false">
              <v:imagedata r:id="rId436" o:title=""/>
            </v:shape>
            <w10:wrap type="none"/>
          </v:group>
        </w:pict>
      </w:r>
      <w:r>
        <w:rPr/>
        <w:pict>
          <v:group style="position:absolute;margin-left:306pt;margin-top:-61.59549pt;width:235.5pt;height:282.4pt;mso-position-horizontal-relative:page;mso-position-vertical-relative:paragraph;z-index:252001280" coordorigin="6120,-1232" coordsize="4710,5648">
            <v:rect style="position:absolute;left:7994;top:-1172;width:1774;height:380" filled="true" fillcolor="#95aac4" stroked="false">
              <v:fill type="solid"/>
            </v:rect>
            <v:rect style="position:absolute;left:7934;top:-1232;width:1774;height:380" filled="true" fillcolor="#cddff0" stroked="false">
              <v:fill type="solid"/>
            </v:rect>
            <v:rect style="position:absolute;left:7794;top:-411;width:2174;height:520" filled="true" fillcolor="#95aac4" stroked="false">
              <v:fill type="solid"/>
            </v:rect>
            <v:rect style="position:absolute;left:7734;top:-471;width:2174;height:520" filled="true" fillcolor="#cddff0" stroked="false">
              <v:fill type="solid"/>
            </v:rect>
            <v:shape style="position:absolute;left:8760;top:-652;width:120;height:185" coordorigin="8761,-652" coordsize="120,185" path="m8762,-651l8761,-649,8799,-560,8821,-467,8843,-560,8867,-618,8820,-618,8762,-651xm8879,-652l8820,-618,8867,-618,8880,-650,8879,-652xe" filled="true" fillcolor="#231f20" stroked="false">
              <v:path arrowok="t"/>
              <v:fill type="solid"/>
            </v:shape>
            <v:line style="position:absolute" from="8821,-854" to="8821,-533" stroked="true" strokeweight="1.5pt" strokecolor="#231f20">
              <v:stroke dashstyle="solid"/>
            </v:line>
            <v:rect style="position:absolute;left:8354;top:494;width:1054;height:380" filled="true" fillcolor="#95aac4" stroked="false">
              <v:fill type="solid"/>
            </v:rect>
            <v:rect style="position:absolute;left:8294;top:434;width:1054;height:380" filled="true" fillcolor="#cddff0" stroked="false">
              <v:fill type="solid"/>
            </v:rect>
            <v:shape style="position:absolute;left:8760;top:250;width:120;height:185" coordorigin="8761,251" coordsize="120,185" path="m8762,251l8761,253,8799,342,8821,435,8843,342,8867,284,8820,284,8762,251xm8879,251l8820,284,8867,284,8880,253,8879,251xe" filled="true" fillcolor="#231f20" stroked="false">
              <v:path arrowok="t"/>
              <v:fill type="solid"/>
            </v:shape>
            <v:line style="position:absolute" from="8821,49" to="8821,369" stroked="true" strokeweight="1.5pt" strokecolor="#231f20">
              <v:stroke dashstyle="solid"/>
            </v:line>
            <v:rect style="position:absolute;left:8114;top:1253;width:1534;height:520" filled="true" fillcolor="#95aac4" stroked="false">
              <v:fill type="solid"/>
            </v:rect>
            <v:rect style="position:absolute;left:8054;top:1193;width:1534;height:520" filled="true" fillcolor="#cddff0" stroked="false">
              <v:fill type="solid"/>
            </v:rect>
            <v:shape style="position:absolute;left:8760;top:1009;width:120;height:185" coordorigin="8761,1009" coordsize="120,185" path="m8762,1009l8761,1011,8799,1100,8821,1194,8843,1100,8867,1043,8820,1043,8762,1009xm8879,1009l8820,1043,8867,1043,8880,1011,8879,1009xe" filled="true" fillcolor="#231f20" stroked="false">
              <v:path arrowok="t"/>
              <v:fill type="solid"/>
            </v:shape>
            <v:line style="position:absolute" from="8821,813" to="8821,1127" stroked="true" strokeweight="1.5pt" strokecolor="#231f20">
              <v:stroke dashstyle="solid"/>
            </v:line>
            <v:shape style="position:absolute;left:8189;top:1438;width:120;height:185" coordorigin="8190,1438" coordsize="120,185" path="m8191,1439l8190,1441,8228,1530,8250,1623,8272,1530,8296,1472,8250,1472,8191,1439xm8308,1438l8250,1472,8296,1472,8309,1440,8308,1438xe" filled="true" fillcolor="#231f20" stroked="false">
              <v:path arrowok="t"/>
              <v:fill type="solid"/>
            </v:shape>
            <v:line style="position:absolute" from="8250,1303" to="8250,1557" stroked="true" strokeweight="1.5pt" strokecolor="#231f20">
              <v:stroke dashstyle="solid"/>
            </v:line>
            <v:shape style="position:absolute;left:8069;top:-1103;width:120;height:185" coordorigin="8070,-1102" coordsize="120,185" path="m8071,-1102l8070,-1100,8108,-1011,8130,-918,8152,-1011,8176,-1069,8129,-1069,8071,-1102xm8188,-1102l8129,-1069,8176,-1069,8189,-1100,8188,-1102xe" filled="true" fillcolor="#231f20" stroked="false">
              <v:path arrowok="t"/>
              <v:fill type="solid"/>
            </v:shape>
            <v:line style="position:absolute" from="8130,-1178" to="8130,-984" stroked="true" strokeweight="1.5pt" strokecolor="#231f20">
              <v:stroke dashstyle="solid"/>
            </v:line>
            <v:shape style="position:absolute;left:8503;top:573;width:120;height:185" coordorigin="8504,573" coordsize="120,185" path="m8505,574l8504,576,8542,665,8564,758,8586,665,8610,607,8564,607,8505,574xm8623,573l8564,607,8610,607,8624,575,8623,573xe" filled="true" fillcolor="#231f20" stroked="false">
              <v:path arrowok="t"/>
              <v:fill type="solid"/>
            </v:shape>
            <v:line style="position:absolute" from="8564,498" to="8564,692" stroked="true" strokeweight="1.5pt" strokecolor="#231f20">
              <v:stroke dashstyle="solid"/>
            </v:line>
            <v:shape style="position:absolute;left:7977;top:-232;width:120;height:185" coordorigin="7977,-231" coordsize="120,185" path="m7979,-231l7977,-229,8015,-140,8038,-47,8059,-140,8084,-198,8037,-198,7979,-231xm8096,-231l8037,-198,8084,-198,8097,-229,8096,-231xe" filled="true" fillcolor="#231f20" stroked="false">
              <v:path arrowok="t"/>
              <v:fill type="solid"/>
            </v:shape>
            <v:line style="position:absolute" from="8038,-367" to="8038,-113" stroked="true" strokeweight="1.5pt" strokecolor="#231f20">
              <v:stroke dashstyle="solid"/>
            </v:line>
            <v:rect style="position:absolute;left:9259;top:3676;width:1294;height:740" filled="true" fillcolor="#95aac4" stroked="false">
              <v:fill type="solid"/>
            </v:rect>
            <v:rect style="position:absolute;left:9199;top:3616;width:1294;height:740" filled="true" fillcolor="#cddff0" stroked="false">
              <v:fill type="solid"/>
            </v:rect>
            <v:shape style="position:absolute;left:9785;top:3430;width:120;height:185" type="#_x0000_t75" stroked="false">
              <v:imagedata r:id="rId437" o:title=""/>
            </v:shape>
            <v:shape style="position:absolute;left:9395;top:3960;width:120;height:185" coordorigin="9395,3960" coordsize="120,185" path="m9396,3961l9395,3963,9433,4052,9455,4145,9477,4052,9501,3994,9455,3994,9396,3961xm9514,3960l9455,3994,9501,3994,9515,3962,9514,3960xe" filled="true" fillcolor="#231f20" stroked="false">
              <v:path arrowok="t"/>
              <v:fill type="solid"/>
            </v:shape>
            <v:line style="position:absolute" from="9455,3825" to="9455,4079" stroked="true" strokeweight="1.5pt" strokecolor="#231f20">
              <v:stroke dashstyle="solid"/>
            </v:line>
            <v:shape style="position:absolute;left:9587;top:1453;width:259;height:2091" coordorigin="9588,1453" coordsize="259,2091" path="m9588,1453l9846,1453,9846,3544e" filled="false" stroked="true" strokeweight="1.5pt" strokecolor="#231f20">
              <v:path arrowok="t"/>
              <v:stroke dashstyle="solid"/>
            </v:shape>
            <v:rect style="position:absolute;left:7331;top:2157;width:1054;height:380" filled="true" fillcolor="#95aac4" stroked="false">
              <v:fill type="solid"/>
            </v:rect>
            <v:rect style="position:absolute;left:7271;top:2097;width:1054;height:380" filled="true" fillcolor="#cddff0" stroked="false">
              <v:fill type="solid"/>
            </v:rect>
            <v:shape style="position:absolute;left:7737;top:1914;width:120;height:185" type="#_x0000_t75" stroked="false">
              <v:imagedata r:id="rId438" o:title=""/>
            </v:shape>
            <v:shape style="position:absolute;left:7507;top:2159;width:120;height:185" coordorigin="7507,2159" coordsize="120,185" path="m7614,2311l7567,2311,7626,2344,7627,2342,7614,2311xm7568,2159l7546,2253,7507,2342,7509,2344,7567,2311,7614,2311,7589,2253,7568,2159xe" filled="true" fillcolor="#231f20" stroked="false">
              <v:path arrowok="t"/>
              <v:fill type="solid"/>
            </v:shape>
            <v:line style="position:absolute" from="7568,2420" to="7568,2226" stroked="true" strokeweight="1.5pt" strokecolor="#231f20">
              <v:stroke dashstyle="solid"/>
            </v:line>
            <v:rect style="position:absolute;left:7031;top:2916;width:1654;height:380" filled="true" fillcolor="#95aac4" stroked="false">
              <v:fill type="solid"/>
            </v:rect>
            <v:rect style="position:absolute;left:6971;top:2856;width:1654;height:380" filled="true" fillcolor="#cddff0" stroked="false">
              <v:fill type="solid"/>
            </v:rect>
            <v:shape style="position:absolute;left:7737;top:2669;width:120;height:185" type="#_x0000_t75" stroked="false">
              <v:imagedata r:id="rId439" o:title=""/>
            </v:shape>
            <v:shape style="position:absolute;left:7232;top:2919;width:120;height:185" coordorigin="7232,2919" coordsize="120,185" path="m7339,3071l7292,3071,7351,3104,7352,3102,7339,3071xm7293,2919l7271,3013,7232,3102,7234,3104,7292,3071,7339,3071,7314,3013,7293,2919xe" filled="true" fillcolor="#231f20" stroked="false">
              <v:path arrowok="t"/>
              <v:fill type="solid"/>
            </v:shape>
            <v:line style="position:absolute" from="7293,3180" to="7293,2986" stroked="true" strokeweight="1.5pt" strokecolor="#231f20">
              <v:stroke dashstyle="solid"/>
            </v:line>
            <v:line style="position:absolute" from="7798,2479" to="7798,2739" stroked="true" strokeweight="1.5pt" strokecolor="#231f20">
              <v:stroke dashstyle="solid"/>
            </v:line>
            <v:rect style="position:absolute;left:7211;top:3676;width:1294;height:740" filled="true" fillcolor="#95aac4" stroked="false">
              <v:fill type="solid"/>
            </v:rect>
            <v:rect style="position:absolute;left:7151;top:3616;width:1294;height:740" filled="true" fillcolor="#cddff0" stroked="false">
              <v:fill type="solid"/>
            </v:rect>
            <v:shape style="position:absolute;left:7329;top:3804;width:120;height:185" coordorigin="7330,3805" coordsize="120,185" path="m7436,3956l7390,3956,7448,3989,7449,3987,7436,3956xm7390,3805l7368,3898,7330,3987,7331,3989,7390,3956,7436,3956,7412,3898,7390,3805xe" filled="true" fillcolor="#231f20" stroked="false">
              <v:path arrowok="t"/>
              <v:fill type="solid"/>
            </v:shape>
            <v:line style="position:absolute" from="7390,4125" to="7390,3871" stroked="true" strokeweight="1.5pt" strokecolor="#231f20">
              <v:stroke dashstyle="solid"/>
            </v:line>
            <v:shape style="position:absolute;left:7737;top:3432;width:120;height:185" coordorigin="7738,3433" coordsize="120,185" path="m7739,3433l7738,3435,7776,3524,7798,3617,7820,3524,7844,3466,7798,3466,7739,3433xm7856,3433l7798,3466,7844,3466,7857,3435,7856,3433xe" filled="true" fillcolor="#231f20" stroked="false">
              <v:path arrowok="t"/>
              <v:fill type="solid"/>
            </v:shape>
            <v:shape style="position:absolute;left:7549;top:-270;width:185;height:120" type="#_x0000_t75" stroked="false">
              <v:imagedata r:id="rId440" o:title=""/>
            </v:shape>
            <v:shape style="position:absolute;left:7870;top:1274;width:185;height:120" type="#_x0000_t75" stroked="false">
              <v:imagedata r:id="rId441" o:title=""/>
            </v:shape>
            <v:shape style="position:absolute;left:9911;top:-270;width:185;height:120" type="#_x0000_t75" stroked="false">
              <v:imagedata r:id="rId442" o:title=""/>
            </v:shape>
            <v:shape style="position:absolute;left:0;top:11564;width:252;height:2050" coordorigin="0,11564" coordsize="252,2050" path="m7798,3237l7798,3502m8050,1453l7798,1453,7798,2014e" filled="false" stroked="true" strokeweight="1.5pt" strokecolor="#231f20">
              <v:path arrowok="t"/>
              <v:stroke dashstyle="solid"/>
            </v:shape>
            <v:rect style="position:absolute;left:6428;top:1024;width:1194;height:740" filled="true" fillcolor="#95aac4" stroked="false">
              <v:fill type="solid"/>
            </v:rect>
            <v:rect style="position:absolute;left:6368;top:964;width:1194;height:740" filled="true" fillcolor="#cddff0" stroked="false">
              <v:fill type="solid"/>
            </v:rect>
            <v:shape style="position:absolute;left:6493;top:1114;width:120;height:185" coordorigin="6493,1114" coordsize="120,185" path="m6600,1265l6553,1265,6612,1299,6613,1297,6600,1265xm6554,1114l6531,1208,6493,1297,6495,1299,6553,1265,6600,1265,6575,1208,6554,1114xe" filled="true" fillcolor="#231f20" stroked="false">
              <v:path arrowok="t"/>
              <v:fill type="solid"/>
            </v:shape>
            <v:line style="position:absolute" from="6554,1434" to="6554,1181" stroked="true" strokeweight="1.5pt" strokecolor="#231f20">
              <v:stroke dashstyle="solid"/>
            </v:line>
            <v:shape style="position:absolute;left:6135;top:-211;width:1460;height:4197" coordorigin="6135,-211" coordsize="1460,4197" path="m7595,-211l6135,-211,6135,3986,7150,3986e" filled="false" stroked="true" strokeweight="1.5pt" strokecolor="#231f20">
              <v:path arrowok="t"/>
              <v:stroke dashstyle="shortdash"/>
            </v:shape>
            <v:line style="position:absolute" from="7564,1334" to="7949,1334" stroked="true" strokeweight="1.5pt" strokecolor="#231f20">
              <v:stroke dashstyle="solid"/>
            </v:line>
            <v:shape style="position:absolute;left:10055;top:-211;width:760;height:4197" coordorigin="10055,-211" coordsize="760,4197" path="m10055,-211l10815,-211,10815,3986,10495,3986e" filled="false" stroked="true" strokeweight="1.5pt" strokecolor="#231f20">
              <v:path arrowok="t"/>
              <v:stroke dashstyle="shortdash"/>
            </v:shape>
            <v:shape style="position:absolute;left:7390;top:-535;width:237;height:237" type="#_x0000_t75" stroked="false">
              <v:imagedata r:id="rId443" o:title=""/>
            </v:shape>
            <v:shape style="position:absolute;left:10015;top:-535;width:237;height:237" type="#_x0000_t75" stroked="false">
              <v:imagedata r:id="rId444" o:title=""/>
            </v:shape>
            <v:shape style="position:absolute;left:8293;top:-1126;width:119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Arterial pressure</w:t>
                    </w:r>
                  </w:p>
                </w:txbxContent>
              </v:textbox>
              <w10:wrap type="none"/>
            </v:shape>
            <v:shape style="position:absolute;left:7464;top:-537;width:108;height:209" type="#_x0000_t202" filled="false" stroked="false">
              <v:textbox inset="0,0,0,0">
                <w:txbxContent>
                  <w:p>
                    <w:pPr>
                      <w:spacing w:before="0"/>
                      <w:ind w:left="0" w:right="0" w:firstLine="0"/>
                      <w:jc w:val="left"/>
                      <w:rPr>
                        <w:rFonts w:ascii="Symbol" w:hAnsi="Symbol"/>
                        <w:sz w:val="16"/>
                      </w:rPr>
                    </w:pPr>
                    <w:r>
                      <w:rPr>
                        <w:rFonts w:ascii="Symbol" w:hAnsi="Symbol"/>
                        <w:color w:val="231F20"/>
                        <w:w w:val="100"/>
                        <w:sz w:val="16"/>
                      </w:rPr>
                      <w:t></w:t>
                    </w:r>
                  </w:p>
                </w:txbxContent>
              </v:textbox>
              <w10:wrap type="none"/>
            </v:shape>
            <v:shape style="position:absolute;left:8140;top:-397;width:1630;height:365" type="#_x0000_t202" filled="false" stroked="false">
              <v:textbox inset="0,0,0,0">
                <w:txbxContent>
                  <w:p>
                    <w:pPr>
                      <w:spacing w:line="235" w:lineRule="auto" w:before="2"/>
                      <w:ind w:left="493" w:right="1" w:hanging="494"/>
                      <w:jc w:val="left"/>
                      <w:rPr>
                        <w:rFonts w:ascii="Helvetica"/>
                        <w:sz w:val="16"/>
                      </w:rPr>
                    </w:pPr>
                    <w:r>
                      <w:rPr>
                        <w:rFonts w:ascii="Helvetica"/>
                        <w:color w:val="231F20"/>
                        <w:sz w:val="16"/>
                      </w:rPr>
                      <w:t>Glomerular hydrostatic pressure</w:t>
                    </w:r>
                  </w:p>
                </w:txbxContent>
              </v:textbox>
              <w10:wrap type="none"/>
            </v:shape>
            <v:shape style="position:absolute;left:10090;top:-537;width:108;height:209" type="#_x0000_t202" filled="false" stroked="false">
              <v:textbox inset="0,0,0,0">
                <w:txbxContent>
                  <w:p>
                    <w:pPr>
                      <w:spacing w:before="0"/>
                      <w:ind w:left="0" w:right="0" w:firstLine="0"/>
                      <w:jc w:val="left"/>
                      <w:rPr>
                        <w:rFonts w:ascii="Symbol" w:hAnsi="Symbol"/>
                        <w:sz w:val="16"/>
                      </w:rPr>
                    </w:pPr>
                    <w:r>
                      <w:rPr>
                        <w:rFonts w:ascii="Symbol" w:hAnsi="Symbol"/>
                        <w:color w:val="231F20"/>
                        <w:w w:val="100"/>
                        <w:sz w:val="16"/>
                      </w:rPr>
                      <w:t></w:t>
                    </w:r>
                  </w:p>
                </w:txbxContent>
              </v:textbox>
              <w10:wrap type="none"/>
            </v:shape>
            <v:shape style="position:absolute;left:8717;top:537;width:35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GFR</w:t>
                    </w:r>
                  </w:p>
                </w:txbxContent>
              </v:textbox>
              <w10:wrap type="none"/>
            </v:shape>
            <v:shape style="position:absolute;left:6566;top:1052;width:910;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Proximal NaCl reabsorption</w:t>
                    </w:r>
                  </w:p>
                </w:txbxContent>
              </v:textbox>
              <w10:wrap type="none"/>
            </v:shape>
            <v:shape style="position:absolute;left:8408;top:1278;width:1016;height:365" type="#_x0000_t202" filled="false" stroked="false">
              <v:textbox inset="0,0,0,0">
                <w:txbxContent>
                  <w:p>
                    <w:pPr>
                      <w:spacing w:line="235" w:lineRule="auto" w:before="2"/>
                      <w:ind w:left="320" w:right="0" w:hanging="321"/>
                      <w:jc w:val="left"/>
                      <w:rPr>
                        <w:rFonts w:ascii="Helvetica"/>
                        <w:sz w:val="16"/>
                      </w:rPr>
                    </w:pPr>
                    <w:r>
                      <w:rPr>
                        <w:rFonts w:ascii="Helvetica"/>
                        <w:color w:val="231F20"/>
                        <w:sz w:val="16"/>
                      </w:rPr>
                      <w:t>Macula densa NaCl</w:t>
                    </w:r>
                  </w:p>
                </w:txbxContent>
              </v:textbox>
              <w10:wrap type="none"/>
            </v:shape>
            <v:shape style="position:absolute;left:7522;top:3705;width:750;height:545" type="#_x0000_t202" filled="false" stroked="false">
              <v:textbox inset="0,0,0,0">
                <w:txbxContent>
                  <w:p>
                    <w:pPr>
                      <w:spacing w:line="235" w:lineRule="auto" w:before="2"/>
                      <w:ind w:left="0" w:right="18" w:firstLine="84"/>
                      <w:jc w:val="both"/>
                      <w:rPr>
                        <w:rFonts w:ascii="Helvetica"/>
                        <w:sz w:val="16"/>
                      </w:rPr>
                    </w:pPr>
                    <w:r>
                      <w:rPr>
                        <w:rFonts w:ascii="Helvetica"/>
                        <w:color w:val="231F20"/>
                        <w:sz w:val="16"/>
                      </w:rPr>
                      <w:t>Efferent arteriolar resistance</w:t>
                    </w:r>
                  </w:p>
                </w:txbxContent>
              </v:textbox>
              <w10:wrap type="none"/>
            </v:shape>
            <v:shape style="position:absolute;left:9588;top:3705;width:750;height:545" type="#_x0000_t202" filled="false" stroked="false">
              <v:textbox inset="0,0,0,0">
                <w:txbxContent>
                  <w:p>
                    <w:pPr>
                      <w:spacing w:line="235" w:lineRule="auto" w:before="2"/>
                      <w:ind w:left="0" w:right="18" w:firstLine="84"/>
                      <w:jc w:val="both"/>
                      <w:rPr>
                        <w:rFonts w:ascii="Helvetica"/>
                        <w:sz w:val="16"/>
                      </w:rPr>
                    </w:pPr>
                    <w:r>
                      <w:rPr>
                        <w:rFonts w:ascii="Helvetica"/>
                        <w:color w:val="231F20"/>
                        <w:sz w:val="16"/>
                      </w:rPr>
                      <w:t>Afferent arteriolar resistance</w:t>
                    </w:r>
                  </w:p>
                </w:txbxContent>
              </v:textbox>
              <w10:wrap type="none"/>
            </v:shape>
            <v:shape style="position:absolute;left:7031;top:2916;width:1654;height:380" type="#_x0000_t202" filled="false" stroked="false">
              <v:textbox inset="0,0,0,0">
                <w:txbxContent>
                  <w:p>
                    <w:pPr>
                      <w:spacing w:before="52"/>
                      <w:ind w:left="405" w:right="0" w:firstLine="0"/>
                      <w:jc w:val="left"/>
                      <w:rPr>
                        <w:rFonts w:ascii="Helvetica"/>
                        <w:sz w:val="16"/>
                      </w:rPr>
                    </w:pPr>
                    <w:r>
                      <w:rPr>
                        <w:rFonts w:ascii="Helvetica"/>
                        <w:color w:val="231F20"/>
                        <w:sz w:val="16"/>
                      </w:rPr>
                      <w:t>Angiotensin II</w:t>
                    </w:r>
                  </w:p>
                </w:txbxContent>
              </v:textbox>
              <w10:wrap type="none"/>
            </v:shape>
            <v:shape style="position:absolute;left:7331;top:2157;width:1054;height:380" type="#_x0000_t202" filled="false" stroked="false">
              <v:textbox inset="0,0,0,0">
                <w:txbxContent>
                  <w:p>
                    <w:pPr>
                      <w:spacing w:before="41"/>
                      <w:ind w:left="381" w:right="0" w:firstLine="0"/>
                      <w:jc w:val="left"/>
                      <w:rPr>
                        <w:rFonts w:ascii="Helvetica"/>
                        <w:sz w:val="16"/>
                      </w:rPr>
                    </w:pPr>
                    <w:r>
                      <w:rPr>
                        <w:rFonts w:ascii="Helvetica"/>
                        <w:color w:val="231F20"/>
                        <w:sz w:val="16"/>
                      </w:rPr>
                      <w:t>Renin</w:t>
                    </w:r>
                  </w:p>
                </w:txbxContent>
              </v:textbox>
              <w10:wrap type="none"/>
            </v:shape>
            <w10:wrap type="none"/>
          </v:group>
        </w:pict>
      </w:r>
      <w:r>
        <w:rPr>
          <w:rFonts w:ascii="Helvetica"/>
          <w:color w:val="231F20"/>
          <w:sz w:val="16"/>
        </w:rPr>
        <w:t>Glomerular epithelium</w:t>
      </w:r>
    </w:p>
    <w:p>
      <w:pPr>
        <w:pStyle w:val="BodyText"/>
        <w:rPr>
          <w:rFonts w:ascii="Helvetica"/>
        </w:rPr>
      </w:pPr>
    </w:p>
    <w:p>
      <w:pPr>
        <w:pStyle w:val="BodyText"/>
        <w:rPr>
          <w:rFonts w:ascii="Helvetica"/>
        </w:rPr>
      </w:pPr>
    </w:p>
    <w:p>
      <w:pPr>
        <w:pStyle w:val="BodyText"/>
        <w:rPr>
          <w:rFonts w:ascii="Helvetica"/>
        </w:rPr>
      </w:pPr>
    </w:p>
    <w:p>
      <w:pPr>
        <w:pStyle w:val="BodyText"/>
        <w:spacing w:before="4"/>
        <w:rPr>
          <w:rFonts w:ascii="Helvetica"/>
          <w:sz w:val="25"/>
        </w:rPr>
      </w:pPr>
    </w:p>
    <w:p>
      <w:pPr>
        <w:spacing w:after="0"/>
        <w:rPr>
          <w:rFonts w:ascii="Helvetica"/>
          <w:sz w:val="25"/>
        </w:rPr>
        <w:sectPr>
          <w:headerReference w:type="even" r:id="rId432"/>
          <w:footerReference w:type="even" r:id="rId433"/>
          <w:footerReference w:type="default" r:id="rId434"/>
          <w:pgSz w:w="12240" w:h="15660"/>
          <w:pgMar w:header="0" w:footer="567" w:top="720" w:bottom="760" w:left="0" w:right="0"/>
          <w:pgNumType w:start="344"/>
        </w:sectPr>
      </w:pPr>
    </w:p>
    <w:p>
      <w:pPr>
        <w:pStyle w:val="BodyText"/>
        <w:rPr>
          <w:rFonts w:ascii="Helvetica"/>
          <w:sz w:val="18"/>
        </w:rPr>
      </w:pPr>
    </w:p>
    <w:p>
      <w:pPr>
        <w:pStyle w:val="BodyText"/>
        <w:rPr>
          <w:rFonts w:ascii="Helvetica"/>
          <w:sz w:val="18"/>
        </w:rPr>
      </w:pPr>
    </w:p>
    <w:p>
      <w:pPr>
        <w:spacing w:line="235" w:lineRule="auto" w:before="108"/>
        <w:ind w:left="1146" w:right="169" w:firstLine="17"/>
        <w:jc w:val="left"/>
        <w:rPr>
          <w:rFonts w:ascii="Helvetica"/>
          <w:sz w:val="16"/>
        </w:rPr>
      </w:pPr>
      <w:r>
        <w:rPr/>
        <w:pict>
          <v:rect style="position:absolute;margin-left:0pt;margin-top:-16.495501pt;width:36pt;height:24pt;mso-position-horizontal-relative:page;mso-position-vertical-relative:paragraph;z-index:251987968" filled="true" fillcolor="#e8dac8" stroked="false">
            <v:fill type="solid"/>
            <w10:wrap type="none"/>
          </v:rect>
        </w:pict>
      </w:r>
      <w:r>
        <w:rPr>
          <w:rFonts w:ascii="Helvetica"/>
          <w:color w:val="231F20"/>
          <w:sz w:val="16"/>
        </w:rPr>
        <w:t>Efferent arteriole</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235" w:lineRule="auto" w:before="146"/>
        <w:ind w:left="1362" w:right="0" w:firstLine="0"/>
        <w:jc w:val="center"/>
        <w:rPr>
          <w:rFonts w:ascii="Helvetica"/>
          <w:sz w:val="16"/>
        </w:rPr>
      </w:pPr>
      <w:r>
        <w:rPr>
          <w:rFonts w:ascii="Helvetica"/>
          <w:color w:val="231F20"/>
          <w:sz w:val="16"/>
        </w:rPr>
        <w:t>Smooth</w:t>
      </w:r>
      <w:r>
        <w:rPr>
          <w:rFonts w:ascii="Helvetica"/>
          <w:color w:val="231F20"/>
          <w:w w:val="99"/>
          <w:sz w:val="16"/>
        </w:rPr>
        <w:t> </w:t>
      </w:r>
      <w:r>
        <w:rPr>
          <w:rFonts w:ascii="Helvetica"/>
          <w:color w:val="231F20"/>
          <w:sz w:val="16"/>
        </w:rPr>
        <w:t>muscle fiber</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4"/>
        <w:rPr>
          <w:rFonts w:ascii="Helvetica"/>
          <w:sz w:val="25"/>
        </w:rPr>
      </w:pPr>
    </w:p>
    <w:p>
      <w:pPr>
        <w:spacing w:before="0"/>
        <w:ind w:left="734" w:right="0" w:firstLine="0"/>
        <w:jc w:val="left"/>
        <w:rPr>
          <w:rFonts w:ascii="Helvetica"/>
          <w:sz w:val="16"/>
        </w:rPr>
      </w:pPr>
      <w:r>
        <w:rPr>
          <w:rFonts w:ascii="Helvetica"/>
          <w:color w:val="231F20"/>
          <w:sz w:val="16"/>
        </w:rPr>
        <w:t>Macula densa</w:t>
      </w:r>
    </w:p>
    <w:p>
      <w:pPr>
        <w:pStyle w:val="BodyText"/>
        <w:rPr>
          <w:rFonts w:ascii="Helvetica"/>
          <w:sz w:val="18"/>
        </w:rPr>
      </w:pPr>
    </w:p>
    <w:p>
      <w:pPr>
        <w:pStyle w:val="BodyText"/>
        <w:rPr>
          <w:rFonts w:ascii="Helvetica"/>
          <w:sz w:val="18"/>
        </w:rPr>
      </w:pPr>
    </w:p>
    <w:p>
      <w:pPr>
        <w:pStyle w:val="BodyText"/>
        <w:spacing w:before="8"/>
        <w:rPr>
          <w:rFonts w:ascii="Helvetica"/>
          <w:sz w:val="18"/>
        </w:rPr>
      </w:pPr>
    </w:p>
    <w:p>
      <w:pPr>
        <w:spacing w:line="235" w:lineRule="auto" w:before="1"/>
        <w:ind w:left="454" w:right="821" w:firstLine="17"/>
        <w:jc w:val="left"/>
        <w:rPr>
          <w:rFonts w:ascii="Helvetica"/>
          <w:sz w:val="16"/>
        </w:rPr>
      </w:pPr>
      <w:r>
        <w:rPr>
          <w:rFonts w:ascii="Helvetica"/>
          <w:color w:val="231F20"/>
          <w:sz w:val="16"/>
        </w:rPr>
        <w:t>Distal tubule</w:t>
      </w:r>
    </w:p>
    <w:p>
      <w:pPr>
        <w:tabs>
          <w:tab w:pos="1294" w:val="left" w:leader="none"/>
        </w:tabs>
        <w:spacing w:line="235" w:lineRule="auto" w:before="102"/>
        <w:ind w:left="395" w:right="6659" w:firstLine="0"/>
        <w:jc w:val="left"/>
        <w:rPr>
          <w:rFonts w:ascii="Helvetica"/>
          <w:sz w:val="16"/>
        </w:rPr>
      </w:pPr>
      <w:r>
        <w:rPr/>
        <w:br w:type="column"/>
      </w:r>
      <w:r>
        <w:rPr>
          <w:rFonts w:ascii="Helvetica"/>
          <w:color w:val="231F20"/>
          <w:sz w:val="16"/>
        </w:rPr>
        <w:t>Juxtaglomerular </w:t>
      </w:r>
      <w:r>
        <w:rPr>
          <w:rFonts w:ascii="Helvetica"/>
          <w:color w:val="231F20"/>
          <w:position w:val="12"/>
          <w:sz w:val="16"/>
        </w:rPr>
        <w:t>cells</w:t>
        <w:tab/>
      </w:r>
      <w:r>
        <w:rPr>
          <w:rFonts w:ascii="Helvetica"/>
          <w:color w:val="231F20"/>
          <w:spacing w:val="-3"/>
          <w:sz w:val="16"/>
        </w:rPr>
        <w:t>Afferent</w:t>
      </w:r>
    </w:p>
    <w:p>
      <w:pPr>
        <w:spacing w:line="179" w:lineRule="exact" w:before="0"/>
        <w:ind w:left="1294" w:right="0" w:firstLine="0"/>
        <w:jc w:val="left"/>
        <w:rPr>
          <w:rFonts w:ascii="Helvetica"/>
          <w:sz w:val="16"/>
        </w:rPr>
      </w:pPr>
      <w:r>
        <w:rPr>
          <w:rFonts w:ascii="Helvetica"/>
          <w:color w:val="231F20"/>
          <w:sz w:val="16"/>
        </w:rPr>
        <w:t>arteriole</w:t>
      </w:r>
    </w:p>
    <w:p>
      <w:pPr>
        <w:pStyle w:val="BodyText"/>
        <w:rPr>
          <w:rFonts w:ascii="Helvetica"/>
          <w:sz w:val="18"/>
        </w:rPr>
      </w:pPr>
    </w:p>
    <w:p>
      <w:pPr>
        <w:pStyle w:val="BodyText"/>
        <w:spacing w:before="4"/>
        <w:rPr>
          <w:rFonts w:ascii="Helvetica"/>
          <w:sz w:val="23"/>
        </w:rPr>
      </w:pPr>
    </w:p>
    <w:p>
      <w:pPr>
        <w:spacing w:line="235" w:lineRule="auto" w:before="0"/>
        <w:ind w:left="1436" w:right="6526" w:firstLine="0"/>
        <w:jc w:val="left"/>
        <w:rPr>
          <w:rFonts w:ascii="Helvetica"/>
          <w:sz w:val="16"/>
        </w:rPr>
      </w:pPr>
      <w:r>
        <w:rPr>
          <w:rFonts w:ascii="Helvetica"/>
          <w:color w:val="231F20"/>
          <w:sz w:val="16"/>
        </w:rPr>
        <w:t>Internal elastic lamina</w:t>
      </w:r>
    </w:p>
    <w:p>
      <w:pPr>
        <w:pStyle w:val="BodyText"/>
        <w:rPr>
          <w:rFonts w:ascii="Helvetica"/>
          <w:sz w:val="18"/>
        </w:rPr>
      </w:pPr>
    </w:p>
    <w:p>
      <w:pPr>
        <w:spacing w:line="235" w:lineRule="auto" w:before="118"/>
        <w:ind w:left="221" w:right="7510" w:firstLine="0"/>
        <w:jc w:val="left"/>
        <w:rPr>
          <w:rFonts w:ascii="Helvetica"/>
          <w:sz w:val="16"/>
        </w:rPr>
      </w:pPr>
      <w:r>
        <w:rPr>
          <w:rFonts w:ascii="Helvetica"/>
          <w:color w:val="231F20"/>
          <w:sz w:val="16"/>
        </w:rPr>
        <w:t>Basement membrane</w:t>
      </w:r>
    </w:p>
    <w:p>
      <w:pPr>
        <w:spacing w:after="0" w:line="235" w:lineRule="auto"/>
        <w:jc w:val="left"/>
        <w:rPr>
          <w:rFonts w:ascii="Helvetica"/>
          <w:sz w:val="16"/>
        </w:rPr>
        <w:sectPr>
          <w:type w:val="continuous"/>
          <w:pgSz w:w="12240" w:h="15660"/>
          <w:pgMar w:top="0" w:bottom="760" w:left="0" w:right="0"/>
          <w:cols w:num="3" w:equalWidth="0">
            <w:col w:w="1914" w:space="40"/>
            <w:col w:w="1731" w:space="39"/>
            <w:col w:w="8516"/>
          </w:cols>
        </w:sectPr>
      </w:pPr>
    </w:p>
    <w:p>
      <w:pPr>
        <w:spacing w:line="259" w:lineRule="auto" w:before="91"/>
        <w:ind w:left="1080" w:right="0" w:firstLine="0"/>
        <w:jc w:val="both"/>
        <w:rPr>
          <w:rFonts w:ascii="Arial"/>
          <w:sz w:val="16"/>
        </w:rPr>
      </w:pPr>
      <w:bookmarkStart w:name="_bookmark36" w:id="37"/>
      <w:bookmarkEnd w:id="37"/>
      <w:r>
        <w:rPr/>
      </w:r>
      <w:r>
        <w:rPr>
          <w:rFonts w:ascii="Trebuchet MS"/>
          <w:b/>
          <w:color w:val="231F20"/>
          <w:sz w:val="16"/>
        </w:rPr>
        <w:t>Figure 27-10. </w:t>
      </w:r>
      <w:r>
        <w:rPr>
          <w:rFonts w:ascii="Arial"/>
          <w:color w:val="231F20"/>
          <w:sz w:val="16"/>
        </w:rPr>
        <w:t>Structure of the juxtaglomerular apparatus, </w:t>
      </w:r>
      <w:r>
        <w:rPr>
          <w:rFonts w:ascii="Arial"/>
          <w:color w:val="231F20"/>
          <w:spacing w:val="-4"/>
          <w:sz w:val="16"/>
        </w:rPr>
        <w:t>demon- </w:t>
      </w:r>
      <w:r>
        <w:rPr>
          <w:rFonts w:ascii="Arial"/>
          <w:color w:val="231F20"/>
          <w:sz w:val="16"/>
        </w:rPr>
        <w:t>strating its possible feedback role in the control of </w:t>
      </w:r>
      <w:r>
        <w:rPr>
          <w:rFonts w:ascii="Arial"/>
          <w:color w:val="231F20"/>
          <w:spacing w:val="-3"/>
          <w:sz w:val="16"/>
        </w:rPr>
        <w:t>nephron </w:t>
      </w:r>
      <w:r>
        <w:rPr>
          <w:rFonts w:ascii="Arial"/>
          <w:color w:val="231F20"/>
          <w:sz w:val="16"/>
        </w:rPr>
        <w:t>function.</w:t>
      </w:r>
    </w:p>
    <w:p>
      <w:pPr>
        <w:pStyle w:val="BodyText"/>
        <w:rPr>
          <w:rFonts w:ascii="Arial"/>
          <w:sz w:val="18"/>
        </w:rPr>
      </w:pPr>
    </w:p>
    <w:p>
      <w:pPr>
        <w:pStyle w:val="BodyText"/>
        <w:spacing w:line="249" w:lineRule="auto" w:before="160"/>
        <w:ind w:left="1080"/>
        <w:jc w:val="both"/>
      </w:pPr>
      <w:r>
        <w:rPr>
          <w:color w:val="231F20"/>
          <w:w w:val="105"/>
        </w:rPr>
        <w:t>Henle, causing increased reabsorption of the </w:t>
      </w:r>
      <w:r>
        <w:rPr>
          <w:color w:val="231F20"/>
          <w:spacing w:val="-3"/>
          <w:w w:val="105"/>
        </w:rPr>
        <w:t>percentage </w:t>
      </w:r>
      <w:r>
        <w:rPr>
          <w:color w:val="231F20"/>
          <w:w w:val="105"/>
        </w:rPr>
        <w:t>of sodium and chloride ions delivered to the ascending loop of Henle, thereby reducing the concentration of sodium</w:t>
      </w:r>
      <w:r>
        <w:rPr>
          <w:color w:val="231F20"/>
          <w:spacing w:val="-11"/>
          <w:w w:val="105"/>
        </w:rPr>
        <w:t> </w:t>
      </w:r>
      <w:r>
        <w:rPr>
          <w:color w:val="231F20"/>
          <w:w w:val="105"/>
        </w:rPr>
        <w:t>chloride</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macula</w:t>
      </w:r>
      <w:r>
        <w:rPr>
          <w:color w:val="231F20"/>
          <w:spacing w:val="-10"/>
          <w:w w:val="105"/>
        </w:rPr>
        <w:t> </w:t>
      </w:r>
      <w:r>
        <w:rPr>
          <w:color w:val="231F20"/>
          <w:w w:val="105"/>
        </w:rPr>
        <w:t>densa</w:t>
      </w:r>
      <w:r>
        <w:rPr>
          <w:color w:val="231F20"/>
          <w:spacing w:val="-11"/>
          <w:w w:val="105"/>
        </w:rPr>
        <w:t> </w:t>
      </w:r>
      <w:r>
        <w:rPr>
          <w:color w:val="231F20"/>
          <w:w w:val="105"/>
        </w:rPr>
        <w:t>cells.</w:t>
      </w:r>
      <w:r>
        <w:rPr>
          <w:color w:val="231F20"/>
          <w:spacing w:val="-11"/>
          <w:w w:val="105"/>
        </w:rPr>
        <w:t> </w:t>
      </w:r>
      <w:r>
        <w:rPr>
          <w:color w:val="231F20"/>
          <w:w w:val="105"/>
        </w:rPr>
        <w:t>This</w:t>
      </w:r>
      <w:r>
        <w:rPr>
          <w:color w:val="231F20"/>
          <w:spacing w:val="-11"/>
          <w:w w:val="105"/>
        </w:rPr>
        <w:t> </w:t>
      </w:r>
      <w:r>
        <w:rPr>
          <w:color w:val="231F20"/>
          <w:w w:val="105"/>
        </w:rPr>
        <w:t>decrease in sodium chloride concentration initiates a signal from the</w:t>
      </w:r>
      <w:r>
        <w:rPr>
          <w:color w:val="231F20"/>
          <w:spacing w:val="20"/>
          <w:w w:val="105"/>
        </w:rPr>
        <w:t> </w:t>
      </w:r>
      <w:r>
        <w:rPr>
          <w:color w:val="231F20"/>
          <w:w w:val="105"/>
        </w:rPr>
        <w:t>macula</w:t>
      </w:r>
      <w:r>
        <w:rPr>
          <w:color w:val="231F20"/>
          <w:spacing w:val="20"/>
          <w:w w:val="105"/>
        </w:rPr>
        <w:t> </w:t>
      </w:r>
      <w:r>
        <w:rPr>
          <w:color w:val="231F20"/>
          <w:w w:val="105"/>
        </w:rPr>
        <w:t>densa</w:t>
      </w:r>
      <w:r>
        <w:rPr>
          <w:color w:val="231F20"/>
          <w:spacing w:val="20"/>
          <w:w w:val="105"/>
        </w:rPr>
        <w:t> </w:t>
      </w:r>
      <w:r>
        <w:rPr>
          <w:color w:val="231F20"/>
          <w:w w:val="105"/>
        </w:rPr>
        <w:t>that</w:t>
      </w:r>
      <w:r>
        <w:rPr>
          <w:color w:val="231F20"/>
          <w:spacing w:val="20"/>
          <w:w w:val="105"/>
        </w:rPr>
        <w:t> </w:t>
      </w:r>
      <w:r>
        <w:rPr>
          <w:color w:val="231F20"/>
          <w:w w:val="105"/>
        </w:rPr>
        <w:t>has</w:t>
      </w:r>
      <w:r>
        <w:rPr>
          <w:color w:val="231F20"/>
          <w:spacing w:val="20"/>
          <w:w w:val="105"/>
        </w:rPr>
        <w:t> </w:t>
      </w:r>
      <w:r>
        <w:rPr>
          <w:color w:val="231F20"/>
          <w:w w:val="105"/>
        </w:rPr>
        <w:t>two</w:t>
      </w:r>
      <w:r>
        <w:rPr>
          <w:color w:val="231F20"/>
          <w:spacing w:val="20"/>
          <w:w w:val="105"/>
        </w:rPr>
        <w:t> </w:t>
      </w:r>
      <w:r>
        <w:rPr>
          <w:color w:val="231F20"/>
          <w:w w:val="105"/>
        </w:rPr>
        <w:t>effects</w:t>
      </w:r>
      <w:r>
        <w:rPr>
          <w:color w:val="231F20"/>
          <w:spacing w:val="20"/>
          <w:w w:val="105"/>
        </w:rPr>
        <w:t> </w:t>
      </w:r>
      <w:r>
        <w:rPr>
          <w:color w:val="231F20"/>
          <w:w w:val="105"/>
        </w:rPr>
        <w:t>(</w:t>
      </w:r>
      <w:hyperlink w:history="true" w:anchor="_bookmark37">
        <w:r>
          <w:rPr>
            <w:b/>
            <w:color w:val="0080AC"/>
            <w:w w:val="105"/>
          </w:rPr>
          <w:t>Figure</w:t>
        </w:r>
        <w:r>
          <w:rPr>
            <w:b/>
            <w:color w:val="0080AC"/>
            <w:spacing w:val="18"/>
            <w:w w:val="105"/>
          </w:rPr>
          <w:t> </w:t>
        </w:r>
        <w:r>
          <w:rPr>
            <w:b/>
            <w:color w:val="0080AC"/>
            <w:w w:val="105"/>
          </w:rPr>
          <w:t>27-11</w:t>
        </w:r>
      </w:hyperlink>
      <w:r>
        <w:rPr>
          <w:color w:val="231F20"/>
          <w:w w:val="105"/>
        </w:rPr>
        <w:t>):</w:t>
      </w:r>
    </w:p>
    <w:p>
      <w:pPr>
        <w:pStyle w:val="BodyText"/>
        <w:spacing w:line="249" w:lineRule="auto" w:before="5"/>
        <w:ind w:left="1080"/>
        <w:jc w:val="both"/>
      </w:pPr>
      <w:r>
        <w:rPr>
          <w:color w:val="231F20"/>
          <w:w w:val="105"/>
        </w:rPr>
        <w:t>(1) </w:t>
      </w:r>
      <w:r>
        <w:rPr>
          <w:color w:val="231F20"/>
          <w:spacing w:val="-3"/>
          <w:w w:val="105"/>
        </w:rPr>
        <w:t>It </w:t>
      </w:r>
      <w:r>
        <w:rPr>
          <w:color w:val="231F20"/>
          <w:w w:val="105"/>
        </w:rPr>
        <w:t>decreases resistance to blood flow in the afferent arterioles, which raises glomerular hydrostatic </w:t>
      </w:r>
      <w:r>
        <w:rPr>
          <w:color w:val="231F20"/>
          <w:spacing w:val="-3"/>
          <w:w w:val="105"/>
        </w:rPr>
        <w:t>pressure </w:t>
      </w:r>
      <w:r>
        <w:rPr>
          <w:color w:val="231F20"/>
          <w:w w:val="105"/>
        </w:rPr>
        <w:t>and</w:t>
      </w:r>
      <w:r>
        <w:rPr>
          <w:color w:val="231F20"/>
          <w:spacing w:val="-15"/>
          <w:w w:val="105"/>
        </w:rPr>
        <w:t> </w:t>
      </w:r>
      <w:r>
        <w:rPr>
          <w:color w:val="231F20"/>
          <w:w w:val="105"/>
        </w:rPr>
        <w:t>helps</w:t>
      </w:r>
      <w:r>
        <w:rPr>
          <w:color w:val="231F20"/>
          <w:spacing w:val="-14"/>
          <w:w w:val="105"/>
        </w:rPr>
        <w:t> </w:t>
      </w:r>
      <w:r>
        <w:rPr>
          <w:color w:val="231F20"/>
          <w:w w:val="105"/>
        </w:rPr>
        <w:t>return</w:t>
      </w:r>
      <w:r>
        <w:rPr>
          <w:color w:val="231F20"/>
          <w:spacing w:val="-14"/>
          <w:w w:val="105"/>
        </w:rPr>
        <w:t> </w:t>
      </w:r>
      <w:r>
        <w:rPr>
          <w:color w:val="231F20"/>
          <w:w w:val="105"/>
        </w:rPr>
        <w:t>GFR</w:t>
      </w:r>
      <w:r>
        <w:rPr>
          <w:color w:val="231F20"/>
          <w:spacing w:val="-15"/>
          <w:w w:val="105"/>
        </w:rPr>
        <w:t> </w:t>
      </w:r>
      <w:r>
        <w:rPr>
          <w:color w:val="231F20"/>
          <w:w w:val="105"/>
        </w:rPr>
        <w:t>toward</w:t>
      </w:r>
      <w:r>
        <w:rPr>
          <w:color w:val="231F20"/>
          <w:spacing w:val="-14"/>
          <w:w w:val="105"/>
        </w:rPr>
        <w:t> </w:t>
      </w:r>
      <w:r>
        <w:rPr>
          <w:color w:val="231F20"/>
          <w:w w:val="105"/>
        </w:rPr>
        <w:t>normal,</w:t>
      </w:r>
      <w:r>
        <w:rPr>
          <w:color w:val="231F20"/>
          <w:spacing w:val="-14"/>
          <w:w w:val="105"/>
        </w:rPr>
        <w:t> </w:t>
      </w:r>
      <w:r>
        <w:rPr>
          <w:color w:val="231F20"/>
          <w:w w:val="105"/>
        </w:rPr>
        <w:t>and</w:t>
      </w:r>
      <w:r>
        <w:rPr>
          <w:color w:val="231F20"/>
          <w:spacing w:val="-15"/>
          <w:w w:val="105"/>
        </w:rPr>
        <w:t> </w:t>
      </w:r>
      <w:r>
        <w:rPr>
          <w:color w:val="231F20"/>
          <w:w w:val="105"/>
        </w:rPr>
        <w:t>(2)</w:t>
      </w:r>
      <w:r>
        <w:rPr>
          <w:color w:val="231F20"/>
          <w:spacing w:val="-14"/>
          <w:w w:val="105"/>
        </w:rPr>
        <w:t> </w:t>
      </w:r>
      <w:r>
        <w:rPr>
          <w:color w:val="231F20"/>
          <w:w w:val="105"/>
        </w:rPr>
        <w:t>it</w:t>
      </w:r>
      <w:r>
        <w:rPr>
          <w:color w:val="231F20"/>
          <w:spacing w:val="-14"/>
          <w:w w:val="105"/>
        </w:rPr>
        <w:t> </w:t>
      </w:r>
      <w:r>
        <w:rPr>
          <w:color w:val="231F20"/>
          <w:w w:val="105"/>
        </w:rPr>
        <w:t>increases renin</w:t>
      </w:r>
      <w:r>
        <w:rPr>
          <w:color w:val="231F20"/>
          <w:spacing w:val="-30"/>
          <w:w w:val="105"/>
        </w:rPr>
        <w:t> </w:t>
      </w:r>
      <w:r>
        <w:rPr>
          <w:color w:val="231F20"/>
          <w:w w:val="105"/>
        </w:rPr>
        <w:t>release</w:t>
      </w:r>
      <w:r>
        <w:rPr>
          <w:color w:val="231F20"/>
          <w:spacing w:val="-30"/>
          <w:w w:val="105"/>
        </w:rPr>
        <w:t> </w:t>
      </w:r>
      <w:r>
        <w:rPr>
          <w:color w:val="231F20"/>
          <w:w w:val="105"/>
        </w:rPr>
        <w:t>from</w:t>
      </w:r>
      <w:r>
        <w:rPr>
          <w:color w:val="231F20"/>
          <w:spacing w:val="-30"/>
          <w:w w:val="105"/>
        </w:rPr>
        <w:t> </w:t>
      </w:r>
      <w:r>
        <w:rPr>
          <w:color w:val="231F20"/>
          <w:w w:val="105"/>
        </w:rPr>
        <w:t>the</w:t>
      </w:r>
      <w:r>
        <w:rPr>
          <w:color w:val="231F20"/>
          <w:spacing w:val="-29"/>
          <w:w w:val="105"/>
        </w:rPr>
        <w:t> </w:t>
      </w:r>
      <w:r>
        <w:rPr>
          <w:color w:val="231F20"/>
          <w:w w:val="105"/>
        </w:rPr>
        <w:t>juxtaglomerular</w:t>
      </w:r>
      <w:r>
        <w:rPr>
          <w:color w:val="231F20"/>
          <w:spacing w:val="-30"/>
          <w:w w:val="105"/>
        </w:rPr>
        <w:t> </w:t>
      </w:r>
      <w:r>
        <w:rPr>
          <w:color w:val="231F20"/>
          <w:w w:val="105"/>
        </w:rPr>
        <w:t>cells</w:t>
      </w:r>
      <w:r>
        <w:rPr>
          <w:color w:val="231F20"/>
          <w:spacing w:val="-30"/>
          <w:w w:val="105"/>
        </w:rPr>
        <w:t> </w:t>
      </w:r>
      <w:r>
        <w:rPr>
          <w:color w:val="231F20"/>
          <w:w w:val="105"/>
        </w:rPr>
        <w:t>of</w:t>
      </w:r>
      <w:r>
        <w:rPr>
          <w:color w:val="231F20"/>
          <w:spacing w:val="-29"/>
          <w:w w:val="105"/>
        </w:rPr>
        <w:t> </w:t>
      </w:r>
      <w:r>
        <w:rPr>
          <w:color w:val="231F20"/>
          <w:w w:val="105"/>
        </w:rPr>
        <w:t>the</w:t>
      </w:r>
      <w:r>
        <w:rPr>
          <w:color w:val="231F20"/>
          <w:spacing w:val="-30"/>
          <w:w w:val="105"/>
        </w:rPr>
        <w:t> </w:t>
      </w:r>
      <w:r>
        <w:rPr>
          <w:color w:val="231F20"/>
          <w:w w:val="105"/>
        </w:rPr>
        <w:t>afferent and efferent arterioles, which are the major storage</w:t>
      </w:r>
      <w:r>
        <w:rPr>
          <w:color w:val="231F20"/>
          <w:spacing w:val="-22"/>
          <w:w w:val="105"/>
        </w:rPr>
        <w:t> </w:t>
      </w:r>
      <w:r>
        <w:rPr>
          <w:color w:val="231F20"/>
          <w:spacing w:val="-4"/>
          <w:w w:val="105"/>
        </w:rPr>
        <w:t>sites </w:t>
      </w:r>
      <w:r>
        <w:rPr>
          <w:color w:val="231F20"/>
          <w:w w:val="105"/>
        </w:rPr>
        <w:t>for</w:t>
      </w:r>
      <w:r>
        <w:rPr>
          <w:color w:val="231F20"/>
          <w:spacing w:val="-6"/>
          <w:w w:val="105"/>
        </w:rPr>
        <w:t> </w:t>
      </w:r>
      <w:r>
        <w:rPr>
          <w:color w:val="231F20"/>
          <w:w w:val="105"/>
        </w:rPr>
        <w:t>renin.</w:t>
      </w:r>
      <w:r>
        <w:rPr>
          <w:color w:val="231F20"/>
          <w:spacing w:val="-5"/>
          <w:w w:val="105"/>
        </w:rPr>
        <w:t> </w:t>
      </w:r>
      <w:r>
        <w:rPr>
          <w:color w:val="231F20"/>
          <w:w w:val="105"/>
        </w:rPr>
        <w:t>Renin</w:t>
      </w:r>
      <w:r>
        <w:rPr>
          <w:color w:val="231F20"/>
          <w:spacing w:val="-5"/>
          <w:w w:val="105"/>
        </w:rPr>
        <w:t> </w:t>
      </w:r>
      <w:r>
        <w:rPr>
          <w:color w:val="231F20"/>
          <w:w w:val="105"/>
        </w:rPr>
        <w:t>released</w:t>
      </w:r>
      <w:r>
        <w:rPr>
          <w:color w:val="231F20"/>
          <w:spacing w:val="-5"/>
          <w:w w:val="105"/>
        </w:rPr>
        <w:t> </w:t>
      </w:r>
      <w:r>
        <w:rPr>
          <w:color w:val="231F20"/>
          <w:w w:val="105"/>
        </w:rPr>
        <w:t>from</w:t>
      </w:r>
      <w:r>
        <w:rPr>
          <w:color w:val="231F20"/>
          <w:spacing w:val="-5"/>
          <w:w w:val="105"/>
        </w:rPr>
        <w:t> </w:t>
      </w:r>
      <w:r>
        <w:rPr>
          <w:color w:val="231F20"/>
          <w:w w:val="105"/>
        </w:rPr>
        <w:t>these</w:t>
      </w:r>
      <w:r>
        <w:rPr>
          <w:color w:val="231F20"/>
          <w:spacing w:val="-5"/>
          <w:w w:val="105"/>
        </w:rPr>
        <w:t> </w:t>
      </w:r>
      <w:r>
        <w:rPr>
          <w:color w:val="231F20"/>
          <w:w w:val="105"/>
        </w:rPr>
        <w:t>cells</w:t>
      </w:r>
      <w:r>
        <w:rPr>
          <w:color w:val="231F20"/>
          <w:spacing w:val="-5"/>
          <w:w w:val="105"/>
        </w:rPr>
        <w:t> </w:t>
      </w:r>
      <w:r>
        <w:rPr>
          <w:color w:val="231F20"/>
          <w:w w:val="105"/>
        </w:rPr>
        <w:t>then</w:t>
      </w:r>
      <w:r>
        <w:rPr>
          <w:color w:val="231F20"/>
          <w:spacing w:val="-5"/>
          <w:w w:val="105"/>
        </w:rPr>
        <w:t> </w:t>
      </w:r>
      <w:r>
        <w:rPr>
          <w:color w:val="231F20"/>
          <w:w w:val="105"/>
        </w:rPr>
        <w:t>functions as an enzyme to increase the formation of angiotensin</w:t>
      </w:r>
      <w:r>
        <w:rPr>
          <w:color w:val="231F20"/>
          <w:spacing w:val="-23"/>
          <w:w w:val="105"/>
        </w:rPr>
        <w:t> </w:t>
      </w:r>
      <w:r>
        <w:rPr>
          <w:color w:val="231F20"/>
          <w:spacing w:val="-7"/>
          <w:w w:val="105"/>
        </w:rPr>
        <w:t>I, </w:t>
      </w:r>
      <w:r>
        <w:rPr>
          <w:color w:val="231F20"/>
          <w:w w:val="105"/>
        </w:rPr>
        <w:t>which is converted to angiotensin II. Finally, the angio­ tensin</w:t>
      </w:r>
      <w:r>
        <w:rPr>
          <w:color w:val="231F20"/>
          <w:spacing w:val="-27"/>
          <w:w w:val="105"/>
        </w:rPr>
        <w:t> </w:t>
      </w:r>
      <w:r>
        <w:rPr>
          <w:color w:val="231F20"/>
          <w:w w:val="105"/>
        </w:rPr>
        <w:t>II</w:t>
      </w:r>
      <w:r>
        <w:rPr>
          <w:color w:val="231F20"/>
          <w:spacing w:val="-26"/>
          <w:w w:val="105"/>
        </w:rPr>
        <w:t> </w:t>
      </w:r>
      <w:r>
        <w:rPr>
          <w:color w:val="231F20"/>
          <w:w w:val="105"/>
        </w:rPr>
        <w:t>constricts</w:t>
      </w:r>
      <w:r>
        <w:rPr>
          <w:color w:val="231F20"/>
          <w:spacing w:val="-26"/>
          <w:w w:val="105"/>
        </w:rPr>
        <w:t> </w:t>
      </w:r>
      <w:r>
        <w:rPr>
          <w:color w:val="231F20"/>
          <w:w w:val="105"/>
        </w:rPr>
        <w:t>the</w:t>
      </w:r>
      <w:r>
        <w:rPr>
          <w:color w:val="231F20"/>
          <w:spacing w:val="-27"/>
          <w:w w:val="105"/>
        </w:rPr>
        <w:t> </w:t>
      </w:r>
      <w:r>
        <w:rPr>
          <w:color w:val="231F20"/>
          <w:w w:val="105"/>
        </w:rPr>
        <w:t>efferent</w:t>
      </w:r>
      <w:r>
        <w:rPr>
          <w:color w:val="231F20"/>
          <w:spacing w:val="-26"/>
          <w:w w:val="105"/>
        </w:rPr>
        <w:t> </w:t>
      </w:r>
      <w:r>
        <w:rPr>
          <w:color w:val="231F20"/>
          <w:w w:val="105"/>
        </w:rPr>
        <w:t>arterioles,</w:t>
      </w:r>
      <w:r>
        <w:rPr>
          <w:color w:val="231F20"/>
          <w:spacing w:val="-26"/>
          <w:w w:val="105"/>
        </w:rPr>
        <w:t> </w:t>
      </w:r>
      <w:r>
        <w:rPr>
          <w:color w:val="231F20"/>
          <w:w w:val="105"/>
        </w:rPr>
        <w:t>thereby</w:t>
      </w:r>
      <w:r>
        <w:rPr>
          <w:color w:val="231F20"/>
          <w:spacing w:val="-27"/>
          <w:w w:val="105"/>
        </w:rPr>
        <w:t> </w:t>
      </w:r>
      <w:r>
        <w:rPr>
          <w:color w:val="231F20"/>
          <w:w w:val="105"/>
        </w:rPr>
        <w:t>increas­ ing</w:t>
      </w:r>
      <w:r>
        <w:rPr>
          <w:color w:val="231F20"/>
          <w:spacing w:val="-17"/>
          <w:w w:val="105"/>
        </w:rPr>
        <w:t> </w:t>
      </w:r>
      <w:r>
        <w:rPr>
          <w:color w:val="231F20"/>
          <w:w w:val="105"/>
        </w:rPr>
        <w:t>glomerular</w:t>
      </w:r>
      <w:r>
        <w:rPr>
          <w:color w:val="231F20"/>
          <w:spacing w:val="-17"/>
          <w:w w:val="105"/>
        </w:rPr>
        <w:t> </w:t>
      </w:r>
      <w:r>
        <w:rPr>
          <w:color w:val="231F20"/>
          <w:w w:val="105"/>
        </w:rPr>
        <w:t>hydrostatic</w:t>
      </w:r>
      <w:r>
        <w:rPr>
          <w:color w:val="231F20"/>
          <w:spacing w:val="-16"/>
          <w:w w:val="105"/>
        </w:rPr>
        <w:t> </w:t>
      </w:r>
      <w:r>
        <w:rPr>
          <w:color w:val="231F20"/>
          <w:w w:val="105"/>
        </w:rPr>
        <w:t>pressure</w:t>
      </w:r>
      <w:r>
        <w:rPr>
          <w:color w:val="231F20"/>
          <w:spacing w:val="-17"/>
          <w:w w:val="105"/>
        </w:rPr>
        <w:t> </w:t>
      </w:r>
      <w:r>
        <w:rPr>
          <w:color w:val="231F20"/>
          <w:w w:val="105"/>
        </w:rPr>
        <w:t>and</w:t>
      </w:r>
      <w:r>
        <w:rPr>
          <w:color w:val="231F20"/>
          <w:spacing w:val="-16"/>
          <w:w w:val="105"/>
        </w:rPr>
        <w:t> </w:t>
      </w:r>
      <w:r>
        <w:rPr>
          <w:color w:val="231F20"/>
          <w:w w:val="105"/>
        </w:rPr>
        <w:t>helping</w:t>
      </w:r>
      <w:r>
        <w:rPr>
          <w:color w:val="231F20"/>
          <w:spacing w:val="-17"/>
          <w:w w:val="105"/>
        </w:rPr>
        <w:t> </w:t>
      </w:r>
      <w:r>
        <w:rPr>
          <w:color w:val="231F20"/>
          <w:w w:val="105"/>
        </w:rPr>
        <w:t>to</w:t>
      </w:r>
      <w:r>
        <w:rPr>
          <w:color w:val="231F20"/>
          <w:spacing w:val="-16"/>
          <w:w w:val="105"/>
        </w:rPr>
        <w:t> </w:t>
      </w:r>
      <w:r>
        <w:rPr>
          <w:color w:val="231F20"/>
          <w:w w:val="105"/>
        </w:rPr>
        <w:t>return GFR toward</w:t>
      </w:r>
      <w:r>
        <w:rPr>
          <w:color w:val="231F20"/>
          <w:spacing w:val="5"/>
          <w:w w:val="105"/>
        </w:rPr>
        <w:t> </w:t>
      </w:r>
      <w:r>
        <w:rPr>
          <w:color w:val="231F20"/>
          <w:w w:val="105"/>
        </w:rPr>
        <w:t>normal.</w:t>
      </w:r>
    </w:p>
    <w:p>
      <w:pPr>
        <w:pStyle w:val="BodyText"/>
        <w:spacing w:line="249" w:lineRule="auto" w:before="9"/>
        <w:ind w:left="1080" w:firstLine="240"/>
        <w:jc w:val="both"/>
      </w:pPr>
      <w:r>
        <w:rPr>
          <w:color w:val="231F20"/>
          <w:w w:val="105"/>
        </w:rPr>
        <w:t>These two components of the tubuloglomerular</w:t>
      </w:r>
      <w:r>
        <w:rPr>
          <w:color w:val="231F20"/>
          <w:spacing w:val="-28"/>
          <w:w w:val="105"/>
        </w:rPr>
        <w:t> </w:t>
      </w:r>
      <w:r>
        <w:rPr>
          <w:color w:val="231F20"/>
          <w:spacing w:val="-3"/>
          <w:w w:val="105"/>
        </w:rPr>
        <w:t>feed­ </w:t>
      </w:r>
      <w:r>
        <w:rPr>
          <w:color w:val="231F20"/>
          <w:w w:val="105"/>
        </w:rPr>
        <w:t>back</w:t>
      </w:r>
      <w:r>
        <w:rPr>
          <w:color w:val="231F20"/>
          <w:spacing w:val="-26"/>
          <w:w w:val="105"/>
        </w:rPr>
        <w:t> </w:t>
      </w:r>
      <w:r>
        <w:rPr>
          <w:color w:val="231F20"/>
          <w:w w:val="105"/>
        </w:rPr>
        <w:t>mechanism,</w:t>
      </w:r>
      <w:r>
        <w:rPr>
          <w:color w:val="231F20"/>
          <w:spacing w:val="-26"/>
          <w:w w:val="105"/>
        </w:rPr>
        <w:t> </w:t>
      </w:r>
      <w:r>
        <w:rPr>
          <w:color w:val="231F20"/>
          <w:w w:val="105"/>
        </w:rPr>
        <w:t>operating</w:t>
      </w:r>
      <w:r>
        <w:rPr>
          <w:color w:val="231F20"/>
          <w:spacing w:val="-26"/>
          <w:w w:val="105"/>
        </w:rPr>
        <w:t> </w:t>
      </w:r>
      <w:r>
        <w:rPr>
          <w:color w:val="231F20"/>
          <w:w w:val="105"/>
        </w:rPr>
        <w:t>together</w:t>
      </w:r>
      <w:r>
        <w:rPr>
          <w:color w:val="231F20"/>
          <w:spacing w:val="-26"/>
          <w:w w:val="105"/>
        </w:rPr>
        <w:t> </w:t>
      </w:r>
      <w:r>
        <w:rPr>
          <w:color w:val="231F20"/>
          <w:w w:val="105"/>
        </w:rPr>
        <w:t>by</w:t>
      </w:r>
      <w:r>
        <w:rPr>
          <w:color w:val="231F20"/>
          <w:spacing w:val="-26"/>
          <w:w w:val="105"/>
        </w:rPr>
        <w:t> </w:t>
      </w:r>
      <w:r>
        <w:rPr>
          <w:color w:val="231F20"/>
          <w:w w:val="105"/>
        </w:rPr>
        <w:t>way</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special anatomical structure of the juxtaglomerular </w:t>
      </w:r>
      <w:r>
        <w:rPr>
          <w:color w:val="231F20"/>
          <w:spacing w:val="-3"/>
          <w:w w:val="105"/>
        </w:rPr>
        <w:t>apparatus, </w:t>
      </w:r>
      <w:r>
        <w:rPr>
          <w:color w:val="231F20"/>
          <w:w w:val="105"/>
        </w:rPr>
        <w:t>provide</w:t>
      </w:r>
      <w:r>
        <w:rPr>
          <w:color w:val="231F20"/>
          <w:spacing w:val="-29"/>
          <w:w w:val="105"/>
        </w:rPr>
        <w:t> </w:t>
      </w:r>
      <w:r>
        <w:rPr>
          <w:color w:val="231F20"/>
          <w:w w:val="105"/>
        </w:rPr>
        <w:t>feedback</w:t>
      </w:r>
      <w:r>
        <w:rPr>
          <w:color w:val="231F20"/>
          <w:spacing w:val="-28"/>
          <w:w w:val="105"/>
        </w:rPr>
        <w:t> </w:t>
      </w:r>
      <w:r>
        <w:rPr>
          <w:color w:val="231F20"/>
          <w:w w:val="105"/>
        </w:rPr>
        <w:t>signals</w:t>
      </w:r>
      <w:r>
        <w:rPr>
          <w:color w:val="231F20"/>
          <w:spacing w:val="-28"/>
          <w:w w:val="105"/>
        </w:rPr>
        <w:t> </w:t>
      </w:r>
      <w:r>
        <w:rPr>
          <w:color w:val="231F20"/>
          <w:w w:val="105"/>
        </w:rPr>
        <w:t>to</w:t>
      </w:r>
      <w:r>
        <w:rPr>
          <w:color w:val="231F20"/>
          <w:spacing w:val="-28"/>
          <w:w w:val="105"/>
        </w:rPr>
        <w:t> </w:t>
      </w:r>
      <w:r>
        <w:rPr>
          <w:color w:val="231F20"/>
          <w:w w:val="105"/>
        </w:rPr>
        <w:t>both</w:t>
      </w:r>
      <w:r>
        <w:rPr>
          <w:color w:val="231F20"/>
          <w:spacing w:val="-28"/>
          <w:w w:val="105"/>
        </w:rPr>
        <w:t> </w:t>
      </w:r>
      <w:r>
        <w:rPr>
          <w:color w:val="231F20"/>
          <w:w w:val="105"/>
        </w:rPr>
        <w:t>the</w:t>
      </w:r>
      <w:r>
        <w:rPr>
          <w:color w:val="231F20"/>
          <w:spacing w:val="-29"/>
          <w:w w:val="105"/>
        </w:rPr>
        <w:t> </w:t>
      </w:r>
      <w:r>
        <w:rPr>
          <w:color w:val="231F20"/>
          <w:w w:val="105"/>
        </w:rPr>
        <w:t>afferent</w:t>
      </w:r>
      <w:r>
        <w:rPr>
          <w:color w:val="231F20"/>
          <w:spacing w:val="-28"/>
          <w:w w:val="105"/>
        </w:rPr>
        <w:t> </w:t>
      </w:r>
      <w:r>
        <w:rPr>
          <w:color w:val="231F20"/>
          <w:w w:val="105"/>
        </w:rPr>
        <w:t>and</w:t>
      </w:r>
      <w:r>
        <w:rPr>
          <w:color w:val="231F20"/>
          <w:spacing w:val="-28"/>
          <w:w w:val="105"/>
        </w:rPr>
        <w:t> </w:t>
      </w:r>
      <w:r>
        <w:rPr>
          <w:color w:val="231F20"/>
          <w:w w:val="105"/>
        </w:rPr>
        <w:t>the</w:t>
      </w:r>
      <w:r>
        <w:rPr>
          <w:color w:val="231F20"/>
          <w:spacing w:val="-28"/>
          <w:w w:val="105"/>
        </w:rPr>
        <w:t> </w:t>
      </w:r>
      <w:r>
        <w:rPr>
          <w:color w:val="231F20"/>
          <w:w w:val="105"/>
        </w:rPr>
        <w:t>effer­ ent arterioles for efficient autoregulation of GFR</w:t>
      </w:r>
      <w:r>
        <w:rPr>
          <w:color w:val="231F20"/>
          <w:spacing w:val="-22"/>
          <w:w w:val="105"/>
        </w:rPr>
        <w:t> </w:t>
      </w:r>
      <w:r>
        <w:rPr>
          <w:color w:val="231F20"/>
          <w:w w:val="105"/>
        </w:rPr>
        <w:t>during changes in arterial pressure. When both of these</w:t>
      </w:r>
      <w:r>
        <w:rPr>
          <w:color w:val="231F20"/>
          <w:spacing w:val="-25"/>
          <w:w w:val="105"/>
        </w:rPr>
        <w:t> </w:t>
      </w:r>
      <w:r>
        <w:rPr>
          <w:color w:val="231F20"/>
          <w:spacing w:val="-3"/>
          <w:w w:val="105"/>
        </w:rPr>
        <w:t>mecha­ </w:t>
      </w:r>
      <w:r>
        <w:rPr>
          <w:color w:val="231F20"/>
          <w:w w:val="105"/>
        </w:rPr>
        <w:t>nisms are functioning </w:t>
      </w:r>
      <w:r>
        <w:rPr>
          <w:color w:val="231F20"/>
          <w:spacing w:val="-3"/>
          <w:w w:val="105"/>
        </w:rPr>
        <w:t>together, </w:t>
      </w:r>
      <w:r>
        <w:rPr>
          <w:color w:val="231F20"/>
          <w:w w:val="105"/>
        </w:rPr>
        <w:t>the GFR changes only </w:t>
      </w:r>
      <w:r>
        <w:rPr>
          <w:color w:val="231F20"/>
          <w:spacing w:val="-14"/>
          <w:w w:val="105"/>
        </w:rPr>
        <w:t>a </w:t>
      </w:r>
      <w:r>
        <w:rPr>
          <w:color w:val="231F20"/>
          <w:w w:val="105"/>
        </w:rPr>
        <w:t>few percentage points, even with large fluctuations in arterial</w:t>
      </w:r>
      <w:r>
        <w:rPr>
          <w:color w:val="231F20"/>
          <w:spacing w:val="-26"/>
          <w:w w:val="105"/>
        </w:rPr>
        <w:t> </w:t>
      </w:r>
      <w:r>
        <w:rPr>
          <w:color w:val="231F20"/>
          <w:w w:val="105"/>
        </w:rPr>
        <w:t>pressure</w:t>
      </w:r>
      <w:r>
        <w:rPr>
          <w:color w:val="231F20"/>
          <w:spacing w:val="-25"/>
          <w:w w:val="105"/>
        </w:rPr>
        <w:t> </w:t>
      </w:r>
      <w:r>
        <w:rPr>
          <w:color w:val="231F20"/>
          <w:w w:val="105"/>
        </w:rPr>
        <w:t>between</w:t>
      </w:r>
      <w:r>
        <w:rPr>
          <w:color w:val="231F20"/>
          <w:spacing w:val="-25"/>
          <w:w w:val="105"/>
        </w:rPr>
        <w:t> </w:t>
      </w:r>
      <w:r>
        <w:rPr>
          <w:color w:val="231F20"/>
          <w:w w:val="105"/>
        </w:rPr>
        <w:t>the</w:t>
      </w:r>
      <w:r>
        <w:rPr>
          <w:color w:val="231F20"/>
          <w:spacing w:val="-25"/>
          <w:w w:val="105"/>
        </w:rPr>
        <w:t> </w:t>
      </w:r>
      <w:r>
        <w:rPr>
          <w:color w:val="231F20"/>
          <w:w w:val="105"/>
        </w:rPr>
        <w:t>limits</w:t>
      </w:r>
      <w:r>
        <w:rPr>
          <w:color w:val="231F20"/>
          <w:spacing w:val="-25"/>
          <w:w w:val="105"/>
        </w:rPr>
        <w:t> </w:t>
      </w:r>
      <w:r>
        <w:rPr>
          <w:color w:val="231F20"/>
          <w:w w:val="105"/>
        </w:rPr>
        <w:t>of</w:t>
      </w:r>
      <w:r>
        <w:rPr>
          <w:color w:val="231F20"/>
          <w:spacing w:val="-25"/>
          <w:w w:val="105"/>
        </w:rPr>
        <w:t> </w:t>
      </w:r>
      <w:r>
        <w:rPr>
          <w:color w:val="231F20"/>
          <w:w w:val="105"/>
        </w:rPr>
        <w:t>75</w:t>
      </w:r>
      <w:r>
        <w:rPr>
          <w:color w:val="231F20"/>
          <w:spacing w:val="-26"/>
          <w:w w:val="105"/>
        </w:rPr>
        <w:t> </w:t>
      </w:r>
      <w:r>
        <w:rPr>
          <w:color w:val="231F20"/>
          <w:w w:val="105"/>
        </w:rPr>
        <w:t>and</w:t>
      </w:r>
      <w:r>
        <w:rPr>
          <w:color w:val="231F20"/>
          <w:spacing w:val="-25"/>
          <w:w w:val="105"/>
        </w:rPr>
        <w:t> </w:t>
      </w:r>
      <w:r>
        <w:rPr>
          <w:color w:val="231F20"/>
          <w:w w:val="105"/>
        </w:rPr>
        <w:t>160</w:t>
      </w:r>
      <w:r>
        <w:rPr>
          <w:color w:val="231F20"/>
          <w:spacing w:val="-9"/>
          <w:w w:val="105"/>
        </w:rPr>
        <w:t> </w:t>
      </w:r>
      <w:r>
        <w:rPr>
          <w:color w:val="231F20"/>
          <w:w w:val="105"/>
        </w:rPr>
        <w:t>mm</w:t>
      </w:r>
      <w:r>
        <w:rPr>
          <w:color w:val="231F20"/>
          <w:spacing w:val="-8"/>
          <w:w w:val="105"/>
        </w:rPr>
        <w:t> </w:t>
      </w:r>
      <w:r>
        <w:rPr>
          <w:color w:val="231F20"/>
          <w:spacing w:val="-3"/>
          <w:w w:val="105"/>
        </w:rPr>
        <w:t>Hg.</w:t>
      </w:r>
    </w:p>
    <w:p>
      <w:pPr>
        <w:pStyle w:val="BodyText"/>
        <w:spacing w:before="8" w:after="24"/>
        <w:rPr>
          <w:sz w:val="16"/>
        </w:rPr>
      </w:pPr>
    </w:p>
    <w:p>
      <w:pPr>
        <w:pStyle w:val="BodyText"/>
        <w:ind w:left="1080" w:right="-58"/>
      </w:pPr>
      <w:r>
        <w:rPr/>
        <w:pict>
          <v:shape style="width:234pt;height:34.950pt;mso-position-horizontal-relative:char;mso-position-vertical-relative:line" type="#_x0000_t202" filled="true" fillcolor="#f0eef6" stroked="false">
            <w10:anchorlock/>
            <v:textbox inset="0,0,0,0">
              <w:txbxContent>
                <w:p>
                  <w:pPr>
                    <w:spacing w:line="261" w:lineRule="auto" w:before="148"/>
                    <w:ind w:left="180" w:right="0" w:firstLine="240"/>
                    <w:jc w:val="left"/>
                    <w:rPr>
                      <w:sz w:val="18"/>
                    </w:rPr>
                  </w:pPr>
                  <w:r>
                    <w:rPr>
                      <w:rFonts w:ascii="Trebuchet MS"/>
                      <w:b/>
                      <w:color w:val="231F20"/>
                      <w:sz w:val="16"/>
                    </w:rPr>
                    <w:t>Blockade of Angiotensin II Formation Further Reduces GFR During Renal Hypoperfusion. </w:t>
                  </w:r>
                  <w:r>
                    <w:rPr>
                      <w:color w:val="231F20"/>
                      <w:sz w:val="18"/>
                    </w:rPr>
                    <w:t>As discussed earlier, a</w:t>
                  </w:r>
                </w:p>
              </w:txbxContent>
            </v:textbox>
            <v:fill type="solid"/>
          </v:shape>
        </w:pict>
      </w:r>
      <w:r>
        <w:rPr/>
      </w:r>
    </w:p>
    <w:p>
      <w:pPr>
        <w:pStyle w:val="BodyText"/>
        <w:rPr>
          <w:sz w:val="18"/>
        </w:rPr>
      </w:pPr>
      <w:r>
        <w:rPr/>
        <w:br w:type="column"/>
      </w:r>
      <w:r>
        <w:rPr>
          <w:sz w:val="18"/>
        </w:rPr>
      </w:r>
    </w:p>
    <w:p>
      <w:pPr>
        <w:spacing w:line="256" w:lineRule="auto" w:before="145"/>
        <w:ind w:left="334" w:right="1422" w:firstLine="0"/>
        <w:jc w:val="both"/>
        <w:rPr>
          <w:rFonts w:ascii="Arial"/>
          <w:sz w:val="16"/>
        </w:rPr>
      </w:pPr>
      <w:bookmarkStart w:name="_bookmark37" w:id="38"/>
      <w:bookmarkEnd w:id="38"/>
      <w:r>
        <w:rPr/>
      </w:r>
      <w:r>
        <w:rPr>
          <w:rFonts w:ascii="Trebuchet MS"/>
          <w:b/>
          <w:color w:val="231F20"/>
          <w:sz w:val="16"/>
        </w:rPr>
        <w:t>Figure 27-11. </w:t>
      </w:r>
      <w:r>
        <w:rPr>
          <w:rFonts w:ascii="Arial"/>
          <w:color w:val="231F20"/>
          <w:sz w:val="16"/>
        </w:rPr>
        <w:t>Macula densa feedback mechanism for</w:t>
      </w:r>
      <w:r>
        <w:rPr>
          <w:rFonts w:ascii="Arial"/>
          <w:color w:val="231F20"/>
          <w:spacing w:val="-32"/>
          <w:sz w:val="16"/>
        </w:rPr>
        <w:t> </w:t>
      </w:r>
      <w:r>
        <w:rPr>
          <w:rFonts w:ascii="Arial"/>
          <w:color w:val="231F20"/>
          <w:sz w:val="16"/>
        </w:rPr>
        <w:t>autoregula- tion</w:t>
      </w:r>
      <w:r>
        <w:rPr>
          <w:rFonts w:ascii="Arial"/>
          <w:color w:val="231F20"/>
          <w:spacing w:val="-11"/>
          <w:sz w:val="16"/>
        </w:rPr>
        <w:t> </w:t>
      </w:r>
      <w:r>
        <w:rPr>
          <w:rFonts w:ascii="Arial"/>
          <w:color w:val="231F20"/>
          <w:sz w:val="16"/>
        </w:rPr>
        <w:t>of</w:t>
      </w:r>
      <w:r>
        <w:rPr>
          <w:rFonts w:ascii="Arial"/>
          <w:color w:val="231F20"/>
          <w:spacing w:val="-10"/>
          <w:sz w:val="16"/>
        </w:rPr>
        <w:t> </w:t>
      </w:r>
      <w:r>
        <w:rPr>
          <w:rFonts w:ascii="Arial"/>
          <w:color w:val="231F20"/>
          <w:sz w:val="16"/>
        </w:rPr>
        <w:t>glomerular</w:t>
      </w:r>
      <w:r>
        <w:rPr>
          <w:rFonts w:ascii="Arial"/>
          <w:color w:val="231F20"/>
          <w:spacing w:val="-10"/>
          <w:sz w:val="16"/>
        </w:rPr>
        <w:t> </w:t>
      </w:r>
      <w:r>
        <w:rPr>
          <w:rFonts w:ascii="Arial"/>
          <w:color w:val="231F20"/>
          <w:sz w:val="16"/>
        </w:rPr>
        <w:t>hydrostatic</w:t>
      </w:r>
      <w:r>
        <w:rPr>
          <w:rFonts w:ascii="Arial"/>
          <w:color w:val="231F20"/>
          <w:spacing w:val="-11"/>
          <w:sz w:val="16"/>
        </w:rPr>
        <w:t> </w:t>
      </w:r>
      <w:r>
        <w:rPr>
          <w:rFonts w:ascii="Arial"/>
          <w:color w:val="231F20"/>
          <w:sz w:val="16"/>
        </w:rPr>
        <w:t>pressure</w:t>
      </w:r>
      <w:r>
        <w:rPr>
          <w:rFonts w:ascii="Arial"/>
          <w:color w:val="231F20"/>
          <w:spacing w:val="-10"/>
          <w:sz w:val="16"/>
        </w:rPr>
        <w:t> </w:t>
      </w:r>
      <w:r>
        <w:rPr>
          <w:rFonts w:ascii="Arial"/>
          <w:color w:val="231F20"/>
          <w:sz w:val="16"/>
        </w:rPr>
        <w:t>and</w:t>
      </w:r>
      <w:r>
        <w:rPr>
          <w:rFonts w:ascii="Arial"/>
          <w:color w:val="231F20"/>
          <w:spacing w:val="-10"/>
          <w:sz w:val="16"/>
        </w:rPr>
        <w:t> </w:t>
      </w:r>
      <w:r>
        <w:rPr>
          <w:rFonts w:ascii="Arial"/>
          <w:color w:val="231F20"/>
          <w:sz w:val="16"/>
        </w:rPr>
        <w:t>glomerular</w:t>
      </w:r>
      <w:r>
        <w:rPr>
          <w:rFonts w:ascii="Arial"/>
          <w:color w:val="231F20"/>
          <w:spacing w:val="-10"/>
          <w:sz w:val="16"/>
        </w:rPr>
        <w:t> </w:t>
      </w:r>
      <w:r>
        <w:rPr>
          <w:rFonts w:ascii="Arial"/>
          <w:color w:val="231F20"/>
          <w:sz w:val="16"/>
        </w:rPr>
        <w:t>filtration</w:t>
      </w:r>
      <w:r>
        <w:rPr>
          <w:rFonts w:ascii="Arial"/>
          <w:color w:val="231F20"/>
          <w:spacing w:val="-11"/>
          <w:sz w:val="16"/>
        </w:rPr>
        <w:t> </w:t>
      </w:r>
      <w:r>
        <w:rPr>
          <w:rFonts w:ascii="Arial"/>
          <w:color w:val="231F20"/>
          <w:sz w:val="16"/>
        </w:rPr>
        <w:t>rate </w:t>
      </w:r>
      <w:r>
        <w:rPr>
          <w:rFonts w:ascii="Lucida Sans"/>
          <w:i/>
          <w:color w:val="231F20"/>
          <w:sz w:val="16"/>
        </w:rPr>
        <w:t>(GFR) </w:t>
      </w:r>
      <w:r>
        <w:rPr>
          <w:rFonts w:ascii="Arial"/>
          <w:color w:val="231F20"/>
          <w:sz w:val="16"/>
        </w:rPr>
        <w:t>during decreased renal arterial</w:t>
      </w:r>
      <w:r>
        <w:rPr>
          <w:rFonts w:ascii="Arial"/>
          <w:color w:val="231F20"/>
          <w:spacing w:val="4"/>
          <w:sz w:val="16"/>
        </w:rPr>
        <w:t> </w:t>
      </w:r>
      <w:r>
        <w:rPr>
          <w:rFonts w:ascii="Arial"/>
          <w:color w:val="231F20"/>
          <w:sz w:val="16"/>
        </w:rPr>
        <w:t>pressure.</w:t>
      </w:r>
    </w:p>
    <w:p>
      <w:pPr>
        <w:pStyle w:val="BodyText"/>
        <w:rPr>
          <w:rFonts w:ascii="Arial"/>
        </w:rPr>
      </w:pPr>
    </w:p>
    <w:p>
      <w:pPr>
        <w:pStyle w:val="BodyText"/>
        <w:spacing w:before="5"/>
        <w:rPr>
          <w:rFonts w:ascii="Arial"/>
          <w:sz w:val="12"/>
        </w:rPr>
      </w:pPr>
      <w:r>
        <w:rPr/>
        <w:pict>
          <v:shape style="position:absolute;margin-left:306pt;margin-top:8.392039pt;width:234pt;height:208pt;mso-position-horizontal-relative:page;mso-position-vertical-relative:paragraph;z-index:-251329536;mso-wrap-distance-left:0;mso-wrap-distance-right:0" type="#_x0000_t202" filled="true" fillcolor="#f0eef6" stroked="false">
            <v:textbox inset="0,0,0,0">
              <w:txbxContent>
                <w:p>
                  <w:pPr>
                    <w:spacing w:line="254" w:lineRule="auto" w:before="71"/>
                    <w:ind w:left="179" w:right="177" w:firstLine="0"/>
                    <w:jc w:val="both"/>
                    <w:rPr>
                      <w:sz w:val="18"/>
                    </w:rPr>
                  </w:pPr>
                  <w:r>
                    <w:rPr>
                      <w:color w:val="231F20"/>
                      <w:w w:val="105"/>
                      <w:sz w:val="18"/>
                    </w:rPr>
                    <w:t>preferential</w:t>
                  </w:r>
                  <w:r>
                    <w:rPr>
                      <w:color w:val="231F20"/>
                      <w:spacing w:val="-14"/>
                      <w:w w:val="105"/>
                      <w:sz w:val="18"/>
                    </w:rPr>
                    <w:t> </w:t>
                  </w:r>
                  <w:r>
                    <w:rPr>
                      <w:color w:val="231F20"/>
                      <w:w w:val="105"/>
                      <w:sz w:val="18"/>
                    </w:rPr>
                    <w:t>constrictor</w:t>
                  </w:r>
                  <w:r>
                    <w:rPr>
                      <w:color w:val="231F20"/>
                      <w:spacing w:val="-13"/>
                      <w:w w:val="105"/>
                      <w:sz w:val="18"/>
                    </w:rPr>
                    <w:t> </w:t>
                  </w:r>
                  <w:r>
                    <w:rPr>
                      <w:color w:val="231F20"/>
                      <w:w w:val="105"/>
                      <w:sz w:val="18"/>
                    </w:rPr>
                    <w:t>action</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angiotensin</w:t>
                  </w:r>
                  <w:r>
                    <w:rPr>
                      <w:color w:val="231F20"/>
                      <w:spacing w:val="-13"/>
                      <w:w w:val="105"/>
                      <w:sz w:val="18"/>
                    </w:rPr>
                    <w:t> </w:t>
                  </w:r>
                  <w:r>
                    <w:rPr>
                      <w:color w:val="231F20"/>
                      <w:w w:val="105"/>
                      <w:sz w:val="18"/>
                    </w:rPr>
                    <w:t>II</w:t>
                  </w:r>
                  <w:r>
                    <w:rPr>
                      <w:color w:val="231F20"/>
                      <w:spacing w:val="-13"/>
                      <w:w w:val="105"/>
                      <w:sz w:val="18"/>
                    </w:rPr>
                    <w:t> </w:t>
                  </w:r>
                  <w:r>
                    <w:rPr>
                      <w:color w:val="231F20"/>
                      <w:w w:val="105"/>
                      <w:sz w:val="18"/>
                    </w:rPr>
                    <w:t>on</w:t>
                  </w:r>
                  <w:r>
                    <w:rPr>
                      <w:color w:val="231F20"/>
                      <w:spacing w:val="-13"/>
                      <w:w w:val="105"/>
                      <w:sz w:val="18"/>
                    </w:rPr>
                    <w:t> </w:t>
                  </w:r>
                  <w:r>
                    <w:rPr>
                      <w:color w:val="231F20"/>
                      <w:w w:val="105"/>
                      <w:sz w:val="18"/>
                    </w:rPr>
                    <w:t>efferent arterioles helps prevent serious reductions in glomerular hydrostatic pressure and GFR when renal perfusion pres­ sure</w:t>
                  </w:r>
                  <w:r>
                    <w:rPr>
                      <w:color w:val="231F20"/>
                      <w:spacing w:val="-22"/>
                      <w:w w:val="105"/>
                      <w:sz w:val="18"/>
                    </w:rPr>
                    <w:t> </w:t>
                  </w:r>
                  <w:r>
                    <w:rPr>
                      <w:color w:val="231F20"/>
                      <w:w w:val="105"/>
                      <w:sz w:val="18"/>
                    </w:rPr>
                    <w:t>falls</w:t>
                  </w:r>
                  <w:r>
                    <w:rPr>
                      <w:color w:val="231F20"/>
                      <w:spacing w:val="-21"/>
                      <w:w w:val="105"/>
                      <w:sz w:val="18"/>
                    </w:rPr>
                    <w:t> </w:t>
                  </w:r>
                  <w:r>
                    <w:rPr>
                      <w:color w:val="231F20"/>
                      <w:w w:val="105"/>
                      <w:sz w:val="18"/>
                    </w:rPr>
                    <w:t>below</w:t>
                  </w:r>
                  <w:r>
                    <w:rPr>
                      <w:color w:val="231F20"/>
                      <w:spacing w:val="-22"/>
                      <w:w w:val="105"/>
                      <w:sz w:val="18"/>
                    </w:rPr>
                    <w:t> </w:t>
                  </w:r>
                  <w:r>
                    <w:rPr>
                      <w:color w:val="231F20"/>
                      <w:w w:val="105"/>
                      <w:sz w:val="18"/>
                    </w:rPr>
                    <w:t>normal.</w:t>
                  </w:r>
                  <w:r>
                    <w:rPr>
                      <w:color w:val="231F20"/>
                      <w:spacing w:val="-21"/>
                      <w:w w:val="105"/>
                      <w:sz w:val="18"/>
                    </w:rPr>
                    <w:t> </w:t>
                  </w:r>
                  <w:r>
                    <w:rPr>
                      <w:color w:val="231F20"/>
                      <w:w w:val="105"/>
                      <w:sz w:val="18"/>
                    </w:rPr>
                    <w:t>Administration</w:t>
                  </w:r>
                  <w:r>
                    <w:rPr>
                      <w:color w:val="231F20"/>
                      <w:spacing w:val="-22"/>
                      <w:w w:val="105"/>
                      <w:sz w:val="18"/>
                    </w:rPr>
                    <w:t> </w:t>
                  </w:r>
                  <w:r>
                    <w:rPr>
                      <w:color w:val="231F20"/>
                      <w:w w:val="105"/>
                      <w:sz w:val="18"/>
                    </w:rPr>
                    <w:t>of</w:t>
                  </w:r>
                  <w:r>
                    <w:rPr>
                      <w:color w:val="231F20"/>
                      <w:spacing w:val="-21"/>
                      <w:w w:val="105"/>
                      <w:sz w:val="18"/>
                    </w:rPr>
                    <w:t> </w:t>
                  </w:r>
                  <w:r>
                    <w:rPr>
                      <w:color w:val="231F20"/>
                      <w:w w:val="105"/>
                      <w:sz w:val="18"/>
                    </w:rPr>
                    <w:t>drugs</w:t>
                  </w:r>
                  <w:r>
                    <w:rPr>
                      <w:color w:val="231F20"/>
                      <w:spacing w:val="-22"/>
                      <w:w w:val="105"/>
                      <w:sz w:val="18"/>
                    </w:rPr>
                    <w:t> </w:t>
                  </w:r>
                  <w:r>
                    <w:rPr>
                      <w:color w:val="231F20"/>
                      <w:w w:val="105"/>
                      <w:sz w:val="18"/>
                    </w:rPr>
                    <w:t>that</w:t>
                  </w:r>
                  <w:r>
                    <w:rPr>
                      <w:color w:val="231F20"/>
                      <w:spacing w:val="-21"/>
                      <w:w w:val="105"/>
                      <w:sz w:val="18"/>
                    </w:rPr>
                    <w:t> </w:t>
                  </w:r>
                  <w:r>
                    <w:rPr>
                      <w:color w:val="231F20"/>
                      <w:w w:val="105"/>
                      <w:sz w:val="18"/>
                    </w:rPr>
                    <w:t>block the formation of angiotensin II (angiotensin­converting enzyme inhibitors) or that block the action of</w:t>
                  </w:r>
                  <w:r>
                    <w:rPr>
                      <w:color w:val="231F20"/>
                      <w:spacing w:val="-27"/>
                      <w:w w:val="105"/>
                      <w:sz w:val="18"/>
                    </w:rPr>
                    <w:t> </w:t>
                  </w:r>
                  <w:r>
                    <w:rPr>
                      <w:color w:val="231F20"/>
                      <w:w w:val="105"/>
                      <w:sz w:val="18"/>
                    </w:rPr>
                    <w:t>angiotensin II (angiotensin II receptor antagonists) may cause greater reductions in GFR than usual when the renal</w:t>
                  </w:r>
                  <w:r>
                    <w:rPr>
                      <w:color w:val="231F20"/>
                      <w:spacing w:val="26"/>
                      <w:w w:val="105"/>
                      <w:sz w:val="18"/>
                    </w:rPr>
                    <w:t> </w:t>
                  </w:r>
                  <w:r>
                    <w:rPr>
                      <w:color w:val="231F20"/>
                      <w:w w:val="105"/>
                      <w:sz w:val="18"/>
                    </w:rPr>
                    <w:t>arterial pressure falls below normal. Therefore, an important complication of using these drugs to treat patients </w:t>
                  </w:r>
                  <w:r>
                    <w:rPr>
                      <w:color w:val="231F20"/>
                      <w:spacing w:val="-4"/>
                      <w:w w:val="105"/>
                      <w:sz w:val="18"/>
                    </w:rPr>
                    <w:t>who </w:t>
                  </w:r>
                  <w:r>
                    <w:rPr>
                      <w:color w:val="231F20"/>
                      <w:w w:val="105"/>
                      <w:sz w:val="18"/>
                    </w:rPr>
                    <w:t>have</w:t>
                  </w:r>
                  <w:r>
                    <w:rPr>
                      <w:color w:val="231F20"/>
                      <w:spacing w:val="-11"/>
                      <w:w w:val="105"/>
                      <w:sz w:val="18"/>
                    </w:rPr>
                    <w:t> </w:t>
                  </w:r>
                  <w:r>
                    <w:rPr>
                      <w:color w:val="231F20"/>
                      <w:w w:val="105"/>
                      <w:sz w:val="18"/>
                    </w:rPr>
                    <w:t>hypertension</w:t>
                  </w:r>
                  <w:r>
                    <w:rPr>
                      <w:color w:val="231F20"/>
                      <w:spacing w:val="-10"/>
                      <w:w w:val="105"/>
                      <w:sz w:val="18"/>
                    </w:rPr>
                    <w:t> </w:t>
                  </w:r>
                  <w:r>
                    <w:rPr>
                      <w:color w:val="231F20"/>
                      <w:w w:val="105"/>
                      <w:sz w:val="18"/>
                    </w:rPr>
                    <w:t>because</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renal</w:t>
                  </w:r>
                  <w:r>
                    <w:rPr>
                      <w:color w:val="231F20"/>
                      <w:spacing w:val="-10"/>
                      <w:w w:val="105"/>
                      <w:sz w:val="18"/>
                    </w:rPr>
                    <w:t> </w:t>
                  </w:r>
                  <w:r>
                    <w:rPr>
                      <w:color w:val="231F20"/>
                      <w:w w:val="105"/>
                      <w:sz w:val="18"/>
                    </w:rPr>
                    <w:t>artery</w:t>
                  </w:r>
                  <w:r>
                    <w:rPr>
                      <w:color w:val="231F20"/>
                      <w:spacing w:val="-10"/>
                      <w:w w:val="105"/>
                      <w:sz w:val="18"/>
                    </w:rPr>
                    <w:t> </w:t>
                  </w:r>
                  <w:r>
                    <w:rPr>
                      <w:color w:val="231F20"/>
                      <w:w w:val="105"/>
                      <w:sz w:val="18"/>
                    </w:rPr>
                    <w:t>stenosis</w:t>
                  </w:r>
                  <w:r>
                    <w:rPr>
                      <w:color w:val="231F20"/>
                      <w:spacing w:val="-10"/>
                      <w:w w:val="105"/>
                      <w:sz w:val="18"/>
                    </w:rPr>
                    <w:t> </w:t>
                  </w:r>
                  <w:r>
                    <w:rPr>
                      <w:color w:val="231F20"/>
                      <w:w w:val="105"/>
                      <w:sz w:val="18"/>
                    </w:rPr>
                    <w:t>(partial blockage of the renal artery) is a severe decrease in GFR that can, in some cases, cause acute renal failure. Nevertheless,</w:t>
                  </w:r>
                  <w:r>
                    <w:rPr>
                      <w:color w:val="231F20"/>
                      <w:spacing w:val="-12"/>
                      <w:w w:val="105"/>
                      <w:sz w:val="18"/>
                    </w:rPr>
                    <w:t> </w:t>
                  </w:r>
                  <w:r>
                    <w:rPr>
                      <w:color w:val="231F20"/>
                      <w:w w:val="105"/>
                      <w:sz w:val="18"/>
                    </w:rPr>
                    <w:t>angiotensin</w:t>
                  </w:r>
                  <w:r>
                    <w:rPr>
                      <w:color w:val="231F20"/>
                      <w:spacing w:val="-11"/>
                      <w:w w:val="105"/>
                      <w:sz w:val="18"/>
                    </w:rPr>
                    <w:t> </w:t>
                  </w:r>
                  <w:r>
                    <w:rPr>
                      <w:color w:val="231F20"/>
                      <w:w w:val="105"/>
                      <w:sz w:val="18"/>
                    </w:rPr>
                    <w:t>II–blocking</w:t>
                  </w:r>
                  <w:r>
                    <w:rPr>
                      <w:color w:val="231F20"/>
                      <w:spacing w:val="-12"/>
                      <w:w w:val="105"/>
                      <w:sz w:val="18"/>
                    </w:rPr>
                    <w:t> </w:t>
                  </w:r>
                  <w:r>
                    <w:rPr>
                      <w:color w:val="231F20"/>
                      <w:w w:val="105"/>
                      <w:sz w:val="18"/>
                    </w:rPr>
                    <w:t>drugs</w:t>
                  </w:r>
                  <w:r>
                    <w:rPr>
                      <w:color w:val="231F20"/>
                      <w:spacing w:val="-11"/>
                      <w:w w:val="105"/>
                      <w:sz w:val="18"/>
                    </w:rPr>
                    <w:t> </w:t>
                  </w:r>
                  <w:r>
                    <w:rPr>
                      <w:color w:val="231F20"/>
                      <w:w w:val="105"/>
                      <w:sz w:val="18"/>
                    </w:rPr>
                    <w:t>can</w:t>
                  </w:r>
                  <w:r>
                    <w:rPr>
                      <w:color w:val="231F20"/>
                      <w:spacing w:val="-12"/>
                      <w:w w:val="105"/>
                      <w:sz w:val="18"/>
                    </w:rPr>
                    <w:t> </w:t>
                  </w:r>
                  <w:r>
                    <w:rPr>
                      <w:color w:val="231F20"/>
                      <w:w w:val="105"/>
                      <w:sz w:val="18"/>
                    </w:rPr>
                    <w:t>be</w:t>
                  </w:r>
                  <w:r>
                    <w:rPr>
                      <w:color w:val="231F20"/>
                      <w:spacing w:val="-11"/>
                      <w:w w:val="105"/>
                      <w:sz w:val="18"/>
                    </w:rPr>
                    <w:t> </w:t>
                  </w:r>
                  <w:r>
                    <w:rPr>
                      <w:color w:val="231F20"/>
                      <w:w w:val="105"/>
                      <w:sz w:val="18"/>
                    </w:rPr>
                    <w:t>useful therapeutic agents in many patients with hypertension, congestive heart failure, and other conditions, as long as the patients are monitored to ensure that severe</w:t>
                  </w:r>
                  <w:r>
                    <w:rPr>
                      <w:color w:val="231F20"/>
                      <w:spacing w:val="-25"/>
                      <w:w w:val="105"/>
                      <w:sz w:val="18"/>
                    </w:rPr>
                    <w:t> </w:t>
                  </w:r>
                  <w:r>
                    <w:rPr>
                      <w:color w:val="231F20"/>
                      <w:w w:val="105"/>
                      <w:sz w:val="18"/>
                    </w:rPr>
                    <w:t>decreases in GFR do not</w:t>
                  </w:r>
                  <w:r>
                    <w:rPr>
                      <w:color w:val="231F20"/>
                      <w:spacing w:val="12"/>
                      <w:w w:val="105"/>
                      <w:sz w:val="18"/>
                    </w:rPr>
                    <w:t> </w:t>
                  </w:r>
                  <w:r>
                    <w:rPr>
                      <w:color w:val="231F20"/>
                      <w:spacing w:val="-3"/>
                      <w:w w:val="105"/>
                      <w:sz w:val="18"/>
                    </w:rPr>
                    <w:t>occur.</w:t>
                  </w:r>
                </w:p>
              </w:txbxContent>
            </v:textbox>
            <v:fill type="solid"/>
            <w10:wrap type="topAndBottom"/>
          </v:shape>
        </w:pict>
      </w:r>
    </w:p>
    <w:p>
      <w:pPr>
        <w:pStyle w:val="BodyText"/>
        <w:rPr>
          <w:rFonts w:ascii="Arial"/>
          <w:sz w:val="18"/>
        </w:rPr>
      </w:pPr>
    </w:p>
    <w:p>
      <w:pPr>
        <w:pStyle w:val="BodyText"/>
        <w:spacing w:before="4"/>
        <w:rPr>
          <w:rFonts w:ascii="Arial"/>
          <w:sz w:val="19"/>
        </w:rPr>
      </w:pPr>
    </w:p>
    <w:p>
      <w:pPr>
        <w:pStyle w:val="Heading2"/>
        <w:spacing w:line="225" w:lineRule="auto"/>
        <w:ind w:right="1734"/>
      </w:pPr>
      <w:r>
        <w:rPr>
          <w:color w:val="231F20"/>
          <w:w w:val="105"/>
        </w:rPr>
        <w:t>MYOGENIC AUTOREGULATION OF RENAL BLOOD FLOW AND GFR</w:t>
      </w:r>
    </w:p>
    <w:p>
      <w:pPr>
        <w:pStyle w:val="BodyText"/>
        <w:spacing w:line="249" w:lineRule="auto" w:before="144"/>
        <w:ind w:left="319" w:right="1437"/>
        <w:jc w:val="both"/>
      </w:pPr>
      <w:r>
        <w:rPr>
          <w:color w:val="231F20"/>
          <w:w w:val="105"/>
        </w:rPr>
        <w:t>Another mechanism that contributes to the</w:t>
      </w:r>
      <w:r>
        <w:rPr>
          <w:color w:val="231F20"/>
          <w:spacing w:val="-17"/>
          <w:w w:val="105"/>
        </w:rPr>
        <w:t> </w:t>
      </w:r>
      <w:r>
        <w:rPr>
          <w:color w:val="231F20"/>
          <w:w w:val="105"/>
        </w:rPr>
        <w:t>maintenance of a relatively constant renal blood flow and GFR is the ability of individual blood vessels to resist </w:t>
      </w:r>
      <w:r>
        <w:rPr>
          <w:color w:val="231F20"/>
          <w:spacing w:val="-3"/>
          <w:w w:val="105"/>
        </w:rPr>
        <w:t>stretching </w:t>
      </w:r>
      <w:r>
        <w:rPr>
          <w:color w:val="231F20"/>
          <w:w w:val="105"/>
        </w:rPr>
        <w:t>during</w:t>
      </w:r>
      <w:r>
        <w:rPr>
          <w:color w:val="231F20"/>
          <w:spacing w:val="-29"/>
          <w:w w:val="105"/>
        </w:rPr>
        <w:t> </w:t>
      </w:r>
      <w:r>
        <w:rPr>
          <w:color w:val="231F20"/>
          <w:w w:val="105"/>
        </w:rPr>
        <w:t>increased</w:t>
      </w:r>
      <w:r>
        <w:rPr>
          <w:color w:val="231F20"/>
          <w:spacing w:val="-29"/>
          <w:w w:val="105"/>
        </w:rPr>
        <w:t> </w:t>
      </w:r>
      <w:r>
        <w:rPr>
          <w:color w:val="231F20"/>
          <w:w w:val="105"/>
        </w:rPr>
        <w:t>arterial</w:t>
      </w:r>
      <w:r>
        <w:rPr>
          <w:color w:val="231F20"/>
          <w:spacing w:val="-28"/>
          <w:w w:val="105"/>
        </w:rPr>
        <w:t> </w:t>
      </w:r>
      <w:r>
        <w:rPr>
          <w:color w:val="231F20"/>
          <w:w w:val="105"/>
        </w:rPr>
        <w:t>pressure,</w:t>
      </w:r>
      <w:r>
        <w:rPr>
          <w:color w:val="231F20"/>
          <w:spacing w:val="-29"/>
          <w:w w:val="105"/>
        </w:rPr>
        <w:t> </w:t>
      </w:r>
      <w:r>
        <w:rPr>
          <w:color w:val="231F20"/>
          <w:w w:val="105"/>
        </w:rPr>
        <w:t>a</w:t>
      </w:r>
      <w:r>
        <w:rPr>
          <w:color w:val="231F20"/>
          <w:spacing w:val="-29"/>
          <w:w w:val="105"/>
        </w:rPr>
        <w:t> </w:t>
      </w:r>
      <w:r>
        <w:rPr>
          <w:color w:val="231F20"/>
          <w:w w:val="105"/>
        </w:rPr>
        <w:t>phenomenon</w:t>
      </w:r>
      <w:r>
        <w:rPr>
          <w:color w:val="231F20"/>
          <w:spacing w:val="-28"/>
          <w:w w:val="105"/>
        </w:rPr>
        <w:t> </w:t>
      </w:r>
      <w:r>
        <w:rPr>
          <w:color w:val="231F20"/>
          <w:w w:val="105"/>
        </w:rPr>
        <w:t>referred to</w:t>
      </w:r>
      <w:r>
        <w:rPr>
          <w:color w:val="231F20"/>
          <w:spacing w:val="-33"/>
          <w:w w:val="105"/>
        </w:rPr>
        <w:t> </w:t>
      </w:r>
      <w:r>
        <w:rPr>
          <w:color w:val="231F20"/>
          <w:w w:val="105"/>
        </w:rPr>
        <w:t>as</w:t>
      </w:r>
      <w:r>
        <w:rPr>
          <w:color w:val="231F20"/>
          <w:spacing w:val="-33"/>
          <w:w w:val="105"/>
        </w:rPr>
        <w:t> </w:t>
      </w:r>
      <w:r>
        <w:rPr>
          <w:color w:val="231F20"/>
          <w:w w:val="105"/>
        </w:rPr>
        <w:t>the</w:t>
      </w:r>
      <w:r>
        <w:rPr>
          <w:color w:val="231F20"/>
          <w:spacing w:val="-33"/>
          <w:w w:val="105"/>
        </w:rPr>
        <w:t> </w:t>
      </w:r>
      <w:r>
        <w:rPr>
          <w:i/>
          <w:color w:val="231F20"/>
          <w:w w:val="105"/>
        </w:rPr>
        <w:t>myogenic</w:t>
      </w:r>
      <w:r>
        <w:rPr>
          <w:i/>
          <w:color w:val="231F20"/>
          <w:spacing w:val="-33"/>
          <w:w w:val="105"/>
        </w:rPr>
        <w:t> </w:t>
      </w:r>
      <w:r>
        <w:rPr>
          <w:i/>
          <w:color w:val="231F20"/>
          <w:w w:val="105"/>
        </w:rPr>
        <w:t>mechanism.</w:t>
      </w:r>
      <w:r>
        <w:rPr>
          <w:i/>
          <w:color w:val="231F20"/>
          <w:spacing w:val="-33"/>
          <w:w w:val="105"/>
        </w:rPr>
        <w:t> </w:t>
      </w:r>
      <w:r>
        <w:rPr>
          <w:color w:val="231F20"/>
          <w:w w:val="105"/>
        </w:rPr>
        <w:t>Studies</w:t>
      </w:r>
      <w:r>
        <w:rPr>
          <w:color w:val="231F20"/>
          <w:spacing w:val="-33"/>
          <w:w w:val="105"/>
        </w:rPr>
        <w:t> </w:t>
      </w:r>
      <w:r>
        <w:rPr>
          <w:color w:val="231F20"/>
          <w:w w:val="105"/>
        </w:rPr>
        <w:t>of</w:t>
      </w:r>
      <w:r>
        <w:rPr>
          <w:color w:val="231F20"/>
          <w:spacing w:val="-33"/>
          <w:w w:val="105"/>
        </w:rPr>
        <w:t> </w:t>
      </w:r>
      <w:r>
        <w:rPr>
          <w:color w:val="231F20"/>
          <w:w w:val="105"/>
        </w:rPr>
        <w:t>individual</w:t>
      </w:r>
      <w:r>
        <w:rPr>
          <w:color w:val="231F20"/>
          <w:spacing w:val="-33"/>
          <w:w w:val="105"/>
        </w:rPr>
        <w:t> </w:t>
      </w:r>
      <w:r>
        <w:rPr>
          <w:color w:val="231F20"/>
          <w:w w:val="105"/>
        </w:rPr>
        <w:t>blood vessels</w:t>
      </w:r>
      <w:r>
        <w:rPr>
          <w:color w:val="231F20"/>
          <w:spacing w:val="-9"/>
          <w:w w:val="105"/>
        </w:rPr>
        <w:t> </w:t>
      </w:r>
      <w:r>
        <w:rPr>
          <w:color w:val="231F20"/>
          <w:w w:val="105"/>
        </w:rPr>
        <w:t>(especially</w:t>
      </w:r>
      <w:r>
        <w:rPr>
          <w:color w:val="231F20"/>
          <w:spacing w:val="-8"/>
          <w:w w:val="105"/>
        </w:rPr>
        <w:t> </w:t>
      </w:r>
      <w:r>
        <w:rPr>
          <w:color w:val="231F20"/>
          <w:w w:val="105"/>
        </w:rPr>
        <w:t>small</w:t>
      </w:r>
      <w:r>
        <w:rPr>
          <w:color w:val="231F20"/>
          <w:spacing w:val="-8"/>
          <w:w w:val="105"/>
        </w:rPr>
        <w:t> </w:t>
      </w:r>
      <w:r>
        <w:rPr>
          <w:color w:val="231F20"/>
          <w:w w:val="105"/>
        </w:rPr>
        <w:t>arterioles)</w:t>
      </w:r>
      <w:r>
        <w:rPr>
          <w:color w:val="231F20"/>
          <w:spacing w:val="-8"/>
          <w:w w:val="105"/>
        </w:rPr>
        <w:t> </w:t>
      </w:r>
      <w:r>
        <w:rPr>
          <w:color w:val="231F20"/>
          <w:w w:val="105"/>
        </w:rPr>
        <w:t>throughout</w:t>
      </w:r>
      <w:r>
        <w:rPr>
          <w:color w:val="231F20"/>
          <w:spacing w:val="-8"/>
          <w:w w:val="105"/>
        </w:rPr>
        <w:t> </w:t>
      </w:r>
      <w:r>
        <w:rPr>
          <w:color w:val="231F20"/>
          <w:w w:val="105"/>
        </w:rPr>
        <w:t>the</w:t>
      </w:r>
      <w:r>
        <w:rPr>
          <w:color w:val="231F20"/>
          <w:spacing w:val="-8"/>
          <w:w w:val="105"/>
        </w:rPr>
        <w:t> </w:t>
      </w:r>
      <w:r>
        <w:rPr>
          <w:color w:val="231F20"/>
          <w:w w:val="105"/>
        </w:rPr>
        <w:t>body have shown that they respond to increased wall</w:t>
      </w:r>
      <w:r>
        <w:rPr>
          <w:color w:val="231F20"/>
          <w:spacing w:val="3"/>
          <w:w w:val="105"/>
        </w:rPr>
        <w:t> </w:t>
      </w:r>
      <w:r>
        <w:rPr>
          <w:color w:val="231F20"/>
          <w:spacing w:val="-3"/>
          <w:w w:val="105"/>
        </w:rPr>
        <w:t>tension</w:t>
      </w:r>
    </w:p>
    <w:p>
      <w:pPr>
        <w:spacing w:after="0" w:line="249" w:lineRule="auto"/>
        <w:jc w:val="both"/>
        <w:sectPr>
          <w:type w:val="continuous"/>
          <w:pgSz w:w="12240" w:h="15660"/>
          <w:pgMar w:top="0" w:bottom="760" w:left="0" w:right="0"/>
          <w:cols w:num="2" w:equalWidth="0">
            <w:col w:w="5761" w:space="40"/>
            <w:col w:w="6439"/>
          </w:cols>
        </w:sectPr>
      </w:pPr>
    </w:p>
    <w:p>
      <w:pPr>
        <w:pStyle w:val="BodyText"/>
      </w:pPr>
      <w:r>
        <w:rPr/>
        <w:pict>
          <v:group style="position:absolute;margin-left:0pt;margin-top:0pt;width:612pt;height:180pt;mso-position-horizontal-relative:page;mso-position-vertical-relative:page;z-index:-27339878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5078" w:right="0" w:firstLine="0"/>
                      <w:jc w:val="left"/>
                      <w:rPr>
                        <w:rFonts w:ascii="Trebuchet MS"/>
                        <w:sz w:val="18"/>
                      </w:rPr>
                    </w:pPr>
                    <w:r>
                      <w:rPr>
                        <w:rFonts w:ascii="Trebuchet MS"/>
                        <w:b/>
                        <w:color w:val="231F20"/>
                        <w:w w:val="105"/>
                        <w:sz w:val="18"/>
                      </w:rPr>
                      <w:t>Chapter 27 </w:t>
                    </w:r>
                    <w:r>
                      <w:rPr>
                        <w:rFonts w:ascii="Trebuchet MS"/>
                        <w:color w:val="231F20"/>
                        <w:w w:val="105"/>
                        <w:sz w:val="18"/>
                      </w:rPr>
                      <w:t>Glomerular Filtration, Renal Blood Flow, and Their Control</w:t>
                    </w:r>
                  </w:p>
                </w:txbxContent>
              </v:textbox>
              <v:fill type="solid"/>
              <w10:wrap type="none"/>
            </v:shape>
            <v:shape style="position:absolute;left:8415;top:1920;width:1354;height:380" type="#_x0000_t202" filled="false" stroked="false">
              <v:textbox inset="0,0,0,0">
                <w:txbxContent>
                  <w:p>
                    <w:pPr>
                      <w:spacing w:before="41"/>
                      <w:ind w:left="271" w:right="0" w:firstLine="0"/>
                      <w:jc w:val="left"/>
                      <w:rPr>
                        <w:rFonts w:ascii="Helvetica"/>
                        <w:sz w:val="16"/>
                      </w:rPr>
                    </w:pPr>
                    <w:r>
                      <w:rPr>
                        <w:rFonts w:ascii="Helvetica"/>
                        <w:color w:val="231F20"/>
                        <w:sz w:val="16"/>
                      </w:rPr>
                      <w:t>Amino acids</w:t>
                    </w:r>
                  </w:p>
                </w:txbxContent>
              </v:textbox>
              <w10:wrap type="none"/>
            </v:shape>
            <v:shape style="position:absolute;left:8375;top:1145;width:1454;height:380" type="#_x0000_t202" filled="false" stroked="false">
              <v:textbox inset="0,0,0,0">
                <w:txbxContent>
                  <w:p>
                    <w:pPr>
                      <w:spacing w:before="45"/>
                      <w:ind w:left="70" w:right="0" w:firstLine="0"/>
                      <w:jc w:val="left"/>
                      <w:rPr>
                        <w:rFonts w:ascii="Helvetica"/>
                        <w:sz w:val="16"/>
                      </w:rPr>
                    </w:pPr>
                    <w:r>
                      <w:rPr>
                        <w:rFonts w:ascii="Helvetica"/>
                        <w:color w:val="231F20"/>
                        <w:sz w:val="16"/>
                      </w:rPr>
                      <w:t>Protein ingestion</w:t>
                    </w:r>
                  </w:p>
                </w:txbxContent>
              </v:textbox>
              <w10:wrap type="none"/>
            </v:shape>
            <w10:wrap type="none"/>
          </v:group>
        </w:pict>
      </w:r>
    </w:p>
    <w:p>
      <w:pPr>
        <w:pStyle w:val="BodyText"/>
      </w:pPr>
    </w:p>
    <w:p>
      <w:pPr>
        <w:pStyle w:val="BodyText"/>
      </w:pPr>
    </w:p>
    <w:p>
      <w:pPr>
        <w:pStyle w:val="BodyText"/>
        <w:spacing w:before="9"/>
        <w:rPr>
          <w:sz w:val="21"/>
        </w:rPr>
      </w:pPr>
    </w:p>
    <w:p>
      <w:pPr>
        <w:pStyle w:val="BodyText"/>
        <w:spacing w:line="249" w:lineRule="auto" w:before="100"/>
        <w:ind w:left="1440" w:right="6117"/>
        <w:jc w:val="both"/>
      </w:pPr>
      <w:r>
        <w:rPr/>
        <w:pict>
          <v:group style="position:absolute;margin-left:343.083893pt;margin-top:5.045962pt;width:195.85pt;height:281.95pt;mso-position-horizontal-relative:page;mso-position-vertical-relative:paragraph;z-index:252016640" coordorigin="6862,101" coordsize="3917,5639">
            <v:shape style="position:absolute;left:6876;top:3873;width:1560;height:1630" coordorigin="6877,3873" coordsize="1560,1630" path="m7977,3873l6877,3873,6877,5503,8436,5503e" filled="false" stroked="true" strokeweight="1.5pt" strokecolor="#231f20">
              <v:path arrowok="t"/>
              <v:stroke dashstyle="shortdash"/>
            </v:shape>
            <v:rect style="position:absolute;left:8202;top:4451;width:1834;height:520" filled="true" fillcolor="#b5c3d9" stroked="false">
              <v:fill type="solid"/>
            </v:rect>
            <v:rect style="position:absolute;left:8415;top:5360;width:1354;height:380" filled="true" fillcolor="#d2b480" stroked="false">
              <v:fill type="solid"/>
            </v:rect>
            <v:shape style="position:absolute;left:8982;top:5105;width:120;height:185" coordorigin="8982,5106" coordsize="120,185" path="m8984,5106l8982,5108,9020,5197,9043,5290,9064,5197,9089,5139,9042,5139,8984,5106xm9101,5106l9042,5139,9089,5139,9102,5108,9101,5106xe" filled="true" fillcolor="#231f20" stroked="false">
              <v:path arrowok="t"/>
              <v:fill type="solid"/>
            </v:shape>
            <v:line style="position:absolute" from="9043,4910" to="9043,5224" stroked="true" strokeweight="1.5pt" strokecolor="#231f20">
              <v:stroke dashstyle="solid"/>
            </v:line>
            <v:rect style="position:absolute;left:8355;top:5300;width:1354;height:380" filled="true" fillcolor="#ffe3a5" stroked="false">
              <v:fill type="solid"/>
            </v:rect>
            <v:shape style="position:absolute;left:8765;top:5363;width:120;height:185" coordorigin="8766,5364" coordsize="120,185" path="m8872,5515l8826,5515,8884,5548,8885,5547,8872,5515xm8826,5364l8804,5457,8766,5546,8767,5548,8826,5515,8872,5515,8848,5457,8826,5364xe" filled="true" fillcolor="#231f20" stroked="false">
              <v:path arrowok="t"/>
              <v:fill type="solid"/>
            </v:shape>
            <v:line style="position:absolute" from="8826,5624" to="8826,5430" stroked="true" strokeweight="1.5pt" strokecolor="#231f20">
              <v:stroke dashstyle="solid"/>
            </v:line>
            <v:rect style="position:absolute;left:8202;top:3746;width:1834;height:380" filled="true" fillcolor="#b5c3d9" stroked="false">
              <v:fill type="solid"/>
            </v:rect>
            <v:rect style="position:absolute;left:8142;top:4391;width:1834;height:520" filled="true" fillcolor="#d4e3f5" stroked="false">
              <v:fill type="solid"/>
            </v:rect>
            <v:shape style="position:absolute;left:8982;top:4206;width:120;height:185" coordorigin="8982,4206" coordsize="120,185" path="m8984,4207l8982,4209,9020,4298,9043,4391,9064,4298,9089,4240,9042,4240,8984,4207xm9101,4206l9042,4240,9089,4240,9102,4208,9101,4206xe" filled="true" fillcolor="#231f20" stroked="false">
              <v:path arrowok="t"/>
              <v:fill type="solid"/>
            </v:shape>
            <v:line style="position:absolute" from="9043,4065" to="9043,4325" stroked="true" strokeweight="1.5pt" strokecolor="#231f20">
              <v:stroke dashstyle="solid"/>
            </v:line>
            <v:shape style="position:absolute;left:8351;top:4635;width:120;height:185" coordorigin="8351,4636" coordsize="120,185" path="m8353,4636l8351,4638,8389,4727,8412,4820,8433,4727,8458,4669,8411,4669,8353,4636xm8470,4636l8411,4669,8458,4669,8471,4638,8470,4636xe" filled="true" fillcolor="#231f20" stroked="false">
              <v:path arrowok="t"/>
              <v:fill type="solid"/>
            </v:shape>
            <v:line style="position:absolute" from="8412,4500" to="8412,4754" stroked="true" strokeweight="1.5pt" strokecolor="#231f20">
              <v:stroke dashstyle="solid"/>
            </v:line>
            <v:shape style="position:absolute;left:7890;top:3813;width:225;height:120" type="#_x0000_t75" stroked="false">
              <v:imagedata r:id="rId446" o:title=""/>
            </v:shape>
            <v:shape style="position:absolute;left:7361;top:3554;width:222;height:222" coordorigin="7362,3554" coordsize="222,222" path="m7583,3665l7574,3708,7551,3743,7516,3767,7472,3776,7429,3767,7394,3743,7371,3708,7362,3665,7371,3622,7394,3587,7429,3563,7472,3554,7516,3563,7551,3587,7574,3622,7583,3665xe" filled="false" stroked="true" strokeweight=".5pt" strokecolor="#231f20">
              <v:path arrowok="t"/>
              <v:stroke dashstyle="solid"/>
            </v:shape>
            <v:rect style="position:absolute;left:8202;top:2811;width:1834;height:520" filled="true" fillcolor="#b5c3d9" stroked="false">
              <v:fill type="solid"/>
            </v:rect>
            <v:shape style="position:absolute;left:8982;top:3491;width:120;height:185" coordorigin="8982,3491" coordsize="120,185" path="m8984,3492l8982,3494,9020,3583,9043,3676,9064,3582,9089,3525,9042,3525,8984,3492xm9101,3491l9042,3525,9089,3525,9102,3493,9101,3491xe" filled="true" fillcolor="#231f20" stroked="false">
              <v:path arrowok="t"/>
              <v:fill type="solid"/>
            </v:shape>
            <v:line style="position:absolute" from="9043,3270" to="9043,3609" stroked="true" strokeweight="1.5pt" strokecolor="#231f20">
              <v:stroke dashstyle="solid"/>
            </v:line>
            <v:rect style="position:absolute;left:8142;top:2751;width:1834;height:520" filled="true" fillcolor="#d4e3f5" stroked="false">
              <v:fill type="solid"/>
            </v:rect>
            <v:shape style="position:absolute;left:8982;top:2566;width:120;height:185" coordorigin="8982,2566" coordsize="120,185" path="m8984,2567l8982,2569,9020,2658,9043,2751,9064,2658,9089,2600,9042,2600,8984,2567xm9101,2566l9042,2600,9089,2600,9102,2568,9101,2566xe" filled="true" fillcolor="#231f20" stroked="false">
              <v:path arrowok="t"/>
              <v:fill type="solid"/>
            </v:shape>
            <v:shape style="position:absolute;left:8202;top:980;width:1834;height:1480" coordorigin="8202,981" coordsize="1834,1480" path="m9770,981l8416,981,8416,1360,9770,1360,9770,981m10036,1761l8202,1761,8202,2460,10036,2460,10036,1761e" filled="true" fillcolor="#b5c3d9" stroked="false">
              <v:path arrowok="t"/>
              <v:fill type="solid"/>
            </v:shape>
            <v:shape style="position:absolute;left:8982;top:1508;width:120;height:185" coordorigin="8982,1508" coordsize="120,185" path="m8984,1509l8982,1510,9020,1600,9043,1693,9064,1599,9089,1542,9042,1542,8984,1509xm9101,1508l9042,1542,9089,1542,9102,1510,9101,1508xe" filled="true" fillcolor="#231f20" stroked="false">
              <v:path arrowok="t"/>
              <v:fill type="solid"/>
            </v:shape>
            <v:shape style="position:absolute;left:9042;top:1299;width:2;height:1385" coordorigin="9043,1300" coordsize="0,1385" path="m9043,1300l9043,1626m9043,2400l9043,2685e" filled="false" stroked="true" strokeweight="1.5pt" strokecolor="#231f20">
              <v:path arrowok="t"/>
              <v:stroke dashstyle="solid"/>
            </v:shape>
            <v:shape style="position:absolute;left:8331;top:2860;width:120;height:185" coordorigin="8331,2860" coordsize="120,185" path="m8438,3011l8391,3011,8450,3045,8451,3043,8438,3011xm8392,2860l8369,2953,8331,3042,8333,3044,8391,3011,8438,3011,8413,2953,8392,2860xe" filled="true" fillcolor="#231f20" stroked="false">
              <v:path arrowok="t"/>
              <v:fill type="solid"/>
            </v:shape>
            <v:line style="position:absolute" from="8392,3180" to="8392,2926" stroked="true" strokeweight="1.5pt" strokecolor="#231f20">
              <v:stroke dashstyle="solid"/>
            </v:line>
            <v:rect style="position:absolute;left:8375;top:205;width:1454;height:380" filled="true" fillcolor="#afcbc9" stroked="false">
              <v:fill type="solid"/>
            </v:rect>
            <v:shape style="position:absolute;left:8982;top:725;width:120;height:185" coordorigin="8982,726" coordsize="120,185" path="m8984,726l8982,728,9020,817,9043,910,9064,817,9089,759,9042,759,8984,726xm9101,726l9042,759,9089,759,9102,728,9101,726xe" filled="true" fillcolor="#231f20" stroked="false">
              <v:path arrowok="t"/>
              <v:fill type="solid"/>
            </v:shape>
            <v:line style="position:absolute" from="9043,525" to="9043,844" stroked="true" strokeweight="1.5pt" strokecolor="#231f20">
              <v:stroke dashstyle="solid"/>
            </v:line>
            <v:rect style="position:absolute;left:8315;top:145;width:1454;height:380" filled="true" fillcolor="#d6ede6" stroked="false">
              <v:fill type="solid"/>
            </v:rect>
            <v:shape style="position:absolute;left:8142;top:920;width:1834;height:1480" coordorigin="8142,921" coordsize="1834,1480" path="m9710,921l8356,921,8356,1300,9710,1300,9710,921m9976,1701l8142,1701,8142,2400,9976,2400,9976,1701e" filled="true" fillcolor="#d4e3f5" stroked="false">
              <v:path arrowok="t"/>
              <v:fill type="solid"/>
            </v:shape>
            <v:shape style="position:absolute;left:8505;top:983;width:120;height:185" coordorigin="8506,984" coordsize="120,185" path="m8612,1135l8566,1135,8624,1168,8625,1167,8612,1135xm8566,984l8544,1077,8506,1166,8507,1168,8566,1135,8612,1135,8588,1077,8566,984xe" filled="true" fillcolor="#231f20" stroked="false">
              <v:path arrowok="t"/>
              <v:fill type="solid"/>
            </v:shape>
            <v:line style="position:absolute" from="8566,1244" to="8566,1050" stroked="true" strokeweight="1.5pt" strokecolor="#231f20">
              <v:stroke dashstyle="solid"/>
            </v:line>
            <v:rect style="position:absolute;left:8142;top:3686;width:1834;height:380" filled="true" fillcolor="#d4e3f5" stroked="false">
              <v:fill type="solid"/>
            </v:rect>
            <v:shape style="position:absolute;left:8245;top:3825;width:120;height:185" coordorigin="8246,3825" coordsize="120,185" path="m8247,3825l8246,3827,8284,3916,8306,4010,8328,3916,8352,3859,8306,3859,8247,3825xm8364,3825l8306,3859,8352,3859,8365,3827,8364,3825xe" filled="true" fillcolor="#231f20" stroked="false">
              <v:path arrowok="t"/>
              <v:fill type="solid"/>
            </v:shape>
            <v:line style="position:absolute" from="8306,3749" to="8306,3943" stroked="true" strokeweight="1.5pt" strokecolor="#231f20">
              <v:stroke dashstyle="solid"/>
            </v:line>
            <v:shape style="position:absolute;left:8359;top:1823;width:120;height:185" coordorigin="8359,1824" coordsize="120,185" path="m8465,1975l8419,1975,8478,2008,8479,2006,8465,1975xm8419,1824l8397,1917,8359,2006,8360,2008,8419,1975,8465,1975,8441,1917,8419,1824xe" filled="true" fillcolor="#231f20" stroked="false">
              <v:path arrowok="t"/>
              <v:fill type="solid"/>
            </v:shape>
            <v:line style="position:absolute" from="8419,2144" to="8419,1890" stroked="true" strokeweight="1.5pt" strokecolor="#231f20">
              <v:stroke dashstyle="solid"/>
            </v:line>
            <v:shape style="position:absolute;left:7052;top:151;width:474;height:510" type="#_x0000_t75" stroked="false">
              <v:imagedata r:id="rId447" o:title=""/>
            </v:shape>
            <v:shape style="position:absolute;left:7052;top:151;width:474;height:509" coordorigin="7053,152" coordsize="474,509" path="m7526,192l7460,165,7391,152,7317,156,7241,180,7147,243,7106,288,7077,342,7060,401,7053,457,7058,509,7106,589,7193,642,7249,660,7526,192xe" filled="false" stroked="true" strokeweight=".25pt" strokecolor="#823d35">
              <v:path arrowok="t"/>
              <v:stroke dashstyle="solid"/>
            </v:shape>
            <v:shape style="position:absolute;left:7110;top:143;width:514;height:575" type="#_x0000_t75" stroked="false">
              <v:imagedata r:id="rId448" o:title=""/>
            </v:shape>
            <v:shape style="position:absolute;left:7110;top:144;width:514;height:574" coordorigin="7110,145" coordsize="514,574" path="m7624,189l7552,159,7477,145,7397,149,7315,176,7212,247,7168,299,7137,359,7118,425,7110,488,7116,547,7168,638,7262,697,7323,719,7624,189xe" filled="false" stroked="true" strokeweight=".25pt" strokecolor="#823d35">
              <v:path arrowok="t"/>
              <v:stroke dashstyle="solid"/>
            </v:shape>
            <v:shape style="position:absolute;left:7198;top:142;width:569;height:664" type="#_x0000_t75" stroked="false">
              <v:imagedata r:id="rId449" o:title=""/>
            </v:shape>
            <v:shape style="position:absolute;left:7160;top:139;width:1188;height:817" type="#_x0000_t75" stroked="false">
              <v:imagedata r:id="rId450" o:title=""/>
            </v:shape>
            <v:shape style="position:absolute;left:7119;top:336;width:10;height:15" coordorigin="7119,337" coordsize="10,15" path="m7124,337l7122,339,7119,346,7120,350,7122,350,7124,351,7126,349,7129,341,7128,338,7124,337xe" filled="true" fillcolor="#cb7556" stroked="false">
              <v:path arrowok="t"/>
              <v:fill type="solid"/>
            </v:shape>
            <v:shape style="position:absolute;left:7149;top:272;width:11;height:14" coordorigin="7150,272" coordsize="11,14" path="m7156,272l7153,274,7150,281,7150,284,7153,286,7156,284,7160,278,7160,274,7158,273,7156,272xe" filled="true" fillcolor="#df8968" stroked="false">
              <v:path arrowok="t"/>
              <v:fill type="solid"/>
            </v:shape>
            <v:shape style="position:absolute;left:7110;top:307;width:10;height:15" coordorigin="7111,308" coordsize="10,15" path="m7116,308l7113,310,7111,318,7111,321,7115,322,7117,320,7119,316,7120,313,7119,309,7117,309,7116,308xe" filled="true" fillcolor="#cb7556" stroked="false">
              <v:path arrowok="t"/>
              <v:fill type="solid"/>
            </v:shape>
            <v:shape style="position:absolute;left:7061;top:427;width:115;height:72" coordorigin="7062,427" coordsize="115,72" path="m7071,443l7071,439,7069,439,7067,438,7064,440,7062,447,7063,451,7066,452,7069,450,7070,446,7071,443m7099,432l7098,428,7096,428,7095,427,7092,429,7090,437,7090,440,7092,441,7094,441,7096,439,7099,432m7138,488l7137,485,7133,484,7131,487,7130,492,7130,495,7131,498,7135,498,7137,496,7138,488m7167,458l7167,455,7163,453,7160,456,7158,463,7158,466,7162,468,7165,465,7167,458m7176,487l7176,483,7172,482,7169,484,7167,492,7167,495,7171,496,7174,494,7175,490,7176,487e" filled="true" fillcolor="#ac6348" stroked="false">
              <v:path arrowok="t"/>
              <v:fill type="solid"/>
            </v:shape>
            <v:shape style="position:absolute;left:7133;top:422;width:53;height:32" coordorigin="7133,423" coordsize="53,32" path="m7146,439l7144,434,7141,433,7138,433,7135,437,7133,449,7135,453,7141,454,7144,450,7146,439m7186,427l7185,424,7182,423,7179,425,7178,429,7177,432,7177,436,7179,436,7181,437,7183,435,7185,431,7186,427e" filled="true" fillcolor="#c16f52" stroked="false">
              <v:path arrowok="t"/>
              <v:fill type="solid"/>
            </v:shape>
            <v:shape style="position:absolute;left:9894;top:167;width:884;height:766" type="#_x0000_t75" stroked="false">
              <v:imagedata r:id="rId451" o:title=""/>
            </v:shape>
            <v:shape style="position:absolute;left:7974;top:553;width:344;height:264" type="#_x0000_t75" stroked="false">
              <v:imagedata r:id="rId452" o:title=""/>
            </v:shape>
            <v:shape style="position:absolute;left:7974;top:555;width:344;height:262" coordorigin="7974,555" coordsize="344,262" path="m7974,656l7996,754,8095,814,8163,817,8232,802,8289,772,8318,726,8309,672,8269,622,8211,581,8147,558,8085,555,8033,573,7995,608,7974,656xe" filled="false" stroked="true" strokeweight=".25pt" strokecolor="#916354">
              <v:path arrowok="t"/>
              <v:stroke dashstyle="solid"/>
            </v:shape>
            <v:shape style="position:absolute;left:7723;top:596;width:302;height:329" type="#_x0000_t75" stroked="false">
              <v:imagedata r:id="rId453" o:title=""/>
            </v:shape>
            <v:shape style="position:absolute;left:7723;top:599;width:302;height:326" coordorigin="7724,599" coordsize="302,326" path="m7781,620l7742,660,7724,710,7727,768,7754,828,7801,878,7861,912,7924,925,7979,911,8015,868,8025,804,8014,733,7985,669,7940,622,7887,599,7832,599,7781,620xe" filled="false" stroked="true" strokeweight=".25pt" strokecolor="#916354">
              <v:path arrowok="t"/>
              <v:stroke dashstyle="solid"/>
            </v:shape>
            <v:shape style="position:absolute;left:7075;top:100;width:110;height:289" type="#_x0000_t202" filled="false" stroked="false">
              <v:textbox inset="0,0,0,0">
                <w:txbxContent>
                  <w:p>
                    <w:pPr>
                      <w:spacing w:line="229" w:lineRule="exact" w:before="0"/>
                      <w:ind w:left="0" w:right="0" w:firstLine="0"/>
                      <w:jc w:val="left"/>
                      <w:rPr>
                        <w:sz w:val="20"/>
                      </w:rPr>
                    </w:pPr>
                    <w:r>
                      <w:rPr>
                        <w:color w:val="231F20"/>
                        <w:w w:val="94"/>
                        <w:sz w:val="20"/>
                        <w:u w:val="thick" w:color="C16F52"/>
                      </w:rPr>
                      <w:t> </w:t>
                    </w:r>
                    <w:r>
                      <w:rPr>
                        <w:color w:val="231F20"/>
                        <w:spacing w:val="-8"/>
                        <w:sz w:val="20"/>
                        <w:u w:val="thick" w:color="C16F52"/>
                      </w:rPr>
                      <w:t> </w:t>
                    </w:r>
                  </w:p>
                </w:txbxContent>
              </v:textbox>
              <w10:wrap type="none"/>
            </v:shape>
            <v:shape style="position:absolute;left:7412;top:3460;width:140;height:289" type="#_x0000_t202" filled="false" stroked="false">
              <v:textbox inset="0,0,0,0">
                <w:txbxContent>
                  <w:p>
                    <w:pPr>
                      <w:spacing w:line="229" w:lineRule="exact" w:before="0"/>
                      <w:ind w:left="0" w:right="0" w:firstLine="0"/>
                      <w:jc w:val="left"/>
                      <w:rPr>
                        <w:sz w:val="20"/>
                      </w:rPr>
                    </w:pPr>
                    <w:r>
                      <w:rPr>
                        <w:color w:val="231F20"/>
                        <w:w w:val="94"/>
                        <w:sz w:val="20"/>
                        <w:u w:val="single" w:color="231F20"/>
                      </w:rPr>
                      <w:t> </w:t>
                    </w:r>
                    <w:r>
                      <w:rPr>
                        <w:color w:val="231F20"/>
                        <w:spacing w:val="22"/>
                        <w:sz w:val="20"/>
                        <w:u w:val="single" w:color="231F20"/>
                      </w:rPr>
                      <w:t> </w:t>
                    </w:r>
                  </w:p>
                </w:txbxContent>
              </v:textbox>
              <w10:wrap type="none"/>
            </v:shape>
            <v:shape style="position:absolute;left:8425;top:3789;width:141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Macula densa NaCl</w:t>
                    </w:r>
                  </w:p>
                </w:txbxContent>
              </v:textbox>
              <w10:wrap type="none"/>
            </v:shape>
            <v:shape style="position:absolute;left:7008;top:4389;width:670;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Macula densa feedback</w:t>
                    </w:r>
                  </w:p>
                </w:txbxContent>
              </v:textbox>
              <w10:wrap type="none"/>
            </v:shape>
            <v:shape style="position:absolute;left:8504;top:4476;width:1256;height:365" type="#_x0000_t202" filled="false" stroked="false">
              <v:textbox inset="0,0,0,0">
                <w:txbxContent>
                  <w:p>
                    <w:pPr>
                      <w:spacing w:line="235" w:lineRule="auto" w:before="2"/>
                      <w:ind w:left="253" w:right="0" w:hanging="254"/>
                      <w:jc w:val="left"/>
                      <w:rPr>
                        <w:rFonts w:ascii="Helvetica"/>
                        <w:sz w:val="16"/>
                      </w:rPr>
                    </w:pPr>
                    <w:r>
                      <w:rPr>
                        <w:rFonts w:ascii="Helvetica"/>
                        <w:color w:val="231F20"/>
                        <w:sz w:val="16"/>
                      </w:rPr>
                      <w:t>Afferent arteriolar resistance</w:t>
                    </w:r>
                  </w:p>
                </w:txbxContent>
              </v:textbox>
              <w10:wrap type="none"/>
            </v:shape>
            <v:shape style="position:absolute;left:8202;top:2811;width:1834;height:520" type="#_x0000_t202" filled="false" stroked="false">
              <v:textbox inset="0,0,0,0">
                <w:txbxContent>
                  <w:p>
                    <w:pPr>
                      <w:spacing w:line="235" w:lineRule="auto" w:before="27"/>
                      <w:ind w:left="315" w:right="209" w:firstLine="66"/>
                      <w:jc w:val="left"/>
                      <w:rPr>
                        <w:rFonts w:ascii="Helvetica"/>
                        <w:sz w:val="16"/>
                      </w:rPr>
                    </w:pPr>
                    <w:r>
                      <w:rPr>
                        <w:rFonts w:ascii="Helvetica"/>
                        <w:color w:val="231F20"/>
                        <w:sz w:val="16"/>
                      </w:rPr>
                      <w:t>Proximal tubular NaCl reabsorption</w:t>
                    </w:r>
                  </w:p>
                </w:txbxContent>
              </v:textbox>
              <w10:wrap type="none"/>
            </v:shape>
            <v:shape style="position:absolute;left:8202;top:1760;width:1834;height:700" type="#_x0000_t202" filled="false" stroked="false">
              <v:textbox inset="0,0,0,0">
                <w:txbxContent>
                  <w:p>
                    <w:pPr>
                      <w:spacing w:line="235" w:lineRule="auto" w:before="16"/>
                      <w:ind w:left="342" w:right="333" w:firstLine="0"/>
                      <w:jc w:val="center"/>
                      <w:rPr>
                        <w:rFonts w:ascii="Helvetica"/>
                        <w:sz w:val="16"/>
                      </w:rPr>
                    </w:pPr>
                    <w:r>
                      <w:rPr>
                        <w:rFonts w:ascii="Helvetica"/>
                        <w:color w:val="231F20"/>
                        <w:sz w:val="16"/>
                      </w:rPr>
                      <w:t>Proximal tubular amino acid reabsorption</w:t>
                    </w:r>
                  </w:p>
                </w:txbxContent>
              </v:textbox>
              <w10:wrap type="none"/>
            </v:shape>
            <v:shape style="position:absolute;left:8415;top:5360;width:1354;height:380" type="#_x0000_t202" filled="false" stroked="false">
              <v:textbox inset="0,0,0,0">
                <w:txbxContent>
                  <w:p>
                    <w:pPr>
                      <w:spacing w:before="41"/>
                      <w:ind w:left="498" w:right="478" w:firstLine="0"/>
                      <w:jc w:val="center"/>
                      <w:rPr>
                        <w:rFonts w:ascii="Helvetica"/>
                        <w:sz w:val="16"/>
                      </w:rPr>
                    </w:pPr>
                    <w:r>
                      <w:rPr>
                        <w:rFonts w:ascii="Helvetica"/>
                        <w:color w:val="231F20"/>
                        <w:sz w:val="16"/>
                      </w:rPr>
                      <w:t>GFR</w:t>
                    </w:r>
                  </w:p>
                </w:txbxContent>
              </v:textbox>
              <w10:wrap type="none"/>
            </v:shape>
            <w10:wrap type="none"/>
          </v:group>
        </w:pict>
      </w:r>
      <w:r>
        <w:rPr/>
        <w:pict>
          <v:shape style="position:absolute;margin-left:578.900024pt;margin-top:68.643265pt;width:15.9pt;height:53.35pt;mso-position-horizontal-relative:page;mso-position-vertical-relative:paragraph;z-index:25201868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or wall stretch by contraction of the vascular smooth muscle. Stretch of the vascular wall allows increased movement of calcium ions from the extracellular  fluid into the cells, causing them to contract through the mech­ anisms discussed in Chapter 8. This contraction prevents excessive stretch of the vessel and at the same time, by raising vascular resistance, helps prevent excessive increases in renal blood flow and GFR when arterial pres­ sure increases.</w:t>
      </w:r>
    </w:p>
    <w:p>
      <w:pPr>
        <w:pStyle w:val="BodyText"/>
        <w:spacing w:line="249" w:lineRule="auto" w:before="7"/>
        <w:ind w:left="1440" w:right="6117" w:firstLine="240"/>
        <w:jc w:val="both"/>
      </w:pPr>
      <w:r>
        <w:rPr/>
        <w:pict>
          <v:rect style="position:absolute;margin-left:576pt;margin-top:32.33596pt;width:36pt;height:24pt;mso-position-horizontal-relative:page;mso-position-vertical-relative:paragraph;z-index:252007424" filled="true" fillcolor="#e8dac8" stroked="false">
            <v:fill type="solid"/>
            <w10:wrap type="none"/>
          </v:rect>
        </w:pict>
      </w:r>
      <w:r>
        <w:rPr>
          <w:color w:val="231F20"/>
          <w:w w:val="105"/>
        </w:rPr>
        <w:t>Although</w:t>
      </w:r>
      <w:r>
        <w:rPr>
          <w:color w:val="231F20"/>
          <w:spacing w:val="-18"/>
          <w:w w:val="105"/>
        </w:rPr>
        <w:t> </w:t>
      </w:r>
      <w:r>
        <w:rPr>
          <w:color w:val="231F20"/>
          <w:w w:val="105"/>
        </w:rPr>
        <w:t>the</w:t>
      </w:r>
      <w:r>
        <w:rPr>
          <w:color w:val="231F20"/>
          <w:spacing w:val="-18"/>
          <w:w w:val="105"/>
        </w:rPr>
        <w:t> </w:t>
      </w:r>
      <w:r>
        <w:rPr>
          <w:color w:val="231F20"/>
          <w:w w:val="105"/>
        </w:rPr>
        <w:t>myogenic</w:t>
      </w:r>
      <w:r>
        <w:rPr>
          <w:color w:val="231F20"/>
          <w:spacing w:val="-18"/>
          <w:w w:val="105"/>
        </w:rPr>
        <w:t> </w:t>
      </w:r>
      <w:r>
        <w:rPr>
          <w:color w:val="231F20"/>
          <w:w w:val="105"/>
        </w:rPr>
        <w:t>mechanism</w:t>
      </w:r>
      <w:r>
        <w:rPr>
          <w:color w:val="231F20"/>
          <w:spacing w:val="-18"/>
          <w:w w:val="105"/>
        </w:rPr>
        <w:t> </w:t>
      </w:r>
      <w:r>
        <w:rPr>
          <w:color w:val="231F20"/>
          <w:w w:val="105"/>
        </w:rPr>
        <w:t>probably</w:t>
      </w:r>
      <w:r>
        <w:rPr>
          <w:color w:val="231F20"/>
          <w:spacing w:val="-18"/>
          <w:w w:val="105"/>
        </w:rPr>
        <w:t> </w:t>
      </w:r>
      <w:r>
        <w:rPr>
          <w:color w:val="231F20"/>
          <w:spacing w:val="-3"/>
          <w:w w:val="105"/>
        </w:rPr>
        <w:t>operates </w:t>
      </w:r>
      <w:r>
        <w:rPr>
          <w:color w:val="231F20"/>
          <w:w w:val="105"/>
        </w:rPr>
        <w:t>in</w:t>
      </w:r>
      <w:r>
        <w:rPr>
          <w:color w:val="231F20"/>
          <w:spacing w:val="-8"/>
          <w:w w:val="105"/>
        </w:rPr>
        <w:t> </w:t>
      </w:r>
      <w:r>
        <w:rPr>
          <w:color w:val="231F20"/>
          <w:w w:val="105"/>
        </w:rPr>
        <w:t>most</w:t>
      </w:r>
      <w:r>
        <w:rPr>
          <w:color w:val="231F20"/>
          <w:spacing w:val="-7"/>
          <w:w w:val="105"/>
        </w:rPr>
        <w:t> </w:t>
      </w:r>
      <w:r>
        <w:rPr>
          <w:color w:val="231F20"/>
          <w:w w:val="105"/>
        </w:rPr>
        <w:t>arterioles</w:t>
      </w:r>
      <w:r>
        <w:rPr>
          <w:color w:val="231F20"/>
          <w:spacing w:val="-8"/>
          <w:w w:val="105"/>
        </w:rPr>
        <w:t> </w:t>
      </w:r>
      <w:r>
        <w:rPr>
          <w:color w:val="231F20"/>
          <w:w w:val="105"/>
        </w:rPr>
        <w:t>throughout</w:t>
      </w:r>
      <w:r>
        <w:rPr>
          <w:color w:val="231F20"/>
          <w:spacing w:val="-7"/>
          <w:w w:val="105"/>
        </w:rPr>
        <w:t> </w:t>
      </w:r>
      <w:r>
        <w:rPr>
          <w:color w:val="231F20"/>
          <w:w w:val="105"/>
        </w:rPr>
        <w:t>the</w:t>
      </w:r>
      <w:r>
        <w:rPr>
          <w:color w:val="231F20"/>
          <w:spacing w:val="-8"/>
          <w:w w:val="105"/>
        </w:rPr>
        <w:t> </w:t>
      </w:r>
      <w:r>
        <w:rPr>
          <w:color w:val="231F20"/>
          <w:w w:val="105"/>
        </w:rPr>
        <w:t>body,</w:t>
      </w:r>
      <w:r>
        <w:rPr>
          <w:color w:val="231F20"/>
          <w:spacing w:val="-7"/>
          <w:w w:val="105"/>
        </w:rPr>
        <w:t> </w:t>
      </w:r>
      <w:r>
        <w:rPr>
          <w:color w:val="231F20"/>
          <w:w w:val="105"/>
        </w:rPr>
        <w:t>its</w:t>
      </w:r>
      <w:r>
        <w:rPr>
          <w:color w:val="231F20"/>
          <w:spacing w:val="-8"/>
          <w:w w:val="105"/>
        </w:rPr>
        <w:t> </w:t>
      </w:r>
      <w:r>
        <w:rPr>
          <w:color w:val="231F20"/>
          <w:w w:val="105"/>
        </w:rPr>
        <w:t>importance</w:t>
      </w:r>
      <w:r>
        <w:rPr>
          <w:color w:val="231F20"/>
          <w:spacing w:val="-7"/>
          <w:w w:val="105"/>
        </w:rPr>
        <w:t> </w:t>
      </w:r>
      <w:r>
        <w:rPr>
          <w:color w:val="231F20"/>
          <w:w w:val="105"/>
        </w:rPr>
        <w:t>in renal</w:t>
      </w:r>
      <w:r>
        <w:rPr>
          <w:color w:val="231F20"/>
          <w:spacing w:val="-11"/>
          <w:w w:val="105"/>
        </w:rPr>
        <w:t> </w:t>
      </w:r>
      <w:r>
        <w:rPr>
          <w:color w:val="231F20"/>
          <w:w w:val="105"/>
        </w:rPr>
        <w:t>blood</w:t>
      </w:r>
      <w:r>
        <w:rPr>
          <w:color w:val="231F20"/>
          <w:spacing w:val="-11"/>
          <w:w w:val="105"/>
        </w:rPr>
        <w:t> </w:t>
      </w:r>
      <w:r>
        <w:rPr>
          <w:color w:val="231F20"/>
          <w:w w:val="105"/>
        </w:rPr>
        <w:t>flow</w:t>
      </w:r>
      <w:r>
        <w:rPr>
          <w:color w:val="231F20"/>
          <w:spacing w:val="-11"/>
          <w:w w:val="105"/>
        </w:rPr>
        <w:t> </w:t>
      </w:r>
      <w:r>
        <w:rPr>
          <w:color w:val="231F20"/>
          <w:w w:val="105"/>
        </w:rPr>
        <w:t>and</w:t>
      </w:r>
      <w:r>
        <w:rPr>
          <w:color w:val="231F20"/>
          <w:spacing w:val="-10"/>
          <w:w w:val="105"/>
        </w:rPr>
        <w:t> </w:t>
      </w:r>
      <w:r>
        <w:rPr>
          <w:color w:val="231F20"/>
          <w:w w:val="105"/>
        </w:rPr>
        <w:t>GFR</w:t>
      </w:r>
      <w:r>
        <w:rPr>
          <w:color w:val="231F20"/>
          <w:spacing w:val="-11"/>
          <w:w w:val="105"/>
        </w:rPr>
        <w:t> </w:t>
      </w:r>
      <w:r>
        <w:rPr>
          <w:color w:val="231F20"/>
          <w:w w:val="105"/>
        </w:rPr>
        <w:t>autoregulation</w:t>
      </w:r>
      <w:r>
        <w:rPr>
          <w:color w:val="231F20"/>
          <w:spacing w:val="-11"/>
          <w:w w:val="105"/>
        </w:rPr>
        <w:t> </w:t>
      </w:r>
      <w:r>
        <w:rPr>
          <w:color w:val="231F20"/>
          <w:w w:val="105"/>
        </w:rPr>
        <w:t>has</w:t>
      </w:r>
      <w:r>
        <w:rPr>
          <w:color w:val="231F20"/>
          <w:spacing w:val="-10"/>
          <w:w w:val="105"/>
        </w:rPr>
        <w:t> </w:t>
      </w:r>
      <w:r>
        <w:rPr>
          <w:color w:val="231F20"/>
          <w:w w:val="105"/>
        </w:rPr>
        <w:t>been</w:t>
      </w:r>
      <w:r>
        <w:rPr>
          <w:color w:val="231F20"/>
          <w:spacing w:val="-11"/>
          <w:w w:val="105"/>
        </w:rPr>
        <w:t> </w:t>
      </w:r>
      <w:r>
        <w:rPr>
          <w:color w:val="231F20"/>
          <w:w w:val="105"/>
        </w:rPr>
        <w:t>ques­ tioned by some physiologists because this </w:t>
      </w:r>
      <w:r>
        <w:rPr>
          <w:color w:val="231F20"/>
          <w:spacing w:val="-3"/>
          <w:w w:val="105"/>
        </w:rPr>
        <w:t>pressure­ </w:t>
      </w:r>
      <w:r>
        <w:rPr>
          <w:color w:val="231F20"/>
          <w:w w:val="105"/>
        </w:rPr>
        <w:t>sensitive mechanism has no means of directly detecting changes</w:t>
      </w:r>
      <w:r>
        <w:rPr>
          <w:color w:val="231F20"/>
          <w:spacing w:val="-5"/>
          <w:w w:val="105"/>
        </w:rPr>
        <w:t> </w:t>
      </w:r>
      <w:r>
        <w:rPr>
          <w:color w:val="231F20"/>
          <w:w w:val="105"/>
        </w:rPr>
        <w:t>in</w:t>
      </w:r>
      <w:r>
        <w:rPr>
          <w:color w:val="231F20"/>
          <w:spacing w:val="-5"/>
          <w:w w:val="105"/>
        </w:rPr>
        <w:t> </w:t>
      </w:r>
      <w:r>
        <w:rPr>
          <w:color w:val="231F20"/>
          <w:w w:val="105"/>
        </w:rPr>
        <w:t>renal</w:t>
      </w:r>
      <w:r>
        <w:rPr>
          <w:color w:val="231F20"/>
          <w:spacing w:val="-5"/>
          <w:w w:val="105"/>
        </w:rPr>
        <w:t> </w:t>
      </w:r>
      <w:r>
        <w:rPr>
          <w:color w:val="231F20"/>
          <w:w w:val="105"/>
        </w:rPr>
        <w:t>blood</w:t>
      </w:r>
      <w:r>
        <w:rPr>
          <w:color w:val="231F20"/>
          <w:spacing w:val="-5"/>
          <w:w w:val="105"/>
        </w:rPr>
        <w:t> </w:t>
      </w:r>
      <w:r>
        <w:rPr>
          <w:color w:val="231F20"/>
          <w:w w:val="105"/>
        </w:rPr>
        <w:t>flow</w:t>
      </w:r>
      <w:r>
        <w:rPr>
          <w:color w:val="231F20"/>
          <w:spacing w:val="-5"/>
          <w:w w:val="105"/>
        </w:rPr>
        <w:t> </w:t>
      </w:r>
      <w:r>
        <w:rPr>
          <w:color w:val="231F20"/>
          <w:w w:val="105"/>
        </w:rPr>
        <w:t>or</w:t>
      </w:r>
      <w:r>
        <w:rPr>
          <w:color w:val="231F20"/>
          <w:spacing w:val="-5"/>
          <w:w w:val="105"/>
        </w:rPr>
        <w:t> </w:t>
      </w:r>
      <w:r>
        <w:rPr>
          <w:color w:val="231F20"/>
          <w:w w:val="105"/>
        </w:rPr>
        <w:t>GFR</w:t>
      </w:r>
      <w:r>
        <w:rPr>
          <w:color w:val="231F20"/>
          <w:spacing w:val="-5"/>
          <w:w w:val="105"/>
        </w:rPr>
        <w:t> </w:t>
      </w:r>
      <w:r>
        <w:rPr>
          <w:color w:val="231F20"/>
          <w:w w:val="105"/>
        </w:rPr>
        <w:t>per</w:t>
      </w:r>
      <w:r>
        <w:rPr>
          <w:color w:val="231F20"/>
          <w:spacing w:val="-5"/>
          <w:w w:val="105"/>
        </w:rPr>
        <w:t> </w:t>
      </w:r>
      <w:r>
        <w:rPr>
          <w:color w:val="231F20"/>
          <w:w w:val="105"/>
        </w:rPr>
        <w:t>se.</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other hand,</w:t>
      </w:r>
      <w:r>
        <w:rPr>
          <w:color w:val="231F20"/>
          <w:spacing w:val="-12"/>
          <w:w w:val="105"/>
        </w:rPr>
        <w:t> </w:t>
      </w:r>
      <w:r>
        <w:rPr>
          <w:color w:val="231F20"/>
          <w:w w:val="105"/>
        </w:rPr>
        <w:t>this</w:t>
      </w:r>
      <w:r>
        <w:rPr>
          <w:color w:val="231F20"/>
          <w:spacing w:val="-12"/>
          <w:w w:val="105"/>
        </w:rPr>
        <w:t> </w:t>
      </w:r>
      <w:r>
        <w:rPr>
          <w:color w:val="231F20"/>
          <w:w w:val="105"/>
        </w:rPr>
        <w:t>mechanism</w:t>
      </w:r>
      <w:r>
        <w:rPr>
          <w:color w:val="231F20"/>
          <w:spacing w:val="-12"/>
          <w:w w:val="105"/>
        </w:rPr>
        <w:t> </w:t>
      </w:r>
      <w:r>
        <w:rPr>
          <w:color w:val="231F20"/>
          <w:w w:val="105"/>
        </w:rPr>
        <w:t>may</w:t>
      </w:r>
      <w:r>
        <w:rPr>
          <w:color w:val="231F20"/>
          <w:spacing w:val="-12"/>
          <w:w w:val="105"/>
        </w:rPr>
        <w:t> </w:t>
      </w:r>
      <w:r>
        <w:rPr>
          <w:color w:val="231F20"/>
          <w:w w:val="105"/>
        </w:rPr>
        <w:t>be</w:t>
      </w:r>
      <w:r>
        <w:rPr>
          <w:color w:val="231F20"/>
          <w:spacing w:val="-11"/>
          <w:w w:val="105"/>
        </w:rPr>
        <w:t> </w:t>
      </w:r>
      <w:r>
        <w:rPr>
          <w:color w:val="231F20"/>
          <w:w w:val="105"/>
        </w:rPr>
        <w:t>more</w:t>
      </w:r>
      <w:r>
        <w:rPr>
          <w:color w:val="231F20"/>
          <w:spacing w:val="-12"/>
          <w:w w:val="105"/>
        </w:rPr>
        <w:t> </w:t>
      </w:r>
      <w:r>
        <w:rPr>
          <w:color w:val="231F20"/>
          <w:w w:val="105"/>
        </w:rPr>
        <w:t>important</w:t>
      </w:r>
      <w:r>
        <w:rPr>
          <w:color w:val="231F20"/>
          <w:spacing w:val="-12"/>
          <w:w w:val="105"/>
        </w:rPr>
        <w:t> </w:t>
      </w:r>
      <w:r>
        <w:rPr>
          <w:color w:val="231F20"/>
          <w:w w:val="105"/>
        </w:rPr>
        <w:t>in</w:t>
      </w:r>
      <w:r>
        <w:rPr>
          <w:color w:val="231F20"/>
          <w:spacing w:val="-12"/>
          <w:w w:val="105"/>
        </w:rPr>
        <w:t> </w:t>
      </w:r>
      <w:r>
        <w:rPr>
          <w:color w:val="231F20"/>
          <w:w w:val="105"/>
        </w:rPr>
        <w:t>protect­ ing the kidney from hypertension­induced injury.</w:t>
      </w:r>
      <w:r>
        <w:rPr>
          <w:color w:val="231F20"/>
          <w:spacing w:val="40"/>
          <w:w w:val="105"/>
        </w:rPr>
        <w:t> </w:t>
      </w:r>
      <w:r>
        <w:rPr>
          <w:color w:val="231F20"/>
          <w:w w:val="105"/>
        </w:rPr>
        <w:t>In response</w:t>
      </w:r>
      <w:r>
        <w:rPr>
          <w:color w:val="231F20"/>
          <w:spacing w:val="-13"/>
          <w:w w:val="105"/>
        </w:rPr>
        <w:t> </w:t>
      </w:r>
      <w:r>
        <w:rPr>
          <w:color w:val="231F20"/>
          <w:w w:val="105"/>
        </w:rPr>
        <w:t>to</w:t>
      </w:r>
      <w:r>
        <w:rPr>
          <w:color w:val="231F20"/>
          <w:spacing w:val="-13"/>
          <w:w w:val="105"/>
        </w:rPr>
        <w:t> </w:t>
      </w:r>
      <w:r>
        <w:rPr>
          <w:color w:val="231F20"/>
          <w:w w:val="105"/>
        </w:rPr>
        <w:t>sudden</w:t>
      </w:r>
      <w:r>
        <w:rPr>
          <w:color w:val="231F20"/>
          <w:spacing w:val="-13"/>
          <w:w w:val="105"/>
        </w:rPr>
        <w:t> </w:t>
      </w:r>
      <w:r>
        <w:rPr>
          <w:color w:val="231F20"/>
          <w:w w:val="105"/>
        </w:rPr>
        <w:t>increases</w:t>
      </w:r>
      <w:r>
        <w:rPr>
          <w:color w:val="231F20"/>
          <w:spacing w:val="-13"/>
          <w:w w:val="105"/>
        </w:rPr>
        <w:t> </w:t>
      </w:r>
      <w:r>
        <w:rPr>
          <w:color w:val="231F20"/>
          <w:w w:val="105"/>
        </w:rPr>
        <w:t>in</w:t>
      </w:r>
      <w:r>
        <w:rPr>
          <w:color w:val="231F20"/>
          <w:spacing w:val="-13"/>
          <w:w w:val="105"/>
        </w:rPr>
        <w:t> </w:t>
      </w:r>
      <w:r>
        <w:rPr>
          <w:color w:val="231F20"/>
          <w:w w:val="105"/>
        </w:rPr>
        <w:t>blood</w:t>
      </w:r>
      <w:r>
        <w:rPr>
          <w:color w:val="231F20"/>
          <w:spacing w:val="-13"/>
          <w:w w:val="105"/>
        </w:rPr>
        <w:t> </w:t>
      </w:r>
      <w:r>
        <w:rPr>
          <w:color w:val="231F20"/>
          <w:w w:val="105"/>
        </w:rPr>
        <w:t>pressure,</w:t>
      </w:r>
      <w:r>
        <w:rPr>
          <w:color w:val="231F20"/>
          <w:spacing w:val="-12"/>
          <w:w w:val="105"/>
        </w:rPr>
        <w:t> </w:t>
      </w:r>
      <w:r>
        <w:rPr>
          <w:color w:val="231F20"/>
          <w:w w:val="105"/>
        </w:rPr>
        <w:t>the</w:t>
      </w:r>
      <w:r>
        <w:rPr>
          <w:color w:val="231F20"/>
          <w:spacing w:val="-13"/>
          <w:w w:val="105"/>
        </w:rPr>
        <w:t> </w:t>
      </w:r>
      <w:r>
        <w:rPr>
          <w:color w:val="231F20"/>
          <w:w w:val="105"/>
        </w:rPr>
        <w:t>myo­ genic constrictor response in afferent arterioles occurs within seconds and therefore attenuates transmission of increased</w:t>
      </w:r>
      <w:r>
        <w:rPr>
          <w:color w:val="231F20"/>
          <w:spacing w:val="-9"/>
          <w:w w:val="105"/>
        </w:rPr>
        <w:t> </w:t>
      </w:r>
      <w:r>
        <w:rPr>
          <w:color w:val="231F20"/>
          <w:w w:val="105"/>
        </w:rPr>
        <w:t>arterial</w:t>
      </w:r>
      <w:r>
        <w:rPr>
          <w:color w:val="231F20"/>
          <w:spacing w:val="-8"/>
          <w:w w:val="105"/>
        </w:rPr>
        <w:t> </w:t>
      </w:r>
      <w:r>
        <w:rPr>
          <w:color w:val="231F20"/>
          <w:w w:val="105"/>
        </w:rPr>
        <w:t>pressure</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glomerular</w:t>
      </w:r>
      <w:r>
        <w:rPr>
          <w:color w:val="231F20"/>
          <w:spacing w:val="-8"/>
          <w:w w:val="105"/>
        </w:rPr>
        <w:t> </w:t>
      </w:r>
      <w:r>
        <w:rPr>
          <w:color w:val="231F20"/>
          <w:w w:val="105"/>
        </w:rPr>
        <w:t>capillaries.</w:t>
      </w:r>
    </w:p>
    <w:p>
      <w:pPr>
        <w:pStyle w:val="BodyText"/>
      </w:pPr>
    </w:p>
    <w:p>
      <w:pPr>
        <w:pStyle w:val="BodyText"/>
      </w:pPr>
    </w:p>
    <w:p>
      <w:pPr>
        <w:pStyle w:val="BodyText"/>
        <w:spacing w:before="9"/>
      </w:pPr>
    </w:p>
    <w:p>
      <w:pPr>
        <w:spacing w:line="252" w:lineRule="auto" w:before="0"/>
        <w:ind w:left="6480" w:right="1063" w:firstLine="0"/>
        <w:jc w:val="left"/>
        <w:rPr>
          <w:rFonts w:ascii="Arial"/>
          <w:sz w:val="16"/>
        </w:rPr>
      </w:pPr>
      <w:r>
        <w:rPr/>
        <w:pict>
          <v:shape style="position:absolute;margin-left:72pt;margin-top:-24.591776pt;width:234pt;height:419.5pt;mso-position-horizontal-relative:page;mso-position-vertical-relative:paragraph;z-index:252017664" type="#_x0000_t202" filled="true" fillcolor="#f0eef6" stroked="false">
            <v:textbox inset="0,0,0,0">
              <w:txbxContent>
                <w:p>
                  <w:pPr>
                    <w:spacing w:line="220" w:lineRule="exact" w:before="113"/>
                    <w:ind w:left="180" w:right="177" w:firstLine="240"/>
                    <w:jc w:val="both"/>
                    <w:rPr>
                      <w:sz w:val="18"/>
                    </w:rPr>
                  </w:pPr>
                  <w:r>
                    <w:rPr>
                      <w:rFonts w:ascii="Trebuchet MS" w:hAnsi="Trebuchet MS"/>
                      <w:b/>
                      <w:color w:val="231F20"/>
                      <w:w w:val="105"/>
                      <w:sz w:val="16"/>
                    </w:rPr>
                    <w:t>Other Factors That Increase Renal Blood Flow </w:t>
                  </w:r>
                  <w:r>
                    <w:rPr>
                      <w:rFonts w:ascii="Trebuchet MS" w:hAnsi="Trebuchet MS"/>
                      <w:b/>
                      <w:color w:val="231F20"/>
                      <w:spacing w:val="-4"/>
                      <w:w w:val="105"/>
                      <w:sz w:val="16"/>
                    </w:rPr>
                    <w:t>and </w:t>
                  </w:r>
                  <w:r>
                    <w:rPr>
                      <w:rFonts w:ascii="Trebuchet MS" w:hAnsi="Trebuchet MS"/>
                      <w:b/>
                      <w:color w:val="231F20"/>
                      <w:w w:val="105"/>
                      <w:sz w:val="16"/>
                    </w:rPr>
                    <w:t>GFR: High Protein Intake and Increased Blood </w:t>
                  </w:r>
                  <w:r>
                    <w:rPr>
                      <w:rFonts w:ascii="Trebuchet MS" w:hAnsi="Trebuchet MS"/>
                      <w:b/>
                      <w:color w:val="231F20"/>
                      <w:spacing w:val="-3"/>
                      <w:w w:val="105"/>
                      <w:sz w:val="16"/>
                    </w:rPr>
                    <w:t>Glucose. </w:t>
                  </w:r>
                  <w:r>
                    <w:rPr>
                      <w:color w:val="231F20"/>
                      <w:w w:val="105"/>
                      <w:sz w:val="18"/>
                    </w:rPr>
                    <w:t>Although renal blood flow and GFR are relatively </w:t>
                  </w:r>
                  <w:r>
                    <w:rPr>
                      <w:color w:val="231F20"/>
                      <w:spacing w:val="-4"/>
                      <w:w w:val="105"/>
                      <w:sz w:val="18"/>
                    </w:rPr>
                    <w:t>stable </w:t>
                  </w:r>
                  <w:r>
                    <w:rPr>
                      <w:color w:val="231F20"/>
                      <w:w w:val="105"/>
                      <w:sz w:val="18"/>
                    </w:rPr>
                    <w:t>under most conditions, there are circumstances in which these variables change significantly. </w:t>
                  </w:r>
                  <w:r>
                    <w:rPr>
                      <w:color w:val="231F20"/>
                      <w:spacing w:val="-3"/>
                      <w:w w:val="105"/>
                      <w:sz w:val="18"/>
                    </w:rPr>
                    <w:t>For </w:t>
                  </w:r>
                  <w:r>
                    <w:rPr>
                      <w:color w:val="231F20"/>
                      <w:w w:val="105"/>
                      <w:sz w:val="18"/>
                    </w:rPr>
                    <w:t>example, </w:t>
                  </w:r>
                  <w:r>
                    <w:rPr>
                      <w:i/>
                      <w:color w:val="231F20"/>
                      <w:w w:val="105"/>
                      <w:sz w:val="18"/>
                    </w:rPr>
                    <w:t>a high </w:t>
                  </w:r>
                  <w:r>
                    <w:rPr>
                      <w:i/>
                      <w:color w:val="231F20"/>
                      <w:w w:val="105"/>
                      <w:sz w:val="18"/>
                    </w:rPr>
                    <w:t>protein intake is known to increase both renal blood</w:t>
                  </w:r>
                  <w:r>
                    <w:rPr>
                      <w:i/>
                      <w:color w:val="231F20"/>
                      <w:spacing w:val="-21"/>
                      <w:w w:val="105"/>
                      <w:sz w:val="18"/>
                    </w:rPr>
                    <w:t> </w:t>
                  </w:r>
                  <w:r>
                    <w:rPr>
                      <w:i/>
                      <w:color w:val="231F20"/>
                      <w:w w:val="105"/>
                      <w:sz w:val="18"/>
                    </w:rPr>
                    <w:t>flow and</w:t>
                  </w:r>
                  <w:r>
                    <w:rPr>
                      <w:i/>
                      <w:color w:val="231F20"/>
                      <w:spacing w:val="-6"/>
                      <w:w w:val="105"/>
                      <w:sz w:val="18"/>
                    </w:rPr>
                    <w:t> </w:t>
                  </w:r>
                  <w:r>
                    <w:rPr>
                      <w:i/>
                      <w:color w:val="231F20"/>
                      <w:w w:val="105"/>
                      <w:sz w:val="18"/>
                    </w:rPr>
                    <w:t>GFR.</w:t>
                  </w:r>
                  <w:r>
                    <w:rPr>
                      <w:i/>
                      <w:color w:val="231F20"/>
                      <w:spacing w:val="-6"/>
                      <w:w w:val="105"/>
                      <w:sz w:val="18"/>
                    </w:rPr>
                    <w:t> </w:t>
                  </w:r>
                  <w:r>
                    <w:rPr>
                      <w:color w:val="231F20"/>
                      <w:spacing w:val="-3"/>
                      <w:w w:val="105"/>
                      <w:sz w:val="18"/>
                    </w:rPr>
                    <w:t>With</w:t>
                  </w:r>
                  <w:r>
                    <w:rPr>
                      <w:color w:val="231F20"/>
                      <w:spacing w:val="-6"/>
                      <w:w w:val="105"/>
                      <w:sz w:val="18"/>
                    </w:rPr>
                    <w:t> </w:t>
                  </w:r>
                  <w:r>
                    <w:rPr>
                      <w:color w:val="231F20"/>
                      <w:w w:val="105"/>
                      <w:sz w:val="18"/>
                    </w:rPr>
                    <w:t>a</w:t>
                  </w:r>
                  <w:r>
                    <w:rPr>
                      <w:color w:val="231F20"/>
                      <w:spacing w:val="-6"/>
                      <w:w w:val="105"/>
                      <w:sz w:val="18"/>
                    </w:rPr>
                    <w:t> </w:t>
                  </w:r>
                  <w:r>
                    <w:rPr>
                      <w:color w:val="231F20"/>
                      <w:w w:val="105"/>
                      <w:sz w:val="18"/>
                    </w:rPr>
                    <w:t>long­term</w:t>
                  </w:r>
                  <w:r>
                    <w:rPr>
                      <w:color w:val="231F20"/>
                      <w:spacing w:val="-6"/>
                      <w:w w:val="105"/>
                      <w:sz w:val="18"/>
                    </w:rPr>
                    <w:t> </w:t>
                  </w:r>
                  <w:r>
                    <w:rPr>
                      <w:color w:val="231F20"/>
                      <w:w w:val="105"/>
                      <w:sz w:val="18"/>
                    </w:rPr>
                    <w:t>high­protein</w:t>
                  </w:r>
                  <w:r>
                    <w:rPr>
                      <w:color w:val="231F20"/>
                      <w:spacing w:val="-6"/>
                      <w:w w:val="105"/>
                      <w:sz w:val="18"/>
                    </w:rPr>
                    <w:t> </w:t>
                  </w:r>
                  <w:r>
                    <w:rPr>
                      <w:color w:val="231F20"/>
                      <w:w w:val="105"/>
                      <w:sz w:val="18"/>
                    </w:rPr>
                    <w:t>diet,</w:t>
                  </w:r>
                  <w:r>
                    <w:rPr>
                      <w:color w:val="231F20"/>
                      <w:spacing w:val="-6"/>
                      <w:w w:val="105"/>
                      <w:sz w:val="18"/>
                    </w:rPr>
                    <w:t> </w:t>
                  </w:r>
                  <w:r>
                    <w:rPr>
                      <w:color w:val="231F20"/>
                      <w:w w:val="105"/>
                      <w:sz w:val="18"/>
                    </w:rPr>
                    <w:t>such</w:t>
                  </w:r>
                  <w:r>
                    <w:rPr>
                      <w:color w:val="231F20"/>
                      <w:spacing w:val="-6"/>
                      <w:w w:val="105"/>
                      <w:sz w:val="18"/>
                    </w:rPr>
                    <w:t> </w:t>
                  </w:r>
                  <w:r>
                    <w:rPr>
                      <w:color w:val="231F20"/>
                      <w:w w:val="105"/>
                      <w:sz w:val="18"/>
                    </w:rPr>
                    <w:t>as</w:t>
                  </w:r>
                  <w:r>
                    <w:rPr>
                      <w:color w:val="231F20"/>
                      <w:spacing w:val="-6"/>
                      <w:w w:val="105"/>
                      <w:sz w:val="18"/>
                    </w:rPr>
                    <w:t> </w:t>
                  </w:r>
                  <w:r>
                    <w:rPr>
                      <w:color w:val="231F20"/>
                      <w:w w:val="105"/>
                      <w:sz w:val="18"/>
                    </w:rPr>
                    <w:t>one that</w:t>
                  </w:r>
                  <w:r>
                    <w:rPr>
                      <w:color w:val="231F20"/>
                      <w:spacing w:val="-7"/>
                      <w:w w:val="105"/>
                      <w:sz w:val="18"/>
                    </w:rPr>
                    <w:t> </w:t>
                  </w:r>
                  <w:r>
                    <w:rPr>
                      <w:color w:val="231F20"/>
                      <w:w w:val="105"/>
                      <w:sz w:val="18"/>
                    </w:rPr>
                    <w:t>contains</w:t>
                  </w:r>
                  <w:r>
                    <w:rPr>
                      <w:color w:val="231F20"/>
                      <w:spacing w:val="-6"/>
                      <w:w w:val="105"/>
                      <w:sz w:val="18"/>
                    </w:rPr>
                    <w:t> </w:t>
                  </w:r>
                  <w:r>
                    <w:rPr>
                      <w:color w:val="231F20"/>
                      <w:w w:val="105"/>
                      <w:sz w:val="18"/>
                    </w:rPr>
                    <w:t>large</w:t>
                  </w:r>
                  <w:r>
                    <w:rPr>
                      <w:color w:val="231F20"/>
                      <w:spacing w:val="-6"/>
                      <w:w w:val="105"/>
                      <w:sz w:val="18"/>
                    </w:rPr>
                    <w:t> </w:t>
                  </w:r>
                  <w:r>
                    <w:rPr>
                      <w:color w:val="231F20"/>
                      <w:w w:val="105"/>
                      <w:sz w:val="18"/>
                    </w:rPr>
                    <w:t>amounts</w:t>
                  </w:r>
                  <w:r>
                    <w:rPr>
                      <w:color w:val="231F20"/>
                      <w:spacing w:val="-6"/>
                      <w:w w:val="105"/>
                      <w:sz w:val="18"/>
                    </w:rPr>
                    <w:t> </w:t>
                  </w:r>
                  <w:r>
                    <w:rPr>
                      <w:color w:val="231F20"/>
                      <w:w w:val="105"/>
                      <w:sz w:val="18"/>
                    </w:rPr>
                    <w:t>of</w:t>
                  </w:r>
                  <w:r>
                    <w:rPr>
                      <w:color w:val="231F20"/>
                      <w:spacing w:val="-6"/>
                      <w:w w:val="105"/>
                      <w:sz w:val="18"/>
                    </w:rPr>
                    <w:t> </w:t>
                  </w:r>
                  <w:r>
                    <w:rPr>
                      <w:color w:val="231F20"/>
                      <w:w w:val="105"/>
                      <w:sz w:val="18"/>
                    </w:rPr>
                    <w:t>meat,</w:t>
                  </w:r>
                  <w:r>
                    <w:rPr>
                      <w:color w:val="231F20"/>
                      <w:spacing w:val="-7"/>
                      <w:w w:val="105"/>
                      <w:sz w:val="18"/>
                    </w:rPr>
                    <w:t> </w:t>
                  </w:r>
                  <w:r>
                    <w:rPr>
                      <w:color w:val="231F20"/>
                      <w:w w:val="105"/>
                      <w:sz w:val="18"/>
                    </w:rPr>
                    <w:t>the</w:t>
                  </w:r>
                  <w:r>
                    <w:rPr>
                      <w:color w:val="231F20"/>
                      <w:spacing w:val="-6"/>
                      <w:w w:val="105"/>
                      <w:sz w:val="18"/>
                    </w:rPr>
                    <w:t> </w:t>
                  </w:r>
                  <w:r>
                    <w:rPr>
                      <w:color w:val="231F20"/>
                      <w:w w:val="105"/>
                      <w:sz w:val="18"/>
                    </w:rPr>
                    <w:t>increases</w:t>
                  </w:r>
                  <w:r>
                    <w:rPr>
                      <w:color w:val="231F20"/>
                      <w:spacing w:val="-6"/>
                      <w:w w:val="105"/>
                      <w:sz w:val="18"/>
                    </w:rPr>
                    <w:t> </w:t>
                  </w:r>
                  <w:r>
                    <w:rPr>
                      <w:color w:val="231F20"/>
                      <w:w w:val="105"/>
                      <w:sz w:val="18"/>
                    </w:rPr>
                    <w:t>in</w:t>
                  </w:r>
                  <w:r>
                    <w:rPr>
                      <w:color w:val="231F20"/>
                      <w:spacing w:val="-6"/>
                      <w:w w:val="105"/>
                      <w:sz w:val="18"/>
                    </w:rPr>
                    <w:t> </w:t>
                  </w:r>
                  <w:r>
                    <w:rPr>
                      <w:color w:val="231F20"/>
                      <w:w w:val="105"/>
                      <w:sz w:val="18"/>
                    </w:rPr>
                    <w:t>GFR and renal blood flow are due partly to growth of the kidneys.</w:t>
                  </w:r>
                  <w:r>
                    <w:rPr>
                      <w:color w:val="231F20"/>
                      <w:spacing w:val="-20"/>
                      <w:w w:val="105"/>
                      <w:sz w:val="18"/>
                    </w:rPr>
                    <w:t> </w:t>
                  </w:r>
                  <w:r>
                    <w:rPr>
                      <w:color w:val="231F20"/>
                      <w:w w:val="105"/>
                      <w:sz w:val="18"/>
                    </w:rPr>
                    <w:t>However,</w:t>
                  </w:r>
                  <w:r>
                    <w:rPr>
                      <w:color w:val="231F20"/>
                      <w:spacing w:val="-20"/>
                      <w:w w:val="105"/>
                      <w:sz w:val="18"/>
                    </w:rPr>
                    <w:t> </w:t>
                  </w:r>
                  <w:r>
                    <w:rPr>
                      <w:color w:val="231F20"/>
                      <w:w w:val="105"/>
                      <w:sz w:val="18"/>
                    </w:rPr>
                    <w:t>GFR</w:t>
                  </w:r>
                  <w:r>
                    <w:rPr>
                      <w:color w:val="231F20"/>
                      <w:spacing w:val="-20"/>
                      <w:w w:val="105"/>
                      <w:sz w:val="18"/>
                    </w:rPr>
                    <w:t> </w:t>
                  </w:r>
                  <w:r>
                    <w:rPr>
                      <w:color w:val="231F20"/>
                      <w:w w:val="105"/>
                      <w:sz w:val="18"/>
                    </w:rPr>
                    <w:t>and</w:t>
                  </w:r>
                  <w:r>
                    <w:rPr>
                      <w:color w:val="231F20"/>
                      <w:spacing w:val="-20"/>
                      <w:w w:val="105"/>
                      <w:sz w:val="18"/>
                    </w:rPr>
                    <w:t> </w:t>
                  </w:r>
                  <w:r>
                    <w:rPr>
                      <w:color w:val="231F20"/>
                      <w:w w:val="105"/>
                      <w:sz w:val="18"/>
                    </w:rPr>
                    <w:t>renal</w:t>
                  </w:r>
                  <w:r>
                    <w:rPr>
                      <w:color w:val="231F20"/>
                      <w:spacing w:val="-19"/>
                      <w:w w:val="105"/>
                      <w:sz w:val="18"/>
                    </w:rPr>
                    <w:t> </w:t>
                  </w:r>
                  <w:r>
                    <w:rPr>
                      <w:color w:val="231F20"/>
                      <w:w w:val="105"/>
                      <w:sz w:val="18"/>
                    </w:rPr>
                    <w:t>blood</w:t>
                  </w:r>
                  <w:r>
                    <w:rPr>
                      <w:color w:val="231F20"/>
                      <w:spacing w:val="-20"/>
                      <w:w w:val="105"/>
                      <w:sz w:val="18"/>
                    </w:rPr>
                    <w:t> </w:t>
                  </w:r>
                  <w:r>
                    <w:rPr>
                      <w:color w:val="231F20"/>
                      <w:w w:val="105"/>
                      <w:sz w:val="18"/>
                    </w:rPr>
                    <w:t>flow</w:t>
                  </w:r>
                  <w:r>
                    <w:rPr>
                      <w:color w:val="231F20"/>
                      <w:spacing w:val="-20"/>
                      <w:w w:val="105"/>
                      <w:sz w:val="18"/>
                    </w:rPr>
                    <w:t> </w:t>
                  </w:r>
                  <w:r>
                    <w:rPr>
                      <w:color w:val="231F20"/>
                      <w:w w:val="105"/>
                      <w:sz w:val="18"/>
                    </w:rPr>
                    <w:t>also</w:t>
                  </w:r>
                  <w:r>
                    <w:rPr>
                      <w:color w:val="231F20"/>
                      <w:spacing w:val="-20"/>
                      <w:w w:val="105"/>
                      <w:sz w:val="18"/>
                    </w:rPr>
                    <w:t> </w:t>
                  </w:r>
                  <w:r>
                    <w:rPr>
                      <w:color w:val="231F20"/>
                      <w:w w:val="105"/>
                      <w:sz w:val="18"/>
                    </w:rPr>
                    <w:t>increase 20 to 30 percent within 1 or 2 hours after a person eats a high­protein</w:t>
                  </w:r>
                  <w:r>
                    <w:rPr>
                      <w:color w:val="231F20"/>
                      <w:spacing w:val="3"/>
                      <w:w w:val="105"/>
                      <w:sz w:val="18"/>
                    </w:rPr>
                    <w:t> </w:t>
                  </w:r>
                  <w:r>
                    <w:rPr>
                      <w:color w:val="231F20"/>
                      <w:w w:val="105"/>
                      <w:sz w:val="18"/>
                    </w:rPr>
                    <w:t>meal.</w:t>
                  </w:r>
                </w:p>
                <w:p>
                  <w:pPr>
                    <w:spacing w:line="254" w:lineRule="auto" w:before="8"/>
                    <w:ind w:left="180" w:right="177" w:firstLine="240"/>
                    <w:jc w:val="both"/>
                    <w:rPr>
                      <w:sz w:val="18"/>
                    </w:rPr>
                  </w:pPr>
                  <w:r>
                    <w:rPr>
                      <w:color w:val="231F20"/>
                      <w:w w:val="105"/>
                      <w:sz w:val="18"/>
                    </w:rPr>
                    <w:t>One</w:t>
                  </w:r>
                  <w:r>
                    <w:rPr>
                      <w:color w:val="231F20"/>
                      <w:spacing w:val="-17"/>
                      <w:w w:val="105"/>
                      <w:sz w:val="18"/>
                    </w:rPr>
                    <w:t> </w:t>
                  </w:r>
                  <w:r>
                    <w:rPr>
                      <w:color w:val="231F20"/>
                      <w:w w:val="105"/>
                      <w:sz w:val="18"/>
                    </w:rPr>
                    <w:t>likely</w:t>
                  </w:r>
                  <w:r>
                    <w:rPr>
                      <w:color w:val="231F20"/>
                      <w:spacing w:val="-16"/>
                      <w:w w:val="105"/>
                      <w:sz w:val="18"/>
                    </w:rPr>
                    <w:t> </w:t>
                  </w:r>
                  <w:r>
                    <w:rPr>
                      <w:color w:val="231F20"/>
                      <w:w w:val="105"/>
                      <w:sz w:val="18"/>
                    </w:rPr>
                    <w:t>explanation</w:t>
                  </w:r>
                  <w:r>
                    <w:rPr>
                      <w:color w:val="231F20"/>
                      <w:spacing w:val="-16"/>
                      <w:w w:val="105"/>
                      <w:sz w:val="18"/>
                    </w:rPr>
                    <w:t> </w:t>
                  </w:r>
                  <w:r>
                    <w:rPr>
                      <w:color w:val="231F20"/>
                      <w:w w:val="105"/>
                      <w:sz w:val="18"/>
                    </w:rPr>
                    <w:t>for</w:t>
                  </w:r>
                  <w:r>
                    <w:rPr>
                      <w:color w:val="231F20"/>
                      <w:spacing w:val="-16"/>
                      <w:w w:val="105"/>
                      <w:sz w:val="18"/>
                    </w:rPr>
                    <w:t> </w:t>
                  </w:r>
                  <w:r>
                    <w:rPr>
                      <w:color w:val="231F20"/>
                      <w:w w:val="105"/>
                      <w:sz w:val="18"/>
                    </w:rPr>
                    <w:t>the</w:t>
                  </w:r>
                  <w:r>
                    <w:rPr>
                      <w:color w:val="231F20"/>
                      <w:spacing w:val="-17"/>
                      <w:w w:val="105"/>
                      <w:sz w:val="18"/>
                    </w:rPr>
                    <w:t> </w:t>
                  </w:r>
                  <w:r>
                    <w:rPr>
                      <w:color w:val="231F20"/>
                      <w:w w:val="105"/>
                      <w:sz w:val="18"/>
                    </w:rPr>
                    <w:t>increased</w:t>
                  </w:r>
                  <w:r>
                    <w:rPr>
                      <w:color w:val="231F20"/>
                      <w:spacing w:val="-16"/>
                      <w:w w:val="105"/>
                      <w:sz w:val="18"/>
                    </w:rPr>
                    <w:t> </w:t>
                  </w:r>
                  <w:r>
                    <w:rPr>
                      <w:color w:val="231F20"/>
                      <w:w w:val="105"/>
                      <w:sz w:val="18"/>
                    </w:rPr>
                    <w:t>GFR</w:t>
                  </w:r>
                  <w:r>
                    <w:rPr>
                      <w:color w:val="231F20"/>
                      <w:spacing w:val="-16"/>
                      <w:w w:val="105"/>
                      <w:sz w:val="18"/>
                    </w:rPr>
                    <w:t> </w:t>
                  </w:r>
                  <w:r>
                    <w:rPr>
                      <w:color w:val="231F20"/>
                      <w:w w:val="105"/>
                      <w:sz w:val="18"/>
                    </w:rPr>
                    <w:t>is</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fol­ lowing:</w:t>
                  </w:r>
                  <w:r>
                    <w:rPr>
                      <w:color w:val="231F20"/>
                      <w:spacing w:val="-21"/>
                      <w:w w:val="105"/>
                      <w:sz w:val="18"/>
                    </w:rPr>
                    <w:t> </w:t>
                  </w:r>
                  <w:r>
                    <w:rPr>
                      <w:color w:val="231F20"/>
                      <w:w w:val="105"/>
                      <w:sz w:val="18"/>
                    </w:rPr>
                    <w:t>A</w:t>
                  </w:r>
                  <w:r>
                    <w:rPr>
                      <w:color w:val="231F20"/>
                      <w:spacing w:val="-20"/>
                      <w:w w:val="105"/>
                      <w:sz w:val="18"/>
                    </w:rPr>
                    <w:t> </w:t>
                  </w:r>
                  <w:r>
                    <w:rPr>
                      <w:color w:val="231F20"/>
                      <w:w w:val="105"/>
                      <w:sz w:val="18"/>
                    </w:rPr>
                    <w:t>high­protein</w:t>
                  </w:r>
                  <w:r>
                    <w:rPr>
                      <w:color w:val="231F20"/>
                      <w:spacing w:val="-20"/>
                      <w:w w:val="105"/>
                      <w:sz w:val="18"/>
                    </w:rPr>
                    <w:t> </w:t>
                  </w:r>
                  <w:r>
                    <w:rPr>
                      <w:color w:val="231F20"/>
                      <w:w w:val="105"/>
                      <w:sz w:val="18"/>
                    </w:rPr>
                    <w:t>meal</w:t>
                  </w:r>
                  <w:r>
                    <w:rPr>
                      <w:color w:val="231F20"/>
                      <w:spacing w:val="-20"/>
                      <w:w w:val="105"/>
                      <w:sz w:val="18"/>
                    </w:rPr>
                    <w:t> </w:t>
                  </w:r>
                  <w:r>
                    <w:rPr>
                      <w:color w:val="231F20"/>
                      <w:w w:val="105"/>
                      <w:sz w:val="18"/>
                    </w:rPr>
                    <w:t>increases</w:t>
                  </w:r>
                  <w:r>
                    <w:rPr>
                      <w:color w:val="231F20"/>
                      <w:spacing w:val="-20"/>
                      <w:w w:val="105"/>
                      <w:sz w:val="18"/>
                    </w:rPr>
                    <w:t> </w:t>
                  </w:r>
                  <w:r>
                    <w:rPr>
                      <w:color w:val="231F20"/>
                      <w:w w:val="105"/>
                      <w:sz w:val="18"/>
                    </w:rPr>
                    <w:t>the</w:t>
                  </w:r>
                  <w:r>
                    <w:rPr>
                      <w:color w:val="231F20"/>
                      <w:spacing w:val="-21"/>
                      <w:w w:val="105"/>
                      <w:sz w:val="18"/>
                    </w:rPr>
                    <w:t> </w:t>
                  </w:r>
                  <w:r>
                    <w:rPr>
                      <w:color w:val="231F20"/>
                      <w:w w:val="105"/>
                      <w:sz w:val="18"/>
                    </w:rPr>
                    <w:t>release</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amino acids</w:t>
                  </w:r>
                  <w:r>
                    <w:rPr>
                      <w:color w:val="231F20"/>
                      <w:spacing w:val="-10"/>
                      <w:w w:val="105"/>
                      <w:sz w:val="18"/>
                    </w:rPr>
                    <w:t> </w:t>
                  </w:r>
                  <w:r>
                    <w:rPr>
                      <w:color w:val="231F20"/>
                      <w:w w:val="105"/>
                      <w:sz w:val="18"/>
                    </w:rPr>
                    <w:t>into</w:t>
                  </w:r>
                  <w:r>
                    <w:rPr>
                      <w:color w:val="231F20"/>
                      <w:spacing w:val="-9"/>
                      <w:w w:val="105"/>
                      <w:sz w:val="18"/>
                    </w:rPr>
                    <w:t> </w:t>
                  </w:r>
                  <w:r>
                    <w:rPr>
                      <w:color w:val="231F20"/>
                      <w:w w:val="105"/>
                      <w:sz w:val="18"/>
                    </w:rPr>
                    <w:t>the</w:t>
                  </w:r>
                  <w:r>
                    <w:rPr>
                      <w:color w:val="231F20"/>
                      <w:spacing w:val="-10"/>
                      <w:w w:val="105"/>
                      <w:sz w:val="18"/>
                    </w:rPr>
                    <w:t> </w:t>
                  </w:r>
                  <w:r>
                    <w:rPr>
                      <w:color w:val="231F20"/>
                      <w:w w:val="105"/>
                      <w:sz w:val="18"/>
                    </w:rPr>
                    <w:t>blood,</w:t>
                  </w:r>
                  <w:r>
                    <w:rPr>
                      <w:color w:val="231F20"/>
                      <w:spacing w:val="-9"/>
                      <w:w w:val="105"/>
                      <w:sz w:val="18"/>
                    </w:rPr>
                    <w:t> </w:t>
                  </w:r>
                  <w:r>
                    <w:rPr>
                      <w:color w:val="231F20"/>
                      <w:w w:val="105"/>
                      <w:sz w:val="18"/>
                    </w:rPr>
                    <w:t>which</w:t>
                  </w:r>
                  <w:r>
                    <w:rPr>
                      <w:color w:val="231F20"/>
                      <w:spacing w:val="-10"/>
                      <w:w w:val="105"/>
                      <w:sz w:val="18"/>
                    </w:rPr>
                    <w:t> </w:t>
                  </w:r>
                  <w:r>
                    <w:rPr>
                      <w:color w:val="231F20"/>
                      <w:w w:val="105"/>
                      <w:sz w:val="18"/>
                    </w:rPr>
                    <w:t>are</w:t>
                  </w:r>
                  <w:r>
                    <w:rPr>
                      <w:color w:val="231F20"/>
                      <w:spacing w:val="-9"/>
                      <w:w w:val="105"/>
                      <w:sz w:val="18"/>
                    </w:rPr>
                    <w:t> </w:t>
                  </w:r>
                  <w:r>
                    <w:rPr>
                      <w:color w:val="231F20"/>
                      <w:w w:val="105"/>
                      <w:sz w:val="18"/>
                    </w:rPr>
                    <w:t>reabsorbed</w:t>
                  </w:r>
                  <w:r>
                    <w:rPr>
                      <w:color w:val="231F20"/>
                      <w:spacing w:val="-10"/>
                      <w:w w:val="105"/>
                      <w:sz w:val="18"/>
                    </w:rPr>
                    <w:t> </w:t>
                  </w:r>
                  <w:r>
                    <w:rPr>
                      <w:color w:val="231F20"/>
                      <w:w w:val="105"/>
                      <w:sz w:val="18"/>
                    </w:rPr>
                    <w:t>in</w:t>
                  </w:r>
                  <w:r>
                    <w:rPr>
                      <w:color w:val="231F20"/>
                      <w:spacing w:val="-9"/>
                      <w:w w:val="105"/>
                      <w:sz w:val="18"/>
                    </w:rPr>
                    <w:t> </w:t>
                  </w:r>
                  <w:r>
                    <w:rPr>
                      <w:color w:val="231F20"/>
                      <w:w w:val="105"/>
                      <w:sz w:val="18"/>
                    </w:rPr>
                    <w:t>the</w:t>
                  </w:r>
                  <w:r>
                    <w:rPr>
                      <w:color w:val="231F20"/>
                      <w:spacing w:val="-10"/>
                      <w:w w:val="105"/>
                      <w:sz w:val="18"/>
                    </w:rPr>
                    <w:t> </w:t>
                  </w:r>
                  <w:r>
                    <w:rPr>
                      <w:color w:val="231F20"/>
                      <w:w w:val="105"/>
                      <w:sz w:val="18"/>
                    </w:rPr>
                    <w:t>proximal tubule. Because amino acids and sodium are reabsorbed together by the proximal tubules, increased amino acid reabsorption also stimulates sodium reabsorption in the proximal tubules. This reabsorption of sodium decreases sodium delivery to the macula densa (see </w:t>
                  </w:r>
                  <w:hyperlink w:history="true" w:anchor="_bookmark38">
                    <w:r>
                      <w:rPr>
                        <w:b/>
                        <w:color w:val="0080AC"/>
                        <w:w w:val="105"/>
                        <w:sz w:val="18"/>
                      </w:rPr>
                      <w:t>Figure 27-12</w:t>
                    </w:r>
                  </w:hyperlink>
                  <w:r>
                    <w:rPr>
                      <w:color w:val="231F20"/>
                      <w:w w:val="105"/>
                      <w:sz w:val="18"/>
                    </w:rPr>
                    <w:t>), which elicits a tubuloglomerular feedback–mediated de­ crease</w:t>
                  </w:r>
                  <w:r>
                    <w:rPr>
                      <w:color w:val="231F20"/>
                      <w:spacing w:val="-5"/>
                      <w:w w:val="105"/>
                      <w:sz w:val="18"/>
                    </w:rPr>
                    <w:t> </w:t>
                  </w:r>
                  <w:r>
                    <w:rPr>
                      <w:color w:val="231F20"/>
                      <w:w w:val="105"/>
                      <w:sz w:val="18"/>
                    </w:rPr>
                    <w:t>in</w:t>
                  </w:r>
                  <w:r>
                    <w:rPr>
                      <w:color w:val="231F20"/>
                      <w:spacing w:val="-5"/>
                      <w:w w:val="105"/>
                      <w:sz w:val="18"/>
                    </w:rPr>
                    <w:t> </w:t>
                  </w:r>
                  <w:r>
                    <w:rPr>
                      <w:color w:val="231F20"/>
                      <w:w w:val="105"/>
                      <w:sz w:val="18"/>
                    </w:rPr>
                    <w:t>resistance</w:t>
                  </w:r>
                  <w:r>
                    <w:rPr>
                      <w:color w:val="231F20"/>
                      <w:spacing w:val="-5"/>
                      <w:w w:val="105"/>
                      <w:sz w:val="18"/>
                    </w:rPr>
                    <w:t> </w:t>
                  </w:r>
                  <w:r>
                    <w:rPr>
                      <w:color w:val="231F20"/>
                      <w:w w:val="105"/>
                      <w:sz w:val="18"/>
                    </w:rPr>
                    <w:t>of</w:t>
                  </w:r>
                  <w:r>
                    <w:rPr>
                      <w:color w:val="231F20"/>
                      <w:spacing w:val="-5"/>
                      <w:w w:val="105"/>
                      <w:sz w:val="18"/>
                    </w:rPr>
                    <w:t> </w:t>
                  </w:r>
                  <w:r>
                    <w:rPr>
                      <w:color w:val="231F20"/>
                      <w:w w:val="105"/>
                      <w:sz w:val="18"/>
                    </w:rPr>
                    <w:t>the</w:t>
                  </w:r>
                  <w:r>
                    <w:rPr>
                      <w:color w:val="231F20"/>
                      <w:spacing w:val="-4"/>
                      <w:w w:val="105"/>
                      <w:sz w:val="18"/>
                    </w:rPr>
                    <w:t> </w:t>
                  </w:r>
                  <w:r>
                    <w:rPr>
                      <w:color w:val="231F20"/>
                      <w:w w:val="105"/>
                      <w:sz w:val="18"/>
                    </w:rPr>
                    <w:t>afferent</w:t>
                  </w:r>
                  <w:r>
                    <w:rPr>
                      <w:color w:val="231F20"/>
                      <w:spacing w:val="-5"/>
                      <w:w w:val="105"/>
                      <w:sz w:val="18"/>
                    </w:rPr>
                    <w:t> </w:t>
                  </w:r>
                  <w:r>
                    <w:rPr>
                      <w:color w:val="231F20"/>
                      <w:w w:val="105"/>
                      <w:sz w:val="18"/>
                    </w:rPr>
                    <w:t>arterioles,</w:t>
                  </w:r>
                  <w:r>
                    <w:rPr>
                      <w:color w:val="231F20"/>
                      <w:spacing w:val="-5"/>
                      <w:w w:val="105"/>
                      <w:sz w:val="18"/>
                    </w:rPr>
                    <w:t> </w:t>
                  </w:r>
                  <w:r>
                    <w:rPr>
                      <w:color w:val="231F20"/>
                      <w:w w:val="105"/>
                      <w:sz w:val="18"/>
                    </w:rPr>
                    <w:t>as</w:t>
                  </w:r>
                  <w:r>
                    <w:rPr>
                      <w:color w:val="231F20"/>
                      <w:spacing w:val="-5"/>
                      <w:w w:val="105"/>
                      <w:sz w:val="18"/>
                    </w:rPr>
                    <w:t> </w:t>
                  </w:r>
                  <w:r>
                    <w:rPr>
                      <w:color w:val="231F20"/>
                      <w:w w:val="105"/>
                      <w:sz w:val="18"/>
                    </w:rPr>
                    <w:t>discussed earlier. The decreased afferent arteriolar resistance then raises</w:t>
                  </w:r>
                  <w:r>
                    <w:rPr>
                      <w:color w:val="231F20"/>
                      <w:spacing w:val="-33"/>
                      <w:w w:val="105"/>
                      <w:sz w:val="18"/>
                    </w:rPr>
                    <w:t> </w:t>
                  </w:r>
                  <w:r>
                    <w:rPr>
                      <w:color w:val="231F20"/>
                      <w:w w:val="105"/>
                      <w:sz w:val="18"/>
                    </w:rPr>
                    <w:t>renal</w:t>
                  </w:r>
                  <w:r>
                    <w:rPr>
                      <w:color w:val="231F20"/>
                      <w:spacing w:val="-32"/>
                      <w:w w:val="105"/>
                      <w:sz w:val="18"/>
                    </w:rPr>
                    <w:t> </w:t>
                  </w:r>
                  <w:r>
                    <w:rPr>
                      <w:color w:val="231F20"/>
                      <w:w w:val="105"/>
                      <w:sz w:val="18"/>
                    </w:rPr>
                    <w:t>blood</w:t>
                  </w:r>
                  <w:r>
                    <w:rPr>
                      <w:color w:val="231F20"/>
                      <w:spacing w:val="-33"/>
                      <w:w w:val="105"/>
                      <w:sz w:val="18"/>
                    </w:rPr>
                    <w:t> </w:t>
                  </w:r>
                  <w:r>
                    <w:rPr>
                      <w:color w:val="231F20"/>
                      <w:w w:val="105"/>
                      <w:sz w:val="18"/>
                    </w:rPr>
                    <w:t>flow</w:t>
                  </w:r>
                  <w:r>
                    <w:rPr>
                      <w:color w:val="231F20"/>
                      <w:spacing w:val="-32"/>
                      <w:w w:val="105"/>
                      <w:sz w:val="18"/>
                    </w:rPr>
                    <w:t> </w:t>
                  </w:r>
                  <w:r>
                    <w:rPr>
                      <w:color w:val="231F20"/>
                      <w:w w:val="105"/>
                      <w:sz w:val="18"/>
                    </w:rPr>
                    <w:t>and</w:t>
                  </w:r>
                  <w:r>
                    <w:rPr>
                      <w:color w:val="231F20"/>
                      <w:spacing w:val="-33"/>
                      <w:w w:val="105"/>
                      <w:sz w:val="18"/>
                    </w:rPr>
                    <w:t> </w:t>
                  </w:r>
                  <w:r>
                    <w:rPr>
                      <w:color w:val="231F20"/>
                      <w:w w:val="105"/>
                      <w:sz w:val="18"/>
                    </w:rPr>
                    <w:t>GFR.</w:t>
                  </w:r>
                  <w:r>
                    <w:rPr>
                      <w:color w:val="231F20"/>
                      <w:spacing w:val="-32"/>
                      <w:w w:val="105"/>
                      <w:sz w:val="18"/>
                    </w:rPr>
                    <w:t> </w:t>
                  </w:r>
                  <w:r>
                    <w:rPr>
                      <w:color w:val="231F20"/>
                      <w:w w:val="105"/>
                      <w:sz w:val="18"/>
                    </w:rPr>
                    <w:t>This</w:t>
                  </w:r>
                  <w:r>
                    <w:rPr>
                      <w:color w:val="231F20"/>
                      <w:spacing w:val="-33"/>
                      <w:w w:val="105"/>
                      <w:sz w:val="18"/>
                    </w:rPr>
                    <w:t> </w:t>
                  </w:r>
                  <w:r>
                    <w:rPr>
                      <w:color w:val="231F20"/>
                      <w:w w:val="105"/>
                      <w:sz w:val="18"/>
                    </w:rPr>
                    <w:t>increased</w:t>
                  </w:r>
                  <w:r>
                    <w:rPr>
                      <w:color w:val="231F20"/>
                      <w:spacing w:val="-32"/>
                      <w:w w:val="105"/>
                      <w:sz w:val="18"/>
                    </w:rPr>
                    <w:t> </w:t>
                  </w:r>
                  <w:r>
                    <w:rPr>
                      <w:color w:val="231F20"/>
                      <w:w w:val="105"/>
                      <w:sz w:val="18"/>
                    </w:rPr>
                    <w:t>GFR</w:t>
                  </w:r>
                  <w:r>
                    <w:rPr>
                      <w:color w:val="231F20"/>
                      <w:spacing w:val="-33"/>
                      <w:w w:val="105"/>
                      <w:sz w:val="18"/>
                    </w:rPr>
                    <w:t> </w:t>
                  </w:r>
                  <w:r>
                    <w:rPr>
                      <w:color w:val="231F20"/>
                      <w:w w:val="105"/>
                      <w:sz w:val="18"/>
                    </w:rPr>
                    <w:t>allows sodium</w:t>
                  </w:r>
                  <w:r>
                    <w:rPr>
                      <w:color w:val="231F20"/>
                      <w:spacing w:val="-15"/>
                      <w:w w:val="105"/>
                      <w:sz w:val="18"/>
                    </w:rPr>
                    <w:t> </w:t>
                  </w:r>
                  <w:r>
                    <w:rPr>
                      <w:color w:val="231F20"/>
                      <w:w w:val="105"/>
                      <w:sz w:val="18"/>
                    </w:rPr>
                    <w:t>excretion</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be</w:t>
                  </w:r>
                  <w:r>
                    <w:rPr>
                      <w:color w:val="231F20"/>
                      <w:spacing w:val="-15"/>
                      <w:w w:val="105"/>
                      <w:sz w:val="18"/>
                    </w:rPr>
                    <w:t> </w:t>
                  </w:r>
                  <w:r>
                    <w:rPr>
                      <w:color w:val="231F20"/>
                      <w:w w:val="105"/>
                      <w:sz w:val="18"/>
                    </w:rPr>
                    <w:t>maintained</w:t>
                  </w:r>
                  <w:r>
                    <w:rPr>
                      <w:color w:val="231F20"/>
                      <w:spacing w:val="-14"/>
                      <w:w w:val="105"/>
                      <w:sz w:val="18"/>
                    </w:rPr>
                    <w:t> </w:t>
                  </w:r>
                  <w:r>
                    <w:rPr>
                      <w:color w:val="231F20"/>
                      <w:w w:val="105"/>
                      <w:sz w:val="18"/>
                    </w:rPr>
                    <w:t>at</w:t>
                  </w:r>
                  <w:r>
                    <w:rPr>
                      <w:color w:val="231F20"/>
                      <w:spacing w:val="-15"/>
                      <w:w w:val="105"/>
                      <w:sz w:val="18"/>
                    </w:rPr>
                    <w:t> </w:t>
                  </w:r>
                  <w:r>
                    <w:rPr>
                      <w:color w:val="231F20"/>
                      <w:w w:val="105"/>
                      <w:sz w:val="18"/>
                    </w:rPr>
                    <w:t>a</w:t>
                  </w:r>
                  <w:r>
                    <w:rPr>
                      <w:color w:val="231F20"/>
                      <w:spacing w:val="-15"/>
                      <w:w w:val="105"/>
                      <w:sz w:val="18"/>
                    </w:rPr>
                    <w:t> </w:t>
                  </w:r>
                  <w:r>
                    <w:rPr>
                      <w:color w:val="231F20"/>
                      <w:w w:val="105"/>
                      <w:sz w:val="18"/>
                    </w:rPr>
                    <w:t>nearly</w:t>
                  </w:r>
                  <w:r>
                    <w:rPr>
                      <w:color w:val="231F20"/>
                      <w:spacing w:val="-15"/>
                      <w:w w:val="105"/>
                      <w:sz w:val="18"/>
                    </w:rPr>
                    <w:t> </w:t>
                  </w:r>
                  <w:r>
                    <w:rPr>
                      <w:color w:val="231F20"/>
                      <w:w w:val="105"/>
                      <w:sz w:val="18"/>
                    </w:rPr>
                    <w:t>normal</w:t>
                  </w:r>
                  <w:r>
                    <w:rPr>
                      <w:color w:val="231F20"/>
                      <w:spacing w:val="-15"/>
                      <w:w w:val="105"/>
                      <w:sz w:val="18"/>
                    </w:rPr>
                    <w:t> </w:t>
                  </w:r>
                  <w:r>
                    <w:rPr>
                      <w:color w:val="231F20"/>
                      <w:w w:val="105"/>
                      <w:sz w:val="18"/>
                    </w:rPr>
                    <w:t>level while increasing the excretion of the waste products of protein metabolism, such as</w:t>
                  </w:r>
                  <w:r>
                    <w:rPr>
                      <w:color w:val="231F20"/>
                      <w:spacing w:val="10"/>
                      <w:w w:val="105"/>
                      <w:sz w:val="18"/>
                    </w:rPr>
                    <w:t> </w:t>
                  </w:r>
                  <w:r>
                    <w:rPr>
                      <w:color w:val="231F20"/>
                      <w:w w:val="105"/>
                      <w:sz w:val="18"/>
                    </w:rPr>
                    <w:t>urea.</w:t>
                  </w:r>
                </w:p>
                <w:p>
                  <w:pPr>
                    <w:spacing w:line="254" w:lineRule="auto" w:before="9"/>
                    <w:ind w:left="180" w:right="177" w:firstLine="239"/>
                    <w:jc w:val="both"/>
                    <w:rPr>
                      <w:sz w:val="18"/>
                    </w:rPr>
                  </w:pPr>
                  <w:r>
                    <w:rPr>
                      <w:i/>
                      <w:color w:val="231F20"/>
                      <w:w w:val="105"/>
                      <w:sz w:val="18"/>
                    </w:rPr>
                    <w:t>A similar mechanism may also explain the marked </w:t>
                  </w:r>
                  <w:r>
                    <w:rPr>
                      <w:i/>
                      <w:color w:val="231F20"/>
                      <w:w w:val="105"/>
                      <w:sz w:val="18"/>
                    </w:rPr>
                    <w:t>increases</w:t>
                  </w:r>
                  <w:r>
                    <w:rPr>
                      <w:i/>
                      <w:color w:val="231F20"/>
                      <w:spacing w:val="-28"/>
                      <w:w w:val="105"/>
                      <w:sz w:val="18"/>
                    </w:rPr>
                    <w:t> </w:t>
                  </w:r>
                  <w:r>
                    <w:rPr>
                      <w:i/>
                      <w:color w:val="231F20"/>
                      <w:w w:val="105"/>
                      <w:sz w:val="18"/>
                    </w:rPr>
                    <w:t>in</w:t>
                  </w:r>
                  <w:r>
                    <w:rPr>
                      <w:i/>
                      <w:color w:val="231F20"/>
                      <w:spacing w:val="-27"/>
                      <w:w w:val="105"/>
                      <w:sz w:val="18"/>
                    </w:rPr>
                    <w:t> </w:t>
                  </w:r>
                  <w:r>
                    <w:rPr>
                      <w:i/>
                      <w:color w:val="231F20"/>
                      <w:w w:val="105"/>
                      <w:sz w:val="18"/>
                    </w:rPr>
                    <w:t>renal</w:t>
                  </w:r>
                  <w:r>
                    <w:rPr>
                      <w:i/>
                      <w:color w:val="231F20"/>
                      <w:spacing w:val="-27"/>
                      <w:w w:val="105"/>
                      <w:sz w:val="18"/>
                    </w:rPr>
                    <w:t> </w:t>
                  </w:r>
                  <w:r>
                    <w:rPr>
                      <w:i/>
                      <w:color w:val="231F20"/>
                      <w:w w:val="105"/>
                      <w:sz w:val="18"/>
                    </w:rPr>
                    <w:t>blood</w:t>
                  </w:r>
                  <w:r>
                    <w:rPr>
                      <w:i/>
                      <w:color w:val="231F20"/>
                      <w:spacing w:val="-27"/>
                      <w:w w:val="105"/>
                      <w:sz w:val="18"/>
                    </w:rPr>
                    <w:t> </w:t>
                  </w:r>
                  <w:r>
                    <w:rPr>
                      <w:i/>
                      <w:color w:val="231F20"/>
                      <w:w w:val="105"/>
                      <w:sz w:val="18"/>
                    </w:rPr>
                    <w:t>flow</w:t>
                  </w:r>
                  <w:r>
                    <w:rPr>
                      <w:i/>
                      <w:color w:val="231F20"/>
                      <w:spacing w:val="-27"/>
                      <w:w w:val="105"/>
                      <w:sz w:val="18"/>
                    </w:rPr>
                    <w:t> </w:t>
                  </w:r>
                  <w:r>
                    <w:rPr>
                      <w:i/>
                      <w:color w:val="231F20"/>
                      <w:w w:val="105"/>
                      <w:sz w:val="18"/>
                    </w:rPr>
                    <w:t>and</w:t>
                  </w:r>
                  <w:r>
                    <w:rPr>
                      <w:i/>
                      <w:color w:val="231F20"/>
                      <w:spacing w:val="-27"/>
                      <w:w w:val="105"/>
                      <w:sz w:val="18"/>
                    </w:rPr>
                    <w:t> </w:t>
                  </w:r>
                  <w:r>
                    <w:rPr>
                      <w:i/>
                      <w:color w:val="231F20"/>
                      <w:w w:val="105"/>
                      <w:sz w:val="18"/>
                    </w:rPr>
                    <w:t>GFR</w:t>
                  </w:r>
                  <w:r>
                    <w:rPr>
                      <w:i/>
                      <w:color w:val="231F20"/>
                      <w:spacing w:val="-27"/>
                      <w:w w:val="105"/>
                      <w:sz w:val="18"/>
                    </w:rPr>
                    <w:t> </w:t>
                  </w:r>
                  <w:r>
                    <w:rPr>
                      <w:i/>
                      <w:color w:val="231F20"/>
                      <w:w w:val="105"/>
                      <w:sz w:val="18"/>
                    </w:rPr>
                    <w:t>that</w:t>
                  </w:r>
                  <w:r>
                    <w:rPr>
                      <w:i/>
                      <w:color w:val="231F20"/>
                      <w:spacing w:val="-28"/>
                      <w:w w:val="105"/>
                      <w:sz w:val="18"/>
                    </w:rPr>
                    <w:t> </w:t>
                  </w:r>
                  <w:r>
                    <w:rPr>
                      <w:i/>
                      <w:color w:val="231F20"/>
                      <w:w w:val="105"/>
                      <w:sz w:val="18"/>
                    </w:rPr>
                    <w:t>occur</w:t>
                  </w:r>
                  <w:r>
                    <w:rPr>
                      <w:i/>
                      <w:color w:val="231F20"/>
                      <w:spacing w:val="-27"/>
                      <w:w w:val="105"/>
                      <w:sz w:val="18"/>
                    </w:rPr>
                    <w:t> </w:t>
                  </w:r>
                  <w:r>
                    <w:rPr>
                      <w:i/>
                      <w:color w:val="231F20"/>
                      <w:w w:val="105"/>
                      <w:sz w:val="18"/>
                    </w:rPr>
                    <w:t>with</w:t>
                  </w:r>
                  <w:r>
                    <w:rPr>
                      <w:i/>
                      <w:color w:val="231F20"/>
                      <w:spacing w:val="-27"/>
                      <w:w w:val="105"/>
                      <w:sz w:val="18"/>
                    </w:rPr>
                    <w:t> </w:t>
                  </w:r>
                  <w:r>
                    <w:rPr>
                      <w:i/>
                      <w:color w:val="231F20"/>
                      <w:w w:val="105"/>
                      <w:sz w:val="18"/>
                    </w:rPr>
                    <w:t>large increases in blood glucose levels in persons with uncon- trolled</w:t>
                  </w:r>
                  <w:r>
                    <w:rPr>
                      <w:i/>
                      <w:color w:val="231F20"/>
                      <w:spacing w:val="-22"/>
                      <w:w w:val="105"/>
                      <w:sz w:val="18"/>
                    </w:rPr>
                    <w:t> </w:t>
                  </w:r>
                  <w:r>
                    <w:rPr>
                      <w:i/>
                      <w:color w:val="231F20"/>
                      <w:w w:val="105"/>
                      <w:sz w:val="18"/>
                    </w:rPr>
                    <w:t>diabetes</w:t>
                  </w:r>
                  <w:r>
                    <w:rPr>
                      <w:i/>
                      <w:color w:val="231F20"/>
                      <w:spacing w:val="-21"/>
                      <w:w w:val="105"/>
                      <w:sz w:val="18"/>
                    </w:rPr>
                    <w:t> </w:t>
                  </w:r>
                  <w:r>
                    <w:rPr>
                      <w:i/>
                      <w:color w:val="231F20"/>
                      <w:w w:val="105"/>
                      <w:sz w:val="18"/>
                    </w:rPr>
                    <w:t>mellitus.</w:t>
                  </w:r>
                  <w:r>
                    <w:rPr>
                      <w:i/>
                      <w:color w:val="231F20"/>
                      <w:spacing w:val="-21"/>
                      <w:w w:val="105"/>
                      <w:sz w:val="18"/>
                    </w:rPr>
                    <w:t> </w:t>
                  </w:r>
                  <w:r>
                    <w:rPr>
                      <w:color w:val="231F20"/>
                      <w:w w:val="105"/>
                      <w:sz w:val="18"/>
                    </w:rPr>
                    <w:t>Because</w:t>
                  </w:r>
                  <w:r>
                    <w:rPr>
                      <w:color w:val="231F20"/>
                      <w:spacing w:val="-22"/>
                      <w:w w:val="105"/>
                      <w:sz w:val="18"/>
                    </w:rPr>
                    <w:t> </w:t>
                  </w:r>
                  <w:r>
                    <w:rPr>
                      <w:color w:val="231F20"/>
                      <w:w w:val="105"/>
                      <w:sz w:val="18"/>
                    </w:rPr>
                    <w:t>glucose,</w:t>
                  </w:r>
                  <w:r>
                    <w:rPr>
                      <w:color w:val="231F20"/>
                      <w:spacing w:val="-21"/>
                      <w:w w:val="105"/>
                      <w:sz w:val="18"/>
                    </w:rPr>
                    <w:t> </w:t>
                  </w:r>
                  <w:r>
                    <w:rPr>
                      <w:color w:val="231F20"/>
                      <w:w w:val="105"/>
                      <w:sz w:val="18"/>
                    </w:rPr>
                    <w:t>like</w:t>
                  </w:r>
                  <w:r>
                    <w:rPr>
                      <w:color w:val="231F20"/>
                      <w:spacing w:val="-21"/>
                      <w:w w:val="105"/>
                      <w:sz w:val="18"/>
                    </w:rPr>
                    <w:t> </w:t>
                  </w:r>
                  <w:r>
                    <w:rPr>
                      <w:color w:val="231F20"/>
                      <w:w w:val="105"/>
                      <w:sz w:val="18"/>
                    </w:rPr>
                    <w:t>some</w:t>
                  </w:r>
                  <w:r>
                    <w:rPr>
                      <w:color w:val="231F20"/>
                      <w:spacing w:val="-22"/>
                      <w:w w:val="105"/>
                      <w:sz w:val="18"/>
                    </w:rPr>
                    <w:t> </w:t>
                  </w:r>
                  <w:r>
                    <w:rPr>
                      <w:color w:val="231F20"/>
                      <w:w w:val="105"/>
                      <w:sz w:val="18"/>
                    </w:rPr>
                    <w:t>of</w:t>
                  </w:r>
                  <w:r>
                    <w:rPr>
                      <w:color w:val="231F20"/>
                      <w:spacing w:val="-21"/>
                      <w:w w:val="105"/>
                      <w:sz w:val="18"/>
                    </w:rPr>
                    <w:t> </w:t>
                  </w:r>
                  <w:r>
                    <w:rPr>
                      <w:color w:val="231F20"/>
                      <w:w w:val="105"/>
                      <w:sz w:val="18"/>
                    </w:rPr>
                    <w:t>the amino acids, is also reabsorbed along with sodium in the proximal</w:t>
                  </w:r>
                  <w:r>
                    <w:rPr>
                      <w:color w:val="231F20"/>
                      <w:spacing w:val="-9"/>
                      <w:w w:val="105"/>
                      <w:sz w:val="18"/>
                    </w:rPr>
                    <w:t> </w:t>
                  </w:r>
                  <w:r>
                    <w:rPr>
                      <w:color w:val="231F20"/>
                      <w:w w:val="105"/>
                      <w:sz w:val="18"/>
                    </w:rPr>
                    <w:t>tubule,</w:t>
                  </w:r>
                  <w:r>
                    <w:rPr>
                      <w:color w:val="231F20"/>
                      <w:spacing w:val="-8"/>
                      <w:w w:val="105"/>
                      <w:sz w:val="18"/>
                    </w:rPr>
                    <w:t> </w:t>
                  </w:r>
                  <w:r>
                    <w:rPr>
                      <w:color w:val="231F20"/>
                      <w:w w:val="105"/>
                      <w:sz w:val="18"/>
                    </w:rPr>
                    <w:t>increased</w:t>
                  </w:r>
                  <w:r>
                    <w:rPr>
                      <w:color w:val="231F20"/>
                      <w:spacing w:val="-8"/>
                      <w:w w:val="105"/>
                      <w:sz w:val="18"/>
                    </w:rPr>
                    <w:t> </w:t>
                  </w:r>
                  <w:r>
                    <w:rPr>
                      <w:color w:val="231F20"/>
                      <w:w w:val="105"/>
                      <w:sz w:val="18"/>
                    </w:rPr>
                    <w:t>glucose</w:t>
                  </w:r>
                  <w:r>
                    <w:rPr>
                      <w:color w:val="231F20"/>
                      <w:spacing w:val="-8"/>
                      <w:w w:val="105"/>
                      <w:sz w:val="18"/>
                    </w:rPr>
                    <w:t> </w:t>
                  </w:r>
                  <w:r>
                    <w:rPr>
                      <w:color w:val="231F20"/>
                      <w:w w:val="105"/>
                      <w:sz w:val="18"/>
                    </w:rPr>
                    <w:t>delivery</w:t>
                  </w:r>
                  <w:r>
                    <w:rPr>
                      <w:color w:val="231F20"/>
                      <w:spacing w:val="-8"/>
                      <w:w w:val="105"/>
                      <w:sz w:val="18"/>
                    </w:rPr>
                    <w:t> </w:t>
                  </w:r>
                  <w:r>
                    <w:rPr>
                      <w:color w:val="231F20"/>
                      <w:w w:val="105"/>
                      <w:sz w:val="18"/>
                    </w:rPr>
                    <w:t>to</w:t>
                  </w:r>
                  <w:r>
                    <w:rPr>
                      <w:color w:val="231F20"/>
                      <w:spacing w:val="-8"/>
                      <w:w w:val="105"/>
                      <w:sz w:val="18"/>
                    </w:rPr>
                    <w:t> </w:t>
                  </w:r>
                  <w:r>
                    <w:rPr>
                      <w:color w:val="231F20"/>
                      <w:w w:val="105"/>
                      <w:sz w:val="18"/>
                    </w:rPr>
                    <w:t>the</w:t>
                  </w:r>
                  <w:r>
                    <w:rPr>
                      <w:color w:val="231F20"/>
                      <w:spacing w:val="-8"/>
                      <w:w w:val="105"/>
                      <w:sz w:val="18"/>
                    </w:rPr>
                    <w:t> </w:t>
                  </w:r>
                  <w:r>
                    <w:rPr>
                      <w:color w:val="231F20"/>
                      <w:w w:val="105"/>
                      <w:sz w:val="18"/>
                    </w:rPr>
                    <w:t>tubules causes</w:t>
                  </w:r>
                  <w:r>
                    <w:rPr>
                      <w:color w:val="231F20"/>
                      <w:spacing w:val="-21"/>
                      <w:w w:val="105"/>
                      <w:sz w:val="18"/>
                    </w:rPr>
                    <w:t> </w:t>
                  </w:r>
                  <w:r>
                    <w:rPr>
                      <w:color w:val="231F20"/>
                      <w:w w:val="105"/>
                      <w:sz w:val="18"/>
                    </w:rPr>
                    <w:t>them</w:t>
                  </w:r>
                  <w:r>
                    <w:rPr>
                      <w:color w:val="231F20"/>
                      <w:spacing w:val="-21"/>
                      <w:w w:val="105"/>
                      <w:sz w:val="18"/>
                    </w:rPr>
                    <w:t> </w:t>
                  </w:r>
                  <w:r>
                    <w:rPr>
                      <w:color w:val="231F20"/>
                      <w:w w:val="105"/>
                      <w:sz w:val="18"/>
                    </w:rPr>
                    <w:t>to</w:t>
                  </w:r>
                  <w:r>
                    <w:rPr>
                      <w:color w:val="231F20"/>
                      <w:spacing w:val="-20"/>
                      <w:w w:val="105"/>
                      <w:sz w:val="18"/>
                    </w:rPr>
                    <w:t> </w:t>
                  </w:r>
                  <w:r>
                    <w:rPr>
                      <w:color w:val="231F20"/>
                      <w:w w:val="105"/>
                      <w:sz w:val="18"/>
                    </w:rPr>
                    <w:t>reabsorb</w:t>
                  </w:r>
                  <w:r>
                    <w:rPr>
                      <w:color w:val="231F20"/>
                      <w:spacing w:val="-21"/>
                      <w:w w:val="105"/>
                      <w:sz w:val="18"/>
                    </w:rPr>
                    <w:t> </w:t>
                  </w:r>
                  <w:r>
                    <w:rPr>
                      <w:color w:val="231F20"/>
                      <w:w w:val="105"/>
                      <w:sz w:val="18"/>
                    </w:rPr>
                    <w:t>excess</w:t>
                  </w:r>
                  <w:r>
                    <w:rPr>
                      <w:color w:val="231F20"/>
                      <w:spacing w:val="-20"/>
                      <w:w w:val="105"/>
                      <w:sz w:val="18"/>
                    </w:rPr>
                    <w:t> </w:t>
                  </w:r>
                  <w:r>
                    <w:rPr>
                      <w:color w:val="231F20"/>
                      <w:w w:val="105"/>
                      <w:sz w:val="18"/>
                    </w:rPr>
                    <w:t>sodium</w:t>
                  </w:r>
                  <w:r>
                    <w:rPr>
                      <w:color w:val="231F20"/>
                      <w:spacing w:val="-21"/>
                      <w:w w:val="105"/>
                      <w:sz w:val="18"/>
                    </w:rPr>
                    <w:t> </w:t>
                  </w:r>
                  <w:r>
                    <w:rPr>
                      <w:color w:val="231F20"/>
                      <w:w w:val="105"/>
                      <w:sz w:val="18"/>
                    </w:rPr>
                    <w:t>along</w:t>
                  </w:r>
                  <w:r>
                    <w:rPr>
                      <w:color w:val="231F20"/>
                      <w:spacing w:val="-20"/>
                      <w:w w:val="105"/>
                      <w:sz w:val="18"/>
                    </w:rPr>
                    <w:t> </w:t>
                  </w:r>
                  <w:r>
                    <w:rPr>
                      <w:color w:val="231F20"/>
                      <w:w w:val="105"/>
                      <w:sz w:val="18"/>
                    </w:rPr>
                    <w:t>with</w:t>
                  </w:r>
                  <w:r>
                    <w:rPr>
                      <w:color w:val="231F20"/>
                      <w:spacing w:val="-21"/>
                      <w:w w:val="105"/>
                      <w:sz w:val="18"/>
                    </w:rPr>
                    <w:t> </w:t>
                  </w:r>
                  <w:r>
                    <w:rPr>
                      <w:color w:val="231F20"/>
                      <w:w w:val="105"/>
                      <w:sz w:val="18"/>
                    </w:rPr>
                    <w:t>glucose. This</w:t>
                  </w:r>
                  <w:r>
                    <w:rPr>
                      <w:color w:val="231F20"/>
                      <w:spacing w:val="-8"/>
                      <w:w w:val="105"/>
                      <w:sz w:val="18"/>
                    </w:rPr>
                    <w:t> </w:t>
                  </w:r>
                  <w:r>
                    <w:rPr>
                      <w:color w:val="231F20"/>
                      <w:w w:val="105"/>
                      <w:sz w:val="18"/>
                    </w:rPr>
                    <w:t>reabsorption</w:t>
                  </w:r>
                  <w:r>
                    <w:rPr>
                      <w:color w:val="231F20"/>
                      <w:spacing w:val="-7"/>
                      <w:w w:val="105"/>
                      <w:sz w:val="18"/>
                    </w:rPr>
                    <w:t> </w:t>
                  </w:r>
                  <w:r>
                    <w:rPr>
                      <w:color w:val="231F20"/>
                      <w:w w:val="105"/>
                      <w:sz w:val="18"/>
                    </w:rPr>
                    <w:t>of</w:t>
                  </w:r>
                  <w:r>
                    <w:rPr>
                      <w:color w:val="231F20"/>
                      <w:spacing w:val="-7"/>
                      <w:w w:val="105"/>
                      <w:sz w:val="18"/>
                    </w:rPr>
                    <w:t> </w:t>
                  </w:r>
                  <w:r>
                    <w:rPr>
                      <w:color w:val="231F20"/>
                      <w:w w:val="105"/>
                      <w:sz w:val="18"/>
                    </w:rPr>
                    <w:t>excess</w:t>
                  </w:r>
                  <w:r>
                    <w:rPr>
                      <w:color w:val="231F20"/>
                      <w:spacing w:val="-7"/>
                      <w:w w:val="105"/>
                      <w:sz w:val="18"/>
                    </w:rPr>
                    <w:t> </w:t>
                  </w:r>
                  <w:r>
                    <w:rPr>
                      <w:color w:val="231F20"/>
                      <w:w w:val="105"/>
                      <w:sz w:val="18"/>
                    </w:rPr>
                    <w:t>sodium,</w:t>
                  </w:r>
                  <w:r>
                    <w:rPr>
                      <w:color w:val="231F20"/>
                      <w:spacing w:val="-8"/>
                      <w:w w:val="105"/>
                      <w:sz w:val="18"/>
                    </w:rPr>
                    <w:t> </w:t>
                  </w:r>
                  <w:r>
                    <w:rPr>
                      <w:color w:val="231F20"/>
                      <w:w w:val="105"/>
                      <w:sz w:val="18"/>
                    </w:rPr>
                    <w:t>in</w:t>
                  </w:r>
                  <w:r>
                    <w:rPr>
                      <w:color w:val="231F20"/>
                      <w:spacing w:val="-7"/>
                      <w:w w:val="105"/>
                      <w:sz w:val="18"/>
                    </w:rPr>
                    <w:t> </w:t>
                  </w:r>
                  <w:r>
                    <w:rPr>
                      <w:color w:val="231F20"/>
                      <w:w w:val="105"/>
                      <w:sz w:val="18"/>
                    </w:rPr>
                    <w:t>turn,</w:t>
                  </w:r>
                  <w:r>
                    <w:rPr>
                      <w:color w:val="231F20"/>
                      <w:spacing w:val="-7"/>
                      <w:w w:val="105"/>
                      <w:sz w:val="18"/>
                    </w:rPr>
                    <w:t> </w:t>
                  </w:r>
                  <w:r>
                    <w:rPr>
                      <w:color w:val="231F20"/>
                      <w:w w:val="105"/>
                      <w:sz w:val="18"/>
                    </w:rPr>
                    <w:t>decreases</w:t>
                  </w:r>
                  <w:r>
                    <w:rPr>
                      <w:color w:val="231F20"/>
                      <w:spacing w:val="-7"/>
                      <w:w w:val="105"/>
                      <w:sz w:val="18"/>
                    </w:rPr>
                    <w:t> </w:t>
                  </w:r>
                  <w:r>
                    <w:rPr>
                      <w:color w:val="231F20"/>
                      <w:w w:val="105"/>
                      <w:sz w:val="18"/>
                    </w:rPr>
                    <w:t>the sodium chloride concentration at the macula densa, </w:t>
                  </w:r>
                  <w:r>
                    <w:rPr>
                      <w:color w:val="231F20"/>
                      <w:spacing w:val="-3"/>
                      <w:w w:val="105"/>
                      <w:sz w:val="18"/>
                    </w:rPr>
                    <w:t>acti­ </w:t>
                  </w:r>
                  <w:r>
                    <w:rPr>
                      <w:color w:val="231F20"/>
                      <w:w w:val="105"/>
                      <w:sz w:val="18"/>
                    </w:rPr>
                    <w:t>vating a tubuloglomerular feedback–mediated dilation</w:t>
                  </w:r>
                  <w:r>
                    <w:rPr>
                      <w:color w:val="231F20"/>
                      <w:spacing w:val="5"/>
                      <w:w w:val="105"/>
                      <w:sz w:val="18"/>
                    </w:rPr>
                    <w:t> </w:t>
                  </w:r>
                  <w:r>
                    <w:rPr>
                      <w:color w:val="231F20"/>
                      <w:w w:val="105"/>
                      <w:sz w:val="18"/>
                    </w:rPr>
                    <w:t>of</w:t>
                  </w:r>
                </w:p>
              </w:txbxContent>
            </v:textbox>
            <v:fill type="solid"/>
            <w10:wrap type="none"/>
          </v:shape>
        </w:pict>
      </w:r>
      <w:bookmarkStart w:name="_bookmark38" w:id="39"/>
      <w:bookmarkEnd w:id="39"/>
      <w:r>
        <w:rPr/>
      </w:r>
      <w:r>
        <w:rPr>
          <w:rFonts w:ascii="Trebuchet MS"/>
          <w:b/>
          <w:color w:val="231F20"/>
          <w:sz w:val="16"/>
        </w:rPr>
        <w:t>Figure</w:t>
      </w:r>
      <w:r>
        <w:rPr>
          <w:rFonts w:ascii="Trebuchet MS"/>
          <w:b/>
          <w:color w:val="231F20"/>
          <w:spacing w:val="-18"/>
          <w:sz w:val="16"/>
        </w:rPr>
        <w:t> </w:t>
      </w:r>
      <w:r>
        <w:rPr>
          <w:rFonts w:ascii="Trebuchet MS"/>
          <w:b/>
          <w:color w:val="231F20"/>
          <w:sz w:val="16"/>
        </w:rPr>
        <w:t>27-12.</w:t>
      </w:r>
      <w:r>
        <w:rPr>
          <w:rFonts w:ascii="Trebuchet MS"/>
          <w:b/>
          <w:color w:val="231F20"/>
          <w:spacing w:val="-4"/>
          <w:sz w:val="16"/>
        </w:rPr>
        <w:t> </w:t>
      </w:r>
      <w:r>
        <w:rPr>
          <w:rFonts w:ascii="Arial"/>
          <w:color w:val="231F20"/>
          <w:sz w:val="16"/>
        </w:rPr>
        <w:t>Possible</w:t>
      </w:r>
      <w:r>
        <w:rPr>
          <w:rFonts w:ascii="Arial"/>
          <w:color w:val="231F20"/>
          <w:spacing w:val="-14"/>
          <w:sz w:val="16"/>
        </w:rPr>
        <w:t> </w:t>
      </w:r>
      <w:r>
        <w:rPr>
          <w:rFonts w:ascii="Arial"/>
          <w:color w:val="231F20"/>
          <w:sz w:val="16"/>
        </w:rPr>
        <w:t>role</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macula</w:t>
      </w:r>
      <w:r>
        <w:rPr>
          <w:rFonts w:ascii="Arial"/>
          <w:color w:val="231F20"/>
          <w:spacing w:val="-14"/>
          <w:sz w:val="16"/>
        </w:rPr>
        <w:t> </w:t>
      </w:r>
      <w:r>
        <w:rPr>
          <w:rFonts w:ascii="Arial"/>
          <w:color w:val="231F20"/>
          <w:sz w:val="16"/>
        </w:rPr>
        <w:t>densa</w:t>
      </w:r>
      <w:r>
        <w:rPr>
          <w:rFonts w:ascii="Arial"/>
          <w:color w:val="231F20"/>
          <w:spacing w:val="-15"/>
          <w:sz w:val="16"/>
        </w:rPr>
        <w:t> </w:t>
      </w:r>
      <w:r>
        <w:rPr>
          <w:rFonts w:ascii="Arial"/>
          <w:color w:val="231F20"/>
          <w:sz w:val="16"/>
        </w:rPr>
        <w:t>feedback</w:t>
      </w:r>
      <w:r>
        <w:rPr>
          <w:rFonts w:ascii="Arial"/>
          <w:color w:val="231F20"/>
          <w:spacing w:val="-15"/>
          <w:sz w:val="16"/>
        </w:rPr>
        <w:t> </w:t>
      </w:r>
      <w:r>
        <w:rPr>
          <w:rFonts w:ascii="Arial"/>
          <w:color w:val="231F20"/>
          <w:sz w:val="16"/>
        </w:rPr>
        <w:t>in</w:t>
      </w:r>
      <w:r>
        <w:rPr>
          <w:rFonts w:ascii="Arial"/>
          <w:color w:val="231F20"/>
          <w:spacing w:val="-14"/>
          <w:sz w:val="16"/>
        </w:rPr>
        <w:t> </w:t>
      </w:r>
      <w:r>
        <w:rPr>
          <w:rFonts w:ascii="Arial"/>
          <w:color w:val="231F20"/>
          <w:sz w:val="16"/>
        </w:rPr>
        <w:t>mediating increased</w:t>
      </w:r>
      <w:r>
        <w:rPr>
          <w:rFonts w:ascii="Arial"/>
          <w:color w:val="231F20"/>
          <w:spacing w:val="-7"/>
          <w:sz w:val="16"/>
        </w:rPr>
        <w:t> </w:t>
      </w:r>
      <w:r>
        <w:rPr>
          <w:rFonts w:ascii="Arial"/>
          <w:color w:val="231F20"/>
          <w:sz w:val="16"/>
        </w:rPr>
        <w:t>glomerular</w:t>
      </w:r>
      <w:r>
        <w:rPr>
          <w:rFonts w:ascii="Arial"/>
          <w:color w:val="231F20"/>
          <w:spacing w:val="-7"/>
          <w:sz w:val="16"/>
        </w:rPr>
        <w:t> </w:t>
      </w:r>
      <w:r>
        <w:rPr>
          <w:rFonts w:ascii="Arial"/>
          <w:color w:val="231F20"/>
          <w:sz w:val="16"/>
        </w:rPr>
        <w:t>filtration</w:t>
      </w:r>
      <w:r>
        <w:rPr>
          <w:rFonts w:ascii="Arial"/>
          <w:color w:val="231F20"/>
          <w:spacing w:val="-7"/>
          <w:sz w:val="16"/>
        </w:rPr>
        <w:t> </w:t>
      </w:r>
      <w:r>
        <w:rPr>
          <w:rFonts w:ascii="Arial"/>
          <w:color w:val="231F20"/>
          <w:sz w:val="16"/>
        </w:rPr>
        <w:t>rate</w:t>
      </w:r>
      <w:r>
        <w:rPr>
          <w:rFonts w:ascii="Arial"/>
          <w:color w:val="231F20"/>
          <w:spacing w:val="-6"/>
          <w:sz w:val="16"/>
        </w:rPr>
        <w:t> </w:t>
      </w:r>
      <w:r>
        <w:rPr>
          <w:rFonts w:ascii="Lucida Sans"/>
          <w:i/>
          <w:color w:val="231F20"/>
          <w:sz w:val="16"/>
        </w:rPr>
        <w:t>(GFR)</w:t>
      </w:r>
      <w:r>
        <w:rPr>
          <w:rFonts w:ascii="Lucida Sans"/>
          <w:i/>
          <w:color w:val="231F20"/>
          <w:spacing w:val="-13"/>
          <w:sz w:val="16"/>
        </w:rPr>
        <w:t> </w:t>
      </w:r>
      <w:r>
        <w:rPr>
          <w:rFonts w:ascii="Arial"/>
          <w:color w:val="231F20"/>
          <w:sz w:val="16"/>
        </w:rPr>
        <w:t>after</w:t>
      </w:r>
      <w:r>
        <w:rPr>
          <w:rFonts w:ascii="Arial"/>
          <w:color w:val="231F20"/>
          <w:spacing w:val="-7"/>
          <w:sz w:val="16"/>
        </w:rPr>
        <w:t> </w:t>
      </w:r>
      <w:r>
        <w:rPr>
          <w:rFonts w:ascii="Arial"/>
          <w:color w:val="231F20"/>
          <w:sz w:val="16"/>
        </w:rPr>
        <w:t>a</w:t>
      </w:r>
      <w:r>
        <w:rPr>
          <w:rFonts w:ascii="Arial"/>
          <w:color w:val="231F20"/>
          <w:spacing w:val="-7"/>
          <w:sz w:val="16"/>
        </w:rPr>
        <w:t> </w:t>
      </w:r>
      <w:r>
        <w:rPr>
          <w:rFonts w:ascii="Arial"/>
          <w:color w:val="231F20"/>
          <w:sz w:val="16"/>
        </w:rPr>
        <w:t>high-protein</w:t>
      </w:r>
      <w:r>
        <w:rPr>
          <w:rFonts w:ascii="Arial"/>
          <w:color w:val="231F20"/>
          <w:spacing w:val="-6"/>
          <w:sz w:val="16"/>
        </w:rPr>
        <w:t> </w:t>
      </w:r>
      <w:r>
        <w:rPr>
          <w:rFonts w:ascii="Arial"/>
          <w:color w:val="231F20"/>
          <w:sz w:val="16"/>
        </w:rPr>
        <w:t>meal.</w:t>
      </w:r>
    </w:p>
    <w:p>
      <w:pPr>
        <w:pStyle w:val="BodyText"/>
        <w:rPr>
          <w:rFonts w:ascii="Arial"/>
        </w:rPr>
      </w:pPr>
    </w:p>
    <w:p>
      <w:pPr>
        <w:pStyle w:val="BodyText"/>
        <w:rPr>
          <w:rFonts w:ascii="Arial"/>
          <w:sz w:val="19"/>
        </w:rPr>
      </w:pPr>
      <w:r>
        <w:rPr/>
        <w:pict>
          <v:shape style="position:absolute;margin-left:324pt;margin-top:12.161893pt;width:234pt;height:351.6pt;mso-position-horizontal-relative:page;mso-position-vertical-relative:paragraph;z-index:-251314176;mso-wrap-distance-left:0;mso-wrap-distance-right:0" type="#_x0000_t202" filled="true" fillcolor="#f0eef6" stroked="false">
            <v:textbox inset="0,0,0,0">
              <w:txbxContent>
                <w:p>
                  <w:pPr>
                    <w:spacing w:line="254" w:lineRule="auto" w:before="69"/>
                    <w:ind w:left="180" w:right="177" w:firstLine="0"/>
                    <w:jc w:val="both"/>
                    <w:rPr>
                      <w:sz w:val="18"/>
                    </w:rPr>
                  </w:pPr>
                  <w:r>
                    <w:rPr>
                      <w:color w:val="231F20"/>
                      <w:w w:val="105"/>
                      <w:sz w:val="18"/>
                    </w:rPr>
                    <w:t>the afferent arterioles and subsequent increases in renal blood flow and GFR.</w:t>
                  </w:r>
                </w:p>
                <w:p>
                  <w:pPr>
                    <w:spacing w:line="254" w:lineRule="auto" w:before="1"/>
                    <w:ind w:left="180" w:right="177" w:firstLine="239"/>
                    <w:jc w:val="both"/>
                    <w:rPr>
                      <w:sz w:val="18"/>
                    </w:rPr>
                  </w:pPr>
                  <w:r>
                    <w:rPr>
                      <w:color w:val="231F20"/>
                      <w:w w:val="105"/>
                      <w:sz w:val="18"/>
                    </w:rPr>
                    <w:t>These</w:t>
                  </w:r>
                  <w:r>
                    <w:rPr>
                      <w:color w:val="231F20"/>
                      <w:spacing w:val="-8"/>
                      <w:w w:val="105"/>
                      <w:sz w:val="18"/>
                    </w:rPr>
                    <w:t> </w:t>
                  </w:r>
                  <w:r>
                    <w:rPr>
                      <w:color w:val="231F20"/>
                      <w:w w:val="105"/>
                      <w:sz w:val="18"/>
                    </w:rPr>
                    <w:t>examples</w:t>
                  </w:r>
                  <w:r>
                    <w:rPr>
                      <w:color w:val="231F20"/>
                      <w:spacing w:val="-8"/>
                      <w:w w:val="105"/>
                      <w:sz w:val="18"/>
                    </w:rPr>
                    <w:t> </w:t>
                  </w:r>
                  <w:r>
                    <w:rPr>
                      <w:color w:val="231F20"/>
                      <w:w w:val="105"/>
                      <w:sz w:val="18"/>
                    </w:rPr>
                    <w:t>demonstrate</w:t>
                  </w:r>
                  <w:r>
                    <w:rPr>
                      <w:color w:val="231F20"/>
                      <w:spacing w:val="-8"/>
                      <w:w w:val="105"/>
                      <w:sz w:val="18"/>
                    </w:rPr>
                    <w:t> </w:t>
                  </w:r>
                  <w:r>
                    <w:rPr>
                      <w:color w:val="231F20"/>
                      <w:w w:val="105"/>
                      <w:sz w:val="18"/>
                    </w:rPr>
                    <w:t>that</w:t>
                  </w:r>
                  <w:r>
                    <w:rPr>
                      <w:color w:val="231F20"/>
                      <w:spacing w:val="-8"/>
                      <w:w w:val="105"/>
                      <w:sz w:val="18"/>
                    </w:rPr>
                    <w:t> </w:t>
                  </w:r>
                  <w:r>
                    <w:rPr>
                      <w:color w:val="231F20"/>
                      <w:w w:val="105"/>
                      <w:sz w:val="18"/>
                    </w:rPr>
                    <w:t>renal</w:t>
                  </w:r>
                  <w:r>
                    <w:rPr>
                      <w:color w:val="231F20"/>
                      <w:spacing w:val="-7"/>
                      <w:w w:val="105"/>
                      <w:sz w:val="18"/>
                    </w:rPr>
                    <w:t> </w:t>
                  </w:r>
                  <w:r>
                    <w:rPr>
                      <w:color w:val="231F20"/>
                      <w:w w:val="105"/>
                      <w:sz w:val="18"/>
                    </w:rPr>
                    <w:t>blood</w:t>
                  </w:r>
                  <w:r>
                    <w:rPr>
                      <w:color w:val="231F20"/>
                      <w:spacing w:val="-8"/>
                      <w:w w:val="105"/>
                      <w:sz w:val="18"/>
                    </w:rPr>
                    <w:t> </w:t>
                  </w:r>
                  <w:r>
                    <w:rPr>
                      <w:color w:val="231F20"/>
                      <w:w w:val="105"/>
                      <w:sz w:val="18"/>
                    </w:rPr>
                    <w:t>flow</w:t>
                  </w:r>
                  <w:r>
                    <w:rPr>
                      <w:color w:val="231F20"/>
                      <w:spacing w:val="-8"/>
                      <w:w w:val="105"/>
                      <w:sz w:val="18"/>
                    </w:rPr>
                    <w:t> </w:t>
                  </w:r>
                  <w:r>
                    <w:rPr>
                      <w:color w:val="231F20"/>
                      <w:w w:val="105"/>
                      <w:sz w:val="18"/>
                    </w:rPr>
                    <w:t>and GFR</w:t>
                  </w:r>
                  <w:r>
                    <w:rPr>
                      <w:color w:val="231F20"/>
                      <w:spacing w:val="-11"/>
                      <w:w w:val="105"/>
                      <w:sz w:val="18"/>
                    </w:rPr>
                    <w:t> </w:t>
                  </w:r>
                  <w:r>
                    <w:rPr>
                      <w:color w:val="231F20"/>
                      <w:w w:val="105"/>
                      <w:sz w:val="18"/>
                    </w:rPr>
                    <w:t>per</w:t>
                  </w:r>
                  <w:r>
                    <w:rPr>
                      <w:color w:val="231F20"/>
                      <w:spacing w:val="-10"/>
                      <w:w w:val="105"/>
                      <w:sz w:val="18"/>
                    </w:rPr>
                    <w:t> </w:t>
                  </w:r>
                  <w:r>
                    <w:rPr>
                      <w:color w:val="231F20"/>
                      <w:w w:val="105"/>
                      <w:sz w:val="18"/>
                    </w:rPr>
                    <w:t>se</w:t>
                  </w:r>
                  <w:r>
                    <w:rPr>
                      <w:color w:val="231F20"/>
                      <w:spacing w:val="-10"/>
                      <w:w w:val="105"/>
                      <w:sz w:val="18"/>
                    </w:rPr>
                    <w:t> </w:t>
                  </w:r>
                  <w:r>
                    <w:rPr>
                      <w:color w:val="231F20"/>
                      <w:w w:val="105"/>
                      <w:sz w:val="18"/>
                    </w:rPr>
                    <w:t>are</w:t>
                  </w:r>
                  <w:r>
                    <w:rPr>
                      <w:color w:val="231F20"/>
                      <w:spacing w:val="-10"/>
                      <w:w w:val="105"/>
                      <w:sz w:val="18"/>
                    </w:rPr>
                    <w:t> </w:t>
                  </w:r>
                  <w:r>
                    <w:rPr>
                      <w:color w:val="231F20"/>
                      <w:w w:val="105"/>
                      <w:sz w:val="18"/>
                    </w:rPr>
                    <w:t>not</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primary</w:t>
                  </w:r>
                  <w:r>
                    <w:rPr>
                      <w:color w:val="231F20"/>
                      <w:spacing w:val="-10"/>
                      <w:w w:val="105"/>
                      <w:sz w:val="18"/>
                    </w:rPr>
                    <w:t> </w:t>
                  </w:r>
                  <w:r>
                    <w:rPr>
                      <w:color w:val="231F20"/>
                      <w:w w:val="105"/>
                      <w:sz w:val="18"/>
                    </w:rPr>
                    <w:t>variables</w:t>
                  </w:r>
                  <w:r>
                    <w:rPr>
                      <w:color w:val="231F20"/>
                      <w:spacing w:val="-10"/>
                      <w:w w:val="105"/>
                      <w:sz w:val="18"/>
                    </w:rPr>
                    <w:t> </w:t>
                  </w:r>
                  <w:r>
                    <w:rPr>
                      <w:color w:val="231F20"/>
                      <w:w w:val="105"/>
                      <w:sz w:val="18"/>
                    </w:rPr>
                    <w:t>controlled</w:t>
                  </w:r>
                  <w:r>
                    <w:rPr>
                      <w:color w:val="231F20"/>
                      <w:spacing w:val="-10"/>
                      <w:w w:val="105"/>
                      <w:sz w:val="18"/>
                    </w:rPr>
                    <w:t> </w:t>
                  </w:r>
                  <w:r>
                    <w:rPr>
                      <w:color w:val="231F20"/>
                      <w:w w:val="105"/>
                      <w:sz w:val="18"/>
                    </w:rPr>
                    <w:t>by</w:t>
                  </w:r>
                  <w:r>
                    <w:rPr>
                      <w:color w:val="231F20"/>
                      <w:spacing w:val="-10"/>
                      <w:w w:val="105"/>
                      <w:sz w:val="18"/>
                    </w:rPr>
                    <w:t> </w:t>
                  </w:r>
                  <w:r>
                    <w:rPr>
                      <w:color w:val="231F20"/>
                      <w:w w:val="105"/>
                      <w:sz w:val="18"/>
                    </w:rPr>
                    <w:t>the tubuloglomerular</w:t>
                  </w:r>
                  <w:r>
                    <w:rPr>
                      <w:color w:val="231F20"/>
                      <w:spacing w:val="-19"/>
                      <w:w w:val="105"/>
                      <w:sz w:val="18"/>
                    </w:rPr>
                    <w:t> </w:t>
                  </w:r>
                  <w:r>
                    <w:rPr>
                      <w:color w:val="231F20"/>
                      <w:w w:val="105"/>
                      <w:sz w:val="18"/>
                    </w:rPr>
                    <w:t>feedback</w:t>
                  </w:r>
                  <w:r>
                    <w:rPr>
                      <w:color w:val="231F20"/>
                      <w:spacing w:val="-19"/>
                      <w:w w:val="105"/>
                      <w:sz w:val="18"/>
                    </w:rPr>
                    <w:t> </w:t>
                  </w:r>
                  <w:r>
                    <w:rPr>
                      <w:color w:val="231F20"/>
                      <w:w w:val="105"/>
                      <w:sz w:val="18"/>
                    </w:rPr>
                    <w:t>mechanism.</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main</w:t>
                  </w:r>
                  <w:r>
                    <w:rPr>
                      <w:color w:val="231F20"/>
                      <w:spacing w:val="-19"/>
                      <w:w w:val="105"/>
                      <w:sz w:val="18"/>
                    </w:rPr>
                    <w:t> </w:t>
                  </w:r>
                  <w:r>
                    <w:rPr>
                      <w:color w:val="231F20"/>
                      <w:w w:val="105"/>
                      <w:sz w:val="18"/>
                    </w:rPr>
                    <w:t>purpose of</w:t>
                  </w:r>
                  <w:r>
                    <w:rPr>
                      <w:color w:val="231F20"/>
                      <w:spacing w:val="-9"/>
                      <w:w w:val="105"/>
                      <w:sz w:val="18"/>
                    </w:rPr>
                    <w:t> </w:t>
                  </w:r>
                  <w:r>
                    <w:rPr>
                      <w:color w:val="231F20"/>
                      <w:w w:val="105"/>
                      <w:sz w:val="18"/>
                    </w:rPr>
                    <w:t>this</w:t>
                  </w:r>
                  <w:r>
                    <w:rPr>
                      <w:color w:val="231F20"/>
                      <w:spacing w:val="-9"/>
                      <w:w w:val="105"/>
                      <w:sz w:val="18"/>
                    </w:rPr>
                    <w:t> </w:t>
                  </w:r>
                  <w:r>
                    <w:rPr>
                      <w:color w:val="231F20"/>
                      <w:w w:val="105"/>
                      <w:sz w:val="18"/>
                    </w:rPr>
                    <w:t>feedback</w:t>
                  </w:r>
                  <w:r>
                    <w:rPr>
                      <w:color w:val="231F20"/>
                      <w:spacing w:val="-9"/>
                      <w:w w:val="105"/>
                      <w:sz w:val="18"/>
                    </w:rPr>
                    <w:t> </w:t>
                  </w:r>
                  <w:r>
                    <w:rPr>
                      <w:color w:val="231F20"/>
                      <w:w w:val="105"/>
                      <w:sz w:val="18"/>
                    </w:rPr>
                    <w:t>is</w:t>
                  </w:r>
                  <w:r>
                    <w:rPr>
                      <w:color w:val="231F20"/>
                      <w:spacing w:val="-9"/>
                      <w:w w:val="105"/>
                      <w:sz w:val="18"/>
                    </w:rPr>
                    <w:t> </w:t>
                  </w:r>
                  <w:r>
                    <w:rPr>
                      <w:color w:val="231F20"/>
                      <w:w w:val="105"/>
                      <w:sz w:val="18"/>
                    </w:rPr>
                    <w:t>to</w:t>
                  </w:r>
                  <w:r>
                    <w:rPr>
                      <w:color w:val="231F20"/>
                      <w:spacing w:val="-9"/>
                      <w:w w:val="105"/>
                      <w:sz w:val="18"/>
                    </w:rPr>
                    <w:t> </w:t>
                  </w:r>
                  <w:r>
                    <w:rPr>
                      <w:color w:val="231F20"/>
                      <w:w w:val="105"/>
                      <w:sz w:val="18"/>
                    </w:rPr>
                    <w:t>ensure</w:t>
                  </w:r>
                  <w:r>
                    <w:rPr>
                      <w:color w:val="231F20"/>
                      <w:spacing w:val="-9"/>
                      <w:w w:val="105"/>
                      <w:sz w:val="18"/>
                    </w:rPr>
                    <w:t> </w:t>
                  </w:r>
                  <w:r>
                    <w:rPr>
                      <w:color w:val="231F20"/>
                      <w:w w:val="105"/>
                      <w:sz w:val="18"/>
                    </w:rPr>
                    <w:t>a</w:t>
                  </w:r>
                  <w:r>
                    <w:rPr>
                      <w:color w:val="231F20"/>
                      <w:spacing w:val="-9"/>
                      <w:w w:val="105"/>
                      <w:sz w:val="18"/>
                    </w:rPr>
                    <w:t> </w:t>
                  </w:r>
                  <w:r>
                    <w:rPr>
                      <w:color w:val="231F20"/>
                      <w:w w:val="105"/>
                      <w:sz w:val="18"/>
                    </w:rPr>
                    <w:t>constant</w:t>
                  </w:r>
                  <w:r>
                    <w:rPr>
                      <w:color w:val="231F20"/>
                      <w:spacing w:val="-9"/>
                      <w:w w:val="105"/>
                      <w:sz w:val="18"/>
                    </w:rPr>
                    <w:t> </w:t>
                  </w:r>
                  <w:r>
                    <w:rPr>
                      <w:color w:val="231F20"/>
                      <w:w w:val="105"/>
                      <w:sz w:val="18"/>
                    </w:rPr>
                    <w:t>delivery</w:t>
                  </w:r>
                  <w:r>
                    <w:rPr>
                      <w:color w:val="231F20"/>
                      <w:spacing w:val="-9"/>
                      <w:w w:val="105"/>
                      <w:sz w:val="18"/>
                    </w:rPr>
                    <w:t> </w:t>
                  </w:r>
                  <w:r>
                    <w:rPr>
                      <w:color w:val="231F20"/>
                      <w:w w:val="105"/>
                      <w:sz w:val="18"/>
                    </w:rPr>
                    <w:t>of</w:t>
                  </w:r>
                  <w:r>
                    <w:rPr>
                      <w:color w:val="231F20"/>
                      <w:spacing w:val="-9"/>
                      <w:w w:val="105"/>
                      <w:sz w:val="18"/>
                    </w:rPr>
                    <w:t> </w:t>
                  </w:r>
                  <w:r>
                    <w:rPr>
                      <w:color w:val="231F20"/>
                      <w:w w:val="105"/>
                      <w:sz w:val="18"/>
                    </w:rPr>
                    <w:t>sodium chloride</w:t>
                  </w:r>
                  <w:r>
                    <w:rPr>
                      <w:color w:val="231F20"/>
                      <w:spacing w:val="-5"/>
                      <w:w w:val="105"/>
                      <w:sz w:val="18"/>
                    </w:rPr>
                    <w:t> </w:t>
                  </w:r>
                  <w:r>
                    <w:rPr>
                      <w:color w:val="231F20"/>
                      <w:w w:val="105"/>
                      <w:sz w:val="18"/>
                    </w:rPr>
                    <w:t>to</w:t>
                  </w:r>
                  <w:r>
                    <w:rPr>
                      <w:color w:val="231F20"/>
                      <w:spacing w:val="-5"/>
                      <w:w w:val="105"/>
                      <w:sz w:val="18"/>
                    </w:rPr>
                    <w:t> </w:t>
                  </w:r>
                  <w:r>
                    <w:rPr>
                      <w:color w:val="231F20"/>
                      <w:w w:val="105"/>
                      <w:sz w:val="18"/>
                    </w:rPr>
                    <w:t>the</w:t>
                  </w:r>
                  <w:r>
                    <w:rPr>
                      <w:color w:val="231F20"/>
                      <w:spacing w:val="-4"/>
                      <w:w w:val="105"/>
                      <w:sz w:val="18"/>
                    </w:rPr>
                    <w:t> </w:t>
                  </w:r>
                  <w:r>
                    <w:rPr>
                      <w:color w:val="231F20"/>
                      <w:w w:val="105"/>
                      <w:sz w:val="18"/>
                    </w:rPr>
                    <w:t>distal</w:t>
                  </w:r>
                  <w:r>
                    <w:rPr>
                      <w:color w:val="231F20"/>
                      <w:spacing w:val="-5"/>
                      <w:w w:val="105"/>
                      <w:sz w:val="18"/>
                    </w:rPr>
                    <w:t> </w:t>
                  </w:r>
                  <w:r>
                    <w:rPr>
                      <w:color w:val="231F20"/>
                      <w:w w:val="105"/>
                      <w:sz w:val="18"/>
                    </w:rPr>
                    <w:t>tubule,</w:t>
                  </w:r>
                  <w:r>
                    <w:rPr>
                      <w:color w:val="231F20"/>
                      <w:spacing w:val="-4"/>
                      <w:w w:val="105"/>
                      <w:sz w:val="18"/>
                    </w:rPr>
                    <w:t> </w:t>
                  </w:r>
                  <w:r>
                    <w:rPr>
                      <w:color w:val="231F20"/>
                      <w:w w:val="105"/>
                      <w:sz w:val="18"/>
                    </w:rPr>
                    <w:t>where</w:t>
                  </w:r>
                  <w:r>
                    <w:rPr>
                      <w:color w:val="231F20"/>
                      <w:spacing w:val="-5"/>
                      <w:w w:val="105"/>
                      <w:sz w:val="18"/>
                    </w:rPr>
                    <w:t> </w:t>
                  </w:r>
                  <w:r>
                    <w:rPr>
                      <w:color w:val="231F20"/>
                      <w:w w:val="105"/>
                      <w:sz w:val="18"/>
                    </w:rPr>
                    <w:t>final</w:t>
                  </w:r>
                  <w:r>
                    <w:rPr>
                      <w:color w:val="231F20"/>
                      <w:spacing w:val="-5"/>
                      <w:w w:val="105"/>
                      <w:sz w:val="18"/>
                    </w:rPr>
                    <w:t> </w:t>
                  </w:r>
                  <w:r>
                    <w:rPr>
                      <w:color w:val="231F20"/>
                      <w:w w:val="105"/>
                      <w:sz w:val="18"/>
                    </w:rPr>
                    <w:t>processing</w:t>
                  </w:r>
                  <w:r>
                    <w:rPr>
                      <w:color w:val="231F20"/>
                      <w:spacing w:val="-4"/>
                      <w:w w:val="105"/>
                      <w:sz w:val="18"/>
                    </w:rPr>
                    <w:t> </w:t>
                  </w:r>
                  <w:r>
                    <w:rPr>
                      <w:color w:val="231F20"/>
                      <w:w w:val="105"/>
                      <w:sz w:val="18"/>
                    </w:rPr>
                    <w:t>of</w:t>
                  </w:r>
                  <w:r>
                    <w:rPr>
                      <w:color w:val="231F20"/>
                      <w:spacing w:val="-5"/>
                      <w:w w:val="105"/>
                      <w:sz w:val="18"/>
                    </w:rPr>
                    <w:t> </w:t>
                  </w:r>
                  <w:r>
                    <w:rPr>
                      <w:color w:val="231F20"/>
                      <w:w w:val="105"/>
                      <w:sz w:val="18"/>
                    </w:rPr>
                    <w:t>the urine takes place. Thus, disturbances that tend to</w:t>
                  </w:r>
                  <w:r>
                    <w:rPr>
                      <w:color w:val="231F20"/>
                      <w:spacing w:val="-33"/>
                      <w:w w:val="105"/>
                      <w:sz w:val="18"/>
                    </w:rPr>
                    <w:t> </w:t>
                  </w:r>
                  <w:r>
                    <w:rPr>
                      <w:color w:val="231F20"/>
                      <w:w w:val="105"/>
                      <w:sz w:val="18"/>
                    </w:rPr>
                    <w:t>increase reabsorption</w:t>
                  </w:r>
                  <w:r>
                    <w:rPr>
                      <w:color w:val="231F20"/>
                      <w:spacing w:val="-9"/>
                      <w:w w:val="105"/>
                      <w:sz w:val="18"/>
                    </w:rPr>
                    <w:t> </w:t>
                  </w:r>
                  <w:r>
                    <w:rPr>
                      <w:color w:val="231F20"/>
                      <w:w w:val="105"/>
                      <w:sz w:val="18"/>
                    </w:rPr>
                    <w:t>of</w:t>
                  </w:r>
                  <w:r>
                    <w:rPr>
                      <w:color w:val="231F20"/>
                      <w:spacing w:val="-8"/>
                      <w:w w:val="105"/>
                      <w:sz w:val="18"/>
                    </w:rPr>
                    <w:t> </w:t>
                  </w:r>
                  <w:r>
                    <w:rPr>
                      <w:color w:val="231F20"/>
                      <w:w w:val="105"/>
                      <w:sz w:val="18"/>
                    </w:rPr>
                    <w:t>sodium</w:t>
                  </w:r>
                  <w:r>
                    <w:rPr>
                      <w:color w:val="231F20"/>
                      <w:spacing w:val="-9"/>
                      <w:w w:val="105"/>
                      <w:sz w:val="18"/>
                    </w:rPr>
                    <w:t> </w:t>
                  </w:r>
                  <w:r>
                    <w:rPr>
                      <w:color w:val="231F20"/>
                      <w:w w:val="105"/>
                      <w:sz w:val="18"/>
                    </w:rPr>
                    <w:t>chloride</w:t>
                  </w:r>
                  <w:r>
                    <w:rPr>
                      <w:color w:val="231F20"/>
                      <w:spacing w:val="-8"/>
                      <w:w w:val="105"/>
                      <w:sz w:val="18"/>
                    </w:rPr>
                    <w:t> </w:t>
                  </w:r>
                  <w:r>
                    <w:rPr>
                      <w:color w:val="231F20"/>
                      <w:w w:val="105"/>
                      <w:sz w:val="18"/>
                    </w:rPr>
                    <w:t>at</w:t>
                  </w:r>
                  <w:r>
                    <w:rPr>
                      <w:color w:val="231F20"/>
                      <w:spacing w:val="-9"/>
                      <w:w w:val="105"/>
                      <w:sz w:val="18"/>
                    </w:rPr>
                    <w:t> </w:t>
                  </w:r>
                  <w:r>
                    <w:rPr>
                      <w:color w:val="231F20"/>
                      <w:w w:val="105"/>
                      <w:sz w:val="18"/>
                    </w:rPr>
                    <w:t>tubular</w:t>
                  </w:r>
                  <w:r>
                    <w:rPr>
                      <w:color w:val="231F20"/>
                      <w:spacing w:val="-8"/>
                      <w:w w:val="105"/>
                      <w:sz w:val="18"/>
                    </w:rPr>
                    <w:t> </w:t>
                  </w:r>
                  <w:r>
                    <w:rPr>
                      <w:color w:val="231F20"/>
                      <w:w w:val="105"/>
                      <w:sz w:val="18"/>
                    </w:rPr>
                    <w:t>sites</w:t>
                  </w:r>
                  <w:r>
                    <w:rPr>
                      <w:color w:val="231F20"/>
                      <w:spacing w:val="-9"/>
                      <w:w w:val="105"/>
                      <w:sz w:val="18"/>
                    </w:rPr>
                    <w:t> </w:t>
                  </w:r>
                  <w:r>
                    <w:rPr>
                      <w:color w:val="231F20"/>
                      <w:w w:val="105"/>
                      <w:sz w:val="18"/>
                    </w:rPr>
                    <w:t>before</w:t>
                  </w:r>
                  <w:r>
                    <w:rPr>
                      <w:color w:val="231F20"/>
                      <w:spacing w:val="-8"/>
                      <w:w w:val="105"/>
                      <w:sz w:val="18"/>
                    </w:rPr>
                    <w:t> </w:t>
                  </w:r>
                  <w:r>
                    <w:rPr>
                      <w:color w:val="231F20"/>
                      <w:w w:val="105"/>
                      <w:sz w:val="18"/>
                    </w:rPr>
                    <w:t>the macula</w:t>
                  </w:r>
                  <w:r>
                    <w:rPr>
                      <w:color w:val="231F20"/>
                      <w:spacing w:val="-9"/>
                      <w:w w:val="105"/>
                      <w:sz w:val="18"/>
                    </w:rPr>
                    <w:t> </w:t>
                  </w:r>
                  <w:r>
                    <w:rPr>
                      <w:color w:val="231F20"/>
                      <w:w w:val="105"/>
                      <w:sz w:val="18"/>
                    </w:rPr>
                    <w:t>densa</w:t>
                  </w:r>
                  <w:r>
                    <w:rPr>
                      <w:color w:val="231F20"/>
                      <w:spacing w:val="-9"/>
                      <w:w w:val="105"/>
                      <w:sz w:val="18"/>
                    </w:rPr>
                    <w:t> </w:t>
                  </w:r>
                  <w:r>
                    <w:rPr>
                      <w:color w:val="231F20"/>
                      <w:w w:val="105"/>
                      <w:sz w:val="18"/>
                    </w:rPr>
                    <w:t>tend</w:t>
                  </w:r>
                  <w:r>
                    <w:rPr>
                      <w:color w:val="231F20"/>
                      <w:spacing w:val="-9"/>
                      <w:w w:val="105"/>
                      <w:sz w:val="18"/>
                    </w:rPr>
                    <w:t> </w:t>
                  </w:r>
                  <w:r>
                    <w:rPr>
                      <w:color w:val="231F20"/>
                      <w:w w:val="105"/>
                      <w:sz w:val="18"/>
                    </w:rPr>
                    <w:t>to</w:t>
                  </w:r>
                  <w:r>
                    <w:rPr>
                      <w:color w:val="231F20"/>
                      <w:spacing w:val="-9"/>
                      <w:w w:val="105"/>
                      <w:sz w:val="18"/>
                    </w:rPr>
                    <w:t> </w:t>
                  </w:r>
                  <w:r>
                    <w:rPr>
                      <w:color w:val="231F20"/>
                      <w:w w:val="105"/>
                      <w:sz w:val="18"/>
                    </w:rPr>
                    <w:t>elicit</w:t>
                  </w:r>
                  <w:r>
                    <w:rPr>
                      <w:color w:val="231F20"/>
                      <w:spacing w:val="-9"/>
                      <w:w w:val="105"/>
                      <w:sz w:val="18"/>
                    </w:rPr>
                    <w:t> </w:t>
                  </w:r>
                  <w:r>
                    <w:rPr>
                      <w:color w:val="231F20"/>
                      <w:w w:val="105"/>
                      <w:sz w:val="18"/>
                    </w:rPr>
                    <w:t>increased</w:t>
                  </w:r>
                  <w:r>
                    <w:rPr>
                      <w:color w:val="231F20"/>
                      <w:spacing w:val="-8"/>
                      <w:w w:val="105"/>
                      <w:sz w:val="18"/>
                    </w:rPr>
                    <w:t> </w:t>
                  </w:r>
                  <w:r>
                    <w:rPr>
                      <w:color w:val="231F20"/>
                      <w:w w:val="105"/>
                      <w:sz w:val="18"/>
                    </w:rPr>
                    <w:t>renal</w:t>
                  </w:r>
                  <w:r>
                    <w:rPr>
                      <w:color w:val="231F20"/>
                      <w:spacing w:val="-9"/>
                      <w:w w:val="105"/>
                      <w:sz w:val="18"/>
                    </w:rPr>
                    <w:t> </w:t>
                  </w:r>
                  <w:r>
                    <w:rPr>
                      <w:color w:val="231F20"/>
                      <w:w w:val="105"/>
                      <w:sz w:val="18"/>
                    </w:rPr>
                    <w:t>blood</w:t>
                  </w:r>
                  <w:r>
                    <w:rPr>
                      <w:color w:val="231F20"/>
                      <w:spacing w:val="-9"/>
                      <w:w w:val="105"/>
                      <w:sz w:val="18"/>
                    </w:rPr>
                    <w:t> </w:t>
                  </w:r>
                  <w:r>
                    <w:rPr>
                      <w:color w:val="231F20"/>
                      <w:w w:val="105"/>
                      <w:sz w:val="18"/>
                    </w:rPr>
                    <w:t>flow</w:t>
                  </w:r>
                  <w:r>
                    <w:rPr>
                      <w:color w:val="231F20"/>
                      <w:spacing w:val="-9"/>
                      <w:w w:val="105"/>
                      <w:sz w:val="18"/>
                    </w:rPr>
                    <w:t> </w:t>
                  </w:r>
                  <w:r>
                    <w:rPr>
                      <w:color w:val="231F20"/>
                      <w:w w:val="105"/>
                      <w:sz w:val="18"/>
                    </w:rPr>
                    <w:t>and GFR, which helps return distal sodium chloride delivery toward normal so that normal rates of sodium and water excretion can be maintained (see </w:t>
                  </w:r>
                  <w:hyperlink w:history="true" w:anchor="_bookmark38">
                    <w:r>
                      <w:rPr>
                        <w:b/>
                        <w:color w:val="0080AC"/>
                        <w:w w:val="105"/>
                        <w:sz w:val="18"/>
                      </w:rPr>
                      <w:t>Figure</w:t>
                    </w:r>
                    <w:r>
                      <w:rPr>
                        <w:b/>
                        <w:color w:val="0080AC"/>
                        <w:spacing w:val="2"/>
                        <w:w w:val="105"/>
                        <w:sz w:val="18"/>
                      </w:rPr>
                      <w:t> </w:t>
                    </w:r>
                    <w:r>
                      <w:rPr>
                        <w:b/>
                        <w:color w:val="0080AC"/>
                        <w:w w:val="105"/>
                        <w:sz w:val="18"/>
                      </w:rPr>
                      <w:t>27-12</w:t>
                    </w:r>
                  </w:hyperlink>
                  <w:r>
                    <w:rPr>
                      <w:color w:val="231F20"/>
                      <w:w w:val="105"/>
                      <w:sz w:val="18"/>
                    </w:rPr>
                    <w:t>).</w:t>
                  </w:r>
                </w:p>
                <w:p>
                  <w:pPr>
                    <w:spacing w:line="254" w:lineRule="auto" w:before="6"/>
                    <w:ind w:left="179" w:right="177" w:firstLine="239"/>
                    <w:jc w:val="both"/>
                    <w:rPr>
                      <w:sz w:val="18"/>
                    </w:rPr>
                  </w:pPr>
                  <w:r>
                    <w:rPr>
                      <w:color w:val="231F20"/>
                      <w:w w:val="105"/>
                      <w:sz w:val="18"/>
                    </w:rPr>
                    <w:t>An</w:t>
                  </w:r>
                  <w:r>
                    <w:rPr>
                      <w:color w:val="231F20"/>
                      <w:spacing w:val="-7"/>
                      <w:w w:val="105"/>
                      <w:sz w:val="18"/>
                    </w:rPr>
                    <w:t> </w:t>
                  </w:r>
                  <w:r>
                    <w:rPr>
                      <w:color w:val="231F20"/>
                      <w:w w:val="105"/>
                      <w:sz w:val="18"/>
                    </w:rPr>
                    <w:t>opposite</w:t>
                  </w:r>
                  <w:r>
                    <w:rPr>
                      <w:color w:val="231F20"/>
                      <w:spacing w:val="-8"/>
                      <w:w w:val="105"/>
                      <w:sz w:val="18"/>
                    </w:rPr>
                    <w:t> </w:t>
                  </w:r>
                  <w:r>
                    <w:rPr>
                      <w:color w:val="231F20"/>
                      <w:w w:val="105"/>
                      <w:sz w:val="18"/>
                    </w:rPr>
                    <w:t>sequence</w:t>
                  </w:r>
                  <w:r>
                    <w:rPr>
                      <w:color w:val="231F20"/>
                      <w:spacing w:val="-6"/>
                      <w:w w:val="105"/>
                      <w:sz w:val="18"/>
                    </w:rPr>
                    <w:t> </w:t>
                  </w:r>
                  <w:r>
                    <w:rPr>
                      <w:color w:val="231F20"/>
                      <w:w w:val="105"/>
                      <w:sz w:val="18"/>
                    </w:rPr>
                    <w:t>of</w:t>
                  </w:r>
                  <w:r>
                    <w:rPr>
                      <w:color w:val="231F20"/>
                      <w:spacing w:val="-7"/>
                      <w:w w:val="105"/>
                      <w:sz w:val="18"/>
                    </w:rPr>
                    <w:t> </w:t>
                  </w:r>
                  <w:r>
                    <w:rPr>
                      <w:color w:val="231F20"/>
                      <w:w w:val="105"/>
                      <w:sz w:val="18"/>
                    </w:rPr>
                    <w:t>events</w:t>
                  </w:r>
                  <w:r>
                    <w:rPr>
                      <w:color w:val="231F20"/>
                      <w:spacing w:val="-6"/>
                      <w:w w:val="105"/>
                      <w:sz w:val="18"/>
                    </w:rPr>
                    <w:t> </w:t>
                  </w:r>
                  <w:r>
                    <w:rPr>
                      <w:color w:val="231F20"/>
                      <w:w w:val="105"/>
                      <w:sz w:val="18"/>
                    </w:rPr>
                    <w:t>occurs</w:t>
                  </w:r>
                  <w:r>
                    <w:rPr>
                      <w:color w:val="231F20"/>
                      <w:spacing w:val="-6"/>
                      <w:w w:val="105"/>
                      <w:sz w:val="18"/>
                    </w:rPr>
                    <w:t> </w:t>
                  </w:r>
                  <w:r>
                    <w:rPr>
                      <w:color w:val="231F20"/>
                      <w:w w:val="105"/>
                      <w:sz w:val="18"/>
                    </w:rPr>
                    <w:t>when</w:t>
                  </w:r>
                  <w:r>
                    <w:rPr>
                      <w:color w:val="231F20"/>
                      <w:spacing w:val="-7"/>
                      <w:w w:val="105"/>
                      <w:sz w:val="18"/>
                    </w:rPr>
                    <w:t> </w:t>
                  </w:r>
                  <w:r>
                    <w:rPr>
                      <w:color w:val="231F20"/>
                      <w:w w:val="105"/>
                      <w:sz w:val="18"/>
                    </w:rPr>
                    <w:t>proximal tubular reabsorption is reduced. </w:t>
                  </w:r>
                  <w:r>
                    <w:rPr>
                      <w:color w:val="231F20"/>
                      <w:spacing w:val="-3"/>
                      <w:w w:val="105"/>
                      <w:sz w:val="18"/>
                    </w:rPr>
                    <w:t>For </w:t>
                  </w:r>
                  <w:r>
                    <w:rPr>
                      <w:color w:val="231F20"/>
                      <w:w w:val="105"/>
                      <w:sz w:val="18"/>
                    </w:rPr>
                    <w:t>example, when the proximal</w:t>
                  </w:r>
                  <w:r>
                    <w:rPr>
                      <w:color w:val="231F20"/>
                      <w:spacing w:val="-14"/>
                      <w:w w:val="105"/>
                      <w:sz w:val="18"/>
                    </w:rPr>
                    <w:t> </w:t>
                  </w:r>
                  <w:r>
                    <w:rPr>
                      <w:color w:val="231F20"/>
                      <w:w w:val="105"/>
                      <w:sz w:val="18"/>
                    </w:rPr>
                    <w:t>tubules</w:t>
                  </w:r>
                  <w:r>
                    <w:rPr>
                      <w:color w:val="231F20"/>
                      <w:spacing w:val="-14"/>
                      <w:w w:val="105"/>
                      <w:sz w:val="18"/>
                    </w:rPr>
                    <w:t> </w:t>
                  </w:r>
                  <w:r>
                    <w:rPr>
                      <w:color w:val="231F20"/>
                      <w:w w:val="105"/>
                      <w:sz w:val="18"/>
                    </w:rPr>
                    <w:t>are</w:t>
                  </w:r>
                  <w:r>
                    <w:rPr>
                      <w:color w:val="231F20"/>
                      <w:spacing w:val="-14"/>
                      <w:w w:val="105"/>
                      <w:sz w:val="18"/>
                    </w:rPr>
                    <w:t> </w:t>
                  </w:r>
                  <w:r>
                    <w:rPr>
                      <w:color w:val="231F20"/>
                      <w:w w:val="105"/>
                      <w:sz w:val="18"/>
                    </w:rPr>
                    <w:t>damaged</w:t>
                  </w:r>
                  <w:r>
                    <w:rPr>
                      <w:color w:val="231F20"/>
                      <w:spacing w:val="-14"/>
                      <w:w w:val="105"/>
                      <w:sz w:val="18"/>
                    </w:rPr>
                    <w:t> </w:t>
                  </w:r>
                  <w:r>
                    <w:rPr>
                      <w:color w:val="231F20"/>
                      <w:w w:val="105"/>
                      <w:sz w:val="18"/>
                    </w:rPr>
                    <w:t>(which</w:t>
                  </w:r>
                  <w:r>
                    <w:rPr>
                      <w:color w:val="231F20"/>
                      <w:spacing w:val="-14"/>
                      <w:w w:val="105"/>
                      <w:sz w:val="18"/>
                    </w:rPr>
                    <w:t> </w:t>
                  </w:r>
                  <w:r>
                    <w:rPr>
                      <w:color w:val="231F20"/>
                      <w:w w:val="105"/>
                      <w:sz w:val="18"/>
                    </w:rPr>
                    <w:t>can</w:t>
                  </w:r>
                  <w:r>
                    <w:rPr>
                      <w:color w:val="231F20"/>
                      <w:spacing w:val="-13"/>
                      <w:w w:val="105"/>
                      <w:sz w:val="18"/>
                    </w:rPr>
                    <w:t> </w:t>
                  </w:r>
                  <w:r>
                    <w:rPr>
                      <w:color w:val="231F20"/>
                      <w:w w:val="105"/>
                      <w:sz w:val="18"/>
                    </w:rPr>
                    <w:t>occur</w:t>
                  </w:r>
                  <w:r>
                    <w:rPr>
                      <w:color w:val="231F20"/>
                      <w:spacing w:val="-14"/>
                      <w:w w:val="105"/>
                      <w:sz w:val="18"/>
                    </w:rPr>
                    <w:t> </w:t>
                  </w:r>
                  <w:r>
                    <w:rPr>
                      <w:color w:val="231F20"/>
                      <w:w w:val="105"/>
                      <w:sz w:val="18"/>
                    </w:rPr>
                    <w:t>as</w:t>
                  </w:r>
                  <w:r>
                    <w:rPr>
                      <w:color w:val="231F20"/>
                      <w:spacing w:val="-14"/>
                      <w:w w:val="105"/>
                      <w:sz w:val="18"/>
                    </w:rPr>
                    <w:t> </w:t>
                  </w:r>
                  <w:r>
                    <w:rPr>
                      <w:color w:val="231F20"/>
                      <w:w w:val="105"/>
                      <w:sz w:val="18"/>
                    </w:rPr>
                    <w:t>a</w:t>
                  </w:r>
                  <w:r>
                    <w:rPr>
                      <w:color w:val="231F20"/>
                      <w:spacing w:val="-14"/>
                      <w:w w:val="105"/>
                      <w:sz w:val="18"/>
                    </w:rPr>
                    <w:t> </w:t>
                  </w:r>
                  <w:r>
                    <w:rPr>
                      <w:color w:val="231F20"/>
                      <w:w w:val="105"/>
                      <w:sz w:val="18"/>
                    </w:rPr>
                    <w:t>result of poisoning by heavy metals, such as mercury, or large doses</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drugs,</w:t>
                  </w:r>
                  <w:r>
                    <w:rPr>
                      <w:color w:val="231F20"/>
                      <w:spacing w:val="-10"/>
                      <w:w w:val="105"/>
                      <w:sz w:val="18"/>
                    </w:rPr>
                    <w:t> </w:t>
                  </w:r>
                  <w:r>
                    <w:rPr>
                      <w:color w:val="231F20"/>
                      <w:w w:val="105"/>
                      <w:sz w:val="18"/>
                    </w:rPr>
                    <w:t>such</w:t>
                  </w:r>
                  <w:r>
                    <w:rPr>
                      <w:color w:val="231F20"/>
                      <w:spacing w:val="-11"/>
                      <w:w w:val="105"/>
                      <w:sz w:val="18"/>
                    </w:rPr>
                    <w:t> </w:t>
                  </w:r>
                  <w:r>
                    <w:rPr>
                      <w:color w:val="231F20"/>
                      <w:w w:val="105"/>
                      <w:sz w:val="18"/>
                    </w:rPr>
                    <w:t>as</w:t>
                  </w:r>
                  <w:r>
                    <w:rPr>
                      <w:color w:val="231F20"/>
                      <w:spacing w:val="-11"/>
                      <w:w w:val="105"/>
                      <w:sz w:val="18"/>
                    </w:rPr>
                    <w:t> </w:t>
                  </w:r>
                  <w:r>
                    <w:rPr>
                      <w:color w:val="231F20"/>
                      <w:w w:val="105"/>
                      <w:sz w:val="18"/>
                    </w:rPr>
                    <w:t>tetracyclines),</w:t>
                  </w:r>
                  <w:r>
                    <w:rPr>
                      <w:color w:val="231F20"/>
                      <w:spacing w:val="-10"/>
                      <w:w w:val="105"/>
                      <w:sz w:val="18"/>
                    </w:rPr>
                    <w:t> </w:t>
                  </w:r>
                  <w:r>
                    <w:rPr>
                      <w:color w:val="231F20"/>
                      <w:w w:val="105"/>
                      <w:sz w:val="18"/>
                    </w:rPr>
                    <w:t>their</w:t>
                  </w:r>
                  <w:r>
                    <w:rPr>
                      <w:color w:val="231F20"/>
                      <w:spacing w:val="-11"/>
                      <w:w w:val="105"/>
                      <w:sz w:val="18"/>
                    </w:rPr>
                    <w:t> </w:t>
                  </w:r>
                  <w:r>
                    <w:rPr>
                      <w:color w:val="231F20"/>
                      <w:w w:val="105"/>
                      <w:sz w:val="18"/>
                    </w:rPr>
                    <w:t>ability</w:t>
                  </w:r>
                  <w:r>
                    <w:rPr>
                      <w:color w:val="231F20"/>
                      <w:spacing w:val="-11"/>
                      <w:w w:val="105"/>
                      <w:sz w:val="18"/>
                    </w:rPr>
                    <w:t> </w:t>
                  </w:r>
                  <w:r>
                    <w:rPr>
                      <w:color w:val="231F20"/>
                      <w:w w:val="105"/>
                      <w:sz w:val="18"/>
                    </w:rPr>
                    <w:t>to</w:t>
                  </w:r>
                  <w:r>
                    <w:rPr>
                      <w:color w:val="231F20"/>
                      <w:spacing w:val="-10"/>
                      <w:w w:val="105"/>
                      <w:sz w:val="18"/>
                    </w:rPr>
                    <w:t> </w:t>
                  </w:r>
                  <w:r>
                    <w:rPr>
                      <w:color w:val="231F20"/>
                      <w:w w:val="105"/>
                      <w:sz w:val="18"/>
                    </w:rPr>
                    <w:t>reab­ sorb</w:t>
                  </w:r>
                  <w:r>
                    <w:rPr>
                      <w:color w:val="231F20"/>
                      <w:spacing w:val="-21"/>
                      <w:w w:val="105"/>
                      <w:sz w:val="18"/>
                    </w:rPr>
                    <w:t> </w:t>
                  </w:r>
                  <w:r>
                    <w:rPr>
                      <w:color w:val="231F20"/>
                      <w:w w:val="105"/>
                      <w:sz w:val="18"/>
                    </w:rPr>
                    <w:t>sodium</w:t>
                  </w:r>
                  <w:r>
                    <w:rPr>
                      <w:color w:val="231F20"/>
                      <w:spacing w:val="-21"/>
                      <w:w w:val="105"/>
                      <w:sz w:val="18"/>
                    </w:rPr>
                    <w:t> </w:t>
                  </w:r>
                  <w:r>
                    <w:rPr>
                      <w:color w:val="231F20"/>
                      <w:w w:val="105"/>
                      <w:sz w:val="18"/>
                    </w:rPr>
                    <w:t>chloride</w:t>
                  </w:r>
                  <w:r>
                    <w:rPr>
                      <w:color w:val="231F20"/>
                      <w:spacing w:val="-21"/>
                      <w:w w:val="105"/>
                      <w:sz w:val="18"/>
                    </w:rPr>
                    <w:t> </w:t>
                  </w:r>
                  <w:r>
                    <w:rPr>
                      <w:color w:val="231F20"/>
                      <w:w w:val="105"/>
                      <w:sz w:val="18"/>
                    </w:rPr>
                    <w:t>is</w:t>
                  </w:r>
                  <w:r>
                    <w:rPr>
                      <w:color w:val="231F20"/>
                      <w:spacing w:val="-21"/>
                      <w:w w:val="105"/>
                      <w:sz w:val="18"/>
                    </w:rPr>
                    <w:t> </w:t>
                  </w:r>
                  <w:r>
                    <w:rPr>
                      <w:color w:val="231F20"/>
                      <w:w w:val="105"/>
                      <w:sz w:val="18"/>
                    </w:rPr>
                    <w:t>decreased.</w:t>
                  </w:r>
                  <w:r>
                    <w:rPr>
                      <w:color w:val="231F20"/>
                      <w:spacing w:val="-21"/>
                      <w:w w:val="105"/>
                      <w:sz w:val="18"/>
                    </w:rPr>
                    <w:t> </w:t>
                  </w:r>
                  <w:r>
                    <w:rPr>
                      <w:color w:val="231F20"/>
                      <w:w w:val="105"/>
                      <w:sz w:val="18"/>
                    </w:rPr>
                    <w:t>As</w:t>
                  </w:r>
                  <w:r>
                    <w:rPr>
                      <w:color w:val="231F20"/>
                      <w:spacing w:val="-21"/>
                      <w:w w:val="105"/>
                      <w:sz w:val="18"/>
                    </w:rPr>
                    <w:t> </w:t>
                  </w:r>
                  <w:r>
                    <w:rPr>
                      <w:color w:val="231F20"/>
                      <w:w w:val="105"/>
                      <w:sz w:val="18"/>
                    </w:rPr>
                    <w:t>a</w:t>
                  </w:r>
                  <w:r>
                    <w:rPr>
                      <w:color w:val="231F20"/>
                      <w:spacing w:val="-21"/>
                      <w:w w:val="105"/>
                      <w:sz w:val="18"/>
                    </w:rPr>
                    <w:t> </w:t>
                  </w:r>
                  <w:r>
                    <w:rPr>
                      <w:color w:val="231F20"/>
                      <w:w w:val="105"/>
                      <w:sz w:val="18"/>
                    </w:rPr>
                    <w:t>consequence,</w:t>
                  </w:r>
                  <w:r>
                    <w:rPr>
                      <w:color w:val="231F20"/>
                      <w:spacing w:val="-21"/>
                      <w:w w:val="105"/>
                      <w:sz w:val="18"/>
                    </w:rPr>
                    <w:t> </w:t>
                  </w:r>
                  <w:r>
                    <w:rPr>
                      <w:color w:val="231F20"/>
                      <w:w w:val="105"/>
                      <w:sz w:val="18"/>
                    </w:rPr>
                    <w:t>large amounts of sodium chloride are delivered to the distal tubule and, without appropriate compensations, </w:t>
                  </w:r>
                  <w:r>
                    <w:rPr>
                      <w:color w:val="231F20"/>
                      <w:spacing w:val="-3"/>
                      <w:w w:val="105"/>
                      <w:sz w:val="18"/>
                    </w:rPr>
                    <w:t>would </w:t>
                  </w:r>
                  <w:r>
                    <w:rPr>
                      <w:color w:val="231F20"/>
                      <w:w w:val="105"/>
                      <w:sz w:val="18"/>
                    </w:rPr>
                    <w:t>quickly cause excessive volume depletion. One of the important compensatory responses appears to be a tubu­ loglomerular feedback–mediated renal vasoconstriction that occurs in response to the increased sodium chloride delivery</w:t>
                  </w:r>
                  <w:r>
                    <w:rPr>
                      <w:color w:val="231F20"/>
                      <w:spacing w:val="-18"/>
                      <w:w w:val="105"/>
                      <w:sz w:val="18"/>
                    </w:rPr>
                    <w:t> </w:t>
                  </w:r>
                  <w:r>
                    <w:rPr>
                      <w:color w:val="231F20"/>
                      <w:w w:val="105"/>
                      <w:sz w:val="18"/>
                    </w:rPr>
                    <w:t>to</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macula</w:t>
                  </w:r>
                  <w:r>
                    <w:rPr>
                      <w:color w:val="231F20"/>
                      <w:spacing w:val="-17"/>
                      <w:w w:val="105"/>
                      <w:sz w:val="18"/>
                    </w:rPr>
                    <w:t> </w:t>
                  </w:r>
                  <w:r>
                    <w:rPr>
                      <w:color w:val="231F20"/>
                      <w:w w:val="105"/>
                      <w:sz w:val="18"/>
                    </w:rPr>
                    <w:t>densa</w:t>
                  </w:r>
                  <w:r>
                    <w:rPr>
                      <w:color w:val="231F20"/>
                      <w:spacing w:val="-18"/>
                      <w:w w:val="105"/>
                      <w:sz w:val="18"/>
                    </w:rPr>
                    <w:t> </w:t>
                  </w:r>
                  <w:r>
                    <w:rPr>
                      <w:color w:val="231F20"/>
                      <w:w w:val="105"/>
                      <w:sz w:val="18"/>
                    </w:rPr>
                    <w:t>in</w:t>
                  </w:r>
                  <w:r>
                    <w:rPr>
                      <w:color w:val="231F20"/>
                      <w:spacing w:val="-18"/>
                      <w:w w:val="105"/>
                      <w:sz w:val="18"/>
                    </w:rPr>
                    <w:t> </w:t>
                  </w:r>
                  <w:r>
                    <w:rPr>
                      <w:color w:val="231F20"/>
                      <w:w w:val="105"/>
                      <w:sz w:val="18"/>
                    </w:rPr>
                    <w:t>these</w:t>
                  </w:r>
                  <w:r>
                    <w:rPr>
                      <w:color w:val="231F20"/>
                      <w:spacing w:val="-18"/>
                      <w:w w:val="105"/>
                      <w:sz w:val="18"/>
                    </w:rPr>
                    <w:t> </w:t>
                  </w:r>
                  <w:r>
                    <w:rPr>
                      <w:color w:val="231F20"/>
                      <w:w w:val="105"/>
                      <w:sz w:val="18"/>
                    </w:rPr>
                    <w:t>circumstances.</w:t>
                  </w:r>
                  <w:r>
                    <w:rPr>
                      <w:color w:val="231F20"/>
                      <w:spacing w:val="-17"/>
                      <w:w w:val="105"/>
                      <w:sz w:val="18"/>
                    </w:rPr>
                    <w:t> </w:t>
                  </w:r>
                  <w:r>
                    <w:rPr>
                      <w:color w:val="231F20"/>
                      <w:w w:val="105"/>
                      <w:sz w:val="18"/>
                    </w:rPr>
                    <w:t>These examples again demonstrate the importance of this feed­ back</w:t>
                  </w:r>
                  <w:r>
                    <w:rPr>
                      <w:color w:val="231F20"/>
                      <w:spacing w:val="-13"/>
                      <w:w w:val="105"/>
                      <w:sz w:val="18"/>
                    </w:rPr>
                    <w:t> </w:t>
                  </w:r>
                  <w:r>
                    <w:rPr>
                      <w:color w:val="231F20"/>
                      <w:w w:val="105"/>
                      <w:sz w:val="18"/>
                    </w:rPr>
                    <w:t>mechanism</w:t>
                  </w:r>
                  <w:r>
                    <w:rPr>
                      <w:color w:val="231F20"/>
                      <w:spacing w:val="-12"/>
                      <w:w w:val="105"/>
                      <w:sz w:val="18"/>
                    </w:rPr>
                    <w:t> </w:t>
                  </w:r>
                  <w:r>
                    <w:rPr>
                      <w:color w:val="231F20"/>
                      <w:w w:val="105"/>
                      <w:sz w:val="18"/>
                    </w:rPr>
                    <w:t>in</w:t>
                  </w:r>
                  <w:r>
                    <w:rPr>
                      <w:color w:val="231F20"/>
                      <w:spacing w:val="-12"/>
                      <w:w w:val="105"/>
                      <w:sz w:val="18"/>
                    </w:rPr>
                    <w:t> </w:t>
                  </w:r>
                  <w:r>
                    <w:rPr>
                      <w:color w:val="231F20"/>
                      <w:w w:val="105"/>
                      <w:sz w:val="18"/>
                    </w:rPr>
                    <w:t>ensuring</w:t>
                  </w:r>
                  <w:r>
                    <w:rPr>
                      <w:color w:val="231F20"/>
                      <w:spacing w:val="-13"/>
                      <w:w w:val="105"/>
                      <w:sz w:val="18"/>
                    </w:rPr>
                    <w:t> </w:t>
                  </w:r>
                  <w:r>
                    <w:rPr>
                      <w:color w:val="231F20"/>
                      <w:w w:val="105"/>
                      <w:sz w:val="18"/>
                    </w:rPr>
                    <w:t>that</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distal</w:t>
                  </w:r>
                  <w:r>
                    <w:rPr>
                      <w:color w:val="231F20"/>
                      <w:spacing w:val="-12"/>
                      <w:w w:val="105"/>
                      <w:sz w:val="18"/>
                    </w:rPr>
                    <w:t> </w:t>
                  </w:r>
                  <w:r>
                    <w:rPr>
                      <w:color w:val="231F20"/>
                      <w:w w:val="105"/>
                      <w:sz w:val="18"/>
                    </w:rPr>
                    <w:t>tubule</w:t>
                  </w:r>
                  <w:r>
                    <w:rPr>
                      <w:color w:val="231F20"/>
                      <w:spacing w:val="-13"/>
                      <w:w w:val="105"/>
                      <w:sz w:val="18"/>
                    </w:rPr>
                    <w:t> </w:t>
                  </w:r>
                  <w:r>
                    <w:rPr>
                      <w:color w:val="231F20"/>
                      <w:w w:val="105"/>
                      <w:sz w:val="18"/>
                    </w:rPr>
                    <w:t>receives the</w:t>
                  </w:r>
                  <w:r>
                    <w:rPr>
                      <w:color w:val="231F20"/>
                      <w:spacing w:val="-23"/>
                      <w:w w:val="105"/>
                      <w:sz w:val="18"/>
                    </w:rPr>
                    <w:t> </w:t>
                  </w:r>
                  <w:r>
                    <w:rPr>
                      <w:color w:val="231F20"/>
                      <w:w w:val="105"/>
                      <w:sz w:val="18"/>
                    </w:rPr>
                    <w:t>proper</w:t>
                  </w:r>
                  <w:r>
                    <w:rPr>
                      <w:color w:val="231F20"/>
                      <w:spacing w:val="-23"/>
                      <w:w w:val="105"/>
                      <w:sz w:val="18"/>
                    </w:rPr>
                    <w:t> </w:t>
                  </w:r>
                  <w:r>
                    <w:rPr>
                      <w:color w:val="231F20"/>
                      <w:w w:val="105"/>
                      <w:sz w:val="18"/>
                    </w:rPr>
                    <w:t>rate</w:t>
                  </w:r>
                  <w:r>
                    <w:rPr>
                      <w:color w:val="231F20"/>
                      <w:spacing w:val="-22"/>
                      <w:w w:val="105"/>
                      <w:sz w:val="18"/>
                    </w:rPr>
                    <w:t> </w:t>
                  </w:r>
                  <w:r>
                    <w:rPr>
                      <w:color w:val="231F20"/>
                      <w:w w:val="105"/>
                      <w:sz w:val="18"/>
                    </w:rPr>
                    <w:t>of</w:t>
                  </w:r>
                  <w:r>
                    <w:rPr>
                      <w:color w:val="231F20"/>
                      <w:spacing w:val="-23"/>
                      <w:w w:val="105"/>
                      <w:sz w:val="18"/>
                    </w:rPr>
                    <w:t> </w:t>
                  </w:r>
                  <w:r>
                    <w:rPr>
                      <w:color w:val="231F20"/>
                      <w:w w:val="105"/>
                      <w:sz w:val="18"/>
                    </w:rPr>
                    <w:t>delivery</w:t>
                  </w:r>
                  <w:r>
                    <w:rPr>
                      <w:color w:val="231F20"/>
                      <w:spacing w:val="-22"/>
                      <w:w w:val="105"/>
                      <w:sz w:val="18"/>
                    </w:rPr>
                    <w:t> </w:t>
                  </w:r>
                  <w:r>
                    <w:rPr>
                      <w:color w:val="231F20"/>
                      <w:w w:val="105"/>
                      <w:sz w:val="18"/>
                    </w:rPr>
                    <w:t>of</w:t>
                  </w:r>
                  <w:r>
                    <w:rPr>
                      <w:color w:val="231F20"/>
                      <w:spacing w:val="-23"/>
                      <w:w w:val="105"/>
                      <w:sz w:val="18"/>
                    </w:rPr>
                    <w:t> </w:t>
                  </w:r>
                  <w:r>
                    <w:rPr>
                      <w:color w:val="231F20"/>
                      <w:w w:val="105"/>
                      <w:sz w:val="18"/>
                    </w:rPr>
                    <w:t>sodium</w:t>
                  </w:r>
                  <w:r>
                    <w:rPr>
                      <w:color w:val="231F20"/>
                      <w:spacing w:val="-23"/>
                      <w:w w:val="105"/>
                      <w:sz w:val="18"/>
                    </w:rPr>
                    <w:t> </w:t>
                  </w:r>
                  <w:r>
                    <w:rPr>
                      <w:color w:val="231F20"/>
                      <w:w w:val="105"/>
                      <w:sz w:val="18"/>
                    </w:rPr>
                    <w:t>chloride,</w:t>
                  </w:r>
                  <w:r>
                    <w:rPr>
                      <w:color w:val="231F20"/>
                      <w:spacing w:val="-22"/>
                      <w:w w:val="105"/>
                      <w:sz w:val="18"/>
                    </w:rPr>
                    <w:t> </w:t>
                  </w:r>
                  <w:r>
                    <w:rPr>
                      <w:color w:val="231F20"/>
                      <w:w w:val="105"/>
                      <w:sz w:val="18"/>
                    </w:rPr>
                    <w:t>other</w:t>
                  </w:r>
                  <w:r>
                    <w:rPr>
                      <w:color w:val="231F20"/>
                      <w:spacing w:val="-23"/>
                      <w:w w:val="105"/>
                      <w:sz w:val="18"/>
                    </w:rPr>
                    <w:t> </w:t>
                  </w:r>
                  <w:r>
                    <w:rPr>
                      <w:color w:val="231F20"/>
                      <w:w w:val="105"/>
                      <w:sz w:val="18"/>
                    </w:rPr>
                    <w:t>tubular fluid</w:t>
                  </w:r>
                  <w:r>
                    <w:rPr>
                      <w:color w:val="231F20"/>
                      <w:spacing w:val="-5"/>
                      <w:w w:val="105"/>
                      <w:sz w:val="18"/>
                    </w:rPr>
                    <w:t> </w:t>
                  </w:r>
                  <w:r>
                    <w:rPr>
                      <w:color w:val="231F20"/>
                      <w:w w:val="105"/>
                      <w:sz w:val="18"/>
                    </w:rPr>
                    <w:t>solutes,</w:t>
                  </w:r>
                  <w:r>
                    <w:rPr>
                      <w:color w:val="231F20"/>
                      <w:spacing w:val="-5"/>
                      <w:w w:val="105"/>
                      <w:sz w:val="18"/>
                    </w:rPr>
                    <w:t> </w:t>
                  </w:r>
                  <w:r>
                    <w:rPr>
                      <w:color w:val="231F20"/>
                      <w:w w:val="105"/>
                      <w:sz w:val="18"/>
                    </w:rPr>
                    <w:t>and</w:t>
                  </w:r>
                  <w:r>
                    <w:rPr>
                      <w:color w:val="231F20"/>
                      <w:spacing w:val="-4"/>
                      <w:w w:val="105"/>
                      <w:sz w:val="18"/>
                    </w:rPr>
                    <w:t> </w:t>
                  </w:r>
                  <w:r>
                    <w:rPr>
                      <w:color w:val="231F20"/>
                      <w:w w:val="105"/>
                      <w:sz w:val="18"/>
                    </w:rPr>
                    <w:t>tubular</w:t>
                  </w:r>
                  <w:r>
                    <w:rPr>
                      <w:color w:val="231F20"/>
                      <w:spacing w:val="-5"/>
                      <w:w w:val="105"/>
                      <w:sz w:val="18"/>
                    </w:rPr>
                    <w:t> </w:t>
                  </w:r>
                  <w:r>
                    <w:rPr>
                      <w:color w:val="231F20"/>
                      <w:w w:val="105"/>
                      <w:sz w:val="18"/>
                    </w:rPr>
                    <w:t>fluid</w:t>
                  </w:r>
                  <w:r>
                    <w:rPr>
                      <w:color w:val="231F20"/>
                      <w:spacing w:val="-5"/>
                      <w:w w:val="105"/>
                      <w:sz w:val="18"/>
                    </w:rPr>
                    <w:t> </w:t>
                  </w:r>
                  <w:r>
                    <w:rPr>
                      <w:color w:val="231F20"/>
                      <w:w w:val="105"/>
                      <w:sz w:val="18"/>
                    </w:rPr>
                    <w:t>volume</w:t>
                  </w:r>
                  <w:r>
                    <w:rPr>
                      <w:color w:val="231F20"/>
                      <w:spacing w:val="-4"/>
                      <w:w w:val="105"/>
                      <w:sz w:val="18"/>
                    </w:rPr>
                    <w:t> </w:t>
                  </w:r>
                  <w:r>
                    <w:rPr>
                      <w:color w:val="231F20"/>
                      <w:w w:val="105"/>
                      <w:sz w:val="18"/>
                    </w:rPr>
                    <w:t>so</w:t>
                  </w:r>
                  <w:r>
                    <w:rPr>
                      <w:color w:val="231F20"/>
                      <w:spacing w:val="-5"/>
                      <w:w w:val="105"/>
                      <w:sz w:val="18"/>
                    </w:rPr>
                    <w:t> </w:t>
                  </w:r>
                  <w:r>
                    <w:rPr>
                      <w:color w:val="231F20"/>
                      <w:w w:val="105"/>
                      <w:sz w:val="18"/>
                    </w:rPr>
                    <w:t>that</w:t>
                  </w:r>
                  <w:r>
                    <w:rPr>
                      <w:color w:val="231F20"/>
                      <w:spacing w:val="-5"/>
                      <w:w w:val="105"/>
                      <w:sz w:val="18"/>
                    </w:rPr>
                    <w:t> </w:t>
                  </w:r>
                  <w:r>
                    <w:rPr>
                      <w:color w:val="231F20"/>
                      <w:w w:val="105"/>
                      <w:sz w:val="18"/>
                    </w:rPr>
                    <w:t>appropriate amounts of these substances are excreted in the urine.</w:t>
                  </w:r>
                </w:p>
              </w:txbxContent>
            </v:textbox>
            <v:fill type="solid"/>
            <w10:wrap type="topAndBottom"/>
          </v:shape>
        </w:pict>
      </w:r>
    </w:p>
    <w:p>
      <w:pPr>
        <w:spacing w:after="0"/>
        <w:rPr>
          <w:rFonts w:ascii="Arial"/>
          <w:sz w:val="19"/>
        </w:rPr>
        <w:sectPr>
          <w:headerReference w:type="default" r:id="rId445"/>
          <w:pgSz w:w="12240" w:h="15660"/>
          <w:pgMar w:header="0" w:footer="567" w:top="0" w:bottom="760" w:left="0" w:right="0"/>
        </w:sectPr>
      </w:pPr>
    </w:p>
    <w:p>
      <w:pPr>
        <w:pStyle w:val="BodyText"/>
        <w:spacing w:before="11"/>
        <w:rPr>
          <w:rFonts w:ascii="Arial"/>
          <w:sz w:val="19"/>
        </w:rPr>
      </w:pPr>
    </w:p>
    <w:p>
      <w:pPr>
        <w:spacing w:after="0"/>
        <w:rPr>
          <w:rFonts w:ascii="Arial"/>
          <w:sz w:val="19"/>
        </w:rPr>
        <w:sectPr>
          <w:headerReference w:type="even" r:id="rId454"/>
          <w:footerReference w:type="even" r:id="rId455"/>
          <w:footerReference w:type="default" r:id="rId456"/>
          <w:pgSz w:w="12240" w:h="15660"/>
          <w:pgMar w:header="0" w:footer="567" w:top="720" w:bottom="760" w:left="0" w:right="0"/>
          <w:pgNumType w:start="346"/>
        </w:sectPr>
      </w:pPr>
    </w:p>
    <w:p>
      <w:pPr>
        <w:pStyle w:val="Heading1"/>
        <w:spacing w:before="93"/>
        <w:ind w:left="1080"/>
      </w:pPr>
      <w:r>
        <w:rPr>
          <w:color w:val="231F20"/>
        </w:rPr>
        <w:t>Bibliography</w:t>
      </w:r>
    </w:p>
    <w:p>
      <w:pPr>
        <w:spacing w:line="261" w:lineRule="auto" w:before="99"/>
        <w:ind w:left="1240" w:right="0" w:hanging="160"/>
        <w:jc w:val="both"/>
        <w:rPr>
          <w:rFonts w:ascii="Arial"/>
          <w:sz w:val="16"/>
        </w:rPr>
      </w:pPr>
      <w:r>
        <w:rPr>
          <w:rFonts w:ascii="Arial"/>
          <w:color w:val="231F20"/>
          <w:sz w:val="16"/>
        </w:rPr>
        <w:t>Bidani AK, Griffin KA, Williamson G, et al: Protective importance</w:t>
      </w:r>
      <w:r>
        <w:rPr>
          <w:rFonts w:ascii="Arial"/>
          <w:color w:val="231F20"/>
          <w:spacing w:val="-30"/>
          <w:sz w:val="16"/>
        </w:rPr>
        <w:t> </w:t>
      </w:r>
      <w:r>
        <w:rPr>
          <w:rFonts w:ascii="Arial"/>
          <w:color w:val="231F20"/>
          <w:spacing w:val="-9"/>
          <w:sz w:val="16"/>
        </w:rPr>
        <w:t>of </w:t>
      </w:r>
      <w:r>
        <w:rPr>
          <w:rFonts w:ascii="Arial"/>
          <w:color w:val="231F20"/>
          <w:sz w:val="16"/>
        </w:rPr>
        <w:t>the myogenic response in the renal circulation. </w:t>
      </w:r>
      <w:r>
        <w:rPr>
          <w:rFonts w:ascii="Arial"/>
          <w:color w:val="231F20"/>
          <w:spacing w:val="-2"/>
          <w:sz w:val="16"/>
        </w:rPr>
        <w:t>Hypertension </w:t>
      </w:r>
      <w:r>
        <w:rPr>
          <w:rFonts w:ascii="Arial"/>
          <w:color w:val="231F20"/>
          <w:sz w:val="16"/>
        </w:rPr>
        <w:t>54(2):393,</w:t>
      </w:r>
      <w:r>
        <w:rPr>
          <w:rFonts w:ascii="Arial"/>
          <w:color w:val="231F20"/>
          <w:spacing w:val="7"/>
          <w:sz w:val="16"/>
        </w:rPr>
        <w:t> </w:t>
      </w:r>
      <w:r>
        <w:rPr>
          <w:rFonts w:ascii="Arial"/>
          <w:color w:val="231F20"/>
          <w:sz w:val="16"/>
        </w:rPr>
        <w:t>2009.</w:t>
      </w:r>
    </w:p>
    <w:p>
      <w:pPr>
        <w:spacing w:line="261" w:lineRule="auto" w:before="0"/>
        <w:ind w:left="1240" w:right="0" w:hanging="160"/>
        <w:jc w:val="both"/>
        <w:rPr>
          <w:rFonts w:ascii="Arial"/>
          <w:sz w:val="16"/>
        </w:rPr>
      </w:pPr>
      <w:r>
        <w:rPr>
          <w:rFonts w:ascii="Arial"/>
          <w:color w:val="231F20"/>
          <w:sz w:val="16"/>
        </w:rPr>
        <w:t>Bidani</w:t>
      </w:r>
      <w:r>
        <w:rPr>
          <w:rFonts w:ascii="Arial"/>
          <w:color w:val="231F20"/>
          <w:spacing w:val="-21"/>
          <w:sz w:val="16"/>
        </w:rPr>
        <w:t> </w:t>
      </w:r>
      <w:r>
        <w:rPr>
          <w:rFonts w:ascii="Arial"/>
          <w:color w:val="231F20"/>
          <w:sz w:val="16"/>
        </w:rPr>
        <w:t>AK,</w:t>
      </w:r>
      <w:r>
        <w:rPr>
          <w:rFonts w:ascii="Arial"/>
          <w:color w:val="231F20"/>
          <w:spacing w:val="-21"/>
          <w:sz w:val="16"/>
        </w:rPr>
        <w:t> </w:t>
      </w:r>
      <w:r>
        <w:rPr>
          <w:rFonts w:ascii="Arial"/>
          <w:color w:val="231F20"/>
          <w:sz w:val="16"/>
        </w:rPr>
        <w:t>Polichnowski</w:t>
      </w:r>
      <w:r>
        <w:rPr>
          <w:rFonts w:ascii="Arial"/>
          <w:color w:val="231F20"/>
          <w:spacing w:val="-21"/>
          <w:sz w:val="16"/>
        </w:rPr>
        <w:t> </w:t>
      </w:r>
      <w:r>
        <w:rPr>
          <w:rFonts w:ascii="Arial"/>
          <w:color w:val="231F20"/>
          <w:sz w:val="16"/>
        </w:rPr>
        <w:t>AJ,</w:t>
      </w:r>
      <w:r>
        <w:rPr>
          <w:rFonts w:ascii="Arial"/>
          <w:color w:val="231F20"/>
          <w:spacing w:val="-21"/>
          <w:sz w:val="16"/>
        </w:rPr>
        <w:t> </w:t>
      </w:r>
      <w:r>
        <w:rPr>
          <w:rFonts w:ascii="Arial"/>
          <w:color w:val="231F20"/>
          <w:sz w:val="16"/>
        </w:rPr>
        <w:t>Loutzenhiser</w:t>
      </w:r>
      <w:r>
        <w:rPr>
          <w:rFonts w:ascii="Arial"/>
          <w:color w:val="231F20"/>
          <w:spacing w:val="-20"/>
          <w:sz w:val="16"/>
        </w:rPr>
        <w:t> </w:t>
      </w:r>
      <w:r>
        <w:rPr>
          <w:rFonts w:ascii="Arial"/>
          <w:color w:val="231F20"/>
          <w:sz w:val="16"/>
        </w:rPr>
        <w:t>R,</w:t>
      </w:r>
      <w:r>
        <w:rPr>
          <w:rFonts w:ascii="Arial"/>
          <w:color w:val="231F20"/>
          <w:spacing w:val="-21"/>
          <w:sz w:val="16"/>
        </w:rPr>
        <w:t> </w:t>
      </w:r>
      <w:r>
        <w:rPr>
          <w:rFonts w:ascii="Arial"/>
          <w:color w:val="231F20"/>
          <w:sz w:val="16"/>
        </w:rPr>
        <w:t>Griffin</w:t>
      </w:r>
      <w:r>
        <w:rPr>
          <w:rFonts w:ascii="Arial"/>
          <w:color w:val="231F20"/>
          <w:spacing w:val="-21"/>
          <w:sz w:val="16"/>
        </w:rPr>
        <w:t> </w:t>
      </w:r>
      <w:r>
        <w:rPr>
          <w:rFonts w:ascii="Arial"/>
          <w:color w:val="231F20"/>
          <w:sz w:val="16"/>
        </w:rPr>
        <w:t>KA:</w:t>
      </w:r>
      <w:r>
        <w:rPr>
          <w:rFonts w:ascii="Arial"/>
          <w:color w:val="231F20"/>
          <w:spacing w:val="-21"/>
          <w:sz w:val="16"/>
        </w:rPr>
        <w:t> </w:t>
      </w:r>
      <w:r>
        <w:rPr>
          <w:rFonts w:ascii="Arial"/>
          <w:color w:val="231F20"/>
          <w:sz w:val="16"/>
        </w:rPr>
        <w:t>Renal</w:t>
      </w:r>
      <w:r>
        <w:rPr>
          <w:rFonts w:ascii="Arial"/>
          <w:color w:val="231F20"/>
          <w:spacing w:val="-20"/>
          <w:sz w:val="16"/>
        </w:rPr>
        <w:t> </w:t>
      </w:r>
      <w:r>
        <w:rPr>
          <w:rFonts w:ascii="Arial"/>
          <w:color w:val="231F20"/>
          <w:spacing w:val="-4"/>
          <w:sz w:val="16"/>
        </w:rPr>
        <w:t>micro- </w:t>
      </w:r>
      <w:r>
        <w:rPr>
          <w:rFonts w:ascii="Arial"/>
          <w:color w:val="231F20"/>
          <w:sz w:val="16"/>
        </w:rPr>
        <w:t>vascular dysfunction, hypertension and CKD progression. </w:t>
      </w:r>
      <w:r>
        <w:rPr>
          <w:rFonts w:ascii="Arial"/>
          <w:color w:val="231F20"/>
          <w:spacing w:val="-5"/>
          <w:sz w:val="16"/>
        </w:rPr>
        <w:t>Curr </w:t>
      </w:r>
      <w:r>
        <w:rPr>
          <w:rFonts w:ascii="Arial"/>
          <w:color w:val="231F20"/>
          <w:sz w:val="16"/>
        </w:rPr>
        <w:t>Opin Nephrol Hypertens 22:1,</w:t>
      </w:r>
      <w:r>
        <w:rPr>
          <w:rFonts w:ascii="Arial"/>
          <w:color w:val="231F20"/>
          <w:spacing w:val="24"/>
          <w:sz w:val="16"/>
        </w:rPr>
        <w:t> </w:t>
      </w:r>
      <w:r>
        <w:rPr>
          <w:rFonts w:ascii="Arial"/>
          <w:color w:val="231F20"/>
          <w:sz w:val="16"/>
        </w:rPr>
        <w:t>2013.</w:t>
      </w:r>
    </w:p>
    <w:p>
      <w:pPr>
        <w:spacing w:line="261" w:lineRule="auto" w:before="0"/>
        <w:ind w:left="1240" w:right="0" w:hanging="160"/>
        <w:jc w:val="both"/>
        <w:rPr>
          <w:rFonts w:ascii="Arial"/>
          <w:sz w:val="16"/>
        </w:rPr>
      </w:pPr>
      <w:r>
        <w:rPr>
          <w:rFonts w:ascii="Arial"/>
          <w:color w:val="231F20"/>
          <w:sz w:val="16"/>
        </w:rPr>
        <w:t>Braam B, Cupples </w:t>
      </w:r>
      <w:r>
        <w:rPr>
          <w:rFonts w:ascii="Arial"/>
          <w:color w:val="231F20"/>
          <w:spacing w:val="-3"/>
          <w:sz w:val="16"/>
        </w:rPr>
        <w:t>WA, </w:t>
      </w:r>
      <w:r>
        <w:rPr>
          <w:rFonts w:ascii="Arial"/>
          <w:color w:val="231F20"/>
          <w:sz w:val="16"/>
        </w:rPr>
        <w:t>Joles JA, Gaillard C: Systemic arterial </w:t>
      </w:r>
      <w:r>
        <w:rPr>
          <w:rFonts w:ascii="Arial"/>
          <w:color w:val="231F20"/>
          <w:spacing w:val="-6"/>
          <w:sz w:val="16"/>
        </w:rPr>
        <w:t>and </w:t>
      </w:r>
      <w:r>
        <w:rPr>
          <w:rFonts w:ascii="Arial"/>
          <w:color w:val="231F20"/>
          <w:sz w:val="16"/>
        </w:rPr>
        <w:t>venous</w:t>
      </w:r>
      <w:r>
        <w:rPr>
          <w:rFonts w:ascii="Arial"/>
          <w:color w:val="231F20"/>
          <w:spacing w:val="-7"/>
          <w:sz w:val="16"/>
        </w:rPr>
        <w:t> </w:t>
      </w:r>
      <w:r>
        <w:rPr>
          <w:rFonts w:ascii="Arial"/>
          <w:color w:val="231F20"/>
          <w:sz w:val="16"/>
        </w:rPr>
        <w:t>determinants</w:t>
      </w:r>
      <w:r>
        <w:rPr>
          <w:rFonts w:ascii="Arial"/>
          <w:color w:val="231F20"/>
          <w:spacing w:val="-7"/>
          <w:sz w:val="16"/>
        </w:rPr>
        <w:t> </w:t>
      </w:r>
      <w:r>
        <w:rPr>
          <w:rFonts w:ascii="Arial"/>
          <w:color w:val="231F20"/>
          <w:sz w:val="16"/>
        </w:rPr>
        <w:t>of</w:t>
      </w:r>
      <w:r>
        <w:rPr>
          <w:rFonts w:ascii="Arial"/>
          <w:color w:val="231F20"/>
          <w:spacing w:val="-7"/>
          <w:sz w:val="16"/>
        </w:rPr>
        <w:t> </w:t>
      </w:r>
      <w:r>
        <w:rPr>
          <w:rFonts w:ascii="Arial"/>
          <w:color w:val="231F20"/>
          <w:sz w:val="16"/>
        </w:rPr>
        <w:t>renal</w:t>
      </w:r>
      <w:r>
        <w:rPr>
          <w:rFonts w:ascii="Arial"/>
          <w:color w:val="231F20"/>
          <w:spacing w:val="-7"/>
          <w:sz w:val="16"/>
        </w:rPr>
        <w:t> </w:t>
      </w:r>
      <w:r>
        <w:rPr>
          <w:rFonts w:ascii="Arial"/>
          <w:color w:val="231F20"/>
          <w:sz w:val="16"/>
        </w:rPr>
        <w:t>hemodynamics</w:t>
      </w:r>
      <w:r>
        <w:rPr>
          <w:rFonts w:ascii="Arial"/>
          <w:color w:val="231F20"/>
          <w:spacing w:val="-7"/>
          <w:sz w:val="16"/>
        </w:rPr>
        <w:t> </w:t>
      </w:r>
      <w:r>
        <w:rPr>
          <w:rFonts w:ascii="Arial"/>
          <w:color w:val="231F20"/>
          <w:sz w:val="16"/>
        </w:rPr>
        <w:t>in</w:t>
      </w:r>
      <w:r>
        <w:rPr>
          <w:rFonts w:ascii="Arial"/>
          <w:color w:val="231F20"/>
          <w:spacing w:val="-6"/>
          <w:sz w:val="16"/>
        </w:rPr>
        <w:t> </w:t>
      </w:r>
      <w:r>
        <w:rPr>
          <w:rFonts w:ascii="Arial"/>
          <w:color w:val="231F20"/>
          <w:sz w:val="16"/>
        </w:rPr>
        <w:t>congestive</w:t>
      </w:r>
      <w:r>
        <w:rPr>
          <w:rFonts w:ascii="Arial"/>
          <w:color w:val="231F20"/>
          <w:spacing w:val="-7"/>
          <w:sz w:val="16"/>
        </w:rPr>
        <w:t> </w:t>
      </w:r>
      <w:r>
        <w:rPr>
          <w:rFonts w:ascii="Arial"/>
          <w:color w:val="231F20"/>
          <w:spacing w:val="-3"/>
          <w:sz w:val="16"/>
        </w:rPr>
        <w:t>heart </w:t>
      </w:r>
      <w:r>
        <w:rPr>
          <w:rFonts w:ascii="Arial"/>
          <w:color w:val="231F20"/>
          <w:sz w:val="16"/>
        </w:rPr>
        <w:t>failure. Heart Fail Rev 17:161,</w:t>
      </w:r>
      <w:r>
        <w:rPr>
          <w:rFonts w:ascii="Arial"/>
          <w:color w:val="231F20"/>
          <w:spacing w:val="27"/>
          <w:sz w:val="16"/>
        </w:rPr>
        <w:t> </w:t>
      </w:r>
      <w:r>
        <w:rPr>
          <w:rFonts w:ascii="Arial"/>
          <w:color w:val="231F20"/>
          <w:sz w:val="16"/>
        </w:rPr>
        <w:t>2012.</w:t>
      </w:r>
    </w:p>
    <w:p>
      <w:pPr>
        <w:spacing w:line="261" w:lineRule="auto" w:before="0"/>
        <w:ind w:left="1240" w:right="0" w:hanging="160"/>
        <w:jc w:val="both"/>
        <w:rPr>
          <w:rFonts w:ascii="Arial"/>
          <w:sz w:val="16"/>
        </w:rPr>
      </w:pPr>
      <w:r>
        <w:rPr>
          <w:rFonts w:ascii="Arial"/>
          <w:color w:val="231F20"/>
          <w:sz w:val="16"/>
        </w:rPr>
        <w:t>Cowley</w:t>
      </w:r>
      <w:r>
        <w:rPr>
          <w:rFonts w:ascii="Arial"/>
          <w:color w:val="231F20"/>
          <w:spacing w:val="-10"/>
          <w:sz w:val="16"/>
        </w:rPr>
        <w:t> </w:t>
      </w:r>
      <w:r>
        <w:rPr>
          <w:rFonts w:ascii="Arial"/>
          <w:color w:val="231F20"/>
          <w:spacing w:val="-3"/>
          <w:sz w:val="16"/>
        </w:rPr>
        <w:t>AW</w:t>
      </w:r>
      <w:r>
        <w:rPr>
          <w:rFonts w:ascii="Arial"/>
          <w:color w:val="231F20"/>
          <w:spacing w:val="-10"/>
          <w:sz w:val="16"/>
        </w:rPr>
        <w:t> </w:t>
      </w:r>
      <w:r>
        <w:rPr>
          <w:rFonts w:ascii="Arial"/>
          <w:color w:val="231F20"/>
          <w:spacing w:val="-5"/>
          <w:sz w:val="16"/>
        </w:rPr>
        <w:t>Jr,</w:t>
      </w:r>
      <w:r>
        <w:rPr>
          <w:rFonts w:ascii="Arial"/>
          <w:color w:val="231F20"/>
          <w:spacing w:val="-10"/>
          <w:sz w:val="16"/>
        </w:rPr>
        <w:t> </w:t>
      </w:r>
      <w:r>
        <w:rPr>
          <w:rFonts w:ascii="Arial"/>
          <w:color w:val="231F20"/>
          <w:sz w:val="16"/>
        </w:rPr>
        <w:t>Mori</w:t>
      </w:r>
      <w:r>
        <w:rPr>
          <w:rFonts w:ascii="Arial"/>
          <w:color w:val="231F20"/>
          <w:spacing w:val="-10"/>
          <w:sz w:val="16"/>
        </w:rPr>
        <w:t> </w:t>
      </w:r>
      <w:r>
        <w:rPr>
          <w:rFonts w:ascii="Arial"/>
          <w:color w:val="231F20"/>
          <w:spacing w:val="-9"/>
          <w:sz w:val="16"/>
        </w:rPr>
        <w:t>T,</w:t>
      </w:r>
      <w:r>
        <w:rPr>
          <w:rFonts w:ascii="Arial"/>
          <w:color w:val="231F20"/>
          <w:spacing w:val="-10"/>
          <w:sz w:val="16"/>
        </w:rPr>
        <w:t> </w:t>
      </w:r>
      <w:r>
        <w:rPr>
          <w:rFonts w:ascii="Arial"/>
          <w:color w:val="231F20"/>
          <w:sz w:val="16"/>
        </w:rPr>
        <w:t>Mattson</w:t>
      </w:r>
      <w:r>
        <w:rPr>
          <w:rFonts w:ascii="Arial"/>
          <w:color w:val="231F20"/>
          <w:spacing w:val="-10"/>
          <w:sz w:val="16"/>
        </w:rPr>
        <w:t> </w:t>
      </w:r>
      <w:r>
        <w:rPr>
          <w:rFonts w:ascii="Arial"/>
          <w:color w:val="231F20"/>
          <w:sz w:val="16"/>
        </w:rPr>
        <w:t>D,</w:t>
      </w:r>
      <w:r>
        <w:rPr>
          <w:rFonts w:ascii="Arial"/>
          <w:color w:val="231F20"/>
          <w:spacing w:val="-10"/>
          <w:sz w:val="16"/>
        </w:rPr>
        <w:t> </w:t>
      </w:r>
      <w:r>
        <w:rPr>
          <w:rFonts w:ascii="Arial"/>
          <w:color w:val="231F20"/>
          <w:sz w:val="16"/>
        </w:rPr>
        <w:t>Zou</w:t>
      </w:r>
      <w:r>
        <w:rPr>
          <w:rFonts w:ascii="Arial"/>
          <w:color w:val="231F20"/>
          <w:spacing w:val="-10"/>
          <w:sz w:val="16"/>
        </w:rPr>
        <w:t> </w:t>
      </w:r>
      <w:r>
        <w:rPr>
          <w:rFonts w:ascii="Arial"/>
          <w:color w:val="231F20"/>
          <w:sz w:val="16"/>
        </w:rPr>
        <w:t>AP:</w:t>
      </w:r>
      <w:r>
        <w:rPr>
          <w:rFonts w:ascii="Arial"/>
          <w:color w:val="231F20"/>
          <w:spacing w:val="-10"/>
          <w:sz w:val="16"/>
        </w:rPr>
        <w:t> </w:t>
      </w:r>
      <w:r>
        <w:rPr>
          <w:rFonts w:ascii="Arial"/>
          <w:color w:val="231F20"/>
          <w:sz w:val="16"/>
        </w:rPr>
        <w:t>Role</w:t>
      </w:r>
      <w:r>
        <w:rPr>
          <w:rFonts w:ascii="Arial"/>
          <w:color w:val="231F20"/>
          <w:spacing w:val="-9"/>
          <w:sz w:val="16"/>
        </w:rPr>
        <w:t> </w:t>
      </w:r>
      <w:r>
        <w:rPr>
          <w:rFonts w:ascii="Arial"/>
          <w:color w:val="231F20"/>
          <w:sz w:val="16"/>
        </w:rPr>
        <w:t>of</w:t>
      </w:r>
      <w:r>
        <w:rPr>
          <w:rFonts w:ascii="Arial"/>
          <w:color w:val="231F20"/>
          <w:spacing w:val="-10"/>
          <w:sz w:val="16"/>
        </w:rPr>
        <w:t> </w:t>
      </w:r>
      <w:r>
        <w:rPr>
          <w:rFonts w:ascii="Arial"/>
          <w:color w:val="231F20"/>
          <w:sz w:val="16"/>
        </w:rPr>
        <w:t>renal</w:t>
      </w:r>
      <w:r>
        <w:rPr>
          <w:rFonts w:ascii="Arial"/>
          <w:color w:val="231F20"/>
          <w:spacing w:val="-10"/>
          <w:sz w:val="16"/>
        </w:rPr>
        <w:t> </w:t>
      </w:r>
      <w:r>
        <w:rPr>
          <w:rFonts w:ascii="Arial"/>
          <w:color w:val="231F20"/>
          <w:sz w:val="16"/>
        </w:rPr>
        <w:t>NO</w:t>
      </w:r>
      <w:r>
        <w:rPr>
          <w:rFonts w:ascii="Arial"/>
          <w:color w:val="231F20"/>
          <w:spacing w:val="-10"/>
          <w:sz w:val="16"/>
        </w:rPr>
        <w:t> </w:t>
      </w:r>
      <w:r>
        <w:rPr>
          <w:rFonts w:ascii="Arial"/>
          <w:color w:val="231F20"/>
          <w:spacing w:val="-3"/>
          <w:sz w:val="16"/>
        </w:rPr>
        <w:t>produc- </w:t>
      </w:r>
      <w:r>
        <w:rPr>
          <w:rFonts w:ascii="Arial"/>
          <w:color w:val="231F20"/>
          <w:sz w:val="16"/>
        </w:rPr>
        <w:t>tion</w:t>
      </w:r>
      <w:r>
        <w:rPr>
          <w:rFonts w:ascii="Arial"/>
          <w:color w:val="231F20"/>
          <w:spacing w:val="-8"/>
          <w:sz w:val="16"/>
        </w:rPr>
        <w:t> </w:t>
      </w:r>
      <w:r>
        <w:rPr>
          <w:rFonts w:ascii="Arial"/>
          <w:color w:val="231F20"/>
          <w:sz w:val="16"/>
        </w:rPr>
        <w:t>in</w:t>
      </w:r>
      <w:r>
        <w:rPr>
          <w:rFonts w:ascii="Arial"/>
          <w:color w:val="231F20"/>
          <w:spacing w:val="-7"/>
          <w:sz w:val="16"/>
        </w:rPr>
        <w:t> </w:t>
      </w:r>
      <w:r>
        <w:rPr>
          <w:rFonts w:ascii="Arial"/>
          <w:color w:val="231F20"/>
          <w:sz w:val="16"/>
        </w:rPr>
        <w:t>the</w:t>
      </w:r>
      <w:r>
        <w:rPr>
          <w:rFonts w:ascii="Arial"/>
          <w:color w:val="231F20"/>
          <w:spacing w:val="-7"/>
          <w:sz w:val="16"/>
        </w:rPr>
        <w:t> </w:t>
      </w:r>
      <w:r>
        <w:rPr>
          <w:rFonts w:ascii="Arial"/>
          <w:color w:val="231F20"/>
          <w:sz w:val="16"/>
        </w:rPr>
        <w:t>regulation</w:t>
      </w:r>
      <w:r>
        <w:rPr>
          <w:rFonts w:ascii="Arial"/>
          <w:color w:val="231F20"/>
          <w:spacing w:val="-7"/>
          <w:sz w:val="16"/>
        </w:rPr>
        <w:t> </w:t>
      </w:r>
      <w:r>
        <w:rPr>
          <w:rFonts w:ascii="Arial"/>
          <w:color w:val="231F20"/>
          <w:sz w:val="16"/>
        </w:rPr>
        <w:t>of</w:t>
      </w:r>
      <w:r>
        <w:rPr>
          <w:rFonts w:ascii="Arial"/>
          <w:color w:val="231F20"/>
          <w:spacing w:val="-7"/>
          <w:sz w:val="16"/>
        </w:rPr>
        <w:t> </w:t>
      </w:r>
      <w:r>
        <w:rPr>
          <w:rFonts w:ascii="Arial"/>
          <w:color w:val="231F20"/>
          <w:sz w:val="16"/>
        </w:rPr>
        <w:t>medullary</w:t>
      </w:r>
      <w:r>
        <w:rPr>
          <w:rFonts w:ascii="Arial"/>
          <w:color w:val="231F20"/>
          <w:spacing w:val="-7"/>
          <w:sz w:val="16"/>
        </w:rPr>
        <w:t> </w:t>
      </w:r>
      <w:r>
        <w:rPr>
          <w:rFonts w:ascii="Arial"/>
          <w:color w:val="231F20"/>
          <w:sz w:val="16"/>
        </w:rPr>
        <w:t>blood</w:t>
      </w:r>
      <w:r>
        <w:rPr>
          <w:rFonts w:ascii="Arial"/>
          <w:color w:val="231F20"/>
          <w:spacing w:val="-7"/>
          <w:sz w:val="16"/>
        </w:rPr>
        <w:t> </w:t>
      </w:r>
      <w:r>
        <w:rPr>
          <w:rFonts w:ascii="Arial"/>
          <w:color w:val="231F20"/>
          <w:sz w:val="16"/>
        </w:rPr>
        <w:t>flow.</w:t>
      </w:r>
      <w:r>
        <w:rPr>
          <w:rFonts w:ascii="Arial"/>
          <w:color w:val="231F20"/>
          <w:spacing w:val="-7"/>
          <w:sz w:val="16"/>
        </w:rPr>
        <w:t> </w:t>
      </w:r>
      <w:r>
        <w:rPr>
          <w:rFonts w:ascii="Arial"/>
          <w:color w:val="231F20"/>
          <w:sz w:val="16"/>
        </w:rPr>
        <w:t>Am</w:t>
      </w:r>
      <w:r>
        <w:rPr>
          <w:rFonts w:ascii="Arial"/>
          <w:color w:val="231F20"/>
          <w:spacing w:val="-7"/>
          <w:sz w:val="16"/>
        </w:rPr>
        <w:t> </w:t>
      </w:r>
      <w:r>
        <w:rPr>
          <w:rFonts w:ascii="Arial"/>
          <w:color w:val="231F20"/>
          <w:sz w:val="16"/>
        </w:rPr>
        <w:t>J</w:t>
      </w:r>
      <w:r>
        <w:rPr>
          <w:rFonts w:ascii="Arial"/>
          <w:color w:val="231F20"/>
          <w:spacing w:val="-7"/>
          <w:sz w:val="16"/>
        </w:rPr>
        <w:t> </w:t>
      </w:r>
      <w:r>
        <w:rPr>
          <w:rFonts w:ascii="Arial"/>
          <w:color w:val="231F20"/>
          <w:sz w:val="16"/>
        </w:rPr>
        <w:t>Physiol</w:t>
      </w:r>
      <w:r>
        <w:rPr>
          <w:rFonts w:ascii="Arial"/>
          <w:color w:val="231F20"/>
          <w:spacing w:val="-7"/>
          <w:sz w:val="16"/>
        </w:rPr>
        <w:t> </w:t>
      </w:r>
      <w:r>
        <w:rPr>
          <w:rFonts w:ascii="Arial"/>
          <w:color w:val="231F20"/>
          <w:spacing w:val="-3"/>
          <w:sz w:val="16"/>
        </w:rPr>
        <w:t>Regul </w:t>
      </w:r>
      <w:r>
        <w:rPr>
          <w:rFonts w:ascii="Arial"/>
          <w:color w:val="231F20"/>
          <w:sz w:val="16"/>
        </w:rPr>
        <w:t>Integr Comp Physiol 284:R1355,</w:t>
      </w:r>
      <w:r>
        <w:rPr>
          <w:rFonts w:ascii="Arial"/>
          <w:color w:val="231F20"/>
          <w:spacing w:val="21"/>
          <w:sz w:val="16"/>
        </w:rPr>
        <w:t> </w:t>
      </w:r>
      <w:r>
        <w:rPr>
          <w:rFonts w:ascii="Arial"/>
          <w:color w:val="231F20"/>
          <w:sz w:val="16"/>
        </w:rPr>
        <w:t>2003.</w:t>
      </w:r>
    </w:p>
    <w:p>
      <w:pPr>
        <w:spacing w:line="261" w:lineRule="auto" w:before="0"/>
        <w:ind w:left="1240" w:right="0" w:hanging="160"/>
        <w:jc w:val="both"/>
        <w:rPr>
          <w:rFonts w:ascii="Arial"/>
          <w:sz w:val="16"/>
        </w:rPr>
      </w:pPr>
      <w:r>
        <w:rPr/>
        <w:pict>
          <v:rect style="position:absolute;margin-left:0pt;margin-top:1.095886pt;width:36pt;height:24pt;mso-position-horizontal-relative:page;mso-position-vertical-relative:paragraph;z-index:252019712" filled="true" fillcolor="#e8dac8" stroked="false">
            <v:fill type="solid"/>
            <w10:wrap type="none"/>
          </v:rect>
        </w:pict>
      </w:r>
      <w:r>
        <w:rPr>
          <w:rFonts w:ascii="Arial"/>
          <w:color w:val="231F20"/>
          <w:sz w:val="16"/>
        </w:rPr>
        <w:t>Cupples </w:t>
      </w:r>
      <w:r>
        <w:rPr>
          <w:rFonts w:ascii="Arial"/>
          <w:color w:val="231F20"/>
          <w:spacing w:val="-3"/>
          <w:sz w:val="16"/>
        </w:rPr>
        <w:t>WA, </w:t>
      </w:r>
      <w:r>
        <w:rPr>
          <w:rFonts w:ascii="Arial"/>
          <w:color w:val="231F20"/>
          <w:sz w:val="16"/>
        </w:rPr>
        <w:t>Braam B: Assessment of renal autoregulation. Am </w:t>
      </w:r>
      <w:r>
        <w:rPr>
          <w:rFonts w:ascii="Arial"/>
          <w:color w:val="231F20"/>
          <w:spacing w:val="-19"/>
          <w:sz w:val="16"/>
        </w:rPr>
        <w:t>J </w:t>
      </w:r>
      <w:r>
        <w:rPr>
          <w:rFonts w:ascii="Arial"/>
          <w:color w:val="231F20"/>
          <w:sz w:val="16"/>
        </w:rPr>
        <w:t>Physiol Renal Physiol 292:F1105,</w:t>
      </w:r>
      <w:r>
        <w:rPr>
          <w:rFonts w:ascii="Arial"/>
          <w:color w:val="231F20"/>
          <w:spacing w:val="13"/>
          <w:sz w:val="16"/>
        </w:rPr>
        <w:t> </w:t>
      </w:r>
      <w:r>
        <w:rPr>
          <w:rFonts w:ascii="Arial"/>
          <w:color w:val="231F20"/>
          <w:sz w:val="16"/>
        </w:rPr>
        <w:t>2007.</w:t>
      </w:r>
    </w:p>
    <w:p>
      <w:pPr>
        <w:spacing w:line="261" w:lineRule="auto" w:before="0"/>
        <w:ind w:left="1240" w:right="0" w:hanging="160"/>
        <w:jc w:val="both"/>
        <w:rPr>
          <w:rFonts w:ascii="Arial"/>
          <w:sz w:val="16"/>
        </w:rPr>
      </w:pPr>
      <w:r>
        <w:rPr>
          <w:rFonts w:ascii="Arial"/>
          <w:color w:val="231F20"/>
          <w:sz w:val="16"/>
        </w:rPr>
        <w:t>Deen</w:t>
      </w:r>
      <w:r>
        <w:rPr>
          <w:rFonts w:ascii="Arial"/>
          <w:color w:val="231F20"/>
          <w:spacing w:val="-23"/>
          <w:sz w:val="16"/>
        </w:rPr>
        <w:t> </w:t>
      </w:r>
      <w:r>
        <w:rPr>
          <w:rFonts w:ascii="Arial"/>
          <w:color w:val="231F20"/>
          <w:sz w:val="16"/>
        </w:rPr>
        <w:t>WN:</w:t>
      </w:r>
      <w:r>
        <w:rPr>
          <w:rFonts w:ascii="Arial"/>
          <w:color w:val="231F20"/>
          <w:spacing w:val="-22"/>
          <w:sz w:val="16"/>
        </w:rPr>
        <w:t> </w:t>
      </w:r>
      <w:r>
        <w:rPr>
          <w:rFonts w:ascii="Arial"/>
          <w:color w:val="231F20"/>
          <w:sz w:val="16"/>
        </w:rPr>
        <w:t>What</w:t>
      </w:r>
      <w:r>
        <w:rPr>
          <w:rFonts w:ascii="Arial"/>
          <w:color w:val="231F20"/>
          <w:spacing w:val="-22"/>
          <w:sz w:val="16"/>
        </w:rPr>
        <w:t> </w:t>
      </w:r>
      <w:r>
        <w:rPr>
          <w:rFonts w:ascii="Arial"/>
          <w:color w:val="231F20"/>
          <w:sz w:val="16"/>
        </w:rPr>
        <w:t>determines</w:t>
      </w:r>
      <w:r>
        <w:rPr>
          <w:rFonts w:ascii="Arial"/>
          <w:color w:val="231F20"/>
          <w:spacing w:val="-22"/>
          <w:sz w:val="16"/>
        </w:rPr>
        <w:t> </w:t>
      </w:r>
      <w:r>
        <w:rPr>
          <w:rFonts w:ascii="Arial"/>
          <w:color w:val="231F20"/>
          <w:sz w:val="16"/>
        </w:rPr>
        <w:t>glomerular</w:t>
      </w:r>
      <w:r>
        <w:rPr>
          <w:rFonts w:ascii="Arial"/>
          <w:color w:val="231F20"/>
          <w:spacing w:val="-22"/>
          <w:sz w:val="16"/>
        </w:rPr>
        <w:t> </w:t>
      </w:r>
      <w:r>
        <w:rPr>
          <w:rFonts w:ascii="Arial"/>
          <w:color w:val="231F20"/>
          <w:sz w:val="16"/>
        </w:rPr>
        <w:t>capillary</w:t>
      </w:r>
      <w:r>
        <w:rPr>
          <w:rFonts w:ascii="Arial"/>
          <w:color w:val="231F20"/>
          <w:spacing w:val="-22"/>
          <w:sz w:val="16"/>
        </w:rPr>
        <w:t> </w:t>
      </w:r>
      <w:r>
        <w:rPr>
          <w:rFonts w:ascii="Arial"/>
          <w:color w:val="231F20"/>
          <w:sz w:val="16"/>
        </w:rPr>
        <w:t>permeability?</w:t>
      </w:r>
      <w:r>
        <w:rPr>
          <w:rFonts w:ascii="Arial"/>
          <w:color w:val="231F20"/>
          <w:spacing w:val="-22"/>
          <w:sz w:val="16"/>
        </w:rPr>
        <w:t> </w:t>
      </w:r>
      <w:r>
        <w:rPr>
          <w:rFonts w:ascii="Arial"/>
          <w:color w:val="231F20"/>
          <w:sz w:val="16"/>
        </w:rPr>
        <w:t>J</w:t>
      </w:r>
      <w:r>
        <w:rPr>
          <w:rFonts w:ascii="Arial"/>
          <w:color w:val="231F20"/>
          <w:spacing w:val="-23"/>
          <w:sz w:val="16"/>
        </w:rPr>
        <w:t> </w:t>
      </w:r>
      <w:r>
        <w:rPr>
          <w:rFonts w:ascii="Arial"/>
          <w:color w:val="231F20"/>
          <w:spacing w:val="-4"/>
          <w:sz w:val="16"/>
        </w:rPr>
        <w:t>Clin </w:t>
      </w:r>
      <w:r>
        <w:rPr>
          <w:rFonts w:ascii="Arial"/>
          <w:color w:val="231F20"/>
          <w:sz w:val="16"/>
        </w:rPr>
        <w:t>Invest 114:1412,</w:t>
      </w:r>
      <w:r>
        <w:rPr>
          <w:rFonts w:ascii="Arial"/>
          <w:color w:val="231F20"/>
          <w:spacing w:val="14"/>
          <w:sz w:val="16"/>
        </w:rPr>
        <w:t> </w:t>
      </w:r>
      <w:r>
        <w:rPr>
          <w:rFonts w:ascii="Arial"/>
          <w:color w:val="231F20"/>
          <w:sz w:val="16"/>
        </w:rPr>
        <w:t>2004.</w:t>
      </w:r>
    </w:p>
    <w:p>
      <w:pPr>
        <w:spacing w:line="261" w:lineRule="auto" w:before="0"/>
        <w:ind w:left="1240" w:right="0" w:hanging="160"/>
        <w:jc w:val="both"/>
        <w:rPr>
          <w:rFonts w:ascii="Arial"/>
          <w:sz w:val="16"/>
        </w:rPr>
      </w:pPr>
      <w:r>
        <w:rPr>
          <w:rFonts w:ascii="Arial"/>
          <w:color w:val="231F20"/>
          <w:sz w:val="16"/>
        </w:rPr>
        <w:t>DiBona</w:t>
      </w:r>
      <w:r>
        <w:rPr>
          <w:rFonts w:ascii="Arial"/>
          <w:color w:val="231F20"/>
          <w:spacing w:val="-30"/>
          <w:sz w:val="16"/>
        </w:rPr>
        <w:t> </w:t>
      </w:r>
      <w:r>
        <w:rPr>
          <w:rFonts w:ascii="Arial"/>
          <w:color w:val="231F20"/>
          <w:sz w:val="16"/>
        </w:rPr>
        <w:t>GF:</w:t>
      </w:r>
      <w:r>
        <w:rPr>
          <w:rFonts w:ascii="Arial"/>
          <w:color w:val="231F20"/>
          <w:spacing w:val="-29"/>
          <w:sz w:val="16"/>
        </w:rPr>
        <w:t> </w:t>
      </w:r>
      <w:r>
        <w:rPr>
          <w:rFonts w:ascii="Arial"/>
          <w:color w:val="231F20"/>
          <w:sz w:val="16"/>
        </w:rPr>
        <w:t>Physiology</w:t>
      </w:r>
      <w:r>
        <w:rPr>
          <w:rFonts w:ascii="Arial"/>
          <w:color w:val="231F20"/>
          <w:spacing w:val="-29"/>
          <w:sz w:val="16"/>
        </w:rPr>
        <w:t> </w:t>
      </w:r>
      <w:r>
        <w:rPr>
          <w:rFonts w:ascii="Arial"/>
          <w:color w:val="231F20"/>
          <w:sz w:val="16"/>
        </w:rPr>
        <w:t>in</w:t>
      </w:r>
      <w:r>
        <w:rPr>
          <w:rFonts w:ascii="Arial"/>
          <w:color w:val="231F20"/>
          <w:spacing w:val="-30"/>
          <w:sz w:val="16"/>
        </w:rPr>
        <w:t> </w:t>
      </w:r>
      <w:r>
        <w:rPr>
          <w:rFonts w:ascii="Arial"/>
          <w:color w:val="231F20"/>
          <w:sz w:val="16"/>
        </w:rPr>
        <w:t>perspective:</w:t>
      </w:r>
      <w:r>
        <w:rPr>
          <w:rFonts w:ascii="Arial"/>
          <w:color w:val="231F20"/>
          <w:spacing w:val="-29"/>
          <w:sz w:val="16"/>
        </w:rPr>
        <w:t> </w:t>
      </w:r>
      <w:r>
        <w:rPr>
          <w:rFonts w:ascii="Arial"/>
          <w:color w:val="231F20"/>
          <w:sz w:val="16"/>
        </w:rPr>
        <w:t>the</w:t>
      </w:r>
      <w:r>
        <w:rPr>
          <w:rFonts w:ascii="Arial"/>
          <w:color w:val="231F20"/>
          <w:spacing w:val="-29"/>
          <w:sz w:val="16"/>
        </w:rPr>
        <w:t> </w:t>
      </w:r>
      <w:r>
        <w:rPr>
          <w:rFonts w:ascii="Arial"/>
          <w:color w:val="231F20"/>
          <w:sz w:val="16"/>
        </w:rPr>
        <w:t>wisdom</w:t>
      </w:r>
      <w:r>
        <w:rPr>
          <w:rFonts w:ascii="Arial"/>
          <w:color w:val="231F20"/>
          <w:spacing w:val="-29"/>
          <w:sz w:val="16"/>
        </w:rPr>
        <w:t> </w:t>
      </w:r>
      <w:r>
        <w:rPr>
          <w:rFonts w:ascii="Arial"/>
          <w:color w:val="231F20"/>
          <w:sz w:val="16"/>
        </w:rPr>
        <w:t>of</w:t>
      </w:r>
      <w:r>
        <w:rPr>
          <w:rFonts w:ascii="Arial"/>
          <w:color w:val="231F20"/>
          <w:spacing w:val="-30"/>
          <w:sz w:val="16"/>
        </w:rPr>
        <w:t> </w:t>
      </w:r>
      <w:r>
        <w:rPr>
          <w:rFonts w:ascii="Arial"/>
          <w:color w:val="231F20"/>
          <w:sz w:val="16"/>
        </w:rPr>
        <w:t>the</w:t>
      </w:r>
      <w:r>
        <w:rPr>
          <w:rFonts w:ascii="Arial"/>
          <w:color w:val="231F20"/>
          <w:spacing w:val="-29"/>
          <w:sz w:val="16"/>
        </w:rPr>
        <w:t> </w:t>
      </w:r>
      <w:r>
        <w:rPr>
          <w:rFonts w:ascii="Arial"/>
          <w:color w:val="231F20"/>
          <w:spacing w:val="-3"/>
          <w:sz w:val="16"/>
        </w:rPr>
        <w:t>body.</w:t>
      </w:r>
      <w:r>
        <w:rPr>
          <w:rFonts w:ascii="Arial"/>
          <w:color w:val="231F20"/>
          <w:spacing w:val="-29"/>
          <w:sz w:val="16"/>
        </w:rPr>
        <w:t> </w:t>
      </w:r>
      <w:r>
        <w:rPr>
          <w:rFonts w:ascii="Arial"/>
          <w:color w:val="231F20"/>
          <w:sz w:val="16"/>
        </w:rPr>
        <w:t>Neural control of the </w:t>
      </w:r>
      <w:r>
        <w:rPr>
          <w:rFonts w:ascii="Arial"/>
          <w:color w:val="231F20"/>
          <w:spacing w:val="-3"/>
          <w:sz w:val="16"/>
        </w:rPr>
        <w:t>kidney. </w:t>
      </w:r>
      <w:r>
        <w:rPr>
          <w:rFonts w:ascii="Arial"/>
          <w:color w:val="231F20"/>
          <w:sz w:val="16"/>
        </w:rPr>
        <w:t>Am J Physiol Regul Integr Comp Physiol 289:R633,</w:t>
      </w:r>
      <w:r>
        <w:rPr>
          <w:rFonts w:ascii="Arial"/>
          <w:color w:val="231F20"/>
          <w:spacing w:val="7"/>
          <w:sz w:val="16"/>
        </w:rPr>
        <w:t> </w:t>
      </w:r>
      <w:r>
        <w:rPr>
          <w:rFonts w:ascii="Arial"/>
          <w:color w:val="231F20"/>
          <w:sz w:val="16"/>
        </w:rPr>
        <w:t>2005.</w:t>
      </w:r>
    </w:p>
    <w:p>
      <w:pPr>
        <w:spacing w:line="256" w:lineRule="auto" w:before="0"/>
        <w:ind w:left="1240" w:right="0" w:hanging="160"/>
        <w:jc w:val="both"/>
        <w:rPr>
          <w:rFonts w:ascii="Arial" w:hAnsi="Arial"/>
          <w:sz w:val="16"/>
        </w:rPr>
      </w:pPr>
      <w:r>
        <w:rPr>
          <w:rFonts w:ascii="Arial" w:hAnsi="Arial"/>
          <w:color w:val="231F20"/>
          <w:w w:val="95"/>
          <w:sz w:val="16"/>
        </w:rPr>
        <w:t>Guan</w:t>
      </w:r>
      <w:r>
        <w:rPr>
          <w:rFonts w:ascii="Arial" w:hAnsi="Arial"/>
          <w:color w:val="231F20"/>
          <w:sz w:val="16"/>
        </w:rPr>
        <w:t> </w:t>
      </w:r>
      <w:r>
        <w:rPr>
          <w:rFonts w:ascii="Arial" w:hAnsi="Arial"/>
          <w:color w:val="231F20"/>
          <w:w w:val="87"/>
          <w:sz w:val="16"/>
        </w:rPr>
        <w:t>Z,</w:t>
      </w:r>
      <w:r>
        <w:rPr>
          <w:rFonts w:ascii="Arial" w:hAnsi="Arial"/>
          <w:color w:val="231F20"/>
          <w:sz w:val="16"/>
        </w:rPr>
        <w:t> </w:t>
      </w:r>
      <w:r>
        <w:rPr>
          <w:rFonts w:ascii="Arial" w:hAnsi="Arial"/>
          <w:color w:val="231F20"/>
          <w:w w:val="92"/>
          <w:sz w:val="16"/>
        </w:rPr>
        <w:t>Inscho</w:t>
      </w:r>
      <w:r>
        <w:rPr>
          <w:rFonts w:ascii="Arial" w:hAnsi="Arial"/>
          <w:color w:val="231F20"/>
          <w:sz w:val="16"/>
        </w:rPr>
        <w:t> </w:t>
      </w:r>
      <w:r>
        <w:rPr>
          <w:rFonts w:ascii="Arial" w:hAnsi="Arial"/>
          <w:color w:val="231F20"/>
          <w:w w:val="89"/>
          <w:sz w:val="16"/>
        </w:rPr>
        <w:t>EW</w:t>
      </w:r>
      <w:r>
        <w:rPr>
          <w:rFonts w:ascii="Arial" w:hAnsi="Arial"/>
          <w:color w:val="231F20"/>
          <w:w w:val="100"/>
          <w:sz w:val="16"/>
        </w:rPr>
        <w:t>:</w:t>
      </w:r>
      <w:r>
        <w:rPr>
          <w:rFonts w:ascii="Arial" w:hAnsi="Arial"/>
          <w:color w:val="231F20"/>
          <w:sz w:val="16"/>
        </w:rPr>
        <w:t> </w:t>
      </w:r>
      <w:r>
        <w:rPr>
          <w:rFonts w:ascii="Arial" w:hAnsi="Arial"/>
          <w:color w:val="231F20"/>
          <w:w w:val="89"/>
          <w:sz w:val="16"/>
        </w:rPr>
        <w:t>Role</w:t>
      </w:r>
      <w:r>
        <w:rPr>
          <w:rFonts w:ascii="Arial" w:hAnsi="Arial"/>
          <w:color w:val="231F20"/>
          <w:sz w:val="16"/>
        </w:rPr>
        <w:t> </w:t>
      </w:r>
      <w:r>
        <w:rPr>
          <w:rFonts w:ascii="Arial" w:hAnsi="Arial"/>
          <w:color w:val="231F20"/>
          <w:w w:val="106"/>
          <w:sz w:val="16"/>
        </w:rPr>
        <w:t>of</w:t>
      </w:r>
      <w:r>
        <w:rPr>
          <w:rFonts w:ascii="Arial" w:hAnsi="Arial"/>
          <w:color w:val="231F20"/>
          <w:sz w:val="16"/>
        </w:rPr>
        <w:t> </w:t>
      </w:r>
      <w:r>
        <w:rPr>
          <w:rFonts w:ascii="Arial" w:hAnsi="Arial"/>
          <w:color w:val="231F20"/>
          <w:w w:val="93"/>
          <w:sz w:val="16"/>
        </w:rPr>
        <w:t>adenosine</w:t>
      </w:r>
      <w:r>
        <w:rPr>
          <w:rFonts w:ascii="Arial" w:hAnsi="Arial"/>
          <w:color w:val="231F20"/>
          <w:sz w:val="16"/>
        </w:rPr>
        <w:t> </w:t>
      </w:r>
      <w:r>
        <w:rPr>
          <w:rFonts w:ascii="Arial" w:hAnsi="Arial"/>
          <w:color w:val="231F20"/>
          <w:w w:val="99"/>
          <w:sz w:val="16"/>
        </w:rPr>
        <w:t>5</w:t>
      </w:r>
      <w:r>
        <w:rPr>
          <w:rFonts w:ascii="Consolas" w:hAnsi="Consolas"/>
          <w:color w:val="231F20"/>
          <w:w w:val="44"/>
          <w:sz w:val="16"/>
        </w:rPr>
        <w:t>′</w:t>
      </w:r>
      <w:r>
        <w:rPr>
          <w:rFonts w:ascii="Arial" w:hAnsi="Arial"/>
          <w:color w:val="231F20"/>
          <w:w w:val="98"/>
          <w:sz w:val="16"/>
        </w:rPr>
        <w:t>-triphosphate</w:t>
      </w:r>
      <w:r>
        <w:rPr>
          <w:rFonts w:ascii="Arial" w:hAnsi="Arial"/>
          <w:color w:val="231F20"/>
          <w:sz w:val="16"/>
        </w:rPr>
        <w:t> </w:t>
      </w:r>
      <w:r>
        <w:rPr>
          <w:rFonts w:ascii="Arial" w:hAnsi="Arial"/>
          <w:color w:val="231F20"/>
          <w:w w:val="99"/>
          <w:sz w:val="16"/>
        </w:rPr>
        <w:t>in</w:t>
      </w:r>
      <w:r>
        <w:rPr>
          <w:rFonts w:ascii="Arial" w:hAnsi="Arial"/>
          <w:color w:val="231F20"/>
          <w:sz w:val="16"/>
        </w:rPr>
        <w:t> r</w:t>
      </w:r>
      <w:r>
        <w:rPr>
          <w:rFonts w:ascii="Arial" w:hAnsi="Arial"/>
          <w:color w:val="231F20"/>
          <w:w w:val="98"/>
          <w:sz w:val="16"/>
        </w:rPr>
        <w:t>egulating </w:t>
      </w:r>
      <w:r>
        <w:rPr>
          <w:rFonts w:ascii="Arial" w:hAnsi="Arial"/>
          <w:color w:val="231F20"/>
          <w:sz w:val="16"/>
        </w:rPr>
        <w:t>renal microvascular function and in hypertension. Hypertension 58:333, 2011.</w:t>
      </w:r>
    </w:p>
    <w:p>
      <w:pPr>
        <w:spacing w:line="261" w:lineRule="auto" w:before="0"/>
        <w:ind w:left="1240" w:right="0" w:hanging="160"/>
        <w:jc w:val="both"/>
        <w:rPr>
          <w:rFonts w:ascii="Arial"/>
          <w:sz w:val="16"/>
        </w:rPr>
      </w:pPr>
      <w:r>
        <w:rPr>
          <w:rFonts w:ascii="Arial"/>
          <w:color w:val="231F20"/>
          <w:sz w:val="16"/>
        </w:rPr>
        <w:t>Hall</w:t>
      </w:r>
      <w:r>
        <w:rPr>
          <w:rFonts w:ascii="Arial"/>
          <w:color w:val="231F20"/>
          <w:spacing w:val="-19"/>
          <w:sz w:val="16"/>
        </w:rPr>
        <w:t> </w:t>
      </w:r>
      <w:r>
        <w:rPr>
          <w:rFonts w:ascii="Arial"/>
          <w:color w:val="231F20"/>
          <w:sz w:val="16"/>
        </w:rPr>
        <w:t>JE:</w:t>
      </w:r>
      <w:r>
        <w:rPr>
          <w:rFonts w:ascii="Arial"/>
          <w:color w:val="231F20"/>
          <w:spacing w:val="-19"/>
          <w:sz w:val="16"/>
        </w:rPr>
        <w:t> </w:t>
      </w:r>
      <w:r>
        <w:rPr>
          <w:rFonts w:ascii="Arial"/>
          <w:color w:val="231F20"/>
          <w:sz w:val="16"/>
        </w:rPr>
        <w:t>Angiotensin</w:t>
      </w:r>
      <w:r>
        <w:rPr>
          <w:rFonts w:ascii="Arial"/>
          <w:color w:val="231F20"/>
          <w:spacing w:val="-18"/>
          <w:sz w:val="16"/>
        </w:rPr>
        <w:t> </w:t>
      </w:r>
      <w:r>
        <w:rPr>
          <w:rFonts w:ascii="Arial"/>
          <w:color w:val="231F20"/>
          <w:sz w:val="16"/>
        </w:rPr>
        <w:t>II</w:t>
      </w:r>
      <w:r>
        <w:rPr>
          <w:rFonts w:ascii="Arial"/>
          <w:color w:val="231F20"/>
          <w:spacing w:val="-19"/>
          <w:sz w:val="16"/>
        </w:rPr>
        <w:t> </w:t>
      </w:r>
      <w:r>
        <w:rPr>
          <w:rFonts w:ascii="Arial"/>
          <w:color w:val="231F20"/>
          <w:sz w:val="16"/>
        </w:rPr>
        <w:t>and</w:t>
      </w:r>
      <w:r>
        <w:rPr>
          <w:rFonts w:ascii="Arial"/>
          <w:color w:val="231F20"/>
          <w:spacing w:val="-19"/>
          <w:sz w:val="16"/>
        </w:rPr>
        <w:t> </w:t>
      </w:r>
      <w:r>
        <w:rPr>
          <w:rFonts w:ascii="Arial"/>
          <w:color w:val="231F20"/>
          <w:sz w:val="16"/>
        </w:rPr>
        <w:t>long-term</w:t>
      </w:r>
      <w:r>
        <w:rPr>
          <w:rFonts w:ascii="Arial"/>
          <w:color w:val="231F20"/>
          <w:spacing w:val="-18"/>
          <w:sz w:val="16"/>
        </w:rPr>
        <w:t> </w:t>
      </w:r>
      <w:r>
        <w:rPr>
          <w:rFonts w:ascii="Arial"/>
          <w:color w:val="231F20"/>
          <w:sz w:val="16"/>
        </w:rPr>
        <w:t>arterial</w:t>
      </w:r>
      <w:r>
        <w:rPr>
          <w:rFonts w:ascii="Arial"/>
          <w:color w:val="231F20"/>
          <w:spacing w:val="-19"/>
          <w:sz w:val="16"/>
        </w:rPr>
        <w:t> </w:t>
      </w:r>
      <w:r>
        <w:rPr>
          <w:rFonts w:ascii="Arial"/>
          <w:color w:val="231F20"/>
          <w:sz w:val="16"/>
        </w:rPr>
        <w:t>pressure</w:t>
      </w:r>
      <w:r>
        <w:rPr>
          <w:rFonts w:ascii="Arial"/>
          <w:color w:val="231F20"/>
          <w:spacing w:val="-19"/>
          <w:sz w:val="16"/>
        </w:rPr>
        <w:t> </w:t>
      </w:r>
      <w:r>
        <w:rPr>
          <w:rFonts w:ascii="Arial"/>
          <w:color w:val="231F20"/>
          <w:sz w:val="16"/>
        </w:rPr>
        <w:t>regulation:</w:t>
      </w:r>
      <w:r>
        <w:rPr>
          <w:rFonts w:ascii="Arial"/>
          <w:color w:val="231F20"/>
          <w:spacing w:val="-18"/>
          <w:sz w:val="16"/>
        </w:rPr>
        <w:t> </w:t>
      </w:r>
      <w:r>
        <w:rPr>
          <w:rFonts w:ascii="Arial"/>
          <w:color w:val="231F20"/>
          <w:spacing w:val="-6"/>
          <w:sz w:val="16"/>
        </w:rPr>
        <w:t>the </w:t>
      </w:r>
      <w:r>
        <w:rPr>
          <w:rFonts w:ascii="Arial"/>
          <w:color w:val="231F20"/>
          <w:sz w:val="16"/>
        </w:rPr>
        <w:t>overriding dominance of the </w:t>
      </w:r>
      <w:r>
        <w:rPr>
          <w:rFonts w:ascii="Arial"/>
          <w:color w:val="231F20"/>
          <w:spacing w:val="-3"/>
          <w:sz w:val="16"/>
        </w:rPr>
        <w:t>kidney. </w:t>
      </w:r>
      <w:r>
        <w:rPr>
          <w:rFonts w:ascii="Arial"/>
          <w:color w:val="231F20"/>
          <w:sz w:val="16"/>
        </w:rPr>
        <w:t>J Am Soc Nephrol </w:t>
      </w:r>
      <w:r>
        <w:rPr>
          <w:rFonts w:ascii="Arial"/>
          <w:color w:val="231F20"/>
          <w:spacing w:val="-3"/>
          <w:sz w:val="16"/>
        </w:rPr>
        <w:t>10(Suppl </w:t>
      </w:r>
      <w:r>
        <w:rPr>
          <w:rFonts w:ascii="Arial"/>
          <w:color w:val="231F20"/>
          <w:sz w:val="16"/>
        </w:rPr>
        <w:t>12):s258,</w:t>
      </w:r>
      <w:r>
        <w:rPr>
          <w:rFonts w:ascii="Arial"/>
          <w:color w:val="231F20"/>
          <w:spacing w:val="7"/>
          <w:sz w:val="16"/>
        </w:rPr>
        <w:t> </w:t>
      </w:r>
      <w:r>
        <w:rPr>
          <w:rFonts w:ascii="Arial"/>
          <w:color w:val="231F20"/>
          <w:sz w:val="16"/>
        </w:rPr>
        <w:t>1999.</w:t>
      </w:r>
    </w:p>
    <w:p>
      <w:pPr>
        <w:spacing w:line="261" w:lineRule="auto" w:before="106"/>
        <w:ind w:left="479" w:right="1437" w:hanging="160"/>
        <w:jc w:val="both"/>
        <w:rPr>
          <w:rFonts w:ascii="Arial" w:hAnsi="Arial"/>
          <w:sz w:val="16"/>
        </w:rPr>
      </w:pPr>
      <w:r>
        <w:rPr/>
        <w:br w:type="column"/>
      </w:r>
      <w:r>
        <w:rPr>
          <w:rFonts w:ascii="Arial" w:hAnsi="Arial"/>
          <w:color w:val="231F20"/>
          <w:w w:val="95"/>
          <w:sz w:val="16"/>
        </w:rPr>
        <w:t>Hall</w:t>
      </w:r>
      <w:r>
        <w:rPr>
          <w:rFonts w:ascii="Arial" w:hAnsi="Arial"/>
          <w:color w:val="231F20"/>
          <w:spacing w:val="-5"/>
          <w:w w:val="95"/>
          <w:sz w:val="16"/>
        </w:rPr>
        <w:t> </w:t>
      </w:r>
      <w:r>
        <w:rPr>
          <w:rFonts w:ascii="Arial" w:hAnsi="Arial"/>
          <w:color w:val="231F20"/>
          <w:w w:val="95"/>
          <w:sz w:val="16"/>
        </w:rPr>
        <w:t>JE,</w:t>
      </w:r>
      <w:r>
        <w:rPr>
          <w:rFonts w:ascii="Arial" w:hAnsi="Arial"/>
          <w:color w:val="231F20"/>
          <w:spacing w:val="-4"/>
          <w:w w:val="95"/>
          <w:sz w:val="16"/>
        </w:rPr>
        <w:t> </w:t>
      </w:r>
      <w:r>
        <w:rPr>
          <w:rFonts w:ascii="Arial" w:hAnsi="Arial"/>
          <w:color w:val="231F20"/>
          <w:w w:val="95"/>
          <w:sz w:val="16"/>
        </w:rPr>
        <w:t>Brands</w:t>
      </w:r>
      <w:r>
        <w:rPr>
          <w:rFonts w:ascii="Arial" w:hAnsi="Arial"/>
          <w:color w:val="231F20"/>
          <w:spacing w:val="-5"/>
          <w:w w:val="95"/>
          <w:sz w:val="16"/>
        </w:rPr>
        <w:t> </w:t>
      </w:r>
      <w:r>
        <w:rPr>
          <w:rFonts w:ascii="Arial" w:hAnsi="Arial"/>
          <w:color w:val="231F20"/>
          <w:w w:val="95"/>
          <w:sz w:val="16"/>
        </w:rPr>
        <w:t>MW:</w:t>
      </w:r>
      <w:r>
        <w:rPr>
          <w:rFonts w:ascii="Arial" w:hAnsi="Arial"/>
          <w:color w:val="231F20"/>
          <w:spacing w:val="-4"/>
          <w:w w:val="95"/>
          <w:sz w:val="16"/>
        </w:rPr>
        <w:t> </w:t>
      </w:r>
      <w:r>
        <w:rPr>
          <w:rFonts w:ascii="Arial" w:hAnsi="Arial"/>
          <w:color w:val="231F20"/>
          <w:w w:val="95"/>
          <w:sz w:val="16"/>
        </w:rPr>
        <w:t>The</w:t>
      </w:r>
      <w:r>
        <w:rPr>
          <w:rFonts w:ascii="Arial" w:hAnsi="Arial"/>
          <w:color w:val="231F20"/>
          <w:spacing w:val="-5"/>
          <w:w w:val="95"/>
          <w:sz w:val="16"/>
        </w:rPr>
        <w:t> </w:t>
      </w:r>
      <w:r>
        <w:rPr>
          <w:rFonts w:ascii="Arial" w:hAnsi="Arial"/>
          <w:color w:val="231F20"/>
          <w:w w:val="95"/>
          <w:sz w:val="16"/>
        </w:rPr>
        <w:t>renin-angiotensin-aldosterone</w:t>
      </w:r>
      <w:r>
        <w:rPr>
          <w:rFonts w:ascii="Arial" w:hAnsi="Arial"/>
          <w:color w:val="231F20"/>
          <w:spacing w:val="-4"/>
          <w:w w:val="95"/>
          <w:sz w:val="16"/>
        </w:rPr>
        <w:t> </w:t>
      </w:r>
      <w:r>
        <w:rPr>
          <w:rFonts w:ascii="Arial" w:hAnsi="Arial"/>
          <w:color w:val="231F20"/>
          <w:w w:val="95"/>
          <w:sz w:val="16"/>
        </w:rPr>
        <w:t>system:</w:t>
      </w:r>
      <w:r>
        <w:rPr>
          <w:rFonts w:ascii="Arial" w:hAnsi="Arial"/>
          <w:color w:val="231F20"/>
          <w:spacing w:val="-5"/>
          <w:w w:val="95"/>
          <w:sz w:val="16"/>
        </w:rPr>
        <w:t> </w:t>
      </w:r>
      <w:r>
        <w:rPr>
          <w:rFonts w:ascii="Arial" w:hAnsi="Arial"/>
          <w:color w:val="231F20"/>
          <w:w w:val="95"/>
          <w:sz w:val="16"/>
        </w:rPr>
        <w:t>renal </w:t>
      </w:r>
      <w:r>
        <w:rPr>
          <w:rFonts w:ascii="Arial" w:hAnsi="Arial"/>
          <w:color w:val="231F20"/>
          <w:sz w:val="16"/>
        </w:rPr>
        <w:t>mechanisms</w:t>
      </w:r>
      <w:r>
        <w:rPr>
          <w:rFonts w:ascii="Arial" w:hAnsi="Arial"/>
          <w:color w:val="231F20"/>
          <w:spacing w:val="-26"/>
          <w:sz w:val="16"/>
        </w:rPr>
        <w:t> </w:t>
      </w:r>
      <w:r>
        <w:rPr>
          <w:rFonts w:ascii="Arial" w:hAnsi="Arial"/>
          <w:color w:val="231F20"/>
          <w:sz w:val="16"/>
        </w:rPr>
        <w:t>and</w:t>
      </w:r>
      <w:r>
        <w:rPr>
          <w:rFonts w:ascii="Arial" w:hAnsi="Arial"/>
          <w:color w:val="231F20"/>
          <w:spacing w:val="-25"/>
          <w:sz w:val="16"/>
        </w:rPr>
        <w:t> </w:t>
      </w:r>
      <w:r>
        <w:rPr>
          <w:rFonts w:ascii="Arial" w:hAnsi="Arial"/>
          <w:color w:val="231F20"/>
          <w:sz w:val="16"/>
        </w:rPr>
        <w:t>circulatory</w:t>
      </w:r>
      <w:r>
        <w:rPr>
          <w:rFonts w:ascii="Arial" w:hAnsi="Arial"/>
          <w:color w:val="231F20"/>
          <w:spacing w:val="-25"/>
          <w:sz w:val="16"/>
        </w:rPr>
        <w:t> </w:t>
      </w:r>
      <w:r>
        <w:rPr>
          <w:rFonts w:ascii="Arial" w:hAnsi="Arial"/>
          <w:color w:val="231F20"/>
          <w:sz w:val="16"/>
        </w:rPr>
        <w:t>homeostasis.</w:t>
      </w:r>
      <w:r>
        <w:rPr>
          <w:rFonts w:ascii="Arial" w:hAnsi="Arial"/>
          <w:color w:val="231F20"/>
          <w:spacing w:val="-25"/>
          <w:sz w:val="16"/>
        </w:rPr>
        <w:t> </w:t>
      </w:r>
      <w:r>
        <w:rPr>
          <w:rFonts w:ascii="Arial" w:hAnsi="Arial"/>
          <w:color w:val="231F20"/>
          <w:sz w:val="16"/>
        </w:rPr>
        <w:t>In:</w:t>
      </w:r>
      <w:r>
        <w:rPr>
          <w:rFonts w:ascii="Arial" w:hAnsi="Arial"/>
          <w:color w:val="231F20"/>
          <w:spacing w:val="-25"/>
          <w:sz w:val="16"/>
        </w:rPr>
        <w:t> </w:t>
      </w:r>
      <w:r>
        <w:rPr>
          <w:rFonts w:ascii="Arial" w:hAnsi="Arial"/>
          <w:color w:val="231F20"/>
          <w:sz w:val="16"/>
        </w:rPr>
        <w:t>Seldin</w:t>
      </w:r>
      <w:r>
        <w:rPr>
          <w:rFonts w:ascii="Arial" w:hAnsi="Arial"/>
          <w:color w:val="231F20"/>
          <w:spacing w:val="-25"/>
          <w:sz w:val="16"/>
        </w:rPr>
        <w:t> </w:t>
      </w:r>
      <w:r>
        <w:rPr>
          <w:rFonts w:ascii="Arial" w:hAnsi="Arial"/>
          <w:color w:val="231F20"/>
          <w:spacing w:val="-4"/>
          <w:sz w:val="16"/>
        </w:rPr>
        <w:t>DW,</w:t>
      </w:r>
      <w:r>
        <w:rPr>
          <w:rFonts w:ascii="Arial" w:hAnsi="Arial"/>
          <w:color w:val="231F20"/>
          <w:spacing w:val="-25"/>
          <w:sz w:val="16"/>
        </w:rPr>
        <w:t> </w:t>
      </w:r>
      <w:r>
        <w:rPr>
          <w:rFonts w:ascii="Arial" w:hAnsi="Arial"/>
          <w:color w:val="231F20"/>
          <w:sz w:val="16"/>
        </w:rPr>
        <w:t>Giebisch </w:t>
      </w:r>
      <w:r>
        <w:rPr>
          <w:rFonts w:ascii="Arial" w:hAnsi="Arial"/>
          <w:color w:val="231F20"/>
          <w:w w:val="95"/>
          <w:sz w:val="16"/>
        </w:rPr>
        <w:t>G</w:t>
      </w:r>
      <w:r>
        <w:rPr>
          <w:rFonts w:ascii="Arial" w:hAnsi="Arial"/>
          <w:color w:val="231F20"/>
          <w:spacing w:val="-11"/>
          <w:w w:val="95"/>
          <w:sz w:val="16"/>
        </w:rPr>
        <w:t> </w:t>
      </w:r>
      <w:r>
        <w:rPr>
          <w:rFonts w:ascii="Arial" w:hAnsi="Arial"/>
          <w:color w:val="231F20"/>
          <w:w w:val="95"/>
          <w:sz w:val="16"/>
        </w:rPr>
        <w:t>(eds):</w:t>
      </w:r>
      <w:r>
        <w:rPr>
          <w:rFonts w:ascii="Arial" w:hAnsi="Arial"/>
          <w:color w:val="231F20"/>
          <w:spacing w:val="-11"/>
          <w:w w:val="95"/>
          <w:sz w:val="16"/>
        </w:rPr>
        <w:t> </w:t>
      </w:r>
      <w:r>
        <w:rPr>
          <w:rFonts w:ascii="Arial" w:hAnsi="Arial"/>
          <w:color w:val="231F20"/>
          <w:w w:val="95"/>
          <w:sz w:val="16"/>
        </w:rPr>
        <w:t>The</w:t>
      </w:r>
      <w:r>
        <w:rPr>
          <w:rFonts w:ascii="Arial" w:hAnsi="Arial"/>
          <w:color w:val="231F20"/>
          <w:spacing w:val="-11"/>
          <w:w w:val="95"/>
          <w:sz w:val="16"/>
        </w:rPr>
        <w:t> </w:t>
      </w:r>
      <w:r>
        <w:rPr>
          <w:rFonts w:ascii="Arial" w:hAnsi="Arial"/>
          <w:color w:val="231F20"/>
          <w:w w:val="95"/>
          <w:sz w:val="16"/>
        </w:rPr>
        <w:t>Kidney—Physiology</w:t>
      </w:r>
      <w:r>
        <w:rPr>
          <w:rFonts w:ascii="Arial" w:hAnsi="Arial"/>
          <w:color w:val="231F20"/>
          <w:spacing w:val="-11"/>
          <w:w w:val="95"/>
          <w:sz w:val="16"/>
        </w:rPr>
        <w:t> </w:t>
      </w:r>
      <w:r>
        <w:rPr>
          <w:rFonts w:ascii="Arial" w:hAnsi="Arial"/>
          <w:color w:val="231F20"/>
          <w:w w:val="95"/>
          <w:sz w:val="16"/>
        </w:rPr>
        <w:t>and</w:t>
      </w:r>
      <w:r>
        <w:rPr>
          <w:rFonts w:ascii="Arial" w:hAnsi="Arial"/>
          <w:color w:val="231F20"/>
          <w:spacing w:val="-10"/>
          <w:w w:val="95"/>
          <w:sz w:val="16"/>
        </w:rPr>
        <w:t> </w:t>
      </w:r>
      <w:r>
        <w:rPr>
          <w:rFonts w:ascii="Arial" w:hAnsi="Arial"/>
          <w:color w:val="231F20"/>
          <w:w w:val="95"/>
          <w:sz w:val="16"/>
        </w:rPr>
        <w:t>Pathophysiology,</w:t>
      </w:r>
      <w:r>
        <w:rPr>
          <w:rFonts w:ascii="Arial" w:hAnsi="Arial"/>
          <w:color w:val="231F20"/>
          <w:spacing w:val="-11"/>
          <w:w w:val="95"/>
          <w:sz w:val="16"/>
        </w:rPr>
        <w:t> </w:t>
      </w:r>
      <w:r>
        <w:rPr>
          <w:rFonts w:ascii="Arial" w:hAnsi="Arial"/>
          <w:color w:val="231F20"/>
          <w:w w:val="95"/>
          <w:sz w:val="16"/>
        </w:rPr>
        <w:t>3rd</w:t>
      </w:r>
      <w:r>
        <w:rPr>
          <w:rFonts w:ascii="Arial" w:hAnsi="Arial"/>
          <w:color w:val="231F20"/>
          <w:spacing w:val="-11"/>
          <w:w w:val="95"/>
          <w:sz w:val="16"/>
        </w:rPr>
        <w:t> </w:t>
      </w:r>
      <w:r>
        <w:rPr>
          <w:rFonts w:ascii="Arial" w:hAnsi="Arial"/>
          <w:color w:val="231F20"/>
          <w:w w:val="95"/>
          <w:sz w:val="16"/>
        </w:rPr>
        <w:t>ed.</w:t>
      </w:r>
      <w:r>
        <w:rPr>
          <w:rFonts w:ascii="Arial" w:hAnsi="Arial"/>
          <w:color w:val="231F20"/>
          <w:spacing w:val="-11"/>
          <w:w w:val="95"/>
          <w:sz w:val="16"/>
        </w:rPr>
        <w:t> </w:t>
      </w:r>
      <w:r>
        <w:rPr>
          <w:rFonts w:ascii="Arial" w:hAnsi="Arial"/>
          <w:color w:val="231F20"/>
          <w:spacing w:val="-4"/>
          <w:w w:val="95"/>
          <w:sz w:val="16"/>
        </w:rPr>
        <w:t>New </w:t>
      </w:r>
      <w:r>
        <w:rPr>
          <w:rFonts w:ascii="Arial" w:hAnsi="Arial"/>
          <w:color w:val="231F20"/>
          <w:spacing w:val="-3"/>
          <w:sz w:val="16"/>
        </w:rPr>
        <w:t>York: </w:t>
      </w:r>
      <w:r>
        <w:rPr>
          <w:rFonts w:ascii="Arial" w:hAnsi="Arial"/>
          <w:color w:val="231F20"/>
          <w:sz w:val="16"/>
        </w:rPr>
        <w:t>Raven Press, 2000, pp</w:t>
      </w:r>
      <w:r>
        <w:rPr>
          <w:rFonts w:ascii="Arial" w:hAnsi="Arial"/>
          <w:color w:val="231F20"/>
          <w:spacing w:val="25"/>
          <w:sz w:val="16"/>
        </w:rPr>
        <w:t> </w:t>
      </w:r>
      <w:r>
        <w:rPr>
          <w:rFonts w:ascii="Arial" w:hAnsi="Arial"/>
          <w:color w:val="231F20"/>
          <w:sz w:val="16"/>
        </w:rPr>
        <w:t>1009-1046.</w:t>
      </w:r>
    </w:p>
    <w:p>
      <w:pPr>
        <w:spacing w:line="261" w:lineRule="auto" w:before="0"/>
        <w:ind w:left="299" w:right="1437" w:firstLine="0"/>
        <w:jc w:val="right"/>
        <w:rPr>
          <w:rFonts w:ascii="Arial"/>
          <w:sz w:val="16"/>
        </w:rPr>
      </w:pPr>
      <w:r>
        <w:rPr>
          <w:rFonts w:ascii="Arial"/>
          <w:color w:val="231F20"/>
          <w:sz w:val="16"/>
        </w:rPr>
        <w:t>Hall</w:t>
      </w:r>
      <w:r>
        <w:rPr>
          <w:rFonts w:ascii="Arial"/>
          <w:color w:val="231F20"/>
          <w:spacing w:val="8"/>
          <w:sz w:val="16"/>
        </w:rPr>
        <w:t> </w:t>
      </w:r>
      <w:r>
        <w:rPr>
          <w:rFonts w:ascii="Arial"/>
          <w:color w:val="231F20"/>
          <w:sz w:val="16"/>
        </w:rPr>
        <w:t>ME,</w:t>
      </w:r>
      <w:r>
        <w:rPr>
          <w:rFonts w:ascii="Arial"/>
          <w:color w:val="231F20"/>
          <w:spacing w:val="8"/>
          <w:sz w:val="16"/>
        </w:rPr>
        <w:t> </w:t>
      </w:r>
      <w:r>
        <w:rPr>
          <w:rFonts w:ascii="Arial"/>
          <w:color w:val="231F20"/>
          <w:sz w:val="16"/>
        </w:rPr>
        <w:t>do</w:t>
      </w:r>
      <w:r>
        <w:rPr>
          <w:rFonts w:ascii="Arial"/>
          <w:color w:val="231F20"/>
          <w:spacing w:val="9"/>
          <w:sz w:val="16"/>
        </w:rPr>
        <w:t> </w:t>
      </w:r>
      <w:r>
        <w:rPr>
          <w:rFonts w:ascii="Arial"/>
          <w:color w:val="231F20"/>
          <w:sz w:val="16"/>
        </w:rPr>
        <w:t>Carmo</w:t>
      </w:r>
      <w:r>
        <w:rPr>
          <w:rFonts w:ascii="Arial"/>
          <w:color w:val="231F20"/>
          <w:spacing w:val="8"/>
          <w:sz w:val="16"/>
        </w:rPr>
        <w:t> </w:t>
      </w:r>
      <w:r>
        <w:rPr>
          <w:rFonts w:ascii="Arial"/>
          <w:color w:val="231F20"/>
          <w:sz w:val="16"/>
        </w:rPr>
        <w:t>JM,</w:t>
      </w:r>
      <w:r>
        <w:rPr>
          <w:rFonts w:ascii="Arial"/>
          <w:color w:val="231F20"/>
          <w:spacing w:val="8"/>
          <w:sz w:val="16"/>
        </w:rPr>
        <w:t> </w:t>
      </w:r>
      <w:r>
        <w:rPr>
          <w:rFonts w:ascii="Arial"/>
          <w:color w:val="231F20"/>
          <w:sz w:val="16"/>
        </w:rPr>
        <w:t>da</w:t>
      </w:r>
      <w:r>
        <w:rPr>
          <w:rFonts w:ascii="Arial"/>
          <w:color w:val="231F20"/>
          <w:spacing w:val="9"/>
          <w:sz w:val="16"/>
        </w:rPr>
        <w:t> </w:t>
      </w:r>
      <w:r>
        <w:rPr>
          <w:rFonts w:ascii="Arial"/>
          <w:color w:val="231F20"/>
          <w:sz w:val="16"/>
        </w:rPr>
        <w:t>Silva</w:t>
      </w:r>
      <w:r>
        <w:rPr>
          <w:rFonts w:ascii="Arial"/>
          <w:color w:val="231F20"/>
          <w:spacing w:val="8"/>
          <w:sz w:val="16"/>
        </w:rPr>
        <w:t> </w:t>
      </w:r>
      <w:r>
        <w:rPr>
          <w:rFonts w:ascii="Arial"/>
          <w:color w:val="231F20"/>
          <w:sz w:val="16"/>
        </w:rPr>
        <w:t>AA,</w:t>
      </w:r>
      <w:r>
        <w:rPr>
          <w:rFonts w:ascii="Arial"/>
          <w:color w:val="231F20"/>
          <w:spacing w:val="8"/>
          <w:sz w:val="16"/>
        </w:rPr>
        <w:t> </w:t>
      </w:r>
      <w:r>
        <w:rPr>
          <w:rFonts w:ascii="Arial"/>
          <w:color w:val="231F20"/>
          <w:sz w:val="16"/>
        </w:rPr>
        <w:t>et</w:t>
      </w:r>
      <w:r>
        <w:rPr>
          <w:rFonts w:ascii="Arial"/>
          <w:color w:val="231F20"/>
          <w:spacing w:val="9"/>
          <w:sz w:val="16"/>
        </w:rPr>
        <w:t> </w:t>
      </w:r>
      <w:r>
        <w:rPr>
          <w:rFonts w:ascii="Arial"/>
          <w:color w:val="231F20"/>
          <w:sz w:val="16"/>
        </w:rPr>
        <w:t>al:</w:t>
      </w:r>
      <w:r>
        <w:rPr>
          <w:rFonts w:ascii="Arial"/>
          <w:color w:val="231F20"/>
          <w:spacing w:val="8"/>
          <w:sz w:val="16"/>
        </w:rPr>
        <w:t> </w:t>
      </w:r>
      <w:r>
        <w:rPr>
          <w:rFonts w:ascii="Arial"/>
          <w:color w:val="231F20"/>
          <w:sz w:val="16"/>
        </w:rPr>
        <w:t>Obesity,</w:t>
      </w:r>
      <w:r>
        <w:rPr>
          <w:rFonts w:ascii="Arial"/>
          <w:color w:val="231F20"/>
          <w:spacing w:val="9"/>
          <w:sz w:val="16"/>
        </w:rPr>
        <w:t> </w:t>
      </w:r>
      <w:r>
        <w:rPr>
          <w:rFonts w:ascii="Arial"/>
          <w:color w:val="231F20"/>
          <w:spacing w:val="-2"/>
          <w:sz w:val="16"/>
        </w:rPr>
        <w:t>hypertension,</w:t>
      </w:r>
      <w:r>
        <w:rPr>
          <w:rFonts w:ascii="Arial"/>
          <w:color w:val="231F20"/>
          <w:w w:val="96"/>
          <w:sz w:val="16"/>
        </w:rPr>
        <w:t> </w:t>
      </w:r>
      <w:r>
        <w:rPr>
          <w:rFonts w:ascii="Arial"/>
          <w:color w:val="231F20"/>
          <w:sz w:val="16"/>
        </w:rPr>
        <w:t>and</w:t>
      </w:r>
      <w:r>
        <w:rPr>
          <w:rFonts w:ascii="Arial"/>
          <w:color w:val="231F20"/>
          <w:spacing w:val="-29"/>
          <w:sz w:val="16"/>
        </w:rPr>
        <w:t> </w:t>
      </w:r>
      <w:r>
        <w:rPr>
          <w:rFonts w:ascii="Arial"/>
          <w:color w:val="231F20"/>
          <w:sz w:val="16"/>
        </w:rPr>
        <w:t>chronic</w:t>
      </w:r>
      <w:r>
        <w:rPr>
          <w:rFonts w:ascii="Arial"/>
          <w:color w:val="231F20"/>
          <w:spacing w:val="-29"/>
          <w:sz w:val="16"/>
        </w:rPr>
        <w:t> </w:t>
      </w:r>
      <w:r>
        <w:rPr>
          <w:rFonts w:ascii="Arial"/>
          <w:color w:val="231F20"/>
          <w:sz w:val="16"/>
        </w:rPr>
        <w:t>kidney</w:t>
      </w:r>
      <w:r>
        <w:rPr>
          <w:rFonts w:ascii="Arial"/>
          <w:color w:val="231F20"/>
          <w:spacing w:val="-28"/>
          <w:sz w:val="16"/>
        </w:rPr>
        <w:t> </w:t>
      </w:r>
      <w:r>
        <w:rPr>
          <w:rFonts w:ascii="Arial"/>
          <w:color w:val="231F20"/>
          <w:sz w:val="16"/>
        </w:rPr>
        <w:t>disease.</w:t>
      </w:r>
      <w:r>
        <w:rPr>
          <w:rFonts w:ascii="Arial"/>
          <w:color w:val="231F20"/>
          <w:spacing w:val="-29"/>
          <w:sz w:val="16"/>
        </w:rPr>
        <w:t> </w:t>
      </w:r>
      <w:r>
        <w:rPr>
          <w:rFonts w:ascii="Arial"/>
          <w:color w:val="231F20"/>
          <w:sz w:val="16"/>
        </w:rPr>
        <w:t>Int</w:t>
      </w:r>
      <w:r>
        <w:rPr>
          <w:rFonts w:ascii="Arial"/>
          <w:color w:val="231F20"/>
          <w:spacing w:val="-28"/>
          <w:sz w:val="16"/>
        </w:rPr>
        <w:t> </w:t>
      </w:r>
      <w:r>
        <w:rPr>
          <w:rFonts w:ascii="Arial"/>
          <w:color w:val="231F20"/>
          <w:sz w:val="16"/>
        </w:rPr>
        <w:t>J</w:t>
      </w:r>
      <w:r>
        <w:rPr>
          <w:rFonts w:ascii="Arial"/>
          <w:color w:val="231F20"/>
          <w:spacing w:val="-29"/>
          <w:sz w:val="16"/>
        </w:rPr>
        <w:t> </w:t>
      </w:r>
      <w:r>
        <w:rPr>
          <w:rFonts w:ascii="Arial"/>
          <w:color w:val="231F20"/>
          <w:sz w:val="16"/>
        </w:rPr>
        <w:t>Nephrol</w:t>
      </w:r>
      <w:r>
        <w:rPr>
          <w:rFonts w:ascii="Arial"/>
          <w:color w:val="231F20"/>
          <w:spacing w:val="-28"/>
          <w:sz w:val="16"/>
        </w:rPr>
        <w:t> </w:t>
      </w:r>
      <w:r>
        <w:rPr>
          <w:rFonts w:ascii="Arial"/>
          <w:color w:val="231F20"/>
          <w:sz w:val="16"/>
        </w:rPr>
        <w:t>Renovasc</w:t>
      </w:r>
      <w:r>
        <w:rPr>
          <w:rFonts w:ascii="Arial"/>
          <w:color w:val="231F20"/>
          <w:spacing w:val="-29"/>
          <w:sz w:val="16"/>
        </w:rPr>
        <w:t> </w:t>
      </w:r>
      <w:r>
        <w:rPr>
          <w:rFonts w:ascii="Arial"/>
          <w:color w:val="231F20"/>
          <w:sz w:val="16"/>
        </w:rPr>
        <w:t>Dis</w:t>
      </w:r>
      <w:r>
        <w:rPr>
          <w:rFonts w:ascii="Arial"/>
          <w:color w:val="231F20"/>
          <w:spacing w:val="-28"/>
          <w:sz w:val="16"/>
        </w:rPr>
        <w:t> </w:t>
      </w:r>
      <w:r>
        <w:rPr>
          <w:rFonts w:ascii="Arial"/>
          <w:color w:val="231F20"/>
          <w:sz w:val="16"/>
        </w:rPr>
        <w:t>7:75,</w:t>
      </w:r>
      <w:r>
        <w:rPr>
          <w:rFonts w:ascii="Arial"/>
          <w:color w:val="231F20"/>
          <w:spacing w:val="-29"/>
          <w:sz w:val="16"/>
        </w:rPr>
        <w:t> </w:t>
      </w:r>
      <w:r>
        <w:rPr>
          <w:rFonts w:ascii="Arial"/>
          <w:color w:val="231F20"/>
          <w:sz w:val="16"/>
        </w:rPr>
        <w:t>2014.</w:t>
      </w:r>
      <w:r>
        <w:rPr>
          <w:rFonts w:ascii="Arial"/>
          <w:color w:val="231F20"/>
          <w:w w:val="99"/>
          <w:sz w:val="16"/>
        </w:rPr>
        <w:t> </w:t>
      </w:r>
      <w:r>
        <w:rPr>
          <w:rFonts w:ascii="Arial"/>
          <w:color w:val="231F20"/>
          <w:sz w:val="16"/>
        </w:rPr>
        <w:t>Hansell </w:t>
      </w:r>
      <w:r>
        <w:rPr>
          <w:rFonts w:ascii="Arial"/>
          <w:color w:val="231F20"/>
          <w:spacing w:val="-13"/>
          <w:sz w:val="16"/>
        </w:rPr>
        <w:t>P, </w:t>
      </w:r>
      <w:r>
        <w:rPr>
          <w:rFonts w:ascii="Arial"/>
          <w:color w:val="231F20"/>
          <w:sz w:val="16"/>
        </w:rPr>
        <w:t>Welch WJ, Blantz RC, Palm F: Determinants</w:t>
      </w:r>
      <w:r>
        <w:rPr>
          <w:rFonts w:ascii="Arial"/>
          <w:color w:val="231F20"/>
          <w:spacing w:val="40"/>
          <w:sz w:val="16"/>
        </w:rPr>
        <w:t> </w:t>
      </w:r>
      <w:r>
        <w:rPr>
          <w:rFonts w:ascii="Arial"/>
          <w:color w:val="231F20"/>
          <w:sz w:val="16"/>
        </w:rPr>
        <w:t>of</w:t>
      </w:r>
      <w:r>
        <w:rPr>
          <w:rFonts w:ascii="Arial"/>
          <w:color w:val="231F20"/>
          <w:spacing w:val="7"/>
          <w:sz w:val="16"/>
        </w:rPr>
        <w:t> </w:t>
      </w:r>
      <w:r>
        <w:rPr>
          <w:rFonts w:ascii="Arial"/>
          <w:color w:val="231F20"/>
          <w:sz w:val="16"/>
        </w:rPr>
        <w:t>kidney</w:t>
      </w:r>
      <w:r>
        <w:rPr>
          <w:rFonts w:ascii="Arial"/>
          <w:color w:val="231F20"/>
          <w:w w:val="96"/>
          <w:sz w:val="16"/>
        </w:rPr>
        <w:t> </w:t>
      </w:r>
      <w:r>
        <w:rPr>
          <w:rFonts w:ascii="Arial"/>
          <w:color w:val="231F20"/>
          <w:sz w:val="16"/>
        </w:rPr>
        <w:t>oxygen consumption and their relationship to</w:t>
      </w:r>
      <w:r>
        <w:rPr>
          <w:rFonts w:ascii="Arial"/>
          <w:color w:val="231F20"/>
          <w:spacing w:val="7"/>
          <w:sz w:val="16"/>
        </w:rPr>
        <w:t> </w:t>
      </w:r>
      <w:r>
        <w:rPr>
          <w:rFonts w:ascii="Arial"/>
          <w:color w:val="231F20"/>
          <w:sz w:val="16"/>
        </w:rPr>
        <w:t>tissue</w:t>
      </w:r>
      <w:r>
        <w:rPr>
          <w:rFonts w:ascii="Arial"/>
          <w:color w:val="231F20"/>
          <w:spacing w:val="1"/>
          <w:sz w:val="16"/>
        </w:rPr>
        <w:t> </w:t>
      </w:r>
      <w:r>
        <w:rPr>
          <w:rFonts w:ascii="Arial"/>
          <w:color w:val="231F20"/>
          <w:sz w:val="16"/>
        </w:rPr>
        <w:t>oxygen</w:t>
      </w:r>
      <w:r>
        <w:rPr>
          <w:rFonts w:ascii="Arial"/>
          <w:color w:val="231F20"/>
          <w:w w:val="94"/>
          <w:sz w:val="16"/>
        </w:rPr>
        <w:t> </w:t>
      </w:r>
      <w:r>
        <w:rPr>
          <w:rFonts w:ascii="Arial"/>
          <w:color w:val="231F20"/>
          <w:sz w:val="16"/>
        </w:rPr>
        <w:t>tension</w:t>
      </w:r>
      <w:r>
        <w:rPr>
          <w:rFonts w:ascii="Arial"/>
          <w:color w:val="231F20"/>
          <w:spacing w:val="-19"/>
          <w:sz w:val="16"/>
        </w:rPr>
        <w:t> </w:t>
      </w:r>
      <w:r>
        <w:rPr>
          <w:rFonts w:ascii="Arial"/>
          <w:color w:val="231F20"/>
          <w:sz w:val="16"/>
        </w:rPr>
        <w:t>in</w:t>
      </w:r>
      <w:r>
        <w:rPr>
          <w:rFonts w:ascii="Arial"/>
          <w:color w:val="231F20"/>
          <w:spacing w:val="-18"/>
          <w:sz w:val="16"/>
        </w:rPr>
        <w:t> </w:t>
      </w:r>
      <w:r>
        <w:rPr>
          <w:rFonts w:ascii="Arial"/>
          <w:color w:val="231F20"/>
          <w:sz w:val="16"/>
        </w:rPr>
        <w:t>diabetes</w:t>
      </w:r>
      <w:r>
        <w:rPr>
          <w:rFonts w:ascii="Arial"/>
          <w:color w:val="231F20"/>
          <w:spacing w:val="-19"/>
          <w:sz w:val="16"/>
        </w:rPr>
        <w:t> </w:t>
      </w:r>
      <w:r>
        <w:rPr>
          <w:rFonts w:ascii="Arial"/>
          <w:color w:val="231F20"/>
          <w:sz w:val="16"/>
        </w:rPr>
        <w:t>and</w:t>
      </w:r>
      <w:r>
        <w:rPr>
          <w:rFonts w:ascii="Arial"/>
          <w:color w:val="231F20"/>
          <w:spacing w:val="-18"/>
          <w:sz w:val="16"/>
        </w:rPr>
        <w:t> </w:t>
      </w:r>
      <w:r>
        <w:rPr>
          <w:rFonts w:ascii="Arial"/>
          <w:color w:val="231F20"/>
          <w:sz w:val="16"/>
        </w:rPr>
        <w:t>hypertension.</w:t>
      </w:r>
      <w:r>
        <w:rPr>
          <w:rFonts w:ascii="Arial"/>
          <w:color w:val="231F20"/>
          <w:spacing w:val="-18"/>
          <w:sz w:val="16"/>
        </w:rPr>
        <w:t> </w:t>
      </w:r>
      <w:r>
        <w:rPr>
          <w:rFonts w:ascii="Arial"/>
          <w:color w:val="231F20"/>
          <w:sz w:val="16"/>
        </w:rPr>
        <w:t>Clin</w:t>
      </w:r>
      <w:r>
        <w:rPr>
          <w:rFonts w:ascii="Arial"/>
          <w:color w:val="231F20"/>
          <w:spacing w:val="-19"/>
          <w:sz w:val="16"/>
        </w:rPr>
        <w:t> </w:t>
      </w:r>
      <w:r>
        <w:rPr>
          <w:rFonts w:ascii="Arial"/>
          <w:color w:val="231F20"/>
          <w:sz w:val="16"/>
        </w:rPr>
        <w:t>Exp</w:t>
      </w:r>
      <w:r>
        <w:rPr>
          <w:rFonts w:ascii="Arial"/>
          <w:color w:val="231F20"/>
          <w:spacing w:val="-18"/>
          <w:sz w:val="16"/>
        </w:rPr>
        <w:t> </w:t>
      </w:r>
      <w:r>
        <w:rPr>
          <w:rFonts w:ascii="Arial"/>
          <w:color w:val="231F20"/>
          <w:sz w:val="16"/>
        </w:rPr>
        <w:t>Pharmacol</w:t>
      </w:r>
      <w:r>
        <w:rPr>
          <w:rFonts w:ascii="Arial"/>
          <w:color w:val="231F20"/>
          <w:spacing w:val="-18"/>
          <w:sz w:val="16"/>
        </w:rPr>
        <w:t> </w:t>
      </w:r>
      <w:r>
        <w:rPr>
          <w:rFonts w:ascii="Arial"/>
          <w:color w:val="231F20"/>
          <w:sz w:val="16"/>
        </w:rPr>
        <w:t>Physiol</w:t>
      </w:r>
    </w:p>
    <w:p>
      <w:pPr>
        <w:spacing w:line="181" w:lineRule="exact" w:before="0"/>
        <w:ind w:left="479" w:right="0" w:firstLine="0"/>
        <w:jc w:val="both"/>
        <w:rPr>
          <w:rFonts w:ascii="Arial"/>
          <w:sz w:val="16"/>
        </w:rPr>
      </w:pPr>
      <w:r>
        <w:rPr>
          <w:rFonts w:ascii="Arial"/>
          <w:color w:val="231F20"/>
          <w:sz w:val="16"/>
        </w:rPr>
        <w:t>40:123, 2013.</w:t>
      </w:r>
    </w:p>
    <w:p>
      <w:pPr>
        <w:spacing w:line="261" w:lineRule="auto" w:before="13"/>
        <w:ind w:left="479" w:right="1437" w:hanging="160"/>
        <w:jc w:val="both"/>
        <w:rPr>
          <w:rFonts w:ascii="Arial" w:hAnsi="Arial"/>
          <w:sz w:val="16"/>
        </w:rPr>
      </w:pPr>
      <w:r>
        <w:rPr>
          <w:rFonts w:ascii="Arial" w:hAnsi="Arial"/>
          <w:color w:val="231F20"/>
          <w:sz w:val="16"/>
        </w:rPr>
        <w:t>Haraldsson</w:t>
      </w:r>
      <w:r>
        <w:rPr>
          <w:rFonts w:ascii="Arial" w:hAnsi="Arial"/>
          <w:color w:val="231F20"/>
          <w:spacing w:val="-13"/>
          <w:sz w:val="16"/>
        </w:rPr>
        <w:t> </w:t>
      </w:r>
      <w:r>
        <w:rPr>
          <w:rFonts w:ascii="Arial" w:hAnsi="Arial"/>
          <w:color w:val="231F20"/>
          <w:sz w:val="16"/>
        </w:rPr>
        <w:t>B,</w:t>
      </w:r>
      <w:r>
        <w:rPr>
          <w:rFonts w:ascii="Arial" w:hAnsi="Arial"/>
          <w:color w:val="231F20"/>
          <w:spacing w:val="-12"/>
          <w:sz w:val="16"/>
        </w:rPr>
        <w:t> </w:t>
      </w:r>
      <w:r>
        <w:rPr>
          <w:rFonts w:ascii="Arial" w:hAnsi="Arial"/>
          <w:color w:val="231F20"/>
          <w:sz w:val="16"/>
        </w:rPr>
        <w:t>Sörensson</w:t>
      </w:r>
      <w:r>
        <w:rPr>
          <w:rFonts w:ascii="Arial" w:hAnsi="Arial"/>
          <w:color w:val="231F20"/>
          <w:spacing w:val="-12"/>
          <w:sz w:val="16"/>
        </w:rPr>
        <w:t> </w:t>
      </w:r>
      <w:r>
        <w:rPr>
          <w:rFonts w:ascii="Arial" w:hAnsi="Arial"/>
          <w:color w:val="231F20"/>
          <w:sz w:val="16"/>
        </w:rPr>
        <w:t>J:</w:t>
      </w:r>
      <w:r>
        <w:rPr>
          <w:rFonts w:ascii="Arial" w:hAnsi="Arial"/>
          <w:color w:val="231F20"/>
          <w:spacing w:val="-13"/>
          <w:sz w:val="16"/>
        </w:rPr>
        <w:t> </w:t>
      </w:r>
      <w:r>
        <w:rPr>
          <w:rFonts w:ascii="Arial" w:hAnsi="Arial"/>
          <w:color w:val="231F20"/>
          <w:sz w:val="16"/>
        </w:rPr>
        <w:t>Why</w:t>
      </w:r>
      <w:r>
        <w:rPr>
          <w:rFonts w:ascii="Arial" w:hAnsi="Arial"/>
          <w:color w:val="231F20"/>
          <w:spacing w:val="-12"/>
          <w:sz w:val="16"/>
        </w:rPr>
        <w:t> </w:t>
      </w:r>
      <w:r>
        <w:rPr>
          <w:rFonts w:ascii="Arial" w:hAnsi="Arial"/>
          <w:color w:val="231F20"/>
          <w:sz w:val="16"/>
        </w:rPr>
        <w:t>do</w:t>
      </w:r>
      <w:r>
        <w:rPr>
          <w:rFonts w:ascii="Arial" w:hAnsi="Arial"/>
          <w:color w:val="231F20"/>
          <w:spacing w:val="-12"/>
          <w:sz w:val="16"/>
        </w:rPr>
        <w:t> </w:t>
      </w:r>
      <w:r>
        <w:rPr>
          <w:rFonts w:ascii="Arial" w:hAnsi="Arial"/>
          <w:color w:val="231F20"/>
          <w:sz w:val="16"/>
        </w:rPr>
        <w:t>we</w:t>
      </w:r>
      <w:r>
        <w:rPr>
          <w:rFonts w:ascii="Arial" w:hAnsi="Arial"/>
          <w:color w:val="231F20"/>
          <w:spacing w:val="-13"/>
          <w:sz w:val="16"/>
        </w:rPr>
        <w:t> </w:t>
      </w:r>
      <w:r>
        <w:rPr>
          <w:rFonts w:ascii="Arial" w:hAnsi="Arial"/>
          <w:color w:val="231F20"/>
          <w:sz w:val="16"/>
        </w:rPr>
        <w:t>not</w:t>
      </w:r>
      <w:r>
        <w:rPr>
          <w:rFonts w:ascii="Arial" w:hAnsi="Arial"/>
          <w:color w:val="231F20"/>
          <w:spacing w:val="-12"/>
          <w:sz w:val="16"/>
        </w:rPr>
        <w:t> </w:t>
      </w:r>
      <w:r>
        <w:rPr>
          <w:rFonts w:ascii="Arial" w:hAnsi="Arial"/>
          <w:color w:val="231F20"/>
          <w:sz w:val="16"/>
        </w:rPr>
        <w:t>all</w:t>
      </w:r>
      <w:r>
        <w:rPr>
          <w:rFonts w:ascii="Arial" w:hAnsi="Arial"/>
          <w:color w:val="231F20"/>
          <w:spacing w:val="-12"/>
          <w:sz w:val="16"/>
        </w:rPr>
        <w:t> </w:t>
      </w:r>
      <w:r>
        <w:rPr>
          <w:rFonts w:ascii="Arial" w:hAnsi="Arial"/>
          <w:color w:val="231F20"/>
          <w:sz w:val="16"/>
        </w:rPr>
        <w:t>have</w:t>
      </w:r>
      <w:r>
        <w:rPr>
          <w:rFonts w:ascii="Arial" w:hAnsi="Arial"/>
          <w:color w:val="231F20"/>
          <w:spacing w:val="-12"/>
          <w:sz w:val="16"/>
        </w:rPr>
        <w:t> </w:t>
      </w:r>
      <w:r>
        <w:rPr>
          <w:rFonts w:ascii="Arial" w:hAnsi="Arial"/>
          <w:color w:val="231F20"/>
          <w:sz w:val="16"/>
        </w:rPr>
        <w:t>proteinuria?</w:t>
      </w:r>
      <w:r>
        <w:rPr>
          <w:rFonts w:ascii="Arial" w:hAnsi="Arial"/>
          <w:color w:val="231F20"/>
          <w:spacing w:val="-13"/>
          <w:sz w:val="16"/>
        </w:rPr>
        <w:t> </w:t>
      </w:r>
      <w:r>
        <w:rPr>
          <w:rFonts w:ascii="Arial" w:hAnsi="Arial"/>
          <w:color w:val="231F20"/>
          <w:sz w:val="16"/>
        </w:rPr>
        <w:t>An update of our current understanding of the glomerular </w:t>
      </w:r>
      <w:r>
        <w:rPr>
          <w:rFonts w:ascii="Arial" w:hAnsi="Arial"/>
          <w:color w:val="231F20"/>
          <w:spacing w:val="-4"/>
          <w:sz w:val="16"/>
        </w:rPr>
        <w:t>barrier. </w:t>
      </w:r>
      <w:r>
        <w:rPr>
          <w:rFonts w:ascii="Arial" w:hAnsi="Arial"/>
          <w:color w:val="231F20"/>
          <w:sz w:val="16"/>
        </w:rPr>
        <w:t>News Physiol Sci 19:7,</w:t>
      </w:r>
      <w:r>
        <w:rPr>
          <w:rFonts w:ascii="Arial" w:hAnsi="Arial"/>
          <w:color w:val="231F20"/>
          <w:spacing w:val="23"/>
          <w:sz w:val="16"/>
        </w:rPr>
        <w:t> </w:t>
      </w:r>
      <w:r>
        <w:rPr>
          <w:rFonts w:ascii="Arial" w:hAnsi="Arial"/>
          <w:color w:val="231F20"/>
          <w:sz w:val="16"/>
        </w:rPr>
        <w:t>2004.</w:t>
      </w:r>
    </w:p>
    <w:p>
      <w:pPr>
        <w:spacing w:line="261" w:lineRule="auto" w:before="0"/>
        <w:ind w:left="479" w:right="1439" w:hanging="160"/>
        <w:jc w:val="both"/>
        <w:rPr>
          <w:rFonts w:ascii="Arial"/>
          <w:sz w:val="16"/>
        </w:rPr>
      </w:pPr>
      <w:r>
        <w:rPr>
          <w:rFonts w:ascii="Arial"/>
          <w:color w:val="231F20"/>
          <w:sz w:val="16"/>
        </w:rPr>
        <w:t>Loutzenhiser</w:t>
      </w:r>
      <w:r>
        <w:rPr>
          <w:rFonts w:ascii="Arial"/>
          <w:color w:val="231F20"/>
          <w:spacing w:val="-14"/>
          <w:sz w:val="16"/>
        </w:rPr>
        <w:t> </w:t>
      </w:r>
      <w:r>
        <w:rPr>
          <w:rFonts w:ascii="Arial"/>
          <w:color w:val="231F20"/>
          <w:sz w:val="16"/>
        </w:rPr>
        <w:t>R,</w:t>
      </w:r>
      <w:r>
        <w:rPr>
          <w:rFonts w:ascii="Arial"/>
          <w:color w:val="231F20"/>
          <w:spacing w:val="-13"/>
          <w:sz w:val="16"/>
        </w:rPr>
        <w:t> </w:t>
      </w:r>
      <w:r>
        <w:rPr>
          <w:rFonts w:ascii="Arial"/>
          <w:color w:val="231F20"/>
          <w:sz w:val="16"/>
        </w:rPr>
        <w:t>Griffin</w:t>
      </w:r>
      <w:r>
        <w:rPr>
          <w:rFonts w:ascii="Arial"/>
          <w:color w:val="231F20"/>
          <w:spacing w:val="-13"/>
          <w:sz w:val="16"/>
        </w:rPr>
        <w:t> </w:t>
      </w:r>
      <w:r>
        <w:rPr>
          <w:rFonts w:ascii="Arial"/>
          <w:color w:val="231F20"/>
          <w:sz w:val="16"/>
        </w:rPr>
        <w:t>K,</w:t>
      </w:r>
      <w:r>
        <w:rPr>
          <w:rFonts w:ascii="Arial"/>
          <w:color w:val="231F20"/>
          <w:spacing w:val="-13"/>
          <w:sz w:val="16"/>
        </w:rPr>
        <w:t> </w:t>
      </w:r>
      <w:r>
        <w:rPr>
          <w:rFonts w:ascii="Arial"/>
          <w:color w:val="231F20"/>
          <w:sz w:val="16"/>
        </w:rPr>
        <w:t>Williamson</w:t>
      </w:r>
      <w:r>
        <w:rPr>
          <w:rFonts w:ascii="Arial"/>
          <w:color w:val="231F20"/>
          <w:spacing w:val="-13"/>
          <w:sz w:val="16"/>
        </w:rPr>
        <w:t> </w:t>
      </w:r>
      <w:r>
        <w:rPr>
          <w:rFonts w:ascii="Arial"/>
          <w:color w:val="231F20"/>
          <w:sz w:val="16"/>
        </w:rPr>
        <w:t>G,</w:t>
      </w:r>
      <w:r>
        <w:rPr>
          <w:rFonts w:ascii="Arial"/>
          <w:color w:val="231F20"/>
          <w:spacing w:val="-13"/>
          <w:sz w:val="16"/>
        </w:rPr>
        <w:t> </w:t>
      </w:r>
      <w:r>
        <w:rPr>
          <w:rFonts w:ascii="Arial"/>
          <w:color w:val="231F20"/>
          <w:sz w:val="16"/>
        </w:rPr>
        <w:t>Bidani</w:t>
      </w:r>
      <w:r>
        <w:rPr>
          <w:rFonts w:ascii="Arial"/>
          <w:color w:val="231F20"/>
          <w:spacing w:val="-13"/>
          <w:sz w:val="16"/>
        </w:rPr>
        <w:t> </w:t>
      </w:r>
      <w:r>
        <w:rPr>
          <w:rFonts w:ascii="Arial"/>
          <w:color w:val="231F20"/>
          <w:sz w:val="16"/>
        </w:rPr>
        <w:t>A:</w:t>
      </w:r>
      <w:r>
        <w:rPr>
          <w:rFonts w:ascii="Arial"/>
          <w:color w:val="231F20"/>
          <w:spacing w:val="-13"/>
          <w:sz w:val="16"/>
        </w:rPr>
        <w:t> </w:t>
      </w:r>
      <w:r>
        <w:rPr>
          <w:rFonts w:ascii="Arial"/>
          <w:color w:val="231F20"/>
          <w:sz w:val="16"/>
        </w:rPr>
        <w:t>Renal</w:t>
      </w:r>
      <w:r>
        <w:rPr>
          <w:rFonts w:ascii="Arial"/>
          <w:color w:val="231F20"/>
          <w:spacing w:val="-13"/>
          <w:sz w:val="16"/>
        </w:rPr>
        <w:t> </w:t>
      </w:r>
      <w:r>
        <w:rPr>
          <w:rFonts w:ascii="Arial"/>
          <w:color w:val="231F20"/>
          <w:spacing w:val="-3"/>
          <w:sz w:val="16"/>
        </w:rPr>
        <w:t>autoregula- </w:t>
      </w:r>
      <w:r>
        <w:rPr>
          <w:rFonts w:ascii="Arial"/>
          <w:color w:val="231F20"/>
          <w:sz w:val="16"/>
        </w:rPr>
        <w:t>tion: new perspectives regarding the protective and </w:t>
      </w:r>
      <w:r>
        <w:rPr>
          <w:rFonts w:ascii="Arial"/>
          <w:color w:val="231F20"/>
          <w:spacing w:val="-3"/>
          <w:sz w:val="16"/>
        </w:rPr>
        <w:t>regulatory </w:t>
      </w:r>
      <w:r>
        <w:rPr>
          <w:rFonts w:ascii="Arial"/>
          <w:color w:val="231F20"/>
          <w:sz w:val="16"/>
        </w:rPr>
        <w:t>roles of the underlying mechanisms. Am J Physiol Regul Integr Comp Physiol 290:R1153,</w:t>
      </w:r>
      <w:r>
        <w:rPr>
          <w:rFonts w:ascii="Arial"/>
          <w:color w:val="231F20"/>
          <w:spacing w:val="18"/>
          <w:sz w:val="16"/>
        </w:rPr>
        <w:t> </w:t>
      </w:r>
      <w:r>
        <w:rPr>
          <w:rFonts w:ascii="Arial"/>
          <w:color w:val="231F20"/>
          <w:sz w:val="16"/>
        </w:rPr>
        <w:t>2006.</w:t>
      </w:r>
    </w:p>
    <w:p>
      <w:pPr>
        <w:spacing w:line="261" w:lineRule="auto" w:before="0"/>
        <w:ind w:left="479" w:right="1437" w:hanging="160"/>
        <w:jc w:val="both"/>
        <w:rPr>
          <w:rFonts w:ascii="Arial"/>
          <w:sz w:val="16"/>
        </w:rPr>
      </w:pPr>
      <w:r>
        <w:rPr>
          <w:rFonts w:ascii="Arial"/>
          <w:color w:val="231F20"/>
          <w:sz w:val="16"/>
        </w:rPr>
        <w:t>Navar</w:t>
      </w:r>
      <w:r>
        <w:rPr>
          <w:rFonts w:ascii="Arial"/>
          <w:color w:val="231F20"/>
          <w:spacing w:val="-24"/>
          <w:sz w:val="16"/>
        </w:rPr>
        <w:t> </w:t>
      </w:r>
      <w:r>
        <w:rPr>
          <w:rFonts w:ascii="Arial"/>
          <w:color w:val="231F20"/>
          <w:sz w:val="16"/>
        </w:rPr>
        <w:t>LG,</w:t>
      </w:r>
      <w:r>
        <w:rPr>
          <w:rFonts w:ascii="Arial"/>
          <w:color w:val="231F20"/>
          <w:spacing w:val="-23"/>
          <w:sz w:val="16"/>
        </w:rPr>
        <w:t> </w:t>
      </w:r>
      <w:r>
        <w:rPr>
          <w:rFonts w:ascii="Arial"/>
          <w:color w:val="231F20"/>
          <w:sz w:val="16"/>
        </w:rPr>
        <w:t>Kobori</w:t>
      </w:r>
      <w:r>
        <w:rPr>
          <w:rFonts w:ascii="Arial"/>
          <w:color w:val="231F20"/>
          <w:spacing w:val="-23"/>
          <w:sz w:val="16"/>
        </w:rPr>
        <w:t> </w:t>
      </w:r>
      <w:r>
        <w:rPr>
          <w:rFonts w:ascii="Arial"/>
          <w:color w:val="231F20"/>
          <w:sz w:val="16"/>
        </w:rPr>
        <w:t>H,</w:t>
      </w:r>
      <w:r>
        <w:rPr>
          <w:rFonts w:ascii="Arial"/>
          <w:color w:val="231F20"/>
          <w:spacing w:val="-23"/>
          <w:sz w:val="16"/>
        </w:rPr>
        <w:t> </w:t>
      </w:r>
      <w:r>
        <w:rPr>
          <w:rFonts w:ascii="Arial"/>
          <w:color w:val="231F20"/>
          <w:sz w:val="16"/>
        </w:rPr>
        <w:t>Prieto</w:t>
      </w:r>
      <w:r>
        <w:rPr>
          <w:rFonts w:ascii="Arial"/>
          <w:color w:val="231F20"/>
          <w:spacing w:val="-24"/>
          <w:sz w:val="16"/>
        </w:rPr>
        <w:t> </w:t>
      </w:r>
      <w:r>
        <w:rPr>
          <w:rFonts w:ascii="Arial"/>
          <w:color w:val="231F20"/>
          <w:sz w:val="16"/>
        </w:rPr>
        <w:t>MC,</w:t>
      </w:r>
      <w:r>
        <w:rPr>
          <w:rFonts w:ascii="Arial"/>
          <w:color w:val="231F20"/>
          <w:spacing w:val="-23"/>
          <w:sz w:val="16"/>
        </w:rPr>
        <w:t> </w:t>
      </w:r>
      <w:r>
        <w:rPr>
          <w:rFonts w:ascii="Arial"/>
          <w:color w:val="231F20"/>
          <w:sz w:val="16"/>
        </w:rPr>
        <w:t>Gonzalez-Villalobos</w:t>
      </w:r>
      <w:r>
        <w:rPr>
          <w:rFonts w:ascii="Arial"/>
          <w:color w:val="231F20"/>
          <w:spacing w:val="-23"/>
          <w:sz w:val="16"/>
        </w:rPr>
        <w:t> </w:t>
      </w:r>
      <w:r>
        <w:rPr>
          <w:rFonts w:ascii="Arial"/>
          <w:color w:val="231F20"/>
          <w:sz w:val="16"/>
        </w:rPr>
        <w:t>RA:</w:t>
      </w:r>
      <w:r>
        <w:rPr>
          <w:rFonts w:ascii="Arial"/>
          <w:color w:val="231F20"/>
          <w:spacing w:val="-23"/>
          <w:sz w:val="16"/>
        </w:rPr>
        <w:t> </w:t>
      </w:r>
      <w:r>
        <w:rPr>
          <w:rFonts w:ascii="Arial"/>
          <w:color w:val="231F20"/>
          <w:sz w:val="16"/>
        </w:rPr>
        <w:t>Intratubular renin-angiotensin system in hypertension. Hypertension 57:355, 2011.</w:t>
      </w:r>
    </w:p>
    <w:p>
      <w:pPr>
        <w:spacing w:line="261" w:lineRule="auto" w:before="0"/>
        <w:ind w:left="479" w:right="1437" w:hanging="160"/>
        <w:jc w:val="both"/>
        <w:rPr>
          <w:rFonts w:ascii="Arial" w:hAnsi="Arial"/>
          <w:sz w:val="16"/>
        </w:rPr>
      </w:pPr>
      <w:r>
        <w:rPr>
          <w:rFonts w:ascii="Arial" w:hAnsi="Arial"/>
          <w:color w:val="231F20"/>
          <w:sz w:val="16"/>
        </w:rPr>
        <w:t>O’Connor</w:t>
      </w:r>
      <w:r>
        <w:rPr>
          <w:rFonts w:ascii="Arial" w:hAnsi="Arial"/>
          <w:color w:val="231F20"/>
          <w:spacing w:val="-13"/>
          <w:sz w:val="16"/>
        </w:rPr>
        <w:t> </w:t>
      </w:r>
      <w:r>
        <w:rPr>
          <w:rFonts w:ascii="Arial" w:hAnsi="Arial"/>
          <w:color w:val="231F20"/>
          <w:sz w:val="16"/>
        </w:rPr>
        <w:t>PM,</w:t>
      </w:r>
      <w:r>
        <w:rPr>
          <w:rFonts w:ascii="Arial" w:hAnsi="Arial"/>
          <w:color w:val="231F20"/>
          <w:spacing w:val="-13"/>
          <w:sz w:val="16"/>
        </w:rPr>
        <w:t> </w:t>
      </w:r>
      <w:r>
        <w:rPr>
          <w:rFonts w:ascii="Arial" w:hAnsi="Arial"/>
          <w:color w:val="231F20"/>
          <w:sz w:val="16"/>
        </w:rPr>
        <w:t>Cowley</w:t>
      </w:r>
      <w:r>
        <w:rPr>
          <w:rFonts w:ascii="Arial" w:hAnsi="Arial"/>
          <w:color w:val="231F20"/>
          <w:spacing w:val="-12"/>
          <w:sz w:val="16"/>
        </w:rPr>
        <w:t> </w:t>
      </w:r>
      <w:r>
        <w:rPr>
          <w:rFonts w:ascii="Arial" w:hAnsi="Arial"/>
          <w:color w:val="231F20"/>
          <w:spacing w:val="-3"/>
          <w:sz w:val="16"/>
        </w:rPr>
        <w:t>AW</w:t>
      </w:r>
      <w:r>
        <w:rPr>
          <w:rFonts w:ascii="Arial" w:hAnsi="Arial"/>
          <w:color w:val="231F20"/>
          <w:spacing w:val="-13"/>
          <w:sz w:val="16"/>
        </w:rPr>
        <w:t> </w:t>
      </w:r>
      <w:r>
        <w:rPr>
          <w:rFonts w:ascii="Arial" w:hAnsi="Arial"/>
          <w:color w:val="231F20"/>
          <w:sz w:val="16"/>
        </w:rPr>
        <w:t>Jr:</w:t>
      </w:r>
      <w:r>
        <w:rPr>
          <w:rFonts w:ascii="Arial" w:hAnsi="Arial"/>
          <w:color w:val="231F20"/>
          <w:spacing w:val="-13"/>
          <w:sz w:val="16"/>
        </w:rPr>
        <w:t> </w:t>
      </w:r>
      <w:r>
        <w:rPr>
          <w:rFonts w:ascii="Arial" w:hAnsi="Arial"/>
          <w:color w:val="231F20"/>
          <w:sz w:val="16"/>
        </w:rPr>
        <w:t>Modulation</w:t>
      </w:r>
      <w:r>
        <w:rPr>
          <w:rFonts w:ascii="Arial" w:hAnsi="Arial"/>
          <w:color w:val="231F20"/>
          <w:spacing w:val="-12"/>
          <w:sz w:val="16"/>
        </w:rPr>
        <w:t> </w:t>
      </w:r>
      <w:r>
        <w:rPr>
          <w:rFonts w:ascii="Arial" w:hAnsi="Arial"/>
          <w:color w:val="231F20"/>
          <w:sz w:val="16"/>
        </w:rPr>
        <w:t>of</w:t>
      </w:r>
      <w:r>
        <w:rPr>
          <w:rFonts w:ascii="Arial" w:hAnsi="Arial"/>
          <w:color w:val="231F20"/>
          <w:spacing w:val="-13"/>
          <w:sz w:val="16"/>
        </w:rPr>
        <w:t> </w:t>
      </w:r>
      <w:r>
        <w:rPr>
          <w:rFonts w:ascii="Arial" w:hAnsi="Arial"/>
          <w:color w:val="231F20"/>
          <w:sz w:val="16"/>
        </w:rPr>
        <w:t>pressure-natriuresis</w:t>
      </w:r>
      <w:r>
        <w:rPr>
          <w:rFonts w:ascii="Arial" w:hAnsi="Arial"/>
          <w:color w:val="231F20"/>
          <w:spacing w:val="-13"/>
          <w:sz w:val="16"/>
        </w:rPr>
        <w:t> </w:t>
      </w:r>
      <w:r>
        <w:rPr>
          <w:rFonts w:ascii="Arial" w:hAnsi="Arial"/>
          <w:color w:val="231F20"/>
          <w:sz w:val="16"/>
        </w:rPr>
        <w:t>by renal medullary reactive oxygen species and nitric oxide. </w:t>
      </w:r>
      <w:r>
        <w:rPr>
          <w:rFonts w:ascii="Arial" w:hAnsi="Arial"/>
          <w:color w:val="231F20"/>
          <w:spacing w:val="-4"/>
          <w:sz w:val="16"/>
        </w:rPr>
        <w:t>Curr </w:t>
      </w:r>
      <w:r>
        <w:rPr>
          <w:rFonts w:ascii="Arial" w:hAnsi="Arial"/>
          <w:color w:val="231F20"/>
          <w:sz w:val="16"/>
        </w:rPr>
        <w:t>Hypertens Rep 12:86,</w:t>
      </w:r>
      <w:r>
        <w:rPr>
          <w:rFonts w:ascii="Arial" w:hAnsi="Arial"/>
          <w:color w:val="231F20"/>
          <w:spacing w:val="19"/>
          <w:sz w:val="16"/>
        </w:rPr>
        <w:t> </w:t>
      </w:r>
      <w:r>
        <w:rPr>
          <w:rFonts w:ascii="Arial" w:hAnsi="Arial"/>
          <w:color w:val="231F20"/>
          <w:sz w:val="16"/>
        </w:rPr>
        <w:t>2010.</w:t>
      </w:r>
    </w:p>
    <w:p>
      <w:pPr>
        <w:spacing w:line="261" w:lineRule="auto" w:before="0"/>
        <w:ind w:left="479" w:right="1439" w:hanging="160"/>
        <w:jc w:val="both"/>
        <w:rPr>
          <w:rFonts w:ascii="Arial"/>
          <w:sz w:val="16"/>
        </w:rPr>
      </w:pPr>
      <w:r>
        <w:rPr>
          <w:rFonts w:ascii="Arial"/>
          <w:color w:val="231F20"/>
          <w:w w:val="95"/>
          <w:sz w:val="16"/>
        </w:rPr>
        <w:t>Schnermann</w:t>
      </w:r>
      <w:r>
        <w:rPr>
          <w:rFonts w:ascii="Arial"/>
          <w:color w:val="231F20"/>
          <w:spacing w:val="-9"/>
          <w:w w:val="95"/>
          <w:sz w:val="16"/>
        </w:rPr>
        <w:t> </w:t>
      </w:r>
      <w:r>
        <w:rPr>
          <w:rFonts w:ascii="Arial"/>
          <w:color w:val="231F20"/>
          <w:w w:val="95"/>
          <w:sz w:val="16"/>
        </w:rPr>
        <w:t>J,</w:t>
      </w:r>
      <w:r>
        <w:rPr>
          <w:rFonts w:ascii="Arial"/>
          <w:color w:val="231F20"/>
          <w:spacing w:val="-9"/>
          <w:w w:val="95"/>
          <w:sz w:val="16"/>
        </w:rPr>
        <w:t> </w:t>
      </w:r>
      <w:r>
        <w:rPr>
          <w:rFonts w:ascii="Arial"/>
          <w:color w:val="231F20"/>
          <w:w w:val="95"/>
          <w:sz w:val="16"/>
        </w:rPr>
        <w:t>Briggs</w:t>
      </w:r>
      <w:r>
        <w:rPr>
          <w:rFonts w:ascii="Arial"/>
          <w:color w:val="231F20"/>
          <w:spacing w:val="-9"/>
          <w:w w:val="95"/>
          <w:sz w:val="16"/>
        </w:rPr>
        <w:t> </w:t>
      </w:r>
      <w:r>
        <w:rPr>
          <w:rFonts w:ascii="Arial"/>
          <w:color w:val="231F20"/>
          <w:w w:val="95"/>
          <w:sz w:val="16"/>
        </w:rPr>
        <w:t>JP:</w:t>
      </w:r>
      <w:r>
        <w:rPr>
          <w:rFonts w:ascii="Arial"/>
          <w:color w:val="231F20"/>
          <w:spacing w:val="-9"/>
          <w:w w:val="95"/>
          <w:sz w:val="16"/>
        </w:rPr>
        <w:t> </w:t>
      </w:r>
      <w:r>
        <w:rPr>
          <w:rFonts w:ascii="Arial"/>
          <w:color w:val="231F20"/>
          <w:spacing w:val="-3"/>
          <w:w w:val="95"/>
          <w:sz w:val="16"/>
        </w:rPr>
        <w:t>Tubular</w:t>
      </w:r>
      <w:r>
        <w:rPr>
          <w:rFonts w:ascii="Arial"/>
          <w:color w:val="231F20"/>
          <w:spacing w:val="-9"/>
          <w:w w:val="95"/>
          <w:sz w:val="16"/>
        </w:rPr>
        <w:t> </w:t>
      </w:r>
      <w:r>
        <w:rPr>
          <w:rFonts w:ascii="Arial"/>
          <w:color w:val="231F20"/>
          <w:w w:val="95"/>
          <w:sz w:val="16"/>
        </w:rPr>
        <w:t>control</w:t>
      </w:r>
      <w:r>
        <w:rPr>
          <w:rFonts w:ascii="Arial"/>
          <w:color w:val="231F20"/>
          <w:spacing w:val="-9"/>
          <w:w w:val="95"/>
          <w:sz w:val="16"/>
        </w:rPr>
        <w:t> </w:t>
      </w:r>
      <w:r>
        <w:rPr>
          <w:rFonts w:ascii="Arial"/>
          <w:color w:val="231F20"/>
          <w:w w:val="95"/>
          <w:sz w:val="16"/>
        </w:rPr>
        <w:t>of</w:t>
      </w:r>
      <w:r>
        <w:rPr>
          <w:rFonts w:ascii="Arial"/>
          <w:color w:val="231F20"/>
          <w:spacing w:val="-9"/>
          <w:w w:val="95"/>
          <w:sz w:val="16"/>
        </w:rPr>
        <w:t> </w:t>
      </w:r>
      <w:r>
        <w:rPr>
          <w:rFonts w:ascii="Arial"/>
          <w:color w:val="231F20"/>
          <w:w w:val="95"/>
          <w:sz w:val="16"/>
        </w:rPr>
        <w:t>renin</w:t>
      </w:r>
      <w:r>
        <w:rPr>
          <w:rFonts w:ascii="Arial"/>
          <w:color w:val="231F20"/>
          <w:spacing w:val="-8"/>
          <w:w w:val="95"/>
          <w:sz w:val="16"/>
        </w:rPr>
        <w:t> </w:t>
      </w:r>
      <w:r>
        <w:rPr>
          <w:rFonts w:ascii="Arial"/>
          <w:color w:val="231F20"/>
          <w:w w:val="95"/>
          <w:sz w:val="16"/>
        </w:rPr>
        <w:t>synthesis</w:t>
      </w:r>
      <w:r>
        <w:rPr>
          <w:rFonts w:ascii="Arial"/>
          <w:color w:val="231F20"/>
          <w:spacing w:val="-9"/>
          <w:w w:val="95"/>
          <w:sz w:val="16"/>
        </w:rPr>
        <w:t> </w:t>
      </w:r>
      <w:r>
        <w:rPr>
          <w:rFonts w:ascii="Arial"/>
          <w:color w:val="231F20"/>
          <w:w w:val="95"/>
          <w:sz w:val="16"/>
        </w:rPr>
        <w:t>and</w:t>
      </w:r>
      <w:r>
        <w:rPr>
          <w:rFonts w:ascii="Arial"/>
          <w:color w:val="231F20"/>
          <w:spacing w:val="-9"/>
          <w:w w:val="95"/>
          <w:sz w:val="16"/>
        </w:rPr>
        <w:t> </w:t>
      </w:r>
      <w:r>
        <w:rPr>
          <w:rFonts w:ascii="Arial"/>
          <w:color w:val="231F20"/>
          <w:spacing w:val="-4"/>
          <w:w w:val="95"/>
          <w:sz w:val="16"/>
        </w:rPr>
        <w:t>secre- </w:t>
      </w:r>
      <w:r>
        <w:rPr>
          <w:rFonts w:ascii="Arial"/>
          <w:color w:val="231F20"/>
          <w:sz w:val="16"/>
        </w:rPr>
        <w:t>tion. Pflugers Arch 465:39,</w:t>
      </w:r>
      <w:r>
        <w:rPr>
          <w:rFonts w:ascii="Arial"/>
          <w:color w:val="231F20"/>
          <w:spacing w:val="27"/>
          <w:sz w:val="16"/>
        </w:rPr>
        <w:t> </w:t>
      </w:r>
      <w:r>
        <w:rPr>
          <w:rFonts w:ascii="Arial"/>
          <w:color w:val="231F20"/>
          <w:sz w:val="16"/>
        </w:rPr>
        <w:t>2013.</w:t>
      </w:r>
    </w:p>
    <w:p>
      <w:pPr>
        <w:spacing w:line="261" w:lineRule="auto" w:before="0"/>
        <w:ind w:left="479" w:right="1438" w:hanging="160"/>
        <w:jc w:val="both"/>
        <w:rPr>
          <w:rFonts w:ascii="Arial"/>
          <w:sz w:val="16"/>
        </w:rPr>
      </w:pPr>
      <w:r>
        <w:rPr>
          <w:rFonts w:ascii="Arial"/>
          <w:color w:val="231F20"/>
          <w:w w:val="95"/>
          <w:sz w:val="16"/>
        </w:rPr>
        <w:t>Speed</w:t>
      </w:r>
      <w:r>
        <w:rPr>
          <w:rFonts w:ascii="Arial"/>
          <w:color w:val="231F20"/>
          <w:spacing w:val="-4"/>
          <w:w w:val="95"/>
          <w:sz w:val="16"/>
        </w:rPr>
        <w:t> </w:t>
      </w:r>
      <w:r>
        <w:rPr>
          <w:rFonts w:ascii="Arial"/>
          <w:color w:val="231F20"/>
          <w:w w:val="95"/>
          <w:sz w:val="16"/>
        </w:rPr>
        <w:t>JS,</w:t>
      </w:r>
      <w:r>
        <w:rPr>
          <w:rFonts w:ascii="Arial"/>
          <w:color w:val="231F20"/>
          <w:spacing w:val="-4"/>
          <w:w w:val="95"/>
          <w:sz w:val="16"/>
        </w:rPr>
        <w:t> </w:t>
      </w:r>
      <w:r>
        <w:rPr>
          <w:rFonts w:ascii="Arial"/>
          <w:color w:val="231F20"/>
          <w:w w:val="95"/>
          <w:sz w:val="16"/>
        </w:rPr>
        <w:t>Pollock</w:t>
      </w:r>
      <w:r>
        <w:rPr>
          <w:rFonts w:ascii="Arial"/>
          <w:color w:val="231F20"/>
          <w:spacing w:val="-4"/>
          <w:w w:val="95"/>
          <w:sz w:val="16"/>
        </w:rPr>
        <w:t> </w:t>
      </w:r>
      <w:r>
        <w:rPr>
          <w:rFonts w:ascii="Arial"/>
          <w:color w:val="231F20"/>
          <w:w w:val="95"/>
          <w:sz w:val="16"/>
        </w:rPr>
        <w:t>DM:</w:t>
      </w:r>
      <w:r>
        <w:rPr>
          <w:rFonts w:ascii="Arial"/>
          <w:color w:val="231F20"/>
          <w:spacing w:val="-4"/>
          <w:w w:val="95"/>
          <w:sz w:val="16"/>
        </w:rPr>
        <w:t> </w:t>
      </w:r>
      <w:r>
        <w:rPr>
          <w:rFonts w:ascii="Arial"/>
          <w:color w:val="231F20"/>
          <w:w w:val="95"/>
          <w:sz w:val="16"/>
        </w:rPr>
        <w:t>Endothelin,</w:t>
      </w:r>
      <w:r>
        <w:rPr>
          <w:rFonts w:ascii="Arial"/>
          <w:color w:val="231F20"/>
          <w:spacing w:val="-4"/>
          <w:w w:val="95"/>
          <w:sz w:val="16"/>
        </w:rPr>
        <w:t> </w:t>
      </w:r>
      <w:r>
        <w:rPr>
          <w:rFonts w:ascii="Arial"/>
          <w:color w:val="231F20"/>
          <w:w w:val="95"/>
          <w:sz w:val="16"/>
        </w:rPr>
        <w:t>kidney</w:t>
      </w:r>
      <w:r>
        <w:rPr>
          <w:rFonts w:ascii="Arial"/>
          <w:color w:val="231F20"/>
          <w:spacing w:val="-4"/>
          <w:w w:val="95"/>
          <w:sz w:val="16"/>
        </w:rPr>
        <w:t> </w:t>
      </w:r>
      <w:r>
        <w:rPr>
          <w:rFonts w:ascii="Arial"/>
          <w:color w:val="231F20"/>
          <w:w w:val="95"/>
          <w:sz w:val="16"/>
        </w:rPr>
        <w:t>disease,</w:t>
      </w:r>
      <w:r>
        <w:rPr>
          <w:rFonts w:ascii="Arial"/>
          <w:color w:val="231F20"/>
          <w:spacing w:val="-4"/>
          <w:w w:val="95"/>
          <w:sz w:val="16"/>
        </w:rPr>
        <w:t> </w:t>
      </w:r>
      <w:r>
        <w:rPr>
          <w:rFonts w:ascii="Arial"/>
          <w:color w:val="231F20"/>
          <w:w w:val="95"/>
          <w:sz w:val="16"/>
        </w:rPr>
        <w:t>and</w:t>
      </w:r>
      <w:r>
        <w:rPr>
          <w:rFonts w:ascii="Arial"/>
          <w:color w:val="231F20"/>
          <w:spacing w:val="-4"/>
          <w:w w:val="95"/>
          <w:sz w:val="16"/>
        </w:rPr>
        <w:t> </w:t>
      </w:r>
      <w:r>
        <w:rPr>
          <w:rFonts w:ascii="Arial"/>
          <w:color w:val="231F20"/>
          <w:w w:val="95"/>
          <w:sz w:val="16"/>
        </w:rPr>
        <w:t>hypertension. </w:t>
      </w:r>
      <w:r>
        <w:rPr>
          <w:rFonts w:ascii="Arial"/>
          <w:color w:val="231F20"/>
          <w:sz w:val="16"/>
        </w:rPr>
        <w:t>Hypertension 61:1142,</w:t>
      </w:r>
      <w:r>
        <w:rPr>
          <w:rFonts w:ascii="Arial"/>
          <w:color w:val="231F20"/>
          <w:spacing w:val="14"/>
          <w:sz w:val="16"/>
        </w:rPr>
        <w:t> </w:t>
      </w:r>
      <w:r>
        <w:rPr>
          <w:rFonts w:ascii="Arial"/>
          <w:color w:val="231F20"/>
          <w:sz w:val="16"/>
        </w:rPr>
        <w:t>2013.</w:t>
      </w:r>
    </w:p>
    <w:p>
      <w:pPr>
        <w:spacing w:after="0" w:line="261" w:lineRule="auto"/>
        <w:jc w:val="both"/>
        <w:rPr>
          <w:rFonts w:ascii="Arial"/>
          <w:sz w:val="16"/>
        </w:rPr>
        <w:sectPr>
          <w:type w:val="continuous"/>
          <w:pgSz w:w="12240" w:h="15660"/>
          <w:pgMar w:top="0" w:bottom="760" w:left="0" w:right="0"/>
          <w:cols w:num="2" w:equalWidth="0">
            <w:col w:w="5761" w:space="40"/>
            <w:col w:w="643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457"/>
          <w:pgSz w:w="12240" w:h="15660"/>
          <w:pgMar w:header="0" w:footer="567" w:top="0" w:bottom="760" w:left="0" w:right="0"/>
        </w:sectPr>
      </w:pPr>
    </w:p>
    <w:p>
      <w:pPr>
        <w:pStyle w:val="BodyText"/>
        <w:spacing w:line="249" w:lineRule="auto" w:before="250"/>
        <w:ind w:left="1440"/>
        <w:jc w:val="both"/>
      </w:pPr>
      <w:r>
        <w:rPr/>
        <w:pict>
          <v:group style="position:absolute;margin-left:0pt;margin-top:0pt;width:612pt;height:180pt;mso-position-horizontal-relative:page;mso-position-vertical-relative:page;z-index:252026880"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458" o:title=""/>
            </v:shape>
            <v:shape style="position:absolute;left:5053;top:2104;width:6128;height:1448" type="#_x0000_t202" filled="false" stroked="false">
              <v:textbox inset="0,0,0,0">
                <w:txbxContent>
                  <w:p>
                    <w:pPr>
                      <w:spacing w:before="50"/>
                      <w:ind w:left="0" w:right="18" w:firstLine="0"/>
                      <w:jc w:val="right"/>
                      <w:rPr>
                        <w:b/>
                        <w:sz w:val="52"/>
                      </w:rPr>
                    </w:pPr>
                    <w:r>
                      <w:rPr>
                        <w:b/>
                        <w:color w:val="231F20"/>
                        <w:w w:val="95"/>
                        <w:sz w:val="52"/>
                      </w:rPr>
                      <w:t>Renal </w:t>
                    </w:r>
                    <w:r>
                      <w:rPr>
                        <w:b/>
                        <w:color w:val="231F20"/>
                        <w:spacing w:val="-8"/>
                        <w:w w:val="95"/>
                        <w:sz w:val="52"/>
                      </w:rPr>
                      <w:t>Tubular</w:t>
                    </w:r>
                    <w:r>
                      <w:rPr>
                        <w:b/>
                        <w:color w:val="231F20"/>
                        <w:spacing w:val="51"/>
                        <w:w w:val="95"/>
                        <w:sz w:val="52"/>
                      </w:rPr>
                      <w:t> </w:t>
                    </w:r>
                    <w:r>
                      <w:rPr>
                        <w:b/>
                        <w:color w:val="231F20"/>
                        <w:w w:val="95"/>
                        <w:sz w:val="52"/>
                      </w:rPr>
                      <w:t>Reabsorption</w:t>
                    </w:r>
                  </w:p>
                  <w:p>
                    <w:pPr>
                      <w:spacing w:before="2"/>
                      <w:ind w:left="0" w:right="18" w:firstLine="0"/>
                      <w:jc w:val="right"/>
                      <w:rPr>
                        <w:b/>
                        <w:sz w:val="52"/>
                      </w:rPr>
                    </w:pPr>
                    <w:r>
                      <w:rPr>
                        <w:b/>
                        <w:color w:val="231F20"/>
                        <w:sz w:val="52"/>
                      </w:rPr>
                      <w:t>and</w:t>
                    </w:r>
                    <w:r>
                      <w:rPr>
                        <w:b/>
                        <w:color w:val="231F20"/>
                        <w:spacing w:val="-59"/>
                        <w:sz w:val="52"/>
                      </w:rPr>
                      <w:t> </w:t>
                    </w:r>
                    <w:r>
                      <w:rPr>
                        <w:b/>
                        <w:color w:val="231F20"/>
                        <w:spacing w:val="2"/>
                        <w:sz w:val="52"/>
                      </w:rPr>
                      <w:t>Secretion</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2</w:t>
                    </w:r>
                    <w:r>
                      <w:rPr>
                        <w:rFonts w:ascii="Trebuchet MS"/>
                        <w:b/>
                        <w:color w:val="231F20"/>
                        <w:spacing w:val="-44"/>
                        <w:w w:val="105"/>
                        <w:sz w:val="36"/>
                      </w:rPr>
                      <w:t> </w:t>
                    </w:r>
                    <w:r>
                      <w:rPr>
                        <w:rFonts w:ascii="Trebuchet MS"/>
                        <w:b/>
                        <w:color w:val="231F20"/>
                        <w:w w:val="105"/>
                        <w:sz w:val="36"/>
                      </w:rPr>
                      <w:t>8</w:t>
                    </w:r>
                  </w:p>
                </w:txbxContent>
              </v:textbox>
              <w10:wrap type="none"/>
            </v:shape>
            <w10:wrap type="none"/>
          </v:group>
        </w:pict>
      </w:r>
      <w:r>
        <w:rPr/>
        <w:pict>
          <v:shape style="position:absolute;margin-left:578.900024pt;margin-top:-79.856735pt;width:15.9pt;height:53.35pt;mso-position-horizontal-relative:page;mso-position-vertical-relative:paragraph;z-index:25202892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As the glomerular filtrate enters the renal tubules, it flows sequentially through the successive parts of the tubule— the </w:t>
      </w:r>
      <w:r>
        <w:rPr>
          <w:i/>
          <w:color w:val="231F20"/>
        </w:rPr>
        <w:t>proximal tubule, </w:t>
      </w:r>
      <w:r>
        <w:rPr>
          <w:color w:val="231F20"/>
        </w:rPr>
        <w:t>the </w:t>
      </w:r>
      <w:r>
        <w:rPr>
          <w:i/>
          <w:color w:val="231F20"/>
        </w:rPr>
        <w:t>loop of Henle, </w:t>
      </w:r>
      <w:r>
        <w:rPr>
          <w:color w:val="231F20"/>
        </w:rPr>
        <w:t>the </w:t>
      </w:r>
      <w:r>
        <w:rPr>
          <w:i/>
          <w:color w:val="231F20"/>
        </w:rPr>
        <w:t>distal tubule, </w:t>
      </w:r>
      <w:r>
        <w:rPr>
          <w:color w:val="231F20"/>
        </w:rPr>
        <w:t>the </w:t>
      </w:r>
      <w:r>
        <w:rPr>
          <w:i/>
          <w:color w:val="231F20"/>
        </w:rPr>
        <w:t>collecting tubule, </w:t>
      </w:r>
      <w:r>
        <w:rPr>
          <w:color w:val="231F20"/>
        </w:rPr>
        <w:t>and, finally, the </w:t>
      </w:r>
      <w:r>
        <w:rPr>
          <w:i/>
          <w:color w:val="231F20"/>
        </w:rPr>
        <w:t>collecting duct— </w:t>
      </w:r>
      <w:r>
        <w:rPr>
          <w:color w:val="231F20"/>
        </w:rPr>
        <w:t>before it is excreted as urine. Along this course, some substances are selectively reabsorbed from the tubules back into the blood, whereas others are secreted from the blood into the tubular lumen. Eventually, the urine that is formed and all the substances in the urine represent the sum of three basic renal processes</w:t>
      </w:r>
      <w:r>
        <w:rPr>
          <w:i/>
          <w:color w:val="231F20"/>
        </w:rPr>
        <w:t>—</w:t>
      </w:r>
      <w:r>
        <w:rPr>
          <w:color w:val="231F20"/>
        </w:rPr>
        <w:t>glomerular filtration, tubular reabsorption, and tubular secretion:</w:t>
      </w:r>
    </w:p>
    <w:p>
      <w:pPr>
        <w:spacing w:before="140"/>
        <w:ind w:left="1603" w:right="0" w:firstLine="0"/>
        <w:jc w:val="left"/>
        <w:rPr>
          <w:rFonts w:ascii="Trebuchet MS" w:hAnsi="Trebuchet MS"/>
          <w:sz w:val="18"/>
        </w:rPr>
      </w:pPr>
      <w:r>
        <w:rPr>
          <w:rFonts w:ascii="Trebuchet MS" w:hAnsi="Trebuchet MS"/>
          <w:sz w:val="18"/>
        </w:rPr>
        <w:t>Urinary excretion </w:t>
      </w:r>
      <w:r>
        <w:rPr>
          <w:rFonts w:ascii="Symbol" w:hAnsi="Symbol"/>
          <w:sz w:val="18"/>
        </w:rPr>
        <w:t></w:t>
      </w:r>
      <w:r>
        <w:rPr>
          <w:sz w:val="18"/>
        </w:rPr>
        <w:t> </w:t>
      </w:r>
      <w:r>
        <w:rPr>
          <w:rFonts w:ascii="Trebuchet MS" w:hAnsi="Trebuchet MS"/>
          <w:sz w:val="18"/>
        </w:rPr>
        <w:t>Glomerular filtration </w:t>
      </w:r>
      <w:r>
        <w:rPr>
          <w:rFonts w:ascii="Symbol" w:hAnsi="Symbol"/>
          <w:sz w:val="18"/>
        </w:rPr>
        <w:t></w:t>
      </w:r>
      <w:r>
        <w:rPr>
          <w:sz w:val="18"/>
        </w:rPr>
        <w:t> </w:t>
      </w:r>
      <w:r>
        <w:rPr>
          <w:rFonts w:ascii="Trebuchet MS" w:hAnsi="Trebuchet MS"/>
          <w:sz w:val="18"/>
        </w:rPr>
        <w:t>Tubular</w:t>
      </w:r>
    </w:p>
    <w:p>
      <w:pPr>
        <w:spacing w:before="19"/>
        <w:ind w:left="3227" w:right="0" w:firstLine="0"/>
        <w:jc w:val="left"/>
        <w:rPr>
          <w:rFonts w:ascii="Trebuchet MS" w:hAnsi="Trebuchet MS"/>
          <w:sz w:val="18"/>
        </w:rPr>
      </w:pPr>
      <w:r>
        <w:rPr>
          <w:rFonts w:ascii="Trebuchet MS" w:hAnsi="Trebuchet MS"/>
          <w:w w:val="105"/>
          <w:sz w:val="18"/>
        </w:rPr>
        <w:t>reabsorption</w:t>
      </w:r>
      <w:r>
        <w:rPr>
          <w:rFonts w:ascii="Symbol" w:hAnsi="Symbol"/>
          <w:w w:val="105"/>
          <w:sz w:val="18"/>
        </w:rPr>
        <w:t></w:t>
      </w:r>
      <w:r>
        <w:rPr>
          <w:w w:val="105"/>
          <w:sz w:val="18"/>
        </w:rPr>
        <w:t> </w:t>
      </w:r>
      <w:r>
        <w:rPr>
          <w:rFonts w:ascii="Trebuchet MS" w:hAnsi="Trebuchet MS"/>
          <w:w w:val="105"/>
          <w:sz w:val="18"/>
        </w:rPr>
        <w:t>Tubular secretion</w:t>
      </w:r>
    </w:p>
    <w:p>
      <w:pPr>
        <w:pStyle w:val="BodyText"/>
        <w:spacing w:line="249" w:lineRule="auto" w:before="128"/>
        <w:ind w:left="1440" w:firstLine="240"/>
        <w:jc w:val="both"/>
      </w:pPr>
      <w:r>
        <w:rPr>
          <w:color w:val="231F20"/>
          <w:spacing w:val="-3"/>
          <w:w w:val="105"/>
        </w:rPr>
        <w:t>For </w:t>
      </w:r>
      <w:r>
        <w:rPr>
          <w:color w:val="231F20"/>
          <w:w w:val="105"/>
        </w:rPr>
        <w:t>many substances, tubular reabsorption plays </w:t>
      </w:r>
      <w:r>
        <w:rPr>
          <w:color w:val="231F20"/>
          <w:spacing w:val="-16"/>
          <w:w w:val="105"/>
        </w:rPr>
        <w:t>a </w:t>
      </w:r>
      <w:r>
        <w:rPr>
          <w:color w:val="231F20"/>
          <w:w w:val="105"/>
        </w:rPr>
        <w:t>much more important role than secretion in</w:t>
      </w:r>
      <w:r>
        <w:rPr>
          <w:color w:val="231F20"/>
          <w:spacing w:val="-36"/>
          <w:w w:val="105"/>
        </w:rPr>
        <w:t> </w:t>
      </w:r>
      <w:r>
        <w:rPr>
          <w:color w:val="231F20"/>
          <w:w w:val="105"/>
        </w:rPr>
        <w:t>determining the final urinary excretion rate. However, tubular</w:t>
      </w:r>
      <w:r>
        <w:rPr>
          <w:color w:val="231F20"/>
          <w:spacing w:val="-11"/>
          <w:w w:val="105"/>
        </w:rPr>
        <w:t> </w:t>
      </w:r>
      <w:r>
        <w:rPr>
          <w:color w:val="231F20"/>
          <w:w w:val="105"/>
        </w:rPr>
        <w:t>secre- tion accounts for significant amounts of potassium</w:t>
      </w:r>
      <w:r>
        <w:rPr>
          <w:color w:val="231F20"/>
          <w:spacing w:val="-37"/>
          <w:w w:val="105"/>
        </w:rPr>
        <w:t> </w:t>
      </w:r>
      <w:r>
        <w:rPr>
          <w:color w:val="231F20"/>
          <w:w w:val="105"/>
        </w:rPr>
        <w:t>ions, hydrogen</w:t>
      </w:r>
      <w:r>
        <w:rPr>
          <w:color w:val="231F20"/>
          <w:spacing w:val="-8"/>
          <w:w w:val="105"/>
        </w:rPr>
        <w:t> </w:t>
      </w:r>
      <w:r>
        <w:rPr>
          <w:color w:val="231F20"/>
          <w:w w:val="105"/>
        </w:rPr>
        <w:t>ions,</w:t>
      </w:r>
      <w:r>
        <w:rPr>
          <w:color w:val="231F20"/>
          <w:spacing w:val="-7"/>
          <w:w w:val="105"/>
        </w:rPr>
        <w:t> </w:t>
      </w:r>
      <w:r>
        <w:rPr>
          <w:color w:val="231F20"/>
          <w:w w:val="105"/>
        </w:rPr>
        <w:t>and</w:t>
      </w:r>
      <w:r>
        <w:rPr>
          <w:color w:val="231F20"/>
          <w:spacing w:val="-8"/>
          <w:w w:val="105"/>
        </w:rPr>
        <w:t> </w:t>
      </w:r>
      <w:r>
        <w:rPr>
          <w:color w:val="231F20"/>
          <w:w w:val="105"/>
        </w:rPr>
        <w:t>a</w:t>
      </w:r>
      <w:r>
        <w:rPr>
          <w:color w:val="231F20"/>
          <w:spacing w:val="-7"/>
          <w:w w:val="105"/>
        </w:rPr>
        <w:t> </w:t>
      </w:r>
      <w:r>
        <w:rPr>
          <w:color w:val="231F20"/>
          <w:w w:val="105"/>
        </w:rPr>
        <w:t>few</w:t>
      </w:r>
      <w:r>
        <w:rPr>
          <w:color w:val="231F20"/>
          <w:spacing w:val="-8"/>
          <w:w w:val="105"/>
        </w:rPr>
        <w:t> </w:t>
      </w:r>
      <w:r>
        <w:rPr>
          <w:color w:val="231F20"/>
          <w:w w:val="105"/>
        </w:rPr>
        <w:t>other</w:t>
      </w:r>
      <w:r>
        <w:rPr>
          <w:color w:val="231F20"/>
          <w:spacing w:val="-7"/>
          <w:w w:val="105"/>
        </w:rPr>
        <w:t> </w:t>
      </w:r>
      <w:r>
        <w:rPr>
          <w:color w:val="231F20"/>
          <w:w w:val="105"/>
        </w:rPr>
        <w:t>substances</w:t>
      </w:r>
      <w:r>
        <w:rPr>
          <w:color w:val="231F20"/>
          <w:spacing w:val="-8"/>
          <w:w w:val="105"/>
        </w:rPr>
        <w:t> </w:t>
      </w:r>
      <w:r>
        <w:rPr>
          <w:color w:val="231F20"/>
          <w:w w:val="105"/>
        </w:rPr>
        <w:t>that</w:t>
      </w:r>
      <w:r>
        <w:rPr>
          <w:color w:val="231F20"/>
          <w:spacing w:val="-7"/>
          <w:w w:val="105"/>
        </w:rPr>
        <w:t> </w:t>
      </w:r>
      <w:r>
        <w:rPr>
          <w:color w:val="231F20"/>
          <w:w w:val="105"/>
        </w:rPr>
        <w:t>appear</w:t>
      </w:r>
      <w:r>
        <w:rPr>
          <w:color w:val="231F20"/>
          <w:spacing w:val="-8"/>
          <w:w w:val="105"/>
        </w:rPr>
        <w:t> in </w:t>
      </w:r>
      <w:r>
        <w:rPr>
          <w:color w:val="231F20"/>
          <w:w w:val="105"/>
        </w:rPr>
        <w:t>the</w:t>
      </w:r>
      <w:r>
        <w:rPr>
          <w:color w:val="231F20"/>
          <w:spacing w:val="3"/>
          <w:w w:val="105"/>
        </w:rPr>
        <w:t> </w:t>
      </w:r>
      <w:r>
        <w:rPr>
          <w:color w:val="231F20"/>
          <w:w w:val="105"/>
        </w:rPr>
        <w:t>urine.</w:t>
      </w:r>
    </w:p>
    <w:p>
      <w:pPr>
        <w:pStyle w:val="BodyText"/>
        <w:rPr>
          <w:sz w:val="25"/>
        </w:rPr>
      </w:pPr>
      <w:r>
        <w:rPr/>
        <w:pict>
          <v:shape style="position:absolute;margin-left:72pt;margin-top:15.61817pt;width:234pt;height:40pt;mso-position-horizontal-relative:page;mso-position-vertical-relative:paragraph;z-index:-251295744;mso-wrap-distance-left:0;mso-wrap-distance-right:0" type="#_x0000_t202" filled="true" fillcolor="#e8dac8" stroked="false">
            <v:textbox inset="0,0,0,0">
              <w:txbxContent>
                <w:p>
                  <w:pPr>
                    <w:spacing w:line="225" w:lineRule="auto" w:before="46"/>
                    <w:ind w:left="60" w:right="1587" w:firstLine="0"/>
                    <w:jc w:val="left"/>
                    <w:rPr>
                      <w:rFonts w:ascii="Trebuchet MS"/>
                      <w:b/>
                      <w:sz w:val="22"/>
                    </w:rPr>
                  </w:pPr>
                  <w:r>
                    <w:rPr>
                      <w:rFonts w:ascii="Trebuchet MS"/>
                      <w:b/>
                      <w:color w:val="231F20"/>
                      <w:w w:val="110"/>
                      <w:sz w:val="22"/>
                    </w:rPr>
                    <w:t>TUBULAR REABSORPTION IS QUANTITATIVELY LARGE AND HIGHLY SELECTIVE</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hyperlink w:history="true" w:anchor="_bookmark39">
        <w:r>
          <w:rPr>
            <w:b/>
            <w:color w:val="0080AC"/>
            <w:spacing w:val="-4"/>
            <w:w w:val="105"/>
          </w:rPr>
          <w:t>Table</w:t>
        </w:r>
        <w:r>
          <w:rPr>
            <w:b/>
            <w:color w:val="0080AC"/>
            <w:spacing w:val="-30"/>
            <w:w w:val="105"/>
          </w:rPr>
          <w:t> </w:t>
        </w:r>
        <w:r>
          <w:rPr>
            <w:b/>
            <w:color w:val="0080AC"/>
            <w:w w:val="105"/>
          </w:rPr>
          <w:t>28-1</w:t>
        </w:r>
        <w:r>
          <w:rPr>
            <w:b/>
            <w:color w:val="0080AC"/>
            <w:spacing w:val="-30"/>
            <w:w w:val="105"/>
          </w:rPr>
          <w:t> </w:t>
        </w:r>
      </w:hyperlink>
      <w:r>
        <w:rPr>
          <w:color w:val="231F20"/>
          <w:w w:val="105"/>
        </w:rPr>
        <w:t>shows</w:t>
      </w:r>
      <w:r>
        <w:rPr>
          <w:color w:val="231F20"/>
          <w:spacing w:val="-29"/>
          <w:w w:val="105"/>
        </w:rPr>
        <w:t> </w:t>
      </w:r>
      <w:r>
        <w:rPr>
          <w:color w:val="231F20"/>
          <w:w w:val="105"/>
        </w:rPr>
        <w:t>the</w:t>
      </w:r>
      <w:r>
        <w:rPr>
          <w:color w:val="231F20"/>
          <w:spacing w:val="-29"/>
          <w:w w:val="105"/>
        </w:rPr>
        <w:t> </w:t>
      </w:r>
      <w:r>
        <w:rPr>
          <w:color w:val="231F20"/>
          <w:w w:val="105"/>
        </w:rPr>
        <w:t>renal</w:t>
      </w:r>
      <w:r>
        <w:rPr>
          <w:color w:val="231F20"/>
          <w:spacing w:val="-30"/>
          <w:w w:val="105"/>
        </w:rPr>
        <w:t> </w:t>
      </w:r>
      <w:r>
        <w:rPr>
          <w:color w:val="231F20"/>
          <w:w w:val="105"/>
        </w:rPr>
        <w:t>handling</w:t>
      </w:r>
      <w:r>
        <w:rPr>
          <w:color w:val="231F20"/>
          <w:spacing w:val="-29"/>
          <w:w w:val="105"/>
        </w:rPr>
        <w:t> </w:t>
      </w:r>
      <w:r>
        <w:rPr>
          <w:color w:val="231F20"/>
          <w:w w:val="105"/>
        </w:rPr>
        <w:t>of</w:t>
      </w:r>
      <w:r>
        <w:rPr>
          <w:color w:val="231F20"/>
          <w:spacing w:val="-29"/>
          <w:w w:val="105"/>
        </w:rPr>
        <w:t> </w:t>
      </w:r>
      <w:r>
        <w:rPr>
          <w:color w:val="231F20"/>
          <w:w w:val="105"/>
        </w:rPr>
        <w:t>several</w:t>
      </w:r>
      <w:r>
        <w:rPr>
          <w:color w:val="231F20"/>
          <w:spacing w:val="-29"/>
          <w:w w:val="105"/>
        </w:rPr>
        <w:t> </w:t>
      </w:r>
      <w:r>
        <w:rPr>
          <w:color w:val="231F20"/>
          <w:w w:val="105"/>
        </w:rPr>
        <w:t>substances that are all freely filtered in the kidneys and reabsorbed at variable rates. The rate at which each of these </w:t>
      </w:r>
      <w:r>
        <w:rPr>
          <w:color w:val="231F20"/>
          <w:spacing w:val="-4"/>
          <w:w w:val="105"/>
        </w:rPr>
        <w:t>sub- </w:t>
      </w:r>
      <w:r>
        <w:rPr>
          <w:color w:val="231F20"/>
          <w:w w:val="105"/>
        </w:rPr>
        <w:t>stances is filtered is calculated</w:t>
      </w:r>
      <w:r>
        <w:rPr>
          <w:color w:val="231F20"/>
          <w:spacing w:val="5"/>
          <w:w w:val="105"/>
        </w:rPr>
        <w:t> </w:t>
      </w:r>
      <w:r>
        <w:rPr>
          <w:color w:val="231F20"/>
          <w:w w:val="105"/>
        </w:rPr>
        <w:t>as</w:t>
      </w:r>
    </w:p>
    <w:p>
      <w:pPr>
        <w:spacing w:before="134"/>
        <w:ind w:left="2233" w:right="0" w:firstLine="0"/>
        <w:jc w:val="left"/>
        <w:rPr>
          <w:rFonts w:ascii="Trebuchet MS" w:hAnsi="Trebuchet MS"/>
          <w:sz w:val="18"/>
        </w:rPr>
      </w:pPr>
      <w:r>
        <w:rPr>
          <w:rFonts w:ascii="Trebuchet MS" w:hAnsi="Trebuchet MS"/>
          <w:sz w:val="18"/>
        </w:rPr>
        <w:t>Filtration </w:t>
      </w:r>
      <w:r>
        <w:rPr>
          <w:rFonts w:ascii="Symbol" w:hAnsi="Symbol"/>
          <w:sz w:val="18"/>
        </w:rPr>
        <w:t></w:t>
      </w:r>
      <w:r>
        <w:rPr>
          <w:sz w:val="18"/>
        </w:rPr>
        <w:t> </w:t>
      </w:r>
      <w:r>
        <w:rPr>
          <w:rFonts w:ascii="Trebuchet MS" w:hAnsi="Trebuchet MS"/>
          <w:sz w:val="18"/>
        </w:rPr>
        <w:t>Glomerular filtration rate</w:t>
      </w:r>
    </w:p>
    <w:p>
      <w:pPr>
        <w:pStyle w:val="ListParagraph"/>
        <w:numPr>
          <w:ilvl w:val="0"/>
          <w:numId w:val="9"/>
        </w:numPr>
        <w:tabs>
          <w:tab w:pos="3330" w:val="left" w:leader="none"/>
        </w:tabs>
        <w:spacing w:line="240" w:lineRule="auto" w:before="19" w:after="0"/>
        <w:ind w:left="3329" w:right="0" w:hanging="136"/>
        <w:jc w:val="left"/>
        <w:rPr>
          <w:rFonts w:ascii="Trebuchet MS" w:hAnsi="Trebuchet MS"/>
          <w:sz w:val="18"/>
        </w:rPr>
      </w:pPr>
      <w:r>
        <w:rPr>
          <w:rFonts w:ascii="Trebuchet MS" w:hAnsi="Trebuchet MS"/>
          <w:w w:val="105"/>
          <w:sz w:val="18"/>
        </w:rPr>
        <w:t>Plasma</w:t>
      </w:r>
      <w:r>
        <w:rPr>
          <w:rFonts w:ascii="Trebuchet MS" w:hAnsi="Trebuchet MS"/>
          <w:spacing w:val="-23"/>
          <w:w w:val="105"/>
          <w:sz w:val="18"/>
        </w:rPr>
        <w:t> </w:t>
      </w:r>
      <w:r>
        <w:rPr>
          <w:rFonts w:ascii="Trebuchet MS" w:hAnsi="Trebuchet MS"/>
          <w:w w:val="105"/>
          <w:sz w:val="18"/>
        </w:rPr>
        <w:t>concentration</w:t>
      </w:r>
    </w:p>
    <w:p>
      <w:pPr>
        <w:pStyle w:val="BodyText"/>
        <w:spacing w:line="249" w:lineRule="auto" w:before="128"/>
        <w:ind w:left="1440" w:firstLine="240"/>
        <w:jc w:val="both"/>
      </w:pPr>
      <w:r>
        <w:rPr>
          <w:color w:val="231F20"/>
          <w:w w:val="105"/>
        </w:rPr>
        <w:t>This calculation assumes that the substance is </w:t>
      </w:r>
      <w:r>
        <w:rPr>
          <w:color w:val="231F20"/>
          <w:spacing w:val="-4"/>
          <w:w w:val="105"/>
        </w:rPr>
        <w:t>freely </w:t>
      </w:r>
      <w:r>
        <w:rPr>
          <w:color w:val="231F20"/>
          <w:w w:val="105"/>
        </w:rPr>
        <w:t>filtered and not bound to plasma proteins. </w:t>
      </w:r>
      <w:r>
        <w:rPr>
          <w:color w:val="231F20"/>
          <w:spacing w:val="-3"/>
          <w:w w:val="105"/>
        </w:rPr>
        <w:t>For example, </w:t>
      </w:r>
      <w:r>
        <w:rPr>
          <w:color w:val="231F20"/>
          <w:w w:val="105"/>
        </w:rPr>
        <w:t>if plasma glucose concentration is 1 g/L, the amount</w:t>
      </w:r>
      <w:r>
        <w:rPr>
          <w:color w:val="231F20"/>
          <w:spacing w:val="42"/>
          <w:w w:val="105"/>
        </w:rPr>
        <w:t> </w:t>
      </w:r>
      <w:r>
        <w:rPr>
          <w:color w:val="231F20"/>
          <w:spacing w:val="-6"/>
          <w:w w:val="105"/>
        </w:rPr>
        <w:t>of</w:t>
      </w:r>
    </w:p>
    <w:p>
      <w:pPr>
        <w:pStyle w:val="BodyText"/>
        <w:spacing w:line="194" w:lineRule="auto"/>
        <w:ind w:left="1440"/>
        <w:jc w:val="both"/>
      </w:pPr>
      <w:r>
        <w:rPr>
          <w:color w:val="231F20"/>
        </w:rPr>
        <w:t>glucose filtered each day is about 180 L/day </w:t>
      </w:r>
      <w:r>
        <w:rPr>
          <w:rFonts w:ascii="Arial Unicode MS" w:hAnsi="Arial Unicode MS"/>
          <w:color w:val="231F20"/>
        </w:rPr>
        <w:t>× </w:t>
      </w:r>
      <w:r>
        <w:rPr>
          <w:color w:val="231F20"/>
        </w:rPr>
        <w:t>1 g/L, or 180</w:t>
      </w:r>
      <w:r>
        <w:rPr>
          <w:color w:val="231F20"/>
          <w:spacing w:val="10"/>
        </w:rPr>
        <w:t> </w:t>
      </w:r>
      <w:r>
        <w:rPr>
          <w:color w:val="231F20"/>
          <w:spacing w:val="-3"/>
        </w:rPr>
        <w:t>g/day.</w:t>
      </w:r>
      <w:r>
        <w:rPr>
          <w:color w:val="231F20"/>
          <w:spacing w:val="23"/>
        </w:rPr>
        <w:t> </w:t>
      </w:r>
      <w:r>
        <w:rPr>
          <w:color w:val="231F20"/>
        </w:rPr>
        <w:t>Because</w:t>
      </w:r>
      <w:r>
        <w:rPr>
          <w:color w:val="231F20"/>
          <w:spacing w:val="23"/>
        </w:rPr>
        <w:t> </w:t>
      </w:r>
      <w:r>
        <w:rPr>
          <w:color w:val="231F20"/>
        </w:rPr>
        <w:t>virtually</w:t>
      </w:r>
      <w:r>
        <w:rPr>
          <w:color w:val="231F20"/>
          <w:spacing w:val="24"/>
        </w:rPr>
        <w:t> </w:t>
      </w:r>
      <w:r>
        <w:rPr>
          <w:color w:val="231F20"/>
        </w:rPr>
        <w:t>none</w:t>
      </w:r>
      <w:r>
        <w:rPr>
          <w:color w:val="231F20"/>
          <w:spacing w:val="23"/>
        </w:rPr>
        <w:t> </w:t>
      </w:r>
      <w:r>
        <w:rPr>
          <w:color w:val="231F20"/>
        </w:rPr>
        <w:t>of</w:t>
      </w:r>
      <w:r>
        <w:rPr>
          <w:color w:val="231F20"/>
          <w:spacing w:val="23"/>
        </w:rPr>
        <w:t> </w:t>
      </w:r>
      <w:r>
        <w:rPr>
          <w:color w:val="231F20"/>
        </w:rPr>
        <w:t>the</w:t>
      </w:r>
      <w:r>
        <w:rPr>
          <w:color w:val="231F20"/>
          <w:spacing w:val="24"/>
        </w:rPr>
        <w:t> </w:t>
      </w:r>
      <w:r>
        <w:rPr>
          <w:color w:val="231F20"/>
        </w:rPr>
        <w:t>filtered</w:t>
      </w:r>
      <w:r>
        <w:rPr>
          <w:color w:val="231F20"/>
          <w:spacing w:val="23"/>
        </w:rPr>
        <w:t> </w:t>
      </w:r>
      <w:r>
        <w:rPr>
          <w:color w:val="231F20"/>
          <w:spacing w:val="-3"/>
        </w:rPr>
        <w:t>glucose</w:t>
      </w:r>
    </w:p>
    <w:p>
      <w:pPr>
        <w:pStyle w:val="BodyText"/>
        <w:spacing w:line="249" w:lineRule="auto" w:before="15"/>
        <w:ind w:left="1440"/>
        <w:jc w:val="both"/>
      </w:pPr>
      <w:r>
        <w:rPr>
          <w:color w:val="231F20"/>
          <w:w w:val="105"/>
        </w:rPr>
        <w:t>is normally excreted, the rate of glucose reabsorption is also 180 g/day.</w:t>
      </w:r>
    </w:p>
    <w:p>
      <w:pPr>
        <w:pStyle w:val="BodyText"/>
        <w:spacing w:line="249" w:lineRule="auto" w:before="1"/>
        <w:ind w:left="1440" w:firstLine="240"/>
        <w:jc w:val="both"/>
      </w:pPr>
      <w:r>
        <w:rPr>
          <w:color w:val="231F20"/>
          <w:w w:val="105"/>
        </w:rPr>
        <w:t>From </w:t>
      </w:r>
      <w:hyperlink w:history="true" w:anchor="_bookmark39">
        <w:r>
          <w:rPr>
            <w:b/>
            <w:color w:val="0080AC"/>
            <w:spacing w:val="-4"/>
            <w:w w:val="105"/>
          </w:rPr>
          <w:t>Table </w:t>
        </w:r>
        <w:r>
          <w:rPr>
            <w:b/>
            <w:color w:val="0080AC"/>
            <w:w w:val="105"/>
          </w:rPr>
          <w:t>28-1</w:t>
        </w:r>
      </w:hyperlink>
      <w:r>
        <w:rPr>
          <w:color w:val="231F20"/>
          <w:w w:val="105"/>
        </w:rPr>
        <w:t>, two things are immediately </w:t>
      </w:r>
      <w:r>
        <w:rPr>
          <w:color w:val="231F20"/>
          <w:spacing w:val="-4"/>
          <w:w w:val="105"/>
        </w:rPr>
        <w:t>appar- </w:t>
      </w:r>
      <w:r>
        <w:rPr>
          <w:color w:val="231F20"/>
          <w:w w:val="105"/>
        </w:rPr>
        <w:t>ent. First, the processes of glomerular filtration </w:t>
      </w:r>
      <w:r>
        <w:rPr>
          <w:color w:val="231F20"/>
          <w:spacing w:val="-5"/>
          <w:w w:val="105"/>
        </w:rPr>
        <w:t>and </w:t>
      </w:r>
      <w:r>
        <w:rPr>
          <w:color w:val="231F20"/>
          <w:w w:val="105"/>
        </w:rPr>
        <w:t>tubular reabsorption are quantitatively large relative </w:t>
      </w:r>
      <w:r>
        <w:rPr>
          <w:color w:val="231F20"/>
          <w:spacing w:val="-9"/>
          <w:w w:val="105"/>
        </w:rPr>
        <w:t>to </w:t>
      </w:r>
      <w:r>
        <w:rPr>
          <w:color w:val="231F20"/>
          <w:w w:val="105"/>
        </w:rPr>
        <w:t>urinary excretion for many substances. This </w:t>
      </w:r>
      <w:r>
        <w:rPr>
          <w:color w:val="231F20"/>
          <w:spacing w:val="-3"/>
          <w:w w:val="105"/>
        </w:rPr>
        <w:t>situation </w:t>
      </w:r>
      <w:r>
        <w:rPr>
          <w:color w:val="231F20"/>
          <w:w w:val="105"/>
        </w:rPr>
        <w:t>means that a small change in glomerular filtration </w:t>
      </w:r>
      <w:r>
        <w:rPr>
          <w:color w:val="231F20"/>
          <w:spacing w:val="-6"/>
          <w:w w:val="105"/>
        </w:rPr>
        <w:t>or</w:t>
      </w:r>
    </w:p>
    <w:p>
      <w:pPr>
        <w:pStyle w:val="BodyText"/>
        <w:spacing w:line="249" w:lineRule="auto" w:before="250"/>
        <w:ind w:left="319" w:right="1079"/>
        <w:jc w:val="both"/>
      </w:pPr>
      <w:r>
        <w:rPr/>
        <w:br w:type="column"/>
      </w:r>
      <w:r>
        <w:rPr>
          <w:color w:val="231F20"/>
          <w:w w:val="105"/>
        </w:rPr>
        <w:t>tubular reabsorption can potentially cause a relatively large change in urinary excretion. </w:t>
      </w:r>
      <w:r>
        <w:rPr>
          <w:color w:val="231F20"/>
          <w:spacing w:val="-3"/>
          <w:w w:val="105"/>
        </w:rPr>
        <w:t>For </w:t>
      </w:r>
      <w:r>
        <w:rPr>
          <w:color w:val="231F20"/>
          <w:w w:val="105"/>
        </w:rPr>
        <w:t>example, a </w:t>
      </w:r>
      <w:r>
        <w:rPr>
          <w:color w:val="231F20"/>
          <w:spacing w:val="-6"/>
          <w:w w:val="105"/>
        </w:rPr>
        <w:t>10 </w:t>
      </w:r>
      <w:r>
        <w:rPr>
          <w:color w:val="231F20"/>
          <w:w w:val="105"/>
        </w:rPr>
        <w:t>percent decrease in tubular reabsorption, from 178.5 </w:t>
      </w:r>
      <w:r>
        <w:rPr>
          <w:color w:val="231F20"/>
          <w:spacing w:val="10"/>
          <w:w w:val="105"/>
        </w:rPr>
        <w:t> </w:t>
      </w:r>
      <w:r>
        <w:rPr>
          <w:color w:val="231F20"/>
          <w:spacing w:val="-7"/>
          <w:w w:val="105"/>
        </w:rPr>
        <w:t>to</w:t>
      </w:r>
    </w:p>
    <w:p>
      <w:pPr>
        <w:pStyle w:val="BodyText"/>
        <w:spacing w:before="3"/>
        <w:ind w:left="319"/>
        <w:jc w:val="both"/>
      </w:pPr>
      <w:r>
        <w:rPr/>
        <w:pict>
          <v:rect style="position:absolute;margin-left:576pt;margin-top:-51.864037pt;width:36pt;height:24pt;mso-position-horizontal-relative:page;mso-position-vertical-relative:paragraph;z-index:252027904" filled="true" fillcolor="#e8dac8" stroked="false">
            <v:fill type="solid"/>
            <w10:wrap type="none"/>
          </v:rect>
        </w:pict>
      </w:r>
      <w:r>
        <w:rPr>
          <w:color w:val="231F20"/>
        </w:rPr>
        <w:t>160.7 </w:t>
      </w:r>
      <w:r>
        <w:rPr>
          <w:color w:val="231F20"/>
          <w:spacing w:val="-3"/>
        </w:rPr>
        <w:t>L/day,  </w:t>
      </w:r>
      <w:r>
        <w:rPr>
          <w:color w:val="231F20"/>
        </w:rPr>
        <w:t>would  increase  urine  volume  from  1.5 </w:t>
      </w:r>
      <w:r>
        <w:rPr>
          <w:color w:val="231F20"/>
          <w:spacing w:val="16"/>
        </w:rPr>
        <w:t> </w:t>
      </w:r>
      <w:r>
        <w:rPr>
          <w:color w:val="231F20"/>
        </w:rPr>
        <w:t>to</w:t>
      </w:r>
    </w:p>
    <w:p>
      <w:pPr>
        <w:pStyle w:val="ListParagraph"/>
        <w:numPr>
          <w:ilvl w:val="1"/>
          <w:numId w:val="10"/>
        </w:numPr>
        <w:tabs>
          <w:tab w:pos="716" w:val="left" w:leader="none"/>
        </w:tabs>
        <w:spacing w:line="249" w:lineRule="auto" w:before="10" w:after="0"/>
        <w:ind w:left="319" w:right="1077" w:firstLine="0"/>
        <w:jc w:val="both"/>
        <w:rPr>
          <w:sz w:val="20"/>
        </w:rPr>
      </w:pPr>
      <w:r>
        <w:rPr>
          <w:color w:val="231F20"/>
          <w:w w:val="105"/>
          <w:sz w:val="20"/>
        </w:rPr>
        <w:t>L/day (almost a 13-fold increase) if the glomerular filtration rate (GFR) remained constant. In reality, however,</w:t>
      </w:r>
      <w:r>
        <w:rPr>
          <w:color w:val="231F20"/>
          <w:spacing w:val="-21"/>
          <w:w w:val="105"/>
          <w:sz w:val="20"/>
        </w:rPr>
        <w:t> </w:t>
      </w:r>
      <w:r>
        <w:rPr>
          <w:color w:val="231F20"/>
          <w:w w:val="105"/>
          <w:sz w:val="20"/>
        </w:rPr>
        <w:t>changes</w:t>
      </w:r>
      <w:r>
        <w:rPr>
          <w:color w:val="231F20"/>
          <w:spacing w:val="-21"/>
          <w:w w:val="105"/>
          <w:sz w:val="20"/>
        </w:rPr>
        <w:t> </w:t>
      </w:r>
      <w:r>
        <w:rPr>
          <w:color w:val="231F20"/>
          <w:w w:val="105"/>
          <w:sz w:val="20"/>
        </w:rPr>
        <w:t>in</w:t>
      </w:r>
      <w:r>
        <w:rPr>
          <w:color w:val="231F20"/>
          <w:spacing w:val="-20"/>
          <w:w w:val="105"/>
          <w:sz w:val="20"/>
        </w:rPr>
        <w:t> </w:t>
      </w:r>
      <w:r>
        <w:rPr>
          <w:color w:val="231F20"/>
          <w:w w:val="105"/>
          <w:sz w:val="20"/>
        </w:rPr>
        <w:t>tubular</w:t>
      </w:r>
      <w:r>
        <w:rPr>
          <w:color w:val="231F20"/>
          <w:spacing w:val="-21"/>
          <w:w w:val="105"/>
          <w:sz w:val="20"/>
        </w:rPr>
        <w:t> </w:t>
      </w:r>
      <w:r>
        <w:rPr>
          <w:color w:val="231F20"/>
          <w:w w:val="105"/>
          <w:sz w:val="20"/>
        </w:rPr>
        <w:t>reabsorption</w:t>
      </w:r>
      <w:r>
        <w:rPr>
          <w:color w:val="231F20"/>
          <w:spacing w:val="-20"/>
          <w:w w:val="105"/>
          <w:sz w:val="20"/>
        </w:rPr>
        <w:t> </w:t>
      </w:r>
      <w:r>
        <w:rPr>
          <w:color w:val="231F20"/>
          <w:w w:val="105"/>
          <w:sz w:val="20"/>
        </w:rPr>
        <w:t>and</w:t>
      </w:r>
      <w:r>
        <w:rPr>
          <w:color w:val="231F20"/>
          <w:spacing w:val="-21"/>
          <w:w w:val="105"/>
          <w:sz w:val="20"/>
        </w:rPr>
        <w:t> </w:t>
      </w:r>
      <w:r>
        <w:rPr>
          <w:color w:val="231F20"/>
          <w:w w:val="105"/>
          <w:sz w:val="20"/>
        </w:rPr>
        <w:t>glomerular filtration</w:t>
      </w:r>
      <w:r>
        <w:rPr>
          <w:color w:val="231F20"/>
          <w:spacing w:val="-26"/>
          <w:w w:val="105"/>
          <w:sz w:val="20"/>
        </w:rPr>
        <w:t> </w:t>
      </w:r>
      <w:r>
        <w:rPr>
          <w:color w:val="231F20"/>
          <w:w w:val="105"/>
          <w:sz w:val="20"/>
        </w:rPr>
        <w:t>are</w:t>
      </w:r>
      <w:r>
        <w:rPr>
          <w:color w:val="231F20"/>
          <w:spacing w:val="-26"/>
          <w:w w:val="105"/>
          <w:sz w:val="20"/>
        </w:rPr>
        <w:t> </w:t>
      </w:r>
      <w:r>
        <w:rPr>
          <w:color w:val="231F20"/>
          <w:w w:val="105"/>
          <w:sz w:val="20"/>
        </w:rPr>
        <w:t>closely</w:t>
      </w:r>
      <w:r>
        <w:rPr>
          <w:color w:val="231F20"/>
          <w:spacing w:val="-26"/>
          <w:w w:val="105"/>
          <w:sz w:val="20"/>
        </w:rPr>
        <w:t> </w:t>
      </w:r>
      <w:r>
        <w:rPr>
          <w:color w:val="231F20"/>
          <w:w w:val="105"/>
          <w:sz w:val="20"/>
        </w:rPr>
        <w:t>coordinated</w:t>
      </w:r>
      <w:r>
        <w:rPr>
          <w:color w:val="231F20"/>
          <w:spacing w:val="-26"/>
          <w:w w:val="105"/>
          <w:sz w:val="20"/>
        </w:rPr>
        <w:t> </w:t>
      </w:r>
      <w:r>
        <w:rPr>
          <w:color w:val="231F20"/>
          <w:w w:val="105"/>
          <w:sz w:val="20"/>
        </w:rPr>
        <w:t>so</w:t>
      </w:r>
      <w:r>
        <w:rPr>
          <w:color w:val="231F20"/>
          <w:spacing w:val="-26"/>
          <w:w w:val="105"/>
          <w:sz w:val="20"/>
        </w:rPr>
        <w:t> </w:t>
      </w:r>
      <w:r>
        <w:rPr>
          <w:color w:val="231F20"/>
          <w:w w:val="105"/>
          <w:sz w:val="20"/>
        </w:rPr>
        <w:t>that</w:t>
      </w:r>
      <w:r>
        <w:rPr>
          <w:color w:val="231F20"/>
          <w:spacing w:val="-26"/>
          <w:w w:val="105"/>
          <w:sz w:val="20"/>
        </w:rPr>
        <w:t> </w:t>
      </w:r>
      <w:r>
        <w:rPr>
          <w:color w:val="231F20"/>
          <w:w w:val="105"/>
          <w:sz w:val="20"/>
        </w:rPr>
        <w:t>large</w:t>
      </w:r>
      <w:r>
        <w:rPr>
          <w:color w:val="231F20"/>
          <w:spacing w:val="-26"/>
          <w:w w:val="105"/>
          <w:sz w:val="20"/>
        </w:rPr>
        <w:t> </w:t>
      </w:r>
      <w:r>
        <w:rPr>
          <w:color w:val="231F20"/>
          <w:w w:val="105"/>
          <w:sz w:val="20"/>
        </w:rPr>
        <w:t>fluctuations in urinary excretion are</w:t>
      </w:r>
      <w:r>
        <w:rPr>
          <w:color w:val="231F20"/>
          <w:spacing w:val="7"/>
          <w:w w:val="105"/>
          <w:sz w:val="20"/>
        </w:rPr>
        <w:t> </w:t>
      </w:r>
      <w:r>
        <w:rPr>
          <w:color w:val="231F20"/>
          <w:w w:val="105"/>
          <w:sz w:val="20"/>
        </w:rPr>
        <w:t>avoided.</w:t>
      </w:r>
    </w:p>
    <w:p>
      <w:pPr>
        <w:pStyle w:val="BodyText"/>
        <w:spacing w:line="249" w:lineRule="auto" w:before="4"/>
        <w:ind w:left="319" w:right="1077" w:firstLine="240"/>
        <w:jc w:val="both"/>
      </w:pPr>
      <w:r>
        <w:rPr>
          <w:color w:val="231F20"/>
          <w:w w:val="105"/>
        </w:rPr>
        <w:t>Second,</w:t>
      </w:r>
      <w:r>
        <w:rPr>
          <w:color w:val="231F20"/>
          <w:spacing w:val="-38"/>
          <w:w w:val="105"/>
        </w:rPr>
        <w:t> </w:t>
      </w:r>
      <w:r>
        <w:rPr>
          <w:color w:val="231F20"/>
          <w:w w:val="105"/>
        </w:rPr>
        <w:t>unlike</w:t>
      </w:r>
      <w:r>
        <w:rPr>
          <w:color w:val="231F20"/>
          <w:spacing w:val="-38"/>
          <w:w w:val="105"/>
        </w:rPr>
        <w:t> </w:t>
      </w:r>
      <w:r>
        <w:rPr>
          <w:color w:val="231F20"/>
          <w:w w:val="105"/>
        </w:rPr>
        <w:t>glomerular</w:t>
      </w:r>
      <w:r>
        <w:rPr>
          <w:color w:val="231F20"/>
          <w:spacing w:val="-38"/>
          <w:w w:val="105"/>
        </w:rPr>
        <w:t> </w:t>
      </w:r>
      <w:r>
        <w:rPr>
          <w:color w:val="231F20"/>
          <w:w w:val="105"/>
        </w:rPr>
        <w:t>filtration,</w:t>
      </w:r>
      <w:r>
        <w:rPr>
          <w:color w:val="231F20"/>
          <w:spacing w:val="-37"/>
          <w:w w:val="105"/>
        </w:rPr>
        <w:t> </w:t>
      </w:r>
      <w:r>
        <w:rPr>
          <w:color w:val="231F20"/>
          <w:w w:val="105"/>
        </w:rPr>
        <w:t>which</w:t>
      </w:r>
      <w:r>
        <w:rPr>
          <w:color w:val="231F20"/>
          <w:spacing w:val="-38"/>
          <w:w w:val="105"/>
        </w:rPr>
        <w:t> </w:t>
      </w:r>
      <w:r>
        <w:rPr>
          <w:color w:val="231F20"/>
          <w:w w:val="105"/>
        </w:rPr>
        <w:t>is</w:t>
      </w:r>
      <w:r>
        <w:rPr>
          <w:color w:val="231F20"/>
          <w:spacing w:val="-38"/>
          <w:w w:val="105"/>
        </w:rPr>
        <w:t> </w:t>
      </w:r>
      <w:r>
        <w:rPr>
          <w:color w:val="231F20"/>
          <w:w w:val="105"/>
        </w:rPr>
        <w:t>relatively nonselective</w:t>
      </w:r>
      <w:r>
        <w:rPr>
          <w:color w:val="231F20"/>
          <w:spacing w:val="-8"/>
          <w:w w:val="105"/>
        </w:rPr>
        <w:t> </w:t>
      </w:r>
      <w:r>
        <w:rPr>
          <w:color w:val="231F20"/>
          <w:w w:val="105"/>
        </w:rPr>
        <w:t>(essentially</w:t>
      </w:r>
      <w:r>
        <w:rPr>
          <w:color w:val="231F20"/>
          <w:spacing w:val="-8"/>
          <w:w w:val="105"/>
        </w:rPr>
        <w:t> </w:t>
      </w:r>
      <w:r>
        <w:rPr>
          <w:color w:val="231F20"/>
          <w:w w:val="105"/>
        </w:rPr>
        <w:t>all</w:t>
      </w:r>
      <w:r>
        <w:rPr>
          <w:color w:val="231F20"/>
          <w:spacing w:val="-7"/>
          <w:w w:val="105"/>
        </w:rPr>
        <w:t> </w:t>
      </w:r>
      <w:r>
        <w:rPr>
          <w:color w:val="231F20"/>
          <w:w w:val="105"/>
        </w:rPr>
        <w:t>solutes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plasma</w:t>
      </w:r>
      <w:r>
        <w:rPr>
          <w:color w:val="231F20"/>
          <w:spacing w:val="-7"/>
          <w:w w:val="105"/>
        </w:rPr>
        <w:t> </w:t>
      </w:r>
      <w:r>
        <w:rPr>
          <w:color w:val="231F20"/>
          <w:w w:val="105"/>
        </w:rPr>
        <w:t>are</w:t>
      </w:r>
      <w:r>
        <w:rPr>
          <w:color w:val="231F20"/>
          <w:spacing w:val="-8"/>
          <w:w w:val="105"/>
        </w:rPr>
        <w:t> </w:t>
      </w:r>
      <w:r>
        <w:rPr>
          <w:color w:val="231F20"/>
          <w:spacing w:val="-4"/>
          <w:w w:val="105"/>
        </w:rPr>
        <w:t>fil- </w:t>
      </w:r>
      <w:r>
        <w:rPr>
          <w:color w:val="231F20"/>
          <w:w w:val="105"/>
        </w:rPr>
        <w:t>tered except the plasma proteins or substances bound  to them), </w:t>
      </w:r>
      <w:r>
        <w:rPr>
          <w:i/>
          <w:color w:val="231F20"/>
          <w:w w:val="105"/>
        </w:rPr>
        <w:t>tubular reabsorption is highly selective</w:t>
      </w:r>
      <w:r>
        <w:rPr>
          <w:color w:val="231F20"/>
          <w:w w:val="105"/>
        </w:rPr>
        <w:t>.</w:t>
      </w:r>
      <w:r>
        <w:rPr>
          <w:color w:val="231F20"/>
          <w:spacing w:val="-19"/>
          <w:w w:val="105"/>
        </w:rPr>
        <w:t> </w:t>
      </w:r>
      <w:r>
        <w:rPr>
          <w:color w:val="231F20"/>
          <w:w w:val="105"/>
        </w:rPr>
        <w:t>Some substances, such as glucose and amino acids, are</w:t>
      </w:r>
      <w:r>
        <w:rPr>
          <w:color w:val="231F20"/>
          <w:spacing w:val="-33"/>
          <w:w w:val="105"/>
        </w:rPr>
        <w:t> </w:t>
      </w:r>
      <w:r>
        <w:rPr>
          <w:color w:val="231F20"/>
          <w:w w:val="105"/>
        </w:rPr>
        <w:t>almost completely reabsorbed from the tubules, so the urinary excretion</w:t>
      </w:r>
      <w:r>
        <w:rPr>
          <w:color w:val="231F20"/>
          <w:spacing w:val="-8"/>
          <w:w w:val="105"/>
        </w:rPr>
        <w:t> </w:t>
      </w:r>
      <w:r>
        <w:rPr>
          <w:color w:val="231F20"/>
          <w:w w:val="105"/>
        </w:rPr>
        <w:t>rate</w:t>
      </w:r>
      <w:r>
        <w:rPr>
          <w:color w:val="231F20"/>
          <w:spacing w:val="-8"/>
          <w:w w:val="105"/>
        </w:rPr>
        <w:t> </w:t>
      </w:r>
      <w:r>
        <w:rPr>
          <w:color w:val="231F20"/>
          <w:w w:val="105"/>
        </w:rPr>
        <w:t>is</w:t>
      </w:r>
      <w:r>
        <w:rPr>
          <w:color w:val="231F20"/>
          <w:spacing w:val="-8"/>
          <w:w w:val="105"/>
        </w:rPr>
        <w:t> </w:t>
      </w:r>
      <w:r>
        <w:rPr>
          <w:color w:val="231F20"/>
          <w:w w:val="105"/>
        </w:rPr>
        <w:t>essentially</w:t>
      </w:r>
      <w:r>
        <w:rPr>
          <w:color w:val="231F20"/>
          <w:spacing w:val="-8"/>
          <w:w w:val="105"/>
        </w:rPr>
        <w:t> </w:t>
      </w:r>
      <w:r>
        <w:rPr>
          <w:color w:val="231F20"/>
          <w:w w:val="105"/>
        </w:rPr>
        <w:t>zero.</w:t>
      </w:r>
      <w:r>
        <w:rPr>
          <w:color w:val="231F20"/>
          <w:spacing w:val="-8"/>
          <w:w w:val="105"/>
        </w:rPr>
        <w:t> </w:t>
      </w:r>
      <w:r>
        <w:rPr>
          <w:color w:val="231F20"/>
          <w:w w:val="105"/>
        </w:rPr>
        <w:t>Many</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ions</w:t>
      </w:r>
      <w:r>
        <w:rPr>
          <w:color w:val="231F20"/>
          <w:spacing w:val="-8"/>
          <w:w w:val="105"/>
        </w:rPr>
        <w:t> </w:t>
      </w:r>
      <w:r>
        <w:rPr>
          <w:color w:val="231F20"/>
          <w:w w:val="105"/>
        </w:rPr>
        <w:t>in</w:t>
      </w:r>
      <w:r>
        <w:rPr>
          <w:color w:val="231F20"/>
          <w:spacing w:val="-8"/>
          <w:w w:val="105"/>
        </w:rPr>
        <w:t> </w:t>
      </w:r>
      <w:r>
        <w:rPr>
          <w:color w:val="231F20"/>
          <w:w w:val="105"/>
        </w:rPr>
        <w:t>the plasma, such as sodium, chloride, and bicarbonate, are also</w:t>
      </w:r>
      <w:r>
        <w:rPr>
          <w:color w:val="231F20"/>
          <w:spacing w:val="-22"/>
          <w:w w:val="105"/>
        </w:rPr>
        <w:t> </w:t>
      </w:r>
      <w:r>
        <w:rPr>
          <w:color w:val="231F20"/>
          <w:w w:val="105"/>
        </w:rPr>
        <w:t>highly</w:t>
      </w:r>
      <w:r>
        <w:rPr>
          <w:color w:val="231F20"/>
          <w:spacing w:val="-22"/>
          <w:w w:val="105"/>
        </w:rPr>
        <w:t> </w:t>
      </w:r>
      <w:r>
        <w:rPr>
          <w:color w:val="231F20"/>
          <w:w w:val="105"/>
        </w:rPr>
        <w:t>reabsorbed,</w:t>
      </w:r>
      <w:r>
        <w:rPr>
          <w:color w:val="231F20"/>
          <w:spacing w:val="-21"/>
          <w:w w:val="105"/>
        </w:rPr>
        <w:t> </w:t>
      </w:r>
      <w:r>
        <w:rPr>
          <w:color w:val="231F20"/>
          <w:w w:val="105"/>
        </w:rPr>
        <w:t>but</w:t>
      </w:r>
      <w:r>
        <w:rPr>
          <w:color w:val="231F20"/>
          <w:spacing w:val="-22"/>
          <w:w w:val="105"/>
        </w:rPr>
        <w:t> </w:t>
      </w:r>
      <w:r>
        <w:rPr>
          <w:color w:val="231F20"/>
          <w:w w:val="105"/>
        </w:rPr>
        <w:t>their</w:t>
      </w:r>
      <w:r>
        <w:rPr>
          <w:color w:val="231F20"/>
          <w:spacing w:val="-21"/>
          <w:w w:val="105"/>
        </w:rPr>
        <w:t> </w:t>
      </w:r>
      <w:r>
        <w:rPr>
          <w:color w:val="231F20"/>
          <w:w w:val="105"/>
        </w:rPr>
        <w:t>rates</w:t>
      </w:r>
      <w:r>
        <w:rPr>
          <w:color w:val="231F20"/>
          <w:spacing w:val="-22"/>
          <w:w w:val="105"/>
        </w:rPr>
        <w:t> </w:t>
      </w:r>
      <w:r>
        <w:rPr>
          <w:color w:val="231F20"/>
          <w:w w:val="105"/>
        </w:rPr>
        <w:t>of</w:t>
      </w:r>
      <w:r>
        <w:rPr>
          <w:color w:val="231F20"/>
          <w:spacing w:val="-22"/>
          <w:w w:val="105"/>
        </w:rPr>
        <w:t> </w:t>
      </w:r>
      <w:r>
        <w:rPr>
          <w:color w:val="231F20"/>
          <w:w w:val="105"/>
        </w:rPr>
        <w:t>reabsorption</w:t>
      </w:r>
      <w:r>
        <w:rPr>
          <w:color w:val="231F20"/>
          <w:spacing w:val="-21"/>
          <w:w w:val="105"/>
        </w:rPr>
        <w:t> </w:t>
      </w:r>
      <w:r>
        <w:rPr>
          <w:color w:val="231F20"/>
          <w:w w:val="105"/>
        </w:rPr>
        <w:t>and urinary</w:t>
      </w:r>
      <w:r>
        <w:rPr>
          <w:color w:val="231F20"/>
          <w:spacing w:val="-15"/>
          <w:w w:val="105"/>
        </w:rPr>
        <w:t> </w:t>
      </w:r>
      <w:r>
        <w:rPr>
          <w:color w:val="231F20"/>
          <w:w w:val="105"/>
        </w:rPr>
        <w:t>excretion</w:t>
      </w:r>
      <w:r>
        <w:rPr>
          <w:color w:val="231F20"/>
          <w:spacing w:val="-14"/>
          <w:w w:val="105"/>
        </w:rPr>
        <w:t> </w:t>
      </w:r>
      <w:r>
        <w:rPr>
          <w:color w:val="231F20"/>
          <w:w w:val="105"/>
        </w:rPr>
        <w:t>are</w:t>
      </w:r>
      <w:r>
        <w:rPr>
          <w:color w:val="231F20"/>
          <w:spacing w:val="-14"/>
          <w:w w:val="105"/>
        </w:rPr>
        <w:t> </w:t>
      </w:r>
      <w:r>
        <w:rPr>
          <w:color w:val="231F20"/>
          <w:w w:val="105"/>
        </w:rPr>
        <w:t>variable,</w:t>
      </w:r>
      <w:r>
        <w:rPr>
          <w:color w:val="231F20"/>
          <w:spacing w:val="-14"/>
          <w:w w:val="105"/>
        </w:rPr>
        <w:t> </w:t>
      </w:r>
      <w:r>
        <w:rPr>
          <w:color w:val="231F20"/>
          <w:w w:val="105"/>
        </w:rPr>
        <w:t>depending</w:t>
      </w:r>
      <w:r>
        <w:rPr>
          <w:color w:val="231F20"/>
          <w:spacing w:val="-14"/>
          <w:w w:val="105"/>
        </w:rPr>
        <w:t> </w:t>
      </w:r>
      <w:r>
        <w:rPr>
          <w:color w:val="231F20"/>
          <w:w w:val="105"/>
        </w:rPr>
        <w:t>on</w:t>
      </w:r>
      <w:r>
        <w:rPr>
          <w:color w:val="231F20"/>
          <w:spacing w:val="-14"/>
          <w:w w:val="105"/>
        </w:rPr>
        <w:t> </w:t>
      </w:r>
      <w:r>
        <w:rPr>
          <w:color w:val="231F20"/>
          <w:w w:val="105"/>
        </w:rPr>
        <w:t>the</w:t>
      </w:r>
      <w:r>
        <w:rPr>
          <w:color w:val="231F20"/>
          <w:spacing w:val="-14"/>
          <w:w w:val="105"/>
        </w:rPr>
        <w:t> </w:t>
      </w:r>
      <w:r>
        <w:rPr>
          <w:color w:val="231F20"/>
          <w:w w:val="105"/>
        </w:rPr>
        <w:t>needs</w:t>
      </w:r>
      <w:r>
        <w:rPr>
          <w:color w:val="231F20"/>
          <w:spacing w:val="-14"/>
          <w:w w:val="105"/>
        </w:rPr>
        <w:t> </w:t>
      </w:r>
      <w:r>
        <w:rPr>
          <w:color w:val="231F20"/>
          <w:w w:val="105"/>
        </w:rPr>
        <w:t>of the body. </w:t>
      </w:r>
      <w:r>
        <w:rPr>
          <w:color w:val="231F20"/>
          <w:spacing w:val="-3"/>
          <w:w w:val="105"/>
        </w:rPr>
        <w:t>Waste </w:t>
      </w:r>
      <w:r>
        <w:rPr>
          <w:color w:val="231F20"/>
          <w:w w:val="105"/>
        </w:rPr>
        <w:t>products, such as urea and creatinine, conversely, are poorly reabsorbed from the tubules and are excreted in relatively large</w:t>
      </w:r>
      <w:r>
        <w:rPr>
          <w:color w:val="231F20"/>
          <w:spacing w:val="-1"/>
          <w:w w:val="105"/>
        </w:rPr>
        <w:t> </w:t>
      </w:r>
      <w:r>
        <w:rPr>
          <w:color w:val="231F20"/>
          <w:w w:val="105"/>
        </w:rPr>
        <w:t>amounts.</w:t>
      </w:r>
    </w:p>
    <w:p>
      <w:pPr>
        <w:pStyle w:val="BodyText"/>
        <w:spacing w:line="249" w:lineRule="auto" w:before="11"/>
        <w:ind w:left="319" w:right="1077" w:firstLine="240"/>
        <w:jc w:val="both"/>
      </w:pPr>
      <w:r>
        <w:rPr>
          <w:color w:val="231F20"/>
          <w:w w:val="105"/>
        </w:rPr>
        <w:t>Therefore, by controlling their reabsorption of</w:t>
      </w:r>
      <w:r>
        <w:rPr>
          <w:color w:val="231F20"/>
          <w:spacing w:val="-16"/>
          <w:w w:val="105"/>
        </w:rPr>
        <w:t> </w:t>
      </w:r>
      <w:r>
        <w:rPr>
          <w:color w:val="231F20"/>
          <w:spacing w:val="-4"/>
          <w:w w:val="105"/>
        </w:rPr>
        <w:t>differ- </w:t>
      </w:r>
      <w:r>
        <w:rPr>
          <w:color w:val="231F20"/>
          <w:w w:val="105"/>
        </w:rPr>
        <w:t>ent substances, the kidneys regulate excretion of</w:t>
      </w:r>
      <w:r>
        <w:rPr>
          <w:color w:val="231F20"/>
          <w:spacing w:val="-29"/>
          <w:w w:val="105"/>
        </w:rPr>
        <w:t> </w:t>
      </w:r>
      <w:r>
        <w:rPr>
          <w:color w:val="231F20"/>
          <w:w w:val="105"/>
        </w:rPr>
        <w:t>solutes independently</w:t>
      </w:r>
      <w:r>
        <w:rPr>
          <w:color w:val="231F20"/>
          <w:spacing w:val="-22"/>
          <w:w w:val="105"/>
        </w:rPr>
        <w:t> </w:t>
      </w:r>
      <w:r>
        <w:rPr>
          <w:color w:val="231F20"/>
          <w:w w:val="105"/>
        </w:rPr>
        <w:t>of</w:t>
      </w:r>
      <w:r>
        <w:rPr>
          <w:color w:val="231F20"/>
          <w:spacing w:val="-22"/>
          <w:w w:val="105"/>
        </w:rPr>
        <w:t> </w:t>
      </w:r>
      <w:r>
        <w:rPr>
          <w:color w:val="231F20"/>
          <w:w w:val="105"/>
        </w:rPr>
        <w:t>one</w:t>
      </w:r>
      <w:r>
        <w:rPr>
          <w:color w:val="231F20"/>
          <w:spacing w:val="-22"/>
          <w:w w:val="105"/>
        </w:rPr>
        <w:t> </w:t>
      </w:r>
      <w:r>
        <w:rPr>
          <w:color w:val="231F20"/>
          <w:spacing w:val="-3"/>
          <w:w w:val="105"/>
        </w:rPr>
        <w:t>another,</w:t>
      </w:r>
      <w:r>
        <w:rPr>
          <w:color w:val="231F20"/>
          <w:spacing w:val="-22"/>
          <w:w w:val="105"/>
        </w:rPr>
        <w:t> </w:t>
      </w:r>
      <w:r>
        <w:rPr>
          <w:color w:val="231F20"/>
          <w:w w:val="105"/>
        </w:rPr>
        <w:t>a</w:t>
      </w:r>
      <w:r>
        <w:rPr>
          <w:color w:val="231F20"/>
          <w:spacing w:val="-22"/>
          <w:w w:val="105"/>
        </w:rPr>
        <w:t> </w:t>
      </w:r>
      <w:r>
        <w:rPr>
          <w:color w:val="231F20"/>
          <w:w w:val="105"/>
        </w:rPr>
        <w:t>capability</w:t>
      </w:r>
      <w:r>
        <w:rPr>
          <w:color w:val="231F20"/>
          <w:spacing w:val="-22"/>
          <w:w w:val="105"/>
        </w:rPr>
        <w:t> </w:t>
      </w:r>
      <w:r>
        <w:rPr>
          <w:color w:val="231F20"/>
          <w:w w:val="105"/>
        </w:rPr>
        <w:t>that</w:t>
      </w:r>
      <w:r>
        <w:rPr>
          <w:color w:val="231F20"/>
          <w:spacing w:val="-22"/>
          <w:w w:val="105"/>
        </w:rPr>
        <w:t> </w:t>
      </w:r>
      <w:r>
        <w:rPr>
          <w:color w:val="231F20"/>
          <w:w w:val="105"/>
        </w:rPr>
        <w:t>is</w:t>
      </w:r>
      <w:r>
        <w:rPr>
          <w:color w:val="231F20"/>
          <w:spacing w:val="-22"/>
          <w:w w:val="105"/>
        </w:rPr>
        <w:t> </w:t>
      </w:r>
      <w:r>
        <w:rPr>
          <w:color w:val="231F20"/>
          <w:w w:val="105"/>
        </w:rPr>
        <w:t>essential for</w:t>
      </w:r>
      <w:r>
        <w:rPr>
          <w:color w:val="231F20"/>
          <w:spacing w:val="-6"/>
          <w:w w:val="105"/>
        </w:rPr>
        <w:t> </w:t>
      </w:r>
      <w:r>
        <w:rPr>
          <w:color w:val="231F20"/>
          <w:w w:val="105"/>
        </w:rPr>
        <w:t>precise</w:t>
      </w:r>
      <w:r>
        <w:rPr>
          <w:color w:val="231F20"/>
          <w:spacing w:val="-6"/>
          <w:w w:val="105"/>
        </w:rPr>
        <w:t> </w:t>
      </w:r>
      <w:r>
        <w:rPr>
          <w:color w:val="231F20"/>
          <w:w w:val="105"/>
        </w:rPr>
        <w:t>control</w:t>
      </w:r>
      <w:r>
        <w:rPr>
          <w:color w:val="231F20"/>
          <w:spacing w:val="-5"/>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body</w:t>
      </w:r>
      <w:r>
        <w:rPr>
          <w:color w:val="231F20"/>
          <w:spacing w:val="-5"/>
          <w:w w:val="105"/>
        </w:rPr>
        <w:t> </w:t>
      </w:r>
      <w:r>
        <w:rPr>
          <w:color w:val="231F20"/>
          <w:w w:val="105"/>
        </w:rPr>
        <w:t>fluid</w:t>
      </w:r>
      <w:r>
        <w:rPr>
          <w:color w:val="231F20"/>
          <w:spacing w:val="-6"/>
          <w:w w:val="105"/>
        </w:rPr>
        <w:t> </w:t>
      </w:r>
      <w:r>
        <w:rPr>
          <w:color w:val="231F20"/>
          <w:w w:val="105"/>
        </w:rPr>
        <w:t>composition.</w:t>
      </w:r>
      <w:r>
        <w:rPr>
          <w:color w:val="231F20"/>
          <w:spacing w:val="-5"/>
          <w:w w:val="105"/>
        </w:rPr>
        <w:t> </w:t>
      </w:r>
      <w:r>
        <w:rPr>
          <w:color w:val="231F20"/>
          <w:w w:val="105"/>
        </w:rPr>
        <w:t>In</w:t>
      </w:r>
      <w:r>
        <w:rPr>
          <w:color w:val="231F20"/>
          <w:spacing w:val="-6"/>
          <w:w w:val="105"/>
        </w:rPr>
        <w:t> </w:t>
      </w:r>
      <w:r>
        <w:rPr>
          <w:color w:val="231F20"/>
          <w:w w:val="105"/>
        </w:rPr>
        <w:t>this </w:t>
      </w:r>
      <w:r>
        <w:rPr>
          <w:color w:val="231F20"/>
          <w:spacing w:val="-3"/>
          <w:w w:val="105"/>
        </w:rPr>
        <w:t>chapter,</w:t>
      </w:r>
      <w:r>
        <w:rPr>
          <w:color w:val="231F20"/>
          <w:spacing w:val="-30"/>
          <w:w w:val="105"/>
        </w:rPr>
        <w:t> </w:t>
      </w:r>
      <w:r>
        <w:rPr>
          <w:color w:val="231F20"/>
          <w:w w:val="105"/>
        </w:rPr>
        <w:t>we</w:t>
      </w:r>
      <w:r>
        <w:rPr>
          <w:color w:val="231F20"/>
          <w:spacing w:val="-29"/>
          <w:w w:val="105"/>
        </w:rPr>
        <w:t> </w:t>
      </w:r>
      <w:r>
        <w:rPr>
          <w:color w:val="231F20"/>
          <w:w w:val="105"/>
        </w:rPr>
        <w:t>discuss</w:t>
      </w:r>
      <w:r>
        <w:rPr>
          <w:color w:val="231F20"/>
          <w:spacing w:val="-29"/>
          <w:w w:val="105"/>
        </w:rPr>
        <w:t> </w:t>
      </w:r>
      <w:r>
        <w:rPr>
          <w:color w:val="231F20"/>
          <w:w w:val="105"/>
        </w:rPr>
        <w:t>the</w:t>
      </w:r>
      <w:r>
        <w:rPr>
          <w:color w:val="231F20"/>
          <w:spacing w:val="-29"/>
          <w:w w:val="105"/>
        </w:rPr>
        <w:t> </w:t>
      </w:r>
      <w:r>
        <w:rPr>
          <w:color w:val="231F20"/>
          <w:w w:val="105"/>
        </w:rPr>
        <w:t>mechanisms</w:t>
      </w:r>
      <w:r>
        <w:rPr>
          <w:color w:val="231F20"/>
          <w:spacing w:val="-30"/>
          <w:w w:val="105"/>
        </w:rPr>
        <w:t> </w:t>
      </w:r>
      <w:r>
        <w:rPr>
          <w:color w:val="231F20"/>
          <w:w w:val="105"/>
        </w:rPr>
        <w:t>that</w:t>
      </w:r>
      <w:r>
        <w:rPr>
          <w:color w:val="231F20"/>
          <w:spacing w:val="-29"/>
          <w:w w:val="105"/>
        </w:rPr>
        <w:t> </w:t>
      </w:r>
      <w:r>
        <w:rPr>
          <w:color w:val="231F20"/>
          <w:w w:val="105"/>
        </w:rPr>
        <w:t>allow</w:t>
      </w:r>
      <w:r>
        <w:rPr>
          <w:color w:val="231F20"/>
          <w:spacing w:val="-29"/>
          <w:w w:val="105"/>
        </w:rPr>
        <w:t> </w:t>
      </w:r>
      <w:r>
        <w:rPr>
          <w:color w:val="231F20"/>
          <w:w w:val="105"/>
        </w:rPr>
        <w:t>the</w:t>
      </w:r>
      <w:r>
        <w:rPr>
          <w:color w:val="231F20"/>
          <w:spacing w:val="-29"/>
          <w:w w:val="105"/>
        </w:rPr>
        <w:t> </w:t>
      </w:r>
      <w:r>
        <w:rPr>
          <w:color w:val="231F20"/>
          <w:w w:val="105"/>
        </w:rPr>
        <w:t>kidneys to selectively reabsorb or secrete different substances</w:t>
      </w:r>
      <w:r>
        <w:rPr>
          <w:color w:val="231F20"/>
          <w:spacing w:val="-10"/>
          <w:w w:val="105"/>
        </w:rPr>
        <w:t> </w:t>
      </w:r>
      <w:r>
        <w:rPr>
          <w:color w:val="231F20"/>
          <w:w w:val="105"/>
        </w:rPr>
        <w:t>at variable</w:t>
      </w:r>
      <w:r>
        <w:rPr>
          <w:color w:val="231F20"/>
          <w:spacing w:val="2"/>
          <w:w w:val="105"/>
        </w:rPr>
        <w:t> </w:t>
      </w:r>
      <w:r>
        <w:rPr>
          <w:color w:val="231F20"/>
          <w:w w:val="105"/>
        </w:rPr>
        <w:t>rates.</w:t>
      </w:r>
    </w:p>
    <w:p>
      <w:pPr>
        <w:pStyle w:val="BodyText"/>
        <w:rPr>
          <w:sz w:val="25"/>
        </w:rPr>
      </w:pPr>
      <w:r>
        <w:rPr/>
        <w:pict>
          <v:shape style="position:absolute;margin-left:324pt;margin-top:15.616022pt;width:234pt;height:28pt;mso-position-horizontal-relative:page;mso-position-vertical-relative:paragraph;z-index:-251293696;mso-wrap-distance-left:0;mso-wrap-distance-right:0" type="#_x0000_t202" filled="true" fillcolor="#e8dac8" stroked="false">
            <v:textbox inset="0,0,0,0">
              <w:txbxContent>
                <w:p>
                  <w:pPr>
                    <w:spacing w:line="225" w:lineRule="auto" w:before="46"/>
                    <w:ind w:left="60" w:right="0" w:firstLine="0"/>
                    <w:jc w:val="left"/>
                    <w:rPr>
                      <w:rFonts w:ascii="Trebuchet MS"/>
                      <w:b/>
                      <w:sz w:val="22"/>
                    </w:rPr>
                  </w:pPr>
                  <w:r>
                    <w:rPr>
                      <w:rFonts w:ascii="Trebuchet MS"/>
                      <w:b/>
                      <w:color w:val="231F20"/>
                      <w:w w:val="110"/>
                      <w:sz w:val="22"/>
                    </w:rPr>
                    <w:t>TUBULAR REABSORPTION INCLUDES </w:t>
                  </w:r>
                  <w:r>
                    <w:rPr>
                      <w:rFonts w:ascii="Trebuchet MS"/>
                      <w:b/>
                      <w:color w:val="231F20"/>
                      <w:spacing w:val="-3"/>
                      <w:w w:val="110"/>
                      <w:sz w:val="22"/>
                    </w:rPr>
                    <w:t>PASSIVE </w:t>
                  </w:r>
                  <w:r>
                    <w:rPr>
                      <w:rFonts w:ascii="Trebuchet MS"/>
                      <w:b/>
                      <w:color w:val="231F20"/>
                      <w:w w:val="110"/>
                      <w:sz w:val="22"/>
                    </w:rPr>
                    <w:t>AND ACTIVE</w:t>
                  </w:r>
                  <w:r>
                    <w:rPr>
                      <w:rFonts w:ascii="Trebuchet MS"/>
                      <w:b/>
                      <w:color w:val="231F20"/>
                      <w:spacing w:val="67"/>
                      <w:w w:val="110"/>
                      <w:sz w:val="22"/>
                    </w:rPr>
                    <w:t> </w:t>
                  </w:r>
                  <w:r>
                    <w:rPr>
                      <w:rFonts w:ascii="Trebuchet MS"/>
                      <w:b/>
                      <w:color w:val="231F20"/>
                      <w:w w:val="110"/>
                      <w:sz w:val="22"/>
                    </w:rPr>
                    <w:t>MECHANISMS</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077"/>
        <w:jc w:val="both"/>
        <w:rPr>
          <w:i/>
        </w:rPr>
      </w:pPr>
      <w:r>
        <w:rPr>
          <w:color w:val="231F20"/>
          <w:spacing w:val="-3"/>
          <w:w w:val="105"/>
        </w:rPr>
        <w:t>For </w:t>
      </w:r>
      <w:r>
        <w:rPr>
          <w:color w:val="231F20"/>
          <w:w w:val="105"/>
        </w:rPr>
        <w:t>a substance to be reabsorbed, it must first be trans- ported (1) across the tubular epithelial membranes into the renal interstitial fluid and then (2) through the </w:t>
      </w:r>
      <w:r>
        <w:rPr>
          <w:color w:val="231F20"/>
          <w:spacing w:val="-3"/>
          <w:w w:val="105"/>
        </w:rPr>
        <w:t>peri- </w:t>
      </w:r>
      <w:r>
        <w:rPr>
          <w:color w:val="231F20"/>
          <w:w w:val="105"/>
        </w:rPr>
        <w:t>tubular capillary membrane back into the blood</w:t>
      </w:r>
      <w:r>
        <w:rPr>
          <w:color w:val="231F20"/>
          <w:spacing w:val="-33"/>
          <w:w w:val="105"/>
        </w:rPr>
        <w:t> </w:t>
      </w:r>
      <w:r>
        <w:rPr>
          <w:color w:val="231F20"/>
          <w:w w:val="105"/>
        </w:rPr>
        <w:t>(</w:t>
      </w:r>
      <w:hyperlink w:history="true" w:anchor="_bookmark40">
        <w:r>
          <w:rPr>
            <w:b/>
            <w:color w:val="0080AC"/>
            <w:w w:val="105"/>
          </w:rPr>
          <w:t>Figure</w:t>
        </w:r>
      </w:hyperlink>
      <w:r>
        <w:rPr>
          <w:b/>
          <w:color w:val="0080AC"/>
          <w:w w:val="105"/>
        </w:rPr>
        <w:t> </w:t>
      </w:r>
      <w:hyperlink w:history="true" w:anchor="_bookmark40">
        <w:r>
          <w:rPr>
            <w:b/>
            <w:color w:val="0080AC"/>
            <w:w w:val="105"/>
          </w:rPr>
          <w:t>28-1</w:t>
        </w:r>
      </w:hyperlink>
      <w:r>
        <w:rPr>
          <w:color w:val="231F20"/>
          <w:w w:val="105"/>
        </w:rPr>
        <w:t>).</w:t>
      </w:r>
      <w:r>
        <w:rPr>
          <w:color w:val="231F20"/>
          <w:spacing w:val="-12"/>
          <w:w w:val="105"/>
        </w:rPr>
        <w:t> </w:t>
      </w:r>
      <w:r>
        <w:rPr>
          <w:color w:val="231F20"/>
          <w:w w:val="105"/>
        </w:rPr>
        <w:t>Thus,</w:t>
      </w:r>
      <w:r>
        <w:rPr>
          <w:color w:val="231F20"/>
          <w:spacing w:val="-11"/>
          <w:w w:val="105"/>
        </w:rPr>
        <w:t> </w:t>
      </w:r>
      <w:r>
        <w:rPr>
          <w:color w:val="231F20"/>
          <w:w w:val="105"/>
        </w:rPr>
        <w:t>reabsorption</w:t>
      </w:r>
      <w:r>
        <w:rPr>
          <w:color w:val="231F20"/>
          <w:spacing w:val="-11"/>
          <w:w w:val="105"/>
        </w:rPr>
        <w:t> </w:t>
      </w:r>
      <w:r>
        <w:rPr>
          <w:color w:val="231F20"/>
          <w:w w:val="105"/>
        </w:rPr>
        <w:t>of</w:t>
      </w:r>
      <w:r>
        <w:rPr>
          <w:color w:val="231F20"/>
          <w:spacing w:val="-12"/>
          <w:w w:val="105"/>
        </w:rPr>
        <w:t> </w:t>
      </w:r>
      <w:r>
        <w:rPr>
          <w:color w:val="231F20"/>
          <w:w w:val="105"/>
        </w:rPr>
        <w:t>water</w:t>
      </w:r>
      <w:r>
        <w:rPr>
          <w:color w:val="231F20"/>
          <w:spacing w:val="-11"/>
          <w:w w:val="105"/>
        </w:rPr>
        <w:t> </w:t>
      </w:r>
      <w:r>
        <w:rPr>
          <w:color w:val="231F20"/>
          <w:w w:val="105"/>
        </w:rPr>
        <w:t>and</w:t>
      </w:r>
      <w:r>
        <w:rPr>
          <w:color w:val="231F20"/>
          <w:spacing w:val="-11"/>
          <w:w w:val="105"/>
        </w:rPr>
        <w:t> </w:t>
      </w:r>
      <w:r>
        <w:rPr>
          <w:color w:val="231F20"/>
          <w:w w:val="105"/>
        </w:rPr>
        <w:t>solutes</w:t>
      </w:r>
      <w:r>
        <w:rPr>
          <w:color w:val="231F20"/>
          <w:spacing w:val="-11"/>
          <w:w w:val="105"/>
        </w:rPr>
        <w:t> </w:t>
      </w:r>
      <w:r>
        <w:rPr>
          <w:color w:val="231F20"/>
          <w:w w:val="105"/>
        </w:rPr>
        <w:t>includes</w:t>
      </w:r>
      <w:r>
        <w:rPr>
          <w:color w:val="231F20"/>
          <w:spacing w:val="-12"/>
          <w:w w:val="105"/>
        </w:rPr>
        <w:t> </w:t>
      </w:r>
      <w:r>
        <w:rPr>
          <w:color w:val="231F20"/>
          <w:spacing w:val="-13"/>
          <w:w w:val="105"/>
        </w:rPr>
        <w:t>a </w:t>
      </w:r>
      <w:r>
        <w:rPr>
          <w:color w:val="231F20"/>
          <w:w w:val="105"/>
        </w:rPr>
        <w:t>series</w:t>
      </w:r>
      <w:r>
        <w:rPr>
          <w:color w:val="231F20"/>
          <w:spacing w:val="-9"/>
          <w:w w:val="105"/>
        </w:rPr>
        <w:t> </w:t>
      </w:r>
      <w:r>
        <w:rPr>
          <w:color w:val="231F20"/>
          <w:w w:val="105"/>
        </w:rPr>
        <w:t>of</w:t>
      </w:r>
      <w:r>
        <w:rPr>
          <w:color w:val="231F20"/>
          <w:spacing w:val="-9"/>
          <w:w w:val="105"/>
        </w:rPr>
        <w:t> </w:t>
      </w:r>
      <w:r>
        <w:rPr>
          <w:color w:val="231F20"/>
          <w:w w:val="105"/>
        </w:rPr>
        <w:t>transport</w:t>
      </w:r>
      <w:r>
        <w:rPr>
          <w:color w:val="231F20"/>
          <w:spacing w:val="-9"/>
          <w:w w:val="105"/>
        </w:rPr>
        <w:t> </w:t>
      </w:r>
      <w:r>
        <w:rPr>
          <w:color w:val="231F20"/>
          <w:w w:val="105"/>
        </w:rPr>
        <w:t>steps.</w:t>
      </w:r>
      <w:r>
        <w:rPr>
          <w:color w:val="231F20"/>
          <w:spacing w:val="-9"/>
          <w:w w:val="105"/>
        </w:rPr>
        <w:t> </w:t>
      </w:r>
      <w:r>
        <w:rPr>
          <w:color w:val="231F20"/>
          <w:w w:val="105"/>
        </w:rPr>
        <w:t>Reabsorption</w:t>
      </w:r>
      <w:r>
        <w:rPr>
          <w:color w:val="231F20"/>
          <w:spacing w:val="-9"/>
          <w:w w:val="105"/>
        </w:rPr>
        <w:t> </w:t>
      </w:r>
      <w:r>
        <w:rPr>
          <w:color w:val="231F20"/>
          <w:w w:val="105"/>
        </w:rPr>
        <w:t>across</w:t>
      </w:r>
      <w:r>
        <w:rPr>
          <w:color w:val="231F20"/>
          <w:spacing w:val="-8"/>
          <w:w w:val="105"/>
        </w:rPr>
        <w:t> </w:t>
      </w:r>
      <w:r>
        <w:rPr>
          <w:color w:val="231F20"/>
          <w:w w:val="105"/>
        </w:rPr>
        <w:t>the</w:t>
      </w:r>
      <w:r>
        <w:rPr>
          <w:color w:val="231F20"/>
          <w:spacing w:val="-9"/>
          <w:w w:val="105"/>
        </w:rPr>
        <w:t> </w:t>
      </w:r>
      <w:r>
        <w:rPr>
          <w:color w:val="231F20"/>
          <w:w w:val="105"/>
        </w:rPr>
        <w:t>tubular epithelium into the interstitial fluid includes active </w:t>
      </w:r>
      <w:r>
        <w:rPr>
          <w:color w:val="231F20"/>
          <w:spacing w:val="-7"/>
          <w:w w:val="105"/>
        </w:rPr>
        <w:t>or </w:t>
      </w:r>
      <w:r>
        <w:rPr>
          <w:color w:val="231F20"/>
          <w:w w:val="105"/>
        </w:rPr>
        <w:t>passive transport by the same basic mechanisms dis- cussed in Chapter 4 for transport across other cell</w:t>
      </w:r>
      <w:r>
        <w:rPr>
          <w:color w:val="231F20"/>
          <w:spacing w:val="-34"/>
          <w:w w:val="105"/>
        </w:rPr>
        <w:t> </w:t>
      </w:r>
      <w:r>
        <w:rPr>
          <w:color w:val="231F20"/>
          <w:w w:val="105"/>
        </w:rPr>
        <w:t>mem- branes</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body.</w:t>
      </w:r>
      <w:r>
        <w:rPr>
          <w:color w:val="231F20"/>
          <w:spacing w:val="-17"/>
          <w:w w:val="105"/>
        </w:rPr>
        <w:t> </w:t>
      </w:r>
      <w:r>
        <w:rPr>
          <w:color w:val="231F20"/>
          <w:spacing w:val="-3"/>
          <w:w w:val="105"/>
        </w:rPr>
        <w:t>For</w:t>
      </w:r>
      <w:r>
        <w:rPr>
          <w:color w:val="231F20"/>
          <w:spacing w:val="-17"/>
          <w:w w:val="105"/>
        </w:rPr>
        <w:t> </w:t>
      </w:r>
      <w:r>
        <w:rPr>
          <w:color w:val="231F20"/>
          <w:w w:val="105"/>
        </w:rPr>
        <w:t>instance,</w:t>
      </w:r>
      <w:r>
        <w:rPr>
          <w:color w:val="231F20"/>
          <w:spacing w:val="-17"/>
          <w:w w:val="105"/>
        </w:rPr>
        <w:t> </w:t>
      </w:r>
      <w:r>
        <w:rPr>
          <w:color w:val="231F20"/>
          <w:w w:val="105"/>
        </w:rPr>
        <w:t>water</w:t>
      </w:r>
      <w:r>
        <w:rPr>
          <w:color w:val="231F20"/>
          <w:spacing w:val="-18"/>
          <w:w w:val="105"/>
        </w:rPr>
        <w:t> </w:t>
      </w:r>
      <w:r>
        <w:rPr>
          <w:color w:val="231F20"/>
          <w:w w:val="105"/>
        </w:rPr>
        <w:t>and</w:t>
      </w:r>
      <w:r>
        <w:rPr>
          <w:color w:val="231F20"/>
          <w:spacing w:val="-17"/>
          <w:w w:val="105"/>
        </w:rPr>
        <w:t> </w:t>
      </w:r>
      <w:r>
        <w:rPr>
          <w:color w:val="231F20"/>
          <w:w w:val="105"/>
        </w:rPr>
        <w:t>solutes</w:t>
      </w:r>
      <w:r>
        <w:rPr>
          <w:color w:val="231F20"/>
          <w:spacing w:val="-17"/>
          <w:w w:val="105"/>
        </w:rPr>
        <w:t> </w:t>
      </w:r>
      <w:r>
        <w:rPr>
          <w:color w:val="231F20"/>
          <w:w w:val="105"/>
        </w:rPr>
        <w:t>can</w:t>
      </w:r>
      <w:r>
        <w:rPr>
          <w:color w:val="231F20"/>
          <w:spacing w:val="-17"/>
          <w:w w:val="105"/>
        </w:rPr>
        <w:t> </w:t>
      </w:r>
      <w:r>
        <w:rPr>
          <w:color w:val="231F20"/>
          <w:w w:val="105"/>
        </w:rPr>
        <w:t>be transported</w:t>
      </w:r>
      <w:r>
        <w:rPr>
          <w:color w:val="231F20"/>
          <w:spacing w:val="25"/>
          <w:w w:val="105"/>
        </w:rPr>
        <w:t> </w:t>
      </w:r>
      <w:r>
        <w:rPr>
          <w:color w:val="231F20"/>
          <w:w w:val="105"/>
        </w:rPr>
        <w:t>through</w:t>
      </w:r>
      <w:r>
        <w:rPr>
          <w:color w:val="231F20"/>
          <w:spacing w:val="26"/>
          <w:w w:val="105"/>
        </w:rPr>
        <w:t> </w:t>
      </w:r>
      <w:r>
        <w:rPr>
          <w:color w:val="231F20"/>
          <w:w w:val="105"/>
        </w:rPr>
        <w:t>the</w:t>
      </w:r>
      <w:r>
        <w:rPr>
          <w:color w:val="231F20"/>
          <w:spacing w:val="26"/>
          <w:w w:val="105"/>
        </w:rPr>
        <w:t> </w:t>
      </w:r>
      <w:r>
        <w:rPr>
          <w:color w:val="231F20"/>
          <w:w w:val="105"/>
        </w:rPr>
        <w:t>cell</w:t>
      </w:r>
      <w:r>
        <w:rPr>
          <w:color w:val="231F20"/>
          <w:spacing w:val="26"/>
          <w:w w:val="105"/>
        </w:rPr>
        <w:t> </w:t>
      </w:r>
      <w:r>
        <w:rPr>
          <w:color w:val="231F20"/>
          <w:w w:val="105"/>
        </w:rPr>
        <w:t>membranes</w:t>
      </w:r>
      <w:r>
        <w:rPr>
          <w:color w:val="231F20"/>
          <w:spacing w:val="25"/>
          <w:w w:val="105"/>
        </w:rPr>
        <w:t> </w:t>
      </w:r>
      <w:r>
        <w:rPr>
          <w:i/>
          <w:color w:val="231F20"/>
          <w:w w:val="105"/>
        </w:rPr>
        <w:t>(transcellular</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1"/>
        <w:rPr>
          <w:i/>
        </w:rPr>
      </w:pPr>
    </w:p>
    <w:p>
      <w:pPr>
        <w:spacing w:before="100"/>
        <w:ind w:left="1080" w:right="0" w:firstLine="0"/>
        <w:jc w:val="left"/>
        <w:rPr>
          <w:rFonts w:ascii="Trebuchet MS" w:hAnsi="Trebuchet MS"/>
          <w:sz w:val="18"/>
        </w:rPr>
      </w:pPr>
      <w:bookmarkStart w:name="_bookmark39" w:id="40"/>
      <w:bookmarkEnd w:id="40"/>
      <w:r>
        <w:rPr/>
      </w:r>
      <w:r>
        <w:rPr>
          <w:rFonts w:ascii="Trebuchet MS" w:hAnsi="Trebuchet MS"/>
          <w:b/>
          <w:color w:val="231F20"/>
          <w:w w:val="105"/>
          <w:sz w:val="18"/>
        </w:rPr>
        <w:t>Table 28­1 </w:t>
      </w:r>
      <w:r>
        <w:rPr>
          <w:rFonts w:ascii="Trebuchet MS" w:hAnsi="Trebuchet MS"/>
          <w:color w:val="231F20"/>
          <w:w w:val="105"/>
          <w:sz w:val="18"/>
        </w:rPr>
        <w:t>Filtration, Reabsorption, and Excretion Rates of Different Substances by the Kidneys</w:t>
      </w:r>
    </w:p>
    <w:p>
      <w:pPr>
        <w:pStyle w:val="BodyText"/>
        <w:spacing w:before="3" w:after="1"/>
        <w:rPr>
          <w:rFonts w:ascii="Trebuchet MS"/>
          <w:sz w:val="1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7"/>
        <w:gridCol w:w="1437"/>
        <w:gridCol w:w="1886"/>
        <w:gridCol w:w="1643"/>
        <w:gridCol w:w="2646"/>
      </w:tblGrid>
      <w:tr>
        <w:trPr>
          <w:trHeight w:val="306" w:hRule="atLeast"/>
        </w:trPr>
        <w:tc>
          <w:tcPr>
            <w:tcW w:w="3544" w:type="dxa"/>
            <w:gridSpan w:val="2"/>
            <w:shd w:val="clear" w:color="auto" w:fill="D1DDF1"/>
          </w:tcPr>
          <w:p>
            <w:pPr>
              <w:pStyle w:val="TableParagraph"/>
              <w:spacing w:before="76"/>
              <w:ind w:left="2145"/>
              <w:rPr>
                <w:b/>
                <w:sz w:val="16"/>
              </w:rPr>
            </w:pPr>
            <w:r>
              <w:rPr>
                <w:b/>
                <w:color w:val="231F20"/>
                <w:sz w:val="16"/>
              </w:rPr>
              <w:t>Amount Filtered</w:t>
            </w:r>
          </w:p>
        </w:tc>
        <w:tc>
          <w:tcPr>
            <w:tcW w:w="1886" w:type="dxa"/>
            <w:shd w:val="clear" w:color="auto" w:fill="D1DDF1"/>
          </w:tcPr>
          <w:p>
            <w:pPr>
              <w:pStyle w:val="TableParagraph"/>
              <w:spacing w:before="76"/>
              <w:ind w:left="165"/>
              <w:rPr>
                <w:b/>
                <w:sz w:val="16"/>
              </w:rPr>
            </w:pPr>
            <w:r>
              <w:rPr>
                <w:b/>
                <w:color w:val="231F20"/>
                <w:w w:val="105"/>
                <w:sz w:val="16"/>
              </w:rPr>
              <w:t>Amount Reabsorbed</w:t>
            </w:r>
          </w:p>
        </w:tc>
        <w:tc>
          <w:tcPr>
            <w:tcW w:w="1643" w:type="dxa"/>
            <w:shd w:val="clear" w:color="auto" w:fill="D1DDF1"/>
          </w:tcPr>
          <w:p>
            <w:pPr>
              <w:pStyle w:val="TableParagraph"/>
              <w:spacing w:before="76"/>
              <w:ind w:left="164"/>
              <w:rPr>
                <w:b/>
                <w:sz w:val="16"/>
              </w:rPr>
            </w:pPr>
            <w:r>
              <w:rPr>
                <w:b/>
                <w:color w:val="231F20"/>
                <w:sz w:val="16"/>
              </w:rPr>
              <w:t>Amount Excreted</w:t>
            </w:r>
          </w:p>
        </w:tc>
        <w:tc>
          <w:tcPr>
            <w:tcW w:w="2646" w:type="dxa"/>
            <w:shd w:val="clear" w:color="auto" w:fill="D1DDF1"/>
          </w:tcPr>
          <w:p>
            <w:pPr>
              <w:pStyle w:val="TableParagraph"/>
              <w:spacing w:before="76"/>
              <w:ind w:left="166"/>
              <w:rPr>
                <w:b/>
                <w:sz w:val="16"/>
              </w:rPr>
            </w:pPr>
            <w:r>
              <w:rPr>
                <w:b/>
                <w:color w:val="231F20"/>
                <w:w w:val="115"/>
                <w:sz w:val="16"/>
              </w:rPr>
              <w:t>%</w:t>
            </w:r>
            <w:r>
              <w:rPr>
                <w:b/>
                <w:color w:val="231F20"/>
                <w:spacing w:val="-28"/>
                <w:w w:val="115"/>
                <w:sz w:val="16"/>
              </w:rPr>
              <w:t> </w:t>
            </w:r>
            <w:r>
              <w:rPr>
                <w:b/>
                <w:color w:val="231F20"/>
                <w:w w:val="110"/>
                <w:sz w:val="16"/>
              </w:rPr>
              <w:t>of</w:t>
            </w:r>
            <w:r>
              <w:rPr>
                <w:b/>
                <w:color w:val="231F20"/>
                <w:spacing w:val="-25"/>
                <w:w w:val="110"/>
                <w:sz w:val="16"/>
              </w:rPr>
              <w:t> </w:t>
            </w:r>
            <w:r>
              <w:rPr>
                <w:b/>
                <w:color w:val="231F20"/>
                <w:w w:val="110"/>
                <w:sz w:val="16"/>
              </w:rPr>
              <w:t>Filtered</w:t>
            </w:r>
            <w:r>
              <w:rPr>
                <w:b/>
                <w:color w:val="231F20"/>
                <w:spacing w:val="-25"/>
                <w:w w:val="110"/>
                <w:sz w:val="16"/>
              </w:rPr>
              <w:t> </w:t>
            </w:r>
            <w:r>
              <w:rPr>
                <w:b/>
                <w:color w:val="231F20"/>
                <w:w w:val="110"/>
                <w:sz w:val="16"/>
              </w:rPr>
              <w:t>Load</w:t>
            </w:r>
            <w:r>
              <w:rPr>
                <w:b/>
                <w:color w:val="231F20"/>
                <w:spacing w:val="-25"/>
                <w:w w:val="110"/>
                <w:sz w:val="16"/>
              </w:rPr>
              <w:t> </w:t>
            </w:r>
            <w:r>
              <w:rPr>
                <w:b/>
                <w:color w:val="231F20"/>
                <w:w w:val="110"/>
                <w:sz w:val="16"/>
              </w:rPr>
              <w:t>Reabsorbed</w:t>
            </w:r>
          </w:p>
        </w:tc>
      </w:tr>
      <w:tr>
        <w:trPr>
          <w:trHeight w:val="259" w:hRule="atLeast"/>
        </w:trPr>
        <w:tc>
          <w:tcPr>
            <w:tcW w:w="2107" w:type="dxa"/>
            <w:tcBorders>
              <w:bottom w:val="single" w:sz="4" w:space="0" w:color="FFFFFF"/>
            </w:tcBorders>
            <w:shd w:val="clear" w:color="auto" w:fill="E6ECF7"/>
          </w:tcPr>
          <w:p>
            <w:pPr>
              <w:pStyle w:val="TableParagraph"/>
              <w:spacing w:before="24"/>
              <w:ind w:left="120"/>
              <w:rPr>
                <w:sz w:val="16"/>
              </w:rPr>
            </w:pPr>
            <w:r>
              <w:rPr>
                <w:color w:val="231F20"/>
                <w:sz w:val="16"/>
              </w:rPr>
              <w:t>Glucose (g/day)</w:t>
            </w:r>
          </w:p>
        </w:tc>
        <w:tc>
          <w:tcPr>
            <w:tcW w:w="1437" w:type="dxa"/>
            <w:tcBorders>
              <w:bottom w:val="single" w:sz="4" w:space="0" w:color="FFFFFF"/>
            </w:tcBorders>
            <w:shd w:val="clear" w:color="auto" w:fill="E6ECF7"/>
          </w:tcPr>
          <w:p>
            <w:pPr>
              <w:pStyle w:val="TableParagraph"/>
              <w:spacing w:before="24"/>
              <w:ind w:left="493" w:right="638"/>
              <w:jc w:val="center"/>
              <w:rPr>
                <w:sz w:val="16"/>
              </w:rPr>
            </w:pPr>
            <w:r>
              <w:rPr>
                <w:color w:val="231F20"/>
                <w:w w:val="105"/>
                <w:sz w:val="16"/>
              </w:rPr>
              <w:t>180</w:t>
            </w:r>
          </w:p>
        </w:tc>
        <w:tc>
          <w:tcPr>
            <w:tcW w:w="1886" w:type="dxa"/>
            <w:tcBorders>
              <w:bottom w:val="single" w:sz="4" w:space="0" w:color="FFFFFF"/>
            </w:tcBorders>
            <w:shd w:val="clear" w:color="auto" w:fill="E6ECF7"/>
          </w:tcPr>
          <w:p>
            <w:pPr>
              <w:pStyle w:val="TableParagraph"/>
              <w:spacing w:before="24"/>
              <w:ind w:left="643" w:right="504"/>
              <w:jc w:val="center"/>
              <w:rPr>
                <w:sz w:val="16"/>
              </w:rPr>
            </w:pPr>
            <w:r>
              <w:rPr>
                <w:color w:val="231F20"/>
                <w:w w:val="105"/>
                <w:sz w:val="16"/>
              </w:rPr>
              <w:t>180</w:t>
            </w:r>
          </w:p>
        </w:tc>
        <w:tc>
          <w:tcPr>
            <w:tcW w:w="1643" w:type="dxa"/>
            <w:tcBorders>
              <w:bottom w:val="single" w:sz="4" w:space="0" w:color="FFFFFF"/>
            </w:tcBorders>
            <w:shd w:val="clear" w:color="auto" w:fill="E6ECF7"/>
          </w:tcPr>
          <w:p>
            <w:pPr>
              <w:pStyle w:val="TableParagraph"/>
              <w:spacing w:before="24"/>
              <w:jc w:val="center"/>
              <w:rPr>
                <w:sz w:val="16"/>
              </w:rPr>
            </w:pPr>
            <w:r>
              <w:rPr>
                <w:color w:val="231F20"/>
                <w:w w:val="106"/>
                <w:sz w:val="16"/>
              </w:rPr>
              <w:t>0</w:t>
            </w:r>
          </w:p>
        </w:tc>
        <w:tc>
          <w:tcPr>
            <w:tcW w:w="2646" w:type="dxa"/>
            <w:tcBorders>
              <w:bottom w:val="single" w:sz="4" w:space="0" w:color="FFFFFF"/>
            </w:tcBorders>
            <w:shd w:val="clear" w:color="auto" w:fill="E6ECF7"/>
          </w:tcPr>
          <w:p>
            <w:pPr>
              <w:pStyle w:val="TableParagraph"/>
              <w:spacing w:before="24"/>
              <w:ind w:left="1026" w:right="1043"/>
              <w:jc w:val="center"/>
              <w:rPr>
                <w:sz w:val="16"/>
              </w:rPr>
            </w:pPr>
            <w:r>
              <w:rPr>
                <w:color w:val="231F20"/>
                <w:w w:val="105"/>
                <w:sz w:val="16"/>
              </w:rPr>
              <w:t>100</w:t>
            </w:r>
          </w:p>
        </w:tc>
      </w:tr>
      <w:tr>
        <w:trPr>
          <w:trHeight w:val="264" w:hRule="atLeast"/>
        </w:trPr>
        <w:tc>
          <w:tcPr>
            <w:tcW w:w="2107"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Bicarbonate (mEq/day)</w:t>
            </w:r>
          </w:p>
        </w:tc>
        <w:tc>
          <w:tcPr>
            <w:tcW w:w="1437" w:type="dxa"/>
            <w:tcBorders>
              <w:top w:val="single" w:sz="4" w:space="0" w:color="FFFFFF"/>
              <w:bottom w:val="single" w:sz="4" w:space="0" w:color="FFFFFF"/>
            </w:tcBorders>
            <w:shd w:val="clear" w:color="auto" w:fill="E6ECF7"/>
          </w:tcPr>
          <w:p>
            <w:pPr>
              <w:pStyle w:val="TableParagraph"/>
              <w:ind w:left="422"/>
              <w:rPr>
                <w:sz w:val="16"/>
              </w:rPr>
            </w:pPr>
            <w:r>
              <w:rPr>
                <w:color w:val="231F20"/>
                <w:w w:val="105"/>
                <w:sz w:val="16"/>
              </w:rPr>
              <w:t>4320</w:t>
            </w:r>
          </w:p>
        </w:tc>
        <w:tc>
          <w:tcPr>
            <w:tcW w:w="1886" w:type="dxa"/>
            <w:tcBorders>
              <w:top w:val="single" w:sz="4" w:space="0" w:color="FFFFFF"/>
              <w:bottom w:val="single" w:sz="4" w:space="0" w:color="FFFFFF"/>
            </w:tcBorders>
            <w:shd w:val="clear" w:color="auto" w:fill="E6ECF7"/>
          </w:tcPr>
          <w:p>
            <w:pPr>
              <w:pStyle w:val="TableParagraph"/>
              <w:ind w:left="643" w:right="593"/>
              <w:jc w:val="center"/>
              <w:rPr>
                <w:sz w:val="16"/>
              </w:rPr>
            </w:pPr>
            <w:r>
              <w:rPr>
                <w:color w:val="231F20"/>
                <w:w w:val="105"/>
                <w:sz w:val="16"/>
              </w:rPr>
              <w:t>4318</w:t>
            </w:r>
          </w:p>
        </w:tc>
        <w:tc>
          <w:tcPr>
            <w:tcW w:w="1643" w:type="dxa"/>
            <w:tcBorders>
              <w:top w:val="single" w:sz="4" w:space="0" w:color="FFFFFF"/>
              <w:bottom w:val="single" w:sz="4" w:space="0" w:color="FFFFFF"/>
            </w:tcBorders>
            <w:shd w:val="clear" w:color="auto" w:fill="E6ECF7"/>
          </w:tcPr>
          <w:p>
            <w:pPr>
              <w:pStyle w:val="TableParagraph"/>
              <w:jc w:val="center"/>
              <w:rPr>
                <w:sz w:val="16"/>
              </w:rPr>
            </w:pPr>
            <w:r>
              <w:rPr>
                <w:color w:val="231F20"/>
                <w:w w:val="106"/>
                <w:sz w:val="16"/>
              </w:rPr>
              <w:t>2</w:t>
            </w:r>
          </w:p>
        </w:tc>
        <w:tc>
          <w:tcPr>
            <w:tcW w:w="2646" w:type="dxa"/>
            <w:tcBorders>
              <w:top w:val="single" w:sz="4" w:space="0" w:color="FFFFFF"/>
              <w:bottom w:val="single" w:sz="4" w:space="0" w:color="FFFFFF"/>
            </w:tcBorders>
            <w:shd w:val="clear" w:color="auto" w:fill="E6ECF7"/>
          </w:tcPr>
          <w:p>
            <w:pPr>
              <w:pStyle w:val="TableParagraph"/>
              <w:spacing w:line="244" w:lineRule="exact" w:before="0"/>
              <w:ind w:left="1158" w:right="1043"/>
              <w:jc w:val="center"/>
              <w:rPr>
                <w:sz w:val="16"/>
              </w:rPr>
            </w:pPr>
            <w:r>
              <w:rPr>
                <w:rFonts w:ascii="Arial Unicode MS"/>
                <w:color w:val="231F20"/>
                <w:sz w:val="16"/>
              </w:rPr>
              <w:t>&gt;</w:t>
            </w:r>
            <w:r>
              <w:rPr>
                <w:color w:val="231F20"/>
                <w:sz w:val="16"/>
              </w:rPr>
              <w:t>99.9</w:t>
            </w:r>
          </w:p>
        </w:tc>
      </w:tr>
      <w:tr>
        <w:trPr>
          <w:trHeight w:val="264" w:hRule="atLeast"/>
        </w:trPr>
        <w:tc>
          <w:tcPr>
            <w:tcW w:w="210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Sodium (mEq/day)</w:t>
            </w:r>
          </w:p>
        </w:tc>
        <w:tc>
          <w:tcPr>
            <w:tcW w:w="1437" w:type="dxa"/>
            <w:tcBorders>
              <w:top w:val="single" w:sz="4" w:space="0" w:color="FFFFFF"/>
              <w:bottom w:val="single" w:sz="4" w:space="0" w:color="FFFFFF"/>
            </w:tcBorders>
            <w:shd w:val="clear" w:color="auto" w:fill="E6ECF7"/>
          </w:tcPr>
          <w:p>
            <w:pPr>
              <w:pStyle w:val="TableParagraph"/>
              <w:ind w:left="288"/>
              <w:rPr>
                <w:sz w:val="16"/>
              </w:rPr>
            </w:pPr>
            <w:r>
              <w:rPr>
                <w:color w:val="231F20"/>
                <w:sz w:val="16"/>
              </w:rPr>
              <w:t>25,560</w:t>
            </w:r>
          </w:p>
        </w:tc>
        <w:tc>
          <w:tcPr>
            <w:tcW w:w="1886" w:type="dxa"/>
            <w:tcBorders>
              <w:top w:val="single" w:sz="4" w:space="0" w:color="FFFFFF"/>
              <w:bottom w:val="single" w:sz="4" w:space="0" w:color="FFFFFF"/>
            </w:tcBorders>
            <w:shd w:val="clear" w:color="auto" w:fill="E6ECF7"/>
          </w:tcPr>
          <w:p>
            <w:pPr>
              <w:pStyle w:val="TableParagraph"/>
              <w:ind w:left="640" w:right="721"/>
              <w:jc w:val="center"/>
              <w:rPr>
                <w:sz w:val="16"/>
              </w:rPr>
            </w:pPr>
            <w:r>
              <w:rPr>
                <w:color w:val="231F20"/>
                <w:sz w:val="16"/>
              </w:rPr>
              <w:t>25,410</w:t>
            </w:r>
          </w:p>
        </w:tc>
        <w:tc>
          <w:tcPr>
            <w:tcW w:w="1643" w:type="dxa"/>
            <w:tcBorders>
              <w:top w:val="single" w:sz="4" w:space="0" w:color="FFFFFF"/>
              <w:bottom w:val="single" w:sz="4" w:space="0" w:color="FFFFFF"/>
            </w:tcBorders>
            <w:shd w:val="clear" w:color="auto" w:fill="E6ECF7"/>
          </w:tcPr>
          <w:p>
            <w:pPr>
              <w:pStyle w:val="TableParagraph"/>
              <w:ind w:left="444" w:right="622"/>
              <w:jc w:val="center"/>
              <w:rPr>
                <w:sz w:val="16"/>
              </w:rPr>
            </w:pPr>
            <w:r>
              <w:rPr>
                <w:color w:val="231F20"/>
                <w:w w:val="105"/>
                <w:sz w:val="16"/>
              </w:rPr>
              <w:t>150</w:t>
            </w:r>
          </w:p>
        </w:tc>
        <w:tc>
          <w:tcPr>
            <w:tcW w:w="2646" w:type="dxa"/>
            <w:tcBorders>
              <w:top w:val="single" w:sz="4" w:space="0" w:color="FFFFFF"/>
              <w:bottom w:val="single" w:sz="4" w:space="0" w:color="FFFFFF"/>
            </w:tcBorders>
            <w:shd w:val="clear" w:color="auto" w:fill="E6ECF7"/>
          </w:tcPr>
          <w:p>
            <w:pPr>
              <w:pStyle w:val="TableParagraph"/>
              <w:ind w:left="1158" w:right="955"/>
              <w:jc w:val="center"/>
              <w:rPr>
                <w:sz w:val="16"/>
              </w:rPr>
            </w:pPr>
            <w:r>
              <w:rPr>
                <w:color w:val="231F20"/>
                <w:sz w:val="16"/>
              </w:rPr>
              <w:t>99.4</w:t>
            </w:r>
          </w:p>
        </w:tc>
      </w:tr>
      <w:tr>
        <w:trPr>
          <w:trHeight w:val="264" w:hRule="atLeast"/>
        </w:trPr>
        <w:tc>
          <w:tcPr>
            <w:tcW w:w="2107"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Chloride (mEq/day)</w:t>
            </w:r>
          </w:p>
        </w:tc>
        <w:tc>
          <w:tcPr>
            <w:tcW w:w="1437" w:type="dxa"/>
            <w:tcBorders>
              <w:top w:val="single" w:sz="4" w:space="0" w:color="FFFFFF"/>
              <w:bottom w:val="single" w:sz="4" w:space="0" w:color="FFFFFF"/>
            </w:tcBorders>
            <w:shd w:val="clear" w:color="auto" w:fill="E6ECF7"/>
          </w:tcPr>
          <w:p>
            <w:pPr>
              <w:pStyle w:val="TableParagraph"/>
              <w:ind w:left="288"/>
              <w:rPr>
                <w:sz w:val="16"/>
              </w:rPr>
            </w:pPr>
            <w:r>
              <w:rPr>
                <w:color w:val="231F20"/>
                <w:sz w:val="16"/>
              </w:rPr>
              <w:t>19,440</w:t>
            </w:r>
          </w:p>
        </w:tc>
        <w:tc>
          <w:tcPr>
            <w:tcW w:w="1886" w:type="dxa"/>
            <w:tcBorders>
              <w:top w:val="single" w:sz="4" w:space="0" w:color="FFFFFF"/>
              <w:bottom w:val="single" w:sz="4" w:space="0" w:color="FFFFFF"/>
            </w:tcBorders>
            <w:shd w:val="clear" w:color="auto" w:fill="E6ECF7"/>
          </w:tcPr>
          <w:p>
            <w:pPr>
              <w:pStyle w:val="TableParagraph"/>
              <w:ind w:left="640" w:right="721"/>
              <w:jc w:val="center"/>
              <w:rPr>
                <w:sz w:val="16"/>
              </w:rPr>
            </w:pPr>
            <w:r>
              <w:rPr>
                <w:color w:val="231F20"/>
                <w:sz w:val="16"/>
              </w:rPr>
              <w:t>19,260</w:t>
            </w:r>
          </w:p>
        </w:tc>
        <w:tc>
          <w:tcPr>
            <w:tcW w:w="1643" w:type="dxa"/>
            <w:tcBorders>
              <w:top w:val="single" w:sz="4" w:space="0" w:color="FFFFFF"/>
              <w:bottom w:val="single" w:sz="4" w:space="0" w:color="FFFFFF"/>
            </w:tcBorders>
            <w:shd w:val="clear" w:color="auto" w:fill="E6ECF7"/>
          </w:tcPr>
          <w:p>
            <w:pPr>
              <w:pStyle w:val="TableParagraph"/>
              <w:ind w:left="444" w:right="622"/>
              <w:jc w:val="center"/>
              <w:rPr>
                <w:sz w:val="16"/>
              </w:rPr>
            </w:pPr>
            <w:r>
              <w:rPr>
                <w:color w:val="231F20"/>
                <w:w w:val="105"/>
                <w:sz w:val="16"/>
              </w:rPr>
              <w:t>180</w:t>
            </w:r>
          </w:p>
        </w:tc>
        <w:tc>
          <w:tcPr>
            <w:tcW w:w="2646" w:type="dxa"/>
            <w:tcBorders>
              <w:top w:val="single" w:sz="4" w:space="0" w:color="FFFFFF"/>
              <w:bottom w:val="single" w:sz="4" w:space="0" w:color="FFFFFF"/>
            </w:tcBorders>
            <w:shd w:val="clear" w:color="auto" w:fill="E6ECF7"/>
          </w:tcPr>
          <w:p>
            <w:pPr>
              <w:pStyle w:val="TableParagraph"/>
              <w:ind w:left="1158" w:right="955"/>
              <w:jc w:val="center"/>
              <w:rPr>
                <w:sz w:val="16"/>
              </w:rPr>
            </w:pPr>
            <w:r>
              <w:rPr>
                <w:color w:val="231F20"/>
                <w:sz w:val="16"/>
              </w:rPr>
              <w:t>99.1</w:t>
            </w:r>
          </w:p>
        </w:tc>
      </w:tr>
      <w:tr>
        <w:trPr>
          <w:trHeight w:val="264" w:hRule="atLeast"/>
        </w:trPr>
        <w:tc>
          <w:tcPr>
            <w:tcW w:w="2107"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Potassium (mEq/day)</w:t>
            </w:r>
          </w:p>
        </w:tc>
        <w:tc>
          <w:tcPr>
            <w:tcW w:w="1437" w:type="dxa"/>
            <w:tcBorders>
              <w:top w:val="single" w:sz="4" w:space="0" w:color="FFFFFF"/>
              <w:bottom w:val="single" w:sz="4" w:space="0" w:color="FFFFFF"/>
            </w:tcBorders>
            <w:shd w:val="clear" w:color="auto" w:fill="E6ECF7"/>
          </w:tcPr>
          <w:p>
            <w:pPr>
              <w:pStyle w:val="TableParagraph"/>
              <w:ind w:left="493" w:right="638"/>
              <w:jc w:val="center"/>
              <w:rPr>
                <w:sz w:val="16"/>
              </w:rPr>
            </w:pPr>
            <w:r>
              <w:rPr>
                <w:color w:val="231F20"/>
                <w:w w:val="105"/>
                <w:sz w:val="16"/>
              </w:rPr>
              <w:t>756</w:t>
            </w:r>
          </w:p>
        </w:tc>
        <w:tc>
          <w:tcPr>
            <w:tcW w:w="1886" w:type="dxa"/>
            <w:tcBorders>
              <w:top w:val="single" w:sz="4" w:space="0" w:color="FFFFFF"/>
              <w:bottom w:val="single" w:sz="4" w:space="0" w:color="FFFFFF"/>
            </w:tcBorders>
            <w:shd w:val="clear" w:color="auto" w:fill="E6ECF7"/>
          </w:tcPr>
          <w:p>
            <w:pPr>
              <w:pStyle w:val="TableParagraph"/>
              <w:ind w:left="643" w:right="504"/>
              <w:jc w:val="center"/>
              <w:rPr>
                <w:sz w:val="16"/>
              </w:rPr>
            </w:pPr>
            <w:r>
              <w:rPr>
                <w:color w:val="231F20"/>
                <w:w w:val="105"/>
                <w:sz w:val="16"/>
              </w:rPr>
              <w:t>664</w:t>
            </w:r>
          </w:p>
        </w:tc>
        <w:tc>
          <w:tcPr>
            <w:tcW w:w="1643" w:type="dxa"/>
            <w:tcBorders>
              <w:top w:val="single" w:sz="4" w:space="0" w:color="FFFFFF"/>
              <w:bottom w:val="single" w:sz="4" w:space="0" w:color="FFFFFF"/>
            </w:tcBorders>
            <w:shd w:val="clear" w:color="auto" w:fill="E6ECF7"/>
          </w:tcPr>
          <w:p>
            <w:pPr>
              <w:pStyle w:val="TableParagraph"/>
              <w:ind w:left="533" w:right="622"/>
              <w:jc w:val="center"/>
              <w:rPr>
                <w:sz w:val="16"/>
              </w:rPr>
            </w:pPr>
            <w:r>
              <w:rPr>
                <w:color w:val="231F20"/>
                <w:w w:val="105"/>
                <w:sz w:val="16"/>
              </w:rPr>
              <w:t>92</w:t>
            </w:r>
          </w:p>
        </w:tc>
        <w:tc>
          <w:tcPr>
            <w:tcW w:w="2646" w:type="dxa"/>
            <w:tcBorders>
              <w:top w:val="single" w:sz="4" w:space="0" w:color="FFFFFF"/>
              <w:bottom w:val="single" w:sz="4" w:space="0" w:color="FFFFFF"/>
            </w:tcBorders>
            <w:shd w:val="clear" w:color="auto" w:fill="E6ECF7"/>
          </w:tcPr>
          <w:p>
            <w:pPr>
              <w:pStyle w:val="TableParagraph"/>
              <w:ind w:left="1158" w:right="955"/>
              <w:jc w:val="center"/>
              <w:rPr>
                <w:sz w:val="16"/>
              </w:rPr>
            </w:pPr>
            <w:r>
              <w:rPr>
                <w:color w:val="231F20"/>
                <w:sz w:val="16"/>
              </w:rPr>
              <w:t>87.8</w:t>
            </w:r>
          </w:p>
        </w:tc>
      </w:tr>
      <w:tr>
        <w:trPr>
          <w:trHeight w:val="264" w:hRule="atLeast"/>
        </w:trPr>
        <w:tc>
          <w:tcPr>
            <w:tcW w:w="2107"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Urea (g/day)</w:t>
            </w:r>
          </w:p>
        </w:tc>
        <w:tc>
          <w:tcPr>
            <w:tcW w:w="1437" w:type="dxa"/>
            <w:tcBorders>
              <w:top w:val="single" w:sz="4" w:space="0" w:color="FFFFFF"/>
              <w:bottom w:val="single" w:sz="4" w:space="0" w:color="FFFFFF"/>
            </w:tcBorders>
            <w:shd w:val="clear" w:color="auto" w:fill="E6ECF7"/>
          </w:tcPr>
          <w:p>
            <w:pPr>
              <w:pStyle w:val="TableParagraph"/>
              <w:ind w:right="523"/>
              <w:jc w:val="right"/>
              <w:rPr>
                <w:sz w:val="16"/>
              </w:rPr>
            </w:pPr>
            <w:r>
              <w:rPr>
                <w:color w:val="231F20"/>
                <w:sz w:val="16"/>
              </w:rPr>
              <w:t>46.8</w:t>
            </w:r>
          </w:p>
        </w:tc>
        <w:tc>
          <w:tcPr>
            <w:tcW w:w="1886" w:type="dxa"/>
            <w:tcBorders>
              <w:top w:val="single" w:sz="4" w:space="0" w:color="FFFFFF"/>
              <w:bottom w:val="single" w:sz="4" w:space="0" w:color="FFFFFF"/>
            </w:tcBorders>
            <w:shd w:val="clear" w:color="auto" w:fill="E6ECF7"/>
          </w:tcPr>
          <w:p>
            <w:pPr>
              <w:pStyle w:val="TableParagraph"/>
              <w:ind w:left="968"/>
              <w:rPr>
                <w:sz w:val="16"/>
              </w:rPr>
            </w:pPr>
            <w:r>
              <w:rPr>
                <w:color w:val="231F20"/>
                <w:sz w:val="16"/>
              </w:rPr>
              <w:t>23.4</w:t>
            </w:r>
          </w:p>
        </w:tc>
        <w:tc>
          <w:tcPr>
            <w:tcW w:w="1643" w:type="dxa"/>
            <w:tcBorders>
              <w:top w:val="single" w:sz="4" w:space="0" w:color="FFFFFF"/>
              <w:bottom w:val="single" w:sz="4" w:space="0" w:color="FFFFFF"/>
            </w:tcBorders>
            <w:shd w:val="clear" w:color="auto" w:fill="E6ECF7"/>
          </w:tcPr>
          <w:p>
            <w:pPr>
              <w:pStyle w:val="TableParagraph"/>
              <w:ind w:left="580" w:right="538"/>
              <w:jc w:val="center"/>
              <w:rPr>
                <w:sz w:val="16"/>
              </w:rPr>
            </w:pPr>
            <w:r>
              <w:rPr>
                <w:color w:val="231F20"/>
                <w:sz w:val="16"/>
              </w:rPr>
              <w:t>23.4</w:t>
            </w:r>
          </w:p>
        </w:tc>
        <w:tc>
          <w:tcPr>
            <w:tcW w:w="2646" w:type="dxa"/>
            <w:tcBorders>
              <w:top w:val="single" w:sz="4" w:space="0" w:color="FFFFFF"/>
              <w:bottom w:val="single" w:sz="4" w:space="0" w:color="FFFFFF"/>
            </w:tcBorders>
            <w:shd w:val="clear" w:color="auto" w:fill="E6ECF7"/>
          </w:tcPr>
          <w:p>
            <w:pPr>
              <w:pStyle w:val="TableParagraph"/>
              <w:ind w:left="1112" w:right="1043"/>
              <w:jc w:val="center"/>
              <w:rPr>
                <w:sz w:val="16"/>
              </w:rPr>
            </w:pPr>
            <w:r>
              <w:rPr>
                <w:color w:val="231F20"/>
                <w:w w:val="105"/>
                <w:sz w:val="16"/>
              </w:rPr>
              <w:t>50</w:t>
            </w:r>
          </w:p>
        </w:tc>
      </w:tr>
      <w:tr>
        <w:trPr>
          <w:trHeight w:val="279" w:hRule="atLeast"/>
        </w:trPr>
        <w:tc>
          <w:tcPr>
            <w:tcW w:w="2107" w:type="dxa"/>
            <w:tcBorders>
              <w:top w:val="single" w:sz="4" w:space="0" w:color="FFFFFF"/>
            </w:tcBorders>
            <w:shd w:val="clear" w:color="auto" w:fill="E6ECF7"/>
          </w:tcPr>
          <w:p>
            <w:pPr>
              <w:pStyle w:val="TableParagraph"/>
              <w:ind w:left="120"/>
              <w:rPr>
                <w:sz w:val="16"/>
              </w:rPr>
            </w:pPr>
            <w:r>
              <w:rPr>
                <w:color w:val="231F20"/>
                <w:sz w:val="16"/>
              </w:rPr>
              <w:t>Creatinine (g/day)</w:t>
            </w:r>
          </w:p>
        </w:tc>
        <w:tc>
          <w:tcPr>
            <w:tcW w:w="1437" w:type="dxa"/>
            <w:tcBorders>
              <w:top w:val="single" w:sz="4" w:space="0" w:color="FFFFFF"/>
            </w:tcBorders>
            <w:shd w:val="clear" w:color="auto" w:fill="E6ECF7"/>
          </w:tcPr>
          <w:p>
            <w:pPr>
              <w:pStyle w:val="TableParagraph"/>
              <w:ind w:right="523"/>
              <w:jc w:val="right"/>
              <w:rPr>
                <w:sz w:val="16"/>
              </w:rPr>
            </w:pPr>
            <w:r>
              <w:rPr>
                <w:color w:val="231F20"/>
                <w:w w:val="95"/>
                <w:sz w:val="16"/>
              </w:rPr>
              <w:t>1.8</w:t>
            </w:r>
          </w:p>
        </w:tc>
        <w:tc>
          <w:tcPr>
            <w:tcW w:w="1886" w:type="dxa"/>
            <w:tcBorders>
              <w:top w:val="single" w:sz="4" w:space="0" w:color="FFFFFF"/>
            </w:tcBorders>
            <w:shd w:val="clear" w:color="auto" w:fill="E6ECF7"/>
          </w:tcPr>
          <w:p>
            <w:pPr>
              <w:pStyle w:val="TableParagraph"/>
              <w:ind w:left="316"/>
              <w:jc w:val="center"/>
              <w:rPr>
                <w:sz w:val="16"/>
              </w:rPr>
            </w:pPr>
            <w:r>
              <w:rPr>
                <w:color w:val="231F20"/>
                <w:w w:val="106"/>
                <w:sz w:val="16"/>
              </w:rPr>
              <w:t>0</w:t>
            </w:r>
          </w:p>
        </w:tc>
        <w:tc>
          <w:tcPr>
            <w:tcW w:w="1643" w:type="dxa"/>
            <w:tcBorders>
              <w:top w:val="single" w:sz="4" w:space="0" w:color="FFFFFF"/>
            </w:tcBorders>
            <w:shd w:val="clear" w:color="auto" w:fill="E6ECF7"/>
          </w:tcPr>
          <w:p>
            <w:pPr>
              <w:pStyle w:val="TableParagraph"/>
              <w:ind w:left="580" w:right="449"/>
              <w:jc w:val="center"/>
              <w:rPr>
                <w:sz w:val="16"/>
              </w:rPr>
            </w:pPr>
            <w:r>
              <w:rPr>
                <w:color w:val="231F20"/>
                <w:sz w:val="16"/>
              </w:rPr>
              <w:t>1.8</w:t>
            </w:r>
          </w:p>
        </w:tc>
        <w:tc>
          <w:tcPr>
            <w:tcW w:w="2646" w:type="dxa"/>
            <w:tcBorders>
              <w:top w:val="single" w:sz="4" w:space="0" w:color="FFFFFF"/>
            </w:tcBorders>
            <w:shd w:val="clear" w:color="auto" w:fill="E6ECF7"/>
          </w:tcPr>
          <w:p>
            <w:pPr>
              <w:pStyle w:val="TableParagraph"/>
              <w:ind w:left="158"/>
              <w:jc w:val="center"/>
              <w:rPr>
                <w:sz w:val="16"/>
              </w:rPr>
            </w:pPr>
            <w:r>
              <w:rPr>
                <w:color w:val="231F20"/>
                <w:w w:val="106"/>
                <w:sz w:val="16"/>
              </w:rPr>
              <w:t>0</w:t>
            </w:r>
          </w:p>
        </w:tc>
      </w:tr>
    </w:tbl>
    <w:p>
      <w:pPr>
        <w:pStyle w:val="BodyText"/>
        <w:rPr>
          <w:rFonts w:ascii="Trebuchet MS"/>
        </w:rPr>
      </w:pPr>
    </w:p>
    <w:p>
      <w:pPr>
        <w:pStyle w:val="BodyText"/>
        <w:rPr>
          <w:rFonts w:ascii="Trebuchet MS"/>
          <w:sz w:val="19"/>
        </w:rPr>
      </w:pPr>
    </w:p>
    <w:p>
      <w:pPr>
        <w:spacing w:after="0"/>
        <w:rPr>
          <w:rFonts w:ascii="Trebuchet MS"/>
          <w:sz w:val="19"/>
        </w:rPr>
        <w:sectPr>
          <w:headerReference w:type="even" r:id="rId459"/>
          <w:footerReference w:type="even" r:id="rId460"/>
          <w:footerReference w:type="default" r:id="rId461"/>
          <w:pgSz w:w="12240" w:h="15660"/>
          <w:pgMar w:header="0" w:footer="567" w:top="720" w:bottom="760" w:left="0" w:right="0"/>
          <w:pgNumType w:start="348"/>
        </w:sectPr>
      </w:pPr>
    </w:p>
    <w:p>
      <w:pPr>
        <w:pStyle w:val="BodyText"/>
        <w:rPr>
          <w:rFonts w:ascii="Trebuchet MS"/>
          <w:sz w:val="18"/>
        </w:rPr>
      </w:pPr>
    </w:p>
    <w:p>
      <w:pPr>
        <w:pStyle w:val="BodyText"/>
        <w:spacing w:before="3"/>
        <w:rPr>
          <w:rFonts w:ascii="Trebuchet MS"/>
          <w:sz w:val="14"/>
        </w:rPr>
      </w:pPr>
    </w:p>
    <w:p>
      <w:pPr>
        <w:spacing w:line="235" w:lineRule="auto" w:before="0"/>
        <w:ind w:left="1246" w:right="-19" w:hanging="94"/>
        <w:jc w:val="left"/>
        <w:rPr>
          <w:rFonts w:ascii="Helvetica"/>
          <w:sz w:val="16"/>
        </w:rPr>
      </w:pPr>
      <w:r>
        <w:rPr/>
        <w:pict>
          <v:rect style="position:absolute;margin-left:0pt;margin-top:-29.777275pt;width:36pt;height:24pt;mso-position-horizontal-relative:page;mso-position-vertical-relative:paragraph;z-index:252029952" filled="true" fillcolor="#e8dac8" stroked="false">
            <v:fill type="solid"/>
            <w10:wrap type="none"/>
          </v:rect>
        </w:pict>
      </w:r>
      <w:r>
        <w:rPr>
          <w:rFonts w:ascii="Helvetica"/>
          <w:color w:val="231F20"/>
          <w:sz w:val="16"/>
        </w:rPr>
        <w:t>Peritubular</w:t>
      </w:r>
      <w:r>
        <w:rPr>
          <w:rFonts w:ascii="Helvetica"/>
          <w:color w:val="231F20"/>
          <w:w w:val="99"/>
          <w:sz w:val="16"/>
        </w:rPr>
        <w:t> </w:t>
      </w:r>
      <w:r>
        <w:rPr>
          <w:rFonts w:ascii="Helvetica"/>
          <w:color w:val="231F20"/>
          <w:sz w:val="16"/>
        </w:rPr>
        <w:t>capillary</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235" w:lineRule="auto" w:before="114"/>
        <w:ind w:left="193" w:right="-19" w:hanging="14"/>
        <w:jc w:val="left"/>
        <w:rPr>
          <w:rFonts w:ascii="Helvetica"/>
          <w:sz w:val="16"/>
        </w:rPr>
      </w:pPr>
      <w:r>
        <w:rPr/>
        <w:pict>
          <v:group style="position:absolute;margin-left:55.190903pt;margin-top:-34.864574pt;width:50.6pt;height:133pt;mso-position-horizontal-relative:page;mso-position-vertical-relative:paragraph;z-index:252042240" coordorigin="1104,-697" coordsize="1012,2660">
            <v:shape style="position:absolute;left:1108;top:-446;width:882;height:2404" coordorigin="1109,-445" coordsize="882,2404" path="m1975,-445l1120,-445,1119,-397,1115,-286,1112,-164,1110,-82,1110,-27,1109,40,1109,124,1109,228,1109,332,1110,428,1112,505,1115,553,1118,589,1120,648,1122,723,1124,810,1125,905,1126,1002,1125,1097,1124,1184,1123,1259,1120,1318,1114,1418,1113,1518,1114,1678,1120,1958,1235,1958,1241,1921,1275,1838,1366,1747,1540,1688,1714,1669,1974,1669,1971,1581,1975,1438,1980,1373,1985,1295,1988,1209,1990,1118,1990,1026,1988,940,1983,862,1975,798,1969,743,1964,673,1961,591,1960,505,1960,404,1961,306,1964,211,1967,121,1971,40,1975,-27,1984,-146,1986,-230,1984,-316,1975,-445xm1974,1669l1714,1669,1808,1690,1852,1775,1880,1948,1990,1948,1986,1889,1977,1749,1974,1669xe" filled="true" fillcolor="#f9b5b2" stroked="false">
              <v:path arrowok="t"/>
              <v:fill type="solid"/>
            </v:shape>
            <v:shape style="position:absolute;left:1108;top:-446;width:882;height:2404" coordorigin="1109,-445" coordsize="882,2404" path="m1120,-445l1975,-445,1984,-316,1986,-230,1984,-146,1975,-27,1971,40,1967,121,1964,211,1961,306,1960,404,1960,500,1961,591,1964,673,1969,743,1975,798,1983,862,1988,940,1990,1026,1990,1118,1988,1209,1985,1295,1980,1373,1975,1438,1971,1581,1977,1749,1986,1889,1990,1948,1880,1948,1852,1775,1808,1690,1714,1669,1540,1688,1366,1747,1275,1838,1241,1921,1235,1958,1120,1958,1114,1678,1113,1518,1114,1418,1120,1318,1123,1259,1124,1184,1125,1097,1126,1002,1125,905,1124,810,1122,723,1120,648,1115,553,1112,505,1110,428,1109,332,1109,228,1109,124,1109,31,1110,-41,1110,-82,1112,-164,1115,-286,1119,-397,1120,-445xe" filled="false" stroked="true" strokeweight=".5pt" strokecolor="#b7705b">
              <v:path arrowok="t"/>
              <v:stroke dashstyle="solid"/>
            </v:shape>
            <v:shape style="position:absolute;left:1120;top:-693;width:855;height:247" coordorigin="1120,-692" coordsize="855,247" path="m1570,-692l1453,-684,1357,-663,1279,-631,1218,-593,1173,-551,1143,-511,1126,-474,1120,-445,1383,-445,1397,-447,1402,-450,1397,-459,1383,-475,1362,-495,1342,-515,1330,-536,1333,-557,1360,-581,1414,-603,1488,-620,1576,-626,1847,-626,1786,-657,1690,-683,1570,-692xm1847,-626l1576,-626,1660,-617,1732,-594,1785,-563,1815,-534,1831,-501,1838,-473,1840,-453,1840,-445,1975,-445,1969,-484,1949,-529,1913,-576,1859,-620,1847,-626xe" filled="true" fillcolor="#fabfb7" stroked="false">
              <v:path arrowok="t"/>
              <v:fill type="solid"/>
            </v:shape>
            <v:shape style="position:absolute;left:1120;top:-693;width:855;height:247" coordorigin="1120,-692" coordsize="855,247" path="m1120,-445l1383,-445,1397,-447,1402,-450,1397,-459,1383,-475,1362,-495,1342,-515,1330,-536,1333,-557,1360,-581,1414,-603,1488,-620,1576,-626,1660,-617,1732,-594,1785,-563,1831,-501,1840,-445,1975,-445,1949,-529,1859,-620,1786,-657,1690,-683,1570,-692,1453,-684,1357,-663,1279,-631,1218,-593,1173,-551,1126,-474,1120,-445xe" filled="false" stroked="true" strokeweight=".5pt" strokecolor="#b7705b">
              <v:path arrowok="t"/>
              <v:stroke dashstyle="solid"/>
            </v:shape>
            <v:shape style="position:absolute;left:1222;top:-627;width:658;height:2576" type="#_x0000_t75" stroked="false">
              <v:imagedata r:id="rId462" o:title=""/>
            </v:shape>
            <v:shape style="position:absolute;left:1222;top:-627;width:658;height:2576" coordorigin="1223,-626" coordsize="658,2576" path="m1393,-445l1412,-348,1415,-281,1402,-214,1370,-117,1335,-33,1301,32,1270,90,1246,153,1232,234,1226,323,1223,405,1223,485,1226,570,1232,665,1238,740,1242,821,1244,903,1246,986,1246,1066,1244,1143,1241,1214,1237,1277,1235,1359,1233,1453,1231,1553,1230,1654,1230,1751,1230,1836,1232,1904,1233,1949,1276,1836,1323,1777,1404,1754,1550,1749,1707,1779,1809,1847,1864,1916,1880,1948,1858,1724,1848,1591,1848,1495,1855,1383,1860,1299,1864,1208,1867,1115,1868,1024,1867,941,1865,871,1860,818,1853,745,1849,655,1847,559,1847,462,1848,374,1850,304,1853,258,1865,18,1859,-209,1847,-379,1840,-445,1837,-483,1810,-539,1714,-600,1647,-619,1576,-626,1502,-623,1433,-610,1375,-589,1333,-557,1326,-540,1332,-523,1344,-508,1357,-494,1368,-479,1380,-463,1390,-451,1393,-445xe" filled="false" stroked="true" strokeweight=".5pt" strokecolor="#b7705b">
              <v:path arrowok="t"/>
              <v:stroke dashstyle="solid"/>
            </v:shape>
            <v:shape style="position:absolute;left:1178;top:-446;width:156;height:453" coordorigin="1178,-445" coordsize="156,453" path="m1320,-445l1179,-445,1179,-227,1178,-138,1178,-67,1182,-18,1193,7,1220,-8,1259,-61,1297,-128,1318,-187,1334,-309,1333,-379,1320,-445xe" filled="true" fillcolor="#bf9db3" stroked="false">
              <v:path arrowok="t"/>
              <v:fill type="solid"/>
            </v:shape>
            <v:shape style="position:absolute;left:1178;top:-526;width:142;height:81" coordorigin="1179,-526" coordsize="142,81" path="m1255,-526l1230,-519,1208,-501,1190,-476,1179,-445,1320,-445,1297,-492,1282,-516,1270,-524,1255,-526xe" filled="true" fillcolor="#d5b5c5" stroked="false">
              <v:path arrowok="t"/>
              <v:fill type="solid"/>
            </v:shape>
            <v:shape style="position:absolute;left:1535;top:76;width:580;height:459" coordorigin="1535,77" coordsize="580,459" path="m1932,77l1535,306,1932,535,1932,401,2115,401,2115,211,1932,211,1932,77xe" filled="true" fillcolor="#f15b66" stroked="false">
              <v:path arrowok="t"/>
              <v:fill type="solid"/>
            </v:shape>
            <v:line style="position:absolute" from="1120,-445" to="1383,-445" stroked="true" strokeweight=".5pt" strokecolor="#b7705b">
              <v:stroke dashstyle="solid"/>
            </v:line>
            <v:shape style="position:absolute;left:1370;top:957;width:43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Blood</w:t>
                    </w:r>
                  </w:p>
                </w:txbxContent>
              </v:textbox>
              <w10:wrap type="none"/>
            </v:shape>
            <w10:wrap type="none"/>
          </v:group>
        </w:pict>
      </w:r>
      <w:r>
        <w:rPr>
          <w:rFonts w:ascii="Helvetica"/>
          <w:color w:val="231F20"/>
          <w:sz w:val="16"/>
        </w:rPr>
        <w:t>Bulk</w:t>
      </w:r>
      <w:r>
        <w:rPr>
          <w:rFonts w:ascii="Helvetica"/>
          <w:color w:val="231F20"/>
          <w:w w:val="99"/>
          <w:sz w:val="16"/>
        </w:rPr>
        <w:t> </w:t>
      </w:r>
      <w:r>
        <w:rPr>
          <w:rFonts w:ascii="Helvetica"/>
          <w:color w:val="231F20"/>
          <w:sz w:val="16"/>
        </w:rPr>
        <w:t>flow</w:t>
      </w:r>
    </w:p>
    <w:p>
      <w:pPr>
        <w:pStyle w:val="BodyText"/>
        <w:rPr>
          <w:rFonts w:ascii="Helvetica"/>
          <w:sz w:val="18"/>
        </w:rPr>
      </w:pPr>
      <w:r>
        <w:rPr/>
        <w:br w:type="column"/>
      </w:r>
      <w:r>
        <w:rPr>
          <w:rFonts w:ascii="Helvetica"/>
          <w:sz w:val="18"/>
        </w:rPr>
      </w:r>
    </w:p>
    <w:p>
      <w:pPr>
        <w:pStyle w:val="BodyText"/>
        <w:spacing w:before="6"/>
        <w:rPr>
          <w:rFonts w:ascii="Helvetica"/>
          <w:sz w:val="14"/>
        </w:rPr>
      </w:pPr>
    </w:p>
    <w:p>
      <w:pPr>
        <w:spacing w:line="235" w:lineRule="auto" w:before="1"/>
        <w:ind w:left="876" w:right="-19" w:hanging="112"/>
        <w:jc w:val="left"/>
        <w:rPr>
          <w:rFonts w:ascii="Helvetica"/>
          <w:sz w:val="16"/>
        </w:rPr>
      </w:pPr>
      <w:r>
        <w:rPr>
          <w:rFonts w:ascii="Helvetica"/>
          <w:color w:val="231F20"/>
          <w:sz w:val="16"/>
        </w:rPr>
        <w:t>Tubular</w:t>
      </w:r>
      <w:r>
        <w:rPr>
          <w:rFonts w:ascii="Helvetica"/>
          <w:color w:val="231F20"/>
          <w:w w:val="99"/>
          <w:sz w:val="16"/>
        </w:rPr>
        <w:t> </w:t>
      </w:r>
      <w:r>
        <w:rPr>
          <w:rFonts w:ascii="Helvetica"/>
          <w:color w:val="231F20"/>
          <w:sz w:val="16"/>
        </w:rPr>
        <w:t>cells</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3"/>
        <w:rPr>
          <w:rFonts w:ascii="Helvetica"/>
          <w:sz w:val="15"/>
        </w:rPr>
      </w:pPr>
    </w:p>
    <w:p>
      <w:pPr>
        <w:spacing w:before="0"/>
        <w:ind w:left="0" w:right="0" w:firstLine="0"/>
        <w:jc w:val="right"/>
        <w:rPr>
          <w:rFonts w:ascii="Helvetica"/>
          <w:sz w:val="16"/>
        </w:rPr>
      </w:pPr>
      <w:r>
        <w:rPr>
          <w:rFonts w:ascii="Helvetica"/>
          <w:color w:val="231F20"/>
          <w:w w:val="95"/>
          <w:sz w:val="16"/>
        </w:rPr>
        <w:t>Lumen</w:t>
      </w:r>
    </w:p>
    <w:p>
      <w:pPr>
        <w:pStyle w:val="BodyText"/>
        <w:spacing w:line="249" w:lineRule="auto" w:before="99"/>
        <w:ind w:left="740" w:right="1437"/>
        <w:jc w:val="both"/>
      </w:pPr>
      <w:r>
        <w:rPr/>
        <w:br w:type="column"/>
      </w:r>
      <w:r>
        <w:rPr>
          <w:color w:val="231F20"/>
          <w:w w:val="105"/>
        </w:rPr>
        <w:t>adenosine triphosphatase (ATPase) pump that</w:t>
      </w:r>
      <w:r>
        <w:rPr>
          <w:color w:val="231F20"/>
          <w:spacing w:val="-28"/>
          <w:w w:val="105"/>
        </w:rPr>
        <w:t> </w:t>
      </w:r>
      <w:r>
        <w:rPr>
          <w:color w:val="231F20"/>
          <w:w w:val="105"/>
        </w:rPr>
        <w:t>functions throughout most parts of the renal tubule. </w:t>
      </w:r>
      <w:r>
        <w:rPr>
          <w:color w:val="231F20"/>
          <w:spacing w:val="-3"/>
          <w:w w:val="105"/>
        </w:rPr>
        <w:t>Transport  </w:t>
      </w:r>
      <w:r>
        <w:rPr>
          <w:color w:val="231F20"/>
          <w:w w:val="105"/>
        </w:rPr>
        <w:t>that</w:t>
      </w:r>
      <w:r>
        <w:rPr>
          <w:color w:val="231F20"/>
          <w:spacing w:val="-19"/>
          <w:w w:val="105"/>
        </w:rPr>
        <w:t> </w:t>
      </w:r>
      <w:r>
        <w:rPr>
          <w:color w:val="231F20"/>
          <w:w w:val="105"/>
        </w:rPr>
        <w:t>is</w:t>
      </w:r>
      <w:r>
        <w:rPr>
          <w:color w:val="231F20"/>
          <w:spacing w:val="-18"/>
          <w:w w:val="105"/>
        </w:rPr>
        <w:t> </w:t>
      </w:r>
      <w:r>
        <w:rPr>
          <w:color w:val="231F20"/>
          <w:w w:val="105"/>
        </w:rPr>
        <w:t>coupled</w:t>
      </w:r>
      <w:r>
        <w:rPr>
          <w:color w:val="231F20"/>
          <w:spacing w:val="-19"/>
          <w:w w:val="105"/>
        </w:rPr>
        <w:t> </w:t>
      </w:r>
      <w:r>
        <w:rPr>
          <w:i/>
          <w:color w:val="231F20"/>
          <w:w w:val="105"/>
        </w:rPr>
        <w:t>indirectly</w:t>
      </w:r>
      <w:r>
        <w:rPr>
          <w:i/>
          <w:color w:val="231F20"/>
          <w:spacing w:val="-18"/>
          <w:w w:val="105"/>
        </w:rPr>
        <w:t> </w:t>
      </w:r>
      <w:r>
        <w:rPr>
          <w:color w:val="231F20"/>
          <w:w w:val="105"/>
        </w:rPr>
        <w:t>to</w:t>
      </w:r>
      <w:r>
        <w:rPr>
          <w:color w:val="231F20"/>
          <w:spacing w:val="-19"/>
          <w:w w:val="105"/>
        </w:rPr>
        <w:t> </w:t>
      </w:r>
      <w:r>
        <w:rPr>
          <w:color w:val="231F20"/>
          <w:w w:val="105"/>
        </w:rPr>
        <w:t>an</w:t>
      </w:r>
      <w:r>
        <w:rPr>
          <w:color w:val="231F20"/>
          <w:spacing w:val="-18"/>
          <w:w w:val="105"/>
        </w:rPr>
        <w:t> </w:t>
      </w:r>
      <w:r>
        <w:rPr>
          <w:color w:val="231F20"/>
          <w:w w:val="105"/>
        </w:rPr>
        <w:t>energy</w:t>
      </w:r>
      <w:r>
        <w:rPr>
          <w:color w:val="231F20"/>
          <w:spacing w:val="-19"/>
          <w:w w:val="105"/>
        </w:rPr>
        <w:t> </w:t>
      </w:r>
      <w:r>
        <w:rPr>
          <w:color w:val="231F20"/>
          <w:w w:val="105"/>
        </w:rPr>
        <w:t>source,</w:t>
      </w:r>
      <w:r>
        <w:rPr>
          <w:color w:val="231F20"/>
          <w:spacing w:val="-18"/>
          <w:w w:val="105"/>
        </w:rPr>
        <w:t> </w:t>
      </w:r>
      <w:r>
        <w:rPr>
          <w:color w:val="231F20"/>
          <w:w w:val="105"/>
        </w:rPr>
        <w:t>such</w:t>
      </w:r>
      <w:r>
        <w:rPr>
          <w:color w:val="231F20"/>
          <w:spacing w:val="-19"/>
          <w:w w:val="105"/>
        </w:rPr>
        <w:t> </w:t>
      </w:r>
      <w:r>
        <w:rPr>
          <w:color w:val="231F20"/>
          <w:w w:val="105"/>
        </w:rPr>
        <w:t>as</w:t>
      </w:r>
      <w:r>
        <w:rPr>
          <w:color w:val="231F20"/>
          <w:spacing w:val="-18"/>
          <w:w w:val="105"/>
        </w:rPr>
        <w:t> </w:t>
      </w:r>
      <w:r>
        <w:rPr>
          <w:color w:val="231F20"/>
          <w:w w:val="105"/>
        </w:rPr>
        <w:t>that due to an ion gradient, is referred to as </w:t>
      </w:r>
      <w:r>
        <w:rPr>
          <w:i/>
          <w:color w:val="231F20"/>
          <w:w w:val="105"/>
        </w:rPr>
        <w:t>secondary</w:t>
      </w:r>
      <w:r>
        <w:rPr>
          <w:i/>
          <w:color w:val="231F20"/>
          <w:spacing w:val="-38"/>
          <w:w w:val="105"/>
        </w:rPr>
        <w:t> </w:t>
      </w:r>
      <w:r>
        <w:rPr>
          <w:i/>
          <w:color w:val="231F20"/>
          <w:w w:val="105"/>
        </w:rPr>
        <w:t>active </w:t>
      </w:r>
      <w:r>
        <w:rPr>
          <w:i/>
          <w:color w:val="231F20"/>
          <w:w w:val="105"/>
        </w:rPr>
        <w:t>transport</w:t>
      </w:r>
      <w:r>
        <w:rPr>
          <w:color w:val="231F20"/>
          <w:w w:val="105"/>
        </w:rPr>
        <w:t>. Reabsorption of glucose by the renal tubule is an example of secondary active transport. Although solutes</w:t>
      </w:r>
      <w:r>
        <w:rPr>
          <w:color w:val="231F20"/>
          <w:spacing w:val="-17"/>
          <w:w w:val="105"/>
        </w:rPr>
        <w:t> </w:t>
      </w:r>
      <w:r>
        <w:rPr>
          <w:color w:val="231F20"/>
          <w:w w:val="105"/>
        </w:rPr>
        <w:t>can</w:t>
      </w:r>
      <w:r>
        <w:rPr>
          <w:color w:val="231F20"/>
          <w:spacing w:val="-17"/>
          <w:w w:val="105"/>
        </w:rPr>
        <w:t> </w:t>
      </w:r>
      <w:r>
        <w:rPr>
          <w:color w:val="231F20"/>
          <w:w w:val="105"/>
        </w:rPr>
        <w:t>be</w:t>
      </w:r>
      <w:r>
        <w:rPr>
          <w:color w:val="231F20"/>
          <w:spacing w:val="-16"/>
          <w:w w:val="105"/>
        </w:rPr>
        <w:t> </w:t>
      </w:r>
      <w:r>
        <w:rPr>
          <w:color w:val="231F20"/>
          <w:w w:val="105"/>
        </w:rPr>
        <w:t>reabsorbed</w:t>
      </w:r>
      <w:r>
        <w:rPr>
          <w:color w:val="231F20"/>
          <w:spacing w:val="-17"/>
          <w:w w:val="105"/>
        </w:rPr>
        <w:t> </w:t>
      </w:r>
      <w:r>
        <w:rPr>
          <w:color w:val="231F20"/>
          <w:w w:val="105"/>
        </w:rPr>
        <w:t>by</w:t>
      </w:r>
      <w:r>
        <w:rPr>
          <w:color w:val="231F20"/>
          <w:spacing w:val="-17"/>
          <w:w w:val="105"/>
        </w:rPr>
        <w:t> </w:t>
      </w:r>
      <w:r>
        <w:rPr>
          <w:color w:val="231F20"/>
          <w:w w:val="105"/>
        </w:rPr>
        <w:t>active</w:t>
      </w:r>
      <w:r>
        <w:rPr>
          <w:color w:val="231F20"/>
          <w:spacing w:val="-16"/>
          <w:w w:val="105"/>
        </w:rPr>
        <w:t> </w:t>
      </w:r>
      <w:r>
        <w:rPr>
          <w:color w:val="231F20"/>
          <w:w w:val="105"/>
        </w:rPr>
        <w:t>and/or</w:t>
      </w:r>
      <w:r>
        <w:rPr>
          <w:color w:val="231F20"/>
          <w:spacing w:val="-17"/>
          <w:w w:val="105"/>
        </w:rPr>
        <w:t> </w:t>
      </w:r>
      <w:r>
        <w:rPr>
          <w:color w:val="231F20"/>
          <w:w w:val="105"/>
        </w:rPr>
        <w:t>passive</w:t>
      </w:r>
      <w:r>
        <w:rPr>
          <w:color w:val="231F20"/>
          <w:spacing w:val="-16"/>
          <w:w w:val="105"/>
        </w:rPr>
        <w:t> </w:t>
      </w:r>
      <w:r>
        <w:rPr>
          <w:color w:val="231F20"/>
          <w:w w:val="105"/>
        </w:rPr>
        <w:t>mech- anisms by the tubule, water is always reabsorbed by a passive</w:t>
      </w:r>
      <w:r>
        <w:rPr>
          <w:color w:val="231F20"/>
          <w:spacing w:val="-8"/>
          <w:w w:val="105"/>
        </w:rPr>
        <w:t> </w:t>
      </w:r>
      <w:r>
        <w:rPr>
          <w:color w:val="231F20"/>
          <w:w w:val="105"/>
        </w:rPr>
        <w:t>(nonactive)</w:t>
      </w:r>
      <w:r>
        <w:rPr>
          <w:color w:val="231F20"/>
          <w:spacing w:val="-8"/>
          <w:w w:val="105"/>
        </w:rPr>
        <w:t> </w:t>
      </w:r>
      <w:r>
        <w:rPr>
          <w:color w:val="231F20"/>
          <w:w w:val="105"/>
        </w:rPr>
        <w:t>physical</w:t>
      </w:r>
      <w:r>
        <w:rPr>
          <w:color w:val="231F20"/>
          <w:spacing w:val="-8"/>
          <w:w w:val="105"/>
        </w:rPr>
        <w:t> </w:t>
      </w:r>
      <w:r>
        <w:rPr>
          <w:color w:val="231F20"/>
          <w:w w:val="105"/>
        </w:rPr>
        <w:t>mechanism</w:t>
      </w:r>
      <w:r>
        <w:rPr>
          <w:color w:val="231F20"/>
          <w:spacing w:val="-8"/>
          <w:w w:val="105"/>
        </w:rPr>
        <w:t> </w:t>
      </w:r>
      <w:r>
        <w:rPr>
          <w:color w:val="231F20"/>
          <w:w w:val="105"/>
        </w:rPr>
        <w:t>called</w:t>
      </w:r>
      <w:r>
        <w:rPr>
          <w:color w:val="231F20"/>
          <w:spacing w:val="-8"/>
          <w:w w:val="105"/>
        </w:rPr>
        <w:t> </w:t>
      </w:r>
      <w:r>
        <w:rPr>
          <w:i/>
          <w:color w:val="231F20"/>
          <w:w w:val="105"/>
        </w:rPr>
        <w:t>osmosis, </w:t>
      </w:r>
      <w:r>
        <w:rPr>
          <w:color w:val="231F20"/>
          <w:w w:val="105"/>
        </w:rPr>
        <w:t>which</w:t>
      </w:r>
      <w:r>
        <w:rPr>
          <w:color w:val="231F20"/>
          <w:spacing w:val="-11"/>
          <w:w w:val="105"/>
        </w:rPr>
        <w:t> </w:t>
      </w:r>
      <w:r>
        <w:rPr>
          <w:color w:val="231F20"/>
          <w:w w:val="105"/>
        </w:rPr>
        <w:t>means</w:t>
      </w:r>
      <w:r>
        <w:rPr>
          <w:color w:val="231F20"/>
          <w:spacing w:val="-10"/>
          <w:w w:val="105"/>
        </w:rPr>
        <w:t> </w:t>
      </w:r>
      <w:r>
        <w:rPr>
          <w:color w:val="231F20"/>
          <w:w w:val="105"/>
        </w:rPr>
        <w:t>water</w:t>
      </w:r>
      <w:r>
        <w:rPr>
          <w:color w:val="231F20"/>
          <w:spacing w:val="-10"/>
          <w:w w:val="105"/>
        </w:rPr>
        <w:t> </w:t>
      </w:r>
      <w:r>
        <w:rPr>
          <w:color w:val="231F20"/>
          <w:w w:val="105"/>
        </w:rPr>
        <w:t>diffusion</w:t>
      </w:r>
      <w:r>
        <w:rPr>
          <w:color w:val="231F20"/>
          <w:spacing w:val="-10"/>
          <w:w w:val="105"/>
        </w:rPr>
        <w:t> </w:t>
      </w:r>
      <w:r>
        <w:rPr>
          <w:color w:val="231F20"/>
          <w:w w:val="105"/>
        </w:rPr>
        <w:t>from</w:t>
      </w:r>
      <w:r>
        <w:rPr>
          <w:color w:val="231F20"/>
          <w:spacing w:val="-10"/>
          <w:w w:val="105"/>
        </w:rPr>
        <w:t> </w:t>
      </w:r>
      <w:r>
        <w:rPr>
          <w:color w:val="231F20"/>
          <w:w w:val="105"/>
        </w:rPr>
        <w:t>a</w:t>
      </w:r>
      <w:r>
        <w:rPr>
          <w:color w:val="231F20"/>
          <w:spacing w:val="-10"/>
          <w:w w:val="105"/>
        </w:rPr>
        <w:t> </w:t>
      </w:r>
      <w:r>
        <w:rPr>
          <w:color w:val="231F20"/>
          <w:w w:val="105"/>
        </w:rPr>
        <w:t>region</w:t>
      </w:r>
      <w:r>
        <w:rPr>
          <w:color w:val="231F20"/>
          <w:spacing w:val="-10"/>
          <w:w w:val="105"/>
        </w:rPr>
        <w:t> </w:t>
      </w:r>
      <w:r>
        <w:rPr>
          <w:color w:val="231F20"/>
          <w:w w:val="105"/>
        </w:rPr>
        <w:t>of</w:t>
      </w:r>
      <w:r>
        <w:rPr>
          <w:color w:val="231F20"/>
          <w:spacing w:val="-10"/>
          <w:w w:val="105"/>
        </w:rPr>
        <w:t> </w:t>
      </w:r>
      <w:r>
        <w:rPr>
          <w:color w:val="231F20"/>
          <w:w w:val="105"/>
        </w:rPr>
        <w:t>low</w:t>
      </w:r>
      <w:r>
        <w:rPr>
          <w:color w:val="231F20"/>
          <w:spacing w:val="-10"/>
          <w:w w:val="105"/>
        </w:rPr>
        <w:t> </w:t>
      </w:r>
      <w:r>
        <w:rPr>
          <w:color w:val="231F20"/>
          <w:spacing w:val="-3"/>
          <w:w w:val="105"/>
        </w:rPr>
        <w:t>solute </w:t>
      </w:r>
      <w:r>
        <w:rPr>
          <w:color w:val="231F20"/>
          <w:w w:val="105"/>
        </w:rPr>
        <w:t>concentration (high water concentration) to one of </w:t>
      </w:r>
      <w:r>
        <w:rPr>
          <w:color w:val="231F20"/>
          <w:spacing w:val="-3"/>
          <w:w w:val="105"/>
        </w:rPr>
        <w:t>high </w:t>
      </w:r>
      <w:r>
        <w:rPr>
          <w:color w:val="231F20"/>
          <w:w w:val="105"/>
        </w:rPr>
        <w:t>solute concentration (low water</w:t>
      </w:r>
      <w:r>
        <w:rPr>
          <w:color w:val="231F20"/>
          <w:spacing w:val="-1"/>
          <w:w w:val="105"/>
        </w:rPr>
        <w:t> </w:t>
      </w:r>
      <w:r>
        <w:rPr>
          <w:color w:val="231F20"/>
          <w:w w:val="105"/>
        </w:rPr>
        <w:t>concentration).</w:t>
      </w:r>
    </w:p>
    <w:p>
      <w:pPr>
        <w:pStyle w:val="BodyText"/>
        <w:spacing w:before="5"/>
        <w:rPr>
          <w:sz w:val="22"/>
        </w:rPr>
      </w:pPr>
    </w:p>
    <w:p>
      <w:pPr>
        <w:spacing w:line="252" w:lineRule="auto" w:before="1"/>
        <w:ind w:left="740" w:right="1437" w:firstLine="0"/>
        <w:jc w:val="both"/>
        <w:rPr>
          <w:sz w:val="20"/>
        </w:rPr>
      </w:pPr>
      <w:r>
        <w:rPr/>
        <w:pict>
          <v:group style="position:absolute;margin-left:225.119995pt;margin-top:-151.497833pt;width:61.7pt;height:30.05pt;mso-position-horizontal-relative:page;mso-position-vertical-relative:paragraph;z-index:252032000" coordorigin="4502,-3030" coordsize="1234,601">
            <v:rect style="position:absolute;left:4562;top:-2970;width:1174;height:300" filled="true" fillcolor="#b5c3d9" stroked="false">
              <v:fill type="solid"/>
            </v:rect>
            <v:line style="position:absolute" from="5090,-2731" to="5090,-2557" stroked="true" strokeweight="1.5pt" strokecolor="#231f20">
              <v:stroke dashstyle="solid"/>
            </v:line>
            <v:shape style="position:absolute;left:5031;top:-2614;width:120;height:185" coordorigin="5031,-2614" coordsize="120,185" path="m5032,-2614l5031,-2612,5069,-2523,5091,-2429,5113,-2523,5137,-2580,5091,-2580,5032,-2614xm5150,-2614l5091,-2580,5137,-2580,5151,-2612,5150,-2614xe" filled="true" fillcolor="#231f20" stroked="false">
              <v:path arrowok="t"/>
              <v:fill type="solid"/>
            </v:shape>
            <v:rect style="position:absolute;left:4502;top:-3030;width:1174;height:300" filled="true" fillcolor="#d4e3f5" stroked="false">
              <v:fill type="solid"/>
            </v:rect>
            <v:shape style="position:absolute;left:4562;top:-2970;width:1174;height:300" type="#_x0000_t202" filled="false" stroked="false">
              <v:textbox inset="0,0,0,0">
                <w:txbxContent>
                  <w:p>
                    <w:pPr>
                      <w:spacing w:line="174" w:lineRule="exact" w:before="0"/>
                      <w:ind w:left="65" w:right="0" w:firstLine="0"/>
                      <w:jc w:val="left"/>
                      <w:rPr>
                        <w:rFonts w:ascii="Helvetica"/>
                        <w:sz w:val="16"/>
                      </w:rPr>
                    </w:pPr>
                    <w:r>
                      <w:rPr>
                        <w:rFonts w:ascii="Helvetica"/>
                        <w:color w:val="231F20"/>
                        <w:sz w:val="16"/>
                      </w:rPr>
                      <w:t>FILTRATION</w:t>
                    </w:r>
                  </w:p>
                </w:txbxContent>
              </v:textbox>
              <w10:wrap type="none"/>
            </v:shape>
            <w10:wrap type="none"/>
          </v:group>
        </w:pict>
      </w:r>
      <w:r>
        <w:rPr/>
        <w:pict>
          <v:group style="position:absolute;margin-left:88.314003pt;margin-top:-115.324234pt;width:198.5pt;height:158.4pt;mso-position-horizontal-relative:page;mso-position-vertical-relative:paragraph;z-index:-273364992" coordorigin="1766,-2306" coordsize="3970,3168">
            <v:shape style="position:absolute;left:2441;top:-2307;width:2101;height:2499" type="#_x0000_t75" stroked="false">
              <v:imagedata r:id="rId463" o:title=""/>
            </v:shape>
            <v:rect style="position:absolute;left:4562;top:320;width:1174;height:300" filled="true" fillcolor="#b5c3d9" stroked="false">
              <v:fill type="solid"/>
            </v:rect>
            <v:line style="position:absolute" from="5090,559" to="5090,733" stroked="true" strokeweight="1.5pt" strokecolor="#231f20">
              <v:stroke dashstyle="solid"/>
            </v:line>
            <v:shape style="position:absolute;left:5031;top:676;width:120;height:185" coordorigin="5031,676" coordsize="120,185" path="m5032,676l5031,678,5069,767,5091,861,5113,767,5137,710,5091,710,5032,676xm5150,676l5091,710,5137,710,5151,678,5150,676xe" filled="true" fillcolor="#231f20" stroked="false">
              <v:path arrowok="t"/>
              <v:fill type="solid"/>
            </v:shape>
            <v:rect style="position:absolute;left:4502;top:260;width:1174;height:300" filled="true" fillcolor="#d4e3f5" stroked="false">
              <v:fill type="solid"/>
            </v:rect>
            <v:line style="position:absolute" from="2678,-1090" to="2865,-1090" stroked="true" strokeweight="1.96pt" strokecolor="#231f20">
              <v:stroke dashstyle="solid"/>
            </v:line>
            <v:shape style="position:absolute;left:1000;top:8429;width:815;height:873" coordorigin="1000,8429" coordsize="815,873" path="m3863,-1028l3951,-1018,4037,-1005,4119,-989,4197,-969,4269,-945,4334,-917,4392,-884,4442,-846,4482,-802,4512,-754,4530,-699,4537,-637,4530,-586,4509,-542,4476,-504,4430,-474,4373,-449,4306,-430,4228,-416,4142,-407,4046,-401,3943,-400,3850,-400m4435,-370l4554,-341,4618,-309,4647,-254,4665,-155e" filled="false" stroked="true" strokeweight="1.5pt" strokecolor="#231f20">
              <v:path arrowok="t"/>
              <v:stroke dashstyle="solid"/>
            </v:shape>
            <v:shape style="position:absolute;left:2671;top:-1114;width:367;height:367" type="#_x0000_t75" stroked="false">
              <v:imagedata r:id="rId464" o:title=""/>
            </v:shape>
            <v:shape style="position:absolute;left:2708;top:-1017;width:3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ATP</w:t>
                    </w:r>
                  </w:p>
                </w:txbxContent>
              </v:textbox>
              <w10:wrap type="none"/>
            </v:shape>
            <v:shape style="position:absolute;left:3123;top:-1143;width:723;height:688" type="#_x0000_t202" filled="false" stroked="false">
              <v:textbox inset="0,0,0,0">
                <w:txbxContent>
                  <w:p>
                    <w:pPr>
                      <w:spacing w:line="183" w:lineRule="exact" w:before="0"/>
                      <w:ind w:left="0" w:right="11" w:firstLine="0"/>
                      <w:jc w:val="center"/>
                      <w:rPr>
                        <w:rFonts w:ascii="Helvetica"/>
                        <w:sz w:val="16"/>
                      </w:rPr>
                    </w:pPr>
                    <w:r>
                      <w:rPr>
                        <w:rFonts w:ascii="Helvetica"/>
                        <w:color w:val="231F20"/>
                        <w:sz w:val="16"/>
                      </w:rPr>
                      <w:t>Active</w:t>
                    </w:r>
                  </w:p>
                  <w:p>
                    <w:pPr>
                      <w:spacing w:line="235" w:lineRule="auto" w:before="142"/>
                      <w:ind w:left="0" w:right="18" w:firstLine="0"/>
                      <w:jc w:val="center"/>
                      <w:rPr>
                        <w:rFonts w:ascii="Helvetica"/>
                        <w:sz w:val="16"/>
                      </w:rPr>
                    </w:pPr>
                    <w:r>
                      <w:rPr>
                        <w:rFonts w:ascii="Helvetica"/>
                        <w:color w:val="231F20"/>
                        <w:sz w:val="16"/>
                      </w:rPr>
                      <w:t>Passive (diffusion)</w:t>
                    </w:r>
                  </w:p>
                </w:txbxContent>
              </v:textbox>
              <w10:wrap type="none"/>
            </v:shape>
            <v:shape style="position:absolute;left:4564;top:-1885;width:936;height:1334" type="#_x0000_t202" filled="false" stroked="false">
              <v:textbox inset="0,0,0,0">
                <w:txbxContent>
                  <w:p>
                    <w:pPr>
                      <w:spacing w:line="235" w:lineRule="auto" w:before="2"/>
                      <w:ind w:left="0" w:right="71" w:firstLine="0"/>
                      <w:jc w:val="left"/>
                      <w:rPr>
                        <w:rFonts w:ascii="Helvetica"/>
                        <w:sz w:val="16"/>
                      </w:rPr>
                    </w:pPr>
                    <w:r>
                      <w:rPr>
                        <w:rFonts w:ascii="Helvetica"/>
                        <w:color w:val="231F20"/>
                        <w:sz w:val="16"/>
                      </w:rPr>
                      <w:t>Paracellular path</w:t>
                    </w:r>
                  </w:p>
                  <w:p>
                    <w:pPr>
                      <w:spacing w:line="235" w:lineRule="auto" w:before="69"/>
                      <w:ind w:left="0" w:right="0" w:firstLine="0"/>
                      <w:jc w:val="left"/>
                      <w:rPr>
                        <w:rFonts w:ascii="Helvetica"/>
                        <w:sz w:val="16"/>
                      </w:rPr>
                    </w:pPr>
                    <w:r>
                      <w:rPr>
                        <w:rFonts w:ascii="Helvetica"/>
                        <w:color w:val="231F20"/>
                        <w:sz w:val="16"/>
                      </w:rPr>
                      <w:t>Transcellular path</w:t>
                    </w:r>
                  </w:p>
                  <w:p>
                    <w:pPr>
                      <w:spacing w:line="240" w:lineRule="auto" w:before="0"/>
                      <w:rPr>
                        <w:rFonts w:ascii="Helvetica"/>
                        <w:sz w:val="18"/>
                      </w:rPr>
                    </w:pPr>
                  </w:p>
                  <w:p>
                    <w:pPr>
                      <w:spacing w:before="148"/>
                      <w:ind w:left="0" w:right="0" w:firstLine="0"/>
                      <w:jc w:val="left"/>
                      <w:rPr>
                        <w:rFonts w:ascii="Helvetica"/>
                        <w:sz w:val="16"/>
                      </w:rPr>
                    </w:pPr>
                    <w:r>
                      <w:rPr>
                        <w:rFonts w:ascii="Helvetica"/>
                        <w:color w:val="231F20"/>
                        <w:sz w:val="16"/>
                      </w:rPr>
                      <w:t>Solutes</w:t>
                    </w:r>
                  </w:p>
                </w:txbxContent>
              </v:textbox>
              <w10:wrap type="none"/>
            </v:shape>
            <v:shape style="position:absolute;left:3202;top:-120;width:64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Osmosis</w:t>
                    </w:r>
                  </w:p>
                </w:txbxContent>
              </v:textbox>
              <w10:wrap type="none"/>
            </v:shape>
            <v:shape style="position:absolute;left:4535;top:-127;width:327;height:207"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w:t>
                    </w:r>
                    <w:r>
                      <w:rPr>
                        <w:rFonts w:ascii="Helvetica"/>
                        <w:color w:val="231F20"/>
                        <w:sz w:val="16"/>
                        <w:vertAlign w:val="subscript"/>
                      </w:rPr>
                      <w:t>2</w:t>
                    </w:r>
                    <w:r>
                      <w:rPr>
                        <w:rFonts w:ascii="Helvetica"/>
                        <w:color w:val="231F20"/>
                        <w:sz w:val="16"/>
                        <w:vertAlign w:val="baseline"/>
                      </w:rPr>
                      <w:t>O</w:t>
                    </w:r>
                  </w:p>
                </w:txbxContent>
              </v:textbox>
              <w10:wrap type="none"/>
            </v:shape>
            <v:shape style="position:absolute;left:4562;top:320;width:1174;height:300" type="#_x0000_t202" filled="false" stroked="false">
              <v:textbox inset="0,0,0,0">
                <w:txbxContent>
                  <w:p>
                    <w:pPr>
                      <w:spacing w:line="174" w:lineRule="exact" w:before="0"/>
                      <w:ind w:left="65" w:right="0" w:firstLine="0"/>
                      <w:jc w:val="left"/>
                      <w:rPr>
                        <w:rFonts w:ascii="Helvetica"/>
                        <w:sz w:val="16"/>
                      </w:rPr>
                    </w:pPr>
                    <w:r>
                      <w:rPr>
                        <w:rFonts w:ascii="Helvetica"/>
                        <w:color w:val="231F20"/>
                        <w:sz w:val="16"/>
                      </w:rPr>
                      <w:t>EXCRETION</w:t>
                    </w:r>
                  </w:p>
                </w:txbxContent>
              </v:textbox>
              <w10:wrap type="none"/>
            </v:shape>
            <v:shape style="position:absolute;left:1766;top:320;width:1406;height:300" type="#_x0000_t202" filled="true" fillcolor="#d4e3f5" stroked="false">
              <v:textbox inset="0,0,0,0">
                <w:txbxContent>
                  <w:p>
                    <w:pPr>
                      <w:spacing w:line="174" w:lineRule="exact" w:before="0"/>
                      <w:ind w:left="9" w:right="0" w:firstLine="0"/>
                      <w:jc w:val="left"/>
                      <w:rPr>
                        <w:rFonts w:ascii="Helvetica"/>
                        <w:sz w:val="16"/>
                      </w:rPr>
                    </w:pPr>
                    <w:r>
                      <w:rPr>
                        <w:rFonts w:ascii="Helvetica"/>
                        <w:color w:val="231F20"/>
                        <w:sz w:val="16"/>
                      </w:rPr>
                      <w:t>REABSORPTION</w:t>
                    </w:r>
                  </w:p>
                </w:txbxContent>
              </v:textbox>
              <v:fill type="solid"/>
              <w10:wrap type="none"/>
            </v:shape>
            <w10:wrap type="none"/>
          </v:group>
        </w:pict>
      </w:r>
      <w:r>
        <w:rPr>
          <w:rFonts w:ascii="Trebuchet MS"/>
          <w:b/>
          <w:color w:val="231F20"/>
          <w:sz w:val="19"/>
        </w:rPr>
        <w:t>Solutes Can Be Transported Through Epithelial </w:t>
      </w:r>
      <w:r>
        <w:rPr>
          <w:rFonts w:ascii="Trebuchet MS"/>
          <w:b/>
          <w:color w:val="231F20"/>
          <w:spacing w:val="-3"/>
          <w:sz w:val="19"/>
        </w:rPr>
        <w:t>Cells </w:t>
      </w:r>
      <w:r>
        <w:rPr>
          <w:rFonts w:ascii="Trebuchet MS"/>
          <w:b/>
          <w:color w:val="231F20"/>
          <w:sz w:val="19"/>
        </w:rPr>
        <w:t>or Between Cells. </w:t>
      </w:r>
      <w:r>
        <w:rPr>
          <w:color w:val="231F20"/>
          <w:sz w:val="20"/>
        </w:rPr>
        <w:t>Renal tubular cells, like other epithe- lial</w:t>
      </w:r>
      <w:r>
        <w:rPr>
          <w:color w:val="231F20"/>
          <w:spacing w:val="-6"/>
          <w:sz w:val="20"/>
        </w:rPr>
        <w:t> </w:t>
      </w:r>
      <w:r>
        <w:rPr>
          <w:color w:val="231F20"/>
          <w:sz w:val="20"/>
        </w:rPr>
        <w:t>cells,</w:t>
      </w:r>
      <w:r>
        <w:rPr>
          <w:color w:val="231F20"/>
          <w:spacing w:val="-5"/>
          <w:sz w:val="20"/>
        </w:rPr>
        <w:t> </w:t>
      </w:r>
      <w:r>
        <w:rPr>
          <w:color w:val="231F20"/>
          <w:sz w:val="20"/>
        </w:rPr>
        <w:t>are</w:t>
      </w:r>
      <w:r>
        <w:rPr>
          <w:color w:val="231F20"/>
          <w:spacing w:val="-5"/>
          <w:sz w:val="20"/>
        </w:rPr>
        <w:t> </w:t>
      </w:r>
      <w:r>
        <w:rPr>
          <w:color w:val="231F20"/>
          <w:sz w:val="20"/>
        </w:rPr>
        <w:t>held</w:t>
      </w:r>
      <w:r>
        <w:rPr>
          <w:color w:val="231F20"/>
          <w:spacing w:val="-5"/>
          <w:sz w:val="20"/>
        </w:rPr>
        <w:t> </w:t>
      </w:r>
      <w:r>
        <w:rPr>
          <w:color w:val="231F20"/>
          <w:sz w:val="20"/>
        </w:rPr>
        <w:t>together</w:t>
      </w:r>
      <w:r>
        <w:rPr>
          <w:color w:val="231F20"/>
          <w:spacing w:val="-6"/>
          <w:sz w:val="20"/>
        </w:rPr>
        <w:t> </w:t>
      </w:r>
      <w:r>
        <w:rPr>
          <w:color w:val="231F20"/>
          <w:sz w:val="20"/>
        </w:rPr>
        <w:t>by</w:t>
      </w:r>
      <w:r>
        <w:rPr>
          <w:color w:val="231F20"/>
          <w:spacing w:val="-5"/>
          <w:sz w:val="20"/>
        </w:rPr>
        <w:t> </w:t>
      </w:r>
      <w:r>
        <w:rPr>
          <w:i/>
          <w:color w:val="231F20"/>
          <w:sz w:val="20"/>
        </w:rPr>
        <w:t>tight</w:t>
      </w:r>
      <w:r>
        <w:rPr>
          <w:i/>
          <w:color w:val="231F20"/>
          <w:spacing w:val="-5"/>
          <w:sz w:val="20"/>
        </w:rPr>
        <w:t> </w:t>
      </w:r>
      <w:r>
        <w:rPr>
          <w:i/>
          <w:color w:val="231F20"/>
          <w:sz w:val="20"/>
        </w:rPr>
        <w:t>junctions.</w:t>
      </w:r>
      <w:r>
        <w:rPr>
          <w:i/>
          <w:color w:val="231F20"/>
          <w:spacing w:val="-5"/>
          <w:sz w:val="20"/>
        </w:rPr>
        <w:t> </w:t>
      </w:r>
      <w:r>
        <w:rPr>
          <w:color w:val="231F20"/>
          <w:sz w:val="20"/>
        </w:rPr>
        <w:t>Lateral</w:t>
      </w:r>
      <w:r>
        <w:rPr>
          <w:color w:val="231F20"/>
          <w:spacing w:val="-6"/>
          <w:sz w:val="20"/>
        </w:rPr>
        <w:t> </w:t>
      </w:r>
      <w:r>
        <w:rPr>
          <w:color w:val="231F20"/>
          <w:sz w:val="20"/>
        </w:rPr>
        <w:t>inter-</w:t>
      </w:r>
      <w:bookmarkStart w:name="_bookmark40" w:id="41"/>
      <w:bookmarkEnd w:id="41"/>
      <w:r>
        <w:rPr>
          <w:color w:val="231F20"/>
          <w:sz w:val="20"/>
        </w:rPr>
      </w:r>
      <w:r>
        <w:rPr>
          <w:color w:val="231F20"/>
          <w:sz w:val="20"/>
        </w:rPr>
        <w:t> cellular</w:t>
      </w:r>
      <w:r>
        <w:rPr>
          <w:color w:val="231F20"/>
          <w:spacing w:val="15"/>
          <w:sz w:val="20"/>
        </w:rPr>
        <w:t> </w:t>
      </w:r>
      <w:r>
        <w:rPr>
          <w:color w:val="231F20"/>
          <w:sz w:val="20"/>
        </w:rPr>
        <w:t>spaces</w:t>
      </w:r>
      <w:r>
        <w:rPr>
          <w:color w:val="231F20"/>
          <w:spacing w:val="16"/>
          <w:sz w:val="20"/>
        </w:rPr>
        <w:t> </w:t>
      </w:r>
      <w:r>
        <w:rPr>
          <w:color w:val="231F20"/>
          <w:sz w:val="20"/>
        </w:rPr>
        <w:t>lie</w:t>
      </w:r>
      <w:r>
        <w:rPr>
          <w:color w:val="231F20"/>
          <w:spacing w:val="16"/>
          <w:sz w:val="20"/>
        </w:rPr>
        <w:t> </w:t>
      </w:r>
      <w:r>
        <w:rPr>
          <w:color w:val="231F20"/>
          <w:sz w:val="20"/>
        </w:rPr>
        <w:t>behind</w:t>
      </w:r>
      <w:r>
        <w:rPr>
          <w:color w:val="231F20"/>
          <w:spacing w:val="16"/>
          <w:sz w:val="20"/>
        </w:rPr>
        <w:t> </w:t>
      </w:r>
      <w:r>
        <w:rPr>
          <w:color w:val="231F20"/>
          <w:sz w:val="20"/>
        </w:rPr>
        <w:t>the</w:t>
      </w:r>
      <w:r>
        <w:rPr>
          <w:color w:val="231F20"/>
          <w:spacing w:val="16"/>
          <w:sz w:val="20"/>
        </w:rPr>
        <w:t> </w:t>
      </w:r>
      <w:r>
        <w:rPr>
          <w:color w:val="231F20"/>
          <w:sz w:val="20"/>
        </w:rPr>
        <w:t>tight</w:t>
      </w:r>
      <w:r>
        <w:rPr>
          <w:color w:val="231F20"/>
          <w:spacing w:val="16"/>
          <w:sz w:val="20"/>
        </w:rPr>
        <w:t> </w:t>
      </w:r>
      <w:r>
        <w:rPr>
          <w:color w:val="231F20"/>
          <w:sz w:val="20"/>
        </w:rPr>
        <w:t>junctions</w:t>
      </w:r>
      <w:r>
        <w:rPr>
          <w:color w:val="231F20"/>
          <w:spacing w:val="16"/>
          <w:sz w:val="20"/>
        </w:rPr>
        <w:t> </w:t>
      </w:r>
      <w:r>
        <w:rPr>
          <w:color w:val="231F20"/>
          <w:sz w:val="20"/>
        </w:rPr>
        <w:t>and</w:t>
      </w:r>
      <w:r>
        <w:rPr>
          <w:color w:val="231F20"/>
          <w:spacing w:val="16"/>
          <w:sz w:val="20"/>
        </w:rPr>
        <w:t> </w:t>
      </w:r>
      <w:r>
        <w:rPr>
          <w:color w:val="231F20"/>
          <w:spacing w:val="-3"/>
          <w:sz w:val="20"/>
        </w:rPr>
        <w:t>separate</w:t>
      </w:r>
    </w:p>
    <w:p>
      <w:pPr>
        <w:spacing w:after="0" w:line="252" w:lineRule="auto"/>
        <w:jc w:val="both"/>
        <w:rPr>
          <w:sz w:val="20"/>
        </w:rPr>
        <w:sectPr>
          <w:type w:val="continuous"/>
          <w:pgSz w:w="12240" w:h="15660"/>
          <w:pgMar w:top="0" w:bottom="760" w:left="0" w:right="0"/>
          <w:cols w:num="5" w:equalWidth="0">
            <w:col w:w="1927" w:space="40"/>
            <w:col w:w="492" w:space="39"/>
            <w:col w:w="1308" w:space="40"/>
            <w:col w:w="1494" w:space="40"/>
            <w:col w:w="6860"/>
          </w:cols>
        </w:sectPr>
      </w:pPr>
    </w:p>
    <w:p>
      <w:pPr>
        <w:spacing w:line="256" w:lineRule="auto" w:before="0"/>
        <w:ind w:left="1080" w:right="0" w:firstLine="0"/>
        <w:jc w:val="both"/>
        <w:rPr>
          <w:rFonts w:ascii="Arial" w:hAnsi="Arial"/>
          <w:sz w:val="16"/>
        </w:rPr>
      </w:pPr>
      <w:r>
        <w:rPr>
          <w:rFonts w:ascii="Trebuchet MS" w:hAnsi="Trebuchet MS"/>
          <w:b/>
          <w:color w:val="231F20"/>
          <w:sz w:val="16"/>
        </w:rPr>
        <w:t>Figure 28­1. </w:t>
      </w:r>
      <w:r>
        <w:rPr>
          <w:rFonts w:ascii="Arial" w:hAnsi="Arial"/>
          <w:color w:val="231F20"/>
          <w:sz w:val="16"/>
        </w:rPr>
        <w:t>Reabsorption of filtered water and solutes from </w:t>
      </w:r>
      <w:r>
        <w:rPr>
          <w:rFonts w:ascii="Arial" w:hAnsi="Arial"/>
          <w:color w:val="231F20"/>
          <w:spacing w:val="-5"/>
          <w:sz w:val="16"/>
        </w:rPr>
        <w:t>the </w:t>
      </w:r>
      <w:r>
        <w:rPr>
          <w:rFonts w:ascii="Arial" w:hAnsi="Arial"/>
          <w:color w:val="231F20"/>
          <w:sz w:val="16"/>
        </w:rPr>
        <w:t>tubular lumen across the tubular epithelial cells, through the </w:t>
      </w:r>
      <w:r>
        <w:rPr>
          <w:rFonts w:ascii="Arial" w:hAnsi="Arial"/>
          <w:color w:val="231F20"/>
          <w:spacing w:val="-5"/>
          <w:sz w:val="16"/>
        </w:rPr>
        <w:t>renal </w:t>
      </w:r>
      <w:r>
        <w:rPr>
          <w:rFonts w:ascii="Arial" w:hAnsi="Arial"/>
          <w:color w:val="231F20"/>
          <w:sz w:val="16"/>
        </w:rPr>
        <w:t>interstitium,</w:t>
      </w:r>
      <w:r>
        <w:rPr>
          <w:rFonts w:ascii="Arial" w:hAnsi="Arial"/>
          <w:color w:val="231F20"/>
          <w:spacing w:val="-19"/>
          <w:sz w:val="16"/>
        </w:rPr>
        <w:t> </w:t>
      </w:r>
      <w:r>
        <w:rPr>
          <w:rFonts w:ascii="Arial" w:hAnsi="Arial"/>
          <w:color w:val="231F20"/>
          <w:sz w:val="16"/>
        </w:rPr>
        <w:t>and</w:t>
      </w:r>
      <w:r>
        <w:rPr>
          <w:rFonts w:ascii="Arial" w:hAnsi="Arial"/>
          <w:color w:val="231F20"/>
          <w:spacing w:val="-18"/>
          <w:sz w:val="16"/>
        </w:rPr>
        <w:t> </w:t>
      </w:r>
      <w:r>
        <w:rPr>
          <w:rFonts w:ascii="Arial" w:hAnsi="Arial"/>
          <w:color w:val="231F20"/>
          <w:sz w:val="16"/>
        </w:rPr>
        <w:t>back</w:t>
      </w:r>
      <w:r>
        <w:rPr>
          <w:rFonts w:ascii="Arial" w:hAnsi="Arial"/>
          <w:color w:val="231F20"/>
          <w:spacing w:val="-18"/>
          <w:sz w:val="16"/>
        </w:rPr>
        <w:t> </w:t>
      </w:r>
      <w:r>
        <w:rPr>
          <w:rFonts w:ascii="Arial" w:hAnsi="Arial"/>
          <w:color w:val="231F20"/>
          <w:sz w:val="16"/>
        </w:rPr>
        <w:t>into</w:t>
      </w:r>
      <w:r>
        <w:rPr>
          <w:rFonts w:ascii="Arial" w:hAnsi="Arial"/>
          <w:color w:val="231F20"/>
          <w:spacing w:val="-18"/>
          <w:sz w:val="16"/>
        </w:rPr>
        <w:t> </w:t>
      </w:r>
      <w:r>
        <w:rPr>
          <w:rFonts w:ascii="Arial" w:hAnsi="Arial"/>
          <w:color w:val="231F20"/>
          <w:sz w:val="16"/>
        </w:rPr>
        <w:t>the</w:t>
      </w:r>
      <w:r>
        <w:rPr>
          <w:rFonts w:ascii="Arial" w:hAnsi="Arial"/>
          <w:color w:val="231F20"/>
          <w:spacing w:val="-18"/>
          <w:sz w:val="16"/>
        </w:rPr>
        <w:t> </w:t>
      </w:r>
      <w:r>
        <w:rPr>
          <w:rFonts w:ascii="Arial" w:hAnsi="Arial"/>
          <w:color w:val="231F20"/>
          <w:sz w:val="16"/>
        </w:rPr>
        <w:t>blood.</w:t>
      </w:r>
      <w:r>
        <w:rPr>
          <w:rFonts w:ascii="Arial" w:hAnsi="Arial"/>
          <w:color w:val="231F20"/>
          <w:spacing w:val="-18"/>
          <w:sz w:val="16"/>
        </w:rPr>
        <w:t> </w:t>
      </w:r>
      <w:r>
        <w:rPr>
          <w:rFonts w:ascii="Arial" w:hAnsi="Arial"/>
          <w:color w:val="231F20"/>
          <w:sz w:val="16"/>
        </w:rPr>
        <w:t>Solutes</w:t>
      </w:r>
      <w:r>
        <w:rPr>
          <w:rFonts w:ascii="Arial" w:hAnsi="Arial"/>
          <w:color w:val="231F20"/>
          <w:spacing w:val="-18"/>
          <w:sz w:val="16"/>
        </w:rPr>
        <w:t> </w:t>
      </w:r>
      <w:r>
        <w:rPr>
          <w:rFonts w:ascii="Arial" w:hAnsi="Arial"/>
          <w:color w:val="231F20"/>
          <w:sz w:val="16"/>
        </w:rPr>
        <w:t>are</w:t>
      </w:r>
      <w:r>
        <w:rPr>
          <w:rFonts w:ascii="Arial" w:hAnsi="Arial"/>
          <w:color w:val="231F20"/>
          <w:spacing w:val="-18"/>
          <w:sz w:val="16"/>
        </w:rPr>
        <w:t> </w:t>
      </w:r>
      <w:r>
        <w:rPr>
          <w:rFonts w:ascii="Arial" w:hAnsi="Arial"/>
          <w:color w:val="231F20"/>
          <w:sz w:val="16"/>
        </w:rPr>
        <w:t>transported</w:t>
      </w:r>
      <w:r>
        <w:rPr>
          <w:rFonts w:ascii="Arial" w:hAnsi="Arial"/>
          <w:color w:val="231F20"/>
          <w:spacing w:val="-18"/>
          <w:sz w:val="16"/>
        </w:rPr>
        <w:t> </w:t>
      </w:r>
      <w:r>
        <w:rPr>
          <w:rFonts w:ascii="Arial" w:hAnsi="Arial"/>
          <w:color w:val="231F20"/>
          <w:spacing w:val="-4"/>
          <w:sz w:val="16"/>
        </w:rPr>
        <w:t>through </w:t>
      </w:r>
      <w:r>
        <w:rPr>
          <w:rFonts w:ascii="Arial" w:hAnsi="Arial"/>
          <w:color w:val="231F20"/>
          <w:w w:val="95"/>
          <w:sz w:val="16"/>
        </w:rPr>
        <w:t>the cells (</w:t>
      </w:r>
      <w:r>
        <w:rPr>
          <w:rFonts w:ascii="Lucida Sans" w:hAnsi="Lucida Sans"/>
          <w:i/>
          <w:color w:val="231F20"/>
          <w:w w:val="95"/>
          <w:sz w:val="16"/>
        </w:rPr>
        <w:t>transcellular path)</w:t>
      </w:r>
      <w:r>
        <w:rPr>
          <w:rFonts w:ascii="Lucida Sans" w:hAnsi="Lucida Sans"/>
          <w:i/>
          <w:color w:val="231F20"/>
          <w:spacing w:val="-35"/>
          <w:w w:val="95"/>
          <w:sz w:val="16"/>
        </w:rPr>
        <w:t> </w:t>
      </w:r>
      <w:r>
        <w:rPr>
          <w:rFonts w:ascii="Arial" w:hAnsi="Arial"/>
          <w:color w:val="231F20"/>
          <w:w w:val="95"/>
          <w:sz w:val="16"/>
        </w:rPr>
        <w:t>by passive diffusion or active transport, </w:t>
      </w:r>
      <w:r>
        <w:rPr>
          <w:rFonts w:ascii="Arial" w:hAnsi="Arial"/>
          <w:color w:val="231F20"/>
          <w:sz w:val="16"/>
        </w:rPr>
        <w:t>or</w:t>
      </w:r>
      <w:r>
        <w:rPr>
          <w:rFonts w:ascii="Arial" w:hAnsi="Arial"/>
          <w:color w:val="231F20"/>
          <w:spacing w:val="-22"/>
          <w:sz w:val="16"/>
        </w:rPr>
        <w:t> </w:t>
      </w:r>
      <w:r>
        <w:rPr>
          <w:rFonts w:ascii="Arial" w:hAnsi="Arial"/>
          <w:color w:val="231F20"/>
          <w:sz w:val="16"/>
        </w:rPr>
        <w:t>between</w:t>
      </w:r>
      <w:r>
        <w:rPr>
          <w:rFonts w:ascii="Arial" w:hAnsi="Arial"/>
          <w:color w:val="231F20"/>
          <w:spacing w:val="-21"/>
          <w:sz w:val="16"/>
        </w:rPr>
        <w:t> </w:t>
      </w:r>
      <w:r>
        <w:rPr>
          <w:rFonts w:ascii="Arial" w:hAnsi="Arial"/>
          <w:color w:val="231F20"/>
          <w:sz w:val="16"/>
        </w:rPr>
        <w:t>the</w:t>
      </w:r>
      <w:r>
        <w:rPr>
          <w:rFonts w:ascii="Arial" w:hAnsi="Arial"/>
          <w:color w:val="231F20"/>
          <w:spacing w:val="-21"/>
          <w:sz w:val="16"/>
        </w:rPr>
        <w:t> </w:t>
      </w:r>
      <w:r>
        <w:rPr>
          <w:rFonts w:ascii="Arial" w:hAnsi="Arial"/>
          <w:color w:val="231F20"/>
          <w:sz w:val="16"/>
        </w:rPr>
        <w:t>cells</w:t>
      </w:r>
      <w:r>
        <w:rPr>
          <w:rFonts w:ascii="Arial" w:hAnsi="Arial"/>
          <w:color w:val="231F20"/>
          <w:spacing w:val="-21"/>
          <w:sz w:val="16"/>
        </w:rPr>
        <w:t> </w:t>
      </w:r>
      <w:r>
        <w:rPr>
          <w:rFonts w:ascii="Arial" w:hAnsi="Arial"/>
          <w:color w:val="231F20"/>
          <w:sz w:val="16"/>
        </w:rPr>
        <w:t>(</w:t>
      </w:r>
      <w:r>
        <w:rPr>
          <w:rFonts w:ascii="Lucida Sans" w:hAnsi="Lucida Sans"/>
          <w:i/>
          <w:color w:val="231F20"/>
          <w:sz w:val="16"/>
        </w:rPr>
        <w:t>paracellular</w:t>
      </w:r>
      <w:r>
        <w:rPr>
          <w:rFonts w:ascii="Lucida Sans" w:hAnsi="Lucida Sans"/>
          <w:i/>
          <w:color w:val="231F20"/>
          <w:spacing w:val="-28"/>
          <w:sz w:val="16"/>
        </w:rPr>
        <w:t> </w:t>
      </w:r>
      <w:r>
        <w:rPr>
          <w:rFonts w:ascii="Lucida Sans" w:hAnsi="Lucida Sans"/>
          <w:i/>
          <w:color w:val="231F20"/>
          <w:sz w:val="16"/>
        </w:rPr>
        <w:t>path</w:t>
      </w:r>
      <w:r>
        <w:rPr>
          <w:rFonts w:ascii="Arial" w:hAnsi="Arial"/>
          <w:color w:val="231F20"/>
          <w:sz w:val="16"/>
        </w:rPr>
        <w:t>)</w:t>
      </w:r>
      <w:r>
        <w:rPr>
          <w:rFonts w:ascii="Arial" w:hAnsi="Arial"/>
          <w:color w:val="231F20"/>
          <w:spacing w:val="-21"/>
          <w:sz w:val="16"/>
        </w:rPr>
        <w:t> </w:t>
      </w:r>
      <w:r>
        <w:rPr>
          <w:rFonts w:ascii="Arial" w:hAnsi="Arial"/>
          <w:color w:val="231F20"/>
          <w:sz w:val="16"/>
        </w:rPr>
        <w:t>by</w:t>
      </w:r>
      <w:r>
        <w:rPr>
          <w:rFonts w:ascii="Arial" w:hAnsi="Arial"/>
          <w:color w:val="231F20"/>
          <w:spacing w:val="-21"/>
          <w:sz w:val="16"/>
        </w:rPr>
        <w:t> </w:t>
      </w:r>
      <w:r>
        <w:rPr>
          <w:rFonts w:ascii="Arial" w:hAnsi="Arial"/>
          <w:color w:val="231F20"/>
          <w:sz w:val="16"/>
        </w:rPr>
        <w:t>diffusion.</w:t>
      </w:r>
      <w:r>
        <w:rPr>
          <w:rFonts w:ascii="Arial" w:hAnsi="Arial"/>
          <w:color w:val="231F20"/>
          <w:spacing w:val="-21"/>
          <w:sz w:val="16"/>
        </w:rPr>
        <w:t> </w:t>
      </w:r>
      <w:r>
        <w:rPr>
          <w:rFonts w:ascii="Arial" w:hAnsi="Arial"/>
          <w:color w:val="231F20"/>
          <w:sz w:val="16"/>
        </w:rPr>
        <w:t>Water</w:t>
      </w:r>
      <w:r>
        <w:rPr>
          <w:rFonts w:ascii="Arial" w:hAnsi="Arial"/>
          <w:color w:val="231F20"/>
          <w:spacing w:val="-21"/>
          <w:sz w:val="16"/>
        </w:rPr>
        <w:t> </w:t>
      </w:r>
      <w:r>
        <w:rPr>
          <w:rFonts w:ascii="Arial" w:hAnsi="Arial"/>
          <w:color w:val="231F20"/>
          <w:sz w:val="16"/>
        </w:rPr>
        <w:t>is</w:t>
      </w:r>
      <w:r>
        <w:rPr>
          <w:rFonts w:ascii="Arial" w:hAnsi="Arial"/>
          <w:color w:val="231F20"/>
          <w:spacing w:val="-21"/>
          <w:sz w:val="16"/>
        </w:rPr>
        <w:t> </w:t>
      </w:r>
      <w:r>
        <w:rPr>
          <w:rFonts w:ascii="Arial" w:hAnsi="Arial"/>
          <w:color w:val="231F20"/>
          <w:spacing w:val="-3"/>
          <w:sz w:val="16"/>
        </w:rPr>
        <w:t>trans- </w:t>
      </w:r>
      <w:r>
        <w:rPr>
          <w:rFonts w:ascii="Arial" w:hAnsi="Arial"/>
          <w:color w:val="231F20"/>
          <w:sz w:val="16"/>
        </w:rPr>
        <w:t>ported through the cells and between the tubular cells by</w:t>
      </w:r>
      <w:r>
        <w:rPr>
          <w:rFonts w:ascii="Arial" w:hAnsi="Arial"/>
          <w:color w:val="231F20"/>
          <w:spacing w:val="-15"/>
          <w:sz w:val="16"/>
        </w:rPr>
        <w:t> </w:t>
      </w:r>
      <w:r>
        <w:rPr>
          <w:rFonts w:ascii="Arial" w:hAnsi="Arial"/>
          <w:color w:val="231F20"/>
          <w:sz w:val="16"/>
        </w:rPr>
        <w:t>osmosis. Transport of water and solutes from the interstitial fluid into </w:t>
      </w:r>
      <w:r>
        <w:rPr>
          <w:rFonts w:ascii="Arial" w:hAnsi="Arial"/>
          <w:color w:val="231F20"/>
          <w:spacing w:val="-4"/>
          <w:sz w:val="16"/>
        </w:rPr>
        <w:t>the </w:t>
      </w:r>
      <w:r>
        <w:rPr>
          <w:rFonts w:ascii="Arial" w:hAnsi="Arial"/>
          <w:color w:val="231F20"/>
          <w:sz w:val="16"/>
        </w:rPr>
        <w:t>peritubular capillaries occurs by ultrafiltration (</w:t>
      </w:r>
      <w:r>
        <w:rPr>
          <w:rFonts w:ascii="Lucida Sans" w:hAnsi="Lucida Sans"/>
          <w:i/>
          <w:color w:val="231F20"/>
          <w:sz w:val="16"/>
        </w:rPr>
        <w:t>bulk</w:t>
      </w:r>
      <w:r>
        <w:rPr>
          <w:rFonts w:ascii="Lucida Sans" w:hAnsi="Lucida Sans"/>
          <w:i/>
          <w:color w:val="231F20"/>
          <w:spacing w:val="-9"/>
          <w:sz w:val="16"/>
        </w:rPr>
        <w:t> </w:t>
      </w:r>
      <w:r>
        <w:rPr>
          <w:rFonts w:ascii="Lucida Sans" w:hAnsi="Lucida Sans"/>
          <w:i/>
          <w:color w:val="231F20"/>
          <w:sz w:val="16"/>
        </w:rPr>
        <w:t>flow</w:t>
      </w:r>
      <w:r>
        <w:rPr>
          <w:rFonts w:ascii="Arial" w:hAnsi="Arial"/>
          <w:color w:val="231F20"/>
          <w:sz w:val="16"/>
        </w:rPr>
        <w:t>).</w:t>
      </w:r>
    </w:p>
    <w:p>
      <w:pPr>
        <w:pStyle w:val="BodyText"/>
        <w:rPr>
          <w:rFonts w:ascii="Arial"/>
          <w:sz w:val="18"/>
        </w:rPr>
      </w:pPr>
    </w:p>
    <w:p>
      <w:pPr>
        <w:pStyle w:val="BodyText"/>
        <w:spacing w:line="249" w:lineRule="auto" w:before="117"/>
        <w:ind w:left="1079"/>
        <w:jc w:val="both"/>
      </w:pPr>
      <w:r>
        <w:rPr>
          <w:i/>
          <w:color w:val="231F20"/>
          <w:w w:val="105"/>
        </w:rPr>
        <w:t>route) </w:t>
      </w:r>
      <w:r>
        <w:rPr>
          <w:color w:val="231F20"/>
          <w:w w:val="105"/>
        </w:rPr>
        <w:t>or through the spaces between the cell junctions (</w:t>
      </w:r>
      <w:r>
        <w:rPr>
          <w:i/>
          <w:color w:val="231F20"/>
          <w:w w:val="105"/>
        </w:rPr>
        <w:t>paracellular route</w:t>
      </w:r>
      <w:r>
        <w:rPr>
          <w:color w:val="231F20"/>
          <w:w w:val="105"/>
        </w:rPr>
        <w:t>). Then, after absorption across </w:t>
      </w:r>
      <w:r>
        <w:rPr>
          <w:color w:val="231F20"/>
          <w:spacing w:val="-5"/>
          <w:w w:val="105"/>
        </w:rPr>
        <w:t>the </w:t>
      </w:r>
      <w:r>
        <w:rPr>
          <w:color w:val="231F20"/>
          <w:w w:val="105"/>
        </w:rPr>
        <w:t>tubular</w:t>
      </w:r>
      <w:r>
        <w:rPr>
          <w:color w:val="231F20"/>
          <w:spacing w:val="-21"/>
          <w:w w:val="105"/>
        </w:rPr>
        <w:t> </w:t>
      </w:r>
      <w:r>
        <w:rPr>
          <w:color w:val="231F20"/>
          <w:w w:val="105"/>
        </w:rPr>
        <w:t>epithelial</w:t>
      </w:r>
      <w:r>
        <w:rPr>
          <w:color w:val="231F20"/>
          <w:spacing w:val="-20"/>
          <w:w w:val="105"/>
        </w:rPr>
        <w:t> </w:t>
      </w:r>
      <w:r>
        <w:rPr>
          <w:color w:val="231F20"/>
          <w:w w:val="105"/>
        </w:rPr>
        <w:t>cells</w:t>
      </w:r>
      <w:r>
        <w:rPr>
          <w:color w:val="231F20"/>
          <w:spacing w:val="-20"/>
          <w:w w:val="105"/>
        </w:rPr>
        <w:t> </w:t>
      </w:r>
      <w:r>
        <w:rPr>
          <w:color w:val="231F20"/>
          <w:w w:val="105"/>
        </w:rPr>
        <w:t>into</w:t>
      </w:r>
      <w:r>
        <w:rPr>
          <w:color w:val="231F20"/>
          <w:spacing w:val="-20"/>
          <w:w w:val="105"/>
        </w:rPr>
        <w:t> </w:t>
      </w:r>
      <w:r>
        <w:rPr>
          <w:color w:val="231F20"/>
          <w:w w:val="105"/>
        </w:rPr>
        <w:t>the</w:t>
      </w:r>
      <w:r>
        <w:rPr>
          <w:color w:val="231F20"/>
          <w:spacing w:val="-20"/>
          <w:w w:val="105"/>
        </w:rPr>
        <w:t> </w:t>
      </w:r>
      <w:r>
        <w:rPr>
          <w:color w:val="231F20"/>
          <w:w w:val="105"/>
        </w:rPr>
        <w:t>interstitial</w:t>
      </w:r>
      <w:r>
        <w:rPr>
          <w:color w:val="231F20"/>
          <w:spacing w:val="-20"/>
          <w:w w:val="105"/>
        </w:rPr>
        <w:t> </w:t>
      </w:r>
      <w:r>
        <w:rPr>
          <w:color w:val="231F20"/>
          <w:w w:val="105"/>
        </w:rPr>
        <w:t>fluid,</w:t>
      </w:r>
      <w:r>
        <w:rPr>
          <w:color w:val="231F20"/>
          <w:spacing w:val="-20"/>
          <w:w w:val="105"/>
        </w:rPr>
        <w:t> </w:t>
      </w:r>
      <w:r>
        <w:rPr>
          <w:color w:val="231F20"/>
          <w:w w:val="105"/>
        </w:rPr>
        <w:t>water</w:t>
      </w:r>
      <w:r>
        <w:rPr>
          <w:color w:val="231F20"/>
          <w:spacing w:val="-20"/>
          <w:w w:val="105"/>
        </w:rPr>
        <w:t> </w:t>
      </w:r>
      <w:r>
        <w:rPr>
          <w:color w:val="231F20"/>
          <w:w w:val="105"/>
        </w:rPr>
        <w:t>and solutes are transported through the peritubular capillary walls into the blood by </w:t>
      </w:r>
      <w:r>
        <w:rPr>
          <w:i/>
          <w:color w:val="231F20"/>
          <w:w w:val="105"/>
        </w:rPr>
        <w:t>ultrafiltration (bulk flow) </w:t>
      </w:r>
      <w:r>
        <w:rPr>
          <w:color w:val="231F20"/>
          <w:w w:val="105"/>
        </w:rPr>
        <w:t>that is mediated</w:t>
      </w:r>
      <w:r>
        <w:rPr>
          <w:color w:val="231F20"/>
          <w:spacing w:val="-7"/>
          <w:w w:val="105"/>
        </w:rPr>
        <w:t> </w:t>
      </w:r>
      <w:r>
        <w:rPr>
          <w:color w:val="231F20"/>
          <w:w w:val="105"/>
        </w:rPr>
        <w:t>by</w:t>
      </w:r>
      <w:r>
        <w:rPr>
          <w:color w:val="231F20"/>
          <w:spacing w:val="-6"/>
          <w:w w:val="105"/>
        </w:rPr>
        <w:t> </w:t>
      </w:r>
      <w:r>
        <w:rPr>
          <w:color w:val="231F20"/>
          <w:w w:val="105"/>
        </w:rPr>
        <w:t>hydrostatic</w:t>
      </w:r>
      <w:r>
        <w:rPr>
          <w:color w:val="231F20"/>
          <w:spacing w:val="-7"/>
          <w:w w:val="105"/>
        </w:rPr>
        <w:t> </w:t>
      </w:r>
      <w:r>
        <w:rPr>
          <w:color w:val="231F20"/>
          <w:w w:val="105"/>
        </w:rPr>
        <w:t>and</w:t>
      </w:r>
      <w:r>
        <w:rPr>
          <w:color w:val="231F20"/>
          <w:spacing w:val="-6"/>
          <w:w w:val="105"/>
        </w:rPr>
        <w:t> </w:t>
      </w:r>
      <w:r>
        <w:rPr>
          <w:color w:val="231F20"/>
          <w:w w:val="105"/>
        </w:rPr>
        <w:t>colloid</w:t>
      </w:r>
      <w:r>
        <w:rPr>
          <w:color w:val="231F20"/>
          <w:spacing w:val="-6"/>
          <w:w w:val="105"/>
        </w:rPr>
        <w:t> </w:t>
      </w:r>
      <w:r>
        <w:rPr>
          <w:color w:val="231F20"/>
          <w:w w:val="105"/>
        </w:rPr>
        <w:t>osmotic</w:t>
      </w:r>
      <w:r>
        <w:rPr>
          <w:color w:val="231F20"/>
          <w:spacing w:val="-7"/>
          <w:w w:val="105"/>
        </w:rPr>
        <w:t> </w:t>
      </w:r>
      <w:r>
        <w:rPr>
          <w:color w:val="231F20"/>
          <w:w w:val="105"/>
        </w:rPr>
        <w:t>forces.</w:t>
      </w:r>
      <w:r>
        <w:rPr>
          <w:color w:val="231F20"/>
          <w:spacing w:val="-6"/>
          <w:w w:val="105"/>
        </w:rPr>
        <w:t> </w:t>
      </w:r>
      <w:r>
        <w:rPr>
          <w:color w:val="231F20"/>
          <w:spacing w:val="-4"/>
          <w:w w:val="105"/>
        </w:rPr>
        <w:t>The </w:t>
      </w:r>
      <w:r>
        <w:rPr>
          <w:color w:val="231F20"/>
          <w:w w:val="105"/>
        </w:rPr>
        <w:t>peritubular capillaries behave like the venous ends </w:t>
      </w:r>
      <w:r>
        <w:rPr>
          <w:color w:val="231F20"/>
          <w:spacing w:val="-7"/>
          <w:w w:val="105"/>
        </w:rPr>
        <w:t>of </w:t>
      </w:r>
      <w:r>
        <w:rPr>
          <w:color w:val="231F20"/>
          <w:w w:val="105"/>
        </w:rPr>
        <w:t>most</w:t>
      </w:r>
      <w:r>
        <w:rPr>
          <w:color w:val="231F20"/>
          <w:spacing w:val="-9"/>
          <w:w w:val="105"/>
        </w:rPr>
        <w:t> </w:t>
      </w:r>
      <w:r>
        <w:rPr>
          <w:color w:val="231F20"/>
          <w:w w:val="105"/>
        </w:rPr>
        <w:t>other</w:t>
      </w:r>
      <w:r>
        <w:rPr>
          <w:color w:val="231F20"/>
          <w:spacing w:val="-9"/>
          <w:w w:val="105"/>
        </w:rPr>
        <w:t> </w:t>
      </w:r>
      <w:r>
        <w:rPr>
          <w:color w:val="231F20"/>
          <w:w w:val="105"/>
        </w:rPr>
        <w:t>capillaries</w:t>
      </w:r>
      <w:r>
        <w:rPr>
          <w:color w:val="231F20"/>
          <w:spacing w:val="-9"/>
          <w:w w:val="105"/>
        </w:rPr>
        <w:t> </w:t>
      </w:r>
      <w:r>
        <w:rPr>
          <w:color w:val="231F20"/>
          <w:w w:val="105"/>
        </w:rPr>
        <w:t>because</w:t>
      </w:r>
      <w:r>
        <w:rPr>
          <w:color w:val="231F20"/>
          <w:spacing w:val="-8"/>
          <w:w w:val="105"/>
        </w:rPr>
        <w:t> </w:t>
      </w:r>
      <w:r>
        <w:rPr>
          <w:color w:val="231F20"/>
          <w:w w:val="105"/>
        </w:rPr>
        <w:t>there</w:t>
      </w:r>
      <w:r>
        <w:rPr>
          <w:color w:val="231F20"/>
          <w:spacing w:val="-9"/>
          <w:w w:val="105"/>
        </w:rPr>
        <w:t> </w:t>
      </w:r>
      <w:r>
        <w:rPr>
          <w:color w:val="231F20"/>
          <w:w w:val="105"/>
        </w:rPr>
        <w:t>is</w:t>
      </w:r>
      <w:r>
        <w:rPr>
          <w:color w:val="231F20"/>
          <w:spacing w:val="-9"/>
          <w:w w:val="105"/>
        </w:rPr>
        <w:t> </w:t>
      </w:r>
      <w:r>
        <w:rPr>
          <w:color w:val="231F20"/>
          <w:w w:val="105"/>
        </w:rPr>
        <w:t>a</w:t>
      </w:r>
      <w:r>
        <w:rPr>
          <w:color w:val="231F20"/>
          <w:spacing w:val="-8"/>
          <w:w w:val="105"/>
        </w:rPr>
        <w:t> </w:t>
      </w:r>
      <w:r>
        <w:rPr>
          <w:color w:val="231F20"/>
          <w:w w:val="105"/>
        </w:rPr>
        <w:t>net</w:t>
      </w:r>
      <w:r>
        <w:rPr>
          <w:color w:val="231F20"/>
          <w:spacing w:val="-9"/>
          <w:w w:val="105"/>
        </w:rPr>
        <w:t> </w:t>
      </w:r>
      <w:r>
        <w:rPr>
          <w:color w:val="231F20"/>
          <w:w w:val="105"/>
        </w:rPr>
        <w:t>reabsorptive force that moves the fluid and solutes from the intersti- tium into the</w:t>
      </w:r>
      <w:r>
        <w:rPr>
          <w:color w:val="231F20"/>
          <w:spacing w:val="10"/>
          <w:w w:val="105"/>
        </w:rPr>
        <w:t> </w:t>
      </w:r>
      <w:r>
        <w:rPr>
          <w:color w:val="231F20"/>
          <w:w w:val="105"/>
        </w:rPr>
        <w:t>blood.</w:t>
      </w:r>
    </w:p>
    <w:p>
      <w:pPr>
        <w:pStyle w:val="BodyText"/>
        <w:spacing w:before="3"/>
        <w:rPr>
          <w:sz w:val="30"/>
        </w:rPr>
      </w:pPr>
    </w:p>
    <w:p>
      <w:pPr>
        <w:pStyle w:val="Heading2"/>
        <w:ind w:left="1080"/>
        <w:jc w:val="both"/>
      </w:pPr>
      <w:r>
        <w:rPr>
          <w:color w:val="231F20"/>
        </w:rPr>
        <w:t>ACTIVE TRANSPORT</w:t>
      </w:r>
    </w:p>
    <w:p>
      <w:pPr>
        <w:pStyle w:val="BodyText"/>
        <w:spacing w:line="249" w:lineRule="auto" w:before="124"/>
        <w:ind w:left="1080"/>
        <w:jc w:val="both"/>
      </w:pPr>
      <w:r>
        <w:rPr>
          <w:color w:val="231F20"/>
          <w:w w:val="105"/>
        </w:rPr>
        <w:t>Active transport can move a solute against an </w:t>
      </w:r>
      <w:r>
        <w:rPr>
          <w:color w:val="231F20"/>
          <w:spacing w:val="-3"/>
          <w:w w:val="105"/>
        </w:rPr>
        <w:t>electro- </w:t>
      </w:r>
      <w:r>
        <w:rPr>
          <w:color w:val="231F20"/>
          <w:w w:val="105"/>
        </w:rPr>
        <w:t>chemical gradient and requires energy derived </w:t>
      </w:r>
      <w:r>
        <w:rPr>
          <w:color w:val="231F20"/>
          <w:spacing w:val="-5"/>
          <w:w w:val="105"/>
        </w:rPr>
        <w:t>from </w:t>
      </w:r>
      <w:r>
        <w:rPr>
          <w:color w:val="231F20"/>
          <w:w w:val="105"/>
        </w:rPr>
        <w:t>metabolism. Transport that is coupled directly to an energy source, such as the hydrolysis of adenosine tri- phosphate</w:t>
      </w:r>
      <w:r>
        <w:rPr>
          <w:color w:val="231F20"/>
          <w:spacing w:val="-16"/>
          <w:w w:val="105"/>
        </w:rPr>
        <w:t> </w:t>
      </w:r>
      <w:r>
        <w:rPr>
          <w:color w:val="231F20"/>
          <w:spacing w:val="-3"/>
          <w:w w:val="105"/>
        </w:rPr>
        <w:t>(ATP),</w:t>
      </w:r>
      <w:r>
        <w:rPr>
          <w:color w:val="231F20"/>
          <w:spacing w:val="-16"/>
          <w:w w:val="105"/>
        </w:rPr>
        <w:t> </w:t>
      </w:r>
      <w:r>
        <w:rPr>
          <w:color w:val="231F20"/>
          <w:w w:val="105"/>
        </w:rPr>
        <w:t>is</w:t>
      </w:r>
      <w:r>
        <w:rPr>
          <w:color w:val="231F20"/>
          <w:spacing w:val="-16"/>
          <w:w w:val="105"/>
        </w:rPr>
        <w:t> </w:t>
      </w:r>
      <w:r>
        <w:rPr>
          <w:color w:val="231F20"/>
          <w:w w:val="105"/>
        </w:rPr>
        <w:t>termed</w:t>
      </w:r>
      <w:r>
        <w:rPr>
          <w:color w:val="231F20"/>
          <w:spacing w:val="-15"/>
          <w:w w:val="105"/>
        </w:rPr>
        <w:t> </w:t>
      </w:r>
      <w:r>
        <w:rPr>
          <w:i/>
          <w:color w:val="231F20"/>
          <w:w w:val="105"/>
        </w:rPr>
        <w:t>primary</w:t>
      </w:r>
      <w:r>
        <w:rPr>
          <w:i/>
          <w:color w:val="231F20"/>
          <w:spacing w:val="-15"/>
          <w:w w:val="105"/>
        </w:rPr>
        <w:t> </w:t>
      </w:r>
      <w:r>
        <w:rPr>
          <w:i/>
          <w:color w:val="231F20"/>
          <w:w w:val="105"/>
        </w:rPr>
        <w:t>active</w:t>
      </w:r>
      <w:r>
        <w:rPr>
          <w:i/>
          <w:color w:val="231F20"/>
          <w:spacing w:val="-16"/>
          <w:w w:val="105"/>
        </w:rPr>
        <w:t> </w:t>
      </w:r>
      <w:r>
        <w:rPr>
          <w:i/>
          <w:color w:val="231F20"/>
          <w:w w:val="105"/>
        </w:rPr>
        <w:t>transport</w:t>
      </w:r>
      <w:r>
        <w:rPr>
          <w:color w:val="231F20"/>
          <w:w w:val="105"/>
        </w:rPr>
        <w:t>.</w:t>
      </w:r>
      <w:r>
        <w:rPr>
          <w:color w:val="231F20"/>
          <w:spacing w:val="-16"/>
          <w:w w:val="105"/>
        </w:rPr>
        <w:t> </w:t>
      </w:r>
      <w:r>
        <w:rPr>
          <w:color w:val="231F20"/>
          <w:w w:val="105"/>
        </w:rPr>
        <w:t>An example of this mechanism is the</w:t>
      </w:r>
      <w:r>
        <w:rPr>
          <w:color w:val="231F20"/>
          <w:spacing w:val="11"/>
          <w:w w:val="105"/>
        </w:rPr>
        <w:t> </w:t>
      </w:r>
      <w:r>
        <w:rPr>
          <w:color w:val="231F20"/>
          <w:w w:val="105"/>
        </w:rPr>
        <w:t>sodium-potassium</w:t>
      </w:r>
    </w:p>
    <w:p>
      <w:pPr>
        <w:pStyle w:val="BodyText"/>
        <w:spacing w:line="249" w:lineRule="auto"/>
        <w:ind w:left="319" w:right="1437"/>
        <w:jc w:val="both"/>
      </w:pPr>
      <w:r>
        <w:rPr/>
        <w:br w:type="column"/>
      </w:r>
      <w:r>
        <w:rPr>
          <w:color w:val="231F20"/>
          <w:w w:val="105"/>
        </w:rPr>
        <w:t>the epithelial cells of the tubule. Solutes can be reab- sorbed or secreted across the cells through the </w:t>
      </w:r>
      <w:r>
        <w:rPr>
          <w:i/>
          <w:color w:val="231F20"/>
          <w:w w:val="105"/>
        </w:rPr>
        <w:t>transcel- </w:t>
      </w:r>
      <w:r>
        <w:rPr>
          <w:i/>
          <w:color w:val="231F20"/>
          <w:w w:val="105"/>
        </w:rPr>
        <w:t>lular pathway </w:t>
      </w:r>
      <w:r>
        <w:rPr>
          <w:color w:val="231F20"/>
          <w:w w:val="105"/>
        </w:rPr>
        <w:t>or between the cells by moving across the</w:t>
      </w:r>
      <w:r>
        <w:rPr>
          <w:color w:val="231F20"/>
          <w:spacing w:val="-8"/>
          <w:w w:val="105"/>
        </w:rPr>
        <w:t> </w:t>
      </w:r>
      <w:r>
        <w:rPr>
          <w:color w:val="231F20"/>
          <w:w w:val="105"/>
        </w:rPr>
        <w:t>tight</w:t>
      </w:r>
      <w:r>
        <w:rPr>
          <w:color w:val="231F20"/>
          <w:spacing w:val="-7"/>
          <w:w w:val="105"/>
        </w:rPr>
        <w:t> </w:t>
      </w:r>
      <w:r>
        <w:rPr>
          <w:color w:val="231F20"/>
          <w:w w:val="105"/>
        </w:rPr>
        <w:t>junctions</w:t>
      </w:r>
      <w:r>
        <w:rPr>
          <w:color w:val="231F20"/>
          <w:spacing w:val="-8"/>
          <w:w w:val="105"/>
        </w:rPr>
        <w:t> </w:t>
      </w:r>
      <w:r>
        <w:rPr>
          <w:color w:val="231F20"/>
          <w:w w:val="105"/>
        </w:rPr>
        <w:t>and</w:t>
      </w:r>
      <w:r>
        <w:rPr>
          <w:color w:val="231F20"/>
          <w:spacing w:val="-7"/>
          <w:w w:val="105"/>
        </w:rPr>
        <w:t> </w:t>
      </w:r>
      <w:r>
        <w:rPr>
          <w:color w:val="231F20"/>
          <w:w w:val="105"/>
        </w:rPr>
        <w:t>intercellular</w:t>
      </w:r>
      <w:r>
        <w:rPr>
          <w:color w:val="231F20"/>
          <w:spacing w:val="-8"/>
          <w:w w:val="105"/>
        </w:rPr>
        <w:t> </w:t>
      </w:r>
      <w:r>
        <w:rPr>
          <w:color w:val="231F20"/>
          <w:w w:val="105"/>
        </w:rPr>
        <w:t>spaces</w:t>
      </w:r>
      <w:r>
        <w:rPr>
          <w:color w:val="231F20"/>
          <w:spacing w:val="-7"/>
          <w:w w:val="105"/>
        </w:rPr>
        <w:t> </w:t>
      </w:r>
      <w:r>
        <w:rPr>
          <w:color w:val="231F20"/>
          <w:w w:val="105"/>
        </w:rPr>
        <w:t>by</w:t>
      </w:r>
      <w:r>
        <w:rPr>
          <w:color w:val="231F20"/>
          <w:spacing w:val="-8"/>
          <w:w w:val="105"/>
        </w:rPr>
        <w:t> </w:t>
      </w:r>
      <w:r>
        <w:rPr>
          <w:color w:val="231F20"/>
          <w:w w:val="105"/>
        </w:rPr>
        <w:t>way</w:t>
      </w:r>
      <w:r>
        <w:rPr>
          <w:color w:val="231F20"/>
          <w:spacing w:val="-7"/>
          <w:w w:val="105"/>
        </w:rPr>
        <w:t> </w:t>
      </w:r>
      <w:r>
        <w:rPr>
          <w:color w:val="231F20"/>
          <w:w w:val="105"/>
        </w:rPr>
        <w:t>of</w:t>
      </w:r>
      <w:r>
        <w:rPr>
          <w:color w:val="231F20"/>
          <w:spacing w:val="-7"/>
          <w:w w:val="105"/>
        </w:rPr>
        <w:t> </w:t>
      </w:r>
      <w:r>
        <w:rPr>
          <w:color w:val="231F20"/>
          <w:w w:val="105"/>
        </w:rPr>
        <w:t>the </w:t>
      </w:r>
      <w:r>
        <w:rPr>
          <w:i/>
          <w:color w:val="231F20"/>
          <w:w w:val="105"/>
        </w:rPr>
        <w:t>paracellular</w:t>
      </w:r>
      <w:r>
        <w:rPr>
          <w:i/>
          <w:color w:val="231F20"/>
          <w:spacing w:val="-11"/>
          <w:w w:val="105"/>
        </w:rPr>
        <w:t> </w:t>
      </w:r>
      <w:r>
        <w:rPr>
          <w:i/>
          <w:color w:val="231F20"/>
          <w:w w:val="105"/>
        </w:rPr>
        <w:t>pathway.</w:t>
      </w:r>
      <w:r>
        <w:rPr>
          <w:i/>
          <w:color w:val="231F20"/>
          <w:spacing w:val="-11"/>
          <w:w w:val="105"/>
        </w:rPr>
        <w:t> </w:t>
      </w:r>
      <w:r>
        <w:rPr>
          <w:color w:val="231F20"/>
          <w:w w:val="105"/>
        </w:rPr>
        <w:t>Sodium</w:t>
      </w:r>
      <w:r>
        <w:rPr>
          <w:color w:val="231F20"/>
          <w:spacing w:val="-10"/>
          <w:w w:val="105"/>
        </w:rPr>
        <w:t> </w:t>
      </w:r>
      <w:r>
        <w:rPr>
          <w:color w:val="231F20"/>
          <w:w w:val="105"/>
        </w:rPr>
        <w:t>is</w:t>
      </w:r>
      <w:r>
        <w:rPr>
          <w:color w:val="231F20"/>
          <w:spacing w:val="-11"/>
          <w:w w:val="105"/>
        </w:rPr>
        <w:t> </w:t>
      </w:r>
      <w:r>
        <w:rPr>
          <w:color w:val="231F20"/>
          <w:w w:val="105"/>
        </w:rPr>
        <w:t>a</w:t>
      </w:r>
      <w:r>
        <w:rPr>
          <w:color w:val="231F20"/>
          <w:spacing w:val="-10"/>
          <w:w w:val="105"/>
        </w:rPr>
        <w:t> </w:t>
      </w:r>
      <w:r>
        <w:rPr>
          <w:color w:val="231F20"/>
          <w:w w:val="105"/>
        </w:rPr>
        <w:t>substance</w:t>
      </w:r>
      <w:r>
        <w:rPr>
          <w:color w:val="231F20"/>
          <w:spacing w:val="-11"/>
          <w:w w:val="105"/>
        </w:rPr>
        <w:t> </w:t>
      </w:r>
      <w:r>
        <w:rPr>
          <w:color w:val="231F20"/>
          <w:w w:val="105"/>
        </w:rPr>
        <w:t>that</w:t>
      </w:r>
      <w:r>
        <w:rPr>
          <w:color w:val="231F20"/>
          <w:spacing w:val="-10"/>
          <w:w w:val="105"/>
        </w:rPr>
        <w:t> </w:t>
      </w:r>
      <w:r>
        <w:rPr>
          <w:color w:val="231F20"/>
          <w:w w:val="105"/>
        </w:rPr>
        <w:t>moves through both routes, although most of the sodium is transported through the transcellular </w:t>
      </w:r>
      <w:r>
        <w:rPr>
          <w:color w:val="231F20"/>
          <w:spacing w:val="-3"/>
          <w:w w:val="105"/>
        </w:rPr>
        <w:t>pathway. </w:t>
      </w:r>
      <w:r>
        <w:rPr>
          <w:color w:val="231F20"/>
          <w:w w:val="105"/>
        </w:rPr>
        <w:t>In some nephron</w:t>
      </w:r>
      <w:r>
        <w:rPr>
          <w:color w:val="231F20"/>
          <w:spacing w:val="-11"/>
          <w:w w:val="105"/>
        </w:rPr>
        <w:t> </w:t>
      </w:r>
      <w:r>
        <w:rPr>
          <w:color w:val="231F20"/>
          <w:w w:val="105"/>
        </w:rPr>
        <w:t>segments,</w:t>
      </w:r>
      <w:r>
        <w:rPr>
          <w:color w:val="231F20"/>
          <w:spacing w:val="-10"/>
          <w:w w:val="105"/>
        </w:rPr>
        <w:t> </w:t>
      </w:r>
      <w:r>
        <w:rPr>
          <w:color w:val="231F20"/>
          <w:w w:val="105"/>
        </w:rPr>
        <w:t>especially</w:t>
      </w:r>
      <w:r>
        <w:rPr>
          <w:color w:val="231F20"/>
          <w:spacing w:val="-10"/>
          <w:w w:val="105"/>
        </w:rPr>
        <w:t> </w:t>
      </w:r>
      <w:r>
        <w:rPr>
          <w:color w:val="231F20"/>
          <w:w w:val="105"/>
        </w:rPr>
        <w:t>the</w:t>
      </w:r>
      <w:r>
        <w:rPr>
          <w:color w:val="231F20"/>
          <w:spacing w:val="-10"/>
          <w:w w:val="105"/>
        </w:rPr>
        <w:t> </w:t>
      </w:r>
      <w:r>
        <w:rPr>
          <w:color w:val="231F20"/>
          <w:w w:val="105"/>
        </w:rPr>
        <w:t>proximal</w:t>
      </w:r>
      <w:r>
        <w:rPr>
          <w:color w:val="231F20"/>
          <w:spacing w:val="-10"/>
          <w:w w:val="105"/>
        </w:rPr>
        <w:t> </w:t>
      </w:r>
      <w:r>
        <w:rPr>
          <w:color w:val="231F20"/>
          <w:w w:val="105"/>
        </w:rPr>
        <w:t>tubule,</w:t>
      </w:r>
      <w:r>
        <w:rPr>
          <w:color w:val="231F20"/>
          <w:spacing w:val="-11"/>
          <w:w w:val="105"/>
        </w:rPr>
        <w:t> </w:t>
      </w:r>
      <w:r>
        <w:rPr>
          <w:color w:val="231F20"/>
          <w:w w:val="105"/>
        </w:rPr>
        <w:t>water is also reabsorbed across the paracellular </w:t>
      </w:r>
      <w:r>
        <w:rPr>
          <w:color w:val="231F20"/>
          <w:spacing w:val="-3"/>
          <w:w w:val="105"/>
        </w:rPr>
        <w:t>pathway, </w:t>
      </w:r>
      <w:r>
        <w:rPr>
          <w:color w:val="231F20"/>
          <w:w w:val="105"/>
        </w:rPr>
        <w:t>and substances dissolved in the </w:t>
      </w:r>
      <w:r>
        <w:rPr>
          <w:color w:val="231F20"/>
          <w:spacing w:val="-3"/>
          <w:w w:val="105"/>
        </w:rPr>
        <w:t>water, </w:t>
      </w:r>
      <w:r>
        <w:rPr>
          <w:color w:val="231F20"/>
          <w:w w:val="105"/>
        </w:rPr>
        <w:t>especially potassium, magnesium,</w:t>
      </w:r>
      <w:r>
        <w:rPr>
          <w:color w:val="231F20"/>
          <w:spacing w:val="-9"/>
          <w:w w:val="105"/>
        </w:rPr>
        <w:t> </w:t>
      </w:r>
      <w:r>
        <w:rPr>
          <w:color w:val="231F20"/>
          <w:w w:val="105"/>
        </w:rPr>
        <w:t>and</w:t>
      </w:r>
      <w:r>
        <w:rPr>
          <w:color w:val="231F20"/>
          <w:spacing w:val="-8"/>
          <w:w w:val="105"/>
        </w:rPr>
        <w:t> </w:t>
      </w:r>
      <w:r>
        <w:rPr>
          <w:color w:val="231F20"/>
          <w:w w:val="105"/>
        </w:rPr>
        <w:t>chloride</w:t>
      </w:r>
      <w:r>
        <w:rPr>
          <w:color w:val="231F20"/>
          <w:spacing w:val="-8"/>
          <w:w w:val="105"/>
        </w:rPr>
        <w:t> </w:t>
      </w:r>
      <w:r>
        <w:rPr>
          <w:color w:val="231F20"/>
          <w:w w:val="105"/>
        </w:rPr>
        <w:t>ions,</w:t>
      </w:r>
      <w:r>
        <w:rPr>
          <w:color w:val="231F20"/>
          <w:spacing w:val="-8"/>
          <w:w w:val="105"/>
        </w:rPr>
        <w:t> </w:t>
      </w:r>
      <w:r>
        <w:rPr>
          <w:color w:val="231F20"/>
          <w:w w:val="105"/>
        </w:rPr>
        <w:t>are</w:t>
      </w:r>
      <w:r>
        <w:rPr>
          <w:color w:val="231F20"/>
          <w:spacing w:val="-8"/>
          <w:w w:val="105"/>
        </w:rPr>
        <w:t> </w:t>
      </w:r>
      <w:r>
        <w:rPr>
          <w:color w:val="231F20"/>
          <w:w w:val="105"/>
        </w:rPr>
        <w:t>carried</w:t>
      </w:r>
      <w:r>
        <w:rPr>
          <w:color w:val="231F20"/>
          <w:spacing w:val="-8"/>
          <w:w w:val="105"/>
        </w:rPr>
        <w:t> </w:t>
      </w:r>
      <w:r>
        <w:rPr>
          <w:color w:val="231F20"/>
          <w:w w:val="105"/>
        </w:rPr>
        <w:t>with</w:t>
      </w:r>
      <w:r>
        <w:rPr>
          <w:color w:val="231F20"/>
          <w:spacing w:val="-8"/>
          <w:w w:val="105"/>
        </w:rPr>
        <w:t> </w:t>
      </w:r>
      <w:r>
        <w:rPr>
          <w:color w:val="231F20"/>
          <w:w w:val="105"/>
        </w:rPr>
        <w:t>the</w:t>
      </w:r>
      <w:r>
        <w:rPr>
          <w:color w:val="231F20"/>
          <w:spacing w:val="-8"/>
          <w:w w:val="105"/>
        </w:rPr>
        <w:t> </w:t>
      </w:r>
      <w:r>
        <w:rPr>
          <w:color w:val="231F20"/>
          <w:w w:val="105"/>
        </w:rPr>
        <w:t>reab- sorbed fluid between the</w:t>
      </w:r>
      <w:r>
        <w:rPr>
          <w:color w:val="231F20"/>
          <w:spacing w:val="7"/>
          <w:w w:val="105"/>
        </w:rPr>
        <w:t> </w:t>
      </w:r>
      <w:r>
        <w:rPr>
          <w:color w:val="231F20"/>
          <w:w w:val="105"/>
        </w:rPr>
        <w:t>cells.</w:t>
      </w:r>
    </w:p>
    <w:p>
      <w:pPr>
        <w:pStyle w:val="BodyText"/>
        <w:rPr>
          <w:sz w:val="22"/>
        </w:rPr>
      </w:pPr>
    </w:p>
    <w:p>
      <w:pPr>
        <w:spacing w:line="249" w:lineRule="auto" w:before="0"/>
        <w:ind w:left="319" w:right="1437" w:firstLine="0"/>
        <w:jc w:val="both"/>
        <w:rPr>
          <w:i/>
          <w:sz w:val="20"/>
        </w:rPr>
      </w:pPr>
      <w:r>
        <w:rPr>
          <w:rFonts w:ascii="Trebuchet MS" w:hAnsi="Trebuchet MS"/>
          <w:b/>
          <w:color w:val="231F20"/>
          <w:sz w:val="19"/>
        </w:rPr>
        <w:t>Primary Active Transport Through the </w:t>
      </w:r>
      <w:r>
        <w:rPr>
          <w:rFonts w:ascii="Trebuchet MS" w:hAnsi="Trebuchet MS"/>
          <w:b/>
          <w:color w:val="231F20"/>
          <w:spacing w:val="-3"/>
          <w:sz w:val="19"/>
        </w:rPr>
        <w:t>Tubular Mem­ </w:t>
      </w:r>
      <w:r>
        <w:rPr>
          <w:rFonts w:ascii="Trebuchet MS" w:hAnsi="Trebuchet MS"/>
          <w:b/>
          <w:color w:val="231F20"/>
          <w:sz w:val="19"/>
        </w:rPr>
        <w:t>brane Is Linked to Hydrolysis of </w:t>
      </w:r>
      <w:r>
        <w:rPr>
          <w:rFonts w:ascii="Trebuchet MS" w:hAnsi="Trebuchet MS"/>
          <w:b/>
          <w:color w:val="231F20"/>
          <w:spacing w:val="-13"/>
          <w:sz w:val="19"/>
        </w:rPr>
        <w:t>ATP. </w:t>
      </w:r>
      <w:r>
        <w:rPr>
          <w:i/>
          <w:color w:val="231F20"/>
          <w:sz w:val="20"/>
        </w:rPr>
        <w:t>The special </w:t>
      </w:r>
      <w:r>
        <w:rPr>
          <w:i/>
          <w:color w:val="231F20"/>
          <w:sz w:val="20"/>
        </w:rPr>
        <w:t>importance of primary active transport is that it can move solutes against an electrochemical gradient. </w:t>
      </w:r>
      <w:r>
        <w:rPr>
          <w:color w:val="231F20"/>
          <w:sz w:val="20"/>
        </w:rPr>
        <w:t>The energy for this active transport comes from the hydrolysis  of </w:t>
      </w:r>
      <w:r>
        <w:rPr>
          <w:color w:val="231F20"/>
          <w:spacing w:val="-5"/>
          <w:sz w:val="20"/>
        </w:rPr>
        <w:t>ATP  </w:t>
      </w:r>
      <w:r>
        <w:rPr>
          <w:color w:val="231F20"/>
          <w:sz w:val="20"/>
        </w:rPr>
        <w:t>by way of membrane-bound ATPase, which is </w:t>
      </w:r>
      <w:r>
        <w:rPr>
          <w:color w:val="231F20"/>
          <w:spacing w:val="-4"/>
          <w:sz w:val="20"/>
        </w:rPr>
        <w:t>also  </w:t>
      </w:r>
      <w:r>
        <w:rPr>
          <w:color w:val="231F20"/>
          <w:sz w:val="20"/>
        </w:rPr>
        <w:t>a component of the carrier mechanism that binds and moves solutes across the cell membranes. The primary active transporters in the kidneys that are known include </w:t>
      </w:r>
      <w:r>
        <w:rPr>
          <w:i/>
          <w:color w:val="231F20"/>
          <w:sz w:val="20"/>
        </w:rPr>
        <w:t>sodium-potassium ATPase, hydrogen ATPase, hydrogen- </w:t>
      </w:r>
      <w:r>
        <w:rPr>
          <w:i/>
          <w:color w:val="231F20"/>
          <w:sz w:val="20"/>
        </w:rPr>
        <w:t>potassium ATPase, </w:t>
      </w:r>
      <w:r>
        <w:rPr>
          <w:color w:val="231F20"/>
          <w:sz w:val="20"/>
        </w:rPr>
        <w:t>and </w:t>
      </w:r>
      <w:r>
        <w:rPr>
          <w:i/>
          <w:color w:val="231F20"/>
          <w:sz w:val="20"/>
        </w:rPr>
        <w:t>calcium</w:t>
      </w:r>
      <w:r>
        <w:rPr>
          <w:i/>
          <w:color w:val="231F20"/>
          <w:spacing w:val="29"/>
          <w:sz w:val="20"/>
        </w:rPr>
        <w:t> </w:t>
      </w:r>
      <w:r>
        <w:rPr>
          <w:i/>
          <w:color w:val="231F20"/>
          <w:sz w:val="20"/>
        </w:rPr>
        <w:t>ATPase.</w:t>
      </w:r>
    </w:p>
    <w:p>
      <w:pPr>
        <w:pStyle w:val="BodyText"/>
        <w:spacing w:line="249" w:lineRule="auto" w:before="11"/>
        <w:ind w:left="319" w:right="1437" w:firstLine="240"/>
        <w:jc w:val="both"/>
      </w:pPr>
      <w:r>
        <w:rPr>
          <w:color w:val="231F20"/>
          <w:w w:val="105"/>
        </w:rPr>
        <w:t>A good example of a primary active transport</w:t>
      </w:r>
      <w:r>
        <w:rPr>
          <w:color w:val="231F20"/>
          <w:spacing w:val="-33"/>
          <w:w w:val="105"/>
        </w:rPr>
        <w:t> </w:t>
      </w:r>
      <w:r>
        <w:rPr>
          <w:color w:val="231F20"/>
          <w:w w:val="105"/>
        </w:rPr>
        <w:t>system is the reabsorption of sodium ions across the </w:t>
      </w:r>
      <w:r>
        <w:rPr>
          <w:color w:val="231F20"/>
          <w:spacing w:val="-3"/>
          <w:w w:val="105"/>
        </w:rPr>
        <w:t>proximal </w:t>
      </w:r>
      <w:r>
        <w:rPr>
          <w:color w:val="231F20"/>
          <w:w w:val="105"/>
        </w:rPr>
        <w:t>tubular</w:t>
      </w:r>
      <w:r>
        <w:rPr>
          <w:color w:val="231F20"/>
          <w:spacing w:val="36"/>
          <w:w w:val="105"/>
        </w:rPr>
        <w:t> </w:t>
      </w:r>
      <w:r>
        <w:rPr>
          <w:color w:val="231F20"/>
          <w:w w:val="105"/>
        </w:rPr>
        <w:t>membrane,</w:t>
      </w:r>
      <w:r>
        <w:rPr>
          <w:color w:val="231F20"/>
          <w:spacing w:val="36"/>
          <w:w w:val="105"/>
        </w:rPr>
        <w:t> </w:t>
      </w:r>
      <w:r>
        <w:rPr>
          <w:color w:val="231F20"/>
          <w:w w:val="105"/>
        </w:rPr>
        <w:t>as</w:t>
      </w:r>
      <w:r>
        <w:rPr>
          <w:color w:val="231F20"/>
          <w:spacing w:val="36"/>
          <w:w w:val="105"/>
        </w:rPr>
        <w:t> </w:t>
      </w:r>
      <w:r>
        <w:rPr>
          <w:color w:val="231F20"/>
          <w:w w:val="105"/>
        </w:rPr>
        <w:t>shown</w:t>
      </w:r>
      <w:r>
        <w:rPr>
          <w:color w:val="231F20"/>
          <w:spacing w:val="37"/>
          <w:w w:val="105"/>
        </w:rPr>
        <w:t> </w:t>
      </w:r>
      <w:r>
        <w:rPr>
          <w:color w:val="231F20"/>
          <w:w w:val="105"/>
        </w:rPr>
        <w:t>in</w:t>
      </w:r>
      <w:r>
        <w:rPr>
          <w:color w:val="231F20"/>
          <w:spacing w:val="36"/>
          <w:w w:val="105"/>
        </w:rPr>
        <w:t> </w:t>
      </w:r>
      <w:hyperlink w:history="true" w:anchor="_bookmark41">
        <w:r>
          <w:rPr>
            <w:b/>
            <w:color w:val="0080AC"/>
            <w:w w:val="105"/>
          </w:rPr>
          <w:t>Figure</w:t>
        </w:r>
        <w:r>
          <w:rPr>
            <w:b/>
            <w:color w:val="0080AC"/>
            <w:spacing w:val="33"/>
            <w:w w:val="105"/>
          </w:rPr>
          <w:t> </w:t>
        </w:r>
        <w:r>
          <w:rPr>
            <w:b/>
            <w:color w:val="0080AC"/>
            <w:w w:val="105"/>
          </w:rPr>
          <w:t>28-2</w:t>
        </w:r>
      </w:hyperlink>
      <w:r>
        <w:rPr>
          <w:color w:val="231F20"/>
          <w:w w:val="105"/>
        </w:rPr>
        <w:t>.</w:t>
      </w:r>
      <w:r>
        <w:rPr>
          <w:color w:val="231F20"/>
          <w:spacing w:val="36"/>
          <w:w w:val="105"/>
        </w:rPr>
        <w:t> </w:t>
      </w:r>
      <w:r>
        <w:rPr>
          <w:color w:val="231F20"/>
          <w:w w:val="105"/>
        </w:rPr>
        <w:t>On</w:t>
      </w:r>
      <w:r>
        <w:rPr>
          <w:color w:val="231F20"/>
          <w:spacing w:val="36"/>
          <w:w w:val="105"/>
        </w:rPr>
        <w:t> </w:t>
      </w:r>
      <w:r>
        <w:rPr>
          <w:color w:val="231F20"/>
          <w:w w:val="105"/>
        </w:rPr>
        <w:t>the</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465"/>
          <w:pgSz w:w="12240" w:h="15660"/>
          <w:pgMar w:header="0" w:footer="567" w:top="0" w:bottom="760" w:left="0" w:right="0"/>
        </w:sectPr>
      </w:pPr>
    </w:p>
    <w:p>
      <w:pPr>
        <w:pStyle w:val="BodyText"/>
        <w:spacing w:before="10"/>
        <w:rPr>
          <w:sz w:val="15"/>
        </w:rPr>
      </w:pPr>
    </w:p>
    <w:p>
      <w:pPr>
        <w:spacing w:line="235" w:lineRule="auto" w:before="0"/>
        <w:ind w:left="1738" w:right="-19" w:hanging="94"/>
        <w:jc w:val="left"/>
        <w:rPr>
          <w:rFonts w:ascii="Helvetica"/>
          <w:sz w:val="16"/>
        </w:rPr>
      </w:pPr>
      <w:r>
        <w:rPr/>
        <w:pict>
          <v:group style="position:absolute;margin-left:78.545395pt;margin-top:-2.156742pt;width:177.25pt;height:159.7pt;mso-position-horizontal-relative:page;mso-position-vertical-relative:paragraph;z-index:-273358848" coordorigin="1571,-43" coordsize="3545,3194">
            <v:shape style="position:absolute;left:2358;top:571;width:690;height:2476" coordorigin="2359,571" coordsize="690,2476" path="m2983,571l2424,571,2399,576,2378,589,2364,608,2359,631,2359,2987,2364,3010,2378,3029,2399,3042,2424,3047,2983,3047,3008,3042,3029,3029,3043,3010,3048,2987,3048,631,3043,608,3029,589,3008,576,2983,571xe" filled="true" fillcolor="#e1e8f5" stroked="false">
              <v:path arrowok="t"/>
              <v:fill type="solid"/>
            </v:shape>
            <v:shape style="position:absolute;left:2380;top:591;width:648;height:2435" coordorigin="2381,592" coordsize="648,2435" path="m2963,592l2446,592,2421,597,2400,610,2386,629,2381,652,2381,2966,2386,2989,2400,3008,2421,3021,2446,3026,2963,3026,2988,3021,3009,3008,3023,2989,3028,2966,3028,652,3023,629,3009,610,2988,597,2963,592xe" filled="true" fillcolor="#dee6f5" stroked="false">
              <v:path arrowok="t"/>
              <v:fill type="solid"/>
            </v:shape>
            <v:shape style="position:absolute;left:2402;top:612;width:606;height:2393" coordorigin="2403,613" coordsize="606,2393" path="m2943,613l2468,613,2443,617,2422,630,2408,649,2403,673,2403,2945,2408,2969,2422,2988,2443,3001,2468,3005,2943,3005,2968,3001,2989,2988,3003,2969,3008,2945,3008,673,3003,649,2989,630,2968,617,2943,613xe" filled="true" fillcolor="#dce5f4" stroked="false">
              <v:path arrowok="t"/>
              <v:fill type="solid"/>
            </v:shape>
            <v:shape style="position:absolute;left:2424;top:633;width:564;height:2352" coordorigin="2425,633" coordsize="564,2352" path="m2923,633l2490,633,2465,638,2444,651,2430,670,2425,693,2425,2925,2430,2948,2444,2967,2465,2980,2490,2985,2923,2985,2948,2980,2969,2967,2983,2948,2988,2925,2988,693,2983,670,2969,651,2948,638,2923,633xe" filled="true" fillcolor="#dae3f3" stroked="false">
              <v:path arrowok="t"/>
              <v:fill type="solid"/>
            </v:shape>
            <v:shape style="position:absolute;left:2446;top:654;width:522;height:2310" coordorigin="2447,654" coordsize="522,2310" path="m2903,654l2512,654,2487,659,2466,672,2452,691,2447,714,2447,2904,2452,2927,2466,2946,2487,2959,2512,2964,2903,2964,2928,2959,2949,2946,2963,2927,2968,2904,2968,714,2963,691,2949,672,2928,659,2903,654xe" filled="true" fillcolor="#d7e1f3" stroked="false">
              <v:path arrowok="t"/>
              <v:fill type="solid"/>
            </v:shape>
            <v:shape style="position:absolute;left:2468;top:675;width:480;height:2269" coordorigin="2469,675" coordsize="480,2269" path="m2883,675l2534,675,2509,680,2488,693,2474,712,2469,735,2469,2883,2474,2906,2488,2925,2509,2938,2534,2943,2883,2943,2908,2938,2929,2925,2943,2906,2948,2883,2948,735,2943,712,2929,693,2908,680,2883,675xe" filled="true" fillcolor="#d5e0f2" stroked="false">
              <v:path arrowok="t"/>
              <v:fill type="solid"/>
            </v:shape>
            <v:shape style="position:absolute;left:2490;top:695;width:438;height:2227" coordorigin="2491,696" coordsize="438,2227" path="m2863,696l2556,696,2530,700,2510,713,2496,732,2491,756,2491,2862,2496,2886,2510,2905,2530,2918,2556,2922,2863,2922,2888,2918,2909,2905,2923,2886,2928,2862,2928,756,2923,732,2909,713,2888,700,2863,696xe" filled="true" fillcolor="#d2def1" stroked="false">
              <v:path arrowok="t"/>
              <v:fill type="solid"/>
            </v:shape>
            <v:shape style="position:absolute;left:2512;top:716;width:396;height:2186" coordorigin="2513,717" coordsize="396,2186" path="m2843,717l2578,717,2553,721,2532,734,2518,753,2513,777,2513,2842,2518,2865,2532,2884,2553,2897,2578,2902,2843,2902,2868,2897,2889,2884,2903,2865,2908,2842,2908,777,2903,753,2889,734,2868,721,2843,717xe" filled="true" fillcolor="#d0dcf1" stroked="false">
              <v:path arrowok="t"/>
              <v:fill type="solid"/>
            </v:shape>
            <v:shape style="position:absolute;left:2534;top:737;width:354;height:2144" coordorigin="2535,737" coordsize="354,2144" path="m2823,737l2600,737,2574,742,2554,755,2540,774,2535,797,2535,2821,2540,2844,2554,2863,2574,2876,2600,2881,2823,2881,2848,2876,2869,2863,2883,2844,2888,2821,2888,797,2883,774,2869,755,2848,742,2823,737xe" filled="true" fillcolor="#cedbf0" stroked="false">
              <v:path arrowok="t"/>
              <v:fill type="solid"/>
            </v:shape>
            <v:shape style="position:absolute;left:2556;top:758;width:312;height:2102" coordorigin="2557,758" coordsize="312,2102" path="m2803,758l2622,758,2596,763,2576,776,2562,795,2557,818,2557,2800,2562,2823,2576,2842,2596,2855,2622,2860,2803,2860,2828,2855,2849,2842,2863,2823,2868,2800,2868,818,2863,795,2849,776,2828,763,2803,758xe" filled="true" fillcolor="#cbd9ef" stroked="false">
              <v:path arrowok="t"/>
              <v:fill type="solid"/>
            </v:shape>
            <v:shape style="position:absolute;left:2578;top:778;width:270;height:2061" coordorigin="2579,779" coordsize="270,2061" path="m2783,779l2644,779,2618,784,2598,796,2584,815,2579,839,2579,2779,2584,2803,2598,2822,2618,2835,2644,2839,2783,2839,2808,2835,2829,2822,2843,2803,2848,2779,2848,839,2843,815,2829,796,2808,784,2783,779xe" filled="true" fillcolor="#c9d8ef" stroked="false">
              <v:path arrowok="t"/>
              <v:fill type="solid"/>
            </v:shape>
            <v:shape style="position:absolute;left:2600;top:799;width:227;height:2019" coordorigin="2601,800" coordsize="227,2019" path="m2763,800l2666,800,2640,804,2620,817,2606,836,2601,860,2601,2759,2606,2782,2620,2801,2640,2814,2666,2819,2763,2819,2788,2814,2809,2801,2823,2782,2828,2759,2828,860,2823,836,2809,817,2788,804,2763,800xe" filled="true" fillcolor="#c7d6ee" stroked="false">
              <v:path arrowok="t"/>
              <v:fill type="solid"/>
            </v:shape>
            <v:shape style="position:absolute;left:1575;top:650;width:882;height:2404" coordorigin="1576,651" coordsize="882,2404" path="m2442,651l1587,651,1586,699,1582,810,1579,932,1577,1014,1577,1069,1576,1136,1576,1220,1576,1324,1576,1428,1577,1524,1579,1601,1582,1649,1585,1685,1587,1744,1590,1819,1591,1907,1592,2001,1593,2098,1592,2193,1591,2280,1590,2356,1587,2414,1582,2514,1580,2614,1582,2774,1587,3054,1702,3054,1708,3017,1742,2934,1833,2843,2007,2784,2181,2765,2441,2765,2438,2677,2442,2534,2447,2469,2452,2392,2455,2305,2457,2214,2457,2123,2455,2036,2450,1958,2442,1894,2436,1840,2431,1770,2428,1687,2427,1601,2427,1500,2428,1402,2431,1307,2434,1217,2438,1136,2442,1069,2451,950,2453,866,2451,780,2442,651xm2441,2765l2181,2765,2275,2786,2319,2871,2347,3044,2457,3044,2453,2985,2444,2845,2441,2765xe" filled="true" fillcolor="#f9b5b2" stroked="false">
              <v:path arrowok="t"/>
              <v:fill type="solid"/>
            </v:shape>
            <v:shape style="position:absolute;left:1575;top:650;width:882;height:2404" coordorigin="1576,651" coordsize="882,2404" path="m1587,651l2442,651,2451,780,2453,866,2451,950,2442,1069,2438,1136,2434,1217,2431,1307,2428,1402,2427,1500,2427,1596,2428,1687,2431,1770,2436,1840,2442,1894,2450,1958,2455,2036,2457,2123,2457,2214,2455,2305,2452,2392,2447,2469,2442,2534,2438,2677,2444,2845,2453,2985,2457,3044,2347,3044,2319,2871,2275,2786,2181,2765,2007,2784,1833,2843,1742,2934,1708,3017,1702,3054,1587,3054,1582,2774,1580,2614,1582,2514,1587,2414,1590,2356,1591,2280,1592,2193,1593,2098,1592,2001,1591,1907,1590,1819,1587,1744,1582,1649,1579,1601,1577,1524,1576,1428,1576,1324,1576,1220,1577,1127,1577,1055,1577,1014,1579,932,1582,810,1586,699,1587,651xe" filled="false" stroked="true" strokeweight=".5pt" strokecolor="#b7705b">
              <v:path arrowok="t"/>
              <v:stroke dashstyle="solid"/>
            </v:shape>
            <v:shape style="position:absolute;left:1587;top:403;width:855;height:247" coordorigin="1587,404" coordsize="855,247" path="m2037,404l1920,412,1824,434,1746,465,1685,504,1640,545,1610,585,1593,622,1587,651,1850,651,1865,649,1869,646,1865,637,1850,621,1829,601,1809,581,1797,560,1800,539,1827,515,1881,493,1955,476,2043,470,2314,470,2253,439,2157,413,2037,404xm2314,470l2043,470,2127,479,2199,503,2252,533,2282,562,2298,595,2305,623,2307,643,2307,651,2442,651,2436,612,2416,567,2380,520,2326,476,2314,470xe" filled="true" fillcolor="#fabfb7" stroked="false">
              <v:path arrowok="t"/>
              <v:fill type="solid"/>
            </v:shape>
            <v:shape style="position:absolute;left:1587;top:403;width:855;height:247" coordorigin="1587,404" coordsize="855,247" path="m1587,651l1850,651,1865,649,1869,646,1865,637,1850,621,1829,601,1809,581,1797,560,1800,539,1827,515,1881,493,1955,476,2043,470,2127,479,2199,503,2252,533,2298,595,2307,651,2442,651,2416,567,2326,476,2253,439,2157,413,2037,404,1920,412,1824,434,1746,465,1685,504,1640,545,1593,622,1587,651xe" filled="false" stroked="true" strokeweight=".5pt" strokecolor="#b7705b">
              <v:path arrowok="t"/>
              <v:stroke dashstyle="solid"/>
            </v:shape>
            <v:shape style="position:absolute;left:1689;top:469;width:658;height:2576" type="#_x0000_t75" stroked="false">
              <v:imagedata r:id="rId466" o:title=""/>
            </v:shape>
            <v:shape style="position:absolute;left:1587;top:464;width:3529;height:2686" type="#_x0000_t75" stroked="false">
              <v:imagedata r:id="rId467" o:title=""/>
            </v:shape>
            <v:shape style="position:absolute;left:0;top:14002;width:1880;height:535" coordorigin="0,14002" coordsize="1880,535" path="m2973,492l2973,-43m3193,492l3193,-43m4852,492l4852,-43e" filled="false" stroked="true" strokeweight=".75pt" strokecolor="#231f20">
              <v:path arrowok="t"/>
              <v:stroke dashstyle="shortdash"/>
            </v:shape>
            <w10:wrap type="none"/>
          </v:group>
        </w:pict>
      </w:r>
      <w:r>
        <w:rPr>
          <w:rFonts w:ascii="Helvetica"/>
          <w:color w:val="231F20"/>
          <w:sz w:val="16"/>
        </w:rPr>
        <w:t>Peritubular</w:t>
      </w:r>
      <w:r>
        <w:rPr>
          <w:rFonts w:ascii="Helvetica"/>
          <w:color w:val="231F20"/>
          <w:w w:val="99"/>
          <w:sz w:val="16"/>
        </w:rPr>
        <w:t> </w:t>
      </w:r>
      <w:r>
        <w:rPr>
          <w:rFonts w:ascii="Helvetica"/>
          <w:color w:val="231F20"/>
          <w:sz w:val="16"/>
        </w:rPr>
        <w:t>capillary</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spacing w:before="134"/>
        <w:ind w:left="49" w:right="0" w:firstLine="0"/>
        <w:jc w:val="left"/>
        <w:rPr>
          <w:rFonts w:ascii="Helvetica"/>
          <w:b/>
          <w:sz w:val="12"/>
        </w:rPr>
      </w:pPr>
      <w:r>
        <w:rPr>
          <w:rFonts w:ascii="Helvetica"/>
          <w:b/>
          <w:color w:val="231F20"/>
          <w:sz w:val="16"/>
        </w:rPr>
        <w:t>Na</w:t>
      </w:r>
      <w:r>
        <w:rPr>
          <w:rFonts w:ascii="Helvetica"/>
          <w:b/>
          <w:color w:val="231F20"/>
          <w:position w:val="5"/>
          <w:sz w:val="12"/>
        </w:rPr>
        <w:t>+</w:t>
      </w:r>
    </w:p>
    <w:p>
      <w:pPr>
        <w:pStyle w:val="BodyText"/>
        <w:rPr>
          <w:rFonts w:ascii="Helvetica"/>
          <w:b/>
          <w:sz w:val="17"/>
        </w:rPr>
      </w:pPr>
      <w:r>
        <w:rPr/>
        <w:br w:type="column"/>
      </w:r>
      <w:r>
        <w:rPr>
          <w:rFonts w:ascii="Helvetica"/>
          <w:b/>
          <w:sz w:val="17"/>
        </w:rPr>
      </w:r>
    </w:p>
    <w:p>
      <w:pPr>
        <w:spacing w:line="235" w:lineRule="auto" w:before="0"/>
        <w:ind w:left="719" w:right="-20" w:firstLine="226"/>
        <w:jc w:val="left"/>
        <w:rPr>
          <w:rFonts w:ascii="Helvetica"/>
          <w:sz w:val="16"/>
        </w:rPr>
      </w:pPr>
      <w:r>
        <w:rPr>
          <w:rFonts w:ascii="Helvetica"/>
          <w:color w:val="231F20"/>
          <w:sz w:val="16"/>
        </w:rPr>
        <w:t>Tubular epithelial cells</w:t>
      </w:r>
    </w:p>
    <w:p>
      <w:pPr>
        <w:pStyle w:val="BodyText"/>
        <w:rPr>
          <w:rFonts w:ascii="Helvetica"/>
          <w:sz w:val="18"/>
        </w:rPr>
      </w:pPr>
    </w:p>
    <w:p>
      <w:pPr>
        <w:pStyle w:val="BodyText"/>
        <w:spacing w:before="1"/>
        <w:rPr>
          <w:rFonts w:ascii="Helvetica"/>
          <w:sz w:val="24"/>
        </w:rPr>
      </w:pPr>
    </w:p>
    <w:p>
      <w:pPr>
        <w:spacing w:line="523" w:lineRule="auto" w:before="1"/>
        <w:ind w:left="1108" w:right="112" w:firstLine="201"/>
        <w:jc w:val="left"/>
        <w:rPr>
          <w:rFonts w:ascii="Helvetica"/>
          <w:sz w:val="16"/>
        </w:rPr>
      </w:pPr>
      <w:r>
        <w:rPr>
          <w:rFonts w:ascii="Helvetica"/>
          <w:color w:val="231F20"/>
          <w:sz w:val="16"/>
        </w:rPr>
        <w:t>Na</w:t>
      </w:r>
      <w:r>
        <w:rPr>
          <w:rFonts w:ascii="Helvetica"/>
          <w:color w:val="231F20"/>
          <w:position w:val="5"/>
          <w:sz w:val="12"/>
        </w:rPr>
        <w:t>+ </w:t>
      </w:r>
      <w:r>
        <w:rPr>
          <w:rFonts w:ascii="Helvetica"/>
          <w:color w:val="231F20"/>
          <w:sz w:val="16"/>
        </w:rPr>
        <w:t>ATP</w:t>
      </w:r>
    </w:p>
    <w:p>
      <w:pPr>
        <w:tabs>
          <w:tab w:pos="1035" w:val="left" w:leader="none"/>
        </w:tabs>
        <w:spacing w:line="184" w:lineRule="auto" w:before="52"/>
        <w:ind w:left="1130" w:right="397" w:hanging="686"/>
        <w:jc w:val="left"/>
        <w:rPr>
          <w:rFonts w:ascii="Helvetica"/>
          <w:b/>
          <w:sz w:val="12"/>
        </w:rPr>
      </w:pPr>
      <w:r>
        <w:rPr>
          <w:rFonts w:ascii="Helvetica"/>
          <w:color w:val="231F20"/>
          <w:sz w:val="16"/>
        </w:rPr>
        <w:t>ATP</w:t>
        <w:tab/>
      </w:r>
      <w:r>
        <w:rPr>
          <w:rFonts w:ascii="Helvetica"/>
          <w:b/>
          <w:color w:val="231F20"/>
          <w:position w:val="5"/>
          <w:sz w:val="16"/>
        </w:rPr>
        <w:t>K</w:t>
      </w:r>
      <w:r>
        <w:rPr>
          <w:rFonts w:ascii="Helvetica"/>
          <w:b/>
          <w:color w:val="231F20"/>
          <w:position w:val="10"/>
          <w:sz w:val="12"/>
        </w:rPr>
        <w:t>+ </w:t>
      </w:r>
      <w:r>
        <w:rPr>
          <w:rFonts w:ascii="Helvetica"/>
          <w:b/>
          <w:color w:val="231F20"/>
          <w:position w:val="-4"/>
          <w:sz w:val="16"/>
        </w:rPr>
        <w:t>K</w:t>
      </w:r>
      <w:r>
        <w:rPr>
          <w:rFonts w:ascii="Helvetica"/>
          <w:b/>
          <w:color w:val="231F20"/>
          <w:sz w:val="12"/>
        </w:rPr>
        <w:t>+</w:t>
      </w:r>
    </w:p>
    <w:p>
      <w:pPr>
        <w:spacing w:before="71"/>
        <w:ind w:left="942" w:right="0" w:firstLine="0"/>
        <w:jc w:val="left"/>
        <w:rPr>
          <w:rFonts w:ascii="Helvetica" w:hAnsi="Helvetica"/>
          <w:sz w:val="16"/>
        </w:rPr>
      </w:pPr>
      <w:r>
        <w:rPr>
          <w:rFonts w:ascii="Helvetica" w:hAnsi="Helvetica"/>
          <w:color w:val="231F20"/>
          <w:sz w:val="16"/>
        </w:rPr>
        <w:t>(–70 mV)</w:t>
      </w:r>
    </w:p>
    <w:p>
      <w:pPr>
        <w:pStyle w:val="BodyText"/>
        <w:rPr>
          <w:rFonts w:ascii="Helvetica"/>
          <w:sz w:val="18"/>
        </w:rPr>
      </w:pPr>
    </w:p>
    <w:p>
      <w:pPr>
        <w:spacing w:line="235" w:lineRule="auto" w:before="115"/>
        <w:ind w:left="864" w:right="191" w:firstLine="0"/>
        <w:jc w:val="left"/>
        <w:rPr>
          <w:rFonts w:ascii="Helvetica"/>
          <w:sz w:val="16"/>
        </w:rPr>
      </w:pPr>
      <w:r>
        <w:rPr>
          <w:rFonts w:ascii="Helvetica"/>
          <w:color w:val="231F20"/>
          <w:sz w:val="16"/>
        </w:rPr>
        <w:t>Basal channels</w:t>
      </w:r>
    </w:p>
    <w:p>
      <w:pPr>
        <w:pStyle w:val="BodyText"/>
        <w:rPr>
          <w:rFonts w:ascii="Helvetica"/>
          <w:sz w:val="17"/>
        </w:rPr>
      </w:pPr>
      <w:r>
        <w:rPr/>
        <w:br w:type="column"/>
      </w:r>
      <w:r>
        <w:rPr>
          <w:rFonts w:ascii="Helvetica"/>
          <w:sz w:val="17"/>
        </w:rPr>
      </w:r>
    </w:p>
    <w:p>
      <w:pPr>
        <w:spacing w:line="235" w:lineRule="auto" w:before="0"/>
        <w:ind w:left="679" w:right="224" w:hanging="54"/>
        <w:jc w:val="left"/>
        <w:rPr>
          <w:rFonts w:ascii="Helvetica"/>
          <w:sz w:val="16"/>
        </w:rPr>
      </w:pPr>
      <w:r>
        <w:rPr>
          <w:rFonts w:ascii="Helvetica"/>
          <w:color w:val="231F20"/>
          <w:sz w:val="16"/>
        </w:rPr>
        <w:t>Tubular lumen</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16"/>
        <w:ind w:left="493" w:right="0" w:firstLine="0"/>
        <w:jc w:val="left"/>
        <w:rPr>
          <w:rFonts w:ascii="Helvetica"/>
          <w:b/>
          <w:sz w:val="12"/>
        </w:rPr>
      </w:pPr>
      <w:r>
        <w:rPr>
          <w:rFonts w:ascii="Helvetica"/>
          <w:b/>
          <w:color w:val="231F20"/>
          <w:sz w:val="16"/>
        </w:rPr>
        <w:t>Na</w:t>
      </w:r>
      <w:r>
        <w:rPr>
          <w:rFonts w:ascii="Helvetica"/>
          <w:b/>
          <w:color w:val="231F20"/>
          <w:position w:val="5"/>
          <w:sz w:val="12"/>
        </w:rPr>
        <w:t>+</w:t>
      </w:r>
    </w:p>
    <w:p>
      <w:pPr>
        <w:pStyle w:val="BodyText"/>
        <w:spacing w:before="6"/>
        <w:rPr>
          <w:rFonts w:ascii="Helvetica"/>
          <w:b/>
          <w:sz w:val="18"/>
        </w:rPr>
      </w:pPr>
    </w:p>
    <w:p>
      <w:pPr>
        <w:spacing w:before="1"/>
        <w:ind w:left="459" w:right="0" w:firstLine="0"/>
        <w:jc w:val="left"/>
        <w:rPr>
          <w:rFonts w:ascii="Helvetica" w:hAnsi="Helvetica"/>
          <w:sz w:val="16"/>
        </w:rPr>
      </w:pPr>
      <w:r>
        <w:rPr>
          <w:rFonts w:ascii="Helvetica" w:hAnsi="Helvetica"/>
          <w:color w:val="231F20"/>
          <w:sz w:val="16"/>
        </w:rPr>
        <w:t>(–3 mV)</w:t>
      </w:r>
    </w:p>
    <w:p>
      <w:pPr>
        <w:pStyle w:val="BodyText"/>
        <w:spacing w:before="1"/>
        <w:rPr>
          <w:rFonts w:ascii="Helvetica"/>
          <w:sz w:val="23"/>
        </w:rPr>
      </w:pPr>
    </w:p>
    <w:p>
      <w:pPr>
        <w:spacing w:before="0"/>
        <w:ind w:left="459" w:right="0" w:firstLine="0"/>
        <w:jc w:val="left"/>
        <w:rPr>
          <w:rFonts w:ascii="Helvetica"/>
          <w:sz w:val="16"/>
        </w:rPr>
      </w:pPr>
      <w:r>
        <w:rPr>
          <w:rFonts w:ascii="Helvetica"/>
          <w:color w:val="231F20"/>
          <w:sz w:val="16"/>
        </w:rPr>
        <w:t>Tight junction</w:t>
      </w:r>
    </w:p>
    <w:p>
      <w:pPr>
        <w:spacing w:line="235" w:lineRule="auto" w:before="136"/>
        <w:ind w:left="316" w:right="151" w:firstLine="0"/>
        <w:jc w:val="left"/>
        <w:rPr>
          <w:rFonts w:ascii="Helvetica"/>
          <w:sz w:val="16"/>
        </w:rPr>
      </w:pPr>
      <w:r>
        <w:rPr>
          <w:rFonts w:ascii="Helvetica"/>
          <w:color w:val="231F20"/>
          <w:sz w:val="16"/>
        </w:rPr>
        <w:t>Brush border (luminal membrane)</w:t>
      </w:r>
    </w:p>
    <w:p>
      <w:pPr>
        <w:pStyle w:val="BodyText"/>
        <w:spacing w:line="249" w:lineRule="auto" w:before="100"/>
        <w:ind w:left="450" w:right="1077" w:firstLine="240"/>
        <w:jc w:val="both"/>
      </w:pPr>
      <w:r>
        <w:rPr/>
        <w:br w:type="column"/>
      </w:r>
      <w:r>
        <w:rPr>
          <w:color w:val="231F20"/>
          <w:w w:val="105"/>
        </w:rPr>
        <w:t>Thus, the net reabsorption of sodium ions from the tubular lumen back into the blood involves at least three</w:t>
      </w:r>
      <w:r>
        <w:rPr>
          <w:color w:val="231F20"/>
          <w:spacing w:val="3"/>
          <w:w w:val="105"/>
        </w:rPr>
        <w:t> </w:t>
      </w:r>
      <w:r>
        <w:rPr>
          <w:color w:val="231F20"/>
          <w:w w:val="105"/>
        </w:rPr>
        <w:t>steps:</w:t>
      </w:r>
    </w:p>
    <w:p>
      <w:pPr>
        <w:pStyle w:val="ListParagraph"/>
        <w:numPr>
          <w:ilvl w:val="2"/>
          <w:numId w:val="10"/>
        </w:numPr>
        <w:tabs>
          <w:tab w:pos="934" w:val="left" w:leader="none"/>
        </w:tabs>
        <w:spacing w:line="249" w:lineRule="auto" w:before="2" w:after="0"/>
        <w:ind w:left="933" w:right="1077" w:hanging="243"/>
        <w:jc w:val="both"/>
        <w:rPr>
          <w:sz w:val="20"/>
        </w:rPr>
      </w:pPr>
      <w:r>
        <w:rPr/>
        <w:pict>
          <v:shape style="position:absolute;margin-left:578.900024pt;margin-top:27.743261pt;width:15.9pt;height:53.35pt;mso-position-horizontal-relative:page;mso-position-vertical-relative:paragraph;z-index:25204736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sz w:val="20"/>
        </w:rPr>
        <w:t>Sodium</w:t>
      </w:r>
      <w:r>
        <w:rPr>
          <w:color w:val="231F20"/>
          <w:spacing w:val="-25"/>
          <w:w w:val="105"/>
          <w:sz w:val="20"/>
        </w:rPr>
        <w:t> </w:t>
      </w:r>
      <w:r>
        <w:rPr>
          <w:color w:val="231F20"/>
          <w:w w:val="105"/>
          <w:sz w:val="20"/>
        </w:rPr>
        <w:t>diffuses</w:t>
      </w:r>
      <w:r>
        <w:rPr>
          <w:color w:val="231F20"/>
          <w:spacing w:val="-24"/>
          <w:w w:val="105"/>
          <w:sz w:val="20"/>
        </w:rPr>
        <w:t> </w:t>
      </w:r>
      <w:r>
        <w:rPr>
          <w:color w:val="231F20"/>
          <w:w w:val="105"/>
          <w:sz w:val="20"/>
        </w:rPr>
        <w:t>across</w:t>
      </w:r>
      <w:r>
        <w:rPr>
          <w:color w:val="231F20"/>
          <w:spacing w:val="-24"/>
          <w:w w:val="105"/>
          <w:sz w:val="20"/>
        </w:rPr>
        <w:t> </w:t>
      </w:r>
      <w:r>
        <w:rPr>
          <w:color w:val="231F20"/>
          <w:w w:val="105"/>
          <w:sz w:val="20"/>
        </w:rPr>
        <w:t>the</w:t>
      </w:r>
      <w:r>
        <w:rPr>
          <w:color w:val="231F20"/>
          <w:spacing w:val="-25"/>
          <w:w w:val="105"/>
          <w:sz w:val="20"/>
        </w:rPr>
        <w:t> </w:t>
      </w:r>
      <w:r>
        <w:rPr>
          <w:color w:val="231F20"/>
          <w:w w:val="105"/>
          <w:sz w:val="20"/>
        </w:rPr>
        <w:t>luminal</w:t>
      </w:r>
      <w:r>
        <w:rPr>
          <w:color w:val="231F20"/>
          <w:spacing w:val="-25"/>
          <w:w w:val="105"/>
          <w:sz w:val="20"/>
        </w:rPr>
        <w:t> </w:t>
      </w:r>
      <w:r>
        <w:rPr>
          <w:color w:val="231F20"/>
          <w:w w:val="105"/>
          <w:sz w:val="20"/>
        </w:rPr>
        <w:t>membrane</w:t>
      </w:r>
      <w:r>
        <w:rPr>
          <w:color w:val="231F20"/>
          <w:spacing w:val="-25"/>
          <w:w w:val="105"/>
          <w:sz w:val="20"/>
        </w:rPr>
        <w:t> </w:t>
      </w:r>
      <w:r>
        <w:rPr>
          <w:color w:val="231F20"/>
          <w:spacing w:val="-3"/>
          <w:w w:val="105"/>
          <w:sz w:val="20"/>
        </w:rPr>
        <w:t>(also </w:t>
      </w:r>
      <w:r>
        <w:rPr>
          <w:color w:val="231F20"/>
          <w:w w:val="105"/>
          <w:sz w:val="20"/>
        </w:rPr>
        <w:t>called the </w:t>
      </w:r>
      <w:r>
        <w:rPr>
          <w:i/>
          <w:color w:val="231F20"/>
          <w:w w:val="105"/>
          <w:sz w:val="20"/>
        </w:rPr>
        <w:t>apical membrane</w:t>
      </w:r>
      <w:r>
        <w:rPr>
          <w:color w:val="231F20"/>
          <w:w w:val="105"/>
          <w:sz w:val="20"/>
        </w:rPr>
        <w:t>) into the cell down</w:t>
      </w:r>
      <w:r>
        <w:rPr>
          <w:color w:val="231F20"/>
          <w:spacing w:val="-22"/>
          <w:w w:val="105"/>
          <w:sz w:val="20"/>
        </w:rPr>
        <w:t> </w:t>
      </w:r>
      <w:r>
        <w:rPr>
          <w:color w:val="231F20"/>
          <w:w w:val="105"/>
          <w:sz w:val="20"/>
        </w:rPr>
        <w:t>an electrochemical</w:t>
      </w:r>
      <w:r>
        <w:rPr>
          <w:color w:val="231F20"/>
          <w:spacing w:val="-35"/>
          <w:w w:val="105"/>
          <w:sz w:val="20"/>
        </w:rPr>
        <w:t> </w:t>
      </w:r>
      <w:r>
        <w:rPr>
          <w:color w:val="231F20"/>
          <w:w w:val="105"/>
          <w:sz w:val="20"/>
        </w:rPr>
        <w:t>gradient</w:t>
      </w:r>
      <w:r>
        <w:rPr>
          <w:color w:val="231F20"/>
          <w:spacing w:val="-35"/>
          <w:w w:val="105"/>
          <w:sz w:val="20"/>
        </w:rPr>
        <w:t> </w:t>
      </w:r>
      <w:r>
        <w:rPr>
          <w:color w:val="231F20"/>
          <w:w w:val="105"/>
          <w:sz w:val="20"/>
        </w:rPr>
        <w:t>established</w:t>
      </w:r>
      <w:r>
        <w:rPr>
          <w:color w:val="231F20"/>
          <w:spacing w:val="-34"/>
          <w:w w:val="105"/>
          <w:sz w:val="20"/>
        </w:rPr>
        <w:t> </w:t>
      </w:r>
      <w:r>
        <w:rPr>
          <w:color w:val="231F20"/>
          <w:w w:val="105"/>
          <w:sz w:val="20"/>
        </w:rPr>
        <w:t>by</w:t>
      </w:r>
      <w:r>
        <w:rPr>
          <w:color w:val="231F20"/>
          <w:spacing w:val="-35"/>
          <w:w w:val="105"/>
          <w:sz w:val="20"/>
        </w:rPr>
        <w:t> </w:t>
      </w:r>
      <w:r>
        <w:rPr>
          <w:color w:val="231F20"/>
          <w:w w:val="105"/>
          <w:sz w:val="20"/>
        </w:rPr>
        <w:t>the</w:t>
      </w:r>
      <w:r>
        <w:rPr>
          <w:color w:val="231F20"/>
          <w:spacing w:val="-35"/>
          <w:w w:val="105"/>
          <w:sz w:val="20"/>
        </w:rPr>
        <w:t> </w:t>
      </w:r>
      <w:r>
        <w:rPr>
          <w:color w:val="231F20"/>
          <w:w w:val="105"/>
          <w:sz w:val="20"/>
        </w:rPr>
        <w:t>sodium- potassium</w:t>
      </w:r>
      <w:r>
        <w:rPr>
          <w:color w:val="231F20"/>
          <w:spacing w:val="-8"/>
          <w:w w:val="105"/>
          <w:sz w:val="20"/>
        </w:rPr>
        <w:t> </w:t>
      </w:r>
      <w:r>
        <w:rPr>
          <w:color w:val="231F20"/>
          <w:w w:val="105"/>
          <w:sz w:val="20"/>
        </w:rPr>
        <w:t>ATPase</w:t>
      </w:r>
      <w:r>
        <w:rPr>
          <w:color w:val="231F20"/>
          <w:spacing w:val="-8"/>
          <w:w w:val="105"/>
          <w:sz w:val="20"/>
        </w:rPr>
        <w:t> </w:t>
      </w:r>
      <w:r>
        <w:rPr>
          <w:color w:val="231F20"/>
          <w:w w:val="105"/>
          <w:sz w:val="20"/>
        </w:rPr>
        <w:t>pump</w:t>
      </w:r>
      <w:r>
        <w:rPr>
          <w:color w:val="231F20"/>
          <w:spacing w:val="-7"/>
          <w:w w:val="105"/>
          <w:sz w:val="20"/>
        </w:rPr>
        <w:t> </w:t>
      </w:r>
      <w:r>
        <w:rPr>
          <w:color w:val="231F20"/>
          <w:w w:val="105"/>
          <w:sz w:val="20"/>
        </w:rPr>
        <w:t>on</w:t>
      </w:r>
      <w:r>
        <w:rPr>
          <w:color w:val="231F20"/>
          <w:spacing w:val="-8"/>
          <w:w w:val="105"/>
          <w:sz w:val="20"/>
        </w:rPr>
        <w:t> </w:t>
      </w:r>
      <w:r>
        <w:rPr>
          <w:color w:val="231F20"/>
          <w:w w:val="105"/>
          <w:sz w:val="20"/>
        </w:rPr>
        <w:t>the</w:t>
      </w:r>
      <w:r>
        <w:rPr>
          <w:color w:val="231F20"/>
          <w:spacing w:val="-7"/>
          <w:w w:val="105"/>
          <w:sz w:val="20"/>
        </w:rPr>
        <w:t> </w:t>
      </w:r>
      <w:r>
        <w:rPr>
          <w:color w:val="231F20"/>
          <w:w w:val="105"/>
          <w:sz w:val="20"/>
        </w:rPr>
        <w:t>basolateral</w:t>
      </w:r>
      <w:r>
        <w:rPr>
          <w:color w:val="231F20"/>
          <w:spacing w:val="-8"/>
          <w:w w:val="105"/>
          <w:sz w:val="20"/>
        </w:rPr>
        <w:t> </w:t>
      </w:r>
      <w:r>
        <w:rPr>
          <w:color w:val="231F20"/>
          <w:w w:val="105"/>
          <w:sz w:val="20"/>
        </w:rPr>
        <w:t>side</w:t>
      </w:r>
      <w:r>
        <w:rPr>
          <w:color w:val="231F20"/>
          <w:spacing w:val="-7"/>
          <w:w w:val="105"/>
          <w:sz w:val="20"/>
        </w:rPr>
        <w:t> of </w:t>
      </w:r>
      <w:r>
        <w:rPr>
          <w:color w:val="231F20"/>
          <w:w w:val="105"/>
          <w:sz w:val="20"/>
        </w:rPr>
        <w:t>the</w:t>
      </w:r>
      <w:r>
        <w:rPr>
          <w:color w:val="231F20"/>
          <w:spacing w:val="3"/>
          <w:w w:val="105"/>
          <w:sz w:val="20"/>
        </w:rPr>
        <w:t> </w:t>
      </w:r>
      <w:r>
        <w:rPr>
          <w:color w:val="231F20"/>
          <w:w w:val="105"/>
          <w:sz w:val="20"/>
        </w:rPr>
        <w:t>membrane.</w:t>
      </w:r>
    </w:p>
    <w:p>
      <w:pPr>
        <w:pStyle w:val="ListParagraph"/>
        <w:numPr>
          <w:ilvl w:val="2"/>
          <w:numId w:val="10"/>
        </w:numPr>
        <w:tabs>
          <w:tab w:pos="934" w:val="left" w:leader="none"/>
        </w:tabs>
        <w:spacing w:line="249" w:lineRule="auto" w:before="4" w:after="0"/>
        <w:ind w:left="933" w:right="1079" w:hanging="243"/>
        <w:jc w:val="both"/>
        <w:rPr>
          <w:sz w:val="20"/>
        </w:rPr>
      </w:pPr>
      <w:r>
        <w:rPr>
          <w:color w:val="231F20"/>
          <w:w w:val="105"/>
          <w:sz w:val="20"/>
        </w:rPr>
        <w:t>Sodium</w:t>
      </w:r>
      <w:r>
        <w:rPr>
          <w:color w:val="231F20"/>
          <w:spacing w:val="-7"/>
          <w:w w:val="105"/>
          <w:sz w:val="20"/>
        </w:rPr>
        <w:t> </w:t>
      </w:r>
      <w:r>
        <w:rPr>
          <w:color w:val="231F20"/>
          <w:w w:val="105"/>
          <w:sz w:val="20"/>
        </w:rPr>
        <w:t>is</w:t>
      </w:r>
      <w:r>
        <w:rPr>
          <w:color w:val="231F20"/>
          <w:spacing w:val="-7"/>
          <w:w w:val="105"/>
          <w:sz w:val="20"/>
        </w:rPr>
        <w:t> </w:t>
      </w:r>
      <w:r>
        <w:rPr>
          <w:color w:val="231F20"/>
          <w:w w:val="105"/>
          <w:sz w:val="20"/>
        </w:rPr>
        <w:t>transported</w:t>
      </w:r>
      <w:r>
        <w:rPr>
          <w:color w:val="231F20"/>
          <w:spacing w:val="-6"/>
          <w:w w:val="105"/>
          <w:sz w:val="20"/>
        </w:rPr>
        <w:t> </w:t>
      </w:r>
      <w:r>
        <w:rPr>
          <w:color w:val="231F20"/>
          <w:w w:val="105"/>
          <w:sz w:val="20"/>
        </w:rPr>
        <w:t>across</w:t>
      </w:r>
      <w:r>
        <w:rPr>
          <w:color w:val="231F20"/>
          <w:spacing w:val="-6"/>
          <w:w w:val="105"/>
          <w:sz w:val="20"/>
        </w:rPr>
        <w:t> </w:t>
      </w:r>
      <w:r>
        <w:rPr>
          <w:color w:val="231F20"/>
          <w:w w:val="105"/>
          <w:sz w:val="20"/>
        </w:rPr>
        <w:t>the</w:t>
      </w:r>
      <w:r>
        <w:rPr>
          <w:color w:val="231F20"/>
          <w:spacing w:val="-7"/>
          <w:w w:val="105"/>
          <w:sz w:val="20"/>
        </w:rPr>
        <w:t> </w:t>
      </w:r>
      <w:r>
        <w:rPr>
          <w:color w:val="231F20"/>
          <w:w w:val="105"/>
          <w:sz w:val="20"/>
        </w:rPr>
        <w:t>basolateral</w:t>
      </w:r>
      <w:r>
        <w:rPr>
          <w:color w:val="231F20"/>
          <w:spacing w:val="-8"/>
          <w:w w:val="105"/>
          <w:sz w:val="20"/>
        </w:rPr>
        <w:t> </w:t>
      </w:r>
      <w:r>
        <w:rPr>
          <w:color w:val="231F20"/>
          <w:spacing w:val="-3"/>
          <w:w w:val="105"/>
          <w:sz w:val="20"/>
        </w:rPr>
        <w:t>mem- </w:t>
      </w:r>
      <w:r>
        <w:rPr>
          <w:color w:val="231F20"/>
          <w:w w:val="105"/>
          <w:sz w:val="20"/>
        </w:rPr>
        <w:t>brane against an electrochemical gradient by </w:t>
      </w:r>
      <w:r>
        <w:rPr>
          <w:color w:val="231F20"/>
          <w:spacing w:val="-7"/>
          <w:w w:val="105"/>
          <w:sz w:val="20"/>
        </w:rPr>
        <w:t>the </w:t>
      </w:r>
      <w:r>
        <w:rPr>
          <w:color w:val="231F20"/>
          <w:w w:val="105"/>
          <w:sz w:val="20"/>
        </w:rPr>
        <w:t>sodium-potassium ATPase</w:t>
      </w:r>
      <w:r>
        <w:rPr>
          <w:color w:val="231F20"/>
          <w:spacing w:val="3"/>
          <w:w w:val="105"/>
          <w:sz w:val="20"/>
        </w:rPr>
        <w:t> </w:t>
      </w:r>
      <w:r>
        <w:rPr>
          <w:color w:val="231F20"/>
          <w:w w:val="105"/>
          <w:sz w:val="20"/>
        </w:rPr>
        <w:t>pump.</w:t>
      </w:r>
    </w:p>
    <w:p>
      <w:pPr>
        <w:pStyle w:val="ListParagraph"/>
        <w:numPr>
          <w:ilvl w:val="2"/>
          <w:numId w:val="10"/>
        </w:numPr>
        <w:tabs>
          <w:tab w:pos="934" w:val="left" w:leader="none"/>
        </w:tabs>
        <w:spacing w:line="249" w:lineRule="auto" w:before="3" w:after="0"/>
        <w:ind w:left="933" w:right="1079" w:hanging="243"/>
        <w:jc w:val="both"/>
        <w:rPr>
          <w:sz w:val="20"/>
        </w:rPr>
      </w:pPr>
      <w:r>
        <w:rPr/>
        <w:pict>
          <v:rect style="position:absolute;margin-left:576pt;margin-top:8.135962pt;width:36pt;height:24pt;mso-position-horizontal-relative:page;mso-position-vertical-relative:paragraph;z-index:252045312" filled="true" fillcolor="#e8dac8" stroked="false">
            <v:fill type="solid"/>
            <w10:wrap type="none"/>
          </v:rect>
        </w:pict>
      </w:r>
      <w:r>
        <w:rPr>
          <w:color w:val="231F20"/>
          <w:w w:val="105"/>
          <w:sz w:val="20"/>
        </w:rPr>
        <w:t>Sodium,</w:t>
      </w:r>
      <w:r>
        <w:rPr>
          <w:color w:val="231F20"/>
          <w:spacing w:val="-24"/>
          <w:w w:val="105"/>
          <w:sz w:val="20"/>
        </w:rPr>
        <w:t> </w:t>
      </w:r>
      <w:r>
        <w:rPr>
          <w:color w:val="231F20"/>
          <w:spacing w:val="-3"/>
          <w:w w:val="105"/>
          <w:sz w:val="20"/>
        </w:rPr>
        <w:t>water,</w:t>
      </w:r>
      <w:r>
        <w:rPr>
          <w:color w:val="231F20"/>
          <w:spacing w:val="-24"/>
          <w:w w:val="105"/>
          <w:sz w:val="20"/>
        </w:rPr>
        <w:t> </w:t>
      </w:r>
      <w:r>
        <w:rPr>
          <w:color w:val="231F20"/>
          <w:w w:val="105"/>
          <w:sz w:val="20"/>
        </w:rPr>
        <w:t>and</w:t>
      </w:r>
      <w:r>
        <w:rPr>
          <w:color w:val="231F20"/>
          <w:spacing w:val="-24"/>
          <w:w w:val="105"/>
          <w:sz w:val="20"/>
        </w:rPr>
        <w:t> </w:t>
      </w:r>
      <w:r>
        <w:rPr>
          <w:color w:val="231F20"/>
          <w:w w:val="105"/>
          <w:sz w:val="20"/>
        </w:rPr>
        <w:t>other</w:t>
      </w:r>
      <w:r>
        <w:rPr>
          <w:color w:val="231F20"/>
          <w:spacing w:val="-24"/>
          <w:w w:val="105"/>
          <w:sz w:val="20"/>
        </w:rPr>
        <w:t> </w:t>
      </w:r>
      <w:r>
        <w:rPr>
          <w:color w:val="231F20"/>
          <w:w w:val="105"/>
          <w:sz w:val="20"/>
        </w:rPr>
        <w:t>substances</w:t>
      </w:r>
      <w:r>
        <w:rPr>
          <w:color w:val="231F20"/>
          <w:spacing w:val="-24"/>
          <w:w w:val="105"/>
          <w:sz w:val="20"/>
        </w:rPr>
        <w:t> </w:t>
      </w:r>
      <w:r>
        <w:rPr>
          <w:color w:val="231F20"/>
          <w:w w:val="105"/>
          <w:sz w:val="20"/>
        </w:rPr>
        <w:t>are</w:t>
      </w:r>
      <w:r>
        <w:rPr>
          <w:color w:val="231F20"/>
          <w:spacing w:val="-24"/>
          <w:w w:val="105"/>
          <w:sz w:val="20"/>
        </w:rPr>
        <w:t> </w:t>
      </w:r>
      <w:r>
        <w:rPr>
          <w:color w:val="231F20"/>
          <w:w w:val="105"/>
          <w:sz w:val="20"/>
        </w:rPr>
        <w:t>reabsorbed from</w:t>
      </w:r>
      <w:r>
        <w:rPr>
          <w:color w:val="231F20"/>
          <w:spacing w:val="-9"/>
          <w:w w:val="105"/>
          <w:sz w:val="20"/>
        </w:rPr>
        <w:t> </w:t>
      </w:r>
      <w:r>
        <w:rPr>
          <w:color w:val="231F20"/>
          <w:w w:val="105"/>
          <w:sz w:val="20"/>
        </w:rPr>
        <w:t>the</w:t>
      </w:r>
      <w:r>
        <w:rPr>
          <w:color w:val="231F20"/>
          <w:spacing w:val="-9"/>
          <w:w w:val="105"/>
          <w:sz w:val="20"/>
        </w:rPr>
        <w:t> </w:t>
      </w:r>
      <w:r>
        <w:rPr>
          <w:color w:val="231F20"/>
          <w:w w:val="105"/>
          <w:sz w:val="20"/>
        </w:rPr>
        <w:t>interstitial</w:t>
      </w:r>
      <w:r>
        <w:rPr>
          <w:color w:val="231F20"/>
          <w:spacing w:val="-10"/>
          <w:w w:val="105"/>
          <w:sz w:val="20"/>
        </w:rPr>
        <w:t> </w:t>
      </w:r>
      <w:r>
        <w:rPr>
          <w:color w:val="231F20"/>
          <w:w w:val="105"/>
          <w:sz w:val="20"/>
        </w:rPr>
        <w:t>fluid</w:t>
      </w:r>
      <w:r>
        <w:rPr>
          <w:color w:val="231F20"/>
          <w:spacing w:val="-9"/>
          <w:w w:val="105"/>
          <w:sz w:val="20"/>
        </w:rPr>
        <w:t> </w:t>
      </w:r>
      <w:r>
        <w:rPr>
          <w:color w:val="231F20"/>
          <w:w w:val="105"/>
          <w:sz w:val="20"/>
        </w:rPr>
        <w:t>into</w:t>
      </w:r>
      <w:r>
        <w:rPr>
          <w:color w:val="231F20"/>
          <w:spacing w:val="-8"/>
          <w:w w:val="105"/>
          <w:sz w:val="20"/>
        </w:rPr>
        <w:t> </w:t>
      </w:r>
      <w:r>
        <w:rPr>
          <w:color w:val="231F20"/>
          <w:w w:val="105"/>
          <w:sz w:val="20"/>
        </w:rPr>
        <w:t>the</w:t>
      </w:r>
      <w:r>
        <w:rPr>
          <w:color w:val="231F20"/>
          <w:spacing w:val="-9"/>
          <w:w w:val="105"/>
          <w:sz w:val="20"/>
        </w:rPr>
        <w:t> </w:t>
      </w:r>
      <w:r>
        <w:rPr>
          <w:color w:val="231F20"/>
          <w:w w:val="105"/>
          <w:sz w:val="20"/>
        </w:rPr>
        <w:t>peritubular</w:t>
      </w:r>
      <w:r>
        <w:rPr>
          <w:color w:val="231F20"/>
          <w:spacing w:val="-10"/>
          <w:w w:val="105"/>
          <w:sz w:val="20"/>
        </w:rPr>
        <w:t> </w:t>
      </w:r>
      <w:r>
        <w:rPr>
          <w:color w:val="231F20"/>
          <w:spacing w:val="-3"/>
          <w:w w:val="105"/>
          <w:sz w:val="20"/>
        </w:rPr>
        <w:t>capil-</w:t>
      </w:r>
    </w:p>
    <w:p>
      <w:pPr>
        <w:spacing w:after="0" w:line="249" w:lineRule="auto"/>
        <w:jc w:val="both"/>
        <w:rPr>
          <w:sz w:val="20"/>
        </w:rPr>
        <w:sectPr>
          <w:type w:val="continuous"/>
          <w:pgSz w:w="12240" w:h="15660"/>
          <w:pgMar w:top="0" w:bottom="760" w:left="0" w:right="0"/>
          <w:cols w:num="5" w:equalWidth="0">
            <w:col w:w="2419" w:space="40"/>
            <w:col w:w="325" w:space="39"/>
            <w:col w:w="1716" w:space="39"/>
            <w:col w:w="1412" w:space="40"/>
            <w:col w:w="6210"/>
          </w:cols>
        </w:sectPr>
      </w:pPr>
    </w:p>
    <w:p>
      <w:pPr>
        <w:spacing w:line="235" w:lineRule="auto" w:before="95"/>
        <w:ind w:left="1998" w:right="-19" w:hanging="196"/>
        <w:jc w:val="left"/>
        <w:rPr>
          <w:rFonts w:ascii="Helvetica"/>
          <w:sz w:val="16"/>
        </w:rPr>
      </w:pPr>
      <w:r>
        <w:rPr>
          <w:rFonts w:ascii="Helvetica"/>
          <w:color w:val="231F20"/>
          <w:sz w:val="16"/>
        </w:rPr>
        <w:t>Interstitial</w:t>
      </w:r>
      <w:r>
        <w:rPr>
          <w:rFonts w:ascii="Helvetica"/>
          <w:color w:val="231F20"/>
          <w:w w:val="99"/>
          <w:sz w:val="16"/>
        </w:rPr>
        <w:t> </w:t>
      </w:r>
      <w:r>
        <w:rPr>
          <w:rFonts w:ascii="Helvetica"/>
          <w:color w:val="231F20"/>
          <w:sz w:val="16"/>
        </w:rPr>
        <w:t>fluid</w:t>
      </w:r>
    </w:p>
    <w:p>
      <w:pPr>
        <w:spacing w:line="235" w:lineRule="auto" w:before="95"/>
        <w:ind w:left="171" w:right="-19" w:firstLine="22"/>
        <w:jc w:val="left"/>
        <w:rPr>
          <w:rFonts w:ascii="Helvetica"/>
          <w:sz w:val="16"/>
        </w:rPr>
      </w:pPr>
      <w:r>
        <w:rPr/>
        <w:br w:type="column"/>
      </w:r>
      <w:r>
        <w:rPr>
          <w:rFonts w:ascii="Helvetica"/>
          <w:color w:val="231F20"/>
          <w:sz w:val="16"/>
        </w:rPr>
        <w:t>Basement membrane</w:t>
      </w:r>
    </w:p>
    <w:p>
      <w:pPr>
        <w:spacing w:before="93"/>
        <w:ind w:left="555" w:right="0" w:firstLine="0"/>
        <w:jc w:val="left"/>
        <w:rPr>
          <w:rFonts w:ascii="Helvetica"/>
          <w:sz w:val="16"/>
        </w:rPr>
      </w:pPr>
      <w:r>
        <w:rPr/>
        <w:br w:type="column"/>
      </w:r>
      <w:r>
        <w:rPr>
          <w:rFonts w:ascii="Helvetica"/>
          <w:color w:val="231F20"/>
          <w:sz w:val="16"/>
        </w:rPr>
        <w:t>Intercellular space</w:t>
      </w:r>
    </w:p>
    <w:p>
      <w:pPr>
        <w:pStyle w:val="BodyText"/>
        <w:spacing w:line="249" w:lineRule="auto"/>
        <w:ind w:left="1564" w:right="1140"/>
      </w:pPr>
      <w:r>
        <w:rPr/>
        <w:br w:type="column"/>
      </w:r>
      <w:r>
        <w:rPr>
          <w:color w:val="231F20"/>
        </w:rPr>
        <w:t>laries by ultrafiltration, a passive  process  driven  by</w:t>
      </w:r>
      <w:r>
        <w:rPr>
          <w:color w:val="231F20"/>
          <w:spacing w:val="20"/>
        </w:rPr>
        <w:t> </w:t>
      </w:r>
      <w:r>
        <w:rPr>
          <w:color w:val="231F20"/>
        </w:rPr>
        <w:t>the</w:t>
      </w:r>
      <w:r>
        <w:rPr>
          <w:color w:val="231F20"/>
          <w:spacing w:val="21"/>
        </w:rPr>
        <w:t> </w:t>
      </w:r>
      <w:r>
        <w:rPr>
          <w:color w:val="231F20"/>
        </w:rPr>
        <w:t>hydrostatic</w:t>
      </w:r>
      <w:r>
        <w:rPr>
          <w:color w:val="231F20"/>
          <w:spacing w:val="21"/>
        </w:rPr>
        <w:t> </w:t>
      </w:r>
      <w:r>
        <w:rPr>
          <w:color w:val="231F20"/>
        </w:rPr>
        <w:t>and</w:t>
      </w:r>
      <w:r>
        <w:rPr>
          <w:color w:val="231F20"/>
          <w:spacing w:val="20"/>
        </w:rPr>
        <w:t> </w:t>
      </w:r>
      <w:r>
        <w:rPr>
          <w:color w:val="231F20"/>
        </w:rPr>
        <w:t>colloid</w:t>
      </w:r>
      <w:r>
        <w:rPr>
          <w:color w:val="231F20"/>
          <w:spacing w:val="21"/>
        </w:rPr>
        <w:t> </w:t>
      </w:r>
      <w:r>
        <w:rPr>
          <w:color w:val="231F20"/>
        </w:rPr>
        <w:t>osmotic</w:t>
      </w:r>
      <w:r>
        <w:rPr>
          <w:color w:val="231F20"/>
          <w:spacing w:val="21"/>
        </w:rPr>
        <w:t> </w:t>
      </w:r>
      <w:r>
        <w:rPr>
          <w:color w:val="231F20"/>
          <w:spacing w:val="-3"/>
        </w:rPr>
        <w:t>pressure</w:t>
      </w:r>
    </w:p>
    <w:p>
      <w:pPr>
        <w:spacing w:after="0" w:line="249" w:lineRule="auto"/>
        <w:sectPr>
          <w:type w:val="continuous"/>
          <w:pgSz w:w="12240" w:h="15660"/>
          <w:pgMar w:top="0" w:bottom="760" w:left="0" w:right="0"/>
          <w:cols w:num="4" w:equalWidth="0">
            <w:col w:w="2488" w:space="40"/>
            <w:col w:w="937" w:space="39"/>
            <w:col w:w="1854" w:space="40"/>
            <w:col w:w="6842"/>
          </w:cols>
        </w:sectPr>
      </w:pPr>
    </w:p>
    <w:p>
      <w:pPr>
        <w:spacing w:line="261" w:lineRule="auto" w:before="69"/>
        <w:ind w:left="1440" w:right="0" w:firstLine="0"/>
        <w:jc w:val="both"/>
        <w:rPr>
          <w:rFonts w:ascii="Arial" w:hAnsi="Arial"/>
          <w:sz w:val="16"/>
        </w:rPr>
      </w:pPr>
      <w:r>
        <w:rPr/>
        <w:pict>
          <v:group style="position:absolute;margin-left:0pt;margin-top:0pt;width:612pt;height:180pt;mso-position-horizontal-relative:page;mso-position-vertical-relative:page;z-index:-27336089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bookmarkStart w:name="_bookmark41" w:id="42"/>
      <w:bookmarkEnd w:id="42"/>
      <w:r>
        <w:rPr/>
      </w:r>
      <w:r>
        <w:rPr>
          <w:rFonts w:ascii="Trebuchet MS" w:hAnsi="Trebuchet MS"/>
          <w:b/>
          <w:color w:val="231F20"/>
          <w:sz w:val="16"/>
        </w:rPr>
        <w:t>Figure 28­2. </w:t>
      </w:r>
      <w:r>
        <w:rPr>
          <w:rFonts w:ascii="Arial" w:hAnsi="Arial"/>
          <w:color w:val="231F20"/>
          <w:sz w:val="16"/>
        </w:rPr>
        <w:t>Basic mechanism for active transport of </w:t>
      </w:r>
      <w:r>
        <w:rPr>
          <w:rFonts w:ascii="Arial" w:hAnsi="Arial"/>
          <w:color w:val="231F20"/>
          <w:spacing w:val="-3"/>
          <w:sz w:val="16"/>
        </w:rPr>
        <w:t>sodium </w:t>
      </w:r>
      <w:r>
        <w:rPr>
          <w:rFonts w:ascii="Arial" w:hAnsi="Arial"/>
          <w:color w:val="231F20"/>
          <w:sz w:val="16"/>
        </w:rPr>
        <w:t>through the tubular epithelial cell. The sodium-potassium </w:t>
      </w:r>
      <w:r>
        <w:rPr>
          <w:rFonts w:ascii="Arial" w:hAnsi="Arial"/>
          <w:color w:val="231F20"/>
          <w:spacing w:val="-4"/>
          <w:sz w:val="16"/>
        </w:rPr>
        <w:t>pump </w:t>
      </w:r>
      <w:r>
        <w:rPr>
          <w:rFonts w:ascii="Arial" w:hAnsi="Arial"/>
          <w:color w:val="231F20"/>
          <w:sz w:val="16"/>
        </w:rPr>
        <w:t>transports</w:t>
      </w:r>
      <w:r>
        <w:rPr>
          <w:rFonts w:ascii="Arial" w:hAnsi="Arial"/>
          <w:color w:val="231F20"/>
          <w:spacing w:val="-11"/>
          <w:sz w:val="16"/>
        </w:rPr>
        <w:t> </w:t>
      </w:r>
      <w:r>
        <w:rPr>
          <w:rFonts w:ascii="Arial" w:hAnsi="Arial"/>
          <w:color w:val="231F20"/>
          <w:sz w:val="16"/>
        </w:rPr>
        <w:t>sodium</w:t>
      </w:r>
      <w:r>
        <w:rPr>
          <w:rFonts w:ascii="Arial" w:hAnsi="Arial"/>
          <w:color w:val="231F20"/>
          <w:spacing w:val="-11"/>
          <w:sz w:val="16"/>
        </w:rPr>
        <w:t> </w:t>
      </w:r>
      <w:r>
        <w:rPr>
          <w:rFonts w:ascii="Arial" w:hAnsi="Arial"/>
          <w:color w:val="231F20"/>
          <w:sz w:val="16"/>
        </w:rPr>
        <w:t>from</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interior</w:t>
      </w:r>
      <w:r>
        <w:rPr>
          <w:rFonts w:ascii="Arial" w:hAnsi="Arial"/>
          <w:color w:val="231F20"/>
          <w:spacing w:val="-11"/>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cell</w:t>
      </w:r>
      <w:r>
        <w:rPr>
          <w:rFonts w:ascii="Arial" w:hAnsi="Arial"/>
          <w:color w:val="231F20"/>
          <w:spacing w:val="-11"/>
          <w:sz w:val="16"/>
        </w:rPr>
        <w:t> </w:t>
      </w:r>
      <w:r>
        <w:rPr>
          <w:rFonts w:ascii="Arial" w:hAnsi="Arial"/>
          <w:color w:val="231F20"/>
          <w:sz w:val="16"/>
        </w:rPr>
        <w:t>across</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basolateral membrane, creating a low intracellular sodium concentration and</w:t>
      </w:r>
      <w:r>
        <w:rPr>
          <w:rFonts w:ascii="Arial" w:hAnsi="Arial"/>
          <w:color w:val="231F20"/>
          <w:spacing w:val="-28"/>
          <w:sz w:val="16"/>
        </w:rPr>
        <w:t> </w:t>
      </w:r>
      <w:r>
        <w:rPr>
          <w:rFonts w:ascii="Arial" w:hAnsi="Arial"/>
          <w:color w:val="231F20"/>
          <w:spacing w:val="-20"/>
          <w:sz w:val="16"/>
        </w:rPr>
        <w:t>a </w:t>
      </w:r>
      <w:r>
        <w:rPr>
          <w:rFonts w:ascii="Arial" w:hAnsi="Arial"/>
          <w:color w:val="231F20"/>
          <w:sz w:val="16"/>
        </w:rPr>
        <w:t>negative</w:t>
      </w:r>
      <w:r>
        <w:rPr>
          <w:rFonts w:ascii="Arial" w:hAnsi="Arial"/>
          <w:color w:val="231F20"/>
          <w:spacing w:val="-26"/>
          <w:sz w:val="16"/>
        </w:rPr>
        <w:t> </w:t>
      </w:r>
      <w:r>
        <w:rPr>
          <w:rFonts w:ascii="Arial" w:hAnsi="Arial"/>
          <w:color w:val="231F20"/>
          <w:sz w:val="16"/>
        </w:rPr>
        <w:t>intracellular</w:t>
      </w:r>
      <w:r>
        <w:rPr>
          <w:rFonts w:ascii="Arial" w:hAnsi="Arial"/>
          <w:color w:val="231F20"/>
          <w:spacing w:val="-25"/>
          <w:sz w:val="16"/>
        </w:rPr>
        <w:t> </w:t>
      </w:r>
      <w:r>
        <w:rPr>
          <w:rFonts w:ascii="Arial" w:hAnsi="Arial"/>
          <w:color w:val="231F20"/>
          <w:sz w:val="16"/>
        </w:rPr>
        <w:t>electrical</w:t>
      </w:r>
      <w:r>
        <w:rPr>
          <w:rFonts w:ascii="Arial" w:hAnsi="Arial"/>
          <w:color w:val="231F20"/>
          <w:spacing w:val="-25"/>
          <w:sz w:val="16"/>
        </w:rPr>
        <w:t> </w:t>
      </w:r>
      <w:r>
        <w:rPr>
          <w:rFonts w:ascii="Arial" w:hAnsi="Arial"/>
          <w:color w:val="231F20"/>
          <w:sz w:val="16"/>
        </w:rPr>
        <w:t>potential.</w:t>
      </w:r>
      <w:r>
        <w:rPr>
          <w:rFonts w:ascii="Arial" w:hAnsi="Arial"/>
          <w:color w:val="231F20"/>
          <w:spacing w:val="-25"/>
          <w:sz w:val="16"/>
        </w:rPr>
        <w:t> </w:t>
      </w:r>
      <w:r>
        <w:rPr>
          <w:rFonts w:ascii="Arial" w:hAnsi="Arial"/>
          <w:color w:val="231F20"/>
          <w:sz w:val="16"/>
        </w:rPr>
        <w:t>The</w:t>
      </w:r>
      <w:r>
        <w:rPr>
          <w:rFonts w:ascii="Arial" w:hAnsi="Arial"/>
          <w:color w:val="231F20"/>
          <w:spacing w:val="-25"/>
          <w:sz w:val="16"/>
        </w:rPr>
        <w:t> </w:t>
      </w:r>
      <w:r>
        <w:rPr>
          <w:rFonts w:ascii="Arial" w:hAnsi="Arial"/>
          <w:color w:val="231F20"/>
          <w:sz w:val="16"/>
        </w:rPr>
        <w:t>low</w:t>
      </w:r>
      <w:r>
        <w:rPr>
          <w:rFonts w:ascii="Arial" w:hAnsi="Arial"/>
          <w:color w:val="231F20"/>
          <w:spacing w:val="-25"/>
          <w:sz w:val="16"/>
        </w:rPr>
        <w:t> </w:t>
      </w:r>
      <w:r>
        <w:rPr>
          <w:rFonts w:ascii="Arial" w:hAnsi="Arial"/>
          <w:color w:val="231F20"/>
          <w:sz w:val="16"/>
        </w:rPr>
        <w:t>intracellular</w:t>
      </w:r>
      <w:r>
        <w:rPr>
          <w:rFonts w:ascii="Arial" w:hAnsi="Arial"/>
          <w:color w:val="231F20"/>
          <w:spacing w:val="-25"/>
          <w:sz w:val="16"/>
        </w:rPr>
        <w:t> </w:t>
      </w:r>
      <w:r>
        <w:rPr>
          <w:rFonts w:ascii="Arial" w:hAnsi="Arial"/>
          <w:color w:val="231F20"/>
          <w:spacing w:val="-3"/>
          <w:sz w:val="16"/>
        </w:rPr>
        <w:t>sodium </w:t>
      </w:r>
      <w:r>
        <w:rPr>
          <w:rFonts w:ascii="Arial" w:hAnsi="Arial"/>
          <w:color w:val="231F20"/>
          <w:sz w:val="16"/>
        </w:rPr>
        <w:t>concentration</w:t>
      </w:r>
      <w:r>
        <w:rPr>
          <w:rFonts w:ascii="Arial" w:hAnsi="Arial"/>
          <w:color w:val="231F20"/>
          <w:spacing w:val="-25"/>
          <w:sz w:val="16"/>
        </w:rPr>
        <w:t> </w:t>
      </w:r>
      <w:r>
        <w:rPr>
          <w:rFonts w:ascii="Arial" w:hAnsi="Arial"/>
          <w:color w:val="231F20"/>
          <w:sz w:val="16"/>
        </w:rPr>
        <w:t>and</w:t>
      </w:r>
      <w:r>
        <w:rPr>
          <w:rFonts w:ascii="Arial" w:hAnsi="Arial"/>
          <w:color w:val="231F20"/>
          <w:spacing w:val="-24"/>
          <w:sz w:val="16"/>
        </w:rPr>
        <w:t> </w:t>
      </w:r>
      <w:r>
        <w:rPr>
          <w:rFonts w:ascii="Arial" w:hAnsi="Arial"/>
          <w:color w:val="231F20"/>
          <w:sz w:val="16"/>
        </w:rPr>
        <w:t>the</w:t>
      </w:r>
      <w:r>
        <w:rPr>
          <w:rFonts w:ascii="Arial" w:hAnsi="Arial"/>
          <w:color w:val="231F20"/>
          <w:spacing w:val="-24"/>
          <w:sz w:val="16"/>
        </w:rPr>
        <w:t> </w:t>
      </w:r>
      <w:r>
        <w:rPr>
          <w:rFonts w:ascii="Arial" w:hAnsi="Arial"/>
          <w:color w:val="231F20"/>
          <w:sz w:val="16"/>
        </w:rPr>
        <w:t>negative</w:t>
      </w:r>
      <w:r>
        <w:rPr>
          <w:rFonts w:ascii="Arial" w:hAnsi="Arial"/>
          <w:color w:val="231F20"/>
          <w:spacing w:val="-24"/>
          <w:sz w:val="16"/>
        </w:rPr>
        <w:t> </w:t>
      </w:r>
      <w:r>
        <w:rPr>
          <w:rFonts w:ascii="Arial" w:hAnsi="Arial"/>
          <w:color w:val="231F20"/>
          <w:sz w:val="16"/>
        </w:rPr>
        <w:t>electrical</w:t>
      </w:r>
      <w:r>
        <w:rPr>
          <w:rFonts w:ascii="Arial" w:hAnsi="Arial"/>
          <w:color w:val="231F20"/>
          <w:spacing w:val="-24"/>
          <w:sz w:val="16"/>
        </w:rPr>
        <w:t> </w:t>
      </w:r>
      <w:r>
        <w:rPr>
          <w:rFonts w:ascii="Arial" w:hAnsi="Arial"/>
          <w:color w:val="231F20"/>
          <w:sz w:val="16"/>
        </w:rPr>
        <w:t>potential</w:t>
      </w:r>
      <w:r>
        <w:rPr>
          <w:rFonts w:ascii="Arial" w:hAnsi="Arial"/>
          <w:color w:val="231F20"/>
          <w:spacing w:val="-24"/>
          <w:sz w:val="16"/>
        </w:rPr>
        <w:t> </w:t>
      </w:r>
      <w:r>
        <w:rPr>
          <w:rFonts w:ascii="Arial" w:hAnsi="Arial"/>
          <w:color w:val="231F20"/>
          <w:sz w:val="16"/>
        </w:rPr>
        <w:t>cause</w:t>
      </w:r>
      <w:r>
        <w:rPr>
          <w:rFonts w:ascii="Arial" w:hAnsi="Arial"/>
          <w:color w:val="231F20"/>
          <w:spacing w:val="-24"/>
          <w:sz w:val="16"/>
        </w:rPr>
        <w:t> </w:t>
      </w:r>
      <w:r>
        <w:rPr>
          <w:rFonts w:ascii="Arial" w:hAnsi="Arial"/>
          <w:color w:val="231F20"/>
          <w:sz w:val="16"/>
        </w:rPr>
        <w:t>sodium</w:t>
      </w:r>
      <w:r>
        <w:rPr>
          <w:rFonts w:ascii="Arial" w:hAnsi="Arial"/>
          <w:color w:val="231F20"/>
          <w:spacing w:val="-24"/>
          <w:sz w:val="16"/>
        </w:rPr>
        <w:t> </w:t>
      </w:r>
      <w:r>
        <w:rPr>
          <w:rFonts w:ascii="Arial" w:hAnsi="Arial"/>
          <w:color w:val="231F20"/>
          <w:spacing w:val="-5"/>
          <w:sz w:val="16"/>
        </w:rPr>
        <w:t>ions </w:t>
      </w:r>
      <w:r>
        <w:rPr>
          <w:rFonts w:ascii="Arial" w:hAnsi="Arial"/>
          <w:color w:val="231F20"/>
          <w:sz w:val="16"/>
        </w:rPr>
        <w:t>to diffuse from the tubular lumen into the cell through the </w:t>
      </w:r>
      <w:r>
        <w:rPr>
          <w:rFonts w:ascii="Arial" w:hAnsi="Arial"/>
          <w:color w:val="231F20"/>
          <w:spacing w:val="-4"/>
          <w:sz w:val="16"/>
        </w:rPr>
        <w:t>brush </w:t>
      </w:r>
      <w:r>
        <w:rPr>
          <w:rFonts w:ascii="Arial" w:hAnsi="Arial"/>
          <w:color w:val="231F20"/>
          <w:spacing w:val="-3"/>
          <w:sz w:val="16"/>
        </w:rPr>
        <w:t>border.</w:t>
      </w:r>
    </w:p>
    <w:p>
      <w:pPr>
        <w:pStyle w:val="BodyText"/>
        <w:rPr>
          <w:rFonts w:ascii="Arial"/>
          <w:sz w:val="18"/>
        </w:rPr>
      </w:pPr>
    </w:p>
    <w:p>
      <w:pPr>
        <w:pStyle w:val="BodyText"/>
        <w:spacing w:before="2"/>
        <w:rPr>
          <w:rFonts w:ascii="Arial"/>
          <w:sz w:val="24"/>
        </w:rPr>
      </w:pPr>
    </w:p>
    <w:p>
      <w:pPr>
        <w:pStyle w:val="BodyText"/>
        <w:spacing w:line="249" w:lineRule="auto"/>
        <w:ind w:left="1440"/>
        <w:jc w:val="both"/>
      </w:pPr>
      <w:r>
        <w:rPr>
          <w:color w:val="231F20"/>
          <w:w w:val="105"/>
        </w:rPr>
        <w:t>basolateral sides of the tubular epithelial cell, the </w:t>
      </w:r>
      <w:r>
        <w:rPr>
          <w:color w:val="231F20"/>
          <w:spacing w:val="-6"/>
          <w:w w:val="105"/>
        </w:rPr>
        <w:t>cell </w:t>
      </w:r>
      <w:r>
        <w:rPr>
          <w:color w:val="231F20"/>
          <w:w w:val="105"/>
        </w:rPr>
        <w:t>membrane has an extensive sodium-potassium </w:t>
      </w:r>
      <w:r>
        <w:rPr>
          <w:color w:val="231F20"/>
          <w:spacing w:val="-4"/>
          <w:w w:val="105"/>
        </w:rPr>
        <w:t>ATPase </w:t>
      </w:r>
      <w:r>
        <w:rPr>
          <w:color w:val="231F20"/>
          <w:w w:val="105"/>
        </w:rPr>
        <w:t>system</w:t>
      </w:r>
      <w:r>
        <w:rPr>
          <w:color w:val="231F20"/>
          <w:spacing w:val="-17"/>
          <w:w w:val="105"/>
        </w:rPr>
        <w:t> </w:t>
      </w:r>
      <w:r>
        <w:rPr>
          <w:color w:val="231F20"/>
          <w:w w:val="105"/>
        </w:rPr>
        <w:t>that</w:t>
      </w:r>
      <w:r>
        <w:rPr>
          <w:color w:val="231F20"/>
          <w:spacing w:val="-17"/>
          <w:w w:val="105"/>
        </w:rPr>
        <w:t> </w:t>
      </w:r>
      <w:r>
        <w:rPr>
          <w:color w:val="231F20"/>
          <w:w w:val="105"/>
        </w:rPr>
        <w:t>hydrolyzes</w:t>
      </w:r>
      <w:r>
        <w:rPr>
          <w:color w:val="231F20"/>
          <w:spacing w:val="-17"/>
          <w:w w:val="105"/>
        </w:rPr>
        <w:t> </w:t>
      </w:r>
      <w:r>
        <w:rPr>
          <w:color w:val="231F20"/>
          <w:spacing w:val="-5"/>
          <w:w w:val="105"/>
        </w:rPr>
        <w:t>ATP</w:t>
      </w:r>
      <w:r>
        <w:rPr>
          <w:color w:val="231F20"/>
          <w:spacing w:val="-17"/>
          <w:w w:val="105"/>
        </w:rPr>
        <w:t> </w:t>
      </w:r>
      <w:r>
        <w:rPr>
          <w:color w:val="231F20"/>
          <w:w w:val="105"/>
        </w:rPr>
        <w:t>and</w:t>
      </w:r>
      <w:r>
        <w:rPr>
          <w:color w:val="231F20"/>
          <w:spacing w:val="-17"/>
          <w:w w:val="105"/>
        </w:rPr>
        <w:t> </w:t>
      </w:r>
      <w:r>
        <w:rPr>
          <w:color w:val="231F20"/>
          <w:w w:val="105"/>
        </w:rPr>
        <w:t>uses</w:t>
      </w:r>
      <w:r>
        <w:rPr>
          <w:color w:val="231F20"/>
          <w:spacing w:val="-17"/>
          <w:w w:val="105"/>
        </w:rPr>
        <w:t> </w:t>
      </w:r>
      <w:r>
        <w:rPr>
          <w:color w:val="231F20"/>
          <w:w w:val="105"/>
        </w:rPr>
        <w:t>the</w:t>
      </w:r>
      <w:r>
        <w:rPr>
          <w:color w:val="231F20"/>
          <w:spacing w:val="-17"/>
          <w:w w:val="105"/>
        </w:rPr>
        <w:t> </w:t>
      </w:r>
      <w:r>
        <w:rPr>
          <w:color w:val="231F20"/>
          <w:w w:val="105"/>
        </w:rPr>
        <w:t>released</w:t>
      </w:r>
      <w:r>
        <w:rPr>
          <w:color w:val="231F20"/>
          <w:spacing w:val="-17"/>
          <w:w w:val="105"/>
        </w:rPr>
        <w:t> </w:t>
      </w:r>
      <w:r>
        <w:rPr>
          <w:color w:val="231F20"/>
          <w:w w:val="105"/>
        </w:rPr>
        <w:t>energy to transport sodium ions out of the cell into the </w:t>
      </w:r>
      <w:r>
        <w:rPr>
          <w:color w:val="231F20"/>
          <w:spacing w:val="-3"/>
          <w:w w:val="105"/>
        </w:rPr>
        <w:t>intersti- </w:t>
      </w:r>
      <w:r>
        <w:rPr>
          <w:color w:val="231F20"/>
          <w:w w:val="105"/>
        </w:rPr>
        <w:t>tium. </w:t>
      </w:r>
      <w:r>
        <w:rPr>
          <w:color w:val="231F20"/>
          <w:spacing w:val="-3"/>
          <w:w w:val="105"/>
        </w:rPr>
        <w:t>At </w:t>
      </w:r>
      <w:r>
        <w:rPr>
          <w:color w:val="231F20"/>
          <w:w w:val="105"/>
        </w:rPr>
        <w:t>the same time, potassium is transported </w:t>
      </w:r>
      <w:r>
        <w:rPr>
          <w:color w:val="231F20"/>
          <w:spacing w:val="-4"/>
          <w:w w:val="105"/>
        </w:rPr>
        <w:t>from </w:t>
      </w:r>
      <w:r>
        <w:rPr>
          <w:color w:val="231F20"/>
          <w:w w:val="105"/>
        </w:rPr>
        <w:t>the interstitium to the inside of the cell. The operation of this ion pump maintains low intracellular sodium</w:t>
      </w:r>
      <w:r>
        <w:rPr>
          <w:color w:val="231F20"/>
          <w:spacing w:val="-37"/>
          <w:w w:val="105"/>
        </w:rPr>
        <w:t> </w:t>
      </w:r>
      <w:r>
        <w:rPr>
          <w:color w:val="231F20"/>
          <w:spacing w:val="-4"/>
          <w:w w:val="105"/>
        </w:rPr>
        <w:t>and </w:t>
      </w:r>
      <w:r>
        <w:rPr>
          <w:color w:val="231F20"/>
          <w:w w:val="105"/>
        </w:rPr>
        <w:t>high</w:t>
      </w:r>
      <w:r>
        <w:rPr>
          <w:color w:val="231F20"/>
          <w:spacing w:val="-15"/>
          <w:w w:val="105"/>
        </w:rPr>
        <w:t> </w:t>
      </w:r>
      <w:r>
        <w:rPr>
          <w:color w:val="231F20"/>
          <w:w w:val="105"/>
        </w:rPr>
        <w:t>intracellular</w:t>
      </w:r>
      <w:r>
        <w:rPr>
          <w:color w:val="231F20"/>
          <w:spacing w:val="-15"/>
          <w:w w:val="105"/>
        </w:rPr>
        <w:t> </w:t>
      </w:r>
      <w:r>
        <w:rPr>
          <w:color w:val="231F20"/>
          <w:w w:val="105"/>
        </w:rPr>
        <w:t>potassium</w:t>
      </w:r>
      <w:r>
        <w:rPr>
          <w:color w:val="231F20"/>
          <w:spacing w:val="-14"/>
          <w:w w:val="105"/>
        </w:rPr>
        <w:t> </w:t>
      </w:r>
      <w:r>
        <w:rPr>
          <w:color w:val="231F20"/>
          <w:w w:val="105"/>
        </w:rPr>
        <w:t>concentrations</w:t>
      </w:r>
      <w:r>
        <w:rPr>
          <w:color w:val="231F20"/>
          <w:spacing w:val="-15"/>
          <w:w w:val="105"/>
        </w:rPr>
        <w:t> </w:t>
      </w:r>
      <w:r>
        <w:rPr>
          <w:color w:val="231F20"/>
          <w:w w:val="105"/>
        </w:rPr>
        <w:t>and</w:t>
      </w:r>
      <w:r>
        <w:rPr>
          <w:color w:val="231F20"/>
          <w:spacing w:val="-15"/>
          <w:w w:val="105"/>
        </w:rPr>
        <w:t> </w:t>
      </w:r>
      <w:r>
        <w:rPr>
          <w:color w:val="231F20"/>
          <w:w w:val="105"/>
        </w:rPr>
        <w:t>creates</w:t>
      </w:r>
      <w:r>
        <w:rPr>
          <w:color w:val="231F20"/>
          <w:spacing w:val="-14"/>
          <w:w w:val="105"/>
        </w:rPr>
        <w:t> </w:t>
      </w:r>
      <w:r>
        <w:rPr>
          <w:color w:val="231F20"/>
          <w:w w:val="105"/>
        </w:rPr>
        <w:t>a</w:t>
      </w:r>
    </w:p>
    <w:p>
      <w:pPr>
        <w:pStyle w:val="BodyText"/>
        <w:spacing w:line="194" w:lineRule="auto"/>
        <w:ind w:left="1440"/>
        <w:jc w:val="both"/>
      </w:pPr>
      <w:r>
        <w:rPr>
          <w:color w:val="231F20"/>
        </w:rPr>
        <w:t>net negative charge of about </w:t>
      </w:r>
      <w:r>
        <w:rPr>
          <w:rFonts w:ascii="Arial Unicode MS" w:hAnsi="Arial Unicode MS"/>
          <w:color w:val="231F20"/>
        </w:rPr>
        <w:t>−</w:t>
      </w:r>
      <w:r>
        <w:rPr>
          <w:color w:val="231F20"/>
        </w:rPr>
        <w:t>70 millivolts within the </w:t>
      </w:r>
      <w:r>
        <w:rPr>
          <w:color w:val="231F20"/>
          <w:spacing w:val="-4"/>
        </w:rPr>
        <w:t>cell. </w:t>
      </w:r>
      <w:r>
        <w:rPr>
          <w:color w:val="231F20"/>
        </w:rPr>
        <w:t>This</w:t>
      </w:r>
      <w:r>
        <w:rPr>
          <w:color w:val="231F20"/>
          <w:spacing w:val="17"/>
        </w:rPr>
        <w:t> </w:t>
      </w:r>
      <w:r>
        <w:rPr>
          <w:color w:val="231F20"/>
        </w:rPr>
        <w:t>active</w:t>
      </w:r>
      <w:r>
        <w:rPr>
          <w:color w:val="231F20"/>
          <w:spacing w:val="18"/>
        </w:rPr>
        <w:t> </w:t>
      </w:r>
      <w:r>
        <w:rPr>
          <w:color w:val="231F20"/>
        </w:rPr>
        <w:t>pumping</w:t>
      </w:r>
      <w:r>
        <w:rPr>
          <w:color w:val="231F20"/>
          <w:spacing w:val="18"/>
        </w:rPr>
        <w:t> </w:t>
      </w:r>
      <w:r>
        <w:rPr>
          <w:color w:val="231F20"/>
        </w:rPr>
        <w:t>of</w:t>
      </w:r>
      <w:r>
        <w:rPr>
          <w:color w:val="231F20"/>
          <w:spacing w:val="18"/>
        </w:rPr>
        <w:t> </w:t>
      </w:r>
      <w:r>
        <w:rPr>
          <w:color w:val="231F20"/>
        </w:rPr>
        <w:t>sodium</w:t>
      </w:r>
      <w:r>
        <w:rPr>
          <w:color w:val="231F20"/>
          <w:spacing w:val="18"/>
        </w:rPr>
        <w:t> </w:t>
      </w:r>
      <w:r>
        <w:rPr>
          <w:color w:val="231F20"/>
        </w:rPr>
        <w:t>out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cell</w:t>
      </w:r>
      <w:r>
        <w:rPr>
          <w:color w:val="231F20"/>
          <w:spacing w:val="18"/>
        </w:rPr>
        <w:t> </w:t>
      </w:r>
      <w:r>
        <w:rPr>
          <w:color w:val="231F20"/>
        </w:rPr>
        <w:t>across</w:t>
      </w:r>
      <w:r>
        <w:rPr>
          <w:color w:val="231F20"/>
          <w:spacing w:val="18"/>
        </w:rPr>
        <w:t> </w:t>
      </w:r>
      <w:r>
        <w:rPr>
          <w:color w:val="231F20"/>
          <w:spacing w:val="-6"/>
        </w:rPr>
        <w:t>the</w:t>
      </w:r>
    </w:p>
    <w:p>
      <w:pPr>
        <w:pStyle w:val="BodyText"/>
        <w:spacing w:line="249" w:lineRule="auto" w:before="18"/>
        <w:ind w:left="1440"/>
        <w:jc w:val="both"/>
      </w:pPr>
      <w:r>
        <w:rPr>
          <w:i/>
          <w:color w:val="231F20"/>
        </w:rPr>
        <w:t>basolateral </w:t>
      </w:r>
      <w:r>
        <w:rPr>
          <w:color w:val="231F20"/>
        </w:rPr>
        <w:t>membrane of the cell favors passive diffusion of sodium across the </w:t>
      </w:r>
      <w:r>
        <w:rPr>
          <w:i/>
          <w:color w:val="231F20"/>
        </w:rPr>
        <w:t>luminal </w:t>
      </w:r>
      <w:r>
        <w:rPr>
          <w:color w:val="231F20"/>
        </w:rPr>
        <w:t>membrane of the cell, from the tubular lumen into the cell, for two reasons: (1) There is a concentration gradient favoring sodium  diffusion  into the cell because intracellular sodium concentration   is low (12  mEq/L) and tubular fluid sodium</w:t>
      </w:r>
      <w:r>
        <w:rPr>
          <w:color w:val="231F20"/>
          <w:spacing w:val="17"/>
        </w:rPr>
        <w:t> </w:t>
      </w:r>
      <w:r>
        <w:rPr>
          <w:color w:val="231F20"/>
          <w:spacing w:val="-3"/>
        </w:rPr>
        <w:t>concentration</w:t>
      </w:r>
    </w:p>
    <w:p>
      <w:pPr>
        <w:pStyle w:val="BodyText"/>
        <w:spacing w:line="194" w:lineRule="auto"/>
        <w:ind w:left="1440" w:hanging="1"/>
        <w:jc w:val="both"/>
      </w:pPr>
      <w:r>
        <w:rPr>
          <w:color w:val="231F20"/>
        </w:rPr>
        <w:t>is high (140 mEq/L) and (2) the negative, </w:t>
      </w:r>
      <w:r>
        <w:rPr>
          <w:rFonts w:ascii="Arial Unicode MS" w:hAnsi="Arial Unicode MS"/>
          <w:color w:val="231F20"/>
        </w:rPr>
        <w:t>−</w:t>
      </w:r>
      <w:r>
        <w:rPr>
          <w:color w:val="231F20"/>
        </w:rPr>
        <w:t>70-millivolt, intracellular  potential  attracts  the  positive  sodium </w:t>
      </w:r>
      <w:r>
        <w:rPr>
          <w:color w:val="231F20"/>
          <w:spacing w:val="29"/>
        </w:rPr>
        <w:t> </w:t>
      </w:r>
      <w:r>
        <w:rPr>
          <w:color w:val="231F20"/>
          <w:spacing w:val="-3"/>
        </w:rPr>
        <w:t>ions</w:t>
      </w:r>
    </w:p>
    <w:p>
      <w:pPr>
        <w:pStyle w:val="BodyText"/>
        <w:spacing w:before="17"/>
        <w:ind w:left="1440"/>
        <w:jc w:val="both"/>
      </w:pPr>
      <w:r>
        <w:rPr>
          <w:color w:val="231F20"/>
          <w:w w:val="105"/>
        </w:rPr>
        <w:t>from the tubular lumen into the cell.</w:t>
      </w:r>
    </w:p>
    <w:p>
      <w:pPr>
        <w:pStyle w:val="BodyText"/>
        <w:spacing w:line="249" w:lineRule="auto" w:before="10"/>
        <w:ind w:left="1440" w:firstLine="240"/>
        <w:jc w:val="both"/>
      </w:pPr>
      <w:r>
        <w:rPr>
          <w:color w:val="231F20"/>
          <w:w w:val="105"/>
        </w:rPr>
        <w:t>Active reabsorption of sodium by sodium-potassium ATPase occurs in most parts of the tubule. In certain parts</w:t>
      </w:r>
      <w:r>
        <w:rPr>
          <w:color w:val="231F20"/>
          <w:spacing w:val="-8"/>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nephron,</w:t>
      </w:r>
      <w:r>
        <w:rPr>
          <w:color w:val="231F20"/>
          <w:spacing w:val="-8"/>
          <w:w w:val="105"/>
        </w:rPr>
        <w:t> </w:t>
      </w:r>
      <w:r>
        <w:rPr>
          <w:color w:val="231F20"/>
          <w:w w:val="105"/>
        </w:rPr>
        <w:t>there</w:t>
      </w:r>
      <w:r>
        <w:rPr>
          <w:color w:val="231F20"/>
          <w:spacing w:val="-7"/>
          <w:w w:val="105"/>
        </w:rPr>
        <w:t> </w:t>
      </w:r>
      <w:r>
        <w:rPr>
          <w:color w:val="231F20"/>
          <w:w w:val="105"/>
        </w:rPr>
        <w:t>are</w:t>
      </w:r>
      <w:r>
        <w:rPr>
          <w:color w:val="231F20"/>
          <w:spacing w:val="-7"/>
          <w:w w:val="105"/>
        </w:rPr>
        <w:t> </w:t>
      </w:r>
      <w:r>
        <w:rPr>
          <w:color w:val="231F20"/>
          <w:w w:val="105"/>
        </w:rPr>
        <w:t>also</w:t>
      </w:r>
      <w:r>
        <w:rPr>
          <w:color w:val="231F20"/>
          <w:spacing w:val="-8"/>
          <w:w w:val="105"/>
        </w:rPr>
        <w:t> </w:t>
      </w:r>
      <w:r>
        <w:rPr>
          <w:color w:val="231F20"/>
          <w:w w:val="105"/>
        </w:rPr>
        <w:t>additional</w:t>
      </w:r>
      <w:r>
        <w:rPr>
          <w:color w:val="231F20"/>
          <w:spacing w:val="-7"/>
          <w:w w:val="105"/>
        </w:rPr>
        <w:t> </w:t>
      </w:r>
      <w:r>
        <w:rPr>
          <w:color w:val="231F20"/>
          <w:w w:val="105"/>
        </w:rPr>
        <w:t>provisions for moving large amounts of sodium into the cell. In</w:t>
      </w:r>
      <w:r>
        <w:rPr>
          <w:color w:val="231F20"/>
          <w:spacing w:val="-28"/>
          <w:w w:val="105"/>
        </w:rPr>
        <w:t> </w:t>
      </w:r>
      <w:r>
        <w:rPr>
          <w:color w:val="231F20"/>
          <w:spacing w:val="-5"/>
          <w:w w:val="105"/>
        </w:rPr>
        <w:t>the </w:t>
      </w:r>
      <w:r>
        <w:rPr>
          <w:color w:val="231F20"/>
          <w:w w:val="105"/>
        </w:rPr>
        <w:t>proximal tubule, there is an extensive brush border on the luminal side of the membrane (the side that </w:t>
      </w:r>
      <w:r>
        <w:rPr>
          <w:color w:val="231F20"/>
          <w:spacing w:val="-5"/>
          <w:w w:val="105"/>
        </w:rPr>
        <w:t>faces </w:t>
      </w:r>
      <w:r>
        <w:rPr>
          <w:color w:val="231F20"/>
          <w:w w:val="105"/>
        </w:rPr>
        <w:t>the tubular lumen) that multiplies the surface </w:t>
      </w:r>
      <w:r>
        <w:rPr>
          <w:color w:val="231F20"/>
          <w:spacing w:val="-5"/>
          <w:w w:val="105"/>
        </w:rPr>
        <w:t>area  </w:t>
      </w:r>
      <w:r>
        <w:rPr>
          <w:color w:val="231F20"/>
          <w:w w:val="105"/>
        </w:rPr>
        <w:t>about 20-fold. There are also carrier proteins that </w:t>
      </w:r>
      <w:r>
        <w:rPr>
          <w:color w:val="231F20"/>
          <w:spacing w:val="-4"/>
          <w:w w:val="105"/>
        </w:rPr>
        <w:t>bind </w:t>
      </w:r>
      <w:r>
        <w:rPr>
          <w:color w:val="231F20"/>
          <w:w w:val="105"/>
        </w:rPr>
        <w:t>sodium ions on the luminal surface of the </w:t>
      </w:r>
      <w:r>
        <w:rPr>
          <w:color w:val="231F20"/>
          <w:spacing w:val="-3"/>
          <w:w w:val="105"/>
        </w:rPr>
        <w:t>membrane </w:t>
      </w:r>
      <w:r>
        <w:rPr>
          <w:color w:val="231F20"/>
          <w:w w:val="105"/>
        </w:rPr>
        <w:t>and</w:t>
      </w:r>
      <w:r>
        <w:rPr>
          <w:color w:val="231F20"/>
          <w:spacing w:val="-16"/>
          <w:w w:val="105"/>
        </w:rPr>
        <w:t> </w:t>
      </w:r>
      <w:r>
        <w:rPr>
          <w:color w:val="231F20"/>
          <w:w w:val="105"/>
        </w:rPr>
        <w:t>release</w:t>
      </w:r>
      <w:r>
        <w:rPr>
          <w:color w:val="231F20"/>
          <w:spacing w:val="-16"/>
          <w:w w:val="105"/>
        </w:rPr>
        <w:t> </w:t>
      </w:r>
      <w:r>
        <w:rPr>
          <w:color w:val="231F20"/>
          <w:w w:val="105"/>
        </w:rPr>
        <w:t>them</w:t>
      </w:r>
      <w:r>
        <w:rPr>
          <w:color w:val="231F20"/>
          <w:spacing w:val="-16"/>
          <w:w w:val="105"/>
        </w:rPr>
        <w:t> </w:t>
      </w:r>
      <w:r>
        <w:rPr>
          <w:color w:val="231F20"/>
          <w:w w:val="105"/>
        </w:rPr>
        <w:t>inside</w:t>
      </w:r>
      <w:r>
        <w:rPr>
          <w:color w:val="231F20"/>
          <w:spacing w:val="-16"/>
          <w:w w:val="105"/>
        </w:rPr>
        <w:t> </w:t>
      </w:r>
      <w:r>
        <w:rPr>
          <w:color w:val="231F20"/>
          <w:w w:val="105"/>
        </w:rPr>
        <w:t>the</w:t>
      </w:r>
      <w:r>
        <w:rPr>
          <w:color w:val="231F20"/>
          <w:spacing w:val="-16"/>
          <w:w w:val="105"/>
        </w:rPr>
        <w:t> </w:t>
      </w:r>
      <w:r>
        <w:rPr>
          <w:color w:val="231F20"/>
          <w:w w:val="105"/>
        </w:rPr>
        <w:t>cell,</w:t>
      </w:r>
      <w:r>
        <w:rPr>
          <w:color w:val="231F20"/>
          <w:spacing w:val="-16"/>
          <w:w w:val="105"/>
        </w:rPr>
        <w:t> </w:t>
      </w:r>
      <w:r>
        <w:rPr>
          <w:color w:val="231F20"/>
          <w:w w:val="105"/>
        </w:rPr>
        <w:t>providing</w:t>
      </w:r>
      <w:r>
        <w:rPr>
          <w:color w:val="231F20"/>
          <w:spacing w:val="-15"/>
          <w:w w:val="105"/>
        </w:rPr>
        <w:t> </w:t>
      </w:r>
      <w:r>
        <w:rPr>
          <w:i/>
          <w:color w:val="231F20"/>
          <w:w w:val="105"/>
        </w:rPr>
        <w:t>facilitated</w:t>
      </w:r>
      <w:r>
        <w:rPr>
          <w:i/>
          <w:color w:val="231F20"/>
          <w:spacing w:val="-16"/>
          <w:w w:val="105"/>
        </w:rPr>
        <w:t> </w:t>
      </w:r>
      <w:r>
        <w:rPr>
          <w:i/>
          <w:color w:val="231F20"/>
          <w:w w:val="105"/>
        </w:rPr>
        <w:t>dif- </w:t>
      </w:r>
      <w:r>
        <w:rPr>
          <w:i/>
          <w:color w:val="231F20"/>
          <w:w w:val="105"/>
        </w:rPr>
        <w:t>fusion </w:t>
      </w:r>
      <w:r>
        <w:rPr>
          <w:color w:val="231F20"/>
          <w:w w:val="105"/>
        </w:rPr>
        <w:t>of sodium through the membrane into the </w:t>
      </w:r>
      <w:r>
        <w:rPr>
          <w:color w:val="231F20"/>
          <w:spacing w:val="-5"/>
          <w:w w:val="105"/>
        </w:rPr>
        <w:t>cell. </w:t>
      </w:r>
      <w:r>
        <w:rPr>
          <w:color w:val="231F20"/>
          <w:w w:val="105"/>
        </w:rPr>
        <w:t>These</w:t>
      </w:r>
      <w:r>
        <w:rPr>
          <w:color w:val="231F20"/>
          <w:spacing w:val="-11"/>
          <w:w w:val="105"/>
        </w:rPr>
        <w:t> </w:t>
      </w:r>
      <w:r>
        <w:rPr>
          <w:color w:val="231F20"/>
          <w:w w:val="105"/>
        </w:rPr>
        <w:t>sodium</w:t>
      </w:r>
      <w:r>
        <w:rPr>
          <w:color w:val="231F20"/>
          <w:spacing w:val="-10"/>
          <w:w w:val="105"/>
        </w:rPr>
        <w:t> </w:t>
      </w:r>
      <w:r>
        <w:rPr>
          <w:color w:val="231F20"/>
          <w:w w:val="105"/>
        </w:rPr>
        <w:t>carrier</w:t>
      </w:r>
      <w:r>
        <w:rPr>
          <w:color w:val="231F20"/>
          <w:spacing w:val="-10"/>
          <w:w w:val="105"/>
        </w:rPr>
        <w:t> </w:t>
      </w:r>
      <w:r>
        <w:rPr>
          <w:color w:val="231F20"/>
          <w:w w:val="105"/>
        </w:rPr>
        <w:t>proteins</w:t>
      </w:r>
      <w:r>
        <w:rPr>
          <w:color w:val="231F20"/>
          <w:spacing w:val="-11"/>
          <w:w w:val="105"/>
        </w:rPr>
        <w:t> </w:t>
      </w:r>
      <w:r>
        <w:rPr>
          <w:color w:val="231F20"/>
          <w:w w:val="105"/>
        </w:rPr>
        <w:t>are</w:t>
      </w:r>
      <w:r>
        <w:rPr>
          <w:color w:val="231F20"/>
          <w:spacing w:val="-10"/>
          <w:w w:val="105"/>
        </w:rPr>
        <w:t> </w:t>
      </w:r>
      <w:r>
        <w:rPr>
          <w:color w:val="231F20"/>
          <w:w w:val="105"/>
        </w:rPr>
        <w:t>also</w:t>
      </w:r>
      <w:r>
        <w:rPr>
          <w:color w:val="231F20"/>
          <w:spacing w:val="-10"/>
          <w:w w:val="105"/>
        </w:rPr>
        <w:t> </w:t>
      </w:r>
      <w:r>
        <w:rPr>
          <w:color w:val="231F20"/>
          <w:w w:val="105"/>
        </w:rPr>
        <w:t>important</w:t>
      </w:r>
      <w:r>
        <w:rPr>
          <w:color w:val="231F20"/>
          <w:spacing w:val="-11"/>
          <w:w w:val="105"/>
        </w:rPr>
        <w:t> </w:t>
      </w:r>
      <w:r>
        <w:rPr>
          <w:color w:val="231F20"/>
          <w:w w:val="105"/>
        </w:rPr>
        <w:t>for</w:t>
      </w:r>
      <w:r>
        <w:rPr>
          <w:color w:val="231F20"/>
          <w:spacing w:val="-10"/>
          <w:w w:val="105"/>
        </w:rPr>
        <w:t> </w:t>
      </w:r>
      <w:r>
        <w:rPr>
          <w:color w:val="231F20"/>
          <w:spacing w:val="-3"/>
          <w:w w:val="105"/>
        </w:rPr>
        <w:t>sec- </w:t>
      </w:r>
      <w:r>
        <w:rPr>
          <w:color w:val="231F20"/>
          <w:w w:val="105"/>
        </w:rPr>
        <w:t>ondary active transport of other substances, such </w:t>
      </w:r>
      <w:r>
        <w:rPr>
          <w:color w:val="231F20"/>
          <w:spacing w:val="-6"/>
          <w:w w:val="105"/>
        </w:rPr>
        <w:t>as </w:t>
      </w:r>
      <w:r>
        <w:rPr>
          <w:color w:val="231F20"/>
          <w:w w:val="105"/>
        </w:rPr>
        <w:t>glucose and amino acids, as discussed</w:t>
      </w:r>
      <w:r>
        <w:rPr>
          <w:color w:val="231F20"/>
          <w:spacing w:val="-2"/>
          <w:w w:val="105"/>
        </w:rPr>
        <w:t> </w:t>
      </w:r>
      <w:r>
        <w:rPr>
          <w:color w:val="231F20"/>
          <w:spacing w:val="-4"/>
          <w:w w:val="105"/>
        </w:rPr>
        <w:t>later.</w:t>
      </w:r>
    </w:p>
    <w:p>
      <w:pPr>
        <w:pStyle w:val="BodyText"/>
        <w:ind w:left="801"/>
      </w:pPr>
      <w:r>
        <w:rPr/>
        <w:br w:type="column"/>
      </w:r>
      <w:r>
        <w:rPr>
          <w:color w:val="231F20"/>
        </w:rPr>
        <w:t>gradients.</w:t>
      </w:r>
    </w:p>
    <w:p>
      <w:pPr>
        <w:pStyle w:val="BodyText"/>
        <w:spacing w:before="6"/>
        <w:rPr>
          <w:sz w:val="22"/>
        </w:rPr>
      </w:pPr>
    </w:p>
    <w:p>
      <w:pPr>
        <w:pStyle w:val="BodyText"/>
        <w:spacing w:line="249" w:lineRule="auto"/>
        <w:ind w:left="319" w:right="1077"/>
        <w:jc w:val="both"/>
      </w:pPr>
      <w:r>
        <w:rPr>
          <w:rFonts w:ascii="Trebuchet MS"/>
          <w:b/>
          <w:color w:val="231F20"/>
          <w:w w:val="105"/>
          <w:sz w:val="19"/>
        </w:rPr>
        <w:t>Secondary</w:t>
      </w:r>
      <w:r>
        <w:rPr>
          <w:rFonts w:ascii="Trebuchet MS"/>
          <w:b/>
          <w:color w:val="231F20"/>
          <w:spacing w:val="-35"/>
          <w:w w:val="105"/>
          <w:sz w:val="19"/>
        </w:rPr>
        <w:t> </w:t>
      </w:r>
      <w:r>
        <w:rPr>
          <w:rFonts w:ascii="Trebuchet MS"/>
          <w:b/>
          <w:color w:val="231F20"/>
          <w:w w:val="105"/>
          <w:sz w:val="19"/>
        </w:rPr>
        <w:t>Active</w:t>
      </w:r>
      <w:r>
        <w:rPr>
          <w:rFonts w:ascii="Trebuchet MS"/>
          <w:b/>
          <w:color w:val="231F20"/>
          <w:spacing w:val="-35"/>
          <w:w w:val="105"/>
          <w:sz w:val="19"/>
        </w:rPr>
        <w:t> </w:t>
      </w:r>
      <w:r>
        <w:rPr>
          <w:rFonts w:ascii="Trebuchet MS"/>
          <w:b/>
          <w:color w:val="231F20"/>
          <w:w w:val="105"/>
          <w:sz w:val="19"/>
        </w:rPr>
        <w:t>Reabsorption</w:t>
      </w:r>
      <w:r>
        <w:rPr>
          <w:rFonts w:ascii="Trebuchet MS"/>
          <w:b/>
          <w:color w:val="231F20"/>
          <w:spacing w:val="-35"/>
          <w:w w:val="105"/>
          <w:sz w:val="19"/>
        </w:rPr>
        <w:t> </w:t>
      </w:r>
      <w:r>
        <w:rPr>
          <w:rFonts w:ascii="Trebuchet MS"/>
          <w:b/>
          <w:color w:val="231F20"/>
          <w:w w:val="105"/>
          <w:sz w:val="19"/>
        </w:rPr>
        <w:t>Through</w:t>
      </w:r>
      <w:r>
        <w:rPr>
          <w:rFonts w:ascii="Trebuchet MS"/>
          <w:b/>
          <w:color w:val="231F20"/>
          <w:spacing w:val="-35"/>
          <w:w w:val="105"/>
          <w:sz w:val="19"/>
        </w:rPr>
        <w:t> </w:t>
      </w:r>
      <w:r>
        <w:rPr>
          <w:rFonts w:ascii="Trebuchet MS"/>
          <w:b/>
          <w:color w:val="231F20"/>
          <w:w w:val="105"/>
          <w:sz w:val="19"/>
        </w:rPr>
        <w:t>the</w:t>
      </w:r>
      <w:r>
        <w:rPr>
          <w:rFonts w:ascii="Trebuchet MS"/>
          <w:b/>
          <w:color w:val="231F20"/>
          <w:spacing w:val="-34"/>
          <w:w w:val="105"/>
          <w:sz w:val="19"/>
        </w:rPr>
        <w:t> </w:t>
      </w:r>
      <w:r>
        <w:rPr>
          <w:rFonts w:ascii="Trebuchet MS"/>
          <w:b/>
          <w:color w:val="231F20"/>
          <w:spacing w:val="-6"/>
          <w:w w:val="105"/>
          <w:sz w:val="19"/>
        </w:rPr>
        <w:t>Tubular </w:t>
      </w:r>
      <w:r>
        <w:rPr>
          <w:rFonts w:ascii="Trebuchet MS"/>
          <w:b/>
          <w:color w:val="231F20"/>
          <w:w w:val="105"/>
          <w:sz w:val="19"/>
        </w:rPr>
        <w:t>Membrane. </w:t>
      </w:r>
      <w:r>
        <w:rPr>
          <w:color w:val="231F20"/>
          <w:w w:val="105"/>
        </w:rPr>
        <w:t>In secondary active transport, two or more substances interact with a specific membrane protein (a carrier molecule) and are transported together across the membrane. As one of the substances (for </w:t>
      </w:r>
      <w:r>
        <w:rPr>
          <w:color w:val="231F20"/>
          <w:spacing w:val="-3"/>
          <w:w w:val="105"/>
        </w:rPr>
        <w:t>instance, </w:t>
      </w:r>
      <w:r>
        <w:rPr>
          <w:color w:val="231F20"/>
          <w:w w:val="105"/>
        </w:rPr>
        <w:t>sodium) diffuses down its electrochemical gradient, the energy released is used to drive another substance (for instance, glucose) against its electrochemical gradient. Thus,</w:t>
      </w:r>
      <w:r>
        <w:rPr>
          <w:color w:val="231F20"/>
          <w:spacing w:val="-13"/>
          <w:w w:val="105"/>
        </w:rPr>
        <w:t> </w:t>
      </w:r>
      <w:r>
        <w:rPr>
          <w:color w:val="231F20"/>
          <w:w w:val="105"/>
        </w:rPr>
        <w:t>secondary</w:t>
      </w:r>
      <w:r>
        <w:rPr>
          <w:color w:val="231F20"/>
          <w:spacing w:val="-12"/>
          <w:w w:val="105"/>
        </w:rPr>
        <w:t> </w:t>
      </w:r>
      <w:r>
        <w:rPr>
          <w:color w:val="231F20"/>
          <w:w w:val="105"/>
        </w:rPr>
        <w:t>active</w:t>
      </w:r>
      <w:r>
        <w:rPr>
          <w:color w:val="231F20"/>
          <w:spacing w:val="-13"/>
          <w:w w:val="105"/>
        </w:rPr>
        <w:t> </w:t>
      </w:r>
      <w:r>
        <w:rPr>
          <w:color w:val="231F20"/>
          <w:w w:val="105"/>
        </w:rPr>
        <w:t>transport</w:t>
      </w:r>
      <w:r>
        <w:rPr>
          <w:color w:val="231F20"/>
          <w:spacing w:val="-12"/>
          <w:w w:val="105"/>
        </w:rPr>
        <w:t> </w:t>
      </w:r>
      <w:r>
        <w:rPr>
          <w:color w:val="231F20"/>
          <w:w w:val="105"/>
        </w:rPr>
        <w:t>does</w:t>
      </w:r>
      <w:r>
        <w:rPr>
          <w:color w:val="231F20"/>
          <w:spacing w:val="-13"/>
          <w:w w:val="105"/>
        </w:rPr>
        <w:t> </w:t>
      </w:r>
      <w:r>
        <w:rPr>
          <w:color w:val="231F20"/>
          <w:w w:val="105"/>
        </w:rPr>
        <w:t>not</w:t>
      </w:r>
      <w:r>
        <w:rPr>
          <w:color w:val="231F20"/>
          <w:spacing w:val="-12"/>
          <w:w w:val="105"/>
        </w:rPr>
        <w:t> </w:t>
      </w:r>
      <w:r>
        <w:rPr>
          <w:color w:val="231F20"/>
          <w:w w:val="105"/>
        </w:rPr>
        <w:t>require</w:t>
      </w:r>
      <w:r>
        <w:rPr>
          <w:color w:val="231F20"/>
          <w:spacing w:val="-13"/>
          <w:w w:val="105"/>
        </w:rPr>
        <w:t> </w:t>
      </w:r>
      <w:r>
        <w:rPr>
          <w:color w:val="231F20"/>
          <w:w w:val="105"/>
        </w:rPr>
        <w:t>energy directly from </w:t>
      </w:r>
      <w:r>
        <w:rPr>
          <w:color w:val="231F20"/>
          <w:spacing w:val="-5"/>
          <w:w w:val="105"/>
        </w:rPr>
        <w:t>ATP </w:t>
      </w:r>
      <w:r>
        <w:rPr>
          <w:color w:val="231F20"/>
          <w:w w:val="105"/>
        </w:rPr>
        <w:t>or from other high-energy phosphate sources. </w:t>
      </w:r>
      <w:r>
        <w:rPr>
          <w:color w:val="231F20"/>
          <w:spacing w:val="-3"/>
          <w:w w:val="105"/>
        </w:rPr>
        <w:t>Rather, </w:t>
      </w:r>
      <w:r>
        <w:rPr>
          <w:color w:val="231F20"/>
          <w:w w:val="105"/>
        </w:rPr>
        <w:t>the direct source of the energy is that liberated by the simultaneous facilitated diffusion of another transported substance down its own</w:t>
      </w:r>
      <w:r>
        <w:rPr>
          <w:color w:val="231F20"/>
          <w:spacing w:val="34"/>
          <w:w w:val="105"/>
        </w:rPr>
        <w:t> </w:t>
      </w:r>
      <w:r>
        <w:rPr>
          <w:color w:val="231F20"/>
          <w:w w:val="105"/>
        </w:rPr>
        <w:t>electro- chemical</w:t>
      </w:r>
      <w:r>
        <w:rPr>
          <w:color w:val="231F20"/>
          <w:spacing w:val="2"/>
          <w:w w:val="105"/>
        </w:rPr>
        <w:t> </w:t>
      </w:r>
      <w:r>
        <w:rPr>
          <w:color w:val="231F20"/>
          <w:w w:val="105"/>
        </w:rPr>
        <w:t>gradient.</w:t>
      </w:r>
    </w:p>
    <w:p>
      <w:pPr>
        <w:pStyle w:val="BodyText"/>
        <w:spacing w:line="249" w:lineRule="auto" w:before="13"/>
        <w:ind w:left="319" w:right="1077" w:firstLine="240"/>
        <w:jc w:val="both"/>
      </w:pPr>
      <w:hyperlink w:history="true" w:anchor="_bookmark42">
        <w:r>
          <w:rPr>
            <w:b/>
            <w:color w:val="0080AC"/>
            <w:w w:val="105"/>
          </w:rPr>
          <w:t>Figure 28-3</w:t>
        </w:r>
      </w:hyperlink>
      <w:r>
        <w:rPr>
          <w:b/>
          <w:color w:val="0080AC"/>
          <w:w w:val="105"/>
        </w:rPr>
        <w:t> </w:t>
      </w:r>
      <w:r>
        <w:rPr>
          <w:color w:val="231F20"/>
          <w:w w:val="105"/>
        </w:rPr>
        <w:t>shows secondary active transport </w:t>
      </w:r>
      <w:r>
        <w:rPr>
          <w:color w:val="231F20"/>
          <w:spacing w:val="-6"/>
          <w:w w:val="105"/>
        </w:rPr>
        <w:t>of </w:t>
      </w:r>
      <w:r>
        <w:rPr>
          <w:color w:val="231F20"/>
          <w:w w:val="105"/>
        </w:rPr>
        <w:t>glucose and amino acids in the proximal tubule. In both instances, specific carrier proteins in the brush border combine</w:t>
      </w:r>
      <w:r>
        <w:rPr>
          <w:color w:val="231F20"/>
          <w:spacing w:val="-25"/>
          <w:w w:val="105"/>
        </w:rPr>
        <w:t> </w:t>
      </w:r>
      <w:r>
        <w:rPr>
          <w:color w:val="231F20"/>
          <w:w w:val="105"/>
        </w:rPr>
        <w:t>with</w:t>
      </w:r>
      <w:r>
        <w:rPr>
          <w:color w:val="231F20"/>
          <w:spacing w:val="-24"/>
          <w:w w:val="105"/>
        </w:rPr>
        <w:t> </w:t>
      </w:r>
      <w:r>
        <w:rPr>
          <w:color w:val="231F20"/>
          <w:w w:val="105"/>
        </w:rPr>
        <w:t>a</w:t>
      </w:r>
      <w:r>
        <w:rPr>
          <w:color w:val="231F20"/>
          <w:spacing w:val="-24"/>
          <w:w w:val="105"/>
        </w:rPr>
        <w:t> </w:t>
      </w:r>
      <w:r>
        <w:rPr>
          <w:color w:val="231F20"/>
          <w:w w:val="105"/>
        </w:rPr>
        <w:t>sodium</w:t>
      </w:r>
      <w:r>
        <w:rPr>
          <w:color w:val="231F20"/>
          <w:spacing w:val="-25"/>
          <w:w w:val="105"/>
        </w:rPr>
        <w:t> </w:t>
      </w:r>
      <w:r>
        <w:rPr>
          <w:color w:val="231F20"/>
          <w:w w:val="105"/>
        </w:rPr>
        <w:t>ion</w:t>
      </w:r>
      <w:r>
        <w:rPr>
          <w:color w:val="231F20"/>
          <w:spacing w:val="-24"/>
          <w:w w:val="105"/>
        </w:rPr>
        <w:t> </w:t>
      </w:r>
      <w:r>
        <w:rPr>
          <w:color w:val="231F20"/>
          <w:w w:val="105"/>
        </w:rPr>
        <w:t>and</w:t>
      </w:r>
      <w:r>
        <w:rPr>
          <w:color w:val="231F20"/>
          <w:spacing w:val="-24"/>
          <w:w w:val="105"/>
        </w:rPr>
        <w:t> </w:t>
      </w:r>
      <w:r>
        <w:rPr>
          <w:color w:val="231F20"/>
          <w:w w:val="105"/>
        </w:rPr>
        <w:t>an</w:t>
      </w:r>
      <w:r>
        <w:rPr>
          <w:color w:val="231F20"/>
          <w:spacing w:val="-24"/>
          <w:w w:val="105"/>
        </w:rPr>
        <w:t> </w:t>
      </w:r>
      <w:r>
        <w:rPr>
          <w:color w:val="231F20"/>
          <w:w w:val="105"/>
        </w:rPr>
        <w:t>amino</w:t>
      </w:r>
      <w:r>
        <w:rPr>
          <w:color w:val="231F20"/>
          <w:spacing w:val="-25"/>
          <w:w w:val="105"/>
        </w:rPr>
        <w:t> </w:t>
      </w:r>
      <w:r>
        <w:rPr>
          <w:color w:val="231F20"/>
          <w:w w:val="105"/>
        </w:rPr>
        <w:t>acid</w:t>
      </w:r>
      <w:r>
        <w:rPr>
          <w:color w:val="231F20"/>
          <w:spacing w:val="-24"/>
          <w:w w:val="105"/>
        </w:rPr>
        <w:t> </w:t>
      </w:r>
      <w:r>
        <w:rPr>
          <w:color w:val="231F20"/>
          <w:w w:val="105"/>
        </w:rPr>
        <w:t>or</w:t>
      </w:r>
      <w:r>
        <w:rPr>
          <w:color w:val="231F20"/>
          <w:spacing w:val="-24"/>
          <w:w w:val="105"/>
        </w:rPr>
        <w:t> </w:t>
      </w:r>
      <w:r>
        <w:rPr>
          <w:color w:val="231F20"/>
          <w:w w:val="105"/>
        </w:rPr>
        <w:t>a</w:t>
      </w:r>
      <w:r>
        <w:rPr>
          <w:color w:val="231F20"/>
          <w:spacing w:val="-25"/>
          <w:w w:val="105"/>
        </w:rPr>
        <w:t> </w:t>
      </w:r>
      <w:r>
        <w:rPr>
          <w:color w:val="231F20"/>
          <w:w w:val="105"/>
        </w:rPr>
        <w:t>glucose molecule at the same time. These transport </w:t>
      </w:r>
      <w:r>
        <w:rPr>
          <w:color w:val="231F20"/>
          <w:spacing w:val="-2"/>
          <w:w w:val="105"/>
        </w:rPr>
        <w:t>mechanisms </w:t>
      </w:r>
      <w:r>
        <w:rPr>
          <w:color w:val="231F20"/>
          <w:w w:val="105"/>
        </w:rPr>
        <w:t>are</w:t>
      </w:r>
      <w:r>
        <w:rPr>
          <w:color w:val="231F20"/>
          <w:spacing w:val="-8"/>
          <w:w w:val="105"/>
        </w:rPr>
        <w:t> </w:t>
      </w:r>
      <w:r>
        <w:rPr>
          <w:color w:val="231F20"/>
          <w:w w:val="105"/>
        </w:rPr>
        <w:t>so</w:t>
      </w:r>
      <w:r>
        <w:rPr>
          <w:color w:val="231F20"/>
          <w:spacing w:val="-7"/>
          <w:w w:val="105"/>
        </w:rPr>
        <w:t> </w:t>
      </w:r>
      <w:r>
        <w:rPr>
          <w:color w:val="231F20"/>
          <w:w w:val="105"/>
        </w:rPr>
        <w:t>efficient</w:t>
      </w:r>
      <w:r>
        <w:rPr>
          <w:color w:val="231F20"/>
          <w:spacing w:val="-8"/>
          <w:w w:val="105"/>
        </w:rPr>
        <w:t> </w:t>
      </w:r>
      <w:r>
        <w:rPr>
          <w:color w:val="231F20"/>
          <w:w w:val="105"/>
        </w:rPr>
        <w:t>that</w:t>
      </w:r>
      <w:r>
        <w:rPr>
          <w:color w:val="231F20"/>
          <w:spacing w:val="-7"/>
          <w:w w:val="105"/>
        </w:rPr>
        <w:t> </w:t>
      </w:r>
      <w:r>
        <w:rPr>
          <w:color w:val="231F20"/>
          <w:w w:val="105"/>
        </w:rPr>
        <w:t>they</w:t>
      </w:r>
      <w:r>
        <w:rPr>
          <w:color w:val="231F20"/>
          <w:spacing w:val="-7"/>
          <w:w w:val="105"/>
        </w:rPr>
        <w:t> </w:t>
      </w:r>
      <w:r>
        <w:rPr>
          <w:color w:val="231F20"/>
          <w:w w:val="105"/>
        </w:rPr>
        <w:t>remove</w:t>
      </w:r>
      <w:r>
        <w:rPr>
          <w:color w:val="231F20"/>
          <w:spacing w:val="-8"/>
          <w:w w:val="105"/>
        </w:rPr>
        <w:t> </w:t>
      </w:r>
      <w:r>
        <w:rPr>
          <w:color w:val="231F20"/>
          <w:w w:val="105"/>
        </w:rPr>
        <w:t>virtually</w:t>
      </w:r>
      <w:r>
        <w:rPr>
          <w:color w:val="231F20"/>
          <w:spacing w:val="-7"/>
          <w:w w:val="105"/>
        </w:rPr>
        <w:t> </w:t>
      </w:r>
      <w:r>
        <w:rPr>
          <w:color w:val="231F20"/>
          <w:w w:val="105"/>
        </w:rPr>
        <w:t>all</w:t>
      </w:r>
      <w:r>
        <w:rPr>
          <w:color w:val="231F20"/>
          <w:spacing w:val="-7"/>
          <w:w w:val="105"/>
        </w:rPr>
        <w:t> </w:t>
      </w:r>
      <w:r>
        <w:rPr>
          <w:color w:val="231F20"/>
          <w:w w:val="105"/>
        </w:rPr>
        <w:t>the</w:t>
      </w:r>
      <w:r>
        <w:rPr>
          <w:color w:val="231F20"/>
          <w:spacing w:val="-8"/>
          <w:w w:val="105"/>
        </w:rPr>
        <w:t> </w:t>
      </w:r>
      <w:r>
        <w:rPr>
          <w:color w:val="231F20"/>
          <w:w w:val="105"/>
        </w:rPr>
        <w:t>glucose and</w:t>
      </w:r>
      <w:r>
        <w:rPr>
          <w:color w:val="231F20"/>
          <w:spacing w:val="-10"/>
          <w:w w:val="105"/>
        </w:rPr>
        <w:t> </w:t>
      </w:r>
      <w:r>
        <w:rPr>
          <w:color w:val="231F20"/>
          <w:w w:val="105"/>
        </w:rPr>
        <w:t>amino</w:t>
      </w:r>
      <w:r>
        <w:rPr>
          <w:color w:val="231F20"/>
          <w:spacing w:val="-10"/>
          <w:w w:val="105"/>
        </w:rPr>
        <w:t> </w:t>
      </w:r>
      <w:r>
        <w:rPr>
          <w:color w:val="231F20"/>
          <w:w w:val="105"/>
        </w:rPr>
        <w:t>acids</w:t>
      </w:r>
      <w:r>
        <w:rPr>
          <w:color w:val="231F20"/>
          <w:spacing w:val="-10"/>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tubular</w:t>
      </w:r>
      <w:r>
        <w:rPr>
          <w:color w:val="231F20"/>
          <w:spacing w:val="-10"/>
          <w:w w:val="105"/>
        </w:rPr>
        <w:t> </w:t>
      </w:r>
      <w:r>
        <w:rPr>
          <w:color w:val="231F20"/>
          <w:w w:val="105"/>
        </w:rPr>
        <w:t>lumen.</w:t>
      </w:r>
      <w:r>
        <w:rPr>
          <w:color w:val="231F20"/>
          <w:spacing w:val="-10"/>
          <w:w w:val="105"/>
        </w:rPr>
        <w:t> </w:t>
      </w:r>
      <w:r>
        <w:rPr>
          <w:color w:val="231F20"/>
          <w:w w:val="105"/>
        </w:rPr>
        <w:t>After</w:t>
      </w:r>
      <w:r>
        <w:rPr>
          <w:color w:val="231F20"/>
          <w:spacing w:val="-10"/>
          <w:w w:val="105"/>
        </w:rPr>
        <w:t> </w:t>
      </w:r>
      <w:r>
        <w:rPr>
          <w:color w:val="231F20"/>
          <w:w w:val="105"/>
        </w:rPr>
        <w:t>entry</w:t>
      </w:r>
      <w:r>
        <w:rPr>
          <w:color w:val="231F20"/>
          <w:spacing w:val="-10"/>
          <w:w w:val="105"/>
        </w:rPr>
        <w:t> </w:t>
      </w:r>
      <w:r>
        <w:rPr>
          <w:color w:val="231F20"/>
          <w:spacing w:val="-4"/>
          <w:w w:val="105"/>
        </w:rPr>
        <w:t>into </w:t>
      </w:r>
      <w:r>
        <w:rPr>
          <w:color w:val="231F20"/>
          <w:w w:val="105"/>
        </w:rPr>
        <w:t>the</w:t>
      </w:r>
      <w:r>
        <w:rPr>
          <w:color w:val="231F20"/>
          <w:spacing w:val="-7"/>
          <w:w w:val="105"/>
        </w:rPr>
        <w:t> </w:t>
      </w:r>
      <w:r>
        <w:rPr>
          <w:color w:val="231F20"/>
          <w:w w:val="105"/>
        </w:rPr>
        <w:t>cell,</w:t>
      </w:r>
      <w:r>
        <w:rPr>
          <w:color w:val="231F20"/>
          <w:spacing w:val="-6"/>
          <w:w w:val="105"/>
        </w:rPr>
        <w:t> </w:t>
      </w:r>
      <w:r>
        <w:rPr>
          <w:color w:val="231F20"/>
          <w:w w:val="105"/>
        </w:rPr>
        <w:t>glucose</w:t>
      </w:r>
      <w:r>
        <w:rPr>
          <w:color w:val="231F20"/>
          <w:spacing w:val="-6"/>
          <w:w w:val="105"/>
        </w:rPr>
        <w:t> </w:t>
      </w:r>
      <w:r>
        <w:rPr>
          <w:color w:val="231F20"/>
          <w:w w:val="105"/>
        </w:rPr>
        <w:t>and</w:t>
      </w:r>
      <w:r>
        <w:rPr>
          <w:color w:val="231F20"/>
          <w:spacing w:val="-6"/>
          <w:w w:val="105"/>
        </w:rPr>
        <w:t> </w:t>
      </w:r>
      <w:r>
        <w:rPr>
          <w:color w:val="231F20"/>
          <w:w w:val="105"/>
        </w:rPr>
        <w:t>amino</w:t>
      </w:r>
      <w:r>
        <w:rPr>
          <w:color w:val="231F20"/>
          <w:spacing w:val="-6"/>
          <w:w w:val="105"/>
        </w:rPr>
        <w:t> </w:t>
      </w:r>
      <w:r>
        <w:rPr>
          <w:color w:val="231F20"/>
          <w:w w:val="105"/>
        </w:rPr>
        <w:t>acids</w:t>
      </w:r>
      <w:r>
        <w:rPr>
          <w:color w:val="231F20"/>
          <w:spacing w:val="-6"/>
          <w:w w:val="105"/>
        </w:rPr>
        <w:t> </w:t>
      </w:r>
      <w:r>
        <w:rPr>
          <w:color w:val="231F20"/>
          <w:w w:val="105"/>
        </w:rPr>
        <w:t>exit</w:t>
      </w:r>
      <w:r>
        <w:rPr>
          <w:color w:val="231F20"/>
          <w:spacing w:val="-6"/>
          <w:w w:val="105"/>
        </w:rPr>
        <w:t> </w:t>
      </w:r>
      <w:r>
        <w:rPr>
          <w:color w:val="231F20"/>
          <w:w w:val="105"/>
        </w:rPr>
        <w:t>across</w:t>
      </w:r>
      <w:r>
        <w:rPr>
          <w:color w:val="231F20"/>
          <w:spacing w:val="-7"/>
          <w:w w:val="105"/>
        </w:rPr>
        <w:t> </w:t>
      </w:r>
      <w:r>
        <w:rPr>
          <w:color w:val="231F20"/>
          <w:w w:val="105"/>
        </w:rPr>
        <w:t>the</w:t>
      </w:r>
      <w:r>
        <w:rPr>
          <w:color w:val="231F20"/>
          <w:spacing w:val="-6"/>
          <w:w w:val="105"/>
        </w:rPr>
        <w:t> </w:t>
      </w:r>
      <w:r>
        <w:rPr>
          <w:color w:val="231F20"/>
          <w:spacing w:val="-3"/>
          <w:w w:val="105"/>
        </w:rPr>
        <w:t>basolat- </w:t>
      </w:r>
      <w:r>
        <w:rPr>
          <w:color w:val="231F20"/>
          <w:w w:val="105"/>
        </w:rPr>
        <w:t>eral</w:t>
      </w:r>
      <w:r>
        <w:rPr>
          <w:color w:val="231F20"/>
          <w:spacing w:val="-6"/>
          <w:w w:val="105"/>
        </w:rPr>
        <w:t> </w:t>
      </w:r>
      <w:r>
        <w:rPr>
          <w:color w:val="231F20"/>
          <w:w w:val="105"/>
        </w:rPr>
        <w:t>membranes</w:t>
      </w:r>
      <w:r>
        <w:rPr>
          <w:color w:val="231F20"/>
          <w:spacing w:val="-6"/>
          <w:w w:val="105"/>
        </w:rPr>
        <w:t> </w:t>
      </w:r>
      <w:r>
        <w:rPr>
          <w:color w:val="231F20"/>
          <w:w w:val="105"/>
        </w:rPr>
        <w:t>by</w:t>
      </w:r>
      <w:r>
        <w:rPr>
          <w:color w:val="231F20"/>
          <w:spacing w:val="-5"/>
          <w:w w:val="105"/>
        </w:rPr>
        <w:t> </w:t>
      </w:r>
      <w:r>
        <w:rPr>
          <w:color w:val="231F20"/>
          <w:w w:val="105"/>
        </w:rPr>
        <w:t>diffusion,</w:t>
      </w:r>
      <w:r>
        <w:rPr>
          <w:color w:val="231F20"/>
          <w:spacing w:val="-6"/>
          <w:w w:val="105"/>
        </w:rPr>
        <w:t> </w:t>
      </w:r>
      <w:r>
        <w:rPr>
          <w:color w:val="231F20"/>
          <w:w w:val="105"/>
        </w:rPr>
        <w:t>driven</w:t>
      </w:r>
      <w:r>
        <w:rPr>
          <w:color w:val="231F20"/>
          <w:spacing w:val="-6"/>
          <w:w w:val="105"/>
        </w:rPr>
        <w:t> </w:t>
      </w:r>
      <w:r>
        <w:rPr>
          <w:color w:val="231F20"/>
          <w:w w:val="105"/>
        </w:rPr>
        <w:t>by</w:t>
      </w:r>
      <w:r>
        <w:rPr>
          <w:color w:val="231F20"/>
          <w:spacing w:val="-5"/>
          <w:w w:val="105"/>
        </w:rPr>
        <w:t> </w:t>
      </w:r>
      <w:r>
        <w:rPr>
          <w:color w:val="231F20"/>
          <w:w w:val="105"/>
        </w:rPr>
        <w:t>the</w:t>
      </w:r>
      <w:r>
        <w:rPr>
          <w:color w:val="231F20"/>
          <w:spacing w:val="-6"/>
          <w:w w:val="105"/>
        </w:rPr>
        <w:t> </w:t>
      </w:r>
      <w:r>
        <w:rPr>
          <w:color w:val="231F20"/>
          <w:w w:val="105"/>
        </w:rPr>
        <w:t>high</w:t>
      </w:r>
      <w:r>
        <w:rPr>
          <w:color w:val="231F20"/>
          <w:spacing w:val="-6"/>
          <w:w w:val="105"/>
        </w:rPr>
        <w:t> </w:t>
      </w:r>
      <w:r>
        <w:rPr>
          <w:color w:val="231F20"/>
          <w:spacing w:val="-4"/>
          <w:w w:val="105"/>
        </w:rPr>
        <w:t>glucose </w:t>
      </w:r>
      <w:r>
        <w:rPr>
          <w:color w:val="231F20"/>
          <w:w w:val="105"/>
        </w:rPr>
        <w:t>and amino acid concentrations in the cell facilitated by specific transport</w:t>
      </w:r>
      <w:r>
        <w:rPr>
          <w:color w:val="231F20"/>
          <w:spacing w:val="5"/>
          <w:w w:val="105"/>
        </w:rPr>
        <w:t> </w:t>
      </w:r>
      <w:r>
        <w:rPr>
          <w:color w:val="231F20"/>
          <w:w w:val="105"/>
        </w:rPr>
        <w:t>proteins.</w:t>
      </w:r>
    </w:p>
    <w:p>
      <w:pPr>
        <w:pStyle w:val="BodyText"/>
        <w:spacing w:line="249" w:lineRule="auto" w:before="9"/>
        <w:ind w:left="319" w:right="1077" w:firstLine="240"/>
        <w:jc w:val="both"/>
      </w:pPr>
      <w:r>
        <w:rPr>
          <w:i/>
          <w:color w:val="231F20"/>
        </w:rPr>
        <w:t>Sodium glucose co-transporters </w:t>
      </w:r>
      <w:r>
        <w:rPr>
          <w:i/>
          <w:color w:val="231F20"/>
          <w:spacing w:val="-3"/>
        </w:rPr>
        <w:t>(SGLT2 </w:t>
      </w:r>
      <w:r>
        <w:rPr>
          <w:i/>
          <w:color w:val="231F20"/>
        </w:rPr>
        <w:t>and </w:t>
      </w:r>
      <w:r>
        <w:rPr>
          <w:i/>
          <w:color w:val="231F20"/>
          <w:spacing w:val="-6"/>
        </w:rPr>
        <w:t>SGLT1) </w:t>
      </w:r>
      <w:r>
        <w:rPr>
          <w:color w:val="231F20"/>
        </w:rPr>
        <w:t>are located on the brush  border  of  proximal  </w:t>
      </w:r>
      <w:r>
        <w:rPr>
          <w:color w:val="231F20"/>
          <w:spacing w:val="-3"/>
        </w:rPr>
        <w:t>tubular  </w:t>
      </w:r>
      <w:r>
        <w:rPr>
          <w:color w:val="231F20"/>
        </w:rPr>
        <w:t>cells and carry glucose into the cell cytoplasm against a concentration gradient, as described previously. Approxi- mately 90 percent of the filtered glucose is reabsorbed   by </w:t>
      </w:r>
      <w:r>
        <w:rPr>
          <w:color w:val="231F20"/>
          <w:spacing w:val="-4"/>
        </w:rPr>
        <w:t>SGLT2 </w:t>
      </w:r>
      <w:r>
        <w:rPr>
          <w:color w:val="231F20"/>
        </w:rPr>
        <w:t>in the early part of the proximal tubule (S1 segment), and the residual 10 percent is transported by </w:t>
      </w:r>
      <w:r>
        <w:rPr>
          <w:color w:val="231F20"/>
          <w:spacing w:val="-4"/>
        </w:rPr>
        <w:t>SGLT1 </w:t>
      </w:r>
      <w:r>
        <w:rPr>
          <w:color w:val="231F20"/>
        </w:rPr>
        <w:t>in the latter segments  of  the  proximal  </w:t>
      </w:r>
      <w:r>
        <w:rPr>
          <w:color w:val="231F20"/>
          <w:spacing w:val="-3"/>
        </w:rPr>
        <w:t>tubule. </w:t>
      </w:r>
      <w:r>
        <w:rPr>
          <w:color w:val="231F20"/>
        </w:rPr>
        <w:t>On the basolateral side of the membrane, glucose diffuses out of the cell into the interstitial spaces with the help     of </w:t>
      </w:r>
      <w:r>
        <w:rPr>
          <w:i/>
          <w:color w:val="231F20"/>
        </w:rPr>
        <w:t>glucose transporters—GLUT2 </w:t>
      </w:r>
      <w:r>
        <w:rPr>
          <w:color w:val="231F20"/>
        </w:rPr>
        <w:t>in the S1 segment </w:t>
      </w:r>
      <w:r>
        <w:rPr>
          <w:color w:val="231F20"/>
          <w:spacing w:val="-5"/>
        </w:rPr>
        <w:t>and </w:t>
      </w:r>
      <w:r>
        <w:rPr>
          <w:i/>
          <w:color w:val="231F20"/>
        </w:rPr>
        <w:t>GLUT1 </w:t>
      </w:r>
      <w:r>
        <w:rPr>
          <w:color w:val="231F20"/>
        </w:rPr>
        <w:t>in the latter part (S3 segment) of the </w:t>
      </w:r>
      <w:r>
        <w:rPr>
          <w:color w:val="231F20"/>
          <w:spacing w:val="-3"/>
        </w:rPr>
        <w:t>proximal </w:t>
      </w:r>
      <w:r>
        <w:rPr>
          <w:color w:val="231F20"/>
        </w:rPr>
        <w:t>tubule.</w:t>
      </w:r>
    </w:p>
    <w:p>
      <w:pPr>
        <w:pStyle w:val="BodyText"/>
        <w:spacing w:line="249" w:lineRule="auto" w:before="10"/>
        <w:ind w:left="319" w:right="1077" w:firstLine="240"/>
        <w:jc w:val="both"/>
      </w:pPr>
      <w:r>
        <w:rPr>
          <w:color w:val="231F20"/>
          <w:w w:val="105"/>
        </w:rPr>
        <w:t>Although</w:t>
      </w:r>
      <w:r>
        <w:rPr>
          <w:color w:val="231F20"/>
          <w:spacing w:val="-10"/>
          <w:w w:val="105"/>
        </w:rPr>
        <w:t> </w:t>
      </w:r>
      <w:r>
        <w:rPr>
          <w:color w:val="231F20"/>
          <w:w w:val="105"/>
        </w:rPr>
        <w:t>transport</w:t>
      </w:r>
      <w:r>
        <w:rPr>
          <w:color w:val="231F20"/>
          <w:spacing w:val="-10"/>
          <w:w w:val="105"/>
        </w:rPr>
        <w:t> </w:t>
      </w:r>
      <w:r>
        <w:rPr>
          <w:color w:val="231F20"/>
          <w:w w:val="105"/>
        </w:rPr>
        <w:t>of</w:t>
      </w:r>
      <w:r>
        <w:rPr>
          <w:color w:val="231F20"/>
          <w:spacing w:val="-10"/>
          <w:w w:val="105"/>
        </w:rPr>
        <w:t> </w:t>
      </w:r>
      <w:r>
        <w:rPr>
          <w:color w:val="231F20"/>
          <w:w w:val="105"/>
        </w:rPr>
        <w:t>glucose</w:t>
      </w:r>
      <w:r>
        <w:rPr>
          <w:color w:val="231F20"/>
          <w:spacing w:val="-9"/>
          <w:w w:val="105"/>
        </w:rPr>
        <w:t> </w:t>
      </w:r>
      <w:r>
        <w:rPr>
          <w:color w:val="231F20"/>
          <w:w w:val="105"/>
        </w:rPr>
        <w:t>against</w:t>
      </w:r>
      <w:r>
        <w:rPr>
          <w:color w:val="231F20"/>
          <w:spacing w:val="-10"/>
          <w:w w:val="105"/>
        </w:rPr>
        <w:t> </w:t>
      </w:r>
      <w:r>
        <w:rPr>
          <w:color w:val="231F20"/>
          <w:w w:val="105"/>
        </w:rPr>
        <w:t>a</w:t>
      </w:r>
      <w:r>
        <w:rPr>
          <w:color w:val="231F20"/>
          <w:spacing w:val="-10"/>
          <w:w w:val="105"/>
        </w:rPr>
        <w:t> </w:t>
      </w:r>
      <w:r>
        <w:rPr>
          <w:color w:val="231F20"/>
          <w:w w:val="105"/>
        </w:rPr>
        <w:t>chemical</w:t>
      </w:r>
      <w:r>
        <w:rPr>
          <w:color w:val="231F20"/>
          <w:spacing w:val="-10"/>
          <w:w w:val="105"/>
        </w:rPr>
        <w:t> </w:t>
      </w:r>
      <w:r>
        <w:rPr>
          <w:color w:val="231F20"/>
          <w:spacing w:val="-3"/>
          <w:w w:val="105"/>
        </w:rPr>
        <w:t>gra- </w:t>
      </w:r>
      <w:r>
        <w:rPr>
          <w:color w:val="231F20"/>
          <w:w w:val="105"/>
        </w:rPr>
        <w:t>dient does not directly use </w:t>
      </w:r>
      <w:r>
        <w:rPr>
          <w:color w:val="231F20"/>
          <w:spacing w:val="-10"/>
          <w:w w:val="105"/>
        </w:rPr>
        <w:t>ATP, </w:t>
      </w:r>
      <w:r>
        <w:rPr>
          <w:color w:val="231F20"/>
          <w:w w:val="105"/>
        </w:rPr>
        <w:t>the reabsorption</w:t>
      </w:r>
      <w:r>
        <w:rPr>
          <w:color w:val="231F20"/>
          <w:spacing w:val="-22"/>
          <w:w w:val="105"/>
        </w:rPr>
        <w:t> </w:t>
      </w:r>
      <w:r>
        <w:rPr>
          <w:color w:val="231F20"/>
          <w:w w:val="105"/>
        </w:rPr>
        <w:t>of</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468"/>
          <w:footerReference w:type="even" r:id="rId469"/>
          <w:footerReference w:type="default" r:id="rId470"/>
          <w:pgSz w:w="12240" w:h="15660"/>
          <w:pgMar w:header="0" w:footer="567" w:top="720" w:bottom="760" w:left="0" w:right="0"/>
          <w:pgNumType w:start="350"/>
        </w:sectPr>
      </w:pPr>
    </w:p>
    <w:p>
      <w:pPr>
        <w:spacing w:line="235" w:lineRule="auto" w:before="130"/>
        <w:ind w:left="1469" w:right="414" w:hanging="196"/>
        <w:jc w:val="left"/>
        <w:rPr>
          <w:rFonts w:ascii="Helvetica"/>
          <w:sz w:val="16"/>
        </w:rPr>
      </w:pPr>
      <w:r>
        <w:rPr/>
        <w:pict>
          <v:group style="position:absolute;margin-left:78.194290pt;margin-top:31.224812pt;width:153.3pt;height:218.85pt;mso-position-horizontal-relative:page;mso-position-vertical-relative:paragraph;z-index:-273355776" coordorigin="1564,624" coordsize="3066,4377">
            <v:shape style="position:absolute;left:2175;top:632;width:2103;height:2162" coordorigin="2176,632" coordsize="2103,2162" path="m4076,632l3995,640,3909,665,3829,698,3765,731,3706,762,3661,778,3609,784,3528,785,2304,785,2254,795,2213,823,2186,863,2176,913,2176,2512,2186,2562,2213,2603,2254,2630,2304,2640,3528,2640,3551,2641,3609,2647,3686,2663,3765,2695,3829,2727,3909,2760,3995,2786,4076,2794,4148,2781,4210,2749,4256,2689,4278,2596,4278,829,4256,737,4210,677,4148,644,4076,632xe" filled="true" fillcolor="#feede3" stroked="false">
              <v:path arrowok="t"/>
              <v:fill type="solid"/>
            </v:shape>
            <v:shape style="position:absolute;left:2175;top:632;width:2103;height:2162" coordorigin="2176,632" coordsize="2103,2162" path="m4278,2596l4256,2689,4210,2749,4148,2781,4076,2794,3995,2786,3909,2760,3829,2727,3765,2695,3686,2663,3609,2647,3551,2641,3528,2640,2304,2640,2254,2630,2213,2603,2186,2562,2176,2512,2176,913,2186,863,2213,823,2254,795,2304,785,3528,785,3609,784,3661,778,3706,762,3765,731,3829,698,3909,665,3995,640,4076,632,4148,644,4210,677,4256,737,4278,829,4278,2596xe" filled="false" stroked="true" strokeweight=".75pt" strokecolor="#e2874a">
              <v:path arrowok="t"/>
              <v:stroke dashstyle="solid"/>
            </v:shape>
            <v:shape style="position:absolute;left:3864;top:2285;width:185;height:120" type="#_x0000_t75" stroked="false">
              <v:imagedata r:id="rId471" o:title=""/>
            </v:shape>
            <v:shape style="position:absolute;left:3856;top:1350;width:185;height:120" type="#_x0000_t75" stroked="false">
              <v:imagedata r:id="rId472" o:title=""/>
            </v:shape>
            <v:line style="position:absolute" from="4566,1410" to="3964,1410" stroked="true" strokeweight="1.5pt" strokecolor="#231f20">
              <v:stroke dashstyle="solid"/>
            </v:line>
            <v:shape style="position:absolute;left:3856;top:1800;width:185;height:120" type="#_x0000_t75" stroked="false">
              <v:imagedata r:id="rId472" o:title=""/>
            </v:shape>
            <v:shape style="position:absolute;left:3857;top:862;width:185;height:120" type="#_x0000_t75" stroked="false">
              <v:imagedata r:id="rId473" o:title=""/>
            </v:shape>
            <v:line style="position:absolute" from="4566,922" to="3993,922" stroked="true" strokeweight="1.5pt" strokecolor="#f0535f">
              <v:stroke dashstyle="solid"/>
            </v:line>
            <v:shape style="position:absolute;left:2344;top:1969;width:185;height:120" type="#_x0000_t75" stroked="false">
              <v:imagedata r:id="rId440" o:title=""/>
            </v:shape>
            <v:shape style="position:absolute;left:2175;top:2832;width:2103;height:2162" coordorigin="2176,2832" coordsize="2103,2162" path="m4076,2832l3995,2840,3909,2865,3829,2898,3765,2931,3706,2962,3661,2978,3609,2984,3528,2985,2304,2985,2254,2995,2213,3023,2186,3063,2176,3113,2176,4712,2186,4762,2213,4803,2254,4830,2304,4840,3528,4840,3551,4841,3609,4847,3686,4863,3765,4895,3829,4927,3909,4960,3995,4986,4076,4994,4148,4981,4210,4949,4256,4889,4278,4796,4278,3029,4256,2937,4210,2877,4148,2844,4076,2832xe" filled="true" fillcolor="#feede3" stroked="false">
              <v:path arrowok="t"/>
              <v:fill type="solid"/>
            </v:shape>
            <v:shape style="position:absolute;left:2175;top:2832;width:2103;height:2162" coordorigin="2176,2832" coordsize="2103,2162" path="m4278,4796l4256,4889,4210,4949,4148,4981,4076,4994,3995,4986,3909,4960,3829,4927,3765,4895,3686,4863,3609,4847,3551,4841,3528,4840,2304,4840,2254,4830,2213,4803,2186,4762,2176,4712,2176,3113,2186,3063,2213,3023,2254,2995,2304,2985,3528,2985,3609,2984,3661,2978,3706,2962,3765,2931,3829,2898,3909,2865,3995,2840,4076,2832,4148,2844,4210,2877,4256,2937,4278,3029,4278,4796xe" filled="false" stroked="true" strokeweight=".75pt" strokecolor="#e2874a">
              <v:path arrowok="t"/>
              <v:stroke dashstyle="solid"/>
            </v:shape>
            <v:shape style="position:absolute;left:1780;top:3685;width:185;height:120" type="#_x0000_t75" stroked="false">
              <v:imagedata r:id="rId474" o:title=""/>
            </v:shape>
            <v:line style="position:absolute" from="2518,3745" to="1916,3745" stroked="true" strokeweight="1.5pt" strokecolor="#231f20">
              <v:stroke dashstyle="solid"/>
            </v:line>
            <v:shape style="position:absolute;left:2344;top:4170;width:185;height:120" type="#_x0000_t75" stroked="false">
              <v:imagedata r:id="rId475" o:title=""/>
            </v:shape>
            <v:shape style="position:absolute;left:3880;top:3685;width:185;height:120" type="#_x0000_t75" stroked="false">
              <v:imagedata r:id="rId476" o:title=""/>
            </v:shape>
            <v:shape style="position:absolute;left:4444;top:4170;width:185;height:120" type="#_x0000_t75" stroked="false">
              <v:imagedata r:id="rId477" o:title=""/>
            </v:shape>
            <v:shape style="position:absolute;left:1563;top:1018;width:185;height:120" type="#_x0000_t75" stroked="false">
              <v:imagedata r:id="rId478" o:title=""/>
            </v:shape>
            <v:shape style="position:absolute;left:1933;top:841;width:485;height:485" coordorigin="1933,842" coordsize="485,485" path="m2176,842l2099,854,2033,889,1980,941,1946,1008,1933,1084,1946,1161,1980,1228,2033,1280,2099,1314,2176,1327,2252,1314,2319,1280,2371,1228,2406,1161,2418,1084,2406,1008,2371,941,2319,889,2252,854,2176,842xe" filled="true" fillcolor="#ffffff" stroked="false">
              <v:path arrowok="t"/>
              <v:fill type="solid"/>
            </v:shape>
            <v:shape style="position:absolute;left:1933;top:841;width:485;height:485" coordorigin="1933,842" coordsize="485,485" path="m2418,1084l2406,1161,2371,1228,2319,1280,2252,1314,2176,1327,2099,1314,2033,1280,1980,1228,1946,1161,1933,1084,1946,1008,1980,941,2033,889,2099,854,2176,842,2252,854,2319,889,2371,941,2406,1008,2418,1084xe" filled="false" stroked="true" strokeweight="1pt" strokecolor="#231f20">
              <v:path arrowok="t"/>
              <v:stroke dashstyle="solid"/>
            </v:shape>
            <v:shape style="position:absolute;left:1680;top:1485;width:185;height:120" type="#_x0000_t75" stroked="false">
              <v:imagedata r:id="rId479" o:title=""/>
            </v:shape>
            <v:shape style="position:absolute;left:1933;top:1545;width:485;height:485" coordorigin="1933,1545" coordsize="485,485" path="m2176,1545l2099,1558,2033,1592,1980,1644,1946,1711,1933,1788,1946,1864,1980,1931,2033,1983,2099,2018,2176,2030,2252,2018,2319,1983,2371,1931,2406,1864,2418,1788,2406,1711,2371,1644,2319,1592,2252,1558,2176,1545xe" filled="true" fillcolor="#ffffff" stroked="false">
              <v:path arrowok="t"/>
              <v:fill type="solid"/>
            </v:shape>
            <v:shape style="position:absolute;left:1933;top:1545;width:485;height:485" coordorigin="1933,1545" coordsize="485,485" path="m2418,1788l2406,1864,2371,1931,2319,1983,2252,2018,2176,2030,2099,2018,2033,1983,1980,1931,1946,1864,1933,1788,1946,1711,1980,1644,2033,1592,2099,1558,2176,1545,2252,1558,2319,1592,2371,1644,2406,1711,2418,1788xe" filled="false" stroked="true" strokeweight="1pt" strokecolor="#231f20">
              <v:path arrowok="t"/>
              <v:stroke dashstyle="solid"/>
            </v:shape>
            <v:shape style="position:absolute;left:4035;top:921;width:485;height:485" coordorigin="4036,922" coordsize="485,485" path="m4278,922l4201,934,4135,968,4082,1021,4048,1087,4036,1164,4048,1241,4082,1307,4135,1360,4201,1394,4278,1407,4355,1394,4421,1360,4474,1307,4508,1241,4521,1164,4508,1087,4474,1021,4421,968,4355,934,4278,922xe" filled="true" fillcolor="#ffffff" stroked="false">
              <v:path arrowok="t"/>
              <v:fill type="solid"/>
            </v:shape>
            <v:shape style="position:absolute;left:4035;top:921;width:485;height:485" coordorigin="4036,922" coordsize="485,485" path="m4521,1164l4508,1241,4474,1307,4421,1360,4355,1394,4278,1407,4201,1394,4135,1360,4082,1307,4048,1241,4036,1164,4048,1087,4082,1021,4135,968,4201,934,4278,922,4355,934,4421,968,4474,1021,4508,1087,4521,1164xe" filled="false" stroked="true" strokeweight="1pt" strokecolor="#231f20">
              <v:path arrowok="t"/>
              <v:stroke dashstyle="solid"/>
            </v:shape>
            <v:shape style="position:absolute;left:4035;top:1860;width:485;height:485" coordorigin="4036,1860" coordsize="485,485" path="m4278,1860l4201,1873,4135,1907,4082,1959,4048,2026,4036,2103,4048,2179,4082,2246,4135,2298,4201,2333,4278,2345,4355,2333,4421,2298,4474,2246,4508,2179,4521,2103,4508,2026,4474,1959,4421,1907,4355,1873,4278,1860xe" filled="true" fillcolor="#ffffff" stroked="false">
              <v:path arrowok="t"/>
              <v:fill type="solid"/>
            </v:shape>
            <v:shape style="position:absolute;left:4035;top:1860;width:485;height:485" coordorigin="4036,1860" coordsize="485,485" path="m4521,2103l4508,2179,4474,2246,4421,2298,4355,2333,4278,2345,4201,2333,4135,2298,4082,2246,4048,2179,4036,2103,4048,2026,4082,1959,4135,1907,4201,1873,4278,1860,4355,1873,4421,1907,4474,1959,4508,2026,4521,2103xe" filled="false" stroked="true" strokeweight="1pt" strokecolor="#231f20">
              <v:path arrowok="t"/>
              <v:stroke dashstyle="solid"/>
            </v:shape>
            <v:shape style="position:absolute;left:1933;top:3745;width:485;height:485" coordorigin="1933,3745" coordsize="485,485" path="m2176,3745l2099,3758,2033,3792,1980,3844,1946,3911,1933,3988,1946,4064,1980,4131,2033,4183,2099,4218,2176,4230,2253,4218,2319,4183,2372,4131,2406,4064,2418,3988,2406,3911,2372,3844,2319,3792,2253,3758,2176,3745xe" filled="true" fillcolor="#ffffff" stroked="false">
              <v:path arrowok="t"/>
              <v:fill type="solid"/>
            </v:shape>
            <v:shape style="position:absolute;left:1933;top:3745;width:485;height:485" coordorigin="1933,3745" coordsize="485,485" path="m2418,3988l2406,4064,2372,4131,2319,4183,2253,4218,2176,4230,2099,4218,2033,4183,1980,4131,1946,4064,1933,3988,1946,3911,1980,3844,2033,3792,2099,3758,2176,3745,2253,3758,2319,3792,2372,3844,2406,3911,2418,3988xe" filled="false" stroked="true" strokeweight="1pt" strokecolor="#231f20">
              <v:path arrowok="t"/>
              <v:stroke dashstyle="solid"/>
            </v:shape>
            <v:shape style="position:absolute;left:4035;top:3745;width:485;height:485" coordorigin="4036,3745" coordsize="485,485" path="m4278,3745l4201,3758,4135,3792,4082,3844,4048,3911,4036,3988,4048,4064,4082,4131,4135,4183,4201,4218,4278,4230,4355,4218,4421,4183,4474,4131,4508,4064,4521,3988,4508,3911,4474,3844,4421,3792,4355,3758,4278,3745xe" filled="true" fillcolor="#ffffff" stroked="false">
              <v:path arrowok="t"/>
              <v:fill type="solid"/>
            </v:shape>
            <v:shape style="position:absolute;left:4035;top:3745;width:485;height:485" coordorigin="4036,3745" coordsize="485,485" path="m4521,3988l4508,4064,4474,4131,4421,4183,4355,4218,4278,4230,4201,4218,4135,4183,4082,4131,4048,4064,4036,3988,4048,3911,4082,3844,4135,3792,4201,3758,4278,3745,4355,3758,4421,3792,4474,3844,4508,3911,4521,3988xe" filled="false" stroked="true" strokeweight="1pt" strokecolor="#231f20">
              <v:path arrowok="t"/>
              <v:stroke dashstyle="solid"/>
            </v:shape>
            <w10:wrap type="none"/>
          </v:group>
        </w:pict>
      </w:r>
      <w:r>
        <w:rPr>
          <w:rFonts w:ascii="Helvetica"/>
          <w:color w:val="231F20"/>
          <w:sz w:val="16"/>
        </w:rPr>
        <w:t>Interstitial fluid</w:t>
      </w:r>
    </w:p>
    <w:p>
      <w:pPr>
        <w:pStyle w:val="BodyText"/>
        <w:rPr>
          <w:rFonts w:ascii="Helvetica"/>
          <w:sz w:val="18"/>
        </w:rPr>
      </w:pPr>
    </w:p>
    <w:p>
      <w:pPr>
        <w:pStyle w:val="BodyText"/>
        <w:spacing w:before="2"/>
        <w:rPr>
          <w:rFonts w:ascii="Helvetica"/>
          <w:sz w:val="26"/>
        </w:rPr>
      </w:pPr>
    </w:p>
    <w:p>
      <w:pPr>
        <w:tabs>
          <w:tab w:pos="256" w:val="left" w:leader="none"/>
        </w:tabs>
        <w:spacing w:before="0"/>
        <w:ind w:left="0" w:right="0" w:firstLine="0"/>
        <w:jc w:val="right"/>
        <w:rPr>
          <w:rFonts w:ascii="Helvetica"/>
          <w:b/>
          <w:sz w:val="16"/>
        </w:rPr>
      </w:pPr>
      <w:r>
        <w:rPr>
          <w:rFonts w:ascii="Helvetica"/>
          <w:color w:val="231F20"/>
          <w:w w:val="100"/>
          <w:position w:val="2"/>
          <w:sz w:val="16"/>
          <w:u w:val="thick" w:color="F0535F"/>
        </w:rPr>
        <w:t> </w:t>
      </w:r>
      <w:r>
        <w:rPr>
          <w:rFonts w:ascii="Helvetica"/>
          <w:color w:val="231F20"/>
          <w:position w:val="2"/>
          <w:sz w:val="16"/>
          <w:u w:val="thick" w:color="F0535F"/>
        </w:rPr>
        <w:tab/>
      </w:r>
      <w:r>
        <w:rPr>
          <w:rFonts w:ascii="Helvetica"/>
          <w:b/>
          <w:color w:val="231F20"/>
          <w:sz w:val="16"/>
        </w:rPr>
        <w:t>GLUT</w:t>
      </w:r>
    </w:p>
    <w:p>
      <w:pPr>
        <w:spacing w:line="235" w:lineRule="auto" w:before="130"/>
        <w:ind w:left="423" w:right="175" w:firstLine="0"/>
        <w:jc w:val="center"/>
        <w:rPr>
          <w:rFonts w:ascii="Helvetica"/>
          <w:sz w:val="16"/>
        </w:rPr>
      </w:pPr>
      <w:r>
        <w:rPr/>
        <w:br w:type="column"/>
      </w:r>
      <w:r>
        <w:rPr>
          <w:rFonts w:ascii="Helvetica"/>
          <w:color w:val="231F20"/>
          <w:sz w:val="16"/>
        </w:rPr>
        <w:t>Tubular</w:t>
      </w:r>
      <w:r>
        <w:rPr>
          <w:rFonts w:ascii="Helvetica"/>
          <w:color w:val="231F20"/>
          <w:w w:val="99"/>
          <w:sz w:val="16"/>
        </w:rPr>
        <w:t> </w:t>
      </w:r>
      <w:r>
        <w:rPr>
          <w:rFonts w:ascii="Helvetica"/>
          <w:color w:val="231F20"/>
          <w:sz w:val="16"/>
        </w:rPr>
        <w:t>cells</w:t>
      </w:r>
    </w:p>
    <w:p>
      <w:pPr>
        <w:spacing w:before="87"/>
        <w:ind w:left="253" w:right="0" w:firstLine="0"/>
        <w:jc w:val="center"/>
        <w:rPr>
          <w:rFonts w:ascii="Helvetica"/>
          <w:sz w:val="16"/>
        </w:rPr>
      </w:pPr>
      <w:r>
        <w:rPr>
          <w:rFonts w:ascii="Helvetica"/>
          <w:color w:val="231F20"/>
          <w:sz w:val="16"/>
        </w:rPr>
        <w:t>Co-transport</w:t>
      </w:r>
    </w:p>
    <w:p>
      <w:pPr>
        <w:pStyle w:val="BodyText"/>
        <w:spacing w:before="2"/>
        <w:rPr>
          <w:rFonts w:ascii="Helvetica"/>
          <w:sz w:val="19"/>
        </w:rPr>
      </w:pPr>
    </w:p>
    <w:p>
      <w:pPr>
        <w:spacing w:before="0"/>
        <w:ind w:left="103" w:right="0" w:firstLine="0"/>
        <w:jc w:val="left"/>
        <w:rPr>
          <w:rFonts w:ascii="Helvetica"/>
          <w:sz w:val="16"/>
        </w:rPr>
      </w:pPr>
      <w:r>
        <w:rPr>
          <w:rFonts w:ascii="Helvetica"/>
          <w:color w:val="231F20"/>
          <w:sz w:val="16"/>
        </w:rPr>
        <w:t>Glucose</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4"/>
        <w:rPr>
          <w:rFonts w:ascii="Helvetica"/>
          <w:sz w:val="21"/>
        </w:rPr>
      </w:pPr>
    </w:p>
    <w:p>
      <w:pPr>
        <w:spacing w:before="0"/>
        <w:ind w:left="449" w:right="0" w:firstLine="0"/>
        <w:jc w:val="left"/>
        <w:rPr>
          <w:rFonts w:ascii="Helvetica"/>
          <w:b/>
          <w:sz w:val="16"/>
        </w:rPr>
      </w:pPr>
      <w:r>
        <w:rPr>
          <w:rFonts w:ascii="Helvetica"/>
          <w:b/>
          <w:color w:val="231F20"/>
          <w:sz w:val="16"/>
        </w:rPr>
        <w:t>SGLT</w:t>
      </w:r>
    </w:p>
    <w:p>
      <w:pPr>
        <w:spacing w:line="235" w:lineRule="auto" w:before="130"/>
        <w:ind w:left="146" w:right="54" w:hanging="54"/>
        <w:jc w:val="left"/>
        <w:rPr>
          <w:rFonts w:ascii="Helvetica"/>
          <w:sz w:val="16"/>
        </w:rPr>
      </w:pPr>
      <w:r>
        <w:rPr/>
        <w:br w:type="column"/>
      </w:r>
      <w:r>
        <w:rPr>
          <w:rFonts w:ascii="Helvetica"/>
          <w:color w:val="231F20"/>
          <w:sz w:val="16"/>
        </w:rPr>
        <w:t>Tubular lumen</w:t>
      </w:r>
    </w:p>
    <w:p>
      <w:pPr>
        <w:pStyle w:val="BodyText"/>
        <w:rPr>
          <w:rFonts w:ascii="Helvetica"/>
          <w:sz w:val="18"/>
        </w:rPr>
      </w:pPr>
    </w:p>
    <w:p>
      <w:pPr>
        <w:spacing w:before="125"/>
        <w:ind w:left="77" w:right="0" w:firstLine="0"/>
        <w:jc w:val="left"/>
        <w:rPr>
          <w:rFonts w:ascii="Helvetica"/>
          <w:b/>
          <w:sz w:val="16"/>
        </w:rPr>
      </w:pPr>
      <w:r>
        <w:rPr>
          <w:rFonts w:ascii="Helvetica"/>
          <w:b/>
          <w:color w:val="231F20"/>
          <w:sz w:val="16"/>
        </w:rPr>
        <w:t>Glucose</w:t>
      </w:r>
    </w:p>
    <w:p>
      <w:pPr>
        <w:pStyle w:val="BodyText"/>
        <w:spacing w:line="249" w:lineRule="auto" w:before="99"/>
        <w:ind w:left="840" w:right="1437"/>
        <w:jc w:val="both"/>
      </w:pPr>
      <w:r>
        <w:rPr/>
        <w:br w:type="column"/>
      </w:r>
      <w:r>
        <w:rPr>
          <w:color w:val="231F20"/>
        </w:rPr>
        <w:t>active transport, which often involves </w:t>
      </w:r>
      <w:r>
        <w:rPr>
          <w:i/>
          <w:color w:val="231F20"/>
        </w:rPr>
        <w:t>counter-transport </w:t>
      </w:r>
      <w:r>
        <w:rPr>
          <w:color w:val="231F20"/>
        </w:rPr>
        <w:t>of the substance with sodium ions. In counter-transport, the energy liberated from the  downhill  movement  of  one of the substances (e.g., sodium ions) enables uphill movement</w:t>
      </w:r>
      <w:r>
        <w:rPr>
          <w:color w:val="231F20"/>
          <w:spacing w:val="15"/>
        </w:rPr>
        <w:t> </w:t>
      </w:r>
      <w:r>
        <w:rPr>
          <w:color w:val="231F20"/>
        </w:rPr>
        <w:t>of</w:t>
      </w:r>
      <w:r>
        <w:rPr>
          <w:color w:val="231F20"/>
          <w:spacing w:val="16"/>
        </w:rPr>
        <w:t> </w:t>
      </w:r>
      <w:r>
        <w:rPr>
          <w:color w:val="231F20"/>
        </w:rPr>
        <w:t>a</w:t>
      </w:r>
      <w:r>
        <w:rPr>
          <w:color w:val="231F20"/>
          <w:spacing w:val="15"/>
        </w:rPr>
        <w:t> </w:t>
      </w:r>
      <w:r>
        <w:rPr>
          <w:color w:val="231F20"/>
        </w:rPr>
        <w:t>second</w:t>
      </w:r>
      <w:r>
        <w:rPr>
          <w:color w:val="231F20"/>
          <w:spacing w:val="16"/>
        </w:rPr>
        <w:t> </w:t>
      </w:r>
      <w:r>
        <w:rPr>
          <w:color w:val="231F20"/>
        </w:rPr>
        <w:t>substance</w:t>
      </w:r>
      <w:r>
        <w:rPr>
          <w:color w:val="231F20"/>
          <w:spacing w:val="15"/>
        </w:rPr>
        <w:t> </w:t>
      </w:r>
      <w:r>
        <w:rPr>
          <w:color w:val="231F20"/>
        </w:rPr>
        <w:t>in</w:t>
      </w:r>
      <w:r>
        <w:rPr>
          <w:color w:val="231F20"/>
          <w:spacing w:val="16"/>
        </w:rPr>
        <w:t> </w:t>
      </w:r>
      <w:r>
        <w:rPr>
          <w:color w:val="231F20"/>
        </w:rPr>
        <w:t>the</w:t>
      </w:r>
      <w:r>
        <w:rPr>
          <w:color w:val="231F20"/>
          <w:spacing w:val="15"/>
        </w:rPr>
        <w:t> </w:t>
      </w:r>
      <w:r>
        <w:rPr>
          <w:color w:val="231F20"/>
        </w:rPr>
        <w:t>opposite</w:t>
      </w:r>
    </w:p>
    <w:p>
      <w:pPr>
        <w:spacing w:after="0" w:line="249" w:lineRule="auto"/>
        <w:jc w:val="both"/>
        <w:sectPr>
          <w:type w:val="continuous"/>
          <w:pgSz w:w="12240" w:h="15660"/>
          <w:pgMar w:top="0" w:bottom="760" w:left="0" w:right="0"/>
          <w:cols w:num="5" w:equalWidth="0">
            <w:col w:w="2392" w:space="40"/>
            <w:col w:w="1144" w:space="39"/>
            <w:col w:w="877" w:space="39"/>
            <w:col w:w="709" w:space="40"/>
            <w:col w:w="6960"/>
          </w:cols>
        </w:sectPr>
      </w:pPr>
    </w:p>
    <w:p>
      <w:pPr>
        <w:tabs>
          <w:tab w:pos="2517" w:val="left" w:leader="none"/>
        </w:tabs>
        <w:spacing w:before="141"/>
        <w:ind w:left="1816" w:right="0" w:firstLine="0"/>
        <w:jc w:val="left"/>
        <w:rPr>
          <w:rFonts w:ascii="Symbol" w:hAnsi="Symbol"/>
          <w:sz w:val="12"/>
        </w:rPr>
      </w:pPr>
      <w:r>
        <w:rPr>
          <w:rFonts w:ascii="Symbol" w:hAnsi="Symbol"/>
          <w:color w:val="231F20"/>
          <w:sz w:val="12"/>
          <w:u w:val="thick" w:color="231F20"/>
        </w:rPr>
        <w:t></w:t>
      </w:r>
      <w:r>
        <w:rPr>
          <w:color w:val="231F20"/>
          <w:sz w:val="12"/>
          <w:u w:val="thick" w:color="231F20"/>
        </w:rPr>
        <w:tab/>
      </w:r>
      <w:r>
        <w:rPr>
          <w:rFonts w:ascii="Helvetica" w:hAnsi="Helvetica"/>
          <w:color w:val="231F20"/>
          <w:spacing w:val="-7"/>
          <w:position w:val="-4"/>
          <w:sz w:val="16"/>
        </w:rPr>
        <w:t>Na</w:t>
      </w:r>
      <w:r>
        <w:rPr>
          <w:rFonts w:ascii="Symbol" w:hAnsi="Symbol"/>
          <w:color w:val="231F20"/>
          <w:spacing w:val="-7"/>
          <w:sz w:val="12"/>
        </w:rPr>
        <w:t></w:t>
      </w:r>
    </w:p>
    <w:p>
      <w:pPr>
        <w:spacing w:before="52"/>
        <w:ind w:left="0" w:right="477" w:firstLine="0"/>
        <w:jc w:val="right"/>
        <w:rPr>
          <w:rFonts w:ascii="Helvetica"/>
          <w:b/>
          <w:sz w:val="16"/>
        </w:rPr>
      </w:pPr>
      <w:r>
        <w:rPr>
          <w:rFonts w:ascii="Helvetica"/>
          <w:b/>
          <w:color w:val="231F20"/>
          <w:sz w:val="16"/>
        </w:rPr>
        <w:t>ATP</w:t>
      </w:r>
    </w:p>
    <w:p>
      <w:pPr>
        <w:tabs>
          <w:tab w:pos="2408" w:val="left" w:leader="none"/>
        </w:tabs>
        <w:spacing w:before="23"/>
        <w:ind w:left="1619" w:right="0" w:firstLine="0"/>
        <w:jc w:val="left"/>
        <w:rPr>
          <w:sz w:val="12"/>
        </w:rPr>
      </w:pPr>
      <w:r>
        <w:rPr>
          <w:rFonts w:ascii="Helvetica" w:hAnsi="Helvetica"/>
          <w:color w:val="231F20"/>
          <w:spacing w:val="4"/>
          <w:position w:val="-4"/>
          <w:sz w:val="16"/>
        </w:rPr>
        <w:t>K</w:t>
      </w:r>
      <w:r>
        <w:rPr>
          <w:rFonts w:ascii="Symbol" w:hAnsi="Symbol"/>
          <w:color w:val="231F20"/>
          <w:spacing w:val="4"/>
          <w:sz w:val="12"/>
        </w:rPr>
        <w:t></w:t>
      </w:r>
      <w:r>
        <w:rPr>
          <w:rFonts w:ascii="Symbol" w:hAnsi="Symbol"/>
          <w:color w:val="231F20"/>
          <w:spacing w:val="4"/>
          <w:sz w:val="12"/>
          <w:u w:val="thick" w:color="231F20"/>
        </w:rPr>
        <w:t></w:t>
      </w:r>
      <w:r>
        <w:rPr>
          <w:color w:val="231F20"/>
          <w:spacing w:val="4"/>
          <w:sz w:val="12"/>
          <w:u w:val="thick" w:color="231F20"/>
        </w:rPr>
        <w:tab/>
      </w:r>
    </w:p>
    <w:p>
      <w:pPr>
        <w:pStyle w:val="BodyText"/>
        <w:spacing w:before="6"/>
        <w:rPr>
          <w:sz w:val="26"/>
        </w:rPr>
      </w:pPr>
      <w:r>
        <w:rPr/>
        <w:br w:type="column"/>
      </w:r>
      <w:r>
        <w:rPr>
          <w:sz w:val="26"/>
        </w:rPr>
      </w:r>
    </w:p>
    <w:p>
      <w:pPr>
        <w:tabs>
          <w:tab w:pos="1106" w:val="left" w:leader="none"/>
          <w:tab w:pos="1707" w:val="left" w:leader="none"/>
        </w:tabs>
        <w:spacing w:before="0"/>
        <w:ind w:left="95" w:right="0" w:firstLine="0"/>
        <w:jc w:val="left"/>
        <w:rPr>
          <w:rFonts w:ascii="Helvetica" w:hAnsi="Helvetica"/>
          <w:sz w:val="16"/>
        </w:rPr>
      </w:pPr>
      <w:r>
        <w:rPr>
          <w:rFonts w:ascii="Symbol" w:hAnsi="Symbol"/>
          <w:color w:val="231F20"/>
          <w:sz w:val="16"/>
        </w:rPr>
        <w:t></w:t>
      </w:r>
      <w:r>
        <w:rPr>
          <w:rFonts w:ascii="Helvetica" w:hAnsi="Helvetica"/>
          <w:color w:val="231F20"/>
          <w:sz w:val="16"/>
        </w:rPr>
        <w:t>70</w:t>
      </w:r>
      <w:r>
        <w:rPr>
          <w:rFonts w:ascii="Helvetica" w:hAnsi="Helvetica"/>
          <w:color w:val="231F20"/>
          <w:spacing w:val="-1"/>
          <w:sz w:val="16"/>
        </w:rPr>
        <w:t> </w:t>
      </w:r>
      <w:r>
        <w:rPr>
          <w:rFonts w:ascii="Helvetica" w:hAnsi="Helvetica"/>
          <w:color w:val="231F20"/>
          <w:sz w:val="16"/>
        </w:rPr>
        <w:t>mV</w:t>
        <w:tab/>
      </w:r>
      <w:r>
        <w:rPr>
          <w:rFonts w:ascii="Helvetica" w:hAnsi="Helvetica"/>
          <w:color w:val="231F20"/>
          <w:w w:val="100"/>
          <w:sz w:val="16"/>
          <w:u w:val="thick" w:color="231F20"/>
        </w:rPr>
        <w:t> </w:t>
      </w:r>
      <w:r>
        <w:rPr>
          <w:rFonts w:ascii="Helvetica" w:hAnsi="Helvetica"/>
          <w:color w:val="231F20"/>
          <w:sz w:val="16"/>
          <w:u w:val="thick" w:color="231F20"/>
        </w:rPr>
        <w:tab/>
      </w:r>
    </w:p>
    <w:p>
      <w:pPr>
        <w:spacing w:line="559" w:lineRule="auto" w:before="6"/>
        <w:ind w:left="-10" w:right="-20" w:firstLine="0"/>
        <w:jc w:val="left"/>
        <w:rPr>
          <w:rFonts w:ascii="Symbol" w:hAnsi="Symbol"/>
          <w:sz w:val="12"/>
        </w:rPr>
      </w:pPr>
      <w:r>
        <w:rPr/>
        <w:br w:type="column"/>
      </w:r>
      <w:r>
        <w:rPr>
          <w:rFonts w:ascii="Helvetica" w:hAnsi="Helvetica"/>
          <w:color w:val="231F20"/>
          <w:sz w:val="16"/>
        </w:rPr>
        <w:t>Na</w:t>
      </w:r>
      <w:r>
        <w:rPr>
          <w:rFonts w:ascii="Symbol" w:hAnsi="Symbol"/>
          <w:color w:val="231F20"/>
          <w:position w:val="5"/>
          <w:sz w:val="12"/>
        </w:rPr>
        <w:t></w:t>
      </w:r>
      <w:r>
        <w:rPr>
          <w:color w:val="231F20"/>
          <w:w w:val="100"/>
          <w:position w:val="5"/>
          <w:sz w:val="12"/>
        </w:rPr>
        <w:t> </w:t>
      </w:r>
      <w:r>
        <w:rPr>
          <w:rFonts w:ascii="Helvetica" w:hAnsi="Helvetica"/>
          <w:color w:val="231F20"/>
          <w:sz w:val="16"/>
        </w:rPr>
        <w:t>Na</w:t>
      </w:r>
      <w:r>
        <w:rPr>
          <w:rFonts w:ascii="Symbol" w:hAnsi="Symbol"/>
          <w:color w:val="231F20"/>
          <w:position w:val="5"/>
          <w:sz w:val="12"/>
        </w:rPr>
        <w:t></w:t>
      </w:r>
    </w:p>
    <w:p>
      <w:pPr>
        <w:pStyle w:val="BodyText"/>
        <w:spacing w:before="5"/>
        <w:ind w:left="1213"/>
      </w:pPr>
      <w:r>
        <w:rPr/>
        <w:br w:type="column"/>
      </w:r>
      <w:r>
        <w:rPr>
          <w:color w:val="231F20"/>
          <w:w w:val="105"/>
        </w:rPr>
        <w:t>direction.</w:t>
      </w:r>
    </w:p>
    <w:p>
      <w:pPr>
        <w:pStyle w:val="BodyText"/>
        <w:spacing w:line="249" w:lineRule="auto" w:before="10"/>
        <w:ind w:left="1213" w:right="1437" w:firstLine="240"/>
        <w:jc w:val="both"/>
      </w:pPr>
      <w:r>
        <w:rPr>
          <w:color w:val="231F20"/>
          <w:w w:val="105"/>
        </w:rPr>
        <w:t>One example of counter-transport, shown in </w:t>
      </w:r>
      <w:hyperlink w:history="true" w:anchor="_bookmark42">
        <w:r>
          <w:rPr>
            <w:b/>
            <w:color w:val="0080AC"/>
            <w:w w:val="105"/>
          </w:rPr>
          <w:t>Figure</w:t>
        </w:r>
      </w:hyperlink>
      <w:r>
        <w:rPr>
          <w:b/>
          <w:color w:val="0080AC"/>
          <w:w w:val="105"/>
        </w:rPr>
        <w:t> </w:t>
      </w:r>
      <w:hyperlink w:history="true" w:anchor="_bookmark42">
        <w:r>
          <w:rPr>
            <w:b/>
            <w:color w:val="0080AC"/>
            <w:w w:val="105"/>
          </w:rPr>
          <w:t>28-3</w:t>
        </w:r>
      </w:hyperlink>
      <w:r>
        <w:rPr>
          <w:color w:val="231F20"/>
          <w:w w:val="105"/>
        </w:rPr>
        <w:t>, is the active secretion of hydrogen ions </w:t>
      </w:r>
      <w:r>
        <w:rPr>
          <w:color w:val="231F20"/>
          <w:spacing w:val="-3"/>
          <w:w w:val="105"/>
        </w:rPr>
        <w:t>coupled </w:t>
      </w:r>
      <w:r>
        <w:rPr>
          <w:color w:val="231F20"/>
          <w:w w:val="105"/>
        </w:rPr>
        <w:t>to sodium reabsorption in the luminal membrane</w:t>
      </w:r>
      <w:r>
        <w:rPr>
          <w:color w:val="231F20"/>
          <w:spacing w:val="39"/>
          <w:w w:val="105"/>
        </w:rPr>
        <w:t> </w:t>
      </w:r>
      <w:r>
        <w:rPr>
          <w:color w:val="231F20"/>
          <w:spacing w:val="-6"/>
          <w:w w:val="105"/>
        </w:rPr>
        <w:t>of</w:t>
      </w:r>
    </w:p>
    <w:p>
      <w:pPr>
        <w:spacing w:after="0" w:line="249" w:lineRule="auto"/>
        <w:jc w:val="both"/>
        <w:sectPr>
          <w:type w:val="continuous"/>
          <w:pgSz w:w="12240" w:h="15660"/>
          <w:pgMar w:top="0" w:bottom="760" w:left="0" w:right="0"/>
          <w:cols w:num="4" w:equalWidth="0">
            <w:col w:w="2818" w:space="40"/>
            <w:col w:w="1708" w:space="39"/>
            <w:col w:w="261" w:space="40"/>
            <w:col w:w="7334"/>
          </w:cols>
        </w:sectPr>
      </w:pPr>
    </w:p>
    <w:p>
      <w:pPr>
        <w:tabs>
          <w:tab w:pos="2492" w:val="left" w:leader="none"/>
          <w:tab w:pos="3999" w:val="left" w:leader="none"/>
          <w:tab w:pos="4615" w:val="left" w:leader="none"/>
        </w:tabs>
        <w:spacing w:line="183" w:lineRule="exact" w:before="0"/>
        <w:ind w:left="1819" w:right="0" w:firstLine="0"/>
        <w:jc w:val="center"/>
        <w:rPr>
          <w:rFonts w:ascii="Helvetica"/>
          <w:b/>
          <w:sz w:val="16"/>
        </w:rPr>
      </w:pPr>
      <w:r>
        <w:rPr/>
        <w:drawing>
          <wp:anchor distT="0" distB="0" distL="0" distR="0" allowOverlap="1" layoutInCell="1" locked="0" behindDoc="1" simplePos="0" relativeHeight="229961728">
            <wp:simplePos x="0" y="0"/>
            <wp:positionH relativeFrom="page">
              <wp:posOffset>1069342</wp:posOffset>
            </wp:positionH>
            <wp:positionV relativeFrom="paragraph">
              <wp:posOffset>22109</wp:posOffset>
            </wp:positionV>
            <wp:extent cx="117182" cy="75996"/>
            <wp:effectExtent l="0" t="0" r="0" b="0"/>
            <wp:wrapNone/>
            <wp:docPr id="3" name="image390.png"/>
            <wp:cNvGraphicFramePr>
              <a:graphicFrameLocks noChangeAspect="1"/>
            </wp:cNvGraphicFramePr>
            <a:graphic>
              <a:graphicData uri="http://schemas.openxmlformats.org/drawingml/2006/picture">
                <pic:pic>
                  <pic:nvPicPr>
                    <pic:cNvPr id="4" name="image390.png"/>
                    <pic:cNvPicPr/>
                  </pic:nvPicPr>
                  <pic:blipFill>
                    <a:blip r:embed="rId480" cstate="print"/>
                    <a:stretch>
                      <a:fillRect/>
                    </a:stretch>
                  </pic:blipFill>
                  <pic:spPr>
                    <a:xfrm>
                      <a:off x="0" y="0"/>
                      <a:ext cx="117182" cy="75996"/>
                    </a:xfrm>
                    <a:prstGeom prst="rect">
                      <a:avLst/>
                    </a:prstGeom>
                  </pic:spPr>
                </pic:pic>
              </a:graphicData>
            </a:graphic>
          </wp:anchor>
        </w:drawing>
      </w:r>
      <w:r>
        <w:rPr>
          <w:rFonts w:ascii="Helvetica"/>
          <w:color w:val="231F20"/>
          <w:w w:val="100"/>
          <w:sz w:val="16"/>
          <w:u w:val="thick" w:color="F0535F"/>
        </w:rPr>
        <w:t> </w:t>
      </w:r>
      <w:r>
        <w:rPr>
          <w:rFonts w:ascii="Helvetica"/>
          <w:color w:val="231F20"/>
          <w:sz w:val="16"/>
          <w:u w:val="thick" w:color="F0535F"/>
        </w:rPr>
        <w:tab/>
      </w:r>
      <w:r>
        <w:rPr>
          <w:rFonts w:ascii="Helvetica"/>
          <w:color w:val="231F20"/>
          <w:spacing w:val="-2"/>
          <w:sz w:val="16"/>
        </w:rPr>
        <w:t> </w:t>
      </w:r>
      <w:r>
        <w:rPr>
          <w:rFonts w:ascii="Helvetica"/>
          <w:color w:val="231F20"/>
          <w:sz w:val="16"/>
        </w:rPr>
        <w:t>Amino</w:t>
      </w:r>
      <w:r>
        <w:rPr>
          <w:rFonts w:ascii="Helvetica"/>
          <w:color w:val="231F20"/>
          <w:spacing w:val="-1"/>
          <w:sz w:val="16"/>
        </w:rPr>
        <w:t> </w:t>
      </w:r>
      <w:r>
        <w:rPr>
          <w:rFonts w:ascii="Helvetica"/>
          <w:color w:val="231F20"/>
          <w:sz w:val="16"/>
        </w:rPr>
        <w:t>acids</w:t>
        <w:tab/>
      </w:r>
      <w:r>
        <w:rPr>
          <w:rFonts w:ascii="Helvetica"/>
          <w:color w:val="231F20"/>
          <w:position w:val="1"/>
          <w:sz w:val="16"/>
          <w:u w:val="thick" w:color="F0535F"/>
        </w:rPr>
        <w:t> </w:t>
      </w:r>
      <w:r>
        <w:rPr>
          <w:rFonts w:ascii="Helvetica"/>
          <w:color w:val="231F20"/>
          <w:sz w:val="16"/>
        </w:rPr>
        <w:tab/>
      </w:r>
      <w:r>
        <w:rPr>
          <w:rFonts w:ascii="Helvetica"/>
          <w:b/>
          <w:color w:val="231F20"/>
          <w:position w:val="1"/>
          <w:sz w:val="16"/>
        </w:rPr>
        <w:t>Amino</w:t>
      </w:r>
      <w:r>
        <w:rPr>
          <w:rFonts w:ascii="Helvetica"/>
          <w:b/>
          <w:color w:val="231F20"/>
          <w:spacing w:val="1"/>
          <w:position w:val="1"/>
          <w:sz w:val="16"/>
        </w:rPr>
        <w:t> </w:t>
      </w:r>
      <w:r>
        <w:rPr>
          <w:rFonts w:ascii="Helvetica"/>
          <w:b/>
          <w:color w:val="231F20"/>
          <w:spacing w:val="-4"/>
          <w:position w:val="1"/>
          <w:sz w:val="16"/>
        </w:rPr>
        <w:t>acids</w:t>
      </w:r>
    </w:p>
    <w:p>
      <w:pPr>
        <w:pStyle w:val="BodyText"/>
        <w:rPr>
          <w:rFonts w:ascii="Helvetica"/>
          <w:b/>
        </w:rPr>
      </w:pPr>
    </w:p>
    <w:p>
      <w:pPr>
        <w:pStyle w:val="BodyText"/>
        <w:spacing w:before="5"/>
        <w:rPr>
          <w:rFonts w:ascii="Helvetica"/>
          <w:b/>
          <w:sz w:val="16"/>
        </w:rPr>
      </w:pPr>
      <w:r>
        <w:rPr/>
        <w:pict>
          <v:rect style="position:absolute;margin-left:0pt;margin-top:11.438843pt;width:36pt;height:24pt;mso-position-horizontal-relative:page;mso-position-vertical-relative:paragraph;z-index:-251268096;mso-wrap-distance-left:0;mso-wrap-distance-right:0" filled="true" fillcolor="#e8dac8" stroked="false">
            <v:fill type="solid"/>
            <w10:wrap type="topAndBottom"/>
          </v:rect>
        </w:pict>
      </w:r>
    </w:p>
    <w:p>
      <w:pPr>
        <w:pStyle w:val="BodyText"/>
        <w:spacing w:before="9"/>
        <w:rPr>
          <w:rFonts w:ascii="Helvetica"/>
          <w:b/>
          <w:sz w:val="19"/>
        </w:rPr>
      </w:pPr>
    </w:p>
    <w:p>
      <w:pPr>
        <w:tabs>
          <w:tab w:pos="3367" w:val="left" w:leader="none"/>
          <w:tab w:pos="3968" w:val="left" w:leader="none"/>
        </w:tabs>
        <w:spacing w:line="64" w:lineRule="exact" w:before="0"/>
        <w:ind w:left="1898" w:right="0" w:firstLine="0"/>
        <w:jc w:val="center"/>
        <w:rPr>
          <w:rFonts w:ascii="Symbol" w:hAnsi="Symbol"/>
          <w:sz w:val="12"/>
        </w:rPr>
      </w:pPr>
      <w:r>
        <w:rPr>
          <w:rFonts w:ascii="Helvetica" w:hAnsi="Helvetica"/>
          <w:color w:val="231F20"/>
          <w:sz w:val="16"/>
        </w:rPr>
        <w:t>Na</w:t>
      </w:r>
      <w:r>
        <w:rPr>
          <w:rFonts w:ascii="Symbol" w:hAnsi="Symbol"/>
          <w:color w:val="231F20"/>
          <w:position w:val="5"/>
          <w:sz w:val="12"/>
        </w:rPr>
        <w:t></w:t>
      </w:r>
      <w:r>
        <w:rPr>
          <w:color w:val="231F20"/>
          <w:position w:val="5"/>
          <w:sz w:val="12"/>
        </w:rPr>
        <w:tab/>
      </w:r>
      <w:r>
        <w:rPr>
          <w:rFonts w:ascii="Symbol" w:hAnsi="Symbol"/>
          <w:color w:val="231F20"/>
          <w:position w:val="5"/>
          <w:sz w:val="12"/>
          <w:u w:val="thick" w:color="231F20"/>
        </w:rPr>
        <w:t></w:t>
      </w:r>
      <w:r>
        <w:rPr>
          <w:color w:val="231F20"/>
          <w:position w:val="5"/>
          <w:sz w:val="12"/>
          <w:u w:val="thick" w:color="231F20"/>
        </w:rPr>
        <w:tab/>
      </w:r>
      <w:r>
        <w:rPr>
          <w:rFonts w:ascii="Helvetica" w:hAnsi="Helvetica"/>
          <w:color w:val="231F20"/>
          <w:sz w:val="16"/>
        </w:rPr>
        <w:t>Na</w:t>
      </w:r>
      <w:r>
        <w:rPr>
          <w:rFonts w:ascii="Symbol" w:hAnsi="Symbol"/>
          <w:color w:val="231F20"/>
          <w:position w:val="5"/>
          <w:sz w:val="12"/>
        </w:rPr>
        <w:t></w:t>
      </w:r>
    </w:p>
    <w:p>
      <w:pPr>
        <w:pStyle w:val="BodyText"/>
        <w:spacing w:line="249" w:lineRule="auto" w:before="2"/>
        <w:ind w:left="513" w:right="1437"/>
        <w:jc w:val="both"/>
      </w:pPr>
      <w:r>
        <w:rPr/>
        <w:br w:type="column"/>
      </w:r>
      <w:r>
        <w:rPr>
          <w:color w:val="231F20"/>
          <w:w w:val="105"/>
        </w:rPr>
        <w:t>the proximal tubule. In this case, sodium entry into   the</w:t>
      </w:r>
      <w:r>
        <w:rPr>
          <w:color w:val="231F20"/>
          <w:spacing w:val="-10"/>
          <w:w w:val="105"/>
        </w:rPr>
        <w:t> </w:t>
      </w:r>
      <w:r>
        <w:rPr>
          <w:color w:val="231F20"/>
          <w:w w:val="105"/>
        </w:rPr>
        <w:t>cell</w:t>
      </w:r>
      <w:r>
        <w:rPr>
          <w:color w:val="231F20"/>
          <w:spacing w:val="-9"/>
          <w:w w:val="105"/>
        </w:rPr>
        <w:t> </w:t>
      </w:r>
      <w:r>
        <w:rPr>
          <w:color w:val="231F20"/>
          <w:w w:val="105"/>
        </w:rPr>
        <w:t>is</w:t>
      </w:r>
      <w:r>
        <w:rPr>
          <w:color w:val="231F20"/>
          <w:spacing w:val="-10"/>
          <w:w w:val="105"/>
        </w:rPr>
        <w:t> </w:t>
      </w:r>
      <w:r>
        <w:rPr>
          <w:color w:val="231F20"/>
          <w:w w:val="105"/>
        </w:rPr>
        <w:t>coupled</w:t>
      </w:r>
      <w:r>
        <w:rPr>
          <w:color w:val="231F20"/>
          <w:spacing w:val="-9"/>
          <w:w w:val="105"/>
        </w:rPr>
        <w:t> </w:t>
      </w:r>
      <w:r>
        <w:rPr>
          <w:color w:val="231F20"/>
          <w:w w:val="105"/>
        </w:rPr>
        <w:t>with</w:t>
      </w:r>
      <w:r>
        <w:rPr>
          <w:color w:val="231F20"/>
          <w:spacing w:val="-9"/>
          <w:w w:val="105"/>
        </w:rPr>
        <w:t> </w:t>
      </w:r>
      <w:r>
        <w:rPr>
          <w:color w:val="231F20"/>
          <w:w w:val="105"/>
        </w:rPr>
        <w:t>hydrogen</w:t>
      </w:r>
      <w:r>
        <w:rPr>
          <w:color w:val="231F20"/>
          <w:spacing w:val="-10"/>
          <w:w w:val="105"/>
        </w:rPr>
        <w:t> </w:t>
      </w:r>
      <w:r>
        <w:rPr>
          <w:color w:val="231F20"/>
          <w:w w:val="105"/>
        </w:rPr>
        <w:t>extrusion</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10"/>
          <w:w w:val="105"/>
        </w:rPr>
        <w:t> </w:t>
      </w:r>
      <w:r>
        <w:rPr>
          <w:color w:val="231F20"/>
          <w:w w:val="105"/>
        </w:rPr>
        <w:t>cell by sodium-hydrogen counter-transport. This transport is mediated by a specific protein (</w:t>
      </w:r>
      <w:r>
        <w:rPr>
          <w:i/>
          <w:color w:val="231F20"/>
          <w:w w:val="105"/>
        </w:rPr>
        <w:t>sodium-hydrogen </w:t>
      </w:r>
      <w:r>
        <w:rPr>
          <w:i/>
          <w:color w:val="231F20"/>
          <w:w w:val="105"/>
        </w:rPr>
        <w:t>exchanger</w:t>
      </w:r>
      <w:r>
        <w:rPr>
          <w:color w:val="231F20"/>
          <w:w w:val="105"/>
        </w:rPr>
        <w:t>)</w:t>
      </w:r>
      <w:r>
        <w:rPr>
          <w:color w:val="231F20"/>
          <w:spacing w:val="-18"/>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brush</w:t>
      </w:r>
      <w:r>
        <w:rPr>
          <w:color w:val="231F20"/>
          <w:spacing w:val="-17"/>
          <w:w w:val="105"/>
        </w:rPr>
        <w:t> </w:t>
      </w:r>
      <w:r>
        <w:rPr>
          <w:color w:val="231F20"/>
          <w:w w:val="105"/>
        </w:rPr>
        <w:t>border</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luminal</w:t>
      </w:r>
      <w:r>
        <w:rPr>
          <w:color w:val="231F20"/>
          <w:spacing w:val="-17"/>
          <w:w w:val="105"/>
        </w:rPr>
        <w:t> </w:t>
      </w:r>
      <w:r>
        <w:rPr>
          <w:color w:val="231F20"/>
          <w:w w:val="105"/>
        </w:rPr>
        <w:t>membrane. As</w:t>
      </w:r>
      <w:r>
        <w:rPr>
          <w:color w:val="231F20"/>
          <w:spacing w:val="-5"/>
          <w:w w:val="105"/>
        </w:rPr>
        <w:t> </w:t>
      </w:r>
      <w:r>
        <w:rPr>
          <w:color w:val="231F20"/>
          <w:w w:val="105"/>
        </w:rPr>
        <w:t>sodium</w:t>
      </w:r>
      <w:r>
        <w:rPr>
          <w:color w:val="231F20"/>
          <w:spacing w:val="-5"/>
          <w:w w:val="105"/>
        </w:rPr>
        <w:t> </w:t>
      </w:r>
      <w:r>
        <w:rPr>
          <w:color w:val="231F20"/>
          <w:w w:val="105"/>
        </w:rPr>
        <w:t>is</w:t>
      </w:r>
      <w:r>
        <w:rPr>
          <w:color w:val="231F20"/>
          <w:spacing w:val="-4"/>
          <w:w w:val="105"/>
        </w:rPr>
        <w:t> </w:t>
      </w:r>
      <w:r>
        <w:rPr>
          <w:color w:val="231F20"/>
          <w:w w:val="105"/>
        </w:rPr>
        <w:t>carried</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4"/>
          <w:w w:val="105"/>
        </w:rPr>
        <w:t> </w:t>
      </w:r>
      <w:r>
        <w:rPr>
          <w:color w:val="231F20"/>
          <w:w w:val="105"/>
        </w:rPr>
        <w:t>interior</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4"/>
          <w:w w:val="105"/>
        </w:rPr>
        <w:t> </w:t>
      </w:r>
      <w:r>
        <w:rPr>
          <w:color w:val="231F20"/>
          <w:w w:val="105"/>
        </w:rPr>
        <w:t>cell,</w:t>
      </w:r>
      <w:r>
        <w:rPr>
          <w:color w:val="231F20"/>
          <w:spacing w:val="-5"/>
          <w:w w:val="105"/>
        </w:rPr>
        <w:t> </w:t>
      </w:r>
      <w:r>
        <w:rPr>
          <w:color w:val="231F20"/>
          <w:w w:val="105"/>
        </w:rPr>
        <w:t>hydrogen</w:t>
      </w:r>
    </w:p>
    <w:p>
      <w:pPr>
        <w:spacing w:after="0" w:line="249" w:lineRule="auto"/>
        <w:jc w:val="both"/>
        <w:sectPr>
          <w:type w:val="continuous"/>
          <w:pgSz w:w="12240" w:h="15660"/>
          <w:pgMar w:top="0" w:bottom="760" w:left="0" w:right="0"/>
          <w:cols w:num="2" w:equalWidth="0">
            <w:col w:w="5567" w:space="40"/>
            <w:col w:w="6633"/>
          </w:cols>
        </w:sectPr>
      </w:pPr>
    </w:p>
    <w:p>
      <w:pPr>
        <w:pStyle w:val="BodyText"/>
        <w:spacing w:before="10"/>
        <w:rPr>
          <w:sz w:val="17"/>
        </w:rPr>
      </w:pPr>
    </w:p>
    <w:p>
      <w:pPr>
        <w:spacing w:before="1"/>
        <w:ind w:left="0" w:right="75" w:firstLine="0"/>
        <w:jc w:val="right"/>
        <w:rPr>
          <w:rFonts w:ascii="Helvetica"/>
          <w:b/>
          <w:sz w:val="16"/>
        </w:rPr>
      </w:pPr>
      <w:r>
        <w:rPr>
          <w:rFonts w:ascii="Helvetica"/>
          <w:b/>
          <w:color w:val="231F20"/>
          <w:sz w:val="16"/>
        </w:rPr>
        <w:t>ATP</w:t>
      </w:r>
    </w:p>
    <w:p>
      <w:pPr>
        <w:tabs>
          <w:tab w:pos="788" w:val="left" w:leader="none"/>
        </w:tabs>
        <w:spacing w:before="8"/>
        <w:ind w:left="0" w:right="0" w:firstLine="0"/>
        <w:jc w:val="right"/>
        <w:rPr>
          <w:sz w:val="12"/>
        </w:rPr>
      </w:pPr>
      <w:r>
        <w:rPr>
          <w:rFonts w:ascii="Helvetica" w:hAnsi="Helvetica"/>
          <w:color w:val="231F20"/>
          <w:spacing w:val="4"/>
          <w:position w:val="-4"/>
          <w:sz w:val="16"/>
        </w:rPr>
        <w:t>K</w:t>
      </w:r>
      <w:r>
        <w:rPr>
          <w:rFonts w:ascii="Symbol" w:hAnsi="Symbol"/>
          <w:color w:val="231F20"/>
          <w:spacing w:val="4"/>
          <w:sz w:val="12"/>
        </w:rPr>
        <w:t></w:t>
      </w:r>
      <w:r>
        <w:rPr>
          <w:rFonts w:ascii="Symbol" w:hAnsi="Symbol"/>
          <w:color w:val="231F20"/>
          <w:spacing w:val="4"/>
          <w:sz w:val="12"/>
          <w:u w:val="thick" w:color="231F20"/>
        </w:rPr>
        <w:t></w:t>
      </w:r>
      <w:r>
        <w:rPr>
          <w:color w:val="231F20"/>
          <w:spacing w:val="4"/>
          <w:sz w:val="12"/>
          <w:u w:val="thick" w:color="231F20"/>
        </w:rPr>
        <w:tab/>
      </w:r>
    </w:p>
    <w:p>
      <w:pPr>
        <w:spacing w:before="100"/>
        <w:ind w:left="504" w:right="0" w:firstLine="0"/>
        <w:jc w:val="left"/>
        <w:rPr>
          <w:rFonts w:ascii="Helvetica" w:hAnsi="Helvetica"/>
          <w:sz w:val="16"/>
        </w:rPr>
      </w:pPr>
      <w:r>
        <w:rPr/>
        <w:br w:type="column"/>
      </w:r>
      <w:r>
        <w:rPr>
          <w:rFonts w:ascii="Symbol" w:hAnsi="Symbol"/>
          <w:color w:val="231F20"/>
          <w:sz w:val="16"/>
        </w:rPr>
        <w:t></w:t>
      </w:r>
      <w:r>
        <w:rPr>
          <w:rFonts w:ascii="Helvetica" w:hAnsi="Helvetica"/>
          <w:color w:val="231F20"/>
          <w:sz w:val="16"/>
        </w:rPr>
        <w:t>70 mV</w:t>
      </w:r>
    </w:p>
    <w:p>
      <w:pPr>
        <w:pStyle w:val="BodyText"/>
        <w:spacing w:before="8"/>
        <w:rPr>
          <w:rFonts w:ascii="Helvetica"/>
          <w:sz w:val="16"/>
        </w:rPr>
      </w:pPr>
      <w:r>
        <w:rPr/>
        <w:br w:type="column"/>
      </w:r>
      <w:r>
        <w:rPr>
          <w:rFonts w:ascii="Helvetica"/>
          <w:sz w:val="16"/>
        </w:rPr>
      </w:r>
    </w:p>
    <w:p>
      <w:pPr>
        <w:spacing w:before="1"/>
        <w:ind w:left="559" w:right="0" w:firstLine="0"/>
        <w:jc w:val="left"/>
        <w:rPr>
          <w:rFonts w:ascii="Helvetica"/>
          <w:b/>
          <w:sz w:val="16"/>
        </w:rPr>
      </w:pPr>
      <w:r>
        <w:rPr>
          <w:rFonts w:ascii="Helvetica"/>
          <w:b/>
          <w:color w:val="231F20"/>
          <w:sz w:val="16"/>
        </w:rPr>
        <w:t>NHE</w:t>
      </w:r>
    </w:p>
    <w:p>
      <w:pPr>
        <w:tabs>
          <w:tab w:pos="964" w:val="left" w:leader="none"/>
        </w:tabs>
        <w:spacing w:before="22"/>
        <w:ind w:left="176" w:right="0" w:firstLine="0"/>
        <w:jc w:val="left"/>
        <w:rPr>
          <w:sz w:val="12"/>
        </w:rPr>
      </w:pPr>
      <w:r>
        <w:rPr>
          <w:rFonts w:ascii="Helvetica" w:hAnsi="Helvetica"/>
          <w:color w:val="231F20"/>
          <w:position w:val="-4"/>
          <w:sz w:val="16"/>
        </w:rPr>
        <w:t>H</w:t>
      </w:r>
      <w:r>
        <w:rPr>
          <w:rFonts w:ascii="Symbol" w:hAnsi="Symbol"/>
          <w:color w:val="231F20"/>
          <w:sz w:val="12"/>
        </w:rPr>
        <w:t></w:t>
      </w:r>
      <w:r>
        <w:rPr>
          <w:rFonts w:ascii="Symbol" w:hAnsi="Symbol"/>
          <w:color w:val="231F20"/>
          <w:sz w:val="12"/>
          <w:u w:val="thick" w:color="F0535F"/>
        </w:rPr>
        <w:t></w:t>
      </w:r>
      <w:r>
        <w:rPr>
          <w:color w:val="231F20"/>
          <w:sz w:val="12"/>
          <w:u w:val="thick" w:color="F0535F"/>
        </w:rPr>
        <w:tab/>
      </w:r>
    </w:p>
    <w:p>
      <w:pPr>
        <w:pStyle w:val="BodyText"/>
        <w:spacing w:line="249" w:lineRule="auto"/>
        <w:ind w:left="1571" w:right="1437"/>
        <w:jc w:val="both"/>
      </w:pPr>
      <w:r>
        <w:rPr/>
        <w:br w:type="column"/>
      </w:r>
      <w:r>
        <w:rPr>
          <w:color w:val="231F20"/>
          <w:w w:val="105"/>
        </w:rPr>
        <w:t>ions</w:t>
      </w:r>
      <w:r>
        <w:rPr>
          <w:color w:val="231F20"/>
          <w:spacing w:val="-11"/>
          <w:w w:val="105"/>
        </w:rPr>
        <w:t> </w:t>
      </w:r>
      <w:r>
        <w:rPr>
          <w:color w:val="231F20"/>
          <w:w w:val="105"/>
        </w:rPr>
        <w:t>are</w:t>
      </w:r>
      <w:r>
        <w:rPr>
          <w:color w:val="231F20"/>
          <w:spacing w:val="-10"/>
          <w:w w:val="105"/>
        </w:rPr>
        <w:t> </w:t>
      </w:r>
      <w:r>
        <w:rPr>
          <w:color w:val="231F20"/>
          <w:w w:val="105"/>
        </w:rPr>
        <w:t>forced</w:t>
      </w:r>
      <w:r>
        <w:rPr>
          <w:color w:val="231F20"/>
          <w:spacing w:val="-10"/>
          <w:w w:val="105"/>
        </w:rPr>
        <w:t> </w:t>
      </w:r>
      <w:r>
        <w:rPr>
          <w:color w:val="231F20"/>
          <w:w w:val="105"/>
        </w:rPr>
        <w:t>outward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opposite</w:t>
      </w:r>
      <w:r>
        <w:rPr>
          <w:color w:val="231F20"/>
          <w:spacing w:val="-10"/>
          <w:w w:val="105"/>
        </w:rPr>
        <w:t> </w:t>
      </w:r>
      <w:r>
        <w:rPr>
          <w:color w:val="231F20"/>
          <w:w w:val="105"/>
        </w:rPr>
        <w:t>direction</w:t>
      </w:r>
      <w:r>
        <w:rPr>
          <w:color w:val="231F20"/>
          <w:spacing w:val="-11"/>
          <w:w w:val="105"/>
        </w:rPr>
        <w:t> </w:t>
      </w:r>
      <w:r>
        <w:rPr>
          <w:color w:val="231F20"/>
          <w:w w:val="105"/>
        </w:rPr>
        <w:t>into</w:t>
      </w:r>
      <w:r>
        <w:rPr>
          <w:color w:val="231F20"/>
          <w:spacing w:val="-10"/>
          <w:w w:val="105"/>
        </w:rPr>
        <w:t> </w:t>
      </w:r>
      <w:r>
        <w:rPr>
          <w:color w:val="231F20"/>
          <w:w w:val="105"/>
        </w:rPr>
        <w:t>the tubular lumen. The basic principles of primary and </w:t>
      </w:r>
      <w:r>
        <w:rPr>
          <w:color w:val="231F20"/>
          <w:spacing w:val="-4"/>
          <w:w w:val="105"/>
        </w:rPr>
        <w:t>sec- </w:t>
      </w:r>
      <w:r>
        <w:rPr>
          <w:color w:val="231F20"/>
          <w:w w:val="105"/>
        </w:rPr>
        <w:t>ondary active transport are discussed in Chapter</w:t>
      </w:r>
      <w:r>
        <w:rPr>
          <w:color w:val="231F20"/>
          <w:spacing w:val="1"/>
          <w:w w:val="105"/>
        </w:rPr>
        <w:t> </w:t>
      </w:r>
      <w:r>
        <w:rPr>
          <w:color w:val="231F20"/>
          <w:w w:val="105"/>
        </w:rPr>
        <w:t>4.</w:t>
      </w:r>
    </w:p>
    <w:p>
      <w:pPr>
        <w:spacing w:line="210" w:lineRule="exact" w:before="250"/>
        <w:ind w:left="1571" w:right="0" w:firstLine="0"/>
        <w:jc w:val="both"/>
        <w:rPr>
          <w:rFonts w:ascii="Trebuchet MS" w:hAnsi="Trebuchet MS"/>
          <w:b/>
          <w:sz w:val="19"/>
        </w:rPr>
      </w:pPr>
      <w:r>
        <w:rPr>
          <w:rFonts w:ascii="Trebuchet MS" w:hAnsi="Trebuchet MS"/>
          <w:b/>
          <w:color w:val="231F20"/>
          <w:sz w:val="19"/>
        </w:rPr>
        <w:t>Pinocytosis—An Active Transport Mechanism for</w:t>
      </w:r>
    </w:p>
    <w:p>
      <w:pPr>
        <w:spacing w:after="0" w:line="210" w:lineRule="exact"/>
        <w:jc w:val="both"/>
        <w:rPr>
          <w:rFonts w:ascii="Trebuchet MS" w:hAnsi="Trebuchet MS"/>
          <w:sz w:val="19"/>
        </w:rPr>
        <w:sectPr>
          <w:type w:val="continuous"/>
          <w:pgSz w:w="12240" w:h="15660"/>
          <w:pgMar w:top="0" w:bottom="760" w:left="0" w:right="0"/>
          <w:cols w:num="4" w:equalWidth="0">
            <w:col w:w="2409" w:space="40"/>
            <w:col w:w="1055" w:space="39"/>
            <w:col w:w="965" w:space="40"/>
            <w:col w:w="7692"/>
          </w:cols>
        </w:sectPr>
      </w:pPr>
    </w:p>
    <w:p>
      <w:pPr>
        <w:spacing w:line="183" w:lineRule="exact" w:before="0"/>
        <w:ind w:left="966" w:right="467" w:firstLine="0"/>
        <w:jc w:val="center"/>
        <w:rPr>
          <w:rFonts w:ascii="Helvetica"/>
          <w:sz w:val="16"/>
        </w:rPr>
      </w:pPr>
      <w:r>
        <w:rPr>
          <w:rFonts w:ascii="Helvetica"/>
          <w:color w:val="231F20"/>
          <w:sz w:val="16"/>
        </w:rPr>
        <w:t>Counter-transport</w:t>
      </w:r>
    </w:p>
    <w:p>
      <w:pPr>
        <w:spacing w:line="259" w:lineRule="auto" w:before="91"/>
        <w:ind w:left="1080" w:right="0" w:firstLine="0"/>
        <w:jc w:val="both"/>
        <w:rPr>
          <w:rFonts w:ascii="Arial" w:hAnsi="Arial"/>
          <w:sz w:val="16"/>
        </w:rPr>
      </w:pPr>
      <w:bookmarkStart w:name="_bookmark42" w:id="43"/>
      <w:bookmarkEnd w:id="43"/>
      <w:r>
        <w:rPr/>
      </w:r>
      <w:r>
        <w:rPr>
          <w:rFonts w:ascii="Trebuchet MS" w:hAnsi="Trebuchet MS"/>
          <w:b/>
          <w:color w:val="231F20"/>
          <w:sz w:val="16"/>
        </w:rPr>
        <w:t>Figure</w:t>
      </w:r>
      <w:r>
        <w:rPr>
          <w:rFonts w:ascii="Trebuchet MS" w:hAnsi="Trebuchet MS"/>
          <w:b/>
          <w:color w:val="231F20"/>
          <w:spacing w:val="-17"/>
          <w:sz w:val="16"/>
        </w:rPr>
        <w:t> </w:t>
      </w:r>
      <w:r>
        <w:rPr>
          <w:rFonts w:ascii="Trebuchet MS" w:hAnsi="Trebuchet MS"/>
          <w:b/>
          <w:color w:val="231F20"/>
          <w:sz w:val="16"/>
        </w:rPr>
        <w:t>28­3.</w:t>
      </w:r>
      <w:r>
        <w:rPr>
          <w:rFonts w:ascii="Trebuchet MS" w:hAnsi="Trebuchet MS"/>
          <w:b/>
          <w:color w:val="231F20"/>
          <w:spacing w:val="-3"/>
          <w:sz w:val="16"/>
        </w:rPr>
        <w:t> </w:t>
      </w:r>
      <w:r>
        <w:rPr>
          <w:rFonts w:ascii="Arial" w:hAnsi="Arial"/>
          <w:color w:val="231F20"/>
          <w:sz w:val="16"/>
        </w:rPr>
        <w:t>Mechanisms</w:t>
      </w:r>
      <w:r>
        <w:rPr>
          <w:rFonts w:ascii="Arial" w:hAnsi="Arial"/>
          <w:color w:val="231F20"/>
          <w:spacing w:val="-13"/>
          <w:sz w:val="16"/>
        </w:rPr>
        <w:t> </w:t>
      </w:r>
      <w:r>
        <w:rPr>
          <w:rFonts w:ascii="Arial" w:hAnsi="Arial"/>
          <w:color w:val="231F20"/>
          <w:sz w:val="16"/>
        </w:rPr>
        <w:t>of</w:t>
      </w:r>
      <w:r>
        <w:rPr>
          <w:rFonts w:ascii="Arial" w:hAnsi="Arial"/>
          <w:color w:val="231F20"/>
          <w:spacing w:val="-13"/>
          <w:sz w:val="16"/>
        </w:rPr>
        <w:t> </w:t>
      </w:r>
      <w:r>
        <w:rPr>
          <w:rFonts w:ascii="Arial" w:hAnsi="Arial"/>
          <w:color w:val="231F20"/>
          <w:sz w:val="16"/>
        </w:rPr>
        <w:t>secondary</w:t>
      </w:r>
      <w:r>
        <w:rPr>
          <w:rFonts w:ascii="Arial" w:hAnsi="Arial"/>
          <w:color w:val="231F20"/>
          <w:spacing w:val="-13"/>
          <w:sz w:val="16"/>
        </w:rPr>
        <w:t> </w:t>
      </w:r>
      <w:r>
        <w:rPr>
          <w:rFonts w:ascii="Arial" w:hAnsi="Arial"/>
          <w:color w:val="231F20"/>
          <w:sz w:val="16"/>
        </w:rPr>
        <w:t>active</w:t>
      </w:r>
      <w:r>
        <w:rPr>
          <w:rFonts w:ascii="Arial" w:hAnsi="Arial"/>
          <w:color w:val="231F20"/>
          <w:spacing w:val="-13"/>
          <w:sz w:val="16"/>
        </w:rPr>
        <w:t> </w:t>
      </w:r>
      <w:r>
        <w:rPr>
          <w:rFonts w:ascii="Arial" w:hAnsi="Arial"/>
          <w:color w:val="231F20"/>
          <w:sz w:val="16"/>
        </w:rPr>
        <w:t>transport.</w:t>
      </w:r>
      <w:r>
        <w:rPr>
          <w:rFonts w:ascii="Arial" w:hAnsi="Arial"/>
          <w:color w:val="231F20"/>
          <w:spacing w:val="-13"/>
          <w:sz w:val="16"/>
        </w:rPr>
        <w:t> </w:t>
      </w:r>
      <w:r>
        <w:rPr>
          <w:rFonts w:ascii="Arial" w:hAnsi="Arial"/>
          <w:color w:val="231F20"/>
          <w:sz w:val="16"/>
        </w:rPr>
        <w:t>The</w:t>
      </w:r>
      <w:r>
        <w:rPr>
          <w:rFonts w:ascii="Arial" w:hAnsi="Arial"/>
          <w:color w:val="231F20"/>
          <w:spacing w:val="-13"/>
          <w:sz w:val="16"/>
        </w:rPr>
        <w:t> </w:t>
      </w:r>
      <w:r>
        <w:rPr>
          <w:rFonts w:ascii="Arial" w:hAnsi="Arial"/>
          <w:color w:val="231F20"/>
          <w:spacing w:val="-4"/>
          <w:sz w:val="16"/>
        </w:rPr>
        <w:t>upper </w:t>
      </w:r>
      <w:r>
        <w:rPr>
          <w:rFonts w:ascii="Arial" w:hAnsi="Arial"/>
          <w:color w:val="231F20"/>
          <w:sz w:val="16"/>
        </w:rPr>
        <w:t>cell</w:t>
      </w:r>
      <w:r>
        <w:rPr>
          <w:rFonts w:ascii="Arial" w:hAnsi="Arial"/>
          <w:color w:val="231F20"/>
          <w:spacing w:val="-8"/>
          <w:sz w:val="16"/>
        </w:rPr>
        <w:t> </w:t>
      </w:r>
      <w:r>
        <w:rPr>
          <w:rFonts w:ascii="Arial" w:hAnsi="Arial"/>
          <w:color w:val="231F20"/>
          <w:sz w:val="16"/>
        </w:rPr>
        <w:t>shows</w:t>
      </w:r>
      <w:r>
        <w:rPr>
          <w:rFonts w:ascii="Arial" w:hAnsi="Arial"/>
          <w:color w:val="231F20"/>
          <w:spacing w:val="-7"/>
          <w:sz w:val="16"/>
        </w:rPr>
        <w:t> </w:t>
      </w:r>
      <w:r>
        <w:rPr>
          <w:rFonts w:ascii="Arial" w:hAnsi="Arial"/>
          <w:color w:val="231F20"/>
          <w:sz w:val="16"/>
        </w:rPr>
        <w:t>the</w:t>
      </w:r>
      <w:r>
        <w:rPr>
          <w:rFonts w:ascii="Arial" w:hAnsi="Arial"/>
          <w:color w:val="231F20"/>
          <w:spacing w:val="-7"/>
          <w:sz w:val="16"/>
        </w:rPr>
        <w:t> </w:t>
      </w:r>
      <w:r>
        <w:rPr>
          <w:rFonts w:ascii="Lucida Sans" w:hAnsi="Lucida Sans"/>
          <w:i/>
          <w:color w:val="231F20"/>
          <w:sz w:val="16"/>
        </w:rPr>
        <w:t>co-transport</w:t>
      </w:r>
      <w:r>
        <w:rPr>
          <w:rFonts w:ascii="Lucida Sans" w:hAnsi="Lucida Sans"/>
          <w:i/>
          <w:color w:val="231F20"/>
          <w:spacing w:val="-14"/>
          <w:sz w:val="16"/>
        </w:rPr>
        <w:t> </w:t>
      </w:r>
      <w:r>
        <w:rPr>
          <w:rFonts w:ascii="Arial" w:hAnsi="Arial"/>
          <w:color w:val="231F20"/>
          <w:sz w:val="16"/>
        </w:rPr>
        <w:t>of</w:t>
      </w:r>
      <w:r>
        <w:rPr>
          <w:rFonts w:ascii="Arial" w:hAnsi="Arial"/>
          <w:color w:val="231F20"/>
          <w:spacing w:val="-7"/>
          <w:sz w:val="16"/>
        </w:rPr>
        <w:t> </w:t>
      </w:r>
      <w:r>
        <w:rPr>
          <w:rFonts w:ascii="Arial" w:hAnsi="Arial"/>
          <w:color w:val="231F20"/>
          <w:sz w:val="16"/>
        </w:rPr>
        <w:t>glucose</w:t>
      </w:r>
      <w:r>
        <w:rPr>
          <w:rFonts w:ascii="Arial" w:hAnsi="Arial"/>
          <w:color w:val="231F20"/>
          <w:spacing w:val="-7"/>
          <w:sz w:val="16"/>
        </w:rPr>
        <w:t> </w:t>
      </w:r>
      <w:r>
        <w:rPr>
          <w:rFonts w:ascii="Arial" w:hAnsi="Arial"/>
          <w:color w:val="231F20"/>
          <w:sz w:val="16"/>
        </w:rPr>
        <w:t>and</w:t>
      </w:r>
      <w:r>
        <w:rPr>
          <w:rFonts w:ascii="Arial" w:hAnsi="Arial"/>
          <w:color w:val="231F20"/>
          <w:spacing w:val="-8"/>
          <w:sz w:val="16"/>
        </w:rPr>
        <w:t> </w:t>
      </w:r>
      <w:r>
        <w:rPr>
          <w:rFonts w:ascii="Arial" w:hAnsi="Arial"/>
          <w:color w:val="231F20"/>
          <w:sz w:val="16"/>
        </w:rPr>
        <w:t>amino</w:t>
      </w:r>
      <w:r>
        <w:rPr>
          <w:rFonts w:ascii="Arial" w:hAnsi="Arial"/>
          <w:color w:val="231F20"/>
          <w:spacing w:val="-7"/>
          <w:sz w:val="16"/>
        </w:rPr>
        <w:t> </w:t>
      </w:r>
      <w:r>
        <w:rPr>
          <w:rFonts w:ascii="Arial" w:hAnsi="Arial"/>
          <w:color w:val="231F20"/>
          <w:sz w:val="16"/>
        </w:rPr>
        <w:t>acids</w:t>
      </w:r>
      <w:r>
        <w:rPr>
          <w:rFonts w:ascii="Arial" w:hAnsi="Arial"/>
          <w:color w:val="231F20"/>
          <w:spacing w:val="-7"/>
          <w:sz w:val="16"/>
        </w:rPr>
        <w:t> </w:t>
      </w:r>
      <w:r>
        <w:rPr>
          <w:rFonts w:ascii="Arial" w:hAnsi="Arial"/>
          <w:color w:val="231F20"/>
          <w:sz w:val="16"/>
        </w:rPr>
        <w:t>along</w:t>
      </w:r>
      <w:r>
        <w:rPr>
          <w:rFonts w:ascii="Arial" w:hAnsi="Arial"/>
          <w:color w:val="231F20"/>
          <w:spacing w:val="-7"/>
          <w:sz w:val="16"/>
        </w:rPr>
        <w:t> </w:t>
      </w:r>
      <w:r>
        <w:rPr>
          <w:rFonts w:ascii="Arial" w:hAnsi="Arial"/>
          <w:color w:val="231F20"/>
          <w:spacing w:val="-4"/>
          <w:sz w:val="16"/>
        </w:rPr>
        <w:t>with </w:t>
      </w:r>
      <w:r>
        <w:rPr>
          <w:rFonts w:ascii="Arial" w:hAnsi="Arial"/>
          <w:color w:val="231F20"/>
          <w:sz w:val="16"/>
        </w:rPr>
        <w:t>sodium ions through the apical side of the tubular epithelial </w:t>
      </w:r>
      <w:r>
        <w:rPr>
          <w:rFonts w:ascii="Arial" w:hAnsi="Arial"/>
          <w:color w:val="231F20"/>
          <w:spacing w:val="-3"/>
          <w:sz w:val="16"/>
        </w:rPr>
        <w:t>cells, </w:t>
      </w:r>
      <w:r>
        <w:rPr>
          <w:rFonts w:ascii="Arial" w:hAnsi="Arial"/>
          <w:color w:val="231F20"/>
          <w:sz w:val="16"/>
        </w:rPr>
        <w:t>followed</w:t>
      </w:r>
      <w:r>
        <w:rPr>
          <w:rFonts w:ascii="Arial" w:hAnsi="Arial"/>
          <w:color w:val="231F20"/>
          <w:spacing w:val="-16"/>
          <w:sz w:val="16"/>
        </w:rPr>
        <w:t> </w:t>
      </w:r>
      <w:r>
        <w:rPr>
          <w:rFonts w:ascii="Arial" w:hAnsi="Arial"/>
          <w:color w:val="231F20"/>
          <w:sz w:val="16"/>
        </w:rPr>
        <w:t>by</w:t>
      </w:r>
      <w:r>
        <w:rPr>
          <w:rFonts w:ascii="Arial" w:hAnsi="Arial"/>
          <w:color w:val="231F20"/>
          <w:spacing w:val="-15"/>
          <w:sz w:val="16"/>
        </w:rPr>
        <w:t> </w:t>
      </w:r>
      <w:r>
        <w:rPr>
          <w:rFonts w:ascii="Arial" w:hAnsi="Arial"/>
          <w:color w:val="231F20"/>
          <w:sz w:val="16"/>
        </w:rPr>
        <w:t>facilitated</w:t>
      </w:r>
      <w:r>
        <w:rPr>
          <w:rFonts w:ascii="Arial" w:hAnsi="Arial"/>
          <w:color w:val="231F20"/>
          <w:spacing w:val="-16"/>
          <w:sz w:val="16"/>
        </w:rPr>
        <w:t> </w:t>
      </w:r>
      <w:r>
        <w:rPr>
          <w:rFonts w:ascii="Arial" w:hAnsi="Arial"/>
          <w:color w:val="231F20"/>
          <w:sz w:val="16"/>
        </w:rPr>
        <w:t>diffusion</w:t>
      </w:r>
      <w:r>
        <w:rPr>
          <w:rFonts w:ascii="Arial" w:hAnsi="Arial"/>
          <w:color w:val="231F20"/>
          <w:spacing w:val="-15"/>
          <w:sz w:val="16"/>
        </w:rPr>
        <w:t> </w:t>
      </w:r>
      <w:r>
        <w:rPr>
          <w:rFonts w:ascii="Arial" w:hAnsi="Arial"/>
          <w:color w:val="231F20"/>
          <w:sz w:val="16"/>
        </w:rPr>
        <w:t>through</w:t>
      </w:r>
      <w:r>
        <w:rPr>
          <w:rFonts w:ascii="Arial" w:hAnsi="Arial"/>
          <w:color w:val="231F20"/>
          <w:spacing w:val="-16"/>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basolateral</w:t>
      </w:r>
      <w:r>
        <w:rPr>
          <w:rFonts w:ascii="Arial" w:hAnsi="Arial"/>
          <w:color w:val="231F20"/>
          <w:spacing w:val="-16"/>
          <w:sz w:val="16"/>
        </w:rPr>
        <w:t> </w:t>
      </w:r>
      <w:r>
        <w:rPr>
          <w:rFonts w:ascii="Arial" w:hAnsi="Arial"/>
          <w:color w:val="231F20"/>
          <w:sz w:val="16"/>
        </w:rPr>
        <w:t>membranes. The</w:t>
      </w:r>
      <w:r>
        <w:rPr>
          <w:rFonts w:ascii="Arial" w:hAnsi="Arial"/>
          <w:color w:val="231F20"/>
          <w:spacing w:val="-10"/>
          <w:sz w:val="16"/>
        </w:rPr>
        <w:t> </w:t>
      </w:r>
      <w:r>
        <w:rPr>
          <w:rFonts w:ascii="Arial" w:hAnsi="Arial"/>
          <w:color w:val="231F20"/>
          <w:sz w:val="16"/>
        </w:rPr>
        <w:t>lower</w:t>
      </w:r>
      <w:r>
        <w:rPr>
          <w:rFonts w:ascii="Arial" w:hAnsi="Arial"/>
          <w:color w:val="231F20"/>
          <w:spacing w:val="-9"/>
          <w:sz w:val="16"/>
        </w:rPr>
        <w:t> </w:t>
      </w:r>
      <w:r>
        <w:rPr>
          <w:rFonts w:ascii="Arial" w:hAnsi="Arial"/>
          <w:color w:val="231F20"/>
          <w:sz w:val="16"/>
        </w:rPr>
        <w:t>cell</w:t>
      </w:r>
      <w:r>
        <w:rPr>
          <w:rFonts w:ascii="Arial" w:hAnsi="Arial"/>
          <w:color w:val="231F20"/>
          <w:spacing w:val="-9"/>
          <w:sz w:val="16"/>
        </w:rPr>
        <w:t> </w:t>
      </w:r>
      <w:r>
        <w:rPr>
          <w:rFonts w:ascii="Arial" w:hAnsi="Arial"/>
          <w:color w:val="231F20"/>
          <w:sz w:val="16"/>
        </w:rPr>
        <w:t>shows</w:t>
      </w:r>
      <w:r>
        <w:rPr>
          <w:rFonts w:ascii="Arial" w:hAnsi="Arial"/>
          <w:color w:val="231F20"/>
          <w:spacing w:val="-9"/>
          <w:sz w:val="16"/>
        </w:rPr>
        <w:t> </w:t>
      </w:r>
      <w:r>
        <w:rPr>
          <w:rFonts w:ascii="Arial" w:hAnsi="Arial"/>
          <w:color w:val="231F20"/>
          <w:sz w:val="16"/>
        </w:rPr>
        <w:t>the</w:t>
      </w:r>
      <w:r>
        <w:rPr>
          <w:rFonts w:ascii="Arial" w:hAnsi="Arial"/>
          <w:color w:val="231F20"/>
          <w:spacing w:val="-9"/>
          <w:sz w:val="16"/>
        </w:rPr>
        <w:t> </w:t>
      </w:r>
      <w:r>
        <w:rPr>
          <w:rFonts w:ascii="Lucida Sans" w:hAnsi="Lucida Sans"/>
          <w:i/>
          <w:color w:val="231F20"/>
          <w:sz w:val="16"/>
        </w:rPr>
        <w:t>counter-transport</w:t>
      </w:r>
      <w:r>
        <w:rPr>
          <w:rFonts w:ascii="Lucida Sans" w:hAnsi="Lucida Sans"/>
          <w:i/>
          <w:color w:val="231F20"/>
          <w:spacing w:val="-16"/>
          <w:sz w:val="16"/>
        </w:rPr>
        <w:t> </w:t>
      </w:r>
      <w:r>
        <w:rPr>
          <w:rFonts w:ascii="Arial" w:hAnsi="Arial"/>
          <w:color w:val="231F20"/>
          <w:sz w:val="16"/>
        </w:rPr>
        <w:t>of</w:t>
      </w:r>
      <w:r>
        <w:rPr>
          <w:rFonts w:ascii="Arial" w:hAnsi="Arial"/>
          <w:color w:val="231F20"/>
          <w:spacing w:val="-9"/>
          <w:sz w:val="16"/>
        </w:rPr>
        <w:t> </w:t>
      </w:r>
      <w:r>
        <w:rPr>
          <w:rFonts w:ascii="Arial" w:hAnsi="Arial"/>
          <w:color w:val="231F20"/>
          <w:sz w:val="16"/>
        </w:rPr>
        <w:t>hydrogen</w:t>
      </w:r>
      <w:r>
        <w:rPr>
          <w:rFonts w:ascii="Arial" w:hAnsi="Arial"/>
          <w:color w:val="231F20"/>
          <w:spacing w:val="-9"/>
          <w:sz w:val="16"/>
        </w:rPr>
        <w:t> </w:t>
      </w:r>
      <w:r>
        <w:rPr>
          <w:rFonts w:ascii="Arial" w:hAnsi="Arial"/>
          <w:color w:val="231F20"/>
          <w:sz w:val="16"/>
        </w:rPr>
        <w:t>ions</w:t>
      </w:r>
      <w:r>
        <w:rPr>
          <w:rFonts w:ascii="Arial" w:hAnsi="Arial"/>
          <w:color w:val="231F20"/>
          <w:spacing w:val="-9"/>
          <w:sz w:val="16"/>
        </w:rPr>
        <w:t> </w:t>
      </w:r>
      <w:r>
        <w:rPr>
          <w:rFonts w:ascii="Arial" w:hAnsi="Arial"/>
          <w:color w:val="231F20"/>
          <w:spacing w:val="-4"/>
          <w:sz w:val="16"/>
        </w:rPr>
        <w:t>from </w:t>
      </w:r>
      <w:r>
        <w:rPr>
          <w:rFonts w:ascii="Arial" w:hAnsi="Arial"/>
          <w:color w:val="231F20"/>
          <w:sz w:val="16"/>
        </w:rPr>
        <w:t>the interior of the cell across the apical membrane and into </w:t>
      </w:r>
      <w:r>
        <w:rPr>
          <w:rFonts w:ascii="Arial" w:hAnsi="Arial"/>
          <w:color w:val="231F20"/>
          <w:spacing w:val="-6"/>
          <w:sz w:val="16"/>
        </w:rPr>
        <w:t>the </w:t>
      </w:r>
      <w:r>
        <w:rPr>
          <w:rFonts w:ascii="Arial" w:hAnsi="Arial"/>
          <w:color w:val="231F20"/>
          <w:sz w:val="16"/>
        </w:rPr>
        <w:t>tubular lumen; movement of sodium ions into the cell, down </w:t>
      </w:r>
      <w:r>
        <w:rPr>
          <w:rFonts w:ascii="Arial" w:hAnsi="Arial"/>
          <w:color w:val="231F20"/>
          <w:spacing w:val="-10"/>
          <w:sz w:val="16"/>
        </w:rPr>
        <w:t>an </w:t>
      </w:r>
      <w:r>
        <w:rPr>
          <w:rFonts w:ascii="Arial" w:hAnsi="Arial"/>
          <w:color w:val="231F20"/>
          <w:sz w:val="16"/>
        </w:rPr>
        <w:t>electrochemical</w:t>
      </w:r>
      <w:r>
        <w:rPr>
          <w:rFonts w:ascii="Arial" w:hAnsi="Arial"/>
          <w:color w:val="231F20"/>
          <w:spacing w:val="-28"/>
          <w:sz w:val="16"/>
        </w:rPr>
        <w:t> </w:t>
      </w:r>
      <w:r>
        <w:rPr>
          <w:rFonts w:ascii="Arial" w:hAnsi="Arial"/>
          <w:color w:val="231F20"/>
          <w:sz w:val="16"/>
        </w:rPr>
        <w:t>gradient</w:t>
      </w:r>
      <w:r>
        <w:rPr>
          <w:rFonts w:ascii="Arial" w:hAnsi="Arial"/>
          <w:color w:val="231F20"/>
          <w:spacing w:val="-27"/>
          <w:sz w:val="16"/>
        </w:rPr>
        <w:t> </w:t>
      </w:r>
      <w:r>
        <w:rPr>
          <w:rFonts w:ascii="Arial" w:hAnsi="Arial"/>
          <w:color w:val="231F20"/>
          <w:sz w:val="16"/>
        </w:rPr>
        <w:t>established</w:t>
      </w:r>
      <w:r>
        <w:rPr>
          <w:rFonts w:ascii="Arial" w:hAnsi="Arial"/>
          <w:color w:val="231F20"/>
          <w:spacing w:val="-27"/>
          <w:sz w:val="16"/>
        </w:rPr>
        <w:t> </w:t>
      </w:r>
      <w:r>
        <w:rPr>
          <w:rFonts w:ascii="Arial" w:hAnsi="Arial"/>
          <w:color w:val="231F20"/>
          <w:sz w:val="16"/>
        </w:rPr>
        <w:t>by</w:t>
      </w:r>
      <w:r>
        <w:rPr>
          <w:rFonts w:ascii="Arial" w:hAnsi="Arial"/>
          <w:color w:val="231F20"/>
          <w:spacing w:val="-27"/>
          <w:sz w:val="16"/>
        </w:rPr>
        <w:t> </w:t>
      </w:r>
      <w:r>
        <w:rPr>
          <w:rFonts w:ascii="Arial" w:hAnsi="Arial"/>
          <w:color w:val="231F20"/>
          <w:sz w:val="16"/>
        </w:rPr>
        <w:t>the</w:t>
      </w:r>
      <w:r>
        <w:rPr>
          <w:rFonts w:ascii="Arial" w:hAnsi="Arial"/>
          <w:color w:val="231F20"/>
          <w:spacing w:val="-27"/>
          <w:sz w:val="16"/>
        </w:rPr>
        <w:t> </w:t>
      </w:r>
      <w:r>
        <w:rPr>
          <w:rFonts w:ascii="Arial" w:hAnsi="Arial"/>
          <w:color w:val="231F20"/>
          <w:sz w:val="16"/>
        </w:rPr>
        <w:t>sodium-potassium</w:t>
      </w:r>
      <w:r>
        <w:rPr>
          <w:rFonts w:ascii="Arial" w:hAnsi="Arial"/>
          <w:color w:val="231F20"/>
          <w:spacing w:val="-27"/>
          <w:sz w:val="16"/>
        </w:rPr>
        <w:t> </w:t>
      </w:r>
      <w:r>
        <w:rPr>
          <w:rFonts w:ascii="Arial" w:hAnsi="Arial"/>
          <w:color w:val="231F20"/>
          <w:spacing w:val="-5"/>
          <w:sz w:val="16"/>
        </w:rPr>
        <w:t>pump </w:t>
      </w:r>
      <w:r>
        <w:rPr>
          <w:rFonts w:ascii="Arial" w:hAnsi="Arial"/>
          <w:color w:val="231F20"/>
          <w:sz w:val="16"/>
        </w:rPr>
        <w:t>on the basolateral membrane, provides the energy for transport  of the hydrogen ions from inside the cell into the tubular </w:t>
      </w:r>
      <w:r>
        <w:rPr>
          <w:rFonts w:ascii="Arial" w:hAnsi="Arial"/>
          <w:color w:val="231F20"/>
          <w:spacing w:val="-3"/>
          <w:sz w:val="16"/>
        </w:rPr>
        <w:t>lumen. </w:t>
      </w:r>
      <w:r>
        <w:rPr>
          <w:rFonts w:ascii="Arial" w:hAnsi="Arial"/>
          <w:color w:val="231F20"/>
          <w:spacing w:val="-9"/>
          <w:w w:val="95"/>
          <w:sz w:val="16"/>
        </w:rPr>
        <w:t>ATP,</w:t>
      </w:r>
      <w:r>
        <w:rPr>
          <w:rFonts w:ascii="Arial" w:hAnsi="Arial"/>
          <w:color w:val="231F20"/>
          <w:spacing w:val="-18"/>
          <w:w w:val="95"/>
          <w:sz w:val="16"/>
        </w:rPr>
        <w:t> </w:t>
      </w:r>
      <w:r>
        <w:rPr>
          <w:rFonts w:ascii="Arial" w:hAnsi="Arial"/>
          <w:color w:val="231F20"/>
          <w:w w:val="95"/>
          <w:sz w:val="16"/>
        </w:rPr>
        <w:t>adenosine</w:t>
      </w:r>
      <w:r>
        <w:rPr>
          <w:rFonts w:ascii="Arial" w:hAnsi="Arial"/>
          <w:color w:val="231F20"/>
          <w:spacing w:val="-18"/>
          <w:w w:val="95"/>
          <w:sz w:val="16"/>
        </w:rPr>
        <w:t> </w:t>
      </w:r>
      <w:r>
        <w:rPr>
          <w:rFonts w:ascii="Arial" w:hAnsi="Arial"/>
          <w:color w:val="231F20"/>
          <w:w w:val="95"/>
          <w:sz w:val="16"/>
        </w:rPr>
        <w:t>triphosphate;</w:t>
      </w:r>
      <w:r>
        <w:rPr>
          <w:rFonts w:ascii="Arial" w:hAnsi="Arial"/>
          <w:color w:val="231F20"/>
          <w:spacing w:val="-18"/>
          <w:w w:val="95"/>
          <w:sz w:val="16"/>
        </w:rPr>
        <w:t> </w:t>
      </w:r>
      <w:r>
        <w:rPr>
          <w:rFonts w:ascii="Arial" w:hAnsi="Arial"/>
          <w:color w:val="231F20"/>
          <w:spacing w:val="-4"/>
          <w:w w:val="95"/>
          <w:sz w:val="16"/>
        </w:rPr>
        <w:t>GLUT,</w:t>
      </w:r>
      <w:r>
        <w:rPr>
          <w:rFonts w:ascii="Arial" w:hAnsi="Arial"/>
          <w:color w:val="231F20"/>
          <w:spacing w:val="-18"/>
          <w:w w:val="95"/>
          <w:sz w:val="16"/>
        </w:rPr>
        <w:t> </w:t>
      </w:r>
      <w:r>
        <w:rPr>
          <w:rFonts w:ascii="Arial" w:hAnsi="Arial"/>
          <w:color w:val="231F20"/>
          <w:w w:val="95"/>
          <w:sz w:val="16"/>
        </w:rPr>
        <w:t>glucose</w:t>
      </w:r>
      <w:r>
        <w:rPr>
          <w:rFonts w:ascii="Arial" w:hAnsi="Arial"/>
          <w:color w:val="231F20"/>
          <w:spacing w:val="-18"/>
          <w:w w:val="95"/>
          <w:sz w:val="16"/>
        </w:rPr>
        <w:t> </w:t>
      </w:r>
      <w:r>
        <w:rPr>
          <w:rFonts w:ascii="Arial" w:hAnsi="Arial"/>
          <w:color w:val="231F20"/>
          <w:w w:val="95"/>
          <w:sz w:val="16"/>
        </w:rPr>
        <w:t>transporter;</w:t>
      </w:r>
      <w:r>
        <w:rPr>
          <w:rFonts w:ascii="Arial" w:hAnsi="Arial"/>
          <w:color w:val="231F20"/>
          <w:spacing w:val="-18"/>
          <w:w w:val="95"/>
          <w:sz w:val="16"/>
        </w:rPr>
        <w:t> </w:t>
      </w:r>
      <w:r>
        <w:rPr>
          <w:rFonts w:ascii="Arial" w:hAnsi="Arial"/>
          <w:color w:val="231F20"/>
          <w:w w:val="95"/>
          <w:sz w:val="16"/>
        </w:rPr>
        <w:t>NHE,</w:t>
      </w:r>
      <w:r>
        <w:rPr>
          <w:rFonts w:ascii="Arial" w:hAnsi="Arial"/>
          <w:color w:val="231F20"/>
          <w:spacing w:val="-18"/>
          <w:w w:val="95"/>
          <w:sz w:val="16"/>
        </w:rPr>
        <w:t> </w:t>
      </w:r>
      <w:r>
        <w:rPr>
          <w:rFonts w:ascii="Arial" w:hAnsi="Arial"/>
          <w:color w:val="231F20"/>
          <w:spacing w:val="-3"/>
          <w:w w:val="95"/>
          <w:sz w:val="16"/>
        </w:rPr>
        <w:t>sodium- </w:t>
      </w:r>
      <w:r>
        <w:rPr>
          <w:rFonts w:ascii="Arial" w:hAnsi="Arial"/>
          <w:color w:val="231F20"/>
          <w:sz w:val="16"/>
        </w:rPr>
        <w:t>hydrogen exchanger; </w:t>
      </w:r>
      <w:r>
        <w:rPr>
          <w:rFonts w:ascii="Arial" w:hAnsi="Arial"/>
          <w:color w:val="231F20"/>
          <w:spacing w:val="-7"/>
          <w:sz w:val="16"/>
        </w:rPr>
        <w:t>SGLT, </w:t>
      </w:r>
      <w:r>
        <w:rPr>
          <w:rFonts w:ascii="Arial" w:hAnsi="Arial"/>
          <w:color w:val="231F20"/>
          <w:sz w:val="16"/>
        </w:rPr>
        <w:t>sodium-glucose</w:t>
      </w:r>
      <w:r>
        <w:rPr>
          <w:rFonts w:ascii="Arial" w:hAnsi="Arial"/>
          <w:color w:val="231F20"/>
          <w:spacing w:val="-17"/>
          <w:sz w:val="16"/>
        </w:rPr>
        <w:t> </w:t>
      </w:r>
      <w:r>
        <w:rPr>
          <w:rFonts w:ascii="Arial" w:hAnsi="Arial"/>
          <w:color w:val="231F20"/>
          <w:sz w:val="16"/>
        </w:rPr>
        <w:t>co-transporter.</w:t>
      </w:r>
    </w:p>
    <w:p>
      <w:pPr>
        <w:pStyle w:val="BodyText"/>
        <w:rPr>
          <w:rFonts w:ascii="Arial"/>
          <w:sz w:val="18"/>
        </w:rPr>
      </w:pPr>
    </w:p>
    <w:p>
      <w:pPr>
        <w:pStyle w:val="BodyText"/>
        <w:rPr>
          <w:rFonts w:ascii="Arial"/>
          <w:sz w:val="23"/>
        </w:rPr>
      </w:pPr>
    </w:p>
    <w:p>
      <w:pPr>
        <w:pStyle w:val="BodyText"/>
        <w:spacing w:line="249" w:lineRule="auto"/>
        <w:ind w:left="1080"/>
        <w:jc w:val="both"/>
      </w:pPr>
      <w:r>
        <w:rPr>
          <w:color w:val="231F20"/>
          <w:w w:val="105"/>
        </w:rPr>
        <w:t>glucose depends on energy expended by the primary active</w:t>
      </w:r>
      <w:r>
        <w:rPr>
          <w:color w:val="231F20"/>
          <w:spacing w:val="-22"/>
          <w:w w:val="105"/>
        </w:rPr>
        <w:t> </w:t>
      </w:r>
      <w:r>
        <w:rPr>
          <w:color w:val="231F20"/>
          <w:w w:val="105"/>
        </w:rPr>
        <w:t>sodium-potassium</w:t>
      </w:r>
      <w:r>
        <w:rPr>
          <w:color w:val="231F20"/>
          <w:spacing w:val="-22"/>
          <w:w w:val="105"/>
        </w:rPr>
        <w:t> </w:t>
      </w:r>
      <w:r>
        <w:rPr>
          <w:color w:val="231F20"/>
          <w:w w:val="105"/>
        </w:rPr>
        <w:t>ATPase</w:t>
      </w:r>
      <w:r>
        <w:rPr>
          <w:color w:val="231F20"/>
          <w:spacing w:val="-22"/>
          <w:w w:val="105"/>
        </w:rPr>
        <w:t> </w:t>
      </w:r>
      <w:r>
        <w:rPr>
          <w:color w:val="231F20"/>
          <w:w w:val="105"/>
        </w:rPr>
        <w:t>pump</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spacing w:val="-3"/>
          <w:w w:val="105"/>
        </w:rPr>
        <w:t>basolateral </w:t>
      </w:r>
      <w:r>
        <w:rPr>
          <w:color w:val="231F20"/>
          <w:w w:val="105"/>
        </w:rPr>
        <w:t>membrane.</w:t>
      </w:r>
      <w:r>
        <w:rPr>
          <w:color w:val="231F20"/>
          <w:spacing w:val="-13"/>
          <w:w w:val="105"/>
        </w:rPr>
        <w:t> </w:t>
      </w:r>
      <w:r>
        <w:rPr>
          <w:color w:val="231F20"/>
          <w:w w:val="105"/>
        </w:rPr>
        <w:t>Because</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activity</w:t>
      </w:r>
      <w:r>
        <w:rPr>
          <w:color w:val="231F20"/>
          <w:spacing w:val="-13"/>
          <w:w w:val="105"/>
        </w:rPr>
        <w:t> </w:t>
      </w:r>
      <w:r>
        <w:rPr>
          <w:color w:val="231F20"/>
          <w:w w:val="105"/>
        </w:rPr>
        <w:t>of</w:t>
      </w:r>
      <w:r>
        <w:rPr>
          <w:color w:val="231F20"/>
          <w:spacing w:val="-13"/>
          <w:w w:val="105"/>
        </w:rPr>
        <w:t> </w:t>
      </w:r>
      <w:r>
        <w:rPr>
          <w:color w:val="231F20"/>
          <w:w w:val="105"/>
        </w:rPr>
        <w:t>this</w:t>
      </w:r>
      <w:r>
        <w:rPr>
          <w:color w:val="231F20"/>
          <w:spacing w:val="-12"/>
          <w:w w:val="105"/>
        </w:rPr>
        <w:t> </w:t>
      </w:r>
      <w:r>
        <w:rPr>
          <w:color w:val="231F20"/>
          <w:w w:val="105"/>
        </w:rPr>
        <w:t>pump,</w:t>
      </w:r>
      <w:r>
        <w:rPr>
          <w:color w:val="231F20"/>
          <w:spacing w:val="-13"/>
          <w:w w:val="105"/>
        </w:rPr>
        <w:t> </w:t>
      </w:r>
      <w:r>
        <w:rPr>
          <w:color w:val="231F20"/>
          <w:w w:val="105"/>
        </w:rPr>
        <w:t>an</w:t>
      </w:r>
      <w:r>
        <w:rPr>
          <w:color w:val="231F20"/>
          <w:spacing w:val="-13"/>
          <w:w w:val="105"/>
        </w:rPr>
        <w:t> </w:t>
      </w:r>
      <w:r>
        <w:rPr>
          <w:color w:val="231F20"/>
          <w:w w:val="105"/>
        </w:rPr>
        <w:t>elec- trochemical gradient for facilitated diffusion of sodium across</w:t>
      </w:r>
      <w:r>
        <w:rPr>
          <w:color w:val="231F20"/>
          <w:spacing w:val="-10"/>
          <w:w w:val="105"/>
        </w:rPr>
        <w:t> </w:t>
      </w:r>
      <w:r>
        <w:rPr>
          <w:color w:val="231F20"/>
          <w:w w:val="105"/>
        </w:rPr>
        <w:t>the</w:t>
      </w:r>
      <w:r>
        <w:rPr>
          <w:color w:val="231F20"/>
          <w:spacing w:val="-10"/>
          <w:w w:val="105"/>
        </w:rPr>
        <w:t> </w:t>
      </w:r>
      <w:r>
        <w:rPr>
          <w:color w:val="231F20"/>
          <w:w w:val="105"/>
        </w:rPr>
        <w:t>luminal</w:t>
      </w:r>
      <w:r>
        <w:rPr>
          <w:color w:val="231F20"/>
          <w:spacing w:val="-10"/>
          <w:w w:val="105"/>
        </w:rPr>
        <w:t> </w:t>
      </w:r>
      <w:r>
        <w:rPr>
          <w:color w:val="231F20"/>
          <w:w w:val="105"/>
        </w:rPr>
        <w:t>membrane</w:t>
      </w:r>
      <w:r>
        <w:rPr>
          <w:color w:val="231F20"/>
          <w:spacing w:val="-9"/>
          <w:w w:val="105"/>
        </w:rPr>
        <w:t> </w:t>
      </w:r>
      <w:r>
        <w:rPr>
          <w:color w:val="231F20"/>
          <w:w w:val="105"/>
        </w:rPr>
        <w:t>is</w:t>
      </w:r>
      <w:r>
        <w:rPr>
          <w:color w:val="231F20"/>
          <w:spacing w:val="-10"/>
          <w:w w:val="105"/>
        </w:rPr>
        <w:t> </w:t>
      </w:r>
      <w:r>
        <w:rPr>
          <w:color w:val="231F20"/>
          <w:w w:val="105"/>
        </w:rPr>
        <w:t>maintained,</w:t>
      </w:r>
      <w:r>
        <w:rPr>
          <w:color w:val="231F20"/>
          <w:spacing w:val="-10"/>
          <w:w w:val="105"/>
        </w:rPr>
        <w:t> </w:t>
      </w:r>
      <w:r>
        <w:rPr>
          <w:color w:val="231F20"/>
          <w:w w:val="105"/>
        </w:rPr>
        <w:t>and</w:t>
      </w:r>
      <w:r>
        <w:rPr>
          <w:color w:val="231F20"/>
          <w:spacing w:val="-9"/>
          <w:w w:val="105"/>
        </w:rPr>
        <w:t> </w:t>
      </w:r>
      <w:r>
        <w:rPr>
          <w:color w:val="231F20"/>
          <w:w w:val="105"/>
        </w:rPr>
        <w:t>it</w:t>
      </w:r>
      <w:r>
        <w:rPr>
          <w:color w:val="231F20"/>
          <w:spacing w:val="-10"/>
          <w:w w:val="105"/>
        </w:rPr>
        <w:t> </w:t>
      </w:r>
      <w:r>
        <w:rPr>
          <w:color w:val="231F20"/>
          <w:w w:val="105"/>
        </w:rPr>
        <w:t>is</w:t>
      </w:r>
      <w:r>
        <w:rPr>
          <w:color w:val="231F20"/>
          <w:spacing w:val="-10"/>
          <w:w w:val="105"/>
        </w:rPr>
        <w:t> </w:t>
      </w:r>
      <w:r>
        <w:rPr>
          <w:color w:val="231F20"/>
          <w:spacing w:val="-5"/>
          <w:w w:val="105"/>
        </w:rPr>
        <w:t>this </w:t>
      </w:r>
      <w:r>
        <w:rPr>
          <w:color w:val="231F20"/>
          <w:w w:val="105"/>
        </w:rPr>
        <w:t>downhill diffusion of sodium to the interior of the </w:t>
      </w:r>
      <w:r>
        <w:rPr>
          <w:color w:val="231F20"/>
          <w:spacing w:val="-6"/>
          <w:w w:val="105"/>
        </w:rPr>
        <w:t>cell </w:t>
      </w:r>
      <w:r>
        <w:rPr>
          <w:color w:val="231F20"/>
          <w:w w:val="105"/>
        </w:rPr>
        <w:t>that provides the energy for the simultaneous</w:t>
      </w:r>
      <w:r>
        <w:rPr>
          <w:color w:val="231F20"/>
          <w:spacing w:val="32"/>
          <w:w w:val="105"/>
        </w:rPr>
        <w:t> </w:t>
      </w:r>
      <w:r>
        <w:rPr>
          <w:color w:val="231F20"/>
          <w:spacing w:val="-3"/>
          <w:w w:val="105"/>
        </w:rPr>
        <w:t>uphill </w:t>
      </w:r>
      <w:r>
        <w:rPr>
          <w:color w:val="231F20"/>
          <w:w w:val="105"/>
        </w:rPr>
        <w:t>transport</w:t>
      </w:r>
      <w:r>
        <w:rPr>
          <w:color w:val="231F20"/>
          <w:spacing w:val="-12"/>
          <w:w w:val="105"/>
        </w:rPr>
        <w:t> </w:t>
      </w:r>
      <w:r>
        <w:rPr>
          <w:color w:val="231F20"/>
          <w:w w:val="105"/>
        </w:rPr>
        <w:t>of</w:t>
      </w:r>
      <w:r>
        <w:rPr>
          <w:color w:val="231F20"/>
          <w:spacing w:val="-11"/>
          <w:w w:val="105"/>
        </w:rPr>
        <w:t> </w:t>
      </w:r>
      <w:r>
        <w:rPr>
          <w:color w:val="231F20"/>
          <w:w w:val="105"/>
        </w:rPr>
        <w:t>glucose</w:t>
      </w:r>
      <w:r>
        <w:rPr>
          <w:color w:val="231F20"/>
          <w:spacing w:val="-12"/>
          <w:w w:val="105"/>
        </w:rPr>
        <w:t> </w:t>
      </w:r>
      <w:r>
        <w:rPr>
          <w:color w:val="231F20"/>
          <w:w w:val="105"/>
        </w:rPr>
        <w:t>across</w:t>
      </w:r>
      <w:r>
        <w:rPr>
          <w:color w:val="231F20"/>
          <w:spacing w:val="-11"/>
          <w:w w:val="105"/>
        </w:rPr>
        <w:t> </w:t>
      </w:r>
      <w:r>
        <w:rPr>
          <w:color w:val="231F20"/>
          <w:w w:val="105"/>
        </w:rPr>
        <w:t>the</w:t>
      </w:r>
      <w:r>
        <w:rPr>
          <w:color w:val="231F20"/>
          <w:spacing w:val="-12"/>
          <w:w w:val="105"/>
        </w:rPr>
        <w:t> </w:t>
      </w:r>
      <w:r>
        <w:rPr>
          <w:color w:val="231F20"/>
          <w:w w:val="105"/>
        </w:rPr>
        <w:t>luminal</w:t>
      </w:r>
      <w:r>
        <w:rPr>
          <w:color w:val="231F20"/>
          <w:spacing w:val="-11"/>
          <w:w w:val="105"/>
        </w:rPr>
        <w:t> </w:t>
      </w:r>
      <w:r>
        <w:rPr>
          <w:color w:val="231F20"/>
          <w:w w:val="105"/>
        </w:rPr>
        <w:t>membrane.</w:t>
      </w:r>
      <w:r>
        <w:rPr>
          <w:color w:val="231F20"/>
          <w:spacing w:val="-11"/>
          <w:w w:val="105"/>
        </w:rPr>
        <w:t> </w:t>
      </w:r>
      <w:r>
        <w:rPr>
          <w:color w:val="231F20"/>
          <w:spacing w:val="-4"/>
          <w:w w:val="105"/>
        </w:rPr>
        <w:t>Thus, </w:t>
      </w:r>
      <w:r>
        <w:rPr>
          <w:color w:val="231F20"/>
          <w:w w:val="105"/>
        </w:rPr>
        <w:t>this reabsorption of glucose is referred to as “secondary active transport” because glucose itself is reabsorbed uphill</w:t>
      </w:r>
      <w:r>
        <w:rPr>
          <w:color w:val="231F20"/>
          <w:spacing w:val="-22"/>
          <w:w w:val="105"/>
        </w:rPr>
        <w:t> </w:t>
      </w:r>
      <w:r>
        <w:rPr>
          <w:color w:val="231F20"/>
          <w:w w:val="105"/>
        </w:rPr>
        <w:t>against</w:t>
      </w:r>
      <w:r>
        <w:rPr>
          <w:color w:val="231F20"/>
          <w:spacing w:val="-21"/>
          <w:w w:val="105"/>
        </w:rPr>
        <w:t> </w:t>
      </w:r>
      <w:r>
        <w:rPr>
          <w:color w:val="231F20"/>
          <w:w w:val="105"/>
        </w:rPr>
        <w:t>a</w:t>
      </w:r>
      <w:r>
        <w:rPr>
          <w:color w:val="231F20"/>
          <w:spacing w:val="-21"/>
          <w:w w:val="105"/>
        </w:rPr>
        <w:t> </w:t>
      </w:r>
      <w:r>
        <w:rPr>
          <w:color w:val="231F20"/>
          <w:w w:val="105"/>
        </w:rPr>
        <w:t>chemical</w:t>
      </w:r>
      <w:r>
        <w:rPr>
          <w:color w:val="231F20"/>
          <w:spacing w:val="-22"/>
          <w:w w:val="105"/>
        </w:rPr>
        <w:t> </w:t>
      </w:r>
      <w:r>
        <w:rPr>
          <w:color w:val="231F20"/>
          <w:w w:val="105"/>
        </w:rPr>
        <w:t>gradient,</w:t>
      </w:r>
      <w:r>
        <w:rPr>
          <w:color w:val="231F20"/>
          <w:spacing w:val="-21"/>
          <w:w w:val="105"/>
        </w:rPr>
        <w:t> </w:t>
      </w:r>
      <w:r>
        <w:rPr>
          <w:color w:val="231F20"/>
          <w:w w:val="105"/>
        </w:rPr>
        <w:t>but</w:t>
      </w:r>
      <w:r>
        <w:rPr>
          <w:color w:val="231F20"/>
          <w:spacing w:val="-21"/>
          <w:w w:val="105"/>
        </w:rPr>
        <w:t> </w:t>
      </w:r>
      <w:r>
        <w:rPr>
          <w:color w:val="231F20"/>
          <w:w w:val="105"/>
        </w:rPr>
        <w:t>it</w:t>
      </w:r>
      <w:r>
        <w:rPr>
          <w:color w:val="231F20"/>
          <w:spacing w:val="-22"/>
          <w:w w:val="105"/>
        </w:rPr>
        <w:t> </w:t>
      </w:r>
      <w:r>
        <w:rPr>
          <w:color w:val="231F20"/>
          <w:w w:val="105"/>
        </w:rPr>
        <w:t>is</w:t>
      </w:r>
      <w:r>
        <w:rPr>
          <w:color w:val="231F20"/>
          <w:spacing w:val="-21"/>
          <w:w w:val="105"/>
        </w:rPr>
        <w:t> </w:t>
      </w:r>
      <w:r>
        <w:rPr>
          <w:color w:val="231F20"/>
          <w:w w:val="105"/>
        </w:rPr>
        <w:t>“secondary”</w:t>
      </w:r>
      <w:r>
        <w:rPr>
          <w:color w:val="231F20"/>
          <w:spacing w:val="-21"/>
          <w:w w:val="105"/>
        </w:rPr>
        <w:t> </w:t>
      </w:r>
      <w:r>
        <w:rPr>
          <w:color w:val="231F20"/>
          <w:spacing w:val="-8"/>
          <w:w w:val="105"/>
        </w:rPr>
        <w:t>to </w:t>
      </w:r>
      <w:r>
        <w:rPr>
          <w:color w:val="231F20"/>
          <w:w w:val="105"/>
        </w:rPr>
        <w:t>primary active transport of</w:t>
      </w:r>
      <w:r>
        <w:rPr>
          <w:color w:val="231F20"/>
          <w:spacing w:val="10"/>
          <w:w w:val="105"/>
        </w:rPr>
        <w:t> </w:t>
      </w:r>
      <w:r>
        <w:rPr>
          <w:color w:val="231F20"/>
          <w:w w:val="105"/>
        </w:rPr>
        <w:t>sodium.</w:t>
      </w:r>
    </w:p>
    <w:p>
      <w:pPr>
        <w:pStyle w:val="BodyText"/>
        <w:spacing w:line="249" w:lineRule="auto" w:before="10"/>
        <w:ind w:left="1080" w:firstLine="240"/>
        <w:jc w:val="both"/>
      </w:pPr>
      <w:r>
        <w:rPr>
          <w:color w:val="231F20"/>
          <w:w w:val="105"/>
        </w:rPr>
        <w:t>Another important point is that a substance is said </w:t>
      </w:r>
      <w:r>
        <w:rPr>
          <w:color w:val="231F20"/>
          <w:spacing w:val="-9"/>
          <w:w w:val="105"/>
        </w:rPr>
        <w:t>to </w:t>
      </w:r>
      <w:r>
        <w:rPr>
          <w:color w:val="231F20"/>
          <w:w w:val="105"/>
        </w:rPr>
        <w:t>undergo</w:t>
      </w:r>
      <w:r>
        <w:rPr>
          <w:color w:val="231F20"/>
          <w:spacing w:val="-7"/>
          <w:w w:val="105"/>
        </w:rPr>
        <w:t> </w:t>
      </w:r>
      <w:r>
        <w:rPr>
          <w:color w:val="231F20"/>
          <w:w w:val="105"/>
        </w:rPr>
        <w:t>“active”</w:t>
      </w:r>
      <w:r>
        <w:rPr>
          <w:color w:val="231F20"/>
          <w:spacing w:val="-7"/>
          <w:w w:val="105"/>
        </w:rPr>
        <w:t> </w:t>
      </w:r>
      <w:r>
        <w:rPr>
          <w:color w:val="231F20"/>
          <w:w w:val="105"/>
        </w:rPr>
        <w:t>transport</w:t>
      </w:r>
      <w:r>
        <w:rPr>
          <w:color w:val="231F20"/>
          <w:spacing w:val="-7"/>
          <w:w w:val="105"/>
        </w:rPr>
        <w:t> </w:t>
      </w:r>
      <w:r>
        <w:rPr>
          <w:color w:val="231F20"/>
          <w:w w:val="105"/>
        </w:rPr>
        <w:t>when</w:t>
      </w:r>
      <w:r>
        <w:rPr>
          <w:color w:val="231F20"/>
          <w:spacing w:val="-7"/>
          <w:w w:val="105"/>
        </w:rPr>
        <w:t> </w:t>
      </w:r>
      <w:r>
        <w:rPr>
          <w:color w:val="231F20"/>
          <w:w w:val="105"/>
        </w:rPr>
        <w:t>at</w:t>
      </w:r>
      <w:r>
        <w:rPr>
          <w:color w:val="231F20"/>
          <w:spacing w:val="-7"/>
          <w:w w:val="105"/>
        </w:rPr>
        <w:t> </w:t>
      </w:r>
      <w:r>
        <w:rPr>
          <w:color w:val="231F20"/>
          <w:w w:val="105"/>
        </w:rPr>
        <w:t>least</w:t>
      </w:r>
      <w:r>
        <w:rPr>
          <w:color w:val="231F20"/>
          <w:spacing w:val="-6"/>
          <w:w w:val="105"/>
        </w:rPr>
        <w:t> </w:t>
      </w:r>
      <w:r>
        <w:rPr>
          <w:color w:val="231F20"/>
          <w:w w:val="105"/>
        </w:rPr>
        <w:t>one</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spacing w:val="-3"/>
          <w:w w:val="105"/>
        </w:rPr>
        <w:t>steps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reabsorption</w:t>
      </w:r>
      <w:r>
        <w:rPr>
          <w:color w:val="231F20"/>
          <w:spacing w:val="-10"/>
          <w:w w:val="105"/>
        </w:rPr>
        <w:t> </w:t>
      </w:r>
      <w:r>
        <w:rPr>
          <w:color w:val="231F20"/>
          <w:w w:val="105"/>
        </w:rPr>
        <w:t>involves</w:t>
      </w:r>
      <w:r>
        <w:rPr>
          <w:color w:val="231F20"/>
          <w:spacing w:val="-9"/>
          <w:w w:val="105"/>
        </w:rPr>
        <w:t> </w:t>
      </w:r>
      <w:r>
        <w:rPr>
          <w:color w:val="231F20"/>
          <w:w w:val="105"/>
        </w:rPr>
        <w:t>primary</w:t>
      </w:r>
      <w:r>
        <w:rPr>
          <w:color w:val="231F20"/>
          <w:spacing w:val="-10"/>
          <w:w w:val="105"/>
        </w:rPr>
        <w:t> </w:t>
      </w:r>
      <w:r>
        <w:rPr>
          <w:color w:val="231F20"/>
          <w:w w:val="105"/>
        </w:rPr>
        <w:t>or</w:t>
      </w:r>
      <w:r>
        <w:rPr>
          <w:color w:val="231F20"/>
          <w:spacing w:val="-10"/>
          <w:w w:val="105"/>
        </w:rPr>
        <w:t> </w:t>
      </w:r>
      <w:r>
        <w:rPr>
          <w:color w:val="231F20"/>
          <w:w w:val="105"/>
        </w:rPr>
        <w:t>secondary</w:t>
      </w:r>
      <w:r>
        <w:rPr>
          <w:color w:val="231F20"/>
          <w:spacing w:val="-10"/>
          <w:w w:val="105"/>
        </w:rPr>
        <w:t> </w:t>
      </w:r>
      <w:r>
        <w:rPr>
          <w:color w:val="231F20"/>
          <w:w w:val="105"/>
        </w:rPr>
        <w:t>active transport, even though other steps in the reabsorption process</w:t>
      </w:r>
      <w:r>
        <w:rPr>
          <w:color w:val="231F20"/>
          <w:spacing w:val="-34"/>
          <w:w w:val="105"/>
        </w:rPr>
        <w:t> </w:t>
      </w:r>
      <w:r>
        <w:rPr>
          <w:color w:val="231F20"/>
          <w:w w:val="105"/>
        </w:rPr>
        <w:t>may</w:t>
      </w:r>
      <w:r>
        <w:rPr>
          <w:color w:val="231F20"/>
          <w:spacing w:val="-33"/>
          <w:w w:val="105"/>
        </w:rPr>
        <w:t> </w:t>
      </w:r>
      <w:r>
        <w:rPr>
          <w:color w:val="231F20"/>
          <w:w w:val="105"/>
        </w:rPr>
        <w:t>be</w:t>
      </w:r>
      <w:r>
        <w:rPr>
          <w:color w:val="231F20"/>
          <w:spacing w:val="-33"/>
          <w:w w:val="105"/>
        </w:rPr>
        <w:t> </w:t>
      </w:r>
      <w:r>
        <w:rPr>
          <w:color w:val="231F20"/>
          <w:w w:val="105"/>
        </w:rPr>
        <w:t>passive.</w:t>
      </w:r>
      <w:r>
        <w:rPr>
          <w:color w:val="231F20"/>
          <w:spacing w:val="-33"/>
          <w:w w:val="105"/>
        </w:rPr>
        <w:t> </w:t>
      </w:r>
      <w:r>
        <w:rPr>
          <w:color w:val="231F20"/>
          <w:spacing w:val="-3"/>
          <w:w w:val="105"/>
        </w:rPr>
        <w:t>For</w:t>
      </w:r>
      <w:r>
        <w:rPr>
          <w:color w:val="231F20"/>
          <w:spacing w:val="-34"/>
          <w:w w:val="105"/>
        </w:rPr>
        <w:t> </w:t>
      </w:r>
      <w:r>
        <w:rPr>
          <w:color w:val="231F20"/>
          <w:w w:val="105"/>
        </w:rPr>
        <w:t>glucose</w:t>
      </w:r>
      <w:r>
        <w:rPr>
          <w:color w:val="231F20"/>
          <w:spacing w:val="-33"/>
          <w:w w:val="105"/>
        </w:rPr>
        <w:t> </w:t>
      </w:r>
      <w:r>
        <w:rPr>
          <w:color w:val="231F20"/>
          <w:w w:val="105"/>
        </w:rPr>
        <w:t>reabsorption,</w:t>
      </w:r>
      <w:r>
        <w:rPr>
          <w:color w:val="231F20"/>
          <w:spacing w:val="-33"/>
          <w:w w:val="105"/>
        </w:rPr>
        <w:t> </w:t>
      </w:r>
      <w:r>
        <w:rPr>
          <w:color w:val="231F20"/>
          <w:w w:val="105"/>
        </w:rPr>
        <w:t>second- ary active transport occurs at the luminal membrane, but passive facilitated diffusion occurs at the</w:t>
      </w:r>
      <w:r>
        <w:rPr>
          <w:color w:val="231F20"/>
          <w:spacing w:val="-20"/>
          <w:w w:val="105"/>
        </w:rPr>
        <w:t> </w:t>
      </w:r>
      <w:r>
        <w:rPr>
          <w:color w:val="231F20"/>
          <w:spacing w:val="-3"/>
          <w:w w:val="105"/>
        </w:rPr>
        <w:t>basolateral </w:t>
      </w:r>
      <w:r>
        <w:rPr>
          <w:color w:val="231F20"/>
          <w:w w:val="105"/>
        </w:rPr>
        <w:t>membrane,</w:t>
      </w:r>
      <w:r>
        <w:rPr>
          <w:color w:val="231F20"/>
          <w:spacing w:val="-16"/>
          <w:w w:val="105"/>
        </w:rPr>
        <w:t> </w:t>
      </w:r>
      <w:r>
        <w:rPr>
          <w:color w:val="231F20"/>
          <w:w w:val="105"/>
        </w:rPr>
        <w:t>and</w:t>
      </w:r>
      <w:r>
        <w:rPr>
          <w:color w:val="231F20"/>
          <w:spacing w:val="-15"/>
          <w:w w:val="105"/>
        </w:rPr>
        <w:t> </w:t>
      </w:r>
      <w:r>
        <w:rPr>
          <w:color w:val="231F20"/>
          <w:w w:val="105"/>
        </w:rPr>
        <w:t>passive</w:t>
      </w:r>
      <w:r>
        <w:rPr>
          <w:color w:val="231F20"/>
          <w:spacing w:val="-15"/>
          <w:w w:val="105"/>
        </w:rPr>
        <w:t> </w:t>
      </w:r>
      <w:r>
        <w:rPr>
          <w:color w:val="231F20"/>
          <w:w w:val="105"/>
        </w:rPr>
        <w:t>uptake</w:t>
      </w:r>
      <w:r>
        <w:rPr>
          <w:color w:val="231F20"/>
          <w:spacing w:val="-15"/>
          <w:w w:val="105"/>
        </w:rPr>
        <w:t> </w:t>
      </w:r>
      <w:r>
        <w:rPr>
          <w:color w:val="231F20"/>
          <w:w w:val="105"/>
        </w:rPr>
        <w:t>by</w:t>
      </w:r>
      <w:r>
        <w:rPr>
          <w:color w:val="231F20"/>
          <w:spacing w:val="-15"/>
          <w:w w:val="105"/>
        </w:rPr>
        <w:t> </w:t>
      </w:r>
      <w:r>
        <w:rPr>
          <w:color w:val="231F20"/>
          <w:w w:val="105"/>
        </w:rPr>
        <w:t>bulk</w:t>
      </w:r>
      <w:r>
        <w:rPr>
          <w:color w:val="231F20"/>
          <w:spacing w:val="-15"/>
          <w:w w:val="105"/>
        </w:rPr>
        <w:t> </w:t>
      </w:r>
      <w:r>
        <w:rPr>
          <w:color w:val="231F20"/>
          <w:w w:val="105"/>
        </w:rPr>
        <w:t>flow</w:t>
      </w:r>
      <w:r>
        <w:rPr>
          <w:color w:val="231F20"/>
          <w:spacing w:val="-16"/>
          <w:w w:val="105"/>
        </w:rPr>
        <w:t> </w:t>
      </w:r>
      <w:r>
        <w:rPr>
          <w:color w:val="231F20"/>
          <w:w w:val="105"/>
        </w:rPr>
        <w:t>occurs</w:t>
      </w:r>
      <w:r>
        <w:rPr>
          <w:color w:val="231F20"/>
          <w:spacing w:val="-15"/>
          <w:w w:val="105"/>
        </w:rPr>
        <w:t> </w:t>
      </w:r>
      <w:r>
        <w:rPr>
          <w:color w:val="231F20"/>
          <w:w w:val="105"/>
        </w:rPr>
        <w:t>at</w:t>
      </w:r>
      <w:r>
        <w:rPr>
          <w:color w:val="231F20"/>
          <w:spacing w:val="-15"/>
          <w:w w:val="105"/>
        </w:rPr>
        <w:t> </w:t>
      </w:r>
      <w:r>
        <w:rPr>
          <w:color w:val="231F20"/>
          <w:spacing w:val="-5"/>
          <w:w w:val="105"/>
        </w:rPr>
        <w:t>the </w:t>
      </w:r>
      <w:r>
        <w:rPr>
          <w:color w:val="231F20"/>
          <w:w w:val="105"/>
        </w:rPr>
        <w:t>peritubular</w:t>
      </w:r>
      <w:r>
        <w:rPr>
          <w:color w:val="231F20"/>
          <w:spacing w:val="2"/>
          <w:w w:val="105"/>
        </w:rPr>
        <w:t> </w:t>
      </w:r>
      <w:r>
        <w:rPr>
          <w:color w:val="231F20"/>
          <w:w w:val="105"/>
        </w:rPr>
        <w:t>capillaries.</w:t>
      </w:r>
    </w:p>
    <w:p>
      <w:pPr>
        <w:spacing w:line="249" w:lineRule="auto" w:before="247"/>
        <w:ind w:left="1080" w:right="0" w:hanging="1"/>
        <w:jc w:val="both"/>
        <w:rPr>
          <w:sz w:val="20"/>
        </w:rPr>
      </w:pPr>
      <w:r>
        <w:rPr>
          <w:rFonts w:ascii="Trebuchet MS"/>
          <w:b/>
          <w:color w:val="231F20"/>
          <w:sz w:val="19"/>
        </w:rPr>
        <w:t>Secondary Active Secretion into the Tubules. </w:t>
      </w:r>
      <w:r>
        <w:rPr>
          <w:color w:val="231F20"/>
          <w:sz w:val="20"/>
        </w:rPr>
        <w:t>Some substances are secreted into the tubules by secondary</w:t>
      </w:r>
    </w:p>
    <w:p>
      <w:pPr>
        <w:pStyle w:val="BodyText"/>
        <w:spacing w:line="249" w:lineRule="auto" w:before="22"/>
        <w:ind w:left="319" w:right="1437" w:hanging="1"/>
        <w:jc w:val="both"/>
      </w:pPr>
      <w:r>
        <w:rPr/>
        <w:br w:type="column"/>
      </w:r>
      <w:r>
        <w:rPr>
          <w:rFonts w:ascii="Trebuchet MS"/>
          <w:b/>
          <w:color w:val="231F20"/>
          <w:sz w:val="19"/>
        </w:rPr>
        <w:t>Reabsorption of Proteins. </w:t>
      </w:r>
      <w:r>
        <w:rPr>
          <w:color w:val="231F20"/>
        </w:rPr>
        <w:t>Some parts of the tubule, especially the proximal tubule, reabsorb large molecules such as proteins by </w:t>
      </w:r>
      <w:r>
        <w:rPr>
          <w:i/>
          <w:color w:val="231F20"/>
        </w:rPr>
        <w:t>pinocytosis</w:t>
      </w:r>
      <w:r>
        <w:rPr>
          <w:color w:val="231F20"/>
        </w:rPr>
        <w:t>, a type of </w:t>
      </w:r>
      <w:r>
        <w:rPr>
          <w:i/>
          <w:color w:val="231F20"/>
        </w:rPr>
        <w:t>endocytosis. </w:t>
      </w:r>
      <w:r>
        <w:rPr>
          <w:color w:val="231F20"/>
        </w:rPr>
        <w:t>In this process the protein attaches to the brush border </w:t>
      </w:r>
      <w:r>
        <w:rPr>
          <w:color w:val="231F20"/>
          <w:spacing w:val="-6"/>
        </w:rPr>
        <w:t>of   </w:t>
      </w:r>
      <w:r>
        <w:rPr>
          <w:color w:val="231F20"/>
        </w:rPr>
        <w:t>the luminal membrane, and this portion of the membrane then invaginates to the interior of the cell until it is com- pletely pinched off and a vesicle  is  formed</w:t>
      </w:r>
      <w:r>
        <w:rPr>
          <w:color w:val="231F20"/>
          <w:spacing w:val="23"/>
        </w:rPr>
        <w:t> </w:t>
      </w:r>
      <w:r>
        <w:rPr>
          <w:color w:val="231F20"/>
        </w:rPr>
        <w:t>containing the protein. Once inside the cell, the protein is digested into its constituent amino acids, which are reabsorbed through the basolateral membrane into the interstitial fluid. Because pinocytosis requires energy, it is</w:t>
      </w:r>
      <w:r>
        <w:rPr>
          <w:color w:val="231F20"/>
          <w:spacing w:val="-37"/>
        </w:rPr>
        <w:t> </w:t>
      </w:r>
      <w:r>
        <w:rPr>
          <w:color w:val="231F20"/>
        </w:rPr>
        <w:t>considered a form of active</w:t>
      </w:r>
      <w:r>
        <w:rPr>
          <w:color w:val="231F20"/>
          <w:spacing w:val="29"/>
        </w:rPr>
        <w:t> </w:t>
      </w:r>
      <w:r>
        <w:rPr>
          <w:color w:val="231F20"/>
        </w:rPr>
        <w:t>transport.</w:t>
      </w:r>
    </w:p>
    <w:p>
      <w:pPr>
        <w:pStyle w:val="BodyText"/>
        <w:spacing w:before="5"/>
        <w:rPr>
          <w:sz w:val="22"/>
        </w:rPr>
      </w:pPr>
    </w:p>
    <w:p>
      <w:pPr>
        <w:pStyle w:val="BodyText"/>
        <w:spacing w:line="249" w:lineRule="auto"/>
        <w:ind w:left="319" w:right="1437"/>
        <w:jc w:val="both"/>
      </w:pPr>
      <w:r>
        <w:rPr>
          <w:rFonts w:ascii="Trebuchet MS"/>
          <w:b/>
          <w:color w:val="231F20"/>
          <w:sz w:val="19"/>
        </w:rPr>
        <w:t>Transport</w:t>
      </w:r>
      <w:r>
        <w:rPr>
          <w:rFonts w:ascii="Trebuchet MS"/>
          <w:b/>
          <w:color w:val="231F20"/>
          <w:spacing w:val="-11"/>
          <w:sz w:val="19"/>
        </w:rPr>
        <w:t> </w:t>
      </w:r>
      <w:r>
        <w:rPr>
          <w:rFonts w:ascii="Trebuchet MS"/>
          <w:b/>
          <w:color w:val="231F20"/>
          <w:sz w:val="19"/>
        </w:rPr>
        <w:t>Maximum</w:t>
      </w:r>
      <w:r>
        <w:rPr>
          <w:rFonts w:ascii="Trebuchet MS"/>
          <w:b/>
          <w:color w:val="231F20"/>
          <w:spacing w:val="-11"/>
          <w:sz w:val="19"/>
        </w:rPr>
        <w:t> </w:t>
      </w:r>
      <w:r>
        <w:rPr>
          <w:rFonts w:ascii="Trebuchet MS"/>
          <w:b/>
          <w:color w:val="231F20"/>
          <w:sz w:val="19"/>
        </w:rPr>
        <w:t>for</w:t>
      </w:r>
      <w:r>
        <w:rPr>
          <w:rFonts w:ascii="Trebuchet MS"/>
          <w:b/>
          <w:color w:val="231F20"/>
          <w:spacing w:val="-10"/>
          <w:sz w:val="19"/>
        </w:rPr>
        <w:t> </w:t>
      </w:r>
      <w:r>
        <w:rPr>
          <w:rFonts w:ascii="Trebuchet MS"/>
          <w:b/>
          <w:color w:val="231F20"/>
          <w:sz w:val="19"/>
        </w:rPr>
        <w:t>Substances</w:t>
      </w:r>
      <w:r>
        <w:rPr>
          <w:rFonts w:ascii="Trebuchet MS"/>
          <w:b/>
          <w:color w:val="231F20"/>
          <w:spacing w:val="-11"/>
          <w:sz w:val="19"/>
        </w:rPr>
        <w:t> </w:t>
      </w:r>
      <w:r>
        <w:rPr>
          <w:rFonts w:ascii="Trebuchet MS"/>
          <w:b/>
          <w:color w:val="231F20"/>
          <w:sz w:val="19"/>
        </w:rPr>
        <w:t>That</w:t>
      </w:r>
      <w:r>
        <w:rPr>
          <w:rFonts w:ascii="Trebuchet MS"/>
          <w:b/>
          <w:color w:val="231F20"/>
          <w:spacing w:val="-11"/>
          <w:sz w:val="19"/>
        </w:rPr>
        <w:t> </w:t>
      </w:r>
      <w:r>
        <w:rPr>
          <w:rFonts w:ascii="Trebuchet MS"/>
          <w:b/>
          <w:color w:val="231F20"/>
          <w:sz w:val="19"/>
        </w:rPr>
        <w:t>Are</w:t>
      </w:r>
      <w:r>
        <w:rPr>
          <w:rFonts w:ascii="Trebuchet MS"/>
          <w:b/>
          <w:color w:val="231F20"/>
          <w:spacing w:val="-10"/>
          <w:sz w:val="19"/>
        </w:rPr>
        <w:t> </w:t>
      </w:r>
      <w:r>
        <w:rPr>
          <w:rFonts w:ascii="Trebuchet MS"/>
          <w:b/>
          <w:color w:val="231F20"/>
          <w:sz w:val="19"/>
        </w:rPr>
        <w:t>Actively </w:t>
      </w:r>
      <w:r>
        <w:rPr>
          <w:rFonts w:ascii="Trebuchet MS"/>
          <w:b/>
          <w:color w:val="231F20"/>
          <w:w w:val="105"/>
          <w:sz w:val="19"/>
        </w:rPr>
        <w:t>Reabsorbed.</w:t>
      </w:r>
      <w:r>
        <w:rPr>
          <w:rFonts w:ascii="Trebuchet MS"/>
          <w:b/>
          <w:color w:val="231F20"/>
          <w:spacing w:val="4"/>
          <w:w w:val="105"/>
          <w:sz w:val="19"/>
        </w:rPr>
        <w:t> </w:t>
      </w:r>
      <w:r>
        <w:rPr>
          <w:color w:val="231F20"/>
          <w:spacing w:val="-3"/>
          <w:w w:val="105"/>
        </w:rPr>
        <w:t>For</w:t>
      </w:r>
      <w:r>
        <w:rPr>
          <w:color w:val="231F20"/>
          <w:spacing w:val="-21"/>
          <w:w w:val="105"/>
        </w:rPr>
        <w:t> </w:t>
      </w:r>
      <w:r>
        <w:rPr>
          <w:color w:val="231F20"/>
          <w:w w:val="105"/>
        </w:rPr>
        <w:t>most</w:t>
      </w:r>
      <w:r>
        <w:rPr>
          <w:color w:val="231F20"/>
          <w:spacing w:val="-20"/>
          <w:w w:val="105"/>
        </w:rPr>
        <w:t> </w:t>
      </w:r>
      <w:r>
        <w:rPr>
          <w:color w:val="231F20"/>
          <w:w w:val="105"/>
        </w:rPr>
        <w:t>substances</w:t>
      </w:r>
      <w:r>
        <w:rPr>
          <w:color w:val="231F20"/>
          <w:spacing w:val="-21"/>
          <w:w w:val="105"/>
        </w:rPr>
        <w:t> </w:t>
      </w:r>
      <w:r>
        <w:rPr>
          <w:color w:val="231F20"/>
          <w:w w:val="105"/>
        </w:rPr>
        <w:t>that</w:t>
      </w:r>
      <w:r>
        <w:rPr>
          <w:color w:val="231F20"/>
          <w:spacing w:val="-20"/>
          <w:w w:val="105"/>
        </w:rPr>
        <w:t> </w:t>
      </w:r>
      <w:r>
        <w:rPr>
          <w:color w:val="231F20"/>
          <w:w w:val="105"/>
        </w:rPr>
        <w:t>are</w:t>
      </w:r>
      <w:r>
        <w:rPr>
          <w:color w:val="231F20"/>
          <w:spacing w:val="-21"/>
          <w:w w:val="105"/>
        </w:rPr>
        <w:t> </w:t>
      </w:r>
      <w:r>
        <w:rPr>
          <w:color w:val="231F20"/>
          <w:w w:val="105"/>
        </w:rPr>
        <w:t>actively</w:t>
      </w:r>
      <w:r>
        <w:rPr>
          <w:color w:val="231F20"/>
          <w:spacing w:val="-20"/>
          <w:w w:val="105"/>
        </w:rPr>
        <w:t> </w:t>
      </w:r>
      <w:r>
        <w:rPr>
          <w:color w:val="231F20"/>
          <w:w w:val="105"/>
        </w:rPr>
        <w:t>reab- sorbed</w:t>
      </w:r>
      <w:r>
        <w:rPr>
          <w:color w:val="231F20"/>
          <w:spacing w:val="-12"/>
          <w:w w:val="105"/>
        </w:rPr>
        <w:t> </w:t>
      </w:r>
      <w:r>
        <w:rPr>
          <w:color w:val="231F20"/>
          <w:w w:val="105"/>
        </w:rPr>
        <w:t>or</w:t>
      </w:r>
      <w:r>
        <w:rPr>
          <w:color w:val="231F20"/>
          <w:spacing w:val="-12"/>
          <w:w w:val="105"/>
        </w:rPr>
        <w:t> </w:t>
      </w:r>
      <w:r>
        <w:rPr>
          <w:color w:val="231F20"/>
          <w:w w:val="105"/>
        </w:rPr>
        <w:t>secreted,</w:t>
      </w:r>
      <w:r>
        <w:rPr>
          <w:color w:val="231F20"/>
          <w:spacing w:val="-12"/>
          <w:w w:val="105"/>
        </w:rPr>
        <w:t> </w:t>
      </w:r>
      <w:r>
        <w:rPr>
          <w:color w:val="231F20"/>
          <w:w w:val="105"/>
        </w:rPr>
        <w:t>there</w:t>
      </w:r>
      <w:r>
        <w:rPr>
          <w:color w:val="231F20"/>
          <w:spacing w:val="-12"/>
          <w:w w:val="105"/>
        </w:rPr>
        <w:t> </w:t>
      </w:r>
      <w:r>
        <w:rPr>
          <w:color w:val="231F20"/>
          <w:w w:val="105"/>
        </w:rPr>
        <w:t>is</w:t>
      </w:r>
      <w:r>
        <w:rPr>
          <w:color w:val="231F20"/>
          <w:spacing w:val="-11"/>
          <w:w w:val="105"/>
        </w:rPr>
        <w:t> </w:t>
      </w:r>
      <w:r>
        <w:rPr>
          <w:color w:val="231F20"/>
          <w:w w:val="105"/>
        </w:rPr>
        <w:t>a</w:t>
      </w:r>
      <w:r>
        <w:rPr>
          <w:color w:val="231F20"/>
          <w:spacing w:val="-12"/>
          <w:w w:val="105"/>
        </w:rPr>
        <w:t> </w:t>
      </w:r>
      <w:r>
        <w:rPr>
          <w:color w:val="231F20"/>
          <w:w w:val="105"/>
        </w:rPr>
        <w:t>limit</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rate</w:t>
      </w:r>
      <w:r>
        <w:rPr>
          <w:color w:val="231F20"/>
          <w:spacing w:val="-11"/>
          <w:w w:val="105"/>
        </w:rPr>
        <w:t> </w:t>
      </w:r>
      <w:r>
        <w:rPr>
          <w:color w:val="231F20"/>
          <w:w w:val="105"/>
        </w:rPr>
        <w:t>at</w:t>
      </w:r>
      <w:r>
        <w:rPr>
          <w:color w:val="231F20"/>
          <w:spacing w:val="-12"/>
          <w:w w:val="105"/>
        </w:rPr>
        <w:t> </w:t>
      </w:r>
      <w:r>
        <w:rPr>
          <w:color w:val="231F20"/>
          <w:w w:val="105"/>
        </w:rPr>
        <w:t>which</w:t>
      </w:r>
      <w:r>
        <w:rPr>
          <w:color w:val="231F20"/>
          <w:spacing w:val="-12"/>
          <w:w w:val="105"/>
        </w:rPr>
        <w:t> </w:t>
      </w:r>
      <w:r>
        <w:rPr>
          <w:color w:val="231F20"/>
          <w:w w:val="105"/>
        </w:rPr>
        <w:t>the solute can be transported, which is often referred to as the</w:t>
      </w:r>
      <w:r>
        <w:rPr>
          <w:color w:val="231F20"/>
          <w:spacing w:val="-10"/>
          <w:w w:val="105"/>
        </w:rPr>
        <w:t> </w:t>
      </w:r>
      <w:r>
        <w:rPr>
          <w:i/>
          <w:color w:val="231F20"/>
          <w:w w:val="105"/>
        </w:rPr>
        <w:t>transport</w:t>
      </w:r>
      <w:r>
        <w:rPr>
          <w:i/>
          <w:color w:val="231F20"/>
          <w:spacing w:val="-9"/>
          <w:w w:val="105"/>
        </w:rPr>
        <w:t> </w:t>
      </w:r>
      <w:r>
        <w:rPr>
          <w:i/>
          <w:color w:val="231F20"/>
          <w:w w:val="105"/>
        </w:rPr>
        <w:t>maximum.</w:t>
      </w:r>
      <w:r>
        <w:rPr>
          <w:i/>
          <w:color w:val="231F20"/>
          <w:spacing w:val="-9"/>
          <w:w w:val="105"/>
        </w:rPr>
        <w:t> </w:t>
      </w:r>
      <w:r>
        <w:rPr>
          <w:color w:val="231F20"/>
          <w:w w:val="105"/>
        </w:rPr>
        <w:t>This</w:t>
      </w:r>
      <w:r>
        <w:rPr>
          <w:color w:val="231F20"/>
          <w:spacing w:val="-9"/>
          <w:w w:val="105"/>
        </w:rPr>
        <w:t> </w:t>
      </w:r>
      <w:r>
        <w:rPr>
          <w:color w:val="231F20"/>
          <w:w w:val="105"/>
        </w:rPr>
        <w:t>limit</w:t>
      </w:r>
      <w:r>
        <w:rPr>
          <w:color w:val="231F20"/>
          <w:spacing w:val="-9"/>
          <w:w w:val="105"/>
        </w:rPr>
        <w:t> </w:t>
      </w:r>
      <w:r>
        <w:rPr>
          <w:color w:val="231F20"/>
          <w:w w:val="105"/>
        </w:rPr>
        <w:t>is</w:t>
      </w:r>
      <w:r>
        <w:rPr>
          <w:color w:val="231F20"/>
          <w:spacing w:val="-9"/>
          <w:w w:val="105"/>
        </w:rPr>
        <w:t> </w:t>
      </w:r>
      <w:r>
        <w:rPr>
          <w:color w:val="231F20"/>
          <w:w w:val="105"/>
        </w:rPr>
        <w:t>due</w:t>
      </w:r>
      <w:r>
        <w:rPr>
          <w:color w:val="231F20"/>
          <w:spacing w:val="-9"/>
          <w:w w:val="105"/>
        </w:rPr>
        <w:t> </w:t>
      </w:r>
      <w:r>
        <w:rPr>
          <w:color w:val="231F20"/>
          <w:w w:val="105"/>
        </w:rPr>
        <w:t>to</w:t>
      </w:r>
      <w:r>
        <w:rPr>
          <w:color w:val="231F20"/>
          <w:spacing w:val="-9"/>
          <w:w w:val="105"/>
        </w:rPr>
        <w:t> </w:t>
      </w:r>
      <w:r>
        <w:rPr>
          <w:color w:val="231F20"/>
          <w:w w:val="105"/>
        </w:rPr>
        <w:t>saturation</w:t>
      </w:r>
      <w:r>
        <w:rPr>
          <w:color w:val="231F20"/>
          <w:spacing w:val="-10"/>
          <w:w w:val="105"/>
        </w:rPr>
        <w:t> </w:t>
      </w:r>
      <w:r>
        <w:rPr>
          <w:color w:val="231F20"/>
          <w:spacing w:val="-6"/>
          <w:w w:val="105"/>
        </w:rPr>
        <w:t>of </w:t>
      </w:r>
      <w:r>
        <w:rPr>
          <w:color w:val="231F20"/>
          <w:w w:val="105"/>
        </w:rPr>
        <w:t>the</w:t>
      </w:r>
      <w:r>
        <w:rPr>
          <w:color w:val="231F20"/>
          <w:spacing w:val="-12"/>
          <w:w w:val="105"/>
        </w:rPr>
        <w:t> </w:t>
      </w:r>
      <w:r>
        <w:rPr>
          <w:color w:val="231F20"/>
          <w:w w:val="105"/>
        </w:rPr>
        <w:t>specific</w:t>
      </w:r>
      <w:r>
        <w:rPr>
          <w:color w:val="231F20"/>
          <w:spacing w:val="-11"/>
          <w:w w:val="105"/>
        </w:rPr>
        <w:t> </w:t>
      </w:r>
      <w:r>
        <w:rPr>
          <w:color w:val="231F20"/>
          <w:w w:val="105"/>
        </w:rPr>
        <w:t>transport</w:t>
      </w:r>
      <w:r>
        <w:rPr>
          <w:color w:val="231F20"/>
          <w:spacing w:val="-12"/>
          <w:w w:val="105"/>
        </w:rPr>
        <w:t> </w:t>
      </w:r>
      <w:r>
        <w:rPr>
          <w:color w:val="231F20"/>
          <w:w w:val="105"/>
        </w:rPr>
        <w:t>systems</w:t>
      </w:r>
      <w:r>
        <w:rPr>
          <w:color w:val="231F20"/>
          <w:spacing w:val="-11"/>
          <w:w w:val="105"/>
        </w:rPr>
        <w:t> </w:t>
      </w:r>
      <w:r>
        <w:rPr>
          <w:color w:val="231F20"/>
          <w:w w:val="105"/>
        </w:rPr>
        <w:t>involved</w:t>
      </w:r>
      <w:r>
        <w:rPr>
          <w:color w:val="231F20"/>
          <w:spacing w:val="-12"/>
          <w:w w:val="105"/>
        </w:rPr>
        <w:t> </w:t>
      </w:r>
      <w:r>
        <w:rPr>
          <w:color w:val="231F20"/>
          <w:w w:val="105"/>
        </w:rPr>
        <w:t>when</w:t>
      </w:r>
      <w:r>
        <w:rPr>
          <w:color w:val="231F20"/>
          <w:spacing w:val="-11"/>
          <w:w w:val="105"/>
        </w:rPr>
        <w:t> </w:t>
      </w:r>
      <w:r>
        <w:rPr>
          <w:color w:val="231F20"/>
          <w:w w:val="105"/>
        </w:rPr>
        <w:t>the</w:t>
      </w:r>
      <w:r>
        <w:rPr>
          <w:color w:val="231F20"/>
          <w:spacing w:val="-11"/>
          <w:w w:val="105"/>
        </w:rPr>
        <w:t> </w:t>
      </w:r>
      <w:r>
        <w:rPr>
          <w:color w:val="231F20"/>
          <w:spacing w:val="-3"/>
          <w:w w:val="105"/>
        </w:rPr>
        <w:t>amount </w:t>
      </w:r>
      <w:r>
        <w:rPr>
          <w:color w:val="231F20"/>
          <w:w w:val="105"/>
        </w:rPr>
        <w:t>of solute delivered to the tubule (referred to as </w:t>
      </w:r>
      <w:r>
        <w:rPr>
          <w:i/>
          <w:color w:val="231F20"/>
          <w:w w:val="105"/>
        </w:rPr>
        <w:t>tubular </w:t>
      </w:r>
      <w:r>
        <w:rPr>
          <w:i/>
          <w:color w:val="231F20"/>
          <w:w w:val="105"/>
        </w:rPr>
        <w:t>load</w:t>
      </w:r>
      <w:r>
        <w:rPr>
          <w:color w:val="231F20"/>
          <w:w w:val="105"/>
        </w:rPr>
        <w:t>) exceeds the capacity of the carrier proteins and specific enzymes involved in the transport</w:t>
      </w:r>
      <w:r>
        <w:rPr>
          <w:color w:val="231F20"/>
          <w:spacing w:val="-19"/>
          <w:w w:val="105"/>
        </w:rPr>
        <w:t> </w:t>
      </w:r>
      <w:r>
        <w:rPr>
          <w:color w:val="231F20"/>
          <w:w w:val="105"/>
        </w:rPr>
        <w:t>process.</w:t>
      </w:r>
    </w:p>
    <w:p>
      <w:pPr>
        <w:pStyle w:val="BodyText"/>
        <w:spacing w:line="249" w:lineRule="auto" w:before="9"/>
        <w:ind w:left="319" w:right="1437" w:firstLine="240"/>
        <w:jc w:val="both"/>
      </w:pPr>
      <w:r>
        <w:rPr>
          <w:color w:val="231F20"/>
        </w:rPr>
        <w:t>The glucose transport system in the proximal tubule is a good example. Normally, measurable glucose does not appear in the urine because essentially all the filtered glucose is reabsorbed in the proximal tubule. </w:t>
      </w:r>
      <w:r>
        <w:rPr>
          <w:color w:val="231F20"/>
          <w:spacing w:val="-4"/>
        </w:rPr>
        <w:t>However, </w:t>
      </w:r>
      <w:r>
        <w:rPr>
          <w:color w:val="231F20"/>
        </w:rPr>
        <w:t>when</w:t>
      </w:r>
      <w:r>
        <w:rPr>
          <w:color w:val="231F20"/>
          <w:spacing w:val="-5"/>
        </w:rPr>
        <w:t> </w:t>
      </w:r>
      <w:r>
        <w:rPr>
          <w:color w:val="231F20"/>
        </w:rPr>
        <w:t>the</w:t>
      </w:r>
      <w:r>
        <w:rPr>
          <w:color w:val="231F20"/>
          <w:spacing w:val="-5"/>
        </w:rPr>
        <w:t> </w:t>
      </w:r>
      <w:r>
        <w:rPr>
          <w:color w:val="231F20"/>
        </w:rPr>
        <w:t>filtered</w:t>
      </w:r>
      <w:r>
        <w:rPr>
          <w:color w:val="231F20"/>
          <w:spacing w:val="-4"/>
        </w:rPr>
        <w:t> </w:t>
      </w:r>
      <w:r>
        <w:rPr>
          <w:color w:val="231F20"/>
        </w:rPr>
        <w:t>load</w:t>
      </w:r>
      <w:r>
        <w:rPr>
          <w:color w:val="231F20"/>
          <w:spacing w:val="-5"/>
        </w:rPr>
        <w:t> </w:t>
      </w:r>
      <w:r>
        <w:rPr>
          <w:color w:val="231F20"/>
        </w:rPr>
        <w:t>exceeds</w:t>
      </w:r>
      <w:r>
        <w:rPr>
          <w:color w:val="231F20"/>
          <w:spacing w:val="-5"/>
        </w:rPr>
        <w:t> </w:t>
      </w:r>
      <w:r>
        <w:rPr>
          <w:color w:val="231F20"/>
        </w:rPr>
        <w:t>the</w:t>
      </w:r>
      <w:r>
        <w:rPr>
          <w:color w:val="231F20"/>
          <w:spacing w:val="-4"/>
        </w:rPr>
        <w:t> </w:t>
      </w:r>
      <w:r>
        <w:rPr>
          <w:color w:val="231F20"/>
        </w:rPr>
        <w:t>capability</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tubules to reabsorb glucose, urinary excretion of glucose does </w:t>
      </w:r>
      <w:r>
        <w:rPr>
          <w:color w:val="231F20"/>
          <w:spacing w:val="-3"/>
        </w:rPr>
        <w:t>occur.</w:t>
      </w:r>
    </w:p>
    <w:p>
      <w:pPr>
        <w:pStyle w:val="BodyText"/>
        <w:spacing w:line="249" w:lineRule="auto" w:before="5"/>
        <w:ind w:left="319" w:right="1437" w:firstLine="240"/>
        <w:jc w:val="both"/>
      </w:pPr>
      <w:r>
        <w:rPr>
          <w:color w:val="231F20"/>
          <w:w w:val="105"/>
        </w:rPr>
        <w:t>In the adult human, the transport maximum for glucose</w:t>
      </w:r>
      <w:r>
        <w:rPr>
          <w:color w:val="231F20"/>
          <w:spacing w:val="-16"/>
          <w:w w:val="105"/>
        </w:rPr>
        <w:t> </w:t>
      </w:r>
      <w:r>
        <w:rPr>
          <w:color w:val="231F20"/>
          <w:w w:val="105"/>
        </w:rPr>
        <w:t>averages</w:t>
      </w:r>
      <w:r>
        <w:rPr>
          <w:color w:val="231F20"/>
          <w:spacing w:val="-16"/>
          <w:w w:val="105"/>
        </w:rPr>
        <w:t> </w:t>
      </w:r>
      <w:r>
        <w:rPr>
          <w:color w:val="231F20"/>
          <w:w w:val="105"/>
        </w:rPr>
        <w:t>about</w:t>
      </w:r>
      <w:r>
        <w:rPr>
          <w:color w:val="231F20"/>
          <w:spacing w:val="-16"/>
          <w:w w:val="105"/>
        </w:rPr>
        <w:t> </w:t>
      </w:r>
      <w:r>
        <w:rPr>
          <w:color w:val="231F20"/>
          <w:w w:val="105"/>
        </w:rPr>
        <w:t>375</w:t>
      </w:r>
      <w:r>
        <w:rPr>
          <w:color w:val="231F20"/>
          <w:spacing w:val="-15"/>
          <w:w w:val="105"/>
        </w:rPr>
        <w:t> </w:t>
      </w:r>
      <w:r>
        <w:rPr>
          <w:color w:val="231F20"/>
          <w:w w:val="105"/>
        </w:rPr>
        <w:t>mg/min,</w:t>
      </w:r>
      <w:r>
        <w:rPr>
          <w:color w:val="231F20"/>
          <w:spacing w:val="-16"/>
          <w:w w:val="105"/>
        </w:rPr>
        <w:t> </w:t>
      </w:r>
      <w:r>
        <w:rPr>
          <w:color w:val="231F20"/>
          <w:w w:val="105"/>
        </w:rPr>
        <w:t>whereas</w:t>
      </w:r>
      <w:r>
        <w:rPr>
          <w:color w:val="231F20"/>
          <w:spacing w:val="-16"/>
          <w:w w:val="105"/>
        </w:rPr>
        <w:t> </w:t>
      </w:r>
      <w:r>
        <w:rPr>
          <w:color w:val="231F20"/>
          <w:w w:val="105"/>
        </w:rPr>
        <w:t>the</w:t>
      </w:r>
      <w:r>
        <w:rPr>
          <w:color w:val="231F20"/>
          <w:spacing w:val="-16"/>
          <w:w w:val="105"/>
        </w:rPr>
        <w:t> </w:t>
      </w:r>
      <w:r>
        <w:rPr>
          <w:color w:val="231F20"/>
          <w:w w:val="105"/>
        </w:rPr>
        <w:t>filtered</w:t>
      </w:r>
    </w:p>
    <w:p>
      <w:pPr>
        <w:pStyle w:val="BodyText"/>
        <w:spacing w:line="180" w:lineRule="auto" w:before="9"/>
        <w:ind w:left="319" w:right="1437"/>
        <w:jc w:val="both"/>
      </w:pPr>
      <w:r>
        <w:rPr>
          <w:color w:val="231F20"/>
          <w:w w:val="105"/>
        </w:rPr>
        <w:t>load</w:t>
      </w:r>
      <w:r>
        <w:rPr>
          <w:color w:val="231F20"/>
          <w:spacing w:val="-17"/>
          <w:w w:val="105"/>
        </w:rPr>
        <w:t> </w:t>
      </w:r>
      <w:r>
        <w:rPr>
          <w:color w:val="231F20"/>
          <w:w w:val="105"/>
        </w:rPr>
        <w:t>of</w:t>
      </w:r>
      <w:r>
        <w:rPr>
          <w:color w:val="231F20"/>
          <w:spacing w:val="-16"/>
          <w:w w:val="105"/>
        </w:rPr>
        <w:t> </w:t>
      </w:r>
      <w:r>
        <w:rPr>
          <w:color w:val="231F20"/>
          <w:w w:val="105"/>
        </w:rPr>
        <w:t>glucose</w:t>
      </w:r>
      <w:r>
        <w:rPr>
          <w:color w:val="231F20"/>
          <w:spacing w:val="-16"/>
          <w:w w:val="105"/>
        </w:rPr>
        <w:t> </w:t>
      </w:r>
      <w:r>
        <w:rPr>
          <w:color w:val="231F20"/>
          <w:w w:val="105"/>
        </w:rPr>
        <w:t>is</w:t>
      </w:r>
      <w:r>
        <w:rPr>
          <w:color w:val="231F20"/>
          <w:spacing w:val="-16"/>
          <w:w w:val="105"/>
        </w:rPr>
        <w:t> </w:t>
      </w:r>
      <w:r>
        <w:rPr>
          <w:color w:val="231F20"/>
          <w:w w:val="105"/>
        </w:rPr>
        <w:t>only</w:t>
      </w:r>
      <w:r>
        <w:rPr>
          <w:color w:val="231F20"/>
          <w:spacing w:val="-16"/>
          <w:w w:val="105"/>
        </w:rPr>
        <w:t> </w:t>
      </w:r>
      <w:r>
        <w:rPr>
          <w:color w:val="231F20"/>
          <w:w w:val="105"/>
        </w:rPr>
        <w:t>about</w:t>
      </w:r>
      <w:r>
        <w:rPr>
          <w:color w:val="231F20"/>
          <w:spacing w:val="-17"/>
          <w:w w:val="105"/>
        </w:rPr>
        <w:t> </w:t>
      </w:r>
      <w:r>
        <w:rPr>
          <w:color w:val="231F20"/>
          <w:w w:val="105"/>
        </w:rPr>
        <w:t>125</w:t>
      </w:r>
      <w:r>
        <w:rPr>
          <w:color w:val="231F20"/>
          <w:spacing w:val="-13"/>
          <w:w w:val="105"/>
        </w:rPr>
        <w:t> </w:t>
      </w:r>
      <w:r>
        <w:rPr>
          <w:color w:val="231F20"/>
          <w:w w:val="105"/>
        </w:rPr>
        <w:t>mg/min</w:t>
      </w:r>
      <w:r>
        <w:rPr>
          <w:color w:val="231F20"/>
          <w:spacing w:val="-17"/>
          <w:w w:val="105"/>
        </w:rPr>
        <w:t> </w:t>
      </w:r>
      <w:r>
        <w:rPr>
          <w:color w:val="231F20"/>
          <w:w w:val="105"/>
        </w:rPr>
        <w:t>(GFR</w:t>
      </w:r>
      <w:r>
        <w:rPr>
          <w:color w:val="231F20"/>
          <w:spacing w:val="-16"/>
          <w:w w:val="105"/>
        </w:rPr>
        <w:t> </w:t>
      </w:r>
      <w:r>
        <w:rPr>
          <w:rFonts w:ascii="Arial Unicode MS" w:hAnsi="Arial Unicode MS"/>
          <w:color w:val="231F20"/>
          <w:w w:val="105"/>
        </w:rPr>
        <w:t>×</w:t>
      </w:r>
      <w:r>
        <w:rPr>
          <w:rFonts w:ascii="Arial Unicode MS" w:hAnsi="Arial Unicode MS"/>
          <w:color w:val="231F20"/>
          <w:spacing w:val="-22"/>
          <w:w w:val="105"/>
        </w:rPr>
        <w:t> </w:t>
      </w:r>
      <w:r>
        <w:rPr>
          <w:color w:val="231F20"/>
          <w:spacing w:val="-3"/>
          <w:w w:val="105"/>
        </w:rPr>
        <w:t>plasma </w:t>
      </w:r>
      <w:r>
        <w:rPr>
          <w:color w:val="231F20"/>
          <w:w w:val="105"/>
        </w:rPr>
        <w:t>glucose </w:t>
      </w:r>
      <w:r>
        <w:rPr>
          <w:rFonts w:ascii="Arial Unicode MS" w:hAnsi="Arial Unicode MS"/>
          <w:color w:val="231F20"/>
          <w:w w:val="105"/>
        </w:rPr>
        <w:t>= </w:t>
      </w:r>
      <w:r>
        <w:rPr>
          <w:color w:val="231F20"/>
          <w:w w:val="105"/>
        </w:rPr>
        <w:t>125 ml/min </w:t>
      </w:r>
      <w:r>
        <w:rPr>
          <w:rFonts w:ascii="Arial Unicode MS" w:hAnsi="Arial Unicode MS"/>
          <w:color w:val="231F20"/>
          <w:w w:val="105"/>
        </w:rPr>
        <w:t>× </w:t>
      </w:r>
      <w:r>
        <w:rPr>
          <w:color w:val="231F20"/>
          <w:w w:val="105"/>
        </w:rPr>
        <w:t>1 mg/ml). </w:t>
      </w:r>
      <w:r>
        <w:rPr>
          <w:color w:val="231F20"/>
          <w:spacing w:val="-3"/>
          <w:w w:val="105"/>
        </w:rPr>
        <w:t>With </w:t>
      </w:r>
      <w:r>
        <w:rPr>
          <w:color w:val="231F20"/>
          <w:w w:val="105"/>
        </w:rPr>
        <w:t>large increases in   GFR   and/or   plasma   glucose   concentration</w:t>
      </w:r>
      <w:r>
        <w:rPr>
          <w:color w:val="231F20"/>
          <w:spacing w:val="37"/>
          <w:w w:val="105"/>
        </w:rPr>
        <w:t> </w:t>
      </w:r>
      <w:r>
        <w:rPr>
          <w:color w:val="231F20"/>
          <w:spacing w:val="-4"/>
          <w:w w:val="105"/>
        </w:rPr>
        <w:t>that</w:t>
      </w:r>
    </w:p>
    <w:p>
      <w:pPr>
        <w:pStyle w:val="BodyText"/>
        <w:spacing w:line="249" w:lineRule="auto" w:before="18"/>
        <w:ind w:left="319" w:right="1437"/>
        <w:jc w:val="both"/>
      </w:pPr>
      <w:r>
        <w:rPr>
          <w:color w:val="231F20"/>
          <w:w w:val="105"/>
        </w:rPr>
        <w:t>increase the filtered load of glucose above 375 mg/min, the excess glucose filtered is not reabsorbed and passes into the urine.</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1"/>
      </w:pPr>
    </w:p>
    <w:p>
      <w:pPr>
        <w:spacing w:after="0"/>
        <w:sectPr>
          <w:headerReference w:type="default" r:id="rId481"/>
          <w:pgSz w:w="12240" w:h="15660"/>
          <w:pgMar w:header="0" w:footer="567" w:top="0" w:bottom="760" w:left="0" w:right="0"/>
        </w:sectPr>
      </w:pPr>
    </w:p>
    <w:p>
      <w:pPr>
        <w:pStyle w:val="BodyText"/>
        <w:spacing w:line="249" w:lineRule="auto" w:before="119"/>
        <w:ind w:left="1440" w:firstLine="240"/>
        <w:jc w:val="both"/>
      </w:pPr>
      <w:hyperlink w:history="true" w:anchor="_bookmark43">
        <w:r>
          <w:rPr>
            <w:b/>
            <w:color w:val="0080AC"/>
            <w:w w:val="105"/>
          </w:rPr>
          <w:t>Figure 28-4</w:t>
        </w:r>
      </w:hyperlink>
      <w:r>
        <w:rPr>
          <w:b/>
          <w:color w:val="0080AC"/>
          <w:w w:val="105"/>
        </w:rPr>
        <w:t> </w:t>
      </w:r>
      <w:r>
        <w:rPr>
          <w:color w:val="231F20"/>
          <w:w w:val="105"/>
        </w:rPr>
        <w:t>shows the relation between </w:t>
      </w:r>
      <w:r>
        <w:rPr>
          <w:color w:val="231F20"/>
          <w:spacing w:val="-3"/>
          <w:w w:val="105"/>
        </w:rPr>
        <w:t>plasma </w:t>
      </w:r>
      <w:r>
        <w:rPr>
          <w:color w:val="231F20"/>
          <w:w w:val="105"/>
        </w:rPr>
        <w:t>concentration</w:t>
      </w:r>
      <w:r>
        <w:rPr>
          <w:color w:val="231F20"/>
          <w:spacing w:val="-18"/>
          <w:w w:val="105"/>
        </w:rPr>
        <w:t> </w:t>
      </w:r>
      <w:r>
        <w:rPr>
          <w:color w:val="231F20"/>
          <w:w w:val="105"/>
        </w:rPr>
        <w:t>of</w:t>
      </w:r>
      <w:r>
        <w:rPr>
          <w:color w:val="231F20"/>
          <w:spacing w:val="-17"/>
          <w:w w:val="105"/>
        </w:rPr>
        <w:t> </w:t>
      </w:r>
      <w:r>
        <w:rPr>
          <w:color w:val="231F20"/>
          <w:w w:val="105"/>
        </w:rPr>
        <w:t>glucose,</w:t>
      </w:r>
      <w:r>
        <w:rPr>
          <w:color w:val="231F20"/>
          <w:spacing w:val="-18"/>
          <w:w w:val="105"/>
        </w:rPr>
        <w:t> </w:t>
      </w:r>
      <w:r>
        <w:rPr>
          <w:color w:val="231F20"/>
          <w:w w:val="105"/>
        </w:rPr>
        <w:t>filtered</w:t>
      </w:r>
      <w:r>
        <w:rPr>
          <w:color w:val="231F20"/>
          <w:spacing w:val="-17"/>
          <w:w w:val="105"/>
        </w:rPr>
        <w:t> </w:t>
      </w:r>
      <w:r>
        <w:rPr>
          <w:color w:val="231F20"/>
          <w:w w:val="105"/>
        </w:rPr>
        <w:t>load</w:t>
      </w:r>
      <w:r>
        <w:rPr>
          <w:color w:val="231F20"/>
          <w:spacing w:val="-17"/>
          <w:w w:val="105"/>
        </w:rPr>
        <w:t> </w:t>
      </w:r>
      <w:r>
        <w:rPr>
          <w:color w:val="231F20"/>
          <w:w w:val="105"/>
        </w:rPr>
        <w:t>of</w:t>
      </w:r>
      <w:r>
        <w:rPr>
          <w:color w:val="231F20"/>
          <w:spacing w:val="-18"/>
          <w:w w:val="105"/>
        </w:rPr>
        <w:t> </w:t>
      </w:r>
      <w:r>
        <w:rPr>
          <w:color w:val="231F20"/>
          <w:w w:val="105"/>
        </w:rPr>
        <w:t>glucose,</w:t>
      </w:r>
      <w:r>
        <w:rPr>
          <w:color w:val="231F20"/>
          <w:spacing w:val="-17"/>
          <w:w w:val="105"/>
        </w:rPr>
        <w:t> </w:t>
      </w:r>
      <w:r>
        <w:rPr>
          <w:color w:val="231F20"/>
          <w:spacing w:val="-3"/>
          <w:w w:val="105"/>
        </w:rPr>
        <w:t>tubular </w:t>
      </w:r>
      <w:r>
        <w:rPr>
          <w:color w:val="231F20"/>
          <w:w w:val="105"/>
        </w:rPr>
        <w:t>transport</w:t>
      </w:r>
      <w:r>
        <w:rPr>
          <w:color w:val="231F20"/>
          <w:spacing w:val="-6"/>
          <w:w w:val="105"/>
        </w:rPr>
        <w:t> </w:t>
      </w:r>
      <w:r>
        <w:rPr>
          <w:color w:val="231F20"/>
          <w:w w:val="105"/>
        </w:rPr>
        <w:t>maximum</w:t>
      </w:r>
      <w:r>
        <w:rPr>
          <w:color w:val="231F20"/>
          <w:spacing w:val="-5"/>
          <w:w w:val="105"/>
        </w:rPr>
        <w:t> </w:t>
      </w:r>
      <w:r>
        <w:rPr>
          <w:color w:val="231F20"/>
          <w:w w:val="105"/>
        </w:rPr>
        <w:t>for</w:t>
      </w:r>
      <w:r>
        <w:rPr>
          <w:color w:val="231F20"/>
          <w:spacing w:val="-5"/>
          <w:w w:val="105"/>
        </w:rPr>
        <w:t> </w:t>
      </w:r>
      <w:r>
        <w:rPr>
          <w:color w:val="231F20"/>
          <w:w w:val="105"/>
        </w:rPr>
        <w:t>glucose,</w:t>
      </w:r>
      <w:r>
        <w:rPr>
          <w:color w:val="231F20"/>
          <w:spacing w:val="-5"/>
          <w:w w:val="105"/>
        </w:rPr>
        <w:t> </w:t>
      </w:r>
      <w:r>
        <w:rPr>
          <w:color w:val="231F20"/>
          <w:w w:val="105"/>
        </w:rPr>
        <w:t>and</w:t>
      </w:r>
      <w:r>
        <w:rPr>
          <w:color w:val="231F20"/>
          <w:spacing w:val="-5"/>
          <w:w w:val="105"/>
        </w:rPr>
        <w:t> </w:t>
      </w:r>
      <w:r>
        <w:rPr>
          <w:color w:val="231F20"/>
          <w:w w:val="105"/>
        </w:rPr>
        <w:t>rate</w:t>
      </w:r>
      <w:r>
        <w:rPr>
          <w:color w:val="231F20"/>
          <w:spacing w:val="-5"/>
          <w:w w:val="105"/>
        </w:rPr>
        <w:t> </w:t>
      </w:r>
      <w:r>
        <w:rPr>
          <w:color w:val="231F20"/>
          <w:w w:val="105"/>
        </w:rPr>
        <w:t>of</w:t>
      </w:r>
      <w:r>
        <w:rPr>
          <w:color w:val="231F20"/>
          <w:spacing w:val="-5"/>
          <w:w w:val="105"/>
        </w:rPr>
        <w:t> </w:t>
      </w:r>
      <w:r>
        <w:rPr>
          <w:color w:val="231F20"/>
          <w:w w:val="105"/>
        </w:rPr>
        <w:t>glucose</w:t>
      </w:r>
      <w:r>
        <w:rPr>
          <w:color w:val="231F20"/>
          <w:spacing w:val="-5"/>
          <w:w w:val="105"/>
        </w:rPr>
        <w:t> </w:t>
      </w:r>
      <w:r>
        <w:rPr>
          <w:color w:val="231F20"/>
          <w:spacing w:val="-3"/>
          <w:w w:val="105"/>
        </w:rPr>
        <w:t>loss </w:t>
      </w:r>
      <w:r>
        <w:rPr>
          <w:color w:val="231F20"/>
          <w:w w:val="105"/>
        </w:rPr>
        <w:t>in the urine. Note that when the plasma glucose</w:t>
      </w:r>
      <w:r>
        <w:rPr>
          <w:color w:val="231F20"/>
          <w:spacing w:val="-22"/>
          <w:w w:val="105"/>
        </w:rPr>
        <w:t> </w:t>
      </w:r>
      <w:r>
        <w:rPr>
          <w:color w:val="231F20"/>
          <w:spacing w:val="-4"/>
          <w:w w:val="105"/>
        </w:rPr>
        <w:t>concen- </w:t>
      </w:r>
      <w:r>
        <w:rPr>
          <w:color w:val="231F20"/>
          <w:w w:val="105"/>
        </w:rPr>
        <w:t>tration is 100 mg/100 ml and the filtered load is at </w:t>
      </w:r>
      <w:r>
        <w:rPr>
          <w:color w:val="231F20"/>
          <w:spacing w:val="-4"/>
          <w:w w:val="105"/>
        </w:rPr>
        <w:t>its </w:t>
      </w:r>
      <w:r>
        <w:rPr>
          <w:color w:val="231F20"/>
          <w:w w:val="105"/>
        </w:rPr>
        <w:t>normal level (125 mg/min) there is no loss of glucose</w:t>
      </w:r>
      <w:r>
        <w:rPr>
          <w:color w:val="231F20"/>
          <w:spacing w:val="-34"/>
          <w:w w:val="105"/>
        </w:rPr>
        <w:t> </w:t>
      </w:r>
      <w:r>
        <w:rPr>
          <w:color w:val="231F20"/>
          <w:spacing w:val="-7"/>
          <w:w w:val="105"/>
        </w:rPr>
        <w:t>in </w:t>
      </w:r>
      <w:r>
        <w:rPr>
          <w:color w:val="231F20"/>
          <w:w w:val="105"/>
        </w:rPr>
        <w:t>the urine. However, when the plasma concentration of glucose rises above about 200 mg/100 ml, increasing the filtered load to about 250 mg/min, a small </w:t>
      </w:r>
      <w:r>
        <w:rPr>
          <w:color w:val="231F20"/>
          <w:spacing w:val="-4"/>
          <w:w w:val="105"/>
        </w:rPr>
        <w:t>amount </w:t>
      </w:r>
      <w:r>
        <w:rPr>
          <w:color w:val="231F20"/>
          <w:w w:val="105"/>
        </w:rPr>
        <w:t>of glucose begins to appear in the urine. This point </w:t>
      </w:r>
      <w:r>
        <w:rPr>
          <w:color w:val="231F20"/>
          <w:spacing w:val="-8"/>
          <w:w w:val="105"/>
        </w:rPr>
        <w:t>is </w:t>
      </w:r>
      <w:r>
        <w:rPr>
          <w:color w:val="231F20"/>
          <w:w w:val="105"/>
        </w:rPr>
        <w:t>termed the </w:t>
      </w:r>
      <w:r>
        <w:rPr>
          <w:i/>
          <w:color w:val="231F20"/>
          <w:w w:val="105"/>
        </w:rPr>
        <w:t>threshold </w:t>
      </w:r>
      <w:r>
        <w:rPr>
          <w:color w:val="231F20"/>
          <w:w w:val="105"/>
        </w:rPr>
        <w:t>for glucose. </w:t>
      </w:r>
      <w:r>
        <w:rPr>
          <w:i/>
          <w:color w:val="231F20"/>
          <w:w w:val="105"/>
        </w:rPr>
        <w:t>Note that this</w:t>
      </w:r>
      <w:r>
        <w:rPr>
          <w:i/>
          <w:color w:val="231F20"/>
          <w:spacing w:val="-11"/>
          <w:w w:val="105"/>
        </w:rPr>
        <w:t> </w:t>
      </w:r>
      <w:r>
        <w:rPr>
          <w:i/>
          <w:color w:val="231F20"/>
          <w:w w:val="105"/>
        </w:rPr>
        <w:t>appear- </w:t>
      </w:r>
      <w:r>
        <w:rPr>
          <w:i/>
          <w:color w:val="231F20"/>
          <w:w w:val="105"/>
        </w:rPr>
        <w:t>ance</w:t>
      </w:r>
      <w:r>
        <w:rPr>
          <w:i/>
          <w:color w:val="231F20"/>
          <w:spacing w:val="-37"/>
          <w:w w:val="105"/>
        </w:rPr>
        <w:t> </w:t>
      </w:r>
      <w:r>
        <w:rPr>
          <w:i/>
          <w:color w:val="231F20"/>
          <w:w w:val="105"/>
        </w:rPr>
        <w:t>of</w:t>
      </w:r>
      <w:r>
        <w:rPr>
          <w:i/>
          <w:color w:val="231F20"/>
          <w:spacing w:val="-36"/>
          <w:w w:val="105"/>
        </w:rPr>
        <w:t> </w:t>
      </w:r>
      <w:r>
        <w:rPr>
          <w:i/>
          <w:color w:val="231F20"/>
          <w:w w:val="105"/>
        </w:rPr>
        <w:t>glucose</w:t>
      </w:r>
      <w:r>
        <w:rPr>
          <w:i/>
          <w:color w:val="231F20"/>
          <w:spacing w:val="-37"/>
          <w:w w:val="105"/>
        </w:rPr>
        <w:t> </w:t>
      </w:r>
      <w:r>
        <w:rPr>
          <w:i/>
          <w:color w:val="231F20"/>
          <w:w w:val="105"/>
        </w:rPr>
        <w:t>in</w:t>
      </w:r>
      <w:r>
        <w:rPr>
          <w:i/>
          <w:color w:val="231F20"/>
          <w:spacing w:val="-36"/>
          <w:w w:val="105"/>
        </w:rPr>
        <w:t> </w:t>
      </w:r>
      <w:r>
        <w:rPr>
          <w:i/>
          <w:color w:val="231F20"/>
          <w:w w:val="105"/>
        </w:rPr>
        <w:t>the</w:t>
      </w:r>
      <w:r>
        <w:rPr>
          <w:i/>
          <w:color w:val="231F20"/>
          <w:spacing w:val="-37"/>
          <w:w w:val="105"/>
        </w:rPr>
        <w:t> </w:t>
      </w:r>
      <w:r>
        <w:rPr>
          <w:i/>
          <w:color w:val="231F20"/>
          <w:w w:val="105"/>
        </w:rPr>
        <w:t>urine</w:t>
      </w:r>
      <w:r>
        <w:rPr>
          <w:i/>
          <w:color w:val="231F20"/>
          <w:spacing w:val="-36"/>
          <w:w w:val="105"/>
        </w:rPr>
        <w:t> </w:t>
      </w:r>
      <w:r>
        <w:rPr>
          <w:i/>
          <w:color w:val="231F20"/>
          <w:w w:val="105"/>
        </w:rPr>
        <w:t>(at</w:t>
      </w:r>
      <w:r>
        <w:rPr>
          <w:i/>
          <w:color w:val="231F20"/>
          <w:spacing w:val="-36"/>
          <w:w w:val="105"/>
        </w:rPr>
        <w:t> </w:t>
      </w:r>
      <w:r>
        <w:rPr>
          <w:i/>
          <w:color w:val="231F20"/>
          <w:w w:val="105"/>
        </w:rPr>
        <w:t>the</w:t>
      </w:r>
      <w:r>
        <w:rPr>
          <w:i/>
          <w:color w:val="231F20"/>
          <w:spacing w:val="-37"/>
          <w:w w:val="105"/>
        </w:rPr>
        <w:t> </w:t>
      </w:r>
      <w:r>
        <w:rPr>
          <w:i/>
          <w:color w:val="231F20"/>
          <w:w w:val="105"/>
        </w:rPr>
        <w:t>threshold)</w:t>
      </w:r>
      <w:r>
        <w:rPr>
          <w:i/>
          <w:color w:val="231F20"/>
          <w:spacing w:val="-36"/>
          <w:w w:val="105"/>
        </w:rPr>
        <w:t> </w:t>
      </w:r>
      <w:r>
        <w:rPr>
          <w:i/>
          <w:color w:val="231F20"/>
          <w:w w:val="105"/>
        </w:rPr>
        <w:t>occurs</w:t>
      </w:r>
      <w:r>
        <w:rPr>
          <w:i/>
          <w:color w:val="231F20"/>
          <w:spacing w:val="-37"/>
          <w:w w:val="105"/>
        </w:rPr>
        <w:t> </w:t>
      </w:r>
      <w:r>
        <w:rPr>
          <w:i/>
          <w:color w:val="231F20"/>
          <w:w w:val="105"/>
        </w:rPr>
        <w:t>before the transport maximum is reached</w:t>
      </w:r>
      <w:r>
        <w:rPr>
          <w:color w:val="231F20"/>
          <w:w w:val="105"/>
        </w:rPr>
        <w:t>. One reason for </w:t>
      </w:r>
      <w:r>
        <w:rPr>
          <w:color w:val="231F20"/>
          <w:spacing w:val="-5"/>
          <w:w w:val="105"/>
        </w:rPr>
        <w:t>the </w:t>
      </w:r>
      <w:r>
        <w:rPr>
          <w:color w:val="231F20"/>
          <w:w w:val="105"/>
        </w:rPr>
        <w:t>difference between threshold and transport maximum </w:t>
      </w:r>
      <w:r>
        <w:rPr>
          <w:color w:val="231F20"/>
          <w:spacing w:val="-6"/>
          <w:w w:val="105"/>
        </w:rPr>
        <w:t>is </w:t>
      </w:r>
      <w:r>
        <w:rPr>
          <w:color w:val="231F20"/>
          <w:w w:val="105"/>
        </w:rPr>
        <w:t>that not all nephrons have the same transport maximum for</w:t>
      </w:r>
      <w:r>
        <w:rPr>
          <w:color w:val="231F20"/>
          <w:spacing w:val="-8"/>
          <w:w w:val="105"/>
        </w:rPr>
        <w:t> </w:t>
      </w:r>
      <w:r>
        <w:rPr>
          <w:color w:val="231F20"/>
          <w:w w:val="105"/>
        </w:rPr>
        <w:t>glucose,</w:t>
      </w:r>
      <w:r>
        <w:rPr>
          <w:color w:val="231F20"/>
          <w:spacing w:val="-8"/>
          <w:w w:val="105"/>
        </w:rPr>
        <w:t> </w:t>
      </w:r>
      <w:r>
        <w:rPr>
          <w:color w:val="231F20"/>
          <w:w w:val="105"/>
        </w:rPr>
        <w:t>and</w:t>
      </w:r>
      <w:r>
        <w:rPr>
          <w:color w:val="231F20"/>
          <w:spacing w:val="-7"/>
          <w:w w:val="105"/>
        </w:rPr>
        <w:t> </w:t>
      </w:r>
      <w:r>
        <w:rPr>
          <w:color w:val="231F20"/>
          <w:w w:val="105"/>
        </w:rPr>
        <w:t>some</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nephrons</w:t>
      </w:r>
      <w:r>
        <w:rPr>
          <w:color w:val="231F20"/>
          <w:spacing w:val="-8"/>
          <w:w w:val="105"/>
        </w:rPr>
        <w:t> </w:t>
      </w:r>
      <w:r>
        <w:rPr>
          <w:color w:val="231F20"/>
          <w:w w:val="105"/>
        </w:rPr>
        <w:t>therefore</w:t>
      </w:r>
      <w:r>
        <w:rPr>
          <w:color w:val="231F20"/>
          <w:spacing w:val="-7"/>
          <w:w w:val="105"/>
        </w:rPr>
        <w:t> </w:t>
      </w:r>
      <w:r>
        <w:rPr>
          <w:color w:val="231F20"/>
          <w:w w:val="105"/>
        </w:rPr>
        <w:t>begin</w:t>
      </w:r>
      <w:r>
        <w:rPr>
          <w:color w:val="231F20"/>
          <w:spacing w:val="-8"/>
          <w:w w:val="105"/>
        </w:rPr>
        <w:t> </w:t>
      </w:r>
      <w:r>
        <w:rPr>
          <w:color w:val="231F20"/>
          <w:spacing w:val="-7"/>
          <w:w w:val="105"/>
        </w:rPr>
        <w:t>to </w:t>
      </w:r>
      <w:r>
        <w:rPr>
          <w:color w:val="231F20"/>
          <w:w w:val="105"/>
        </w:rPr>
        <w:t>excrete</w:t>
      </w:r>
      <w:r>
        <w:rPr>
          <w:color w:val="231F20"/>
          <w:spacing w:val="-26"/>
          <w:w w:val="105"/>
        </w:rPr>
        <w:t> </w:t>
      </w:r>
      <w:r>
        <w:rPr>
          <w:color w:val="231F20"/>
          <w:w w:val="105"/>
        </w:rPr>
        <w:t>glucose</w:t>
      </w:r>
      <w:r>
        <w:rPr>
          <w:color w:val="231F20"/>
          <w:spacing w:val="-25"/>
          <w:w w:val="105"/>
        </w:rPr>
        <w:t> </w:t>
      </w:r>
      <w:r>
        <w:rPr>
          <w:color w:val="231F20"/>
          <w:w w:val="105"/>
        </w:rPr>
        <w:t>before</w:t>
      </w:r>
      <w:r>
        <w:rPr>
          <w:color w:val="231F20"/>
          <w:spacing w:val="-26"/>
          <w:w w:val="105"/>
        </w:rPr>
        <w:t> </w:t>
      </w:r>
      <w:r>
        <w:rPr>
          <w:color w:val="231F20"/>
          <w:w w:val="105"/>
        </w:rPr>
        <w:t>others</w:t>
      </w:r>
      <w:r>
        <w:rPr>
          <w:color w:val="231F20"/>
          <w:spacing w:val="-25"/>
          <w:w w:val="105"/>
        </w:rPr>
        <w:t> </w:t>
      </w:r>
      <w:r>
        <w:rPr>
          <w:color w:val="231F20"/>
          <w:w w:val="105"/>
        </w:rPr>
        <w:t>have</w:t>
      </w:r>
      <w:r>
        <w:rPr>
          <w:color w:val="231F20"/>
          <w:spacing w:val="-26"/>
          <w:w w:val="105"/>
        </w:rPr>
        <w:t> </w:t>
      </w:r>
      <w:r>
        <w:rPr>
          <w:color w:val="231F20"/>
          <w:w w:val="105"/>
        </w:rPr>
        <w:t>reached</w:t>
      </w:r>
      <w:r>
        <w:rPr>
          <w:color w:val="231F20"/>
          <w:spacing w:val="-25"/>
          <w:w w:val="105"/>
        </w:rPr>
        <w:t> </w:t>
      </w:r>
      <w:r>
        <w:rPr>
          <w:color w:val="231F20"/>
          <w:w w:val="105"/>
        </w:rPr>
        <w:t>their</w:t>
      </w:r>
      <w:r>
        <w:rPr>
          <w:color w:val="231F20"/>
          <w:spacing w:val="-25"/>
          <w:w w:val="105"/>
        </w:rPr>
        <w:t> </w:t>
      </w:r>
      <w:r>
        <w:rPr>
          <w:color w:val="231F20"/>
          <w:w w:val="105"/>
        </w:rPr>
        <w:t>transport</w:t>
      </w:r>
    </w:p>
    <w:p>
      <w:pPr>
        <w:spacing w:before="146"/>
        <w:ind w:left="0" w:right="156" w:firstLine="0"/>
        <w:jc w:val="right"/>
        <w:rPr>
          <w:rFonts w:ascii="Helvetica"/>
          <w:sz w:val="16"/>
        </w:rPr>
      </w:pPr>
      <w:r>
        <w:rPr/>
        <w:br w:type="column"/>
      </w:r>
      <w:r>
        <w:rPr>
          <w:rFonts w:ascii="Helvetica"/>
          <w:color w:val="231F20"/>
          <w:w w:val="95"/>
          <w:sz w:val="16"/>
        </w:rPr>
        <w:t>900</w:t>
      </w:r>
    </w:p>
    <w:p>
      <w:pPr>
        <w:pStyle w:val="BodyText"/>
        <w:spacing w:before="6"/>
        <w:rPr>
          <w:rFonts w:ascii="Helvetica"/>
          <w:sz w:val="19"/>
        </w:rPr>
      </w:pPr>
    </w:p>
    <w:p>
      <w:pPr>
        <w:spacing w:before="0"/>
        <w:ind w:left="0" w:right="156" w:firstLine="0"/>
        <w:jc w:val="right"/>
        <w:rPr>
          <w:rFonts w:ascii="Helvetica"/>
          <w:sz w:val="16"/>
        </w:rPr>
      </w:pPr>
      <w:r>
        <w:rPr/>
        <w:pict>
          <v:group style="position:absolute;margin-left:374.486389pt;margin-top:-15.752205pt;width:164.85pt;height:185.65pt;mso-position-horizontal-relative:page;mso-position-vertical-relative:paragraph;z-index:252061696" coordorigin="7490,-315" coordsize="3297,3713">
            <v:shape style="position:absolute;left:-75;top:10556;width:3287;height:3703" coordorigin="-74,10557" coordsize="3287,3703" path="m7564,3323l7564,3397m7564,3323l7490,3323m7965,3323l7965,3397m8366,3323l8366,3397m8767,3323l8767,3397m9168,3323l9168,3397m9569,3323l9569,3397m9970,3323l9970,3397m10371,3323l10371,3397m10772,3323l10772,3397m7564,-305l7490,-305m7564,98l7490,98m7564,501l7490,501m7564,904l7490,904m7564,1307l7490,1307m7564,1710l7490,1710m7564,2114l7490,2114m7564,2517l7490,2517m7564,2920l7490,2920m7564,-305l7564,3323,10776,3323e" filled="false" stroked="true" strokeweight="1pt" strokecolor="#231f20">
              <v:path arrowok="t"/>
              <v:stroke dashstyle="solid"/>
            </v:shape>
            <v:line style="position:absolute" from="7573,3309" to="10340,-223" stroked="true" strokeweight="2pt" strokecolor="#f0535f">
              <v:stroke dashstyle="solid"/>
            </v:line>
            <v:shape style="position:absolute;left:7589;top:1807;width:2950;height:1500" coordorigin="7590,1807" coordsize="2950,1500" path="m10540,1807l9070,1852,8892,1884,8772,1926,8656,2008,8490,2157,8223,2475,7928,2855,7688,3173,7590,3307e" filled="false" stroked="true" strokeweight="2pt" strokecolor="#0061af">
              <v:path arrowok="t"/>
              <v:stroke dashstyle="solid"/>
            </v:shape>
            <v:shape style="position:absolute;left:8376;top:1195;width:2063;height:2121" coordorigin="8377,1195" coordsize="2063,2121" path="m8377,3316l8580,3292,8707,3254,8811,3173,8944,3022,9272,2627,9775,2011,10237,1444,10439,1195e" filled="false" stroked="true" strokeweight="2pt" strokecolor="#00a650">
              <v:path arrowok="t"/>
              <v:stroke dashstyle="solid"/>
            </v:shape>
            <v:shape style="position:absolute;left:7924;top:2787;width:71;height:71" coordorigin="7925,2787" coordsize="71,71" path="m7960,2787l7946,2790,7935,2798,7928,2809,7925,2822,7928,2836,7935,2847,7946,2855,7960,2858,7974,2855,7985,2847,7992,2836,7995,2822,7992,2809,7985,2798,7974,2790,7960,2787xe" filled="true" fillcolor="#231f20" stroked="false">
              <v:path arrowok="t"/>
              <v:fill type="solid"/>
            </v:shape>
            <v:shape style="position:absolute;left:-1655;top:14184;width:2407;height:2776" coordorigin="-1654,14184" coordsize="2407,2776" path="m9453,527l9629,674m9946,1298l10205,1468m10187,2157l10187,1821m9123,1983l9123,1848m7799,2640l7946,2810m8364,3069l8366,3302e" filled="false" stroked="true" strokeweight=".75pt" strokecolor="#231f20">
              <v:path arrowok="t"/>
              <v:stroke dashstyle="solid"/>
            </v:shape>
            <v:shape style="position:absolute;left:8879;top:416;width:554;height:365" type="#_x0000_t202" filled="false" stroked="false">
              <v:textbox inset="0,0,0,0">
                <w:txbxContent>
                  <w:p>
                    <w:pPr>
                      <w:spacing w:line="181" w:lineRule="exact" w:before="0"/>
                      <w:ind w:left="0" w:right="18" w:firstLine="0"/>
                      <w:jc w:val="right"/>
                      <w:rPr>
                        <w:rFonts w:ascii="Helvetica"/>
                        <w:sz w:val="16"/>
                      </w:rPr>
                    </w:pPr>
                    <w:r>
                      <w:rPr>
                        <w:rFonts w:ascii="Helvetica"/>
                        <w:color w:val="231F20"/>
                        <w:spacing w:val="-1"/>
                        <w:sz w:val="16"/>
                      </w:rPr>
                      <w:t>Filtered</w:t>
                    </w:r>
                  </w:p>
                  <w:p>
                    <w:pPr>
                      <w:spacing w:line="182" w:lineRule="exact" w:before="0"/>
                      <w:ind w:left="0" w:right="18" w:firstLine="0"/>
                      <w:jc w:val="right"/>
                      <w:rPr>
                        <w:rFonts w:ascii="Helvetica"/>
                        <w:sz w:val="16"/>
                      </w:rPr>
                    </w:pPr>
                    <w:r>
                      <w:rPr>
                        <w:rFonts w:ascii="Helvetica"/>
                        <w:color w:val="231F20"/>
                        <w:spacing w:val="-1"/>
                        <w:sz w:val="16"/>
                      </w:rPr>
                      <w:t>load</w:t>
                    </w:r>
                  </w:p>
                </w:txbxContent>
              </v:textbox>
              <w10:wrap type="none"/>
            </v:shape>
            <v:shape style="position:absolute;left:9610;top:1108;width:6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Excretion</w:t>
                    </w:r>
                  </w:p>
                </w:txbxContent>
              </v:textbox>
              <w10:wrap type="none"/>
            </v:shape>
            <v:shape style="position:absolute;left:8757;top:1962;width:1918;height:365" type="#_x0000_t202" filled="false" stroked="false">
              <v:textbox inset="0,0,0,0">
                <w:txbxContent>
                  <w:p>
                    <w:pPr>
                      <w:spacing w:line="176" w:lineRule="exact" w:before="0"/>
                      <w:ind w:left="4" w:right="0" w:firstLine="0"/>
                      <w:jc w:val="left"/>
                      <w:rPr>
                        <w:rFonts w:ascii="Helvetica"/>
                        <w:sz w:val="16"/>
                      </w:rPr>
                    </w:pPr>
                    <w:r>
                      <w:rPr>
                        <w:rFonts w:ascii="Helvetica"/>
                        <w:color w:val="231F20"/>
                        <w:sz w:val="16"/>
                      </w:rPr>
                      <w:t>Transport</w:t>
                    </w:r>
                  </w:p>
                  <w:p>
                    <w:pPr>
                      <w:tabs>
                        <w:tab w:pos="945" w:val="left" w:leader="none"/>
                      </w:tabs>
                      <w:spacing w:line="187" w:lineRule="exact" w:before="0"/>
                      <w:ind w:left="0" w:right="0" w:firstLine="0"/>
                      <w:jc w:val="left"/>
                      <w:rPr>
                        <w:rFonts w:ascii="Helvetica"/>
                        <w:sz w:val="16"/>
                      </w:rPr>
                    </w:pPr>
                    <w:r>
                      <w:rPr>
                        <w:rFonts w:ascii="Helvetica"/>
                        <w:color w:val="231F20"/>
                        <w:sz w:val="16"/>
                      </w:rPr>
                      <w:t>maximum</w:t>
                      <w:tab/>
                    </w:r>
                    <w:r>
                      <w:rPr>
                        <w:rFonts w:ascii="Helvetica"/>
                        <w:color w:val="231F20"/>
                        <w:position w:val="1"/>
                        <w:sz w:val="16"/>
                      </w:rPr>
                      <w:t>Reabsorption</w:t>
                    </w:r>
                  </w:p>
                </w:txbxContent>
              </v:textbox>
              <w10:wrap type="none"/>
            </v:shape>
            <v:shape style="position:absolute;left:7586;top:2432;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8070;top:2890;width:7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Threshold</w:t>
                    </w:r>
                  </w:p>
                </w:txbxContent>
              </v:textbox>
              <w10:wrap type="none"/>
            </v:shape>
            <w10:wrap type="none"/>
          </v:group>
        </w:pict>
      </w:r>
      <w:r>
        <w:rPr/>
        <w:pict>
          <v:shape style="position:absolute;margin-left:335.292694pt;margin-top:7.620679pt;width:20.55pt;height:134.5pt;mso-position-horizontal-relative:page;mso-position-vertical-relative:paragraph;z-index:252063744" type="#_x0000_t202" filled="false" stroked="false">
            <v:textbox inset="0,0,0,0" style="layout-flow:vertical;mso-layout-flow-alt:bottom-to-top">
              <w:txbxContent>
                <w:p>
                  <w:pPr>
                    <w:spacing w:line="235" w:lineRule="auto" w:before="27"/>
                    <w:ind w:left="526" w:right="1" w:hanging="507"/>
                    <w:jc w:val="left"/>
                    <w:rPr>
                      <w:rFonts w:ascii="Helvetica"/>
                      <w:b/>
                      <w:sz w:val="16"/>
                    </w:rPr>
                  </w:pPr>
                  <w:r>
                    <w:rPr>
                      <w:rFonts w:ascii="Helvetica"/>
                      <w:b/>
                      <w:color w:val="231F20"/>
                      <w:sz w:val="16"/>
                    </w:rPr>
                    <w:t>Glucose filtered load, reabsorption or excretion (mg/min)</w:t>
                  </w:r>
                </w:p>
              </w:txbxContent>
            </v:textbox>
            <w10:wrap type="none"/>
          </v:shape>
        </w:pict>
      </w:r>
      <w:r>
        <w:rPr>
          <w:rFonts w:ascii="Helvetica"/>
          <w:color w:val="231F20"/>
          <w:w w:val="95"/>
          <w:sz w:val="16"/>
        </w:rPr>
        <w:t>800</w:t>
      </w:r>
    </w:p>
    <w:p>
      <w:pPr>
        <w:pStyle w:val="BodyText"/>
        <w:rPr>
          <w:rFonts w:ascii="Helvetica"/>
          <w:sz w:val="19"/>
        </w:rPr>
      </w:pPr>
    </w:p>
    <w:p>
      <w:pPr>
        <w:spacing w:before="0"/>
        <w:ind w:left="0" w:right="156" w:firstLine="0"/>
        <w:jc w:val="right"/>
        <w:rPr>
          <w:rFonts w:ascii="Helvetica"/>
          <w:sz w:val="16"/>
        </w:rPr>
      </w:pPr>
      <w:r>
        <w:rPr>
          <w:rFonts w:ascii="Helvetica"/>
          <w:color w:val="231F20"/>
          <w:w w:val="95"/>
          <w:sz w:val="16"/>
        </w:rPr>
        <w:t>700</w:t>
      </w:r>
    </w:p>
    <w:p>
      <w:pPr>
        <w:pStyle w:val="BodyText"/>
        <w:spacing w:before="9"/>
        <w:rPr>
          <w:rFonts w:ascii="Helvetica"/>
          <w:sz w:val="19"/>
        </w:rPr>
      </w:pPr>
    </w:p>
    <w:p>
      <w:pPr>
        <w:spacing w:before="0"/>
        <w:ind w:left="0" w:right="156" w:firstLine="0"/>
        <w:jc w:val="right"/>
        <w:rPr>
          <w:rFonts w:ascii="Helvetica"/>
          <w:sz w:val="16"/>
        </w:rPr>
      </w:pPr>
      <w:r>
        <w:rPr>
          <w:rFonts w:ascii="Helvetica"/>
          <w:color w:val="231F20"/>
          <w:w w:val="95"/>
          <w:sz w:val="16"/>
        </w:rPr>
        <w:t>600</w:t>
      </w:r>
    </w:p>
    <w:p>
      <w:pPr>
        <w:pStyle w:val="BodyText"/>
        <w:rPr>
          <w:rFonts w:ascii="Helvetica"/>
          <w:sz w:val="19"/>
        </w:rPr>
      </w:pPr>
    </w:p>
    <w:p>
      <w:pPr>
        <w:spacing w:before="1"/>
        <w:ind w:left="0" w:right="156" w:firstLine="0"/>
        <w:jc w:val="right"/>
        <w:rPr>
          <w:rFonts w:ascii="Helvetica"/>
          <w:sz w:val="16"/>
        </w:rPr>
      </w:pPr>
      <w:r>
        <w:rPr>
          <w:rFonts w:ascii="Helvetica"/>
          <w:color w:val="231F20"/>
          <w:w w:val="95"/>
          <w:sz w:val="16"/>
        </w:rPr>
        <w:t>500</w:t>
      </w:r>
    </w:p>
    <w:p>
      <w:pPr>
        <w:pStyle w:val="BodyText"/>
        <w:spacing w:before="5"/>
        <w:rPr>
          <w:rFonts w:ascii="Helvetica"/>
          <w:sz w:val="18"/>
        </w:rPr>
      </w:pPr>
    </w:p>
    <w:p>
      <w:pPr>
        <w:spacing w:before="0"/>
        <w:ind w:left="0" w:right="156" w:firstLine="0"/>
        <w:jc w:val="right"/>
        <w:rPr>
          <w:rFonts w:ascii="Helvetica"/>
          <w:sz w:val="16"/>
        </w:rPr>
      </w:pPr>
      <w:r>
        <w:rPr>
          <w:rFonts w:ascii="Helvetica"/>
          <w:color w:val="231F20"/>
          <w:w w:val="95"/>
          <w:sz w:val="16"/>
        </w:rPr>
        <w:t>400</w:t>
      </w:r>
    </w:p>
    <w:p>
      <w:pPr>
        <w:pStyle w:val="BodyText"/>
        <w:spacing w:before="9"/>
        <w:rPr>
          <w:rFonts w:ascii="Helvetica"/>
          <w:sz w:val="18"/>
        </w:rPr>
      </w:pPr>
    </w:p>
    <w:p>
      <w:pPr>
        <w:spacing w:before="0"/>
        <w:ind w:left="0" w:right="156" w:firstLine="0"/>
        <w:jc w:val="right"/>
        <w:rPr>
          <w:rFonts w:ascii="Helvetica"/>
          <w:sz w:val="16"/>
        </w:rPr>
      </w:pPr>
      <w:r>
        <w:rPr>
          <w:rFonts w:ascii="Helvetica"/>
          <w:color w:val="231F20"/>
          <w:w w:val="95"/>
          <w:sz w:val="16"/>
        </w:rPr>
        <w:t>300</w:t>
      </w:r>
    </w:p>
    <w:p>
      <w:pPr>
        <w:pStyle w:val="BodyText"/>
        <w:spacing w:before="4"/>
        <w:rPr>
          <w:rFonts w:ascii="Helvetica"/>
          <w:sz w:val="19"/>
        </w:rPr>
      </w:pPr>
    </w:p>
    <w:p>
      <w:pPr>
        <w:spacing w:before="1"/>
        <w:ind w:left="0" w:right="156" w:firstLine="0"/>
        <w:jc w:val="right"/>
        <w:rPr>
          <w:rFonts w:ascii="Helvetica"/>
          <w:sz w:val="16"/>
        </w:rPr>
      </w:pPr>
      <w:r>
        <w:rPr>
          <w:rFonts w:ascii="Helvetica"/>
          <w:color w:val="231F20"/>
          <w:w w:val="95"/>
          <w:sz w:val="16"/>
        </w:rPr>
        <w:t>200</w:t>
      </w:r>
    </w:p>
    <w:p>
      <w:pPr>
        <w:pStyle w:val="BodyText"/>
        <w:spacing w:before="8"/>
        <w:rPr>
          <w:rFonts w:ascii="Helvetica"/>
          <w:sz w:val="18"/>
        </w:rPr>
      </w:pPr>
    </w:p>
    <w:p>
      <w:pPr>
        <w:spacing w:before="1"/>
        <w:ind w:left="0" w:right="156" w:firstLine="0"/>
        <w:jc w:val="right"/>
        <w:rPr>
          <w:rFonts w:ascii="Helvetica"/>
          <w:sz w:val="16"/>
        </w:rPr>
      </w:pPr>
      <w:r>
        <w:rPr>
          <w:rFonts w:ascii="Helvetica"/>
          <w:color w:val="231F20"/>
          <w:w w:val="95"/>
          <w:sz w:val="16"/>
        </w:rPr>
        <w:t>100</w:t>
      </w:r>
    </w:p>
    <w:p>
      <w:pPr>
        <w:pStyle w:val="BodyText"/>
        <w:spacing w:before="8"/>
        <w:rPr>
          <w:rFonts w:ascii="Helvetica"/>
          <w:sz w:val="18"/>
        </w:rPr>
      </w:pPr>
    </w:p>
    <w:p>
      <w:pPr>
        <w:spacing w:before="0"/>
        <w:ind w:left="1192" w:right="0" w:firstLine="0"/>
        <w:jc w:val="left"/>
        <w:rPr>
          <w:rFonts w:ascii="Helvetica"/>
          <w:sz w:val="16"/>
        </w:rPr>
      </w:pPr>
      <w:r>
        <w:rPr>
          <w:rFonts w:ascii="Helvetica"/>
          <w:color w:val="231F20"/>
          <w:w w:val="99"/>
          <w:sz w:val="16"/>
        </w:rPr>
        <w:t>0</w:t>
      </w:r>
    </w:p>
    <w:p>
      <w:pPr>
        <w:spacing w:before="7"/>
        <w:ind w:left="1350" w:right="0" w:firstLine="0"/>
        <w:jc w:val="lef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190" w:right="0" w:firstLine="0"/>
        <w:jc w:val="left"/>
        <w:rPr>
          <w:rFonts w:ascii="Helvetica"/>
          <w:sz w:val="16"/>
        </w:rPr>
      </w:pPr>
      <w:r>
        <w:rPr>
          <w:rFonts w:ascii="Helvetica"/>
          <w:color w:val="231F20"/>
          <w:sz w:val="16"/>
        </w:rPr>
        <w:t>100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93" w:right="0" w:firstLine="0"/>
        <w:jc w:val="left"/>
        <w:rPr>
          <w:rFonts w:ascii="Helvetica"/>
          <w:sz w:val="16"/>
        </w:rPr>
      </w:pPr>
      <w:r>
        <w:rPr>
          <w:rFonts w:ascii="Helvetica"/>
          <w:color w:val="231F20"/>
          <w:sz w:val="16"/>
        </w:rPr>
        <w:t>200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93" w:right="0" w:firstLine="0"/>
        <w:jc w:val="left"/>
        <w:rPr>
          <w:rFonts w:ascii="Helvetica"/>
          <w:sz w:val="16"/>
        </w:rPr>
      </w:pPr>
      <w:r>
        <w:rPr>
          <w:rFonts w:ascii="Helvetica"/>
          <w:color w:val="231F20"/>
          <w:sz w:val="16"/>
        </w:rPr>
        <w:t>300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98" w:right="0" w:firstLine="0"/>
        <w:jc w:val="left"/>
        <w:rPr>
          <w:rFonts w:ascii="Helvetica"/>
          <w:sz w:val="16"/>
        </w:rPr>
      </w:pPr>
      <w:r>
        <w:rPr>
          <w:rFonts w:ascii="Helvetica"/>
          <w:color w:val="231F20"/>
          <w:sz w:val="16"/>
        </w:rPr>
        <w:t>400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98" w:right="0" w:firstLine="0"/>
        <w:jc w:val="left"/>
        <w:rPr>
          <w:rFonts w:ascii="Helvetica"/>
          <w:sz w:val="16"/>
        </w:rPr>
      </w:pPr>
      <w:r>
        <w:rPr>
          <w:rFonts w:ascii="Helvetica"/>
          <w:color w:val="231F20"/>
          <w:sz w:val="16"/>
        </w:rPr>
        <w:t>500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88" w:right="0" w:firstLine="0"/>
        <w:jc w:val="left"/>
        <w:rPr>
          <w:rFonts w:ascii="Helvetica"/>
          <w:sz w:val="16"/>
        </w:rPr>
      </w:pPr>
      <w:r>
        <w:rPr>
          <w:rFonts w:ascii="Helvetica"/>
          <w:color w:val="231F20"/>
          <w:sz w:val="16"/>
        </w:rPr>
        <w:t>600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92" w:right="0" w:firstLine="0"/>
        <w:jc w:val="left"/>
        <w:rPr>
          <w:rFonts w:ascii="Helvetica"/>
          <w:sz w:val="16"/>
        </w:rPr>
      </w:pPr>
      <w:r>
        <w:rPr>
          <w:rFonts w:ascii="Helvetica"/>
          <w:color w:val="231F20"/>
          <w:sz w:val="16"/>
        </w:rPr>
        <w:t>700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0"/>
        <w:ind w:left="88" w:right="0" w:firstLine="0"/>
        <w:jc w:val="left"/>
        <w:rPr>
          <w:rFonts w:ascii="Helvetica"/>
          <w:sz w:val="16"/>
        </w:rPr>
      </w:pPr>
      <w:r>
        <w:rPr/>
        <w:pict>
          <v:rect style="position:absolute;margin-left:576pt;margin-top:-52.312622pt;width:36pt;height:24pt;mso-position-horizontal-relative:page;mso-position-vertical-relative:paragraph;z-index:252055552" filled="true" fillcolor="#e8dac8" stroked="false">
            <v:fill type="solid"/>
            <w10:wrap type="none"/>
          </v:rect>
        </w:pict>
      </w:r>
      <w:r>
        <w:rPr/>
        <w:pict>
          <v:shape style="position:absolute;margin-left:578.900024pt;margin-top:-128.655319pt;width:15.9pt;height:53.35pt;mso-position-horizontal-relative:page;mso-position-vertical-relative:paragraph;z-index:25206272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800</w:t>
      </w:r>
    </w:p>
    <w:p>
      <w:pPr>
        <w:spacing w:after="0"/>
        <w:jc w:val="left"/>
        <w:rPr>
          <w:rFonts w:ascii="Helvetica"/>
          <w:sz w:val="16"/>
        </w:rPr>
        <w:sectPr>
          <w:type w:val="continuous"/>
          <w:pgSz w:w="12240" w:h="15660"/>
          <w:pgMar w:top="0" w:bottom="760" w:left="0" w:right="0"/>
          <w:cols w:num="10" w:equalWidth="0">
            <w:col w:w="6122" w:space="40"/>
            <w:col w:w="1440" w:space="39"/>
            <w:col w:w="458" w:space="39"/>
            <w:col w:w="360" w:space="39"/>
            <w:col w:w="360" w:space="40"/>
            <w:col w:w="365" w:space="40"/>
            <w:col w:w="365" w:space="40"/>
            <w:col w:w="356" w:space="40"/>
            <w:col w:w="360" w:space="39"/>
            <w:col w:w="1698"/>
          </w:cols>
        </w:sectPr>
      </w:pPr>
    </w:p>
    <w:p>
      <w:pPr>
        <w:spacing w:line="249" w:lineRule="auto" w:before="14"/>
        <w:ind w:left="1440" w:right="0" w:firstLine="0"/>
        <w:jc w:val="both"/>
        <w:rPr>
          <w:i/>
          <w:sz w:val="20"/>
        </w:rPr>
      </w:pPr>
      <w:r>
        <w:rPr>
          <w:color w:val="231F20"/>
          <w:sz w:val="20"/>
        </w:rPr>
        <w:t>maximum.</w:t>
      </w:r>
      <w:r>
        <w:rPr>
          <w:color w:val="231F20"/>
          <w:spacing w:val="-9"/>
          <w:sz w:val="20"/>
        </w:rPr>
        <w:t> </w:t>
      </w:r>
      <w:r>
        <w:rPr>
          <w:i/>
          <w:color w:val="231F20"/>
          <w:sz w:val="20"/>
        </w:rPr>
        <w:t>The</w:t>
      </w:r>
      <w:r>
        <w:rPr>
          <w:i/>
          <w:color w:val="231F20"/>
          <w:spacing w:val="-9"/>
          <w:sz w:val="20"/>
        </w:rPr>
        <w:t> </w:t>
      </w:r>
      <w:r>
        <w:rPr>
          <w:i/>
          <w:color w:val="231F20"/>
          <w:sz w:val="20"/>
        </w:rPr>
        <w:t>overall</w:t>
      </w:r>
      <w:r>
        <w:rPr>
          <w:i/>
          <w:color w:val="231F20"/>
          <w:spacing w:val="-9"/>
          <w:sz w:val="20"/>
        </w:rPr>
        <w:t> </w:t>
      </w:r>
      <w:r>
        <w:rPr>
          <w:i/>
          <w:color w:val="231F20"/>
          <w:sz w:val="20"/>
        </w:rPr>
        <w:t>transport</w:t>
      </w:r>
      <w:r>
        <w:rPr>
          <w:i/>
          <w:color w:val="231F20"/>
          <w:spacing w:val="-8"/>
          <w:sz w:val="20"/>
        </w:rPr>
        <w:t> </w:t>
      </w:r>
      <w:r>
        <w:rPr>
          <w:i/>
          <w:color w:val="231F20"/>
          <w:sz w:val="20"/>
        </w:rPr>
        <w:t>maximum</w:t>
      </w:r>
      <w:r>
        <w:rPr>
          <w:i/>
          <w:color w:val="231F20"/>
          <w:spacing w:val="-9"/>
          <w:sz w:val="20"/>
        </w:rPr>
        <w:t> </w:t>
      </w:r>
      <w:r>
        <w:rPr>
          <w:i/>
          <w:color w:val="231F20"/>
          <w:sz w:val="20"/>
        </w:rPr>
        <w:t>for</w:t>
      </w:r>
      <w:r>
        <w:rPr>
          <w:i/>
          <w:color w:val="231F20"/>
          <w:spacing w:val="-9"/>
          <w:sz w:val="20"/>
        </w:rPr>
        <w:t> </w:t>
      </w:r>
      <w:r>
        <w:rPr>
          <w:i/>
          <w:color w:val="231F20"/>
          <w:sz w:val="20"/>
        </w:rPr>
        <w:t>the</w:t>
      </w:r>
      <w:r>
        <w:rPr>
          <w:i/>
          <w:color w:val="231F20"/>
          <w:spacing w:val="-9"/>
          <w:sz w:val="20"/>
        </w:rPr>
        <w:t> </w:t>
      </w:r>
      <w:r>
        <w:rPr>
          <w:i/>
          <w:color w:val="231F20"/>
          <w:sz w:val="20"/>
        </w:rPr>
        <w:t>kidneys, </w:t>
      </w:r>
      <w:r>
        <w:rPr>
          <w:i/>
          <w:color w:val="231F20"/>
          <w:sz w:val="20"/>
        </w:rPr>
        <w:t>which is normally about 375 mg/min, is reached when </w:t>
      </w:r>
      <w:r>
        <w:rPr>
          <w:i/>
          <w:color w:val="231F20"/>
          <w:spacing w:val="-7"/>
          <w:sz w:val="20"/>
        </w:rPr>
        <w:t>all </w:t>
      </w:r>
      <w:r>
        <w:rPr>
          <w:i/>
          <w:color w:val="231F20"/>
          <w:sz w:val="20"/>
        </w:rPr>
        <w:t>nephrons have reached their maximal capacity to reab- sorb</w:t>
      </w:r>
      <w:r>
        <w:rPr>
          <w:i/>
          <w:color w:val="231F20"/>
          <w:spacing w:val="5"/>
          <w:sz w:val="20"/>
        </w:rPr>
        <w:t> </w:t>
      </w:r>
      <w:r>
        <w:rPr>
          <w:i/>
          <w:color w:val="231F20"/>
          <w:sz w:val="20"/>
        </w:rPr>
        <w:t>glucose.</w:t>
      </w:r>
    </w:p>
    <w:p>
      <w:pPr>
        <w:pStyle w:val="BodyText"/>
        <w:spacing w:line="249" w:lineRule="auto" w:before="3"/>
        <w:ind w:left="1439" w:firstLine="240"/>
        <w:jc w:val="both"/>
      </w:pPr>
      <w:r>
        <w:rPr>
          <w:color w:val="231F20"/>
          <w:w w:val="105"/>
        </w:rPr>
        <w:t>The plasma glucose of a healthy person almost</w:t>
      </w:r>
      <w:r>
        <w:rPr>
          <w:color w:val="231F20"/>
          <w:spacing w:val="-15"/>
          <w:w w:val="105"/>
        </w:rPr>
        <w:t> </w:t>
      </w:r>
      <w:r>
        <w:rPr>
          <w:color w:val="231F20"/>
          <w:spacing w:val="-3"/>
          <w:w w:val="105"/>
        </w:rPr>
        <w:t>never </w:t>
      </w:r>
      <w:r>
        <w:rPr>
          <w:color w:val="231F20"/>
          <w:w w:val="105"/>
        </w:rPr>
        <w:t>becomes high enough to cause glucose  excretion  in the urine, even after eating a meal. However, in </w:t>
      </w:r>
      <w:r>
        <w:rPr>
          <w:color w:val="231F20"/>
          <w:spacing w:val="-3"/>
          <w:w w:val="105"/>
        </w:rPr>
        <w:t>uncon- </w:t>
      </w:r>
      <w:r>
        <w:rPr>
          <w:color w:val="231F20"/>
          <w:w w:val="105"/>
        </w:rPr>
        <w:t>trolled</w:t>
      </w:r>
      <w:r>
        <w:rPr>
          <w:color w:val="231F20"/>
          <w:spacing w:val="-19"/>
          <w:w w:val="105"/>
        </w:rPr>
        <w:t> </w:t>
      </w:r>
      <w:r>
        <w:rPr>
          <w:i/>
          <w:color w:val="231F20"/>
          <w:w w:val="105"/>
        </w:rPr>
        <w:t>diabetes</w:t>
      </w:r>
      <w:r>
        <w:rPr>
          <w:i/>
          <w:color w:val="231F20"/>
          <w:spacing w:val="-19"/>
          <w:w w:val="105"/>
        </w:rPr>
        <w:t> </w:t>
      </w:r>
      <w:r>
        <w:rPr>
          <w:i/>
          <w:color w:val="231F20"/>
          <w:w w:val="105"/>
        </w:rPr>
        <w:t>mellitus,</w:t>
      </w:r>
      <w:r>
        <w:rPr>
          <w:i/>
          <w:color w:val="231F20"/>
          <w:spacing w:val="-19"/>
          <w:w w:val="105"/>
        </w:rPr>
        <w:t> </w:t>
      </w:r>
      <w:r>
        <w:rPr>
          <w:color w:val="231F20"/>
          <w:w w:val="105"/>
        </w:rPr>
        <w:t>plasma</w:t>
      </w:r>
      <w:r>
        <w:rPr>
          <w:color w:val="231F20"/>
          <w:spacing w:val="-19"/>
          <w:w w:val="105"/>
        </w:rPr>
        <w:t> </w:t>
      </w:r>
      <w:r>
        <w:rPr>
          <w:color w:val="231F20"/>
          <w:w w:val="105"/>
        </w:rPr>
        <w:t>glucose</w:t>
      </w:r>
      <w:r>
        <w:rPr>
          <w:color w:val="231F20"/>
          <w:spacing w:val="-19"/>
          <w:w w:val="105"/>
        </w:rPr>
        <w:t> </w:t>
      </w:r>
      <w:r>
        <w:rPr>
          <w:color w:val="231F20"/>
          <w:w w:val="105"/>
        </w:rPr>
        <w:t>may</w:t>
      </w:r>
      <w:r>
        <w:rPr>
          <w:color w:val="231F20"/>
          <w:spacing w:val="-18"/>
          <w:w w:val="105"/>
        </w:rPr>
        <w:t> </w:t>
      </w:r>
      <w:r>
        <w:rPr>
          <w:color w:val="231F20"/>
          <w:w w:val="105"/>
        </w:rPr>
        <w:t>rise</w:t>
      </w:r>
      <w:r>
        <w:rPr>
          <w:color w:val="231F20"/>
          <w:spacing w:val="-19"/>
          <w:w w:val="105"/>
        </w:rPr>
        <w:t> </w:t>
      </w:r>
      <w:r>
        <w:rPr>
          <w:color w:val="231F20"/>
          <w:w w:val="105"/>
        </w:rPr>
        <w:t>to</w:t>
      </w:r>
      <w:r>
        <w:rPr>
          <w:color w:val="231F20"/>
          <w:spacing w:val="-19"/>
          <w:w w:val="105"/>
        </w:rPr>
        <w:t> </w:t>
      </w:r>
      <w:r>
        <w:rPr>
          <w:color w:val="231F20"/>
          <w:w w:val="105"/>
        </w:rPr>
        <w:t>high levels, causing the filtered load of glucose to exceed</w:t>
      </w:r>
      <w:r>
        <w:rPr>
          <w:color w:val="231F20"/>
          <w:spacing w:val="-27"/>
          <w:w w:val="105"/>
        </w:rPr>
        <w:t> </w:t>
      </w:r>
      <w:r>
        <w:rPr>
          <w:color w:val="231F20"/>
          <w:w w:val="105"/>
        </w:rPr>
        <w:t>the transport maximum and resulting in urinary </w:t>
      </w:r>
      <w:r>
        <w:rPr>
          <w:color w:val="231F20"/>
          <w:spacing w:val="-3"/>
          <w:w w:val="105"/>
        </w:rPr>
        <w:t>glucose </w:t>
      </w:r>
      <w:r>
        <w:rPr>
          <w:color w:val="231F20"/>
          <w:w w:val="105"/>
        </w:rPr>
        <w:t>excretion. Some of the important transport maximums for substances </w:t>
      </w:r>
      <w:r>
        <w:rPr>
          <w:i/>
          <w:color w:val="231F20"/>
          <w:w w:val="105"/>
        </w:rPr>
        <w:t>actively reabsorbed </w:t>
      </w:r>
      <w:r>
        <w:rPr>
          <w:color w:val="231F20"/>
          <w:w w:val="105"/>
        </w:rPr>
        <w:t>by the tubules </w:t>
      </w:r>
      <w:r>
        <w:rPr>
          <w:color w:val="231F20"/>
          <w:spacing w:val="-5"/>
          <w:w w:val="105"/>
        </w:rPr>
        <w:t>are  </w:t>
      </w:r>
      <w:r>
        <w:rPr>
          <w:color w:val="231F20"/>
          <w:w w:val="105"/>
        </w:rPr>
        <w:t>as</w:t>
      </w:r>
      <w:r>
        <w:rPr>
          <w:color w:val="231F20"/>
          <w:spacing w:val="2"/>
          <w:w w:val="105"/>
        </w:rPr>
        <w:t> </w:t>
      </w:r>
      <w:r>
        <w:rPr>
          <w:color w:val="231F20"/>
          <w:w w:val="105"/>
        </w:rPr>
        <w:t>follows:</w:t>
      </w:r>
    </w:p>
    <w:p>
      <w:pPr>
        <w:spacing w:line="235" w:lineRule="auto" w:before="24"/>
        <w:ind w:left="2572" w:right="1887" w:hanging="712"/>
        <w:jc w:val="left"/>
        <w:rPr>
          <w:rFonts w:ascii="Helvetica"/>
          <w:b/>
          <w:sz w:val="16"/>
        </w:rPr>
      </w:pPr>
      <w:r>
        <w:rPr/>
        <w:br w:type="column"/>
      </w:r>
      <w:r>
        <w:rPr>
          <w:rFonts w:ascii="Helvetica"/>
          <w:b/>
          <w:color w:val="231F20"/>
          <w:sz w:val="16"/>
        </w:rPr>
        <w:t>Plasma glucose concentration (mg/100 ml)</w:t>
      </w:r>
    </w:p>
    <w:p>
      <w:pPr>
        <w:spacing w:line="256" w:lineRule="auto" w:before="93"/>
        <w:ind w:left="319" w:right="1077" w:firstLine="0"/>
        <w:jc w:val="both"/>
        <w:rPr>
          <w:rFonts w:ascii="Arial" w:hAnsi="Arial"/>
          <w:sz w:val="16"/>
        </w:rPr>
      </w:pPr>
      <w:bookmarkStart w:name="_bookmark43" w:id="44"/>
      <w:bookmarkEnd w:id="44"/>
      <w:r>
        <w:rPr/>
      </w:r>
      <w:r>
        <w:rPr>
          <w:rFonts w:ascii="Trebuchet MS" w:hAnsi="Trebuchet MS"/>
          <w:b/>
          <w:color w:val="231F20"/>
          <w:sz w:val="16"/>
        </w:rPr>
        <w:t>Figure</w:t>
      </w:r>
      <w:r>
        <w:rPr>
          <w:rFonts w:ascii="Trebuchet MS" w:hAnsi="Trebuchet MS"/>
          <w:b/>
          <w:color w:val="231F20"/>
          <w:spacing w:val="-9"/>
          <w:sz w:val="16"/>
        </w:rPr>
        <w:t> </w:t>
      </w:r>
      <w:r>
        <w:rPr>
          <w:rFonts w:ascii="Trebuchet MS" w:hAnsi="Trebuchet MS"/>
          <w:b/>
          <w:color w:val="231F20"/>
          <w:sz w:val="16"/>
        </w:rPr>
        <w:t>28­4.</w:t>
      </w:r>
      <w:r>
        <w:rPr>
          <w:rFonts w:ascii="Trebuchet MS" w:hAnsi="Trebuchet MS"/>
          <w:b/>
          <w:color w:val="231F20"/>
          <w:spacing w:val="10"/>
          <w:sz w:val="16"/>
        </w:rPr>
        <w:t> </w:t>
      </w:r>
      <w:r>
        <w:rPr>
          <w:rFonts w:ascii="Arial" w:hAnsi="Arial"/>
          <w:color w:val="231F20"/>
          <w:sz w:val="16"/>
        </w:rPr>
        <w:t>Relations</w:t>
      </w:r>
      <w:r>
        <w:rPr>
          <w:rFonts w:ascii="Arial" w:hAnsi="Arial"/>
          <w:color w:val="231F20"/>
          <w:spacing w:val="-6"/>
          <w:sz w:val="16"/>
        </w:rPr>
        <w:t> </w:t>
      </w:r>
      <w:r>
        <w:rPr>
          <w:rFonts w:ascii="Arial" w:hAnsi="Arial"/>
          <w:color w:val="231F20"/>
          <w:sz w:val="16"/>
        </w:rPr>
        <w:t>among</w:t>
      </w:r>
      <w:r>
        <w:rPr>
          <w:rFonts w:ascii="Arial" w:hAnsi="Arial"/>
          <w:color w:val="231F20"/>
          <w:spacing w:val="-5"/>
          <w:sz w:val="16"/>
        </w:rPr>
        <w:t> </w:t>
      </w:r>
      <w:r>
        <w:rPr>
          <w:rFonts w:ascii="Arial" w:hAnsi="Arial"/>
          <w:color w:val="231F20"/>
          <w:sz w:val="16"/>
        </w:rPr>
        <w:t>the</w:t>
      </w:r>
      <w:r>
        <w:rPr>
          <w:rFonts w:ascii="Arial" w:hAnsi="Arial"/>
          <w:color w:val="231F20"/>
          <w:spacing w:val="-6"/>
          <w:sz w:val="16"/>
        </w:rPr>
        <w:t> </w:t>
      </w:r>
      <w:r>
        <w:rPr>
          <w:rFonts w:ascii="Arial" w:hAnsi="Arial"/>
          <w:color w:val="231F20"/>
          <w:sz w:val="16"/>
        </w:rPr>
        <w:t>filtered</w:t>
      </w:r>
      <w:r>
        <w:rPr>
          <w:rFonts w:ascii="Arial" w:hAnsi="Arial"/>
          <w:color w:val="231F20"/>
          <w:spacing w:val="-4"/>
          <w:sz w:val="16"/>
        </w:rPr>
        <w:t> </w:t>
      </w:r>
      <w:r>
        <w:rPr>
          <w:rFonts w:ascii="Arial" w:hAnsi="Arial"/>
          <w:color w:val="231F20"/>
          <w:sz w:val="16"/>
        </w:rPr>
        <w:t>load</w:t>
      </w:r>
      <w:r>
        <w:rPr>
          <w:rFonts w:ascii="Arial" w:hAnsi="Arial"/>
          <w:color w:val="231F20"/>
          <w:spacing w:val="-6"/>
          <w:sz w:val="16"/>
        </w:rPr>
        <w:t> </w:t>
      </w:r>
      <w:r>
        <w:rPr>
          <w:rFonts w:ascii="Arial" w:hAnsi="Arial"/>
          <w:color w:val="231F20"/>
          <w:sz w:val="16"/>
        </w:rPr>
        <w:t>of</w:t>
      </w:r>
      <w:r>
        <w:rPr>
          <w:rFonts w:ascii="Arial" w:hAnsi="Arial"/>
          <w:color w:val="231F20"/>
          <w:spacing w:val="-5"/>
          <w:sz w:val="16"/>
        </w:rPr>
        <w:t> </w:t>
      </w:r>
      <w:r>
        <w:rPr>
          <w:rFonts w:ascii="Arial" w:hAnsi="Arial"/>
          <w:color w:val="231F20"/>
          <w:sz w:val="16"/>
        </w:rPr>
        <w:t>glucose,</w:t>
      </w:r>
      <w:r>
        <w:rPr>
          <w:rFonts w:ascii="Arial" w:hAnsi="Arial"/>
          <w:color w:val="231F20"/>
          <w:spacing w:val="-5"/>
          <w:sz w:val="16"/>
        </w:rPr>
        <w:t> </w:t>
      </w:r>
      <w:r>
        <w:rPr>
          <w:rFonts w:ascii="Arial" w:hAnsi="Arial"/>
          <w:color w:val="231F20"/>
          <w:sz w:val="16"/>
        </w:rPr>
        <w:t>the</w:t>
      </w:r>
      <w:r>
        <w:rPr>
          <w:rFonts w:ascii="Arial" w:hAnsi="Arial"/>
          <w:color w:val="231F20"/>
          <w:spacing w:val="-6"/>
          <w:sz w:val="16"/>
        </w:rPr>
        <w:t> </w:t>
      </w:r>
      <w:r>
        <w:rPr>
          <w:rFonts w:ascii="Arial" w:hAnsi="Arial"/>
          <w:color w:val="231F20"/>
          <w:sz w:val="16"/>
        </w:rPr>
        <w:t>rate of</w:t>
      </w:r>
      <w:r>
        <w:rPr>
          <w:rFonts w:ascii="Arial" w:hAnsi="Arial"/>
          <w:color w:val="231F20"/>
          <w:spacing w:val="-14"/>
          <w:sz w:val="16"/>
        </w:rPr>
        <w:t> </w:t>
      </w:r>
      <w:r>
        <w:rPr>
          <w:rFonts w:ascii="Arial" w:hAnsi="Arial"/>
          <w:color w:val="231F20"/>
          <w:sz w:val="16"/>
        </w:rPr>
        <w:t>glucose</w:t>
      </w:r>
      <w:r>
        <w:rPr>
          <w:rFonts w:ascii="Arial" w:hAnsi="Arial"/>
          <w:color w:val="231F20"/>
          <w:spacing w:val="-13"/>
          <w:sz w:val="16"/>
        </w:rPr>
        <w:t> </w:t>
      </w:r>
      <w:r>
        <w:rPr>
          <w:rFonts w:ascii="Arial" w:hAnsi="Arial"/>
          <w:color w:val="231F20"/>
          <w:sz w:val="16"/>
        </w:rPr>
        <w:t>reabsorption</w:t>
      </w:r>
      <w:r>
        <w:rPr>
          <w:rFonts w:ascii="Arial" w:hAnsi="Arial"/>
          <w:color w:val="231F20"/>
          <w:spacing w:val="-14"/>
          <w:sz w:val="16"/>
        </w:rPr>
        <w:t> </w:t>
      </w:r>
      <w:r>
        <w:rPr>
          <w:rFonts w:ascii="Arial" w:hAnsi="Arial"/>
          <w:color w:val="231F20"/>
          <w:sz w:val="16"/>
        </w:rPr>
        <w:t>by</w:t>
      </w:r>
      <w:r>
        <w:rPr>
          <w:rFonts w:ascii="Arial" w:hAnsi="Arial"/>
          <w:color w:val="231F20"/>
          <w:spacing w:val="-13"/>
          <w:sz w:val="16"/>
        </w:rPr>
        <w:t> </w:t>
      </w:r>
      <w:r>
        <w:rPr>
          <w:rFonts w:ascii="Arial" w:hAnsi="Arial"/>
          <w:color w:val="231F20"/>
          <w:sz w:val="16"/>
        </w:rPr>
        <w:t>the</w:t>
      </w:r>
      <w:r>
        <w:rPr>
          <w:rFonts w:ascii="Arial" w:hAnsi="Arial"/>
          <w:color w:val="231F20"/>
          <w:spacing w:val="-14"/>
          <w:sz w:val="16"/>
        </w:rPr>
        <w:t> </w:t>
      </w:r>
      <w:r>
        <w:rPr>
          <w:rFonts w:ascii="Arial" w:hAnsi="Arial"/>
          <w:color w:val="231F20"/>
          <w:sz w:val="16"/>
        </w:rPr>
        <w:t>renal</w:t>
      </w:r>
      <w:r>
        <w:rPr>
          <w:rFonts w:ascii="Arial" w:hAnsi="Arial"/>
          <w:color w:val="231F20"/>
          <w:spacing w:val="-13"/>
          <w:sz w:val="16"/>
        </w:rPr>
        <w:t> </w:t>
      </w:r>
      <w:r>
        <w:rPr>
          <w:rFonts w:ascii="Arial" w:hAnsi="Arial"/>
          <w:color w:val="231F20"/>
          <w:sz w:val="16"/>
        </w:rPr>
        <w:t>tubules,</w:t>
      </w:r>
      <w:r>
        <w:rPr>
          <w:rFonts w:ascii="Arial" w:hAnsi="Arial"/>
          <w:color w:val="231F20"/>
          <w:spacing w:val="-13"/>
          <w:sz w:val="16"/>
        </w:rPr>
        <w:t> </w:t>
      </w:r>
      <w:r>
        <w:rPr>
          <w:rFonts w:ascii="Arial" w:hAnsi="Arial"/>
          <w:color w:val="231F20"/>
          <w:sz w:val="16"/>
        </w:rPr>
        <w:t>and</w:t>
      </w:r>
      <w:r>
        <w:rPr>
          <w:rFonts w:ascii="Arial" w:hAnsi="Arial"/>
          <w:color w:val="231F20"/>
          <w:spacing w:val="-14"/>
          <w:sz w:val="16"/>
        </w:rPr>
        <w:t> </w:t>
      </w:r>
      <w:r>
        <w:rPr>
          <w:rFonts w:ascii="Arial" w:hAnsi="Arial"/>
          <w:color w:val="231F20"/>
          <w:sz w:val="16"/>
        </w:rPr>
        <w:t>the</w:t>
      </w:r>
      <w:r>
        <w:rPr>
          <w:rFonts w:ascii="Arial" w:hAnsi="Arial"/>
          <w:color w:val="231F20"/>
          <w:spacing w:val="-13"/>
          <w:sz w:val="16"/>
        </w:rPr>
        <w:t> </w:t>
      </w:r>
      <w:r>
        <w:rPr>
          <w:rFonts w:ascii="Arial" w:hAnsi="Arial"/>
          <w:color w:val="231F20"/>
          <w:sz w:val="16"/>
        </w:rPr>
        <w:t>rate</w:t>
      </w:r>
      <w:r>
        <w:rPr>
          <w:rFonts w:ascii="Arial" w:hAnsi="Arial"/>
          <w:color w:val="231F20"/>
          <w:spacing w:val="-14"/>
          <w:sz w:val="16"/>
        </w:rPr>
        <w:t> </w:t>
      </w:r>
      <w:r>
        <w:rPr>
          <w:rFonts w:ascii="Arial" w:hAnsi="Arial"/>
          <w:color w:val="231F20"/>
          <w:sz w:val="16"/>
        </w:rPr>
        <w:t>of</w:t>
      </w:r>
      <w:r>
        <w:rPr>
          <w:rFonts w:ascii="Arial" w:hAnsi="Arial"/>
          <w:color w:val="231F20"/>
          <w:spacing w:val="-13"/>
          <w:sz w:val="16"/>
        </w:rPr>
        <w:t> </w:t>
      </w:r>
      <w:r>
        <w:rPr>
          <w:rFonts w:ascii="Arial" w:hAnsi="Arial"/>
          <w:color w:val="231F20"/>
          <w:sz w:val="16"/>
        </w:rPr>
        <w:t>glucose excretion</w:t>
      </w:r>
      <w:r>
        <w:rPr>
          <w:rFonts w:ascii="Arial" w:hAnsi="Arial"/>
          <w:color w:val="231F20"/>
          <w:spacing w:val="-26"/>
          <w:sz w:val="16"/>
        </w:rPr>
        <w:t> </w:t>
      </w:r>
      <w:r>
        <w:rPr>
          <w:rFonts w:ascii="Arial" w:hAnsi="Arial"/>
          <w:color w:val="231F20"/>
          <w:sz w:val="16"/>
        </w:rPr>
        <w:t>in</w:t>
      </w:r>
      <w:r>
        <w:rPr>
          <w:rFonts w:ascii="Arial" w:hAnsi="Arial"/>
          <w:color w:val="231F20"/>
          <w:spacing w:val="-24"/>
          <w:sz w:val="16"/>
        </w:rPr>
        <w:t> </w:t>
      </w:r>
      <w:r>
        <w:rPr>
          <w:rFonts w:ascii="Arial" w:hAnsi="Arial"/>
          <w:color w:val="231F20"/>
          <w:sz w:val="16"/>
        </w:rPr>
        <w:t>the</w:t>
      </w:r>
      <w:r>
        <w:rPr>
          <w:rFonts w:ascii="Arial" w:hAnsi="Arial"/>
          <w:color w:val="231F20"/>
          <w:spacing w:val="-25"/>
          <w:sz w:val="16"/>
        </w:rPr>
        <w:t> </w:t>
      </w:r>
      <w:r>
        <w:rPr>
          <w:rFonts w:ascii="Arial" w:hAnsi="Arial"/>
          <w:color w:val="231F20"/>
          <w:sz w:val="16"/>
        </w:rPr>
        <w:t>urine.</w:t>
      </w:r>
      <w:r>
        <w:rPr>
          <w:rFonts w:ascii="Arial" w:hAnsi="Arial"/>
          <w:color w:val="231F20"/>
          <w:spacing w:val="-25"/>
          <w:sz w:val="16"/>
        </w:rPr>
        <w:t> </w:t>
      </w:r>
      <w:r>
        <w:rPr>
          <w:rFonts w:ascii="Arial" w:hAnsi="Arial"/>
          <w:color w:val="231F20"/>
          <w:sz w:val="16"/>
        </w:rPr>
        <w:t>The</w:t>
      </w:r>
      <w:r>
        <w:rPr>
          <w:rFonts w:ascii="Arial" w:hAnsi="Arial"/>
          <w:color w:val="231F20"/>
          <w:spacing w:val="-25"/>
          <w:sz w:val="16"/>
        </w:rPr>
        <w:t> </w:t>
      </w:r>
      <w:r>
        <w:rPr>
          <w:rFonts w:ascii="Lucida Sans" w:hAnsi="Lucida Sans"/>
          <w:i/>
          <w:color w:val="231F20"/>
          <w:sz w:val="16"/>
        </w:rPr>
        <w:t>transport</w:t>
      </w:r>
      <w:r>
        <w:rPr>
          <w:rFonts w:ascii="Lucida Sans" w:hAnsi="Lucida Sans"/>
          <w:i/>
          <w:color w:val="231F20"/>
          <w:spacing w:val="-31"/>
          <w:sz w:val="16"/>
        </w:rPr>
        <w:t> </w:t>
      </w:r>
      <w:r>
        <w:rPr>
          <w:rFonts w:ascii="Lucida Sans" w:hAnsi="Lucida Sans"/>
          <w:i/>
          <w:color w:val="231F20"/>
          <w:sz w:val="16"/>
        </w:rPr>
        <w:t>maximum</w:t>
      </w:r>
      <w:r>
        <w:rPr>
          <w:rFonts w:ascii="Lucida Sans" w:hAnsi="Lucida Sans"/>
          <w:i/>
          <w:color w:val="231F20"/>
          <w:spacing w:val="-31"/>
          <w:sz w:val="16"/>
        </w:rPr>
        <w:t> </w:t>
      </w:r>
      <w:r>
        <w:rPr>
          <w:rFonts w:ascii="Arial" w:hAnsi="Arial"/>
          <w:color w:val="231F20"/>
          <w:sz w:val="16"/>
        </w:rPr>
        <w:t>is</w:t>
      </w:r>
      <w:r>
        <w:rPr>
          <w:rFonts w:ascii="Arial" w:hAnsi="Arial"/>
          <w:color w:val="231F20"/>
          <w:spacing w:val="-25"/>
          <w:sz w:val="16"/>
        </w:rPr>
        <w:t> </w:t>
      </w:r>
      <w:r>
        <w:rPr>
          <w:rFonts w:ascii="Arial" w:hAnsi="Arial"/>
          <w:color w:val="231F20"/>
          <w:sz w:val="16"/>
        </w:rPr>
        <w:t>the</w:t>
      </w:r>
      <w:r>
        <w:rPr>
          <w:rFonts w:ascii="Arial" w:hAnsi="Arial"/>
          <w:color w:val="231F20"/>
          <w:spacing w:val="-24"/>
          <w:sz w:val="16"/>
        </w:rPr>
        <w:t> </w:t>
      </w:r>
      <w:r>
        <w:rPr>
          <w:rFonts w:ascii="Arial" w:hAnsi="Arial"/>
          <w:color w:val="231F20"/>
          <w:sz w:val="16"/>
        </w:rPr>
        <w:t>maximum</w:t>
      </w:r>
      <w:r>
        <w:rPr>
          <w:rFonts w:ascii="Arial" w:hAnsi="Arial"/>
          <w:color w:val="231F20"/>
          <w:spacing w:val="-25"/>
          <w:sz w:val="16"/>
        </w:rPr>
        <w:t> </w:t>
      </w:r>
      <w:r>
        <w:rPr>
          <w:rFonts w:ascii="Arial" w:hAnsi="Arial"/>
          <w:color w:val="231F20"/>
          <w:spacing w:val="-4"/>
          <w:sz w:val="16"/>
        </w:rPr>
        <w:t>rate </w:t>
      </w:r>
      <w:r>
        <w:rPr>
          <w:rFonts w:ascii="Arial" w:hAnsi="Arial"/>
          <w:color w:val="231F20"/>
          <w:sz w:val="16"/>
        </w:rPr>
        <w:t>at</w:t>
      </w:r>
      <w:r>
        <w:rPr>
          <w:rFonts w:ascii="Arial" w:hAnsi="Arial"/>
          <w:color w:val="231F20"/>
          <w:spacing w:val="-22"/>
          <w:sz w:val="16"/>
        </w:rPr>
        <w:t> </w:t>
      </w:r>
      <w:r>
        <w:rPr>
          <w:rFonts w:ascii="Arial" w:hAnsi="Arial"/>
          <w:color w:val="231F20"/>
          <w:sz w:val="16"/>
        </w:rPr>
        <w:t>which</w:t>
      </w:r>
      <w:r>
        <w:rPr>
          <w:rFonts w:ascii="Arial" w:hAnsi="Arial"/>
          <w:color w:val="231F20"/>
          <w:spacing w:val="-22"/>
          <w:sz w:val="16"/>
        </w:rPr>
        <w:t> </w:t>
      </w:r>
      <w:r>
        <w:rPr>
          <w:rFonts w:ascii="Arial" w:hAnsi="Arial"/>
          <w:color w:val="231F20"/>
          <w:sz w:val="16"/>
        </w:rPr>
        <w:t>glucose</w:t>
      </w:r>
      <w:r>
        <w:rPr>
          <w:rFonts w:ascii="Arial" w:hAnsi="Arial"/>
          <w:color w:val="231F20"/>
          <w:spacing w:val="-22"/>
          <w:sz w:val="16"/>
        </w:rPr>
        <w:t> </w:t>
      </w:r>
      <w:r>
        <w:rPr>
          <w:rFonts w:ascii="Arial" w:hAnsi="Arial"/>
          <w:color w:val="231F20"/>
          <w:sz w:val="16"/>
        </w:rPr>
        <w:t>can</w:t>
      </w:r>
      <w:r>
        <w:rPr>
          <w:rFonts w:ascii="Arial" w:hAnsi="Arial"/>
          <w:color w:val="231F20"/>
          <w:spacing w:val="-22"/>
          <w:sz w:val="16"/>
        </w:rPr>
        <w:t> </w:t>
      </w:r>
      <w:r>
        <w:rPr>
          <w:rFonts w:ascii="Arial" w:hAnsi="Arial"/>
          <w:color w:val="231F20"/>
          <w:sz w:val="16"/>
        </w:rPr>
        <w:t>be</w:t>
      </w:r>
      <w:r>
        <w:rPr>
          <w:rFonts w:ascii="Arial" w:hAnsi="Arial"/>
          <w:color w:val="231F20"/>
          <w:spacing w:val="-21"/>
          <w:sz w:val="16"/>
        </w:rPr>
        <w:t> </w:t>
      </w:r>
      <w:r>
        <w:rPr>
          <w:rFonts w:ascii="Arial" w:hAnsi="Arial"/>
          <w:color w:val="231F20"/>
          <w:sz w:val="16"/>
        </w:rPr>
        <w:t>reabsorbed</w:t>
      </w:r>
      <w:r>
        <w:rPr>
          <w:rFonts w:ascii="Arial" w:hAnsi="Arial"/>
          <w:color w:val="231F20"/>
          <w:spacing w:val="-22"/>
          <w:sz w:val="16"/>
        </w:rPr>
        <w:t> </w:t>
      </w:r>
      <w:r>
        <w:rPr>
          <w:rFonts w:ascii="Arial" w:hAnsi="Arial"/>
          <w:color w:val="231F20"/>
          <w:sz w:val="16"/>
        </w:rPr>
        <w:t>from</w:t>
      </w:r>
      <w:r>
        <w:rPr>
          <w:rFonts w:ascii="Arial" w:hAnsi="Arial"/>
          <w:color w:val="231F20"/>
          <w:spacing w:val="-22"/>
          <w:sz w:val="16"/>
        </w:rPr>
        <w:t> </w:t>
      </w:r>
      <w:r>
        <w:rPr>
          <w:rFonts w:ascii="Arial" w:hAnsi="Arial"/>
          <w:color w:val="231F20"/>
          <w:sz w:val="16"/>
        </w:rPr>
        <w:t>the</w:t>
      </w:r>
      <w:r>
        <w:rPr>
          <w:rFonts w:ascii="Arial" w:hAnsi="Arial"/>
          <w:color w:val="231F20"/>
          <w:spacing w:val="-22"/>
          <w:sz w:val="16"/>
        </w:rPr>
        <w:t> </w:t>
      </w:r>
      <w:r>
        <w:rPr>
          <w:rFonts w:ascii="Arial" w:hAnsi="Arial"/>
          <w:color w:val="231F20"/>
          <w:sz w:val="16"/>
        </w:rPr>
        <w:t>tubules.</w:t>
      </w:r>
      <w:r>
        <w:rPr>
          <w:rFonts w:ascii="Arial" w:hAnsi="Arial"/>
          <w:color w:val="231F20"/>
          <w:spacing w:val="-22"/>
          <w:sz w:val="16"/>
        </w:rPr>
        <w:t> </w:t>
      </w:r>
      <w:r>
        <w:rPr>
          <w:rFonts w:ascii="Arial" w:hAnsi="Arial"/>
          <w:color w:val="231F20"/>
          <w:sz w:val="16"/>
        </w:rPr>
        <w:t>The</w:t>
      </w:r>
      <w:r>
        <w:rPr>
          <w:rFonts w:ascii="Arial" w:hAnsi="Arial"/>
          <w:color w:val="231F20"/>
          <w:spacing w:val="-21"/>
          <w:sz w:val="16"/>
        </w:rPr>
        <w:t> </w:t>
      </w:r>
      <w:r>
        <w:rPr>
          <w:rFonts w:ascii="Lucida Sans" w:hAnsi="Lucida Sans"/>
          <w:i/>
          <w:color w:val="231F20"/>
          <w:sz w:val="16"/>
        </w:rPr>
        <w:t>threshold </w:t>
      </w:r>
      <w:r>
        <w:rPr>
          <w:rFonts w:ascii="Arial" w:hAnsi="Arial"/>
          <w:color w:val="231F20"/>
          <w:sz w:val="16"/>
        </w:rPr>
        <w:t>for glucose refers to the filtered load of glucose at which glucose first begins to be excreted in the</w:t>
      </w:r>
      <w:r>
        <w:rPr>
          <w:rFonts w:ascii="Arial" w:hAnsi="Arial"/>
          <w:color w:val="231F20"/>
          <w:spacing w:val="44"/>
          <w:sz w:val="16"/>
        </w:rPr>
        <w:t> </w:t>
      </w:r>
      <w:r>
        <w:rPr>
          <w:rFonts w:ascii="Arial" w:hAnsi="Arial"/>
          <w:color w:val="231F20"/>
          <w:sz w:val="16"/>
        </w:rPr>
        <w:t>urine.</w:t>
      </w:r>
    </w:p>
    <w:p>
      <w:pPr>
        <w:pStyle w:val="BodyText"/>
        <w:rPr>
          <w:rFonts w:ascii="Arial"/>
          <w:sz w:val="18"/>
        </w:rPr>
      </w:pPr>
    </w:p>
    <w:p>
      <w:pPr>
        <w:pStyle w:val="BodyText"/>
        <w:spacing w:before="9"/>
        <w:rPr>
          <w:rFonts w:ascii="Arial"/>
          <w:sz w:val="25"/>
        </w:rPr>
      </w:pPr>
    </w:p>
    <w:p>
      <w:pPr>
        <w:pStyle w:val="BodyText"/>
        <w:spacing w:line="249" w:lineRule="auto"/>
        <w:ind w:left="319" w:right="1077"/>
        <w:jc w:val="both"/>
      </w:pPr>
      <w:r>
        <w:rPr>
          <w:color w:val="231F20"/>
          <w:w w:val="105"/>
        </w:rPr>
        <w:t>determined</w:t>
      </w:r>
      <w:r>
        <w:rPr>
          <w:color w:val="231F20"/>
          <w:spacing w:val="-23"/>
          <w:w w:val="105"/>
        </w:rPr>
        <w:t> </w:t>
      </w:r>
      <w:r>
        <w:rPr>
          <w:color w:val="231F20"/>
          <w:w w:val="105"/>
        </w:rPr>
        <w:t>by</w:t>
      </w:r>
      <w:r>
        <w:rPr>
          <w:color w:val="231F20"/>
          <w:spacing w:val="-22"/>
          <w:w w:val="105"/>
        </w:rPr>
        <w:t> </w:t>
      </w:r>
      <w:r>
        <w:rPr>
          <w:color w:val="231F20"/>
          <w:w w:val="105"/>
        </w:rPr>
        <w:t>other</w:t>
      </w:r>
      <w:r>
        <w:rPr>
          <w:color w:val="231F20"/>
          <w:spacing w:val="-22"/>
          <w:w w:val="105"/>
        </w:rPr>
        <w:t> </w:t>
      </w:r>
      <w:r>
        <w:rPr>
          <w:color w:val="231F20"/>
          <w:w w:val="105"/>
        </w:rPr>
        <w:t>factors,</w:t>
      </w:r>
      <w:r>
        <w:rPr>
          <w:color w:val="231F20"/>
          <w:spacing w:val="-22"/>
          <w:w w:val="105"/>
        </w:rPr>
        <w:t> </w:t>
      </w:r>
      <w:r>
        <w:rPr>
          <w:color w:val="231F20"/>
          <w:w w:val="105"/>
        </w:rPr>
        <w:t>such</w:t>
      </w:r>
      <w:r>
        <w:rPr>
          <w:color w:val="231F20"/>
          <w:spacing w:val="-22"/>
          <w:w w:val="105"/>
        </w:rPr>
        <w:t> </w:t>
      </w:r>
      <w:r>
        <w:rPr>
          <w:color w:val="231F20"/>
          <w:w w:val="105"/>
        </w:rPr>
        <w:t>as</w:t>
      </w:r>
      <w:r>
        <w:rPr>
          <w:color w:val="231F20"/>
          <w:spacing w:val="-22"/>
          <w:w w:val="105"/>
        </w:rPr>
        <w:t> </w:t>
      </w:r>
      <w:r>
        <w:rPr>
          <w:color w:val="231F20"/>
          <w:w w:val="105"/>
        </w:rPr>
        <w:t>(1)</w:t>
      </w:r>
      <w:r>
        <w:rPr>
          <w:color w:val="231F20"/>
          <w:spacing w:val="-22"/>
          <w:w w:val="105"/>
        </w:rPr>
        <w:t> </w:t>
      </w:r>
      <w:r>
        <w:rPr>
          <w:color w:val="231F20"/>
          <w:w w:val="105"/>
        </w:rPr>
        <w:t>the</w:t>
      </w:r>
      <w:r>
        <w:rPr>
          <w:color w:val="231F20"/>
          <w:spacing w:val="-22"/>
          <w:w w:val="105"/>
        </w:rPr>
        <w:t> </w:t>
      </w:r>
      <w:r>
        <w:rPr>
          <w:color w:val="231F20"/>
          <w:w w:val="105"/>
        </w:rPr>
        <w:t>electrochemi- cal gradient for diffusion of the substance across </w:t>
      </w:r>
      <w:r>
        <w:rPr>
          <w:color w:val="231F20"/>
          <w:spacing w:val="-5"/>
          <w:w w:val="105"/>
        </w:rPr>
        <w:t>the </w:t>
      </w:r>
      <w:r>
        <w:rPr>
          <w:color w:val="231F20"/>
          <w:w w:val="105"/>
        </w:rPr>
        <w:t>membrane,</w:t>
      </w:r>
      <w:r>
        <w:rPr>
          <w:color w:val="231F20"/>
          <w:spacing w:val="-8"/>
          <w:w w:val="105"/>
        </w:rPr>
        <w:t> </w:t>
      </w:r>
      <w:r>
        <w:rPr>
          <w:color w:val="231F20"/>
          <w:w w:val="105"/>
        </w:rPr>
        <w:t>(2)</w:t>
      </w:r>
      <w:r>
        <w:rPr>
          <w:color w:val="231F20"/>
          <w:spacing w:val="-7"/>
          <w:w w:val="105"/>
        </w:rPr>
        <w:t> </w:t>
      </w:r>
      <w:r>
        <w:rPr>
          <w:color w:val="231F20"/>
          <w:w w:val="105"/>
        </w:rPr>
        <w:t>the</w:t>
      </w:r>
      <w:r>
        <w:rPr>
          <w:color w:val="231F20"/>
          <w:spacing w:val="-8"/>
          <w:w w:val="105"/>
        </w:rPr>
        <w:t> </w:t>
      </w:r>
      <w:r>
        <w:rPr>
          <w:color w:val="231F20"/>
          <w:w w:val="105"/>
        </w:rPr>
        <w:t>permeability</w:t>
      </w:r>
      <w:r>
        <w:rPr>
          <w:color w:val="231F20"/>
          <w:spacing w:val="-7"/>
          <w:w w:val="105"/>
        </w:rPr>
        <w:t>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membrane</w:t>
      </w:r>
      <w:r>
        <w:rPr>
          <w:color w:val="231F20"/>
          <w:spacing w:val="-8"/>
          <w:w w:val="105"/>
        </w:rPr>
        <w:t> </w:t>
      </w:r>
      <w:r>
        <w:rPr>
          <w:color w:val="231F20"/>
          <w:w w:val="105"/>
        </w:rPr>
        <w:t>for</w:t>
      </w:r>
      <w:r>
        <w:rPr>
          <w:color w:val="231F20"/>
          <w:spacing w:val="-7"/>
          <w:w w:val="105"/>
        </w:rPr>
        <w:t> </w:t>
      </w:r>
      <w:r>
        <w:rPr>
          <w:color w:val="231F20"/>
          <w:spacing w:val="-5"/>
          <w:w w:val="105"/>
        </w:rPr>
        <w:t>the </w:t>
      </w:r>
      <w:r>
        <w:rPr>
          <w:color w:val="231F20"/>
          <w:w w:val="105"/>
        </w:rPr>
        <w:t>substance, and (3) the time that the fluid</w:t>
      </w:r>
      <w:r>
        <w:rPr>
          <w:color w:val="231F20"/>
          <w:spacing w:val="5"/>
          <w:w w:val="105"/>
        </w:rPr>
        <w:t> </w:t>
      </w:r>
      <w:r>
        <w:rPr>
          <w:color w:val="231F20"/>
          <w:spacing w:val="-3"/>
          <w:w w:val="105"/>
        </w:rPr>
        <w:t>containing</w:t>
      </w:r>
    </w:p>
    <w:p>
      <w:pPr>
        <w:spacing w:after="0" w:line="249" w:lineRule="auto"/>
        <w:jc w:val="both"/>
        <w:sectPr>
          <w:type w:val="continuous"/>
          <w:pgSz w:w="12240" w:h="15660"/>
          <w:pgMar w:top="0" w:bottom="760" w:left="0" w:right="0"/>
          <w:cols w:num="2" w:equalWidth="0">
            <w:col w:w="6121" w:space="40"/>
            <w:col w:w="6079"/>
          </w:cols>
        </w:sectPr>
      </w:pPr>
    </w:p>
    <w:p>
      <w:pPr>
        <w:pStyle w:val="BodyText"/>
        <w:tabs>
          <w:tab w:pos="6119" w:val="left" w:leader="none"/>
          <w:tab w:pos="6479" w:val="left" w:leader="none"/>
        </w:tabs>
        <w:spacing w:before="3"/>
        <w:ind w:left="1440"/>
      </w:pPr>
      <w:r>
        <w:rPr>
          <w:color w:val="231F20"/>
          <w:w w:val="94"/>
          <w:u w:val="single" w:color="231F20"/>
        </w:rPr>
        <w:t> </w:t>
      </w:r>
      <w:r>
        <w:rPr>
          <w:color w:val="231F20"/>
          <w:u w:val="single" w:color="231F20"/>
        </w:rPr>
        <w:tab/>
      </w:r>
      <w:r>
        <w:rPr>
          <w:color w:val="231F20"/>
        </w:rPr>
        <w:tab/>
      </w:r>
      <w:r>
        <w:rPr>
          <w:color w:val="231F20"/>
          <w:w w:val="105"/>
        </w:rPr>
        <w:t>the</w:t>
      </w:r>
      <w:r>
        <w:rPr>
          <w:color w:val="231F20"/>
          <w:spacing w:val="-15"/>
          <w:w w:val="105"/>
        </w:rPr>
        <w:t> </w:t>
      </w:r>
      <w:r>
        <w:rPr>
          <w:color w:val="231F20"/>
          <w:w w:val="105"/>
        </w:rPr>
        <w:t>substance</w:t>
      </w:r>
      <w:r>
        <w:rPr>
          <w:color w:val="231F20"/>
          <w:spacing w:val="-15"/>
          <w:w w:val="105"/>
        </w:rPr>
        <w:t> </w:t>
      </w:r>
      <w:r>
        <w:rPr>
          <w:color w:val="231F20"/>
          <w:w w:val="105"/>
        </w:rPr>
        <w:t>remains</w:t>
      </w:r>
      <w:r>
        <w:rPr>
          <w:color w:val="231F20"/>
          <w:spacing w:val="-15"/>
          <w:w w:val="105"/>
        </w:rPr>
        <w:t> </w:t>
      </w:r>
      <w:r>
        <w:rPr>
          <w:color w:val="231F20"/>
          <w:w w:val="105"/>
        </w:rPr>
        <w:t>within</w:t>
      </w:r>
      <w:r>
        <w:rPr>
          <w:color w:val="231F20"/>
          <w:spacing w:val="-14"/>
          <w:w w:val="105"/>
        </w:rPr>
        <w:t> </w:t>
      </w:r>
      <w:r>
        <w:rPr>
          <w:color w:val="231F20"/>
          <w:w w:val="105"/>
        </w:rPr>
        <w:t>the</w:t>
      </w:r>
      <w:r>
        <w:rPr>
          <w:color w:val="231F20"/>
          <w:spacing w:val="-15"/>
          <w:w w:val="105"/>
        </w:rPr>
        <w:t> </w:t>
      </w:r>
      <w:r>
        <w:rPr>
          <w:color w:val="231F20"/>
          <w:w w:val="105"/>
        </w:rPr>
        <w:t>tubule.</w:t>
      </w:r>
      <w:r>
        <w:rPr>
          <w:color w:val="231F20"/>
          <w:spacing w:val="-15"/>
          <w:w w:val="105"/>
        </w:rPr>
        <w:t> </w:t>
      </w:r>
      <w:r>
        <w:rPr>
          <w:color w:val="231F20"/>
          <w:w w:val="105"/>
        </w:rPr>
        <w:t>Transport</w:t>
      </w:r>
      <w:r>
        <w:rPr>
          <w:color w:val="231F20"/>
          <w:spacing w:val="-15"/>
          <w:w w:val="105"/>
        </w:rPr>
        <w:t> </w:t>
      </w:r>
      <w:r>
        <w:rPr>
          <w:color w:val="231F20"/>
          <w:w w:val="105"/>
        </w:rPr>
        <w:t>of</w:t>
      </w:r>
      <w:r>
        <w:rPr>
          <w:color w:val="231F20"/>
          <w:spacing w:val="-14"/>
          <w:w w:val="105"/>
        </w:rPr>
        <w:t> </w:t>
      </w:r>
      <w:r>
        <w:rPr>
          <w:color w:val="231F20"/>
          <w:w w:val="105"/>
        </w:rPr>
        <w:t>this</w:t>
      </w:r>
    </w:p>
    <w:p>
      <w:pPr>
        <w:spacing w:after="0"/>
        <w:sectPr>
          <w:type w:val="continuous"/>
          <w:pgSz w:w="12240" w:h="15660"/>
          <w:pgMar w:top="0" w:bottom="760" w:left="0" w:right="0"/>
        </w:sectPr>
      </w:pPr>
    </w:p>
    <w:p>
      <w:pPr>
        <w:tabs>
          <w:tab w:pos="4039" w:val="left" w:leader="none"/>
        </w:tabs>
        <w:spacing w:before="76"/>
        <w:ind w:left="1440" w:right="0" w:firstLine="0"/>
        <w:jc w:val="left"/>
        <w:rPr>
          <w:rFonts w:ascii="Trebuchet MS"/>
          <w:b/>
          <w:sz w:val="16"/>
        </w:rPr>
      </w:pPr>
      <w:r>
        <w:rPr>
          <w:rFonts w:ascii="Trebuchet MS"/>
          <w:b/>
          <w:color w:val="231F20"/>
          <w:sz w:val="16"/>
        </w:rPr>
        <w:t>Substance</w:t>
        <w:tab/>
        <w:t>Transport</w:t>
      </w:r>
      <w:r>
        <w:rPr>
          <w:rFonts w:ascii="Trebuchet MS"/>
          <w:b/>
          <w:color w:val="231F20"/>
          <w:spacing w:val="7"/>
          <w:sz w:val="16"/>
        </w:rPr>
        <w:t> </w:t>
      </w:r>
      <w:r>
        <w:rPr>
          <w:rFonts w:ascii="Trebuchet MS"/>
          <w:b/>
          <w:color w:val="231F20"/>
          <w:sz w:val="16"/>
        </w:rPr>
        <w:t>Maximum</w:t>
      </w:r>
    </w:p>
    <w:p>
      <w:pPr>
        <w:tabs>
          <w:tab w:pos="4173" w:val="left" w:leader="none"/>
        </w:tabs>
        <w:spacing w:before="79"/>
        <w:ind w:left="1440" w:right="0" w:firstLine="0"/>
        <w:jc w:val="left"/>
        <w:rPr>
          <w:rFonts w:ascii="Trebuchet MS"/>
          <w:sz w:val="16"/>
        </w:rPr>
      </w:pPr>
      <w:r>
        <w:rPr>
          <w:rFonts w:ascii="Trebuchet MS"/>
          <w:color w:val="231F20"/>
          <w:w w:val="105"/>
          <w:sz w:val="16"/>
        </w:rPr>
        <w:t>Glucose</w:t>
        <w:tab/>
        <w:t>375</w:t>
      </w:r>
      <w:r>
        <w:rPr>
          <w:rFonts w:ascii="Trebuchet MS"/>
          <w:color w:val="231F20"/>
          <w:spacing w:val="1"/>
          <w:w w:val="105"/>
          <w:sz w:val="16"/>
        </w:rPr>
        <w:t> </w:t>
      </w:r>
      <w:r>
        <w:rPr>
          <w:rFonts w:ascii="Trebuchet MS"/>
          <w:color w:val="231F20"/>
          <w:w w:val="105"/>
          <w:sz w:val="16"/>
        </w:rPr>
        <w:t>mg/min</w:t>
      </w:r>
    </w:p>
    <w:p>
      <w:pPr>
        <w:tabs>
          <w:tab w:pos="4350" w:val="left" w:leader="none"/>
        </w:tabs>
        <w:spacing w:before="89"/>
        <w:ind w:left="1440" w:right="0" w:firstLine="0"/>
        <w:jc w:val="left"/>
        <w:rPr>
          <w:rFonts w:ascii="Trebuchet MS"/>
          <w:sz w:val="16"/>
        </w:rPr>
      </w:pPr>
      <w:r>
        <w:rPr>
          <w:rFonts w:ascii="Trebuchet MS"/>
          <w:color w:val="231F20"/>
          <w:w w:val="105"/>
          <w:sz w:val="16"/>
        </w:rPr>
        <w:t>Phosphate</w:t>
        <w:tab/>
      </w:r>
      <w:r>
        <w:rPr>
          <w:rFonts w:ascii="Trebuchet MS"/>
          <w:color w:val="231F20"/>
          <w:sz w:val="16"/>
        </w:rPr>
        <w:t>0.10</w:t>
      </w:r>
      <w:r>
        <w:rPr>
          <w:rFonts w:ascii="Trebuchet MS"/>
          <w:color w:val="231F20"/>
          <w:spacing w:val="13"/>
          <w:sz w:val="16"/>
        </w:rPr>
        <w:t> </w:t>
      </w:r>
      <w:r>
        <w:rPr>
          <w:rFonts w:ascii="Trebuchet MS"/>
          <w:color w:val="231F20"/>
          <w:sz w:val="16"/>
        </w:rPr>
        <w:t>mmol/min</w:t>
      </w:r>
    </w:p>
    <w:p>
      <w:pPr>
        <w:tabs>
          <w:tab w:pos="4350" w:val="left" w:leader="none"/>
        </w:tabs>
        <w:spacing w:before="88"/>
        <w:ind w:left="1440" w:right="0" w:firstLine="0"/>
        <w:jc w:val="left"/>
        <w:rPr>
          <w:rFonts w:ascii="Trebuchet MS"/>
          <w:sz w:val="16"/>
        </w:rPr>
      </w:pPr>
      <w:r>
        <w:rPr>
          <w:rFonts w:ascii="Trebuchet MS"/>
          <w:color w:val="231F20"/>
          <w:sz w:val="16"/>
        </w:rPr>
        <w:t>Sulfate</w:t>
        <w:tab/>
        <w:t>0.06</w:t>
      </w:r>
      <w:r>
        <w:rPr>
          <w:rFonts w:ascii="Trebuchet MS"/>
          <w:color w:val="231F20"/>
          <w:spacing w:val="13"/>
          <w:sz w:val="16"/>
        </w:rPr>
        <w:t> </w:t>
      </w:r>
      <w:r>
        <w:rPr>
          <w:rFonts w:ascii="Trebuchet MS"/>
          <w:color w:val="231F20"/>
          <w:sz w:val="16"/>
        </w:rPr>
        <w:t>mmol/min</w:t>
      </w:r>
    </w:p>
    <w:p>
      <w:pPr>
        <w:tabs>
          <w:tab w:pos="4350" w:val="left" w:leader="none"/>
        </w:tabs>
        <w:spacing w:before="89"/>
        <w:ind w:left="1440" w:right="0" w:firstLine="0"/>
        <w:jc w:val="left"/>
        <w:rPr>
          <w:rFonts w:ascii="Trebuchet MS"/>
          <w:sz w:val="16"/>
        </w:rPr>
      </w:pPr>
      <w:r>
        <w:rPr>
          <w:rFonts w:ascii="Trebuchet MS"/>
          <w:color w:val="231F20"/>
          <w:sz w:val="16"/>
        </w:rPr>
        <w:t>Amino</w:t>
      </w:r>
      <w:r>
        <w:rPr>
          <w:rFonts w:ascii="Trebuchet MS"/>
          <w:color w:val="231F20"/>
          <w:spacing w:val="24"/>
          <w:sz w:val="16"/>
        </w:rPr>
        <w:t> </w:t>
      </w:r>
      <w:r>
        <w:rPr>
          <w:rFonts w:ascii="Trebuchet MS"/>
          <w:color w:val="231F20"/>
          <w:sz w:val="16"/>
        </w:rPr>
        <w:t>acids</w:t>
        <w:tab/>
        <w:t>1.5</w:t>
      </w:r>
      <w:r>
        <w:rPr>
          <w:rFonts w:ascii="Trebuchet MS"/>
          <w:color w:val="231F20"/>
          <w:spacing w:val="5"/>
          <w:sz w:val="16"/>
        </w:rPr>
        <w:t> </w:t>
      </w:r>
      <w:r>
        <w:rPr>
          <w:rFonts w:ascii="Trebuchet MS"/>
          <w:color w:val="231F20"/>
          <w:sz w:val="16"/>
        </w:rPr>
        <w:t>mmol/min</w:t>
      </w:r>
    </w:p>
    <w:p>
      <w:pPr>
        <w:tabs>
          <w:tab w:pos="4261" w:val="left" w:leader="none"/>
        </w:tabs>
        <w:spacing w:before="89"/>
        <w:ind w:left="1440" w:right="0" w:firstLine="0"/>
        <w:jc w:val="left"/>
        <w:rPr>
          <w:rFonts w:ascii="Trebuchet MS"/>
          <w:sz w:val="16"/>
        </w:rPr>
      </w:pPr>
      <w:r>
        <w:rPr>
          <w:rFonts w:ascii="Trebuchet MS"/>
          <w:color w:val="231F20"/>
          <w:w w:val="105"/>
          <w:sz w:val="16"/>
        </w:rPr>
        <w:t>Urate</w:t>
        <w:tab/>
        <w:t>15</w:t>
      </w:r>
      <w:r>
        <w:rPr>
          <w:rFonts w:ascii="Trebuchet MS"/>
          <w:color w:val="231F20"/>
          <w:spacing w:val="-18"/>
          <w:w w:val="105"/>
          <w:sz w:val="16"/>
        </w:rPr>
        <w:t> </w:t>
      </w:r>
      <w:r>
        <w:rPr>
          <w:rFonts w:ascii="Trebuchet MS"/>
          <w:color w:val="231F20"/>
          <w:w w:val="105"/>
          <w:sz w:val="16"/>
        </w:rPr>
        <w:t>mg/min</w:t>
      </w:r>
    </w:p>
    <w:p>
      <w:pPr>
        <w:tabs>
          <w:tab w:pos="4261" w:val="left" w:leader="none"/>
        </w:tabs>
        <w:spacing w:before="88"/>
        <w:ind w:left="1440" w:right="0" w:firstLine="0"/>
        <w:jc w:val="left"/>
        <w:rPr>
          <w:rFonts w:ascii="Trebuchet MS"/>
          <w:sz w:val="16"/>
        </w:rPr>
      </w:pPr>
      <w:r>
        <w:rPr>
          <w:rFonts w:ascii="Trebuchet MS"/>
          <w:color w:val="231F20"/>
          <w:sz w:val="16"/>
        </w:rPr>
        <w:t>Lactate</w:t>
        <w:tab/>
        <w:t>75</w:t>
      </w:r>
      <w:r>
        <w:rPr>
          <w:rFonts w:ascii="Trebuchet MS"/>
          <w:color w:val="231F20"/>
          <w:spacing w:val="21"/>
          <w:sz w:val="16"/>
        </w:rPr>
        <w:t> </w:t>
      </w:r>
      <w:r>
        <w:rPr>
          <w:rFonts w:ascii="Trebuchet MS"/>
          <w:color w:val="231F20"/>
          <w:sz w:val="16"/>
        </w:rPr>
        <w:t>mg/min</w:t>
      </w:r>
    </w:p>
    <w:p>
      <w:pPr>
        <w:tabs>
          <w:tab w:pos="4261" w:val="left" w:leader="none"/>
        </w:tabs>
        <w:spacing w:before="89" w:after="60"/>
        <w:ind w:left="1440" w:right="0" w:firstLine="0"/>
        <w:jc w:val="left"/>
        <w:rPr>
          <w:rFonts w:ascii="Trebuchet MS"/>
          <w:sz w:val="16"/>
        </w:rPr>
      </w:pPr>
      <w:r>
        <w:rPr>
          <w:rFonts w:ascii="Trebuchet MS"/>
          <w:color w:val="231F20"/>
          <w:w w:val="105"/>
          <w:sz w:val="16"/>
        </w:rPr>
        <w:t>Plasma</w:t>
      </w:r>
      <w:r>
        <w:rPr>
          <w:rFonts w:ascii="Trebuchet MS"/>
          <w:color w:val="231F20"/>
          <w:spacing w:val="-1"/>
          <w:w w:val="105"/>
          <w:sz w:val="16"/>
        </w:rPr>
        <w:t> </w:t>
      </w:r>
      <w:r>
        <w:rPr>
          <w:rFonts w:ascii="Trebuchet MS"/>
          <w:color w:val="231F20"/>
          <w:w w:val="105"/>
          <w:sz w:val="16"/>
        </w:rPr>
        <w:t>protein</w:t>
        <w:tab/>
        <w:t>30</w:t>
      </w:r>
      <w:r>
        <w:rPr>
          <w:rFonts w:ascii="Trebuchet MS"/>
          <w:color w:val="231F20"/>
          <w:spacing w:val="-17"/>
          <w:w w:val="105"/>
          <w:sz w:val="16"/>
        </w:rPr>
        <w:t> </w:t>
      </w:r>
      <w:r>
        <w:rPr>
          <w:rFonts w:ascii="Trebuchet MS"/>
          <w:color w:val="231F20"/>
          <w:w w:val="105"/>
          <w:sz w:val="16"/>
        </w:rPr>
        <w:t>mg/min</w:t>
      </w:r>
    </w:p>
    <w:p>
      <w:pPr>
        <w:pStyle w:val="BodyText"/>
        <w:spacing w:line="20" w:lineRule="exact"/>
        <w:ind w:left="1435" w:right="-72"/>
        <w:rPr>
          <w:rFonts w:ascii="Trebuchet MS"/>
          <w:sz w:val="2"/>
        </w:rPr>
      </w:pPr>
      <w:r>
        <w:rPr>
          <w:rFonts w:ascii="Trebuchet MS"/>
          <w:sz w:val="2"/>
        </w:rPr>
        <w:pict>
          <v:group style="width:234pt;height:.5pt;mso-position-horizontal-relative:char;mso-position-vertical-relative:line" coordorigin="0,0" coordsize="4680,10">
            <v:line style="position:absolute" from="0,5" to="2120,5" stroked="true" strokeweight=".5pt" strokecolor="#231f20">
              <v:stroke dashstyle="solid"/>
            </v:line>
            <v:line style="position:absolute" from="2120,5" to="4680,5" stroked="true" strokeweight=".5pt" strokecolor="#231f20">
              <v:stroke dashstyle="solid"/>
            </v:line>
          </v:group>
        </w:pict>
      </w:r>
      <w:r>
        <w:rPr>
          <w:rFonts w:ascii="Trebuchet MS"/>
          <w:sz w:val="2"/>
        </w:rPr>
      </w:r>
    </w:p>
    <w:p>
      <w:pPr>
        <w:pStyle w:val="BodyText"/>
        <w:spacing w:before="7"/>
        <w:rPr>
          <w:rFonts w:ascii="Trebuchet MS"/>
          <w:sz w:val="21"/>
        </w:rPr>
      </w:pPr>
    </w:p>
    <w:p>
      <w:pPr>
        <w:spacing w:line="252" w:lineRule="auto" w:before="0"/>
        <w:ind w:left="1439" w:right="0" w:firstLine="0"/>
        <w:jc w:val="both"/>
        <w:rPr>
          <w:sz w:val="20"/>
        </w:rPr>
      </w:pPr>
      <w:r>
        <w:rPr>
          <w:rFonts w:ascii="Trebuchet MS"/>
          <w:b/>
          <w:color w:val="231F20"/>
          <w:sz w:val="19"/>
        </w:rPr>
        <w:t>Transport Maximums for Substances That </w:t>
      </w:r>
      <w:r>
        <w:rPr>
          <w:rFonts w:ascii="Trebuchet MS"/>
          <w:b/>
          <w:color w:val="231F20"/>
          <w:spacing w:val="-8"/>
          <w:sz w:val="19"/>
        </w:rPr>
        <w:t>Are </w:t>
      </w:r>
      <w:r>
        <w:rPr>
          <w:rFonts w:ascii="Trebuchet MS"/>
          <w:b/>
          <w:color w:val="231F20"/>
          <w:sz w:val="19"/>
        </w:rPr>
        <w:t>Actively Secreted. </w:t>
      </w:r>
      <w:r>
        <w:rPr>
          <w:color w:val="231F20"/>
          <w:sz w:val="20"/>
        </w:rPr>
        <w:t>Substances that are </w:t>
      </w:r>
      <w:r>
        <w:rPr>
          <w:i/>
          <w:color w:val="231F20"/>
          <w:sz w:val="20"/>
        </w:rPr>
        <w:t>actively secreted </w:t>
      </w:r>
      <w:r>
        <w:rPr>
          <w:color w:val="231F20"/>
          <w:sz w:val="20"/>
        </w:rPr>
        <w:t>also exhibit transport maximums as</w:t>
      </w:r>
      <w:r>
        <w:rPr>
          <w:color w:val="231F20"/>
          <w:spacing w:val="45"/>
          <w:sz w:val="20"/>
        </w:rPr>
        <w:t> </w:t>
      </w:r>
      <w:r>
        <w:rPr>
          <w:color w:val="231F20"/>
          <w:sz w:val="20"/>
        </w:rPr>
        <w:t>follows:</w:t>
      </w:r>
    </w:p>
    <w:p>
      <w:pPr>
        <w:pStyle w:val="BodyText"/>
        <w:spacing w:before="3"/>
        <w:rPr>
          <w:sz w:val="21"/>
        </w:rPr>
      </w:pP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2660,5" stroked="true" strokeweight=".5pt" strokecolor="#231f20">
              <v:stroke dashstyle="solid"/>
            </v:line>
            <v:line style="position:absolute" from="2660,5" to="4680,5" stroked="true" strokeweight=".5pt" strokecolor="#231f20">
              <v:stroke dashstyle="solid"/>
            </v:line>
          </v:group>
        </w:pict>
      </w:r>
      <w:r>
        <w:rPr>
          <w:sz w:val="2"/>
        </w:rPr>
      </w:r>
    </w:p>
    <w:p>
      <w:pPr>
        <w:tabs>
          <w:tab w:pos="4099" w:val="left" w:leader="none"/>
        </w:tabs>
        <w:spacing w:before="19"/>
        <w:ind w:left="1440" w:right="0" w:firstLine="0"/>
        <w:jc w:val="left"/>
        <w:rPr>
          <w:rFonts w:ascii="Trebuchet MS"/>
          <w:b/>
          <w:sz w:val="16"/>
        </w:rPr>
      </w:pPr>
      <w:r>
        <w:rPr>
          <w:rFonts w:ascii="Trebuchet MS"/>
          <w:b/>
          <w:color w:val="231F20"/>
          <w:sz w:val="16"/>
        </w:rPr>
        <w:t>Substance</w:t>
        <w:tab/>
        <w:t>Transport</w:t>
      </w:r>
      <w:r>
        <w:rPr>
          <w:rFonts w:ascii="Trebuchet MS"/>
          <w:b/>
          <w:color w:val="231F20"/>
          <w:spacing w:val="7"/>
          <w:sz w:val="16"/>
        </w:rPr>
        <w:t> </w:t>
      </w:r>
      <w:r>
        <w:rPr>
          <w:rFonts w:ascii="Trebuchet MS"/>
          <w:b/>
          <w:color w:val="231F20"/>
          <w:sz w:val="16"/>
        </w:rPr>
        <w:t>Maximum</w:t>
      </w:r>
    </w:p>
    <w:p>
      <w:pPr>
        <w:tabs>
          <w:tab w:pos="4469" w:val="left" w:leader="none"/>
        </w:tabs>
        <w:spacing w:before="79"/>
        <w:ind w:left="1440" w:right="0" w:firstLine="0"/>
        <w:jc w:val="left"/>
        <w:rPr>
          <w:rFonts w:ascii="Trebuchet MS"/>
          <w:sz w:val="16"/>
        </w:rPr>
      </w:pPr>
      <w:r>
        <w:rPr>
          <w:rFonts w:ascii="Trebuchet MS"/>
          <w:color w:val="231F20"/>
          <w:w w:val="105"/>
          <w:sz w:val="16"/>
        </w:rPr>
        <w:t>Creatinine</w:t>
        <w:tab/>
        <w:t>16</w:t>
      </w:r>
      <w:r>
        <w:rPr>
          <w:rFonts w:ascii="Trebuchet MS"/>
          <w:color w:val="231F20"/>
          <w:spacing w:val="-18"/>
          <w:w w:val="105"/>
          <w:sz w:val="16"/>
        </w:rPr>
        <w:t> </w:t>
      </w:r>
      <w:r>
        <w:rPr>
          <w:rFonts w:ascii="Trebuchet MS"/>
          <w:color w:val="231F20"/>
          <w:w w:val="105"/>
          <w:sz w:val="16"/>
        </w:rPr>
        <w:t>mg/min</w:t>
      </w:r>
    </w:p>
    <w:p>
      <w:pPr>
        <w:tabs>
          <w:tab w:pos="4469" w:val="left" w:leader="none"/>
        </w:tabs>
        <w:spacing w:line="50" w:lineRule="exact" w:before="88"/>
        <w:ind w:left="1440" w:right="0" w:firstLine="0"/>
        <w:jc w:val="left"/>
        <w:rPr>
          <w:rFonts w:ascii="Trebuchet MS"/>
          <w:sz w:val="16"/>
        </w:rPr>
      </w:pPr>
      <w:r>
        <w:rPr>
          <w:rFonts w:ascii="Trebuchet MS"/>
          <w:color w:val="231F20"/>
          <w:w w:val="105"/>
          <w:sz w:val="16"/>
        </w:rPr>
        <w:t>Para-aminohippuric</w:t>
      </w:r>
      <w:r>
        <w:rPr>
          <w:rFonts w:ascii="Trebuchet MS"/>
          <w:color w:val="231F20"/>
          <w:spacing w:val="-3"/>
          <w:w w:val="105"/>
          <w:sz w:val="16"/>
        </w:rPr>
        <w:t> </w:t>
      </w:r>
      <w:r>
        <w:rPr>
          <w:rFonts w:ascii="Trebuchet MS"/>
          <w:color w:val="231F20"/>
          <w:w w:val="105"/>
          <w:sz w:val="16"/>
        </w:rPr>
        <w:t>acid</w:t>
        <w:tab/>
        <w:t>80</w:t>
      </w:r>
      <w:r>
        <w:rPr>
          <w:rFonts w:ascii="Trebuchet MS"/>
          <w:color w:val="231F20"/>
          <w:spacing w:val="-18"/>
          <w:w w:val="105"/>
          <w:sz w:val="16"/>
        </w:rPr>
        <w:t> </w:t>
      </w:r>
      <w:r>
        <w:rPr>
          <w:rFonts w:ascii="Trebuchet MS"/>
          <w:color w:val="231F20"/>
          <w:w w:val="105"/>
          <w:sz w:val="16"/>
        </w:rPr>
        <w:t>mg/min</w:t>
      </w:r>
    </w:p>
    <w:p>
      <w:pPr>
        <w:pStyle w:val="BodyText"/>
        <w:spacing w:line="249" w:lineRule="auto" w:before="10"/>
        <w:ind w:left="319" w:right="1077"/>
        <w:jc w:val="both"/>
      </w:pPr>
      <w:r>
        <w:rPr/>
        <w:br w:type="column"/>
      </w:r>
      <w:r>
        <w:rPr>
          <w:color w:val="231F20"/>
          <w:w w:val="105"/>
        </w:rPr>
        <w:t>type</w:t>
      </w:r>
      <w:r>
        <w:rPr>
          <w:color w:val="231F20"/>
          <w:spacing w:val="-13"/>
          <w:w w:val="105"/>
        </w:rPr>
        <w:t> </w:t>
      </w:r>
      <w:r>
        <w:rPr>
          <w:color w:val="231F20"/>
          <w:w w:val="105"/>
        </w:rPr>
        <w:t>is</w:t>
      </w:r>
      <w:r>
        <w:rPr>
          <w:color w:val="231F20"/>
          <w:spacing w:val="-12"/>
          <w:w w:val="105"/>
        </w:rPr>
        <w:t> </w:t>
      </w:r>
      <w:r>
        <w:rPr>
          <w:color w:val="231F20"/>
          <w:w w:val="105"/>
        </w:rPr>
        <w:t>referred</w:t>
      </w:r>
      <w:r>
        <w:rPr>
          <w:color w:val="231F20"/>
          <w:spacing w:val="-13"/>
          <w:w w:val="105"/>
        </w:rPr>
        <w:t> </w:t>
      </w:r>
      <w:r>
        <w:rPr>
          <w:color w:val="231F20"/>
          <w:w w:val="105"/>
        </w:rPr>
        <w:t>to</w:t>
      </w:r>
      <w:r>
        <w:rPr>
          <w:color w:val="231F20"/>
          <w:spacing w:val="-12"/>
          <w:w w:val="105"/>
        </w:rPr>
        <w:t> </w:t>
      </w:r>
      <w:r>
        <w:rPr>
          <w:color w:val="231F20"/>
          <w:w w:val="105"/>
        </w:rPr>
        <w:t>as</w:t>
      </w:r>
      <w:r>
        <w:rPr>
          <w:color w:val="231F20"/>
          <w:spacing w:val="-12"/>
          <w:w w:val="105"/>
        </w:rPr>
        <w:t> </w:t>
      </w:r>
      <w:r>
        <w:rPr>
          <w:i/>
          <w:color w:val="231F20"/>
          <w:w w:val="105"/>
        </w:rPr>
        <w:t>gradient-time</w:t>
      </w:r>
      <w:r>
        <w:rPr>
          <w:i/>
          <w:color w:val="231F20"/>
          <w:spacing w:val="-13"/>
          <w:w w:val="105"/>
        </w:rPr>
        <w:t> </w:t>
      </w:r>
      <w:r>
        <w:rPr>
          <w:i/>
          <w:color w:val="231F20"/>
          <w:w w:val="105"/>
        </w:rPr>
        <w:t>transport</w:t>
      </w:r>
      <w:r>
        <w:rPr>
          <w:i/>
          <w:color w:val="231F20"/>
          <w:spacing w:val="-12"/>
          <w:w w:val="105"/>
        </w:rPr>
        <w:t> </w:t>
      </w:r>
      <w:r>
        <w:rPr>
          <w:color w:val="231F20"/>
          <w:w w:val="105"/>
        </w:rPr>
        <w:t>because</w:t>
      </w:r>
      <w:r>
        <w:rPr>
          <w:color w:val="231F20"/>
          <w:spacing w:val="-13"/>
          <w:w w:val="105"/>
        </w:rPr>
        <w:t> </w:t>
      </w:r>
      <w:r>
        <w:rPr>
          <w:color w:val="231F20"/>
          <w:w w:val="105"/>
        </w:rPr>
        <w:t>the rate</w:t>
      </w:r>
      <w:r>
        <w:rPr>
          <w:color w:val="231F20"/>
          <w:spacing w:val="-16"/>
          <w:w w:val="105"/>
        </w:rPr>
        <w:t> </w:t>
      </w:r>
      <w:r>
        <w:rPr>
          <w:color w:val="231F20"/>
          <w:w w:val="105"/>
        </w:rPr>
        <w:t>of</w:t>
      </w:r>
      <w:r>
        <w:rPr>
          <w:color w:val="231F20"/>
          <w:spacing w:val="-16"/>
          <w:w w:val="105"/>
        </w:rPr>
        <w:t> </w:t>
      </w:r>
      <w:r>
        <w:rPr>
          <w:color w:val="231F20"/>
          <w:w w:val="105"/>
        </w:rPr>
        <w:t>transport</w:t>
      </w:r>
      <w:r>
        <w:rPr>
          <w:color w:val="231F20"/>
          <w:spacing w:val="-15"/>
          <w:w w:val="105"/>
        </w:rPr>
        <w:t> </w:t>
      </w:r>
      <w:r>
        <w:rPr>
          <w:color w:val="231F20"/>
          <w:w w:val="105"/>
        </w:rPr>
        <w:t>depends</w:t>
      </w:r>
      <w:r>
        <w:rPr>
          <w:color w:val="231F20"/>
          <w:spacing w:val="-16"/>
          <w:w w:val="105"/>
        </w:rPr>
        <w:t> </w:t>
      </w:r>
      <w:r>
        <w:rPr>
          <w:color w:val="231F20"/>
          <w:w w:val="105"/>
        </w:rPr>
        <w:t>on</w:t>
      </w:r>
      <w:r>
        <w:rPr>
          <w:color w:val="231F20"/>
          <w:spacing w:val="-16"/>
          <w:w w:val="105"/>
        </w:rPr>
        <w:t> </w:t>
      </w:r>
      <w:r>
        <w:rPr>
          <w:color w:val="231F20"/>
          <w:w w:val="105"/>
        </w:rPr>
        <w:t>the</w:t>
      </w:r>
      <w:r>
        <w:rPr>
          <w:color w:val="231F20"/>
          <w:spacing w:val="-15"/>
          <w:w w:val="105"/>
        </w:rPr>
        <w:t> </w:t>
      </w:r>
      <w:r>
        <w:rPr>
          <w:color w:val="231F20"/>
          <w:w w:val="105"/>
        </w:rPr>
        <w:t>electrochemical</w:t>
      </w:r>
      <w:r>
        <w:rPr>
          <w:color w:val="231F20"/>
          <w:spacing w:val="-16"/>
          <w:w w:val="105"/>
        </w:rPr>
        <w:t> </w:t>
      </w:r>
      <w:r>
        <w:rPr>
          <w:color w:val="231F20"/>
          <w:w w:val="105"/>
        </w:rPr>
        <w:t>gradient and</w:t>
      </w:r>
      <w:r>
        <w:rPr>
          <w:color w:val="231F20"/>
          <w:spacing w:val="-4"/>
          <w:w w:val="105"/>
        </w:rPr>
        <w:t> </w:t>
      </w:r>
      <w:r>
        <w:rPr>
          <w:color w:val="231F20"/>
          <w:w w:val="105"/>
        </w:rPr>
        <w:t>the</w:t>
      </w:r>
      <w:r>
        <w:rPr>
          <w:color w:val="231F20"/>
          <w:spacing w:val="-3"/>
          <w:w w:val="105"/>
        </w:rPr>
        <w:t> </w:t>
      </w:r>
      <w:r>
        <w:rPr>
          <w:color w:val="231F20"/>
          <w:w w:val="105"/>
        </w:rPr>
        <w:t>time</w:t>
      </w:r>
      <w:r>
        <w:rPr>
          <w:color w:val="231F20"/>
          <w:spacing w:val="-4"/>
          <w:w w:val="105"/>
        </w:rPr>
        <w:t> </w:t>
      </w:r>
      <w:r>
        <w:rPr>
          <w:color w:val="231F20"/>
          <w:w w:val="105"/>
        </w:rPr>
        <w:t>that</w:t>
      </w:r>
      <w:r>
        <w:rPr>
          <w:color w:val="231F20"/>
          <w:spacing w:val="-3"/>
          <w:w w:val="105"/>
        </w:rPr>
        <w:t> </w:t>
      </w:r>
      <w:r>
        <w:rPr>
          <w:color w:val="231F20"/>
          <w:w w:val="105"/>
        </w:rPr>
        <w:t>the</w:t>
      </w:r>
      <w:r>
        <w:rPr>
          <w:color w:val="231F20"/>
          <w:spacing w:val="-4"/>
          <w:w w:val="105"/>
        </w:rPr>
        <w:t> </w:t>
      </w:r>
      <w:r>
        <w:rPr>
          <w:color w:val="231F20"/>
          <w:w w:val="105"/>
        </w:rPr>
        <w:t>substance</w:t>
      </w:r>
      <w:r>
        <w:rPr>
          <w:color w:val="231F20"/>
          <w:spacing w:val="-4"/>
          <w:w w:val="105"/>
        </w:rPr>
        <w:t> </w:t>
      </w:r>
      <w:r>
        <w:rPr>
          <w:color w:val="231F20"/>
          <w:w w:val="105"/>
        </w:rPr>
        <w:t>is</w:t>
      </w:r>
      <w:r>
        <w:rPr>
          <w:color w:val="231F20"/>
          <w:spacing w:val="-3"/>
          <w:w w:val="105"/>
        </w:rPr>
        <w:t> </w:t>
      </w:r>
      <w:r>
        <w:rPr>
          <w:color w:val="231F20"/>
          <w:w w:val="105"/>
        </w:rPr>
        <w:t>in</w:t>
      </w:r>
      <w:r>
        <w:rPr>
          <w:color w:val="231F20"/>
          <w:spacing w:val="-4"/>
          <w:w w:val="105"/>
        </w:rPr>
        <w:t> </w:t>
      </w:r>
      <w:r>
        <w:rPr>
          <w:color w:val="231F20"/>
          <w:w w:val="105"/>
        </w:rPr>
        <w:t>the</w:t>
      </w:r>
      <w:r>
        <w:rPr>
          <w:color w:val="231F20"/>
          <w:spacing w:val="-3"/>
          <w:w w:val="105"/>
        </w:rPr>
        <w:t> </w:t>
      </w:r>
      <w:r>
        <w:rPr>
          <w:color w:val="231F20"/>
          <w:w w:val="105"/>
        </w:rPr>
        <w:t>tubule,</w:t>
      </w:r>
      <w:r>
        <w:rPr>
          <w:color w:val="231F20"/>
          <w:spacing w:val="-4"/>
          <w:w w:val="105"/>
        </w:rPr>
        <w:t> </w:t>
      </w:r>
      <w:r>
        <w:rPr>
          <w:color w:val="231F20"/>
          <w:w w:val="105"/>
        </w:rPr>
        <w:t>which</w:t>
      </w:r>
      <w:r>
        <w:rPr>
          <w:color w:val="231F20"/>
          <w:spacing w:val="-3"/>
          <w:w w:val="105"/>
        </w:rPr>
        <w:t> </w:t>
      </w:r>
      <w:r>
        <w:rPr>
          <w:color w:val="231F20"/>
          <w:w w:val="105"/>
        </w:rPr>
        <w:t>in turn depends on the tubular flow</w:t>
      </w:r>
      <w:r>
        <w:rPr>
          <w:color w:val="231F20"/>
          <w:spacing w:val="17"/>
          <w:w w:val="105"/>
        </w:rPr>
        <w:t> </w:t>
      </w:r>
      <w:r>
        <w:rPr>
          <w:color w:val="231F20"/>
          <w:w w:val="105"/>
        </w:rPr>
        <w:t>rate.</w:t>
      </w:r>
    </w:p>
    <w:p>
      <w:pPr>
        <w:pStyle w:val="BodyText"/>
        <w:spacing w:line="249" w:lineRule="auto" w:before="3"/>
        <w:ind w:left="319" w:right="1077" w:firstLine="240"/>
        <w:jc w:val="both"/>
      </w:pPr>
      <w:r>
        <w:rPr>
          <w:color w:val="231F20"/>
          <w:w w:val="105"/>
        </w:rPr>
        <w:t>Substances that are passively transported do not exhibit a transport maximum and have characteristics of </w:t>
      </w:r>
      <w:r>
        <w:rPr>
          <w:i/>
          <w:color w:val="231F20"/>
          <w:w w:val="105"/>
        </w:rPr>
        <w:t>gradient-time transport, </w:t>
      </w:r>
      <w:r>
        <w:rPr>
          <w:color w:val="231F20"/>
          <w:w w:val="105"/>
        </w:rPr>
        <w:t>which means that the rate  of</w:t>
      </w:r>
      <w:r>
        <w:rPr>
          <w:color w:val="231F20"/>
          <w:spacing w:val="-13"/>
          <w:w w:val="105"/>
        </w:rPr>
        <w:t> </w:t>
      </w:r>
      <w:r>
        <w:rPr>
          <w:color w:val="231F20"/>
          <w:w w:val="105"/>
        </w:rPr>
        <w:t>transport</w:t>
      </w:r>
      <w:r>
        <w:rPr>
          <w:color w:val="231F20"/>
          <w:spacing w:val="-12"/>
          <w:w w:val="105"/>
        </w:rPr>
        <w:t> </w:t>
      </w:r>
      <w:r>
        <w:rPr>
          <w:color w:val="231F20"/>
          <w:w w:val="105"/>
        </w:rPr>
        <w:t>depends</w:t>
      </w:r>
      <w:r>
        <w:rPr>
          <w:color w:val="231F20"/>
          <w:spacing w:val="-13"/>
          <w:w w:val="105"/>
        </w:rPr>
        <w:t> </w:t>
      </w:r>
      <w:r>
        <w:rPr>
          <w:color w:val="231F20"/>
          <w:w w:val="105"/>
        </w:rPr>
        <w:t>on</w:t>
      </w:r>
      <w:r>
        <w:rPr>
          <w:color w:val="231F20"/>
          <w:spacing w:val="-12"/>
          <w:w w:val="105"/>
        </w:rPr>
        <w:t> </w:t>
      </w:r>
      <w:r>
        <w:rPr>
          <w:color w:val="231F20"/>
          <w:w w:val="105"/>
        </w:rPr>
        <w:t>(1)</w:t>
      </w:r>
      <w:r>
        <w:rPr>
          <w:color w:val="231F20"/>
          <w:spacing w:val="-12"/>
          <w:w w:val="105"/>
        </w:rPr>
        <w:t> </w:t>
      </w:r>
      <w:r>
        <w:rPr>
          <w:color w:val="231F20"/>
          <w:w w:val="105"/>
        </w:rPr>
        <w:t>the</w:t>
      </w:r>
      <w:r>
        <w:rPr>
          <w:color w:val="231F20"/>
          <w:spacing w:val="-13"/>
          <w:w w:val="105"/>
        </w:rPr>
        <w:t> </w:t>
      </w:r>
      <w:r>
        <w:rPr>
          <w:color w:val="231F20"/>
          <w:w w:val="105"/>
        </w:rPr>
        <w:t>electrochemical</w:t>
      </w:r>
      <w:r>
        <w:rPr>
          <w:color w:val="231F20"/>
          <w:spacing w:val="-12"/>
          <w:w w:val="105"/>
        </w:rPr>
        <w:t> </w:t>
      </w:r>
      <w:r>
        <w:rPr>
          <w:color w:val="231F20"/>
          <w:w w:val="105"/>
        </w:rPr>
        <w:t>gradient,</w:t>
      </w:r>
    </w:p>
    <w:p>
      <w:pPr>
        <w:pStyle w:val="BodyText"/>
        <w:spacing w:line="249" w:lineRule="auto" w:before="4"/>
        <w:ind w:left="319" w:right="1077"/>
        <w:jc w:val="both"/>
      </w:pPr>
      <w:r>
        <w:rPr>
          <w:color w:val="231F20"/>
          <w:w w:val="105"/>
        </w:rPr>
        <w:t>(2) the permeability of the membrane for the substance, and (3) the time that the fluid containing the substance remains in contact with the luminal membrane of the tubule.</w:t>
      </w:r>
    </w:p>
    <w:p>
      <w:pPr>
        <w:pStyle w:val="BodyText"/>
        <w:spacing w:line="249" w:lineRule="auto" w:before="3"/>
        <w:ind w:left="319" w:right="1077" w:firstLine="240"/>
        <w:jc w:val="both"/>
      </w:pPr>
      <w:r>
        <w:rPr>
          <w:color w:val="231F20"/>
          <w:w w:val="105"/>
        </w:rPr>
        <w:t>An</w:t>
      </w:r>
      <w:r>
        <w:rPr>
          <w:color w:val="231F20"/>
          <w:spacing w:val="-21"/>
          <w:w w:val="105"/>
        </w:rPr>
        <w:t> </w:t>
      </w:r>
      <w:r>
        <w:rPr>
          <w:color w:val="231F20"/>
          <w:w w:val="105"/>
        </w:rPr>
        <w:t>example</w:t>
      </w:r>
      <w:r>
        <w:rPr>
          <w:color w:val="231F20"/>
          <w:spacing w:val="-20"/>
          <w:w w:val="105"/>
        </w:rPr>
        <w:t> </w:t>
      </w:r>
      <w:r>
        <w:rPr>
          <w:color w:val="231F20"/>
          <w:w w:val="105"/>
        </w:rPr>
        <w:t>of</w:t>
      </w:r>
      <w:r>
        <w:rPr>
          <w:color w:val="231F20"/>
          <w:spacing w:val="-21"/>
          <w:w w:val="105"/>
        </w:rPr>
        <w:t> </w:t>
      </w:r>
      <w:r>
        <w:rPr>
          <w:color w:val="231F20"/>
          <w:w w:val="105"/>
        </w:rPr>
        <w:t>gradient-time</w:t>
      </w:r>
      <w:r>
        <w:rPr>
          <w:color w:val="231F20"/>
          <w:spacing w:val="-20"/>
          <w:w w:val="105"/>
        </w:rPr>
        <w:t> </w:t>
      </w:r>
      <w:r>
        <w:rPr>
          <w:color w:val="231F20"/>
          <w:w w:val="105"/>
        </w:rPr>
        <w:t>transport</w:t>
      </w:r>
      <w:r>
        <w:rPr>
          <w:color w:val="231F20"/>
          <w:spacing w:val="-20"/>
          <w:w w:val="105"/>
        </w:rPr>
        <w:t> </w:t>
      </w:r>
      <w:r>
        <w:rPr>
          <w:color w:val="231F20"/>
          <w:w w:val="105"/>
        </w:rPr>
        <w:t>is</w:t>
      </w:r>
      <w:r>
        <w:rPr>
          <w:color w:val="231F20"/>
          <w:spacing w:val="-21"/>
          <w:w w:val="105"/>
        </w:rPr>
        <w:t> </w:t>
      </w:r>
      <w:r>
        <w:rPr>
          <w:color w:val="231F20"/>
          <w:w w:val="105"/>
        </w:rPr>
        <w:t>sodium</w:t>
      </w:r>
      <w:r>
        <w:rPr>
          <w:color w:val="231F20"/>
          <w:spacing w:val="-20"/>
          <w:w w:val="105"/>
        </w:rPr>
        <w:t> </w:t>
      </w:r>
      <w:r>
        <w:rPr>
          <w:color w:val="231F20"/>
          <w:w w:val="105"/>
        </w:rPr>
        <w:t>reab- sorption in the proximal tubule, where the maximum transport capacity of the basolateral sodium-potassium ATPase</w:t>
      </w:r>
      <w:r>
        <w:rPr>
          <w:color w:val="231F20"/>
          <w:spacing w:val="-17"/>
          <w:w w:val="105"/>
        </w:rPr>
        <w:t> </w:t>
      </w:r>
      <w:r>
        <w:rPr>
          <w:color w:val="231F20"/>
          <w:w w:val="105"/>
        </w:rPr>
        <w:t>pump</w:t>
      </w:r>
      <w:r>
        <w:rPr>
          <w:color w:val="231F20"/>
          <w:spacing w:val="-17"/>
          <w:w w:val="105"/>
        </w:rPr>
        <w:t> </w:t>
      </w:r>
      <w:r>
        <w:rPr>
          <w:color w:val="231F20"/>
          <w:w w:val="105"/>
        </w:rPr>
        <w:t>is</w:t>
      </w:r>
      <w:r>
        <w:rPr>
          <w:color w:val="231F20"/>
          <w:spacing w:val="-16"/>
          <w:w w:val="105"/>
        </w:rPr>
        <w:t> </w:t>
      </w:r>
      <w:r>
        <w:rPr>
          <w:color w:val="231F20"/>
          <w:w w:val="105"/>
        </w:rPr>
        <w:t>usually</w:t>
      </w:r>
      <w:r>
        <w:rPr>
          <w:color w:val="231F20"/>
          <w:spacing w:val="-17"/>
          <w:w w:val="105"/>
        </w:rPr>
        <w:t> </w:t>
      </w:r>
      <w:r>
        <w:rPr>
          <w:color w:val="231F20"/>
          <w:w w:val="105"/>
        </w:rPr>
        <w:t>far</w:t>
      </w:r>
      <w:r>
        <w:rPr>
          <w:color w:val="231F20"/>
          <w:spacing w:val="-16"/>
          <w:w w:val="105"/>
        </w:rPr>
        <w:t> </w:t>
      </w:r>
      <w:r>
        <w:rPr>
          <w:color w:val="231F20"/>
          <w:w w:val="105"/>
        </w:rPr>
        <w:t>greater</w:t>
      </w:r>
      <w:r>
        <w:rPr>
          <w:color w:val="231F20"/>
          <w:spacing w:val="-17"/>
          <w:w w:val="105"/>
        </w:rPr>
        <w:t> </w:t>
      </w:r>
      <w:r>
        <w:rPr>
          <w:color w:val="231F20"/>
          <w:w w:val="105"/>
        </w:rPr>
        <w:t>than</w:t>
      </w:r>
      <w:r>
        <w:rPr>
          <w:color w:val="231F20"/>
          <w:spacing w:val="-16"/>
          <w:w w:val="105"/>
        </w:rPr>
        <w:t> </w:t>
      </w:r>
      <w:r>
        <w:rPr>
          <w:color w:val="231F20"/>
          <w:w w:val="105"/>
        </w:rPr>
        <w:t>the</w:t>
      </w:r>
      <w:r>
        <w:rPr>
          <w:color w:val="231F20"/>
          <w:spacing w:val="-17"/>
          <w:w w:val="105"/>
        </w:rPr>
        <w:t> </w:t>
      </w:r>
      <w:r>
        <w:rPr>
          <w:color w:val="231F20"/>
          <w:w w:val="105"/>
        </w:rPr>
        <w:t>actual</w:t>
      </w:r>
      <w:r>
        <w:rPr>
          <w:color w:val="231F20"/>
          <w:spacing w:val="-16"/>
          <w:w w:val="105"/>
        </w:rPr>
        <w:t> </w:t>
      </w:r>
      <w:r>
        <w:rPr>
          <w:color w:val="231F20"/>
          <w:w w:val="105"/>
        </w:rPr>
        <w:t>rate</w:t>
      </w:r>
      <w:r>
        <w:rPr>
          <w:color w:val="231F20"/>
          <w:spacing w:val="-17"/>
          <w:w w:val="105"/>
        </w:rPr>
        <w:t> </w:t>
      </w:r>
      <w:r>
        <w:rPr>
          <w:color w:val="231F20"/>
          <w:w w:val="105"/>
        </w:rPr>
        <w:t>of net</w:t>
      </w:r>
      <w:r>
        <w:rPr>
          <w:color w:val="231F20"/>
          <w:spacing w:val="23"/>
          <w:w w:val="105"/>
        </w:rPr>
        <w:t> </w:t>
      </w:r>
      <w:r>
        <w:rPr>
          <w:color w:val="231F20"/>
          <w:w w:val="105"/>
        </w:rPr>
        <w:t>sodium</w:t>
      </w:r>
      <w:r>
        <w:rPr>
          <w:color w:val="231F20"/>
          <w:spacing w:val="24"/>
          <w:w w:val="105"/>
        </w:rPr>
        <w:t> </w:t>
      </w:r>
      <w:r>
        <w:rPr>
          <w:color w:val="231F20"/>
          <w:w w:val="105"/>
        </w:rPr>
        <w:t>reabsorption</w:t>
      </w:r>
      <w:r>
        <w:rPr>
          <w:color w:val="231F20"/>
          <w:spacing w:val="23"/>
          <w:w w:val="105"/>
        </w:rPr>
        <w:t> </w:t>
      </w:r>
      <w:r>
        <w:rPr>
          <w:color w:val="231F20"/>
          <w:w w:val="105"/>
        </w:rPr>
        <w:t>since</w:t>
      </w:r>
      <w:r>
        <w:rPr>
          <w:color w:val="231F20"/>
          <w:spacing w:val="24"/>
          <w:w w:val="105"/>
        </w:rPr>
        <w:t> </w:t>
      </w:r>
      <w:r>
        <w:rPr>
          <w:color w:val="231F20"/>
          <w:w w:val="105"/>
        </w:rPr>
        <w:t>a</w:t>
      </w:r>
      <w:r>
        <w:rPr>
          <w:color w:val="231F20"/>
          <w:spacing w:val="24"/>
          <w:w w:val="105"/>
        </w:rPr>
        <w:t> </w:t>
      </w:r>
      <w:r>
        <w:rPr>
          <w:color w:val="231F20"/>
          <w:w w:val="105"/>
        </w:rPr>
        <w:t>significant</w:t>
      </w:r>
      <w:r>
        <w:rPr>
          <w:color w:val="231F20"/>
          <w:spacing w:val="23"/>
          <w:w w:val="105"/>
        </w:rPr>
        <w:t> </w:t>
      </w:r>
      <w:r>
        <w:rPr>
          <w:color w:val="231F20"/>
          <w:w w:val="105"/>
        </w:rPr>
        <w:t>amount</w:t>
      </w:r>
      <w:r>
        <w:rPr>
          <w:color w:val="231F20"/>
          <w:spacing w:val="24"/>
          <w:w w:val="105"/>
        </w:rPr>
        <w:t> </w:t>
      </w:r>
      <w:r>
        <w:rPr>
          <w:color w:val="231F20"/>
          <w:w w:val="105"/>
        </w:rPr>
        <w:t>of</w:t>
      </w:r>
    </w:p>
    <w:p>
      <w:pPr>
        <w:spacing w:after="0" w:line="249" w:lineRule="auto"/>
        <w:jc w:val="both"/>
        <w:sectPr>
          <w:type w:val="continuous"/>
          <w:pgSz w:w="12240" w:h="15660"/>
          <w:pgMar w:top="0" w:bottom="760" w:left="0" w:right="0"/>
          <w:cols w:num="2" w:equalWidth="0">
            <w:col w:w="6121" w:space="40"/>
            <w:col w:w="6079"/>
          </w:cols>
        </w:sectPr>
      </w:pPr>
    </w:p>
    <w:p>
      <w:pPr>
        <w:pStyle w:val="BodyText"/>
        <w:tabs>
          <w:tab w:pos="4679" w:val="left" w:leader="none"/>
          <w:tab w:pos="5039" w:val="left" w:leader="none"/>
        </w:tabs>
        <w:spacing w:line="230" w:lineRule="exact"/>
        <w:ind w:right="1078"/>
        <w:jc w:val="right"/>
      </w:pPr>
      <w:r>
        <w:rPr>
          <w:color w:val="231F20"/>
          <w:w w:val="94"/>
          <w:u w:val="single" w:color="231F20"/>
        </w:rPr>
        <w:t> </w:t>
      </w:r>
      <w:r>
        <w:rPr>
          <w:color w:val="231F20"/>
          <w:u w:val="single" w:color="231F20"/>
        </w:rPr>
        <w:tab/>
      </w:r>
      <w:r>
        <w:rPr>
          <w:color w:val="231F20"/>
        </w:rPr>
        <w:tab/>
      </w:r>
      <w:r>
        <w:rPr>
          <w:color w:val="231F20"/>
          <w:w w:val="105"/>
        </w:rPr>
        <w:t>sodium</w:t>
      </w:r>
      <w:r>
        <w:rPr>
          <w:color w:val="231F20"/>
          <w:spacing w:val="24"/>
          <w:w w:val="105"/>
        </w:rPr>
        <w:t> </w:t>
      </w:r>
      <w:r>
        <w:rPr>
          <w:color w:val="231F20"/>
          <w:w w:val="105"/>
        </w:rPr>
        <w:t>transported</w:t>
      </w:r>
      <w:r>
        <w:rPr>
          <w:color w:val="231F20"/>
          <w:spacing w:val="24"/>
          <w:w w:val="105"/>
        </w:rPr>
        <w:t> </w:t>
      </w:r>
      <w:r>
        <w:rPr>
          <w:color w:val="231F20"/>
          <w:w w:val="105"/>
        </w:rPr>
        <w:t>out</w:t>
      </w:r>
      <w:r>
        <w:rPr>
          <w:color w:val="231F20"/>
          <w:spacing w:val="24"/>
          <w:w w:val="105"/>
        </w:rPr>
        <w:t> </w:t>
      </w:r>
      <w:r>
        <w:rPr>
          <w:color w:val="231F20"/>
          <w:w w:val="105"/>
        </w:rPr>
        <w:t>of</w:t>
      </w:r>
      <w:r>
        <w:rPr>
          <w:color w:val="231F20"/>
          <w:spacing w:val="25"/>
          <w:w w:val="105"/>
        </w:rPr>
        <w:t> </w:t>
      </w:r>
      <w:r>
        <w:rPr>
          <w:color w:val="231F20"/>
          <w:w w:val="105"/>
        </w:rPr>
        <w:t>the</w:t>
      </w:r>
      <w:r>
        <w:rPr>
          <w:color w:val="231F20"/>
          <w:spacing w:val="24"/>
          <w:w w:val="105"/>
        </w:rPr>
        <w:t> </w:t>
      </w:r>
      <w:r>
        <w:rPr>
          <w:color w:val="231F20"/>
          <w:w w:val="105"/>
        </w:rPr>
        <w:t>cell</w:t>
      </w:r>
      <w:r>
        <w:rPr>
          <w:color w:val="231F20"/>
          <w:spacing w:val="24"/>
          <w:w w:val="105"/>
        </w:rPr>
        <w:t> </w:t>
      </w:r>
      <w:r>
        <w:rPr>
          <w:color w:val="231F20"/>
          <w:w w:val="105"/>
        </w:rPr>
        <w:t>leaks</w:t>
      </w:r>
      <w:r>
        <w:rPr>
          <w:color w:val="231F20"/>
          <w:spacing w:val="24"/>
          <w:w w:val="105"/>
        </w:rPr>
        <w:t> </w:t>
      </w:r>
      <w:r>
        <w:rPr>
          <w:color w:val="231F20"/>
          <w:w w:val="105"/>
        </w:rPr>
        <w:t>back</w:t>
      </w:r>
      <w:r>
        <w:rPr>
          <w:color w:val="231F20"/>
          <w:spacing w:val="25"/>
          <w:w w:val="105"/>
        </w:rPr>
        <w:t> </w:t>
      </w:r>
      <w:r>
        <w:rPr>
          <w:color w:val="231F20"/>
          <w:w w:val="105"/>
        </w:rPr>
        <w:t>into</w:t>
      </w:r>
      <w:r>
        <w:rPr>
          <w:color w:val="231F20"/>
          <w:spacing w:val="24"/>
          <w:w w:val="105"/>
        </w:rPr>
        <w:t> </w:t>
      </w:r>
      <w:r>
        <w:rPr>
          <w:color w:val="231F20"/>
          <w:w w:val="105"/>
        </w:rPr>
        <w:t>the</w:t>
      </w:r>
    </w:p>
    <w:p>
      <w:pPr>
        <w:pStyle w:val="BodyText"/>
        <w:spacing w:before="10"/>
        <w:ind w:right="1077"/>
        <w:jc w:val="right"/>
      </w:pPr>
      <w:r>
        <w:rPr>
          <w:color w:val="231F20"/>
          <w:w w:val="105"/>
        </w:rPr>
        <w:t>tubular</w:t>
      </w:r>
      <w:r>
        <w:rPr>
          <w:color w:val="231F20"/>
          <w:spacing w:val="16"/>
          <w:w w:val="105"/>
        </w:rPr>
        <w:t> </w:t>
      </w:r>
      <w:r>
        <w:rPr>
          <w:color w:val="231F20"/>
          <w:w w:val="105"/>
        </w:rPr>
        <w:t>lumen</w:t>
      </w:r>
      <w:r>
        <w:rPr>
          <w:color w:val="231F20"/>
          <w:spacing w:val="16"/>
          <w:w w:val="105"/>
        </w:rPr>
        <w:t> </w:t>
      </w:r>
      <w:r>
        <w:rPr>
          <w:color w:val="231F20"/>
          <w:w w:val="105"/>
        </w:rPr>
        <w:t>through</w:t>
      </w:r>
      <w:r>
        <w:rPr>
          <w:color w:val="231F20"/>
          <w:spacing w:val="16"/>
          <w:w w:val="105"/>
        </w:rPr>
        <w:t> </w:t>
      </w:r>
      <w:r>
        <w:rPr>
          <w:color w:val="231F20"/>
          <w:w w:val="105"/>
        </w:rPr>
        <w:t>junctions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epithelial</w:t>
      </w:r>
      <w:r>
        <w:rPr>
          <w:color w:val="231F20"/>
          <w:spacing w:val="16"/>
          <w:w w:val="105"/>
        </w:rPr>
        <w:t> </w:t>
      </w:r>
      <w:r>
        <w:rPr>
          <w:color w:val="231F20"/>
          <w:w w:val="105"/>
        </w:rPr>
        <w:t>cells.</w:t>
      </w:r>
    </w:p>
    <w:p>
      <w:pPr>
        <w:spacing w:after="0"/>
        <w:jc w:val="right"/>
        <w:sectPr>
          <w:type w:val="continuous"/>
          <w:pgSz w:w="12240" w:h="15660"/>
          <w:pgMar w:top="0" w:bottom="760" w:left="0" w:right="0"/>
        </w:sectPr>
      </w:pPr>
    </w:p>
    <w:p>
      <w:pPr>
        <w:spacing w:line="249" w:lineRule="auto" w:before="18"/>
        <w:ind w:left="1440" w:right="0" w:firstLine="0"/>
        <w:jc w:val="both"/>
        <w:rPr>
          <w:sz w:val="20"/>
        </w:rPr>
      </w:pPr>
      <w:r>
        <w:rPr/>
        <w:pict>
          <v:group style="position:absolute;margin-left:0pt;margin-top:0pt;width:612pt;height:180pt;mso-position-horizontal-relative:page;mso-position-vertical-relative:page;z-index:-27335065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r>
        <w:rPr>
          <w:rFonts w:ascii="Trebuchet MS"/>
          <w:b/>
          <w:color w:val="231F20"/>
          <w:sz w:val="19"/>
        </w:rPr>
        <w:t>Substances That Are Actively Transported but </w:t>
      </w:r>
      <w:r>
        <w:rPr>
          <w:rFonts w:ascii="Trebuchet MS"/>
          <w:b/>
          <w:color w:val="231F20"/>
          <w:spacing w:val="-7"/>
          <w:sz w:val="19"/>
        </w:rPr>
        <w:t>Do </w:t>
      </w:r>
      <w:r>
        <w:rPr>
          <w:rFonts w:ascii="Trebuchet MS"/>
          <w:b/>
          <w:color w:val="231F20"/>
          <w:sz w:val="19"/>
        </w:rPr>
        <w:t>Not Exhibit a Transport Maximum. </w:t>
      </w:r>
      <w:r>
        <w:rPr>
          <w:color w:val="231F20"/>
          <w:sz w:val="20"/>
        </w:rPr>
        <w:t>The reason </w:t>
      </w:r>
      <w:r>
        <w:rPr>
          <w:color w:val="231F20"/>
          <w:spacing w:val="-5"/>
          <w:sz w:val="20"/>
        </w:rPr>
        <w:t>that </w:t>
      </w:r>
      <w:r>
        <w:rPr>
          <w:color w:val="231F20"/>
          <w:sz w:val="20"/>
        </w:rPr>
        <w:t>actively transported solutes often exhibit a transport maximum is that the transport carrier system becomes saturated as the tubular load increases. </w:t>
      </w:r>
      <w:r>
        <w:rPr>
          <w:i/>
          <w:color w:val="231F20"/>
          <w:sz w:val="20"/>
        </w:rPr>
        <w:t>Some </w:t>
      </w:r>
      <w:r>
        <w:rPr>
          <w:i/>
          <w:color w:val="231F20"/>
          <w:spacing w:val="-3"/>
          <w:sz w:val="20"/>
        </w:rPr>
        <w:t>substances </w:t>
      </w:r>
      <w:r>
        <w:rPr>
          <w:i/>
          <w:color w:val="231F20"/>
          <w:sz w:val="20"/>
        </w:rPr>
        <w:t>that are passively reabsorbed do not demonstrate </w:t>
      </w:r>
      <w:r>
        <w:rPr>
          <w:i/>
          <w:color w:val="231F20"/>
          <w:spacing w:val="-13"/>
          <w:sz w:val="20"/>
        </w:rPr>
        <w:t>a </w:t>
      </w:r>
      <w:r>
        <w:rPr>
          <w:i/>
          <w:color w:val="231F20"/>
          <w:sz w:val="20"/>
        </w:rPr>
        <w:t>transport</w:t>
      </w:r>
      <w:r>
        <w:rPr>
          <w:i/>
          <w:color w:val="231F20"/>
          <w:spacing w:val="19"/>
          <w:sz w:val="20"/>
        </w:rPr>
        <w:t> </w:t>
      </w:r>
      <w:r>
        <w:rPr>
          <w:i/>
          <w:color w:val="231F20"/>
          <w:sz w:val="20"/>
        </w:rPr>
        <w:t>maximum</w:t>
      </w:r>
      <w:r>
        <w:rPr>
          <w:i/>
          <w:color w:val="231F20"/>
          <w:spacing w:val="19"/>
          <w:sz w:val="20"/>
        </w:rPr>
        <w:t> </w:t>
      </w:r>
      <w:r>
        <w:rPr>
          <w:color w:val="231F20"/>
          <w:sz w:val="20"/>
        </w:rPr>
        <w:t>because</w:t>
      </w:r>
      <w:r>
        <w:rPr>
          <w:color w:val="231F20"/>
          <w:spacing w:val="19"/>
          <w:sz w:val="20"/>
        </w:rPr>
        <w:t> </w:t>
      </w:r>
      <w:r>
        <w:rPr>
          <w:color w:val="231F20"/>
          <w:sz w:val="20"/>
        </w:rPr>
        <w:t>their</w:t>
      </w:r>
      <w:r>
        <w:rPr>
          <w:color w:val="231F20"/>
          <w:spacing w:val="19"/>
          <w:sz w:val="20"/>
        </w:rPr>
        <w:t> </w:t>
      </w:r>
      <w:r>
        <w:rPr>
          <w:color w:val="231F20"/>
          <w:sz w:val="20"/>
        </w:rPr>
        <w:t>rate</w:t>
      </w:r>
      <w:r>
        <w:rPr>
          <w:color w:val="231F20"/>
          <w:spacing w:val="19"/>
          <w:sz w:val="20"/>
        </w:rPr>
        <w:t> </w:t>
      </w:r>
      <w:r>
        <w:rPr>
          <w:color w:val="231F20"/>
          <w:sz w:val="20"/>
        </w:rPr>
        <w:t>of</w:t>
      </w:r>
      <w:r>
        <w:rPr>
          <w:color w:val="231F20"/>
          <w:spacing w:val="19"/>
          <w:sz w:val="20"/>
        </w:rPr>
        <w:t> </w:t>
      </w:r>
      <w:r>
        <w:rPr>
          <w:color w:val="231F20"/>
          <w:sz w:val="20"/>
        </w:rPr>
        <w:t>transport</w:t>
      </w:r>
      <w:r>
        <w:rPr>
          <w:color w:val="231F20"/>
          <w:spacing w:val="19"/>
          <w:sz w:val="20"/>
        </w:rPr>
        <w:t> </w:t>
      </w:r>
      <w:r>
        <w:rPr>
          <w:color w:val="231F20"/>
          <w:sz w:val="20"/>
        </w:rPr>
        <w:t>is</w:t>
      </w:r>
    </w:p>
    <w:p>
      <w:pPr>
        <w:pStyle w:val="BodyText"/>
        <w:spacing w:line="249" w:lineRule="auto" w:before="10"/>
        <w:ind w:left="319" w:right="1077"/>
        <w:jc w:val="both"/>
      </w:pPr>
      <w:r>
        <w:rPr/>
        <w:br w:type="column"/>
      </w:r>
      <w:r>
        <w:rPr>
          <w:color w:val="231F20"/>
          <w:w w:val="105"/>
        </w:rPr>
        <w:t>The</w:t>
      </w:r>
      <w:r>
        <w:rPr>
          <w:color w:val="231F20"/>
          <w:spacing w:val="-16"/>
          <w:w w:val="105"/>
        </w:rPr>
        <w:t> </w:t>
      </w:r>
      <w:r>
        <w:rPr>
          <w:color w:val="231F20"/>
          <w:w w:val="105"/>
        </w:rPr>
        <w:t>rate</w:t>
      </w:r>
      <w:r>
        <w:rPr>
          <w:color w:val="231F20"/>
          <w:spacing w:val="-16"/>
          <w:w w:val="105"/>
        </w:rPr>
        <w:t> </w:t>
      </w:r>
      <w:r>
        <w:rPr>
          <w:color w:val="231F20"/>
          <w:w w:val="105"/>
        </w:rPr>
        <w:t>at</w:t>
      </w:r>
      <w:r>
        <w:rPr>
          <w:color w:val="231F20"/>
          <w:spacing w:val="-15"/>
          <w:w w:val="105"/>
        </w:rPr>
        <w:t> </w:t>
      </w:r>
      <w:r>
        <w:rPr>
          <w:color w:val="231F20"/>
          <w:w w:val="105"/>
        </w:rPr>
        <w:t>which</w:t>
      </w:r>
      <w:r>
        <w:rPr>
          <w:color w:val="231F20"/>
          <w:spacing w:val="-15"/>
          <w:w w:val="105"/>
        </w:rPr>
        <w:t> </w:t>
      </w:r>
      <w:r>
        <w:rPr>
          <w:color w:val="231F20"/>
          <w:w w:val="105"/>
        </w:rPr>
        <w:t>this</w:t>
      </w:r>
      <w:r>
        <w:rPr>
          <w:color w:val="231F20"/>
          <w:spacing w:val="-16"/>
          <w:w w:val="105"/>
        </w:rPr>
        <w:t> </w:t>
      </w:r>
      <w:r>
        <w:rPr>
          <w:color w:val="231F20"/>
          <w:w w:val="105"/>
        </w:rPr>
        <w:t>backleak</w:t>
      </w:r>
      <w:r>
        <w:rPr>
          <w:color w:val="231F20"/>
          <w:spacing w:val="-15"/>
          <w:w w:val="105"/>
        </w:rPr>
        <w:t> </w:t>
      </w:r>
      <w:r>
        <w:rPr>
          <w:color w:val="231F20"/>
          <w:w w:val="105"/>
        </w:rPr>
        <w:t>occurs</w:t>
      </w:r>
      <w:r>
        <w:rPr>
          <w:color w:val="231F20"/>
          <w:spacing w:val="-16"/>
          <w:w w:val="105"/>
        </w:rPr>
        <w:t> </w:t>
      </w:r>
      <w:r>
        <w:rPr>
          <w:color w:val="231F20"/>
          <w:w w:val="105"/>
        </w:rPr>
        <w:t>depends</w:t>
      </w:r>
      <w:r>
        <w:rPr>
          <w:color w:val="231F20"/>
          <w:spacing w:val="-16"/>
          <w:w w:val="105"/>
        </w:rPr>
        <w:t> </w:t>
      </w:r>
      <w:r>
        <w:rPr>
          <w:color w:val="231F20"/>
          <w:w w:val="105"/>
        </w:rPr>
        <w:t>on</w:t>
      </w:r>
      <w:r>
        <w:rPr>
          <w:color w:val="231F20"/>
          <w:spacing w:val="-16"/>
          <w:w w:val="105"/>
        </w:rPr>
        <w:t> </w:t>
      </w:r>
      <w:r>
        <w:rPr>
          <w:color w:val="231F20"/>
          <w:w w:val="105"/>
        </w:rPr>
        <w:t>(1)</w:t>
      </w:r>
      <w:r>
        <w:rPr>
          <w:color w:val="231F20"/>
          <w:spacing w:val="-16"/>
          <w:w w:val="105"/>
        </w:rPr>
        <w:t> </w:t>
      </w:r>
      <w:r>
        <w:rPr>
          <w:color w:val="231F20"/>
          <w:w w:val="105"/>
        </w:rPr>
        <w:t>the permeability</w:t>
      </w:r>
      <w:r>
        <w:rPr>
          <w:color w:val="231F20"/>
          <w:spacing w:val="-7"/>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tight</w:t>
      </w:r>
      <w:r>
        <w:rPr>
          <w:color w:val="231F20"/>
          <w:spacing w:val="-6"/>
          <w:w w:val="105"/>
        </w:rPr>
        <w:t> </w:t>
      </w:r>
      <w:r>
        <w:rPr>
          <w:color w:val="231F20"/>
          <w:w w:val="105"/>
        </w:rPr>
        <w:t>junctions</w:t>
      </w:r>
      <w:r>
        <w:rPr>
          <w:color w:val="231F20"/>
          <w:spacing w:val="-6"/>
          <w:w w:val="105"/>
        </w:rPr>
        <w:t> </w:t>
      </w:r>
      <w:r>
        <w:rPr>
          <w:color w:val="231F20"/>
          <w:w w:val="105"/>
        </w:rPr>
        <w:t>and</w:t>
      </w:r>
      <w:r>
        <w:rPr>
          <w:color w:val="231F20"/>
          <w:spacing w:val="-6"/>
          <w:w w:val="105"/>
        </w:rPr>
        <w:t> </w:t>
      </w:r>
      <w:r>
        <w:rPr>
          <w:color w:val="231F20"/>
          <w:w w:val="105"/>
        </w:rPr>
        <w:t>(2)</w:t>
      </w:r>
      <w:r>
        <w:rPr>
          <w:color w:val="231F20"/>
          <w:spacing w:val="-7"/>
          <w:w w:val="105"/>
        </w:rPr>
        <w:t> </w:t>
      </w:r>
      <w:r>
        <w:rPr>
          <w:color w:val="231F20"/>
          <w:w w:val="105"/>
        </w:rPr>
        <w:t>the</w:t>
      </w:r>
      <w:r>
        <w:rPr>
          <w:color w:val="231F20"/>
          <w:spacing w:val="-6"/>
          <w:w w:val="105"/>
        </w:rPr>
        <w:t> </w:t>
      </w:r>
      <w:r>
        <w:rPr>
          <w:color w:val="231F20"/>
          <w:w w:val="105"/>
        </w:rPr>
        <w:t>interstitial physical forces, which determine the rate of bulk flow reabsorption from the interstitial fluid into the</w:t>
      </w:r>
      <w:r>
        <w:rPr>
          <w:color w:val="231F20"/>
          <w:spacing w:val="-12"/>
          <w:w w:val="105"/>
        </w:rPr>
        <w:t> </w:t>
      </w:r>
      <w:r>
        <w:rPr>
          <w:color w:val="231F20"/>
          <w:w w:val="105"/>
        </w:rPr>
        <w:t>peritubu- lar capillaries. Therefore, sodium transport in the </w:t>
      </w:r>
      <w:r>
        <w:rPr>
          <w:color w:val="231F20"/>
          <w:spacing w:val="-3"/>
          <w:w w:val="105"/>
        </w:rPr>
        <w:t>proxi- </w:t>
      </w:r>
      <w:r>
        <w:rPr>
          <w:color w:val="231F20"/>
          <w:w w:val="105"/>
        </w:rPr>
        <w:t>mal tubules obeys mainly gradient-time transport principles rather than tubular maximum</w:t>
      </w:r>
      <w:r>
        <w:rPr>
          <w:color w:val="231F20"/>
          <w:spacing w:val="3"/>
          <w:w w:val="105"/>
        </w:rPr>
        <w:t> </w:t>
      </w:r>
      <w:r>
        <w:rPr>
          <w:color w:val="231F20"/>
          <w:w w:val="105"/>
        </w:rPr>
        <w:t>transport</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482"/>
          <w:footerReference w:type="even" r:id="rId483"/>
          <w:footerReference w:type="default" r:id="rId484"/>
          <w:pgSz w:w="12240" w:h="15660"/>
          <w:pgMar w:header="0" w:footer="567" w:top="720" w:bottom="760" w:left="0" w:right="0"/>
          <w:pgNumType w:start="352"/>
        </w:sectPr>
      </w:pPr>
    </w:p>
    <w:p>
      <w:pPr>
        <w:pStyle w:val="BodyText"/>
        <w:spacing w:line="249" w:lineRule="auto" w:before="99"/>
        <w:ind w:left="1080"/>
        <w:jc w:val="both"/>
      </w:pPr>
      <w:r>
        <w:rPr>
          <w:color w:val="231F20"/>
          <w:w w:val="105"/>
        </w:rPr>
        <w:t>characteristics. This observation means that the </w:t>
      </w:r>
      <w:r>
        <w:rPr>
          <w:color w:val="231F20"/>
          <w:spacing w:val="-3"/>
          <w:w w:val="105"/>
        </w:rPr>
        <w:t>greater </w:t>
      </w:r>
      <w:r>
        <w:rPr>
          <w:color w:val="231F20"/>
          <w:w w:val="105"/>
        </w:rPr>
        <w:t>the concentration of sodium in the proximal tubules,</w:t>
      </w:r>
      <w:r>
        <w:rPr>
          <w:color w:val="231F20"/>
          <w:spacing w:val="-29"/>
          <w:w w:val="105"/>
        </w:rPr>
        <w:t> </w:t>
      </w:r>
      <w:r>
        <w:rPr>
          <w:color w:val="231F20"/>
          <w:spacing w:val="-5"/>
          <w:w w:val="105"/>
        </w:rPr>
        <w:t>the </w:t>
      </w:r>
      <w:r>
        <w:rPr>
          <w:color w:val="231F20"/>
          <w:w w:val="105"/>
        </w:rPr>
        <w:t>greater</w:t>
      </w:r>
      <w:r>
        <w:rPr>
          <w:color w:val="231F20"/>
          <w:spacing w:val="-24"/>
          <w:w w:val="105"/>
        </w:rPr>
        <w:t> </w:t>
      </w:r>
      <w:r>
        <w:rPr>
          <w:color w:val="231F20"/>
          <w:w w:val="105"/>
        </w:rPr>
        <w:t>its</w:t>
      </w:r>
      <w:r>
        <w:rPr>
          <w:color w:val="231F20"/>
          <w:spacing w:val="-23"/>
          <w:w w:val="105"/>
        </w:rPr>
        <w:t> </w:t>
      </w:r>
      <w:r>
        <w:rPr>
          <w:color w:val="231F20"/>
          <w:w w:val="105"/>
        </w:rPr>
        <w:t>reabsorption</w:t>
      </w:r>
      <w:r>
        <w:rPr>
          <w:color w:val="231F20"/>
          <w:spacing w:val="-24"/>
          <w:w w:val="105"/>
        </w:rPr>
        <w:t> </w:t>
      </w:r>
      <w:r>
        <w:rPr>
          <w:color w:val="231F20"/>
          <w:w w:val="105"/>
        </w:rPr>
        <w:t>rate.</w:t>
      </w:r>
      <w:r>
        <w:rPr>
          <w:color w:val="231F20"/>
          <w:spacing w:val="-23"/>
          <w:w w:val="105"/>
        </w:rPr>
        <w:t> </w:t>
      </w:r>
      <w:r>
        <w:rPr>
          <w:color w:val="231F20"/>
          <w:w w:val="105"/>
        </w:rPr>
        <w:t>Also,</w:t>
      </w:r>
      <w:r>
        <w:rPr>
          <w:color w:val="231F20"/>
          <w:spacing w:val="-24"/>
          <w:w w:val="105"/>
        </w:rPr>
        <w:t> </w:t>
      </w:r>
      <w:r>
        <w:rPr>
          <w:color w:val="231F20"/>
          <w:w w:val="105"/>
        </w:rPr>
        <w:t>the</w:t>
      </w:r>
      <w:r>
        <w:rPr>
          <w:color w:val="231F20"/>
          <w:spacing w:val="-23"/>
          <w:w w:val="105"/>
        </w:rPr>
        <w:t> </w:t>
      </w:r>
      <w:r>
        <w:rPr>
          <w:color w:val="231F20"/>
          <w:w w:val="105"/>
        </w:rPr>
        <w:t>slower</w:t>
      </w:r>
      <w:r>
        <w:rPr>
          <w:color w:val="231F20"/>
          <w:spacing w:val="-23"/>
          <w:w w:val="105"/>
        </w:rPr>
        <w:t> </w:t>
      </w:r>
      <w:r>
        <w:rPr>
          <w:color w:val="231F20"/>
          <w:w w:val="105"/>
        </w:rPr>
        <w:t>the</w:t>
      </w:r>
      <w:r>
        <w:rPr>
          <w:color w:val="231F20"/>
          <w:spacing w:val="-24"/>
          <w:w w:val="105"/>
        </w:rPr>
        <w:t> </w:t>
      </w:r>
      <w:r>
        <w:rPr>
          <w:color w:val="231F20"/>
          <w:w w:val="105"/>
        </w:rPr>
        <w:t>flow</w:t>
      </w:r>
      <w:r>
        <w:rPr>
          <w:color w:val="231F20"/>
          <w:spacing w:val="-23"/>
          <w:w w:val="105"/>
        </w:rPr>
        <w:t> </w:t>
      </w:r>
      <w:r>
        <w:rPr>
          <w:color w:val="231F20"/>
          <w:spacing w:val="-4"/>
          <w:w w:val="105"/>
        </w:rPr>
        <w:t>rate </w:t>
      </w:r>
      <w:r>
        <w:rPr>
          <w:color w:val="231F20"/>
          <w:w w:val="105"/>
        </w:rPr>
        <w:t>of</w:t>
      </w:r>
      <w:r>
        <w:rPr>
          <w:color w:val="231F20"/>
          <w:spacing w:val="-14"/>
          <w:w w:val="105"/>
        </w:rPr>
        <w:t> </w:t>
      </w:r>
      <w:r>
        <w:rPr>
          <w:color w:val="231F20"/>
          <w:w w:val="105"/>
        </w:rPr>
        <w:t>tubular</w:t>
      </w:r>
      <w:r>
        <w:rPr>
          <w:color w:val="231F20"/>
          <w:spacing w:val="-14"/>
          <w:w w:val="105"/>
        </w:rPr>
        <w:t> </w:t>
      </w:r>
      <w:r>
        <w:rPr>
          <w:color w:val="231F20"/>
          <w:w w:val="105"/>
        </w:rPr>
        <w:t>fluid,</w:t>
      </w:r>
      <w:r>
        <w:rPr>
          <w:color w:val="231F20"/>
          <w:spacing w:val="-14"/>
          <w:w w:val="105"/>
        </w:rPr>
        <w:t> </w:t>
      </w:r>
      <w:r>
        <w:rPr>
          <w:color w:val="231F20"/>
          <w:w w:val="105"/>
        </w:rPr>
        <w:t>the</w:t>
      </w:r>
      <w:r>
        <w:rPr>
          <w:color w:val="231F20"/>
          <w:spacing w:val="-14"/>
          <w:w w:val="105"/>
        </w:rPr>
        <w:t> </w:t>
      </w:r>
      <w:r>
        <w:rPr>
          <w:color w:val="231F20"/>
          <w:w w:val="105"/>
        </w:rPr>
        <w:t>greater</w:t>
      </w:r>
      <w:r>
        <w:rPr>
          <w:color w:val="231F20"/>
          <w:spacing w:val="-14"/>
          <w:w w:val="105"/>
        </w:rPr>
        <w:t> </w:t>
      </w:r>
      <w:r>
        <w:rPr>
          <w:color w:val="231F20"/>
          <w:w w:val="105"/>
        </w:rPr>
        <w:t>the</w:t>
      </w:r>
      <w:r>
        <w:rPr>
          <w:color w:val="231F20"/>
          <w:spacing w:val="-14"/>
          <w:w w:val="105"/>
        </w:rPr>
        <w:t> </w:t>
      </w:r>
      <w:r>
        <w:rPr>
          <w:color w:val="231F20"/>
          <w:w w:val="105"/>
        </w:rPr>
        <w:t>percentage</w:t>
      </w:r>
      <w:r>
        <w:rPr>
          <w:color w:val="231F20"/>
          <w:spacing w:val="-14"/>
          <w:w w:val="105"/>
        </w:rPr>
        <w:t> </w:t>
      </w:r>
      <w:r>
        <w:rPr>
          <w:color w:val="231F20"/>
          <w:w w:val="105"/>
        </w:rPr>
        <w:t>of</w:t>
      </w:r>
      <w:r>
        <w:rPr>
          <w:color w:val="231F20"/>
          <w:spacing w:val="-14"/>
          <w:w w:val="105"/>
        </w:rPr>
        <w:t> </w:t>
      </w:r>
      <w:r>
        <w:rPr>
          <w:color w:val="231F20"/>
          <w:w w:val="105"/>
        </w:rPr>
        <w:t>sodium</w:t>
      </w:r>
      <w:r>
        <w:rPr>
          <w:color w:val="231F20"/>
          <w:spacing w:val="-13"/>
          <w:w w:val="105"/>
        </w:rPr>
        <w:t> </w:t>
      </w:r>
      <w:r>
        <w:rPr>
          <w:color w:val="231F20"/>
          <w:spacing w:val="-4"/>
          <w:w w:val="105"/>
        </w:rPr>
        <w:t>that </w:t>
      </w:r>
      <w:r>
        <w:rPr>
          <w:color w:val="231F20"/>
          <w:w w:val="105"/>
        </w:rPr>
        <w:t>can be reabsorbed from the proximal</w:t>
      </w:r>
      <w:r>
        <w:rPr>
          <w:color w:val="231F20"/>
          <w:spacing w:val="6"/>
          <w:w w:val="105"/>
        </w:rPr>
        <w:t> </w:t>
      </w:r>
      <w:r>
        <w:rPr>
          <w:color w:val="231F20"/>
          <w:w w:val="105"/>
        </w:rPr>
        <w:t>tubules.</w:t>
      </w:r>
    </w:p>
    <w:p>
      <w:pPr>
        <w:pStyle w:val="BodyText"/>
        <w:spacing w:line="249" w:lineRule="auto" w:before="5"/>
        <w:ind w:left="1080" w:firstLine="240"/>
        <w:jc w:val="both"/>
        <w:rPr>
          <w:i/>
        </w:rPr>
      </w:pPr>
      <w:r>
        <w:rPr/>
        <w:pict>
          <v:rect style="position:absolute;margin-left:0pt;margin-top:80.235962pt;width:36pt;height:24pt;mso-position-horizontal-relative:page;mso-position-vertical-relative:paragraph;z-index:252072960" filled="true" fillcolor="#e8dac8" stroked="false">
            <v:fill type="solid"/>
            <w10:wrap type="none"/>
          </v:rect>
        </w:pict>
      </w:r>
      <w:r>
        <w:rPr>
          <w:color w:val="231F20"/>
          <w:w w:val="105"/>
        </w:rPr>
        <w:t>In the more distal parts of the nephron, the epithelial cells have much tighter junctions and transport much smaller amounts of sodium. In these segments, sodium reabsorption exhibits a transport maximum similar to that for other actively transported substances. Further- more, this transport maximum can be increased by certain hormones, such as </w:t>
      </w:r>
      <w:r>
        <w:rPr>
          <w:i/>
          <w:color w:val="231F20"/>
          <w:w w:val="105"/>
        </w:rPr>
        <w:t>aldosterone.</w:t>
      </w:r>
    </w:p>
    <w:p>
      <w:pPr>
        <w:pStyle w:val="BodyText"/>
        <w:spacing w:before="1"/>
        <w:rPr>
          <w:i/>
          <w:sz w:val="31"/>
        </w:rPr>
      </w:pPr>
    </w:p>
    <w:p>
      <w:pPr>
        <w:pStyle w:val="Heading2"/>
        <w:spacing w:line="225" w:lineRule="auto"/>
        <w:ind w:left="1080" w:right="1086"/>
      </w:pPr>
      <w:r>
        <w:rPr>
          <w:color w:val="231F20"/>
          <w:w w:val="105"/>
        </w:rPr>
        <w:t>PASSIVE WATER REABSORPTION BY OSMOSIS IS COUPLED MAINLY TO SODIUM REABSORPTION</w:t>
      </w:r>
    </w:p>
    <w:p>
      <w:pPr>
        <w:pStyle w:val="BodyText"/>
        <w:spacing w:line="249" w:lineRule="auto" w:before="128"/>
        <w:ind w:left="1080"/>
        <w:jc w:val="both"/>
      </w:pPr>
      <w:r>
        <w:rPr>
          <w:color w:val="231F20"/>
          <w:w w:val="105"/>
        </w:rPr>
        <w:t>When solutes are transported out of the tubule by </w:t>
      </w:r>
      <w:r>
        <w:rPr>
          <w:color w:val="231F20"/>
          <w:spacing w:val="-4"/>
          <w:w w:val="105"/>
        </w:rPr>
        <w:t>either </w:t>
      </w:r>
      <w:r>
        <w:rPr>
          <w:color w:val="231F20"/>
          <w:w w:val="105"/>
        </w:rPr>
        <w:t>primary or secondary active transport, their </w:t>
      </w:r>
      <w:r>
        <w:rPr>
          <w:color w:val="231F20"/>
          <w:spacing w:val="-3"/>
          <w:w w:val="105"/>
        </w:rPr>
        <w:t>concentra- </w:t>
      </w:r>
      <w:r>
        <w:rPr>
          <w:color w:val="231F20"/>
          <w:w w:val="105"/>
        </w:rPr>
        <w:t>tions tend to decrease inside the tubule while</w:t>
      </w:r>
      <w:r>
        <w:rPr>
          <w:color w:val="231F20"/>
          <w:spacing w:val="-25"/>
          <w:w w:val="105"/>
        </w:rPr>
        <w:t> </w:t>
      </w:r>
      <w:r>
        <w:rPr>
          <w:color w:val="231F20"/>
          <w:w w:val="105"/>
        </w:rPr>
        <w:t>increasing in</w:t>
      </w:r>
      <w:r>
        <w:rPr>
          <w:color w:val="231F20"/>
          <w:spacing w:val="-15"/>
          <w:w w:val="105"/>
        </w:rPr>
        <w:t> </w:t>
      </w:r>
      <w:r>
        <w:rPr>
          <w:color w:val="231F20"/>
          <w:w w:val="105"/>
        </w:rPr>
        <w:t>the</w:t>
      </w:r>
      <w:r>
        <w:rPr>
          <w:color w:val="231F20"/>
          <w:spacing w:val="-15"/>
          <w:w w:val="105"/>
        </w:rPr>
        <w:t> </w:t>
      </w:r>
      <w:r>
        <w:rPr>
          <w:color w:val="231F20"/>
          <w:w w:val="105"/>
        </w:rPr>
        <w:t>renal</w:t>
      </w:r>
      <w:r>
        <w:rPr>
          <w:color w:val="231F20"/>
          <w:spacing w:val="-14"/>
          <w:w w:val="105"/>
        </w:rPr>
        <w:t> </w:t>
      </w:r>
      <w:r>
        <w:rPr>
          <w:color w:val="231F20"/>
          <w:w w:val="105"/>
        </w:rPr>
        <w:t>interstitium.</w:t>
      </w:r>
      <w:r>
        <w:rPr>
          <w:color w:val="231F20"/>
          <w:spacing w:val="-15"/>
          <w:w w:val="105"/>
        </w:rPr>
        <w:t> </w:t>
      </w:r>
      <w:r>
        <w:rPr>
          <w:color w:val="231F20"/>
          <w:w w:val="105"/>
        </w:rPr>
        <w:t>This</w:t>
      </w:r>
      <w:r>
        <w:rPr>
          <w:color w:val="231F20"/>
          <w:spacing w:val="-14"/>
          <w:w w:val="105"/>
        </w:rPr>
        <w:t> </w:t>
      </w:r>
      <w:r>
        <w:rPr>
          <w:color w:val="231F20"/>
          <w:w w:val="105"/>
        </w:rPr>
        <w:t>phenomenon</w:t>
      </w:r>
      <w:r>
        <w:rPr>
          <w:color w:val="231F20"/>
          <w:spacing w:val="-15"/>
          <w:w w:val="105"/>
        </w:rPr>
        <w:t> </w:t>
      </w:r>
      <w:r>
        <w:rPr>
          <w:color w:val="231F20"/>
          <w:w w:val="105"/>
        </w:rPr>
        <w:t>creates</w:t>
      </w:r>
      <w:r>
        <w:rPr>
          <w:color w:val="231F20"/>
          <w:spacing w:val="-15"/>
          <w:w w:val="105"/>
        </w:rPr>
        <w:t> </w:t>
      </w:r>
      <w:r>
        <w:rPr>
          <w:color w:val="231F20"/>
          <w:w w:val="105"/>
        </w:rPr>
        <w:t>a</w:t>
      </w:r>
      <w:r>
        <w:rPr>
          <w:color w:val="231F20"/>
          <w:spacing w:val="-14"/>
          <w:w w:val="105"/>
        </w:rPr>
        <w:t> </w:t>
      </w:r>
      <w:r>
        <w:rPr>
          <w:color w:val="231F20"/>
          <w:w w:val="105"/>
        </w:rPr>
        <w:t>con- centration</w:t>
      </w:r>
      <w:r>
        <w:rPr>
          <w:color w:val="231F20"/>
          <w:spacing w:val="-5"/>
          <w:w w:val="105"/>
        </w:rPr>
        <w:t> </w:t>
      </w:r>
      <w:r>
        <w:rPr>
          <w:color w:val="231F20"/>
          <w:w w:val="105"/>
        </w:rPr>
        <w:t>difference</w:t>
      </w:r>
      <w:r>
        <w:rPr>
          <w:color w:val="231F20"/>
          <w:spacing w:val="-5"/>
          <w:w w:val="105"/>
        </w:rPr>
        <w:t> </w:t>
      </w:r>
      <w:r>
        <w:rPr>
          <w:color w:val="231F20"/>
          <w:w w:val="105"/>
        </w:rPr>
        <w:t>that</w:t>
      </w:r>
      <w:r>
        <w:rPr>
          <w:color w:val="231F20"/>
          <w:spacing w:val="-5"/>
          <w:w w:val="105"/>
        </w:rPr>
        <w:t> </w:t>
      </w:r>
      <w:r>
        <w:rPr>
          <w:color w:val="231F20"/>
          <w:w w:val="105"/>
        </w:rPr>
        <w:t>causes</w:t>
      </w:r>
      <w:r>
        <w:rPr>
          <w:color w:val="231F20"/>
          <w:spacing w:val="-5"/>
          <w:w w:val="105"/>
        </w:rPr>
        <w:t> </w:t>
      </w:r>
      <w:r>
        <w:rPr>
          <w:color w:val="231F20"/>
          <w:w w:val="105"/>
        </w:rPr>
        <w:t>osmosis</w:t>
      </w:r>
      <w:r>
        <w:rPr>
          <w:color w:val="231F20"/>
          <w:spacing w:val="-5"/>
          <w:w w:val="105"/>
        </w:rPr>
        <w:t> </w:t>
      </w:r>
      <w:r>
        <w:rPr>
          <w:color w:val="231F20"/>
          <w:w w:val="105"/>
        </w:rPr>
        <w:t>of</w:t>
      </w:r>
      <w:r>
        <w:rPr>
          <w:color w:val="231F20"/>
          <w:spacing w:val="-5"/>
          <w:w w:val="105"/>
        </w:rPr>
        <w:t> </w:t>
      </w:r>
      <w:r>
        <w:rPr>
          <w:color w:val="231F20"/>
          <w:w w:val="105"/>
        </w:rPr>
        <w:t>water</w:t>
      </w:r>
      <w:r>
        <w:rPr>
          <w:color w:val="231F20"/>
          <w:spacing w:val="-5"/>
          <w:w w:val="105"/>
        </w:rPr>
        <w:t> </w:t>
      </w:r>
      <w:r>
        <w:rPr>
          <w:color w:val="231F20"/>
          <w:w w:val="105"/>
        </w:rPr>
        <w:t>in</w:t>
      </w:r>
      <w:r>
        <w:rPr>
          <w:color w:val="231F20"/>
          <w:spacing w:val="-5"/>
          <w:w w:val="105"/>
        </w:rPr>
        <w:t> </w:t>
      </w:r>
      <w:r>
        <w:rPr>
          <w:color w:val="231F20"/>
          <w:w w:val="105"/>
        </w:rPr>
        <w:t>the same direction that the solutes are transported, from the tubular lumen to the renal interstitium. Some parts </w:t>
      </w:r>
      <w:r>
        <w:rPr>
          <w:color w:val="231F20"/>
          <w:spacing w:val="-6"/>
          <w:w w:val="105"/>
        </w:rPr>
        <w:t>of </w:t>
      </w:r>
      <w:r>
        <w:rPr>
          <w:color w:val="231F20"/>
          <w:w w:val="105"/>
        </w:rPr>
        <w:t>the</w:t>
      </w:r>
      <w:r>
        <w:rPr>
          <w:color w:val="231F20"/>
          <w:spacing w:val="-27"/>
          <w:w w:val="105"/>
        </w:rPr>
        <w:t> </w:t>
      </w:r>
      <w:r>
        <w:rPr>
          <w:color w:val="231F20"/>
          <w:w w:val="105"/>
        </w:rPr>
        <w:t>renal</w:t>
      </w:r>
      <w:r>
        <w:rPr>
          <w:color w:val="231F20"/>
          <w:spacing w:val="-27"/>
          <w:w w:val="105"/>
        </w:rPr>
        <w:t> </w:t>
      </w:r>
      <w:r>
        <w:rPr>
          <w:color w:val="231F20"/>
          <w:w w:val="105"/>
        </w:rPr>
        <w:t>tubule,</w:t>
      </w:r>
      <w:r>
        <w:rPr>
          <w:color w:val="231F20"/>
          <w:spacing w:val="-26"/>
          <w:w w:val="105"/>
        </w:rPr>
        <w:t> </w:t>
      </w:r>
      <w:r>
        <w:rPr>
          <w:color w:val="231F20"/>
          <w:w w:val="105"/>
        </w:rPr>
        <w:t>especially</w:t>
      </w:r>
      <w:r>
        <w:rPr>
          <w:color w:val="231F20"/>
          <w:spacing w:val="-27"/>
          <w:w w:val="105"/>
        </w:rPr>
        <w:t> </w:t>
      </w:r>
      <w:r>
        <w:rPr>
          <w:color w:val="231F20"/>
          <w:w w:val="105"/>
        </w:rPr>
        <w:t>the</w:t>
      </w:r>
      <w:r>
        <w:rPr>
          <w:color w:val="231F20"/>
          <w:spacing w:val="-26"/>
          <w:w w:val="105"/>
        </w:rPr>
        <w:t> </w:t>
      </w:r>
      <w:r>
        <w:rPr>
          <w:color w:val="231F20"/>
          <w:w w:val="105"/>
        </w:rPr>
        <w:t>proximal</w:t>
      </w:r>
      <w:r>
        <w:rPr>
          <w:color w:val="231F20"/>
          <w:spacing w:val="-27"/>
          <w:w w:val="105"/>
        </w:rPr>
        <w:t> </w:t>
      </w:r>
      <w:r>
        <w:rPr>
          <w:color w:val="231F20"/>
          <w:w w:val="105"/>
        </w:rPr>
        <w:t>tubule,</w:t>
      </w:r>
      <w:r>
        <w:rPr>
          <w:color w:val="231F20"/>
          <w:spacing w:val="-26"/>
          <w:w w:val="105"/>
        </w:rPr>
        <w:t> </w:t>
      </w:r>
      <w:r>
        <w:rPr>
          <w:color w:val="231F20"/>
          <w:w w:val="105"/>
        </w:rPr>
        <w:t>are</w:t>
      </w:r>
      <w:r>
        <w:rPr>
          <w:color w:val="231F20"/>
          <w:spacing w:val="-27"/>
          <w:w w:val="105"/>
        </w:rPr>
        <w:t> </w:t>
      </w:r>
      <w:r>
        <w:rPr>
          <w:color w:val="231F20"/>
          <w:spacing w:val="-3"/>
          <w:w w:val="105"/>
        </w:rPr>
        <w:t>highly </w:t>
      </w:r>
      <w:r>
        <w:rPr>
          <w:color w:val="231F20"/>
          <w:w w:val="105"/>
        </w:rPr>
        <w:t>permeable to </w:t>
      </w:r>
      <w:r>
        <w:rPr>
          <w:color w:val="231F20"/>
          <w:spacing w:val="-3"/>
          <w:w w:val="105"/>
        </w:rPr>
        <w:t>water, </w:t>
      </w:r>
      <w:r>
        <w:rPr>
          <w:color w:val="231F20"/>
          <w:w w:val="105"/>
        </w:rPr>
        <w:t>and water reabsorption occurs so rapidly that there is only a small concentration gradient for solutes across the tubular</w:t>
      </w:r>
      <w:r>
        <w:rPr>
          <w:color w:val="231F20"/>
          <w:spacing w:val="10"/>
          <w:w w:val="105"/>
        </w:rPr>
        <w:t> </w:t>
      </w:r>
      <w:r>
        <w:rPr>
          <w:color w:val="231F20"/>
          <w:w w:val="105"/>
        </w:rPr>
        <w:t>membrane.</w:t>
      </w:r>
    </w:p>
    <w:p>
      <w:pPr>
        <w:pStyle w:val="BodyText"/>
        <w:spacing w:line="249" w:lineRule="auto" w:before="8"/>
        <w:ind w:left="1080" w:firstLine="240"/>
        <w:jc w:val="both"/>
      </w:pPr>
      <w:r>
        <w:rPr>
          <w:color w:val="231F20"/>
        </w:rPr>
        <w:t>A large part of the osmotic flow of water in the proxi- mal tubules occurs through the so-called </w:t>
      </w:r>
      <w:r>
        <w:rPr>
          <w:i/>
          <w:color w:val="231F20"/>
        </w:rPr>
        <w:t>tight junctions </w:t>
      </w:r>
      <w:r>
        <w:rPr>
          <w:color w:val="231F20"/>
        </w:rPr>
        <w:t>between the epithelial cells, as well as through the cells themselves. The reason for this situation, as already dis- cussed, is that the junctions between the cells are not as tight as their name would imply and permit significant diffusion of water and small ions. This condition is espe- cially true in the proximal tubules, which have a high permeability for water and a smaller but significant per- meability to most ions, such as sodium, chloride, potas- sium, calcium, and magnesium.</w:t>
      </w:r>
    </w:p>
    <w:p>
      <w:pPr>
        <w:pStyle w:val="BodyText"/>
        <w:spacing w:line="249" w:lineRule="auto" w:before="9"/>
        <w:ind w:left="1080" w:firstLine="240"/>
        <w:jc w:val="both"/>
      </w:pPr>
      <w:r>
        <w:rPr>
          <w:color w:val="231F20"/>
          <w:w w:val="105"/>
        </w:rPr>
        <w:t>As</w:t>
      </w:r>
      <w:r>
        <w:rPr>
          <w:color w:val="231F20"/>
          <w:spacing w:val="-15"/>
          <w:w w:val="105"/>
        </w:rPr>
        <w:t> </w:t>
      </w:r>
      <w:r>
        <w:rPr>
          <w:color w:val="231F20"/>
          <w:w w:val="105"/>
        </w:rPr>
        <w:t>water</w:t>
      </w:r>
      <w:r>
        <w:rPr>
          <w:color w:val="231F20"/>
          <w:spacing w:val="-15"/>
          <w:w w:val="105"/>
        </w:rPr>
        <w:t> </w:t>
      </w:r>
      <w:r>
        <w:rPr>
          <w:color w:val="231F20"/>
          <w:w w:val="105"/>
        </w:rPr>
        <w:t>moves</w:t>
      </w:r>
      <w:r>
        <w:rPr>
          <w:color w:val="231F20"/>
          <w:spacing w:val="-15"/>
          <w:w w:val="105"/>
        </w:rPr>
        <w:t> </w:t>
      </w:r>
      <w:r>
        <w:rPr>
          <w:color w:val="231F20"/>
          <w:w w:val="105"/>
        </w:rPr>
        <w:t>across</w:t>
      </w:r>
      <w:r>
        <w:rPr>
          <w:color w:val="231F20"/>
          <w:spacing w:val="-14"/>
          <w:w w:val="105"/>
        </w:rPr>
        <w:t> </w:t>
      </w:r>
      <w:r>
        <w:rPr>
          <w:color w:val="231F20"/>
          <w:w w:val="105"/>
        </w:rPr>
        <w:t>the</w:t>
      </w:r>
      <w:r>
        <w:rPr>
          <w:color w:val="231F20"/>
          <w:spacing w:val="-15"/>
          <w:w w:val="105"/>
        </w:rPr>
        <w:t> </w:t>
      </w:r>
      <w:r>
        <w:rPr>
          <w:color w:val="231F20"/>
          <w:w w:val="105"/>
        </w:rPr>
        <w:t>tight</w:t>
      </w:r>
      <w:r>
        <w:rPr>
          <w:color w:val="231F20"/>
          <w:spacing w:val="-15"/>
          <w:w w:val="105"/>
        </w:rPr>
        <w:t> </w:t>
      </w:r>
      <w:r>
        <w:rPr>
          <w:color w:val="231F20"/>
          <w:w w:val="105"/>
        </w:rPr>
        <w:t>junctions</w:t>
      </w:r>
      <w:r>
        <w:rPr>
          <w:color w:val="231F20"/>
          <w:spacing w:val="-14"/>
          <w:w w:val="105"/>
        </w:rPr>
        <w:t> </w:t>
      </w:r>
      <w:r>
        <w:rPr>
          <w:color w:val="231F20"/>
          <w:w w:val="105"/>
        </w:rPr>
        <w:t>by</w:t>
      </w:r>
      <w:r>
        <w:rPr>
          <w:color w:val="231F20"/>
          <w:spacing w:val="-15"/>
          <w:w w:val="105"/>
        </w:rPr>
        <w:t> </w:t>
      </w:r>
      <w:r>
        <w:rPr>
          <w:color w:val="231F20"/>
          <w:w w:val="105"/>
        </w:rPr>
        <w:t>osmosis, it can also carry with it some of the solutes, a </w:t>
      </w:r>
      <w:r>
        <w:rPr>
          <w:color w:val="231F20"/>
          <w:spacing w:val="-3"/>
          <w:w w:val="105"/>
        </w:rPr>
        <w:t>process </w:t>
      </w:r>
      <w:r>
        <w:rPr>
          <w:color w:val="231F20"/>
          <w:w w:val="105"/>
        </w:rPr>
        <w:t>referred</w:t>
      </w:r>
      <w:r>
        <w:rPr>
          <w:color w:val="231F20"/>
          <w:spacing w:val="-13"/>
          <w:w w:val="105"/>
        </w:rPr>
        <w:t> </w:t>
      </w:r>
      <w:r>
        <w:rPr>
          <w:color w:val="231F20"/>
          <w:w w:val="105"/>
        </w:rPr>
        <w:t>to</w:t>
      </w:r>
      <w:r>
        <w:rPr>
          <w:color w:val="231F20"/>
          <w:spacing w:val="-13"/>
          <w:w w:val="105"/>
        </w:rPr>
        <w:t> </w:t>
      </w:r>
      <w:r>
        <w:rPr>
          <w:color w:val="231F20"/>
          <w:w w:val="105"/>
        </w:rPr>
        <w:t>as</w:t>
      </w:r>
      <w:r>
        <w:rPr>
          <w:color w:val="231F20"/>
          <w:spacing w:val="-13"/>
          <w:w w:val="105"/>
        </w:rPr>
        <w:t> </w:t>
      </w:r>
      <w:r>
        <w:rPr>
          <w:i/>
          <w:color w:val="231F20"/>
          <w:w w:val="105"/>
        </w:rPr>
        <w:t>solvent</w:t>
      </w:r>
      <w:r>
        <w:rPr>
          <w:i/>
          <w:color w:val="231F20"/>
          <w:spacing w:val="-13"/>
          <w:w w:val="105"/>
        </w:rPr>
        <w:t> </w:t>
      </w:r>
      <w:r>
        <w:rPr>
          <w:i/>
          <w:color w:val="231F20"/>
          <w:w w:val="105"/>
        </w:rPr>
        <w:t>drag</w:t>
      </w:r>
      <w:r>
        <w:rPr>
          <w:color w:val="231F20"/>
          <w:w w:val="105"/>
        </w:rPr>
        <w:t>.</w:t>
      </w:r>
      <w:r>
        <w:rPr>
          <w:color w:val="231F20"/>
          <w:spacing w:val="-13"/>
          <w:w w:val="105"/>
        </w:rPr>
        <w:t> </w:t>
      </w:r>
      <w:r>
        <w:rPr>
          <w:color w:val="231F20"/>
          <w:w w:val="105"/>
        </w:rPr>
        <w:t>In</w:t>
      </w:r>
      <w:r>
        <w:rPr>
          <w:color w:val="231F20"/>
          <w:spacing w:val="-13"/>
          <w:w w:val="105"/>
        </w:rPr>
        <w:t> </w:t>
      </w:r>
      <w:r>
        <w:rPr>
          <w:color w:val="231F20"/>
          <w:w w:val="105"/>
        </w:rPr>
        <w:t>addition,</w:t>
      </w:r>
      <w:r>
        <w:rPr>
          <w:color w:val="231F20"/>
          <w:spacing w:val="-13"/>
          <w:w w:val="105"/>
        </w:rPr>
        <w:t> </w:t>
      </w:r>
      <w:r>
        <w:rPr>
          <w:color w:val="231F20"/>
          <w:w w:val="105"/>
        </w:rPr>
        <w:t>because</w:t>
      </w:r>
      <w:r>
        <w:rPr>
          <w:color w:val="231F20"/>
          <w:spacing w:val="-13"/>
          <w:w w:val="105"/>
        </w:rPr>
        <w:t> </w:t>
      </w:r>
      <w:r>
        <w:rPr>
          <w:color w:val="231F20"/>
          <w:w w:val="105"/>
        </w:rPr>
        <w:t>the</w:t>
      </w:r>
      <w:r>
        <w:rPr>
          <w:color w:val="231F20"/>
          <w:spacing w:val="-13"/>
          <w:w w:val="105"/>
        </w:rPr>
        <w:t> </w:t>
      </w:r>
      <w:r>
        <w:rPr>
          <w:color w:val="231F20"/>
          <w:w w:val="105"/>
        </w:rPr>
        <w:t>reab- sorption</w:t>
      </w:r>
      <w:r>
        <w:rPr>
          <w:color w:val="231F20"/>
          <w:spacing w:val="-5"/>
          <w:w w:val="105"/>
        </w:rPr>
        <w:t> </w:t>
      </w:r>
      <w:r>
        <w:rPr>
          <w:color w:val="231F20"/>
          <w:w w:val="105"/>
        </w:rPr>
        <w:t>of</w:t>
      </w:r>
      <w:r>
        <w:rPr>
          <w:color w:val="231F20"/>
          <w:spacing w:val="-5"/>
          <w:w w:val="105"/>
        </w:rPr>
        <w:t> </w:t>
      </w:r>
      <w:r>
        <w:rPr>
          <w:color w:val="231F20"/>
          <w:spacing w:val="-3"/>
          <w:w w:val="105"/>
        </w:rPr>
        <w:t>water,</w:t>
      </w:r>
      <w:r>
        <w:rPr>
          <w:color w:val="231F20"/>
          <w:spacing w:val="-5"/>
          <w:w w:val="105"/>
        </w:rPr>
        <w:t> </w:t>
      </w:r>
      <w:r>
        <w:rPr>
          <w:color w:val="231F20"/>
          <w:w w:val="105"/>
        </w:rPr>
        <w:t>organic</w:t>
      </w:r>
      <w:r>
        <w:rPr>
          <w:color w:val="231F20"/>
          <w:spacing w:val="-5"/>
          <w:w w:val="105"/>
        </w:rPr>
        <w:t> </w:t>
      </w:r>
      <w:r>
        <w:rPr>
          <w:color w:val="231F20"/>
          <w:w w:val="105"/>
        </w:rPr>
        <w:t>solutes,</w:t>
      </w:r>
      <w:r>
        <w:rPr>
          <w:color w:val="231F20"/>
          <w:spacing w:val="-5"/>
          <w:w w:val="105"/>
        </w:rPr>
        <w:t> </w:t>
      </w:r>
      <w:r>
        <w:rPr>
          <w:color w:val="231F20"/>
          <w:w w:val="105"/>
        </w:rPr>
        <w:t>and</w:t>
      </w:r>
      <w:r>
        <w:rPr>
          <w:color w:val="231F20"/>
          <w:spacing w:val="-5"/>
          <w:w w:val="105"/>
        </w:rPr>
        <w:t> </w:t>
      </w:r>
      <w:r>
        <w:rPr>
          <w:color w:val="231F20"/>
          <w:w w:val="105"/>
        </w:rPr>
        <w:t>ions</w:t>
      </w:r>
      <w:r>
        <w:rPr>
          <w:color w:val="231F20"/>
          <w:spacing w:val="-4"/>
          <w:w w:val="105"/>
        </w:rPr>
        <w:t> </w:t>
      </w:r>
      <w:r>
        <w:rPr>
          <w:color w:val="231F20"/>
          <w:w w:val="105"/>
        </w:rPr>
        <w:t>is</w:t>
      </w:r>
      <w:r>
        <w:rPr>
          <w:color w:val="231F20"/>
          <w:spacing w:val="-5"/>
          <w:w w:val="105"/>
        </w:rPr>
        <w:t> </w:t>
      </w:r>
      <w:r>
        <w:rPr>
          <w:color w:val="231F20"/>
          <w:w w:val="105"/>
        </w:rPr>
        <w:t>coupled</w:t>
      </w:r>
      <w:r>
        <w:rPr>
          <w:color w:val="231F20"/>
          <w:spacing w:val="-5"/>
          <w:w w:val="105"/>
        </w:rPr>
        <w:t> </w:t>
      </w:r>
      <w:r>
        <w:rPr>
          <w:color w:val="231F20"/>
          <w:spacing w:val="-8"/>
          <w:w w:val="105"/>
        </w:rPr>
        <w:t>to </w:t>
      </w:r>
      <w:r>
        <w:rPr>
          <w:color w:val="231F20"/>
          <w:w w:val="105"/>
        </w:rPr>
        <w:t>sodium reabsorption, changes in sodium reabsorption significantly influence the reabsorption of water </w:t>
      </w:r>
      <w:r>
        <w:rPr>
          <w:color w:val="231F20"/>
          <w:spacing w:val="-4"/>
          <w:w w:val="105"/>
        </w:rPr>
        <w:t>and </w:t>
      </w:r>
      <w:r>
        <w:rPr>
          <w:color w:val="231F20"/>
          <w:w w:val="105"/>
        </w:rPr>
        <w:t>many other</w:t>
      </w:r>
      <w:r>
        <w:rPr>
          <w:color w:val="231F20"/>
          <w:spacing w:val="6"/>
          <w:w w:val="105"/>
        </w:rPr>
        <w:t> </w:t>
      </w:r>
      <w:r>
        <w:rPr>
          <w:color w:val="231F20"/>
          <w:w w:val="105"/>
        </w:rPr>
        <w:t>solutes.</w:t>
      </w:r>
    </w:p>
    <w:p>
      <w:pPr>
        <w:pStyle w:val="BodyText"/>
        <w:spacing w:line="249" w:lineRule="auto" w:before="6"/>
        <w:ind w:left="1080" w:firstLine="240"/>
        <w:jc w:val="both"/>
      </w:pPr>
      <w:r>
        <w:rPr>
          <w:color w:val="231F20"/>
          <w:w w:val="105"/>
        </w:rPr>
        <w:t>In the more distal parts of the nephron, beginning in the loop of Henle and extending through the collecting tubule, the tight junctions become far less permeable  to water and solutes and the epithelial cells also </w:t>
      </w:r>
      <w:r>
        <w:rPr>
          <w:color w:val="231F20"/>
          <w:spacing w:val="-5"/>
          <w:w w:val="105"/>
        </w:rPr>
        <w:t>have    </w:t>
      </w:r>
      <w:r>
        <w:rPr>
          <w:color w:val="231F20"/>
          <w:w w:val="105"/>
        </w:rPr>
        <w:t>a greatly decreased membrane surface area. Therefore, water</w:t>
      </w:r>
      <w:r>
        <w:rPr>
          <w:color w:val="231F20"/>
          <w:spacing w:val="-16"/>
          <w:w w:val="105"/>
        </w:rPr>
        <w:t> </w:t>
      </w:r>
      <w:r>
        <w:rPr>
          <w:color w:val="231F20"/>
          <w:w w:val="105"/>
        </w:rPr>
        <w:t>cannot</w:t>
      </w:r>
      <w:r>
        <w:rPr>
          <w:color w:val="231F20"/>
          <w:spacing w:val="-16"/>
          <w:w w:val="105"/>
        </w:rPr>
        <w:t> </w:t>
      </w:r>
      <w:r>
        <w:rPr>
          <w:color w:val="231F20"/>
          <w:w w:val="105"/>
        </w:rPr>
        <w:t>move</w:t>
      </w:r>
      <w:r>
        <w:rPr>
          <w:color w:val="231F20"/>
          <w:spacing w:val="-15"/>
          <w:w w:val="105"/>
        </w:rPr>
        <w:t> </w:t>
      </w:r>
      <w:r>
        <w:rPr>
          <w:color w:val="231F20"/>
          <w:w w:val="105"/>
        </w:rPr>
        <w:t>easily</w:t>
      </w:r>
      <w:r>
        <w:rPr>
          <w:color w:val="231F20"/>
          <w:spacing w:val="-16"/>
          <w:w w:val="105"/>
        </w:rPr>
        <w:t> </w:t>
      </w:r>
      <w:r>
        <w:rPr>
          <w:color w:val="231F20"/>
          <w:w w:val="105"/>
        </w:rPr>
        <w:t>across</w:t>
      </w:r>
      <w:r>
        <w:rPr>
          <w:color w:val="231F20"/>
          <w:spacing w:val="-16"/>
          <w:w w:val="105"/>
        </w:rPr>
        <w:t> </w:t>
      </w:r>
      <w:r>
        <w:rPr>
          <w:color w:val="231F20"/>
          <w:w w:val="105"/>
        </w:rPr>
        <w:t>the</w:t>
      </w:r>
      <w:r>
        <w:rPr>
          <w:color w:val="231F20"/>
          <w:spacing w:val="-15"/>
          <w:w w:val="105"/>
        </w:rPr>
        <w:t> </w:t>
      </w:r>
      <w:r>
        <w:rPr>
          <w:color w:val="231F20"/>
          <w:w w:val="105"/>
        </w:rPr>
        <w:t>tight</w:t>
      </w:r>
      <w:r>
        <w:rPr>
          <w:color w:val="231F20"/>
          <w:spacing w:val="-15"/>
          <w:w w:val="105"/>
        </w:rPr>
        <w:t> </w:t>
      </w:r>
      <w:r>
        <w:rPr>
          <w:color w:val="231F20"/>
          <w:w w:val="105"/>
        </w:rPr>
        <w:t>junctions</w:t>
      </w:r>
      <w:r>
        <w:rPr>
          <w:color w:val="231F20"/>
          <w:spacing w:val="-16"/>
          <w:w w:val="105"/>
        </w:rPr>
        <w:t> </w:t>
      </w:r>
      <w:r>
        <w:rPr>
          <w:color w:val="231F20"/>
          <w:w w:val="105"/>
        </w:rPr>
        <w:t>of</w:t>
      </w:r>
      <w:r>
        <w:rPr>
          <w:color w:val="231F20"/>
          <w:spacing w:val="-16"/>
          <w:w w:val="105"/>
        </w:rPr>
        <w:t> </w:t>
      </w:r>
      <w:r>
        <w:rPr>
          <w:color w:val="231F20"/>
          <w:spacing w:val="-6"/>
          <w:w w:val="105"/>
        </w:rPr>
        <w:t>the </w:t>
      </w:r>
      <w:r>
        <w:rPr>
          <w:color w:val="231F20"/>
          <w:w w:val="105"/>
        </w:rPr>
        <w:t>tubular membrane by osmosis. However, </w:t>
      </w:r>
      <w:r>
        <w:rPr>
          <w:color w:val="231F20"/>
          <w:spacing w:val="-3"/>
          <w:w w:val="105"/>
        </w:rPr>
        <w:t>antidiuretic </w:t>
      </w:r>
      <w:r>
        <w:rPr>
          <w:color w:val="231F20"/>
          <w:w w:val="105"/>
        </w:rPr>
        <w:t>hormone</w:t>
      </w:r>
      <w:r>
        <w:rPr>
          <w:color w:val="231F20"/>
          <w:spacing w:val="-21"/>
          <w:w w:val="105"/>
        </w:rPr>
        <w:t> </w:t>
      </w:r>
      <w:r>
        <w:rPr>
          <w:color w:val="231F20"/>
          <w:w w:val="105"/>
        </w:rPr>
        <w:t>(ADH)</w:t>
      </w:r>
      <w:r>
        <w:rPr>
          <w:color w:val="231F20"/>
          <w:spacing w:val="-21"/>
          <w:w w:val="105"/>
        </w:rPr>
        <w:t> </w:t>
      </w:r>
      <w:r>
        <w:rPr>
          <w:color w:val="231F20"/>
          <w:w w:val="105"/>
        </w:rPr>
        <w:t>greatly</w:t>
      </w:r>
      <w:r>
        <w:rPr>
          <w:color w:val="231F20"/>
          <w:spacing w:val="-21"/>
          <w:w w:val="105"/>
        </w:rPr>
        <w:t> </w:t>
      </w:r>
      <w:r>
        <w:rPr>
          <w:color w:val="231F20"/>
          <w:w w:val="105"/>
        </w:rPr>
        <w:t>increases</w:t>
      </w:r>
      <w:r>
        <w:rPr>
          <w:color w:val="231F20"/>
          <w:spacing w:val="-21"/>
          <w:w w:val="105"/>
        </w:rPr>
        <w:t> </w:t>
      </w:r>
      <w:r>
        <w:rPr>
          <w:color w:val="231F20"/>
          <w:w w:val="105"/>
        </w:rPr>
        <w:t>the</w:t>
      </w:r>
      <w:r>
        <w:rPr>
          <w:color w:val="231F20"/>
          <w:spacing w:val="-21"/>
          <w:w w:val="105"/>
        </w:rPr>
        <w:t> </w:t>
      </w:r>
      <w:r>
        <w:rPr>
          <w:color w:val="231F20"/>
          <w:w w:val="105"/>
        </w:rPr>
        <w:t>water</w:t>
      </w:r>
      <w:r>
        <w:rPr>
          <w:color w:val="231F20"/>
          <w:spacing w:val="-20"/>
          <w:w w:val="105"/>
        </w:rPr>
        <w:t> </w:t>
      </w:r>
      <w:r>
        <w:rPr>
          <w:color w:val="231F20"/>
          <w:w w:val="105"/>
        </w:rPr>
        <w:t>permeability in the distal and collecting tubules, as discussed</w:t>
      </w:r>
      <w:r>
        <w:rPr>
          <w:color w:val="231F20"/>
          <w:spacing w:val="-33"/>
          <w:w w:val="105"/>
        </w:rPr>
        <w:t> </w:t>
      </w:r>
      <w:r>
        <w:rPr>
          <w:color w:val="231F20"/>
          <w:spacing w:val="-4"/>
          <w:w w:val="105"/>
        </w:rPr>
        <w:t>later.</w:t>
      </w:r>
    </w:p>
    <w:p>
      <w:pPr>
        <w:pStyle w:val="BodyText"/>
        <w:spacing w:line="249" w:lineRule="auto" w:before="7"/>
        <w:ind w:left="1080" w:firstLine="240"/>
        <w:jc w:val="both"/>
      </w:pPr>
      <w:r>
        <w:rPr>
          <w:color w:val="231F20"/>
          <w:w w:val="105"/>
        </w:rPr>
        <w:t>Thus, water movement across the tubular </w:t>
      </w:r>
      <w:r>
        <w:rPr>
          <w:color w:val="231F20"/>
          <w:spacing w:val="-3"/>
          <w:w w:val="105"/>
        </w:rPr>
        <w:t>epithelium </w:t>
      </w:r>
      <w:r>
        <w:rPr>
          <w:color w:val="231F20"/>
          <w:w w:val="105"/>
        </w:rPr>
        <w:t>can</w:t>
      </w:r>
      <w:r>
        <w:rPr>
          <w:color w:val="231F20"/>
          <w:spacing w:val="-15"/>
          <w:w w:val="105"/>
        </w:rPr>
        <w:t> </w:t>
      </w:r>
      <w:r>
        <w:rPr>
          <w:color w:val="231F20"/>
          <w:w w:val="105"/>
        </w:rPr>
        <w:t>occur</w:t>
      </w:r>
      <w:r>
        <w:rPr>
          <w:color w:val="231F20"/>
          <w:spacing w:val="-14"/>
          <w:w w:val="105"/>
        </w:rPr>
        <w:t> </w:t>
      </w:r>
      <w:r>
        <w:rPr>
          <w:color w:val="231F20"/>
          <w:w w:val="105"/>
        </w:rPr>
        <w:t>only</w:t>
      </w:r>
      <w:r>
        <w:rPr>
          <w:color w:val="231F20"/>
          <w:spacing w:val="-15"/>
          <w:w w:val="105"/>
        </w:rPr>
        <w:t> </w:t>
      </w:r>
      <w:r>
        <w:rPr>
          <w:color w:val="231F20"/>
          <w:w w:val="105"/>
        </w:rPr>
        <w:t>if</w:t>
      </w:r>
      <w:r>
        <w:rPr>
          <w:color w:val="231F20"/>
          <w:spacing w:val="-14"/>
          <w:w w:val="105"/>
        </w:rPr>
        <w:t> </w:t>
      </w:r>
      <w:r>
        <w:rPr>
          <w:color w:val="231F20"/>
          <w:w w:val="105"/>
        </w:rPr>
        <w:t>the</w:t>
      </w:r>
      <w:r>
        <w:rPr>
          <w:color w:val="231F20"/>
          <w:spacing w:val="-14"/>
          <w:w w:val="105"/>
        </w:rPr>
        <w:t> </w:t>
      </w:r>
      <w:r>
        <w:rPr>
          <w:color w:val="231F20"/>
          <w:w w:val="105"/>
        </w:rPr>
        <w:t>membrane</w:t>
      </w:r>
      <w:r>
        <w:rPr>
          <w:color w:val="231F20"/>
          <w:spacing w:val="-15"/>
          <w:w w:val="105"/>
        </w:rPr>
        <w:t> </w:t>
      </w:r>
      <w:r>
        <w:rPr>
          <w:color w:val="231F20"/>
          <w:w w:val="105"/>
        </w:rPr>
        <w:t>is</w:t>
      </w:r>
      <w:r>
        <w:rPr>
          <w:color w:val="231F20"/>
          <w:spacing w:val="-14"/>
          <w:w w:val="105"/>
        </w:rPr>
        <w:t> </w:t>
      </w:r>
      <w:r>
        <w:rPr>
          <w:color w:val="231F20"/>
          <w:w w:val="105"/>
        </w:rPr>
        <w:t>permeable</w:t>
      </w:r>
      <w:r>
        <w:rPr>
          <w:color w:val="231F20"/>
          <w:spacing w:val="-15"/>
          <w:w w:val="105"/>
        </w:rPr>
        <w:t> </w:t>
      </w:r>
      <w:r>
        <w:rPr>
          <w:color w:val="231F20"/>
          <w:w w:val="105"/>
        </w:rPr>
        <w:t>to</w:t>
      </w:r>
      <w:r>
        <w:rPr>
          <w:color w:val="231F20"/>
          <w:spacing w:val="-14"/>
          <w:w w:val="105"/>
        </w:rPr>
        <w:t> </w:t>
      </w:r>
      <w:r>
        <w:rPr>
          <w:color w:val="231F20"/>
          <w:spacing w:val="-3"/>
          <w:w w:val="105"/>
        </w:rPr>
        <w:t>water,</w:t>
      </w:r>
      <w:r>
        <w:rPr>
          <w:color w:val="231F20"/>
          <w:spacing w:val="-14"/>
          <w:w w:val="105"/>
        </w:rPr>
        <w:t> </w:t>
      </w:r>
      <w:r>
        <w:rPr>
          <w:color w:val="231F20"/>
          <w:w w:val="105"/>
        </w:rPr>
        <w:t>no</w:t>
      </w:r>
    </w:p>
    <w:p>
      <w:pPr>
        <w:pStyle w:val="BodyText"/>
        <w:spacing w:before="8" w:after="40"/>
        <w:rPr>
          <w:sz w:val="8"/>
        </w:rPr>
      </w:pPr>
      <w:r>
        <w:rPr/>
        <w:br w:type="column"/>
      </w:r>
      <w:r>
        <w:rPr>
          <w:sz w:val="8"/>
        </w:rPr>
      </w:r>
    </w:p>
    <w:p>
      <w:pPr>
        <w:pStyle w:val="BodyText"/>
        <w:ind w:left="468"/>
      </w:pPr>
      <w:r>
        <w:rPr/>
        <w:pict>
          <v:group style="width:219.1pt;height:144.15pt;mso-position-horizontal-relative:char;mso-position-vertical-relative:line" coordorigin="0,0" coordsize="4382,2883">
            <v:rect style="position:absolute;left:60;top:1743;width:1294;height:740" filled="true" fillcolor="#95aac4" stroked="false">
              <v:fill type="solid"/>
            </v:rect>
            <v:rect style="position:absolute;left:0;top:1683;width:1294;height:740" filled="true" fillcolor="#d4e5f3" stroked="false">
              <v:fill type="solid"/>
            </v:rect>
            <v:shape style="position:absolute;left:1017;top:1494;width:120;height:185" type="#_x0000_t75" stroked="false">
              <v:imagedata r:id="rId485" o:title=""/>
            </v:shape>
            <v:rect style="position:absolute;left:922;top:60;width:1974;height:380" filled="true" fillcolor="#95aac4" stroked="false">
              <v:fill type="solid"/>
            </v:rect>
            <v:rect style="position:absolute;left:862;top:0;width:1974;height:380" filled="true" fillcolor="#d4e5f3" stroked="false">
              <v:fill type="solid"/>
            </v:rect>
            <v:line style="position:absolute" from="1078,379" to="1078,1613" stroked="true" strokeweight="1.5pt" strokecolor="#ed1c24">
              <v:stroke dashstyle="solid"/>
            </v:line>
            <v:shape style="position:absolute;left:2560;top:654;width:120;height:185" coordorigin="2560,655" coordsize="120,185" path="m2561,655l2560,657,2598,746,2620,839,2642,746,2666,688,2620,688,2561,655xm2679,655l2620,688,2666,688,2680,657,2679,655xe" filled="true" fillcolor="#f0535f" stroked="false">
              <v:path arrowok="t"/>
              <v:fill type="solid"/>
            </v:shape>
            <v:line style="position:absolute" from="2620,382" to="2620,773" stroked="true" strokeweight="1.5pt" strokecolor="#ed1c24">
              <v:stroke dashstyle="solid"/>
            </v:line>
            <v:shape style="position:absolute;left:1017;top:2694;width:120;height:185" coordorigin="1018,2695" coordsize="120,185" path="m1019,2695l1018,2697,1056,2786,1078,2879,1100,2786,1124,2728,1078,2728,1019,2695xm1137,2695l1078,2728,1124,2728,1138,2697,1137,2695xe" filled="true" fillcolor="#f0535f" stroked="false">
              <v:path arrowok="t"/>
              <v:fill type="solid"/>
            </v:shape>
            <v:line style="position:absolute" from="1078,2435" to="1078,2813" stroked="true" strokeweight="1.5pt" strokecolor="#ed1c24">
              <v:stroke dashstyle="solid"/>
            </v:line>
            <v:shape style="position:absolute;left:1765;top:2694;width:120;height:185" coordorigin="1766,2695" coordsize="120,185" path="m1767,2695l1766,2697,1803,2786,1825,2879,1847,2786,1872,2728,1826,2728,1767,2695xm1884,2695l1826,2728,1872,2728,1885,2697,1884,2695xe" filled="true" fillcolor="#f0535f" stroked="false">
              <v:path arrowok="t"/>
              <v:fill type="solid"/>
            </v:shape>
            <v:line style="position:absolute" from="1825,2482" to="1825,2813" stroked="true" strokeweight="1.5pt" strokecolor="#ed1c24">
              <v:stroke dashstyle="solid"/>
            </v:line>
            <v:shape style="position:absolute;left:195;top:1910;width:120;height:185" coordorigin="196,1910" coordsize="120,185" path="m302,2061l256,2061,315,2095,316,2093,302,2061xm256,1910l234,2003,196,2092,197,2094,256,2061,302,2061,278,2003,256,1910xe" filled="true" fillcolor="#231f20" stroked="false">
              <v:path arrowok="t"/>
              <v:fill type="solid"/>
            </v:shape>
            <v:line style="position:absolute" from="256,2230" to="256,1976" stroked="true" strokeweight="1.5pt" strokecolor="#231f20">
              <v:stroke dashstyle="solid"/>
            </v:line>
            <v:rect style="position:absolute;left:2189;top:899;width:1654;height:380" filled="true" fillcolor="#95aac4" stroked="false">
              <v:fill type="solid"/>
            </v:rect>
            <v:shape style="position:absolute;left:2181;top:1494;width:120;height:185" coordorigin="2181,1495" coordsize="120,185" path="m2182,1495l2181,1497,2219,1586,2241,1679,2263,1586,2288,1528,2241,1528,2182,1495xm2300,1495l2241,1528,2288,1528,2301,1497,2300,1495xe" filled="true" fillcolor="#f0535f" stroked="false">
              <v:path arrowok="t"/>
              <v:fill type="solid"/>
            </v:shape>
            <v:line style="position:absolute" from="2241,1219" to="2241,1613" stroked="true" strokeweight="1.5pt" strokecolor="#ed1c24">
              <v:stroke dashstyle="solid"/>
            </v:line>
            <v:shape style="position:absolute;left:3616;top:1497;width:120;height:185" coordorigin="3617,1498" coordsize="120,185" path="m3618,1498l3617,1500,3654,1589,3676,1682,3698,1589,3723,1531,3676,1531,3618,1498xm3735,1498l3676,1531,3723,1531,3736,1500,3735,1498xe" filled="true" fillcolor="#f0535f" stroked="false">
              <v:path arrowok="t"/>
              <v:fill type="solid"/>
            </v:shape>
            <v:line style="position:absolute" from="3676,1222" to="3676,1616" stroked="true" strokeweight="1.5pt" strokecolor="#ed1c24">
              <v:stroke dashstyle="solid"/>
            </v:line>
            <v:rect style="position:absolute;left:2129;top:839;width:1654;height:380" filled="true" fillcolor="#d4e5f3" stroked="false">
              <v:fill type="solid"/>
            </v:rect>
            <v:rect style="position:absolute;left:1653;top:1743;width:1294;height:740" filled="true" fillcolor="#95aac4" stroked="false">
              <v:fill type="solid"/>
            </v:rect>
            <v:rect style="position:absolute;left:1593;top:1683;width:1294;height:740" filled="true" fillcolor="#d4e5f3" stroked="false">
              <v:fill type="solid"/>
            </v:rect>
            <v:shape style="position:absolute;left:1639;top:1910;width:120;height:185" coordorigin="1640,1910" coordsize="120,185" path="m1746,2061l1700,2061,1758,2095,1759,2093,1746,2061xm1700,1910l1678,2003,1640,2092,1641,2094,1700,2061,1746,2061,1722,2003,1700,1910xe" filled="true" fillcolor="#231f20" stroked="false">
              <v:path arrowok="t"/>
              <v:fill type="solid"/>
            </v:shape>
            <v:line style="position:absolute" from="1700,2230" to="1700,1976" stroked="true" strokeweight="1.5pt" strokecolor="#231f20">
              <v:stroke dashstyle="solid"/>
            </v:line>
            <v:rect style="position:absolute;left:3087;top:1743;width:1294;height:740" filled="true" fillcolor="#95aac4" stroked="false">
              <v:fill type="solid"/>
            </v:rect>
            <v:shape style="position:absolute;left:3616;top:2697;width:120;height:185" coordorigin="3617,2698" coordsize="120,185" path="m3618,2698l3617,2700,3654,2789,3676,2882,3698,2789,3723,2731,3676,2731,3618,2698xm3735,2698l3676,2731,3723,2731,3736,2700,3735,2698xe" filled="true" fillcolor="#f0535f" stroked="false">
              <v:path arrowok="t"/>
              <v:fill type="solid"/>
            </v:shape>
            <v:line style="position:absolute" from="3676,2422" to="3676,2816" stroked="true" strokeweight="1.5pt" strokecolor="#ed1c24">
              <v:stroke dashstyle="solid"/>
            </v:line>
            <v:rect style="position:absolute;left:3027;top:1683;width:1294;height:740" filled="true" fillcolor="#d4e5f3" stroked="false">
              <v:fill type="solid"/>
            </v:rect>
            <v:shape style="position:absolute;left:3085;top:1910;width:120;height:185" coordorigin="3085,1910" coordsize="120,185" path="m3192,2061l3145,2061,3204,2095,3205,2093,3192,2061xm3146,1910l3124,2003,3085,2092,3087,2094,3145,2061,3192,2061,3168,2003,3146,1910xe" filled="true" fillcolor="#231f20" stroked="false">
              <v:path arrowok="t"/>
              <v:fill type="solid"/>
            </v:shape>
            <v:line style="position:absolute" from="3146,2230" to="3146,1976" stroked="true" strokeweight="1.5pt" strokecolor="#231f20">
              <v:stroke dashstyle="solid"/>
            </v:line>
            <v:shape style="position:absolute;left:3087;top:1743;width:1294;height:740" type="#_x0000_t202" filled="false" stroked="false">
              <v:textbox inset="0,0,0,0">
                <w:txbxContent>
                  <w:p>
                    <w:pPr>
                      <w:spacing w:line="235" w:lineRule="auto" w:before="34"/>
                      <w:ind w:left="206" w:right="515" w:firstLine="0"/>
                      <w:jc w:val="left"/>
                      <w:rPr>
                        <w:rFonts w:ascii="Helvetica"/>
                        <w:sz w:val="16"/>
                      </w:rPr>
                    </w:pPr>
                    <w:r>
                      <w:rPr>
                        <w:rFonts w:ascii="Helvetica"/>
                        <w:b/>
                        <w:color w:val="231F20"/>
                        <w:w w:val="90"/>
                        <w:sz w:val="16"/>
                      </w:rPr>
                      <w:t>Luminal </w:t>
                    </w:r>
                    <w:r>
                      <w:rPr>
                        <w:rFonts w:ascii="Helvetica"/>
                        <w:color w:val="231F20"/>
                        <w:sz w:val="16"/>
                      </w:rPr>
                      <w:t>urea</w:t>
                    </w:r>
                  </w:p>
                  <w:p>
                    <w:pPr>
                      <w:spacing w:line="180" w:lineRule="exact" w:before="0"/>
                      <w:ind w:left="206" w:right="0" w:firstLine="0"/>
                      <w:jc w:val="left"/>
                      <w:rPr>
                        <w:rFonts w:ascii="Helvetica"/>
                        <w:sz w:val="16"/>
                      </w:rPr>
                    </w:pPr>
                    <w:r>
                      <w:rPr>
                        <w:rFonts w:ascii="Helvetica"/>
                        <w:color w:val="231F20"/>
                        <w:sz w:val="16"/>
                      </w:rPr>
                      <w:t>concentration</w:t>
                    </w:r>
                  </w:p>
                </w:txbxContent>
              </v:textbox>
              <w10:wrap type="none"/>
            </v:shape>
            <v:shape style="position:absolute;left:1715;top:1743;width:1233;height:740" type="#_x0000_t202" filled="false" stroked="false">
              <v:textbox inset="0,0,0,0">
                <w:txbxContent>
                  <w:p>
                    <w:pPr>
                      <w:spacing w:line="235" w:lineRule="auto" w:before="136"/>
                      <w:ind w:left="142" w:right="118" w:firstLine="0"/>
                      <w:jc w:val="left"/>
                      <w:rPr>
                        <w:rFonts w:ascii="Helvetica" w:hAnsi="Helvetica"/>
                        <w:b/>
                        <w:sz w:val="16"/>
                      </w:rPr>
                    </w:pPr>
                    <w:r>
                      <w:rPr>
                        <w:rFonts w:ascii="Helvetica" w:hAnsi="Helvetica"/>
                        <w:b/>
                        <w:color w:val="231F20"/>
                        <w:sz w:val="16"/>
                      </w:rPr>
                      <w:t>Luminal Cl</w:t>
                    </w:r>
                    <w:r>
                      <w:rPr>
                        <w:rFonts w:ascii="Helvetica" w:hAnsi="Helvetica"/>
                        <w:b/>
                        <w:color w:val="231F20"/>
                        <w:position w:val="5"/>
                        <w:sz w:val="12"/>
                      </w:rPr>
                      <w:t>– </w:t>
                    </w:r>
                    <w:r>
                      <w:rPr>
                        <w:rFonts w:ascii="Helvetica" w:hAnsi="Helvetica"/>
                        <w:b/>
                        <w:color w:val="231F20"/>
                        <w:w w:val="90"/>
                        <w:sz w:val="16"/>
                      </w:rPr>
                      <w:t>concentration</w:t>
                    </w:r>
                  </w:p>
                </w:txbxContent>
              </v:textbox>
              <w10:wrap type="none"/>
            </v:shape>
            <v:shape style="position:absolute;left:60;top:1743;width:1294;height:740" type="#_x0000_t202" filled="false" stroked="false">
              <v:textbox inset="0,0,0,0">
                <w:txbxContent>
                  <w:p>
                    <w:pPr>
                      <w:spacing w:line="235" w:lineRule="auto" w:before="34"/>
                      <w:ind w:left="344" w:right="325" w:firstLine="0"/>
                      <w:jc w:val="left"/>
                      <w:rPr>
                        <w:rFonts w:ascii="Helvetica"/>
                        <w:sz w:val="16"/>
                      </w:rPr>
                    </w:pPr>
                    <w:r>
                      <w:rPr>
                        <w:rFonts w:ascii="Helvetica"/>
                        <w:b/>
                        <w:color w:val="231F20"/>
                        <w:sz w:val="16"/>
                      </w:rPr>
                      <w:t>Lumen </w:t>
                    </w:r>
                    <w:r>
                      <w:rPr>
                        <w:rFonts w:ascii="Helvetica"/>
                        <w:color w:val="231F20"/>
                        <w:sz w:val="16"/>
                      </w:rPr>
                      <w:t>negative potential</w:t>
                    </w:r>
                  </w:p>
                </w:txbxContent>
              </v:textbox>
              <w10:wrap type="none"/>
            </v:shape>
            <v:shape style="position:absolute;left:2255;top:899;width:1588;height:380" type="#_x0000_t202" filled="false" stroked="false">
              <v:textbox inset="0,0,0,0">
                <w:txbxContent>
                  <w:p>
                    <w:pPr>
                      <w:spacing w:before="6"/>
                      <w:ind w:left="80"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reabsorption</w:t>
                    </w:r>
                  </w:p>
                </w:txbxContent>
              </v:textbox>
              <w10:wrap type="none"/>
            </v:shape>
            <v:shape style="position:absolute;left:922;top:60;width:1974;height:380" type="#_x0000_t202" filled="false" stroked="false">
              <v:textbox inset="0,0,0,0">
                <w:txbxContent>
                  <w:p>
                    <w:pPr>
                      <w:spacing w:before="43"/>
                      <w:ind w:left="322" w:right="0" w:firstLine="0"/>
                      <w:jc w:val="left"/>
                      <w:rPr>
                        <w:rFonts w:ascii="Helvetica"/>
                        <w:sz w:val="16"/>
                      </w:rPr>
                    </w:pPr>
                    <w:r>
                      <w:rPr>
                        <w:rFonts w:ascii="Helvetica"/>
                        <w:color w:val="231F20"/>
                        <w:sz w:val="16"/>
                      </w:rPr>
                      <w:t>Na</w:t>
                    </w:r>
                    <w:r>
                      <w:rPr>
                        <w:rFonts w:ascii="Helvetica"/>
                        <w:color w:val="231F20"/>
                        <w:position w:val="5"/>
                        <w:sz w:val="12"/>
                      </w:rPr>
                      <w:t>+ </w:t>
                    </w:r>
                    <w:r>
                      <w:rPr>
                        <w:rFonts w:ascii="Helvetica"/>
                        <w:color w:val="231F20"/>
                        <w:sz w:val="16"/>
                      </w:rPr>
                      <w:t>reabsorption</w:t>
                    </w:r>
                  </w:p>
                </w:txbxContent>
              </v:textbox>
              <w10:wrap type="none"/>
            </v:shape>
          </v:group>
        </w:pict>
      </w:r>
      <w:r>
        <w:rPr/>
      </w:r>
    </w:p>
    <w:p>
      <w:pPr>
        <w:pStyle w:val="BodyText"/>
        <w:spacing w:before="1"/>
        <w:rPr>
          <w:sz w:val="3"/>
        </w:rPr>
      </w:pPr>
    </w:p>
    <w:p>
      <w:pPr>
        <w:pStyle w:val="BodyText"/>
        <w:tabs>
          <w:tab w:pos="3549" w:val="left" w:leader="none"/>
        </w:tabs>
        <w:ind w:left="1338"/>
      </w:pPr>
      <w:r>
        <w:rPr/>
        <w:pict>
          <v:shape style="width:64.2pt;height:26pt;mso-position-horizontal-relative:char;mso-position-vertical-relative:line" type="#_x0000_t202" filled="true" fillcolor="#d4e5f3" stroked="false">
            <w10:anchorlock/>
            <v:textbox inset="0,0,0,0">
              <w:txbxContent>
                <w:p>
                  <w:pPr>
                    <w:spacing w:line="235" w:lineRule="auto" w:before="26"/>
                    <w:ind w:left="137" w:right="237" w:firstLine="33"/>
                    <w:jc w:val="left"/>
                    <w:rPr>
                      <w:rFonts w:ascii="Helvetica" w:hAnsi="Helvetica"/>
                      <w:sz w:val="16"/>
                    </w:rPr>
                  </w:pPr>
                  <w:r>
                    <w:rPr>
                      <w:rFonts w:ascii="Helvetica" w:hAnsi="Helvetica"/>
                      <w:color w:val="231F20"/>
                      <w:sz w:val="16"/>
                    </w:rPr>
                    <w:t>Passive Cl</w:t>
                  </w:r>
                  <w:r>
                    <w:rPr>
                      <w:rFonts w:ascii="Helvetica" w:hAnsi="Helvetica"/>
                      <w:color w:val="231F20"/>
                      <w:position w:val="5"/>
                      <w:sz w:val="12"/>
                    </w:rPr>
                    <w:t>– </w:t>
                  </w:r>
                  <w:r>
                    <w:rPr>
                      <w:rFonts w:ascii="Helvetica" w:hAnsi="Helvetica"/>
                      <w:color w:val="231F20"/>
                      <w:sz w:val="16"/>
                    </w:rPr>
                    <w:t>reabsorption</w:t>
                  </w:r>
                </w:p>
              </w:txbxContent>
            </v:textbox>
            <v:fill type="solid"/>
          </v:shape>
        </w:pict>
      </w:r>
      <w:r>
        <w:rPr/>
      </w:r>
      <w:r>
        <w:rPr/>
        <w:tab/>
      </w:r>
      <w:r>
        <w:rPr/>
        <w:pict>
          <v:shape style="width:64.2pt;height:26pt;mso-position-horizontal-relative:char;mso-position-vertical-relative:line" type="#_x0000_t202" filled="true" fillcolor="#d4e5f3" stroked="false">
            <w10:anchorlock/>
            <v:textbox inset="0,0,0,0">
              <w:txbxContent>
                <w:p>
                  <w:pPr>
                    <w:spacing w:line="235" w:lineRule="auto" w:before="14"/>
                    <w:ind w:left="137" w:right="220" w:hanging="18"/>
                    <w:jc w:val="left"/>
                    <w:rPr>
                      <w:rFonts w:ascii="Helvetica"/>
                      <w:sz w:val="16"/>
                    </w:rPr>
                  </w:pPr>
                  <w:r>
                    <w:rPr>
                      <w:rFonts w:ascii="Helvetica"/>
                      <w:color w:val="231F20"/>
                      <w:sz w:val="16"/>
                    </w:rPr>
                    <w:t>Passive urea reabsorption</w:t>
                  </w:r>
                </w:p>
              </w:txbxContent>
            </v:textbox>
            <v:fill type="solid"/>
          </v:shape>
        </w:pict>
      </w:r>
      <w:r>
        <w:rPr/>
      </w:r>
    </w:p>
    <w:p>
      <w:pPr>
        <w:spacing w:line="259" w:lineRule="auto" w:before="68"/>
        <w:ind w:left="319" w:right="1439" w:firstLine="0"/>
        <w:jc w:val="both"/>
        <w:rPr>
          <w:rFonts w:ascii="Arial" w:hAnsi="Arial"/>
          <w:sz w:val="16"/>
        </w:rPr>
      </w:pPr>
      <w:bookmarkStart w:name="_bookmark44" w:id="45"/>
      <w:bookmarkEnd w:id="45"/>
      <w:r>
        <w:rPr/>
      </w:r>
      <w:r>
        <w:rPr>
          <w:rFonts w:ascii="Trebuchet MS" w:hAnsi="Trebuchet MS"/>
          <w:b/>
          <w:color w:val="231F20"/>
          <w:sz w:val="16"/>
        </w:rPr>
        <w:t>Figure</w:t>
      </w:r>
      <w:r>
        <w:rPr>
          <w:rFonts w:ascii="Trebuchet MS" w:hAnsi="Trebuchet MS"/>
          <w:b/>
          <w:color w:val="231F20"/>
          <w:spacing w:val="-11"/>
          <w:sz w:val="16"/>
        </w:rPr>
        <w:t> </w:t>
      </w:r>
      <w:r>
        <w:rPr>
          <w:rFonts w:ascii="Trebuchet MS" w:hAnsi="Trebuchet MS"/>
          <w:b/>
          <w:color w:val="231F20"/>
          <w:sz w:val="16"/>
        </w:rPr>
        <w:t>28­5.</w:t>
      </w:r>
      <w:r>
        <w:rPr>
          <w:rFonts w:ascii="Trebuchet MS" w:hAnsi="Trebuchet MS"/>
          <w:b/>
          <w:color w:val="231F20"/>
          <w:spacing w:val="6"/>
          <w:sz w:val="16"/>
        </w:rPr>
        <w:t> </w:t>
      </w:r>
      <w:r>
        <w:rPr>
          <w:rFonts w:ascii="Arial" w:hAnsi="Arial"/>
          <w:color w:val="231F20"/>
          <w:sz w:val="16"/>
        </w:rPr>
        <w:t>Mechanisms</w:t>
      </w:r>
      <w:r>
        <w:rPr>
          <w:rFonts w:ascii="Arial" w:hAnsi="Arial"/>
          <w:color w:val="231F20"/>
          <w:spacing w:val="-7"/>
          <w:sz w:val="16"/>
        </w:rPr>
        <w:t> </w:t>
      </w:r>
      <w:r>
        <w:rPr>
          <w:rFonts w:ascii="Arial" w:hAnsi="Arial"/>
          <w:color w:val="231F20"/>
          <w:sz w:val="16"/>
        </w:rPr>
        <w:t>by</w:t>
      </w:r>
      <w:r>
        <w:rPr>
          <w:rFonts w:ascii="Arial" w:hAnsi="Arial"/>
          <w:color w:val="231F20"/>
          <w:spacing w:val="-7"/>
          <w:sz w:val="16"/>
        </w:rPr>
        <w:t> </w:t>
      </w:r>
      <w:r>
        <w:rPr>
          <w:rFonts w:ascii="Arial" w:hAnsi="Arial"/>
          <w:color w:val="231F20"/>
          <w:sz w:val="16"/>
        </w:rPr>
        <w:t>which</w:t>
      </w:r>
      <w:r>
        <w:rPr>
          <w:rFonts w:ascii="Arial" w:hAnsi="Arial"/>
          <w:color w:val="231F20"/>
          <w:spacing w:val="-7"/>
          <w:sz w:val="16"/>
        </w:rPr>
        <w:t> </w:t>
      </w:r>
      <w:r>
        <w:rPr>
          <w:rFonts w:ascii="Arial" w:hAnsi="Arial"/>
          <w:color w:val="231F20"/>
          <w:spacing w:val="-3"/>
          <w:sz w:val="16"/>
        </w:rPr>
        <w:t>water,</w:t>
      </w:r>
      <w:r>
        <w:rPr>
          <w:rFonts w:ascii="Arial" w:hAnsi="Arial"/>
          <w:color w:val="231F20"/>
          <w:spacing w:val="-8"/>
          <w:sz w:val="16"/>
        </w:rPr>
        <w:t> </w:t>
      </w:r>
      <w:r>
        <w:rPr>
          <w:rFonts w:ascii="Arial" w:hAnsi="Arial"/>
          <w:color w:val="231F20"/>
          <w:sz w:val="16"/>
        </w:rPr>
        <w:t>chloride,</w:t>
      </w:r>
      <w:r>
        <w:rPr>
          <w:rFonts w:ascii="Arial" w:hAnsi="Arial"/>
          <w:color w:val="231F20"/>
          <w:spacing w:val="-7"/>
          <w:sz w:val="16"/>
        </w:rPr>
        <w:t> </w:t>
      </w:r>
      <w:r>
        <w:rPr>
          <w:rFonts w:ascii="Arial" w:hAnsi="Arial"/>
          <w:color w:val="231F20"/>
          <w:sz w:val="16"/>
        </w:rPr>
        <w:t>and</w:t>
      </w:r>
      <w:r>
        <w:rPr>
          <w:rFonts w:ascii="Arial" w:hAnsi="Arial"/>
          <w:color w:val="231F20"/>
          <w:spacing w:val="-7"/>
          <w:sz w:val="16"/>
        </w:rPr>
        <w:t> </w:t>
      </w:r>
      <w:r>
        <w:rPr>
          <w:rFonts w:ascii="Arial" w:hAnsi="Arial"/>
          <w:color w:val="231F20"/>
          <w:sz w:val="16"/>
        </w:rPr>
        <w:t>urea</w:t>
      </w:r>
      <w:r>
        <w:rPr>
          <w:rFonts w:ascii="Arial" w:hAnsi="Arial"/>
          <w:color w:val="231F20"/>
          <w:spacing w:val="-7"/>
          <w:sz w:val="16"/>
        </w:rPr>
        <w:t> </w:t>
      </w:r>
      <w:r>
        <w:rPr>
          <w:rFonts w:ascii="Arial" w:hAnsi="Arial"/>
          <w:color w:val="231F20"/>
          <w:spacing w:val="-4"/>
          <w:sz w:val="16"/>
        </w:rPr>
        <w:t>reab- </w:t>
      </w:r>
      <w:r>
        <w:rPr>
          <w:rFonts w:ascii="Arial" w:hAnsi="Arial"/>
          <w:color w:val="231F20"/>
          <w:sz w:val="16"/>
        </w:rPr>
        <w:t>sorption are coupled with sodium</w:t>
      </w:r>
      <w:r>
        <w:rPr>
          <w:rFonts w:ascii="Arial" w:hAnsi="Arial"/>
          <w:color w:val="231F20"/>
          <w:spacing w:val="27"/>
          <w:sz w:val="16"/>
        </w:rPr>
        <w:t> </w:t>
      </w:r>
      <w:r>
        <w:rPr>
          <w:rFonts w:ascii="Arial" w:hAnsi="Arial"/>
          <w:color w:val="231F20"/>
          <w:sz w:val="16"/>
        </w:rPr>
        <w:t>reabsorption.</w:t>
      </w:r>
    </w:p>
    <w:p>
      <w:pPr>
        <w:pStyle w:val="BodyText"/>
        <w:rPr>
          <w:rFonts w:ascii="Arial"/>
          <w:sz w:val="18"/>
        </w:rPr>
      </w:pPr>
    </w:p>
    <w:p>
      <w:pPr>
        <w:pStyle w:val="BodyText"/>
        <w:spacing w:line="249" w:lineRule="auto" w:before="120"/>
        <w:ind w:left="319" w:right="1437"/>
        <w:jc w:val="both"/>
      </w:pPr>
      <w:r>
        <w:rPr>
          <w:color w:val="231F20"/>
        </w:rPr>
        <w:t>matter how large the osmotic gradient. In the proximal tubule, the water permeability is always high and water is reabsorbed as rapidly as the solutes. In the ascending loop of Henle, water permeability is always </w:t>
      </w:r>
      <w:r>
        <w:rPr>
          <w:color w:val="231F20"/>
          <w:spacing w:val="-3"/>
        </w:rPr>
        <w:t>low, </w:t>
      </w:r>
      <w:r>
        <w:rPr>
          <w:color w:val="231F20"/>
        </w:rPr>
        <w:t>so almost </w:t>
      </w:r>
      <w:r>
        <w:rPr>
          <w:color w:val="231F20"/>
          <w:spacing w:val="-7"/>
        </w:rPr>
        <w:t>no </w:t>
      </w:r>
      <w:r>
        <w:rPr>
          <w:color w:val="231F20"/>
        </w:rPr>
        <w:t>water is reabsorbed despite a large osmotic gradient. </w:t>
      </w:r>
      <w:r>
        <w:rPr>
          <w:color w:val="231F20"/>
          <w:spacing w:val="-4"/>
        </w:rPr>
        <w:t>Water </w:t>
      </w:r>
      <w:r>
        <w:rPr>
          <w:color w:val="231F20"/>
        </w:rPr>
        <w:t>permeability in the last parts of the tubules—the distal tubules, collecting tubules, and collecting ducts— can be high or </w:t>
      </w:r>
      <w:r>
        <w:rPr>
          <w:color w:val="231F20"/>
          <w:spacing w:val="-3"/>
        </w:rPr>
        <w:t>low, </w:t>
      </w:r>
      <w:r>
        <w:rPr>
          <w:color w:val="231F20"/>
        </w:rPr>
        <w:t>depending on the presence or absence of</w:t>
      </w:r>
      <w:r>
        <w:rPr>
          <w:color w:val="231F20"/>
          <w:spacing w:val="5"/>
        </w:rPr>
        <w:t> </w:t>
      </w:r>
      <w:r>
        <w:rPr>
          <w:color w:val="231F20"/>
        </w:rPr>
        <w:t>ADH.</w:t>
      </w:r>
    </w:p>
    <w:p>
      <w:pPr>
        <w:pStyle w:val="BodyText"/>
        <w:spacing w:before="3"/>
        <w:rPr>
          <w:sz w:val="31"/>
        </w:rPr>
      </w:pPr>
    </w:p>
    <w:p>
      <w:pPr>
        <w:pStyle w:val="Heading2"/>
        <w:spacing w:line="225" w:lineRule="auto" w:before="1"/>
        <w:ind w:right="2868"/>
      </w:pPr>
      <w:r>
        <w:rPr>
          <w:color w:val="231F20"/>
          <w:w w:val="105"/>
        </w:rPr>
        <w:t>REABSORPTION OF CHLORIDE, UREA, AND OTHER SOLUTES BY PASSIVE DIFFUSION</w:t>
      </w:r>
    </w:p>
    <w:p>
      <w:pPr>
        <w:pStyle w:val="BodyText"/>
        <w:spacing w:line="249" w:lineRule="auto" w:before="127"/>
        <w:ind w:left="319" w:right="1437"/>
        <w:jc w:val="both"/>
      </w:pPr>
      <w:r>
        <w:rPr>
          <w:color w:val="231F20"/>
          <w:w w:val="105"/>
        </w:rPr>
        <w:t>When sodium is reabsorbed through the tubular epithe- lial cell, negative ions such as chloride are transported along with sodium because of electrical potentials. </w:t>
      </w:r>
      <w:r>
        <w:rPr>
          <w:color w:val="231F20"/>
          <w:spacing w:val="-4"/>
          <w:w w:val="105"/>
        </w:rPr>
        <w:t>That </w:t>
      </w:r>
      <w:r>
        <w:rPr>
          <w:color w:val="231F20"/>
          <w:w w:val="105"/>
        </w:rPr>
        <w:t>is,</w:t>
      </w:r>
      <w:r>
        <w:rPr>
          <w:color w:val="231F20"/>
          <w:spacing w:val="-9"/>
          <w:w w:val="105"/>
        </w:rPr>
        <w:t> </w:t>
      </w:r>
      <w:r>
        <w:rPr>
          <w:color w:val="231F20"/>
          <w:w w:val="105"/>
        </w:rPr>
        <w:t>transport</w:t>
      </w:r>
      <w:r>
        <w:rPr>
          <w:color w:val="231F20"/>
          <w:spacing w:val="-8"/>
          <w:w w:val="105"/>
        </w:rPr>
        <w:t> </w:t>
      </w:r>
      <w:r>
        <w:rPr>
          <w:color w:val="231F20"/>
          <w:w w:val="105"/>
        </w:rPr>
        <w:t>of</w:t>
      </w:r>
      <w:r>
        <w:rPr>
          <w:color w:val="231F20"/>
          <w:spacing w:val="-8"/>
          <w:w w:val="105"/>
        </w:rPr>
        <w:t> </w:t>
      </w:r>
      <w:r>
        <w:rPr>
          <w:color w:val="231F20"/>
          <w:w w:val="105"/>
        </w:rPr>
        <w:t>positively</w:t>
      </w:r>
      <w:r>
        <w:rPr>
          <w:color w:val="231F20"/>
          <w:spacing w:val="-8"/>
          <w:w w:val="105"/>
        </w:rPr>
        <w:t> </w:t>
      </w:r>
      <w:r>
        <w:rPr>
          <w:color w:val="231F20"/>
          <w:w w:val="105"/>
        </w:rPr>
        <w:t>charged</w:t>
      </w:r>
      <w:r>
        <w:rPr>
          <w:color w:val="231F20"/>
          <w:spacing w:val="-9"/>
          <w:w w:val="105"/>
        </w:rPr>
        <w:t> </w:t>
      </w:r>
      <w:r>
        <w:rPr>
          <w:color w:val="231F20"/>
          <w:w w:val="105"/>
        </w:rPr>
        <w:t>sodium</w:t>
      </w:r>
      <w:r>
        <w:rPr>
          <w:color w:val="231F20"/>
          <w:spacing w:val="-8"/>
          <w:w w:val="105"/>
        </w:rPr>
        <w:t> </w:t>
      </w:r>
      <w:r>
        <w:rPr>
          <w:color w:val="231F20"/>
          <w:w w:val="105"/>
        </w:rPr>
        <w:t>ions</w:t>
      </w:r>
      <w:r>
        <w:rPr>
          <w:color w:val="231F20"/>
          <w:spacing w:val="-8"/>
          <w:w w:val="105"/>
        </w:rPr>
        <w:t> </w:t>
      </w:r>
      <w:r>
        <w:rPr>
          <w:color w:val="231F20"/>
          <w:w w:val="105"/>
        </w:rPr>
        <w:t>out</w:t>
      </w:r>
      <w:r>
        <w:rPr>
          <w:color w:val="231F20"/>
          <w:spacing w:val="-8"/>
          <w:w w:val="105"/>
        </w:rPr>
        <w:t> </w:t>
      </w:r>
      <w:r>
        <w:rPr>
          <w:color w:val="231F20"/>
          <w:w w:val="105"/>
        </w:rPr>
        <w:t>of</w:t>
      </w:r>
      <w:r>
        <w:rPr>
          <w:color w:val="231F20"/>
          <w:spacing w:val="-8"/>
          <w:w w:val="105"/>
        </w:rPr>
        <w:t> </w:t>
      </w:r>
      <w:r>
        <w:rPr>
          <w:color w:val="231F20"/>
          <w:w w:val="105"/>
        </w:rPr>
        <w:t>the lumen</w:t>
      </w:r>
      <w:r>
        <w:rPr>
          <w:color w:val="231F20"/>
          <w:spacing w:val="-13"/>
          <w:w w:val="105"/>
        </w:rPr>
        <w:t> </w:t>
      </w:r>
      <w:r>
        <w:rPr>
          <w:color w:val="231F20"/>
          <w:w w:val="105"/>
        </w:rPr>
        <w:t>leaves</w:t>
      </w:r>
      <w:r>
        <w:rPr>
          <w:color w:val="231F20"/>
          <w:spacing w:val="-12"/>
          <w:w w:val="105"/>
        </w:rPr>
        <w:t> </w:t>
      </w:r>
      <w:r>
        <w:rPr>
          <w:color w:val="231F20"/>
          <w:w w:val="105"/>
        </w:rPr>
        <w:t>the</w:t>
      </w:r>
      <w:r>
        <w:rPr>
          <w:color w:val="231F20"/>
          <w:spacing w:val="-13"/>
          <w:w w:val="105"/>
        </w:rPr>
        <w:t> </w:t>
      </w:r>
      <w:r>
        <w:rPr>
          <w:color w:val="231F20"/>
          <w:w w:val="105"/>
        </w:rPr>
        <w:t>inside</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lumen</w:t>
      </w:r>
      <w:r>
        <w:rPr>
          <w:color w:val="231F20"/>
          <w:spacing w:val="-12"/>
          <w:w w:val="105"/>
        </w:rPr>
        <w:t> </w:t>
      </w:r>
      <w:r>
        <w:rPr>
          <w:color w:val="231F20"/>
          <w:w w:val="105"/>
        </w:rPr>
        <w:t>negatively</w:t>
      </w:r>
      <w:r>
        <w:rPr>
          <w:color w:val="231F20"/>
          <w:spacing w:val="-13"/>
          <w:w w:val="105"/>
        </w:rPr>
        <w:t> </w:t>
      </w:r>
      <w:r>
        <w:rPr>
          <w:color w:val="231F20"/>
          <w:w w:val="105"/>
        </w:rPr>
        <w:t>charged, compared with the interstitial fluid. This </w:t>
      </w:r>
      <w:r>
        <w:rPr>
          <w:color w:val="231F20"/>
          <w:spacing w:val="-3"/>
          <w:w w:val="105"/>
        </w:rPr>
        <w:t>environment </w:t>
      </w:r>
      <w:r>
        <w:rPr>
          <w:color w:val="231F20"/>
          <w:w w:val="105"/>
        </w:rPr>
        <w:t>causes</w:t>
      </w:r>
      <w:r>
        <w:rPr>
          <w:color w:val="231F20"/>
          <w:spacing w:val="-29"/>
          <w:w w:val="105"/>
        </w:rPr>
        <w:t> </w:t>
      </w:r>
      <w:r>
        <w:rPr>
          <w:color w:val="231F20"/>
          <w:w w:val="105"/>
        </w:rPr>
        <w:t>chloride</w:t>
      </w:r>
      <w:r>
        <w:rPr>
          <w:color w:val="231F20"/>
          <w:spacing w:val="-28"/>
          <w:w w:val="105"/>
        </w:rPr>
        <w:t> </w:t>
      </w:r>
      <w:r>
        <w:rPr>
          <w:color w:val="231F20"/>
          <w:w w:val="105"/>
        </w:rPr>
        <w:t>ions</w:t>
      </w:r>
      <w:r>
        <w:rPr>
          <w:color w:val="231F20"/>
          <w:spacing w:val="-28"/>
          <w:w w:val="105"/>
        </w:rPr>
        <w:t> </w:t>
      </w:r>
      <w:r>
        <w:rPr>
          <w:color w:val="231F20"/>
          <w:w w:val="105"/>
        </w:rPr>
        <w:t>to</w:t>
      </w:r>
      <w:r>
        <w:rPr>
          <w:color w:val="231F20"/>
          <w:spacing w:val="-28"/>
          <w:w w:val="105"/>
        </w:rPr>
        <w:t> </w:t>
      </w:r>
      <w:r>
        <w:rPr>
          <w:color w:val="231F20"/>
          <w:w w:val="105"/>
        </w:rPr>
        <w:t>diffuse</w:t>
      </w:r>
      <w:r>
        <w:rPr>
          <w:color w:val="231F20"/>
          <w:spacing w:val="-28"/>
          <w:w w:val="105"/>
        </w:rPr>
        <w:t> </w:t>
      </w:r>
      <w:r>
        <w:rPr>
          <w:i/>
          <w:color w:val="231F20"/>
          <w:w w:val="105"/>
        </w:rPr>
        <w:t>passively</w:t>
      </w:r>
      <w:r>
        <w:rPr>
          <w:i/>
          <w:color w:val="231F20"/>
          <w:spacing w:val="-28"/>
          <w:w w:val="105"/>
        </w:rPr>
        <w:t> </w:t>
      </w:r>
      <w:r>
        <w:rPr>
          <w:color w:val="231F20"/>
          <w:w w:val="105"/>
        </w:rPr>
        <w:t>through</w:t>
      </w:r>
      <w:r>
        <w:rPr>
          <w:color w:val="231F20"/>
          <w:spacing w:val="-29"/>
          <w:w w:val="105"/>
        </w:rPr>
        <w:t> </w:t>
      </w:r>
      <w:r>
        <w:rPr>
          <w:color w:val="231F20"/>
          <w:w w:val="105"/>
        </w:rPr>
        <w:t>the</w:t>
      </w:r>
      <w:r>
        <w:rPr>
          <w:color w:val="231F20"/>
          <w:spacing w:val="-28"/>
          <w:w w:val="105"/>
        </w:rPr>
        <w:t> </w:t>
      </w:r>
      <w:r>
        <w:rPr>
          <w:i/>
          <w:color w:val="231F20"/>
          <w:w w:val="105"/>
        </w:rPr>
        <w:t>para- </w:t>
      </w:r>
      <w:r>
        <w:rPr>
          <w:i/>
          <w:color w:val="231F20"/>
          <w:w w:val="105"/>
        </w:rPr>
        <w:t>cellular pathway</w:t>
      </w:r>
      <w:r>
        <w:rPr>
          <w:color w:val="231F20"/>
          <w:w w:val="105"/>
        </w:rPr>
        <w:t>. Additional reabsorption of chloride ions</w:t>
      </w:r>
      <w:r>
        <w:rPr>
          <w:color w:val="231F20"/>
          <w:spacing w:val="-8"/>
          <w:w w:val="105"/>
        </w:rPr>
        <w:t> </w:t>
      </w:r>
      <w:r>
        <w:rPr>
          <w:color w:val="231F20"/>
          <w:w w:val="105"/>
        </w:rPr>
        <w:t>occurs</w:t>
      </w:r>
      <w:r>
        <w:rPr>
          <w:color w:val="231F20"/>
          <w:spacing w:val="-7"/>
          <w:w w:val="105"/>
        </w:rPr>
        <w:t> </w:t>
      </w:r>
      <w:r>
        <w:rPr>
          <w:color w:val="231F20"/>
          <w:w w:val="105"/>
        </w:rPr>
        <w:t>because</w:t>
      </w:r>
      <w:r>
        <w:rPr>
          <w:color w:val="231F20"/>
          <w:spacing w:val="-7"/>
          <w:w w:val="105"/>
        </w:rPr>
        <w:t> </w:t>
      </w:r>
      <w:r>
        <w:rPr>
          <w:color w:val="231F20"/>
          <w:w w:val="105"/>
        </w:rPr>
        <w:t>of</w:t>
      </w:r>
      <w:r>
        <w:rPr>
          <w:color w:val="231F20"/>
          <w:spacing w:val="-7"/>
          <w:w w:val="105"/>
        </w:rPr>
        <w:t> </w:t>
      </w:r>
      <w:r>
        <w:rPr>
          <w:color w:val="231F20"/>
          <w:w w:val="105"/>
        </w:rPr>
        <w:t>a</w:t>
      </w:r>
      <w:r>
        <w:rPr>
          <w:color w:val="231F20"/>
          <w:spacing w:val="-7"/>
          <w:w w:val="105"/>
        </w:rPr>
        <w:t> </w:t>
      </w:r>
      <w:r>
        <w:rPr>
          <w:color w:val="231F20"/>
          <w:w w:val="105"/>
        </w:rPr>
        <w:t>chloride</w:t>
      </w:r>
      <w:r>
        <w:rPr>
          <w:color w:val="231F20"/>
          <w:spacing w:val="-7"/>
          <w:w w:val="105"/>
        </w:rPr>
        <w:t> </w:t>
      </w:r>
      <w:r>
        <w:rPr>
          <w:color w:val="231F20"/>
          <w:w w:val="105"/>
        </w:rPr>
        <w:t>concentration</w:t>
      </w:r>
      <w:r>
        <w:rPr>
          <w:color w:val="231F20"/>
          <w:spacing w:val="-7"/>
          <w:w w:val="105"/>
        </w:rPr>
        <w:t> </w:t>
      </w:r>
      <w:r>
        <w:rPr>
          <w:color w:val="231F20"/>
          <w:w w:val="105"/>
        </w:rPr>
        <w:t>gradient that develops when water is reabsorbed from the tubule by</w:t>
      </w:r>
      <w:r>
        <w:rPr>
          <w:color w:val="231F20"/>
          <w:spacing w:val="-22"/>
          <w:w w:val="105"/>
        </w:rPr>
        <w:t> </w:t>
      </w:r>
      <w:r>
        <w:rPr>
          <w:color w:val="231F20"/>
          <w:w w:val="105"/>
        </w:rPr>
        <w:t>osmosis,</w:t>
      </w:r>
      <w:r>
        <w:rPr>
          <w:color w:val="231F20"/>
          <w:spacing w:val="-22"/>
          <w:w w:val="105"/>
        </w:rPr>
        <w:t> </w:t>
      </w:r>
      <w:r>
        <w:rPr>
          <w:color w:val="231F20"/>
          <w:w w:val="105"/>
        </w:rPr>
        <w:t>thereby</w:t>
      </w:r>
      <w:r>
        <w:rPr>
          <w:color w:val="231F20"/>
          <w:spacing w:val="-21"/>
          <w:w w:val="105"/>
        </w:rPr>
        <w:t> </w:t>
      </w:r>
      <w:r>
        <w:rPr>
          <w:color w:val="231F20"/>
          <w:w w:val="105"/>
        </w:rPr>
        <w:t>concentrating</w:t>
      </w:r>
      <w:r>
        <w:rPr>
          <w:color w:val="231F20"/>
          <w:spacing w:val="-22"/>
          <w:w w:val="105"/>
        </w:rPr>
        <w:t> </w:t>
      </w:r>
      <w:r>
        <w:rPr>
          <w:color w:val="231F20"/>
          <w:w w:val="105"/>
        </w:rPr>
        <w:t>the</w:t>
      </w:r>
      <w:r>
        <w:rPr>
          <w:color w:val="231F20"/>
          <w:spacing w:val="-22"/>
          <w:w w:val="105"/>
        </w:rPr>
        <w:t> </w:t>
      </w:r>
      <w:r>
        <w:rPr>
          <w:color w:val="231F20"/>
          <w:w w:val="105"/>
        </w:rPr>
        <w:t>chloride</w:t>
      </w:r>
      <w:r>
        <w:rPr>
          <w:color w:val="231F20"/>
          <w:spacing w:val="-21"/>
          <w:w w:val="105"/>
        </w:rPr>
        <w:t> </w:t>
      </w:r>
      <w:r>
        <w:rPr>
          <w:color w:val="231F20"/>
          <w:w w:val="105"/>
        </w:rPr>
        <w:t>ions</w:t>
      </w:r>
      <w:r>
        <w:rPr>
          <w:color w:val="231F20"/>
          <w:spacing w:val="-22"/>
          <w:w w:val="105"/>
        </w:rPr>
        <w:t> </w:t>
      </w:r>
      <w:r>
        <w:rPr>
          <w:color w:val="231F20"/>
          <w:w w:val="105"/>
        </w:rPr>
        <w:t>in</w:t>
      </w:r>
      <w:r>
        <w:rPr>
          <w:color w:val="231F20"/>
          <w:spacing w:val="-21"/>
          <w:w w:val="105"/>
        </w:rPr>
        <w:t> </w:t>
      </w:r>
      <w:r>
        <w:rPr>
          <w:color w:val="231F20"/>
          <w:w w:val="105"/>
        </w:rPr>
        <w:t>the tubular lumen (</w:t>
      </w:r>
      <w:hyperlink w:history="true" w:anchor="_bookmark44">
        <w:r>
          <w:rPr>
            <w:b/>
            <w:color w:val="0080AC"/>
            <w:w w:val="105"/>
          </w:rPr>
          <w:t>Figure 28-5</w:t>
        </w:r>
      </w:hyperlink>
      <w:r>
        <w:rPr>
          <w:color w:val="231F20"/>
          <w:w w:val="105"/>
        </w:rPr>
        <w:t>). Thus, the active</w:t>
      </w:r>
      <w:r>
        <w:rPr>
          <w:color w:val="231F20"/>
          <w:spacing w:val="-16"/>
          <w:w w:val="105"/>
        </w:rPr>
        <w:t> </w:t>
      </w:r>
      <w:r>
        <w:rPr>
          <w:color w:val="231F20"/>
          <w:w w:val="105"/>
        </w:rPr>
        <w:t>reabsorp- tion</w:t>
      </w:r>
      <w:r>
        <w:rPr>
          <w:color w:val="231F20"/>
          <w:spacing w:val="-18"/>
          <w:w w:val="105"/>
        </w:rPr>
        <w:t> </w:t>
      </w:r>
      <w:r>
        <w:rPr>
          <w:color w:val="231F20"/>
          <w:w w:val="105"/>
        </w:rPr>
        <w:t>of</w:t>
      </w:r>
      <w:r>
        <w:rPr>
          <w:color w:val="231F20"/>
          <w:spacing w:val="-17"/>
          <w:w w:val="105"/>
        </w:rPr>
        <w:t> </w:t>
      </w:r>
      <w:r>
        <w:rPr>
          <w:color w:val="231F20"/>
          <w:w w:val="105"/>
        </w:rPr>
        <w:t>sodium</w:t>
      </w:r>
      <w:r>
        <w:rPr>
          <w:color w:val="231F20"/>
          <w:spacing w:val="-17"/>
          <w:w w:val="105"/>
        </w:rPr>
        <w:t> </w:t>
      </w:r>
      <w:r>
        <w:rPr>
          <w:color w:val="231F20"/>
          <w:w w:val="105"/>
        </w:rPr>
        <w:t>is</w:t>
      </w:r>
      <w:r>
        <w:rPr>
          <w:color w:val="231F20"/>
          <w:spacing w:val="-17"/>
          <w:w w:val="105"/>
        </w:rPr>
        <w:t> </w:t>
      </w:r>
      <w:r>
        <w:rPr>
          <w:color w:val="231F20"/>
          <w:w w:val="105"/>
        </w:rPr>
        <w:t>closely</w:t>
      </w:r>
      <w:r>
        <w:rPr>
          <w:color w:val="231F20"/>
          <w:spacing w:val="-17"/>
          <w:w w:val="105"/>
        </w:rPr>
        <w:t> </w:t>
      </w:r>
      <w:r>
        <w:rPr>
          <w:color w:val="231F20"/>
          <w:w w:val="105"/>
        </w:rPr>
        <w:t>coupled</w:t>
      </w:r>
      <w:r>
        <w:rPr>
          <w:color w:val="231F20"/>
          <w:spacing w:val="-17"/>
          <w:w w:val="105"/>
        </w:rPr>
        <w:t> </w:t>
      </w:r>
      <w:r>
        <w:rPr>
          <w:color w:val="231F20"/>
          <w:w w:val="105"/>
        </w:rPr>
        <w:t>to</w:t>
      </w:r>
      <w:r>
        <w:rPr>
          <w:color w:val="231F20"/>
          <w:spacing w:val="-18"/>
          <w:w w:val="105"/>
        </w:rPr>
        <w:t> </w:t>
      </w:r>
      <w:r>
        <w:rPr>
          <w:color w:val="231F20"/>
          <w:w w:val="105"/>
        </w:rPr>
        <w:t>the</w:t>
      </w:r>
      <w:r>
        <w:rPr>
          <w:color w:val="231F20"/>
          <w:spacing w:val="-17"/>
          <w:w w:val="105"/>
        </w:rPr>
        <w:t> </w:t>
      </w:r>
      <w:r>
        <w:rPr>
          <w:color w:val="231F20"/>
          <w:w w:val="105"/>
        </w:rPr>
        <w:t>passive</w:t>
      </w:r>
      <w:r>
        <w:rPr>
          <w:color w:val="231F20"/>
          <w:spacing w:val="-17"/>
          <w:w w:val="105"/>
        </w:rPr>
        <w:t> </w:t>
      </w:r>
      <w:r>
        <w:rPr>
          <w:color w:val="231F20"/>
          <w:w w:val="105"/>
        </w:rPr>
        <w:t>reabsorp- tion of chloride by way of an electrical potential and a chloride concentration</w:t>
      </w:r>
      <w:r>
        <w:rPr>
          <w:color w:val="231F20"/>
          <w:spacing w:val="5"/>
          <w:w w:val="105"/>
        </w:rPr>
        <w:t> </w:t>
      </w:r>
      <w:r>
        <w:rPr>
          <w:color w:val="231F20"/>
          <w:w w:val="105"/>
        </w:rPr>
        <w:t>gradient.</w:t>
      </w:r>
    </w:p>
    <w:p>
      <w:pPr>
        <w:pStyle w:val="BodyText"/>
        <w:spacing w:line="249" w:lineRule="auto" w:before="12"/>
        <w:ind w:left="319" w:right="1437" w:firstLine="240"/>
        <w:jc w:val="both"/>
      </w:pPr>
      <w:r>
        <w:rPr>
          <w:color w:val="231F20"/>
          <w:w w:val="105"/>
        </w:rPr>
        <w:t>Chloride ions can also be reabsorbed by secondary active transport. The most important of the secondary active transport processes for chloride reabsorption involves</w:t>
      </w:r>
      <w:r>
        <w:rPr>
          <w:color w:val="231F20"/>
          <w:spacing w:val="-9"/>
          <w:w w:val="105"/>
        </w:rPr>
        <w:t> </w:t>
      </w:r>
      <w:r>
        <w:rPr>
          <w:color w:val="231F20"/>
          <w:w w:val="105"/>
        </w:rPr>
        <w:t>co-transport</w:t>
      </w:r>
      <w:r>
        <w:rPr>
          <w:color w:val="231F20"/>
          <w:spacing w:val="-8"/>
          <w:w w:val="105"/>
        </w:rPr>
        <w:t> </w:t>
      </w:r>
      <w:r>
        <w:rPr>
          <w:color w:val="231F20"/>
          <w:w w:val="105"/>
        </w:rPr>
        <w:t>of</w:t>
      </w:r>
      <w:r>
        <w:rPr>
          <w:color w:val="231F20"/>
          <w:spacing w:val="-8"/>
          <w:w w:val="105"/>
        </w:rPr>
        <w:t> </w:t>
      </w:r>
      <w:r>
        <w:rPr>
          <w:color w:val="231F20"/>
          <w:w w:val="105"/>
        </w:rPr>
        <w:t>chloride</w:t>
      </w:r>
      <w:r>
        <w:rPr>
          <w:color w:val="231F20"/>
          <w:spacing w:val="-9"/>
          <w:w w:val="105"/>
        </w:rPr>
        <w:t> </w:t>
      </w:r>
      <w:r>
        <w:rPr>
          <w:color w:val="231F20"/>
          <w:w w:val="105"/>
        </w:rPr>
        <w:t>with</w:t>
      </w:r>
      <w:r>
        <w:rPr>
          <w:color w:val="231F20"/>
          <w:spacing w:val="-8"/>
          <w:w w:val="105"/>
        </w:rPr>
        <w:t> </w:t>
      </w:r>
      <w:r>
        <w:rPr>
          <w:color w:val="231F20"/>
          <w:w w:val="105"/>
        </w:rPr>
        <w:t>sodium</w:t>
      </w:r>
      <w:r>
        <w:rPr>
          <w:color w:val="231F20"/>
          <w:spacing w:val="-8"/>
          <w:w w:val="105"/>
        </w:rPr>
        <w:t> </w:t>
      </w:r>
      <w:r>
        <w:rPr>
          <w:color w:val="231F20"/>
          <w:w w:val="105"/>
        </w:rPr>
        <w:t>across</w:t>
      </w:r>
      <w:r>
        <w:rPr>
          <w:color w:val="231F20"/>
          <w:spacing w:val="-9"/>
          <w:w w:val="105"/>
        </w:rPr>
        <w:t> </w:t>
      </w:r>
      <w:r>
        <w:rPr>
          <w:color w:val="231F20"/>
          <w:w w:val="105"/>
        </w:rPr>
        <w:t>the luminal</w:t>
      </w:r>
      <w:r>
        <w:rPr>
          <w:color w:val="231F20"/>
          <w:spacing w:val="3"/>
          <w:w w:val="105"/>
        </w:rPr>
        <w:t> </w:t>
      </w:r>
      <w:r>
        <w:rPr>
          <w:color w:val="231F20"/>
          <w:w w:val="105"/>
        </w:rPr>
        <w:t>membrane.</w:t>
      </w:r>
    </w:p>
    <w:p>
      <w:pPr>
        <w:pStyle w:val="BodyText"/>
        <w:spacing w:line="249" w:lineRule="auto" w:before="4"/>
        <w:ind w:left="319" w:right="1437" w:firstLine="240"/>
        <w:jc w:val="both"/>
      </w:pPr>
      <w:r>
        <w:rPr>
          <w:color w:val="231F20"/>
          <w:w w:val="105"/>
        </w:rPr>
        <w:t>Urea</w:t>
      </w:r>
      <w:r>
        <w:rPr>
          <w:color w:val="231F20"/>
          <w:spacing w:val="-11"/>
          <w:w w:val="105"/>
        </w:rPr>
        <w:t> </w:t>
      </w:r>
      <w:r>
        <w:rPr>
          <w:color w:val="231F20"/>
          <w:w w:val="105"/>
        </w:rPr>
        <w:t>is</w:t>
      </w:r>
      <w:r>
        <w:rPr>
          <w:color w:val="231F20"/>
          <w:spacing w:val="-11"/>
          <w:w w:val="105"/>
        </w:rPr>
        <w:t> </w:t>
      </w:r>
      <w:r>
        <w:rPr>
          <w:color w:val="231F20"/>
          <w:w w:val="105"/>
        </w:rPr>
        <w:t>also</w:t>
      </w:r>
      <w:r>
        <w:rPr>
          <w:color w:val="231F20"/>
          <w:spacing w:val="-11"/>
          <w:w w:val="105"/>
        </w:rPr>
        <w:t> </w:t>
      </w:r>
      <w:r>
        <w:rPr>
          <w:color w:val="231F20"/>
          <w:w w:val="105"/>
        </w:rPr>
        <w:t>passively</w:t>
      </w:r>
      <w:r>
        <w:rPr>
          <w:color w:val="231F20"/>
          <w:spacing w:val="-11"/>
          <w:w w:val="105"/>
        </w:rPr>
        <w:t> </w:t>
      </w:r>
      <w:r>
        <w:rPr>
          <w:color w:val="231F20"/>
          <w:w w:val="105"/>
        </w:rPr>
        <w:t>reabsorbed</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tubule,</w:t>
      </w:r>
      <w:r>
        <w:rPr>
          <w:color w:val="231F20"/>
          <w:spacing w:val="-11"/>
          <w:w w:val="105"/>
        </w:rPr>
        <w:t> </w:t>
      </w:r>
      <w:r>
        <w:rPr>
          <w:color w:val="231F20"/>
          <w:w w:val="105"/>
        </w:rPr>
        <w:t>but to a much lesser extent than chloride ions. As water is reabsorbed from the tubules (by osmosis coupled to sodium reabsorption), urea concentration in the </w:t>
      </w:r>
      <w:r>
        <w:rPr>
          <w:color w:val="231F20"/>
          <w:spacing w:val="-3"/>
          <w:w w:val="105"/>
        </w:rPr>
        <w:t>tubular </w:t>
      </w:r>
      <w:r>
        <w:rPr>
          <w:color w:val="231F20"/>
          <w:w w:val="105"/>
        </w:rPr>
        <w:t>lumen</w:t>
      </w:r>
      <w:r>
        <w:rPr>
          <w:color w:val="231F20"/>
          <w:spacing w:val="-10"/>
          <w:w w:val="105"/>
        </w:rPr>
        <w:t> </w:t>
      </w:r>
      <w:r>
        <w:rPr>
          <w:color w:val="231F20"/>
          <w:w w:val="105"/>
        </w:rPr>
        <w:t>increases</w:t>
      </w:r>
      <w:r>
        <w:rPr>
          <w:color w:val="231F20"/>
          <w:spacing w:val="-10"/>
          <w:w w:val="105"/>
        </w:rPr>
        <w:t> </w:t>
      </w:r>
      <w:r>
        <w:rPr>
          <w:color w:val="231F20"/>
          <w:w w:val="105"/>
        </w:rPr>
        <w:t>(see</w:t>
      </w:r>
      <w:r>
        <w:rPr>
          <w:color w:val="231F20"/>
          <w:spacing w:val="-10"/>
          <w:w w:val="105"/>
        </w:rPr>
        <w:t> </w:t>
      </w:r>
      <w:hyperlink w:history="true" w:anchor="_bookmark44">
        <w:r>
          <w:rPr>
            <w:b/>
            <w:color w:val="0080AC"/>
            <w:w w:val="105"/>
          </w:rPr>
          <w:t>Figure</w:t>
        </w:r>
        <w:r>
          <w:rPr>
            <w:b/>
            <w:color w:val="0080AC"/>
            <w:spacing w:val="-13"/>
            <w:w w:val="105"/>
          </w:rPr>
          <w:t> </w:t>
        </w:r>
        <w:r>
          <w:rPr>
            <w:b/>
            <w:color w:val="0080AC"/>
            <w:w w:val="105"/>
          </w:rPr>
          <w:t>28-5</w:t>
        </w:r>
      </w:hyperlink>
      <w:r>
        <w:rPr>
          <w:color w:val="231F20"/>
          <w:w w:val="105"/>
        </w:rPr>
        <w:t>).</w:t>
      </w:r>
      <w:r>
        <w:rPr>
          <w:color w:val="231F20"/>
          <w:spacing w:val="-9"/>
          <w:w w:val="105"/>
        </w:rPr>
        <w:t> </w:t>
      </w:r>
      <w:r>
        <w:rPr>
          <w:color w:val="231F20"/>
          <w:w w:val="105"/>
        </w:rPr>
        <w:t>This</w:t>
      </w:r>
      <w:r>
        <w:rPr>
          <w:color w:val="231F20"/>
          <w:spacing w:val="-10"/>
          <w:w w:val="105"/>
        </w:rPr>
        <w:t> </w:t>
      </w:r>
      <w:r>
        <w:rPr>
          <w:color w:val="231F20"/>
          <w:w w:val="105"/>
        </w:rPr>
        <w:t>increase</w:t>
      </w:r>
      <w:r>
        <w:rPr>
          <w:color w:val="231F20"/>
          <w:spacing w:val="-10"/>
          <w:w w:val="105"/>
        </w:rPr>
        <w:t> </w:t>
      </w:r>
      <w:r>
        <w:rPr>
          <w:color w:val="231F20"/>
          <w:w w:val="105"/>
        </w:rPr>
        <w:t>creates</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486"/>
          <w:pgSz w:w="12240" w:h="15660"/>
          <w:pgMar w:header="0" w:footer="567" w:top="0" w:bottom="760" w:left="0" w:right="0"/>
        </w:sectPr>
      </w:pPr>
    </w:p>
    <w:p>
      <w:pPr>
        <w:pStyle w:val="BodyText"/>
        <w:spacing w:line="249" w:lineRule="auto" w:before="100"/>
        <w:ind w:left="1440"/>
        <w:jc w:val="both"/>
      </w:pPr>
      <w:r>
        <w:rPr>
          <w:color w:val="231F20"/>
          <w:w w:val="105"/>
        </w:rPr>
        <w:t>a concentration gradient favoring the reabsorption </w:t>
      </w:r>
      <w:r>
        <w:rPr>
          <w:color w:val="231F20"/>
          <w:spacing w:val="-7"/>
          <w:w w:val="105"/>
        </w:rPr>
        <w:t>of </w:t>
      </w:r>
      <w:r>
        <w:rPr>
          <w:color w:val="231F20"/>
          <w:w w:val="105"/>
        </w:rPr>
        <w:t>urea. However, urea does not permeate the tubule </w:t>
      </w:r>
      <w:r>
        <w:rPr>
          <w:color w:val="231F20"/>
          <w:spacing w:val="-6"/>
          <w:w w:val="105"/>
        </w:rPr>
        <w:t>as </w:t>
      </w:r>
      <w:r>
        <w:rPr>
          <w:color w:val="231F20"/>
          <w:w w:val="105"/>
        </w:rPr>
        <w:t>readily</w:t>
      </w:r>
      <w:r>
        <w:rPr>
          <w:color w:val="231F20"/>
          <w:spacing w:val="-14"/>
          <w:w w:val="105"/>
        </w:rPr>
        <w:t> </w:t>
      </w:r>
      <w:r>
        <w:rPr>
          <w:color w:val="231F20"/>
          <w:w w:val="105"/>
        </w:rPr>
        <w:t>as</w:t>
      </w:r>
      <w:r>
        <w:rPr>
          <w:color w:val="231F20"/>
          <w:spacing w:val="-14"/>
          <w:w w:val="105"/>
        </w:rPr>
        <w:t> </w:t>
      </w:r>
      <w:r>
        <w:rPr>
          <w:color w:val="231F20"/>
          <w:w w:val="105"/>
        </w:rPr>
        <w:t>does</w:t>
      </w:r>
      <w:r>
        <w:rPr>
          <w:color w:val="231F20"/>
          <w:spacing w:val="-14"/>
          <w:w w:val="105"/>
        </w:rPr>
        <w:t> </w:t>
      </w:r>
      <w:r>
        <w:rPr>
          <w:color w:val="231F20"/>
          <w:spacing w:val="-3"/>
          <w:w w:val="105"/>
        </w:rPr>
        <w:t>water.</w:t>
      </w:r>
      <w:r>
        <w:rPr>
          <w:color w:val="231F20"/>
          <w:spacing w:val="-14"/>
          <w:w w:val="105"/>
        </w:rPr>
        <w:t> </w:t>
      </w:r>
      <w:r>
        <w:rPr>
          <w:color w:val="231F20"/>
          <w:w w:val="105"/>
        </w:rPr>
        <w:t>In</w:t>
      </w:r>
      <w:r>
        <w:rPr>
          <w:color w:val="231F20"/>
          <w:spacing w:val="-14"/>
          <w:w w:val="105"/>
        </w:rPr>
        <w:t> </w:t>
      </w:r>
      <w:r>
        <w:rPr>
          <w:color w:val="231F20"/>
          <w:w w:val="105"/>
        </w:rPr>
        <w:t>some</w:t>
      </w:r>
      <w:r>
        <w:rPr>
          <w:color w:val="231F20"/>
          <w:spacing w:val="-14"/>
          <w:w w:val="105"/>
        </w:rPr>
        <w:t> </w:t>
      </w:r>
      <w:r>
        <w:rPr>
          <w:color w:val="231F20"/>
          <w:w w:val="105"/>
        </w:rPr>
        <w:t>parts</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4"/>
          <w:w w:val="105"/>
        </w:rPr>
        <w:t> </w:t>
      </w:r>
      <w:r>
        <w:rPr>
          <w:color w:val="231F20"/>
          <w:w w:val="105"/>
        </w:rPr>
        <w:t>nephron,</w:t>
      </w:r>
      <w:r>
        <w:rPr>
          <w:color w:val="231F20"/>
          <w:spacing w:val="-14"/>
          <w:w w:val="105"/>
        </w:rPr>
        <w:t> </w:t>
      </w:r>
      <w:r>
        <w:rPr>
          <w:color w:val="231F20"/>
          <w:w w:val="105"/>
        </w:rPr>
        <w:t>espe- cially the inner medullary collecting duct, passive </w:t>
      </w:r>
      <w:r>
        <w:rPr>
          <w:color w:val="231F20"/>
          <w:spacing w:val="-5"/>
          <w:w w:val="105"/>
        </w:rPr>
        <w:t>urea </w:t>
      </w:r>
      <w:r>
        <w:rPr>
          <w:color w:val="231F20"/>
          <w:w w:val="105"/>
        </w:rPr>
        <w:t>reabsorption is facilitated by specific </w:t>
      </w:r>
      <w:r>
        <w:rPr>
          <w:i/>
          <w:color w:val="231F20"/>
          <w:w w:val="105"/>
        </w:rPr>
        <w:t>urea</w:t>
      </w:r>
      <w:r>
        <w:rPr>
          <w:i/>
          <w:color w:val="231F20"/>
          <w:spacing w:val="-15"/>
          <w:w w:val="105"/>
        </w:rPr>
        <w:t> </w:t>
      </w:r>
      <w:r>
        <w:rPr>
          <w:i/>
          <w:color w:val="231F20"/>
          <w:w w:val="105"/>
        </w:rPr>
        <w:t>transporters. </w:t>
      </w:r>
      <w:r>
        <w:rPr>
          <w:color w:val="231F20"/>
          <w:spacing w:val="-4"/>
          <w:w w:val="105"/>
        </w:rPr>
        <w:t>Yet,</w:t>
      </w:r>
      <w:r>
        <w:rPr>
          <w:color w:val="231F20"/>
          <w:spacing w:val="-8"/>
          <w:w w:val="105"/>
        </w:rPr>
        <w:t> </w:t>
      </w:r>
      <w:r>
        <w:rPr>
          <w:color w:val="231F20"/>
          <w:w w:val="105"/>
        </w:rPr>
        <w:t>only</w:t>
      </w:r>
      <w:r>
        <w:rPr>
          <w:color w:val="231F20"/>
          <w:spacing w:val="-8"/>
          <w:w w:val="105"/>
        </w:rPr>
        <w:t> </w:t>
      </w:r>
      <w:r>
        <w:rPr>
          <w:color w:val="231F20"/>
          <w:w w:val="105"/>
        </w:rPr>
        <w:t>about</w:t>
      </w:r>
      <w:r>
        <w:rPr>
          <w:color w:val="231F20"/>
          <w:spacing w:val="-7"/>
          <w:w w:val="105"/>
        </w:rPr>
        <w:t> </w:t>
      </w:r>
      <w:r>
        <w:rPr>
          <w:color w:val="231F20"/>
          <w:w w:val="105"/>
        </w:rPr>
        <w:t>one</w:t>
      </w:r>
      <w:r>
        <w:rPr>
          <w:color w:val="231F20"/>
          <w:spacing w:val="-8"/>
          <w:w w:val="105"/>
        </w:rPr>
        <w:t> </w:t>
      </w:r>
      <w:r>
        <w:rPr>
          <w:color w:val="231F20"/>
          <w:w w:val="105"/>
        </w:rPr>
        <w:t>half</w:t>
      </w:r>
      <w:r>
        <w:rPr>
          <w:color w:val="231F20"/>
          <w:spacing w:val="-7"/>
          <w:w w:val="105"/>
        </w:rPr>
        <w:t>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urea</w:t>
      </w:r>
      <w:r>
        <w:rPr>
          <w:color w:val="231F20"/>
          <w:spacing w:val="-8"/>
          <w:w w:val="105"/>
        </w:rPr>
        <w:t> </w:t>
      </w:r>
      <w:r>
        <w:rPr>
          <w:color w:val="231F20"/>
          <w:w w:val="105"/>
        </w:rPr>
        <w:t>that</w:t>
      </w:r>
      <w:r>
        <w:rPr>
          <w:color w:val="231F20"/>
          <w:spacing w:val="-7"/>
          <w:w w:val="105"/>
        </w:rPr>
        <w:t> </w:t>
      </w:r>
      <w:r>
        <w:rPr>
          <w:color w:val="231F20"/>
          <w:w w:val="105"/>
        </w:rPr>
        <w:t>is</w:t>
      </w:r>
      <w:r>
        <w:rPr>
          <w:color w:val="231F20"/>
          <w:spacing w:val="-8"/>
          <w:w w:val="105"/>
        </w:rPr>
        <w:t> </w:t>
      </w:r>
      <w:r>
        <w:rPr>
          <w:color w:val="231F20"/>
          <w:w w:val="105"/>
        </w:rPr>
        <w:t>filtered</w:t>
      </w:r>
      <w:r>
        <w:rPr>
          <w:color w:val="231F20"/>
          <w:spacing w:val="-7"/>
          <w:w w:val="105"/>
        </w:rPr>
        <w:t> </w:t>
      </w:r>
      <w:r>
        <w:rPr>
          <w:color w:val="231F20"/>
          <w:w w:val="105"/>
        </w:rPr>
        <w:t>by</w:t>
      </w:r>
      <w:r>
        <w:rPr>
          <w:color w:val="231F20"/>
          <w:spacing w:val="-8"/>
          <w:w w:val="105"/>
        </w:rPr>
        <w:t> </w:t>
      </w:r>
      <w:r>
        <w:rPr>
          <w:color w:val="231F20"/>
          <w:w w:val="105"/>
        </w:rPr>
        <w:t>the glomerular</w:t>
      </w:r>
      <w:r>
        <w:rPr>
          <w:color w:val="231F20"/>
          <w:spacing w:val="-28"/>
          <w:w w:val="105"/>
        </w:rPr>
        <w:t> </w:t>
      </w:r>
      <w:r>
        <w:rPr>
          <w:color w:val="231F20"/>
          <w:w w:val="105"/>
        </w:rPr>
        <w:t>capillaries</w:t>
      </w:r>
      <w:r>
        <w:rPr>
          <w:color w:val="231F20"/>
          <w:spacing w:val="-27"/>
          <w:w w:val="105"/>
        </w:rPr>
        <w:t> </w:t>
      </w:r>
      <w:r>
        <w:rPr>
          <w:color w:val="231F20"/>
          <w:w w:val="105"/>
        </w:rPr>
        <w:t>is</w:t>
      </w:r>
      <w:r>
        <w:rPr>
          <w:color w:val="231F20"/>
          <w:spacing w:val="-27"/>
          <w:w w:val="105"/>
        </w:rPr>
        <w:t> </w:t>
      </w:r>
      <w:r>
        <w:rPr>
          <w:color w:val="231F20"/>
          <w:w w:val="105"/>
        </w:rPr>
        <w:t>reabsorbed</w:t>
      </w:r>
      <w:r>
        <w:rPr>
          <w:color w:val="231F20"/>
          <w:spacing w:val="-27"/>
          <w:w w:val="105"/>
        </w:rPr>
        <w:t> </w:t>
      </w:r>
      <w:r>
        <w:rPr>
          <w:color w:val="231F20"/>
          <w:w w:val="105"/>
        </w:rPr>
        <w:t>from</w:t>
      </w:r>
      <w:r>
        <w:rPr>
          <w:color w:val="231F20"/>
          <w:spacing w:val="-27"/>
          <w:w w:val="105"/>
        </w:rPr>
        <w:t> </w:t>
      </w:r>
      <w:r>
        <w:rPr>
          <w:color w:val="231F20"/>
          <w:w w:val="105"/>
        </w:rPr>
        <w:t>the</w:t>
      </w:r>
      <w:r>
        <w:rPr>
          <w:color w:val="231F20"/>
          <w:spacing w:val="-27"/>
          <w:w w:val="105"/>
        </w:rPr>
        <w:t> </w:t>
      </w:r>
      <w:r>
        <w:rPr>
          <w:color w:val="231F20"/>
          <w:w w:val="105"/>
        </w:rPr>
        <w:t>tubules.</w:t>
      </w:r>
      <w:r>
        <w:rPr>
          <w:color w:val="231F20"/>
          <w:spacing w:val="-28"/>
          <w:w w:val="105"/>
        </w:rPr>
        <w:t> </w:t>
      </w:r>
      <w:r>
        <w:rPr>
          <w:color w:val="231F20"/>
          <w:w w:val="105"/>
        </w:rPr>
        <w:t>The remainder of the urea passes into the urine, allowing the</w:t>
      </w:r>
      <w:r>
        <w:rPr>
          <w:color w:val="231F20"/>
          <w:spacing w:val="-24"/>
          <w:w w:val="105"/>
        </w:rPr>
        <w:t> </w:t>
      </w:r>
      <w:r>
        <w:rPr>
          <w:color w:val="231F20"/>
          <w:w w:val="105"/>
        </w:rPr>
        <w:t>kidneys</w:t>
      </w:r>
      <w:r>
        <w:rPr>
          <w:color w:val="231F20"/>
          <w:spacing w:val="-23"/>
          <w:w w:val="105"/>
        </w:rPr>
        <w:t> </w:t>
      </w:r>
      <w:r>
        <w:rPr>
          <w:color w:val="231F20"/>
          <w:w w:val="105"/>
        </w:rPr>
        <w:t>to</w:t>
      </w:r>
      <w:r>
        <w:rPr>
          <w:color w:val="231F20"/>
          <w:spacing w:val="-24"/>
          <w:w w:val="105"/>
        </w:rPr>
        <w:t> </w:t>
      </w:r>
      <w:r>
        <w:rPr>
          <w:color w:val="231F20"/>
          <w:w w:val="105"/>
        </w:rPr>
        <w:t>excrete</w:t>
      </w:r>
      <w:r>
        <w:rPr>
          <w:color w:val="231F20"/>
          <w:spacing w:val="-23"/>
          <w:w w:val="105"/>
        </w:rPr>
        <w:t> </w:t>
      </w:r>
      <w:r>
        <w:rPr>
          <w:color w:val="231F20"/>
          <w:w w:val="105"/>
        </w:rPr>
        <w:t>large</w:t>
      </w:r>
      <w:r>
        <w:rPr>
          <w:color w:val="231F20"/>
          <w:spacing w:val="-23"/>
          <w:w w:val="105"/>
        </w:rPr>
        <w:t> </w:t>
      </w:r>
      <w:r>
        <w:rPr>
          <w:color w:val="231F20"/>
          <w:w w:val="105"/>
        </w:rPr>
        <w:t>amounts</w:t>
      </w:r>
      <w:r>
        <w:rPr>
          <w:color w:val="231F20"/>
          <w:spacing w:val="-24"/>
          <w:w w:val="105"/>
        </w:rPr>
        <w:t> </w:t>
      </w:r>
      <w:r>
        <w:rPr>
          <w:color w:val="231F20"/>
          <w:w w:val="105"/>
        </w:rPr>
        <w:t>of</w:t>
      </w:r>
      <w:r>
        <w:rPr>
          <w:color w:val="231F20"/>
          <w:spacing w:val="-23"/>
          <w:w w:val="105"/>
        </w:rPr>
        <w:t> </w:t>
      </w:r>
      <w:r>
        <w:rPr>
          <w:color w:val="231F20"/>
          <w:w w:val="105"/>
        </w:rPr>
        <w:t>this</w:t>
      </w:r>
      <w:r>
        <w:rPr>
          <w:color w:val="231F20"/>
          <w:spacing w:val="-23"/>
          <w:w w:val="105"/>
        </w:rPr>
        <w:t> </w:t>
      </w:r>
      <w:r>
        <w:rPr>
          <w:color w:val="231F20"/>
          <w:w w:val="105"/>
        </w:rPr>
        <w:t>waste</w:t>
      </w:r>
      <w:r>
        <w:rPr>
          <w:color w:val="231F20"/>
          <w:spacing w:val="-24"/>
          <w:w w:val="105"/>
        </w:rPr>
        <w:t> </w:t>
      </w:r>
      <w:r>
        <w:rPr>
          <w:color w:val="231F20"/>
          <w:w w:val="105"/>
        </w:rPr>
        <w:t>product of metabolism. In mammals, more than 90 percent </w:t>
      </w:r>
      <w:r>
        <w:rPr>
          <w:color w:val="231F20"/>
          <w:spacing w:val="-7"/>
          <w:w w:val="105"/>
        </w:rPr>
        <w:t>of </w:t>
      </w:r>
      <w:r>
        <w:rPr>
          <w:color w:val="231F20"/>
          <w:w w:val="105"/>
        </w:rPr>
        <w:t>waste</w:t>
      </w:r>
      <w:r>
        <w:rPr>
          <w:color w:val="231F20"/>
          <w:spacing w:val="-15"/>
          <w:w w:val="105"/>
        </w:rPr>
        <w:t> </w:t>
      </w:r>
      <w:r>
        <w:rPr>
          <w:color w:val="231F20"/>
          <w:w w:val="105"/>
        </w:rPr>
        <w:t>nitrogen,</w:t>
      </w:r>
      <w:r>
        <w:rPr>
          <w:color w:val="231F20"/>
          <w:spacing w:val="-15"/>
          <w:w w:val="105"/>
        </w:rPr>
        <w:t> </w:t>
      </w:r>
      <w:r>
        <w:rPr>
          <w:color w:val="231F20"/>
          <w:w w:val="105"/>
        </w:rPr>
        <w:t>mainly</w:t>
      </w:r>
      <w:r>
        <w:rPr>
          <w:color w:val="231F20"/>
          <w:spacing w:val="-14"/>
          <w:w w:val="105"/>
        </w:rPr>
        <w:t> </w:t>
      </w:r>
      <w:r>
        <w:rPr>
          <w:color w:val="231F20"/>
          <w:w w:val="105"/>
        </w:rPr>
        <w:t>generated</w:t>
      </w:r>
      <w:r>
        <w:rPr>
          <w:color w:val="231F20"/>
          <w:spacing w:val="-15"/>
          <w:w w:val="105"/>
        </w:rPr>
        <w:t> </w:t>
      </w:r>
      <w:r>
        <w:rPr>
          <w:color w:val="231F20"/>
          <w:w w:val="105"/>
        </w:rPr>
        <w:t>in</w:t>
      </w:r>
      <w:r>
        <w:rPr>
          <w:color w:val="231F20"/>
          <w:spacing w:val="-14"/>
          <w:w w:val="105"/>
        </w:rPr>
        <w:t> </w:t>
      </w:r>
      <w:r>
        <w:rPr>
          <w:color w:val="231F20"/>
          <w:w w:val="105"/>
        </w:rPr>
        <w:t>the</w:t>
      </w:r>
      <w:r>
        <w:rPr>
          <w:color w:val="231F20"/>
          <w:spacing w:val="-15"/>
          <w:w w:val="105"/>
        </w:rPr>
        <w:t> </w:t>
      </w:r>
      <w:r>
        <w:rPr>
          <w:color w:val="231F20"/>
          <w:w w:val="105"/>
        </w:rPr>
        <w:t>liver</w:t>
      </w:r>
      <w:r>
        <w:rPr>
          <w:color w:val="231F20"/>
          <w:spacing w:val="-14"/>
          <w:w w:val="105"/>
        </w:rPr>
        <w:t> </w:t>
      </w:r>
      <w:r>
        <w:rPr>
          <w:color w:val="231F20"/>
          <w:w w:val="105"/>
        </w:rPr>
        <w:t>as</w:t>
      </w:r>
      <w:r>
        <w:rPr>
          <w:color w:val="231F20"/>
          <w:spacing w:val="-15"/>
          <w:w w:val="105"/>
        </w:rPr>
        <w:t> </w:t>
      </w:r>
      <w:r>
        <w:rPr>
          <w:color w:val="231F20"/>
          <w:w w:val="105"/>
        </w:rPr>
        <w:t>a</w:t>
      </w:r>
      <w:r>
        <w:rPr>
          <w:color w:val="231F20"/>
          <w:spacing w:val="-15"/>
          <w:w w:val="105"/>
        </w:rPr>
        <w:t> </w:t>
      </w:r>
      <w:r>
        <w:rPr>
          <w:color w:val="231F20"/>
          <w:spacing w:val="-3"/>
          <w:w w:val="105"/>
        </w:rPr>
        <w:t>product </w:t>
      </w:r>
      <w:r>
        <w:rPr>
          <w:color w:val="231F20"/>
          <w:w w:val="105"/>
        </w:rPr>
        <w:t>of</w:t>
      </w:r>
      <w:r>
        <w:rPr>
          <w:color w:val="231F20"/>
          <w:spacing w:val="-35"/>
          <w:w w:val="105"/>
        </w:rPr>
        <w:t> </w:t>
      </w:r>
      <w:r>
        <w:rPr>
          <w:color w:val="231F20"/>
          <w:w w:val="105"/>
        </w:rPr>
        <w:t>protein</w:t>
      </w:r>
      <w:r>
        <w:rPr>
          <w:color w:val="231F20"/>
          <w:spacing w:val="-35"/>
          <w:w w:val="105"/>
        </w:rPr>
        <w:t> </w:t>
      </w:r>
      <w:r>
        <w:rPr>
          <w:color w:val="231F20"/>
          <w:w w:val="105"/>
        </w:rPr>
        <w:t>metabolism,</w:t>
      </w:r>
      <w:r>
        <w:rPr>
          <w:color w:val="231F20"/>
          <w:spacing w:val="-35"/>
          <w:w w:val="105"/>
        </w:rPr>
        <w:t> </w:t>
      </w:r>
      <w:r>
        <w:rPr>
          <w:color w:val="231F20"/>
          <w:w w:val="105"/>
        </w:rPr>
        <w:t>is</w:t>
      </w:r>
      <w:r>
        <w:rPr>
          <w:color w:val="231F20"/>
          <w:spacing w:val="-34"/>
          <w:w w:val="105"/>
        </w:rPr>
        <w:t> </w:t>
      </w:r>
      <w:r>
        <w:rPr>
          <w:color w:val="231F20"/>
          <w:w w:val="105"/>
        </w:rPr>
        <w:t>normally</w:t>
      </w:r>
      <w:r>
        <w:rPr>
          <w:color w:val="231F20"/>
          <w:spacing w:val="-35"/>
          <w:w w:val="105"/>
        </w:rPr>
        <w:t> </w:t>
      </w:r>
      <w:r>
        <w:rPr>
          <w:color w:val="231F20"/>
          <w:w w:val="105"/>
        </w:rPr>
        <w:t>excreted</w:t>
      </w:r>
      <w:r>
        <w:rPr>
          <w:color w:val="231F20"/>
          <w:spacing w:val="-35"/>
          <w:w w:val="105"/>
        </w:rPr>
        <w:t> </w:t>
      </w:r>
      <w:r>
        <w:rPr>
          <w:color w:val="231F20"/>
          <w:w w:val="105"/>
        </w:rPr>
        <w:t>by</w:t>
      </w:r>
      <w:r>
        <w:rPr>
          <w:color w:val="231F20"/>
          <w:spacing w:val="-35"/>
          <w:w w:val="105"/>
        </w:rPr>
        <w:t> </w:t>
      </w:r>
      <w:r>
        <w:rPr>
          <w:color w:val="231F20"/>
          <w:w w:val="105"/>
        </w:rPr>
        <w:t>the</w:t>
      </w:r>
      <w:r>
        <w:rPr>
          <w:color w:val="231F20"/>
          <w:spacing w:val="-34"/>
          <w:w w:val="105"/>
        </w:rPr>
        <w:t> </w:t>
      </w:r>
      <w:r>
        <w:rPr>
          <w:color w:val="231F20"/>
          <w:w w:val="105"/>
        </w:rPr>
        <w:t>kidneys as</w:t>
      </w:r>
      <w:r>
        <w:rPr>
          <w:color w:val="231F20"/>
          <w:spacing w:val="3"/>
          <w:w w:val="105"/>
        </w:rPr>
        <w:t> </w:t>
      </w:r>
      <w:r>
        <w:rPr>
          <w:color w:val="231F20"/>
          <w:w w:val="105"/>
        </w:rPr>
        <w:t>urea.</w:t>
      </w:r>
    </w:p>
    <w:p>
      <w:pPr>
        <w:pStyle w:val="BodyText"/>
        <w:spacing w:line="249" w:lineRule="auto" w:before="10"/>
        <w:ind w:left="1440" w:firstLine="240"/>
        <w:jc w:val="both"/>
      </w:pPr>
      <w:r>
        <w:rPr>
          <w:color w:val="231F20"/>
          <w:w w:val="105"/>
        </w:rPr>
        <w:t>Another</w:t>
      </w:r>
      <w:r>
        <w:rPr>
          <w:color w:val="231F20"/>
          <w:spacing w:val="-25"/>
          <w:w w:val="105"/>
        </w:rPr>
        <w:t> </w:t>
      </w:r>
      <w:r>
        <w:rPr>
          <w:color w:val="231F20"/>
          <w:w w:val="105"/>
        </w:rPr>
        <w:t>waste</w:t>
      </w:r>
      <w:r>
        <w:rPr>
          <w:color w:val="231F20"/>
          <w:spacing w:val="-24"/>
          <w:w w:val="105"/>
        </w:rPr>
        <w:t> </w:t>
      </w:r>
      <w:r>
        <w:rPr>
          <w:color w:val="231F20"/>
          <w:w w:val="105"/>
        </w:rPr>
        <w:t>product</w:t>
      </w:r>
      <w:r>
        <w:rPr>
          <w:color w:val="231F20"/>
          <w:spacing w:val="-24"/>
          <w:w w:val="105"/>
        </w:rPr>
        <w:t> </w:t>
      </w:r>
      <w:r>
        <w:rPr>
          <w:color w:val="231F20"/>
          <w:w w:val="105"/>
        </w:rPr>
        <w:t>of</w:t>
      </w:r>
      <w:r>
        <w:rPr>
          <w:color w:val="231F20"/>
          <w:spacing w:val="-24"/>
          <w:w w:val="105"/>
        </w:rPr>
        <w:t> </w:t>
      </w:r>
      <w:r>
        <w:rPr>
          <w:color w:val="231F20"/>
          <w:w w:val="105"/>
        </w:rPr>
        <w:t>metabolism,</w:t>
      </w:r>
      <w:r>
        <w:rPr>
          <w:color w:val="231F20"/>
          <w:spacing w:val="-24"/>
          <w:w w:val="105"/>
        </w:rPr>
        <w:t> </w:t>
      </w:r>
      <w:r>
        <w:rPr>
          <w:color w:val="231F20"/>
          <w:w w:val="105"/>
        </w:rPr>
        <w:t>creatinine,</w:t>
      </w:r>
      <w:r>
        <w:rPr>
          <w:color w:val="231F20"/>
          <w:spacing w:val="-24"/>
          <w:w w:val="105"/>
        </w:rPr>
        <w:t> </w:t>
      </w:r>
      <w:r>
        <w:rPr>
          <w:color w:val="231F20"/>
          <w:w w:val="105"/>
        </w:rPr>
        <w:t>is</w:t>
      </w:r>
      <w:r>
        <w:rPr>
          <w:color w:val="231F20"/>
          <w:spacing w:val="-24"/>
          <w:w w:val="105"/>
        </w:rPr>
        <w:t> </w:t>
      </w:r>
      <w:r>
        <w:rPr>
          <w:color w:val="231F20"/>
          <w:w w:val="105"/>
        </w:rPr>
        <w:t>an even larger molecule than urea and is essentially </w:t>
      </w:r>
      <w:r>
        <w:rPr>
          <w:color w:val="231F20"/>
          <w:spacing w:val="-4"/>
          <w:w w:val="105"/>
        </w:rPr>
        <w:t>imper- </w:t>
      </w:r>
      <w:r>
        <w:rPr>
          <w:color w:val="231F20"/>
          <w:w w:val="105"/>
        </w:rPr>
        <w:t>meant to the tubular membrane. Therefore, almost </w:t>
      </w:r>
      <w:r>
        <w:rPr>
          <w:color w:val="231F20"/>
          <w:spacing w:val="-4"/>
          <w:w w:val="105"/>
        </w:rPr>
        <w:t>none </w:t>
      </w:r>
      <w:r>
        <w:rPr>
          <w:color w:val="231F20"/>
          <w:w w:val="105"/>
        </w:rPr>
        <w:t>of the creatinine that is filtered is reabsorbed, and </w:t>
      </w:r>
      <w:r>
        <w:rPr>
          <w:color w:val="231F20"/>
          <w:spacing w:val="-4"/>
          <w:w w:val="105"/>
        </w:rPr>
        <w:t>thus </w:t>
      </w:r>
      <w:r>
        <w:rPr>
          <w:color w:val="231F20"/>
          <w:w w:val="105"/>
        </w:rPr>
        <w:t>virtually all the creatinine filtered by the glomerulus </w:t>
      </w:r>
      <w:r>
        <w:rPr>
          <w:color w:val="231F20"/>
          <w:spacing w:val="-7"/>
          <w:w w:val="105"/>
        </w:rPr>
        <w:t>is </w:t>
      </w:r>
      <w:r>
        <w:rPr>
          <w:color w:val="231F20"/>
          <w:w w:val="105"/>
        </w:rPr>
        <w:t>excreted in the</w:t>
      </w:r>
      <w:r>
        <w:rPr>
          <w:color w:val="231F20"/>
          <w:spacing w:val="9"/>
          <w:w w:val="105"/>
        </w:rPr>
        <w:t> </w:t>
      </w:r>
      <w:r>
        <w:rPr>
          <w:color w:val="231F20"/>
          <w:w w:val="105"/>
        </w:rPr>
        <w:t>urine.</w:t>
      </w:r>
    </w:p>
    <w:p>
      <w:pPr>
        <w:pStyle w:val="BodyText"/>
        <w:rPr>
          <w:sz w:val="25"/>
        </w:rPr>
      </w:pPr>
      <w:r>
        <w:rPr/>
        <w:pict>
          <v:shape style="position:absolute;margin-left:72pt;margin-top:15.608262pt;width:234pt;height:40pt;mso-position-horizontal-relative:page;mso-position-vertical-relative:paragraph;z-index:-251242496;mso-wrap-distance-left:0;mso-wrap-distance-right:0" type="#_x0000_t202" filled="true" fillcolor="#e8dac8" stroked="false">
            <v:textbox inset="0,0,0,0">
              <w:txbxContent>
                <w:p>
                  <w:pPr>
                    <w:spacing w:line="225" w:lineRule="auto" w:before="46"/>
                    <w:ind w:left="60" w:right="633" w:firstLine="0"/>
                    <w:jc w:val="left"/>
                    <w:rPr>
                      <w:rFonts w:ascii="Trebuchet MS"/>
                      <w:b/>
                      <w:sz w:val="22"/>
                    </w:rPr>
                  </w:pPr>
                  <w:r>
                    <w:rPr>
                      <w:rFonts w:ascii="Trebuchet MS"/>
                      <w:b/>
                      <w:color w:val="231F20"/>
                      <w:w w:val="110"/>
                      <w:sz w:val="22"/>
                    </w:rPr>
                    <w:t>REABSORPTION AND SECRETION ALONG DIFFERENT PARTS</w:t>
                  </w:r>
                </w:p>
                <w:p>
                  <w:pPr>
                    <w:spacing w:line="243" w:lineRule="exact" w:before="0"/>
                    <w:ind w:left="60" w:right="0" w:firstLine="0"/>
                    <w:jc w:val="left"/>
                    <w:rPr>
                      <w:rFonts w:ascii="Trebuchet MS"/>
                      <w:b/>
                      <w:sz w:val="22"/>
                    </w:rPr>
                  </w:pPr>
                  <w:r>
                    <w:rPr>
                      <w:rFonts w:ascii="Trebuchet MS"/>
                      <w:b/>
                      <w:color w:val="231F20"/>
                      <w:w w:val="105"/>
                      <w:sz w:val="22"/>
                    </w:rPr>
                    <w:t>OF THE NEPHRON</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0" w:lineRule="exact" w:before="53"/>
        <w:ind w:left="1440"/>
        <w:jc w:val="both"/>
      </w:pPr>
      <w:r>
        <w:rPr>
          <w:color w:val="231F20"/>
          <w:w w:val="105"/>
        </w:rPr>
        <w:t>In</w:t>
      </w:r>
      <w:r>
        <w:rPr>
          <w:color w:val="231F20"/>
          <w:spacing w:val="-26"/>
          <w:w w:val="105"/>
        </w:rPr>
        <w:t> </w:t>
      </w:r>
      <w:r>
        <w:rPr>
          <w:color w:val="231F20"/>
          <w:w w:val="105"/>
        </w:rPr>
        <w:t>the</w:t>
      </w:r>
      <w:r>
        <w:rPr>
          <w:color w:val="231F20"/>
          <w:spacing w:val="-25"/>
          <w:w w:val="105"/>
        </w:rPr>
        <w:t> </w:t>
      </w:r>
      <w:r>
        <w:rPr>
          <w:color w:val="231F20"/>
          <w:w w:val="105"/>
        </w:rPr>
        <w:t>previous</w:t>
      </w:r>
      <w:r>
        <w:rPr>
          <w:color w:val="231F20"/>
          <w:spacing w:val="-25"/>
          <w:w w:val="105"/>
        </w:rPr>
        <w:t> </w:t>
      </w:r>
      <w:r>
        <w:rPr>
          <w:color w:val="231F20"/>
          <w:w w:val="105"/>
        </w:rPr>
        <w:t>sections,</w:t>
      </w:r>
      <w:r>
        <w:rPr>
          <w:color w:val="231F20"/>
          <w:spacing w:val="-26"/>
          <w:w w:val="105"/>
        </w:rPr>
        <w:t> </w:t>
      </w:r>
      <w:r>
        <w:rPr>
          <w:color w:val="231F20"/>
          <w:w w:val="105"/>
        </w:rPr>
        <w:t>we</w:t>
      </w:r>
      <w:r>
        <w:rPr>
          <w:color w:val="231F20"/>
          <w:spacing w:val="-25"/>
          <w:w w:val="105"/>
        </w:rPr>
        <w:t> </w:t>
      </w:r>
      <w:r>
        <w:rPr>
          <w:color w:val="231F20"/>
          <w:w w:val="105"/>
        </w:rPr>
        <w:t>discussed</w:t>
      </w:r>
      <w:r>
        <w:rPr>
          <w:color w:val="231F20"/>
          <w:spacing w:val="-25"/>
          <w:w w:val="105"/>
        </w:rPr>
        <w:t> </w:t>
      </w:r>
      <w:r>
        <w:rPr>
          <w:color w:val="231F20"/>
          <w:w w:val="105"/>
        </w:rPr>
        <w:t>the</w:t>
      </w:r>
      <w:r>
        <w:rPr>
          <w:color w:val="231F20"/>
          <w:spacing w:val="-25"/>
          <w:w w:val="105"/>
        </w:rPr>
        <w:t> </w:t>
      </w:r>
      <w:r>
        <w:rPr>
          <w:color w:val="231F20"/>
          <w:w w:val="105"/>
        </w:rPr>
        <w:t>basic</w:t>
      </w:r>
      <w:r>
        <w:rPr>
          <w:color w:val="231F20"/>
          <w:spacing w:val="-26"/>
          <w:w w:val="105"/>
        </w:rPr>
        <w:t> </w:t>
      </w:r>
      <w:r>
        <w:rPr>
          <w:color w:val="231F20"/>
          <w:w w:val="105"/>
        </w:rPr>
        <w:t>principles by which water and solutes are transported across the tubular membrane. </w:t>
      </w:r>
      <w:r>
        <w:rPr>
          <w:color w:val="231F20"/>
          <w:spacing w:val="-3"/>
          <w:w w:val="105"/>
        </w:rPr>
        <w:t>With </w:t>
      </w:r>
      <w:r>
        <w:rPr>
          <w:color w:val="231F20"/>
          <w:w w:val="105"/>
        </w:rPr>
        <w:t>these generalizations in </w:t>
      </w:r>
      <w:r>
        <w:rPr>
          <w:color w:val="231F20"/>
          <w:spacing w:val="-4"/>
          <w:w w:val="105"/>
        </w:rPr>
        <w:t>mind, </w:t>
      </w:r>
      <w:r>
        <w:rPr>
          <w:color w:val="231F20"/>
          <w:w w:val="105"/>
        </w:rPr>
        <w:t>we can now discuss the different characteristics of </w:t>
      </w:r>
      <w:r>
        <w:rPr>
          <w:color w:val="231F20"/>
          <w:spacing w:val="-5"/>
          <w:w w:val="105"/>
        </w:rPr>
        <w:t>the </w:t>
      </w:r>
      <w:r>
        <w:rPr>
          <w:color w:val="231F20"/>
          <w:w w:val="105"/>
        </w:rPr>
        <w:t>individual</w:t>
      </w:r>
      <w:r>
        <w:rPr>
          <w:color w:val="231F20"/>
          <w:spacing w:val="-7"/>
          <w:w w:val="105"/>
        </w:rPr>
        <w:t> </w:t>
      </w:r>
      <w:r>
        <w:rPr>
          <w:color w:val="231F20"/>
          <w:w w:val="105"/>
        </w:rPr>
        <w:t>tubular</w:t>
      </w:r>
      <w:r>
        <w:rPr>
          <w:color w:val="231F20"/>
          <w:spacing w:val="-7"/>
          <w:w w:val="105"/>
        </w:rPr>
        <w:t> </w:t>
      </w:r>
      <w:r>
        <w:rPr>
          <w:color w:val="231F20"/>
          <w:w w:val="105"/>
        </w:rPr>
        <w:t>segments</w:t>
      </w:r>
      <w:r>
        <w:rPr>
          <w:color w:val="231F20"/>
          <w:spacing w:val="-7"/>
          <w:w w:val="105"/>
        </w:rPr>
        <w:t> </w:t>
      </w:r>
      <w:r>
        <w:rPr>
          <w:color w:val="231F20"/>
          <w:w w:val="105"/>
        </w:rPr>
        <w:t>that</w:t>
      </w:r>
      <w:r>
        <w:rPr>
          <w:color w:val="231F20"/>
          <w:spacing w:val="-7"/>
          <w:w w:val="105"/>
        </w:rPr>
        <w:t> </w:t>
      </w:r>
      <w:r>
        <w:rPr>
          <w:color w:val="231F20"/>
          <w:w w:val="105"/>
        </w:rPr>
        <w:t>enable</w:t>
      </w:r>
      <w:r>
        <w:rPr>
          <w:color w:val="231F20"/>
          <w:spacing w:val="-7"/>
          <w:w w:val="105"/>
        </w:rPr>
        <w:t> </w:t>
      </w:r>
      <w:r>
        <w:rPr>
          <w:color w:val="231F20"/>
          <w:w w:val="105"/>
        </w:rPr>
        <w:t>them</w:t>
      </w:r>
      <w:r>
        <w:rPr>
          <w:color w:val="231F20"/>
          <w:spacing w:val="-6"/>
          <w:w w:val="105"/>
        </w:rPr>
        <w:t> </w:t>
      </w:r>
      <w:r>
        <w:rPr>
          <w:color w:val="231F20"/>
          <w:w w:val="105"/>
        </w:rPr>
        <w:t>to</w:t>
      </w:r>
      <w:r>
        <w:rPr>
          <w:color w:val="231F20"/>
          <w:spacing w:val="-7"/>
          <w:w w:val="105"/>
        </w:rPr>
        <w:t> </w:t>
      </w:r>
      <w:r>
        <w:rPr>
          <w:color w:val="231F20"/>
          <w:w w:val="105"/>
        </w:rPr>
        <w:t>perform their specific functions. Only the tubular transport</w:t>
      </w:r>
      <w:r>
        <w:rPr>
          <w:color w:val="231F20"/>
          <w:spacing w:val="-18"/>
          <w:w w:val="105"/>
        </w:rPr>
        <w:t> </w:t>
      </w:r>
      <w:r>
        <w:rPr>
          <w:color w:val="231F20"/>
          <w:spacing w:val="-4"/>
          <w:w w:val="105"/>
        </w:rPr>
        <w:t>func- </w:t>
      </w:r>
      <w:r>
        <w:rPr>
          <w:color w:val="231F20"/>
          <w:w w:val="105"/>
        </w:rPr>
        <w:t>tions</w:t>
      </w:r>
      <w:r>
        <w:rPr>
          <w:color w:val="231F20"/>
          <w:spacing w:val="-25"/>
          <w:w w:val="105"/>
        </w:rPr>
        <w:t> </w:t>
      </w:r>
      <w:r>
        <w:rPr>
          <w:color w:val="231F20"/>
          <w:w w:val="105"/>
        </w:rPr>
        <w:t>that</w:t>
      </w:r>
      <w:r>
        <w:rPr>
          <w:color w:val="231F20"/>
          <w:spacing w:val="-25"/>
          <w:w w:val="105"/>
        </w:rPr>
        <w:t> </w:t>
      </w:r>
      <w:r>
        <w:rPr>
          <w:color w:val="231F20"/>
          <w:w w:val="105"/>
        </w:rPr>
        <w:t>are</w:t>
      </w:r>
      <w:r>
        <w:rPr>
          <w:color w:val="231F20"/>
          <w:spacing w:val="-25"/>
          <w:w w:val="105"/>
        </w:rPr>
        <w:t> </w:t>
      </w:r>
      <w:r>
        <w:rPr>
          <w:color w:val="231F20"/>
          <w:w w:val="105"/>
        </w:rPr>
        <w:t>quantitatively</w:t>
      </w:r>
      <w:r>
        <w:rPr>
          <w:color w:val="231F20"/>
          <w:spacing w:val="-25"/>
          <w:w w:val="105"/>
        </w:rPr>
        <w:t> </w:t>
      </w:r>
      <w:r>
        <w:rPr>
          <w:color w:val="231F20"/>
          <w:w w:val="105"/>
        </w:rPr>
        <w:t>most</w:t>
      </w:r>
      <w:r>
        <w:rPr>
          <w:color w:val="231F20"/>
          <w:spacing w:val="-25"/>
          <w:w w:val="105"/>
        </w:rPr>
        <w:t> </w:t>
      </w:r>
      <w:r>
        <w:rPr>
          <w:color w:val="231F20"/>
          <w:w w:val="105"/>
        </w:rPr>
        <w:t>important</w:t>
      </w:r>
      <w:r>
        <w:rPr>
          <w:color w:val="231F20"/>
          <w:spacing w:val="-25"/>
          <w:w w:val="105"/>
        </w:rPr>
        <w:t> </w:t>
      </w:r>
      <w:r>
        <w:rPr>
          <w:color w:val="231F20"/>
          <w:w w:val="105"/>
        </w:rPr>
        <w:t>are</w:t>
      </w:r>
      <w:r>
        <w:rPr>
          <w:color w:val="231F20"/>
          <w:spacing w:val="-25"/>
          <w:w w:val="105"/>
        </w:rPr>
        <w:t> </w:t>
      </w:r>
      <w:r>
        <w:rPr>
          <w:color w:val="231F20"/>
          <w:w w:val="105"/>
        </w:rPr>
        <w:t>discussed, especially as they relate to the reabsorption of sodium, chloride, and </w:t>
      </w:r>
      <w:r>
        <w:rPr>
          <w:color w:val="231F20"/>
          <w:spacing w:val="-3"/>
          <w:w w:val="105"/>
        </w:rPr>
        <w:t>water. </w:t>
      </w:r>
      <w:r>
        <w:rPr>
          <w:color w:val="231F20"/>
          <w:w w:val="105"/>
        </w:rPr>
        <w:t>In subsequent chapters, we discuss the reabsorption and secretion of other specific</w:t>
      </w:r>
      <w:r>
        <w:rPr>
          <w:color w:val="231F20"/>
          <w:spacing w:val="-1"/>
          <w:w w:val="105"/>
        </w:rPr>
        <w:t> </w:t>
      </w:r>
      <w:r>
        <w:rPr>
          <w:color w:val="231F20"/>
          <w:w w:val="105"/>
        </w:rPr>
        <w:t>sub-</w:t>
      </w:r>
    </w:p>
    <w:p>
      <w:pPr>
        <w:spacing w:before="127"/>
        <w:ind w:left="361" w:right="0" w:firstLine="0"/>
        <w:jc w:val="left"/>
        <w:rPr>
          <w:rFonts w:ascii="Helvetica"/>
          <w:sz w:val="16"/>
        </w:rPr>
      </w:pPr>
      <w:r>
        <w:rPr/>
        <w:br w:type="column"/>
      </w:r>
      <w:r>
        <w:rPr>
          <w:rFonts w:ascii="Helvetica"/>
          <w:color w:val="231F20"/>
          <w:sz w:val="16"/>
        </w:rPr>
        <w:t>65%</w:t>
      </w:r>
    </w:p>
    <w:p>
      <w:pPr>
        <w:pStyle w:val="BodyText"/>
        <w:ind w:left="329"/>
        <w:rPr>
          <w:rFonts w:ascii="Helvetica"/>
        </w:rPr>
      </w:pPr>
      <w:r>
        <w:rPr>
          <w:rFonts w:ascii="Helvetica"/>
        </w:rPr>
        <w:pict>
          <v:group style="width:232.65pt;height:142.3pt;mso-position-horizontal-relative:char;mso-position-vertical-relative:line" coordorigin="0,0" coordsize="4653,2846">
            <v:shape style="position:absolute;left:1158;top:730;width:2764;height:2111" coordorigin="1159,730" coordsize="2764,2111" path="m2694,2828l2484,2828,2548,2840,2606,2841,2690,2829,2694,2828xm2615,730l2481,736,2298,769,2213,787,2127,808,2042,832,1958,858,1876,886,1799,915,1727,945,1662,975,1605,1006,1557,1036,1520,1065,1464,1115,1400,1175,1333,1239,1269,1304,1216,1363,1180,1413,1166,1449,1164,1514,1161,1586,1159,1663,1162,1741,1173,1818,1195,1889,1206,1968,1227,2043,1257,2116,1295,2184,1339,2249,1389,2310,1445,2366,1504,2418,1567,2464,1631,2506,1672,2549,1722,2592,1780,2634,1845,2674,1916,2711,1991,2744,2070,2773,2152,2797,2235,2816,2319,2827,2402,2832,2484,2828,2694,2828,2835,2801,2947,2774,3038,2743,3113,2712,3174,2680,3225,2650,3268,2623,3311,2606,3358,2585,3410,2558,3464,2527,3519,2490,3575,2447,3630,2398,3683,2342,3733,2280,3778,2210,3819,2133,3853,2049,3880,1956,3907,1889,3920,1812,3923,1731,3918,1591,3904,1499,3868,1416,3816,1344,3756,1283,3695,1233,3642,1194,3602,1167,3585,1152,3568,1135,3530,1106,3475,1068,3407,1025,3329,979,3245,933,3159,890,3074,852,2993,824,2764,758,2615,730xe" filled="true" fillcolor="#ffd768" stroked="false">
              <v:path arrowok="t"/>
              <v:fill type="solid"/>
            </v:shape>
            <v:shape style="position:absolute;left:1158;top:730;width:2764;height:2111" coordorigin="1159,730" coordsize="2764,2111" path="m2993,824l2764,758,2615,730,2481,736,2298,769,2213,787,2127,808,2042,832,1958,858,1876,886,1799,915,1727,945,1662,975,1605,1006,1520,1065,1464,1115,1400,1175,1333,1239,1269,1304,1216,1363,1180,1413,1164,1514,1161,1586,1159,1663,1162,1741,1173,1818,1195,1889,1206,1968,1227,2043,1257,2116,1295,2184,1339,2249,1389,2310,1445,2366,1504,2418,1567,2464,1631,2506,1672,2549,1722,2592,1780,2634,1845,2674,1916,2711,1991,2744,2070,2773,2152,2797,2235,2816,2319,2827,2402,2832,2484,2828,2548,2840,2690,2829,2835,2801,2947,2774,3038,2743,3113,2712,3174,2680,3268,2623,3311,2606,3410,2558,3464,2527,3519,2490,3575,2447,3630,2398,3683,2342,3733,2280,3778,2210,3819,2133,3853,2049,3880,1956,3907,1889,3920,1812,3923,1731,3920,1655,3918,1591,3904,1499,3868,1416,3816,1344,3756,1283,3695,1233,3642,1194,3602,1167,3585,1152,3530,1106,3475,1068,3407,1025,3329,979,3245,933,3159,890,3074,852,2993,824xe" filled="false" stroked="true" strokeweight=".5pt" strokecolor="#b7705b">
              <v:path arrowok="t"/>
              <v:stroke dashstyle="solid"/>
            </v:shape>
            <v:line style="position:absolute" from="1196,1654" to="1196,1896" stroked="true" strokeweight=".5pt" strokecolor="#b7705b">
              <v:stroke dashstyle="solid"/>
            </v:line>
            <v:line style="position:absolute" from="1638,2325" to="1633,2506" stroked="true" strokeweight=".5pt" strokecolor="#b7705b">
              <v:stroke dashstyle="solid"/>
            </v:line>
            <v:line style="position:absolute" from="2491,2643" to="2486,2829" stroked="true" strokeweight=".5pt" strokecolor="#b7705b">
              <v:stroke dashstyle="solid"/>
            </v:line>
            <v:line style="position:absolute" from="3257,2431" to="3267,2625" stroked="true" strokeweight=".5pt" strokecolor="#b7705b">
              <v:stroke dashstyle="solid"/>
            </v:line>
            <v:line style="position:absolute" from="3883,1763" to="3877,1954" stroked="true" strokeweight=".5pt" strokecolor="#b7705b">
              <v:stroke dashstyle="solid"/>
            </v:line>
            <v:shape style="position:absolute;left:370;top:2;width:1154;height:2273" coordorigin="371,3" coordsize="1154,2273" path="m922,1147l866,1260,884,1270,914,1298,943,1345,956,1416,957,1416,956,1491,956,1579,955,1676,954,1777,952,1976,950,2214,950,2244,950,2275,1092,2274,1092,2011,1094,1676,1096,1388,1097,1266,1109,1213,1135,1176,1151,1163,951,1163,931,1151,922,1147xm414,950l371,950,371,2102,383,2162,417,2211,466,2244,526,2256,586,2244,631,2214,526,2214,482,2205,447,2181,423,2146,414,2102,414,950xm1090,3l1034,11,976,34,920,77,868,142,823,236,801,288,772,340,734,387,684,424,642,452,615,484,601,522,597,570,597,1123,598,1149,603,1173,609,1195,618,1214,624,1224,631,1239,636,1258,638,1280,638,2102,630,2146,606,2181,570,2205,526,2214,631,2214,636,2211,669,2162,681,2102,681,1284,683,1260,688,1241,695,1226,700,1216,709,1196,716,1174,721,1150,723,1123,723,583,725,562,730,546,740,535,753,527,826,475,878,411,914,344,940,280,980,201,1027,153,1085,131,1376,131,1357,104,1312,64,1256,33,1188,11,1142,4,1090,3xm1376,131l1085,131,1156,133,1200,144,1235,163,1261,186,1279,212,1299,277,1288,334,1257,384,1217,427,1129,507,1077,561,1028,627,991,705,973,796,967,897,963,990,961,1072,960,1144,959,1158,951,1163,1151,1163,1163,1154,1179,1146,1144,1047,1096,1047,1087,1044,1089,981,1091,926,1095,867,1098,805,1120,715,1163,642,1219,583,1277,534,1326,490,1352,464,1376,435,1398,402,1416,364,1436,336,1461,323,1485,321,1505,321,1525,198,1522,198,1438,198,1422,192,1407,178,1390,152,1376,131xm1136,1027l1127,1031,1117,1035,1096,1047,1144,1047,1136,1027xm1505,321l1485,321,1504,323,1505,321xm1493,196l1475,196,1456,198,1438,198,1522,198,1510,197,1493,196xe" filled="true" fillcolor="#ffd768" stroked="false">
              <v:path arrowok="t"/>
              <v:fill type="solid"/>
            </v:shape>
            <v:shape style="position:absolute;left:370;top:2;width:1154;height:2273" coordorigin="371,3" coordsize="1154,2273" path="m1390,152l1312,64,1256,33,1188,11,1090,3,1034,11,976,34,920,77,868,142,823,236,801,288,772,340,734,387,684,424,642,452,615,484,601,522,597,570,597,1123,609,1195,624,1224,631,1239,636,1258,638,1280,638,2102,630,2146,606,2181,570,2205,526,2214,482,2205,447,2181,423,2146,414,2102,414,950,371,950,371,2102,383,2162,417,2211,466,2244,526,2256,586,2244,636,2211,669,2162,681,2102,681,1284,683,1260,688,1241,695,1226,700,1216,709,1196,716,1174,721,1150,723,1123,723,585,725,562,730,546,740,535,753,527,826,475,878,411,914,344,940,280,980,201,1027,153,1085,131,1156,133,1235,163,1279,212,1299,277,1288,334,1257,384,1217,427,1178,462,1129,507,1077,561,1028,627,991,705,973,796,967,897,963,990,961,1072,960,1144,959,1158,951,1163,943,1158,931,1151,924,1148,922,1147,866,1260,884,1270,914,1298,943,1345,956,1416,957,1416,956,1491,956,1579,955,1676,954,1777,953,1878,952,1976,952,2066,951,2145,950,2209,950,2253,950,2275,1092,2274,1092,2011,1094,1676,1096,1388,1097,1266,1135,1176,1179,1146,1136,1027,1127,1031,1117,1035,1105,1041,1096,1047,1087,1044,1087,1034,1089,981,1095,867,1098,805,1120,715,1163,642,1219,583,1277,534,1326,490,1352,464,1376,435,1398,402,1416,364,1436,336,1461,323,1485,321,1504,323,1525,198,1510,197,1493,196,1475,196,1456,198,1438,198,1422,192,1407,178,1390,152xe" filled="false" stroked="true" strokeweight=".25pt" strokecolor="#b7705b">
              <v:path arrowok="t"/>
              <v:stroke dashstyle="solid"/>
            </v:shape>
            <v:shape style="position:absolute;left:841;top:14;width:272;height:214" type="#_x0000_t75" stroked="false">
              <v:imagedata r:id="rId487" o:title=""/>
            </v:shape>
            <v:shape style="position:absolute;left:609;top:387;width:154;height:215" type="#_x0000_t75" stroked="false">
              <v:imagedata r:id="rId488" o:title=""/>
            </v:shape>
            <v:shape style="position:absolute;left:982;top:520;width:162;height:322" type="#_x0000_t75" stroked="false">
              <v:imagedata r:id="rId489" o:title=""/>
            </v:shape>
            <v:shape style="position:absolute;left:2;top:5;width:514;height:972" coordorigin="3,5" coordsize="514,972" path="m149,40l129,41,93,47,63,62,37,83,18,110,5,145,2,184,10,224,26,262,60,304,112,351,177,402,275,474,304,507,319,544,325,575,326,587,326,884,331,920,345,950,365,970,390,977,414,970,433,950,447,920,451,884,451,587,450,559,438,503,407,435,349,372,279,321,221,277,167,233,135,199,132,186,135,175,144,169,272,169,308,151,322,143,335,139,435,139,516,69,497,68,476,61,453,50,451,49,214,49,197,47,183,43,167,41,149,40xm435,139l335,139,347,139,357,144,365,155,368,169,369,170,370,184,369,195,435,139xm272,169l144,169,161,169,193,176,230,177,270,170,272,169xm328,5l287,16,250,36,239,42,227,47,214,49,451,49,426,33,374,9,328,5xe" filled="true" fillcolor="#faa61a" stroked="false">
              <v:path arrowok="t"/>
              <v:fill type="solid"/>
            </v:shape>
            <v:shape style="position:absolute;left:2;top:5;width:514;height:972" coordorigin="3,5" coordsize="514,972" path="m349,372l279,321,221,277,167,233,132,186,135,175,144,169,161,169,193,176,230,177,270,170,308,151,322,143,335,139,370,184,369,195,516,69,497,68,476,61,453,50,426,33,374,9,328,5,287,16,250,36,239,42,227,47,214,49,197,47,183,43,167,41,149,40,129,41,93,47,37,83,5,145,2,184,10,224,60,304,112,351,177,402,250,456,275,474,304,507,319,544,325,575,326,588,326,884,331,920,345,950,365,970,390,977,414,970,433,950,447,920,451,884,451,587,450,559,438,503,407,435,349,372xe" filled="false" stroked="true" strokeweight=".25pt" strokecolor="#b7705b">
              <v:path arrowok="t"/>
              <v:stroke dashstyle="solid"/>
            </v:shape>
            <v:shape style="position:absolute;left:252;top:17;width:96;height:43" type="#_x0000_t75" stroked="false">
              <v:imagedata r:id="rId490" o:title=""/>
            </v:shape>
            <v:shape style="position:absolute;left:14;top:52;width:186;height:208" type="#_x0000_t75" stroked="false">
              <v:imagedata r:id="rId491" o:title=""/>
            </v:shape>
            <v:shape style="position:absolute;left:851;top:1143;width:82;height:118" coordorigin="851,1143" coordsize="82,118" path="m904,1143l861,1188,851,1233,856,1250,866,1260,880,1261,896,1253,911,1238,923,1216,931,1193,933,1171,928,1154,918,1144,904,1143xe" filled="true" fillcolor="#ffedb3" stroked="false">
              <v:path arrowok="t"/>
              <v:fill type="solid"/>
            </v:shape>
            <v:shape style="position:absolute;left:851;top:1143;width:82;height:118" coordorigin="851,1143" coordsize="82,118" path="m918,1144l928,1154,933,1171,931,1193,923,1216,911,1238,896,1253,880,1261,866,1260,856,1250,851,1233,853,1211,861,1188,873,1166,888,1151,904,1143,918,1144xe" filled="false" stroked="true" strokeweight=".25pt" strokecolor="#b7705b">
              <v:path arrowok="t"/>
              <v:stroke dashstyle="solid"/>
            </v:shape>
            <v:shape style="position:absolute;left:868;top:1164;width:47;height:76" coordorigin="869,1164" coordsize="47,76" path="m909,1164l869,1224,870,1234,875,1240,882,1240,915,1180,914,1170,909,1164xe" filled="true" fillcolor="#e9cd86" stroked="false">
              <v:path arrowok="t"/>
              <v:fill type="solid"/>
            </v:shape>
            <v:shape style="position:absolute;left:868;top:1164;width:47;height:76" coordorigin="869,1164" coordsize="47,76" path="m909,1164l914,1170,915,1180,913,1194,875,1240,870,1234,869,1224,871,1210,909,1164xe" filled="false" stroked="true" strokeweight=".25pt" strokecolor="#b7705b">
              <v:path arrowok="t"/>
              <v:stroke dashstyle="solid"/>
            </v:shape>
            <v:shape style="position:absolute;left:949;top:2244;width:144;height:69" coordorigin="949,2244" coordsize="144,69" path="m1021,2244l993,2247,970,2254,955,2265,949,2279,955,2292,970,2303,993,2311,1021,2313,1049,2310,1071,2303,1087,2292,1092,2279,1087,2265,1071,2254,1049,2247,1021,2244xe" filled="true" fillcolor="#ffedb3" stroked="false">
              <v:path arrowok="t"/>
              <v:fill type="solid"/>
            </v:shape>
            <v:shape style="position:absolute;left:949;top:2244;width:144;height:69" coordorigin="949,2244" coordsize="144,69" path="m1092,2279l1087,2292,1071,2303,1049,2310,1021,2313,993,2311,970,2303,955,2292,949,2279,955,2265,970,2254,993,2247,1021,2244,1049,2247,1071,2254,1087,2265,1092,2279xe" filled="false" stroked="true" strokeweight=".25pt" strokecolor="#b7705b">
              <v:path arrowok="t"/>
              <v:stroke dashstyle="solid"/>
            </v:shape>
            <v:shape style="position:absolute;left:974;top:2261;width:94;height:35" coordorigin="974,2262" coordsize="94,35" path="m1021,2262l1003,2263,988,2267,978,2272,974,2279,978,2285,988,2291,1003,2295,1021,2296,1039,2295,1054,2291,1064,2285,1067,2279,1064,2272,1054,2267,1039,2263,1021,2262xe" filled="true" fillcolor="#e9cd86" stroked="false">
              <v:path arrowok="t"/>
              <v:fill type="solid"/>
            </v:shape>
            <v:shape style="position:absolute;left:974;top:2261;width:94;height:35" coordorigin="974,2262" coordsize="94,35" path="m1067,2279l1064,2285,1054,2291,1039,2295,1021,2296,1003,2295,988,2291,978,2285,974,2279,978,2272,988,2267,1003,2263,1021,2262,1039,2263,1054,2267,1064,2272,1067,2279xe" filled="false" stroked="true" strokeweight=".25pt" strokecolor="#b7705b">
              <v:path arrowok="t"/>
              <v:stroke dashstyle="solid"/>
            </v:shape>
            <v:shape style="position:absolute;left:1478;top:198;width:71;height:126" coordorigin="1478,198" coordsize="71,126" path="m1525,198l1480,255,1478,280,1482,301,1491,317,1503,324,1517,321,1530,309,1541,291,1548,267,1549,242,1545,221,1537,206,1525,198xe" filled="true" fillcolor="#ffedb3" stroked="false">
              <v:path arrowok="t"/>
              <v:fill type="solid"/>
            </v:shape>
            <v:shape style="position:absolute;left:1478;top:198;width:71;height:126" coordorigin="1478,198" coordsize="71,126" path="m1525,198l1537,206,1545,221,1549,242,1548,267,1541,291,1530,309,1517,321,1503,324,1491,317,1482,301,1478,280,1480,255,1487,231,1497,213,1511,201,1525,198xe" filled="false" stroked="true" strokeweight=".25pt" strokecolor="#b7705b">
              <v:path arrowok="t"/>
              <v:stroke dashstyle="solid"/>
            </v:shape>
            <v:shape style="position:absolute;left:1495;top:220;width:37;height:82" coordorigin="1496,220" coordsize="37,82" path="m1521,220l1496,274,1497,288,1501,298,1507,302,1514,300,1521,292,1527,280,1531,264,1532,248,1531,234,1527,225,1521,220xe" filled="true" fillcolor="#e9cd86" stroked="false">
              <v:path arrowok="t"/>
              <v:fill type="solid"/>
            </v:shape>
            <v:shape style="position:absolute;left:1495;top:220;width:37;height:82" coordorigin="1496,220" coordsize="37,82" path="m1521,220l1527,225,1531,234,1532,248,1531,264,1527,280,1521,292,1514,300,1507,302,1501,298,1497,288,1496,274,1497,258,1501,242,1507,230,1514,222,1521,220xe" filled="false" stroked="true" strokeweight=".25pt" strokecolor="#b7705b">
              <v:path arrowok="t"/>
              <v:stroke dashstyle="solid"/>
            </v:shape>
            <v:shape style="position:absolute;left:1116;top:569;width:3536;height:2098" type="#_x0000_t75" stroked="false">
              <v:imagedata r:id="rId492" o:title=""/>
            </v:shape>
            <v:shape style="position:absolute;left:373;top:83;width:320;height:319" type="#_x0000_t75" stroked="false">
              <v:imagedata r:id="rId493" o:title=""/>
            </v:shape>
            <v:shape style="position:absolute;left:415;top:130;width:235;height:248" coordorigin="415,130" coordsize="235,248" path="m608,340l481,340,490,349,493,355,502,367,514,375,527,378,540,377,555,374,567,364,583,346,591,346,603,344,608,340xm591,346l583,346,590,346,591,346xm494,130l471,133,452,141,441,150,435,162,433,174,433,179,434,190,436,207,439,222,441,232,435,238,422,257,415,280,417,303,428,324,439,334,451,339,464,342,477,341,481,340,608,340,614,337,617,333,529,333,516,329,527,322,535,314,540,306,476,306,460,303,456,298,450,291,450,272,460,263,471,247,477,229,478,211,477,196,472,172,477,169,478,169,479,168,489,166,640,166,630,155,619,149,548,149,538,142,517,133,494,130xm647,182l608,182,611,183,614,185,616,188,619,198,616,208,610,217,603,224,591,236,587,250,587,263,589,275,591,283,590,287,587,303,587,303,581,310,571,319,560,326,545,331,529,333,617,333,622,325,623,310,623,293,624,280,624,272,623,268,621,254,623,252,642,232,650,210,650,188,647,182xm640,166l489,166,499,167,510,169,520,174,528,179,539,183,551,186,564,187,543,209,526,237,515,265,509,289,509,293,503,297,493,301,492,301,476,306,540,306,541,304,544,293,550,269,562,244,577,223,592,211,593,210,594,210,595,210,597,210,599,210,608,206,612,200,612,188,611,185,608,182,647,182,643,170,640,166xm593,143l568,146,562,147,548,149,619,149,613,146,593,143xe" filled="true" fillcolor="#d04e59" stroked="false">
              <v:path arrowok="t"/>
              <v:fill type="solid"/>
            </v:shape>
            <v:shape style="position:absolute;left:449;top:166;width:115;height:140" coordorigin="450,166" coordsize="115,140" path="m460,263l471,247,477,229,478,211,477,196,472,172,489,166,499,167,510,169,520,174,528,179,539,183,551,186,564,187,543,209,526,237,515,265,509,289,509,293,503,297,495,300,494,301,493,301,492,301,476,306,460,303,456,298,450,291,450,272,460,263xe" filled="false" stroked="true" strokeweight=".25pt" strokecolor="#231f20">
              <v:path arrowok="t"/>
              <v:stroke dashstyle="solid"/>
            </v:shape>
            <v:shape style="position:absolute;left:515;top:181;width:104;height:151" coordorigin="516,182" coordsize="104,151" path="m516,329l550,269,562,244,597,210,599,210,601,209,608,206,612,200,612,192,612,188,611,185,608,182,611,183,614,185,616,188,619,198,616,208,610,217,603,224,591,236,587,250,587,263,589,275,591,283,590,287,545,331,529,333,516,329xe" filled="false" stroked="true" strokeweight=".25pt" strokecolor="#231f20">
              <v:path arrowok="t"/>
              <v:stroke dashstyle="solid"/>
            </v:shape>
            <v:shape style="position:absolute;left:415;top:130;width:235;height:248" coordorigin="415,130" coordsize="235,248" path="m643,170l630,155,613,146,593,143,568,146,562,147,548,149,538,142,517,133,494,130,471,133,452,141,441,150,435,162,433,175,434,190,436,207,439,222,441,232,435,238,422,257,415,280,417,303,428,324,439,334,451,339,464,342,477,341,481,340,490,349,493,355,502,367,514,375,527,378,540,377,555,374,567,364,574,356,577,352,583,346,590,346,603,344,614,337,622,325,623,309,623,298,623,287,624,277,623,268,621,254,622,253,623,252,642,232,650,210,650,188,643,170xe" filled="false" stroked="true" strokeweight=".25pt" strokecolor="#231f20">
              <v:path arrowok="t"/>
              <v:stroke dashstyle="solid"/>
            </v:shape>
            <v:shape style="position:absolute;left:587;top:306;width:37;height:39" type="#_x0000_t75" stroked="false">
              <v:imagedata r:id="rId494" o:title=""/>
            </v:shape>
            <v:shape style="position:absolute;left:405;top:107;width:364;height:259" type="#_x0000_t75" stroked="false">
              <v:imagedata r:id="rId495" o:title=""/>
            </v:shape>
            <v:shape style="position:absolute;left:482;top:314;width:44;height:49" type="#_x0000_t75" stroked="false">
              <v:imagedata r:id="rId496" o:title=""/>
            </v:shape>
            <v:shape style="position:absolute;left:508;top:154;width:32;height:49" type="#_x0000_t75" stroked="false">
              <v:imagedata r:id="rId497" o:title=""/>
            </v:shape>
            <v:shape style="position:absolute;left:399;top:172;width:195;height:175" coordorigin="399,172" coordsize="195,175" path="m506,301l460,301,466,312,479,324,483,327,488,331,499,338,514,345,533,346,554,339,576,323,585,310,526,310,518,308,506,301xm561,238l554,241,549,243,547,249,549,259,553,271,555,282,555,287,553,297,536,305,526,310,585,310,588,306,594,289,594,273,592,261,587,251,579,244,569,240,561,238xm438,231l424,233,412,239,404,247,400,260,399,274,403,286,410,296,419,302,429,305,439,305,450,303,460,301,506,301,504,300,501,296,499,294,489,285,477,276,477,276,436,276,434,266,496,266,510,262,519,258,527,253,541,237,542,235,472,235,453,233,438,231xm462,270l444,272,436,276,477,276,462,270xm496,266l434,266,443,267,463,269,480,268,496,266,496,266xm558,172l540,175,528,184,520,195,515,206,511,219,507,222,499,229,487,233,472,235,542,235,546,226,550,209,548,206,551,206,558,172xm551,206l548,206,551,206,551,206xe" filled="true" fillcolor="#f15b66" stroked="false">
              <v:path arrowok="t"/>
              <v:fill type="solid"/>
            </v:shape>
            <v:shape style="position:absolute;left:399;top:172;width:195;height:175" coordorigin="399,172" coordsize="195,175" path="m558,172l513,212,511,219,507,222,499,229,487,233,472,235,453,233,438,231,399,274,403,286,410,296,419,302,429,305,439,305,450,303,460,301,466,312,533,346,554,339,576,323,588,306,594,289,594,273,592,261,587,251,579,244,569,240,561,238,554,241,549,243,547,249,549,259,553,271,555,282,555,287,553,297,538,304,526,310,518,308,506,300,504,300,501,297,499,294,489,285,477,276,462,270,444,272,436,276,434,266,443,267,463,269,480,268,541,237,548,218,550,209,548,206,551,206e" filled="false" stroked="true" strokeweight=".25pt" strokecolor="#231f20">
              <v:path arrowok="t"/>
              <v:stroke dashstyle="solid"/>
            </v:shape>
            <v:shape style="position:absolute;left:560;top:272;width:9;height:15" coordorigin="560,272" coordsize="9,15" path="m561,281l561,281,560,287,561,281xm562,278l561,278,561,281,562,278xm568,272l567,274,563,277,562,278,569,274,568,272xe" filled="true" fillcolor="#f15b66" stroked="false">
              <v:path arrowok="t"/>
              <v:fill type="solid"/>
            </v:shape>
            <v:shape style="position:absolute;left:560;top:272;width:9;height:15" coordorigin="560,272" coordsize="9,15" path="m567,274l568,272,569,274,567,275,566,276,561,278,560,287,561,281,563,277,567,274xe" filled="false" stroked="true" strokeweight=".25pt" strokecolor="#231f20">
              <v:path arrowok="t"/>
              <v:stroke dashstyle="solid"/>
            </v:shape>
            <v:shape style="position:absolute;left:496;top:277;width:19;height:15" coordorigin="496,277" coordsize="19,15" path="m515,292l511,287,503,282,499,281,496,280,497,277,500,279,502,281,504,283,508,286e" filled="false" stroked="true" strokeweight=".25pt" strokecolor="#231f20">
              <v:path arrowok="t"/>
              <v:stroke dashstyle="solid"/>
            </v:shape>
            <v:shape style="position:absolute;left:574;top:204;width:14;height:37" coordorigin="574,205" coordsize="14,37" path="m586,205l587,211,588,225,574,241e" filled="false" stroked="true" strokeweight=".25pt" strokecolor="#231f20">
              <v:path arrowok="t"/>
              <v:stroke dashstyle="solid"/>
            </v:shape>
            <v:shape style="position:absolute;left:644;top:221;width:19;height:51" type="#_x0000_t75" stroked="false">
              <v:imagedata r:id="rId498" o:title=""/>
            </v:shape>
            <v:shape style="position:absolute;left:504;top:213;width:43;height:48" type="#_x0000_t75" stroked="false">
              <v:imagedata r:id="rId499" o:title=""/>
            </v:shape>
            <v:shape style="position:absolute;left:572;top:154;width:51;height:167" type="#_x0000_t75" stroked="false">
              <v:imagedata r:id="rId500" o:title=""/>
            </v:shape>
            <v:shape style="position:absolute;left:356;top:66;width:353;height:353" coordorigin="357,67" coordsize="353,353" path="m541,67l488,71,442,88,407,115,380,150,362,197,357,251,370,311,397,356,435,390,481,412,533,419,542,419,550,412,550,394,542,387,533,387,491,381,453,363,422,335,400,298,389,242,400,188,431,142,478,111,534,100,634,100,630,97,600,81,541,67xm542,387l533,387,542,387,542,387xm634,100l534,100,588,111,634,141,666,189,671,202,674,216,676,230,677,242,677,254,684,261,702,261,709,254,709,242,708,227,706,210,702,193,696,176,679,145,656,118,634,100xe" filled="true" fillcolor="#ffe293" stroked="false">
              <v:path arrowok="t"/>
              <v:fill type="solid"/>
            </v:shape>
            <v:shape style="position:absolute;left:356;top:66;width:353;height:353" coordorigin="357,67" coordsize="353,353" path="m407,115l380,150,362,197,357,251,370,311,397,356,435,390,481,412,533,419,542,419,550,412,550,403,550,394,542,387,533,387,491,381,453,363,422,335,400,298,389,242,400,188,431,142,478,111,534,100,588,111,666,189,677,245,677,254,684,261,693,261,702,261,709,254,709,245,708,227,679,145,630,97,541,67,488,71,442,88,407,115xe" filled="false" stroked="true" strokeweight=".25pt" strokecolor="#b7705b">
              <v:path arrowok="t"/>
              <v:stroke dashstyle="solid"/>
            </v:shape>
            <v:shape style="position:absolute;left:525;top:243;width:104;height:248" coordorigin="525,243" coordsize="104,248" path="m549,243l535,256,527,274,525,295,531,319,565,364,574,371,583,380,589,392,594,410,593,425,585,439,571,455,558,466,583,491,596,479,616,455,627,431,629,405,622,378,612,362,601,349,590,338,581,331,574,325,569,321,561,300,560,293,560,287,549,243xe" filled="true" fillcolor="#f15b66" stroked="false">
              <v:path arrowok="t"/>
              <v:fill type="solid"/>
            </v:shape>
            <v:shape style="position:absolute;left:525;top:243;width:104;height:248" coordorigin="525,243" coordsize="104,248" path="m549,243l535,256,527,274,525,295,531,319,565,364,574,371,583,380,589,392,594,410,593,425,585,439,571,455,558,466,583,491,596,479,616,455,627,431,629,405,622,378,612,362,601,349,590,338,581,331,574,325,569,321,564,307,561,300,560,293,560,287e" filled="false" stroked="true" strokeweight=".25pt" strokecolor="#231f20">
              <v:path arrowok="t"/>
              <v:stroke dashstyle="solid"/>
            </v:shape>
            <v:shape style="position:absolute;left:589;top:354;width:37;height:122" type="#_x0000_t75" stroked="false">
              <v:imagedata r:id="rId501" o:title=""/>
            </v:shape>
            <v:shape style="position:absolute;left:1976;top:360;width:112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Proximal tubule</w:t>
                    </w:r>
                  </w:p>
                </w:txbxContent>
              </v:textbox>
              <w10:wrap type="none"/>
            </v:shape>
            <v:shape style="position:absolute;left:2521;top:1023;width:1934;height:323" type="#_x0000_t202" filled="false" stroked="false">
              <v:textbox inset="0,0,0,0">
                <w:txbxContent>
                  <w:p>
                    <w:pPr>
                      <w:spacing w:line="125" w:lineRule="exact" w:before="3"/>
                      <w:ind w:left="1233" w:right="0" w:firstLine="0"/>
                      <w:jc w:val="left"/>
                      <w:rPr>
                        <w:rFonts w:ascii="Helvetica"/>
                        <w:b/>
                        <w:sz w:val="12"/>
                      </w:rPr>
                    </w:pPr>
                    <w:r>
                      <w:rPr>
                        <w:rFonts w:ascii="Helvetica"/>
                        <w:b/>
                        <w:color w:val="231F20"/>
                        <w:w w:val="94"/>
                        <w:sz w:val="12"/>
                      </w:rPr>
                      <w:t>3</w:t>
                    </w:r>
                  </w:p>
                  <w:p>
                    <w:pPr>
                      <w:spacing w:line="171" w:lineRule="exact" w:before="0"/>
                      <w:ind w:left="0" w:right="0" w:firstLine="0"/>
                      <w:jc w:val="left"/>
                      <w:rPr>
                        <w:rFonts w:ascii="Helvetica"/>
                        <w:b/>
                        <w:sz w:val="16"/>
                      </w:rPr>
                    </w:pPr>
                    <w:r>
                      <w:rPr>
                        <w:rFonts w:ascii="Helvetica"/>
                        <w:b/>
                        <w:color w:val="231F20"/>
                        <w:sz w:val="16"/>
                      </w:rPr>
                      <w:t>H</w:t>
                    </w:r>
                    <w:r>
                      <w:rPr>
                        <w:rFonts w:ascii="Helvetica"/>
                        <w:b/>
                        <w:color w:val="231F20"/>
                        <w:sz w:val="16"/>
                        <w:vertAlign w:val="subscript"/>
                      </w:rPr>
                      <w:t>2</w:t>
                    </w:r>
                    <w:r>
                      <w:rPr>
                        <w:rFonts w:ascii="Helvetica"/>
                        <w:b/>
                        <w:color w:val="231F20"/>
                        <w:sz w:val="16"/>
                        <w:vertAlign w:val="baseline"/>
                      </w:rPr>
                      <w:t>O,</w:t>
                    </w:r>
                    <w:r>
                      <w:rPr>
                        <w:rFonts w:ascii="Helvetica"/>
                        <w:b/>
                        <w:color w:val="231F20"/>
                        <w:spacing w:val="-29"/>
                        <w:sz w:val="16"/>
                        <w:vertAlign w:val="baseline"/>
                      </w:rPr>
                      <w:t> </w:t>
                    </w:r>
                    <w:r>
                      <w:rPr>
                        <w:rFonts w:ascii="Helvetica"/>
                        <w:b/>
                        <w:color w:val="231F20"/>
                        <w:sz w:val="16"/>
                        <w:vertAlign w:val="baseline"/>
                      </w:rPr>
                      <w:t>glucose,</w:t>
                    </w:r>
                    <w:r>
                      <w:rPr>
                        <w:rFonts w:ascii="Helvetica"/>
                        <w:b/>
                        <w:color w:val="231F20"/>
                        <w:spacing w:val="-29"/>
                        <w:sz w:val="16"/>
                        <w:vertAlign w:val="baseline"/>
                      </w:rPr>
                      <w:t> </w:t>
                    </w:r>
                    <w:r>
                      <w:rPr>
                        <w:rFonts w:ascii="Helvetica"/>
                        <w:b/>
                        <w:color w:val="231F20"/>
                        <w:sz w:val="16"/>
                        <w:vertAlign w:val="baseline"/>
                      </w:rPr>
                      <w:t>amino</w:t>
                    </w:r>
                    <w:r>
                      <w:rPr>
                        <w:rFonts w:ascii="Helvetica"/>
                        <w:b/>
                        <w:color w:val="231F20"/>
                        <w:spacing w:val="-29"/>
                        <w:sz w:val="16"/>
                        <w:vertAlign w:val="baseline"/>
                      </w:rPr>
                      <w:t> </w:t>
                    </w:r>
                    <w:r>
                      <w:rPr>
                        <w:rFonts w:ascii="Helvetica"/>
                        <w:b/>
                        <w:color w:val="231F20"/>
                        <w:sz w:val="16"/>
                        <w:vertAlign w:val="baseline"/>
                      </w:rPr>
                      <w:t>acids</w:t>
                    </w:r>
                  </w:p>
                </w:txbxContent>
              </v:textbox>
              <w10:wrap type="none"/>
            </v:shape>
            <v:shape style="position:absolute;left:2772;top:943;width:1433;height:202" type="#_x0000_t202" filled="false" stroked="false">
              <v:textbox inset="0,0,0,0">
                <w:txbxContent>
                  <w:p>
                    <w:pPr>
                      <w:spacing w:before="3"/>
                      <w:ind w:left="0" w:right="0" w:firstLine="0"/>
                      <w:jc w:val="left"/>
                      <w:rPr>
                        <w:rFonts w:ascii="Helvetica" w:hAnsi="Helvetica"/>
                        <w:b/>
                        <w:sz w:val="16"/>
                      </w:rPr>
                    </w:pPr>
                    <w:r>
                      <w:rPr>
                        <w:rFonts w:ascii="Helvetica" w:hAnsi="Helvetica"/>
                        <w:b/>
                        <w:color w:val="231F20"/>
                        <w:sz w:val="16"/>
                      </w:rPr>
                      <w:t>Na</w:t>
                    </w:r>
                    <w:r>
                      <w:rPr>
                        <w:rFonts w:ascii="Helvetica" w:hAnsi="Helvetica"/>
                        <w:b/>
                        <w:color w:val="231F20"/>
                        <w:position w:val="5"/>
                        <w:sz w:val="12"/>
                      </w:rPr>
                      <w:t>+</w:t>
                    </w:r>
                    <w:r>
                      <w:rPr>
                        <w:rFonts w:ascii="Helvetica" w:hAnsi="Helvetica"/>
                        <w:b/>
                        <w:color w:val="231F20"/>
                        <w:sz w:val="16"/>
                      </w:rPr>
                      <w:t>,</w:t>
                    </w:r>
                    <w:r>
                      <w:rPr>
                        <w:rFonts w:ascii="Helvetica" w:hAnsi="Helvetica"/>
                        <w:b/>
                        <w:color w:val="231F20"/>
                        <w:spacing w:val="-16"/>
                        <w:sz w:val="16"/>
                      </w:rPr>
                      <w:t> </w:t>
                    </w:r>
                    <w:r>
                      <w:rPr>
                        <w:rFonts w:ascii="Helvetica" w:hAnsi="Helvetica"/>
                        <w:b/>
                        <w:color w:val="231F20"/>
                        <w:sz w:val="16"/>
                      </w:rPr>
                      <w:t>Cl</w:t>
                    </w:r>
                    <w:r>
                      <w:rPr>
                        <w:rFonts w:ascii="Helvetica" w:hAnsi="Helvetica"/>
                        <w:b/>
                        <w:color w:val="231F20"/>
                        <w:position w:val="5"/>
                        <w:sz w:val="12"/>
                      </w:rPr>
                      <w:t>–</w:t>
                    </w:r>
                    <w:r>
                      <w:rPr>
                        <w:rFonts w:ascii="Helvetica" w:hAnsi="Helvetica"/>
                        <w:b/>
                        <w:color w:val="231F20"/>
                        <w:sz w:val="16"/>
                      </w:rPr>
                      <w:t>,</w:t>
                    </w:r>
                    <w:r>
                      <w:rPr>
                        <w:rFonts w:ascii="Helvetica" w:hAnsi="Helvetica"/>
                        <w:b/>
                        <w:color w:val="231F20"/>
                        <w:spacing w:val="-16"/>
                        <w:sz w:val="16"/>
                      </w:rPr>
                      <w:t> </w:t>
                    </w:r>
                    <w:r>
                      <w:rPr>
                        <w:rFonts w:ascii="Helvetica" w:hAnsi="Helvetica"/>
                        <w:b/>
                        <w:color w:val="231F20"/>
                        <w:sz w:val="16"/>
                      </w:rPr>
                      <w:t>HCO</w:t>
                    </w:r>
                    <w:r>
                      <w:rPr>
                        <w:rFonts w:ascii="Helvetica" w:hAnsi="Helvetica"/>
                        <w:b/>
                        <w:color w:val="231F20"/>
                        <w:spacing w:val="-2"/>
                        <w:sz w:val="16"/>
                      </w:rPr>
                      <w:t> </w:t>
                    </w:r>
                    <w:r>
                      <w:rPr>
                        <w:rFonts w:ascii="Helvetica" w:hAnsi="Helvetica"/>
                        <w:b/>
                        <w:color w:val="231F20"/>
                        <w:position w:val="5"/>
                        <w:sz w:val="12"/>
                      </w:rPr>
                      <w:t>–</w:t>
                    </w:r>
                    <w:r>
                      <w:rPr>
                        <w:rFonts w:ascii="Helvetica" w:hAnsi="Helvetica"/>
                        <w:b/>
                        <w:color w:val="231F20"/>
                        <w:sz w:val="16"/>
                      </w:rPr>
                      <w:t>,</w:t>
                    </w:r>
                    <w:r>
                      <w:rPr>
                        <w:rFonts w:ascii="Helvetica" w:hAnsi="Helvetica"/>
                        <w:b/>
                        <w:color w:val="231F20"/>
                        <w:spacing w:val="-16"/>
                        <w:sz w:val="16"/>
                      </w:rPr>
                      <w:t> </w:t>
                    </w:r>
                    <w:r>
                      <w:rPr>
                        <w:rFonts w:ascii="Helvetica" w:hAnsi="Helvetica"/>
                        <w:b/>
                        <w:color w:val="231F20"/>
                        <w:sz w:val="16"/>
                      </w:rPr>
                      <w:t>K</w:t>
                    </w:r>
                    <w:r>
                      <w:rPr>
                        <w:rFonts w:ascii="Helvetica" w:hAnsi="Helvetica"/>
                        <w:b/>
                        <w:color w:val="231F20"/>
                        <w:position w:val="5"/>
                        <w:sz w:val="12"/>
                      </w:rPr>
                      <w:t>+</w:t>
                    </w:r>
                    <w:r>
                      <w:rPr>
                        <w:rFonts w:ascii="Helvetica" w:hAnsi="Helvetica"/>
                        <w:b/>
                        <w:color w:val="231F20"/>
                        <w:sz w:val="16"/>
                      </w:rPr>
                      <w:t>,</w:t>
                    </w:r>
                  </w:p>
                </w:txbxContent>
              </v:textbox>
              <w10:wrap type="none"/>
            </v:shape>
            <v:shape style="position:absolute;left:2189;top:1556;width:2435;height:617"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Isosmotic</w:t>
                    </w:r>
                  </w:p>
                  <w:p>
                    <w:pPr>
                      <w:spacing w:line="240" w:lineRule="auto" w:before="4"/>
                      <w:rPr>
                        <w:rFonts w:ascii="Helvetica"/>
                        <w:sz w:val="20"/>
                      </w:rPr>
                    </w:pPr>
                  </w:p>
                  <w:p>
                    <w:pPr>
                      <w:spacing w:before="0"/>
                      <w:ind w:left="565" w:right="0" w:firstLine="0"/>
                      <w:jc w:val="left"/>
                      <w:rPr>
                        <w:rFonts w:ascii="Helvetica"/>
                        <w:b/>
                        <w:sz w:val="16"/>
                      </w:rPr>
                    </w:pPr>
                    <w:r>
                      <w:rPr>
                        <w:rFonts w:ascii="Helvetica"/>
                        <w:b/>
                        <w:color w:val="231F20"/>
                        <w:sz w:val="16"/>
                      </w:rPr>
                      <w:t>H</w:t>
                    </w:r>
                    <w:r>
                      <w:rPr>
                        <w:rFonts w:ascii="Helvetica"/>
                        <w:b/>
                        <w:color w:val="231F20"/>
                        <w:position w:val="5"/>
                        <w:sz w:val="12"/>
                      </w:rPr>
                      <w:t>+</w:t>
                    </w:r>
                    <w:r>
                      <w:rPr>
                        <w:rFonts w:ascii="Helvetica"/>
                        <w:b/>
                        <w:color w:val="231F20"/>
                        <w:sz w:val="16"/>
                      </w:rPr>
                      <w:t>, organic acids, bases</w:t>
                    </w:r>
                  </w:p>
                </w:txbxContent>
              </v:textbox>
              <w10:wrap type="none"/>
            </v:shape>
          </v:group>
        </w:pict>
      </w:r>
      <w:r>
        <w:rPr>
          <w:rFonts w:ascii="Helvetica"/>
        </w:rPr>
      </w:r>
    </w:p>
    <w:p>
      <w:pPr>
        <w:spacing w:line="261" w:lineRule="auto" w:before="60"/>
        <w:ind w:left="319" w:right="1079" w:firstLine="0"/>
        <w:jc w:val="both"/>
        <w:rPr>
          <w:rFonts w:ascii="Arial" w:hAnsi="Arial"/>
          <w:sz w:val="16"/>
        </w:rPr>
      </w:pPr>
      <w:r>
        <w:rPr/>
        <w:pict>
          <v:rect style="position:absolute;margin-left:576pt;margin-top:-14.333862pt;width:36pt;height:24pt;mso-position-horizontal-relative:page;mso-position-vertical-relative:paragraph;z-index:252083200" filled="true" fillcolor="#e8dac8" stroked="false">
            <v:fill type="solid"/>
            <w10:wrap type="none"/>
          </v:rect>
        </w:pict>
      </w:r>
      <w:r>
        <w:rPr/>
        <w:pict>
          <v:shape style="position:absolute;margin-left:578.900024pt;margin-top:-90.676559pt;width:15.9pt;height:53.35pt;mso-position-horizontal-relative:page;mso-position-vertical-relative:paragraph;z-index:25208422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bookmarkStart w:name="_bookmark45" w:id="46"/>
      <w:bookmarkEnd w:id="46"/>
      <w:r>
        <w:rPr/>
      </w:r>
      <w:r>
        <w:rPr>
          <w:rFonts w:ascii="Trebuchet MS" w:hAnsi="Trebuchet MS"/>
          <w:b/>
          <w:color w:val="231F20"/>
          <w:sz w:val="16"/>
        </w:rPr>
        <w:t>Figure</w:t>
      </w:r>
      <w:r>
        <w:rPr>
          <w:rFonts w:ascii="Trebuchet MS" w:hAnsi="Trebuchet MS"/>
          <w:b/>
          <w:color w:val="231F20"/>
          <w:spacing w:val="-24"/>
          <w:sz w:val="16"/>
        </w:rPr>
        <w:t> </w:t>
      </w:r>
      <w:r>
        <w:rPr>
          <w:rFonts w:ascii="Trebuchet MS" w:hAnsi="Trebuchet MS"/>
          <w:b/>
          <w:color w:val="231F20"/>
          <w:sz w:val="16"/>
        </w:rPr>
        <w:t>28­6.</w:t>
      </w:r>
      <w:r>
        <w:rPr>
          <w:rFonts w:ascii="Trebuchet MS" w:hAnsi="Trebuchet MS"/>
          <w:b/>
          <w:color w:val="231F20"/>
          <w:spacing w:val="-3"/>
          <w:sz w:val="16"/>
        </w:rPr>
        <w:t> </w:t>
      </w:r>
      <w:r>
        <w:rPr>
          <w:rFonts w:ascii="Arial" w:hAnsi="Arial"/>
          <w:color w:val="231F20"/>
          <w:sz w:val="16"/>
        </w:rPr>
        <w:t>Cellular</w:t>
      </w:r>
      <w:r>
        <w:rPr>
          <w:rFonts w:ascii="Arial" w:hAnsi="Arial"/>
          <w:color w:val="231F20"/>
          <w:spacing w:val="-19"/>
          <w:sz w:val="16"/>
        </w:rPr>
        <w:t> </w:t>
      </w:r>
      <w:r>
        <w:rPr>
          <w:rFonts w:ascii="Arial" w:hAnsi="Arial"/>
          <w:color w:val="231F20"/>
          <w:sz w:val="16"/>
        </w:rPr>
        <w:t>ultrastructure</w:t>
      </w:r>
      <w:r>
        <w:rPr>
          <w:rFonts w:ascii="Arial" w:hAnsi="Arial"/>
          <w:color w:val="231F20"/>
          <w:spacing w:val="-19"/>
          <w:sz w:val="16"/>
        </w:rPr>
        <w:t> </w:t>
      </w:r>
      <w:r>
        <w:rPr>
          <w:rFonts w:ascii="Arial" w:hAnsi="Arial"/>
          <w:color w:val="231F20"/>
          <w:sz w:val="16"/>
        </w:rPr>
        <w:t>and</w:t>
      </w:r>
      <w:r>
        <w:rPr>
          <w:rFonts w:ascii="Arial" w:hAnsi="Arial"/>
          <w:color w:val="231F20"/>
          <w:spacing w:val="-19"/>
          <w:sz w:val="16"/>
        </w:rPr>
        <w:t> </w:t>
      </w:r>
      <w:r>
        <w:rPr>
          <w:rFonts w:ascii="Arial" w:hAnsi="Arial"/>
          <w:color w:val="231F20"/>
          <w:sz w:val="16"/>
        </w:rPr>
        <w:t>primary</w:t>
      </w:r>
      <w:r>
        <w:rPr>
          <w:rFonts w:ascii="Arial" w:hAnsi="Arial"/>
          <w:color w:val="231F20"/>
          <w:spacing w:val="-19"/>
          <w:sz w:val="16"/>
        </w:rPr>
        <w:t> </w:t>
      </w:r>
      <w:r>
        <w:rPr>
          <w:rFonts w:ascii="Arial" w:hAnsi="Arial"/>
          <w:color w:val="231F20"/>
          <w:sz w:val="16"/>
        </w:rPr>
        <w:t>transport</w:t>
      </w:r>
      <w:r>
        <w:rPr>
          <w:rFonts w:ascii="Arial" w:hAnsi="Arial"/>
          <w:color w:val="231F20"/>
          <w:spacing w:val="-19"/>
          <w:sz w:val="16"/>
        </w:rPr>
        <w:t> </w:t>
      </w:r>
      <w:r>
        <w:rPr>
          <w:rFonts w:ascii="Arial" w:hAnsi="Arial"/>
          <w:color w:val="231F20"/>
          <w:spacing w:val="-3"/>
          <w:sz w:val="16"/>
        </w:rPr>
        <w:t>character- </w:t>
      </w:r>
      <w:r>
        <w:rPr>
          <w:rFonts w:ascii="Arial" w:hAnsi="Arial"/>
          <w:color w:val="231F20"/>
          <w:sz w:val="16"/>
        </w:rPr>
        <w:t>istics</w:t>
      </w:r>
      <w:r>
        <w:rPr>
          <w:rFonts w:ascii="Arial" w:hAnsi="Arial"/>
          <w:color w:val="231F20"/>
          <w:spacing w:val="-17"/>
          <w:sz w:val="16"/>
        </w:rPr>
        <w:t> </w:t>
      </w:r>
      <w:r>
        <w:rPr>
          <w:rFonts w:ascii="Arial" w:hAnsi="Arial"/>
          <w:color w:val="231F20"/>
          <w:sz w:val="16"/>
        </w:rPr>
        <w:t>of</w:t>
      </w:r>
      <w:r>
        <w:rPr>
          <w:rFonts w:ascii="Arial" w:hAnsi="Arial"/>
          <w:color w:val="231F20"/>
          <w:spacing w:val="-17"/>
          <w:sz w:val="16"/>
        </w:rPr>
        <w:t> </w:t>
      </w:r>
      <w:r>
        <w:rPr>
          <w:rFonts w:ascii="Arial" w:hAnsi="Arial"/>
          <w:color w:val="231F20"/>
          <w:sz w:val="16"/>
        </w:rPr>
        <w:t>the</w:t>
      </w:r>
      <w:r>
        <w:rPr>
          <w:rFonts w:ascii="Arial" w:hAnsi="Arial"/>
          <w:color w:val="231F20"/>
          <w:spacing w:val="-17"/>
          <w:sz w:val="16"/>
        </w:rPr>
        <w:t> </w:t>
      </w:r>
      <w:r>
        <w:rPr>
          <w:rFonts w:ascii="Arial" w:hAnsi="Arial"/>
          <w:color w:val="231F20"/>
          <w:sz w:val="16"/>
        </w:rPr>
        <w:t>proximal</w:t>
      </w:r>
      <w:r>
        <w:rPr>
          <w:rFonts w:ascii="Arial" w:hAnsi="Arial"/>
          <w:color w:val="231F20"/>
          <w:spacing w:val="-16"/>
          <w:sz w:val="16"/>
        </w:rPr>
        <w:t> </w:t>
      </w:r>
      <w:r>
        <w:rPr>
          <w:rFonts w:ascii="Arial" w:hAnsi="Arial"/>
          <w:color w:val="231F20"/>
          <w:sz w:val="16"/>
        </w:rPr>
        <w:t>tubule.</w:t>
      </w:r>
      <w:r>
        <w:rPr>
          <w:rFonts w:ascii="Arial" w:hAnsi="Arial"/>
          <w:color w:val="231F20"/>
          <w:spacing w:val="-17"/>
          <w:sz w:val="16"/>
        </w:rPr>
        <w:t> </w:t>
      </w:r>
      <w:r>
        <w:rPr>
          <w:rFonts w:ascii="Arial" w:hAnsi="Arial"/>
          <w:color w:val="231F20"/>
          <w:sz w:val="16"/>
        </w:rPr>
        <w:t>The</w:t>
      </w:r>
      <w:r>
        <w:rPr>
          <w:rFonts w:ascii="Arial" w:hAnsi="Arial"/>
          <w:color w:val="231F20"/>
          <w:spacing w:val="-17"/>
          <w:sz w:val="16"/>
        </w:rPr>
        <w:t> </w:t>
      </w:r>
      <w:r>
        <w:rPr>
          <w:rFonts w:ascii="Arial" w:hAnsi="Arial"/>
          <w:color w:val="231F20"/>
          <w:sz w:val="16"/>
        </w:rPr>
        <w:t>proximal</w:t>
      </w:r>
      <w:r>
        <w:rPr>
          <w:rFonts w:ascii="Arial" w:hAnsi="Arial"/>
          <w:color w:val="231F20"/>
          <w:spacing w:val="-16"/>
          <w:sz w:val="16"/>
        </w:rPr>
        <w:t> </w:t>
      </w:r>
      <w:r>
        <w:rPr>
          <w:rFonts w:ascii="Arial" w:hAnsi="Arial"/>
          <w:color w:val="231F20"/>
          <w:sz w:val="16"/>
        </w:rPr>
        <w:t>tubules</w:t>
      </w:r>
      <w:r>
        <w:rPr>
          <w:rFonts w:ascii="Arial" w:hAnsi="Arial"/>
          <w:color w:val="231F20"/>
          <w:spacing w:val="-17"/>
          <w:sz w:val="16"/>
        </w:rPr>
        <w:t> </w:t>
      </w:r>
      <w:r>
        <w:rPr>
          <w:rFonts w:ascii="Arial" w:hAnsi="Arial"/>
          <w:color w:val="231F20"/>
          <w:sz w:val="16"/>
        </w:rPr>
        <w:t>reabsorb</w:t>
      </w:r>
      <w:r>
        <w:rPr>
          <w:rFonts w:ascii="Arial" w:hAnsi="Arial"/>
          <w:color w:val="231F20"/>
          <w:spacing w:val="-17"/>
          <w:sz w:val="16"/>
        </w:rPr>
        <w:t> </w:t>
      </w:r>
      <w:r>
        <w:rPr>
          <w:rFonts w:ascii="Arial" w:hAnsi="Arial"/>
          <w:color w:val="231F20"/>
          <w:sz w:val="16"/>
        </w:rPr>
        <w:t>about</w:t>
      </w:r>
      <w:r>
        <w:rPr>
          <w:rFonts w:ascii="Arial" w:hAnsi="Arial"/>
          <w:color w:val="231F20"/>
          <w:spacing w:val="-16"/>
          <w:sz w:val="16"/>
        </w:rPr>
        <w:t> </w:t>
      </w:r>
      <w:r>
        <w:rPr>
          <w:rFonts w:ascii="Arial" w:hAnsi="Arial"/>
          <w:color w:val="231F20"/>
          <w:spacing w:val="-6"/>
          <w:sz w:val="16"/>
        </w:rPr>
        <w:t>65 </w:t>
      </w:r>
      <w:r>
        <w:rPr>
          <w:rFonts w:ascii="Arial" w:hAnsi="Arial"/>
          <w:color w:val="231F20"/>
          <w:sz w:val="16"/>
        </w:rPr>
        <w:t>percent</w:t>
      </w:r>
      <w:r>
        <w:rPr>
          <w:rFonts w:ascii="Arial" w:hAnsi="Arial"/>
          <w:color w:val="231F20"/>
          <w:spacing w:val="-13"/>
          <w:sz w:val="16"/>
        </w:rPr>
        <w:t> </w:t>
      </w:r>
      <w:r>
        <w:rPr>
          <w:rFonts w:ascii="Arial" w:hAnsi="Arial"/>
          <w:color w:val="231F20"/>
          <w:sz w:val="16"/>
        </w:rPr>
        <w:t>of</w:t>
      </w:r>
      <w:r>
        <w:rPr>
          <w:rFonts w:ascii="Arial" w:hAnsi="Arial"/>
          <w:color w:val="231F20"/>
          <w:spacing w:val="-12"/>
          <w:sz w:val="16"/>
        </w:rPr>
        <w:t> </w:t>
      </w:r>
      <w:r>
        <w:rPr>
          <w:rFonts w:ascii="Arial" w:hAnsi="Arial"/>
          <w:color w:val="231F20"/>
          <w:sz w:val="16"/>
        </w:rPr>
        <w:t>the</w:t>
      </w:r>
      <w:r>
        <w:rPr>
          <w:rFonts w:ascii="Arial" w:hAnsi="Arial"/>
          <w:color w:val="231F20"/>
          <w:spacing w:val="-13"/>
          <w:sz w:val="16"/>
        </w:rPr>
        <w:t> </w:t>
      </w:r>
      <w:r>
        <w:rPr>
          <w:rFonts w:ascii="Arial" w:hAnsi="Arial"/>
          <w:color w:val="231F20"/>
          <w:sz w:val="16"/>
        </w:rPr>
        <w:t>filtered</w:t>
      </w:r>
      <w:r>
        <w:rPr>
          <w:rFonts w:ascii="Arial" w:hAnsi="Arial"/>
          <w:color w:val="231F20"/>
          <w:spacing w:val="-12"/>
          <w:sz w:val="16"/>
        </w:rPr>
        <w:t> </w:t>
      </w:r>
      <w:r>
        <w:rPr>
          <w:rFonts w:ascii="Arial" w:hAnsi="Arial"/>
          <w:color w:val="231F20"/>
          <w:sz w:val="16"/>
        </w:rPr>
        <w:t>sodium,</w:t>
      </w:r>
      <w:r>
        <w:rPr>
          <w:rFonts w:ascii="Arial" w:hAnsi="Arial"/>
          <w:color w:val="231F20"/>
          <w:spacing w:val="-12"/>
          <w:sz w:val="16"/>
        </w:rPr>
        <w:t> </w:t>
      </w:r>
      <w:r>
        <w:rPr>
          <w:rFonts w:ascii="Arial" w:hAnsi="Arial"/>
          <w:color w:val="231F20"/>
          <w:sz w:val="16"/>
        </w:rPr>
        <w:t>chloride,</w:t>
      </w:r>
      <w:r>
        <w:rPr>
          <w:rFonts w:ascii="Arial" w:hAnsi="Arial"/>
          <w:color w:val="231F20"/>
          <w:spacing w:val="-13"/>
          <w:sz w:val="16"/>
        </w:rPr>
        <w:t> </w:t>
      </w:r>
      <w:r>
        <w:rPr>
          <w:rFonts w:ascii="Arial" w:hAnsi="Arial"/>
          <w:color w:val="231F20"/>
          <w:sz w:val="16"/>
        </w:rPr>
        <w:t>bicarbonate,</w:t>
      </w:r>
      <w:r>
        <w:rPr>
          <w:rFonts w:ascii="Arial" w:hAnsi="Arial"/>
          <w:color w:val="231F20"/>
          <w:spacing w:val="-12"/>
          <w:sz w:val="16"/>
        </w:rPr>
        <w:t> </w:t>
      </w:r>
      <w:r>
        <w:rPr>
          <w:rFonts w:ascii="Arial" w:hAnsi="Arial"/>
          <w:color w:val="231F20"/>
          <w:sz w:val="16"/>
        </w:rPr>
        <w:t>and</w:t>
      </w:r>
      <w:r>
        <w:rPr>
          <w:rFonts w:ascii="Arial" w:hAnsi="Arial"/>
          <w:color w:val="231F20"/>
          <w:spacing w:val="-13"/>
          <w:sz w:val="16"/>
        </w:rPr>
        <w:t> </w:t>
      </w:r>
      <w:r>
        <w:rPr>
          <w:rFonts w:ascii="Arial" w:hAnsi="Arial"/>
          <w:color w:val="231F20"/>
          <w:sz w:val="16"/>
        </w:rPr>
        <w:t>potassium and</w:t>
      </w:r>
      <w:r>
        <w:rPr>
          <w:rFonts w:ascii="Arial" w:hAnsi="Arial"/>
          <w:color w:val="231F20"/>
          <w:spacing w:val="-18"/>
          <w:sz w:val="16"/>
        </w:rPr>
        <w:t> </w:t>
      </w:r>
      <w:r>
        <w:rPr>
          <w:rFonts w:ascii="Arial" w:hAnsi="Arial"/>
          <w:color w:val="231F20"/>
          <w:sz w:val="16"/>
        </w:rPr>
        <w:t>essentially</w:t>
      </w:r>
      <w:r>
        <w:rPr>
          <w:rFonts w:ascii="Arial" w:hAnsi="Arial"/>
          <w:color w:val="231F20"/>
          <w:spacing w:val="-18"/>
          <w:sz w:val="16"/>
        </w:rPr>
        <w:t> </w:t>
      </w:r>
      <w:r>
        <w:rPr>
          <w:rFonts w:ascii="Arial" w:hAnsi="Arial"/>
          <w:color w:val="231F20"/>
          <w:sz w:val="16"/>
        </w:rPr>
        <w:t>all</w:t>
      </w:r>
      <w:r>
        <w:rPr>
          <w:rFonts w:ascii="Arial" w:hAnsi="Arial"/>
          <w:color w:val="231F20"/>
          <w:spacing w:val="-18"/>
          <w:sz w:val="16"/>
        </w:rPr>
        <w:t> </w:t>
      </w:r>
      <w:r>
        <w:rPr>
          <w:rFonts w:ascii="Arial" w:hAnsi="Arial"/>
          <w:color w:val="231F20"/>
          <w:sz w:val="16"/>
        </w:rPr>
        <w:t>the</w:t>
      </w:r>
      <w:r>
        <w:rPr>
          <w:rFonts w:ascii="Arial" w:hAnsi="Arial"/>
          <w:color w:val="231F20"/>
          <w:spacing w:val="-18"/>
          <w:sz w:val="16"/>
        </w:rPr>
        <w:t> </w:t>
      </w:r>
      <w:r>
        <w:rPr>
          <w:rFonts w:ascii="Arial" w:hAnsi="Arial"/>
          <w:color w:val="231F20"/>
          <w:sz w:val="16"/>
        </w:rPr>
        <w:t>filtered</w:t>
      </w:r>
      <w:r>
        <w:rPr>
          <w:rFonts w:ascii="Arial" w:hAnsi="Arial"/>
          <w:color w:val="231F20"/>
          <w:spacing w:val="-18"/>
          <w:sz w:val="16"/>
        </w:rPr>
        <w:t> </w:t>
      </w:r>
      <w:r>
        <w:rPr>
          <w:rFonts w:ascii="Arial" w:hAnsi="Arial"/>
          <w:color w:val="231F20"/>
          <w:sz w:val="16"/>
        </w:rPr>
        <w:t>glucose</w:t>
      </w:r>
      <w:r>
        <w:rPr>
          <w:rFonts w:ascii="Arial" w:hAnsi="Arial"/>
          <w:color w:val="231F20"/>
          <w:spacing w:val="-18"/>
          <w:sz w:val="16"/>
        </w:rPr>
        <w:t> </w:t>
      </w:r>
      <w:r>
        <w:rPr>
          <w:rFonts w:ascii="Arial" w:hAnsi="Arial"/>
          <w:color w:val="231F20"/>
          <w:sz w:val="16"/>
        </w:rPr>
        <w:t>and</w:t>
      </w:r>
      <w:r>
        <w:rPr>
          <w:rFonts w:ascii="Arial" w:hAnsi="Arial"/>
          <w:color w:val="231F20"/>
          <w:spacing w:val="-18"/>
          <w:sz w:val="16"/>
        </w:rPr>
        <w:t> </w:t>
      </w:r>
      <w:r>
        <w:rPr>
          <w:rFonts w:ascii="Arial" w:hAnsi="Arial"/>
          <w:color w:val="231F20"/>
          <w:sz w:val="16"/>
        </w:rPr>
        <w:t>amino</w:t>
      </w:r>
      <w:r>
        <w:rPr>
          <w:rFonts w:ascii="Arial" w:hAnsi="Arial"/>
          <w:color w:val="231F20"/>
          <w:spacing w:val="-18"/>
          <w:sz w:val="16"/>
        </w:rPr>
        <w:t> </w:t>
      </w:r>
      <w:r>
        <w:rPr>
          <w:rFonts w:ascii="Arial" w:hAnsi="Arial"/>
          <w:color w:val="231F20"/>
          <w:sz w:val="16"/>
        </w:rPr>
        <w:t>acids.</w:t>
      </w:r>
      <w:r>
        <w:rPr>
          <w:rFonts w:ascii="Arial" w:hAnsi="Arial"/>
          <w:color w:val="231F20"/>
          <w:spacing w:val="-18"/>
          <w:sz w:val="16"/>
        </w:rPr>
        <w:t> </w:t>
      </w:r>
      <w:r>
        <w:rPr>
          <w:rFonts w:ascii="Arial" w:hAnsi="Arial"/>
          <w:color w:val="231F20"/>
          <w:sz w:val="16"/>
        </w:rPr>
        <w:t>The</w:t>
      </w:r>
      <w:r>
        <w:rPr>
          <w:rFonts w:ascii="Arial" w:hAnsi="Arial"/>
          <w:color w:val="231F20"/>
          <w:spacing w:val="-18"/>
          <w:sz w:val="16"/>
        </w:rPr>
        <w:t> </w:t>
      </w:r>
      <w:r>
        <w:rPr>
          <w:rFonts w:ascii="Arial" w:hAnsi="Arial"/>
          <w:color w:val="231F20"/>
          <w:spacing w:val="-3"/>
          <w:sz w:val="16"/>
        </w:rPr>
        <w:t>proximal </w:t>
      </w:r>
      <w:r>
        <w:rPr>
          <w:rFonts w:ascii="Arial" w:hAnsi="Arial"/>
          <w:color w:val="231F20"/>
          <w:sz w:val="16"/>
        </w:rPr>
        <w:t>tubules</w:t>
      </w:r>
      <w:r>
        <w:rPr>
          <w:rFonts w:ascii="Arial" w:hAnsi="Arial"/>
          <w:color w:val="231F20"/>
          <w:spacing w:val="-22"/>
          <w:sz w:val="16"/>
        </w:rPr>
        <w:t> </w:t>
      </w:r>
      <w:r>
        <w:rPr>
          <w:rFonts w:ascii="Arial" w:hAnsi="Arial"/>
          <w:color w:val="231F20"/>
          <w:sz w:val="16"/>
        </w:rPr>
        <w:t>also</w:t>
      </w:r>
      <w:r>
        <w:rPr>
          <w:rFonts w:ascii="Arial" w:hAnsi="Arial"/>
          <w:color w:val="231F20"/>
          <w:spacing w:val="-22"/>
          <w:sz w:val="16"/>
        </w:rPr>
        <w:t> </w:t>
      </w:r>
      <w:r>
        <w:rPr>
          <w:rFonts w:ascii="Arial" w:hAnsi="Arial"/>
          <w:color w:val="231F20"/>
          <w:sz w:val="16"/>
        </w:rPr>
        <w:t>secrete</w:t>
      </w:r>
      <w:r>
        <w:rPr>
          <w:rFonts w:ascii="Arial" w:hAnsi="Arial"/>
          <w:color w:val="231F20"/>
          <w:spacing w:val="-22"/>
          <w:sz w:val="16"/>
        </w:rPr>
        <w:t> </w:t>
      </w:r>
      <w:r>
        <w:rPr>
          <w:rFonts w:ascii="Arial" w:hAnsi="Arial"/>
          <w:color w:val="231F20"/>
          <w:sz w:val="16"/>
        </w:rPr>
        <w:t>organic</w:t>
      </w:r>
      <w:r>
        <w:rPr>
          <w:rFonts w:ascii="Arial" w:hAnsi="Arial"/>
          <w:color w:val="231F20"/>
          <w:spacing w:val="-22"/>
          <w:sz w:val="16"/>
        </w:rPr>
        <w:t> </w:t>
      </w:r>
      <w:r>
        <w:rPr>
          <w:rFonts w:ascii="Arial" w:hAnsi="Arial"/>
          <w:color w:val="231F20"/>
          <w:sz w:val="16"/>
        </w:rPr>
        <w:t>acids,</w:t>
      </w:r>
      <w:r>
        <w:rPr>
          <w:rFonts w:ascii="Arial" w:hAnsi="Arial"/>
          <w:color w:val="231F20"/>
          <w:spacing w:val="-21"/>
          <w:sz w:val="16"/>
        </w:rPr>
        <w:t> </w:t>
      </w:r>
      <w:r>
        <w:rPr>
          <w:rFonts w:ascii="Arial" w:hAnsi="Arial"/>
          <w:color w:val="231F20"/>
          <w:sz w:val="16"/>
        </w:rPr>
        <w:t>bases,</w:t>
      </w:r>
      <w:r>
        <w:rPr>
          <w:rFonts w:ascii="Arial" w:hAnsi="Arial"/>
          <w:color w:val="231F20"/>
          <w:spacing w:val="-22"/>
          <w:sz w:val="16"/>
        </w:rPr>
        <w:t> </w:t>
      </w:r>
      <w:r>
        <w:rPr>
          <w:rFonts w:ascii="Arial" w:hAnsi="Arial"/>
          <w:color w:val="231F20"/>
          <w:sz w:val="16"/>
        </w:rPr>
        <w:t>and</w:t>
      </w:r>
      <w:r>
        <w:rPr>
          <w:rFonts w:ascii="Arial" w:hAnsi="Arial"/>
          <w:color w:val="231F20"/>
          <w:spacing w:val="-22"/>
          <w:sz w:val="16"/>
        </w:rPr>
        <w:t> </w:t>
      </w:r>
      <w:r>
        <w:rPr>
          <w:rFonts w:ascii="Arial" w:hAnsi="Arial"/>
          <w:color w:val="231F20"/>
          <w:sz w:val="16"/>
        </w:rPr>
        <w:t>hydrogen</w:t>
      </w:r>
      <w:r>
        <w:rPr>
          <w:rFonts w:ascii="Arial" w:hAnsi="Arial"/>
          <w:color w:val="231F20"/>
          <w:spacing w:val="-22"/>
          <w:sz w:val="16"/>
        </w:rPr>
        <w:t> </w:t>
      </w:r>
      <w:r>
        <w:rPr>
          <w:rFonts w:ascii="Arial" w:hAnsi="Arial"/>
          <w:color w:val="231F20"/>
          <w:sz w:val="16"/>
        </w:rPr>
        <w:t>ions</w:t>
      </w:r>
      <w:r>
        <w:rPr>
          <w:rFonts w:ascii="Arial" w:hAnsi="Arial"/>
          <w:color w:val="231F20"/>
          <w:spacing w:val="-21"/>
          <w:sz w:val="16"/>
        </w:rPr>
        <w:t> </w:t>
      </w:r>
      <w:r>
        <w:rPr>
          <w:rFonts w:ascii="Arial" w:hAnsi="Arial"/>
          <w:color w:val="231F20"/>
          <w:sz w:val="16"/>
        </w:rPr>
        <w:t>into</w:t>
      </w:r>
      <w:r>
        <w:rPr>
          <w:rFonts w:ascii="Arial" w:hAnsi="Arial"/>
          <w:color w:val="231F20"/>
          <w:spacing w:val="-22"/>
          <w:sz w:val="16"/>
        </w:rPr>
        <w:t> </w:t>
      </w:r>
      <w:r>
        <w:rPr>
          <w:rFonts w:ascii="Arial" w:hAnsi="Arial"/>
          <w:color w:val="231F20"/>
          <w:spacing w:val="-4"/>
          <w:sz w:val="16"/>
        </w:rPr>
        <w:t>the </w:t>
      </w:r>
      <w:r>
        <w:rPr>
          <w:rFonts w:ascii="Arial" w:hAnsi="Arial"/>
          <w:color w:val="231F20"/>
          <w:sz w:val="16"/>
        </w:rPr>
        <w:t>tubular</w:t>
      </w:r>
      <w:r>
        <w:rPr>
          <w:rFonts w:ascii="Arial" w:hAnsi="Arial"/>
          <w:color w:val="231F20"/>
          <w:spacing w:val="7"/>
          <w:sz w:val="16"/>
        </w:rPr>
        <w:t> </w:t>
      </w:r>
      <w:r>
        <w:rPr>
          <w:rFonts w:ascii="Arial" w:hAnsi="Arial"/>
          <w:color w:val="231F20"/>
          <w:sz w:val="16"/>
        </w:rPr>
        <w:t>lumen.</w:t>
      </w:r>
    </w:p>
    <w:p>
      <w:pPr>
        <w:pStyle w:val="BodyText"/>
        <w:spacing w:before="1"/>
        <w:rPr>
          <w:rFonts w:ascii="Arial"/>
          <w:sz w:val="18"/>
        </w:rPr>
      </w:pPr>
    </w:p>
    <w:p>
      <w:pPr>
        <w:pStyle w:val="BodyText"/>
        <w:spacing w:line="249" w:lineRule="auto"/>
        <w:ind w:left="319" w:right="1078"/>
        <w:jc w:val="both"/>
      </w:pPr>
      <w:r>
        <w:rPr>
          <w:color w:val="231F20"/>
          <w:w w:val="105"/>
        </w:rPr>
        <w:t>epithelium for rapid transport of sodium ions and other substances.</w:t>
      </w:r>
    </w:p>
    <w:p>
      <w:pPr>
        <w:pStyle w:val="BodyText"/>
        <w:spacing w:line="249" w:lineRule="auto" w:before="2"/>
        <w:ind w:left="319" w:right="1077" w:firstLine="240"/>
        <w:jc w:val="both"/>
      </w:pPr>
      <w:r>
        <w:rPr>
          <w:color w:val="231F20"/>
        </w:rPr>
        <w:t>The extensive membrane surface of the epithelial  brush border is also loaded with protein carrier molecules that transport a large fraction of the sodium ions across the luminal membrane linked by way of the </w:t>
      </w:r>
      <w:r>
        <w:rPr>
          <w:i/>
          <w:color w:val="231F20"/>
        </w:rPr>
        <w:t>co-transport </w:t>
      </w:r>
      <w:r>
        <w:rPr>
          <w:color w:val="231F20"/>
        </w:rPr>
        <w:t>mechanism with multiple organic nutrients such as </w:t>
      </w:r>
      <w:r>
        <w:rPr>
          <w:color w:val="231F20"/>
          <w:spacing w:val="-3"/>
        </w:rPr>
        <w:t>amino </w:t>
      </w:r>
      <w:r>
        <w:rPr>
          <w:color w:val="231F20"/>
        </w:rPr>
        <w:t>acids and glucose. Additional sodium  is  transported  from the tubular lumen into the cell by </w:t>
      </w:r>
      <w:r>
        <w:rPr>
          <w:i/>
          <w:color w:val="231F20"/>
        </w:rPr>
        <w:t>counter-transport </w:t>
      </w:r>
      <w:r>
        <w:rPr>
          <w:color w:val="231F20"/>
        </w:rPr>
        <w:t>mechanisms that reabsorb sodium while secreting other substances into the tubular lumen, especially </w:t>
      </w:r>
      <w:r>
        <w:rPr>
          <w:color w:val="231F20"/>
          <w:spacing w:val="-3"/>
        </w:rPr>
        <w:t>hydrogen </w:t>
      </w:r>
      <w:r>
        <w:rPr>
          <w:color w:val="231F20"/>
        </w:rPr>
        <w:t>ions. As discussed in Chapter 31, the secretion of hydro- gen ions into the tubular lumen is an important step </w:t>
      </w:r>
      <w:r>
        <w:rPr>
          <w:color w:val="231F20"/>
          <w:spacing w:val="-6"/>
        </w:rPr>
        <w:t>in   </w:t>
      </w:r>
      <w:r>
        <w:rPr>
          <w:color w:val="231F20"/>
        </w:rPr>
        <w:t>the</w:t>
      </w:r>
      <w:r>
        <w:rPr>
          <w:color w:val="231F20"/>
          <w:spacing w:val="8"/>
        </w:rPr>
        <w:t> </w:t>
      </w:r>
      <w:r>
        <w:rPr>
          <w:color w:val="231F20"/>
        </w:rPr>
        <w:t>removal</w:t>
      </w:r>
      <w:r>
        <w:rPr>
          <w:color w:val="231F20"/>
          <w:spacing w:val="8"/>
        </w:rPr>
        <w:t> </w:t>
      </w:r>
      <w:r>
        <w:rPr>
          <w:color w:val="231F20"/>
        </w:rPr>
        <w:t>of</w:t>
      </w:r>
      <w:r>
        <w:rPr>
          <w:color w:val="231F20"/>
          <w:spacing w:val="8"/>
        </w:rPr>
        <w:t> </w:t>
      </w:r>
      <w:r>
        <w:rPr>
          <w:color w:val="231F20"/>
        </w:rPr>
        <w:t>bicarbonate</w:t>
      </w:r>
      <w:r>
        <w:rPr>
          <w:color w:val="231F20"/>
          <w:spacing w:val="8"/>
        </w:rPr>
        <w:t> </w:t>
      </w:r>
      <w:r>
        <w:rPr>
          <w:color w:val="231F20"/>
        </w:rPr>
        <w:t>ions</w:t>
      </w:r>
      <w:r>
        <w:rPr>
          <w:color w:val="231F20"/>
          <w:spacing w:val="9"/>
        </w:rPr>
        <w:t> </w:t>
      </w:r>
      <w:r>
        <w:rPr>
          <w:color w:val="231F20"/>
        </w:rPr>
        <w:t>from</w:t>
      </w:r>
      <w:r>
        <w:rPr>
          <w:color w:val="231F20"/>
          <w:spacing w:val="8"/>
        </w:rPr>
        <w:t> </w:t>
      </w:r>
      <w:r>
        <w:rPr>
          <w:color w:val="231F20"/>
        </w:rPr>
        <w:t>the</w:t>
      </w:r>
      <w:r>
        <w:rPr>
          <w:color w:val="231F20"/>
          <w:spacing w:val="8"/>
        </w:rPr>
        <w:t> </w:t>
      </w:r>
      <w:r>
        <w:rPr>
          <w:color w:val="231F20"/>
        </w:rPr>
        <w:t>tubule</w:t>
      </w:r>
      <w:r>
        <w:rPr>
          <w:color w:val="231F20"/>
          <w:spacing w:val="8"/>
        </w:rPr>
        <w:t> </w:t>
      </w:r>
      <w:r>
        <w:rPr>
          <w:color w:val="231F20"/>
        </w:rPr>
        <w:t>(by</w:t>
      </w:r>
      <w:r>
        <w:rPr>
          <w:color w:val="231F20"/>
          <w:spacing w:val="8"/>
        </w:rPr>
        <w:t> </w:t>
      </w:r>
      <w:r>
        <w:rPr>
          <w:color w:val="231F20"/>
        </w:rPr>
        <w:t>com-</w:t>
      </w:r>
    </w:p>
    <w:p>
      <w:pPr>
        <w:pStyle w:val="BodyText"/>
        <w:spacing w:line="115" w:lineRule="exact"/>
        <w:ind w:left="319"/>
        <w:jc w:val="both"/>
      </w:pPr>
      <w:r>
        <w:rPr>
          <w:color w:val="231F20"/>
        </w:rPr>
        <w:t>bining  H</w:t>
      </w:r>
      <w:r>
        <w:rPr>
          <w:rFonts w:ascii="Arial Unicode MS" w:hAnsi="Arial Unicode MS"/>
          <w:color w:val="231F20"/>
          <w:position w:val="8"/>
          <w:sz w:val="12"/>
        </w:rPr>
        <w:t>+   </w:t>
      </w:r>
      <w:r>
        <w:rPr>
          <w:color w:val="231F20"/>
        </w:rPr>
        <w:t>with  the  HCO </w:t>
      </w:r>
      <w:r>
        <w:rPr>
          <w:rFonts w:ascii="Arial Unicode MS" w:hAnsi="Arial Unicode MS"/>
          <w:color w:val="231F20"/>
          <w:position w:val="8"/>
          <w:sz w:val="12"/>
        </w:rPr>
        <w:t>−   </w:t>
      </w:r>
      <w:r>
        <w:rPr>
          <w:color w:val="231F20"/>
        </w:rPr>
        <w:t>to  form  H CO ,  which</w:t>
      </w:r>
      <w:r>
        <w:rPr>
          <w:color w:val="231F20"/>
          <w:spacing w:val="3"/>
        </w:rPr>
        <w:t> </w:t>
      </w:r>
      <w:r>
        <w:rPr>
          <w:color w:val="231F20"/>
        </w:rPr>
        <w:t>then</w:t>
      </w:r>
    </w:p>
    <w:p>
      <w:pPr>
        <w:spacing w:after="0" w:line="115" w:lineRule="exact"/>
        <w:jc w:val="both"/>
        <w:sectPr>
          <w:type w:val="continuous"/>
          <w:pgSz w:w="12240" w:h="15660"/>
          <w:pgMar w:top="0" w:bottom="760" w:left="0" w:right="0"/>
          <w:cols w:num="2" w:equalWidth="0">
            <w:col w:w="6121" w:space="40"/>
            <w:col w:w="6079"/>
          </w:cols>
        </w:sectPr>
      </w:pPr>
    </w:p>
    <w:p>
      <w:pPr>
        <w:pStyle w:val="BodyText"/>
        <w:spacing w:before="5"/>
        <w:ind w:left="1440"/>
        <w:jc w:val="both"/>
      </w:pPr>
      <w:r>
        <w:rPr/>
        <w:pict>
          <v:group style="position:absolute;margin-left:0pt;margin-top:0pt;width:612pt;height:180pt;mso-position-horizontal-relative:page;mso-position-vertical-relative:page;z-index:-27332300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r>
        <w:rPr>
          <w:color w:val="231F20"/>
          <w:w w:val="105"/>
        </w:rPr>
        <w:t>stances</w:t>
      </w:r>
      <w:r>
        <w:rPr>
          <w:color w:val="231F20"/>
          <w:spacing w:val="-8"/>
          <w:w w:val="105"/>
        </w:rPr>
        <w:t> </w:t>
      </w:r>
      <w:r>
        <w:rPr>
          <w:color w:val="231F20"/>
          <w:w w:val="105"/>
        </w:rPr>
        <w:t>in</w:t>
      </w:r>
      <w:r>
        <w:rPr>
          <w:color w:val="231F20"/>
          <w:spacing w:val="-7"/>
          <w:w w:val="105"/>
        </w:rPr>
        <w:t> </w:t>
      </w:r>
      <w:r>
        <w:rPr>
          <w:color w:val="231F20"/>
          <w:w w:val="105"/>
        </w:rPr>
        <w:t>different</w:t>
      </w:r>
      <w:r>
        <w:rPr>
          <w:color w:val="231F20"/>
          <w:spacing w:val="-7"/>
          <w:w w:val="105"/>
        </w:rPr>
        <w:t> </w:t>
      </w:r>
      <w:r>
        <w:rPr>
          <w:color w:val="231F20"/>
          <w:w w:val="105"/>
        </w:rPr>
        <w:t>parts</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tubular</w:t>
      </w:r>
      <w:r>
        <w:rPr>
          <w:color w:val="231F20"/>
          <w:spacing w:val="-7"/>
          <w:w w:val="105"/>
        </w:rPr>
        <w:t> </w:t>
      </w:r>
      <w:r>
        <w:rPr>
          <w:color w:val="231F20"/>
          <w:w w:val="105"/>
        </w:rPr>
        <w:t>system.</w:t>
      </w:r>
    </w:p>
    <w:p>
      <w:pPr>
        <w:pStyle w:val="BodyText"/>
        <w:spacing w:before="5"/>
        <w:rPr>
          <w:sz w:val="30"/>
        </w:rPr>
      </w:pPr>
    </w:p>
    <w:p>
      <w:pPr>
        <w:pStyle w:val="Heading2"/>
        <w:ind w:left="1440"/>
        <w:jc w:val="both"/>
      </w:pPr>
      <w:r>
        <w:rPr>
          <w:color w:val="231F20"/>
          <w:w w:val="105"/>
        </w:rPr>
        <w:t>PROXIMAL TUBULAR</w:t>
      </w:r>
      <w:r>
        <w:rPr>
          <w:color w:val="231F20"/>
          <w:spacing w:val="-21"/>
          <w:w w:val="105"/>
        </w:rPr>
        <w:t> </w:t>
      </w:r>
      <w:r>
        <w:rPr>
          <w:color w:val="231F20"/>
          <w:w w:val="105"/>
        </w:rPr>
        <w:t>REABSORPTION</w:t>
      </w:r>
    </w:p>
    <w:p>
      <w:pPr>
        <w:pStyle w:val="BodyText"/>
        <w:spacing w:line="249" w:lineRule="auto" w:before="125"/>
        <w:ind w:left="1440"/>
        <w:jc w:val="both"/>
      </w:pPr>
      <w:r>
        <w:rPr>
          <w:color w:val="231F20"/>
        </w:rPr>
        <w:t>Normally, about 65 percent of the filtered load of sodium and water and a slightly lower percentage of filtered chlo- ride are reabsorbed by the proximal tubule before the filtrate reaches the loops of Henle. These percentages can be increased or decreased in different physiological con- ditions, as discussed later.</w:t>
      </w:r>
    </w:p>
    <w:p>
      <w:pPr>
        <w:pStyle w:val="BodyText"/>
        <w:rPr>
          <w:sz w:val="22"/>
        </w:rPr>
      </w:pPr>
    </w:p>
    <w:p>
      <w:pPr>
        <w:pStyle w:val="BodyText"/>
        <w:spacing w:line="249" w:lineRule="auto"/>
        <w:ind w:left="1440"/>
        <w:jc w:val="both"/>
      </w:pPr>
      <w:r>
        <w:rPr>
          <w:rFonts w:ascii="Trebuchet MS"/>
          <w:b/>
          <w:color w:val="231F20"/>
          <w:sz w:val="19"/>
        </w:rPr>
        <w:t>Proximal </w:t>
      </w:r>
      <w:r>
        <w:rPr>
          <w:rFonts w:ascii="Trebuchet MS"/>
          <w:b/>
          <w:color w:val="231F20"/>
          <w:spacing w:val="-3"/>
          <w:sz w:val="19"/>
        </w:rPr>
        <w:t>Tubules </w:t>
      </w:r>
      <w:r>
        <w:rPr>
          <w:rFonts w:ascii="Trebuchet MS"/>
          <w:b/>
          <w:color w:val="231F20"/>
          <w:sz w:val="19"/>
        </w:rPr>
        <w:t>Have a High Capacity for </w:t>
      </w:r>
      <w:r>
        <w:rPr>
          <w:rFonts w:ascii="Trebuchet MS"/>
          <w:b/>
          <w:color w:val="231F20"/>
          <w:spacing w:val="-3"/>
          <w:sz w:val="19"/>
        </w:rPr>
        <w:t>Active </w:t>
      </w:r>
      <w:r>
        <w:rPr>
          <w:rFonts w:ascii="Trebuchet MS"/>
          <w:b/>
          <w:color w:val="231F20"/>
          <w:sz w:val="19"/>
        </w:rPr>
        <w:t>and Passive Reabsorption. </w:t>
      </w:r>
      <w:r>
        <w:rPr>
          <w:color w:val="231F20"/>
        </w:rPr>
        <w:t>The high capacity of </w:t>
      </w:r>
      <w:r>
        <w:rPr>
          <w:color w:val="231F20"/>
          <w:spacing w:val="-6"/>
        </w:rPr>
        <w:t>the </w:t>
      </w:r>
      <w:r>
        <w:rPr>
          <w:color w:val="231F20"/>
        </w:rPr>
        <w:t>proximal tubule for reabsorption results from its special cellular characteristics, as shown in </w:t>
      </w:r>
      <w:hyperlink w:history="true" w:anchor="_bookmark45">
        <w:r>
          <w:rPr>
            <w:b/>
            <w:color w:val="0080AC"/>
          </w:rPr>
          <w:t>Figure 28-6</w:t>
        </w:r>
      </w:hyperlink>
      <w:r>
        <w:rPr>
          <w:color w:val="231F20"/>
        </w:rPr>
        <w:t>. </w:t>
      </w:r>
      <w:r>
        <w:rPr>
          <w:color w:val="231F20"/>
          <w:spacing w:val="-5"/>
        </w:rPr>
        <w:t>The </w:t>
      </w:r>
      <w:r>
        <w:rPr>
          <w:color w:val="231F20"/>
        </w:rPr>
        <w:t>proximal tubule epithelial cells  are  highly  metabolic  and have large numbers of mitochondria to support powerful active transport processes. In addition, </w:t>
      </w:r>
      <w:r>
        <w:rPr>
          <w:color w:val="231F20"/>
          <w:spacing w:val="-6"/>
        </w:rPr>
        <w:t>the </w:t>
      </w:r>
      <w:r>
        <w:rPr>
          <w:color w:val="231F20"/>
        </w:rPr>
        <w:t>proximal tubular cells have  an  extensive  brush  </w:t>
      </w:r>
      <w:r>
        <w:rPr>
          <w:color w:val="231F20"/>
          <w:spacing w:val="-3"/>
        </w:rPr>
        <w:t>border </w:t>
      </w:r>
      <w:r>
        <w:rPr>
          <w:color w:val="231F20"/>
        </w:rPr>
        <w:t>on the luminal (apical) side of the membrane, as well </w:t>
      </w:r>
      <w:r>
        <w:rPr>
          <w:color w:val="231F20"/>
          <w:spacing w:val="-6"/>
        </w:rPr>
        <w:t>as </w:t>
      </w:r>
      <w:r>
        <w:rPr>
          <w:color w:val="231F20"/>
        </w:rPr>
        <w:t>an extensive labyrinth of intercellular and basal channels, all of which together provide an extensive membrane surface</w:t>
      </w:r>
      <w:r>
        <w:rPr>
          <w:color w:val="231F20"/>
          <w:spacing w:val="31"/>
        </w:rPr>
        <w:t> </w:t>
      </w:r>
      <w:r>
        <w:rPr>
          <w:color w:val="231F20"/>
        </w:rPr>
        <w:t>area</w:t>
      </w:r>
      <w:r>
        <w:rPr>
          <w:color w:val="231F20"/>
          <w:spacing w:val="32"/>
        </w:rPr>
        <w:t> </w:t>
      </w:r>
      <w:r>
        <w:rPr>
          <w:color w:val="231F20"/>
        </w:rPr>
        <w:t>on</w:t>
      </w:r>
      <w:r>
        <w:rPr>
          <w:color w:val="231F20"/>
          <w:spacing w:val="32"/>
        </w:rPr>
        <w:t> </w:t>
      </w:r>
      <w:r>
        <w:rPr>
          <w:color w:val="231F20"/>
        </w:rPr>
        <w:t>the</w:t>
      </w:r>
      <w:r>
        <w:rPr>
          <w:color w:val="231F20"/>
          <w:spacing w:val="32"/>
        </w:rPr>
        <w:t> </w:t>
      </w:r>
      <w:r>
        <w:rPr>
          <w:color w:val="231F20"/>
        </w:rPr>
        <w:t>luminal</w:t>
      </w:r>
      <w:r>
        <w:rPr>
          <w:color w:val="231F20"/>
          <w:spacing w:val="32"/>
        </w:rPr>
        <w:t> </w:t>
      </w:r>
      <w:r>
        <w:rPr>
          <w:color w:val="231F20"/>
        </w:rPr>
        <w:t>and</w:t>
      </w:r>
      <w:r>
        <w:rPr>
          <w:color w:val="231F20"/>
          <w:spacing w:val="32"/>
        </w:rPr>
        <w:t> </w:t>
      </w:r>
      <w:r>
        <w:rPr>
          <w:color w:val="231F20"/>
        </w:rPr>
        <w:t>basolateral</w:t>
      </w:r>
      <w:r>
        <w:rPr>
          <w:color w:val="231F20"/>
          <w:spacing w:val="32"/>
        </w:rPr>
        <w:t> </w:t>
      </w:r>
      <w:r>
        <w:rPr>
          <w:color w:val="231F20"/>
        </w:rPr>
        <w:t>sides</w:t>
      </w:r>
      <w:r>
        <w:rPr>
          <w:color w:val="231F20"/>
          <w:spacing w:val="32"/>
        </w:rPr>
        <w:t> </w:t>
      </w:r>
      <w:r>
        <w:rPr>
          <w:color w:val="231F20"/>
        </w:rPr>
        <w:t>of</w:t>
      </w:r>
      <w:r>
        <w:rPr>
          <w:color w:val="231F20"/>
          <w:spacing w:val="32"/>
        </w:rPr>
        <w:t> </w:t>
      </w:r>
      <w:r>
        <w:rPr>
          <w:color w:val="231F20"/>
        </w:rPr>
        <w:t>the</w:t>
      </w:r>
    </w:p>
    <w:p>
      <w:pPr>
        <w:tabs>
          <w:tab w:pos="1373" w:val="left" w:leader="none"/>
          <w:tab w:pos="1727" w:val="left" w:leader="none"/>
        </w:tabs>
        <w:spacing w:line="7" w:lineRule="exact" w:before="0"/>
        <w:ind w:left="295" w:right="0" w:firstLine="0"/>
        <w:jc w:val="center"/>
        <w:rPr>
          <w:sz w:val="12"/>
        </w:rPr>
      </w:pPr>
      <w:r>
        <w:rPr/>
        <w:br w:type="column"/>
      </w:r>
      <w:r>
        <w:rPr>
          <w:color w:val="231F20"/>
          <w:sz w:val="12"/>
        </w:rPr>
        <w:t>3</w:t>
        <w:tab/>
        <w:t>2</w:t>
        <w:tab/>
        <w:t>3</w:t>
      </w:r>
    </w:p>
    <w:p>
      <w:pPr>
        <w:pStyle w:val="BodyText"/>
        <w:spacing w:line="229" w:lineRule="exact"/>
        <w:ind w:left="319"/>
        <w:jc w:val="both"/>
      </w:pPr>
      <w:r>
        <w:rPr>
          <w:color w:val="231F20"/>
          <w:w w:val="105"/>
        </w:rPr>
        <w:t>dissociates into H</w:t>
      </w:r>
      <w:r>
        <w:rPr>
          <w:color w:val="231F20"/>
          <w:w w:val="105"/>
          <w:vertAlign w:val="subscript"/>
        </w:rPr>
        <w:t>2</w:t>
      </w:r>
      <w:r>
        <w:rPr>
          <w:color w:val="231F20"/>
          <w:w w:val="105"/>
          <w:vertAlign w:val="baseline"/>
        </w:rPr>
        <w:t>O and CO</w:t>
      </w:r>
      <w:r>
        <w:rPr>
          <w:color w:val="231F20"/>
          <w:w w:val="105"/>
          <w:vertAlign w:val="subscript"/>
        </w:rPr>
        <w:t>2</w:t>
      </w:r>
      <w:r>
        <w:rPr>
          <w:color w:val="231F20"/>
          <w:w w:val="105"/>
          <w:vertAlign w:val="baseline"/>
        </w:rPr>
        <w:t>).</w:t>
      </w:r>
    </w:p>
    <w:p>
      <w:pPr>
        <w:pStyle w:val="BodyText"/>
        <w:spacing w:line="249" w:lineRule="auto" w:before="10"/>
        <w:ind w:left="319" w:right="1077" w:firstLine="239"/>
        <w:jc w:val="both"/>
      </w:pPr>
      <w:r>
        <w:rPr>
          <w:color w:val="231F20"/>
          <w:w w:val="105"/>
        </w:rPr>
        <w:t>Although the sodium-potassium ATPase pump pro- vides the major force for reabsorption of sodium, chlo- ride,</w:t>
      </w:r>
      <w:r>
        <w:rPr>
          <w:color w:val="231F20"/>
          <w:spacing w:val="-11"/>
          <w:w w:val="105"/>
        </w:rPr>
        <w:t> </w:t>
      </w:r>
      <w:r>
        <w:rPr>
          <w:color w:val="231F20"/>
          <w:w w:val="105"/>
        </w:rPr>
        <w:t>and</w:t>
      </w:r>
      <w:r>
        <w:rPr>
          <w:color w:val="231F20"/>
          <w:spacing w:val="-11"/>
          <w:w w:val="105"/>
        </w:rPr>
        <w:t> </w:t>
      </w:r>
      <w:r>
        <w:rPr>
          <w:color w:val="231F20"/>
          <w:w w:val="105"/>
        </w:rPr>
        <w:t>water</w:t>
      </w:r>
      <w:r>
        <w:rPr>
          <w:color w:val="231F20"/>
          <w:spacing w:val="-11"/>
          <w:w w:val="105"/>
        </w:rPr>
        <w:t> </w:t>
      </w:r>
      <w:r>
        <w:rPr>
          <w:color w:val="231F20"/>
          <w:w w:val="105"/>
        </w:rPr>
        <w:t>throughout</w:t>
      </w:r>
      <w:r>
        <w:rPr>
          <w:color w:val="231F20"/>
          <w:spacing w:val="-11"/>
          <w:w w:val="105"/>
        </w:rPr>
        <w:t> </w:t>
      </w:r>
      <w:r>
        <w:rPr>
          <w:color w:val="231F20"/>
          <w:w w:val="105"/>
        </w:rPr>
        <w:t>the</w:t>
      </w:r>
      <w:r>
        <w:rPr>
          <w:color w:val="231F20"/>
          <w:spacing w:val="-10"/>
          <w:w w:val="105"/>
        </w:rPr>
        <w:t> </w:t>
      </w:r>
      <w:r>
        <w:rPr>
          <w:color w:val="231F20"/>
          <w:w w:val="105"/>
        </w:rPr>
        <w:t>proximal</w:t>
      </w:r>
      <w:r>
        <w:rPr>
          <w:color w:val="231F20"/>
          <w:spacing w:val="-11"/>
          <w:w w:val="105"/>
        </w:rPr>
        <w:t> </w:t>
      </w:r>
      <w:r>
        <w:rPr>
          <w:color w:val="231F20"/>
          <w:w w:val="105"/>
        </w:rPr>
        <w:t>tubule,</w:t>
      </w:r>
      <w:r>
        <w:rPr>
          <w:color w:val="231F20"/>
          <w:spacing w:val="-11"/>
          <w:w w:val="105"/>
        </w:rPr>
        <w:t> </w:t>
      </w:r>
      <w:r>
        <w:rPr>
          <w:color w:val="231F20"/>
          <w:w w:val="105"/>
        </w:rPr>
        <w:t>there</w:t>
      </w:r>
      <w:r>
        <w:rPr>
          <w:color w:val="231F20"/>
          <w:spacing w:val="-11"/>
          <w:w w:val="105"/>
        </w:rPr>
        <w:t> </w:t>
      </w:r>
      <w:r>
        <w:rPr>
          <w:color w:val="231F20"/>
          <w:w w:val="105"/>
        </w:rPr>
        <w:t>are some differences in the mechanisms by which sodium and chloride are transported through the luminal </w:t>
      </w:r>
      <w:r>
        <w:rPr>
          <w:color w:val="231F20"/>
          <w:spacing w:val="-4"/>
          <w:w w:val="105"/>
        </w:rPr>
        <w:t>side  </w:t>
      </w:r>
      <w:r>
        <w:rPr>
          <w:color w:val="231F20"/>
          <w:w w:val="105"/>
        </w:rPr>
        <w:t>of the early and late portions of the proximal </w:t>
      </w:r>
      <w:r>
        <w:rPr>
          <w:color w:val="231F20"/>
          <w:spacing w:val="-3"/>
          <w:w w:val="105"/>
        </w:rPr>
        <w:t>tubular </w:t>
      </w:r>
      <w:r>
        <w:rPr>
          <w:color w:val="231F20"/>
          <w:w w:val="105"/>
        </w:rPr>
        <w:t>membrane.</w:t>
      </w:r>
    </w:p>
    <w:p>
      <w:pPr>
        <w:pStyle w:val="BodyText"/>
        <w:spacing w:line="249" w:lineRule="auto" w:before="5"/>
        <w:ind w:left="319" w:right="1077" w:firstLine="239"/>
        <w:jc w:val="both"/>
      </w:pPr>
      <w:r>
        <w:rPr>
          <w:color w:val="231F20"/>
        </w:rPr>
        <w:t>In the first half of the proximal tubule, sodium is reab- sorbed by co-transport along with glucose, amino acids, and other solutes. However, in the second half of the proximal</w:t>
      </w:r>
      <w:r>
        <w:rPr>
          <w:color w:val="231F20"/>
          <w:spacing w:val="-5"/>
        </w:rPr>
        <w:t> </w:t>
      </w:r>
      <w:r>
        <w:rPr>
          <w:color w:val="231F20"/>
        </w:rPr>
        <w:t>tubule,</w:t>
      </w:r>
      <w:r>
        <w:rPr>
          <w:color w:val="231F20"/>
          <w:spacing w:val="-5"/>
        </w:rPr>
        <w:t> </w:t>
      </w:r>
      <w:r>
        <w:rPr>
          <w:color w:val="231F20"/>
        </w:rPr>
        <w:t>little</w:t>
      </w:r>
      <w:r>
        <w:rPr>
          <w:color w:val="231F20"/>
          <w:spacing w:val="-4"/>
        </w:rPr>
        <w:t> </w:t>
      </w:r>
      <w:r>
        <w:rPr>
          <w:color w:val="231F20"/>
        </w:rPr>
        <w:t>glucose</w:t>
      </w:r>
      <w:r>
        <w:rPr>
          <w:color w:val="231F20"/>
          <w:spacing w:val="-5"/>
        </w:rPr>
        <w:t> </w:t>
      </w:r>
      <w:r>
        <w:rPr>
          <w:color w:val="231F20"/>
        </w:rPr>
        <w:t>and</w:t>
      </w:r>
      <w:r>
        <w:rPr>
          <w:color w:val="231F20"/>
          <w:spacing w:val="-5"/>
        </w:rPr>
        <w:t> </w:t>
      </w:r>
      <w:r>
        <w:rPr>
          <w:color w:val="231F20"/>
        </w:rPr>
        <w:t>few</w:t>
      </w:r>
      <w:r>
        <w:rPr>
          <w:color w:val="231F20"/>
          <w:spacing w:val="-4"/>
        </w:rPr>
        <w:t> </w:t>
      </w:r>
      <w:r>
        <w:rPr>
          <w:color w:val="231F20"/>
        </w:rPr>
        <w:t>amino</w:t>
      </w:r>
      <w:r>
        <w:rPr>
          <w:color w:val="231F20"/>
          <w:spacing w:val="-5"/>
        </w:rPr>
        <w:t> </w:t>
      </w:r>
      <w:r>
        <w:rPr>
          <w:color w:val="231F20"/>
        </w:rPr>
        <w:t>acids</w:t>
      </w:r>
      <w:r>
        <w:rPr>
          <w:color w:val="231F20"/>
          <w:spacing w:val="-4"/>
        </w:rPr>
        <w:t> </w:t>
      </w:r>
      <w:r>
        <w:rPr>
          <w:color w:val="231F20"/>
        </w:rPr>
        <w:t>remain to be reabsorbed. Instead, sodium is now reabsorbed, mainly with chloride ions. The second half of the</w:t>
      </w:r>
      <w:r>
        <w:rPr>
          <w:color w:val="231F20"/>
          <w:spacing w:val="-28"/>
        </w:rPr>
        <w:t> </w:t>
      </w:r>
      <w:r>
        <w:rPr>
          <w:color w:val="231F20"/>
          <w:spacing w:val="-3"/>
        </w:rPr>
        <w:t>proximal </w:t>
      </w:r>
      <w:r>
        <w:rPr>
          <w:color w:val="231F20"/>
        </w:rPr>
        <w:t>tubule has a relatively high concentration of chloride (around 140 mEq/L) compared with the early proximal tubule (about 105 mEq/L) because when sodium is reab- sorbed, it preferentially carries with it glucose, bicarbon- ate, and organic ions in the early proximal tubule, leaving behind a solution that has a higher concentration of </w:t>
      </w:r>
      <w:r>
        <w:rPr>
          <w:color w:val="231F20"/>
          <w:spacing w:val="-4"/>
        </w:rPr>
        <w:t>chlo- </w:t>
      </w:r>
      <w:r>
        <w:rPr>
          <w:color w:val="231F20"/>
        </w:rPr>
        <w:t>ride. In the second half of the proximal tubule, the higher chloride concentration favors the diffusion of this </w:t>
      </w:r>
      <w:r>
        <w:rPr>
          <w:color w:val="231F20"/>
          <w:spacing w:val="-4"/>
        </w:rPr>
        <w:t>ion </w:t>
      </w:r>
      <w:r>
        <w:rPr>
          <w:color w:val="231F20"/>
        </w:rPr>
        <w:t>from</w:t>
      </w:r>
      <w:r>
        <w:rPr>
          <w:color w:val="231F20"/>
          <w:spacing w:val="18"/>
        </w:rPr>
        <w:t> </w:t>
      </w:r>
      <w:r>
        <w:rPr>
          <w:color w:val="231F20"/>
        </w:rPr>
        <w:t>the</w:t>
      </w:r>
      <w:r>
        <w:rPr>
          <w:color w:val="231F20"/>
          <w:spacing w:val="19"/>
        </w:rPr>
        <w:t> </w:t>
      </w:r>
      <w:r>
        <w:rPr>
          <w:color w:val="231F20"/>
        </w:rPr>
        <w:t>tubule</w:t>
      </w:r>
      <w:r>
        <w:rPr>
          <w:color w:val="231F20"/>
          <w:spacing w:val="18"/>
        </w:rPr>
        <w:t> </w:t>
      </w:r>
      <w:r>
        <w:rPr>
          <w:color w:val="231F20"/>
        </w:rPr>
        <w:t>lumen</w:t>
      </w:r>
      <w:r>
        <w:rPr>
          <w:color w:val="231F20"/>
          <w:spacing w:val="19"/>
        </w:rPr>
        <w:t> </w:t>
      </w:r>
      <w:r>
        <w:rPr>
          <w:color w:val="231F20"/>
        </w:rPr>
        <w:t>through</w:t>
      </w:r>
      <w:r>
        <w:rPr>
          <w:color w:val="231F20"/>
          <w:spacing w:val="19"/>
        </w:rPr>
        <w:t> </w:t>
      </w:r>
      <w:r>
        <w:rPr>
          <w:color w:val="231F20"/>
        </w:rPr>
        <w:t>the</w:t>
      </w:r>
      <w:r>
        <w:rPr>
          <w:color w:val="231F20"/>
          <w:spacing w:val="18"/>
        </w:rPr>
        <w:t> </w:t>
      </w:r>
      <w:r>
        <w:rPr>
          <w:color w:val="231F20"/>
        </w:rPr>
        <w:t>intercellular</w:t>
      </w:r>
      <w:r>
        <w:rPr>
          <w:color w:val="231F20"/>
          <w:spacing w:val="19"/>
        </w:rPr>
        <w:t> </w:t>
      </w:r>
      <w:r>
        <w:rPr>
          <w:color w:val="231F20"/>
          <w:spacing w:val="-3"/>
        </w:rPr>
        <w:t>junctions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502"/>
          <w:footerReference w:type="even" r:id="rId503"/>
          <w:footerReference w:type="default" r:id="rId504"/>
          <w:pgSz w:w="12240" w:h="15660"/>
          <w:pgMar w:header="0" w:footer="567" w:top="720" w:bottom="760" w:left="0" w:right="0"/>
          <w:pgNumType w:start="354"/>
        </w:sectPr>
      </w:pPr>
    </w:p>
    <w:p>
      <w:pPr>
        <w:spacing w:before="127"/>
        <w:ind w:left="1713" w:right="0" w:firstLine="0"/>
        <w:jc w:val="left"/>
        <w:rPr>
          <w:rFonts w:ascii="Helvetica"/>
          <w:sz w:val="16"/>
        </w:rPr>
      </w:pPr>
      <w:r>
        <w:rPr/>
        <w:pict>
          <v:group style="position:absolute;margin-left:98.195503pt;margin-top:10.585486pt;width:170.7pt;height:184.95pt;mso-position-horizontal-relative:page;mso-position-vertical-relative:paragraph;z-index:252091392" coordorigin="1964,212" coordsize="3414,3699">
            <v:shape style="position:absolute;left:-75;top:11114;width:3400;height:3680" coordorigin="-74,11115" coordsize="3400,3680" path="m2038,3835l2038,3910m2038,3835l1964,3835m2703,3835l2703,3910m3368,3835l3368,3910m4033,3835l4033,3910m4698,3835l4698,3910m5363,3835l5363,3910m2038,230l1964,230m2038,774l1964,774m2038,1180l1964,1180e" filled="false" stroked="true" strokeweight="1pt" strokecolor="#231f20">
              <v:path arrowok="t"/>
              <v:stroke dashstyle="solid"/>
            </v:shape>
            <v:shape style="position:absolute;left:2040;top:451;width:3234;height:714" coordorigin="2040,452" coordsize="3234,714" path="m2040,1165l2526,828,3025,641,3839,538,5274,452e" filled="false" stroked="true" strokeweight="1.25pt" strokecolor="#f0535f">
              <v:path arrowok="t"/>
              <v:stroke dashstyle="solid"/>
            </v:shape>
            <v:line style="position:absolute" from="5314,1185" to="2038,1185" stroked="true" strokeweight="1.25pt" strokecolor="#f0535f">
              <v:stroke dashstyle="shortdash"/>
            </v:line>
            <v:shape style="position:absolute;left:2038;top:964;width:3269;height:221" coordorigin="2038,964" coordsize="3269,221" path="m2038,1185l3019,1069,3648,1008,4197,980,4940,965,5041,964,5117,965,5179,967,5239,970,5307,972e" filled="false" stroked="true" strokeweight="1.25pt" strokecolor="#0061af">
              <v:path arrowok="t"/>
              <v:stroke dashstyle="solid"/>
            </v:shape>
            <v:shape style="position:absolute;left:-75;top:12494;width:75;height:1534" coordorigin="-74,12495" coordsize="75,1534" path="m2038,1610l1964,1610m2038,3144l1964,3144m2038,2094l1964,2094m2038,2477l1964,2477e" filled="false" stroked="true" strokeweight="1pt" strokecolor="#231f20">
              <v:path arrowok="t"/>
              <v:stroke dashstyle="solid"/>
            </v:shape>
            <v:shape style="position:absolute;left:2047;top:1198;width:3294;height:2314" coordorigin="2047,1198" coordsize="3294,2314" path="m2047,1198l2358,1842,2658,2248,3124,2587,3934,3032,4384,3230,4842,3381,5198,3478,5340,3512e" filled="false" stroked="true" strokeweight="1.25pt" strokecolor="#0061af">
              <v:path arrowok="t"/>
              <v:stroke dashstyle="shortdash"/>
            </v:shape>
            <v:shape style="position:absolute;left:2047;top:1105;width:3260;height:94" coordorigin="2047,1105" coordsize="3260,94" path="m5307,1105l3839,1133,3009,1152,2514,1171,2047,1198e" filled="false" stroked="true" strokeweight="1.25pt" strokecolor="#231f20">
              <v:path arrowok="t"/>
              <v:stroke dashstyle="shortdash"/>
            </v:shape>
            <v:shape style="position:absolute;left:2038;top:1206;width:3282;height:2412" coordorigin="2038,1207" coordsize="3282,2412" path="m2038,1207l2329,1881,2607,2303,3034,2652,3774,3105,4279,3342,4781,3501,5166,3590,5320,3618e" filled="false" stroked="true" strokeweight="1.25pt" strokecolor="#231f20">
              <v:path arrowok="t"/>
              <v:stroke dashstyle="solid"/>
            </v:shape>
            <v:shape style="position:absolute;left:2038;top:1185;width:3222;height:1066" coordorigin="2038,1185" coordsize="3222,1066" path="m2038,1185l2458,1529,2786,1734,3193,1884,3847,2058,4428,2178,4769,2236,5002,2251,5260,2238e" filled="false" stroked="true" strokeweight="1.25pt" strokecolor="#00af62">
              <v:path arrowok="t"/>
              <v:stroke dashstyle="solid"/>
            </v:shape>
            <v:shape style="position:absolute;left:2038;top:221;width:3329;height:3614" coordorigin="2038,222" coordsize="3329,3614" path="m2038,222l2038,3835,5367,3835e" filled="false" stroked="true" strokeweight="1pt" strokecolor="#231f20">
              <v:path arrowok="t"/>
              <v:stroke dashstyle="solid"/>
            </v:shape>
            <v:shape style="position:absolute;left:0;top:14316;width:1017;height:403" coordorigin="0,14317" coordsize="1017,403" path="m3802,1284l3802,1200m4819,1284l4819,1200m4706,881l4650,1101e" filled="false" stroked="true" strokeweight=".75pt" strokecolor="#231f20">
              <v:path arrowok="t"/>
              <v:stroke dashstyle="solid"/>
            </v:shape>
            <v:shape style="position:absolute;left:3691;top:329;width:1525;height:1145" type="#_x0000_t202" filled="false" stroked="false">
              <v:textbox inset="0,0,0,0">
                <w:txbxContent>
                  <w:p>
                    <w:pPr>
                      <w:spacing w:line="183" w:lineRule="exact" w:before="0"/>
                      <w:ind w:left="3" w:right="0" w:firstLine="0"/>
                      <w:jc w:val="left"/>
                      <w:rPr>
                        <w:rFonts w:ascii="Helvetica"/>
                        <w:sz w:val="16"/>
                      </w:rPr>
                    </w:pPr>
                    <w:r>
                      <w:rPr>
                        <w:rFonts w:ascii="Helvetica"/>
                        <w:color w:val="231F20"/>
                        <w:sz w:val="16"/>
                      </w:rPr>
                      <w:t>Creatinine</w:t>
                    </w:r>
                  </w:p>
                  <w:p>
                    <w:pPr>
                      <w:tabs>
                        <w:tab w:pos="739" w:val="left" w:leader="none"/>
                        <w:tab w:pos="1039" w:val="left" w:leader="none"/>
                      </w:tabs>
                      <w:spacing w:line="504" w:lineRule="exact" w:before="19"/>
                      <w:ind w:left="0" w:right="18" w:firstLine="155"/>
                      <w:jc w:val="left"/>
                      <w:rPr>
                        <w:rFonts w:ascii="Helvetica" w:hAnsi="Helvetica"/>
                        <w:sz w:val="16"/>
                      </w:rPr>
                    </w:pPr>
                    <w:r>
                      <w:rPr>
                        <w:rFonts w:ascii="Helvetica" w:hAnsi="Helvetica"/>
                        <w:color w:val="231F20"/>
                        <w:sz w:val="16"/>
                      </w:rPr>
                      <w:t>Urea</w:t>
                      <w:tab/>
                      <w:tab/>
                    </w:r>
                    <w:r>
                      <w:rPr>
                        <w:rFonts w:ascii="Helvetica" w:hAnsi="Helvetica"/>
                        <w:color w:val="231F20"/>
                        <w:position w:val="3"/>
                        <w:sz w:val="16"/>
                      </w:rPr>
                      <w:t>Cl</w:t>
                    </w:r>
                    <w:r>
                      <w:rPr>
                        <w:rFonts w:ascii="Symbol" w:hAnsi="Symbol"/>
                        <w:color w:val="231F20"/>
                        <w:position w:val="8"/>
                        <w:sz w:val="12"/>
                      </w:rPr>
                      <w:t></w:t>
                    </w:r>
                    <w:r>
                      <w:rPr>
                        <w:color w:val="231F20"/>
                        <w:position w:val="8"/>
                        <w:sz w:val="12"/>
                      </w:rPr>
                      <w:t> </w:t>
                    </w:r>
                    <w:r>
                      <w:rPr>
                        <w:rFonts w:ascii="Helvetica" w:hAnsi="Helvetica"/>
                        <w:color w:val="231F20"/>
                        <w:position w:val="1"/>
                        <w:sz w:val="16"/>
                      </w:rPr>
                      <w:t>Na</w:t>
                    </w:r>
                    <w:r>
                      <w:rPr>
                        <w:rFonts w:ascii="Symbol" w:hAnsi="Symbol"/>
                        <w:color w:val="231F20"/>
                        <w:position w:val="6"/>
                        <w:sz w:val="12"/>
                      </w:rPr>
                      <w:t></w:t>
                    </w:r>
                    <w:r>
                      <w:rPr>
                        <w:color w:val="231F20"/>
                        <w:position w:val="6"/>
                        <w:sz w:val="12"/>
                      </w:rPr>
                      <w:tab/>
                    </w:r>
                    <w:r>
                      <w:rPr>
                        <w:rFonts w:ascii="Helvetica" w:hAnsi="Helvetica"/>
                        <w:color w:val="231F20"/>
                        <w:spacing w:val="-1"/>
                        <w:sz w:val="16"/>
                      </w:rPr>
                      <w:t>Osmolarity</w:t>
                    </w:r>
                  </w:p>
                </w:txbxContent>
              </v:textbox>
              <w10:wrap type="none"/>
            </v:shape>
            <v:shape style="position:absolute;left:4129;top:1874;width:509;height:208" type="#_x0000_t202" filled="false" stroked="false">
              <v:textbox inset="0,0,0,0">
                <w:txbxContent>
                  <w:p>
                    <w:pPr>
                      <w:spacing w:before="0"/>
                      <w:ind w:left="0" w:right="0" w:firstLine="0"/>
                      <w:jc w:val="left"/>
                      <w:rPr>
                        <w:rFonts w:ascii="Symbol" w:hAnsi="Symbol"/>
                        <w:sz w:val="12"/>
                      </w:rPr>
                    </w:pPr>
                    <w:r>
                      <w:rPr>
                        <w:rFonts w:ascii="Helvetica" w:hAnsi="Helvetica"/>
                        <w:color w:val="231F20"/>
                        <w:sz w:val="16"/>
                      </w:rPr>
                      <w:t>HCO </w:t>
                    </w:r>
                    <w:r>
                      <w:rPr>
                        <w:rFonts w:ascii="Symbol" w:hAnsi="Symbol"/>
                        <w:color w:val="231F20"/>
                        <w:position w:val="5"/>
                        <w:sz w:val="12"/>
                      </w:rPr>
                      <w:t></w:t>
                    </w:r>
                  </w:p>
                </w:txbxContent>
              </v:textbox>
              <w10:wrap type="none"/>
            </v:shape>
            <v:shape style="position:absolute;left:4485;top:1983;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3</w:t>
                    </w:r>
                  </w:p>
                </w:txbxContent>
              </v:textbox>
              <w10:wrap type="none"/>
            </v:shape>
            <v:shape style="position:absolute;left:4233;top:2956;width:60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Glucose</w:t>
                    </w:r>
                  </w:p>
                </w:txbxContent>
              </v:textbox>
              <w10:wrap type="none"/>
            </v:shape>
            <v:shape style="position:absolute;left:3304;top:3296;width:8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Amino acids</w:t>
                    </w:r>
                  </w:p>
                </w:txbxContent>
              </v:textbox>
              <w10:wrap type="none"/>
            </v:shape>
            <w10:wrap type="none"/>
          </v:group>
        </w:pict>
      </w:r>
      <w:r>
        <w:rPr>
          <w:rFonts w:ascii="Helvetica"/>
          <w:color w:val="231F20"/>
          <w:sz w:val="16"/>
        </w:rPr>
        <w:t>5.0</w:t>
      </w:r>
    </w:p>
    <w:p>
      <w:pPr>
        <w:pStyle w:val="BodyText"/>
        <w:rPr>
          <w:rFonts w:ascii="Helvetica"/>
          <w:sz w:val="18"/>
        </w:rPr>
      </w:pPr>
    </w:p>
    <w:p>
      <w:pPr>
        <w:spacing w:before="152"/>
        <w:ind w:left="1713" w:right="0" w:firstLine="0"/>
        <w:jc w:val="left"/>
        <w:rPr>
          <w:rFonts w:ascii="Helvetica"/>
          <w:sz w:val="16"/>
        </w:rPr>
      </w:pPr>
      <w:r>
        <w:rPr/>
        <w:pict>
          <v:shape style="position:absolute;margin-left:66.154099pt;margin-top:5.993304pt;width:11.55pt;height:135.4pt;mso-position-horizontal-relative:page;mso-position-vertical-relative:paragraph;z-index:252092416"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Tubular fluid/plasma concentration</w:t>
                  </w:r>
                </w:p>
              </w:txbxContent>
            </v:textbox>
            <w10:wrap type="none"/>
          </v:shape>
        </w:pict>
      </w:r>
      <w:r>
        <w:rPr>
          <w:rFonts w:ascii="Helvetica"/>
          <w:color w:val="231F20"/>
          <w:sz w:val="16"/>
        </w:rPr>
        <w:t>2.0</w:t>
      </w:r>
    </w:p>
    <w:p>
      <w:pPr>
        <w:pStyle w:val="BodyText"/>
        <w:spacing w:before="4"/>
        <w:rPr>
          <w:rFonts w:ascii="Helvetica"/>
          <w:sz w:val="19"/>
        </w:rPr>
      </w:pPr>
    </w:p>
    <w:p>
      <w:pPr>
        <w:spacing w:before="0"/>
        <w:ind w:left="1713" w:right="0" w:firstLine="0"/>
        <w:jc w:val="left"/>
        <w:rPr>
          <w:rFonts w:ascii="Helvetica"/>
          <w:sz w:val="16"/>
        </w:rPr>
      </w:pPr>
      <w:r>
        <w:rPr>
          <w:rFonts w:ascii="Helvetica"/>
          <w:color w:val="231F20"/>
          <w:sz w:val="16"/>
        </w:rPr>
        <w:t>1.0</w:t>
      </w:r>
    </w:p>
    <w:p>
      <w:pPr>
        <w:pStyle w:val="BodyText"/>
        <w:spacing w:before="5"/>
        <w:rPr>
          <w:rFonts w:ascii="Helvetica"/>
          <w:sz w:val="21"/>
        </w:rPr>
      </w:pPr>
    </w:p>
    <w:p>
      <w:pPr>
        <w:spacing w:before="0"/>
        <w:ind w:left="1713" w:right="0" w:firstLine="0"/>
        <w:jc w:val="left"/>
        <w:rPr>
          <w:rFonts w:ascii="Helvetica"/>
          <w:sz w:val="16"/>
        </w:rPr>
      </w:pPr>
      <w:r>
        <w:rPr>
          <w:rFonts w:ascii="Helvetica"/>
          <w:color w:val="231F20"/>
          <w:sz w:val="16"/>
        </w:rPr>
        <w:t>0.5</w:t>
      </w:r>
    </w:p>
    <w:p>
      <w:pPr>
        <w:pStyle w:val="BodyText"/>
        <w:rPr>
          <w:rFonts w:ascii="Helvetica"/>
          <w:sz w:val="26"/>
        </w:rPr>
      </w:pPr>
    </w:p>
    <w:p>
      <w:pPr>
        <w:spacing w:before="0"/>
        <w:ind w:left="1713" w:right="0" w:firstLine="0"/>
        <w:jc w:val="left"/>
        <w:rPr>
          <w:rFonts w:ascii="Helvetica"/>
          <w:sz w:val="16"/>
        </w:rPr>
      </w:pPr>
      <w:r>
        <w:rPr>
          <w:rFonts w:ascii="Helvetica"/>
          <w:color w:val="231F20"/>
          <w:sz w:val="16"/>
        </w:rPr>
        <w:t>0.2</w:t>
      </w:r>
    </w:p>
    <w:p>
      <w:pPr>
        <w:pStyle w:val="BodyText"/>
        <w:spacing w:before="4"/>
        <w:rPr>
          <w:rFonts w:ascii="Helvetica"/>
          <w:sz w:val="17"/>
        </w:rPr>
      </w:pPr>
    </w:p>
    <w:p>
      <w:pPr>
        <w:spacing w:before="0"/>
        <w:ind w:left="1713" w:right="0" w:firstLine="0"/>
        <w:jc w:val="left"/>
        <w:rPr>
          <w:rFonts w:ascii="Helvetica"/>
          <w:sz w:val="16"/>
        </w:rPr>
      </w:pPr>
      <w:r>
        <w:rPr>
          <w:rFonts w:ascii="Helvetica"/>
          <w:color w:val="231F20"/>
          <w:sz w:val="16"/>
        </w:rPr>
        <w:t>0.1</w:t>
      </w:r>
    </w:p>
    <w:p>
      <w:pPr>
        <w:pStyle w:val="BodyText"/>
        <w:rPr>
          <w:rFonts w:ascii="Helvetica"/>
          <w:sz w:val="18"/>
        </w:rPr>
      </w:pPr>
    </w:p>
    <w:p>
      <w:pPr>
        <w:pStyle w:val="BodyText"/>
        <w:rPr>
          <w:rFonts w:ascii="Helvetica"/>
          <w:sz w:val="24"/>
        </w:rPr>
      </w:pPr>
    </w:p>
    <w:p>
      <w:pPr>
        <w:spacing w:before="0"/>
        <w:ind w:left="1624" w:right="0" w:firstLine="0"/>
        <w:jc w:val="left"/>
        <w:rPr>
          <w:rFonts w:ascii="Helvetica"/>
          <w:sz w:val="16"/>
        </w:rPr>
      </w:pPr>
      <w:r>
        <w:rPr/>
        <w:pict>
          <v:rect style="position:absolute;margin-left:0pt;margin-top:-7.038818pt;width:36pt;height:24pt;mso-position-horizontal-relative:page;mso-position-vertical-relative:paragraph;z-index:252085248" filled="true" fillcolor="#e8dac8" stroked="false">
            <v:fill type="solid"/>
            <w10:wrap type="none"/>
          </v:rect>
        </w:pict>
      </w:r>
      <w:r>
        <w:rPr>
          <w:rFonts w:ascii="Helvetica"/>
          <w:color w:val="231F20"/>
          <w:sz w:val="16"/>
        </w:rPr>
        <w:t>0.05</w:t>
      </w:r>
    </w:p>
    <w:p>
      <w:pPr>
        <w:pStyle w:val="BodyText"/>
        <w:rPr>
          <w:rFonts w:ascii="Helvetica"/>
          <w:sz w:val="18"/>
        </w:rPr>
      </w:pPr>
    </w:p>
    <w:p>
      <w:pPr>
        <w:pStyle w:val="BodyText"/>
        <w:rPr>
          <w:rFonts w:ascii="Helvetica"/>
          <w:sz w:val="18"/>
        </w:rPr>
      </w:pPr>
    </w:p>
    <w:p>
      <w:pPr>
        <w:spacing w:before="103"/>
        <w:ind w:left="1624" w:right="0" w:firstLine="0"/>
        <w:jc w:val="left"/>
        <w:rPr>
          <w:rFonts w:ascii="Helvetica"/>
          <w:sz w:val="16"/>
        </w:rPr>
      </w:pPr>
      <w:r>
        <w:rPr>
          <w:rFonts w:ascii="Helvetica"/>
          <w:color w:val="231F20"/>
          <w:sz w:val="16"/>
        </w:rPr>
        <w:t>0.01</w:t>
      </w:r>
    </w:p>
    <w:p>
      <w:pPr>
        <w:spacing w:before="17"/>
        <w:ind w:left="1995" w:right="0" w:firstLine="0"/>
        <w:jc w:val="lef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18"/>
        </w:rPr>
      </w:pPr>
    </w:p>
    <w:p>
      <w:pPr>
        <w:tabs>
          <w:tab w:pos="1159" w:val="left" w:leader="none"/>
          <w:tab w:pos="1819" w:val="left" w:leader="none"/>
          <w:tab w:pos="2486" w:val="left" w:leader="none"/>
          <w:tab w:pos="3088" w:val="left" w:leader="none"/>
        </w:tabs>
        <w:spacing w:before="0"/>
        <w:ind w:left="486" w:right="0" w:firstLine="0"/>
        <w:jc w:val="left"/>
        <w:rPr>
          <w:rFonts w:ascii="Helvetica"/>
          <w:sz w:val="16"/>
        </w:rPr>
      </w:pPr>
      <w:r>
        <w:rPr>
          <w:rFonts w:ascii="Helvetica"/>
          <w:color w:val="231F20"/>
          <w:sz w:val="16"/>
        </w:rPr>
        <w:t>20</w:t>
        <w:tab/>
        <w:t>40</w:t>
        <w:tab/>
        <w:t>60</w:t>
        <w:tab/>
        <w:t>80</w:t>
        <w:tab/>
      </w:r>
      <w:r>
        <w:rPr>
          <w:rFonts w:ascii="Helvetica"/>
          <w:color w:val="231F20"/>
          <w:spacing w:val="-7"/>
          <w:sz w:val="16"/>
        </w:rPr>
        <w:t>100</w:t>
      </w:r>
    </w:p>
    <w:p>
      <w:pPr>
        <w:pStyle w:val="BodyText"/>
        <w:spacing w:line="249" w:lineRule="auto" w:before="99"/>
        <w:ind w:left="599" w:right="1437"/>
        <w:jc w:val="both"/>
      </w:pPr>
      <w:r>
        <w:rPr/>
        <w:br w:type="column"/>
      </w:r>
      <w:r>
        <w:rPr>
          <w:color w:val="231F20"/>
          <w:w w:val="105"/>
        </w:rPr>
        <w:t>substances into the proximal tubule plus </w:t>
      </w:r>
      <w:r>
        <w:rPr>
          <w:i/>
          <w:color w:val="231F20"/>
          <w:w w:val="105"/>
        </w:rPr>
        <w:t>filtration </w:t>
      </w:r>
      <w:r>
        <w:rPr>
          <w:color w:val="231F20"/>
          <w:spacing w:val="-4"/>
          <w:w w:val="105"/>
        </w:rPr>
        <w:t>into </w:t>
      </w:r>
      <w:r>
        <w:rPr>
          <w:color w:val="231F20"/>
          <w:w w:val="105"/>
        </w:rPr>
        <w:t>the</w:t>
      </w:r>
      <w:r>
        <w:rPr>
          <w:color w:val="231F20"/>
          <w:spacing w:val="-12"/>
          <w:w w:val="105"/>
        </w:rPr>
        <w:t> </w:t>
      </w:r>
      <w:r>
        <w:rPr>
          <w:color w:val="231F20"/>
          <w:w w:val="105"/>
        </w:rPr>
        <w:t>proximal</w:t>
      </w:r>
      <w:r>
        <w:rPr>
          <w:color w:val="231F20"/>
          <w:spacing w:val="-12"/>
          <w:w w:val="105"/>
        </w:rPr>
        <w:t> </w:t>
      </w:r>
      <w:r>
        <w:rPr>
          <w:color w:val="231F20"/>
          <w:w w:val="105"/>
        </w:rPr>
        <w:t>tubule</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glomerular</w:t>
      </w:r>
      <w:r>
        <w:rPr>
          <w:color w:val="231F20"/>
          <w:spacing w:val="-12"/>
          <w:w w:val="105"/>
        </w:rPr>
        <w:t> </w:t>
      </w:r>
      <w:r>
        <w:rPr>
          <w:color w:val="231F20"/>
          <w:w w:val="105"/>
        </w:rPr>
        <w:t>capillaries</w:t>
      </w:r>
      <w:r>
        <w:rPr>
          <w:color w:val="231F20"/>
          <w:spacing w:val="-12"/>
          <w:w w:val="105"/>
        </w:rPr>
        <w:t> </w:t>
      </w:r>
      <w:r>
        <w:rPr>
          <w:color w:val="231F20"/>
          <w:w w:val="105"/>
        </w:rPr>
        <w:t>and</w:t>
      </w:r>
      <w:r>
        <w:rPr>
          <w:color w:val="231F20"/>
          <w:spacing w:val="-12"/>
          <w:w w:val="105"/>
        </w:rPr>
        <w:t> </w:t>
      </w:r>
      <w:r>
        <w:rPr>
          <w:color w:val="231F20"/>
          <w:w w:val="105"/>
        </w:rPr>
        <w:t>the almost</w:t>
      </w:r>
      <w:r>
        <w:rPr>
          <w:color w:val="231F20"/>
          <w:spacing w:val="-8"/>
          <w:w w:val="105"/>
        </w:rPr>
        <w:t> </w:t>
      </w:r>
      <w:r>
        <w:rPr>
          <w:color w:val="231F20"/>
          <w:w w:val="105"/>
        </w:rPr>
        <w:t>total</w:t>
      </w:r>
      <w:r>
        <w:rPr>
          <w:color w:val="231F20"/>
          <w:spacing w:val="-7"/>
          <w:w w:val="105"/>
        </w:rPr>
        <w:t> </w:t>
      </w:r>
      <w:r>
        <w:rPr>
          <w:color w:val="231F20"/>
          <w:w w:val="105"/>
        </w:rPr>
        <w:t>lack</w:t>
      </w:r>
      <w:r>
        <w:rPr>
          <w:color w:val="231F20"/>
          <w:spacing w:val="-7"/>
          <w:w w:val="105"/>
        </w:rPr>
        <w:t> </w:t>
      </w:r>
      <w:r>
        <w:rPr>
          <w:color w:val="231F20"/>
          <w:w w:val="105"/>
        </w:rPr>
        <w:t>of</w:t>
      </w:r>
      <w:r>
        <w:rPr>
          <w:color w:val="231F20"/>
          <w:spacing w:val="-7"/>
          <w:w w:val="105"/>
        </w:rPr>
        <w:t> </w:t>
      </w:r>
      <w:r>
        <w:rPr>
          <w:color w:val="231F20"/>
          <w:w w:val="105"/>
        </w:rPr>
        <w:t>reabsorption</w:t>
      </w:r>
      <w:r>
        <w:rPr>
          <w:color w:val="231F20"/>
          <w:spacing w:val="-7"/>
          <w:w w:val="105"/>
        </w:rPr>
        <w:t> </w:t>
      </w:r>
      <w:r>
        <w:rPr>
          <w:color w:val="231F20"/>
          <w:w w:val="105"/>
        </w:rPr>
        <w:t>by</w:t>
      </w:r>
      <w:r>
        <w:rPr>
          <w:color w:val="231F20"/>
          <w:spacing w:val="-7"/>
          <w:w w:val="105"/>
        </w:rPr>
        <w:t> </w:t>
      </w:r>
      <w:r>
        <w:rPr>
          <w:color w:val="231F20"/>
          <w:w w:val="105"/>
        </w:rPr>
        <w:t>the</w:t>
      </w:r>
      <w:r>
        <w:rPr>
          <w:color w:val="231F20"/>
          <w:spacing w:val="-7"/>
          <w:w w:val="105"/>
        </w:rPr>
        <w:t> </w:t>
      </w:r>
      <w:r>
        <w:rPr>
          <w:color w:val="231F20"/>
          <w:w w:val="105"/>
        </w:rPr>
        <w:t>tubules,</w:t>
      </w:r>
      <w:r>
        <w:rPr>
          <w:color w:val="231F20"/>
          <w:spacing w:val="-7"/>
          <w:w w:val="105"/>
        </w:rPr>
        <w:t> </w:t>
      </w:r>
      <w:r>
        <w:rPr>
          <w:color w:val="231F20"/>
          <w:w w:val="105"/>
        </w:rPr>
        <w:t>all</w:t>
      </w:r>
      <w:r>
        <w:rPr>
          <w:color w:val="231F20"/>
          <w:spacing w:val="-8"/>
          <w:w w:val="105"/>
        </w:rPr>
        <w:t> </w:t>
      </w:r>
      <w:r>
        <w:rPr>
          <w:color w:val="231F20"/>
          <w:spacing w:val="-4"/>
          <w:w w:val="105"/>
        </w:rPr>
        <w:t>com- </w:t>
      </w:r>
      <w:r>
        <w:rPr>
          <w:color w:val="231F20"/>
          <w:w w:val="105"/>
        </w:rPr>
        <w:t>bined, contribute to rapid excretion in the</w:t>
      </w:r>
      <w:r>
        <w:rPr>
          <w:color w:val="231F20"/>
          <w:spacing w:val="12"/>
          <w:w w:val="105"/>
        </w:rPr>
        <w:t> </w:t>
      </w:r>
      <w:r>
        <w:rPr>
          <w:color w:val="231F20"/>
          <w:w w:val="105"/>
        </w:rPr>
        <w:t>urine.</w:t>
      </w:r>
    </w:p>
    <w:p>
      <w:pPr>
        <w:pStyle w:val="BodyText"/>
        <w:spacing w:line="249" w:lineRule="auto" w:before="4"/>
        <w:ind w:left="599" w:right="1437" w:firstLine="240"/>
        <w:jc w:val="both"/>
      </w:pPr>
      <w:r>
        <w:rPr>
          <w:color w:val="231F20"/>
          <w:w w:val="105"/>
        </w:rPr>
        <w:t>In addition to the waste products of metabolism, </w:t>
      </w:r>
      <w:r>
        <w:rPr>
          <w:color w:val="231F20"/>
          <w:spacing w:val="-6"/>
          <w:w w:val="105"/>
        </w:rPr>
        <w:t>the </w:t>
      </w:r>
      <w:r>
        <w:rPr>
          <w:color w:val="231F20"/>
          <w:w w:val="105"/>
        </w:rPr>
        <w:t>kidneys</w:t>
      </w:r>
      <w:r>
        <w:rPr>
          <w:color w:val="231F20"/>
          <w:spacing w:val="-17"/>
          <w:w w:val="105"/>
        </w:rPr>
        <w:t> </w:t>
      </w:r>
      <w:r>
        <w:rPr>
          <w:color w:val="231F20"/>
          <w:w w:val="105"/>
        </w:rPr>
        <w:t>secrete</w:t>
      </w:r>
      <w:r>
        <w:rPr>
          <w:color w:val="231F20"/>
          <w:spacing w:val="-16"/>
          <w:w w:val="105"/>
        </w:rPr>
        <w:t> </w:t>
      </w:r>
      <w:r>
        <w:rPr>
          <w:color w:val="231F20"/>
          <w:w w:val="105"/>
        </w:rPr>
        <w:t>many</w:t>
      </w:r>
      <w:r>
        <w:rPr>
          <w:color w:val="231F20"/>
          <w:spacing w:val="-16"/>
          <w:w w:val="105"/>
        </w:rPr>
        <w:t> </w:t>
      </w:r>
      <w:r>
        <w:rPr>
          <w:color w:val="231F20"/>
          <w:w w:val="105"/>
        </w:rPr>
        <w:t>potentially</w:t>
      </w:r>
      <w:r>
        <w:rPr>
          <w:color w:val="231F20"/>
          <w:spacing w:val="-16"/>
          <w:w w:val="105"/>
        </w:rPr>
        <w:t> </w:t>
      </w:r>
      <w:r>
        <w:rPr>
          <w:color w:val="231F20"/>
          <w:w w:val="105"/>
        </w:rPr>
        <w:t>harmful</w:t>
      </w:r>
      <w:r>
        <w:rPr>
          <w:color w:val="231F20"/>
          <w:spacing w:val="-16"/>
          <w:w w:val="105"/>
        </w:rPr>
        <w:t> </w:t>
      </w:r>
      <w:r>
        <w:rPr>
          <w:color w:val="231F20"/>
          <w:w w:val="105"/>
        </w:rPr>
        <w:t>drugs</w:t>
      </w:r>
      <w:r>
        <w:rPr>
          <w:color w:val="231F20"/>
          <w:spacing w:val="-16"/>
          <w:w w:val="105"/>
        </w:rPr>
        <w:t> </w:t>
      </w:r>
      <w:r>
        <w:rPr>
          <w:color w:val="231F20"/>
          <w:w w:val="105"/>
        </w:rPr>
        <w:t>or</w:t>
      </w:r>
      <w:r>
        <w:rPr>
          <w:color w:val="231F20"/>
          <w:spacing w:val="-16"/>
          <w:w w:val="105"/>
        </w:rPr>
        <w:t> </w:t>
      </w:r>
      <w:r>
        <w:rPr>
          <w:color w:val="231F20"/>
          <w:w w:val="105"/>
        </w:rPr>
        <w:t>toxins directly through the tubular  cells  into  the  tubules  and rapidly clear these substances from the blood. In the case of certain drugs, such as penicillin and salicy- lates, the rapid clearance by the kidneys creates a chal- lenge in maintaining a therapeutically effective </w:t>
      </w:r>
      <w:r>
        <w:rPr>
          <w:color w:val="231F20"/>
          <w:spacing w:val="-3"/>
          <w:w w:val="105"/>
        </w:rPr>
        <w:t>drug </w:t>
      </w:r>
      <w:r>
        <w:rPr>
          <w:color w:val="231F20"/>
          <w:w w:val="105"/>
        </w:rPr>
        <w:t>concentration.</w:t>
      </w:r>
    </w:p>
    <w:p>
      <w:pPr>
        <w:pStyle w:val="BodyText"/>
        <w:spacing w:line="249" w:lineRule="auto" w:before="6"/>
        <w:ind w:left="599" w:right="1437" w:firstLine="240"/>
        <w:jc w:val="both"/>
      </w:pPr>
      <w:r>
        <w:rPr>
          <w:color w:val="231F20"/>
          <w:w w:val="105"/>
        </w:rPr>
        <w:t>Another compound that is rapidly secreted by </w:t>
      </w:r>
      <w:r>
        <w:rPr>
          <w:color w:val="231F20"/>
          <w:spacing w:val="-5"/>
          <w:w w:val="105"/>
        </w:rPr>
        <w:t>the </w:t>
      </w:r>
      <w:r>
        <w:rPr>
          <w:color w:val="231F20"/>
          <w:w w:val="105"/>
        </w:rPr>
        <w:t>proximal</w:t>
      </w:r>
      <w:r>
        <w:rPr>
          <w:color w:val="231F20"/>
          <w:spacing w:val="-10"/>
          <w:w w:val="105"/>
        </w:rPr>
        <w:t> </w:t>
      </w:r>
      <w:r>
        <w:rPr>
          <w:color w:val="231F20"/>
          <w:w w:val="105"/>
        </w:rPr>
        <w:t>tubule</w:t>
      </w:r>
      <w:r>
        <w:rPr>
          <w:color w:val="231F20"/>
          <w:spacing w:val="-10"/>
          <w:w w:val="105"/>
        </w:rPr>
        <w:t> </w:t>
      </w:r>
      <w:r>
        <w:rPr>
          <w:color w:val="231F20"/>
          <w:w w:val="105"/>
        </w:rPr>
        <w:t>is</w:t>
      </w:r>
      <w:r>
        <w:rPr>
          <w:color w:val="231F20"/>
          <w:spacing w:val="-10"/>
          <w:w w:val="105"/>
        </w:rPr>
        <w:t> </w:t>
      </w:r>
      <w:r>
        <w:rPr>
          <w:color w:val="231F20"/>
          <w:w w:val="105"/>
        </w:rPr>
        <w:t>para-aminohippuric</w:t>
      </w:r>
      <w:r>
        <w:rPr>
          <w:color w:val="231F20"/>
          <w:spacing w:val="-10"/>
          <w:w w:val="105"/>
        </w:rPr>
        <w:t> </w:t>
      </w:r>
      <w:r>
        <w:rPr>
          <w:color w:val="231F20"/>
          <w:w w:val="105"/>
        </w:rPr>
        <w:t>acid</w:t>
      </w:r>
      <w:r>
        <w:rPr>
          <w:color w:val="231F20"/>
          <w:spacing w:val="-10"/>
          <w:w w:val="105"/>
        </w:rPr>
        <w:t> </w:t>
      </w:r>
      <w:r>
        <w:rPr>
          <w:color w:val="231F20"/>
          <w:spacing w:val="-3"/>
          <w:w w:val="105"/>
        </w:rPr>
        <w:t>(PAH).</w:t>
      </w:r>
      <w:r>
        <w:rPr>
          <w:color w:val="231F20"/>
          <w:spacing w:val="-10"/>
          <w:w w:val="105"/>
        </w:rPr>
        <w:t> PAH </w:t>
      </w:r>
      <w:r>
        <w:rPr>
          <w:color w:val="231F20"/>
          <w:w w:val="105"/>
        </w:rPr>
        <w:t>is secreted so rapidly that the average person can clear about 90 percent of the </w:t>
      </w:r>
      <w:r>
        <w:rPr>
          <w:color w:val="231F20"/>
          <w:spacing w:val="-5"/>
          <w:w w:val="105"/>
        </w:rPr>
        <w:t>PAH </w:t>
      </w:r>
      <w:r>
        <w:rPr>
          <w:color w:val="231F20"/>
          <w:w w:val="105"/>
        </w:rPr>
        <w:t>from the plasma flowing through the kidneys and excrete it in the urine. </w:t>
      </w:r>
      <w:r>
        <w:rPr>
          <w:color w:val="231F20"/>
          <w:spacing w:val="-3"/>
          <w:w w:val="105"/>
        </w:rPr>
        <w:t>For</w:t>
      </w:r>
      <w:r>
        <w:rPr>
          <w:color w:val="231F20"/>
          <w:spacing w:val="14"/>
          <w:w w:val="105"/>
        </w:rPr>
        <w:t> </w:t>
      </w:r>
      <w:r>
        <w:rPr>
          <w:color w:val="231F20"/>
          <w:w w:val="105"/>
        </w:rPr>
        <w:t>this</w:t>
      </w:r>
    </w:p>
    <w:p>
      <w:pPr>
        <w:spacing w:after="0" w:line="249" w:lineRule="auto"/>
        <w:jc w:val="both"/>
        <w:sectPr>
          <w:type w:val="continuous"/>
          <w:pgSz w:w="12240" w:h="15660"/>
          <w:pgMar w:top="0" w:bottom="760" w:left="0" w:right="0"/>
          <w:cols w:num="3" w:equalWidth="0">
            <w:col w:w="2085" w:space="40"/>
            <w:col w:w="3356" w:space="39"/>
            <w:col w:w="6720"/>
          </w:cols>
        </w:sectPr>
      </w:pPr>
    </w:p>
    <w:p>
      <w:pPr>
        <w:spacing w:before="0"/>
        <w:ind w:left="2549" w:right="0" w:firstLine="0"/>
        <w:jc w:val="left"/>
        <w:rPr>
          <w:rFonts w:ascii="Helvetica"/>
          <w:b/>
          <w:sz w:val="16"/>
        </w:rPr>
      </w:pPr>
      <w:r>
        <w:rPr>
          <w:rFonts w:ascii="Helvetica"/>
          <w:b/>
          <w:color w:val="231F20"/>
          <w:sz w:val="16"/>
        </w:rPr>
        <w:t>% Total proximal tubule length</w:t>
      </w:r>
    </w:p>
    <w:p>
      <w:pPr>
        <w:spacing w:line="261" w:lineRule="auto" w:before="91"/>
        <w:ind w:left="1080" w:right="0" w:firstLine="0"/>
        <w:jc w:val="both"/>
        <w:rPr>
          <w:rFonts w:ascii="Arial" w:hAnsi="Arial"/>
          <w:sz w:val="16"/>
        </w:rPr>
      </w:pPr>
      <w:bookmarkStart w:name="_bookmark46" w:id="47"/>
      <w:bookmarkEnd w:id="47"/>
      <w:r>
        <w:rPr/>
      </w:r>
      <w:r>
        <w:rPr>
          <w:rFonts w:ascii="Trebuchet MS" w:hAnsi="Trebuchet MS"/>
          <w:b/>
          <w:color w:val="231F20"/>
          <w:sz w:val="16"/>
        </w:rPr>
        <w:t>Figure 28­7. </w:t>
      </w:r>
      <w:r>
        <w:rPr>
          <w:rFonts w:ascii="Arial" w:hAnsi="Arial"/>
          <w:color w:val="231F20"/>
          <w:sz w:val="16"/>
        </w:rPr>
        <w:t>Changes in concentrations of different substances </w:t>
      </w:r>
      <w:r>
        <w:rPr>
          <w:rFonts w:ascii="Arial" w:hAnsi="Arial"/>
          <w:color w:val="231F20"/>
          <w:spacing w:val="-7"/>
          <w:sz w:val="16"/>
        </w:rPr>
        <w:t>in </w:t>
      </w:r>
      <w:r>
        <w:rPr>
          <w:rFonts w:ascii="Arial" w:hAnsi="Arial"/>
          <w:color w:val="231F20"/>
          <w:sz w:val="16"/>
        </w:rPr>
        <w:t>tubular fluid along the proximal convoluted tubule relative to </w:t>
      </w:r>
      <w:r>
        <w:rPr>
          <w:rFonts w:ascii="Arial" w:hAnsi="Arial"/>
          <w:color w:val="231F20"/>
          <w:spacing w:val="-6"/>
          <w:sz w:val="16"/>
        </w:rPr>
        <w:t>the </w:t>
      </w:r>
      <w:r>
        <w:rPr>
          <w:rFonts w:ascii="Arial" w:hAnsi="Arial"/>
          <w:color w:val="231F20"/>
          <w:sz w:val="16"/>
        </w:rPr>
        <w:t>concentrations</w:t>
      </w:r>
      <w:r>
        <w:rPr>
          <w:rFonts w:ascii="Arial" w:hAnsi="Arial"/>
          <w:color w:val="231F20"/>
          <w:spacing w:val="-24"/>
          <w:sz w:val="16"/>
        </w:rPr>
        <w:t> </w:t>
      </w:r>
      <w:r>
        <w:rPr>
          <w:rFonts w:ascii="Arial" w:hAnsi="Arial"/>
          <w:color w:val="231F20"/>
          <w:sz w:val="16"/>
        </w:rPr>
        <w:t>of</w:t>
      </w:r>
      <w:r>
        <w:rPr>
          <w:rFonts w:ascii="Arial" w:hAnsi="Arial"/>
          <w:color w:val="231F20"/>
          <w:spacing w:val="-23"/>
          <w:sz w:val="16"/>
        </w:rPr>
        <w:t> </w:t>
      </w:r>
      <w:r>
        <w:rPr>
          <w:rFonts w:ascii="Arial" w:hAnsi="Arial"/>
          <w:color w:val="231F20"/>
          <w:sz w:val="16"/>
        </w:rPr>
        <w:t>these</w:t>
      </w:r>
      <w:r>
        <w:rPr>
          <w:rFonts w:ascii="Arial" w:hAnsi="Arial"/>
          <w:color w:val="231F20"/>
          <w:spacing w:val="-24"/>
          <w:sz w:val="16"/>
        </w:rPr>
        <w:t> </w:t>
      </w:r>
      <w:r>
        <w:rPr>
          <w:rFonts w:ascii="Arial" w:hAnsi="Arial"/>
          <w:color w:val="231F20"/>
          <w:sz w:val="16"/>
        </w:rPr>
        <w:t>substances</w:t>
      </w:r>
      <w:r>
        <w:rPr>
          <w:rFonts w:ascii="Arial" w:hAnsi="Arial"/>
          <w:color w:val="231F20"/>
          <w:spacing w:val="-23"/>
          <w:sz w:val="16"/>
        </w:rPr>
        <w:t> </w:t>
      </w:r>
      <w:r>
        <w:rPr>
          <w:rFonts w:ascii="Arial" w:hAnsi="Arial"/>
          <w:color w:val="231F20"/>
          <w:sz w:val="16"/>
        </w:rPr>
        <w:t>in</w:t>
      </w:r>
      <w:r>
        <w:rPr>
          <w:rFonts w:ascii="Arial" w:hAnsi="Arial"/>
          <w:color w:val="231F20"/>
          <w:spacing w:val="-23"/>
          <w:sz w:val="16"/>
        </w:rPr>
        <w:t> </w:t>
      </w:r>
      <w:r>
        <w:rPr>
          <w:rFonts w:ascii="Arial" w:hAnsi="Arial"/>
          <w:color w:val="231F20"/>
          <w:sz w:val="16"/>
        </w:rPr>
        <w:t>the</w:t>
      </w:r>
      <w:r>
        <w:rPr>
          <w:rFonts w:ascii="Arial" w:hAnsi="Arial"/>
          <w:color w:val="231F20"/>
          <w:spacing w:val="-24"/>
          <w:sz w:val="16"/>
        </w:rPr>
        <w:t> </w:t>
      </w:r>
      <w:r>
        <w:rPr>
          <w:rFonts w:ascii="Arial" w:hAnsi="Arial"/>
          <w:color w:val="231F20"/>
          <w:sz w:val="16"/>
        </w:rPr>
        <w:t>plasma</w:t>
      </w:r>
      <w:r>
        <w:rPr>
          <w:rFonts w:ascii="Arial" w:hAnsi="Arial"/>
          <w:color w:val="231F20"/>
          <w:spacing w:val="-23"/>
          <w:sz w:val="16"/>
        </w:rPr>
        <w:t> </w:t>
      </w:r>
      <w:r>
        <w:rPr>
          <w:rFonts w:ascii="Arial" w:hAnsi="Arial"/>
          <w:color w:val="231F20"/>
          <w:sz w:val="16"/>
        </w:rPr>
        <w:t>and</w:t>
      </w:r>
      <w:r>
        <w:rPr>
          <w:rFonts w:ascii="Arial" w:hAnsi="Arial"/>
          <w:color w:val="231F20"/>
          <w:spacing w:val="-24"/>
          <w:sz w:val="16"/>
        </w:rPr>
        <w:t> </w:t>
      </w:r>
      <w:r>
        <w:rPr>
          <w:rFonts w:ascii="Arial" w:hAnsi="Arial"/>
          <w:color w:val="231F20"/>
          <w:sz w:val="16"/>
        </w:rPr>
        <w:t>in</w:t>
      </w:r>
      <w:r>
        <w:rPr>
          <w:rFonts w:ascii="Arial" w:hAnsi="Arial"/>
          <w:color w:val="231F20"/>
          <w:spacing w:val="-23"/>
          <w:sz w:val="16"/>
        </w:rPr>
        <w:t> </w:t>
      </w:r>
      <w:r>
        <w:rPr>
          <w:rFonts w:ascii="Arial" w:hAnsi="Arial"/>
          <w:color w:val="231F20"/>
          <w:sz w:val="16"/>
        </w:rPr>
        <w:t>the</w:t>
      </w:r>
      <w:r>
        <w:rPr>
          <w:rFonts w:ascii="Arial" w:hAnsi="Arial"/>
          <w:color w:val="231F20"/>
          <w:spacing w:val="-23"/>
          <w:sz w:val="16"/>
        </w:rPr>
        <w:t> </w:t>
      </w:r>
      <w:r>
        <w:rPr>
          <w:rFonts w:ascii="Arial" w:hAnsi="Arial"/>
          <w:color w:val="231F20"/>
          <w:spacing w:val="-3"/>
          <w:sz w:val="16"/>
        </w:rPr>
        <w:t>glomeru- </w:t>
      </w:r>
      <w:r>
        <w:rPr>
          <w:rFonts w:ascii="Arial" w:hAnsi="Arial"/>
          <w:color w:val="231F20"/>
          <w:sz w:val="16"/>
        </w:rPr>
        <w:t>lar filtrate. A value of 1.0 indicates that the concentration of </w:t>
      </w:r>
      <w:r>
        <w:rPr>
          <w:rFonts w:ascii="Arial" w:hAnsi="Arial"/>
          <w:color w:val="231F20"/>
          <w:spacing w:val="-5"/>
          <w:sz w:val="16"/>
        </w:rPr>
        <w:t>the </w:t>
      </w:r>
      <w:r>
        <w:rPr>
          <w:rFonts w:ascii="Arial" w:hAnsi="Arial"/>
          <w:color w:val="231F20"/>
          <w:sz w:val="16"/>
        </w:rPr>
        <w:t>substance</w:t>
      </w:r>
      <w:r>
        <w:rPr>
          <w:rFonts w:ascii="Arial" w:hAnsi="Arial"/>
          <w:color w:val="231F20"/>
          <w:spacing w:val="-12"/>
          <w:sz w:val="16"/>
        </w:rPr>
        <w:t> </w:t>
      </w:r>
      <w:r>
        <w:rPr>
          <w:rFonts w:ascii="Arial" w:hAnsi="Arial"/>
          <w:color w:val="231F20"/>
          <w:sz w:val="16"/>
        </w:rPr>
        <w:t>in</w:t>
      </w:r>
      <w:r>
        <w:rPr>
          <w:rFonts w:ascii="Arial" w:hAnsi="Arial"/>
          <w:color w:val="231F20"/>
          <w:spacing w:val="-11"/>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tubular</w:t>
      </w:r>
      <w:r>
        <w:rPr>
          <w:rFonts w:ascii="Arial" w:hAnsi="Arial"/>
          <w:color w:val="231F20"/>
          <w:spacing w:val="-11"/>
          <w:sz w:val="16"/>
        </w:rPr>
        <w:t> </w:t>
      </w:r>
      <w:r>
        <w:rPr>
          <w:rFonts w:ascii="Arial" w:hAnsi="Arial"/>
          <w:color w:val="231F20"/>
          <w:sz w:val="16"/>
        </w:rPr>
        <w:t>fluid</w:t>
      </w:r>
      <w:r>
        <w:rPr>
          <w:rFonts w:ascii="Arial" w:hAnsi="Arial"/>
          <w:color w:val="231F20"/>
          <w:spacing w:val="-12"/>
          <w:sz w:val="16"/>
        </w:rPr>
        <w:t> </w:t>
      </w:r>
      <w:r>
        <w:rPr>
          <w:rFonts w:ascii="Arial" w:hAnsi="Arial"/>
          <w:color w:val="231F20"/>
          <w:sz w:val="16"/>
        </w:rPr>
        <w:t>is</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same</w:t>
      </w:r>
      <w:r>
        <w:rPr>
          <w:rFonts w:ascii="Arial" w:hAnsi="Arial"/>
          <w:color w:val="231F20"/>
          <w:spacing w:val="-12"/>
          <w:sz w:val="16"/>
        </w:rPr>
        <w:t> </w:t>
      </w:r>
      <w:r>
        <w:rPr>
          <w:rFonts w:ascii="Arial" w:hAnsi="Arial"/>
          <w:color w:val="231F20"/>
          <w:sz w:val="16"/>
        </w:rPr>
        <w:t>as</w:t>
      </w:r>
      <w:r>
        <w:rPr>
          <w:rFonts w:ascii="Arial" w:hAnsi="Arial"/>
          <w:color w:val="231F20"/>
          <w:spacing w:val="-11"/>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concentration</w:t>
      </w:r>
      <w:r>
        <w:rPr>
          <w:rFonts w:ascii="Arial" w:hAnsi="Arial"/>
          <w:color w:val="231F20"/>
          <w:spacing w:val="-11"/>
          <w:sz w:val="16"/>
        </w:rPr>
        <w:t> </w:t>
      </w:r>
      <w:r>
        <w:rPr>
          <w:rFonts w:ascii="Arial" w:hAnsi="Arial"/>
          <w:color w:val="231F20"/>
          <w:sz w:val="16"/>
        </w:rPr>
        <w:t>in</w:t>
      </w:r>
      <w:r>
        <w:rPr>
          <w:rFonts w:ascii="Arial" w:hAnsi="Arial"/>
          <w:color w:val="231F20"/>
          <w:spacing w:val="-11"/>
          <w:sz w:val="16"/>
        </w:rPr>
        <w:t> </w:t>
      </w:r>
      <w:r>
        <w:rPr>
          <w:rFonts w:ascii="Arial" w:hAnsi="Arial"/>
          <w:color w:val="231F20"/>
          <w:spacing w:val="-6"/>
          <w:sz w:val="16"/>
        </w:rPr>
        <w:t>the </w:t>
      </w:r>
      <w:r>
        <w:rPr>
          <w:rFonts w:ascii="Arial" w:hAnsi="Arial"/>
          <w:color w:val="231F20"/>
          <w:sz w:val="16"/>
        </w:rPr>
        <w:t>plasma.</w:t>
      </w:r>
      <w:r>
        <w:rPr>
          <w:rFonts w:ascii="Arial" w:hAnsi="Arial"/>
          <w:color w:val="231F20"/>
          <w:spacing w:val="-10"/>
          <w:sz w:val="16"/>
        </w:rPr>
        <w:t> </w:t>
      </w:r>
      <w:r>
        <w:rPr>
          <w:rFonts w:ascii="Arial" w:hAnsi="Arial"/>
          <w:color w:val="231F20"/>
          <w:sz w:val="16"/>
        </w:rPr>
        <w:t>Values</w:t>
      </w:r>
      <w:r>
        <w:rPr>
          <w:rFonts w:ascii="Arial" w:hAnsi="Arial"/>
          <w:color w:val="231F20"/>
          <w:spacing w:val="-10"/>
          <w:sz w:val="16"/>
        </w:rPr>
        <w:t> </w:t>
      </w:r>
      <w:r>
        <w:rPr>
          <w:rFonts w:ascii="Arial" w:hAnsi="Arial"/>
          <w:color w:val="231F20"/>
          <w:sz w:val="16"/>
        </w:rPr>
        <w:t>below</w:t>
      </w:r>
      <w:r>
        <w:rPr>
          <w:rFonts w:ascii="Arial" w:hAnsi="Arial"/>
          <w:color w:val="231F20"/>
          <w:spacing w:val="-9"/>
          <w:sz w:val="16"/>
        </w:rPr>
        <w:t> </w:t>
      </w:r>
      <w:r>
        <w:rPr>
          <w:rFonts w:ascii="Arial" w:hAnsi="Arial"/>
          <w:color w:val="231F20"/>
          <w:sz w:val="16"/>
        </w:rPr>
        <w:t>1.0</w:t>
      </w:r>
      <w:r>
        <w:rPr>
          <w:rFonts w:ascii="Arial" w:hAnsi="Arial"/>
          <w:color w:val="231F20"/>
          <w:spacing w:val="-10"/>
          <w:sz w:val="16"/>
        </w:rPr>
        <w:t> </w:t>
      </w:r>
      <w:r>
        <w:rPr>
          <w:rFonts w:ascii="Arial" w:hAnsi="Arial"/>
          <w:color w:val="231F20"/>
          <w:sz w:val="16"/>
        </w:rPr>
        <w:t>indicate</w:t>
      </w:r>
      <w:r>
        <w:rPr>
          <w:rFonts w:ascii="Arial" w:hAnsi="Arial"/>
          <w:color w:val="231F20"/>
          <w:spacing w:val="-10"/>
          <w:sz w:val="16"/>
        </w:rPr>
        <w:t> </w:t>
      </w:r>
      <w:r>
        <w:rPr>
          <w:rFonts w:ascii="Arial" w:hAnsi="Arial"/>
          <w:color w:val="231F20"/>
          <w:sz w:val="16"/>
        </w:rPr>
        <w:t>that</w:t>
      </w:r>
      <w:r>
        <w:rPr>
          <w:rFonts w:ascii="Arial" w:hAnsi="Arial"/>
          <w:color w:val="231F20"/>
          <w:spacing w:val="-9"/>
          <w:sz w:val="16"/>
        </w:rPr>
        <w:t> </w:t>
      </w:r>
      <w:r>
        <w:rPr>
          <w:rFonts w:ascii="Arial" w:hAnsi="Arial"/>
          <w:color w:val="231F20"/>
          <w:sz w:val="16"/>
        </w:rPr>
        <w:t>the</w:t>
      </w:r>
      <w:r>
        <w:rPr>
          <w:rFonts w:ascii="Arial" w:hAnsi="Arial"/>
          <w:color w:val="231F20"/>
          <w:spacing w:val="-10"/>
          <w:sz w:val="16"/>
        </w:rPr>
        <w:t> </w:t>
      </w:r>
      <w:r>
        <w:rPr>
          <w:rFonts w:ascii="Arial" w:hAnsi="Arial"/>
          <w:color w:val="231F20"/>
          <w:sz w:val="16"/>
        </w:rPr>
        <w:t>substance</w:t>
      </w:r>
      <w:r>
        <w:rPr>
          <w:rFonts w:ascii="Arial" w:hAnsi="Arial"/>
          <w:color w:val="231F20"/>
          <w:spacing w:val="-10"/>
          <w:sz w:val="16"/>
        </w:rPr>
        <w:t> </w:t>
      </w:r>
      <w:r>
        <w:rPr>
          <w:rFonts w:ascii="Arial" w:hAnsi="Arial"/>
          <w:color w:val="231F20"/>
          <w:sz w:val="16"/>
        </w:rPr>
        <w:t>is</w:t>
      </w:r>
      <w:r>
        <w:rPr>
          <w:rFonts w:ascii="Arial" w:hAnsi="Arial"/>
          <w:color w:val="231F20"/>
          <w:spacing w:val="-9"/>
          <w:sz w:val="16"/>
        </w:rPr>
        <w:t> </w:t>
      </w:r>
      <w:r>
        <w:rPr>
          <w:rFonts w:ascii="Arial" w:hAnsi="Arial"/>
          <w:color w:val="231F20"/>
          <w:spacing w:val="-3"/>
          <w:sz w:val="16"/>
        </w:rPr>
        <w:t>reabsorbed </w:t>
      </w:r>
      <w:r>
        <w:rPr>
          <w:rFonts w:ascii="Arial" w:hAnsi="Arial"/>
          <w:color w:val="231F20"/>
          <w:sz w:val="16"/>
        </w:rPr>
        <w:t>more avidly than </w:t>
      </w:r>
      <w:r>
        <w:rPr>
          <w:rFonts w:ascii="Arial" w:hAnsi="Arial"/>
          <w:color w:val="231F20"/>
          <w:spacing w:val="-3"/>
          <w:sz w:val="16"/>
        </w:rPr>
        <w:t>water, </w:t>
      </w:r>
      <w:r>
        <w:rPr>
          <w:rFonts w:ascii="Arial" w:hAnsi="Arial"/>
          <w:color w:val="231F20"/>
          <w:sz w:val="16"/>
        </w:rPr>
        <w:t>whereas values above 1.0 indicate that</w:t>
      </w:r>
      <w:r>
        <w:rPr>
          <w:rFonts w:ascii="Arial" w:hAnsi="Arial"/>
          <w:color w:val="231F20"/>
          <w:spacing w:val="-27"/>
          <w:sz w:val="16"/>
        </w:rPr>
        <w:t> </w:t>
      </w:r>
      <w:r>
        <w:rPr>
          <w:rFonts w:ascii="Arial" w:hAnsi="Arial"/>
          <w:color w:val="231F20"/>
          <w:spacing w:val="-6"/>
          <w:sz w:val="16"/>
        </w:rPr>
        <w:t>the </w:t>
      </w:r>
      <w:r>
        <w:rPr>
          <w:rFonts w:ascii="Arial" w:hAnsi="Arial"/>
          <w:color w:val="231F20"/>
          <w:sz w:val="16"/>
        </w:rPr>
        <w:t>substance</w:t>
      </w:r>
      <w:r>
        <w:rPr>
          <w:rFonts w:ascii="Arial" w:hAnsi="Arial"/>
          <w:color w:val="231F20"/>
          <w:spacing w:val="-11"/>
          <w:sz w:val="16"/>
        </w:rPr>
        <w:t> </w:t>
      </w:r>
      <w:r>
        <w:rPr>
          <w:rFonts w:ascii="Arial" w:hAnsi="Arial"/>
          <w:color w:val="231F20"/>
          <w:sz w:val="16"/>
        </w:rPr>
        <w:t>is</w:t>
      </w:r>
      <w:r>
        <w:rPr>
          <w:rFonts w:ascii="Arial" w:hAnsi="Arial"/>
          <w:color w:val="231F20"/>
          <w:spacing w:val="-10"/>
          <w:sz w:val="16"/>
        </w:rPr>
        <w:t> </w:t>
      </w:r>
      <w:r>
        <w:rPr>
          <w:rFonts w:ascii="Arial" w:hAnsi="Arial"/>
          <w:color w:val="231F20"/>
          <w:sz w:val="16"/>
        </w:rPr>
        <w:t>reabsorbed</w:t>
      </w:r>
      <w:r>
        <w:rPr>
          <w:rFonts w:ascii="Arial" w:hAnsi="Arial"/>
          <w:color w:val="231F20"/>
          <w:spacing w:val="-10"/>
          <w:sz w:val="16"/>
        </w:rPr>
        <w:t> </w:t>
      </w:r>
      <w:r>
        <w:rPr>
          <w:rFonts w:ascii="Arial" w:hAnsi="Arial"/>
          <w:color w:val="231F20"/>
          <w:sz w:val="16"/>
        </w:rPr>
        <w:t>to</w:t>
      </w:r>
      <w:r>
        <w:rPr>
          <w:rFonts w:ascii="Arial" w:hAnsi="Arial"/>
          <w:color w:val="231F20"/>
          <w:spacing w:val="-10"/>
          <w:sz w:val="16"/>
        </w:rPr>
        <w:t> </w:t>
      </w:r>
      <w:r>
        <w:rPr>
          <w:rFonts w:ascii="Arial" w:hAnsi="Arial"/>
          <w:color w:val="231F20"/>
          <w:sz w:val="16"/>
        </w:rPr>
        <w:t>a</w:t>
      </w:r>
      <w:r>
        <w:rPr>
          <w:rFonts w:ascii="Arial" w:hAnsi="Arial"/>
          <w:color w:val="231F20"/>
          <w:spacing w:val="-10"/>
          <w:sz w:val="16"/>
        </w:rPr>
        <w:t> </w:t>
      </w:r>
      <w:r>
        <w:rPr>
          <w:rFonts w:ascii="Arial" w:hAnsi="Arial"/>
          <w:color w:val="231F20"/>
          <w:sz w:val="16"/>
        </w:rPr>
        <w:t>lesser</w:t>
      </w:r>
      <w:r>
        <w:rPr>
          <w:rFonts w:ascii="Arial" w:hAnsi="Arial"/>
          <w:color w:val="231F20"/>
          <w:spacing w:val="-10"/>
          <w:sz w:val="16"/>
        </w:rPr>
        <w:t> </w:t>
      </w:r>
      <w:r>
        <w:rPr>
          <w:rFonts w:ascii="Arial" w:hAnsi="Arial"/>
          <w:color w:val="231F20"/>
          <w:sz w:val="16"/>
        </w:rPr>
        <w:t>extent</w:t>
      </w:r>
      <w:r>
        <w:rPr>
          <w:rFonts w:ascii="Arial" w:hAnsi="Arial"/>
          <w:color w:val="231F20"/>
          <w:spacing w:val="-10"/>
          <w:sz w:val="16"/>
        </w:rPr>
        <w:t> </w:t>
      </w:r>
      <w:r>
        <w:rPr>
          <w:rFonts w:ascii="Arial" w:hAnsi="Arial"/>
          <w:color w:val="231F20"/>
          <w:sz w:val="16"/>
        </w:rPr>
        <w:t>than</w:t>
      </w:r>
      <w:r>
        <w:rPr>
          <w:rFonts w:ascii="Arial" w:hAnsi="Arial"/>
          <w:color w:val="231F20"/>
          <w:spacing w:val="-10"/>
          <w:sz w:val="16"/>
        </w:rPr>
        <w:t> </w:t>
      </w:r>
      <w:r>
        <w:rPr>
          <w:rFonts w:ascii="Arial" w:hAnsi="Arial"/>
          <w:color w:val="231F20"/>
          <w:sz w:val="16"/>
        </w:rPr>
        <w:t>water</w:t>
      </w:r>
      <w:r>
        <w:rPr>
          <w:rFonts w:ascii="Arial" w:hAnsi="Arial"/>
          <w:color w:val="231F20"/>
          <w:spacing w:val="-10"/>
          <w:sz w:val="16"/>
        </w:rPr>
        <w:t> </w:t>
      </w:r>
      <w:r>
        <w:rPr>
          <w:rFonts w:ascii="Arial" w:hAnsi="Arial"/>
          <w:color w:val="231F20"/>
          <w:sz w:val="16"/>
        </w:rPr>
        <w:t>or</w:t>
      </w:r>
      <w:r>
        <w:rPr>
          <w:rFonts w:ascii="Arial" w:hAnsi="Arial"/>
          <w:color w:val="231F20"/>
          <w:spacing w:val="-10"/>
          <w:sz w:val="16"/>
        </w:rPr>
        <w:t> </w:t>
      </w:r>
      <w:r>
        <w:rPr>
          <w:rFonts w:ascii="Arial" w:hAnsi="Arial"/>
          <w:color w:val="231F20"/>
          <w:sz w:val="16"/>
        </w:rPr>
        <w:t>is</w:t>
      </w:r>
      <w:r>
        <w:rPr>
          <w:rFonts w:ascii="Arial" w:hAnsi="Arial"/>
          <w:color w:val="231F20"/>
          <w:spacing w:val="-10"/>
          <w:sz w:val="16"/>
        </w:rPr>
        <w:t> </w:t>
      </w:r>
      <w:r>
        <w:rPr>
          <w:rFonts w:ascii="Arial" w:hAnsi="Arial"/>
          <w:color w:val="231F20"/>
          <w:spacing w:val="-3"/>
          <w:sz w:val="16"/>
        </w:rPr>
        <w:t>secreted </w:t>
      </w:r>
      <w:r>
        <w:rPr>
          <w:rFonts w:ascii="Arial" w:hAnsi="Arial"/>
          <w:color w:val="231F20"/>
          <w:sz w:val="16"/>
        </w:rPr>
        <w:t>into the</w:t>
      </w:r>
      <w:r>
        <w:rPr>
          <w:rFonts w:ascii="Arial" w:hAnsi="Arial"/>
          <w:color w:val="231F20"/>
          <w:spacing w:val="15"/>
          <w:sz w:val="16"/>
        </w:rPr>
        <w:t> </w:t>
      </w:r>
      <w:r>
        <w:rPr>
          <w:rFonts w:ascii="Arial" w:hAnsi="Arial"/>
          <w:color w:val="231F20"/>
          <w:sz w:val="16"/>
        </w:rPr>
        <w:t>tubules.</w:t>
      </w:r>
    </w:p>
    <w:p>
      <w:pPr>
        <w:pStyle w:val="BodyText"/>
        <w:rPr>
          <w:rFonts w:ascii="Arial"/>
          <w:sz w:val="18"/>
        </w:rPr>
      </w:pPr>
    </w:p>
    <w:p>
      <w:pPr>
        <w:pStyle w:val="BodyText"/>
        <w:spacing w:line="249" w:lineRule="auto" w:before="116"/>
        <w:ind w:left="1080"/>
        <w:jc w:val="both"/>
      </w:pPr>
      <w:r>
        <w:rPr>
          <w:color w:val="231F20"/>
          <w:w w:val="105"/>
        </w:rPr>
        <w:t>into the renal interstitial fluid. Smaller amounts of </w:t>
      </w:r>
      <w:r>
        <w:rPr>
          <w:color w:val="231F20"/>
          <w:spacing w:val="-5"/>
          <w:w w:val="105"/>
        </w:rPr>
        <w:t>chlo- </w:t>
      </w:r>
      <w:r>
        <w:rPr>
          <w:color w:val="231F20"/>
          <w:w w:val="105"/>
        </w:rPr>
        <w:t>ride may also be reabsorbed through specific chloride channels in the proximal tubular cell membrane.</w:t>
      </w:r>
    </w:p>
    <w:p>
      <w:pPr>
        <w:pStyle w:val="BodyText"/>
        <w:spacing w:line="249" w:lineRule="auto" w:before="250"/>
        <w:ind w:left="1079"/>
        <w:jc w:val="both"/>
      </w:pPr>
      <w:r>
        <w:rPr>
          <w:rFonts w:ascii="Trebuchet MS"/>
          <w:b/>
          <w:color w:val="231F20"/>
          <w:w w:val="105"/>
          <w:sz w:val="19"/>
        </w:rPr>
        <w:t>Concentrations of Solutes Along the </w:t>
      </w:r>
      <w:r>
        <w:rPr>
          <w:rFonts w:ascii="Trebuchet MS"/>
          <w:b/>
          <w:color w:val="231F20"/>
          <w:spacing w:val="-3"/>
          <w:w w:val="105"/>
          <w:sz w:val="19"/>
        </w:rPr>
        <w:t>Proximal Tubule. </w:t>
      </w:r>
      <w:hyperlink w:history="true" w:anchor="_bookmark46">
        <w:r>
          <w:rPr>
            <w:b/>
            <w:color w:val="0080AC"/>
            <w:w w:val="105"/>
          </w:rPr>
          <w:t>Figure 28-7</w:t>
        </w:r>
      </w:hyperlink>
      <w:r>
        <w:rPr>
          <w:b/>
          <w:color w:val="0080AC"/>
          <w:w w:val="105"/>
        </w:rPr>
        <w:t> </w:t>
      </w:r>
      <w:r>
        <w:rPr>
          <w:color w:val="231F20"/>
          <w:w w:val="105"/>
        </w:rPr>
        <w:t>summarizes the changes in </w:t>
      </w:r>
      <w:r>
        <w:rPr>
          <w:color w:val="231F20"/>
          <w:spacing w:val="-4"/>
          <w:w w:val="105"/>
        </w:rPr>
        <w:t>con- </w:t>
      </w:r>
      <w:r>
        <w:rPr>
          <w:color w:val="231F20"/>
          <w:w w:val="105"/>
        </w:rPr>
        <w:t>centrations of various solutes along the proximal</w:t>
      </w:r>
      <w:r>
        <w:rPr>
          <w:color w:val="231F20"/>
          <w:spacing w:val="-31"/>
          <w:w w:val="105"/>
        </w:rPr>
        <w:t> </w:t>
      </w:r>
      <w:r>
        <w:rPr>
          <w:color w:val="231F20"/>
          <w:spacing w:val="-4"/>
          <w:w w:val="105"/>
        </w:rPr>
        <w:t>tubule. </w:t>
      </w:r>
      <w:r>
        <w:rPr>
          <w:color w:val="231F20"/>
          <w:w w:val="105"/>
        </w:rPr>
        <w:t>Although the </w:t>
      </w:r>
      <w:r>
        <w:rPr>
          <w:i/>
          <w:color w:val="231F20"/>
          <w:w w:val="105"/>
        </w:rPr>
        <w:t>amount </w:t>
      </w:r>
      <w:r>
        <w:rPr>
          <w:color w:val="231F20"/>
          <w:w w:val="105"/>
        </w:rPr>
        <w:t>of sodium in the tubular </w:t>
      </w:r>
      <w:r>
        <w:rPr>
          <w:color w:val="231F20"/>
          <w:spacing w:val="-3"/>
          <w:w w:val="105"/>
        </w:rPr>
        <w:t>fluid </w:t>
      </w:r>
      <w:r>
        <w:rPr>
          <w:color w:val="231F20"/>
          <w:w w:val="105"/>
        </w:rPr>
        <w:t>decreases markedly along the proximal tubule, the </w:t>
      </w:r>
      <w:r>
        <w:rPr>
          <w:i/>
          <w:color w:val="231F20"/>
          <w:w w:val="105"/>
        </w:rPr>
        <w:t>con- </w:t>
      </w:r>
      <w:r>
        <w:rPr>
          <w:i/>
          <w:color w:val="231F20"/>
          <w:w w:val="105"/>
        </w:rPr>
        <w:t>centration </w:t>
      </w:r>
      <w:r>
        <w:rPr>
          <w:color w:val="231F20"/>
          <w:w w:val="105"/>
        </w:rPr>
        <w:t>of sodium (and the total osmolarity) remains relatively constant because water permeability of the proximal</w:t>
      </w:r>
      <w:r>
        <w:rPr>
          <w:color w:val="231F20"/>
          <w:spacing w:val="-22"/>
          <w:w w:val="105"/>
        </w:rPr>
        <w:t> </w:t>
      </w:r>
      <w:r>
        <w:rPr>
          <w:color w:val="231F20"/>
          <w:w w:val="105"/>
        </w:rPr>
        <w:t>tubules</w:t>
      </w:r>
      <w:r>
        <w:rPr>
          <w:color w:val="231F20"/>
          <w:spacing w:val="-21"/>
          <w:w w:val="105"/>
        </w:rPr>
        <w:t> </w:t>
      </w:r>
      <w:r>
        <w:rPr>
          <w:color w:val="231F20"/>
          <w:w w:val="105"/>
        </w:rPr>
        <w:t>is</w:t>
      </w:r>
      <w:r>
        <w:rPr>
          <w:color w:val="231F20"/>
          <w:spacing w:val="-21"/>
          <w:w w:val="105"/>
        </w:rPr>
        <w:t> </w:t>
      </w:r>
      <w:r>
        <w:rPr>
          <w:color w:val="231F20"/>
          <w:w w:val="105"/>
        </w:rPr>
        <w:t>so</w:t>
      </w:r>
      <w:r>
        <w:rPr>
          <w:color w:val="231F20"/>
          <w:spacing w:val="-21"/>
          <w:w w:val="105"/>
        </w:rPr>
        <w:t> </w:t>
      </w:r>
      <w:r>
        <w:rPr>
          <w:color w:val="231F20"/>
          <w:w w:val="105"/>
        </w:rPr>
        <w:t>great</w:t>
      </w:r>
      <w:r>
        <w:rPr>
          <w:color w:val="231F20"/>
          <w:spacing w:val="-21"/>
          <w:w w:val="105"/>
        </w:rPr>
        <w:t> </w:t>
      </w:r>
      <w:r>
        <w:rPr>
          <w:color w:val="231F20"/>
          <w:w w:val="105"/>
        </w:rPr>
        <w:t>that</w:t>
      </w:r>
      <w:r>
        <w:rPr>
          <w:color w:val="231F20"/>
          <w:spacing w:val="-21"/>
          <w:w w:val="105"/>
        </w:rPr>
        <w:t> </w:t>
      </w:r>
      <w:r>
        <w:rPr>
          <w:color w:val="231F20"/>
          <w:w w:val="105"/>
        </w:rPr>
        <w:t>water</w:t>
      </w:r>
      <w:r>
        <w:rPr>
          <w:color w:val="231F20"/>
          <w:spacing w:val="-21"/>
          <w:w w:val="105"/>
        </w:rPr>
        <w:t> </w:t>
      </w:r>
      <w:r>
        <w:rPr>
          <w:color w:val="231F20"/>
          <w:w w:val="105"/>
        </w:rPr>
        <w:t>reabsorption</w:t>
      </w:r>
      <w:r>
        <w:rPr>
          <w:color w:val="231F20"/>
          <w:spacing w:val="-21"/>
          <w:w w:val="105"/>
        </w:rPr>
        <w:t> </w:t>
      </w:r>
      <w:r>
        <w:rPr>
          <w:color w:val="231F20"/>
          <w:w w:val="105"/>
        </w:rPr>
        <w:t>keeps pace with sodium reabsorption. Certain organic solutes, such</w:t>
      </w:r>
      <w:r>
        <w:rPr>
          <w:color w:val="231F20"/>
          <w:spacing w:val="-7"/>
          <w:w w:val="105"/>
        </w:rPr>
        <w:t> </w:t>
      </w:r>
      <w:r>
        <w:rPr>
          <w:color w:val="231F20"/>
          <w:w w:val="105"/>
        </w:rPr>
        <w:t>as</w:t>
      </w:r>
      <w:r>
        <w:rPr>
          <w:color w:val="231F20"/>
          <w:spacing w:val="-7"/>
          <w:w w:val="105"/>
        </w:rPr>
        <w:t> </w:t>
      </w:r>
      <w:r>
        <w:rPr>
          <w:color w:val="231F20"/>
          <w:w w:val="105"/>
        </w:rPr>
        <w:t>glucose,</w:t>
      </w:r>
      <w:r>
        <w:rPr>
          <w:color w:val="231F20"/>
          <w:spacing w:val="-7"/>
          <w:w w:val="105"/>
        </w:rPr>
        <w:t> </w:t>
      </w:r>
      <w:r>
        <w:rPr>
          <w:color w:val="231F20"/>
          <w:w w:val="105"/>
        </w:rPr>
        <w:t>amino</w:t>
      </w:r>
      <w:r>
        <w:rPr>
          <w:color w:val="231F20"/>
          <w:spacing w:val="-7"/>
          <w:w w:val="105"/>
        </w:rPr>
        <w:t> </w:t>
      </w:r>
      <w:r>
        <w:rPr>
          <w:color w:val="231F20"/>
          <w:w w:val="105"/>
        </w:rPr>
        <w:t>acids,</w:t>
      </w:r>
      <w:r>
        <w:rPr>
          <w:color w:val="231F20"/>
          <w:spacing w:val="-7"/>
          <w:w w:val="105"/>
        </w:rPr>
        <w:t> </w:t>
      </w:r>
      <w:r>
        <w:rPr>
          <w:color w:val="231F20"/>
          <w:w w:val="105"/>
        </w:rPr>
        <w:t>and</w:t>
      </w:r>
      <w:r>
        <w:rPr>
          <w:color w:val="231F20"/>
          <w:spacing w:val="-7"/>
          <w:w w:val="105"/>
        </w:rPr>
        <w:t> </w:t>
      </w:r>
      <w:r>
        <w:rPr>
          <w:color w:val="231F20"/>
          <w:w w:val="105"/>
        </w:rPr>
        <w:t>bicarbonate,</w:t>
      </w:r>
      <w:r>
        <w:rPr>
          <w:color w:val="231F20"/>
          <w:spacing w:val="-7"/>
          <w:w w:val="105"/>
        </w:rPr>
        <w:t> </w:t>
      </w:r>
      <w:r>
        <w:rPr>
          <w:color w:val="231F20"/>
          <w:w w:val="105"/>
        </w:rPr>
        <w:t>are</w:t>
      </w:r>
      <w:r>
        <w:rPr>
          <w:color w:val="231F20"/>
          <w:spacing w:val="-7"/>
          <w:w w:val="105"/>
        </w:rPr>
        <w:t> </w:t>
      </w:r>
      <w:r>
        <w:rPr>
          <w:color w:val="231F20"/>
          <w:spacing w:val="-5"/>
          <w:w w:val="105"/>
        </w:rPr>
        <w:t>much </w:t>
      </w:r>
      <w:r>
        <w:rPr>
          <w:color w:val="231F20"/>
          <w:w w:val="105"/>
        </w:rPr>
        <w:t>more</w:t>
      </w:r>
      <w:r>
        <w:rPr>
          <w:color w:val="231F20"/>
          <w:spacing w:val="-11"/>
          <w:w w:val="105"/>
        </w:rPr>
        <w:t> </w:t>
      </w:r>
      <w:r>
        <w:rPr>
          <w:color w:val="231F20"/>
          <w:w w:val="105"/>
        </w:rPr>
        <w:t>avidly</w:t>
      </w:r>
      <w:r>
        <w:rPr>
          <w:color w:val="231F20"/>
          <w:spacing w:val="-11"/>
          <w:w w:val="105"/>
        </w:rPr>
        <w:t> </w:t>
      </w:r>
      <w:r>
        <w:rPr>
          <w:color w:val="231F20"/>
          <w:w w:val="105"/>
        </w:rPr>
        <w:t>reabsorbed</w:t>
      </w:r>
      <w:r>
        <w:rPr>
          <w:color w:val="231F20"/>
          <w:spacing w:val="-11"/>
          <w:w w:val="105"/>
        </w:rPr>
        <w:t> </w:t>
      </w:r>
      <w:r>
        <w:rPr>
          <w:color w:val="231F20"/>
          <w:w w:val="105"/>
        </w:rPr>
        <w:t>than</w:t>
      </w:r>
      <w:r>
        <w:rPr>
          <w:color w:val="231F20"/>
          <w:spacing w:val="-10"/>
          <w:w w:val="105"/>
        </w:rPr>
        <w:t> </w:t>
      </w:r>
      <w:r>
        <w:rPr>
          <w:color w:val="231F20"/>
          <w:w w:val="105"/>
        </w:rPr>
        <w:t>is</w:t>
      </w:r>
      <w:r>
        <w:rPr>
          <w:color w:val="231F20"/>
          <w:spacing w:val="-11"/>
          <w:w w:val="105"/>
        </w:rPr>
        <w:t> </w:t>
      </w:r>
      <w:r>
        <w:rPr>
          <w:color w:val="231F20"/>
          <w:spacing w:val="-3"/>
          <w:w w:val="105"/>
        </w:rPr>
        <w:t>water,</w:t>
      </w:r>
      <w:r>
        <w:rPr>
          <w:color w:val="231F20"/>
          <w:spacing w:val="-11"/>
          <w:w w:val="105"/>
        </w:rPr>
        <w:t> </w:t>
      </w:r>
      <w:r>
        <w:rPr>
          <w:color w:val="231F20"/>
          <w:w w:val="105"/>
        </w:rPr>
        <w:t>and</w:t>
      </w:r>
      <w:r>
        <w:rPr>
          <w:color w:val="231F20"/>
          <w:spacing w:val="-10"/>
          <w:w w:val="105"/>
        </w:rPr>
        <w:t> </w:t>
      </w:r>
      <w:r>
        <w:rPr>
          <w:color w:val="231F20"/>
          <w:w w:val="105"/>
        </w:rPr>
        <w:t>thus</w:t>
      </w:r>
      <w:r>
        <w:rPr>
          <w:color w:val="231F20"/>
          <w:spacing w:val="-11"/>
          <w:w w:val="105"/>
        </w:rPr>
        <w:t> </w:t>
      </w:r>
      <w:r>
        <w:rPr>
          <w:color w:val="231F20"/>
          <w:w w:val="105"/>
        </w:rPr>
        <w:t>their</w:t>
      </w:r>
      <w:r>
        <w:rPr>
          <w:color w:val="231F20"/>
          <w:spacing w:val="-11"/>
          <w:w w:val="105"/>
        </w:rPr>
        <w:t> </w:t>
      </w:r>
      <w:r>
        <w:rPr>
          <w:color w:val="231F20"/>
          <w:w w:val="105"/>
        </w:rPr>
        <w:t>con- centrations decrease markedly along the length of the proximal tubule. Other organic solutes that are less </w:t>
      </w:r>
      <w:r>
        <w:rPr>
          <w:color w:val="231F20"/>
          <w:spacing w:val="-5"/>
          <w:w w:val="105"/>
        </w:rPr>
        <w:t>per- </w:t>
      </w:r>
      <w:r>
        <w:rPr>
          <w:color w:val="231F20"/>
          <w:w w:val="105"/>
        </w:rPr>
        <w:t>meant and not actively reabsorbed, such as creatinine, increase their concentration along the proximal </w:t>
      </w:r>
      <w:r>
        <w:rPr>
          <w:color w:val="231F20"/>
          <w:spacing w:val="-3"/>
          <w:w w:val="105"/>
        </w:rPr>
        <w:t>tubule. </w:t>
      </w:r>
      <w:r>
        <w:rPr>
          <w:color w:val="231F20"/>
          <w:w w:val="105"/>
        </w:rPr>
        <w:t>The</w:t>
      </w:r>
      <w:r>
        <w:rPr>
          <w:color w:val="231F20"/>
          <w:spacing w:val="-24"/>
          <w:w w:val="105"/>
        </w:rPr>
        <w:t> </w:t>
      </w:r>
      <w:r>
        <w:rPr>
          <w:color w:val="231F20"/>
          <w:w w:val="105"/>
        </w:rPr>
        <w:t>total</w:t>
      </w:r>
      <w:r>
        <w:rPr>
          <w:color w:val="231F20"/>
          <w:spacing w:val="-23"/>
          <w:w w:val="105"/>
        </w:rPr>
        <w:t> </w:t>
      </w:r>
      <w:r>
        <w:rPr>
          <w:color w:val="231F20"/>
          <w:w w:val="105"/>
        </w:rPr>
        <w:t>solute</w:t>
      </w:r>
      <w:r>
        <w:rPr>
          <w:color w:val="231F20"/>
          <w:spacing w:val="-24"/>
          <w:w w:val="105"/>
        </w:rPr>
        <w:t> </w:t>
      </w:r>
      <w:r>
        <w:rPr>
          <w:color w:val="231F20"/>
          <w:w w:val="105"/>
        </w:rPr>
        <w:t>concentration,</w:t>
      </w:r>
      <w:r>
        <w:rPr>
          <w:color w:val="231F20"/>
          <w:spacing w:val="-23"/>
          <w:w w:val="105"/>
        </w:rPr>
        <w:t> </w:t>
      </w:r>
      <w:r>
        <w:rPr>
          <w:color w:val="231F20"/>
          <w:w w:val="105"/>
        </w:rPr>
        <w:t>as</w:t>
      </w:r>
      <w:r>
        <w:rPr>
          <w:color w:val="231F20"/>
          <w:spacing w:val="-24"/>
          <w:w w:val="105"/>
        </w:rPr>
        <w:t> </w:t>
      </w:r>
      <w:r>
        <w:rPr>
          <w:color w:val="231F20"/>
          <w:w w:val="105"/>
        </w:rPr>
        <w:t>reflected</w:t>
      </w:r>
      <w:r>
        <w:rPr>
          <w:color w:val="231F20"/>
          <w:spacing w:val="-23"/>
          <w:w w:val="105"/>
        </w:rPr>
        <w:t> </w:t>
      </w:r>
      <w:r>
        <w:rPr>
          <w:color w:val="231F20"/>
          <w:w w:val="105"/>
        </w:rPr>
        <w:t>by</w:t>
      </w:r>
      <w:r>
        <w:rPr>
          <w:color w:val="231F20"/>
          <w:spacing w:val="-24"/>
          <w:w w:val="105"/>
        </w:rPr>
        <w:t> </w:t>
      </w:r>
      <w:r>
        <w:rPr>
          <w:color w:val="231F20"/>
          <w:w w:val="105"/>
        </w:rPr>
        <w:t>osmolarity, remains</w:t>
      </w:r>
      <w:r>
        <w:rPr>
          <w:color w:val="231F20"/>
          <w:spacing w:val="-23"/>
          <w:w w:val="105"/>
        </w:rPr>
        <w:t> </w:t>
      </w:r>
      <w:r>
        <w:rPr>
          <w:color w:val="231F20"/>
          <w:w w:val="105"/>
        </w:rPr>
        <w:t>essentially</w:t>
      </w:r>
      <w:r>
        <w:rPr>
          <w:color w:val="231F20"/>
          <w:spacing w:val="-23"/>
          <w:w w:val="105"/>
        </w:rPr>
        <w:t> </w:t>
      </w:r>
      <w:r>
        <w:rPr>
          <w:color w:val="231F20"/>
          <w:w w:val="105"/>
        </w:rPr>
        <w:t>the</w:t>
      </w:r>
      <w:r>
        <w:rPr>
          <w:color w:val="231F20"/>
          <w:spacing w:val="-23"/>
          <w:w w:val="105"/>
        </w:rPr>
        <w:t> </w:t>
      </w:r>
      <w:r>
        <w:rPr>
          <w:color w:val="231F20"/>
          <w:w w:val="105"/>
        </w:rPr>
        <w:t>same</w:t>
      </w:r>
      <w:r>
        <w:rPr>
          <w:color w:val="231F20"/>
          <w:spacing w:val="-23"/>
          <w:w w:val="105"/>
        </w:rPr>
        <w:t> </w:t>
      </w:r>
      <w:r>
        <w:rPr>
          <w:color w:val="231F20"/>
          <w:w w:val="105"/>
        </w:rPr>
        <w:t>all</w:t>
      </w:r>
      <w:r>
        <w:rPr>
          <w:color w:val="231F20"/>
          <w:spacing w:val="-23"/>
          <w:w w:val="105"/>
        </w:rPr>
        <w:t> </w:t>
      </w:r>
      <w:r>
        <w:rPr>
          <w:color w:val="231F20"/>
          <w:w w:val="105"/>
        </w:rPr>
        <w:t>along</w:t>
      </w:r>
      <w:r>
        <w:rPr>
          <w:color w:val="231F20"/>
          <w:spacing w:val="-23"/>
          <w:w w:val="105"/>
        </w:rPr>
        <w:t> </w:t>
      </w:r>
      <w:r>
        <w:rPr>
          <w:color w:val="231F20"/>
          <w:w w:val="105"/>
        </w:rPr>
        <w:t>the</w:t>
      </w:r>
      <w:r>
        <w:rPr>
          <w:color w:val="231F20"/>
          <w:spacing w:val="-23"/>
          <w:w w:val="105"/>
        </w:rPr>
        <w:t> </w:t>
      </w:r>
      <w:r>
        <w:rPr>
          <w:color w:val="231F20"/>
          <w:w w:val="105"/>
        </w:rPr>
        <w:t>proximal</w:t>
      </w:r>
      <w:r>
        <w:rPr>
          <w:color w:val="231F20"/>
          <w:spacing w:val="-23"/>
          <w:w w:val="105"/>
        </w:rPr>
        <w:t> </w:t>
      </w:r>
      <w:r>
        <w:rPr>
          <w:color w:val="231F20"/>
          <w:spacing w:val="-4"/>
          <w:w w:val="105"/>
        </w:rPr>
        <w:t>tubule </w:t>
      </w:r>
      <w:r>
        <w:rPr>
          <w:color w:val="231F20"/>
          <w:w w:val="105"/>
        </w:rPr>
        <w:t>because</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extremely</w:t>
      </w:r>
      <w:r>
        <w:rPr>
          <w:color w:val="231F20"/>
          <w:spacing w:val="-16"/>
          <w:w w:val="105"/>
        </w:rPr>
        <w:t> </w:t>
      </w:r>
      <w:r>
        <w:rPr>
          <w:color w:val="231F20"/>
          <w:w w:val="105"/>
        </w:rPr>
        <w:t>high</w:t>
      </w:r>
      <w:r>
        <w:rPr>
          <w:color w:val="231F20"/>
          <w:spacing w:val="-17"/>
          <w:w w:val="105"/>
        </w:rPr>
        <w:t> </w:t>
      </w:r>
      <w:r>
        <w:rPr>
          <w:color w:val="231F20"/>
          <w:w w:val="105"/>
        </w:rPr>
        <w:t>permeability</w:t>
      </w:r>
      <w:r>
        <w:rPr>
          <w:color w:val="231F20"/>
          <w:spacing w:val="-17"/>
          <w:w w:val="105"/>
        </w:rPr>
        <w:t> </w:t>
      </w:r>
      <w:r>
        <w:rPr>
          <w:color w:val="231F20"/>
          <w:w w:val="105"/>
        </w:rPr>
        <w:t>of</w:t>
      </w:r>
      <w:r>
        <w:rPr>
          <w:color w:val="231F20"/>
          <w:spacing w:val="-17"/>
          <w:w w:val="105"/>
        </w:rPr>
        <w:t> </w:t>
      </w:r>
      <w:r>
        <w:rPr>
          <w:color w:val="231F20"/>
          <w:w w:val="105"/>
        </w:rPr>
        <w:t>this</w:t>
      </w:r>
      <w:r>
        <w:rPr>
          <w:color w:val="231F20"/>
          <w:spacing w:val="-16"/>
          <w:w w:val="105"/>
        </w:rPr>
        <w:t> </w:t>
      </w:r>
      <w:r>
        <w:rPr>
          <w:color w:val="231F20"/>
          <w:w w:val="105"/>
        </w:rPr>
        <w:t>part</w:t>
      </w:r>
      <w:r>
        <w:rPr>
          <w:color w:val="231F20"/>
          <w:spacing w:val="-17"/>
          <w:w w:val="105"/>
        </w:rPr>
        <w:t> </w:t>
      </w:r>
      <w:r>
        <w:rPr>
          <w:color w:val="231F20"/>
          <w:w w:val="105"/>
        </w:rPr>
        <w:t>of the nephron to</w:t>
      </w:r>
      <w:r>
        <w:rPr>
          <w:color w:val="231F20"/>
          <w:spacing w:val="10"/>
          <w:w w:val="105"/>
        </w:rPr>
        <w:t> </w:t>
      </w:r>
      <w:r>
        <w:rPr>
          <w:color w:val="231F20"/>
          <w:spacing w:val="-3"/>
          <w:w w:val="105"/>
        </w:rPr>
        <w:t>water.</w:t>
      </w:r>
    </w:p>
    <w:p>
      <w:pPr>
        <w:pStyle w:val="BodyText"/>
        <w:spacing w:before="1"/>
        <w:rPr>
          <w:sz w:val="23"/>
        </w:rPr>
      </w:pPr>
    </w:p>
    <w:p>
      <w:pPr>
        <w:spacing w:line="249" w:lineRule="auto" w:before="0"/>
        <w:ind w:left="1079" w:right="0" w:firstLine="0"/>
        <w:jc w:val="both"/>
        <w:rPr>
          <w:sz w:val="20"/>
        </w:rPr>
      </w:pPr>
      <w:r>
        <w:rPr>
          <w:rFonts w:ascii="Trebuchet MS"/>
          <w:b/>
          <w:color w:val="231F20"/>
          <w:sz w:val="19"/>
        </w:rPr>
        <w:t>Secretion</w:t>
      </w:r>
      <w:r>
        <w:rPr>
          <w:rFonts w:ascii="Trebuchet MS"/>
          <w:b/>
          <w:color w:val="231F20"/>
          <w:spacing w:val="-6"/>
          <w:sz w:val="19"/>
        </w:rPr>
        <w:t> </w:t>
      </w:r>
      <w:r>
        <w:rPr>
          <w:rFonts w:ascii="Trebuchet MS"/>
          <w:b/>
          <w:color w:val="231F20"/>
          <w:sz w:val="19"/>
        </w:rPr>
        <w:t>of</w:t>
      </w:r>
      <w:r>
        <w:rPr>
          <w:rFonts w:ascii="Trebuchet MS"/>
          <w:b/>
          <w:color w:val="231F20"/>
          <w:spacing w:val="-6"/>
          <w:sz w:val="19"/>
        </w:rPr>
        <w:t> </w:t>
      </w:r>
      <w:r>
        <w:rPr>
          <w:rFonts w:ascii="Trebuchet MS"/>
          <w:b/>
          <w:color w:val="231F20"/>
          <w:sz w:val="19"/>
        </w:rPr>
        <w:t>Organic</w:t>
      </w:r>
      <w:r>
        <w:rPr>
          <w:rFonts w:ascii="Trebuchet MS"/>
          <w:b/>
          <w:color w:val="231F20"/>
          <w:spacing w:val="-5"/>
          <w:sz w:val="19"/>
        </w:rPr>
        <w:t> </w:t>
      </w:r>
      <w:r>
        <w:rPr>
          <w:rFonts w:ascii="Trebuchet MS"/>
          <w:b/>
          <w:color w:val="231F20"/>
          <w:sz w:val="19"/>
        </w:rPr>
        <w:t>Acids</w:t>
      </w:r>
      <w:r>
        <w:rPr>
          <w:rFonts w:ascii="Trebuchet MS"/>
          <w:b/>
          <w:color w:val="231F20"/>
          <w:spacing w:val="-6"/>
          <w:sz w:val="19"/>
        </w:rPr>
        <w:t> </w:t>
      </w:r>
      <w:r>
        <w:rPr>
          <w:rFonts w:ascii="Trebuchet MS"/>
          <w:b/>
          <w:color w:val="231F20"/>
          <w:sz w:val="19"/>
        </w:rPr>
        <w:t>and</w:t>
      </w:r>
      <w:r>
        <w:rPr>
          <w:rFonts w:ascii="Trebuchet MS"/>
          <w:b/>
          <w:color w:val="231F20"/>
          <w:spacing w:val="-6"/>
          <w:sz w:val="19"/>
        </w:rPr>
        <w:t> </w:t>
      </w:r>
      <w:r>
        <w:rPr>
          <w:rFonts w:ascii="Trebuchet MS"/>
          <w:b/>
          <w:color w:val="231F20"/>
          <w:sz w:val="19"/>
        </w:rPr>
        <w:t>Bases</w:t>
      </w:r>
      <w:r>
        <w:rPr>
          <w:rFonts w:ascii="Trebuchet MS"/>
          <w:b/>
          <w:color w:val="231F20"/>
          <w:spacing w:val="-5"/>
          <w:sz w:val="19"/>
        </w:rPr>
        <w:t> </w:t>
      </w:r>
      <w:r>
        <w:rPr>
          <w:rFonts w:ascii="Trebuchet MS"/>
          <w:b/>
          <w:color w:val="231F20"/>
          <w:sz w:val="19"/>
        </w:rPr>
        <w:t>by</w:t>
      </w:r>
      <w:r>
        <w:rPr>
          <w:rFonts w:ascii="Trebuchet MS"/>
          <w:b/>
          <w:color w:val="231F20"/>
          <w:spacing w:val="-6"/>
          <w:sz w:val="19"/>
        </w:rPr>
        <w:t> </w:t>
      </w:r>
      <w:r>
        <w:rPr>
          <w:rFonts w:ascii="Trebuchet MS"/>
          <w:b/>
          <w:color w:val="231F20"/>
          <w:sz w:val="19"/>
        </w:rPr>
        <w:t>the</w:t>
      </w:r>
      <w:r>
        <w:rPr>
          <w:rFonts w:ascii="Trebuchet MS"/>
          <w:b/>
          <w:color w:val="231F20"/>
          <w:spacing w:val="-6"/>
          <w:sz w:val="19"/>
        </w:rPr>
        <w:t> </w:t>
      </w:r>
      <w:r>
        <w:rPr>
          <w:rFonts w:ascii="Trebuchet MS"/>
          <w:b/>
          <w:color w:val="231F20"/>
          <w:spacing w:val="-3"/>
          <w:sz w:val="19"/>
        </w:rPr>
        <w:t>Proximal Tubule. </w:t>
      </w:r>
      <w:r>
        <w:rPr>
          <w:color w:val="231F20"/>
          <w:sz w:val="20"/>
        </w:rPr>
        <w:t>The proximal tubule is also an important site </w:t>
      </w:r>
      <w:r>
        <w:rPr>
          <w:color w:val="231F20"/>
          <w:spacing w:val="-6"/>
          <w:sz w:val="20"/>
        </w:rPr>
        <w:t>for </w:t>
      </w:r>
      <w:r>
        <w:rPr>
          <w:color w:val="231F20"/>
          <w:sz w:val="20"/>
        </w:rPr>
        <w:t>secretion of organic acids and bases such as </w:t>
      </w:r>
      <w:r>
        <w:rPr>
          <w:i/>
          <w:color w:val="231F20"/>
          <w:sz w:val="20"/>
        </w:rPr>
        <w:t>bile </w:t>
      </w:r>
      <w:r>
        <w:rPr>
          <w:i/>
          <w:color w:val="231F20"/>
          <w:spacing w:val="-3"/>
          <w:sz w:val="20"/>
        </w:rPr>
        <w:t>salts</w:t>
      </w:r>
      <w:r>
        <w:rPr>
          <w:color w:val="231F20"/>
          <w:spacing w:val="-3"/>
          <w:sz w:val="20"/>
        </w:rPr>
        <w:t>, </w:t>
      </w:r>
      <w:r>
        <w:rPr>
          <w:i/>
          <w:color w:val="231F20"/>
          <w:sz w:val="20"/>
        </w:rPr>
        <w:t>oxalate</w:t>
      </w:r>
      <w:r>
        <w:rPr>
          <w:color w:val="231F20"/>
          <w:sz w:val="20"/>
        </w:rPr>
        <w:t>, </w:t>
      </w:r>
      <w:r>
        <w:rPr>
          <w:i/>
          <w:color w:val="231F20"/>
          <w:sz w:val="20"/>
        </w:rPr>
        <w:t>urate</w:t>
      </w:r>
      <w:r>
        <w:rPr>
          <w:color w:val="231F20"/>
          <w:sz w:val="20"/>
        </w:rPr>
        <w:t>, and </w:t>
      </w:r>
      <w:r>
        <w:rPr>
          <w:i/>
          <w:color w:val="231F20"/>
          <w:sz w:val="20"/>
        </w:rPr>
        <w:t>catecholamines</w:t>
      </w:r>
      <w:r>
        <w:rPr>
          <w:color w:val="231F20"/>
          <w:sz w:val="20"/>
        </w:rPr>
        <w:t>. Many of these sub- stances are the end products of metabolism and must </w:t>
      </w:r>
      <w:r>
        <w:rPr>
          <w:color w:val="231F20"/>
          <w:spacing w:val="-6"/>
          <w:sz w:val="20"/>
        </w:rPr>
        <w:t>be </w:t>
      </w:r>
      <w:r>
        <w:rPr>
          <w:color w:val="231F20"/>
          <w:sz w:val="20"/>
        </w:rPr>
        <w:t>rapidly</w:t>
      </w:r>
      <w:r>
        <w:rPr>
          <w:color w:val="231F20"/>
          <w:spacing w:val="38"/>
          <w:sz w:val="20"/>
        </w:rPr>
        <w:t> </w:t>
      </w:r>
      <w:r>
        <w:rPr>
          <w:color w:val="231F20"/>
          <w:sz w:val="20"/>
        </w:rPr>
        <w:t>removed</w:t>
      </w:r>
      <w:r>
        <w:rPr>
          <w:color w:val="231F20"/>
          <w:spacing w:val="38"/>
          <w:sz w:val="20"/>
        </w:rPr>
        <w:t> </w:t>
      </w:r>
      <w:r>
        <w:rPr>
          <w:color w:val="231F20"/>
          <w:sz w:val="20"/>
        </w:rPr>
        <w:t>from</w:t>
      </w:r>
      <w:r>
        <w:rPr>
          <w:color w:val="231F20"/>
          <w:spacing w:val="38"/>
          <w:sz w:val="20"/>
        </w:rPr>
        <w:t> </w:t>
      </w:r>
      <w:r>
        <w:rPr>
          <w:color w:val="231F20"/>
          <w:sz w:val="20"/>
        </w:rPr>
        <w:t>the</w:t>
      </w:r>
      <w:r>
        <w:rPr>
          <w:color w:val="231F20"/>
          <w:spacing w:val="38"/>
          <w:sz w:val="20"/>
        </w:rPr>
        <w:t> </w:t>
      </w:r>
      <w:r>
        <w:rPr>
          <w:color w:val="231F20"/>
          <w:sz w:val="20"/>
        </w:rPr>
        <w:t>body.</w:t>
      </w:r>
      <w:r>
        <w:rPr>
          <w:color w:val="231F20"/>
          <w:spacing w:val="39"/>
          <w:sz w:val="20"/>
        </w:rPr>
        <w:t> </w:t>
      </w:r>
      <w:r>
        <w:rPr>
          <w:color w:val="231F20"/>
          <w:sz w:val="20"/>
        </w:rPr>
        <w:t>The</w:t>
      </w:r>
      <w:r>
        <w:rPr>
          <w:color w:val="231F20"/>
          <w:spacing w:val="37"/>
          <w:sz w:val="20"/>
        </w:rPr>
        <w:t> </w:t>
      </w:r>
      <w:r>
        <w:rPr>
          <w:i/>
          <w:color w:val="231F20"/>
          <w:sz w:val="20"/>
        </w:rPr>
        <w:t>secretion</w:t>
      </w:r>
      <w:r>
        <w:rPr>
          <w:i/>
          <w:color w:val="231F20"/>
          <w:spacing w:val="38"/>
          <w:sz w:val="20"/>
        </w:rPr>
        <w:t> </w:t>
      </w:r>
      <w:r>
        <w:rPr>
          <w:color w:val="231F20"/>
          <w:sz w:val="20"/>
        </w:rPr>
        <w:t>of</w:t>
      </w:r>
      <w:r>
        <w:rPr>
          <w:color w:val="231F20"/>
          <w:spacing w:val="38"/>
          <w:sz w:val="20"/>
        </w:rPr>
        <w:t> </w:t>
      </w:r>
      <w:r>
        <w:rPr>
          <w:color w:val="231F20"/>
          <w:spacing w:val="-3"/>
          <w:sz w:val="20"/>
        </w:rPr>
        <w:t>these</w:t>
      </w:r>
    </w:p>
    <w:p>
      <w:pPr>
        <w:pStyle w:val="BodyText"/>
        <w:spacing w:line="249" w:lineRule="auto" w:before="4"/>
        <w:ind w:left="319" w:right="1438"/>
        <w:jc w:val="both"/>
      </w:pPr>
      <w:r>
        <w:rPr/>
        <w:br w:type="column"/>
      </w:r>
      <w:r>
        <w:rPr>
          <w:color w:val="231F20"/>
        </w:rPr>
        <w:t>reason, the rate of PAH clearance can be used to estimate the renal plasma flow (RPF), as discussed later.</w:t>
      </w:r>
    </w:p>
    <w:p>
      <w:pPr>
        <w:pStyle w:val="BodyText"/>
        <w:spacing w:before="9"/>
        <w:rPr>
          <w:sz w:val="30"/>
        </w:rPr>
      </w:pPr>
    </w:p>
    <w:p>
      <w:pPr>
        <w:pStyle w:val="Heading2"/>
        <w:spacing w:line="225" w:lineRule="auto" w:before="1"/>
        <w:ind w:right="2559"/>
      </w:pPr>
      <w:r>
        <w:rPr>
          <w:color w:val="231F20"/>
        </w:rPr>
        <w:t>SOLUTE AND WATER TRANSPORT IN THE LOOP OF HENLE</w:t>
      </w:r>
    </w:p>
    <w:p>
      <w:pPr>
        <w:spacing w:line="249" w:lineRule="auto" w:before="127"/>
        <w:ind w:left="319" w:right="1437" w:firstLine="0"/>
        <w:jc w:val="both"/>
        <w:rPr>
          <w:sz w:val="20"/>
        </w:rPr>
      </w:pPr>
      <w:r>
        <w:rPr>
          <w:color w:val="231F20"/>
          <w:w w:val="105"/>
          <w:sz w:val="20"/>
        </w:rPr>
        <w:t>The loop of Henle consists of three functionally</w:t>
      </w:r>
      <w:r>
        <w:rPr>
          <w:color w:val="231F20"/>
          <w:spacing w:val="-14"/>
          <w:w w:val="105"/>
          <w:sz w:val="20"/>
        </w:rPr>
        <w:t> </w:t>
      </w:r>
      <w:r>
        <w:rPr>
          <w:color w:val="231F20"/>
          <w:w w:val="105"/>
          <w:sz w:val="20"/>
        </w:rPr>
        <w:t>distinct segments:</w:t>
      </w:r>
      <w:r>
        <w:rPr>
          <w:color w:val="231F20"/>
          <w:spacing w:val="-34"/>
          <w:w w:val="105"/>
          <w:sz w:val="20"/>
        </w:rPr>
        <w:t> </w:t>
      </w:r>
      <w:r>
        <w:rPr>
          <w:color w:val="231F20"/>
          <w:w w:val="105"/>
          <w:sz w:val="20"/>
        </w:rPr>
        <w:t>the</w:t>
      </w:r>
      <w:r>
        <w:rPr>
          <w:color w:val="231F20"/>
          <w:spacing w:val="-34"/>
          <w:w w:val="105"/>
          <w:sz w:val="20"/>
        </w:rPr>
        <w:t> </w:t>
      </w:r>
      <w:r>
        <w:rPr>
          <w:i/>
          <w:color w:val="231F20"/>
          <w:w w:val="105"/>
          <w:sz w:val="20"/>
        </w:rPr>
        <w:t>thin</w:t>
      </w:r>
      <w:r>
        <w:rPr>
          <w:i/>
          <w:color w:val="231F20"/>
          <w:spacing w:val="-33"/>
          <w:w w:val="105"/>
          <w:sz w:val="20"/>
        </w:rPr>
        <w:t> </w:t>
      </w:r>
      <w:r>
        <w:rPr>
          <w:i/>
          <w:color w:val="231F20"/>
          <w:w w:val="105"/>
          <w:sz w:val="20"/>
        </w:rPr>
        <w:t>descending</w:t>
      </w:r>
      <w:r>
        <w:rPr>
          <w:i/>
          <w:color w:val="231F20"/>
          <w:spacing w:val="-34"/>
          <w:w w:val="105"/>
          <w:sz w:val="20"/>
        </w:rPr>
        <w:t> </w:t>
      </w:r>
      <w:r>
        <w:rPr>
          <w:i/>
          <w:color w:val="231F20"/>
          <w:w w:val="105"/>
          <w:sz w:val="20"/>
        </w:rPr>
        <w:t>segment,</w:t>
      </w:r>
      <w:r>
        <w:rPr>
          <w:i/>
          <w:color w:val="231F20"/>
          <w:spacing w:val="-33"/>
          <w:w w:val="105"/>
          <w:sz w:val="20"/>
        </w:rPr>
        <w:t> </w:t>
      </w:r>
      <w:r>
        <w:rPr>
          <w:color w:val="231F20"/>
          <w:w w:val="105"/>
          <w:sz w:val="20"/>
        </w:rPr>
        <w:t>the</w:t>
      </w:r>
      <w:r>
        <w:rPr>
          <w:color w:val="231F20"/>
          <w:spacing w:val="-34"/>
          <w:w w:val="105"/>
          <w:sz w:val="20"/>
        </w:rPr>
        <w:t> </w:t>
      </w:r>
      <w:r>
        <w:rPr>
          <w:i/>
          <w:color w:val="231F20"/>
          <w:w w:val="105"/>
          <w:sz w:val="20"/>
        </w:rPr>
        <w:t>thin</w:t>
      </w:r>
      <w:r>
        <w:rPr>
          <w:i/>
          <w:color w:val="231F20"/>
          <w:spacing w:val="-34"/>
          <w:w w:val="105"/>
          <w:sz w:val="20"/>
        </w:rPr>
        <w:t> </w:t>
      </w:r>
      <w:r>
        <w:rPr>
          <w:i/>
          <w:color w:val="231F20"/>
          <w:w w:val="105"/>
          <w:sz w:val="20"/>
        </w:rPr>
        <w:t>ascending </w:t>
      </w:r>
      <w:r>
        <w:rPr>
          <w:i/>
          <w:color w:val="231F20"/>
          <w:w w:val="105"/>
          <w:sz w:val="20"/>
        </w:rPr>
        <w:t>segment, </w:t>
      </w:r>
      <w:r>
        <w:rPr>
          <w:color w:val="231F20"/>
          <w:w w:val="105"/>
          <w:sz w:val="20"/>
        </w:rPr>
        <w:t>and the </w:t>
      </w:r>
      <w:r>
        <w:rPr>
          <w:i/>
          <w:color w:val="231F20"/>
          <w:w w:val="105"/>
          <w:sz w:val="20"/>
        </w:rPr>
        <w:t>thick ascending segment. </w:t>
      </w:r>
      <w:r>
        <w:rPr>
          <w:color w:val="231F20"/>
          <w:w w:val="105"/>
          <w:sz w:val="20"/>
        </w:rPr>
        <w:t>The</w:t>
      </w:r>
      <w:r>
        <w:rPr>
          <w:color w:val="231F20"/>
          <w:spacing w:val="38"/>
          <w:w w:val="105"/>
          <w:sz w:val="20"/>
        </w:rPr>
        <w:t> </w:t>
      </w:r>
      <w:r>
        <w:rPr>
          <w:color w:val="231F20"/>
          <w:w w:val="105"/>
          <w:sz w:val="20"/>
        </w:rPr>
        <w:t>thin descending and thin ascending segments, as their</w:t>
      </w:r>
      <w:r>
        <w:rPr>
          <w:color w:val="231F20"/>
          <w:spacing w:val="-38"/>
          <w:w w:val="105"/>
          <w:sz w:val="20"/>
        </w:rPr>
        <w:t> </w:t>
      </w:r>
      <w:r>
        <w:rPr>
          <w:color w:val="231F20"/>
          <w:w w:val="105"/>
          <w:sz w:val="20"/>
        </w:rPr>
        <w:t>names </w:t>
      </w:r>
      <w:r>
        <w:rPr>
          <w:color w:val="231F20"/>
          <w:spacing w:val="-3"/>
          <w:w w:val="105"/>
          <w:sz w:val="20"/>
        </w:rPr>
        <w:t>imply, </w:t>
      </w:r>
      <w:r>
        <w:rPr>
          <w:color w:val="231F20"/>
          <w:w w:val="105"/>
          <w:sz w:val="20"/>
        </w:rPr>
        <w:t>have thin epithelial membranes with no </w:t>
      </w:r>
      <w:r>
        <w:rPr>
          <w:color w:val="231F20"/>
          <w:spacing w:val="-3"/>
          <w:w w:val="105"/>
          <w:sz w:val="20"/>
        </w:rPr>
        <w:t>brush </w:t>
      </w:r>
      <w:r>
        <w:rPr>
          <w:color w:val="231F20"/>
          <w:w w:val="105"/>
          <w:sz w:val="20"/>
        </w:rPr>
        <w:t>borders, few mitochondria, and minimal levels of </w:t>
      </w:r>
      <w:r>
        <w:rPr>
          <w:color w:val="231F20"/>
          <w:spacing w:val="-3"/>
          <w:w w:val="105"/>
          <w:sz w:val="20"/>
        </w:rPr>
        <w:t>meta- </w:t>
      </w:r>
      <w:r>
        <w:rPr>
          <w:color w:val="231F20"/>
          <w:w w:val="105"/>
          <w:sz w:val="20"/>
        </w:rPr>
        <w:t>bolic activity (</w:t>
      </w:r>
      <w:hyperlink w:history="true" w:anchor="_bookmark47">
        <w:r>
          <w:rPr>
            <w:b/>
            <w:color w:val="0080AC"/>
            <w:w w:val="105"/>
            <w:sz w:val="20"/>
          </w:rPr>
          <w:t>Figure</w:t>
        </w:r>
        <w:r>
          <w:rPr>
            <w:b/>
            <w:color w:val="0080AC"/>
            <w:spacing w:val="3"/>
            <w:w w:val="105"/>
            <w:sz w:val="20"/>
          </w:rPr>
          <w:t> </w:t>
        </w:r>
        <w:r>
          <w:rPr>
            <w:b/>
            <w:color w:val="0080AC"/>
            <w:w w:val="105"/>
            <w:sz w:val="20"/>
          </w:rPr>
          <w:t>28-8</w:t>
        </w:r>
      </w:hyperlink>
      <w:r>
        <w:rPr>
          <w:color w:val="231F20"/>
          <w:w w:val="105"/>
          <w:sz w:val="20"/>
        </w:rPr>
        <w:t>).</w:t>
      </w:r>
    </w:p>
    <w:p>
      <w:pPr>
        <w:pStyle w:val="BodyText"/>
        <w:spacing w:line="249" w:lineRule="auto" w:before="6"/>
        <w:ind w:left="319" w:right="1437" w:firstLine="240"/>
        <w:jc w:val="both"/>
      </w:pPr>
      <w:r>
        <w:rPr>
          <w:color w:val="231F20"/>
          <w:w w:val="105"/>
        </w:rPr>
        <w:t>The</w:t>
      </w:r>
      <w:r>
        <w:rPr>
          <w:color w:val="231F20"/>
          <w:spacing w:val="-11"/>
          <w:w w:val="105"/>
        </w:rPr>
        <w:t> </w:t>
      </w:r>
      <w:r>
        <w:rPr>
          <w:color w:val="231F20"/>
          <w:w w:val="105"/>
        </w:rPr>
        <w:t>descending</w:t>
      </w:r>
      <w:r>
        <w:rPr>
          <w:color w:val="231F20"/>
          <w:spacing w:val="-11"/>
          <w:w w:val="105"/>
        </w:rPr>
        <w:t> </w:t>
      </w:r>
      <w:r>
        <w:rPr>
          <w:color w:val="231F20"/>
          <w:w w:val="105"/>
        </w:rPr>
        <w:t>part</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1"/>
          <w:w w:val="105"/>
        </w:rPr>
        <w:t> </w:t>
      </w:r>
      <w:r>
        <w:rPr>
          <w:color w:val="231F20"/>
          <w:w w:val="105"/>
        </w:rPr>
        <w:t>thin</w:t>
      </w:r>
      <w:r>
        <w:rPr>
          <w:color w:val="231F20"/>
          <w:spacing w:val="-11"/>
          <w:w w:val="105"/>
        </w:rPr>
        <w:t> </w:t>
      </w:r>
      <w:r>
        <w:rPr>
          <w:color w:val="231F20"/>
          <w:w w:val="105"/>
        </w:rPr>
        <w:t>segment</w:t>
      </w:r>
      <w:r>
        <w:rPr>
          <w:color w:val="231F20"/>
          <w:spacing w:val="-10"/>
          <w:w w:val="105"/>
        </w:rPr>
        <w:t> </w:t>
      </w:r>
      <w:r>
        <w:rPr>
          <w:color w:val="231F20"/>
          <w:w w:val="105"/>
        </w:rPr>
        <w:t>is</w:t>
      </w:r>
      <w:r>
        <w:rPr>
          <w:color w:val="231F20"/>
          <w:spacing w:val="-11"/>
          <w:w w:val="105"/>
        </w:rPr>
        <w:t> </w:t>
      </w:r>
      <w:r>
        <w:rPr>
          <w:color w:val="231F20"/>
          <w:w w:val="105"/>
        </w:rPr>
        <w:t>highly</w:t>
      </w:r>
      <w:r>
        <w:rPr>
          <w:color w:val="231F20"/>
          <w:spacing w:val="-11"/>
          <w:w w:val="105"/>
        </w:rPr>
        <w:t> </w:t>
      </w:r>
      <w:r>
        <w:rPr>
          <w:color w:val="231F20"/>
          <w:spacing w:val="-5"/>
          <w:w w:val="105"/>
        </w:rPr>
        <w:t>per- </w:t>
      </w:r>
      <w:r>
        <w:rPr>
          <w:color w:val="231F20"/>
          <w:w w:val="105"/>
        </w:rPr>
        <w:t>meable to water and moderately permeable to most solutes, including urea and sodium. The function of</w:t>
      </w:r>
      <w:r>
        <w:rPr>
          <w:color w:val="231F20"/>
          <w:spacing w:val="-16"/>
          <w:w w:val="105"/>
        </w:rPr>
        <w:t> </w:t>
      </w:r>
      <w:r>
        <w:rPr>
          <w:color w:val="231F20"/>
          <w:w w:val="105"/>
        </w:rPr>
        <w:t>this nephron segment is mainly to allow simple diffusion </w:t>
      </w:r>
      <w:r>
        <w:rPr>
          <w:color w:val="231F20"/>
          <w:spacing w:val="-7"/>
          <w:w w:val="105"/>
        </w:rPr>
        <w:t>of </w:t>
      </w:r>
      <w:r>
        <w:rPr>
          <w:color w:val="231F20"/>
          <w:w w:val="105"/>
        </w:rPr>
        <w:t>substances through its walls. About 20 percent of the filtered water is reabsorbed in the loop of Henle, and almost</w:t>
      </w:r>
      <w:r>
        <w:rPr>
          <w:color w:val="231F20"/>
          <w:spacing w:val="-10"/>
          <w:w w:val="105"/>
        </w:rPr>
        <w:t> </w:t>
      </w:r>
      <w:r>
        <w:rPr>
          <w:color w:val="231F20"/>
          <w:w w:val="105"/>
        </w:rPr>
        <w:t>all</w:t>
      </w:r>
      <w:r>
        <w:rPr>
          <w:color w:val="231F20"/>
          <w:spacing w:val="-9"/>
          <w:w w:val="105"/>
        </w:rPr>
        <w:t> </w:t>
      </w:r>
      <w:r>
        <w:rPr>
          <w:color w:val="231F20"/>
          <w:w w:val="105"/>
        </w:rPr>
        <w:t>of</w:t>
      </w:r>
      <w:r>
        <w:rPr>
          <w:color w:val="231F20"/>
          <w:spacing w:val="-10"/>
          <w:w w:val="105"/>
        </w:rPr>
        <w:t> </w:t>
      </w:r>
      <w:r>
        <w:rPr>
          <w:color w:val="231F20"/>
          <w:w w:val="105"/>
        </w:rPr>
        <w:t>this</w:t>
      </w:r>
      <w:r>
        <w:rPr>
          <w:color w:val="231F20"/>
          <w:spacing w:val="-9"/>
          <w:w w:val="105"/>
        </w:rPr>
        <w:t> </w:t>
      </w:r>
      <w:r>
        <w:rPr>
          <w:color w:val="231F20"/>
          <w:w w:val="105"/>
        </w:rPr>
        <w:t>occurs</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10"/>
          <w:w w:val="105"/>
        </w:rPr>
        <w:t> </w:t>
      </w:r>
      <w:r>
        <w:rPr>
          <w:color w:val="231F20"/>
          <w:w w:val="105"/>
        </w:rPr>
        <w:t>thin</w:t>
      </w:r>
      <w:r>
        <w:rPr>
          <w:color w:val="231F20"/>
          <w:spacing w:val="-9"/>
          <w:w w:val="105"/>
        </w:rPr>
        <w:t> </w:t>
      </w:r>
      <w:r>
        <w:rPr>
          <w:color w:val="231F20"/>
          <w:w w:val="105"/>
        </w:rPr>
        <w:t>descending</w:t>
      </w:r>
      <w:r>
        <w:rPr>
          <w:color w:val="231F20"/>
          <w:spacing w:val="-10"/>
          <w:w w:val="105"/>
        </w:rPr>
        <w:t> </w:t>
      </w:r>
      <w:r>
        <w:rPr>
          <w:color w:val="231F20"/>
          <w:w w:val="105"/>
        </w:rPr>
        <w:t>limb.</w:t>
      </w:r>
      <w:r>
        <w:rPr>
          <w:color w:val="231F20"/>
          <w:spacing w:val="-9"/>
          <w:w w:val="105"/>
        </w:rPr>
        <w:t> </w:t>
      </w:r>
      <w:r>
        <w:rPr>
          <w:color w:val="231F20"/>
          <w:spacing w:val="-5"/>
          <w:w w:val="105"/>
        </w:rPr>
        <w:t>The </w:t>
      </w:r>
      <w:r>
        <w:rPr>
          <w:color w:val="231F20"/>
          <w:w w:val="105"/>
        </w:rPr>
        <w:t>ascending limb, including both the thin and the thick portions,</w:t>
      </w:r>
      <w:r>
        <w:rPr>
          <w:color w:val="231F20"/>
          <w:spacing w:val="-18"/>
          <w:w w:val="105"/>
        </w:rPr>
        <w:t> </w:t>
      </w:r>
      <w:r>
        <w:rPr>
          <w:color w:val="231F20"/>
          <w:w w:val="105"/>
        </w:rPr>
        <w:t>is</w:t>
      </w:r>
      <w:r>
        <w:rPr>
          <w:color w:val="231F20"/>
          <w:spacing w:val="-17"/>
          <w:w w:val="105"/>
        </w:rPr>
        <w:t> </w:t>
      </w:r>
      <w:r>
        <w:rPr>
          <w:color w:val="231F20"/>
          <w:w w:val="105"/>
        </w:rPr>
        <w:t>virtually</w:t>
      </w:r>
      <w:r>
        <w:rPr>
          <w:color w:val="231F20"/>
          <w:spacing w:val="-17"/>
          <w:w w:val="105"/>
        </w:rPr>
        <w:t> </w:t>
      </w:r>
      <w:r>
        <w:rPr>
          <w:color w:val="231F20"/>
          <w:w w:val="105"/>
        </w:rPr>
        <w:t>impermeable</w:t>
      </w:r>
      <w:r>
        <w:rPr>
          <w:color w:val="231F20"/>
          <w:spacing w:val="-17"/>
          <w:w w:val="105"/>
        </w:rPr>
        <w:t> </w:t>
      </w:r>
      <w:r>
        <w:rPr>
          <w:color w:val="231F20"/>
          <w:w w:val="105"/>
        </w:rPr>
        <w:t>to</w:t>
      </w:r>
      <w:r>
        <w:rPr>
          <w:color w:val="231F20"/>
          <w:spacing w:val="-18"/>
          <w:w w:val="105"/>
        </w:rPr>
        <w:t> </w:t>
      </w:r>
      <w:r>
        <w:rPr>
          <w:color w:val="231F20"/>
          <w:spacing w:val="-3"/>
          <w:w w:val="105"/>
        </w:rPr>
        <w:t>water,</w:t>
      </w:r>
      <w:r>
        <w:rPr>
          <w:color w:val="231F20"/>
          <w:spacing w:val="-17"/>
          <w:w w:val="105"/>
        </w:rPr>
        <w:t> </w:t>
      </w:r>
      <w:r>
        <w:rPr>
          <w:color w:val="231F20"/>
          <w:w w:val="105"/>
        </w:rPr>
        <w:t>a</w:t>
      </w:r>
      <w:r>
        <w:rPr>
          <w:color w:val="231F20"/>
          <w:spacing w:val="-17"/>
          <w:w w:val="105"/>
        </w:rPr>
        <w:t> </w:t>
      </w:r>
      <w:r>
        <w:rPr>
          <w:color w:val="231F20"/>
          <w:w w:val="105"/>
        </w:rPr>
        <w:t>characteris- tic that is important for concentrating the</w:t>
      </w:r>
      <w:r>
        <w:rPr>
          <w:color w:val="231F20"/>
          <w:spacing w:val="19"/>
          <w:w w:val="105"/>
        </w:rPr>
        <w:t> </w:t>
      </w:r>
      <w:r>
        <w:rPr>
          <w:color w:val="231F20"/>
          <w:w w:val="105"/>
        </w:rPr>
        <w:t>urine.</w:t>
      </w:r>
    </w:p>
    <w:p>
      <w:pPr>
        <w:pStyle w:val="BodyText"/>
        <w:spacing w:line="249" w:lineRule="auto" w:before="8"/>
        <w:ind w:left="319" w:right="1437" w:firstLine="240"/>
        <w:jc w:val="both"/>
      </w:pPr>
      <w:r>
        <w:rPr>
          <w:color w:val="231F20"/>
        </w:rPr>
        <w:t>The thick segment of the loop of Henle, which begins about halfway up the ascending limb, has thick epithelial cells that have high metabolic activity and are capable </w:t>
      </w:r>
      <w:r>
        <w:rPr>
          <w:color w:val="231F20"/>
          <w:spacing w:val="-7"/>
        </w:rPr>
        <w:t>of </w:t>
      </w:r>
      <w:r>
        <w:rPr>
          <w:color w:val="231F20"/>
        </w:rPr>
        <w:t>active reabsorption of sodium, chloride, and potassium (see </w:t>
      </w:r>
      <w:hyperlink w:history="true" w:anchor="_bookmark47">
        <w:r>
          <w:rPr>
            <w:b/>
            <w:color w:val="0080AC"/>
          </w:rPr>
          <w:t>Figure 28-8</w:t>
        </w:r>
      </w:hyperlink>
      <w:r>
        <w:rPr>
          <w:color w:val="231F20"/>
        </w:rPr>
        <w:t>). About 25 percent of the filtered loads of sodium, chloride, and potassium  are  reabsorbed  in  the loop of Henle, mostly in the thick ascending limb. Considerable amounts of other ions, such as calcium, bicarbonate, and magnesium, are also reabsorbed in the thick ascending loop of Henle. The thin segment of the ascending limb has a much lower reabsorptive capacity than does the thick segment, and the thin  descending  limb does not reabsorb significant amounts of any </w:t>
      </w:r>
      <w:r>
        <w:rPr>
          <w:color w:val="231F20"/>
          <w:spacing w:val="-6"/>
        </w:rPr>
        <w:t>of  </w:t>
      </w:r>
      <w:r>
        <w:rPr>
          <w:color w:val="231F20"/>
        </w:rPr>
        <w:t>these</w:t>
      </w:r>
      <w:r>
        <w:rPr>
          <w:color w:val="231F20"/>
          <w:spacing w:val="6"/>
        </w:rPr>
        <w:t> </w:t>
      </w:r>
      <w:r>
        <w:rPr>
          <w:color w:val="231F20"/>
        </w:rPr>
        <w:t>solutes.</w:t>
      </w:r>
    </w:p>
    <w:p>
      <w:pPr>
        <w:pStyle w:val="BodyText"/>
        <w:spacing w:line="249" w:lineRule="auto" w:before="11"/>
        <w:ind w:left="319" w:right="1437" w:firstLine="240"/>
        <w:jc w:val="both"/>
      </w:pPr>
      <w:r>
        <w:rPr>
          <w:color w:val="231F20"/>
          <w:w w:val="105"/>
        </w:rPr>
        <w:t>An</w:t>
      </w:r>
      <w:r>
        <w:rPr>
          <w:color w:val="231F20"/>
          <w:spacing w:val="-13"/>
          <w:w w:val="105"/>
        </w:rPr>
        <w:t> </w:t>
      </w:r>
      <w:r>
        <w:rPr>
          <w:color w:val="231F20"/>
          <w:w w:val="105"/>
        </w:rPr>
        <w:t>important</w:t>
      </w:r>
      <w:r>
        <w:rPr>
          <w:color w:val="231F20"/>
          <w:spacing w:val="-13"/>
          <w:w w:val="105"/>
        </w:rPr>
        <w:t> </w:t>
      </w:r>
      <w:r>
        <w:rPr>
          <w:color w:val="231F20"/>
          <w:w w:val="105"/>
        </w:rPr>
        <w:t>component</w:t>
      </w:r>
      <w:r>
        <w:rPr>
          <w:color w:val="231F20"/>
          <w:spacing w:val="-12"/>
          <w:w w:val="105"/>
        </w:rPr>
        <w:t> </w:t>
      </w:r>
      <w:r>
        <w:rPr>
          <w:color w:val="231F20"/>
          <w:w w:val="105"/>
        </w:rPr>
        <w:t>of</w:t>
      </w:r>
      <w:r>
        <w:rPr>
          <w:color w:val="231F20"/>
          <w:spacing w:val="-13"/>
          <w:w w:val="105"/>
        </w:rPr>
        <w:t> </w:t>
      </w:r>
      <w:r>
        <w:rPr>
          <w:color w:val="231F20"/>
          <w:w w:val="105"/>
        </w:rPr>
        <w:t>solute</w:t>
      </w:r>
      <w:r>
        <w:rPr>
          <w:color w:val="231F20"/>
          <w:spacing w:val="-12"/>
          <w:w w:val="105"/>
        </w:rPr>
        <w:t> </w:t>
      </w:r>
      <w:r>
        <w:rPr>
          <w:color w:val="231F20"/>
          <w:w w:val="105"/>
        </w:rPr>
        <w:t>reabsorption</w:t>
      </w:r>
      <w:r>
        <w:rPr>
          <w:color w:val="231F20"/>
          <w:spacing w:val="-13"/>
          <w:w w:val="105"/>
        </w:rPr>
        <w:t> </w:t>
      </w:r>
      <w:r>
        <w:rPr>
          <w:color w:val="231F20"/>
          <w:w w:val="105"/>
        </w:rPr>
        <w:t>in</w:t>
      </w:r>
      <w:r>
        <w:rPr>
          <w:color w:val="231F20"/>
          <w:spacing w:val="-13"/>
          <w:w w:val="105"/>
        </w:rPr>
        <w:t> </w:t>
      </w:r>
      <w:r>
        <w:rPr>
          <w:color w:val="231F20"/>
          <w:w w:val="105"/>
        </w:rPr>
        <w:t>the thick ascending limb is the sodium-potassium ATPase pump</w:t>
      </w:r>
      <w:r>
        <w:rPr>
          <w:color w:val="231F20"/>
          <w:spacing w:val="-7"/>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epithelial</w:t>
      </w:r>
      <w:r>
        <w:rPr>
          <w:color w:val="231F20"/>
          <w:spacing w:val="-6"/>
          <w:w w:val="105"/>
        </w:rPr>
        <w:t> </w:t>
      </w:r>
      <w:r>
        <w:rPr>
          <w:color w:val="231F20"/>
          <w:w w:val="105"/>
        </w:rPr>
        <w:t>cell</w:t>
      </w:r>
      <w:r>
        <w:rPr>
          <w:color w:val="231F20"/>
          <w:spacing w:val="-7"/>
          <w:w w:val="105"/>
        </w:rPr>
        <w:t> </w:t>
      </w:r>
      <w:r>
        <w:rPr>
          <w:color w:val="231F20"/>
          <w:w w:val="105"/>
        </w:rPr>
        <w:t>basolateral</w:t>
      </w:r>
      <w:r>
        <w:rPr>
          <w:color w:val="231F20"/>
          <w:spacing w:val="-6"/>
          <w:w w:val="105"/>
        </w:rPr>
        <w:t> </w:t>
      </w:r>
      <w:r>
        <w:rPr>
          <w:color w:val="231F20"/>
          <w:w w:val="105"/>
        </w:rPr>
        <w:t>membranes.</w:t>
      </w:r>
      <w:r>
        <w:rPr>
          <w:color w:val="231F20"/>
          <w:spacing w:val="-6"/>
          <w:w w:val="105"/>
        </w:rPr>
        <w:t> </w:t>
      </w:r>
      <w:r>
        <w:rPr>
          <w:color w:val="231F20"/>
          <w:w w:val="105"/>
        </w:rPr>
        <w:t>As</w:t>
      </w:r>
      <w:r>
        <w:rPr>
          <w:color w:val="231F20"/>
          <w:spacing w:val="-6"/>
          <w:w w:val="105"/>
        </w:rPr>
        <w:t> in</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after="0"/>
        <w:rPr>
          <w:sz w:val="24"/>
        </w:rPr>
        <w:sectPr>
          <w:headerReference w:type="default" r:id="rId505"/>
          <w:pgSz w:w="12240" w:h="15660"/>
          <w:pgMar w:header="0" w:footer="567" w:top="0" w:bottom="760" w:left="0" w:right="0"/>
        </w:sectPr>
      </w:pPr>
    </w:p>
    <w:p>
      <w:pPr>
        <w:spacing w:line="235" w:lineRule="auto" w:before="102"/>
        <w:ind w:left="6539" w:right="0" w:firstLine="0"/>
        <w:jc w:val="center"/>
        <w:rPr>
          <w:rFonts w:ascii="Helvetica"/>
          <w:sz w:val="16"/>
        </w:rPr>
      </w:pPr>
      <w:r>
        <w:rPr/>
        <w:pict>
          <v:group style="position:absolute;margin-left:72.282623pt;margin-top:5.006546pt;width:212.9pt;height:117.5pt;mso-position-horizontal-relative:page;mso-position-vertical-relative:paragraph;z-index:252106752" coordorigin="1446,100" coordsize="4258,2350">
            <v:shape style="position:absolute;left:1814;top:134;width:3890;height:2278" type="#_x0000_t75" stroked="false">
              <v:imagedata r:id="rId506" o:title=""/>
            </v:shape>
            <v:shape style="position:absolute;left:2287;top:148;width:272;height:215" type="#_x0000_t75" stroked="false">
              <v:imagedata r:id="rId507" o:title=""/>
            </v:shape>
            <v:shape style="position:absolute;left:2054;top:521;width:154;height:215" type="#_x0000_t75" stroked="false">
              <v:imagedata r:id="rId508" o:title=""/>
            </v:shape>
            <v:shape style="position:absolute;left:2428;top:654;width:162;height:322" type="#_x0000_t75" stroked="false">
              <v:imagedata r:id="rId509" o:title=""/>
            </v:shape>
            <v:shape style="position:absolute;left:1448;top:139;width:514;height:973" coordorigin="1448,139" coordsize="514,973" path="m1595,174l1574,175,1539,181,1508,196,1483,217,1463,244,1451,279,1448,318,1455,358,1472,396,1505,438,1557,485,1622,536,1720,608,1749,641,1765,678,1770,709,1771,722,1771,1018,1777,1054,1790,1084,1811,1104,1835,1111,1859,1104,1879,1084,1892,1054,1897,1018,1897,722,1895,693,1883,637,1853,569,1795,506,1725,455,1666,411,1612,367,1581,333,1577,320,1580,309,1590,303,1718,303,1754,285,1767,277,1780,273,1880,273,1962,203,1943,202,1922,195,1898,184,1897,183,1659,183,1642,181,1629,178,1613,175,1595,174xm1880,273l1780,273,1792,274,1803,278,1810,289,1814,303,1814,304,1815,318,1815,329,1880,273xm1718,303l1590,303,1606,303,1638,310,1676,311,1716,304,1718,303xm1774,139l1732,150,1696,170,1685,176,1673,181,1659,183,1897,183,1871,167,1820,143,1774,139xe" filled="true" fillcolor="#ffd768" stroked="false">
              <v:path arrowok="t"/>
              <v:fill type="solid"/>
            </v:shape>
            <v:shape style="position:absolute;left:1448;top:139;width:514;height:973" coordorigin="1448,139" coordsize="514,973" path="m1795,506l1725,455,1666,411,1612,367,1577,320,1580,309,1590,303,1606,303,1638,310,1676,311,1716,304,1754,285,1767,277,1780,273,1815,318,1815,329,1962,203,1943,202,1922,195,1898,184,1871,167,1820,143,1774,139,1732,150,1696,170,1685,176,1673,181,1659,183,1642,181,1629,178,1613,175,1595,174,1574,175,1539,181,1483,217,1451,279,1448,318,1455,358,1505,438,1557,485,1622,536,1696,590,1720,608,1749,641,1765,678,1770,709,1771,722,1771,1018,1777,1054,1790,1084,1811,1104,1835,1111,1859,1104,1879,1084,1892,1054,1897,1018,1897,722,1895,693,1883,637,1853,569,1795,506xe" filled="false" stroked="true" strokeweight=".25pt" strokecolor="#b7705b">
              <v:path arrowok="t"/>
              <v:stroke dashstyle="solid"/>
            </v:shape>
            <v:shape style="position:absolute;left:1698;top:151;width:96;height:43" type="#_x0000_t75" stroked="false">
              <v:imagedata r:id="rId510" o:title=""/>
            </v:shape>
            <v:shape style="position:absolute;left:1460;top:186;width:186;height:208" type="#_x0000_t75" stroked="false">
              <v:imagedata r:id="rId511" o:title=""/>
            </v:shape>
            <v:shape style="position:absolute;left:2296;top:1277;width:82;height:118" coordorigin="2297,1277" coordsize="82,118" path="m2350,1277l2306,1322,2297,1367,2301,1384,2311,1394,2326,1395,2341,1387,2356,1372,2369,1350,2377,1327,2378,1305,2374,1288,2364,1278,2350,1277xe" filled="true" fillcolor="#ffedb3" stroked="false">
              <v:path arrowok="t"/>
              <v:fill type="solid"/>
            </v:shape>
            <v:shape style="position:absolute;left:2296;top:1277;width:82;height:118" coordorigin="2297,1277" coordsize="82,118" path="m2364,1278l2374,1288,2378,1305,2377,1327,2369,1350,2356,1372,2341,1387,2326,1395,2311,1394,2301,1384,2297,1367,2299,1345,2306,1322,2319,1300,2334,1285,2350,1277,2364,1278xe" filled="false" stroked="true" strokeweight=".25pt" strokecolor="#b7705b">
              <v:path arrowok="t"/>
              <v:stroke dashstyle="solid"/>
            </v:shape>
            <v:shape style="position:absolute;left:2314;top:1298;width:47;height:76" coordorigin="2315,1298" coordsize="47,76" path="m2355,1298l2315,1358,2316,1368,2321,1374,2328,1374,2361,1314,2360,1304,2355,1298xe" filled="true" fillcolor="#e9cd86" stroked="false">
              <v:path arrowok="t"/>
              <v:fill type="solid"/>
            </v:shape>
            <v:shape style="position:absolute;left:2314;top:1298;width:47;height:76" coordorigin="2315,1298" coordsize="47,76" path="m2355,1298l2360,1304,2361,1314,2359,1328,2321,1374,2316,1368,2315,1358,2317,1344,2355,1298xe" filled="false" stroked="true" strokeweight=".25pt" strokecolor="#b7705b">
              <v:path arrowok="t"/>
              <v:stroke dashstyle="solid"/>
            </v:shape>
            <v:shape style="position:absolute;left:2394;top:2378;width:144;height:69" coordorigin="2395,2378" coordsize="144,69" path="m2466,2378l2438,2381,2416,2389,2400,2400,2395,2413,2400,2426,2416,2437,2439,2445,2466,2447,2494,2444,2517,2437,2532,2426,2538,2413,2532,2399,2517,2388,2494,2381,2466,2378xe" filled="true" fillcolor="#ffedb3" stroked="false">
              <v:path arrowok="t"/>
              <v:fill type="solid"/>
            </v:shape>
            <v:shape style="position:absolute;left:2394;top:2378;width:144;height:69" coordorigin="2395,2378" coordsize="144,69" path="m2538,2413l2532,2426,2517,2437,2494,2444,2466,2447,2439,2445,2416,2437,2400,2426,2395,2413,2400,2400,2416,2389,2438,2381,2466,2378,2494,2381,2517,2388,2532,2399,2538,2413xe" filled="false" stroked="true" strokeweight=".25pt" strokecolor="#b7705b">
              <v:path arrowok="t"/>
              <v:stroke dashstyle="solid"/>
            </v:shape>
            <v:shape style="position:absolute;left:2419;top:2395;width:94;height:35" coordorigin="2420,2396" coordsize="94,35" path="m2466,2396l2448,2397,2433,2401,2423,2406,2420,2413,2423,2420,2433,2425,2448,2429,2466,2430,2485,2429,2499,2425,2509,2419,2513,2413,2509,2406,2499,2401,2485,2397,2466,2396xe" filled="true" fillcolor="#e9cd86" stroked="false">
              <v:path arrowok="t"/>
              <v:fill type="solid"/>
            </v:shape>
            <v:shape style="position:absolute;left:2419;top:2395;width:94;height:35" coordorigin="2420,2396" coordsize="94,35" path="m2513,2413l2509,2419,2499,2425,2485,2429,2466,2430,2448,2429,2433,2425,2423,2420,2420,2413,2423,2406,2433,2401,2448,2397,2466,2396,2485,2397,2499,2401,2509,2406,2513,2413xe" filled="false" stroked="true" strokeweight=".25pt" strokecolor="#b7705b">
              <v:path arrowok="t"/>
              <v:stroke dashstyle="solid"/>
            </v:shape>
            <v:shape style="position:absolute;left:2924;top:332;width:71;height:126" coordorigin="2924,332" coordsize="71,126" path="m2970,332l2926,389,2924,414,2928,435,2937,451,2949,458,2963,455,2976,443,2987,425,2994,401,2995,376,2991,355,2983,340,2970,332xe" filled="true" fillcolor="#ffedb3" stroked="false">
              <v:path arrowok="t"/>
              <v:fill type="solid"/>
            </v:shape>
            <v:shape style="position:absolute;left:2924;top:332;width:71;height:126" coordorigin="2924,332" coordsize="71,126" path="m2970,332l2983,340,2991,355,2995,376,2994,401,2987,425,2976,443,2963,455,2949,458,2937,451,2928,435,2924,414,2926,389,2932,365,2943,347,2956,335,2970,332xe" filled="false" stroked="true" strokeweight=".25pt" strokecolor="#b7705b">
              <v:path arrowok="t"/>
              <v:stroke dashstyle="solid"/>
            </v:shape>
            <v:shape style="position:absolute;left:2941;top:354;width:37;height:82" coordorigin="2941,354" coordsize="37,82" path="m2967,354l2941,408,2943,422,2947,432,2953,436,2960,434,2967,426,2972,414,2976,398,2978,382,2976,368,2973,359,2967,354xe" filled="true" fillcolor="#e9cd86" stroked="false">
              <v:path arrowok="t"/>
              <v:fill type="solid"/>
            </v:shape>
            <v:shape style="position:absolute;left:2941;top:354;width:37;height:82" coordorigin="2941,354" coordsize="37,82" path="m2967,354l2973,359,2976,368,2978,382,2976,398,2972,414,2967,426,2960,434,2953,436,2947,432,2943,422,2941,408,2943,392,2947,377,2953,364,2959,356,2967,354xe" filled="false" stroked="true" strokeweight=".25pt" strokecolor="#b7705b">
              <v:path arrowok="t"/>
              <v:stroke dashstyle="solid"/>
            </v:shape>
            <v:shape style="position:absolute;left:2564;top:1161;width:76;height:121" coordorigin="2564,1161" coordsize="76,121" path="m2582,1161l2571,1170,2565,1187,2564,1208,2570,1232,2580,1255,2594,1272,2608,1281,2623,1282,2634,1273,2640,1256,2640,1235,2635,1211,2625,1188,2611,1171,2596,1162,2582,1161xe" filled="true" fillcolor="#ffedb3" stroked="false">
              <v:path arrowok="t"/>
              <v:fill type="solid"/>
            </v:shape>
            <v:shape style="position:absolute;left:2564;top:1161;width:76;height:121" coordorigin="2564,1161" coordsize="76,121" path="m2582,1161l2635,1211,2640,1235,2640,1256,2634,1273,2623,1282,2608,1281,2594,1272,2580,1255,2570,1232,2564,1208,2565,1187,2571,1170,2582,1161xe" filled="false" stroked="true" strokeweight=".25pt" strokecolor="#b7705b">
              <v:path arrowok="t"/>
              <v:stroke dashstyle="solid"/>
            </v:shape>
            <v:shape style="position:absolute;left:2581;top:1182;width:42;height:79" coordorigin="2582,1182" coordsize="42,79" path="m2589,1182l2584,1187,2582,1198,2582,1211,2616,1261,2621,1256,2623,1245,2622,1232,2589,1182xe" filled="true" fillcolor="#e9cd86" stroked="false">
              <v:path arrowok="t"/>
              <v:fill type="solid"/>
            </v:shape>
            <v:shape style="position:absolute;left:2581;top:1182;width:42;height:79" coordorigin="2582,1182" coordsize="42,79" path="m2589,1182l2623,1245,2621,1256,2616,1261,2608,1260,2582,1198,2584,1187,2589,1182xe" filled="false" stroked="true" strokeweight=".25pt" strokecolor="#b7705b">
              <v:path arrowok="t"/>
              <v:stroke dashstyle="solid"/>
            </v:shape>
            <v:shape style="position:absolute;left:1818;top:217;width:320;height:319" type="#_x0000_t75" stroked="false">
              <v:imagedata r:id="rId512" o:title=""/>
            </v:shape>
            <v:shape style="position:absolute;left:1860;top:264;width:235;height:248" coordorigin="1861,264" coordsize="235,248" path="m2054,474l1927,474,1935,483,1938,489,1948,501,1960,509,1973,512,1986,511,2001,508,2013,498,2029,480,2037,480,2049,478,2054,474xm2037,480l2029,480,2036,480,2037,480xm1939,264l1917,267,1898,275,1887,284,1881,296,1879,308,1879,313,1879,324,1882,341,1885,356,1887,366,1881,372,1867,391,1861,414,1862,437,1873,458,1885,468,1897,473,1910,476,1923,475,1927,474,2054,474,2060,471,2062,467,1975,467,1961,463,1972,456,1981,448,1985,440,1922,440,1906,437,1895,425,1896,406,1905,397,1917,381,1922,363,1924,345,1922,330,1918,306,1922,303,1924,303,1925,302,1934,300,2085,300,2075,289,2064,283,1993,283,1983,276,1962,267,1939,264xm2093,316l2054,316,2057,317,2060,319,2062,323,2064,332,2062,342,2056,351,2048,358,2037,370,2033,384,2033,397,2035,409,2036,417,2036,421,2032,437,2032,437,2027,444,2017,453,2005,460,1990,465,1975,467,2062,467,2067,459,2069,444,2069,427,2070,414,2069,406,2069,402,2066,388,2069,386,2087,366,2096,344,2096,323,2093,316xm2085,300l1934,300,1945,301,1955,303,1965,308,1974,313,1985,317,1997,320,2010,321,1989,343,1972,371,1960,400,1955,423,1954,427,1949,431,1939,435,1938,435,1922,440,1985,440,1987,438,1990,427,1996,403,2008,378,2023,357,2037,345,2038,344,2040,344,2041,344,2043,344,2045,344,2053,340,2058,334,2058,322,2056,319,2054,316,2093,316,2088,304,2085,300xm2039,277l2014,280,2008,281,1993,283,2064,283,2059,280,2039,277xe" filled="true" fillcolor="#d04e59" stroked="false">
              <v:path arrowok="t"/>
              <v:fill type="solid"/>
            </v:shape>
            <v:shape style="position:absolute;left:-45;top:14558;width:235;height:248" coordorigin="-44,14559" coordsize="235,248" path="m1905,397l1917,381,1922,363,1924,345,1922,330,1918,306,1918,306,1921,304,1922,303,1924,303,1925,302,1934,300,1945,301,1955,303,1965,308,1974,313,1985,317,1997,320,2010,321,1989,343,1972,371,1960,400,1955,423,1954,427,1949,431,1941,434,1940,435,1939,435,1938,435,1922,440,1906,437,1902,432,1895,425,1896,406,1905,397xm1961,463l1972,456,1981,448,1987,438,1990,427,1996,403,2008,378,2023,357,2037,345,2038,344,2040,344,2041,344,2043,344,2045,344,2046,343,2053,340,2058,334,2058,326,2058,322,2056,319,2054,316,2057,317,2060,319,2062,323,2064,332,2062,342,2056,351,2048,358,2037,370,2033,384,2033,397,2035,409,2036,417,2036,421,2034,428,2032,437,2027,444,2017,453,2005,460,1990,465,1975,467,1961,463xm2088,304l2075,289,2059,280,2039,277,2014,280,2008,281,1993,283,1983,276,1962,267,1939,264,1917,267,1898,275,1887,284,1881,296,1879,309,1879,324,1882,341,1885,356,1887,366,1881,372,1867,391,1861,414,1862,437,1873,458,1885,468,1897,473,1910,476,1923,475,1927,474,1935,483,1938,489,1948,501,1960,509,1973,512,1986,511,2001,508,2013,498,2019,490,2023,486,2029,480,2036,480,2049,478,2060,471,2067,459,2069,443,2068,432,2069,421,2070,411,2069,402,2066,388,2067,387,2069,386,2087,366,2096,344,2096,323,2088,304xe" filled="false" stroked="true" strokeweight=".25pt" strokecolor="#231f20">
              <v:path arrowok="t"/>
              <v:stroke dashstyle="solid"/>
            </v:shape>
            <v:shape style="position:absolute;left:2032;top:440;width:37;height:39" type="#_x0000_t75" stroked="false">
              <v:imagedata r:id="rId513" o:title=""/>
            </v:shape>
            <v:shape style="position:absolute;left:1850;top:241;width:364;height:259" type="#_x0000_t75" stroked="false">
              <v:imagedata r:id="rId514" o:title=""/>
            </v:shape>
            <v:shape style="position:absolute;left:1927;top:448;width:44;height:49" type="#_x0000_t75" stroked="false">
              <v:imagedata r:id="rId515" o:title=""/>
            </v:shape>
            <v:shape style="position:absolute;left:1954;top:288;width:32;height:49" type="#_x0000_t75" stroked="false">
              <v:imagedata r:id="rId516" o:title=""/>
            </v:shape>
            <v:shape style="position:absolute;left:1845;top:306;width:195;height:175" coordorigin="1845,306" coordsize="195,175" path="m1952,435l1906,435,1912,446,1925,458,1929,461,1933,465,1945,472,1960,479,1978,480,2000,473,2021,457,2031,444,1972,444,1964,442,1952,435xm2007,372l2000,375,1995,377,1992,383,1995,393,1999,405,2001,416,2001,421,1998,431,1972,444,2031,444,2034,440,2039,423,2040,407,2037,395,2032,386,2025,378,2015,374,2007,372xm1884,365l1870,367,1858,373,1850,381,1845,394,1845,408,1849,420,1856,430,1865,436,1874,439,1885,439,1896,437,1906,435,1952,435,1950,434,1947,430,1944,428,1935,419,1923,410,1922,410,1881,410,1880,400,1942,400,1955,396,1965,392,1973,387,1987,371,1988,369,1917,369,1898,367,1884,365xm1907,404l1890,406,1881,410,1922,410,1907,404xm1942,400l1880,400,1889,401,1908,403,1926,402,1942,400,1942,400xm2004,306l1986,309,1973,318,1966,329,1961,340,1956,353,1953,356,1945,363,1933,367,1917,369,1988,369,1992,360,1996,343,1994,340,1997,340,2004,306xm1997,340l1994,340,1997,340,1997,340xe" filled="true" fillcolor="#f15b66" stroked="false">
              <v:path arrowok="t"/>
              <v:fill type="solid"/>
            </v:shape>
            <v:shape style="position:absolute;left:1845;top:306;width:195;height:175" coordorigin="1845,306" coordsize="195,175" path="m2004,306l1959,346,1956,353,1953,356,1945,363,1933,367,1917,369,1898,367,1884,365,1845,408,1849,420,1856,430,1865,436,1874,439,1885,439,1896,437,1906,435,1912,446,1978,480,2000,473,2021,457,2034,440,2039,423,2040,407,2037,395,2032,386,2025,378,2015,374,2007,372,2000,375,1995,377,1992,383,1995,393,1999,405,2001,416,2001,421,1998,431,1984,438,1972,444,1964,442,1951,434,1950,434,1947,431,1944,428,1935,419,1923,410,1907,404,1890,406,1881,410,1880,400,1889,401,1908,403,1926,402,1979,380,1987,371,1992,360,1994,352,1996,343,1994,340,1997,340e" filled="false" stroked="true" strokeweight=".25pt" strokecolor="#231f20">
              <v:path arrowok="t"/>
              <v:stroke dashstyle="solid"/>
            </v:shape>
            <v:shape style="position:absolute;left:2005;top:406;width:9;height:15" coordorigin="2006,406" coordsize="9,15" path="m2007,415l2006,415,2006,421,2007,415xm2008,412l2007,412,2007,415,2008,412xm2014,406l2008,411,2008,412,2012,410,2013,409,2015,408,2014,406xe" filled="true" fillcolor="#f15b66" stroked="false">
              <v:path arrowok="t"/>
              <v:fill type="solid"/>
            </v:shape>
            <v:shape style="position:absolute;left:2005;top:406;width:9;height:15" coordorigin="2006,406" coordsize="9,15" path="m2012,408l2014,406,2015,408,2013,409,2012,410,2007,412,2006,421,2006,415,2008,411,2012,408xe" filled="false" stroked="true" strokeweight=".25pt" strokecolor="#231f20">
              <v:path arrowok="t"/>
              <v:stroke dashstyle="solid"/>
            </v:shape>
            <v:shape style="position:absolute;left:-19;top:14604;width:93;height:88" coordorigin="-19,14604" coordsize="93,88" path="m1960,426l1956,421,1949,416,1945,415,1942,414,1943,411,1945,413,1947,415,1950,417,1954,420m2032,339l2032,345,2034,359,2020,375e" filled="false" stroked="true" strokeweight=".25pt" strokecolor="#231f20">
              <v:path arrowok="t"/>
              <v:stroke dashstyle="solid"/>
            </v:shape>
            <v:shape style="position:absolute;left:1949;top:347;width:43;height:48" type="#_x0000_t75" stroked="false">
              <v:imagedata r:id="rId517" o:title=""/>
            </v:shape>
            <v:shape style="position:absolute;left:2090;top:355;width:20;height:51" type="#_x0000_t75" stroked="false">
              <v:imagedata r:id="rId518" o:title=""/>
            </v:shape>
            <v:shape style="position:absolute;left:2017;top:288;width:51;height:167" type="#_x0000_t75" stroked="false">
              <v:imagedata r:id="rId519" o:title=""/>
            </v:shape>
            <v:shape style="position:absolute;left:1802;top:200;width:353;height:353" coordorigin="1802,201" coordsize="353,353" path="m1987,201l1933,205,1888,222,1852,249,1826,285,1807,331,1802,385,1816,445,1843,490,1881,524,1927,546,1979,554,1988,553,1995,546,1995,529,1988,521,1979,521,1937,515,1899,497,1868,469,1846,432,1835,376,1846,322,1877,276,1924,245,1980,234,2079,234,2075,231,2045,215,1987,201xm1988,521l1979,521,1988,521,1988,521xm2079,234l1980,234,2034,245,2080,275,2112,323,2116,336,2120,350,2122,364,2122,376,2122,388,2130,395,2147,395,2155,388,2155,376,2154,361,2151,344,2147,327,2141,310,2124,279,2102,252,2079,234xe" filled="true" fillcolor="#ffe293" stroked="false">
              <v:path arrowok="t"/>
              <v:fill type="solid"/>
            </v:shape>
            <v:shape style="position:absolute;left:1802;top:200;width:353;height:353" coordorigin="1802,201" coordsize="353,353" path="m1852,249l1826,285,1807,331,1802,385,1816,445,1843,490,1881,524,1927,546,1979,554,1988,553,1995,546,1995,537,1995,529,1988,521,1979,521,1937,515,1899,497,1868,469,1846,432,1835,376,1846,322,1877,276,1924,245,1980,234,2034,245,2112,323,2123,379,2122,388,2130,395,2138,395,2147,395,2155,388,2155,379,2154,361,2124,279,2075,231,1987,201,1933,205,1888,222,1852,249xe" filled="false" stroked="true" strokeweight=".25pt" strokecolor="#b7705b">
              <v:path arrowok="t"/>
              <v:stroke dashstyle="solid"/>
            </v:shape>
            <v:shape style="position:absolute;left:1970;top:377;width:104;height:248" coordorigin="1971,377" coordsize="104,248" path="m1995,377l1980,390,1972,408,1971,429,1976,453,2011,498,2020,505,2029,514,2035,526,2040,544,2038,559,2031,573,2016,589,2004,600,2029,625,2041,613,2061,589,2073,565,2075,539,2067,512,2058,496,2046,483,2035,472,2027,465,2020,459,2015,455,2007,434,2005,427,2006,421,1995,377xe" filled="true" fillcolor="#f15b66" stroked="false">
              <v:path arrowok="t"/>
              <v:fill type="solid"/>
            </v:shape>
            <v:shape style="position:absolute;left:1970;top:377;width:104;height:248" coordorigin="1971,377" coordsize="104,248" path="m1995,377l1980,390,1972,408,1971,429,1976,453,2011,498,2020,505,2029,514,2035,526,2040,544,2038,559,2031,573,2016,589,2004,600,2029,625,2041,613,2061,589,2073,565,2075,539,2067,512,2058,496,2046,483,2035,472,2027,465,2020,459,2015,455,2009,441,2007,434,2005,427,2006,421e" filled="false" stroked="true" strokeweight=".25pt" strokecolor="#231f20">
              <v:path arrowok="t"/>
              <v:stroke dashstyle="solid"/>
            </v:shape>
            <v:shape style="position:absolute;left:2035;top:488;width:37;height:122" type="#_x0000_t75" stroked="false">
              <v:imagedata r:id="rId520" o:title=""/>
            </v:shape>
            <v:shape style="position:absolute;left:3359;top:100;width:1194;height:365" type="#_x0000_t202" filled="false" stroked="false">
              <v:textbox inset="0,0,0,0">
                <w:txbxContent>
                  <w:p>
                    <w:pPr>
                      <w:spacing w:line="235" w:lineRule="auto" w:before="2"/>
                      <w:ind w:left="115" w:right="0" w:hanging="116"/>
                      <w:jc w:val="left"/>
                      <w:rPr>
                        <w:rFonts w:ascii="Helvetica"/>
                        <w:sz w:val="16"/>
                      </w:rPr>
                    </w:pPr>
                    <w:r>
                      <w:rPr>
                        <w:rFonts w:ascii="Helvetica"/>
                        <w:color w:val="231F20"/>
                        <w:sz w:val="16"/>
                      </w:rPr>
                      <w:t>Thin descending loop of Henle</w:t>
                    </w:r>
                  </w:p>
                </w:txbxContent>
              </v:textbox>
              <w10:wrap type="none"/>
            </v:shape>
            <v:shape style="position:absolute;left:4893;top:1190;width:327;height:212" type="#_x0000_t202" filled="false" stroked="false">
              <v:textbox inset="0,0,0,0">
                <w:txbxContent>
                  <w:p>
                    <w:pPr>
                      <w:spacing w:before="4"/>
                      <w:ind w:left="0" w:right="0" w:firstLine="0"/>
                      <w:jc w:val="left"/>
                      <w:rPr>
                        <w:rFonts w:ascii="Helvetica"/>
                        <w:b/>
                        <w:sz w:val="16"/>
                      </w:rPr>
                    </w:pPr>
                    <w:r>
                      <w:rPr>
                        <w:rFonts w:ascii="Helvetica"/>
                        <w:b/>
                        <w:color w:val="231F20"/>
                        <w:sz w:val="16"/>
                      </w:rPr>
                      <w:t>H</w:t>
                    </w:r>
                    <w:r>
                      <w:rPr>
                        <w:rFonts w:ascii="Helvetica"/>
                        <w:b/>
                        <w:color w:val="231F20"/>
                        <w:sz w:val="16"/>
                        <w:vertAlign w:val="subscript"/>
                      </w:rPr>
                      <w:t>2</w:t>
                    </w:r>
                    <w:r>
                      <w:rPr>
                        <w:rFonts w:ascii="Helvetica"/>
                        <w:b/>
                        <w:color w:val="231F20"/>
                        <w:sz w:val="16"/>
                        <w:vertAlign w:val="baseline"/>
                      </w:rPr>
                      <w:t>O</w:t>
                    </w:r>
                  </w:p>
                </w:txbxContent>
              </v:textbox>
              <w10:wrap type="none"/>
            </v:shape>
            <w10:wrap type="none"/>
          </v:group>
        </w:pict>
      </w:r>
      <w:r>
        <w:rPr/>
        <w:pict>
          <v:group style="position:absolute;margin-left:343.036469pt;margin-top:6.334222pt;width:181.8pt;height:181.75pt;mso-position-horizontal-relative:page;mso-position-vertical-relative:paragraph;z-index:-273297408" coordorigin="6861,127" coordsize="3636,3635">
            <v:shape style="position:absolute;left:7329;top:145;width:2706;height:777" coordorigin="7329,145" coordsize="2706,777" path="m10035,145l7329,148,7329,560,7342,624,7378,677,7430,712,7494,725,9069,725,9099,726,9174,734,9273,755,9374,795,9438,828,9517,863,9604,894,9692,916,9774,922,9837,914,9895,896,9947,864,9990,817,10020,752,10035,668,10035,145xe" filled="true" fillcolor="#feede3" stroked="false">
              <v:path arrowok="t"/>
              <v:fill type="solid"/>
            </v:shape>
            <v:shape style="position:absolute;left:7329;top:145;width:2706;height:777" coordorigin="7329,145" coordsize="2706,777" path="m10035,668l10020,752,9990,817,9947,864,9895,896,9837,914,9774,922,9692,916,9604,894,9517,863,9438,828,9374,795,9273,755,9174,734,9099,726,9069,725,7494,725,7430,712,7378,677,7342,624,7329,560,7329,148,10035,145,10035,668xe" filled="false" stroked="true" strokeweight=".75pt" strokecolor="#f89b5c">
              <v:path arrowok="t"/>
              <v:stroke dashstyle="solid"/>
            </v:shape>
            <v:shape style="position:absolute;left:7329;top:971;width:2706;height:2782" coordorigin="7329,971" coordsize="2706,2782" path="m9774,971l9692,978,9604,999,9517,1031,9438,1066,9374,1098,9298,1139,9241,1160,9174,1167,9069,1168,7494,1168,7430,1181,7378,1217,7342,1269,7329,1333,7329,3391,7342,3455,7378,3508,7430,3543,7494,3556,9069,3556,9099,3557,9174,3565,9273,3586,9374,3626,9438,3659,9517,3694,9604,3726,9692,3747,9774,3753,9837,3745,9895,3727,9947,3695,9990,3648,10020,3584,10035,3499,10035,1226,10020,1141,9990,1076,9947,1029,9895,998,9837,979,9774,971xe" filled="true" fillcolor="#feede3" stroked="false">
              <v:path arrowok="t"/>
              <v:fill type="solid"/>
            </v:shape>
            <v:shape style="position:absolute;left:7329;top:971;width:2706;height:2782" coordorigin="7329,971" coordsize="2706,2782" path="m10035,3499l10020,3584,9990,3648,9947,3695,9895,3727,9837,3745,9774,3753,9692,3747,9604,3726,9517,3694,9438,3659,9374,3626,9273,3586,9174,3565,9099,3557,9069,3556,7494,3556,7430,3543,7378,3508,7342,3455,7329,3391,7329,1333,7342,1269,7378,1217,7430,1181,7494,1168,9069,1168,9174,1167,9241,1160,9298,1139,9374,1098,9438,1066,9517,1031,9604,999,9692,978,9774,971,9837,979,9895,998,9947,1029,9990,1076,10020,1141,10035,1226,10035,3499xe" filled="false" stroked="true" strokeweight=".75pt" strokecolor="#f89b5c">
              <v:path arrowok="t"/>
              <v:stroke dashstyle="solid"/>
            </v:shape>
            <v:shape style="position:absolute;left:9952;top:3083;width:161;height:146" type="#_x0000_t75" stroked="false">
              <v:imagedata r:id="rId521" o:title=""/>
            </v:shape>
            <v:shape style="position:absolute;left:9957;top:3063;width:156;height:186" coordorigin="9957,3063" coordsize="156,186" path="m10113,3209l9957,3209,9957,3249,10113,3249,10113,3209m10113,3063l9957,3063,9957,3103,10113,3103,10113,3063e" filled="true" fillcolor="#e2874a" stroked="false">
              <v:path arrowok="t"/>
              <v:fill type="solid"/>
            </v:shape>
            <v:shape style="position:absolute;left:7247;top:2411;width:161;height:146" type="#_x0000_t75" stroked="false">
              <v:imagedata r:id="rId522" o:title=""/>
            </v:shape>
            <v:shape style="position:absolute;left:7247;top:2391;width:156;height:186" coordorigin="7247,2392" coordsize="156,186" path="m7403,2538l7247,2538,7247,2578,7403,2578,7403,2538m7403,2392l7247,2392,7247,2432,7403,2432,7403,2392e" filled="true" fillcolor="#e2874a" stroked="false">
              <v:path arrowok="t"/>
              <v:fill type="solid"/>
            </v:shape>
            <v:shape style="position:absolute;left:7247;top:3083;width:161;height:146" type="#_x0000_t75" stroked="false">
              <v:imagedata r:id="rId523" o:title=""/>
            </v:shape>
            <v:shape style="position:absolute;left:9387;top:2295;width:180;height:117" type="#_x0000_t75" stroked="false">
              <v:imagedata r:id="rId524" o:title=""/>
            </v:shape>
            <v:line style="position:absolute" from="10458,2353" to="9520,2353" stroked="true" strokeweight="1.5pt" strokecolor="#f0535f">
              <v:stroke dashstyle="solid"/>
            </v:line>
            <v:shape style="position:absolute;left:9387;top:2749;width:180;height:117" type="#_x0000_t75" stroked="false">
              <v:imagedata r:id="rId525" o:title=""/>
            </v:shape>
            <v:line style="position:absolute" from="10458,2808" to="9520,2808" stroked="true" strokeweight="1.5pt" strokecolor="#f0535f">
              <v:stroke dashstyle="solid"/>
            </v:line>
            <v:shape style="position:absolute;left:9387;top:2519;width:180;height:117" type="#_x0000_t75" stroked="false">
              <v:imagedata r:id="rId526" o:title=""/>
            </v:shape>
            <v:shape style="position:absolute;left:6949;top:887;width:180;height:117" type="#_x0000_t75" stroked="false">
              <v:imagedata r:id="rId527" o:title=""/>
            </v:shape>
            <v:line style="position:absolute" from="10148,946" to="7055,946" stroked="true" strokeweight="1.5pt" strokecolor="#231f20">
              <v:stroke dashstyle="shortdash"/>
            </v:line>
            <v:shape style="position:absolute;left:6860;top:1578;width:180;height:117" type="#_x0000_t75" stroked="false">
              <v:imagedata r:id="rId528" o:title=""/>
            </v:shape>
            <v:line style="position:absolute" from="7655,1636" to="6992,1636" stroked="true" strokeweight="1.5pt" strokecolor="#231f20">
              <v:stroke dashstyle="solid"/>
            </v:line>
            <v:shape style="position:absolute;left:7584;top:1907;width:180;height:117" type="#_x0000_t75" stroked="false">
              <v:imagedata r:id="rId529" o:title=""/>
            </v:shape>
            <v:line style="position:absolute" from="6944,1966" to="7647,1966" stroked="true" strokeweight="1.5pt" strokecolor="#231f20">
              <v:stroke dashstyle="solid"/>
            </v:line>
            <v:shape style="position:absolute;left:7144;top:1622;width:357;height:358" type="#_x0000_t75" stroked="false">
              <v:imagedata r:id="rId530" o:title=""/>
            </v:shape>
            <v:shape style="position:absolute;left:6880;top:2428;width:180;height:117" type="#_x0000_t75" stroked="false">
              <v:imagedata r:id="rId531" o:title=""/>
            </v:shape>
            <v:line style="position:absolute" from="7772,2486" to="7012,2486" stroked="true" strokeweight="1.5pt" strokecolor="#231f20">
              <v:stroke dashstyle="shortdash"/>
            </v:line>
            <v:shape style="position:absolute;left:6880;top:3102;width:180;height:117" type="#_x0000_t75" stroked="false">
              <v:imagedata r:id="rId532" o:title=""/>
            </v:shape>
            <v:shape style="position:absolute;left:10251;top:3098;width:180;height:117" type="#_x0000_t75" stroked="false">
              <v:imagedata r:id="rId533" o:title=""/>
            </v:shape>
            <v:shape style="position:absolute;left:7011;top:2609;width:3302;height:552" coordorigin="7012,2610" coordsize="3302,552" path="m7012,3161l8032,3161,8564,2610,9128,3158,10313,3158e" filled="false" stroked="true" strokeweight="1.5pt" strokecolor="#231f20">
              <v:path arrowok="t"/>
              <v:stroke dashstyle="shortdash"/>
            </v:shape>
            <v:shape style="position:absolute;left:9534;top:1511;width:180;height:117" type="#_x0000_t75" stroked="false">
              <v:imagedata r:id="rId534" o:title=""/>
            </v:shape>
            <v:line style="position:absolute" from="10349,1570" to="9667,1570" stroked="true" strokeweight="1.5pt" strokecolor="#231f20">
              <v:stroke dashstyle="solid"/>
            </v:line>
            <v:shape style="position:absolute;left:10317;top:1840;width:180;height:117" type="#_x0000_t75" stroked="false">
              <v:imagedata r:id="rId535" o:title=""/>
            </v:shape>
            <v:shape style="position:absolute;left:9857;top:1555;width:357;height:358" type="#_x0000_t75" stroked="false">
              <v:imagedata r:id="rId536" o:title=""/>
            </v:shape>
            <v:shape style="position:absolute;left:9799;top:2342;width:472;height:472" coordorigin="9800,2343" coordsize="472,472" path="m10036,2343l9961,2355,9897,2388,9845,2439,9812,2504,9800,2579,9812,2653,9845,2718,9897,2769,9961,2802,10036,2814,10110,2802,10175,2769,10226,2718,10260,2653,10272,2579,10260,2504,10226,2439,10175,2388,10110,2355,10036,2343xe" filled="true" fillcolor="#fabfba" stroked="false">
              <v:path arrowok="t"/>
              <v:fill type="solid"/>
            </v:shape>
            <v:shape style="position:absolute;left:9799;top:2342;width:472;height:472" coordorigin="9800,2343" coordsize="472,472" path="m10272,2579l10260,2653,10226,2718,10175,2769,10110,2802,10036,2814,9961,2802,9897,2769,9845,2718,9812,2653,9800,2579,9812,2504,9845,2439,9897,2388,9961,2355,10036,2343,10110,2355,10175,2388,10226,2439,10260,2504,10272,2579xe" filled="false" stroked="true" strokeweight=".75pt" strokecolor="#ed145b">
              <v:path arrowok="t"/>
              <v:stroke dashstyle="solid"/>
            </v:shape>
            <v:shape style="position:absolute;left:7247;top:3063;width:156;height:186" coordorigin="7247,3063" coordsize="156,186" path="m7403,3209l7247,3209,7247,3249,7403,3249,7403,3209m7403,3063l7247,3063,7247,3103,7403,3103,7403,3063e" filled="true" fillcolor="#e2874a" stroked="false">
              <v:path arrowok="t"/>
              <v:fill type="solid"/>
            </v:shape>
            <v:line style="position:absolute" from="7296,147" to="10068,147" stroked="true" strokeweight="2pt" strokecolor="#ffffff">
              <v:stroke dashstyle="solid"/>
            </v:line>
            <w10:wrap type="none"/>
          </v:group>
        </w:pict>
      </w:r>
      <w:r>
        <w:rPr>
          <w:rFonts w:ascii="Helvetica"/>
          <w:color w:val="231F20"/>
          <w:sz w:val="16"/>
        </w:rPr>
        <w:t>Renal interstitial</w:t>
      </w:r>
      <w:r>
        <w:rPr>
          <w:rFonts w:ascii="Helvetica"/>
          <w:color w:val="231F20"/>
          <w:w w:val="99"/>
          <w:sz w:val="16"/>
        </w:rPr>
        <w:t> </w:t>
      </w:r>
      <w:r>
        <w:rPr>
          <w:rFonts w:ascii="Helvetica"/>
          <w:color w:val="231F20"/>
          <w:sz w:val="16"/>
        </w:rPr>
        <w:t>fluid</w:t>
      </w:r>
    </w:p>
    <w:p>
      <w:pPr>
        <w:pStyle w:val="BodyText"/>
        <w:spacing w:before="8"/>
        <w:rPr>
          <w:rFonts w:ascii="Helvetica"/>
        </w:rPr>
      </w:pPr>
      <w:r>
        <w:rPr/>
        <w:br w:type="column"/>
      </w:r>
      <w:r>
        <w:rPr>
          <w:rFonts w:ascii="Helvetica"/>
        </w:rPr>
      </w:r>
    </w:p>
    <w:p>
      <w:pPr>
        <w:spacing w:line="235" w:lineRule="auto" w:before="0"/>
        <w:ind w:left="1038" w:right="1" w:firstLine="0"/>
        <w:jc w:val="center"/>
        <w:rPr>
          <w:rFonts w:ascii="Helvetica"/>
          <w:sz w:val="16"/>
        </w:rPr>
      </w:pPr>
      <w:r>
        <w:rPr>
          <w:rFonts w:ascii="Helvetica"/>
          <w:color w:val="231F20"/>
          <w:sz w:val="16"/>
        </w:rPr>
        <w:t>Tubular</w:t>
      </w:r>
      <w:r>
        <w:rPr>
          <w:rFonts w:ascii="Helvetica"/>
          <w:color w:val="231F20"/>
          <w:w w:val="99"/>
          <w:sz w:val="16"/>
        </w:rPr>
        <w:t> </w:t>
      </w:r>
      <w:r>
        <w:rPr>
          <w:rFonts w:ascii="Helvetica"/>
          <w:color w:val="231F20"/>
          <w:sz w:val="16"/>
        </w:rPr>
        <w:t>cells</w:t>
      </w:r>
    </w:p>
    <w:p>
      <w:pPr>
        <w:spacing w:line="100" w:lineRule="exact" w:before="136"/>
        <w:ind w:left="945" w:right="1" w:firstLine="0"/>
        <w:jc w:val="center"/>
        <w:rPr>
          <w:rFonts w:ascii="Helvetica"/>
          <w:sz w:val="16"/>
        </w:rPr>
      </w:pPr>
      <w:r>
        <w:rPr>
          <w:rFonts w:ascii="Helvetica"/>
          <w:color w:val="231F20"/>
          <w:w w:val="95"/>
          <w:sz w:val="16"/>
        </w:rPr>
        <w:t>Paracellular</w:t>
      </w:r>
    </w:p>
    <w:p>
      <w:pPr>
        <w:spacing w:line="235" w:lineRule="auto" w:before="102"/>
        <w:ind w:left="1066" w:right="1513" w:firstLine="0"/>
        <w:jc w:val="center"/>
        <w:rPr>
          <w:rFonts w:ascii="Helvetica"/>
          <w:sz w:val="16"/>
        </w:rPr>
      </w:pPr>
      <w:r>
        <w:rPr/>
        <w:br w:type="column"/>
      </w:r>
      <w:r>
        <w:rPr>
          <w:rFonts w:ascii="Helvetica"/>
          <w:color w:val="231F20"/>
          <w:sz w:val="16"/>
        </w:rPr>
        <w:t>Tubular lumen (+8</w:t>
      </w:r>
      <w:r>
        <w:rPr>
          <w:rFonts w:ascii="Helvetica"/>
          <w:color w:val="231F20"/>
          <w:spacing w:val="1"/>
          <w:sz w:val="16"/>
        </w:rPr>
        <w:t> </w:t>
      </w:r>
      <w:r>
        <w:rPr>
          <w:rFonts w:ascii="Helvetica"/>
          <w:color w:val="231F20"/>
          <w:spacing w:val="-6"/>
          <w:sz w:val="16"/>
        </w:rPr>
        <w:t>mV)</w:t>
      </w:r>
    </w:p>
    <w:p>
      <w:pPr>
        <w:spacing w:line="170" w:lineRule="exact" w:before="21"/>
        <w:ind w:left="1066" w:right="1424" w:firstLine="0"/>
        <w:jc w:val="center"/>
        <w:rPr>
          <w:rFonts w:ascii="Symbol" w:hAnsi="Symbol"/>
          <w:sz w:val="12"/>
        </w:rPr>
      </w:pPr>
      <w:r>
        <w:rPr>
          <w:rFonts w:ascii="Helvetica" w:hAnsi="Helvetica"/>
          <w:color w:val="231F20"/>
          <w:sz w:val="16"/>
        </w:rPr>
        <w:t>Na</w:t>
      </w:r>
      <w:r>
        <w:rPr>
          <w:rFonts w:ascii="Symbol" w:hAnsi="Symbol"/>
          <w:color w:val="231F20"/>
          <w:position w:val="5"/>
          <w:sz w:val="12"/>
        </w:rPr>
        <w:t></w:t>
      </w:r>
      <w:r>
        <w:rPr>
          <w:rFonts w:ascii="Helvetica" w:hAnsi="Helvetica"/>
          <w:color w:val="231F20"/>
          <w:sz w:val="16"/>
        </w:rPr>
        <w:t>,</w:t>
      </w:r>
      <w:r>
        <w:rPr>
          <w:rFonts w:ascii="Helvetica" w:hAnsi="Helvetica"/>
          <w:color w:val="231F20"/>
          <w:spacing w:val="-1"/>
          <w:sz w:val="16"/>
        </w:rPr>
        <w:t> </w:t>
      </w:r>
      <w:r>
        <w:rPr>
          <w:rFonts w:ascii="Helvetica" w:hAnsi="Helvetica"/>
          <w:color w:val="231F20"/>
          <w:sz w:val="16"/>
        </w:rPr>
        <w:t>K</w:t>
      </w:r>
      <w:r>
        <w:rPr>
          <w:rFonts w:ascii="Symbol" w:hAnsi="Symbol"/>
          <w:color w:val="231F20"/>
          <w:position w:val="5"/>
          <w:sz w:val="12"/>
        </w:rPr>
        <w:t></w:t>
      </w:r>
    </w:p>
    <w:p>
      <w:pPr>
        <w:spacing w:after="0" w:line="170" w:lineRule="exact"/>
        <w:jc w:val="center"/>
        <w:rPr>
          <w:rFonts w:ascii="Symbol" w:hAnsi="Symbol"/>
          <w:sz w:val="12"/>
        </w:rPr>
        <w:sectPr>
          <w:type w:val="continuous"/>
          <w:pgSz w:w="12240" w:h="15660"/>
          <w:pgMar w:top="0" w:bottom="760" w:left="0" w:right="0"/>
          <w:cols w:num="3" w:equalWidth="0">
            <w:col w:w="7216" w:space="40"/>
            <w:col w:w="1789" w:space="39"/>
            <w:col w:w="3156"/>
          </w:cols>
        </w:sectPr>
      </w:pPr>
    </w:p>
    <w:p>
      <w:pPr>
        <w:tabs>
          <w:tab w:pos="1891" w:val="left" w:leader="none"/>
        </w:tabs>
        <w:spacing w:before="3"/>
        <w:ind w:left="0" w:right="1242" w:firstLine="0"/>
        <w:jc w:val="right"/>
        <w:rPr>
          <w:rFonts w:ascii="Symbol" w:hAnsi="Symbol"/>
          <w:sz w:val="12"/>
        </w:rPr>
      </w:pPr>
      <w:r>
        <w:rPr/>
        <w:pict>
          <v:shape style="position:absolute;margin-left:578.900024pt;margin-top:25.519825pt;width:15.9pt;height:53.35pt;mso-position-horizontal-relative:page;mso-position-vertical-relative:paragraph;z-index:25211289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hAnsi="Helvetica"/>
          <w:color w:val="231F20"/>
          <w:sz w:val="16"/>
        </w:rPr>
        <w:t>diffusion</w:t>
        <w:tab/>
      </w:r>
      <w:r>
        <w:rPr>
          <w:rFonts w:ascii="Helvetica" w:hAnsi="Helvetica"/>
          <w:color w:val="231F20"/>
          <w:position w:val="11"/>
          <w:sz w:val="16"/>
        </w:rPr>
        <w:t>Mg</w:t>
      </w:r>
      <w:r>
        <w:rPr>
          <w:rFonts w:ascii="Symbol" w:hAnsi="Symbol"/>
          <w:color w:val="231F20"/>
          <w:position w:val="16"/>
          <w:sz w:val="12"/>
        </w:rPr>
        <w:t></w:t>
      </w:r>
      <w:r>
        <w:rPr>
          <w:rFonts w:ascii="Helvetica" w:hAnsi="Helvetica"/>
          <w:color w:val="231F20"/>
          <w:position w:val="11"/>
          <w:sz w:val="16"/>
        </w:rPr>
        <w:t>, Ca</w:t>
      </w:r>
      <w:r>
        <w:rPr>
          <w:rFonts w:ascii="Symbol" w:hAnsi="Symbol"/>
          <w:color w:val="231F20"/>
          <w:position w:val="16"/>
          <w:sz w:val="12"/>
        </w:rPr>
        <w:t></w:t>
      </w:r>
    </w:p>
    <w:p>
      <w:pPr>
        <w:pStyle w:val="BodyText"/>
        <w:spacing w:before="10"/>
        <w:rPr>
          <w:rFonts w:ascii="Symbol" w:hAnsi="Symbol"/>
          <w:sz w:val="16"/>
        </w:rPr>
      </w:pPr>
    </w:p>
    <w:p>
      <w:pPr>
        <w:spacing w:after="0"/>
        <w:rPr>
          <w:rFonts w:ascii="Symbol" w:hAnsi="Symbol"/>
          <w:sz w:val="16"/>
        </w:rPr>
        <w:sectPr>
          <w:type w:val="continuous"/>
          <w:pgSz w:w="12240" w:h="15660"/>
          <w:pgMar w:top="0" w:bottom="760" w:left="0" w:right="0"/>
        </w:sectPr>
      </w:pPr>
    </w:p>
    <w:p>
      <w:pPr>
        <w:pStyle w:val="BodyText"/>
        <w:rPr>
          <w:rFonts w:ascii="Symbol" w:hAnsi="Symbol"/>
          <w:sz w:val="18"/>
        </w:rPr>
      </w:pPr>
    </w:p>
    <w:p>
      <w:pPr>
        <w:spacing w:line="153" w:lineRule="exact" w:before="134"/>
        <w:ind w:left="7175" w:right="0" w:firstLine="0"/>
        <w:jc w:val="left"/>
        <w:rPr>
          <w:rFonts w:ascii="Helvetica"/>
          <w:sz w:val="16"/>
        </w:rPr>
      </w:pPr>
      <w:r>
        <w:rPr>
          <w:rFonts w:ascii="Helvetica"/>
          <w:color w:val="231F20"/>
          <w:sz w:val="16"/>
        </w:rPr>
        <w:t>ATP</w:t>
      </w:r>
    </w:p>
    <w:p>
      <w:pPr>
        <w:spacing w:line="141" w:lineRule="auto" w:before="9"/>
        <w:ind w:left="6757" w:right="0" w:firstLine="0"/>
        <w:jc w:val="left"/>
        <w:rPr>
          <w:rFonts w:ascii="Symbol" w:hAnsi="Symbol"/>
          <w:sz w:val="12"/>
        </w:rPr>
      </w:pPr>
      <w:r>
        <w:rPr/>
        <w:pict>
          <v:group style="position:absolute;margin-left:467.088013pt;margin-top:18.699789pt;width:87.95pt;height:126.6pt;mso-position-horizontal-relative:page;mso-position-vertical-relative:paragraph;z-index:252111872" coordorigin="9342,374" coordsize="1759,2532">
            <v:shape style="position:absolute;left:10952;top:904;width:113;height:189" type="#_x0000_t75" stroked="false">
              <v:imagedata r:id="rId537" o:title=""/>
            </v:shape>
            <v:shape style="position:absolute;left:10830;top:705;width:200;height:200" type="#_x0000_t75" stroked="false">
              <v:imagedata r:id="rId538" o:title=""/>
            </v:shape>
            <v:rect style="position:absolute;left:9400;top:2030;width:1415;height:875" filled="true" fillcolor="#ddc7aa" stroked="false">
              <v:fill type="solid"/>
            </v:rect>
            <v:rect style="position:absolute;left:9341;top:1972;width:1415;height:875" filled="true" fillcolor="#ffe5c2" stroked="false">
              <v:fill type="solid"/>
            </v:rect>
            <v:shape style="position:absolute;left:10755;top:1003;width:330;height:1428" coordorigin="10756,1003" coordsize="330,1428" path="m10989,1003l11007,1076,11030,1178,11042,1239,11053,1305,11064,1376,11073,1450,11079,1527,11084,1606,11085,1687,11083,1768,11077,1848,11066,1928,11050,2006,11029,2081,11001,2152,10967,2220,10926,2282,10878,2338,10821,2388,10756,2431e" filled="false" stroked="true" strokeweight="1.5pt" strokecolor="#f0535f">
              <v:path arrowok="t"/>
              <v:stroke dashstyle="solid"/>
            </v:shape>
            <v:shape style="position:absolute;left:9341;top:374;width:1759;height:2532" type="#_x0000_t202" filled="false" stroked="false">
              <v:textbox inset="0,0,0,0">
                <w:txbxContent>
                  <w:p>
                    <w:pPr>
                      <w:spacing w:line="165" w:lineRule="exact" w:before="3"/>
                      <w:ind w:left="1157" w:right="0" w:firstLine="0"/>
                      <w:jc w:val="left"/>
                      <w:rPr>
                        <w:rFonts w:ascii="Helvetica"/>
                        <w:b/>
                        <w:sz w:val="12"/>
                      </w:rPr>
                    </w:pPr>
                    <w:r>
                      <w:rPr>
                        <w:rFonts w:ascii="Helvetica"/>
                        <w:b/>
                        <w:color w:val="231F20"/>
                        <w:sz w:val="16"/>
                      </w:rPr>
                      <w:t>Na</w:t>
                    </w:r>
                    <w:r>
                      <w:rPr>
                        <w:rFonts w:ascii="Helvetica"/>
                        <w:b/>
                        <w:color w:val="231F20"/>
                        <w:position w:val="5"/>
                        <w:sz w:val="12"/>
                      </w:rPr>
                      <w:t>+</w:t>
                    </w:r>
                  </w:p>
                  <w:p>
                    <w:pPr>
                      <w:tabs>
                        <w:tab w:pos="1115" w:val="left" w:leader="none"/>
                      </w:tabs>
                      <w:spacing w:line="88" w:lineRule="exact" w:before="0"/>
                      <w:ind w:left="177" w:right="0" w:firstLine="0"/>
                      <w:jc w:val="left"/>
                      <w:rPr>
                        <w:sz w:val="12"/>
                      </w:rPr>
                    </w:pPr>
                    <w:r>
                      <w:rPr>
                        <w:rFonts w:ascii="Symbol" w:hAnsi="Symbol"/>
                        <w:color w:val="231F20"/>
                        <w:sz w:val="12"/>
                        <w:u w:val="thick" w:color="F0535F"/>
                      </w:rPr>
                      <w:t></w:t>
                    </w:r>
                    <w:r>
                      <w:rPr>
                        <w:color w:val="231F20"/>
                        <w:sz w:val="12"/>
                        <w:u w:val="thick" w:color="F0535F"/>
                      </w:rPr>
                      <w:tab/>
                    </w:r>
                  </w:p>
                  <w:p>
                    <w:pPr>
                      <w:spacing w:line="194" w:lineRule="auto" w:before="0"/>
                      <w:ind w:left="1157" w:right="0" w:firstLine="0"/>
                      <w:jc w:val="left"/>
                      <w:rPr>
                        <w:rFonts w:ascii="Symbol" w:hAnsi="Symbol"/>
                        <w:sz w:val="15"/>
                      </w:rPr>
                    </w:pPr>
                    <w:r>
                      <w:rPr>
                        <w:rFonts w:ascii="Helvetica" w:hAnsi="Helvetica"/>
                        <w:b/>
                        <w:color w:val="231F20"/>
                        <w:sz w:val="16"/>
                      </w:rPr>
                      <w:t>2Cl</w:t>
                    </w:r>
                    <w:r>
                      <w:rPr>
                        <w:rFonts w:ascii="Helvetica" w:hAnsi="Helvetica"/>
                        <w:b/>
                        <w:color w:val="231F20"/>
                        <w:position w:val="5"/>
                        <w:sz w:val="12"/>
                      </w:rPr>
                      <w:t>– </w:t>
                    </w:r>
                    <w:r>
                      <w:rPr>
                        <w:rFonts w:ascii="Symbol" w:hAnsi="Symbol"/>
                        <w:color w:val="F0535F"/>
                        <w:position w:val="-7"/>
                        <w:sz w:val="15"/>
                      </w:rPr>
                      <w:t></w:t>
                    </w:r>
                  </w:p>
                  <w:p>
                    <w:pPr>
                      <w:spacing w:line="146" w:lineRule="auto" w:before="4"/>
                      <w:ind w:left="1157" w:right="0" w:firstLine="0"/>
                      <w:jc w:val="left"/>
                      <w:rPr>
                        <w:rFonts w:ascii="Helvetica"/>
                        <w:b/>
                        <w:sz w:val="12"/>
                      </w:rPr>
                    </w:pPr>
                    <w:r>
                      <w:rPr>
                        <w:rFonts w:ascii="Helvetica"/>
                        <w:b/>
                        <w:color w:val="231F20"/>
                        <w:position w:val="-4"/>
                        <w:sz w:val="16"/>
                      </w:rPr>
                      <w:t>K</w:t>
                    </w:r>
                    <w:r>
                      <w:rPr>
                        <w:rFonts w:ascii="Helvetica"/>
                        <w:b/>
                        <w:color w:val="231F20"/>
                        <w:sz w:val="12"/>
                      </w:rPr>
                      <w:t>+</w:t>
                    </w:r>
                  </w:p>
                </w:txbxContent>
              </v:textbox>
              <w10:wrap type="none"/>
            </v:shape>
            <v:shape style="position:absolute;left:9400;top:2594;width:1415;height:311" type="#_x0000_t202" filled="false" stroked="false">
              <v:textbox inset="0,0,0,0">
                <w:txbxContent>
                  <w:p>
                    <w:pPr>
                      <w:numPr>
                        <w:ilvl w:val="0"/>
                        <w:numId w:val="11"/>
                      </w:numPr>
                      <w:tabs>
                        <w:tab w:pos="110" w:val="left" w:leader="none"/>
                      </w:tabs>
                      <w:spacing w:line="183" w:lineRule="exact" w:before="0"/>
                      <w:ind w:left="109" w:right="0" w:hanging="101"/>
                      <w:jc w:val="left"/>
                      <w:rPr>
                        <w:rFonts w:ascii="Helvetica"/>
                        <w:b/>
                        <w:sz w:val="16"/>
                      </w:rPr>
                    </w:pPr>
                    <w:r>
                      <w:rPr>
                        <w:rFonts w:ascii="Helvetica"/>
                        <w:b/>
                        <w:color w:val="231F20"/>
                        <w:sz w:val="16"/>
                      </w:rPr>
                      <w:t>Bumetanide</w:t>
                    </w:r>
                  </w:p>
                </w:txbxContent>
              </v:textbox>
              <w10:wrap type="none"/>
            </v:shape>
            <v:shape style="position:absolute;left:9400;top:1972;width:1415;height:623" type="#_x0000_t202" filled="false" stroked="false">
              <v:textbox inset="0,0,0,0">
                <w:txbxContent>
                  <w:p>
                    <w:pPr>
                      <w:tabs>
                        <w:tab w:pos="1414" w:val="left" w:leader="none"/>
                      </w:tabs>
                      <w:spacing w:line="182" w:lineRule="exact" w:before="81"/>
                      <w:ind w:left="9" w:right="0" w:firstLine="0"/>
                      <w:jc w:val="left"/>
                      <w:rPr>
                        <w:rFonts w:ascii="Helvetica"/>
                        <w:b/>
                        <w:sz w:val="16"/>
                      </w:rPr>
                    </w:pPr>
                    <w:r>
                      <w:rPr>
                        <w:rFonts w:ascii="Helvetica"/>
                        <w:b/>
                        <w:color w:val="231F20"/>
                        <w:sz w:val="16"/>
                        <w:shd w:fill="DDC7AA" w:color="auto" w:val="clear"/>
                      </w:rPr>
                      <w:t>Loop diuretics</w:t>
                      <w:tab/>
                    </w:r>
                  </w:p>
                  <w:p>
                    <w:pPr>
                      <w:numPr>
                        <w:ilvl w:val="0"/>
                        <w:numId w:val="12"/>
                      </w:numPr>
                      <w:tabs>
                        <w:tab w:pos="110" w:val="left" w:leader="none"/>
                        <w:tab w:pos="1414" w:val="left" w:leader="none"/>
                      </w:tabs>
                      <w:spacing w:line="180" w:lineRule="exact" w:before="0"/>
                      <w:ind w:left="109" w:right="0" w:hanging="101"/>
                      <w:jc w:val="left"/>
                      <w:rPr>
                        <w:rFonts w:ascii="Helvetica"/>
                        <w:b/>
                        <w:sz w:val="16"/>
                      </w:rPr>
                    </w:pPr>
                    <w:r>
                      <w:rPr>
                        <w:rFonts w:ascii="Helvetica"/>
                        <w:b/>
                        <w:color w:val="231F20"/>
                        <w:sz w:val="16"/>
                        <w:shd w:fill="DDC7AA" w:color="auto" w:val="clear"/>
                      </w:rPr>
                      <w:t>Furosemide</w:t>
                      <w:tab/>
                    </w:r>
                  </w:p>
                  <w:p>
                    <w:pPr>
                      <w:numPr>
                        <w:ilvl w:val="0"/>
                        <w:numId w:val="12"/>
                      </w:numPr>
                      <w:tabs>
                        <w:tab w:pos="110" w:val="left" w:leader="none"/>
                      </w:tabs>
                      <w:spacing w:line="179" w:lineRule="exact" w:before="0"/>
                      <w:ind w:left="109" w:right="0" w:hanging="101"/>
                      <w:jc w:val="left"/>
                      <w:rPr>
                        <w:rFonts w:ascii="Helvetica"/>
                        <w:b/>
                        <w:sz w:val="16"/>
                      </w:rPr>
                    </w:pPr>
                    <w:r>
                      <w:rPr>
                        <w:rFonts w:ascii="Helvetica"/>
                        <w:b/>
                        <w:color w:val="231F20"/>
                        <w:sz w:val="16"/>
                        <w:shd w:fill="DDC7AA" w:color="auto" w:val="clear"/>
                      </w:rPr>
                      <w:t>Ethacrynic acid</w:t>
                    </w:r>
                    <w:r>
                      <w:rPr>
                        <w:rFonts w:ascii="Helvetica"/>
                        <w:b/>
                        <w:color w:val="231F20"/>
                        <w:spacing w:val="-12"/>
                        <w:sz w:val="16"/>
                        <w:shd w:fill="DDC7AA" w:color="auto" w:val="clear"/>
                      </w:rPr>
                      <w:t> </w:t>
                    </w:r>
                  </w:p>
                </w:txbxContent>
              </v:textbox>
              <w10:wrap type="none"/>
            </v:shape>
            <w10:wrap type="none"/>
          </v:group>
        </w:pict>
      </w:r>
      <w:r>
        <w:rPr>
          <w:rFonts w:ascii="Helvetica" w:hAnsi="Helvetica"/>
          <w:color w:val="231F20"/>
          <w:position w:val="-4"/>
          <w:sz w:val="16"/>
        </w:rPr>
        <w:t>K</w:t>
      </w:r>
      <w:r>
        <w:rPr>
          <w:rFonts w:ascii="Symbol" w:hAnsi="Symbol"/>
          <w:color w:val="231F20"/>
          <w:sz w:val="12"/>
        </w:rPr>
        <w:t></w:t>
      </w:r>
    </w:p>
    <w:p>
      <w:pPr>
        <w:spacing w:before="168"/>
        <w:ind w:left="157" w:right="0" w:firstLine="0"/>
        <w:jc w:val="left"/>
        <w:rPr>
          <w:rFonts w:ascii="Symbol" w:hAnsi="Symbol"/>
          <w:sz w:val="12"/>
        </w:rPr>
      </w:pPr>
      <w:r>
        <w:rPr/>
        <w:br w:type="column"/>
      </w:r>
      <w:r>
        <w:rPr>
          <w:rFonts w:ascii="Helvetica" w:hAnsi="Helvetica"/>
          <w:color w:val="231F20"/>
          <w:sz w:val="16"/>
        </w:rPr>
        <w:t>Na</w:t>
      </w:r>
      <w:r>
        <w:rPr>
          <w:rFonts w:ascii="Symbol" w:hAnsi="Symbol"/>
          <w:color w:val="231F20"/>
          <w:position w:val="5"/>
          <w:sz w:val="12"/>
        </w:rPr>
        <w:t></w:t>
      </w:r>
    </w:p>
    <w:p>
      <w:pPr>
        <w:pStyle w:val="BodyText"/>
        <w:rPr>
          <w:rFonts w:ascii="Symbol" w:hAnsi="Symbol"/>
        </w:rPr>
      </w:pPr>
    </w:p>
    <w:p>
      <w:pPr>
        <w:pStyle w:val="BodyText"/>
        <w:rPr>
          <w:rFonts w:ascii="Symbol" w:hAnsi="Symbol"/>
        </w:rPr>
      </w:pPr>
    </w:p>
    <w:p>
      <w:pPr>
        <w:tabs>
          <w:tab w:pos="969" w:val="left" w:leader="none"/>
        </w:tabs>
        <w:spacing w:before="155"/>
        <w:ind w:left="274" w:right="0" w:firstLine="0"/>
        <w:jc w:val="left"/>
        <w:rPr>
          <w:rFonts w:ascii="Symbol" w:hAnsi="Symbol"/>
          <w:sz w:val="12"/>
        </w:rPr>
      </w:pPr>
      <w:r>
        <w:rPr/>
        <w:pict>
          <v:rect style="position:absolute;margin-left:576pt;margin-top:32.566650pt;width:36pt;height:24pt;mso-position-horizontal-relative:page;mso-position-vertical-relative:paragraph;z-index:252095488" filled="true" fillcolor="#e8dac8" stroked="false">
            <v:fill type="solid"/>
            <w10:wrap type="none"/>
          </v:rect>
        </w:pict>
      </w:r>
      <w:r>
        <w:rPr>
          <w:rFonts w:ascii="Helvetica" w:hAnsi="Helvetica"/>
          <w:color w:val="231F20"/>
          <w:sz w:val="16"/>
        </w:rPr>
        <w:t>Cl</w:t>
      </w:r>
      <w:r>
        <w:rPr>
          <w:rFonts w:ascii="Symbol" w:hAnsi="Symbol"/>
          <w:color w:val="231F20"/>
          <w:position w:val="5"/>
          <w:sz w:val="12"/>
        </w:rPr>
        <w:t></w:t>
      </w:r>
      <w:r>
        <w:rPr>
          <w:color w:val="231F20"/>
          <w:position w:val="5"/>
          <w:sz w:val="12"/>
        </w:rPr>
        <w:tab/>
      </w:r>
      <w:r>
        <w:rPr>
          <w:rFonts w:ascii="Helvetica" w:hAnsi="Helvetica"/>
          <w:color w:val="231F20"/>
          <w:spacing w:val="-10"/>
          <w:sz w:val="16"/>
        </w:rPr>
        <w:t>K</w:t>
      </w:r>
      <w:r>
        <w:rPr>
          <w:rFonts w:ascii="Symbol" w:hAnsi="Symbol"/>
          <w:color w:val="231F20"/>
          <w:spacing w:val="-10"/>
          <w:position w:val="5"/>
          <w:sz w:val="12"/>
        </w:rPr>
        <w:t></w:t>
      </w:r>
    </w:p>
    <w:p>
      <w:pPr>
        <w:tabs>
          <w:tab w:pos="1669" w:val="left" w:leader="none"/>
        </w:tabs>
        <w:spacing w:line="374" w:lineRule="auto" w:before="101"/>
        <w:ind w:left="752" w:right="1589" w:firstLine="915"/>
        <w:jc w:val="left"/>
        <w:rPr>
          <w:sz w:val="12"/>
        </w:rPr>
      </w:pPr>
      <w:r>
        <w:rPr/>
        <w:br w:type="column"/>
      </w:r>
      <w:r>
        <w:rPr>
          <w:rFonts w:ascii="Helvetica" w:hAnsi="Helvetica"/>
          <w:color w:val="231F20"/>
          <w:sz w:val="16"/>
        </w:rPr>
        <w:t>Na</w:t>
      </w:r>
      <w:r>
        <w:rPr>
          <w:rFonts w:ascii="Symbol" w:hAnsi="Symbol"/>
          <w:color w:val="231F20"/>
          <w:position w:val="5"/>
          <w:sz w:val="12"/>
        </w:rPr>
        <w:t></w:t>
      </w:r>
      <w:r>
        <w:rPr>
          <w:color w:val="231F20"/>
          <w:position w:val="-4"/>
          <w:sz w:val="12"/>
        </w:rPr>
        <w:t> </w:t>
      </w:r>
      <w:r>
        <w:rPr>
          <w:color w:val="231F20"/>
          <w:spacing w:val="4"/>
          <w:position w:val="-4"/>
          <w:sz w:val="12"/>
        </w:rPr>
        <w:t>        </w:t>
      </w:r>
      <w:r>
        <w:rPr>
          <w:color w:val="231F20"/>
          <w:spacing w:val="12"/>
          <w:position w:val="-4"/>
          <w:sz w:val="12"/>
        </w:rPr>
        <w:t> </w:t>
      </w:r>
      <w:r>
        <w:rPr>
          <w:rFonts w:ascii="Helvetica" w:hAnsi="Helvetica"/>
          <w:color w:val="231F20"/>
          <w:spacing w:val="4"/>
          <w:position w:val="-4"/>
          <w:sz w:val="16"/>
        </w:rPr>
        <w:t>H</w:t>
      </w:r>
      <w:r>
        <w:rPr>
          <w:rFonts w:ascii="Symbol" w:hAnsi="Symbol"/>
          <w:color w:val="231F20"/>
          <w:spacing w:val="4"/>
          <w:sz w:val="12"/>
        </w:rPr>
        <w:t></w:t>
      </w:r>
      <w:r>
        <w:rPr>
          <w:rFonts w:ascii="Symbol" w:hAnsi="Symbol"/>
          <w:color w:val="231F20"/>
          <w:spacing w:val="4"/>
          <w:sz w:val="12"/>
          <w:u w:val="thick" w:color="231F20"/>
        </w:rPr>
        <w:t></w:t>
      </w:r>
      <w:r>
        <w:rPr>
          <w:color w:val="231F20"/>
          <w:spacing w:val="4"/>
          <w:sz w:val="12"/>
          <w:u w:val="thick" w:color="231F20"/>
        </w:rPr>
        <w:tab/>
      </w:r>
    </w:p>
    <w:p>
      <w:pPr>
        <w:spacing w:after="0" w:line="374" w:lineRule="auto"/>
        <w:jc w:val="left"/>
        <w:rPr>
          <w:sz w:val="12"/>
        </w:rPr>
        <w:sectPr>
          <w:type w:val="continuous"/>
          <w:pgSz w:w="12240" w:h="15660"/>
          <w:pgMar w:top="0" w:bottom="760" w:left="0" w:right="0"/>
          <w:cols w:num="3" w:equalWidth="0">
            <w:col w:w="7487" w:space="40"/>
            <w:col w:w="1143" w:space="39"/>
            <w:col w:w="353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after="0"/>
        <w:rPr>
          <w:sz w:val="29"/>
        </w:rPr>
        <w:sectPr>
          <w:type w:val="continuous"/>
          <w:pgSz w:w="12240" w:h="15660"/>
          <w:pgMar w:top="0" w:bottom="760" w:left="0" w:right="0"/>
        </w:sectPr>
      </w:pPr>
    </w:p>
    <w:p>
      <w:pPr>
        <w:pStyle w:val="BodyText"/>
        <w:rPr>
          <w:sz w:val="18"/>
        </w:rPr>
      </w:pPr>
      <w:r>
        <w:rPr/>
        <w:pict>
          <v:group style="position:absolute;margin-left:0pt;margin-top:0pt;width:612pt;height:180pt;mso-position-horizontal-relative:page;mso-position-vertical-relative:page;z-index:-27331072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p>
    <w:p>
      <w:pPr>
        <w:pStyle w:val="BodyText"/>
        <w:rPr>
          <w:sz w:val="18"/>
        </w:rPr>
      </w:pPr>
    </w:p>
    <w:p>
      <w:pPr>
        <w:pStyle w:val="BodyText"/>
        <w:rPr>
          <w:sz w:val="18"/>
        </w:rPr>
      </w:pPr>
    </w:p>
    <w:p>
      <w:pPr>
        <w:pStyle w:val="BodyText"/>
        <w:rPr>
          <w:sz w:val="18"/>
        </w:rPr>
      </w:pPr>
    </w:p>
    <w:p>
      <w:pPr>
        <w:pStyle w:val="BodyText"/>
        <w:spacing w:before="8"/>
        <w:rPr>
          <w:sz w:val="16"/>
        </w:rPr>
      </w:pPr>
    </w:p>
    <w:p>
      <w:pPr>
        <w:spacing w:line="259" w:lineRule="auto" w:before="1"/>
        <w:ind w:left="1440" w:right="0" w:firstLine="0"/>
        <w:jc w:val="both"/>
        <w:rPr>
          <w:rFonts w:ascii="Arial" w:hAnsi="Arial"/>
          <w:sz w:val="16"/>
        </w:rPr>
      </w:pPr>
      <w:r>
        <w:rPr/>
        <w:pict>
          <v:group style="position:absolute;margin-left:72.282623pt;margin-top:-144.285004pt;width:233.15pt;height:139.9pt;mso-position-horizontal-relative:page;mso-position-vertical-relative:paragraph;z-index:252103680" coordorigin="1446,-2886" coordsize="4663,2798">
            <v:shape style="position:absolute;left:1816;top:-1957;width:330;height:1327" coordorigin="1817,-1956" coordsize="330,1327" path="m1859,-1956l1817,-1956,1817,-784,1829,-724,1862,-675,1912,-642,1972,-630,2032,-642,2077,-672,1972,-672,1928,-681,1892,-704,1868,-740,1859,-784,1859,-1956xm2064,-1672l2070,-1661,2076,-1647,2082,-1628,2084,-1605,2084,-784,2075,-740,2051,-704,2016,-681,1972,-672,2077,-672,2081,-675,2115,-724,2127,-784,2127,-1602,2129,-1625,2134,-1645,2140,-1660,2146,-1670,2064,-1672xe" filled="true" fillcolor="#ffd768" stroked="false">
              <v:path arrowok="t"/>
              <v:fill type="solid"/>
            </v:shape>
            <v:shape style="position:absolute;left:1816;top:-1957;width:330;height:1327" coordorigin="1817,-1956" coordsize="330,1327" path="m2064,-1672l2070,-1661,2076,-1647,2082,-1628,2084,-1605,2084,-784,2075,-740,2051,-704,2016,-681,1972,-672,1928,-681,1892,-704,1868,-740,1859,-784,1859,-1956,1817,-1956,1817,-784,1829,-724,1862,-675,1912,-642,1972,-630,2032,-642,2081,-675,2115,-724,2127,-784,2127,-1602,2129,-1625,2134,-1645,2140,-1660,2146,-1670,2064,-1672xe" filled="false" stroked="true" strokeweight=".25pt" strokecolor="#b7705b">
              <v:path arrowok="t"/>
              <v:stroke dashstyle="solid"/>
            </v:shape>
            <v:shape style="position:absolute;left:2042;top:-2512;width:226;height:862" coordorigin="2042,-2512" coordsize="226,862" path="m2192,-2512l2179,-2497,2164,-2484,2147,-2472,2130,-2462,2087,-2434,2060,-2402,2046,-2364,2042,-2316,2042,-1762,2055,-1691,2101,-1651,2125,-1654,2163,-1711,2168,-1762,2168,-2301,2170,-2324,2176,-2339,2186,-2350,2198,-2358,2218,-2370,2236,-2382,2253,-2395,2268,-2408,2192,-2512xe" filled="true" fillcolor="#faa61a" stroked="false">
              <v:path arrowok="t"/>
              <v:fill type="solid"/>
            </v:shape>
            <v:shape style="position:absolute;left:2042;top:-2512;width:226;height:862" coordorigin="2042,-2512" coordsize="226,862" path="m2192,-2512l2179,-2497,2164,-2484,2147,-2472,2130,-2462,2087,-2434,2060,-2402,2046,-2364,2042,-2316,2042,-1762,2055,-1691,2101,-1651,2125,-1654,2163,-1711,2168,-1762,2168,-2301,2170,-2324,2176,-2339,2186,-2350,2198,-2358,2218,-2370,2236,-2382,2253,-2395,2268,-2408e" filled="false" stroked="true" strokeweight=".25pt" strokecolor="#b7705b">
              <v:path arrowok="t"/>
              <v:stroke dashstyle="solid"/>
            </v:shape>
            <v:shape style="position:absolute;left:2359;top:-1679;width:35;height:56" coordorigin="2359,-1678" coordsize="35,56" path="m2382,-1678l2372,-1669,2359,-1641,2359,-1628,2365,-1625,2370,-1623,2380,-1632,2393,-1660,2393,-1673,2388,-1676,2382,-1678xe" filled="true" fillcolor="#ffe293" stroked="false">
              <v:path arrowok="t"/>
              <v:fill type="solid"/>
            </v:shape>
            <v:shape style="position:absolute;left:2359;top:-1679;width:35;height:56" coordorigin="2359,-1678" coordsize="35,56" path="m2388,-1676l2393,-1673,2393,-1660,2386,-1646,2380,-1632,2370,-1623,2365,-1625,2359,-1628,2359,-1641,2366,-1655,2372,-1669,2382,-1678,2388,-1676xe" filled="false" stroked="true" strokeweight=".25pt" strokecolor="#b7705b">
              <v:path arrowok="t"/>
              <v:stroke dashstyle="solid"/>
            </v:shape>
            <v:shape style="position:absolute;left:2645;top:-2461;width:3463;height:2372" type="#_x0000_t75" stroked="false">
              <v:imagedata r:id="rId539" o:title=""/>
            </v:shape>
            <v:shape style="position:absolute;left:2192;top:-2884;width:779;height:2273" coordorigin="2192,-2883" coordsize="779,2273" path="m2368,-1738l2311,-1626,2329,-1615,2360,-1588,2389,-1541,2402,-1470,2402,-1470,2402,-1394,2401,-1306,2401,-1210,2400,-1109,2398,-910,2396,-677,2396,-632,2395,-611,2537,-612,2538,-875,2540,-1210,2542,-1497,2543,-1620,2554,-1673,2580,-1710,2597,-1723,2397,-1723,2377,-1734,2368,-1738xm2822,-2754l2531,-2754,2602,-2753,2646,-2741,2681,-2723,2707,-2700,2725,-2674,2745,-2608,2734,-2551,2703,-2502,2663,-2458,2575,-2379,2522,-2324,2474,-2259,2437,-2181,2419,-2090,2413,-1988,2409,-1896,2406,-1813,2405,-1741,2405,-1728,2397,-1723,2597,-1723,2608,-1731,2625,-1740,2589,-1839,2541,-1839,2533,-1841,2535,-1904,2537,-1960,2540,-2019,2544,-2081,2565,-2171,2609,-2244,2665,-2303,2723,-2352,2772,-2396,2797,-2422,2822,-2451,2844,-2484,2862,-2521,2881,-2550,2906,-2562,2931,-2565,2950,-2565,2970,-2687,2967,-2688,2884,-2688,2868,-2693,2852,-2708,2836,-2734,2822,-2754xm2582,-1859l2573,-1855,2562,-1850,2541,-1839,2589,-1839,2582,-1859xm2536,-2883l2479,-2875,2422,-2851,2365,-2809,2313,-2743,2268,-2650,2254,-2615,2237,-2579,2217,-2544,2192,-2512,2268,-2408,2310,-2456,2342,-2506,2367,-2557,2386,-2606,2425,-2685,2473,-2733,2531,-2754,2822,-2754,2803,-2781,2758,-2822,2702,-2853,2634,-2874,2588,-2882,2536,-2883xm2950,-2565l2931,-2565,2950,-2563,2950,-2565xm2939,-2690l2921,-2690,2902,-2688,2884,-2688,2967,-2688,2955,-2689,2939,-2690xe" filled="true" fillcolor="#ffd768" stroked="false">
              <v:path arrowok="t"/>
              <v:fill type="solid"/>
            </v:shape>
            <v:shape style="position:absolute;left:2192;top:-2884;width:779;height:2273" coordorigin="2192,-2883" coordsize="779,2273" path="m2268,-2408l2310,-2456,2342,-2506,2367,-2557,2386,-2606,2425,-2685,2473,-2733,2531,-2754,2602,-2753,2681,-2723,2725,-2674,2745,-2608,2734,-2551,2703,-2502,2663,-2458,2624,-2423,2575,-2379,2522,-2324,2474,-2259,2437,-2181,2419,-2090,2413,-1988,2409,-1896,2406,-1813,2405,-1741,2405,-1728,2397,-1723,2389,-1728,2377,-1734,2369,-1738,2368,-1738,2311,-1626,2329,-1615,2360,-1588,2389,-1541,2402,-1470,2402,-1470,2402,-1394,2401,-1306,2401,-1210,2400,-1109,2399,-1008,2398,-910,2397,-819,2397,-740,2396,-677,2396,-632,2395,-611,2537,-612,2538,-875,2540,-1210,2542,-1497,2543,-1620,2580,-1710,2625,-1740,2582,-1859,2573,-1855,2562,-1850,2551,-1844,2541,-1839,2533,-1841,2535,-1904,2540,-2019,2544,-2081,2565,-2171,2609,-2244,2665,-2303,2723,-2352,2772,-2396,2797,-2422,2822,-2451,2844,-2484,2862,-2521,2881,-2550,2906,-2562,2931,-2565,2950,-2563,2970,-2687,2955,-2689,2939,-2690,2921,-2690,2902,-2688,2884,-2688,2868,-2693,2852,-2708,2836,-2734,2803,-2781,2758,-2822,2702,-2853,2634,-2874,2536,-2883,2479,-2875,2422,-2851,2365,-2809,2313,-2743,2268,-2650,2254,-2615,2237,-2579,2217,-2544,2192,-2512e" filled="false" stroked="true" strokeweight=".25pt" strokecolor="#b7705b">
              <v:path arrowok="t"/>
              <v:stroke dashstyle="solid"/>
            </v:shape>
            <v:shape style="position:absolute;left:2287;top:-2872;width:272;height:215" type="#_x0000_t75" stroked="false">
              <v:imagedata r:id="rId540" o:title=""/>
            </v:shape>
            <v:shape style="position:absolute;left:2054;top:-2493;width:150;height:209" type="#_x0000_t75" stroked="false">
              <v:imagedata r:id="rId541" o:title=""/>
            </v:shape>
            <v:shape style="position:absolute;left:2428;top:-2366;width:162;height:322" type="#_x0000_t75" stroked="false">
              <v:imagedata r:id="rId542" o:title=""/>
            </v:shape>
            <v:shape style="position:absolute;left:1448;top:-2881;width:514;height:973" coordorigin="1448,-2880" coordsize="514,973" path="m1595,-2846l1574,-2845,1539,-2838,1508,-2824,1483,-2803,1463,-2776,1451,-2740,1448,-2702,1455,-2662,1472,-2623,1505,-2582,1557,-2535,1622,-2484,1720,-2412,1749,-2379,1765,-2342,1770,-2311,1771,-2298,1771,-2002,1777,-1965,1790,-1936,1811,-1916,1835,-1908,1859,-1916,1879,-1936,1892,-1965,1897,-2002,1897,-2298,1895,-2327,1883,-2383,1853,-2451,1795,-2514,1725,-2564,1666,-2609,1612,-2653,1581,-2687,1577,-2699,1580,-2710,1590,-2717,1718,-2717,1754,-2735,1767,-2742,1780,-2746,1880,-2746,1962,-2816,1943,-2818,1922,-2824,1898,-2836,1897,-2837,1659,-2837,1642,-2839,1629,-2842,1613,-2845,1595,-2846xm1880,-2746l1780,-2746,1792,-2746,1803,-2741,1810,-2731,1814,-2717,1814,-2716,1815,-2702,1815,-2690,1880,-2746xm1718,-2717l1590,-2717,1606,-2716,1638,-2710,1676,-2709,1716,-2716,1718,-2717xm1774,-2880l1732,-2870,1696,-2850,1685,-2843,1673,-2839,1659,-2837,1897,-2837,1871,-2852,1820,-2876,1774,-2880xe" filled="true" fillcolor="#ffd768" stroked="false">
              <v:path arrowok="t"/>
              <v:fill type="solid"/>
            </v:shape>
            <v:shape style="position:absolute;left:1448;top:-2881;width:514;height:973" coordorigin="1448,-2880" coordsize="514,973" path="m1795,-2514l1725,-2564,1666,-2609,1612,-2653,1577,-2699,1580,-2710,1590,-2717,1606,-2716,1638,-2710,1676,-2709,1716,-2716,1754,-2735,1767,-2742,1780,-2746,1815,-2702,1815,-2690,1962,-2816,1943,-2818,1922,-2824,1898,-2836,1871,-2852,1820,-2876,1774,-2880,1732,-2870,1696,-2850,1685,-2843,1673,-2839,1659,-2837,1642,-2839,1629,-2842,1613,-2845,1595,-2846,1574,-2845,1539,-2838,1483,-2803,1451,-2740,1448,-2702,1455,-2662,1505,-2582,1557,-2535,1622,-2484,1696,-2430,1720,-2412,1749,-2379,1765,-2342,1770,-2311,1771,-2298,1771,-2002,1777,-1965,1790,-1936,1811,-1916,1835,-1908,1859,-1916,1879,-1936,1892,-1965,1897,-2002,1897,-2298,1895,-2327,1883,-2383,1853,-2451,1795,-2514xe" filled="false" stroked="true" strokeweight=".25pt" strokecolor="#b7705b">
              <v:path arrowok="t"/>
              <v:stroke dashstyle="solid"/>
            </v:shape>
            <v:shape style="position:absolute;left:1460;top:-2834;width:186;height:208" type="#_x0000_t75" stroked="false">
              <v:imagedata r:id="rId543" o:title=""/>
            </v:shape>
            <v:shape style="position:absolute;left:1698;top:-2869;width:96;height:43" type="#_x0000_t75" stroked="false">
              <v:imagedata r:id="rId544" o:title=""/>
            </v:shape>
            <v:shape style="position:absolute;left:2296;top:-1743;width:82;height:118" coordorigin="2297,-1743" coordsize="82,118" path="m2350,-1743l2306,-1698,2297,-1653,2301,-1636,2311,-1626,2326,-1625,2341,-1633,2356,-1648,2369,-1670,2377,-1693,2378,-1715,2374,-1732,2364,-1742,2350,-1743xe" filled="true" fillcolor="#ffedb3" stroked="false">
              <v:path arrowok="t"/>
              <v:fill type="solid"/>
            </v:shape>
            <v:shape style="position:absolute;left:2296;top:-1743;width:82;height:118" coordorigin="2297,-1743" coordsize="82,118" path="m2364,-1742l2374,-1732,2378,-1715,2377,-1693,2369,-1670,2356,-1648,2341,-1633,2326,-1625,2311,-1626,2301,-1636,2297,-1653,2299,-1674,2306,-1698,2319,-1719,2334,-1735,2350,-1743,2364,-1742xe" filled="false" stroked="true" strokeweight=".25pt" strokecolor="#b7705b">
              <v:path arrowok="t"/>
              <v:stroke dashstyle="solid"/>
            </v:shape>
            <v:shape style="position:absolute;left:2314;top:-1722;width:47;height:76" coordorigin="2315,-1722" coordsize="47,76" path="m2355,-1722l2315,-1662,2316,-1652,2321,-1646,2328,-1646,2361,-1705,2360,-1716,2355,-1722xe" filled="true" fillcolor="#e9cd86" stroked="false">
              <v:path arrowok="t"/>
              <v:fill type="solid"/>
            </v:shape>
            <v:shape style="position:absolute;left:2314;top:-1722;width:47;height:76" coordorigin="2315,-1722" coordsize="47,76" path="m2355,-1722l2360,-1716,2361,-1705,2359,-1692,2321,-1646,2316,-1652,2315,-1662,2317,-1676,2355,-1722xe" filled="false" stroked="true" strokeweight=".25pt" strokecolor="#b7705b">
              <v:path arrowok="t"/>
              <v:stroke dashstyle="solid"/>
            </v:shape>
            <v:shape style="position:absolute;left:2394;top:-642;width:144;height:69" coordorigin="2395,-641" coordsize="144,69" path="m2466,-641l2438,-639,2416,-631,2400,-620,2395,-607,2400,-593,2416,-583,2439,-575,2466,-573,2494,-575,2517,-583,2532,-594,2538,-607,2532,-620,2517,-631,2494,-639,2466,-641xe" filled="true" fillcolor="#ffedb3" stroked="false">
              <v:path arrowok="t"/>
              <v:fill type="solid"/>
            </v:shape>
            <v:shape style="position:absolute;left:2394;top:-642;width:144;height:69" coordorigin="2395,-641" coordsize="144,69" path="m2538,-607l2532,-594,2517,-583,2494,-575,2466,-573,2439,-575,2416,-583,2400,-593,2395,-607,2400,-620,2416,-631,2438,-639,2466,-641,2494,-639,2517,-631,2532,-620,2538,-607xe" filled="false" stroked="true" strokeweight=".25pt" strokecolor="#b7705b">
              <v:path arrowok="t"/>
              <v:stroke dashstyle="solid"/>
            </v:shape>
            <v:shape style="position:absolute;left:2419;top:-625;width:94;height:35" coordorigin="2420,-624" coordsize="94,35" path="m2466,-624l2448,-623,2433,-619,2423,-614,2420,-607,2423,-600,2433,-595,2448,-591,2466,-590,2485,-591,2499,-595,2509,-600,2513,-607,2509,-614,2499,-619,2485,-623,2466,-624xe" filled="true" fillcolor="#e9cd86" stroked="false">
              <v:path arrowok="t"/>
              <v:fill type="solid"/>
            </v:shape>
            <v:shape style="position:absolute;left:2419;top:-625;width:94;height:35" coordorigin="2420,-624" coordsize="94,35" path="m2513,-607l2509,-600,2499,-595,2485,-591,2466,-590,2448,-591,2433,-595,2423,-600,2420,-607,2423,-614,2433,-619,2448,-623,2466,-624,2485,-623,2499,-619,2509,-614,2513,-607xe" filled="false" stroked="true" strokeweight=".25pt" strokecolor="#b7705b">
              <v:path arrowok="t"/>
              <v:stroke dashstyle="solid"/>
            </v:shape>
            <v:shape style="position:absolute;left:2924;top:-2688;width:71;height:126" coordorigin="2924,-2687" coordsize="71,126" path="m2970,-2687l2926,-2630,2924,-2606,2928,-2584,2937,-2569,2949,-2562,2963,-2565,2976,-2576,2987,-2595,2994,-2619,2995,-2644,2991,-2665,2983,-2680,2970,-2687xe" filled="true" fillcolor="#ffedb3" stroked="false">
              <v:path arrowok="t"/>
              <v:fill type="solid"/>
            </v:shape>
            <v:shape style="position:absolute;left:2924;top:-2688;width:71;height:126" coordorigin="2924,-2687" coordsize="71,126" path="m2970,-2687l2983,-2680,2991,-2665,2995,-2644,2994,-2619,2987,-2595,2976,-2576,2963,-2565,2949,-2562,2937,-2569,2928,-2584,2924,-2606,2926,-2630,2932,-2654,2943,-2673,2956,-2685,2970,-2687xe" filled="false" stroked="true" strokeweight=".25pt" strokecolor="#b7705b">
              <v:path arrowok="t"/>
              <v:stroke dashstyle="solid"/>
            </v:shape>
            <v:shape style="position:absolute;left:2941;top:-2666;width:37;height:82" coordorigin="2941,-2666" coordsize="37,82" path="m2967,-2666l2941,-2611,2943,-2598,2947,-2588,2953,-2584,2960,-2586,2967,-2594,2972,-2606,2976,-2622,2978,-2638,2976,-2651,2973,-2661,2967,-2666xe" filled="true" fillcolor="#e9cd86" stroked="false">
              <v:path arrowok="t"/>
              <v:fill type="solid"/>
            </v:shape>
            <v:shape style="position:absolute;left:2941;top:-2666;width:37;height:82" coordorigin="2941,-2666" coordsize="37,82" path="m2967,-2666l2973,-2661,2976,-2651,2978,-2638,2976,-2622,2972,-2606,2967,-2594,2960,-2586,2953,-2584,2947,-2588,2943,-2598,2941,-2611,2943,-2628,2947,-2643,2953,-2656,2959,-2663,2967,-2666xe" filled="false" stroked="true" strokeweight=".25pt" strokecolor="#b7705b">
              <v:path arrowok="t"/>
              <v:stroke dashstyle="solid"/>
            </v:shape>
            <v:shape style="position:absolute;left:2564;top:-1859;width:76;height:121" coordorigin="2564,-1859" coordsize="76,121" path="m2582,-1859l2571,-1850,2565,-1833,2564,-1812,2570,-1787,2580,-1765,2594,-1748,2608,-1738,2623,-1738,2634,-1747,2640,-1763,2640,-1785,2635,-1809,2625,-1832,2611,-1849,2596,-1858,2582,-1859xe" filled="true" fillcolor="#ffedb3" stroked="false">
              <v:path arrowok="t"/>
              <v:fill type="solid"/>
            </v:shape>
            <v:shape style="position:absolute;left:2564;top:-1859;width:76;height:121" coordorigin="2564,-1859" coordsize="76,121" path="m2582,-1859l2635,-1809,2640,-1785,2640,-1763,2634,-1747,2623,-1738,2608,-1738,2594,-1748,2580,-1765,2570,-1787,2564,-1812,2565,-1833,2571,-1850,2582,-1859xe" filled="false" stroked="true" strokeweight=".25pt" strokecolor="#b7705b">
              <v:path arrowok="t"/>
              <v:stroke dashstyle="solid"/>
            </v:shape>
            <v:shape style="position:absolute;left:2581;top:-1838;width:42;height:79" coordorigin="2582,-1838" coordsize="42,79" path="m2589,-1838l2584,-1832,2582,-1822,2582,-1809,2616,-1759,2621,-1764,2623,-1774,2622,-1788,2589,-1838xe" filled="true" fillcolor="#e9cd86" stroked="false">
              <v:path arrowok="t"/>
              <v:fill type="solid"/>
            </v:shape>
            <v:shape style="position:absolute;left:2581;top:-1838;width:42;height:79" coordorigin="2582,-1838" coordsize="42,79" path="m2589,-1838l2623,-1774,2621,-1764,2616,-1759,2608,-1760,2582,-1822,2584,-1832,2589,-1838xe" filled="false" stroked="true" strokeweight=".25pt" strokecolor="#b7705b">
              <v:path arrowok="t"/>
              <v:stroke dashstyle="solid"/>
            </v:shape>
            <v:shape style="position:absolute;left:1818;top:-2803;width:320;height:319" type="#_x0000_t75" stroked="false">
              <v:imagedata r:id="rId545" o:title=""/>
            </v:shape>
            <v:shape style="position:absolute;left:1860;top:-2756;width:235;height:248" coordorigin="1861,-2755" coordsize="235,248" path="m2054,-2545l1927,-2545,1935,-2537,1938,-2531,1948,-2518,1960,-2511,1973,-2508,1986,-2509,2001,-2512,2013,-2522,2023,-2533,2029,-2540,2037,-2540,2049,-2542,2054,-2545xm2037,-2540l2029,-2540,2036,-2540,2037,-2540xm1939,-2755l1917,-2753,1898,-2745,1887,-2735,1881,-2724,1879,-2712,1879,-2707,1879,-2695,1882,-2679,1885,-2664,1887,-2653,1881,-2648,1867,-2629,1861,-2606,1862,-2583,1873,-2562,1885,-2552,1897,-2546,1910,-2544,1923,-2545,1927,-2545,2054,-2545,2060,-2549,2062,-2553,1975,-2553,1961,-2557,1972,-2564,1981,-2572,1985,-2580,1922,-2580,1906,-2583,1902,-2587,1895,-2595,1896,-2614,1905,-2623,1917,-2639,1922,-2657,1924,-2675,1922,-2690,1918,-2714,1922,-2717,1924,-2717,1925,-2718,1934,-2720,2085,-2720,2075,-2731,2064,-2737,1993,-2737,1983,-2744,1962,-2752,1939,-2755xm2093,-2704l2054,-2704,2057,-2702,2060,-2700,2062,-2697,2064,-2687,2062,-2678,2056,-2669,2048,-2662,2037,-2650,2033,-2636,2033,-2623,2035,-2611,2036,-2603,2036,-2599,2032,-2583,2032,-2583,2027,-2575,2017,-2567,2005,-2560,1990,-2554,1975,-2553,2062,-2553,2067,-2561,2069,-2575,2069,-2593,2070,-2606,2069,-2614,2069,-2618,2066,-2632,2069,-2634,2087,-2653,2096,-2675,2095,-2697,2093,-2704xm2085,-2720l1934,-2720,1945,-2719,1955,-2716,1965,-2712,1974,-2707,1985,-2703,1997,-2700,2010,-2699,1989,-2677,1972,-2649,1960,-2620,1955,-2597,1954,-2593,1949,-2588,1940,-2585,1922,-2580,1985,-2580,1987,-2582,1990,-2593,1996,-2616,2008,-2642,2023,-2663,2037,-2675,2038,-2675,2040,-2676,2041,-2676,2043,-2676,2045,-2676,2053,-2679,2058,-2686,2058,-2698,2056,-2701,2054,-2704,2093,-2704,2088,-2716,2085,-2720xm2039,-2743l2014,-2740,2008,-2738,1993,-2737,2064,-2737,2059,-2740,2039,-2743xe" filled="true" fillcolor="#d04e59" stroked="false">
              <v:path arrowok="t"/>
              <v:fill type="solid"/>
            </v:shape>
            <v:shape style="position:absolute;left:-45;top:8779;width:235;height:248" coordorigin="-44,8779" coordsize="235,248" path="m1905,-2623l1917,-2639,1922,-2657,1924,-2675,1922,-2690,1918,-2714,1918,-2714,1921,-2716,1922,-2717,1924,-2717,1925,-2718,1934,-2720,1945,-2719,1955,-2716,1965,-2712,1974,-2707,1985,-2703,1997,-2700,2010,-2699,1989,-2677,1972,-2649,1960,-2620,1955,-2597,1954,-2593,1949,-2588,1941,-2586,1940,-2585,1939,-2585,1938,-2585,1922,-2580,1906,-2583,1902,-2587,1895,-2595,1896,-2614,1905,-2623xm1961,-2557l1972,-2564,1981,-2572,1987,-2582,1990,-2593,1996,-2616,2008,-2642,2023,-2663,2037,-2675,2038,-2675,2040,-2676,2041,-2676,2043,-2676,2045,-2676,2046,-2677,2053,-2679,2058,-2686,2058,-2694,2058,-2698,2056,-2701,2054,-2704,2057,-2702,2060,-2700,2062,-2697,2064,-2687,2062,-2678,2056,-2669,2048,-2662,2037,-2650,2033,-2636,2033,-2623,2035,-2611,2036,-2603,2036,-2599,2034,-2592,2032,-2583,2027,-2575,2017,-2567,2005,-2560,1990,-2554,1975,-2553,1961,-2557xm2088,-2716l2075,-2731,2059,-2740,2039,-2743,2014,-2740,2008,-2738,1993,-2737,1983,-2744,1962,-2752,1939,-2755,1917,-2753,1898,-2745,1887,-2735,1881,-2724,1879,-2711,1879,-2695,1882,-2679,1885,-2664,1887,-2653,1881,-2648,1867,-2629,1861,-2606,1862,-2583,1873,-2562,1885,-2552,1897,-2546,1910,-2544,1923,-2545,1927,-2545,1935,-2537,1938,-2531,1948,-2518,1960,-2511,1973,-2508,1986,-2509,2001,-2512,2013,-2522,2019,-2529,2023,-2533,2029,-2540,2036,-2540,2049,-2542,2060,-2549,2067,-2561,2069,-2577,2068,-2588,2069,-2599,2070,-2609,2069,-2618,2066,-2632,2067,-2632,2069,-2634,2087,-2653,2096,-2675,2096,-2697,2088,-2716xe" filled="false" stroked="true" strokeweight=".25pt" strokecolor="#231f20">
              <v:path arrowok="t"/>
              <v:stroke dashstyle="solid"/>
            </v:shape>
            <v:shape style="position:absolute;left:2032;top:-2580;width:37;height:39" type="#_x0000_t75" stroked="false">
              <v:imagedata r:id="rId546" o:title=""/>
            </v:shape>
            <v:shape style="position:absolute;left:1850;top:-2778;width:364;height:259" type="#_x0000_t75" stroked="false">
              <v:imagedata r:id="rId547" o:title=""/>
            </v:shape>
            <v:shape style="position:absolute;left:1927;top:-2572;width:44;height:49" type="#_x0000_t75" stroked="false">
              <v:imagedata r:id="rId548" o:title=""/>
            </v:shape>
            <v:shape style="position:absolute;left:1954;top:-2731;width:32;height:49" type="#_x0000_t75" stroked="false">
              <v:imagedata r:id="rId549" o:title=""/>
            </v:shape>
            <v:shape style="position:absolute;left:1845;top:-2714;width:195;height:175" coordorigin="1845,-2714" coordsize="195,175" path="m1952,-2585l1906,-2585,1912,-2574,1925,-2562,1929,-2558,1933,-2555,1945,-2548,1960,-2541,1978,-2540,2000,-2547,2021,-2562,2031,-2576,1972,-2576,1964,-2578,1952,-2585xm2007,-2648l2000,-2645,1995,-2643,1992,-2636,1995,-2626,1999,-2615,2001,-2604,2001,-2598,1998,-2589,1972,-2576,2031,-2576,2034,-2580,2039,-2597,2040,-2613,2037,-2624,2032,-2634,2025,-2642,2015,-2646,2007,-2648xm1884,-2654l1870,-2652,1858,-2647,1850,-2638,1845,-2626,1845,-2612,1849,-2599,1856,-2589,1865,-2583,1874,-2581,1885,-2581,1896,-2583,1906,-2585,1952,-2585,1950,-2586,1947,-2589,1944,-2591,1935,-2600,1923,-2610,1922,-2610,1881,-2610,1880,-2620,1942,-2620,1955,-2624,1965,-2628,1973,-2633,1987,-2649,1988,-2651,1917,-2651,1898,-2653,1884,-2654xm1907,-2616l1890,-2614,1881,-2610,1922,-2610,1907,-2616xm1942,-2620l1880,-2620,1889,-2619,1908,-2617,1926,-2618,1942,-2620,1942,-2620xm2004,-2714l1986,-2711,1973,-2702,1966,-2691,1961,-2680,1956,-2667,1953,-2663,1945,-2657,1933,-2653,1917,-2651,1988,-2651,1992,-2659,1996,-2677,1994,-2680,1997,-2680,2004,-2714xm1997,-2680l1994,-2680,1997,-2680,1997,-2680xe" filled="true" fillcolor="#f15b66" stroked="false">
              <v:path arrowok="t"/>
              <v:fill type="solid"/>
            </v:shape>
            <v:shape style="position:absolute;left:1845;top:-2714;width:195;height:175" coordorigin="1845,-2714" coordsize="195,175" path="m2004,-2714l1959,-2673,1956,-2667,1953,-2663,1945,-2657,1933,-2653,1917,-2651,1898,-2653,1884,-2654,1845,-2612,1849,-2599,1856,-2589,1865,-2583,1874,-2581,1885,-2581,1896,-2583,1906,-2585,1912,-2574,1978,-2540,2000,-2547,2021,-2562,2034,-2580,2039,-2597,2040,-2613,2037,-2624,2032,-2634,2025,-2642,2015,-2646,2007,-2648,2000,-2645,1995,-2643,1992,-2636,1995,-2626,1999,-2615,2001,-2604,2001,-2598,1998,-2589,1984,-2582,1972,-2576,1964,-2578,1951,-2585,1950,-2586,1947,-2589,1944,-2591,1935,-2600,1923,-2610,1907,-2616,1890,-2614,1881,-2610,1880,-2620,1889,-2619,1908,-2617,1926,-2618,1979,-2640,1987,-2649,1992,-2659,1994,-2668,1996,-2677,1994,-2680,1997,-2680e" filled="false" stroked="true" strokeweight=".25pt" strokecolor="#231f20">
              <v:path arrowok="t"/>
              <v:stroke dashstyle="solid"/>
            </v:shape>
            <v:shape style="position:absolute;left:2005;top:-2614;width:9;height:15" coordorigin="2006,-2613" coordsize="9,15" path="m2007,-2605l2006,-2604,2006,-2599,2007,-2605xm2008,-2608l2007,-2607,2007,-2605,2008,-2608xm2014,-2613l2008,-2609,2008,-2608,2015,-2612,2014,-2613xe" filled="true" fillcolor="#f15b66" stroked="false">
              <v:path arrowok="t"/>
              <v:fill type="solid"/>
            </v:shape>
            <v:shape style="position:absolute;left:2005;top:-2614;width:9;height:15" coordorigin="2006,-2613" coordsize="9,15" path="m2012,-2612l2014,-2613,2015,-2612,2013,-2611,2012,-2610,2007,-2607,2006,-2599,2006,-2604,2008,-2609,2012,-2612xe" filled="false" stroked="true" strokeweight=".25pt" strokecolor="#231f20">
              <v:path arrowok="t"/>
              <v:stroke dashstyle="solid"/>
            </v:shape>
            <v:shape style="position:absolute;left:-19;top:8824;width:93;height:88" coordorigin="-19,8824" coordsize="93,88" path="m1960,-2593l1956,-2599,1949,-2604,1945,-2605,1942,-2606,1943,-2608,1945,-2607,1947,-2605,1950,-2603,1954,-2600m2032,-2681l2032,-2674,2034,-2661,2020,-2644e" filled="false" stroked="true" strokeweight=".25pt" strokecolor="#231f20">
              <v:path arrowok="t"/>
              <v:stroke dashstyle="solid"/>
            </v:shape>
            <v:shape style="position:absolute;left:2090;top:-2664;width:20;height:51" type="#_x0000_t75" stroked="false">
              <v:imagedata r:id="rId550" o:title=""/>
            </v:shape>
            <v:shape style="position:absolute;left:2017;top:-2732;width:51;height:167" type="#_x0000_t75" stroked="false">
              <v:imagedata r:id="rId551" o:title=""/>
            </v:shape>
            <v:shape style="position:absolute;left:1949;top:-2672;width:43;height:48" type="#_x0000_t75" stroked="false">
              <v:imagedata r:id="rId552" o:title=""/>
            </v:shape>
            <v:shape style="position:absolute;left:1802;top:-2820;width:353;height:353" coordorigin="1802,-2819" coordsize="353,353" path="m1987,-2819l1933,-2815,1888,-2798,1852,-2771,1826,-2735,1807,-2689,1802,-2634,1816,-2575,1843,-2530,1881,-2496,1927,-2474,1979,-2466,1988,-2466,1995,-2473,1995,-2491,1988,-2498,1979,-2498,1937,-2505,1899,-2523,1868,-2551,1846,-2587,1835,-2643,1846,-2697,1877,-2743,1924,-2775,1980,-2786,2079,-2786,2075,-2789,2045,-2805,1987,-2819xm1988,-2498l1979,-2498,1988,-2498,1988,-2498xm2079,-2786l1980,-2786,2034,-2775,2080,-2744,2112,-2697,2116,-2683,2120,-2670,2122,-2655,2122,-2643,2122,-2632,2130,-2625,2147,-2625,2155,-2632,2155,-2643,2154,-2658,2151,-2676,2147,-2693,2141,-2709,2124,-2741,2102,-2768,2079,-2786xe" filled="true" fillcolor="#ffe293" stroked="false">
              <v:path arrowok="t"/>
              <v:fill type="solid"/>
            </v:shape>
            <v:shape style="position:absolute;left:1802;top:-2820;width:353;height:353" coordorigin="1802,-2819" coordsize="353,353" path="m1852,-2771l1826,-2735,1807,-2689,1802,-2634,1816,-2575,1843,-2530,1881,-2496,1927,-2474,1979,-2466,1988,-2466,1995,-2473,1995,-2482,1995,-2491,1988,-2498,1979,-2498,1937,-2505,1899,-2523,1868,-2551,1846,-2587,1835,-2643,1846,-2697,1877,-2743,1924,-2775,1980,-2786,2034,-2775,2112,-2697,2123,-2641,2122,-2632,2130,-2625,2138,-2625,2147,-2625,2155,-2632,2155,-2641,2154,-2658,2124,-2741,2075,-2789,1987,-2819,1933,-2815,1888,-2798,1852,-2771xe" filled="false" stroked="true" strokeweight=".25pt" strokecolor="#b7705b">
              <v:path arrowok="t"/>
              <v:stroke dashstyle="solid"/>
            </v:shape>
            <v:shape style="position:absolute;left:1970;top:-2643;width:104;height:248" coordorigin="1971,-2643" coordsize="104,248" path="m1995,-2643l1980,-2630,1972,-2612,1971,-2591,1976,-2567,2011,-2522,2020,-2515,2029,-2505,2035,-2494,2040,-2476,2038,-2461,2031,-2447,2016,-2431,2004,-2420,2029,-2395,2041,-2406,2061,-2430,2073,-2455,2075,-2480,2067,-2507,2058,-2524,2046,-2537,2035,-2547,2027,-2554,2020,-2560,2015,-2565,2007,-2585,2005,-2593,2006,-2599,1995,-2643xe" filled="true" fillcolor="#f15b66" stroked="false">
              <v:path arrowok="t"/>
              <v:fill type="solid"/>
            </v:shape>
            <v:shape style="position:absolute;left:1970;top:-2643;width:104;height:248" coordorigin="1971,-2643" coordsize="104,248" path="m1995,-2643l1980,-2630,1972,-2612,1971,-2591,1976,-2567,2011,-2522,2020,-2515,2029,-2505,2035,-2494,2040,-2476,2038,-2461,2031,-2447,2016,-2431,2004,-2420,2029,-2395,2041,-2406,2061,-2430,2073,-2455,2075,-2480,2067,-2507,2058,-2524,2046,-2537,2035,-2547,2027,-2554,2020,-2560,2015,-2565,2009,-2579,2007,-2585,2005,-2593,2006,-2599e" filled="false" stroked="true" strokeweight=".25pt" strokecolor="#231f20">
              <v:path arrowok="t"/>
              <v:stroke dashstyle="solid"/>
            </v:shape>
            <v:shape style="position:absolute;left:2035;top:-2531;width:37;height:122" type="#_x0000_t75" stroked="false">
              <v:imagedata r:id="rId553" o:title=""/>
            </v:shape>
            <v:shape style="position:absolute;left:3505;top:-2859;width:1176;height:365" type="#_x0000_t202" filled="false" stroked="false">
              <v:textbox inset="0,0,0,0">
                <w:txbxContent>
                  <w:p>
                    <w:pPr>
                      <w:spacing w:line="235" w:lineRule="auto" w:before="2"/>
                      <w:ind w:left="106" w:right="0" w:hanging="107"/>
                      <w:jc w:val="left"/>
                      <w:rPr>
                        <w:rFonts w:ascii="Helvetica"/>
                        <w:sz w:val="16"/>
                      </w:rPr>
                    </w:pPr>
                    <w:r>
                      <w:rPr>
                        <w:rFonts w:ascii="Helvetica"/>
                        <w:color w:val="231F20"/>
                        <w:sz w:val="16"/>
                      </w:rPr>
                      <w:t>Thick ascending loop of Henle</w:t>
                    </w:r>
                  </w:p>
                </w:txbxContent>
              </v:textbox>
              <w10:wrap type="none"/>
            </v:shape>
            <v:shape style="position:absolute;left:2194;top:-2360;width:34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25%</w:t>
                    </w:r>
                  </w:p>
                </w:txbxContent>
              </v:textbox>
              <w10:wrap type="none"/>
            </v:shape>
            <v:shape style="position:absolute;left:4582;top:-2076;width:930;height:202" type="#_x0000_t202" filled="false" stroked="false">
              <v:textbox inset="0,0,0,0">
                <w:txbxContent>
                  <w:p>
                    <w:pPr>
                      <w:spacing w:before="3"/>
                      <w:ind w:left="0" w:right="0" w:firstLine="0"/>
                      <w:jc w:val="left"/>
                      <w:rPr>
                        <w:rFonts w:ascii="Helvetica" w:hAnsi="Helvetica"/>
                        <w:b/>
                        <w:sz w:val="16"/>
                      </w:rPr>
                    </w:pPr>
                    <w:r>
                      <w:rPr>
                        <w:rFonts w:ascii="Helvetica" w:hAnsi="Helvetica"/>
                        <w:b/>
                        <w:color w:val="231F20"/>
                        <w:sz w:val="16"/>
                      </w:rPr>
                      <w:t>Na</w:t>
                    </w:r>
                    <w:r>
                      <w:rPr>
                        <w:rFonts w:ascii="Helvetica" w:hAnsi="Helvetica"/>
                        <w:b/>
                        <w:color w:val="231F20"/>
                        <w:position w:val="5"/>
                        <w:sz w:val="12"/>
                      </w:rPr>
                      <w:t>+</w:t>
                    </w:r>
                    <w:r>
                      <w:rPr>
                        <w:rFonts w:ascii="Helvetica" w:hAnsi="Helvetica"/>
                        <w:b/>
                        <w:color w:val="231F20"/>
                        <w:sz w:val="16"/>
                      </w:rPr>
                      <w:t>, Cl</w:t>
                    </w:r>
                    <w:r>
                      <w:rPr>
                        <w:rFonts w:ascii="Helvetica" w:hAnsi="Helvetica"/>
                        <w:b/>
                        <w:color w:val="231F20"/>
                        <w:position w:val="5"/>
                        <w:sz w:val="12"/>
                      </w:rPr>
                      <w:t>–</w:t>
                    </w:r>
                    <w:r>
                      <w:rPr>
                        <w:rFonts w:ascii="Helvetica" w:hAnsi="Helvetica"/>
                        <w:b/>
                        <w:color w:val="231F20"/>
                        <w:sz w:val="16"/>
                      </w:rPr>
                      <w:t>, K</w:t>
                    </w:r>
                    <w:r>
                      <w:rPr>
                        <w:rFonts w:ascii="Helvetica" w:hAnsi="Helvetica"/>
                        <w:b/>
                        <w:color w:val="231F20"/>
                        <w:position w:val="5"/>
                        <w:sz w:val="12"/>
                      </w:rPr>
                      <w:t>+</w:t>
                    </w:r>
                    <w:r>
                      <w:rPr>
                        <w:rFonts w:ascii="Helvetica" w:hAnsi="Helvetica"/>
                        <w:b/>
                        <w:color w:val="231F20"/>
                        <w:sz w:val="16"/>
                      </w:rPr>
                      <w:t>,</w:t>
                    </w:r>
                  </w:p>
                </w:txbxContent>
              </v:textbox>
              <w10:wrap type="none"/>
            </v:shape>
            <v:shape style="position:absolute;left:4345;top:-1896;width:1403;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Ca</w:t>
                    </w:r>
                    <w:r>
                      <w:rPr>
                        <w:rFonts w:ascii="Helvetica" w:hAnsi="Helvetica"/>
                        <w:b/>
                        <w:color w:val="231F20"/>
                        <w:position w:val="5"/>
                        <w:sz w:val="12"/>
                      </w:rPr>
                      <w:t>++</w:t>
                    </w:r>
                    <w:r>
                      <w:rPr>
                        <w:rFonts w:ascii="Helvetica" w:hAnsi="Helvetica"/>
                        <w:b/>
                        <w:color w:val="231F20"/>
                        <w:sz w:val="16"/>
                      </w:rPr>
                      <w:t>, HCO </w:t>
                    </w:r>
                    <w:r>
                      <w:rPr>
                        <w:rFonts w:ascii="Helvetica" w:hAnsi="Helvetica"/>
                        <w:b/>
                        <w:color w:val="231F20"/>
                        <w:position w:val="5"/>
                        <w:sz w:val="12"/>
                      </w:rPr>
                      <w:t>–</w:t>
                    </w:r>
                    <w:r>
                      <w:rPr>
                        <w:rFonts w:ascii="Helvetica" w:hAnsi="Helvetica"/>
                        <w:b/>
                        <w:color w:val="231F20"/>
                        <w:sz w:val="16"/>
                      </w:rPr>
                      <w:t>, Mg</w:t>
                    </w:r>
                    <w:r>
                      <w:rPr>
                        <w:rFonts w:ascii="Helvetica" w:hAnsi="Helvetica"/>
                        <w:b/>
                        <w:color w:val="231F20"/>
                        <w:position w:val="5"/>
                        <w:sz w:val="12"/>
                      </w:rPr>
                      <w:t>++</w:t>
                    </w:r>
                  </w:p>
                </w:txbxContent>
              </v:textbox>
              <w10:wrap type="none"/>
            </v:shape>
            <v:shape style="position:absolute;left:5134;top:-1816;width:87;height:143" type="#_x0000_t202" filled="false" stroked="false">
              <v:textbox inset="0,0,0,0">
                <w:txbxContent>
                  <w:p>
                    <w:pPr>
                      <w:spacing w:before="3"/>
                      <w:ind w:left="0" w:right="0" w:firstLine="0"/>
                      <w:jc w:val="left"/>
                      <w:rPr>
                        <w:rFonts w:ascii="Helvetica"/>
                        <w:b/>
                        <w:sz w:val="12"/>
                      </w:rPr>
                    </w:pPr>
                    <w:r>
                      <w:rPr>
                        <w:rFonts w:ascii="Helvetica"/>
                        <w:b/>
                        <w:color w:val="231F20"/>
                        <w:w w:val="99"/>
                        <w:sz w:val="12"/>
                      </w:rPr>
                      <w:t>3</w:t>
                    </w:r>
                  </w:p>
                </w:txbxContent>
              </v:textbox>
              <w10:wrap type="none"/>
            </v:shape>
            <v:shape style="position:absolute;left:3795;top:-1482;width:572;height:365" type="#_x0000_t202" filled="false" stroked="false">
              <v:textbox inset="0,0,0,0">
                <w:txbxContent>
                  <w:p>
                    <w:pPr>
                      <w:spacing w:line="235" w:lineRule="auto" w:before="2"/>
                      <w:ind w:left="0" w:right="0" w:firstLine="62"/>
                      <w:jc w:val="left"/>
                      <w:rPr>
                        <w:rFonts w:ascii="Helvetica"/>
                        <w:sz w:val="16"/>
                      </w:rPr>
                    </w:pPr>
                    <w:r>
                      <w:rPr>
                        <w:rFonts w:ascii="Helvetica"/>
                        <w:color w:val="231F20"/>
                        <w:sz w:val="16"/>
                      </w:rPr>
                      <w:t>Hypo- osmotic</w:t>
                    </w:r>
                  </w:p>
                </w:txbxContent>
              </v:textbox>
              <w10:wrap type="none"/>
            </v:shape>
            <v:shape style="position:absolute;left:4570;top:-895;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w10:wrap type="none"/>
          </v:group>
        </w:pict>
      </w:r>
      <w:bookmarkStart w:name="_bookmark47" w:id="48"/>
      <w:bookmarkEnd w:id="48"/>
      <w:r>
        <w:rPr/>
      </w:r>
      <w:r>
        <w:rPr>
          <w:rFonts w:ascii="Trebuchet MS" w:hAnsi="Trebuchet MS"/>
          <w:b/>
          <w:color w:val="231F20"/>
          <w:sz w:val="16"/>
        </w:rPr>
        <w:t>Figure</w:t>
      </w:r>
      <w:r>
        <w:rPr>
          <w:rFonts w:ascii="Trebuchet MS" w:hAnsi="Trebuchet MS"/>
          <w:b/>
          <w:color w:val="231F20"/>
          <w:spacing w:val="-11"/>
          <w:sz w:val="16"/>
        </w:rPr>
        <w:t> </w:t>
      </w:r>
      <w:r>
        <w:rPr>
          <w:rFonts w:ascii="Trebuchet MS" w:hAnsi="Trebuchet MS"/>
          <w:b/>
          <w:color w:val="231F20"/>
          <w:sz w:val="16"/>
        </w:rPr>
        <w:t>28­8.</w:t>
      </w:r>
      <w:r>
        <w:rPr>
          <w:rFonts w:ascii="Trebuchet MS" w:hAnsi="Trebuchet MS"/>
          <w:b/>
          <w:color w:val="231F20"/>
          <w:spacing w:val="2"/>
          <w:sz w:val="16"/>
        </w:rPr>
        <w:t> </w:t>
      </w:r>
      <w:r>
        <w:rPr>
          <w:rFonts w:ascii="Arial" w:hAnsi="Arial"/>
          <w:color w:val="231F20"/>
          <w:sz w:val="16"/>
        </w:rPr>
        <w:t>Cellular</w:t>
      </w:r>
      <w:r>
        <w:rPr>
          <w:rFonts w:ascii="Arial" w:hAnsi="Arial"/>
          <w:color w:val="231F20"/>
          <w:spacing w:val="-6"/>
          <w:sz w:val="16"/>
        </w:rPr>
        <w:t> </w:t>
      </w:r>
      <w:r>
        <w:rPr>
          <w:rFonts w:ascii="Arial" w:hAnsi="Arial"/>
          <w:color w:val="231F20"/>
          <w:sz w:val="16"/>
        </w:rPr>
        <w:t>ultrastructure</w:t>
      </w:r>
      <w:r>
        <w:rPr>
          <w:rFonts w:ascii="Arial" w:hAnsi="Arial"/>
          <w:color w:val="231F20"/>
          <w:spacing w:val="-7"/>
          <w:sz w:val="16"/>
        </w:rPr>
        <w:t> </w:t>
      </w:r>
      <w:r>
        <w:rPr>
          <w:rFonts w:ascii="Arial" w:hAnsi="Arial"/>
          <w:color w:val="231F20"/>
          <w:sz w:val="16"/>
        </w:rPr>
        <w:t>and</w:t>
      </w:r>
      <w:r>
        <w:rPr>
          <w:rFonts w:ascii="Arial" w:hAnsi="Arial"/>
          <w:color w:val="231F20"/>
          <w:spacing w:val="-6"/>
          <w:sz w:val="16"/>
        </w:rPr>
        <w:t> </w:t>
      </w:r>
      <w:r>
        <w:rPr>
          <w:rFonts w:ascii="Arial" w:hAnsi="Arial"/>
          <w:color w:val="231F20"/>
          <w:sz w:val="16"/>
        </w:rPr>
        <w:t>transport</w:t>
      </w:r>
      <w:r>
        <w:rPr>
          <w:rFonts w:ascii="Arial" w:hAnsi="Arial"/>
          <w:color w:val="231F20"/>
          <w:spacing w:val="-6"/>
          <w:sz w:val="16"/>
        </w:rPr>
        <w:t> </w:t>
      </w:r>
      <w:r>
        <w:rPr>
          <w:rFonts w:ascii="Arial" w:hAnsi="Arial"/>
          <w:color w:val="231F20"/>
          <w:sz w:val="16"/>
        </w:rPr>
        <w:t>characteristics</w:t>
      </w:r>
      <w:r>
        <w:rPr>
          <w:rFonts w:ascii="Arial" w:hAnsi="Arial"/>
          <w:color w:val="231F20"/>
          <w:spacing w:val="-7"/>
          <w:sz w:val="16"/>
        </w:rPr>
        <w:t> </w:t>
      </w:r>
      <w:r>
        <w:rPr>
          <w:rFonts w:ascii="Arial" w:hAnsi="Arial"/>
          <w:color w:val="231F20"/>
          <w:spacing w:val="-8"/>
          <w:sz w:val="16"/>
        </w:rPr>
        <w:t>of </w:t>
      </w:r>
      <w:r>
        <w:rPr>
          <w:rFonts w:ascii="Arial" w:hAnsi="Arial"/>
          <w:color w:val="231F20"/>
          <w:sz w:val="16"/>
        </w:rPr>
        <w:t>the thin descending loop of Henle (</w:t>
      </w:r>
      <w:r>
        <w:rPr>
          <w:rFonts w:ascii="Lucida Sans" w:hAnsi="Lucida Sans"/>
          <w:i/>
          <w:color w:val="231F20"/>
          <w:sz w:val="16"/>
        </w:rPr>
        <w:t>top</w:t>
      </w:r>
      <w:r>
        <w:rPr>
          <w:rFonts w:ascii="Arial" w:hAnsi="Arial"/>
          <w:color w:val="231F20"/>
          <w:sz w:val="16"/>
        </w:rPr>
        <w:t>) and the thick ascending segment</w:t>
      </w:r>
      <w:r>
        <w:rPr>
          <w:rFonts w:ascii="Arial" w:hAnsi="Arial"/>
          <w:color w:val="231F20"/>
          <w:spacing w:val="-6"/>
          <w:sz w:val="16"/>
        </w:rPr>
        <w:t> </w:t>
      </w:r>
      <w:r>
        <w:rPr>
          <w:rFonts w:ascii="Arial" w:hAnsi="Arial"/>
          <w:color w:val="231F20"/>
          <w:sz w:val="16"/>
        </w:rPr>
        <w:t>of</w:t>
      </w:r>
      <w:r>
        <w:rPr>
          <w:rFonts w:ascii="Arial" w:hAnsi="Arial"/>
          <w:color w:val="231F20"/>
          <w:spacing w:val="-5"/>
          <w:sz w:val="16"/>
        </w:rPr>
        <w:t> </w:t>
      </w:r>
      <w:r>
        <w:rPr>
          <w:rFonts w:ascii="Arial" w:hAnsi="Arial"/>
          <w:color w:val="231F20"/>
          <w:sz w:val="16"/>
        </w:rPr>
        <w:t>the</w:t>
      </w:r>
      <w:r>
        <w:rPr>
          <w:rFonts w:ascii="Arial" w:hAnsi="Arial"/>
          <w:color w:val="231F20"/>
          <w:spacing w:val="-5"/>
          <w:sz w:val="16"/>
        </w:rPr>
        <w:t> </w:t>
      </w:r>
      <w:r>
        <w:rPr>
          <w:rFonts w:ascii="Arial" w:hAnsi="Arial"/>
          <w:color w:val="231F20"/>
          <w:sz w:val="16"/>
        </w:rPr>
        <w:t>loop</w:t>
      </w:r>
      <w:r>
        <w:rPr>
          <w:rFonts w:ascii="Arial" w:hAnsi="Arial"/>
          <w:color w:val="231F20"/>
          <w:spacing w:val="-5"/>
          <w:sz w:val="16"/>
        </w:rPr>
        <w:t> </w:t>
      </w:r>
      <w:r>
        <w:rPr>
          <w:rFonts w:ascii="Arial" w:hAnsi="Arial"/>
          <w:color w:val="231F20"/>
          <w:sz w:val="16"/>
        </w:rPr>
        <w:t>of</w:t>
      </w:r>
      <w:r>
        <w:rPr>
          <w:rFonts w:ascii="Arial" w:hAnsi="Arial"/>
          <w:color w:val="231F20"/>
          <w:spacing w:val="-5"/>
          <w:sz w:val="16"/>
        </w:rPr>
        <w:t> </w:t>
      </w:r>
      <w:r>
        <w:rPr>
          <w:rFonts w:ascii="Arial" w:hAnsi="Arial"/>
          <w:color w:val="231F20"/>
          <w:sz w:val="16"/>
        </w:rPr>
        <w:t>Henle</w:t>
      </w:r>
      <w:r>
        <w:rPr>
          <w:rFonts w:ascii="Arial" w:hAnsi="Arial"/>
          <w:color w:val="231F20"/>
          <w:spacing w:val="-5"/>
          <w:sz w:val="16"/>
        </w:rPr>
        <w:t> </w:t>
      </w:r>
      <w:r>
        <w:rPr>
          <w:rFonts w:ascii="Arial" w:hAnsi="Arial"/>
          <w:color w:val="231F20"/>
          <w:sz w:val="16"/>
        </w:rPr>
        <w:t>(</w:t>
      </w:r>
      <w:r>
        <w:rPr>
          <w:rFonts w:ascii="Lucida Sans" w:hAnsi="Lucida Sans"/>
          <w:i/>
          <w:color w:val="231F20"/>
          <w:sz w:val="16"/>
        </w:rPr>
        <w:t>bottom</w:t>
      </w:r>
      <w:r>
        <w:rPr>
          <w:rFonts w:ascii="Arial" w:hAnsi="Arial"/>
          <w:color w:val="231F20"/>
          <w:sz w:val="16"/>
        </w:rPr>
        <w:t>).</w:t>
      </w:r>
      <w:r>
        <w:rPr>
          <w:rFonts w:ascii="Arial" w:hAnsi="Arial"/>
          <w:color w:val="231F20"/>
          <w:spacing w:val="-5"/>
          <w:sz w:val="16"/>
        </w:rPr>
        <w:t> </w:t>
      </w:r>
      <w:r>
        <w:rPr>
          <w:rFonts w:ascii="Arial" w:hAnsi="Arial"/>
          <w:color w:val="231F20"/>
          <w:sz w:val="16"/>
        </w:rPr>
        <w:t>The</w:t>
      </w:r>
      <w:r>
        <w:rPr>
          <w:rFonts w:ascii="Arial" w:hAnsi="Arial"/>
          <w:color w:val="231F20"/>
          <w:spacing w:val="-5"/>
          <w:sz w:val="16"/>
        </w:rPr>
        <w:t> </w:t>
      </w:r>
      <w:r>
        <w:rPr>
          <w:rFonts w:ascii="Arial" w:hAnsi="Arial"/>
          <w:color w:val="231F20"/>
          <w:sz w:val="16"/>
        </w:rPr>
        <w:t>descending</w:t>
      </w:r>
      <w:r>
        <w:rPr>
          <w:rFonts w:ascii="Arial" w:hAnsi="Arial"/>
          <w:color w:val="231F20"/>
          <w:spacing w:val="-5"/>
          <w:sz w:val="16"/>
        </w:rPr>
        <w:t> </w:t>
      </w:r>
      <w:r>
        <w:rPr>
          <w:rFonts w:ascii="Arial" w:hAnsi="Arial"/>
          <w:color w:val="231F20"/>
          <w:sz w:val="16"/>
        </w:rPr>
        <w:t>part</w:t>
      </w:r>
      <w:r>
        <w:rPr>
          <w:rFonts w:ascii="Arial" w:hAnsi="Arial"/>
          <w:color w:val="231F20"/>
          <w:spacing w:val="-5"/>
          <w:sz w:val="16"/>
        </w:rPr>
        <w:t> </w:t>
      </w:r>
      <w:r>
        <w:rPr>
          <w:rFonts w:ascii="Arial" w:hAnsi="Arial"/>
          <w:color w:val="231F20"/>
          <w:sz w:val="16"/>
        </w:rPr>
        <w:t>of</w:t>
      </w:r>
      <w:r>
        <w:rPr>
          <w:rFonts w:ascii="Arial" w:hAnsi="Arial"/>
          <w:color w:val="231F20"/>
          <w:spacing w:val="-5"/>
          <w:sz w:val="16"/>
        </w:rPr>
        <w:t> </w:t>
      </w:r>
      <w:r>
        <w:rPr>
          <w:rFonts w:ascii="Arial" w:hAnsi="Arial"/>
          <w:color w:val="231F20"/>
          <w:spacing w:val="-6"/>
          <w:sz w:val="16"/>
        </w:rPr>
        <w:t>the </w:t>
      </w:r>
      <w:r>
        <w:rPr>
          <w:rFonts w:ascii="Arial" w:hAnsi="Arial"/>
          <w:color w:val="231F20"/>
          <w:sz w:val="16"/>
        </w:rPr>
        <w:t>thin segment of the loop of Henle is highly permeable to water </w:t>
      </w:r>
      <w:r>
        <w:rPr>
          <w:rFonts w:ascii="Arial" w:hAnsi="Arial"/>
          <w:color w:val="231F20"/>
          <w:spacing w:val="-6"/>
          <w:sz w:val="16"/>
        </w:rPr>
        <w:t>and </w:t>
      </w:r>
      <w:r>
        <w:rPr>
          <w:rFonts w:ascii="Arial" w:hAnsi="Arial"/>
          <w:color w:val="231F20"/>
          <w:sz w:val="16"/>
        </w:rPr>
        <w:t>moderately</w:t>
      </w:r>
      <w:r>
        <w:rPr>
          <w:rFonts w:ascii="Arial" w:hAnsi="Arial"/>
          <w:color w:val="231F20"/>
          <w:spacing w:val="-19"/>
          <w:sz w:val="16"/>
        </w:rPr>
        <w:t> </w:t>
      </w:r>
      <w:r>
        <w:rPr>
          <w:rFonts w:ascii="Arial" w:hAnsi="Arial"/>
          <w:color w:val="231F20"/>
          <w:sz w:val="16"/>
        </w:rPr>
        <w:t>permeable</w:t>
      </w:r>
      <w:r>
        <w:rPr>
          <w:rFonts w:ascii="Arial" w:hAnsi="Arial"/>
          <w:color w:val="231F20"/>
          <w:spacing w:val="-18"/>
          <w:sz w:val="16"/>
        </w:rPr>
        <w:t> </w:t>
      </w:r>
      <w:r>
        <w:rPr>
          <w:rFonts w:ascii="Arial" w:hAnsi="Arial"/>
          <w:color w:val="231F20"/>
          <w:sz w:val="16"/>
        </w:rPr>
        <w:t>to</w:t>
      </w:r>
      <w:r>
        <w:rPr>
          <w:rFonts w:ascii="Arial" w:hAnsi="Arial"/>
          <w:color w:val="231F20"/>
          <w:spacing w:val="-18"/>
          <w:sz w:val="16"/>
        </w:rPr>
        <w:t> </w:t>
      </w:r>
      <w:r>
        <w:rPr>
          <w:rFonts w:ascii="Arial" w:hAnsi="Arial"/>
          <w:color w:val="231F20"/>
          <w:sz w:val="16"/>
        </w:rPr>
        <w:t>most</w:t>
      </w:r>
      <w:r>
        <w:rPr>
          <w:rFonts w:ascii="Arial" w:hAnsi="Arial"/>
          <w:color w:val="231F20"/>
          <w:spacing w:val="-19"/>
          <w:sz w:val="16"/>
        </w:rPr>
        <w:t> </w:t>
      </w:r>
      <w:r>
        <w:rPr>
          <w:rFonts w:ascii="Arial" w:hAnsi="Arial"/>
          <w:color w:val="231F20"/>
          <w:sz w:val="16"/>
        </w:rPr>
        <w:t>solutes</w:t>
      </w:r>
      <w:r>
        <w:rPr>
          <w:rFonts w:ascii="Arial" w:hAnsi="Arial"/>
          <w:color w:val="231F20"/>
          <w:spacing w:val="-18"/>
          <w:sz w:val="16"/>
        </w:rPr>
        <w:t> </w:t>
      </w:r>
      <w:r>
        <w:rPr>
          <w:rFonts w:ascii="Arial" w:hAnsi="Arial"/>
          <w:color w:val="231F20"/>
          <w:sz w:val="16"/>
        </w:rPr>
        <w:t>but</w:t>
      </w:r>
      <w:r>
        <w:rPr>
          <w:rFonts w:ascii="Arial" w:hAnsi="Arial"/>
          <w:color w:val="231F20"/>
          <w:spacing w:val="-18"/>
          <w:sz w:val="16"/>
        </w:rPr>
        <w:t> </w:t>
      </w:r>
      <w:r>
        <w:rPr>
          <w:rFonts w:ascii="Arial" w:hAnsi="Arial"/>
          <w:color w:val="231F20"/>
          <w:sz w:val="16"/>
        </w:rPr>
        <w:t>has</w:t>
      </w:r>
      <w:r>
        <w:rPr>
          <w:rFonts w:ascii="Arial" w:hAnsi="Arial"/>
          <w:color w:val="231F20"/>
          <w:spacing w:val="-19"/>
          <w:sz w:val="16"/>
        </w:rPr>
        <w:t> </w:t>
      </w:r>
      <w:r>
        <w:rPr>
          <w:rFonts w:ascii="Arial" w:hAnsi="Arial"/>
          <w:color w:val="231F20"/>
          <w:sz w:val="16"/>
        </w:rPr>
        <w:t>few</w:t>
      </w:r>
      <w:r>
        <w:rPr>
          <w:rFonts w:ascii="Arial" w:hAnsi="Arial"/>
          <w:color w:val="231F20"/>
          <w:spacing w:val="-18"/>
          <w:sz w:val="16"/>
        </w:rPr>
        <w:t> </w:t>
      </w:r>
      <w:r>
        <w:rPr>
          <w:rFonts w:ascii="Arial" w:hAnsi="Arial"/>
          <w:color w:val="231F20"/>
          <w:sz w:val="16"/>
        </w:rPr>
        <w:t>mitochondria</w:t>
      </w:r>
      <w:r>
        <w:rPr>
          <w:rFonts w:ascii="Arial" w:hAnsi="Arial"/>
          <w:color w:val="231F20"/>
          <w:spacing w:val="-18"/>
          <w:sz w:val="16"/>
        </w:rPr>
        <w:t> </w:t>
      </w:r>
      <w:r>
        <w:rPr>
          <w:rFonts w:ascii="Arial" w:hAnsi="Arial"/>
          <w:color w:val="231F20"/>
          <w:spacing w:val="-5"/>
          <w:sz w:val="16"/>
        </w:rPr>
        <w:t>and </w:t>
      </w:r>
      <w:r>
        <w:rPr>
          <w:rFonts w:ascii="Arial" w:hAnsi="Arial"/>
          <w:color w:val="231F20"/>
          <w:sz w:val="16"/>
        </w:rPr>
        <w:t>little</w:t>
      </w:r>
      <w:r>
        <w:rPr>
          <w:rFonts w:ascii="Arial" w:hAnsi="Arial"/>
          <w:color w:val="231F20"/>
          <w:spacing w:val="-5"/>
          <w:sz w:val="16"/>
        </w:rPr>
        <w:t> </w:t>
      </w:r>
      <w:r>
        <w:rPr>
          <w:rFonts w:ascii="Arial" w:hAnsi="Arial"/>
          <w:color w:val="231F20"/>
          <w:sz w:val="16"/>
        </w:rPr>
        <w:t>or</w:t>
      </w:r>
      <w:r>
        <w:rPr>
          <w:rFonts w:ascii="Arial" w:hAnsi="Arial"/>
          <w:color w:val="231F20"/>
          <w:spacing w:val="-5"/>
          <w:sz w:val="16"/>
        </w:rPr>
        <w:t> </w:t>
      </w:r>
      <w:r>
        <w:rPr>
          <w:rFonts w:ascii="Arial" w:hAnsi="Arial"/>
          <w:color w:val="231F20"/>
          <w:sz w:val="16"/>
        </w:rPr>
        <w:t>no</w:t>
      </w:r>
      <w:r>
        <w:rPr>
          <w:rFonts w:ascii="Arial" w:hAnsi="Arial"/>
          <w:color w:val="231F20"/>
          <w:spacing w:val="-4"/>
          <w:sz w:val="16"/>
        </w:rPr>
        <w:t> </w:t>
      </w:r>
      <w:r>
        <w:rPr>
          <w:rFonts w:ascii="Arial" w:hAnsi="Arial"/>
          <w:color w:val="231F20"/>
          <w:sz w:val="16"/>
        </w:rPr>
        <w:t>active</w:t>
      </w:r>
      <w:r>
        <w:rPr>
          <w:rFonts w:ascii="Arial" w:hAnsi="Arial"/>
          <w:color w:val="231F20"/>
          <w:spacing w:val="-5"/>
          <w:sz w:val="16"/>
        </w:rPr>
        <w:t> </w:t>
      </w:r>
      <w:r>
        <w:rPr>
          <w:rFonts w:ascii="Arial" w:hAnsi="Arial"/>
          <w:color w:val="231F20"/>
          <w:sz w:val="16"/>
        </w:rPr>
        <w:t>reabsorption.</w:t>
      </w:r>
      <w:r>
        <w:rPr>
          <w:rFonts w:ascii="Arial" w:hAnsi="Arial"/>
          <w:color w:val="231F20"/>
          <w:spacing w:val="-5"/>
          <w:sz w:val="16"/>
        </w:rPr>
        <w:t> </w:t>
      </w:r>
      <w:r>
        <w:rPr>
          <w:rFonts w:ascii="Arial" w:hAnsi="Arial"/>
          <w:color w:val="231F20"/>
          <w:sz w:val="16"/>
        </w:rPr>
        <w:t>The</w:t>
      </w:r>
      <w:r>
        <w:rPr>
          <w:rFonts w:ascii="Arial" w:hAnsi="Arial"/>
          <w:color w:val="231F20"/>
          <w:spacing w:val="-4"/>
          <w:sz w:val="16"/>
        </w:rPr>
        <w:t> </w:t>
      </w:r>
      <w:r>
        <w:rPr>
          <w:rFonts w:ascii="Arial" w:hAnsi="Arial"/>
          <w:color w:val="231F20"/>
          <w:sz w:val="16"/>
        </w:rPr>
        <w:t>thick</w:t>
      </w:r>
      <w:r>
        <w:rPr>
          <w:rFonts w:ascii="Arial" w:hAnsi="Arial"/>
          <w:color w:val="231F20"/>
          <w:spacing w:val="-5"/>
          <w:sz w:val="16"/>
        </w:rPr>
        <w:t> </w:t>
      </w:r>
      <w:r>
        <w:rPr>
          <w:rFonts w:ascii="Arial" w:hAnsi="Arial"/>
          <w:color w:val="231F20"/>
          <w:sz w:val="16"/>
        </w:rPr>
        <w:t>ascending</w:t>
      </w:r>
      <w:r>
        <w:rPr>
          <w:rFonts w:ascii="Arial" w:hAnsi="Arial"/>
          <w:color w:val="231F20"/>
          <w:spacing w:val="-5"/>
          <w:sz w:val="16"/>
        </w:rPr>
        <w:t> </w:t>
      </w:r>
      <w:r>
        <w:rPr>
          <w:rFonts w:ascii="Arial" w:hAnsi="Arial"/>
          <w:color w:val="231F20"/>
          <w:sz w:val="16"/>
        </w:rPr>
        <w:t>limb</w:t>
      </w:r>
      <w:r>
        <w:rPr>
          <w:rFonts w:ascii="Arial" w:hAnsi="Arial"/>
          <w:color w:val="231F20"/>
          <w:spacing w:val="-4"/>
          <w:sz w:val="16"/>
        </w:rPr>
        <w:t> </w:t>
      </w:r>
      <w:r>
        <w:rPr>
          <w:rFonts w:ascii="Arial" w:hAnsi="Arial"/>
          <w:color w:val="231F20"/>
          <w:sz w:val="16"/>
        </w:rPr>
        <w:t>of</w:t>
      </w:r>
      <w:r>
        <w:rPr>
          <w:rFonts w:ascii="Arial" w:hAnsi="Arial"/>
          <w:color w:val="231F20"/>
          <w:spacing w:val="-5"/>
          <w:sz w:val="16"/>
        </w:rPr>
        <w:t> </w:t>
      </w:r>
      <w:r>
        <w:rPr>
          <w:rFonts w:ascii="Arial" w:hAnsi="Arial"/>
          <w:color w:val="231F20"/>
          <w:sz w:val="16"/>
        </w:rPr>
        <w:t>the</w:t>
      </w:r>
      <w:r>
        <w:rPr>
          <w:rFonts w:ascii="Arial" w:hAnsi="Arial"/>
          <w:color w:val="231F20"/>
          <w:spacing w:val="-5"/>
          <w:sz w:val="16"/>
        </w:rPr>
        <w:t> </w:t>
      </w:r>
      <w:r>
        <w:rPr>
          <w:rFonts w:ascii="Arial" w:hAnsi="Arial"/>
          <w:color w:val="231F20"/>
          <w:spacing w:val="-4"/>
          <w:sz w:val="16"/>
        </w:rPr>
        <w:t>loop </w:t>
      </w:r>
      <w:r>
        <w:rPr>
          <w:rFonts w:ascii="Arial" w:hAnsi="Arial"/>
          <w:color w:val="231F20"/>
          <w:sz w:val="16"/>
        </w:rPr>
        <w:t>of</w:t>
      </w:r>
      <w:r>
        <w:rPr>
          <w:rFonts w:ascii="Arial" w:hAnsi="Arial"/>
          <w:color w:val="231F20"/>
          <w:spacing w:val="-11"/>
          <w:sz w:val="16"/>
        </w:rPr>
        <w:t> </w:t>
      </w:r>
      <w:r>
        <w:rPr>
          <w:rFonts w:ascii="Arial" w:hAnsi="Arial"/>
          <w:color w:val="231F20"/>
          <w:sz w:val="16"/>
        </w:rPr>
        <w:t>Henle</w:t>
      </w:r>
      <w:r>
        <w:rPr>
          <w:rFonts w:ascii="Arial" w:hAnsi="Arial"/>
          <w:color w:val="231F20"/>
          <w:spacing w:val="-10"/>
          <w:sz w:val="16"/>
        </w:rPr>
        <w:t> </w:t>
      </w:r>
      <w:r>
        <w:rPr>
          <w:rFonts w:ascii="Arial" w:hAnsi="Arial"/>
          <w:color w:val="231F20"/>
          <w:sz w:val="16"/>
        </w:rPr>
        <w:t>reabsorbs</w:t>
      </w:r>
      <w:r>
        <w:rPr>
          <w:rFonts w:ascii="Arial" w:hAnsi="Arial"/>
          <w:color w:val="231F20"/>
          <w:spacing w:val="-10"/>
          <w:sz w:val="16"/>
        </w:rPr>
        <w:t> </w:t>
      </w:r>
      <w:r>
        <w:rPr>
          <w:rFonts w:ascii="Arial" w:hAnsi="Arial"/>
          <w:color w:val="231F20"/>
          <w:sz w:val="16"/>
        </w:rPr>
        <w:t>about</w:t>
      </w:r>
      <w:r>
        <w:rPr>
          <w:rFonts w:ascii="Arial" w:hAnsi="Arial"/>
          <w:color w:val="231F20"/>
          <w:spacing w:val="-10"/>
          <w:sz w:val="16"/>
        </w:rPr>
        <w:t> </w:t>
      </w:r>
      <w:r>
        <w:rPr>
          <w:rFonts w:ascii="Arial" w:hAnsi="Arial"/>
          <w:color w:val="231F20"/>
          <w:sz w:val="16"/>
        </w:rPr>
        <w:t>25</w:t>
      </w:r>
      <w:r>
        <w:rPr>
          <w:rFonts w:ascii="Arial" w:hAnsi="Arial"/>
          <w:color w:val="231F20"/>
          <w:spacing w:val="-10"/>
          <w:sz w:val="16"/>
        </w:rPr>
        <w:t> </w:t>
      </w:r>
      <w:r>
        <w:rPr>
          <w:rFonts w:ascii="Arial" w:hAnsi="Arial"/>
          <w:color w:val="231F20"/>
          <w:sz w:val="16"/>
        </w:rPr>
        <w:t>percent</w:t>
      </w:r>
      <w:r>
        <w:rPr>
          <w:rFonts w:ascii="Arial" w:hAnsi="Arial"/>
          <w:color w:val="231F20"/>
          <w:spacing w:val="-10"/>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the</w:t>
      </w:r>
      <w:r>
        <w:rPr>
          <w:rFonts w:ascii="Arial" w:hAnsi="Arial"/>
          <w:color w:val="231F20"/>
          <w:spacing w:val="-10"/>
          <w:sz w:val="16"/>
        </w:rPr>
        <w:t> </w:t>
      </w:r>
      <w:r>
        <w:rPr>
          <w:rFonts w:ascii="Arial" w:hAnsi="Arial"/>
          <w:color w:val="231F20"/>
          <w:sz w:val="16"/>
        </w:rPr>
        <w:t>filtered</w:t>
      </w:r>
      <w:r>
        <w:rPr>
          <w:rFonts w:ascii="Arial" w:hAnsi="Arial"/>
          <w:color w:val="231F20"/>
          <w:spacing w:val="-10"/>
          <w:sz w:val="16"/>
        </w:rPr>
        <w:t> </w:t>
      </w:r>
      <w:r>
        <w:rPr>
          <w:rFonts w:ascii="Arial" w:hAnsi="Arial"/>
          <w:color w:val="231F20"/>
          <w:sz w:val="16"/>
        </w:rPr>
        <w:t>loads</w:t>
      </w:r>
      <w:r>
        <w:rPr>
          <w:rFonts w:ascii="Arial" w:hAnsi="Arial"/>
          <w:color w:val="231F20"/>
          <w:spacing w:val="-10"/>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sodium, chloride,</w:t>
      </w:r>
      <w:r>
        <w:rPr>
          <w:rFonts w:ascii="Arial" w:hAnsi="Arial"/>
          <w:color w:val="231F20"/>
          <w:spacing w:val="-10"/>
          <w:sz w:val="16"/>
        </w:rPr>
        <w:t> </w:t>
      </w:r>
      <w:r>
        <w:rPr>
          <w:rFonts w:ascii="Arial" w:hAnsi="Arial"/>
          <w:color w:val="231F20"/>
          <w:sz w:val="16"/>
        </w:rPr>
        <w:t>and</w:t>
      </w:r>
      <w:r>
        <w:rPr>
          <w:rFonts w:ascii="Arial" w:hAnsi="Arial"/>
          <w:color w:val="231F20"/>
          <w:spacing w:val="-10"/>
          <w:sz w:val="16"/>
        </w:rPr>
        <w:t> </w:t>
      </w:r>
      <w:r>
        <w:rPr>
          <w:rFonts w:ascii="Arial" w:hAnsi="Arial"/>
          <w:color w:val="231F20"/>
          <w:sz w:val="16"/>
        </w:rPr>
        <w:t>potassium,</w:t>
      </w:r>
      <w:r>
        <w:rPr>
          <w:rFonts w:ascii="Arial" w:hAnsi="Arial"/>
          <w:color w:val="231F20"/>
          <w:spacing w:val="-9"/>
          <w:sz w:val="16"/>
        </w:rPr>
        <w:t> </w:t>
      </w:r>
      <w:r>
        <w:rPr>
          <w:rFonts w:ascii="Arial" w:hAnsi="Arial"/>
          <w:color w:val="231F20"/>
          <w:sz w:val="16"/>
        </w:rPr>
        <w:t>as</w:t>
      </w:r>
      <w:r>
        <w:rPr>
          <w:rFonts w:ascii="Arial" w:hAnsi="Arial"/>
          <w:color w:val="231F20"/>
          <w:spacing w:val="-10"/>
          <w:sz w:val="16"/>
        </w:rPr>
        <w:t> </w:t>
      </w:r>
      <w:r>
        <w:rPr>
          <w:rFonts w:ascii="Arial" w:hAnsi="Arial"/>
          <w:color w:val="231F20"/>
          <w:sz w:val="16"/>
        </w:rPr>
        <w:t>well</w:t>
      </w:r>
      <w:r>
        <w:rPr>
          <w:rFonts w:ascii="Arial" w:hAnsi="Arial"/>
          <w:color w:val="231F20"/>
          <w:spacing w:val="-9"/>
          <w:sz w:val="16"/>
        </w:rPr>
        <w:t> </w:t>
      </w:r>
      <w:r>
        <w:rPr>
          <w:rFonts w:ascii="Arial" w:hAnsi="Arial"/>
          <w:color w:val="231F20"/>
          <w:sz w:val="16"/>
        </w:rPr>
        <w:t>as</w:t>
      </w:r>
      <w:r>
        <w:rPr>
          <w:rFonts w:ascii="Arial" w:hAnsi="Arial"/>
          <w:color w:val="231F20"/>
          <w:spacing w:val="-10"/>
          <w:sz w:val="16"/>
        </w:rPr>
        <w:t> </w:t>
      </w:r>
      <w:r>
        <w:rPr>
          <w:rFonts w:ascii="Arial" w:hAnsi="Arial"/>
          <w:color w:val="231F20"/>
          <w:sz w:val="16"/>
        </w:rPr>
        <w:t>large</w:t>
      </w:r>
      <w:r>
        <w:rPr>
          <w:rFonts w:ascii="Arial" w:hAnsi="Arial"/>
          <w:color w:val="231F20"/>
          <w:spacing w:val="-10"/>
          <w:sz w:val="16"/>
        </w:rPr>
        <w:t> </w:t>
      </w:r>
      <w:r>
        <w:rPr>
          <w:rFonts w:ascii="Arial" w:hAnsi="Arial"/>
          <w:color w:val="231F20"/>
          <w:sz w:val="16"/>
        </w:rPr>
        <w:t>amounts</w:t>
      </w:r>
      <w:r>
        <w:rPr>
          <w:rFonts w:ascii="Arial" w:hAnsi="Arial"/>
          <w:color w:val="231F20"/>
          <w:spacing w:val="-9"/>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calcium,</w:t>
      </w:r>
      <w:r>
        <w:rPr>
          <w:rFonts w:ascii="Arial" w:hAnsi="Arial"/>
          <w:color w:val="231F20"/>
          <w:spacing w:val="-9"/>
          <w:sz w:val="16"/>
        </w:rPr>
        <w:t> </w:t>
      </w:r>
      <w:r>
        <w:rPr>
          <w:rFonts w:ascii="Arial" w:hAnsi="Arial"/>
          <w:color w:val="231F20"/>
          <w:spacing w:val="-5"/>
          <w:sz w:val="16"/>
        </w:rPr>
        <w:t>bicar- </w:t>
      </w:r>
      <w:r>
        <w:rPr>
          <w:rFonts w:ascii="Arial" w:hAnsi="Arial"/>
          <w:color w:val="231F20"/>
          <w:sz w:val="16"/>
        </w:rPr>
        <w:t>bonate,</w:t>
      </w:r>
      <w:r>
        <w:rPr>
          <w:rFonts w:ascii="Arial" w:hAnsi="Arial"/>
          <w:color w:val="231F20"/>
          <w:spacing w:val="-16"/>
          <w:sz w:val="16"/>
        </w:rPr>
        <w:t> </w:t>
      </w:r>
      <w:r>
        <w:rPr>
          <w:rFonts w:ascii="Arial" w:hAnsi="Arial"/>
          <w:color w:val="231F20"/>
          <w:sz w:val="16"/>
        </w:rPr>
        <w:t>and</w:t>
      </w:r>
      <w:r>
        <w:rPr>
          <w:rFonts w:ascii="Arial" w:hAnsi="Arial"/>
          <w:color w:val="231F20"/>
          <w:spacing w:val="-15"/>
          <w:sz w:val="16"/>
        </w:rPr>
        <w:t> </w:t>
      </w:r>
      <w:r>
        <w:rPr>
          <w:rFonts w:ascii="Arial" w:hAnsi="Arial"/>
          <w:color w:val="231F20"/>
          <w:sz w:val="16"/>
        </w:rPr>
        <w:t>magnesium</w:t>
      </w:r>
      <w:r>
        <w:rPr>
          <w:rFonts w:ascii="Lucida Sans" w:hAnsi="Lucida Sans"/>
          <w:i/>
          <w:color w:val="231F20"/>
          <w:sz w:val="16"/>
        </w:rPr>
        <w:t>.</w:t>
      </w:r>
      <w:r>
        <w:rPr>
          <w:rFonts w:ascii="Lucida Sans" w:hAnsi="Lucida Sans"/>
          <w:i/>
          <w:color w:val="231F20"/>
          <w:spacing w:val="-21"/>
          <w:sz w:val="16"/>
        </w:rPr>
        <w:t> </w:t>
      </w:r>
      <w:r>
        <w:rPr>
          <w:rFonts w:ascii="Arial" w:hAnsi="Arial"/>
          <w:color w:val="231F20"/>
          <w:sz w:val="16"/>
        </w:rPr>
        <w:t>This</w:t>
      </w:r>
      <w:r>
        <w:rPr>
          <w:rFonts w:ascii="Arial" w:hAnsi="Arial"/>
          <w:color w:val="231F20"/>
          <w:spacing w:val="-16"/>
          <w:sz w:val="16"/>
        </w:rPr>
        <w:t> </w:t>
      </w:r>
      <w:r>
        <w:rPr>
          <w:rFonts w:ascii="Arial" w:hAnsi="Arial"/>
          <w:color w:val="231F20"/>
          <w:sz w:val="16"/>
        </w:rPr>
        <w:t>segment</w:t>
      </w:r>
      <w:r>
        <w:rPr>
          <w:rFonts w:ascii="Arial" w:hAnsi="Arial"/>
          <w:color w:val="231F20"/>
          <w:spacing w:val="-15"/>
          <w:sz w:val="16"/>
        </w:rPr>
        <w:t> </w:t>
      </w:r>
      <w:r>
        <w:rPr>
          <w:rFonts w:ascii="Arial" w:hAnsi="Arial"/>
          <w:color w:val="231F20"/>
          <w:sz w:val="16"/>
        </w:rPr>
        <w:t>also</w:t>
      </w:r>
      <w:r>
        <w:rPr>
          <w:rFonts w:ascii="Arial" w:hAnsi="Arial"/>
          <w:color w:val="231F20"/>
          <w:spacing w:val="-15"/>
          <w:sz w:val="16"/>
        </w:rPr>
        <w:t> </w:t>
      </w:r>
      <w:r>
        <w:rPr>
          <w:rFonts w:ascii="Arial" w:hAnsi="Arial"/>
          <w:color w:val="231F20"/>
          <w:sz w:val="16"/>
        </w:rPr>
        <w:t>secretes</w:t>
      </w:r>
      <w:r>
        <w:rPr>
          <w:rFonts w:ascii="Arial" w:hAnsi="Arial"/>
          <w:color w:val="231F20"/>
          <w:spacing w:val="-15"/>
          <w:sz w:val="16"/>
        </w:rPr>
        <w:t> </w:t>
      </w:r>
      <w:r>
        <w:rPr>
          <w:rFonts w:ascii="Arial" w:hAnsi="Arial"/>
          <w:color w:val="231F20"/>
          <w:sz w:val="16"/>
        </w:rPr>
        <w:t>hydrogen</w:t>
      </w:r>
      <w:r>
        <w:rPr>
          <w:rFonts w:ascii="Arial" w:hAnsi="Arial"/>
          <w:color w:val="231F20"/>
          <w:spacing w:val="-16"/>
          <w:sz w:val="16"/>
        </w:rPr>
        <w:t> </w:t>
      </w:r>
      <w:r>
        <w:rPr>
          <w:rFonts w:ascii="Arial" w:hAnsi="Arial"/>
          <w:color w:val="231F20"/>
          <w:spacing w:val="-4"/>
          <w:sz w:val="16"/>
        </w:rPr>
        <w:t>ions </w:t>
      </w:r>
      <w:r>
        <w:rPr>
          <w:rFonts w:ascii="Arial" w:hAnsi="Arial"/>
          <w:color w:val="231F20"/>
          <w:sz w:val="16"/>
        </w:rPr>
        <w:t>into the tubular</w:t>
      </w:r>
      <w:r>
        <w:rPr>
          <w:rFonts w:ascii="Arial" w:hAnsi="Arial"/>
          <w:color w:val="231F20"/>
          <w:spacing w:val="23"/>
          <w:sz w:val="16"/>
        </w:rPr>
        <w:t> </w:t>
      </w:r>
      <w:r>
        <w:rPr>
          <w:rFonts w:ascii="Arial" w:hAnsi="Arial"/>
          <w:color w:val="231F20"/>
          <w:sz w:val="16"/>
        </w:rPr>
        <w:t>lumen.</w:t>
      </w:r>
    </w:p>
    <w:p>
      <w:pPr>
        <w:pStyle w:val="BodyText"/>
        <w:rPr>
          <w:rFonts w:ascii="Arial"/>
          <w:sz w:val="18"/>
        </w:rPr>
      </w:pPr>
    </w:p>
    <w:p>
      <w:pPr>
        <w:spacing w:line="249" w:lineRule="auto" w:before="0"/>
        <w:ind w:left="1440" w:right="0" w:firstLine="0"/>
        <w:jc w:val="both"/>
        <w:rPr>
          <w:sz w:val="20"/>
        </w:rPr>
      </w:pPr>
      <w:r>
        <w:rPr>
          <w:color w:val="231F20"/>
          <w:w w:val="105"/>
          <w:sz w:val="20"/>
        </w:rPr>
        <w:t>the proximal tubule, the reabsorption of other solutes  in the thick segment of the ascending loop of Henle     is closely linked to the reabsorptive capability of the sodium-potassium</w:t>
      </w:r>
      <w:r>
        <w:rPr>
          <w:color w:val="231F20"/>
          <w:spacing w:val="-18"/>
          <w:w w:val="105"/>
          <w:sz w:val="20"/>
        </w:rPr>
        <w:t> </w:t>
      </w:r>
      <w:r>
        <w:rPr>
          <w:color w:val="231F20"/>
          <w:w w:val="105"/>
          <w:sz w:val="20"/>
        </w:rPr>
        <w:t>ATPase</w:t>
      </w:r>
      <w:r>
        <w:rPr>
          <w:color w:val="231F20"/>
          <w:spacing w:val="-18"/>
          <w:w w:val="105"/>
          <w:sz w:val="20"/>
        </w:rPr>
        <w:t> </w:t>
      </w:r>
      <w:r>
        <w:rPr>
          <w:color w:val="231F20"/>
          <w:w w:val="105"/>
          <w:sz w:val="20"/>
        </w:rPr>
        <w:t>pump,</w:t>
      </w:r>
      <w:r>
        <w:rPr>
          <w:color w:val="231F20"/>
          <w:spacing w:val="-18"/>
          <w:w w:val="105"/>
          <w:sz w:val="20"/>
        </w:rPr>
        <w:t> </w:t>
      </w:r>
      <w:r>
        <w:rPr>
          <w:color w:val="231F20"/>
          <w:w w:val="105"/>
          <w:sz w:val="20"/>
        </w:rPr>
        <w:t>which</w:t>
      </w:r>
      <w:r>
        <w:rPr>
          <w:color w:val="231F20"/>
          <w:spacing w:val="-18"/>
          <w:w w:val="105"/>
          <w:sz w:val="20"/>
        </w:rPr>
        <w:t> </w:t>
      </w:r>
      <w:r>
        <w:rPr>
          <w:color w:val="231F20"/>
          <w:w w:val="105"/>
          <w:sz w:val="20"/>
        </w:rPr>
        <w:t>maintains</w:t>
      </w:r>
      <w:r>
        <w:rPr>
          <w:color w:val="231F20"/>
          <w:spacing w:val="-18"/>
          <w:w w:val="105"/>
          <w:sz w:val="20"/>
        </w:rPr>
        <w:t> </w:t>
      </w:r>
      <w:r>
        <w:rPr>
          <w:color w:val="231F20"/>
          <w:w w:val="105"/>
          <w:sz w:val="20"/>
        </w:rPr>
        <w:t>a</w:t>
      </w:r>
      <w:r>
        <w:rPr>
          <w:color w:val="231F20"/>
          <w:spacing w:val="-18"/>
          <w:w w:val="105"/>
          <w:sz w:val="20"/>
        </w:rPr>
        <w:t> </w:t>
      </w:r>
      <w:r>
        <w:rPr>
          <w:color w:val="231F20"/>
          <w:spacing w:val="-5"/>
          <w:w w:val="105"/>
          <w:sz w:val="20"/>
        </w:rPr>
        <w:t>low </w:t>
      </w:r>
      <w:r>
        <w:rPr>
          <w:color w:val="231F20"/>
          <w:w w:val="105"/>
          <w:sz w:val="20"/>
        </w:rPr>
        <w:t>intracellular</w:t>
      </w:r>
      <w:r>
        <w:rPr>
          <w:color w:val="231F20"/>
          <w:spacing w:val="-16"/>
          <w:w w:val="105"/>
          <w:sz w:val="20"/>
        </w:rPr>
        <w:t> </w:t>
      </w:r>
      <w:r>
        <w:rPr>
          <w:color w:val="231F20"/>
          <w:w w:val="105"/>
          <w:sz w:val="20"/>
        </w:rPr>
        <w:t>sodium</w:t>
      </w:r>
      <w:r>
        <w:rPr>
          <w:color w:val="231F20"/>
          <w:spacing w:val="-16"/>
          <w:w w:val="105"/>
          <w:sz w:val="20"/>
        </w:rPr>
        <w:t> </w:t>
      </w:r>
      <w:r>
        <w:rPr>
          <w:color w:val="231F20"/>
          <w:w w:val="105"/>
          <w:sz w:val="20"/>
        </w:rPr>
        <w:t>concentration.</w:t>
      </w:r>
      <w:r>
        <w:rPr>
          <w:color w:val="231F20"/>
          <w:spacing w:val="-15"/>
          <w:w w:val="105"/>
          <w:sz w:val="20"/>
        </w:rPr>
        <w:t> </w:t>
      </w:r>
      <w:r>
        <w:rPr>
          <w:color w:val="231F20"/>
          <w:w w:val="105"/>
          <w:sz w:val="20"/>
        </w:rPr>
        <w:t>The</w:t>
      </w:r>
      <w:r>
        <w:rPr>
          <w:color w:val="231F20"/>
          <w:spacing w:val="-16"/>
          <w:w w:val="105"/>
          <w:sz w:val="20"/>
        </w:rPr>
        <w:t> </w:t>
      </w:r>
      <w:r>
        <w:rPr>
          <w:color w:val="231F20"/>
          <w:w w:val="105"/>
          <w:sz w:val="20"/>
        </w:rPr>
        <w:t>low</w:t>
      </w:r>
      <w:r>
        <w:rPr>
          <w:color w:val="231F20"/>
          <w:spacing w:val="-16"/>
          <w:w w:val="105"/>
          <w:sz w:val="20"/>
        </w:rPr>
        <w:t> </w:t>
      </w:r>
      <w:r>
        <w:rPr>
          <w:color w:val="231F20"/>
          <w:w w:val="105"/>
          <w:sz w:val="20"/>
        </w:rPr>
        <w:t>intracellular sodium</w:t>
      </w:r>
      <w:r>
        <w:rPr>
          <w:color w:val="231F20"/>
          <w:spacing w:val="-11"/>
          <w:w w:val="105"/>
          <w:sz w:val="20"/>
        </w:rPr>
        <w:t> </w:t>
      </w:r>
      <w:r>
        <w:rPr>
          <w:color w:val="231F20"/>
          <w:w w:val="105"/>
          <w:sz w:val="20"/>
        </w:rPr>
        <w:t>concentration</w:t>
      </w:r>
      <w:r>
        <w:rPr>
          <w:color w:val="231F20"/>
          <w:spacing w:val="-11"/>
          <w:w w:val="105"/>
          <w:sz w:val="20"/>
        </w:rPr>
        <w:t> </w:t>
      </w:r>
      <w:r>
        <w:rPr>
          <w:color w:val="231F20"/>
          <w:w w:val="105"/>
          <w:sz w:val="20"/>
        </w:rPr>
        <w:t>in</w:t>
      </w:r>
      <w:r>
        <w:rPr>
          <w:color w:val="231F20"/>
          <w:spacing w:val="-11"/>
          <w:w w:val="105"/>
          <w:sz w:val="20"/>
        </w:rPr>
        <w:t> </w:t>
      </w:r>
      <w:r>
        <w:rPr>
          <w:color w:val="231F20"/>
          <w:w w:val="105"/>
          <w:sz w:val="20"/>
        </w:rPr>
        <w:t>turn</w:t>
      </w:r>
      <w:r>
        <w:rPr>
          <w:color w:val="231F20"/>
          <w:spacing w:val="-11"/>
          <w:w w:val="105"/>
          <w:sz w:val="20"/>
        </w:rPr>
        <w:t> </w:t>
      </w:r>
      <w:r>
        <w:rPr>
          <w:color w:val="231F20"/>
          <w:w w:val="105"/>
          <w:sz w:val="20"/>
        </w:rPr>
        <w:t>provides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favorable</w:t>
      </w:r>
      <w:r>
        <w:rPr>
          <w:color w:val="231F20"/>
          <w:spacing w:val="-11"/>
          <w:w w:val="105"/>
          <w:sz w:val="20"/>
        </w:rPr>
        <w:t> </w:t>
      </w:r>
      <w:r>
        <w:rPr>
          <w:color w:val="231F20"/>
          <w:w w:val="105"/>
          <w:sz w:val="20"/>
        </w:rPr>
        <w:t>gradi- ent for movement of sodium from the  tubular  </w:t>
      </w:r>
      <w:r>
        <w:rPr>
          <w:color w:val="231F20"/>
          <w:spacing w:val="-3"/>
          <w:w w:val="105"/>
          <w:sz w:val="20"/>
        </w:rPr>
        <w:t>fluid </w:t>
      </w:r>
      <w:r>
        <w:rPr>
          <w:color w:val="231F20"/>
          <w:w w:val="105"/>
          <w:sz w:val="20"/>
        </w:rPr>
        <w:t>into the cell. </w:t>
      </w:r>
      <w:r>
        <w:rPr>
          <w:i/>
          <w:color w:val="231F20"/>
          <w:w w:val="105"/>
          <w:sz w:val="20"/>
        </w:rPr>
        <w:t>In the thick ascending loop, movement </w:t>
      </w:r>
      <w:r>
        <w:rPr>
          <w:i/>
          <w:color w:val="231F20"/>
          <w:spacing w:val="-6"/>
          <w:w w:val="105"/>
          <w:sz w:val="20"/>
        </w:rPr>
        <w:t>of </w:t>
      </w:r>
      <w:r>
        <w:rPr>
          <w:i/>
          <w:color w:val="231F20"/>
          <w:w w:val="105"/>
          <w:sz w:val="20"/>
        </w:rPr>
        <w:t>sodium</w:t>
      </w:r>
      <w:r>
        <w:rPr>
          <w:i/>
          <w:color w:val="231F20"/>
          <w:spacing w:val="-29"/>
          <w:w w:val="105"/>
          <w:sz w:val="20"/>
        </w:rPr>
        <w:t> </w:t>
      </w:r>
      <w:r>
        <w:rPr>
          <w:i/>
          <w:color w:val="231F20"/>
          <w:w w:val="105"/>
          <w:sz w:val="20"/>
        </w:rPr>
        <w:t>across</w:t>
      </w:r>
      <w:r>
        <w:rPr>
          <w:i/>
          <w:color w:val="231F20"/>
          <w:spacing w:val="-28"/>
          <w:w w:val="105"/>
          <w:sz w:val="20"/>
        </w:rPr>
        <w:t> </w:t>
      </w:r>
      <w:r>
        <w:rPr>
          <w:i/>
          <w:color w:val="231F20"/>
          <w:w w:val="105"/>
          <w:sz w:val="20"/>
        </w:rPr>
        <w:t>the</w:t>
      </w:r>
      <w:r>
        <w:rPr>
          <w:i/>
          <w:color w:val="231F20"/>
          <w:spacing w:val="-29"/>
          <w:w w:val="105"/>
          <w:sz w:val="20"/>
        </w:rPr>
        <w:t> </w:t>
      </w:r>
      <w:r>
        <w:rPr>
          <w:i/>
          <w:color w:val="231F20"/>
          <w:w w:val="105"/>
          <w:sz w:val="20"/>
        </w:rPr>
        <w:t>luminal</w:t>
      </w:r>
      <w:r>
        <w:rPr>
          <w:i/>
          <w:color w:val="231F20"/>
          <w:spacing w:val="-28"/>
          <w:w w:val="105"/>
          <w:sz w:val="20"/>
        </w:rPr>
        <w:t> </w:t>
      </w:r>
      <w:r>
        <w:rPr>
          <w:i/>
          <w:color w:val="231F20"/>
          <w:w w:val="105"/>
          <w:sz w:val="20"/>
        </w:rPr>
        <w:t>membrane</w:t>
      </w:r>
      <w:r>
        <w:rPr>
          <w:i/>
          <w:color w:val="231F20"/>
          <w:spacing w:val="-28"/>
          <w:w w:val="105"/>
          <w:sz w:val="20"/>
        </w:rPr>
        <w:t> </w:t>
      </w:r>
      <w:r>
        <w:rPr>
          <w:i/>
          <w:color w:val="231F20"/>
          <w:w w:val="105"/>
          <w:sz w:val="20"/>
        </w:rPr>
        <w:t>is</w:t>
      </w:r>
      <w:r>
        <w:rPr>
          <w:i/>
          <w:color w:val="231F20"/>
          <w:spacing w:val="-29"/>
          <w:w w:val="105"/>
          <w:sz w:val="20"/>
        </w:rPr>
        <w:t> </w:t>
      </w:r>
      <w:r>
        <w:rPr>
          <w:i/>
          <w:color w:val="231F20"/>
          <w:w w:val="105"/>
          <w:sz w:val="20"/>
        </w:rPr>
        <w:t>mediated</w:t>
      </w:r>
      <w:r>
        <w:rPr>
          <w:i/>
          <w:color w:val="231F20"/>
          <w:spacing w:val="-28"/>
          <w:w w:val="105"/>
          <w:sz w:val="20"/>
        </w:rPr>
        <w:t> </w:t>
      </w:r>
      <w:r>
        <w:rPr>
          <w:i/>
          <w:color w:val="231F20"/>
          <w:w w:val="105"/>
          <w:sz w:val="20"/>
        </w:rPr>
        <w:t>primar- ily</w:t>
      </w:r>
      <w:r>
        <w:rPr>
          <w:i/>
          <w:color w:val="231F20"/>
          <w:spacing w:val="-29"/>
          <w:w w:val="105"/>
          <w:sz w:val="20"/>
        </w:rPr>
        <w:t> </w:t>
      </w:r>
      <w:r>
        <w:rPr>
          <w:i/>
          <w:color w:val="231F20"/>
          <w:w w:val="105"/>
          <w:sz w:val="20"/>
        </w:rPr>
        <w:t>by</w:t>
      </w:r>
      <w:r>
        <w:rPr>
          <w:i/>
          <w:color w:val="231F20"/>
          <w:spacing w:val="-28"/>
          <w:w w:val="105"/>
          <w:sz w:val="20"/>
        </w:rPr>
        <w:t> </w:t>
      </w:r>
      <w:r>
        <w:rPr>
          <w:i/>
          <w:color w:val="231F20"/>
          <w:w w:val="105"/>
          <w:sz w:val="20"/>
        </w:rPr>
        <w:t>a</w:t>
      </w:r>
      <w:r>
        <w:rPr>
          <w:i/>
          <w:color w:val="231F20"/>
          <w:spacing w:val="-28"/>
          <w:w w:val="105"/>
          <w:sz w:val="20"/>
        </w:rPr>
        <w:t> </w:t>
      </w:r>
      <w:r>
        <w:rPr>
          <w:i/>
          <w:color w:val="231F20"/>
          <w:w w:val="105"/>
          <w:sz w:val="20"/>
        </w:rPr>
        <w:t>1-sodium</w:t>
      </w:r>
      <w:r>
        <w:rPr>
          <w:color w:val="231F20"/>
          <w:w w:val="105"/>
          <w:sz w:val="20"/>
        </w:rPr>
        <w:t>,</w:t>
      </w:r>
      <w:r>
        <w:rPr>
          <w:color w:val="231F20"/>
          <w:spacing w:val="-28"/>
          <w:w w:val="105"/>
          <w:sz w:val="20"/>
        </w:rPr>
        <w:t> </w:t>
      </w:r>
      <w:r>
        <w:rPr>
          <w:i/>
          <w:color w:val="231F20"/>
          <w:w w:val="105"/>
          <w:sz w:val="20"/>
        </w:rPr>
        <w:t>2-chloride</w:t>
      </w:r>
      <w:r>
        <w:rPr>
          <w:color w:val="231F20"/>
          <w:w w:val="105"/>
          <w:sz w:val="20"/>
        </w:rPr>
        <w:t>,</w:t>
      </w:r>
      <w:r>
        <w:rPr>
          <w:color w:val="231F20"/>
          <w:spacing w:val="-28"/>
          <w:w w:val="105"/>
          <w:sz w:val="20"/>
        </w:rPr>
        <w:t> </w:t>
      </w:r>
      <w:r>
        <w:rPr>
          <w:i/>
          <w:color w:val="231F20"/>
          <w:w w:val="105"/>
          <w:sz w:val="20"/>
        </w:rPr>
        <w:t>1-potassium</w:t>
      </w:r>
      <w:r>
        <w:rPr>
          <w:i/>
          <w:color w:val="231F20"/>
          <w:spacing w:val="-28"/>
          <w:w w:val="105"/>
          <w:sz w:val="20"/>
        </w:rPr>
        <w:t> </w:t>
      </w:r>
      <w:r>
        <w:rPr>
          <w:i/>
          <w:color w:val="231F20"/>
          <w:w w:val="105"/>
          <w:sz w:val="20"/>
        </w:rPr>
        <w:t>co-transporter </w:t>
      </w:r>
      <w:r>
        <w:rPr>
          <w:color w:val="231F20"/>
          <w:w w:val="105"/>
          <w:sz w:val="20"/>
        </w:rPr>
        <w:t>(</w:t>
      </w:r>
      <w:hyperlink w:history="true" w:anchor="_bookmark48">
        <w:r>
          <w:rPr>
            <w:b/>
            <w:color w:val="0080AC"/>
            <w:w w:val="105"/>
            <w:sz w:val="20"/>
          </w:rPr>
          <w:t>Figure 28-9</w:t>
        </w:r>
      </w:hyperlink>
      <w:r>
        <w:rPr>
          <w:color w:val="231F20"/>
          <w:w w:val="105"/>
          <w:sz w:val="20"/>
        </w:rPr>
        <w:t>). This co-transport protein carrier in </w:t>
      </w:r>
      <w:r>
        <w:rPr>
          <w:color w:val="231F20"/>
          <w:spacing w:val="-5"/>
          <w:w w:val="105"/>
          <w:sz w:val="20"/>
        </w:rPr>
        <w:t>the </w:t>
      </w:r>
      <w:r>
        <w:rPr>
          <w:color w:val="231F20"/>
          <w:w w:val="105"/>
          <w:sz w:val="20"/>
        </w:rPr>
        <w:t>luminal</w:t>
      </w:r>
      <w:r>
        <w:rPr>
          <w:color w:val="231F20"/>
          <w:spacing w:val="-6"/>
          <w:w w:val="105"/>
          <w:sz w:val="20"/>
        </w:rPr>
        <w:t> </w:t>
      </w:r>
      <w:r>
        <w:rPr>
          <w:color w:val="231F20"/>
          <w:w w:val="105"/>
          <w:sz w:val="20"/>
        </w:rPr>
        <w:t>membrane</w:t>
      </w:r>
      <w:r>
        <w:rPr>
          <w:color w:val="231F20"/>
          <w:spacing w:val="-6"/>
          <w:w w:val="105"/>
          <w:sz w:val="20"/>
        </w:rPr>
        <w:t> </w:t>
      </w:r>
      <w:r>
        <w:rPr>
          <w:color w:val="231F20"/>
          <w:w w:val="105"/>
          <w:sz w:val="20"/>
        </w:rPr>
        <w:t>uses</w:t>
      </w:r>
      <w:r>
        <w:rPr>
          <w:color w:val="231F20"/>
          <w:spacing w:val="-5"/>
          <w:w w:val="105"/>
          <w:sz w:val="20"/>
        </w:rPr>
        <w:t> </w:t>
      </w:r>
      <w:r>
        <w:rPr>
          <w:color w:val="231F20"/>
          <w:w w:val="105"/>
          <w:sz w:val="20"/>
        </w:rPr>
        <w:t>the</w:t>
      </w:r>
      <w:r>
        <w:rPr>
          <w:color w:val="231F20"/>
          <w:spacing w:val="-6"/>
          <w:w w:val="105"/>
          <w:sz w:val="20"/>
        </w:rPr>
        <w:t> </w:t>
      </w:r>
      <w:r>
        <w:rPr>
          <w:color w:val="231F20"/>
          <w:w w:val="105"/>
          <w:sz w:val="20"/>
        </w:rPr>
        <w:t>potential</w:t>
      </w:r>
      <w:r>
        <w:rPr>
          <w:color w:val="231F20"/>
          <w:spacing w:val="-5"/>
          <w:w w:val="105"/>
          <w:sz w:val="20"/>
        </w:rPr>
        <w:t> </w:t>
      </w:r>
      <w:r>
        <w:rPr>
          <w:color w:val="231F20"/>
          <w:w w:val="105"/>
          <w:sz w:val="20"/>
        </w:rPr>
        <w:t>energy</w:t>
      </w:r>
      <w:r>
        <w:rPr>
          <w:color w:val="231F20"/>
          <w:spacing w:val="-6"/>
          <w:w w:val="105"/>
          <w:sz w:val="20"/>
        </w:rPr>
        <w:t> </w:t>
      </w:r>
      <w:r>
        <w:rPr>
          <w:color w:val="231F20"/>
          <w:w w:val="105"/>
          <w:sz w:val="20"/>
        </w:rPr>
        <w:t>released</w:t>
      </w:r>
      <w:r>
        <w:rPr>
          <w:color w:val="231F20"/>
          <w:spacing w:val="-5"/>
          <w:w w:val="105"/>
          <w:sz w:val="20"/>
        </w:rPr>
        <w:t> </w:t>
      </w:r>
      <w:r>
        <w:rPr>
          <w:color w:val="231F20"/>
          <w:spacing w:val="-7"/>
          <w:w w:val="105"/>
          <w:sz w:val="20"/>
        </w:rPr>
        <w:t>by </w:t>
      </w:r>
      <w:r>
        <w:rPr>
          <w:color w:val="231F20"/>
          <w:w w:val="105"/>
          <w:sz w:val="20"/>
        </w:rPr>
        <w:t>downhill diffusion of sodium into the cell to drive </w:t>
      </w:r>
      <w:r>
        <w:rPr>
          <w:color w:val="231F20"/>
          <w:spacing w:val="-5"/>
          <w:w w:val="105"/>
          <w:sz w:val="20"/>
        </w:rPr>
        <w:t>the </w:t>
      </w:r>
      <w:r>
        <w:rPr>
          <w:color w:val="231F20"/>
          <w:w w:val="105"/>
          <w:sz w:val="20"/>
        </w:rPr>
        <w:t>reabsorption</w:t>
      </w:r>
      <w:r>
        <w:rPr>
          <w:color w:val="231F20"/>
          <w:spacing w:val="-7"/>
          <w:w w:val="105"/>
          <w:sz w:val="20"/>
        </w:rPr>
        <w:t> </w:t>
      </w:r>
      <w:r>
        <w:rPr>
          <w:color w:val="231F20"/>
          <w:w w:val="105"/>
          <w:sz w:val="20"/>
        </w:rPr>
        <w:t>of</w:t>
      </w:r>
      <w:r>
        <w:rPr>
          <w:color w:val="231F20"/>
          <w:spacing w:val="-6"/>
          <w:w w:val="105"/>
          <w:sz w:val="20"/>
        </w:rPr>
        <w:t> </w:t>
      </w:r>
      <w:r>
        <w:rPr>
          <w:color w:val="231F20"/>
          <w:w w:val="105"/>
          <w:sz w:val="20"/>
        </w:rPr>
        <w:t>potassium</w:t>
      </w:r>
      <w:r>
        <w:rPr>
          <w:color w:val="231F20"/>
          <w:spacing w:val="-7"/>
          <w:w w:val="105"/>
          <w:sz w:val="20"/>
        </w:rPr>
        <w:t> </w:t>
      </w:r>
      <w:r>
        <w:rPr>
          <w:color w:val="231F20"/>
          <w:w w:val="105"/>
          <w:sz w:val="20"/>
        </w:rPr>
        <w:t>into</w:t>
      </w:r>
      <w:r>
        <w:rPr>
          <w:color w:val="231F20"/>
          <w:spacing w:val="-6"/>
          <w:w w:val="105"/>
          <w:sz w:val="20"/>
        </w:rPr>
        <w:t> </w:t>
      </w:r>
      <w:r>
        <w:rPr>
          <w:color w:val="231F20"/>
          <w:w w:val="105"/>
          <w:sz w:val="20"/>
        </w:rPr>
        <w:t>the</w:t>
      </w:r>
      <w:r>
        <w:rPr>
          <w:color w:val="231F20"/>
          <w:spacing w:val="-6"/>
          <w:w w:val="105"/>
          <w:sz w:val="20"/>
        </w:rPr>
        <w:t> </w:t>
      </w:r>
      <w:r>
        <w:rPr>
          <w:color w:val="231F20"/>
          <w:w w:val="105"/>
          <w:sz w:val="20"/>
        </w:rPr>
        <w:t>cell</w:t>
      </w:r>
      <w:r>
        <w:rPr>
          <w:color w:val="231F20"/>
          <w:spacing w:val="-7"/>
          <w:w w:val="105"/>
          <w:sz w:val="20"/>
        </w:rPr>
        <w:t> </w:t>
      </w:r>
      <w:r>
        <w:rPr>
          <w:color w:val="231F20"/>
          <w:w w:val="105"/>
          <w:sz w:val="20"/>
        </w:rPr>
        <w:t>against</w:t>
      </w:r>
      <w:r>
        <w:rPr>
          <w:color w:val="231F20"/>
          <w:spacing w:val="-6"/>
          <w:w w:val="105"/>
          <w:sz w:val="20"/>
        </w:rPr>
        <w:t> </w:t>
      </w:r>
      <w:r>
        <w:rPr>
          <w:color w:val="231F20"/>
          <w:w w:val="105"/>
          <w:sz w:val="20"/>
        </w:rPr>
        <w:t>a</w:t>
      </w:r>
      <w:r>
        <w:rPr>
          <w:color w:val="231F20"/>
          <w:spacing w:val="-6"/>
          <w:w w:val="105"/>
          <w:sz w:val="20"/>
        </w:rPr>
        <w:t> </w:t>
      </w:r>
      <w:r>
        <w:rPr>
          <w:color w:val="231F20"/>
          <w:spacing w:val="-3"/>
          <w:w w:val="105"/>
          <w:sz w:val="20"/>
        </w:rPr>
        <w:t>concen- </w:t>
      </w:r>
      <w:r>
        <w:rPr>
          <w:color w:val="231F20"/>
          <w:w w:val="105"/>
          <w:sz w:val="20"/>
        </w:rPr>
        <w:t>tration</w:t>
      </w:r>
      <w:r>
        <w:rPr>
          <w:color w:val="231F20"/>
          <w:spacing w:val="3"/>
          <w:w w:val="105"/>
          <w:sz w:val="20"/>
        </w:rPr>
        <w:t> </w:t>
      </w:r>
      <w:r>
        <w:rPr>
          <w:color w:val="231F20"/>
          <w:w w:val="105"/>
          <w:sz w:val="20"/>
        </w:rPr>
        <w:t>gradient.</w:t>
      </w:r>
    </w:p>
    <w:p>
      <w:pPr>
        <w:spacing w:line="249" w:lineRule="auto" w:before="12"/>
        <w:ind w:left="1440" w:right="0" w:firstLine="240"/>
        <w:jc w:val="both"/>
        <w:rPr>
          <w:sz w:val="20"/>
        </w:rPr>
      </w:pPr>
      <w:r>
        <w:rPr>
          <w:color w:val="231F20"/>
          <w:w w:val="105"/>
          <w:sz w:val="20"/>
        </w:rPr>
        <w:t>The thick ascending limb of the loop of Henle is </w:t>
      </w:r>
      <w:r>
        <w:rPr>
          <w:color w:val="231F20"/>
          <w:spacing w:val="-6"/>
          <w:w w:val="105"/>
          <w:sz w:val="20"/>
        </w:rPr>
        <w:t>the </w:t>
      </w:r>
      <w:r>
        <w:rPr>
          <w:color w:val="231F20"/>
          <w:w w:val="105"/>
          <w:sz w:val="20"/>
        </w:rPr>
        <w:t>site</w:t>
      </w:r>
      <w:r>
        <w:rPr>
          <w:color w:val="231F20"/>
          <w:spacing w:val="-31"/>
          <w:w w:val="105"/>
          <w:sz w:val="20"/>
        </w:rPr>
        <w:t> </w:t>
      </w:r>
      <w:r>
        <w:rPr>
          <w:color w:val="231F20"/>
          <w:w w:val="105"/>
          <w:sz w:val="20"/>
        </w:rPr>
        <w:t>of</w:t>
      </w:r>
      <w:r>
        <w:rPr>
          <w:color w:val="231F20"/>
          <w:spacing w:val="-30"/>
          <w:w w:val="105"/>
          <w:sz w:val="20"/>
        </w:rPr>
        <w:t> </w:t>
      </w:r>
      <w:r>
        <w:rPr>
          <w:color w:val="231F20"/>
          <w:w w:val="105"/>
          <w:sz w:val="20"/>
        </w:rPr>
        <w:t>action</w:t>
      </w:r>
      <w:r>
        <w:rPr>
          <w:color w:val="231F20"/>
          <w:spacing w:val="-31"/>
          <w:w w:val="105"/>
          <w:sz w:val="20"/>
        </w:rPr>
        <w:t> </w:t>
      </w:r>
      <w:r>
        <w:rPr>
          <w:color w:val="231F20"/>
          <w:w w:val="105"/>
          <w:sz w:val="20"/>
        </w:rPr>
        <w:t>of</w:t>
      </w:r>
      <w:r>
        <w:rPr>
          <w:color w:val="231F20"/>
          <w:spacing w:val="-30"/>
          <w:w w:val="105"/>
          <w:sz w:val="20"/>
        </w:rPr>
        <w:t> </w:t>
      </w:r>
      <w:r>
        <w:rPr>
          <w:color w:val="231F20"/>
          <w:w w:val="105"/>
          <w:sz w:val="20"/>
        </w:rPr>
        <w:t>the</w:t>
      </w:r>
      <w:r>
        <w:rPr>
          <w:color w:val="231F20"/>
          <w:spacing w:val="-31"/>
          <w:w w:val="105"/>
          <w:sz w:val="20"/>
        </w:rPr>
        <w:t> </w:t>
      </w:r>
      <w:r>
        <w:rPr>
          <w:color w:val="231F20"/>
          <w:w w:val="105"/>
          <w:sz w:val="20"/>
        </w:rPr>
        <w:t>powerful</w:t>
      </w:r>
      <w:r>
        <w:rPr>
          <w:color w:val="231F20"/>
          <w:spacing w:val="-30"/>
          <w:w w:val="105"/>
          <w:sz w:val="20"/>
        </w:rPr>
        <w:t> </w:t>
      </w:r>
      <w:r>
        <w:rPr>
          <w:i/>
          <w:color w:val="231F20"/>
          <w:w w:val="105"/>
          <w:sz w:val="20"/>
        </w:rPr>
        <w:t>“loop”</w:t>
      </w:r>
      <w:r>
        <w:rPr>
          <w:i/>
          <w:color w:val="231F20"/>
          <w:spacing w:val="-31"/>
          <w:w w:val="105"/>
          <w:sz w:val="20"/>
        </w:rPr>
        <w:t> </w:t>
      </w:r>
      <w:r>
        <w:rPr>
          <w:i/>
          <w:color w:val="231F20"/>
          <w:w w:val="105"/>
          <w:sz w:val="20"/>
        </w:rPr>
        <w:t>diuretics</w:t>
      </w:r>
      <w:r>
        <w:rPr>
          <w:i/>
          <w:color w:val="231F20"/>
          <w:spacing w:val="-30"/>
          <w:w w:val="105"/>
          <w:sz w:val="20"/>
        </w:rPr>
        <w:t> </w:t>
      </w:r>
      <w:r>
        <w:rPr>
          <w:i/>
          <w:color w:val="231F20"/>
          <w:w w:val="105"/>
          <w:sz w:val="20"/>
        </w:rPr>
        <w:t>furosemide, </w:t>
      </w:r>
      <w:r>
        <w:rPr>
          <w:i/>
          <w:color w:val="231F20"/>
          <w:w w:val="105"/>
          <w:sz w:val="20"/>
        </w:rPr>
        <w:t>ethacrynic</w:t>
      </w:r>
      <w:r>
        <w:rPr>
          <w:i/>
          <w:color w:val="231F20"/>
          <w:spacing w:val="-10"/>
          <w:w w:val="105"/>
          <w:sz w:val="20"/>
        </w:rPr>
        <w:t> </w:t>
      </w:r>
      <w:r>
        <w:rPr>
          <w:i/>
          <w:color w:val="231F20"/>
          <w:w w:val="105"/>
          <w:sz w:val="20"/>
        </w:rPr>
        <w:t>acid,</w:t>
      </w:r>
      <w:r>
        <w:rPr>
          <w:i/>
          <w:color w:val="231F20"/>
          <w:spacing w:val="-9"/>
          <w:w w:val="105"/>
          <w:sz w:val="20"/>
        </w:rPr>
        <w:t> </w:t>
      </w:r>
      <w:r>
        <w:rPr>
          <w:color w:val="231F20"/>
          <w:w w:val="105"/>
          <w:sz w:val="20"/>
        </w:rPr>
        <w:t>and</w:t>
      </w:r>
      <w:r>
        <w:rPr>
          <w:color w:val="231F20"/>
          <w:spacing w:val="-10"/>
          <w:w w:val="105"/>
          <w:sz w:val="20"/>
        </w:rPr>
        <w:t> </w:t>
      </w:r>
      <w:r>
        <w:rPr>
          <w:i/>
          <w:color w:val="231F20"/>
          <w:w w:val="105"/>
          <w:sz w:val="20"/>
        </w:rPr>
        <w:t>bumetanide,</w:t>
      </w:r>
      <w:r>
        <w:rPr>
          <w:i/>
          <w:color w:val="231F20"/>
          <w:spacing w:val="-9"/>
          <w:w w:val="105"/>
          <w:sz w:val="20"/>
        </w:rPr>
        <w:t> </w:t>
      </w:r>
      <w:r>
        <w:rPr>
          <w:color w:val="231F20"/>
          <w:w w:val="105"/>
          <w:sz w:val="20"/>
        </w:rPr>
        <w:t>all</w:t>
      </w:r>
      <w:r>
        <w:rPr>
          <w:color w:val="231F20"/>
          <w:spacing w:val="-10"/>
          <w:w w:val="105"/>
          <w:sz w:val="20"/>
        </w:rPr>
        <w:t> </w:t>
      </w:r>
      <w:r>
        <w:rPr>
          <w:color w:val="231F20"/>
          <w:w w:val="105"/>
          <w:sz w:val="20"/>
        </w:rPr>
        <w:t>of</w:t>
      </w:r>
      <w:r>
        <w:rPr>
          <w:color w:val="231F20"/>
          <w:spacing w:val="-9"/>
          <w:w w:val="105"/>
          <w:sz w:val="20"/>
        </w:rPr>
        <w:t> </w:t>
      </w:r>
      <w:r>
        <w:rPr>
          <w:color w:val="231F20"/>
          <w:w w:val="105"/>
          <w:sz w:val="20"/>
        </w:rPr>
        <w:t>which</w:t>
      </w:r>
      <w:r>
        <w:rPr>
          <w:color w:val="231F20"/>
          <w:spacing w:val="-9"/>
          <w:w w:val="105"/>
          <w:sz w:val="20"/>
        </w:rPr>
        <w:t> </w:t>
      </w:r>
      <w:r>
        <w:rPr>
          <w:color w:val="231F20"/>
          <w:w w:val="105"/>
          <w:sz w:val="20"/>
        </w:rPr>
        <w:t>inhibit</w:t>
      </w:r>
      <w:r>
        <w:rPr>
          <w:color w:val="231F20"/>
          <w:spacing w:val="-10"/>
          <w:w w:val="105"/>
          <w:sz w:val="20"/>
        </w:rPr>
        <w:t> </w:t>
      </w:r>
      <w:r>
        <w:rPr>
          <w:color w:val="231F20"/>
          <w:spacing w:val="-6"/>
          <w:w w:val="105"/>
          <w:sz w:val="20"/>
        </w:rPr>
        <w:t>the </w:t>
      </w:r>
      <w:r>
        <w:rPr>
          <w:color w:val="231F20"/>
          <w:w w:val="105"/>
          <w:sz w:val="20"/>
        </w:rPr>
        <w:t>action</w:t>
      </w:r>
      <w:r>
        <w:rPr>
          <w:color w:val="231F20"/>
          <w:spacing w:val="-43"/>
          <w:w w:val="105"/>
          <w:sz w:val="20"/>
        </w:rPr>
        <w:t> </w:t>
      </w:r>
      <w:r>
        <w:rPr>
          <w:color w:val="231F20"/>
          <w:w w:val="105"/>
          <w:sz w:val="20"/>
        </w:rPr>
        <w:t>of</w:t>
      </w:r>
      <w:r>
        <w:rPr>
          <w:color w:val="231F20"/>
          <w:spacing w:val="-42"/>
          <w:w w:val="105"/>
          <w:sz w:val="20"/>
        </w:rPr>
        <w:t> </w:t>
      </w:r>
      <w:r>
        <w:rPr>
          <w:color w:val="231F20"/>
          <w:w w:val="105"/>
          <w:sz w:val="20"/>
        </w:rPr>
        <w:t>the</w:t>
      </w:r>
      <w:r>
        <w:rPr>
          <w:color w:val="231F20"/>
          <w:spacing w:val="-42"/>
          <w:w w:val="105"/>
          <w:sz w:val="20"/>
        </w:rPr>
        <w:t> </w:t>
      </w:r>
      <w:r>
        <w:rPr>
          <w:color w:val="231F20"/>
          <w:w w:val="105"/>
          <w:sz w:val="20"/>
        </w:rPr>
        <w:t>sodium,</w:t>
      </w:r>
      <w:r>
        <w:rPr>
          <w:color w:val="231F20"/>
          <w:spacing w:val="-42"/>
          <w:w w:val="105"/>
          <w:sz w:val="20"/>
        </w:rPr>
        <w:t> </w:t>
      </w:r>
      <w:r>
        <w:rPr>
          <w:color w:val="231F20"/>
          <w:w w:val="105"/>
          <w:sz w:val="20"/>
        </w:rPr>
        <w:t>2-chloride,</w:t>
      </w:r>
      <w:r>
        <w:rPr>
          <w:color w:val="231F20"/>
          <w:spacing w:val="-42"/>
          <w:w w:val="105"/>
          <w:sz w:val="20"/>
        </w:rPr>
        <w:t> </w:t>
      </w:r>
      <w:r>
        <w:rPr>
          <w:color w:val="231F20"/>
          <w:w w:val="105"/>
          <w:sz w:val="20"/>
        </w:rPr>
        <w:t>potassium</w:t>
      </w:r>
      <w:r>
        <w:rPr>
          <w:color w:val="231F20"/>
          <w:spacing w:val="-42"/>
          <w:w w:val="105"/>
          <w:sz w:val="20"/>
        </w:rPr>
        <w:t> </w:t>
      </w:r>
      <w:r>
        <w:rPr>
          <w:color w:val="231F20"/>
          <w:w w:val="105"/>
          <w:sz w:val="20"/>
        </w:rPr>
        <w:t>co-transporter. These diuretics are discussed in Chapter 32.</w:t>
      </w:r>
    </w:p>
    <w:p>
      <w:pPr>
        <w:pStyle w:val="BodyText"/>
        <w:spacing w:line="249" w:lineRule="auto" w:before="4"/>
        <w:ind w:left="1440" w:firstLine="240"/>
        <w:jc w:val="both"/>
      </w:pPr>
      <w:r>
        <w:rPr>
          <w:color w:val="231F20"/>
          <w:w w:val="105"/>
        </w:rPr>
        <w:t>The</w:t>
      </w:r>
      <w:r>
        <w:rPr>
          <w:color w:val="231F20"/>
          <w:spacing w:val="-15"/>
          <w:w w:val="105"/>
        </w:rPr>
        <w:t> </w:t>
      </w:r>
      <w:r>
        <w:rPr>
          <w:color w:val="231F20"/>
          <w:w w:val="105"/>
        </w:rPr>
        <w:t>thick</w:t>
      </w:r>
      <w:r>
        <w:rPr>
          <w:color w:val="231F20"/>
          <w:spacing w:val="-15"/>
          <w:w w:val="105"/>
        </w:rPr>
        <w:t> </w:t>
      </w:r>
      <w:r>
        <w:rPr>
          <w:color w:val="231F20"/>
          <w:w w:val="105"/>
        </w:rPr>
        <w:t>ascending</w:t>
      </w:r>
      <w:r>
        <w:rPr>
          <w:color w:val="231F20"/>
          <w:spacing w:val="-15"/>
          <w:w w:val="105"/>
        </w:rPr>
        <w:t> </w:t>
      </w:r>
      <w:r>
        <w:rPr>
          <w:color w:val="231F20"/>
          <w:w w:val="105"/>
        </w:rPr>
        <w:t>limb</w:t>
      </w:r>
      <w:r>
        <w:rPr>
          <w:color w:val="231F20"/>
          <w:spacing w:val="-15"/>
          <w:w w:val="105"/>
        </w:rPr>
        <w:t> </w:t>
      </w:r>
      <w:r>
        <w:rPr>
          <w:color w:val="231F20"/>
          <w:w w:val="105"/>
        </w:rPr>
        <w:t>also</w:t>
      </w:r>
      <w:r>
        <w:rPr>
          <w:color w:val="231F20"/>
          <w:spacing w:val="-15"/>
          <w:w w:val="105"/>
        </w:rPr>
        <w:t> </w:t>
      </w:r>
      <w:r>
        <w:rPr>
          <w:color w:val="231F20"/>
          <w:w w:val="105"/>
        </w:rPr>
        <w:t>has</w:t>
      </w:r>
      <w:r>
        <w:rPr>
          <w:color w:val="231F20"/>
          <w:spacing w:val="-15"/>
          <w:w w:val="105"/>
        </w:rPr>
        <w:t> </w:t>
      </w:r>
      <w:r>
        <w:rPr>
          <w:color w:val="231F20"/>
          <w:w w:val="105"/>
        </w:rPr>
        <w:t>a</w:t>
      </w:r>
      <w:r>
        <w:rPr>
          <w:color w:val="231F20"/>
          <w:spacing w:val="-15"/>
          <w:w w:val="105"/>
        </w:rPr>
        <w:t> </w:t>
      </w:r>
      <w:r>
        <w:rPr>
          <w:color w:val="231F20"/>
          <w:w w:val="105"/>
        </w:rPr>
        <w:t>sodium-hydrogen counter-transport mechanism in its luminal cell </w:t>
      </w:r>
      <w:r>
        <w:rPr>
          <w:color w:val="231F20"/>
          <w:spacing w:val="-4"/>
          <w:w w:val="105"/>
        </w:rPr>
        <w:t>mem- </w:t>
      </w:r>
      <w:r>
        <w:rPr>
          <w:color w:val="231F20"/>
          <w:w w:val="105"/>
        </w:rPr>
        <w:t>brane that mediates sodium reabsorption and </w:t>
      </w:r>
      <w:r>
        <w:rPr>
          <w:color w:val="231F20"/>
          <w:spacing w:val="-3"/>
          <w:w w:val="105"/>
        </w:rPr>
        <w:t>hydrogen </w:t>
      </w:r>
      <w:r>
        <w:rPr>
          <w:color w:val="231F20"/>
          <w:w w:val="105"/>
        </w:rPr>
        <w:t>secretion in this segment (see </w:t>
      </w:r>
      <w:hyperlink w:history="true" w:anchor="_bookmark48">
        <w:r>
          <w:rPr>
            <w:b/>
            <w:color w:val="0080AC"/>
            <w:w w:val="105"/>
          </w:rPr>
          <w:t>Figure</w:t>
        </w:r>
        <w:r>
          <w:rPr>
            <w:b/>
            <w:color w:val="0080AC"/>
            <w:spacing w:val="6"/>
            <w:w w:val="105"/>
          </w:rPr>
          <w:t> </w:t>
        </w:r>
        <w:r>
          <w:rPr>
            <w:b/>
            <w:color w:val="0080AC"/>
            <w:w w:val="105"/>
          </w:rPr>
          <w:t>28-9</w:t>
        </w:r>
      </w:hyperlink>
      <w:r>
        <w:rPr>
          <w:color w:val="231F20"/>
          <w:w w:val="105"/>
        </w:rPr>
        <w:t>).</w:t>
      </w:r>
    </w:p>
    <w:p>
      <w:pPr>
        <w:spacing w:line="261" w:lineRule="auto" w:before="99"/>
        <w:ind w:left="319" w:right="1077" w:firstLine="0"/>
        <w:jc w:val="both"/>
        <w:rPr>
          <w:rFonts w:ascii="Arial" w:hAnsi="Arial"/>
          <w:sz w:val="16"/>
        </w:rPr>
      </w:pPr>
      <w:r>
        <w:rPr/>
        <w:br w:type="column"/>
      </w:r>
      <w:bookmarkStart w:name="_bookmark48" w:id="49"/>
      <w:bookmarkEnd w:id="49"/>
      <w:r>
        <w:rPr/>
      </w:r>
      <w:r>
        <w:rPr>
          <w:rFonts w:ascii="Trebuchet MS" w:hAnsi="Trebuchet MS"/>
          <w:b/>
          <w:color w:val="231F20"/>
          <w:sz w:val="16"/>
        </w:rPr>
        <w:t>Figure</w:t>
      </w:r>
      <w:r>
        <w:rPr>
          <w:rFonts w:ascii="Trebuchet MS" w:hAnsi="Trebuchet MS"/>
          <w:b/>
          <w:color w:val="231F20"/>
          <w:spacing w:val="-26"/>
          <w:sz w:val="16"/>
        </w:rPr>
        <w:t> </w:t>
      </w:r>
      <w:r>
        <w:rPr>
          <w:rFonts w:ascii="Trebuchet MS" w:hAnsi="Trebuchet MS"/>
          <w:b/>
          <w:color w:val="231F20"/>
          <w:sz w:val="16"/>
        </w:rPr>
        <w:t>28­9.</w:t>
      </w:r>
      <w:r>
        <w:rPr>
          <w:rFonts w:ascii="Trebuchet MS" w:hAnsi="Trebuchet MS"/>
          <w:b/>
          <w:color w:val="231F20"/>
          <w:spacing w:val="-7"/>
          <w:sz w:val="16"/>
        </w:rPr>
        <w:t> </w:t>
      </w:r>
      <w:r>
        <w:rPr>
          <w:rFonts w:ascii="Arial" w:hAnsi="Arial"/>
          <w:color w:val="231F20"/>
          <w:sz w:val="16"/>
        </w:rPr>
        <w:t>Mechanisms</w:t>
      </w:r>
      <w:r>
        <w:rPr>
          <w:rFonts w:ascii="Arial" w:hAnsi="Arial"/>
          <w:color w:val="231F20"/>
          <w:spacing w:val="-21"/>
          <w:sz w:val="16"/>
        </w:rPr>
        <w:t> </w:t>
      </w:r>
      <w:r>
        <w:rPr>
          <w:rFonts w:ascii="Arial" w:hAnsi="Arial"/>
          <w:color w:val="231F20"/>
          <w:sz w:val="16"/>
        </w:rPr>
        <w:t>of</w:t>
      </w:r>
      <w:r>
        <w:rPr>
          <w:rFonts w:ascii="Arial" w:hAnsi="Arial"/>
          <w:color w:val="231F20"/>
          <w:spacing w:val="-22"/>
          <w:sz w:val="16"/>
        </w:rPr>
        <w:t> </w:t>
      </w:r>
      <w:r>
        <w:rPr>
          <w:rFonts w:ascii="Arial" w:hAnsi="Arial"/>
          <w:color w:val="231F20"/>
          <w:sz w:val="16"/>
        </w:rPr>
        <w:t>sodium,</w:t>
      </w:r>
      <w:r>
        <w:rPr>
          <w:rFonts w:ascii="Arial" w:hAnsi="Arial"/>
          <w:color w:val="231F20"/>
          <w:spacing w:val="-21"/>
          <w:sz w:val="16"/>
        </w:rPr>
        <w:t> </w:t>
      </w:r>
      <w:r>
        <w:rPr>
          <w:rFonts w:ascii="Arial" w:hAnsi="Arial"/>
          <w:color w:val="231F20"/>
          <w:sz w:val="16"/>
        </w:rPr>
        <w:t>chloride,</w:t>
      </w:r>
      <w:r>
        <w:rPr>
          <w:rFonts w:ascii="Arial" w:hAnsi="Arial"/>
          <w:color w:val="231F20"/>
          <w:spacing w:val="-22"/>
          <w:sz w:val="16"/>
        </w:rPr>
        <w:t> </w:t>
      </w:r>
      <w:r>
        <w:rPr>
          <w:rFonts w:ascii="Arial" w:hAnsi="Arial"/>
          <w:color w:val="231F20"/>
          <w:sz w:val="16"/>
        </w:rPr>
        <w:t>and</w:t>
      </w:r>
      <w:r>
        <w:rPr>
          <w:rFonts w:ascii="Arial" w:hAnsi="Arial"/>
          <w:color w:val="231F20"/>
          <w:spacing w:val="-22"/>
          <w:sz w:val="16"/>
        </w:rPr>
        <w:t> </w:t>
      </w:r>
      <w:r>
        <w:rPr>
          <w:rFonts w:ascii="Arial" w:hAnsi="Arial"/>
          <w:color w:val="231F20"/>
          <w:sz w:val="16"/>
        </w:rPr>
        <w:t>potassium</w:t>
      </w:r>
      <w:r>
        <w:rPr>
          <w:rFonts w:ascii="Arial" w:hAnsi="Arial"/>
          <w:color w:val="231F20"/>
          <w:spacing w:val="-21"/>
          <w:sz w:val="16"/>
        </w:rPr>
        <w:t> </w:t>
      </w:r>
      <w:r>
        <w:rPr>
          <w:rFonts w:ascii="Arial" w:hAnsi="Arial"/>
          <w:color w:val="231F20"/>
          <w:sz w:val="16"/>
        </w:rPr>
        <w:t>trans- port in the thick ascending loop of Henle. The sodium-potassium ATPase pump in the basolateral  cell  membrane  maintains  </w:t>
      </w:r>
      <w:r>
        <w:rPr>
          <w:rFonts w:ascii="Arial" w:hAnsi="Arial"/>
          <w:color w:val="231F20"/>
          <w:spacing w:val="-16"/>
          <w:sz w:val="16"/>
        </w:rPr>
        <w:t>a</w:t>
      </w:r>
      <w:r>
        <w:rPr>
          <w:rFonts w:ascii="Arial" w:hAnsi="Arial"/>
          <w:color w:val="231F20"/>
          <w:spacing w:val="12"/>
          <w:sz w:val="16"/>
        </w:rPr>
        <w:t> </w:t>
      </w:r>
      <w:r>
        <w:rPr>
          <w:rFonts w:ascii="Arial" w:hAnsi="Arial"/>
          <w:color w:val="231F20"/>
          <w:sz w:val="16"/>
        </w:rPr>
        <w:t>low intracellular sodium concentration and a negative electrical potential in the cell. The 1-sodium, 2-chloride, 1-potassium co-transporter</w:t>
      </w:r>
      <w:r>
        <w:rPr>
          <w:rFonts w:ascii="Arial" w:hAnsi="Arial"/>
          <w:color w:val="231F20"/>
          <w:spacing w:val="-6"/>
          <w:sz w:val="16"/>
        </w:rPr>
        <w:t> </w:t>
      </w:r>
      <w:r>
        <w:rPr>
          <w:rFonts w:ascii="Arial" w:hAnsi="Arial"/>
          <w:color w:val="231F20"/>
          <w:sz w:val="16"/>
        </w:rPr>
        <w:t>in</w:t>
      </w:r>
      <w:r>
        <w:rPr>
          <w:rFonts w:ascii="Arial" w:hAnsi="Arial"/>
          <w:color w:val="231F20"/>
          <w:spacing w:val="-5"/>
          <w:sz w:val="16"/>
        </w:rPr>
        <w:t> </w:t>
      </w:r>
      <w:r>
        <w:rPr>
          <w:rFonts w:ascii="Arial" w:hAnsi="Arial"/>
          <w:color w:val="231F20"/>
          <w:sz w:val="16"/>
        </w:rPr>
        <w:t>the</w:t>
      </w:r>
      <w:r>
        <w:rPr>
          <w:rFonts w:ascii="Arial" w:hAnsi="Arial"/>
          <w:color w:val="231F20"/>
          <w:spacing w:val="-5"/>
          <w:sz w:val="16"/>
        </w:rPr>
        <w:t> </w:t>
      </w:r>
      <w:r>
        <w:rPr>
          <w:rFonts w:ascii="Arial" w:hAnsi="Arial"/>
          <w:color w:val="231F20"/>
          <w:sz w:val="16"/>
        </w:rPr>
        <w:t>luminal</w:t>
      </w:r>
      <w:r>
        <w:rPr>
          <w:rFonts w:ascii="Arial" w:hAnsi="Arial"/>
          <w:color w:val="231F20"/>
          <w:spacing w:val="-5"/>
          <w:sz w:val="16"/>
        </w:rPr>
        <w:t> </w:t>
      </w:r>
      <w:r>
        <w:rPr>
          <w:rFonts w:ascii="Arial" w:hAnsi="Arial"/>
          <w:color w:val="231F20"/>
          <w:sz w:val="16"/>
        </w:rPr>
        <w:t>membrane</w:t>
      </w:r>
      <w:r>
        <w:rPr>
          <w:rFonts w:ascii="Arial" w:hAnsi="Arial"/>
          <w:color w:val="231F20"/>
          <w:spacing w:val="-6"/>
          <w:sz w:val="16"/>
        </w:rPr>
        <w:t> </w:t>
      </w:r>
      <w:r>
        <w:rPr>
          <w:rFonts w:ascii="Arial" w:hAnsi="Arial"/>
          <w:color w:val="231F20"/>
          <w:sz w:val="16"/>
        </w:rPr>
        <w:t>transports</w:t>
      </w:r>
      <w:r>
        <w:rPr>
          <w:rFonts w:ascii="Arial" w:hAnsi="Arial"/>
          <w:color w:val="231F20"/>
          <w:spacing w:val="-5"/>
          <w:sz w:val="16"/>
        </w:rPr>
        <w:t> </w:t>
      </w:r>
      <w:r>
        <w:rPr>
          <w:rFonts w:ascii="Arial" w:hAnsi="Arial"/>
          <w:color w:val="231F20"/>
          <w:sz w:val="16"/>
        </w:rPr>
        <w:t>these</w:t>
      </w:r>
      <w:r>
        <w:rPr>
          <w:rFonts w:ascii="Arial" w:hAnsi="Arial"/>
          <w:color w:val="231F20"/>
          <w:spacing w:val="-5"/>
          <w:sz w:val="16"/>
        </w:rPr>
        <w:t> </w:t>
      </w:r>
      <w:r>
        <w:rPr>
          <w:rFonts w:ascii="Arial" w:hAnsi="Arial"/>
          <w:color w:val="231F20"/>
          <w:sz w:val="16"/>
        </w:rPr>
        <w:t>three</w:t>
      </w:r>
      <w:r>
        <w:rPr>
          <w:rFonts w:ascii="Arial" w:hAnsi="Arial"/>
          <w:color w:val="231F20"/>
          <w:spacing w:val="-5"/>
          <w:sz w:val="16"/>
        </w:rPr>
        <w:t> ions </w:t>
      </w:r>
      <w:r>
        <w:rPr>
          <w:rFonts w:ascii="Arial" w:hAnsi="Arial"/>
          <w:color w:val="231F20"/>
          <w:sz w:val="16"/>
        </w:rPr>
        <w:t>from the tubular lumen into the cells, using the potential energy released by diffusion of sodium down an electrochemical gradient into</w:t>
      </w:r>
      <w:r>
        <w:rPr>
          <w:rFonts w:ascii="Arial" w:hAnsi="Arial"/>
          <w:color w:val="231F20"/>
          <w:spacing w:val="18"/>
          <w:sz w:val="16"/>
        </w:rPr>
        <w:t> </w:t>
      </w:r>
      <w:r>
        <w:rPr>
          <w:rFonts w:ascii="Arial" w:hAnsi="Arial"/>
          <w:color w:val="231F20"/>
          <w:sz w:val="16"/>
        </w:rPr>
        <w:t>the</w:t>
      </w:r>
      <w:r>
        <w:rPr>
          <w:rFonts w:ascii="Arial" w:hAnsi="Arial"/>
          <w:color w:val="231F20"/>
          <w:spacing w:val="18"/>
          <w:sz w:val="16"/>
        </w:rPr>
        <w:t> </w:t>
      </w:r>
      <w:r>
        <w:rPr>
          <w:rFonts w:ascii="Arial" w:hAnsi="Arial"/>
          <w:color w:val="231F20"/>
          <w:sz w:val="16"/>
        </w:rPr>
        <w:t>cells.</w:t>
      </w:r>
      <w:r>
        <w:rPr>
          <w:rFonts w:ascii="Arial" w:hAnsi="Arial"/>
          <w:color w:val="231F20"/>
          <w:spacing w:val="18"/>
          <w:sz w:val="16"/>
        </w:rPr>
        <w:t> </w:t>
      </w:r>
      <w:r>
        <w:rPr>
          <w:rFonts w:ascii="Arial" w:hAnsi="Arial"/>
          <w:color w:val="231F20"/>
          <w:sz w:val="16"/>
        </w:rPr>
        <w:t>Sodium</w:t>
      </w:r>
      <w:r>
        <w:rPr>
          <w:rFonts w:ascii="Arial" w:hAnsi="Arial"/>
          <w:color w:val="231F20"/>
          <w:spacing w:val="18"/>
          <w:sz w:val="16"/>
        </w:rPr>
        <w:t> </w:t>
      </w:r>
      <w:r>
        <w:rPr>
          <w:rFonts w:ascii="Arial" w:hAnsi="Arial"/>
          <w:color w:val="231F20"/>
          <w:sz w:val="16"/>
        </w:rPr>
        <w:t>is</w:t>
      </w:r>
      <w:r>
        <w:rPr>
          <w:rFonts w:ascii="Arial" w:hAnsi="Arial"/>
          <w:color w:val="231F20"/>
          <w:spacing w:val="18"/>
          <w:sz w:val="16"/>
        </w:rPr>
        <w:t> </w:t>
      </w:r>
      <w:r>
        <w:rPr>
          <w:rFonts w:ascii="Arial" w:hAnsi="Arial"/>
          <w:color w:val="231F20"/>
          <w:sz w:val="16"/>
        </w:rPr>
        <w:t>also</w:t>
      </w:r>
      <w:r>
        <w:rPr>
          <w:rFonts w:ascii="Arial" w:hAnsi="Arial"/>
          <w:color w:val="231F20"/>
          <w:spacing w:val="18"/>
          <w:sz w:val="16"/>
        </w:rPr>
        <w:t> </w:t>
      </w:r>
      <w:r>
        <w:rPr>
          <w:rFonts w:ascii="Arial" w:hAnsi="Arial"/>
          <w:color w:val="231F20"/>
          <w:sz w:val="16"/>
        </w:rPr>
        <w:t>transported</w:t>
      </w:r>
      <w:r>
        <w:rPr>
          <w:rFonts w:ascii="Arial" w:hAnsi="Arial"/>
          <w:color w:val="231F20"/>
          <w:spacing w:val="19"/>
          <w:sz w:val="16"/>
        </w:rPr>
        <w:t> </w:t>
      </w:r>
      <w:r>
        <w:rPr>
          <w:rFonts w:ascii="Arial" w:hAnsi="Arial"/>
          <w:color w:val="231F20"/>
          <w:sz w:val="16"/>
        </w:rPr>
        <w:t>into</w:t>
      </w:r>
      <w:r>
        <w:rPr>
          <w:rFonts w:ascii="Arial" w:hAnsi="Arial"/>
          <w:color w:val="231F20"/>
          <w:spacing w:val="18"/>
          <w:sz w:val="16"/>
        </w:rPr>
        <w:t> </w:t>
      </w:r>
      <w:r>
        <w:rPr>
          <w:rFonts w:ascii="Arial" w:hAnsi="Arial"/>
          <w:color w:val="231F20"/>
          <w:sz w:val="16"/>
        </w:rPr>
        <w:t>the</w:t>
      </w:r>
      <w:r>
        <w:rPr>
          <w:rFonts w:ascii="Arial" w:hAnsi="Arial"/>
          <w:color w:val="231F20"/>
          <w:spacing w:val="18"/>
          <w:sz w:val="16"/>
        </w:rPr>
        <w:t> </w:t>
      </w:r>
      <w:r>
        <w:rPr>
          <w:rFonts w:ascii="Arial" w:hAnsi="Arial"/>
          <w:color w:val="231F20"/>
          <w:sz w:val="16"/>
        </w:rPr>
        <w:t>tubular</w:t>
      </w:r>
      <w:r>
        <w:rPr>
          <w:rFonts w:ascii="Arial" w:hAnsi="Arial"/>
          <w:color w:val="231F20"/>
          <w:spacing w:val="18"/>
          <w:sz w:val="16"/>
        </w:rPr>
        <w:t> </w:t>
      </w:r>
      <w:r>
        <w:rPr>
          <w:rFonts w:ascii="Arial" w:hAnsi="Arial"/>
          <w:color w:val="231F20"/>
          <w:sz w:val="16"/>
        </w:rPr>
        <w:t>cell</w:t>
      </w:r>
      <w:r>
        <w:rPr>
          <w:rFonts w:ascii="Arial" w:hAnsi="Arial"/>
          <w:color w:val="231F20"/>
          <w:spacing w:val="18"/>
          <w:sz w:val="16"/>
        </w:rPr>
        <w:t> </w:t>
      </w:r>
      <w:r>
        <w:rPr>
          <w:rFonts w:ascii="Arial" w:hAnsi="Arial"/>
          <w:color w:val="231F20"/>
          <w:sz w:val="16"/>
        </w:rPr>
        <w:t>by</w:t>
      </w:r>
    </w:p>
    <w:p>
      <w:pPr>
        <w:spacing w:line="212" w:lineRule="exact" w:before="0"/>
        <w:ind w:left="319" w:right="0" w:firstLine="0"/>
        <w:jc w:val="both"/>
        <w:rPr>
          <w:rFonts w:ascii="Arial"/>
          <w:sz w:val="16"/>
        </w:rPr>
      </w:pPr>
      <w:r>
        <w:rPr>
          <w:rFonts w:ascii="Arial"/>
          <w:color w:val="231F20"/>
          <w:sz w:val="16"/>
        </w:rPr>
        <w:t>sodium-hydrogen</w:t>
      </w:r>
      <w:r>
        <w:rPr>
          <w:rFonts w:ascii="Arial"/>
          <w:color w:val="231F20"/>
          <w:spacing w:val="-16"/>
          <w:sz w:val="16"/>
        </w:rPr>
        <w:t> </w:t>
      </w:r>
      <w:r>
        <w:rPr>
          <w:rFonts w:ascii="Arial"/>
          <w:color w:val="231F20"/>
          <w:sz w:val="16"/>
        </w:rPr>
        <w:t>counter-transport.</w:t>
      </w:r>
      <w:r>
        <w:rPr>
          <w:rFonts w:ascii="Arial"/>
          <w:color w:val="231F20"/>
          <w:spacing w:val="-14"/>
          <w:sz w:val="16"/>
        </w:rPr>
        <w:t> </w:t>
      </w:r>
      <w:r>
        <w:rPr>
          <w:rFonts w:ascii="Arial"/>
          <w:color w:val="231F20"/>
          <w:sz w:val="16"/>
        </w:rPr>
        <w:t>The</w:t>
      </w:r>
      <w:r>
        <w:rPr>
          <w:rFonts w:ascii="Arial"/>
          <w:color w:val="231F20"/>
          <w:spacing w:val="-16"/>
          <w:sz w:val="16"/>
        </w:rPr>
        <w:t> </w:t>
      </w:r>
      <w:r>
        <w:rPr>
          <w:rFonts w:ascii="Arial"/>
          <w:color w:val="231F20"/>
          <w:sz w:val="16"/>
        </w:rPr>
        <w:t>positive</w:t>
      </w:r>
      <w:r>
        <w:rPr>
          <w:rFonts w:ascii="Arial"/>
          <w:color w:val="231F20"/>
          <w:spacing w:val="-15"/>
          <w:sz w:val="16"/>
        </w:rPr>
        <w:t> </w:t>
      </w:r>
      <w:r>
        <w:rPr>
          <w:rFonts w:ascii="Arial"/>
          <w:color w:val="231F20"/>
          <w:sz w:val="16"/>
        </w:rPr>
        <w:t>charge</w:t>
      </w:r>
      <w:r>
        <w:rPr>
          <w:rFonts w:ascii="Arial"/>
          <w:color w:val="231F20"/>
          <w:spacing w:val="-15"/>
          <w:sz w:val="16"/>
        </w:rPr>
        <w:t> </w:t>
      </w:r>
      <w:r>
        <w:rPr>
          <w:rFonts w:ascii="Arial"/>
          <w:color w:val="231F20"/>
          <w:sz w:val="16"/>
        </w:rPr>
        <w:t>(</w:t>
      </w:r>
      <w:r>
        <w:rPr>
          <w:rFonts w:ascii="Arial Unicode MS"/>
          <w:color w:val="231F20"/>
          <w:sz w:val="16"/>
        </w:rPr>
        <w:t>+</w:t>
      </w:r>
      <w:r>
        <w:rPr>
          <w:rFonts w:ascii="Arial"/>
          <w:color w:val="231F20"/>
          <w:sz w:val="16"/>
        </w:rPr>
        <w:t>8</w:t>
      </w:r>
      <w:r>
        <w:rPr>
          <w:rFonts w:ascii="Arial"/>
          <w:color w:val="231F20"/>
          <w:spacing w:val="-16"/>
          <w:sz w:val="16"/>
        </w:rPr>
        <w:t> </w:t>
      </w:r>
      <w:r>
        <w:rPr>
          <w:rFonts w:ascii="Arial"/>
          <w:color w:val="231F20"/>
          <w:sz w:val="16"/>
        </w:rPr>
        <w:t>mV)</w:t>
      </w:r>
      <w:r>
        <w:rPr>
          <w:rFonts w:ascii="Arial"/>
          <w:color w:val="231F20"/>
          <w:spacing w:val="-15"/>
          <w:sz w:val="16"/>
        </w:rPr>
        <w:t> </w:t>
      </w:r>
      <w:r>
        <w:rPr>
          <w:rFonts w:ascii="Arial"/>
          <w:color w:val="231F20"/>
          <w:sz w:val="16"/>
        </w:rPr>
        <w:t>of</w:t>
      </w:r>
    </w:p>
    <w:p>
      <w:pPr>
        <w:spacing w:line="165" w:lineRule="exact" w:before="0"/>
        <w:ind w:left="319" w:right="0" w:firstLine="0"/>
        <w:jc w:val="both"/>
        <w:rPr>
          <w:rFonts w:ascii="Arial"/>
          <w:sz w:val="16"/>
        </w:rPr>
      </w:pPr>
      <w:r>
        <w:rPr>
          <w:rFonts w:ascii="Arial"/>
          <w:color w:val="231F20"/>
          <w:sz w:val="16"/>
        </w:rPr>
        <w:t>the</w:t>
      </w:r>
      <w:r>
        <w:rPr>
          <w:rFonts w:ascii="Arial"/>
          <w:color w:val="231F20"/>
          <w:spacing w:val="-4"/>
          <w:sz w:val="16"/>
        </w:rPr>
        <w:t> </w:t>
      </w:r>
      <w:r>
        <w:rPr>
          <w:rFonts w:ascii="Arial"/>
          <w:color w:val="231F20"/>
          <w:sz w:val="16"/>
        </w:rPr>
        <w:t>tubular</w:t>
      </w:r>
      <w:r>
        <w:rPr>
          <w:rFonts w:ascii="Arial"/>
          <w:color w:val="231F20"/>
          <w:spacing w:val="-4"/>
          <w:sz w:val="16"/>
        </w:rPr>
        <w:t> </w:t>
      </w:r>
      <w:r>
        <w:rPr>
          <w:rFonts w:ascii="Arial"/>
          <w:color w:val="231F20"/>
          <w:sz w:val="16"/>
        </w:rPr>
        <w:t>lumen</w:t>
      </w:r>
      <w:r>
        <w:rPr>
          <w:rFonts w:ascii="Arial"/>
          <w:color w:val="231F20"/>
          <w:spacing w:val="-3"/>
          <w:sz w:val="16"/>
        </w:rPr>
        <w:t> </w:t>
      </w:r>
      <w:r>
        <w:rPr>
          <w:rFonts w:ascii="Arial"/>
          <w:color w:val="231F20"/>
          <w:sz w:val="16"/>
        </w:rPr>
        <w:t>relative</w:t>
      </w:r>
      <w:r>
        <w:rPr>
          <w:rFonts w:ascii="Arial"/>
          <w:color w:val="231F20"/>
          <w:spacing w:val="-4"/>
          <w:sz w:val="16"/>
        </w:rPr>
        <w:t> </w:t>
      </w:r>
      <w:r>
        <w:rPr>
          <w:rFonts w:ascii="Arial"/>
          <w:color w:val="231F20"/>
          <w:sz w:val="16"/>
        </w:rPr>
        <w:t>to</w:t>
      </w:r>
      <w:r>
        <w:rPr>
          <w:rFonts w:ascii="Arial"/>
          <w:color w:val="231F20"/>
          <w:spacing w:val="-3"/>
          <w:sz w:val="16"/>
        </w:rPr>
        <w:t> </w:t>
      </w:r>
      <w:r>
        <w:rPr>
          <w:rFonts w:ascii="Arial"/>
          <w:color w:val="231F20"/>
          <w:sz w:val="16"/>
        </w:rPr>
        <w:t>the</w:t>
      </w:r>
      <w:r>
        <w:rPr>
          <w:rFonts w:ascii="Arial"/>
          <w:color w:val="231F20"/>
          <w:spacing w:val="-4"/>
          <w:sz w:val="16"/>
        </w:rPr>
        <w:t> </w:t>
      </w:r>
      <w:r>
        <w:rPr>
          <w:rFonts w:ascii="Arial"/>
          <w:color w:val="231F20"/>
          <w:sz w:val="16"/>
        </w:rPr>
        <w:t>interstitial</w:t>
      </w:r>
      <w:r>
        <w:rPr>
          <w:rFonts w:ascii="Arial"/>
          <w:color w:val="231F20"/>
          <w:spacing w:val="-3"/>
          <w:sz w:val="16"/>
        </w:rPr>
        <w:t> </w:t>
      </w:r>
      <w:r>
        <w:rPr>
          <w:rFonts w:ascii="Arial"/>
          <w:color w:val="231F20"/>
          <w:sz w:val="16"/>
        </w:rPr>
        <w:t>fluid</w:t>
      </w:r>
      <w:r>
        <w:rPr>
          <w:rFonts w:ascii="Arial"/>
          <w:color w:val="231F20"/>
          <w:spacing w:val="-4"/>
          <w:sz w:val="16"/>
        </w:rPr>
        <w:t> </w:t>
      </w:r>
      <w:r>
        <w:rPr>
          <w:rFonts w:ascii="Arial"/>
          <w:color w:val="231F20"/>
          <w:sz w:val="16"/>
        </w:rPr>
        <w:t>forces</w:t>
      </w:r>
      <w:r>
        <w:rPr>
          <w:rFonts w:ascii="Arial"/>
          <w:color w:val="231F20"/>
          <w:spacing w:val="-3"/>
          <w:sz w:val="16"/>
        </w:rPr>
        <w:t> </w:t>
      </w:r>
      <w:r>
        <w:rPr>
          <w:rFonts w:ascii="Arial"/>
          <w:color w:val="231F20"/>
          <w:sz w:val="16"/>
        </w:rPr>
        <w:t>cations</w:t>
      </w:r>
      <w:r>
        <w:rPr>
          <w:rFonts w:ascii="Arial"/>
          <w:color w:val="231F20"/>
          <w:spacing w:val="-4"/>
          <w:sz w:val="16"/>
        </w:rPr>
        <w:t> </w:t>
      </w:r>
      <w:r>
        <w:rPr>
          <w:rFonts w:ascii="Arial"/>
          <w:color w:val="231F20"/>
          <w:sz w:val="16"/>
        </w:rPr>
        <w:t>such</w:t>
      </w:r>
    </w:p>
    <w:p>
      <w:pPr>
        <w:spacing w:line="259" w:lineRule="auto" w:before="0"/>
        <w:ind w:left="319" w:right="1078" w:firstLine="0"/>
        <w:jc w:val="both"/>
        <w:rPr>
          <w:rFonts w:ascii="Arial"/>
          <w:sz w:val="16"/>
        </w:rPr>
      </w:pPr>
      <w:r>
        <w:rPr>
          <w:rFonts w:ascii="Arial"/>
          <w:color w:val="231F20"/>
          <w:sz w:val="16"/>
        </w:rPr>
        <w:t>as Mg</w:t>
      </w:r>
      <w:r>
        <w:rPr>
          <w:rFonts w:ascii="Arial Unicode MS"/>
          <w:color w:val="231F20"/>
          <w:position w:val="6"/>
          <w:sz w:val="9"/>
        </w:rPr>
        <w:t>++ </w:t>
      </w:r>
      <w:r>
        <w:rPr>
          <w:rFonts w:ascii="Arial"/>
          <w:color w:val="231F20"/>
          <w:sz w:val="16"/>
        </w:rPr>
        <w:t>and Ca</w:t>
      </w:r>
      <w:r>
        <w:rPr>
          <w:rFonts w:ascii="Arial Unicode MS"/>
          <w:color w:val="231F20"/>
          <w:position w:val="6"/>
          <w:sz w:val="9"/>
        </w:rPr>
        <w:t>++ </w:t>
      </w:r>
      <w:r>
        <w:rPr>
          <w:rFonts w:ascii="Arial"/>
          <w:color w:val="231F20"/>
          <w:sz w:val="16"/>
        </w:rPr>
        <w:t>to diffuse from the lumen to the interstitial </w:t>
      </w:r>
      <w:r>
        <w:rPr>
          <w:rFonts w:ascii="Arial"/>
          <w:color w:val="231F20"/>
          <w:spacing w:val="-3"/>
          <w:sz w:val="16"/>
        </w:rPr>
        <w:t>fluid </w:t>
      </w:r>
      <w:r>
        <w:rPr>
          <w:rFonts w:ascii="Arial"/>
          <w:color w:val="231F20"/>
          <w:sz w:val="16"/>
        </w:rPr>
        <w:t>via the paracellular</w:t>
      </w:r>
      <w:r>
        <w:rPr>
          <w:rFonts w:ascii="Arial"/>
          <w:color w:val="231F20"/>
          <w:spacing w:val="19"/>
          <w:sz w:val="16"/>
        </w:rPr>
        <w:t> </w:t>
      </w:r>
      <w:r>
        <w:rPr>
          <w:rFonts w:ascii="Arial"/>
          <w:color w:val="231F20"/>
          <w:sz w:val="16"/>
        </w:rPr>
        <w:t>pathway.</w:t>
      </w:r>
    </w:p>
    <w:p>
      <w:pPr>
        <w:pStyle w:val="BodyText"/>
        <w:spacing w:before="1"/>
        <w:rPr>
          <w:rFonts w:ascii="Arial"/>
          <w:sz w:val="25"/>
        </w:rPr>
      </w:pPr>
    </w:p>
    <w:p>
      <w:pPr>
        <w:pStyle w:val="BodyText"/>
        <w:spacing w:line="240" w:lineRule="exact"/>
        <w:ind w:left="319" w:right="1077" w:firstLine="240"/>
        <w:jc w:val="both"/>
      </w:pPr>
      <w:r>
        <w:rPr>
          <w:color w:val="231F20"/>
        </w:rPr>
        <w:t>There is also significant paracellular reabsorption </w:t>
      </w:r>
      <w:r>
        <w:rPr>
          <w:color w:val="231F20"/>
          <w:spacing w:val="-7"/>
        </w:rPr>
        <w:t>of </w:t>
      </w:r>
      <w:r>
        <w:rPr>
          <w:color w:val="231F20"/>
        </w:rPr>
        <w:t>cations, such as </w:t>
      </w:r>
      <w:r>
        <w:rPr>
          <w:color w:val="231F20"/>
          <w:spacing w:val="-6"/>
        </w:rPr>
        <w:t>Mg</w:t>
      </w:r>
      <w:r>
        <w:rPr>
          <w:rFonts w:ascii="Arial Unicode MS"/>
          <w:color w:val="231F20"/>
          <w:spacing w:val="-6"/>
          <w:position w:val="8"/>
          <w:sz w:val="12"/>
        </w:rPr>
        <w:t>++</w:t>
      </w:r>
      <w:r>
        <w:rPr>
          <w:color w:val="231F20"/>
          <w:spacing w:val="-6"/>
        </w:rPr>
        <w:t>, </w:t>
      </w:r>
      <w:r>
        <w:rPr>
          <w:color w:val="231F20"/>
          <w:spacing w:val="-5"/>
        </w:rPr>
        <w:t>Ca</w:t>
      </w:r>
      <w:r>
        <w:rPr>
          <w:rFonts w:ascii="Arial Unicode MS"/>
          <w:color w:val="231F20"/>
          <w:spacing w:val="-5"/>
          <w:position w:val="8"/>
          <w:sz w:val="12"/>
        </w:rPr>
        <w:t>++</w:t>
      </w:r>
      <w:r>
        <w:rPr>
          <w:color w:val="231F20"/>
          <w:spacing w:val="-5"/>
        </w:rPr>
        <w:t>, </w:t>
      </w:r>
      <w:r>
        <w:rPr>
          <w:color w:val="231F20"/>
          <w:spacing w:val="-6"/>
        </w:rPr>
        <w:t>Na</w:t>
      </w:r>
      <w:r>
        <w:rPr>
          <w:rFonts w:ascii="Arial Unicode MS"/>
          <w:color w:val="231F20"/>
          <w:spacing w:val="-6"/>
          <w:position w:val="8"/>
          <w:sz w:val="12"/>
        </w:rPr>
        <w:t>+</w:t>
      </w:r>
      <w:r>
        <w:rPr>
          <w:color w:val="231F20"/>
          <w:spacing w:val="-6"/>
        </w:rPr>
        <w:t>, </w:t>
      </w:r>
      <w:r>
        <w:rPr>
          <w:color w:val="231F20"/>
        </w:rPr>
        <w:t>and </w:t>
      </w:r>
      <w:r>
        <w:rPr>
          <w:color w:val="231F20"/>
          <w:spacing w:val="-8"/>
        </w:rPr>
        <w:t>K</w:t>
      </w:r>
      <w:r>
        <w:rPr>
          <w:rFonts w:ascii="Arial Unicode MS"/>
          <w:color w:val="231F20"/>
          <w:spacing w:val="-8"/>
          <w:position w:val="8"/>
          <w:sz w:val="12"/>
        </w:rPr>
        <w:t>+</w:t>
      </w:r>
      <w:r>
        <w:rPr>
          <w:color w:val="231F20"/>
          <w:spacing w:val="-8"/>
        </w:rPr>
        <w:t>, </w:t>
      </w:r>
      <w:r>
        <w:rPr>
          <w:color w:val="231F20"/>
        </w:rPr>
        <w:t>in the thick as- cending limb as a result of the slight positive charge of</w:t>
      </w:r>
      <w:r>
        <w:rPr>
          <w:color w:val="231F20"/>
          <w:spacing w:val="-17"/>
        </w:rPr>
        <w:t> </w:t>
      </w:r>
      <w:r>
        <w:rPr>
          <w:color w:val="231F20"/>
        </w:rPr>
        <w:t>the tubular lumen relative to the interstitial fluid. Although the 1-sodium, 2-chloride, 1-potassium co-transporter moves equal amounts of cations and anions into the cell, there is a slight backleak of potassium ions into the</w:t>
      </w:r>
      <w:r>
        <w:rPr>
          <w:color w:val="231F20"/>
          <w:spacing w:val="-22"/>
        </w:rPr>
        <w:t> </w:t>
      </w:r>
      <w:r>
        <w:rPr>
          <w:color w:val="231F20"/>
        </w:rPr>
        <w:t>lumen,</w:t>
      </w:r>
    </w:p>
    <w:p>
      <w:pPr>
        <w:pStyle w:val="BodyText"/>
        <w:spacing w:line="204" w:lineRule="auto"/>
        <w:ind w:left="319" w:right="1078"/>
        <w:jc w:val="both"/>
      </w:pPr>
      <w:r>
        <w:rPr>
          <w:color w:val="231F20"/>
        </w:rPr>
        <w:t>creating a positive charge of about </w:t>
      </w:r>
      <w:r>
        <w:rPr>
          <w:rFonts w:ascii="Arial Unicode MS"/>
          <w:color w:val="231F20"/>
        </w:rPr>
        <w:t>+</w:t>
      </w:r>
      <w:r>
        <w:rPr>
          <w:color w:val="231F20"/>
        </w:rPr>
        <w:t>8 millivolts in the tubular lumen. This positive charge forces cations such </w:t>
      </w:r>
      <w:r>
        <w:rPr>
          <w:color w:val="231F20"/>
          <w:spacing w:val="-6"/>
        </w:rPr>
        <w:t>as </w:t>
      </w:r>
      <w:r>
        <w:rPr>
          <w:color w:val="231F20"/>
        </w:rPr>
        <w:t>Mg</w:t>
      </w:r>
      <w:r>
        <w:rPr>
          <w:rFonts w:ascii="Arial Unicode MS"/>
          <w:color w:val="231F20"/>
          <w:position w:val="8"/>
          <w:sz w:val="12"/>
        </w:rPr>
        <w:t>++</w:t>
      </w:r>
      <w:r>
        <w:rPr>
          <w:rFonts w:ascii="Arial Unicode MS"/>
          <w:color w:val="231F20"/>
          <w:spacing w:val="30"/>
          <w:position w:val="8"/>
          <w:sz w:val="12"/>
        </w:rPr>
        <w:t> </w:t>
      </w:r>
      <w:r>
        <w:rPr>
          <w:color w:val="231F20"/>
        </w:rPr>
        <w:t>and</w:t>
      </w:r>
      <w:r>
        <w:rPr>
          <w:color w:val="231F20"/>
          <w:spacing w:val="15"/>
        </w:rPr>
        <w:t> </w:t>
      </w:r>
      <w:r>
        <w:rPr>
          <w:color w:val="231F20"/>
        </w:rPr>
        <w:t>Ca</w:t>
      </w:r>
      <w:r>
        <w:rPr>
          <w:rFonts w:ascii="Arial Unicode MS"/>
          <w:color w:val="231F20"/>
          <w:position w:val="8"/>
          <w:sz w:val="12"/>
        </w:rPr>
        <w:t>++</w:t>
      </w:r>
      <w:r>
        <w:rPr>
          <w:rFonts w:ascii="Arial Unicode MS"/>
          <w:color w:val="231F20"/>
          <w:spacing w:val="31"/>
          <w:position w:val="8"/>
          <w:sz w:val="12"/>
        </w:rPr>
        <w:t> </w:t>
      </w:r>
      <w:r>
        <w:rPr>
          <w:color w:val="231F20"/>
        </w:rPr>
        <w:t>to</w:t>
      </w:r>
      <w:r>
        <w:rPr>
          <w:color w:val="231F20"/>
          <w:spacing w:val="14"/>
        </w:rPr>
        <w:t> </w:t>
      </w:r>
      <w:r>
        <w:rPr>
          <w:color w:val="231F20"/>
        </w:rPr>
        <w:t>diffuse</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tubular</w:t>
      </w:r>
      <w:r>
        <w:rPr>
          <w:color w:val="231F20"/>
          <w:spacing w:val="15"/>
        </w:rPr>
        <w:t> </w:t>
      </w:r>
      <w:r>
        <w:rPr>
          <w:color w:val="231F20"/>
        </w:rPr>
        <w:t>lumen</w:t>
      </w:r>
      <w:r>
        <w:rPr>
          <w:color w:val="231F20"/>
          <w:spacing w:val="15"/>
        </w:rPr>
        <w:t> </w:t>
      </w:r>
      <w:r>
        <w:rPr>
          <w:color w:val="231F20"/>
          <w:spacing w:val="-3"/>
        </w:rPr>
        <w:t>through</w:t>
      </w:r>
    </w:p>
    <w:p>
      <w:pPr>
        <w:pStyle w:val="BodyText"/>
        <w:spacing w:before="2"/>
        <w:ind w:left="319"/>
        <w:jc w:val="both"/>
      </w:pPr>
      <w:r>
        <w:rPr>
          <w:color w:val="231F20"/>
          <w:w w:val="105"/>
        </w:rPr>
        <w:t>the paracellular space and into the interstitial fluid.</w:t>
      </w:r>
    </w:p>
    <w:p>
      <w:pPr>
        <w:pStyle w:val="BodyText"/>
        <w:spacing w:line="249" w:lineRule="auto" w:before="10"/>
        <w:ind w:left="319" w:right="1077" w:firstLine="240"/>
        <w:jc w:val="both"/>
      </w:pPr>
      <w:r>
        <w:rPr>
          <w:i/>
          <w:color w:val="231F20"/>
        </w:rPr>
        <w:t>The thick segment of the ascending loop of Henle is </w:t>
      </w:r>
      <w:r>
        <w:rPr>
          <w:i/>
          <w:color w:val="231F20"/>
        </w:rPr>
        <w:t>virtually impermeable to water</w:t>
      </w:r>
      <w:r>
        <w:rPr>
          <w:color w:val="231F20"/>
        </w:rPr>
        <w:t>. Therefore, most of the water delivered to this segment remains in the tubule despite reabsorption of large amounts of solute. The tubular fluid in the ascending limb becomes very dilute  as it flows toward the distal tubule, a feature that is impor- tant in allowing the kidneys to dilute or concentrate the urine under different conditions, as we discuss </w:t>
      </w:r>
      <w:r>
        <w:rPr>
          <w:color w:val="231F20"/>
          <w:spacing w:val="-5"/>
        </w:rPr>
        <w:t>much  </w:t>
      </w:r>
      <w:r>
        <w:rPr>
          <w:color w:val="231F20"/>
        </w:rPr>
        <w:t>more fully in Chapter</w:t>
      </w:r>
      <w:r>
        <w:rPr>
          <w:color w:val="231F20"/>
          <w:spacing w:val="26"/>
        </w:rPr>
        <w:t> </w:t>
      </w:r>
      <w:r>
        <w:rPr>
          <w:color w:val="231F20"/>
        </w:rPr>
        <w:t>29.</w:t>
      </w:r>
    </w:p>
    <w:p>
      <w:pPr>
        <w:pStyle w:val="BodyText"/>
        <w:spacing w:before="2"/>
        <w:rPr>
          <w:sz w:val="30"/>
        </w:rPr>
      </w:pPr>
    </w:p>
    <w:p>
      <w:pPr>
        <w:pStyle w:val="Heading2"/>
        <w:jc w:val="both"/>
      </w:pPr>
      <w:r>
        <w:rPr>
          <w:color w:val="231F20"/>
        </w:rPr>
        <w:t>DISTAL TUBULE</w:t>
      </w:r>
    </w:p>
    <w:p>
      <w:pPr>
        <w:pStyle w:val="BodyText"/>
        <w:spacing w:line="249" w:lineRule="auto" w:before="125"/>
        <w:ind w:left="319" w:right="1078"/>
        <w:jc w:val="both"/>
      </w:pPr>
      <w:r>
        <w:rPr>
          <w:color w:val="231F20"/>
        </w:rPr>
        <w:t>The thick segment of the ascending limb of the loop of Henle empties into the </w:t>
      </w:r>
      <w:r>
        <w:rPr>
          <w:i/>
          <w:color w:val="231F20"/>
        </w:rPr>
        <w:t>distal tubule</w:t>
      </w:r>
      <w:r>
        <w:rPr>
          <w:color w:val="231F20"/>
        </w:rPr>
        <w:t>. The first portion of</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7"/>
        <w:rPr>
          <w:sz w:val="21"/>
        </w:rPr>
      </w:pPr>
    </w:p>
    <w:p>
      <w:pPr>
        <w:spacing w:before="99" w:after="71"/>
        <w:ind w:left="0" w:right="2652" w:firstLine="0"/>
        <w:jc w:val="right"/>
        <w:rPr>
          <w:rFonts w:ascii="Helvetica"/>
          <w:sz w:val="16"/>
        </w:rPr>
      </w:pPr>
      <w:r>
        <w:rPr/>
        <w:pict>
          <v:group style="position:absolute;margin-left:57.367901pt;margin-top:5.005892pt;width:212.65pt;height:150.9pt;mso-position-horizontal-relative:page;mso-position-vertical-relative:paragraph;z-index:-273275904" coordorigin="1147,100" coordsize="4253,3018">
            <v:shape style="position:absolute;left:1936;top:145;width:2705;height:777" coordorigin="1937,145" coordsize="2705,777" path="m4641,145l1937,148,1937,560,1950,624,1985,676,2037,712,2102,725,3676,725,3706,726,3781,734,3880,754,3981,795,4045,828,4124,863,4211,894,4299,916,4381,922,4443,914,4502,895,4554,864,4596,817,4626,752,4641,668,4641,145xe" filled="true" fillcolor="#feede3" stroked="false">
              <v:path arrowok="t"/>
              <v:fill type="solid"/>
            </v:shape>
            <v:shape style="position:absolute;left:1936;top:145;width:2705;height:777" coordorigin="1937,145" coordsize="2705,777" path="m4641,668l4626,752,4596,817,4554,864,4502,895,4443,914,4381,922,4299,916,4211,894,4124,863,4045,828,3981,795,3880,754,3781,734,3706,726,3676,725,2102,725,2037,712,1985,676,1950,624,1937,560,1937,148,4641,145,4641,668xe" filled="false" stroked="true" strokeweight=".75pt" strokecolor="#f89b5c">
              <v:path arrowok="t"/>
              <v:stroke dashstyle="solid"/>
            </v:shape>
            <v:shape style="position:absolute;left:1936;top:971;width:2705;height:2140" coordorigin="1937,971" coordsize="2705,2140" path="m4381,971l4299,977,4211,999,4124,1030,4045,1066,3981,1098,3905,1139,3848,1159,3781,1167,3676,1168,2102,1168,2037,1181,1985,1216,1950,1269,1937,1333,1937,2748,1950,2813,1985,2865,2037,2901,2102,2913,3676,2913,3706,2915,3781,2922,3880,2943,3981,2984,4045,3016,4124,3051,4211,3083,4299,3105,4381,3111,4443,3103,4502,3084,4554,3053,4596,3006,4626,2941,4641,2857,4641,1225,4626,1141,4596,1076,4554,1029,4502,998,4443,979,4381,971xe" filled="true" fillcolor="#feede3" stroked="false">
              <v:path arrowok="t"/>
              <v:fill type="solid"/>
            </v:shape>
            <v:shape style="position:absolute;left:1936;top:971;width:2705;height:2140" coordorigin="1937,971" coordsize="2705,2140" path="m4641,2857l4626,2941,4596,3006,4554,3053,4502,3084,4443,3103,4381,3111,4299,3105,4211,3083,4124,3051,4045,3016,3981,2984,3880,2943,3781,2922,3706,2915,3676,2913,2102,2913,2037,2901,1985,2865,1950,2813,1937,2748,1937,1333,1950,1269,1985,1216,2037,1181,2102,1168,3676,1168,3781,1167,3848,1159,3905,1139,3981,1098,4045,1066,4124,1030,4211,999,4299,977,4381,971,4443,979,4502,998,4554,1029,4596,1076,4626,1141,4641,1225,4641,2857xe" filled="false" stroked="true" strokeweight=".75pt" strokecolor="#f89b5c">
              <v:path arrowok="t"/>
              <v:stroke dashstyle="solid"/>
            </v:shape>
            <v:shape style="position:absolute;left:1854;top:2568;width:161;height:146" type="#_x0000_t75" stroked="false">
              <v:imagedata r:id="rId557" o:title=""/>
            </v:shape>
            <v:shape style="position:absolute;left:1854;top:2548;width:156;height:186" coordorigin="1855,2548" coordsize="156,186" path="m2010,2694l1855,2694,1855,2734,2010,2734,2010,2694m2010,2548l1855,2548,1855,2588,2010,2588,2010,2548e" filled="true" fillcolor="#e2874a" stroked="false">
              <v:path arrowok="t"/>
              <v:fill type="solid"/>
            </v:shape>
            <v:shape style="position:absolute;left:3994;top:1964;width:180;height:117" type="#_x0000_t75" stroked="false">
              <v:imagedata r:id="rId558" o:title=""/>
            </v:shape>
            <v:shape style="position:absolute;left:3994;top:2418;width:180;height:117" type="#_x0000_t75" stroked="false">
              <v:imagedata r:id="rId559" o:title=""/>
            </v:shape>
            <v:line style="position:absolute" from="5064,2476" to="4126,2476" stroked="true" strokeweight="1.5pt" strokecolor="#f0535f">
              <v:stroke dashstyle="solid"/>
            </v:line>
            <v:shape style="position:absolute;left:1468;top:1734;width:180;height:117" type="#_x0000_t75" stroked="false">
              <v:imagedata r:id="rId560" o:title=""/>
            </v:shape>
            <v:line style="position:absolute" from="2262,1793" to="1600,1793" stroked="true" strokeweight="1.5pt" strokecolor="#231f20">
              <v:stroke dashstyle="solid"/>
            </v:line>
            <v:shape style="position:absolute;left:2191;top:2063;width:180;height:117" type="#_x0000_t75" stroked="false">
              <v:imagedata r:id="rId561" o:title=""/>
            </v:shape>
            <v:line style="position:absolute" from="1551,2122" to="2254,2122" stroked="true" strokeweight="1.5pt" strokecolor="#231f20">
              <v:stroke dashstyle="solid"/>
            </v:line>
            <v:shape style="position:absolute;left:1751;top:1778;width:357;height:357" type="#_x0000_t75" stroked="false">
              <v:imagedata r:id="rId562" o:title=""/>
            </v:shape>
            <v:shape style="position:absolute;left:1487;top:2584;width:180;height:117" type="#_x0000_t75" stroked="false">
              <v:imagedata r:id="rId563" o:title=""/>
            </v:shape>
            <v:line style="position:absolute" from="2379,2642" to="1619,2642" stroked="true" strokeweight="1.5pt" strokecolor="#231f20">
              <v:stroke dashstyle="shortdash"/>
            </v:line>
            <v:shape style="position:absolute;left:4406;top:2011;width:472;height:472" coordorigin="4407,2011" coordsize="472,472" path="m4643,2011l4568,2023,4503,2057,4452,2108,4419,2173,4407,2247,4419,2322,4452,2387,4503,2438,4568,2471,4643,2483,4717,2471,4782,2438,4833,2387,4866,2322,4878,2247,4866,2173,4833,2108,4782,2057,4717,2023,4643,2011xe" filled="true" fillcolor="#fabfba" stroked="false">
              <v:path arrowok="t"/>
              <v:fill type="solid"/>
            </v:shape>
            <v:shape style="position:absolute;left:4406;top:2011;width:472;height:472" coordorigin="4407,2011" coordsize="472,472" path="m4878,2247l4866,2322,4833,2387,4782,2438,4717,2471,4643,2483,4568,2471,4503,2438,4452,2387,4419,2322,4407,2247,4419,2173,4452,2108,4503,2057,4568,2023,4643,2011,4717,2023,4782,2057,4833,2108,4866,2173,4878,2247xe" filled="false" stroked="true" strokeweight=".75pt" strokecolor="#ed145b">
              <v:path arrowok="t"/>
              <v:stroke dashstyle="solid"/>
            </v:shape>
            <v:line style="position:absolute" from="1903,147" to="4675,147" stroked="true" strokeweight="2pt" strokecolor="#ffffff">
              <v:stroke dashstyle="solid"/>
            </v:line>
            <v:shape style="position:absolute;left:1147;top:100;width:696;height:545" type="#_x0000_t202" filled="false" stroked="false">
              <v:textbox inset="0,0,0,0">
                <w:txbxContent>
                  <w:p>
                    <w:pPr>
                      <w:spacing w:line="235" w:lineRule="auto" w:before="2"/>
                      <w:ind w:left="-1" w:right="18" w:firstLine="0"/>
                      <w:jc w:val="center"/>
                      <w:rPr>
                        <w:rFonts w:ascii="Helvetica"/>
                        <w:sz w:val="16"/>
                      </w:rPr>
                    </w:pPr>
                    <w:r>
                      <w:rPr>
                        <w:rFonts w:ascii="Helvetica"/>
                        <w:color w:val="231F20"/>
                        <w:sz w:val="16"/>
                      </w:rPr>
                      <w:t>Renal interstitial</w:t>
                    </w:r>
                    <w:r>
                      <w:rPr>
                        <w:rFonts w:ascii="Helvetica"/>
                        <w:color w:val="231F20"/>
                        <w:w w:val="99"/>
                        <w:sz w:val="16"/>
                      </w:rPr>
                      <w:t> </w:t>
                    </w:r>
                    <w:r>
                      <w:rPr>
                        <w:rFonts w:ascii="Helvetica"/>
                        <w:color w:val="231F20"/>
                        <w:sz w:val="16"/>
                      </w:rPr>
                      <w:t>fluid</w:t>
                    </w:r>
                  </w:p>
                </w:txbxContent>
              </v:textbox>
              <w10:wrap type="none"/>
            </v:shape>
            <v:shape style="position:absolute;left:3003;top:236;width:563;height:365" type="#_x0000_t202" filled="false" stroked="false">
              <v:textbox inset="0,0,0,0">
                <w:txbxContent>
                  <w:p>
                    <w:pPr>
                      <w:spacing w:line="235" w:lineRule="auto" w:before="2"/>
                      <w:ind w:left="111" w:right="1" w:hanging="112"/>
                      <w:jc w:val="left"/>
                      <w:rPr>
                        <w:rFonts w:ascii="Helvetica"/>
                        <w:sz w:val="16"/>
                      </w:rPr>
                    </w:pPr>
                    <w:r>
                      <w:rPr>
                        <w:rFonts w:ascii="Helvetica"/>
                        <w:color w:val="231F20"/>
                        <w:sz w:val="16"/>
                      </w:rPr>
                      <w:t>Tubular cells</w:t>
                    </w:r>
                  </w:p>
                </w:txbxContent>
              </v:textbox>
              <w10:wrap type="none"/>
            </v:shape>
            <v:shape style="position:absolute;left:4716;top:100;width:677;height:556" type="#_x0000_t202" filled="false" stroked="false">
              <v:textbox inset="0,0,0,0">
                <w:txbxContent>
                  <w:p>
                    <w:pPr>
                      <w:spacing w:line="228" w:lineRule="auto" w:before="6"/>
                      <w:ind w:left="-1" w:right="18" w:firstLine="0"/>
                      <w:jc w:val="center"/>
                      <w:rPr>
                        <w:rFonts w:ascii="Helvetica" w:hAnsi="Helvetica"/>
                        <w:sz w:val="16"/>
                      </w:rPr>
                    </w:pPr>
                    <w:r>
                      <w:rPr>
                        <w:rFonts w:ascii="Helvetica" w:hAnsi="Helvetica"/>
                        <w:color w:val="231F20"/>
                        <w:sz w:val="16"/>
                      </w:rPr>
                      <w:t>Tubular lumen (</w:t>
                    </w:r>
                    <w:r>
                      <w:rPr>
                        <w:rFonts w:ascii="Symbol" w:hAnsi="Symbol"/>
                        <w:color w:val="231F20"/>
                        <w:sz w:val="16"/>
                      </w:rPr>
                      <w:t></w:t>
                    </w:r>
                    <w:r>
                      <w:rPr>
                        <w:rFonts w:ascii="Helvetica" w:hAnsi="Helvetica"/>
                        <w:color w:val="231F20"/>
                        <w:sz w:val="16"/>
                      </w:rPr>
                      <w:t>10 </w:t>
                    </w:r>
                    <w:r>
                      <w:rPr>
                        <w:rFonts w:ascii="Helvetica" w:hAnsi="Helvetica"/>
                        <w:color w:val="231F20"/>
                        <w:spacing w:val="-6"/>
                        <w:sz w:val="16"/>
                      </w:rPr>
                      <w:t>mV)</w:t>
                    </w:r>
                  </w:p>
                </w:txbxContent>
              </v:textbox>
              <w10:wrap type="none"/>
            </v:shape>
            <v:shape style="position:absolute;left:2291;top:1691;width:295;height:198" type="#_x0000_t202" filled="false" stroked="false">
              <v:textbox inset="0,0,0,0">
                <w:txbxContent>
                  <w:p>
                    <w:pPr>
                      <w:spacing w:line="196" w:lineRule="exact" w:before="0"/>
                      <w:ind w:left="0" w:right="0" w:firstLine="0"/>
                      <w:jc w:val="left"/>
                      <w:rPr>
                        <w:rFonts w:ascii="Helvetica"/>
                        <w:sz w:val="12"/>
                      </w:rPr>
                    </w:pPr>
                    <w:r>
                      <w:rPr>
                        <w:rFonts w:ascii="Helvetica"/>
                        <w:color w:val="231F20"/>
                        <w:sz w:val="16"/>
                      </w:rPr>
                      <w:t>Na</w:t>
                    </w:r>
                    <w:r>
                      <w:rPr>
                        <w:rFonts w:ascii="Helvetica"/>
                        <w:color w:val="231F20"/>
                        <w:position w:val="5"/>
                        <w:sz w:val="12"/>
                      </w:rPr>
                      <w:t>+</w:t>
                    </w:r>
                  </w:p>
                </w:txbxContent>
              </v:textbox>
              <w10:wrap type="none"/>
            </v:shape>
            <v:shape style="position:absolute;left:1361;top:1999;width:197;height:198" type="#_x0000_t202" filled="false" stroked="false">
              <v:textbox inset="0,0,0,0">
                <w:txbxContent>
                  <w:p>
                    <w:pPr>
                      <w:spacing w:line="196" w:lineRule="exact" w:before="0"/>
                      <w:ind w:left="0" w:right="0" w:firstLine="0"/>
                      <w:jc w:val="left"/>
                      <w:rPr>
                        <w:rFonts w:ascii="Helvetica"/>
                        <w:sz w:val="12"/>
                      </w:rPr>
                    </w:pPr>
                    <w:r>
                      <w:rPr>
                        <w:rFonts w:ascii="Helvetica"/>
                        <w:color w:val="231F20"/>
                        <w:position w:val="-4"/>
                        <w:sz w:val="16"/>
                      </w:rPr>
                      <w:t>K</w:t>
                    </w:r>
                    <w:r>
                      <w:rPr>
                        <w:rFonts w:ascii="Helvetica"/>
                        <w:color w:val="231F20"/>
                        <w:sz w:val="12"/>
                      </w:rPr>
                      <w:t>+</w:t>
                    </w:r>
                  </w:p>
                </w:txbxContent>
              </v:textbox>
              <w10:wrap type="none"/>
            </v:shape>
            <v:shape style="position:absolute;left:1783;top:1869;width:3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ATP</w:t>
                    </w:r>
                  </w:p>
                </w:txbxContent>
              </v:textbox>
              <w10:wrap type="none"/>
            </v:shape>
            <v:shape style="position:absolute;left:4126;top:1869;width:1274;height:241" type="#_x0000_t202" filled="false" stroked="false">
              <v:textbox inset="0,0,0,0">
                <w:txbxContent>
                  <w:p>
                    <w:pPr>
                      <w:tabs>
                        <w:tab w:pos="937" w:val="left" w:leader="none"/>
                      </w:tabs>
                      <w:spacing w:before="41"/>
                      <w:ind w:left="0" w:right="0" w:firstLine="0"/>
                      <w:jc w:val="left"/>
                      <w:rPr>
                        <w:rFonts w:ascii="Helvetica"/>
                        <w:b/>
                        <w:sz w:val="12"/>
                      </w:rPr>
                    </w:pPr>
                    <w:r>
                      <w:rPr>
                        <w:rFonts w:ascii="Helvetica"/>
                        <w:color w:val="231F20"/>
                        <w:w w:val="100"/>
                        <w:position w:val="5"/>
                        <w:sz w:val="16"/>
                        <w:u w:val="thick" w:color="F0535F"/>
                      </w:rPr>
                      <w:t> </w:t>
                    </w:r>
                    <w:r>
                      <w:rPr>
                        <w:rFonts w:ascii="Helvetica"/>
                        <w:color w:val="231F20"/>
                        <w:position w:val="5"/>
                        <w:sz w:val="16"/>
                        <w:u w:val="thick" w:color="F0535F"/>
                      </w:rPr>
                      <w:tab/>
                    </w:r>
                    <w:r>
                      <w:rPr>
                        <w:rFonts w:ascii="Helvetica"/>
                        <w:color w:val="231F20"/>
                        <w:spacing w:val="-4"/>
                        <w:position w:val="5"/>
                        <w:sz w:val="16"/>
                      </w:rPr>
                      <w:t> </w:t>
                    </w:r>
                    <w:r>
                      <w:rPr>
                        <w:rFonts w:ascii="Helvetica"/>
                        <w:b/>
                        <w:color w:val="231F20"/>
                        <w:sz w:val="16"/>
                      </w:rPr>
                      <w:t>Na</w:t>
                    </w:r>
                    <w:r>
                      <w:rPr>
                        <w:rFonts w:ascii="Helvetica"/>
                        <w:b/>
                        <w:color w:val="231F20"/>
                        <w:position w:val="5"/>
                        <w:sz w:val="12"/>
                      </w:rPr>
                      <w:t>+</w:t>
                    </w:r>
                  </w:p>
                </w:txbxContent>
              </v:textbox>
              <w10:wrap type="none"/>
            </v:shape>
            <v:shape style="position:absolute;left:2408;top:2540;width:238;height:198" type="#_x0000_t202" filled="false" stroked="false">
              <v:textbox inset="0,0,0,0">
                <w:txbxContent>
                  <w:p>
                    <w:pPr>
                      <w:spacing w:line="196" w:lineRule="exact" w:before="0"/>
                      <w:ind w:left="0" w:right="0" w:firstLine="0"/>
                      <w:jc w:val="left"/>
                      <w:rPr>
                        <w:rFonts w:ascii="Helvetica" w:hAnsi="Helvetica"/>
                        <w:sz w:val="12"/>
                      </w:rPr>
                    </w:pPr>
                    <w:r>
                      <w:rPr>
                        <w:rFonts w:ascii="Helvetica" w:hAnsi="Helvetica"/>
                        <w:color w:val="231F20"/>
                        <w:sz w:val="16"/>
                      </w:rPr>
                      <w:t>Cl</w:t>
                    </w:r>
                    <w:r>
                      <w:rPr>
                        <w:rFonts w:ascii="Helvetica" w:hAnsi="Helvetica"/>
                        <w:color w:val="231F20"/>
                        <w:position w:val="5"/>
                        <w:sz w:val="12"/>
                      </w:rPr>
                      <w:t>–</w:t>
                    </w:r>
                  </w:p>
                </w:txbxContent>
              </v:textbox>
              <w10:wrap type="none"/>
            </v:shape>
            <w10:wrap type="none"/>
          </v:group>
        </w:pict>
      </w:r>
      <w:r>
        <w:rPr/>
        <w:pict>
          <v:group style="position:absolute;margin-left:307.412292pt;margin-top:6.240372pt;width:77.6pt;height:121.8pt;mso-position-horizontal-relative:page;mso-position-vertical-relative:paragraph;z-index:252141568" coordorigin="6148,125" coordsize="1552,2436">
            <v:shape style="position:absolute;left:6894;top:198;width:256;height:403" coordorigin="6895,199" coordsize="256,403" path="m7070,199l7017,265,6971,360,6957,395,6940,430,6920,465,6895,498,6971,602,7013,554,7045,504,7069,453,7089,404,7103,371,7118,342,7134,317,7151,297,7070,199xe" filled="true" fillcolor="#faa61a" stroked="false">
              <v:path arrowok="t"/>
              <v:fill type="solid"/>
            </v:shape>
            <v:shape style="position:absolute;left:6894;top:198;width:256;height:403" coordorigin="6895,199" coordsize="256,403" path="m7070,199l7017,265,6971,360,6957,395,6940,430,6920,465,6895,498,6971,602,7013,554,7045,504,7069,453,7089,404,7103,371,7118,342,7134,317,7151,297,7070,199xe" filled="false" stroked="true" strokeweight=".25pt" strokecolor="#b7705b">
              <v:path arrowok="t"/>
              <v:stroke dashstyle="solid"/>
            </v:shape>
            <v:shape style="position:absolute;left:6519;top:1053;width:330;height:1447" coordorigin="6519,1054" coordsize="330,1447" path="m6562,1054l6519,1054,6519,2346,6531,2406,6565,2455,6614,2488,6674,2500,6735,2488,6779,2458,6674,2458,6631,2449,6595,2426,6571,2390,6562,2346,6562,1054xm6767,1338l6772,1348,6779,1363,6784,1382,6787,1404,6787,2346,6778,2390,6754,2426,6718,2449,6674,2458,6779,2458,6784,2455,6817,2406,6829,2346,6829,1408,6831,1384,6837,1365,6843,1350,6848,1340,6767,1338xe" filled="true" fillcolor="#ffd768" stroked="false">
              <v:path arrowok="t"/>
              <v:fill type="solid"/>
            </v:shape>
            <v:shape style="position:absolute;left:6519;top:1053;width:330;height:1447" coordorigin="6519,1054" coordsize="330,1447" path="m6767,1338l6772,1348,6779,1363,6784,1382,6787,1404,6787,2346,6778,2390,6754,2426,6718,2449,6674,2458,6631,2449,6595,2426,6571,2390,6562,2346,6562,1054,6519,1054,6519,2346,6531,2406,6565,2455,6614,2488,6674,2500,6735,2488,6784,2455,6817,2406,6829,2346,6829,1408,6831,1384,6837,1365,6843,1350,6848,1340,6767,1338xe" filled="false" stroked="true" strokeweight=".25pt" strokecolor="#b7705b">
              <v:path arrowok="t"/>
              <v:stroke dashstyle="solid"/>
            </v:shape>
            <v:shape style="position:absolute;left:6745;top:495;width:230;height:864" coordorigin="6745,496" coordsize="230,864" path="m6897,496l6883,511,6867,525,6850,537,6832,548,6790,576,6763,608,6749,646,6745,694,6745,1248,6757,1319,6803,1359,6827,1356,6866,1299,6871,1248,6871,709,6873,686,6879,670,6888,660,6901,652,6921,640,6940,627,6958,613,6974,599,6897,496xe" filled="true" fillcolor="#ffd768" stroked="false">
              <v:path arrowok="t"/>
              <v:fill type="solid"/>
            </v:shape>
            <v:shape style="position:absolute;left:6745;top:495;width:230;height:864" coordorigin="6745,496" coordsize="230,864" path="m6897,496l6883,511,6867,525,6850,537,6832,548,6790,576,6763,608,6749,646,6745,694,6745,1248,6757,1319,6803,1359,6827,1356,6866,1299,6871,1248,6871,709,6873,686,6879,670,6888,660,6901,652,6921,640,6940,627,6958,613,6974,599e" filled="false" stroked="true" strokeweight=".25pt" strokecolor="#b7705b">
              <v:path arrowok="t"/>
              <v:stroke dashstyle="solid"/>
            </v:shape>
            <v:shape style="position:absolute;left:7014;top:127;width:659;height:2392" coordorigin="7014,127" coordsize="659,2392" path="m7070,1271l7014,1384,7032,1394,7063,1422,7092,1469,7105,1540,7105,1540,7105,1611,7104,1697,7103,1794,7102,2005,7098,2453,7098,2498,7098,2519,7240,2518,7240,2236,7242,1860,7244,1531,7245,1390,7257,1337,7283,1300,7300,1287,7099,1287,7080,1276,7072,1272,7070,1271xm7523,254l7258,254,7304,257,7348,269,7383,287,7409,310,7428,336,7447,402,7436,459,7406,508,7365,552,7277,631,7225,686,7177,751,7140,829,7121,920,7115,1021,7111,1114,7109,1196,7108,1269,7108,1282,7099,1287,7300,1287,7311,1278,7328,1270,7292,1171,7244,1171,7235,1169,7237,1106,7240,1050,7243,991,7247,929,7268,839,7312,766,7367,707,7425,658,7475,614,7500,588,7524,559,7546,526,7565,489,7584,460,7609,448,7634,445,7653,445,7673,323,7670,322,7586,322,7570,317,7555,302,7538,276,7523,254xm7285,1151l7275,1155,7265,1160,7244,1171,7292,1171,7285,1151xm7653,445l7634,445,7653,447,7653,445xm7641,320l7624,320,7605,322,7586,322,7670,322,7658,321,7641,320xm7278,127l7210,130,7138,152,7068,201,7148,301,7180,274,7217,259,7258,254,7523,254,7505,229,7461,188,7404,157,7336,136,7278,127xe" filled="true" fillcolor="#ffd768" stroked="false">
              <v:path arrowok="t"/>
              <v:fill type="solid"/>
            </v:shape>
            <v:shape style="position:absolute;left:7014;top:127;width:659;height:2392" coordorigin="7014,127" coordsize="659,2392" path="m7148,301l7180,274,7217,259,7258,254,7304,257,7383,287,7428,336,7447,402,7436,459,7406,508,7365,552,7327,587,7277,631,7225,686,7177,751,7140,829,7121,920,7115,1021,7111,1114,7109,1196,7108,1269,7108,1282,7099,1287,7091,1282,7080,1276,7072,1272,7070,1271,7014,1384,7032,1394,7063,1422,7092,1469,7105,1540,7105,1540,7105,1611,7104,1697,7103,1794,7103,1898,7102,2005,7101,2112,7100,2214,7100,2307,7099,2388,7098,2453,7098,2498,7098,2519,7240,2518,7240,2236,7242,1860,7244,1531,7245,1390,7283,1300,7328,1270,7285,1151,7275,1155,7265,1160,7254,1166,7244,1171,7235,1169,7236,1158,7237,1106,7243,991,7247,929,7268,839,7312,766,7367,707,7425,658,7475,614,7500,588,7524,559,7546,526,7565,489,7584,460,7609,448,7634,445,7653,447,7673,323,7658,321,7641,320,7624,320,7605,322,7586,322,7570,317,7555,302,7538,276,7505,229,7461,188,7404,157,7336,136,7278,127,7210,130,7138,152,7068,201e" filled="false" stroked="true" strokeweight=".25pt" strokecolor="#b7705b">
              <v:path arrowok="t"/>
              <v:stroke dashstyle="solid"/>
            </v:shape>
            <v:shape style="position:absolute;left:6989;top:138;width:272;height:215" type="#_x0000_t75" stroked="false">
              <v:imagedata r:id="rId564" o:title=""/>
            </v:shape>
            <v:shape style="position:absolute;left:6757;top:517;width:150;height:209" type="#_x0000_t75" stroked="false">
              <v:imagedata r:id="rId565" o:title=""/>
            </v:shape>
            <v:shape style="position:absolute;left:7130;top:644;width:162;height:322" type="#_x0000_t75" stroked="false">
              <v:imagedata r:id="rId566" o:title=""/>
            </v:shape>
            <v:shape style="position:absolute;left:6150;top:129;width:514;height:973" coordorigin="6151,130" coordsize="514,973" path="m6298,164l6277,165,6242,172,6211,186,6185,207,6166,234,6153,270,6151,308,6158,348,6175,387,6208,428,6260,475,6325,526,6423,598,6452,631,6467,668,6473,699,6474,712,6474,1008,6479,1045,6493,1074,6513,1094,6538,1102,6562,1094,6582,1074,6595,1045,6600,1008,6600,712,6598,683,6586,627,6555,559,6497,496,6427,446,6369,401,6315,357,6284,323,6280,311,6283,299,6293,293,6420,293,6456,275,6470,267,6483,263,6583,263,6665,194,6645,192,6625,186,6601,174,6599,173,6362,173,6345,171,6331,168,6316,165,6298,164xm6583,263l6483,263,6495,264,6505,269,6513,279,6517,293,6517,294,6518,308,6517,319,6583,263xm6420,293l6293,293,6309,294,6341,300,6379,301,6418,294,6420,293xm6476,130l6435,140,6398,160,6387,167,6376,171,6362,173,6599,173,6574,157,6522,134,6476,130xe" filled="true" fillcolor="#ffd768" stroked="false">
              <v:path arrowok="t"/>
              <v:fill type="solid"/>
            </v:shape>
            <v:shape style="position:absolute;left:6150;top:129;width:514;height:973" coordorigin="6151,130" coordsize="514,973" path="m6497,496l6427,446,6369,401,6315,357,6280,311,6283,299,6293,293,6309,294,6341,300,6379,301,6418,294,6456,275,6470,267,6483,263,6518,308,6517,319,6665,194,6645,192,6625,186,6601,174,6574,157,6522,134,6476,130,6435,140,6398,160,6387,167,6376,171,6362,173,6345,171,6331,168,6316,165,6298,164,6277,165,6242,172,6185,207,6153,270,6151,308,6158,348,6208,428,6260,475,6325,526,6398,580,6423,598,6452,631,6467,668,6473,699,6474,712,6474,1008,6479,1045,6493,1074,6513,1094,6538,1102,6562,1094,6582,1074,6595,1045,6600,1008,6600,712,6598,683,6586,627,6555,559,6497,496xe" filled="false" stroked="true" strokeweight=".25pt" strokecolor="#b7705b">
              <v:path arrowok="t"/>
              <v:stroke dashstyle="solid"/>
            </v:shape>
            <v:shape style="position:absolute;left:6400;top:141;width:96;height:43" type="#_x0000_t75" stroked="false">
              <v:imagedata r:id="rId567" o:title=""/>
            </v:shape>
            <v:shape style="position:absolute;left:6163;top:176;width:186;height:208" type="#_x0000_t75" stroked="false">
              <v:imagedata r:id="rId568" o:title=""/>
            </v:shape>
            <v:shape style="position:absolute;left:6999;top:1267;width:82;height:118" coordorigin="7000,1267" coordsize="82,118" path="m7052,1267l7009,1312,7000,1357,7004,1374,7014,1384,7028,1385,7044,1377,7059,1362,7072,1340,7079,1317,7081,1295,7077,1278,7066,1268,7052,1267xe" filled="true" fillcolor="#ffedb3" stroked="false">
              <v:path arrowok="t"/>
              <v:fill type="solid"/>
            </v:shape>
            <v:shape style="position:absolute;left:6999;top:1267;width:82;height:118" coordorigin="7000,1267" coordsize="82,118" path="m7066,1268l7077,1278,7081,1295,7079,1317,7072,1340,7059,1362,7044,1377,7028,1385,7014,1384,7004,1374,7000,1357,7001,1336,7009,1312,7022,1291,7037,1275,7052,1267,7066,1268xe" filled="false" stroked="true" strokeweight=".25pt" strokecolor="#b7705b">
              <v:path arrowok="t"/>
              <v:stroke dashstyle="solid"/>
            </v:shape>
            <v:shape style="position:absolute;left:7017;top:1288;width:47;height:76" coordorigin="7017,1288" coordsize="47,76" path="m7057,1288l7017,1348,7018,1358,7023,1364,7031,1364,7063,1304,7062,1294,7057,1288xe" filled="true" fillcolor="#e9cd86" stroked="false">
              <v:path arrowok="t"/>
              <v:fill type="solid"/>
            </v:shape>
            <v:shape style="position:absolute;left:7017;top:1288;width:47;height:76" coordorigin="7017,1288" coordsize="47,76" path="m7057,1288l7062,1294,7063,1304,7061,1318,7023,1364,7018,1358,7017,1348,7019,1334,7057,1288xe" filled="false" stroked="true" strokeweight=".25pt" strokecolor="#b7705b">
              <v:path arrowok="t"/>
              <v:stroke dashstyle="solid"/>
            </v:shape>
            <v:shape style="position:absolute;left:7097;top:2488;width:144;height:69" coordorigin="7097,2488" coordsize="144,69" path="m7169,2488l7141,2491,7118,2499,7103,2510,7097,2523,7103,2536,7118,2547,7141,2555,7169,2557,7197,2555,7220,2547,7235,2536,7241,2523,7235,2509,7220,2499,7197,2491,7169,2488xe" filled="true" fillcolor="#ffedb3" stroked="false">
              <v:path arrowok="t"/>
              <v:fill type="solid"/>
            </v:shape>
            <v:shape style="position:absolute;left:7097;top:2488;width:144;height:69" coordorigin="7097,2488" coordsize="144,69" path="m7241,2523l7235,2536,7220,2547,7197,2555,7169,2557,7141,2555,7118,2547,7103,2536,7097,2523,7103,2510,7118,2499,7141,2491,7169,2488,7197,2491,7220,2499,7235,2509,7241,2523xe" filled="false" stroked="true" strokeweight=".25pt" strokecolor="#b7705b">
              <v:path arrowok="t"/>
              <v:stroke dashstyle="solid"/>
            </v:shape>
            <v:shape style="position:absolute;left:7122;top:2505;width:94;height:35" coordorigin="7122,2506" coordsize="94,35" path="m7169,2506l7151,2507,7136,2511,7126,2516,7122,2523,7126,2530,7136,2535,7151,2539,7169,2540,7187,2539,7202,2535,7212,2530,7216,2523,7212,2516,7202,2511,7187,2507,7169,2506xe" filled="true" fillcolor="#e9cd86" stroked="false">
              <v:path arrowok="t"/>
              <v:fill type="solid"/>
            </v:shape>
            <v:shape style="position:absolute;left:7122;top:2505;width:94;height:35" coordorigin="7122,2506" coordsize="94,35" path="m7216,2523l7212,2530,7202,2535,7187,2539,7169,2540,7151,2539,7136,2535,7126,2530,7122,2523,7126,2516,7136,2511,7151,2507,7169,2506,7187,2507,7202,2511,7212,2516,7216,2523xe" filled="false" stroked="true" strokeweight=".25pt" strokecolor="#b7705b">
              <v:path arrowok="t"/>
              <v:stroke dashstyle="solid"/>
            </v:shape>
            <v:shape style="position:absolute;left:7626;top:322;width:71;height:126" coordorigin="7627,323" coordsize="71,126" path="m7673,323l7628,379,7627,404,7631,425,7639,441,7651,448,7666,445,7679,434,7689,415,7696,391,7698,366,7694,345,7685,330,7673,323xe" filled="true" fillcolor="#ffedb3" stroked="false">
              <v:path arrowok="t"/>
              <v:fill type="solid"/>
            </v:shape>
            <v:shape style="position:absolute;left:7626;top:322;width:71;height:126" coordorigin="7627,323" coordsize="71,126" path="m7673,323l7685,330,7694,345,7698,366,7696,391,7689,415,7679,434,7666,445,7651,448,7639,441,7631,425,7627,404,7628,379,7635,356,7646,337,7659,325,7673,323xe" filled="false" stroked="true" strokeweight=".25pt" strokecolor="#b7705b">
              <v:path arrowok="t"/>
              <v:stroke dashstyle="solid"/>
            </v:shape>
            <v:shape style="position:absolute;left:7643;top:344;width:37;height:82" coordorigin="7644,344" coordsize="37,82" path="m7669,344l7644,399,7645,412,7649,422,7655,426,7662,424,7669,416,7675,404,7679,388,7680,372,7679,358,7675,349,7669,344xe" filled="true" fillcolor="#e9cd86" stroked="false">
              <v:path arrowok="t"/>
              <v:fill type="solid"/>
            </v:shape>
            <v:shape style="position:absolute;left:7643;top:344;width:37;height:82" coordorigin="7644,344" coordsize="37,82" path="m7669,344l7675,349,7679,358,7680,372,7679,388,7675,404,7669,416,7662,424,7655,426,7649,422,7645,412,7644,399,7645,382,7649,367,7655,354,7662,346,7669,344xe" filled="false" stroked="true" strokeweight=".25pt" strokecolor="#b7705b">
              <v:path arrowok="t"/>
              <v:stroke dashstyle="solid"/>
            </v:shape>
            <v:shape style="position:absolute;left:7266;top:1151;width:76;height:121" coordorigin="7267,1151" coordsize="76,121" path="m7285,1151l7274,1160,7268,1177,7267,1198,7272,1223,7283,1245,7296,1262,7311,1271,7325,1272,7336,1263,7342,1247,7343,1225,7338,1201,7327,1178,7314,1161,7299,1152,7285,1151xe" filled="true" fillcolor="#ffedb3" stroked="false">
              <v:path arrowok="t"/>
              <v:fill type="solid"/>
            </v:shape>
            <v:shape style="position:absolute;left:7266;top:1151;width:76;height:121" coordorigin="7267,1151" coordsize="76,121" path="m7285,1151l7338,1201,7343,1225,7342,1247,7336,1263,7325,1272,7311,1271,7296,1262,7283,1245,7272,1223,7267,1198,7268,1177,7274,1160,7285,1151xe" filled="false" stroked="true" strokeweight=".25pt" strokecolor="#b7705b">
              <v:path arrowok="t"/>
              <v:stroke dashstyle="solid"/>
            </v:shape>
            <v:shape style="position:absolute;left:7284;top:1172;width:42;height:79" coordorigin="7284,1172" coordsize="42,79" path="m7292,1172l7287,1178,7284,1188,7285,1201,7318,1251,7323,1246,7326,1236,7325,1222,7292,1172xe" filled="true" fillcolor="#e9cd86" stroked="false">
              <v:path arrowok="t"/>
              <v:fill type="solid"/>
            </v:shape>
            <v:shape style="position:absolute;left:7284;top:1172;width:42;height:79" coordorigin="7284,1172" coordsize="42,79" path="m7292,1172l7326,1236,7323,1246,7318,1251,7311,1250,7284,1188,7287,1178,7292,1172xe" filled="false" stroked="true" strokeweight=".25pt" strokecolor="#b7705b">
              <v:path arrowok="t"/>
              <v:stroke dashstyle="solid"/>
            </v:shape>
            <v:shape style="position:absolute;left:6521;top:207;width:320;height:319" type="#_x0000_t75" stroked="false">
              <v:imagedata r:id="rId569" o:title=""/>
            </v:shape>
            <v:shape style="position:absolute;left:6563;top:254;width:235;height:248" coordorigin="6563,254" coordsize="235,248" path="m6756,465l6630,465,6638,473,6641,479,6651,491,6663,499,6676,502,6688,501,6703,498,6715,488,6732,470,6739,470,6751,468,6756,465xm6739,470l6732,470,6738,470,6739,470xm6642,254l6619,257,6601,265,6590,274,6584,286,6582,298,6582,303,6582,315,6585,331,6588,346,6589,357,6584,362,6570,381,6563,404,6565,427,6576,448,6587,458,6599,464,6612,466,6625,465,6630,465,6756,465,6762,461,6765,457,6677,457,6664,453,6675,446,6683,438,6688,430,6624,430,6608,427,6605,423,6598,415,6598,396,6608,387,6619,371,6625,353,6626,335,6625,320,6620,296,6625,293,6626,293,6628,292,6637,290,6788,290,6778,279,6767,273,6696,273,6686,266,6665,258,6642,254xm6796,306l6757,306,6760,308,6762,310,6764,313,6767,323,6764,332,6758,341,6751,348,6740,360,6735,374,6735,387,6737,399,6739,407,6738,411,6735,427,6735,427,6730,435,6720,443,6708,450,6693,455,6677,457,6765,457,6770,449,6771,435,6771,421,6772,404,6772,396,6772,392,6769,378,6772,376,6790,357,6798,335,6798,313,6796,306xm6788,290l6637,290,6647,291,6658,293,6668,298,6677,303,6687,307,6700,310,6713,311,6691,333,6674,361,6663,390,6657,413,6657,417,6651,421,6642,425,6624,430,6688,430,6689,428,6692,417,6699,394,6711,368,6725,347,6740,335,6741,335,6742,334,6743,334,6745,334,6747,334,6756,331,6761,324,6760,312,6759,309,6757,306,6796,306,6791,294,6788,290xm6741,267l6716,270,6711,272,6696,273,6767,273,6762,270,6741,267xe" filled="true" fillcolor="#d04e59" stroked="false">
              <v:path arrowok="t"/>
              <v:fill type="solid"/>
            </v:shape>
            <v:shape style="position:absolute;left:-45;top:14558;width:235;height:248" coordorigin="-44,14559" coordsize="235,248" path="m6608,387l6619,371,6625,353,6626,335,6625,320,6620,296,6620,296,6624,294,6625,293,6626,293,6628,292,6637,290,6647,291,6658,293,6668,298,6677,303,6687,307,6700,310,6713,311,6691,333,6674,361,6663,390,6657,413,6657,417,6651,421,6644,424,6643,425,6642,425,6641,425,6624,430,6608,427,6605,423,6598,415,6598,396,6608,387xm6664,453l6675,446,6683,438,6689,428,6692,417,6699,394,6711,368,6725,347,6740,335,6741,335,6742,334,6743,334,6745,334,6747,334,6749,333,6756,331,6761,324,6760,316,6760,312,6759,309,6757,306,6760,308,6762,310,6764,313,6767,323,6764,332,6758,341,6751,348,6740,360,6735,374,6735,387,6737,399,6739,407,6738,411,6737,418,6735,427,6730,435,6720,443,6708,450,6693,455,6677,457,6664,453xm6791,294l6778,279,6762,270,6741,267,6716,270,6711,272,6696,273,6686,266,6665,258,6642,254,6619,257,6601,265,6590,274,6584,286,6581,299,6582,315,6585,331,6588,346,6589,357,6584,362,6570,381,6563,404,6565,427,6576,448,6587,458,6599,464,6612,466,6625,465,6630,465,6638,473,6641,479,6651,491,6663,499,6676,502,6688,501,6703,498,6715,488,6722,480,6726,477,6732,470,6738,470,6751,468,6762,461,6770,449,6771,433,6771,422,6772,411,6772,401,6772,392,6769,378,6770,378,6772,376,6790,357,6798,334,6798,313,6791,294xe" filled="false" stroked="true" strokeweight=".25pt" strokecolor="#231f20">
              <v:path arrowok="t"/>
              <v:stroke dashstyle="solid"/>
            </v:shape>
            <v:shape style="position:absolute;left:6735;top:430;width:37;height:39" type="#_x0000_t75" stroked="false">
              <v:imagedata r:id="rId570" o:title=""/>
            </v:shape>
            <v:shape style="position:absolute;left:6553;top:232;width:364;height:259" type="#_x0000_t75" stroked="false">
              <v:imagedata r:id="rId571" o:title=""/>
            </v:shape>
            <v:shape style="position:absolute;left:6630;top:438;width:44;height:49" type="#_x0000_t75" stroked="false">
              <v:imagedata r:id="rId572" o:title=""/>
            </v:shape>
            <v:shape style="position:absolute;left:6657;top:278;width:32;height:49" type="#_x0000_t75" stroked="false">
              <v:imagedata r:id="rId573" o:title=""/>
            </v:shape>
            <v:shape style="position:absolute;left:6547;top:296;width:195;height:175" coordorigin="6548,296" coordsize="195,175" path="m6654,425l6608,425,6615,436,6627,448,6632,452,6636,455,6648,462,6663,469,6681,470,6703,463,6724,448,6733,434,6674,434,6666,432,6654,425xm6709,362l6702,365,6698,367,6695,373,6697,384,6702,395,6704,406,6704,411,6701,421,6674,434,6733,434,6736,430,6742,413,6743,397,6740,386,6735,376,6727,368,6717,364,6709,362xm6586,355l6572,357,6561,363,6552,372,6548,384,6548,398,6551,410,6559,421,6567,427,6577,429,6587,429,6598,427,6608,425,6654,425,6653,424,6647,419,6638,410,6625,400,6625,400,6584,400,6583,390,6645,390,6658,386,6667,382,6675,377,6690,361,6691,359,6620,359,6601,357,6586,355xm6610,394l6592,396,6584,400,6625,400,6610,394xm6645,390l6583,390,6592,391,6611,393,6629,392,6644,390,6645,390xm6706,296l6688,299,6676,308,6668,319,6664,330,6661,337,6659,343,6655,347,6647,353,6635,357,6620,359,6691,359,6694,350,6699,333,6697,330,6699,330,6706,296xm6699,330l6697,330,6699,330,6699,330xe" filled="true" fillcolor="#f15b66" stroked="false">
              <v:path arrowok="t"/>
              <v:fill type="solid"/>
            </v:shape>
            <v:shape style="position:absolute;left:6547;top:296;width:195;height:175" coordorigin="6548,296" coordsize="195,175" path="m6706,296l6661,337,6659,343,6655,347,6647,353,6635,357,6620,359,6601,357,6586,355,6548,398,6551,410,6559,421,6567,427,6577,429,6587,429,6598,427,6608,425,6615,436,6681,470,6703,463,6724,448,6736,430,6742,413,6743,397,6740,386,6735,376,6727,368,6717,364,6709,362,6702,365,6698,367,6695,373,6697,384,6702,395,6704,406,6704,411,6701,421,6687,428,6674,434,6666,432,6654,425,6653,424,6649,421,6647,419,6638,410,6625,400,6610,394,6592,396,6584,400,6583,390,6592,391,6611,393,6629,392,6690,361,6699,333,6697,330,6699,330e" filled="false" stroked="true" strokeweight=".25pt" strokecolor="#231f20">
              <v:path arrowok="t"/>
              <v:stroke dashstyle="solid"/>
            </v:shape>
            <v:shape style="position:absolute;left:6708;top:396;width:9;height:15" coordorigin="6709,397" coordsize="9,15" path="m6709,405l6709,406,6709,411,6709,405xm6710,402l6710,403,6709,405,6710,402xm6717,397l6711,401,6710,402,6714,400,6715,399,6717,398,6717,397xe" filled="true" fillcolor="#f15b66" stroked="false">
              <v:path arrowok="t"/>
              <v:fill type="solid"/>
            </v:shape>
            <v:shape style="position:absolute;left:6708;top:396;width:9;height:15" coordorigin="6709,397" coordsize="9,15" path="m6715,398l6717,397,6717,398,6715,399,6714,400,6710,403,6709,411,6709,406,6711,401,6715,398xe" filled="false" stroked="true" strokeweight=".25pt" strokecolor="#231f20">
              <v:path arrowok="t"/>
              <v:stroke dashstyle="solid"/>
            </v:shape>
            <v:shape style="position:absolute;left:-19;top:14604;width:93;height:88" coordorigin="-19,14604" coordsize="93,88" path="m6663,416l6659,411,6651,406,6647,405,6644,404,6646,401,6648,403,6650,405,6652,407,6656,410m6735,329l6735,335,6736,349,6722,366e" filled="false" stroked="true" strokeweight=".25pt" strokecolor="#231f20">
              <v:path arrowok="t"/>
              <v:stroke dashstyle="solid"/>
            </v:shape>
            <v:shape style="position:absolute;left:6792;top:345;width:20;height:51" type="#_x0000_t75" stroked="false">
              <v:imagedata r:id="rId574" o:title=""/>
            </v:shape>
            <v:shape style="position:absolute;left:6652;top:337;width:43;height:48" type="#_x0000_t75" stroked="false">
              <v:imagedata r:id="rId575" o:title=""/>
            </v:shape>
            <v:shape style="position:absolute;left:6720;top:278;width:51;height:167" type="#_x0000_t75" stroked="false">
              <v:imagedata r:id="rId576" o:title=""/>
            </v:shape>
            <v:shape style="position:absolute;left:6505;top:190;width:353;height:353" coordorigin="6505,191" coordsize="353,353" path="m6689,191l6636,195,6591,212,6555,239,6528,275,6510,321,6505,375,6519,435,6545,480,6583,514,6630,536,6682,544,6691,544,6698,536,6698,519,6691,512,6682,512,6639,505,6601,487,6570,459,6548,423,6538,367,6549,313,6579,267,6626,235,6682,224,6782,224,6778,221,6748,205,6689,191xm6691,511l6682,512,6691,512,6691,511xm6782,224l6682,224,6736,235,6782,265,6814,313,6819,326,6822,340,6825,355,6825,367,6825,378,6832,385,6841,385,6850,385,6857,378,6857,367,6857,352,6854,334,6850,317,6844,301,6827,269,6805,242,6782,224xe" filled="true" fillcolor="#ffe293" stroked="false">
              <v:path arrowok="t"/>
              <v:fill type="solid"/>
            </v:shape>
            <v:shape style="position:absolute;left:6505;top:190;width:353;height:353" coordorigin="6505,191" coordsize="353,353" path="m6555,239l6528,275,6510,321,6505,375,6519,435,6545,480,6583,514,6630,536,6682,544,6691,544,6698,536,6698,528,6698,519,6691,511,6682,512,6639,505,6601,487,6570,459,6548,423,6538,367,6549,313,6579,267,6626,235,6682,224,6736,235,6814,313,6825,369,6825,378,6832,385,6841,385,6850,385,6857,378,6857,369,6857,352,6827,269,6778,221,6689,191,6636,195,6591,212,6555,239xe" filled="false" stroked="true" strokeweight=".25pt" strokecolor="#b7705b">
              <v:path arrowok="t"/>
              <v:stroke dashstyle="solid"/>
            </v:shape>
            <v:shape style="position:absolute;left:6673;top:367;width:104;height:248" coordorigin="6673,367" coordsize="104,248" path="m6698,367l6683,380,6675,398,6673,419,6679,443,6714,488,6723,495,6731,505,6738,516,6742,534,6741,549,6733,563,6719,579,6707,590,6731,615,6744,603,6764,579,6775,555,6777,530,6770,503,6760,486,6749,473,6738,463,6729,455,6717,445,6709,424,6708,417,6709,411,6698,367xe" filled="true" fillcolor="#f15b66" stroked="false">
              <v:path arrowok="t"/>
              <v:fill type="solid"/>
            </v:shape>
            <v:shape style="position:absolute;left:6673;top:367;width:104;height:248" coordorigin="6673,367" coordsize="104,248" path="m6698,367l6683,380,6675,398,6673,419,6679,443,6714,488,6723,495,6731,505,6738,516,6742,534,6741,549,6733,563,6719,579,6707,590,6731,615,6744,603,6764,579,6775,555,6777,530,6770,503,6760,486,6749,473,6738,463,6729,455,6722,449,6717,445,6712,431,6709,424,6708,417,6709,411e" filled="false" stroked="true" strokeweight=".25pt" strokecolor="#231f20">
              <v:path arrowok="t"/>
              <v:stroke dashstyle="solid"/>
            </v:shape>
            <v:shape style="position:absolute;left:6737;top:478;width:37;height:122" type="#_x0000_t75" stroked="false">
              <v:imagedata r:id="rId577" o:title=""/>
            </v:shape>
            <w10:wrap type="none"/>
          </v:group>
        </w:pict>
      </w:r>
      <w:r>
        <w:rPr>
          <w:rFonts w:ascii="Helvetica"/>
          <w:color w:val="231F20"/>
          <w:sz w:val="16"/>
        </w:rPr>
        <w:t>Early distal tubule</w:t>
      </w:r>
    </w:p>
    <w:p>
      <w:pPr>
        <w:pStyle w:val="BodyText"/>
        <w:tabs>
          <w:tab w:pos="3851" w:val="left" w:leader="none"/>
          <w:tab w:pos="7780" w:val="left" w:leader="none"/>
        </w:tabs>
        <w:rPr>
          <w:rFonts w:ascii="Helvetica"/>
        </w:rPr>
      </w:pPr>
      <w:r>
        <w:rPr>
          <w:rFonts w:ascii="Helvetica"/>
          <w:position w:val="24"/>
        </w:rPr>
        <w:pict>
          <v:group style="width:36pt;height:24pt;mso-position-horizontal-relative:char;mso-position-vertical-relative:line" coordorigin="0,0" coordsize="720,480">
            <v:rect style="position:absolute;left:0;top:0;width:720;height:480" filled="true" fillcolor="#e8dac8" stroked="false">
              <v:fill type="solid"/>
            </v:rect>
          </v:group>
        </w:pict>
      </w:r>
      <w:r>
        <w:rPr>
          <w:rFonts w:ascii="Helvetica"/>
          <w:position w:val="24"/>
        </w:rPr>
      </w:r>
      <w:r>
        <w:rPr>
          <w:rFonts w:ascii="Helvetica"/>
          <w:position w:val="24"/>
        </w:rPr>
        <w:tab/>
      </w:r>
      <w:r>
        <w:rPr>
          <w:rFonts w:ascii="Helvetica"/>
        </w:rPr>
        <w:pict>
          <v:group style="width:92.1pt;height:72.350pt;mso-position-horizontal-relative:char;mso-position-vertical-relative:line" coordorigin="0,0" coordsize="1842,1447">
            <v:shape style="position:absolute;left:1729;top:245;width:113;height:189" type="#_x0000_t75" stroked="false">
              <v:imagedata r:id="rId578" o:title=""/>
            </v:shape>
            <v:shape style="position:absolute;left:1585;top:11;width:200;height:200" type="#_x0000_t75" stroked="false">
              <v:imagedata r:id="rId579" o:title=""/>
            </v:shape>
            <v:rect style="position:absolute;left:58;top:1109;width:1512;height:337" filled="true" fillcolor="#ddc7aa" stroked="false">
              <v:fill type="solid"/>
            </v:rect>
            <v:rect style="position:absolute;left:0;top:1051;width:1512;height:337" filled="true" fillcolor="#ffe5c2" stroked="false">
              <v:fill type="solid"/>
            </v:rect>
            <v:shape style="position:absolute;left:1517;top:351;width:295;height:889" coordorigin="1518,351" coordsize="295,889" path="m1769,351l1783,413,1795,478,1805,544,1811,613,1812,682,1809,751,1800,820,1785,888,1762,954,1732,1018,1693,1079,1645,1137,1587,1191,1518,1240e" filled="false" stroked="true" strokeweight="1.5pt" strokecolor="#f0535f">
              <v:path arrowok="t"/>
              <v:stroke dashstyle="solid"/>
            </v:shape>
            <v:shape style="position:absolute;left:1642;top:0;width:106;height:203" type="#_x0000_t202" filled="false" stroked="false">
              <v:textbox inset="0,0,0,0">
                <w:txbxContent>
                  <w:p>
                    <w:pPr>
                      <w:spacing w:before="6"/>
                      <w:ind w:left="0" w:right="0" w:firstLine="0"/>
                      <w:jc w:val="left"/>
                      <w:rPr>
                        <w:rFonts w:ascii="Symbol" w:hAnsi="Symbol"/>
                        <w:sz w:val="15"/>
                      </w:rPr>
                    </w:pPr>
                    <w:r>
                      <w:rPr>
                        <w:rFonts w:ascii="Symbol" w:hAnsi="Symbol"/>
                        <w:color w:val="F0535F"/>
                        <w:w w:val="103"/>
                        <w:sz w:val="15"/>
                      </w:rPr>
                      <w:t></w:t>
                    </w:r>
                  </w:p>
                </w:txbxContent>
              </v:textbox>
              <w10:wrap type="none"/>
            </v:shape>
            <v:shape style="position:absolute;left:1254;top:219;width:247;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Cl</w:t>
                    </w:r>
                    <w:r>
                      <w:rPr>
                        <w:rFonts w:ascii="Helvetica" w:hAnsi="Helvetica"/>
                        <w:b/>
                        <w:color w:val="231F20"/>
                        <w:position w:val="5"/>
                        <w:sz w:val="12"/>
                      </w:rPr>
                      <w:t>–</w:t>
                    </w:r>
                  </w:p>
                </w:txbxContent>
              </v:textbox>
              <w10:wrap type="none"/>
            </v:shape>
            <v:shape style="position:absolute;left:58;top:1109;width:1512;height:337" type="#_x0000_t202" filled="false" stroked="false">
              <v:textbox inset="0,0,0,0">
                <w:txbxContent>
                  <w:p>
                    <w:pPr>
                      <w:spacing w:before="23"/>
                      <w:ind w:left="31" w:right="0" w:firstLine="0"/>
                      <w:jc w:val="left"/>
                      <w:rPr>
                        <w:rFonts w:ascii="Helvetica"/>
                        <w:b/>
                        <w:sz w:val="16"/>
                      </w:rPr>
                    </w:pPr>
                    <w:r>
                      <w:rPr>
                        <w:rFonts w:ascii="Helvetica"/>
                        <w:b/>
                        <w:color w:val="231F20"/>
                        <w:sz w:val="16"/>
                      </w:rPr>
                      <w:t>Thiazide diuretics</w:t>
                    </w:r>
                  </w:p>
                </w:txbxContent>
              </v:textbox>
              <w10:wrap type="none"/>
            </v:shape>
          </v:group>
        </w:pict>
      </w:r>
      <w:r>
        <w:rPr>
          <w:rFonts w:ascii="Helvetica"/>
        </w:rPr>
      </w:r>
      <w:r>
        <w:rPr>
          <w:rFonts w:ascii="Helvetica"/>
        </w:rPr>
        <w:tab/>
      </w:r>
      <w:r>
        <w:rPr>
          <w:rFonts w:ascii="Helvetica"/>
          <w:position w:val="122"/>
        </w:rPr>
        <w:pict>
          <v:group style="width:149.25pt;height:101pt;mso-position-horizontal-relative:char;mso-position-vertical-relative:line" coordorigin="0,0" coordsize="2985,2020">
            <v:shape style="position:absolute;left:0;top:0;width:2985;height:2020" type="#_x0000_t75" stroked="false">
              <v:imagedata r:id="rId580" o:title=""/>
            </v:shape>
            <v:shape style="position:absolute;left:0;top:0;width:2985;height:2020" type="#_x0000_t202" filled="false" stroked="false">
              <v:textbox inset="0,0,0,0">
                <w:txbxContent>
                  <w:p>
                    <w:pPr>
                      <w:spacing w:line="240" w:lineRule="auto" w:before="0"/>
                      <w:rPr>
                        <w:rFonts w:ascii="Helvetica"/>
                        <w:sz w:val="20"/>
                      </w:rPr>
                    </w:pPr>
                  </w:p>
                  <w:p>
                    <w:pPr>
                      <w:spacing w:line="240" w:lineRule="auto" w:before="0"/>
                      <w:rPr>
                        <w:rFonts w:ascii="Helvetica"/>
                        <w:sz w:val="20"/>
                      </w:rPr>
                    </w:pPr>
                  </w:p>
                  <w:p>
                    <w:pPr>
                      <w:spacing w:line="240" w:lineRule="auto" w:before="2"/>
                      <w:rPr>
                        <w:rFonts w:ascii="Helvetica"/>
                        <w:sz w:val="20"/>
                      </w:rPr>
                    </w:pPr>
                  </w:p>
                  <w:p>
                    <w:pPr>
                      <w:spacing w:before="1"/>
                      <w:ind w:left="1324" w:right="0" w:firstLine="0"/>
                      <w:jc w:val="left"/>
                      <w:rPr>
                        <w:rFonts w:ascii="Helvetica" w:hAnsi="Helvetica"/>
                        <w:b/>
                        <w:sz w:val="12"/>
                      </w:rPr>
                    </w:pPr>
                    <w:r>
                      <w:rPr>
                        <w:rFonts w:ascii="Helvetica" w:hAnsi="Helvetica"/>
                        <w:b/>
                        <w:color w:val="231F20"/>
                        <w:sz w:val="16"/>
                      </w:rPr>
                      <w:t>Na</w:t>
                    </w:r>
                    <w:r>
                      <w:rPr>
                        <w:rFonts w:ascii="Helvetica" w:hAnsi="Helvetica"/>
                        <w:b/>
                        <w:color w:val="231F20"/>
                        <w:position w:val="5"/>
                        <w:sz w:val="12"/>
                      </w:rPr>
                      <w:t>+</w:t>
                    </w:r>
                    <w:r>
                      <w:rPr>
                        <w:rFonts w:ascii="Helvetica" w:hAnsi="Helvetica"/>
                        <w:b/>
                        <w:color w:val="231F20"/>
                        <w:sz w:val="16"/>
                      </w:rPr>
                      <w:t>, Cl</w:t>
                    </w:r>
                    <w:r>
                      <w:rPr>
                        <w:rFonts w:ascii="Helvetica" w:hAnsi="Helvetica"/>
                        <w:b/>
                        <w:color w:val="231F20"/>
                        <w:position w:val="5"/>
                        <w:sz w:val="12"/>
                      </w:rPr>
                      <w:t>–</w:t>
                    </w:r>
                    <w:r>
                      <w:rPr>
                        <w:rFonts w:ascii="Helvetica" w:hAnsi="Helvetica"/>
                        <w:b/>
                        <w:color w:val="231F20"/>
                        <w:sz w:val="16"/>
                      </w:rPr>
                      <w:t>, Ca</w:t>
                    </w:r>
                    <w:r>
                      <w:rPr>
                        <w:rFonts w:ascii="Helvetica" w:hAnsi="Helvetica"/>
                        <w:b/>
                        <w:color w:val="231F20"/>
                        <w:position w:val="5"/>
                        <w:sz w:val="12"/>
                      </w:rPr>
                      <w:t>++</w:t>
                    </w:r>
                    <w:r>
                      <w:rPr>
                        <w:rFonts w:ascii="Helvetica" w:hAnsi="Helvetica"/>
                        <w:b/>
                        <w:color w:val="231F20"/>
                        <w:sz w:val="16"/>
                      </w:rPr>
                      <w:t>, Mg</w:t>
                    </w:r>
                    <w:r>
                      <w:rPr>
                        <w:rFonts w:ascii="Helvetica" w:hAnsi="Helvetica"/>
                        <w:b/>
                        <w:color w:val="231F20"/>
                        <w:position w:val="5"/>
                        <w:sz w:val="12"/>
                      </w:rPr>
                      <w:t>++</w:t>
                    </w:r>
                  </w:p>
                </w:txbxContent>
              </v:textbox>
              <w10:wrap type="none"/>
            </v:shape>
          </v:group>
        </w:pict>
      </w:r>
      <w:r>
        <w:rPr>
          <w:rFonts w:ascii="Helvetica"/>
          <w:position w:val="122"/>
        </w:rPr>
      </w:r>
    </w:p>
    <w:p>
      <w:pPr>
        <w:spacing w:after="0"/>
        <w:rPr>
          <w:rFonts w:ascii="Helvetica"/>
        </w:rPr>
        <w:sectPr>
          <w:headerReference w:type="even" r:id="rId554"/>
          <w:footerReference w:type="even" r:id="rId555"/>
          <w:footerReference w:type="default" r:id="rId556"/>
          <w:pgSz w:w="12240" w:h="15660"/>
          <w:pgMar w:header="0" w:footer="567" w:top="720" w:bottom="760" w:left="0" w:right="0"/>
          <w:pgNumType w:start="356"/>
        </w:sectPr>
      </w:pPr>
    </w:p>
    <w:p>
      <w:pPr>
        <w:spacing w:line="261" w:lineRule="auto" w:before="60"/>
        <w:ind w:left="1080" w:right="0" w:firstLine="0"/>
        <w:jc w:val="both"/>
        <w:rPr>
          <w:rFonts w:ascii="Arial" w:hAnsi="Arial"/>
          <w:sz w:val="16"/>
        </w:rPr>
      </w:pPr>
      <w:bookmarkStart w:name="_bookmark49" w:id="50"/>
      <w:bookmarkEnd w:id="50"/>
      <w:r>
        <w:rPr/>
      </w:r>
      <w:r>
        <w:rPr>
          <w:rFonts w:ascii="Trebuchet MS" w:hAnsi="Trebuchet MS"/>
          <w:b/>
          <w:color w:val="231F20"/>
          <w:sz w:val="16"/>
        </w:rPr>
        <w:t>Figure</w:t>
      </w:r>
      <w:r>
        <w:rPr>
          <w:rFonts w:ascii="Trebuchet MS" w:hAnsi="Trebuchet MS"/>
          <w:b/>
          <w:color w:val="231F20"/>
          <w:spacing w:val="-11"/>
          <w:sz w:val="16"/>
        </w:rPr>
        <w:t> </w:t>
      </w:r>
      <w:r>
        <w:rPr>
          <w:rFonts w:ascii="Trebuchet MS" w:hAnsi="Trebuchet MS"/>
          <w:b/>
          <w:color w:val="231F20"/>
          <w:sz w:val="16"/>
        </w:rPr>
        <w:t>28­10.</w:t>
      </w:r>
      <w:r>
        <w:rPr>
          <w:rFonts w:ascii="Trebuchet MS" w:hAnsi="Trebuchet MS"/>
          <w:b/>
          <w:color w:val="231F20"/>
          <w:spacing w:val="9"/>
          <w:sz w:val="16"/>
        </w:rPr>
        <w:t> </w:t>
      </w:r>
      <w:r>
        <w:rPr>
          <w:rFonts w:ascii="Arial" w:hAnsi="Arial"/>
          <w:color w:val="231F20"/>
          <w:sz w:val="16"/>
        </w:rPr>
        <w:t>Mechanism</w:t>
      </w:r>
      <w:r>
        <w:rPr>
          <w:rFonts w:ascii="Arial" w:hAnsi="Arial"/>
          <w:color w:val="231F20"/>
          <w:spacing w:val="-7"/>
          <w:sz w:val="16"/>
        </w:rPr>
        <w:t> </w:t>
      </w:r>
      <w:r>
        <w:rPr>
          <w:rFonts w:ascii="Arial" w:hAnsi="Arial"/>
          <w:color w:val="231F20"/>
          <w:sz w:val="16"/>
        </w:rPr>
        <w:t>of</w:t>
      </w:r>
      <w:r>
        <w:rPr>
          <w:rFonts w:ascii="Arial" w:hAnsi="Arial"/>
          <w:color w:val="231F20"/>
          <w:spacing w:val="-6"/>
          <w:sz w:val="16"/>
        </w:rPr>
        <w:t> </w:t>
      </w:r>
      <w:r>
        <w:rPr>
          <w:rFonts w:ascii="Arial" w:hAnsi="Arial"/>
          <w:color w:val="231F20"/>
          <w:sz w:val="16"/>
        </w:rPr>
        <w:t>sodium</w:t>
      </w:r>
      <w:r>
        <w:rPr>
          <w:rFonts w:ascii="Arial" w:hAnsi="Arial"/>
          <w:color w:val="231F20"/>
          <w:spacing w:val="-7"/>
          <w:sz w:val="16"/>
        </w:rPr>
        <w:t> </w:t>
      </w:r>
      <w:r>
        <w:rPr>
          <w:rFonts w:ascii="Arial" w:hAnsi="Arial"/>
          <w:color w:val="231F20"/>
          <w:sz w:val="16"/>
        </w:rPr>
        <w:t>chloride</w:t>
      </w:r>
      <w:r>
        <w:rPr>
          <w:rFonts w:ascii="Arial" w:hAnsi="Arial"/>
          <w:color w:val="231F20"/>
          <w:spacing w:val="-6"/>
          <w:sz w:val="16"/>
        </w:rPr>
        <w:t> </w:t>
      </w:r>
      <w:r>
        <w:rPr>
          <w:rFonts w:ascii="Arial" w:hAnsi="Arial"/>
          <w:color w:val="231F20"/>
          <w:sz w:val="16"/>
        </w:rPr>
        <w:t>transport</w:t>
      </w:r>
      <w:r>
        <w:rPr>
          <w:rFonts w:ascii="Arial" w:hAnsi="Arial"/>
          <w:color w:val="231F20"/>
          <w:spacing w:val="-7"/>
          <w:sz w:val="16"/>
        </w:rPr>
        <w:t> </w:t>
      </w:r>
      <w:r>
        <w:rPr>
          <w:rFonts w:ascii="Arial" w:hAnsi="Arial"/>
          <w:color w:val="231F20"/>
          <w:sz w:val="16"/>
        </w:rPr>
        <w:t>in</w:t>
      </w:r>
      <w:r>
        <w:rPr>
          <w:rFonts w:ascii="Arial" w:hAnsi="Arial"/>
          <w:color w:val="231F20"/>
          <w:spacing w:val="-7"/>
          <w:sz w:val="16"/>
        </w:rPr>
        <w:t> </w:t>
      </w:r>
      <w:r>
        <w:rPr>
          <w:rFonts w:ascii="Arial" w:hAnsi="Arial"/>
          <w:color w:val="231F20"/>
          <w:sz w:val="16"/>
        </w:rPr>
        <w:t>the</w:t>
      </w:r>
      <w:r>
        <w:rPr>
          <w:rFonts w:ascii="Arial" w:hAnsi="Arial"/>
          <w:color w:val="231F20"/>
          <w:spacing w:val="-6"/>
          <w:sz w:val="16"/>
        </w:rPr>
        <w:t> </w:t>
      </w:r>
      <w:r>
        <w:rPr>
          <w:rFonts w:ascii="Arial" w:hAnsi="Arial"/>
          <w:color w:val="231F20"/>
          <w:spacing w:val="-3"/>
          <w:sz w:val="16"/>
        </w:rPr>
        <w:t>early </w:t>
      </w:r>
      <w:r>
        <w:rPr>
          <w:rFonts w:ascii="Arial" w:hAnsi="Arial"/>
          <w:color w:val="231F20"/>
          <w:sz w:val="16"/>
        </w:rPr>
        <w:t>distal tubule. Sodium and chloride are transported from the</w:t>
      </w:r>
      <w:r>
        <w:rPr>
          <w:rFonts w:ascii="Arial" w:hAnsi="Arial"/>
          <w:color w:val="231F20"/>
          <w:spacing w:val="-31"/>
          <w:sz w:val="16"/>
        </w:rPr>
        <w:t> </w:t>
      </w:r>
      <w:r>
        <w:rPr>
          <w:rFonts w:ascii="Arial" w:hAnsi="Arial"/>
          <w:color w:val="231F20"/>
          <w:sz w:val="16"/>
        </w:rPr>
        <w:t>tubular lumen into the cell by a co-transporter that is inhibited by thiazide diuretics. Sodium is pumped out of the cell by sodium-potassium ATPase adenosine triphosphatase, and chloride diffuses into </w:t>
      </w:r>
      <w:r>
        <w:rPr>
          <w:rFonts w:ascii="Arial" w:hAnsi="Arial"/>
          <w:color w:val="231F20"/>
          <w:spacing w:val="-5"/>
          <w:sz w:val="16"/>
        </w:rPr>
        <w:t>the </w:t>
      </w:r>
      <w:r>
        <w:rPr>
          <w:rFonts w:ascii="Arial" w:hAnsi="Arial"/>
          <w:color w:val="231F20"/>
          <w:sz w:val="16"/>
        </w:rPr>
        <w:t>interstitial fluid via chloride</w:t>
      </w:r>
      <w:r>
        <w:rPr>
          <w:rFonts w:ascii="Arial" w:hAnsi="Arial"/>
          <w:color w:val="231F20"/>
          <w:spacing w:val="24"/>
          <w:sz w:val="16"/>
        </w:rPr>
        <w:t> </w:t>
      </w:r>
      <w:r>
        <w:rPr>
          <w:rFonts w:ascii="Arial" w:hAnsi="Arial"/>
          <w:color w:val="231F20"/>
          <w:sz w:val="16"/>
        </w:rPr>
        <w:t>channels.</w:t>
      </w:r>
    </w:p>
    <w:p>
      <w:pPr>
        <w:pStyle w:val="BodyText"/>
        <w:spacing w:before="9"/>
        <w:rPr>
          <w:rFonts w:ascii="Arial"/>
          <w:sz w:val="19"/>
        </w:rPr>
      </w:pPr>
    </w:p>
    <w:p>
      <w:pPr>
        <w:pStyle w:val="BodyText"/>
        <w:spacing w:line="249" w:lineRule="auto"/>
        <w:ind w:left="1080"/>
        <w:jc w:val="both"/>
      </w:pPr>
      <w:r>
        <w:rPr>
          <w:color w:val="231F20"/>
        </w:rPr>
        <w:t>the distal tubule forms the </w:t>
      </w:r>
      <w:r>
        <w:rPr>
          <w:i/>
          <w:color w:val="231F20"/>
        </w:rPr>
        <w:t>macula densa, </w:t>
      </w:r>
      <w:r>
        <w:rPr>
          <w:color w:val="231F20"/>
        </w:rPr>
        <w:t>a group of closely packed epithelial cells that is part of the </w:t>
      </w:r>
      <w:r>
        <w:rPr>
          <w:i/>
          <w:color w:val="231F20"/>
        </w:rPr>
        <w:t>juxtaglo- </w:t>
      </w:r>
      <w:r>
        <w:rPr>
          <w:i/>
          <w:color w:val="231F20"/>
        </w:rPr>
        <w:t>merular complex </w:t>
      </w:r>
      <w:r>
        <w:rPr>
          <w:color w:val="231F20"/>
        </w:rPr>
        <w:t>and provides feedback control of GFR and blood flow in this same nephron.</w:t>
      </w:r>
    </w:p>
    <w:p>
      <w:pPr>
        <w:pStyle w:val="BodyText"/>
        <w:spacing w:line="249" w:lineRule="auto" w:before="3"/>
        <w:ind w:left="1080" w:firstLine="240"/>
        <w:jc w:val="both"/>
      </w:pPr>
      <w:r>
        <w:rPr>
          <w:color w:val="231F20"/>
          <w:w w:val="105"/>
        </w:rPr>
        <w:t>The</w:t>
      </w:r>
      <w:r>
        <w:rPr>
          <w:color w:val="231F20"/>
          <w:spacing w:val="-6"/>
          <w:w w:val="105"/>
        </w:rPr>
        <w:t> </w:t>
      </w:r>
      <w:r>
        <w:rPr>
          <w:color w:val="231F20"/>
          <w:w w:val="105"/>
        </w:rPr>
        <w:t>next</w:t>
      </w:r>
      <w:r>
        <w:rPr>
          <w:color w:val="231F20"/>
          <w:spacing w:val="-6"/>
          <w:w w:val="105"/>
        </w:rPr>
        <w:t> </w:t>
      </w:r>
      <w:r>
        <w:rPr>
          <w:color w:val="231F20"/>
          <w:w w:val="105"/>
        </w:rPr>
        <w:t>part</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distal</w:t>
      </w:r>
      <w:r>
        <w:rPr>
          <w:color w:val="231F20"/>
          <w:spacing w:val="-6"/>
          <w:w w:val="105"/>
        </w:rPr>
        <w:t> </w:t>
      </w:r>
      <w:r>
        <w:rPr>
          <w:color w:val="231F20"/>
          <w:w w:val="105"/>
        </w:rPr>
        <w:t>tubule</w:t>
      </w:r>
      <w:r>
        <w:rPr>
          <w:color w:val="231F20"/>
          <w:spacing w:val="-6"/>
          <w:w w:val="105"/>
        </w:rPr>
        <w:t> </w:t>
      </w:r>
      <w:r>
        <w:rPr>
          <w:color w:val="231F20"/>
          <w:w w:val="105"/>
        </w:rPr>
        <w:t>is</w:t>
      </w:r>
      <w:r>
        <w:rPr>
          <w:color w:val="231F20"/>
          <w:spacing w:val="-6"/>
          <w:w w:val="105"/>
        </w:rPr>
        <w:t> </w:t>
      </w:r>
      <w:r>
        <w:rPr>
          <w:color w:val="231F20"/>
          <w:w w:val="105"/>
        </w:rPr>
        <w:t>highly</w:t>
      </w:r>
      <w:r>
        <w:rPr>
          <w:color w:val="231F20"/>
          <w:spacing w:val="-6"/>
          <w:w w:val="105"/>
        </w:rPr>
        <w:t> </w:t>
      </w:r>
      <w:r>
        <w:rPr>
          <w:color w:val="231F20"/>
          <w:spacing w:val="-3"/>
          <w:w w:val="105"/>
        </w:rPr>
        <w:t>convoluted </w:t>
      </w:r>
      <w:r>
        <w:rPr>
          <w:color w:val="231F20"/>
          <w:w w:val="105"/>
        </w:rPr>
        <w:t>and has many of the same reabsorptive characteristics of the thick segment of the ascending limb of the </w:t>
      </w:r>
      <w:r>
        <w:rPr>
          <w:color w:val="231F20"/>
          <w:spacing w:val="-3"/>
          <w:w w:val="105"/>
        </w:rPr>
        <w:t>loop </w:t>
      </w:r>
      <w:r>
        <w:rPr>
          <w:color w:val="231F20"/>
          <w:w w:val="105"/>
        </w:rPr>
        <w:t>of Henle. That is, it avidly reabsorbs most of the </w:t>
      </w:r>
      <w:r>
        <w:rPr>
          <w:color w:val="231F20"/>
          <w:spacing w:val="-3"/>
          <w:w w:val="105"/>
        </w:rPr>
        <w:t>ions, </w:t>
      </w:r>
      <w:r>
        <w:rPr>
          <w:color w:val="231F20"/>
          <w:w w:val="105"/>
        </w:rPr>
        <w:t>including sodium, potassium, and chloride, but is </w:t>
      </w:r>
      <w:r>
        <w:rPr>
          <w:color w:val="231F20"/>
          <w:spacing w:val="-3"/>
          <w:w w:val="105"/>
        </w:rPr>
        <w:t>virtu- </w:t>
      </w:r>
      <w:r>
        <w:rPr>
          <w:color w:val="231F20"/>
          <w:w w:val="105"/>
        </w:rPr>
        <w:t>ally</w:t>
      </w:r>
      <w:r>
        <w:rPr>
          <w:color w:val="231F20"/>
          <w:spacing w:val="-6"/>
          <w:w w:val="105"/>
        </w:rPr>
        <w:t> </w:t>
      </w:r>
      <w:r>
        <w:rPr>
          <w:color w:val="231F20"/>
          <w:w w:val="105"/>
        </w:rPr>
        <w:t>impermeable</w:t>
      </w:r>
      <w:r>
        <w:rPr>
          <w:color w:val="231F20"/>
          <w:spacing w:val="-5"/>
          <w:w w:val="105"/>
        </w:rPr>
        <w:t> </w:t>
      </w:r>
      <w:r>
        <w:rPr>
          <w:color w:val="231F20"/>
          <w:w w:val="105"/>
        </w:rPr>
        <w:t>to</w:t>
      </w:r>
      <w:r>
        <w:rPr>
          <w:color w:val="231F20"/>
          <w:spacing w:val="-6"/>
          <w:w w:val="105"/>
        </w:rPr>
        <w:t> </w:t>
      </w:r>
      <w:r>
        <w:rPr>
          <w:color w:val="231F20"/>
          <w:w w:val="105"/>
        </w:rPr>
        <w:t>water</w:t>
      </w:r>
      <w:r>
        <w:rPr>
          <w:color w:val="231F20"/>
          <w:spacing w:val="-5"/>
          <w:w w:val="105"/>
        </w:rPr>
        <w:t> </w:t>
      </w:r>
      <w:r>
        <w:rPr>
          <w:color w:val="231F20"/>
          <w:w w:val="105"/>
        </w:rPr>
        <w:t>and</w:t>
      </w:r>
      <w:r>
        <w:rPr>
          <w:color w:val="231F20"/>
          <w:spacing w:val="-6"/>
          <w:w w:val="105"/>
        </w:rPr>
        <w:t> </w:t>
      </w:r>
      <w:r>
        <w:rPr>
          <w:color w:val="231F20"/>
          <w:w w:val="105"/>
        </w:rPr>
        <w:t>urea.</w:t>
      </w:r>
      <w:r>
        <w:rPr>
          <w:color w:val="231F20"/>
          <w:spacing w:val="-5"/>
          <w:w w:val="105"/>
        </w:rPr>
        <w:t> </w:t>
      </w:r>
      <w:r>
        <w:rPr>
          <w:color w:val="231F20"/>
          <w:spacing w:val="-3"/>
          <w:w w:val="105"/>
        </w:rPr>
        <w:t>For</w:t>
      </w:r>
      <w:r>
        <w:rPr>
          <w:color w:val="231F20"/>
          <w:spacing w:val="-6"/>
          <w:w w:val="105"/>
        </w:rPr>
        <w:t> </w:t>
      </w:r>
      <w:r>
        <w:rPr>
          <w:color w:val="231F20"/>
          <w:w w:val="105"/>
        </w:rPr>
        <w:t>this</w:t>
      </w:r>
      <w:r>
        <w:rPr>
          <w:color w:val="231F20"/>
          <w:spacing w:val="-5"/>
          <w:w w:val="105"/>
        </w:rPr>
        <w:t> </w:t>
      </w:r>
      <w:r>
        <w:rPr>
          <w:color w:val="231F20"/>
          <w:w w:val="105"/>
        </w:rPr>
        <w:t>reason,</w:t>
      </w:r>
      <w:r>
        <w:rPr>
          <w:color w:val="231F20"/>
          <w:spacing w:val="-6"/>
          <w:w w:val="105"/>
        </w:rPr>
        <w:t> </w:t>
      </w:r>
      <w:r>
        <w:rPr>
          <w:color w:val="231F20"/>
          <w:w w:val="105"/>
        </w:rPr>
        <w:t>it</w:t>
      </w:r>
      <w:r>
        <w:rPr>
          <w:color w:val="231F20"/>
          <w:spacing w:val="-5"/>
          <w:w w:val="105"/>
        </w:rPr>
        <w:t> </w:t>
      </w:r>
      <w:r>
        <w:rPr>
          <w:color w:val="231F20"/>
          <w:w w:val="105"/>
        </w:rPr>
        <w:t>is referred</w:t>
      </w:r>
      <w:r>
        <w:rPr>
          <w:color w:val="231F20"/>
          <w:spacing w:val="-10"/>
          <w:w w:val="105"/>
        </w:rPr>
        <w:t> </w:t>
      </w:r>
      <w:r>
        <w:rPr>
          <w:color w:val="231F20"/>
          <w:w w:val="105"/>
        </w:rPr>
        <w:t>to</w:t>
      </w:r>
      <w:r>
        <w:rPr>
          <w:color w:val="231F20"/>
          <w:spacing w:val="-10"/>
          <w:w w:val="105"/>
        </w:rPr>
        <w:t> </w:t>
      </w:r>
      <w:r>
        <w:rPr>
          <w:color w:val="231F20"/>
          <w:w w:val="105"/>
        </w:rPr>
        <w:t>as</w:t>
      </w:r>
      <w:r>
        <w:rPr>
          <w:color w:val="231F20"/>
          <w:spacing w:val="-9"/>
          <w:w w:val="105"/>
        </w:rPr>
        <w:t> </w:t>
      </w:r>
      <w:r>
        <w:rPr>
          <w:color w:val="231F20"/>
          <w:w w:val="105"/>
        </w:rPr>
        <w:t>the</w:t>
      </w:r>
      <w:r>
        <w:rPr>
          <w:color w:val="231F20"/>
          <w:spacing w:val="-9"/>
          <w:w w:val="105"/>
        </w:rPr>
        <w:t> </w:t>
      </w:r>
      <w:r>
        <w:rPr>
          <w:i/>
          <w:color w:val="231F20"/>
          <w:w w:val="105"/>
        </w:rPr>
        <w:t>diluting</w:t>
      </w:r>
      <w:r>
        <w:rPr>
          <w:i/>
          <w:color w:val="231F20"/>
          <w:spacing w:val="-9"/>
          <w:w w:val="105"/>
        </w:rPr>
        <w:t> </w:t>
      </w:r>
      <w:r>
        <w:rPr>
          <w:i/>
          <w:color w:val="231F20"/>
          <w:w w:val="105"/>
        </w:rPr>
        <w:t>segment</w:t>
      </w:r>
      <w:r>
        <w:rPr>
          <w:i/>
          <w:color w:val="231F20"/>
          <w:spacing w:val="-10"/>
          <w:w w:val="105"/>
        </w:rPr>
        <w:t> </w:t>
      </w:r>
      <w:r>
        <w:rPr>
          <w:color w:val="231F20"/>
          <w:w w:val="105"/>
        </w:rPr>
        <w:t>because</w:t>
      </w:r>
      <w:r>
        <w:rPr>
          <w:color w:val="231F20"/>
          <w:spacing w:val="-9"/>
          <w:w w:val="105"/>
        </w:rPr>
        <w:t> </w:t>
      </w:r>
      <w:r>
        <w:rPr>
          <w:color w:val="231F20"/>
          <w:w w:val="105"/>
        </w:rPr>
        <w:t>it</w:t>
      </w:r>
      <w:r>
        <w:rPr>
          <w:color w:val="231F20"/>
          <w:spacing w:val="-10"/>
          <w:w w:val="105"/>
        </w:rPr>
        <w:t> </w:t>
      </w:r>
      <w:r>
        <w:rPr>
          <w:color w:val="231F20"/>
          <w:w w:val="105"/>
        </w:rPr>
        <w:t>also</w:t>
      </w:r>
      <w:r>
        <w:rPr>
          <w:color w:val="231F20"/>
          <w:spacing w:val="-10"/>
          <w:w w:val="105"/>
        </w:rPr>
        <w:t> </w:t>
      </w:r>
      <w:r>
        <w:rPr>
          <w:color w:val="231F20"/>
          <w:w w:val="105"/>
        </w:rPr>
        <w:t>dilutes the tubular</w:t>
      </w:r>
      <w:r>
        <w:rPr>
          <w:color w:val="231F20"/>
          <w:spacing w:val="6"/>
          <w:w w:val="105"/>
        </w:rPr>
        <w:t> </w:t>
      </w:r>
      <w:r>
        <w:rPr>
          <w:color w:val="231F20"/>
          <w:w w:val="105"/>
        </w:rPr>
        <w:t>fluid.</w:t>
      </w:r>
    </w:p>
    <w:p>
      <w:pPr>
        <w:pStyle w:val="BodyText"/>
        <w:spacing w:line="249" w:lineRule="auto" w:before="7"/>
        <w:ind w:left="1080" w:firstLine="240"/>
        <w:jc w:val="both"/>
      </w:pPr>
      <w:r>
        <w:rPr>
          <w:color w:val="231F20"/>
        </w:rPr>
        <w:t>Approximately 5 percent of the filtered load of sodium chloride is reabsorbed in the early distal tubule. </w:t>
      </w:r>
      <w:r>
        <w:rPr>
          <w:color w:val="231F20"/>
          <w:spacing w:val="-5"/>
        </w:rPr>
        <w:t>The </w:t>
      </w:r>
      <w:r>
        <w:rPr>
          <w:i/>
          <w:color w:val="231F20"/>
        </w:rPr>
        <w:t>sodium-chloride co-transporter </w:t>
      </w:r>
      <w:r>
        <w:rPr>
          <w:color w:val="231F20"/>
        </w:rPr>
        <w:t>moves sodium chloride from the tubular lumen into the cell, and the </w:t>
      </w:r>
      <w:r>
        <w:rPr>
          <w:color w:val="231F20"/>
          <w:spacing w:val="-3"/>
        </w:rPr>
        <w:t>sodium- </w:t>
      </w:r>
      <w:r>
        <w:rPr>
          <w:color w:val="231F20"/>
        </w:rPr>
        <w:t>potassium ATPase pump transports sodium out  of  </w:t>
      </w:r>
      <w:r>
        <w:rPr>
          <w:color w:val="231F20"/>
          <w:spacing w:val="-6"/>
        </w:rPr>
        <w:t>the </w:t>
      </w:r>
      <w:r>
        <w:rPr>
          <w:color w:val="231F20"/>
        </w:rPr>
        <w:t>cell across the basolateral membrane (</w:t>
      </w:r>
      <w:hyperlink w:history="true" w:anchor="_bookmark49">
        <w:r>
          <w:rPr>
            <w:b/>
            <w:color w:val="0080AC"/>
          </w:rPr>
          <w:t>Figure 28-10</w:t>
        </w:r>
      </w:hyperlink>
      <w:r>
        <w:rPr>
          <w:color w:val="231F20"/>
        </w:rPr>
        <w:t>). Chloride diffuses out of the cell into the renal  inter-  stitial fluid through chloride channels in the basolateral membrane.</w:t>
      </w:r>
    </w:p>
    <w:p>
      <w:pPr>
        <w:pStyle w:val="BodyText"/>
        <w:spacing w:line="249" w:lineRule="auto" w:before="7"/>
        <w:ind w:left="1080" w:firstLine="240"/>
        <w:jc w:val="both"/>
      </w:pPr>
      <w:r>
        <w:rPr>
          <w:color w:val="231F20"/>
          <w:w w:val="105"/>
        </w:rPr>
        <w:t>The </w:t>
      </w:r>
      <w:r>
        <w:rPr>
          <w:i/>
          <w:color w:val="231F20"/>
          <w:w w:val="105"/>
        </w:rPr>
        <w:t>thiazide diuretics, </w:t>
      </w:r>
      <w:r>
        <w:rPr>
          <w:color w:val="231F20"/>
          <w:w w:val="105"/>
        </w:rPr>
        <w:t>which are widely used to</w:t>
      </w:r>
      <w:r>
        <w:rPr>
          <w:color w:val="231F20"/>
          <w:spacing w:val="-32"/>
          <w:w w:val="105"/>
        </w:rPr>
        <w:t> </w:t>
      </w:r>
      <w:r>
        <w:rPr>
          <w:color w:val="231F20"/>
          <w:w w:val="105"/>
        </w:rPr>
        <w:t>treat disorders such as hypertension and heart failure, inhibit the sodium-chloride</w:t>
      </w:r>
      <w:r>
        <w:rPr>
          <w:color w:val="231F20"/>
          <w:spacing w:val="5"/>
          <w:w w:val="105"/>
        </w:rPr>
        <w:t> </w:t>
      </w:r>
      <w:r>
        <w:rPr>
          <w:color w:val="231F20"/>
          <w:w w:val="105"/>
        </w:rPr>
        <w:t>co-transporter.</w:t>
      </w:r>
    </w:p>
    <w:p>
      <w:pPr>
        <w:pStyle w:val="BodyText"/>
        <w:spacing w:before="10"/>
        <w:rPr>
          <w:sz w:val="30"/>
        </w:rPr>
      </w:pPr>
    </w:p>
    <w:p>
      <w:pPr>
        <w:pStyle w:val="Heading2"/>
        <w:spacing w:line="225" w:lineRule="auto"/>
        <w:ind w:left="1080"/>
      </w:pPr>
      <w:r>
        <w:rPr>
          <w:color w:val="231F20"/>
        </w:rPr>
        <w:t>LATE DISTAL TUBULE AND CORTICAL COLLECTING TUBULE</w:t>
      </w:r>
    </w:p>
    <w:p>
      <w:pPr>
        <w:pStyle w:val="BodyText"/>
        <w:spacing w:line="249" w:lineRule="auto" w:before="128"/>
        <w:ind w:left="1080"/>
        <w:jc w:val="both"/>
      </w:pPr>
      <w:r>
        <w:rPr>
          <w:color w:val="231F20"/>
        </w:rPr>
        <w:t>The second half of the distal tubule and the subsequent cortical collecting tubule have similar functional </w:t>
      </w:r>
      <w:r>
        <w:rPr>
          <w:color w:val="231F20"/>
          <w:spacing w:val="-4"/>
        </w:rPr>
        <w:t>charac- </w:t>
      </w:r>
      <w:r>
        <w:rPr>
          <w:color w:val="231F20"/>
        </w:rPr>
        <w:t>teristics. Anatomically, they are composed of two distinct cell</w:t>
      </w:r>
      <w:r>
        <w:rPr>
          <w:color w:val="231F20"/>
          <w:spacing w:val="-12"/>
        </w:rPr>
        <w:t> </w:t>
      </w:r>
      <w:r>
        <w:rPr>
          <w:color w:val="231F20"/>
        </w:rPr>
        <w:t>types,</w:t>
      </w:r>
      <w:r>
        <w:rPr>
          <w:color w:val="231F20"/>
          <w:spacing w:val="-12"/>
        </w:rPr>
        <w:t> </w:t>
      </w:r>
      <w:r>
        <w:rPr>
          <w:color w:val="231F20"/>
        </w:rPr>
        <w:t>the</w:t>
      </w:r>
      <w:r>
        <w:rPr>
          <w:color w:val="231F20"/>
          <w:spacing w:val="-12"/>
        </w:rPr>
        <w:t> </w:t>
      </w:r>
      <w:r>
        <w:rPr>
          <w:i/>
          <w:color w:val="231F20"/>
        </w:rPr>
        <w:t>principal</w:t>
      </w:r>
      <w:r>
        <w:rPr>
          <w:i/>
          <w:color w:val="231F20"/>
          <w:spacing w:val="-12"/>
        </w:rPr>
        <w:t> </w:t>
      </w:r>
      <w:r>
        <w:rPr>
          <w:i/>
          <w:color w:val="231F20"/>
        </w:rPr>
        <w:t>cells</w:t>
      </w:r>
      <w:r>
        <w:rPr>
          <w:i/>
          <w:color w:val="231F20"/>
          <w:spacing w:val="-12"/>
        </w:rPr>
        <w:t> </w:t>
      </w:r>
      <w:r>
        <w:rPr>
          <w:color w:val="231F20"/>
        </w:rPr>
        <w:t>and</w:t>
      </w:r>
      <w:r>
        <w:rPr>
          <w:color w:val="231F20"/>
          <w:spacing w:val="-11"/>
        </w:rPr>
        <w:t> </w:t>
      </w:r>
      <w:r>
        <w:rPr>
          <w:i/>
          <w:color w:val="231F20"/>
        </w:rPr>
        <w:t>intercalated</w:t>
      </w:r>
      <w:r>
        <w:rPr>
          <w:i/>
          <w:color w:val="231F20"/>
          <w:spacing w:val="-12"/>
        </w:rPr>
        <w:t> </w:t>
      </w:r>
      <w:r>
        <w:rPr>
          <w:i/>
          <w:color w:val="231F20"/>
        </w:rPr>
        <w:t>cells</w:t>
      </w:r>
      <w:r>
        <w:rPr>
          <w:i/>
          <w:color w:val="231F20"/>
          <w:spacing w:val="-12"/>
        </w:rPr>
        <w:t> </w:t>
      </w:r>
      <w:r>
        <w:rPr>
          <w:color w:val="231F20"/>
        </w:rPr>
        <w:t>(</w:t>
      </w:r>
      <w:hyperlink w:history="true" w:anchor="_bookmark50">
        <w:r>
          <w:rPr>
            <w:b/>
            <w:color w:val="0080AC"/>
          </w:rPr>
          <w:t>Figure</w:t>
        </w:r>
      </w:hyperlink>
      <w:r>
        <w:rPr>
          <w:b/>
          <w:color w:val="0080AC"/>
        </w:rPr>
        <w:t> </w:t>
      </w:r>
      <w:hyperlink w:history="true" w:anchor="_bookmark50">
        <w:r>
          <w:rPr>
            <w:b/>
            <w:color w:val="0080AC"/>
          </w:rPr>
          <w:t>28-11</w:t>
        </w:r>
      </w:hyperlink>
      <w:r>
        <w:rPr>
          <w:color w:val="231F20"/>
        </w:rPr>
        <w:t>). The principal cells reabsorb sodium and </w:t>
      </w:r>
      <w:r>
        <w:rPr>
          <w:color w:val="231F20"/>
          <w:spacing w:val="-4"/>
        </w:rPr>
        <w:t>water </w:t>
      </w:r>
      <w:r>
        <w:rPr>
          <w:color w:val="231F20"/>
        </w:rPr>
        <w:t>from the lumen and secrete potassium ions into </w:t>
      </w:r>
      <w:r>
        <w:rPr>
          <w:color w:val="231F20"/>
          <w:spacing w:val="-5"/>
        </w:rPr>
        <w:t>the  </w:t>
      </w:r>
      <w:r>
        <w:rPr>
          <w:color w:val="231F20"/>
        </w:rPr>
        <w:t>lumen. The type A intercalated cells reabsorb potassium ions</w:t>
      </w:r>
      <w:r>
        <w:rPr>
          <w:color w:val="231F20"/>
          <w:spacing w:val="19"/>
        </w:rPr>
        <w:t> </w:t>
      </w:r>
      <w:r>
        <w:rPr>
          <w:color w:val="231F20"/>
        </w:rPr>
        <w:t>and</w:t>
      </w:r>
      <w:r>
        <w:rPr>
          <w:color w:val="231F20"/>
          <w:spacing w:val="19"/>
        </w:rPr>
        <w:t> </w:t>
      </w:r>
      <w:r>
        <w:rPr>
          <w:color w:val="231F20"/>
        </w:rPr>
        <w:t>secrete</w:t>
      </w:r>
      <w:r>
        <w:rPr>
          <w:color w:val="231F20"/>
          <w:spacing w:val="20"/>
        </w:rPr>
        <w:t> </w:t>
      </w:r>
      <w:r>
        <w:rPr>
          <w:color w:val="231F20"/>
        </w:rPr>
        <w:t>hydrogen</w:t>
      </w:r>
      <w:r>
        <w:rPr>
          <w:color w:val="231F20"/>
          <w:spacing w:val="19"/>
        </w:rPr>
        <w:t> </w:t>
      </w:r>
      <w:r>
        <w:rPr>
          <w:color w:val="231F20"/>
        </w:rPr>
        <w:t>ions</w:t>
      </w:r>
      <w:r>
        <w:rPr>
          <w:color w:val="231F20"/>
          <w:spacing w:val="20"/>
        </w:rPr>
        <w:t> </w:t>
      </w:r>
      <w:r>
        <w:rPr>
          <w:color w:val="231F20"/>
        </w:rPr>
        <w:t>into</w:t>
      </w:r>
      <w:r>
        <w:rPr>
          <w:color w:val="231F20"/>
          <w:spacing w:val="19"/>
        </w:rPr>
        <w:t> </w:t>
      </w:r>
      <w:r>
        <w:rPr>
          <w:color w:val="231F20"/>
        </w:rPr>
        <w:t>the</w:t>
      </w:r>
      <w:r>
        <w:rPr>
          <w:color w:val="231F20"/>
          <w:spacing w:val="19"/>
        </w:rPr>
        <w:t> </w:t>
      </w:r>
      <w:r>
        <w:rPr>
          <w:color w:val="231F20"/>
        </w:rPr>
        <w:t>tubular</w:t>
      </w:r>
      <w:r>
        <w:rPr>
          <w:color w:val="231F20"/>
          <w:spacing w:val="20"/>
        </w:rPr>
        <w:t> </w:t>
      </w:r>
      <w:r>
        <w:rPr>
          <w:color w:val="231F20"/>
        </w:rPr>
        <w:t>lumen.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spacing w:line="259" w:lineRule="auto" w:before="0"/>
        <w:ind w:left="319" w:right="1437" w:firstLine="0"/>
        <w:jc w:val="both"/>
        <w:rPr>
          <w:rFonts w:ascii="Arial" w:hAnsi="Arial"/>
          <w:sz w:val="16"/>
        </w:rPr>
      </w:pPr>
      <w:r>
        <w:rPr/>
        <w:pict>
          <v:group style="position:absolute;margin-left:307.412292pt;margin-top:-151.811279pt;width:226.85pt;height:147.4pt;mso-position-horizontal-relative:page;mso-position-vertical-relative:paragraph;z-index:252140544" coordorigin="6148,-3036" coordsize="4537,2948">
            <v:shape style="position:absolute;left:7743;top:-2298;width:2549;height:1996" coordorigin="7743,-2298" coordsize="2549,1996" path="m9126,-2298l8987,-2280,8914,-2268,8839,-2252,8762,-2233,8684,-2212,8606,-2188,8530,-2161,8456,-2133,8385,-2103,8319,-2072,8259,-2040,8202,-2007,8134,-1966,8059,-1918,7983,-1865,7910,-1809,7845,-1752,7793,-1695,7758,-1641,7745,-1541,7744,-1367,7743,-1298,7746,-1221,7753,-1148,7766,-1078,7786,-1011,7813,-946,7849,-883,7893,-821,7946,-760,8011,-698,8086,-636,8143,-596,8211,-556,8287,-515,8369,-477,8455,-440,8540,-406,8624,-376,8702,-351,8772,-331,8891,-311,8966,-305,9048,-302,9133,-303,9217,-308,9299,-318,9373,-332,9438,-353,9511,-383,9578,-413,9641,-444,9700,-476,9757,-511,9813,-550,9868,-594,9924,-644,9983,-701,10044,-765,10110,-839,10183,-930,10222,-994,10257,-1070,10282,-1158,10292,-1259,10292,-1311,10291,-1380,10289,-1443,10274,-1505,10240,-1541,10222,-1572,10178,-1663,10126,-1746,10069,-1819,10007,-1883,9942,-1940,9876,-1990,9810,-2034,9744,-2072,9682,-2105,9623,-2134,9523,-2182,9485,-2202,9329,-2266,9225,-2296,9126,-2298xe" filled="true" fillcolor="#ffd768" stroked="false">
              <v:path arrowok="t"/>
              <v:fill type="solid"/>
            </v:shape>
            <v:shape style="position:absolute;left:-1742;top:8695;width:2549;height:1996" coordorigin="-1742,8696" coordsize="2549,1996" path="m9485,-2202l9329,-2266,9225,-2296,9126,-2298,8987,-2280,8914,-2268,8839,-2252,8762,-2233,8684,-2212,8606,-2188,8530,-2161,8456,-2133,8385,-2103,8319,-2072,8259,-2040,8202,-2007,8134,-1966,8059,-1918,7983,-1865,7910,-1809,7845,-1752,7793,-1695,7758,-1641,7746,-1591,7745,-1535,7744,-1453,7744,-1367,7743,-1298,7746,-1221,7753,-1148,7766,-1078,7786,-1011,7813,-946,7849,-883,7893,-821,7946,-760,8011,-698,8086,-636,8143,-596,8211,-556,8287,-515,8369,-477,8455,-440,8540,-406,8624,-376,8702,-351,8772,-331,8825,-320,8891,-311,8966,-305,9048,-302,9133,-303,9217,-308,9299,-318,9373,-332,9438,-353,9511,-383,9578,-413,9641,-444,9700,-476,9757,-511,9813,-550,9868,-594,9924,-644,9983,-701,10044,-765,10110,-839,10144,-878,10183,-930,10222,-994,10257,-1070,10282,-1158,10292,-1259,10292,-1311,10291,-1380,10289,-1443,10286,-1479,10274,-1505,10258,-1522,10240,-1541,10222,-1572,10178,-1663,10126,-1746,10069,-1819,10007,-1883,9942,-1940,9876,-1990,9810,-2034,9744,-2072,9682,-2105,9623,-2134,9570,-2159,9523,-2182,9485,-2202xm10113,-1039l10113,-844m8772,-524l8772,-332m8192,-761l8192,-569m7850,-1141l7850,-884e" filled="false" stroked="true" strokeweight=".5pt" strokecolor="#b7705b">
              <v:path arrowok="t"/>
              <v:stroke dashstyle="solid"/>
            </v:shape>
            <v:shape style="position:absolute;left:7067;top:-2867;width:606;height:1015" coordorigin="7068,-2867" coordsize="606,1015" path="m7523,-2740l7258,-2740,7304,-2737,7348,-2726,7383,-2707,7409,-2684,7428,-2659,7447,-2593,7436,-2536,7406,-2486,7365,-2443,7277,-2363,7225,-2309,7177,-2243,7140,-2165,7121,-2074,7117,-2014,7114,-1957,7112,-1902,7110,-1853,7236,-1853,7238,-1903,7240,-1953,7243,-2008,7247,-2066,7268,-2156,7312,-2228,7367,-2287,7425,-2336,7475,-2380,7500,-2406,7524,-2435,7546,-2468,7565,-2506,7584,-2534,7609,-2547,7634,-2549,7653,-2549,7673,-2672,7670,-2672,7586,-2672,7570,-2678,7555,-2692,7538,-2718,7523,-2740xm7653,-2549l7634,-2549,7653,-2547,7653,-2549xm7641,-2674l7624,-2674,7605,-2673,7586,-2672,7670,-2672,7658,-2674,7641,-2674xm7278,-2867l7210,-2865,7138,-2843,7068,-2793,7148,-2694,7180,-2720,7217,-2735,7258,-2740,7523,-2740,7505,-2766,7461,-2806,7404,-2838,7336,-2859,7278,-2867xe" filled="true" fillcolor="#faa61a" stroked="false">
              <v:path arrowok="t"/>
              <v:fill type="solid"/>
            </v:shape>
            <v:shape style="position:absolute;left:7067;top:-2867;width:606;height:1015" coordorigin="7068,-2867" coordsize="606,1015" path="m7148,-2694l7180,-2720,7217,-2735,7258,-2740,7304,-2737,7383,-2707,7428,-2659,7447,-2593,7436,-2536,7406,-2486,7365,-2443,7327,-2408,7277,-2363,7225,-2309,7177,-2243,7140,-2165,7121,-2074,7114,-1957,7110,-1853,7236,-1853,7238,-1902,7240,-1953,7247,-2066,7268,-2156,7312,-2228,7367,-2287,7425,-2336,7475,-2380,7500,-2406,7524,-2435,7546,-2468,7565,-2506,7584,-2534,7609,-2547,7634,-2549,7653,-2547,7673,-2672,7658,-2674,7641,-2674,7624,-2674,7605,-2673,7586,-2672,7570,-2678,7555,-2692,7538,-2718,7505,-2766,7461,-2806,7404,-2838,7336,-2859,7278,-2867,7210,-2865,7138,-2843,7068,-2793,7148,-2694xe" filled="false" stroked="true" strokeweight=".25pt" strokecolor="#b7705b">
              <v:path arrowok="t"/>
              <v:stroke dashstyle="solid"/>
            </v:shape>
            <v:shape style="position:absolute;left:6519;top:-1941;width:330;height:1447" coordorigin="6519,-1941" coordsize="330,1447" path="m6562,-1941l6519,-1941,6519,-648,6531,-588,6565,-539,6614,-506,6674,-494,6735,-506,6779,-536,6674,-536,6631,-545,6595,-569,6571,-604,6562,-648,6562,-1941xm6767,-1656l6772,-1646,6779,-1631,6784,-1612,6787,-1590,6787,-648,6778,-604,6754,-569,6718,-545,6674,-536,6779,-536,6784,-539,6817,-588,6829,-648,6829,-1586,6831,-1610,6837,-1629,6843,-1645,6848,-1655,6767,-1656xe" filled="true" fillcolor="#ffd768" stroked="false">
              <v:path arrowok="t"/>
              <v:fill type="solid"/>
            </v:shape>
            <v:shape style="position:absolute;left:6519;top:-1941;width:330;height:1447" coordorigin="6519,-1941" coordsize="330,1447" path="m6767,-1656l6772,-1646,6779,-1631,6784,-1612,6787,-1590,6787,-648,6778,-604,6754,-569,6718,-545,6674,-536,6631,-545,6595,-569,6571,-604,6562,-648,6562,-1941,6519,-1941,6519,-648,6531,-588,6565,-539,6614,-506,6674,-494,6735,-506,6784,-539,6817,-588,6829,-648,6829,-1586,6831,-1610,6837,-1629,6843,-1645,6848,-1655,6767,-1656xe" filled="false" stroked="true" strokeweight=".25pt" strokecolor="#b7705b">
              <v:path arrowok="t"/>
              <v:stroke dashstyle="solid"/>
            </v:shape>
            <v:shape style="position:absolute;left:6745;top:-2796;width:406;height:1161" coordorigin="6745,-2796" coordsize="406,1161" path="m7070,-2796l7017,-2729,6971,-2634,6957,-2599,6940,-2564,6920,-2529,6895,-2496,6881,-2482,6866,-2469,6850,-2456,6832,-2446,6790,-2418,6763,-2386,6749,-2348,6745,-2300,6745,-1747,6757,-1675,6803,-1635,6827,-1638,6866,-1695,6871,-1747,6871,-2285,6873,-2308,6879,-2324,6888,-2335,6901,-2343,6921,-2354,6940,-2367,6958,-2381,6974,-2395,6974,-2396,7015,-2443,7046,-2492,7070,-2542,7089,-2590,7103,-2624,7118,-2653,7134,-2677,7151,-2697,7070,-2796xe" filled="true" fillcolor="#ffd768" stroked="false">
              <v:path arrowok="t"/>
              <v:fill type="solid"/>
            </v:shape>
            <v:shape style="position:absolute;left:6745;top:-2796;width:406;height:1161" coordorigin="6745,-2796" coordsize="406,1161" path="m7070,-2796l7017,-2729,6971,-2634,6957,-2599,6940,-2564,6920,-2529,6895,-2496,6881,-2482,6866,-2469,6850,-2456,6832,-2446,6790,-2418,6763,-2386,6749,-2348,6745,-2300,6745,-1747,6757,-1675,6803,-1635,6827,-1638,6866,-1695,6871,-1747,6871,-2285,6873,-2308,6879,-2324,6888,-2335,6901,-2343,6921,-2354,6940,-2367,6958,-2381,6974,-2395,6974,-2396,7015,-2443,7046,-2492,7070,-2542,7089,-2590,7103,-2624,7118,-2653,7134,-2677,7151,-2697e" filled="false" stroked="true" strokeweight=".25pt" strokecolor="#b7705b">
              <v:path arrowok="t"/>
              <v:stroke dashstyle="solid"/>
            </v:shape>
            <v:shape style="position:absolute;left:7014;top:-1857;width:314;height:1382" coordorigin="7014,-1857" coordsize="314,1382" path="m7070,-1723l7014,-1610,7032,-1600,7063,-1573,7092,-1525,7105,-1454,7105,-1454,7105,-1383,7104,-1297,7103,-1200,7102,-989,7099,-606,7098,-496,7098,-475,7240,-476,7239,-634,7240,-805,7242,-1093,7245,-1604,7257,-1657,7283,-1694,7300,-1707,7099,-1707,7080,-1719,7070,-1723xm7110,-1857l7109,-1821,7109,-1787,7108,-1755,7108,-1712,7099,-1707,7300,-1707,7311,-1716,7328,-1725,7292,-1823,7244,-1823,7235,-1826,7236,-1842,7236,-1850,7236,-1856,7110,-1857xm7285,-1843l7275,-1839,7265,-1835,7244,-1823,7292,-1823,7285,-1843xe" filled="true" fillcolor="#ffd768" stroked="false">
              <v:path arrowok="t"/>
              <v:fill type="solid"/>
            </v:shape>
            <v:shape style="position:absolute;left:7014;top:-1857;width:314;height:1382" coordorigin="7014,-1857" coordsize="314,1382" path="m7236,-1856l7236,-1850,7236,-1842,7236,-1836,7235,-1826,7244,-1823,7254,-1829,7265,-1835,7275,-1839,7285,-1843,7328,-1725,7311,-1716,7283,-1694,7245,-1604,7242,-1093,7240,-805,7239,-634,7240,-476,7098,-475,7098,-541,7099,-606,7100,-687,7100,-781,7101,-883,7102,-989,7103,-1096,7103,-1200,7104,-1297,7105,-1383,7105,-1454,7105,-1454,7092,-1525,7063,-1573,7032,-1600,7014,-1610,7070,-1723,7072,-1722,7080,-1719,7091,-1712,7099,-1707,7108,-1712,7108,-1726,7108,-1755,7109,-1787,7109,-1821,7110,-1857e" filled="false" stroked="true" strokeweight=".25pt" strokecolor="#b7705b">
              <v:path arrowok="t"/>
              <v:stroke dashstyle="solid"/>
            </v:shape>
            <v:shape style="position:absolute;left:6989;top:-2856;width:272;height:215" type="#_x0000_t75" stroked="false">
              <v:imagedata r:id="rId581" o:title=""/>
            </v:shape>
            <v:shape style="position:absolute;left:6757;top:-2477;width:150;height:209" type="#_x0000_t75" stroked="false">
              <v:imagedata r:id="rId582" o:title=""/>
            </v:shape>
            <v:shape style="position:absolute;left:7130;top:-2350;width:162;height:322" type="#_x0000_t75" stroked="false">
              <v:imagedata r:id="rId583" o:title=""/>
            </v:shape>
            <v:shape style="position:absolute;left:6150;top:-2865;width:514;height:973" coordorigin="6151,-2865" coordsize="514,973" path="m6298,-2830l6277,-2829,6242,-2823,6211,-2808,6185,-2787,6166,-2760,6153,-2725,6151,-2686,6158,-2646,6175,-2608,6208,-2566,6260,-2519,6325,-2468,6423,-2397,6452,-2363,6467,-2326,6473,-2295,6474,-2283,6474,-1986,6479,-1950,6493,-1920,6513,-1900,6538,-1893,6562,-1900,6582,-1920,6595,-1950,6600,-1986,6600,-2283,6598,-2311,6586,-2367,6555,-2435,6497,-2498,6427,-2549,6369,-2593,6315,-2637,6284,-2671,6280,-2684,6283,-2695,6293,-2701,6420,-2701,6456,-2719,6470,-2727,6483,-2731,6583,-2731,6665,-2801,6645,-2802,6625,-2809,6601,-2820,6599,-2821,6362,-2821,6345,-2824,6331,-2827,6316,-2829,6298,-2830xm6583,-2731l6483,-2731,6495,-2731,6505,-2726,6513,-2715,6517,-2701,6517,-2700,6518,-2686,6517,-2675,6583,-2731xm6420,-2701l6293,-2701,6309,-2701,6341,-2694,6379,-2693,6418,-2700,6420,-2701xm6476,-2865l6435,-2854,6398,-2834,6387,-2828,6376,-2823,6362,-2821,6599,-2821,6574,-2837,6522,-2861,6476,-2865xe" filled="true" fillcolor="#ffd768" stroked="false">
              <v:path arrowok="t"/>
              <v:fill type="solid"/>
            </v:shape>
            <v:shape style="position:absolute;left:6150;top:-2865;width:514;height:973" coordorigin="6151,-2865" coordsize="514,973" path="m6497,-2498l6427,-2549,6369,-2593,6315,-2637,6280,-2684,6283,-2695,6293,-2701,6309,-2701,6341,-2694,6379,-2693,6418,-2700,6456,-2719,6470,-2727,6483,-2731,6518,-2686,6517,-2675,6665,-2801,6645,-2802,6625,-2809,6601,-2820,6574,-2837,6522,-2861,6476,-2865,6435,-2854,6398,-2834,6387,-2828,6376,-2823,6362,-2821,6345,-2824,6331,-2827,6316,-2829,6298,-2830,6277,-2829,6242,-2823,6185,-2787,6153,-2725,6151,-2686,6158,-2646,6208,-2566,6260,-2519,6325,-2468,6398,-2414,6423,-2397,6452,-2363,6467,-2326,6473,-2295,6474,-2282,6474,-1986,6479,-1950,6493,-1920,6513,-1900,6538,-1893,6562,-1900,6582,-1920,6595,-1950,6600,-1986,6600,-2283,6598,-2311,6586,-2367,6555,-2435,6497,-2498xe" filled="false" stroked="true" strokeweight=".25pt" strokecolor="#b7705b">
              <v:path arrowok="t"/>
              <v:stroke dashstyle="solid"/>
            </v:shape>
            <v:shape style="position:absolute;left:6400;top:-2853;width:96;height:43" type="#_x0000_t75" stroked="false">
              <v:imagedata r:id="rId584" o:title=""/>
            </v:shape>
            <v:shape style="position:absolute;left:6163;top:-2818;width:186;height:208" type="#_x0000_t75" stroked="false">
              <v:imagedata r:id="rId585" o:title=""/>
            </v:shape>
            <v:shape style="position:absolute;left:6999;top:-1727;width:82;height:118" coordorigin="7000,-1727" coordsize="82,118" path="m7052,-1727l7009,-1682,7000,-1637,7004,-1620,7014,-1610,7028,-1609,7044,-1617,7059,-1632,7072,-1654,7079,-1678,7081,-1699,7077,-1716,7066,-1726,7052,-1727xe" filled="true" fillcolor="#ffedb3" stroked="false">
              <v:path arrowok="t"/>
              <v:fill type="solid"/>
            </v:shape>
            <v:shape style="position:absolute;left:6999;top:-1727;width:82;height:118" coordorigin="7000,-1727" coordsize="82,118" path="m7066,-1726l7077,-1716,7081,-1699,7079,-1678,7072,-1654,7059,-1632,7044,-1617,7028,-1609,7014,-1610,7004,-1620,7000,-1637,7001,-1659,7009,-1682,7022,-1704,7037,-1719,7052,-1727,7066,-1726xe" filled="false" stroked="true" strokeweight=".25pt" strokecolor="#b7705b">
              <v:path arrowok="t"/>
              <v:stroke dashstyle="solid"/>
            </v:shape>
            <v:shape style="position:absolute;left:7017;top:-1706;width:47;height:76" coordorigin="7017,-1706" coordsize="47,76" path="m7057,-1706l7017,-1646,7018,-1636,7023,-1630,7031,-1631,7063,-1690,7062,-1700,7057,-1706xe" filled="true" fillcolor="#e9cd86" stroked="false">
              <v:path arrowok="t"/>
              <v:fill type="solid"/>
            </v:shape>
            <v:shape style="position:absolute;left:7017;top:-1706;width:47;height:76" coordorigin="7017,-1706" coordsize="47,76" path="m7057,-1706l7062,-1700,7063,-1690,7061,-1676,7023,-1630,7018,-1636,7017,-1646,7019,-1660,7057,-1706xe" filled="false" stroked="true" strokeweight=".25pt" strokecolor="#b7705b">
              <v:path arrowok="t"/>
              <v:stroke dashstyle="solid"/>
            </v:shape>
            <v:shape style="position:absolute;left:7097;top:-506;width:144;height:69" coordorigin="7097,-506" coordsize="144,69" path="m7169,-506l7141,-503,7118,-496,7103,-485,7097,-471,7103,-458,7118,-447,7141,-440,7169,-437,7197,-440,7220,-447,7235,-458,7241,-471,7235,-485,7220,-496,7197,-503,7169,-506xe" filled="true" fillcolor="#ffedb3" stroked="false">
              <v:path arrowok="t"/>
              <v:fill type="solid"/>
            </v:shape>
            <v:shape style="position:absolute;left:7097;top:-506;width:144;height:69" coordorigin="7097,-506" coordsize="144,69" path="m7241,-471l7235,-458,7220,-447,7197,-440,7169,-437,7141,-440,7118,-447,7103,-458,7097,-471,7103,-485,7118,-496,7141,-503,7169,-506,7197,-503,7220,-496,7235,-485,7241,-471xe" filled="false" stroked="true" strokeweight=".25pt" strokecolor="#b7705b">
              <v:path arrowok="t"/>
              <v:stroke dashstyle="solid"/>
            </v:shape>
            <v:shape style="position:absolute;left:7122;top:-489;width:94;height:35" coordorigin="7122,-488" coordsize="94,35" path="m7169,-488l7151,-487,7136,-483,7126,-478,7122,-471,7126,-465,7136,-459,7151,-455,7169,-454,7187,-455,7202,-459,7212,-465,7216,-471,7212,-478,7202,-484,7187,-487,7169,-488xe" filled="true" fillcolor="#e9cd86" stroked="false">
              <v:path arrowok="t"/>
              <v:fill type="solid"/>
            </v:shape>
            <v:shape style="position:absolute;left:7122;top:-489;width:94;height:35" coordorigin="7122,-488" coordsize="94,35" path="m7216,-471l7212,-465,7202,-459,7187,-455,7169,-454,7151,-455,7136,-459,7126,-465,7122,-471,7126,-478,7136,-483,7151,-487,7169,-488,7187,-487,7202,-484,7212,-478,7216,-471xe" filled="false" stroked="true" strokeweight=".25pt" strokecolor="#b7705b">
              <v:path arrowok="t"/>
              <v:stroke dashstyle="solid"/>
            </v:shape>
            <v:shape style="position:absolute;left:7626;top:-2672;width:71;height:126" coordorigin="7627,-2672" coordsize="71,126" path="m7673,-2672l7628,-2615,7627,-2590,7631,-2569,7639,-2554,7651,-2546,7666,-2549,7679,-2561,7689,-2579,7696,-2603,7698,-2628,7694,-2649,7685,-2664,7673,-2672xe" filled="true" fillcolor="#ffedb3" stroked="false">
              <v:path arrowok="t"/>
              <v:fill type="solid"/>
            </v:shape>
            <v:shape style="position:absolute;left:7626;top:-2672;width:71;height:126" coordorigin="7627,-2672" coordsize="71,126" path="m7673,-2672l7685,-2664,7694,-2649,7698,-2628,7696,-2603,7689,-2579,7679,-2561,7666,-2549,7651,-2546,7639,-2554,7631,-2569,7627,-2590,7628,-2615,7635,-2639,7646,-2657,7659,-2669,7673,-2672xe" filled="false" stroked="true" strokeweight=".25pt" strokecolor="#b7705b">
              <v:path arrowok="t"/>
              <v:stroke dashstyle="solid"/>
            </v:shape>
            <v:shape style="position:absolute;left:7643;top:-2650;width:37;height:82" coordorigin="7644,-2650" coordsize="37,82" path="m7669,-2650l7644,-2596,7645,-2582,7649,-2572,7655,-2568,7662,-2570,7669,-2578,7675,-2590,7679,-2606,7680,-2622,7679,-2636,7675,-2646,7669,-2650xe" filled="true" fillcolor="#e9cd86" stroked="false">
              <v:path arrowok="t"/>
              <v:fill type="solid"/>
            </v:shape>
            <v:shape style="position:absolute;left:7643;top:-2650;width:37;height:82" coordorigin="7644,-2650" coordsize="37,82" path="m7669,-2650l7675,-2646,7679,-2636,7680,-2622,7679,-2606,7675,-2590,7669,-2578,7662,-2570,7655,-2568,7649,-2572,7645,-2582,7644,-2596,7645,-2612,7649,-2628,7655,-2640,7662,-2648,7669,-2650xe" filled="false" stroked="true" strokeweight=".25pt" strokecolor="#b7705b">
              <v:path arrowok="t"/>
              <v:stroke dashstyle="solid"/>
            </v:shape>
            <v:shape style="position:absolute;left:7266;top:-1843;width:76;height:121" coordorigin="7267,-1843" coordsize="76,121" path="m7285,-1843l7274,-1834,7268,-1817,7267,-1796,7272,-1772,7283,-1749,7296,-1732,7311,-1723,7325,-1722,7336,-1731,7342,-1748,7343,-1769,7338,-1794,7327,-1816,7314,-1833,7299,-1842,7285,-1843xe" filled="true" fillcolor="#ffedb3" stroked="false">
              <v:path arrowok="t"/>
              <v:fill type="solid"/>
            </v:shape>
            <v:shape style="position:absolute;left:7266;top:-1843;width:76;height:121" coordorigin="7267,-1843" coordsize="76,121" path="m7285,-1843l7338,-1794,7343,-1769,7342,-1748,7336,-1731,7325,-1722,7311,-1723,7296,-1732,7283,-1749,7272,-1772,7267,-1796,7268,-1817,7274,-1834,7285,-1843xe" filled="false" stroked="true" strokeweight=".25pt" strokecolor="#b7705b">
              <v:path arrowok="t"/>
              <v:stroke dashstyle="solid"/>
            </v:shape>
            <v:shape style="position:absolute;left:7284;top:-1822;width:42;height:79" coordorigin="7284,-1822" coordsize="42,79" path="m7292,-1822l7287,-1817,7284,-1807,7285,-1793,7318,-1743,7323,-1748,7326,-1759,7325,-1772,7292,-1822xe" filled="true" fillcolor="#e9cd86" stroked="false">
              <v:path arrowok="t"/>
              <v:fill type="solid"/>
            </v:shape>
            <v:shape style="position:absolute;left:7284;top:-1822;width:42;height:79" coordorigin="7284,-1822" coordsize="42,79" path="m7292,-1822l7326,-1759,7323,-1748,7318,-1743,7311,-1744,7284,-1807,7287,-1817,7292,-1822xe" filled="false" stroked="true" strokeweight=".25pt" strokecolor="#b7705b">
              <v:path arrowok="t"/>
              <v:stroke dashstyle="solid"/>
            </v:shape>
            <v:shape style="position:absolute;left:6521;top:-2787;width:320;height:319" type="#_x0000_t75" stroked="false">
              <v:imagedata r:id="rId586" o:title=""/>
            </v:shape>
            <v:shape style="position:absolute;left:6563;top:-2740;width:235;height:248" coordorigin="6563,-2740" coordsize="235,248" path="m6756,-2530l6630,-2530,6638,-2521,6641,-2515,6651,-2503,6663,-2495,6676,-2492,6688,-2493,6703,-2496,6715,-2506,6732,-2524,6739,-2524,6751,-2526,6756,-2530xm6739,-2524l6732,-2524,6738,-2524,6739,-2524xm6642,-2740l6619,-2737,6601,-2729,6590,-2720,6584,-2708,6582,-2696,6582,-2691,6582,-2680,6585,-2663,6588,-2648,6589,-2638,6584,-2632,6570,-2613,6563,-2590,6565,-2567,6576,-2546,6587,-2537,6599,-2531,6612,-2528,6625,-2529,6630,-2530,6756,-2530,6762,-2534,6765,-2537,6677,-2537,6664,-2541,6675,-2548,6683,-2556,6688,-2564,6624,-2564,6608,-2567,6605,-2572,6598,-2579,6598,-2598,6608,-2607,6619,-2623,6625,-2641,6626,-2659,6625,-2674,6620,-2698,6625,-2701,6626,-2701,6628,-2702,6637,-2704,6788,-2704,6778,-2716,6767,-2722,6696,-2722,6686,-2728,6665,-2737,6642,-2740xm6796,-2688l6757,-2688,6760,-2687,6762,-2685,6764,-2682,6767,-2672,6764,-2662,6758,-2653,6751,-2646,6740,-2634,6735,-2621,6735,-2607,6737,-2595,6739,-2587,6738,-2583,6735,-2567,6735,-2567,6730,-2560,6720,-2551,6708,-2544,6693,-2539,6677,-2537,6765,-2537,6770,-2545,6771,-2560,6771,-2573,6772,-2590,6772,-2598,6772,-2602,6769,-2616,6772,-2618,6790,-2638,6798,-2660,6798,-2682,6796,-2688xm6788,-2704l6637,-2704,6647,-2703,6658,-2701,6668,-2696,6677,-2691,6687,-2687,6700,-2684,6713,-2683,6691,-2661,6674,-2633,6663,-2605,6657,-2581,6657,-2577,6651,-2573,6642,-2569,6641,-2569,6624,-2564,6688,-2564,6689,-2566,6692,-2577,6699,-2601,6711,-2626,6725,-2648,6740,-2659,6741,-2660,6742,-2660,6743,-2660,6745,-2660,6747,-2661,6756,-2664,6761,-2671,6760,-2682,6759,-2686,6757,-2688,6796,-2688,6791,-2700,6788,-2704xm6741,-2727l6716,-2724,6711,-2723,6696,-2722,6767,-2722,6762,-2724,6741,-2727xe" filled="true" fillcolor="#d04e59" stroked="false">
              <v:path arrowok="t"/>
              <v:fill type="solid"/>
            </v:shape>
            <v:shape style="position:absolute;left:-45;top:8659;width:235;height:248" coordorigin="-44,8659" coordsize="235,248" path="m6608,-2607l6619,-2623,6625,-2641,6626,-2659,6625,-2674,6620,-2698,6620,-2698,6624,-2700,6625,-2701,6626,-2701,6628,-2702,6637,-2704,6647,-2703,6658,-2701,6668,-2696,6677,-2691,6687,-2687,6700,-2684,6713,-2683,6691,-2661,6674,-2633,6663,-2605,6657,-2581,6657,-2577,6651,-2573,6644,-2570,6643,-2570,6642,-2569,6641,-2569,6624,-2564,6608,-2567,6605,-2572,6598,-2579,6598,-2598,6608,-2607xm6664,-2541l6675,-2548,6683,-2556,6689,-2566,6692,-2577,6699,-2601,6711,-2626,6725,-2648,6740,-2659,6741,-2660,6742,-2660,6743,-2660,6745,-2660,6747,-2661,6749,-2661,6756,-2664,6761,-2671,6760,-2678,6760,-2682,6759,-2686,6757,-2688,6760,-2687,6762,-2685,6764,-2682,6767,-2672,6764,-2662,6758,-2653,6751,-2646,6740,-2634,6735,-2621,6735,-2607,6737,-2595,6739,-2587,6738,-2583,6737,-2576,6735,-2567,6730,-2560,6720,-2551,6708,-2544,6693,-2539,6677,-2537,6664,-2541xm6791,-2700l6778,-2716,6762,-2724,6741,-2727,6716,-2724,6711,-2723,6696,-2722,6686,-2728,6665,-2737,6642,-2740,6619,-2737,6601,-2729,6590,-2720,6584,-2708,6581,-2695,6582,-2680,6585,-2663,6588,-2648,6589,-2638,6584,-2632,6570,-2613,6563,-2590,6565,-2567,6576,-2546,6587,-2537,6599,-2531,6612,-2528,6625,-2529,6630,-2530,6638,-2521,6641,-2515,6651,-2503,6663,-2495,6676,-2492,6688,-2493,6703,-2496,6715,-2506,6722,-2514,6726,-2518,6732,-2524,6738,-2524,6751,-2526,6762,-2534,6770,-2545,6771,-2561,6771,-2572,6772,-2583,6772,-2593,6772,-2602,6769,-2616,6770,-2617,6772,-2618,6790,-2638,6798,-2660,6798,-2682,6791,-2700xe" filled="false" stroked="true" strokeweight=".25pt" strokecolor="#231f20">
              <v:path arrowok="t"/>
              <v:stroke dashstyle="solid"/>
            </v:shape>
            <v:shape style="position:absolute;left:6735;top:-2564;width:37;height:39" type="#_x0000_t75" stroked="false">
              <v:imagedata r:id="rId587" o:title=""/>
            </v:shape>
            <v:shape style="position:absolute;left:6553;top:-2763;width:364;height:259" type="#_x0000_t75" stroked="false">
              <v:imagedata r:id="rId588" o:title=""/>
            </v:shape>
            <v:shape style="position:absolute;left:6630;top:-2556;width:44;height:49" type="#_x0000_t75" stroked="false">
              <v:imagedata r:id="rId515" o:title=""/>
            </v:shape>
            <v:shape style="position:absolute;left:6657;top:-2716;width:32;height:49" type="#_x0000_t75" stroked="false">
              <v:imagedata r:id="rId589" o:title=""/>
            </v:shape>
            <v:shape style="position:absolute;left:6547;top:-2699;width:195;height:175" coordorigin="6548,-2698" coordsize="195,175" path="m6654,-2569l6608,-2569,6615,-2558,6627,-2546,6632,-2543,6636,-2539,6648,-2532,6663,-2525,6681,-2524,6703,-2531,6724,-2547,6733,-2560,6674,-2560,6666,-2562,6654,-2569xm6709,-2632l6702,-2629,6698,-2627,6695,-2621,6697,-2611,6702,-2599,6704,-2588,6704,-2583,6701,-2573,6674,-2560,6733,-2560,6736,-2564,6742,-2581,6743,-2597,6740,-2609,6735,-2619,6727,-2626,6717,-2630,6709,-2632xm6586,-2639l6572,-2637,6561,-2632,6552,-2623,6548,-2610,6548,-2596,6551,-2584,6559,-2574,6567,-2568,6577,-2565,6587,-2565,6598,-2567,6608,-2569,6654,-2569,6653,-2570,6649,-2574,6647,-2576,6638,-2585,6625,-2594,6625,-2594,6584,-2594,6583,-2604,6645,-2604,6658,-2608,6667,-2612,6675,-2617,6690,-2633,6691,-2635,6620,-2635,6601,-2637,6586,-2639xm6610,-2600l6592,-2598,6584,-2594,6625,-2594,6610,-2600xm6645,-2604l6583,-2604,6592,-2603,6611,-2601,6629,-2602,6644,-2604,6645,-2604xm6706,-2698l6688,-2695,6676,-2687,6668,-2675,6664,-2664,6659,-2652,6655,-2648,6647,-2641,6635,-2637,6620,-2635,6691,-2635,6694,-2644,6699,-2661,6697,-2664,6699,-2664,6706,-2698xm6699,-2664l6697,-2664,6699,-2664,6699,-2664xe" filled="true" fillcolor="#f15b66" stroked="false">
              <v:path arrowok="t"/>
              <v:fill type="solid"/>
            </v:shape>
            <v:shape style="position:absolute;left:6547;top:-2699;width:195;height:175" coordorigin="6548,-2698" coordsize="195,175" path="m6706,-2698l6661,-2658,6659,-2652,6655,-2648,6647,-2641,6635,-2637,6620,-2635,6601,-2637,6586,-2639,6548,-2596,6551,-2584,6559,-2574,6567,-2568,6577,-2565,6587,-2565,6598,-2567,6608,-2569,6615,-2558,6681,-2524,6703,-2531,6724,-2547,6736,-2564,6742,-2581,6743,-2597,6740,-2609,6735,-2619,6727,-2626,6717,-2630,6709,-2632,6702,-2629,6698,-2627,6695,-2621,6697,-2611,6702,-2599,6704,-2588,6704,-2583,6701,-2573,6687,-2566,6674,-2560,6666,-2562,6654,-2570,6653,-2570,6649,-2573,6647,-2576,6638,-2585,6625,-2594,6610,-2600,6592,-2598,6584,-2594,6583,-2604,6592,-2603,6611,-2601,6629,-2602,6690,-2633,6699,-2661,6697,-2664,6699,-2664e" filled="false" stroked="true" strokeweight=".25pt" strokecolor="#231f20">
              <v:path arrowok="t"/>
              <v:stroke dashstyle="solid"/>
            </v:shape>
            <v:shape style="position:absolute;left:6708;top:-2598;width:9;height:15" coordorigin="6709,-2598" coordsize="9,15" path="m6709,-2589l6709,-2589,6709,-2583,6709,-2589xm6710,-2592l6710,-2592,6709,-2589,6710,-2592xm6717,-2598l6711,-2593,6710,-2592,6717,-2596,6717,-2598xe" filled="true" fillcolor="#f15b66" stroked="false">
              <v:path arrowok="t"/>
              <v:fill type="solid"/>
            </v:shape>
            <v:shape style="position:absolute;left:6708;top:-2598;width:9;height:15" coordorigin="6709,-2598" coordsize="9,15" path="m6715,-2596l6717,-2598,6717,-2596,6715,-2595,6714,-2594,6710,-2592,6709,-2583,6709,-2589,6711,-2593,6715,-2596xe" filled="false" stroked="true" strokeweight=".25pt" strokecolor="#231f20">
              <v:path arrowok="t"/>
              <v:stroke dashstyle="solid"/>
            </v:shape>
            <v:shape style="position:absolute;left:-19;top:8704;width:93;height:88" coordorigin="-19,8704" coordsize="93,88" path="m6663,-2578l6659,-2583,6651,-2588,6647,-2590,6644,-2590,6646,-2593,6648,-2591,6650,-2589,6652,-2587,6656,-2584m6735,-2665l6735,-2659,6736,-2645,6722,-2629e" filled="false" stroked="true" strokeweight=".25pt" strokecolor="#231f20">
              <v:path arrowok="t"/>
              <v:stroke dashstyle="solid"/>
            </v:shape>
            <v:shape style="position:absolute;left:6792;top:-2649;width:20;height:51" type="#_x0000_t75" stroked="false">
              <v:imagedata r:id="rId590" o:title=""/>
            </v:shape>
            <v:shape style="position:absolute;left:6652;top:-2657;width:43;height:48" type="#_x0000_t75" stroked="false">
              <v:imagedata r:id="rId591" o:title=""/>
            </v:shape>
            <v:shape style="position:absolute;left:6720;top:-2716;width:51;height:167" type="#_x0000_t75" stroked="false">
              <v:imagedata r:id="rId592" o:title=""/>
            </v:shape>
            <v:shape style="position:absolute;left:6505;top:-2804;width:353;height:353" coordorigin="6505,-2803" coordsize="353,353" path="m6689,-2803l6636,-2800,6591,-2782,6555,-2755,6528,-2720,6510,-2673,6505,-2619,6519,-2559,6545,-2514,6583,-2480,6630,-2458,6682,-2451,6691,-2451,6698,-2458,6698,-2476,6691,-2483,6682,-2483,6639,-2489,6601,-2507,6570,-2535,6548,-2572,6538,-2628,6549,-2682,6579,-2728,6626,-2759,6682,-2770,6782,-2770,6778,-2773,6748,-2789,6689,-2803xm6691,-2483l6682,-2483,6691,-2483,6691,-2483xm6782,-2770l6682,-2770,6736,-2759,6782,-2729,6814,-2681,6819,-2668,6822,-2654,6825,-2640,6825,-2628,6825,-2616,6832,-2609,6850,-2609,6857,-2616,6857,-2628,6857,-2643,6854,-2660,6850,-2677,6844,-2694,6827,-2725,6805,-2752,6782,-2770xe" filled="true" fillcolor="#ffe293" stroked="false">
              <v:path arrowok="t"/>
              <v:fill type="solid"/>
            </v:shape>
            <v:shape style="position:absolute;left:6505;top:-2804;width:353;height:353" coordorigin="6505,-2803" coordsize="353,353" path="m6555,-2755l6528,-2720,6510,-2673,6505,-2619,6519,-2559,6545,-2514,6583,-2480,6630,-2458,6682,-2451,6691,-2451,6698,-2458,6698,-2467,6698,-2476,6691,-2483,6682,-2483,6639,-2489,6601,-2507,6570,-2535,6548,-2572,6538,-2628,6549,-2682,6579,-2728,6626,-2759,6682,-2770,6736,-2759,6814,-2681,6825,-2625,6825,-2616,6832,-2609,6841,-2609,6850,-2609,6857,-2616,6857,-2625,6857,-2643,6827,-2725,6778,-2773,6689,-2803,6636,-2800,6591,-2782,6555,-2755xe" filled="false" stroked="true" strokeweight=".25pt" strokecolor="#b7705b">
              <v:path arrowok="t"/>
              <v:stroke dashstyle="solid"/>
            </v:shape>
            <v:shape style="position:absolute;left:6673;top:-2627;width:104;height:248" coordorigin="6673,-2627" coordsize="104,248" path="m6698,-2627l6683,-2614,6675,-2596,6673,-2575,6679,-2551,6714,-2506,6723,-2499,6731,-2490,6738,-2478,6742,-2460,6741,-2445,6733,-2431,6719,-2415,6707,-2404,6731,-2379,6744,-2391,6764,-2415,6775,-2439,6777,-2465,6770,-2492,6760,-2508,6749,-2522,6738,-2532,6729,-2539,6722,-2545,6717,-2549,6709,-2570,6708,-2577,6709,-2583,6698,-2627xe" filled="true" fillcolor="#f15b66" stroked="false">
              <v:path arrowok="t"/>
              <v:fill type="solid"/>
            </v:shape>
            <v:shape style="position:absolute;left:6673;top:-2627;width:104;height:248" coordorigin="6673,-2627" coordsize="104,248" path="m6698,-2627l6683,-2614,6675,-2596,6673,-2575,6679,-2551,6714,-2506,6723,-2499,6731,-2490,6738,-2478,6742,-2460,6741,-2445,6733,-2431,6719,-2415,6707,-2404,6731,-2379,6744,-2391,6764,-2415,6775,-2439,6777,-2465,6770,-2492,6760,-2508,6749,-2522,6738,-2532,6729,-2539,6722,-2545,6717,-2549,6712,-2563,6709,-2570,6708,-2577,6709,-2583e" filled="false" stroked="true" strokeweight=".25pt" strokecolor="#231f20">
              <v:path arrowok="t"/>
              <v:stroke dashstyle="solid"/>
            </v:shape>
            <v:shape style="position:absolute;left:6737;top:-2516;width:37;height:122" type="#_x0000_t75" stroked="false">
              <v:imagedata r:id="rId593" o:title=""/>
            </v:shape>
            <v:shape style="position:absolute;left:7740;top:-2764;width:2938;height:2622" type="#_x0000_t75" stroked="false">
              <v:imagedata r:id="rId594" o:title=""/>
            </v:shape>
            <v:shape style="position:absolute;left:8143;top:-3037;width:1479;height:365" type="#_x0000_t202" filled="false" stroked="false">
              <v:textbox inset="0,0,0,0">
                <w:txbxContent>
                  <w:p>
                    <w:pPr>
                      <w:spacing w:line="235" w:lineRule="auto" w:before="2"/>
                      <w:ind w:left="0" w:right="0" w:firstLine="124"/>
                      <w:jc w:val="left"/>
                      <w:rPr>
                        <w:rFonts w:ascii="Helvetica"/>
                        <w:sz w:val="16"/>
                      </w:rPr>
                    </w:pPr>
                    <w:r>
                      <w:rPr>
                        <w:rFonts w:ascii="Helvetica"/>
                        <w:color w:val="231F20"/>
                        <w:sz w:val="16"/>
                      </w:rPr>
                      <w:t>Late distal tubule and collecting tubule</w:t>
                    </w:r>
                  </w:p>
                </w:txbxContent>
              </v:textbox>
              <w10:wrap type="none"/>
            </v:shape>
            <v:shape style="position:absolute;left:7870;top:-2634;width:634;height:365" type="#_x0000_t202" filled="false" stroked="false">
              <v:textbox inset="0,0,0,0">
                <w:txbxContent>
                  <w:p>
                    <w:pPr>
                      <w:spacing w:line="235" w:lineRule="auto" w:before="2"/>
                      <w:ind w:left="146" w:right="1" w:hanging="147"/>
                      <w:jc w:val="left"/>
                      <w:rPr>
                        <w:rFonts w:ascii="Helvetica"/>
                        <w:sz w:val="16"/>
                      </w:rPr>
                    </w:pPr>
                    <w:r>
                      <w:rPr>
                        <w:rFonts w:ascii="Helvetica"/>
                        <w:color w:val="231F20"/>
                        <w:sz w:val="16"/>
                      </w:rPr>
                      <w:t>Principal cells</w:t>
                    </w:r>
                  </w:p>
                </w:txbxContent>
              </v:textbox>
              <w10:wrap type="none"/>
            </v:shape>
            <v:shape style="position:absolute;left:9397;top:-2605;width:611;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Na</w:t>
                    </w:r>
                    <w:r>
                      <w:rPr>
                        <w:rFonts w:ascii="Helvetica" w:hAnsi="Helvetica"/>
                        <w:b/>
                        <w:color w:val="231F20"/>
                        <w:position w:val="5"/>
                        <w:sz w:val="12"/>
                      </w:rPr>
                      <w:t>+</w:t>
                    </w:r>
                    <w:r>
                      <w:rPr>
                        <w:rFonts w:ascii="Helvetica" w:hAnsi="Helvetica"/>
                        <w:b/>
                        <w:color w:val="231F20"/>
                        <w:sz w:val="16"/>
                      </w:rPr>
                      <w:t>, Cl</w:t>
                    </w:r>
                    <w:r>
                      <w:rPr>
                        <w:rFonts w:ascii="Helvetica" w:hAnsi="Helvetica"/>
                        <w:b/>
                        <w:color w:val="231F20"/>
                        <w:position w:val="5"/>
                        <w:sz w:val="12"/>
                      </w:rPr>
                      <w:t>–</w:t>
                    </w:r>
                  </w:p>
                </w:txbxContent>
              </v:textbox>
              <w10:wrap type="none"/>
            </v:shape>
            <v:shape style="position:absolute;left:9000;top:-1746;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p>
                </w:txbxContent>
              </v:textbox>
              <w10:wrap type="none"/>
            </v:shape>
            <v:shape style="position:absolute;left:9620;top:-1841;width:918;height:232" type="#_x0000_t202" filled="false" stroked="false">
              <v:textbox inset="0,0,0,0">
                <w:txbxContent>
                  <w:p>
                    <w:pPr>
                      <w:spacing w:before="4"/>
                      <w:ind w:left="0" w:right="0" w:firstLine="0"/>
                      <w:jc w:val="left"/>
                      <w:rPr>
                        <w:rFonts w:ascii="Helvetica"/>
                        <w:b/>
                        <w:sz w:val="16"/>
                      </w:rPr>
                    </w:pPr>
                    <w:r>
                      <w:rPr>
                        <w:rFonts w:ascii="Helvetica"/>
                        <w:b/>
                        <w:color w:val="231F20"/>
                        <w:sz w:val="16"/>
                      </w:rPr>
                      <w:t>(</w:t>
                    </w:r>
                    <w:r>
                      <w:rPr>
                        <w:rFonts w:ascii="Helvetica"/>
                        <w:b/>
                        <w:color w:val="231F20"/>
                        <w:position w:val="2"/>
                        <w:sz w:val="16"/>
                      </w:rPr>
                      <w:t>+</w:t>
                    </w:r>
                    <w:r>
                      <w:rPr>
                        <w:rFonts w:ascii="Helvetica"/>
                        <w:b/>
                        <w:color w:val="231F20"/>
                        <w:sz w:val="16"/>
                      </w:rPr>
                      <w:t>ADH) H</w:t>
                    </w:r>
                    <w:r>
                      <w:rPr>
                        <w:rFonts w:ascii="Helvetica"/>
                        <w:b/>
                        <w:color w:val="231F20"/>
                        <w:sz w:val="16"/>
                        <w:vertAlign w:val="subscript"/>
                      </w:rPr>
                      <w:t>2</w:t>
                    </w:r>
                    <w:r>
                      <w:rPr>
                        <w:rFonts w:ascii="Helvetica"/>
                        <w:b/>
                        <w:color w:val="231F20"/>
                        <w:sz w:val="16"/>
                        <w:vertAlign w:val="baseline"/>
                      </w:rPr>
                      <w:t>O</w:t>
                    </w:r>
                  </w:p>
                </w:txbxContent>
              </v:textbox>
              <w10:wrap type="none"/>
            </v:shape>
            <v:shape style="position:absolute;left:8882;top:-1371;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7389;top:-455;width:1212;height:365" type="#_x0000_t202" filled="false" stroked="false">
              <v:textbox inset="0,0,0,0">
                <w:txbxContent>
                  <w:p>
                    <w:pPr>
                      <w:spacing w:line="235" w:lineRule="auto" w:before="2"/>
                      <w:ind w:left="0" w:right="0" w:firstLine="342"/>
                      <w:jc w:val="left"/>
                      <w:rPr>
                        <w:rFonts w:ascii="Helvetica"/>
                        <w:sz w:val="16"/>
                      </w:rPr>
                    </w:pPr>
                    <w:r>
                      <w:rPr>
                        <w:rFonts w:ascii="Helvetica"/>
                        <w:color w:val="231F20"/>
                        <w:sz w:val="16"/>
                      </w:rPr>
                      <w:t>Type A intercalated cells</w:t>
                    </w:r>
                  </w:p>
                </w:txbxContent>
              </v:textbox>
              <w10:wrap type="none"/>
            </v:shape>
            <v:shape style="position:absolute;left:10175;top:-569;width:509;height:21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HCO </w:t>
                    </w:r>
                    <w:r>
                      <w:rPr>
                        <w:rFonts w:ascii="Helvetica" w:hAnsi="Helvetica"/>
                        <w:b/>
                        <w:color w:val="231F20"/>
                        <w:position w:val="6"/>
                        <w:sz w:val="12"/>
                      </w:rPr>
                      <w:t>–</w:t>
                    </w:r>
                  </w:p>
                </w:txbxContent>
              </v:textbox>
              <w10:wrap type="none"/>
            </v:shape>
            <v:shape style="position:absolute;left:10531;top:-479;width:87;height:143" type="#_x0000_t202" filled="false" stroked="false">
              <v:textbox inset="0,0,0,0">
                <w:txbxContent>
                  <w:p>
                    <w:pPr>
                      <w:spacing w:before="3"/>
                      <w:ind w:left="0" w:right="0" w:firstLine="0"/>
                      <w:jc w:val="left"/>
                      <w:rPr>
                        <w:rFonts w:ascii="Helvetica"/>
                        <w:b/>
                        <w:sz w:val="12"/>
                      </w:rPr>
                    </w:pPr>
                    <w:r>
                      <w:rPr>
                        <w:rFonts w:ascii="Helvetica"/>
                        <w:b/>
                        <w:color w:val="231F20"/>
                        <w:w w:val="99"/>
                        <w:sz w:val="12"/>
                      </w:rPr>
                      <w:t>3</w:t>
                    </w:r>
                  </w:p>
                </w:txbxContent>
              </v:textbox>
              <w10:wrap type="none"/>
            </v:shape>
            <v:shape style="position:absolute;left:9816;top:-293;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p>
                </w:txbxContent>
              </v:textbox>
              <w10:wrap type="none"/>
            </v:shape>
            <w10:wrap type="none"/>
          </v:group>
        </w:pict>
      </w:r>
      <w:bookmarkStart w:name="_bookmark50" w:id="51"/>
      <w:bookmarkEnd w:id="51"/>
      <w:r>
        <w:rPr/>
      </w:r>
      <w:r>
        <w:rPr>
          <w:rFonts w:ascii="Trebuchet MS" w:hAnsi="Trebuchet MS"/>
          <w:b/>
          <w:color w:val="231F20"/>
          <w:sz w:val="16"/>
        </w:rPr>
        <w:t>Figure</w:t>
      </w:r>
      <w:r>
        <w:rPr>
          <w:rFonts w:ascii="Trebuchet MS" w:hAnsi="Trebuchet MS"/>
          <w:b/>
          <w:color w:val="231F20"/>
          <w:spacing w:val="-25"/>
          <w:sz w:val="16"/>
        </w:rPr>
        <w:t> </w:t>
      </w:r>
      <w:r>
        <w:rPr>
          <w:rFonts w:ascii="Trebuchet MS" w:hAnsi="Trebuchet MS"/>
          <w:b/>
          <w:color w:val="231F20"/>
          <w:sz w:val="16"/>
        </w:rPr>
        <w:t>28­11.</w:t>
      </w:r>
      <w:r>
        <w:rPr>
          <w:rFonts w:ascii="Trebuchet MS" w:hAnsi="Trebuchet MS"/>
          <w:b/>
          <w:color w:val="231F20"/>
          <w:spacing w:val="-6"/>
          <w:sz w:val="16"/>
        </w:rPr>
        <w:t> </w:t>
      </w:r>
      <w:r>
        <w:rPr>
          <w:rFonts w:ascii="Arial" w:hAnsi="Arial"/>
          <w:color w:val="231F20"/>
          <w:sz w:val="16"/>
        </w:rPr>
        <w:t>Cellular</w:t>
      </w:r>
      <w:r>
        <w:rPr>
          <w:rFonts w:ascii="Arial" w:hAnsi="Arial"/>
          <w:color w:val="231F20"/>
          <w:spacing w:val="-21"/>
          <w:sz w:val="16"/>
        </w:rPr>
        <w:t> </w:t>
      </w:r>
      <w:r>
        <w:rPr>
          <w:rFonts w:ascii="Arial" w:hAnsi="Arial"/>
          <w:color w:val="231F20"/>
          <w:sz w:val="16"/>
        </w:rPr>
        <w:t>ultrastructure</w:t>
      </w:r>
      <w:r>
        <w:rPr>
          <w:rFonts w:ascii="Arial" w:hAnsi="Arial"/>
          <w:color w:val="231F20"/>
          <w:spacing w:val="-20"/>
          <w:sz w:val="16"/>
        </w:rPr>
        <w:t> </w:t>
      </w:r>
      <w:r>
        <w:rPr>
          <w:rFonts w:ascii="Arial" w:hAnsi="Arial"/>
          <w:color w:val="231F20"/>
          <w:sz w:val="16"/>
        </w:rPr>
        <w:t>and</w:t>
      </w:r>
      <w:r>
        <w:rPr>
          <w:rFonts w:ascii="Arial" w:hAnsi="Arial"/>
          <w:color w:val="231F20"/>
          <w:spacing w:val="-21"/>
          <w:sz w:val="16"/>
        </w:rPr>
        <w:t> </w:t>
      </w:r>
      <w:r>
        <w:rPr>
          <w:rFonts w:ascii="Arial" w:hAnsi="Arial"/>
          <w:color w:val="231F20"/>
          <w:sz w:val="16"/>
        </w:rPr>
        <w:t>transport</w:t>
      </w:r>
      <w:r>
        <w:rPr>
          <w:rFonts w:ascii="Arial" w:hAnsi="Arial"/>
          <w:color w:val="231F20"/>
          <w:spacing w:val="-20"/>
          <w:sz w:val="16"/>
        </w:rPr>
        <w:t> </w:t>
      </w:r>
      <w:r>
        <w:rPr>
          <w:rFonts w:ascii="Arial" w:hAnsi="Arial"/>
          <w:color w:val="231F20"/>
          <w:sz w:val="16"/>
        </w:rPr>
        <w:t>characteristics</w:t>
      </w:r>
      <w:r>
        <w:rPr>
          <w:rFonts w:ascii="Arial" w:hAnsi="Arial"/>
          <w:color w:val="231F20"/>
          <w:spacing w:val="-21"/>
          <w:sz w:val="16"/>
        </w:rPr>
        <w:t> </w:t>
      </w:r>
      <w:r>
        <w:rPr>
          <w:rFonts w:ascii="Arial" w:hAnsi="Arial"/>
          <w:color w:val="231F20"/>
          <w:spacing w:val="-6"/>
          <w:sz w:val="16"/>
        </w:rPr>
        <w:t>of </w:t>
      </w:r>
      <w:r>
        <w:rPr>
          <w:rFonts w:ascii="Arial" w:hAnsi="Arial"/>
          <w:color w:val="231F20"/>
          <w:sz w:val="16"/>
        </w:rPr>
        <w:t>the</w:t>
      </w:r>
      <w:r>
        <w:rPr>
          <w:rFonts w:ascii="Arial" w:hAnsi="Arial"/>
          <w:color w:val="231F20"/>
          <w:spacing w:val="-16"/>
          <w:sz w:val="16"/>
        </w:rPr>
        <w:t> </w:t>
      </w:r>
      <w:r>
        <w:rPr>
          <w:rFonts w:ascii="Arial" w:hAnsi="Arial"/>
          <w:color w:val="231F20"/>
          <w:sz w:val="16"/>
        </w:rPr>
        <w:t>early</w:t>
      </w:r>
      <w:r>
        <w:rPr>
          <w:rFonts w:ascii="Arial" w:hAnsi="Arial"/>
          <w:color w:val="231F20"/>
          <w:spacing w:val="-15"/>
          <w:sz w:val="16"/>
        </w:rPr>
        <w:t> </w:t>
      </w:r>
      <w:r>
        <w:rPr>
          <w:rFonts w:ascii="Arial" w:hAnsi="Arial"/>
          <w:color w:val="231F20"/>
          <w:sz w:val="16"/>
        </w:rPr>
        <w:t>distal</w:t>
      </w:r>
      <w:r>
        <w:rPr>
          <w:rFonts w:ascii="Arial" w:hAnsi="Arial"/>
          <w:color w:val="231F20"/>
          <w:spacing w:val="-16"/>
          <w:sz w:val="16"/>
        </w:rPr>
        <w:t> </w:t>
      </w:r>
      <w:r>
        <w:rPr>
          <w:rFonts w:ascii="Arial" w:hAnsi="Arial"/>
          <w:color w:val="231F20"/>
          <w:sz w:val="16"/>
        </w:rPr>
        <w:t>tubule</w:t>
      </w:r>
      <w:r>
        <w:rPr>
          <w:rFonts w:ascii="Arial" w:hAnsi="Arial"/>
          <w:color w:val="231F20"/>
          <w:spacing w:val="-15"/>
          <w:sz w:val="16"/>
        </w:rPr>
        <w:t> </w:t>
      </w:r>
      <w:r>
        <w:rPr>
          <w:rFonts w:ascii="Arial" w:hAnsi="Arial"/>
          <w:color w:val="231F20"/>
          <w:sz w:val="16"/>
        </w:rPr>
        <w:t>and</w:t>
      </w:r>
      <w:r>
        <w:rPr>
          <w:rFonts w:ascii="Arial" w:hAnsi="Arial"/>
          <w:color w:val="231F20"/>
          <w:spacing w:val="-16"/>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late</w:t>
      </w:r>
      <w:r>
        <w:rPr>
          <w:rFonts w:ascii="Arial" w:hAnsi="Arial"/>
          <w:color w:val="231F20"/>
          <w:spacing w:val="-16"/>
          <w:sz w:val="16"/>
        </w:rPr>
        <w:t> </w:t>
      </w:r>
      <w:r>
        <w:rPr>
          <w:rFonts w:ascii="Arial" w:hAnsi="Arial"/>
          <w:color w:val="231F20"/>
          <w:sz w:val="16"/>
        </w:rPr>
        <w:t>distal</w:t>
      </w:r>
      <w:r>
        <w:rPr>
          <w:rFonts w:ascii="Arial" w:hAnsi="Arial"/>
          <w:color w:val="231F20"/>
          <w:spacing w:val="-15"/>
          <w:sz w:val="16"/>
        </w:rPr>
        <w:t> </w:t>
      </w:r>
      <w:r>
        <w:rPr>
          <w:rFonts w:ascii="Arial" w:hAnsi="Arial"/>
          <w:color w:val="231F20"/>
          <w:sz w:val="16"/>
        </w:rPr>
        <w:t>tubule</w:t>
      </w:r>
      <w:r>
        <w:rPr>
          <w:rFonts w:ascii="Arial" w:hAnsi="Arial"/>
          <w:color w:val="231F20"/>
          <w:spacing w:val="-16"/>
          <w:sz w:val="16"/>
        </w:rPr>
        <w:t> </w:t>
      </w:r>
      <w:r>
        <w:rPr>
          <w:rFonts w:ascii="Arial" w:hAnsi="Arial"/>
          <w:color w:val="231F20"/>
          <w:sz w:val="16"/>
        </w:rPr>
        <w:t>and</w:t>
      </w:r>
      <w:r>
        <w:rPr>
          <w:rFonts w:ascii="Arial" w:hAnsi="Arial"/>
          <w:color w:val="231F20"/>
          <w:spacing w:val="-15"/>
          <w:sz w:val="16"/>
        </w:rPr>
        <w:t> </w:t>
      </w:r>
      <w:r>
        <w:rPr>
          <w:rFonts w:ascii="Arial" w:hAnsi="Arial"/>
          <w:color w:val="231F20"/>
          <w:sz w:val="16"/>
        </w:rPr>
        <w:t>collecting</w:t>
      </w:r>
      <w:r>
        <w:rPr>
          <w:rFonts w:ascii="Arial" w:hAnsi="Arial"/>
          <w:color w:val="231F20"/>
          <w:spacing w:val="-16"/>
          <w:sz w:val="16"/>
        </w:rPr>
        <w:t> </w:t>
      </w:r>
      <w:r>
        <w:rPr>
          <w:rFonts w:ascii="Arial" w:hAnsi="Arial"/>
          <w:color w:val="231F20"/>
          <w:sz w:val="16"/>
        </w:rPr>
        <w:t>tubule. The</w:t>
      </w:r>
      <w:r>
        <w:rPr>
          <w:rFonts w:ascii="Arial" w:hAnsi="Arial"/>
          <w:color w:val="231F20"/>
          <w:spacing w:val="-5"/>
          <w:sz w:val="16"/>
        </w:rPr>
        <w:t> </w:t>
      </w:r>
      <w:r>
        <w:rPr>
          <w:rFonts w:ascii="Arial" w:hAnsi="Arial"/>
          <w:color w:val="231F20"/>
          <w:sz w:val="16"/>
        </w:rPr>
        <w:t>early</w:t>
      </w:r>
      <w:r>
        <w:rPr>
          <w:rFonts w:ascii="Arial" w:hAnsi="Arial"/>
          <w:color w:val="231F20"/>
          <w:spacing w:val="-4"/>
          <w:sz w:val="16"/>
        </w:rPr>
        <w:t> </w:t>
      </w:r>
      <w:r>
        <w:rPr>
          <w:rFonts w:ascii="Arial" w:hAnsi="Arial"/>
          <w:color w:val="231F20"/>
          <w:sz w:val="16"/>
        </w:rPr>
        <w:t>distal</w:t>
      </w:r>
      <w:r>
        <w:rPr>
          <w:rFonts w:ascii="Arial" w:hAnsi="Arial"/>
          <w:color w:val="231F20"/>
          <w:spacing w:val="-4"/>
          <w:sz w:val="16"/>
        </w:rPr>
        <w:t> </w:t>
      </w:r>
      <w:r>
        <w:rPr>
          <w:rFonts w:ascii="Arial" w:hAnsi="Arial"/>
          <w:color w:val="231F20"/>
          <w:sz w:val="16"/>
        </w:rPr>
        <w:t>tubule</w:t>
      </w:r>
      <w:r>
        <w:rPr>
          <w:rFonts w:ascii="Arial" w:hAnsi="Arial"/>
          <w:color w:val="231F20"/>
          <w:spacing w:val="-4"/>
          <w:sz w:val="16"/>
        </w:rPr>
        <w:t> </w:t>
      </w:r>
      <w:r>
        <w:rPr>
          <w:rFonts w:ascii="Arial" w:hAnsi="Arial"/>
          <w:color w:val="231F20"/>
          <w:sz w:val="16"/>
        </w:rPr>
        <w:t>has</w:t>
      </w:r>
      <w:r>
        <w:rPr>
          <w:rFonts w:ascii="Arial" w:hAnsi="Arial"/>
          <w:color w:val="231F20"/>
          <w:spacing w:val="-4"/>
          <w:sz w:val="16"/>
        </w:rPr>
        <w:t> </w:t>
      </w:r>
      <w:r>
        <w:rPr>
          <w:rFonts w:ascii="Arial" w:hAnsi="Arial"/>
          <w:color w:val="231F20"/>
          <w:sz w:val="16"/>
        </w:rPr>
        <w:t>many</w:t>
      </w:r>
      <w:r>
        <w:rPr>
          <w:rFonts w:ascii="Arial" w:hAnsi="Arial"/>
          <w:color w:val="231F20"/>
          <w:spacing w:val="-5"/>
          <w:sz w:val="16"/>
        </w:rPr>
        <w:t> </w:t>
      </w:r>
      <w:r>
        <w:rPr>
          <w:rFonts w:ascii="Arial" w:hAnsi="Arial"/>
          <w:color w:val="231F20"/>
          <w:sz w:val="16"/>
        </w:rPr>
        <w:t>of</w:t>
      </w:r>
      <w:r>
        <w:rPr>
          <w:rFonts w:ascii="Arial" w:hAnsi="Arial"/>
          <w:color w:val="231F20"/>
          <w:spacing w:val="-4"/>
          <w:sz w:val="16"/>
        </w:rPr>
        <w:t> </w:t>
      </w:r>
      <w:r>
        <w:rPr>
          <w:rFonts w:ascii="Arial" w:hAnsi="Arial"/>
          <w:color w:val="231F20"/>
          <w:sz w:val="16"/>
        </w:rPr>
        <w:t>the</w:t>
      </w:r>
      <w:r>
        <w:rPr>
          <w:rFonts w:ascii="Arial" w:hAnsi="Arial"/>
          <w:color w:val="231F20"/>
          <w:spacing w:val="-4"/>
          <w:sz w:val="16"/>
        </w:rPr>
        <w:t> </w:t>
      </w:r>
      <w:r>
        <w:rPr>
          <w:rFonts w:ascii="Arial" w:hAnsi="Arial"/>
          <w:color w:val="231F20"/>
          <w:sz w:val="16"/>
        </w:rPr>
        <w:t>same</w:t>
      </w:r>
      <w:r>
        <w:rPr>
          <w:rFonts w:ascii="Arial" w:hAnsi="Arial"/>
          <w:color w:val="231F20"/>
          <w:spacing w:val="-4"/>
          <w:sz w:val="16"/>
        </w:rPr>
        <w:t> </w:t>
      </w:r>
      <w:r>
        <w:rPr>
          <w:rFonts w:ascii="Arial" w:hAnsi="Arial"/>
          <w:color w:val="231F20"/>
          <w:sz w:val="16"/>
        </w:rPr>
        <w:t>characteristics</w:t>
      </w:r>
      <w:r>
        <w:rPr>
          <w:rFonts w:ascii="Arial" w:hAnsi="Arial"/>
          <w:color w:val="231F20"/>
          <w:spacing w:val="-4"/>
          <w:sz w:val="16"/>
        </w:rPr>
        <w:t> </w:t>
      </w:r>
      <w:r>
        <w:rPr>
          <w:rFonts w:ascii="Arial" w:hAnsi="Arial"/>
          <w:color w:val="231F20"/>
          <w:sz w:val="16"/>
        </w:rPr>
        <w:t>as</w:t>
      </w:r>
      <w:r>
        <w:rPr>
          <w:rFonts w:ascii="Arial" w:hAnsi="Arial"/>
          <w:color w:val="231F20"/>
          <w:spacing w:val="-5"/>
          <w:sz w:val="16"/>
        </w:rPr>
        <w:t> the </w:t>
      </w:r>
      <w:r>
        <w:rPr>
          <w:rFonts w:ascii="Arial" w:hAnsi="Arial"/>
          <w:color w:val="231F20"/>
          <w:sz w:val="16"/>
        </w:rPr>
        <w:t>thick ascending loop of Henle and reabsorbs sodium, chloride, calcium, and magnesium but is virtually impermeable to water </w:t>
      </w:r>
      <w:r>
        <w:rPr>
          <w:rFonts w:ascii="Arial" w:hAnsi="Arial"/>
          <w:color w:val="231F20"/>
          <w:spacing w:val="-5"/>
          <w:sz w:val="16"/>
        </w:rPr>
        <w:t>and </w:t>
      </w:r>
      <w:r>
        <w:rPr>
          <w:rFonts w:ascii="Arial" w:hAnsi="Arial"/>
          <w:color w:val="231F20"/>
          <w:sz w:val="16"/>
        </w:rPr>
        <w:t>urea.</w:t>
      </w:r>
      <w:r>
        <w:rPr>
          <w:rFonts w:ascii="Arial" w:hAnsi="Arial"/>
          <w:color w:val="231F20"/>
          <w:spacing w:val="-11"/>
          <w:sz w:val="16"/>
        </w:rPr>
        <w:t> </w:t>
      </w:r>
      <w:r>
        <w:rPr>
          <w:rFonts w:ascii="Arial" w:hAnsi="Arial"/>
          <w:color w:val="231F20"/>
          <w:sz w:val="16"/>
        </w:rPr>
        <w:t>The</w:t>
      </w:r>
      <w:r>
        <w:rPr>
          <w:rFonts w:ascii="Arial" w:hAnsi="Arial"/>
          <w:color w:val="231F20"/>
          <w:spacing w:val="-10"/>
          <w:sz w:val="16"/>
        </w:rPr>
        <w:t> </w:t>
      </w:r>
      <w:r>
        <w:rPr>
          <w:rFonts w:ascii="Arial" w:hAnsi="Arial"/>
          <w:color w:val="231F20"/>
          <w:sz w:val="16"/>
        </w:rPr>
        <w:t>late</w:t>
      </w:r>
      <w:r>
        <w:rPr>
          <w:rFonts w:ascii="Arial" w:hAnsi="Arial"/>
          <w:color w:val="231F20"/>
          <w:spacing w:val="-10"/>
          <w:sz w:val="16"/>
        </w:rPr>
        <w:t> </w:t>
      </w:r>
      <w:r>
        <w:rPr>
          <w:rFonts w:ascii="Arial" w:hAnsi="Arial"/>
          <w:color w:val="231F20"/>
          <w:sz w:val="16"/>
        </w:rPr>
        <w:t>distal</w:t>
      </w:r>
      <w:r>
        <w:rPr>
          <w:rFonts w:ascii="Arial" w:hAnsi="Arial"/>
          <w:color w:val="231F20"/>
          <w:spacing w:val="-10"/>
          <w:sz w:val="16"/>
        </w:rPr>
        <w:t> </w:t>
      </w:r>
      <w:r>
        <w:rPr>
          <w:rFonts w:ascii="Arial" w:hAnsi="Arial"/>
          <w:color w:val="231F20"/>
          <w:sz w:val="16"/>
        </w:rPr>
        <w:t>tubules</w:t>
      </w:r>
      <w:r>
        <w:rPr>
          <w:rFonts w:ascii="Arial" w:hAnsi="Arial"/>
          <w:color w:val="231F20"/>
          <w:spacing w:val="-10"/>
          <w:sz w:val="16"/>
        </w:rPr>
        <w:t> </w:t>
      </w:r>
      <w:r>
        <w:rPr>
          <w:rFonts w:ascii="Arial" w:hAnsi="Arial"/>
          <w:color w:val="231F20"/>
          <w:sz w:val="16"/>
        </w:rPr>
        <w:t>and</w:t>
      </w:r>
      <w:r>
        <w:rPr>
          <w:rFonts w:ascii="Arial" w:hAnsi="Arial"/>
          <w:color w:val="231F20"/>
          <w:spacing w:val="-10"/>
          <w:sz w:val="16"/>
        </w:rPr>
        <w:t> </w:t>
      </w:r>
      <w:r>
        <w:rPr>
          <w:rFonts w:ascii="Arial" w:hAnsi="Arial"/>
          <w:color w:val="231F20"/>
          <w:sz w:val="16"/>
        </w:rPr>
        <w:t>cortical</w:t>
      </w:r>
      <w:r>
        <w:rPr>
          <w:rFonts w:ascii="Arial" w:hAnsi="Arial"/>
          <w:color w:val="231F20"/>
          <w:spacing w:val="-11"/>
          <w:sz w:val="16"/>
        </w:rPr>
        <w:t> </w:t>
      </w:r>
      <w:r>
        <w:rPr>
          <w:rFonts w:ascii="Arial" w:hAnsi="Arial"/>
          <w:color w:val="231F20"/>
          <w:sz w:val="16"/>
        </w:rPr>
        <w:t>collecting</w:t>
      </w:r>
      <w:r>
        <w:rPr>
          <w:rFonts w:ascii="Arial" w:hAnsi="Arial"/>
          <w:color w:val="231F20"/>
          <w:spacing w:val="-10"/>
          <w:sz w:val="16"/>
        </w:rPr>
        <w:t> </w:t>
      </w:r>
      <w:r>
        <w:rPr>
          <w:rFonts w:ascii="Arial" w:hAnsi="Arial"/>
          <w:color w:val="231F20"/>
          <w:sz w:val="16"/>
        </w:rPr>
        <w:t>tubules</w:t>
      </w:r>
      <w:r>
        <w:rPr>
          <w:rFonts w:ascii="Arial" w:hAnsi="Arial"/>
          <w:color w:val="231F20"/>
          <w:spacing w:val="-10"/>
          <w:sz w:val="16"/>
        </w:rPr>
        <w:t> </w:t>
      </w:r>
      <w:r>
        <w:rPr>
          <w:rFonts w:ascii="Arial" w:hAnsi="Arial"/>
          <w:color w:val="231F20"/>
          <w:sz w:val="16"/>
        </w:rPr>
        <w:t>are</w:t>
      </w:r>
      <w:r>
        <w:rPr>
          <w:rFonts w:ascii="Arial" w:hAnsi="Arial"/>
          <w:color w:val="231F20"/>
          <w:spacing w:val="-10"/>
          <w:sz w:val="16"/>
        </w:rPr>
        <w:t> </w:t>
      </w:r>
      <w:r>
        <w:rPr>
          <w:rFonts w:ascii="Arial" w:hAnsi="Arial"/>
          <w:color w:val="231F20"/>
          <w:sz w:val="16"/>
        </w:rPr>
        <w:t>com- posed</w:t>
      </w:r>
      <w:r>
        <w:rPr>
          <w:rFonts w:ascii="Arial" w:hAnsi="Arial"/>
          <w:color w:val="231F20"/>
          <w:spacing w:val="-12"/>
          <w:sz w:val="16"/>
        </w:rPr>
        <w:t> </w:t>
      </w:r>
      <w:r>
        <w:rPr>
          <w:rFonts w:ascii="Arial" w:hAnsi="Arial"/>
          <w:color w:val="231F20"/>
          <w:sz w:val="16"/>
        </w:rPr>
        <w:t>of</w:t>
      </w:r>
      <w:r>
        <w:rPr>
          <w:rFonts w:ascii="Arial" w:hAnsi="Arial"/>
          <w:color w:val="231F20"/>
          <w:spacing w:val="-12"/>
          <w:sz w:val="16"/>
        </w:rPr>
        <w:t> </w:t>
      </w:r>
      <w:r>
        <w:rPr>
          <w:rFonts w:ascii="Arial" w:hAnsi="Arial"/>
          <w:color w:val="231F20"/>
          <w:sz w:val="16"/>
        </w:rPr>
        <w:t>two</w:t>
      </w:r>
      <w:r>
        <w:rPr>
          <w:rFonts w:ascii="Arial" w:hAnsi="Arial"/>
          <w:color w:val="231F20"/>
          <w:spacing w:val="-12"/>
          <w:sz w:val="16"/>
        </w:rPr>
        <w:t> </w:t>
      </w:r>
      <w:r>
        <w:rPr>
          <w:rFonts w:ascii="Arial" w:hAnsi="Arial"/>
          <w:color w:val="231F20"/>
          <w:sz w:val="16"/>
        </w:rPr>
        <w:t>distinct</w:t>
      </w:r>
      <w:r>
        <w:rPr>
          <w:rFonts w:ascii="Arial" w:hAnsi="Arial"/>
          <w:color w:val="231F20"/>
          <w:spacing w:val="-12"/>
          <w:sz w:val="16"/>
        </w:rPr>
        <w:t> </w:t>
      </w:r>
      <w:r>
        <w:rPr>
          <w:rFonts w:ascii="Arial" w:hAnsi="Arial"/>
          <w:color w:val="231F20"/>
          <w:sz w:val="16"/>
        </w:rPr>
        <w:t>cell</w:t>
      </w:r>
      <w:r>
        <w:rPr>
          <w:rFonts w:ascii="Arial" w:hAnsi="Arial"/>
          <w:color w:val="231F20"/>
          <w:spacing w:val="-12"/>
          <w:sz w:val="16"/>
        </w:rPr>
        <w:t> </w:t>
      </w:r>
      <w:r>
        <w:rPr>
          <w:rFonts w:ascii="Arial" w:hAnsi="Arial"/>
          <w:color w:val="231F20"/>
          <w:sz w:val="16"/>
        </w:rPr>
        <w:t>types,</w:t>
      </w:r>
      <w:r>
        <w:rPr>
          <w:rFonts w:ascii="Arial" w:hAnsi="Arial"/>
          <w:color w:val="231F20"/>
          <w:spacing w:val="-12"/>
          <w:sz w:val="16"/>
        </w:rPr>
        <w:t> </w:t>
      </w:r>
      <w:r>
        <w:rPr>
          <w:rFonts w:ascii="Arial" w:hAnsi="Arial"/>
          <w:color w:val="231F20"/>
          <w:sz w:val="16"/>
        </w:rPr>
        <w:t>the</w:t>
      </w:r>
      <w:r>
        <w:rPr>
          <w:rFonts w:ascii="Arial" w:hAnsi="Arial"/>
          <w:color w:val="231F20"/>
          <w:spacing w:val="-12"/>
          <w:sz w:val="16"/>
        </w:rPr>
        <w:t> </w:t>
      </w:r>
      <w:r>
        <w:rPr>
          <w:rFonts w:ascii="Lucida Sans" w:hAnsi="Lucida Sans"/>
          <w:i/>
          <w:color w:val="231F20"/>
          <w:sz w:val="16"/>
        </w:rPr>
        <w:t>principal</w:t>
      </w:r>
      <w:r>
        <w:rPr>
          <w:rFonts w:ascii="Lucida Sans" w:hAnsi="Lucida Sans"/>
          <w:i/>
          <w:color w:val="231F20"/>
          <w:spacing w:val="-18"/>
          <w:sz w:val="16"/>
        </w:rPr>
        <w:t> </w:t>
      </w:r>
      <w:r>
        <w:rPr>
          <w:rFonts w:ascii="Lucida Sans" w:hAnsi="Lucida Sans"/>
          <w:i/>
          <w:color w:val="231F20"/>
          <w:sz w:val="16"/>
        </w:rPr>
        <w:t>cells</w:t>
      </w:r>
      <w:r>
        <w:rPr>
          <w:rFonts w:ascii="Lucida Sans" w:hAnsi="Lucida Sans"/>
          <w:i/>
          <w:color w:val="231F20"/>
          <w:spacing w:val="-18"/>
          <w:sz w:val="16"/>
        </w:rPr>
        <w:t> </w:t>
      </w:r>
      <w:r>
        <w:rPr>
          <w:rFonts w:ascii="Arial" w:hAnsi="Arial"/>
          <w:color w:val="231F20"/>
          <w:sz w:val="16"/>
        </w:rPr>
        <w:t>and</w:t>
      </w:r>
      <w:r>
        <w:rPr>
          <w:rFonts w:ascii="Arial" w:hAnsi="Arial"/>
          <w:color w:val="231F20"/>
          <w:spacing w:val="-12"/>
          <w:sz w:val="16"/>
        </w:rPr>
        <w:t> </w:t>
      </w:r>
      <w:r>
        <w:rPr>
          <w:rFonts w:ascii="Arial" w:hAnsi="Arial"/>
          <w:color w:val="231F20"/>
          <w:sz w:val="16"/>
        </w:rPr>
        <w:t>the</w:t>
      </w:r>
      <w:r>
        <w:rPr>
          <w:rFonts w:ascii="Arial" w:hAnsi="Arial"/>
          <w:color w:val="231F20"/>
          <w:spacing w:val="-11"/>
          <w:sz w:val="16"/>
        </w:rPr>
        <w:t> </w:t>
      </w:r>
      <w:r>
        <w:rPr>
          <w:rFonts w:ascii="Lucida Sans" w:hAnsi="Lucida Sans"/>
          <w:i/>
          <w:color w:val="231F20"/>
          <w:sz w:val="16"/>
        </w:rPr>
        <w:t>interca- </w:t>
      </w:r>
      <w:r>
        <w:rPr>
          <w:rFonts w:ascii="Lucida Sans" w:hAnsi="Lucida Sans"/>
          <w:i/>
          <w:color w:val="231F20"/>
          <w:sz w:val="16"/>
        </w:rPr>
        <w:t>lated</w:t>
      </w:r>
      <w:r>
        <w:rPr>
          <w:rFonts w:ascii="Lucida Sans" w:hAnsi="Lucida Sans"/>
          <w:i/>
          <w:color w:val="231F20"/>
          <w:spacing w:val="-18"/>
          <w:sz w:val="16"/>
        </w:rPr>
        <w:t> </w:t>
      </w:r>
      <w:r>
        <w:rPr>
          <w:rFonts w:ascii="Lucida Sans" w:hAnsi="Lucida Sans"/>
          <w:i/>
          <w:color w:val="231F20"/>
          <w:sz w:val="16"/>
        </w:rPr>
        <w:t>cells</w:t>
      </w:r>
      <w:r>
        <w:rPr>
          <w:rFonts w:ascii="Arial" w:hAnsi="Arial"/>
          <w:color w:val="231F20"/>
          <w:sz w:val="16"/>
        </w:rPr>
        <w:t>.</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principal</w:t>
      </w:r>
      <w:r>
        <w:rPr>
          <w:rFonts w:ascii="Arial" w:hAnsi="Arial"/>
          <w:color w:val="231F20"/>
          <w:spacing w:val="-12"/>
          <w:sz w:val="16"/>
        </w:rPr>
        <w:t> </w:t>
      </w:r>
      <w:r>
        <w:rPr>
          <w:rFonts w:ascii="Arial" w:hAnsi="Arial"/>
          <w:color w:val="231F20"/>
          <w:sz w:val="16"/>
        </w:rPr>
        <w:t>cells</w:t>
      </w:r>
      <w:r>
        <w:rPr>
          <w:rFonts w:ascii="Arial" w:hAnsi="Arial"/>
          <w:color w:val="231F20"/>
          <w:spacing w:val="-11"/>
          <w:sz w:val="16"/>
        </w:rPr>
        <w:t> </w:t>
      </w:r>
      <w:r>
        <w:rPr>
          <w:rFonts w:ascii="Arial" w:hAnsi="Arial"/>
          <w:color w:val="231F20"/>
          <w:sz w:val="16"/>
        </w:rPr>
        <w:t>reabsorb</w:t>
      </w:r>
      <w:r>
        <w:rPr>
          <w:rFonts w:ascii="Arial" w:hAnsi="Arial"/>
          <w:color w:val="231F20"/>
          <w:spacing w:val="-11"/>
          <w:sz w:val="16"/>
        </w:rPr>
        <w:t> </w:t>
      </w:r>
      <w:r>
        <w:rPr>
          <w:rFonts w:ascii="Arial" w:hAnsi="Arial"/>
          <w:color w:val="231F20"/>
          <w:sz w:val="16"/>
        </w:rPr>
        <w:t>sodium</w:t>
      </w:r>
      <w:r>
        <w:rPr>
          <w:rFonts w:ascii="Arial" w:hAnsi="Arial"/>
          <w:color w:val="231F20"/>
          <w:spacing w:val="-11"/>
          <w:sz w:val="16"/>
        </w:rPr>
        <w:t> </w:t>
      </w:r>
      <w:r>
        <w:rPr>
          <w:rFonts w:ascii="Arial" w:hAnsi="Arial"/>
          <w:color w:val="231F20"/>
          <w:sz w:val="16"/>
        </w:rPr>
        <w:t>from</w:t>
      </w:r>
      <w:r>
        <w:rPr>
          <w:rFonts w:ascii="Arial" w:hAnsi="Arial"/>
          <w:color w:val="231F20"/>
          <w:spacing w:val="-11"/>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lumen</w:t>
      </w:r>
      <w:r>
        <w:rPr>
          <w:rFonts w:ascii="Arial" w:hAnsi="Arial"/>
          <w:color w:val="231F20"/>
          <w:spacing w:val="-11"/>
          <w:sz w:val="16"/>
        </w:rPr>
        <w:t> </w:t>
      </w:r>
      <w:r>
        <w:rPr>
          <w:rFonts w:ascii="Arial" w:hAnsi="Arial"/>
          <w:color w:val="231F20"/>
          <w:spacing w:val="-4"/>
          <w:sz w:val="16"/>
        </w:rPr>
        <w:t>and </w:t>
      </w:r>
      <w:r>
        <w:rPr>
          <w:rFonts w:ascii="Arial" w:hAnsi="Arial"/>
          <w:color w:val="231F20"/>
          <w:sz w:val="16"/>
        </w:rPr>
        <w:t>secrete potassium ions into the lumen. </w:t>
      </w:r>
      <w:r>
        <w:rPr>
          <w:rFonts w:ascii="Arial" w:hAnsi="Arial"/>
          <w:color w:val="231F20"/>
          <w:spacing w:val="-5"/>
          <w:sz w:val="16"/>
        </w:rPr>
        <w:t>Type </w:t>
      </w:r>
      <w:r>
        <w:rPr>
          <w:rFonts w:ascii="Arial" w:hAnsi="Arial"/>
          <w:color w:val="231F20"/>
          <w:sz w:val="16"/>
        </w:rPr>
        <w:t>A intercalated </w:t>
      </w:r>
      <w:r>
        <w:rPr>
          <w:rFonts w:ascii="Arial" w:hAnsi="Arial"/>
          <w:color w:val="231F20"/>
          <w:spacing w:val="-3"/>
          <w:sz w:val="16"/>
        </w:rPr>
        <w:t>cells </w:t>
      </w:r>
      <w:r>
        <w:rPr>
          <w:rFonts w:ascii="Arial" w:hAnsi="Arial"/>
          <w:color w:val="231F20"/>
          <w:sz w:val="16"/>
        </w:rPr>
        <w:t>reabsorb</w:t>
      </w:r>
      <w:r>
        <w:rPr>
          <w:rFonts w:ascii="Arial" w:hAnsi="Arial"/>
          <w:color w:val="231F20"/>
          <w:spacing w:val="-26"/>
          <w:sz w:val="16"/>
        </w:rPr>
        <w:t> </w:t>
      </w:r>
      <w:r>
        <w:rPr>
          <w:rFonts w:ascii="Arial" w:hAnsi="Arial"/>
          <w:color w:val="231F20"/>
          <w:sz w:val="16"/>
        </w:rPr>
        <w:t>potassium</w:t>
      </w:r>
      <w:r>
        <w:rPr>
          <w:rFonts w:ascii="Arial" w:hAnsi="Arial"/>
          <w:color w:val="231F20"/>
          <w:spacing w:val="-26"/>
          <w:sz w:val="16"/>
        </w:rPr>
        <w:t> </w:t>
      </w:r>
      <w:r>
        <w:rPr>
          <w:rFonts w:ascii="Arial" w:hAnsi="Arial"/>
          <w:color w:val="231F20"/>
          <w:sz w:val="16"/>
        </w:rPr>
        <w:t>and</w:t>
      </w:r>
      <w:r>
        <w:rPr>
          <w:rFonts w:ascii="Arial" w:hAnsi="Arial"/>
          <w:color w:val="231F20"/>
          <w:spacing w:val="-26"/>
          <w:sz w:val="16"/>
        </w:rPr>
        <w:t> </w:t>
      </w:r>
      <w:r>
        <w:rPr>
          <w:rFonts w:ascii="Arial" w:hAnsi="Arial"/>
          <w:color w:val="231F20"/>
          <w:sz w:val="16"/>
        </w:rPr>
        <w:t>bicarbonate</w:t>
      </w:r>
      <w:r>
        <w:rPr>
          <w:rFonts w:ascii="Arial" w:hAnsi="Arial"/>
          <w:color w:val="231F20"/>
          <w:spacing w:val="-26"/>
          <w:sz w:val="16"/>
        </w:rPr>
        <w:t> </w:t>
      </w:r>
      <w:r>
        <w:rPr>
          <w:rFonts w:ascii="Arial" w:hAnsi="Arial"/>
          <w:color w:val="231F20"/>
          <w:sz w:val="16"/>
        </w:rPr>
        <w:t>ions</w:t>
      </w:r>
      <w:r>
        <w:rPr>
          <w:rFonts w:ascii="Arial" w:hAnsi="Arial"/>
          <w:color w:val="231F20"/>
          <w:spacing w:val="-26"/>
          <w:sz w:val="16"/>
        </w:rPr>
        <w:t> </w:t>
      </w:r>
      <w:r>
        <w:rPr>
          <w:rFonts w:ascii="Arial" w:hAnsi="Arial"/>
          <w:color w:val="231F20"/>
          <w:sz w:val="16"/>
        </w:rPr>
        <w:t>from</w:t>
      </w:r>
      <w:r>
        <w:rPr>
          <w:rFonts w:ascii="Arial" w:hAnsi="Arial"/>
          <w:color w:val="231F20"/>
          <w:spacing w:val="-26"/>
          <w:sz w:val="16"/>
        </w:rPr>
        <w:t> </w:t>
      </w:r>
      <w:r>
        <w:rPr>
          <w:rFonts w:ascii="Arial" w:hAnsi="Arial"/>
          <w:color w:val="231F20"/>
          <w:sz w:val="16"/>
        </w:rPr>
        <w:t>the</w:t>
      </w:r>
      <w:r>
        <w:rPr>
          <w:rFonts w:ascii="Arial" w:hAnsi="Arial"/>
          <w:color w:val="231F20"/>
          <w:spacing w:val="-26"/>
          <w:sz w:val="16"/>
        </w:rPr>
        <w:t> </w:t>
      </w:r>
      <w:r>
        <w:rPr>
          <w:rFonts w:ascii="Arial" w:hAnsi="Arial"/>
          <w:color w:val="231F20"/>
          <w:sz w:val="16"/>
        </w:rPr>
        <w:t>lumen</w:t>
      </w:r>
      <w:r>
        <w:rPr>
          <w:rFonts w:ascii="Arial" w:hAnsi="Arial"/>
          <w:color w:val="231F20"/>
          <w:spacing w:val="-26"/>
          <w:sz w:val="16"/>
        </w:rPr>
        <w:t> </w:t>
      </w:r>
      <w:r>
        <w:rPr>
          <w:rFonts w:ascii="Arial" w:hAnsi="Arial"/>
          <w:color w:val="231F20"/>
          <w:sz w:val="16"/>
        </w:rPr>
        <w:t>and</w:t>
      </w:r>
      <w:r>
        <w:rPr>
          <w:rFonts w:ascii="Arial" w:hAnsi="Arial"/>
          <w:color w:val="231F20"/>
          <w:spacing w:val="-26"/>
          <w:sz w:val="16"/>
        </w:rPr>
        <w:t> </w:t>
      </w:r>
      <w:r>
        <w:rPr>
          <w:rFonts w:ascii="Arial" w:hAnsi="Arial"/>
          <w:color w:val="231F20"/>
          <w:spacing w:val="-3"/>
          <w:sz w:val="16"/>
        </w:rPr>
        <w:t>secrete </w:t>
      </w:r>
      <w:r>
        <w:rPr>
          <w:rFonts w:ascii="Arial" w:hAnsi="Arial"/>
          <w:color w:val="231F20"/>
          <w:sz w:val="16"/>
        </w:rPr>
        <w:t>hydrogen ions into the lumen. The reabsorption of water from this tubular segment is controlled by the concentration of </w:t>
      </w:r>
      <w:r>
        <w:rPr>
          <w:rFonts w:ascii="Lucida Sans" w:hAnsi="Lucida Sans"/>
          <w:i/>
          <w:color w:val="231F20"/>
          <w:spacing w:val="-2"/>
          <w:sz w:val="16"/>
        </w:rPr>
        <w:t>antidiuretic </w:t>
      </w:r>
      <w:r>
        <w:rPr>
          <w:rFonts w:ascii="Lucida Sans" w:hAnsi="Lucida Sans"/>
          <w:i/>
          <w:color w:val="231F20"/>
          <w:sz w:val="16"/>
        </w:rPr>
        <w:t>hormone</w:t>
      </w:r>
      <w:r>
        <w:rPr>
          <w:rFonts w:ascii="Arial" w:hAnsi="Arial"/>
          <w:color w:val="231F20"/>
          <w:sz w:val="16"/>
        </w:rPr>
        <w:t>.</w:t>
      </w:r>
    </w:p>
    <w:p>
      <w:pPr>
        <w:pStyle w:val="BodyText"/>
        <w:spacing w:before="8"/>
        <w:rPr>
          <w:rFonts w:ascii="Arial"/>
          <w:sz w:val="18"/>
        </w:rPr>
      </w:pPr>
    </w:p>
    <w:p>
      <w:pPr>
        <w:pStyle w:val="BodyText"/>
        <w:spacing w:line="249" w:lineRule="auto"/>
        <w:ind w:left="319" w:right="1437"/>
        <w:jc w:val="both"/>
      </w:pPr>
      <w:r>
        <w:rPr>
          <w:rFonts w:ascii="Trebuchet MS" w:hAnsi="Trebuchet MS"/>
          <w:b/>
          <w:color w:val="231F20"/>
          <w:w w:val="105"/>
          <w:sz w:val="19"/>
        </w:rPr>
        <w:t>Principal</w:t>
      </w:r>
      <w:r>
        <w:rPr>
          <w:rFonts w:ascii="Trebuchet MS" w:hAnsi="Trebuchet MS"/>
          <w:b/>
          <w:color w:val="231F20"/>
          <w:spacing w:val="-17"/>
          <w:w w:val="105"/>
          <w:sz w:val="19"/>
        </w:rPr>
        <w:t> </w:t>
      </w:r>
      <w:r>
        <w:rPr>
          <w:rFonts w:ascii="Trebuchet MS" w:hAnsi="Trebuchet MS"/>
          <w:b/>
          <w:color w:val="231F20"/>
          <w:w w:val="105"/>
          <w:sz w:val="19"/>
        </w:rPr>
        <w:t>Cells</w:t>
      </w:r>
      <w:r>
        <w:rPr>
          <w:rFonts w:ascii="Trebuchet MS" w:hAnsi="Trebuchet MS"/>
          <w:b/>
          <w:color w:val="231F20"/>
          <w:spacing w:val="-16"/>
          <w:w w:val="105"/>
          <w:sz w:val="19"/>
        </w:rPr>
        <w:t> </w:t>
      </w:r>
      <w:r>
        <w:rPr>
          <w:rFonts w:ascii="Trebuchet MS" w:hAnsi="Trebuchet MS"/>
          <w:b/>
          <w:color w:val="231F20"/>
          <w:w w:val="105"/>
          <w:sz w:val="19"/>
        </w:rPr>
        <w:t>Reabsorb</w:t>
      </w:r>
      <w:r>
        <w:rPr>
          <w:rFonts w:ascii="Trebuchet MS" w:hAnsi="Trebuchet MS"/>
          <w:b/>
          <w:color w:val="231F20"/>
          <w:spacing w:val="-17"/>
          <w:w w:val="105"/>
          <w:sz w:val="19"/>
        </w:rPr>
        <w:t> </w:t>
      </w:r>
      <w:r>
        <w:rPr>
          <w:rFonts w:ascii="Trebuchet MS" w:hAnsi="Trebuchet MS"/>
          <w:b/>
          <w:color w:val="231F20"/>
          <w:w w:val="105"/>
          <w:sz w:val="19"/>
        </w:rPr>
        <w:t>Sodium</w:t>
      </w:r>
      <w:r>
        <w:rPr>
          <w:rFonts w:ascii="Trebuchet MS" w:hAnsi="Trebuchet MS"/>
          <w:b/>
          <w:color w:val="231F20"/>
          <w:spacing w:val="-16"/>
          <w:w w:val="105"/>
          <w:sz w:val="19"/>
        </w:rPr>
        <w:t> </w:t>
      </w:r>
      <w:r>
        <w:rPr>
          <w:rFonts w:ascii="Trebuchet MS" w:hAnsi="Trebuchet MS"/>
          <w:b/>
          <w:color w:val="231F20"/>
          <w:w w:val="105"/>
          <w:sz w:val="19"/>
        </w:rPr>
        <w:t>and</w:t>
      </w:r>
      <w:r>
        <w:rPr>
          <w:rFonts w:ascii="Trebuchet MS" w:hAnsi="Trebuchet MS"/>
          <w:b/>
          <w:color w:val="231F20"/>
          <w:spacing w:val="-17"/>
          <w:w w:val="105"/>
          <w:sz w:val="19"/>
        </w:rPr>
        <w:t> </w:t>
      </w:r>
      <w:r>
        <w:rPr>
          <w:rFonts w:ascii="Trebuchet MS" w:hAnsi="Trebuchet MS"/>
          <w:b/>
          <w:color w:val="231F20"/>
          <w:w w:val="105"/>
          <w:sz w:val="19"/>
        </w:rPr>
        <w:t>Secrete</w:t>
      </w:r>
      <w:r>
        <w:rPr>
          <w:rFonts w:ascii="Trebuchet MS" w:hAnsi="Trebuchet MS"/>
          <w:b/>
          <w:color w:val="231F20"/>
          <w:spacing w:val="-17"/>
          <w:w w:val="105"/>
          <w:sz w:val="19"/>
        </w:rPr>
        <w:t> </w:t>
      </w:r>
      <w:r>
        <w:rPr>
          <w:rFonts w:ascii="Trebuchet MS" w:hAnsi="Trebuchet MS"/>
          <w:b/>
          <w:color w:val="231F20"/>
          <w:spacing w:val="-3"/>
          <w:w w:val="105"/>
          <w:sz w:val="19"/>
        </w:rPr>
        <w:t>Potas­ </w:t>
      </w:r>
      <w:r>
        <w:rPr>
          <w:rFonts w:ascii="Trebuchet MS" w:hAnsi="Trebuchet MS"/>
          <w:b/>
          <w:color w:val="231F20"/>
          <w:w w:val="105"/>
          <w:sz w:val="19"/>
        </w:rPr>
        <w:t>sium. </w:t>
      </w:r>
      <w:r>
        <w:rPr>
          <w:color w:val="231F20"/>
          <w:w w:val="105"/>
        </w:rPr>
        <w:t>Sodium </w:t>
      </w:r>
      <w:r>
        <w:rPr>
          <w:i/>
          <w:color w:val="231F20"/>
          <w:w w:val="105"/>
        </w:rPr>
        <w:t>reabsorption </w:t>
      </w:r>
      <w:r>
        <w:rPr>
          <w:color w:val="231F20"/>
          <w:w w:val="105"/>
        </w:rPr>
        <w:t>and potassium </w:t>
      </w:r>
      <w:r>
        <w:rPr>
          <w:i/>
          <w:color w:val="231F20"/>
          <w:w w:val="105"/>
        </w:rPr>
        <w:t>secretion </w:t>
      </w:r>
      <w:r>
        <w:rPr>
          <w:color w:val="231F20"/>
          <w:w w:val="105"/>
        </w:rPr>
        <w:t>by the principal cells depend on the activity of </w:t>
      </w:r>
      <w:r>
        <w:rPr>
          <w:color w:val="231F20"/>
          <w:spacing w:val="-10"/>
          <w:w w:val="105"/>
        </w:rPr>
        <w:t>a </w:t>
      </w:r>
      <w:r>
        <w:rPr>
          <w:color w:val="231F20"/>
          <w:w w:val="105"/>
        </w:rPr>
        <w:t>sodium-potassium</w:t>
      </w:r>
      <w:r>
        <w:rPr>
          <w:color w:val="231F20"/>
          <w:spacing w:val="-32"/>
          <w:w w:val="105"/>
        </w:rPr>
        <w:t> </w:t>
      </w:r>
      <w:r>
        <w:rPr>
          <w:color w:val="231F20"/>
          <w:w w:val="105"/>
        </w:rPr>
        <w:t>ATPase</w:t>
      </w:r>
      <w:r>
        <w:rPr>
          <w:color w:val="231F20"/>
          <w:spacing w:val="-31"/>
          <w:w w:val="105"/>
        </w:rPr>
        <w:t> </w:t>
      </w:r>
      <w:r>
        <w:rPr>
          <w:color w:val="231F20"/>
          <w:w w:val="105"/>
        </w:rPr>
        <w:t>pump</w:t>
      </w:r>
      <w:r>
        <w:rPr>
          <w:color w:val="231F20"/>
          <w:spacing w:val="-31"/>
          <w:w w:val="105"/>
        </w:rPr>
        <w:t> </w:t>
      </w:r>
      <w:r>
        <w:rPr>
          <w:color w:val="231F20"/>
          <w:w w:val="105"/>
        </w:rPr>
        <w:t>in</w:t>
      </w:r>
      <w:r>
        <w:rPr>
          <w:color w:val="231F20"/>
          <w:spacing w:val="-31"/>
          <w:w w:val="105"/>
        </w:rPr>
        <w:t> </w:t>
      </w:r>
      <w:r>
        <w:rPr>
          <w:color w:val="231F20"/>
          <w:w w:val="105"/>
        </w:rPr>
        <w:t>each</w:t>
      </w:r>
      <w:r>
        <w:rPr>
          <w:color w:val="231F20"/>
          <w:spacing w:val="-32"/>
          <w:w w:val="105"/>
        </w:rPr>
        <w:t> </w:t>
      </w:r>
      <w:r>
        <w:rPr>
          <w:color w:val="231F20"/>
          <w:spacing w:val="-3"/>
          <w:w w:val="105"/>
        </w:rPr>
        <w:t>cell’s</w:t>
      </w:r>
      <w:r>
        <w:rPr>
          <w:color w:val="231F20"/>
          <w:spacing w:val="-31"/>
          <w:w w:val="105"/>
        </w:rPr>
        <w:t> </w:t>
      </w:r>
      <w:r>
        <w:rPr>
          <w:color w:val="231F20"/>
          <w:spacing w:val="-3"/>
          <w:w w:val="105"/>
        </w:rPr>
        <w:t>basolateral </w:t>
      </w:r>
      <w:r>
        <w:rPr>
          <w:color w:val="231F20"/>
          <w:w w:val="105"/>
        </w:rPr>
        <w:t>membrane (</w:t>
      </w:r>
      <w:hyperlink w:history="true" w:anchor="_bookmark51">
        <w:r>
          <w:rPr>
            <w:b/>
            <w:color w:val="0080AC"/>
            <w:w w:val="105"/>
          </w:rPr>
          <w:t>Figure 28-12</w:t>
        </w:r>
      </w:hyperlink>
      <w:r>
        <w:rPr>
          <w:color w:val="231F20"/>
          <w:w w:val="105"/>
        </w:rPr>
        <w:t>). This pump  maintains  </w:t>
      </w:r>
      <w:r>
        <w:rPr>
          <w:color w:val="231F20"/>
          <w:spacing w:val="-12"/>
          <w:w w:val="105"/>
        </w:rPr>
        <w:t>a</w:t>
      </w:r>
      <w:r>
        <w:rPr>
          <w:color w:val="231F20"/>
          <w:spacing w:val="28"/>
          <w:w w:val="105"/>
        </w:rPr>
        <w:t> </w:t>
      </w:r>
      <w:r>
        <w:rPr>
          <w:color w:val="231F20"/>
          <w:w w:val="105"/>
        </w:rPr>
        <w:t>low sodium concentration inside the cell and, therefore, favors sodium diffusion into the cell through special channels. The secretion of potassium by these cells from the blood into the tubular lumen involves </w:t>
      </w:r>
      <w:r>
        <w:rPr>
          <w:color w:val="231F20"/>
          <w:spacing w:val="-4"/>
          <w:w w:val="105"/>
        </w:rPr>
        <w:t>two </w:t>
      </w:r>
      <w:r>
        <w:rPr>
          <w:color w:val="231F20"/>
          <w:w w:val="105"/>
        </w:rPr>
        <w:t>steps: (1) potassium enters the cell because of the sodium-potassium ATPase pump, which maintains </w:t>
      </w:r>
      <w:r>
        <w:rPr>
          <w:color w:val="231F20"/>
          <w:spacing w:val="-13"/>
          <w:w w:val="105"/>
        </w:rPr>
        <w:t>a </w:t>
      </w:r>
      <w:r>
        <w:rPr>
          <w:color w:val="231F20"/>
          <w:w w:val="105"/>
        </w:rPr>
        <w:t>high intracellular potassium concentration, and</w:t>
      </w:r>
      <w:r>
        <w:rPr>
          <w:color w:val="231F20"/>
          <w:spacing w:val="3"/>
          <w:w w:val="105"/>
        </w:rPr>
        <w:t> </w:t>
      </w:r>
      <w:r>
        <w:rPr>
          <w:color w:val="231F20"/>
          <w:spacing w:val="-4"/>
          <w:w w:val="105"/>
        </w:rPr>
        <w:t>then</w:t>
      </w:r>
    </w:p>
    <w:p>
      <w:pPr>
        <w:pStyle w:val="ListParagraph"/>
        <w:numPr>
          <w:ilvl w:val="0"/>
          <w:numId w:val="13"/>
        </w:numPr>
        <w:tabs>
          <w:tab w:pos="607" w:val="left" w:leader="none"/>
        </w:tabs>
        <w:spacing w:line="249" w:lineRule="auto" w:before="11" w:after="0"/>
        <w:ind w:left="319" w:right="1437" w:firstLine="0"/>
        <w:jc w:val="both"/>
        <w:rPr>
          <w:sz w:val="20"/>
        </w:rPr>
      </w:pPr>
      <w:r>
        <w:rPr>
          <w:color w:val="231F20"/>
          <w:w w:val="105"/>
          <w:sz w:val="20"/>
        </w:rPr>
        <w:t>once in the cell, potassium diffuses down its</w:t>
      </w:r>
      <w:r>
        <w:rPr>
          <w:color w:val="231F20"/>
          <w:spacing w:val="-38"/>
          <w:w w:val="105"/>
          <w:sz w:val="20"/>
        </w:rPr>
        <w:t> </w:t>
      </w:r>
      <w:r>
        <w:rPr>
          <w:color w:val="231F20"/>
          <w:spacing w:val="-3"/>
          <w:w w:val="105"/>
          <w:sz w:val="20"/>
        </w:rPr>
        <w:t>concen- </w:t>
      </w:r>
      <w:r>
        <w:rPr>
          <w:color w:val="231F20"/>
          <w:w w:val="105"/>
          <w:sz w:val="20"/>
        </w:rPr>
        <w:t>tration gradient across the luminal membrane into </w:t>
      </w:r>
      <w:r>
        <w:rPr>
          <w:color w:val="231F20"/>
          <w:spacing w:val="-6"/>
          <w:w w:val="105"/>
          <w:sz w:val="20"/>
        </w:rPr>
        <w:t>the </w:t>
      </w:r>
      <w:r>
        <w:rPr>
          <w:color w:val="231F20"/>
          <w:w w:val="105"/>
          <w:sz w:val="20"/>
        </w:rPr>
        <w:t>tubular</w:t>
      </w:r>
      <w:r>
        <w:rPr>
          <w:color w:val="231F20"/>
          <w:spacing w:val="3"/>
          <w:w w:val="105"/>
          <w:sz w:val="20"/>
        </w:rPr>
        <w:t> </w:t>
      </w:r>
      <w:r>
        <w:rPr>
          <w:color w:val="231F20"/>
          <w:w w:val="105"/>
          <w:sz w:val="20"/>
        </w:rPr>
        <w:t>fluid.</w:t>
      </w:r>
    </w:p>
    <w:p>
      <w:pPr>
        <w:spacing w:line="249" w:lineRule="auto" w:before="3"/>
        <w:ind w:left="319" w:right="1437" w:firstLine="240"/>
        <w:jc w:val="both"/>
        <w:rPr>
          <w:sz w:val="20"/>
        </w:rPr>
      </w:pPr>
      <w:r>
        <w:rPr>
          <w:color w:val="231F20"/>
          <w:sz w:val="20"/>
        </w:rPr>
        <w:t>The principal cells are the primary sites of action of </w:t>
      </w:r>
      <w:r>
        <w:rPr>
          <w:color w:val="231F20"/>
          <w:spacing w:val="-6"/>
          <w:sz w:val="20"/>
        </w:rPr>
        <w:t>the </w:t>
      </w:r>
      <w:r>
        <w:rPr>
          <w:i/>
          <w:color w:val="231F20"/>
          <w:sz w:val="20"/>
        </w:rPr>
        <w:t>potassium-sparing diuretics, </w:t>
      </w:r>
      <w:r>
        <w:rPr>
          <w:color w:val="231F20"/>
          <w:sz w:val="20"/>
        </w:rPr>
        <w:t>including spironolactone, eplerenone, amiloride, and triamterene. </w:t>
      </w:r>
      <w:r>
        <w:rPr>
          <w:i/>
          <w:color w:val="231F20"/>
          <w:sz w:val="20"/>
        </w:rPr>
        <w:t>Spironolactone </w:t>
      </w:r>
      <w:r>
        <w:rPr>
          <w:color w:val="231F20"/>
          <w:sz w:val="20"/>
        </w:rPr>
        <w:t>and</w:t>
      </w:r>
      <w:r>
        <w:rPr>
          <w:color w:val="231F20"/>
          <w:spacing w:val="-9"/>
          <w:sz w:val="20"/>
        </w:rPr>
        <w:t> </w:t>
      </w:r>
      <w:r>
        <w:rPr>
          <w:i/>
          <w:color w:val="231F20"/>
          <w:sz w:val="20"/>
        </w:rPr>
        <w:t>eplerenone</w:t>
      </w:r>
      <w:r>
        <w:rPr>
          <w:i/>
          <w:color w:val="231F20"/>
          <w:spacing w:val="-8"/>
          <w:sz w:val="20"/>
        </w:rPr>
        <w:t> </w:t>
      </w:r>
      <w:r>
        <w:rPr>
          <w:color w:val="231F20"/>
          <w:sz w:val="20"/>
        </w:rPr>
        <w:t>are</w:t>
      </w:r>
      <w:r>
        <w:rPr>
          <w:color w:val="231F20"/>
          <w:spacing w:val="-8"/>
          <w:sz w:val="20"/>
        </w:rPr>
        <w:t> </w:t>
      </w:r>
      <w:r>
        <w:rPr>
          <w:i/>
          <w:color w:val="231F20"/>
          <w:sz w:val="20"/>
        </w:rPr>
        <w:t>mineralocorticoid</w:t>
      </w:r>
      <w:r>
        <w:rPr>
          <w:i/>
          <w:color w:val="231F20"/>
          <w:spacing w:val="-9"/>
          <w:sz w:val="20"/>
        </w:rPr>
        <w:t> </w:t>
      </w:r>
      <w:r>
        <w:rPr>
          <w:i/>
          <w:color w:val="231F20"/>
          <w:sz w:val="20"/>
        </w:rPr>
        <w:t>receptor</w:t>
      </w:r>
      <w:r>
        <w:rPr>
          <w:i/>
          <w:color w:val="231F20"/>
          <w:spacing w:val="-8"/>
          <w:sz w:val="20"/>
        </w:rPr>
        <w:t> </w:t>
      </w:r>
      <w:r>
        <w:rPr>
          <w:i/>
          <w:color w:val="231F20"/>
          <w:sz w:val="20"/>
        </w:rPr>
        <w:t>antagonists </w:t>
      </w:r>
      <w:r>
        <w:rPr>
          <w:color w:val="231F20"/>
          <w:sz w:val="20"/>
        </w:rPr>
        <w:t>that compete with aldosterone for receptor sites in the principal cells and therefore inhibit the stimulatory</w:t>
      </w:r>
      <w:r>
        <w:rPr>
          <w:color w:val="231F20"/>
          <w:spacing w:val="20"/>
          <w:sz w:val="20"/>
        </w:rPr>
        <w:t> </w:t>
      </w:r>
      <w:r>
        <w:rPr>
          <w:color w:val="231F20"/>
          <w:sz w:val="20"/>
        </w:rPr>
        <w:t>effects</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spacing w:before="10"/>
        <w:rPr>
          <w:sz w:val="12"/>
        </w:rPr>
      </w:pPr>
    </w:p>
    <w:p>
      <w:pPr>
        <w:pStyle w:val="BodyText"/>
        <w:tabs>
          <w:tab w:pos="6559" w:val="left" w:leader="none"/>
        </w:tabs>
        <w:ind w:left="1587"/>
      </w:pPr>
      <w:r>
        <w:rPr/>
        <w:pict>
          <v:group style="width:219.25pt;height:196.2pt;mso-position-horizontal-relative:char;mso-position-vertical-relative:line" coordorigin="0,0" coordsize="4385,3924">
            <v:shape style="position:absolute;left:802;top:42;width:2782;height:799" coordorigin="802,42" coordsize="2782,799" path="m3583,42l802,45,802,468,815,534,852,588,906,625,972,638,2591,638,2621,639,2698,647,2800,669,2904,710,2958,738,3023,768,3095,797,3171,821,3246,837,3315,841,3380,833,3440,814,3493,781,3537,733,3568,666,3583,580,3583,42xe" filled="true" fillcolor="#feede3" stroked="false">
              <v:path arrowok="t"/>
              <v:fill type="solid"/>
            </v:shape>
            <v:shape style="position:absolute;left:802;top:42;width:2782;height:799" coordorigin="802,42" coordsize="2782,799" path="m3583,580l3568,666,3537,733,3493,781,3440,814,3380,833,3315,841,3246,837,3171,821,3095,797,3023,768,2958,738,2904,710,2800,669,2698,647,2621,639,2591,638,972,638,906,625,852,588,815,534,802,468,802,45,3583,42,3583,580xe" filled="false" stroked="true" strokeweight=".75pt" strokecolor="#e2874a">
              <v:path arrowok="t"/>
              <v:stroke dashstyle="solid"/>
            </v:shape>
            <v:shape style="position:absolute;left:802;top:891;width:2782;height:2200" coordorigin="802,892" coordsize="2782,2200" path="m3315,892l3246,895,3171,911,3095,935,3023,964,2958,994,2904,1022,2826,1064,2767,1085,2699,1093,2591,1094,972,1094,906,1107,852,1144,815,1198,802,1264,802,2719,815,2785,852,2839,906,2875,972,2889,2591,2889,2621,2890,2698,2898,2800,2919,2904,2961,2958,2988,3023,3019,3095,3047,3171,3072,3246,3087,3315,3091,3380,3083,3440,3064,3493,3032,3537,2983,3568,2917,3583,2830,3583,1153,3568,1066,3537,999,3493,951,3440,919,3380,900,3315,892xe" filled="true" fillcolor="#feede3" stroked="false">
              <v:path arrowok="t"/>
              <v:fill type="solid"/>
            </v:shape>
            <v:shape style="position:absolute;left:802;top:891;width:2782;height:2200" coordorigin="802,892" coordsize="2782,2200" path="m3583,2830l3568,2917,3537,2983,3493,3032,3440,3064,3380,3083,3315,3091,3246,3087,3171,3072,3095,3047,3023,3019,2958,2988,2904,2961,2800,2919,2698,2898,2621,2890,2591,2889,972,2889,906,2875,852,2839,815,2785,802,2719,802,1264,815,1198,852,1144,906,1107,972,1094,2591,1094,2699,1093,2767,1085,2826,1064,2904,1022,2958,994,3023,964,3095,935,3171,911,3246,895,3315,892,3380,900,3440,919,3493,951,3537,999,3568,1066,3583,1153,3583,2830xe" filled="false" stroked="true" strokeweight=".75pt" strokecolor="#e2874a">
              <v:path arrowok="t"/>
              <v:stroke dashstyle="solid"/>
            </v:shape>
            <v:shape style="position:absolute;left:717;top:2533;width:165;height:150" type="#_x0000_t75" stroked="false">
              <v:imagedata r:id="rId596" o:title=""/>
            </v:shape>
            <v:rect style="position:absolute;left:717;top:2663;width:160;height:40" filled="true" fillcolor="#e2874a" stroked="false">
              <v:fill type="solid"/>
            </v:rect>
            <v:rect style="position:absolute;left:717;top:2513;width:160;height:40" filled="true" fillcolor="#e2874a" stroked="false">
              <v:fill type="solid"/>
            </v:rect>
            <v:shape style="position:absolute;left:3504;top:1520;width:165;height:150" type="#_x0000_t75" stroked="false">
              <v:imagedata r:id="rId597" o:title=""/>
            </v:shape>
            <v:rect style="position:absolute;left:3508;top:1650;width:160;height:40" filled="true" fillcolor="#e2874a" stroked="false">
              <v:fill type="solid"/>
            </v:rect>
            <v:rect style="position:absolute;left:3508;top:1500;width:160;height:40" filled="true" fillcolor="#e2874a" stroked="false">
              <v:fill type="solid"/>
            </v:rect>
            <v:shape style="position:absolute;left:320;top:1776;width:185;height:120" type="#_x0000_t75" stroked="false">
              <v:imagedata r:id="rId598" o:title=""/>
            </v:shape>
            <v:line style="position:absolute" from="1137,1836" to="456,1836" stroked="true" strokeweight="1.5pt" strokecolor="#231f20">
              <v:stroke dashstyle="solid"/>
            </v:line>
            <v:shape style="position:absolute;left:1064;top:2114;width:185;height:120" type="#_x0000_t75" stroked="false">
              <v:imagedata r:id="rId599" o:title=""/>
            </v:shape>
            <v:shape style="position:absolute;left:612;top:1822;width:367;height:367" type="#_x0000_t75" stroked="false">
              <v:imagedata r:id="rId600" o:title=""/>
            </v:shape>
            <v:shape style="position:absolute;left:3907;top:2319;width:147;height:188" type="#_x0000_t75" stroked="false">
              <v:imagedata r:id="rId601" o:title=""/>
            </v:shape>
            <v:shape style="position:absolute;left:3803;top:2413;width:362;height:781" coordorigin="3803,2413" coordsize="362,781" path="m3964,2413l4127,2680,4165,2851,4062,2997,3803,3194e" filled="false" stroked="true" strokeweight="1.5pt" strokecolor="#f0535f">
              <v:path arrowok="t"/>
              <v:stroke dashstyle="solid"/>
            </v:shape>
            <v:shape style="position:absolute;left:3735;top:2141;width:205;height:205" type="#_x0000_t75" stroked="false">
              <v:imagedata r:id="rId602" o:title=""/>
            </v:shape>
            <v:shape style="position:absolute;left:340;top:2550;width:185;height:120" type="#_x0000_t75" stroked="false">
              <v:imagedata r:id="rId603" o:title=""/>
            </v:shape>
            <v:line style="position:absolute" from="1257,2610" to="476,2610" stroked="true" strokeweight="1.5pt" strokecolor="#231f20">
              <v:stroke dashstyle="shortdash"/>
            </v:line>
            <v:line style="position:absolute" from="768,44" to="3618,44" stroked="true" strokeweight="2pt" strokecolor="#ffffff">
              <v:stroke dashstyle="solid"/>
            </v:line>
            <v:shape style="position:absolute;left:3908;top:1536;width:185;height:120" type="#_x0000_t75" stroked="false">
              <v:imagedata r:id="rId604" o:title=""/>
            </v:shape>
            <v:line style="position:absolute" from="3276,1596" to="3958,1596" stroked="true" strokeweight="1.5pt" strokecolor="#231f20">
              <v:stroke dashstyle="shortdash"/>
            </v:line>
            <v:shape style="position:absolute;left:3504;top:1929;width:165;height:150" type="#_x0000_t75" stroked="false">
              <v:imagedata r:id="rId597" o:title=""/>
            </v:shape>
            <v:rect style="position:absolute;left:3508;top:2059;width:160;height:40" filled="true" fillcolor="#e2874a" stroked="false">
              <v:fill type="solid"/>
            </v:rect>
            <v:rect style="position:absolute;left:3508;top:1909;width:160;height:40" filled="true" fillcolor="#e2874a" stroked="false">
              <v:fill type="solid"/>
            </v:rect>
            <v:shape style="position:absolute;left:3080;top:1945;width:185;height:120" type="#_x0000_t75" stroked="false">
              <v:imagedata r:id="rId605" o:title=""/>
            </v:shape>
            <v:line style="position:absolute" from="4037,2005" to="3216,2005" stroked="true" strokeweight="1.5pt" strokecolor="#231f20">
              <v:stroke dashstyle="shortdash"/>
            </v:line>
            <v:shape style="position:absolute;left:2000;top:2353;width:147;height:188" type="#_x0000_t75" stroked="false">
              <v:imagedata r:id="rId606" o:title=""/>
            </v:shape>
            <v:shape style="position:absolute;left:1404;top:2446;width:799;height:805" coordorigin="1405,2446" coordsize="799,805" path="m2057,2446l2179,2605,2203,2715,2114,2825,1896,2987,1781,3068,1691,3123,1581,3175,1405,3251e" filled="false" stroked="true" strokeweight="1.5pt" strokecolor="#f0535f">
              <v:path arrowok="t"/>
              <v:stroke dashstyle="solid"/>
            </v:shape>
            <v:shape style="position:absolute;left:1842;top:2161;width:205;height:205" type="#_x0000_t75" stroked="false">
              <v:imagedata r:id="rId607" o:title=""/>
            </v:shape>
            <v:shape style="position:absolute;left:0;top:0;width:69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Renal interstitial</w:t>
                    </w:r>
                    <w:r>
                      <w:rPr>
                        <w:rFonts w:ascii="Helvetica"/>
                        <w:color w:val="231F20"/>
                        <w:w w:val="99"/>
                        <w:sz w:val="16"/>
                      </w:rPr>
                      <w:t> </w:t>
                    </w:r>
                    <w:r>
                      <w:rPr>
                        <w:rFonts w:ascii="Helvetica"/>
                        <w:color w:val="231F20"/>
                        <w:sz w:val="16"/>
                      </w:rPr>
                      <w:t>fluid</w:t>
                    </w:r>
                  </w:p>
                </w:txbxContent>
              </v:textbox>
              <w10:wrap type="none"/>
            </v:shape>
            <v:shape style="position:absolute;left:1906;top:140;width:563;height:365" type="#_x0000_t202" filled="false" stroked="false">
              <v:textbox inset="0,0,0,0">
                <w:txbxContent>
                  <w:p>
                    <w:pPr>
                      <w:spacing w:line="235" w:lineRule="auto" w:before="2"/>
                      <w:ind w:left="111" w:right="1" w:hanging="112"/>
                      <w:jc w:val="left"/>
                      <w:rPr>
                        <w:rFonts w:ascii="Helvetica"/>
                        <w:sz w:val="16"/>
                      </w:rPr>
                    </w:pPr>
                    <w:r>
                      <w:rPr>
                        <w:rFonts w:ascii="Helvetica"/>
                        <w:color w:val="231F20"/>
                        <w:sz w:val="16"/>
                      </w:rPr>
                      <w:t>Tubular cells</w:t>
                    </w:r>
                  </w:p>
                </w:txbxContent>
              </v:textbox>
              <w10:wrap type="none"/>
            </v:shape>
            <v:shape style="position:absolute;left:3669;top:0;width:677;height:556" type="#_x0000_t202" filled="false" stroked="false">
              <v:textbox inset="0,0,0,0">
                <w:txbxContent>
                  <w:p>
                    <w:pPr>
                      <w:spacing w:line="228" w:lineRule="auto" w:before="6"/>
                      <w:ind w:left="0" w:right="18" w:firstLine="0"/>
                      <w:jc w:val="center"/>
                      <w:rPr>
                        <w:rFonts w:ascii="Helvetica" w:hAnsi="Helvetica"/>
                        <w:sz w:val="16"/>
                      </w:rPr>
                    </w:pPr>
                    <w:r>
                      <w:rPr>
                        <w:rFonts w:ascii="Helvetica" w:hAnsi="Helvetica"/>
                        <w:color w:val="231F20"/>
                        <w:sz w:val="16"/>
                      </w:rPr>
                      <w:t>Tubular lumen (</w:t>
                    </w:r>
                    <w:r>
                      <w:rPr>
                        <w:rFonts w:ascii="Symbol" w:hAnsi="Symbol"/>
                        <w:color w:val="231F20"/>
                        <w:sz w:val="16"/>
                      </w:rPr>
                      <w:t></w:t>
                    </w:r>
                    <w:r>
                      <w:rPr>
                        <w:rFonts w:ascii="Helvetica" w:hAnsi="Helvetica"/>
                        <w:color w:val="231F20"/>
                        <w:sz w:val="16"/>
                      </w:rPr>
                      <w:t>50 mV)</w:t>
                    </w:r>
                  </w:p>
                </w:txbxContent>
              </v:textbox>
              <w10:wrap type="none"/>
            </v:shape>
            <v:shape style="position:absolute;left:3052;top:1492;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p>
                </w:txbxContent>
              </v:textbox>
              <w10:wrap type="none"/>
            </v:shape>
            <v:shape style="position:absolute;left:1167;top:1732;width:295;height:202" type="#_x0000_t202" filled="false" stroked="false">
              <v:textbox inset="0,0,0,0">
                <w:txbxContent>
                  <w:p>
                    <w:pPr>
                      <w:spacing w:before="3"/>
                      <w:ind w:left="0" w:right="0" w:firstLine="0"/>
                      <w:jc w:val="left"/>
                      <w:rPr>
                        <w:rFonts w:ascii="Helvetica"/>
                        <w:b/>
                        <w:sz w:val="12"/>
                      </w:rPr>
                    </w:pPr>
                    <w:r>
                      <w:rPr>
                        <w:rFonts w:ascii="Helvetica"/>
                        <w:b/>
                        <w:color w:val="231F20"/>
                        <w:sz w:val="16"/>
                      </w:rPr>
                      <w:t>Na</w:t>
                    </w:r>
                    <w:r>
                      <w:rPr>
                        <w:rFonts w:ascii="Helvetica"/>
                        <w:b/>
                        <w:color w:val="231F20"/>
                        <w:position w:val="5"/>
                        <w:sz w:val="12"/>
                      </w:rPr>
                      <w:t>+</w:t>
                    </w:r>
                  </w:p>
                </w:txbxContent>
              </v:textbox>
              <w10:wrap type="none"/>
            </v:shape>
            <v:shape style="position:absolute;left:206;top:1919;width:942;height:332" type="#_x0000_t202" filled="false" stroked="false">
              <v:textbox inset="0,0,0,0">
                <w:txbxContent>
                  <w:p>
                    <w:pPr>
                      <w:spacing w:line="158" w:lineRule="exact" w:before="0"/>
                      <w:ind w:left="442" w:right="0" w:firstLine="0"/>
                      <w:jc w:val="left"/>
                      <w:rPr>
                        <w:rFonts w:ascii="Helvetica"/>
                        <w:sz w:val="16"/>
                      </w:rPr>
                    </w:pPr>
                    <w:r>
                      <w:rPr>
                        <w:rFonts w:ascii="Helvetica"/>
                        <w:color w:val="231F20"/>
                        <w:sz w:val="16"/>
                      </w:rPr>
                      <w:t>ATP</w:t>
                    </w:r>
                  </w:p>
                  <w:p>
                    <w:pPr>
                      <w:tabs>
                        <w:tab w:pos="921" w:val="left" w:leader="none"/>
                      </w:tabs>
                      <w:spacing w:line="139" w:lineRule="auto" w:before="17"/>
                      <w:ind w:left="0" w:right="0" w:firstLine="0"/>
                      <w:jc w:val="left"/>
                      <w:rPr>
                        <w:rFonts w:ascii="Helvetica"/>
                        <w:b/>
                        <w:sz w:val="12"/>
                      </w:rPr>
                    </w:pPr>
                    <w:r>
                      <w:rPr>
                        <w:rFonts w:ascii="Helvetica"/>
                        <w:b/>
                        <w:color w:val="231F20"/>
                        <w:position w:val="-4"/>
                        <w:sz w:val="16"/>
                      </w:rPr>
                      <w:t>K</w:t>
                    </w:r>
                    <w:r>
                      <w:rPr>
                        <w:rFonts w:ascii="Helvetica"/>
                        <w:b/>
                        <w:color w:val="231F20"/>
                        <w:sz w:val="12"/>
                      </w:rPr>
                      <w:t>+</w:t>
                    </w:r>
                    <w:r>
                      <w:rPr>
                        <w:rFonts w:ascii="Helvetica"/>
                        <w:b/>
                        <w:color w:val="231F20"/>
                        <w:spacing w:val="-20"/>
                        <w:sz w:val="12"/>
                      </w:rPr>
                      <w:t> </w:t>
                    </w:r>
                    <w:r>
                      <w:rPr>
                        <w:rFonts w:ascii="Helvetica"/>
                        <w:b/>
                        <w:color w:val="231F20"/>
                        <w:w w:val="100"/>
                        <w:sz w:val="12"/>
                        <w:u w:val="thick" w:color="231F20"/>
                      </w:rPr>
                      <w:t> </w:t>
                    </w:r>
                    <w:r>
                      <w:rPr>
                        <w:rFonts w:ascii="Helvetica"/>
                        <w:b/>
                        <w:color w:val="231F20"/>
                        <w:sz w:val="12"/>
                        <w:u w:val="thick" w:color="231F20"/>
                      </w:rPr>
                      <w:tab/>
                    </w:r>
                  </w:p>
                </w:txbxContent>
              </v:textbox>
              <w10:wrap type="none"/>
            </v:shape>
            <v:shape style="position:absolute;left:4067;top:1900;width:295;height:202" type="#_x0000_t202" filled="false" stroked="false">
              <v:textbox inset="0,0,0,0">
                <w:txbxContent>
                  <w:p>
                    <w:pPr>
                      <w:spacing w:before="3"/>
                      <w:ind w:left="0" w:right="0" w:firstLine="0"/>
                      <w:jc w:val="left"/>
                      <w:rPr>
                        <w:rFonts w:ascii="Helvetica"/>
                        <w:b/>
                        <w:sz w:val="12"/>
                      </w:rPr>
                    </w:pPr>
                    <w:r>
                      <w:rPr>
                        <w:rFonts w:ascii="Helvetica"/>
                        <w:b/>
                        <w:color w:val="231F20"/>
                        <w:sz w:val="16"/>
                      </w:rPr>
                      <w:t>Na</w:t>
                    </w:r>
                    <w:r>
                      <w:rPr>
                        <w:rFonts w:ascii="Helvetica"/>
                        <w:b/>
                        <w:color w:val="231F20"/>
                        <w:position w:val="5"/>
                        <w:sz w:val="12"/>
                      </w:rPr>
                      <w:t>+</w:t>
                    </w:r>
                  </w:p>
                </w:txbxContent>
              </v:textbox>
              <w10:wrap type="none"/>
            </v:shape>
            <v:shape style="position:absolute;left:1903;top:2152;width:106;height:203" type="#_x0000_t202" filled="false" stroked="false">
              <v:textbox inset="0,0,0,0">
                <w:txbxContent>
                  <w:p>
                    <w:pPr>
                      <w:spacing w:before="6"/>
                      <w:ind w:left="0" w:right="0" w:firstLine="0"/>
                      <w:jc w:val="left"/>
                      <w:rPr>
                        <w:rFonts w:ascii="Symbol" w:hAnsi="Symbol"/>
                        <w:sz w:val="15"/>
                      </w:rPr>
                    </w:pPr>
                    <w:r>
                      <w:rPr>
                        <w:rFonts w:ascii="Symbol" w:hAnsi="Symbol"/>
                        <w:color w:val="EF453D"/>
                        <w:w w:val="103"/>
                        <w:sz w:val="15"/>
                      </w:rPr>
                      <w:t></w:t>
                    </w:r>
                  </w:p>
                </w:txbxContent>
              </v:textbox>
              <w10:wrap type="none"/>
            </v:shape>
            <v:shape style="position:absolute;left:3796;top:2128;width:106;height:203" type="#_x0000_t202" filled="false" stroked="false">
              <v:textbox inset="0,0,0,0">
                <w:txbxContent>
                  <w:p>
                    <w:pPr>
                      <w:spacing w:before="6"/>
                      <w:ind w:left="0" w:right="0" w:firstLine="0"/>
                      <w:jc w:val="left"/>
                      <w:rPr>
                        <w:rFonts w:ascii="Symbol" w:hAnsi="Symbol"/>
                        <w:sz w:val="15"/>
                      </w:rPr>
                    </w:pPr>
                    <w:r>
                      <w:rPr>
                        <w:rFonts w:ascii="Symbol" w:hAnsi="Symbol"/>
                        <w:color w:val="EF453D"/>
                        <w:w w:val="103"/>
                        <w:sz w:val="15"/>
                      </w:rPr>
                      <w:t></w:t>
                    </w:r>
                  </w:p>
                </w:txbxContent>
              </v:textbox>
              <w10:wrap type="none"/>
            </v:shape>
            <v:shape style="position:absolute;left:1287;top:2500;width:237;height:208" type="#_x0000_t202" filled="false" stroked="false">
              <v:textbox inset="0,0,0,0">
                <w:txbxContent>
                  <w:p>
                    <w:pPr>
                      <w:spacing w:before="0"/>
                      <w:ind w:left="0" w:right="0" w:firstLine="0"/>
                      <w:jc w:val="left"/>
                      <w:rPr>
                        <w:rFonts w:ascii="Symbol" w:hAnsi="Symbol"/>
                        <w:sz w:val="12"/>
                      </w:rPr>
                    </w:pPr>
                    <w:r>
                      <w:rPr>
                        <w:rFonts w:ascii="Helvetica" w:hAnsi="Helvetica"/>
                        <w:color w:val="231F20"/>
                        <w:sz w:val="16"/>
                      </w:rPr>
                      <w:t>Cl</w:t>
                    </w:r>
                    <w:r>
                      <w:rPr>
                        <w:rFonts w:ascii="Symbol" w:hAnsi="Symbol"/>
                        <w:color w:val="231F20"/>
                        <w:position w:val="5"/>
                        <w:sz w:val="12"/>
                      </w:rPr>
                      <w:t></w:t>
                    </w:r>
                  </w:p>
                </w:txbxContent>
              </v:textbox>
              <w10:wrap type="none"/>
            </v:shape>
            <v:shape style="position:absolute;left:2550;top:3237;width:1834;height:687" type="#_x0000_t202" filled="true" fillcolor="#d4e5f3" stroked="false">
              <v:textbox inset="0,0,0,0">
                <w:txbxContent>
                  <w:p>
                    <w:pPr>
                      <w:spacing w:line="194" w:lineRule="exact" w:before="5"/>
                      <w:ind w:left="35" w:right="0" w:firstLine="0"/>
                      <w:jc w:val="left"/>
                      <w:rPr>
                        <w:rFonts w:ascii="Helvetica"/>
                        <w:b/>
                        <w:sz w:val="16"/>
                      </w:rPr>
                    </w:pPr>
                    <w:r>
                      <w:rPr>
                        <w:rFonts w:ascii="Helvetica"/>
                        <w:b/>
                        <w:color w:val="231F20"/>
                        <w:sz w:val="16"/>
                      </w:rPr>
                      <w:t>Na</w:t>
                    </w:r>
                    <w:r>
                      <w:rPr>
                        <w:rFonts w:ascii="Helvetica"/>
                        <w:b/>
                        <w:color w:val="231F20"/>
                        <w:position w:val="5"/>
                        <w:sz w:val="12"/>
                      </w:rPr>
                      <w:t>+ </w:t>
                    </w:r>
                    <w:r>
                      <w:rPr>
                        <w:rFonts w:ascii="Helvetica"/>
                        <w:b/>
                        <w:color w:val="231F20"/>
                        <w:sz w:val="16"/>
                      </w:rPr>
                      <w:t>channel blockers</w:t>
                    </w:r>
                  </w:p>
                  <w:p>
                    <w:pPr>
                      <w:numPr>
                        <w:ilvl w:val="0"/>
                        <w:numId w:val="14"/>
                      </w:numPr>
                      <w:tabs>
                        <w:tab w:pos="136" w:val="left" w:leader="none"/>
                      </w:tabs>
                      <w:spacing w:line="180" w:lineRule="exact" w:before="0"/>
                      <w:ind w:left="135" w:right="0" w:hanging="101"/>
                      <w:jc w:val="left"/>
                      <w:rPr>
                        <w:rFonts w:ascii="Helvetica"/>
                        <w:b/>
                        <w:sz w:val="16"/>
                      </w:rPr>
                    </w:pPr>
                    <w:r>
                      <w:rPr>
                        <w:rFonts w:ascii="Helvetica"/>
                        <w:b/>
                        <w:color w:val="231F20"/>
                        <w:sz w:val="16"/>
                      </w:rPr>
                      <w:t>Amiloride</w:t>
                    </w:r>
                  </w:p>
                  <w:p>
                    <w:pPr>
                      <w:numPr>
                        <w:ilvl w:val="0"/>
                        <w:numId w:val="14"/>
                      </w:numPr>
                      <w:tabs>
                        <w:tab w:pos="136" w:val="left" w:leader="none"/>
                      </w:tabs>
                      <w:spacing w:line="182" w:lineRule="exact" w:before="0"/>
                      <w:ind w:left="135" w:right="0" w:hanging="101"/>
                      <w:jc w:val="left"/>
                      <w:rPr>
                        <w:rFonts w:ascii="Helvetica"/>
                        <w:b/>
                        <w:sz w:val="16"/>
                      </w:rPr>
                    </w:pPr>
                    <w:r>
                      <w:rPr>
                        <w:rFonts w:ascii="Helvetica"/>
                        <w:b/>
                        <w:color w:val="231F20"/>
                        <w:sz w:val="16"/>
                      </w:rPr>
                      <w:t>Triamterene</w:t>
                    </w:r>
                  </w:p>
                </w:txbxContent>
              </v:textbox>
              <v:fill type="solid"/>
              <w10:wrap type="none"/>
            </v:shape>
            <v:shape style="position:absolute;left:290;top:3237;width:2034;height:687" type="#_x0000_t202" filled="true" fillcolor="#d4e5f3" stroked="false">
              <v:textbox inset="0,0,0,0">
                <w:txbxContent>
                  <w:p>
                    <w:pPr>
                      <w:spacing w:line="182" w:lineRule="exact" w:before="18"/>
                      <w:ind w:left="28" w:right="0" w:firstLine="0"/>
                      <w:jc w:val="left"/>
                      <w:rPr>
                        <w:rFonts w:ascii="Helvetica"/>
                        <w:b/>
                        <w:sz w:val="16"/>
                      </w:rPr>
                    </w:pPr>
                    <w:r>
                      <w:rPr>
                        <w:rFonts w:ascii="Helvetica"/>
                        <w:b/>
                        <w:color w:val="231F20"/>
                        <w:sz w:val="16"/>
                      </w:rPr>
                      <w:t>Aldosterone antagonists</w:t>
                    </w:r>
                  </w:p>
                  <w:p>
                    <w:pPr>
                      <w:numPr>
                        <w:ilvl w:val="0"/>
                        <w:numId w:val="15"/>
                      </w:numPr>
                      <w:tabs>
                        <w:tab w:pos="129" w:val="left" w:leader="none"/>
                      </w:tabs>
                      <w:spacing w:line="180" w:lineRule="exact" w:before="0"/>
                      <w:ind w:left="129" w:right="0" w:hanging="101"/>
                      <w:jc w:val="left"/>
                      <w:rPr>
                        <w:rFonts w:ascii="Helvetica"/>
                        <w:b/>
                        <w:sz w:val="16"/>
                      </w:rPr>
                    </w:pPr>
                    <w:r>
                      <w:rPr>
                        <w:rFonts w:ascii="Helvetica"/>
                        <w:b/>
                        <w:color w:val="231F20"/>
                        <w:sz w:val="16"/>
                      </w:rPr>
                      <w:t>Spironolactone</w:t>
                    </w:r>
                  </w:p>
                  <w:p>
                    <w:pPr>
                      <w:numPr>
                        <w:ilvl w:val="0"/>
                        <w:numId w:val="15"/>
                      </w:numPr>
                      <w:tabs>
                        <w:tab w:pos="129" w:val="left" w:leader="none"/>
                      </w:tabs>
                      <w:spacing w:line="182" w:lineRule="exact" w:before="0"/>
                      <w:ind w:left="129" w:right="0" w:hanging="101"/>
                      <w:jc w:val="left"/>
                      <w:rPr>
                        <w:rFonts w:ascii="Helvetica"/>
                        <w:b/>
                        <w:sz w:val="16"/>
                      </w:rPr>
                    </w:pPr>
                    <w:r>
                      <w:rPr>
                        <w:rFonts w:ascii="Helvetica"/>
                        <w:b/>
                        <w:color w:val="231F20"/>
                        <w:sz w:val="16"/>
                      </w:rPr>
                      <w:t>Eplerenone</w:t>
                    </w:r>
                  </w:p>
                </w:txbxContent>
              </v:textbox>
              <v:fill type="solid"/>
              <w10:wrap type="none"/>
            </v:shape>
          </v:group>
        </w:pict>
      </w:r>
      <w:r>
        <w:rPr/>
      </w:r>
      <w:r>
        <w:rPr/>
        <w:tab/>
      </w:r>
      <w:r>
        <w:rPr>
          <w:position w:val="17"/>
        </w:rPr>
        <w:pict>
          <v:group style="width:214.5pt;height:187.85pt;mso-position-horizontal-relative:char;mso-position-vertical-relative:line" coordorigin="0,0" coordsize="4290,3757">
            <v:shape style="position:absolute;left:802;top:22;width:2782;height:799" coordorigin="802,22" coordsize="2782,799" path="m3583,22l802,25,802,448,815,514,852,568,906,605,972,618,2591,618,2621,619,2698,627,2800,649,2904,690,2958,718,3023,748,3095,777,3171,801,3246,817,3315,821,3380,813,3440,794,3493,761,3537,713,3568,646,3583,560,3583,22xe" filled="true" fillcolor="#feebde" stroked="false">
              <v:path arrowok="t"/>
              <v:fill type="solid"/>
            </v:shape>
            <v:shape style="position:absolute;left:802;top:22;width:2782;height:799" coordorigin="802,22" coordsize="2782,799" path="m3583,22l3583,560,3568,646,3537,713,3493,761,3440,794,3380,813,3315,821,3246,817,3171,801,3095,777,3023,748,2958,718,2904,690,2800,649,2698,627,2621,619,2591,618,972,618,906,605,852,568,815,514,802,448,802,25e" filled="false" stroked="true" strokeweight=".5pt" strokecolor="#b7705b">
              <v:path arrowok="t"/>
              <v:stroke dashstyle="solid"/>
            </v:shape>
            <v:shape style="position:absolute;left:802;top:871;width:2782;height:2880" coordorigin="802,872" coordsize="2782,2880" path="m3315,872l3246,875,3171,891,3095,915,3023,944,2958,974,2904,1002,2826,1044,2767,1065,2699,1073,2591,1074,972,1074,906,1087,852,1124,815,1178,802,1244,802,3379,815,3445,852,3499,906,3535,972,3549,2591,3549,2621,3550,2698,3558,2800,3579,2904,3621,2958,3648,3023,3679,3095,3707,3171,3732,3246,3747,3315,3751,3380,3743,3440,3724,3493,3692,3537,3643,3568,3577,3583,3490,3583,1133,3568,1046,3537,979,3493,931,3440,899,3380,880,3315,872xe" filled="true" fillcolor="#feebde" stroked="false">
              <v:path arrowok="t"/>
              <v:fill type="solid"/>
            </v:shape>
            <v:shape style="position:absolute;left:802;top:871;width:2782;height:2880" coordorigin="802,872" coordsize="2782,2880" path="m3583,3490l3568,3577,3537,3643,3493,3692,3440,3724,3380,3743,3315,3751,3246,3747,3171,3732,3095,3707,3023,3679,2958,3648,2904,3621,2800,3579,2698,3558,2621,3550,2591,3549,972,3549,906,3535,852,3499,815,3445,802,3379,802,1244,815,1178,852,1124,906,1087,972,1074,2591,1074,2699,1073,2767,1065,2826,1044,2904,1002,2958,974,3023,944,3095,915,3171,891,3246,875,3315,872,3380,880,3440,899,3493,931,3537,979,3568,1046,3583,1133,3583,3490xe" filled="false" stroked="true" strokeweight=".5pt" strokecolor="#b7705b">
              <v:path arrowok="t"/>
              <v:stroke dashstyle="solid"/>
            </v:shape>
            <v:shape style="position:absolute;left:720;top:3163;width:165;height:150" type="#_x0000_t75" stroked="false">
              <v:imagedata r:id="rId608" o:title=""/>
            </v:shape>
            <v:rect style="position:absolute;left:720;top:3293;width:160;height:40" filled="true" fillcolor="#e2874a" stroked="false">
              <v:fill type="solid"/>
            </v:rect>
            <v:rect style="position:absolute;left:720;top:3143;width:160;height:40" filled="true" fillcolor="#e2874a" stroked="false">
              <v:fill type="solid"/>
            </v:rect>
            <v:shape style="position:absolute;left:3792;top:1291;width:185;height:120" type="#_x0000_t75" stroked="false">
              <v:imagedata r:id="rId609" o:title=""/>
            </v:shape>
            <v:line style="position:absolute" from="3200,1351" to="3842,1351" stroked="true" strokeweight="1.5pt" strokecolor="#231f20">
              <v:stroke dashstyle="solid"/>
            </v:line>
            <v:line style="position:absolute" from="2081,1451" to="2081,1549" stroked="true" strokeweight="1pt" strokecolor="#231f20">
              <v:stroke dashstyle="solid"/>
            </v:line>
            <v:shape style="position:absolute;left:2040;top:1520;width:82;height:100" coordorigin="2040,1520" coordsize="82,100" path="m2040,1520l2081,1620,2112,1544,2081,1544,2040,1520xm2122,1520l2081,1544,2112,1544,2122,1520xe" filled="true" fillcolor="#231f20" stroked="false">
              <v:path arrowok="t"/>
              <v:fill type="solid"/>
            </v:shape>
            <v:line style="position:absolute" from="2081,1846" to="2081,1944" stroked="true" strokeweight="1pt" strokecolor="#231f20">
              <v:stroke dashstyle="solid"/>
            </v:line>
            <v:shape style="position:absolute;left:2040;top:1915;width:82;height:100" coordorigin="2040,1915" coordsize="82,100" path="m2040,1915l2081,2015,2112,1939,2081,1939,2040,1915xm2122,1915l2081,1939,2112,1939,2122,1915xe" filled="true" fillcolor="#231f20" stroked="false">
              <v:path arrowok="t"/>
              <v:fill type="solid"/>
            </v:shape>
            <v:shape style="position:absolute;left:1539;top:3199;width:100;height:82" coordorigin="1540,3200" coordsize="100,82" path="m1639,3200l1540,3240,1639,3281,1616,3240,1639,3200xe" filled="true" fillcolor="#231f20" stroked="false">
              <v:path arrowok="t"/>
              <v:fill type="solid"/>
            </v:shape>
            <v:shape style="position:absolute;left:3392;top:1337;width:367;height:367" type="#_x0000_t75" stroked="false">
              <v:imagedata r:id="rId610" o:title=""/>
            </v:shape>
            <v:shape style="position:absolute;left:3792;top:2816;width:185;height:120" type="#_x0000_t75" stroked="false">
              <v:imagedata r:id="rId611" o:title=""/>
            </v:shape>
            <v:line style="position:absolute" from="3200,2876" to="3842,2876" stroked="true" strokeweight="1.5pt" strokecolor="#231f20">
              <v:stroke dashstyle="solid"/>
            </v:line>
            <v:shape style="position:absolute;left:3180;top:3169;width:185;height:120" type="#_x0000_t75" stroked="false">
              <v:imagedata r:id="rId612" o:title=""/>
            </v:shape>
            <v:shape style="position:absolute;left:3392;top:2861;width:367;height:367" type="#_x0000_t75" stroked="false">
              <v:imagedata r:id="rId610" o:title=""/>
            </v:shape>
            <v:shape style="position:absolute;left:322;top:3180;width:185;height:120" type="#_x0000_t75" stroked="false">
              <v:imagedata r:id="rId613" o:title=""/>
            </v:shape>
            <v:line style="position:absolute" from="1260,3240" to="458,3240" stroked="true" strokeweight="1.5pt" strokecolor="#231f20">
              <v:stroke dashstyle="shortdash"/>
            </v:line>
            <v:shape style="position:absolute;left:3496;top:2026;width:165;height:150" type="#_x0000_t75" stroked="false">
              <v:imagedata r:id="rId614" o:title=""/>
            </v:shape>
            <v:rect style="position:absolute;left:3504;top:2156;width:160;height:40" filled="true" fillcolor="#e2874a" stroked="false">
              <v:fill type="solid"/>
            </v:rect>
            <v:rect style="position:absolute;left:3504;top:2006;width:160;height:40" filled="true" fillcolor="#e2874a" stroked="false">
              <v:fill type="solid"/>
            </v:rect>
            <v:shape style="position:absolute;left:3794;top:2043;width:185;height:120" type="#_x0000_t75" stroked="false">
              <v:imagedata r:id="rId615" o:title=""/>
            </v:shape>
            <v:line style="position:absolute" from="3202,2103" to="3844,2103" stroked="true" strokeweight="1.5pt" strokecolor="#231f20">
              <v:stroke dashstyle="solid"/>
            </v:line>
            <v:shape style="position:absolute;left:1459;top:1283;width:185;height:120" type="#_x0000_t75" stroked="false">
              <v:imagedata r:id="rId616" o:title=""/>
            </v:shape>
            <v:line style="position:absolute" from="422,1343" to="1509,1343" stroked="true" strokeweight="1.5pt" strokecolor="#231f20">
              <v:stroke dashstyle="shortdash"/>
            </v:line>
            <v:shape style="position:absolute;left:308;top:2510;width:180;height:117" type="#_x0000_t75" stroked="false">
              <v:imagedata r:id="rId617" o:title=""/>
            </v:shape>
            <v:line style="position:absolute" from="1178,2568" to="440,2568" stroked="true" strokeweight="1.5pt" strokecolor="#231f20">
              <v:stroke dashstyle="solid"/>
            </v:line>
            <v:shape style="position:absolute;left:1077;top:2884;width:180;height:117" type="#_x0000_t75" stroked="false">
              <v:imagedata r:id="rId618" o:title=""/>
            </v:shape>
            <v:shape style="position:absolute;left:606;top:2563;width:381;height:380" type="#_x0000_t75" stroked="false">
              <v:imagedata r:id="rId619" o:title=""/>
            </v:shape>
            <v:shape style="position:absolute;left:1702;top:2184;width:187;height:284" type="#_x0000_t75" stroked="false">
              <v:imagedata r:id="rId620" o:title=""/>
            </v:shape>
            <v:shape style="position:absolute;left:2572;top:1577;width:617;height:1104" coordorigin="2573,1578" coordsize="617,1104" path="m3189,1578l3165,1659,3134,1735,3096,1803,3053,1865,3005,1920,2951,1969,2894,2010,2834,2044,2771,2070,2706,2089,2640,2101,2573,2105,2642,2113,2709,2136,2774,2172,2837,2219,2896,2275,2952,2338,3003,2405,3048,2475,3088,2546,3122,2615,3149,2681e" filled="false" stroked="true" strokeweight="1pt" strokecolor="#231f20">
              <v:path arrowok="t"/>
              <v:stroke dashstyle="solid"/>
            </v:shape>
            <v:shape style="position:absolute;left:3143;top:1508;width:80;height:106" coordorigin="3143,1508" coordsize="80,106" path="m3217,1583l3188,1583,3223,1614,3217,1583xm3203,1508l3143,1597,3188,1583,3217,1583,3203,1508xe" filled="true" fillcolor="#231f20" stroked="false">
              <v:path arrowok="t"/>
              <v:fill type="solid"/>
            </v:shape>
            <v:shape style="position:absolute;left:3100;top:2641;width:78;height:108" coordorigin="3101,2641" coordsize="78,108" path="m3101,2666l3170,2748,3175,2676,3147,2676,3101,2666xm3178,2641l3147,2676,3175,2676,3178,2641xe" filled="true" fillcolor="#231f20" stroked="false">
              <v:path arrowok="t"/>
              <v:fill type="solid"/>
            </v:shape>
            <v:shape style="position:absolute;left:0;top:0;width:69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Renal interstitial</w:t>
                    </w:r>
                    <w:r>
                      <w:rPr>
                        <w:rFonts w:ascii="Helvetica"/>
                        <w:color w:val="231F20"/>
                        <w:w w:val="99"/>
                        <w:sz w:val="16"/>
                      </w:rPr>
                      <w:t> </w:t>
                    </w:r>
                    <w:r>
                      <w:rPr>
                        <w:rFonts w:ascii="Helvetica"/>
                        <w:color w:val="231F20"/>
                        <w:sz w:val="16"/>
                      </w:rPr>
                      <w:t>fluid</w:t>
                    </w:r>
                  </w:p>
                </w:txbxContent>
              </v:textbox>
              <w10:wrap type="none"/>
            </v:shape>
            <v:shape style="position:absolute;left:1622;top:120;width:1132;height:365" type="#_x0000_t202" filled="false" stroked="false">
              <v:textbox inset="0,0,0,0">
                <w:txbxContent>
                  <w:p>
                    <w:pPr>
                      <w:spacing w:line="235" w:lineRule="auto" w:before="2"/>
                      <w:ind w:left="0" w:right="0" w:firstLine="302"/>
                      <w:jc w:val="left"/>
                      <w:rPr>
                        <w:rFonts w:ascii="Helvetica"/>
                        <w:sz w:val="16"/>
                      </w:rPr>
                    </w:pPr>
                    <w:r>
                      <w:rPr>
                        <w:rFonts w:ascii="Helvetica"/>
                        <w:color w:val="231F20"/>
                        <w:sz w:val="16"/>
                      </w:rPr>
                      <w:t>Type A intercalated cell</w:t>
                    </w:r>
                  </w:p>
                </w:txbxContent>
              </v:textbox>
              <w10:wrap type="none"/>
            </v:shape>
            <v:shape style="position:absolute;left:3726;top:0;width:563;height:365" type="#_x0000_t202" filled="false" stroked="false">
              <v:textbox inset="0,0,0,0">
                <w:txbxContent>
                  <w:p>
                    <w:pPr>
                      <w:spacing w:line="235" w:lineRule="auto" w:before="2"/>
                      <w:ind w:left="53" w:right="1" w:hanging="54"/>
                      <w:jc w:val="left"/>
                      <w:rPr>
                        <w:rFonts w:ascii="Helvetica"/>
                        <w:sz w:val="16"/>
                      </w:rPr>
                    </w:pPr>
                    <w:r>
                      <w:rPr>
                        <w:rFonts w:ascii="Helvetica"/>
                        <w:color w:val="231F20"/>
                        <w:sz w:val="16"/>
                      </w:rPr>
                      <w:t>Tubular lumen</w:t>
                    </w:r>
                  </w:p>
                </w:txbxContent>
              </v:textbox>
              <w10:wrap type="none"/>
            </v:shape>
            <v:shape style="position:absolute;left:87;top:1255;width:327;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w:t>
                    </w:r>
                    <w:r>
                      <w:rPr>
                        <w:rFonts w:ascii="Helvetica"/>
                        <w:color w:val="231F20"/>
                        <w:sz w:val="16"/>
                        <w:vertAlign w:val="subscript"/>
                      </w:rPr>
                      <w:t>2</w:t>
                    </w:r>
                  </w:p>
                </w:txbxContent>
              </v:textbox>
              <w10:wrap type="none"/>
            </v:shape>
            <v:shape style="position:absolute;left:1690;top:1255;width:816;height:591" type="#_x0000_t202" filled="false" stroked="false">
              <v:textbox inset="0,0,0,0">
                <w:txbxContent>
                  <w:p>
                    <w:pPr>
                      <w:spacing w:line="183" w:lineRule="exact" w:before="0"/>
                      <w:ind w:left="-1" w:right="18" w:firstLine="0"/>
                      <w:jc w:val="center"/>
                      <w:rPr>
                        <w:rFonts w:ascii="Helvetica"/>
                        <w:sz w:val="16"/>
                      </w:rPr>
                    </w:pPr>
                    <w:r>
                      <w:rPr>
                        <w:rFonts w:ascii="Helvetica"/>
                        <w:color w:val="231F20"/>
                        <w:sz w:val="16"/>
                      </w:rPr>
                      <w:t>CO</w:t>
                    </w:r>
                    <w:r>
                      <w:rPr>
                        <w:rFonts w:ascii="Helvetica"/>
                        <w:color w:val="231F20"/>
                        <w:sz w:val="16"/>
                        <w:vertAlign w:val="subscript"/>
                      </w:rPr>
                      <w:t>2</w:t>
                    </w:r>
                    <w:r>
                      <w:rPr>
                        <w:rFonts w:ascii="Helvetica"/>
                        <w:color w:val="231F20"/>
                        <w:sz w:val="16"/>
                        <w:vertAlign w:val="baseline"/>
                      </w:rPr>
                      <w:t> +</w:t>
                    </w:r>
                    <w:r>
                      <w:rPr>
                        <w:rFonts w:ascii="Helvetica"/>
                        <w:color w:val="231F20"/>
                        <w:spacing w:val="-14"/>
                        <w:sz w:val="16"/>
                        <w:vertAlign w:val="baseline"/>
                      </w:rPr>
                      <w:t> </w:t>
                    </w:r>
                    <w:r>
                      <w:rPr>
                        <w:rFonts w:ascii="Helvetica"/>
                        <w:color w:val="231F20"/>
                        <w:sz w:val="16"/>
                        <w:vertAlign w:val="baseline"/>
                      </w:rPr>
                      <w:t>H</w:t>
                    </w:r>
                    <w:r>
                      <w:rPr>
                        <w:rFonts w:ascii="Helvetica"/>
                        <w:color w:val="231F20"/>
                        <w:sz w:val="16"/>
                        <w:vertAlign w:val="subscript"/>
                      </w:rPr>
                      <w:t>2</w:t>
                    </w:r>
                    <w:r>
                      <w:rPr>
                        <w:rFonts w:ascii="Helvetica"/>
                        <w:color w:val="231F20"/>
                        <w:sz w:val="16"/>
                        <w:vertAlign w:val="baseline"/>
                      </w:rPr>
                      <w:t>O</w:t>
                    </w:r>
                  </w:p>
                  <w:p>
                    <w:pPr>
                      <w:spacing w:line="240" w:lineRule="auto" w:before="5"/>
                      <w:rPr>
                        <w:rFonts w:ascii="Helvetica"/>
                        <w:sz w:val="17"/>
                      </w:rPr>
                    </w:pPr>
                  </w:p>
                  <w:p>
                    <w:pPr>
                      <w:spacing w:before="0"/>
                      <w:ind w:left="1" w:right="18" w:firstLine="0"/>
                      <w:jc w:val="center"/>
                      <w:rPr>
                        <w:rFonts w:ascii="Helvetica"/>
                        <w:sz w:val="16"/>
                      </w:rPr>
                    </w:pPr>
                    <w:r>
                      <w:rPr>
                        <w:rFonts w:ascii="Helvetica"/>
                        <w:color w:val="231F20"/>
                        <w:sz w:val="16"/>
                      </w:rPr>
                      <w:t>H</w:t>
                    </w:r>
                    <w:r>
                      <w:rPr>
                        <w:rFonts w:ascii="Helvetica"/>
                        <w:color w:val="231F20"/>
                        <w:sz w:val="16"/>
                        <w:vertAlign w:val="subscript"/>
                      </w:rPr>
                      <w:t>2</w:t>
                    </w:r>
                    <w:r>
                      <w:rPr>
                        <w:rFonts w:ascii="Helvetica"/>
                        <w:color w:val="231F20"/>
                        <w:sz w:val="16"/>
                        <w:vertAlign w:val="baseline"/>
                      </w:rPr>
                      <w:t>CO</w:t>
                    </w:r>
                    <w:r>
                      <w:rPr>
                        <w:rFonts w:ascii="Helvetica"/>
                        <w:color w:val="231F20"/>
                        <w:sz w:val="16"/>
                        <w:vertAlign w:val="subscript"/>
                      </w:rPr>
                      <w:t>3</w:t>
                    </w:r>
                  </w:p>
                </w:txbxContent>
              </v:textbox>
              <w10:wrap type="none"/>
            </v:shape>
            <v:shape style="position:absolute;left:4017;top:1240;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3428;top:1434;width:3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ATP</w:t>
                    </w:r>
                  </w:p>
                </w:txbxContent>
              </v:textbox>
              <w10:wrap type="none"/>
            </v:shape>
            <v:shape style="position:absolute;left:1665;top:2002;width:866;height:198" type="#_x0000_t202" filled="false" stroked="false">
              <v:textbox inset="0,0,0,0">
                <w:txbxContent>
                  <w:p>
                    <w:pPr>
                      <w:spacing w:line="196" w:lineRule="exact" w:before="0"/>
                      <w:ind w:left="0" w:right="0" w:firstLine="0"/>
                      <w:jc w:val="left"/>
                      <w:rPr>
                        <w:rFonts w:ascii="Helvetica" w:hAnsi="Helvetica"/>
                        <w:sz w:val="12"/>
                      </w:rPr>
                    </w:pPr>
                    <w:r>
                      <w:rPr>
                        <w:rFonts w:ascii="Helvetica" w:hAnsi="Helvetica"/>
                        <w:color w:val="231F20"/>
                        <w:sz w:val="16"/>
                      </w:rPr>
                      <w:t>HCO </w:t>
                    </w:r>
                    <w:r>
                      <w:rPr>
                        <w:rFonts w:ascii="Helvetica" w:hAnsi="Helvetica"/>
                        <w:color w:val="231F20"/>
                        <w:position w:val="5"/>
                        <w:sz w:val="12"/>
                      </w:rPr>
                      <w:t>– </w:t>
                    </w:r>
                    <w:r>
                      <w:rPr>
                        <w:rFonts w:ascii="Helvetica" w:hAnsi="Helvetica"/>
                        <w:color w:val="231F20"/>
                        <w:sz w:val="16"/>
                      </w:rPr>
                      <w:t>+ H</w:t>
                    </w:r>
                    <w:r>
                      <w:rPr>
                        <w:rFonts w:ascii="Helvetica" w:hAnsi="Helvetica"/>
                        <w:color w:val="231F20"/>
                        <w:position w:val="5"/>
                        <w:sz w:val="12"/>
                      </w:rPr>
                      <w:t>+</w:t>
                    </w:r>
                  </w:p>
                </w:txbxContent>
              </v:textbox>
              <w10:wrap type="none"/>
            </v:shape>
            <v:shape style="position:absolute;left:2021;top:2083;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3</w:t>
                    </w:r>
                  </w:p>
                </w:txbxContent>
              </v:textbox>
              <w10:wrap type="none"/>
            </v:shape>
            <v:shape style="position:absolute;left:4013;top:1999;width:247;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Cl</w:t>
                    </w:r>
                    <w:r>
                      <w:rPr>
                        <w:rFonts w:ascii="Helvetica" w:hAnsi="Helvetica"/>
                        <w:b/>
                        <w:color w:val="231F20"/>
                        <w:position w:val="5"/>
                        <w:sz w:val="12"/>
                      </w:rPr>
                      <w:t>–</w:t>
                    </w:r>
                  </w:p>
                </w:txbxContent>
              </v:textbox>
              <w10:wrap type="none"/>
            </v:shape>
            <v:shape style="position:absolute;left:1219;top:2465;width:443;height:212" type="#_x0000_t202" filled="false" stroked="false">
              <v:textbox inset="0,0,0,0">
                <w:txbxContent>
                  <w:p>
                    <w:pPr>
                      <w:spacing w:before="4"/>
                      <w:ind w:left="0" w:right="0" w:firstLine="0"/>
                      <w:jc w:val="left"/>
                      <w:rPr>
                        <w:rFonts w:ascii="Helvetica"/>
                        <w:b/>
                        <w:sz w:val="16"/>
                      </w:rPr>
                    </w:pPr>
                    <w:r>
                      <w:rPr>
                        <w:rFonts w:ascii="Helvetica"/>
                        <w:b/>
                        <w:color w:val="231F20"/>
                        <w:sz w:val="16"/>
                      </w:rPr>
                      <w:t>HCO</w:t>
                    </w:r>
                    <w:r>
                      <w:rPr>
                        <w:rFonts w:ascii="Helvetica"/>
                        <w:b/>
                        <w:color w:val="231F20"/>
                        <w:sz w:val="16"/>
                        <w:vertAlign w:val="subscript"/>
                      </w:rPr>
                      <w:t>3</w:t>
                    </w:r>
                  </w:p>
                </w:txbxContent>
              </v:textbox>
              <w10:wrap type="none"/>
            </v:shape>
            <v:shape style="position:absolute;left:1641;top:2453;width:87;height:143"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w w:val="99"/>
                        <w:sz w:val="12"/>
                      </w:rPr>
                      <w:t>–</w:t>
                    </w:r>
                  </w:p>
                </w:txbxContent>
              </v:textbox>
              <w10:wrap type="none"/>
            </v:shape>
            <v:shape style="position:absolute;left:59;top:2829;width:1086;height:202" type="#_x0000_t202" filled="false" stroked="false">
              <v:textbox inset="0,0,0,0">
                <w:txbxContent>
                  <w:p>
                    <w:pPr>
                      <w:tabs>
                        <w:tab w:pos="1065" w:val="left" w:leader="none"/>
                      </w:tabs>
                      <w:spacing w:before="3"/>
                      <w:ind w:left="0" w:right="0" w:firstLine="0"/>
                      <w:jc w:val="left"/>
                      <w:rPr>
                        <w:rFonts w:ascii="Helvetica" w:hAnsi="Helvetica"/>
                        <w:b/>
                        <w:sz w:val="12"/>
                      </w:rPr>
                    </w:pPr>
                    <w:r>
                      <w:rPr>
                        <w:rFonts w:ascii="Helvetica" w:hAnsi="Helvetica"/>
                        <w:b/>
                        <w:color w:val="231F20"/>
                        <w:position w:val="-4"/>
                        <w:sz w:val="16"/>
                      </w:rPr>
                      <w:t>Cl</w:t>
                    </w:r>
                    <w:r>
                      <w:rPr>
                        <w:rFonts w:ascii="Helvetica" w:hAnsi="Helvetica"/>
                        <w:b/>
                        <w:color w:val="231F20"/>
                        <w:sz w:val="12"/>
                      </w:rPr>
                      <w:t>–</w:t>
                    </w:r>
                    <w:r>
                      <w:rPr>
                        <w:rFonts w:ascii="Helvetica" w:hAnsi="Helvetica"/>
                        <w:b/>
                        <w:color w:val="231F20"/>
                        <w:spacing w:val="8"/>
                        <w:sz w:val="12"/>
                      </w:rPr>
                      <w:t> </w:t>
                    </w:r>
                    <w:r>
                      <w:rPr>
                        <w:rFonts w:ascii="Helvetica" w:hAnsi="Helvetica"/>
                        <w:b/>
                        <w:color w:val="231F20"/>
                        <w:w w:val="100"/>
                        <w:sz w:val="12"/>
                        <w:u w:val="thick" w:color="231F20"/>
                      </w:rPr>
                      <w:t> </w:t>
                    </w:r>
                    <w:r>
                      <w:rPr>
                        <w:rFonts w:ascii="Helvetica" w:hAnsi="Helvetica"/>
                        <w:b/>
                        <w:color w:val="231F20"/>
                        <w:sz w:val="12"/>
                        <w:u w:val="thick" w:color="231F20"/>
                      </w:rPr>
                      <w:tab/>
                    </w:r>
                  </w:p>
                </w:txbxContent>
              </v:textbox>
              <w10:wrap type="none"/>
            </v:shape>
            <v:shape style="position:absolute;left:4017;top:2765;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1320;top:3118;width:1846;height:202" type="#_x0000_t202" filled="false" stroked="false">
              <v:textbox inset="0,0,0,0">
                <w:txbxContent>
                  <w:p>
                    <w:pPr>
                      <w:tabs>
                        <w:tab w:pos="1595" w:val="left" w:leader="none"/>
                      </w:tabs>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r>
                      <w:rPr>
                        <w:rFonts w:ascii="Helvetica"/>
                        <w:b/>
                        <w:color w:val="231F20"/>
                        <w:sz w:val="12"/>
                        <w:u w:val="single" w:color="231F20"/>
                      </w:rPr>
                      <w:t> </w:t>
                      <w:tab/>
                    </w:r>
                    <w:r>
                      <w:rPr>
                        <w:rFonts w:ascii="Helvetica"/>
                        <w:b/>
                        <w:color w:val="231F20"/>
                        <w:position w:val="-4"/>
                        <w:sz w:val="16"/>
                      </w:rPr>
                      <w:t>K</w:t>
                    </w:r>
                    <w:r>
                      <w:rPr>
                        <w:rFonts w:ascii="Helvetica"/>
                        <w:b/>
                        <w:color w:val="231F20"/>
                        <w:sz w:val="12"/>
                      </w:rPr>
                      <w:t>+</w:t>
                    </w:r>
                  </w:p>
                </w:txbxContent>
              </v:textbox>
              <w10:wrap type="none"/>
            </v:shape>
            <v:shape style="position:absolute;left:3315;top:2958;width:682;height:303" type="#_x0000_t202" filled="false" stroked="false">
              <v:textbox inset="0,0,0,0">
                <w:txbxContent>
                  <w:p>
                    <w:pPr>
                      <w:spacing w:line="173" w:lineRule="exact" w:before="0"/>
                      <w:ind w:left="112" w:right="0" w:firstLine="0"/>
                      <w:jc w:val="left"/>
                      <w:rPr>
                        <w:rFonts w:ascii="Helvetica"/>
                        <w:sz w:val="16"/>
                      </w:rPr>
                    </w:pPr>
                    <w:r>
                      <w:rPr>
                        <w:rFonts w:ascii="Helvetica"/>
                        <w:color w:val="231F20"/>
                        <w:sz w:val="16"/>
                      </w:rPr>
                      <w:t>ATP</w:t>
                    </w:r>
                  </w:p>
                  <w:p>
                    <w:pPr>
                      <w:tabs>
                        <w:tab w:pos="661" w:val="left" w:leader="none"/>
                      </w:tabs>
                      <w:spacing w:line="128" w:lineRule="exact" w:before="0"/>
                      <w:ind w:left="0" w:right="0" w:firstLine="0"/>
                      <w:jc w:val="left"/>
                      <w:rPr>
                        <w:rFonts w:ascii="Helvetica"/>
                        <w:b/>
                        <w:sz w:val="12"/>
                      </w:rPr>
                    </w:pPr>
                    <w:r>
                      <w:rPr>
                        <w:rFonts w:ascii="Helvetica"/>
                        <w:b/>
                        <w:color w:val="231F20"/>
                        <w:w w:val="100"/>
                        <w:sz w:val="12"/>
                        <w:u w:val="thick" w:color="231F20"/>
                      </w:rPr>
                      <w:t> </w:t>
                    </w:r>
                    <w:r>
                      <w:rPr>
                        <w:rFonts w:ascii="Helvetica"/>
                        <w:b/>
                        <w:color w:val="231F20"/>
                        <w:sz w:val="12"/>
                        <w:u w:val="thick" w:color="231F20"/>
                      </w:rPr>
                      <w:tab/>
                    </w:r>
                  </w:p>
                </w:txbxContent>
              </v:textbox>
              <w10:wrap type="none"/>
            </v:shape>
          </v:group>
        </w:pict>
      </w:r>
      <w:r>
        <w:rPr>
          <w:position w:val="17"/>
        </w:rPr>
      </w:r>
    </w:p>
    <w:p>
      <w:pPr>
        <w:spacing w:after="0"/>
        <w:sectPr>
          <w:headerReference w:type="default" r:id="rId595"/>
          <w:pgSz w:w="12240" w:h="15660"/>
          <w:pgMar w:header="0" w:footer="567" w:top="0" w:bottom="760" w:left="0" w:right="0"/>
        </w:sectPr>
      </w:pPr>
    </w:p>
    <w:p>
      <w:pPr>
        <w:spacing w:line="261" w:lineRule="auto" w:before="68"/>
        <w:ind w:left="1440" w:right="0" w:firstLine="0"/>
        <w:jc w:val="both"/>
        <w:rPr>
          <w:rFonts w:ascii="Arial" w:hAnsi="Arial"/>
          <w:sz w:val="16"/>
        </w:rPr>
      </w:pPr>
      <w:r>
        <w:rPr/>
        <w:pict>
          <v:group style="position:absolute;margin-left:0pt;margin-top:0pt;width:612pt;height:180pt;mso-position-horizontal-relative:page;mso-position-vertical-relative:page;z-index:-27322880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r>
        <w:rPr/>
        <w:pict>
          <v:rect style="position:absolute;margin-left:576pt;margin-top:-58.685753pt;width:36pt;height:24pt;mso-position-horizontal-relative:page;mso-position-vertical-relative:paragraph;z-index:252177408" filled="true" fillcolor="#e8dac8" stroked="false">
            <v:fill type="solid"/>
            <w10:wrap type="none"/>
          </v:rect>
        </w:pict>
      </w:r>
      <w:r>
        <w:rPr/>
        <w:pict>
          <v:shape style="position:absolute;margin-left:578.900024pt;margin-top:-135.028458pt;width:15.9pt;height:53.35pt;mso-position-horizontal-relative:page;mso-position-vertical-relative:paragraph;z-index:25219788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bookmarkStart w:name="_bookmark51" w:id="52"/>
      <w:bookmarkEnd w:id="52"/>
      <w:r>
        <w:rPr/>
      </w:r>
      <w:r>
        <w:rPr>
          <w:rFonts w:ascii="Trebuchet MS" w:hAnsi="Trebuchet MS"/>
          <w:b/>
          <w:color w:val="231F20"/>
          <w:sz w:val="16"/>
        </w:rPr>
        <w:t>Figure 28­12. </w:t>
      </w:r>
      <w:r>
        <w:rPr>
          <w:rFonts w:ascii="Arial" w:hAnsi="Arial"/>
          <w:color w:val="231F20"/>
          <w:sz w:val="16"/>
        </w:rPr>
        <w:t>Mechanism of sodium-chloride reabsorption </w:t>
      </w:r>
      <w:r>
        <w:rPr>
          <w:rFonts w:ascii="Arial" w:hAnsi="Arial"/>
          <w:color w:val="231F20"/>
          <w:spacing w:val="-5"/>
          <w:sz w:val="16"/>
        </w:rPr>
        <w:t>and </w:t>
      </w:r>
      <w:r>
        <w:rPr>
          <w:rFonts w:ascii="Arial" w:hAnsi="Arial"/>
          <w:color w:val="231F20"/>
          <w:sz w:val="16"/>
        </w:rPr>
        <w:t>potassium</w:t>
      </w:r>
      <w:r>
        <w:rPr>
          <w:rFonts w:ascii="Arial" w:hAnsi="Arial"/>
          <w:color w:val="231F20"/>
          <w:spacing w:val="-21"/>
          <w:sz w:val="16"/>
        </w:rPr>
        <w:t> </w:t>
      </w:r>
      <w:r>
        <w:rPr>
          <w:rFonts w:ascii="Arial" w:hAnsi="Arial"/>
          <w:color w:val="231F20"/>
          <w:sz w:val="16"/>
        </w:rPr>
        <w:t>secretion</w:t>
      </w:r>
      <w:r>
        <w:rPr>
          <w:rFonts w:ascii="Arial" w:hAnsi="Arial"/>
          <w:color w:val="231F20"/>
          <w:spacing w:val="-20"/>
          <w:sz w:val="16"/>
        </w:rPr>
        <w:t> </w:t>
      </w:r>
      <w:r>
        <w:rPr>
          <w:rFonts w:ascii="Arial" w:hAnsi="Arial"/>
          <w:color w:val="231F20"/>
          <w:sz w:val="16"/>
        </w:rPr>
        <w:t>in</w:t>
      </w:r>
      <w:r>
        <w:rPr>
          <w:rFonts w:ascii="Arial" w:hAnsi="Arial"/>
          <w:color w:val="231F20"/>
          <w:spacing w:val="-20"/>
          <w:sz w:val="16"/>
        </w:rPr>
        <w:t> </w:t>
      </w:r>
      <w:r>
        <w:rPr>
          <w:rFonts w:ascii="Arial" w:hAnsi="Arial"/>
          <w:color w:val="231F20"/>
          <w:sz w:val="16"/>
        </w:rPr>
        <w:t>the</w:t>
      </w:r>
      <w:r>
        <w:rPr>
          <w:rFonts w:ascii="Arial" w:hAnsi="Arial"/>
          <w:color w:val="231F20"/>
          <w:spacing w:val="-20"/>
          <w:sz w:val="16"/>
        </w:rPr>
        <w:t> </w:t>
      </w:r>
      <w:r>
        <w:rPr>
          <w:rFonts w:ascii="Arial" w:hAnsi="Arial"/>
          <w:color w:val="231F20"/>
          <w:sz w:val="16"/>
        </w:rPr>
        <w:t>principal</w:t>
      </w:r>
      <w:r>
        <w:rPr>
          <w:rFonts w:ascii="Arial" w:hAnsi="Arial"/>
          <w:color w:val="231F20"/>
          <w:spacing w:val="-20"/>
          <w:sz w:val="16"/>
        </w:rPr>
        <w:t> </w:t>
      </w:r>
      <w:r>
        <w:rPr>
          <w:rFonts w:ascii="Arial" w:hAnsi="Arial"/>
          <w:color w:val="231F20"/>
          <w:sz w:val="16"/>
        </w:rPr>
        <w:t>cells</w:t>
      </w:r>
      <w:r>
        <w:rPr>
          <w:rFonts w:ascii="Arial" w:hAnsi="Arial"/>
          <w:color w:val="231F20"/>
          <w:spacing w:val="-20"/>
          <w:sz w:val="16"/>
        </w:rPr>
        <w:t> </w:t>
      </w:r>
      <w:r>
        <w:rPr>
          <w:rFonts w:ascii="Arial" w:hAnsi="Arial"/>
          <w:color w:val="231F20"/>
          <w:sz w:val="16"/>
        </w:rPr>
        <w:t>of</w:t>
      </w:r>
      <w:r>
        <w:rPr>
          <w:rFonts w:ascii="Arial" w:hAnsi="Arial"/>
          <w:color w:val="231F20"/>
          <w:spacing w:val="-20"/>
          <w:sz w:val="16"/>
        </w:rPr>
        <w:t> </w:t>
      </w:r>
      <w:r>
        <w:rPr>
          <w:rFonts w:ascii="Arial" w:hAnsi="Arial"/>
          <w:color w:val="231F20"/>
          <w:sz w:val="16"/>
        </w:rPr>
        <w:t>the</w:t>
      </w:r>
      <w:r>
        <w:rPr>
          <w:rFonts w:ascii="Arial" w:hAnsi="Arial"/>
          <w:color w:val="231F20"/>
          <w:spacing w:val="-20"/>
          <w:sz w:val="16"/>
        </w:rPr>
        <w:t> </w:t>
      </w:r>
      <w:r>
        <w:rPr>
          <w:rFonts w:ascii="Arial" w:hAnsi="Arial"/>
          <w:color w:val="231F20"/>
          <w:sz w:val="16"/>
        </w:rPr>
        <w:t>late</w:t>
      </w:r>
      <w:r>
        <w:rPr>
          <w:rFonts w:ascii="Arial" w:hAnsi="Arial"/>
          <w:color w:val="231F20"/>
          <w:spacing w:val="-20"/>
          <w:sz w:val="16"/>
        </w:rPr>
        <w:t> </w:t>
      </w:r>
      <w:r>
        <w:rPr>
          <w:rFonts w:ascii="Arial" w:hAnsi="Arial"/>
          <w:color w:val="231F20"/>
          <w:sz w:val="16"/>
        </w:rPr>
        <w:t>distal</w:t>
      </w:r>
      <w:r>
        <w:rPr>
          <w:rFonts w:ascii="Arial" w:hAnsi="Arial"/>
          <w:color w:val="231F20"/>
          <w:spacing w:val="-20"/>
          <w:sz w:val="16"/>
        </w:rPr>
        <w:t> </w:t>
      </w:r>
      <w:r>
        <w:rPr>
          <w:rFonts w:ascii="Arial" w:hAnsi="Arial"/>
          <w:color w:val="231F20"/>
          <w:sz w:val="16"/>
        </w:rPr>
        <w:t>tubules</w:t>
      </w:r>
      <w:r>
        <w:rPr>
          <w:rFonts w:ascii="Arial" w:hAnsi="Arial"/>
          <w:color w:val="231F20"/>
          <w:spacing w:val="-20"/>
          <w:sz w:val="16"/>
        </w:rPr>
        <w:t> </w:t>
      </w:r>
      <w:r>
        <w:rPr>
          <w:rFonts w:ascii="Arial" w:hAnsi="Arial"/>
          <w:color w:val="231F20"/>
          <w:spacing w:val="-4"/>
          <w:sz w:val="16"/>
        </w:rPr>
        <w:t>and </w:t>
      </w:r>
      <w:r>
        <w:rPr>
          <w:rFonts w:ascii="Arial" w:hAnsi="Arial"/>
          <w:color w:val="231F20"/>
          <w:sz w:val="16"/>
        </w:rPr>
        <w:t>cortical collecting tubules. Sodium enters the cell through special channels</w:t>
      </w:r>
      <w:r>
        <w:rPr>
          <w:rFonts w:ascii="Arial" w:hAnsi="Arial"/>
          <w:color w:val="231F20"/>
          <w:spacing w:val="-12"/>
          <w:sz w:val="16"/>
        </w:rPr>
        <w:t> </w:t>
      </w:r>
      <w:r>
        <w:rPr>
          <w:rFonts w:ascii="Arial" w:hAnsi="Arial"/>
          <w:color w:val="231F20"/>
          <w:sz w:val="16"/>
        </w:rPr>
        <w:t>and</w:t>
      </w:r>
      <w:r>
        <w:rPr>
          <w:rFonts w:ascii="Arial" w:hAnsi="Arial"/>
          <w:color w:val="231F20"/>
          <w:spacing w:val="-12"/>
          <w:sz w:val="16"/>
        </w:rPr>
        <w:t> </w:t>
      </w:r>
      <w:r>
        <w:rPr>
          <w:rFonts w:ascii="Arial" w:hAnsi="Arial"/>
          <w:color w:val="231F20"/>
          <w:sz w:val="16"/>
        </w:rPr>
        <w:t>is</w:t>
      </w:r>
      <w:r>
        <w:rPr>
          <w:rFonts w:ascii="Arial" w:hAnsi="Arial"/>
          <w:color w:val="231F20"/>
          <w:spacing w:val="-12"/>
          <w:sz w:val="16"/>
        </w:rPr>
        <w:t> </w:t>
      </w:r>
      <w:r>
        <w:rPr>
          <w:rFonts w:ascii="Arial" w:hAnsi="Arial"/>
          <w:color w:val="231F20"/>
          <w:sz w:val="16"/>
        </w:rPr>
        <w:t>transported</w:t>
      </w:r>
      <w:r>
        <w:rPr>
          <w:rFonts w:ascii="Arial" w:hAnsi="Arial"/>
          <w:color w:val="231F20"/>
          <w:spacing w:val="-12"/>
          <w:sz w:val="16"/>
        </w:rPr>
        <w:t> </w:t>
      </w:r>
      <w:r>
        <w:rPr>
          <w:rFonts w:ascii="Arial" w:hAnsi="Arial"/>
          <w:color w:val="231F20"/>
          <w:sz w:val="16"/>
        </w:rPr>
        <w:t>out</w:t>
      </w:r>
      <w:r>
        <w:rPr>
          <w:rFonts w:ascii="Arial" w:hAnsi="Arial"/>
          <w:color w:val="231F20"/>
          <w:spacing w:val="-11"/>
          <w:sz w:val="16"/>
        </w:rPr>
        <w:t> </w:t>
      </w:r>
      <w:r>
        <w:rPr>
          <w:rFonts w:ascii="Arial" w:hAnsi="Arial"/>
          <w:color w:val="231F20"/>
          <w:sz w:val="16"/>
        </w:rPr>
        <w:t>of</w:t>
      </w:r>
      <w:r>
        <w:rPr>
          <w:rFonts w:ascii="Arial" w:hAnsi="Arial"/>
          <w:color w:val="231F20"/>
          <w:spacing w:val="-12"/>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cell</w:t>
      </w:r>
      <w:r>
        <w:rPr>
          <w:rFonts w:ascii="Arial" w:hAnsi="Arial"/>
          <w:color w:val="231F20"/>
          <w:spacing w:val="-12"/>
          <w:sz w:val="16"/>
        </w:rPr>
        <w:t> </w:t>
      </w:r>
      <w:r>
        <w:rPr>
          <w:rFonts w:ascii="Arial" w:hAnsi="Arial"/>
          <w:color w:val="231F20"/>
          <w:sz w:val="16"/>
        </w:rPr>
        <w:t>by</w:t>
      </w:r>
      <w:r>
        <w:rPr>
          <w:rFonts w:ascii="Arial" w:hAnsi="Arial"/>
          <w:color w:val="231F20"/>
          <w:spacing w:val="-11"/>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sodium-potassium ATPase pump. Aldosterone antagonists compete with </w:t>
      </w:r>
      <w:r>
        <w:rPr>
          <w:rFonts w:ascii="Arial" w:hAnsi="Arial"/>
          <w:color w:val="231F20"/>
          <w:spacing w:val="-3"/>
          <w:sz w:val="16"/>
        </w:rPr>
        <w:t>aldosterone </w:t>
      </w:r>
      <w:r>
        <w:rPr>
          <w:rFonts w:ascii="Arial" w:hAnsi="Arial"/>
          <w:color w:val="231F20"/>
          <w:sz w:val="16"/>
        </w:rPr>
        <w:t>for binding sites in the cell and therefore inhibit the effects of </w:t>
      </w:r>
      <w:r>
        <w:rPr>
          <w:rFonts w:ascii="Arial" w:hAnsi="Arial"/>
          <w:color w:val="231F20"/>
          <w:spacing w:val="-4"/>
          <w:sz w:val="16"/>
        </w:rPr>
        <w:t>aldo- </w:t>
      </w:r>
      <w:r>
        <w:rPr>
          <w:rFonts w:ascii="Arial" w:hAnsi="Arial"/>
          <w:color w:val="231F20"/>
          <w:sz w:val="16"/>
        </w:rPr>
        <w:t>sterone to stimulate sodium reabsorption and potassium</w:t>
      </w:r>
      <w:r>
        <w:rPr>
          <w:rFonts w:ascii="Arial" w:hAnsi="Arial"/>
          <w:color w:val="231F20"/>
          <w:spacing w:val="-17"/>
          <w:sz w:val="16"/>
        </w:rPr>
        <w:t> </w:t>
      </w:r>
      <w:r>
        <w:rPr>
          <w:rFonts w:ascii="Arial" w:hAnsi="Arial"/>
          <w:color w:val="231F20"/>
          <w:spacing w:val="-3"/>
          <w:sz w:val="16"/>
        </w:rPr>
        <w:t>secretion. </w:t>
      </w:r>
      <w:r>
        <w:rPr>
          <w:rFonts w:ascii="Arial" w:hAnsi="Arial"/>
          <w:color w:val="231F20"/>
          <w:sz w:val="16"/>
        </w:rPr>
        <w:t>Sodium</w:t>
      </w:r>
      <w:r>
        <w:rPr>
          <w:rFonts w:ascii="Arial" w:hAnsi="Arial"/>
          <w:color w:val="231F20"/>
          <w:spacing w:val="-10"/>
          <w:sz w:val="16"/>
        </w:rPr>
        <w:t> </w:t>
      </w:r>
      <w:r>
        <w:rPr>
          <w:rFonts w:ascii="Arial" w:hAnsi="Arial"/>
          <w:color w:val="231F20"/>
          <w:sz w:val="16"/>
        </w:rPr>
        <w:t>channel</w:t>
      </w:r>
      <w:r>
        <w:rPr>
          <w:rFonts w:ascii="Arial" w:hAnsi="Arial"/>
          <w:color w:val="231F20"/>
          <w:spacing w:val="-10"/>
          <w:sz w:val="16"/>
        </w:rPr>
        <w:t> </w:t>
      </w:r>
      <w:r>
        <w:rPr>
          <w:rFonts w:ascii="Arial" w:hAnsi="Arial"/>
          <w:color w:val="231F20"/>
          <w:sz w:val="16"/>
        </w:rPr>
        <w:t>blockers</w:t>
      </w:r>
      <w:r>
        <w:rPr>
          <w:rFonts w:ascii="Arial" w:hAnsi="Arial"/>
          <w:color w:val="231F20"/>
          <w:spacing w:val="-9"/>
          <w:sz w:val="16"/>
        </w:rPr>
        <w:t> </w:t>
      </w:r>
      <w:r>
        <w:rPr>
          <w:rFonts w:ascii="Arial" w:hAnsi="Arial"/>
          <w:color w:val="231F20"/>
          <w:sz w:val="16"/>
        </w:rPr>
        <w:t>directly</w:t>
      </w:r>
      <w:r>
        <w:rPr>
          <w:rFonts w:ascii="Arial" w:hAnsi="Arial"/>
          <w:color w:val="231F20"/>
          <w:spacing w:val="-10"/>
          <w:sz w:val="16"/>
        </w:rPr>
        <w:t> </w:t>
      </w:r>
      <w:r>
        <w:rPr>
          <w:rFonts w:ascii="Arial" w:hAnsi="Arial"/>
          <w:color w:val="231F20"/>
          <w:sz w:val="16"/>
        </w:rPr>
        <w:t>inhibit</w:t>
      </w:r>
      <w:r>
        <w:rPr>
          <w:rFonts w:ascii="Arial" w:hAnsi="Arial"/>
          <w:color w:val="231F20"/>
          <w:spacing w:val="-9"/>
          <w:sz w:val="16"/>
        </w:rPr>
        <w:t> </w:t>
      </w:r>
      <w:r>
        <w:rPr>
          <w:rFonts w:ascii="Arial" w:hAnsi="Arial"/>
          <w:color w:val="231F20"/>
          <w:sz w:val="16"/>
        </w:rPr>
        <w:t>the</w:t>
      </w:r>
      <w:r>
        <w:rPr>
          <w:rFonts w:ascii="Arial" w:hAnsi="Arial"/>
          <w:color w:val="231F20"/>
          <w:spacing w:val="-10"/>
          <w:sz w:val="16"/>
        </w:rPr>
        <w:t> </w:t>
      </w:r>
      <w:r>
        <w:rPr>
          <w:rFonts w:ascii="Arial" w:hAnsi="Arial"/>
          <w:color w:val="231F20"/>
          <w:sz w:val="16"/>
        </w:rPr>
        <w:t>entry</w:t>
      </w:r>
      <w:r>
        <w:rPr>
          <w:rFonts w:ascii="Arial" w:hAnsi="Arial"/>
          <w:color w:val="231F20"/>
          <w:spacing w:val="-9"/>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sodium</w:t>
      </w:r>
      <w:r>
        <w:rPr>
          <w:rFonts w:ascii="Arial" w:hAnsi="Arial"/>
          <w:color w:val="231F20"/>
          <w:spacing w:val="-9"/>
          <w:sz w:val="16"/>
        </w:rPr>
        <w:t> </w:t>
      </w:r>
      <w:r>
        <w:rPr>
          <w:rFonts w:ascii="Arial" w:hAnsi="Arial"/>
          <w:color w:val="231F20"/>
          <w:sz w:val="16"/>
        </w:rPr>
        <w:t>into</w:t>
      </w:r>
      <w:r>
        <w:rPr>
          <w:rFonts w:ascii="Arial" w:hAnsi="Arial"/>
          <w:color w:val="231F20"/>
          <w:spacing w:val="-10"/>
          <w:sz w:val="16"/>
        </w:rPr>
        <w:t> </w:t>
      </w:r>
      <w:r>
        <w:rPr>
          <w:rFonts w:ascii="Arial" w:hAnsi="Arial"/>
          <w:color w:val="231F20"/>
          <w:spacing w:val="-5"/>
          <w:sz w:val="16"/>
        </w:rPr>
        <w:t>the </w:t>
      </w:r>
      <w:r>
        <w:rPr>
          <w:rFonts w:ascii="Arial" w:hAnsi="Arial"/>
          <w:color w:val="231F20"/>
          <w:sz w:val="16"/>
        </w:rPr>
        <w:t>sodium</w:t>
      </w:r>
      <w:r>
        <w:rPr>
          <w:rFonts w:ascii="Arial" w:hAnsi="Arial"/>
          <w:color w:val="231F20"/>
          <w:spacing w:val="7"/>
          <w:sz w:val="16"/>
        </w:rPr>
        <w:t> </w:t>
      </w:r>
      <w:r>
        <w:rPr>
          <w:rFonts w:ascii="Arial" w:hAnsi="Arial"/>
          <w:color w:val="231F20"/>
          <w:sz w:val="16"/>
        </w:rPr>
        <w:t>channels.</w:t>
      </w:r>
    </w:p>
    <w:p>
      <w:pPr>
        <w:pStyle w:val="BodyText"/>
        <w:rPr>
          <w:rFonts w:ascii="Arial"/>
          <w:sz w:val="18"/>
        </w:rPr>
      </w:pPr>
    </w:p>
    <w:p>
      <w:pPr>
        <w:pStyle w:val="BodyText"/>
        <w:rPr>
          <w:rFonts w:ascii="Arial"/>
          <w:sz w:val="16"/>
        </w:rPr>
      </w:pPr>
    </w:p>
    <w:p>
      <w:pPr>
        <w:pStyle w:val="BodyText"/>
        <w:spacing w:line="249" w:lineRule="auto" w:before="1"/>
        <w:ind w:left="1440"/>
        <w:jc w:val="both"/>
      </w:pPr>
      <w:r>
        <w:rPr>
          <w:color w:val="231F20"/>
          <w:w w:val="105"/>
        </w:rPr>
        <w:t>of aldosterone on sodium reabsorption and potassium secretion.</w:t>
      </w:r>
      <w:r>
        <w:rPr>
          <w:color w:val="231F20"/>
          <w:spacing w:val="-18"/>
          <w:w w:val="105"/>
        </w:rPr>
        <w:t> </w:t>
      </w:r>
      <w:r>
        <w:rPr>
          <w:i/>
          <w:color w:val="231F20"/>
          <w:w w:val="105"/>
        </w:rPr>
        <w:t>Amiloride</w:t>
      </w:r>
      <w:r>
        <w:rPr>
          <w:i/>
          <w:color w:val="231F20"/>
          <w:spacing w:val="-17"/>
          <w:w w:val="105"/>
        </w:rPr>
        <w:t> </w:t>
      </w:r>
      <w:r>
        <w:rPr>
          <w:color w:val="231F20"/>
          <w:w w:val="105"/>
        </w:rPr>
        <w:t>and</w:t>
      </w:r>
      <w:r>
        <w:rPr>
          <w:color w:val="231F20"/>
          <w:spacing w:val="-17"/>
          <w:w w:val="105"/>
        </w:rPr>
        <w:t> </w:t>
      </w:r>
      <w:r>
        <w:rPr>
          <w:i/>
          <w:color w:val="231F20"/>
          <w:w w:val="105"/>
        </w:rPr>
        <w:t>triamterene</w:t>
      </w:r>
      <w:r>
        <w:rPr>
          <w:i/>
          <w:color w:val="231F20"/>
          <w:spacing w:val="-17"/>
          <w:w w:val="105"/>
        </w:rPr>
        <w:t> </w:t>
      </w:r>
      <w:r>
        <w:rPr>
          <w:color w:val="231F20"/>
          <w:w w:val="105"/>
        </w:rPr>
        <w:t>are</w:t>
      </w:r>
      <w:r>
        <w:rPr>
          <w:color w:val="231F20"/>
          <w:spacing w:val="-17"/>
          <w:w w:val="105"/>
        </w:rPr>
        <w:t> </w:t>
      </w:r>
      <w:r>
        <w:rPr>
          <w:i/>
          <w:color w:val="231F20"/>
          <w:w w:val="105"/>
        </w:rPr>
        <w:t>sodium</w:t>
      </w:r>
      <w:r>
        <w:rPr>
          <w:i/>
          <w:color w:val="231F20"/>
          <w:spacing w:val="-18"/>
          <w:w w:val="105"/>
        </w:rPr>
        <w:t> </w:t>
      </w:r>
      <w:r>
        <w:rPr>
          <w:i/>
          <w:color w:val="231F20"/>
          <w:w w:val="105"/>
        </w:rPr>
        <w:t>channel </w:t>
      </w:r>
      <w:r>
        <w:rPr>
          <w:i/>
          <w:color w:val="231F20"/>
          <w:w w:val="105"/>
        </w:rPr>
        <w:t>blockers</w:t>
      </w:r>
      <w:r>
        <w:rPr>
          <w:i/>
          <w:color w:val="231F20"/>
          <w:spacing w:val="-9"/>
          <w:w w:val="105"/>
        </w:rPr>
        <w:t> </w:t>
      </w:r>
      <w:r>
        <w:rPr>
          <w:color w:val="231F20"/>
          <w:w w:val="105"/>
        </w:rPr>
        <w:t>that</w:t>
      </w:r>
      <w:r>
        <w:rPr>
          <w:color w:val="231F20"/>
          <w:spacing w:val="-9"/>
          <w:w w:val="105"/>
        </w:rPr>
        <w:t> </w:t>
      </w:r>
      <w:r>
        <w:rPr>
          <w:color w:val="231F20"/>
          <w:w w:val="105"/>
        </w:rPr>
        <w:t>directly</w:t>
      </w:r>
      <w:r>
        <w:rPr>
          <w:color w:val="231F20"/>
          <w:spacing w:val="-9"/>
          <w:w w:val="105"/>
        </w:rPr>
        <w:t> </w:t>
      </w:r>
      <w:r>
        <w:rPr>
          <w:color w:val="231F20"/>
          <w:w w:val="105"/>
        </w:rPr>
        <w:t>inhibit</w:t>
      </w:r>
      <w:r>
        <w:rPr>
          <w:color w:val="231F20"/>
          <w:spacing w:val="-9"/>
          <w:w w:val="105"/>
        </w:rPr>
        <w:t> </w:t>
      </w:r>
      <w:r>
        <w:rPr>
          <w:color w:val="231F20"/>
          <w:w w:val="105"/>
        </w:rPr>
        <w:t>the</w:t>
      </w:r>
      <w:r>
        <w:rPr>
          <w:color w:val="231F20"/>
          <w:spacing w:val="-9"/>
          <w:w w:val="105"/>
        </w:rPr>
        <w:t> </w:t>
      </w:r>
      <w:r>
        <w:rPr>
          <w:color w:val="231F20"/>
          <w:w w:val="105"/>
        </w:rPr>
        <w:t>entry</w:t>
      </w:r>
      <w:r>
        <w:rPr>
          <w:color w:val="231F20"/>
          <w:spacing w:val="-9"/>
          <w:w w:val="105"/>
        </w:rPr>
        <w:t> </w:t>
      </w:r>
      <w:r>
        <w:rPr>
          <w:color w:val="231F20"/>
          <w:w w:val="105"/>
        </w:rPr>
        <w:t>of</w:t>
      </w:r>
      <w:r>
        <w:rPr>
          <w:color w:val="231F20"/>
          <w:spacing w:val="-9"/>
          <w:w w:val="105"/>
        </w:rPr>
        <w:t> </w:t>
      </w:r>
      <w:r>
        <w:rPr>
          <w:color w:val="231F20"/>
          <w:w w:val="105"/>
        </w:rPr>
        <w:t>sodium</w:t>
      </w:r>
      <w:r>
        <w:rPr>
          <w:color w:val="231F20"/>
          <w:spacing w:val="-9"/>
          <w:w w:val="105"/>
        </w:rPr>
        <w:t> </w:t>
      </w:r>
      <w:r>
        <w:rPr>
          <w:color w:val="231F20"/>
          <w:w w:val="105"/>
        </w:rPr>
        <w:t>into</w:t>
      </w:r>
      <w:r>
        <w:rPr>
          <w:color w:val="231F20"/>
          <w:spacing w:val="-9"/>
          <w:w w:val="105"/>
        </w:rPr>
        <w:t> </w:t>
      </w:r>
      <w:r>
        <w:rPr>
          <w:color w:val="231F20"/>
          <w:w w:val="105"/>
        </w:rPr>
        <w:t>the sodium</w:t>
      </w:r>
      <w:r>
        <w:rPr>
          <w:color w:val="231F20"/>
          <w:spacing w:val="-19"/>
          <w:w w:val="105"/>
        </w:rPr>
        <w:t> </w:t>
      </w:r>
      <w:r>
        <w:rPr>
          <w:color w:val="231F20"/>
          <w:w w:val="105"/>
        </w:rPr>
        <w:t>channels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luminal</w:t>
      </w:r>
      <w:r>
        <w:rPr>
          <w:color w:val="231F20"/>
          <w:spacing w:val="-19"/>
          <w:w w:val="105"/>
        </w:rPr>
        <w:t> </w:t>
      </w:r>
      <w:r>
        <w:rPr>
          <w:color w:val="231F20"/>
          <w:w w:val="105"/>
        </w:rPr>
        <w:t>membranes</w:t>
      </w:r>
      <w:r>
        <w:rPr>
          <w:color w:val="231F20"/>
          <w:spacing w:val="-18"/>
          <w:w w:val="105"/>
        </w:rPr>
        <w:t> </w:t>
      </w:r>
      <w:r>
        <w:rPr>
          <w:color w:val="231F20"/>
          <w:w w:val="105"/>
        </w:rPr>
        <w:t>and</w:t>
      </w:r>
      <w:r>
        <w:rPr>
          <w:color w:val="231F20"/>
          <w:spacing w:val="-19"/>
          <w:w w:val="105"/>
        </w:rPr>
        <w:t> </w:t>
      </w:r>
      <w:r>
        <w:rPr>
          <w:color w:val="231F20"/>
          <w:spacing w:val="-3"/>
          <w:w w:val="105"/>
        </w:rPr>
        <w:t>therefore </w:t>
      </w:r>
      <w:r>
        <w:rPr>
          <w:color w:val="231F20"/>
          <w:w w:val="105"/>
        </w:rPr>
        <w:t>reduce the amount of sodium that can be transported across the basolateral membranes by the </w:t>
      </w:r>
      <w:r>
        <w:rPr>
          <w:color w:val="231F20"/>
          <w:spacing w:val="-3"/>
          <w:w w:val="105"/>
        </w:rPr>
        <w:t>sodium- </w:t>
      </w:r>
      <w:r>
        <w:rPr>
          <w:color w:val="231F20"/>
          <w:w w:val="105"/>
        </w:rPr>
        <w:t>potassium ATPase pump. This, in turn, decreases trans- port of potassium into the cells and ultimately reduces potassium</w:t>
      </w:r>
      <w:r>
        <w:rPr>
          <w:color w:val="231F20"/>
          <w:spacing w:val="-16"/>
          <w:w w:val="105"/>
        </w:rPr>
        <w:t> </w:t>
      </w:r>
      <w:r>
        <w:rPr>
          <w:color w:val="231F20"/>
          <w:w w:val="105"/>
        </w:rPr>
        <w:t>secretion</w:t>
      </w:r>
      <w:r>
        <w:rPr>
          <w:color w:val="231F20"/>
          <w:spacing w:val="-15"/>
          <w:w w:val="105"/>
        </w:rPr>
        <w:t> </w:t>
      </w:r>
      <w:r>
        <w:rPr>
          <w:color w:val="231F20"/>
          <w:w w:val="105"/>
        </w:rPr>
        <w:t>into</w:t>
      </w:r>
      <w:r>
        <w:rPr>
          <w:color w:val="231F20"/>
          <w:spacing w:val="-15"/>
          <w:w w:val="105"/>
        </w:rPr>
        <w:t> </w:t>
      </w:r>
      <w:r>
        <w:rPr>
          <w:color w:val="231F20"/>
          <w:w w:val="105"/>
        </w:rPr>
        <w:t>the</w:t>
      </w:r>
      <w:r>
        <w:rPr>
          <w:color w:val="231F20"/>
          <w:spacing w:val="-15"/>
          <w:w w:val="105"/>
        </w:rPr>
        <w:t> </w:t>
      </w:r>
      <w:r>
        <w:rPr>
          <w:color w:val="231F20"/>
          <w:w w:val="105"/>
        </w:rPr>
        <w:t>tubular</w:t>
      </w:r>
      <w:r>
        <w:rPr>
          <w:color w:val="231F20"/>
          <w:spacing w:val="-15"/>
          <w:w w:val="105"/>
        </w:rPr>
        <w:t> </w:t>
      </w:r>
      <w:r>
        <w:rPr>
          <w:color w:val="231F20"/>
          <w:w w:val="105"/>
        </w:rPr>
        <w:t>fluid.</w:t>
      </w:r>
      <w:r>
        <w:rPr>
          <w:color w:val="231F20"/>
          <w:spacing w:val="-15"/>
          <w:w w:val="105"/>
        </w:rPr>
        <w:t> </w:t>
      </w:r>
      <w:r>
        <w:rPr>
          <w:color w:val="231F20"/>
          <w:spacing w:val="-3"/>
          <w:w w:val="105"/>
        </w:rPr>
        <w:t>For</w:t>
      </w:r>
      <w:r>
        <w:rPr>
          <w:color w:val="231F20"/>
          <w:spacing w:val="-15"/>
          <w:w w:val="105"/>
        </w:rPr>
        <w:t> </w:t>
      </w:r>
      <w:r>
        <w:rPr>
          <w:color w:val="231F20"/>
          <w:w w:val="105"/>
        </w:rPr>
        <w:t>this</w:t>
      </w:r>
      <w:r>
        <w:rPr>
          <w:color w:val="231F20"/>
          <w:spacing w:val="-16"/>
          <w:w w:val="105"/>
        </w:rPr>
        <w:t> </w:t>
      </w:r>
      <w:r>
        <w:rPr>
          <w:color w:val="231F20"/>
          <w:w w:val="105"/>
        </w:rPr>
        <w:t>reason the sodium channel blockers, as well as the aldosterone antagonists,</w:t>
      </w:r>
      <w:r>
        <w:rPr>
          <w:color w:val="231F20"/>
          <w:spacing w:val="-14"/>
          <w:w w:val="105"/>
        </w:rPr>
        <w:t> </w:t>
      </w:r>
      <w:r>
        <w:rPr>
          <w:color w:val="231F20"/>
          <w:w w:val="105"/>
        </w:rPr>
        <w:t>decrease</w:t>
      </w:r>
      <w:r>
        <w:rPr>
          <w:color w:val="231F20"/>
          <w:spacing w:val="-14"/>
          <w:w w:val="105"/>
        </w:rPr>
        <w:t> </w:t>
      </w:r>
      <w:r>
        <w:rPr>
          <w:color w:val="231F20"/>
          <w:w w:val="105"/>
        </w:rPr>
        <w:t>urinary</w:t>
      </w:r>
      <w:r>
        <w:rPr>
          <w:color w:val="231F20"/>
          <w:spacing w:val="-13"/>
          <w:w w:val="105"/>
        </w:rPr>
        <w:t> </w:t>
      </w:r>
      <w:r>
        <w:rPr>
          <w:color w:val="231F20"/>
          <w:w w:val="105"/>
        </w:rPr>
        <w:t>excretion</w:t>
      </w:r>
      <w:r>
        <w:rPr>
          <w:color w:val="231F20"/>
          <w:spacing w:val="-14"/>
          <w:w w:val="105"/>
        </w:rPr>
        <w:t> </w:t>
      </w:r>
      <w:r>
        <w:rPr>
          <w:color w:val="231F20"/>
          <w:w w:val="105"/>
        </w:rPr>
        <w:t>of</w:t>
      </w:r>
      <w:r>
        <w:rPr>
          <w:color w:val="231F20"/>
          <w:spacing w:val="-13"/>
          <w:w w:val="105"/>
        </w:rPr>
        <w:t> </w:t>
      </w:r>
      <w:r>
        <w:rPr>
          <w:color w:val="231F20"/>
          <w:w w:val="105"/>
        </w:rPr>
        <w:t>potassium</w:t>
      </w:r>
      <w:r>
        <w:rPr>
          <w:color w:val="231F20"/>
          <w:spacing w:val="-14"/>
          <w:w w:val="105"/>
        </w:rPr>
        <w:t> </w:t>
      </w:r>
      <w:r>
        <w:rPr>
          <w:color w:val="231F20"/>
          <w:w w:val="105"/>
        </w:rPr>
        <w:t>and act as potassium-sparing</w:t>
      </w:r>
      <w:r>
        <w:rPr>
          <w:color w:val="231F20"/>
          <w:spacing w:val="7"/>
          <w:w w:val="105"/>
        </w:rPr>
        <w:t> </w:t>
      </w:r>
      <w:r>
        <w:rPr>
          <w:color w:val="231F20"/>
          <w:w w:val="105"/>
        </w:rPr>
        <w:t>diuretics.</w:t>
      </w:r>
    </w:p>
    <w:p>
      <w:pPr>
        <w:pStyle w:val="BodyText"/>
        <w:spacing w:before="5"/>
        <w:rPr>
          <w:sz w:val="22"/>
        </w:rPr>
      </w:pPr>
    </w:p>
    <w:p>
      <w:pPr>
        <w:pStyle w:val="BodyText"/>
        <w:spacing w:line="249" w:lineRule="auto"/>
        <w:ind w:left="1440"/>
        <w:jc w:val="both"/>
      </w:pPr>
      <w:r>
        <w:rPr>
          <w:rFonts w:ascii="Trebuchet MS"/>
          <w:b/>
          <w:color w:val="231F20"/>
          <w:w w:val="105"/>
          <w:sz w:val="19"/>
        </w:rPr>
        <w:t>Intercalated Cells Secrete or Reabsorb </w:t>
      </w:r>
      <w:r>
        <w:rPr>
          <w:rFonts w:ascii="Trebuchet MS"/>
          <w:b/>
          <w:color w:val="231F20"/>
          <w:spacing w:val="-3"/>
          <w:w w:val="105"/>
          <w:sz w:val="19"/>
        </w:rPr>
        <w:t>Hydrogen, </w:t>
      </w:r>
      <w:r>
        <w:rPr>
          <w:rFonts w:ascii="Trebuchet MS"/>
          <w:b/>
          <w:color w:val="231F20"/>
          <w:w w:val="105"/>
          <w:sz w:val="19"/>
        </w:rPr>
        <w:t>Bicarbonate, and Potassium Ions. </w:t>
      </w:r>
      <w:r>
        <w:rPr>
          <w:color w:val="231F20"/>
          <w:w w:val="105"/>
        </w:rPr>
        <w:t>Intercalated </w:t>
      </w:r>
      <w:r>
        <w:rPr>
          <w:color w:val="231F20"/>
          <w:spacing w:val="-4"/>
          <w:w w:val="105"/>
        </w:rPr>
        <w:t>cells </w:t>
      </w:r>
      <w:r>
        <w:rPr>
          <w:color w:val="231F20"/>
          <w:w w:val="105"/>
        </w:rPr>
        <w:t>play a major role in acid-base regulation and </w:t>
      </w:r>
      <w:r>
        <w:rPr>
          <w:color w:val="231F20"/>
          <w:spacing w:val="-3"/>
          <w:w w:val="105"/>
        </w:rPr>
        <w:t>constitute </w:t>
      </w:r>
      <w:r>
        <w:rPr>
          <w:color w:val="231F20"/>
          <w:w w:val="105"/>
        </w:rPr>
        <w:t>30 to 40 percent of the cells in the collecting </w:t>
      </w:r>
      <w:r>
        <w:rPr>
          <w:color w:val="231F20"/>
          <w:spacing w:val="-3"/>
          <w:w w:val="105"/>
        </w:rPr>
        <w:t>tubules </w:t>
      </w:r>
      <w:r>
        <w:rPr>
          <w:color w:val="231F20"/>
          <w:w w:val="105"/>
        </w:rPr>
        <w:t>and collecting ducts. There are two types of</w:t>
      </w:r>
      <w:r>
        <w:rPr>
          <w:color w:val="231F20"/>
          <w:spacing w:val="-35"/>
          <w:w w:val="105"/>
        </w:rPr>
        <w:t> </w:t>
      </w:r>
      <w:r>
        <w:rPr>
          <w:color w:val="231F20"/>
          <w:w w:val="105"/>
        </w:rPr>
        <w:t>intercalated cells,</w:t>
      </w:r>
      <w:r>
        <w:rPr>
          <w:color w:val="231F20"/>
          <w:spacing w:val="-10"/>
          <w:w w:val="105"/>
        </w:rPr>
        <w:t> </w:t>
      </w:r>
      <w:r>
        <w:rPr>
          <w:color w:val="231F20"/>
          <w:w w:val="105"/>
        </w:rPr>
        <w:t>type</w:t>
      </w:r>
      <w:r>
        <w:rPr>
          <w:color w:val="231F20"/>
          <w:spacing w:val="-10"/>
          <w:w w:val="105"/>
        </w:rPr>
        <w:t> </w:t>
      </w:r>
      <w:r>
        <w:rPr>
          <w:color w:val="231F20"/>
          <w:w w:val="105"/>
        </w:rPr>
        <w:t>A</w:t>
      </w:r>
      <w:r>
        <w:rPr>
          <w:color w:val="231F20"/>
          <w:spacing w:val="-10"/>
          <w:w w:val="105"/>
        </w:rPr>
        <w:t> </w:t>
      </w:r>
      <w:r>
        <w:rPr>
          <w:color w:val="231F20"/>
          <w:w w:val="105"/>
        </w:rPr>
        <w:t>and</w:t>
      </w:r>
      <w:r>
        <w:rPr>
          <w:color w:val="231F20"/>
          <w:spacing w:val="-9"/>
          <w:w w:val="105"/>
        </w:rPr>
        <w:t> </w:t>
      </w:r>
      <w:r>
        <w:rPr>
          <w:color w:val="231F20"/>
          <w:w w:val="105"/>
        </w:rPr>
        <w:t>type</w:t>
      </w:r>
      <w:r>
        <w:rPr>
          <w:color w:val="231F20"/>
          <w:spacing w:val="-10"/>
          <w:w w:val="105"/>
        </w:rPr>
        <w:t> </w:t>
      </w:r>
      <w:r>
        <w:rPr>
          <w:color w:val="231F20"/>
          <w:w w:val="105"/>
        </w:rPr>
        <w:t>B</w:t>
      </w:r>
      <w:r>
        <w:rPr>
          <w:color w:val="231F20"/>
          <w:spacing w:val="-10"/>
          <w:w w:val="105"/>
        </w:rPr>
        <w:t> </w:t>
      </w:r>
      <w:r>
        <w:rPr>
          <w:color w:val="231F20"/>
          <w:w w:val="105"/>
        </w:rPr>
        <w:t>(</w:t>
      </w:r>
      <w:hyperlink w:history="true" w:anchor="_bookmark52">
        <w:r>
          <w:rPr>
            <w:b/>
            <w:color w:val="0080AC"/>
            <w:w w:val="105"/>
          </w:rPr>
          <w:t>Figure</w:t>
        </w:r>
        <w:r>
          <w:rPr>
            <w:b/>
            <w:color w:val="0080AC"/>
            <w:spacing w:val="-11"/>
            <w:w w:val="105"/>
          </w:rPr>
          <w:t> </w:t>
        </w:r>
        <w:r>
          <w:rPr>
            <w:b/>
            <w:color w:val="0080AC"/>
            <w:w w:val="105"/>
          </w:rPr>
          <w:t>28-13</w:t>
        </w:r>
      </w:hyperlink>
      <w:r>
        <w:rPr>
          <w:color w:val="231F20"/>
          <w:w w:val="105"/>
        </w:rPr>
        <w:t>).</w:t>
      </w:r>
      <w:r>
        <w:rPr>
          <w:color w:val="231F20"/>
          <w:spacing w:val="-10"/>
          <w:w w:val="105"/>
        </w:rPr>
        <w:t> </w:t>
      </w:r>
      <w:r>
        <w:rPr>
          <w:color w:val="231F20"/>
          <w:spacing w:val="-3"/>
          <w:w w:val="105"/>
        </w:rPr>
        <w:t>Type</w:t>
      </w:r>
      <w:r>
        <w:rPr>
          <w:color w:val="231F20"/>
          <w:spacing w:val="-10"/>
          <w:w w:val="105"/>
        </w:rPr>
        <w:t> </w:t>
      </w:r>
      <w:r>
        <w:rPr>
          <w:color w:val="231F20"/>
          <w:w w:val="105"/>
        </w:rPr>
        <w:t>A</w:t>
      </w:r>
      <w:r>
        <w:rPr>
          <w:color w:val="231F20"/>
          <w:spacing w:val="-9"/>
          <w:w w:val="105"/>
        </w:rPr>
        <w:t> </w:t>
      </w:r>
      <w:r>
        <w:rPr>
          <w:color w:val="231F20"/>
          <w:w w:val="105"/>
        </w:rPr>
        <w:t>interca- lated cells secrete hydrogen ions by a </w:t>
      </w:r>
      <w:r>
        <w:rPr>
          <w:color w:val="231F20"/>
          <w:spacing w:val="-3"/>
          <w:w w:val="105"/>
        </w:rPr>
        <w:t>hydrogen-ATPase </w:t>
      </w:r>
      <w:r>
        <w:rPr>
          <w:color w:val="231F20"/>
          <w:w w:val="105"/>
        </w:rPr>
        <w:t>transporter</w:t>
      </w:r>
      <w:r>
        <w:rPr>
          <w:color w:val="231F20"/>
          <w:spacing w:val="-9"/>
          <w:w w:val="105"/>
        </w:rPr>
        <w:t> </w:t>
      </w:r>
      <w:r>
        <w:rPr>
          <w:color w:val="231F20"/>
          <w:w w:val="105"/>
        </w:rPr>
        <w:t>and</w:t>
      </w:r>
      <w:r>
        <w:rPr>
          <w:color w:val="231F20"/>
          <w:spacing w:val="-8"/>
          <w:w w:val="105"/>
        </w:rPr>
        <w:t> </w:t>
      </w:r>
      <w:r>
        <w:rPr>
          <w:color w:val="231F20"/>
          <w:w w:val="105"/>
        </w:rPr>
        <w:t>by</w:t>
      </w:r>
      <w:r>
        <w:rPr>
          <w:color w:val="231F20"/>
          <w:spacing w:val="-9"/>
          <w:w w:val="105"/>
        </w:rPr>
        <w:t> </w:t>
      </w:r>
      <w:r>
        <w:rPr>
          <w:color w:val="231F20"/>
          <w:w w:val="105"/>
        </w:rPr>
        <w:t>a</w:t>
      </w:r>
      <w:r>
        <w:rPr>
          <w:color w:val="231F20"/>
          <w:spacing w:val="-8"/>
          <w:w w:val="105"/>
        </w:rPr>
        <w:t> </w:t>
      </w:r>
      <w:r>
        <w:rPr>
          <w:color w:val="231F20"/>
          <w:w w:val="105"/>
        </w:rPr>
        <w:t>hydrogen-potassium-ATPase</w:t>
      </w:r>
      <w:r>
        <w:rPr>
          <w:color w:val="231F20"/>
          <w:spacing w:val="-8"/>
          <w:w w:val="105"/>
        </w:rPr>
        <w:t> </w:t>
      </w:r>
      <w:r>
        <w:rPr>
          <w:color w:val="231F20"/>
          <w:w w:val="105"/>
        </w:rPr>
        <w:t>trans- porter. Hydrogen is generated in this cell by the action of carbonic anhydrase on  water  and  carbon  </w:t>
      </w:r>
      <w:r>
        <w:rPr>
          <w:color w:val="231F20"/>
          <w:spacing w:val="-3"/>
          <w:w w:val="105"/>
        </w:rPr>
        <w:t>dioxide </w:t>
      </w:r>
      <w:r>
        <w:rPr>
          <w:color w:val="231F20"/>
          <w:w w:val="105"/>
        </w:rPr>
        <w:t>to</w:t>
      </w:r>
      <w:r>
        <w:rPr>
          <w:color w:val="231F20"/>
          <w:spacing w:val="-15"/>
          <w:w w:val="105"/>
        </w:rPr>
        <w:t> </w:t>
      </w:r>
      <w:r>
        <w:rPr>
          <w:color w:val="231F20"/>
          <w:w w:val="105"/>
        </w:rPr>
        <w:t>form</w:t>
      </w:r>
      <w:r>
        <w:rPr>
          <w:color w:val="231F20"/>
          <w:spacing w:val="-14"/>
          <w:w w:val="105"/>
        </w:rPr>
        <w:t> </w:t>
      </w:r>
      <w:r>
        <w:rPr>
          <w:color w:val="231F20"/>
          <w:w w:val="105"/>
        </w:rPr>
        <w:t>carbonic</w:t>
      </w:r>
      <w:r>
        <w:rPr>
          <w:color w:val="231F20"/>
          <w:spacing w:val="-15"/>
          <w:w w:val="105"/>
        </w:rPr>
        <w:t> </w:t>
      </w:r>
      <w:r>
        <w:rPr>
          <w:color w:val="231F20"/>
          <w:w w:val="105"/>
        </w:rPr>
        <w:t>acid,</w:t>
      </w:r>
      <w:r>
        <w:rPr>
          <w:color w:val="231F20"/>
          <w:spacing w:val="-15"/>
          <w:w w:val="105"/>
        </w:rPr>
        <w:t> </w:t>
      </w:r>
      <w:r>
        <w:rPr>
          <w:color w:val="231F20"/>
          <w:w w:val="105"/>
        </w:rPr>
        <w:t>which</w:t>
      </w:r>
      <w:r>
        <w:rPr>
          <w:color w:val="231F20"/>
          <w:spacing w:val="-14"/>
          <w:w w:val="105"/>
        </w:rPr>
        <w:t> </w:t>
      </w:r>
      <w:r>
        <w:rPr>
          <w:color w:val="231F20"/>
          <w:w w:val="105"/>
        </w:rPr>
        <w:t>then</w:t>
      </w:r>
      <w:r>
        <w:rPr>
          <w:color w:val="231F20"/>
          <w:spacing w:val="-15"/>
          <w:w w:val="105"/>
        </w:rPr>
        <w:t> </w:t>
      </w:r>
      <w:r>
        <w:rPr>
          <w:color w:val="231F20"/>
          <w:w w:val="105"/>
        </w:rPr>
        <w:t>dissociates</w:t>
      </w:r>
      <w:r>
        <w:rPr>
          <w:color w:val="231F20"/>
          <w:spacing w:val="-14"/>
          <w:w w:val="105"/>
        </w:rPr>
        <w:t> </w:t>
      </w:r>
      <w:r>
        <w:rPr>
          <w:color w:val="231F20"/>
          <w:w w:val="105"/>
        </w:rPr>
        <w:t>into</w:t>
      </w:r>
      <w:r>
        <w:rPr>
          <w:color w:val="231F20"/>
          <w:spacing w:val="-15"/>
          <w:w w:val="105"/>
        </w:rPr>
        <w:t> </w:t>
      </w:r>
      <w:r>
        <w:rPr>
          <w:color w:val="231F20"/>
          <w:w w:val="105"/>
        </w:rPr>
        <w:t>hydro- gen ions and bicarbonate ions.  The  hydrogen  ions  are then secreted into the tubular lumen, and for each hydrogen</w:t>
      </w:r>
      <w:r>
        <w:rPr>
          <w:color w:val="231F20"/>
          <w:spacing w:val="-8"/>
          <w:w w:val="105"/>
        </w:rPr>
        <w:t> </w:t>
      </w:r>
      <w:r>
        <w:rPr>
          <w:color w:val="231F20"/>
          <w:w w:val="105"/>
        </w:rPr>
        <w:t>ion</w:t>
      </w:r>
      <w:r>
        <w:rPr>
          <w:color w:val="231F20"/>
          <w:spacing w:val="-7"/>
          <w:w w:val="105"/>
        </w:rPr>
        <w:t> </w:t>
      </w:r>
      <w:r>
        <w:rPr>
          <w:color w:val="231F20"/>
          <w:w w:val="105"/>
        </w:rPr>
        <w:t>secreted,</w:t>
      </w:r>
      <w:r>
        <w:rPr>
          <w:color w:val="231F20"/>
          <w:spacing w:val="-8"/>
          <w:w w:val="105"/>
        </w:rPr>
        <w:t> </w:t>
      </w:r>
      <w:r>
        <w:rPr>
          <w:color w:val="231F20"/>
          <w:w w:val="105"/>
        </w:rPr>
        <w:t>a</w:t>
      </w:r>
      <w:r>
        <w:rPr>
          <w:color w:val="231F20"/>
          <w:spacing w:val="-7"/>
          <w:w w:val="105"/>
        </w:rPr>
        <w:t> </w:t>
      </w:r>
      <w:r>
        <w:rPr>
          <w:color w:val="231F20"/>
          <w:w w:val="105"/>
        </w:rPr>
        <w:t>bicarbonate</w:t>
      </w:r>
      <w:r>
        <w:rPr>
          <w:color w:val="231F20"/>
          <w:spacing w:val="-8"/>
          <w:w w:val="105"/>
        </w:rPr>
        <w:t> </w:t>
      </w:r>
      <w:r>
        <w:rPr>
          <w:color w:val="231F20"/>
          <w:w w:val="105"/>
        </w:rPr>
        <w:t>ion</w:t>
      </w:r>
      <w:r>
        <w:rPr>
          <w:color w:val="231F20"/>
          <w:spacing w:val="-7"/>
          <w:w w:val="105"/>
        </w:rPr>
        <w:t> </w:t>
      </w:r>
      <w:r>
        <w:rPr>
          <w:color w:val="231F20"/>
          <w:w w:val="105"/>
        </w:rPr>
        <w:t>becomes</w:t>
      </w:r>
      <w:r>
        <w:rPr>
          <w:color w:val="231F20"/>
          <w:spacing w:val="-7"/>
          <w:w w:val="105"/>
        </w:rPr>
        <w:t> </w:t>
      </w:r>
      <w:r>
        <w:rPr>
          <w:color w:val="231F20"/>
          <w:w w:val="105"/>
        </w:rPr>
        <w:t>avail- able for reabsorption across the basolateral membrane. </w:t>
      </w:r>
      <w:r>
        <w:rPr>
          <w:color w:val="231F20"/>
          <w:spacing w:val="-3"/>
          <w:w w:val="105"/>
        </w:rPr>
        <w:t>Type</w:t>
      </w:r>
      <w:r>
        <w:rPr>
          <w:color w:val="231F20"/>
          <w:spacing w:val="-26"/>
          <w:w w:val="105"/>
        </w:rPr>
        <w:t> </w:t>
      </w:r>
      <w:r>
        <w:rPr>
          <w:color w:val="231F20"/>
          <w:w w:val="105"/>
        </w:rPr>
        <w:t>A</w:t>
      </w:r>
      <w:r>
        <w:rPr>
          <w:color w:val="231F20"/>
          <w:spacing w:val="-25"/>
          <w:w w:val="105"/>
        </w:rPr>
        <w:t> </w:t>
      </w:r>
      <w:r>
        <w:rPr>
          <w:color w:val="231F20"/>
          <w:w w:val="105"/>
        </w:rPr>
        <w:t>intercalated</w:t>
      </w:r>
      <w:r>
        <w:rPr>
          <w:color w:val="231F20"/>
          <w:spacing w:val="-26"/>
          <w:w w:val="105"/>
        </w:rPr>
        <w:t> </w:t>
      </w:r>
      <w:r>
        <w:rPr>
          <w:color w:val="231F20"/>
          <w:w w:val="105"/>
        </w:rPr>
        <w:t>cells</w:t>
      </w:r>
      <w:r>
        <w:rPr>
          <w:color w:val="231F20"/>
          <w:spacing w:val="-25"/>
          <w:w w:val="105"/>
        </w:rPr>
        <w:t> </w:t>
      </w:r>
      <w:r>
        <w:rPr>
          <w:color w:val="231F20"/>
          <w:w w:val="105"/>
        </w:rPr>
        <w:t>are</w:t>
      </w:r>
      <w:r>
        <w:rPr>
          <w:color w:val="231F20"/>
          <w:spacing w:val="-26"/>
          <w:w w:val="105"/>
        </w:rPr>
        <w:t> </w:t>
      </w:r>
      <w:r>
        <w:rPr>
          <w:color w:val="231F20"/>
          <w:w w:val="105"/>
        </w:rPr>
        <w:t>especially</w:t>
      </w:r>
      <w:r>
        <w:rPr>
          <w:color w:val="231F20"/>
          <w:spacing w:val="-25"/>
          <w:w w:val="105"/>
        </w:rPr>
        <w:t> </w:t>
      </w:r>
      <w:r>
        <w:rPr>
          <w:color w:val="231F20"/>
          <w:w w:val="105"/>
        </w:rPr>
        <w:t>important</w:t>
      </w:r>
      <w:r>
        <w:rPr>
          <w:color w:val="231F20"/>
          <w:spacing w:val="-25"/>
          <w:w w:val="105"/>
        </w:rPr>
        <w:t> </w:t>
      </w:r>
      <w:r>
        <w:rPr>
          <w:color w:val="231F20"/>
          <w:w w:val="105"/>
        </w:rPr>
        <w:t>in</w:t>
      </w:r>
      <w:r>
        <w:rPr>
          <w:color w:val="231F20"/>
          <w:spacing w:val="-26"/>
          <w:w w:val="105"/>
        </w:rPr>
        <w:t> </w:t>
      </w:r>
      <w:r>
        <w:rPr>
          <w:color w:val="231F20"/>
          <w:w w:val="105"/>
        </w:rPr>
        <w:t>elim- inating hydrogen ions while reabsorbing bicarbonate </w:t>
      </w:r>
      <w:r>
        <w:rPr>
          <w:color w:val="231F20"/>
          <w:spacing w:val="-6"/>
          <w:w w:val="105"/>
        </w:rPr>
        <w:t>in </w:t>
      </w:r>
      <w:r>
        <w:rPr>
          <w:color w:val="231F20"/>
          <w:w w:val="105"/>
        </w:rPr>
        <w:t>acidosis.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1"/>
        </w:rPr>
      </w:pPr>
      <w:r>
        <w:rPr/>
        <w:drawing>
          <wp:anchor distT="0" distB="0" distL="0" distR="0" allowOverlap="1" layoutInCell="1" locked="0" behindDoc="0" simplePos="0" relativeHeight="503">
            <wp:simplePos x="0" y="0"/>
            <wp:positionH relativeFrom="page">
              <wp:posOffset>4391889</wp:posOffset>
            </wp:positionH>
            <wp:positionV relativeFrom="paragraph">
              <wp:posOffset>110333</wp:posOffset>
            </wp:positionV>
            <wp:extent cx="117535" cy="76200"/>
            <wp:effectExtent l="0" t="0" r="0" b="0"/>
            <wp:wrapTopAndBottom/>
            <wp:docPr id="5" name="image518.png"/>
            <wp:cNvGraphicFramePr>
              <a:graphicFrameLocks noChangeAspect="1"/>
            </wp:cNvGraphicFramePr>
            <a:graphic>
              <a:graphicData uri="http://schemas.openxmlformats.org/drawingml/2006/picture">
                <pic:pic>
                  <pic:nvPicPr>
                    <pic:cNvPr id="6" name="image518.png"/>
                    <pic:cNvPicPr/>
                  </pic:nvPicPr>
                  <pic:blipFill>
                    <a:blip r:embed="rId621" cstate="print"/>
                    <a:stretch>
                      <a:fillRect/>
                    </a:stretch>
                  </pic:blipFill>
                  <pic:spPr>
                    <a:xfrm>
                      <a:off x="0" y="0"/>
                      <a:ext cx="117535" cy="76200"/>
                    </a:xfrm>
                    <a:prstGeom prst="rect">
                      <a:avLst/>
                    </a:prstGeom>
                  </pic:spPr>
                </pic:pic>
              </a:graphicData>
            </a:graphic>
          </wp:anchor>
        </w:drawing>
      </w:r>
    </w:p>
    <w:p>
      <w:pPr>
        <w:pStyle w:val="BodyText"/>
        <w:spacing w:before="10"/>
        <w:rPr>
          <w:sz w:val="12"/>
        </w:rPr>
      </w:pPr>
    </w:p>
    <w:p>
      <w:pPr>
        <w:spacing w:line="139" w:lineRule="auto" w:before="0"/>
        <w:ind w:left="4786" w:right="1140" w:firstLine="66"/>
        <w:jc w:val="left"/>
        <w:rPr>
          <w:rFonts w:ascii="Helvetica" w:hAnsi="Helvetica"/>
          <w:b/>
          <w:sz w:val="12"/>
        </w:rPr>
      </w:pPr>
      <w:r>
        <w:rPr>
          <w:rFonts w:ascii="Helvetica" w:hAnsi="Helvetica"/>
          <w:b/>
          <w:color w:val="231F20"/>
          <w:sz w:val="12"/>
        </w:rPr>
        <w:t>– 3</w:t>
      </w:r>
    </w:p>
    <w:p>
      <w:pPr>
        <w:pStyle w:val="BodyText"/>
        <w:spacing w:before="3"/>
        <w:rPr>
          <w:rFonts w:ascii="Helvetica"/>
          <w:b/>
          <w:sz w:val="11"/>
        </w:rPr>
      </w:pPr>
      <w:r>
        <w:rPr/>
        <w:drawing>
          <wp:anchor distT="0" distB="0" distL="0" distR="0" allowOverlap="1" layoutInCell="1" locked="0" behindDoc="0" simplePos="0" relativeHeight="504">
            <wp:simplePos x="0" y="0"/>
            <wp:positionH relativeFrom="page">
              <wp:posOffset>4391889</wp:posOffset>
            </wp:positionH>
            <wp:positionV relativeFrom="paragraph">
              <wp:posOffset>107242</wp:posOffset>
            </wp:positionV>
            <wp:extent cx="117496" cy="76200"/>
            <wp:effectExtent l="0" t="0" r="0" b="0"/>
            <wp:wrapTopAndBottom/>
            <wp:docPr id="7" name="image519.png"/>
            <wp:cNvGraphicFramePr>
              <a:graphicFrameLocks noChangeAspect="1"/>
            </wp:cNvGraphicFramePr>
            <a:graphic>
              <a:graphicData uri="http://schemas.openxmlformats.org/drawingml/2006/picture">
                <pic:pic>
                  <pic:nvPicPr>
                    <pic:cNvPr id="8" name="image519.png"/>
                    <pic:cNvPicPr/>
                  </pic:nvPicPr>
                  <pic:blipFill>
                    <a:blip r:embed="rId622" cstate="print"/>
                    <a:stretch>
                      <a:fillRect/>
                    </a:stretch>
                  </pic:blipFill>
                  <pic:spPr>
                    <a:xfrm>
                      <a:off x="0" y="0"/>
                      <a:ext cx="117496" cy="76200"/>
                    </a:xfrm>
                    <a:prstGeom prst="rect">
                      <a:avLst/>
                    </a:prstGeom>
                  </pic:spPr>
                </pic:pic>
              </a:graphicData>
            </a:graphic>
          </wp:anchor>
        </w:drawing>
      </w:r>
    </w:p>
    <w:p>
      <w:pPr>
        <w:pStyle w:val="BodyText"/>
        <w:rPr>
          <w:rFonts w:ascii="Helvetica"/>
          <w:b/>
          <w:sz w:val="14"/>
        </w:rPr>
      </w:pPr>
    </w:p>
    <w:p>
      <w:pPr>
        <w:pStyle w:val="BodyText"/>
        <w:rPr>
          <w:rFonts w:ascii="Helvetica"/>
          <w:b/>
          <w:sz w:val="14"/>
        </w:rPr>
      </w:pPr>
    </w:p>
    <w:p>
      <w:pPr>
        <w:pStyle w:val="BodyText"/>
        <w:rPr>
          <w:rFonts w:ascii="Helvetica"/>
          <w:b/>
          <w:sz w:val="14"/>
        </w:rPr>
      </w:pPr>
    </w:p>
    <w:p>
      <w:pPr>
        <w:pStyle w:val="BodyText"/>
        <w:rPr>
          <w:rFonts w:ascii="Helvetica"/>
          <w:b/>
          <w:sz w:val="14"/>
        </w:rPr>
      </w:pPr>
    </w:p>
    <w:p>
      <w:pPr>
        <w:pStyle w:val="BodyText"/>
        <w:rPr>
          <w:rFonts w:ascii="Helvetica"/>
          <w:b/>
          <w:sz w:val="14"/>
        </w:rPr>
      </w:pPr>
    </w:p>
    <w:p>
      <w:pPr>
        <w:pStyle w:val="BodyText"/>
        <w:rPr>
          <w:rFonts w:ascii="Helvetica"/>
          <w:b/>
          <w:sz w:val="14"/>
        </w:rPr>
      </w:pPr>
    </w:p>
    <w:p>
      <w:pPr>
        <w:pStyle w:val="BodyText"/>
        <w:rPr>
          <w:rFonts w:ascii="Helvetica"/>
          <w:b/>
          <w:sz w:val="14"/>
        </w:rPr>
      </w:pPr>
    </w:p>
    <w:p>
      <w:pPr>
        <w:pStyle w:val="BodyText"/>
        <w:spacing w:before="7"/>
        <w:rPr>
          <w:rFonts w:ascii="Helvetica"/>
          <w:b/>
          <w:sz w:val="13"/>
        </w:rPr>
      </w:pPr>
    </w:p>
    <w:p>
      <w:pPr>
        <w:spacing w:line="261" w:lineRule="auto" w:before="0"/>
        <w:ind w:left="319" w:right="1077" w:firstLine="0"/>
        <w:jc w:val="both"/>
        <w:rPr>
          <w:rFonts w:ascii="Arial" w:hAnsi="Arial"/>
          <w:sz w:val="16"/>
        </w:rPr>
      </w:pPr>
      <w:r>
        <w:rPr/>
        <w:pict>
          <v:group style="position:absolute;margin-left:327.959808pt;margin-top:-192.292297pt;width:220.45pt;height:187.85pt;mso-position-horizontal-relative:page;mso-position-vertical-relative:paragraph;z-index:-273208320" coordorigin="6559,-3846" coordsize="4409,3757">
            <v:shape style="position:absolute;left:7361;top:-3824;width:2782;height:799" coordorigin="7361,-3824" coordsize="2782,799" path="m10142,-3824l7361,-3821,7361,-3398,7374,-3331,7411,-3278,7465,-3241,7531,-3228,9150,-3228,9180,-3227,9258,-3219,9359,-3197,9463,-3156,9517,-3128,9582,-3098,9655,-3069,9730,-3045,9805,-3029,9875,-3025,9939,-3033,9999,-3052,10052,-3085,10096,-3133,10127,-3199,10142,-3286,10142,-3824xe" filled="true" fillcolor="#feebde" stroked="false">
              <v:path arrowok="t"/>
              <v:fill type="solid"/>
            </v:shape>
            <v:shape style="position:absolute;left:7361;top:-3824;width:2782;height:799" coordorigin="7361,-3824" coordsize="2782,799" path="m10142,-3824l10142,-3286,10127,-3199,10096,-3133,10052,-3085,9999,-3052,9939,-3033,9875,-3025,9805,-3029,9730,-3045,9655,-3069,9582,-3098,9517,-3128,9463,-3156,9359,-3197,9258,-3219,9180,-3227,9150,-3228,7531,-3228,7465,-3241,7411,-3278,7374,-3331,7361,-3398,7361,-3821e" filled="false" stroked="true" strokeweight=".5pt" strokecolor="#b7705b">
              <v:path arrowok="t"/>
              <v:stroke dashstyle="solid"/>
            </v:shape>
            <v:shape style="position:absolute;left:7361;top:-2975;width:2782;height:2880" coordorigin="7361,-2974" coordsize="2782,2880" path="m9875,-2974l9805,-2970,9730,-2955,9655,-2930,9582,-2902,9517,-2871,9463,-2844,9385,-2802,9326,-2781,9258,-2773,9150,-2772,7531,-2772,7465,-2759,7411,-2722,7374,-2668,7361,-2602,7361,-467,7374,-401,7411,-347,7465,-311,7531,-297,9150,-297,9180,-296,9258,-288,9359,-267,9463,-225,9517,-197,9582,-167,9655,-138,9730,-114,9805,-98,9875,-95,9939,-103,9999,-122,10052,-154,10096,-202,10127,-269,10142,-356,10142,-2713,10127,-2800,10096,-2866,10052,-2915,9999,-2947,9939,-2966,9875,-2974xe" filled="true" fillcolor="#feebde" stroked="false">
              <v:path arrowok="t"/>
              <v:fill type="solid"/>
            </v:shape>
            <v:shape style="position:absolute;left:7361;top:-2975;width:2782;height:2880" coordorigin="7361,-2974" coordsize="2782,2880" path="m10142,-356l10127,-269,10096,-202,10052,-154,9999,-122,9939,-103,9875,-95,9805,-98,9730,-114,9655,-138,9582,-167,9517,-197,9463,-225,9359,-267,9258,-288,9180,-296,9150,-297,7531,-297,7465,-311,7411,-347,7374,-401,7361,-467,7361,-2602,7374,-2668,7411,-2722,7465,-2759,7531,-2772,9150,-2772,9258,-2773,9326,-2781,9385,-2802,9463,-2844,9517,-2871,9582,-2902,9655,-2930,9730,-2955,9805,-2970,9875,-2974,9939,-2966,9999,-2947,10052,-2915,10096,-2866,10127,-2800,10142,-2713,10142,-356xe" filled="false" stroked="true" strokeweight=".5pt" strokecolor="#b7705b">
              <v:path arrowok="t"/>
              <v:stroke dashstyle="solid"/>
            </v:shape>
            <v:line style="position:absolute" from="8640,-2395" to="8640,-2277" stroked="true" strokeweight="1pt" strokecolor="#231f20">
              <v:stroke dashstyle="solid"/>
            </v:line>
            <v:shape style="position:absolute;left:8599;top:-2306;width:82;height:100" coordorigin="8599,-2305" coordsize="82,100" path="m8599,-2305l8640,-2206,8671,-2282,8640,-2282,8599,-2305xm8681,-2305l8640,-2282,8671,-2282,8681,-2305xe" filled="true" fillcolor="#231f20" stroked="false">
              <v:path arrowok="t"/>
              <v:fill type="solid"/>
            </v:shape>
            <v:line style="position:absolute" from="8640,-1980" to="8640,-1862" stroked="true" strokeweight="1pt" strokecolor="#231f20">
              <v:stroke dashstyle="solid"/>
            </v:line>
            <v:shape style="position:absolute;left:8599;top:-1891;width:82;height:100" coordorigin="8599,-1890" coordsize="82,100" path="m8599,-1890l8640,-1791,8671,-1867,8640,-1867,8599,-1890xm8681,-1890l8640,-1867,8671,-1867,8681,-1890xe" filled="true" fillcolor="#231f20" stroked="false">
              <v:path arrowok="t"/>
              <v:fill type="solid"/>
            </v:shape>
            <v:shape style="position:absolute;left:7176;top:-2014;width:367;height:367" type="#_x0000_t75" stroked="false">
              <v:imagedata r:id="rId623" o:title=""/>
            </v:shape>
            <v:shape style="position:absolute;left:7548;top:-1080;width:205;height:120" type="#_x0000_t75" stroked="false">
              <v:imagedata r:id="rId624" o:title=""/>
            </v:shape>
            <v:line style="position:absolute" from="6916,-1020" to="7618,-1020" stroked="true" strokeweight="1.5pt" strokecolor="#231f20">
              <v:stroke dashstyle="solid"/>
            </v:line>
            <v:shape style="position:absolute;left:7176;top:-1388;width:367;height:367" type="#_x0000_t75" stroked="false">
              <v:imagedata r:id="rId625" o:title=""/>
            </v:shape>
            <v:shape style="position:absolute;left:7277;top:-642;width:165;height:150" type="#_x0000_t75" stroked="false">
              <v:imagedata r:id="rId626" o:title=""/>
            </v:shape>
            <v:shape style="position:absolute;left:7274;top:-662;width:160;height:190" coordorigin="7275,-661" coordsize="160,190" path="m7435,-511l7275,-511,7275,-471,7435,-471,7435,-511m7435,-661l7275,-661,7275,-621,7435,-621,7435,-661e" filled="true" fillcolor="#e2874a" stroked="false">
              <v:path arrowok="t"/>
              <v:fill type="solid"/>
            </v:shape>
            <v:shape style="position:absolute;left:6960;top:-625;width:185;height:120" type="#_x0000_t75" stroked="false">
              <v:imagedata r:id="rId627" o:title=""/>
            </v:shape>
            <v:line style="position:absolute" from="7737,-565" to="7096,-565" stroked="true" strokeweight="1.5pt" strokecolor="#231f20">
              <v:stroke dashstyle="solid"/>
            </v:line>
            <v:shape style="position:absolute;left:10054;top:-642;width:165;height:150" type="#_x0000_t75" stroked="false">
              <v:imagedata r:id="rId628" o:title=""/>
            </v:shape>
            <v:shape style="position:absolute;left:10062;top:-662;width:160;height:190" coordorigin="10063,-661" coordsize="160,190" path="m10223,-511l10063,-511,10063,-471,10223,-471,10223,-511m10223,-661l10063,-661,10063,-621,10223,-621,10223,-661e" filled="true" fillcolor="#e2874a" stroked="false">
              <v:path arrowok="t"/>
              <v:fill type="solid"/>
            </v:shape>
            <v:shape style="position:absolute;left:10352;top:-625;width:185;height:120" type="#_x0000_t75" stroked="false">
              <v:imagedata r:id="rId629" o:title=""/>
            </v:shape>
            <v:line style="position:absolute" from="9760,-565" to="10402,-565" stroked="true" strokeweight="1.5pt" strokecolor="#231f20">
              <v:stroke dashstyle="solid"/>
            </v:line>
            <v:shape style="position:absolute;left:8018;top:-2563;width:185;height:120" type="#_x0000_t75" stroked="false">
              <v:imagedata r:id="rId630" o:title=""/>
            </v:shape>
            <v:line style="position:absolute" from="6981,-2503" to="8068,-2503" stroked="true" strokeweight="1.5pt" strokecolor="#231f20">
              <v:stroke dashstyle="shortdash"/>
            </v:line>
            <v:shape style="position:absolute;left:10393;top:-1756;width:180;height:117" type="#_x0000_t75" stroked="false">
              <v:imagedata r:id="rId631" o:title=""/>
            </v:shape>
            <v:shape style="position:absolute;left:9683;top:-1382;width:180;height:117" type="#_x0000_t75" stroked="false">
              <v:imagedata r:id="rId632" o:title=""/>
            </v:shape>
            <v:shape style="position:absolute;left:9935;top:-1703;width:381;height:380" type="#_x0000_t75" stroked="false">
              <v:imagedata r:id="rId633" o:title=""/>
            </v:shape>
            <v:shape style="position:absolute;left:7875;top:-1887;width:317;height:397" coordorigin="7875,-1886" coordsize="317,397" path="m7875,-1490l7933,-1553,7998,-1610,8066,-1656,8132,-1686,8192,-1698,8132,-1707,8066,-1734,7999,-1775,7934,-1827,7876,-1886e" filled="false" stroked="true" strokeweight="1pt" strokecolor="#231f20">
              <v:path arrowok="t"/>
              <v:stroke dashstyle="solid"/>
            </v:shape>
            <v:shape style="position:absolute;left:7833;top:-1943;width:1809;height:510" coordorigin="7834,-1943" coordsize="1809,510" path="m7926,-1488l7879,-1494,7861,-1537,7834,-1433,7926,-1488m7927,-1889l7834,-1943,7862,-1839,7880,-1883,7927,-1889m9642,-1701l9543,-1741,9566,-1701,9543,-1660,9642,-1701e" filled="true" fillcolor="#231f20" stroked="false">
              <v:path arrowok="t"/>
              <v:fill type="solid"/>
            </v:shape>
            <v:shape style="position:absolute;left:6559;top:-3846;width:696;height:545" type="#_x0000_t202" filled="false" stroked="false">
              <v:textbox inset="0,0,0,0">
                <w:txbxContent>
                  <w:p>
                    <w:pPr>
                      <w:spacing w:line="235" w:lineRule="auto" w:before="2"/>
                      <w:ind w:left="0" w:right="18" w:hanging="1"/>
                      <w:jc w:val="center"/>
                      <w:rPr>
                        <w:rFonts w:ascii="Helvetica"/>
                        <w:sz w:val="16"/>
                      </w:rPr>
                    </w:pPr>
                    <w:r>
                      <w:rPr>
                        <w:rFonts w:ascii="Helvetica"/>
                        <w:color w:val="231F20"/>
                        <w:sz w:val="16"/>
                      </w:rPr>
                      <w:t>Renal interstitial</w:t>
                    </w:r>
                    <w:r>
                      <w:rPr>
                        <w:rFonts w:ascii="Helvetica"/>
                        <w:color w:val="231F20"/>
                        <w:w w:val="99"/>
                        <w:sz w:val="16"/>
                      </w:rPr>
                      <w:t> </w:t>
                    </w:r>
                    <w:r>
                      <w:rPr>
                        <w:rFonts w:ascii="Helvetica"/>
                        <w:color w:val="231F20"/>
                        <w:sz w:val="16"/>
                      </w:rPr>
                      <w:t>fluid</w:t>
                    </w:r>
                  </w:p>
                </w:txbxContent>
              </v:textbox>
              <w10:wrap type="none"/>
            </v:shape>
            <v:shape style="position:absolute;left:8181;top:-3726;width:1132;height:365" type="#_x0000_t202" filled="false" stroked="false">
              <v:textbox inset="0,0,0,0">
                <w:txbxContent>
                  <w:p>
                    <w:pPr>
                      <w:spacing w:line="235" w:lineRule="auto" w:before="2"/>
                      <w:ind w:left="0" w:right="0" w:firstLine="302"/>
                      <w:jc w:val="left"/>
                      <w:rPr>
                        <w:rFonts w:ascii="Helvetica"/>
                        <w:sz w:val="16"/>
                      </w:rPr>
                    </w:pPr>
                    <w:r>
                      <w:rPr>
                        <w:rFonts w:ascii="Helvetica"/>
                        <w:color w:val="231F20"/>
                        <w:sz w:val="16"/>
                      </w:rPr>
                      <w:t>Type B intercalated cell</w:t>
                    </w:r>
                  </w:p>
                </w:txbxContent>
              </v:textbox>
              <w10:wrap type="none"/>
            </v:shape>
            <v:shape style="position:absolute;left:10285;top:-3846;width:563;height:365" type="#_x0000_t202" filled="false" stroked="false">
              <v:textbox inset="0,0,0,0">
                <w:txbxContent>
                  <w:p>
                    <w:pPr>
                      <w:spacing w:line="235" w:lineRule="auto" w:before="2"/>
                      <w:ind w:left="53" w:right="1" w:hanging="54"/>
                      <w:jc w:val="left"/>
                      <w:rPr>
                        <w:rFonts w:ascii="Helvetica"/>
                        <w:sz w:val="16"/>
                      </w:rPr>
                    </w:pPr>
                    <w:r>
                      <w:rPr>
                        <w:rFonts w:ascii="Helvetica"/>
                        <w:color w:val="231F20"/>
                        <w:sz w:val="16"/>
                      </w:rPr>
                      <w:t>Tubular lumen</w:t>
                    </w:r>
                  </w:p>
                </w:txbxContent>
              </v:textbox>
              <w10:wrap type="none"/>
            </v:shape>
            <v:shape style="position:absolute;left:6646;top:-2591;width:327;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w:t>
                    </w:r>
                    <w:r>
                      <w:rPr>
                        <w:rFonts w:ascii="Helvetica"/>
                        <w:color w:val="231F20"/>
                        <w:sz w:val="16"/>
                        <w:vertAlign w:val="subscript"/>
                      </w:rPr>
                      <w:t>2</w:t>
                    </w:r>
                  </w:p>
                </w:txbxContent>
              </v:textbox>
              <w10:wrap type="none"/>
            </v:shape>
            <v:shape style="position:absolute;left:8249;top:-2591;width:816;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w:t>
                    </w:r>
                    <w:r>
                      <w:rPr>
                        <w:rFonts w:ascii="Helvetica"/>
                        <w:color w:val="231F20"/>
                        <w:sz w:val="16"/>
                        <w:vertAlign w:val="subscript"/>
                      </w:rPr>
                      <w:t>2</w:t>
                    </w:r>
                    <w:r>
                      <w:rPr>
                        <w:rFonts w:ascii="Helvetica"/>
                        <w:color w:val="231F20"/>
                        <w:sz w:val="16"/>
                        <w:vertAlign w:val="baseline"/>
                      </w:rPr>
                      <w:t> + H</w:t>
                    </w:r>
                    <w:r>
                      <w:rPr>
                        <w:rFonts w:ascii="Helvetica"/>
                        <w:color w:val="231F20"/>
                        <w:sz w:val="16"/>
                        <w:vertAlign w:val="subscript"/>
                      </w:rPr>
                      <w:t>2</w:t>
                    </w:r>
                    <w:r>
                      <w:rPr>
                        <w:rFonts w:ascii="Helvetica"/>
                        <w:color w:val="231F20"/>
                        <w:sz w:val="16"/>
                        <w:vertAlign w:val="baseline"/>
                      </w:rPr>
                      <w:t>O</w:t>
                    </w:r>
                  </w:p>
                </w:txbxContent>
              </v:textbox>
              <w10:wrap type="none"/>
            </v:shape>
            <v:shape style="position:absolute;left:6686;top:-2110;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7051;top:-2110;width:702;height:379" type="#_x0000_t202" filled="false" stroked="false">
              <v:textbox inset="0,0,0,0">
                <w:txbxContent>
                  <w:p>
                    <w:pPr>
                      <w:tabs>
                        <w:tab w:pos="681" w:val="left" w:leader="none"/>
                      </w:tabs>
                      <w:spacing w:before="3"/>
                      <w:ind w:left="0" w:right="18" w:firstLine="0"/>
                      <w:jc w:val="center"/>
                      <w:rPr>
                        <w:rFonts w:ascii="Helvetica"/>
                        <w:b/>
                        <w:sz w:val="12"/>
                      </w:rPr>
                    </w:pPr>
                    <w:r>
                      <w:rPr>
                        <w:rFonts w:ascii="Helvetica"/>
                        <w:b/>
                        <w:color w:val="231F20"/>
                        <w:w w:val="100"/>
                        <w:sz w:val="12"/>
                        <w:u w:val="thick" w:color="231F20"/>
                      </w:rPr>
                      <w:t> </w:t>
                    </w:r>
                    <w:r>
                      <w:rPr>
                        <w:rFonts w:ascii="Helvetica"/>
                        <w:b/>
                        <w:color w:val="231F20"/>
                        <w:sz w:val="12"/>
                        <w:u w:val="thick" w:color="231F20"/>
                      </w:rPr>
                      <w:tab/>
                    </w:r>
                  </w:p>
                  <w:p>
                    <w:pPr>
                      <w:spacing w:before="51"/>
                      <w:ind w:left="0" w:right="67" w:firstLine="0"/>
                      <w:jc w:val="center"/>
                      <w:rPr>
                        <w:rFonts w:ascii="Helvetica"/>
                        <w:sz w:val="16"/>
                      </w:rPr>
                    </w:pPr>
                    <w:r>
                      <w:rPr>
                        <w:rFonts w:ascii="Helvetica"/>
                        <w:color w:val="231F20"/>
                        <w:sz w:val="16"/>
                      </w:rPr>
                      <w:t>ATP</w:t>
                    </w:r>
                  </w:p>
                </w:txbxContent>
              </v:textbox>
              <w10:wrap type="none"/>
            </v:shape>
            <v:shape style="position:absolute;left:8403;top:-2186;width:509;height:20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w:t>
                    </w:r>
                    <w:r>
                      <w:rPr>
                        <w:rFonts w:ascii="Helvetica"/>
                        <w:color w:val="231F20"/>
                        <w:sz w:val="16"/>
                        <w:vertAlign w:val="subscript"/>
                      </w:rPr>
                      <w:t>2</w:t>
                    </w:r>
                    <w:r>
                      <w:rPr>
                        <w:rFonts w:ascii="Helvetica"/>
                        <w:color w:val="231F20"/>
                        <w:sz w:val="16"/>
                        <w:vertAlign w:val="baseline"/>
                      </w:rPr>
                      <w:t>CO</w:t>
                    </w:r>
                    <w:r>
                      <w:rPr>
                        <w:rFonts w:ascii="Helvetica"/>
                        <w:color w:val="231F20"/>
                        <w:sz w:val="16"/>
                        <w:vertAlign w:val="subscript"/>
                      </w:rPr>
                      <w:t>3</w:t>
                    </w:r>
                  </w:p>
                </w:txbxContent>
              </v:textbox>
              <w10:wrap type="none"/>
            </v:shape>
            <v:shape style="position:absolute;left:8244;top:-1803;width:1347;height:198" type="#_x0000_t202" filled="false" stroked="false">
              <v:textbox inset="0,0,0,0">
                <w:txbxContent>
                  <w:p>
                    <w:pPr>
                      <w:tabs>
                        <w:tab w:pos="1326" w:val="left" w:leader="none"/>
                      </w:tabs>
                      <w:spacing w:line="196" w:lineRule="exact" w:before="0"/>
                      <w:ind w:left="0" w:right="0" w:firstLine="0"/>
                      <w:jc w:val="left"/>
                      <w:rPr>
                        <w:rFonts w:ascii="Helvetica" w:hAnsi="Helvetica"/>
                        <w:sz w:val="12"/>
                      </w:rPr>
                    </w:pPr>
                    <w:r>
                      <w:rPr>
                        <w:rFonts w:ascii="Helvetica" w:hAnsi="Helvetica"/>
                        <w:color w:val="231F20"/>
                        <w:sz w:val="16"/>
                      </w:rPr>
                      <w:t>H</w:t>
                    </w:r>
                    <w:r>
                      <w:rPr>
                        <w:rFonts w:ascii="Helvetica" w:hAnsi="Helvetica"/>
                        <w:color w:val="231F20"/>
                        <w:position w:val="5"/>
                        <w:sz w:val="12"/>
                      </w:rPr>
                      <w:t>+ </w:t>
                    </w:r>
                    <w:r>
                      <w:rPr>
                        <w:rFonts w:ascii="Helvetica" w:hAnsi="Helvetica"/>
                        <w:color w:val="231F20"/>
                        <w:sz w:val="16"/>
                      </w:rPr>
                      <w:t>+ HCO</w:t>
                    </w:r>
                    <w:r>
                      <w:rPr>
                        <w:rFonts w:ascii="Helvetica" w:hAnsi="Helvetica"/>
                        <w:color w:val="231F20"/>
                        <w:spacing w:val="21"/>
                        <w:sz w:val="16"/>
                      </w:rPr>
                      <w:t> </w:t>
                    </w:r>
                    <w:r>
                      <w:rPr>
                        <w:rFonts w:ascii="Helvetica" w:hAnsi="Helvetica"/>
                        <w:color w:val="231F20"/>
                        <w:position w:val="5"/>
                        <w:sz w:val="12"/>
                      </w:rPr>
                      <w:t>–</w:t>
                    </w:r>
                    <w:r>
                      <w:rPr>
                        <w:rFonts w:ascii="Helvetica" w:hAnsi="Helvetica"/>
                        <w:color w:val="231F20"/>
                        <w:spacing w:val="4"/>
                        <w:position w:val="5"/>
                        <w:sz w:val="12"/>
                      </w:rPr>
                      <w:t> </w:t>
                    </w:r>
                    <w:r>
                      <w:rPr>
                        <w:rFonts w:ascii="Helvetica" w:hAnsi="Helvetica"/>
                        <w:color w:val="231F20"/>
                        <w:w w:val="100"/>
                        <w:position w:val="5"/>
                        <w:sz w:val="12"/>
                        <w:u w:val="single" w:color="231F20"/>
                      </w:rPr>
                      <w:t> </w:t>
                    </w:r>
                    <w:r>
                      <w:rPr>
                        <w:rFonts w:ascii="Helvetica" w:hAnsi="Helvetica"/>
                        <w:color w:val="231F20"/>
                        <w:position w:val="5"/>
                        <w:sz w:val="12"/>
                        <w:u w:val="single" w:color="231F20"/>
                      </w:rPr>
                      <w:tab/>
                    </w:r>
                  </w:p>
                </w:txbxContent>
              </v:textbox>
              <w10:wrap type="none"/>
            </v:shape>
            <v:shape style="position:absolute;left:8957;top:-1723;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3</w:t>
                    </w:r>
                  </w:p>
                </w:txbxContent>
              </v:textbox>
              <w10:wrap type="none"/>
            </v:shape>
            <v:shape style="position:absolute;left:9723;top:-1803;width:738;height:139" type="#_x0000_t202" filled="false" stroked="false">
              <v:textbox inset="0,0,0,0">
                <w:txbxContent>
                  <w:p>
                    <w:pPr>
                      <w:tabs>
                        <w:tab w:pos="717" w:val="left" w:leader="none"/>
                      </w:tabs>
                      <w:spacing w:line="137" w:lineRule="exact" w:before="0"/>
                      <w:ind w:left="0" w:right="0" w:firstLine="0"/>
                      <w:jc w:val="left"/>
                      <w:rPr>
                        <w:rFonts w:ascii="Helvetica"/>
                        <w:sz w:val="12"/>
                      </w:rPr>
                    </w:pPr>
                    <w:r>
                      <w:rPr>
                        <w:rFonts w:ascii="Helvetica"/>
                        <w:color w:val="231F20"/>
                        <w:w w:val="100"/>
                        <w:sz w:val="12"/>
                        <w:u w:val="thick" w:color="231F20"/>
                      </w:rPr>
                      <w:t> </w:t>
                    </w:r>
                    <w:r>
                      <w:rPr>
                        <w:rFonts w:ascii="Helvetica"/>
                        <w:color w:val="231F20"/>
                        <w:sz w:val="12"/>
                        <w:u w:val="thick" w:color="231F20"/>
                      </w:rPr>
                      <w:tab/>
                    </w:r>
                  </w:p>
                </w:txbxContent>
              </v:textbox>
              <w10:wrap type="none"/>
            </v:shape>
            <v:shape style="position:absolute;left:10591;top:-1801;width:376;height:191" type="#_x0000_t202" filled="false" stroked="false">
              <v:textbox inset="0,0,0,0">
                <w:txbxContent>
                  <w:p>
                    <w:pPr>
                      <w:spacing w:before="4"/>
                      <w:ind w:left="0" w:right="0" w:firstLine="0"/>
                      <w:jc w:val="left"/>
                      <w:rPr>
                        <w:rFonts w:ascii="Helvetica"/>
                        <w:b/>
                        <w:sz w:val="16"/>
                      </w:rPr>
                    </w:pPr>
                    <w:r>
                      <w:rPr>
                        <w:rFonts w:ascii="Helvetica"/>
                        <w:b/>
                        <w:color w:val="231F20"/>
                        <w:sz w:val="16"/>
                      </w:rPr>
                      <w:t>HCO</w:t>
                    </w:r>
                  </w:p>
                </w:txbxContent>
              </v:textbox>
              <w10:wrap type="none"/>
            </v:shape>
            <v:shape style="position:absolute;left:6686;top:-1484;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7051;top:-1484;width:702;height:379" type="#_x0000_t202" filled="false" stroked="false">
              <v:textbox inset="0,0,0,0">
                <w:txbxContent>
                  <w:p>
                    <w:pPr>
                      <w:tabs>
                        <w:tab w:pos="681" w:val="left" w:leader="none"/>
                      </w:tabs>
                      <w:spacing w:before="3"/>
                      <w:ind w:left="0" w:right="18" w:firstLine="0"/>
                      <w:jc w:val="center"/>
                      <w:rPr>
                        <w:rFonts w:ascii="Helvetica"/>
                        <w:b/>
                        <w:sz w:val="12"/>
                      </w:rPr>
                    </w:pPr>
                    <w:r>
                      <w:rPr>
                        <w:rFonts w:ascii="Helvetica"/>
                        <w:b/>
                        <w:color w:val="231F20"/>
                        <w:w w:val="100"/>
                        <w:sz w:val="12"/>
                        <w:u w:val="thick" w:color="231F20"/>
                      </w:rPr>
                      <w:t> </w:t>
                    </w:r>
                    <w:r>
                      <w:rPr>
                        <w:rFonts w:ascii="Helvetica"/>
                        <w:b/>
                        <w:color w:val="231F20"/>
                        <w:sz w:val="12"/>
                        <w:u w:val="thick" w:color="231F20"/>
                      </w:rPr>
                      <w:tab/>
                    </w:r>
                  </w:p>
                  <w:p>
                    <w:pPr>
                      <w:spacing w:before="51"/>
                      <w:ind w:left="0" w:right="67" w:firstLine="0"/>
                      <w:jc w:val="center"/>
                      <w:rPr>
                        <w:rFonts w:ascii="Helvetica"/>
                        <w:sz w:val="16"/>
                      </w:rPr>
                    </w:pPr>
                    <w:r>
                      <w:rPr>
                        <w:rFonts w:ascii="Helvetica"/>
                        <w:color w:val="231F20"/>
                        <w:sz w:val="16"/>
                      </w:rPr>
                      <w:t>ATP</w:t>
                    </w:r>
                  </w:p>
                </w:txbxContent>
              </v:textbox>
              <w10:wrap type="none"/>
            </v:shape>
            <v:shape style="position:absolute;left:9418;top:-1437;width:247;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Cl</w:t>
                    </w:r>
                    <w:r>
                      <w:rPr>
                        <w:rFonts w:ascii="Helvetica" w:hAnsi="Helvetica"/>
                        <w:b/>
                        <w:color w:val="231F20"/>
                        <w:position w:val="5"/>
                        <w:sz w:val="12"/>
                      </w:rPr>
                      <w:t>–</w:t>
                    </w:r>
                  </w:p>
                </w:txbxContent>
              </v:textbox>
              <w10:wrap type="none"/>
            </v:shape>
            <v:shape style="position:absolute;left:9815;top:-1437;width:758;height:143" type="#_x0000_t202" filled="false" stroked="false">
              <v:textbox inset="0,0,0,0">
                <w:txbxContent>
                  <w:p>
                    <w:pPr>
                      <w:tabs>
                        <w:tab w:pos="737" w:val="left" w:leader="none"/>
                      </w:tabs>
                      <w:spacing w:before="3"/>
                      <w:ind w:left="0" w:right="0" w:firstLine="0"/>
                      <w:jc w:val="left"/>
                      <w:rPr>
                        <w:rFonts w:ascii="Helvetica"/>
                        <w:b/>
                        <w:sz w:val="12"/>
                      </w:rPr>
                    </w:pPr>
                    <w:r>
                      <w:rPr>
                        <w:rFonts w:ascii="Helvetica"/>
                        <w:b/>
                        <w:color w:val="231F20"/>
                        <w:w w:val="100"/>
                        <w:sz w:val="12"/>
                        <w:u w:val="thick" w:color="231F20"/>
                      </w:rPr>
                      <w:t> </w:t>
                    </w:r>
                    <w:r>
                      <w:rPr>
                        <w:rFonts w:ascii="Helvetica"/>
                        <w:b/>
                        <w:color w:val="231F20"/>
                        <w:sz w:val="12"/>
                        <w:u w:val="thick" w:color="231F20"/>
                      </w:rPr>
                      <w:tab/>
                    </w:r>
                  </w:p>
                </w:txbxContent>
              </v:textbox>
              <w10:wrap type="none"/>
            </v:shape>
            <v:shape style="position:absolute;left:7768;top:-1131;width:247;height:664" type="#_x0000_t202" filled="false" stroked="false">
              <v:textbox inset="0,0,0,0">
                <w:txbxContent>
                  <w:p>
                    <w:pPr>
                      <w:spacing w:before="3"/>
                      <w:ind w:left="5" w:right="0" w:firstLine="0"/>
                      <w:jc w:val="left"/>
                      <w:rPr>
                        <w:rFonts w:ascii="Helvetica"/>
                        <w:b/>
                        <w:sz w:val="12"/>
                      </w:rPr>
                    </w:pPr>
                    <w:r>
                      <w:rPr>
                        <w:rFonts w:ascii="Helvetica"/>
                        <w:b/>
                        <w:color w:val="231F20"/>
                        <w:position w:val="-4"/>
                        <w:sz w:val="16"/>
                      </w:rPr>
                      <w:t>K</w:t>
                    </w:r>
                    <w:r>
                      <w:rPr>
                        <w:rFonts w:ascii="Helvetica"/>
                        <w:b/>
                        <w:color w:val="231F20"/>
                        <w:sz w:val="12"/>
                      </w:rPr>
                      <w:t>+</w:t>
                    </w:r>
                  </w:p>
                  <w:p>
                    <w:pPr>
                      <w:spacing w:line="240" w:lineRule="auto" w:before="0"/>
                      <w:rPr>
                        <w:rFonts w:ascii="Helvetica"/>
                        <w:b/>
                        <w:sz w:val="23"/>
                      </w:rPr>
                    </w:pPr>
                  </w:p>
                  <w:p>
                    <w:pPr>
                      <w:spacing w:before="0"/>
                      <w:ind w:left="0" w:right="0" w:firstLine="0"/>
                      <w:jc w:val="left"/>
                      <w:rPr>
                        <w:rFonts w:ascii="Helvetica" w:hAnsi="Helvetica"/>
                        <w:b/>
                        <w:sz w:val="12"/>
                      </w:rPr>
                    </w:pPr>
                    <w:r>
                      <w:rPr>
                        <w:rFonts w:ascii="Helvetica" w:hAnsi="Helvetica"/>
                        <w:b/>
                        <w:color w:val="231F20"/>
                        <w:sz w:val="16"/>
                      </w:rPr>
                      <w:t>Cl</w:t>
                    </w:r>
                    <w:r>
                      <w:rPr>
                        <w:rFonts w:ascii="Helvetica" w:hAnsi="Helvetica"/>
                        <w:b/>
                        <w:color w:val="231F20"/>
                        <w:position w:val="5"/>
                        <w:sz w:val="12"/>
                      </w:rPr>
                      <w:t>–</w:t>
                    </w:r>
                  </w:p>
                </w:txbxContent>
              </v:textbox>
              <w10:wrap type="none"/>
            </v:shape>
            <v:shape style="position:absolute;left:9521;top:-669;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p>
                </w:txbxContent>
              </v:textbox>
              <w10:wrap type="none"/>
            </v:shape>
            <w10:wrap type="none"/>
          </v:group>
        </w:pict>
      </w:r>
      <w:bookmarkStart w:name="_bookmark52" w:id="53"/>
      <w:bookmarkEnd w:id="53"/>
      <w:r>
        <w:rPr/>
      </w:r>
      <w:r>
        <w:rPr>
          <w:rFonts w:ascii="Trebuchet MS" w:hAnsi="Trebuchet MS"/>
          <w:b/>
          <w:color w:val="231F20"/>
          <w:sz w:val="16"/>
        </w:rPr>
        <w:t>Figure</w:t>
      </w:r>
      <w:r>
        <w:rPr>
          <w:rFonts w:ascii="Trebuchet MS" w:hAnsi="Trebuchet MS"/>
          <w:b/>
          <w:color w:val="231F20"/>
          <w:spacing w:val="-12"/>
          <w:sz w:val="16"/>
        </w:rPr>
        <w:t> </w:t>
      </w:r>
      <w:r>
        <w:rPr>
          <w:rFonts w:ascii="Trebuchet MS" w:hAnsi="Trebuchet MS"/>
          <w:b/>
          <w:color w:val="231F20"/>
          <w:sz w:val="16"/>
        </w:rPr>
        <w:t>28­13.</w:t>
      </w:r>
      <w:r>
        <w:rPr>
          <w:rFonts w:ascii="Trebuchet MS" w:hAnsi="Trebuchet MS"/>
          <w:b/>
          <w:color w:val="231F20"/>
          <w:spacing w:val="6"/>
          <w:sz w:val="16"/>
        </w:rPr>
        <w:t> </w:t>
      </w:r>
      <w:r>
        <w:rPr>
          <w:rFonts w:ascii="Arial" w:hAnsi="Arial"/>
          <w:color w:val="231F20"/>
          <w:spacing w:val="-5"/>
          <w:sz w:val="16"/>
        </w:rPr>
        <w:t>Type</w:t>
      </w:r>
      <w:r>
        <w:rPr>
          <w:rFonts w:ascii="Arial" w:hAnsi="Arial"/>
          <w:color w:val="231F20"/>
          <w:spacing w:val="-8"/>
          <w:sz w:val="16"/>
        </w:rPr>
        <w:t> </w:t>
      </w:r>
      <w:r>
        <w:rPr>
          <w:rFonts w:ascii="Arial" w:hAnsi="Arial"/>
          <w:color w:val="231F20"/>
          <w:sz w:val="16"/>
        </w:rPr>
        <w:t>A</w:t>
      </w:r>
      <w:r>
        <w:rPr>
          <w:rFonts w:ascii="Arial" w:hAnsi="Arial"/>
          <w:color w:val="231F20"/>
          <w:spacing w:val="-8"/>
          <w:sz w:val="16"/>
        </w:rPr>
        <w:t> </w:t>
      </w:r>
      <w:r>
        <w:rPr>
          <w:rFonts w:ascii="Arial" w:hAnsi="Arial"/>
          <w:color w:val="231F20"/>
          <w:sz w:val="16"/>
        </w:rPr>
        <w:t>and</w:t>
      </w:r>
      <w:r>
        <w:rPr>
          <w:rFonts w:ascii="Arial" w:hAnsi="Arial"/>
          <w:color w:val="231F20"/>
          <w:spacing w:val="-9"/>
          <w:sz w:val="16"/>
        </w:rPr>
        <w:t> </w:t>
      </w:r>
      <w:r>
        <w:rPr>
          <w:rFonts w:ascii="Arial" w:hAnsi="Arial"/>
          <w:color w:val="231F20"/>
          <w:sz w:val="16"/>
        </w:rPr>
        <w:t>type</w:t>
      </w:r>
      <w:r>
        <w:rPr>
          <w:rFonts w:ascii="Arial" w:hAnsi="Arial"/>
          <w:color w:val="231F20"/>
          <w:spacing w:val="-8"/>
          <w:sz w:val="16"/>
        </w:rPr>
        <w:t> </w:t>
      </w:r>
      <w:r>
        <w:rPr>
          <w:rFonts w:ascii="Arial" w:hAnsi="Arial"/>
          <w:color w:val="231F20"/>
          <w:sz w:val="16"/>
        </w:rPr>
        <w:t>B</w:t>
      </w:r>
      <w:r>
        <w:rPr>
          <w:rFonts w:ascii="Arial" w:hAnsi="Arial"/>
          <w:color w:val="231F20"/>
          <w:spacing w:val="-9"/>
          <w:sz w:val="16"/>
        </w:rPr>
        <w:t> </w:t>
      </w:r>
      <w:r>
        <w:rPr>
          <w:rFonts w:ascii="Arial" w:hAnsi="Arial"/>
          <w:color w:val="231F20"/>
          <w:sz w:val="16"/>
        </w:rPr>
        <w:t>intercalated</w:t>
      </w:r>
      <w:r>
        <w:rPr>
          <w:rFonts w:ascii="Arial" w:hAnsi="Arial"/>
          <w:color w:val="231F20"/>
          <w:spacing w:val="-7"/>
          <w:sz w:val="16"/>
        </w:rPr>
        <w:t> </w:t>
      </w:r>
      <w:r>
        <w:rPr>
          <w:rFonts w:ascii="Arial" w:hAnsi="Arial"/>
          <w:color w:val="231F20"/>
          <w:sz w:val="16"/>
        </w:rPr>
        <w:t>cells</w:t>
      </w:r>
      <w:r>
        <w:rPr>
          <w:rFonts w:ascii="Arial" w:hAnsi="Arial"/>
          <w:color w:val="231F20"/>
          <w:spacing w:val="-9"/>
          <w:sz w:val="16"/>
        </w:rPr>
        <w:t> </w:t>
      </w:r>
      <w:r>
        <w:rPr>
          <w:rFonts w:ascii="Arial" w:hAnsi="Arial"/>
          <w:color w:val="231F20"/>
          <w:sz w:val="16"/>
        </w:rPr>
        <w:t>of</w:t>
      </w:r>
      <w:r>
        <w:rPr>
          <w:rFonts w:ascii="Arial" w:hAnsi="Arial"/>
          <w:color w:val="231F20"/>
          <w:spacing w:val="-8"/>
          <w:sz w:val="16"/>
        </w:rPr>
        <w:t> </w:t>
      </w:r>
      <w:r>
        <w:rPr>
          <w:rFonts w:ascii="Arial" w:hAnsi="Arial"/>
          <w:color w:val="231F20"/>
          <w:sz w:val="16"/>
        </w:rPr>
        <w:t>the</w:t>
      </w:r>
      <w:r>
        <w:rPr>
          <w:rFonts w:ascii="Arial" w:hAnsi="Arial"/>
          <w:color w:val="231F20"/>
          <w:spacing w:val="-8"/>
          <w:sz w:val="16"/>
        </w:rPr>
        <w:t> </w:t>
      </w:r>
      <w:r>
        <w:rPr>
          <w:rFonts w:ascii="Arial" w:hAnsi="Arial"/>
          <w:color w:val="231F20"/>
          <w:sz w:val="16"/>
        </w:rPr>
        <w:t>collecting tubule. </w:t>
      </w:r>
      <w:r>
        <w:rPr>
          <w:rFonts w:ascii="Arial" w:hAnsi="Arial"/>
          <w:color w:val="231F20"/>
          <w:spacing w:val="-5"/>
          <w:sz w:val="16"/>
        </w:rPr>
        <w:t>Type </w:t>
      </w:r>
      <w:r>
        <w:rPr>
          <w:rFonts w:ascii="Arial" w:hAnsi="Arial"/>
          <w:color w:val="231F20"/>
          <w:sz w:val="16"/>
        </w:rPr>
        <w:t>A cells contain hydrogen-ATPase and </w:t>
      </w:r>
      <w:r>
        <w:rPr>
          <w:rFonts w:ascii="Arial" w:hAnsi="Arial"/>
          <w:color w:val="231F20"/>
          <w:spacing w:val="-3"/>
          <w:sz w:val="16"/>
        </w:rPr>
        <w:t>hydrogen- </w:t>
      </w:r>
      <w:r>
        <w:rPr>
          <w:rFonts w:ascii="Arial" w:hAnsi="Arial"/>
          <w:color w:val="231F20"/>
          <w:sz w:val="16"/>
        </w:rPr>
        <w:t>potassium-ATPase</w:t>
      </w:r>
      <w:r>
        <w:rPr>
          <w:rFonts w:ascii="Arial" w:hAnsi="Arial"/>
          <w:color w:val="231F20"/>
          <w:spacing w:val="-7"/>
          <w:sz w:val="16"/>
        </w:rPr>
        <w:t> </w:t>
      </w:r>
      <w:r>
        <w:rPr>
          <w:rFonts w:ascii="Arial" w:hAnsi="Arial"/>
          <w:color w:val="231F20"/>
          <w:sz w:val="16"/>
        </w:rPr>
        <w:t>in</w:t>
      </w:r>
      <w:r>
        <w:rPr>
          <w:rFonts w:ascii="Arial" w:hAnsi="Arial"/>
          <w:color w:val="231F20"/>
          <w:spacing w:val="-6"/>
          <w:sz w:val="16"/>
        </w:rPr>
        <w:t> </w:t>
      </w:r>
      <w:r>
        <w:rPr>
          <w:rFonts w:ascii="Arial" w:hAnsi="Arial"/>
          <w:color w:val="231F20"/>
          <w:sz w:val="16"/>
        </w:rPr>
        <w:t>the</w:t>
      </w:r>
      <w:r>
        <w:rPr>
          <w:rFonts w:ascii="Arial" w:hAnsi="Arial"/>
          <w:color w:val="231F20"/>
          <w:spacing w:val="-6"/>
          <w:sz w:val="16"/>
        </w:rPr>
        <w:t> </w:t>
      </w:r>
      <w:r>
        <w:rPr>
          <w:rFonts w:ascii="Arial" w:hAnsi="Arial"/>
          <w:color w:val="231F20"/>
          <w:sz w:val="16"/>
        </w:rPr>
        <w:t>luminal</w:t>
      </w:r>
      <w:r>
        <w:rPr>
          <w:rFonts w:ascii="Arial" w:hAnsi="Arial"/>
          <w:color w:val="231F20"/>
          <w:spacing w:val="-7"/>
          <w:sz w:val="16"/>
        </w:rPr>
        <w:t> </w:t>
      </w:r>
      <w:r>
        <w:rPr>
          <w:rFonts w:ascii="Arial" w:hAnsi="Arial"/>
          <w:color w:val="231F20"/>
          <w:sz w:val="16"/>
        </w:rPr>
        <w:t>membrane</w:t>
      </w:r>
      <w:r>
        <w:rPr>
          <w:rFonts w:ascii="Arial" w:hAnsi="Arial"/>
          <w:color w:val="231F20"/>
          <w:spacing w:val="-6"/>
          <w:sz w:val="16"/>
        </w:rPr>
        <w:t> </w:t>
      </w:r>
      <w:r>
        <w:rPr>
          <w:rFonts w:ascii="Arial" w:hAnsi="Arial"/>
          <w:color w:val="231F20"/>
          <w:sz w:val="16"/>
        </w:rPr>
        <w:t>and</w:t>
      </w:r>
      <w:r>
        <w:rPr>
          <w:rFonts w:ascii="Arial" w:hAnsi="Arial"/>
          <w:color w:val="231F20"/>
          <w:spacing w:val="-6"/>
          <w:sz w:val="16"/>
        </w:rPr>
        <w:t> </w:t>
      </w:r>
      <w:r>
        <w:rPr>
          <w:rFonts w:ascii="Arial" w:hAnsi="Arial"/>
          <w:color w:val="231F20"/>
          <w:sz w:val="16"/>
        </w:rPr>
        <w:t>secrete</w:t>
      </w:r>
      <w:r>
        <w:rPr>
          <w:rFonts w:ascii="Arial" w:hAnsi="Arial"/>
          <w:color w:val="231F20"/>
          <w:spacing w:val="-6"/>
          <w:sz w:val="16"/>
        </w:rPr>
        <w:t> </w:t>
      </w:r>
      <w:r>
        <w:rPr>
          <w:rFonts w:ascii="Arial" w:hAnsi="Arial"/>
          <w:color w:val="231F20"/>
          <w:spacing w:val="-3"/>
          <w:sz w:val="16"/>
        </w:rPr>
        <w:t>hydrogen </w:t>
      </w:r>
      <w:r>
        <w:rPr>
          <w:rFonts w:ascii="Arial" w:hAnsi="Arial"/>
          <w:color w:val="231F20"/>
          <w:sz w:val="16"/>
        </w:rPr>
        <w:t>ions</w:t>
      </w:r>
      <w:r>
        <w:rPr>
          <w:rFonts w:ascii="Arial" w:hAnsi="Arial"/>
          <w:color w:val="231F20"/>
          <w:spacing w:val="-8"/>
          <w:sz w:val="16"/>
        </w:rPr>
        <w:t> </w:t>
      </w:r>
      <w:r>
        <w:rPr>
          <w:rFonts w:ascii="Arial" w:hAnsi="Arial"/>
          <w:color w:val="231F20"/>
          <w:sz w:val="16"/>
        </w:rPr>
        <w:t>while</w:t>
      </w:r>
      <w:r>
        <w:rPr>
          <w:rFonts w:ascii="Arial" w:hAnsi="Arial"/>
          <w:color w:val="231F20"/>
          <w:spacing w:val="-8"/>
          <w:sz w:val="16"/>
        </w:rPr>
        <w:t> </w:t>
      </w:r>
      <w:r>
        <w:rPr>
          <w:rFonts w:ascii="Arial" w:hAnsi="Arial"/>
          <w:color w:val="231F20"/>
          <w:sz w:val="16"/>
        </w:rPr>
        <w:t>reabsorbing</w:t>
      </w:r>
      <w:r>
        <w:rPr>
          <w:rFonts w:ascii="Arial" w:hAnsi="Arial"/>
          <w:color w:val="231F20"/>
          <w:spacing w:val="-7"/>
          <w:sz w:val="16"/>
        </w:rPr>
        <w:t> </w:t>
      </w:r>
      <w:r>
        <w:rPr>
          <w:rFonts w:ascii="Arial" w:hAnsi="Arial"/>
          <w:color w:val="231F20"/>
          <w:sz w:val="16"/>
        </w:rPr>
        <w:t>bicarbonate</w:t>
      </w:r>
      <w:r>
        <w:rPr>
          <w:rFonts w:ascii="Arial" w:hAnsi="Arial"/>
          <w:color w:val="231F20"/>
          <w:spacing w:val="-8"/>
          <w:sz w:val="16"/>
        </w:rPr>
        <w:t> </w:t>
      </w:r>
      <w:r>
        <w:rPr>
          <w:rFonts w:ascii="Arial" w:hAnsi="Arial"/>
          <w:color w:val="231F20"/>
          <w:sz w:val="16"/>
        </w:rPr>
        <w:t>and</w:t>
      </w:r>
      <w:r>
        <w:rPr>
          <w:rFonts w:ascii="Arial" w:hAnsi="Arial"/>
          <w:color w:val="231F20"/>
          <w:spacing w:val="-7"/>
          <w:sz w:val="16"/>
        </w:rPr>
        <w:t> </w:t>
      </w:r>
      <w:r>
        <w:rPr>
          <w:rFonts w:ascii="Arial" w:hAnsi="Arial"/>
          <w:color w:val="231F20"/>
          <w:sz w:val="16"/>
        </w:rPr>
        <w:t>potassium</w:t>
      </w:r>
      <w:r>
        <w:rPr>
          <w:rFonts w:ascii="Arial" w:hAnsi="Arial"/>
          <w:color w:val="231F20"/>
          <w:spacing w:val="-8"/>
          <w:sz w:val="16"/>
        </w:rPr>
        <w:t> </w:t>
      </w:r>
      <w:r>
        <w:rPr>
          <w:rFonts w:ascii="Arial" w:hAnsi="Arial"/>
          <w:color w:val="231F20"/>
          <w:sz w:val="16"/>
        </w:rPr>
        <w:t>ions</w:t>
      </w:r>
      <w:r>
        <w:rPr>
          <w:rFonts w:ascii="Arial" w:hAnsi="Arial"/>
          <w:color w:val="231F20"/>
          <w:spacing w:val="-7"/>
          <w:sz w:val="16"/>
        </w:rPr>
        <w:t> </w:t>
      </w:r>
      <w:r>
        <w:rPr>
          <w:rFonts w:ascii="Arial" w:hAnsi="Arial"/>
          <w:color w:val="231F20"/>
          <w:sz w:val="16"/>
        </w:rPr>
        <w:t>in</w:t>
      </w:r>
      <w:r>
        <w:rPr>
          <w:rFonts w:ascii="Arial" w:hAnsi="Arial"/>
          <w:color w:val="231F20"/>
          <w:spacing w:val="-8"/>
          <w:sz w:val="16"/>
        </w:rPr>
        <w:t> </w:t>
      </w:r>
      <w:r>
        <w:rPr>
          <w:rFonts w:ascii="Arial" w:hAnsi="Arial"/>
          <w:color w:val="231F20"/>
          <w:sz w:val="16"/>
        </w:rPr>
        <w:t>acidosis. </w:t>
      </w:r>
      <w:r>
        <w:rPr>
          <w:rFonts w:ascii="Arial" w:hAnsi="Arial"/>
          <w:color w:val="231F20"/>
          <w:w w:val="95"/>
          <w:sz w:val="16"/>
        </w:rPr>
        <w:t>In</w:t>
      </w:r>
      <w:r>
        <w:rPr>
          <w:rFonts w:ascii="Arial" w:hAnsi="Arial"/>
          <w:color w:val="231F20"/>
          <w:spacing w:val="-15"/>
          <w:w w:val="95"/>
          <w:sz w:val="16"/>
        </w:rPr>
        <w:t> </w:t>
      </w:r>
      <w:r>
        <w:rPr>
          <w:rFonts w:ascii="Arial" w:hAnsi="Arial"/>
          <w:color w:val="231F20"/>
          <w:w w:val="95"/>
          <w:sz w:val="16"/>
        </w:rPr>
        <w:t>type</w:t>
      </w:r>
      <w:r>
        <w:rPr>
          <w:rFonts w:ascii="Arial" w:hAnsi="Arial"/>
          <w:color w:val="231F20"/>
          <w:spacing w:val="-15"/>
          <w:w w:val="95"/>
          <w:sz w:val="16"/>
        </w:rPr>
        <w:t> </w:t>
      </w:r>
      <w:r>
        <w:rPr>
          <w:rFonts w:ascii="Arial" w:hAnsi="Arial"/>
          <w:color w:val="231F20"/>
          <w:w w:val="95"/>
          <w:sz w:val="16"/>
        </w:rPr>
        <w:t>B</w:t>
      </w:r>
      <w:r>
        <w:rPr>
          <w:rFonts w:ascii="Arial" w:hAnsi="Arial"/>
          <w:color w:val="231F20"/>
          <w:spacing w:val="-15"/>
          <w:w w:val="95"/>
          <w:sz w:val="16"/>
        </w:rPr>
        <w:t> </w:t>
      </w:r>
      <w:r>
        <w:rPr>
          <w:rFonts w:ascii="Arial" w:hAnsi="Arial"/>
          <w:color w:val="231F20"/>
          <w:w w:val="95"/>
          <w:sz w:val="16"/>
        </w:rPr>
        <w:t>cells</w:t>
      </w:r>
      <w:r>
        <w:rPr>
          <w:rFonts w:ascii="Arial" w:hAnsi="Arial"/>
          <w:color w:val="231F20"/>
          <w:spacing w:val="-14"/>
          <w:w w:val="95"/>
          <w:sz w:val="16"/>
        </w:rPr>
        <w:t> </w:t>
      </w:r>
      <w:r>
        <w:rPr>
          <w:rFonts w:ascii="Arial" w:hAnsi="Arial"/>
          <w:color w:val="231F20"/>
          <w:w w:val="95"/>
          <w:sz w:val="16"/>
        </w:rPr>
        <w:t>the</w:t>
      </w:r>
      <w:r>
        <w:rPr>
          <w:rFonts w:ascii="Arial" w:hAnsi="Arial"/>
          <w:color w:val="231F20"/>
          <w:spacing w:val="-15"/>
          <w:w w:val="95"/>
          <w:sz w:val="16"/>
        </w:rPr>
        <w:t> </w:t>
      </w:r>
      <w:r>
        <w:rPr>
          <w:rFonts w:ascii="Arial" w:hAnsi="Arial"/>
          <w:color w:val="231F20"/>
          <w:w w:val="95"/>
          <w:sz w:val="16"/>
        </w:rPr>
        <w:t>hydrogen-ATPase</w:t>
      </w:r>
      <w:r>
        <w:rPr>
          <w:rFonts w:ascii="Arial" w:hAnsi="Arial"/>
          <w:color w:val="231F20"/>
          <w:spacing w:val="-15"/>
          <w:w w:val="95"/>
          <w:sz w:val="16"/>
        </w:rPr>
        <w:t> </w:t>
      </w:r>
      <w:r>
        <w:rPr>
          <w:rFonts w:ascii="Arial" w:hAnsi="Arial"/>
          <w:color w:val="231F20"/>
          <w:w w:val="95"/>
          <w:sz w:val="16"/>
        </w:rPr>
        <w:t>and</w:t>
      </w:r>
      <w:r>
        <w:rPr>
          <w:rFonts w:ascii="Arial" w:hAnsi="Arial"/>
          <w:color w:val="231F20"/>
          <w:spacing w:val="-15"/>
          <w:w w:val="95"/>
          <w:sz w:val="16"/>
        </w:rPr>
        <w:t> </w:t>
      </w:r>
      <w:r>
        <w:rPr>
          <w:rFonts w:ascii="Arial" w:hAnsi="Arial"/>
          <w:color w:val="231F20"/>
          <w:w w:val="95"/>
          <w:sz w:val="16"/>
        </w:rPr>
        <w:t>hydrogen-potassium-ATPase </w:t>
      </w:r>
      <w:r>
        <w:rPr>
          <w:rFonts w:ascii="Arial" w:hAnsi="Arial"/>
          <w:color w:val="231F20"/>
          <w:sz w:val="16"/>
        </w:rPr>
        <w:t>transporters</w:t>
      </w:r>
      <w:r>
        <w:rPr>
          <w:rFonts w:ascii="Arial" w:hAnsi="Arial"/>
          <w:color w:val="231F20"/>
          <w:spacing w:val="-7"/>
          <w:sz w:val="16"/>
        </w:rPr>
        <w:t> </w:t>
      </w:r>
      <w:r>
        <w:rPr>
          <w:rFonts w:ascii="Arial" w:hAnsi="Arial"/>
          <w:color w:val="231F20"/>
          <w:sz w:val="16"/>
        </w:rPr>
        <w:t>are</w:t>
      </w:r>
      <w:r>
        <w:rPr>
          <w:rFonts w:ascii="Arial" w:hAnsi="Arial"/>
          <w:color w:val="231F20"/>
          <w:spacing w:val="-7"/>
          <w:sz w:val="16"/>
        </w:rPr>
        <w:t> </w:t>
      </w:r>
      <w:r>
        <w:rPr>
          <w:rFonts w:ascii="Arial" w:hAnsi="Arial"/>
          <w:color w:val="231F20"/>
          <w:sz w:val="16"/>
        </w:rPr>
        <w:t>located</w:t>
      </w:r>
      <w:r>
        <w:rPr>
          <w:rFonts w:ascii="Arial" w:hAnsi="Arial"/>
          <w:color w:val="231F20"/>
          <w:spacing w:val="-7"/>
          <w:sz w:val="16"/>
        </w:rPr>
        <w:t> </w:t>
      </w:r>
      <w:r>
        <w:rPr>
          <w:rFonts w:ascii="Arial" w:hAnsi="Arial"/>
          <w:color w:val="231F20"/>
          <w:sz w:val="16"/>
        </w:rPr>
        <w:t>in</w:t>
      </w:r>
      <w:r>
        <w:rPr>
          <w:rFonts w:ascii="Arial" w:hAnsi="Arial"/>
          <w:color w:val="231F20"/>
          <w:spacing w:val="-7"/>
          <w:sz w:val="16"/>
        </w:rPr>
        <w:t> </w:t>
      </w:r>
      <w:r>
        <w:rPr>
          <w:rFonts w:ascii="Arial" w:hAnsi="Arial"/>
          <w:color w:val="231F20"/>
          <w:sz w:val="16"/>
        </w:rPr>
        <w:t>the</w:t>
      </w:r>
      <w:r>
        <w:rPr>
          <w:rFonts w:ascii="Arial" w:hAnsi="Arial"/>
          <w:color w:val="231F20"/>
          <w:spacing w:val="-7"/>
          <w:sz w:val="16"/>
        </w:rPr>
        <w:t> </w:t>
      </w:r>
      <w:r>
        <w:rPr>
          <w:rFonts w:ascii="Arial" w:hAnsi="Arial"/>
          <w:color w:val="231F20"/>
          <w:sz w:val="16"/>
        </w:rPr>
        <w:t>basolateral</w:t>
      </w:r>
      <w:r>
        <w:rPr>
          <w:rFonts w:ascii="Arial" w:hAnsi="Arial"/>
          <w:color w:val="231F20"/>
          <w:spacing w:val="-7"/>
          <w:sz w:val="16"/>
        </w:rPr>
        <w:t> </w:t>
      </w:r>
      <w:r>
        <w:rPr>
          <w:rFonts w:ascii="Arial" w:hAnsi="Arial"/>
          <w:color w:val="231F20"/>
          <w:sz w:val="16"/>
        </w:rPr>
        <w:t>membrane</w:t>
      </w:r>
      <w:r>
        <w:rPr>
          <w:rFonts w:ascii="Arial" w:hAnsi="Arial"/>
          <w:color w:val="231F20"/>
          <w:spacing w:val="-7"/>
          <w:sz w:val="16"/>
        </w:rPr>
        <w:t> </w:t>
      </w:r>
      <w:r>
        <w:rPr>
          <w:rFonts w:ascii="Arial" w:hAnsi="Arial"/>
          <w:color w:val="231F20"/>
          <w:sz w:val="16"/>
        </w:rPr>
        <w:t>and</w:t>
      </w:r>
      <w:r>
        <w:rPr>
          <w:rFonts w:ascii="Arial" w:hAnsi="Arial"/>
          <w:color w:val="231F20"/>
          <w:spacing w:val="-6"/>
          <w:sz w:val="16"/>
        </w:rPr>
        <w:t> </w:t>
      </w:r>
      <w:r>
        <w:rPr>
          <w:rFonts w:ascii="Arial" w:hAnsi="Arial"/>
          <w:color w:val="231F20"/>
          <w:spacing w:val="-3"/>
          <w:sz w:val="16"/>
        </w:rPr>
        <w:t>reabsorb </w:t>
      </w:r>
      <w:r>
        <w:rPr>
          <w:rFonts w:ascii="Arial" w:hAnsi="Arial"/>
          <w:color w:val="231F20"/>
          <w:sz w:val="16"/>
        </w:rPr>
        <w:t>hydrogen ions while secreting bicarbonate and potassium ions </w:t>
      </w:r>
      <w:r>
        <w:rPr>
          <w:rFonts w:ascii="Arial" w:hAnsi="Arial"/>
          <w:color w:val="231F20"/>
          <w:spacing w:val="-7"/>
          <w:sz w:val="16"/>
        </w:rPr>
        <w:t>in</w:t>
      </w:r>
      <w:r>
        <w:rPr>
          <w:rFonts w:ascii="Arial" w:hAnsi="Arial"/>
          <w:color w:val="231F20"/>
          <w:spacing w:val="30"/>
          <w:sz w:val="16"/>
        </w:rPr>
        <w:t> </w:t>
      </w:r>
      <w:r>
        <w:rPr>
          <w:rFonts w:ascii="Arial" w:hAnsi="Arial"/>
          <w:color w:val="231F20"/>
          <w:sz w:val="16"/>
        </w:rPr>
        <w:t>alkalosis.</w:t>
      </w:r>
    </w:p>
    <w:p>
      <w:pPr>
        <w:pStyle w:val="BodyText"/>
        <w:rPr>
          <w:rFonts w:ascii="Arial"/>
          <w:sz w:val="18"/>
        </w:rPr>
      </w:pPr>
    </w:p>
    <w:p>
      <w:pPr>
        <w:pStyle w:val="BodyText"/>
        <w:spacing w:before="1"/>
        <w:rPr>
          <w:rFonts w:ascii="Arial"/>
        </w:rPr>
      </w:pPr>
    </w:p>
    <w:p>
      <w:pPr>
        <w:pStyle w:val="BodyText"/>
        <w:spacing w:line="249" w:lineRule="auto"/>
        <w:ind w:left="319" w:right="1077" w:firstLine="240"/>
        <w:jc w:val="both"/>
      </w:pPr>
      <w:r>
        <w:rPr>
          <w:color w:val="231F20"/>
          <w:spacing w:val="-3"/>
        </w:rPr>
        <w:t>Type </w:t>
      </w:r>
      <w:r>
        <w:rPr>
          <w:color w:val="231F20"/>
        </w:rPr>
        <w:t>B intercalated cells have functions opposite to those of type A cells and secrete bicarbonate into the tubular lumen while reabsorbing hydrogen ions in alkalo- sis. </w:t>
      </w:r>
      <w:r>
        <w:rPr>
          <w:color w:val="231F20"/>
          <w:spacing w:val="-3"/>
        </w:rPr>
        <w:t>Type </w:t>
      </w:r>
      <w:r>
        <w:rPr>
          <w:color w:val="231F20"/>
        </w:rPr>
        <w:t>B intercalated cells have hydrogen and bicarbon- ate transporters on opposite sides of the cell membrane compared with type A cells. Hydrogen ions are actively transported out of the cell on the basolateral side of </w:t>
      </w:r>
      <w:r>
        <w:rPr>
          <w:color w:val="231F20"/>
          <w:spacing w:val="-6"/>
        </w:rPr>
        <w:t>the </w:t>
      </w:r>
      <w:r>
        <w:rPr>
          <w:color w:val="231F20"/>
        </w:rPr>
        <w:t>cell membrane by hydrogen-ATPase and bicarbonate is secreted into the lumen, thus eliminating excess plasma bicarbonate in</w:t>
      </w:r>
      <w:r>
        <w:rPr>
          <w:color w:val="231F20"/>
          <w:spacing w:val="13"/>
        </w:rPr>
        <w:t> </w:t>
      </w:r>
      <w:r>
        <w:rPr>
          <w:color w:val="231F20"/>
        </w:rPr>
        <w:t>alkalosis.</w:t>
      </w:r>
    </w:p>
    <w:p>
      <w:pPr>
        <w:pStyle w:val="BodyText"/>
        <w:spacing w:line="249" w:lineRule="auto" w:before="8"/>
        <w:ind w:left="319" w:right="1077" w:firstLine="240"/>
        <w:jc w:val="both"/>
      </w:pPr>
      <w:r>
        <w:rPr>
          <w:color w:val="231F20"/>
        </w:rPr>
        <w:t>A more detailed discussion of this mechanism </w:t>
      </w:r>
      <w:r>
        <w:rPr>
          <w:color w:val="231F20"/>
          <w:spacing w:val="-7"/>
        </w:rPr>
        <w:t>is </w:t>
      </w:r>
      <w:r>
        <w:rPr>
          <w:color w:val="231F20"/>
        </w:rPr>
        <w:t>presented in Chapter  31.  The  intercalated  cells  can  also reabsorb or secrete potassium ions, as shown in</w:t>
      </w:r>
      <w:hyperlink w:history="true" w:anchor="_bookmark52">
        <w:r>
          <w:rPr>
            <w:color w:val="0080AC"/>
          </w:rPr>
          <w:t> </w:t>
        </w:r>
        <w:r>
          <w:rPr>
            <w:b/>
            <w:color w:val="0080AC"/>
          </w:rPr>
          <w:t>Figure</w:t>
        </w:r>
        <w:r>
          <w:rPr>
            <w:b/>
            <w:color w:val="0080AC"/>
            <w:spacing w:val="4"/>
          </w:rPr>
          <w:t> </w:t>
        </w:r>
        <w:r>
          <w:rPr>
            <w:b/>
            <w:color w:val="0080AC"/>
          </w:rPr>
          <w:t>28-13</w:t>
        </w:r>
      </w:hyperlink>
      <w:r>
        <w:rPr>
          <w:color w:val="231F20"/>
        </w:rPr>
        <w:t>.</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634"/>
          <w:footerReference w:type="even" r:id="rId635"/>
          <w:footerReference w:type="default" r:id="rId636"/>
          <w:pgSz w:w="12240" w:h="15660"/>
          <w:pgMar w:header="0" w:footer="567" w:top="720" w:bottom="760" w:left="0" w:right="0"/>
          <w:pgNumType w:start="358"/>
        </w:sectPr>
      </w:pPr>
    </w:p>
    <w:p>
      <w:pPr>
        <w:spacing w:line="249" w:lineRule="auto" w:before="99"/>
        <w:ind w:left="1080" w:right="0" w:firstLine="239"/>
        <w:jc w:val="both"/>
        <w:rPr>
          <w:sz w:val="20"/>
        </w:rPr>
      </w:pPr>
      <w:r>
        <w:rPr/>
        <w:pict>
          <v:shape style="position:absolute;margin-left:455.539032pt;margin-top:68.214226pt;width:10.3pt;height:9.550pt;mso-position-horizontal-relative:page;mso-position-vertical-relative:page;z-index:252207104;rotation:336" type="#_x0000_t136" fillcolor="#231f20" stroked="f">
            <o:extrusion v:ext="view" autorotationcenter="t"/>
            <v:textpath style="font-family:&quot;Helvetica&quot;;font-size:8pt;v-text-kern:t;mso-text-shadow:auto;font-weight:bold" string="Na"/>
            <w10:wrap type="none"/>
          </v:shape>
        </w:pict>
      </w:r>
      <w:r>
        <w:rPr/>
        <w:pict>
          <v:shape style="position:absolute;margin-left:464.44223pt;margin-top:64.992546pt;width:3.55pt;height:7.15pt;mso-position-horizontal-relative:page;mso-position-vertical-relative:page;z-index:252208128;rotation:336" type="#_x0000_t136" fillcolor="#231f20" stroked="f">
            <o:extrusion v:ext="view" autorotationcenter="t"/>
            <v:textpath style="font-family:&quot;Helvetica&quot;;font-size:6pt;v-text-kern:t;mso-text-shadow:auto;font-weight:bold" string="+"/>
            <w10:wrap type="none"/>
          </v:shape>
        </w:pict>
      </w:r>
      <w:r>
        <w:rPr/>
        <w:pict>
          <v:shape style="position:absolute;margin-left:467.966583pt;margin-top:62.135788pt;width:12.5pt;height:9.6pt;mso-position-horizontal-relative:page;mso-position-vertical-relative:page;z-index:252209152;rotation:336" type="#_x0000_t136" fillcolor="#231f20" stroked="f">
            <o:extrusion v:ext="view" autorotationcenter="t"/>
            <v:textpath style="font-family:&quot;Helvetica&quot;;font-size:8pt;v-text-kern:t;mso-text-shadow:auto;font-weight:bold" string=", Cl"/>
            <w10:wrap type="none"/>
          </v:shape>
        </w:pict>
      </w:r>
      <w:r>
        <w:rPr/>
        <w:pict>
          <v:shape style="position:absolute;margin-left:479.002594pt;margin-top:58.496979pt;width:3.4pt;height:7.15pt;mso-position-horizontal-relative:page;mso-position-vertical-relative:page;z-index:252210176;rotation:336" type="#_x0000_t136" fillcolor="#231f20" stroked="f">
            <o:extrusion v:ext="view" autorotationcenter="t"/>
            <v:textpath style="font-family:&quot;Helvetica&quot;;font-size:6pt;v-text-kern:t;mso-text-shadow:auto;font-weight:bold" string="–"/>
            <w10:wrap type="none"/>
          </v:shape>
        </w:pict>
      </w:r>
      <w:r>
        <w:rPr/>
        <w:pict>
          <v:shape style="position:absolute;margin-left:468.342194pt;margin-top:84.006889pt;width:35.450pt;height:10.6pt;mso-position-horizontal-relative:page;mso-position-vertical-relative:page;z-index:252211200;rotation:341" type="#_x0000_t136" fillcolor="#231f20" stroked="f">
            <o:extrusion v:ext="view" autorotationcenter="t"/>
            <v:textpath style="font-family:&quot;Helvetica&quot;;font-size:8pt;v-text-kern:t;mso-text-shadow:auto;font-weight:bold" string="(+ADH) H"/>
            <w10:wrap type="none"/>
          </v:shape>
        </w:pict>
      </w:r>
      <w:r>
        <w:rPr/>
        <w:pict>
          <v:shape style="position:absolute;margin-left:503.423431pt;margin-top:81.664116pt;width:3.45pt;height:7.2pt;mso-position-horizontal-relative:page;mso-position-vertical-relative:page;z-index:252212224;rotation:341" type="#_x0000_t136" fillcolor="#231f20" stroked="f">
            <o:extrusion v:ext="view" autorotationcenter="t"/>
            <v:textpath style="font-family:&quot;Helvetica&quot;;font-size:6pt;v-text-kern:t;mso-text-shadow:auto;font-weight:bold" string="2"/>
            <w10:wrap type="none"/>
          </v:shape>
        </w:pict>
      </w:r>
      <w:r>
        <w:rPr/>
        <w:pict>
          <v:shape style="position:absolute;margin-left:505.719574pt;margin-top:76.749695pt;width:6.35pt;height:9.6pt;mso-position-horizontal-relative:page;mso-position-vertical-relative:page;z-index:252213248;rotation:341" type="#_x0000_t136" fillcolor="#231f20" stroked="f">
            <o:extrusion v:ext="view" autorotationcenter="t"/>
            <v:textpath style="font-family:&quot;Helvetica&quot;;font-size:8pt;v-text-kern:t;mso-text-shadow:auto;font-weight:bold" string="O"/>
            <w10:wrap type="none"/>
          </v:shape>
        </w:pict>
      </w:r>
      <w:r>
        <w:rPr>
          <w:color w:val="231F20"/>
          <w:sz w:val="20"/>
        </w:rPr>
        <w:t>The functional characteristics of the </w:t>
      </w:r>
      <w:r>
        <w:rPr>
          <w:i/>
          <w:color w:val="231F20"/>
          <w:sz w:val="20"/>
        </w:rPr>
        <w:t>late distal tubule </w:t>
      </w:r>
      <w:r>
        <w:rPr>
          <w:color w:val="231F20"/>
          <w:sz w:val="20"/>
        </w:rPr>
        <w:t>and </w:t>
      </w:r>
      <w:r>
        <w:rPr>
          <w:i/>
          <w:color w:val="231F20"/>
          <w:sz w:val="20"/>
        </w:rPr>
        <w:t>cortical collecting tubule </w:t>
      </w:r>
      <w:r>
        <w:rPr>
          <w:color w:val="231F20"/>
          <w:sz w:val="20"/>
        </w:rPr>
        <w:t>can be summarized as follows:</w:t>
      </w:r>
    </w:p>
    <w:p>
      <w:pPr>
        <w:pStyle w:val="ListParagraph"/>
        <w:numPr>
          <w:ilvl w:val="1"/>
          <w:numId w:val="13"/>
        </w:numPr>
        <w:tabs>
          <w:tab w:pos="1563" w:val="left" w:leader="none"/>
        </w:tabs>
        <w:spacing w:line="249" w:lineRule="auto" w:before="3" w:after="0"/>
        <w:ind w:left="1562" w:right="0" w:hanging="243"/>
        <w:jc w:val="both"/>
        <w:rPr>
          <w:sz w:val="20"/>
        </w:rPr>
      </w:pPr>
      <w:r>
        <w:rPr>
          <w:color w:val="231F20"/>
          <w:w w:val="105"/>
          <w:sz w:val="20"/>
        </w:rPr>
        <w:t>The tubular membranes of both segments </w:t>
      </w:r>
      <w:r>
        <w:rPr>
          <w:color w:val="231F20"/>
          <w:spacing w:val="-6"/>
          <w:w w:val="105"/>
          <w:sz w:val="20"/>
        </w:rPr>
        <w:t>are </w:t>
      </w:r>
      <w:r>
        <w:rPr>
          <w:color w:val="231F20"/>
          <w:w w:val="105"/>
          <w:sz w:val="20"/>
        </w:rPr>
        <w:t>almost completely impermeable to urea, similar to the diluting segment of the early distal </w:t>
      </w:r>
      <w:r>
        <w:rPr>
          <w:color w:val="231F20"/>
          <w:spacing w:val="-3"/>
          <w:w w:val="105"/>
          <w:sz w:val="20"/>
        </w:rPr>
        <w:t>tubule; </w:t>
      </w:r>
      <w:r>
        <w:rPr>
          <w:color w:val="231F20"/>
          <w:w w:val="105"/>
          <w:sz w:val="20"/>
        </w:rPr>
        <w:t>thus,</w:t>
      </w:r>
      <w:r>
        <w:rPr>
          <w:color w:val="231F20"/>
          <w:spacing w:val="-7"/>
          <w:w w:val="105"/>
          <w:sz w:val="20"/>
        </w:rPr>
        <w:t> </w:t>
      </w:r>
      <w:r>
        <w:rPr>
          <w:color w:val="231F20"/>
          <w:w w:val="105"/>
          <w:sz w:val="20"/>
        </w:rPr>
        <w:t>almost</w:t>
      </w:r>
      <w:r>
        <w:rPr>
          <w:color w:val="231F20"/>
          <w:spacing w:val="-7"/>
          <w:w w:val="105"/>
          <w:sz w:val="20"/>
        </w:rPr>
        <w:t> </w:t>
      </w:r>
      <w:r>
        <w:rPr>
          <w:color w:val="231F20"/>
          <w:w w:val="105"/>
          <w:sz w:val="20"/>
        </w:rPr>
        <w:t>all</w:t>
      </w:r>
      <w:r>
        <w:rPr>
          <w:color w:val="231F20"/>
          <w:spacing w:val="-6"/>
          <w:w w:val="105"/>
          <w:sz w:val="20"/>
        </w:rPr>
        <w:t> </w:t>
      </w:r>
      <w:r>
        <w:rPr>
          <w:color w:val="231F20"/>
          <w:w w:val="105"/>
          <w:sz w:val="20"/>
        </w:rPr>
        <w:t>the</w:t>
      </w:r>
      <w:r>
        <w:rPr>
          <w:color w:val="231F20"/>
          <w:spacing w:val="-7"/>
          <w:w w:val="105"/>
          <w:sz w:val="20"/>
        </w:rPr>
        <w:t> </w:t>
      </w:r>
      <w:r>
        <w:rPr>
          <w:color w:val="231F20"/>
          <w:w w:val="105"/>
          <w:sz w:val="20"/>
        </w:rPr>
        <w:t>urea</w:t>
      </w:r>
      <w:r>
        <w:rPr>
          <w:color w:val="231F20"/>
          <w:spacing w:val="-6"/>
          <w:w w:val="105"/>
          <w:sz w:val="20"/>
        </w:rPr>
        <w:t> </w:t>
      </w:r>
      <w:r>
        <w:rPr>
          <w:color w:val="231F20"/>
          <w:w w:val="105"/>
          <w:sz w:val="20"/>
        </w:rPr>
        <w:t>that</w:t>
      </w:r>
      <w:r>
        <w:rPr>
          <w:color w:val="231F20"/>
          <w:spacing w:val="-7"/>
          <w:w w:val="105"/>
          <w:sz w:val="20"/>
        </w:rPr>
        <w:t> </w:t>
      </w:r>
      <w:r>
        <w:rPr>
          <w:color w:val="231F20"/>
          <w:w w:val="105"/>
          <w:sz w:val="20"/>
        </w:rPr>
        <w:t>enters</w:t>
      </w:r>
      <w:r>
        <w:rPr>
          <w:color w:val="231F20"/>
          <w:spacing w:val="-7"/>
          <w:w w:val="105"/>
          <w:sz w:val="20"/>
        </w:rPr>
        <w:t> </w:t>
      </w:r>
      <w:r>
        <w:rPr>
          <w:color w:val="231F20"/>
          <w:w w:val="105"/>
          <w:sz w:val="20"/>
        </w:rPr>
        <w:t>these</w:t>
      </w:r>
      <w:r>
        <w:rPr>
          <w:color w:val="231F20"/>
          <w:spacing w:val="-6"/>
          <w:w w:val="105"/>
          <w:sz w:val="20"/>
        </w:rPr>
        <w:t> </w:t>
      </w:r>
      <w:r>
        <w:rPr>
          <w:color w:val="231F20"/>
          <w:w w:val="105"/>
          <w:sz w:val="20"/>
        </w:rPr>
        <w:t>segments passes</w:t>
      </w:r>
      <w:r>
        <w:rPr>
          <w:color w:val="231F20"/>
          <w:spacing w:val="-14"/>
          <w:w w:val="105"/>
          <w:sz w:val="20"/>
        </w:rPr>
        <w:t> </w:t>
      </w:r>
      <w:r>
        <w:rPr>
          <w:color w:val="231F20"/>
          <w:w w:val="105"/>
          <w:sz w:val="20"/>
        </w:rPr>
        <w:t>on</w:t>
      </w:r>
      <w:r>
        <w:rPr>
          <w:color w:val="231F20"/>
          <w:spacing w:val="-13"/>
          <w:w w:val="105"/>
          <w:sz w:val="20"/>
        </w:rPr>
        <w:t> </w:t>
      </w:r>
      <w:r>
        <w:rPr>
          <w:color w:val="231F20"/>
          <w:w w:val="105"/>
          <w:sz w:val="20"/>
        </w:rPr>
        <w:t>through</w:t>
      </w:r>
      <w:r>
        <w:rPr>
          <w:color w:val="231F20"/>
          <w:spacing w:val="-13"/>
          <w:w w:val="105"/>
          <w:sz w:val="20"/>
        </w:rPr>
        <w:t> </w:t>
      </w:r>
      <w:r>
        <w:rPr>
          <w:color w:val="231F20"/>
          <w:w w:val="105"/>
          <w:sz w:val="20"/>
        </w:rPr>
        <w:t>and</w:t>
      </w:r>
      <w:r>
        <w:rPr>
          <w:color w:val="231F20"/>
          <w:spacing w:val="-14"/>
          <w:w w:val="105"/>
          <w:sz w:val="20"/>
        </w:rPr>
        <w:t> </w:t>
      </w:r>
      <w:r>
        <w:rPr>
          <w:color w:val="231F20"/>
          <w:w w:val="105"/>
          <w:sz w:val="20"/>
        </w:rPr>
        <w:t>into</w:t>
      </w:r>
      <w:r>
        <w:rPr>
          <w:color w:val="231F20"/>
          <w:spacing w:val="-13"/>
          <w:w w:val="105"/>
          <w:sz w:val="20"/>
        </w:rPr>
        <w:t> </w:t>
      </w:r>
      <w:r>
        <w:rPr>
          <w:color w:val="231F20"/>
          <w:w w:val="105"/>
          <w:sz w:val="20"/>
        </w:rPr>
        <w:t>the</w:t>
      </w:r>
      <w:r>
        <w:rPr>
          <w:color w:val="231F20"/>
          <w:spacing w:val="-13"/>
          <w:w w:val="105"/>
          <w:sz w:val="20"/>
        </w:rPr>
        <w:t> </w:t>
      </w:r>
      <w:r>
        <w:rPr>
          <w:color w:val="231F20"/>
          <w:w w:val="105"/>
          <w:sz w:val="20"/>
        </w:rPr>
        <w:t>collecting</w:t>
      </w:r>
      <w:r>
        <w:rPr>
          <w:color w:val="231F20"/>
          <w:spacing w:val="-13"/>
          <w:w w:val="105"/>
          <w:sz w:val="20"/>
        </w:rPr>
        <w:t> </w:t>
      </w:r>
      <w:r>
        <w:rPr>
          <w:color w:val="231F20"/>
          <w:w w:val="105"/>
          <w:sz w:val="20"/>
        </w:rPr>
        <w:t>duct</w:t>
      </w:r>
      <w:r>
        <w:rPr>
          <w:color w:val="231F20"/>
          <w:spacing w:val="-14"/>
          <w:w w:val="105"/>
          <w:sz w:val="20"/>
        </w:rPr>
        <w:t> </w:t>
      </w:r>
      <w:r>
        <w:rPr>
          <w:color w:val="231F20"/>
          <w:w w:val="105"/>
          <w:sz w:val="20"/>
        </w:rPr>
        <w:t>to</w:t>
      </w:r>
      <w:r>
        <w:rPr>
          <w:color w:val="231F20"/>
          <w:spacing w:val="-13"/>
          <w:w w:val="105"/>
          <w:sz w:val="20"/>
        </w:rPr>
        <w:t> </w:t>
      </w:r>
      <w:r>
        <w:rPr>
          <w:color w:val="231F20"/>
          <w:spacing w:val="-5"/>
          <w:w w:val="105"/>
          <w:sz w:val="20"/>
        </w:rPr>
        <w:t>be </w:t>
      </w:r>
      <w:r>
        <w:rPr>
          <w:color w:val="231F20"/>
          <w:w w:val="105"/>
          <w:sz w:val="20"/>
        </w:rPr>
        <w:t>excreted in the urine, although some reabsorption of urea occurs in the medullary collecting</w:t>
      </w:r>
      <w:r>
        <w:rPr>
          <w:color w:val="231F20"/>
          <w:spacing w:val="-26"/>
          <w:w w:val="105"/>
          <w:sz w:val="20"/>
        </w:rPr>
        <w:t> </w:t>
      </w:r>
      <w:r>
        <w:rPr>
          <w:color w:val="231F20"/>
          <w:w w:val="105"/>
          <w:sz w:val="20"/>
        </w:rPr>
        <w:t>ducts.</w:t>
      </w:r>
    </w:p>
    <w:p>
      <w:pPr>
        <w:pStyle w:val="ListParagraph"/>
        <w:numPr>
          <w:ilvl w:val="1"/>
          <w:numId w:val="13"/>
        </w:numPr>
        <w:tabs>
          <w:tab w:pos="1563" w:val="left" w:leader="none"/>
        </w:tabs>
        <w:spacing w:line="249" w:lineRule="auto" w:before="6" w:after="0"/>
        <w:ind w:left="1562" w:right="0" w:hanging="243"/>
        <w:jc w:val="both"/>
        <w:rPr>
          <w:sz w:val="20"/>
        </w:rPr>
      </w:pPr>
      <w:r>
        <w:rPr/>
        <w:pict>
          <v:rect style="position:absolute;margin-left:0pt;margin-top:20.285961pt;width:36pt;height:24pt;mso-position-horizontal-relative:page;mso-position-vertical-relative:paragraph;z-index:252198912" filled="true" fillcolor="#e8dac8" stroked="false">
            <v:fill type="solid"/>
            <w10:wrap type="none"/>
          </v:rect>
        </w:pict>
      </w:r>
      <w:r>
        <w:rPr>
          <w:color w:val="231F20"/>
          <w:w w:val="105"/>
          <w:sz w:val="20"/>
        </w:rPr>
        <w:t>Both</w:t>
      </w:r>
      <w:r>
        <w:rPr>
          <w:color w:val="231F20"/>
          <w:spacing w:val="-22"/>
          <w:w w:val="105"/>
          <w:sz w:val="20"/>
        </w:rPr>
        <w:t> </w:t>
      </w:r>
      <w:r>
        <w:rPr>
          <w:color w:val="231F20"/>
          <w:w w:val="105"/>
          <w:sz w:val="20"/>
        </w:rPr>
        <w:t>the</w:t>
      </w:r>
      <w:r>
        <w:rPr>
          <w:color w:val="231F20"/>
          <w:spacing w:val="-21"/>
          <w:w w:val="105"/>
          <w:sz w:val="20"/>
        </w:rPr>
        <w:t> </w:t>
      </w:r>
      <w:r>
        <w:rPr>
          <w:color w:val="231F20"/>
          <w:w w:val="105"/>
          <w:sz w:val="20"/>
        </w:rPr>
        <w:t>late</w:t>
      </w:r>
      <w:r>
        <w:rPr>
          <w:color w:val="231F20"/>
          <w:spacing w:val="-22"/>
          <w:w w:val="105"/>
          <w:sz w:val="20"/>
        </w:rPr>
        <w:t> </w:t>
      </w:r>
      <w:r>
        <w:rPr>
          <w:color w:val="231F20"/>
          <w:w w:val="105"/>
          <w:sz w:val="20"/>
        </w:rPr>
        <w:t>distal</w:t>
      </w:r>
      <w:r>
        <w:rPr>
          <w:color w:val="231F20"/>
          <w:spacing w:val="-22"/>
          <w:w w:val="105"/>
          <w:sz w:val="20"/>
        </w:rPr>
        <w:t> </w:t>
      </w:r>
      <w:r>
        <w:rPr>
          <w:color w:val="231F20"/>
          <w:w w:val="105"/>
          <w:sz w:val="20"/>
        </w:rPr>
        <w:t>tubule</w:t>
      </w:r>
      <w:r>
        <w:rPr>
          <w:color w:val="231F20"/>
          <w:spacing w:val="-21"/>
          <w:w w:val="105"/>
          <w:sz w:val="20"/>
        </w:rPr>
        <w:t> </w:t>
      </w:r>
      <w:r>
        <w:rPr>
          <w:color w:val="231F20"/>
          <w:w w:val="105"/>
          <w:sz w:val="20"/>
        </w:rPr>
        <w:t>and</w:t>
      </w:r>
      <w:r>
        <w:rPr>
          <w:color w:val="231F20"/>
          <w:spacing w:val="-22"/>
          <w:w w:val="105"/>
          <w:sz w:val="20"/>
        </w:rPr>
        <w:t> </w:t>
      </w:r>
      <w:r>
        <w:rPr>
          <w:color w:val="231F20"/>
          <w:w w:val="105"/>
          <w:sz w:val="20"/>
        </w:rPr>
        <w:t>the</w:t>
      </w:r>
      <w:r>
        <w:rPr>
          <w:color w:val="231F20"/>
          <w:spacing w:val="-21"/>
          <w:w w:val="105"/>
          <w:sz w:val="20"/>
        </w:rPr>
        <w:t> </w:t>
      </w:r>
      <w:r>
        <w:rPr>
          <w:color w:val="231F20"/>
          <w:w w:val="105"/>
          <w:sz w:val="20"/>
        </w:rPr>
        <w:t>cortical</w:t>
      </w:r>
      <w:r>
        <w:rPr>
          <w:color w:val="231F20"/>
          <w:spacing w:val="-22"/>
          <w:w w:val="105"/>
          <w:sz w:val="20"/>
        </w:rPr>
        <w:t> </w:t>
      </w:r>
      <w:r>
        <w:rPr>
          <w:color w:val="231F20"/>
          <w:spacing w:val="-3"/>
          <w:w w:val="105"/>
          <w:sz w:val="20"/>
        </w:rPr>
        <w:t>collecting </w:t>
      </w:r>
      <w:r>
        <w:rPr>
          <w:color w:val="231F20"/>
          <w:w w:val="105"/>
          <w:sz w:val="20"/>
        </w:rPr>
        <w:t>tubule</w:t>
      </w:r>
      <w:r>
        <w:rPr>
          <w:color w:val="231F20"/>
          <w:spacing w:val="-14"/>
          <w:w w:val="105"/>
          <w:sz w:val="20"/>
        </w:rPr>
        <w:t> </w:t>
      </w:r>
      <w:r>
        <w:rPr>
          <w:color w:val="231F20"/>
          <w:w w:val="105"/>
          <w:sz w:val="20"/>
        </w:rPr>
        <w:t>segments</w:t>
      </w:r>
      <w:r>
        <w:rPr>
          <w:color w:val="231F20"/>
          <w:spacing w:val="-14"/>
          <w:w w:val="105"/>
          <w:sz w:val="20"/>
        </w:rPr>
        <w:t> </w:t>
      </w:r>
      <w:r>
        <w:rPr>
          <w:color w:val="231F20"/>
          <w:w w:val="105"/>
          <w:sz w:val="20"/>
        </w:rPr>
        <w:t>reabsorb</w:t>
      </w:r>
      <w:r>
        <w:rPr>
          <w:color w:val="231F20"/>
          <w:spacing w:val="-14"/>
          <w:w w:val="105"/>
          <w:sz w:val="20"/>
        </w:rPr>
        <w:t> </w:t>
      </w:r>
      <w:r>
        <w:rPr>
          <w:color w:val="231F20"/>
          <w:w w:val="105"/>
          <w:sz w:val="20"/>
        </w:rPr>
        <w:t>sodium</w:t>
      </w:r>
      <w:r>
        <w:rPr>
          <w:color w:val="231F20"/>
          <w:spacing w:val="-13"/>
          <w:w w:val="105"/>
          <w:sz w:val="20"/>
        </w:rPr>
        <w:t> </w:t>
      </w:r>
      <w:r>
        <w:rPr>
          <w:color w:val="231F20"/>
          <w:w w:val="105"/>
          <w:sz w:val="20"/>
        </w:rPr>
        <w:t>ions,</w:t>
      </w:r>
      <w:r>
        <w:rPr>
          <w:color w:val="231F20"/>
          <w:spacing w:val="-14"/>
          <w:w w:val="105"/>
          <w:sz w:val="20"/>
        </w:rPr>
        <w:t> </w:t>
      </w:r>
      <w:r>
        <w:rPr>
          <w:color w:val="231F20"/>
          <w:w w:val="105"/>
          <w:sz w:val="20"/>
        </w:rPr>
        <w:t>and</w:t>
      </w:r>
      <w:r>
        <w:rPr>
          <w:color w:val="231F20"/>
          <w:spacing w:val="-14"/>
          <w:w w:val="105"/>
          <w:sz w:val="20"/>
        </w:rPr>
        <w:t> </w:t>
      </w:r>
      <w:r>
        <w:rPr>
          <w:color w:val="231F20"/>
          <w:w w:val="105"/>
          <w:sz w:val="20"/>
        </w:rPr>
        <w:t>the</w:t>
      </w:r>
      <w:r>
        <w:rPr>
          <w:color w:val="231F20"/>
          <w:spacing w:val="-13"/>
          <w:w w:val="105"/>
          <w:sz w:val="20"/>
        </w:rPr>
        <w:t> </w:t>
      </w:r>
      <w:r>
        <w:rPr>
          <w:color w:val="231F20"/>
          <w:spacing w:val="-4"/>
          <w:w w:val="105"/>
          <w:sz w:val="20"/>
        </w:rPr>
        <w:t>rate </w:t>
      </w:r>
      <w:r>
        <w:rPr>
          <w:color w:val="231F20"/>
          <w:w w:val="105"/>
          <w:sz w:val="20"/>
        </w:rPr>
        <w:t>of reabsorption is controlled by hormones, espe- cially</w:t>
      </w:r>
      <w:r>
        <w:rPr>
          <w:color w:val="231F20"/>
          <w:spacing w:val="-29"/>
          <w:w w:val="105"/>
          <w:sz w:val="20"/>
        </w:rPr>
        <w:t> </w:t>
      </w:r>
      <w:r>
        <w:rPr>
          <w:color w:val="231F20"/>
          <w:w w:val="105"/>
          <w:sz w:val="20"/>
        </w:rPr>
        <w:t>aldosterone.</w:t>
      </w:r>
      <w:r>
        <w:rPr>
          <w:color w:val="231F20"/>
          <w:spacing w:val="-28"/>
          <w:w w:val="105"/>
          <w:sz w:val="20"/>
        </w:rPr>
        <w:t> </w:t>
      </w:r>
      <w:r>
        <w:rPr>
          <w:color w:val="231F20"/>
          <w:spacing w:val="-3"/>
          <w:w w:val="105"/>
          <w:sz w:val="20"/>
        </w:rPr>
        <w:t>At</w:t>
      </w:r>
      <w:r>
        <w:rPr>
          <w:color w:val="231F20"/>
          <w:spacing w:val="-29"/>
          <w:w w:val="105"/>
          <w:sz w:val="20"/>
        </w:rPr>
        <w:t> </w:t>
      </w:r>
      <w:r>
        <w:rPr>
          <w:color w:val="231F20"/>
          <w:w w:val="105"/>
          <w:sz w:val="20"/>
        </w:rPr>
        <w:t>the</w:t>
      </w:r>
      <w:r>
        <w:rPr>
          <w:color w:val="231F20"/>
          <w:spacing w:val="-28"/>
          <w:w w:val="105"/>
          <w:sz w:val="20"/>
        </w:rPr>
        <w:t> </w:t>
      </w:r>
      <w:r>
        <w:rPr>
          <w:color w:val="231F20"/>
          <w:w w:val="105"/>
          <w:sz w:val="20"/>
        </w:rPr>
        <w:t>same</w:t>
      </w:r>
      <w:r>
        <w:rPr>
          <w:color w:val="231F20"/>
          <w:spacing w:val="-29"/>
          <w:w w:val="105"/>
          <w:sz w:val="20"/>
        </w:rPr>
        <w:t> </w:t>
      </w:r>
      <w:r>
        <w:rPr>
          <w:color w:val="231F20"/>
          <w:w w:val="105"/>
          <w:sz w:val="20"/>
        </w:rPr>
        <w:t>time,</w:t>
      </w:r>
      <w:r>
        <w:rPr>
          <w:color w:val="231F20"/>
          <w:spacing w:val="-28"/>
          <w:w w:val="105"/>
          <w:sz w:val="20"/>
        </w:rPr>
        <w:t> </w:t>
      </w:r>
      <w:r>
        <w:rPr>
          <w:color w:val="231F20"/>
          <w:w w:val="105"/>
          <w:sz w:val="20"/>
        </w:rPr>
        <w:t>these</w:t>
      </w:r>
      <w:r>
        <w:rPr>
          <w:color w:val="231F20"/>
          <w:spacing w:val="-28"/>
          <w:w w:val="105"/>
          <w:sz w:val="20"/>
        </w:rPr>
        <w:t> </w:t>
      </w:r>
      <w:r>
        <w:rPr>
          <w:color w:val="231F20"/>
          <w:w w:val="105"/>
          <w:sz w:val="20"/>
        </w:rPr>
        <w:t>segments secrete potassium ions from the peritubular capil- lary blood into the tubular lumen, a process that</w:t>
      </w:r>
      <w:r>
        <w:rPr>
          <w:color w:val="231F20"/>
          <w:spacing w:val="-19"/>
          <w:w w:val="105"/>
          <w:sz w:val="20"/>
        </w:rPr>
        <w:t> </w:t>
      </w:r>
      <w:r>
        <w:rPr>
          <w:color w:val="231F20"/>
          <w:spacing w:val="-6"/>
          <w:w w:val="105"/>
          <w:sz w:val="20"/>
        </w:rPr>
        <w:t>is </w:t>
      </w:r>
      <w:r>
        <w:rPr>
          <w:color w:val="231F20"/>
          <w:w w:val="105"/>
          <w:sz w:val="20"/>
        </w:rPr>
        <w:t>also</w:t>
      </w:r>
      <w:r>
        <w:rPr>
          <w:color w:val="231F20"/>
          <w:spacing w:val="-7"/>
          <w:w w:val="105"/>
          <w:sz w:val="20"/>
        </w:rPr>
        <w:t> </w:t>
      </w:r>
      <w:r>
        <w:rPr>
          <w:color w:val="231F20"/>
          <w:w w:val="105"/>
          <w:sz w:val="20"/>
        </w:rPr>
        <w:t>controlled</w:t>
      </w:r>
      <w:r>
        <w:rPr>
          <w:color w:val="231F20"/>
          <w:spacing w:val="-7"/>
          <w:w w:val="105"/>
          <w:sz w:val="20"/>
        </w:rPr>
        <w:t> </w:t>
      </w:r>
      <w:r>
        <w:rPr>
          <w:color w:val="231F20"/>
          <w:w w:val="105"/>
          <w:sz w:val="20"/>
        </w:rPr>
        <w:t>by</w:t>
      </w:r>
      <w:r>
        <w:rPr>
          <w:color w:val="231F20"/>
          <w:spacing w:val="-7"/>
          <w:w w:val="105"/>
          <w:sz w:val="20"/>
        </w:rPr>
        <w:t> </w:t>
      </w:r>
      <w:r>
        <w:rPr>
          <w:color w:val="231F20"/>
          <w:w w:val="105"/>
          <w:sz w:val="20"/>
        </w:rPr>
        <w:t>aldosterone</w:t>
      </w:r>
      <w:r>
        <w:rPr>
          <w:color w:val="231F20"/>
          <w:spacing w:val="-7"/>
          <w:w w:val="105"/>
          <w:sz w:val="20"/>
        </w:rPr>
        <w:t> </w:t>
      </w:r>
      <w:r>
        <w:rPr>
          <w:color w:val="231F20"/>
          <w:w w:val="105"/>
          <w:sz w:val="20"/>
        </w:rPr>
        <w:t>and</w:t>
      </w:r>
      <w:r>
        <w:rPr>
          <w:color w:val="231F20"/>
          <w:spacing w:val="-7"/>
          <w:w w:val="105"/>
          <w:sz w:val="20"/>
        </w:rPr>
        <w:t> </w:t>
      </w:r>
      <w:r>
        <w:rPr>
          <w:color w:val="231F20"/>
          <w:w w:val="105"/>
          <w:sz w:val="20"/>
        </w:rPr>
        <w:t>by</w:t>
      </w:r>
      <w:r>
        <w:rPr>
          <w:color w:val="231F20"/>
          <w:spacing w:val="-7"/>
          <w:w w:val="105"/>
          <w:sz w:val="20"/>
        </w:rPr>
        <w:t> </w:t>
      </w:r>
      <w:r>
        <w:rPr>
          <w:color w:val="231F20"/>
          <w:w w:val="105"/>
          <w:sz w:val="20"/>
        </w:rPr>
        <w:t>other</w:t>
      </w:r>
      <w:r>
        <w:rPr>
          <w:color w:val="231F20"/>
          <w:spacing w:val="-6"/>
          <w:w w:val="105"/>
          <w:sz w:val="20"/>
        </w:rPr>
        <w:t> </w:t>
      </w:r>
      <w:r>
        <w:rPr>
          <w:color w:val="231F20"/>
          <w:spacing w:val="-3"/>
          <w:w w:val="105"/>
          <w:sz w:val="20"/>
        </w:rPr>
        <w:t>factors </w:t>
      </w:r>
      <w:r>
        <w:rPr>
          <w:color w:val="231F20"/>
          <w:w w:val="105"/>
          <w:sz w:val="20"/>
        </w:rPr>
        <w:t>such as the concentration of potassium ions in </w:t>
      </w:r>
      <w:r>
        <w:rPr>
          <w:color w:val="231F20"/>
          <w:spacing w:val="-6"/>
          <w:w w:val="105"/>
          <w:sz w:val="20"/>
        </w:rPr>
        <w:t>the </w:t>
      </w:r>
      <w:r>
        <w:rPr>
          <w:color w:val="231F20"/>
          <w:w w:val="105"/>
          <w:sz w:val="20"/>
        </w:rPr>
        <w:t>body</w:t>
      </w:r>
      <w:r>
        <w:rPr>
          <w:color w:val="231F20"/>
          <w:spacing w:val="2"/>
          <w:w w:val="105"/>
          <w:sz w:val="20"/>
        </w:rPr>
        <w:t> </w:t>
      </w:r>
      <w:r>
        <w:rPr>
          <w:color w:val="231F20"/>
          <w:w w:val="105"/>
          <w:sz w:val="20"/>
        </w:rPr>
        <w:t>fluids.</w:t>
      </w:r>
    </w:p>
    <w:p>
      <w:pPr>
        <w:pStyle w:val="ListParagraph"/>
        <w:numPr>
          <w:ilvl w:val="1"/>
          <w:numId w:val="13"/>
        </w:numPr>
        <w:tabs>
          <w:tab w:pos="1563" w:val="left" w:leader="none"/>
        </w:tabs>
        <w:spacing w:line="249" w:lineRule="auto" w:before="7" w:after="0"/>
        <w:ind w:left="1562" w:right="0" w:hanging="243"/>
        <w:jc w:val="both"/>
        <w:rPr>
          <w:sz w:val="20"/>
        </w:rPr>
      </w:pPr>
      <w:r>
        <w:rPr>
          <w:color w:val="231F20"/>
          <w:sz w:val="20"/>
        </w:rPr>
        <w:t>The type A intercalated cells of these nephron segments can avidly secrete hydrogen ions by </w:t>
      </w:r>
      <w:r>
        <w:rPr>
          <w:color w:val="231F20"/>
          <w:spacing w:val="-7"/>
          <w:sz w:val="20"/>
        </w:rPr>
        <w:t>an </w:t>
      </w:r>
      <w:r>
        <w:rPr>
          <w:color w:val="231F20"/>
          <w:sz w:val="20"/>
        </w:rPr>
        <w:t>active hydrogen-ATPase mechanism in acidosis. This process is different  from  the  secondary  active secretion of hydrogen ions by the proximal tubule because it is capable of secreting hydrogen ions against a large concentration gradient,  </w:t>
      </w:r>
      <w:r>
        <w:rPr>
          <w:color w:val="231F20"/>
          <w:spacing w:val="-6"/>
          <w:sz w:val="20"/>
        </w:rPr>
        <w:t>as  </w:t>
      </w:r>
      <w:r>
        <w:rPr>
          <w:color w:val="231F20"/>
          <w:sz w:val="20"/>
        </w:rPr>
        <w:t>much as 1000 to 1. This is in contrast to the rela- tively small gradient (4- to 10-fold) for hydrogen ions that can be achieved by secondary active secre- tion in the proximal tubule. In alkalosis the type </w:t>
      </w:r>
      <w:r>
        <w:rPr>
          <w:color w:val="231F20"/>
          <w:spacing w:val="-11"/>
          <w:sz w:val="20"/>
        </w:rPr>
        <w:t>B </w:t>
      </w:r>
      <w:r>
        <w:rPr>
          <w:color w:val="231F20"/>
          <w:sz w:val="20"/>
        </w:rPr>
        <w:t>intercalated cells secrete bicarbonate and actively reabsorb hydrogen ions. Thus,  the </w:t>
      </w:r>
      <w:r>
        <w:rPr>
          <w:color w:val="231F20"/>
          <w:spacing w:val="32"/>
          <w:sz w:val="20"/>
        </w:rPr>
        <w:t> </w:t>
      </w:r>
      <w:r>
        <w:rPr>
          <w:color w:val="231F20"/>
          <w:sz w:val="20"/>
        </w:rPr>
        <w:t>intercalated cells play a key role in acid-base regulation of the body</w:t>
      </w:r>
      <w:r>
        <w:rPr>
          <w:color w:val="231F20"/>
          <w:spacing w:val="5"/>
          <w:sz w:val="20"/>
        </w:rPr>
        <w:t> </w:t>
      </w:r>
      <w:r>
        <w:rPr>
          <w:color w:val="231F20"/>
          <w:sz w:val="20"/>
        </w:rPr>
        <w:t>fluids.</w:t>
      </w:r>
    </w:p>
    <w:p>
      <w:pPr>
        <w:pStyle w:val="ListParagraph"/>
        <w:numPr>
          <w:ilvl w:val="1"/>
          <w:numId w:val="13"/>
        </w:numPr>
        <w:tabs>
          <w:tab w:pos="1563" w:val="left" w:leader="none"/>
        </w:tabs>
        <w:spacing w:line="249" w:lineRule="auto" w:before="12" w:after="0"/>
        <w:ind w:left="1562" w:right="0" w:hanging="243"/>
        <w:jc w:val="both"/>
        <w:rPr>
          <w:sz w:val="20"/>
        </w:rPr>
      </w:pPr>
      <w:r>
        <w:rPr>
          <w:color w:val="231F20"/>
          <w:w w:val="105"/>
          <w:sz w:val="20"/>
        </w:rPr>
        <w:t>The</w:t>
      </w:r>
      <w:r>
        <w:rPr>
          <w:color w:val="231F20"/>
          <w:spacing w:val="-12"/>
          <w:w w:val="105"/>
          <w:sz w:val="20"/>
        </w:rPr>
        <w:t> </w:t>
      </w:r>
      <w:r>
        <w:rPr>
          <w:color w:val="231F20"/>
          <w:w w:val="105"/>
          <w:sz w:val="20"/>
        </w:rPr>
        <w:t>permeability</w:t>
      </w:r>
      <w:r>
        <w:rPr>
          <w:color w:val="231F20"/>
          <w:spacing w:val="-11"/>
          <w:w w:val="105"/>
          <w:sz w:val="20"/>
        </w:rPr>
        <w:t> </w:t>
      </w:r>
      <w:r>
        <w:rPr>
          <w:color w:val="231F20"/>
          <w:w w:val="105"/>
          <w:sz w:val="20"/>
        </w:rPr>
        <w:t>of</w:t>
      </w:r>
      <w:r>
        <w:rPr>
          <w:color w:val="231F20"/>
          <w:spacing w:val="-11"/>
          <w:w w:val="105"/>
          <w:sz w:val="20"/>
        </w:rPr>
        <w:t> </w:t>
      </w:r>
      <w:r>
        <w:rPr>
          <w:color w:val="231F20"/>
          <w:w w:val="105"/>
          <w:sz w:val="20"/>
        </w:rPr>
        <w:t>the</w:t>
      </w:r>
      <w:r>
        <w:rPr>
          <w:color w:val="231F20"/>
          <w:spacing w:val="-11"/>
          <w:w w:val="105"/>
          <w:sz w:val="20"/>
        </w:rPr>
        <w:t> </w:t>
      </w:r>
      <w:r>
        <w:rPr>
          <w:color w:val="231F20"/>
          <w:w w:val="105"/>
          <w:sz w:val="20"/>
        </w:rPr>
        <w:t>late</w:t>
      </w:r>
      <w:r>
        <w:rPr>
          <w:color w:val="231F20"/>
          <w:spacing w:val="-11"/>
          <w:w w:val="105"/>
          <w:sz w:val="20"/>
        </w:rPr>
        <w:t> </w:t>
      </w:r>
      <w:r>
        <w:rPr>
          <w:color w:val="231F20"/>
          <w:w w:val="105"/>
          <w:sz w:val="20"/>
        </w:rPr>
        <w:t>distal</w:t>
      </w:r>
      <w:r>
        <w:rPr>
          <w:color w:val="231F20"/>
          <w:spacing w:val="-11"/>
          <w:w w:val="105"/>
          <w:sz w:val="20"/>
        </w:rPr>
        <w:t> </w:t>
      </w:r>
      <w:r>
        <w:rPr>
          <w:color w:val="231F20"/>
          <w:w w:val="105"/>
          <w:sz w:val="20"/>
        </w:rPr>
        <w:t>tubule</w:t>
      </w:r>
      <w:r>
        <w:rPr>
          <w:color w:val="231F20"/>
          <w:spacing w:val="-11"/>
          <w:w w:val="105"/>
          <w:sz w:val="20"/>
        </w:rPr>
        <w:t> </w:t>
      </w:r>
      <w:r>
        <w:rPr>
          <w:color w:val="231F20"/>
          <w:w w:val="105"/>
          <w:sz w:val="20"/>
        </w:rPr>
        <w:t>and</w:t>
      </w:r>
      <w:r>
        <w:rPr>
          <w:color w:val="231F20"/>
          <w:spacing w:val="-12"/>
          <w:w w:val="105"/>
          <w:sz w:val="20"/>
        </w:rPr>
        <w:t> </w:t>
      </w:r>
      <w:r>
        <w:rPr>
          <w:color w:val="231F20"/>
          <w:w w:val="105"/>
          <w:sz w:val="20"/>
        </w:rPr>
        <w:t>corti- cal collecting duct to water is controlled by the concentration of ADH, which is also called vaso- pressin.</w:t>
      </w:r>
      <w:r>
        <w:rPr>
          <w:color w:val="231F20"/>
          <w:spacing w:val="-26"/>
          <w:w w:val="105"/>
          <w:sz w:val="20"/>
        </w:rPr>
        <w:t> </w:t>
      </w:r>
      <w:r>
        <w:rPr>
          <w:color w:val="231F20"/>
          <w:spacing w:val="-3"/>
          <w:w w:val="105"/>
          <w:sz w:val="20"/>
        </w:rPr>
        <w:t>With</w:t>
      </w:r>
      <w:r>
        <w:rPr>
          <w:color w:val="231F20"/>
          <w:spacing w:val="-26"/>
          <w:w w:val="105"/>
          <w:sz w:val="20"/>
        </w:rPr>
        <w:t> </w:t>
      </w:r>
      <w:r>
        <w:rPr>
          <w:color w:val="231F20"/>
          <w:w w:val="105"/>
          <w:sz w:val="20"/>
        </w:rPr>
        <w:t>high</w:t>
      </w:r>
      <w:r>
        <w:rPr>
          <w:color w:val="231F20"/>
          <w:spacing w:val="-26"/>
          <w:w w:val="105"/>
          <w:sz w:val="20"/>
        </w:rPr>
        <w:t> </w:t>
      </w:r>
      <w:r>
        <w:rPr>
          <w:color w:val="231F20"/>
          <w:w w:val="105"/>
          <w:sz w:val="20"/>
        </w:rPr>
        <w:t>levels</w:t>
      </w:r>
      <w:r>
        <w:rPr>
          <w:color w:val="231F20"/>
          <w:spacing w:val="-25"/>
          <w:w w:val="105"/>
          <w:sz w:val="20"/>
        </w:rPr>
        <w:t> </w:t>
      </w:r>
      <w:r>
        <w:rPr>
          <w:color w:val="231F20"/>
          <w:w w:val="105"/>
          <w:sz w:val="20"/>
        </w:rPr>
        <w:t>of</w:t>
      </w:r>
      <w:r>
        <w:rPr>
          <w:color w:val="231F20"/>
          <w:spacing w:val="-26"/>
          <w:w w:val="105"/>
          <w:sz w:val="20"/>
        </w:rPr>
        <w:t> </w:t>
      </w:r>
      <w:r>
        <w:rPr>
          <w:color w:val="231F20"/>
          <w:w w:val="105"/>
          <w:sz w:val="20"/>
        </w:rPr>
        <w:t>ADH,</w:t>
      </w:r>
      <w:r>
        <w:rPr>
          <w:color w:val="231F20"/>
          <w:spacing w:val="-26"/>
          <w:w w:val="105"/>
          <w:sz w:val="20"/>
        </w:rPr>
        <w:t> </w:t>
      </w:r>
      <w:r>
        <w:rPr>
          <w:color w:val="231F20"/>
          <w:w w:val="105"/>
          <w:sz w:val="20"/>
        </w:rPr>
        <w:t>these</w:t>
      </w:r>
      <w:r>
        <w:rPr>
          <w:color w:val="231F20"/>
          <w:spacing w:val="-25"/>
          <w:w w:val="105"/>
          <w:sz w:val="20"/>
        </w:rPr>
        <w:t> </w:t>
      </w:r>
      <w:r>
        <w:rPr>
          <w:color w:val="231F20"/>
          <w:w w:val="105"/>
          <w:sz w:val="20"/>
        </w:rPr>
        <w:t>tubular</w:t>
      </w:r>
      <w:r>
        <w:rPr>
          <w:color w:val="231F20"/>
          <w:spacing w:val="-26"/>
          <w:w w:val="105"/>
          <w:sz w:val="20"/>
        </w:rPr>
        <w:t> </w:t>
      </w:r>
      <w:r>
        <w:rPr>
          <w:color w:val="231F20"/>
          <w:w w:val="105"/>
          <w:sz w:val="20"/>
        </w:rPr>
        <w:t>seg- ments</w:t>
      </w:r>
      <w:r>
        <w:rPr>
          <w:color w:val="231F20"/>
          <w:spacing w:val="-12"/>
          <w:w w:val="105"/>
          <w:sz w:val="20"/>
        </w:rPr>
        <w:t> </w:t>
      </w:r>
      <w:r>
        <w:rPr>
          <w:color w:val="231F20"/>
          <w:w w:val="105"/>
          <w:sz w:val="20"/>
        </w:rPr>
        <w:t>are</w:t>
      </w:r>
      <w:r>
        <w:rPr>
          <w:color w:val="231F20"/>
          <w:spacing w:val="-13"/>
          <w:w w:val="105"/>
          <w:sz w:val="20"/>
        </w:rPr>
        <w:t> </w:t>
      </w:r>
      <w:r>
        <w:rPr>
          <w:color w:val="231F20"/>
          <w:w w:val="105"/>
          <w:sz w:val="20"/>
        </w:rPr>
        <w:t>permeable</w:t>
      </w:r>
      <w:r>
        <w:rPr>
          <w:color w:val="231F20"/>
          <w:spacing w:val="-12"/>
          <w:w w:val="105"/>
          <w:sz w:val="20"/>
        </w:rPr>
        <w:t> </w:t>
      </w:r>
      <w:r>
        <w:rPr>
          <w:color w:val="231F20"/>
          <w:w w:val="105"/>
          <w:sz w:val="20"/>
        </w:rPr>
        <w:t>to</w:t>
      </w:r>
      <w:r>
        <w:rPr>
          <w:color w:val="231F20"/>
          <w:spacing w:val="-12"/>
          <w:w w:val="105"/>
          <w:sz w:val="20"/>
        </w:rPr>
        <w:t> </w:t>
      </w:r>
      <w:r>
        <w:rPr>
          <w:color w:val="231F20"/>
          <w:spacing w:val="-3"/>
          <w:w w:val="105"/>
          <w:sz w:val="20"/>
        </w:rPr>
        <w:t>water,</w:t>
      </w:r>
      <w:r>
        <w:rPr>
          <w:color w:val="231F20"/>
          <w:spacing w:val="-12"/>
          <w:w w:val="105"/>
          <w:sz w:val="20"/>
        </w:rPr>
        <w:t> </w:t>
      </w:r>
      <w:r>
        <w:rPr>
          <w:color w:val="231F20"/>
          <w:w w:val="105"/>
          <w:sz w:val="20"/>
        </w:rPr>
        <w:t>but</w:t>
      </w:r>
      <w:r>
        <w:rPr>
          <w:color w:val="231F20"/>
          <w:spacing w:val="-12"/>
          <w:w w:val="105"/>
          <w:sz w:val="20"/>
        </w:rPr>
        <w:t> </w:t>
      </w:r>
      <w:r>
        <w:rPr>
          <w:color w:val="231F20"/>
          <w:w w:val="105"/>
          <w:sz w:val="20"/>
        </w:rPr>
        <w:t>in</w:t>
      </w:r>
      <w:r>
        <w:rPr>
          <w:color w:val="231F20"/>
          <w:spacing w:val="-12"/>
          <w:w w:val="105"/>
          <w:sz w:val="20"/>
        </w:rPr>
        <w:t> </w:t>
      </w:r>
      <w:r>
        <w:rPr>
          <w:color w:val="231F20"/>
          <w:w w:val="105"/>
          <w:sz w:val="20"/>
        </w:rPr>
        <w:t>the</w:t>
      </w:r>
      <w:r>
        <w:rPr>
          <w:color w:val="231F20"/>
          <w:spacing w:val="-12"/>
          <w:w w:val="105"/>
          <w:sz w:val="20"/>
        </w:rPr>
        <w:t> </w:t>
      </w:r>
      <w:r>
        <w:rPr>
          <w:color w:val="231F20"/>
          <w:w w:val="105"/>
          <w:sz w:val="20"/>
        </w:rPr>
        <w:t>absence</w:t>
      </w:r>
      <w:r>
        <w:rPr>
          <w:color w:val="231F20"/>
          <w:spacing w:val="-12"/>
          <w:w w:val="105"/>
          <w:sz w:val="20"/>
        </w:rPr>
        <w:t> </w:t>
      </w:r>
      <w:r>
        <w:rPr>
          <w:color w:val="231F20"/>
          <w:w w:val="105"/>
          <w:sz w:val="20"/>
        </w:rPr>
        <w:t>of ADH,</w:t>
      </w:r>
      <w:r>
        <w:rPr>
          <w:color w:val="231F20"/>
          <w:spacing w:val="-21"/>
          <w:w w:val="105"/>
          <w:sz w:val="20"/>
        </w:rPr>
        <w:t> </w:t>
      </w:r>
      <w:r>
        <w:rPr>
          <w:color w:val="231F20"/>
          <w:w w:val="105"/>
          <w:sz w:val="20"/>
        </w:rPr>
        <w:t>they</w:t>
      </w:r>
      <w:r>
        <w:rPr>
          <w:color w:val="231F20"/>
          <w:spacing w:val="-20"/>
          <w:w w:val="105"/>
          <w:sz w:val="20"/>
        </w:rPr>
        <w:t> </w:t>
      </w:r>
      <w:r>
        <w:rPr>
          <w:color w:val="231F20"/>
          <w:w w:val="105"/>
          <w:sz w:val="20"/>
        </w:rPr>
        <w:t>are</w:t>
      </w:r>
      <w:r>
        <w:rPr>
          <w:color w:val="231F20"/>
          <w:spacing w:val="-20"/>
          <w:w w:val="105"/>
          <w:sz w:val="20"/>
        </w:rPr>
        <w:t> </w:t>
      </w:r>
      <w:r>
        <w:rPr>
          <w:color w:val="231F20"/>
          <w:w w:val="105"/>
          <w:sz w:val="20"/>
        </w:rPr>
        <w:t>virtually</w:t>
      </w:r>
      <w:r>
        <w:rPr>
          <w:color w:val="231F20"/>
          <w:spacing w:val="-20"/>
          <w:w w:val="105"/>
          <w:sz w:val="20"/>
        </w:rPr>
        <w:t> </w:t>
      </w:r>
      <w:r>
        <w:rPr>
          <w:color w:val="231F20"/>
          <w:w w:val="105"/>
          <w:sz w:val="20"/>
        </w:rPr>
        <w:t>impermeable</w:t>
      </w:r>
      <w:r>
        <w:rPr>
          <w:color w:val="231F20"/>
          <w:spacing w:val="-20"/>
          <w:w w:val="105"/>
          <w:sz w:val="20"/>
        </w:rPr>
        <w:t> </w:t>
      </w:r>
      <w:r>
        <w:rPr>
          <w:color w:val="231F20"/>
          <w:w w:val="105"/>
          <w:sz w:val="20"/>
        </w:rPr>
        <w:t>to</w:t>
      </w:r>
      <w:r>
        <w:rPr>
          <w:color w:val="231F20"/>
          <w:spacing w:val="-20"/>
          <w:w w:val="105"/>
          <w:sz w:val="20"/>
        </w:rPr>
        <w:t> </w:t>
      </w:r>
      <w:r>
        <w:rPr>
          <w:color w:val="231F20"/>
          <w:spacing w:val="-3"/>
          <w:w w:val="105"/>
          <w:sz w:val="20"/>
        </w:rPr>
        <w:t>water.</w:t>
      </w:r>
      <w:r>
        <w:rPr>
          <w:color w:val="231F20"/>
          <w:spacing w:val="-20"/>
          <w:w w:val="105"/>
          <w:sz w:val="20"/>
        </w:rPr>
        <w:t> </w:t>
      </w:r>
      <w:r>
        <w:rPr>
          <w:color w:val="231F20"/>
          <w:spacing w:val="-3"/>
          <w:w w:val="105"/>
          <w:sz w:val="20"/>
        </w:rPr>
        <w:t>This </w:t>
      </w:r>
      <w:r>
        <w:rPr>
          <w:color w:val="231F20"/>
          <w:w w:val="105"/>
          <w:sz w:val="20"/>
        </w:rPr>
        <w:t>special characteristic provides an important</w:t>
      </w:r>
      <w:r>
        <w:rPr>
          <w:color w:val="231F20"/>
          <w:spacing w:val="-38"/>
          <w:w w:val="105"/>
          <w:sz w:val="20"/>
        </w:rPr>
        <w:t> </w:t>
      </w:r>
      <w:r>
        <w:rPr>
          <w:color w:val="231F20"/>
          <w:w w:val="105"/>
          <w:sz w:val="20"/>
        </w:rPr>
        <w:t>mech- anism</w:t>
      </w:r>
      <w:r>
        <w:rPr>
          <w:color w:val="231F20"/>
          <w:spacing w:val="-11"/>
          <w:w w:val="105"/>
          <w:sz w:val="20"/>
        </w:rPr>
        <w:t> </w:t>
      </w:r>
      <w:r>
        <w:rPr>
          <w:color w:val="231F20"/>
          <w:w w:val="105"/>
          <w:sz w:val="20"/>
        </w:rPr>
        <w:t>for</w:t>
      </w:r>
      <w:r>
        <w:rPr>
          <w:color w:val="231F20"/>
          <w:spacing w:val="-10"/>
          <w:w w:val="105"/>
          <w:sz w:val="20"/>
        </w:rPr>
        <w:t> </w:t>
      </w:r>
      <w:r>
        <w:rPr>
          <w:color w:val="231F20"/>
          <w:w w:val="105"/>
          <w:sz w:val="20"/>
        </w:rPr>
        <w:t>controlling</w:t>
      </w:r>
      <w:r>
        <w:rPr>
          <w:color w:val="231F20"/>
          <w:spacing w:val="-10"/>
          <w:w w:val="105"/>
          <w:sz w:val="20"/>
        </w:rPr>
        <w:t> </w:t>
      </w:r>
      <w:r>
        <w:rPr>
          <w:color w:val="231F20"/>
          <w:w w:val="105"/>
          <w:sz w:val="20"/>
        </w:rPr>
        <w:t>the</w:t>
      </w:r>
      <w:r>
        <w:rPr>
          <w:color w:val="231F20"/>
          <w:spacing w:val="-11"/>
          <w:w w:val="105"/>
          <w:sz w:val="20"/>
        </w:rPr>
        <w:t> </w:t>
      </w:r>
      <w:r>
        <w:rPr>
          <w:color w:val="231F20"/>
          <w:w w:val="105"/>
          <w:sz w:val="20"/>
        </w:rPr>
        <w:t>degree</w:t>
      </w:r>
      <w:r>
        <w:rPr>
          <w:color w:val="231F20"/>
          <w:spacing w:val="-10"/>
          <w:w w:val="105"/>
          <w:sz w:val="20"/>
        </w:rPr>
        <w:t> </w:t>
      </w:r>
      <w:r>
        <w:rPr>
          <w:color w:val="231F20"/>
          <w:w w:val="105"/>
          <w:sz w:val="20"/>
        </w:rPr>
        <w:t>of</w:t>
      </w:r>
      <w:r>
        <w:rPr>
          <w:color w:val="231F20"/>
          <w:spacing w:val="-10"/>
          <w:w w:val="105"/>
          <w:sz w:val="20"/>
        </w:rPr>
        <w:t> </w:t>
      </w:r>
      <w:r>
        <w:rPr>
          <w:color w:val="231F20"/>
          <w:w w:val="105"/>
          <w:sz w:val="20"/>
        </w:rPr>
        <w:t>dilution</w:t>
      </w:r>
      <w:r>
        <w:rPr>
          <w:color w:val="231F20"/>
          <w:spacing w:val="-11"/>
          <w:w w:val="105"/>
          <w:sz w:val="20"/>
        </w:rPr>
        <w:t> </w:t>
      </w:r>
      <w:r>
        <w:rPr>
          <w:color w:val="231F20"/>
          <w:w w:val="105"/>
          <w:sz w:val="20"/>
        </w:rPr>
        <w:t>or</w:t>
      </w:r>
      <w:r>
        <w:rPr>
          <w:color w:val="231F20"/>
          <w:spacing w:val="-10"/>
          <w:w w:val="105"/>
          <w:sz w:val="20"/>
        </w:rPr>
        <w:t> </w:t>
      </w:r>
      <w:r>
        <w:rPr>
          <w:color w:val="231F20"/>
          <w:spacing w:val="-4"/>
          <w:w w:val="105"/>
          <w:sz w:val="20"/>
        </w:rPr>
        <w:t>con- </w:t>
      </w:r>
      <w:r>
        <w:rPr>
          <w:color w:val="231F20"/>
          <w:w w:val="105"/>
          <w:sz w:val="20"/>
        </w:rPr>
        <w:t>centration of the</w:t>
      </w:r>
      <w:r>
        <w:rPr>
          <w:color w:val="231F20"/>
          <w:spacing w:val="9"/>
          <w:w w:val="105"/>
          <w:sz w:val="20"/>
        </w:rPr>
        <w:t> </w:t>
      </w:r>
      <w:r>
        <w:rPr>
          <w:color w:val="231F20"/>
          <w:w w:val="105"/>
          <w:sz w:val="20"/>
        </w:rPr>
        <w:t>urine.</w:t>
      </w:r>
    </w:p>
    <w:p>
      <w:pPr>
        <w:pStyle w:val="BodyText"/>
        <w:spacing w:before="3"/>
        <w:rPr>
          <w:sz w:val="30"/>
        </w:rPr>
      </w:pPr>
    </w:p>
    <w:p>
      <w:pPr>
        <w:pStyle w:val="Heading2"/>
        <w:ind w:left="1080"/>
        <w:jc w:val="both"/>
      </w:pPr>
      <w:r>
        <w:rPr>
          <w:color w:val="231F20"/>
          <w:w w:val="105"/>
        </w:rPr>
        <w:t>MEDULLARY COLLECTING DUCT</w:t>
      </w:r>
    </w:p>
    <w:p>
      <w:pPr>
        <w:pStyle w:val="BodyText"/>
        <w:spacing w:line="249" w:lineRule="auto" w:before="124"/>
        <w:ind w:left="1080"/>
        <w:jc w:val="both"/>
      </w:pPr>
      <w:r>
        <w:rPr>
          <w:color w:val="231F20"/>
          <w:w w:val="105"/>
        </w:rPr>
        <w:t>Although the medullary collecting ducts reabsorb </w:t>
      </w:r>
      <w:r>
        <w:rPr>
          <w:color w:val="231F20"/>
          <w:spacing w:val="-3"/>
          <w:w w:val="105"/>
        </w:rPr>
        <w:t>less </w:t>
      </w:r>
      <w:r>
        <w:rPr>
          <w:color w:val="231F20"/>
          <w:w w:val="105"/>
        </w:rPr>
        <w:t>than</w:t>
      </w:r>
      <w:r>
        <w:rPr>
          <w:color w:val="231F20"/>
          <w:spacing w:val="-15"/>
          <w:w w:val="105"/>
        </w:rPr>
        <w:t> </w:t>
      </w:r>
      <w:r>
        <w:rPr>
          <w:color w:val="231F20"/>
          <w:w w:val="105"/>
        </w:rPr>
        <w:t>10</w:t>
      </w:r>
      <w:r>
        <w:rPr>
          <w:color w:val="231F20"/>
          <w:spacing w:val="-14"/>
          <w:w w:val="105"/>
        </w:rPr>
        <w:t> </w:t>
      </w:r>
      <w:r>
        <w:rPr>
          <w:color w:val="231F20"/>
          <w:w w:val="105"/>
        </w:rPr>
        <w:t>percent</w:t>
      </w:r>
      <w:r>
        <w:rPr>
          <w:color w:val="231F20"/>
          <w:spacing w:val="-14"/>
          <w:w w:val="105"/>
        </w:rPr>
        <w:t> </w:t>
      </w:r>
      <w:r>
        <w:rPr>
          <w:color w:val="231F20"/>
          <w:w w:val="105"/>
        </w:rPr>
        <w:t>of</w:t>
      </w:r>
      <w:r>
        <w:rPr>
          <w:color w:val="231F20"/>
          <w:spacing w:val="-15"/>
          <w:w w:val="105"/>
        </w:rPr>
        <w:t> </w:t>
      </w:r>
      <w:r>
        <w:rPr>
          <w:color w:val="231F20"/>
          <w:w w:val="105"/>
        </w:rPr>
        <w:t>the</w:t>
      </w:r>
      <w:r>
        <w:rPr>
          <w:color w:val="231F20"/>
          <w:spacing w:val="-14"/>
          <w:w w:val="105"/>
        </w:rPr>
        <w:t> </w:t>
      </w:r>
      <w:r>
        <w:rPr>
          <w:color w:val="231F20"/>
          <w:w w:val="105"/>
        </w:rPr>
        <w:t>filtered</w:t>
      </w:r>
      <w:r>
        <w:rPr>
          <w:color w:val="231F20"/>
          <w:spacing w:val="-15"/>
          <w:w w:val="105"/>
        </w:rPr>
        <w:t> </w:t>
      </w:r>
      <w:r>
        <w:rPr>
          <w:color w:val="231F20"/>
          <w:w w:val="105"/>
        </w:rPr>
        <w:t>water</w:t>
      </w:r>
      <w:r>
        <w:rPr>
          <w:color w:val="231F20"/>
          <w:spacing w:val="-14"/>
          <w:w w:val="105"/>
        </w:rPr>
        <w:t> </w:t>
      </w:r>
      <w:r>
        <w:rPr>
          <w:color w:val="231F20"/>
          <w:w w:val="105"/>
        </w:rPr>
        <w:t>and</w:t>
      </w:r>
      <w:r>
        <w:rPr>
          <w:color w:val="231F20"/>
          <w:spacing w:val="-13"/>
          <w:w w:val="105"/>
        </w:rPr>
        <w:t> </w:t>
      </w:r>
      <w:r>
        <w:rPr>
          <w:color w:val="231F20"/>
          <w:w w:val="105"/>
        </w:rPr>
        <w:t>sodium,</w:t>
      </w:r>
      <w:r>
        <w:rPr>
          <w:color w:val="231F20"/>
          <w:spacing w:val="-15"/>
          <w:w w:val="105"/>
        </w:rPr>
        <w:t> </w:t>
      </w:r>
      <w:r>
        <w:rPr>
          <w:color w:val="231F20"/>
          <w:w w:val="105"/>
        </w:rPr>
        <w:t>they</w:t>
      </w:r>
      <w:r>
        <w:rPr>
          <w:color w:val="231F20"/>
          <w:spacing w:val="-14"/>
          <w:w w:val="105"/>
        </w:rPr>
        <w:t> </w:t>
      </w:r>
      <w:r>
        <w:rPr>
          <w:color w:val="231F20"/>
          <w:w w:val="105"/>
        </w:rPr>
        <w:t>are the</w:t>
      </w:r>
      <w:r>
        <w:rPr>
          <w:color w:val="231F20"/>
          <w:spacing w:val="-10"/>
          <w:w w:val="105"/>
        </w:rPr>
        <w:t> </w:t>
      </w:r>
      <w:r>
        <w:rPr>
          <w:color w:val="231F20"/>
          <w:w w:val="105"/>
        </w:rPr>
        <w:t>final</w:t>
      </w:r>
      <w:r>
        <w:rPr>
          <w:color w:val="231F20"/>
          <w:spacing w:val="-9"/>
          <w:w w:val="105"/>
        </w:rPr>
        <w:t> </w:t>
      </w:r>
      <w:r>
        <w:rPr>
          <w:color w:val="231F20"/>
          <w:w w:val="105"/>
        </w:rPr>
        <w:t>site</w:t>
      </w:r>
      <w:r>
        <w:rPr>
          <w:color w:val="231F20"/>
          <w:spacing w:val="-9"/>
          <w:w w:val="105"/>
        </w:rPr>
        <w:t> </w:t>
      </w:r>
      <w:r>
        <w:rPr>
          <w:color w:val="231F20"/>
          <w:w w:val="105"/>
        </w:rPr>
        <w:t>for</w:t>
      </w:r>
      <w:r>
        <w:rPr>
          <w:color w:val="231F20"/>
          <w:spacing w:val="-9"/>
          <w:w w:val="105"/>
        </w:rPr>
        <w:t> </w:t>
      </w:r>
      <w:r>
        <w:rPr>
          <w:color w:val="231F20"/>
          <w:w w:val="105"/>
        </w:rPr>
        <w:t>processing</w:t>
      </w:r>
      <w:r>
        <w:rPr>
          <w:color w:val="231F20"/>
          <w:spacing w:val="-10"/>
          <w:w w:val="105"/>
        </w:rPr>
        <w:t> </w:t>
      </w:r>
      <w:r>
        <w:rPr>
          <w:color w:val="231F20"/>
          <w:w w:val="105"/>
        </w:rPr>
        <w:t>the</w:t>
      </w:r>
      <w:r>
        <w:rPr>
          <w:color w:val="231F20"/>
          <w:spacing w:val="-9"/>
          <w:w w:val="105"/>
        </w:rPr>
        <w:t> </w:t>
      </w:r>
      <w:r>
        <w:rPr>
          <w:color w:val="231F20"/>
          <w:w w:val="105"/>
        </w:rPr>
        <w:t>urine</w:t>
      </w:r>
      <w:r>
        <w:rPr>
          <w:color w:val="231F20"/>
          <w:spacing w:val="-9"/>
          <w:w w:val="105"/>
        </w:rPr>
        <w:t> </w:t>
      </w:r>
      <w:r>
        <w:rPr>
          <w:color w:val="231F20"/>
          <w:w w:val="105"/>
        </w:rPr>
        <w:t>and,</w:t>
      </w:r>
      <w:r>
        <w:rPr>
          <w:color w:val="231F20"/>
          <w:spacing w:val="-9"/>
          <w:w w:val="105"/>
        </w:rPr>
        <w:t> </w:t>
      </w:r>
      <w:r>
        <w:rPr>
          <w:color w:val="231F20"/>
          <w:w w:val="105"/>
        </w:rPr>
        <w:t>therefore,</w:t>
      </w:r>
      <w:r>
        <w:rPr>
          <w:color w:val="231F20"/>
          <w:spacing w:val="-9"/>
          <w:w w:val="105"/>
        </w:rPr>
        <w:t> </w:t>
      </w:r>
      <w:r>
        <w:rPr>
          <w:color w:val="231F20"/>
          <w:spacing w:val="-4"/>
          <w:w w:val="105"/>
        </w:rPr>
        <w:t>play </w:t>
      </w:r>
      <w:r>
        <w:rPr>
          <w:color w:val="231F20"/>
          <w:w w:val="105"/>
        </w:rPr>
        <w:t>an extremely important role in determining the </w:t>
      </w:r>
      <w:r>
        <w:rPr>
          <w:color w:val="231F20"/>
          <w:spacing w:val="-3"/>
          <w:w w:val="105"/>
        </w:rPr>
        <w:t>final  </w:t>
      </w:r>
      <w:r>
        <w:rPr>
          <w:color w:val="231F20"/>
          <w:w w:val="105"/>
        </w:rPr>
        <w:t>urine output of water and</w:t>
      </w:r>
      <w:r>
        <w:rPr>
          <w:color w:val="231F20"/>
          <w:spacing w:val="14"/>
          <w:w w:val="105"/>
        </w:rPr>
        <w:t> </w:t>
      </w:r>
      <w:r>
        <w:rPr>
          <w:color w:val="231F20"/>
          <w:w w:val="105"/>
        </w:rPr>
        <w:t>solutes.</w:t>
      </w:r>
    </w:p>
    <w:p>
      <w:pPr>
        <w:pStyle w:val="BodyText"/>
        <w:spacing w:line="249" w:lineRule="auto" w:before="4"/>
        <w:ind w:left="1080" w:firstLine="240"/>
        <w:jc w:val="both"/>
      </w:pPr>
      <w:r>
        <w:rPr>
          <w:color w:val="231F20"/>
          <w:w w:val="105"/>
        </w:rPr>
        <w:t>The epithelial cells of the collecting ducts are </w:t>
      </w:r>
      <w:r>
        <w:rPr>
          <w:color w:val="231F20"/>
          <w:spacing w:val="-3"/>
          <w:w w:val="105"/>
        </w:rPr>
        <w:t>nearly </w:t>
      </w:r>
      <w:r>
        <w:rPr>
          <w:color w:val="231F20"/>
          <w:w w:val="105"/>
        </w:rPr>
        <w:t>cuboidal</w:t>
      </w:r>
      <w:r>
        <w:rPr>
          <w:color w:val="231F20"/>
          <w:spacing w:val="-25"/>
          <w:w w:val="105"/>
        </w:rPr>
        <w:t> </w:t>
      </w:r>
      <w:r>
        <w:rPr>
          <w:color w:val="231F20"/>
          <w:w w:val="105"/>
        </w:rPr>
        <w:t>in</w:t>
      </w:r>
      <w:r>
        <w:rPr>
          <w:color w:val="231F20"/>
          <w:spacing w:val="-24"/>
          <w:w w:val="105"/>
        </w:rPr>
        <w:t> </w:t>
      </w:r>
      <w:r>
        <w:rPr>
          <w:color w:val="231F20"/>
          <w:w w:val="105"/>
        </w:rPr>
        <w:t>shape</w:t>
      </w:r>
      <w:r>
        <w:rPr>
          <w:color w:val="231F20"/>
          <w:spacing w:val="-24"/>
          <w:w w:val="105"/>
        </w:rPr>
        <w:t> </w:t>
      </w:r>
      <w:r>
        <w:rPr>
          <w:color w:val="231F20"/>
          <w:w w:val="105"/>
        </w:rPr>
        <w:t>with</w:t>
      </w:r>
      <w:r>
        <w:rPr>
          <w:color w:val="231F20"/>
          <w:spacing w:val="-24"/>
          <w:w w:val="105"/>
        </w:rPr>
        <w:t> </w:t>
      </w:r>
      <w:r>
        <w:rPr>
          <w:color w:val="231F20"/>
          <w:w w:val="105"/>
        </w:rPr>
        <w:t>smooth</w:t>
      </w:r>
      <w:r>
        <w:rPr>
          <w:color w:val="231F20"/>
          <w:spacing w:val="-24"/>
          <w:w w:val="105"/>
        </w:rPr>
        <w:t> </w:t>
      </w:r>
      <w:r>
        <w:rPr>
          <w:color w:val="231F20"/>
          <w:w w:val="105"/>
        </w:rPr>
        <w:t>surfaces</w:t>
      </w:r>
      <w:r>
        <w:rPr>
          <w:color w:val="231F20"/>
          <w:spacing w:val="-24"/>
          <w:w w:val="105"/>
        </w:rPr>
        <w:t> </w:t>
      </w:r>
      <w:r>
        <w:rPr>
          <w:color w:val="231F20"/>
          <w:w w:val="105"/>
        </w:rPr>
        <w:t>and</w:t>
      </w:r>
      <w:r>
        <w:rPr>
          <w:color w:val="231F20"/>
          <w:spacing w:val="-24"/>
          <w:w w:val="105"/>
        </w:rPr>
        <w:t> </w:t>
      </w:r>
      <w:r>
        <w:rPr>
          <w:color w:val="231F20"/>
          <w:w w:val="105"/>
        </w:rPr>
        <w:t>relatively</w:t>
      </w:r>
      <w:r>
        <w:rPr>
          <w:color w:val="231F20"/>
          <w:spacing w:val="-24"/>
          <w:w w:val="105"/>
        </w:rPr>
        <w:t> </w:t>
      </w:r>
      <w:r>
        <w:rPr>
          <w:color w:val="231F20"/>
          <w:spacing w:val="-5"/>
          <w:w w:val="105"/>
        </w:rPr>
        <w:t>few </w:t>
      </w:r>
      <w:r>
        <w:rPr>
          <w:color w:val="231F20"/>
          <w:w w:val="105"/>
        </w:rPr>
        <w:t>mitochondria (</w:t>
      </w:r>
      <w:hyperlink w:history="true" w:anchor="_bookmark53">
        <w:r>
          <w:rPr>
            <w:b/>
            <w:color w:val="0080AC"/>
            <w:w w:val="105"/>
          </w:rPr>
          <w:t>Figure 28-14</w:t>
        </w:r>
      </w:hyperlink>
      <w:r>
        <w:rPr>
          <w:color w:val="231F20"/>
          <w:w w:val="105"/>
        </w:rPr>
        <w:t>). Special characteristics of this tubular segment are as</w:t>
      </w:r>
      <w:r>
        <w:rPr>
          <w:color w:val="231F20"/>
          <w:spacing w:val="6"/>
          <w:w w:val="105"/>
        </w:rPr>
        <w:t> </w:t>
      </w:r>
      <w:r>
        <w:rPr>
          <w:color w:val="231F20"/>
          <w:w w:val="105"/>
        </w:rPr>
        <w:t>follows:</w:t>
      </w:r>
    </w:p>
    <w:p>
      <w:pPr>
        <w:pStyle w:val="ListParagraph"/>
        <w:numPr>
          <w:ilvl w:val="0"/>
          <w:numId w:val="16"/>
        </w:numPr>
        <w:tabs>
          <w:tab w:pos="1563" w:val="left" w:leader="none"/>
        </w:tabs>
        <w:spacing w:line="249" w:lineRule="auto" w:before="4" w:after="0"/>
        <w:ind w:left="1562" w:right="0" w:hanging="243"/>
        <w:jc w:val="both"/>
        <w:rPr>
          <w:sz w:val="20"/>
        </w:rPr>
      </w:pPr>
      <w:r>
        <w:rPr>
          <w:color w:val="231F20"/>
          <w:sz w:val="20"/>
        </w:rPr>
        <w:t>The permeability of the medullary collecting </w:t>
      </w:r>
      <w:r>
        <w:rPr>
          <w:color w:val="231F20"/>
          <w:spacing w:val="-4"/>
          <w:sz w:val="20"/>
        </w:rPr>
        <w:t>duct  </w:t>
      </w:r>
      <w:r>
        <w:rPr>
          <w:color w:val="231F20"/>
          <w:sz w:val="20"/>
        </w:rPr>
        <w:t>to</w:t>
      </w:r>
      <w:r>
        <w:rPr>
          <w:color w:val="231F20"/>
          <w:spacing w:val="36"/>
          <w:sz w:val="20"/>
        </w:rPr>
        <w:t> </w:t>
      </w:r>
      <w:r>
        <w:rPr>
          <w:color w:val="231F20"/>
          <w:sz w:val="20"/>
        </w:rPr>
        <w:t>water</w:t>
      </w:r>
      <w:r>
        <w:rPr>
          <w:color w:val="231F20"/>
          <w:spacing w:val="36"/>
          <w:sz w:val="20"/>
        </w:rPr>
        <w:t> </w:t>
      </w:r>
      <w:r>
        <w:rPr>
          <w:color w:val="231F20"/>
          <w:sz w:val="20"/>
        </w:rPr>
        <w:t>is</w:t>
      </w:r>
      <w:r>
        <w:rPr>
          <w:color w:val="231F20"/>
          <w:spacing w:val="36"/>
          <w:sz w:val="20"/>
        </w:rPr>
        <w:t> </w:t>
      </w:r>
      <w:r>
        <w:rPr>
          <w:color w:val="231F20"/>
          <w:sz w:val="20"/>
        </w:rPr>
        <w:t>controlled</w:t>
      </w:r>
      <w:r>
        <w:rPr>
          <w:color w:val="231F20"/>
          <w:spacing w:val="36"/>
          <w:sz w:val="20"/>
        </w:rPr>
        <w:t> </w:t>
      </w:r>
      <w:r>
        <w:rPr>
          <w:color w:val="231F20"/>
          <w:sz w:val="20"/>
        </w:rPr>
        <w:t>by</w:t>
      </w:r>
      <w:r>
        <w:rPr>
          <w:color w:val="231F20"/>
          <w:spacing w:val="36"/>
          <w:sz w:val="20"/>
        </w:rPr>
        <w:t> </w:t>
      </w:r>
      <w:r>
        <w:rPr>
          <w:color w:val="231F20"/>
          <w:sz w:val="20"/>
        </w:rPr>
        <w:t>the</w:t>
      </w:r>
      <w:r>
        <w:rPr>
          <w:color w:val="231F20"/>
          <w:spacing w:val="36"/>
          <w:sz w:val="20"/>
        </w:rPr>
        <w:t> </w:t>
      </w:r>
      <w:r>
        <w:rPr>
          <w:color w:val="231F20"/>
          <w:sz w:val="20"/>
        </w:rPr>
        <w:t>level</w:t>
      </w:r>
      <w:r>
        <w:rPr>
          <w:color w:val="231F20"/>
          <w:spacing w:val="36"/>
          <w:sz w:val="20"/>
        </w:rPr>
        <w:t> </w:t>
      </w:r>
      <w:r>
        <w:rPr>
          <w:color w:val="231F20"/>
          <w:sz w:val="20"/>
        </w:rPr>
        <w:t>of</w:t>
      </w:r>
      <w:r>
        <w:rPr>
          <w:color w:val="231F20"/>
          <w:spacing w:val="36"/>
          <w:sz w:val="20"/>
        </w:rPr>
        <w:t> </w:t>
      </w:r>
      <w:r>
        <w:rPr>
          <w:color w:val="231F20"/>
          <w:sz w:val="20"/>
        </w:rPr>
        <w:t>ADH.</w:t>
      </w:r>
      <w:r>
        <w:rPr>
          <w:color w:val="231F20"/>
          <w:spacing w:val="36"/>
          <w:sz w:val="20"/>
        </w:rPr>
        <w:t> </w:t>
      </w:r>
      <w:r>
        <w:rPr>
          <w:color w:val="231F20"/>
          <w:spacing w:val="-6"/>
          <w:sz w:val="20"/>
        </w:rPr>
        <w:t>With</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4"/>
        </w:rPr>
      </w:pPr>
    </w:p>
    <w:p>
      <w:pPr>
        <w:spacing w:line="261" w:lineRule="auto" w:before="1"/>
        <w:ind w:left="319" w:right="1437" w:firstLine="0"/>
        <w:jc w:val="both"/>
        <w:rPr>
          <w:rFonts w:ascii="Arial" w:hAnsi="Arial"/>
          <w:sz w:val="16"/>
        </w:rPr>
      </w:pPr>
      <w:r>
        <w:rPr/>
        <w:pict>
          <v:group style="position:absolute;margin-left:307.632568pt;margin-top:-141.202957pt;width:230.45pt;height:136.85pt;mso-position-horizontal-relative:page;mso-position-vertical-relative:paragraph;z-index:252203008" coordorigin="6153,-2824" coordsize="4609,2737">
            <v:shape style="position:absolute;left:7742;top:-2169;width:2532;height:2034" coordorigin="7742,-2169" coordsize="2532,2034" path="m8913,-2169l8795,-2136,8624,-2058,8269,-1888,8195,-1851,8130,-1817,8075,-1786,7958,-1704,7891,-1653,7821,-1591,7765,-1521,7743,-1447,7743,-1405,7742,-1256,7742,-1189,7747,-1081,7761,-986,7784,-902,7812,-827,7847,-762,7886,-705,7927,-656,7971,-613,8047,-548,8137,-479,8196,-439,8265,-397,8345,-354,8438,-311,8543,-270,8647,-233,8743,-202,8831,-177,8912,-157,8989,-144,9061,-137,9130,-135,9197,-140,9264,-152,9330,-170,9387,-189,9448,-212,9512,-239,9578,-271,9646,-306,9714,-346,9781,-390,9847,-439,9911,-491,9971,-549,10028,-611,10080,-677,10121,-742,10161,-817,10198,-901,10233,-992,10254,-1069,10266,-1151,10272,-1236,10274,-1321,10273,-1405,10273,-1485,10223,-1579,10170,-1614,10106,-1655,10036,-1712,9954,-1783,9868,-1846,9778,-1902,9688,-1951,9600,-1992,9515,-2027,9437,-2056,9366,-2079,9305,-2096,9223,-2115,9206,-2117,9031,-2160,8913,-2169xe" filled="true" fillcolor="#ffd768" stroked="false">
              <v:path arrowok="t"/>
              <v:fill type="solid"/>
            </v:shape>
            <v:shape style="position:absolute;left:7742;top:-2169;width:2532;height:2034" coordorigin="7742,-2169" coordsize="2532,2034" path="m9206,-2117l9031,-2160,8913,-2169,8795,-2136,8624,-2058,8529,-2013,8438,-1969,8350,-1927,8269,-1888,8195,-1851,8130,-1817,8075,-1786,8003,-1738,7958,-1704,7891,-1653,7821,-1591,7765,-1521,7743,-1447,7743,-1389,7742,-1324,7742,-1256,7742,-1189,7747,-1081,7761,-986,7784,-902,7812,-827,7847,-762,7886,-705,7927,-656,7971,-613,8047,-548,8137,-479,8196,-439,8265,-397,8345,-354,8438,-311,8543,-270,8647,-233,8743,-202,8831,-177,8912,-157,8989,-144,9061,-137,9130,-135,9197,-140,9264,-152,9330,-170,9387,-189,9448,-212,9512,-239,9578,-271,9646,-306,9714,-346,9781,-390,9847,-439,9911,-491,9971,-549,10028,-611,10080,-677,10121,-742,10161,-817,10198,-901,10233,-992,10254,-1069,10266,-1151,10272,-1236,10274,-1321,10273,-1405,10273,-1485,10223,-1579,10170,-1614,10106,-1655,10036,-1712,9954,-1783,9868,-1846,9778,-1902,9688,-1951,9600,-1992,9515,-2027,9437,-2056,9366,-2079,9305,-2096,9223,-2115,9206,-2117xe" filled="false" stroked="true" strokeweight=".5pt" strokecolor="#b7705b">
              <v:path arrowok="t"/>
              <v:stroke dashstyle="solid"/>
            </v:shape>
            <v:shape style="position:absolute;left:-1550;top:11108;width:2115;height:875" coordorigin="-1550,11108" coordsize="2115,875" path="m9390,-420l9390,-197m9955,-755l9955,-532m8790,-420l8790,-187m8230,-650l8230,-417m7840,-1062l7840,-775e" filled="false" stroked="true" strokeweight=".5pt" strokecolor="#b7705b">
              <v:path arrowok="t"/>
              <v:stroke dashstyle="solid"/>
            </v:shape>
            <v:shape style="position:absolute;left:6523;top:-1845;width:330;height:1447" coordorigin="6524,-1845" coordsize="330,1447" path="m6566,-1845l6524,-1845,6524,-552,6536,-492,6569,-443,6619,-411,6679,-399,6739,-411,6784,-440,6679,-440,6635,-449,6599,-473,6575,-508,6566,-552,6566,-1845xm6771,-1560l6777,-1550,6783,-1535,6789,-1516,6791,-1494,6791,-552,6782,-508,6758,-473,6723,-449,6679,-440,6784,-440,6788,-443,6822,-492,6834,-552,6834,-1491,6836,-1514,6841,-1534,6847,-1549,6853,-1559,6771,-1560xe" filled="true" fillcolor="#ffd768" stroked="false">
              <v:path arrowok="t"/>
              <v:fill type="solid"/>
            </v:shape>
            <v:shape style="position:absolute;left:6523;top:-1845;width:330;height:1447" coordorigin="6524,-1845" coordsize="330,1447" path="m6771,-1560l6777,-1550,6783,-1535,6789,-1516,6791,-1494,6791,-552,6782,-508,6758,-473,6723,-449,6679,-440,6635,-449,6599,-473,6575,-508,6566,-552,6566,-1845,6524,-1845,6524,-552,6536,-492,6569,-443,6619,-411,6679,-399,6739,-411,6788,-443,6822,-492,6834,-552,6834,-1491,6836,-1514,6841,-1534,6847,-1549,6853,-1559,6771,-1560xe" filled="false" stroked="true" strokeweight=".25pt" strokecolor="#b7705b">
              <v:path arrowok="t"/>
              <v:stroke dashstyle="solid"/>
            </v:shape>
            <v:shape style="position:absolute;left:6749;top:-2771;width:928;height:1232" coordorigin="6749,-2771" coordsize="928,1232" path="m7234,-2771l7173,-2759,7111,-2728,7092,-2715,7074,-2700,7057,-2682,7038,-2659,7021,-2633,7005,-2605,6990,-2574,6975,-2538,6961,-2504,6944,-2468,6924,-2433,6899,-2400,6899,-2400,6886,-2386,6870,-2373,6854,-2361,6837,-2350,6794,-2322,6767,-2290,6753,-2252,6749,-2204,6749,-1651,6751,-1625,6755,-1601,6762,-1579,6771,-1560,6786,-1546,6808,-1539,6832,-1542,6853,-1559,6863,-1577,6870,-1599,6874,-1624,6875,-1651,6875,-2191,6877,-2212,6883,-2228,6893,-2239,6905,-2247,6925,-2259,6945,-2272,6963,-2285,6979,-2299,6978,-2300,7019,-2347,7050,-2397,7074,-2447,7093,-2494,7103,-2519,7113,-2541,7124,-2560,7136,-2578,7147,-2593,7159,-2606,7173,-2617,7190,-2627,7216,-2638,7244,-2643,7275,-2644,7527,-2644,7510,-2670,7465,-2710,7409,-2742,7341,-2763,7291,-2770,7234,-2771xm7527,-2644l7275,-2644,7309,-2641,7353,-2630,7388,-2612,7414,-2589,7432,-2563,7452,-2497,7441,-2440,7410,-2390,7370,-2347,7282,-2267,7229,-2213,7181,-2147,7144,-2069,7126,-1978,7122,-1918,7119,-1861,7116,-1806,7115,-1757,7241,-1757,7242,-1807,7245,-1858,7247,-1912,7251,-1970,7272,-2060,7316,-2132,7372,-2191,7430,-2241,7479,-2285,7504,-2311,7529,-2339,7551,-2372,7569,-2410,7588,-2438,7613,-2451,7638,-2453,7657,-2453,7677,-2576,7674,-2576,7591,-2576,7575,-2582,7559,-2596,7543,-2622,7527,-2644xm7657,-2453l7638,-2453,7657,-2452,7657,-2453xm7646,-2579l7628,-2578,7609,-2577,7591,-2576,7674,-2576,7662,-2578,7646,-2579xe" filled="true" fillcolor="#ffd768" stroked="false">
              <v:path arrowok="t"/>
              <v:fill type="solid"/>
            </v:shape>
            <v:shape style="position:absolute;left:6749;top:-2771;width:928;height:1232" coordorigin="6749,-2771" coordsize="928,1232" path="m7609,-2577l7591,-2576,7575,-2582,7559,-2596,7543,-2622,7510,-2670,7465,-2710,7409,-2742,7341,-2763,7234,-2771,7173,-2759,7111,-2728,7057,-2682,7005,-2605,6975,-2538,6961,-2504,6944,-2468,6924,-2433,6899,-2400,6899,-2400,6886,-2386,6870,-2373,6854,-2361,6837,-2350,6794,-2322,6767,-2290,6753,-2252,6749,-2204,6749,-1651,6762,-1579,6808,-1539,6832,-1542,6870,-1599,6875,-1651,6875,-2189,6877,-2212,6883,-2228,6893,-2239,6905,-2247,6925,-2259,6945,-2272,6963,-2285,6979,-2299,6978,-2300,7019,-2347,7050,-2397,7074,-2447,7093,-2494,7103,-2519,7136,-2578,7190,-2627,7275,-2644,7309,-2641,7388,-2612,7432,-2563,7452,-2497,7441,-2440,7410,-2390,7370,-2347,7331,-2312,7282,-2267,7229,-2213,7181,-2147,7144,-2069,7126,-1978,7119,-1861,7115,-1757,7241,-1757,7242,-1806,7245,-1858,7251,-1970,7272,-2060,7316,-2132,7372,-2191,7430,-2241,7479,-2285,7504,-2311,7529,-2339,7551,-2372,7569,-2410,7588,-2438,7613,-2451,7638,-2453,7657,-2452,7677,-2576,7662,-2578,7646,-2579,7628,-2578,7609,-2577xe" filled="false" stroked="true" strokeweight=".25pt" strokecolor="#b7705b">
              <v:path arrowok="t"/>
              <v:stroke dashstyle="solid"/>
            </v:shape>
            <v:shape style="position:absolute;left:7018;top:-1761;width:314;height:1382" coordorigin="7018,-1761" coordsize="314,1382" path="m7075,-1627l7018,-1514,7036,-1504,7067,-1477,7096,-1429,7109,-1358,7109,-1358,7109,-1287,7109,-1201,7108,-1104,7106,-893,7103,-510,7103,-400,7102,-380,7244,-380,7244,-539,7244,-709,7246,-997,7250,-1508,7261,-1561,7287,-1598,7304,-1611,7104,-1611,7084,-1623,7075,-1627xm7115,-1761l7114,-1725,7113,-1691,7113,-1659,7112,-1616,7104,-1611,7304,-1611,7315,-1620,7332,-1629,7296,-1727,7248,-1727,7240,-1730,7240,-1739,7240,-1755,7241,-1760,7115,-1761xm7289,-1747l7280,-1744,7269,-1739,7248,-1727,7296,-1727,7289,-1747xe" filled="true" fillcolor="#faa61a" stroked="false">
              <v:path arrowok="t"/>
              <v:fill type="solid"/>
            </v:shape>
            <v:shape style="position:absolute;left:7018;top:-1761;width:314;height:1382" coordorigin="7018,-1761" coordsize="314,1382" path="m7241,-1760l7240,-1755,7240,-1746,7240,-1741,7240,-1730,7248,-1727,7258,-1733,7269,-1739,7280,-1744,7289,-1747,7332,-1629,7315,-1620,7287,-1598,7250,-1508,7246,-997,7244,-709,7244,-539,7244,-380,7102,-380,7103,-445,7103,-510,7104,-591,7105,-685,7106,-787,7106,-893,7107,-1000,7108,-1104,7109,-1201,7109,-1287,7109,-1358,7109,-1358,7096,-1429,7067,-1477,7036,-1504,7018,-1514,7075,-1627,7076,-1626,7084,-1623,7096,-1616,7104,-1611,7112,-1616,7112,-1630,7113,-1659,7113,-1691,7114,-1725,7115,-1761e" filled="false" stroked="true" strokeweight=".25pt" strokecolor="#b7705b">
              <v:path arrowok="t"/>
              <v:stroke dashstyle="solid"/>
            </v:shape>
            <v:shape style="position:absolute;left:6761;top:-2381;width:150;height:209" type="#_x0000_t75" stroked="false">
              <v:imagedata r:id="rId637" o:title=""/>
            </v:shape>
            <v:shape style="position:absolute;left:6994;top:-2760;width:272;height:215" type="#_x0000_t75" stroked="false">
              <v:imagedata r:id="rId638" o:title=""/>
            </v:shape>
            <v:shape style="position:absolute;left:7135;top:-2255;width:162;height:322" type="#_x0000_t75" stroked="false">
              <v:imagedata r:id="rId639" o:title=""/>
            </v:shape>
            <v:shape style="position:absolute;left:6155;top:-2769;width:514;height:973" coordorigin="6155,-2769" coordsize="514,973" path="m6302,-2734l6281,-2734,6246,-2727,6215,-2713,6190,-2692,6170,-2664,6158,-2629,6155,-2590,6162,-2550,6179,-2512,6212,-2470,6264,-2423,6329,-2372,6427,-2301,6456,-2267,6472,-2230,6477,-2199,6478,-2187,6478,-1890,6484,-1854,6497,-1824,6518,-1804,6542,-1797,6566,-1804,6586,-1824,6599,-1854,6604,-1890,6604,-2187,6602,-2215,6590,-2272,6560,-2339,6502,-2402,6432,-2453,6373,-2497,6319,-2542,6288,-2575,6284,-2588,6287,-2599,6297,-2606,6425,-2606,6461,-2623,6474,-2631,6487,-2635,6587,-2635,6669,-2705,6650,-2706,6629,-2713,6605,-2724,6604,-2725,6366,-2725,6349,-2728,6336,-2731,6320,-2733,6302,-2734xm6587,-2635l6487,-2635,6499,-2635,6510,-2630,6517,-2619,6521,-2606,6521,-2605,6522,-2590,6522,-2579,6587,-2635xm6425,-2606l6297,-2606,6313,-2605,6345,-2598,6383,-2597,6423,-2605,6425,-2606xm6481,-2769l6439,-2758,6403,-2738,6392,-2732,6380,-2727,6366,-2725,6604,-2725,6578,-2741,6527,-2765,6481,-2769xe" filled="true" fillcolor="#ffd768" stroked="false">
              <v:path arrowok="t"/>
              <v:fill type="solid"/>
            </v:shape>
            <v:shape style="position:absolute;left:6155;top:-2769;width:514;height:973" coordorigin="6155,-2769" coordsize="514,973" path="m6502,-2402l6432,-2453,6373,-2497,6319,-2542,6284,-2588,6287,-2599,6297,-2606,6313,-2605,6345,-2598,6383,-2597,6423,-2605,6461,-2623,6474,-2631,6487,-2635,6522,-2590,6522,-2579,6669,-2705,6650,-2706,6629,-2713,6605,-2724,6578,-2741,6527,-2765,6481,-2769,6439,-2758,6403,-2738,6392,-2732,6380,-2727,6366,-2725,6349,-2728,6336,-2731,6320,-2733,6302,-2734,6281,-2734,6246,-2727,6190,-2692,6158,-2629,6155,-2590,6162,-2550,6212,-2470,6264,-2423,6329,-2372,6403,-2318,6427,-2301,6456,-2267,6472,-2230,6477,-2199,6478,-2186,6478,-1890,6484,-1854,6497,-1824,6518,-1804,6542,-1797,6566,-1804,6586,-1824,6599,-1854,6604,-1890,6604,-2187,6602,-2215,6590,-2272,6560,-2339,6502,-2402xe" filled="false" stroked="true" strokeweight=".25pt" strokecolor="#b7705b">
              <v:path arrowok="t"/>
              <v:stroke dashstyle="solid"/>
            </v:shape>
            <v:shape style="position:absolute;left:6405;top:-2757;width:96;height:43" type="#_x0000_t75" stroked="false">
              <v:imagedata r:id="rId640" o:title=""/>
            </v:shape>
            <v:shape style="position:absolute;left:6167;top:-2722;width:186;height:208" type="#_x0000_t75" stroked="false">
              <v:imagedata r:id="rId641" o:title=""/>
            </v:shape>
            <v:shape style="position:absolute;left:7003;top:-1632;width:82;height:118" coordorigin="7004,-1631" coordsize="82,118" path="m7057,-1631l7013,-1586,7004,-1541,7008,-1524,7018,-1514,7033,-1513,7048,-1521,7063,-1537,7076,-1558,7084,-1582,7085,-1603,7081,-1620,7071,-1630,7057,-1631xe" filled="true" fillcolor="#ffedb3" stroked="false">
              <v:path arrowok="t"/>
              <v:fill type="solid"/>
            </v:shape>
            <v:shape style="position:absolute;left:7003;top:-1632;width:82;height:118" coordorigin="7004,-1631" coordsize="82,118" path="m7071,-1630l7081,-1620,7085,-1603,7084,-1582,7076,-1558,7063,-1537,7048,-1521,7033,-1513,7018,-1514,7008,-1524,7004,-1541,7006,-1563,7013,-1586,7026,-1608,7041,-1623,7057,-1631,7071,-1630xe" filled="false" stroked="true" strokeweight=".25pt" strokecolor="#b7705b">
              <v:path arrowok="t"/>
              <v:stroke dashstyle="solid"/>
            </v:shape>
            <v:shape style="position:absolute;left:7021;top:-1610;width:47;height:76" coordorigin="7022,-1610" coordsize="47,76" path="m7062,-1610l7022,-1551,7023,-1540,7028,-1535,7035,-1535,7068,-1594,7067,-1604,7062,-1610xe" filled="true" fillcolor="#e9cd86" stroked="false">
              <v:path arrowok="t"/>
              <v:fill type="solid"/>
            </v:shape>
            <v:shape style="position:absolute;left:7021;top:-1610;width:47;height:76" coordorigin="7022,-1610" coordsize="47,76" path="m7062,-1610l7067,-1604,7068,-1594,7066,-1580,7028,-1535,7023,-1540,7022,-1551,7024,-1564,7062,-1610xe" filled="false" stroked="true" strokeweight=".25pt" strokecolor="#b7705b">
              <v:path arrowok="t"/>
              <v:stroke dashstyle="solid"/>
            </v:shape>
            <v:shape style="position:absolute;left:7101;top:-410;width:144;height:69" coordorigin="7102,-410" coordsize="144,69" path="m7173,-410l7145,-407,7123,-400,7107,-389,7102,-375,7107,-362,7123,-351,7146,-344,7173,-341,7201,-344,7224,-351,7239,-362,7245,-376,7239,-389,7224,-400,7201,-407,7173,-410xe" filled="true" fillcolor="#ffedb3" stroked="false">
              <v:path arrowok="t"/>
              <v:fill type="solid"/>
            </v:shape>
            <v:shape style="position:absolute;left:7101;top:-410;width:144;height:69" coordorigin="7102,-410" coordsize="144,69" path="m7245,-376l7239,-362,7224,-351,7201,-344,7173,-341,7146,-344,7123,-351,7107,-362,7102,-375,7107,-389,7123,-400,7145,-407,7173,-410,7201,-407,7224,-400,7239,-389,7245,-376xe" filled="false" stroked="true" strokeweight=".25pt" strokecolor="#b7705b">
              <v:path arrowok="t"/>
              <v:stroke dashstyle="solid"/>
            </v:shape>
            <v:shape style="position:absolute;left:7126;top:-393;width:94;height:35" coordorigin="7127,-393" coordsize="94,35" path="m7173,-393l7155,-391,7140,-388,7130,-382,7127,-375,7130,-369,7140,-363,7155,-360,7173,-358,7192,-360,7206,-363,7216,-369,7220,-375,7216,-382,7206,-388,7192,-391,7173,-393xe" filled="true" fillcolor="#e9cd86" stroked="false">
              <v:path arrowok="t"/>
              <v:fill type="solid"/>
            </v:shape>
            <v:shape style="position:absolute;left:7126;top:-393;width:94;height:35" coordorigin="7127,-393" coordsize="94,35" path="m7220,-375l7216,-369,7206,-363,7192,-360,7173,-358,7155,-360,7140,-363,7130,-369,7127,-375,7130,-382,7140,-388,7155,-391,7173,-393,7192,-391,7206,-388,7216,-382,7220,-375xe" filled="false" stroked="true" strokeweight=".25pt" strokecolor="#b7705b">
              <v:path arrowok="t"/>
              <v:stroke dashstyle="solid"/>
            </v:shape>
            <v:shape style="position:absolute;left:7631;top:-2576;width:71;height:126" coordorigin="7631,-2576" coordsize="71,126" path="m7677,-2576l7633,-2519,7631,-2494,7635,-2473,7644,-2458,7656,-2450,7670,-2453,7683,-2465,7694,-2483,7701,-2507,7702,-2532,7698,-2553,7690,-2569,7677,-2576xe" filled="true" fillcolor="#ffedb3" stroked="false">
              <v:path arrowok="t"/>
              <v:fill type="solid"/>
            </v:shape>
            <v:shape style="position:absolute;left:7631;top:-2576;width:71;height:126" coordorigin="7631,-2576" coordsize="71,126" path="m7677,-2576l7690,-2569,7698,-2553,7702,-2532,7701,-2507,7694,-2483,7683,-2465,7670,-2453,7656,-2450,7644,-2458,7635,-2473,7631,-2494,7633,-2519,7639,-2543,7650,-2562,7663,-2573,7677,-2576xe" filled="false" stroked="true" strokeweight=".25pt" strokecolor="#b7705b">
              <v:path arrowok="t"/>
              <v:stroke dashstyle="solid"/>
            </v:shape>
            <v:shape style="position:absolute;left:7648;top:-2555;width:37;height:82" coordorigin="7648,-2554" coordsize="37,82" path="m7674,-2554l7648,-2500,7650,-2486,7654,-2477,7660,-2472,7667,-2474,7674,-2482,7679,-2495,7683,-2510,7685,-2526,7683,-2540,7680,-2550,7674,-2554xe" filled="true" fillcolor="#e9cd86" stroked="false">
              <v:path arrowok="t"/>
              <v:fill type="solid"/>
            </v:shape>
            <v:shape style="position:absolute;left:7648;top:-2555;width:37;height:82" coordorigin="7648,-2554" coordsize="37,82" path="m7674,-2554l7680,-2550,7683,-2540,7685,-2526,7683,-2510,7679,-2495,7674,-2482,7667,-2474,7660,-2472,7654,-2477,7650,-2486,7648,-2500,7650,-2516,7654,-2532,7660,-2544,7666,-2552,7674,-2554xe" filled="false" stroked="true" strokeweight=".25pt" strokecolor="#b7705b">
              <v:path arrowok="t"/>
              <v:stroke dashstyle="solid"/>
            </v:shape>
            <v:shape style="position:absolute;left:7271;top:-1747;width:76;height:121" coordorigin="7271,-1747" coordsize="76,121" path="m7289,-1747l7278,-1738,7272,-1722,7271,-1700,7277,-1676,7287,-1653,7301,-1636,7315,-1627,7330,-1626,7341,-1635,7347,-1652,7347,-1673,7342,-1698,7332,-1720,7318,-1737,7303,-1747,7289,-1747xe" filled="true" fillcolor="#ffedb3" stroked="false">
              <v:path arrowok="t"/>
              <v:fill type="solid"/>
            </v:shape>
            <v:shape style="position:absolute;left:7271;top:-1747;width:76;height:121" coordorigin="7271,-1747" coordsize="76,121" path="m7289,-1747l7342,-1698,7347,-1673,7347,-1652,7341,-1635,7330,-1626,7315,-1627,7301,-1636,7287,-1653,7277,-1676,7271,-1700,7272,-1722,7278,-1738,7289,-1747xe" filled="false" stroked="true" strokeweight=".25pt" strokecolor="#b7705b">
              <v:path arrowok="t"/>
              <v:stroke dashstyle="solid"/>
            </v:shape>
            <v:shape style="position:absolute;left:7288;top:-1727;width:42;height:79" coordorigin="7289,-1726" coordsize="42,79" path="m7296,-1726l7291,-1721,7289,-1711,7289,-1697,7323,-1647,7328,-1653,7330,-1663,7329,-1676,7296,-1726xe" filled="true" fillcolor="#e9cd86" stroked="false">
              <v:path arrowok="t"/>
              <v:fill type="solid"/>
            </v:shape>
            <v:shape style="position:absolute;left:7288;top:-1727;width:42;height:79" coordorigin="7289,-1726" coordsize="42,79" path="m7296,-1726l7330,-1663,7328,-1653,7323,-1647,7315,-1648,7289,-1711,7291,-1721,7296,-1726xe" filled="false" stroked="true" strokeweight=".25pt" strokecolor="#b7705b">
              <v:path arrowok="t"/>
              <v:stroke dashstyle="solid"/>
            </v:shape>
            <v:shape style="position:absolute;left:6525;top:-2691;width:320;height:319" type="#_x0000_t75" stroked="false">
              <v:imagedata r:id="rId642" o:title=""/>
            </v:shape>
            <v:shape style="position:absolute;left:6567;top:-2644;width:235;height:248" coordorigin="6568,-2644" coordsize="235,248" path="m6761,-2434l6634,-2434,6642,-2425,6645,-2420,6655,-2407,6667,-2399,6680,-2396,6693,-2397,6708,-2400,6720,-2410,6736,-2428,6744,-2428,6756,-2431,6761,-2434xm6744,-2428l6736,-2428,6743,-2428,6744,-2428xm6646,-2644l6624,-2641,6605,-2634,6594,-2624,6588,-2613,6586,-2600,6586,-2596,6586,-2584,6589,-2567,6592,-2552,6594,-2542,6588,-2537,6574,-2518,6568,-2495,6569,-2471,6580,-2451,6592,-2441,6604,-2435,6617,-2432,6630,-2433,6634,-2434,6761,-2434,6767,-2438,6769,-2441,6682,-2441,6668,-2445,6679,-2452,6688,-2461,6692,-2468,6629,-2468,6613,-2471,6609,-2476,6602,-2484,6603,-2502,6612,-2511,6624,-2527,6629,-2545,6631,-2563,6629,-2578,6625,-2602,6629,-2605,6631,-2606,6632,-2606,6641,-2608,6792,-2608,6782,-2620,6771,-2626,6700,-2626,6690,-2632,6669,-2641,6646,-2644xm6800,-2592l6761,-2592,6764,-2591,6767,-2589,6769,-2586,6771,-2576,6769,-2566,6763,-2557,6755,-2550,6744,-2538,6740,-2525,6740,-2511,6742,-2499,6743,-2491,6743,-2487,6739,-2471,6739,-2471,6734,-2464,6724,-2455,6712,-2448,6697,-2443,6682,-2441,6769,-2441,6774,-2449,6776,-2464,6776,-2477,6777,-2495,6776,-2502,6776,-2506,6773,-2520,6776,-2522,6794,-2542,6803,-2564,6802,-2586,6800,-2592xm6792,-2608l6641,-2608,6652,-2608,6662,-2605,6672,-2600,6681,-2596,6692,-2591,6704,-2588,6717,-2588,6696,-2565,6679,-2537,6667,-2509,6662,-2485,6661,-2481,6656,-2477,6646,-2473,6629,-2468,6692,-2468,6694,-2470,6697,-2481,6703,-2505,6715,-2530,6730,-2552,6744,-2563,6745,-2564,6747,-2564,6748,-2564,6750,-2564,6752,-2565,6760,-2568,6765,-2575,6765,-2586,6763,-2590,6761,-2592,6800,-2592,6795,-2604,6792,-2608xm6746,-2631l6721,-2628,6715,-2627,6700,-2626,6771,-2626,6766,-2629,6746,-2631xe" filled="true" fillcolor="#d04e59" stroked="false">
              <v:path arrowok="t"/>
              <v:fill type="solid"/>
            </v:shape>
            <v:shape style="position:absolute;left:-45;top:11618;width:235;height:248" coordorigin="-44,11618" coordsize="235,248" path="m6612,-2511l6624,-2527,6629,-2545,6631,-2563,6629,-2578,6625,-2602,6625,-2602,6628,-2604,6629,-2605,6631,-2606,6632,-2606,6641,-2608,6652,-2608,6662,-2605,6672,-2600,6681,-2596,6692,-2591,6704,-2588,6717,-2588,6696,-2565,6679,-2537,6667,-2509,6662,-2485,6661,-2481,6656,-2477,6648,-2474,6647,-2474,6646,-2473,6645,-2473,6629,-2468,6613,-2471,6609,-2476,6602,-2484,6603,-2502,6612,-2511xm6668,-2445l6679,-2452,6688,-2461,6694,-2470,6697,-2481,6703,-2505,6715,-2530,6730,-2552,6744,-2563,6745,-2564,6747,-2564,6748,-2564,6750,-2564,6752,-2565,6753,-2565,6760,-2568,6765,-2575,6765,-2582,6765,-2586,6763,-2590,6761,-2592,6764,-2591,6767,-2589,6769,-2586,6771,-2576,6769,-2566,6763,-2557,6755,-2550,6744,-2538,6740,-2525,6740,-2511,6742,-2499,6743,-2491,6743,-2487,6741,-2480,6739,-2471,6734,-2464,6724,-2455,6712,-2448,6697,-2443,6682,-2441,6668,-2445xm6795,-2604l6782,-2620,6766,-2629,6746,-2631,6721,-2628,6715,-2627,6700,-2626,6690,-2632,6669,-2641,6646,-2644,6624,-2641,6605,-2634,6594,-2624,6588,-2613,6586,-2599,6586,-2584,6589,-2567,6592,-2552,6594,-2542,6588,-2537,6574,-2518,6568,-2495,6569,-2471,6580,-2451,6592,-2441,6604,-2435,6617,-2432,6630,-2433,6634,-2434,6642,-2425,6645,-2420,6655,-2407,6667,-2399,6680,-2396,6693,-2397,6708,-2400,6720,-2410,6726,-2418,6730,-2422,6736,-2428,6743,-2428,6756,-2431,6767,-2438,6774,-2449,6776,-2465,6775,-2476,6776,-2487,6777,-2497,6776,-2506,6773,-2520,6774,-2521,6776,-2522,6794,-2542,6803,-2564,6802,-2586,6795,-2604xe" filled="false" stroked="true" strokeweight=".25pt" strokecolor="#231f20">
              <v:path arrowok="t"/>
              <v:stroke dashstyle="solid"/>
            </v:shape>
            <v:shape style="position:absolute;left:6739;top:-2468;width:37;height:39" type="#_x0000_t75" stroked="false">
              <v:imagedata r:id="rId643" o:title=""/>
            </v:shape>
            <v:shape style="position:absolute;left:6557;top:-2667;width:364;height:259" type="#_x0000_t75" stroked="false">
              <v:imagedata r:id="rId644" o:title=""/>
            </v:shape>
            <v:shape style="position:absolute;left:6634;top:-2460;width:44;height:49" type="#_x0000_t75" stroked="false">
              <v:imagedata r:id="rId645" o:title=""/>
            </v:shape>
            <v:shape style="position:absolute;left:6661;top:-2620;width:32;height:49" type="#_x0000_t75" stroked="false">
              <v:imagedata r:id="rId646" o:title=""/>
            </v:shape>
            <v:shape style="position:absolute;left:6552;top:-2603;width:195;height:175" coordorigin="6552,-2602" coordsize="195,175" path="m6659,-2474l6613,-2474,6619,-2462,6632,-2450,6636,-2447,6640,-2444,6652,-2436,6667,-2430,6685,-2428,6707,-2435,6728,-2451,6738,-2464,6679,-2464,6671,-2467,6659,-2474xm6714,-2536l6707,-2534,6702,-2531,6699,-2525,6702,-2515,6706,-2503,6708,-2492,6708,-2487,6705,-2477,6689,-2469,6679,-2464,6738,-2464,6741,-2468,6746,-2485,6747,-2501,6744,-2513,6739,-2523,6732,-2530,6722,-2534,6714,-2536xm6591,-2543l6577,-2541,6565,-2536,6557,-2527,6552,-2514,6552,-2501,6556,-2488,6563,-2478,6572,-2472,6581,-2469,6592,-2469,6603,-2471,6613,-2474,6659,-2474,6657,-2475,6651,-2480,6642,-2489,6630,-2498,6629,-2499,6588,-2499,6587,-2509,6649,-2509,6662,-2513,6672,-2516,6680,-2521,6694,-2537,6695,-2540,6624,-2540,6605,-2542,6591,-2543xm6614,-2504l6597,-2502,6588,-2499,6629,-2499,6614,-2504xm6649,-2509l6587,-2509,6596,-2507,6615,-2506,6633,-2506,6649,-2509,6649,-2509xm6711,-2602l6693,-2599,6680,-2591,6673,-2579,6668,-2568,6666,-2562,6663,-2556,6660,-2552,6652,-2545,6640,-2541,6624,-2540,6695,-2540,6699,-2548,6703,-2566,6701,-2568,6704,-2568,6711,-2602xm6704,-2568l6701,-2568,6704,-2568,6704,-2568xe" filled="true" fillcolor="#f15b66" stroked="false">
              <v:path arrowok="t"/>
              <v:fill type="solid"/>
            </v:shape>
            <v:shape style="position:absolute;left:6552;top:-2603;width:195;height:175" coordorigin="6552,-2602" coordsize="195,175" path="m6711,-2602l6666,-2562,6663,-2556,6660,-2552,6652,-2545,6640,-2541,6624,-2540,6605,-2542,6591,-2543,6552,-2501,6556,-2488,6563,-2478,6572,-2472,6581,-2469,6592,-2469,6603,-2471,6613,-2474,6619,-2462,6685,-2428,6707,-2435,6728,-2451,6741,-2468,6746,-2485,6747,-2501,6744,-2513,6739,-2523,6732,-2530,6722,-2534,6714,-2536,6707,-2534,6702,-2531,6699,-2525,6702,-2515,6706,-2503,6708,-2492,6708,-2487,6705,-2477,6691,-2470,6679,-2464,6671,-2467,6658,-2474,6657,-2475,6654,-2478,6651,-2480,6642,-2489,6630,-2498,6614,-2504,6597,-2502,6588,-2499,6587,-2509,6596,-2507,6615,-2506,6633,-2506,6694,-2537,6703,-2566,6701,-2568,6704,-2568e" filled="false" stroked="true" strokeweight=".25pt" strokecolor="#231f20">
              <v:path arrowok="t"/>
              <v:stroke dashstyle="solid"/>
            </v:shape>
            <v:shape style="position:absolute;left:6712;top:-2502;width:9;height:15" coordorigin="6713,-2502" coordsize="9,15" path="m6714,-2494l6713,-2493,6713,-2488,6714,-2494xm6715,-2496l6714,-2496,6714,-2494,6715,-2496xm6721,-2502l6715,-2497,6715,-2496,6719,-2499,6720,-2499,6722,-2500,6721,-2502xe" filled="true" fillcolor="#f15b66" stroked="false">
              <v:path arrowok="t"/>
              <v:fill type="solid"/>
            </v:shape>
            <v:shape style="position:absolute;left:6712;top:-2502;width:9;height:15" coordorigin="6713,-2502" coordsize="9,15" path="m6719,-2501l6721,-2502,6722,-2500,6720,-2499,6719,-2499,6714,-2496,6713,-2488,6713,-2493,6715,-2497,6719,-2501xe" filled="false" stroked="true" strokeweight=".25pt" strokecolor="#231f20">
              <v:path arrowok="t"/>
              <v:stroke dashstyle="solid"/>
            </v:shape>
            <v:shape style="position:absolute;left:-19;top:11663;width:93;height:88" coordorigin="-19,11663" coordsize="93,88" path="m6667,-2482l6663,-2487,6656,-2492,6652,-2494,6649,-2495,6650,-2497,6652,-2495,6654,-2494,6657,-2491,6661,-2488m6739,-2570l6739,-2563,6741,-2549,6727,-2533e" filled="false" stroked="true" strokeweight=".25pt" strokecolor="#231f20">
              <v:path arrowok="t"/>
              <v:stroke dashstyle="solid"/>
            </v:shape>
            <v:shape style="position:absolute;left:6797;top:-2553;width:20;height:51" type="#_x0000_t75" stroked="false">
              <v:imagedata r:id="rId647" o:title=""/>
            </v:shape>
            <v:shape style="position:absolute;left:6656;top:-2561;width:43;height:48" type="#_x0000_t75" stroked="false">
              <v:imagedata r:id="rId648" o:title=""/>
            </v:shape>
            <v:shape style="position:absolute;left:6724;top:-2620;width:51;height:167" type="#_x0000_t75" stroked="false">
              <v:imagedata r:id="rId649" o:title=""/>
            </v:shape>
            <v:shape style="position:absolute;left:6509;top:-2708;width:353;height:353" coordorigin="6509,-2708" coordsize="353,353" path="m6694,-2708l6640,-2704,6595,-2686,6559,-2660,6533,-2624,6514,-2577,6509,-2523,6523,-2464,6550,-2418,6588,-2384,6634,-2362,6686,-2355,6695,-2355,6702,-2362,6702,-2380,6695,-2387,6686,-2387,6644,-2393,6606,-2411,6575,-2439,6553,-2476,6542,-2532,6553,-2586,6584,-2632,6631,-2664,6687,-2674,6786,-2674,6782,-2678,6752,-2693,6694,-2708xm6695,-2387l6686,-2387,6695,-2387,6695,-2387xm6786,-2674l6687,-2674,6741,-2663,6787,-2633,6819,-2586,6823,-2572,6827,-2558,6829,-2544,6829,-2532,6829,-2521,6837,-2513,6854,-2513,6862,-2520,6862,-2532,6861,-2547,6858,-2564,6854,-2581,6848,-2598,6831,-2629,6809,-2656,6786,-2674xe" filled="true" fillcolor="#ffe293" stroked="false">
              <v:path arrowok="t"/>
              <v:fill type="solid"/>
            </v:shape>
            <v:shape style="position:absolute;left:6509;top:-2708;width:353;height:353" coordorigin="6509,-2708" coordsize="353,353" path="m6559,-2660l6533,-2624,6514,-2577,6509,-2523,6523,-2464,6550,-2418,6588,-2384,6634,-2362,6686,-2355,6695,-2355,6702,-2362,6702,-2371,6702,-2380,6695,-2387,6686,-2387,6644,-2393,6606,-2411,6575,-2439,6553,-2476,6542,-2532,6553,-2586,6584,-2632,6631,-2664,6687,-2674,6741,-2663,6819,-2586,6830,-2529,6829,-2521,6837,-2513,6845,-2513,6854,-2513,6862,-2520,6862,-2529,6861,-2547,6831,-2629,6782,-2678,6694,-2708,6640,-2704,6595,-2686,6559,-2660xe" filled="false" stroked="true" strokeweight=".25pt" strokecolor="#b7705b">
              <v:path arrowok="t"/>
              <v:stroke dashstyle="solid"/>
            </v:shape>
            <v:shape style="position:absolute;left:6677;top:-2532;width:104;height:248" coordorigin="6678,-2531" coordsize="104,248" path="m6702,-2531l6687,-2518,6679,-2501,6678,-2479,6683,-2455,6718,-2411,6727,-2403,6736,-2394,6742,-2382,6747,-2364,6745,-2350,6738,-2336,6723,-2320,6711,-2308,6736,-2283,6748,-2295,6768,-2319,6780,-2343,6782,-2369,6774,-2396,6765,-2412,6753,-2426,6742,-2436,6734,-2443,6722,-2453,6714,-2474,6712,-2481,6713,-2488,6702,-2531xe" filled="true" fillcolor="#f15b66" stroked="false">
              <v:path arrowok="t"/>
              <v:fill type="solid"/>
            </v:shape>
            <v:shape style="position:absolute;left:6677;top:-2532;width:104;height:248" coordorigin="6678,-2531" coordsize="104,248" path="m6702,-2531l6687,-2518,6679,-2501,6678,-2479,6683,-2455,6718,-2411,6727,-2403,6736,-2394,6742,-2382,6747,-2364,6745,-2350,6738,-2336,6723,-2320,6711,-2308,6736,-2283,6748,-2295,6768,-2319,6780,-2343,6782,-2369,6774,-2396,6765,-2412,6753,-2426,6742,-2436,6734,-2443,6727,-2449,6722,-2453,6716,-2467,6714,-2474,6712,-2481,6713,-2488e" filled="false" stroked="true" strokeweight=".25pt" strokecolor="#231f20">
              <v:path arrowok="t"/>
              <v:stroke dashstyle="solid"/>
            </v:shape>
            <v:shape style="position:absolute;left:6742;top:-2420;width:37;height:122" type="#_x0000_t75" stroked="false">
              <v:imagedata r:id="rId650" o:title=""/>
            </v:shape>
            <v:shape style="position:absolute;left:7737;top:-2824;width:3025;height:2736" type="#_x0000_t75" stroked="false">
              <v:imagedata r:id="rId651" o:title=""/>
            </v:shape>
            <v:shape style="position:absolute;left:7955;top:-2825;width:1034;height:365" type="#_x0000_t202" filled="false" stroked="false">
              <v:textbox inset="0,0,0,0">
                <w:txbxContent>
                  <w:p>
                    <w:pPr>
                      <w:spacing w:line="235" w:lineRule="auto" w:before="2"/>
                      <w:ind w:left="0" w:right="0" w:firstLine="160"/>
                      <w:jc w:val="left"/>
                      <w:rPr>
                        <w:rFonts w:ascii="Helvetica"/>
                        <w:sz w:val="16"/>
                      </w:rPr>
                    </w:pPr>
                    <w:r>
                      <w:rPr>
                        <w:rFonts w:ascii="Helvetica"/>
                        <w:color w:val="231F20"/>
                        <w:sz w:val="16"/>
                      </w:rPr>
                      <w:t>Medullary collecting duct</w:t>
                    </w:r>
                  </w:p>
                </w:txbxContent>
              </v:textbox>
              <w10:wrap type="none"/>
            </v:shape>
            <v:shape style="position:absolute;left:10207;top:-1880;width:376;height:191" type="#_x0000_t202" filled="false" stroked="false">
              <v:textbox inset="0,0,0,0">
                <w:txbxContent>
                  <w:p>
                    <w:pPr>
                      <w:spacing w:before="4"/>
                      <w:ind w:left="0" w:right="0" w:firstLine="0"/>
                      <w:jc w:val="left"/>
                      <w:rPr>
                        <w:rFonts w:ascii="Helvetica"/>
                        <w:b/>
                        <w:sz w:val="16"/>
                      </w:rPr>
                    </w:pPr>
                    <w:r>
                      <w:rPr>
                        <w:rFonts w:ascii="Helvetica"/>
                        <w:b/>
                        <w:color w:val="231F20"/>
                        <w:sz w:val="16"/>
                      </w:rPr>
                      <w:t>Urea</w:t>
                    </w:r>
                  </w:p>
                </w:txbxContent>
              </v:textbox>
              <w10:wrap type="none"/>
            </v:shape>
            <v:shape style="position:absolute;left:8963;top:-1169;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w10:wrap type="none"/>
          </v:group>
        </w:pict>
      </w:r>
      <w:r>
        <w:rPr/>
        <w:pict>
          <v:shape style="position:absolute;margin-left:517.910828pt;margin-top:-35.335590pt;width:3.45pt;height:6pt;mso-position-horizontal-relative:page;mso-position-vertical-relative:paragraph;z-index:252204032;rotation:17" type="#_x0000_t136" fillcolor="#231f20" stroked="f">
            <o:extrusion v:ext="view" autorotationcenter="t"/>
            <v:textpath style="font-family:&quot;Helvetica&quot;;font-size:6pt;v-text-kern:t;mso-text-shadow:auto;font-weight:bold" string="–"/>
            <w10:wrap type="none"/>
          </v:shape>
        </w:pict>
      </w:r>
      <w:r>
        <w:rPr/>
        <w:pict>
          <v:shape style="position:absolute;margin-left:496.75177pt;margin-top:-39.214512pt;width:17.9pt;height:9.7pt;mso-position-horizontal-relative:page;mso-position-vertical-relative:paragraph;z-index:252205056;rotation:17" type="#_x0000_t136" fillcolor="#231f20" stroked="f">
            <o:extrusion v:ext="view" autorotationcenter="t"/>
            <v:textpath style="font-family:&quot;Helvetica&quot;;font-size:8pt;v-text-kern:t;mso-text-shadow:auto;font-weight:bold" string="HCO"/>
            <w10:wrap type="none"/>
          </v:shape>
        </w:pict>
      </w:r>
      <w:r>
        <w:rPr/>
        <w:pict>
          <v:shape style="position:absolute;margin-left:513.372375pt;margin-top:-32.638454pt;width:3.45pt;height:7.2pt;mso-position-horizontal-relative:page;mso-position-vertical-relative:paragraph;z-index:252206080;rotation:17" type="#_x0000_t136" fillcolor="#231f20" stroked="f">
            <o:extrusion v:ext="view" autorotationcenter="t"/>
            <v:textpath style="font-family:&quot;Helvetica&quot;;font-size:6pt;v-text-kern:t;mso-text-shadow:auto;font-weight:bold" string="3"/>
            <w10:wrap type="none"/>
          </v:shape>
        </w:pict>
      </w:r>
      <w:bookmarkStart w:name="_bookmark53" w:id="54"/>
      <w:bookmarkEnd w:id="54"/>
      <w:r>
        <w:rPr/>
      </w:r>
      <w:r>
        <w:rPr>
          <w:rFonts w:ascii="Trebuchet MS" w:hAnsi="Trebuchet MS"/>
          <w:b/>
          <w:color w:val="231F20"/>
          <w:sz w:val="16"/>
        </w:rPr>
        <w:t>Figure</w:t>
      </w:r>
      <w:r>
        <w:rPr>
          <w:rFonts w:ascii="Trebuchet MS" w:hAnsi="Trebuchet MS"/>
          <w:b/>
          <w:color w:val="231F20"/>
          <w:spacing w:val="-25"/>
          <w:sz w:val="16"/>
        </w:rPr>
        <w:t> </w:t>
      </w:r>
      <w:r>
        <w:rPr>
          <w:rFonts w:ascii="Trebuchet MS" w:hAnsi="Trebuchet MS"/>
          <w:b/>
          <w:color w:val="231F20"/>
          <w:sz w:val="16"/>
        </w:rPr>
        <w:t>28­14.</w:t>
      </w:r>
      <w:r>
        <w:rPr>
          <w:rFonts w:ascii="Trebuchet MS" w:hAnsi="Trebuchet MS"/>
          <w:b/>
          <w:color w:val="231F20"/>
          <w:spacing w:val="-6"/>
          <w:sz w:val="16"/>
        </w:rPr>
        <w:t> </w:t>
      </w:r>
      <w:r>
        <w:rPr>
          <w:rFonts w:ascii="Arial" w:hAnsi="Arial"/>
          <w:color w:val="231F20"/>
          <w:sz w:val="16"/>
        </w:rPr>
        <w:t>Cellular</w:t>
      </w:r>
      <w:r>
        <w:rPr>
          <w:rFonts w:ascii="Arial" w:hAnsi="Arial"/>
          <w:color w:val="231F20"/>
          <w:spacing w:val="-21"/>
          <w:sz w:val="16"/>
        </w:rPr>
        <w:t> </w:t>
      </w:r>
      <w:r>
        <w:rPr>
          <w:rFonts w:ascii="Arial" w:hAnsi="Arial"/>
          <w:color w:val="231F20"/>
          <w:sz w:val="16"/>
        </w:rPr>
        <w:t>ultrastructure</w:t>
      </w:r>
      <w:r>
        <w:rPr>
          <w:rFonts w:ascii="Arial" w:hAnsi="Arial"/>
          <w:color w:val="231F20"/>
          <w:spacing w:val="-20"/>
          <w:sz w:val="16"/>
        </w:rPr>
        <w:t> </w:t>
      </w:r>
      <w:r>
        <w:rPr>
          <w:rFonts w:ascii="Arial" w:hAnsi="Arial"/>
          <w:color w:val="231F20"/>
          <w:sz w:val="16"/>
        </w:rPr>
        <w:t>and</w:t>
      </w:r>
      <w:r>
        <w:rPr>
          <w:rFonts w:ascii="Arial" w:hAnsi="Arial"/>
          <w:color w:val="231F20"/>
          <w:spacing w:val="-21"/>
          <w:sz w:val="16"/>
        </w:rPr>
        <w:t> </w:t>
      </w:r>
      <w:r>
        <w:rPr>
          <w:rFonts w:ascii="Arial" w:hAnsi="Arial"/>
          <w:color w:val="231F20"/>
          <w:sz w:val="16"/>
        </w:rPr>
        <w:t>transport</w:t>
      </w:r>
      <w:r>
        <w:rPr>
          <w:rFonts w:ascii="Arial" w:hAnsi="Arial"/>
          <w:color w:val="231F20"/>
          <w:spacing w:val="-20"/>
          <w:sz w:val="16"/>
        </w:rPr>
        <w:t> </w:t>
      </w:r>
      <w:r>
        <w:rPr>
          <w:rFonts w:ascii="Arial" w:hAnsi="Arial"/>
          <w:color w:val="231F20"/>
          <w:sz w:val="16"/>
        </w:rPr>
        <w:t>characteristics</w:t>
      </w:r>
      <w:r>
        <w:rPr>
          <w:rFonts w:ascii="Arial" w:hAnsi="Arial"/>
          <w:color w:val="231F20"/>
          <w:spacing w:val="-21"/>
          <w:sz w:val="16"/>
        </w:rPr>
        <w:t> </w:t>
      </w:r>
      <w:r>
        <w:rPr>
          <w:rFonts w:ascii="Arial" w:hAnsi="Arial"/>
          <w:color w:val="231F20"/>
          <w:spacing w:val="-6"/>
          <w:sz w:val="16"/>
        </w:rPr>
        <w:t>of </w:t>
      </w:r>
      <w:r>
        <w:rPr>
          <w:rFonts w:ascii="Arial" w:hAnsi="Arial"/>
          <w:color w:val="231F20"/>
          <w:sz w:val="16"/>
        </w:rPr>
        <w:t>the</w:t>
      </w:r>
      <w:r>
        <w:rPr>
          <w:rFonts w:ascii="Arial" w:hAnsi="Arial"/>
          <w:color w:val="231F20"/>
          <w:spacing w:val="-21"/>
          <w:sz w:val="16"/>
        </w:rPr>
        <w:t> </w:t>
      </w:r>
      <w:r>
        <w:rPr>
          <w:rFonts w:ascii="Arial" w:hAnsi="Arial"/>
          <w:color w:val="231F20"/>
          <w:sz w:val="16"/>
        </w:rPr>
        <w:t>medullary</w:t>
      </w:r>
      <w:r>
        <w:rPr>
          <w:rFonts w:ascii="Arial" w:hAnsi="Arial"/>
          <w:color w:val="231F20"/>
          <w:spacing w:val="-21"/>
          <w:sz w:val="16"/>
        </w:rPr>
        <w:t> </w:t>
      </w:r>
      <w:r>
        <w:rPr>
          <w:rFonts w:ascii="Arial" w:hAnsi="Arial"/>
          <w:color w:val="231F20"/>
          <w:sz w:val="16"/>
        </w:rPr>
        <w:t>collecting</w:t>
      </w:r>
      <w:r>
        <w:rPr>
          <w:rFonts w:ascii="Arial" w:hAnsi="Arial"/>
          <w:color w:val="231F20"/>
          <w:spacing w:val="-20"/>
          <w:sz w:val="16"/>
        </w:rPr>
        <w:t> </w:t>
      </w:r>
      <w:r>
        <w:rPr>
          <w:rFonts w:ascii="Arial" w:hAnsi="Arial"/>
          <w:color w:val="231F20"/>
          <w:sz w:val="16"/>
        </w:rPr>
        <w:t>duct.</w:t>
      </w:r>
      <w:r>
        <w:rPr>
          <w:rFonts w:ascii="Arial" w:hAnsi="Arial"/>
          <w:color w:val="231F20"/>
          <w:spacing w:val="-21"/>
          <w:sz w:val="16"/>
        </w:rPr>
        <w:t> </w:t>
      </w:r>
      <w:r>
        <w:rPr>
          <w:rFonts w:ascii="Arial" w:hAnsi="Arial"/>
          <w:color w:val="231F20"/>
          <w:sz w:val="16"/>
        </w:rPr>
        <w:t>The</w:t>
      </w:r>
      <w:r>
        <w:rPr>
          <w:rFonts w:ascii="Arial" w:hAnsi="Arial"/>
          <w:color w:val="231F20"/>
          <w:spacing w:val="-21"/>
          <w:sz w:val="16"/>
        </w:rPr>
        <w:t> </w:t>
      </w:r>
      <w:r>
        <w:rPr>
          <w:rFonts w:ascii="Arial" w:hAnsi="Arial"/>
          <w:color w:val="231F20"/>
          <w:sz w:val="16"/>
        </w:rPr>
        <w:t>medullary</w:t>
      </w:r>
      <w:r>
        <w:rPr>
          <w:rFonts w:ascii="Arial" w:hAnsi="Arial"/>
          <w:color w:val="231F20"/>
          <w:spacing w:val="-20"/>
          <w:sz w:val="16"/>
        </w:rPr>
        <w:t> </w:t>
      </w:r>
      <w:r>
        <w:rPr>
          <w:rFonts w:ascii="Arial" w:hAnsi="Arial"/>
          <w:color w:val="231F20"/>
          <w:sz w:val="16"/>
        </w:rPr>
        <w:t>collecting</w:t>
      </w:r>
      <w:r>
        <w:rPr>
          <w:rFonts w:ascii="Arial" w:hAnsi="Arial"/>
          <w:color w:val="231F20"/>
          <w:spacing w:val="-21"/>
          <w:sz w:val="16"/>
        </w:rPr>
        <w:t> </w:t>
      </w:r>
      <w:r>
        <w:rPr>
          <w:rFonts w:ascii="Arial" w:hAnsi="Arial"/>
          <w:color w:val="231F20"/>
          <w:sz w:val="16"/>
        </w:rPr>
        <w:t>ducts</w:t>
      </w:r>
      <w:r>
        <w:rPr>
          <w:rFonts w:ascii="Arial" w:hAnsi="Arial"/>
          <w:color w:val="231F20"/>
          <w:spacing w:val="-21"/>
          <w:sz w:val="16"/>
        </w:rPr>
        <w:t> </w:t>
      </w:r>
      <w:r>
        <w:rPr>
          <w:rFonts w:ascii="Arial" w:hAnsi="Arial"/>
          <w:color w:val="231F20"/>
          <w:sz w:val="16"/>
        </w:rPr>
        <w:t>actively reabsorb sodium and secrete hydrogen ions and are permeable</w:t>
      </w:r>
      <w:r>
        <w:rPr>
          <w:rFonts w:ascii="Arial" w:hAnsi="Arial"/>
          <w:color w:val="231F20"/>
          <w:spacing w:val="-13"/>
          <w:sz w:val="16"/>
        </w:rPr>
        <w:t> </w:t>
      </w:r>
      <w:r>
        <w:rPr>
          <w:rFonts w:ascii="Arial" w:hAnsi="Arial"/>
          <w:color w:val="231F20"/>
          <w:sz w:val="16"/>
        </w:rPr>
        <w:t>to urea,</w:t>
      </w:r>
      <w:r>
        <w:rPr>
          <w:rFonts w:ascii="Arial" w:hAnsi="Arial"/>
          <w:color w:val="231F20"/>
          <w:spacing w:val="-12"/>
          <w:sz w:val="16"/>
        </w:rPr>
        <w:t> </w:t>
      </w:r>
      <w:r>
        <w:rPr>
          <w:rFonts w:ascii="Arial" w:hAnsi="Arial"/>
          <w:color w:val="231F20"/>
          <w:sz w:val="16"/>
        </w:rPr>
        <w:t>which</w:t>
      </w:r>
      <w:r>
        <w:rPr>
          <w:rFonts w:ascii="Arial" w:hAnsi="Arial"/>
          <w:color w:val="231F20"/>
          <w:spacing w:val="-12"/>
          <w:sz w:val="16"/>
        </w:rPr>
        <w:t> </w:t>
      </w:r>
      <w:r>
        <w:rPr>
          <w:rFonts w:ascii="Arial" w:hAnsi="Arial"/>
          <w:color w:val="231F20"/>
          <w:sz w:val="16"/>
        </w:rPr>
        <w:t>is</w:t>
      </w:r>
      <w:r>
        <w:rPr>
          <w:rFonts w:ascii="Arial" w:hAnsi="Arial"/>
          <w:color w:val="231F20"/>
          <w:spacing w:val="-11"/>
          <w:sz w:val="16"/>
        </w:rPr>
        <w:t> </w:t>
      </w:r>
      <w:r>
        <w:rPr>
          <w:rFonts w:ascii="Arial" w:hAnsi="Arial"/>
          <w:color w:val="231F20"/>
          <w:sz w:val="16"/>
        </w:rPr>
        <w:t>reabsorbed</w:t>
      </w:r>
      <w:r>
        <w:rPr>
          <w:rFonts w:ascii="Arial" w:hAnsi="Arial"/>
          <w:color w:val="231F20"/>
          <w:spacing w:val="-12"/>
          <w:sz w:val="16"/>
        </w:rPr>
        <w:t> </w:t>
      </w:r>
      <w:r>
        <w:rPr>
          <w:rFonts w:ascii="Arial" w:hAnsi="Arial"/>
          <w:color w:val="231F20"/>
          <w:sz w:val="16"/>
        </w:rPr>
        <w:t>in</w:t>
      </w:r>
      <w:r>
        <w:rPr>
          <w:rFonts w:ascii="Arial" w:hAnsi="Arial"/>
          <w:color w:val="231F20"/>
          <w:spacing w:val="-11"/>
          <w:sz w:val="16"/>
        </w:rPr>
        <w:t> </w:t>
      </w:r>
      <w:r>
        <w:rPr>
          <w:rFonts w:ascii="Arial" w:hAnsi="Arial"/>
          <w:color w:val="231F20"/>
          <w:sz w:val="16"/>
        </w:rPr>
        <w:t>these</w:t>
      </w:r>
      <w:r>
        <w:rPr>
          <w:rFonts w:ascii="Arial" w:hAnsi="Arial"/>
          <w:color w:val="231F20"/>
          <w:spacing w:val="-12"/>
          <w:sz w:val="16"/>
        </w:rPr>
        <w:t> </w:t>
      </w:r>
      <w:r>
        <w:rPr>
          <w:rFonts w:ascii="Arial" w:hAnsi="Arial"/>
          <w:color w:val="231F20"/>
          <w:sz w:val="16"/>
        </w:rPr>
        <w:t>tubular</w:t>
      </w:r>
      <w:r>
        <w:rPr>
          <w:rFonts w:ascii="Arial" w:hAnsi="Arial"/>
          <w:color w:val="231F20"/>
          <w:spacing w:val="-12"/>
          <w:sz w:val="16"/>
        </w:rPr>
        <w:t> </w:t>
      </w:r>
      <w:r>
        <w:rPr>
          <w:rFonts w:ascii="Arial" w:hAnsi="Arial"/>
          <w:color w:val="231F20"/>
          <w:sz w:val="16"/>
        </w:rPr>
        <w:t>segments.</w:t>
      </w:r>
      <w:r>
        <w:rPr>
          <w:rFonts w:ascii="Arial" w:hAnsi="Arial"/>
          <w:color w:val="231F20"/>
          <w:spacing w:val="-11"/>
          <w:sz w:val="16"/>
        </w:rPr>
        <w:t> </w:t>
      </w:r>
      <w:r>
        <w:rPr>
          <w:rFonts w:ascii="Arial" w:hAnsi="Arial"/>
          <w:color w:val="231F20"/>
          <w:sz w:val="16"/>
        </w:rPr>
        <w:t>The</w:t>
      </w:r>
      <w:r>
        <w:rPr>
          <w:rFonts w:ascii="Arial" w:hAnsi="Arial"/>
          <w:color w:val="231F20"/>
          <w:spacing w:val="-12"/>
          <w:sz w:val="16"/>
        </w:rPr>
        <w:t> </w:t>
      </w:r>
      <w:r>
        <w:rPr>
          <w:rFonts w:ascii="Arial" w:hAnsi="Arial"/>
          <w:color w:val="231F20"/>
          <w:spacing w:val="-3"/>
          <w:sz w:val="16"/>
        </w:rPr>
        <w:t>reabsorp- </w:t>
      </w:r>
      <w:r>
        <w:rPr>
          <w:rFonts w:ascii="Arial" w:hAnsi="Arial"/>
          <w:color w:val="231F20"/>
          <w:sz w:val="16"/>
        </w:rPr>
        <w:t>tion of water in medullary collecting ducts is controlled by the </w:t>
      </w:r>
      <w:r>
        <w:rPr>
          <w:rFonts w:ascii="Arial" w:hAnsi="Arial"/>
          <w:color w:val="231F20"/>
          <w:spacing w:val="-5"/>
          <w:sz w:val="16"/>
        </w:rPr>
        <w:t>con- </w:t>
      </w:r>
      <w:r>
        <w:rPr>
          <w:rFonts w:ascii="Arial" w:hAnsi="Arial"/>
          <w:color w:val="231F20"/>
          <w:sz w:val="16"/>
        </w:rPr>
        <w:t>centration of antidiuretic</w:t>
      </w:r>
      <w:r>
        <w:rPr>
          <w:rFonts w:ascii="Arial" w:hAnsi="Arial"/>
          <w:color w:val="231F20"/>
          <w:spacing w:val="22"/>
          <w:sz w:val="16"/>
        </w:rPr>
        <w:t> </w:t>
      </w:r>
      <w:r>
        <w:rPr>
          <w:rFonts w:ascii="Arial" w:hAnsi="Arial"/>
          <w:color w:val="231F20"/>
          <w:sz w:val="16"/>
        </w:rPr>
        <w:t>hormone.</w:t>
      </w:r>
    </w:p>
    <w:p>
      <w:pPr>
        <w:pStyle w:val="BodyText"/>
        <w:spacing w:before="3"/>
        <w:rPr>
          <w:rFonts w:ascii="Arial"/>
          <w:sz w:val="21"/>
        </w:rPr>
      </w:pPr>
    </w:p>
    <w:p>
      <w:pPr>
        <w:pStyle w:val="BodyText"/>
        <w:spacing w:line="249" w:lineRule="auto"/>
        <w:ind w:left="801" w:right="1437"/>
        <w:jc w:val="both"/>
      </w:pPr>
      <w:r>
        <w:rPr>
          <w:color w:val="231F20"/>
          <w:w w:val="105"/>
        </w:rPr>
        <w:t>high</w:t>
      </w:r>
      <w:r>
        <w:rPr>
          <w:color w:val="231F20"/>
          <w:spacing w:val="-18"/>
          <w:w w:val="105"/>
        </w:rPr>
        <w:t> </w:t>
      </w:r>
      <w:r>
        <w:rPr>
          <w:color w:val="231F20"/>
          <w:w w:val="105"/>
        </w:rPr>
        <w:t>levels</w:t>
      </w:r>
      <w:r>
        <w:rPr>
          <w:color w:val="231F20"/>
          <w:spacing w:val="-18"/>
          <w:w w:val="105"/>
        </w:rPr>
        <w:t> </w:t>
      </w:r>
      <w:r>
        <w:rPr>
          <w:color w:val="231F20"/>
          <w:w w:val="105"/>
        </w:rPr>
        <w:t>of</w:t>
      </w:r>
      <w:r>
        <w:rPr>
          <w:color w:val="231F20"/>
          <w:spacing w:val="-17"/>
          <w:w w:val="105"/>
        </w:rPr>
        <w:t> </w:t>
      </w:r>
      <w:r>
        <w:rPr>
          <w:color w:val="231F20"/>
          <w:w w:val="105"/>
        </w:rPr>
        <w:t>ADH,</w:t>
      </w:r>
      <w:r>
        <w:rPr>
          <w:color w:val="231F20"/>
          <w:spacing w:val="-18"/>
          <w:w w:val="105"/>
        </w:rPr>
        <w:t> </w:t>
      </w:r>
      <w:r>
        <w:rPr>
          <w:color w:val="231F20"/>
          <w:w w:val="105"/>
        </w:rPr>
        <w:t>water</w:t>
      </w:r>
      <w:r>
        <w:rPr>
          <w:color w:val="231F20"/>
          <w:spacing w:val="-17"/>
          <w:w w:val="105"/>
        </w:rPr>
        <w:t> </w:t>
      </w:r>
      <w:r>
        <w:rPr>
          <w:color w:val="231F20"/>
          <w:w w:val="105"/>
        </w:rPr>
        <w:t>is</w:t>
      </w:r>
      <w:r>
        <w:rPr>
          <w:color w:val="231F20"/>
          <w:spacing w:val="-18"/>
          <w:w w:val="105"/>
        </w:rPr>
        <w:t> </w:t>
      </w:r>
      <w:r>
        <w:rPr>
          <w:color w:val="231F20"/>
          <w:w w:val="105"/>
        </w:rPr>
        <w:t>avidly</w:t>
      </w:r>
      <w:r>
        <w:rPr>
          <w:color w:val="231F20"/>
          <w:spacing w:val="-17"/>
          <w:w w:val="105"/>
        </w:rPr>
        <w:t> </w:t>
      </w:r>
      <w:r>
        <w:rPr>
          <w:color w:val="231F20"/>
          <w:w w:val="105"/>
        </w:rPr>
        <w:t>reabsorbed</w:t>
      </w:r>
      <w:r>
        <w:rPr>
          <w:color w:val="231F20"/>
          <w:spacing w:val="-18"/>
          <w:w w:val="105"/>
        </w:rPr>
        <w:t> </w:t>
      </w:r>
      <w:r>
        <w:rPr>
          <w:color w:val="231F20"/>
          <w:spacing w:val="-4"/>
          <w:w w:val="105"/>
        </w:rPr>
        <w:t>into </w:t>
      </w:r>
      <w:r>
        <w:rPr>
          <w:color w:val="231F20"/>
          <w:w w:val="105"/>
        </w:rPr>
        <w:t>the medullary interstitium, thereby reducing the urine</w:t>
      </w:r>
      <w:r>
        <w:rPr>
          <w:color w:val="231F20"/>
          <w:spacing w:val="-16"/>
          <w:w w:val="105"/>
        </w:rPr>
        <w:t> </w:t>
      </w:r>
      <w:r>
        <w:rPr>
          <w:color w:val="231F20"/>
          <w:w w:val="105"/>
        </w:rPr>
        <w:t>volume</w:t>
      </w:r>
      <w:r>
        <w:rPr>
          <w:color w:val="231F20"/>
          <w:spacing w:val="-15"/>
          <w:w w:val="105"/>
        </w:rPr>
        <w:t> </w:t>
      </w:r>
      <w:r>
        <w:rPr>
          <w:color w:val="231F20"/>
          <w:w w:val="105"/>
        </w:rPr>
        <w:t>and</w:t>
      </w:r>
      <w:r>
        <w:rPr>
          <w:color w:val="231F20"/>
          <w:spacing w:val="-15"/>
          <w:w w:val="105"/>
        </w:rPr>
        <w:t> </w:t>
      </w:r>
      <w:r>
        <w:rPr>
          <w:color w:val="231F20"/>
          <w:w w:val="105"/>
        </w:rPr>
        <w:t>concentrating</w:t>
      </w:r>
      <w:r>
        <w:rPr>
          <w:color w:val="231F20"/>
          <w:spacing w:val="-16"/>
          <w:w w:val="105"/>
        </w:rPr>
        <w:t> </w:t>
      </w:r>
      <w:r>
        <w:rPr>
          <w:color w:val="231F20"/>
          <w:w w:val="105"/>
        </w:rPr>
        <w:t>most</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solutes in the</w:t>
      </w:r>
      <w:r>
        <w:rPr>
          <w:color w:val="231F20"/>
          <w:spacing w:val="6"/>
          <w:w w:val="105"/>
        </w:rPr>
        <w:t> </w:t>
      </w:r>
      <w:r>
        <w:rPr>
          <w:color w:val="231F20"/>
          <w:w w:val="105"/>
        </w:rPr>
        <w:t>urine.</w:t>
      </w:r>
    </w:p>
    <w:p>
      <w:pPr>
        <w:pStyle w:val="ListParagraph"/>
        <w:numPr>
          <w:ilvl w:val="0"/>
          <w:numId w:val="16"/>
        </w:numPr>
        <w:tabs>
          <w:tab w:pos="802" w:val="left" w:leader="none"/>
        </w:tabs>
        <w:spacing w:line="249" w:lineRule="auto" w:before="3" w:after="0"/>
        <w:ind w:left="801" w:right="1437" w:hanging="243"/>
        <w:jc w:val="both"/>
        <w:rPr>
          <w:sz w:val="20"/>
        </w:rPr>
      </w:pPr>
      <w:r>
        <w:rPr>
          <w:color w:val="231F20"/>
          <w:w w:val="105"/>
          <w:sz w:val="20"/>
        </w:rPr>
        <w:t>Unlike</w:t>
      </w:r>
      <w:r>
        <w:rPr>
          <w:color w:val="231F20"/>
          <w:spacing w:val="-16"/>
          <w:w w:val="105"/>
          <w:sz w:val="20"/>
        </w:rPr>
        <w:t> </w:t>
      </w:r>
      <w:r>
        <w:rPr>
          <w:color w:val="231F20"/>
          <w:w w:val="105"/>
          <w:sz w:val="20"/>
        </w:rPr>
        <w:t>the</w:t>
      </w:r>
      <w:r>
        <w:rPr>
          <w:color w:val="231F20"/>
          <w:spacing w:val="-16"/>
          <w:w w:val="105"/>
          <w:sz w:val="20"/>
        </w:rPr>
        <w:t> </w:t>
      </w:r>
      <w:r>
        <w:rPr>
          <w:color w:val="231F20"/>
          <w:w w:val="105"/>
          <w:sz w:val="20"/>
        </w:rPr>
        <w:t>cortical</w:t>
      </w:r>
      <w:r>
        <w:rPr>
          <w:color w:val="231F20"/>
          <w:spacing w:val="-16"/>
          <w:w w:val="105"/>
          <w:sz w:val="20"/>
        </w:rPr>
        <w:t> </w:t>
      </w:r>
      <w:r>
        <w:rPr>
          <w:color w:val="231F20"/>
          <w:w w:val="105"/>
          <w:sz w:val="20"/>
        </w:rPr>
        <w:t>collecting</w:t>
      </w:r>
      <w:r>
        <w:rPr>
          <w:color w:val="231F20"/>
          <w:spacing w:val="-15"/>
          <w:w w:val="105"/>
          <w:sz w:val="20"/>
        </w:rPr>
        <w:t> </w:t>
      </w:r>
      <w:r>
        <w:rPr>
          <w:color w:val="231F20"/>
          <w:w w:val="105"/>
          <w:sz w:val="20"/>
        </w:rPr>
        <w:t>tubule,</w:t>
      </w:r>
      <w:r>
        <w:rPr>
          <w:color w:val="231F20"/>
          <w:spacing w:val="-16"/>
          <w:w w:val="105"/>
          <w:sz w:val="20"/>
        </w:rPr>
        <w:t> </w:t>
      </w:r>
      <w:r>
        <w:rPr>
          <w:color w:val="231F20"/>
          <w:w w:val="105"/>
          <w:sz w:val="20"/>
        </w:rPr>
        <w:t>the</w:t>
      </w:r>
      <w:r>
        <w:rPr>
          <w:color w:val="231F20"/>
          <w:spacing w:val="-16"/>
          <w:w w:val="105"/>
          <w:sz w:val="20"/>
        </w:rPr>
        <w:t> </w:t>
      </w:r>
      <w:r>
        <w:rPr>
          <w:color w:val="231F20"/>
          <w:w w:val="105"/>
          <w:sz w:val="20"/>
        </w:rPr>
        <w:t>medullary collecting duct is permeable to urea, and there are special </w:t>
      </w:r>
      <w:r>
        <w:rPr>
          <w:i/>
          <w:color w:val="231F20"/>
          <w:w w:val="105"/>
          <w:sz w:val="20"/>
        </w:rPr>
        <w:t>urea transporters </w:t>
      </w:r>
      <w:r>
        <w:rPr>
          <w:color w:val="231F20"/>
          <w:w w:val="105"/>
          <w:sz w:val="20"/>
        </w:rPr>
        <w:t>that facilitate urea</w:t>
      </w:r>
      <w:r>
        <w:rPr>
          <w:color w:val="231F20"/>
          <w:spacing w:val="-19"/>
          <w:w w:val="105"/>
          <w:sz w:val="20"/>
        </w:rPr>
        <w:t> </w:t>
      </w:r>
      <w:r>
        <w:rPr>
          <w:color w:val="231F20"/>
          <w:w w:val="105"/>
          <w:sz w:val="20"/>
        </w:rPr>
        <w:t>diffu- sion</w:t>
      </w:r>
      <w:r>
        <w:rPr>
          <w:color w:val="231F20"/>
          <w:spacing w:val="-23"/>
          <w:w w:val="105"/>
          <w:sz w:val="20"/>
        </w:rPr>
        <w:t> </w:t>
      </w:r>
      <w:r>
        <w:rPr>
          <w:color w:val="231F20"/>
          <w:w w:val="105"/>
          <w:sz w:val="20"/>
        </w:rPr>
        <w:t>across</w:t>
      </w:r>
      <w:r>
        <w:rPr>
          <w:color w:val="231F20"/>
          <w:spacing w:val="-22"/>
          <w:w w:val="105"/>
          <w:sz w:val="20"/>
        </w:rPr>
        <w:t> </w:t>
      </w:r>
      <w:r>
        <w:rPr>
          <w:color w:val="231F20"/>
          <w:w w:val="105"/>
          <w:sz w:val="20"/>
        </w:rPr>
        <w:t>the</w:t>
      </w:r>
      <w:r>
        <w:rPr>
          <w:color w:val="231F20"/>
          <w:spacing w:val="-22"/>
          <w:w w:val="105"/>
          <w:sz w:val="20"/>
        </w:rPr>
        <w:t> </w:t>
      </w:r>
      <w:r>
        <w:rPr>
          <w:color w:val="231F20"/>
          <w:w w:val="105"/>
          <w:sz w:val="20"/>
        </w:rPr>
        <w:t>luminal</w:t>
      </w:r>
      <w:r>
        <w:rPr>
          <w:color w:val="231F20"/>
          <w:spacing w:val="-23"/>
          <w:w w:val="105"/>
          <w:sz w:val="20"/>
        </w:rPr>
        <w:t> </w:t>
      </w:r>
      <w:r>
        <w:rPr>
          <w:color w:val="231F20"/>
          <w:w w:val="105"/>
          <w:sz w:val="20"/>
        </w:rPr>
        <w:t>and</w:t>
      </w:r>
      <w:r>
        <w:rPr>
          <w:color w:val="231F20"/>
          <w:spacing w:val="-22"/>
          <w:w w:val="105"/>
          <w:sz w:val="20"/>
        </w:rPr>
        <w:t> </w:t>
      </w:r>
      <w:r>
        <w:rPr>
          <w:color w:val="231F20"/>
          <w:w w:val="105"/>
          <w:sz w:val="20"/>
        </w:rPr>
        <w:t>basolateral</w:t>
      </w:r>
      <w:r>
        <w:rPr>
          <w:color w:val="231F20"/>
          <w:spacing w:val="-22"/>
          <w:w w:val="105"/>
          <w:sz w:val="20"/>
        </w:rPr>
        <w:t> </w:t>
      </w:r>
      <w:r>
        <w:rPr>
          <w:color w:val="231F20"/>
          <w:w w:val="105"/>
          <w:sz w:val="20"/>
        </w:rPr>
        <w:t>membranes. Therefore, some of the tubular urea is reabsorbed into</w:t>
      </w:r>
      <w:r>
        <w:rPr>
          <w:color w:val="231F20"/>
          <w:spacing w:val="-11"/>
          <w:w w:val="105"/>
          <w:sz w:val="20"/>
        </w:rPr>
        <w:t> </w:t>
      </w:r>
      <w:r>
        <w:rPr>
          <w:color w:val="231F20"/>
          <w:w w:val="105"/>
          <w:sz w:val="20"/>
        </w:rPr>
        <w:t>the</w:t>
      </w:r>
      <w:r>
        <w:rPr>
          <w:color w:val="231F20"/>
          <w:spacing w:val="-10"/>
          <w:w w:val="105"/>
          <w:sz w:val="20"/>
        </w:rPr>
        <w:t> </w:t>
      </w:r>
      <w:r>
        <w:rPr>
          <w:color w:val="231F20"/>
          <w:w w:val="105"/>
          <w:sz w:val="20"/>
        </w:rPr>
        <w:t>medullary</w:t>
      </w:r>
      <w:r>
        <w:rPr>
          <w:color w:val="231F20"/>
          <w:spacing w:val="-10"/>
          <w:w w:val="105"/>
          <w:sz w:val="20"/>
        </w:rPr>
        <w:t> </w:t>
      </w:r>
      <w:r>
        <w:rPr>
          <w:color w:val="231F20"/>
          <w:w w:val="105"/>
          <w:sz w:val="20"/>
        </w:rPr>
        <w:t>interstitium,</w:t>
      </w:r>
      <w:r>
        <w:rPr>
          <w:color w:val="231F20"/>
          <w:spacing w:val="-10"/>
          <w:w w:val="105"/>
          <w:sz w:val="20"/>
        </w:rPr>
        <w:t> </w:t>
      </w:r>
      <w:r>
        <w:rPr>
          <w:color w:val="231F20"/>
          <w:w w:val="105"/>
          <w:sz w:val="20"/>
        </w:rPr>
        <w:t>helping</w:t>
      </w:r>
      <w:r>
        <w:rPr>
          <w:color w:val="231F20"/>
          <w:spacing w:val="-10"/>
          <w:w w:val="105"/>
          <w:sz w:val="20"/>
        </w:rPr>
        <w:t> </w:t>
      </w:r>
      <w:r>
        <w:rPr>
          <w:color w:val="231F20"/>
          <w:w w:val="105"/>
          <w:sz w:val="20"/>
        </w:rPr>
        <w:t>to</w:t>
      </w:r>
      <w:r>
        <w:rPr>
          <w:color w:val="231F20"/>
          <w:spacing w:val="-10"/>
          <w:w w:val="105"/>
          <w:sz w:val="20"/>
        </w:rPr>
        <w:t> </w:t>
      </w:r>
      <w:r>
        <w:rPr>
          <w:color w:val="231F20"/>
          <w:w w:val="105"/>
          <w:sz w:val="20"/>
        </w:rPr>
        <w:t>raise</w:t>
      </w:r>
      <w:r>
        <w:rPr>
          <w:color w:val="231F20"/>
          <w:spacing w:val="-10"/>
          <w:w w:val="105"/>
          <w:sz w:val="20"/>
        </w:rPr>
        <w:t> </w:t>
      </w:r>
      <w:r>
        <w:rPr>
          <w:color w:val="231F20"/>
          <w:spacing w:val="-5"/>
          <w:w w:val="105"/>
          <w:sz w:val="20"/>
        </w:rPr>
        <w:t>the </w:t>
      </w:r>
      <w:r>
        <w:rPr>
          <w:color w:val="231F20"/>
          <w:w w:val="105"/>
          <w:sz w:val="20"/>
        </w:rPr>
        <w:t>osmolality</w:t>
      </w:r>
      <w:r>
        <w:rPr>
          <w:color w:val="231F20"/>
          <w:spacing w:val="-22"/>
          <w:w w:val="105"/>
          <w:sz w:val="20"/>
        </w:rPr>
        <w:t> </w:t>
      </w:r>
      <w:r>
        <w:rPr>
          <w:color w:val="231F20"/>
          <w:w w:val="105"/>
          <w:sz w:val="20"/>
        </w:rPr>
        <w:t>in</w:t>
      </w:r>
      <w:r>
        <w:rPr>
          <w:color w:val="231F20"/>
          <w:spacing w:val="-21"/>
          <w:w w:val="105"/>
          <w:sz w:val="20"/>
        </w:rPr>
        <w:t> </w:t>
      </w:r>
      <w:r>
        <w:rPr>
          <w:color w:val="231F20"/>
          <w:w w:val="105"/>
          <w:sz w:val="20"/>
        </w:rPr>
        <w:t>this</w:t>
      </w:r>
      <w:r>
        <w:rPr>
          <w:color w:val="231F20"/>
          <w:spacing w:val="-21"/>
          <w:w w:val="105"/>
          <w:sz w:val="20"/>
        </w:rPr>
        <w:t> </w:t>
      </w:r>
      <w:r>
        <w:rPr>
          <w:color w:val="231F20"/>
          <w:w w:val="105"/>
          <w:sz w:val="20"/>
        </w:rPr>
        <w:t>region</w:t>
      </w:r>
      <w:r>
        <w:rPr>
          <w:color w:val="231F20"/>
          <w:spacing w:val="-21"/>
          <w:w w:val="105"/>
          <w:sz w:val="20"/>
        </w:rPr>
        <w:t> </w:t>
      </w:r>
      <w:r>
        <w:rPr>
          <w:color w:val="231F20"/>
          <w:w w:val="105"/>
          <w:sz w:val="20"/>
        </w:rPr>
        <w:t>of</w:t>
      </w:r>
      <w:r>
        <w:rPr>
          <w:color w:val="231F20"/>
          <w:spacing w:val="-22"/>
          <w:w w:val="105"/>
          <w:sz w:val="20"/>
        </w:rPr>
        <w:t> </w:t>
      </w:r>
      <w:r>
        <w:rPr>
          <w:color w:val="231F20"/>
          <w:w w:val="105"/>
          <w:sz w:val="20"/>
        </w:rPr>
        <w:t>the</w:t>
      </w:r>
      <w:r>
        <w:rPr>
          <w:color w:val="231F20"/>
          <w:spacing w:val="-21"/>
          <w:w w:val="105"/>
          <w:sz w:val="20"/>
        </w:rPr>
        <w:t> </w:t>
      </w:r>
      <w:r>
        <w:rPr>
          <w:color w:val="231F20"/>
          <w:w w:val="105"/>
          <w:sz w:val="20"/>
        </w:rPr>
        <w:t>kidneys</w:t>
      </w:r>
      <w:r>
        <w:rPr>
          <w:color w:val="231F20"/>
          <w:spacing w:val="-21"/>
          <w:w w:val="105"/>
          <w:sz w:val="20"/>
        </w:rPr>
        <w:t> </w:t>
      </w:r>
      <w:r>
        <w:rPr>
          <w:color w:val="231F20"/>
          <w:w w:val="105"/>
          <w:sz w:val="20"/>
        </w:rPr>
        <w:t>and</w:t>
      </w:r>
      <w:r>
        <w:rPr>
          <w:color w:val="231F20"/>
          <w:spacing w:val="-21"/>
          <w:w w:val="105"/>
          <w:sz w:val="20"/>
        </w:rPr>
        <w:t> </w:t>
      </w:r>
      <w:r>
        <w:rPr>
          <w:color w:val="231F20"/>
          <w:w w:val="105"/>
          <w:sz w:val="20"/>
        </w:rPr>
        <w:t>contrib- uting</w:t>
      </w:r>
      <w:r>
        <w:rPr>
          <w:color w:val="231F20"/>
          <w:spacing w:val="-20"/>
          <w:w w:val="105"/>
          <w:sz w:val="20"/>
        </w:rPr>
        <w:t> </w:t>
      </w:r>
      <w:r>
        <w:rPr>
          <w:color w:val="231F20"/>
          <w:w w:val="105"/>
          <w:sz w:val="20"/>
        </w:rPr>
        <w:t>to</w:t>
      </w:r>
      <w:r>
        <w:rPr>
          <w:color w:val="231F20"/>
          <w:spacing w:val="-20"/>
          <w:w w:val="105"/>
          <w:sz w:val="20"/>
        </w:rPr>
        <w:t> </w:t>
      </w:r>
      <w:r>
        <w:rPr>
          <w:color w:val="231F20"/>
          <w:w w:val="105"/>
          <w:sz w:val="20"/>
        </w:rPr>
        <w:t>the</w:t>
      </w:r>
      <w:r>
        <w:rPr>
          <w:color w:val="231F20"/>
          <w:spacing w:val="-20"/>
          <w:w w:val="105"/>
          <w:sz w:val="20"/>
        </w:rPr>
        <w:t> </w:t>
      </w:r>
      <w:r>
        <w:rPr>
          <w:color w:val="231F20"/>
          <w:w w:val="105"/>
          <w:sz w:val="20"/>
        </w:rPr>
        <w:t>kidneys’</w:t>
      </w:r>
      <w:r>
        <w:rPr>
          <w:color w:val="231F20"/>
          <w:spacing w:val="-20"/>
          <w:w w:val="105"/>
          <w:sz w:val="20"/>
        </w:rPr>
        <w:t> </w:t>
      </w:r>
      <w:r>
        <w:rPr>
          <w:color w:val="231F20"/>
          <w:w w:val="105"/>
          <w:sz w:val="20"/>
        </w:rPr>
        <w:t>overall</w:t>
      </w:r>
      <w:r>
        <w:rPr>
          <w:color w:val="231F20"/>
          <w:spacing w:val="-19"/>
          <w:w w:val="105"/>
          <w:sz w:val="20"/>
        </w:rPr>
        <w:t> </w:t>
      </w:r>
      <w:r>
        <w:rPr>
          <w:color w:val="231F20"/>
          <w:w w:val="105"/>
          <w:sz w:val="20"/>
        </w:rPr>
        <w:t>ability</w:t>
      </w:r>
      <w:r>
        <w:rPr>
          <w:color w:val="231F20"/>
          <w:spacing w:val="-20"/>
          <w:w w:val="105"/>
          <w:sz w:val="20"/>
        </w:rPr>
        <w:t> </w:t>
      </w:r>
      <w:r>
        <w:rPr>
          <w:color w:val="231F20"/>
          <w:w w:val="105"/>
          <w:sz w:val="20"/>
        </w:rPr>
        <w:t>to</w:t>
      </w:r>
      <w:r>
        <w:rPr>
          <w:color w:val="231F20"/>
          <w:spacing w:val="-20"/>
          <w:w w:val="105"/>
          <w:sz w:val="20"/>
        </w:rPr>
        <w:t> </w:t>
      </w:r>
      <w:r>
        <w:rPr>
          <w:color w:val="231F20"/>
          <w:w w:val="105"/>
          <w:sz w:val="20"/>
        </w:rPr>
        <w:t>form</w:t>
      </w:r>
      <w:r>
        <w:rPr>
          <w:color w:val="231F20"/>
          <w:spacing w:val="-20"/>
          <w:w w:val="105"/>
          <w:sz w:val="20"/>
        </w:rPr>
        <w:t> </w:t>
      </w:r>
      <w:r>
        <w:rPr>
          <w:color w:val="231F20"/>
          <w:w w:val="105"/>
          <w:sz w:val="20"/>
        </w:rPr>
        <w:t>concen- trated</w:t>
      </w:r>
      <w:r>
        <w:rPr>
          <w:color w:val="231F20"/>
          <w:spacing w:val="-7"/>
          <w:w w:val="105"/>
          <w:sz w:val="20"/>
        </w:rPr>
        <w:t> </w:t>
      </w:r>
      <w:r>
        <w:rPr>
          <w:color w:val="231F20"/>
          <w:w w:val="105"/>
          <w:sz w:val="20"/>
        </w:rPr>
        <w:t>urine.</w:t>
      </w:r>
      <w:r>
        <w:rPr>
          <w:color w:val="231F20"/>
          <w:spacing w:val="-6"/>
          <w:w w:val="105"/>
          <w:sz w:val="20"/>
        </w:rPr>
        <w:t> </w:t>
      </w:r>
      <w:r>
        <w:rPr>
          <w:color w:val="231F20"/>
          <w:w w:val="105"/>
          <w:sz w:val="20"/>
        </w:rPr>
        <w:t>This</w:t>
      </w:r>
      <w:r>
        <w:rPr>
          <w:color w:val="231F20"/>
          <w:spacing w:val="-6"/>
          <w:w w:val="105"/>
          <w:sz w:val="20"/>
        </w:rPr>
        <w:t> </w:t>
      </w:r>
      <w:r>
        <w:rPr>
          <w:color w:val="231F20"/>
          <w:w w:val="105"/>
          <w:sz w:val="20"/>
        </w:rPr>
        <w:t>topic</w:t>
      </w:r>
      <w:r>
        <w:rPr>
          <w:color w:val="231F20"/>
          <w:spacing w:val="-6"/>
          <w:w w:val="105"/>
          <w:sz w:val="20"/>
        </w:rPr>
        <w:t> </w:t>
      </w:r>
      <w:r>
        <w:rPr>
          <w:color w:val="231F20"/>
          <w:w w:val="105"/>
          <w:sz w:val="20"/>
        </w:rPr>
        <w:t>is</w:t>
      </w:r>
      <w:r>
        <w:rPr>
          <w:color w:val="231F20"/>
          <w:spacing w:val="-6"/>
          <w:w w:val="105"/>
          <w:sz w:val="20"/>
        </w:rPr>
        <w:t> </w:t>
      </w:r>
      <w:r>
        <w:rPr>
          <w:color w:val="231F20"/>
          <w:w w:val="105"/>
          <w:sz w:val="20"/>
        </w:rPr>
        <w:t>discussed</w:t>
      </w:r>
      <w:r>
        <w:rPr>
          <w:color w:val="231F20"/>
          <w:spacing w:val="-6"/>
          <w:w w:val="105"/>
          <w:sz w:val="20"/>
        </w:rPr>
        <w:t> </w:t>
      </w:r>
      <w:r>
        <w:rPr>
          <w:color w:val="231F20"/>
          <w:w w:val="105"/>
          <w:sz w:val="20"/>
        </w:rPr>
        <w:t>in</w:t>
      </w:r>
      <w:r>
        <w:rPr>
          <w:color w:val="231F20"/>
          <w:spacing w:val="-6"/>
          <w:w w:val="105"/>
          <w:sz w:val="20"/>
        </w:rPr>
        <w:t> </w:t>
      </w:r>
      <w:r>
        <w:rPr>
          <w:color w:val="231F20"/>
          <w:w w:val="105"/>
          <w:sz w:val="20"/>
        </w:rPr>
        <w:t>Chapter</w:t>
      </w:r>
      <w:r>
        <w:rPr>
          <w:color w:val="231F20"/>
          <w:spacing w:val="-6"/>
          <w:w w:val="105"/>
          <w:sz w:val="20"/>
        </w:rPr>
        <w:t> </w:t>
      </w:r>
      <w:r>
        <w:rPr>
          <w:color w:val="231F20"/>
          <w:w w:val="105"/>
          <w:sz w:val="20"/>
        </w:rPr>
        <w:t>29.</w:t>
      </w:r>
    </w:p>
    <w:p>
      <w:pPr>
        <w:pStyle w:val="ListParagraph"/>
        <w:numPr>
          <w:ilvl w:val="0"/>
          <w:numId w:val="16"/>
        </w:numPr>
        <w:tabs>
          <w:tab w:pos="802" w:val="left" w:leader="none"/>
        </w:tabs>
        <w:spacing w:line="249" w:lineRule="auto" w:before="8" w:after="0"/>
        <w:ind w:left="801" w:right="1437" w:hanging="243"/>
        <w:jc w:val="both"/>
        <w:rPr>
          <w:sz w:val="20"/>
        </w:rPr>
      </w:pPr>
      <w:r>
        <w:rPr>
          <w:color w:val="231F20"/>
          <w:w w:val="105"/>
          <w:sz w:val="20"/>
        </w:rPr>
        <w:t>The</w:t>
      </w:r>
      <w:r>
        <w:rPr>
          <w:color w:val="231F20"/>
          <w:spacing w:val="-7"/>
          <w:w w:val="105"/>
          <w:sz w:val="20"/>
        </w:rPr>
        <w:t> </w:t>
      </w:r>
      <w:r>
        <w:rPr>
          <w:color w:val="231F20"/>
          <w:w w:val="105"/>
          <w:sz w:val="20"/>
        </w:rPr>
        <w:t>medullary</w:t>
      </w:r>
      <w:r>
        <w:rPr>
          <w:color w:val="231F20"/>
          <w:spacing w:val="-6"/>
          <w:w w:val="105"/>
          <w:sz w:val="20"/>
        </w:rPr>
        <w:t> </w:t>
      </w:r>
      <w:r>
        <w:rPr>
          <w:color w:val="231F20"/>
          <w:w w:val="105"/>
          <w:sz w:val="20"/>
        </w:rPr>
        <w:t>collecting</w:t>
      </w:r>
      <w:r>
        <w:rPr>
          <w:color w:val="231F20"/>
          <w:spacing w:val="-6"/>
          <w:w w:val="105"/>
          <w:sz w:val="20"/>
        </w:rPr>
        <w:t> </w:t>
      </w:r>
      <w:r>
        <w:rPr>
          <w:color w:val="231F20"/>
          <w:w w:val="105"/>
          <w:sz w:val="20"/>
        </w:rPr>
        <w:t>duct</w:t>
      </w:r>
      <w:r>
        <w:rPr>
          <w:color w:val="231F20"/>
          <w:spacing w:val="-6"/>
          <w:w w:val="105"/>
          <w:sz w:val="20"/>
        </w:rPr>
        <w:t> </w:t>
      </w:r>
      <w:r>
        <w:rPr>
          <w:color w:val="231F20"/>
          <w:w w:val="105"/>
          <w:sz w:val="20"/>
        </w:rPr>
        <w:t>is</w:t>
      </w:r>
      <w:r>
        <w:rPr>
          <w:color w:val="231F20"/>
          <w:spacing w:val="-6"/>
          <w:w w:val="105"/>
          <w:sz w:val="20"/>
        </w:rPr>
        <w:t> </w:t>
      </w:r>
      <w:r>
        <w:rPr>
          <w:color w:val="231F20"/>
          <w:w w:val="105"/>
          <w:sz w:val="20"/>
        </w:rPr>
        <w:t>capable</w:t>
      </w:r>
      <w:r>
        <w:rPr>
          <w:color w:val="231F20"/>
          <w:spacing w:val="-6"/>
          <w:w w:val="105"/>
          <w:sz w:val="20"/>
        </w:rPr>
        <w:t> </w:t>
      </w:r>
      <w:r>
        <w:rPr>
          <w:color w:val="231F20"/>
          <w:w w:val="105"/>
          <w:sz w:val="20"/>
        </w:rPr>
        <w:t>of</w:t>
      </w:r>
      <w:r>
        <w:rPr>
          <w:color w:val="231F20"/>
          <w:spacing w:val="-6"/>
          <w:w w:val="105"/>
          <w:sz w:val="20"/>
        </w:rPr>
        <w:t> </w:t>
      </w:r>
      <w:r>
        <w:rPr>
          <w:color w:val="231F20"/>
          <w:spacing w:val="-3"/>
          <w:w w:val="105"/>
          <w:sz w:val="20"/>
        </w:rPr>
        <w:t>secret- </w:t>
      </w:r>
      <w:r>
        <w:rPr>
          <w:color w:val="231F20"/>
          <w:w w:val="105"/>
          <w:sz w:val="20"/>
        </w:rPr>
        <w:t>ing</w:t>
      </w:r>
      <w:r>
        <w:rPr>
          <w:color w:val="231F20"/>
          <w:spacing w:val="-26"/>
          <w:w w:val="105"/>
          <w:sz w:val="20"/>
        </w:rPr>
        <w:t> </w:t>
      </w:r>
      <w:r>
        <w:rPr>
          <w:color w:val="231F20"/>
          <w:w w:val="105"/>
          <w:sz w:val="20"/>
        </w:rPr>
        <w:t>hydrogen</w:t>
      </w:r>
      <w:r>
        <w:rPr>
          <w:color w:val="231F20"/>
          <w:spacing w:val="-25"/>
          <w:w w:val="105"/>
          <w:sz w:val="20"/>
        </w:rPr>
        <w:t> </w:t>
      </w:r>
      <w:r>
        <w:rPr>
          <w:color w:val="231F20"/>
          <w:w w:val="105"/>
          <w:sz w:val="20"/>
        </w:rPr>
        <w:t>ions</w:t>
      </w:r>
      <w:r>
        <w:rPr>
          <w:color w:val="231F20"/>
          <w:spacing w:val="-25"/>
          <w:w w:val="105"/>
          <w:sz w:val="20"/>
        </w:rPr>
        <w:t> </w:t>
      </w:r>
      <w:r>
        <w:rPr>
          <w:color w:val="231F20"/>
          <w:w w:val="105"/>
          <w:sz w:val="20"/>
        </w:rPr>
        <w:t>against</w:t>
      </w:r>
      <w:r>
        <w:rPr>
          <w:color w:val="231F20"/>
          <w:spacing w:val="-25"/>
          <w:w w:val="105"/>
          <w:sz w:val="20"/>
        </w:rPr>
        <w:t> </w:t>
      </w:r>
      <w:r>
        <w:rPr>
          <w:color w:val="231F20"/>
          <w:w w:val="105"/>
          <w:sz w:val="20"/>
        </w:rPr>
        <w:t>a</w:t>
      </w:r>
      <w:r>
        <w:rPr>
          <w:color w:val="231F20"/>
          <w:spacing w:val="-25"/>
          <w:w w:val="105"/>
          <w:sz w:val="20"/>
        </w:rPr>
        <w:t> </w:t>
      </w:r>
      <w:r>
        <w:rPr>
          <w:color w:val="231F20"/>
          <w:w w:val="105"/>
          <w:sz w:val="20"/>
        </w:rPr>
        <w:t>large</w:t>
      </w:r>
      <w:r>
        <w:rPr>
          <w:color w:val="231F20"/>
          <w:spacing w:val="-25"/>
          <w:w w:val="105"/>
          <w:sz w:val="20"/>
        </w:rPr>
        <w:t> </w:t>
      </w:r>
      <w:r>
        <w:rPr>
          <w:color w:val="231F20"/>
          <w:w w:val="105"/>
          <w:sz w:val="20"/>
        </w:rPr>
        <w:t>concentration</w:t>
      </w:r>
      <w:r>
        <w:rPr>
          <w:color w:val="231F20"/>
          <w:spacing w:val="-25"/>
          <w:w w:val="105"/>
          <w:sz w:val="20"/>
        </w:rPr>
        <w:t> </w:t>
      </w:r>
      <w:r>
        <w:rPr>
          <w:color w:val="231F20"/>
          <w:w w:val="105"/>
          <w:sz w:val="20"/>
        </w:rPr>
        <w:t>gra- dient,</w:t>
      </w:r>
      <w:r>
        <w:rPr>
          <w:color w:val="231F20"/>
          <w:spacing w:val="-26"/>
          <w:w w:val="105"/>
          <w:sz w:val="20"/>
        </w:rPr>
        <w:t> </w:t>
      </w:r>
      <w:r>
        <w:rPr>
          <w:color w:val="231F20"/>
          <w:w w:val="105"/>
          <w:sz w:val="20"/>
        </w:rPr>
        <w:t>as</w:t>
      </w:r>
      <w:r>
        <w:rPr>
          <w:color w:val="231F20"/>
          <w:spacing w:val="-25"/>
          <w:w w:val="105"/>
          <w:sz w:val="20"/>
        </w:rPr>
        <w:t> </w:t>
      </w:r>
      <w:r>
        <w:rPr>
          <w:color w:val="231F20"/>
          <w:w w:val="105"/>
          <w:sz w:val="20"/>
        </w:rPr>
        <w:t>also</w:t>
      </w:r>
      <w:r>
        <w:rPr>
          <w:color w:val="231F20"/>
          <w:spacing w:val="-25"/>
          <w:w w:val="105"/>
          <w:sz w:val="20"/>
        </w:rPr>
        <w:t> </w:t>
      </w:r>
      <w:r>
        <w:rPr>
          <w:color w:val="231F20"/>
          <w:w w:val="105"/>
          <w:sz w:val="20"/>
        </w:rPr>
        <w:t>occurs</w:t>
      </w:r>
      <w:r>
        <w:rPr>
          <w:color w:val="231F20"/>
          <w:spacing w:val="-25"/>
          <w:w w:val="105"/>
          <w:sz w:val="20"/>
        </w:rPr>
        <w:t> </w:t>
      </w:r>
      <w:r>
        <w:rPr>
          <w:color w:val="231F20"/>
          <w:w w:val="105"/>
          <w:sz w:val="20"/>
        </w:rPr>
        <w:t>in</w:t>
      </w:r>
      <w:r>
        <w:rPr>
          <w:color w:val="231F20"/>
          <w:spacing w:val="-25"/>
          <w:w w:val="105"/>
          <w:sz w:val="20"/>
        </w:rPr>
        <w:t> </w:t>
      </w:r>
      <w:r>
        <w:rPr>
          <w:color w:val="231F20"/>
          <w:w w:val="105"/>
          <w:sz w:val="20"/>
        </w:rPr>
        <w:t>the</w:t>
      </w:r>
      <w:r>
        <w:rPr>
          <w:color w:val="231F20"/>
          <w:spacing w:val="-25"/>
          <w:w w:val="105"/>
          <w:sz w:val="20"/>
        </w:rPr>
        <w:t> </w:t>
      </w:r>
      <w:r>
        <w:rPr>
          <w:color w:val="231F20"/>
          <w:w w:val="105"/>
          <w:sz w:val="20"/>
        </w:rPr>
        <w:t>cortical</w:t>
      </w:r>
      <w:r>
        <w:rPr>
          <w:color w:val="231F20"/>
          <w:spacing w:val="-25"/>
          <w:w w:val="105"/>
          <w:sz w:val="20"/>
        </w:rPr>
        <w:t> </w:t>
      </w:r>
      <w:r>
        <w:rPr>
          <w:color w:val="231F20"/>
          <w:w w:val="105"/>
          <w:sz w:val="20"/>
        </w:rPr>
        <w:t>collecting</w:t>
      </w:r>
      <w:r>
        <w:rPr>
          <w:color w:val="231F20"/>
          <w:spacing w:val="-25"/>
          <w:w w:val="105"/>
          <w:sz w:val="20"/>
        </w:rPr>
        <w:t> </w:t>
      </w:r>
      <w:r>
        <w:rPr>
          <w:color w:val="231F20"/>
          <w:spacing w:val="-3"/>
          <w:w w:val="105"/>
          <w:sz w:val="20"/>
        </w:rPr>
        <w:t>tubule. </w:t>
      </w:r>
      <w:r>
        <w:rPr>
          <w:color w:val="231F20"/>
          <w:w w:val="105"/>
          <w:sz w:val="20"/>
        </w:rPr>
        <w:t>Thus,</w:t>
      </w:r>
      <w:r>
        <w:rPr>
          <w:color w:val="231F20"/>
          <w:spacing w:val="-21"/>
          <w:w w:val="105"/>
          <w:sz w:val="20"/>
        </w:rPr>
        <w:t> </w:t>
      </w:r>
      <w:r>
        <w:rPr>
          <w:color w:val="231F20"/>
          <w:w w:val="105"/>
          <w:sz w:val="20"/>
        </w:rPr>
        <w:t>the</w:t>
      </w:r>
      <w:r>
        <w:rPr>
          <w:color w:val="231F20"/>
          <w:spacing w:val="-21"/>
          <w:w w:val="105"/>
          <w:sz w:val="20"/>
        </w:rPr>
        <w:t> </w:t>
      </w:r>
      <w:r>
        <w:rPr>
          <w:color w:val="231F20"/>
          <w:w w:val="105"/>
          <w:sz w:val="20"/>
        </w:rPr>
        <w:t>medullary</w:t>
      </w:r>
      <w:r>
        <w:rPr>
          <w:color w:val="231F20"/>
          <w:spacing w:val="-21"/>
          <w:w w:val="105"/>
          <w:sz w:val="20"/>
        </w:rPr>
        <w:t> </w:t>
      </w:r>
      <w:r>
        <w:rPr>
          <w:color w:val="231F20"/>
          <w:w w:val="105"/>
          <w:sz w:val="20"/>
        </w:rPr>
        <w:t>collecting</w:t>
      </w:r>
      <w:r>
        <w:rPr>
          <w:color w:val="231F20"/>
          <w:spacing w:val="-21"/>
          <w:w w:val="105"/>
          <w:sz w:val="20"/>
        </w:rPr>
        <w:t> </w:t>
      </w:r>
      <w:r>
        <w:rPr>
          <w:color w:val="231F20"/>
          <w:w w:val="105"/>
          <w:sz w:val="20"/>
        </w:rPr>
        <w:t>duct</w:t>
      </w:r>
      <w:r>
        <w:rPr>
          <w:color w:val="231F20"/>
          <w:spacing w:val="-21"/>
          <w:w w:val="105"/>
          <w:sz w:val="20"/>
        </w:rPr>
        <w:t> </w:t>
      </w:r>
      <w:r>
        <w:rPr>
          <w:color w:val="231F20"/>
          <w:w w:val="105"/>
          <w:sz w:val="20"/>
        </w:rPr>
        <w:t>also</w:t>
      </w:r>
      <w:r>
        <w:rPr>
          <w:color w:val="231F20"/>
          <w:spacing w:val="-21"/>
          <w:w w:val="105"/>
          <w:sz w:val="20"/>
        </w:rPr>
        <w:t> </w:t>
      </w:r>
      <w:r>
        <w:rPr>
          <w:color w:val="231F20"/>
          <w:w w:val="105"/>
          <w:sz w:val="20"/>
        </w:rPr>
        <w:t>plays</w:t>
      </w:r>
      <w:r>
        <w:rPr>
          <w:color w:val="231F20"/>
          <w:spacing w:val="-21"/>
          <w:w w:val="105"/>
          <w:sz w:val="20"/>
        </w:rPr>
        <w:t> </w:t>
      </w:r>
      <w:r>
        <w:rPr>
          <w:color w:val="231F20"/>
          <w:w w:val="105"/>
          <w:sz w:val="20"/>
        </w:rPr>
        <w:t>a</w:t>
      </w:r>
      <w:r>
        <w:rPr>
          <w:color w:val="231F20"/>
          <w:spacing w:val="-21"/>
          <w:w w:val="105"/>
          <w:sz w:val="20"/>
        </w:rPr>
        <w:t> </w:t>
      </w:r>
      <w:r>
        <w:rPr>
          <w:color w:val="231F20"/>
          <w:spacing w:val="-4"/>
          <w:w w:val="105"/>
          <w:sz w:val="20"/>
        </w:rPr>
        <w:t>key </w:t>
      </w:r>
      <w:r>
        <w:rPr>
          <w:color w:val="231F20"/>
          <w:w w:val="105"/>
          <w:sz w:val="20"/>
        </w:rPr>
        <w:t>role in regulating acid-base</w:t>
      </w:r>
      <w:r>
        <w:rPr>
          <w:color w:val="231F20"/>
          <w:spacing w:val="-1"/>
          <w:w w:val="105"/>
          <w:sz w:val="20"/>
        </w:rPr>
        <w:t> </w:t>
      </w:r>
      <w:r>
        <w:rPr>
          <w:color w:val="231F20"/>
          <w:w w:val="105"/>
          <w:sz w:val="20"/>
        </w:rPr>
        <w:t>balance.</w:t>
      </w:r>
    </w:p>
    <w:p>
      <w:pPr>
        <w:pStyle w:val="BodyText"/>
        <w:rPr>
          <w:sz w:val="31"/>
        </w:rPr>
      </w:pPr>
    </w:p>
    <w:p>
      <w:pPr>
        <w:pStyle w:val="Heading2"/>
        <w:spacing w:line="225" w:lineRule="auto"/>
        <w:ind w:right="2055"/>
      </w:pPr>
      <w:r>
        <w:rPr>
          <w:color w:val="231F20"/>
          <w:w w:val="105"/>
        </w:rPr>
        <w:t>SUMMARY OF CONCENTRATIONS OF </w:t>
      </w:r>
      <w:r>
        <w:rPr>
          <w:color w:val="231F20"/>
        </w:rPr>
        <w:t>DIFFERENT SOLUTES IN THE DIFFERENT </w:t>
      </w:r>
      <w:r>
        <w:rPr>
          <w:color w:val="231F20"/>
          <w:w w:val="105"/>
        </w:rPr>
        <w:t>TUBULAR SEGMENTS</w:t>
      </w:r>
    </w:p>
    <w:p>
      <w:pPr>
        <w:pStyle w:val="BodyText"/>
        <w:spacing w:line="249" w:lineRule="auto" w:before="127"/>
        <w:ind w:left="319" w:right="1437"/>
        <w:jc w:val="both"/>
      </w:pPr>
      <w:r>
        <w:rPr>
          <w:color w:val="231F20"/>
          <w:w w:val="105"/>
        </w:rPr>
        <w:t>Whether</w:t>
      </w:r>
      <w:r>
        <w:rPr>
          <w:color w:val="231F20"/>
          <w:spacing w:val="-17"/>
          <w:w w:val="105"/>
        </w:rPr>
        <w:t> </w:t>
      </w:r>
      <w:r>
        <w:rPr>
          <w:color w:val="231F20"/>
          <w:w w:val="105"/>
        </w:rPr>
        <w:t>a</w:t>
      </w:r>
      <w:r>
        <w:rPr>
          <w:color w:val="231F20"/>
          <w:spacing w:val="-17"/>
          <w:w w:val="105"/>
        </w:rPr>
        <w:t> </w:t>
      </w:r>
      <w:r>
        <w:rPr>
          <w:color w:val="231F20"/>
          <w:w w:val="105"/>
        </w:rPr>
        <w:t>solute</w:t>
      </w:r>
      <w:r>
        <w:rPr>
          <w:color w:val="231F20"/>
          <w:spacing w:val="-16"/>
          <w:w w:val="105"/>
        </w:rPr>
        <w:t> </w:t>
      </w:r>
      <w:r>
        <w:rPr>
          <w:color w:val="231F20"/>
          <w:w w:val="105"/>
        </w:rPr>
        <w:t>will</w:t>
      </w:r>
      <w:r>
        <w:rPr>
          <w:color w:val="231F20"/>
          <w:spacing w:val="-17"/>
          <w:w w:val="105"/>
        </w:rPr>
        <w:t> </w:t>
      </w:r>
      <w:r>
        <w:rPr>
          <w:color w:val="231F20"/>
          <w:w w:val="105"/>
        </w:rPr>
        <w:t>become</w:t>
      </w:r>
      <w:r>
        <w:rPr>
          <w:color w:val="231F20"/>
          <w:spacing w:val="-16"/>
          <w:w w:val="105"/>
        </w:rPr>
        <w:t> </w:t>
      </w:r>
      <w:r>
        <w:rPr>
          <w:color w:val="231F20"/>
          <w:w w:val="105"/>
        </w:rPr>
        <w:t>concentrated</w:t>
      </w:r>
      <w:r>
        <w:rPr>
          <w:color w:val="231F20"/>
          <w:spacing w:val="-17"/>
          <w:w w:val="105"/>
        </w:rPr>
        <w:t> </w:t>
      </w:r>
      <w:r>
        <w:rPr>
          <w:color w:val="231F20"/>
          <w:w w:val="105"/>
        </w:rPr>
        <w:t>in</w:t>
      </w:r>
      <w:r>
        <w:rPr>
          <w:color w:val="231F20"/>
          <w:spacing w:val="-16"/>
          <w:w w:val="105"/>
        </w:rPr>
        <w:t> </w:t>
      </w:r>
      <w:r>
        <w:rPr>
          <w:color w:val="231F20"/>
          <w:w w:val="105"/>
        </w:rPr>
        <w:t>the</w:t>
      </w:r>
      <w:r>
        <w:rPr>
          <w:color w:val="231F20"/>
          <w:spacing w:val="-17"/>
          <w:w w:val="105"/>
        </w:rPr>
        <w:t> </w:t>
      </w:r>
      <w:r>
        <w:rPr>
          <w:color w:val="231F20"/>
          <w:w w:val="105"/>
        </w:rPr>
        <w:t>tubular fluid</w:t>
      </w:r>
      <w:r>
        <w:rPr>
          <w:color w:val="231F20"/>
          <w:spacing w:val="-14"/>
          <w:w w:val="105"/>
        </w:rPr>
        <w:t> </w:t>
      </w:r>
      <w:r>
        <w:rPr>
          <w:color w:val="231F20"/>
          <w:w w:val="105"/>
        </w:rPr>
        <w:t>is</w:t>
      </w:r>
      <w:r>
        <w:rPr>
          <w:color w:val="231F20"/>
          <w:spacing w:val="-13"/>
          <w:w w:val="105"/>
        </w:rPr>
        <w:t> </w:t>
      </w:r>
      <w:r>
        <w:rPr>
          <w:color w:val="231F20"/>
          <w:w w:val="105"/>
        </w:rPr>
        <w:t>determined</w:t>
      </w:r>
      <w:r>
        <w:rPr>
          <w:color w:val="231F20"/>
          <w:spacing w:val="-14"/>
          <w:w w:val="105"/>
        </w:rPr>
        <w:t> </w:t>
      </w:r>
      <w:r>
        <w:rPr>
          <w:color w:val="231F20"/>
          <w:w w:val="105"/>
        </w:rPr>
        <w:t>by</w:t>
      </w:r>
      <w:r>
        <w:rPr>
          <w:color w:val="231F20"/>
          <w:spacing w:val="-13"/>
          <w:w w:val="105"/>
        </w:rPr>
        <w:t> </w:t>
      </w:r>
      <w:r>
        <w:rPr>
          <w:color w:val="231F20"/>
          <w:w w:val="105"/>
        </w:rPr>
        <w:t>the</w:t>
      </w:r>
      <w:r>
        <w:rPr>
          <w:color w:val="231F20"/>
          <w:spacing w:val="-13"/>
          <w:w w:val="105"/>
        </w:rPr>
        <w:t> </w:t>
      </w:r>
      <w:r>
        <w:rPr>
          <w:color w:val="231F20"/>
          <w:w w:val="105"/>
        </w:rPr>
        <w:t>relative</w:t>
      </w:r>
      <w:r>
        <w:rPr>
          <w:color w:val="231F20"/>
          <w:spacing w:val="-14"/>
          <w:w w:val="105"/>
        </w:rPr>
        <w:t> </w:t>
      </w:r>
      <w:r>
        <w:rPr>
          <w:color w:val="231F20"/>
          <w:w w:val="105"/>
        </w:rPr>
        <w:t>degree</w:t>
      </w:r>
      <w:r>
        <w:rPr>
          <w:color w:val="231F20"/>
          <w:spacing w:val="-13"/>
          <w:w w:val="105"/>
        </w:rPr>
        <w:t> </w:t>
      </w:r>
      <w:r>
        <w:rPr>
          <w:color w:val="231F20"/>
          <w:w w:val="105"/>
        </w:rPr>
        <w:t>of</w:t>
      </w:r>
      <w:r>
        <w:rPr>
          <w:color w:val="231F20"/>
          <w:spacing w:val="-13"/>
          <w:w w:val="105"/>
        </w:rPr>
        <w:t> </w:t>
      </w:r>
      <w:r>
        <w:rPr>
          <w:color w:val="231F20"/>
          <w:w w:val="105"/>
        </w:rPr>
        <w:t>reabsorption of</w:t>
      </w:r>
      <w:r>
        <w:rPr>
          <w:color w:val="231F20"/>
          <w:spacing w:val="-17"/>
          <w:w w:val="105"/>
        </w:rPr>
        <w:t> </w:t>
      </w:r>
      <w:r>
        <w:rPr>
          <w:color w:val="231F20"/>
          <w:w w:val="105"/>
        </w:rPr>
        <w:t>that</w:t>
      </w:r>
      <w:r>
        <w:rPr>
          <w:color w:val="231F20"/>
          <w:spacing w:val="-16"/>
          <w:w w:val="105"/>
        </w:rPr>
        <w:t> </w:t>
      </w:r>
      <w:r>
        <w:rPr>
          <w:color w:val="231F20"/>
          <w:w w:val="105"/>
        </w:rPr>
        <w:t>solute</w:t>
      </w:r>
      <w:r>
        <w:rPr>
          <w:color w:val="231F20"/>
          <w:spacing w:val="-16"/>
          <w:w w:val="105"/>
        </w:rPr>
        <w:t> </w:t>
      </w:r>
      <w:r>
        <w:rPr>
          <w:color w:val="231F20"/>
          <w:w w:val="105"/>
        </w:rPr>
        <w:t>versus</w:t>
      </w:r>
      <w:r>
        <w:rPr>
          <w:color w:val="231F20"/>
          <w:spacing w:val="-17"/>
          <w:w w:val="105"/>
        </w:rPr>
        <w:t> </w:t>
      </w:r>
      <w:r>
        <w:rPr>
          <w:color w:val="231F20"/>
          <w:w w:val="105"/>
        </w:rPr>
        <w:t>the</w:t>
      </w:r>
      <w:r>
        <w:rPr>
          <w:color w:val="231F20"/>
          <w:spacing w:val="-16"/>
          <w:w w:val="105"/>
        </w:rPr>
        <w:t> </w:t>
      </w:r>
      <w:r>
        <w:rPr>
          <w:color w:val="231F20"/>
          <w:w w:val="105"/>
        </w:rPr>
        <w:t>reabsorption</w:t>
      </w:r>
      <w:r>
        <w:rPr>
          <w:color w:val="231F20"/>
          <w:spacing w:val="-16"/>
          <w:w w:val="105"/>
        </w:rPr>
        <w:t> </w:t>
      </w:r>
      <w:r>
        <w:rPr>
          <w:color w:val="231F20"/>
          <w:w w:val="105"/>
        </w:rPr>
        <w:t>of</w:t>
      </w:r>
      <w:r>
        <w:rPr>
          <w:color w:val="231F20"/>
          <w:spacing w:val="-17"/>
          <w:w w:val="105"/>
        </w:rPr>
        <w:t> </w:t>
      </w:r>
      <w:r>
        <w:rPr>
          <w:color w:val="231F20"/>
          <w:spacing w:val="-3"/>
          <w:w w:val="105"/>
        </w:rPr>
        <w:t>water.</w:t>
      </w:r>
      <w:r>
        <w:rPr>
          <w:color w:val="231F20"/>
          <w:spacing w:val="-16"/>
          <w:w w:val="105"/>
        </w:rPr>
        <w:t> </w:t>
      </w:r>
      <w:r>
        <w:rPr>
          <w:color w:val="231F20"/>
          <w:w w:val="105"/>
        </w:rPr>
        <w:t>If</w:t>
      </w:r>
      <w:r>
        <w:rPr>
          <w:color w:val="231F20"/>
          <w:spacing w:val="-16"/>
          <w:w w:val="105"/>
        </w:rPr>
        <w:t> </w:t>
      </w:r>
      <w:r>
        <w:rPr>
          <w:color w:val="231F20"/>
          <w:w w:val="105"/>
        </w:rPr>
        <w:t>a</w:t>
      </w:r>
      <w:r>
        <w:rPr>
          <w:color w:val="231F20"/>
          <w:spacing w:val="-17"/>
          <w:w w:val="105"/>
        </w:rPr>
        <w:t> </w:t>
      </w:r>
      <w:r>
        <w:rPr>
          <w:color w:val="231F20"/>
          <w:spacing w:val="-3"/>
          <w:w w:val="105"/>
        </w:rPr>
        <w:t>greater </w:t>
      </w:r>
      <w:r>
        <w:rPr>
          <w:color w:val="231F20"/>
          <w:w w:val="105"/>
        </w:rPr>
        <w:t>percentage</w:t>
      </w:r>
      <w:r>
        <w:rPr>
          <w:color w:val="231F20"/>
          <w:spacing w:val="-24"/>
          <w:w w:val="105"/>
        </w:rPr>
        <w:t> </w:t>
      </w:r>
      <w:r>
        <w:rPr>
          <w:color w:val="231F20"/>
          <w:w w:val="105"/>
        </w:rPr>
        <w:t>of</w:t>
      </w:r>
      <w:r>
        <w:rPr>
          <w:color w:val="231F20"/>
          <w:spacing w:val="-24"/>
          <w:w w:val="105"/>
        </w:rPr>
        <w:t> </w:t>
      </w:r>
      <w:r>
        <w:rPr>
          <w:color w:val="231F20"/>
          <w:w w:val="105"/>
        </w:rPr>
        <w:t>water</w:t>
      </w:r>
      <w:r>
        <w:rPr>
          <w:color w:val="231F20"/>
          <w:spacing w:val="-24"/>
          <w:w w:val="105"/>
        </w:rPr>
        <w:t> </w:t>
      </w:r>
      <w:r>
        <w:rPr>
          <w:color w:val="231F20"/>
          <w:w w:val="105"/>
        </w:rPr>
        <w:t>is</w:t>
      </w:r>
      <w:r>
        <w:rPr>
          <w:color w:val="231F20"/>
          <w:spacing w:val="-24"/>
          <w:w w:val="105"/>
        </w:rPr>
        <w:t> </w:t>
      </w:r>
      <w:r>
        <w:rPr>
          <w:color w:val="231F20"/>
          <w:w w:val="105"/>
        </w:rPr>
        <w:t>reabsorbed,</w:t>
      </w:r>
      <w:r>
        <w:rPr>
          <w:color w:val="231F20"/>
          <w:spacing w:val="-24"/>
          <w:w w:val="105"/>
        </w:rPr>
        <w:t> </w:t>
      </w:r>
      <w:r>
        <w:rPr>
          <w:color w:val="231F20"/>
          <w:w w:val="105"/>
        </w:rPr>
        <w:t>the</w:t>
      </w:r>
      <w:r>
        <w:rPr>
          <w:color w:val="231F20"/>
          <w:spacing w:val="-24"/>
          <w:w w:val="105"/>
        </w:rPr>
        <w:t> </w:t>
      </w:r>
      <w:r>
        <w:rPr>
          <w:color w:val="231F20"/>
          <w:w w:val="105"/>
        </w:rPr>
        <w:t>substance</w:t>
      </w:r>
      <w:r>
        <w:rPr>
          <w:color w:val="231F20"/>
          <w:spacing w:val="-24"/>
          <w:w w:val="105"/>
        </w:rPr>
        <w:t> </w:t>
      </w:r>
      <w:r>
        <w:rPr>
          <w:color w:val="231F20"/>
          <w:w w:val="105"/>
        </w:rPr>
        <w:t>becomes more concentrated. If a greater percentage of the solute is reabsorbed, the substance becomes more</w:t>
      </w:r>
      <w:r>
        <w:rPr>
          <w:color w:val="231F20"/>
          <w:spacing w:val="-9"/>
          <w:w w:val="105"/>
        </w:rPr>
        <w:t> </w:t>
      </w:r>
      <w:r>
        <w:rPr>
          <w:color w:val="231F20"/>
          <w:w w:val="105"/>
        </w:rPr>
        <w:t>diluted.</w:t>
      </w:r>
    </w:p>
    <w:p>
      <w:pPr>
        <w:pStyle w:val="BodyText"/>
        <w:spacing w:line="249" w:lineRule="auto" w:before="5"/>
        <w:ind w:left="319" w:right="1437" w:firstLine="240"/>
        <w:jc w:val="both"/>
      </w:pPr>
      <w:hyperlink w:history="true" w:anchor="_bookmark54">
        <w:r>
          <w:rPr>
            <w:b/>
            <w:color w:val="0080AC"/>
            <w:w w:val="105"/>
          </w:rPr>
          <w:t>Figure 28-15</w:t>
        </w:r>
      </w:hyperlink>
      <w:r>
        <w:rPr>
          <w:b/>
          <w:color w:val="0080AC"/>
          <w:w w:val="105"/>
        </w:rPr>
        <w:t> </w:t>
      </w:r>
      <w:r>
        <w:rPr>
          <w:color w:val="231F20"/>
          <w:w w:val="105"/>
        </w:rPr>
        <w:t>shows the  degree  of  concentration  of several substances in the different tubular segments. All the values in this figure represent the tubular fluid concentration divided by the plasma concentration of a substance. If plasma concentration of the substance is assumed to be constant, any change in the tubular fluid/ plasma concentration ratio reflects changes in tubular fluid</w:t>
      </w:r>
      <w:r>
        <w:rPr>
          <w:color w:val="231F20"/>
          <w:spacing w:val="2"/>
          <w:w w:val="105"/>
        </w:rPr>
        <w:t> </w:t>
      </w:r>
      <w:r>
        <w:rPr>
          <w:color w:val="231F20"/>
          <w:w w:val="105"/>
        </w:rPr>
        <w:t>concentration.</w:t>
      </w:r>
    </w:p>
    <w:p>
      <w:pPr>
        <w:pStyle w:val="BodyText"/>
        <w:spacing w:line="249" w:lineRule="auto" w:before="6"/>
        <w:ind w:left="319" w:right="1437" w:firstLine="240"/>
        <w:jc w:val="both"/>
      </w:pPr>
      <w:r>
        <w:rPr>
          <w:color w:val="231F20"/>
          <w:w w:val="105"/>
        </w:rPr>
        <w:t>As the filtrate moves along the tubular system, the concentration rises to progressively greater than 1.0 if</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652"/>
          <w:pgSz w:w="12240" w:h="15660"/>
          <w:pgMar w:header="0" w:footer="567" w:top="0" w:bottom="760" w:left="0" w:right="0"/>
        </w:sectPr>
      </w:pPr>
    </w:p>
    <w:p>
      <w:pPr>
        <w:pStyle w:val="BodyText"/>
        <w:spacing w:before="9"/>
        <w:rPr>
          <w:sz w:val="25"/>
        </w:rPr>
      </w:pPr>
    </w:p>
    <w:p>
      <w:pPr>
        <w:spacing w:before="0"/>
        <w:ind w:left="0" w:right="0" w:firstLine="0"/>
        <w:jc w:val="right"/>
        <w:rPr>
          <w:rFonts w:ascii="Helvetica"/>
          <w:sz w:val="16"/>
        </w:rPr>
      </w:pPr>
      <w:r>
        <w:rPr>
          <w:rFonts w:ascii="Helvetica"/>
          <w:color w:val="231F20"/>
          <w:w w:val="95"/>
          <w:sz w:val="16"/>
        </w:rPr>
        <w:t>100.0</w:t>
      </w:r>
    </w:p>
    <w:p>
      <w:pPr>
        <w:pStyle w:val="BodyText"/>
        <w:spacing w:before="9"/>
        <w:rPr>
          <w:rFonts w:ascii="Helvetica"/>
          <w:sz w:val="14"/>
        </w:rPr>
      </w:pPr>
    </w:p>
    <w:p>
      <w:pPr>
        <w:spacing w:before="0"/>
        <w:ind w:left="0" w:right="0" w:firstLine="0"/>
        <w:jc w:val="right"/>
        <w:rPr>
          <w:rFonts w:ascii="Helvetica"/>
          <w:sz w:val="16"/>
        </w:rPr>
      </w:pPr>
      <w:r>
        <w:rPr/>
        <w:pict>
          <v:shape style="position:absolute;margin-left:87.719299pt;margin-top:7.952085pt;width:11.55pt;height:175.85pt;mso-position-horizontal-relative:page;mso-position-vertical-relative:paragraph;z-index:252224512"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Tubular fluid/glomerular filtrate concentration</w:t>
                  </w:r>
                </w:p>
              </w:txbxContent>
            </v:textbox>
            <w10:wrap type="none"/>
          </v:shape>
        </w:pict>
      </w:r>
      <w:r>
        <w:rPr>
          <w:rFonts w:ascii="Helvetica"/>
          <w:color w:val="231F20"/>
          <w:w w:val="95"/>
          <w:sz w:val="16"/>
        </w:rPr>
        <w:t>50.0</w:t>
      </w:r>
    </w:p>
    <w:p>
      <w:pPr>
        <w:pStyle w:val="BodyText"/>
        <w:spacing w:before="10"/>
        <w:rPr>
          <w:rFonts w:ascii="Helvetica"/>
          <w:sz w:val="21"/>
        </w:rPr>
      </w:pPr>
    </w:p>
    <w:p>
      <w:pPr>
        <w:spacing w:before="0"/>
        <w:ind w:left="0" w:right="0" w:firstLine="0"/>
        <w:jc w:val="right"/>
        <w:rPr>
          <w:rFonts w:ascii="Helvetica"/>
          <w:sz w:val="16"/>
        </w:rPr>
      </w:pPr>
      <w:r>
        <w:rPr>
          <w:rFonts w:ascii="Helvetica"/>
          <w:color w:val="231F20"/>
          <w:w w:val="95"/>
          <w:sz w:val="16"/>
        </w:rPr>
        <w:t>20.0</w:t>
      </w:r>
    </w:p>
    <w:p>
      <w:pPr>
        <w:pStyle w:val="BodyText"/>
        <w:spacing w:before="4"/>
        <w:rPr>
          <w:rFonts w:ascii="Helvetica"/>
          <w:sz w:val="16"/>
        </w:rPr>
      </w:pPr>
    </w:p>
    <w:p>
      <w:pPr>
        <w:spacing w:before="0"/>
        <w:ind w:left="0" w:right="0" w:firstLine="0"/>
        <w:jc w:val="right"/>
        <w:rPr>
          <w:rFonts w:ascii="Helvetica"/>
          <w:sz w:val="16"/>
        </w:rPr>
      </w:pPr>
      <w:r>
        <w:rPr>
          <w:rFonts w:ascii="Helvetica"/>
          <w:color w:val="231F20"/>
          <w:w w:val="95"/>
          <w:sz w:val="16"/>
        </w:rPr>
        <w:t>10.0</w:t>
      </w:r>
    </w:p>
    <w:p>
      <w:pPr>
        <w:spacing w:before="146"/>
        <w:ind w:left="0" w:right="0" w:firstLine="0"/>
        <w:jc w:val="right"/>
        <w:rPr>
          <w:rFonts w:ascii="Helvetica"/>
          <w:sz w:val="16"/>
        </w:rPr>
      </w:pPr>
      <w:r>
        <w:rPr>
          <w:rFonts w:ascii="Helvetica"/>
          <w:color w:val="231F20"/>
          <w:w w:val="95"/>
          <w:sz w:val="16"/>
        </w:rPr>
        <w:t>5.0</w:t>
      </w:r>
    </w:p>
    <w:p>
      <w:pPr>
        <w:pStyle w:val="BodyText"/>
        <w:spacing w:before="7"/>
        <w:rPr>
          <w:rFonts w:ascii="Helvetica"/>
          <w:sz w:val="22"/>
        </w:rPr>
      </w:pPr>
    </w:p>
    <w:p>
      <w:pPr>
        <w:spacing w:before="0"/>
        <w:ind w:left="0" w:right="0" w:firstLine="0"/>
        <w:jc w:val="right"/>
        <w:rPr>
          <w:rFonts w:ascii="Helvetica"/>
          <w:sz w:val="16"/>
        </w:rPr>
      </w:pPr>
      <w:r>
        <w:rPr>
          <w:rFonts w:ascii="Helvetica"/>
          <w:color w:val="231F20"/>
          <w:w w:val="95"/>
          <w:sz w:val="16"/>
        </w:rPr>
        <w:t>2.0</w:t>
      </w:r>
    </w:p>
    <w:p>
      <w:pPr>
        <w:spacing w:before="156"/>
        <w:ind w:left="0" w:right="0" w:firstLine="0"/>
        <w:jc w:val="right"/>
        <w:rPr>
          <w:rFonts w:ascii="Helvetica"/>
          <w:sz w:val="16"/>
        </w:rPr>
      </w:pPr>
      <w:r>
        <w:rPr>
          <w:rFonts w:ascii="Helvetica"/>
          <w:color w:val="231F20"/>
          <w:w w:val="95"/>
          <w:sz w:val="16"/>
        </w:rPr>
        <w:t>1.0</w:t>
      </w:r>
    </w:p>
    <w:p>
      <w:pPr>
        <w:pStyle w:val="BodyText"/>
        <w:rPr>
          <w:rFonts w:ascii="Helvetica"/>
          <w:sz w:val="15"/>
        </w:rPr>
      </w:pPr>
    </w:p>
    <w:p>
      <w:pPr>
        <w:spacing w:before="0"/>
        <w:ind w:left="0" w:right="0" w:firstLine="0"/>
        <w:jc w:val="right"/>
        <w:rPr>
          <w:rFonts w:ascii="Helvetica"/>
          <w:sz w:val="16"/>
        </w:rPr>
      </w:pPr>
      <w:r>
        <w:rPr>
          <w:rFonts w:ascii="Helvetica"/>
          <w:color w:val="231F20"/>
          <w:w w:val="95"/>
          <w:sz w:val="16"/>
        </w:rPr>
        <w:t>0.50</w:t>
      </w:r>
    </w:p>
    <w:p>
      <w:pPr>
        <w:pStyle w:val="BodyText"/>
        <w:spacing w:before="9"/>
        <w:rPr>
          <w:rFonts w:ascii="Helvetica"/>
        </w:rPr>
      </w:pPr>
    </w:p>
    <w:p>
      <w:pPr>
        <w:spacing w:before="0"/>
        <w:ind w:left="0" w:right="0" w:firstLine="0"/>
        <w:jc w:val="right"/>
        <w:rPr>
          <w:rFonts w:ascii="Helvetica"/>
          <w:sz w:val="16"/>
        </w:rPr>
      </w:pPr>
      <w:r>
        <w:rPr>
          <w:rFonts w:ascii="Helvetica"/>
          <w:color w:val="231F20"/>
          <w:w w:val="95"/>
          <w:sz w:val="16"/>
        </w:rPr>
        <w:t>0.20</w:t>
      </w:r>
    </w:p>
    <w:p>
      <w:pPr>
        <w:pStyle w:val="BodyText"/>
        <w:spacing w:before="9"/>
        <w:rPr>
          <w:rFonts w:ascii="Helvetica"/>
          <w:sz w:val="16"/>
        </w:rPr>
      </w:pPr>
    </w:p>
    <w:p>
      <w:pPr>
        <w:spacing w:before="0"/>
        <w:ind w:left="0" w:right="0" w:firstLine="0"/>
        <w:jc w:val="right"/>
        <w:rPr>
          <w:rFonts w:ascii="Helvetica"/>
          <w:sz w:val="16"/>
        </w:rPr>
      </w:pPr>
      <w:r>
        <w:rPr>
          <w:rFonts w:ascii="Helvetica"/>
          <w:color w:val="231F20"/>
          <w:w w:val="95"/>
          <w:sz w:val="16"/>
        </w:rPr>
        <w:t>0.10</w:t>
      </w:r>
    </w:p>
    <w:p>
      <w:pPr>
        <w:spacing w:before="153"/>
        <w:ind w:left="0" w:right="0" w:firstLine="0"/>
        <w:jc w:val="right"/>
        <w:rPr>
          <w:rFonts w:ascii="Helvetica"/>
          <w:sz w:val="16"/>
        </w:rPr>
      </w:pPr>
      <w:r>
        <w:rPr>
          <w:rFonts w:ascii="Helvetica"/>
          <w:color w:val="231F20"/>
          <w:w w:val="95"/>
          <w:sz w:val="16"/>
        </w:rPr>
        <w:t>0.05</w:t>
      </w:r>
    </w:p>
    <w:p>
      <w:pPr>
        <w:pStyle w:val="BodyText"/>
        <w:spacing w:before="2"/>
        <w:rPr>
          <w:rFonts w:ascii="Helvetica"/>
          <w:sz w:val="21"/>
        </w:rPr>
      </w:pPr>
    </w:p>
    <w:p>
      <w:pPr>
        <w:pStyle w:val="ListParagraph"/>
        <w:numPr>
          <w:ilvl w:val="1"/>
          <w:numId w:val="2"/>
        </w:numPr>
        <w:tabs>
          <w:tab w:pos="313" w:val="left" w:leader="none"/>
        </w:tabs>
        <w:spacing w:line="240" w:lineRule="auto" w:before="1" w:after="0"/>
        <w:ind w:left="2430" w:right="0" w:hanging="2431"/>
        <w:jc w:val="right"/>
        <w:rPr>
          <w:rFonts w:ascii="Helvetica"/>
          <w:color w:val="231F20"/>
          <w:sz w:val="14"/>
        </w:rPr>
      </w:pP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3"/>
        <w:rPr>
          <w:rFonts w:ascii="Helvetica"/>
        </w:rPr>
      </w:pPr>
    </w:p>
    <w:p>
      <w:pPr>
        <w:spacing w:before="1"/>
        <w:ind w:left="0" w:right="34" w:firstLine="0"/>
        <w:jc w:val="right"/>
        <w:rPr>
          <w:rFonts w:ascii="Helvetica"/>
          <w:sz w:val="16"/>
        </w:rPr>
      </w:pPr>
      <w:r>
        <w:rPr/>
        <w:pict>
          <v:shape style="position:absolute;margin-left:245.313058pt;margin-top:-28.078775pt;width:22.3pt;height:8pt;mso-position-horizontal-relative:page;mso-position-vertical-relative:paragraph;z-index:252226560;rotation:301" type="#_x0000_t136" fillcolor="#231f20" stroked="f">
            <o:extrusion v:ext="view" autorotationcenter="t"/>
            <v:textpath style="font-family:&quot;Helvetica&quot;;font-size:8pt;v-text-kern:t;mso-text-shadow:auto" string="to 585"/>
            <w10:wrap type="none"/>
          </v:shape>
        </w:pict>
      </w:r>
      <w:r>
        <w:rPr>
          <w:rFonts w:ascii="Helvetica"/>
          <w:color w:val="231F20"/>
          <w:w w:val="95"/>
          <w:sz w:val="16"/>
        </w:rPr>
        <w:t>PAH</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300" w:lineRule="atLeast" w:before="131"/>
        <w:ind w:left="1149" w:right="75" w:firstLine="65"/>
        <w:jc w:val="left"/>
        <w:rPr>
          <w:rFonts w:ascii="Helvetica"/>
          <w:sz w:val="16"/>
        </w:rPr>
      </w:pPr>
      <w:r>
        <w:rPr/>
        <w:pict>
          <v:shape style="position:absolute;margin-left:148.076172pt;margin-top:-4.728176pt;width:36.5pt;height:8pt;mso-position-horizontal-relative:page;mso-position-vertical-relative:paragraph;z-index:252228608;rotation:329" type="#_x0000_t136" fillcolor="#231f20" stroked="f">
            <o:extrusion v:ext="view" autorotationcenter="t"/>
            <v:textpath style="font-family:&quot;Helvetica&quot;;font-size:8pt;v-text-kern:t;mso-text-shadow:auto" string="Creatinine"/>
            <w10:wrap type="none"/>
          </v:shape>
        </w:pict>
      </w:r>
      <w:r>
        <w:rPr/>
        <w:pict>
          <v:shape style="position:absolute;margin-left:154.543045pt;margin-top:12.787848pt;width:19.2pt;height:8pt;mso-position-horizontal-relative:page;mso-position-vertical-relative:paragraph;z-index:252229632;rotation:329" type="#_x0000_t136" fillcolor="#231f20" stroked="f">
            <o:extrusion v:ext="view" autorotationcenter="t"/>
            <v:textpath style="font-family:&quot;Helvetica&quot;;font-size:8pt;v-text-kern:t;mso-text-shadow:auto" string="Inulin"/>
            <w10:wrap type="none"/>
          </v:shape>
        </w:pict>
      </w:r>
      <w:r>
        <w:rPr/>
        <w:pict>
          <v:shape style="position:absolute;margin-left:143.262177pt;margin-top:25.038532pt;width:17.4pt;height:8pt;mso-position-horizontal-relative:page;mso-position-vertical-relative:paragraph;z-index:252230656;rotation:346" type="#_x0000_t136" fillcolor="#231f20" stroked="f">
            <o:extrusion v:ext="view" autorotationcenter="t"/>
            <v:textpath style="font-family:&quot;Helvetica&quot;;font-size:8pt;v-text-kern:t;mso-text-shadow:auto" string="Urea"/>
            <w10:wrap type="none"/>
          </v:shape>
        </w:pict>
      </w:r>
      <w:r>
        <w:rPr>
          <w:rFonts w:ascii="Helvetica"/>
          <w:color w:val="231F20"/>
          <w:sz w:val="16"/>
        </w:rPr>
        <w:t>Cl K</w:t>
      </w:r>
    </w:p>
    <w:p>
      <w:pPr>
        <w:spacing w:before="2"/>
        <w:ind w:left="945" w:right="0" w:firstLine="0"/>
        <w:jc w:val="left"/>
        <w:rPr>
          <w:rFonts w:ascii="Helvetica"/>
          <w:sz w:val="16"/>
        </w:rPr>
      </w:pPr>
      <w:r>
        <w:rPr/>
        <w:pict>
          <v:shape style="position:absolute;margin-left:128.838751pt;margin-top:38.074438pt;width:29.45pt;height:8pt;mso-position-horizontal-relative:page;mso-position-vertical-relative:paragraph;z-index:252222464;rotation:73" type="#_x0000_t136" fillcolor="#231f20" stroked="f">
            <o:extrusion v:ext="view" autorotationcenter="t"/>
            <v:textpath style="font-family:&quot;Helvetica&quot;;font-size:8pt;v-text-kern:t;mso-text-shadow:auto" string="Glucose"/>
            <w10:wrap type="none"/>
          </v:shape>
        </w:pict>
      </w:r>
      <w:r>
        <w:rPr>
          <w:rFonts w:ascii="Helvetica"/>
          <w:color w:val="231F20"/>
          <w:sz w:val="16"/>
        </w:rPr>
        <w:t>and Na</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rPr>
      </w:pPr>
    </w:p>
    <w:p>
      <w:pPr>
        <w:tabs>
          <w:tab w:pos="1117" w:val="left" w:leader="none"/>
        </w:tabs>
        <w:spacing w:line="496" w:lineRule="auto" w:before="0"/>
        <w:ind w:left="1169" w:right="0" w:hanging="407"/>
        <w:jc w:val="left"/>
        <w:rPr>
          <w:rFonts w:ascii="Helvetica"/>
          <w:sz w:val="16"/>
        </w:rPr>
      </w:pPr>
      <w:r>
        <w:rPr>
          <w:rFonts w:ascii="Helvetica"/>
          <w:color w:val="231F20"/>
          <w:position w:val="7"/>
          <w:sz w:val="16"/>
        </w:rPr>
        <w:t>K</w:t>
        <w:tab/>
      </w:r>
      <w:r>
        <w:rPr>
          <w:rFonts w:ascii="Helvetica"/>
          <w:color w:val="231F20"/>
          <w:sz w:val="16"/>
        </w:rPr>
        <w:t>Cl Na</w:t>
      </w:r>
    </w:p>
    <w:p>
      <w:pPr>
        <w:pStyle w:val="BodyText"/>
        <w:rPr>
          <w:rFonts w:ascii="Helvetica"/>
          <w:sz w:val="18"/>
        </w:rPr>
      </w:pPr>
    </w:p>
    <w:p>
      <w:pPr>
        <w:pStyle w:val="BodyText"/>
        <w:rPr>
          <w:rFonts w:ascii="Helvetica"/>
          <w:sz w:val="18"/>
        </w:rPr>
      </w:pPr>
    </w:p>
    <w:p>
      <w:pPr>
        <w:spacing w:before="117"/>
        <w:ind w:left="276" w:right="0" w:firstLine="0"/>
        <w:jc w:val="left"/>
        <w:rPr>
          <w:rFonts w:ascii="Helvetica"/>
          <w:sz w:val="12"/>
        </w:rPr>
      </w:pPr>
      <w:r>
        <w:rPr>
          <w:rFonts w:ascii="Helvetica"/>
          <w:color w:val="231F20"/>
          <w:sz w:val="16"/>
        </w:rPr>
        <w:t>HCO</w:t>
      </w:r>
      <w:r>
        <w:rPr>
          <w:rFonts w:ascii="Helvetica"/>
          <w:color w:val="231F20"/>
          <w:position w:val="-4"/>
          <w:sz w:val="12"/>
        </w:rPr>
        <w:t>3</w:t>
      </w:r>
    </w:p>
    <w:p>
      <w:pPr>
        <w:pStyle w:val="BodyText"/>
        <w:spacing w:line="249" w:lineRule="auto" w:before="100"/>
        <w:ind w:left="1094" w:right="1077"/>
        <w:jc w:val="both"/>
      </w:pPr>
      <w:r>
        <w:rPr/>
        <w:br w:type="column"/>
      </w:r>
      <w:r>
        <w:rPr>
          <w:color w:val="231F20"/>
          <w:w w:val="105"/>
        </w:rPr>
        <w:t>tubules,</w:t>
      </w:r>
      <w:r>
        <w:rPr>
          <w:color w:val="231F20"/>
          <w:spacing w:val="-21"/>
          <w:w w:val="105"/>
        </w:rPr>
        <w:t> </w:t>
      </w:r>
      <w:r>
        <w:rPr>
          <w:color w:val="231F20"/>
          <w:w w:val="105"/>
        </w:rPr>
        <w:t>indicating</w:t>
      </w:r>
      <w:r>
        <w:rPr>
          <w:color w:val="231F20"/>
          <w:spacing w:val="-20"/>
          <w:w w:val="105"/>
        </w:rPr>
        <w:t> </w:t>
      </w:r>
      <w:r>
        <w:rPr>
          <w:color w:val="231F20"/>
          <w:w w:val="105"/>
        </w:rPr>
        <w:t>that</w:t>
      </w:r>
      <w:r>
        <w:rPr>
          <w:color w:val="231F20"/>
          <w:spacing w:val="-20"/>
          <w:w w:val="105"/>
        </w:rPr>
        <w:t> </w:t>
      </w:r>
      <w:r>
        <w:rPr>
          <w:color w:val="231F20"/>
          <w:w w:val="105"/>
        </w:rPr>
        <w:t>inulin</w:t>
      </w:r>
      <w:r>
        <w:rPr>
          <w:color w:val="231F20"/>
          <w:spacing w:val="-21"/>
          <w:w w:val="105"/>
        </w:rPr>
        <w:t> </w:t>
      </w:r>
      <w:r>
        <w:rPr>
          <w:color w:val="231F20"/>
          <w:w w:val="105"/>
        </w:rPr>
        <w:t>concentration</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spacing w:val="-3"/>
          <w:w w:val="105"/>
        </w:rPr>
        <w:t>tubular </w:t>
      </w:r>
      <w:r>
        <w:rPr>
          <w:color w:val="231F20"/>
          <w:w w:val="105"/>
        </w:rPr>
        <w:t>fluid is three times greater than in the plasma and in  the glomerular filtrate. Because inulin is not secreted </w:t>
      </w:r>
      <w:r>
        <w:rPr>
          <w:color w:val="231F20"/>
          <w:spacing w:val="-6"/>
          <w:w w:val="105"/>
        </w:rPr>
        <w:t>or </w:t>
      </w:r>
      <w:r>
        <w:rPr>
          <w:color w:val="231F20"/>
          <w:w w:val="105"/>
        </w:rPr>
        <w:t>reabsorbed</w:t>
      </w:r>
      <w:r>
        <w:rPr>
          <w:color w:val="231F20"/>
          <w:spacing w:val="-7"/>
          <w:w w:val="105"/>
        </w:rPr>
        <w:t> </w:t>
      </w:r>
      <w:r>
        <w:rPr>
          <w:color w:val="231F20"/>
          <w:w w:val="105"/>
        </w:rPr>
        <w:t>from</w:t>
      </w:r>
      <w:r>
        <w:rPr>
          <w:color w:val="231F20"/>
          <w:spacing w:val="-7"/>
          <w:w w:val="105"/>
        </w:rPr>
        <w:t> </w:t>
      </w:r>
      <w:r>
        <w:rPr>
          <w:color w:val="231F20"/>
          <w:w w:val="105"/>
        </w:rPr>
        <w:t>the</w:t>
      </w:r>
      <w:r>
        <w:rPr>
          <w:color w:val="231F20"/>
          <w:spacing w:val="-7"/>
          <w:w w:val="105"/>
        </w:rPr>
        <w:t> </w:t>
      </w:r>
      <w:r>
        <w:rPr>
          <w:color w:val="231F20"/>
          <w:w w:val="105"/>
        </w:rPr>
        <w:t>tubules,</w:t>
      </w:r>
      <w:r>
        <w:rPr>
          <w:color w:val="231F20"/>
          <w:spacing w:val="-7"/>
          <w:w w:val="105"/>
        </w:rPr>
        <w:t> </w:t>
      </w:r>
      <w:r>
        <w:rPr>
          <w:color w:val="231F20"/>
          <w:w w:val="105"/>
        </w:rPr>
        <w:t>a</w:t>
      </w:r>
      <w:r>
        <w:rPr>
          <w:color w:val="231F20"/>
          <w:spacing w:val="-7"/>
          <w:w w:val="105"/>
        </w:rPr>
        <w:t> </w:t>
      </w:r>
      <w:r>
        <w:rPr>
          <w:color w:val="231F20"/>
          <w:w w:val="105"/>
        </w:rPr>
        <w:t>tubular</w:t>
      </w:r>
      <w:r>
        <w:rPr>
          <w:color w:val="231F20"/>
          <w:spacing w:val="-7"/>
          <w:w w:val="105"/>
        </w:rPr>
        <w:t> </w:t>
      </w:r>
      <w:r>
        <w:rPr>
          <w:color w:val="231F20"/>
          <w:w w:val="105"/>
        </w:rPr>
        <w:t>fluid/plasma</w:t>
      </w:r>
      <w:r>
        <w:rPr>
          <w:color w:val="231F20"/>
          <w:spacing w:val="-7"/>
          <w:w w:val="105"/>
        </w:rPr>
        <w:t> </w:t>
      </w:r>
      <w:r>
        <w:rPr>
          <w:color w:val="231F20"/>
          <w:w w:val="105"/>
        </w:rPr>
        <w:t>con- centration ratio of 3.0 means that only one third of the water that was filtered remains in the renal tubule and that two thirds of the filtered water has been</w:t>
      </w:r>
      <w:r>
        <w:rPr>
          <w:color w:val="231F20"/>
          <w:spacing w:val="-13"/>
          <w:w w:val="105"/>
        </w:rPr>
        <w:t> </w:t>
      </w:r>
      <w:r>
        <w:rPr>
          <w:color w:val="231F20"/>
          <w:w w:val="105"/>
        </w:rPr>
        <w:t>reabsorbed as the fluid passes through the proximal tubule. </w:t>
      </w:r>
      <w:r>
        <w:rPr>
          <w:color w:val="231F20"/>
          <w:spacing w:val="-3"/>
          <w:w w:val="105"/>
        </w:rPr>
        <w:t>At </w:t>
      </w:r>
      <w:r>
        <w:rPr>
          <w:color w:val="231F20"/>
          <w:w w:val="105"/>
        </w:rPr>
        <w:t>the end</w:t>
      </w:r>
      <w:r>
        <w:rPr>
          <w:color w:val="231F20"/>
          <w:spacing w:val="-23"/>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collecting</w:t>
      </w:r>
      <w:r>
        <w:rPr>
          <w:color w:val="231F20"/>
          <w:spacing w:val="-22"/>
          <w:w w:val="105"/>
        </w:rPr>
        <w:t> </w:t>
      </w:r>
      <w:r>
        <w:rPr>
          <w:color w:val="231F20"/>
          <w:w w:val="105"/>
        </w:rPr>
        <w:t>ducts,</w:t>
      </w:r>
      <w:r>
        <w:rPr>
          <w:color w:val="231F20"/>
          <w:spacing w:val="-23"/>
          <w:w w:val="105"/>
        </w:rPr>
        <w:t> </w:t>
      </w:r>
      <w:r>
        <w:rPr>
          <w:color w:val="231F20"/>
          <w:w w:val="105"/>
        </w:rPr>
        <w:t>the</w:t>
      </w:r>
      <w:r>
        <w:rPr>
          <w:color w:val="231F20"/>
          <w:spacing w:val="-22"/>
          <w:w w:val="105"/>
        </w:rPr>
        <w:t> </w:t>
      </w:r>
      <w:r>
        <w:rPr>
          <w:color w:val="231F20"/>
          <w:w w:val="105"/>
        </w:rPr>
        <w:t>tubular</w:t>
      </w:r>
      <w:r>
        <w:rPr>
          <w:color w:val="231F20"/>
          <w:spacing w:val="-22"/>
          <w:w w:val="105"/>
        </w:rPr>
        <w:t> </w:t>
      </w:r>
      <w:r>
        <w:rPr>
          <w:color w:val="231F20"/>
          <w:w w:val="105"/>
        </w:rPr>
        <w:t>fluid/plasma</w:t>
      </w:r>
      <w:r>
        <w:rPr>
          <w:color w:val="231F20"/>
          <w:spacing w:val="-22"/>
          <w:w w:val="105"/>
        </w:rPr>
        <w:t> </w:t>
      </w:r>
      <w:r>
        <w:rPr>
          <w:color w:val="231F20"/>
          <w:spacing w:val="-4"/>
          <w:w w:val="105"/>
        </w:rPr>
        <w:t>inulin </w:t>
      </w:r>
      <w:r>
        <w:rPr>
          <w:color w:val="231F20"/>
          <w:w w:val="105"/>
        </w:rPr>
        <w:t>concentration</w:t>
      </w:r>
      <w:r>
        <w:rPr>
          <w:color w:val="231F20"/>
          <w:spacing w:val="-19"/>
          <w:w w:val="105"/>
        </w:rPr>
        <w:t> </w:t>
      </w:r>
      <w:r>
        <w:rPr>
          <w:color w:val="231F20"/>
          <w:w w:val="105"/>
        </w:rPr>
        <w:t>ratio</w:t>
      </w:r>
      <w:r>
        <w:rPr>
          <w:color w:val="231F20"/>
          <w:spacing w:val="-19"/>
          <w:w w:val="105"/>
        </w:rPr>
        <w:t> </w:t>
      </w:r>
      <w:r>
        <w:rPr>
          <w:color w:val="231F20"/>
          <w:w w:val="105"/>
        </w:rPr>
        <w:t>rises</w:t>
      </w:r>
      <w:r>
        <w:rPr>
          <w:color w:val="231F20"/>
          <w:spacing w:val="-18"/>
          <w:w w:val="105"/>
        </w:rPr>
        <w:t> </w:t>
      </w:r>
      <w:r>
        <w:rPr>
          <w:color w:val="231F20"/>
          <w:w w:val="105"/>
        </w:rPr>
        <w:t>to</w:t>
      </w:r>
      <w:r>
        <w:rPr>
          <w:color w:val="231F20"/>
          <w:spacing w:val="-19"/>
          <w:w w:val="105"/>
        </w:rPr>
        <w:t> </w:t>
      </w:r>
      <w:r>
        <w:rPr>
          <w:color w:val="231F20"/>
          <w:w w:val="105"/>
        </w:rPr>
        <w:t>about</w:t>
      </w:r>
      <w:r>
        <w:rPr>
          <w:color w:val="231F20"/>
          <w:spacing w:val="-18"/>
          <w:w w:val="105"/>
        </w:rPr>
        <w:t> </w:t>
      </w:r>
      <w:r>
        <w:rPr>
          <w:color w:val="231F20"/>
          <w:w w:val="105"/>
        </w:rPr>
        <w:t>125</w:t>
      </w:r>
      <w:r>
        <w:rPr>
          <w:color w:val="231F20"/>
          <w:spacing w:val="-19"/>
          <w:w w:val="105"/>
        </w:rPr>
        <w:t> </w:t>
      </w:r>
      <w:r>
        <w:rPr>
          <w:color w:val="231F20"/>
          <w:w w:val="105"/>
        </w:rPr>
        <w:t>(see</w:t>
      </w:r>
      <w:r>
        <w:rPr>
          <w:color w:val="231F20"/>
          <w:spacing w:val="-18"/>
          <w:w w:val="105"/>
        </w:rPr>
        <w:t> </w:t>
      </w:r>
      <w:hyperlink w:history="true" w:anchor="_bookmark54">
        <w:r>
          <w:rPr>
            <w:b/>
            <w:color w:val="0080AC"/>
            <w:w w:val="105"/>
          </w:rPr>
          <w:t>Figure</w:t>
        </w:r>
        <w:r>
          <w:rPr>
            <w:b/>
            <w:color w:val="0080AC"/>
            <w:spacing w:val="-20"/>
            <w:w w:val="105"/>
          </w:rPr>
          <w:t> </w:t>
        </w:r>
        <w:r>
          <w:rPr>
            <w:b/>
            <w:color w:val="0080AC"/>
            <w:w w:val="105"/>
          </w:rPr>
          <w:t>28-15</w:t>
        </w:r>
      </w:hyperlink>
      <w:r>
        <w:rPr>
          <w:color w:val="231F20"/>
          <w:w w:val="105"/>
        </w:rPr>
        <w:t>), indicating that only 1/125 of the filtered water remains in the tubule and that more than 99% has been reabsorbed.</w:t>
      </w:r>
    </w:p>
    <w:p>
      <w:pPr>
        <w:pStyle w:val="BodyText"/>
        <w:spacing w:before="5"/>
        <w:rPr>
          <w:sz w:val="25"/>
        </w:rPr>
      </w:pPr>
      <w:r>
        <w:rPr/>
        <w:pict>
          <v:shape style="position:absolute;margin-left:324pt;margin-top:15.862138pt;width:234pt;height:28pt;mso-position-horizontal-relative:page;mso-position-vertical-relative:paragraph;z-index:-251102208;mso-wrap-distance-left:0;mso-wrap-distance-right:0" type="#_x0000_t202" filled="true" fillcolor="#e8dac8" stroked="false">
            <v:textbox inset="0,0,0,0">
              <w:txbxContent>
                <w:p>
                  <w:pPr>
                    <w:spacing w:line="225" w:lineRule="auto" w:before="46"/>
                    <w:ind w:left="60" w:right="1754" w:firstLine="0"/>
                    <w:jc w:val="left"/>
                    <w:rPr>
                      <w:rFonts w:ascii="Trebuchet MS"/>
                      <w:b/>
                      <w:sz w:val="22"/>
                    </w:rPr>
                  </w:pPr>
                  <w:r>
                    <w:rPr>
                      <w:rFonts w:ascii="Trebuchet MS"/>
                      <w:b/>
                      <w:color w:val="231F20"/>
                      <w:w w:val="110"/>
                      <w:sz w:val="22"/>
                    </w:rPr>
                    <w:t>REGULATION OF TUBULAR REABSORPTION</w:t>
                  </w:r>
                </w:p>
              </w:txbxContent>
            </v:textbox>
            <v:fill type="solid"/>
            <w10:wrap type="topAndBottom"/>
          </v:shape>
        </w:pict>
      </w:r>
    </w:p>
    <w:p>
      <w:pPr>
        <w:pStyle w:val="BodyText"/>
        <w:spacing w:line="20" w:lineRule="exact"/>
        <w:ind w:left="1089"/>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94" w:right="1077"/>
        <w:jc w:val="both"/>
      </w:pPr>
      <w:r>
        <w:rPr/>
        <w:pict>
          <v:rect style="position:absolute;margin-left:576pt;margin-top:-61.114037pt;width:36pt;height:24pt;mso-position-horizontal-relative:page;mso-position-vertical-relative:paragraph;z-index:252218368" filled="true" fillcolor="#e8dac8" stroked="false">
            <v:fill type="solid"/>
            <w10:wrap type="none"/>
          </v:rect>
        </w:pict>
      </w:r>
      <w:r>
        <w:rPr/>
        <w:pict>
          <v:group style="position:absolute;margin-left:123.860802pt;margin-top:-191.590988pt;width:165.4pt;height:242.1pt;mso-position-horizontal-relative:page;mso-position-vertical-relative:paragraph;z-index:-273185792" coordorigin="2477,-3832" coordsize="3308,4842">
            <v:shape style="position:absolute;left:-75;top:10597;width:75;height:2275" coordorigin="-74,10598" coordsize="75,2275" path="m2552,-3721l2477,-3721m2552,-3368l2477,-3368m2552,-2932l2477,-2932m2552,-2560l2477,-2560m2552,-2230l2477,-2230m2552,-1787l2477,-1787m2552,-1447l2477,-1447e" filled="false" stroked="true" strokeweight="1.0pt" strokecolor="#231f20">
              <v:path arrowok="t"/>
              <v:stroke dashstyle="solid"/>
            </v:shape>
            <v:line style="position:absolute" from="3354,-2394" to="3354,-3721" stroked="true" strokeweight=".75pt" strokecolor="#231f20">
              <v:stroke dashstyle="shortdash"/>
            </v:line>
            <v:line style="position:absolute" from="3354,-2060" to="3354,-2167" stroked="true" strokeweight="1pt" strokecolor="#231f20">
              <v:stroke dashstyle="shortdash"/>
            </v:line>
            <v:shape style="position:absolute;left:0;top:5866;width:1605;height:4731" coordorigin="0,5867" coordsize="1605,4731" path="m3354,1009l3354,-1850m4157,1009l4157,-3721m4959,1009l4959,-3721e" filled="false" stroked="true" strokeweight=".75pt" strokecolor="#231f20">
              <v:path arrowok="t"/>
              <v:stroke dashstyle="shortdash"/>
            </v:shape>
            <v:shape style="position:absolute;left:2553;top:-3719;width:2720;height:2260" coordorigin="2553,-3719" coordsize="2720,2260" path="m2553,-1459l3001,-2233,3253,-2650,3401,-2851,3538,-2979,3628,-3039,3715,-3069,3797,-3077,3868,-3070,3926,-3055,3967,-3039,3988,-3029,4034,-3007,4109,-2977,4194,-2954,4273,-2954,4380,-2978,4450,-3002,4516,-3037,4608,-3099,4691,-3152,4774,-3204,4853,-3250,4921,-3290,4973,-3320,5043,-3374,5091,-3427,5143,-3494,5194,-3569,5239,-3645,5273,-3719e" filled="false" stroked="true" strokeweight="2.0pt" strokecolor="#f0535f">
              <v:path arrowok="t"/>
              <v:stroke dashstyle="solid"/>
            </v:shape>
            <v:shape style="position:absolute;left:-75;top:13228;width:75;height:794" coordorigin="-74,13229" coordsize="75,794" path="m2552,-1090l2477,-1090m2552,-674l2477,-674m2552,-297l2477,-297e" filled="false" stroked="true" strokeweight="1.0pt" strokecolor="#231f20">
              <v:path arrowok="t"/>
              <v:stroke dashstyle="solid"/>
            </v:shape>
            <v:line style="position:absolute" from="5762,1009" to="5762,-3721" stroked="true" strokeweight=".75pt" strokecolor="#231f20">
              <v:stroke dashstyle="shortdash"/>
            </v:line>
            <v:shape style="position:absolute;left:2553;top:-1459;width:3212;height:1276" coordorigin="2553,-1459" coordsize="3212,1276" path="m2553,-1459l2966,-1028,3185,-804,3285,-717,3391,-684,3438,-683,3481,-691,3518,-707,3567,-742,3634,-790,3710,-829,3785,-834,3847,-794,3893,-729,3927,-664,3952,-620,3959,-609,3971,-591,3988,-566,4042,-503,4130,-429,4189,-390,4260,-352,4343,-317,4441,-284,4553,-255,4680,-231,4825,-214,5191,-190,5490,-183,5691,-185,5765,-187e" filled="false" stroked="true" strokeweight="2.0pt" strokecolor="#00b26a">
              <v:path arrowok="t"/>
              <v:stroke dashstyle="shortdash"/>
            </v:shape>
            <v:shape style="position:absolute;left:-75;top:14358;width:75;height:427" coordorigin="-74,14359" coordsize="75,427" path="m2552,466l2477,466m2552,40l2477,40e" filled="false" stroked="true" strokeweight="1.0pt" strokecolor="#231f20">
              <v:path arrowok="t"/>
              <v:stroke dashstyle="solid"/>
            </v:shape>
            <v:shape style="position:absolute;left:2553;top:-1433;width:679;height:2119" coordorigin="2554,-1432" coordsize="679,2119" path="m2554,-1432l2736,-693,2867,-226,3011,168,3232,686e" filled="false" stroked="true" strokeweight="2pt" strokecolor="#808285">
              <v:path arrowok="t"/>
              <v:stroke dashstyle="shortdash"/>
            </v:shape>
            <v:shape style="position:absolute;left:2552;top:-1439;width:600;height:2126" coordorigin="2552,-1439" coordsize="600,2126" path="m3152,686l2818,-226,2644,-752,2574,-1090,2552,-1439e" filled="false" stroked="true" strokeweight="2pt" strokecolor="#9474b4">
              <v:path arrowok="t"/>
              <v:stroke dashstyle="solid"/>
            </v:shape>
            <v:shape style="position:absolute;left:2551;top:-1411;width:534;height:2090" coordorigin="2552,-1410" coordsize="534,2090" path="m2552,-1410l2562,-1179,2575,-1032,2596,-909,2635,-747,2688,-544,2740,-361,2779,-228,2795,-177,2933,273,3009,513,3050,621,3085,680e" filled="false" stroked="true" strokeweight="2pt" strokecolor="#f99d1c">
              <v:path arrowok="t"/>
              <v:stroke dashstyle="solid"/>
            </v:shape>
            <v:shape style="position:absolute;left:2551;top:-3706;width:3068;height:2267" coordorigin="2552,-3706" coordsize="3068,2267" path="m2552,-1439l2556,-1444,2564,-1454,2584,-1480,2659,-1563,2714,-1619,2782,-1685,2863,-1759,2958,-1840,3024,-1894,3092,-1950,3162,-2007,3235,-2063,3307,-2117,3380,-2169,3452,-2217,3522,-2260,3590,-2297,3655,-2327,3716,-2348,3849,-2370,3901,-2371,3951,-2359,4022,-2334,4061,-2316,4107,-2297,4165,-2282,4242,-2278,4341,-2292,4468,-2330,4675,-2397,4811,-2467,4933,-2581,5102,-2784,5299,-3071,5464,-3372,5577,-3609,5619,-3706e" filled="false" stroked="true" strokeweight="2.0pt" strokecolor="#0061af">
              <v:path arrowok="t"/>
              <v:stroke dashstyle="solid"/>
            </v:shape>
            <v:shape style="position:absolute;left:2564;top:-3684;width:3134;height:2237" coordorigin="2565,-3684" coordsize="3134,2237" path="m2565,-1447l2625,-1512,2692,-1578,2766,-1644,2844,-1709,2923,-1772,3002,-1833,3079,-1889,3152,-1941,3218,-1986,3275,-2025,3356,-2079,3376,-2092,3378,-2094,3541,-2204,3642,-2261,3722,-2285,3825,-2294,3856,-2295,3904,-2292,3967,-2277,4045,-2244,4118,-2217,4197,-2207,4276,-2211,4352,-2225,4418,-2247,4663,-2327,4815,-2398,4935,-2500,5088,-2674,5144,-2741,5198,-2814,5253,-2892,5305,-2971,5357,-3053,5406,-3135,5453,-3215,5498,-3294,5539,-3370,5576,-3440,5610,-3506,5640,-3564,5684,-3654,5698,-3684e" filled="false" stroked="true" strokeweight="2pt" strokecolor="#00b26a">
              <v:path arrowok="t"/>
              <v:stroke dashstyle="solid"/>
            </v:shape>
            <v:shape style="position:absolute;left:2573;top:-3443;width:3161;height:1981" coordorigin="2574,-3443" coordsize="3161,1981" path="m2574,-1462l2826,-1524,2969,-1559,3057,-1581,3143,-1604,3209,-1622,3270,-1643,3329,-1674,3389,-1721,3450,-1792,3514,-1892,3566,-1984,3618,-2081,3669,-2178,3717,-2270,3759,-2352,3794,-2420,3819,-2467,3870,-2548,3910,-2595,3970,-2651,4051,-2711,4159,-2771,4193,-2789,4234,-2810,4282,-2835,4335,-2863,4394,-2894,4457,-2927,4525,-2963,4597,-3000,4672,-3038,4750,-3076,4830,-3115,4913,-3154,4997,-3193,5081,-3230,5167,-3266,5252,-3300,5336,-3332,5420,-3361,5502,-3387,5582,-3410,5660,-3429,5734,-3443e" filled="false" stroked="true" strokeweight="2.0pt" strokecolor="#231f20">
              <v:path arrowok="t"/>
              <v:stroke dashstyle="solid"/>
            </v:shape>
            <v:shape style="position:absolute;left:2559;top:-1829;width:3198;height:924" coordorigin="2559,-1828" coordsize="3198,924" path="m2559,-1462l2920,-1475,3109,-1481,3188,-1483,3219,-1482,3258,-1487,3376,-1534,3431,-1575,3483,-1625,3535,-1678,3577,-1721,3600,-1743,3635,-1772,3682,-1800,3735,-1820,3790,-1824,3849,-1828,3920,-1739,3966,-1604,4016,-1431,4046,-1321,4069,-1225,4095,-1096,4110,-1020,4127,-963,4152,-925,4196,-908,4235,-905,4276,-913,4344,-940,4462,-993,4541,-1030,4629,-1073,4720,-1116,4808,-1159,4888,-1198,4955,-1229,5002,-1250,5040,-1267,5103,-1294,5183,-1330,5276,-1371,5374,-1414,5473,-1455,5567,-1493,5649,-1523,5714,-1543,5756,-1550e" filled="false" stroked="true" strokeweight="2.0pt" strokecolor="#ffd400">
              <v:path arrowok="t"/>
              <v:stroke dashstyle="solid"/>
            </v:shape>
            <v:shape style="position:absolute;left:2558;top:-1775;width:3176;height:991" coordorigin="2559,-1775" coordsize="3176,991" path="m2559,-1455l2952,-1455,3160,-1455,3249,-1456,3325,-1462,3389,-1490,3460,-1551,3516,-1606,3585,-1668,3658,-1726,3728,-1765,3788,-1775,3835,-1740,3878,-1673,3909,-1600,3971,-1376,3996,-1280,4017,-1189,4035,-1115,4062,-1011,4087,-916,4112,-845,4197,-784,4283,-786,4393,-822,4522,-877,4629,-927,4674,-949,5192,-1192,5475,-1318,5623,-1368,5734,-1382e" filled="false" stroked="true" strokeweight="2.0pt" strokecolor="#00aeef">
              <v:path arrowok="t"/>
              <v:stroke dashstyle="solid"/>
            </v:shape>
            <v:shape style="position:absolute;left:4154;top:-2540;width:1583;height:1732" coordorigin="4154,-2539" coordsize="1583,1732" path="m4154,-808l4297,-863,4398,-920,4505,-1013,4667,-1176,4866,-1395,5037,-1601,5157,-1754,5202,-1814,5737,-2539e" filled="false" stroked="true" strokeweight="2pt" strokecolor="#8ed8f8">
              <v:path arrowok="t"/>
              <v:stroke dashstyle="solid"/>
            </v:shape>
            <v:shape style="position:absolute;left:2551;top:-3722;width:3212;height:4402" coordorigin="2552,-3721" coordsize="3212,4402" path="m2552,-3721l2552,680,5763,680e" filled="false" stroked="true" strokeweight="1pt" strokecolor="#231f20">
              <v:path arrowok="t"/>
              <v:stroke dashstyle="solid"/>
            </v:shape>
            <v:shape style="position:absolute;left:5193;top:-3825;width:137;height:191" type="#_x0000_t75" stroked="false">
              <v:imagedata r:id="rId653" o:title=""/>
            </v:shape>
            <v:shape style="position:absolute;left:5545;top:-3832;width:179;height:289" type="#_x0000_t75" stroked="false">
              <v:imagedata r:id="rId654" o:title=""/>
            </v:shape>
            <v:shape style="position:absolute;left:-210;top:10454;width:367;height:950" coordorigin="-210,10454" coordsize="367,950" path="m3045,-170l2835,-314m3202,370l3145,636e" filled="false" stroked="true" strokeweight=".75pt" strokecolor="#231f20">
              <v:path arrowok="t"/>
              <v:stroke dashstyle="solid"/>
            </v:shape>
            <w10:wrap type="none"/>
          </v:group>
        </w:pict>
      </w:r>
      <w:r>
        <w:rPr/>
        <w:pict>
          <v:shape style="position:absolute;margin-left:578.900024pt;margin-top:-137.456741pt;width:15.9pt;height:53.35pt;mso-position-horizontal-relative:page;mso-position-vertical-relative:paragraph;z-index:25222348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260.451093pt;margin-top:-184.656003pt;width:22.4pt;height:8pt;mso-position-horizontal-relative:page;mso-position-vertical-relative:paragraph;z-index:252225536;rotation:297" type="#_x0000_t136" fillcolor="#231f20" stroked="f">
            <o:extrusion v:ext="view" autorotationcenter="t"/>
            <v:textpath style="font-family:&quot;Helvetica&quot;;font-size:8pt;v-text-kern:t;mso-text-shadow:auto" string="to 140"/>
            <w10:wrap type="none"/>
          </v:shape>
        </w:pict>
      </w:r>
      <w:r>
        <w:rPr/>
        <w:pict>
          <v:shape style="position:absolute;margin-left:266.921045pt;margin-top:-162.830743pt;width:22.3pt;height:8pt;mso-position-horizontal-relative:page;mso-position-vertical-relative:paragraph;z-index:252227584;rotation:303" type="#_x0000_t136" fillcolor="#231f20" stroked="f">
            <o:extrusion v:ext="view" autorotationcenter="t"/>
            <v:textpath style="font-family:&quot;Helvetica&quot;;font-size:8pt;v-text-kern:t;mso-text-shadow:auto" string="to 125"/>
            <w10:wrap type="none"/>
          </v:shape>
        </w:pict>
      </w:r>
      <w:r>
        <w:rPr>
          <w:color w:val="231F20"/>
          <w:w w:val="105"/>
        </w:rPr>
        <w:t>Because it is essential to maintain a precise balance between tubular reabsorption and glomerular filtration, there are multiple nervous, hormonal, and local control</w:t>
      </w:r>
    </w:p>
    <w:p>
      <w:pPr>
        <w:spacing w:after="0" w:line="249" w:lineRule="auto"/>
        <w:jc w:val="both"/>
        <w:sectPr>
          <w:type w:val="continuous"/>
          <w:pgSz w:w="12240" w:h="15660"/>
          <w:pgMar w:top="0" w:bottom="760" w:left="0" w:right="0"/>
          <w:cols w:num="4" w:equalWidth="0">
            <w:col w:w="2430" w:space="40"/>
            <w:col w:w="1461" w:space="39"/>
            <w:col w:w="1375" w:space="40"/>
            <w:col w:w="6855"/>
          </w:cols>
        </w:sectPr>
      </w:pPr>
    </w:p>
    <w:p>
      <w:pPr>
        <w:tabs>
          <w:tab w:pos="3478" w:val="left" w:leader="none"/>
          <w:tab w:pos="3536" w:val="left" w:leader="none"/>
          <w:tab w:pos="4339" w:val="left" w:leader="none"/>
          <w:tab w:pos="5013" w:val="left" w:leader="none"/>
          <w:tab w:pos="5146" w:val="left" w:leader="none"/>
        </w:tabs>
        <w:spacing w:line="235" w:lineRule="auto" w:before="5"/>
        <w:ind w:left="2724" w:right="0" w:hanging="94"/>
        <w:jc w:val="left"/>
        <w:rPr>
          <w:rFonts w:ascii="Helvetica"/>
          <w:sz w:val="16"/>
        </w:rPr>
      </w:pPr>
      <w:r>
        <w:rPr/>
        <w:pict>
          <v:shape style="position:absolute;margin-left:144.246613pt;margin-top:-37.811699pt;width:25.5pt;height:8pt;mso-position-horizontal-relative:page;mso-position-vertical-relative:paragraph;z-index:252220416;rotation:72" type="#_x0000_t136" fillcolor="#231f20" stroked="f">
            <o:extrusion v:ext="view" autorotationcenter="t"/>
            <v:textpath style="font-family:&quot;Helvetica&quot;;font-size:8pt;v-text-kern:t;mso-text-shadow:auto" string="Protein"/>
            <w10:wrap type="none"/>
          </v:shape>
        </w:pict>
      </w:r>
      <w:r>
        <w:rPr/>
        <w:pict>
          <v:shape style="position:absolute;margin-left:117.497382pt;margin-top:-34.859431pt;width:43.7pt;height:8pt;mso-position-horizontal-relative:page;mso-position-vertical-relative:paragraph;z-index:252221440;rotation:72" type="#_x0000_t136" fillcolor="#231f20" stroked="f">
            <o:extrusion v:ext="view" autorotationcenter="t"/>
            <v:textpath style="font-family:&quot;Helvetica&quot;;font-size:8pt;v-text-kern:t;mso-text-shadow:auto;font-weight:bold" string="Amino acids"/>
            <w10:wrap type="none"/>
          </v:shape>
        </w:pict>
      </w:r>
      <w:r>
        <w:rPr>
          <w:rFonts w:ascii="Helvetica"/>
          <w:color w:val="231F20"/>
          <w:sz w:val="16"/>
        </w:rPr>
        <w:t>Proximal</w:t>
        <w:tab/>
        <w:t>Loop</w:t>
      </w:r>
      <w:r>
        <w:rPr>
          <w:rFonts w:ascii="Helvetica"/>
          <w:color w:val="231F20"/>
          <w:spacing w:val="-1"/>
          <w:sz w:val="16"/>
        </w:rPr>
        <w:t> </w:t>
      </w:r>
      <w:r>
        <w:rPr>
          <w:rFonts w:ascii="Helvetica"/>
          <w:color w:val="231F20"/>
          <w:sz w:val="16"/>
        </w:rPr>
        <w:t>of</w:t>
        <w:tab/>
        <w:t>Distal</w:t>
        <w:tab/>
      </w:r>
      <w:r>
        <w:rPr>
          <w:rFonts w:ascii="Helvetica"/>
          <w:color w:val="231F20"/>
          <w:spacing w:val="-1"/>
          <w:sz w:val="16"/>
        </w:rPr>
        <w:t>Collecting </w:t>
      </w:r>
      <w:r>
        <w:rPr>
          <w:rFonts w:ascii="Helvetica"/>
          <w:color w:val="231F20"/>
          <w:sz w:val="16"/>
        </w:rPr>
        <w:t>tubule</w:t>
        <w:tab/>
        <w:tab/>
        <w:t>Henle</w:t>
        <w:tab/>
        <w:t>tubule</w:t>
        <w:tab/>
        <w:tab/>
        <w:t>tubule</w:t>
      </w:r>
    </w:p>
    <w:p>
      <w:pPr>
        <w:pStyle w:val="BodyText"/>
        <w:spacing w:line="249" w:lineRule="auto" w:before="2"/>
        <w:ind w:left="724" w:right="840"/>
      </w:pPr>
      <w:r>
        <w:rPr/>
        <w:br w:type="column"/>
      </w:r>
      <w:r>
        <w:rPr>
          <w:color w:val="231F20"/>
          <w:w w:val="105"/>
        </w:rPr>
        <w:t>mechanisms that regulate tubular reabsorption, just as</w:t>
      </w:r>
      <w:bookmarkStart w:name="_bookmark54" w:id="55"/>
      <w:bookmarkEnd w:id="55"/>
      <w:r>
        <w:rPr>
          <w:color w:val="231F20"/>
          <w:w w:val="105"/>
        </w:rPr>
      </w:r>
      <w:r>
        <w:rPr>
          <w:color w:val="231F20"/>
          <w:w w:val="105"/>
        </w:rPr>
        <w:t> there are for control of glomerular filtration. An impor-</w:t>
      </w:r>
    </w:p>
    <w:p>
      <w:pPr>
        <w:spacing w:after="0" w:line="249" w:lineRule="auto"/>
        <w:sectPr>
          <w:type w:val="continuous"/>
          <w:pgSz w:w="12240" w:h="15660"/>
          <w:pgMar w:top="0" w:bottom="760" w:left="0" w:right="0"/>
          <w:cols w:num="2" w:equalWidth="0">
            <w:col w:w="5716" w:space="40"/>
            <w:col w:w="6484"/>
          </w:cols>
        </w:sectPr>
      </w:pPr>
    </w:p>
    <w:p>
      <w:pPr>
        <w:spacing w:line="163" w:lineRule="exact" w:before="0"/>
        <w:ind w:left="1440" w:right="0" w:firstLine="0"/>
        <w:jc w:val="both"/>
        <w:rPr>
          <w:rFonts w:ascii="Arial" w:hAnsi="Arial"/>
          <w:sz w:val="16"/>
        </w:rPr>
      </w:pPr>
      <w:r>
        <w:rPr/>
        <w:pict>
          <v:group style="position:absolute;margin-left:0pt;margin-top:0pt;width:612pt;height:180pt;mso-position-horizontal-relative:page;mso-position-vertical-relative:page;z-index:-27318784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r>
        <w:rPr>
          <w:rFonts w:ascii="Trebuchet MS" w:hAnsi="Trebuchet MS"/>
          <w:b/>
          <w:color w:val="231F20"/>
          <w:sz w:val="16"/>
        </w:rPr>
        <w:t>Figure</w:t>
      </w:r>
      <w:r>
        <w:rPr>
          <w:rFonts w:ascii="Trebuchet MS" w:hAnsi="Trebuchet MS"/>
          <w:b/>
          <w:color w:val="231F20"/>
          <w:spacing w:val="-12"/>
          <w:sz w:val="16"/>
        </w:rPr>
        <w:t> </w:t>
      </w:r>
      <w:r>
        <w:rPr>
          <w:rFonts w:ascii="Trebuchet MS" w:hAnsi="Trebuchet MS"/>
          <w:b/>
          <w:color w:val="231F20"/>
          <w:sz w:val="16"/>
        </w:rPr>
        <w:t>28­15.</w:t>
      </w:r>
      <w:r>
        <w:rPr>
          <w:rFonts w:ascii="Trebuchet MS" w:hAnsi="Trebuchet MS"/>
          <w:b/>
          <w:color w:val="231F20"/>
          <w:spacing w:val="2"/>
          <w:sz w:val="16"/>
        </w:rPr>
        <w:t> </w:t>
      </w:r>
      <w:r>
        <w:rPr>
          <w:rFonts w:ascii="Arial" w:hAnsi="Arial"/>
          <w:color w:val="231F20"/>
          <w:sz w:val="16"/>
        </w:rPr>
        <w:t>Changes</w:t>
      </w:r>
      <w:r>
        <w:rPr>
          <w:rFonts w:ascii="Arial" w:hAnsi="Arial"/>
          <w:color w:val="231F20"/>
          <w:spacing w:val="-8"/>
          <w:sz w:val="16"/>
        </w:rPr>
        <w:t> </w:t>
      </w:r>
      <w:r>
        <w:rPr>
          <w:rFonts w:ascii="Arial" w:hAnsi="Arial"/>
          <w:color w:val="231F20"/>
          <w:sz w:val="16"/>
        </w:rPr>
        <w:t>in</w:t>
      </w:r>
      <w:r>
        <w:rPr>
          <w:rFonts w:ascii="Arial" w:hAnsi="Arial"/>
          <w:color w:val="231F20"/>
          <w:spacing w:val="-8"/>
          <w:sz w:val="16"/>
        </w:rPr>
        <w:t> </w:t>
      </w:r>
      <w:r>
        <w:rPr>
          <w:rFonts w:ascii="Arial" w:hAnsi="Arial"/>
          <w:color w:val="231F20"/>
          <w:sz w:val="16"/>
        </w:rPr>
        <w:t>average</w:t>
      </w:r>
      <w:r>
        <w:rPr>
          <w:rFonts w:ascii="Arial" w:hAnsi="Arial"/>
          <w:color w:val="231F20"/>
          <w:spacing w:val="-8"/>
          <w:sz w:val="16"/>
        </w:rPr>
        <w:t> </w:t>
      </w:r>
      <w:r>
        <w:rPr>
          <w:rFonts w:ascii="Arial" w:hAnsi="Arial"/>
          <w:color w:val="231F20"/>
          <w:sz w:val="16"/>
        </w:rPr>
        <w:t>concentrations</w:t>
      </w:r>
      <w:r>
        <w:rPr>
          <w:rFonts w:ascii="Arial" w:hAnsi="Arial"/>
          <w:color w:val="231F20"/>
          <w:spacing w:val="-8"/>
          <w:sz w:val="16"/>
        </w:rPr>
        <w:t> </w:t>
      </w:r>
      <w:r>
        <w:rPr>
          <w:rFonts w:ascii="Arial" w:hAnsi="Arial"/>
          <w:color w:val="231F20"/>
          <w:sz w:val="16"/>
        </w:rPr>
        <w:t>of</w:t>
      </w:r>
      <w:r>
        <w:rPr>
          <w:rFonts w:ascii="Arial" w:hAnsi="Arial"/>
          <w:color w:val="231F20"/>
          <w:spacing w:val="-8"/>
          <w:sz w:val="16"/>
        </w:rPr>
        <w:t> </w:t>
      </w:r>
      <w:r>
        <w:rPr>
          <w:rFonts w:ascii="Arial" w:hAnsi="Arial"/>
          <w:color w:val="231F20"/>
          <w:sz w:val="16"/>
        </w:rPr>
        <w:t>different</w:t>
      </w:r>
      <w:r>
        <w:rPr>
          <w:rFonts w:ascii="Arial" w:hAnsi="Arial"/>
          <w:color w:val="231F20"/>
          <w:spacing w:val="-8"/>
          <w:sz w:val="16"/>
        </w:rPr>
        <w:t> </w:t>
      </w:r>
      <w:r>
        <w:rPr>
          <w:rFonts w:ascii="Arial" w:hAnsi="Arial"/>
          <w:color w:val="231F20"/>
          <w:spacing w:val="-5"/>
          <w:sz w:val="16"/>
        </w:rPr>
        <w:t>sub-</w:t>
      </w:r>
    </w:p>
    <w:p>
      <w:pPr>
        <w:spacing w:line="261" w:lineRule="auto" w:before="14"/>
        <w:ind w:left="1440" w:right="0" w:firstLine="0"/>
        <w:jc w:val="both"/>
        <w:rPr>
          <w:rFonts w:ascii="Arial"/>
          <w:sz w:val="16"/>
        </w:rPr>
      </w:pPr>
      <w:r>
        <w:rPr>
          <w:rFonts w:ascii="Arial"/>
          <w:color w:val="231F20"/>
          <w:sz w:val="16"/>
        </w:rPr>
        <w:t>stances at different points in the tubular system relative to the</w:t>
      </w:r>
      <w:r>
        <w:rPr>
          <w:rFonts w:ascii="Arial"/>
          <w:color w:val="231F20"/>
          <w:spacing w:val="-20"/>
          <w:sz w:val="16"/>
        </w:rPr>
        <w:t> </w:t>
      </w:r>
      <w:r>
        <w:rPr>
          <w:rFonts w:ascii="Arial"/>
          <w:color w:val="231F20"/>
          <w:spacing w:val="-5"/>
          <w:sz w:val="16"/>
        </w:rPr>
        <w:t>con- </w:t>
      </w:r>
      <w:r>
        <w:rPr>
          <w:rFonts w:ascii="Arial"/>
          <w:color w:val="231F20"/>
          <w:sz w:val="16"/>
        </w:rPr>
        <w:t>centration of that substance in the plasma and in the glomerular filtrate. A value of 1.0 indicates that the concentration of the </w:t>
      </w:r>
      <w:r>
        <w:rPr>
          <w:rFonts w:ascii="Arial"/>
          <w:color w:val="231F20"/>
          <w:spacing w:val="-4"/>
          <w:sz w:val="16"/>
        </w:rPr>
        <w:t>sub- </w:t>
      </w:r>
      <w:r>
        <w:rPr>
          <w:rFonts w:ascii="Arial"/>
          <w:color w:val="231F20"/>
          <w:sz w:val="16"/>
        </w:rPr>
        <w:t>stance in the tubular fluid is the same as the concentration of </w:t>
      </w:r>
      <w:r>
        <w:rPr>
          <w:rFonts w:ascii="Arial"/>
          <w:color w:val="231F20"/>
          <w:spacing w:val="-4"/>
          <w:sz w:val="16"/>
        </w:rPr>
        <w:t>that </w:t>
      </w:r>
      <w:r>
        <w:rPr>
          <w:rFonts w:ascii="Arial"/>
          <w:color w:val="231F20"/>
          <w:sz w:val="16"/>
        </w:rPr>
        <w:t>substance in the plasma. Values below 1.0 indicate that the </w:t>
      </w:r>
      <w:r>
        <w:rPr>
          <w:rFonts w:ascii="Arial"/>
          <w:color w:val="231F20"/>
          <w:spacing w:val="-5"/>
          <w:sz w:val="16"/>
        </w:rPr>
        <w:t>sub- </w:t>
      </w:r>
      <w:r>
        <w:rPr>
          <w:rFonts w:ascii="Arial"/>
          <w:color w:val="231F20"/>
          <w:sz w:val="16"/>
        </w:rPr>
        <w:t>stance</w:t>
      </w:r>
      <w:r>
        <w:rPr>
          <w:rFonts w:ascii="Arial"/>
          <w:color w:val="231F20"/>
          <w:spacing w:val="-15"/>
          <w:sz w:val="16"/>
        </w:rPr>
        <w:t> </w:t>
      </w:r>
      <w:r>
        <w:rPr>
          <w:rFonts w:ascii="Arial"/>
          <w:color w:val="231F20"/>
          <w:sz w:val="16"/>
        </w:rPr>
        <w:t>is</w:t>
      </w:r>
      <w:r>
        <w:rPr>
          <w:rFonts w:ascii="Arial"/>
          <w:color w:val="231F20"/>
          <w:spacing w:val="-14"/>
          <w:sz w:val="16"/>
        </w:rPr>
        <w:t> </w:t>
      </w:r>
      <w:r>
        <w:rPr>
          <w:rFonts w:ascii="Arial"/>
          <w:color w:val="231F20"/>
          <w:sz w:val="16"/>
        </w:rPr>
        <w:t>reabsorbed</w:t>
      </w:r>
      <w:r>
        <w:rPr>
          <w:rFonts w:ascii="Arial"/>
          <w:color w:val="231F20"/>
          <w:spacing w:val="-14"/>
          <w:sz w:val="16"/>
        </w:rPr>
        <w:t> </w:t>
      </w:r>
      <w:r>
        <w:rPr>
          <w:rFonts w:ascii="Arial"/>
          <w:color w:val="231F20"/>
          <w:sz w:val="16"/>
        </w:rPr>
        <w:t>more</w:t>
      </w:r>
      <w:r>
        <w:rPr>
          <w:rFonts w:ascii="Arial"/>
          <w:color w:val="231F20"/>
          <w:spacing w:val="-14"/>
          <w:sz w:val="16"/>
        </w:rPr>
        <w:t> </w:t>
      </w:r>
      <w:r>
        <w:rPr>
          <w:rFonts w:ascii="Arial"/>
          <w:color w:val="231F20"/>
          <w:sz w:val="16"/>
        </w:rPr>
        <w:t>avidly</w:t>
      </w:r>
      <w:r>
        <w:rPr>
          <w:rFonts w:ascii="Arial"/>
          <w:color w:val="231F20"/>
          <w:spacing w:val="-14"/>
          <w:sz w:val="16"/>
        </w:rPr>
        <w:t> </w:t>
      </w:r>
      <w:r>
        <w:rPr>
          <w:rFonts w:ascii="Arial"/>
          <w:color w:val="231F20"/>
          <w:sz w:val="16"/>
        </w:rPr>
        <w:t>than</w:t>
      </w:r>
      <w:r>
        <w:rPr>
          <w:rFonts w:ascii="Arial"/>
          <w:color w:val="231F20"/>
          <w:spacing w:val="-14"/>
          <w:sz w:val="16"/>
        </w:rPr>
        <w:t> </w:t>
      </w:r>
      <w:r>
        <w:rPr>
          <w:rFonts w:ascii="Arial"/>
          <w:color w:val="231F20"/>
          <w:spacing w:val="-3"/>
          <w:sz w:val="16"/>
        </w:rPr>
        <w:t>water,</w:t>
      </w:r>
      <w:r>
        <w:rPr>
          <w:rFonts w:ascii="Arial"/>
          <w:color w:val="231F20"/>
          <w:spacing w:val="-14"/>
          <w:sz w:val="16"/>
        </w:rPr>
        <w:t> </w:t>
      </w:r>
      <w:r>
        <w:rPr>
          <w:rFonts w:ascii="Arial"/>
          <w:color w:val="231F20"/>
          <w:sz w:val="16"/>
        </w:rPr>
        <w:t>whereas</w:t>
      </w:r>
      <w:r>
        <w:rPr>
          <w:rFonts w:ascii="Arial"/>
          <w:color w:val="231F20"/>
          <w:spacing w:val="-14"/>
          <w:sz w:val="16"/>
        </w:rPr>
        <w:t> </w:t>
      </w:r>
      <w:r>
        <w:rPr>
          <w:rFonts w:ascii="Arial"/>
          <w:color w:val="231F20"/>
          <w:sz w:val="16"/>
        </w:rPr>
        <w:t>values</w:t>
      </w:r>
      <w:r>
        <w:rPr>
          <w:rFonts w:ascii="Arial"/>
          <w:color w:val="231F20"/>
          <w:spacing w:val="-14"/>
          <w:sz w:val="16"/>
        </w:rPr>
        <w:t> </w:t>
      </w:r>
      <w:r>
        <w:rPr>
          <w:rFonts w:ascii="Arial"/>
          <w:color w:val="231F20"/>
          <w:spacing w:val="-3"/>
          <w:sz w:val="16"/>
        </w:rPr>
        <w:t>above</w:t>
      </w:r>
    </w:p>
    <w:p>
      <w:pPr>
        <w:spacing w:line="261" w:lineRule="auto" w:before="0"/>
        <w:ind w:left="1440" w:right="0" w:firstLine="0"/>
        <w:jc w:val="both"/>
        <w:rPr>
          <w:rFonts w:ascii="Arial"/>
          <w:sz w:val="16"/>
        </w:rPr>
      </w:pPr>
      <w:r>
        <w:rPr>
          <w:rFonts w:ascii="Arial"/>
          <w:color w:val="231F20"/>
          <w:sz w:val="16"/>
        </w:rPr>
        <w:t>1.0</w:t>
      </w:r>
      <w:r>
        <w:rPr>
          <w:rFonts w:ascii="Arial"/>
          <w:color w:val="231F20"/>
          <w:spacing w:val="-11"/>
          <w:sz w:val="16"/>
        </w:rPr>
        <w:t> </w:t>
      </w:r>
      <w:r>
        <w:rPr>
          <w:rFonts w:ascii="Arial"/>
          <w:color w:val="231F20"/>
          <w:sz w:val="16"/>
        </w:rPr>
        <w:t>indicate</w:t>
      </w:r>
      <w:r>
        <w:rPr>
          <w:rFonts w:ascii="Arial"/>
          <w:color w:val="231F20"/>
          <w:spacing w:val="-11"/>
          <w:sz w:val="16"/>
        </w:rPr>
        <w:t> </w:t>
      </w:r>
      <w:r>
        <w:rPr>
          <w:rFonts w:ascii="Arial"/>
          <w:color w:val="231F20"/>
          <w:sz w:val="16"/>
        </w:rPr>
        <w:t>that</w:t>
      </w:r>
      <w:r>
        <w:rPr>
          <w:rFonts w:ascii="Arial"/>
          <w:color w:val="231F20"/>
          <w:spacing w:val="-11"/>
          <w:sz w:val="16"/>
        </w:rPr>
        <w:t> </w:t>
      </w:r>
      <w:r>
        <w:rPr>
          <w:rFonts w:ascii="Arial"/>
          <w:color w:val="231F20"/>
          <w:sz w:val="16"/>
        </w:rPr>
        <w:t>the</w:t>
      </w:r>
      <w:r>
        <w:rPr>
          <w:rFonts w:ascii="Arial"/>
          <w:color w:val="231F20"/>
          <w:spacing w:val="-11"/>
          <w:sz w:val="16"/>
        </w:rPr>
        <w:t> </w:t>
      </w:r>
      <w:r>
        <w:rPr>
          <w:rFonts w:ascii="Arial"/>
          <w:color w:val="231F20"/>
          <w:sz w:val="16"/>
        </w:rPr>
        <w:t>substance</w:t>
      </w:r>
      <w:r>
        <w:rPr>
          <w:rFonts w:ascii="Arial"/>
          <w:color w:val="231F20"/>
          <w:spacing w:val="-11"/>
          <w:sz w:val="16"/>
        </w:rPr>
        <w:t> </w:t>
      </w:r>
      <w:r>
        <w:rPr>
          <w:rFonts w:ascii="Arial"/>
          <w:color w:val="231F20"/>
          <w:sz w:val="16"/>
        </w:rPr>
        <w:t>is</w:t>
      </w:r>
      <w:r>
        <w:rPr>
          <w:rFonts w:ascii="Arial"/>
          <w:color w:val="231F20"/>
          <w:spacing w:val="-11"/>
          <w:sz w:val="16"/>
        </w:rPr>
        <w:t> </w:t>
      </w:r>
      <w:r>
        <w:rPr>
          <w:rFonts w:ascii="Arial"/>
          <w:color w:val="231F20"/>
          <w:sz w:val="16"/>
        </w:rPr>
        <w:t>reabsorbed</w:t>
      </w:r>
      <w:r>
        <w:rPr>
          <w:rFonts w:ascii="Arial"/>
          <w:color w:val="231F20"/>
          <w:spacing w:val="-11"/>
          <w:sz w:val="16"/>
        </w:rPr>
        <w:t> </w:t>
      </w:r>
      <w:r>
        <w:rPr>
          <w:rFonts w:ascii="Arial"/>
          <w:color w:val="231F20"/>
          <w:sz w:val="16"/>
        </w:rPr>
        <w:t>to</w:t>
      </w:r>
      <w:r>
        <w:rPr>
          <w:rFonts w:ascii="Arial"/>
          <w:color w:val="231F20"/>
          <w:spacing w:val="-10"/>
          <w:sz w:val="16"/>
        </w:rPr>
        <w:t> </w:t>
      </w:r>
      <w:r>
        <w:rPr>
          <w:rFonts w:ascii="Arial"/>
          <w:color w:val="231F20"/>
          <w:sz w:val="16"/>
        </w:rPr>
        <w:t>a</w:t>
      </w:r>
      <w:r>
        <w:rPr>
          <w:rFonts w:ascii="Arial"/>
          <w:color w:val="231F20"/>
          <w:spacing w:val="-11"/>
          <w:sz w:val="16"/>
        </w:rPr>
        <w:t> </w:t>
      </w:r>
      <w:r>
        <w:rPr>
          <w:rFonts w:ascii="Arial"/>
          <w:color w:val="231F20"/>
          <w:sz w:val="16"/>
        </w:rPr>
        <w:t>lesser</w:t>
      </w:r>
      <w:r>
        <w:rPr>
          <w:rFonts w:ascii="Arial"/>
          <w:color w:val="231F20"/>
          <w:spacing w:val="-11"/>
          <w:sz w:val="16"/>
        </w:rPr>
        <w:t> </w:t>
      </w:r>
      <w:r>
        <w:rPr>
          <w:rFonts w:ascii="Arial"/>
          <w:color w:val="231F20"/>
          <w:sz w:val="16"/>
        </w:rPr>
        <w:t>extent</w:t>
      </w:r>
      <w:r>
        <w:rPr>
          <w:rFonts w:ascii="Arial"/>
          <w:color w:val="231F20"/>
          <w:spacing w:val="-11"/>
          <w:sz w:val="16"/>
        </w:rPr>
        <w:t> </w:t>
      </w:r>
      <w:r>
        <w:rPr>
          <w:rFonts w:ascii="Arial"/>
          <w:color w:val="231F20"/>
          <w:spacing w:val="-4"/>
          <w:sz w:val="16"/>
        </w:rPr>
        <w:t>than </w:t>
      </w:r>
      <w:r>
        <w:rPr>
          <w:rFonts w:ascii="Arial"/>
          <w:color w:val="231F20"/>
          <w:sz w:val="16"/>
        </w:rPr>
        <w:t>water or is secreted into the</w:t>
      </w:r>
      <w:r>
        <w:rPr>
          <w:rFonts w:ascii="Arial"/>
          <w:color w:val="231F20"/>
          <w:spacing w:val="38"/>
          <w:sz w:val="16"/>
        </w:rPr>
        <w:t> </w:t>
      </w:r>
      <w:r>
        <w:rPr>
          <w:rFonts w:ascii="Arial"/>
          <w:color w:val="231F20"/>
          <w:sz w:val="16"/>
        </w:rPr>
        <w:t>tubules.</w:t>
      </w:r>
    </w:p>
    <w:p>
      <w:pPr>
        <w:pStyle w:val="BodyText"/>
        <w:rPr>
          <w:rFonts w:ascii="Arial"/>
          <w:sz w:val="18"/>
        </w:rPr>
      </w:pPr>
    </w:p>
    <w:p>
      <w:pPr>
        <w:pStyle w:val="BodyText"/>
        <w:spacing w:before="1"/>
        <w:rPr>
          <w:rFonts w:ascii="Arial"/>
          <w:sz w:val="15"/>
        </w:rPr>
      </w:pPr>
    </w:p>
    <w:p>
      <w:pPr>
        <w:pStyle w:val="BodyText"/>
        <w:spacing w:line="249" w:lineRule="auto" w:before="1"/>
        <w:ind w:left="1440"/>
        <w:jc w:val="both"/>
      </w:pPr>
      <w:r>
        <w:rPr>
          <w:color w:val="231F20"/>
          <w:w w:val="105"/>
        </w:rPr>
        <w:t>more</w:t>
      </w:r>
      <w:r>
        <w:rPr>
          <w:color w:val="231F20"/>
          <w:spacing w:val="-13"/>
          <w:w w:val="105"/>
        </w:rPr>
        <w:t> </w:t>
      </w:r>
      <w:r>
        <w:rPr>
          <w:color w:val="231F20"/>
          <w:w w:val="105"/>
        </w:rPr>
        <w:t>water</w:t>
      </w:r>
      <w:r>
        <w:rPr>
          <w:color w:val="231F20"/>
          <w:spacing w:val="-13"/>
          <w:w w:val="105"/>
        </w:rPr>
        <w:t> </w:t>
      </w:r>
      <w:r>
        <w:rPr>
          <w:color w:val="231F20"/>
          <w:w w:val="105"/>
        </w:rPr>
        <w:t>is</w:t>
      </w:r>
      <w:r>
        <w:rPr>
          <w:color w:val="231F20"/>
          <w:spacing w:val="-13"/>
          <w:w w:val="105"/>
        </w:rPr>
        <w:t> </w:t>
      </w:r>
      <w:r>
        <w:rPr>
          <w:color w:val="231F20"/>
          <w:w w:val="105"/>
        </w:rPr>
        <w:t>reabsorbed</w:t>
      </w:r>
      <w:r>
        <w:rPr>
          <w:color w:val="231F20"/>
          <w:spacing w:val="-13"/>
          <w:w w:val="105"/>
        </w:rPr>
        <w:t> </w:t>
      </w:r>
      <w:r>
        <w:rPr>
          <w:color w:val="231F20"/>
          <w:w w:val="105"/>
        </w:rPr>
        <w:t>than</w:t>
      </w:r>
      <w:r>
        <w:rPr>
          <w:color w:val="231F20"/>
          <w:spacing w:val="-13"/>
          <w:w w:val="105"/>
        </w:rPr>
        <w:t> </w:t>
      </w:r>
      <w:r>
        <w:rPr>
          <w:color w:val="231F20"/>
          <w:w w:val="105"/>
        </w:rPr>
        <w:t>solute,</w:t>
      </w:r>
      <w:r>
        <w:rPr>
          <w:color w:val="231F20"/>
          <w:spacing w:val="-13"/>
          <w:w w:val="105"/>
        </w:rPr>
        <w:t> </w:t>
      </w:r>
      <w:r>
        <w:rPr>
          <w:color w:val="231F20"/>
          <w:w w:val="105"/>
        </w:rPr>
        <w:t>or</w:t>
      </w:r>
      <w:r>
        <w:rPr>
          <w:color w:val="231F20"/>
          <w:spacing w:val="-13"/>
          <w:w w:val="105"/>
        </w:rPr>
        <w:t> </w:t>
      </w:r>
      <w:r>
        <w:rPr>
          <w:color w:val="231F20"/>
          <w:w w:val="105"/>
        </w:rPr>
        <w:t>if</w:t>
      </w:r>
      <w:r>
        <w:rPr>
          <w:color w:val="231F20"/>
          <w:spacing w:val="-13"/>
          <w:w w:val="105"/>
        </w:rPr>
        <w:t> </w:t>
      </w:r>
      <w:r>
        <w:rPr>
          <w:color w:val="231F20"/>
          <w:w w:val="105"/>
        </w:rPr>
        <w:t>there</w:t>
      </w:r>
      <w:r>
        <w:rPr>
          <w:color w:val="231F20"/>
          <w:spacing w:val="-13"/>
          <w:w w:val="105"/>
        </w:rPr>
        <w:t> </w:t>
      </w:r>
      <w:r>
        <w:rPr>
          <w:color w:val="231F20"/>
          <w:w w:val="105"/>
        </w:rPr>
        <w:t>has</w:t>
      </w:r>
      <w:r>
        <w:rPr>
          <w:color w:val="231F20"/>
          <w:spacing w:val="-13"/>
          <w:w w:val="105"/>
        </w:rPr>
        <w:t> </w:t>
      </w:r>
      <w:r>
        <w:rPr>
          <w:color w:val="231F20"/>
          <w:w w:val="105"/>
        </w:rPr>
        <w:t>been a net secretion of the solute into the tubular fluid. If </w:t>
      </w:r>
      <w:r>
        <w:rPr>
          <w:color w:val="231F20"/>
          <w:spacing w:val="-5"/>
          <w:w w:val="105"/>
        </w:rPr>
        <w:t>the </w:t>
      </w:r>
      <w:r>
        <w:rPr>
          <w:color w:val="231F20"/>
          <w:w w:val="105"/>
        </w:rPr>
        <w:t>concentration ratio becomes progressively less than</w:t>
      </w:r>
      <w:r>
        <w:rPr>
          <w:color w:val="231F20"/>
          <w:spacing w:val="-18"/>
          <w:w w:val="105"/>
        </w:rPr>
        <w:t> </w:t>
      </w:r>
      <w:r>
        <w:rPr>
          <w:color w:val="231F20"/>
          <w:spacing w:val="-4"/>
          <w:w w:val="105"/>
        </w:rPr>
        <w:t>1.0, </w:t>
      </w:r>
      <w:r>
        <w:rPr>
          <w:color w:val="231F20"/>
          <w:w w:val="105"/>
        </w:rPr>
        <w:t>this means that relatively more solute has been reab- sorbed than</w:t>
      </w:r>
      <w:r>
        <w:rPr>
          <w:color w:val="231F20"/>
          <w:spacing w:val="6"/>
          <w:w w:val="105"/>
        </w:rPr>
        <w:t> </w:t>
      </w:r>
      <w:r>
        <w:rPr>
          <w:color w:val="231F20"/>
          <w:spacing w:val="-3"/>
          <w:w w:val="105"/>
        </w:rPr>
        <w:t>water.</w:t>
      </w:r>
    </w:p>
    <w:p>
      <w:pPr>
        <w:pStyle w:val="BodyText"/>
        <w:spacing w:line="249" w:lineRule="auto" w:before="4"/>
        <w:ind w:left="1440" w:firstLine="239"/>
        <w:jc w:val="both"/>
      </w:pPr>
      <w:r>
        <w:rPr>
          <w:color w:val="231F20"/>
          <w:w w:val="105"/>
        </w:rPr>
        <w:t>The</w:t>
      </w:r>
      <w:r>
        <w:rPr>
          <w:color w:val="231F20"/>
          <w:spacing w:val="-21"/>
          <w:w w:val="105"/>
        </w:rPr>
        <w:t> </w:t>
      </w:r>
      <w:r>
        <w:rPr>
          <w:color w:val="231F20"/>
          <w:w w:val="105"/>
        </w:rPr>
        <w:t>substances</w:t>
      </w:r>
      <w:r>
        <w:rPr>
          <w:color w:val="231F20"/>
          <w:spacing w:val="-21"/>
          <w:w w:val="105"/>
        </w:rPr>
        <w:t> </w:t>
      </w:r>
      <w:r>
        <w:rPr>
          <w:color w:val="231F20"/>
          <w:w w:val="105"/>
        </w:rPr>
        <w:t>represented</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0"/>
          <w:w w:val="105"/>
        </w:rPr>
        <w:t> </w:t>
      </w:r>
      <w:r>
        <w:rPr>
          <w:color w:val="231F20"/>
          <w:w w:val="105"/>
        </w:rPr>
        <w:t>top</w:t>
      </w:r>
      <w:r>
        <w:rPr>
          <w:color w:val="231F20"/>
          <w:spacing w:val="-21"/>
          <w:w w:val="105"/>
        </w:rPr>
        <w:t> </w:t>
      </w:r>
      <w:r>
        <w:rPr>
          <w:color w:val="231F20"/>
          <w:w w:val="105"/>
        </w:rPr>
        <w:t>of</w:t>
      </w:r>
      <w:r>
        <w:rPr>
          <w:color w:val="231F20"/>
          <w:spacing w:val="-21"/>
          <w:w w:val="105"/>
        </w:rPr>
        <w:t> </w:t>
      </w:r>
      <w:r>
        <w:rPr>
          <w:b/>
          <w:color w:val="231F20"/>
          <w:w w:val="105"/>
        </w:rPr>
        <w:t>Figure</w:t>
      </w:r>
      <w:r>
        <w:rPr>
          <w:b/>
          <w:color w:val="231F20"/>
          <w:spacing w:val="-22"/>
          <w:w w:val="105"/>
        </w:rPr>
        <w:t> </w:t>
      </w:r>
      <w:r>
        <w:rPr>
          <w:b/>
          <w:color w:val="231F20"/>
          <w:w w:val="105"/>
        </w:rPr>
        <w:t>25-15</w:t>
      </w:r>
      <w:r>
        <w:rPr>
          <w:color w:val="231F20"/>
          <w:w w:val="105"/>
        </w:rPr>
        <w:t>, such as creatinine, become highly concentrated in </w:t>
      </w:r>
      <w:r>
        <w:rPr>
          <w:color w:val="231F20"/>
          <w:spacing w:val="-5"/>
          <w:w w:val="105"/>
        </w:rPr>
        <w:t>the </w:t>
      </w:r>
      <w:r>
        <w:rPr>
          <w:color w:val="231F20"/>
          <w:w w:val="105"/>
        </w:rPr>
        <w:t>urine.</w:t>
      </w:r>
      <w:r>
        <w:rPr>
          <w:color w:val="231F20"/>
          <w:spacing w:val="-6"/>
          <w:w w:val="105"/>
        </w:rPr>
        <w:t> </w:t>
      </w:r>
      <w:r>
        <w:rPr>
          <w:color w:val="231F20"/>
          <w:w w:val="105"/>
        </w:rPr>
        <w:t>In</w:t>
      </w:r>
      <w:r>
        <w:rPr>
          <w:color w:val="231F20"/>
          <w:spacing w:val="-5"/>
          <w:w w:val="105"/>
        </w:rPr>
        <w:t> </w:t>
      </w:r>
      <w:r>
        <w:rPr>
          <w:color w:val="231F20"/>
          <w:w w:val="105"/>
        </w:rPr>
        <w:t>general,</w:t>
      </w:r>
      <w:r>
        <w:rPr>
          <w:color w:val="231F20"/>
          <w:spacing w:val="-6"/>
          <w:w w:val="105"/>
        </w:rPr>
        <w:t> </w:t>
      </w:r>
      <w:r>
        <w:rPr>
          <w:color w:val="231F20"/>
          <w:w w:val="105"/>
        </w:rPr>
        <w:t>these</w:t>
      </w:r>
      <w:r>
        <w:rPr>
          <w:color w:val="231F20"/>
          <w:spacing w:val="-5"/>
          <w:w w:val="105"/>
        </w:rPr>
        <w:t> </w:t>
      </w:r>
      <w:r>
        <w:rPr>
          <w:color w:val="231F20"/>
          <w:w w:val="105"/>
        </w:rPr>
        <w:t>substances</w:t>
      </w:r>
      <w:r>
        <w:rPr>
          <w:color w:val="231F20"/>
          <w:spacing w:val="-5"/>
          <w:w w:val="105"/>
        </w:rPr>
        <w:t> </w:t>
      </w:r>
      <w:r>
        <w:rPr>
          <w:color w:val="231F20"/>
          <w:w w:val="105"/>
        </w:rPr>
        <w:t>are</w:t>
      </w:r>
      <w:r>
        <w:rPr>
          <w:color w:val="231F20"/>
          <w:spacing w:val="-6"/>
          <w:w w:val="105"/>
        </w:rPr>
        <w:t> </w:t>
      </w:r>
      <w:r>
        <w:rPr>
          <w:color w:val="231F20"/>
          <w:w w:val="105"/>
        </w:rPr>
        <w:t>not</w:t>
      </w:r>
      <w:r>
        <w:rPr>
          <w:color w:val="231F20"/>
          <w:spacing w:val="-5"/>
          <w:w w:val="105"/>
        </w:rPr>
        <w:t> </w:t>
      </w:r>
      <w:r>
        <w:rPr>
          <w:color w:val="231F20"/>
          <w:w w:val="105"/>
        </w:rPr>
        <w:t>needed</w:t>
      </w:r>
      <w:r>
        <w:rPr>
          <w:color w:val="231F20"/>
          <w:spacing w:val="-5"/>
          <w:w w:val="105"/>
        </w:rPr>
        <w:t> </w:t>
      </w:r>
      <w:r>
        <w:rPr>
          <w:color w:val="231F20"/>
          <w:w w:val="105"/>
        </w:rPr>
        <w:t>by</w:t>
      </w:r>
      <w:r>
        <w:rPr>
          <w:color w:val="231F20"/>
          <w:spacing w:val="-6"/>
          <w:w w:val="105"/>
        </w:rPr>
        <w:t> </w:t>
      </w:r>
      <w:r>
        <w:rPr>
          <w:color w:val="231F20"/>
          <w:w w:val="105"/>
        </w:rPr>
        <w:t>the body, and the kidneys have become adapted to</w:t>
      </w:r>
      <w:r>
        <w:rPr>
          <w:color w:val="231F20"/>
          <w:spacing w:val="-26"/>
          <w:w w:val="105"/>
        </w:rPr>
        <w:t> </w:t>
      </w:r>
      <w:r>
        <w:rPr>
          <w:color w:val="231F20"/>
          <w:w w:val="105"/>
        </w:rPr>
        <w:t>reabsorb them only slightly or not at all, or even to secrete </w:t>
      </w:r>
      <w:r>
        <w:rPr>
          <w:color w:val="231F20"/>
          <w:spacing w:val="-5"/>
          <w:w w:val="105"/>
        </w:rPr>
        <w:t>them </w:t>
      </w:r>
      <w:r>
        <w:rPr>
          <w:color w:val="231F20"/>
          <w:w w:val="105"/>
        </w:rPr>
        <w:t>into</w:t>
      </w:r>
      <w:r>
        <w:rPr>
          <w:color w:val="231F20"/>
          <w:spacing w:val="-27"/>
          <w:w w:val="105"/>
        </w:rPr>
        <w:t> </w:t>
      </w:r>
      <w:r>
        <w:rPr>
          <w:color w:val="231F20"/>
          <w:w w:val="105"/>
        </w:rPr>
        <w:t>the</w:t>
      </w:r>
      <w:r>
        <w:rPr>
          <w:color w:val="231F20"/>
          <w:spacing w:val="-27"/>
          <w:w w:val="105"/>
        </w:rPr>
        <w:t> </w:t>
      </w:r>
      <w:r>
        <w:rPr>
          <w:color w:val="231F20"/>
          <w:w w:val="105"/>
        </w:rPr>
        <w:t>tubules,</w:t>
      </w:r>
      <w:r>
        <w:rPr>
          <w:color w:val="231F20"/>
          <w:spacing w:val="-26"/>
          <w:w w:val="105"/>
        </w:rPr>
        <w:t> </w:t>
      </w:r>
      <w:r>
        <w:rPr>
          <w:color w:val="231F20"/>
          <w:w w:val="105"/>
        </w:rPr>
        <w:t>thereby</w:t>
      </w:r>
      <w:r>
        <w:rPr>
          <w:color w:val="231F20"/>
          <w:spacing w:val="-27"/>
          <w:w w:val="105"/>
        </w:rPr>
        <w:t> </w:t>
      </w:r>
      <w:r>
        <w:rPr>
          <w:color w:val="231F20"/>
          <w:w w:val="105"/>
        </w:rPr>
        <w:t>excreting</w:t>
      </w:r>
      <w:r>
        <w:rPr>
          <w:color w:val="231F20"/>
          <w:spacing w:val="-27"/>
          <w:w w:val="105"/>
        </w:rPr>
        <w:t> </w:t>
      </w:r>
      <w:r>
        <w:rPr>
          <w:color w:val="231F20"/>
          <w:w w:val="105"/>
        </w:rPr>
        <w:t>especially</w:t>
      </w:r>
      <w:r>
        <w:rPr>
          <w:color w:val="231F20"/>
          <w:spacing w:val="-26"/>
          <w:w w:val="105"/>
        </w:rPr>
        <w:t> </w:t>
      </w:r>
      <w:r>
        <w:rPr>
          <w:color w:val="231F20"/>
          <w:w w:val="105"/>
        </w:rPr>
        <w:t>great</w:t>
      </w:r>
      <w:r>
        <w:rPr>
          <w:color w:val="231F20"/>
          <w:spacing w:val="-27"/>
          <w:w w:val="105"/>
        </w:rPr>
        <w:t> </w:t>
      </w:r>
      <w:r>
        <w:rPr>
          <w:color w:val="231F20"/>
          <w:spacing w:val="-3"/>
          <w:w w:val="105"/>
        </w:rPr>
        <w:t>quanti- </w:t>
      </w:r>
      <w:r>
        <w:rPr>
          <w:color w:val="231F20"/>
          <w:w w:val="105"/>
        </w:rPr>
        <w:t>ties</w:t>
      </w:r>
      <w:r>
        <w:rPr>
          <w:color w:val="231F20"/>
          <w:spacing w:val="-28"/>
          <w:w w:val="105"/>
        </w:rPr>
        <w:t> </w:t>
      </w:r>
      <w:r>
        <w:rPr>
          <w:color w:val="231F20"/>
          <w:w w:val="105"/>
        </w:rPr>
        <w:t>into</w:t>
      </w:r>
      <w:r>
        <w:rPr>
          <w:color w:val="231F20"/>
          <w:spacing w:val="-27"/>
          <w:w w:val="105"/>
        </w:rPr>
        <w:t> </w:t>
      </w:r>
      <w:r>
        <w:rPr>
          <w:color w:val="231F20"/>
          <w:w w:val="105"/>
        </w:rPr>
        <w:t>the</w:t>
      </w:r>
      <w:r>
        <w:rPr>
          <w:color w:val="231F20"/>
          <w:spacing w:val="-27"/>
          <w:w w:val="105"/>
        </w:rPr>
        <w:t> </w:t>
      </w:r>
      <w:r>
        <w:rPr>
          <w:color w:val="231F20"/>
          <w:w w:val="105"/>
        </w:rPr>
        <w:t>urine.</w:t>
      </w:r>
      <w:r>
        <w:rPr>
          <w:color w:val="231F20"/>
          <w:spacing w:val="-27"/>
          <w:w w:val="105"/>
        </w:rPr>
        <w:t> </w:t>
      </w:r>
      <w:r>
        <w:rPr>
          <w:color w:val="231F20"/>
          <w:w w:val="105"/>
        </w:rPr>
        <w:t>Conversely,</w:t>
      </w:r>
      <w:r>
        <w:rPr>
          <w:color w:val="231F20"/>
          <w:spacing w:val="-27"/>
          <w:w w:val="105"/>
        </w:rPr>
        <w:t> </w:t>
      </w:r>
      <w:r>
        <w:rPr>
          <w:color w:val="231F20"/>
          <w:w w:val="105"/>
        </w:rPr>
        <w:t>the</w:t>
      </w:r>
      <w:r>
        <w:rPr>
          <w:color w:val="231F20"/>
          <w:spacing w:val="-27"/>
          <w:w w:val="105"/>
        </w:rPr>
        <w:t> </w:t>
      </w:r>
      <w:r>
        <w:rPr>
          <w:color w:val="231F20"/>
          <w:w w:val="105"/>
        </w:rPr>
        <w:t>substances</w:t>
      </w:r>
      <w:r>
        <w:rPr>
          <w:color w:val="231F20"/>
          <w:spacing w:val="-27"/>
          <w:w w:val="105"/>
        </w:rPr>
        <w:t> </w:t>
      </w:r>
      <w:r>
        <w:rPr>
          <w:color w:val="231F20"/>
          <w:w w:val="105"/>
        </w:rPr>
        <w:t>represented toward the bottom of the figure, such as glucose </w:t>
      </w:r>
      <w:r>
        <w:rPr>
          <w:color w:val="231F20"/>
          <w:spacing w:val="-4"/>
          <w:w w:val="105"/>
        </w:rPr>
        <w:t>and </w:t>
      </w:r>
      <w:r>
        <w:rPr>
          <w:color w:val="231F20"/>
          <w:w w:val="105"/>
        </w:rPr>
        <w:t>amino</w:t>
      </w:r>
      <w:r>
        <w:rPr>
          <w:color w:val="231F20"/>
          <w:spacing w:val="-23"/>
          <w:w w:val="105"/>
        </w:rPr>
        <w:t> </w:t>
      </w:r>
      <w:r>
        <w:rPr>
          <w:color w:val="231F20"/>
          <w:w w:val="105"/>
        </w:rPr>
        <w:t>acids,</w:t>
      </w:r>
      <w:r>
        <w:rPr>
          <w:color w:val="231F20"/>
          <w:spacing w:val="-23"/>
          <w:w w:val="105"/>
        </w:rPr>
        <w:t> </w:t>
      </w:r>
      <w:r>
        <w:rPr>
          <w:color w:val="231F20"/>
          <w:w w:val="105"/>
        </w:rPr>
        <w:t>are</w:t>
      </w:r>
      <w:r>
        <w:rPr>
          <w:color w:val="231F20"/>
          <w:spacing w:val="-22"/>
          <w:w w:val="105"/>
        </w:rPr>
        <w:t> </w:t>
      </w:r>
      <w:r>
        <w:rPr>
          <w:color w:val="231F20"/>
          <w:w w:val="105"/>
        </w:rPr>
        <w:t>all</w:t>
      </w:r>
      <w:r>
        <w:rPr>
          <w:color w:val="231F20"/>
          <w:spacing w:val="-23"/>
          <w:w w:val="105"/>
        </w:rPr>
        <w:t> </w:t>
      </w:r>
      <w:r>
        <w:rPr>
          <w:color w:val="231F20"/>
          <w:w w:val="105"/>
        </w:rPr>
        <w:t>strongly</w:t>
      </w:r>
      <w:r>
        <w:rPr>
          <w:color w:val="231F20"/>
          <w:spacing w:val="-22"/>
          <w:w w:val="105"/>
        </w:rPr>
        <w:t> </w:t>
      </w:r>
      <w:r>
        <w:rPr>
          <w:color w:val="231F20"/>
          <w:w w:val="105"/>
        </w:rPr>
        <w:t>reabsorbed;</w:t>
      </w:r>
      <w:r>
        <w:rPr>
          <w:color w:val="231F20"/>
          <w:spacing w:val="-23"/>
          <w:w w:val="105"/>
        </w:rPr>
        <w:t> </w:t>
      </w:r>
      <w:r>
        <w:rPr>
          <w:color w:val="231F20"/>
          <w:w w:val="105"/>
        </w:rPr>
        <w:t>these</w:t>
      </w:r>
      <w:r>
        <w:rPr>
          <w:color w:val="231F20"/>
          <w:spacing w:val="-23"/>
          <w:w w:val="105"/>
        </w:rPr>
        <w:t> </w:t>
      </w:r>
      <w:r>
        <w:rPr>
          <w:color w:val="231F20"/>
          <w:w w:val="105"/>
        </w:rPr>
        <w:t>are</w:t>
      </w:r>
      <w:r>
        <w:rPr>
          <w:color w:val="231F20"/>
          <w:spacing w:val="-22"/>
          <w:w w:val="105"/>
        </w:rPr>
        <w:t> </w:t>
      </w:r>
      <w:r>
        <w:rPr>
          <w:color w:val="231F20"/>
          <w:w w:val="105"/>
        </w:rPr>
        <w:t>all</w:t>
      </w:r>
      <w:r>
        <w:rPr>
          <w:color w:val="231F20"/>
          <w:spacing w:val="-23"/>
          <w:w w:val="105"/>
        </w:rPr>
        <w:t> </w:t>
      </w:r>
      <w:r>
        <w:rPr>
          <w:color w:val="231F20"/>
          <w:w w:val="105"/>
        </w:rPr>
        <w:t>sub- stances</w:t>
      </w:r>
      <w:r>
        <w:rPr>
          <w:color w:val="231F20"/>
          <w:spacing w:val="-12"/>
          <w:w w:val="105"/>
        </w:rPr>
        <w:t> </w:t>
      </w:r>
      <w:r>
        <w:rPr>
          <w:color w:val="231F20"/>
          <w:w w:val="105"/>
        </w:rPr>
        <w:t>that</w:t>
      </w:r>
      <w:r>
        <w:rPr>
          <w:color w:val="231F20"/>
          <w:spacing w:val="-11"/>
          <w:w w:val="105"/>
        </w:rPr>
        <w:t> </w:t>
      </w:r>
      <w:r>
        <w:rPr>
          <w:color w:val="231F20"/>
          <w:w w:val="105"/>
        </w:rPr>
        <w:t>the</w:t>
      </w:r>
      <w:r>
        <w:rPr>
          <w:color w:val="231F20"/>
          <w:spacing w:val="-12"/>
          <w:w w:val="105"/>
        </w:rPr>
        <w:t> </w:t>
      </w:r>
      <w:r>
        <w:rPr>
          <w:color w:val="231F20"/>
          <w:w w:val="105"/>
        </w:rPr>
        <w:t>body</w:t>
      </w:r>
      <w:r>
        <w:rPr>
          <w:color w:val="231F20"/>
          <w:spacing w:val="-11"/>
          <w:w w:val="105"/>
        </w:rPr>
        <w:t> </w:t>
      </w:r>
      <w:r>
        <w:rPr>
          <w:color w:val="231F20"/>
          <w:w w:val="105"/>
        </w:rPr>
        <w:t>needs</w:t>
      </w:r>
      <w:r>
        <w:rPr>
          <w:color w:val="231F20"/>
          <w:spacing w:val="-12"/>
          <w:w w:val="105"/>
        </w:rPr>
        <w:t> </w:t>
      </w:r>
      <w:r>
        <w:rPr>
          <w:color w:val="231F20"/>
          <w:w w:val="105"/>
        </w:rPr>
        <w:t>to</w:t>
      </w:r>
      <w:r>
        <w:rPr>
          <w:color w:val="231F20"/>
          <w:spacing w:val="-11"/>
          <w:w w:val="105"/>
        </w:rPr>
        <w:t> </w:t>
      </w:r>
      <w:r>
        <w:rPr>
          <w:color w:val="231F20"/>
          <w:w w:val="105"/>
        </w:rPr>
        <w:t>conserve,</w:t>
      </w:r>
      <w:r>
        <w:rPr>
          <w:color w:val="231F20"/>
          <w:spacing w:val="-12"/>
          <w:w w:val="105"/>
        </w:rPr>
        <w:t> </w:t>
      </w:r>
      <w:r>
        <w:rPr>
          <w:color w:val="231F20"/>
          <w:w w:val="105"/>
        </w:rPr>
        <w:t>and</w:t>
      </w:r>
      <w:r>
        <w:rPr>
          <w:color w:val="231F20"/>
          <w:spacing w:val="-11"/>
          <w:w w:val="105"/>
        </w:rPr>
        <w:t> </w:t>
      </w:r>
      <w:r>
        <w:rPr>
          <w:color w:val="231F20"/>
          <w:w w:val="105"/>
        </w:rPr>
        <w:t>almost</w:t>
      </w:r>
      <w:r>
        <w:rPr>
          <w:color w:val="231F20"/>
          <w:spacing w:val="-12"/>
          <w:w w:val="105"/>
        </w:rPr>
        <w:t> </w:t>
      </w:r>
      <w:r>
        <w:rPr>
          <w:color w:val="231F20"/>
          <w:spacing w:val="-4"/>
          <w:w w:val="105"/>
        </w:rPr>
        <w:t>none </w:t>
      </w:r>
      <w:r>
        <w:rPr>
          <w:color w:val="231F20"/>
          <w:w w:val="105"/>
        </w:rPr>
        <w:t>of them are lost in the</w:t>
      </w:r>
      <w:r>
        <w:rPr>
          <w:color w:val="231F20"/>
          <w:spacing w:val="18"/>
          <w:w w:val="105"/>
        </w:rPr>
        <w:t> </w:t>
      </w:r>
      <w:r>
        <w:rPr>
          <w:color w:val="231F20"/>
          <w:w w:val="105"/>
        </w:rPr>
        <w:t>urine.</w:t>
      </w:r>
    </w:p>
    <w:p>
      <w:pPr>
        <w:pStyle w:val="BodyText"/>
        <w:spacing w:before="4"/>
        <w:rPr>
          <w:sz w:val="22"/>
        </w:rPr>
      </w:pPr>
    </w:p>
    <w:p>
      <w:pPr>
        <w:spacing w:line="252" w:lineRule="auto" w:before="0"/>
        <w:ind w:left="1440" w:right="0" w:firstLine="0"/>
        <w:jc w:val="both"/>
        <w:rPr>
          <w:sz w:val="20"/>
        </w:rPr>
      </w:pPr>
      <w:r>
        <w:rPr>
          <w:rFonts w:ascii="Trebuchet MS"/>
          <w:b/>
          <w:color w:val="231F20"/>
          <w:spacing w:val="-3"/>
          <w:sz w:val="19"/>
        </w:rPr>
        <w:t>Tubular </w:t>
      </w:r>
      <w:r>
        <w:rPr>
          <w:rFonts w:ascii="Trebuchet MS"/>
          <w:b/>
          <w:color w:val="231F20"/>
          <w:sz w:val="19"/>
        </w:rPr>
        <w:t>Fluid/Plasma Inulin Concentration Ratio </w:t>
      </w:r>
      <w:r>
        <w:rPr>
          <w:rFonts w:ascii="Trebuchet MS"/>
          <w:b/>
          <w:color w:val="231F20"/>
          <w:spacing w:val="-5"/>
          <w:sz w:val="19"/>
        </w:rPr>
        <w:t>Can </w:t>
      </w:r>
      <w:r>
        <w:rPr>
          <w:rFonts w:ascii="Trebuchet MS"/>
          <w:b/>
          <w:color w:val="231F20"/>
          <w:sz w:val="19"/>
        </w:rPr>
        <w:t>Be Used to Measure Water Reabsorption by </w:t>
      </w:r>
      <w:r>
        <w:rPr>
          <w:rFonts w:ascii="Trebuchet MS"/>
          <w:b/>
          <w:color w:val="231F20"/>
          <w:spacing w:val="-5"/>
          <w:sz w:val="19"/>
        </w:rPr>
        <w:t>the </w:t>
      </w:r>
      <w:r>
        <w:rPr>
          <w:rFonts w:ascii="Trebuchet MS"/>
          <w:b/>
          <w:color w:val="231F20"/>
          <w:sz w:val="19"/>
        </w:rPr>
        <w:t>Renal </w:t>
      </w:r>
      <w:r>
        <w:rPr>
          <w:rFonts w:ascii="Trebuchet MS"/>
          <w:b/>
          <w:color w:val="231F20"/>
          <w:spacing w:val="-3"/>
          <w:sz w:val="19"/>
        </w:rPr>
        <w:t>Tubules. </w:t>
      </w:r>
      <w:r>
        <w:rPr>
          <w:color w:val="231F20"/>
          <w:sz w:val="20"/>
        </w:rPr>
        <w:t>Inulin, a polysaccharide used to measure GFR, is not reabsorbed or secreted by the renal tubules. Changes in inulin concentration at different points </w:t>
      </w:r>
      <w:r>
        <w:rPr>
          <w:color w:val="231F20"/>
          <w:spacing w:val="-3"/>
          <w:sz w:val="20"/>
        </w:rPr>
        <w:t>along </w:t>
      </w:r>
      <w:r>
        <w:rPr>
          <w:color w:val="231F20"/>
          <w:sz w:val="20"/>
        </w:rPr>
        <w:t>the renal tubule, therefore, reflect changes in the </w:t>
      </w:r>
      <w:r>
        <w:rPr>
          <w:color w:val="231F20"/>
          <w:spacing w:val="-3"/>
          <w:sz w:val="20"/>
        </w:rPr>
        <w:t>amount </w:t>
      </w:r>
      <w:r>
        <w:rPr>
          <w:color w:val="231F20"/>
          <w:sz w:val="20"/>
        </w:rPr>
        <w:t>of water present in the tubular</w:t>
      </w:r>
      <w:r>
        <w:rPr>
          <w:color w:val="231F20"/>
          <w:spacing w:val="49"/>
          <w:sz w:val="20"/>
        </w:rPr>
        <w:t> </w:t>
      </w:r>
      <w:r>
        <w:rPr>
          <w:color w:val="231F20"/>
          <w:sz w:val="20"/>
        </w:rPr>
        <w:t>fluid.</w:t>
      </w:r>
    </w:p>
    <w:p>
      <w:pPr>
        <w:pStyle w:val="BodyText"/>
        <w:spacing w:line="249" w:lineRule="auto" w:before="1"/>
        <w:ind w:left="1440" w:firstLine="240"/>
        <w:jc w:val="both"/>
      </w:pPr>
      <w:r>
        <w:rPr>
          <w:color w:val="231F20"/>
          <w:spacing w:val="-3"/>
          <w:w w:val="105"/>
        </w:rPr>
        <w:t>For </w:t>
      </w:r>
      <w:r>
        <w:rPr>
          <w:color w:val="231F20"/>
          <w:w w:val="105"/>
        </w:rPr>
        <w:t>example, the tubular fluid/plasma </w:t>
      </w:r>
      <w:r>
        <w:rPr>
          <w:color w:val="231F20"/>
          <w:spacing w:val="-3"/>
          <w:w w:val="105"/>
        </w:rPr>
        <w:t>concentration </w:t>
      </w:r>
      <w:r>
        <w:rPr>
          <w:color w:val="231F20"/>
          <w:w w:val="105"/>
        </w:rPr>
        <w:t>ratio</w:t>
      </w:r>
      <w:r>
        <w:rPr>
          <w:color w:val="231F20"/>
          <w:spacing w:val="-21"/>
          <w:w w:val="105"/>
        </w:rPr>
        <w:t> </w:t>
      </w:r>
      <w:r>
        <w:rPr>
          <w:color w:val="231F20"/>
          <w:w w:val="105"/>
        </w:rPr>
        <w:t>for</w:t>
      </w:r>
      <w:r>
        <w:rPr>
          <w:color w:val="231F20"/>
          <w:spacing w:val="-20"/>
          <w:w w:val="105"/>
        </w:rPr>
        <w:t> </w:t>
      </w:r>
      <w:r>
        <w:rPr>
          <w:color w:val="231F20"/>
          <w:w w:val="105"/>
        </w:rPr>
        <w:t>inulin</w:t>
      </w:r>
      <w:r>
        <w:rPr>
          <w:color w:val="231F20"/>
          <w:spacing w:val="-20"/>
          <w:w w:val="105"/>
        </w:rPr>
        <w:t> </w:t>
      </w:r>
      <w:r>
        <w:rPr>
          <w:color w:val="231F20"/>
          <w:w w:val="105"/>
        </w:rPr>
        <w:t>rises</w:t>
      </w:r>
      <w:r>
        <w:rPr>
          <w:color w:val="231F20"/>
          <w:spacing w:val="-20"/>
          <w:w w:val="105"/>
        </w:rPr>
        <w:t> </w:t>
      </w:r>
      <w:r>
        <w:rPr>
          <w:color w:val="231F20"/>
          <w:w w:val="105"/>
        </w:rPr>
        <w:t>to</w:t>
      </w:r>
      <w:r>
        <w:rPr>
          <w:color w:val="231F20"/>
          <w:spacing w:val="-20"/>
          <w:w w:val="105"/>
        </w:rPr>
        <w:t> </w:t>
      </w:r>
      <w:r>
        <w:rPr>
          <w:color w:val="231F20"/>
          <w:w w:val="105"/>
        </w:rPr>
        <w:t>about</w:t>
      </w:r>
      <w:r>
        <w:rPr>
          <w:color w:val="231F20"/>
          <w:spacing w:val="-20"/>
          <w:w w:val="105"/>
        </w:rPr>
        <w:t> </w:t>
      </w:r>
      <w:r>
        <w:rPr>
          <w:color w:val="231F20"/>
          <w:w w:val="105"/>
        </w:rPr>
        <w:t>3.0</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20"/>
          <w:w w:val="105"/>
        </w:rPr>
        <w:t> </w:t>
      </w:r>
      <w:r>
        <w:rPr>
          <w:color w:val="231F20"/>
          <w:w w:val="105"/>
        </w:rPr>
        <w:t>end</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spacing w:val="-3"/>
          <w:w w:val="105"/>
        </w:rPr>
        <w:t>proximal</w:t>
      </w:r>
    </w:p>
    <w:p>
      <w:pPr>
        <w:pStyle w:val="BodyText"/>
        <w:spacing w:line="249" w:lineRule="auto" w:before="2"/>
        <w:ind w:left="319" w:right="1079"/>
        <w:jc w:val="both"/>
      </w:pPr>
      <w:r>
        <w:rPr/>
        <w:br w:type="column"/>
      </w:r>
      <w:r>
        <w:rPr>
          <w:color w:val="231F20"/>
          <w:w w:val="105"/>
        </w:rPr>
        <w:t>tant feature of tubular reabsorption is that reabsorption of</w:t>
      </w:r>
      <w:r>
        <w:rPr>
          <w:color w:val="231F20"/>
          <w:spacing w:val="-19"/>
          <w:w w:val="105"/>
        </w:rPr>
        <w:t> </w:t>
      </w:r>
      <w:r>
        <w:rPr>
          <w:color w:val="231F20"/>
          <w:w w:val="105"/>
        </w:rPr>
        <w:t>some</w:t>
      </w:r>
      <w:r>
        <w:rPr>
          <w:color w:val="231F20"/>
          <w:spacing w:val="-19"/>
          <w:w w:val="105"/>
        </w:rPr>
        <w:t> </w:t>
      </w:r>
      <w:r>
        <w:rPr>
          <w:color w:val="231F20"/>
          <w:w w:val="105"/>
        </w:rPr>
        <w:t>solutes</w:t>
      </w:r>
      <w:r>
        <w:rPr>
          <w:color w:val="231F20"/>
          <w:spacing w:val="-19"/>
          <w:w w:val="105"/>
        </w:rPr>
        <w:t> </w:t>
      </w:r>
      <w:r>
        <w:rPr>
          <w:color w:val="231F20"/>
          <w:w w:val="105"/>
        </w:rPr>
        <w:t>can</w:t>
      </w:r>
      <w:r>
        <w:rPr>
          <w:color w:val="231F20"/>
          <w:spacing w:val="-18"/>
          <w:w w:val="105"/>
        </w:rPr>
        <w:t> </w:t>
      </w:r>
      <w:r>
        <w:rPr>
          <w:color w:val="231F20"/>
          <w:w w:val="105"/>
        </w:rPr>
        <w:t>be</w:t>
      </w:r>
      <w:r>
        <w:rPr>
          <w:color w:val="231F20"/>
          <w:spacing w:val="-19"/>
          <w:w w:val="105"/>
        </w:rPr>
        <w:t> </w:t>
      </w:r>
      <w:r>
        <w:rPr>
          <w:color w:val="231F20"/>
          <w:w w:val="105"/>
        </w:rPr>
        <w:t>regulated</w:t>
      </w:r>
      <w:r>
        <w:rPr>
          <w:color w:val="231F20"/>
          <w:spacing w:val="-19"/>
          <w:w w:val="105"/>
        </w:rPr>
        <w:t> </w:t>
      </w:r>
      <w:r>
        <w:rPr>
          <w:color w:val="231F20"/>
          <w:w w:val="105"/>
        </w:rPr>
        <w:t>independently</w:t>
      </w:r>
      <w:r>
        <w:rPr>
          <w:color w:val="231F20"/>
          <w:spacing w:val="-19"/>
          <w:w w:val="105"/>
        </w:rPr>
        <w:t> </w:t>
      </w:r>
      <w:r>
        <w:rPr>
          <w:color w:val="231F20"/>
          <w:w w:val="105"/>
        </w:rPr>
        <w:t>of</w:t>
      </w:r>
      <w:r>
        <w:rPr>
          <w:color w:val="231F20"/>
          <w:spacing w:val="-18"/>
          <w:w w:val="105"/>
        </w:rPr>
        <w:t> </w:t>
      </w:r>
      <w:r>
        <w:rPr>
          <w:color w:val="231F20"/>
          <w:w w:val="105"/>
        </w:rPr>
        <w:t>others, especially through hormonal control</w:t>
      </w:r>
      <w:r>
        <w:rPr>
          <w:color w:val="231F20"/>
          <w:spacing w:val="-6"/>
          <w:w w:val="105"/>
        </w:rPr>
        <w:t> </w:t>
      </w:r>
      <w:r>
        <w:rPr>
          <w:color w:val="231F20"/>
          <w:w w:val="105"/>
        </w:rPr>
        <w:t>mechanisms.</w:t>
      </w:r>
    </w:p>
    <w:p>
      <w:pPr>
        <w:pStyle w:val="BodyText"/>
        <w:spacing w:before="10"/>
        <w:rPr>
          <w:sz w:val="30"/>
        </w:rPr>
      </w:pPr>
    </w:p>
    <w:p>
      <w:pPr>
        <w:pStyle w:val="Heading2"/>
        <w:spacing w:line="225" w:lineRule="auto"/>
        <w:ind w:right="1741"/>
      </w:pPr>
      <w:r>
        <w:rPr>
          <w:color w:val="231F20"/>
          <w:w w:val="105"/>
        </w:rPr>
        <w:t>GLOMERULOTUBULAR BALANCE—THE REABSORPTION RATE INCREASES</w:t>
      </w:r>
    </w:p>
    <w:p>
      <w:pPr>
        <w:spacing w:line="225" w:lineRule="auto" w:before="0"/>
        <w:ind w:left="319" w:right="1887" w:firstLine="0"/>
        <w:jc w:val="left"/>
        <w:rPr>
          <w:rFonts w:ascii="Trebuchet MS"/>
          <w:b/>
          <w:sz w:val="22"/>
        </w:rPr>
      </w:pPr>
      <w:r>
        <w:rPr>
          <w:rFonts w:ascii="Trebuchet MS"/>
          <w:b/>
          <w:color w:val="231F20"/>
          <w:w w:val="105"/>
          <w:sz w:val="22"/>
        </w:rPr>
        <w:t>IN RESPONSE TO INCREASED TUBULAR LOAD</w:t>
      </w:r>
    </w:p>
    <w:p>
      <w:pPr>
        <w:pStyle w:val="BodyText"/>
        <w:spacing w:line="249" w:lineRule="auto" w:before="127"/>
        <w:ind w:left="319" w:right="1077"/>
        <w:jc w:val="both"/>
      </w:pPr>
      <w:r>
        <w:rPr>
          <w:color w:val="231F20"/>
          <w:w w:val="105"/>
        </w:rPr>
        <w:t>One of the most basic mechanisms for controlling </w:t>
      </w:r>
      <w:r>
        <w:rPr>
          <w:color w:val="231F20"/>
          <w:spacing w:val="-4"/>
          <w:w w:val="105"/>
        </w:rPr>
        <w:t>tubu- </w:t>
      </w:r>
      <w:r>
        <w:rPr>
          <w:color w:val="231F20"/>
          <w:w w:val="105"/>
        </w:rPr>
        <w:t>lar reabsorption is the intrinsic ability of the tubules </w:t>
      </w:r>
      <w:r>
        <w:rPr>
          <w:color w:val="231F20"/>
          <w:spacing w:val="-7"/>
          <w:w w:val="105"/>
        </w:rPr>
        <w:t>to </w:t>
      </w:r>
      <w:r>
        <w:rPr>
          <w:color w:val="231F20"/>
          <w:w w:val="105"/>
        </w:rPr>
        <w:t>increase their reabsorption rate in response to increased tubular load (increased tubular inflow). This phenome- non is referred to as </w:t>
      </w:r>
      <w:r>
        <w:rPr>
          <w:i/>
          <w:color w:val="231F20"/>
          <w:w w:val="105"/>
        </w:rPr>
        <w:t>glomerulotubular balance. </w:t>
      </w:r>
      <w:r>
        <w:rPr>
          <w:color w:val="231F20"/>
          <w:spacing w:val="-3"/>
          <w:w w:val="105"/>
        </w:rPr>
        <w:t>For </w:t>
      </w:r>
      <w:r>
        <w:rPr>
          <w:color w:val="231F20"/>
          <w:w w:val="105"/>
        </w:rPr>
        <w:t>example, if the GFR increases from 125 ml/min  to  150 ml/min, the absolute rate of proximal tubular reab- sorption</w:t>
      </w:r>
      <w:r>
        <w:rPr>
          <w:color w:val="231F20"/>
          <w:spacing w:val="-19"/>
          <w:w w:val="105"/>
        </w:rPr>
        <w:t> </w:t>
      </w:r>
      <w:r>
        <w:rPr>
          <w:color w:val="231F20"/>
          <w:w w:val="105"/>
        </w:rPr>
        <w:t>also</w:t>
      </w:r>
      <w:r>
        <w:rPr>
          <w:color w:val="231F20"/>
          <w:spacing w:val="-18"/>
          <w:w w:val="105"/>
        </w:rPr>
        <w:t> </w:t>
      </w:r>
      <w:r>
        <w:rPr>
          <w:color w:val="231F20"/>
          <w:w w:val="105"/>
        </w:rPr>
        <w:t>increases</w:t>
      </w:r>
      <w:r>
        <w:rPr>
          <w:color w:val="231F20"/>
          <w:spacing w:val="-18"/>
          <w:w w:val="105"/>
        </w:rPr>
        <w:t> </w:t>
      </w:r>
      <w:r>
        <w:rPr>
          <w:color w:val="231F20"/>
          <w:w w:val="105"/>
        </w:rPr>
        <w:t>from</w:t>
      </w:r>
      <w:r>
        <w:rPr>
          <w:color w:val="231F20"/>
          <w:spacing w:val="-18"/>
          <w:w w:val="105"/>
        </w:rPr>
        <w:t> </w:t>
      </w:r>
      <w:r>
        <w:rPr>
          <w:color w:val="231F20"/>
          <w:w w:val="105"/>
        </w:rPr>
        <w:t>about</w:t>
      </w:r>
      <w:r>
        <w:rPr>
          <w:color w:val="231F20"/>
          <w:spacing w:val="-18"/>
          <w:w w:val="105"/>
        </w:rPr>
        <w:t> </w:t>
      </w:r>
      <w:r>
        <w:rPr>
          <w:color w:val="231F20"/>
          <w:w w:val="105"/>
        </w:rPr>
        <w:t>81</w:t>
      </w:r>
      <w:r>
        <w:rPr>
          <w:color w:val="231F20"/>
          <w:spacing w:val="-4"/>
          <w:w w:val="105"/>
        </w:rPr>
        <w:t> </w:t>
      </w:r>
      <w:r>
        <w:rPr>
          <w:color w:val="231F20"/>
          <w:w w:val="105"/>
        </w:rPr>
        <w:t>ml/min</w:t>
      </w:r>
      <w:r>
        <w:rPr>
          <w:color w:val="231F20"/>
          <w:spacing w:val="-18"/>
          <w:w w:val="105"/>
        </w:rPr>
        <w:t> </w:t>
      </w:r>
      <w:r>
        <w:rPr>
          <w:color w:val="231F20"/>
          <w:w w:val="105"/>
        </w:rPr>
        <w:t>(65</w:t>
      </w:r>
      <w:r>
        <w:rPr>
          <w:color w:val="231F20"/>
          <w:spacing w:val="-18"/>
          <w:w w:val="105"/>
        </w:rPr>
        <w:t> </w:t>
      </w:r>
      <w:r>
        <w:rPr>
          <w:color w:val="231F20"/>
          <w:w w:val="105"/>
        </w:rPr>
        <w:t>percent of</w:t>
      </w:r>
      <w:r>
        <w:rPr>
          <w:color w:val="231F20"/>
          <w:spacing w:val="-18"/>
          <w:w w:val="105"/>
        </w:rPr>
        <w:t> </w:t>
      </w:r>
      <w:r>
        <w:rPr>
          <w:color w:val="231F20"/>
          <w:w w:val="105"/>
        </w:rPr>
        <w:t>GFR)</w:t>
      </w:r>
      <w:r>
        <w:rPr>
          <w:color w:val="231F20"/>
          <w:spacing w:val="-18"/>
          <w:w w:val="105"/>
        </w:rPr>
        <w:t> </w:t>
      </w:r>
      <w:r>
        <w:rPr>
          <w:color w:val="231F20"/>
          <w:w w:val="105"/>
        </w:rPr>
        <w:t>to</w:t>
      </w:r>
      <w:r>
        <w:rPr>
          <w:color w:val="231F20"/>
          <w:spacing w:val="-18"/>
          <w:w w:val="105"/>
        </w:rPr>
        <w:t> </w:t>
      </w:r>
      <w:r>
        <w:rPr>
          <w:color w:val="231F20"/>
          <w:w w:val="105"/>
        </w:rPr>
        <w:t>about</w:t>
      </w:r>
      <w:r>
        <w:rPr>
          <w:color w:val="231F20"/>
          <w:spacing w:val="-18"/>
          <w:w w:val="105"/>
        </w:rPr>
        <w:t> </w:t>
      </w:r>
      <w:r>
        <w:rPr>
          <w:color w:val="231F20"/>
          <w:w w:val="105"/>
        </w:rPr>
        <w:t>97.5</w:t>
      </w:r>
      <w:r>
        <w:rPr>
          <w:color w:val="231F20"/>
          <w:spacing w:val="-14"/>
          <w:w w:val="105"/>
        </w:rPr>
        <w:t> </w:t>
      </w:r>
      <w:r>
        <w:rPr>
          <w:color w:val="231F20"/>
          <w:w w:val="105"/>
        </w:rPr>
        <w:t>ml/min</w:t>
      </w:r>
      <w:r>
        <w:rPr>
          <w:color w:val="231F20"/>
          <w:spacing w:val="-17"/>
          <w:w w:val="105"/>
        </w:rPr>
        <w:t> </w:t>
      </w:r>
      <w:r>
        <w:rPr>
          <w:color w:val="231F20"/>
          <w:w w:val="105"/>
        </w:rPr>
        <w:t>(65</w:t>
      </w:r>
      <w:r>
        <w:rPr>
          <w:color w:val="231F20"/>
          <w:spacing w:val="-18"/>
          <w:w w:val="105"/>
        </w:rPr>
        <w:t> </w:t>
      </w:r>
      <w:r>
        <w:rPr>
          <w:color w:val="231F20"/>
          <w:w w:val="105"/>
        </w:rPr>
        <w:t>percent</w:t>
      </w:r>
      <w:r>
        <w:rPr>
          <w:color w:val="231F20"/>
          <w:spacing w:val="-18"/>
          <w:w w:val="105"/>
        </w:rPr>
        <w:t> </w:t>
      </w:r>
      <w:r>
        <w:rPr>
          <w:color w:val="231F20"/>
          <w:w w:val="105"/>
        </w:rPr>
        <w:t>of</w:t>
      </w:r>
      <w:r>
        <w:rPr>
          <w:color w:val="231F20"/>
          <w:spacing w:val="-18"/>
          <w:w w:val="105"/>
        </w:rPr>
        <w:t> </w:t>
      </w:r>
      <w:r>
        <w:rPr>
          <w:color w:val="231F20"/>
          <w:w w:val="105"/>
        </w:rPr>
        <w:t>GFR).</w:t>
      </w:r>
      <w:r>
        <w:rPr>
          <w:color w:val="231F20"/>
          <w:spacing w:val="-18"/>
          <w:w w:val="105"/>
        </w:rPr>
        <w:t> </w:t>
      </w:r>
      <w:r>
        <w:rPr>
          <w:color w:val="231F20"/>
          <w:spacing w:val="-3"/>
          <w:w w:val="105"/>
        </w:rPr>
        <w:t>Thus, </w:t>
      </w:r>
      <w:r>
        <w:rPr>
          <w:color w:val="231F20"/>
          <w:w w:val="105"/>
        </w:rPr>
        <w:t>glomerulotubular balance refers to the fact that </w:t>
      </w:r>
      <w:r>
        <w:rPr>
          <w:color w:val="231F20"/>
          <w:spacing w:val="-6"/>
          <w:w w:val="105"/>
        </w:rPr>
        <w:t>the  </w:t>
      </w:r>
      <w:r>
        <w:rPr>
          <w:color w:val="231F20"/>
          <w:w w:val="105"/>
        </w:rPr>
        <w:t>total rate of reabsorption increases as the filtered load increases,</w:t>
      </w:r>
      <w:r>
        <w:rPr>
          <w:color w:val="231F20"/>
          <w:spacing w:val="-24"/>
          <w:w w:val="105"/>
        </w:rPr>
        <w:t> </w:t>
      </w:r>
      <w:r>
        <w:rPr>
          <w:color w:val="231F20"/>
          <w:w w:val="105"/>
        </w:rPr>
        <w:t>even</w:t>
      </w:r>
      <w:r>
        <w:rPr>
          <w:color w:val="231F20"/>
          <w:spacing w:val="-24"/>
          <w:w w:val="105"/>
        </w:rPr>
        <w:t> </w:t>
      </w:r>
      <w:r>
        <w:rPr>
          <w:color w:val="231F20"/>
          <w:w w:val="105"/>
        </w:rPr>
        <w:t>though</w:t>
      </w:r>
      <w:r>
        <w:rPr>
          <w:color w:val="231F20"/>
          <w:spacing w:val="-24"/>
          <w:w w:val="105"/>
        </w:rPr>
        <w:t> </w:t>
      </w:r>
      <w:r>
        <w:rPr>
          <w:color w:val="231F20"/>
          <w:w w:val="105"/>
        </w:rPr>
        <w:t>the</w:t>
      </w:r>
      <w:r>
        <w:rPr>
          <w:color w:val="231F20"/>
          <w:spacing w:val="-23"/>
          <w:w w:val="105"/>
        </w:rPr>
        <w:t> </w:t>
      </w:r>
      <w:r>
        <w:rPr>
          <w:color w:val="231F20"/>
          <w:w w:val="105"/>
        </w:rPr>
        <w:t>percentage</w:t>
      </w:r>
      <w:r>
        <w:rPr>
          <w:color w:val="231F20"/>
          <w:spacing w:val="-24"/>
          <w:w w:val="105"/>
        </w:rPr>
        <w:t> </w:t>
      </w:r>
      <w:r>
        <w:rPr>
          <w:color w:val="231F20"/>
          <w:w w:val="105"/>
        </w:rPr>
        <w:t>of</w:t>
      </w:r>
      <w:r>
        <w:rPr>
          <w:color w:val="231F20"/>
          <w:spacing w:val="-24"/>
          <w:w w:val="105"/>
        </w:rPr>
        <w:t> </w:t>
      </w:r>
      <w:r>
        <w:rPr>
          <w:color w:val="231F20"/>
          <w:w w:val="105"/>
        </w:rPr>
        <w:t>GFR</w:t>
      </w:r>
      <w:r>
        <w:rPr>
          <w:color w:val="231F20"/>
          <w:spacing w:val="-23"/>
          <w:w w:val="105"/>
        </w:rPr>
        <w:t> </w:t>
      </w:r>
      <w:r>
        <w:rPr>
          <w:color w:val="231F20"/>
          <w:w w:val="105"/>
        </w:rPr>
        <w:t>reabsorbed in the proximal tubule remains relatively constant at about 65</w:t>
      </w:r>
      <w:r>
        <w:rPr>
          <w:color w:val="231F20"/>
          <w:spacing w:val="6"/>
          <w:w w:val="105"/>
        </w:rPr>
        <w:t> </w:t>
      </w:r>
      <w:r>
        <w:rPr>
          <w:color w:val="231F20"/>
          <w:w w:val="105"/>
        </w:rPr>
        <w:t>percent.</w:t>
      </w:r>
    </w:p>
    <w:p>
      <w:pPr>
        <w:pStyle w:val="BodyText"/>
        <w:spacing w:line="249" w:lineRule="auto" w:before="12"/>
        <w:ind w:left="319" w:right="1077" w:firstLine="240"/>
        <w:jc w:val="both"/>
      </w:pPr>
      <w:r>
        <w:rPr>
          <w:color w:val="231F20"/>
          <w:w w:val="105"/>
        </w:rPr>
        <w:t>Some</w:t>
      </w:r>
      <w:r>
        <w:rPr>
          <w:color w:val="231F20"/>
          <w:spacing w:val="-14"/>
          <w:w w:val="105"/>
        </w:rPr>
        <w:t> </w:t>
      </w:r>
      <w:r>
        <w:rPr>
          <w:color w:val="231F20"/>
          <w:w w:val="105"/>
        </w:rPr>
        <w:t>degree</w:t>
      </w:r>
      <w:r>
        <w:rPr>
          <w:color w:val="231F20"/>
          <w:spacing w:val="-13"/>
          <w:w w:val="105"/>
        </w:rPr>
        <w:t> </w:t>
      </w:r>
      <w:r>
        <w:rPr>
          <w:color w:val="231F20"/>
          <w:w w:val="105"/>
        </w:rPr>
        <w:t>of</w:t>
      </w:r>
      <w:r>
        <w:rPr>
          <w:color w:val="231F20"/>
          <w:spacing w:val="-13"/>
          <w:w w:val="105"/>
        </w:rPr>
        <w:t> </w:t>
      </w:r>
      <w:r>
        <w:rPr>
          <w:color w:val="231F20"/>
          <w:w w:val="105"/>
        </w:rPr>
        <w:t>glomerulotubular</w:t>
      </w:r>
      <w:r>
        <w:rPr>
          <w:color w:val="231F20"/>
          <w:spacing w:val="-13"/>
          <w:w w:val="105"/>
        </w:rPr>
        <w:t> </w:t>
      </w:r>
      <w:r>
        <w:rPr>
          <w:color w:val="231F20"/>
          <w:w w:val="105"/>
        </w:rPr>
        <w:t>balance</w:t>
      </w:r>
      <w:r>
        <w:rPr>
          <w:color w:val="231F20"/>
          <w:spacing w:val="-13"/>
          <w:w w:val="105"/>
        </w:rPr>
        <w:t> </w:t>
      </w:r>
      <w:r>
        <w:rPr>
          <w:color w:val="231F20"/>
          <w:w w:val="105"/>
        </w:rPr>
        <w:t>also</w:t>
      </w:r>
      <w:r>
        <w:rPr>
          <w:color w:val="231F20"/>
          <w:spacing w:val="-13"/>
          <w:w w:val="105"/>
        </w:rPr>
        <w:t> </w:t>
      </w:r>
      <w:r>
        <w:rPr>
          <w:color w:val="231F20"/>
          <w:w w:val="105"/>
        </w:rPr>
        <w:t>occurs in other tubular segments, especially the loop of </w:t>
      </w:r>
      <w:r>
        <w:rPr>
          <w:color w:val="231F20"/>
          <w:spacing w:val="-4"/>
          <w:w w:val="105"/>
        </w:rPr>
        <w:t>Henle. </w:t>
      </w:r>
      <w:r>
        <w:rPr>
          <w:color w:val="231F20"/>
          <w:w w:val="105"/>
        </w:rPr>
        <w:t>The</w:t>
      </w:r>
      <w:r>
        <w:rPr>
          <w:color w:val="231F20"/>
          <w:spacing w:val="-16"/>
          <w:w w:val="105"/>
        </w:rPr>
        <w:t> </w:t>
      </w:r>
      <w:r>
        <w:rPr>
          <w:color w:val="231F20"/>
          <w:w w:val="105"/>
        </w:rPr>
        <w:t>precise</w:t>
      </w:r>
      <w:r>
        <w:rPr>
          <w:color w:val="231F20"/>
          <w:spacing w:val="-15"/>
          <w:w w:val="105"/>
        </w:rPr>
        <w:t> </w:t>
      </w:r>
      <w:r>
        <w:rPr>
          <w:color w:val="231F20"/>
          <w:w w:val="105"/>
        </w:rPr>
        <w:t>mechanisms</w:t>
      </w:r>
      <w:r>
        <w:rPr>
          <w:color w:val="231F20"/>
          <w:spacing w:val="-15"/>
          <w:w w:val="105"/>
        </w:rPr>
        <w:t> </w:t>
      </w:r>
      <w:r>
        <w:rPr>
          <w:color w:val="231F20"/>
          <w:w w:val="105"/>
        </w:rPr>
        <w:t>responsible</w:t>
      </w:r>
      <w:r>
        <w:rPr>
          <w:color w:val="231F20"/>
          <w:spacing w:val="-15"/>
          <w:w w:val="105"/>
        </w:rPr>
        <w:t> </w:t>
      </w:r>
      <w:r>
        <w:rPr>
          <w:color w:val="231F20"/>
          <w:w w:val="105"/>
        </w:rPr>
        <w:t>for</w:t>
      </w:r>
      <w:r>
        <w:rPr>
          <w:color w:val="231F20"/>
          <w:spacing w:val="-16"/>
          <w:w w:val="105"/>
        </w:rPr>
        <w:t> </w:t>
      </w:r>
      <w:r>
        <w:rPr>
          <w:color w:val="231F20"/>
          <w:w w:val="105"/>
        </w:rPr>
        <w:t>this</w:t>
      </w:r>
      <w:r>
        <w:rPr>
          <w:color w:val="231F20"/>
          <w:spacing w:val="-15"/>
          <w:w w:val="105"/>
        </w:rPr>
        <w:t> </w:t>
      </w:r>
      <w:r>
        <w:rPr>
          <w:color w:val="231F20"/>
          <w:w w:val="105"/>
        </w:rPr>
        <w:t>are</w:t>
      </w:r>
      <w:r>
        <w:rPr>
          <w:color w:val="231F20"/>
          <w:spacing w:val="-15"/>
          <w:w w:val="105"/>
        </w:rPr>
        <w:t> </w:t>
      </w:r>
      <w:r>
        <w:rPr>
          <w:color w:val="231F20"/>
          <w:w w:val="105"/>
        </w:rPr>
        <w:t>not</w:t>
      </w:r>
      <w:r>
        <w:rPr>
          <w:color w:val="231F20"/>
          <w:spacing w:val="-15"/>
          <w:w w:val="105"/>
        </w:rPr>
        <w:t> </w:t>
      </w:r>
      <w:r>
        <w:rPr>
          <w:color w:val="231F20"/>
          <w:spacing w:val="-3"/>
          <w:w w:val="105"/>
        </w:rPr>
        <w:t>fully </w:t>
      </w:r>
      <w:r>
        <w:rPr>
          <w:color w:val="231F20"/>
          <w:w w:val="105"/>
        </w:rPr>
        <w:t>understood</w:t>
      </w:r>
      <w:r>
        <w:rPr>
          <w:color w:val="231F20"/>
          <w:spacing w:val="-7"/>
          <w:w w:val="105"/>
        </w:rPr>
        <w:t> </w:t>
      </w:r>
      <w:r>
        <w:rPr>
          <w:color w:val="231F20"/>
          <w:w w:val="105"/>
        </w:rPr>
        <w:t>but</w:t>
      </w:r>
      <w:r>
        <w:rPr>
          <w:color w:val="231F20"/>
          <w:spacing w:val="-6"/>
          <w:w w:val="105"/>
        </w:rPr>
        <w:t> </w:t>
      </w:r>
      <w:r>
        <w:rPr>
          <w:color w:val="231F20"/>
          <w:w w:val="105"/>
        </w:rPr>
        <w:t>may</w:t>
      </w:r>
      <w:r>
        <w:rPr>
          <w:color w:val="231F20"/>
          <w:spacing w:val="-6"/>
          <w:w w:val="105"/>
        </w:rPr>
        <w:t> </w:t>
      </w:r>
      <w:r>
        <w:rPr>
          <w:color w:val="231F20"/>
          <w:w w:val="105"/>
        </w:rPr>
        <w:t>be</w:t>
      </w:r>
      <w:r>
        <w:rPr>
          <w:color w:val="231F20"/>
          <w:spacing w:val="-7"/>
          <w:w w:val="105"/>
        </w:rPr>
        <w:t> </w:t>
      </w:r>
      <w:r>
        <w:rPr>
          <w:color w:val="231F20"/>
          <w:w w:val="105"/>
        </w:rPr>
        <w:t>due</w:t>
      </w:r>
      <w:r>
        <w:rPr>
          <w:color w:val="231F20"/>
          <w:spacing w:val="-6"/>
          <w:w w:val="105"/>
        </w:rPr>
        <w:t> </w:t>
      </w:r>
      <w:r>
        <w:rPr>
          <w:color w:val="231F20"/>
          <w:w w:val="105"/>
        </w:rPr>
        <w:t>partly</w:t>
      </w:r>
      <w:r>
        <w:rPr>
          <w:color w:val="231F20"/>
          <w:spacing w:val="-6"/>
          <w:w w:val="105"/>
        </w:rPr>
        <w:t> </w:t>
      </w:r>
      <w:r>
        <w:rPr>
          <w:color w:val="231F20"/>
          <w:w w:val="105"/>
        </w:rPr>
        <w:t>to</w:t>
      </w:r>
      <w:r>
        <w:rPr>
          <w:color w:val="231F20"/>
          <w:spacing w:val="-7"/>
          <w:w w:val="105"/>
        </w:rPr>
        <w:t> </w:t>
      </w:r>
      <w:r>
        <w:rPr>
          <w:color w:val="231F20"/>
          <w:w w:val="105"/>
        </w:rPr>
        <w:t>changes</w:t>
      </w:r>
      <w:r>
        <w:rPr>
          <w:color w:val="231F20"/>
          <w:spacing w:val="-6"/>
          <w:w w:val="105"/>
        </w:rPr>
        <w:t> </w:t>
      </w:r>
      <w:r>
        <w:rPr>
          <w:color w:val="231F20"/>
          <w:w w:val="105"/>
        </w:rPr>
        <w:t>in</w:t>
      </w:r>
      <w:r>
        <w:rPr>
          <w:color w:val="231F20"/>
          <w:spacing w:val="-6"/>
          <w:w w:val="105"/>
        </w:rPr>
        <w:t> </w:t>
      </w:r>
      <w:r>
        <w:rPr>
          <w:color w:val="231F20"/>
          <w:w w:val="105"/>
        </w:rPr>
        <w:t>physical forces in the tubule and surrounding renal interstitium, as</w:t>
      </w:r>
      <w:r>
        <w:rPr>
          <w:color w:val="231F20"/>
          <w:spacing w:val="-10"/>
          <w:w w:val="105"/>
        </w:rPr>
        <w:t> </w:t>
      </w:r>
      <w:r>
        <w:rPr>
          <w:color w:val="231F20"/>
          <w:w w:val="105"/>
        </w:rPr>
        <w:t>discussed</w:t>
      </w:r>
      <w:r>
        <w:rPr>
          <w:color w:val="231F20"/>
          <w:spacing w:val="-10"/>
          <w:w w:val="105"/>
        </w:rPr>
        <w:t> </w:t>
      </w:r>
      <w:r>
        <w:rPr>
          <w:color w:val="231F20"/>
          <w:spacing w:val="-4"/>
          <w:w w:val="105"/>
        </w:rPr>
        <w:t>later.</w:t>
      </w:r>
      <w:r>
        <w:rPr>
          <w:color w:val="231F20"/>
          <w:spacing w:val="-9"/>
          <w:w w:val="105"/>
        </w:rPr>
        <w:t> </w:t>
      </w:r>
      <w:r>
        <w:rPr>
          <w:color w:val="231F20"/>
          <w:spacing w:val="-3"/>
          <w:w w:val="105"/>
        </w:rPr>
        <w:t>It</w:t>
      </w:r>
      <w:r>
        <w:rPr>
          <w:color w:val="231F20"/>
          <w:spacing w:val="-10"/>
          <w:w w:val="105"/>
        </w:rPr>
        <w:t> </w:t>
      </w:r>
      <w:r>
        <w:rPr>
          <w:color w:val="231F20"/>
          <w:w w:val="105"/>
        </w:rPr>
        <w:t>is</w:t>
      </w:r>
      <w:r>
        <w:rPr>
          <w:color w:val="231F20"/>
          <w:spacing w:val="-9"/>
          <w:w w:val="105"/>
        </w:rPr>
        <w:t> </w:t>
      </w:r>
      <w:r>
        <w:rPr>
          <w:color w:val="231F20"/>
          <w:w w:val="105"/>
        </w:rPr>
        <w:t>clear</w:t>
      </w:r>
      <w:r>
        <w:rPr>
          <w:color w:val="231F20"/>
          <w:spacing w:val="-10"/>
          <w:w w:val="105"/>
        </w:rPr>
        <w:t> </w:t>
      </w:r>
      <w:r>
        <w:rPr>
          <w:color w:val="231F20"/>
          <w:w w:val="105"/>
        </w:rPr>
        <w:t>that</w:t>
      </w:r>
      <w:r>
        <w:rPr>
          <w:color w:val="231F20"/>
          <w:spacing w:val="-9"/>
          <w:w w:val="105"/>
        </w:rPr>
        <w:t> </w:t>
      </w:r>
      <w:r>
        <w:rPr>
          <w:color w:val="231F20"/>
          <w:w w:val="105"/>
        </w:rPr>
        <w:t>the</w:t>
      </w:r>
      <w:r>
        <w:rPr>
          <w:color w:val="231F20"/>
          <w:spacing w:val="-10"/>
          <w:w w:val="105"/>
        </w:rPr>
        <w:t> </w:t>
      </w:r>
      <w:r>
        <w:rPr>
          <w:color w:val="231F20"/>
          <w:w w:val="105"/>
        </w:rPr>
        <w:t>mechanisms</w:t>
      </w:r>
      <w:r>
        <w:rPr>
          <w:color w:val="231F20"/>
          <w:spacing w:val="-9"/>
          <w:w w:val="105"/>
        </w:rPr>
        <w:t> </w:t>
      </w:r>
      <w:r>
        <w:rPr>
          <w:color w:val="231F20"/>
          <w:w w:val="105"/>
        </w:rPr>
        <w:t>for</w:t>
      </w:r>
      <w:r>
        <w:rPr>
          <w:color w:val="231F20"/>
          <w:spacing w:val="-10"/>
          <w:w w:val="105"/>
        </w:rPr>
        <w:t> </w:t>
      </w:r>
      <w:r>
        <w:rPr>
          <w:color w:val="231F20"/>
          <w:w w:val="105"/>
        </w:rPr>
        <w:t>glo- merulotubular balance can occur independently of hor- mones and can be demonstrated in completely isolated kidneys or even in completely isolated proximal </w:t>
      </w:r>
      <w:r>
        <w:rPr>
          <w:color w:val="231F20"/>
          <w:spacing w:val="-3"/>
          <w:w w:val="105"/>
        </w:rPr>
        <w:t>tubular </w:t>
      </w:r>
      <w:r>
        <w:rPr>
          <w:color w:val="231F20"/>
          <w:w w:val="105"/>
        </w:rPr>
        <w:t>segments.</w:t>
      </w:r>
    </w:p>
    <w:p>
      <w:pPr>
        <w:pStyle w:val="BodyText"/>
        <w:spacing w:line="249" w:lineRule="auto" w:before="8"/>
        <w:ind w:left="319" w:right="1079" w:firstLine="240"/>
        <w:jc w:val="both"/>
      </w:pPr>
      <w:r>
        <w:rPr>
          <w:color w:val="231F20"/>
          <w:w w:val="105"/>
        </w:rPr>
        <w:t>Glomerulotubular balance helps to prevent </w:t>
      </w:r>
      <w:r>
        <w:rPr>
          <w:color w:val="231F20"/>
          <w:spacing w:val="-3"/>
          <w:w w:val="105"/>
        </w:rPr>
        <w:t>overload- </w:t>
      </w:r>
      <w:r>
        <w:rPr>
          <w:color w:val="231F20"/>
          <w:w w:val="105"/>
        </w:rPr>
        <w:t>ing of the distal tubular segments when GFR increases.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655"/>
          <w:footerReference w:type="even" r:id="rId656"/>
          <w:footerReference w:type="default" r:id="rId657"/>
          <w:pgSz w:w="12240" w:h="15660"/>
          <w:pgMar w:header="0" w:footer="567" w:top="720" w:bottom="760" w:left="0" w:right="0"/>
          <w:pgNumType w:start="360"/>
        </w:sectPr>
      </w:pPr>
    </w:p>
    <w:p>
      <w:pPr>
        <w:pStyle w:val="BodyText"/>
        <w:spacing w:line="249" w:lineRule="auto" w:before="99"/>
        <w:ind w:left="1080"/>
        <w:jc w:val="both"/>
      </w:pPr>
      <w:r>
        <w:rPr>
          <w:color w:val="231F20"/>
          <w:w w:val="105"/>
        </w:rPr>
        <w:t>Glomerulotubular</w:t>
      </w:r>
      <w:r>
        <w:rPr>
          <w:color w:val="231F20"/>
          <w:spacing w:val="-13"/>
          <w:w w:val="105"/>
        </w:rPr>
        <w:t> </w:t>
      </w:r>
      <w:r>
        <w:rPr>
          <w:color w:val="231F20"/>
          <w:w w:val="105"/>
        </w:rPr>
        <w:t>balance</w:t>
      </w:r>
      <w:r>
        <w:rPr>
          <w:color w:val="231F20"/>
          <w:spacing w:val="-13"/>
          <w:w w:val="105"/>
        </w:rPr>
        <w:t> </w:t>
      </w:r>
      <w:r>
        <w:rPr>
          <w:color w:val="231F20"/>
          <w:w w:val="105"/>
        </w:rPr>
        <w:t>acts</w:t>
      </w:r>
      <w:r>
        <w:rPr>
          <w:color w:val="231F20"/>
          <w:spacing w:val="-13"/>
          <w:w w:val="105"/>
        </w:rPr>
        <w:t> </w:t>
      </w:r>
      <w:r>
        <w:rPr>
          <w:color w:val="231F20"/>
          <w:w w:val="105"/>
        </w:rPr>
        <w:t>as</w:t>
      </w:r>
      <w:r>
        <w:rPr>
          <w:color w:val="231F20"/>
          <w:spacing w:val="-12"/>
          <w:w w:val="105"/>
        </w:rPr>
        <w:t> </w:t>
      </w:r>
      <w:r>
        <w:rPr>
          <w:color w:val="231F20"/>
          <w:w w:val="105"/>
        </w:rPr>
        <w:t>another</w:t>
      </w:r>
      <w:r>
        <w:rPr>
          <w:color w:val="231F20"/>
          <w:spacing w:val="-13"/>
          <w:w w:val="105"/>
        </w:rPr>
        <w:t> </w:t>
      </w:r>
      <w:r>
        <w:rPr>
          <w:color w:val="231F20"/>
          <w:w w:val="105"/>
        </w:rPr>
        <w:t>line</w:t>
      </w:r>
      <w:r>
        <w:rPr>
          <w:color w:val="231F20"/>
          <w:spacing w:val="-13"/>
          <w:w w:val="105"/>
        </w:rPr>
        <w:t> </w:t>
      </w:r>
      <w:r>
        <w:rPr>
          <w:color w:val="231F20"/>
          <w:w w:val="105"/>
        </w:rPr>
        <w:t>of</w:t>
      </w:r>
      <w:r>
        <w:rPr>
          <w:color w:val="231F20"/>
          <w:spacing w:val="-12"/>
          <w:w w:val="105"/>
        </w:rPr>
        <w:t> </w:t>
      </w:r>
      <w:r>
        <w:rPr>
          <w:color w:val="231F20"/>
          <w:spacing w:val="-3"/>
          <w:w w:val="105"/>
        </w:rPr>
        <w:t>defense </w:t>
      </w:r>
      <w:r>
        <w:rPr>
          <w:color w:val="231F20"/>
          <w:w w:val="105"/>
        </w:rPr>
        <w:t>to buffer the effects of spontaneous changes in GFR  on urine output. (The other line of defense, discussed </w:t>
      </w:r>
      <w:r>
        <w:rPr>
          <w:color w:val="231F20"/>
          <w:spacing w:val="-3"/>
          <w:w w:val="105"/>
        </w:rPr>
        <w:t>earlier, </w:t>
      </w:r>
      <w:r>
        <w:rPr>
          <w:color w:val="231F20"/>
          <w:w w:val="105"/>
        </w:rPr>
        <w:t>includes the renal autoregulatory mechanisms, </w:t>
      </w:r>
      <w:r>
        <w:rPr>
          <w:color w:val="231F20"/>
        </w:rPr>
        <w:t>especially tubuloglomerular feedback, which help prevent </w:t>
      </w:r>
      <w:r>
        <w:rPr>
          <w:color w:val="231F20"/>
          <w:w w:val="105"/>
        </w:rPr>
        <w:t>large</w:t>
      </w:r>
      <w:r>
        <w:rPr>
          <w:color w:val="231F20"/>
          <w:spacing w:val="-20"/>
          <w:w w:val="105"/>
        </w:rPr>
        <w:t> </w:t>
      </w:r>
      <w:r>
        <w:rPr>
          <w:color w:val="231F20"/>
          <w:w w:val="105"/>
        </w:rPr>
        <w:t>changes</w:t>
      </w:r>
      <w:r>
        <w:rPr>
          <w:color w:val="231F20"/>
          <w:spacing w:val="-20"/>
          <w:w w:val="105"/>
        </w:rPr>
        <w:t> </w:t>
      </w:r>
      <w:r>
        <w:rPr>
          <w:color w:val="231F20"/>
          <w:w w:val="105"/>
        </w:rPr>
        <w:t>in</w:t>
      </w:r>
      <w:r>
        <w:rPr>
          <w:color w:val="231F20"/>
          <w:spacing w:val="-20"/>
          <w:w w:val="105"/>
        </w:rPr>
        <w:t> </w:t>
      </w:r>
      <w:r>
        <w:rPr>
          <w:color w:val="231F20"/>
          <w:w w:val="105"/>
        </w:rPr>
        <w:t>GFR.)</w:t>
      </w:r>
      <w:r>
        <w:rPr>
          <w:color w:val="231F20"/>
          <w:spacing w:val="-19"/>
          <w:w w:val="105"/>
        </w:rPr>
        <w:t> </w:t>
      </w:r>
      <w:r>
        <w:rPr>
          <w:color w:val="231F20"/>
          <w:spacing w:val="-3"/>
          <w:w w:val="105"/>
        </w:rPr>
        <w:t>Working</w:t>
      </w:r>
      <w:r>
        <w:rPr>
          <w:color w:val="231F20"/>
          <w:spacing w:val="-20"/>
          <w:w w:val="105"/>
        </w:rPr>
        <w:t> </w:t>
      </w:r>
      <w:r>
        <w:rPr>
          <w:color w:val="231F20"/>
          <w:spacing w:val="-3"/>
          <w:w w:val="105"/>
        </w:rPr>
        <w:t>together,</w:t>
      </w:r>
      <w:r>
        <w:rPr>
          <w:color w:val="231F20"/>
          <w:spacing w:val="-20"/>
          <w:w w:val="105"/>
        </w:rPr>
        <w:t> </w:t>
      </w:r>
      <w:r>
        <w:rPr>
          <w:color w:val="231F20"/>
          <w:w w:val="105"/>
        </w:rPr>
        <w:t>the</w:t>
      </w:r>
      <w:r>
        <w:rPr>
          <w:color w:val="231F20"/>
          <w:spacing w:val="-20"/>
          <w:w w:val="105"/>
        </w:rPr>
        <w:t> </w:t>
      </w:r>
      <w:r>
        <w:rPr>
          <w:color w:val="231F20"/>
          <w:w w:val="105"/>
        </w:rPr>
        <w:t>autoregula- tory and glomerulotubular balance mechanisms </w:t>
      </w:r>
      <w:r>
        <w:rPr>
          <w:color w:val="231F20"/>
          <w:spacing w:val="-3"/>
          <w:w w:val="105"/>
        </w:rPr>
        <w:t>prevent </w:t>
      </w:r>
      <w:r>
        <w:rPr>
          <w:color w:val="231F20"/>
          <w:w w:val="105"/>
        </w:rPr>
        <w:t>large</w:t>
      </w:r>
      <w:r>
        <w:rPr>
          <w:color w:val="231F20"/>
          <w:spacing w:val="-8"/>
          <w:w w:val="105"/>
        </w:rPr>
        <w:t> </w:t>
      </w:r>
      <w:r>
        <w:rPr>
          <w:color w:val="231F20"/>
          <w:w w:val="105"/>
        </w:rPr>
        <w:t>changes</w:t>
      </w:r>
      <w:r>
        <w:rPr>
          <w:color w:val="231F20"/>
          <w:spacing w:val="-8"/>
          <w:w w:val="105"/>
        </w:rPr>
        <w:t> </w:t>
      </w:r>
      <w:r>
        <w:rPr>
          <w:color w:val="231F20"/>
          <w:w w:val="105"/>
        </w:rPr>
        <w:t>in</w:t>
      </w:r>
      <w:r>
        <w:rPr>
          <w:color w:val="231F20"/>
          <w:spacing w:val="-8"/>
          <w:w w:val="105"/>
        </w:rPr>
        <w:t> </w:t>
      </w:r>
      <w:r>
        <w:rPr>
          <w:color w:val="231F20"/>
          <w:w w:val="105"/>
        </w:rPr>
        <w:t>fluid</w:t>
      </w:r>
      <w:r>
        <w:rPr>
          <w:color w:val="231F20"/>
          <w:spacing w:val="-8"/>
          <w:w w:val="105"/>
        </w:rPr>
        <w:t> </w:t>
      </w:r>
      <w:r>
        <w:rPr>
          <w:color w:val="231F20"/>
          <w:w w:val="105"/>
        </w:rPr>
        <w:t>flow</w:t>
      </w:r>
      <w:r>
        <w:rPr>
          <w:color w:val="231F20"/>
          <w:spacing w:val="-8"/>
          <w:w w:val="105"/>
        </w:rPr>
        <w:t> </w:t>
      </w:r>
      <w:r>
        <w:rPr>
          <w:color w:val="231F20"/>
          <w:w w:val="105"/>
        </w:rPr>
        <w:t>in</w:t>
      </w:r>
      <w:r>
        <w:rPr>
          <w:color w:val="231F20"/>
          <w:spacing w:val="-7"/>
          <w:w w:val="105"/>
        </w:rPr>
        <w:t> </w:t>
      </w:r>
      <w:r>
        <w:rPr>
          <w:color w:val="231F20"/>
          <w:w w:val="105"/>
        </w:rPr>
        <w:t>the</w:t>
      </w:r>
      <w:r>
        <w:rPr>
          <w:color w:val="231F20"/>
          <w:spacing w:val="-8"/>
          <w:w w:val="105"/>
        </w:rPr>
        <w:t> </w:t>
      </w:r>
      <w:r>
        <w:rPr>
          <w:color w:val="231F20"/>
          <w:w w:val="105"/>
        </w:rPr>
        <w:t>distal</w:t>
      </w:r>
      <w:r>
        <w:rPr>
          <w:color w:val="231F20"/>
          <w:spacing w:val="-8"/>
          <w:w w:val="105"/>
        </w:rPr>
        <w:t> </w:t>
      </w:r>
      <w:r>
        <w:rPr>
          <w:color w:val="231F20"/>
          <w:w w:val="105"/>
        </w:rPr>
        <w:t>tubules</w:t>
      </w:r>
      <w:r>
        <w:rPr>
          <w:color w:val="231F20"/>
          <w:spacing w:val="-8"/>
          <w:w w:val="105"/>
        </w:rPr>
        <w:t> </w:t>
      </w:r>
      <w:r>
        <w:rPr>
          <w:color w:val="231F20"/>
          <w:w w:val="105"/>
        </w:rPr>
        <w:t>when</w:t>
      </w:r>
      <w:r>
        <w:rPr>
          <w:color w:val="231F20"/>
          <w:spacing w:val="-8"/>
          <w:w w:val="105"/>
        </w:rPr>
        <w:t> </w:t>
      </w:r>
      <w:r>
        <w:rPr>
          <w:color w:val="231F20"/>
          <w:spacing w:val="-5"/>
          <w:w w:val="105"/>
        </w:rPr>
        <w:t>the </w:t>
      </w:r>
      <w:r>
        <w:rPr>
          <w:color w:val="231F20"/>
          <w:w w:val="105"/>
        </w:rPr>
        <w:t>arterial pressure changes or when there are other </w:t>
      </w:r>
      <w:r>
        <w:rPr>
          <w:color w:val="231F20"/>
          <w:spacing w:val="-4"/>
          <w:w w:val="105"/>
        </w:rPr>
        <w:t>distur- </w:t>
      </w:r>
      <w:r>
        <w:rPr>
          <w:color w:val="231F20"/>
          <w:w w:val="105"/>
        </w:rPr>
        <w:t>bances that would otherwise upset sodium and volume homeostasis.</w:t>
      </w:r>
    </w:p>
    <w:p>
      <w:pPr>
        <w:spacing w:line="235" w:lineRule="auto" w:before="130"/>
        <w:ind w:left="687" w:right="-19" w:hanging="94"/>
        <w:jc w:val="left"/>
        <w:rPr>
          <w:rFonts w:ascii="Helvetica"/>
          <w:sz w:val="16"/>
        </w:rPr>
      </w:pPr>
      <w:r>
        <w:rPr/>
        <w:br w:type="column"/>
      </w:r>
      <w:r>
        <w:rPr>
          <w:rFonts w:ascii="Helvetica"/>
          <w:color w:val="231F20"/>
          <w:sz w:val="16"/>
        </w:rPr>
        <w:t>Peritubular</w:t>
      </w:r>
      <w:r>
        <w:rPr>
          <w:rFonts w:ascii="Helvetica"/>
          <w:color w:val="231F20"/>
          <w:w w:val="99"/>
          <w:sz w:val="16"/>
        </w:rPr>
        <w:t> </w:t>
      </w:r>
      <w:r>
        <w:rPr>
          <w:rFonts w:ascii="Helvetica"/>
          <w:color w:val="231F20"/>
          <w:sz w:val="16"/>
        </w:rPr>
        <w:t>capillary</w:t>
      </w:r>
    </w:p>
    <w:p>
      <w:pPr>
        <w:spacing w:line="235" w:lineRule="auto" w:before="130"/>
        <w:ind w:left="662" w:right="-19" w:hanging="196"/>
        <w:jc w:val="left"/>
        <w:rPr>
          <w:rFonts w:ascii="Helvetica"/>
          <w:sz w:val="16"/>
        </w:rPr>
      </w:pPr>
      <w:r>
        <w:rPr/>
        <w:br w:type="column"/>
      </w:r>
      <w:r>
        <w:rPr>
          <w:rFonts w:ascii="Helvetica"/>
          <w:color w:val="231F20"/>
          <w:sz w:val="16"/>
        </w:rPr>
        <w:t>Interstitial</w:t>
      </w:r>
      <w:r>
        <w:rPr>
          <w:rFonts w:ascii="Helvetica"/>
          <w:color w:val="231F20"/>
          <w:w w:val="99"/>
          <w:sz w:val="16"/>
        </w:rPr>
        <w:t> </w:t>
      </w:r>
      <w:r>
        <w:rPr>
          <w:rFonts w:ascii="Helvetica"/>
          <w:color w:val="231F20"/>
          <w:sz w:val="16"/>
        </w:rPr>
        <w:t>fluid</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sz w:val="25"/>
        </w:rPr>
      </w:pPr>
    </w:p>
    <w:p>
      <w:pPr>
        <w:spacing w:before="0"/>
        <w:ind w:left="980" w:right="0" w:firstLine="0"/>
        <w:jc w:val="left"/>
        <w:rPr>
          <w:rFonts w:ascii="Helvetica"/>
          <w:sz w:val="16"/>
        </w:rPr>
      </w:pPr>
      <w:r>
        <w:rPr/>
        <w:pict>
          <v:group style="position:absolute;margin-left:417.524902pt;margin-top:-55.482971pt;width:100.5pt;height:97.35pt;mso-position-horizontal-relative:page;mso-position-vertical-relative:paragraph;z-index:252235776" coordorigin="8350,-1110" coordsize="2010,1947">
            <v:shape style="position:absolute;left:8682;top:-1083;width:1465;height:368" coordorigin="8682,-1082" coordsize="1465,368" path="m10147,-1082l8682,-1081,8682,-931,8690,-893,8711,-861,8743,-840,8781,-832,9569,-832,9587,-832,9631,-827,9691,-815,9751,-790,9801,-766,9863,-740,9929,-721,9991,-714,10046,-724,10094,-749,10130,-795,10147,-867,10147,-1082xe" filled="true" fillcolor="#feede3" stroked="false">
              <v:path arrowok="t"/>
              <v:fill type="solid"/>
            </v:shape>
            <v:shape style="position:absolute;left:8682;top:-1083;width:1465;height:368" coordorigin="8682,-1082" coordsize="1465,368" path="m10147,-867l10130,-795,10094,-749,10046,-724,9991,-714,9929,-721,9863,-740,9801,-766,9751,-790,9691,-815,9631,-827,9587,-832,9569,-832,8781,-832,8743,-840,8711,-861,8690,-893,8682,-931,8682,-1081,10147,-1082,10147,-867xe" filled="false" stroked="true" strokeweight=".75pt" strokecolor="#e2874a">
              <v:path arrowok="t"/>
              <v:stroke dashstyle="solid"/>
            </v:shape>
            <v:shape style="position:absolute;left:8682;top:-666;width:1465;height:1495" coordorigin="8682,-665" coordsize="1465,1495" path="m9991,-665l9929,-659,9863,-640,9801,-614,9706,-565,9671,-553,9631,-548,9569,-548,8781,-548,8743,-540,8711,-519,8690,-487,8682,-449,8682,612,8690,651,8711,682,8743,703,8781,711,9569,711,9587,712,9631,716,9691,729,9751,753,9801,778,9863,803,9929,823,9991,829,10046,820,10094,794,10130,748,10147,677,10147,-513,10130,-585,10094,-631,10046,-656,9991,-665xe" filled="true" fillcolor="#feede3" stroked="false">
              <v:path arrowok="t"/>
              <v:fill type="solid"/>
            </v:shape>
            <v:shape style="position:absolute;left:8682;top:-666;width:1465;height:1495" coordorigin="8682,-665" coordsize="1465,1495" path="m10147,677l10130,748,10094,794,10046,820,9991,829,9929,823,9863,803,9801,778,9751,753,9691,729,9631,716,9587,712,9569,711,8781,711,8743,703,8711,682,8690,651,8682,612,8682,-449,8690,-487,8711,-519,8743,-540,8781,-548,9569,-548,9631,-548,9671,-553,9706,-565,9751,-589,9801,-614,9863,-640,9929,-659,9991,-665,10046,-656,10094,-631,10130,-585,10147,-513,10147,677xe" filled="false" stroked="true" strokeweight=".75pt" strokecolor="#e2874a">
              <v:path arrowok="t"/>
              <v:stroke dashstyle="solid"/>
            </v:shape>
            <v:shape style="position:absolute;left:8350;top:280;width:523;height:401" type="#_x0000_t75" stroked="false">
              <v:imagedata r:id="rId658" o:title=""/>
            </v:shape>
            <v:shape style="position:absolute;left:9682;top:-13;width:180;height:117" type="#_x0000_t75" stroked="false">
              <v:imagedata r:id="rId659" o:title=""/>
            </v:shape>
            <v:shape style="position:absolute;left:8434;top:-13;width:180;height:117" type="#_x0000_t75" stroked="false">
              <v:imagedata r:id="rId660" o:title=""/>
            </v:shape>
            <v:shape style="position:absolute;left:9682;top:330;width:180;height:117" type="#_x0000_t75" stroked="false">
              <v:imagedata r:id="rId661" o:title=""/>
            </v:shape>
            <v:line style="position:absolute" from="10340,388" to="9814,388" stroked="true" strokeweight="1.5pt" strokecolor="#231f20">
              <v:stroke dashstyle="shortdash"/>
            </v:line>
            <v:line style="position:absolute" from="8642,-1080" to="10205,-1080" stroked="true" strokeweight="3pt" strokecolor="#ffffff">
              <v:stroke dashstyle="solid"/>
            </v:line>
            <v:shape style="position:absolute;left:8565;top:-156;width:546;height:185" type="#_x0000_t202" filled="false" stroked="false">
              <v:textbox inset="0,0,0,0">
                <w:txbxContent>
                  <w:p>
                    <w:pPr>
                      <w:tabs>
                        <w:tab w:pos="525" w:val="left" w:leader="none"/>
                      </w:tabs>
                      <w:spacing w:line="183" w:lineRule="exact" w:before="0"/>
                      <w:ind w:left="0" w:right="0" w:firstLine="0"/>
                      <w:jc w:val="left"/>
                      <w:rPr>
                        <w:rFonts w:ascii="Helvetica"/>
                        <w:sz w:val="16"/>
                      </w:rPr>
                    </w:pPr>
                    <w:r>
                      <w:rPr>
                        <w:rFonts w:ascii="Helvetica"/>
                        <w:color w:val="231F20"/>
                        <w:w w:val="100"/>
                        <w:sz w:val="16"/>
                        <w:u w:val="thick" w:color="231F20"/>
                      </w:rPr>
                      <w:t> </w:t>
                    </w:r>
                    <w:r>
                      <w:rPr>
                        <w:rFonts w:ascii="Helvetica"/>
                        <w:color w:val="231F20"/>
                        <w:sz w:val="16"/>
                        <w:u w:val="thick" w:color="231F20"/>
                      </w:rPr>
                      <w:tab/>
                    </w:r>
                  </w:p>
                </w:txbxContent>
              </v:textbox>
              <w10:wrap type="none"/>
            </v:shape>
            <v:shape style="position:absolute;left:9814;top:-156;width:546;height:185" type="#_x0000_t202" filled="false" stroked="false">
              <v:textbox inset="0,0,0,0">
                <w:txbxContent>
                  <w:p>
                    <w:pPr>
                      <w:tabs>
                        <w:tab w:pos="525" w:val="left" w:leader="none"/>
                      </w:tabs>
                      <w:spacing w:line="183" w:lineRule="exact" w:before="0"/>
                      <w:ind w:left="0" w:right="0" w:firstLine="0"/>
                      <w:jc w:val="left"/>
                      <w:rPr>
                        <w:rFonts w:ascii="Helvetica"/>
                        <w:sz w:val="16"/>
                      </w:rPr>
                    </w:pPr>
                    <w:r>
                      <w:rPr>
                        <w:rFonts w:ascii="Helvetica"/>
                        <w:color w:val="231F20"/>
                        <w:w w:val="100"/>
                        <w:sz w:val="16"/>
                        <w:u w:val="thick" w:color="231F20"/>
                      </w:rPr>
                      <w:t> </w:t>
                    </w:r>
                    <w:r>
                      <w:rPr>
                        <w:rFonts w:ascii="Helvetica"/>
                        <w:color w:val="231F20"/>
                        <w:sz w:val="16"/>
                        <w:u w:val="thick" w:color="231F20"/>
                      </w:rPr>
                      <w:tab/>
                    </w:r>
                  </w:p>
                </w:txbxContent>
              </v:textbox>
              <w10:wrap type="none"/>
            </v:shape>
            <v:shape style="position:absolute;left:8547;top:414;width:3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ATP</w:t>
                    </w:r>
                  </w:p>
                </w:txbxContent>
              </v:textbox>
              <w10:wrap type="none"/>
            </v:shape>
            <w10:wrap type="none"/>
          </v:group>
        </w:pict>
      </w:r>
      <w:r>
        <w:rPr/>
        <w:pict>
          <v:group style="position:absolute;margin-left:308.941681pt;margin-top:-74.439682pt;width:105.6pt;height:131.75pt;mso-position-horizontal-relative:page;mso-position-vertical-relative:paragraph;z-index:-273163264" coordorigin="6179,-1489" coordsize="2112,2635">
            <v:shape style="position:absolute;left:6186;top:-1362;width:1147;height:2500" type="#_x0000_t75" stroked="false">
              <v:imagedata r:id="rId662" o:title=""/>
            </v:shape>
            <v:shape style="position:absolute;left:6186;top:-1362;width:1147;height:2500" coordorigin="6186,-1361" coordsize="1147,2500" path="m7332,366l7332,-1361,6187,-1361,6187,1010,6187,1012,6186,1014,6186,1016,6231,1064,6354,1103,6439,1118,6537,1129,6644,1136,6760,1139,6875,1136,6983,1129,7080,1118,7165,1103,7235,1085,7322,1041,7333,1016,7333,1014,7333,1012,7332,1010,7332,910e" filled="false" stroked="true" strokeweight=".75pt" strokecolor="#c63231">
              <v:path arrowok="t"/>
              <v:stroke dashstyle="solid"/>
            </v:shape>
            <v:shape style="position:absolute;left:6186;top:-1482;width:1147;height:245" coordorigin="6186,-1481" coordsize="1147,245" path="m6760,-1481l6644,-1479,6537,-1472,6439,-1460,6354,-1446,6284,-1427,6198,-1384,6186,-1359,6198,-1334,6284,-1291,6354,-1273,6439,-1258,6537,-1247,6644,-1239,6760,-1237,6875,-1239,6983,-1247,7080,-1258,7165,-1273,7235,-1291,7322,-1334,7333,-1359,7322,-1384,7235,-1427,7165,-1446,7080,-1460,6983,-1472,6875,-1479,6760,-1481xe" filled="true" fillcolor="#f1c1bb" stroked="false">
              <v:path arrowok="t"/>
              <v:fill type="solid"/>
            </v:shape>
            <v:shape style="position:absolute;left:6186;top:-1482;width:1147;height:245" coordorigin="6186,-1481" coordsize="1147,245" path="m7333,-1359l7288,-1312,7165,-1273,7080,-1258,6983,-1247,6875,-1239,6760,-1237,6644,-1239,6537,-1247,6439,-1258,6354,-1273,6284,-1291,6198,-1334,6186,-1359,6198,-1384,6284,-1427,6354,-1446,6439,-1460,6537,-1472,6644,-1479,6760,-1481,6875,-1479,6983,-1472,7080,-1460,7165,-1446,7235,-1427,7322,-1384,7333,-1359xe" filled="false" stroked="true" strokeweight=".75pt" strokecolor="#c63231">
              <v:path arrowok="t"/>
              <v:stroke dashstyle="solid"/>
            </v:shape>
            <v:shape style="position:absolute;left:6347;top:-1426;width:825;height:132" type="#_x0000_t75" stroked="false">
              <v:imagedata r:id="rId663" o:title=""/>
            </v:shape>
            <v:shape style="position:absolute;left:6347;top:-1426;width:825;height:132" coordorigin="6347,-1425" coordsize="825,132" path="m7172,-1359l7116,-1326,7051,-1312,6968,-1302,6869,-1296,6760,-1293,6650,-1296,6552,-1302,6468,-1312,6404,-1326,6347,-1359,6362,-1377,6468,-1406,6552,-1416,6650,-1423,6760,-1425,6869,-1423,6968,-1416,7051,-1406,7116,-1392,7172,-1359xe" filled="false" stroked="true" strokeweight=".75pt" strokecolor="#c63231">
              <v:path arrowok="t"/>
              <v:stroke dashstyle="solid"/>
            </v:shape>
            <v:shape style="position:absolute;left:7392;top:-1151;width:180;height:117" coordorigin="7393,-1151" coordsize="180,117" path="m7570,-1151l7483,-1114,7393,-1092,7483,-1071,7570,-1035,7572,-1036,7539,-1093,7572,-1149,7570,-1151xe" filled="true" fillcolor="#f0535f" stroked="false">
              <v:path arrowok="t"/>
              <v:fill type="solid"/>
            </v:shape>
            <v:line style="position:absolute" from="7330,-576" to="7534,-576" stroked="true" strokeweight="1.5pt" strokecolor="#f0535f">
              <v:stroke dashstyle="solid"/>
            </v:line>
            <v:shape style="position:absolute;left:7498;top:-634;width:180;height:117" coordorigin="7498,-633" coordsize="180,117" path="m7501,-633l7499,-632,7531,-575,7498,-518,7500,-517,7587,-554,7677,-575,7587,-596,7501,-633xe" filled="true" fillcolor="#f0535f" stroked="false">
              <v:path arrowok="t"/>
              <v:fill type="solid"/>
            </v:shape>
            <v:line style="position:absolute" from="6959,-848" to="7163,-848" stroked="true" strokeweight="1.5pt" strokecolor="#f0535f">
              <v:stroke dashstyle="solid"/>
            </v:line>
            <v:shape style="position:absolute;left:7107;top:-906;width:180;height:117" coordorigin="7108,-905" coordsize="180,117" path="m7110,-905l7108,-904,7140,-847,7108,-790,7110,-789,7196,-826,7287,-847,7197,-868,7110,-905xe" filled="true" fillcolor="#f0535f" stroked="false">
              <v:path arrowok="t"/>
              <v:fill type="solid"/>
            </v:shape>
            <v:line style="position:absolute" from="7318,-349" to="7114,-349" stroked="true" strokeweight="1.5pt" strokecolor="#f0535f">
              <v:stroke dashstyle="solid"/>
            </v:line>
            <v:shape style="position:absolute;left:6989;top:-407;width:180;height:117" coordorigin="6990,-406" coordsize="180,117" path="m7167,-406l7080,-369,6990,-348,7080,-327,7167,-290,7169,-291,7136,-348,7169,-405,7167,-406xe" filled="true" fillcolor="#f0535f" stroked="false">
              <v:path arrowok="t"/>
              <v:fill type="solid"/>
            </v:shape>
            <v:line style="position:absolute" from="7771,226" to="7243,226" stroked="true" strokeweight="3pt" strokecolor="#f0535f">
              <v:stroke dashstyle="solid"/>
            </v:line>
            <v:shape style="position:absolute;left:7045;top:140;width:269;height:175" type="#_x0000_t75" stroked="false">
              <v:imagedata r:id="rId664" o:title=""/>
            </v:shape>
            <v:shape style="position:absolute;left:7770;top:98;width:189;height:256" coordorigin="7771,98" coordsize="189,256" path="m7959,354l7771,226,7959,98e" filled="false" stroked="true" strokeweight="3pt" strokecolor="#f0535f">
              <v:path arrowok="t"/>
              <v:stroke dashstyle="solid"/>
            </v:shape>
            <v:shape style="position:absolute;left:6368;top:-970;width:758;height:870" type="#_x0000_t202" filled="false" stroked="false">
              <v:textbox inset="0,0,0,0">
                <w:txbxContent>
                  <w:p>
                    <w:pPr>
                      <w:spacing w:line="202" w:lineRule="exact" w:before="0"/>
                      <w:ind w:left="0" w:right="18" w:firstLine="0"/>
                      <w:jc w:val="center"/>
                      <w:rPr>
                        <w:rFonts w:ascii="Helvetica"/>
                        <w:sz w:val="12"/>
                      </w:rPr>
                    </w:pPr>
                    <w:r>
                      <w:rPr>
                        <w:rFonts w:ascii="Helvetica"/>
                        <w:color w:val="231F20"/>
                        <w:sz w:val="16"/>
                      </w:rPr>
                      <w:t>P</w:t>
                    </w:r>
                    <w:r>
                      <w:rPr>
                        <w:rFonts w:ascii="Helvetica"/>
                        <w:color w:val="231F20"/>
                        <w:position w:val="-4"/>
                        <w:sz w:val="12"/>
                      </w:rPr>
                      <w:t>c</w:t>
                    </w:r>
                  </w:p>
                  <w:p>
                    <w:pPr>
                      <w:spacing w:line="161" w:lineRule="exact" w:before="0"/>
                      <w:ind w:left="-1" w:right="18" w:firstLine="0"/>
                      <w:jc w:val="center"/>
                      <w:rPr>
                        <w:rFonts w:ascii="Helvetica"/>
                        <w:sz w:val="16"/>
                      </w:rPr>
                    </w:pPr>
                    <w:r>
                      <w:rPr>
                        <w:rFonts w:ascii="Helvetica"/>
                        <w:color w:val="231F20"/>
                        <w:sz w:val="16"/>
                      </w:rPr>
                      <w:t>13 mm </w:t>
                    </w:r>
                    <w:r>
                      <w:rPr>
                        <w:rFonts w:ascii="Helvetica"/>
                        <w:color w:val="231F20"/>
                        <w:spacing w:val="-9"/>
                        <w:sz w:val="16"/>
                      </w:rPr>
                      <w:t>Hg</w:t>
                    </w:r>
                  </w:p>
                  <w:p>
                    <w:pPr>
                      <w:spacing w:line="214" w:lineRule="exact" w:before="130"/>
                      <w:ind w:left="266" w:right="285" w:firstLine="0"/>
                      <w:jc w:val="center"/>
                      <w:rPr>
                        <w:rFonts w:ascii="Helvetica" w:hAnsi="Helvetica"/>
                        <w:sz w:val="12"/>
                      </w:rPr>
                    </w:pPr>
                    <w:r>
                      <w:rPr>
                        <w:rFonts w:ascii="Symbol" w:hAnsi="Symbol"/>
                        <w:color w:val="231F20"/>
                        <w:sz w:val="16"/>
                      </w:rPr>
                      <w:t></w:t>
                    </w:r>
                    <w:r>
                      <w:rPr>
                        <w:rFonts w:ascii="Helvetica" w:hAnsi="Helvetica"/>
                        <w:color w:val="231F20"/>
                        <w:position w:val="-4"/>
                        <w:sz w:val="12"/>
                      </w:rPr>
                      <w:t>c</w:t>
                    </w:r>
                  </w:p>
                  <w:p>
                    <w:pPr>
                      <w:spacing w:line="161" w:lineRule="exact" w:before="0"/>
                      <w:ind w:left="-1" w:right="18" w:firstLine="0"/>
                      <w:jc w:val="center"/>
                      <w:rPr>
                        <w:rFonts w:ascii="Helvetica"/>
                        <w:sz w:val="16"/>
                      </w:rPr>
                    </w:pPr>
                    <w:r>
                      <w:rPr>
                        <w:rFonts w:ascii="Helvetica"/>
                        <w:color w:val="231F20"/>
                        <w:sz w:val="16"/>
                      </w:rPr>
                      <w:t>32 mm </w:t>
                    </w:r>
                    <w:r>
                      <w:rPr>
                        <w:rFonts w:ascii="Helvetica"/>
                        <w:color w:val="231F20"/>
                        <w:spacing w:val="-9"/>
                        <w:sz w:val="16"/>
                      </w:rPr>
                      <w:t>Hg</w:t>
                    </w:r>
                  </w:p>
                </w:txbxContent>
              </v:textbox>
              <w10:wrap type="none"/>
            </v:shape>
            <v:shape style="position:absolute;left:7500;top:-1217;width:758;height:877" type="#_x0000_t202" filled="false" stroked="false">
              <v:textbox inset="0,0,0,0">
                <w:txbxContent>
                  <w:p>
                    <w:pPr>
                      <w:spacing w:line="206" w:lineRule="exact" w:before="0"/>
                      <w:ind w:left="0" w:right="293" w:firstLine="0"/>
                      <w:jc w:val="right"/>
                      <w:rPr>
                        <w:rFonts w:ascii="Helvetica"/>
                        <w:sz w:val="16"/>
                      </w:rPr>
                    </w:pPr>
                    <w:r>
                      <w:rPr>
                        <w:rFonts w:ascii="Helvetica"/>
                        <w:color w:val="231F20"/>
                        <w:w w:val="100"/>
                        <w:sz w:val="16"/>
                        <w:u w:val="thick" w:color="F0535F"/>
                      </w:rPr>
                      <w:t> </w:t>
                    </w:r>
                    <w:r>
                      <w:rPr>
                        <w:rFonts w:ascii="Helvetica"/>
                        <w:color w:val="231F20"/>
                        <w:sz w:val="16"/>
                        <w:u w:val="thick" w:color="F0535F"/>
                      </w:rPr>
                      <w:t>    </w:t>
                    </w:r>
                    <w:r>
                      <w:rPr>
                        <w:rFonts w:ascii="Helvetica"/>
                        <w:color w:val="231F20"/>
                        <w:sz w:val="16"/>
                      </w:rPr>
                      <w:t> P</w:t>
                    </w:r>
                    <w:r>
                      <w:rPr>
                        <w:rFonts w:ascii="Helvetica"/>
                        <w:color w:val="231F20"/>
                        <w:position w:val="-4"/>
                        <w:sz w:val="16"/>
                      </w:rPr>
                      <w:t>if</w:t>
                    </w:r>
                  </w:p>
                  <w:p>
                    <w:pPr>
                      <w:spacing w:line="157" w:lineRule="exact" w:before="0"/>
                      <w:ind w:left="44" w:right="0" w:firstLine="0"/>
                      <w:jc w:val="left"/>
                      <w:rPr>
                        <w:rFonts w:ascii="Helvetica"/>
                        <w:sz w:val="16"/>
                      </w:rPr>
                    </w:pPr>
                    <w:r>
                      <w:rPr>
                        <w:rFonts w:ascii="Helvetica"/>
                        <w:color w:val="231F20"/>
                        <w:sz w:val="16"/>
                      </w:rPr>
                      <w:t>6 mm Hg</w:t>
                    </w:r>
                  </w:p>
                  <w:p>
                    <w:pPr>
                      <w:spacing w:line="218" w:lineRule="exact" w:before="136"/>
                      <w:ind w:left="0" w:right="302" w:firstLine="0"/>
                      <w:jc w:val="right"/>
                      <w:rPr>
                        <w:rFonts w:ascii="Helvetica" w:hAnsi="Helvetica"/>
                        <w:sz w:val="16"/>
                      </w:rPr>
                    </w:pPr>
                    <w:r>
                      <w:rPr>
                        <w:rFonts w:ascii="Symbol" w:hAnsi="Symbol"/>
                        <w:color w:val="231F20"/>
                        <w:position w:val="5"/>
                        <w:sz w:val="16"/>
                      </w:rPr>
                      <w:t></w:t>
                    </w:r>
                    <w:r>
                      <w:rPr>
                        <w:rFonts w:ascii="Helvetica" w:hAnsi="Helvetica"/>
                        <w:color w:val="231F20"/>
                        <w:sz w:val="16"/>
                      </w:rPr>
                      <w:t>if</w:t>
                    </w:r>
                  </w:p>
                  <w:p>
                    <w:pPr>
                      <w:spacing w:line="157" w:lineRule="exact" w:before="0"/>
                      <w:ind w:left="0" w:right="0" w:firstLine="0"/>
                      <w:jc w:val="left"/>
                      <w:rPr>
                        <w:rFonts w:ascii="Helvetica"/>
                        <w:sz w:val="16"/>
                      </w:rPr>
                    </w:pPr>
                    <w:r>
                      <w:rPr>
                        <w:rFonts w:ascii="Helvetica"/>
                        <w:color w:val="231F20"/>
                        <w:sz w:val="16"/>
                      </w:rPr>
                      <w:t>15 mm Hg</w:t>
                    </w:r>
                  </w:p>
                </w:txbxContent>
              </v:textbox>
              <w10:wrap type="none"/>
            </v:shape>
            <v:shape style="position:absolute;left:7150;top:-156;width:785;height:704" type="#_x0000_t202" filled="false" stroked="false">
              <v:textbox inset="0,0,0,0">
                <w:txbxContent>
                  <w:p>
                    <w:pPr>
                      <w:spacing w:line="235" w:lineRule="auto" w:before="2"/>
                      <w:ind w:left="252" w:right="218" w:firstLine="0"/>
                      <w:jc w:val="center"/>
                      <w:rPr>
                        <w:rFonts w:ascii="Helvetica"/>
                        <w:sz w:val="16"/>
                      </w:rPr>
                    </w:pPr>
                    <w:r>
                      <w:rPr>
                        <w:rFonts w:ascii="Helvetica"/>
                        <w:color w:val="231F20"/>
                        <w:sz w:val="16"/>
                      </w:rPr>
                      <w:t>Bulk</w:t>
                    </w:r>
                    <w:r>
                      <w:rPr>
                        <w:rFonts w:ascii="Helvetica"/>
                        <w:color w:val="231F20"/>
                        <w:w w:val="99"/>
                        <w:sz w:val="16"/>
                      </w:rPr>
                      <w:t> </w:t>
                    </w:r>
                    <w:r>
                      <w:rPr>
                        <w:rFonts w:ascii="Helvetica"/>
                        <w:color w:val="231F20"/>
                        <w:sz w:val="16"/>
                      </w:rPr>
                      <w:t>flow</w:t>
                    </w:r>
                  </w:p>
                  <w:p>
                    <w:pPr>
                      <w:spacing w:before="154"/>
                      <w:ind w:left="-1" w:right="18" w:firstLine="0"/>
                      <w:jc w:val="center"/>
                      <w:rPr>
                        <w:rFonts w:ascii="Helvetica"/>
                        <w:b/>
                        <w:sz w:val="16"/>
                      </w:rPr>
                    </w:pPr>
                    <w:r>
                      <w:rPr>
                        <w:rFonts w:ascii="Helvetica"/>
                        <w:b/>
                        <w:color w:val="231F20"/>
                        <w:sz w:val="16"/>
                      </w:rPr>
                      <w:t>10 mm </w:t>
                    </w:r>
                    <w:r>
                      <w:rPr>
                        <w:rFonts w:ascii="Helvetica"/>
                        <w:b/>
                        <w:color w:val="231F20"/>
                        <w:spacing w:val="-9"/>
                        <w:sz w:val="16"/>
                      </w:rPr>
                      <w:t>Hg</w:t>
                    </w:r>
                  </w:p>
                </w:txbxContent>
              </v:textbox>
              <w10:wrap type="none"/>
            </v:shape>
            <v:shape style="position:absolute;left:8007;top:0;width:283;height:477" type="#_x0000_t202" filled="false" stroked="false">
              <v:textbox inset="0,0,0,0">
                <w:txbxContent>
                  <w:p>
                    <w:pPr>
                      <w:spacing w:line="237" w:lineRule="auto" w:before="0"/>
                      <w:ind w:left="0" w:right="0" w:firstLine="0"/>
                      <w:jc w:val="left"/>
                      <w:rPr>
                        <w:rFonts w:ascii="Helvetica"/>
                        <w:sz w:val="12"/>
                      </w:rPr>
                    </w:pPr>
                    <w:r>
                      <w:rPr>
                        <w:rFonts w:ascii="Helvetica"/>
                        <w:color w:val="231F20"/>
                        <w:sz w:val="16"/>
                      </w:rPr>
                      <w:t>H</w:t>
                    </w:r>
                    <w:r>
                      <w:rPr>
                        <w:rFonts w:ascii="Helvetica"/>
                        <w:color w:val="231F20"/>
                        <w:position w:val="-4"/>
                        <w:sz w:val="12"/>
                      </w:rPr>
                      <w:t>2</w:t>
                    </w:r>
                  </w:p>
                  <w:p>
                    <w:pPr>
                      <w:spacing w:before="67"/>
                      <w:ind w:left="58" w:right="0" w:firstLine="0"/>
                      <w:jc w:val="left"/>
                      <w:rPr>
                        <w:rFonts w:ascii="Helvetica"/>
                        <w:sz w:val="16"/>
                      </w:rPr>
                    </w:pPr>
                    <w:r>
                      <w:rPr>
                        <w:rFonts w:ascii="Helvetica"/>
                        <w:color w:val="231F20"/>
                        <w:sz w:val="16"/>
                      </w:rPr>
                      <w:t>Na</w:t>
                    </w:r>
                  </w:p>
                </w:txbxContent>
              </v:textbox>
              <w10:wrap type="none"/>
            </v:shape>
            <v:shape style="position:absolute;left:6892;top:537;width:1301;height:371" type="#_x0000_t202" filled="false" stroked="false">
              <v:textbox inset="0,0,0,0">
                <w:txbxContent>
                  <w:p>
                    <w:pPr>
                      <w:spacing w:line="235" w:lineRule="auto" w:before="7"/>
                      <w:ind w:left="302" w:right="1" w:hanging="303"/>
                      <w:jc w:val="left"/>
                      <w:rPr>
                        <w:rFonts w:ascii="Helvetica"/>
                        <w:b/>
                        <w:sz w:val="16"/>
                      </w:rPr>
                    </w:pPr>
                    <w:r>
                      <w:rPr>
                        <w:rFonts w:ascii="Helvetica"/>
                        <w:b/>
                        <w:color w:val="231F20"/>
                        <w:sz w:val="16"/>
                      </w:rPr>
                      <w:t>Net reabsorption pressure</w:t>
                    </w:r>
                  </w:p>
                </w:txbxContent>
              </v:textbox>
              <w10:wrap type="none"/>
            </v:shape>
            <w10:wrap type="none"/>
          </v:group>
        </w:pict>
      </w:r>
      <w:r>
        <w:rPr>
          <w:rFonts w:ascii="Helvetica"/>
          <w:color w:val="231F20"/>
          <w:w w:val="100"/>
          <w:sz w:val="16"/>
        </w:rPr>
        <w:t>O</w:t>
      </w:r>
    </w:p>
    <w:p>
      <w:pPr>
        <w:spacing w:before="87"/>
        <w:ind w:left="1060" w:right="0" w:firstLine="0"/>
        <w:jc w:val="left"/>
        <w:rPr>
          <w:rFonts w:ascii="Symbol" w:hAnsi="Symbol"/>
          <w:sz w:val="12"/>
        </w:rPr>
      </w:pPr>
      <w:r>
        <w:rPr>
          <w:rFonts w:ascii="Symbol" w:hAnsi="Symbol"/>
          <w:color w:val="231F20"/>
          <w:w w:val="100"/>
          <w:sz w:val="12"/>
        </w:rPr>
        <w:t></w:t>
      </w:r>
    </w:p>
    <w:p>
      <w:pPr>
        <w:spacing w:line="235" w:lineRule="auto" w:before="130"/>
        <w:ind w:left="809" w:right="-18" w:hanging="112"/>
        <w:jc w:val="left"/>
        <w:rPr>
          <w:rFonts w:ascii="Helvetica"/>
          <w:sz w:val="16"/>
        </w:rPr>
      </w:pPr>
      <w:r>
        <w:rPr/>
        <w:br w:type="column"/>
      </w:r>
      <w:r>
        <w:rPr>
          <w:rFonts w:ascii="Helvetica"/>
          <w:color w:val="231F20"/>
          <w:sz w:val="16"/>
        </w:rPr>
        <w:t>Tubular cells</w:t>
      </w:r>
    </w:p>
    <w:p>
      <w:pPr>
        <w:spacing w:line="235" w:lineRule="auto" w:before="130"/>
        <w:ind w:left="570" w:right="1479" w:hanging="54"/>
        <w:jc w:val="left"/>
        <w:rPr>
          <w:rFonts w:ascii="Helvetica"/>
          <w:sz w:val="16"/>
        </w:rPr>
      </w:pPr>
      <w:r>
        <w:rPr/>
        <w:br w:type="column"/>
      </w:r>
      <w:r>
        <w:rPr>
          <w:rFonts w:ascii="Helvetica"/>
          <w:color w:val="231F20"/>
          <w:sz w:val="16"/>
        </w:rPr>
        <w:t>Tubular lumen</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7"/>
        <w:rPr>
          <w:rFonts w:ascii="Helvetica"/>
        </w:rPr>
      </w:pPr>
    </w:p>
    <w:p>
      <w:pPr>
        <w:spacing w:before="0"/>
        <w:ind w:left="695"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w:t>
      </w:r>
    </w:p>
    <w:p>
      <w:pPr>
        <w:spacing w:before="105"/>
        <w:ind w:left="693" w:right="0" w:firstLine="0"/>
        <w:jc w:val="left"/>
        <w:rPr>
          <w:rFonts w:ascii="Symbol" w:hAnsi="Symbol"/>
          <w:sz w:val="12"/>
        </w:rPr>
      </w:pPr>
      <w:r>
        <w:rPr>
          <w:rFonts w:ascii="Helvetica" w:hAnsi="Helvetica"/>
          <w:color w:val="231F20"/>
          <w:sz w:val="16"/>
        </w:rPr>
        <w:t>Na</w:t>
      </w:r>
      <w:r>
        <w:rPr>
          <w:rFonts w:ascii="Symbol" w:hAnsi="Symbol"/>
          <w:color w:val="231F20"/>
          <w:position w:val="5"/>
          <w:sz w:val="12"/>
        </w:rPr>
        <w:t></w:t>
      </w:r>
    </w:p>
    <w:p>
      <w:pPr>
        <w:spacing w:after="0"/>
        <w:jc w:val="left"/>
        <w:rPr>
          <w:rFonts w:ascii="Symbol" w:hAnsi="Symbol"/>
          <w:sz w:val="12"/>
        </w:rPr>
        <w:sectPr>
          <w:type w:val="continuous"/>
          <w:pgSz w:w="12240" w:h="15660"/>
          <w:pgMar w:top="0" w:bottom="760" w:left="0" w:right="0"/>
          <w:cols w:num="5" w:equalWidth="0">
            <w:col w:w="5762" w:space="40"/>
            <w:col w:w="1368" w:space="39"/>
            <w:col w:w="1152" w:space="40"/>
            <w:col w:w="1242" w:space="39"/>
            <w:col w:w="2558"/>
          </w:cols>
        </w:sectPr>
      </w:pPr>
    </w:p>
    <w:p>
      <w:pPr>
        <w:pStyle w:val="BodyText"/>
        <w:spacing w:before="5"/>
        <w:rPr>
          <w:rFonts w:ascii="Symbol" w:hAnsi="Symbol"/>
        </w:rPr>
      </w:pPr>
    </w:p>
    <w:p>
      <w:pPr>
        <w:spacing w:after="0"/>
        <w:rPr>
          <w:rFonts w:ascii="Symbol" w:hAnsi="Symbol"/>
        </w:rPr>
        <w:sectPr>
          <w:type w:val="continuous"/>
          <w:pgSz w:w="12240" w:h="15660"/>
          <w:pgMar w:top="0" w:bottom="760" w:left="0" w:right="0"/>
        </w:sectPr>
      </w:pPr>
    </w:p>
    <w:p>
      <w:pPr>
        <w:pStyle w:val="Heading2"/>
        <w:spacing w:line="225" w:lineRule="auto" w:before="112"/>
        <w:ind w:left="1080"/>
      </w:pPr>
      <w:r>
        <w:rPr/>
        <w:pict>
          <v:rect style="position:absolute;margin-left:0pt;margin-top:-4.041079pt;width:36pt;height:24pt;mso-position-horizontal-relative:page;mso-position-vertical-relative:paragraph;z-index:252231680" filled="true" fillcolor="#e8dac8" stroked="false">
            <v:fill type="solid"/>
            <w10:wrap type="none"/>
          </v:rect>
        </w:pict>
      </w:r>
      <w:r>
        <w:rPr>
          <w:color w:val="231F20"/>
        </w:rPr>
        <w:t>PERITUBULAR CAPILLARY AND RENAL INTERSTITIAL FLUID PHYSICAL FORCES</w:t>
      </w:r>
    </w:p>
    <w:p>
      <w:pPr>
        <w:pStyle w:val="BodyText"/>
        <w:spacing w:line="249" w:lineRule="auto" w:before="127"/>
        <w:ind w:left="1080"/>
        <w:jc w:val="both"/>
      </w:pPr>
      <w:r>
        <w:rPr>
          <w:color w:val="231F20"/>
          <w:w w:val="105"/>
        </w:rPr>
        <w:t>Hydrostatic and colloid osmotic forces govern the </w:t>
      </w:r>
      <w:r>
        <w:rPr>
          <w:color w:val="231F20"/>
          <w:spacing w:val="-4"/>
          <w:w w:val="105"/>
        </w:rPr>
        <w:t>rate </w:t>
      </w:r>
      <w:r>
        <w:rPr>
          <w:color w:val="231F20"/>
          <w:w w:val="105"/>
        </w:rPr>
        <w:t>of reabsorption across the peritubular capillaries, </w:t>
      </w:r>
      <w:r>
        <w:rPr>
          <w:color w:val="231F20"/>
          <w:spacing w:val="-4"/>
          <w:w w:val="105"/>
        </w:rPr>
        <w:t>just  </w:t>
      </w:r>
      <w:r>
        <w:rPr>
          <w:color w:val="231F20"/>
          <w:w w:val="105"/>
        </w:rPr>
        <w:t>as they control filtration in the glomerular capillaries. Changes</w:t>
      </w:r>
      <w:r>
        <w:rPr>
          <w:color w:val="231F20"/>
          <w:spacing w:val="-10"/>
          <w:w w:val="105"/>
        </w:rPr>
        <w:t> </w:t>
      </w:r>
      <w:r>
        <w:rPr>
          <w:color w:val="231F20"/>
          <w:w w:val="105"/>
        </w:rPr>
        <w:t>in</w:t>
      </w:r>
      <w:r>
        <w:rPr>
          <w:color w:val="231F20"/>
          <w:spacing w:val="-10"/>
          <w:w w:val="105"/>
        </w:rPr>
        <w:t> </w:t>
      </w:r>
      <w:r>
        <w:rPr>
          <w:color w:val="231F20"/>
          <w:w w:val="105"/>
        </w:rPr>
        <w:t>peritubular</w:t>
      </w:r>
      <w:r>
        <w:rPr>
          <w:color w:val="231F20"/>
          <w:spacing w:val="-10"/>
          <w:w w:val="105"/>
        </w:rPr>
        <w:t> </w:t>
      </w:r>
      <w:r>
        <w:rPr>
          <w:color w:val="231F20"/>
          <w:w w:val="105"/>
        </w:rPr>
        <w:t>capillary</w:t>
      </w:r>
      <w:r>
        <w:rPr>
          <w:color w:val="231F20"/>
          <w:spacing w:val="-10"/>
          <w:w w:val="105"/>
        </w:rPr>
        <w:t> </w:t>
      </w:r>
      <w:r>
        <w:rPr>
          <w:color w:val="231F20"/>
          <w:w w:val="105"/>
        </w:rPr>
        <w:t>reabsorption</w:t>
      </w:r>
      <w:r>
        <w:rPr>
          <w:color w:val="231F20"/>
          <w:spacing w:val="-10"/>
          <w:w w:val="105"/>
        </w:rPr>
        <w:t> </w:t>
      </w:r>
      <w:r>
        <w:rPr>
          <w:color w:val="231F20"/>
          <w:w w:val="105"/>
        </w:rPr>
        <w:t>can</w:t>
      </w:r>
      <w:r>
        <w:rPr>
          <w:color w:val="231F20"/>
          <w:spacing w:val="-10"/>
          <w:w w:val="105"/>
        </w:rPr>
        <w:t> </w:t>
      </w:r>
      <w:r>
        <w:rPr>
          <w:color w:val="231F20"/>
          <w:w w:val="105"/>
        </w:rPr>
        <w:t>in</w:t>
      </w:r>
      <w:r>
        <w:rPr>
          <w:color w:val="231F20"/>
          <w:spacing w:val="-10"/>
          <w:w w:val="105"/>
        </w:rPr>
        <w:t> </w:t>
      </w:r>
      <w:r>
        <w:rPr>
          <w:color w:val="231F20"/>
          <w:spacing w:val="-5"/>
          <w:w w:val="105"/>
        </w:rPr>
        <w:t>turn </w:t>
      </w:r>
      <w:r>
        <w:rPr>
          <w:color w:val="231F20"/>
          <w:w w:val="105"/>
        </w:rPr>
        <w:t>influence</w:t>
      </w:r>
      <w:r>
        <w:rPr>
          <w:color w:val="231F20"/>
          <w:spacing w:val="-24"/>
          <w:w w:val="105"/>
        </w:rPr>
        <w:t> </w:t>
      </w:r>
      <w:r>
        <w:rPr>
          <w:color w:val="231F20"/>
          <w:w w:val="105"/>
        </w:rPr>
        <w:t>the</w:t>
      </w:r>
      <w:r>
        <w:rPr>
          <w:color w:val="231F20"/>
          <w:spacing w:val="-24"/>
          <w:w w:val="105"/>
        </w:rPr>
        <w:t> </w:t>
      </w:r>
      <w:r>
        <w:rPr>
          <w:color w:val="231F20"/>
          <w:w w:val="105"/>
        </w:rPr>
        <w:t>hydrostatic</w:t>
      </w:r>
      <w:r>
        <w:rPr>
          <w:color w:val="231F20"/>
          <w:spacing w:val="-24"/>
          <w:w w:val="105"/>
        </w:rPr>
        <w:t> </w:t>
      </w:r>
      <w:r>
        <w:rPr>
          <w:color w:val="231F20"/>
          <w:w w:val="105"/>
        </w:rPr>
        <w:t>and</w:t>
      </w:r>
      <w:r>
        <w:rPr>
          <w:color w:val="231F20"/>
          <w:spacing w:val="-24"/>
          <w:w w:val="105"/>
        </w:rPr>
        <w:t> </w:t>
      </w:r>
      <w:r>
        <w:rPr>
          <w:color w:val="231F20"/>
          <w:w w:val="105"/>
        </w:rPr>
        <w:t>colloid</w:t>
      </w:r>
      <w:r>
        <w:rPr>
          <w:color w:val="231F20"/>
          <w:spacing w:val="-24"/>
          <w:w w:val="105"/>
        </w:rPr>
        <w:t> </w:t>
      </w:r>
      <w:r>
        <w:rPr>
          <w:color w:val="231F20"/>
          <w:w w:val="105"/>
        </w:rPr>
        <w:t>osmotic</w:t>
      </w:r>
      <w:r>
        <w:rPr>
          <w:color w:val="231F20"/>
          <w:spacing w:val="-23"/>
          <w:w w:val="105"/>
        </w:rPr>
        <w:t> </w:t>
      </w:r>
      <w:r>
        <w:rPr>
          <w:color w:val="231F20"/>
          <w:w w:val="105"/>
        </w:rPr>
        <w:t>pressures</w:t>
      </w:r>
      <w:r>
        <w:rPr>
          <w:color w:val="231F20"/>
          <w:spacing w:val="-24"/>
          <w:w w:val="105"/>
        </w:rPr>
        <w:t> </w:t>
      </w:r>
      <w:r>
        <w:rPr>
          <w:color w:val="231F20"/>
          <w:spacing w:val="-6"/>
          <w:w w:val="105"/>
        </w:rPr>
        <w:t>of </w:t>
      </w:r>
      <w:r>
        <w:rPr>
          <w:color w:val="231F20"/>
          <w:w w:val="105"/>
        </w:rPr>
        <w:t>the renal interstitium and, ultimately, reabsorption of water and solutes from the renal</w:t>
      </w:r>
      <w:r>
        <w:rPr>
          <w:color w:val="231F20"/>
          <w:spacing w:val="11"/>
          <w:w w:val="105"/>
        </w:rPr>
        <w:t> </w:t>
      </w:r>
      <w:r>
        <w:rPr>
          <w:color w:val="231F20"/>
          <w:w w:val="105"/>
        </w:rPr>
        <w:t>tubules.</w:t>
      </w:r>
    </w:p>
    <w:p>
      <w:pPr>
        <w:pStyle w:val="BodyText"/>
        <w:spacing w:before="1"/>
        <w:rPr>
          <w:sz w:val="22"/>
        </w:rPr>
      </w:pPr>
    </w:p>
    <w:p>
      <w:pPr>
        <w:pStyle w:val="BodyText"/>
        <w:spacing w:line="249" w:lineRule="auto"/>
        <w:ind w:left="1080"/>
        <w:jc w:val="both"/>
      </w:pPr>
      <w:r>
        <w:rPr>
          <w:rFonts w:ascii="Trebuchet MS"/>
          <w:b/>
          <w:color w:val="231F20"/>
          <w:w w:val="105"/>
          <w:sz w:val="19"/>
        </w:rPr>
        <w:t>Normal</w:t>
      </w:r>
      <w:r>
        <w:rPr>
          <w:rFonts w:ascii="Trebuchet MS"/>
          <w:b/>
          <w:color w:val="231F20"/>
          <w:spacing w:val="-26"/>
          <w:w w:val="105"/>
          <w:sz w:val="19"/>
        </w:rPr>
        <w:t> </w:t>
      </w:r>
      <w:r>
        <w:rPr>
          <w:rFonts w:ascii="Trebuchet MS"/>
          <w:b/>
          <w:color w:val="231F20"/>
          <w:w w:val="105"/>
          <w:sz w:val="19"/>
        </w:rPr>
        <w:t>Values</w:t>
      </w:r>
      <w:r>
        <w:rPr>
          <w:rFonts w:ascii="Trebuchet MS"/>
          <w:b/>
          <w:color w:val="231F20"/>
          <w:spacing w:val="-26"/>
          <w:w w:val="105"/>
          <w:sz w:val="19"/>
        </w:rPr>
        <w:t> </w:t>
      </w:r>
      <w:r>
        <w:rPr>
          <w:rFonts w:ascii="Trebuchet MS"/>
          <w:b/>
          <w:color w:val="231F20"/>
          <w:w w:val="105"/>
          <w:sz w:val="19"/>
        </w:rPr>
        <w:t>for</w:t>
      </w:r>
      <w:r>
        <w:rPr>
          <w:rFonts w:ascii="Trebuchet MS"/>
          <w:b/>
          <w:color w:val="231F20"/>
          <w:spacing w:val="-25"/>
          <w:w w:val="105"/>
          <w:sz w:val="19"/>
        </w:rPr>
        <w:t> </w:t>
      </w:r>
      <w:r>
        <w:rPr>
          <w:rFonts w:ascii="Trebuchet MS"/>
          <w:b/>
          <w:color w:val="231F20"/>
          <w:w w:val="105"/>
          <w:sz w:val="19"/>
        </w:rPr>
        <w:t>Physical</w:t>
      </w:r>
      <w:r>
        <w:rPr>
          <w:rFonts w:ascii="Trebuchet MS"/>
          <w:b/>
          <w:color w:val="231F20"/>
          <w:spacing w:val="-26"/>
          <w:w w:val="105"/>
          <w:sz w:val="19"/>
        </w:rPr>
        <w:t> </w:t>
      </w:r>
      <w:r>
        <w:rPr>
          <w:rFonts w:ascii="Trebuchet MS"/>
          <w:b/>
          <w:color w:val="231F20"/>
          <w:w w:val="105"/>
          <w:sz w:val="19"/>
        </w:rPr>
        <w:t>Forces</w:t>
      </w:r>
      <w:r>
        <w:rPr>
          <w:rFonts w:ascii="Trebuchet MS"/>
          <w:b/>
          <w:color w:val="231F20"/>
          <w:spacing w:val="-25"/>
          <w:w w:val="105"/>
          <w:sz w:val="19"/>
        </w:rPr>
        <w:t> </w:t>
      </w:r>
      <w:r>
        <w:rPr>
          <w:rFonts w:ascii="Trebuchet MS"/>
          <w:b/>
          <w:color w:val="231F20"/>
          <w:w w:val="105"/>
          <w:sz w:val="19"/>
        </w:rPr>
        <w:t>and</w:t>
      </w:r>
      <w:r>
        <w:rPr>
          <w:rFonts w:ascii="Trebuchet MS"/>
          <w:b/>
          <w:color w:val="231F20"/>
          <w:spacing w:val="-26"/>
          <w:w w:val="105"/>
          <w:sz w:val="19"/>
        </w:rPr>
        <w:t> </w:t>
      </w:r>
      <w:r>
        <w:rPr>
          <w:rFonts w:ascii="Trebuchet MS"/>
          <w:b/>
          <w:color w:val="231F20"/>
          <w:spacing w:val="-2"/>
          <w:w w:val="105"/>
          <w:sz w:val="19"/>
        </w:rPr>
        <w:t>Reabsorption </w:t>
      </w:r>
      <w:r>
        <w:rPr>
          <w:rFonts w:ascii="Trebuchet MS"/>
          <w:b/>
          <w:color w:val="231F20"/>
          <w:w w:val="105"/>
          <w:sz w:val="19"/>
        </w:rPr>
        <w:t>Rate.</w:t>
      </w:r>
      <w:r>
        <w:rPr>
          <w:rFonts w:ascii="Trebuchet MS"/>
          <w:b/>
          <w:color w:val="231F20"/>
          <w:spacing w:val="13"/>
          <w:w w:val="105"/>
          <w:sz w:val="19"/>
        </w:rPr>
        <w:t> </w:t>
      </w:r>
      <w:r>
        <w:rPr>
          <w:color w:val="231F20"/>
          <w:w w:val="105"/>
        </w:rPr>
        <w:t>As</w:t>
      </w:r>
      <w:r>
        <w:rPr>
          <w:color w:val="231F20"/>
          <w:spacing w:val="-12"/>
          <w:w w:val="105"/>
        </w:rPr>
        <w:t> </w:t>
      </w:r>
      <w:r>
        <w:rPr>
          <w:color w:val="231F20"/>
          <w:w w:val="105"/>
        </w:rPr>
        <w:t>the</w:t>
      </w:r>
      <w:r>
        <w:rPr>
          <w:color w:val="231F20"/>
          <w:spacing w:val="-13"/>
          <w:w w:val="105"/>
        </w:rPr>
        <w:t> </w:t>
      </w:r>
      <w:r>
        <w:rPr>
          <w:color w:val="231F20"/>
          <w:w w:val="105"/>
        </w:rPr>
        <w:t>glomerular</w:t>
      </w:r>
      <w:r>
        <w:rPr>
          <w:color w:val="231F20"/>
          <w:spacing w:val="-13"/>
          <w:w w:val="105"/>
        </w:rPr>
        <w:t> </w:t>
      </w:r>
      <w:r>
        <w:rPr>
          <w:color w:val="231F20"/>
          <w:w w:val="105"/>
        </w:rPr>
        <w:t>filtrate</w:t>
      </w:r>
      <w:r>
        <w:rPr>
          <w:color w:val="231F20"/>
          <w:spacing w:val="-12"/>
          <w:w w:val="105"/>
        </w:rPr>
        <w:t> </w:t>
      </w:r>
      <w:r>
        <w:rPr>
          <w:color w:val="231F20"/>
          <w:w w:val="105"/>
        </w:rPr>
        <w:t>passes</w:t>
      </w:r>
      <w:r>
        <w:rPr>
          <w:color w:val="231F20"/>
          <w:spacing w:val="-13"/>
          <w:w w:val="105"/>
        </w:rPr>
        <w:t> </w:t>
      </w:r>
      <w:r>
        <w:rPr>
          <w:color w:val="231F20"/>
          <w:w w:val="105"/>
        </w:rPr>
        <w:t>through</w:t>
      </w:r>
      <w:r>
        <w:rPr>
          <w:color w:val="231F20"/>
          <w:spacing w:val="-12"/>
          <w:w w:val="105"/>
        </w:rPr>
        <w:t> </w:t>
      </w:r>
      <w:r>
        <w:rPr>
          <w:color w:val="231F20"/>
          <w:w w:val="105"/>
        </w:rPr>
        <w:t>the</w:t>
      </w:r>
      <w:r>
        <w:rPr>
          <w:color w:val="231F20"/>
          <w:spacing w:val="-13"/>
          <w:w w:val="105"/>
        </w:rPr>
        <w:t> </w:t>
      </w:r>
      <w:r>
        <w:rPr>
          <w:color w:val="231F20"/>
          <w:spacing w:val="-4"/>
          <w:w w:val="105"/>
        </w:rPr>
        <w:t>renal </w:t>
      </w:r>
      <w:r>
        <w:rPr>
          <w:color w:val="231F20"/>
          <w:w w:val="105"/>
        </w:rPr>
        <w:t>tubules, more than 99 percent of the water and most </w:t>
      </w:r>
      <w:r>
        <w:rPr>
          <w:color w:val="231F20"/>
          <w:spacing w:val="-7"/>
          <w:w w:val="105"/>
        </w:rPr>
        <w:t>of </w:t>
      </w:r>
      <w:r>
        <w:rPr>
          <w:color w:val="231F20"/>
          <w:w w:val="105"/>
        </w:rPr>
        <w:t>the solutes are normally reabsorbed. Fluid and </w:t>
      </w:r>
      <w:r>
        <w:rPr>
          <w:color w:val="231F20"/>
          <w:spacing w:val="-3"/>
          <w:w w:val="105"/>
        </w:rPr>
        <w:t>electro- </w:t>
      </w:r>
      <w:r>
        <w:rPr>
          <w:color w:val="231F20"/>
          <w:w w:val="105"/>
        </w:rPr>
        <w:t>lytes</w:t>
      </w:r>
      <w:r>
        <w:rPr>
          <w:color w:val="231F20"/>
          <w:spacing w:val="-12"/>
          <w:w w:val="105"/>
        </w:rPr>
        <w:t> </w:t>
      </w:r>
      <w:r>
        <w:rPr>
          <w:color w:val="231F20"/>
          <w:w w:val="105"/>
        </w:rPr>
        <w:t>are</w:t>
      </w:r>
      <w:r>
        <w:rPr>
          <w:color w:val="231F20"/>
          <w:spacing w:val="-12"/>
          <w:w w:val="105"/>
        </w:rPr>
        <w:t> </w:t>
      </w:r>
      <w:r>
        <w:rPr>
          <w:color w:val="231F20"/>
          <w:w w:val="105"/>
        </w:rPr>
        <w:t>reabsorbed</w:t>
      </w:r>
      <w:r>
        <w:rPr>
          <w:color w:val="231F20"/>
          <w:spacing w:val="-11"/>
          <w:w w:val="105"/>
        </w:rPr>
        <w:t> </w:t>
      </w:r>
      <w:r>
        <w:rPr>
          <w:color w:val="231F20"/>
          <w:w w:val="105"/>
        </w:rPr>
        <w:t>from</w:t>
      </w:r>
      <w:r>
        <w:rPr>
          <w:color w:val="231F20"/>
          <w:spacing w:val="-12"/>
          <w:w w:val="105"/>
        </w:rPr>
        <w:t> </w:t>
      </w:r>
      <w:r>
        <w:rPr>
          <w:color w:val="231F20"/>
          <w:w w:val="105"/>
        </w:rPr>
        <w:t>the</w:t>
      </w:r>
      <w:r>
        <w:rPr>
          <w:color w:val="231F20"/>
          <w:spacing w:val="-11"/>
          <w:w w:val="105"/>
        </w:rPr>
        <w:t> </w:t>
      </w:r>
      <w:r>
        <w:rPr>
          <w:color w:val="231F20"/>
          <w:w w:val="105"/>
        </w:rPr>
        <w:t>tubules</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1"/>
          <w:w w:val="105"/>
        </w:rPr>
        <w:t> </w:t>
      </w:r>
      <w:r>
        <w:rPr>
          <w:color w:val="231F20"/>
          <w:w w:val="105"/>
        </w:rPr>
        <w:t>renal</w:t>
      </w:r>
      <w:r>
        <w:rPr>
          <w:color w:val="231F20"/>
          <w:spacing w:val="-12"/>
          <w:w w:val="105"/>
        </w:rPr>
        <w:t> </w:t>
      </w:r>
      <w:r>
        <w:rPr>
          <w:color w:val="231F20"/>
          <w:w w:val="105"/>
        </w:rPr>
        <w:t>inter- stitium and from there into the peritubular capillaries. The normal rate of peritubular capillary reabsorption </w:t>
      </w:r>
      <w:r>
        <w:rPr>
          <w:color w:val="231F20"/>
          <w:spacing w:val="-6"/>
          <w:w w:val="105"/>
        </w:rPr>
        <w:t>is </w:t>
      </w:r>
      <w:r>
        <w:rPr>
          <w:color w:val="231F20"/>
          <w:w w:val="105"/>
        </w:rPr>
        <w:t>about 124</w:t>
      </w:r>
      <w:r>
        <w:rPr>
          <w:color w:val="231F20"/>
          <w:spacing w:val="7"/>
          <w:w w:val="105"/>
        </w:rPr>
        <w:t> </w:t>
      </w:r>
      <w:r>
        <w:rPr>
          <w:color w:val="231F20"/>
          <w:w w:val="105"/>
        </w:rPr>
        <w:t>ml/min.</w:t>
      </w:r>
    </w:p>
    <w:p>
      <w:pPr>
        <w:pStyle w:val="BodyText"/>
        <w:spacing w:line="249" w:lineRule="auto" w:before="8"/>
        <w:ind w:left="1080" w:firstLine="240"/>
        <w:jc w:val="both"/>
      </w:pPr>
      <w:r>
        <w:rPr>
          <w:color w:val="231F20"/>
          <w:w w:val="105"/>
        </w:rPr>
        <w:t>Reabsorption</w:t>
      </w:r>
      <w:r>
        <w:rPr>
          <w:color w:val="231F20"/>
          <w:spacing w:val="-9"/>
          <w:w w:val="105"/>
        </w:rPr>
        <w:t> </w:t>
      </w:r>
      <w:r>
        <w:rPr>
          <w:color w:val="231F20"/>
          <w:w w:val="105"/>
        </w:rPr>
        <w:t>across</w:t>
      </w:r>
      <w:r>
        <w:rPr>
          <w:color w:val="231F20"/>
          <w:spacing w:val="-9"/>
          <w:w w:val="105"/>
        </w:rPr>
        <w:t> </w:t>
      </w:r>
      <w:r>
        <w:rPr>
          <w:color w:val="231F20"/>
          <w:w w:val="105"/>
        </w:rPr>
        <w:t>the</w:t>
      </w:r>
      <w:r>
        <w:rPr>
          <w:color w:val="231F20"/>
          <w:spacing w:val="-9"/>
          <w:w w:val="105"/>
        </w:rPr>
        <w:t> </w:t>
      </w:r>
      <w:r>
        <w:rPr>
          <w:color w:val="231F20"/>
          <w:w w:val="105"/>
        </w:rPr>
        <w:t>peritubular</w:t>
      </w:r>
      <w:r>
        <w:rPr>
          <w:color w:val="231F20"/>
          <w:spacing w:val="-8"/>
          <w:w w:val="105"/>
        </w:rPr>
        <w:t> </w:t>
      </w:r>
      <w:r>
        <w:rPr>
          <w:color w:val="231F20"/>
          <w:w w:val="105"/>
        </w:rPr>
        <w:t>capillaries</w:t>
      </w:r>
      <w:r>
        <w:rPr>
          <w:color w:val="231F20"/>
          <w:spacing w:val="-9"/>
          <w:w w:val="105"/>
        </w:rPr>
        <w:t> </w:t>
      </w:r>
      <w:r>
        <w:rPr>
          <w:color w:val="231F20"/>
          <w:w w:val="105"/>
        </w:rPr>
        <w:t>can</w:t>
      </w:r>
      <w:r>
        <w:rPr>
          <w:color w:val="231F20"/>
          <w:spacing w:val="-9"/>
          <w:w w:val="105"/>
        </w:rPr>
        <w:t> </w:t>
      </w:r>
      <w:r>
        <w:rPr>
          <w:color w:val="231F20"/>
          <w:spacing w:val="-6"/>
          <w:w w:val="105"/>
        </w:rPr>
        <w:t>be </w:t>
      </w:r>
      <w:r>
        <w:rPr>
          <w:color w:val="231F20"/>
          <w:w w:val="105"/>
        </w:rPr>
        <w:t>calculated</w:t>
      </w:r>
      <w:r>
        <w:rPr>
          <w:color w:val="231F20"/>
          <w:spacing w:val="2"/>
          <w:w w:val="105"/>
        </w:rPr>
        <w:t> </w:t>
      </w:r>
      <w:r>
        <w:rPr>
          <w:color w:val="231F20"/>
          <w:w w:val="105"/>
        </w:rPr>
        <w:t>as</w:t>
      </w:r>
    </w:p>
    <w:p>
      <w:pPr>
        <w:spacing w:before="137"/>
        <w:ind w:left="1663" w:right="0" w:firstLine="0"/>
        <w:jc w:val="left"/>
        <w:rPr>
          <w:rFonts w:ascii="Trebuchet MS" w:hAnsi="Trebuchet MS"/>
          <w:sz w:val="18"/>
        </w:rPr>
      </w:pPr>
      <w:r>
        <w:rPr>
          <w:rFonts w:ascii="Trebuchet MS" w:hAnsi="Trebuchet MS"/>
          <w:w w:val="105"/>
          <w:sz w:val="18"/>
        </w:rPr>
        <w:t>Reabsorption </w:t>
      </w:r>
      <w:r>
        <w:rPr>
          <w:rFonts w:ascii="Symbol" w:hAnsi="Symbol"/>
          <w:w w:val="105"/>
          <w:sz w:val="18"/>
        </w:rPr>
        <w:t></w:t>
      </w:r>
      <w:r>
        <w:rPr>
          <w:w w:val="105"/>
          <w:sz w:val="18"/>
        </w:rPr>
        <w:t> </w:t>
      </w:r>
      <w:r>
        <w:rPr>
          <w:rFonts w:ascii="Trebuchet MS" w:hAnsi="Trebuchet MS"/>
          <w:w w:val="105"/>
          <w:sz w:val="18"/>
        </w:rPr>
        <w:t>K</w:t>
      </w:r>
      <w:r>
        <w:rPr>
          <w:rFonts w:ascii="Trebuchet MS" w:hAnsi="Trebuchet MS"/>
          <w:w w:val="105"/>
          <w:position w:val="-2"/>
          <w:sz w:val="10"/>
        </w:rPr>
        <w:t>f </w:t>
      </w:r>
      <w:r>
        <w:rPr>
          <w:rFonts w:ascii="Symbol" w:hAnsi="Symbol"/>
          <w:w w:val="105"/>
          <w:sz w:val="18"/>
        </w:rPr>
        <w:t></w:t>
      </w:r>
      <w:r>
        <w:rPr>
          <w:w w:val="105"/>
          <w:sz w:val="18"/>
        </w:rPr>
        <w:t> </w:t>
      </w:r>
      <w:r>
        <w:rPr>
          <w:rFonts w:ascii="Trebuchet MS" w:hAnsi="Trebuchet MS"/>
          <w:w w:val="105"/>
          <w:sz w:val="18"/>
        </w:rPr>
        <w:t>Net reabsorptive force</w:t>
      </w:r>
    </w:p>
    <w:p>
      <w:pPr>
        <w:pStyle w:val="BodyText"/>
        <w:spacing w:line="249" w:lineRule="auto" w:before="112"/>
        <w:ind w:left="1079" w:firstLine="240"/>
        <w:jc w:val="both"/>
      </w:pPr>
      <w:r>
        <w:rPr>
          <w:color w:val="231F20"/>
          <w:w w:val="105"/>
        </w:rPr>
        <w:t>The net reabsorptive force represents the sum of the hydrostatic</w:t>
      </w:r>
      <w:r>
        <w:rPr>
          <w:color w:val="231F20"/>
          <w:spacing w:val="-20"/>
          <w:w w:val="105"/>
        </w:rPr>
        <w:t> </w:t>
      </w:r>
      <w:r>
        <w:rPr>
          <w:color w:val="231F20"/>
          <w:w w:val="105"/>
        </w:rPr>
        <w:t>and</w:t>
      </w:r>
      <w:r>
        <w:rPr>
          <w:color w:val="231F20"/>
          <w:spacing w:val="-19"/>
          <w:w w:val="105"/>
        </w:rPr>
        <w:t> </w:t>
      </w:r>
      <w:r>
        <w:rPr>
          <w:color w:val="231F20"/>
          <w:w w:val="105"/>
        </w:rPr>
        <w:t>colloid</w:t>
      </w:r>
      <w:r>
        <w:rPr>
          <w:color w:val="231F20"/>
          <w:spacing w:val="-20"/>
          <w:w w:val="105"/>
        </w:rPr>
        <w:t> </w:t>
      </w:r>
      <w:r>
        <w:rPr>
          <w:color w:val="231F20"/>
          <w:w w:val="105"/>
        </w:rPr>
        <w:t>osmotic</w:t>
      </w:r>
      <w:r>
        <w:rPr>
          <w:color w:val="231F20"/>
          <w:spacing w:val="-19"/>
          <w:w w:val="105"/>
        </w:rPr>
        <w:t> </w:t>
      </w:r>
      <w:r>
        <w:rPr>
          <w:color w:val="231F20"/>
          <w:w w:val="105"/>
        </w:rPr>
        <w:t>forces</w:t>
      </w:r>
      <w:r>
        <w:rPr>
          <w:color w:val="231F20"/>
          <w:spacing w:val="-19"/>
          <w:w w:val="105"/>
        </w:rPr>
        <w:t> </w:t>
      </w:r>
      <w:r>
        <w:rPr>
          <w:color w:val="231F20"/>
          <w:w w:val="105"/>
        </w:rPr>
        <w:t>that</w:t>
      </w:r>
      <w:r>
        <w:rPr>
          <w:color w:val="231F20"/>
          <w:spacing w:val="-20"/>
          <w:w w:val="105"/>
        </w:rPr>
        <w:t> </w:t>
      </w:r>
      <w:r>
        <w:rPr>
          <w:color w:val="231F20"/>
          <w:w w:val="105"/>
        </w:rPr>
        <w:t>either</w:t>
      </w:r>
      <w:r>
        <w:rPr>
          <w:color w:val="231F20"/>
          <w:spacing w:val="-19"/>
          <w:w w:val="105"/>
        </w:rPr>
        <w:t> </w:t>
      </w:r>
      <w:r>
        <w:rPr>
          <w:color w:val="231F20"/>
          <w:w w:val="105"/>
        </w:rPr>
        <w:t>favor</w:t>
      </w:r>
      <w:r>
        <w:rPr>
          <w:color w:val="231F20"/>
          <w:spacing w:val="-19"/>
          <w:w w:val="105"/>
        </w:rPr>
        <w:t> </w:t>
      </w:r>
      <w:r>
        <w:rPr>
          <w:color w:val="231F20"/>
          <w:w w:val="105"/>
        </w:rPr>
        <w:t>or oppose reabsorption across the peritubular capillaries. These forces include (1) hydrostatic pressure inside the peritubular capillaries (peritubular hydrostatic </w:t>
      </w:r>
      <w:r>
        <w:rPr>
          <w:color w:val="231F20"/>
          <w:spacing w:val="-3"/>
          <w:w w:val="105"/>
        </w:rPr>
        <w:t>pressure </w:t>
      </w:r>
      <w:r>
        <w:rPr>
          <w:color w:val="231F20"/>
          <w:w w:val="105"/>
        </w:rPr>
        <w:t>[P</w:t>
      </w:r>
      <w:r>
        <w:rPr>
          <w:color w:val="231F20"/>
          <w:w w:val="105"/>
          <w:vertAlign w:val="subscript"/>
        </w:rPr>
        <w:t>c</w:t>
      </w:r>
      <w:r>
        <w:rPr>
          <w:color w:val="231F20"/>
          <w:w w:val="105"/>
          <w:vertAlign w:val="baseline"/>
        </w:rPr>
        <w:t>]), which opposes reabsorption; (2) hydrostatic </w:t>
      </w:r>
      <w:r>
        <w:rPr>
          <w:color w:val="231F20"/>
          <w:spacing w:val="-4"/>
          <w:w w:val="105"/>
          <w:vertAlign w:val="baseline"/>
        </w:rPr>
        <w:t>pres- </w:t>
      </w:r>
      <w:r>
        <w:rPr>
          <w:color w:val="231F20"/>
          <w:w w:val="105"/>
          <w:vertAlign w:val="baseline"/>
        </w:rPr>
        <w:t>sure</w:t>
      </w:r>
      <w:r>
        <w:rPr>
          <w:color w:val="231F20"/>
          <w:spacing w:val="-6"/>
          <w:w w:val="105"/>
          <w:vertAlign w:val="baseline"/>
        </w:rPr>
        <w:t> </w:t>
      </w:r>
      <w:r>
        <w:rPr>
          <w:color w:val="231F20"/>
          <w:w w:val="105"/>
          <w:vertAlign w:val="baseline"/>
        </w:rPr>
        <w:t>in</w:t>
      </w:r>
      <w:r>
        <w:rPr>
          <w:color w:val="231F20"/>
          <w:spacing w:val="-5"/>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renal</w:t>
      </w:r>
      <w:r>
        <w:rPr>
          <w:color w:val="231F20"/>
          <w:spacing w:val="-5"/>
          <w:w w:val="105"/>
          <w:vertAlign w:val="baseline"/>
        </w:rPr>
        <w:t> </w:t>
      </w:r>
      <w:r>
        <w:rPr>
          <w:color w:val="231F20"/>
          <w:w w:val="105"/>
          <w:vertAlign w:val="baseline"/>
        </w:rPr>
        <w:t>interstitium</w:t>
      </w:r>
      <w:r>
        <w:rPr>
          <w:color w:val="231F20"/>
          <w:spacing w:val="-5"/>
          <w:w w:val="105"/>
          <w:vertAlign w:val="baseline"/>
        </w:rPr>
        <w:t> </w:t>
      </w:r>
      <w:r>
        <w:rPr>
          <w:color w:val="231F20"/>
          <w:spacing w:val="2"/>
          <w:w w:val="105"/>
          <w:vertAlign w:val="baseline"/>
        </w:rPr>
        <w:t>(P</w:t>
      </w:r>
      <w:r>
        <w:rPr>
          <w:color w:val="231F20"/>
          <w:spacing w:val="2"/>
          <w:w w:val="105"/>
          <w:vertAlign w:val="subscript"/>
        </w:rPr>
        <w:t>if</w:t>
      </w:r>
      <w:r>
        <w:rPr>
          <w:color w:val="231F20"/>
          <w:spacing w:val="2"/>
          <w:w w:val="105"/>
          <w:vertAlign w:val="baseline"/>
        </w:rPr>
        <w:t>)</w:t>
      </w:r>
      <w:r>
        <w:rPr>
          <w:color w:val="231F20"/>
          <w:spacing w:val="-5"/>
          <w:w w:val="105"/>
          <w:vertAlign w:val="baseline"/>
        </w:rPr>
        <w:t> </w:t>
      </w:r>
      <w:r>
        <w:rPr>
          <w:color w:val="231F20"/>
          <w:w w:val="105"/>
          <w:vertAlign w:val="baseline"/>
        </w:rPr>
        <w:t>outside</w:t>
      </w:r>
      <w:r>
        <w:rPr>
          <w:color w:val="231F20"/>
          <w:spacing w:val="-5"/>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capillaries, which favors reabsorption; (3) colloid osmotic</w:t>
      </w:r>
      <w:r>
        <w:rPr>
          <w:color w:val="231F20"/>
          <w:spacing w:val="36"/>
          <w:w w:val="105"/>
          <w:vertAlign w:val="baseline"/>
        </w:rPr>
        <w:t> </w:t>
      </w:r>
      <w:r>
        <w:rPr>
          <w:color w:val="231F20"/>
          <w:spacing w:val="-3"/>
          <w:w w:val="105"/>
          <w:vertAlign w:val="baseline"/>
        </w:rPr>
        <w:t>pressure</w:t>
      </w:r>
    </w:p>
    <w:p>
      <w:pPr>
        <w:pStyle w:val="BodyText"/>
        <w:spacing w:line="196" w:lineRule="auto"/>
        <w:ind w:left="1079"/>
        <w:jc w:val="both"/>
      </w:pPr>
      <w:r>
        <w:rPr>
          <w:color w:val="231F20"/>
          <w:w w:val="105"/>
        </w:rPr>
        <w:t>of the peritubular capillary plasma proteins (</w:t>
      </w:r>
      <w:r>
        <w:rPr>
          <w:rFonts w:ascii="Arial Unicode MS" w:hAnsi="Arial Unicode MS"/>
          <w:color w:val="231F20"/>
          <w:w w:val="105"/>
        </w:rPr>
        <w:t>π</w:t>
      </w:r>
      <w:r>
        <w:rPr>
          <w:color w:val="231F20"/>
          <w:w w:val="105"/>
          <w:vertAlign w:val="subscript"/>
        </w:rPr>
        <w:t>c</w:t>
      </w:r>
      <w:r>
        <w:rPr>
          <w:color w:val="231F20"/>
          <w:w w:val="105"/>
          <w:vertAlign w:val="baseline"/>
        </w:rPr>
        <w:t>), </w:t>
      </w:r>
      <w:r>
        <w:rPr>
          <w:color w:val="231F20"/>
          <w:spacing w:val="-6"/>
          <w:w w:val="105"/>
          <w:vertAlign w:val="baseline"/>
        </w:rPr>
        <w:t>which </w:t>
      </w:r>
      <w:r>
        <w:rPr>
          <w:color w:val="231F20"/>
          <w:w w:val="105"/>
          <w:vertAlign w:val="baseline"/>
        </w:rPr>
        <w:t>favors reabsorption; and (4) colloid osmotic pressure </w:t>
      </w:r>
      <w:r>
        <w:rPr>
          <w:color w:val="231F20"/>
          <w:spacing w:val="-7"/>
          <w:w w:val="105"/>
          <w:vertAlign w:val="baseline"/>
        </w:rPr>
        <w:t>of </w:t>
      </w:r>
      <w:r>
        <w:rPr>
          <w:color w:val="231F20"/>
          <w:w w:val="105"/>
          <w:vertAlign w:val="baseline"/>
        </w:rPr>
        <w:t>the</w:t>
      </w:r>
      <w:r>
        <w:rPr>
          <w:color w:val="231F20"/>
          <w:spacing w:val="-12"/>
          <w:w w:val="105"/>
          <w:vertAlign w:val="baseline"/>
        </w:rPr>
        <w:t> </w:t>
      </w:r>
      <w:r>
        <w:rPr>
          <w:color w:val="231F20"/>
          <w:w w:val="105"/>
          <w:vertAlign w:val="baseline"/>
        </w:rPr>
        <w:t>proteins</w:t>
      </w:r>
      <w:r>
        <w:rPr>
          <w:color w:val="231F20"/>
          <w:spacing w:val="-12"/>
          <w:w w:val="105"/>
          <w:vertAlign w:val="baseline"/>
        </w:rPr>
        <w:t> </w:t>
      </w:r>
      <w:r>
        <w:rPr>
          <w:color w:val="231F20"/>
          <w:w w:val="105"/>
          <w:vertAlign w:val="baseline"/>
        </w:rPr>
        <w:t>in</w:t>
      </w:r>
      <w:r>
        <w:rPr>
          <w:color w:val="231F20"/>
          <w:spacing w:val="-12"/>
          <w:w w:val="105"/>
          <w:vertAlign w:val="baseline"/>
        </w:rPr>
        <w:t> </w:t>
      </w:r>
      <w:r>
        <w:rPr>
          <w:color w:val="231F20"/>
          <w:w w:val="105"/>
          <w:vertAlign w:val="baseline"/>
        </w:rPr>
        <w:t>the</w:t>
      </w:r>
      <w:r>
        <w:rPr>
          <w:color w:val="231F20"/>
          <w:spacing w:val="-12"/>
          <w:w w:val="105"/>
          <w:vertAlign w:val="baseline"/>
        </w:rPr>
        <w:t> </w:t>
      </w:r>
      <w:r>
        <w:rPr>
          <w:color w:val="231F20"/>
          <w:w w:val="105"/>
          <w:vertAlign w:val="baseline"/>
        </w:rPr>
        <w:t>renal</w:t>
      </w:r>
      <w:r>
        <w:rPr>
          <w:color w:val="231F20"/>
          <w:spacing w:val="-11"/>
          <w:w w:val="105"/>
          <w:vertAlign w:val="baseline"/>
        </w:rPr>
        <w:t> </w:t>
      </w:r>
      <w:r>
        <w:rPr>
          <w:color w:val="231F20"/>
          <w:w w:val="105"/>
          <w:vertAlign w:val="baseline"/>
        </w:rPr>
        <w:t>interstitium</w:t>
      </w:r>
      <w:r>
        <w:rPr>
          <w:color w:val="231F20"/>
          <w:spacing w:val="-12"/>
          <w:w w:val="105"/>
          <w:vertAlign w:val="baseline"/>
        </w:rPr>
        <w:t> </w:t>
      </w:r>
      <w:r>
        <w:rPr>
          <w:color w:val="231F20"/>
          <w:spacing w:val="2"/>
          <w:w w:val="105"/>
          <w:vertAlign w:val="baseline"/>
        </w:rPr>
        <w:t>(</w:t>
      </w:r>
      <w:r>
        <w:rPr>
          <w:rFonts w:ascii="Arial Unicode MS" w:hAnsi="Arial Unicode MS"/>
          <w:color w:val="231F20"/>
          <w:spacing w:val="2"/>
          <w:w w:val="105"/>
          <w:vertAlign w:val="baseline"/>
        </w:rPr>
        <w:t>π</w:t>
      </w:r>
      <w:r>
        <w:rPr>
          <w:color w:val="231F20"/>
          <w:spacing w:val="2"/>
          <w:w w:val="105"/>
          <w:vertAlign w:val="subscript"/>
        </w:rPr>
        <w:t>if</w:t>
      </w:r>
      <w:r>
        <w:rPr>
          <w:color w:val="231F20"/>
          <w:spacing w:val="2"/>
          <w:w w:val="105"/>
          <w:vertAlign w:val="baseline"/>
        </w:rPr>
        <w:t>),</w:t>
      </w:r>
      <w:r>
        <w:rPr>
          <w:color w:val="231F20"/>
          <w:spacing w:val="-12"/>
          <w:w w:val="105"/>
          <w:vertAlign w:val="baseline"/>
        </w:rPr>
        <w:t> </w:t>
      </w:r>
      <w:r>
        <w:rPr>
          <w:color w:val="231F20"/>
          <w:w w:val="105"/>
          <w:vertAlign w:val="baseline"/>
        </w:rPr>
        <w:t>which</w:t>
      </w:r>
      <w:r>
        <w:rPr>
          <w:color w:val="231F20"/>
          <w:spacing w:val="-12"/>
          <w:w w:val="105"/>
          <w:vertAlign w:val="baseline"/>
        </w:rPr>
        <w:t> </w:t>
      </w:r>
      <w:r>
        <w:rPr>
          <w:color w:val="231F20"/>
          <w:spacing w:val="-3"/>
          <w:w w:val="105"/>
          <w:vertAlign w:val="baseline"/>
        </w:rPr>
        <w:t>opposes </w:t>
      </w:r>
      <w:r>
        <w:rPr>
          <w:color w:val="231F20"/>
          <w:w w:val="105"/>
          <w:vertAlign w:val="baseline"/>
        </w:rPr>
        <w:t>reabsorption.</w:t>
      </w:r>
    </w:p>
    <w:p>
      <w:pPr>
        <w:pStyle w:val="BodyText"/>
        <w:spacing w:line="249" w:lineRule="auto" w:before="18"/>
        <w:ind w:left="1079" w:firstLine="240"/>
        <w:jc w:val="both"/>
      </w:pPr>
      <w:hyperlink w:history="true" w:anchor="_bookmark55">
        <w:r>
          <w:rPr>
            <w:b/>
            <w:color w:val="0080AC"/>
            <w:w w:val="105"/>
          </w:rPr>
          <w:t>Figure 28-16</w:t>
        </w:r>
      </w:hyperlink>
      <w:r>
        <w:rPr>
          <w:b/>
          <w:color w:val="0080AC"/>
          <w:w w:val="105"/>
        </w:rPr>
        <w:t> </w:t>
      </w:r>
      <w:r>
        <w:rPr>
          <w:color w:val="231F20"/>
          <w:w w:val="105"/>
        </w:rPr>
        <w:t>shows the approximate normal forces that favor and oppose peritubular reabsorption.</w:t>
      </w:r>
      <w:r>
        <w:rPr>
          <w:color w:val="231F20"/>
          <w:spacing w:val="-22"/>
          <w:w w:val="105"/>
        </w:rPr>
        <w:t> </w:t>
      </w:r>
      <w:r>
        <w:rPr>
          <w:color w:val="231F20"/>
          <w:w w:val="105"/>
        </w:rPr>
        <w:t>Because the</w:t>
      </w:r>
      <w:r>
        <w:rPr>
          <w:color w:val="231F20"/>
          <w:spacing w:val="-9"/>
          <w:w w:val="105"/>
        </w:rPr>
        <w:t> </w:t>
      </w:r>
      <w:r>
        <w:rPr>
          <w:color w:val="231F20"/>
          <w:w w:val="105"/>
        </w:rPr>
        <w:t>normal</w:t>
      </w:r>
      <w:r>
        <w:rPr>
          <w:color w:val="231F20"/>
          <w:spacing w:val="-8"/>
          <w:w w:val="105"/>
        </w:rPr>
        <w:t> </w:t>
      </w:r>
      <w:r>
        <w:rPr>
          <w:color w:val="231F20"/>
          <w:w w:val="105"/>
        </w:rPr>
        <w:t>peritubular</w:t>
      </w:r>
      <w:r>
        <w:rPr>
          <w:color w:val="231F20"/>
          <w:spacing w:val="-9"/>
          <w:w w:val="105"/>
        </w:rPr>
        <w:t> </w:t>
      </w:r>
      <w:r>
        <w:rPr>
          <w:color w:val="231F20"/>
          <w:w w:val="105"/>
        </w:rPr>
        <w:t>capillary</w:t>
      </w:r>
      <w:r>
        <w:rPr>
          <w:color w:val="231F20"/>
          <w:spacing w:val="-8"/>
          <w:w w:val="105"/>
        </w:rPr>
        <w:t> </w:t>
      </w:r>
      <w:r>
        <w:rPr>
          <w:color w:val="231F20"/>
          <w:w w:val="105"/>
        </w:rPr>
        <w:t>pressure</w:t>
      </w:r>
      <w:r>
        <w:rPr>
          <w:color w:val="231F20"/>
          <w:spacing w:val="-8"/>
          <w:w w:val="105"/>
        </w:rPr>
        <w:t> </w:t>
      </w:r>
      <w:r>
        <w:rPr>
          <w:color w:val="231F20"/>
          <w:w w:val="105"/>
        </w:rPr>
        <w:t>averages</w:t>
      </w:r>
      <w:r>
        <w:rPr>
          <w:color w:val="231F20"/>
          <w:spacing w:val="-9"/>
          <w:w w:val="105"/>
        </w:rPr>
        <w:t> </w:t>
      </w:r>
      <w:r>
        <w:rPr>
          <w:color w:val="231F20"/>
          <w:w w:val="105"/>
        </w:rPr>
        <w:t>about 13</w:t>
      </w:r>
      <w:r>
        <w:rPr>
          <w:color w:val="231F20"/>
          <w:spacing w:val="-10"/>
          <w:w w:val="105"/>
        </w:rPr>
        <w:t> </w:t>
      </w:r>
      <w:r>
        <w:rPr>
          <w:color w:val="231F20"/>
          <w:w w:val="105"/>
        </w:rPr>
        <w:t>mm</w:t>
      </w:r>
      <w:r>
        <w:rPr>
          <w:color w:val="231F20"/>
          <w:spacing w:val="-10"/>
          <w:w w:val="105"/>
        </w:rPr>
        <w:t> </w:t>
      </w:r>
      <w:r>
        <w:rPr>
          <w:color w:val="231F20"/>
          <w:w w:val="105"/>
        </w:rPr>
        <w:t>Hg</w:t>
      </w:r>
      <w:r>
        <w:rPr>
          <w:color w:val="231F20"/>
          <w:spacing w:val="-21"/>
          <w:w w:val="105"/>
        </w:rPr>
        <w:t> </w:t>
      </w:r>
      <w:r>
        <w:rPr>
          <w:color w:val="231F20"/>
          <w:w w:val="105"/>
        </w:rPr>
        <w:t>and</w:t>
      </w:r>
      <w:r>
        <w:rPr>
          <w:color w:val="231F20"/>
          <w:spacing w:val="-21"/>
          <w:w w:val="105"/>
        </w:rPr>
        <w:t> </w:t>
      </w:r>
      <w:r>
        <w:rPr>
          <w:color w:val="231F20"/>
          <w:w w:val="105"/>
        </w:rPr>
        <w:t>renal</w:t>
      </w:r>
      <w:r>
        <w:rPr>
          <w:color w:val="231F20"/>
          <w:spacing w:val="-20"/>
          <w:w w:val="105"/>
        </w:rPr>
        <w:t> </w:t>
      </w:r>
      <w:r>
        <w:rPr>
          <w:color w:val="231F20"/>
          <w:w w:val="105"/>
        </w:rPr>
        <w:t>interstitial</w:t>
      </w:r>
      <w:r>
        <w:rPr>
          <w:color w:val="231F20"/>
          <w:spacing w:val="-21"/>
          <w:w w:val="105"/>
        </w:rPr>
        <w:t> </w:t>
      </w:r>
      <w:r>
        <w:rPr>
          <w:color w:val="231F20"/>
          <w:w w:val="105"/>
        </w:rPr>
        <w:t>fluid</w:t>
      </w:r>
      <w:r>
        <w:rPr>
          <w:color w:val="231F20"/>
          <w:spacing w:val="-21"/>
          <w:w w:val="105"/>
        </w:rPr>
        <w:t> </w:t>
      </w:r>
      <w:r>
        <w:rPr>
          <w:color w:val="231F20"/>
          <w:w w:val="105"/>
        </w:rPr>
        <w:t>hydrostatic</w:t>
      </w:r>
      <w:r>
        <w:rPr>
          <w:color w:val="231F20"/>
          <w:spacing w:val="-20"/>
          <w:w w:val="105"/>
        </w:rPr>
        <w:t> </w:t>
      </w:r>
      <w:r>
        <w:rPr>
          <w:color w:val="231F20"/>
          <w:w w:val="105"/>
        </w:rPr>
        <w:t>pressure averages 6 mm Hg, there is a positive hydrostatic pres- sure gradient from the peritubular capillary to the </w:t>
      </w:r>
      <w:r>
        <w:rPr>
          <w:color w:val="231F20"/>
          <w:spacing w:val="-5"/>
          <w:w w:val="105"/>
        </w:rPr>
        <w:t>inter- </w:t>
      </w:r>
      <w:r>
        <w:rPr>
          <w:color w:val="231F20"/>
          <w:w w:val="105"/>
        </w:rPr>
        <w:t>stitial fluid of about 7 mm Hg, which opposes </w:t>
      </w:r>
      <w:r>
        <w:rPr>
          <w:color w:val="231F20"/>
          <w:spacing w:val="-3"/>
          <w:w w:val="105"/>
        </w:rPr>
        <w:t>fluid </w:t>
      </w:r>
      <w:r>
        <w:rPr>
          <w:color w:val="231F20"/>
          <w:w w:val="105"/>
        </w:rPr>
        <w:t>reabsorption. This opposition to fluid reabsorption </w:t>
      </w:r>
      <w:r>
        <w:rPr>
          <w:color w:val="231F20"/>
          <w:spacing w:val="-6"/>
          <w:w w:val="105"/>
        </w:rPr>
        <w:t>is </w:t>
      </w:r>
      <w:r>
        <w:rPr>
          <w:color w:val="231F20"/>
          <w:w w:val="105"/>
        </w:rPr>
        <w:t>more than counterbalanced by the colloid osmotic pres- sures</w:t>
      </w:r>
      <w:r>
        <w:rPr>
          <w:color w:val="231F20"/>
          <w:spacing w:val="-20"/>
          <w:w w:val="105"/>
        </w:rPr>
        <w:t> </w:t>
      </w:r>
      <w:r>
        <w:rPr>
          <w:color w:val="231F20"/>
          <w:w w:val="105"/>
        </w:rPr>
        <w:t>that</w:t>
      </w:r>
      <w:r>
        <w:rPr>
          <w:color w:val="231F20"/>
          <w:spacing w:val="-20"/>
          <w:w w:val="105"/>
        </w:rPr>
        <w:t> </w:t>
      </w:r>
      <w:r>
        <w:rPr>
          <w:color w:val="231F20"/>
          <w:w w:val="105"/>
        </w:rPr>
        <w:t>favor</w:t>
      </w:r>
      <w:r>
        <w:rPr>
          <w:color w:val="231F20"/>
          <w:spacing w:val="-20"/>
          <w:w w:val="105"/>
        </w:rPr>
        <w:t> </w:t>
      </w:r>
      <w:r>
        <w:rPr>
          <w:color w:val="231F20"/>
          <w:w w:val="105"/>
        </w:rPr>
        <w:t>reabsorption.</w:t>
      </w:r>
      <w:r>
        <w:rPr>
          <w:color w:val="231F20"/>
          <w:spacing w:val="-20"/>
          <w:w w:val="105"/>
        </w:rPr>
        <w:t> </w:t>
      </w:r>
      <w:r>
        <w:rPr>
          <w:color w:val="231F20"/>
          <w:w w:val="105"/>
        </w:rPr>
        <w:t>The</w:t>
      </w:r>
      <w:r>
        <w:rPr>
          <w:color w:val="231F20"/>
          <w:spacing w:val="-20"/>
          <w:w w:val="105"/>
        </w:rPr>
        <w:t> </w:t>
      </w:r>
      <w:r>
        <w:rPr>
          <w:color w:val="231F20"/>
          <w:w w:val="105"/>
        </w:rPr>
        <w:t>plasma</w:t>
      </w:r>
      <w:r>
        <w:rPr>
          <w:color w:val="231F20"/>
          <w:spacing w:val="-20"/>
          <w:w w:val="105"/>
        </w:rPr>
        <w:t> </w:t>
      </w:r>
      <w:r>
        <w:rPr>
          <w:color w:val="231F20"/>
          <w:w w:val="105"/>
        </w:rPr>
        <w:t>colloid</w:t>
      </w:r>
      <w:r>
        <w:rPr>
          <w:color w:val="231F20"/>
          <w:spacing w:val="-20"/>
          <w:w w:val="105"/>
        </w:rPr>
        <w:t> </w:t>
      </w:r>
      <w:r>
        <w:rPr>
          <w:color w:val="231F20"/>
          <w:spacing w:val="-3"/>
          <w:w w:val="105"/>
        </w:rPr>
        <w:t>osmotic</w:t>
      </w:r>
    </w:p>
    <w:p>
      <w:pPr>
        <w:pStyle w:val="BodyText"/>
        <w:spacing w:before="8"/>
        <w:rPr>
          <w:sz w:val="24"/>
        </w:rPr>
      </w:pPr>
      <w:r>
        <w:rPr/>
        <w:br w:type="column"/>
      </w:r>
      <w:r>
        <w:rPr>
          <w:sz w:val="24"/>
        </w:rPr>
      </w:r>
    </w:p>
    <w:p>
      <w:pPr>
        <w:spacing w:line="261" w:lineRule="auto" w:before="1"/>
        <w:ind w:left="319" w:right="1437" w:firstLine="0"/>
        <w:jc w:val="both"/>
        <w:rPr>
          <w:rFonts w:ascii="Arial" w:hAnsi="Arial"/>
          <w:sz w:val="16"/>
        </w:rPr>
      </w:pPr>
      <w:bookmarkStart w:name="_bookmark55" w:id="56"/>
      <w:bookmarkEnd w:id="56"/>
      <w:r>
        <w:rPr/>
      </w:r>
      <w:r>
        <w:rPr>
          <w:rFonts w:ascii="Trebuchet MS" w:hAnsi="Trebuchet MS"/>
          <w:b/>
          <w:color w:val="231F20"/>
          <w:sz w:val="16"/>
        </w:rPr>
        <w:t>Figure 28­16. </w:t>
      </w:r>
      <w:r>
        <w:rPr>
          <w:rFonts w:ascii="Arial" w:hAnsi="Arial"/>
          <w:color w:val="231F20"/>
          <w:sz w:val="16"/>
        </w:rPr>
        <w:t>Summary of the hydrostatic and colloid osmotic forces</w:t>
      </w:r>
      <w:r>
        <w:rPr>
          <w:rFonts w:ascii="Arial" w:hAnsi="Arial"/>
          <w:color w:val="231F20"/>
          <w:spacing w:val="-23"/>
          <w:sz w:val="16"/>
        </w:rPr>
        <w:t> </w:t>
      </w:r>
      <w:r>
        <w:rPr>
          <w:rFonts w:ascii="Arial" w:hAnsi="Arial"/>
          <w:color w:val="231F20"/>
          <w:sz w:val="16"/>
        </w:rPr>
        <w:t>that</w:t>
      </w:r>
      <w:r>
        <w:rPr>
          <w:rFonts w:ascii="Arial" w:hAnsi="Arial"/>
          <w:color w:val="231F20"/>
          <w:spacing w:val="-24"/>
          <w:sz w:val="16"/>
        </w:rPr>
        <w:t> </w:t>
      </w:r>
      <w:r>
        <w:rPr>
          <w:rFonts w:ascii="Arial" w:hAnsi="Arial"/>
          <w:color w:val="231F20"/>
          <w:sz w:val="16"/>
        </w:rPr>
        <w:t>determine</w:t>
      </w:r>
      <w:r>
        <w:rPr>
          <w:rFonts w:ascii="Arial" w:hAnsi="Arial"/>
          <w:color w:val="231F20"/>
          <w:spacing w:val="-23"/>
          <w:sz w:val="16"/>
        </w:rPr>
        <w:t> </w:t>
      </w:r>
      <w:r>
        <w:rPr>
          <w:rFonts w:ascii="Arial" w:hAnsi="Arial"/>
          <w:color w:val="231F20"/>
          <w:sz w:val="16"/>
        </w:rPr>
        <w:t>fluid</w:t>
      </w:r>
      <w:r>
        <w:rPr>
          <w:rFonts w:ascii="Arial" w:hAnsi="Arial"/>
          <w:color w:val="231F20"/>
          <w:spacing w:val="-23"/>
          <w:sz w:val="16"/>
        </w:rPr>
        <w:t> </w:t>
      </w:r>
      <w:r>
        <w:rPr>
          <w:rFonts w:ascii="Arial" w:hAnsi="Arial"/>
          <w:color w:val="231F20"/>
          <w:sz w:val="16"/>
        </w:rPr>
        <w:t>reabsorption</w:t>
      </w:r>
      <w:r>
        <w:rPr>
          <w:rFonts w:ascii="Arial" w:hAnsi="Arial"/>
          <w:color w:val="231F20"/>
          <w:spacing w:val="-23"/>
          <w:sz w:val="16"/>
        </w:rPr>
        <w:t> </w:t>
      </w:r>
      <w:r>
        <w:rPr>
          <w:rFonts w:ascii="Arial" w:hAnsi="Arial"/>
          <w:color w:val="231F20"/>
          <w:sz w:val="16"/>
        </w:rPr>
        <w:t>by</w:t>
      </w:r>
      <w:r>
        <w:rPr>
          <w:rFonts w:ascii="Arial" w:hAnsi="Arial"/>
          <w:color w:val="231F20"/>
          <w:spacing w:val="-23"/>
          <w:sz w:val="16"/>
        </w:rPr>
        <w:t> </w:t>
      </w:r>
      <w:r>
        <w:rPr>
          <w:rFonts w:ascii="Arial" w:hAnsi="Arial"/>
          <w:color w:val="231F20"/>
          <w:sz w:val="16"/>
        </w:rPr>
        <w:t>the</w:t>
      </w:r>
      <w:r>
        <w:rPr>
          <w:rFonts w:ascii="Arial" w:hAnsi="Arial"/>
          <w:color w:val="231F20"/>
          <w:spacing w:val="-23"/>
          <w:sz w:val="16"/>
        </w:rPr>
        <w:t> </w:t>
      </w:r>
      <w:r>
        <w:rPr>
          <w:rFonts w:ascii="Arial" w:hAnsi="Arial"/>
          <w:color w:val="231F20"/>
          <w:sz w:val="16"/>
        </w:rPr>
        <w:t>peritubular</w:t>
      </w:r>
      <w:r>
        <w:rPr>
          <w:rFonts w:ascii="Arial" w:hAnsi="Arial"/>
          <w:color w:val="231F20"/>
          <w:spacing w:val="-23"/>
          <w:sz w:val="16"/>
        </w:rPr>
        <w:t> </w:t>
      </w:r>
      <w:r>
        <w:rPr>
          <w:rFonts w:ascii="Arial" w:hAnsi="Arial"/>
          <w:color w:val="231F20"/>
          <w:sz w:val="16"/>
        </w:rPr>
        <w:t>capillaries. The</w:t>
      </w:r>
      <w:r>
        <w:rPr>
          <w:rFonts w:ascii="Arial" w:hAnsi="Arial"/>
          <w:color w:val="231F20"/>
          <w:spacing w:val="-7"/>
          <w:sz w:val="16"/>
        </w:rPr>
        <w:t> </w:t>
      </w:r>
      <w:r>
        <w:rPr>
          <w:rFonts w:ascii="Arial" w:hAnsi="Arial"/>
          <w:color w:val="231F20"/>
          <w:sz w:val="16"/>
        </w:rPr>
        <w:t>numerical</w:t>
      </w:r>
      <w:r>
        <w:rPr>
          <w:rFonts w:ascii="Arial" w:hAnsi="Arial"/>
          <w:color w:val="231F20"/>
          <w:spacing w:val="-6"/>
          <w:sz w:val="16"/>
        </w:rPr>
        <w:t> </w:t>
      </w:r>
      <w:r>
        <w:rPr>
          <w:rFonts w:ascii="Arial" w:hAnsi="Arial"/>
          <w:color w:val="231F20"/>
          <w:sz w:val="16"/>
        </w:rPr>
        <w:t>values</w:t>
      </w:r>
      <w:r>
        <w:rPr>
          <w:rFonts w:ascii="Arial" w:hAnsi="Arial"/>
          <w:color w:val="231F20"/>
          <w:spacing w:val="-6"/>
          <w:sz w:val="16"/>
        </w:rPr>
        <w:t> </w:t>
      </w:r>
      <w:r>
        <w:rPr>
          <w:rFonts w:ascii="Arial" w:hAnsi="Arial"/>
          <w:color w:val="231F20"/>
          <w:sz w:val="16"/>
        </w:rPr>
        <w:t>shown</w:t>
      </w:r>
      <w:r>
        <w:rPr>
          <w:rFonts w:ascii="Arial" w:hAnsi="Arial"/>
          <w:color w:val="231F20"/>
          <w:spacing w:val="-6"/>
          <w:sz w:val="16"/>
        </w:rPr>
        <w:t> </w:t>
      </w:r>
      <w:r>
        <w:rPr>
          <w:rFonts w:ascii="Arial" w:hAnsi="Arial"/>
          <w:color w:val="231F20"/>
          <w:sz w:val="16"/>
        </w:rPr>
        <w:t>are</w:t>
      </w:r>
      <w:r>
        <w:rPr>
          <w:rFonts w:ascii="Arial" w:hAnsi="Arial"/>
          <w:color w:val="231F20"/>
          <w:spacing w:val="-6"/>
          <w:sz w:val="16"/>
        </w:rPr>
        <w:t> </w:t>
      </w:r>
      <w:r>
        <w:rPr>
          <w:rFonts w:ascii="Arial" w:hAnsi="Arial"/>
          <w:color w:val="231F20"/>
          <w:sz w:val="16"/>
        </w:rPr>
        <w:t>estimates</w:t>
      </w:r>
      <w:r>
        <w:rPr>
          <w:rFonts w:ascii="Arial" w:hAnsi="Arial"/>
          <w:color w:val="231F20"/>
          <w:spacing w:val="-6"/>
          <w:sz w:val="16"/>
        </w:rPr>
        <w:t> </w:t>
      </w:r>
      <w:r>
        <w:rPr>
          <w:rFonts w:ascii="Arial" w:hAnsi="Arial"/>
          <w:color w:val="231F20"/>
          <w:sz w:val="16"/>
        </w:rPr>
        <w:t>of</w:t>
      </w:r>
      <w:r>
        <w:rPr>
          <w:rFonts w:ascii="Arial" w:hAnsi="Arial"/>
          <w:color w:val="231F20"/>
          <w:spacing w:val="-6"/>
          <w:sz w:val="16"/>
        </w:rPr>
        <w:t> </w:t>
      </w:r>
      <w:r>
        <w:rPr>
          <w:rFonts w:ascii="Arial" w:hAnsi="Arial"/>
          <w:color w:val="231F20"/>
          <w:sz w:val="16"/>
        </w:rPr>
        <w:t>the</w:t>
      </w:r>
      <w:r>
        <w:rPr>
          <w:rFonts w:ascii="Arial" w:hAnsi="Arial"/>
          <w:color w:val="231F20"/>
          <w:spacing w:val="-6"/>
          <w:sz w:val="16"/>
        </w:rPr>
        <w:t> </w:t>
      </w:r>
      <w:r>
        <w:rPr>
          <w:rFonts w:ascii="Arial" w:hAnsi="Arial"/>
          <w:color w:val="231F20"/>
          <w:sz w:val="16"/>
        </w:rPr>
        <w:t>normal</w:t>
      </w:r>
      <w:r>
        <w:rPr>
          <w:rFonts w:ascii="Arial" w:hAnsi="Arial"/>
          <w:color w:val="231F20"/>
          <w:spacing w:val="-6"/>
          <w:sz w:val="16"/>
        </w:rPr>
        <w:t> </w:t>
      </w:r>
      <w:r>
        <w:rPr>
          <w:rFonts w:ascii="Arial" w:hAnsi="Arial"/>
          <w:color w:val="231F20"/>
          <w:sz w:val="16"/>
        </w:rPr>
        <w:t>values</w:t>
      </w:r>
      <w:r>
        <w:rPr>
          <w:rFonts w:ascii="Arial" w:hAnsi="Arial"/>
          <w:color w:val="231F20"/>
          <w:spacing w:val="-6"/>
          <w:sz w:val="16"/>
        </w:rPr>
        <w:t> for </w:t>
      </w:r>
      <w:r>
        <w:rPr>
          <w:rFonts w:ascii="Arial" w:hAnsi="Arial"/>
          <w:color w:val="231F20"/>
          <w:sz w:val="16"/>
        </w:rPr>
        <w:t>humans.</w:t>
      </w:r>
      <w:r>
        <w:rPr>
          <w:rFonts w:ascii="Arial" w:hAnsi="Arial"/>
          <w:color w:val="231F20"/>
          <w:spacing w:val="-20"/>
          <w:sz w:val="16"/>
        </w:rPr>
        <w:t> </w:t>
      </w:r>
      <w:r>
        <w:rPr>
          <w:rFonts w:ascii="Arial" w:hAnsi="Arial"/>
          <w:color w:val="231F20"/>
          <w:sz w:val="16"/>
        </w:rPr>
        <w:t>The</w:t>
      </w:r>
      <w:r>
        <w:rPr>
          <w:rFonts w:ascii="Arial" w:hAnsi="Arial"/>
          <w:color w:val="231F20"/>
          <w:spacing w:val="-20"/>
          <w:sz w:val="16"/>
        </w:rPr>
        <w:t> </w:t>
      </w:r>
      <w:r>
        <w:rPr>
          <w:rFonts w:ascii="Arial" w:hAnsi="Arial"/>
          <w:color w:val="231F20"/>
          <w:sz w:val="16"/>
        </w:rPr>
        <w:t>net</w:t>
      </w:r>
      <w:r>
        <w:rPr>
          <w:rFonts w:ascii="Arial" w:hAnsi="Arial"/>
          <w:color w:val="231F20"/>
          <w:spacing w:val="-20"/>
          <w:sz w:val="16"/>
        </w:rPr>
        <w:t> </w:t>
      </w:r>
      <w:r>
        <w:rPr>
          <w:rFonts w:ascii="Arial" w:hAnsi="Arial"/>
          <w:color w:val="231F20"/>
          <w:sz w:val="16"/>
        </w:rPr>
        <w:t>reabsorptive</w:t>
      </w:r>
      <w:r>
        <w:rPr>
          <w:rFonts w:ascii="Arial" w:hAnsi="Arial"/>
          <w:color w:val="231F20"/>
          <w:spacing w:val="-20"/>
          <w:sz w:val="16"/>
        </w:rPr>
        <w:t> </w:t>
      </w:r>
      <w:r>
        <w:rPr>
          <w:rFonts w:ascii="Arial" w:hAnsi="Arial"/>
          <w:color w:val="231F20"/>
          <w:sz w:val="16"/>
        </w:rPr>
        <w:t>pressure</w:t>
      </w:r>
      <w:r>
        <w:rPr>
          <w:rFonts w:ascii="Arial" w:hAnsi="Arial"/>
          <w:color w:val="231F20"/>
          <w:spacing w:val="-20"/>
          <w:sz w:val="16"/>
        </w:rPr>
        <w:t> </w:t>
      </w:r>
      <w:r>
        <w:rPr>
          <w:rFonts w:ascii="Arial" w:hAnsi="Arial"/>
          <w:color w:val="231F20"/>
          <w:sz w:val="16"/>
        </w:rPr>
        <w:t>is</w:t>
      </w:r>
      <w:r>
        <w:rPr>
          <w:rFonts w:ascii="Arial" w:hAnsi="Arial"/>
          <w:color w:val="231F20"/>
          <w:spacing w:val="-20"/>
          <w:sz w:val="16"/>
        </w:rPr>
        <w:t> </w:t>
      </w:r>
      <w:r>
        <w:rPr>
          <w:rFonts w:ascii="Arial" w:hAnsi="Arial"/>
          <w:color w:val="231F20"/>
          <w:sz w:val="16"/>
        </w:rPr>
        <w:t>normally</w:t>
      </w:r>
      <w:r>
        <w:rPr>
          <w:rFonts w:ascii="Arial" w:hAnsi="Arial"/>
          <w:color w:val="231F20"/>
          <w:spacing w:val="-20"/>
          <w:sz w:val="16"/>
        </w:rPr>
        <w:t> </w:t>
      </w:r>
      <w:r>
        <w:rPr>
          <w:rFonts w:ascii="Arial" w:hAnsi="Arial"/>
          <w:color w:val="231F20"/>
          <w:sz w:val="16"/>
        </w:rPr>
        <w:t>about</w:t>
      </w:r>
      <w:r>
        <w:rPr>
          <w:rFonts w:ascii="Arial" w:hAnsi="Arial"/>
          <w:color w:val="231F20"/>
          <w:spacing w:val="-20"/>
          <w:sz w:val="16"/>
        </w:rPr>
        <w:t> </w:t>
      </w:r>
      <w:r>
        <w:rPr>
          <w:rFonts w:ascii="Arial" w:hAnsi="Arial"/>
          <w:color w:val="231F20"/>
          <w:sz w:val="16"/>
        </w:rPr>
        <w:t>10</w:t>
      </w:r>
      <w:r>
        <w:rPr>
          <w:rFonts w:ascii="Arial" w:hAnsi="Arial"/>
          <w:color w:val="231F20"/>
          <w:spacing w:val="-15"/>
          <w:sz w:val="16"/>
        </w:rPr>
        <w:t> </w:t>
      </w:r>
      <w:r>
        <w:rPr>
          <w:rFonts w:ascii="Arial" w:hAnsi="Arial"/>
          <w:color w:val="231F20"/>
          <w:sz w:val="16"/>
        </w:rPr>
        <w:t>mm</w:t>
      </w:r>
      <w:r>
        <w:rPr>
          <w:rFonts w:ascii="Arial" w:hAnsi="Arial"/>
          <w:color w:val="231F20"/>
          <w:spacing w:val="-15"/>
          <w:sz w:val="16"/>
        </w:rPr>
        <w:t> </w:t>
      </w:r>
      <w:r>
        <w:rPr>
          <w:rFonts w:ascii="Arial" w:hAnsi="Arial"/>
          <w:color w:val="231F20"/>
          <w:spacing w:val="-4"/>
          <w:sz w:val="16"/>
        </w:rPr>
        <w:t>Hg, </w:t>
      </w:r>
      <w:r>
        <w:rPr>
          <w:rFonts w:ascii="Arial" w:hAnsi="Arial"/>
          <w:color w:val="231F20"/>
          <w:sz w:val="16"/>
        </w:rPr>
        <w:t>causing fluid and solutes to be reabsorbed into the peritubular capillaries as they are transported across the renal tubular </w:t>
      </w:r>
      <w:r>
        <w:rPr>
          <w:rFonts w:ascii="Arial" w:hAnsi="Arial"/>
          <w:color w:val="231F20"/>
          <w:spacing w:val="-3"/>
          <w:sz w:val="16"/>
        </w:rPr>
        <w:t>cells. </w:t>
      </w:r>
      <w:r>
        <w:rPr>
          <w:rFonts w:ascii="Arial" w:hAnsi="Arial"/>
          <w:color w:val="231F20"/>
          <w:spacing w:val="-9"/>
          <w:sz w:val="16"/>
        </w:rPr>
        <w:t>ATP,</w:t>
      </w:r>
      <w:r>
        <w:rPr>
          <w:rFonts w:ascii="Arial" w:hAnsi="Arial"/>
          <w:color w:val="231F20"/>
          <w:spacing w:val="22"/>
          <w:sz w:val="16"/>
        </w:rPr>
        <w:t> </w:t>
      </w:r>
      <w:r>
        <w:rPr>
          <w:rFonts w:ascii="Arial" w:hAnsi="Arial"/>
          <w:color w:val="231F20"/>
          <w:sz w:val="16"/>
        </w:rPr>
        <w:t>adenosine</w:t>
      </w:r>
      <w:r>
        <w:rPr>
          <w:rFonts w:ascii="Arial" w:hAnsi="Arial"/>
          <w:color w:val="231F20"/>
          <w:spacing w:val="22"/>
          <w:sz w:val="16"/>
        </w:rPr>
        <w:t> </w:t>
      </w:r>
      <w:r>
        <w:rPr>
          <w:rFonts w:ascii="Arial" w:hAnsi="Arial"/>
          <w:color w:val="231F20"/>
          <w:sz w:val="16"/>
        </w:rPr>
        <w:t>triphosphate;</w:t>
      </w:r>
      <w:r>
        <w:rPr>
          <w:rFonts w:ascii="Arial" w:hAnsi="Arial"/>
          <w:color w:val="231F20"/>
          <w:spacing w:val="22"/>
          <w:sz w:val="16"/>
        </w:rPr>
        <w:t> </w:t>
      </w:r>
      <w:r>
        <w:rPr>
          <w:rFonts w:ascii="Arial" w:hAnsi="Arial"/>
          <w:color w:val="231F20"/>
          <w:sz w:val="16"/>
        </w:rPr>
        <w:t>P</w:t>
      </w:r>
      <w:r>
        <w:rPr>
          <w:rFonts w:ascii="Arial" w:hAnsi="Arial"/>
          <w:color w:val="231F20"/>
          <w:position w:val="-1"/>
          <w:sz w:val="9"/>
        </w:rPr>
        <w:t>c</w:t>
      </w:r>
      <w:r>
        <w:rPr>
          <w:rFonts w:ascii="Arial" w:hAnsi="Arial"/>
          <w:color w:val="231F20"/>
          <w:sz w:val="16"/>
        </w:rPr>
        <w:t>,</w:t>
      </w:r>
      <w:r>
        <w:rPr>
          <w:rFonts w:ascii="Arial" w:hAnsi="Arial"/>
          <w:color w:val="231F20"/>
          <w:spacing w:val="22"/>
          <w:sz w:val="16"/>
        </w:rPr>
        <w:t> </w:t>
      </w:r>
      <w:r>
        <w:rPr>
          <w:rFonts w:ascii="Arial" w:hAnsi="Arial"/>
          <w:color w:val="231F20"/>
          <w:sz w:val="16"/>
        </w:rPr>
        <w:t>peritubular</w:t>
      </w:r>
      <w:r>
        <w:rPr>
          <w:rFonts w:ascii="Arial" w:hAnsi="Arial"/>
          <w:color w:val="231F20"/>
          <w:spacing w:val="23"/>
          <w:sz w:val="16"/>
        </w:rPr>
        <w:t> </w:t>
      </w:r>
      <w:r>
        <w:rPr>
          <w:rFonts w:ascii="Arial" w:hAnsi="Arial"/>
          <w:color w:val="231F20"/>
          <w:sz w:val="16"/>
        </w:rPr>
        <w:t>capillary</w:t>
      </w:r>
      <w:r>
        <w:rPr>
          <w:rFonts w:ascii="Arial" w:hAnsi="Arial"/>
          <w:color w:val="231F20"/>
          <w:spacing w:val="22"/>
          <w:sz w:val="16"/>
        </w:rPr>
        <w:t> </w:t>
      </w:r>
      <w:r>
        <w:rPr>
          <w:rFonts w:ascii="Arial" w:hAnsi="Arial"/>
          <w:color w:val="231F20"/>
          <w:spacing w:val="-3"/>
          <w:sz w:val="16"/>
        </w:rPr>
        <w:t>hydrostatic</w:t>
      </w:r>
    </w:p>
    <w:p>
      <w:pPr>
        <w:spacing w:line="172" w:lineRule="auto" w:before="1"/>
        <w:ind w:left="319" w:right="1439" w:firstLine="0"/>
        <w:jc w:val="both"/>
        <w:rPr>
          <w:rFonts w:ascii="Arial" w:hAnsi="Arial"/>
          <w:sz w:val="16"/>
        </w:rPr>
      </w:pPr>
      <w:r>
        <w:rPr>
          <w:rFonts w:ascii="Arial" w:hAnsi="Arial"/>
          <w:color w:val="231F20"/>
          <w:sz w:val="16"/>
        </w:rPr>
        <w:t>pressure; P</w:t>
      </w:r>
      <w:r>
        <w:rPr>
          <w:rFonts w:ascii="Arial" w:hAnsi="Arial"/>
          <w:color w:val="231F20"/>
          <w:position w:val="-1"/>
          <w:sz w:val="9"/>
        </w:rPr>
        <w:t>if </w:t>
      </w:r>
      <w:r>
        <w:rPr>
          <w:rFonts w:ascii="Arial" w:hAnsi="Arial"/>
          <w:color w:val="231F20"/>
          <w:sz w:val="16"/>
        </w:rPr>
        <w:t>, interstitial fluid hydrostatic pressure; </w:t>
      </w:r>
      <w:r>
        <w:rPr>
          <w:rFonts w:ascii="Arial Unicode MS" w:hAnsi="Arial Unicode MS"/>
          <w:color w:val="231F20"/>
          <w:sz w:val="16"/>
        </w:rPr>
        <w:t>π</w:t>
      </w:r>
      <w:r>
        <w:rPr>
          <w:rFonts w:ascii="Arial" w:hAnsi="Arial"/>
          <w:color w:val="231F20"/>
          <w:position w:val="-1"/>
          <w:sz w:val="9"/>
        </w:rPr>
        <w:t>c</w:t>
      </w:r>
      <w:r>
        <w:rPr>
          <w:rFonts w:ascii="Arial" w:hAnsi="Arial"/>
          <w:color w:val="231F20"/>
          <w:sz w:val="16"/>
        </w:rPr>
        <w:t>, peritubular capillary</w:t>
      </w:r>
      <w:r>
        <w:rPr>
          <w:rFonts w:ascii="Arial" w:hAnsi="Arial"/>
          <w:color w:val="231F20"/>
          <w:spacing w:val="-14"/>
          <w:sz w:val="16"/>
        </w:rPr>
        <w:t> </w:t>
      </w:r>
      <w:r>
        <w:rPr>
          <w:rFonts w:ascii="Arial" w:hAnsi="Arial"/>
          <w:color w:val="231F20"/>
          <w:sz w:val="16"/>
        </w:rPr>
        <w:t>colloid</w:t>
      </w:r>
      <w:r>
        <w:rPr>
          <w:rFonts w:ascii="Arial" w:hAnsi="Arial"/>
          <w:color w:val="231F20"/>
          <w:spacing w:val="-13"/>
          <w:sz w:val="16"/>
        </w:rPr>
        <w:t> </w:t>
      </w:r>
      <w:r>
        <w:rPr>
          <w:rFonts w:ascii="Arial" w:hAnsi="Arial"/>
          <w:color w:val="231F20"/>
          <w:sz w:val="16"/>
        </w:rPr>
        <w:t>osmotic</w:t>
      </w:r>
      <w:r>
        <w:rPr>
          <w:rFonts w:ascii="Arial" w:hAnsi="Arial"/>
          <w:color w:val="231F20"/>
          <w:spacing w:val="-13"/>
          <w:sz w:val="16"/>
        </w:rPr>
        <w:t> </w:t>
      </w:r>
      <w:r>
        <w:rPr>
          <w:rFonts w:ascii="Arial" w:hAnsi="Arial"/>
          <w:color w:val="231F20"/>
          <w:sz w:val="16"/>
        </w:rPr>
        <w:t>pressure;</w:t>
      </w:r>
      <w:r>
        <w:rPr>
          <w:rFonts w:ascii="Arial" w:hAnsi="Arial"/>
          <w:color w:val="231F20"/>
          <w:spacing w:val="-12"/>
          <w:sz w:val="16"/>
        </w:rPr>
        <w:t> </w:t>
      </w:r>
      <w:r>
        <w:rPr>
          <w:rFonts w:ascii="Arial Unicode MS" w:hAnsi="Arial Unicode MS"/>
          <w:color w:val="231F20"/>
          <w:sz w:val="16"/>
        </w:rPr>
        <w:t>π</w:t>
      </w:r>
      <w:r>
        <w:rPr>
          <w:rFonts w:ascii="Arial" w:hAnsi="Arial"/>
          <w:color w:val="231F20"/>
          <w:position w:val="-1"/>
          <w:sz w:val="9"/>
        </w:rPr>
        <w:t>if</w:t>
      </w:r>
      <w:r>
        <w:rPr>
          <w:rFonts w:ascii="Arial" w:hAnsi="Arial"/>
          <w:color w:val="231F20"/>
          <w:sz w:val="16"/>
        </w:rPr>
        <w:t>,</w:t>
      </w:r>
      <w:r>
        <w:rPr>
          <w:rFonts w:ascii="Arial" w:hAnsi="Arial"/>
          <w:color w:val="231F20"/>
          <w:spacing w:val="-13"/>
          <w:sz w:val="16"/>
        </w:rPr>
        <w:t> </w:t>
      </w:r>
      <w:r>
        <w:rPr>
          <w:rFonts w:ascii="Arial" w:hAnsi="Arial"/>
          <w:color w:val="231F20"/>
          <w:sz w:val="16"/>
        </w:rPr>
        <w:t>interstitial</w:t>
      </w:r>
      <w:r>
        <w:rPr>
          <w:rFonts w:ascii="Arial" w:hAnsi="Arial"/>
          <w:color w:val="231F20"/>
          <w:spacing w:val="-14"/>
          <w:sz w:val="16"/>
        </w:rPr>
        <w:t> </w:t>
      </w:r>
      <w:r>
        <w:rPr>
          <w:rFonts w:ascii="Arial" w:hAnsi="Arial"/>
          <w:color w:val="231F20"/>
          <w:sz w:val="16"/>
        </w:rPr>
        <w:t>fluid</w:t>
      </w:r>
      <w:r>
        <w:rPr>
          <w:rFonts w:ascii="Arial" w:hAnsi="Arial"/>
          <w:color w:val="231F20"/>
          <w:spacing w:val="-12"/>
          <w:sz w:val="16"/>
        </w:rPr>
        <w:t> </w:t>
      </w:r>
      <w:r>
        <w:rPr>
          <w:rFonts w:ascii="Arial" w:hAnsi="Arial"/>
          <w:color w:val="231F20"/>
          <w:sz w:val="16"/>
        </w:rPr>
        <w:t>colloid</w:t>
      </w:r>
      <w:r>
        <w:rPr>
          <w:rFonts w:ascii="Arial" w:hAnsi="Arial"/>
          <w:color w:val="231F20"/>
          <w:spacing w:val="-14"/>
          <w:sz w:val="16"/>
        </w:rPr>
        <w:t> </w:t>
      </w:r>
      <w:r>
        <w:rPr>
          <w:rFonts w:ascii="Arial" w:hAnsi="Arial"/>
          <w:color w:val="231F20"/>
          <w:spacing w:val="-3"/>
          <w:sz w:val="16"/>
        </w:rPr>
        <w:t>osmotic</w:t>
      </w:r>
    </w:p>
    <w:p>
      <w:pPr>
        <w:spacing w:line="171" w:lineRule="exact" w:before="0"/>
        <w:ind w:left="319" w:right="0" w:firstLine="0"/>
        <w:jc w:val="left"/>
        <w:rPr>
          <w:rFonts w:ascii="Arial"/>
          <w:sz w:val="16"/>
        </w:rPr>
      </w:pPr>
      <w:r>
        <w:rPr>
          <w:rFonts w:ascii="Arial"/>
          <w:color w:val="231F20"/>
          <w:sz w:val="16"/>
        </w:rPr>
        <w:t>pressure.</w:t>
      </w:r>
    </w:p>
    <w:p>
      <w:pPr>
        <w:pStyle w:val="BodyText"/>
        <w:rPr>
          <w:rFonts w:ascii="Arial"/>
          <w:sz w:val="18"/>
        </w:rPr>
      </w:pPr>
    </w:p>
    <w:p>
      <w:pPr>
        <w:pStyle w:val="BodyText"/>
        <w:spacing w:before="2"/>
        <w:rPr>
          <w:rFonts w:ascii="Arial"/>
          <w:sz w:val="14"/>
        </w:rPr>
      </w:pPr>
    </w:p>
    <w:p>
      <w:pPr>
        <w:pStyle w:val="BodyText"/>
        <w:spacing w:line="249" w:lineRule="auto" w:before="1"/>
        <w:ind w:left="319" w:right="1437"/>
        <w:jc w:val="both"/>
      </w:pPr>
      <w:r>
        <w:rPr>
          <w:color w:val="231F20"/>
          <w:w w:val="105"/>
        </w:rPr>
        <w:t>pressure,</w:t>
      </w:r>
      <w:r>
        <w:rPr>
          <w:color w:val="231F20"/>
          <w:spacing w:val="-13"/>
          <w:w w:val="105"/>
        </w:rPr>
        <w:t> </w:t>
      </w:r>
      <w:r>
        <w:rPr>
          <w:color w:val="231F20"/>
          <w:w w:val="105"/>
        </w:rPr>
        <w:t>which</w:t>
      </w:r>
      <w:r>
        <w:rPr>
          <w:color w:val="231F20"/>
          <w:spacing w:val="-12"/>
          <w:w w:val="105"/>
        </w:rPr>
        <w:t> </w:t>
      </w:r>
      <w:r>
        <w:rPr>
          <w:color w:val="231F20"/>
          <w:w w:val="105"/>
        </w:rPr>
        <w:t>favors</w:t>
      </w:r>
      <w:r>
        <w:rPr>
          <w:color w:val="231F20"/>
          <w:spacing w:val="-12"/>
          <w:w w:val="105"/>
        </w:rPr>
        <w:t> </w:t>
      </w:r>
      <w:r>
        <w:rPr>
          <w:color w:val="231F20"/>
          <w:w w:val="105"/>
        </w:rPr>
        <w:t>reabsorption,</w:t>
      </w:r>
      <w:r>
        <w:rPr>
          <w:color w:val="231F20"/>
          <w:spacing w:val="-12"/>
          <w:w w:val="105"/>
        </w:rPr>
        <w:t> </w:t>
      </w:r>
      <w:r>
        <w:rPr>
          <w:color w:val="231F20"/>
          <w:w w:val="105"/>
        </w:rPr>
        <w:t>is</w:t>
      </w:r>
      <w:r>
        <w:rPr>
          <w:color w:val="231F20"/>
          <w:spacing w:val="-12"/>
          <w:w w:val="105"/>
        </w:rPr>
        <w:t> </w:t>
      </w:r>
      <w:r>
        <w:rPr>
          <w:color w:val="231F20"/>
          <w:w w:val="105"/>
        </w:rPr>
        <w:t>about</w:t>
      </w:r>
      <w:r>
        <w:rPr>
          <w:color w:val="231F20"/>
          <w:spacing w:val="-12"/>
          <w:w w:val="105"/>
        </w:rPr>
        <w:t> </w:t>
      </w:r>
      <w:r>
        <w:rPr>
          <w:color w:val="231F20"/>
          <w:w w:val="105"/>
        </w:rPr>
        <w:t>32</w:t>
      </w:r>
      <w:r>
        <w:rPr>
          <w:color w:val="231F20"/>
          <w:spacing w:val="-10"/>
          <w:w w:val="105"/>
        </w:rPr>
        <w:t> </w:t>
      </w:r>
      <w:r>
        <w:rPr>
          <w:color w:val="231F20"/>
          <w:w w:val="105"/>
        </w:rPr>
        <w:t>mm</w:t>
      </w:r>
      <w:r>
        <w:rPr>
          <w:color w:val="231F20"/>
          <w:spacing w:val="-10"/>
          <w:w w:val="105"/>
        </w:rPr>
        <w:t> </w:t>
      </w:r>
      <w:r>
        <w:rPr>
          <w:color w:val="231F20"/>
          <w:w w:val="105"/>
        </w:rPr>
        <w:t>Hg, and the colloid osmotic pressure of the</w:t>
      </w:r>
      <w:r>
        <w:rPr>
          <w:color w:val="231F20"/>
          <w:spacing w:val="30"/>
          <w:w w:val="105"/>
        </w:rPr>
        <w:t> </w:t>
      </w:r>
      <w:r>
        <w:rPr>
          <w:color w:val="231F20"/>
          <w:w w:val="105"/>
        </w:rPr>
        <w:t>interstitium, which</w:t>
      </w:r>
      <w:r>
        <w:rPr>
          <w:color w:val="231F20"/>
          <w:spacing w:val="-8"/>
          <w:w w:val="105"/>
        </w:rPr>
        <w:t> </w:t>
      </w:r>
      <w:r>
        <w:rPr>
          <w:color w:val="231F20"/>
          <w:w w:val="105"/>
        </w:rPr>
        <w:t>opposes</w:t>
      </w:r>
      <w:r>
        <w:rPr>
          <w:color w:val="231F20"/>
          <w:spacing w:val="-8"/>
          <w:w w:val="105"/>
        </w:rPr>
        <w:t> </w:t>
      </w:r>
      <w:r>
        <w:rPr>
          <w:color w:val="231F20"/>
          <w:w w:val="105"/>
        </w:rPr>
        <w:t>reabsorption,</w:t>
      </w:r>
      <w:r>
        <w:rPr>
          <w:color w:val="231F20"/>
          <w:spacing w:val="-8"/>
          <w:w w:val="105"/>
        </w:rPr>
        <w:t> </w:t>
      </w:r>
      <w:r>
        <w:rPr>
          <w:color w:val="231F20"/>
          <w:w w:val="105"/>
        </w:rPr>
        <w:t>is</w:t>
      </w:r>
      <w:r>
        <w:rPr>
          <w:color w:val="231F20"/>
          <w:spacing w:val="-8"/>
          <w:w w:val="105"/>
        </w:rPr>
        <w:t> </w:t>
      </w:r>
      <w:r>
        <w:rPr>
          <w:color w:val="231F20"/>
          <w:w w:val="105"/>
        </w:rPr>
        <w:t>15</w:t>
      </w:r>
      <w:r>
        <w:rPr>
          <w:color w:val="231F20"/>
          <w:spacing w:val="-6"/>
          <w:w w:val="105"/>
        </w:rPr>
        <w:t> </w:t>
      </w:r>
      <w:r>
        <w:rPr>
          <w:color w:val="231F20"/>
          <w:w w:val="105"/>
        </w:rPr>
        <w:t>mm</w:t>
      </w:r>
      <w:r>
        <w:rPr>
          <w:color w:val="231F20"/>
          <w:spacing w:val="-6"/>
          <w:w w:val="105"/>
        </w:rPr>
        <w:t> </w:t>
      </w:r>
      <w:r>
        <w:rPr>
          <w:color w:val="231F20"/>
          <w:w w:val="105"/>
        </w:rPr>
        <w:t>Hg,</w:t>
      </w:r>
      <w:r>
        <w:rPr>
          <w:color w:val="231F20"/>
          <w:spacing w:val="-8"/>
          <w:w w:val="105"/>
        </w:rPr>
        <w:t> </w:t>
      </w:r>
      <w:r>
        <w:rPr>
          <w:color w:val="231F20"/>
          <w:w w:val="105"/>
        </w:rPr>
        <w:t>causing</w:t>
      </w:r>
      <w:r>
        <w:rPr>
          <w:color w:val="231F20"/>
          <w:spacing w:val="-8"/>
          <w:w w:val="105"/>
        </w:rPr>
        <w:t> </w:t>
      </w:r>
      <w:r>
        <w:rPr>
          <w:color w:val="231F20"/>
          <w:w w:val="105"/>
        </w:rPr>
        <w:t>a</w:t>
      </w:r>
      <w:r>
        <w:rPr>
          <w:color w:val="231F20"/>
          <w:spacing w:val="-8"/>
          <w:w w:val="105"/>
        </w:rPr>
        <w:t> </w:t>
      </w:r>
      <w:r>
        <w:rPr>
          <w:color w:val="231F20"/>
          <w:w w:val="105"/>
        </w:rPr>
        <w:t>net colloid</w:t>
      </w:r>
      <w:r>
        <w:rPr>
          <w:color w:val="231F20"/>
          <w:spacing w:val="-13"/>
          <w:w w:val="105"/>
        </w:rPr>
        <w:t> </w:t>
      </w:r>
      <w:r>
        <w:rPr>
          <w:color w:val="231F20"/>
          <w:w w:val="105"/>
        </w:rPr>
        <w:t>osmotic</w:t>
      </w:r>
      <w:r>
        <w:rPr>
          <w:color w:val="231F20"/>
          <w:spacing w:val="-12"/>
          <w:w w:val="105"/>
        </w:rPr>
        <w:t> </w:t>
      </w:r>
      <w:r>
        <w:rPr>
          <w:color w:val="231F20"/>
          <w:w w:val="105"/>
        </w:rPr>
        <w:t>force</w:t>
      </w:r>
      <w:r>
        <w:rPr>
          <w:color w:val="231F20"/>
          <w:spacing w:val="-12"/>
          <w:w w:val="105"/>
        </w:rPr>
        <w:t> </w:t>
      </w:r>
      <w:r>
        <w:rPr>
          <w:color w:val="231F20"/>
          <w:w w:val="105"/>
        </w:rPr>
        <w:t>of</w:t>
      </w:r>
      <w:r>
        <w:rPr>
          <w:color w:val="231F20"/>
          <w:spacing w:val="-12"/>
          <w:w w:val="105"/>
        </w:rPr>
        <w:t> </w:t>
      </w:r>
      <w:r>
        <w:rPr>
          <w:color w:val="231F20"/>
          <w:w w:val="105"/>
        </w:rPr>
        <w:t>about</w:t>
      </w:r>
      <w:r>
        <w:rPr>
          <w:color w:val="231F20"/>
          <w:spacing w:val="-12"/>
          <w:w w:val="105"/>
        </w:rPr>
        <w:t> </w:t>
      </w:r>
      <w:r>
        <w:rPr>
          <w:color w:val="231F20"/>
          <w:w w:val="105"/>
        </w:rPr>
        <w:t>17</w:t>
      </w:r>
      <w:r>
        <w:rPr>
          <w:color w:val="231F20"/>
          <w:spacing w:val="-11"/>
          <w:w w:val="105"/>
        </w:rPr>
        <w:t> </w:t>
      </w:r>
      <w:r>
        <w:rPr>
          <w:color w:val="231F20"/>
          <w:w w:val="105"/>
        </w:rPr>
        <w:t>mm</w:t>
      </w:r>
      <w:r>
        <w:rPr>
          <w:color w:val="231F20"/>
          <w:spacing w:val="-12"/>
          <w:w w:val="105"/>
        </w:rPr>
        <w:t> </w:t>
      </w:r>
      <w:r>
        <w:rPr>
          <w:color w:val="231F20"/>
          <w:w w:val="105"/>
        </w:rPr>
        <w:t>Hg,</w:t>
      </w:r>
      <w:r>
        <w:rPr>
          <w:color w:val="231F20"/>
          <w:spacing w:val="-12"/>
          <w:w w:val="105"/>
        </w:rPr>
        <w:t> </w:t>
      </w:r>
      <w:r>
        <w:rPr>
          <w:color w:val="231F20"/>
          <w:w w:val="105"/>
        </w:rPr>
        <w:t>favoring</w:t>
      </w:r>
      <w:r>
        <w:rPr>
          <w:color w:val="231F20"/>
          <w:spacing w:val="-12"/>
          <w:w w:val="105"/>
        </w:rPr>
        <w:t> </w:t>
      </w:r>
      <w:r>
        <w:rPr>
          <w:color w:val="231F20"/>
          <w:w w:val="105"/>
        </w:rPr>
        <w:t>reab- sorption.</w:t>
      </w:r>
      <w:r>
        <w:rPr>
          <w:color w:val="231F20"/>
          <w:spacing w:val="-26"/>
          <w:w w:val="105"/>
        </w:rPr>
        <w:t> </w:t>
      </w:r>
      <w:r>
        <w:rPr>
          <w:color w:val="231F20"/>
          <w:w w:val="105"/>
        </w:rPr>
        <w:t>Therefore,</w:t>
      </w:r>
      <w:r>
        <w:rPr>
          <w:color w:val="231F20"/>
          <w:spacing w:val="-26"/>
          <w:w w:val="105"/>
        </w:rPr>
        <w:t> </w:t>
      </w:r>
      <w:r>
        <w:rPr>
          <w:color w:val="231F20"/>
          <w:w w:val="105"/>
        </w:rPr>
        <w:t>subtracting</w:t>
      </w:r>
      <w:r>
        <w:rPr>
          <w:color w:val="231F20"/>
          <w:spacing w:val="-26"/>
          <w:w w:val="105"/>
        </w:rPr>
        <w:t> </w:t>
      </w:r>
      <w:r>
        <w:rPr>
          <w:color w:val="231F20"/>
          <w:w w:val="105"/>
        </w:rPr>
        <w:t>the</w:t>
      </w:r>
      <w:r>
        <w:rPr>
          <w:color w:val="231F20"/>
          <w:spacing w:val="-25"/>
          <w:w w:val="105"/>
        </w:rPr>
        <w:t> </w:t>
      </w:r>
      <w:r>
        <w:rPr>
          <w:color w:val="231F20"/>
          <w:w w:val="105"/>
        </w:rPr>
        <w:t>net</w:t>
      </w:r>
      <w:r>
        <w:rPr>
          <w:color w:val="231F20"/>
          <w:spacing w:val="-26"/>
          <w:w w:val="105"/>
        </w:rPr>
        <w:t> </w:t>
      </w:r>
      <w:r>
        <w:rPr>
          <w:color w:val="231F20"/>
          <w:w w:val="105"/>
        </w:rPr>
        <w:t>hydrostatic</w:t>
      </w:r>
      <w:r>
        <w:rPr>
          <w:color w:val="231F20"/>
          <w:spacing w:val="-26"/>
          <w:w w:val="105"/>
        </w:rPr>
        <w:t> </w:t>
      </w:r>
      <w:r>
        <w:rPr>
          <w:color w:val="231F20"/>
          <w:w w:val="105"/>
        </w:rPr>
        <w:t>forces that</w:t>
      </w:r>
      <w:r>
        <w:rPr>
          <w:color w:val="231F20"/>
          <w:spacing w:val="-13"/>
          <w:w w:val="105"/>
        </w:rPr>
        <w:t> </w:t>
      </w:r>
      <w:r>
        <w:rPr>
          <w:color w:val="231F20"/>
          <w:w w:val="105"/>
        </w:rPr>
        <w:t>oppose</w:t>
      </w:r>
      <w:r>
        <w:rPr>
          <w:color w:val="231F20"/>
          <w:spacing w:val="-13"/>
          <w:w w:val="105"/>
        </w:rPr>
        <w:t> </w:t>
      </w:r>
      <w:r>
        <w:rPr>
          <w:color w:val="231F20"/>
          <w:w w:val="105"/>
        </w:rPr>
        <w:t>reabsorption</w:t>
      </w:r>
      <w:r>
        <w:rPr>
          <w:color w:val="231F20"/>
          <w:spacing w:val="-13"/>
          <w:w w:val="105"/>
        </w:rPr>
        <w:t> </w:t>
      </w:r>
      <w:r>
        <w:rPr>
          <w:color w:val="231F20"/>
          <w:w w:val="105"/>
        </w:rPr>
        <w:t>(7</w:t>
      </w:r>
      <w:r>
        <w:rPr>
          <w:color w:val="231F20"/>
          <w:spacing w:val="-1"/>
          <w:w w:val="105"/>
        </w:rPr>
        <w:t> </w:t>
      </w:r>
      <w:r>
        <w:rPr>
          <w:color w:val="231F20"/>
          <w:w w:val="105"/>
        </w:rPr>
        <w:t>mm</w:t>
      </w:r>
      <w:r>
        <w:rPr>
          <w:color w:val="231F20"/>
          <w:spacing w:val="-3"/>
          <w:w w:val="105"/>
        </w:rPr>
        <w:t> </w:t>
      </w:r>
      <w:r>
        <w:rPr>
          <w:color w:val="231F20"/>
          <w:w w:val="105"/>
        </w:rPr>
        <w:t>Hg)</w:t>
      </w:r>
      <w:r>
        <w:rPr>
          <w:color w:val="231F20"/>
          <w:spacing w:val="-13"/>
          <w:w w:val="105"/>
        </w:rPr>
        <w:t> </w:t>
      </w:r>
      <w:r>
        <w:rPr>
          <w:color w:val="231F20"/>
          <w:w w:val="105"/>
        </w:rPr>
        <w:t>from</w:t>
      </w:r>
      <w:r>
        <w:rPr>
          <w:color w:val="231F20"/>
          <w:spacing w:val="-12"/>
          <w:w w:val="105"/>
        </w:rPr>
        <w:t> </w:t>
      </w:r>
      <w:r>
        <w:rPr>
          <w:color w:val="231F20"/>
          <w:w w:val="105"/>
        </w:rPr>
        <w:t>the</w:t>
      </w:r>
      <w:r>
        <w:rPr>
          <w:color w:val="231F20"/>
          <w:spacing w:val="-13"/>
          <w:w w:val="105"/>
        </w:rPr>
        <w:t> </w:t>
      </w:r>
      <w:r>
        <w:rPr>
          <w:color w:val="231F20"/>
          <w:w w:val="105"/>
        </w:rPr>
        <w:t>net</w:t>
      </w:r>
      <w:r>
        <w:rPr>
          <w:color w:val="231F20"/>
          <w:spacing w:val="-13"/>
          <w:w w:val="105"/>
        </w:rPr>
        <w:t> </w:t>
      </w:r>
      <w:r>
        <w:rPr>
          <w:color w:val="231F20"/>
          <w:w w:val="105"/>
        </w:rPr>
        <w:t>colloid osmotic</w:t>
      </w:r>
      <w:r>
        <w:rPr>
          <w:color w:val="231F20"/>
          <w:spacing w:val="-15"/>
          <w:w w:val="105"/>
        </w:rPr>
        <w:t> </w:t>
      </w:r>
      <w:r>
        <w:rPr>
          <w:color w:val="231F20"/>
          <w:w w:val="105"/>
        </w:rPr>
        <w:t>forces</w:t>
      </w:r>
      <w:r>
        <w:rPr>
          <w:color w:val="231F20"/>
          <w:spacing w:val="-14"/>
          <w:w w:val="105"/>
        </w:rPr>
        <w:t> </w:t>
      </w:r>
      <w:r>
        <w:rPr>
          <w:color w:val="231F20"/>
          <w:w w:val="105"/>
        </w:rPr>
        <w:t>that</w:t>
      </w:r>
      <w:r>
        <w:rPr>
          <w:color w:val="231F20"/>
          <w:spacing w:val="-15"/>
          <w:w w:val="105"/>
        </w:rPr>
        <w:t> </w:t>
      </w:r>
      <w:r>
        <w:rPr>
          <w:color w:val="231F20"/>
          <w:w w:val="105"/>
        </w:rPr>
        <w:t>favor</w:t>
      </w:r>
      <w:r>
        <w:rPr>
          <w:color w:val="231F20"/>
          <w:spacing w:val="-14"/>
          <w:w w:val="105"/>
        </w:rPr>
        <w:t> </w:t>
      </w:r>
      <w:r>
        <w:rPr>
          <w:color w:val="231F20"/>
          <w:w w:val="105"/>
        </w:rPr>
        <w:t>reabsorption</w:t>
      </w:r>
      <w:r>
        <w:rPr>
          <w:color w:val="231F20"/>
          <w:spacing w:val="-14"/>
          <w:w w:val="105"/>
        </w:rPr>
        <w:t> </w:t>
      </w:r>
      <w:r>
        <w:rPr>
          <w:color w:val="231F20"/>
          <w:w w:val="105"/>
        </w:rPr>
        <w:t>(17</w:t>
      </w:r>
      <w:r>
        <w:rPr>
          <w:color w:val="231F20"/>
          <w:spacing w:val="-11"/>
          <w:w w:val="105"/>
        </w:rPr>
        <w:t> </w:t>
      </w:r>
      <w:r>
        <w:rPr>
          <w:color w:val="231F20"/>
          <w:w w:val="105"/>
        </w:rPr>
        <w:t>mm</w:t>
      </w:r>
      <w:r>
        <w:rPr>
          <w:color w:val="231F20"/>
          <w:spacing w:val="-12"/>
          <w:w w:val="105"/>
        </w:rPr>
        <w:t> </w:t>
      </w:r>
      <w:r>
        <w:rPr>
          <w:color w:val="231F20"/>
          <w:w w:val="105"/>
        </w:rPr>
        <w:t>Hg)</w:t>
      </w:r>
      <w:r>
        <w:rPr>
          <w:color w:val="231F20"/>
          <w:spacing w:val="-14"/>
          <w:w w:val="105"/>
        </w:rPr>
        <w:t> </w:t>
      </w:r>
      <w:r>
        <w:rPr>
          <w:color w:val="231F20"/>
          <w:w w:val="105"/>
        </w:rPr>
        <w:t>gives a net reabsorptive force of about 10 mm Hg. This value is</w:t>
      </w:r>
      <w:r>
        <w:rPr>
          <w:color w:val="231F20"/>
          <w:spacing w:val="-20"/>
          <w:w w:val="105"/>
        </w:rPr>
        <w:t> </w:t>
      </w:r>
      <w:r>
        <w:rPr>
          <w:color w:val="231F20"/>
          <w:w w:val="105"/>
        </w:rPr>
        <w:t>high,</w:t>
      </w:r>
      <w:r>
        <w:rPr>
          <w:color w:val="231F20"/>
          <w:spacing w:val="-20"/>
          <w:w w:val="105"/>
        </w:rPr>
        <w:t> </w:t>
      </w:r>
      <w:r>
        <w:rPr>
          <w:color w:val="231F20"/>
          <w:w w:val="105"/>
        </w:rPr>
        <w:t>similar</w:t>
      </w:r>
      <w:r>
        <w:rPr>
          <w:color w:val="231F20"/>
          <w:spacing w:val="-20"/>
          <w:w w:val="105"/>
        </w:rPr>
        <w:t> </w:t>
      </w:r>
      <w:r>
        <w:rPr>
          <w:color w:val="231F20"/>
          <w:w w:val="105"/>
        </w:rPr>
        <w:t>to</w:t>
      </w:r>
      <w:r>
        <w:rPr>
          <w:color w:val="231F20"/>
          <w:spacing w:val="-19"/>
          <w:w w:val="105"/>
        </w:rPr>
        <w:t> </w:t>
      </w:r>
      <w:r>
        <w:rPr>
          <w:color w:val="231F20"/>
          <w:w w:val="105"/>
        </w:rPr>
        <w:t>that</w:t>
      </w:r>
      <w:r>
        <w:rPr>
          <w:color w:val="231F20"/>
          <w:spacing w:val="-20"/>
          <w:w w:val="105"/>
        </w:rPr>
        <w:t> </w:t>
      </w:r>
      <w:r>
        <w:rPr>
          <w:color w:val="231F20"/>
          <w:w w:val="105"/>
        </w:rPr>
        <w:t>found</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glomerular</w:t>
      </w:r>
      <w:r>
        <w:rPr>
          <w:color w:val="231F20"/>
          <w:spacing w:val="-20"/>
          <w:w w:val="105"/>
        </w:rPr>
        <w:t> </w:t>
      </w:r>
      <w:r>
        <w:rPr>
          <w:color w:val="231F20"/>
          <w:w w:val="105"/>
        </w:rPr>
        <w:t>capillaries, but in the opposite</w:t>
      </w:r>
      <w:r>
        <w:rPr>
          <w:color w:val="231F20"/>
          <w:spacing w:val="12"/>
          <w:w w:val="105"/>
        </w:rPr>
        <w:t> </w:t>
      </w:r>
      <w:r>
        <w:rPr>
          <w:color w:val="231F20"/>
          <w:w w:val="105"/>
        </w:rPr>
        <w:t>direction.</w:t>
      </w:r>
    </w:p>
    <w:p>
      <w:pPr>
        <w:pStyle w:val="BodyText"/>
        <w:spacing w:line="249" w:lineRule="auto" w:before="8"/>
        <w:ind w:left="319" w:right="1437" w:firstLine="240"/>
        <w:jc w:val="both"/>
      </w:pPr>
      <w:r>
        <w:rPr>
          <w:color w:val="231F20"/>
        </w:rPr>
        <w:t>The other  factor  that  contributes  to  the  high  rate  of  fluid  reabsorption  in  the  peritubular  capillaries  is   a large filtration coefficient </w:t>
      </w:r>
      <w:r>
        <w:rPr>
          <w:color w:val="231F20"/>
          <w:spacing w:val="3"/>
        </w:rPr>
        <w:t>(K</w:t>
      </w:r>
      <w:r>
        <w:rPr>
          <w:color w:val="231F20"/>
          <w:spacing w:val="3"/>
          <w:vertAlign w:val="subscript"/>
        </w:rPr>
        <w:t>f</w:t>
      </w:r>
      <w:r>
        <w:rPr>
          <w:color w:val="231F20"/>
          <w:spacing w:val="3"/>
          <w:vertAlign w:val="baseline"/>
        </w:rPr>
        <w:t>) </w:t>
      </w:r>
      <w:r>
        <w:rPr>
          <w:color w:val="231F20"/>
          <w:vertAlign w:val="baseline"/>
        </w:rPr>
        <w:t>because of the </w:t>
      </w:r>
      <w:r>
        <w:rPr>
          <w:color w:val="231F20"/>
          <w:spacing w:val="-4"/>
          <w:vertAlign w:val="baseline"/>
        </w:rPr>
        <w:t>high </w:t>
      </w:r>
      <w:r>
        <w:rPr>
          <w:color w:val="231F20"/>
          <w:vertAlign w:val="baseline"/>
        </w:rPr>
        <w:t>hydraulic conductivity and large surface area of the capil- laries. Because the reabsorption rate is normally about 124 ml/min and net reabsorption pressure is 10 mm </w:t>
      </w:r>
      <w:r>
        <w:rPr>
          <w:color w:val="231F20"/>
          <w:spacing w:val="-3"/>
          <w:vertAlign w:val="baseline"/>
        </w:rPr>
        <w:t>Hg,  </w:t>
      </w:r>
      <w:r>
        <w:rPr>
          <w:color w:val="231F20"/>
          <w:vertAlign w:val="baseline"/>
        </w:rPr>
        <w:t>K</w:t>
      </w:r>
      <w:r>
        <w:rPr>
          <w:color w:val="231F20"/>
          <w:vertAlign w:val="subscript"/>
        </w:rPr>
        <w:t>f</w:t>
      </w:r>
      <w:r>
        <w:rPr>
          <w:color w:val="231F20"/>
          <w:vertAlign w:val="baseline"/>
        </w:rPr>
        <w:t> normally is about 12.4 ml/min/mm</w:t>
      </w:r>
      <w:r>
        <w:rPr>
          <w:color w:val="231F20"/>
          <w:spacing w:val="6"/>
          <w:vertAlign w:val="baseline"/>
        </w:rPr>
        <w:t> </w:t>
      </w:r>
      <w:r>
        <w:rPr>
          <w:color w:val="231F20"/>
          <w:vertAlign w:val="baseline"/>
        </w:rPr>
        <w:t>Hg.</w:t>
      </w:r>
    </w:p>
    <w:p>
      <w:pPr>
        <w:pStyle w:val="BodyText"/>
        <w:spacing w:before="1"/>
        <w:rPr>
          <w:sz w:val="22"/>
        </w:rPr>
      </w:pPr>
    </w:p>
    <w:p>
      <w:pPr>
        <w:pStyle w:val="BodyText"/>
        <w:spacing w:line="249" w:lineRule="auto"/>
        <w:ind w:left="319" w:right="1437"/>
        <w:jc w:val="both"/>
      </w:pPr>
      <w:r>
        <w:rPr>
          <w:rFonts w:ascii="Trebuchet MS"/>
          <w:b/>
          <w:color w:val="231F20"/>
          <w:w w:val="105"/>
          <w:sz w:val="19"/>
        </w:rPr>
        <w:t>Regulation</w:t>
      </w:r>
      <w:r>
        <w:rPr>
          <w:rFonts w:ascii="Trebuchet MS"/>
          <w:b/>
          <w:color w:val="231F20"/>
          <w:spacing w:val="-21"/>
          <w:w w:val="105"/>
          <w:sz w:val="19"/>
        </w:rPr>
        <w:t> </w:t>
      </w:r>
      <w:r>
        <w:rPr>
          <w:rFonts w:ascii="Trebuchet MS"/>
          <w:b/>
          <w:color w:val="231F20"/>
          <w:w w:val="105"/>
          <w:sz w:val="19"/>
        </w:rPr>
        <w:t>of</w:t>
      </w:r>
      <w:r>
        <w:rPr>
          <w:rFonts w:ascii="Trebuchet MS"/>
          <w:b/>
          <w:color w:val="231F20"/>
          <w:spacing w:val="-21"/>
          <w:w w:val="105"/>
          <w:sz w:val="19"/>
        </w:rPr>
        <w:t> </w:t>
      </w:r>
      <w:r>
        <w:rPr>
          <w:rFonts w:ascii="Trebuchet MS"/>
          <w:b/>
          <w:color w:val="231F20"/>
          <w:w w:val="105"/>
          <w:sz w:val="19"/>
        </w:rPr>
        <w:t>Peritubular</w:t>
      </w:r>
      <w:r>
        <w:rPr>
          <w:rFonts w:ascii="Trebuchet MS"/>
          <w:b/>
          <w:color w:val="231F20"/>
          <w:spacing w:val="-21"/>
          <w:w w:val="105"/>
          <w:sz w:val="19"/>
        </w:rPr>
        <w:t> </w:t>
      </w:r>
      <w:r>
        <w:rPr>
          <w:rFonts w:ascii="Trebuchet MS"/>
          <w:b/>
          <w:color w:val="231F20"/>
          <w:w w:val="105"/>
          <w:sz w:val="19"/>
        </w:rPr>
        <w:t>Capillary</w:t>
      </w:r>
      <w:r>
        <w:rPr>
          <w:rFonts w:ascii="Trebuchet MS"/>
          <w:b/>
          <w:color w:val="231F20"/>
          <w:spacing w:val="-20"/>
          <w:w w:val="105"/>
          <w:sz w:val="19"/>
        </w:rPr>
        <w:t> </w:t>
      </w:r>
      <w:r>
        <w:rPr>
          <w:rFonts w:ascii="Trebuchet MS"/>
          <w:b/>
          <w:color w:val="231F20"/>
          <w:w w:val="105"/>
          <w:sz w:val="19"/>
        </w:rPr>
        <w:t>Physical</w:t>
      </w:r>
      <w:r>
        <w:rPr>
          <w:rFonts w:ascii="Trebuchet MS"/>
          <w:b/>
          <w:color w:val="231F20"/>
          <w:spacing w:val="-21"/>
          <w:w w:val="105"/>
          <w:sz w:val="19"/>
        </w:rPr>
        <w:t> </w:t>
      </w:r>
      <w:r>
        <w:rPr>
          <w:rFonts w:ascii="Trebuchet MS"/>
          <w:b/>
          <w:color w:val="231F20"/>
          <w:spacing w:val="-3"/>
          <w:w w:val="105"/>
          <w:sz w:val="19"/>
        </w:rPr>
        <w:t>Forces. </w:t>
      </w:r>
      <w:r>
        <w:rPr>
          <w:color w:val="231F20"/>
          <w:w w:val="105"/>
        </w:rPr>
        <w:t>The two determinants of peritubular capillary reabsorp- tion that are directly influenced by renal hemodynamic changes</w:t>
      </w:r>
      <w:r>
        <w:rPr>
          <w:color w:val="231F20"/>
          <w:spacing w:val="-22"/>
          <w:w w:val="105"/>
        </w:rPr>
        <w:t> </w:t>
      </w:r>
      <w:r>
        <w:rPr>
          <w:color w:val="231F20"/>
          <w:w w:val="105"/>
        </w:rPr>
        <w:t>are</w:t>
      </w:r>
      <w:r>
        <w:rPr>
          <w:color w:val="231F20"/>
          <w:spacing w:val="-21"/>
          <w:w w:val="105"/>
        </w:rPr>
        <w:t> </w:t>
      </w:r>
      <w:r>
        <w:rPr>
          <w:color w:val="231F20"/>
          <w:w w:val="105"/>
        </w:rPr>
        <w:t>the</w:t>
      </w:r>
      <w:r>
        <w:rPr>
          <w:color w:val="231F20"/>
          <w:spacing w:val="-21"/>
          <w:w w:val="105"/>
        </w:rPr>
        <w:t> </w:t>
      </w:r>
      <w:r>
        <w:rPr>
          <w:color w:val="231F20"/>
          <w:w w:val="105"/>
        </w:rPr>
        <w:t>hydrostatic</w:t>
      </w:r>
      <w:r>
        <w:rPr>
          <w:color w:val="231F20"/>
          <w:spacing w:val="-21"/>
          <w:w w:val="105"/>
        </w:rPr>
        <w:t> </w:t>
      </w:r>
      <w:r>
        <w:rPr>
          <w:color w:val="231F20"/>
          <w:w w:val="105"/>
        </w:rPr>
        <w:t>and</w:t>
      </w:r>
      <w:r>
        <w:rPr>
          <w:color w:val="231F20"/>
          <w:spacing w:val="-21"/>
          <w:w w:val="105"/>
        </w:rPr>
        <w:t> </w:t>
      </w:r>
      <w:r>
        <w:rPr>
          <w:color w:val="231F20"/>
          <w:w w:val="105"/>
        </w:rPr>
        <w:t>colloid</w:t>
      </w:r>
      <w:r>
        <w:rPr>
          <w:color w:val="231F20"/>
          <w:spacing w:val="-21"/>
          <w:w w:val="105"/>
        </w:rPr>
        <w:t> </w:t>
      </w:r>
      <w:r>
        <w:rPr>
          <w:color w:val="231F20"/>
          <w:w w:val="105"/>
        </w:rPr>
        <w:t>osmotic</w:t>
      </w:r>
      <w:r>
        <w:rPr>
          <w:color w:val="231F20"/>
          <w:spacing w:val="-21"/>
          <w:w w:val="105"/>
        </w:rPr>
        <w:t> </w:t>
      </w:r>
      <w:r>
        <w:rPr>
          <w:color w:val="231F20"/>
          <w:w w:val="105"/>
        </w:rPr>
        <w:t>pressures of the peritubular capillaries. The </w:t>
      </w:r>
      <w:r>
        <w:rPr>
          <w:i/>
          <w:color w:val="231F20"/>
          <w:w w:val="105"/>
        </w:rPr>
        <w:t>peritubular capillary </w:t>
      </w:r>
      <w:r>
        <w:rPr>
          <w:i/>
          <w:color w:val="231F20"/>
          <w:w w:val="105"/>
        </w:rPr>
        <w:t>hydrostatic</w:t>
      </w:r>
      <w:r>
        <w:rPr>
          <w:i/>
          <w:color w:val="231F20"/>
          <w:spacing w:val="-31"/>
          <w:w w:val="105"/>
        </w:rPr>
        <w:t> </w:t>
      </w:r>
      <w:r>
        <w:rPr>
          <w:i/>
          <w:color w:val="231F20"/>
          <w:w w:val="105"/>
        </w:rPr>
        <w:t>pressure</w:t>
      </w:r>
      <w:r>
        <w:rPr>
          <w:i/>
          <w:color w:val="231F20"/>
          <w:spacing w:val="-31"/>
          <w:w w:val="105"/>
        </w:rPr>
        <w:t> </w:t>
      </w:r>
      <w:r>
        <w:rPr>
          <w:color w:val="231F20"/>
          <w:w w:val="105"/>
        </w:rPr>
        <w:t>is</w:t>
      </w:r>
      <w:r>
        <w:rPr>
          <w:color w:val="231F20"/>
          <w:spacing w:val="-31"/>
          <w:w w:val="105"/>
        </w:rPr>
        <w:t> </w:t>
      </w:r>
      <w:r>
        <w:rPr>
          <w:color w:val="231F20"/>
          <w:w w:val="105"/>
        </w:rPr>
        <w:t>influenced</w:t>
      </w:r>
      <w:r>
        <w:rPr>
          <w:color w:val="231F20"/>
          <w:spacing w:val="-31"/>
          <w:w w:val="105"/>
        </w:rPr>
        <w:t> </w:t>
      </w:r>
      <w:r>
        <w:rPr>
          <w:color w:val="231F20"/>
          <w:w w:val="105"/>
        </w:rPr>
        <w:t>by</w:t>
      </w:r>
      <w:r>
        <w:rPr>
          <w:color w:val="231F20"/>
          <w:spacing w:val="-31"/>
          <w:w w:val="105"/>
        </w:rPr>
        <w:t> </w:t>
      </w:r>
      <w:r>
        <w:rPr>
          <w:color w:val="231F20"/>
          <w:w w:val="105"/>
        </w:rPr>
        <w:t>the</w:t>
      </w:r>
      <w:r>
        <w:rPr>
          <w:color w:val="231F20"/>
          <w:spacing w:val="-30"/>
          <w:w w:val="105"/>
        </w:rPr>
        <w:t> </w:t>
      </w:r>
      <w:r>
        <w:rPr>
          <w:i/>
          <w:color w:val="231F20"/>
          <w:w w:val="105"/>
        </w:rPr>
        <w:t>arterial</w:t>
      </w:r>
      <w:r>
        <w:rPr>
          <w:i/>
          <w:color w:val="231F20"/>
          <w:spacing w:val="-31"/>
          <w:w w:val="105"/>
        </w:rPr>
        <w:t> </w:t>
      </w:r>
      <w:r>
        <w:rPr>
          <w:i/>
          <w:color w:val="231F20"/>
          <w:w w:val="105"/>
        </w:rPr>
        <w:t>pressure </w:t>
      </w:r>
      <w:r>
        <w:rPr>
          <w:color w:val="231F20"/>
          <w:w w:val="105"/>
        </w:rPr>
        <w:t>and </w:t>
      </w:r>
      <w:r>
        <w:rPr>
          <w:i/>
          <w:color w:val="231F20"/>
          <w:w w:val="105"/>
        </w:rPr>
        <w:t>resistances of the afferent and efferent arterioles </w:t>
      </w:r>
      <w:r>
        <w:rPr>
          <w:color w:val="231F20"/>
          <w:spacing w:val="-5"/>
          <w:w w:val="105"/>
        </w:rPr>
        <w:t>as </w:t>
      </w:r>
      <w:r>
        <w:rPr>
          <w:color w:val="231F20"/>
          <w:w w:val="105"/>
        </w:rPr>
        <w:t>follows. (1) Increases in arterial pressure tend to raise peritubular capillary hydrostatic pressure and decrease the reabsorption rate. This effect is buffered to some extent</w:t>
      </w:r>
      <w:r>
        <w:rPr>
          <w:color w:val="231F20"/>
          <w:spacing w:val="-11"/>
          <w:w w:val="105"/>
        </w:rPr>
        <w:t> </w:t>
      </w:r>
      <w:r>
        <w:rPr>
          <w:color w:val="231F20"/>
          <w:w w:val="105"/>
        </w:rPr>
        <w:t>by</w:t>
      </w:r>
      <w:r>
        <w:rPr>
          <w:color w:val="231F20"/>
          <w:spacing w:val="-10"/>
          <w:w w:val="105"/>
        </w:rPr>
        <w:t> </w:t>
      </w:r>
      <w:r>
        <w:rPr>
          <w:color w:val="231F20"/>
          <w:w w:val="105"/>
        </w:rPr>
        <w:t>autoregulatory</w:t>
      </w:r>
      <w:r>
        <w:rPr>
          <w:color w:val="231F20"/>
          <w:spacing w:val="-10"/>
          <w:w w:val="105"/>
        </w:rPr>
        <w:t> </w:t>
      </w:r>
      <w:r>
        <w:rPr>
          <w:color w:val="231F20"/>
          <w:w w:val="105"/>
        </w:rPr>
        <w:t>mechanisms</w:t>
      </w:r>
      <w:r>
        <w:rPr>
          <w:color w:val="231F20"/>
          <w:spacing w:val="-10"/>
          <w:w w:val="105"/>
        </w:rPr>
        <w:t> </w:t>
      </w:r>
      <w:r>
        <w:rPr>
          <w:color w:val="231F20"/>
          <w:w w:val="105"/>
        </w:rPr>
        <w:t>that</w:t>
      </w:r>
      <w:r>
        <w:rPr>
          <w:color w:val="231F20"/>
          <w:spacing w:val="-10"/>
          <w:w w:val="105"/>
        </w:rPr>
        <w:t> </w:t>
      </w:r>
      <w:r>
        <w:rPr>
          <w:color w:val="231F20"/>
          <w:w w:val="105"/>
        </w:rPr>
        <w:t>maintain</w:t>
      </w:r>
      <w:r>
        <w:rPr>
          <w:color w:val="231F20"/>
          <w:spacing w:val="-10"/>
          <w:w w:val="105"/>
        </w:rPr>
        <w:t> </w:t>
      </w:r>
      <w:r>
        <w:rPr>
          <w:color w:val="231F20"/>
          <w:w w:val="105"/>
        </w:rPr>
        <w:t>rela- tively</w:t>
      </w:r>
      <w:r>
        <w:rPr>
          <w:color w:val="231F20"/>
          <w:spacing w:val="-18"/>
          <w:w w:val="105"/>
        </w:rPr>
        <w:t> </w:t>
      </w:r>
      <w:r>
        <w:rPr>
          <w:color w:val="231F20"/>
          <w:w w:val="105"/>
        </w:rPr>
        <w:t>constant</w:t>
      </w:r>
      <w:r>
        <w:rPr>
          <w:color w:val="231F20"/>
          <w:spacing w:val="-18"/>
          <w:w w:val="105"/>
        </w:rPr>
        <w:t> </w:t>
      </w:r>
      <w:r>
        <w:rPr>
          <w:color w:val="231F20"/>
          <w:w w:val="105"/>
        </w:rPr>
        <w:t>renal</w:t>
      </w:r>
      <w:r>
        <w:rPr>
          <w:color w:val="231F20"/>
          <w:spacing w:val="-18"/>
          <w:w w:val="105"/>
        </w:rPr>
        <w:t> </w:t>
      </w:r>
      <w:r>
        <w:rPr>
          <w:color w:val="231F20"/>
          <w:w w:val="105"/>
        </w:rPr>
        <w:t>blood</w:t>
      </w:r>
      <w:r>
        <w:rPr>
          <w:color w:val="231F20"/>
          <w:spacing w:val="-18"/>
          <w:w w:val="105"/>
        </w:rPr>
        <w:t> </w:t>
      </w:r>
      <w:r>
        <w:rPr>
          <w:color w:val="231F20"/>
          <w:spacing w:val="-3"/>
          <w:w w:val="105"/>
        </w:rPr>
        <w:t>flow,</w:t>
      </w:r>
      <w:r>
        <w:rPr>
          <w:color w:val="231F20"/>
          <w:spacing w:val="-18"/>
          <w:w w:val="105"/>
        </w:rPr>
        <w:t> </w:t>
      </w:r>
      <w:r>
        <w:rPr>
          <w:color w:val="231F20"/>
          <w:w w:val="105"/>
        </w:rPr>
        <w:t>as</w:t>
      </w:r>
      <w:r>
        <w:rPr>
          <w:color w:val="231F20"/>
          <w:spacing w:val="-18"/>
          <w:w w:val="105"/>
        </w:rPr>
        <w:t> </w:t>
      </w:r>
      <w:r>
        <w:rPr>
          <w:color w:val="231F20"/>
          <w:w w:val="105"/>
        </w:rPr>
        <w:t>well</w:t>
      </w:r>
      <w:r>
        <w:rPr>
          <w:color w:val="231F20"/>
          <w:spacing w:val="-18"/>
          <w:w w:val="105"/>
        </w:rPr>
        <w:t> </w:t>
      </w:r>
      <w:r>
        <w:rPr>
          <w:color w:val="231F20"/>
          <w:w w:val="105"/>
        </w:rPr>
        <w:t>as</w:t>
      </w:r>
      <w:r>
        <w:rPr>
          <w:color w:val="231F20"/>
          <w:spacing w:val="-18"/>
          <w:w w:val="105"/>
        </w:rPr>
        <w:t> </w:t>
      </w:r>
      <w:r>
        <w:rPr>
          <w:color w:val="231F20"/>
          <w:w w:val="105"/>
        </w:rPr>
        <w:t>relatively</w:t>
      </w:r>
      <w:r>
        <w:rPr>
          <w:color w:val="231F20"/>
          <w:spacing w:val="-18"/>
          <w:w w:val="105"/>
        </w:rPr>
        <w:t> </w:t>
      </w:r>
      <w:r>
        <w:rPr>
          <w:color w:val="231F20"/>
          <w:spacing w:val="-4"/>
          <w:w w:val="105"/>
        </w:rPr>
        <w:t>con- </w:t>
      </w:r>
      <w:r>
        <w:rPr>
          <w:color w:val="231F20"/>
          <w:w w:val="105"/>
        </w:rPr>
        <w:t>stant</w:t>
      </w:r>
      <w:r>
        <w:rPr>
          <w:color w:val="231F20"/>
          <w:spacing w:val="-8"/>
          <w:w w:val="105"/>
        </w:rPr>
        <w:t> </w:t>
      </w:r>
      <w:r>
        <w:rPr>
          <w:color w:val="231F20"/>
          <w:w w:val="105"/>
        </w:rPr>
        <w:t>hydrostatic</w:t>
      </w:r>
      <w:r>
        <w:rPr>
          <w:color w:val="231F20"/>
          <w:spacing w:val="-8"/>
          <w:w w:val="105"/>
        </w:rPr>
        <w:t> </w:t>
      </w:r>
      <w:r>
        <w:rPr>
          <w:color w:val="231F20"/>
          <w:w w:val="105"/>
        </w:rPr>
        <w:t>pressures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7"/>
          <w:w w:val="105"/>
        </w:rPr>
        <w:t> </w:t>
      </w:r>
      <w:r>
        <w:rPr>
          <w:color w:val="231F20"/>
          <w:w w:val="105"/>
        </w:rPr>
        <w:t>renal</w:t>
      </w:r>
      <w:r>
        <w:rPr>
          <w:color w:val="231F20"/>
          <w:spacing w:val="-8"/>
          <w:w w:val="105"/>
        </w:rPr>
        <w:t> </w:t>
      </w:r>
      <w:r>
        <w:rPr>
          <w:color w:val="231F20"/>
          <w:w w:val="105"/>
        </w:rPr>
        <w:t>blood</w:t>
      </w:r>
      <w:r>
        <w:rPr>
          <w:color w:val="231F20"/>
          <w:spacing w:val="-8"/>
          <w:w w:val="105"/>
        </w:rPr>
        <w:t> </w:t>
      </w:r>
      <w:r>
        <w:rPr>
          <w:color w:val="231F20"/>
          <w:w w:val="105"/>
        </w:rPr>
        <w:t>vessels.</w:t>
      </w:r>
      <w:r>
        <w:rPr>
          <w:color w:val="231F20"/>
          <w:spacing w:val="-8"/>
          <w:w w:val="105"/>
        </w:rPr>
        <w:t> </w:t>
      </w:r>
      <w:r>
        <w:rPr>
          <w:color w:val="231F20"/>
          <w:spacing w:val="-4"/>
          <w:w w:val="105"/>
        </w:rPr>
        <w:t>(2) </w:t>
      </w:r>
      <w:r>
        <w:rPr>
          <w:color w:val="231F20"/>
          <w:w w:val="105"/>
        </w:rPr>
        <w:t>An increase in resistance of either the afferent or the efferent arterioles reduces peritubular capillary hydro- static</w:t>
      </w:r>
      <w:r>
        <w:rPr>
          <w:color w:val="231F20"/>
          <w:spacing w:val="20"/>
          <w:w w:val="105"/>
        </w:rPr>
        <w:t> </w:t>
      </w:r>
      <w:r>
        <w:rPr>
          <w:color w:val="231F20"/>
          <w:w w:val="105"/>
        </w:rPr>
        <w:t>pressure</w:t>
      </w:r>
      <w:r>
        <w:rPr>
          <w:color w:val="231F20"/>
          <w:spacing w:val="21"/>
          <w:w w:val="105"/>
        </w:rPr>
        <w:t> </w:t>
      </w:r>
      <w:r>
        <w:rPr>
          <w:color w:val="231F20"/>
          <w:w w:val="105"/>
        </w:rPr>
        <w:t>and</w:t>
      </w:r>
      <w:r>
        <w:rPr>
          <w:color w:val="231F20"/>
          <w:spacing w:val="20"/>
          <w:w w:val="105"/>
        </w:rPr>
        <w:t> </w:t>
      </w:r>
      <w:r>
        <w:rPr>
          <w:color w:val="231F20"/>
          <w:w w:val="105"/>
        </w:rPr>
        <w:t>tends</w:t>
      </w:r>
      <w:r>
        <w:rPr>
          <w:color w:val="231F20"/>
          <w:spacing w:val="21"/>
          <w:w w:val="105"/>
        </w:rPr>
        <w:t> </w:t>
      </w:r>
      <w:r>
        <w:rPr>
          <w:color w:val="231F20"/>
          <w:w w:val="105"/>
        </w:rPr>
        <w:t>to</w:t>
      </w:r>
      <w:r>
        <w:rPr>
          <w:color w:val="231F20"/>
          <w:spacing w:val="21"/>
          <w:w w:val="105"/>
        </w:rPr>
        <w:t> </w:t>
      </w:r>
      <w:r>
        <w:rPr>
          <w:color w:val="231F20"/>
          <w:w w:val="105"/>
        </w:rPr>
        <w:t>increase</w:t>
      </w:r>
      <w:r>
        <w:rPr>
          <w:color w:val="231F20"/>
          <w:spacing w:val="20"/>
          <w:w w:val="105"/>
        </w:rPr>
        <w:t> </w:t>
      </w:r>
      <w:r>
        <w:rPr>
          <w:color w:val="231F20"/>
          <w:w w:val="105"/>
        </w:rPr>
        <w:t>reabsorption</w:t>
      </w:r>
      <w:r>
        <w:rPr>
          <w:color w:val="231F20"/>
          <w:spacing w:val="21"/>
          <w:w w:val="105"/>
        </w:rPr>
        <w:t> </w:t>
      </w:r>
      <w:r>
        <w:rPr>
          <w:color w:val="231F20"/>
          <w:w w:val="105"/>
        </w:rPr>
        <w:t>rate.</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8"/>
        <w:rPr>
          <w:sz w:val="22"/>
        </w:rPr>
      </w:pPr>
    </w:p>
    <w:p>
      <w:pPr>
        <w:spacing w:after="0"/>
        <w:rPr>
          <w:sz w:val="22"/>
        </w:rPr>
        <w:sectPr>
          <w:headerReference w:type="default" r:id="rId665"/>
          <w:pgSz w:w="12240" w:h="15660"/>
          <w:pgMar w:header="0" w:footer="567" w:top="0" w:bottom="760" w:left="0" w:right="0"/>
        </w:sectPr>
      </w:pPr>
    </w:p>
    <w:p>
      <w:pPr>
        <w:spacing w:line="252" w:lineRule="auto" w:before="100"/>
        <w:ind w:left="1440" w:right="0" w:firstLine="0"/>
        <w:jc w:val="left"/>
        <w:rPr>
          <w:rFonts w:ascii="Trebuchet MS" w:hAnsi="Trebuchet MS"/>
          <w:sz w:val="18"/>
        </w:rPr>
      </w:pPr>
      <w:bookmarkStart w:name="_bookmark56" w:id="57"/>
      <w:bookmarkEnd w:id="57"/>
      <w:r>
        <w:rPr/>
      </w:r>
      <w:r>
        <w:rPr>
          <w:rFonts w:ascii="Trebuchet MS" w:hAnsi="Trebuchet MS"/>
          <w:b/>
          <w:color w:val="231F20"/>
          <w:spacing w:val="-4"/>
          <w:w w:val="105"/>
          <w:sz w:val="18"/>
        </w:rPr>
        <w:t>Table </w:t>
      </w:r>
      <w:r>
        <w:rPr>
          <w:rFonts w:ascii="Trebuchet MS" w:hAnsi="Trebuchet MS"/>
          <w:b/>
          <w:color w:val="231F20"/>
          <w:w w:val="105"/>
          <w:sz w:val="18"/>
        </w:rPr>
        <w:t>28­2 </w:t>
      </w:r>
      <w:r>
        <w:rPr>
          <w:rFonts w:ascii="Trebuchet MS" w:hAnsi="Trebuchet MS"/>
          <w:color w:val="231F20"/>
          <w:w w:val="105"/>
          <w:sz w:val="18"/>
        </w:rPr>
        <w:t>Factors That Can Influence Peritubular Capillary Reabsorption</w:t>
      </w:r>
    </w:p>
    <w:p>
      <w:pPr>
        <w:pStyle w:val="BodyText"/>
        <w:rPr>
          <w:rFonts w:ascii="Trebuchet MS"/>
          <w:sz w:val="18"/>
        </w:rPr>
      </w:pPr>
      <w:r>
        <w:rPr/>
        <w:br w:type="column"/>
      </w:r>
      <w:r>
        <w:rPr>
          <w:rFonts w:ascii="Trebuchet MS"/>
          <w:sz w:val="18"/>
        </w:rPr>
      </w:r>
    </w:p>
    <w:p>
      <w:pPr>
        <w:pStyle w:val="BodyText"/>
        <w:spacing w:before="4"/>
        <w:rPr>
          <w:rFonts w:ascii="Trebuchet MS"/>
          <w:sz w:val="16"/>
        </w:rPr>
      </w:pPr>
    </w:p>
    <w:p>
      <w:pPr>
        <w:spacing w:line="235" w:lineRule="auto" w:before="0"/>
        <w:ind w:left="1069" w:right="-19" w:hanging="94"/>
        <w:jc w:val="left"/>
        <w:rPr>
          <w:rFonts w:ascii="Helvetica"/>
          <w:sz w:val="16"/>
        </w:rPr>
      </w:pPr>
      <w:r>
        <w:rPr/>
        <w:pict>
          <v:group style="position:absolute;margin-left:326.938202pt;margin-top:20.293846pt;width:78.350pt;height:129.5500pt;mso-position-horizontal-relative:page;mso-position-vertical-relative:paragraph;z-index:-273157120" coordorigin="6539,406" coordsize="1567,2591">
            <v:shape style="position:absolute;left:6548;top:531;width:1127;height:2456" type="#_x0000_t75" stroked="false">
              <v:imagedata r:id="rId666" o:title=""/>
            </v:shape>
            <v:shape style="position:absolute;left:6548;top:531;width:1127;height:2456" coordorigin="6549,531" coordsize="1127,2456" path="m7674,2860l7675,2862,7675,2864,7675,2867,7631,2913,7510,2952,7427,2966,7331,2977,7225,2984,7112,2987,6998,2984,6893,2977,6797,2966,6714,2952,6645,2934,6560,2891,6549,2867,6549,2864,6549,2862,6550,2860,6550,531,7674,531,7674,2860xe" filled="false" stroked="true" strokeweight="1pt" strokecolor="#c63231">
              <v:path arrowok="t"/>
              <v:stroke dashstyle="solid"/>
            </v:shape>
            <v:shape style="position:absolute;left:6548;top:413;width:1127;height:240" coordorigin="6549,413" coordsize="1127,240" path="m7112,413l6998,416,6893,423,6797,434,6714,449,6645,466,6560,509,6549,533,6560,558,6645,600,6714,618,6797,633,6893,644,6998,651,7112,653,7225,651,7331,644,7427,633,7510,618,7579,600,7664,558,7675,533,7664,509,7579,466,7510,449,7427,434,7331,423,7225,416,7112,413xe" filled="true" fillcolor="#f1c1bb" stroked="false">
              <v:path arrowok="t"/>
              <v:fill type="solid"/>
            </v:shape>
            <v:shape style="position:absolute;left:6548;top:413;width:1127;height:240" coordorigin="6549,413" coordsize="1127,240" path="m7675,533l7631,580,7510,618,7427,633,7331,644,7225,651,7112,653,6998,651,6893,644,6797,633,6714,618,6645,600,6560,558,6549,533,6560,509,6645,466,6714,449,6797,434,6893,423,6998,416,7112,413,7225,416,7331,423,7427,434,7510,449,7579,466,7664,509,7675,533xe" filled="false" stroked="true" strokeweight=".75pt" strokecolor="#c63231">
              <v:path arrowok="t"/>
              <v:stroke dashstyle="solid"/>
            </v:shape>
            <v:shape style="position:absolute;left:6706;top:468;width:811;height:130" type="#_x0000_t75" stroked="false">
              <v:imagedata r:id="rId667" o:title=""/>
            </v:shape>
            <v:shape style="position:absolute;left:6706;top:468;width:811;height:130" coordorigin="6707,469" coordsize="811,130" path="m7517,533l7462,566,7398,579,7316,589,7220,596,7112,598,7004,596,6908,589,6826,579,6762,566,6707,533,6721,516,6826,488,6908,477,7004,471,7112,469,7220,471,7316,477,7398,488,7462,501,7517,533xe" filled="false" stroked="true" strokeweight=".75pt" strokecolor="#c63231">
              <v:path arrowok="t"/>
              <v:stroke dashstyle="solid"/>
            </v:shape>
            <v:line style="position:absolute" from="7307,845" to="7566,845" stroked="true" strokeweight="1.5pt" strokecolor="#f0535f">
              <v:stroke dashstyle="solid"/>
            </v:line>
            <v:shape style="position:absolute;left:7492;top:788;width:176;height:115" coordorigin="7492,788" coordsize="176,115" path="m7494,788l7492,790,7524,846,7492,902,7494,903,7579,867,7668,846,7579,825,7494,788xe" filled="true" fillcolor="#f0535f" stroked="false">
              <v:path arrowok="t"/>
              <v:fill type="solid"/>
            </v:shape>
            <v:line style="position:absolute" from="7674,1106" to="7459,1106" stroked="true" strokeweight="2pt" strokecolor="#f0535f">
              <v:stroke dashstyle="solid"/>
            </v:line>
            <v:shape style="position:absolute;left:7290;top:1038;width:212;height:137" coordorigin="7290,1038" coordsize="212,137" path="m7499,1038l7397,1082,7290,1107,7397,1132,7499,1175,7501,1174,7463,1107,7501,1040,7499,1038xe" filled="true" fillcolor="#f0535f" stroked="false">
              <v:path arrowok="t"/>
              <v:fill type="solid"/>
            </v:shape>
            <v:line style="position:absolute" from="8105,2224" to="7453,2224" stroked="true" strokeweight="3pt" strokecolor="#f0535f">
              <v:stroke dashstyle="shortdash"/>
            </v:line>
            <v:shape style="position:absolute;left:7259;top:2139;width:264;height:172" type="#_x0000_t75" stroked="false">
              <v:imagedata r:id="rId668" o:title=""/>
            </v:shape>
            <w10:wrap type="none"/>
          </v:group>
        </w:pict>
      </w:r>
      <w:r>
        <w:rPr>
          <w:rFonts w:ascii="Helvetica"/>
          <w:color w:val="231F20"/>
          <w:sz w:val="16"/>
        </w:rPr>
        <w:t>Peritubular</w:t>
      </w:r>
      <w:r>
        <w:rPr>
          <w:rFonts w:ascii="Helvetica"/>
          <w:color w:val="231F20"/>
          <w:w w:val="99"/>
          <w:sz w:val="16"/>
        </w:rPr>
        <w:t> </w:t>
      </w:r>
      <w:r>
        <w:rPr>
          <w:rFonts w:ascii="Helvetica"/>
          <w:color w:val="231F20"/>
          <w:sz w:val="16"/>
        </w:rPr>
        <w:t>capillary</w:t>
      </w:r>
    </w:p>
    <w:p>
      <w:pPr>
        <w:pStyle w:val="BodyText"/>
        <w:rPr>
          <w:rFonts w:ascii="Helvetica"/>
          <w:sz w:val="18"/>
        </w:rPr>
      </w:pPr>
    </w:p>
    <w:p>
      <w:pPr>
        <w:pStyle w:val="BodyText"/>
        <w:spacing w:before="7"/>
        <w:rPr>
          <w:rFonts w:ascii="Helvetica"/>
          <w:sz w:val="14"/>
        </w:rPr>
      </w:pPr>
    </w:p>
    <w:p>
      <w:pPr>
        <w:spacing w:before="0"/>
        <w:ind w:left="1330" w:right="0" w:firstLine="0"/>
        <w:jc w:val="left"/>
        <w:rPr>
          <w:rFonts w:ascii="Helvetica"/>
          <w:sz w:val="12"/>
        </w:rPr>
      </w:pPr>
      <w:r>
        <w:rPr>
          <w:rFonts w:ascii="Helvetica"/>
          <w:color w:val="231F20"/>
          <w:sz w:val="16"/>
        </w:rPr>
        <w:t>P</w:t>
      </w:r>
      <w:r>
        <w:rPr>
          <w:rFonts w:ascii="Helvetica"/>
          <w:color w:val="231F20"/>
          <w:position w:val="-4"/>
          <w:sz w:val="12"/>
        </w:rPr>
        <w:t>c</w:t>
      </w:r>
    </w:p>
    <w:p>
      <w:pPr>
        <w:spacing w:line="99" w:lineRule="exact" w:before="17"/>
        <w:ind w:left="1339" w:right="0" w:firstLine="0"/>
        <w:jc w:val="left"/>
        <w:rPr>
          <w:rFonts w:ascii="Symbol" w:hAnsi="Symbol"/>
          <w:sz w:val="16"/>
        </w:rPr>
      </w:pPr>
      <w:r>
        <w:rPr/>
        <w:pict>
          <v:group style="position:absolute;margin-left:413.387512pt;margin-top:-9.129461pt;width:116.5pt;height:123.6pt;mso-position-horizontal-relative:page;mso-position-vertical-relative:paragraph;z-index:-273158144" coordorigin="8268,-183" coordsize="2330,2472">
            <v:shape style="position:absolute;left:8790;top:-156;width:1438;height:362" coordorigin="8791,-155" coordsize="1438,362" path="m10229,-155l8791,-154,8791,-7,8798,31,8819,62,8850,83,8888,90,9661,90,9679,91,9723,95,9781,108,9840,131,9889,156,9950,181,10015,200,10076,206,10130,197,10177,172,10212,127,10229,57,10229,-155xe" filled="true" fillcolor="#feede3" stroked="false">
              <v:path arrowok="t"/>
              <v:fill type="solid"/>
            </v:shape>
            <v:shape style="position:absolute;left:8790;top:-156;width:1438;height:362" coordorigin="8791,-155" coordsize="1438,362" path="m10229,57l10212,127,10177,172,10130,197,10076,206,10015,200,9950,181,9889,156,9840,131,9781,108,9723,95,9679,91,9661,90,8888,90,8850,83,8819,62,8798,31,8791,-7,8791,-154,10229,-155,10229,57xe" filled="false" stroked="true" strokeweight=".75pt" strokecolor="#e2874a">
              <v:path arrowok="t"/>
              <v:stroke dashstyle="solid"/>
            </v:shape>
            <v:shape style="position:absolute;left:8790;top:254;width:1438;height:1468" coordorigin="8791,254" coordsize="1438,1468" path="m10076,254l10015,260,9950,279,9889,305,9796,353,9762,365,9723,369,9661,370,8888,370,8850,378,8819,398,8798,429,8791,467,8791,1509,8798,1547,8819,1578,8850,1598,8888,1606,9661,1606,9679,1607,9723,1611,9781,1624,9840,1647,9889,1672,9950,1697,10015,1716,10076,1722,10130,1713,10177,1688,10212,1643,10229,1573,10229,404,10212,334,10177,288,10130,263,10076,254xe" filled="true" fillcolor="#feede3" stroked="false">
              <v:path arrowok="t"/>
              <v:fill type="solid"/>
            </v:shape>
            <v:shape style="position:absolute;left:8790;top:254;width:1438;height:1468" coordorigin="8791,254" coordsize="1438,1468" path="m10229,1573l10212,1643,10177,1688,10130,1713,10076,1722,10015,1716,9950,1697,9889,1672,9840,1647,9781,1624,9723,1611,9679,1607,9661,1606,8888,1606,8850,1598,8819,1578,8798,1547,8791,1509,8791,467,8798,429,8819,398,8850,378,8888,370,9661,370,9723,369,9762,365,9796,353,9840,329,9889,305,9950,279,10015,260,10076,254,10130,263,10177,288,10212,334,10229,404,10229,1573xe" filled="false" stroked="true" strokeweight=".75pt" strokecolor="#e2874a">
              <v:path arrowok="t"/>
              <v:stroke dashstyle="solid"/>
            </v:shape>
            <v:line style="position:absolute" from="9005,622" to="8466,622" stroked="true" strokeweight="2pt" strokecolor="#f0535f">
              <v:stroke dashstyle="solid"/>
            </v:line>
            <v:shape style="position:absolute;left:8618;top:607;width:351;height:351" type="#_x0000_t75" stroked="false">
              <v:imagedata r:id="rId669" o:title=""/>
            </v:shape>
            <v:shape style="position:absolute;left:8790;top:1899;width:1438;height:362" coordorigin="8791,1900" coordsize="1438,362" path="m10076,1900l10015,1906,9950,1925,9889,1950,9840,1974,9781,1998,9723,2010,9679,2015,9661,2015,8888,2015,8850,2023,8819,2044,8798,2075,8791,2112,8791,2259,10229,2261,10229,2049,10212,1979,10177,1934,10130,1909,10076,1900xe" filled="true" fillcolor="#feede3" stroked="false">
              <v:path arrowok="t"/>
              <v:fill type="solid"/>
            </v:shape>
            <v:shape style="position:absolute;left:8790;top:1899;width:1438;height:362" coordorigin="8791,1900" coordsize="1438,362" path="m10229,2049l10212,1979,10177,1934,10130,1909,10076,1900,10015,1906,9950,1925,9889,1950,9840,1974,9781,1998,9723,2010,9679,2015,9661,2015,8888,2015,8850,2023,8819,2044,8798,2075,8791,2112,8791,2259,10229,2261,10229,2049xe" filled="false" stroked="true" strokeweight=".75pt" strokecolor="#e2874a">
              <v:path arrowok="t"/>
              <v:stroke dashstyle="solid"/>
            </v:shape>
            <v:shape style="position:absolute;left:10180;top:1759;width:176;height:115" type="#_x0000_t75" stroked="false">
              <v:imagedata r:id="rId670" o:title=""/>
            </v:shape>
            <v:shape style="position:absolute;left:8942;top:1754;width:137;height:212" type="#_x0000_t75" stroked="false">
              <v:imagedata r:id="rId671" o:title=""/>
            </v:shape>
            <v:line style="position:absolute" from="9225,1264" to="8573,1264" stroked="true" strokeweight="3pt" strokecolor="#f0535f">
              <v:stroke dashstyle="shortdash"/>
            </v:line>
            <v:shape style="position:absolute;left:8379;top:1179;width:264;height:172" type="#_x0000_t75" stroked="false">
              <v:imagedata r:id="rId672" o:title=""/>
            </v:shape>
            <v:shape style="position:absolute;left:8267;top:536;width:264;height:172" type="#_x0000_t75" stroked="false">
              <v:imagedata r:id="rId673" o:title=""/>
            </v:shape>
            <v:line style="position:absolute" from="10597,1264" to="9946,1264" stroked="true" strokeweight="3pt" strokecolor="#f0535f">
              <v:stroke dashstyle="shortdash"/>
            </v:line>
            <v:shape style="position:absolute;left:9752;top:1179;width:264;height:172" type="#_x0000_t75" stroked="false">
              <v:imagedata r:id="rId674" o:title=""/>
            </v:shape>
            <v:shape style="position:absolute;left:0;top:13349;width:1535;height:2412" coordorigin="0,13349" coordsize="1535,2412" path="m8751,-153l10286,-153m8751,2259l10286,2259e" filled="false" stroked="true" strokeweight="3pt" strokecolor="#ffffff">
              <v:path arrowok="t"/>
              <v:stroke dashstyle="solid"/>
            </v:shape>
            <v:line style="position:absolute" from="9013,1378" to="9013,1822" stroked="true" strokeweight="2pt" strokecolor="#f0535f">
              <v:stroke dashstyle="solid"/>
            </v:line>
            <v:shape style="position:absolute;left:8999;top:1433;width:351;height:351" type="#_x0000_t75" stroked="false">
              <v:imagedata r:id="rId675" o:title=""/>
            </v:shape>
            <w10:wrap type="none"/>
          </v:group>
        </w:pict>
      </w:r>
      <w:r>
        <w:rPr/>
        <w:pict>
          <v:shape style="position:absolute;margin-left:578.900024pt;margin-top:.11814pt;width:15.9pt;height:53.35pt;mso-position-horizontal-relative:page;mso-position-vertical-relative:paragraph;z-index:25225113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Symbol" w:hAnsi="Symbol"/>
          <w:color w:val="231F20"/>
          <w:w w:val="100"/>
          <w:sz w:val="16"/>
        </w:rPr>
        <w:t></w:t>
      </w:r>
    </w:p>
    <w:p>
      <w:pPr>
        <w:spacing w:before="116"/>
        <w:ind w:left="1019" w:right="0" w:firstLine="0"/>
        <w:jc w:val="left"/>
        <w:rPr>
          <w:rFonts w:ascii="Helvetica"/>
          <w:b/>
          <w:sz w:val="16"/>
        </w:rPr>
      </w:pPr>
      <w:r>
        <w:rPr/>
        <w:br w:type="column"/>
      </w:r>
      <w:r>
        <w:rPr>
          <w:rFonts w:ascii="Helvetica"/>
          <w:b/>
          <w:color w:val="231F20"/>
          <w:sz w:val="16"/>
        </w:rPr>
        <w:t>Normal</w:t>
      </w:r>
    </w:p>
    <w:p>
      <w:pPr>
        <w:spacing w:line="235" w:lineRule="auto" w:before="99"/>
        <w:ind w:left="563" w:right="499" w:hanging="196"/>
        <w:jc w:val="left"/>
        <w:rPr>
          <w:rFonts w:ascii="Helvetica"/>
          <w:sz w:val="16"/>
        </w:rPr>
      </w:pPr>
      <w:r>
        <w:rPr>
          <w:rFonts w:ascii="Helvetica"/>
          <w:color w:val="231F20"/>
          <w:sz w:val="16"/>
        </w:rPr>
        <w:t>Interstitial fluid</w:t>
      </w:r>
    </w:p>
    <w:p>
      <w:pPr>
        <w:pStyle w:val="BodyText"/>
        <w:rPr>
          <w:rFonts w:ascii="Helvetica"/>
          <w:sz w:val="18"/>
        </w:rPr>
      </w:pPr>
      <w:r>
        <w:rPr/>
        <w:br w:type="column"/>
      </w:r>
      <w:r>
        <w:rPr>
          <w:rFonts w:ascii="Helvetica"/>
          <w:sz w:val="18"/>
        </w:rPr>
      </w:r>
    </w:p>
    <w:p>
      <w:pPr>
        <w:pStyle w:val="BodyText"/>
        <w:spacing w:before="8"/>
        <w:rPr>
          <w:rFonts w:ascii="Helvetica"/>
          <w:sz w:val="16"/>
        </w:rPr>
      </w:pPr>
    </w:p>
    <w:p>
      <w:pPr>
        <w:spacing w:line="235" w:lineRule="auto" w:before="0"/>
        <w:ind w:left="134" w:right="-19" w:hanging="112"/>
        <w:jc w:val="left"/>
        <w:rPr>
          <w:rFonts w:ascii="Helvetica"/>
          <w:sz w:val="16"/>
        </w:rPr>
      </w:pPr>
      <w:r>
        <w:rPr>
          <w:rFonts w:ascii="Helvetica"/>
          <w:color w:val="231F20"/>
          <w:sz w:val="16"/>
        </w:rPr>
        <w:t>Tubular</w:t>
      </w:r>
      <w:r>
        <w:rPr>
          <w:rFonts w:ascii="Helvetica"/>
          <w:color w:val="231F20"/>
          <w:w w:val="99"/>
          <w:sz w:val="16"/>
        </w:rPr>
        <w:t> </w:t>
      </w:r>
      <w:r>
        <w:rPr>
          <w:rFonts w:ascii="Helvetica"/>
          <w:color w:val="231F20"/>
          <w:sz w:val="16"/>
        </w:rPr>
        <w:t>cells</w:t>
      </w:r>
    </w:p>
    <w:p>
      <w:pPr>
        <w:pStyle w:val="BodyText"/>
        <w:rPr>
          <w:rFonts w:ascii="Helvetica"/>
          <w:sz w:val="18"/>
        </w:rPr>
      </w:pPr>
      <w:r>
        <w:rPr/>
        <w:br w:type="column"/>
      </w:r>
      <w:r>
        <w:rPr>
          <w:rFonts w:ascii="Helvetica"/>
          <w:sz w:val="18"/>
        </w:rPr>
      </w:r>
    </w:p>
    <w:p>
      <w:pPr>
        <w:pStyle w:val="BodyText"/>
        <w:spacing w:before="5"/>
        <w:rPr>
          <w:rFonts w:ascii="Helvetica"/>
          <w:sz w:val="16"/>
        </w:rPr>
      </w:pPr>
    </w:p>
    <w:p>
      <w:pPr>
        <w:spacing w:before="0"/>
        <w:ind w:left="524" w:right="0" w:firstLine="0"/>
        <w:jc w:val="left"/>
        <w:rPr>
          <w:rFonts w:ascii="Helvetica"/>
          <w:sz w:val="16"/>
        </w:rPr>
      </w:pPr>
      <w:r>
        <w:rPr>
          <w:rFonts w:ascii="Helvetica"/>
          <w:color w:val="231F20"/>
          <w:sz w:val="16"/>
        </w:rPr>
        <w:t>Lumen</w:t>
      </w:r>
    </w:p>
    <w:p>
      <w:pPr>
        <w:spacing w:after="0"/>
        <w:jc w:val="left"/>
        <w:rPr>
          <w:rFonts w:ascii="Helvetica"/>
          <w:sz w:val="16"/>
        </w:rPr>
        <w:sectPr>
          <w:type w:val="continuous"/>
          <w:pgSz w:w="12240" w:h="15660"/>
          <w:pgMar w:top="0" w:bottom="760" w:left="0" w:right="0"/>
          <w:cols w:num="5" w:equalWidth="0">
            <w:col w:w="5732" w:space="40"/>
            <w:col w:w="1750" w:space="39"/>
            <w:col w:w="1571" w:space="39"/>
            <w:col w:w="566" w:space="40"/>
            <w:col w:w="2463"/>
          </w:cols>
        </w:sectPr>
      </w:pPr>
    </w:p>
    <w:p>
      <w:pPr>
        <w:spacing w:line="137" w:lineRule="exact" w:before="0"/>
        <w:ind w:left="2218" w:right="0" w:firstLine="0"/>
        <w:jc w:val="center"/>
        <w:rPr>
          <w:rFonts w:ascii="Helvetica"/>
          <w:sz w:val="12"/>
        </w:rPr>
      </w:pPr>
      <w:r>
        <w:rPr>
          <w:rFonts w:ascii="Helvetica"/>
          <w:color w:val="231F20"/>
          <w:sz w:val="12"/>
        </w:rPr>
        <w:t>c</w:t>
      </w:r>
    </w:p>
    <w:p>
      <w:pPr>
        <w:pStyle w:val="BodyText"/>
        <w:spacing w:before="7"/>
        <w:rPr>
          <w:rFonts w:ascii="Helvetica"/>
          <w:sz w:val="29"/>
        </w:rPr>
      </w:pPr>
    </w:p>
    <w:p>
      <w:pPr>
        <w:spacing w:after="0"/>
        <w:rPr>
          <w:rFonts w:ascii="Helvetica"/>
          <w:sz w:val="29"/>
        </w:rPr>
        <w:sectPr>
          <w:type w:val="continuous"/>
          <w:pgSz w:w="12240" w:h="15660"/>
          <w:pgMar w:top="0" w:bottom="760" w:left="0" w:right="0"/>
        </w:sectPr>
      </w:pPr>
    </w:p>
    <w:p>
      <w:pPr>
        <w:pStyle w:val="BodyText"/>
        <w:rPr>
          <w:rFonts w:ascii="Helvetica"/>
        </w:rPr>
      </w:pPr>
    </w:p>
    <w:p>
      <w:pPr>
        <w:spacing w:line="181" w:lineRule="exact" w:before="0"/>
        <w:ind w:left="0" w:right="0" w:firstLine="0"/>
        <w:jc w:val="right"/>
        <w:rPr>
          <w:rFonts w:ascii="Helvetica"/>
          <w:sz w:val="16"/>
        </w:rPr>
      </w:pPr>
      <w:r>
        <w:rPr>
          <w:rFonts w:ascii="Helvetica"/>
          <w:color w:val="231F20"/>
          <w:w w:val="95"/>
          <w:sz w:val="16"/>
        </w:rPr>
        <w:t>Net</w:t>
      </w:r>
    </w:p>
    <w:p>
      <w:pPr>
        <w:spacing w:before="99"/>
        <w:ind w:left="255" w:right="0" w:firstLine="0"/>
        <w:jc w:val="left"/>
        <w:rPr>
          <w:rFonts w:ascii="Helvetica"/>
          <w:sz w:val="16"/>
        </w:rPr>
      </w:pPr>
      <w:r>
        <w:rPr/>
        <w:br w:type="column"/>
      </w:r>
      <w:r>
        <w:rPr>
          <w:rFonts w:ascii="Helvetica"/>
          <w:color w:val="231F20"/>
          <w:sz w:val="16"/>
        </w:rPr>
        <w:t>ATP</w:t>
      </w:r>
    </w:p>
    <w:p>
      <w:pPr>
        <w:spacing w:after="0"/>
        <w:jc w:val="left"/>
        <w:rPr>
          <w:rFonts w:ascii="Helvetica"/>
          <w:sz w:val="16"/>
        </w:rPr>
        <w:sectPr>
          <w:type w:val="continuous"/>
          <w:pgSz w:w="12240" w:h="15660"/>
          <w:pgMar w:top="0" w:bottom="760" w:left="0" w:right="0"/>
          <w:cols w:num="2" w:equalWidth="0">
            <w:col w:w="8351" w:space="40"/>
            <w:col w:w="3849"/>
          </w:cols>
        </w:sectPr>
      </w:pPr>
    </w:p>
    <w:p>
      <w:pPr>
        <w:spacing w:line="189" w:lineRule="auto" w:before="29"/>
        <w:ind w:left="1600" w:right="38" w:hanging="160"/>
        <w:jc w:val="both"/>
        <w:rPr>
          <w:rFonts w:ascii="Arial" w:hAnsi="Arial"/>
          <w:sz w:val="16"/>
        </w:rPr>
      </w:pPr>
      <w:r>
        <w:rPr>
          <w:rFonts w:ascii="Arial" w:hAnsi="Arial"/>
          <w:color w:val="231F20"/>
          <w:spacing w:val="-7"/>
          <w:sz w:val="16"/>
        </w:rPr>
        <w:t>FF, </w:t>
      </w:r>
      <w:r>
        <w:rPr>
          <w:rFonts w:ascii="Arial" w:hAnsi="Arial"/>
          <w:color w:val="231F20"/>
          <w:sz w:val="16"/>
        </w:rPr>
        <w:t>filtration fraction; K</w:t>
      </w:r>
      <w:r>
        <w:rPr>
          <w:rFonts w:ascii="Arial" w:hAnsi="Arial"/>
          <w:color w:val="231F20"/>
          <w:position w:val="-1"/>
          <w:sz w:val="9"/>
        </w:rPr>
        <w:t>f</w:t>
      </w:r>
      <w:r>
        <w:rPr>
          <w:rFonts w:ascii="Arial" w:hAnsi="Arial"/>
          <w:color w:val="231F20"/>
          <w:sz w:val="16"/>
        </w:rPr>
        <w:t>, peritubular capillary filtration coefficient; P</w:t>
      </w:r>
      <w:r>
        <w:rPr>
          <w:rFonts w:ascii="Arial" w:hAnsi="Arial"/>
          <w:color w:val="231F20"/>
          <w:position w:val="-1"/>
          <w:sz w:val="9"/>
        </w:rPr>
        <w:t>c</w:t>
      </w:r>
      <w:r>
        <w:rPr>
          <w:rFonts w:ascii="Arial" w:hAnsi="Arial"/>
          <w:color w:val="231F20"/>
          <w:sz w:val="16"/>
        </w:rPr>
        <w:t>,</w:t>
      </w:r>
      <w:r>
        <w:rPr>
          <w:rFonts w:ascii="Arial" w:hAnsi="Arial"/>
          <w:color w:val="231F20"/>
          <w:spacing w:val="-20"/>
          <w:sz w:val="16"/>
        </w:rPr>
        <w:t> </w:t>
      </w:r>
      <w:r>
        <w:rPr>
          <w:rFonts w:ascii="Arial" w:hAnsi="Arial"/>
          <w:color w:val="231F20"/>
          <w:sz w:val="16"/>
        </w:rPr>
        <w:t>peritubular</w:t>
      </w:r>
      <w:r>
        <w:rPr>
          <w:rFonts w:ascii="Arial" w:hAnsi="Arial"/>
          <w:color w:val="231F20"/>
          <w:spacing w:val="-20"/>
          <w:sz w:val="16"/>
        </w:rPr>
        <w:t> </w:t>
      </w:r>
      <w:r>
        <w:rPr>
          <w:rFonts w:ascii="Arial" w:hAnsi="Arial"/>
          <w:color w:val="231F20"/>
          <w:sz w:val="16"/>
        </w:rPr>
        <w:t>capillary</w:t>
      </w:r>
      <w:r>
        <w:rPr>
          <w:rFonts w:ascii="Arial" w:hAnsi="Arial"/>
          <w:color w:val="231F20"/>
          <w:spacing w:val="-19"/>
          <w:sz w:val="16"/>
        </w:rPr>
        <w:t> </w:t>
      </w:r>
      <w:r>
        <w:rPr>
          <w:rFonts w:ascii="Arial" w:hAnsi="Arial"/>
          <w:color w:val="231F20"/>
          <w:sz w:val="16"/>
        </w:rPr>
        <w:t>hydrostatic</w:t>
      </w:r>
      <w:r>
        <w:rPr>
          <w:rFonts w:ascii="Arial" w:hAnsi="Arial"/>
          <w:color w:val="231F20"/>
          <w:spacing w:val="-20"/>
          <w:sz w:val="16"/>
        </w:rPr>
        <w:t> </w:t>
      </w:r>
      <w:r>
        <w:rPr>
          <w:rFonts w:ascii="Arial" w:hAnsi="Arial"/>
          <w:color w:val="231F20"/>
          <w:sz w:val="16"/>
        </w:rPr>
        <w:t>pressure;</w:t>
      </w:r>
      <w:r>
        <w:rPr>
          <w:rFonts w:ascii="Arial" w:hAnsi="Arial"/>
          <w:color w:val="231F20"/>
          <w:spacing w:val="-19"/>
          <w:sz w:val="16"/>
        </w:rPr>
        <w:t> </w:t>
      </w:r>
      <w:r>
        <w:rPr>
          <w:rFonts w:ascii="Arial Unicode MS" w:hAnsi="Arial Unicode MS"/>
          <w:color w:val="231F20"/>
          <w:sz w:val="16"/>
        </w:rPr>
        <w:t>π</w:t>
      </w:r>
      <w:r>
        <w:rPr>
          <w:rFonts w:ascii="Arial" w:hAnsi="Arial"/>
          <w:color w:val="231F20"/>
          <w:position w:val="-1"/>
          <w:sz w:val="9"/>
        </w:rPr>
        <w:t>A</w:t>
      </w:r>
      <w:r>
        <w:rPr>
          <w:rFonts w:ascii="Arial" w:hAnsi="Arial"/>
          <w:color w:val="231F20"/>
          <w:sz w:val="16"/>
        </w:rPr>
        <w:t>,</w:t>
      </w:r>
      <w:r>
        <w:rPr>
          <w:rFonts w:ascii="Arial" w:hAnsi="Arial"/>
          <w:color w:val="231F20"/>
          <w:spacing w:val="-20"/>
          <w:sz w:val="16"/>
        </w:rPr>
        <w:t> </w:t>
      </w:r>
      <w:r>
        <w:rPr>
          <w:rFonts w:ascii="Arial" w:hAnsi="Arial"/>
          <w:color w:val="231F20"/>
          <w:sz w:val="16"/>
        </w:rPr>
        <w:t>arterial</w:t>
      </w:r>
      <w:r>
        <w:rPr>
          <w:rFonts w:ascii="Arial" w:hAnsi="Arial"/>
          <w:color w:val="231F20"/>
          <w:spacing w:val="-20"/>
          <w:sz w:val="16"/>
        </w:rPr>
        <w:t> </w:t>
      </w:r>
      <w:r>
        <w:rPr>
          <w:rFonts w:ascii="Arial" w:hAnsi="Arial"/>
          <w:color w:val="231F20"/>
          <w:sz w:val="16"/>
        </w:rPr>
        <w:t>plasma colloid</w:t>
      </w:r>
      <w:r>
        <w:rPr>
          <w:rFonts w:ascii="Arial" w:hAnsi="Arial"/>
          <w:color w:val="231F20"/>
          <w:spacing w:val="-20"/>
          <w:sz w:val="16"/>
        </w:rPr>
        <w:t> </w:t>
      </w:r>
      <w:r>
        <w:rPr>
          <w:rFonts w:ascii="Arial" w:hAnsi="Arial"/>
          <w:color w:val="231F20"/>
          <w:sz w:val="16"/>
        </w:rPr>
        <w:t>osmotic</w:t>
      </w:r>
      <w:r>
        <w:rPr>
          <w:rFonts w:ascii="Arial" w:hAnsi="Arial"/>
          <w:color w:val="231F20"/>
          <w:spacing w:val="-20"/>
          <w:sz w:val="16"/>
        </w:rPr>
        <w:t> </w:t>
      </w:r>
      <w:r>
        <w:rPr>
          <w:rFonts w:ascii="Arial" w:hAnsi="Arial"/>
          <w:color w:val="231F20"/>
          <w:sz w:val="16"/>
        </w:rPr>
        <w:t>pressure;</w:t>
      </w:r>
      <w:r>
        <w:rPr>
          <w:rFonts w:ascii="Arial" w:hAnsi="Arial"/>
          <w:color w:val="231F20"/>
          <w:spacing w:val="-20"/>
          <w:sz w:val="16"/>
        </w:rPr>
        <w:t> </w:t>
      </w:r>
      <w:r>
        <w:rPr>
          <w:rFonts w:ascii="Arial Unicode MS" w:hAnsi="Arial Unicode MS"/>
          <w:color w:val="231F20"/>
          <w:sz w:val="16"/>
        </w:rPr>
        <w:t>π</w:t>
      </w:r>
      <w:r>
        <w:rPr>
          <w:rFonts w:ascii="Arial" w:hAnsi="Arial"/>
          <w:color w:val="231F20"/>
          <w:position w:val="-1"/>
          <w:sz w:val="9"/>
        </w:rPr>
        <w:t>c</w:t>
      </w:r>
      <w:r>
        <w:rPr>
          <w:rFonts w:ascii="Arial" w:hAnsi="Arial"/>
          <w:color w:val="231F20"/>
          <w:sz w:val="16"/>
        </w:rPr>
        <w:t>,</w:t>
      </w:r>
      <w:r>
        <w:rPr>
          <w:rFonts w:ascii="Arial" w:hAnsi="Arial"/>
          <w:color w:val="231F20"/>
          <w:spacing w:val="-20"/>
          <w:sz w:val="16"/>
        </w:rPr>
        <w:t> </w:t>
      </w:r>
      <w:r>
        <w:rPr>
          <w:rFonts w:ascii="Arial" w:hAnsi="Arial"/>
          <w:color w:val="231F20"/>
          <w:sz w:val="16"/>
        </w:rPr>
        <w:t>peritubular</w:t>
      </w:r>
      <w:r>
        <w:rPr>
          <w:rFonts w:ascii="Arial" w:hAnsi="Arial"/>
          <w:color w:val="231F20"/>
          <w:spacing w:val="-20"/>
          <w:sz w:val="16"/>
        </w:rPr>
        <w:t> </w:t>
      </w:r>
      <w:r>
        <w:rPr>
          <w:rFonts w:ascii="Arial" w:hAnsi="Arial"/>
          <w:color w:val="231F20"/>
          <w:sz w:val="16"/>
        </w:rPr>
        <w:t>capillary</w:t>
      </w:r>
      <w:r>
        <w:rPr>
          <w:rFonts w:ascii="Arial" w:hAnsi="Arial"/>
          <w:color w:val="231F20"/>
          <w:spacing w:val="-20"/>
          <w:sz w:val="16"/>
        </w:rPr>
        <w:t> </w:t>
      </w:r>
      <w:r>
        <w:rPr>
          <w:rFonts w:ascii="Arial" w:hAnsi="Arial"/>
          <w:color w:val="231F20"/>
          <w:sz w:val="16"/>
        </w:rPr>
        <w:t>colloid</w:t>
      </w:r>
      <w:r>
        <w:rPr>
          <w:rFonts w:ascii="Arial" w:hAnsi="Arial"/>
          <w:color w:val="231F20"/>
          <w:spacing w:val="-20"/>
          <w:sz w:val="16"/>
        </w:rPr>
        <w:t> </w:t>
      </w:r>
      <w:r>
        <w:rPr>
          <w:rFonts w:ascii="Arial" w:hAnsi="Arial"/>
          <w:color w:val="231F20"/>
          <w:sz w:val="16"/>
        </w:rPr>
        <w:t>osmotic</w:t>
      </w:r>
    </w:p>
    <w:p>
      <w:pPr>
        <w:spacing w:line="168" w:lineRule="exact" w:before="0"/>
        <w:ind w:left="1600" w:right="0" w:firstLine="0"/>
        <w:jc w:val="left"/>
        <w:rPr>
          <w:rFonts w:ascii="Arial"/>
          <w:sz w:val="16"/>
        </w:rPr>
      </w:pPr>
      <w:r>
        <w:rPr>
          <w:rFonts w:ascii="Arial"/>
          <w:color w:val="231F20"/>
          <w:sz w:val="16"/>
        </w:rPr>
        <w:t>pressure;</w:t>
      </w:r>
      <w:r>
        <w:rPr>
          <w:rFonts w:ascii="Arial"/>
          <w:color w:val="231F20"/>
          <w:spacing w:val="-24"/>
          <w:sz w:val="16"/>
        </w:rPr>
        <w:t> </w:t>
      </w:r>
      <w:r>
        <w:rPr>
          <w:rFonts w:ascii="Arial"/>
          <w:color w:val="231F20"/>
          <w:sz w:val="16"/>
        </w:rPr>
        <w:t>R</w:t>
      </w:r>
      <w:r>
        <w:rPr>
          <w:rFonts w:ascii="Arial"/>
          <w:color w:val="231F20"/>
          <w:position w:val="-1"/>
          <w:sz w:val="9"/>
        </w:rPr>
        <w:t>A</w:t>
      </w:r>
      <w:r>
        <w:rPr>
          <w:rFonts w:ascii="Arial"/>
          <w:color w:val="231F20"/>
          <w:spacing w:val="-5"/>
          <w:position w:val="-1"/>
          <w:sz w:val="9"/>
        </w:rPr>
        <w:t> </w:t>
      </w:r>
      <w:r>
        <w:rPr>
          <w:rFonts w:ascii="Arial"/>
          <w:color w:val="231F20"/>
          <w:sz w:val="16"/>
        </w:rPr>
        <w:t>and</w:t>
      </w:r>
      <w:r>
        <w:rPr>
          <w:rFonts w:ascii="Arial"/>
          <w:color w:val="231F20"/>
          <w:spacing w:val="-23"/>
          <w:sz w:val="16"/>
        </w:rPr>
        <w:t> </w:t>
      </w:r>
      <w:r>
        <w:rPr>
          <w:rFonts w:ascii="Arial"/>
          <w:color w:val="231F20"/>
          <w:sz w:val="16"/>
        </w:rPr>
        <w:t>R</w:t>
      </w:r>
      <w:r>
        <w:rPr>
          <w:rFonts w:ascii="Arial"/>
          <w:color w:val="231F20"/>
          <w:position w:val="-1"/>
          <w:sz w:val="9"/>
        </w:rPr>
        <w:t>E</w:t>
      </w:r>
      <w:r>
        <w:rPr>
          <w:rFonts w:ascii="Arial"/>
          <w:color w:val="231F20"/>
          <w:sz w:val="16"/>
        </w:rPr>
        <w:t>,</w:t>
      </w:r>
      <w:r>
        <w:rPr>
          <w:rFonts w:ascii="Arial"/>
          <w:color w:val="231F20"/>
          <w:spacing w:val="-24"/>
          <w:sz w:val="16"/>
        </w:rPr>
        <w:t> </w:t>
      </w:r>
      <w:r>
        <w:rPr>
          <w:rFonts w:ascii="Arial"/>
          <w:color w:val="231F20"/>
          <w:sz w:val="16"/>
        </w:rPr>
        <w:t>afferent</w:t>
      </w:r>
      <w:r>
        <w:rPr>
          <w:rFonts w:ascii="Arial"/>
          <w:color w:val="231F20"/>
          <w:spacing w:val="-24"/>
          <w:sz w:val="16"/>
        </w:rPr>
        <w:t> </w:t>
      </w:r>
      <w:r>
        <w:rPr>
          <w:rFonts w:ascii="Arial"/>
          <w:color w:val="231F20"/>
          <w:sz w:val="16"/>
        </w:rPr>
        <w:t>and</w:t>
      </w:r>
      <w:r>
        <w:rPr>
          <w:rFonts w:ascii="Arial"/>
          <w:color w:val="231F20"/>
          <w:spacing w:val="-24"/>
          <w:sz w:val="16"/>
        </w:rPr>
        <w:t> </w:t>
      </w:r>
      <w:r>
        <w:rPr>
          <w:rFonts w:ascii="Arial"/>
          <w:color w:val="231F20"/>
          <w:sz w:val="16"/>
        </w:rPr>
        <w:t>efferent</w:t>
      </w:r>
      <w:r>
        <w:rPr>
          <w:rFonts w:ascii="Arial"/>
          <w:color w:val="231F20"/>
          <w:spacing w:val="-24"/>
          <w:sz w:val="16"/>
        </w:rPr>
        <w:t> </w:t>
      </w:r>
      <w:r>
        <w:rPr>
          <w:rFonts w:ascii="Arial"/>
          <w:color w:val="231F20"/>
          <w:sz w:val="16"/>
        </w:rPr>
        <w:t>arteriolar</w:t>
      </w:r>
      <w:r>
        <w:rPr>
          <w:rFonts w:ascii="Arial"/>
          <w:color w:val="231F20"/>
          <w:spacing w:val="-24"/>
          <w:sz w:val="16"/>
        </w:rPr>
        <w:t> </w:t>
      </w:r>
      <w:r>
        <w:rPr>
          <w:rFonts w:ascii="Arial"/>
          <w:color w:val="231F20"/>
          <w:sz w:val="16"/>
        </w:rPr>
        <w:t>resistances,</w:t>
      </w:r>
    </w:p>
    <w:p>
      <w:pPr>
        <w:spacing w:before="11"/>
        <w:ind w:left="1600" w:right="0" w:firstLine="0"/>
        <w:jc w:val="left"/>
        <w:rPr>
          <w:rFonts w:ascii="Arial"/>
          <w:sz w:val="16"/>
        </w:rPr>
      </w:pPr>
      <w:r>
        <w:rPr>
          <w:rFonts w:ascii="Arial"/>
          <w:color w:val="231F20"/>
          <w:sz w:val="16"/>
        </w:rPr>
        <w:t>respectively.</w:t>
      </w:r>
    </w:p>
    <w:p>
      <w:pPr>
        <w:spacing w:line="183" w:lineRule="exact" w:before="0"/>
        <w:ind w:left="1440" w:right="0" w:firstLine="0"/>
        <w:jc w:val="left"/>
        <w:rPr>
          <w:rFonts w:ascii="Helvetica"/>
          <w:sz w:val="16"/>
        </w:rPr>
      </w:pPr>
      <w:r>
        <w:rPr/>
        <w:br w:type="column"/>
      </w:r>
      <w:r>
        <w:rPr>
          <w:rFonts w:ascii="Helvetica"/>
          <w:color w:val="231F20"/>
          <w:sz w:val="16"/>
        </w:rPr>
        <w:t>reabsorption</w:t>
      </w:r>
    </w:p>
    <w:p>
      <w:pPr>
        <w:pStyle w:val="BodyText"/>
        <w:rPr>
          <w:rFonts w:ascii="Helvetica"/>
          <w:sz w:val="18"/>
        </w:rPr>
      </w:pPr>
      <w:r>
        <w:rPr/>
        <w:br w:type="column"/>
      </w:r>
      <w:r>
        <w:rPr>
          <w:rFonts w:ascii="Helvetica"/>
          <w:sz w:val="18"/>
        </w:rPr>
      </w:r>
    </w:p>
    <w:p>
      <w:pPr>
        <w:pStyle w:val="BodyText"/>
        <w:spacing w:before="7"/>
        <w:rPr>
          <w:rFonts w:ascii="Helvetica"/>
          <w:sz w:val="26"/>
        </w:rPr>
      </w:pPr>
    </w:p>
    <w:p>
      <w:pPr>
        <w:spacing w:before="1"/>
        <w:ind w:left="316" w:right="0" w:firstLine="0"/>
        <w:jc w:val="left"/>
        <w:rPr>
          <w:rFonts w:ascii="Helvetica"/>
          <w:sz w:val="16"/>
        </w:rPr>
      </w:pPr>
      <w:r>
        <w:rPr/>
        <w:pict>
          <v:rect style="position:absolute;margin-left:576pt;margin-top:.571423pt;width:36pt;height:24pt;mso-position-horizontal-relative:page;mso-position-vertical-relative:paragraph;z-index:252246016" filled="true" fillcolor="#e8dac8" stroked="false">
            <v:fill type="solid"/>
            <w10:wrap type="none"/>
          </v:rect>
        </w:pict>
      </w:r>
      <w:r>
        <w:rPr>
          <w:rFonts w:ascii="Helvetica"/>
          <w:color w:val="231F20"/>
          <w:sz w:val="16"/>
        </w:rPr>
        <w:t>ATP</w:t>
      </w:r>
    </w:p>
    <w:p>
      <w:pPr>
        <w:tabs>
          <w:tab w:pos="1542" w:val="left" w:leader="none"/>
        </w:tabs>
        <w:spacing w:before="2"/>
        <w:ind w:left="583" w:right="0" w:firstLine="0"/>
        <w:jc w:val="left"/>
        <w:rPr>
          <w:rFonts w:ascii="Helvetica"/>
          <w:sz w:val="16"/>
        </w:rPr>
      </w:pPr>
      <w:r>
        <w:rPr>
          <w:rFonts w:ascii="Helvetica"/>
          <w:color w:val="231F20"/>
          <w:w w:val="100"/>
          <w:sz w:val="16"/>
          <w:u w:val="thick" w:color="F0535F"/>
        </w:rPr>
        <w:t> </w:t>
      </w:r>
      <w:r>
        <w:rPr>
          <w:rFonts w:ascii="Helvetica"/>
          <w:color w:val="231F20"/>
          <w:sz w:val="16"/>
          <w:u w:val="thick" w:color="F0535F"/>
        </w:rPr>
        <w:tab/>
      </w:r>
      <w:r>
        <w:rPr>
          <w:rFonts w:ascii="Helvetica"/>
          <w:color w:val="231F20"/>
          <w:sz w:val="16"/>
        </w:rPr>
        <w:t>  </w:t>
      </w:r>
      <w:r>
        <w:rPr>
          <w:rFonts w:ascii="Helvetica"/>
          <w:color w:val="231F20"/>
          <w:spacing w:val="6"/>
          <w:sz w:val="16"/>
        </w:rPr>
        <w:t> </w:t>
      </w:r>
      <w:r>
        <w:rPr>
          <w:rFonts w:ascii="Helvetica"/>
          <w:color w:val="231F20"/>
          <w:sz w:val="16"/>
        </w:rPr>
        <w:t>Backleak</w:t>
      </w:r>
    </w:p>
    <w:p>
      <w:pPr>
        <w:spacing w:after="0"/>
        <w:jc w:val="left"/>
        <w:rPr>
          <w:rFonts w:ascii="Helvetica"/>
          <w:sz w:val="16"/>
        </w:rPr>
        <w:sectPr>
          <w:type w:val="continuous"/>
          <w:pgSz w:w="12240" w:h="15660"/>
          <w:pgMar w:top="0" w:bottom="760" w:left="0" w:right="0"/>
          <w:cols w:num="3" w:equalWidth="0">
            <w:col w:w="6047" w:space="295"/>
            <w:col w:w="2330" w:space="39"/>
            <w:col w:w="3529"/>
          </w:cols>
        </w:sectPr>
      </w:pPr>
    </w:p>
    <w:p>
      <w:pPr>
        <w:pStyle w:val="BodyText"/>
        <w:spacing w:before="1"/>
        <w:rPr>
          <w:rFonts w:ascii="Helvetica"/>
          <w:sz w:val="21"/>
        </w:rPr>
      </w:pPr>
    </w:p>
    <w:p>
      <w:pPr>
        <w:spacing w:after="0"/>
        <w:rPr>
          <w:rFonts w:ascii="Helvetica"/>
          <w:sz w:val="21"/>
        </w:rPr>
        <w:sectPr>
          <w:type w:val="continuous"/>
          <w:pgSz w:w="12240" w:h="15660"/>
          <w:pgMar w:top="0" w:bottom="760" w:left="0" w:right="0"/>
        </w:sectPr>
      </w:pPr>
    </w:p>
    <w:p>
      <w:pPr>
        <w:pStyle w:val="BodyText"/>
        <w:spacing w:line="249" w:lineRule="auto" w:before="99"/>
        <w:ind w:left="1440"/>
        <w:jc w:val="both"/>
      </w:pPr>
      <w:r>
        <w:rPr>
          <w:color w:val="231F20"/>
          <w:w w:val="105"/>
        </w:rPr>
        <w:t>Although</w:t>
      </w:r>
      <w:r>
        <w:rPr>
          <w:color w:val="231F20"/>
          <w:spacing w:val="-12"/>
          <w:w w:val="105"/>
        </w:rPr>
        <w:t> </w:t>
      </w:r>
      <w:r>
        <w:rPr>
          <w:color w:val="231F20"/>
          <w:w w:val="105"/>
        </w:rPr>
        <w:t>constriction</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efferent</w:t>
      </w:r>
      <w:r>
        <w:rPr>
          <w:color w:val="231F20"/>
          <w:spacing w:val="-12"/>
          <w:w w:val="105"/>
        </w:rPr>
        <w:t> </w:t>
      </w:r>
      <w:r>
        <w:rPr>
          <w:color w:val="231F20"/>
          <w:w w:val="105"/>
        </w:rPr>
        <w:t>arterioles</w:t>
      </w:r>
      <w:r>
        <w:rPr>
          <w:color w:val="231F20"/>
          <w:spacing w:val="-11"/>
          <w:w w:val="105"/>
        </w:rPr>
        <w:t> </w:t>
      </w:r>
      <w:r>
        <w:rPr>
          <w:color w:val="231F20"/>
          <w:w w:val="105"/>
        </w:rPr>
        <w:t>increases glomerular</w:t>
      </w:r>
      <w:r>
        <w:rPr>
          <w:color w:val="231F20"/>
          <w:spacing w:val="-8"/>
          <w:w w:val="105"/>
        </w:rPr>
        <w:t> </w:t>
      </w:r>
      <w:r>
        <w:rPr>
          <w:color w:val="231F20"/>
          <w:w w:val="105"/>
        </w:rPr>
        <w:t>capillary</w:t>
      </w:r>
      <w:r>
        <w:rPr>
          <w:color w:val="231F20"/>
          <w:spacing w:val="-8"/>
          <w:w w:val="105"/>
        </w:rPr>
        <w:t> </w:t>
      </w:r>
      <w:r>
        <w:rPr>
          <w:color w:val="231F20"/>
          <w:w w:val="105"/>
        </w:rPr>
        <w:t>hydrostatic</w:t>
      </w:r>
      <w:r>
        <w:rPr>
          <w:color w:val="231F20"/>
          <w:spacing w:val="-8"/>
          <w:w w:val="105"/>
        </w:rPr>
        <w:t> </w:t>
      </w:r>
      <w:r>
        <w:rPr>
          <w:color w:val="231F20"/>
          <w:w w:val="105"/>
        </w:rPr>
        <w:t>pressure,</w:t>
      </w:r>
      <w:r>
        <w:rPr>
          <w:color w:val="231F20"/>
          <w:spacing w:val="-8"/>
          <w:w w:val="105"/>
        </w:rPr>
        <w:t> </w:t>
      </w:r>
      <w:r>
        <w:rPr>
          <w:color w:val="231F20"/>
          <w:w w:val="105"/>
        </w:rPr>
        <w:t>it</w:t>
      </w:r>
      <w:r>
        <w:rPr>
          <w:color w:val="231F20"/>
          <w:spacing w:val="-8"/>
          <w:w w:val="105"/>
        </w:rPr>
        <w:t> </w:t>
      </w:r>
      <w:r>
        <w:rPr>
          <w:color w:val="231F20"/>
          <w:w w:val="105"/>
        </w:rPr>
        <w:t>lowers</w:t>
      </w:r>
      <w:r>
        <w:rPr>
          <w:color w:val="231F20"/>
          <w:spacing w:val="-8"/>
          <w:w w:val="105"/>
        </w:rPr>
        <w:t> </w:t>
      </w:r>
      <w:r>
        <w:rPr>
          <w:color w:val="231F20"/>
          <w:spacing w:val="-3"/>
          <w:w w:val="105"/>
        </w:rPr>
        <w:t>peri- </w:t>
      </w:r>
      <w:r>
        <w:rPr>
          <w:color w:val="231F20"/>
          <w:w w:val="105"/>
        </w:rPr>
        <w:t>tubular capillary hydrostatic</w:t>
      </w:r>
      <w:r>
        <w:rPr>
          <w:color w:val="231F20"/>
          <w:spacing w:val="3"/>
          <w:w w:val="105"/>
        </w:rPr>
        <w:t> </w:t>
      </w:r>
      <w:r>
        <w:rPr>
          <w:color w:val="231F20"/>
          <w:w w:val="105"/>
        </w:rPr>
        <w:t>pressure.</w:t>
      </w:r>
    </w:p>
    <w:p>
      <w:pPr>
        <w:spacing w:line="249" w:lineRule="auto" w:before="3"/>
        <w:ind w:left="1440" w:right="0" w:firstLine="240"/>
        <w:jc w:val="both"/>
        <w:rPr>
          <w:sz w:val="20"/>
        </w:rPr>
      </w:pPr>
      <w:r>
        <w:rPr>
          <w:color w:val="231F20"/>
          <w:w w:val="105"/>
          <w:sz w:val="20"/>
        </w:rPr>
        <w:t>The</w:t>
      </w:r>
      <w:r>
        <w:rPr>
          <w:color w:val="231F20"/>
          <w:spacing w:val="-21"/>
          <w:w w:val="105"/>
          <w:sz w:val="20"/>
        </w:rPr>
        <w:t> </w:t>
      </w:r>
      <w:r>
        <w:rPr>
          <w:color w:val="231F20"/>
          <w:w w:val="105"/>
          <w:sz w:val="20"/>
        </w:rPr>
        <w:t>second</w:t>
      </w:r>
      <w:r>
        <w:rPr>
          <w:color w:val="231F20"/>
          <w:spacing w:val="-20"/>
          <w:w w:val="105"/>
          <w:sz w:val="20"/>
        </w:rPr>
        <w:t> </w:t>
      </w:r>
      <w:r>
        <w:rPr>
          <w:color w:val="231F20"/>
          <w:w w:val="105"/>
          <w:sz w:val="20"/>
        </w:rPr>
        <w:t>major</w:t>
      </w:r>
      <w:r>
        <w:rPr>
          <w:color w:val="231F20"/>
          <w:spacing w:val="-20"/>
          <w:w w:val="105"/>
          <w:sz w:val="20"/>
        </w:rPr>
        <w:t> </w:t>
      </w:r>
      <w:r>
        <w:rPr>
          <w:color w:val="231F20"/>
          <w:w w:val="105"/>
          <w:sz w:val="20"/>
        </w:rPr>
        <w:t>determinant</w:t>
      </w:r>
      <w:r>
        <w:rPr>
          <w:color w:val="231F20"/>
          <w:spacing w:val="-21"/>
          <w:w w:val="105"/>
          <w:sz w:val="20"/>
        </w:rPr>
        <w:t> </w:t>
      </w:r>
      <w:r>
        <w:rPr>
          <w:color w:val="231F20"/>
          <w:w w:val="105"/>
          <w:sz w:val="20"/>
        </w:rPr>
        <w:t>of</w:t>
      </w:r>
      <w:r>
        <w:rPr>
          <w:color w:val="231F20"/>
          <w:spacing w:val="-20"/>
          <w:w w:val="105"/>
          <w:sz w:val="20"/>
        </w:rPr>
        <w:t> </w:t>
      </w:r>
      <w:r>
        <w:rPr>
          <w:color w:val="231F20"/>
          <w:w w:val="105"/>
          <w:sz w:val="20"/>
        </w:rPr>
        <w:t>peritubular</w:t>
      </w:r>
      <w:r>
        <w:rPr>
          <w:color w:val="231F20"/>
          <w:spacing w:val="-20"/>
          <w:w w:val="105"/>
          <w:sz w:val="20"/>
        </w:rPr>
        <w:t> </w:t>
      </w:r>
      <w:r>
        <w:rPr>
          <w:color w:val="231F20"/>
          <w:w w:val="105"/>
          <w:sz w:val="20"/>
        </w:rPr>
        <w:t>capillary reabsorption</w:t>
      </w:r>
      <w:r>
        <w:rPr>
          <w:color w:val="231F20"/>
          <w:spacing w:val="-21"/>
          <w:w w:val="105"/>
          <w:sz w:val="20"/>
        </w:rPr>
        <w:t> </w:t>
      </w:r>
      <w:r>
        <w:rPr>
          <w:color w:val="231F20"/>
          <w:w w:val="105"/>
          <w:sz w:val="20"/>
        </w:rPr>
        <w:t>is</w:t>
      </w:r>
      <w:r>
        <w:rPr>
          <w:color w:val="231F20"/>
          <w:spacing w:val="-21"/>
          <w:w w:val="105"/>
          <w:sz w:val="20"/>
        </w:rPr>
        <w:t> </w:t>
      </w:r>
      <w:r>
        <w:rPr>
          <w:color w:val="231F20"/>
          <w:w w:val="105"/>
          <w:sz w:val="20"/>
        </w:rPr>
        <w:t>the</w:t>
      </w:r>
      <w:r>
        <w:rPr>
          <w:color w:val="231F20"/>
          <w:spacing w:val="-21"/>
          <w:w w:val="105"/>
          <w:sz w:val="20"/>
        </w:rPr>
        <w:t> </w:t>
      </w:r>
      <w:r>
        <w:rPr>
          <w:i/>
          <w:color w:val="231F20"/>
          <w:w w:val="105"/>
          <w:sz w:val="20"/>
        </w:rPr>
        <w:t>colloid</w:t>
      </w:r>
      <w:r>
        <w:rPr>
          <w:i/>
          <w:color w:val="231F20"/>
          <w:spacing w:val="-21"/>
          <w:w w:val="105"/>
          <w:sz w:val="20"/>
        </w:rPr>
        <w:t> </w:t>
      </w:r>
      <w:r>
        <w:rPr>
          <w:i/>
          <w:color w:val="231F20"/>
          <w:w w:val="105"/>
          <w:sz w:val="20"/>
        </w:rPr>
        <w:t>osmotic</w:t>
      </w:r>
      <w:r>
        <w:rPr>
          <w:i/>
          <w:color w:val="231F20"/>
          <w:spacing w:val="-20"/>
          <w:w w:val="105"/>
          <w:sz w:val="20"/>
        </w:rPr>
        <w:t> </w:t>
      </w:r>
      <w:r>
        <w:rPr>
          <w:i/>
          <w:color w:val="231F20"/>
          <w:w w:val="105"/>
          <w:sz w:val="20"/>
        </w:rPr>
        <w:t>pressure</w:t>
      </w:r>
      <w:r>
        <w:rPr>
          <w:i/>
          <w:color w:val="231F20"/>
          <w:spacing w:val="-21"/>
          <w:w w:val="105"/>
          <w:sz w:val="20"/>
        </w:rPr>
        <w:t> </w:t>
      </w:r>
      <w:r>
        <w:rPr>
          <w:color w:val="231F20"/>
          <w:w w:val="105"/>
          <w:sz w:val="20"/>
        </w:rPr>
        <w:t>of</w:t>
      </w:r>
      <w:r>
        <w:rPr>
          <w:color w:val="231F20"/>
          <w:spacing w:val="-21"/>
          <w:w w:val="105"/>
          <w:sz w:val="20"/>
        </w:rPr>
        <w:t> </w:t>
      </w:r>
      <w:r>
        <w:rPr>
          <w:color w:val="231F20"/>
          <w:w w:val="105"/>
          <w:sz w:val="20"/>
        </w:rPr>
        <w:t>the</w:t>
      </w:r>
      <w:r>
        <w:rPr>
          <w:color w:val="231F20"/>
          <w:spacing w:val="-21"/>
          <w:w w:val="105"/>
          <w:sz w:val="20"/>
        </w:rPr>
        <w:t> </w:t>
      </w:r>
      <w:r>
        <w:rPr>
          <w:color w:val="231F20"/>
          <w:spacing w:val="-3"/>
          <w:w w:val="105"/>
          <w:sz w:val="20"/>
        </w:rPr>
        <w:t>plasma </w:t>
      </w:r>
      <w:r>
        <w:rPr>
          <w:color w:val="231F20"/>
          <w:w w:val="105"/>
          <w:sz w:val="20"/>
        </w:rPr>
        <w:t>in these capillaries; raising the colloid osmotic pressure increases peritubular capillary reabsorption. </w:t>
      </w:r>
      <w:r>
        <w:rPr>
          <w:i/>
          <w:color w:val="231F20"/>
          <w:w w:val="105"/>
          <w:sz w:val="20"/>
        </w:rPr>
        <w:t>The </w:t>
      </w:r>
      <w:r>
        <w:rPr>
          <w:i/>
          <w:color w:val="231F20"/>
          <w:spacing w:val="-3"/>
          <w:w w:val="105"/>
          <w:sz w:val="20"/>
        </w:rPr>
        <w:t>colloid </w:t>
      </w:r>
      <w:r>
        <w:rPr>
          <w:i/>
          <w:color w:val="231F20"/>
          <w:w w:val="105"/>
          <w:sz w:val="20"/>
        </w:rPr>
        <w:t>osmotic</w:t>
      </w:r>
      <w:r>
        <w:rPr>
          <w:i/>
          <w:color w:val="231F20"/>
          <w:spacing w:val="-16"/>
          <w:w w:val="105"/>
          <w:sz w:val="20"/>
        </w:rPr>
        <w:t> </w:t>
      </w:r>
      <w:r>
        <w:rPr>
          <w:i/>
          <w:color w:val="231F20"/>
          <w:w w:val="105"/>
          <w:sz w:val="20"/>
        </w:rPr>
        <w:t>pressure</w:t>
      </w:r>
      <w:r>
        <w:rPr>
          <w:i/>
          <w:color w:val="231F20"/>
          <w:spacing w:val="-16"/>
          <w:w w:val="105"/>
          <w:sz w:val="20"/>
        </w:rPr>
        <w:t> </w:t>
      </w:r>
      <w:r>
        <w:rPr>
          <w:i/>
          <w:color w:val="231F20"/>
          <w:w w:val="105"/>
          <w:sz w:val="20"/>
        </w:rPr>
        <w:t>of</w:t>
      </w:r>
      <w:r>
        <w:rPr>
          <w:i/>
          <w:color w:val="231F20"/>
          <w:spacing w:val="-16"/>
          <w:w w:val="105"/>
          <w:sz w:val="20"/>
        </w:rPr>
        <w:t> </w:t>
      </w:r>
      <w:r>
        <w:rPr>
          <w:i/>
          <w:color w:val="231F20"/>
          <w:w w:val="105"/>
          <w:sz w:val="20"/>
        </w:rPr>
        <w:t>peritubular</w:t>
      </w:r>
      <w:r>
        <w:rPr>
          <w:i/>
          <w:color w:val="231F20"/>
          <w:spacing w:val="-16"/>
          <w:w w:val="105"/>
          <w:sz w:val="20"/>
        </w:rPr>
        <w:t> </w:t>
      </w:r>
      <w:r>
        <w:rPr>
          <w:i/>
          <w:color w:val="231F20"/>
          <w:w w:val="105"/>
          <w:sz w:val="20"/>
        </w:rPr>
        <w:t>capillaries</w:t>
      </w:r>
      <w:r>
        <w:rPr>
          <w:i/>
          <w:color w:val="231F20"/>
          <w:spacing w:val="-15"/>
          <w:w w:val="105"/>
          <w:sz w:val="20"/>
        </w:rPr>
        <w:t> </w:t>
      </w:r>
      <w:r>
        <w:rPr>
          <w:i/>
          <w:color w:val="231F20"/>
          <w:w w:val="105"/>
          <w:sz w:val="20"/>
        </w:rPr>
        <w:t>is</w:t>
      </w:r>
      <w:r>
        <w:rPr>
          <w:i/>
          <w:color w:val="231F20"/>
          <w:spacing w:val="-16"/>
          <w:w w:val="105"/>
          <w:sz w:val="20"/>
        </w:rPr>
        <w:t> </w:t>
      </w:r>
      <w:r>
        <w:rPr>
          <w:i/>
          <w:color w:val="231F20"/>
          <w:spacing w:val="-3"/>
          <w:w w:val="105"/>
          <w:sz w:val="20"/>
        </w:rPr>
        <w:t>determined </w:t>
      </w:r>
      <w:r>
        <w:rPr>
          <w:i/>
          <w:color w:val="231F20"/>
          <w:w w:val="105"/>
          <w:sz w:val="20"/>
        </w:rPr>
        <w:t>by </w:t>
      </w:r>
      <w:r>
        <w:rPr>
          <w:color w:val="231F20"/>
          <w:w w:val="105"/>
          <w:sz w:val="20"/>
        </w:rPr>
        <w:t>(1) the </w:t>
      </w:r>
      <w:r>
        <w:rPr>
          <w:i/>
          <w:color w:val="231F20"/>
          <w:w w:val="105"/>
          <w:sz w:val="20"/>
        </w:rPr>
        <w:t>systemic plasma colloid osmotic</w:t>
      </w:r>
      <w:r>
        <w:rPr>
          <w:i/>
          <w:color w:val="231F20"/>
          <w:spacing w:val="28"/>
          <w:w w:val="105"/>
          <w:sz w:val="20"/>
        </w:rPr>
        <w:t> </w:t>
      </w:r>
      <w:r>
        <w:rPr>
          <w:i/>
          <w:color w:val="231F20"/>
          <w:spacing w:val="-3"/>
          <w:w w:val="105"/>
          <w:sz w:val="20"/>
        </w:rPr>
        <w:t>pressure </w:t>
      </w:r>
      <w:r>
        <w:rPr>
          <w:color w:val="231F20"/>
          <w:w w:val="105"/>
          <w:sz w:val="20"/>
        </w:rPr>
        <w:t>(increasing</w:t>
      </w:r>
      <w:r>
        <w:rPr>
          <w:color w:val="231F20"/>
          <w:spacing w:val="-10"/>
          <w:w w:val="105"/>
          <w:sz w:val="20"/>
        </w:rPr>
        <w:t> </w:t>
      </w:r>
      <w:r>
        <w:rPr>
          <w:color w:val="231F20"/>
          <w:w w:val="105"/>
          <w:sz w:val="20"/>
        </w:rPr>
        <w:t>the</w:t>
      </w:r>
      <w:r>
        <w:rPr>
          <w:color w:val="231F20"/>
          <w:spacing w:val="-10"/>
          <w:w w:val="105"/>
          <w:sz w:val="20"/>
        </w:rPr>
        <w:t> </w:t>
      </w:r>
      <w:r>
        <w:rPr>
          <w:color w:val="231F20"/>
          <w:w w:val="105"/>
          <w:sz w:val="20"/>
        </w:rPr>
        <w:t>plasma</w:t>
      </w:r>
      <w:r>
        <w:rPr>
          <w:color w:val="231F20"/>
          <w:spacing w:val="-10"/>
          <w:w w:val="105"/>
          <w:sz w:val="20"/>
        </w:rPr>
        <w:t> </w:t>
      </w:r>
      <w:r>
        <w:rPr>
          <w:color w:val="231F20"/>
          <w:w w:val="105"/>
          <w:sz w:val="20"/>
        </w:rPr>
        <w:t>protein</w:t>
      </w:r>
      <w:r>
        <w:rPr>
          <w:color w:val="231F20"/>
          <w:spacing w:val="-9"/>
          <w:w w:val="105"/>
          <w:sz w:val="20"/>
        </w:rPr>
        <w:t> </w:t>
      </w:r>
      <w:r>
        <w:rPr>
          <w:color w:val="231F20"/>
          <w:w w:val="105"/>
          <w:sz w:val="20"/>
        </w:rPr>
        <w:t>concentration</w:t>
      </w:r>
      <w:r>
        <w:rPr>
          <w:color w:val="231F20"/>
          <w:spacing w:val="-10"/>
          <w:w w:val="105"/>
          <w:sz w:val="20"/>
        </w:rPr>
        <w:t> </w:t>
      </w:r>
      <w:r>
        <w:rPr>
          <w:color w:val="231F20"/>
          <w:w w:val="105"/>
          <w:sz w:val="20"/>
        </w:rPr>
        <w:t>of</w:t>
      </w:r>
      <w:r>
        <w:rPr>
          <w:color w:val="231F20"/>
          <w:spacing w:val="-10"/>
          <w:w w:val="105"/>
          <w:sz w:val="20"/>
        </w:rPr>
        <w:t> </w:t>
      </w:r>
      <w:r>
        <w:rPr>
          <w:color w:val="231F20"/>
          <w:spacing w:val="-3"/>
          <w:w w:val="105"/>
          <w:sz w:val="20"/>
        </w:rPr>
        <w:t>systemic </w:t>
      </w:r>
      <w:r>
        <w:rPr>
          <w:color w:val="231F20"/>
          <w:w w:val="105"/>
          <w:sz w:val="20"/>
        </w:rPr>
        <w:t>blood</w:t>
      </w:r>
      <w:r>
        <w:rPr>
          <w:color w:val="231F20"/>
          <w:spacing w:val="-13"/>
          <w:w w:val="105"/>
          <w:sz w:val="20"/>
        </w:rPr>
        <w:t> </w:t>
      </w:r>
      <w:r>
        <w:rPr>
          <w:color w:val="231F20"/>
          <w:w w:val="105"/>
          <w:sz w:val="20"/>
        </w:rPr>
        <w:t>tends</w:t>
      </w:r>
      <w:r>
        <w:rPr>
          <w:color w:val="231F20"/>
          <w:spacing w:val="-12"/>
          <w:w w:val="105"/>
          <w:sz w:val="20"/>
        </w:rPr>
        <w:t> </w:t>
      </w:r>
      <w:r>
        <w:rPr>
          <w:color w:val="231F20"/>
          <w:w w:val="105"/>
          <w:sz w:val="20"/>
        </w:rPr>
        <w:t>to</w:t>
      </w:r>
      <w:r>
        <w:rPr>
          <w:color w:val="231F20"/>
          <w:spacing w:val="-13"/>
          <w:w w:val="105"/>
          <w:sz w:val="20"/>
        </w:rPr>
        <w:t> </w:t>
      </w:r>
      <w:r>
        <w:rPr>
          <w:color w:val="231F20"/>
          <w:w w:val="105"/>
          <w:sz w:val="20"/>
        </w:rPr>
        <w:t>raise</w:t>
      </w:r>
      <w:r>
        <w:rPr>
          <w:color w:val="231F20"/>
          <w:spacing w:val="-12"/>
          <w:w w:val="105"/>
          <w:sz w:val="20"/>
        </w:rPr>
        <w:t> </w:t>
      </w:r>
      <w:r>
        <w:rPr>
          <w:color w:val="231F20"/>
          <w:w w:val="105"/>
          <w:sz w:val="20"/>
        </w:rPr>
        <w:t>peritubular</w:t>
      </w:r>
      <w:r>
        <w:rPr>
          <w:color w:val="231F20"/>
          <w:spacing w:val="-13"/>
          <w:w w:val="105"/>
          <w:sz w:val="20"/>
        </w:rPr>
        <w:t> </w:t>
      </w:r>
      <w:r>
        <w:rPr>
          <w:color w:val="231F20"/>
          <w:w w:val="105"/>
          <w:sz w:val="20"/>
        </w:rPr>
        <w:t>capillary</w:t>
      </w:r>
      <w:r>
        <w:rPr>
          <w:color w:val="231F20"/>
          <w:spacing w:val="-12"/>
          <w:w w:val="105"/>
          <w:sz w:val="20"/>
        </w:rPr>
        <w:t> </w:t>
      </w:r>
      <w:r>
        <w:rPr>
          <w:color w:val="231F20"/>
          <w:w w:val="105"/>
          <w:sz w:val="20"/>
        </w:rPr>
        <w:t>colloid</w:t>
      </w:r>
      <w:r>
        <w:rPr>
          <w:color w:val="231F20"/>
          <w:spacing w:val="-12"/>
          <w:w w:val="105"/>
          <w:sz w:val="20"/>
        </w:rPr>
        <w:t> </w:t>
      </w:r>
      <w:r>
        <w:rPr>
          <w:color w:val="231F20"/>
          <w:w w:val="105"/>
          <w:sz w:val="20"/>
        </w:rPr>
        <w:t>osmotic pressure,</w:t>
      </w:r>
      <w:r>
        <w:rPr>
          <w:color w:val="231F20"/>
          <w:spacing w:val="-16"/>
          <w:w w:val="105"/>
          <w:sz w:val="20"/>
        </w:rPr>
        <w:t> </w:t>
      </w:r>
      <w:r>
        <w:rPr>
          <w:color w:val="231F20"/>
          <w:w w:val="105"/>
          <w:sz w:val="20"/>
        </w:rPr>
        <w:t>thereby</w:t>
      </w:r>
      <w:r>
        <w:rPr>
          <w:color w:val="231F20"/>
          <w:spacing w:val="-16"/>
          <w:w w:val="105"/>
          <w:sz w:val="20"/>
        </w:rPr>
        <w:t> </w:t>
      </w:r>
      <w:r>
        <w:rPr>
          <w:color w:val="231F20"/>
          <w:w w:val="105"/>
          <w:sz w:val="20"/>
        </w:rPr>
        <w:t>increasing</w:t>
      </w:r>
      <w:r>
        <w:rPr>
          <w:color w:val="231F20"/>
          <w:spacing w:val="-15"/>
          <w:w w:val="105"/>
          <w:sz w:val="20"/>
        </w:rPr>
        <w:t> </w:t>
      </w:r>
      <w:r>
        <w:rPr>
          <w:color w:val="231F20"/>
          <w:w w:val="105"/>
          <w:sz w:val="20"/>
        </w:rPr>
        <w:t>reabsorption)</w:t>
      </w:r>
      <w:r>
        <w:rPr>
          <w:color w:val="231F20"/>
          <w:spacing w:val="-16"/>
          <w:w w:val="105"/>
          <w:sz w:val="20"/>
        </w:rPr>
        <w:t> </w:t>
      </w:r>
      <w:r>
        <w:rPr>
          <w:color w:val="231F20"/>
          <w:w w:val="105"/>
          <w:sz w:val="20"/>
        </w:rPr>
        <w:t>and</w:t>
      </w:r>
      <w:r>
        <w:rPr>
          <w:color w:val="231F20"/>
          <w:spacing w:val="-16"/>
          <w:w w:val="105"/>
          <w:sz w:val="20"/>
        </w:rPr>
        <w:t> </w:t>
      </w:r>
      <w:r>
        <w:rPr>
          <w:color w:val="231F20"/>
          <w:w w:val="105"/>
          <w:sz w:val="20"/>
        </w:rPr>
        <w:t>(2)</w:t>
      </w:r>
      <w:r>
        <w:rPr>
          <w:color w:val="231F20"/>
          <w:spacing w:val="-15"/>
          <w:w w:val="105"/>
          <w:sz w:val="20"/>
        </w:rPr>
        <w:t> </w:t>
      </w:r>
      <w:r>
        <w:rPr>
          <w:i/>
          <w:color w:val="231F20"/>
          <w:w w:val="105"/>
          <w:sz w:val="20"/>
        </w:rPr>
        <w:t>the</w:t>
      </w:r>
      <w:r>
        <w:rPr>
          <w:i/>
          <w:color w:val="231F20"/>
          <w:spacing w:val="-16"/>
          <w:w w:val="105"/>
          <w:sz w:val="20"/>
        </w:rPr>
        <w:t> </w:t>
      </w:r>
      <w:r>
        <w:rPr>
          <w:i/>
          <w:color w:val="231F20"/>
          <w:w w:val="105"/>
          <w:sz w:val="20"/>
        </w:rPr>
        <w:t>fil- </w:t>
      </w:r>
      <w:r>
        <w:rPr>
          <w:i/>
          <w:color w:val="231F20"/>
          <w:w w:val="105"/>
          <w:sz w:val="20"/>
        </w:rPr>
        <w:t>tration</w:t>
      </w:r>
      <w:r>
        <w:rPr>
          <w:i/>
          <w:color w:val="231F20"/>
          <w:spacing w:val="37"/>
          <w:w w:val="105"/>
          <w:sz w:val="20"/>
        </w:rPr>
        <w:t> </w:t>
      </w:r>
      <w:r>
        <w:rPr>
          <w:i/>
          <w:color w:val="231F20"/>
          <w:w w:val="105"/>
          <w:sz w:val="20"/>
        </w:rPr>
        <w:t>fraction</w:t>
      </w:r>
      <w:r>
        <w:rPr>
          <w:i/>
          <w:color w:val="231F20"/>
          <w:spacing w:val="38"/>
          <w:w w:val="105"/>
          <w:sz w:val="20"/>
        </w:rPr>
        <w:t> </w:t>
      </w:r>
      <w:r>
        <w:rPr>
          <w:color w:val="231F20"/>
          <w:w w:val="105"/>
          <w:sz w:val="20"/>
        </w:rPr>
        <w:t>(the</w:t>
      </w:r>
      <w:r>
        <w:rPr>
          <w:color w:val="231F20"/>
          <w:spacing w:val="37"/>
          <w:w w:val="105"/>
          <w:sz w:val="20"/>
        </w:rPr>
        <w:t> </w:t>
      </w:r>
      <w:r>
        <w:rPr>
          <w:color w:val="231F20"/>
          <w:w w:val="105"/>
          <w:sz w:val="20"/>
        </w:rPr>
        <w:t>higher</w:t>
      </w:r>
      <w:r>
        <w:rPr>
          <w:color w:val="231F20"/>
          <w:spacing w:val="38"/>
          <w:w w:val="105"/>
          <w:sz w:val="20"/>
        </w:rPr>
        <w:t> </w:t>
      </w:r>
      <w:r>
        <w:rPr>
          <w:color w:val="231F20"/>
          <w:w w:val="105"/>
          <w:sz w:val="20"/>
        </w:rPr>
        <w:t>the</w:t>
      </w:r>
      <w:r>
        <w:rPr>
          <w:color w:val="231F20"/>
          <w:spacing w:val="37"/>
          <w:w w:val="105"/>
          <w:sz w:val="20"/>
        </w:rPr>
        <w:t> </w:t>
      </w:r>
      <w:r>
        <w:rPr>
          <w:color w:val="231F20"/>
          <w:w w:val="105"/>
          <w:sz w:val="20"/>
        </w:rPr>
        <w:t>filtration</w:t>
      </w:r>
      <w:r>
        <w:rPr>
          <w:color w:val="231F20"/>
          <w:spacing w:val="38"/>
          <w:w w:val="105"/>
          <w:sz w:val="20"/>
        </w:rPr>
        <w:t> </w:t>
      </w:r>
      <w:r>
        <w:rPr>
          <w:color w:val="231F20"/>
          <w:w w:val="105"/>
          <w:sz w:val="20"/>
        </w:rPr>
        <w:t>fraction,</w:t>
      </w:r>
      <w:r>
        <w:rPr>
          <w:color w:val="231F20"/>
          <w:spacing w:val="38"/>
          <w:w w:val="105"/>
          <w:sz w:val="20"/>
        </w:rPr>
        <w:t> </w:t>
      </w:r>
      <w:r>
        <w:rPr>
          <w:color w:val="231F20"/>
          <w:spacing w:val="-7"/>
          <w:w w:val="105"/>
          <w:sz w:val="20"/>
        </w:rPr>
        <w:t>the</w:t>
      </w:r>
    </w:p>
    <w:p>
      <w:pPr>
        <w:pStyle w:val="BodyText"/>
        <w:spacing w:before="2"/>
        <w:rPr>
          <w:sz w:val="21"/>
        </w:rPr>
      </w:pPr>
      <w:r>
        <w:rPr/>
        <w:br w:type="column"/>
      </w:r>
      <w:r>
        <w:rPr>
          <w:sz w:val="21"/>
        </w:rPr>
      </w:r>
    </w:p>
    <w:p>
      <w:pPr>
        <w:spacing w:before="0"/>
        <w:ind w:left="1608" w:right="0" w:firstLine="0"/>
        <w:jc w:val="left"/>
        <w:rPr>
          <w:rFonts w:ascii="Helvetica"/>
          <w:b/>
          <w:sz w:val="16"/>
        </w:rPr>
      </w:pPr>
      <w:r>
        <w:rPr>
          <w:rFonts w:ascii="Helvetica"/>
          <w:b/>
          <w:color w:val="231F20"/>
          <w:sz w:val="16"/>
        </w:rPr>
        <w:t>Decreased reabsorption</w:t>
      </w:r>
    </w:p>
    <w:p>
      <w:pPr>
        <w:pStyle w:val="BodyText"/>
        <w:rPr>
          <w:rFonts w:ascii="Helvetica"/>
          <w:b/>
          <w:sz w:val="18"/>
        </w:rPr>
      </w:pPr>
    </w:p>
    <w:p>
      <w:pPr>
        <w:pStyle w:val="BodyText"/>
        <w:spacing w:before="9"/>
        <w:rPr>
          <w:rFonts w:ascii="Helvetica"/>
          <w:b/>
          <w:sz w:val="16"/>
        </w:rPr>
      </w:pPr>
    </w:p>
    <w:p>
      <w:pPr>
        <w:spacing w:before="0"/>
        <w:ind w:left="941" w:right="0" w:firstLine="0"/>
        <w:jc w:val="left"/>
        <w:rPr>
          <w:rFonts w:ascii="Helvetica"/>
          <w:sz w:val="12"/>
        </w:rPr>
      </w:pPr>
      <w:r>
        <w:rPr/>
        <w:pict>
          <v:group style="position:absolute;margin-left:413.387512pt;margin-top:-.717087pt;width:116.5pt;height:123.6pt;mso-position-horizontal-relative:page;mso-position-vertical-relative:paragraph;z-index:-273156096" coordorigin="8268,-14" coordsize="2330,2472">
            <v:shape style="position:absolute;left:8790;top:13;width:1438;height:362" coordorigin="8791,13" coordsize="1438,362" path="m10229,13l8791,14,8791,161,8798,199,8819,230,8850,251,8888,258,9661,258,9679,259,9723,264,9781,276,9840,300,9889,324,9950,349,10015,368,10076,374,10130,365,10177,340,10212,295,10229,225,10229,13xe" filled="true" fillcolor="#feede3" stroked="false">
              <v:path arrowok="t"/>
              <v:fill type="solid"/>
            </v:shape>
            <v:shape style="position:absolute;left:8790;top:13;width:1438;height:362" coordorigin="8791,13" coordsize="1438,362" path="m10229,225l10212,295,10177,340,10130,365,10076,374,10015,368,9950,349,9889,324,9840,300,9781,276,9723,264,9679,259,9661,258,8888,258,8850,251,8819,230,8798,199,8791,161,8791,14,10229,13,10229,225xe" filled="false" stroked="true" strokeweight=".75pt" strokecolor="#e2874a">
              <v:path arrowok="t"/>
              <v:stroke dashstyle="solid"/>
            </v:shape>
            <v:shape style="position:absolute;left:8790;top:422;width:1438;height:1468" coordorigin="8791,423" coordsize="1438,1468" path="m10076,423l10015,429,9950,448,9889,473,9796,521,9762,533,9723,538,9661,538,8888,538,8850,546,8819,567,8798,598,8791,635,8791,1677,8798,1715,8819,1746,8850,1767,8888,1774,9661,1774,9679,1775,9723,1780,9781,1792,9840,1816,9889,1840,9950,1865,10015,1884,10076,1890,10130,1881,10177,1856,10212,1811,10229,1741,10229,572,10212,502,10177,457,10130,432,10076,423xe" filled="true" fillcolor="#feede3" stroked="false">
              <v:path arrowok="t"/>
              <v:fill type="solid"/>
            </v:shape>
            <v:shape style="position:absolute;left:8790;top:422;width:1438;height:1468" coordorigin="8791,423" coordsize="1438,1468" path="m10229,1741l10212,1811,10177,1856,10130,1881,10076,1890,10015,1884,9950,1865,9889,1840,9840,1816,9781,1792,9723,1780,9679,1775,9661,1774,8888,1774,8850,1767,8819,1746,8798,1715,8791,1677,8791,635,8798,598,8819,567,8850,546,8888,538,9661,538,9723,538,9762,533,9796,521,9840,497,9889,473,9950,448,10015,429,10076,423,10130,432,10177,457,10212,502,10229,572,10229,1741xe" filled="false" stroked="true" strokeweight=".75pt" strokecolor="#e2874a">
              <v:path arrowok="t"/>
              <v:stroke dashstyle="solid"/>
            </v:shape>
            <v:line style="position:absolute" from="9005,790" to="8466,790" stroked="true" strokeweight="2pt" strokecolor="#f0535f">
              <v:stroke dashstyle="solid"/>
            </v:line>
            <v:shape style="position:absolute;left:8618;top:776;width:351;height:351" type="#_x0000_t75" stroked="false">
              <v:imagedata r:id="rId675" o:title=""/>
            </v:shape>
            <v:shape style="position:absolute;left:8790;top:2067;width:1438;height:362" coordorigin="8791,2068" coordsize="1438,362" path="m10076,2068l10015,2074,9950,2093,9889,2118,9840,2142,9781,2166,9723,2178,9679,2183,9661,2184,8888,2184,8850,2191,8819,2212,8798,2243,8791,2281,8791,2428,10229,2429,10229,2217,10212,2147,10177,2102,10130,2077,10076,2068xe" filled="true" fillcolor="#feede3" stroked="false">
              <v:path arrowok="t"/>
              <v:fill type="solid"/>
            </v:shape>
            <v:shape style="position:absolute;left:8790;top:2067;width:1438;height:362" coordorigin="8791,2068" coordsize="1438,362" path="m10229,2217l10212,2147,10177,2102,10130,2077,10076,2068,10015,2074,9950,2093,9889,2118,9840,2142,9781,2166,9723,2178,9679,2183,9661,2184,8888,2184,8850,2191,8819,2212,8798,2243,8791,2281,8791,2428,10229,2429,10229,2217xe" filled="false" stroked="true" strokeweight=".75pt" strokecolor="#e2874a">
              <v:path arrowok="t"/>
              <v:stroke dashstyle="solid"/>
            </v:shape>
            <v:shape style="position:absolute;left:8942;top:1922;width:137;height:212" type="#_x0000_t75" stroked="false">
              <v:imagedata r:id="rId676" o:title=""/>
            </v:shape>
            <v:line style="position:absolute" from="9225,1432" to="8573,1432" stroked="true" strokeweight="3pt" strokecolor="#f0535f">
              <v:stroke dashstyle="shortdash"/>
            </v:line>
            <v:shape style="position:absolute;left:8379;top:1347;width:264;height:172" type="#_x0000_t75" stroked="false">
              <v:imagedata r:id="rId677" o:title=""/>
            </v:shape>
            <v:shape style="position:absolute;left:8267;top:708;width:264;height:172" type="#_x0000_t75" stroked="false">
              <v:imagedata r:id="rId678" o:title=""/>
            </v:shape>
            <v:line style="position:absolute" from="10597,1432" to="9946,1432" stroked="true" strokeweight="3pt" strokecolor="#f0535f">
              <v:stroke dashstyle="shortdash"/>
            </v:line>
            <v:shape style="position:absolute;left:9752;top:1347;width:264;height:172" type="#_x0000_t75" stroked="false">
              <v:imagedata r:id="rId679" o:title=""/>
            </v:shape>
            <v:line style="position:absolute" from="9548,1978" to="10200,1978" stroked="true" strokeweight="3pt" strokecolor="#f0535f">
              <v:stroke dashstyle="shortdash"/>
            </v:line>
            <v:shape style="position:absolute;left:10129;top:1893;width:264;height:172" type="#_x0000_t75" stroked="false">
              <v:imagedata r:id="rId680" o:title=""/>
            </v:shape>
            <v:shape style="position:absolute;left:0;top:10291;width:1535;height:2412" coordorigin="0,10291" coordsize="1535,2412" path="m8751,16l10286,16m8751,2427l10286,2427e" filled="false" stroked="true" strokeweight="3pt" strokecolor="#ffffff">
              <v:path arrowok="t"/>
              <v:stroke dashstyle="solid"/>
            </v:shape>
            <v:line style="position:absolute" from="9013,1546" to="9013,1991" stroked="true" strokeweight="2pt" strokecolor="#f0535f">
              <v:stroke dashstyle="solid"/>
            </v:line>
            <v:shape style="position:absolute;left:8999;top:1602;width:351;height:351" type="#_x0000_t75" stroked="false">
              <v:imagedata r:id="rId681" o:title=""/>
            </v:shape>
            <w10:wrap type="none"/>
          </v:group>
        </w:pict>
      </w:r>
      <w:r>
        <w:rPr/>
        <w:pict>
          <v:group style="position:absolute;margin-left:326.938202pt;margin-top:-19.315079pt;width:74pt;height:129.5500pt;mso-position-horizontal-relative:page;mso-position-vertical-relative:paragraph;z-index:-273155072" coordorigin="6539,-386" coordsize="1480,2591">
            <v:shape style="position:absolute;left:6548;top:-261;width:1127;height:2456" type="#_x0000_t75" stroked="false">
              <v:imagedata r:id="rId682" o:title=""/>
            </v:shape>
            <v:shape style="position:absolute;left:6548;top:-261;width:1127;height:2456" coordorigin="6549,-261" coordsize="1127,2456" path="m7674,2068l7675,2070,7675,2072,7675,2074,7631,2121,7510,2159,7427,2174,7331,2185,7225,2192,7112,2194,6998,2192,6893,2185,6797,2174,6714,2159,6645,2142,6560,2099,6549,2074,6549,2072,6549,2070,6550,2068,6550,-261,7674,-261,7674,2068xe" filled="false" stroked="true" strokeweight="1pt" strokecolor="#c63231">
              <v:path arrowok="t"/>
              <v:stroke dashstyle="solid"/>
            </v:shape>
            <v:shape style="position:absolute;left:6548;top:-379;width:1127;height:240" coordorigin="6549,-379" coordsize="1127,240" path="m7112,-379l6998,-376,6893,-369,6797,-358,6714,-344,6645,-326,6560,-283,6549,-259,6560,-235,6645,-192,6714,-174,6797,-159,6893,-148,6998,-141,7112,-139,7225,-141,7331,-148,7427,-159,7510,-174,7579,-192,7664,-235,7675,-259,7664,-283,7579,-326,7510,-344,7427,-358,7331,-369,7225,-376,7112,-379xe" filled="true" fillcolor="#f1c1bb" stroked="false">
              <v:path arrowok="t"/>
              <v:fill type="solid"/>
            </v:shape>
            <v:shape style="position:absolute;left:6548;top:-379;width:1127;height:240" coordorigin="6549,-379" coordsize="1127,240" path="m7675,-259l7631,-212,7510,-174,7427,-159,7331,-148,7225,-141,7112,-139,6998,-141,6893,-148,6797,-159,6714,-174,6645,-192,6560,-235,6549,-259,6560,-283,6645,-326,6714,-344,6797,-358,6893,-369,6998,-376,7112,-379,7225,-376,7331,-369,7427,-358,7510,-344,7579,-326,7664,-283,7675,-259xe" filled="false" stroked="true" strokeweight=".75pt" strokecolor="#c63231">
              <v:path arrowok="t"/>
              <v:stroke dashstyle="solid"/>
            </v:shape>
            <v:shape style="position:absolute;left:6706;top:-324;width:811;height:130" type="#_x0000_t75" stroked="false">
              <v:imagedata r:id="rId683" o:title=""/>
            </v:shape>
            <v:shape style="position:absolute;left:6706;top:-324;width:811;height:130" coordorigin="6707,-324" coordsize="811,130" path="m7517,-259l7462,-226,7398,-213,7316,-203,7220,-196,7112,-194,7004,-196,6908,-203,6826,-213,6762,-226,6707,-259,6721,-276,6826,-305,6908,-315,7004,-321,7112,-324,7220,-321,7316,-315,7398,-305,7462,-292,7517,-259xe" filled="false" stroked="true" strokeweight=".75pt" strokecolor="#c63231">
              <v:path arrowok="t"/>
              <v:stroke dashstyle="solid"/>
            </v:shape>
            <v:line style="position:absolute" from="7675,382" to="7402,382" stroked="true" strokeweight="1.5pt" strokecolor="#f0535f">
              <v:stroke dashstyle="solid"/>
            </v:line>
            <v:shape style="position:absolute;left:7299;top:324;width:176;height:115" coordorigin="7300,324" coordsize="176,115" path="m7474,324l7389,360,7300,381,7389,402,7473,438,7475,437,7444,381,7476,325,7474,324xe" filled="true" fillcolor="#f0535f" stroked="false">
              <v:path arrowok="t"/>
              <v:fill type="solid"/>
            </v:shape>
            <v:line style="position:absolute" from="7294,121" to="7508,121" stroked="true" strokeweight="2pt" strokecolor="#f0535f">
              <v:stroke dashstyle="solid"/>
            </v:line>
            <v:shape style="position:absolute;left:7466;top:51;width:212;height:137" coordorigin="7467,52" coordsize="212,137" path="m7469,52l7467,53,7505,120,7467,187,7469,188,7571,145,7678,119,7571,95,7469,52xe" filled="true" fillcolor="#f0535f" stroked="false">
              <v:path arrowok="t"/>
              <v:fill type="solid"/>
            </v:shape>
            <v:line style="position:absolute" from="6989,287" to="6989,406" stroked="true" strokeweight="2pt" strokecolor="#f0535f">
              <v:stroke dashstyle="solid"/>
            </v:line>
            <v:shape style="position:absolute;left:6921;top:364;width:137;height:212" coordorigin="6921,364" coordsize="137,212" path="m6923,365l6921,367,6965,469,6991,575,7015,469,7043,403,6990,403,6923,365xm7057,364l6990,403,7043,403,7058,366,7057,364xe" filled="true" fillcolor="#f0535f" stroked="false">
              <v:path arrowok="t"/>
              <v:fill type="solid"/>
            </v:shape>
            <v:line style="position:absolute" from="6989,194" to="6989,75" stroked="true" strokeweight="2pt" strokecolor="#f0535f">
              <v:stroke dashstyle="solid"/>
            </v:line>
            <v:shape style="position:absolute;left:6921;top:-95;width:137;height:212" coordorigin="6921,-94" coordsize="137,212" path="m7043,79l6990,79,7057,117,7058,115,7043,79xm6991,-94l6965,13,6921,114,6923,117,6990,79,7043,79,7015,12,6991,-94xe" filled="true" fillcolor="#f0535f" stroked="false">
              <v:path arrowok="t"/>
              <v:fill type="solid"/>
            </v:shape>
            <v:line style="position:absolute" from="8018,1432" to="7497,1432" stroked="true" strokeweight="2.25pt" strokecolor="#f0535f">
              <v:stroke dashstyle="shortdash"/>
            </v:line>
            <v:shape style="position:absolute;left:7323;top:1363;width:212;height:137" type="#_x0000_t75" stroked="false">
              <v:imagedata r:id="rId684" o:title=""/>
            </v:shape>
            <w10:wrap type="none"/>
          </v:group>
        </w:pict>
      </w:r>
      <w:r>
        <w:rPr>
          <w:rFonts w:ascii="Helvetica"/>
          <w:color w:val="231F20"/>
          <w:sz w:val="16"/>
        </w:rPr>
        <w:t>P</w:t>
      </w:r>
      <w:r>
        <w:rPr>
          <w:rFonts w:ascii="Helvetica"/>
          <w:color w:val="231F20"/>
          <w:position w:val="-4"/>
          <w:sz w:val="12"/>
        </w:rPr>
        <w:t>c</w:t>
      </w:r>
    </w:p>
    <w:p>
      <w:pPr>
        <w:spacing w:before="17"/>
        <w:ind w:left="951" w:right="0" w:firstLine="0"/>
        <w:jc w:val="left"/>
        <w:rPr>
          <w:rFonts w:ascii="Helvetica" w:hAnsi="Helvetica"/>
          <w:sz w:val="12"/>
        </w:rPr>
      </w:pPr>
      <w:r>
        <w:rPr>
          <w:rFonts w:ascii="Symbol" w:hAnsi="Symbol"/>
          <w:color w:val="231F20"/>
          <w:sz w:val="16"/>
        </w:rPr>
        <w:t></w:t>
      </w:r>
      <w:r>
        <w:rPr>
          <w:rFonts w:ascii="Helvetica" w:hAnsi="Helvetica"/>
          <w:color w:val="231F20"/>
          <w:position w:val="-4"/>
          <w:sz w:val="12"/>
        </w:rPr>
        <w:t>c</w:t>
      </w:r>
    </w:p>
    <w:p>
      <w:pPr>
        <w:pStyle w:val="BodyText"/>
        <w:spacing w:before="3"/>
        <w:rPr>
          <w:rFonts w:ascii="Helvetica"/>
          <w:sz w:val="33"/>
        </w:rPr>
      </w:pPr>
    </w:p>
    <w:p>
      <w:pPr>
        <w:spacing w:line="180" w:lineRule="exact" w:before="0"/>
        <w:ind w:left="0" w:right="641" w:firstLine="0"/>
        <w:jc w:val="right"/>
        <w:rPr>
          <w:rFonts w:ascii="Helvetica"/>
          <w:sz w:val="16"/>
        </w:rPr>
      </w:pPr>
      <w:r>
        <w:rPr>
          <w:rFonts w:ascii="Helvetica"/>
          <w:color w:val="231F20"/>
          <w:sz w:val="16"/>
        </w:rPr>
        <w:t>ATP</w:t>
      </w:r>
    </w:p>
    <w:p>
      <w:pPr>
        <w:spacing w:line="235" w:lineRule="auto" w:before="0"/>
        <w:ind w:left="1556" w:right="878" w:hanging="54"/>
        <w:jc w:val="left"/>
        <w:rPr>
          <w:rFonts w:ascii="Helvetica"/>
          <w:sz w:val="16"/>
        </w:rPr>
      </w:pPr>
      <w:r>
        <w:rPr>
          <w:rFonts w:ascii="Helvetica"/>
          <w:color w:val="231F20"/>
          <w:sz w:val="16"/>
        </w:rPr>
        <w:t>Decreased net reabsorption</w:t>
      </w:r>
    </w:p>
    <w:p>
      <w:pPr>
        <w:pStyle w:val="BodyText"/>
        <w:spacing w:before="9"/>
        <w:rPr>
          <w:rFonts w:ascii="Helvetica"/>
          <w:sz w:val="24"/>
        </w:rPr>
      </w:pPr>
    </w:p>
    <w:p>
      <w:pPr>
        <w:spacing w:before="0"/>
        <w:ind w:left="0" w:right="259" w:firstLine="0"/>
        <w:jc w:val="right"/>
        <w:rPr>
          <w:rFonts w:ascii="Helvetica"/>
          <w:sz w:val="16"/>
        </w:rPr>
      </w:pPr>
      <w:r>
        <w:rPr>
          <w:rFonts w:ascii="Helvetica"/>
          <w:color w:val="231F20"/>
          <w:sz w:val="16"/>
        </w:rPr>
        <w:t>ATP</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
        <w:rPr>
          <w:rFonts w:ascii="Helvetica"/>
          <w:sz w:val="19"/>
        </w:rPr>
      </w:pPr>
    </w:p>
    <w:p>
      <w:pPr>
        <w:spacing w:line="235" w:lineRule="auto" w:before="1"/>
        <w:ind w:left="793" w:right="1119" w:hanging="36"/>
        <w:jc w:val="left"/>
        <w:rPr>
          <w:rFonts w:ascii="Helvetica"/>
          <w:sz w:val="16"/>
        </w:rPr>
      </w:pPr>
      <w:r>
        <w:rPr>
          <w:rFonts w:ascii="Helvetica"/>
          <w:color w:val="231F20"/>
          <w:sz w:val="16"/>
        </w:rPr>
        <w:t>Increased backleak</w:t>
      </w:r>
    </w:p>
    <w:p>
      <w:pPr>
        <w:spacing w:after="0" w:line="235" w:lineRule="auto"/>
        <w:jc w:val="left"/>
        <w:rPr>
          <w:rFonts w:ascii="Helvetica"/>
          <w:sz w:val="16"/>
        </w:rPr>
        <w:sectPr>
          <w:type w:val="continuous"/>
          <w:pgSz w:w="12240" w:h="15660"/>
          <w:pgMar w:top="0" w:bottom="760" w:left="0" w:right="0"/>
          <w:cols w:num="3" w:equalWidth="0">
            <w:col w:w="6121" w:space="40"/>
            <w:col w:w="3441" w:space="39"/>
            <w:col w:w="2599"/>
          </w:cols>
        </w:sectPr>
      </w:pPr>
    </w:p>
    <w:p>
      <w:pPr>
        <w:pStyle w:val="BodyText"/>
        <w:spacing w:line="249" w:lineRule="auto" w:before="8"/>
        <w:ind w:left="1440"/>
        <w:jc w:val="both"/>
      </w:pPr>
      <w:r>
        <w:rPr/>
        <w:pict>
          <v:group style="position:absolute;margin-left:0pt;margin-top:0pt;width:612pt;height:180pt;mso-position-horizontal-relative:page;mso-position-vertical-relative:page;z-index:-27316019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v:shape style="position:absolute;left:1440;top:1600;width:4680;height:1685" type="#_x0000_t202" filled="true" fillcolor="#e6ecf7" stroked="false">
              <v:textbox inset="0,0,0,0">
                <w:txbxContent>
                  <w:p>
                    <w:pPr>
                      <w:spacing w:line="232" w:lineRule="exact" w:before="0"/>
                      <w:ind w:left="120" w:right="0" w:firstLine="0"/>
                      <w:jc w:val="left"/>
                      <w:rPr>
                        <w:rFonts w:ascii="Trebuchet MS" w:hAnsi="Trebuchet MS"/>
                        <w:sz w:val="16"/>
                      </w:rPr>
                    </w:pPr>
                    <w:r>
                      <w:rPr>
                        <w:rFonts w:ascii="Arial Unicode MS" w:hAnsi="Arial Unicode MS"/>
                        <w:color w:val="231F20"/>
                        <w:sz w:val="16"/>
                      </w:rPr>
                      <w:t>↑ </w:t>
                    </w:r>
                    <w:r>
                      <w:rPr>
                        <w:rFonts w:ascii="Trebuchet MS" w:hAnsi="Trebuchet MS"/>
                        <w:color w:val="231F20"/>
                        <w:sz w:val="16"/>
                      </w:rPr>
                      <w:t>P</w:t>
                    </w:r>
                    <w:r>
                      <w:rPr>
                        <w:rFonts w:ascii="Trebuchet MS" w:hAnsi="Trebuchet MS"/>
                        <w:color w:val="231F20"/>
                        <w:position w:val="-1"/>
                        <w:sz w:val="9"/>
                      </w:rPr>
                      <w:t>c </w:t>
                    </w:r>
                    <w:r>
                      <w:rPr>
                        <w:rFonts w:ascii="Arial Unicode MS" w:hAnsi="Arial Unicode MS"/>
                        <w:color w:val="231F20"/>
                        <w:w w:val="110"/>
                        <w:sz w:val="16"/>
                      </w:rPr>
                      <w:t>→ </w:t>
                    </w:r>
                    <w:r>
                      <w:rPr>
                        <w:rFonts w:ascii="Arial Unicode MS" w:hAnsi="Arial Unicode MS"/>
                        <w:color w:val="231F20"/>
                        <w:sz w:val="16"/>
                      </w:rPr>
                      <w:t>↓ </w:t>
                    </w:r>
                    <w:r>
                      <w:rPr>
                        <w:rFonts w:ascii="Trebuchet MS" w:hAnsi="Trebuchet MS"/>
                        <w:color w:val="231F20"/>
                        <w:sz w:val="16"/>
                      </w:rPr>
                      <w:t>Reabsorption</w:t>
                    </w:r>
                  </w:p>
                  <w:p>
                    <w:pPr>
                      <w:numPr>
                        <w:ilvl w:val="0"/>
                        <w:numId w:val="17"/>
                      </w:numPr>
                      <w:tabs>
                        <w:tab w:pos="440" w:val="left" w:leader="none"/>
                      </w:tabs>
                      <w:spacing w:line="200" w:lineRule="exact" w:before="0"/>
                      <w:ind w:left="440" w:right="0" w:hanging="160"/>
                      <w:jc w:val="left"/>
                      <w:rPr>
                        <w:rFonts w:ascii="Trebuchet MS" w:hAnsi="Trebuchet MS"/>
                        <w:sz w:val="9"/>
                      </w:rPr>
                    </w:pPr>
                    <w:r>
                      <w:rPr>
                        <w:rFonts w:ascii="Arial Unicode MS" w:hAnsi="Arial Unicode MS"/>
                        <w:color w:val="231F20"/>
                        <w:w w:val="105"/>
                        <w:sz w:val="16"/>
                      </w:rPr>
                      <w:t>↓ </w:t>
                    </w:r>
                    <w:r>
                      <w:rPr>
                        <w:rFonts w:ascii="Trebuchet MS" w:hAnsi="Trebuchet MS"/>
                        <w:color w:val="231F20"/>
                        <w:w w:val="105"/>
                        <w:sz w:val="16"/>
                      </w:rPr>
                      <w:t>R</w:t>
                    </w:r>
                    <w:r>
                      <w:rPr>
                        <w:rFonts w:ascii="Trebuchet MS" w:hAnsi="Trebuchet MS"/>
                        <w:color w:val="231F20"/>
                        <w:w w:val="105"/>
                        <w:position w:val="-1"/>
                        <w:sz w:val="9"/>
                      </w:rPr>
                      <w:t>A  </w:t>
                    </w:r>
                    <w:r>
                      <w:rPr>
                        <w:rFonts w:ascii="Arial Unicode MS" w:hAnsi="Arial Unicode MS"/>
                        <w:color w:val="231F20"/>
                        <w:w w:val="120"/>
                        <w:sz w:val="16"/>
                      </w:rPr>
                      <w:t>→ </w:t>
                    </w:r>
                    <w:r>
                      <w:rPr>
                        <w:rFonts w:ascii="Arial Unicode MS" w:hAnsi="Arial Unicode MS"/>
                        <w:color w:val="231F20"/>
                        <w:w w:val="105"/>
                        <w:sz w:val="16"/>
                      </w:rPr>
                      <w:t>↑</w:t>
                    </w:r>
                    <w:r>
                      <w:rPr>
                        <w:rFonts w:ascii="Arial Unicode MS" w:hAnsi="Arial Unicode MS"/>
                        <w:color w:val="231F20"/>
                        <w:spacing w:val="-16"/>
                        <w:w w:val="105"/>
                        <w:sz w:val="16"/>
                      </w:rPr>
                      <w:t> </w:t>
                    </w:r>
                    <w:r>
                      <w:rPr>
                        <w:rFonts w:ascii="Trebuchet MS" w:hAnsi="Trebuchet MS"/>
                        <w:color w:val="231F20"/>
                        <w:w w:val="105"/>
                        <w:sz w:val="16"/>
                      </w:rPr>
                      <w:t>P</w:t>
                    </w:r>
                    <w:r>
                      <w:rPr>
                        <w:rFonts w:ascii="Trebuchet MS" w:hAnsi="Trebuchet MS"/>
                        <w:color w:val="231F20"/>
                        <w:w w:val="105"/>
                        <w:position w:val="-1"/>
                        <w:sz w:val="9"/>
                      </w:rPr>
                      <w:t>c</w:t>
                    </w:r>
                  </w:p>
                  <w:p>
                    <w:pPr>
                      <w:numPr>
                        <w:ilvl w:val="0"/>
                        <w:numId w:val="17"/>
                      </w:numPr>
                      <w:tabs>
                        <w:tab w:pos="440" w:val="left" w:leader="none"/>
                      </w:tabs>
                      <w:spacing w:line="200" w:lineRule="exact" w:before="0"/>
                      <w:ind w:left="440" w:right="0" w:hanging="160"/>
                      <w:jc w:val="left"/>
                      <w:rPr>
                        <w:rFonts w:ascii="Trebuchet MS" w:hAnsi="Trebuchet MS"/>
                        <w:sz w:val="9"/>
                      </w:rPr>
                    </w:pPr>
                    <w:r>
                      <w:rPr>
                        <w:rFonts w:ascii="Arial Unicode MS" w:hAnsi="Arial Unicode MS"/>
                        <w:color w:val="231F20"/>
                        <w:w w:val="105"/>
                        <w:sz w:val="16"/>
                      </w:rPr>
                      <w:t>↓ </w:t>
                    </w:r>
                    <w:r>
                      <w:rPr>
                        <w:rFonts w:ascii="Trebuchet MS" w:hAnsi="Trebuchet MS"/>
                        <w:color w:val="231F20"/>
                        <w:w w:val="105"/>
                        <w:sz w:val="16"/>
                      </w:rPr>
                      <w:t>R</w:t>
                    </w:r>
                    <w:r>
                      <w:rPr>
                        <w:rFonts w:ascii="Trebuchet MS" w:hAnsi="Trebuchet MS"/>
                        <w:color w:val="231F20"/>
                        <w:w w:val="105"/>
                        <w:position w:val="-1"/>
                        <w:sz w:val="9"/>
                      </w:rPr>
                      <w:t>E  </w:t>
                    </w:r>
                    <w:r>
                      <w:rPr>
                        <w:rFonts w:ascii="Arial Unicode MS" w:hAnsi="Arial Unicode MS"/>
                        <w:color w:val="231F20"/>
                        <w:w w:val="120"/>
                        <w:sz w:val="16"/>
                      </w:rPr>
                      <w:t>→ </w:t>
                    </w:r>
                    <w:r>
                      <w:rPr>
                        <w:rFonts w:ascii="Arial Unicode MS" w:hAnsi="Arial Unicode MS"/>
                        <w:color w:val="231F20"/>
                        <w:w w:val="105"/>
                        <w:sz w:val="16"/>
                      </w:rPr>
                      <w:t>↑</w:t>
                    </w:r>
                    <w:r>
                      <w:rPr>
                        <w:rFonts w:ascii="Arial Unicode MS" w:hAnsi="Arial Unicode MS"/>
                        <w:color w:val="231F20"/>
                        <w:spacing w:val="-27"/>
                        <w:w w:val="105"/>
                        <w:sz w:val="16"/>
                      </w:rPr>
                      <w:t> </w:t>
                    </w:r>
                    <w:r>
                      <w:rPr>
                        <w:rFonts w:ascii="Trebuchet MS" w:hAnsi="Trebuchet MS"/>
                        <w:color w:val="231F20"/>
                        <w:w w:val="105"/>
                        <w:sz w:val="16"/>
                      </w:rPr>
                      <w:t>P</w:t>
                    </w:r>
                    <w:r>
                      <w:rPr>
                        <w:rFonts w:ascii="Trebuchet MS" w:hAnsi="Trebuchet MS"/>
                        <w:color w:val="231F20"/>
                        <w:w w:val="105"/>
                        <w:position w:val="-1"/>
                        <w:sz w:val="9"/>
                      </w:rPr>
                      <w:t>c</w:t>
                    </w:r>
                  </w:p>
                  <w:p>
                    <w:pPr>
                      <w:numPr>
                        <w:ilvl w:val="0"/>
                        <w:numId w:val="17"/>
                      </w:numPr>
                      <w:tabs>
                        <w:tab w:pos="440" w:val="left" w:leader="none"/>
                      </w:tabs>
                      <w:spacing w:line="200" w:lineRule="exact" w:before="0"/>
                      <w:ind w:left="440" w:right="0" w:hanging="160"/>
                      <w:jc w:val="left"/>
                      <w:rPr>
                        <w:rFonts w:ascii="Trebuchet MS" w:hAnsi="Trebuchet MS"/>
                        <w:sz w:val="9"/>
                      </w:rPr>
                    </w:pPr>
                    <w:r>
                      <w:rPr>
                        <w:rFonts w:ascii="Arial Unicode MS" w:hAnsi="Arial Unicode MS"/>
                        <w:color w:val="231F20"/>
                        <w:w w:val="105"/>
                        <w:sz w:val="16"/>
                      </w:rPr>
                      <w:t>↑ </w:t>
                    </w:r>
                    <w:r>
                      <w:rPr>
                        <w:rFonts w:ascii="Trebuchet MS" w:hAnsi="Trebuchet MS"/>
                        <w:color w:val="231F20"/>
                        <w:w w:val="105"/>
                        <w:sz w:val="16"/>
                      </w:rPr>
                      <w:t>Arterial pressure </w:t>
                    </w:r>
                    <w:r>
                      <w:rPr>
                        <w:rFonts w:ascii="Arial Unicode MS" w:hAnsi="Arial Unicode MS"/>
                        <w:color w:val="231F20"/>
                        <w:w w:val="110"/>
                        <w:sz w:val="16"/>
                      </w:rPr>
                      <w:t>→ </w:t>
                    </w:r>
                    <w:r>
                      <w:rPr>
                        <w:rFonts w:ascii="Arial Unicode MS" w:hAnsi="Arial Unicode MS"/>
                        <w:color w:val="231F20"/>
                        <w:w w:val="105"/>
                        <w:sz w:val="16"/>
                      </w:rPr>
                      <w:t>↑</w:t>
                    </w:r>
                    <w:r>
                      <w:rPr>
                        <w:rFonts w:ascii="Arial Unicode MS" w:hAnsi="Arial Unicode MS"/>
                        <w:color w:val="231F20"/>
                        <w:spacing w:val="16"/>
                        <w:w w:val="105"/>
                        <w:sz w:val="16"/>
                      </w:rPr>
                      <w:t> </w:t>
                    </w:r>
                    <w:r>
                      <w:rPr>
                        <w:rFonts w:ascii="Trebuchet MS" w:hAnsi="Trebuchet MS"/>
                        <w:color w:val="231F20"/>
                        <w:w w:val="105"/>
                        <w:sz w:val="16"/>
                      </w:rPr>
                      <w:t>P</w:t>
                    </w:r>
                    <w:r>
                      <w:rPr>
                        <w:rFonts w:ascii="Trebuchet MS" w:hAnsi="Trebuchet MS"/>
                        <w:color w:val="231F20"/>
                        <w:w w:val="105"/>
                        <w:position w:val="-1"/>
                        <w:sz w:val="9"/>
                      </w:rPr>
                      <w:t>c</w:t>
                    </w:r>
                  </w:p>
                  <w:p>
                    <w:pPr>
                      <w:spacing w:line="200" w:lineRule="exact" w:before="0"/>
                      <w:ind w:left="120" w:right="0" w:firstLine="0"/>
                      <w:jc w:val="left"/>
                      <w:rPr>
                        <w:rFonts w:ascii="Trebuchet MS" w:hAnsi="Trebuchet MS"/>
                        <w:sz w:val="16"/>
                      </w:rPr>
                    </w:pPr>
                    <w:r>
                      <w:rPr>
                        <w:rFonts w:ascii="Arial Unicode MS" w:hAnsi="Arial Unicode MS"/>
                        <w:color w:val="231F20"/>
                        <w:sz w:val="16"/>
                      </w:rPr>
                      <w:t>↑ π</w:t>
                    </w:r>
                    <w:r>
                      <w:rPr>
                        <w:rFonts w:ascii="Trebuchet MS" w:hAnsi="Trebuchet MS"/>
                        <w:color w:val="231F20"/>
                        <w:position w:val="-1"/>
                        <w:sz w:val="9"/>
                      </w:rPr>
                      <w:t>c </w:t>
                    </w:r>
                    <w:r>
                      <w:rPr>
                        <w:rFonts w:ascii="Arial Unicode MS" w:hAnsi="Arial Unicode MS"/>
                        <w:color w:val="231F20"/>
                        <w:w w:val="110"/>
                        <w:sz w:val="16"/>
                      </w:rPr>
                      <w:t>→ </w:t>
                    </w:r>
                    <w:r>
                      <w:rPr>
                        <w:rFonts w:ascii="Arial Unicode MS" w:hAnsi="Arial Unicode MS"/>
                        <w:color w:val="231F20"/>
                        <w:sz w:val="16"/>
                      </w:rPr>
                      <w:t>↑ </w:t>
                    </w:r>
                    <w:r>
                      <w:rPr>
                        <w:rFonts w:ascii="Trebuchet MS" w:hAnsi="Trebuchet MS"/>
                        <w:color w:val="231F20"/>
                        <w:sz w:val="16"/>
                      </w:rPr>
                      <w:t>Reabsorption</w:t>
                    </w:r>
                  </w:p>
                  <w:p>
                    <w:pPr>
                      <w:numPr>
                        <w:ilvl w:val="0"/>
                        <w:numId w:val="17"/>
                      </w:numPr>
                      <w:tabs>
                        <w:tab w:pos="440" w:val="left" w:leader="none"/>
                      </w:tabs>
                      <w:spacing w:line="200" w:lineRule="exact" w:before="0"/>
                      <w:ind w:left="440" w:right="0" w:hanging="160"/>
                      <w:jc w:val="left"/>
                      <w:rPr>
                        <w:rFonts w:ascii="Trebuchet MS" w:hAnsi="Trebuchet MS"/>
                        <w:sz w:val="9"/>
                      </w:rPr>
                    </w:pPr>
                    <w:r>
                      <w:rPr>
                        <w:rFonts w:ascii="Arial Unicode MS" w:hAnsi="Arial Unicode MS"/>
                        <w:color w:val="231F20"/>
                        <w:sz w:val="16"/>
                      </w:rPr>
                      <w:t>↑ π</w:t>
                    </w:r>
                    <w:r>
                      <w:rPr>
                        <w:rFonts w:ascii="Trebuchet MS" w:hAnsi="Trebuchet MS"/>
                        <w:color w:val="231F20"/>
                        <w:position w:val="-1"/>
                        <w:sz w:val="9"/>
                      </w:rPr>
                      <w:t>A  </w:t>
                    </w:r>
                    <w:r>
                      <w:rPr>
                        <w:rFonts w:ascii="Arial Unicode MS" w:hAnsi="Arial Unicode MS"/>
                        <w:color w:val="231F20"/>
                        <w:w w:val="120"/>
                        <w:sz w:val="16"/>
                      </w:rPr>
                      <w:t>→ </w:t>
                    </w:r>
                    <w:r>
                      <w:rPr>
                        <w:rFonts w:ascii="Arial Unicode MS" w:hAnsi="Arial Unicode MS"/>
                        <w:color w:val="231F20"/>
                        <w:sz w:val="16"/>
                      </w:rPr>
                      <w:t>↑</w:t>
                    </w:r>
                    <w:r>
                      <w:rPr>
                        <w:rFonts w:ascii="Arial Unicode MS" w:hAnsi="Arial Unicode MS"/>
                        <w:color w:val="231F20"/>
                        <w:spacing w:val="-28"/>
                        <w:sz w:val="16"/>
                      </w:rPr>
                      <w:t> </w:t>
                    </w:r>
                    <w:r>
                      <w:rPr>
                        <w:rFonts w:ascii="Arial Unicode MS" w:hAnsi="Arial Unicode MS"/>
                        <w:color w:val="231F20"/>
                        <w:sz w:val="16"/>
                      </w:rPr>
                      <w:t>π</w:t>
                    </w:r>
                    <w:r>
                      <w:rPr>
                        <w:rFonts w:ascii="Trebuchet MS" w:hAnsi="Trebuchet MS"/>
                        <w:color w:val="231F20"/>
                        <w:position w:val="-1"/>
                        <w:sz w:val="9"/>
                      </w:rPr>
                      <w:t>c</w:t>
                    </w:r>
                  </w:p>
                  <w:p>
                    <w:pPr>
                      <w:numPr>
                        <w:ilvl w:val="0"/>
                        <w:numId w:val="17"/>
                      </w:numPr>
                      <w:tabs>
                        <w:tab w:pos="440" w:val="left" w:leader="none"/>
                      </w:tabs>
                      <w:spacing w:line="200" w:lineRule="exact" w:before="0"/>
                      <w:ind w:left="440" w:right="0" w:hanging="160"/>
                      <w:jc w:val="left"/>
                      <w:rPr>
                        <w:rFonts w:ascii="Trebuchet MS" w:hAnsi="Trebuchet MS"/>
                        <w:sz w:val="9"/>
                      </w:rPr>
                    </w:pPr>
                    <w:r>
                      <w:rPr>
                        <w:rFonts w:ascii="Arial Unicode MS" w:hAnsi="Arial Unicode MS"/>
                        <w:color w:val="231F20"/>
                        <w:sz w:val="16"/>
                      </w:rPr>
                      <w:t>↑ </w:t>
                    </w:r>
                    <w:r>
                      <w:rPr>
                        <w:rFonts w:ascii="Trebuchet MS" w:hAnsi="Trebuchet MS"/>
                        <w:color w:val="231F20"/>
                        <w:sz w:val="16"/>
                      </w:rPr>
                      <w:t>FF </w:t>
                    </w:r>
                    <w:r>
                      <w:rPr>
                        <w:rFonts w:ascii="Arial Unicode MS" w:hAnsi="Arial Unicode MS"/>
                        <w:color w:val="231F20"/>
                        <w:w w:val="120"/>
                        <w:sz w:val="16"/>
                      </w:rPr>
                      <w:t>→ </w:t>
                    </w:r>
                    <w:r>
                      <w:rPr>
                        <w:rFonts w:ascii="Arial Unicode MS" w:hAnsi="Arial Unicode MS"/>
                        <w:color w:val="231F20"/>
                        <w:sz w:val="16"/>
                      </w:rPr>
                      <w:t>↑</w:t>
                    </w:r>
                    <w:r>
                      <w:rPr>
                        <w:rFonts w:ascii="Arial Unicode MS" w:hAnsi="Arial Unicode MS"/>
                        <w:color w:val="231F20"/>
                        <w:spacing w:val="-25"/>
                        <w:sz w:val="16"/>
                      </w:rPr>
                      <w:t> </w:t>
                    </w:r>
                    <w:r>
                      <w:rPr>
                        <w:rFonts w:ascii="Arial Unicode MS" w:hAnsi="Arial Unicode MS"/>
                        <w:color w:val="231F20"/>
                        <w:sz w:val="16"/>
                      </w:rPr>
                      <w:t>π</w:t>
                    </w:r>
                    <w:r>
                      <w:rPr>
                        <w:rFonts w:ascii="Trebuchet MS" w:hAnsi="Trebuchet MS"/>
                        <w:color w:val="231F20"/>
                        <w:position w:val="-1"/>
                        <w:sz w:val="9"/>
                      </w:rPr>
                      <w:t>c</w:t>
                    </w:r>
                  </w:p>
                  <w:p>
                    <w:pPr>
                      <w:spacing w:line="239" w:lineRule="exact" w:before="0"/>
                      <w:ind w:left="120" w:right="0" w:firstLine="0"/>
                      <w:jc w:val="left"/>
                      <w:rPr>
                        <w:rFonts w:ascii="Trebuchet MS" w:hAnsi="Trebuchet MS"/>
                        <w:sz w:val="16"/>
                      </w:rPr>
                    </w:pPr>
                    <w:r>
                      <w:rPr>
                        <w:rFonts w:ascii="Arial Unicode MS" w:hAnsi="Arial Unicode MS"/>
                        <w:color w:val="231F20"/>
                        <w:w w:val="110"/>
                        <w:sz w:val="16"/>
                      </w:rPr>
                      <w:t>↑ </w:t>
                    </w:r>
                    <w:r>
                      <w:rPr>
                        <w:rFonts w:ascii="Trebuchet MS" w:hAnsi="Trebuchet MS"/>
                        <w:color w:val="231F20"/>
                        <w:w w:val="110"/>
                        <w:sz w:val="16"/>
                      </w:rPr>
                      <w:t>K</w:t>
                    </w:r>
                    <w:r>
                      <w:rPr>
                        <w:rFonts w:ascii="Trebuchet MS" w:hAnsi="Trebuchet MS"/>
                        <w:color w:val="231F20"/>
                        <w:w w:val="110"/>
                        <w:position w:val="-1"/>
                        <w:sz w:val="9"/>
                      </w:rPr>
                      <w:t>f </w:t>
                    </w:r>
                    <w:r>
                      <w:rPr>
                        <w:rFonts w:ascii="Arial Unicode MS" w:hAnsi="Arial Unicode MS"/>
                        <w:color w:val="231F20"/>
                        <w:w w:val="110"/>
                        <w:sz w:val="16"/>
                      </w:rPr>
                      <w:t>→ ↑ </w:t>
                    </w:r>
                    <w:r>
                      <w:rPr>
                        <w:rFonts w:ascii="Trebuchet MS" w:hAnsi="Trebuchet MS"/>
                        <w:color w:val="231F20"/>
                        <w:w w:val="110"/>
                        <w:sz w:val="16"/>
                      </w:rPr>
                      <w:t>Reabsorption</w:t>
                    </w:r>
                  </w:p>
                </w:txbxContent>
              </v:textbox>
              <v:fill type="solid"/>
              <w10:wrap type="none"/>
            </v:shape>
            <w10:wrap type="none"/>
          </v:group>
        </w:pict>
      </w:r>
      <w:r>
        <w:rPr>
          <w:color w:val="231F20"/>
        </w:rPr>
        <w:t>greater the fraction of plasma filtered through the </w:t>
      </w:r>
      <w:r>
        <w:rPr>
          <w:color w:val="231F20"/>
          <w:spacing w:val="-3"/>
        </w:rPr>
        <w:t>glo- </w:t>
      </w:r>
      <w:r>
        <w:rPr>
          <w:color w:val="231F20"/>
        </w:rPr>
        <w:t>merulus and, consequently, the more concentrated the protein becomes in the plasma that remains behind).  Thus, increasing the filtration fraction also tends </w:t>
      </w:r>
      <w:r>
        <w:rPr>
          <w:color w:val="231F20"/>
          <w:spacing w:val="-8"/>
        </w:rPr>
        <w:t>to </w:t>
      </w:r>
      <w:r>
        <w:rPr>
          <w:color w:val="231F20"/>
        </w:rPr>
        <w:t>increase the peritubular capillary reabsorption </w:t>
      </w:r>
      <w:r>
        <w:rPr>
          <w:color w:val="231F20"/>
          <w:spacing w:val="-4"/>
        </w:rPr>
        <w:t>rate. </w:t>
      </w:r>
      <w:r>
        <w:rPr>
          <w:color w:val="231F20"/>
        </w:rPr>
        <w:t>Because filtration fraction is defined as the ratio of </w:t>
      </w:r>
      <w:r>
        <w:rPr>
          <w:color w:val="231F20"/>
          <w:spacing w:val="-4"/>
        </w:rPr>
        <w:t>GFR/ </w:t>
      </w:r>
      <w:r>
        <w:rPr>
          <w:color w:val="231F20"/>
          <w:spacing w:val="-5"/>
        </w:rPr>
        <w:t>RPF, </w:t>
      </w:r>
      <w:r>
        <w:rPr>
          <w:color w:val="231F20"/>
        </w:rPr>
        <w:t>increased filtration fraction can occur as a result </w:t>
      </w:r>
      <w:r>
        <w:rPr>
          <w:color w:val="231F20"/>
          <w:spacing w:val="-8"/>
        </w:rPr>
        <w:t>of </w:t>
      </w:r>
      <w:r>
        <w:rPr>
          <w:color w:val="231F20"/>
        </w:rPr>
        <w:t>increased GFR or decreased </w:t>
      </w:r>
      <w:r>
        <w:rPr>
          <w:color w:val="231F20"/>
          <w:spacing w:val="-5"/>
        </w:rPr>
        <w:t>RPF. </w:t>
      </w:r>
      <w:r>
        <w:rPr>
          <w:color w:val="231F20"/>
        </w:rPr>
        <w:t>Some renal vasocon- strictors, such as angiotensin II, increase peritubular cap- illary reabsorption by decreasing RPF and increasing filtration fraction, as discussed</w:t>
      </w:r>
      <w:r>
        <w:rPr>
          <w:color w:val="231F20"/>
          <w:spacing w:val="30"/>
        </w:rPr>
        <w:t> </w:t>
      </w:r>
      <w:r>
        <w:rPr>
          <w:color w:val="231F20"/>
          <w:spacing w:val="-4"/>
        </w:rPr>
        <w:t>later.</w:t>
      </w:r>
    </w:p>
    <w:p>
      <w:pPr>
        <w:pStyle w:val="BodyText"/>
        <w:spacing w:line="249" w:lineRule="auto" w:before="9"/>
        <w:ind w:left="1439" w:firstLine="240"/>
        <w:jc w:val="both"/>
      </w:pPr>
      <w:r>
        <w:rPr>
          <w:color w:val="231F20"/>
          <w:w w:val="105"/>
        </w:rPr>
        <w:t>Changes</w:t>
      </w:r>
      <w:r>
        <w:rPr>
          <w:color w:val="231F20"/>
          <w:spacing w:val="-9"/>
          <w:w w:val="105"/>
        </w:rPr>
        <w:t> </w:t>
      </w:r>
      <w:r>
        <w:rPr>
          <w:color w:val="231F20"/>
          <w:w w:val="105"/>
        </w:rPr>
        <w:t>in</w:t>
      </w:r>
      <w:r>
        <w:rPr>
          <w:color w:val="231F20"/>
          <w:spacing w:val="-8"/>
          <w:w w:val="105"/>
        </w:rPr>
        <w:t> </w:t>
      </w:r>
      <w:r>
        <w:rPr>
          <w:color w:val="231F20"/>
          <w:w w:val="105"/>
        </w:rPr>
        <w:t>the</w:t>
      </w:r>
      <w:r>
        <w:rPr>
          <w:color w:val="231F20"/>
          <w:spacing w:val="-9"/>
          <w:w w:val="105"/>
        </w:rPr>
        <w:t> </w:t>
      </w:r>
      <w:r>
        <w:rPr>
          <w:color w:val="231F20"/>
          <w:w w:val="105"/>
        </w:rPr>
        <w:t>peritubular</w:t>
      </w:r>
      <w:r>
        <w:rPr>
          <w:color w:val="231F20"/>
          <w:spacing w:val="-8"/>
          <w:w w:val="105"/>
        </w:rPr>
        <w:t> </w:t>
      </w:r>
      <w:r>
        <w:rPr>
          <w:color w:val="231F20"/>
          <w:w w:val="105"/>
        </w:rPr>
        <w:t>capillary</w:t>
      </w:r>
      <w:r>
        <w:rPr>
          <w:color w:val="231F20"/>
          <w:spacing w:val="-9"/>
          <w:w w:val="105"/>
        </w:rPr>
        <w:t> </w:t>
      </w:r>
      <w:r>
        <w:rPr>
          <w:color w:val="231F20"/>
          <w:w w:val="105"/>
        </w:rPr>
        <w:t>K</w:t>
      </w:r>
      <w:r>
        <w:rPr>
          <w:color w:val="231F20"/>
          <w:w w:val="105"/>
          <w:vertAlign w:val="subscript"/>
        </w:rPr>
        <w:t>f</w:t>
      </w:r>
      <w:r>
        <w:rPr>
          <w:color w:val="231F20"/>
          <w:spacing w:val="-8"/>
          <w:w w:val="105"/>
          <w:vertAlign w:val="baseline"/>
        </w:rPr>
        <w:t> </w:t>
      </w:r>
      <w:r>
        <w:rPr>
          <w:color w:val="231F20"/>
          <w:w w:val="105"/>
          <w:vertAlign w:val="baseline"/>
        </w:rPr>
        <w:t>can</w:t>
      </w:r>
      <w:r>
        <w:rPr>
          <w:color w:val="231F20"/>
          <w:spacing w:val="-9"/>
          <w:w w:val="105"/>
          <w:vertAlign w:val="baseline"/>
        </w:rPr>
        <w:t> </w:t>
      </w:r>
      <w:r>
        <w:rPr>
          <w:color w:val="231F20"/>
          <w:w w:val="105"/>
          <w:vertAlign w:val="baseline"/>
        </w:rPr>
        <w:t>also</w:t>
      </w:r>
      <w:r>
        <w:rPr>
          <w:color w:val="231F20"/>
          <w:spacing w:val="-8"/>
          <w:w w:val="105"/>
          <w:vertAlign w:val="baseline"/>
        </w:rPr>
        <w:t> </w:t>
      </w:r>
      <w:r>
        <w:rPr>
          <w:color w:val="231F20"/>
          <w:spacing w:val="-3"/>
          <w:w w:val="105"/>
          <w:vertAlign w:val="baseline"/>
        </w:rPr>
        <w:t>influ- </w:t>
      </w:r>
      <w:r>
        <w:rPr>
          <w:color w:val="231F20"/>
          <w:w w:val="105"/>
          <w:vertAlign w:val="baseline"/>
        </w:rPr>
        <w:t>ence</w:t>
      </w:r>
      <w:r>
        <w:rPr>
          <w:color w:val="231F20"/>
          <w:spacing w:val="-8"/>
          <w:w w:val="105"/>
          <w:vertAlign w:val="baseline"/>
        </w:rPr>
        <w:t> </w:t>
      </w:r>
      <w:r>
        <w:rPr>
          <w:color w:val="231F20"/>
          <w:w w:val="105"/>
          <w:vertAlign w:val="baseline"/>
        </w:rPr>
        <w:t>the</w:t>
      </w:r>
      <w:r>
        <w:rPr>
          <w:color w:val="231F20"/>
          <w:spacing w:val="-8"/>
          <w:w w:val="105"/>
          <w:vertAlign w:val="baseline"/>
        </w:rPr>
        <w:t> </w:t>
      </w:r>
      <w:r>
        <w:rPr>
          <w:color w:val="231F20"/>
          <w:w w:val="105"/>
          <w:vertAlign w:val="baseline"/>
        </w:rPr>
        <w:t>reabsorption</w:t>
      </w:r>
      <w:r>
        <w:rPr>
          <w:color w:val="231F20"/>
          <w:spacing w:val="-8"/>
          <w:w w:val="105"/>
          <w:vertAlign w:val="baseline"/>
        </w:rPr>
        <w:t> </w:t>
      </w:r>
      <w:r>
        <w:rPr>
          <w:color w:val="231F20"/>
          <w:w w:val="105"/>
          <w:vertAlign w:val="baseline"/>
        </w:rPr>
        <w:t>rate</w:t>
      </w:r>
      <w:r>
        <w:rPr>
          <w:color w:val="231F20"/>
          <w:spacing w:val="-7"/>
          <w:w w:val="105"/>
          <w:vertAlign w:val="baseline"/>
        </w:rPr>
        <w:t> </w:t>
      </w:r>
      <w:r>
        <w:rPr>
          <w:color w:val="231F20"/>
          <w:w w:val="105"/>
          <w:vertAlign w:val="baseline"/>
        </w:rPr>
        <w:t>because</w:t>
      </w:r>
      <w:r>
        <w:rPr>
          <w:color w:val="231F20"/>
          <w:spacing w:val="-8"/>
          <w:w w:val="105"/>
          <w:vertAlign w:val="baseline"/>
        </w:rPr>
        <w:t> </w:t>
      </w:r>
      <w:r>
        <w:rPr>
          <w:color w:val="231F20"/>
          <w:w w:val="105"/>
          <w:vertAlign w:val="baseline"/>
        </w:rPr>
        <w:t>K</w:t>
      </w:r>
      <w:r>
        <w:rPr>
          <w:color w:val="231F20"/>
          <w:w w:val="105"/>
          <w:vertAlign w:val="subscript"/>
        </w:rPr>
        <w:t>f</w:t>
      </w:r>
      <w:r>
        <w:rPr>
          <w:color w:val="231F20"/>
          <w:spacing w:val="-8"/>
          <w:w w:val="105"/>
          <w:vertAlign w:val="baseline"/>
        </w:rPr>
        <w:t> </w:t>
      </w:r>
      <w:r>
        <w:rPr>
          <w:color w:val="231F20"/>
          <w:w w:val="105"/>
          <w:vertAlign w:val="baseline"/>
        </w:rPr>
        <w:t>is</w:t>
      </w:r>
      <w:r>
        <w:rPr>
          <w:color w:val="231F20"/>
          <w:spacing w:val="-7"/>
          <w:w w:val="105"/>
          <w:vertAlign w:val="baseline"/>
        </w:rPr>
        <w:t> </w:t>
      </w:r>
      <w:r>
        <w:rPr>
          <w:color w:val="231F20"/>
          <w:w w:val="105"/>
          <w:vertAlign w:val="baseline"/>
        </w:rPr>
        <w:t>a</w:t>
      </w:r>
      <w:r>
        <w:rPr>
          <w:color w:val="231F20"/>
          <w:spacing w:val="-8"/>
          <w:w w:val="105"/>
          <w:vertAlign w:val="baseline"/>
        </w:rPr>
        <w:t> </w:t>
      </w:r>
      <w:r>
        <w:rPr>
          <w:color w:val="231F20"/>
          <w:w w:val="105"/>
          <w:vertAlign w:val="baseline"/>
        </w:rPr>
        <w:t>measure</w:t>
      </w:r>
      <w:r>
        <w:rPr>
          <w:color w:val="231F20"/>
          <w:spacing w:val="-8"/>
          <w:w w:val="105"/>
          <w:vertAlign w:val="baseline"/>
        </w:rPr>
        <w:t> </w:t>
      </w:r>
      <w:r>
        <w:rPr>
          <w:color w:val="231F20"/>
          <w:w w:val="105"/>
          <w:vertAlign w:val="baseline"/>
        </w:rPr>
        <w:t>of</w:t>
      </w:r>
      <w:r>
        <w:rPr>
          <w:color w:val="231F20"/>
          <w:spacing w:val="-8"/>
          <w:w w:val="105"/>
          <w:vertAlign w:val="baseline"/>
        </w:rPr>
        <w:t> </w:t>
      </w:r>
      <w:r>
        <w:rPr>
          <w:color w:val="231F20"/>
          <w:spacing w:val="-5"/>
          <w:w w:val="105"/>
          <w:vertAlign w:val="baseline"/>
        </w:rPr>
        <w:t>the </w:t>
      </w:r>
      <w:r>
        <w:rPr>
          <w:color w:val="231F20"/>
          <w:w w:val="105"/>
          <w:vertAlign w:val="baseline"/>
        </w:rPr>
        <w:t>permeability</w:t>
      </w:r>
      <w:r>
        <w:rPr>
          <w:color w:val="231F20"/>
          <w:spacing w:val="-21"/>
          <w:w w:val="105"/>
          <w:vertAlign w:val="baseline"/>
        </w:rPr>
        <w:t> </w:t>
      </w:r>
      <w:r>
        <w:rPr>
          <w:color w:val="231F20"/>
          <w:w w:val="105"/>
          <w:vertAlign w:val="baseline"/>
        </w:rPr>
        <w:t>and</w:t>
      </w:r>
      <w:r>
        <w:rPr>
          <w:color w:val="231F20"/>
          <w:spacing w:val="-20"/>
          <w:w w:val="105"/>
          <w:vertAlign w:val="baseline"/>
        </w:rPr>
        <w:t> </w:t>
      </w:r>
      <w:r>
        <w:rPr>
          <w:color w:val="231F20"/>
          <w:w w:val="105"/>
          <w:vertAlign w:val="baseline"/>
        </w:rPr>
        <w:t>surface</w:t>
      </w:r>
      <w:r>
        <w:rPr>
          <w:color w:val="231F20"/>
          <w:spacing w:val="-20"/>
          <w:w w:val="105"/>
          <w:vertAlign w:val="baseline"/>
        </w:rPr>
        <w:t> </w:t>
      </w:r>
      <w:r>
        <w:rPr>
          <w:color w:val="231F20"/>
          <w:w w:val="105"/>
          <w:vertAlign w:val="baseline"/>
        </w:rPr>
        <w:t>area</w:t>
      </w:r>
      <w:r>
        <w:rPr>
          <w:color w:val="231F20"/>
          <w:spacing w:val="-20"/>
          <w:w w:val="105"/>
          <w:vertAlign w:val="baseline"/>
        </w:rPr>
        <w:t> </w:t>
      </w:r>
      <w:r>
        <w:rPr>
          <w:color w:val="231F20"/>
          <w:w w:val="105"/>
          <w:vertAlign w:val="baseline"/>
        </w:rPr>
        <w:t>of</w:t>
      </w:r>
      <w:r>
        <w:rPr>
          <w:color w:val="231F20"/>
          <w:spacing w:val="-20"/>
          <w:w w:val="105"/>
          <w:vertAlign w:val="baseline"/>
        </w:rPr>
        <w:t> </w:t>
      </w:r>
      <w:r>
        <w:rPr>
          <w:color w:val="231F20"/>
          <w:w w:val="105"/>
          <w:vertAlign w:val="baseline"/>
        </w:rPr>
        <w:t>the</w:t>
      </w:r>
      <w:r>
        <w:rPr>
          <w:color w:val="231F20"/>
          <w:spacing w:val="-20"/>
          <w:w w:val="105"/>
          <w:vertAlign w:val="baseline"/>
        </w:rPr>
        <w:t> </w:t>
      </w:r>
      <w:r>
        <w:rPr>
          <w:color w:val="231F20"/>
          <w:w w:val="105"/>
          <w:vertAlign w:val="baseline"/>
        </w:rPr>
        <w:t>capillaries.</w:t>
      </w:r>
      <w:r>
        <w:rPr>
          <w:color w:val="231F20"/>
          <w:spacing w:val="-20"/>
          <w:w w:val="105"/>
          <w:vertAlign w:val="baseline"/>
        </w:rPr>
        <w:t> </w:t>
      </w:r>
      <w:r>
        <w:rPr>
          <w:color w:val="231F20"/>
          <w:w w:val="105"/>
          <w:vertAlign w:val="baseline"/>
        </w:rPr>
        <w:t>Increases in K</w:t>
      </w:r>
      <w:r>
        <w:rPr>
          <w:color w:val="231F20"/>
          <w:w w:val="105"/>
          <w:vertAlign w:val="subscript"/>
        </w:rPr>
        <w:t>f</w:t>
      </w:r>
      <w:r>
        <w:rPr>
          <w:color w:val="231F20"/>
          <w:w w:val="105"/>
          <w:vertAlign w:val="baseline"/>
        </w:rPr>
        <w:t> raise reabsorption, whereas decreases in K</w:t>
      </w:r>
      <w:r>
        <w:rPr>
          <w:color w:val="231F20"/>
          <w:w w:val="105"/>
          <w:vertAlign w:val="subscript"/>
        </w:rPr>
        <w:t>f</w:t>
      </w:r>
      <w:r>
        <w:rPr>
          <w:color w:val="231F20"/>
          <w:w w:val="105"/>
          <w:vertAlign w:val="baseline"/>
        </w:rPr>
        <w:t> </w:t>
      </w:r>
      <w:r>
        <w:rPr>
          <w:color w:val="231F20"/>
          <w:spacing w:val="-5"/>
          <w:w w:val="105"/>
          <w:vertAlign w:val="baseline"/>
        </w:rPr>
        <w:t>lower </w:t>
      </w:r>
      <w:r>
        <w:rPr>
          <w:color w:val="231F20"/>
          <w:w w:val="105"/>
          <w:vertAlign w:val="baseline"/>
        </w:rPr>
        <w:t>peritubular capillary reabsorption. K</w:t>
      </w:r>
      <w:r>
        <w:rPr>
          <w:color w:val="231F20"/>
          <w:w w:val="105"/>
          <w:vertAlign w:val="subscript"/>
        </w:rPr>
        <w:t>f</w:t>
      </w:r>
      <w:r>
        <w:rPr>
          <w:color w:val="231F20"/>
          <w:w w:val="105"/>
          <w:vertAlign w:val="baseline"/>
        </w:rPr>
        <w:t> remains </w:t>
      </w:r>
      <w:r>
        <w:rPr>
          <w:color w:val="231F20"/>
          <w:spacing w:val="-3"/>
          <w:w w:val="105"/>
          <w:vertAlign w:val="baseline"/>
        </w:rPr>
        <w:t>relatively </w:t>
      </w:r>
      <w:r>
        <w:rPr>
          <w:color w:val="231F20"/>
          <w:w w:val="105"/>
          <w:vertAlign w:val="baseline"/>
        </w:rPr>
        <w:t>constant in most physiological conditions. </w:t>
      </w:r>
      <w:hyperlink w:history="true" w:anchor="_bookmark56">
        <w:r>
          <w:rPr>
            <w:b/>
            <w:color w:val="0080AC"/>
            <w:spacing w:val="-4"/>
            <w:w w:val="105"/>
            <w:vertAlign w:val="baseline"/>
          </w:rPr>
          <w:t>Table 28-2</w:t>
        </w:r>
      </w:hyperlink>
      <w:r>
        <w:rPr>
          <w:b/>
          <w:color w:val="0080AC"/>
          <w:spacing w:val="-4"/>
          <w:w w:val="105"/>
          <w:vertAlign w:val="baseline"/>
        </w:rPr>
        <w:t> </w:t>
      </w:r>
      <w:r>
        <w:rPr>
          <w:color w:val="231F20"/>
          <w:w w:val="105"/>
          <w:vertAlign w:val="baseline"/>
        </w:rPr>
        <w:t>summarizes</w:t>
      </w:r>
      <w:r>
        <w:rPr>
          <w:color w:val="231F20"/>
          <w:spacing w:val="-15"/>
          <w:w w:val="105"/>
          <w:vertAlign w:val="baseline"/>
        </w:rPr>
        <w:t> </w:t>
      </w:r>
      <w:r>
        <w:rPr>
          <w:color w:val="231F20"/>
          <w:w w:val="105"/>
          <w:vertAlign w:val="baseline"/>
        </w:rPr>
        <w:t>the</w:t>
      </w:r>
      <w:r>
        <w:rPr>
          <w:color w:val="231F20"/>
          <w:spacing w:val="-14"/>
          <w:w w:val="105"/>
          <w:vertAlign w:val="baseline"/>
        </w:rPr>
        <w:t> </w:t>
      </w:r>
      <w:r>
        <w:rPr>
          <w:color w:val="231F20"/>
          <w:w w:val="105"/>
          <w:vertAlign w:val="baseline"/>
        </w:rPr>
        <w:t>factors</w:t>
      </w:r>
      <w:r>
        <w:rPr>
          <w:color w:val="231F20"/>
          <w:spacing w:val="-14"/>
          <w:w w:val="105"/>
          <w:vertAlign w:val="baseline"/>
        </w:rPr>
        <w:t> </w:t>
      </w:r>
      <w:r>
        <w:rPr>
          <w:color w:val="231F20"/>
          <w:w w:val="105"/>
          <w:vertAlign w:val="baseline"/>
        </w:rPr>
        <w:t>that</w:t>
      </w:r>
      <w:r>
        <w:rPr>
          <w:color w:val="231F20"/>
          <w:spacing w:val="-14"/>
          <w:w w:val="105"/>
          <w:vertAlign w:val="baseline"/>
        </w:rPr>
        <w:t> </w:t>
      </w:r>
      <w:r>
        <w:rPr>
          <w:color w:val="231F20"/>
          <w:w w:val="105"/>
          <w:vertAlign w:val="baseline"/>
        </w:rPr>
        <w:t>can</w:t>
      </w:r>
      <w:r>
        <w:rPr>
          <w:color w:val="231F20"/>
          <w:spacing w:val="-14"/>
          <w:w w:val="105"/>
          <w:vertAlign w:val="baseline"/>
        </w:rPr>
        <w:t> </w:t>
      </w:r>
      <w:r>
        <w:rPr>
          <w:color w:val="231F20"/>
          <w:w w:val="105"/>
          <w:vertAlign w:val="baseline"/>
        </w:rPr>
        <w:t>influence</w:t>
      </w:r>
      <w:r>
        <w:rPr>
          <w:color w:val="231F20"/>
          <w:spacing w:val="-14"/>
          <w:w w:val="105"/>
          <w:vertAlign w:val="baseline"/>
        </w:rPr>
        <w:t> </w:t>
      </w:r>
      <w:r>
        <w:rPr>
          <w:color w:val="231F20"/>
          <w:w w:val="105"/>
          <w:vertAlign w:val="baseline"/>
        </w:rPr>
        <w:t>the</w:t>
      </w:r>
      <w:r>
        <w:rPr>
          <w:color w:val="231F20"/>
          <w:spacing w:val="-14"/>
          <w:w w:val="105"/>
          <w:vertAlign w:val="baseline"/>
        </w:rPr>
        <w:t> </w:t>
      </w:r>
      <w:r>
        <w:rPr>
          <w:color w:val="231F20"/>
          <w:w w:val="105"/>
          <w:vertAlign w:val="baseline"/>
        </w:rPr>
        <w:t>peritubular capillary reabsorption</w:t>
      </w:r>
      <w:r>
        <w:rPr>
          <w:color w:val="231F20"/>
          <w:spacing w:val="4"/>
          <w:w w:val="105"/>
          <w:vertAlign w:val="baseline"/>
        </w:rPr>
        <w:t> </w:t>
      </w:r>
      <w:r>
        <w:rPr>
          <w:color w:val="231F20"/>
          <w:w w:val="105"/>
          <w:vertAlign w:val="baseline"/>
        </w:rPr>
        <w:t>rate.</w:t>
      </w:r>
    </w:p>
    <w:p>
      <w:pPr>
        <w:pStyle w:val="BodyText"/>
        <w:spacing w:before="2"/>
        <w:rPr>
          <w:sz w:val="22"/>
        </w:rPr>
      </w:pPr>
    </w:p>
    <w:p>
      <w:pPr>
        <w:pStyle w:val="BodyText"/>
        <w:spacing w:line="249" w:lineRule="auto"/>
        <w:ind w:left="1440"/>
        <w:jc w:val="both"/>
      </w:pPr>
      <w:r>
        <w:rPr>
          <w:rFonts w:ascii="Trebuchet MS"/>
          <w:b/>
          <w:color w:val="231F20"/>
          <w:w w:val="105"/>
          <w:sz w:val="19"/>
        </w:rPr>
        <w:t>Renal Interstitial Hydrostatic and Colloid </w:t>
      </w:r>
      <w:r>
        <w:rPr>
          <w:rFonts w:ascii="Trebuchet MS"/>
          <w:b/>
          <w:color w:val="231F20"/>
          <w:spacing w:val="-3"/>
          <w:w w:val="105"/>
          <w:sz w:val="19"/>
        </w:rPr>
        <w:t>Osmotic </w:t>
      </w:r>
      <w:r>
        <w:rPr>
          <w:rFonts w:ascii="Trebuchet MS"/>
          <w:b/>
          <w:color w:val="231F20"/>
          <w:w w:val="105"/>
          <w:sz w:val="19"/>
        </w:rPr>
        <w:t>Pressures. </w:t>
      </w:r>
      <w:r>
        <w:rPr>
          <w:color w:val="231F20"/>
          <w:w w:val="105"/>
        </w:rPr>
        <w:t>Ultimately, changes in peritubular</w:t>
      </w:r>
      <w:r>
        <w:rPr>
          <w:color w:val="231F20"/>
          <w:spacing w:val="-13"/>
          <w:w w:val="105"/>
        </w:rPr>
        <w:t> </w:t>
      </w:r>
      <w:r>
        <w:rPr>
          <w:color w:val="231F20"/>
          <w:w w:val="105"/>
        </w:rPr>
        <w:t>capillary physical</w:t>
      </w:r>
      <w:r>
        <w:rPr>
          <w:color w:val="231F20"/>
          <w:spacing w:val="-11"/>
          <w:w w:val="105"/>
        </w:rPr>
        <w:t> </w:t>
      </w:r>
      <w:r>
        <w:rPr>
          <w:color w:val="231F20"/>
          <w:w w:val="105"/>
        </w:rPr>
        <w:t>forces</w:t>
      </w:r>
      <w:r>
        <w:rPr>
          <w:color w:val="231F20"/>
          <w:spacing w:val="-10"/>
          <w:w w:val="105"/>
        </w:rPr>
        <w:t> </w:t>
      </w:r>
      <w:r>
        <w:rPr>
          <w:color w:val="231F20"/>
          <w:w w:val="105"/>
        </w:rPr>
        <w:t>influence</w:t>
      </w:r>
      <w:r>
        <w:rPr>
          <w:color w:val="231F20"/>
          <w:spacing w:val="-10"/>
          <w:w w:val="105"/>
        </w:rPr>
        <w:t> </w:t>
      </w:r>
      <w:r>
        <w:rPr>
          <w:color w:val="231F20"/>
          <w:w w:val="105"/>
        </w:rPr>
        <w:t>tubular</w:t>
      </w:r>
      <w:r>
        <w:rPr>
          <w:color w:val="231F20"/>
          <w:spacing w:val="-11"/>
          <w:w w:val="105"/>
        </w:rPr>
        <w:t> </w:t>
      </w:r>
      <w:r>
        <w:rPr>
          <w:color w:val="231F20"/>
          <w:w w:val="105"/>
        </w:rPr>
        <w:t>reabsorption</w:t>
      </w:r>
      <w:r>
        <w:rPr>
          <w:color w:val="231F20"/>
          <w:spacing w:val="-10"/>
          <w:w w:val="105"/>
        </w:rPr>
        <w:t> </w:t>
      </w:r>
      <w:r>
        <w:rPr>
          <w:color w:val="231F20"/>
          <w:w w:val="105"/>
        </w:rPr>
        <w:t>by</w:t>
      </w:r>
      <w:r>
        <w:rPr>
          <w:color w:val="231F20"/>
          <w:spacing w:val="-10"/>
          <w:w w:val="105"/>
        </w:rPr>
        <w:t> </w:t>
      </w:r>
      <w:r>
        <w:rPr>
          <w:color w:val="231F20"/>
          <w:w w:val="105"/>
        </w:rPr>
        <w:t>chang- ing</w:t>
      </w:r>
      <w:r>
        <w:rPr>
          <w:color w:val="231F20"/>
          <w:spacing w:val="-12"/>
          <w:w w:val="105"/>
        </w:rPr>
        <w:t> </w:t>
      </w:r>
      <w:r>
        <w:rPr>
          <w:color w:val="231F20"/>
          <w:w w:val="105"/>
        </w:rPr>
        <w:t>the</w:t>
      </w:r>
      <w:r>
        <w:rPr>
          <w:color w:val="231F20"/>
          <w:spacing w:val="-11"/>
          <w:w w:val="105"/>
        </w:rPr>
        <w:t> </w:t>
      </w:r>
      <w:r>
        <w:rPr>
          <w:color w:val="231F20"/>
          <w:w w:val="105"/>
        </w:rPr>
        <w:t>physical</w:t>
      </w:r>
      <w:r>
        <w:rPr>
          <w:color w:val="231F20"/>
          <w:spacing w:val="-12"/>
          <w:w w:val="105"/>
        </w:rPr>
        <w:t> </w:t>
      </w:r>
      <w:r>
        <w:rPr>
          <w:color w:val="231F20"/>
          <w:w w:val="105"/>
        </w:rPr>
        <w:t>forces</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renal</w:t>
      </w:r>
      <w:r>
        <w:rPr>
          <w:color w:val="231F20"/>
          <w:spacing w:val="-12"/>
          <w:w w:val="105"/>
        </w:rPr>
        <w:t> </w:t>
      </w:r>
      <w:r>
        <w:rPr>
          <w:color w:val="231F20"/>
          <w:w w:val="105"/>
        </w:rPr>
        <w:t>interstitium</w:t>
      </w:r>
      <w:r>
        <w:rPr>
          <w:color w:val="231F20"/>
          <w:spacing w:val="-11"/>
          <w:w w:val="105"/>
        </w:rPr>
        <w:t> </w:t>
      </w:r>
      <w:r>
        <w:rPr>
          <w:color w:val="231F20"/>
          <w:spacing w:val="-3"/>
          <w:w w:val="105"/>
        </w:rPr>
        <w:t>surround- </w:t>
      </w:r>
      <w:r>
        <w:rPr>
          <w:color w:val="231F20"/>
          <w:w w:val="105"/>
        </w:rPr>
        <w:t>ing</w:t>
      </w:r>
      <w:r>
        <w:rPr>
          <w:color w:val="231F20"/>
          <w:spacing w:val="-35"/>
          <w:w w:val="105"/>
        </w:rPr>
        <w:t> </w:t>
      </w:r>
      <w:r>
        <w:rPr>
          <w:color w:val="231F20"/>
          <w:w w:val="105"/>
        </w:rPr>
        <w:t>the</w:t>
      </w:r>
      <w:r>
        <w:rPr>
          <w:color w:val="231F20"/>
          <w:spacing w:val="-34"/>
          <w:w w:val="105"/>
        </w:rPr>
        <w:t> </w:t>
      </w:r>
      <w:r>
        <w:rPr>
          <w:color w:val="231F20"/>
          <w:w w:val="105"/>
        </w:rPr>
        <w:t>tubules.</w:t>
      </w:r>
      <w:r>
        <w:rPr>
          <w:color w:val="231F20"/>
          <w:spacing w:val="-34"/>
          <w:w w:val="105"/>
        </w:rPr>
        <w:t> </w:t>
      </w:r>
      <w:r>
        <w:rPr>
          <w:color w:val="231F20"/>
          <w:spacing w:val="-3"/>
          <w:w w:val="105"/>
        </w:rPr>
        <w:t>For</w:t>
      </w:r>
      <w:r>
        <w:rPr>
          <w:color w:val="231F20"/>
          <w:spacing w:val="-34"/>
          <w:w w:val="105"/>
        </w:rPr>
        <w:t> </w:t>
      </w:r>
      <w:r>
        <w:rPr>
          <w:color w:val="231F20"/>
          <w:w w:val="105"/>
        </w:rPr>
        <w:t>example,</w:t>
      </w:r>
      <w:r>
        <w:rPr>
          <w:color w:val="231F20"/>
          <w:spacing w:val="-35"/>
          <w:w w:val="105"/>
        </w:rPr>
        <w:t> </w:t>
      </w:r>
      <w:r>
        <w:rPr>
          <w:color w:val="231F20"/>
          <w:w w:val="105"/>
        </w:rPr>
        <w:t>a</w:t>
      </w:r>
      <w:r>
        <w:rPr>
          <w:color w:val="231F20"/>
          <w:spacing w:val="-34"/>
          <w:w w:val="105"/>
        </w:rPr>
        <w:t> </w:t>
      </w:r>
      <w:r>
        <w:rPr>
          <w:color w:val="231F20"/>
          <w:w w:val="105"/>
        </w:rPr>
        <w:t>decrease</w:t>
      </w:r>
      <w:r>
        <w:rPr>
          <w:color w:val="231F20"/>
          <w:spacing w:val="-34"/>
          <w:w w:val="105"/>
        </w:rPr>
        <w:t> </w:t>
      </w:r>
      <w:r>
        <w:rPr>
          <w:color w:val="231F20"/>
          <w:w w:val="105"/>
        </w:rPr>
        <w:t>in</w:t>
      </w:r>
      <w:r>
        <w:rPr>
          <w:color w:val="231F20"/>
          <w:spacing w:val="-34"/>
          <w:w w:val="105"/>
        </w:rPr>
        <w:t> </w:t>
      </w:r>
      <w:r>
        <w:rPr>
          <w:color w:val="231F20"/>
          <w:w w:val="105"/>
        </w:rPr>
        <w:t>the</w:t>
      </w:r>
      <w:r>
        <w:rPr>
          <w:color w:val="231F20"/>
          <w:spacing w:val="-35"/>
          <w:w w:val="105"/>
        </w:rPr>
        <w:t> </w:t>
      </w:r>
      <w:r>
        <w:rPr>
          <w:color w:val="231F20"/>
          <w:w w:val="105"/>
        </w:rPr>
        <w:t>reabsorptive force</w:t>
      </w:r>
      <w:r>
        <w:rPr>
          <w:color w:val="231F20"/>
          <w:spacing w:val="-18"/>
          <w:w w:val="105"/>
        </w:rPr>
        <w:t> </w:t>
      </w:r>
      <w:r>
        <w:rPr>
          <w:color w:val="231F20"/>
          <w:w w:val="105"/>
        </w:rPr>
        <w:t>across</w:t>
      </w:r>
      <w:r>
        <w:rPr>
          <w:color w:val="231F20"/>
          <w:spacing w:val="-17"/>
          <w:w w:val="105"/>
        </w:rPr>
        <w:t> </w:t>
      </w:r>
      <w:r>
        <w:rPr>
          <w:color w:val="231F20"/>
          <w:w w:val="105"/>
        </w:rPr>
        <w:t>the</w:t>
      </w:r>
      <w:r>
        <w:rPr>
          <w:color w:val="231F20"/>
          <w:spacing w:val="-17"/>
          <w:w w:val="105"/>
        </w:rPr>
        <w:t> </w:t>
      </w:r>
      <w:r>
        <w:rPr>
          <w:color w:val="231F20"/>
          <w:w w:val="105"/>
        </w:rPr>
        <w:t>peritubular</w:t>
      </w:r>
      <w:r>
        <w:rPr>
          <w:color w:val="231F20"/>
          <w:spacing w:val="-17"/>
          <w:w w:val="105"/>
        </w:rPr>
        <w:t> </w:t>
      </w:r>
      <w:r>
        <w:rPr>
          <w:color w:val="231F20"/>
          <w:w w:val="105"/>
        </w:rPr>
        <w:t>capillary</w:t>
      </w:r>
      <w:r>
        <w:rPr>
          <w:color w:val="231F20"/>
          <w:spacing w:val="-17"/>
          <w:w w:val="105"/>
        </w:rPr>
        <w:t> </w:t>
      </w:r>
      <w:r>
        <w:rPr>
          <w:color w:val="231F20"/>
          <w:w w:val="105"/>
        </w:rPr>
        <w:t>membranes,</w:t>
      </w:r>
      <w:r>
        <w:rPr>
          <w:color w:val="231F20"/>
          <w:spacing w:val="-17"/>
          <w:w w:val="105"/>
        </w:rPr>
        <w:t> </w:t>
      </w:r>
      <w:r>
        <w:rPr>
          <w:color w:val="231F20"/>
          <w:w w:val="105"/>
        </w:rPr>
        <w:t>caused by</w:t>
      </w:r>
      <w:r>
        <w:rPr>
          <w:color w:val="231F20"/>
          <w:spacing w:val="-21"/>
          <w:w w:val="105"/>
        </w:rPr>
        <w:t> </w:t>
      </w:r>
      <w:r>
        <w:rPr>
          <w:color w:val="231F20"/>
          <w:w w:val="105"/>
        </w:rPr>
        <w:t>either</w:t>
      </w:r>
      <w:r>
        <w:rPr>
          <w:color w:val="231F20"/>
          <w:spacing w:val="-21"/>
          <w:w w:val="105"/>
        </w:rPr>
        <w:t> </w:t>
      </w:r>
      <w:r>
        <w:rPr>
          <w:color w:val="231F20"/>
          <w:w w:val="105"/>
        </w:rPr>
        <w:t>increased</w:t>
      </w:r>
      <w:r>
        <w:rPr>
          <w:color w:val="231F20"/>
          <w:spacing w:val="-20"/>
          <w:w w:val="105"/>
        </w:rPr>
        <w:t> </w:t>
      </w:r>
      <w:r>
        <w:rPr>
          <w:color w:val="231F20"/>
          <w:w w:val="105"/>
        </w:rPr>
        <w:t>peritubular</w:t>
      </w:r>
      <w:r>
        <w:rPr>
          <w:color w:val="231F20"/>
          <w:spacing w:val="-21"/>
          <w:w w:val="105"/>
        </w:rPr>
        <w:t> </w:t>
      </w:r>
      <w:r>
        <w:rPr>
          <w:color w:val="231F20"/>
          <w:w w:val="105"/>
        </w:rPr>
        <w:t>capillary</w:t>
      </w:r>
      <w:r>
        <w:rPr>
          <w:color w:val="231F20"/>
          <w:spacing w:val="-20"/>
          <w:w w:val="105"/>
        </w:rPr>
        <w:t> </w:t>
      </w:r>
      <w:r>
        <w:rPr>
          <w:color w:val="231F20"/>
          <w:w w:val="105"/>
        </w:rPr>
        <w:t>hydrostatic</w:t>
      </w:r>
      <w:r>
        <w:rPr>
          <w:color w:val="231F20"/>
          <w:spacing w:val="-21"/>
          <w:w w:val="105"/>
        </w:rPr>
        <w:t> </w:t>
      </w:r>
      <w:r>
        <w:rPr>
          <w:color w:val="231F20"/>
          <w:spacing w:val="-3"/>
          <w:w w:val="105"/>
        </w:rPr>
        <w:t>pres- </w:t>
      </w:r>
      <w:r>
        <w:rPr>
          <w:color w:val="231F20"/>
          <w:w w:val="105"/>
        </w:rPr>
        <w:t>sure or decreased peritubular capillary colloid osmotic pressure,</w:t>
      </w:r>
      <w:r>
        <w:rPr>
          <w:color w:val="231F20"/>
          <w:spacing w:val="-15"/>
          <w:w w:val="105"/>
        </w:rPr>
        <w:t> </w:t>
      </w:r>
      <w:r>
        <w:rPr>
          <w:color w:val="231F20"/>
          <w:w w:val="105"/>
        </w:rPr>
        <w:t>reduces</w:t>
      </w:r>
      <w:r>
        <w:rPr>
          <w:color w:val="231F20"/>
          <w:spacing w:val="-15"/>
          <w:w w:val="105"/>
        </w:rPr>
        <w:t> </w:t>
      </w:r>
      <w:r>
        <w:rPr>
          <w:color w:val="231F20"/>
          <w:w w:val="105"/>
        </w:rPr>
        <w:t>the</w:t>
      </w:r>
      <w:r>
        <w:rPr>
          <w:color w:val="231F20"/>
          <w:spacing w:val="-15"/>
          <w:w w:val="105"/>
        </w:rPr>
        <w:t> </w:t>
      </w:r>
      <w:r>
        <w:rPr>
          <w:color w:val="231F20"/>
          <w:w w:val="105"/>
        </w:rPr>
        <w:t>uptake</w:t>
      </w:r>
      <w:r>
        <w:rPr>
          <w:color w:val="231F20"/>
          <w:spacing w:val="-15"/>
          <w:w w:val="105"/>
        </w:rPr>
        <w:t> </w:t>
      </w:r>
      <w:r>
        <w:rPr>
          <w:color w:val="231F20"/>
          <w:w w:val="105"/>
        </w:rPr>
        <w:t>of</w:t>
      </w:r>
      <w:r>
        <w:rPr>
          <w:color w:val="231F20"/>
          <w:spacing w:val="-14"/>
          <w:w w:val="105"/>
        </w:rPr>
        <w:t> </w:t>
      </w:r>
      <w:r>
        <w:rPr>
          <w:color w:val="231F20"/>
          <w:w w:val="105"/>
        </w:rPr>
        <w:t>fluid</w:t>
      </w:r>
      <w:r>
        <w:rPr>
          <w:color w:val="231F20"/>
          <w:spacing w:val="-15"/>
          <w:w w:val="105"/>
        </w:rPr>
        <w:t> </w:t>
      </w:r>
      <w:r>
        <w:rPr>
          <w:color w:val="231F20"/>
          <w:w w:val="105"/>
        </w:rPr>
        <w:t>and</w:t>
      </w:r>
      <w:r>
        <w:rPr>
          <w:color w:val="231F20"/>
          <w:spacing w:val="-15"/>
          <w:w w:val="105"/>
        </w:rPr>
        <w:t> </w:t>
      </w:r>
      <w:r>
        <w:rPr>
          <w:color w:val="231F20"/>
          <w:w w:val="105"/>
        </w:rPr>
        <w:t>solutes</w:t>
      </w:r>
      <w:r>
        <w:rPr>
          <w:color w:val="231F20"/>
          <w:spacing w:val="-15"/>
          <w:w w:val="105"/>
        </w:rPr>
        <w:t> </w:t>
      </w:r>
      <w:r>
        <w:rPr>
          <w:color w:val="231F20"/>
          <w:w w:val="105"/>
        </w:rPr>
        <w:t>from</w:t>
      </w:r>
      <w:r>
        <w:rPr>
          <w:color w:val="231F20"/>
          <w:spacing w:val="-14"/>
          <w:w w:val="105"/>
        </w:rPr>
        <w:t> </w:t>
      </w:r>
      <w:r>
        <w:rPr>
          <w:color w:val="231F20"/>
          <w:w w:val="105"/>
        </w:rPr>
        <w:t>the</w:t>
      </w:r>
    </w:p>
    <w:p>
      <w:pPr>
        <w:pStyle w:val="BodyText"/>
        <w:spacing w:before="1"/>
        <w:rPr>
          <w:sz w:val="14"/>
        </w:rPr>
      </w:pPr>
      <w:r>
        <w:rPr/>
        <w:br w:type="column"/>
      </w:r>
      <w:r>
        <w:rPr>
          <w:sz w:val="14"/>
        </w:rPr>
      </w:r>
    </w:p>
    <w:p>
      <w:pPr>
        <w:spacing w:line="254" w:lineRule="auto" w:before="1"/>
        <w:ind w:left="319" w:right="1077" w:firstLine="0"/>
        <w:jc w:val="both"/>
        <w:rPr>
          <w:rFonts w:ascii="Arial" w:hAnsi="Arial"/>
          <w:sz w:val="16"/>
        </w:rPr>
      </w:pPr>
      <w:bookmarkStart w:name="_bookmark57" w:id="58"/>
      <w:bookmarkEnd w:id="58"/>
      <w:r>
        <w:rPr/>
      </w:r>
      <w:r>
        <w:rPr>
          <w:rFonts w:ascii="Trebuchet MS" w:hAnsi="Trebuchet MS"/>
          <w:b/>
          <w:color w:val="231F20"/>
          <w:sz w:val="16"/>
        </w:rPr>
        <w:t>Figure 28­17. </w:t>
      </w:r>
      <w:r>
        <w:rPr>
          <w:rFonts w:ascii="Arial" w:hAnsi="Arial"/>
          <w:color w:val="231F20"/>
          <w:sz w:val="16"/>
        </w:rPr>
        <w:t>Proximal tubular and peritubular capillary </w:t>
      </w:r>
      <w:r>
        <w:rPr>
          <w:rFonts w:ascii="Arial" w:hAnsi="Arial"/>
          <w:color w:val="231F20"/>
          <w:spacing w:val="-3"/>
          <w:sz w:val="16"/>
        </w:rPr>
        <w:t>reabsorp- </w:t>
      </w:r>
      <w:r>
        <w:rPr>
          <w:rFonts w:ascii="Arial" w:hAnsi="Arial"/>
          <w:color w:val="231F20"/>
          <w:sz w:val="16"/>
        </w:rPr>
        <w:t>tion</w:t>
      </w:r>
      <w:r>
        <w:rPr>
          <w:rFonts w:ascii="Arial" w:hAnsi="Arial"/>
          <w:color w:val="231F20"/>
          <w:spacing w:val="-17"/>
          <w:sz w:val="16"/>
        </w:rPr>
        <w:t> </w:t>
      </w:r>
      <w:r>
        <w:rPr>
          <w:rFonts w:ascii="Arial" w:hAnsi="Arial"/>
          <w:color w:val="231F20"/>
          <w:sz w:val="16"/>
        </w:rPr>
        <w:t>under</w:t>
      </w:r>
      <w:r>
        <w:rPr>
          <w:rFonts w:ascii="Arial" w:hAnsi="Arial"/>
          <w:color w:val="231F20"/>
          <w:spacing w:val="-16"/>
          <w:sz w:val="16"/>
        </w:rPr>
        <w:t> </w:t>
      </w:r>
      <w:r>
        <w:rPr>
          <w:rFonts w:ascii="Arial" w:hAnsi="Arial"/>
          <w:color w:val="231F20"/>
          <w:sz w:val="16"/>
        </w:rPr>
        <w:t>normal</w:t>
      </w:r>
      <w:r>
        <w:rPr>
          <w:rFonts w:ascii="Arial" w:hAnsi="Arial"/>
          <w:color w:val="231F20"/>
          <w:spacing w:val="-17"/>
          <w:sz w:val="16"/>
        </w:rPr>
        <w:t> </w:t>
      </w:r>
      <w:r>
        <w:rPr>
          <w:rFonts w:ascii="Arial" w:hAnsi="Arial"/>
          <w:color w:val="231F20"/>
          <w:sz w:val="16"/>
        </w:rPr>
        <w:t>conditions</w:t>
      </w:r>
      <w:r>
        <w:rPr>
          <w:rFonts w:ascii="Arial" w:hAnsi="Arial"/>
          <w:color w:val="231F20"/>
          <w:spacing w:val="-16"/>
          <w:sz w:val="16"/>
        </w:rPr>
        <w:t> </w:t>
      </w:r>
      <w:r>
        <w:rPr>
          <w:rFonts w:ascii="Arial" w:hAnsi="Arial"/>
          <w:color w:val="231F20"/>
          <w:sz w:val="16"/>
        </w:rPr>
        <w:t>(</w:t>
      </w:r>
      <w:r>
        <w:rPr>
          <w:rFonts w:ascii="Lucida Sans" w:hAnsi="Lucida Sans"/>
          <w:i/>
          <w:color w:val="231F20"/>
          <w:sz w:val="16"/>
        </w:rPr>
        <w:t>top</w:t>
      </w:r>
      <w:r>
        <w:rPr>
          <w:rFonts w:ascii="Arial" w:hAnsi="Arial"/>
          <w:color w:val="231F20"/>
          <w:sz w:val="16"/>
        </w:rPr>
        <w:t>)</w:t>
      </w:r>
      <w:r>
        <w:rPr>
          <w:rFonts w:ascii="Arial" w:hAnsi="Arial"/>
          <w:color w:val="231F20"/>
          <w:spacing w:val="-17"/>
          <w:sz w:val="16"/>
        </w:rPr>
        <w:t> </w:t>
      </w:r>
      <w:r>
        <w:rPr>
          <w:rFonts w:ascii="Arial" w:hAnsi="Arial"/>
          <w:color w:val="231F20"/>
          <w:sz w:val="16"/>
        </w:rPr>
        <w:t>and</w:t>
      </w:r>
      <w:r>
        <w:rPr>
          <w:rFonts w:ascii="Arial" w:hAnsi="Arial"/>
          <w:color w:val="231F20"/>
          <w:spacing w:val="-16"/>
          <w:sz w:val="16"/>
        </w:rPr>
        <w:t> </w:t>
      </w:r>
      <w:r>
        <w:rPr>
          <w:rFonts w:ascii="Arial" w:hAnsi="Arial"/>
          <w:color w:val="231F20"/>
          <w:sz w:val="16"/>
        </w:rPr>
        <w:t>during</w:t>
      </w:r>
      <w:r>
        <w:rPr>
          <w:rFonts w:ascii="Arial" w:hAnsi="Arial"/>
          <w:color w:val="231F20"/>
          <w:spacing w:val="-17"/>
          <w:sz w:val="16"/>
        </w:rPr>
        <w:t> </w:t>
      </w:r>
      <w:r>
        <w:rPr>
          <w:rFonts w:ascii="Arial" w:hAnsi="Arial"/>
          <w:color w:val="231F20"/>
          <w:sz w:val="16"/>
        </w:rPr>
        <w:t>decreased</w:t>
      </w:r>
      <w:r>
        <w:rPr>
          <w:rFonts w:ascii="Arial" w:hAnsi="Arial"/>
          <w:color w:val="231F20"/>
          <w:spacing w:val="-16"/>
          <w:sz w:val="16"/>
        </w:rPr>
        <w:t> </w:t>
      </w:r>
      <w:r>
        <w:rPr>
          <w:rFonts w:ascii="Arial" w:hAnsi="Arial"/>
          <w:color w:val="231F20"/>
          <w:sz w:val="16"/>
        </w:rPr>
        <w:t>peritubular capillary</w:t>
      </w:r>
      <w:r>
        <w:rPr>
          <w:rFonts w:ascii="Arial" w:hAnsi="Arial"/>
          <w:color w:val="231F20"/>
          <w:spacing w:val="-27"/>
          <w:sz w:val="16"/>
        </w:rPr>
        <w:t> </w:t>
      </w:r>
      <w:r>
        <w:rPr>
          <w:rFonts w:ascii="Arial" w:hAnsi="Arial"/>
          <w:color w:val="231F20"/>
          <w:sz w:val="16"/>
        </w:rPr>
        <w:t>reabsorption</w:t>
      </w:r>
      <w:r>
        <w:rPr>
          <w:rFonts w:ascii="Arial" w:hAnsi="Arial"/>
          <w:color w:val="231F20"/>
          <w:spacing w:val="-27"/>
          <w:sz w:val="16"/>
        </w:rPr>
        <w:t> </w:t>
      </w:r>
      <w:r>
        <w:rPr>
          <w:rFonts w:ascii="Arial" w:hAnsi="Arial"/>
          <w:color w:val="231F20"/>
          <w:sz w:val="16"/>
        </w:rPr>
        <w:t>(</w:t>
      </w:r>
      <w:r>
        <w:rPr>
          <w:rFonts w:ascii="Lucida Sans" w:hAnsi="Lucida Sans"/>
          <w:i/>
          <w:color w:val="231F20"/>
          <w:sz w:val="16"/>
        </w:rPr>
        <w:t>bottom</w:t>
      </w:r>
      <w:r>
        <w:rPr>
          <w:rFonts w:ascii="Arial" w:hAnsi="Arial"/>
          <w:color w:val="231F20"/>
          <w:sz w:val="16"/>
        </w:rPr>
        <w:t>)</w:t>
      </w:r>
      <w:r>
        <w:rPr>
          <w:rFonts w:ascii="Arial" w:hAnsi="Arial"/>
          <w:color w:val="231F20"/>
          <w:spacing w:val="-27"/>
          <w:sz w:val="16"/>
        </w:rPr>
        <w:t> </w:t>
      </w:r>
      <w:r>
        <w:rPr>
          <w:rFonts w:ascii="Arial" w:hAnsi="Arial"/>
          <w:color w:val="231F20"/>
          <w:sz w:val="16"/>
        </w:rPr>
        <w:t>caused</w:t>
      </w:r>
      <w:r>
        <w:rPr>
          <w:rFonts w:ascii="Arial" w:hAnsi="Arial"/>
          <w:color w:val="231F20"/>
          <w:spacing w:val="-27"/>
          <w:sz w:val="16"/>
        </w:rPr>
        <w:t> </w:t>
      </w:r>
      <w:r>
        <w:rPr>
          <w:rFonts w:ascii="Arial" w:hAnsi="Arial"/>
          <w:color w:val="231F20"/>
          <w:sz w:val="16"/>
        </w:rPr>
        <w:t>by</w:t>
      </w:r>
      <w:r>
        <w:rPr>
          <w:rFonts w:ascii="Arial" w:hAnsi="Arial"/>
          <w:color w:val="231F20"/>
          <w:spacing w:val="-27"/>
          <w:sz w:val="16"/>
        </w:rPr>
        <w:t> </w:t>
      </w:r>
      <w:r>
        <w:rPr>
          <w:rFonts w:ascii="Arial" w:hAnsi="Arial"/>
          <w:color w:val="231F20"/>
          <w:sz w:val="16"/>
        </w:rPr>
        <w:t>either</w:t>
      </w:r>
      <w:r>
        <w:rPr>
          <w:rFonts w:ascii="Arial" w:hAnsi="Arial"/>
          <w:color w:val="231F20"/>
          <w:spacing w:val="-26"/>
          <w:sz w:val="16"/>
        </w:rPr>
        <w:t> </w:t>
      </w:r>
      <w:r>
        <w:rPr>
          <w:rFonts w:ascii="Arial" w:hAnsi="Arial"/>
          <w:color w:val="231F20"/>
          <w:sz w:val="16"/>
        </w:rPr>
        <w:t>increasing</w:t>
      </w:r>
      <w:r>
        <w:rPr>
          <w:rFonts w:ascii="Arial" w:hAnsi="Arial"/>
          <w:color w:val="231F20"/>
          <w:spacing w:val="-27"/>
          <w:sz w:val="16"/>
        </w:rPr>
        <w:t> </w:t>
      </w:r>
      <w:r>
        <w:rPr>
          <w:rFonts w:ascii="Arial" w:hAnsi="Arial"/>
          <w:color w:val="231F20"/>
          <w:spacing w:val="-3"/>
          <w:sz w:val="16"/>
        </w:rPr>
        <w:t>peritubu- </w:t>
      </w:r>
      <w:r>
        <w:rPr>
          <w:rFonts w:ascii="Arial" w:hAnsi="Arial"/>
          <w:color w:val="231F20"/>
          <w:sz w:val="16"/>
        </w:rPr>
        <w:t>lar</w:t>
      </w:r>
      <w:r>
        <w:rPr>
          <w:rFonts w:ascii="Arial" w:hAnsi="Arial"/>
          <w:color w:val="231F20"/>
          <w:spacing w:val="-18"/>
          <w:sz w:val="16"/>
        </w:rPr>
        <w:t> </w:t>
      </w:r>
      <w:r>
        <w:rPr>
          <w:rFonts w:ascii="Arial" w:hAnsi="Arial"/>
          <w:color w:val="231F20"/>
          <w:sz w:val="16"/>
        </w:rPr>
        <w:t>capillary</w:t>
      </w:r>
      <w:r>
        <w:rPr>
          <w:rFonts w:ascii="Arial" w:hAnsi="Arial"/>
          <w:color w:val="231F20"/>
          <w:spacing w:val="-17"/>
          <w:sz w:val="16"/>
        </w:rPr>
        <w:t> </w:t>
      </w:r>
      <w:r>
        <w:rPr>
          <w:rFonts w:ascii="Arial" w:hAnsi="Arial"/>
          <w:color w:val="231F20"/>
          <w:sz w:val="16"/>
        </w:rPr>
        <w:t>hydrostatic</w:t>
      </w:r>
      <w:r>
        <w:rPr>
          <w:rFonts w:ascii="Arial" w:hAnsi="Arial"/>
          <w:color w:val="231F20"/>
          <w:spacing w:val="-17"/>
          <w:sz w:val="16"/>
        </w:rPr>
        <w:t> </w:t>
      </w:r>
      <w:r>
        <w:rPr>
          <w:rFonts w:ascii="Arial" w:hAnsi="Arial"/>
          <w:color w:val="231F20"/>
          <w:sz w:val="16"/>
        </w:rPr>
        <w:t>pressure</w:t>
      </w:r>
      <w:r>
        <w:rPr>
          <w:rFonts w:ascii="Arial" w:hAnsi="Arial"/>
          <w:color w:val="231F20"/>
          <w:spacing w:val="-17"/>
          <w:sz w:val="16"/>
        </w:rPr>
        <w:t> </w:t>
      </w:r>
      <w:r>
        <w:rPr>
          <w:rFonts w:ascii="Lucida Sans" w:hAnsi="Lucida Sans"/>
          <w:i/>
          <w:color w:val="231F20"/>
          <w:sz w:val="16"/>
        </w:rPr>
        <w:t>(P</w:t>
      </w:r>
      <w:r>
        <w:rPr>
          <w:rFonts w:ascii="Lucida Sans" w:hAnsi="Lucida Sans"/>
          <w:i/>
          <w:color w:val="231F20"/>
          <w:position w:val="-1"/>
          <w:sz w:val="9"/>
        </w:rPr>
        <w:t>c</w:t>
      </w:r>
      <w:r>
        <w:rPr>
          <w:rFonts w:ascii="Lucida Sans" w:hAnsi="Lucida Sans"/>
          <w:i/>
          <w:color w:val="231F20"/>
          <w:spacing w:val="-21"/>
          <w:position w:val="-1"/>
          <w:sz w:val="9"/>
        </w:rPr>
        <w:t> </w:t>
      </w:r>
      <w:r>
        <w:rPr>
          <w:rFonts w:ascii="Lucida Sans" w:hAnsi="Lucida Sans"/>
          <w:i/>
          <w:color w:val="231F20"/>
          <w:sz w:val="16"/>
        </w:rPr>
        <w:t>)</w:t>
      </w:r>
      <w:r>
        <w:rPr>
          <w:rFonts w:ascii="Lucida Sans" w:hAnsi="Lucida Sans"/>
          <w:i/>
          <w:color w:val="231F20"/>
          <w:spacing w:val="-23"/>
          <w:sz w:val="16"/>
        </w:rPr>
        <w:t> </w:t>
      </w:r>
      <w:r>
        <w:rPr>
          <w:rFonts w:ascii="Arial" w:hAnsi="Arial"/>
          <w:color w:val="231F20"/>
          <w:sz w:val="16"/>
        </w:rPr>
        <w:t>or</w:t>
      </w:r>
      <w:r>
        <w:rPr>
          <w:rFonts w:ascii="Arial" w:hAnsi="Arial"/>
          <w:color w:val="231F20"/>
          <w:spacing w:val="-18"/>
          <w:sz w:val="16"/>
        </w:rPr>
        <w:t> </w:t>
      </w:r>
      <w:r>
        <w:rPr>
          <w:rFonts w:ascii="Arial" w:hAnsi="Arial"/>
          <w:color w:val="231F20"/>
          <w:sz w:val="16"/>
        </w:rPr>
        <w:t>decreasing</w:t>
      </w:r>
      <w:r>
        <w:rPr>
          <w:rFonts w:ascii="Arial" w:hAnsi="Arial"/>
          <w:color w:val="231F20"/>
          <w:spacing w:val="-17"/>
          <w:sz w:val="16"/>
        </w:rPr>
        <w:t> </w:t>
      </w:r>
      <w:r>
        <w:rPr>
          <w:rFonts w:ascii="Arial" w:hAnsi="Arial"/>
          <w:color w:val="231F20"/>
          <w:sz w:val="16"/>
        </w:rPr>
        <w:t>peritubular</w:t>
      </w:r>
      <w:r>
        <w:rPr>
          <w:rFonts w:ascii="Arial" w:hAnsi="Arial"/>
          <w:color w:val="231F20"/>
          <w:spacing w:val="-17"/>
          <w:sz w:val="16"/>
        </w:rPr>
        <w:t> </w:t>
      </w:r>
      <w:r>
        <w:rPr>
          <w:rFonts w:ascii="Arial" w:hAnsi="Arial"/>
          <w:color w:val="231F20"/>
          <w:spacing w:val="-3"/>
          <w:sz w:val="16"/>
        </w:rPr>
        <w:t>capil- </w:t>
      </w:r>
      <w:r>
        <w:rPr>
          <w:rFonts w:ascii="Arial" w:hAnsi="Arial"/>
          <w:color w:val="231F20"/>
          <w:sz w:val="16"/>
        </w:rPr>
        <w:t>lary colloid osmotic pressure </w:t>
      </w:r>
      <w:r>
        <w:rPr>
          <w:rFonts w:ascii="Lucida Sans" w:hAnsi="Lucida Sans"/>
          <w:i/>
          <w:color w:val="231F20"/>
          <w:sz w:val="16"/>
        </w:rPr>
        <w:t>(</w:t>
      </w:r>
      <w:r>
        <w:rPr>
          <w:rFonts w:ascii="Calibri" w:hAnsi="Calibri"/>
          <w:i/>
          <w:color w:val="231F20"/>
          <w:sz w:val="16"/>
        </w:rPr>
        <w:t>π</w:t>
      </w:r>
      <w:r>
        <w:rPr>
          <w:rFonts w:ascii="Lucida Sans" w:hAnsi="Lucida Sans"/>
          <w:i/>
          <w:color w:val="231F20"/>
          <w:position w:val="-1"/>
          <w:sz w:val="9"/>
        </w:rPr>
        <w:t>c </w:t>
      </w:r>
      <w:r>
        <w:rPr>
          <w:rFonts w:ascii="Lucida Sans" w:hAnsi="Lucida Sans"/>
          <w:i/>
          <w:color w:val="231F20"/>
          <w:sz w:val="16"/>
        </w:rPr>
        <w:t>)</w:t>
      </w:r>
      <w:r>
        <w:rPr>
          <w:rFonts w:ascii="Arial" w:hAnsi="Arial"/>
          <w:color w:val="231F20"/>
          <w:sz w:val="16"/>
        </w:rPr>
        <w:t>. Reduced peritubular capillary reabsorption,</w:t>
      </w:r>
      <w:r>
        <w:rPr>
          <w:rFonts w:ascii="Arial" w:hAnsi="Arial"/>
          <w:color w:val="231F20"/>
          <w:spacing w:val="-10"/>
          <w:sz w:val="16"/>
        </w:rPr>
        <w:t> </w:t>
      </w:r>
      <w:r>
        <w:rPr>
          <w:rFonts w:ascii="Arial" w:hAnsi="Arial"/>
          <w:color w:val="231F20"/>
          <w:sz w:val="16"/>
        </w:rPr>
        <w:t>in</w:t>
      </w:r>
      <w:r>
        <w:rPr>
          <w:rFonts w:ascii="Arial" w:hAnsi="Arial"/>
          <w:color w:val="231F20"/>
          <w:spacing w:val="-9"/>
          <w:sz w:val="16"/>
        </w:rPr>
        <w:t> </w:t>
      </w:r>
      <w:r>
        <w:rPr>
          <w:rFonts w:ascii="Arial" w:hAnsi="Arial"/>
          <w:color w:val="231F20"/>
          <w:sz w:val="16"/>
        </w:rPr>
        <w:t>turn,</w:t>
      </w:r>
      <w:r>
        <w:rPr>
          <w:rFonts w:ascii="Arial" w:hAnsi="Arial"/>
          <w:color w:val="231F20"/>
          <w:spacing w:val="-9"/>
          <w:sz w:val="16"/>
        </w:rPr>
        <w:t> </w:t>
      </w:r>
      <w:r>
        <w:rPr>
          <w:rFonts w:ascii="Arial" w:hAnsi="Arial"/>
          <w:color w:val="231F20"/>
          <w:sz w:val="16"/>
        </w:rPr>
        <w:t>decreases</w:t>
      </w:r>
      <w:r>
        <w:rPr>
          <w:rFonts w:ascii="Arial" w:hAnsi="Arial"/>
          <w:color w:val="231F20"/>
          <w:spacing w:val="-10"/>
          <w:sz w:val="16"/>
        </w:rPr>
        <w:t> </w:t>
      </w:r>
      <w:r>
        <w:rPr>
          <w:rFonts w:ascii="Arial" w:hAnsi="Arial"/>
          <w:color w:val="231F20"/>
          <w:sz w:val="16"/>
        </w:rPr>
        <w:t>the</w:t>
      </w:r>
      <w:r>
        <w:rPr>
          <w:rFonts w:ascii="Arial" w:hAnsi="Arial"/>
          <w:color w:val="231F20"/>
          <w:spacing w:val="-9"/>
          <w:sz w:val="16"/>
        </w:rPr>
        <w:t> </w:t>
      </w:r>
      <w:r>
        <w:rPr>
          <w:rFonts w:ascii="Arial" w:hAnsi="Arial"/>
          <w:color w:val="231F20"/>
          <w:sz w:val="16"/>
        </w:rPr>
        <w:t>net</w:t>
      </w:r>
      <w:r>
        <w:rPr>
          <w:rFonts w:ascii="Arial" w:hAnsi="Arial"/>
          <w:color w:val="231F20"/>
          <w:spacing w:val="-9"/>
          <w:sz w:val="16"/>
        </w:rPr>
        <w:t> </w:t>
      </w:r>
      <w:r>
        <w:rPr>
          <w:rFonts w:ascii="Arial" w:hAnsi="Arial"/>
          <w:color w:val="231F20"/>
          <w:sz w:val="16"/>
        </w:rPr>
        <w:t>reabsorption</w:t>
      </w:r>
      <w:r>
        <w:rPr>
          <w:rFonts w:ascii="Arial" w:hAnsi="Arial"/>
          <w:color w:val="231F20"/>
          <w:spacing w:val="-10"/>
          <w:sz w:val="16"/>
        </w:rPr>
        <w:t> </w:t>
      </w:r>
      <w:r>
        <w:rPr>
          <w:rFonts w:ascii="Arial" w:hAnsi="Arial"/>
          <w:color w:val="231F20"/>
          <w:sz w:val="16"/>
        </w:rPr>
        <w:t>of</w:t>
      </w:r>
      <w:r>
        <w:rPr>
          <w:rFonts w:ascii="Arial" w:hAnsi="Arial"/>
          <w:color w:val="231F20"/>
          <w:spacing w:val="-9"/>
          <w:sz w:val="16"/>
        </w:rPr>
        <w:t> </w:t>
      </w:r>
      <w:r>
        <w:rPr>
          <w:rFonts w:ascii="Arial" w:hAnsi="Arial"/>
          <w:color w:val="231F20"/>
          <w:sz w:val="16"/>
        </w:rPr>
        <w:t>solutes</w:t>
      </w:r>
      <w:r>
        <w:rPr>
          <w:rFonts w:ascii="Arial" w:hAnsi="Arial"/>
          <w:color w:val="231F20"/>
          <w:spacing w:val="-9"/>
          <w:sz w:val="16"/>
        </w:rPr>
        <w:t> </w:t>
      </w:r>
      <w:r>
        <w:rPr>
          <w:rFonts w:ascii="Arial" w:hAnsi="Arial"/>
          <w:color w:val="231F20"/>
          <w:sz w:val="16"/>
        </w:rPr>
        <w:t>and water</w:t>
      </w:r>
      <w:r>
        <w:rPr>
          <w:rFonts w:ascii="Arial" w:hAnsi="Arial"/>
          <w:color w:val="231F20"/>
          <w:spacing w:val="-13"/>
          <w:sz w:val="16"/>
        </w:rPr>
        <w:t> </w:t>
      </w:r>
      <w:r>
        <w:rPr>
          <w:rFonts w:ascii="Arial" w:hAnsi="Arial"/>
          <w:color w:val="231F20"/>
          <w:sz w:val="16"/>
        </w:rPr>
        <w:t>by</w:t>
      </w:r>
      <w:r>
        <w:rPr>
          <w:rFonts w:ascii="Arial" w:hAnsi="Arial"/>
          <w:color w:val="231F20"/>
          <w:spacing w:val="-12"/>
          <w:sz w:val="16"/>
        </w:rPr>
        <w:t> </w:t>
      </w:r>
      <w:r>
        <w:rPr>
          <w:rFonts w:ascii="Arial" w:hAnsi="Arial"/>
          <w:color w:val="231F20"/>
          <w:sz w:val="16"/>
        </w:rPr>
        <w:t>increasing</w:t>
      </w:r>
      <w:r>
        <w:rPr>
          <w:rFonts w:ascii="Arial" w:hAnsi="Arial"/>
          <w:color w:val="231F20"/>
          <w:spacing w:val="-13"/>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amounts</w:t>
      </w:r>
      <w:r>
        <w:rPr>
          <w:rFonts w:ascii="Arial" w:hAnsi="Arial"/>
          <w:color w:val="231F20"/>
          <w:spacing w:val="-12"/>
          <w:sz w:val="16"/>
        </w:rPr>
        <w:t> </w:t>
      </w:r>
      <w:r>
        <w:rPr>
          <w:rFonts w:ascii="Arial" w:hAnsi="Arial"/>
          <w:color w:val="231F20"/>
          <w:sz w:val="16"/>
        </w:rPr>
        <w:t>of</w:t>
      </w:r>
      <w:r>
        <w:rPr>
          <w:rFonts w:ascii="Arial" w:hAnsi="Arial"/>
          <w:color w:val="231F20"/>
          <w:spacing w:val="-13"/>
          <w:sz w:val="16"/>
        </w:rPr>
        <w:t> </w:t>
      </w:r>
      <w:r>
        <w:rPr>
          <w:rFonts w:ascii="Arial" w:hAnsi="Arial"/>
          <w:color w:val="231F20"/>
          <w:sz w:val="16"/>
        </w:rPr>
        <w:t>solutes</w:t>
      </w:r>
      <w:r>
        <w:rPr>
          <w:rFonts w:ascii="Arial" w:hAnsi="Arial"/>
          <w:color w:val="231F20"/>
          <w:spacing w:val="-12"/>
          <w:sz w:val="16"/>
        </w:rPr>
        <w:t> </w:t>
      </w:r>
      <w:r>
        <w:rPr>
          <w:rFonts w:ascii="Arial" w:hAnsi="Arial"/>
          <w:color w:val="231F20"/>
          <w:sz w:val="16"/>
        </w:rPr>
        <w:t>and</w:t>
      </w:r>
      <w:r>
        <w:rPr>
          <w:rFonts w:ascii="Arial" w:hAnsi="Arial"/>
          <w:color w:val="231F20"/>
          <w:spacing w:val="-12"/>
          <w:sz w:val="16"/>
        </w:rPr>
        <w:t> </w:t>
      </w:r>
      <w:r>
        <w:rPr>
          <w:rFonts w:ascii="Arial" w:hAnsi="Arial"/>
          <w:color w:val="231F20"/>
          <w:sz w:val="16"/>
        </w:rPr>
        <w:t>water</w:t>
      </w:r>
      <w:r>
        <w:rPr>
          <w:rFonts w:ascii="Arial" w:hAnsi="Arial"/>
          <w:color w:val="231F20"/>
          <w:spacing w:val="-13"/>
          <w:sz w:val="16"/>
        </w:rPr>
        <w:t> </w:t>
      </w:r>
      <w:r>
        <w:rPr>
          <w:rFonts w:ascii="Arial" w:hAnsi="Arial"/>
          <w:color w:val="231F20"/>
          <w:sz w:val="16"/>
        </w:rPr>
        <w:t>that</w:t>
      </w:r>
      <w:r>
        <w:rPr>
          <w:rFonts w:ascii="Arial" w:hAnsi="Arial"/>
          <w:color w:val="231F20"/>
          <w:spacing w:val="-12"/>
          <w:sz w:val="16"/>
        </w:rPr>
        <w:t> </w:t>
      </w:r>
      <w:r>
        <w:rPr>
          <w:rFonts w:ascii="Arial" w:hAnsi="Arial"/>
          <w:color w:val="231F20"/>
          <w:sz w:val="16"/>
        </w:rPr>
        <w:t>leak</w:t>
      </w:r>
      <w:r>
        <w:rPr>
          <w:rFonts w:ascii="Arial" w:hAnsi="Arial"/>
          <w:color w:val="231F20"/>
          <w:spacing w:val="-12"/>
          <w:sz w:val="16"/>
        </w:rPr>
        <w:t> </w:t>
      </w:r>
      <w:r>
        <w:rPr>
          <w:rFonts w:ascii="Arial" w:hAnsi="Arial"/>
          <w:color w:val="231F20"/>
          <w:sz w:val="16"/>
        </w:rPr>
        <w:t>back into the tubular lumen through the tight junctions of the tubular epithelial cells, especially in the proximal</w:t>
      </w:r>
      <w:r>
        <w:rPr>
          <w:rFonts w:ascii="Arial" w:hAnsi="Arial"/>
          <w:color w:val="231F20"/>
          <w:spacing w:val="22"/>
          <w:sz w:val="16"/>
        </w:rPr>
        <w:t> </w:t>
      </w:r>
      <w:r>
        <w:rPr>
          <w:rFonts w:ascii="Arial" w:hAnsi="Arial"/>
          <w:color w:val="231F20"/>
          <w:sz w:val="16"/>
        </w:rPr>
        <w:t>tubule.</w:t>
      </w:r>
    </w:p>
    <w:p>
      <w:pPr>
        <w:pStyle w:val="BodyText"/>
        <w:rPr>
          <w:rFonts w:ascii="Arial"/>
          <w:sz w:val="18"/>
        </w:rPr>
      </w:pPr>
    </w:p>
    <w:p>
      <w:pPr>
        <w:pStyle w:val="BodyText"/>
        <w:spacing w:before="5"/>
        <w:rPr>
          <w:rFonts w:ascii="Arial"/>
          <w:sz w:val="21"/>
        </w:rPr>
      </w:pPr>
    </w:p>
    <w:p>
      <w:pPr>
        <w:pStyle w:val="BodyText"/>
        <w:spacing w:line="249" w:lineRule="auto"/>
        <w:ind w:left="319" w:right="1077"/>
        <w:jc w:val="both"/>
      </w:pPr>
      <w:r>
        <w:rPr>
          <w:color w:val="231F20"/>
          <w:w w:val="105"/>
        </w:rPr>
        <w:t>interstitium into the peritubular capillaries. This action in turn raises renal interstitial fluid hydrostatic pressure and decreases interstitial fluid colloid osmotic pressure because of dilution of the proteins in the renal </w:t>
      </w:r>
      <w:r>
        <w:rPr>
          <w:color w:val="231F20"/>
          <w:spacing w:val="-3"/>
          <w:w w:val="105"/>
        </w:rPr>
        <w:t>intersti- </w:t>
      </w:r>
      <w:r>
        <w:rPr>
          <w:color w:val="231F20"/>
          <w:w w:val="105"/>
        </w:rPr>
        <w:t>tium. These changes then decrease the net reabsorption of</w:t>
      </w:r>
      <w:r>
        <w:rPr>
          <w:color w:val="231F20"/>
          <w:spacing w:val="-12"/>
          <w:w w:val="105"/>
        </w:rPr>
        <w:t> </w:t>
      </w:r>
      <w:r>
        <w:rPr>
          <w:color w:val="231F20"/>
          <w:w w:val="105"/>
        </w:rPr>
        <w:t>fluid</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renal</w:t>
      </w:r>
      <w:r>
        <w:rPr>
          <w:color w:val="231F20"/>
          <w:spacing w:val="-12"/>
          <w:w w:val="105"/>
        </w:rPr>
        <w:t> </w:t>
      </w:r>
      <w:r>
        <w:rPr>
          <w:color w:val="231F20"/>
          <w:w w:val="105"/>
        </w:rPr>
        <w:t>tubules</w:t>
      </w:r>
      <w:r>
        <w:rPr>
          <w:color w:val="231F20"/>
          <w:spacing w:val="-11"/>
          <w:w w:val="105"/>
        </w:rPr>
        <w:t> </w:t>
      </w:r>
      <w:r>
        <w:rPr>
          <w:color w:val="231F20"/>
          <w:w w:val="105"/>
        </w:rPr>
        <w:t>into</w:t>
      </w:r>
      <w:r>
        <w:rPr>
          <w:color w:val="231F20"/>
          <w:spacing w:val="-11"/>
          <w:w w:val="105"/>
        </w:rPr>
        <w:t> </w:t>
      </w:r>
      <w:r>
        <w:rPr>
          <w:color w:val="231F20"/>
          <w:w w:val="105"/>
        </w:rPr>
        <w:t>the</w:t>
      </w:r>
      <w:r>
        <w:rPr>
          <w:color w:val="231F20"/>
          <w:spacing w:val="-11"/>
          <w:w w:val="105"/>
        </w:rPr>
        <w:t> </w:t>
      </w:r>
      <w:r>
        <w:rPr>
          <w:color w:val="231F20"/>
          <w:w w:val="105"/>
        </w:rPr>
        <w:t>interstitium,</w:t>
      </w:r>
      <w:r>
        <w:rPr>
          <w:color w:val="231F20"/>
          <w:spacing w:val="-12"/>
          <w:w w:val="105"/>
        </w:rPr>
        <w:t> </w:t>
      </w:r>
      <w:r>
        <w:rPr>
          <w:color w:val="231F20"/>
          <w:spacing w:val="-3"/>
          <w:w w:val="105"/>
        </w:rPr>
        <w:t>espe- </w:t>
      </w:r>
      <w:r>
        <w:rPr>
          <w:color w:val="231F20"/>
          <w:w w:val="105"/>
        </w:rPr>
        <w:t>cially in the proximal</w:t>
      </w:r>
      <w:r>
        <w:rPr>
          <w:color w:val="231F20"/>
          <w:spacing w:val="6"/>
          <w:w w:val="105"/>
        </w:rPr>
        <w:t> </w:t>
      </w:r>
      <w:r>
        <w:rPr>
          <w:color w:val="231F20"/>
          <w:w w:val="105"/>
        </w:rPr>
        <w:t>tubules.</w:t>
      </w:r>
    </w:p>
    <w:p>
      <w:pPr>
        <w:pStyle w:val="BodyText"/>
        <w:spacing w:line="249" w:lineRule="auto" w:before="6"/>
        <w:ind w:left="319" w:right="1077" w:firstLine="240"/>
        <w:jc w:val="both"/>
      </w:pPr>
      <w:r>
        <w:rPr>
          <w:color w:val="231F20"/>
          <w:w w:val="105"/>
        </w:rPr>
        <w:t>The</w:t>
      </w:r>
      <w:r>
        <w:rPr>
          <w:color w:val="231F20"/>
          <w:spacing w:val="-15"/>
          <w:w w:val="105"/>
        </w:rPr>
        <w:t> </w:t>
      </w:r>
      <w:r>
        <w:rPr>
          <w:color w:val="231F20"/>
          <w:w w:val="105"/>
        </w:rPr>
        <w:t>mechanisms</w:t>
      </w:r>
      <w:r>
        <w:rPr>
          <w:color w:val="231F20"/>
          <w:spacing w:val="-14"/>
          <w:w w:val="105"/>
        </w:rPr>
        <w:t> </w:t>
      </w:r>
      <w:r>
        <w:rPr>
          <w:color w:val="231F20"/>
          <w:w w:val="105"/>
        </w:rPr>
        <w:t>by</w:t>
      </w:r>
      <w:r>
        <w:rPr>
          <w:color w:val="231F20"/>
          <w:spacing w:val="-14"/>
          <w:w w:val="105"/>
        </w:rPr>
        <w:t> </w:t>
      </w:r>
      <w:r>
        <w:rPr>
          <w:color w:val="231F20"/>
          <w:w w:val="105"/>
        </w:rPr>
        <w:t>which</w:t>
      </w:r>
      <w:r>
        <w:rPr>
          <w:color w:val="231F20"/>
          <w:spacing w:val="-14"/>
          <w:w w:val="105"/>
        </w:rPr>
        <w:t> </w:t>
      </w:r>
      <w:r>
        <w:rPr>
          <w:color w:val="231F20"/>
          <w:w w:val="105"/>
        </w:rPr>
        <w:t>changes</w:t>
      </w:r>
      <w:r>
        <w:rPr>
          <w:color w:val="231F20"/>
          <w:spacing w:val="-14"/>
          <w:w w:val="105"/>
        </w:rPr>
        <w:t> </w:t>
      </w:r>
      <w:r>
        <w:rPr>
          <w:color w:val="231F20"/>
          <w:w w:val="105"/>
        </w:rPr>
        <w:t>in</w:t>
      </w:r>
      <w:r>
        <w:rPr>
          <w:color w:val="231F20"/>
          <w:spacing w:val="-14"/>
          <w:w w:val="105"/>
        </w:rPr>
        <w:t> </w:t>
      </w:r>
      <w:r>
        <w:rPr>
          <w:color w:val="231F20"/>
          <w:w w:val="105"/>
        </w:rPr>
        <w:t>interstitial</w:t>
      </w:r>
      <w:r>
        <w:rPr>
          <w:color w:val="231F20"/>
          <w:spacing w:val="-14"/>
          <w:w w:val="105"/>
        </w:rPr>
        <w:t> </w:t>
      </w:r>
      <w:r>
        <w:rPr>
          <w:color w:val="231F20"/>
          <w:spacing w:val="-3"/>
          <w:w w:val="105"/>
        </w:rPr>
        <w:t>fluid </w:t>
      </w:r>
      <w:r>
        <w:rPr>
          <w:color w:val="231F20"/>
          <w:w w:val="105"/>
        </w:rPr>
        <w:t>hydrostatic and colloid osmotic pressures influence tubular</w:t>
      </w:r>
      <w:r>
        <w:rPr>
          <w:color w:val="231F20"/>
          <w:spacing w:val="-17"/>
          <w:w w:val="105"/>
        </w:rPr>
        <w:t> </w:t>
      </w:r>
      <w:r>
        <w:rPr>
          <w:color w:val="231F20"/>
          <w:w w:val="105"/>
        </w:rPr>
        <w:t>reabsorption</w:t>
      </w:r>
      <w:r>
        <w:rPr>
          <w:color w:val="231F20"/>
          <w:spacing w:val="-17"/>
          <w:w w:val="105"/>
        </w:rPr>
        <w:t> </w:t>
      </w:r>
      <w:r>
        <w:rPr>
          <w:color w:val="231F20"/>
          <w:w w:val="105"/>
        </w:rPr>
        <w:t>can</w:t>
      </w:r>
      <w:r>
        <w:rPr>
          <w:color w:val="231F20"/>
          <w:spacing w:val="-16"/>
          <w:w w:val="105"/>
        </w:rPr>
        <w:t> </w:t>
      </w:r>
      <w:r>
        <w:rPr>
          <w:color w:val="231F20"/>
          <w:w w:val="105"/>
        </w:rPr>
        <w:t>be</w:t>
      </w:r>
      <w:r>
        <w:rPr>
          <w:color w:val="231F20"/>
          <w:spacing w:val="-17"/>
          <w:w w:val="105"/>
        </w:rPr>
        <w:t> </w:t>
      </w:r>
      <w:r>
        <w:rPr>
          <w:color w:val="231F20"/>
          <w:w w:val="105"/>
        </w:rPr>
        <w:t>understood</w:t>
      </w:r>
      <w:r>
        <w:rPr>
          <w:color w:val="231F20"/>
          <w:spacing w:val="-16"/>
          <w:w w:val="105"/>
        </w:rPr>
        <w:t> </w:t>
      </w:r>
      <w:r>
        <w:rPr>
          <w:color w:val="231F20"/>
          <w:w w:val="105"/>
        </w:rPr>
        <w:t>by</w:t>
      </w:r>
      <w:r>
        <w:rPr>
          <w:color w:val="231F20"/>
          <w:spacing w:val="-17"/>
          <w:w w:val="105"/>
        </w:rPr>
        <w:t> </w:t>
      </w:r>
      <w:r>
        <w:rPr>
          <w:color w:val="231F20"/>
          <w:w w:val="105"/>
        </w:rPr>
        <w:t>examining</w:t>
      </w:r>
      <w:r>
        <w:rPr>
          <w:color w:val="231F20"/>
          <w:spacing w:val="-17"/>
          <w:w w:val="105"/>
        </w:rPr>
        <w:t> </w:t>
      </w:r>
      <w:r>
        <w:rPr>
          <w:color w:val="231F20"/>
          <w:w w:val="105"/>
        </w:rPr>
        <w:t>the pathways</w:t>
      </w:r>
      <w:r>
        <w:rPr>
          <w:color w:val="231F20"/>
          <w:spacing w:val="-15"/>
          <w:w w:val="105"/>
        </w:rPr>
        <w:t> </w:t>
      </w:r>
      <w:r>
        <w:rPr>
          <w:color w:val="231F20"/>
          <w:w w:val="105"/>
        </w:rPr>
        <w:t>through</w:t>
      </w:r>
      <w:r>
        <w:rPr>
          <w:color w:val="231F20"/>
          <w:spacing w:val="-15"/>
          <w:w w:val="105"/>
        </w:rPr>
        <w:t> </w:t>
      </w:r>
      <w:r>
        <w:rPr>
          <w:color w:val="231F20"/>
          <w:w w:val="105"/>
        </w:rPr>
        <w:t>which</w:t>
      </w:r>
      <w:r>
        <w:rPr>
          <w:color w:val="231F20"/>
          <w:spacing w:val="-14"/>
          <w:w w:val="105"/>
        </w:rPr>
        <w:t> </w:t>
      </w:r>
      <w:r>
        <w:rPr>
          <w:color w:val="231F20"/>
          <w:w w:val="105"/>
        </w:rPr>
        <w:t>solute</w:t>
      </w:r>
      <w:r>
        <w:rPr>
          <w:color w:val="231F20"/>
          <w:spacing w:val="-15"/>
          <w:w w:val="105"/>
        </w:rPr>
        <w:t> </w:t>
      </w:r>
      <w:r>
        <w:rPr>
          <w:color w:val="231F20"/>
          <w:w w:val="105"/>
        </w:rPr>
        <w:t>and</w:t>
      </w:r>
      <w:r>
        <w:rPr>
          <w:color w:val="231F20"/>
          <w:spacing w:val="-14"/>
          <w:w w:val="105"/>
        </w:rPr>
        <w:t> </w:t>
      </w:r>
      <w:r>
        <w:rPr>
          <w:color w:val="231F20"/>
          <w:w w:val="105"/>
        </w:rPr>
        <w:t>water</w:t>
      </w:r>
      <w:r>
        <w:rPr>
          <w:color w:val="231F20"/>
          <w:spacing w:val="-15"/>
          <w:w w:val="105"/>
        </w:rPr>
        <w:t> </w:t>
      </w:r>
      <w:r>
        <w:rPr>
          <w:color w:val="231F20"/>
          <w:w w:val="105"/>
        </w:rPr>
        <w:t>are</w:t>
      </w:r>
      <w:r>
        <w:rPr>
          <w:color w:val="231F20"/>
          <w:spacing w:val="-14"/>
          <w:w w:val="105"/>
        </w:rPr>
        <w:t> </w:t>
      </w:r>
      <w:r>
        <w:rPr>
          <w:color w:val="231F20"/>
          <w:w w:val="105"/>
        </w:rPr>
        <w:t>reabsorbed (</w:t>
      </w:r>
      <w:hyperlink w:history="true" w:anchor="_bookmark57">
        <w:r>
          <w:rPr>
            <w:b/>
            <w:color w:val="0080AC"/>
            <w:w w:val="105"/>
          </w:rPr>
          <w:t>Figure 28-17</w:t>
        </w:r>
      </w:hyperlink>
      <w:r>
        <w:rPr>
          <w:color w:val="231F20"/>
          <w:w w:val="105"/>
        </w:rPr>
        <w:t>). Once the solutes enter the intercellular channels or renal interstitium by active transport </w:t>
      </w:r>
      <w:r>
        <w:rPr>
          <w:color w:val="231F20"/>
          <w:spacing w:val="-6"/>
          <w:w w:val="105"/>
        </w:rPr>
        <w:t>or </w:t>
      </w:r>
      <w:r>
        <w:rPr>
          <w:color w:val="231F20"/>
          <w:w w:val="105"/>
        </w:rPr>
        <w:t>passive</w:t>
      </w:r>
      <w:r>
        <w:rPr>
          <w:color w:val="231F20"/>
          <w:spacing w:val="-11"/>
          <w:w w:val="105"/>
        </w:rPr>
        <w:t> </w:t>
      </w:r>
      <w:r>
        <w:rPr>
          <w:color w:val="231F20"/>
          <w:w w:val="105"/>
        </w:rPr>
        <w:t>diffusion,</w:t>
      </w:r>
      <w:r>
        <w:rPr>
          <w:color w:val="231F20"/>
          <w:spacing w:val="-10"/>
          <w:w w:val="105"/>
        </w:rPr>
        <w:t> </w:t>
      </w:r>
      <w:r>
        <w:rPr>
          <w:color w:val="231F20"/>
          <w:w w:val="105"/>
        </w:rPr>
        <w:t>water</w:t>
      </w:r>
      <w:r>
        <w:rPr>
          <w:color w:val="231F20"/>
          <w:spacing w:val="-10"/>
          <w:w w:val="105"/>
        </w:rPr>
        <w:t> </w:t>
      </w:r>
      <w:r>
        <w:rPr>
          <w:color w:val="231F20"/>
          <w:w w:val="105"/>
        </w:rPr>
        <w:t>is</w:t>
      </w:r>
      <w:r>
        <w:rPr>
          <w:color w:val="231F20"/>
          <w:spacing w:val="-10"/>
          <w:w w:val="105"/>
        </w:rPr>
        <w:t> </w:t>
      </w:r>
      <w:r>
        <w:rPr>
          <w:color w:val="231F20"/>
          <w:w w:val="105"/>
        </w:rPr>
        <w:t>drawn</w:t>
      </w:r>
      <w:r>
        <w:rPr>
          <w:color w:val="231F20"/>
          <w:spacing w:val="-11"/>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tubular</w:t>
      </w:r>
      <w:r>
        <w:rPr>
          <w:color w:val="231F20"/>
          <w:spacing w:val="-10"/>
          <w:w w:val="105"/>
        </w:rPr>
        <w:t> </w:t>
      </w:r>
      <w:r>
        <w:rPr>
          <w:color w:val="231F20"/>
          <w:spacing w:val="-3"/>
          <w:w w:val="105"/>
        </w:rPr>
        <w:t>lumen </w:t>
      </w:r>
      <w:r>
        <w:rPr>
          <w:color w:val="231F20"/>
          <w:w w:val="105"/>
        </w:rPr>
        <w:t>into the interstitium by osmosis. Furthermore, once the water and solutes are in the interstitial spaces, they can either be swept up into the peritubular capillaries or diffuse back through the epithelial junctions into </w:t>
      </w:r>
      <w:r>
        <w:rPr>
          <w:color w:val="231F20"/>
          <w:spacing w:val="-5"/>
          <w:w w:val="105"/>
        </w:rPr>
        <w:t>the </w:t>
      </w:r>
      <w:r>
        <w:rPr>
          <w:color w:val="231F20"/>
          <w:w w:val="105"/>
        </w:rPr>
        <w:t>tubular lumen. The so-called “tight” junctions</w:t>
      </w:r>
      <w:r>
        <w:rPr>
          <w:color w:val="231F20"/>
          <w:spacing w:val="3"/>
          <w:w w:val="105"/>
        </w:rPr>
        <w:t> </w:t>
      </w:r>
      <w:r>
        <w:rPr>
          <w:color w:val="231F20"/>
          <w:w w:val="105"/>
        </w:rPr>
        <w:t>between</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685"/>
          <w:footerReference w:type="even" r:id="rId686"/>
          <w:footerReference w:type="default" r:id="rId687"/>
          <w:pgSz w:w="12240" w:h="15660"/>
          <w:pgMar w:header="0" w:footer="567" w:top="720" w:bottom="760" w:left="0" w:right="0"/>
          <w:pgNumType w:start="362"/>
        </w:sectPr>
      </w:pPr>
    </w:p>
    <w:p>
      <w:pPr>
        <w:pStyle w:val="BodyText"/>
        <w:spacing w:line="249" w:lineRule="auto" w:before="99"/>
        <w:ind w:left="1080" w:right="345"/>
        <w:jc w:val="both"/>
      </w:pPr>
      <w:r>
        <w:rPr/>
        <w:pict>
          <v:rect style="position:absolute;margin-left:0pt;margin-top:144.935959pt;width:36pt;height:24pt;mso-position-horizontal-relative:page;mso-position-vertical-relative:paragraph;z-index:252252160" filled="true" fillcolor="#e8dac8" stroked="false">
            <v:fill type="solid"/>
            <w10:wrap type="none"/>
          </v:rect>
        </w:pict>
      </w:r>
      <w:r>
        <w:rPr>
          <w:color w:val="231F20"/>
          <w:w w:val="105"/>
        </w:rPr>
        <w:t>the epithelial cells of the proximal tubule are </w:t>
      </w:r>
      <w:r>
        <w:rPr>
          <w:color w:val="231F20"/>
          <w:spacing w:val="-3"/>
          <w:w w:val="105"/>
        </w:rPr>
        <w:t>actually </w:t>
      </w:r>
      <w:r>
        <w:rPr>
          <w:color w:val="231F20"/>
          <w:w w:val="105"/>
        </w:rPr>
        <w:t>leaky, so considerable amounts of sodium can diffuse in both directions through these junctions. </w:t>
      </w:r>
      <w:r>
        <w:rPr>
          <w:color w:val="231F20"/>
          <w:spacing w:val="-3"/>
          <w:w w:val="105"/>
        </w:rPr>
        <w:t>With </w:t>
      </w:r>
      <w:r>
        <w:rPr>
          <w:color w:val="231F20"/>
          <w:w w:val="105"/>
        </w:rPr>
        <w:t>the normal high rate of peritubular capillary reabsorption, the</w:t>
      </w:r>
      <w:r>
        <w:rPr>
          <w:color w:val="231F20"/>
          <w:spacing w:val="-7"/>
          <w:w w:val="105"/>
        </w:rPr>
        <w:t> </w:t>
      </w:r>
      <w:r>
        <w:rPr>
          <w:color w:val="231F20"/>
          <w:w w:val="105"/>
        </w:rPr>
        <w:t>net</w:t>
      </w:r>
      <w:r>
        <w:rPr>
          <w:color w:val="231F20"/>
          <w:spacing w:val="-6"/>
          <w:w w:val="105"/>
        </w:rPr>
        <w:t> </w:t>
      </w:r>
      <w:r>
        <w:rPr>
          <w:color w:val="231F20"/>
          <w:w w:val="105"/>
        </w:rPr>
        <w:t>movement</w:t>
      </w:r>
      <w:r>
        <w:rPr>
          <w:color w:val="231F20"/>
          <w:spacing w:val="-7"/>
          <w:w w:val="105"/>
        </w:rPr>
        <w:t> </w:t>
      </w:r>
      <w:r>
        <w:rPr>
          <w:color w:val="231F20"/>
          <w:w w:val="105"/>
        </w:rPr>
        <w:t>of</w:t>
      </w:r>
      <w:r>
        <w:rPr>
          <w:color w:val="231F20"/>
          <w:spacing w:val="-6"/>
          <w:w w:val="105"/>
        </w:rPr>
        <w:t> </w:t>
      </w:r>
      <w:r>
        <w:rPr>
          <w:color w:val="231F20"/>
          <w:w w:val="105"/>
        </w:rPr>
        <w:t>water</w:t>
      </w:r>
      <w:r>
        <w:rPr>
          <w:color w:val="231F20"/>
          <w:spacing w:val="-7"/>
          <w:w w:val="105"/>
        </w:rPr>
        <w:t> </w:t>
      </w:r>
      <w:r>
        <w:rPr>
          <w:color w:val="231F20"/>
          <w:w w:val="105"/>
        </w:rPr>
        <w:t>and</w:t>
      </w:r>
      <w:r>
        <w:rPr>
          <w:color w:val="231F20"/>
          <w:spacing w:val="-6"/>
          <w:w w:val="105"/>
        </w:rPr>
        <w:t> </w:t>
      </w:r>
      <w:r>
        <w:rPr>
          <w:color w:val="231F20"/>
          <w:w w:val="105"/>
        </w:rPr>
        <w:t>solutes</w:t>
      </w:r>
      <w:r>
        <w:rPr>
          <w:color w:val="231F20"/>
          <w:spacing w:val="-7"/>
          <w:w w:val="105"/>
        </w:rPr>
        <w:t> </w:t>
      </w:r>
      <w:r>
        <w:rPr>
          <w:color w:val="231F20"/>
          <w:w w:val="105"/>
        </w:rPr>
        <w:t>is</w:t>
      </w:r>
      <w:r>
        <w:rPr>
          <w:color w:val="231F20"/>
          <w:spacing w:val="-6"/>
          <w:w w:val="105"/>
        </w:rPr>
        <w:t> </w:t>
      </w:r>
      <w:r>
        <w:rPr>
          <w:color w:val="231F20"/>
          <w:w w:val="105"/>
        </w:rPr>
        <w:t>into</w:t>
      </w:r>
      <w:r>
        <w:rPr>
          <w:color w:val="231F20"/>
          <w:spacing w:val="-7"/>
          <w:w w:val="105"/>
        </w:rPr>
        <w:t> </w:t>
      </w:r>
      <w:r>
        <w:rPr>
          <w:color w:val="231F20"/>
          <w:w w:val="105"/>
        </w:rPr>
        <w:t>the</w:t>
      </w:r>
      <w:r>
        <w:rPr>
          <w:color w:val="231F20"/>
          <w:spacing w:val="-6"/>
          <w:w w:val="105"/>
        </w:rPr>
        <w:t> </w:t>
      </w:r>
      <w:r>
        <w:rPr>
          <w:color w:val="231F20"/>
          <w:w w:val="105"/>
        </w:rPr>
        <w:t>peritu- bular capillaries with little backleak into the lumen </w:t>
      </w:r>
      <w:r>
        <w:rPr>
          <w:color w:val="231F20"/>
          <w:spacing w:val="-6"/>
          <w:w w:val="105"/>
        </w:rPr>
        <w:t>of </w:t>
      </w:r>
      <w:r>
        <w:rPr>
          <w:color w:val="231F20"/>
          <w:w w:val="105"/>
        </w:rPr>
        <w:t>the tubule. However, when peritubular capillary reab- sorption is reduced, there is increased interstitial fluid hydrostatic pressure and a tendency for greater</w:t>
      </w:r>
      <w:r>
        <w:rPr>
          <w:color w:val="231F20"/>
          <w:spacing w:val="-24"/>
          <w:w w:val="105"/>
        </w:rPr>
        <w:t> </w:t>
      </w:r>
      <w:r>
        <w:rPr>
          <w:color w:val="231F20"/>
          <w:w w:val="105"/>
        </w:rPr>
        <w:t>amounts of solute and water to backleak into the tubular lumen, thereby</w:t>
      </w:r>
      <w:r>
        <w:rPr>
          <w:color w:val="231F20"/>
          <w:spacing w:val="-11"/>
          <w:w w:val="105"/>
        </w:rPr>
        <w:t> </w:t>
      </w:r>
      <w:r>
        <w:rPr>
          <w:color w:val="231F20"/>
          <w:w w:val="105"/>
        </w:rPr>
        <w:t>reducing</w:t>
      </w:r>
      <w:r>
        <w:rPr>
          <w:color w:val="231F20"/>
          <w:spacing w:val="-11"/>
          <w:w w:val="105"/>
        </w:rPr>
        <w:t> </w:t>
      </w:r>
      <w:r>
        <w:rPr>
          <w:color w:val="231F20"/>
          <w:w w:val="105"/>
        </w:rPr>
        <w:t>the</w:t>
      </w:r>
      <w:r>
        <w:rPr>
          <w:color w:val="231F20"/>
          <w:spacing w:val="-11"/>
          <w:w w:val="105"/>
        </w:rPr>
        <w:t> </w:t>
      </w:r>
      <w:r>
        <w:rPr>
          <w:color w:val="231F20"/>
          <w:w w:val="105"/>
        </w:rPr>
        <w:t>rate</w:t>
      </w:r>
      <w:r>
        <w:rPr>
          <w:color w:val="231F20"/>
          <w:spacing w:val="-10"/>
          <w:w w:val="105"/>
        </w:rPr>
        <w:t> </w:t>
      </w:r>
      <w:r>
        <w:rPr>
          <w:color w:val="231F20"/>
          <w:w w:val="105"/>
        </w:rPr>
        <w:t>of</w:t>
      </w:r>
      <w:r>
        <w:rPr>
          <w:color w:val="231F20"/>
          <w:spacing w:val="-11"/>
          <w:w w:val="105"/>
        </w:rPr>
        <w:t> </w:t>
      </w:r>
      <w:r>
        <w:rPr>
          <w:color w:val="231F20"/>
          <w:w w:val="105"/>
        </w:rPr>
        <w:t>net</w:t>
      </w:r>
      <w:r>
        <w:rPr>
          <w:color w:val="231F20"/>
          <w:spacing w:val="-11"/>
          <w:w w:val="105"/>
        </w:rPr>
        <w:t> </w:t>
      </w:r>
      <w:r>
        <w:rPr>
          <w:color w:val="231F20"/>
          <w:w w:val="105"/>
        </w:rPr>
        <w:t>reabsorption</w:t>
      </w:r>
      <w:r>
        <w:rPr>
          <w:color w:val="231F20"/>
          <w:spacing w:val="-10"/>
          <w:w w:val="105"/>
        </w:rPr>
        <w:t> </w:t>
      </w:r>
      <w:r>
        <w:rPr>
          <w:color w:val="231F20"/>
          <w:w w:val="105"/>
        </w:rPr>
        <w:t>(refer</w:t>
      </w:r>
      <w:r>
        <w:rPr>
          <w:color w:val="231F20"/>
          <w:spacing w:val="-11"/>
          <w:w w:val="105"/>
        </w:rPr>
        <w:t> </w:t>
      </w:r>
      <w:r>
        <w:rPr>
          <w:color w:val="231F20"/>
          <w:w w:val="105"/>
        </w:rPr>
        <w:t>again to </w:t>
      </w:r>
      <w:hyperlink w:history="true" w:anchor="_bookmark57">
        <w:r>
          <w:rPr>
            <w:b/>
            <w:color w:val="0080AC"/>
            <w:w w:val="105"/>
          </w:rPr>
          <w:t>Figure</w:t>
        </w:r>
        <w:r>
          <w:rPr>
            <w:b/>
            <w:color w:val="0080AC"/>
            <w:spacing w:val="4"/>
            <w:w w:val="105"/>
          </w:rPr>
          <w:t> </w:t>
        </w:r>
        <w:r>
          <w:rPr>
            <w:b/>
            <w:color w:val="0080AC"/>
            <w:w w:val="105"/>
          </w:rPr>
          <w:t>28-17</w:t>
        </w:r>
      </w:hyperlink>
      <w:r>
        <w:rPr>
          <w:color w:val="231F20"/>
          <w:w w:val="105"/>
        </w:rPr>
        <w:t>).</w:t>
      </w:r>
    </w:p>
    <w:p>
      <w:pPr>
        <w:pStyle w:val="BodyText"/>
        <w:spacing w:line="249" w:lineRule="auto" w:before="10"/>
        <w:ind w:left="1080" w:right="346" w:firstLine="240"/>
        <w:jc w:val="both"/>
      </w:pPr>
      <w:r>
        <w:rPr>
          <w:color w:val="231F20"/>
          <w:w w:val="105"/>
        </w:rPr>
        <w:t>The opposite is true when peritubular capillary reab- sorption increases above the normal level. An initial increase in reabsorption by the peritubular capillaries tends to reduce interstitial fluid hydrostatic </w:t>
      </w:r>
      <w:r>
        <w:rPr>
          <w:color w:val="231F20"/>
          <w:spacing w:val="-3"/>
          <w:w w:val="105"/>
        </w:rPr>
        <w:t>pressure </w:t>
      </w:r>
      <w:r>
        <w:rPr>
          <w:color w:val="231F20"/>
          <w:w w:val="105"/>
        </w:rPr>
        <w:t>and</w:t>
      </w:r>
      <w:r>
        <w:rPr>
          <w:color w:val="231F20"/>
          <w:spacing w:val="-6"/>
          <w:w w:val="105"/>
        </w:rPr>
        <w:t> </w:t>
      </w:r>
      <w:r>
        <w:rPr>
          <w:color w:val="231F20"/>
          <w:w w:val="105"/>
        </w:rPr>
        <w:t>raise</w:t>
      </w:r>
      <w:r>
        <w:rPr>
          <w:color w:val="231F20"/>
          <w:spacing w:val="-6"/>
          <w:w w:val="105"/>
        </w:rPr>
        <w:t> </w:t>
      </w:r>
      <w:r>
        <w:rPr>
          <w:color w:val="231F20"/>
          <w:w w:val="105"/>
        </w:rPr>
        <w:t>interstitial</w:t>
      </w:r>
      <w:r>
        <w:rPr>
          <w:color w:val="231F20"/>
          <w:spacing w:val="-6"/>
          <w:w w:val="105"/>
        </w:rPr>
        <w:t> </w:t>
      </w:r>
      <w:r>
        <w:rPr>
          <w:color w:val="231F20"/>
          <w:w w:val="105"/>
        </w:rPr>
        <w:t>fluid</w:t>
      </w:r>
      <w:r>
        <w:rPr>
          <w:color w:val="231F20"/>
          <w:spacing w:val="-6"/>
          <w:w w:val="105"/>
        </w:rPr>
        <w:t> </w:t>
      </w:r>
      <w:r>
        <w:rPr>
          <w:color w:val="231F20"/>
          <w:w w:val="105"/>
        </w:rPr>
        <w:t>colloid</w:t>
      </w:r>
      <w:r>
        <w:rPr>
          <w:color w:val="231F20"/>
          <w:spacing w:val="-5"/>
          <w:w w:val="105"/>
        </w:rPr>
        <w:t> </w:t>
      </w:r>
      <w:r>
        <w:rPr>
          <w:color w:val="231F20"/>
          <w:w w:val="105"/>
        </w:rPr>
        <w:t>osmotic</w:t>
      </w:r>
      <w:r>
        <w:rPr>
          <w:color w:val="231F20"/>
          <w:spacing w:val="-6"/>
          <w:w w:val="105"/>
        </w:rPr>
        <w:t> </w:t>
      </w:r>
      <w:r>
        <w:rPr>
          <w:color w:val="231F20"/>
          <w:w w:val="105"/>
        </w:rPr>
        <w:t>pressure.</w:t>
      </w:r>
      <w:r>
        <w:rPr>
          <w:color w:val="231F20"/>
          <w:spacing w:val="-6"/>
          <w:w w:val="105"/>
        </w:rPr>
        <w:t> </w:t>
      </w:r>
      <w:r>
        <w:rPr>
          <w:color w:val="231F20"/>
          <w:spacing w:val="-4"/>
          <w:w w:val="105"/>
        </w:rPr>
        <w:t>Both </w:t>
      </w:r>
      <w:r>
        <w:rPr>
          <w:color w:val="231F20"/>
          <w:w w:val="105"/>
        </w:rPr>
        <w:t>of</w:t>
      </w:r>
      <w:r>
        <w:rPr>
          <w:color w:val="231F20"/>
          <w:spacing w:val="-20"/>
          <w:w w:val="105"/>
        </w:rPr>
        <w:t> </w:t>
      </w:r>
      <w:r>
        <w:rPr>
          <w:color w:val="231F20"/>
          <w:w w:val="105"/>
        </w:rPr>
        <w:t>these</w:t>
      </w:r>
      <w:r>
        <w:rPr>
          <w:color w:val="231F20"/>
          <w:spacing w:val="-19"/>
          <w:w w:val="105"/>
        </w:rPr>
        <w:t> </w:t>
      </w:r>
      <w:r>
        <w:rPr>
          <w:color w:val="231F20"/>
          <w:w w:val="105"/>
        </w:rPr>
        <w:t>forces</w:t>
      </w:r>
      <w:r>
        <w:rPr>
          <w:color w:val="231F20"/>
          <w:spacing w:val="-19"/>
          <w:w w:val="105"/>
        </w:rPr>
        <w:t> </w:t>
      </w:r>
      <w:r>
        <w:rPr>
          <w:color w:val="231F20"/>
          <w:w w:val="105"/>
        </w:rPr>
        <w:t>favor</w:t>
      </w:r>
      <w:r>
        <w:rPr>
          <w:color w:val="231F20"/>
          <w:spacing w:val="-20"/>
          <w:w w:val="105"/>
        </w:rPr>
        <w:t> </w:t>
      </w:r>
      <w:r>
        <w:rPr>
          <w:color w:val="231F20"/>
          <w:w w:val="105"/>
        </w:rPr>
        <w:t>movement</w:t>
      </w:r>
      <w:r>
        <w:rPr>
          <w:color w:val="231F20"/>
          <w:spacing w:val="-19"/>
          <w:w w:val="105"/>
        </w:rPr>
        <w:t> </w:t>
      </w:r>
      <w:r>
        <w:rPr>
          <w:color w:val="231F20"/>
          <w:w w:val="105"/>
        </w:rPr>
        <w:t>of</w:t>
      </w:r>
      <w:r>
        <w:rPr>
          <w:color w:val="231F20"/>
          <w:spacing w:val="-19"/>
          <w:w w:val="105"/>
        </w:rPr>
        <w:t> </w:t>
      </w:r>
      <w:r>
        <w:rPr>
          <w:color w:val="231F20"/>
          <w:w w:val="105"/>
        </w:rPr>
        <w:t>fluid</w:t>
      </w:r>
      <w:r>
        <w:rPr>
          <w:color w:val="231F20"/>
          <w:spacing w:val="-20"/>
          <w:w w:val="105"/>
        </w:rPr>
        <w:t> </w:t>
      </w:r>
      <w:r>
        <w:rPr>
          <w:color w:val="231F20"/>
          <w:w w:val="105"/>
        </w:rPr>
        <w:t>and</w:t>
      </w:r>
      <w:r>
        <w:rPr>
          <w:color w:val="231F20"/>
          <w:spacing w:val="-19"/>
          <w:w w:val="105"/>
        </w:rPr>
        <w:t> </w:t>
      </w:r>
      <w:r>
        <w:rPr>
          <w:color w:val="231F20"/>
          <w:w w:val="105"/>
        </w:rPr>
        <w:t>solutes</w:t>
      </w:r>
      <w:r>
        <w:rPr>
          <w:color w:val="231F20"/>
          <w:spacing w:val="-19"/>
          <w:w w:val="105"/>
        </w:rPr>
        <w:t> </w:t>
      </w:r>
      <w:r>
        <w:rPr>
          <w:color w:val="231F20"/>
          <w:w w:val="105"/>
        </w:rPr>
        <w:t>out</w:t>
      </w:r>
      <w:r>
        <w:rPr>
          <w:color w:val="231F20"/>
          <w:spacing w:val="-20"/>
          <w:w w:val="105"/>
        </w:rPr>
        <w:t> </w:t>
      </w:r>
      <w:r>
        <w:rPr>
          <w:color w:val="231F20"/>
          <w:spacing w:val="-7"/>
          <w:w w:val="105"/>
        </w:rPr>
        <w:t>of </w:t>
      </w:r>
      <w:r>
        <w:rPr>
          <w:color w:val="231F20"/>
          <w:w w:val="105"/>
        </w:rPr>
        <w:t>the tubular lumen and into the interstitium; </w:t>
      </w:r>
      <w:r>
        <w:rPr>
          <w:color w:val="231F20"/>
          <w:spacing w:val="-3"/>
          <w:w w:val="105"/>
        </w:rPr>
        <w:t>therefore, </w:t>
      </w:r>
      <w:r>
        <w:rPr>
          <w:color w:val="231F20"/>
          <w:w w:val="105"/>
        </w:rPr>
        <w:t>backleak of water and solutes into the tubular lumen </w:t>
      </w:r>
      <w:r>
        <w:rPr>
          <w:color w:val="231F20"/>
          <w:spacing w:val="-6"/>
          <w:w w:val="105"/>
        </w:rPr>
        <w:t>is </w:t>
      </w:r>
      <w:r>
        <w:rPr>
          <w:color w:val="231F20"/>
          <w:w w:val="105"/>
        </w:rPr>
        <w:t>reduced, and net tubular reabsorption</w:t>
      </w:r>
      <w:r>
        <w:rPr>
          <w:color w:val="231F20"/>
          <w:spacing w:val="10"/>
          <w:w w:val="105"/>
        </w:rPr>
        <w:t> </w:t>
      </w:r>
      <w:r>
        <w:rPr>
          <w:color w:val="231F20"/>
          <w:w w:val="105"/>
        </w:rPr>
        <w:t>increases.</w:t>
      </w:r>
    </w:p>
    <w:p>
      <w:pPr>
        <w:spacing w:line="249" w:lineRule="auto" w:before="8"/>
        <w:ind w:left="1080" w:right="346" w:firstLine="240"/>
        <w:jc w:val="both"/>
        <w:rPr>
          <w:sz w:val="20"/>
        </w:rPr>
      </w:pPr>
      <w:r>
        <w:rPr>
          <w:color w:val="231F20"/>
          <w:w w:val="105"/>
          <w:sz w:val="20"/>
        </w:rPr>
        <w:t>Thus, through changes in the hydrostatic and </w:t>
      </w:r>
      <w:r>
        <w:rPr>
          <w:color w:val="231F20"/>
          <w:spacing w:val="-3"/>
          <w:w w:val="105"/>
          <w:sz w:val="20"/>
        </w:rPr>
        <w:t>colloid </w:t>
      </w:r>
      <w:r>
        <w:rPr>
          <w:color w:val="231F20"/>
          <w:w w:val="105"/>
          <w:sz w:val="20"/>
        </w:rPr>
        <w:t>osmotic</w:t>
      </w:r>
      <w:r>
        <w:rPr>
          <w:color w:val="231F20"/>
          <w:spacing w:val="-7"/>
          <w:w w:val="105"/>
          <w:sz w:val="20"/>
        </w:rPr>
        <w:t> </w:t>
      </w:r>
      <w:r>
        <w:rPr>
          <w:color w:val="231F20"/>
          <w:w w:val="105"/>
          <w:sz w:val="20"/>
        </w:rPr>
        <w:t>pressures</w:t>
      </w:r>
      <w:r>
        <w:rPr>
          <w:color w:val="231F20"/>
          <w:spacing w:val="-7"/>
          <w:w w:val="105"/>
          <w:sz w:val="20"/>
        </w:rPr>
        <w:t> </w:t>
      </w:r>
      <w:r>
        <w:rPr>
          <w:color w:val="231F20"/>
          <w:w w:val="105"/>
          <w:sz w:val="20"/>
        </w:rPr>
        <w:t>of</w:t>
      </w:r>
      <w:r>
        <w:rPr>
          <w:color w:val="231F20"/>
          <w:spacing w:val="-7"/>
          <w:w w:val="105"/>
          <w:sz w:val="20"/>
        </w:rPr>
        <w:t> </w:t>
      </w:r>
      <w:r>
        <w:rPr>
          <w:color w:val="231F20"/>
          <w:w w:val="105"/>
          <w:sz w:val="20"/>
        </w:rPr>
        <w:t>the</w:t>
      </w:r>
      <w:r>
        <w:rPr>
          <w:color w:val="231F20"/>
          <w:spacing w:val="-7"/>
          <w:w w:val="105"/>
          <w:sz w:val="20"/>
        </w:rPr>
        <w:t> </w:t>
      </w:r>
      <w:r>
        <w:rPr>
          <w:color w:val="231F20"/>
          <w:w w:val="105"/>
          <w:sz w:val="20"/>
        </w:rPr>
        <w:t>renal</w:t>
      </w:r>
      <w:r>
        <w:rPr>
          <w:color w:val="231F20"/>
          <w:spacing w:val="-7"/>
          <w:w w:val="105"/>
          <w:sz w:val="20"/>
        </w:rPr>
        <w:t> </w:t>
      </w:r>
      <w:r>
        <w:rPr>
          <w:color w:val="231F20"/>
          <w:w w:val="105"/>
          <w:sz w:val="20"/>
        </w:rPr>
        <w:t>interstitium,</w:t>
      </w:r>
      <w:r>
        <w:rPr>
          <w:color w:val="231F20"/>
          <w:spacing w:val="-7"/>
          <w:w w:val="105"/>
          <w:sz w:val="20"/>
        </w:rPr>
        <w:t> </w:t>
      </w:r>
      <w:r>
        <w:rPr>
          <w:color w:val="231F20"/>
          <w:w w:val="105"/>
          <w:sz w:val="20"/>
        </w:rPr>
        <w:t>the</w:t>
      </w:r>
      <w:r>
        <w:rPr>
          <w:color w:val="231F20"/>
          <w:spacing w:val="-7"/>
          <w:w w:val="105"/>
          <w:sz w:val="20"/>
        </w:rPr>
        <w:t> </w:t>
      </w:r>
      <w:r>
        <w:rPr>
          <w:color w:val="231F20"/>
          <w:w w:val="105"/>
          <w:sz w:val="20"/>
        </w:rPr>
        <w:t>uptake</w:t>
      </w:r>
      <w:r>
        <w:rPr>
          <w:color w:val="231F20"/>
          <w:spacing w:val="-7"/>
          <w:w w:val="105"/>
          <w:sz w:val="20"/>
        </w:rPr>
        <w:t> </w:t>
      </w:r>
      <w:r>
        <w:rPr>
          <w:color w:val="231F20"/>
          <w:w w:val="105"/>
          <w:sz w:val="20"/>
        </w:rPr>
        <w:t>of water</w:t>
      </w:r>
      <w:r>
        <w:rPr>
          <w:color w:val="231F20"/>
          <w:spacing w:val="-11"/>
          <w:w w:val="105"/>
          <w:sz w:val="20"/>
        </w:rPr>
        <w:t> </w:t>
      </w:r>
      <w:r>
        <w:rPr>
          <w:color w:val="231F20"/>
          <w:w w:val="105"/>
          <w:sz w:val="20"/>
        </w:rPr>
        <w:t>and</w:t>
      </w:r>
      <w:r>
        <w:rPr>
          <w:color w:val="231F20"/>
          <w:spacing w:val="-11"/>
          <w:w w:val="105"/>
          <w:sz w:val="20"/>
        </w:rPr>
        <w:t> </w:t>
      </w:r>
      <w:r>
        <w:rPr>
          <w:color w:val="231F20"/>
          <w:w w:val="105"/>
          <w:sz w:val="20"/>
        </w:rPr>
        <w:t>solutes</w:t>
      </w:r>
      <w:r>
        <w:rPr>
          <w:color w:val="231F20"/>
          <w:spacing w:val="-10"/>
          <w:w w:val="105"/>
          <w:sz w:val="20"/>
        </w:rPr>
        <w:t> </w:t>
      </w:r>
      <w:r>
        <w:rPr>
          <w:color w:val="231F20"/>
          <w:w w:val="105"/>
          <w:sz w:val="20"/>
        </w:rPr>
        <w:t>by</w:t>
      </w:r>
      <w:r>
        <w:rPr>
          <w:color w:val="231F20"/>
          <w:spacing w:val="-11"/>
          <w:w w:val="105"/>
          <w:sz w:val="20"/>
        </w:rPr>
        <w:t> </w:t>
      </w:r>
      <w:r>
        <w:rPr>
          <w:color w:val="231F20"/>
          <w:w w:val="105"/>
          <w:sz w:val="20"/>
        </w:rPr>
        <w:t>the</w:t>
      </w:r>
      <w:r>
        <w:rPr>
          <w:color w:val="231F20"/>
          <w:spacing w:val="-10"/>
          <w:w w:val="105"/>
          <w:sz w:val="20"/>
        </w:rPr>
        <w:t> </w:t>
      </w:r>
      <w:r>
        <w:rPr>
          <w:color w:val="231F20"/>
          <w:w w:val="105"/>
          <w:sz w:val="20"/>
        </w:rPr>
        <w:t>peritubular</w:t>
      </w:r>
      <w:r>
        <w:rPr>
          <w:color w:val="231F20"/>
          <w:spacing w:val="-11"/>
          <w:w w:val="105"/>
          <w:sz w:val="20"/>
        </w:rPr>
        <w:t> </w:t>
      </w:r>
      <w:r>
        <w:rPr>
          <w:color w:val="231F20"/>
          <w:w w:val="105"/>
          <w:sz w:val="20"/>
        </w:rPr>
        <w:t>capillaries</w:t>
      </w:r>
      <w:r>
        <w:rPr>
          <w:color w:val="231F20"/>
          <w:spacing w:val="-10"/>
          <w:w w:val="105"/>
          <w:sz w:val="20"/>
        </w:rPr>
        <w:t> </w:t>
      </w:r>
      <w:r>
        <w:rPr>
          <w:color w:val="231F20"/>
          <w:w w:val="105"/>
          <w:sz w:val="20"/>
        </w:rPr>
        <w:t>is</w:t>
      </w:r>
      <w:r>
        <w:rPr>
          <w:color w:val="231F20"/>
          <w:spacing w:val="-11"/>
          <w:w w:val="105"/>
          <w:sz w:val="20"/>
        </w:rPr>
        <w:t> </w:t>
      </w:r>
      <w:r>
        <w:rPr>
          <w:color w:val="231F20"/>
          <w:w w:val="105"/>
          <w:sz w:val="20"/>
        </w:rPr>
        <w:t>closely matched to the net reabsorption of water and solutes from the tubular lumen into the interstitium. In </w:t>
      </w:r>
      <w:r>
        <w:rPr>
          <w:color w:val="231F20"/>
          <w:spacing w:val="-3"/>
          <w:w w:val="105"/>
          <w:sz w:val="20"/>
        </w:rPr>
        <w:t>general, </w:t>
      </w:r>
      <w:r>
        <w:rPr>
          <w:i/>
          <w:color w:val="231F20"/>
          <w:w w:val="105"/>
          <w:sz w:val="20"/>
        </w:rPr>
        <w:t>forces that increase peritubular capillary reabsorption </w:t>
      </w:r>
      <w:r>
        <w:rPr>
          <w:i/>
          <w:color w:val="231F20"/>
          <w:w w:val="105"/>
          <w:sz w:val="20"/>
        </w:rPr>
        <w:t>also increase reabsorption from the renal </w:t>
      </w:r>
      <w:r>
        <w:rPr>
          <w:i/>
          <w:color w:val="231F20"/>
          <w:spacing w:val="-3"/>
          <w:w w:val="105"/>
          <w:sz w:val="20"/>
        </w:rPr>
        <w:t>tubules</w:t>
      </w:r>
      <w:r>
        <w:rPr>
          <w:color w:val="231F20"/>
          <w:spacing w:val="-3"/>
          <w:w w:val="105"/>
          <w:sz w:val="20"/>
        </w:rPr>
        <w:t>. </w:t>
      </w:r>
      <w:r>
        <w:rPr>
          <w:i/>
          <w:color w:val="231F20"/>
          <w:w w:val="105"/>
          <w:sz w:val="20"/>
        </w:rPr>
        <w:t>Conversely</w:t>
      </w:r>
      <w:r>
        <w:rPr>
          <w:color w:val="231F20"/>
          <w:w w:val="105"/>
          <w:sz w:val="20"/>
        </w:rPr>
        <w:t>,</w:t>
      </w:r>
      <w:r>
        <w:rPr>
          <w:color w:val="231F20"/>
          <w:spacing w:val="-19"/>
          <w:w w:val="105"/>
          <w:sz w:val="20"/>
        </w:rPr>
        <w:t> </w:t>
      </w:r>
      <w:r>
        <w:rPr>
          <w:i/>
          <w:color w:val="231F20"/>
          <w:w w:val="105"/>
          <w:sz w:val="20"/>
        </w:rPr>
        <w:t>hemodynamic</w:t>
      </w:r>
      <w:r>
        <w:rPr>
          <w:i/>
          <w:color w:val="231F20"/>
          <w:spacing w:val="-20"/>
          <w:w w:val="105"/>
          <w:sz w:val="20"/>
        </w:rPr>
        <w:t> </w:t>
      </w:r>
      <w:r>
        <w:rPr>
          <w:i/>
          <w:color w:val="231F20"/>
          <w:w w:val="105"/>
          <w:sz w:val="20"/>
        </w:rPr>
        <w:t>changes</w:t>
      </w:r>
      <w:r>
        <w:rPr>
          <w:i/>
          <w:color w:val="231F20"/>
          <w:spacing w:val="-19"/>
          <w:w w:val="105"/>
          <w:sz w:val="20"/>
        </w:rPr>
        <w:t> </w:t>
      </w:r>
      <w:r>
        <w:rPr>
          <w:i/>
          <w:color w:val="231F20"/>
          <w:w w:val="105"/>
          <w:sz w:val="20"/>
        </w:rPr>
        <w:t>that</w:t>
      </w:r>
      <w:r>
        <w:rPr>
          <w:i/>
          <w:color w:val="231F20"/>
          <w:spacing w:val="-19"/>
          <w:w w:val="105"/>
          <w:sz w:val="20"/>
        </w:rPr>
        <w:t> </w:t>
      </w:r>
      <w:r>
        <w:rPr>
          <w:i/>
          <w:color w:val="231F20"/>
          <w:w w:val="105"/>
          <w:sz w:val="20"/>
        </w:rPr>
        <w:t>inhibit</w:t>
      </w:r>
      <w:r>
        <w:rPr>
          <w:i/>
          <w:color w:val="231F20"/>
          <w:spacing w:val="-19"/>
          <w:w w:val="105"/>
          <w:sz w:val="20"/>
        </w:rPr>
        <w:t> </w:t>
      </w:r>
      <w:r>
        <w:rPr>
          <w:i/>
          <w:color w:val="231F20"/>
          <w:w w:val="105"/>
          <w:sz w:val="20"/>
        </w:rPr>
        <w:t>peritubu- </w:t>
      </w:r>
      <w:r>
        <w:rPr>
          <w:i/>
          <w:color w:val="231F20"/>
          <w:w w:val="105"/>
          <w:sz w:val="20"/>
        </w:rPr>
        <w:t>lar</w:t>
      </w:r>
      <w:r>
        <w:rPr>
          <w:i/>
          <w:color w:val="231F20"/>
          <w:spacing w:val="-13"/>
          <w:w w:val="105"/>
          <w:sz w:val="20"/>
        </w:rPr>
        <w:t> </w:t>
      </w:r>
      <w:r>
        <w:rPr>
          <w:i/>
          <w:color w:val="231F20"/>
          <w:w w:val="105"/>
          <w:sz w:val="20"/>
        </w:rPr>
        <w:t>capillary</w:t>
      </w:r>
      <w:r>
        <w:rPr>
          <w:i/>
          <w:color w:val="231F20"/>
          <w:spacing w:val="-12"/>
          <w:w w:val="105"/>
          <w:sz w:val="20"/>
        </w:rPr>
        <w:t> </w:t>
      </w:r>
      <w:r>
        <w:rPr>
          <w:i/>
          <w:color w:val="231F20"/>
          <w:w w:val="105"/>
          <w:sz w:val="20"/>
        </w:rPr>
        <w:t>reabsorption</w:t>
      </w:r>
      <w:r>
        <w:rPr>
          <w:i/>
          <w:color w:val="231F20"/>
          <w:spacing w:val="-13"/>
          <w:w w:val="105"/>
          <w:sz w:val="20"/>
        </w:rPr>
        <w:t> </w:t>
      </w:r>
      <w:r>
        <w:rPr>
          <w:i/>
          <w:color w:val="231F20"/>
          <w:w w:val="105"/>
          <w:sz w:val="20"/>
        </w:rPr>
        <w:t>also</w:t>
      </w:r>
      <w:r>
        <w:rPr>
          <w:i/>
          <w:color w:val="231F20"/>
          <w:spacing w:val="-12"/>
          <w:w w:val="105"/>
          <w:sz w:val="20"/>
        </w:rPr>
        <w:t> </w:t>
      </w:r>
      <w:r>
        <w:rPr>
          <w:i/>
          <w:color w:val="231F20"/>
          <w:w w:val="105"/>
          <w:sz w:val="20"/>
        </w:rPr>
        <w:t>inhibit</w:t>
      </w:r>
      <w:r>
        <w:rPr>
          <w:i/>
          <w:color w:val="231F20"/>
          <w:spacing w:val="-12"/>
          <w:w w:val="105"/>
          <w:sz w:val="20"/>
        </w:rPr>
        <w:t> </w:t>
      </w:r>
      <w:r>
        <w:rPr>
          <w:i/>
          <w:color w:val="231F20"/>
          <w:w w:val="105"/>
          <w:sz w:val="20"/>
        </w:rPr>
        <w:t>tubular</w:t>
      </w:r>
      <w:r>
        <w:rPr>
          <w:i/>
          <w:color w:val="231F20"/>
          <w:spacing w:val="-13"/>
          <w:w w:val="105"/>
          <w:sz w:val="20"/>
        </w:rPr>
        <w:t> </w:t>
      </w:r>
      <w:r>
        <w:rPr>
          <w:i/>
          <w:color w:val="231F20"/>
          <w:w w:val="105"/>
          <w:sz w:val="20"/>
        </w:rPr>
        <w:t>reabsorp- tion of water and</w:t>
      </w:r>
      <w:r>
        <w:rPr>
          <w:i/>
          <w:color w:val="231F20"/>
          <w:spacing w:val="7"/>
          <w:w w:val="105"/>
          <w:sz w:val="20"/>
        </w:rPr>
        <w:t> </w:t>
      </w:r>
      <w:r>
        <w:rPr>
          <w:i/>
          <w:color w:val="231F20"/>
          <w:w w:val="105"/>
          <w:sz w:val="20"/>
        </w:rPr>
        <w:t>solutes</w:t>
      </w:r>
      <w:r>
        <w:rPr>
          <w:color w:val="231F20"/>
          <w:w w:val="105"/>
          <w:sz w:val="20"/>
        </w:rPr>
        <w:t>.</w:t>
      </w:r>
    </w:p>
    <w:p>
      <w:pPr>
        <w:pStyle w:val="BodyText"/>
        <w:spacing w:before="4"/>
        <w:rPr>
          <w:sz w:val="31"/>
        </w:rPr>
      </w:pPr>
    </w:p>
    <w:p>
      <w:pPr>
        <w:pStyle w:val="Heading2"/>
        <w:spacing w:line="225" w:lineRule="auto"/>
        <w:ind w:left="1080" w:right="708"/>
      </w:pPr>
      <w:r>
        <w:rPr>
          <w:color w:val="231F20"/>
          <w:w w:val="105"/>
        </w:rPr>
        <w:t>EFFECT OF ARTERIAL PRESSURE ON URINE OUTPUT—PRESSURE NATRIURESIS AND PRESSURE DIURESIS</w:t>
      </w:r>
    </w:p>
    <w:p>
      <w:pPr>
        <w:pStyle w:val="BodyText"/>
        <w:spacing w:line="249" w:lineRule="auto" w:before="127"/>
        <w:ind w:left="1080" w:right="346"/>
        <w:jc w:val="both"/>
      </w:pPr>
      <w:r>
        <w:rPr>
          <w:color w:val="231F20"/>
          <w:w w:val="105"/>
        </w:rPr>
        <w:t>Even</w:t>
      </w:r>
      <w:r>
        <w:rPr>
          <w:color w:val="231F20"/>
          <w:spacing w:val="-31"/>
          <w:w w:val="105"/>
        </w:rPr>
        <w:t> </w:t>
      </w:r>
      <w:r>
        <w:rPr>
          <w:color w:val="231F20"/>
          <w:w w:val="105"/>
        </w:rPr>
        <w:t>small</w:t>
      </w:r>
      <w:r>
        <w:rPr>
          <w:color w:val="231F20"/>
          <w:spacing w:val="-31"/>
          <w:w w:val="105"/>
        </w:rPr>
        <w:t> </w:t>
      </w:r>
      <w:r>
        <w:rPr>
          <w:color w:val="231F20"/>
          <w:w w:val="105"/>
        </w:rPr>
        <w:t>increases</w:t>
      </w:r>
      <w:r>
        <w:rPr>
          <w:color w:val="231F20"/>
          <w:spacing w:val="-31"/>
          <w:w w:val="105"/>
        </w:rPr>
        <w:t> </w:t>
      </w:r>
      <w:r>
        <w:rPr>
          <w:color w:val="231F20"/>
          <w:w w:val="105"/>
        </w:rPr>
        <w:t>in</w:t>
      </w:r>
      <w:r>
        <w:rPr>
          <w:color w:val="231F20"/>
          <w:spacing w:val="-31"/>
          <w:w w:val="105"/>
        </w:rPr>
        <w:t> </w:t>
      </w:r>
      <w:r>
        <w:rPr>
          <w:color w:val="231F20"/>
          <w:w w:val="105"/>
        </w:rPr>
        <w:t>arterial</w:t>
      </w:r>
      <w:r>
        <w:rPr>
          <w:color w:val="231F20"/>
          <w:spacing w:val="-31"/>
          <w:w w:val="105"/>
        </w:rPr>
        <w:t> </w:t>
      </w:r>
      <w:r>
        <w:rPr>
          <w:color w:val="231F20"/>
          <w:w w:val="105"/>
        </w:rPr>
        <w:t>pressure</w:t>
      </w:r>
      <w:r>
        <w:rPr>
          <w:color w:val="231F20"/>
          <w:spacing w:val="-31"/>
          <w:w w:val="105"/>
        </w:rPr>
        <w:t> </w:t>
      </w:r>
      <w:r>
        <w:rPr>
          <w:color w:val="231F20"/>
          <w:w w:val="105"/>
        </w:rPr>
        <w:t>can</w:t>
      </w:r>
      <w:r>
        <w:rPr>
          <w:color w:val="231F20"/>
          <w:spacing w:val="-31"/>
          <w:w w:val="105"/>
        </w:rPr>
        <w:t> </w:t>
      </w:r>
      <w:r>
        <w:rPr>
          <w:color w:val="231F20"/>
          <w:w w:val="105"/>
        </w:rPr>
        <w:t>cause</w:t>
      </w:r>
      <w:r>
        <w:rPr>
          <w:color w:val="231F20"/>
          <w:spacing w:val="-31"/>
          <w:w w:val="105"/>
        </w:rPr>
        <w:t> </w:t>
      </w:r>
      <w:r>
        <w:rPr>
          <w:color w:val="231F20"/>
          <w:w w:val="105"/>
        </w:rPr>
        <w:t>marked increases in urinary excretion of sodium and</w:t>
      </w:r>
      <w:r>
        <w:rPr>
          <w:color w:val="231F20"/>
          <w:spacing w:val="-36"/>
          <w:w w:val="105"/>
        </w:rPr>
        <w:t> </w:t>
      </w:r>
      <w:r>
        <w:rPr>
          <w:color w:val="231F20"/>
          <w:spacing w:val="-3"/>
          <w:w w:val="105"/>
        </w:rPr>
        <w:t>water, </w:t>
      </w:r>
      <w:r>
        <w:rPr>
          <w:color w:val="231F20"/>
          <w:w w:val="105"/>
        </w:rPr>
        <w:t>phe- nomena that are referred to as </w:t>
      </w:r>
      <w:r>
        <w:rPr>
          <w:i/>
          <w:color w:val="231F20"/>
          <w:w w:val="105"/>
        </w:rPr>
        <w:t>pressure natriuresis </w:t>
      </w:r>
      <w:r>
        <w:rPr>
          <w:color w:val="231F20"/>
          <w:w w:val="105"/>
        </w:rPr>
        <w:t>and </w:t>
      </w:r>
      <w:r>
        <w:rPr>
          <w:i/>
          <w:color w:val="231F20"/>
          <w:w w:val="105"/>
        </w:rPr>
        <w:t>pressure</w:t>
      </w:r>
      <w:r>
        <w:rPr>
          <w:i/>
          <w:color w:val="231F20"/>
          <w:spacing w:val="-9"/>
          <w:w w:val="105"/>
        </w:rPr>
        <w:t> </w:t>
      </w:r>
      <w:r>
        <w:rPr>
          <w:i/>
          <w:color w:val="231F20"/>
          <w:w w:val="105"/>
        </w:rPr>
        <w:t>diuresis.</w:t>
      </w:r>
      <w:r>
        <w:rPr>
          <w:i/>
          <w:color w:val="231F20"/>
          <w:spacing w:val="-9"/>
          <w:w w:val="105"/>
        </w:rPr>
        <w:t> </w:t>
      </w:r>
      <w:r>
        <w:rPr>
          <w:color w:val="231F20"/>
          <w:w w:val="105"/>
        </w:rPr>
        <w:t>Because</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autoregulatory</w:t>
      </w:r>
      <w:r>
        <w:rPr>
          <w:color w:val="231F20"/>
          <w:spacing w:val="-9"/>
          <w:w w:val="105"/>
        </w:rPr>
        <w:t> </w:t>
      </w:r>
      <w:r>
        <w:rPr>
          <w:color w:val="231F20"/>
          <w:w w:val="105"/>
        </w:rPr>
        <w:t>mecha- nisms described in Chapter 27, increasing the arterial pressure</w:t>
      </w:r>
      <w:r>
        <w:rPr>
          <w:color w:val="231F20"/>
          <w:spacing w:val="-20"/>
          <w:w w:val="105"/>
        </w:rPr>
        <w:t> </w:t>
      </w:r>
      <w:r>
        <w:rPr>
          <w:color w:val="231F20"/>
          <w:w w:val="105"/>
        </w:rPr>
        <w:t>between</w:t>
      </w:r>
      <w:r>
        <w:rPr>
          <w:color w:val="231F20"/>
          <w:spacing w:val="-20"/>
          <w:w w:val="105"/>
        </w:rPr>
        <w:t> </w:t>
      </w:r>
      <w:r>
        <w:rPr>
          <w:color w:val="231F20"/>
          <w:w w:val="105"/>
        </w:rPr>
        <w:t>the</w:t>
      </w:r>
      <w:r>
        <w:rPr>
          <w:color w:val="231F20"/>
          <w:spacing w:val="-20"/>
          <w:w w:val="105"/>
        </w:rPr>
        <w:t> </w:t>
      </w:r>
      <w:r>
        <w:rPr>
          <w:color w:val="231F20"/>
          <w:w w:val="105"/>
        </w:rPr>
        <w:t>limits</w:t>
      </w:r>
      <w:r>
        <w:rPr>
          <w:color w:val="231F20"/>
          <w:spacing w:val="-20"/>
          <w:w w:val="105"/>
        </w:rPr>
        <w:t> </w:t>
      </w:r>
      <w:r>
        <w:rPr>
          <w:color w:val="231F20"/>
          <w:w w:val="105"/>
        </w:rPr>
        <w:t>of</w:t>
      </w:r>
      <w:r>
        <w:rPr>
          <w:color w:val="231F20"/>
          <w:spacing w:val="-20"/>
          <w:w w:val="105"/>
        </w:rPr>
        <w:t> </w:t>
      </w:r>
      <w:r>
        <w:rPr>
          <w:color w:val="231F20"/>
          <w:w w:val="105"/>
        </w:rPr>
        <w:t>75</w:t>
      </w:r>
      <w:r>
        <w:rPr>
          <w:color w:val="231F20"/>
          <w:spacing w:val="-19"/>
          <w:w w:val="105"/>
        </w:rPr>
        <w:t> </w:t>
      </w:r>
      <w:r>
        <w:rPr>
          <w:color w:val="231F20"/>
          <w:w w:val="105"/>
        </w:rPr>
        <w:t>and</w:t>
      </w:r>
      <w:r>
        <w:rPr>
          <w:color w:val="231F20"/>
          <w:spacing w:val="-20"/>
          <w:w w:val="105"/>
        </w:rPr>
        <w:t> </w:t>
      </w:r>
      <w:r>
        <w:rPr>
          <w:color w:val="231F20"/>
          <w:w w:val="105"/>
        </w:rPr>
        <w:t>160</w:t>
      </w:r>
      <w:r>
        <w:rPr>
          <w:color w:val="231F20"/>
          <w:spacing w:val="-9"/>
          <w:w w:val="105"/>
        </w:rPr>
        <w:t> </w:t>
      </w:r>
      <w:r>
        <w:rPr>
          <w:color w:val="231F20"/>
          <w:w w:val="105"/>
        </w:rPr>
        <w:t>mm</w:t>
      </w:r>
      <w:r>
        <w:rPr>
          <w:color w:val="231F20"/>
          <w:spacing w:val="-10"/>
          <w:w w:val="105"/>
        </w:rPr>
        <w:t> </w:t>
      </w:r>
      <w:r>
        <w:rPr>
          <w:color w:val="231F20"/>
          <w:w w:val="105"/>
        </w:rPr>
        <w:t>Hg</w:t>
      </w:r>
      <w:r>
        <w:rPr>
          <w:color w:val="231F20"/>
          <w:spacing w:val="-20"/>
          <w:w w:val="105"/>
        </w:rPr>
        <w:t> </w:t>
      </w:r>
      <w:r>
        <w:rPr>
          <w:color w:val="231F20"/>
          <w:w w:val="105"/>
        </w:rPr>
        <w:t>usually has</w:t>
      </w:r>
      <w:r>
        <w:rPr>
          <w:color w:val="231F20"/>
          <w:spacing w:val="-16"/>
          <w:w w:val="105"/>
        </w:rPr>
        <w:t> </w:t>
      </w:r>
      <w:r>
        <w:rPr>
          <w:color w:val="231F20"/>
          <w:w w:val="105"/>
        </w:rPr>
        <w:t>only</w:t>
      </w:r>
      <w:r>
        <w:rPr>
          <w:color w:val="231F20"/>
          <w:spacing w:val="-15"/>
          <w:w w:val="105"/>
        </w:rPr>
        <w:t> </w:t>
      </w:r>
      <w:r>
        <w:rPr>
          <w:color w:val="231F20"/>
          <w:w w:val="105"/>
        </w:rPr>
        <w:t>a</w:t>
      </w:r>
      <w:r>
        <w:rPr>
          <w:color w:val="231F20"/>
          <w:spacing w:val="-15"/>
          <w:w w:val="105"/>
        </w:rPr>
        <w:t> </w:t>
      </w:r>
      <w:r>
        <w:rPr>
          <w:color w:val="231F20"/>
          <w:w w:val="105"/>
        </w:rPr>
        <w:t>small</w:t>
      </w:r>
      <w:r>
        <w:rPr>
          <w:color w:val="231F20"/>
          <w:spacing w:val="-15"/>
          <w:w w:val="105"/>
        </w:rPr>
        <w:t> </w:t>
      </w:r>
      <w:r>
        <w:rPr>
          <w:color w:val="231F20"/>
          <w:w w:val="105"/>
        </w:rPr>
        <w:t>effect</w:t>
      </w:r>
      <w:r>
        <w:rPr>
          <w:color w:val="231F20"/>
          <w:spacing w:val="-16"/>
          <w:w w:val="105"/>
        </w:rPr>
        <w:t> </w:t>
      </w:r>
      <w:r>
        <w:rPr>
          <w:color w:val="231F20"/>
          <w:w w:val="105"/>
        </w:rPr>
        <w:t>on</w:t>
      </w:r>
      <w:r>
        <w:rPr>
          <w:color w:val="231F20"/>
          <w:spacing w:val="-15"/>
          <w:w w:val="105"/>
        </w:rPr>
        <w:t> </w:t>
      </w:r>
      <w:r>
        <w:rPr>
          <w:color w:val="231F20"/>
          <w:w w:val="105"/>
        </w:rPr>
        <w:t>renal</w:t>
      </w:r>
      <w:r>
        <w:rPr>
          <w:color w:val="231F20"/>
          <w:spacing w:val="-15"/>
          <w:w w:val="105"/>
        </w:rPr>
        <w:t> </w:t>
      </w:r>
      <w:r>
        <w:rPr>
          <w:color w:val="231F20"/>
          <w:w w:val="105"/>
        </w:rPr>
        <w:t>blood</w:t>
      </w:r>
      <w:r>
        <w:rPr>
          <w:color w:val="231F20"/>
          <w:spacing w:val="-15"/>
          <w:w w:val="105"/>
        </w:rPr>
        <w:t> </w:t>
      </w:r>
      <w:r>
        <w:rPr>
          <w:color w:val="231F20"/>
          <w:w w:val="105"/>
        </w:rPr>
        <w:t>flow</w:t>
      </w:r>
      <w:r>
        <w:rPr>
          <w:color w:val="231F20"/>
          <w:spacing w:val="-16"/>
          <w:w w:val="105"/>
        </w:rPr>
        <w:t> </w:t>
      </w:r>
      <w:r>
        <w:rPr>
          <w:color w:val="231F20"/>
          <w:w w:val="105"/>
        </w:rPr>
        <w:t>and</w:t>
      </w:r>
      <w:r>
        <w:rPr>
          <w:color w:val="231F20"/>
          <w:spacing w:val="-15"/>
          <w:w w:val="105"/>
        </w:rPr>
        <w:t> </w:t>
      </w:r>
      <w:r>
        <w:rPr>
          <w:color w:val="231F20"/>
          <w:w w:val="105"/>
        </w:rPr>
        <w:t>GFR.</w:t>
      </w:r>
      <w:r>
        <w:rPr>
          <w:color w:val="231F20"/>
          <w:spacing w:val="-15"/>
          <w:w w:val="105"/>
        </w:rPr>
        <w:t> </w:t>
      </w:r>
      <w:r>
        <w:rPr>
          <w:color w:val="231F20"/>
          <w:w w:val="105"/>
        </w:rPr>
        <w:t>The slight</w:t>
      </w:r>
      <w:r>
        <w:rPr>
          <w:color w:val="231F20"/>
          <w:spacing w:val="-13"/>
          <w:w w:val="105"/>
        </w:rPr>
        <w:t> </w:t>
      </w:r>
      <w:r>
        <w:rPr>
          <w:color w:val="231F20"/>
          <w:w w:val="105"/>
        </w:rPr>
        <w:t>increase</w:t>
      </w:r>
      <w:r>
        <w:rPr>
          <w:color w:val="231F20"/>
          <w:spacing w:val="-13"/>
          <w:w w:val="105"/>
        </w:rPr>
        <w:t> </w:t>
      </w:r>
      <w:r>
        <w:rPr>
          <w:color w:val="231F20"/>
          <w:w w:val="105"/>
        </w:rPr>
        <w:t>in</w:t>
      </w:r>
      <w:r>
        <w:rPr>
          <w:color w:val="231F20"/>
          <w:spacing w:val="-13"/>
          <w:w w:val="105"/>
        </w:rPr>
        <w:t> </w:t>
      </w:r>
      <w:r>
        <w:rPr>
          <w:color w:val="231F20"/>
          <w:w w:val="105"/>
        </w:rPr>
        <w:t>GFR</w:t>
      </w:r>
      <w:r>
        <w:rPr>
          <w:color w:val="231F20"/>
          <w:spacing w:val="-13"/>
          <w:w w:val="105"/>
        </w:rPr>
        <w:t> </w:t>
      </w:r>
      <w:r>
        <w:rPr>
          <w:color w:val="231F20"/>
          <w:w w:val="105"/>
        </w:rPr>
        <w:t>that</w:t>
      </w:r>
      <w:r>
        <w:rPr>
          <w:color w:val="231F20"/>
          <w:spacing w:val="-12"/>
          <w:w w:val="105"/>
        </w:rPr>
        <w:t> </w:t>
      </w:r>
      <w:r>
        <w:rPr>
          <w:color w:val="231F20"/>
          <w:w w:val="105"/>
        </w:rPr>
        <w:t>does</w:t>
      </w:r>
      <w:r>
        <w:rPr>
          <w:color w:val="231F20"/>
          <w:spacing w:val="-13"/>
          <w:w w:val="105"/>
        </w:rPr>
        <w:t> </w:t>
      </w:r>
      <w:r>
        <w:rPr>
          <w:color w:val="231F20"/>
          <w:w w:val="105"/>
        </w:rPr>
        <w:t>occur</w:t>
      </w:r>
      <w:r>
        <w:rPr>
          <w:color w:val="231F20"/>
          <w:spacing w:val="-13"/>
          <w:w w:val="105"/>
        </w:rPr>
        <w:t> </w:t>
      </w:r>
      <w:r>
        <w:rPr>
          <w:color w:val="231F20"/>
          <w:w w:val="105"/>
        </w:rPr>
        <w:t>contributes</w:t>
      </w:r>
      <w:r>
        <w:rPr>
          <w:color w:val="231F20"/>
          <w:spacing w:val="-13"/>
          <w:w w:val="105"/>
        </w:rPr>
        <w:t> </w:t>
      </w:r>
      <w:r>
        <w:rPr>
          <w:color w:val="231F20"/>
          <w:w w:val="105"/>
        </w:rPr>
        <w:t>in</w:t>
      </w:r>
      <w:r>
        <w:rPr>
          <w:color w:val="231F20"/>
          <w:spacing w:val="-13"/>
          <w:w w:val="105"/>
        </w:rPr>
        <w:t> </w:t>
      </w:r>
      <w:r>
        <w:rPr>
          <w:color w:val="231F20"/>
          <w:w w:val="105"/>
        </w:rPr>
        <w:t>part to</w:t>
      </w:r>
      <w:r>
        <w:rPr>
          <w:color w:val="231F20"/>
          <w:spacing w:val="-22"/>
          <w:w w:val="105"/>
        </w:rPr>
        <w:t> </w:t>
      </w:r>
      <w:r>
        <w:rPr>
          <w:color w:val="231F20"/>
          <w:w w:val="105"/>
        </w:rPr>
        <w:t>the</w:t>
      </w:r>
      <w:r>
        <w:rPr>
          <w:color w:val="231F20"/>
          <w:spacing w:val="-21"/>
          <w:w w:val="105"/>
        </w:rPr>
        <w:t> </w:t>
      </w:r>
      <w:r>
        <w:rPr>
          <w:color w:val="231F20"/>
          <w:w w:val="105"/>
        </w:rPr>
        <w:t>effect</w:t>
      </w:r>
      <w:r>
        <w:rPr>
          <w:color w:val="231F20"/>
          <w:spacing w:val="-21"/>
          <w:w w:val="105"/>
        </w:rPr>
        <w:t> </w:t>
      </w:r>
      <w:r>
        <w:rPr>
          <w:color w:val="231F20"/>
          <w:w w:val="105"/>
        </w:rPr>
        <w:t>of</w:t>
      </w:r>
      <w:r>
        <w:rPr>
          <w:color w:val="231F20"/>
          <w:spacing w:val="-21"/>
          <w:w w:val="105"/>
        </w:rPr>
        <w:t> </w:t>
      </w:r>
      <w:r>
        <w:rPr>
          <w:color w:val="231F20"/>
          <w:w w:val="105"/>
        </w:rPr>
        <w:t>increased</w:t>
      </w:r>
      <w:r>
        <w:rPr>
          <w:color w:val="231F20"/>
          <w:spacing w:val="-21"/>
          <w:w w:val="105"/>
        </w:rPr>
        <w:t> </w:t>
      </w:r>
      <w:r>
        <w:rPr>
          <w:color w:val="231F20"/>
          <w:w w:val="105"/>
        </w:rPr>
        <w:t>arterial</w:t>
      </w:r>
      <w:r>
        <w:rPr>
          <w:color w:val="231F20"/>
          <w:spacing w:val="-21"/>
          <w:w w:val="105"/>
        </w:rPr>
        <w:t> </w:t>
      </w:r>
      <w:r>
        <w:rPr>
          <w:color w:val="231F20"/>
          <w:w w:val="105"/>
        </w:rPr>
        <w:t>pressure</w:t>
      </w:r>
      <w:r>
        <w:rPr>
          <w:color w:val="231F20"/>
          <w:spacing w:val="-21"/>
          <w:w w:val="105"/>
        </w:rPr>
        <w:t> </w:t>
      </w:r>
      <w:r>
        <w:rPr>
          <w:color w:val="231F20"/>
          <w:w w:val="105"/>
        </w:rPr>
        <w:t>on</w:t>
      </w:r>
      <w:r>
        <w:rPr>
          <w:color w:val="231F20"/>
          <w:spacing w:val="-21"/>
          <w:w w:val="105"/>
        </w:rPr>
        <w:t> </w:t>
      </w:r>
      <w:r>
        <w:rPr>
          <w:color w:val="231F20"/>
          <w:w w:val="105"/>
        </w:rPr>
        <w:t>urine</w:t>
      </w:r>
      <w:r>
        <w:rPr>
          <w:color w:val="231F20"/>
          <w:spacing w:val="-21"/>
          <w:w w:val="105"/>
        </w:rPr>
        <w:t> </w:t>
      </w:r>
      <w:r>
        <w:rPr>
          <w:color w:val="231F20"/>
          <w:w w:val="105"/>
        </w:rPr>
        <w:t>output.</w:t>
      </w:r>
    </w:p>
    <w:p>
      <w:pPr>
        <w:pStyle w:val="BodyText"/>
        <w:spacing w:before="8"/>
        <w:rPr>
          <w:sz w:val="40"/>
        </w:rPr>
      </w:pPr>
    </w:p>
    <w:p>
      <w:pPr>
        <w:spacing w:before="0"/>
        <w:ind w:left="1080" w:right="0" w:firstLine="0"/>
        <w:jc w:val="left"/>
        <w:rPr>
          <w:rFonts w:ascii="Trebuchet MS" w:hAnsi="Trebuchet MS"/>
          <w:sz w:val="18"/>
        </w:rPr>
      </w:pPr>
      <w:bookmarkStart w:name="_bookmark58" w:id="59"/>
      <w:bookmarkEnd w:id="59"/>
      <w:r>
        <w:rPr/>
      </w:r>
      <w:r>
        <w:rPr>
          <w:rFonts w:ascii="Trebuchet MS" w:hAnsi="Trebuchet MS"/>
          <w:b/>
          <w:color w:val="231F20"/>
          <w:w w:val="105"/>
          <w:sz w:val="18"/>
        </w:rPr>
        <w:t>Table 28­3 </w:t>
      </w:r>
      <w:r>
        <w:rPr>
          <w:rFonts w:ascii="Trebuchet MS" w:hAnsi="Trebuchet MS"/>
          <w:color w:val="231F20"/>
          <w:w w:val="105"/>
          <w:sz w:val="18"/>
        </w:rPr>
        <w:t>Hormones That Regulate Tubular Reabsorption</w:t>
      </w:r>
    </w:p>
    <w:p>
      <w:pPr>
        <w:pStyle w:val="BodyText"/>
        <w:spacing w:line="249" w:lineRule="auto" w:before="99"/>
        <w:ind w:left="-29" w:right="1437"/>
        <w:jc w:val="both"/>
      </w:pPr>
      <w:r>
        <w:rPr/>
        <w:br w:type="column"/>
      </w:r>
      <w:r>
        <w:rPr>
          <w:color w:val="231F20"/>
          <w:w w:val="105"/>
        </w:rPr>
        <w:t>When</w:t>
      </w:r>
      <w:r>
        <w:rPr>
          <w:color w:val="231F20"/>
          <w:spacing w:val="-16"/>
          <w:w w:val="105"/>
        </w:rPr>
        <w:t> </w:t>
      </w:r>
      <w:r>
        <w:rPr>
          <w:color w:val="231F20"/>
          <w:w w:val="105"/>
        </w:rPr>
        <w:t>GFR</w:t>
      </w:r>
      <w:r>
        <w:rPr>
          <w:color w:val="231F20"/>
          <w:spacing w:val="-16"/>
          <w:w w:val="105"/>
        </w:rPr>
        <w:t> </w:t>
      </w:r>
      <w:r>
        <w:rPr>
          <w:color w:val="231F20"/>
          <w:w w:val="105"/>
        </w:rPr>
        <w:t>autoregulation</w:t>
      </w:r>
      <w:r>
        <w:rPr>
          <w:color w:val="231F20"/>
          <w:spacing w:val="-16"/>
          <w:w w:val="105"/>
        </w:rPr>
        <w:t> </w:t>
      </w:r>
      <w:r>
        <w:rPr>
          <w:color w:val="231F20"/>
          <w:w w:val="105"/>
        </w:rPr>
        <w:t>is</w:t>
      </w:r>
      <w:r>
        <w:rPr>
          <w:color w:val="231F20"/>
          <w:spacing w:val="-16"/>
          <w:w w:val="105"/>
        </w:rPr>
        <w:t> </w:t>
      </w:r>
      <w:r>
        <w:rPr>
          <w:color w:val="231F20"/>
          <w:w w:val="105"/>
        </w:rPr>
        <w:t>impaired,</w:t>
      </w:r>
      <w:r>
        <w:rPr>
          <w:color w:val="231F20"/>
          <w:spacing w:val="-15"/>
          <w:w w:val="105"/>
        </w:rPr>
        <w:t> </w:t>
      </w:r>
      <w:r>
        <w:rPr>
          <w:color w:val="231F20"/>
          <w:w w:val="105"/>
        </w:rPr>
        <w:t>as</w:t>
      </w:r>
      <w:r>
        <w:rPr>
          <w:color w:val="231F20"/>
          <w:spacing w:val="-16"/>
          <w:w w:val="105"/>
        </w:rPr>
        <w:t> </w:t>
      </w:r>
      <w:r>
        <w:rPr>
          <w:color w:val="231F20"/>
          <w:w w:val="105"/>
        </w:rPr>
        <w:t>often</w:t>
      </w:r>
      <w:r>
        <w:rPr>
          <w:color w:val="231F20"/>
          <w:spacing w:val="-16"/>
          <w:w w:val="105"/>
        </w:rPr>
        <w:t> </w:t>
      </w:r>
      <w:r>
        <w:rPr>
          <w:color w:val="231F20"/>
          <w:w w:val="105"/>
        </w:rPr>
        <w:t>occurs</w:t>
      </w:r>
      <w:r>
        <w:rPr>
          <w:color w:val="231F20"/>
          <w:spacing w:val="-16"/>
          <w:w w:val="105"/>
        </w:rPr>
        <w:t> </w:t>
      </w:r>
      <w:r>
        <w:rPr>
          <w:color w:val="231F20"/>
          <w:w w:val="105"/>
        </w:rPr>
        <w:t>in kidney disease, increases in arterial pressure can cause much larger increases in the</w:t>
      </w:r>
      <w:r>
        <w:rPr>
          <w:color w:val="231F20"/>
          <w:spacing w:val="8"/>
          <w:w w:val="105"/>
        </w:rPr>
        <w:t> </w:t>
      </w:r>
      <w:r>
        <w:rPr>
          <w:color w:val="231F20"/>
          <w:w w:val="105"/>
        </w:rPr>
        <w:t>GFR.</w:t>
      </w:r>
    </w:p>
    <w:p>
      <w:pPr>
        <w:pStyle w:val="BodyText"/>
        <w:spacing w:line="249" w:lineRule="auto" w:before="3"/>
        <w:ind w:left="-29" w:right="1437" w:firstLine="240"/>
        <w:jc w:val="both"/>
      </w:pPr>
      <w:r>
        <w:rPr>
          <w:color w:val="231F20"/>
          <w:w w:val="105"/>
        </w:rPr>
        <w:t>A</w:t>
      </w:r>
      <w:r>
        <w:rPr>
          <w:color w:val="231F20"/>
          <w:spacing w:val="-25"/>
          <w:w w:val="105"/>
        </w:rPr>
        <w:t> </w:t>
      </w:r>
      <w:r>
        <w:rPr>
          <w:color w:val="231F20"/>
          <w:w w:val="105"/>
        </w:rPr>
        <w:t>second</w:t>
      </w:r>
      <w:r>
        <w:rPr>
          <w:color w:val="231F20"/>
          <w:spacing w:val="-25"/>
          <w:w w:val="105"/>
        </w:rPr>
        <w:t> </w:t>
      </w:r>
      <w:r>
        <w:rPr>
          <w:color w:val="231F20"/>
          <w:w w:val="105"/>
        </w:rPr>
        <w:t>effect</w:t>
      </w:r>
      <w:r>
        <w:rPr>
          <w:color w:val="231F20"/>
          <w:spacing w:val="-24"/>
          <w:w w:val="105"/>
        </w:rPr>
        <w:t> </w:t>
      </w:r>
      <w:r>
        <w:rPr>
          <w:color w:val="231F20"/>
          <w:w w:val="105"/>
        </w:rPr>
        <w:t>of</w:t>
      </w:r>
      <w:r>
        <w:rPr>
          <w:color w:val="231F20"/>
          <w:spacing w:val="-25"/>
          <w:w w:val="105"/>
        </w:rPr>
        <w:t> </w:t>
      </w:r>
      <w:r>
        <w:rPr>
          <w:color w:val="231F20"/>
          <w:w w:val="105"/>
        </w:rPr>
        <w:t>increased</w:t>
      </w:r>
      <w:r>
        <w:rPr>
          <w:color w:val="231F20"/>
          <w:spacing w:val="-24"/>
          <w:w w:val="105"/>
        </w:rPr>
        <w:t> </w:t>
      </w:r>
      <w:r>
        <w:rPr>
          <w:color w:val="231F20"/>
          <w:w w:val="105"/>
        </w:rPr>
        <w:t>renal</w:t>
      </w:r>
      <w:r>
        <w:rPr>
          <w:color w:val="231F20"/>
          <w:spacing w:val="-25"/>
          <w:w w:val="105"/>
        </w:rPr>
        <w:t> </w:t>
      </w:r>
      <w:r>
        <w:rPr>
          <w:color w:val="231F20"/>
          <w:w w:val="105"/>
        </w:rPr>
        <w:t>arterial</w:t>
      </w:r>
      <w:r>
        <w:rPr>
          <w:color w:val="231F20"/>
          <w:spacing w:val="-24"/>
          <w:w w:val="105"/>
        </w:rPr>
        <w:t> </w:t>
      </w:r>
      <w:r>
        <w:rPr>
          <w:color w:val="231F20"/>
          <w:w w:val="105"/>
        </w:rPr>
        <w:t>pressure</w:t>
      </w:r>
      <w:r>
        <w:rPr>
          <w:color w:val="231F20"/>
          <w:spacing w:val="-25"/>
          <w:w w:val="105"/>
        </w:rPr>
        <w:t> </w:t>
      </w:r>
      <w:r>
        <w:rPr>
          <w:color w:val="231F20"/>
          <w:w w:val="105"/>
        </w:rPr>
        <w:t>that raises</w:t>
      </w:r>
      <w:r>
        <w:rPr>
          <w:color w:val="231F20"/>
          <w:spacing w:val="-6"/>
          <w:w w:val="105"/>
        </w:rPr>
        <w:t> </w:t>
      </w:r>
      <w:r>
        <w:rPr>
          <w:color w:val="231F20"/>
          <w:w w:val="105"/>
        </w:rPr>
        <w:t>urine</w:t>
      </w:r>
      <w:r>
        <w:rPr>
          <w:color w:val="231F20"/>
          <w:spacing w:val="-5"/>
          <w:w w:val="105"/>
        </w:rPr>
        <w:t> </w:t>
      </w:r>
      <w:r>
        <w:rPr>
          <w:color w:val="231F20"/>
          <w:w w:val="105"/>
        </w:rPr>
        <w:t>output</w:t>
      </w:r>
      <w:r>
        <w:rPr>
          <w:color w:val="231F20"/>
          <w:spacing w:val="-6"/>
          <w:w w:val="105"/>
        </w:rPr>
        <w:t> </w:t>
      </w:r>
      <w:r>
        <w:rPr>
          <w:color w:val="231F20"/>
          <w:w w:val="105"/>
        </w:rPr>
        <w:t>is</w:t>
      </w:r>
      <w:r>
        <w:rPr>
          <w:color w:val="231F20"/>
          <w:spacing w:val="-5"/>
          <w:w w:val="105"/>
        </w:rPr>
        <w:t> </w:t>
      </w:r>
      <w:r>
        <w:rPr>
          <w:color w:val="231F20"/>
          <w:w w:val="105"/>
        </w:rPr>
        <w:t>that</w:t>
      </w:r>
      <w:r>
        <w:rPr>
          <w:color w:val="231F20"/>
          <w:spacing w:val="-6"/>
          <w:w w:val="105"/>
        </w:rPr>
        <w:t> </w:t>
      </w:r>
      <w:r>
        <w:rPr>
          <w:color w:val="231F20"/>
          <w:w w:val="105"/>
        </w:rPr>
        <w:t>it</w:t>
      </w:r>
      <w:r>
        <w:rPr>
          <w:color w:val="231F20"/>
          <w:spacing w:val="-5"/>
          <w:w w:val="105"/>
        </w:rPr>
        <w:t> </w:t>
      </w:r>
      <w:r>
        <w:rPr>
          <w:color w:val="231F20"/>
          <w:w w:val="105"/>
        </w:rPr>
        <w:t>decreases</w:t>
      </w:r>
      <w:r>
        <w:rPr>
          <w:color w:val="231F20"/>
          <w:spacing w:val="-6"/>
          <w:w w:val="105"/>
        </w:rPr>
        <w:t> </w:t>
      </w:r>
      <w:r>
        <w:rPr>
          <w:color w:val="231F20"/>
          <w:w w:val="105"/>
        </w:rPr>
        <w:t>the</w:t>
      </w:r>
      <w:r>
        <w:rPr>
          <w:color w:val="231F20"/>
          <w:spacing w:val="-5"/>
          <w:w w:val="105"/>
        </w:rPr>
        <w:t> </w:t>
      </w:r>
      <w:r>
        <w:rPr>
          <w:color w:val="231F20"/>
          <w:w w:val="105"/>
        </w:rPr>
        <w:t>percentages</w:t>
      </w:r>
      <w:r>
        <w:rPr>
          <w:color w:val="231F20"/>
          <w:spacing w:val="-5"/>
          <w:w w:val="105"/>
        </w:rPr>
        <w:t> </w:t>
      </w:r>
      <w:r>
        <w:rPr>
          <w:color w:val="231F20"/>
          <w:w w:val="105"/>
        </w:rPr>
        <w:t>of the</w:t>
      </w:r>
      <w:r>
        <w:rPr>
          <w:color w:val="231F20"/>
          <w:spacing w:val="-19"/>
          <w:w w:val="105"/>
        </w:rPr>
        <w:t> </w:t>
      </w:r>
      <w:r>
        <w:rPr>
          <w:color w:val="231F20"/>
          <w:w w:val="105"/>
        </w:rPr>
        <w:t>filtered</w:t>
      </w:r>
      <w:r>
        <w:rPr>
          <w:color w:val="231F20"/>
          <w:spacing w:val="-18"/>
          <w:w w:val="105"/>
        </w:rPr>
        <w:t> </w:t>
      </w:r>
      <w:r>
        <w:rPr>
          <w:color w:val="231F20"/>
          <w:w w:val="105"/>
        </w:rPr>
        <w:t>loads</w:t>
      </w:r>
      <w:r>
        <w:rPr>
          <w:color w:val="231F20"/>
          <w:spacing w:val="-18"/>
          <w:w w:val="105"/>
        </w:rPr>
        <w:t> </w:t>
      </w:r>
      <w:r>
        <w:rPr>
          <w:color w:val="231F20"/>
          <w:w w:val="105"/>
        </w:rPr>
        <w:t>of</w:t>
      </w:r>
      <w:r>
        <w:rPr>
          <w:color w:val="231F20"/>
          <w:spacing w:val="-18"/>
          <w:w w:val="105"/>
        </w:rPr>
        <w:t> </w:t>
      </w:r>
      <w:r>
        <w:rPr>
          <w:color w:val="231F20"/>
          <w:w w:val="105"/>
        </w:rPr>
        <w:t>sodium</w:t>
      </w:r>
      <w:r>
        <w:rPr>
          <w:color w:val="231F20"/>
          <w:spacing w:val="-18"/>
          <w:w w:val="105"/>
        </w:rPr>
        <w:t> </w:t>
      </w:r>
      <w:r>
        <w:rPr>
          <w:color w:val="231F20"/>
          <w:w w:val="105"/>
        </w:rPr>
        <w:t>and</w:t>
      </w:r>
      <w:r>
        <w:rPr>
          <w:color w:val="231F20"/>
          <w:spacing w:val="-18"/>
          <w:w w:val="105"/>
        </w:rPr>
        <w:t> </w:t>
      </w:r>
      <w:r>
        <w:rPr>
          <w:color w:val="231F20"/>
          <w:w w:val="105"/>
        </w:rPr>
        <w:t>water</w:t>
      </w:r>
      <w:r>
        <w:rPr>
          <w:color w:val="231F20"/>
          <w:spacing w:val="-18"/>
          <w:w w:val="105"/>
        </w:rPr>
        <w:t> </w:t>
      </w:r>
      <w:r>
        <w:rPr>
          <w:color w:val="231F20"/>
          <w:w w:val="105"/>
        </w:rPr>
        <w:t>that</w:t>
      </w:r>
      <w:r>
        <w:rPr>
          <w:color w:val="231F20"/>
          <w:spacing w:val="-18"/>
          <w:w w:val="105"/>
        </w:rPr>
        <w:t> </w:t>
      </w:r>
      <w:r>
        <w:rPr>
          <w:color w:val="231F20"/>
          <w:w w:val="105"/>
        </w:rPr>
        <w:t>are</w:t>
      </w:r>
      <w:r>
        <w:rPr>
          <w:color w:val="231F20"/>
          <w:spacing w:val="-18"/>
          <w:w w:val="105"/>
        </w:rPr>
        <w:t> </w:t>
      </w:r>
      <w:r>
        <w:rPr>
          <w:color w:val="231F20"/>
          <w:w w:val="105"/>
        </w:rPr>
        <w:t>reabsorbed by</w:t>
      </w:r>
      <w:r>
        <w:rPr>
          <w:color w:val="231F20"/>
          <w:spacing w:val="-28"/>
          <w:w w:val="105"/>
        </w:rPr>
        <w:t> </w:t>
      </w:r>
      <w:r>
        <w:rPr>
          <w:color w:val="231F20"/>
          <w:w w:val="105"/>
        </w:rPr>
        <w:t>the</w:t>
      </w:r>
      <w:r>
        <w:rPr>
          <w:color w:val="231F20"/>
          <w:spacing w:val="-27"/>
          <w:w w:val="105"/>
        </w:rPr>
        <w:t> </w:t>
      </w:r>
      <w:r>
        <w:rPr>
          <w:color w:val="231F20"/>
          <w:w w:val="105"/>
        </w:rPr>
        <w:t>tubules.</w:t>
      </w:r>
      <w:r>
        <w:rPr>
          <w:color w:val="231F20"/>
          <w:spacing w:val="-28"/>
          <w:w w:val="105"/>
        </w:rPr>
        <w:t> </w:t>
      </w:r>
      <w:r>
        <w:rPr>
          <w:color w:val="231F20"/>
          <w:w w:val="105"/>
        </w:rPr>
        <w:t>The</w:t>
      </w:r>
      <w:r>
        <w:rPr>
          <w:color w:val="231F20"/>
          <w:spacing w:val="-27"/>
          <w:w w:val="105"/>
        </w:rPr>
        <w:t> </w:t>
      </w:r>
      <w:r>
        <w:rPr>
          <w:color w:val="231F20"/>
          <w:w w:val="105"/>
        </w:rPr>
        <w:t>mechanisms</w:t>
      </w:r>
      <w:r>
        <w:rPr>
          <w:color w:val="231F20"/>
          <w:spacing w:val="-28"/>
          <w:w w:val="105"/>
        </w:rPr>
        <w:t> </w:t>
      </w:r>
      <w:r>
        <w:rPr>
          <w:color w:val="231F20"/>
          <w:w w:val="105"/>
        </w:rPr>
        <w:t>responsible</w:t>
      </w:r>
      <w:r>
        <w:rPr>
          <w:color w:val="231F20"/>
          <w:spacing w:val="-27"/>
          <w:w w:val="105"/>
        </w:rPr>
        <w:t> </w:t>
      </w:r>
      <w:r>
        <w:rPr>
          <w:color w:val="231F20"/>
          <w:w w:val="105"/>
        </w:rPr>
        <w:t>for</w:t>
      </w:r>
      <w:r>
        <w:rPr>
          <w:color w:val="231F20"/>
          <w:spacing w:val="-28"/>
          <w:w w:val="105"/>
        </w:rPr>
        <w:t> </w:t>
      </w:r>
      <w:r>
        <w:rPr>
          <w:color w:val="231F20"/>
          <w:w w:val="105"/>
        </w:rPr>
        <w:t>this</w:t>
      </w:r>
      <w:r>
        <w:rPr>
          <w:color w:val="231F20"/>
          <w:spacing w:val="-27"/>
          <w:w w:val="105"/>
        </w:rPr>
        <w:t> </w:t>
      </w:r>
      <w:r>
        <w:rPr>
          <w:color w:val="231F20"/>
          <w:w w:val="105"/>
        </w:rPr>
        <w:t>effect include a slight increase in peritubular capillary hydro- static pressure, especially in the vasa recta of the renal medulla, and a subsequent increase in the renal intersti- tial fluid hydrostatic pressure. As discussed </w:t>
      </w:r>
      <w:r>
        <w:rPr>
          <w:color w:val="231F20"/>
          <w:spacing w:val="-3"/>
          <w:w w:val="105"/>
        </w:rPr>
        <w:t>earlier, </w:t>
      </w:r>
      <w:r>
        <w:rPr>
          <w:color w:val="231F20"/>
          <w:w w:val="105"/>
        </w:rPr>
        <w:t>an increase</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4"/>
          <w:w w:val="105"/>
        </w:rPr>
        <w:t> </w:t>
      </w:r>
      <w:r>
        <w:rPr>
          <w:color w:val="231F20"/>
          <w:w w:val="105"/>
        </w:rPr>
        <w:t>renal</w:t>
      </w:r>
      <w:r>
        <w:rPr>
          <w:color w:val="231F20"/>
          <w:spacing w:val="-15"/>
          <w:w w:val="105"/>
        </w:rPr>
        <w:t> </w:t>
      </w:r>
      <w:r>
        <w:rPr>
          <w:color w:val="231F20"/>
          <w:w w:val="105"/>
        </w:rPr>
        <w:t>interstitial</w:t>
      </w:r>
      <w:r>
        <w:rPr>
          <w:color w:val="231F20"/>
          <w:spacing w:val="-14"/>
          <w:w w:val="105"/>
        </w:rPr>
        <w:t> </w:t>
      </w:r>
      <w:r>
        <w:rPr>
          <w:color w:val="231F20"/>
          <w:w w:val="105"/>
        </w:rPr>
        <w:t>fluid</w:t>
      </w:r>
      <w:r>
        <w:rPr>
          <w:color w:val="231F20"/>
          <w:spacing w:val="-15"/>
          <w:w w:val="105"/>
        </w:rPr>
        <w:t> </w:t>
      </w:r>
      <w:r>
        <w:rPr>
          <w:color w:val="231F20"/>
          <w:w w:val="105"/>
        </w:rPr>
        <w:t>hydrostatic</w:t>
      </w:r>
      <w:r>
        <w:rPr>
          <w:color w:val="231F20"/>
          <w:spacing w:val="-15"/>
          <w:w w:val="105"/>
        </w:rPr>
        <w:t> </w:t>
      </w:r>
      <w:r>
        <w:rPr>
          <w:color w:val="231F20"/>
          <w:w w:val="105"/>
        </w:rPr>
        <w:t>pressure enhances backleak of sodium into the tubular lumen, thereby reducing the net reabsorption of sodium and water and further increasing the rate of urine output when renal arterial pressure</w:t>
      </w:r>
      <w:r>
        <w:rPr>
          <w:color w:val="231F20"/>
          <w:spacing w:val="8"/>
          <w:w w:val="105"/>
        </w:rPr>
        <w:t> </w:t>
      </w:r>
      <w:r>
        <w:rPr>
          <w:color w:val="231F20"/>
          <w:w w:val="105"/>
        </w:rPr>
        <w:t>rises.</w:t>
      </w:r>
    </w:p>
    <w:p>
      <w:pPr>
        <w:pStyle w:val="BodyText"/>
        <w:spacing w:line="249" w:lineRule="auto" w:before="11"/>
        <w:ind w:left="-29" w:right="1437" w:firstLine="240"/>
        <w:jc w:val="both"/>
      </w:pPr>
      <w:r>
        <w:rPr>
          <w:color w:val="231F20"/>
          <w:w w:val="105"/>
        </w:rPr>
        <w:t>A third factor that contributes to the pressure natri- uresis and pressure diuresis mechanisms is reduced angiotensin II formation. Angiotensin II itself increases sodium reabsorption by the tubules; it also stimulates aldosterone secretion, which further increases sodium reabsorption. Therefore, decreased angiotensin II for- mation contributes to the decreased tubular sodium reabsorption that occurs when arterial pressure is increased.</w:t>
      </w:r>
    </w:p>
    <w:p>
      <w:pPr>
        <w:pStyle w:val="BodyText"/>
        <w:spacing w:before="2"/>
        <w:rPr>
          <w:sz w:val="30"/>
        </w:rPr>
      </w:pPr>
    </w:p>
    <w:p>
      <w:pPr>
        <w:pStyle w:val="Heading2"/>
        <w:spacing w:line="248" w:lineRule="exact"/>
        <w:ind w:left="-29"/>
        <w:jc w:val="both"/>
      </w:pPr>
      <w:r>
        <w:rPr>
          <w:color w:val="231F20"/>
          <w:w w:val="105"/>
        </w:rPr>
        <w:t>HORMONAL CONTROL</w:t>
      </w:r>
    </w:p>
    <w:p>
      <w:pPr>
        <w:spacing w:line="248" w:lineRule="exact" w:before="0"/>
        <w:ind w:left="-29" w:right="0" w:firstLine="0"/>
        <w:jc w:val="both"/>
        <w:rPr>
          <w:rFonts w:ascii="Trebuchet MS"/>
          <w:b/>
          <w:sz w:val="22"/>
        </w:rPr>
      </w:pPr>
      <w:r>
        <w:rPr>
          <w:rFonts w:ascii="Trebuchet MS"/>
          <w:b/>
          <w:color w:val="231F20"/>
          <w:sz w:val="22"/>
        </w:rPr>
        <w:t>OF TUBULAR REABSORPTION</w:t>
      </w:r>
    </w:p>
    <w:p>
      <w:pPr>
        <w:pStyle w:val="BodyText"/>
        <w:spacing w:line="249" w:lineRule="auto" w:before="125"/>
        <w:ind w:left="-29" w:right="1437"/>
        <w:jc w:val="both"/>
      </w:pPr>
      <w:r>
        <w:rPr>
          <w:color w:val="231F20"/>
          <w:w w:val="105"/>
        </w:rPr>
        <w:t>Precise regulation of body fluid volumes and solute concentrations requires the kidneys to excrete different solutes and water at variable rates, sometimes indepen- dently of one </w:t>
      </w:r>
      <w:r>
        <w:rPr>
          <w:color w:val="231F20"/>
          <w:spacing w:val="-3"/>
          <w:w w:val="105"/>
        </w:rPr>
        <w:t>another. For </w:t>
      </w:r>
      <w:r>
        <w:rPr>
          <w:color w:val="231F20"/>
          <w:w w:val="105"/>
        </w:rPr>
        <w:t>example, when potassium intake is increased, the kidneys must excrete more potassium</w:t>
      </w:r>
      <w:r>
        <w:rPr>
          <w:color w:val="231F20"/>
          <w:spacing w:val="-23"/>
          <w:w w:val="105"/>
        </w:rPr>
        <w:t> </w:t>
      </w:r>
      <w:r>
        <w:rPr>
          <w:color w:val="231F20"/>
          <w:w w:val="105"/>
        </w:rPr>
        <w:t>while</w:t>
      </w:r>
      <w:r>
        <w:rPr>
          <w:color w:val="231F20"/>
          <w:spacing w:val="-23"/>
          <w:w w:val="105"/>
        </w:rPr>
        <w:t> </w:t>
      </w:r>
      <w:r>
        <w:rPr>
          <w:color w:val="231F20"/>
          <w:w w:val="105"/>
        </w:rPr>
        <w:t>maintaining</w:t>
      </w:r>
      <w:r>
        <w:rPr>
          <w:color w:val="231F20"/>
          <w:spacing w:val="-22"/>
          <w:w w:val="105"/>
        </w:rPr>
        <w:t> </w:t>
      </w:r>
      <w:r>
        <w:rPr>
          <w:color w:val="231F20"/>
          <w:w w:val="105"/>
        </w:rPr>
        <w:t>normal</w:t>
      </w:r>
      <w:r>
        <w:rPr>
          <w:color w:val="231F20"/>
          <w:spacing w:val="-23"/>
          <w:w w:val="105"/>
        </w:rPr>
        <w:t> </w:t>
      </w:r>
      <w:r>
        <w:rPr>
          <w:color w:val="231F20"/>
          <w:w w:val="105"/>
        </w:rPr>
        <w:t>excretion</w:t>
      </w:r>
      <w:r>
        <w:rPr>
          <w:color w:val="231F20"/>
          <w:spacing w:val="-23"/>
          <w:w w:val="105"/>
        </w:rPr>
        <w:t> </w:t>
      </w:r>
      <w:r>
        <w:rPr>
          <w:color w:val="231F20"/>
          <w:w w:val="105"/>
        </w:rPr>
        <w:t>of</w:t>
      </w:r>
      <w:r>
        <w:rPr>
          <w:color w:val="231F20"/>
          <w:spacing w:val="-22"/>
          <w:w w:val="105"/>
        </w:rPr>
        <w:t> </w:t>
      </w:r>
      <w:r>
        <w:rPr>
          <w:color w:val="231F20"/>
          <w:w w:val="105"/>
        </w:rPr>
        <w:t>sodium and other electrolytes. Likewise, when sodium intake is changed, the kidneys must appropriately adjust urinary sodium excretion without major changes in excretion</w:t>
      </w:r>
      <w:r>
        <w:rPr>
          <w:color w:val="231F20"/>
          <w:spacing w:val="-22"/>
          <w:w w:val="105"/>
        </w:rPr>
        <w:t> </w:t>
      </w:r>
      <w:r>
        <w:rPr>
          <w:color w:val="231F20"/>
          <w:w w:val="105"/>
        </w:rPr>
        <w:t>of other</w:t>
      </w:r>
      <w:r>
        <w:rPr>
          <w:color w:val="231F20"/>
          <w:spacing w:val="-13"/>
          <w:w w:val="105"/>
        </w:rPr>
        <w:t> </w:t>
      </w:r>
      <w:r>
        <w:rPr>
          <w:color w:val="231F20"/>
          <w:w w:val="105"/>
        </w:rPr>
        <w:t>electrolytes.</w:t>
      </w:r>
      <w:r>
        <w:rPr>
          <w:color w:val="231F20"/>
          <w:spacing w:val="-12"/>
          <w:w w:val="105"/>
        </w:rPr>
        <w:t> </w:t>
      </w:r>
      <w:r>
        <w:rPr>
          <w:color w:val="231F20"/>
          <w:w w:val="105"/>
        </w:rPr>
        <w:t>Several</w:t>
      </w:r>
      <w:r>
        <w:rPr>
          <w:color w:val="231F20"/>
          <w:spacing w:val="-12"/>
          <w:w w:val="105"/>
        </w:rPr>
        <w:t> </w:t>
      </w:r>
      <w:r>
        <w:rPr>
          <w:color w:val="231F20"/>
          <w:w w:val="105"/>
        </w:rPr>
        <w:t>hormones</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body</w:t>
      </w:r>
      <w:r>
        <w:rPr>
          <w:color w:val="231F20"/>
          <w:spacing w:val="-13"/>
          <w:w w:val="105"/>
        </w:rPr>
        <w:t> </w:t>
      </w:r>
      <w:r>
        <w:rPr>
          <w:color w:val="231F20"/>
          <w:w w:val="105"/>
        </w:rPr>
        <w:t>provide this</w:t>
      </w:r>
      <w:r>
        <w:rPr>
          <w:color w:val="231F20"/>
          <w:spacing w:val="-10"/>
          <w:w w:val="105"/>
        </w:rPr>
        <w:t> </w:t>
      </w:r>
      <w:r>
        <w:rPr>
          <w:color w:val="231F20"/>
          <w:w w:val="105"/>
        </w:rPr>
        <w:t>specificity</w:t>
      </w:r>
      <w:r>
        <w:rPr>
          <w:color w:val="231F20"/>
          <w:spacing w:val="-9"/>
          <w:w w:val="105"/>
        </w:rPr>
        <w:t> </w:t>
      </w:r>
      <w:r>
        <w:rPr>
          <w:color w:val="231F20"/>
          <w:w w:val="105"/>
        </w:rPr>
        <w:t>of</w:t>
      </w:r>
      <w:r>
        <w:rPr>
          <w:color w:val="231F20"/>
          <w:spacing w:val="-10"/>
          <w:w w:val="105"/>
        </w:rPr>
        <w:t> </w:t>
      </w:r>
      <w:r>
        <w:rPr>
          <w:color w:val="231F20"/>
          <w:w w:val="105"/>
        </w:rPr>
        <w:t>tubular</w:t>
      </w:r>
      <w:r>
        <w:rPr>
          <w:color w:val="231F20"/>
          <w:spacing w:val="-9"/>
          <w:w w:val="105"/>
        </w:rPr>
        <w:t> </w:t>
      </w:r>
      <w:r>
        <w:rPr>
          <w:color w:val="231F20"/>
          <w:w w:val="105"/>
        </w:rPr>
        <w:t>reabsorption</w:t>
      </w:r>
      <w:r>
        <w:rPr>
          <w:color w:val="231F20"/>
          <w:spacing w:val="-10"/>
          <w:w w:val="105"/>
        </w:rPr>
        <w:t> </w:t>
      </w:r>
      <w:r>
        <w:rPr>
          <w:color w:val="231F20"/>
          <w:w w:val="105"/>
        </w:rPr>
        <w:t>for</w:t>
      </w:r>
      <w:r>
        <w:rPr>
          <w:color w:val="231F20"/>
          <w:spacing w:val="-9"/>
          <w:w w:val="105"/>
        </w:rPr>
        <w:t> </w:t>
      </w:r>
      <w:r>
        <w:rPr>
          <w:color w:val="231F20"/>
          <w:w w:val="105"/>
        </w:rPr>
        <w:t>different</w:t>
      </w:r>
      <w:r>
        <w:rPr>
          <w:color w:val="231F20"/>
          <w:spacing w:val="-10"/>
          <w:w w:val="105"/>
        </w:rPr>
        <w:t> </w:t>
      </w:r>
      <w:r>
        <w:rPr>
          <w:color w:val="231F20"/>
          <w:w w:val="105"/>
        </w:rPr>
        <w:t>elec- trolytes and </w:t>
      </w:r>
      <w:r>
        <w:rPr>
          <w:color w:val="231F20"/>
          <w:spacing w:val="-3"/>
          <w:w w:val="105"/>
        </w:rPr>
        <w:t>water. </w:t>
      </w:r>
      <w:hyperlink w:history="true" w:anchor="_bookmark58">
        <w:r>
          <w:rPr>
            <w:b/>
            <w:color w:val="0080AC"/>
            <w:spacing w:val="-4"/>
            <w:w w:val="105"/>
          </w:rPr>
          <w:t>Table </w:t>
        </w:r>
        <w:r>
          <w:rPr>
            <w:b/>
            <w:color w:val="0080AC"/>
            <w:w w:val="105"/>
          </w:rPr>
          <w:t>28-3 </w:t>
        </w:r>
      </w:hyperlink>
      <w:r>
        <w:rPr>
          <w:color w:val="231F20"/>
          <w:w w:val="105"/>
        </w:rPr>
        <w:t>summarizes some of the most important hormones for regulating tubular reab- sorption,</w:t>
      </w:r>
      <w:r>
        <w:rPr>
          <w:color w:val="231F20"/>
          <w:spacing w:val="-21"/>
          <w:w w:val="105"/>
        </w:rPr>
        <w:t> </w:t>
      </w:r>
      <w:r>
        <w:rPr>
          <w:color w:val="231F20"/>
          <w:w w:val="105"/>
        </w:rPr>
        <w:t>their</w:t>
      </w:r>
      <w:r>
        <w:rPr>
          <w:color w:val="231F20"/>
          <w:spacing w:val="-20"/>
          <w:w w:val="105"/>
        </w:rPr>
        <w:t> </w:t>
      </w:r>
      <w:r>
        <w:rPr>
          <w:color w:val="231F20"/>
          <w:w w:val="105"/>
        </w:rPr>
        <w:t>principal</w:t>
      </w:r>
      <w:r>
        <w:rPr>
          <w:color w:val="231F20"/>
          <w:spacing w:val="-20"/>
          <w:w w:val="105"/>
        </w:rPr>
        <w:t> </w:t>
      </w:r>
      <w:r>
        <w:rPr>
          <w:color w:val="231F20"/>
          <w:w w:val="105"/>
        </w:rPr>
        <w:t>sites</w:t>
      </w:r>
      <w:r>
        <w:rPr>
          <w:color w:val="231F20"/>
          <w:spacing w:val="-20"/>
          <w:w w:val="105"/>
        </w:rPr>
        <w:t> </w:t>
      </w:r>
      <w:r>
        <w:rPr>
          <w:color w:val="231F20"/>
          <w:w w:val="105"/>
        </w:rPr>
        <w:t>of</w:t>
      </w:r>
      <w:r>
        <w:rPr>
          <w:color w:val="231F20"/>
          <w:spacing w:val="-21"/>
          <w:w w:val="105"/>
        </w:rPr>
        <w:t> </w:t>
      </w:r>
      <w:r>
        <w:rPr>
          <w:color w:val="231F20"/>
          <w:w w:val="105"/>
        </w:rPr>
        <w:t>action</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renal</w:t>
      </w:r>
      <w:r>
        <w:rPr>
          <w:color w:val="231F20"/>
          <w:spacing w:val="-21"/>
          <w:w w:val="105"/>
        </w:rPr>
        <w:t> </w:t>
      </w:r>
      <w:r>
        <w:rPr>
          <w:color w:val="231F20"/>
          <w:spacing w:val="-3"/>
          <w:w w:val="105"/>
        </w:rPr>
        <w:t>tubule, </w:t>
      </w:r>
      <w:r>
        <w:rPr>
          <w:color w:val="231F20"/>
          <w:w w:val="105"/>
        </w:rPr>
        <w:t>and their effects on solute and water excretion. Some</w:t>
      </w:r>
      <w:r>
        <w:rPr>
          <w:color w:val="231F20"/>
          <w:spacing w:val="-15"/>
          <w:w w:val="105"/>
        </w:rPr>
        <w:t> </w:t>
      </w:r>
      <w:r>
        <w:rPr>
          <w:color w:val="231F20"/>
          <w:w w:val="105"/>
        </w:rPr>
        <w:t>of these</w:t>
      </w:r>
      <w:r>
        <w:rPr>
          <w:color w:val="231F20"/>
          <w:spacing w:val="-6"/>
          <w:w w:val="105"/>
        </w:rPr>
        <w:t> </w:t>
      </w:r>
      <w:r>
        <w:rPr>
          <w:color w:val="231F20"/>
          <w:w w:val="105"/>
        </w:rPr>
        <w:t>hormones</w:t>
      </w:r>
      <w:r>
        <w:rPr>
          <w:color w:val="231F20"/>
          <w:spacing w:val="-5"/>
          <w:w w:val="105"/>
        </w:rPr>
        <w:t> </w:t>
      </w:r>
      <w:r>
        <w:rPr>
          <w:color w:val="231F20"/>
          <w:w w:val="105"/>
        </w:rPr>
        <w:t>are</w:t>
      </w:r>
      <w:r>
        <w:rPr>
          <w:color w:val="231F20"/>
          <w:spacing w:val="-5"/>
          <w:w w:val="105"/>
        </w:rPr>
        <w:t> </w:t>
      </w:r>
      <w:r>
        <w:rPr>
          <w:color w:val="231F20"/>
          <w:w w:val="105"/>
        </w:rPr>
        <w:t>discussed</w:t>
      </w:r>
      <w:r>
        <w:rPr>
          <w:color w:val="231F20"/>
          <w:spacing w:val="-5"/>
          <w:w w:val="105"/>
        </w:rPr>
        <w:t> </w:t>
      </w:r>
      <w:r>
        <w:rPr>
          <w:color w:val="231F20"/>
          <w:w w:val="105"/>
        </w:rPr>
        <w:t>in</w:t>
      </w:r>
      <w:r>
        <w:rPr>
          <w:color w:val="231F20"/>
          <w:spacing w:val="-5"/>
          <w:w w:val="105"/>
        </w:rPr>
        <w:t> </w:t>
      </w:r>
      <w:r>
        <w:rPr>
          <w:color w:val="231F20"/>
          <w:w w:val="105"/>
        </w:rPr>
        <w:t>more</w:t>
      </w:r>
      <w:r>
        <w:rPr>
          <w:color w:val="231F20"/>
          <w:spacing w:val="-5"/>
          <w:w w:val="105"/>
        </w:rPr>
        <w:t> </w:t>
      </w:r>
      <w:r>
        <w:rPr>
          <w:color w:val="231F20"/>
          <w:w w:val="105"/>
        </w:rPr>
        <w:t>detail</w:t>
      </w:r>
      <w:r>
        <w:rPr>
          <w:color w:val="231F20"/>
          <w:spacing w:val="-5"/>
          <w:w w:val="105"/>
        </w:rPr>
        <w:t> </w:t>
      </w:r>
      <w:r>
        <w:rPr>
          <w:color w:val="231F20"/>
          <w:w w:val="105"/>
        </w:rPr>
        <w:t>in</w:t>
      </w:r>
      <w:r>
        <w:rPr>
          <w:color w:val="231F20"/>
          <w:spacing w:val="-5"/>
          <w:w w:val="105"/>
        </w:rPr>
        <w:t> </w:t>
      </w:r>
      <w:r>
        <w:rPr>
          <w:color w:val="231F20"/>
          <w:w w:val="105"/>
        </w:rPr>
        <w:t>Chapters</w:t>
      </w:r>
    </w:p>
    <w:p>
      <w:pPr>
        <w:spacing w:after="0" w:line="249" w:lineRule="auto"/>
        <w:jc w:val="both"/>
        <w:sectPr>
          <w:type w:val="continuous"/>
          <w:pgSz w:w="12240" w:h="15660"/>
          <w:pgMar w:top="0" w:bottom="760" w:left="0" w:right="0"/>
          <w:cols w:num="2" w:equalWidth="0">
            <w:col w:w="6109" w:space="40"/>
            <w:col w:w="6091"/>
          </w:cols>
        </w:sectPr>
      </w:pPr>
    </w:p>
    <w:p>
      <w:pPr>
        <w:pStyle w:val="BodyText"/>
        <w:spacing w:before="5"/>
        <w:rPr>
          <w:sz w:val="1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3"/>
        <w:gridCol w:w="3307"/>
        <w:gridCol w:w="4281"/>
      </w:tblGrid>
      <w:tr>
        <w:trPr>
          <w:trHeight w:val="264" w:hRule="atLeast"/>
        </w:trPr>
        <w:tc>
          <w:tcPr>
            <w:tcW w:w="2133" w:type="dxa"/>
            <w:shd w:val="clear" w:color="auto" w:fill="D1DDF1"/>
          </w:tcPr>
          <w:p>
            <w:pPr>
              <w:pStyle w:val="TableParagraph"/>
              <w:spacing w:before="34"/>
              <w:ind w:left="120"/>
              <w:rPr>
                <w:b/>
                <w:sz w:val="16"/>
              </w:rPr>
            </w:pPr>
            <w:r>
              <w:rPr>
                <w:b/>
                <w:color w:val="231F20"/>
                <w:w w:val="105"/>
                <w:sz w:val="16"/>
              </w:rPr>
              <w:t>Hormone</w:t>
            </w:r>
          </w:p>
        </w:tc>
        <w:tc>
          <w:tcPr>
            <w:tcW w:w="3307" w:type="dxa"/>
            <w:shd w:val="clear" w:color="auto" w:fill="D1DDF1"/>
          </w:tcPr>
          <w:p>
            <w:pPr>
              <w:pStyle w:val="TableParagraph"/>
              <w:spacing w:before="34"/>
              <w:ind w:left="126"/>
              <w:rPr>
                <w:b/>
                <w:sz w:val="16"/>
              </w:rPr>
            </w:pPr>
            <w:r>
              <w:rPr>
                <w:b/>
                <w:color w:val="231F20"/>
                <w:w w:val="105"/>
                <w:sz w:val="16"/>
              </w:rPr>
              <w:t>Site of Action</w:t>
            </w:r>
          </w:p>
        </w:tc>
        <w:tc>
          <w:tcPr>
            <w:tcW w:w="4281" w:type="dxa"/>
            <w:shd w:val="clear" w:color="auto" w:fill="D1DDF1"/>
          </w:tcPr>
          <w:p>
            <w:pPr>
              <w:pStyle w:val="TableParagraph"/>
              <w:spacing w:before="34"/>
              <w:ind w:left="120"/>
              <w:rPr>
                <w:b/>
                <w:sz w:val="16"/>
              </w:rPr>
            </w:pPr>
            <w:r>
              <w:rPr>
                <w:b/>
                <w:color w:val="231F20"/>
                <w:sz w:val="16"/>
              </w:rPr>
              <w:t>Effects</w:t>
            </w:r>
          </w:p>
        </w:tc>
      </w:tr>
      <w:tr>
        <w:trPr>
          <w:trHeight w:val="259" w:hRule="atLeast"/>
        </w:trPr>
        <w:tc>
          <w:tcPr>
            <w:tcW w:w="2133" w:type="dxa"/>
            <w:tcBorders>
              <w:bottom w:val="single" w:sz="4" w:space="0" w:color="FFFFFF"/>
            </w:tcBorders>
            <w:shd w:val="clear" w:color="auto" w:fill="E6ECF7"/>
          </w:tcPr>
          <w:p>
            <w:pPr>
              <w:pStyle w:val="TableParagraph"/>
              <w:spacing w:before="24"/>
              <w:ind w:left="120"/>
              <w:rPr>
                <w:sz w:val="16"/>
              </w:rPr>
            </w:pPr>
            <w:r>
              <w:rPr>
                <w:color w:val="231F20"/>
                <w:w w:val="105"/>
                <w:sz w:val="16"/>
              </w:rPr>
              <w:t>Aldosterone</w:t>
            </w:r>
          </w:p>
        </w:tc>
        <w:tc>
          <w:tcPr>
            <w:tcW w:w="3307" w:type="dxa"/>
            <w:tcBorders>
              <w:bottom w:val="single" w:sz="4" w:space="0" w:color="FFFFFF"/>
            </w:tcBorders>
            <w:shd w:val="clear" w:color="auto" w:fill="E6ECF7"/>
          </w:tcPr>
          <w:p>
            <w:pPr>
              <w:pStyle w:val="TableParagraph"/>
              <w:spacing w:before="24"/>
              <w:ind w:left="126"/>
              <w:rPr>
                <w:sz w:val="16"/>
              </w:rPr>
            </w:pPr>
            <w:r>
              <w:rPr>
                <w:color w:val="231F20"/>
                <w:w w:val="105"/>
                <w:sz w:val="16"/>
              </w:rPr>
              <w:t>Collecting tubule and duct</w:t>
            </w:r>
          </w:p>
        </w:tc>
        <w:tc>
          <w:tcPr>
            <w:tcW w:w="4281" w:type="dxa"/>
            <w:tcBorders>
              <w:bottom w:val="single" w:sz="4" w:space="0" w:color="FFFFFF"/>
            </w:tcBorders>
            <w:shd w:val="clear" w:color="auto" w:fill="E6ECF7"/>
          </w:tcPr>
          <w:p>
            <w:pPr>
              <w:pStyle w:val="TableParagraph"/>
              <w:spacing w:line="239" w:lineRule="exact" w:before="0"/>
              <w:ind w:left="120"/>
              <w:rPr>
                <w:sz w:val="16"/>
              </w:rPr>
            </w:pPr>
            <w:r>
              <w:rPr>
                <w:rFonts w:ascii="Arial Unicode MS" w:hAnsi="Arial Unicode MS"/>
                <w:color w:val="231F20"/>
                <w:sz w:val="16"/>
              </w:rPr>
              <w:t>↑ </w:t>
            </w:r>
            <w:r>
              <w:rPr>
                <w:color w:val="231F20"/>
                <w:sz w:val="16"/>
              </w:rPr>
              <w:t>NaCl, H</w:t>
            </w:r>
            <w:r>
              <w:rPr>
                <w:color w:val="231F20"/>
                <w:position w:val="-1"/>
                <w:sz w:val="9"/>
              </w:rPr>
              <w:t>2</w:t>
            </w:r>
            <w:r>
              <w:rPr>
                <w:color w:val="231F20"/>
                <w:sz w:val="16"/>
              </w:rPr>
              <w:t>O reabsorption, </w:t>
            </w:r>
            <w:r>
              <w:rPr>
                <w:rFonts w:ascii="Arial Unicode MS" w:hAnsi="Arial Unicode MS"/>
                <w:color w:val="231F20"/>
                <w:sz w:val="16"/>
              </w:rPr>
              <w:t>↑ </w:t>
            </w:r>
            <w:r>
              <w:rPr>
                <w:color w:val="231F20"/>
                <w:sz w:val="16"/>
              </w:rPr>
              <w:t>K</w:t>
            </w:r>
            <w:r>
              <w:rPr>
                <w:rFonts w:ascii="Arial Unicode MS" w:hAnsi="Arial Unicode MS"/>
                <w:color w:val="231F20"/>
                <w:position w:val="6"/>
                <w:sz w:val="9"/>
              </w:rPr>
              <w:t>+ </w:t>
            </w:r>
            <w:r>
              <w:rPr>
                <w:color w:val="231F20"/>
                <w:sz w:val="16"/>
              </w:rPr>
              <w:t>secretion, </w:t>
            </w:r>
            <w:r>
              <w:rPr>
                <w:rFonts w:ascii="Arial Unicode MS" w:hAnsi="Arial Unicode MS"/>
                <w:color w:val="231F20"/>
                <w:sz w:val="16"/>
              </w:rPr>
              <w:t>↑ </w:t>
            </w:r>
            <w:r>
              <w:rPr>
                <w:color w:val="231F20"/>
                <w:sz w:val="16"/>
              </w:rPr>
              <w:t>H</w:t>
            </w:r>
            <w:r>
              <w:rPr>
                <w:rFonts w:ascii="Arial Unicode MS" w:hAnsi="Arial Unicode MS"/>
                <w:color w:val="231F20"/>
                <w:position w:val="6"/>
                <w:sz w:val="9"/>
              </w:rPr>
              <w:t>+ </w:t>
            </w:r>
            <w:r>
              <w:rPr>
                <w:color w:val="231F20"/>
                <w:sz w:val="16"/>
              </w:rPr>
              <w:t>secretion</w:t>
            </w:r>
          </w:p>
        </w:tc>
      </w:tr>
      <w:tr>
        <w:trPr>
          <w:trHeight w:val="464" w:hRule="atLeast"/>
        </w:trPr>
        <w:tc>
          <w:tcPr>
            <w:tcW w:w="2133"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Angiotensin II</w:t>
            </w:r>
          </w:p>
        </w:tc>
        <w:tc>
          <w:tcPr>
            <w:tcW w:w="3307" w:type="dxa"/>
            <w:tcBorders>
              <w:top w:val="single" w:sz="4" w:space="0" w:color="FFFFFF"/>
              <w:bottom w:val="single" w:sz="4" w:space="0" w:color="FFFFFF"/>
            </w:tcBorders>
            <w:shd w:val="clear" w:color="auto" w:fill="E6ECF7"/>
          </w:tcPr>
          <w:p>
            <w:pPr>
              <w:pStyle w:val="TableParagraph"/>
              <w:spacing w:line="259" w:lineRule="auto"/>
              <w:ind w:left="286" w:right="112" w:hanging="160"/>
              <w:rPr>
                <w:sz w:val="16"/>
              </w:rPr>
            </w:pPr>
            <w:r>
              <w:rPr>
                <w:color w:val="231F20"/>
                <w:w w:val="105"/>
                <w:sz w:val="16"/>
              </w:rPr>
              <w:t>Proximal tubule, thick ascending loop of Henle/distal tubule, collecting tubule</w:t>
            </w:r>
          </w:p>
        </w:tc>
        <w:tc>
          <w:tcPr>
            <w:tcW w:w="4281" w:type="dxa"/>
            <w:tcBorders>
              <w:top w:val="single" w:sz="4" w:space="0" w:color="FFFFFF"/>
              <w:bottom w:val="single" w:sz="4" w:space="0" w:color="FFFFFF"/>
            </w:tcBorders>
            <w:shd w:val="clear" w:color="auto" w:fill="E6ECF7"/>
          </w:tcPr>
          <w:p>
            <w:pPr>
              <w:pStyle w:val="TableParagraph"/>
              <w:spacing w:line="266" w:lineRule="exact" w:before="0"/>
              <w:ind w:left="120"/>
              <w:rPr>
                <w:sz w:val="16"/>
              </w:rPr>
            </w:pPr>
            <w:r>
              <w:rPr>
                <w:rFonts w:ascii="Arial Unicode MS" w:hAnsi="Arial Unicode MS"/>
                <w:color w:val="231F20"/>
                <w:sz w:val="16"/>
              </w:rPr>
              <w:t>↑ </w:t>
            </w:r>
            <w:r>
              <w:rPr>
                <w:color w:val="231F20"/>
                <w:sz w:val="16"/>
              </w:rPr>
              <w:t>NaCl, H</w:t>
            </w:r>
            <w:r>
              <w:rPr>
                <w:color w:val="231F20"/>
                <w:position w:val="-1"/>
                <w:sz w:val="9"/>
              </w:rPr>
              <w:t>2</w:t>
            </w:r>
            <w:r>
              <w:rPr>
                <w:color w:val="231F20"/>
                <w:sz w:val="16"/>
              </w:rPr>
              <w:t>O reabsorption, </w:t>
            </w:r>
            <w:r>
              <w:rPr>
                <w:rFonts w:ascii="Arial Unicode MS" w:hAnsi="Arial Unicode MS"/>
                <w:color w:val="231F20"/>
                <w:sz w:val="16"/>
              </w:rPr>
              <w:t>↑ </w:t>
            </w:r>
            <w:r>
              <w:rPr>
                <w:color w:val="231F20"/>
                <w:sz w:val="16"/>
              </w:rPr>
              <w:t>H</w:t>
            </w:r>
            <w:r>
              <w:rPr>
                <w:rFonts w:ascii="Arial Unicode MS" w:hAnsi="Arial Unicode MS"/>
                <w:color w:val="231F20"/>
                <w:position w:val="6"/>
                <w:sz w:val="9"/>
              </w:rPr>
              <w:t>+ </w:t>
            </w:r>
            <w:r>
              <w:rPr>
                <w:color w:val="231F20"/>
                <w:sz w:val="16"/>
              </w:rPr>
              <w:t>secretion</w:t>
            </w:r>
          </w:p>
        </w:tc>
      </w:tr>
      <w:tr>
        <w:trPr>
          <w:trHeight w:val="264" w:hRule="atLeast"/>
        </w:trPr>
        <w:tc>
          <w:tcPr>
            <w:tcW w:w="2133"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Antidiuretic hormone</w:t>
            </w:r>
          </w:p>
        </w:tc>
        <w:tc>
          <w:tcPr>
            <w:tcW w:w="3307" w:type="dxa"/>
            <w:tcBorders>
              <w:top w:val="single" w:sz="4" w:space="0" w:color="FFFFFF"/>
              <w:bottom w:val="single" w:sz="4" w:space="0" w:color="FFFFFF"/>
            </w:tcBorders>
            <w:shd w:val="clear" w:color="auto" w:fill="E6ECF7"/>
          </w:tcPr>
          <w:p>
            <w:pPr>
              <w:pStyle w:val="TableParagraph"/>
              <w:ind w:left="126"/>
              <w:rPr>
                <w:sz w:val="16"/>
              </w:rPr>
            </w:pPr>
            <w:r>
              <w:rPr>
                <w:color w:val="231F20"/>
                <w:w w:val="105"/>
                <w:sz w:val="16"/>
              </w:rPr>
              <w:t>Distal tubule/collecting tubule and duct</w:t>
            </w:r>
          </w:p>
        </w:tc>
        <w:tc>
          <w:tcPr>
            <w:tcW w:w="4281" w:type="dxa"/>
            <w:tcBorders>
              <w:top w:val="single" w:sz="4" w:space="0" w:color="FFFFFF"/>
              <w:bottom w:val="single" w:sz="4" w:space="0" w:color="FFFFFF"/>
            </w:tcBorders>
            <w:shd w:val="clear" w:color="auto" w:fill="E6ECF7"/>
          </w:tcPr>
          <w:p>
            <w:pPr>
              <w:pStyle w:val="TableParagraph"/>
              <w:spacing w:line="244" w:lineRule="exact" w:before="0"/>
              <w:ind w:left="120"/>
              <w:rPr>
                <w:sz w:val="16"/>
              </w:rPr>
            </w:pPr>
            <w:r>
              <w:rPr>
                <w:rFonts w:ascii="Arial Unicode MS" w:hAnsi="Arial Unicode MS"/>
                <w:color w:val="231F20"/>
                <w:sz w:val="16"/>
              </w:rPr>
              <w:t>↑ </w:t>
            </w:r>
            <w:r>
              <w:rPr>
                <w:color w:val="231F20"/>
                <w:sz w:val="16"/>
              </w:rPr>
              <w:t>H</w:t>
            </w:r>
            <w:r>
              <w:rPr>
                <w:color w:val="231F20"/>
                <w:position w:val="-1"/>
                <w:sz w:val="9"/>
              </w:rPr>
              <w:t>2</w:t>
            </w:r>
            <w:r>
              <w:rPr>
                <w:color w:val="231F20"/>
                <w:sz w:val="16"/>
              </w:rPr>
              <w:t>O reabsorption</w:t>
            </w:r>
          </w:p>
        </w:tc>
      </w:tr>
      <w:tr>
        <w:trPr>
          <w:trHeight w:val="264" w:hRule="atLeast"/>
        </w:trPr>
        <w:tc>
          <w:tcPr>
            <w:tcW w:w="2133"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Atrial natriuretic peptide</w:t>
            </w:r>
          </w:p>
        </w:tc>
        <w:tc>
          <w:tcPr>
            <w:tcW w:w="3307" w:type="dxa"/>
            <w:tcBorders>
              <w:top w:val="single" w:sz="4" w:space="0" w:color="FFFFFF"/>
              <w:bottom w:val="single" w:sz="4" w:space="0" w:color="FFFFFF"/>
            </w:tcBorders>
            <w:shd w:val="clear" w:color="auto" w:fill="E6ECF7"/>
          </w:tcPr>
          <w:p>
            <w:pPr>
              <w:pStyle w:val="TableParagraph"/>
              <w:ind w:left="126"/>
              <w:rPr>
                <w:sz w:val="16"/>
              </w:rPr>
            </w:pPr>
            <w:r>
              <w:rPr>
                <w:color w:val="231F20"/>
                <w:w w:val="105"/>
                <w:sz w:val="16"/>
              </w:rPr>
              <w:t>Distal tubule/collecting tubule and duct</w:t>
            </w:r>
          </w:p>
        </w:tc>
        <w:tc>
          <w:tcPr>
            <w:tcW w:w="4281" w:type="dxa"/>
            <w:tcBorders>
              <w:top w:val="single" w:sz="4" w:space="0" w:color="FFFFFF"/>
              <w:bottom w:val="single" w:sz="4" w:space="0" w:color="FFFFFF"/>
            </w:tcBorders>
            <w:shd w:val="clear" w:color="auto" w:fill="E6ECF7"/>
          </w:tcPr>
          <w:p>
            <w:pPr>
              <w:pStyle w:val="TableParagraph"/>
              <w:spacing w:line="244" w:lineRule="exact" w:before="0"/>
              <w:ind w:left="120"/>
              <w:rPr>
                <w:sz w:val="16"/>
              </w:rPr>
            </w:pPr>
            <w:r>
              <w:rPr>
                <w:rFonts w:ascii="Arial Unicode MS" w:hAnsi="Arial Unicode MS"/>
                <w:color w:val="231F20"/>
                <w:sz w:val="16"/>
              </w:rPr>
              <w:t>↓ </w:t>
            </w:r>
            <w:r>
              <w:rPr>
                <w:color w:val="231F20"/>
                <w:sz w:val="16"/>
              </w:rPr>
              <w:t>NaCl reabsorption</w:t>
            </w:r>
          </w:p>
        </w:tc>
      </w:tr>
      <w:tr>
        <w:trPr>
          <w:trHeight w:val="479" w:hRule="atLeast"/>
        </w:trPr>
        <w:tc>
          <w:tcPr>
            <w:tcW w:w="2133" w:type="dxa"/>
            <w:tcBorders>
              <w:top w:val="single" w:sz="4" w:space="0" w:color="FFFFFF"/>
            </w:tcBorders>
            <w:shd w:val="clear" w:color="auto" w:fill="E6ECF7"/>
          </w:tcPr>
          <w:p>
            <w:pPr>
              <w:pStyle w:val="TableParagraph"/>
              <w:ind w:left="120"/>
              <w:rPr>
                <w:sz w:val="16"/>
              </w:rPr>
            </w:pPr>
            <w:r>
              <w:rPr>
                <w:color w:val="231F20"/>
                <w:w w:val="105"/>
                <w:sz w:val="16"/>
              </w:rPr>
              <w:t>Parathyroid hormone</w:t>
            </w:r>
          </w:p>
        </w:tc>
        <w:tc>
          <w:tcPr>
            <w:tcW w:w="3307" w:type="dxa"/>
            <w:tcBorders>
              <w:top w:val="single" w:sz="4" w:space="0" w:color="FFFFFF"/>
            </w:tcBorders>
            <w:shd w:val="clear" w:color="auto" w:fill="E6ECF7"/>
          </w:tcPr>
          <w:p>
            <w:pPr>
              <w:pStyle w:val="TableParagraph"/>
              <w:spacing w:line="259" w:lineRule="auto"/>
              <w:ind w:left="286" w:right="112" w:hanging="160"/>
              <w:rPr>
                <w:sz w:val="16"/>
              </w:rPr>
            </w:pPr>
            <w:r>
              <w:rPr>
                <w:color w:val="231F20"/>
                <w:w w:val="105"/>
                <w:sz w:val="16"/>
              </w:rPr>
              <w:t>Proximal tubule, thick ascending loop of Henle/distal tubule</w:t>
            </w:r>
          </w:p>
        </w:tc>
        <w:tc>
          <w:tcPr>
            <w:tcW w:w="4281" w:type="dxa"/>
            <w:tcBorders>
              <w:top w:val="single" w:sz="4" w:space="0" w:color="FFFFFF"/>
            </w:tcBorders>
            <w:shd w:val="clear" w:color="auto" w:fill="E6ECF7"/>
          </w:tcPr>
          <w:p>
            <w:pPr>
              <w:pStyle w:val="TableParagraph"/>
              <w:spacing w:line="76" w:lineRule="exact" w:before="0"/>
              <w:ind w:left="120"/>
              <w:rPr>
                <w:sz w:val="16"/>
              </w:rPr>
            </w:pPr>
            <w:r>
              <w:rPr>
                <w:rFonts w:ascii="Arial Unicode MS" w:hAnsi="Arial Unicode MS"/>
                <w:color w:val="231F20"/>
                <w:sz w:val="16"/>
              </w:rPr>
              <w:t>↓ </w:t>
            </w:r>
            <w:r>
              <w:rPr>
                <w:color w:val="231F20"/>
                <w:sz w:val="16"/>
              </w:rPr>
              <w:t>PO</w:t>
            </w:r>
            <w:r>
              <w:rPr>
                <w:color w:val="231F20"/>
                <w:position w:val="-1"/>
                <w:sz w:val="9"/>
              </w:rPr>
              <w:t>4 </w:t>
            </w:r>
            <w:r>
              <w:rPr>
                <w:color w:val="231F20"/>
                <w:sz w:val="16"/>
              </w:rPr>
              <w:t>reabsorption, </w:t>
            </w:r>
            <w:r>
              <w:rPr>
                <w:rFonts w:ascii="Arial Unicode MS" w:hAnsi="Arial Unicode MS"/>
                <w:color w:val="231F20"/>
                <w:sz w:val="16"/>
              </w:rPr>
              <w:t>↑ </w:t>
            </w:r>
            <w:r>
              <w:rPr>
                <w:color w:val="231F20"/>
                <w:sz w:val="16"/>
              </w:rPr>
              <w:t>Ca reabsorption</w:t>
            </w:r>
          </w:p>
          <w:p>
            <w:pPr>
              <w:pStyle w:val="TableParagraph"/>
              <w:tabs>
                <w:tab w:pos="2037" w:val="left" w:leader="none"/>
              </w:tabs>
              <w:spacing w:line="89" w:lineRule="exact" w:before="0"/>
              <w:ind w:left="536"/>
              <w:rPr>
                <w:rFonts w:ascii="Arial Unicode MS" w:hAnsi="Arial Unicode MS"/>
                <w:sz w:val="9"/>
              </w:rPr>
            </w:pPr>
            <w:r>
              <w:rPr>
                <w:rFonts w:ascii="Arial Unicode MS" w:hAnsi="Arial Unicode MS"/>
                <w:color w:val="231F20"/>
                <w:sz w:val="9"/>
              </w:rPr>
              <w:t>−</w:t>
              <w:tab/>
              <w:t>++</w:t>
            </w:r>
          </w:p>
        </w:tc>
      </w:tr>
    </w:tbl>
    <w:p>
      <w:pPr>
        <w:spacing w:after="0" w:line="89" w:lineRule="exact"/>
        <w:rPr>
          <w:rFonts w:ascii="Arial Unicode MS" w:hAnsi="Arial Unicode MS"/>
          <w:sz w:val="9"/>
        </w:rPr>
        <w:sectPr>
          <w:type w:val="continuous"/>
          <w:pgSz w:w="12240" w:h="15660"/>
          <w:pgMar w:top="0" w:bottom="760" w:left="0" w:right="0"/>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688"/>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7313152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r>
        <w:rPr>
          <w:color w:val="231F20"/>
        </w:rPr>
        <w:t>29</w:t>
      </w:r>
      <w:r>
        <w:rPr>
          <w:color w:val="231F20"/>
          <w:spacing w:val="-5"/>
        </w:rPr>
        <w:t> </w:t>
      </w:r>
      <w:r>
        <w:rPr>
          <w:color w:val="231F20"/>
        </w:rPr>
        <w:t>and</w:t>
      </w:r>
      <w:r>
        <w:rPr>
          <w:color w:val="231F20"/>
          <w:spacing w:val="-5"/>
        </w:rPr>
        <w:t> </w:t>
      </w:r>
      <w:r>
        <w:rPr>
          <w:color w:val="231F20"/>
        </w:rPr>
        <w:t>30,</w:t>
      </w:r>
      <w:r>
        <w:rPr>
          <w:color w:val="231F20"/>
          <w:spacing w:val="-5"/>
        </w:rPr>
        <w:t> </w:t>
      </w:r>
      <w:r>
        <w:rPr>
          <w:color w:val="231F20"/>
        </w:rPr>
        <w:t>but</w:t>
      </w:r>
      <w:r>
        <w:rPr>
          <w:color w:val="231F20"/>
          <w:spacing w:val="-4"/>
        </w:rPr>
        <w:t> </w:t>
      </w:r>
      <w:r>
        <w:rPr>
          <w:color w:val="231F20"/>
        </w:rPr>
        <w:t>we</w:t>
      </w:r>
      <w:r>
        <w:rPr>
          <w:color w:val="231F20"/>
          <w:spacing w:val="-5"/>
        </w:rPr>
        <w:t> </w:t>
      </w:r>
      <w:r>
        <w:rPr>
          <w:color w:val="231F20"/>
        </w:rPr>
        <w:t>briefly</w:t>
      </w:r>
      <w:r>
        <w:rPr>
          <w:color w:val="231F20"/>
          <w:spacing w:val="-5"/>
        </w:rPr>
        <w:t> </w:t>
      </w:r>
      <w:r>
        <w:rPr>
          <w:color w:val="231F20"/>
        </w:rPr>
        <w:t>review</w:t>
      </w:r>
      <w:r>
        <w:rPr>
          <w:color w:val="231F20"/>
          <w:spacing w:val="-5"/>
        </w:rPr>
        <w:t> </w:t>
      </w:r>
      <w:r>
        <w:rPr>
          <w:color w:val="231F20"/>
        </w:rPr>
        <w:t>their</w:t>
      </w:r>
      <w:r>
        <w:rPr>
          <w:color w:val="231F20"/>
          <w:spacing w:val="-4"/>
        </w:rPr>
        <w:t> </w:t>
      </w:r>
      <w:r>
        <w:rPr>
          <w:color w:val="231F20"/>
        </w:rPr>
        <w:t>renal</w:t>
      </w:r>
      <w:r>
        <w:rPr>
          <w:color w:val="231F20"/>
          <w:spacing w:val="-5"/>
        </w:rPr>
        <w:t> </w:t>
      </w:r>
      <w:r>
        <w:rPr>
          <w:color w:val="231F20"/>
        </w:rPr>
        <w:t>tubular</w:t>
      </w:r>
      <w:r>
        <w:rPr>
          <w:color w:val="231F20"/>
          <w:spacing w:val="-5"/>
        </w:rPr>
        <w:t> </w:t>
      </w:r>
      <w:r>
        <w:rPr>
          <w:color w:val="231F20"/>
        </w:rPr>
        <w:t>actions in the next few</w:t>
      </w:r>
      <w:r>
        <w:rPr>
          <w:color w:val="231F20"/>
          <w:spacing w:val="28"/>
        </w:rPr>
        <w:t> </w:t>
      </w:r>
      <w:r>
        <w:rPr>
          <w:color w:val="231F20"/>
        </w:rPr>
        <w:t>paragraphs.</w:t>
      </w:r>
    </w:p>
    <w:p>
      <w:pPr>
        <w:spacing w:line="249" w:lineRule="auto" w:before="250"/>
        <w:ind w:left="1440" w:right="0" w:firstLine="0"/>
        <w:jc w:val="both"/>
        <w:rPr>
          <w:sz w:val="20"/>
        </w:rPr>
      </w:pPr>
      <w:r>
        <w:rPr>
          <w:rFonts w:ascii="Trebuchet MS"/>
          <w:b/>
          <w:color w:val="231F20"/>
          <w:sz w:val="19"/>
        </w:rPr>
        <w:t>Aldosterone Increases Sodium Reabsorption and Potassium Secretion. </w:t>
      </w:r>
      <w:r>
        <w:rPr>
          <w:color w:val="231F20"/>
          <w:sz w:val="20"/>
        </w:rPr>
        <w:t>Aldosterone, secreted by the zona glomerulosa cells of the adrenal cortex, is an important regulator of sodium reabsorption and secretion of potas- sium and hydrogen ions by the renal tubules. </w:t>
      </w:r>
      <w:r>
        <w:rPr>
          <w:i/>
          <w:color w:val="231F20"/>
          <w:sz w:val="20"/>
        </w:rPr>
        <w:t>A major </w:t>
      </w:r>
      <w:r>
        <w:rPr>
          <w:i/>
          <w:color w:val="231F20"/>
          <w:sz w:val="20"/>
        </w:rPr>
        <w:t>renal tubular site of aldosterone action is on the principal cells of the cortical collecting tubule</w:t>
      </w:r>
      <w:r>
        <w:rPr>
          <w:color w:val="231F20"/>
          <w:sz w:val="20"/>
        </w:rPr>
        <w:t>. The mechanism by which aldosterone increases sodium reabsorption and potassium secretion is by stimulating the sodium- potassium ATPase pump on the basolateral side of the cortical collecting tubule membrane. Aldosterone also increases the sodium permeability of the luminal side of the membrane. The cellular mechanisms of aldosterone action are discussed in Chapter 78.</w:t>
      </w:r>
    </w:p>
    <w:p>
      <w:pPr>
        <w:pStyle w:val="BodyText"/>
        <w:spacing w:before="12"/>
        <w:ind w:left="1680"/>
        <w:jc w:val="both"/>
      </w:pPr>
      <w:r>
        <w:rPr>
          <w:color w:val="231F20"/>
          <w:w w:val="105"/>
        </w:rPr>
        <w:t>The most important stimuli for aldosterone are</w:t>
      </w:r>
    </w:p>
    <w:p>
      <w:pPr>
        <w:pStyle w:val="ListParagraph"/>
        <w:numPr>
          <w:ilvl w:val="0"/>
          <w:numId w:val="18"/>
        </w:numPr>
        <w:tabs>
          <w:tab w:pos="1742" w:val="left" w:leader="none"/>
        </w:tabs>
        <w:spacing w:line="240" w:lineRule="auto" w:before="10" w:after="0"/>
        <w:ind w:left="1741" w:right="0" w:hanging="302"/>
        <w:jc w:val="both"/>
        <w:rPr>
          <w:sz w:val="20"/>
        </w:rPr>
      </w:pPr>
      <w:r>
        <w:rPr>
          <w:color w:val="231F20"/>
          <w:w w:val="105"/>
          <w:sz w:val="20"/>
        </w:rPr>
        <w:t>increased extracellular potassium concentration</w:t>
      </w:r>
      <w:r>
        <w:rPr>
          <w:color w:val="231F20"/>
          <w:spacing w:val="28"/>
          <w:w w:val="105"/>
          <w:sz w:val="20"/>
        </w:rPr>
        <w:t> </w:t>
      </w:r>
      <w:r>
        <w:rPr>
          <w:color w:val="231F20"/>
          <w:spacing w:val="-5"/>
          <w:w w:val="105"/>
          <w:sz w:val="20"/>
        </w:rPr>
        <w:t>and</w:t>
      </w:r>
    </w:p>
    <w:p>
      <w:pPr>
        <w:pStyle w:val="ListParagraph"/>
        <w:numPr>
          <w:ilvl w:val="0"/>
          <w:numId w:val="18"/>
        </w:numPr>
        <w:tabs>
          <w:tab w:pos="1731" w:val="left" w:leader="none"/>
        </w:tabs>
        <w:spacing w:line="249" w:lineRule="auto" w:before="10" w:after="0"/>
        <w:ind w:left="1440" w:right="0" w:firstLine="0"/>
        <w:jc w:val="both"/>
        <w:rPr>
          <w:sz w:val="20"/>
        </w:rPr>
      </w:pPr>
      <w:r>
        <w:rPr>
          <w:color w:val="231F20"/>
          <w:sz w:val="20"/>
        </w:rPr>
        <w:t>increased angiotensin II levels, which typically occur in conditions associated with sodium and volume deple- tion  or  low  blood  pressure.  The  increased  secretion  of aldosterone associated with these conditions causes renal sodium and water retention, helping to increase extracellular fluid volume and restore blood pressure toward</w:t>
      </w:r>
      <w:r>
        <w:rPr>
          <w:color w:val="231F20"/>
          <w:spacing w:val="6"/>
          <w:sz w:val="20"/>
        </w:rPr>
        <w:t> </w:t>
      </w:r>
      <w:r>
        <w:rPr>
          <w:color w:val="231F20"/>
          <w:sz w:val="20"/>
        </w:rPr>
        <w:t>normal.</w:t>
      </w:r>
    </w:p>
    <w:p>
      <w:pPr>
        <w:pStyle w:val="BodyText"/>
        <w:spacing w:line="249" w:lineRule="auto" w:before="6"/>
        <w:ind w:left="1440" w:firstLine="240"/>
        <w:jc w:val="both"/>
      </w:pPr>
      <w:r>
        <w:rPr>
          <w:color w:val="231F20"/>
          <w:w w:val="105"/>
        </w:rPr>
        <w:t>In the absence of aldosterone, as occurs with </w:t>
      </w:r>
      <w:r>
        <w:rPr>
          <w:color w:val="231F20"/>
          <w:spacing w:val="-3"/>
          <w:w w:val="105"/>
        </w:rPr>
        <w:t>adrenal </w:t>
      </w:r>
      <w:r>
        <w:rPr>
          <w:color w:val="231F20"/>
          <w:w w:val="105"/>
        </w:rPr>
        <w:t>destruction or malfunction </w:t>
      </w:r>
      <w:r>
        <w:rPr>
          <w:i/>
          <w:color w:val="231F20"/>
          <w:w w:val="105"/>
        </w:rPr>
        <w:t>(Addison’s disease), </w:t>
      </w:r>
      <w:r>
        <w:rPr>
          <w:color w:val="231F20"/>
          <w:w w:val="105"/>
        </w:rPr>
        <w:t>there </w:t>
      </w:r>
      <w:r>
        <w:rPr>
          <w:color w:val="231F20"/>
          <w:spacing w:val="-7"/>
          <w:w w:val="105"/>
        </w:rPr>
        <w:t>is </w:t>
      </w:r>
      <w:r>
        <w:rPr>
          <w:color w:val="231F20"/>
          <w:w w:val="105"/>
        </w:rPr>
        <w:t>marked loss of sodium from the body and</w:t>
      </w:r>
      <w:r>
        <w:rPr>
          <w:color w:val="231F20"/>
          <w:spacing w:val="-17"/>
          <w:w w:val="105"/>
        </w:rPr>
        <w:t> </w:t>
      </w:r>
      <w:r>
        <w:rPr>
          <w:color w:val="231F20"/>
          <w:w w:val="105"/>
        </w:rPr>
        <w:t>accumulation of potassium. Conversely, excess aldosterone secretion, as occurs in patients with adrenal tumors </w:t>
      </w:r>
      <w:r>
        <w:rPr>
          <w:i/>
          <w:color w:val="231F20"/>
          <w:spacing w:val="-3"/>
          <w:w w:val="105"/>
        </w:rPr>
        <w:t>(Conn’s </w:t>
      </w:r>
      <w:r>
        <w:rPr>
          <w:i/>
          <w:color w:val="231F20"/>
          <w:spacing w:val="-4"/>
          <w:w w:val="105"/>
        </w:rPr>
        <w:t>syn- </w:t>
      </w:r>
      <w:r>
        <w:rPr>
          <w:i/>
          <w:color w:val="231F20"/>
          <w:w w:val="105"/>
        </w:rPr>
        <w:t>drome),</w:t>
      </w:r>
      <w:r>
        <w:rPr>
          <w:i/>
          <w:color w:val="231F20"/>
          <w:spacing w:val="-33"/>
          <w:w w:val="105"/>
        </w:rPr>
        <w:t> </w:t>
      </w:r>
      <w:r>
        <w:rPr>
          <w:color w:val="231F20"/>
          <w:w w:val="105"/>
        </w:rPr>
        <w:t>is</w:t>
      </w:r>
      <w:r>
        <w:rPr>
          <w:color w:val="231F20"/>
          <w:spacing w:val="-32"/>
          <w:w w:val="105"/>
        </w:rPr>
        <w:t> </w:t>
      </w:r>
      <w:r>
        <w:rPr>
          <w:color w:val="231F20"/>
          <w:w w:val="105"/>
        </w:rPr>
        <w:t>associated</w:t>
      </w:r>
      <w:r>
        <w:rPr>
          <w:color w:val="231F20"/>
          <w:spacing w:val="-33"/>
          <w:w w:val="105"/>
        </w:rPr>
        <w:t> </w:t>
      </w:r>
      <w:r>
        <w:rPr>
          <w:color w:val="231F20"/>
          <w:w w:val="105"/>
        </w:rPr>
        <w:t>with</w:t>
      </w:r>
      <w:r>
        <w:rPr>
          <w:color w:val="231F20"/>
          <w:spacing w:val="-32"/>
          <w:w w:val="105"/>
        </w:rPr>
        <w:t> </w:t>
      </w:r>
      <w:r>
        <w:rPr>
          <w:color w:val="231F20"/>
          <w:w w:val="105"/>
        </w:rPr>
        <w:t>sodium</w:t>
      </w:r>
      <w:r>
        <w:rPr>
          <w:color w:val="231F20"/>
          <w:spacing w:val="-33"/>
          <w:w w:val="105"/>
        </w:rPr>
        <w:t> </w:t>
      </w:r>
      <w:r>
        <w:rPr>
          <w:color w:val="231F20"/>
          <w:w w:val="105"/>
        </w:rPr>
        <w:t>retention</w:t>
      </w:r>
      <w:r>
        <w:rPr>
          <w:color w:val="231F20"/>
          <w:spacing w:val="-32"/>
          <w:w w:val="105"/>
        </w:rPr>
        <w:t> </w:t>
      </w:r>
      <w:r>
        <w:rPr>
          <w:color w:val="231F20"/>
          <w:w w:val="105"/>
        </w:rPr>
        <w:t>and</w:t>
      </w:r>
      <w:r>
        <w:rPr>
          <w:color w:val="231F20"/>
          <w:spacing w:val="-33"/>
          <w:w w:val="105"/>
        </w:rPr>
        <w:t> </w:t>
      </w:r>
      <w:r>
        <w:rPr>
          <w:color w:val="231F20"/>
          <w:w w:val="105"/>
        </w:rPr>
        <w:t>decreased plasma</w:t>
      </w:r>
      <w:r>
        <w:rPr>
          <w:color w:val="231F20"/>
          <w:spacing w:val="-19"/>
          <w:w w:val="105"/>
        </w:rPr>
        <w:t> </w:t>
      </w:r>
      <w:r>
        <w:rPr>
          <w:color w:val="231F20"/>
          <w:w w:val="105"/>
        </w:rPr>
        <w:t>potassium</w:t>
      </w:r>
      <w:r>
        <w:rPr>
          <w:color w:val="231F20"/>
          <w:spacing w:val="-19"/>
          <w:w w:val="105"/>
        </w:rPr>
        <w:t> </w:t>
      </w:r>
      <w:r>
        <w:rPr>
          <w:color w:val="231F20"/>
          <w:w w:val="105"/>
        </w:rPr>
        <w:t>concentration</w:t>
      </w:r>
      <w:r>
        <w:rPr>
          <w:color w:val="231F20"/>
          <w:spacing w:val="-18"/>
          <w:w w:val="105"/>
        </w:rPr>
        <w:t> </w:t>
      </w:r>
      <w:r>
        <w:rPr>
          <w:color w:val="231F20"/>
          <w:w w:val="105"/>
        </w:rPr>
        <w:t>due,</w:t>
      </w:r>
      <w:r>
        <w:rPr>
          <w:color w:val="231F20"/>
          <w:spacing w:val="-19"/>
          <w:w w:val="105"/>
        </w:rPr>
        <w:t> </w:t>
      </w:r>
      <w:r>
        <w:rPr>
          <w:color w:val="231F20"/>
          <w:w w:val="105"/>
        </w:rPr>
        <w:t>in</w:t>
      </w:r>
      <w:r>
        <w:rPr>
          <w:color w:val="231F20"/>
          <w:spacing w:val="-19"/>
          <w:w w:val="105"/>
        </w:rPr>
        <w:t> </w:t>
      </w:r>
      <w:r>
        <w:rPr>
          <w:color w:val="231F20"/>
          <w:w w:val="105"/>
        </w:rPr>
        <w:t>part,</w:t>
      </w:r>
      <w:r>
        <w:rPr>
          <w:color w:val="231F20"/>
          <w:spacing w:val="-18"/>
          <w:w w:val="105"/>
        </w:rPr>
        <w:t> </w:t>
      </w:r>
      <w:r>
        <w:rPr>
          <w:color w:val="231F20"/>
          <w:w w:val="105"/>
        </w:rPr>
        <w:t>to</w:t>
      </w:r>
      <w:r>
        <w:rPr>
          <w:color w:val="231F20"/>
          <w:spacing w:val="-19"/>
          <w:w w:val="105"/>
        </w:rPr>
        <w:t> </w:t>
      </w:r>
      <w:r>
        <w:rPr>
          <w:color w:val="231F20"/>
          <w:spacing w:val="-3"/>
          <w:w w:val="105"/>
        </w:rPr>
        <w:t>excessive </w:t>
      </w:r>
      <w:r>
        <w:rPr>
          <w:color w:val="231F20"/>
          <w:w w:val="105"/>
        </w:rPr>
        <w:t>potassium</w:t>
      </w:r>
      <w:r>
        <w:rPr>
          <w:color w:val="231F20"/>
          <w:spacing w:val="-18"/>
          <w:w w:val="105"/>
        </w:rPr>
        <w:t> </w:t>
      </w:r>
      <w:r>
        <w:rPr>
          <w:color w:val="231F20"/>
          <w:w w:val="105"/>
        </w:rPr>
        <w:t>secretion</w:t>
      </w:r>
      <w:r>
        <w:rPr>
          <w:color w:val="231F20"/>
          <w:spacing w:val="-17"/>
          <w:w w:val="105"/>
        </w:rPr>
        <w:t> </w:t>
      </w:r>
      <w:r>
        <w:rPr>
          <w:color w:val="231F20"/>
          <w:w w:val="105"/>
        </w:rPr>
        <w:t>by</w:t>
      </w:r>
      <w:r>
        <w:rPr>
          <w:color w:val="231F20"/>
          <w:spacing w:val="-17"/>
          <w:w w:val="105"/>
        </w:rPr>
        <w:t> </w:t>
      </w:r>
      <w:r>
        <w:rPr>
          <w:color w:val="231F20"/>
          <w:w w:val="105"/>
        </w:rPr>
        <w:t>the</w:t>
      </w:r>
      <w:r>
        <w:rPr>
          <w:color w:val="231F20"/>
          <w:spacing w:val="-18"/>
          <w:w w:val="105"/>
        </w:rPr>
        <w:t> </w:t>
      </w:r>
      <w:r>
        <w:rPr>
          <w:color w:val="231F20"/>
          <w:w w:val="105"/>
        </w:rPr>
        <w:t>kidneys.</w:t>
      </w:r>
      <w:r>
        <w:rPr>
          <w:color w:val="231F20"/>
          <w:spacing w:val="-17"/>
          <w:w w:val="105"/>
        </w:rPr>
        <w:t> </w:t>
      </w:r>
      <w:r>
        <w:rPr>
          <w:color w:val="231F20"/>
          <w:w w:val="105"/>
        </w:rPr>
        <w:t>Although</w:t>
      </w:r>
      <w:r>
        <w:rPr>
          <w:color w:val="231F20"/>
          <w:spacing w:val="-17"/>
          <w:w w:val="105"/>
        </w:rPr>
        <w:t> </w:t>
      </w:r>
      <w:r>
        <w:rPr>
          <w:color w:val="231F20"/>
          <w:spacing w:val="-3"/>
          <w:w w:val="105"/>
        </w:rPr>
        <w:t>day-to-day </w:t>
      </w:r>
      <w:r>
        <w:rPr>
          <w:color w:val="231F20"/>
          <w:w w:val="105"/>
        </w:rPr>
        <w:t>regulation of sodium balance can be maintained </w:t>
      </w:r>
      <w:r>
        <w:rPr>
          <w:color w:val="231F20"/>
          <w:spacing w:val="-7"/>
          <w:w w:val="105"/>
        </w:rPr>
        <w:t>as  </w:t>
      </w:r>
      <w:r>
        <w:rPr>
          <w:color w:val="231F20"/>
          <w:w w:val="105"/>
        </w:rPr>
        <w:t>long as minimal levels of aldosterone are present, </w:t>
      </w:r>
      <w:r>
        <w:rPr>
          <w:color w:val="231F20"/>
          <w:spacing w:val="-5"/>
          <w:w w:val="105"/>
        </w:rPr>
        <w:t>the </w:t>
      </w:r>
      <w:r>
        <w:rPr>
          <w:color w:val="231F20"/>
          <w:w w:val="105"/>
        </w:rPr>
        <w:t>inability to appropriately adjust aldosterone secretion greatly impairs the regulation of renal potassium </w:t>
      </w:r>
      <w:r>
        <w:rPr>
          <w:color w:val="231F20"/>
          <w:spacing w:val="-5"/>
          <w:w w:val="105"/>
        </w:rPr>
        <w:t>excre- </w:t>
      </w:r>
      <w:r>
        <w:rPr>
          <w:color w:val="231F20"/>
          <w:w w:val="105"/>
        </w:rPr>
        <w:t>tion and potassium concentration of the body fluids. Thus, aldosterone is even more important as a </w:t>
      </w:r>
      <w:r>
        <w:rPr>
          <w:color w:val="231F20"/>
          <w:spacing w:val="-3"/>
          <w:w w:val="105"/>
        </w:rPr>
        <w:t>regulator </w:t>
      </w:r>
      <w:r>
        <w:rPr>
          <w:color w:val="231F20"/>
          <w:w w:val="105"/>
        </w:rPr>
        <w:t>of potassium concentration than it is for sodium concentration.</w:t>
      </w:r>
    </w:p>
    <w:p>
      <w:pPr>
        <w:pStyle w:val="BodyText"/>
        <w:spacing w:before="8"/>
        <w:rPr>
          <w:sz w:val="22"/>
        </w:rPr>
      </w:pPr>
    </w:p>
    <w:p>
      <w:pPr>
        <w:pStyle w:val="BodyText"/>
        <w:spacing w:line="249" w:lineRule="auto" w:before="1"/>
        <w:ind w:left="1439"/>
        <w:jc w:val="both"/>
      </w:pPr>
      <w:r>
        <w:rPr>
          <w:rFonts w:ascii="Trebuchet MS" w:hAnsi="Trebuchet MS"/>
          <w:b/>
          <w:color w:val="231F20"/>
          <w:w w:val="105"/>
          <w:sz w:val="19"/>
        </w:rPr>
        <w:t>Angiotensin II Increases Sodium and Water </w:t>
      </w:r>
      <w:r>
        <w:rPr>
          <w:rFonts w:ascii="Trebuchet MS" w:hAnsi="Trebuchet MS"/>
          <w:b/>
          <w:color w:val="231F20"/>
          <w:spacing w:val="-4"/>
          <w:w w:val="105"/>
          <w:sz w:val="19"/>
        </w:rPr>
        <w:t>Reab­ </w:t>
      </w:r>
      <w:r>
        <w:rPr>
          <w:rFonts w:ascii="Trebuchet MS" w:hAnsi="Trebuchet MS"/>
          <w:b/>
          <w:color w:val="231F20"/>
          <w:w w:val="105"/>
          <w:sz w:val="19"/>
        </w:rPr>
        <w:t>sorption. </w:t>
      </w:r>
      <w:r>
        <w:rPr>
          <w:color w:val="231F20"/>
          <w:w w:val="105"/>
        </w:rPr>
        <w:t>Angiotensin II is perhaps the body’s </w:t>
      </w:r>
      <w:r>
        <w:rPr>
          <w:color w:val="231F20"/>
          <w:spacing w:val="-4"/>
          <w:w w:val="105"/>
        </w:rPr>
        <w:t>most </w:t>
      </w:r>
      <w:r>
        <w:rPr>
          <w:color w:val="231F20"/>
          <w:w w:val="105"/>
        </w:rPr>
        <w:t>powerful sodium-retaining hormone. As discussed in Chapter</w:t>
      </w:r>
      <w:r>
        <w:rPr>
          <w:color w:val="231F20"/>
          <w:spacing w:val="-19"/>
          <w:w w:val="105"/>
        </w:rPr>
        <w:t> </w:t>
      </w:r>
      <w:r>
        <w:rPr>
          <w:color w:val="231F20"/>
          <w:w w:val="105"/>
        </w:rPr>
        <w:t>19,</w:t>
      </w:r>
      <w:r>
        <w:rPr>
          <w:color w:val="231F20"/>
          <w:spacing w:val="-19"/>
          <w:w w:val="105"/>
        </w:rPr>
        <w:t> </w:t>
      </w:r>
      <w:r>
        <w:rPr>
          <w:color w:val="231F20"/>
          <w:w w:val="105"/>
        </w:rPr>
        <w:t>angiotensin</w:t>
      </w:r>
      <w:r>
        <w:rPr>
          <w:color w:val="231F20"/>
          <w:spacing w:val="-18"/>
          <w:w w:val="105"/>
        </w:rPr>
        <w:t> </w:t>
      </w:r>
      <w:r>
        <w:rPr>
          <w:color w:val="231F20"/>
          <w:w w:val="105"/>
        </w:rPr>
        <w:t>II</w:t>
      </w:r>
      <w:r>
        <w:rPr>
          <w:color w:val="231F20"/>
          <w:spacing w:val="-19"/>
          <w:w w:val="105"/>
        </w:rPr>
        <w:t> </w:t>
      </w:r>
      <w:r>
        <w:rPr>
          <w:color w:val="231F20"/>
          <w:w w:val="105"/>
        </w:rPr>
        <w:t>formation</w:t>
      </w:r>
      <w:r>
        <w:rPr>
          <w:color w:val="231F20"/>
          <w:spacing w:val="-18"/>
          <w:w w:val="105"/>
        </w:rPr>
        <w:t> </w:t>
      </w:r>
      <w:r>
        <w:rPr>
          <w:color w:val="231F20"/>
          <w:w w:val="105"/>
        </w:rPr>
        <w:t>increases</w:t>
      </w:r>
      <w:r>
        <w:rPr>
          <w:color w:val="231F20"/>
          <w:spacing w:val="-19"/>
          <w:w w:val="105"/>
        </w:rPr>
        <w:t> </w:t>
      </w:r>
      <w:r>
        <w:rPr>
          <w:color w:val="231F20"/>
          <w:w w:val="105"/>
        </w:rPr>
        <w:t>in</w:t>
      </w:r>
      <w:r>
        <w:rPr>
          <w:color w:val="231F20"/>
          <w:spacing w:val="-18"/>
          <w:w w:val="105"/>
        </w:rPr>
        <w:t> </w:t>
      </w:r>
      <w:r>
        <w:rPr>
          <w:color w:val="231F20"/>
          <w:spacing w:val="-3"/>
          <w:w w:val="105"/>
        </w:rPr>
        <w:t>circum- </w:t>
      </w:r>
      <w:r>
        <w:rPr>
          <w:color w:val="231F20"/>
          <w:w w:val="105"/>
        </w:rPr>
        <w:t>stances associated with low blood pressure and/or </w:t>
      </w:r>
      <w:r>
        <w:rPr>
          <w:color w:val="231F20"/>
          <w:spacing w:val="-5"/>
          <w:w w:val="105"/>
        </w:rPr>
        <w:t>low </w:t>
      </w:r>
      <w:r>
        <w:rPr>
          <w:color w:val="231F20"/>
          <w:w w:val="105"/>
        </w:rPr>
        <w:t>extracellular</w:t>
      </w:r>
      <w:r>
        <w:rPr>
          <w:color w:val="231F20"/>
          <w:spacing w:val="-16"/>
          <w:w w:val="105"/>
        </w:rPr>
        <w:t> </w:t>
      </w:r>
      <w:r>
        <w:rPr>
          <w:color w:val="231F20"/>
          <w:w w:val="105"/>
        </w:rPr>
        <w:t>fluid</w:t>
      </w:r>
      <w:r>
        <w:rPr>
          <w:color w:val="231F20"/>
          <w:spacing w:val="-16"/>
          <w:w w:val="105"/>
        </w:rPr>
        <w:t> </w:t>
      </w:r>
      <w:r>
        <w:rPr>
          <w:color w:val="231F20"/>
          <w:w w:val="105"/>
        </w:rPr>
        <w:t>volume,</w:t>
      </w:r>
      <w:r>
        <w:rPr>
          <w:color w:val="231F20"/>
          <w:spacing w:val="-15"/>
          <w:w w:val="105"/>
        </w:rPr>
        <w:t> </w:t>
      </w:r>
      <w:r>
        <w:rPr>
          <w:color w:val="231F20"/>
          <w:w w:val="105"/>
        </w:rPr>
        <w:t>such</w:t>
      </w:r>
      <w:r>
        <w:rPr>
          <w:color w:val="231F20"/>
          <w:spacing w:val="-16"/>
          <w:w w:val="105"/>
        </w:rPr>
        <w:t> </w:t>
      </w:r>
      <w:r>
        <w:rPr>
          <w:color w:val="231F20"/>
          <w:w w:val="105"/>
        </w:rPr>
        <w:t>as</w:t>
      </w:r>
      <w:r>
        <w:rPr>
          <w:color w:val="231F20"/>
          <w:spacing w:val="-15"/>
          <w:w w:val="105"/>
        </w:rPr>
        <w:t> </w:t>
      </w:r>
      <w:r>
        <w:rPr>
          <w:color w:val="231F20"/>
          <w:w w:val="105"/>
        </w:rPr>
        <w:t>during</w:t>
      </w:r>
      <w:r>
        <w:rPr>
          <w:color w:val="231F20"/>
          <w:spacing w:val="-16"/>
          <w:w w:val="105"/>
        </w:rPr>
        <w:t> </w:t>
      </w:r>
      <w:r>
        <w:rPr>
          <w:color w:val="231F20"/>
          <w:w w:val="105"/>
        </w:rPr>
        <w:t>hemorrhage</w:t>
      </w:r>
      <w:r>
        <w:rPr>
          <w:color w:val="231F20"/>
          <w:spacing w:val="-15"/>
          <w:w w:val="105"/>
        </w:rPr>
        <w:t> </w:t>
      </w:r>
      <w:r>
        <w:rPr>
          <w:color w:val="231F20"/>
          <w:w w:val="105"/>
        </w:rPr>
        <w:t>or loss of salt and water from the body fluids by excessive sweating or severe diarrhea. The increased formation</w:t>
      </w:r>
      <w:r>
        <w:rPr>
          <w:color w:val="231F20"/>
          <w:spacing w:val="-17"/>
          <w:w w:val="105"/>
        </w:rPr>
        <w:t> </w:t>
      </w:r>
      <w:r>
        <w:rPr>
          <w:color w:val="231F20"/>
          <w:w w:val="105"/>
        </w:rPr>
        <w:t>of angiotensin II helps to return blood pressure and </w:t>
      </w:r>
      <w:r>
        <w:rPr>
          <w:color w:val="231F20"/>
          <w:spacing w:val="-4"/>
          <w:w w:val="105"/>
        </w:rPr>
        <w:t>extra- </w:t>
      </w:r>
      <w:r>
        <w:rPr>
          <w:color w:val="231F20"/>
          <w:w w:val="105"/>
        </w:rPr>
        <w:t>cellular</w:t>
      </w:r>
      <w:r>
        <w:rPr>
          <w:color w:val="231F20"/>
          <w:spacing w:val="-18"/>
          <w:w w:val="105"/>
        </w:rPr>
        <w:t> </w:t>
      </w:r>
      <w:r>
        <w:rPr>
          <w:color w:val="231F20"/>
          <w:w w:val="105"/>
        </w:rPr>
        <w:t>volume</w:t>
      </w:r>
      <w:r>
        <w:rPr>
          <w:color w:val="231F20"/>
          <w:spacing w:val="-18"/>
          <w:w w:val="105"/>
        </w:rPr>
        <w:t> </w:t>
      </w:r>
      <w:r>
        <w:rPr>
          <w:color w:val="231F20"/>
          <w:w w:val="105"/>
        </w:rPr>
        <w:t>toward</w:t>
      </w:r>
      <w:r>
        <w:rPr>
          <w:color w:val="231F20"/>
          <w:spacing w:val="-18"/>
          <w:w w:val="105"/>
        </w:rPr>
        <w:t> </w:t>
      </w:r>
      <w:r>
        <w:rPr>
          <w:color w:val="231F20"/>
          <w:w w:val="105"/>
        </w:rPr>
        <w:t>normal</w:t>
      </w:r>
      <w:r>
        <w:rPr>
          <w:color w:val="231F20"/>
          <w:spacing w:val="-18"/>
          <w:w w:val="105"/>
        </w:rPr>
        <w:t> </w:t>
      </w:r>
      <w:r>
        <w:rPr>
          <w:color w:val="231F20"/>
          <w:w w:val="105"/>
        </w:rPr>
        <w:t>by</w:t>
      </w:r>
      <w:r>
        <w:rPr>
          <w:color w:val="231F20"/>
          <w:spacing w:val="-18"/>
          <w:w w:val="105"/>
        </w:rPr>
        <w:t> </w:t>
      </w:r>
      <w:r>
        <w:rPr>
          <w:color w:val="231F20"/>
          <w:w w:val="105"/>
        </w:rPr>
        <w:t>increasing</w:t>
      </w:r>
      <w:r>
        <w:rPr>
          <w:color w:val="231F20"/>
          <w:spacing w:val="-18"/>
          <w:w w:val="105"/>
        </w:rPr>
        <w:t> </w:t>
      </w:r>
      <w:r>
        <w:rPr>
          <w:color w:val="231F20"/>
          <w:w w:val="105"/>
        </w:rPr>
        <w:t>sodium</w:t>
      </w:r>
      <w:r>
        <w:rPr>
          <w:color w:val="231F20"/>
          <w:spacing w:val="-18"/>
          <w:w w:val="105"/>
        </w:rPr>
        <w:t> </w:t>
      </w:r>
      <w:r>
        <w:rPr>
          <w:color w:val="231F20"/>
          <w:w w:val="105"/>
        </w:rPr>
        <w:t>and water reabsorption from the renal tubules through </w:t>
      </w:r>
      <w:r>
        <w:rPr>
          <w:color w:val="231F20"/>
          <w:spacing w:val="-4"/>
          <w:w w:val="105"/>
        </w:rPr>
        <w:t>three </w:t>
      </w:r>
      <w:r>
        <w:rPr>
          <w:color w:val="231F20"/>
          <w:w w:val="105"/>
        </w:rPr>
        <w:t>main</w:t>
      </w:r>
      <w:r>
        <w:rPr>
          <w:color w:val="231F20"/>
          <w:spacing w:val="2"/>
          <w:w w:val="105"/>
        </w:rPr>
        <w:t> </w:t>
      </w:r>
      <w:r>
        <w:rPr>
          <w:color w:val="231F20"/>
          <w:w w:val="105"/>
        </w:rPr>
        <w:t>effects:</w:t>
      </w:r>
    </w:p>
    <w:p>
      <w:pPr>
        <w:pStyle w:val="ListParagraph"/>
        <w:numPr>
          <w:ilvl w:val="1"/>
          <w:numId w:val="18"/>
        </w:numPr>
        <w:tabs>
          <w:tab w:pos="1923" w:val="left" w:leader="none"/>
        </w:tabs>
        <w:spacing w:line="240" w:lineRule="auto" w:before="11" w:after="0"/>
        <w:ind w:left="1922" w:right="0" w:hanging="243"/>
        <w:jc w:val="both"/>
        <w:rPr>
          <w:i/>
          <w:sz w:val="20"/>
        </w:rPr>
      </w:pPr>
      <w:r>
        <w:rPr>
          <w:i/>
          <w:color w:val="231F20"/>
          <w:sz w:val="20"/>
        </w:rPr>
        <w:t>Angiotensin II stimulates aldosterone</w:t>
      </w:r>
      <w:r>
        <w:rPr>
          <w:i/>
          <w:color w:val="231F20"/>
          <w:spacing w:val="1"/>
          <w:sz w:val="20"/>
        </w:rPr>
        <w:t> </w:t>
      </w:r>
      <w:r>
        <w:rPr>
          <w:i/>
          <w:color w:val="231F20"/>
          <w:sz w:val="20"/>
        </w:rPr>
        <w:t>secretion,</w:t>
      </w:r>
    </w:p>
    <w:p>
      <w:pPr>
        <w:pStyle w:val="BodyText"/>
        <w:spacing w:before="10"/>
        <w:ind w:left="1922"/>
        <w:jc w:val="both"/>
      </w:pPr>
      <w:r>
        <w:rPr>
          <w:color w:val="231F20"/>
          <w:w w:val="105"/>
        </w:rPr>
        <w:t>which in turn increases sodium reabsorption.</w:t>
      </w:r>
    </w:p>
    <w:p>
      <w:pPr>
        <w:pStyle w:val="ListParagraph"/>
        <w:numPr>
          <w:ilvl w:val="1"/>
          <w:numId w:val="18"/>
        </w:numPr>
        <w:tabs>
          <w:tab w:pos="802" w:val="left" w:leader="none"/>
        </w:tabs>
        <w:spacing w:line="249" w:lineRule="auto" w:before="100" w:after="0"/>
        <w:ind w:left="801" w:right="1077" w:hanging="243"/>
        <w:jc w:val="both"/>
        <w:rPr>
          <w:sz w:val="20"/>
        </w:rPr>
      </w:pPr>
      <w:r>
        <w:rPr>
          <w:i/>
          <w:color w:val="231F20"/>
          <w:spacing w:val="-4"/>
          <w:w w:val="110"/>
          <w:sz w:val="20"/>
        </w:rPr>
        <w:br w:type="column"/>
      </w:r>
      <w:r>
        <w:rPr>
          <w:i/>
          <w:color w:val="231F20"/>
          <w:w w:val="105"/>
          <w:sz w:val="20"/>
        </w:rPr>
        <w:t>Angiotensin II constricts the efferent arterioles, </w:t>
      </w:r>
      <w:r>
        <w:rPr>
          <w:color w:val="231F20"/>
          <w:w w:val="105"/>
          <w:sz w:val="20"/>
        </w:rPr>
        <w:t>which has two effects on peritubular capillary dynamics</w:t>
      </w:r>
      <w:r>
        <w:rPr>
          <w:color w:val="231F20"/>
          <w:spacing w:val="-20"/>
          <w:w w:val="105"/>
          <w:sz w:val="20"/>
        </w:rPr>
        <w:t> </w:t>
      </w:r>
      <w:r>
        <w:rPr>
          <w:color w:val="231F20"/>
          <w:w w:val="105"/>
          <w:sz w:val="20"/>
        </w:rPr>
        <w:t>that</w:t>
      </w:r>
      <w:r>
        <w:rPr>
          <w:color w:val="231F20"/>
          <w:spacing w:val="-20"/>
          <w:w w:val="105"/>
          <w:sz w:val="20"/>
        </w:rPr>
        <w:t> </w:t>
      </w:r>
      <w:r>
        <w:rPr>
          <w:color w:val="231F20"/>
          <w:w w:val="105"/>
          <w:sz w:val="20"/>
        </w:rPr>
        <w:t>increase</w:t>
      </w:r>
      <w:r>
        <w:rPr>
          <w:color w:val="231F20"/>
          <w:spacing w:val="-20"/>
          <w:w w:val="105"/>
          <w:sz w:val="20"/>
        </w:rPr>
        <w:t> </w:t>
      </w:r>
      <w:r>
        <w:rPr>
          <w:color w:val="231F20"/>
          <w:w w:val="105"/>
          <w:sz w:val="20"/>
        </w:rPr>
        <w:t>sodium</w:t>
      </w:r>
      <w:r>
        <w:rPr>
          <w:color w:val="231F20"/>
          <w:spacing w:val="-19"/>
          <w:w w:val="105"/>
          <w:sz w:val="20"/>
        </w:rPr>
        <w:t> </w:t>
      </w:r>
      <w:r>
        <w:rPr>
          <w:color w:val="231F20"/>
          <w:w w:val="105"/>
          <w:sz w:val="20"/>
        </w:rPr>
        <w:t>and</w:t>
      </w:r>
      <w:r>
        <w:rPr>
          <w:color w:val="231F20"/>
          <w:spacing w:val="-20"/>
          <w:w w:val="105"/>
          <w:sz w:val="20"/>
        </w:rPr>
        <w:t> </w:t>
      </w:r>
      <w:r>
        <w:rPr>
          <w:color w:val="231F20"/>
          <w:w w:val="105"/>
          <w:sz w:val="20"/>
        </w:rPr>
        <w:t>water</w:t>
      </w:r>
      <w:r>
        <w:rPr>
          <w:color w:val="231F20"/>
          <w:spacing w:val="-20"/>
          <w:w w:val="105"/>
          <w:sz w:val="20"/>
        </w:rPr>
        <w:t> </w:t>
      </w:r>
      <w:r>
        <w:rPr>
          <w:color w:val="231F20"/>
          <w:w w:val="105"/>
          <w:sz w:val="20"/>
        </w:rPr>
        <w:t>reabsorp- tion. First, efferent arteriolar constriction reduces peritubular capillary hydrostatic pressure, </w:t>
      </w:r>
      <w:r>
        <w:rPr>
          <w:color w:val="231F20"/>
          <w:spacing w:val="-4"/>
          <w:w w:val="105"/>
          <w:sz w:val="20"/>
        </w:rPr>
        <w:t>which </w:t>
      </w:r>
      <w:r>
        <w:rPr>
          <w:color w:val="231F20"/>
          <w:w w:val="105"/>
          <w:sz w:val="20"/>
        </w:rPr>
        <w:t>increases</w:t>
      </w:r>
      <w:r>
        <w:rPr>
          <w:color w:val="231F20"/>
          <w:spacing w:val="-9"/>
          <w:w w:val="105"/>
          <w:sz w:val="20"/>
        </w:rPr>
        <w:t> </w:t>
      </w:r>
      <w:r>
        <w:rPr>
          <w:color w:val="231F20"/>
          <w:w w:val="105"/>
          <w:sz w:val="20"/>
        </w:rPr>
        <w:t>net</w:t>
      </w:r>
      <w:r>
        <w:rPr>
          <w:color w:val="231F20"/>
          <w:spacing w:val="-8"/>
          <w:w w:val="105"/>
          <w:sz w:val="20"/>
        </w:rPr>
        <w:t> </w:t>
      </w:r>
      <w:r>
        <w:rPr>
          <w:color w:val="231F20"/>
          <w:w w:val="105"/>
          <w:sz w:val="20"/>
        </w:rPr>
        <w:t>tubular</w:t>
      </w:r>
      <w:r>
        <w:rPr>
          <w:color w:val="231F20"/>
          <w:spacing w:val="-9"/>
          <w:w w:val="105"/>
          <w:sz w:val="20"/>
        </w:rPr>
        <w:t> </w:t>
      </w:r>
      <w:r>
        <w:rPr>
          <w:color w:val="231F20"/>
          <w:w w:val="105"/>
          <w:sz w:val="20"/>
        </w:rPr>
        <w:t>reabsorption,</w:t>
      </w:r>
      <w:r>
        <w:rPr>
          <w:color w:val="231F20"/>
          <w:spacing w:val="-8"/>
          <w:w w:val="105"/>
          <w:sz w:val="20"/>
        </w:rPr>
        <w:t> </w:t>
      </w:r>
      <w:r>
        <w:rPr>
          <w:color w:val="231F20"/>
          <w:w w:val="105"/>
          <w:sz w:val="20"/>
        </w:rPr>
        <w:t>especially</w:t>
      </w:r>
      <w:r>
        <w:rPr>
          <w:color w:val="231F20"/>
          <w:spacing w:val="-8"/>
          <w:w w:val="105"/>
          <w:sz w:val="20"/>
        </w:rPr>
        <w:t> </w:t>
      </w:r>
      <w:r>
        <w:rPr>
          <w:color w:val="231F20"/>
          <w:w w:val="105"/>
          <w:sz w:val="20"/>
        </w:rPr>
        <w:t>from the proximal tubules. Second, efferent arteriolar constriction, by reducing renal blood </w:t>
      </w:r>
      <w:r>
        <w:rPr>
          <w:color w:val="231F20"/>
          <w:spacing w:val="-3"/>
          <w:w w:val="105"/>
          <w:sz w:val="20"/>
        </w:rPr>
        <w:t>flow, </w:t>
      </w:r>
      <w:r>
        <w:rPr>
          <w:color w:val="231F20"/>
          <w:w w:val="105"/>
          <w:sz w:val="20"/>
        </w:rPr>
        <w:t>raises filtration fraction in the glomerulus and increases the concentration of proteins and the </w:t>
      </w:r>
      <w:r>
        <w:rPr>
          <w:color w:val="231F20"/>
          <w:spacing w:val="-3"/>
          <w:w w:val="105"/>
          <w:sz w:val="20"/>
        </w:rPr>
        <w:t>colloid </w:t>
      </w:r>
      <w:r>
        <w:rPr>
          <w:color w:val="231F20"/>
          <w:w w:val="105"/>
          <w:sz w:val="20"/>
        </w:rPr>
        <w:t>osmotic</w:t>
      </w:r>
      <w:r>
        <w:rPr>
          <w:color w:val="231F20"/>
          <w:spacing w:val="-10"/>
          <w:w w:val="105"/>
          <w:sz w:val="20"/>
        </w:rPr>
        <w:t> </w:t>
      </w:r>
      <w:r>
        <w:rPr>
          <w:color w:val="231F20"/>
          <w:w w:val="105"/>
          <w:sz w:val="20"/>
        </w:rPr>
        <w:t>pressure</w:t>
      </w:r>
      <w:r>
        <w:rPr>
          <w:color w:val="231F20"/>
          <w:spacing w:val="-9"/>
          <w:w w:val="105"/>
          <w:sz w:val="20"/>
        </w:rPr>
        <w:t> </w:t>
      </w:r>
      <w:r>
        <w:rPr>
          <w:color w:val="231F20"/>
          <w:w w:val="105"/>
          <w:sz w:val="20"/>
        </w:rPr>
        <w:t>in</w:t>
      </w:r>
      <w:r>
        <w:rPr>
          <w:color w:val="231F20"/>
          <w:spacing w:val="-9"/>
          <w:w w:val="105"/>
          <w:sz w:val="20"/>
        </w:rPr>
        <w:t> </w:t>
      </w:r>
      <w:r>
        <w:rPr>
          <w:color w:val="231F20"/>
          <w:w w:val="105"/>
          <w:sz w:val="20"/>
        </w:rPr>
        <w:t>the</w:t>
      </w:r>
      <w:r>
        <w:rPr>
          <w:color w:val="231F20"/>
          <w:spacing w:val="-9"/>
          <w:w w:val="105"/>
          <w:sz w:val="20"/>
        </w:rPr>
        <w:t> </w:t>
      </w:r>
      <w:r>
        <w:rPr>
          <w:color w:val="231F20"/>
          <w:w w:val="105"/>
          <w:sz w:val="20"/>
        </w:rPr>
        <w:t>peritubular</w:t>
      </w:r>
      <w:r>
        <w:rPr>
          <w:color w:val="231F20"/>
          <w:spacing w:val="-9"/>
          <w:w w:val="105"/>
          <w:sz w:val="20"/>
        </w:rPr>
        <w:t> </w:t>
      </w:r>
      <w:r>
        <w:rPr>
          <w:color w:val="231F20"/>
          <w:w w:val="105"/>
          <w:sz w:val="20"/>
        </w:rPr>
        <w:t>capillaries;</w:t>
      </w:r>
      <w:r>
        <w:rPr>
          <w:color w:val="231F20"/>
          <w:spacing w:val="-9"/>
          <w:w w:val="105"/>
          <w:sz w:val="20"/>
        </w:rPr>
        <w:t> </w:t>
      </w:r>
      <w:r>
        <w:rPr>
          <w:color w:val="231F20"/>
          <w:w w:val="105"/>
          <w:sz w:val="20"/>
        </w:rPr>
        <w:t>this mechanism increases the reabsorptive force at the peritubular capillaries and raises tubular</w:t>
      </w:r>
      <w:r>
        <w:rPr>
          <w:color w:val="231F20"/>
          <w:spacing w:val="-24"/>
          <w:w w:val="105"/>
          <w:sz w:val="20"/>
        </w:rPr>
        <w:t> </w:t>
      </w:r>
      <w:r>
        <w:rPr>
          <w:color w:val="231F20"/>
          <w:w w:val="105"/>
          <w:sz w:val="20"/>
        </w:rPr>
        <w:t>reabsorp- tion of sodium and</w:t>
      </w:r>
      <w:r>
        <w:rPr>
          <w:color w:val="231F20"/>
          <w:spacing w:val="11"/>
          <w:w w:val="105"/>
          <w:sz w:val="20"/>
        </w:rPr>
        <w:t> </w:t>
      </w:r>
      <w:r>
        <w:rPr>
          <w:color w:val="231F20"/>
          <w:spacing w:val="-3"/>
          <w:w w:val="105"/>
          <w:sz w:val="20"/>
        </w:rPr>
        <w:t>water.</w:t>
      </w:r>
    </w:p>
    <w:p>
      <w:pPr>
        <w:pStyle w:val="ListParagraph"/>
        <w:numPr>
          <w:ilvl w:val="1"/>
          <w:numId w:val="18"/>
        </w:numPr>
        <w:tabs>
          <w:tab w:pos="802" w:val="left" w:leader="none"/>
        </w:tabs>
        <w:spacing w:line="249" w:lineRule="auto" w:before="11" w:after="0"/>
        <w:ind w:left="801" w:right="1077" w:hanging="243"/>
        <w:jc w:val="both"/>
        <w:rPr>
          <w:sz w:val="20"/>
        </w:rPr>
      </w:pPr>
      <w:r>
        <w:rPr/>
        <w:pict>
          <v:rect style="position:absolute;margin-left:576pt;margin-top:-27.464039pt;width:36pt;height:24pt;mso-position-horizontal-relative:page;mso-position-vertical-relative:paragraph;z-index:252274688" filled="true" fillcolor="#e8dac8" stroked="false">
            <v:fill type="solid"/>
            <w10:wrap type="none"/>
          </v:rect>
        </w:pict>
      </w:r>
      <w:r>
        <w:rPr/>
        <w:pict>
          <v:shape style="position:absolute;margin-left:578.900024pt;margin-top:-103.80674pt;width:15.9pt;height:53.35pt;mso-position-horizontal-relative:page;mso-position-vertical-relative:paragraph;z-index:25227571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i/>
          <w:color w:val="231F20"/>
          <w:w w:val="105"/>
          <w:sz w:val="20"/>
        </w:rPr>
        <w:t>Angiotensin</w:t>
      </w:r>
      <w:r>
        <w:rPr>
          <w:i/>
          <w:color w:val="231F20"/>
          <w:spacing w:val="-28"/>
          <w:w w:val="105"/>
          <w:sz w:val="20"/>
        </w:rPr>
        <w:t> </w:t>
      </w:r>
      <w:r>
        <w:rPr>
          <w:i/>
          <w:color w:val="231F20"/>
          <w:w w:val="105"/>
          <w:sz w:val="20"/>
        </w:rPr>
        <w:t>II</w:t>
      </w:r>
      <w:r>
        <w:rPr>
          <w:i/>
          <w:color w:val="231F20"/>
          <w:spacing w:val="-28"/>
          <w:w w:val="105"/>
          <w:sz w:val="20"/>
        </w:rPr>
        <w:t> </w:t>
      </w:r>
      <w:r>
        <w:rPr>
          <w:i/>
          <w:color w:val="231F20"/>
          <w:w w:val="105"/>
          <w:sz w:val="20"/>
        </w:rPr>
        <w:t>directly</w:t>
      </w:r>
      <w:r>
        <w:rPr>
          <w:i/>
          <w:color w:val="231F20"/>
          <w:spacing w:val="-28"/>
          <w:w w:val="105"/>
          <w:sz w:val="20"/>
        </w:rPr>
        <w:t> </w:t>
      </w:r>
      <w:r>
        <w:rPr>
          <w:i/>
          <w:color w:val="231F20"/>
          <w:w w:val="105"/>
          <w:sz w:val="20"/>
        </w:rPr>
        <w:t>stimulates</w:t>
      </w:r>
      <w:r>
        <w:rPr>
          <w:i/>
          <w:color w:val="231F20"/>
          <w:spacing w:val="-28"/>
          <w:w w:val="105"/>
          <w:sz w:val="20"/>
        </w:rPr>
        <w:t> </w:t>
      </w:r>
      <w:r>
        <w:rPr>
          <w:i/>
          <w:color w:val="231F20"/>
          <w:w w:val="105"/>
          <w:sz w:val="20"/>
        </w:rPr>
        <w:t>sodium</w:t>
      </w:r>
      <w:r>
        <w:rPr>
          <w:i/>
          <w:color w:val="231F20"/>
          <w:spacing w:val="-28"/>
          <w:w w:val="105"/>
          <w:sz w:val="20"/>
        </w:rPr>
        <w:t> </w:t>
      </w:r>
      <w:r>
        <w:rPr>
          <w:i/>
          <w:color w:val="231F20"/>
          <w:w w:val="105"/>
          <w:sz w:val="20"/>
        </w:rPr>
        <w:t>reabsorp- </w:t>
      </w:r>
      <w:r>
        <w:rPr>
          <w:i/>
          <w:color w:val="231F20"/>
          <w:w w:val="105"/>
          <w:sz w:val="20"/>
        </w:rPr>
        <w:t>tion</w:t>
      </w:r>
      <w:r>
        <w:rPr>
          <w:i/>
          <w:color w:val="231F20"/>
          <w:spacing w:val="-14"/>
          <w:w w:val="105"/>
          <w:sz w:val="20"/>
        </w:rPr>
        <w:t> </w:t>
      </w:r>
      <w:r>
        <w:rPr>
          <w:i/>
          <w:color w:val="231F20"/>
          <w:w w:val="105"/>
          <w:sz w:val="20"/>
        </w:rPr>
        <w:t>in</w:t>
      </w:r>
      <w:r>
        <w:rPr>
          <w:i/>
          <w:color w:val="231F20"/>
          <w:spacing w:val="-13"/>
          <w:w w:val="105"/>
          <w:sz w:val="20"/>
        </w:rPr>
        <w:t> </w:t>
      </w:r>
      <w:r>
        <w:rPr>
          <w:i/>
          <w:color w:val="231F20"/>
          <w:w w:val="105"/>
          <w:sz w:val="20"/>
        </w:rPr>
        <w:t>the</w:t>
      </w:r>
      <w:r>
        <w:rPr>
          <w:i/>
          <w:color w:val="231F20"/>
          <w:spacing w:val="-13"/>
          <w:w w:val="105"/>
          <w:sz w:val="20"/>
        </w:rPr>
        <w:t> </w:t>
      </w:r>
      <w:r>
        <w:rPr>
          <w:i/>
          <w:color w:val="231F20"/>
          <w:w w:val="105"/>
          <w:sz w:val="20"/>
        </w:rPr>
        <w:t>proximal</w:t>
      </w:r>
      <w:r>
        <w:rPr>
          <w:i/>
          <w:color w:val="231F20"/>
          <w:spacing w:val="-14"/>
          <w:w w:val="105"/>
          <w:sz w:val="20"/>
        </w:rPr>
        <w:t> </w:t>
      </w:r>
      <w:r>
        <w:rPr>
          <w:i/>
          <w:color w:val="231F20"/>
          <w:w w:val="105"/>
          <w:sz w:val="20"/>
        </w:rPr>
        <w:t>tubules</w:t>
      </w:r>
      <w:r>
        <w:rPr>
          <w:color w:val="231F20"/>
          <w:w w:val="105"/>
          <w:sz w:val="20"/>
        </w:rPr>
        <w:t>,</w:t>
      </w:r>
      <w:r>
        <w:rPr>
          <w:color w:val="231F20"/>
          <w:spacing w:val="-13"/>
          <w:w w:val="105"/>
          <w:sz w:val="20"/>
        </w:rPr>
        <w:t> </w:t>
      </w:r>
      <w:r>
        <w:rPr>
          <w:i/>
          <w:color w:val="231F20"/>
          <w:w w:val="105"/>
          <w:sz w:val="20"/>
        </w:rPr>
        <w:t>the</w:t>
      </w:r>
      <w:r>
        <w:rPr>
          <w:i/>
          <w:color w:val="231F20"/>
          <w:spacing w:val="-13"/>
          <w:w w:val="105"/>
          <w:sz w:val="20"/>
        </w:rPr>
        <w:t> </w:t>
      </w:r>
      <w:r>
        <w:rPr>
          <w:i/>
          <w:color w:val="231F20"/>
          <w:w w:val="105"/>
          <w:sz w:val="20"/>
        </w:rPr>
        <w:t>loops</w:t>
      </w:r>
      <w:r>
        <w:rPr>
          <w:i/>
          <w:color w:val="231F20"/>
          <w:spacing w:val="-14"/>
          <w:w w:val="105"/>
          <w:sz w:val="20"/>
        </w:rPr>
        <w:t> </w:t>
      </w:r>
      <w:r>
        <w:rPr>
          <w:i/>
          <w:color w:val="231F20"/>
          <w:w w:val="105"/>
          <w:sz w:val="20"/>
        </w:rPr>
        <w:t>of</w:t>
      </w:r>
      <w:r>
        <w:rPr>
          <w:i/>
          <w:color w:val="231F20"/>
          <w:spacing w:val="-13"/>
          <w:w w:val="105"/>
          <w:sz w:val="20"/>
        </w:rPr>
        <w:t> </w:t>
      </w:r>
      <w:r>
        <w:rPr>
          <w:i/>
          <w:color w:val="231F20"/>
          <w:w w:val="105"/>
          <w:sz w:val="20"/>
        </w:rPr>
        <w:t>Henle</w:t>
      </w:r>
      <w:r>
        <w:rPr>
          <w:color w:val="231F20"/>
          <w:w w:val="105"/>
          <w:sz w:val="20"/>
        </w:rPr>
        <w:t>,</w:t>
      </w:r>
      <w:r>
        <w:rPr>
          <w:color w:val="231F20"/>
          <w:spacing w:val="-13"/>
          <w:w w:val="105"/>
          <w:sz w:val="20"/>
        </w:rPr>
        <w:t> </w:t>
      </w:r>
      <w:r>
        <w:rPr>
          <w:i/>
          <w:color w:val="231F20"/>
          <w:spacing w:val="-5"/>
          <w:w w:val="105"/>
          <w:sz w:val="20"/>
        </w:rPr>
        <w:t>the </w:t>
      </w:r>
      <w:r>
        <w:rPr>
          <w:i/>
          <w:color w:val="231F20"/>
          <w:w w:val="105"/>
          <w:sz w:val="20"/>
        </w:rPr>
        <w:t>distal</w:t>
      </w:r>
      <w:r>
        <w:rPr>
          <w:i/>
          <w:color w:val="231F20"/>
          <w:spacing w:val="-25"/>
          <w:w w:val="105"/>
          <w:sz w:val="20"/>
        </w:rPr>
        <w:t> </w:t>
      </w:r>
      <w:r>
        <w:rPr>
          <w:i/>
          <w:color w:val="231F20"/>
          <w:w w:val="105"/>
          <w:sz w:val="20"/>
        </w:rPr>
        <w:t>tubules</w:t>
      </w:r>
      <w:r>
        <w:rPr>
          <w:color w:val="231F20"/>
          <w:w w:val="105"/>
          <w:sz w:val="20"/>
        </w:rPr>
        <w:t>,</w:t>
      </w:r>
      <w:r>
        <w:rPr>
          <w:color w:val="231F20"/>
          <w:spacing w:val="-24"/>
          <w:w w:val="105"/>
          <w:sz w:val="20"/>
        </w:rPr>
        <w:t> </w:t>
      </w:r>
      <w:r>
        <w:rPr>
          <w:i/>
          <w:color w:val="231F20"/>
          <w:w w:val="105"/>
          <w:sz w:val="20"/>
        </w:rPr>
        <w:t>and</w:t>
      </w:r>
      <w:r>
        <w:rPr>
          <w:i/>
          <w:color w:val="231F20"/>
          <w:spacing w:val="-24"/>
          <w:w w:val="105"/>
          <w:sz w:val="20"/>
        </w:rPr>
        <w:t> </w:t>
      </w:r>
      <w:r>
        <w:rPr>
          <w:i/>
          <w:color w:val="231F20"/>
          <w:w w:val="105"/>
          <w:sz w:val="20"/>
        </w:rPr>
        <w:t>the</w:t>
      </w:r>
      <w:r>
        <w:rPr>
          <w:i/>
          <w:color w:val="231F20"/>
          <w:spacing w:val="-24"/>
          <w:w w:val="105"/>
          <w:sz w:val="20"/>
        </w:rPr>
        <w:t> </w:t>
      </w:r>
      <w:r>
        <w:rPr>
          <w:i/>
          <w:color w:val="231F20"/>
          <w:w w:val="105"/>
          <w:sz w:val="20"/>
        </w:rPr>
        <w:t>collecting</w:t>
      </w:r>
      <w:r>
        <w:rPr>
          <w:i/>
          <w:color w:val="231F20"/>
          <w:spacing w:val="-24"/>
          <w:w w:val="105"/>
          <w:sz w:val="20"/>
        </w:rPr>
        <w:t> </w:t>
      </w:r>
      <w:r>
        <w:rPr>
          <w:i/>
          <w:color w:val="231F20"/>
          <w:w w:val="105"/>
          <w:sz w:val="20"/>
        </w:rPr>
        <w:t>tubules.</w:t>
      </w:r>
      <w:r>
        <w:rPr>
          <w:i/>
          <w:color w:val="231F20"/>
          <w:spacing w:val="-24"/>
          <w:w w:val="105"/>
          <w:sz w:val="20"/>
        </w:rPr>
        <w:t> </w:t>
      </w:r>
      <w:r>
        <w:rPr>
          <w:color w:val="231F20"/>
          <w:w w:val="105"/>
          <w:sz w:val="20"/>
        </w:rPr>
        <w:t>One</w:t>
      </w:r>
      <w:r>
        <w:rPr>
          <w:color w:val="231F20"/>
          <w:spacing w:val="-24"/>
          <w:w w:val="105"/>
          <w:sz w:val="20"/>
        </w:rPr>
        <w:t> </w:t>
      </w:r>
      <w:r>
        <w:rPr>
          <w:color w:val="231F20"/>
          <w:w w:val="105"/>
          <w:sz w:val="20"/>
        </w:rPr>
        <w:t>of</w:t>
      </w:r>
      <w:r>
        <w:rPr>
          <w:color w:val="231F20"/>
          <w:spacing w:val="-24"/>
          <w:w w:val="105"/>
          <w:sz w:val="20"/>
        </w:rPr>
        <w:t> </w:t>
      </w:r>
      <w:r>
        <w:rPr>
          <w:color w:val="231F20"/>
          <w:w w:val="105"/>
          <w:sz w:val="20"/>
        </w:rPr>
        <w:t>the direct effects of angiotensin II is to stimulate the sodium-potassium ATPase pump on the tubular epithelial cell basolateral membrane. A second effect</w:t>
      </w:r>
      <w:r>
        <w:rPr>
          <w:color w:val="231F20"/>
          <w:spacing w:val="-19"/>
          <w:w w:val="105"/>
          <w:sz w:val="20"/>
        </w:rPr>
        <w:t> </w:t>
      </w:r>
      <w:r>
        <w:rPr>
          <w:color w:val="231F20"/>
          <w:w w:val="105"/>
          <w:sz w:val="20"/>
        </w:rPr>
        <w:t>is</w:t>
      </w:r>
      <w:r>
        <w:rPr>
          <w:color w:val="231F20"/>
          <w:spacing w:val="-18"/>
          <w:w w:val="105"/>
          <w:sz w:val="20"/>
        </w:rPr>
        <w:t> </w:t>
      </w:r>
      <w:r>
        <w:rPr>
          <w:color w:val="231F20"/>
          <w:w w:val="105"/>
          <w:sz w:val="20"/>
        </w:rPr>
        <w:t>to</w:t>
      </w:r>
      <w:r>
        <w:rPr>
          <w:color w:val="231F20"/>
          <w:spacing w:val="-19"/>
          <w:w w:val="105"/>
          <w:sz w:val="20"/>
        </w:rPr>
        <w:t> </w:t>
      </w:r>
      <w:r>
        <w:rPr>
          <w:color w:val="231F20"/>
          <w:w w:val="105"/>
          <w:sz w:val="20"/>
        </w:rPr>
        <w:t>stimulate</w:t>
      </w:r>
      <w:r>
        <w:rPr>
          <w:color w:val="231F20"/>
          <w:spacing w:val="-18"/>
          <w:w w:val="105"/>
          <w:sz w:val="20"/>
        </w:rPr>
        <w:t> </w:t>
      </w:r>
      <w:r>
        <w:rPr>
          <w:color w:val="231F20"/>
          <w:w w:val="105"/>
          <w:sz w:val="20"/>
        </w:rPr>
        <w:t>sodium-hydrogen</w:t>
      </w:r>
      <w:r>
        <w:rPr>
          <w:color w:val="231F20"/>
          <w:spacing w:val="-18"/>
          <w:w w:val="105"/>
          <w:sz w:val="20"/>
        </w:rPr>
        <w:t> </w:t>
      </w:r>
      <w:r>
        <w:rPr>
          <w:color w:val="231F20"/>
          <w:w w:val="105"/>
          <w:sz w:val="20"/>
        </w:rPr>
        <w:t>exchange</w:t>
      </w:r>
      <w:r>
        <w:rPr>
          <w:color w:val="231F20"/>
          <w:spacing w:val="-19"/>
          <w:w w:val="105"/>
          <w:sz w:val="20"/>
        </w:rPr>
        <w:t> </w:t>
      </w:r>
      <w:r>
        <w:rPr>
          <w:color w:val="231F20"/>
          <w:w w:val="105"/>
          <w:sz w:val="20"/>
        </w:rPr>
        <w:t>in the luminal membrane, especially in the </w:t>
      </w:r>
      <w:r>
        <w:rPr>
          <w:color w:val="231F20"/>
          <w:spacing w:val="-3"/>
          <w:w w:val="105"/>
          <w:sz w:val="20"/>
        </w:rPr>
        <w:t>proximal </w:t>
      </w:r>
      <w:r>
        <w:rPr>
          <w:color w:val="231F20"/>
          <w:w w:val="105"/>
          <w:sz w:val="20"/>
        </w:rPr>
        <w:t>tubule.</w:t>
      </w:r>
      <w:r>
        <w:rPr>
          <w:color w:val="231F20"/>
          <w:spacing w:val="-27"/>
          <w:w w:val="105"/>
          <w:sz w:val="20"/>
        </w:rPr>
        <w:t> </w:t>
      </w:r>
      <w:r>
        <w:rPr>
          <w:color w:val="231F20"/>
          <w:w w:val="105"/>
          <w:sz w:val="20"/>
        </w:rPr>
        <w:t>A</w:t>
      </w:r>
      <w:r>
        <w:rPr>
          <w:color w:val="231F20"/>
          <w:spacing w:val="-27"/>
          <w:w w:val="105"/>
          <w:sz w:val="20"/>
        </w:rPr>
        <w:t> </w:t>
      </w:r>
      <w:r>
        <w:rPr>
          <w:color w:val="231F20"/>
          <w:w w:val="105"/>
          <w:sz w:val="20"/>
        </w:rPr>
        <w:t>third</w:t>
      </w:r>
      <w:r>
        <w:rPr>
          <w:color w:val="231F20"/>
          <w:spacing w:val="-27"/>
          <w:w w:val="105"/>
          <w:sz w:val="20"/>
        </w:rPr>
        <w:t> </w:t>
      </w:r>
      <w:r>
        <w:rPr>
          <w:color w:val="231F20"/>
          <w:w w:val="105"/>
          <w:sz w:val="20"/>
        </w:rPr>
        <w:t>effect</w:t>
      </w:r>
      <w:r>
        <w:rPr>
          <w:color w:val="231F20"/>
          <w:spacing w:val="-26"/>
          <w:w w:val="105"/>
          <w:sz w:val="20"/>
        </w:rPr>
        <w:t> </w:t>
      </w:r>
      <w:r>
        <w:rPr>
          <w:color w:val="231F20"/>
          <w:w w:val="105"/>
          <w:sz w:val="20"/>
        </w:rPr>
        <w:t>of</w:t>
      </w:r>
      <w:r>
        <w:rPr>
          <w:color w:val="231F20"/>
          <w:spacing w:val="-27"/>
          <w:w w:val="105"/>
          <w:sz w:val="20"/>
        </w:rPr>
        <w:t> </w:t>
      </w:r>
      <w:r>
        <w:rPr>
          <w:color w:val="231F20"/>
          <w:w w:val="105"/>
          <w:sz w:val="20"/>
        </w:rPr>
        <w:t>angiotensin</w:t>
      </w:r>
      <w:r>
        <w:rPr>
          <w:color w:val="231F20"/>
          <w:spacing w:val="-27"/>
          <w:w w:val="105"/>
          <w:sz w:val="20"/>
        </w:rPr>
        <w:t> </w:t>
      </w:r>
      <w:r>
        <w:rPr>
          <w:color w:val="231F20"/>
          <w:w w:val="105"/>
          <w:sz w:val="20"/>
        </w:rPr>
        <w:t>II</w:t>
      </w:r>
      <w:r>
        <w:rPr>
          <w:color w:val="231F20"/>
          <w:spacing w:val="-26"/>
          <w:w w:val="105"/>
          <w:sz w:val="20"/>
        </w:rPr>
        <w:t> </w:t>
      </w:r>
      <w:r>
        <w:rPr>
          <w:color w:val="231F20"/>
          <w:w w:val="105"/>
          <w:sz w:val="20"/>
        </w:rPr>
        <w:t>is</w:t>
      </w:r>
      <w:r>
        <w:rPr>
          <w:color w:val="231F20"/>
          <w:spacing w:val="-27"/>
          <w:w w:val="105"/>
          <w:sz w:val="20"/>
        </w:rPr>
        <w:t> </w:t>
      </w:r>
      <w:r>
        <w:rPr>
          <w:color w:val="231F20"/>
          <w:w w:val="105"/>
          <w:sz w:val="20"/>
        </w:rPr>
        <w:t>to</w:t>
      </w:r>
      <w:r>
        <w:rPr>
          <w:color w:val="231F20"/>
          <w:spacing w:val="-27"/>
          <w:w w:val="105"/>
          <w:sz w:val="20"/>
        </w:rPr>
        <w:t> </w:t>
      </w:r>
      <w:r>
        <w:rPr>
          <w:color w:val="231F20"/>
          <w:w w:val="105"/>
          <w:sz w:val="20"/>
        </w:rPr>
        <w:t>stimulate sodium-bicarbonate co-transport in the</w:t>
      </w:r>
      <w:r>
        <w:rPr>
          <w:color w:val="231F20"/>
          <w:spacing w:val="-38"/>
          <w:w w:val="105"/>
          <w:sz w:val="20"/>
        </w:rPr>
        <w:t> </w:t>
      </w:r>
      <w:r>
        <w:rPr>
          <w:color w:val="231F20"/>
          <w:w w:val="105"/>
          <w:sz w:val="20"/>
        </w:rPr>
        <w:t>basolateral membrane (</w:t>
      </w:r>
      <w:hyperlink w:history="true" w:anchor="_bookmark59">
        <w:r>
          <w:rPr>
            <w:b/>
            <w:color w:val="0080AC"/>
            <w:w w:val="105"/>
            <w:sz w:val="20"/>
          </w:rPr>
          <w:t>Figure</w:t>
        </w:r>
        <w:r>
          <w:rPr>
            <w:b/>
            <w:color w:val="0080AC"/>
            <w:spacing w:val="3"/>
            <w:w w:val="105"/>
            <w:sz w:val="20"/>
          </w:rPr>
          <w:t> </w:t>
        </w:r>
        <w:r>
          <w:rPr>
            <w:b/>
            <w:color w:val="0080AC"/>
            <w:w w:val="105"/>
            <w:sz w:val="20"/>
          </w:rPr>
          <w:t>28-18</w:t>
        </w:r>
      </w:hyperlink>
      <w:r>
        <w:rPr>
          <w:color w:val="231F20"/>
          <w:w w:val="105"/>
          <w:sz w:val="20"/>
        </w:rPr>
        <w:t>).</w:t>
      </w:r>
    </w:p>
    <w:p>
      <w:pPr>
        <w:pStyle w:val="BodyText"/>
        <w:spacing w:line="249" w:lineRule="auto" w:before="9"/>
        <w:ind w:left="319" w:right="1077" w:firstLine="240"/>
        <w:jc w:val="both"/>
      </w:pPr>
      <w:r>
        <w:rPr>
          <w:color w:val="231F20"/>
        </w:rPr>
        <w:t>Thus, angiotensin II stimulates sodium transport  across both the luminal and the basolateral surfaces of </w:t>
      </w:r>
      <w:r>
        <w:rPr>
          <w:color w:val="231F20"/>
          <w:spacing w:val="-5"/>
        </w:rPr>
        <w:t>the </w:t>
      </w:r>
      <w:r>
        <w:rPr>
          <w:color w:val="231F20"/>
        </w:rPr>
        <w:t>epithelial cell membrane in most renal tubular segments. These multiple actions of angiotensin II cause marked sodium and water retention by the kidneys when </w:t>
      </w:r>
      <w:r>
        <w:rPr>
          <w:color w:val="231F20"/>
          <w:spacing w:val="-3"/>
        </w:rPr>
        <w:t>angio- </w:t>
      </w:r>
      <w:r>
        <w:rPr>
          <w:color w:val="231F20"/>
        </w:rPr>
        <w:t>tensin II levels are increased and play a critical role in permitting the body to adapt to wide variations in sodium intake without large changes in extracellular fluid volume and</w:t>
      </w:r>
      <w:r>
        <w:rPr>
          <w:color w:val="231F20"/>
          <w:spacing w:val="10"/>
        </w:rPr>
        <w:t> </w:t>
      </w:r>
      <w:r>
        <w:rPr>
          <w:color w:val="231F20"/>
        </w:rPr>
        <w:t>blood</w:t>
      </w:r>
      <w:r>
        <w:rPr>
          <w:color w:val="231F20"/>
          <w:spacing w:val="11"/>
        </w:rPr>
        <w:t> </w:t>
      </w:r>
      <w:r>
        <w:rPr>
          <w:color w:val="231F20"/>
        </w:rPr>
        <w:t>pressure,</w:t>
      </w:r>
      <w:r>
        <w:rPr>
          <w:color w:val="231F20"/>
          <w:spacing w:val="10"/>
        </w:rPr>
        <w:t> </w:t>
      </w:r>
      <w:r>
        <w:rPr>
          <w:color w:val="231F20"/>
        </w:rPr>
        <w:t>as</w:t>
      </w:r>
      <w:r>
        <w:rPr>
          <w:color w:val="231F20"/>
          <w:spacing w:val="11"/>
        </w:rPr>
        <w:t> </w:t>
      </w:r>
      <w:r>
        <w:rPr>
          <w:color w:val="231F20"/>
        </w:rPr>
        <w:t>discussed</w:t>
      </w:r>
      <w:r>
        <w:rPr>
          <w:color w:val="231F20"/>
          <w:spacing w:val="11"/>
        </w:rPr>
        <w:t> </w:t>
      </w:r>
      <w:r>
        <w:rPr>
          <w:color w:val="231F20"/>
        </w:rPr>
        <w:t>in</w:t>
      </w:r>
      <w:r>
        <w:rPr>
          <w:color w:val="231F20"/>
          <w:spacing w:val="10"/>
        </w:rPr>
        <w:t> </w:t>
      </w:r>
      <w:r>
        <w:rPr>
          <w:color w:val="231F20"/>
        </w:rPr>
        <w:t>Chapter</w:t>
      </w:r>
      <w:r>
        <w:rPr>
          <w:color w:val="231F20"/>
          <w:spacing w:val="11"/>
        </w:rPr>
        <w:t> </w:t>
      </w:r>
      <w:r>
        <w:rPr>
          <w:color w:val="231F20"/>
        </w:rPr>
        <w:t>30.</w:t>
      </w:r>
    </w:p>
    <w:p>
      <w:pPr>
        <w:pStyle w:val="BodyText"/>
        <w:spacing w:line="249" w:lineRule="auto" w:before="7"/>
        <w:ind w:left="319" w:right="1078" w:firstLine="240"/>
        <w:jc w:val="both"/>
      </w:pPr>
      <w:r>
        <w:rPr>
          <w:color w:val="231F20"/>
          <w:spacing w:val="-3"/>
          <w:w w:val="105"/>
        </w:rPr>
        <w:t>At </w:t>
      </w:r>
      <w:r>
        <w:rPr>
          <w:color w:val="231F20"/>
          <w:w w:val="105"/>
        </w:rPr>
        <w:t>the same time that angiotensin II increases renal tubular</w:t>
      </w:r>
      <w:r>
        <w:rPr>
          <w:color w:val="231F20"/>
          <w:spacing w:val="-21"/>
          <w:w w:val="105"/>
        </w:rPr>
        <w:t> </w:t>
      </w:r>
      <w:r>
        <w:rPr>
          <w:color w:val="231F20"/>
          <w:w w:val="105"/>
        </w:rPr>
        <w:t>sodium</w:t>
      </w:r>
      <w:r>
        <w:rPr>
          <w:color w:val="231F20"/>
          <w:spacing w:val="-21"/>
          <w:w w:val="105"/>
        </w:rPr>
        <w:t> </w:t>
      </w:r>
      <w:r>
        <w:rPr>
          <w:color w:val="231F20"/>
          <w:w w:val="105"/>
        </w:rPr>
        <w:t>reabsorption,</w:t>
      </w:r>
      <w:r>
        <w:rPr>
          <w:color w:val="231F20"/>
          <w:spacing w:val="-21"/>
          <w:w w:val="105"/>
        </w:rPr>
        <w:t> </w:t>
      </w:r>
      <w:r>
        <w:rPr>
          <w:color w:val="231F20"/>
          <w:w w:val="105"/>
        </w:rPr>
        <w:t>its</w:t>
      </w:r>
      <w:r>
        <w:rPr>
          <w:color w:val="231F20"/>
          <w:spacing w:val="-21"/>
          <w:w w:val="105"/>
        </w:rPr>
        <w:t> </w:t>
      </w:r>
      <w:r>
        <w:rPr>
          <w:color w:val="231F20"/>
          <w:w w:val="105"/>
        </w:rPr>
        <w:t>vasoconstrictor</w:t>
      </w:r>
      <w:r>
        <w:rPr>
          <w:color w:val="231F20"/>
          <w:spacing w:val="-21"/>
          <w:w w:val="105"/>
        </w:rPr>
        <w:t> </w:t>
      </w:r>
      <w:r>
        <w:rPr>
          <w:color w:val="231F20"/>
          <w:w w:val="105"/>
        </w:rPr>
        <w:t>effect</w:t>
      </w:r>
      <w:r>
        <w:rPr>
          <w:color w:val="231F20"/>
          <w:spacing w:val="-21"/>
          <w:w w:val="105"/>
        </w:rPr>
        <w:t> </w:t>
      </w:r>
      <w:r>
        <w:rPr>
          <w:color w:val="231F20"/>
          <w:w w:val="105"/>
        </w:rPr>
        <w:t>on</w:t>
      </w:r>
    </w:p>
    <w:p>
      <w:pPr>
        <w:pStyle w:val="BodyText"/>
      </w:pPr>
    </w:p>
    <w:p>
      <w:pPr>
        <w:pStyle w:val="BodyText"/>
        <w:spacing w:before="10"/>
        <w:rPr>
          <w:sz w:val="15"/>
        </w:rPr>
      </w:pPr>
      <w:r>
        <w:rPr/>
        <w:pict>
          <v:group style="position:absolute;margin-left:326.500519pt;margin-top:11.103594pt;width:229pt;height:154.9pt;mso-position-horizontal-relative:page;mso-position-vertical-relative:paragraph;z-index:-251044864;mso-wrap-distance-left:0;mso-wrap-distance-right:0" coordorigin="6530,222" coordsize="4580,3098">
            <v:shape style="position:absolute;left:7587;top:277;width:2447;height:703" coordorigin="7587,277" coordsize="2447,703" path="m10034,277l7587,279,7587,652,7599,710,7631,758,7678,790,7736,801,9161,801,9188,802,9256,809,9345,828,9437,865,9494,894,9566,926,9645,955,9725,974,9798,980,9866,970,9928,946,9979,904,10016,839,10034,750,10034,277xe" filled="true" fillcolor="#feede3" stroked="false">
              <v:path arrowok="t"/>
              <v:fill type="solid"/>
            </v:shape>
            <v:shape style="position:absolute;left:7587;top:277;width:2447;height:703" coordorigin="7587,277" coordsize="2447,703" path="m10034,750l10016,839,9979,904,9928,946,9866,970,9798,980,9725,974,9645,955,9566,926,9494,894,9437,865,9345,828,9256,809,9188,802,9161,801,7736,801,7678,790,7631,758,7599,710,7587,652,7587,279,10034,277,10034,750xe" filled="false" stroked="true" strokeweight=".75pt" strokecolor="#e2874a">
              <v:path arrowok="t"/>
              <v:stroke dashstyle="solid"/>
            </v:shape>
            <v:shape style="position:absolute;left:7587;top:1024;width:2447;height:2288" coordorigin="7587,1024" coordsize="2447,2288" path="m9798,1024l9725,1030,9645,1049,9566,1078,9494,1110,9437,1139,9368,1176,9316,1195,9256,1201,9161,1202,7736,1202,7678,1214,7631,1246,7599,1294,7587,1352,7587,2984,7599,3042,7631,3090,7678,3122,7736,3134,9161,3134,9188,3135,9256,3142,9345,3160,9437,3197,9494,3227,9566,3258,9645,3287,9725,3306,9798,3312,9866,3302,9928,3278,9979,3236,10016,3172,10034,3082,10034,1254,10016,1165,9979,1100,9928,1058,9866,1034,9798,1024xe" filled="true" fillcolor="#feede3" stroked="false">
              <v:path arrowok="t"/>
              <v:fill type="solid"/>
            </v:shape>
            <v:shape style="position:absolute;left:7587;top:1024;width:2447;height:2288" coordorigin="7587,1024" coordsize="2447,2288" path="m10034,3082l10016,3172,9979,3236,9928,3278,9866,3302,9798,3312,9725,3306,9645,3287,9566,3258,9494,3227,9437,3197,9345,3160,9256,3142,9188,3135,9161,3134,7736,3134,7678,3122,7631,3090,7599,3042,7587,2984,7587,1352,7599,1294,7631,1246,7678,1214,7736,1202,9161,1202,9256,1201,9316,1195,9368,1176,9437,1139,9494,1110,9566,1078,9645,1049,9725,1030,9798,1024,9866,1034,9928,1058,9979,1100,10016,1165,10034,1254,10034,3082xe" filled="false" stroked="true" strokeweight=".75pt" strokecolor="#e2874a">
              <v:path arrowok="t"/>
              <v:stroke dashstyle="solid"/>
            </v:shape>
            <v:shape style="position:absolute;left:7163;top:1310;width:163;height:106" type="#_x0000_t75" stroked="false">
              <v:imagedata r:id="rId689" o:title=""/>
            </v:shape>
            <v:line style="position:absolute" from="7882,1363" to="7282,1363" stroked="true" strokeweight="1.5pt" strokecolor="#231f20">
              <v:stroke dashstyle="solid"/>
            </v:line>
            <v:shape style="position:absolute;left:7817;top:1607;width:163;height:106" type="#_x0000_t75" stroked="false">
              <v:imagedata r:id="rId690" o:title=""/>
            </v:shape>
            <v:line style="position:absolute" from="7239,1660" to="7874,1660" stroked="true" strokeweight="1.5pt" strokecolor="#231f20">
              <v:stroke dashstyle="solid"/>
            </v:line>
            <v:shape style="position:absolute;left:7419;top:1349;width:325;height:325" type="#_x0000_t75" stroked="false">
              <v:imagedata r:id="rId691" o:title=""/>
            </v:shape>
            <v:shape style="position:absolute;left:7163;top:2567;width:163;height:106" type="#_x0000_t75" stroked="false">
              <v:imagedata r:id="rId692" o:title=""/>
            </v:shape>
            <v:shape style="position:absolute;left:7163;top:2871;width:163;height:106" type="#_x0000_t75" stroked="false">
              <v:imagedata r:id="rId693" o:title=""/>
            </v:shape>
            <v:shape style="position:absolute;left:7419;top:2606;width:325;height:325" type="#_x0000_t75" stroked="false">
              <v:imagedata r:id="rId694" o:title=""/>
            </v:shape>
            <v:shape style="position:absolute;left:9608;top:1310;width:163;height:106" type="#_x0000_t75" stroked="false">
              <v:imagedata r:id="rId695" o:title=""/>
            </v:shape>
            <v:line style="position:absolute" from="10327,1363" to="9727,1363" stroked="true" strokeweight="1.5pt" strokecolor="#231f20">
              <v:stroke dashstyle="solid"/>
            </v:line>
            <v:shape style="position:absolute;left:10262;top:1627;width:163;height:106" type="#_x0000_t75" stroked="false">
              <v:imagedata r:id="rId696" o:title=""/>
            </v:shape>
            <v:line style="position:absolute" from="9684,1680" to="10319,1680" stroked="true" strokeweight="1.5pt" strokecolor="#231f20">
              <v:stroke dashstyle="solid"/>
            </v:line>
            <v:shape style="position:absolute;left:9861;top:1338;width:345;height:345" type="#_x0000_t75" stroked="false">
              <v:imagedata r:id="rId697" o:title=""/>
            </v:shape>
            <v:line style="position:absolute" from="7557,278" to="10065,278" stroked="true" strokeweight="2pt" strokecolor="#ffffff">
              <v:stroke dashstyle="solid"/>
            </v:line>
            <v:shape style="position:absolute;left:8982;top:1382;width:183;height:183" type="#_x0000_t75" stroked="false">
              <v:imagedata r:id="rId698" o:title=""/>
            </v:shape>
            <v:shape style="position:absolute;left:8401;top:1382;width:183;height:183" type="#_x0000_t75" stroked="false">
              <v:imagedata r:id="rId699" o:title=""/>
            </v:shape>
            <v:shape style="position:absolute;left:8401;top:2650;width:183;height:183" type="#_x0000_t75" stroked="false">
              <v:imagedata r:id="rId700" o:title=""/>
            </v:shape>
            <v:shape style="position:absolute;left:7431;top:2001;width:716;height:226" type="#_x0000_t75" stroked="false">
              <v:imagedata r:id="rId701" o:title=""/>
            </v:shape>
            <v:shape style="position:absolute;left:7431;top:2001;width:716;height:226" coordorigin="7432,2002" coordsize="716,226" path="m8147,2002l7432,2002,7442,2028,7449,2056,7454,2085,7456,2115,7454,2144,7449,2173,7442,2201,7432,2227,8147,2227,8147,2002xe" filled="false" stroked="true" strokeweight="1pt" strokecolor="#231f20">
              <v:path arrowok="t"/>
              <v:stroke dashstyle="solid"/>
            </v:shape>
            <v:shape style="position:absolute;left:6540;top:1938;width:687;height:352" type="#_x0000_t75" stroked="false">
              <v:imagedata r:id="rId702" o:title=""/>
            </v:shape>
            <v:shape style="position:absolute;left:6540;top:1938;width:687;height:352" coordorigin="6540,1939" coordsize="687,352" path="m7203,2002l7015,2002,7010,1977,6996,1957,6976,1944,6952,1939,6603,1939,6579,1944,6559,1957,6545,1977,6540,2002,6540,2227,6545,2252,6559,2272,6579,2286,6603,2291,6952,2291,6976,2286,6996,2272,7010,2252,7015,2227,7203,2227,7213,2201,7220,2173,7225,2144,7227,2115,7225,2085,7220,2056,7213,2028,7203,2002xe" filled="false" stroked="true" strokeweight="1pt" strokecolor="#231f20">
              <v:path arrowok="t"/>
              <v:stroke dashstyle="solid"/>
            </v:shape>
            <v:shape style="position:absolute;left:9492;top:2001;width:716;height:226" type="#_x0000_t75" stroked="false">
              <v:imagedata r:id="rId703" o:title=""/>
            </v:shape>
            <v:shape style="position:absolute;left:9492;top:2001;width:716;height:226" coordorigin="9493,2002" coordsize="716,226" path="m9493,2227l10208,2227,10198,2201,10191,2173,10186,2144,10185,2115,10186,2085,10191,2056,10198,2028,10208,2002,9493,2002,9493,2227xe" filled="false" stroked="true" strokeweight="1pt" strokecolor="#231f20">
              <v:path arrowok="t"/>
              <v:stroke dashstyle="solid"/>
            </v:shape>
            <v:shape style="position:absolute;left:10413;top:1938;width:687;height:352" type="#_x0000_t75" stroked="false">
              <v:imagedata r:id="rId704" o:title=""/>
            </v:shape>
            <v:shape style="position:absolute;left:10413;top:1938;width:687;height:352" coordorigin="10413,1939" coordsize="687,352" path="m10437,2227l10625,2227,10630,2252,10644,2272,10664,2286,10688,2291,11037,2291,11061,2286,11081,2272,11095,2252,11100,2227,11100,2002,11095,1977,11081,1957,11061,1944,11037,1939,10688,1939,10664,1944,10644,1957,10630,1977,10625,2002,10437,2002,10427,2028,10420,2056,10415,2085,10413,2115,10415,2144,10420,2173,10427,2201,10437,2227xe" filled="false" stroked="true" strokeweight="1pt" strokecolor="#231f20">
              <v:path arrowok="t"/>
              <v:stroke dashstyle="solid"/>
            </v:shape>
            <v:shape style="position:absolute;left:8243;top:2108;width:280;height:599" coordorigin="8243,2109" coordsize="280,599" path="m8243,2109l8314,2115,8374,2131,8465,2192,8514,2280,8523,2332,8521,2387,8487,2500,8453,2556,8409,2610,8354,2661,8287,2707e" filled="false" stroked="true" strokeweight="1.5pt" strokecolor="#f0535f">
              <v:path arrowok="t"/>
              <v:stroke dashstyle="solid"/>
            </v:shape>
            <v:shape style="position:absolute;left:8136;top:2612;width:243;height:186" type="#_x0000_t75" stroked="false">
              <v:imagedata r:id="rId705" o:title=""/>
            </v:shape>
            <v:shape style="position:absolute;left:9147;top:1510;width:482;height:599" coordorigin="9147,1510" coordsize="482,599" path="m9335,2109l9237,2088,9175,2033,9148,1954,9147,1908,9155,1859,9193,1760,9261,1666,9306,1623,9358,1586,9416,1555,9481,1531,9552,1516,9629,1510e" filled="false" stroked="true" strokeweight="1.5pt" strokecolor="#f0535f">
              <v:path arrowok="t"/>
              <v:stroke dashstyle="solid"/>
            </v:shape>
            <v:shape style="position:absolute;left:9574;top:1447;width:209;height:127" type="#_x0000_t75" stroked="false">
              <v:imagedata r:id="rId706" o:title=""/>
            </v:shape>
            <v:shape style="position:absolute;left:7966;top:1510;width:498;height:599" coordorigin="7966,1510" coordsize="498,599" path="m8243,2109l8341,2090,8411,2040,8452,1967,8464,1880,8459,1833,8425,1739,8359,1652,8262,1579,8201,1550,8131,1529,8053,1515,7966,1510e" filled="false" stroked="true" strokeweight="1.5pt" strokecolor="#f0535f">
              <v:path arrowok="t"/>
              <v:stroke dashstyle="solid"/>
            </v:shape>
            <v:shape style="position:absolute;left:7813;top:1447;width:209;height:127" type="#_x0000_t75" stroked="false">
              <v:imagedata r:id="rId707" o:title=""/>
            </v:shape>
            <v:shape style="position:absolute;left:6840;top:222;width:69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Renal interstitial</w:t>
                    </w:r>
                    <w:r>
                      <w:rPr>
                        <w:rFonts w:ascii="Helvetica"/>
                        <w:color w:val="231F20"/>
                        <w:w w:val="99"/>
                        <w:sz w:val="16"/>
                      </w:rPr>
                      <w:t> </w:t>
                    </w:r>
                    <w:r>
                      <w:rPr>
                        <w:rFonts w:ascii="Helvetica"/>
                        <w:color w:val="231F20"/>
                        <w:sz w:val="16"/>
                      </w:rPr>
                      <w:t>fluid</w:t>
                    </w:r>
                  </w:p>
                </w:txbxContent>
              </v:textbox>
              <w10:wrap type="none"/>
            </v:shape>
            <v:shape style="position:absolute;left:8526;top:345;width:563;height:365" type="#_x0000_t202" filled="false" stroked="false">
              <v:textbox inset="0,0,0,0">
                <w:txbxContent>
                  <w:p>
                    <w:pPr>
                      <w:spacing w:line="235" w:lineRule="auto" w:before="2"/>
                      <w:ind w:left="111" w:right="1" w:hanging="112"/>
                      <w:jc w:val="left"/>
                      <w:rPr>
                        <w:rFonts w:ascii="Helvetica"/>
                        <w:sz w:val="16"/>
                      </w:rPr>
                    </w:pPr>
                    <w:r>
                      <w:rPr>
                        <w:rFonts w:ascii="Helvetica"/>
                        <w:color w:val="231F20"/>
                        <w:sz w:val="16"/>
                      </w:rPr>
                      <w:t>Tubular cells</w:t>
                    </w:r>
                  </w:p>
                </w:txbxContent>
              </v:textbox>
              <w10:wrap type="none"/>
            </v:shape>
            <v:shape style="position:absolute;left:10127;top:222;width:563;height:365" type="#_x0000_t202" filled="false" stroked="false">
              <v:textbox inset="0,0,0,0">
                <w:txbxContent>
                  <w:p>
                    <w:pPr>
                      <w:spacing w:line="235" w:lineRule="auto" w:before="2"/>
                      <w:ind w:left="53" w:right="1" w:hanging="54"/>
                      <w:jc w:val="left"/>
                      <w:rPr>
                        <w:rFonts w:ascii="Helvetica"/>
                        <w:sz w:val="16"/>
                      </w:rPr>
                    </w:pPr>
                    <w:r>
                      <w:rPr>
                        <w:rFonts w:ascii="Helvetica"/>
                        <w:color w:val="231F20"/>
                        <w:sz w:val="16"/>
                      </w:rPr>
                      <w:t>Tubular lumen</w:t>
                    </w:r>
                  </w:p>
                </w:txbxContent>
              </v:textbox>
              <w10:wrap type="none"/>
            </v:shape>
            <v:shape style="position:absolute;left:7908;top:1251;width:295;height:202" type="#_x0000_t202" filled="false" stroked="false">
              <v:textbox inset="0,0,0,0">
                <w:txbxContent>
                  <w:p>
                    <w:pPr>
                      <w:spacing w:before="3"/>
                      <w:ind w:left="0" w:right="0" w:firstLine="0"/>
                      <w:jc w:val="left"/>
                      <w:rPr>
                        <w:rFonts w:ascii="Helvetica"/>
                        <w:b/>
                        <w:sz w:val="12"/>
                      </w:rPr>
                    </w:pPr>
                    <w:r>
                      <w:rPr>
                        <w:rFonts w:ascii="Helvetica"/>
                        <w:b/>
                        <w:color w:val="231F20"/>
                        <w:sz w:val="16"/>
                      </w:rPr>
                      <w:t>Na</w:t>
                    </w:r>
                    <w:r>
                      <w:rPr>
                        <w:rFonts w:ascii="Helvetica"/>
                        <w:b/>
                        <w:color w:val="231F20"/>
                        <w:position w:val="5"/>
                        <w:sz w:val="12"/>
                      </w:rPr>
                      <w:t>+</w:t>
                    </w:r>
                  </w:p>
                </w:txbxContent>
              </v:textbox>
              <w10:wrap type="none"/>
            </v:shape>
            <v:shape style="position:absolute;left:7040;top:1530;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p>
                </w:txbxContent>
              </v:textbox>
              <w10:wrap type="none"/>
            </v:shape>
            <v:shape style="position:absolute;left:7433;top:1417;width:3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ATP</w:t>
                    </w:r>
                  </w:p>
                </w:txbxContent>
              </v:textbox>
              <w10:wrap type="none"/>
            </v:shape>
            <v:shape style="position:absolute;left:8438;top:1347;width:123;height:210" type="#_x0000_t202" filled="false" stroked="false">
              <v:textbox inset="0,0,0,0">
                <w:txbxContent>
                  <w:p>
                    <w:pPr>
                      <w:spacing w:before="10"/>
                      <w:ind w:left="0" w:right="0" w:firstLine="0"/>
                      <w:jc w:val="left"/>
                      <w:rPr>
                        <w:rFonts w:ascii="Helvetica"/>
                        <w:b/>
                        <w:sz w:val="17"/>
                      </w:rPr>
                    </w:pPr>
                    <w:r>
                      <w:rPr>
                        <w:rFonts w:ascii="Helvetica"/>
                        <w:b/>
                        <w:color w:val="F0535F"/>
                        <w:w w:val="103"/>
                        <w:sz w:val="17"/>
                      </w:rPr>
                      <w:t>+</w:t>
                    </w:r>
                  </w:p>
                </w:txbxContent>
              </v:textbox>
              <w10:wrap type="none"/>
            </v:shape>
            <v:shape style="position:absolute;left:9020;top:1347;width:123;height:210" type="#_x0000_t202" filled="false" stroked="false">
              <v:textbox inset="0,0,0,0">
                <w:txbxContent>
                  <w:p>
                    <w:pPr>
                      <w:spacing w:before="10"/>
                      <w:ind w:left="0" w:right="0" w:firstLine="0"/>
                      <w:jc w:val="left"/>
                      <w:rPr>
                        <w:rFonts w:ascii="Helvetica"/>
                        <w:b/>
                        <w:sz w:val="17"/>
                      </w:rPr>
                    </w:pPr>
                    <w:r>
                      <w:rPr>
                        <w:rFonts w:ascii="Helvetica"/>
                        <w:b/>
                        <w:color w:val="F0535F"/>
                        <w:w w:val="103"/>
                        <w:sz w:val="17"/>
                      </w:rPr>
                      <w:t>+</w:t>
                    </w:r>
                  </w:p>
                </w:txbxContent>
              </v:textbox>
              <w10:wrap type="none"/>
            </v:shape>
            <v:shape style="position:absolute;left:10353;top:1245;width:291;height:208" type="#_x0000_t202" filled="false" stroked="false">
              <v:textbox inset="0,0,0,0">
                <w:txbxContent>
                  <w:p>
                    <w:pPr>
                      <w:spacing w:before="0"/>
                      <w:ind w:left="0" w:right="0" w:firstLine="0"/>
                      <w:jc w:val="left"/>
                      <w:rPr>
                        <w:rFonts w:ascii="Symbol" w:hAnsi="Symbol"/>
                        <w:sz w:val="12"/>
                      </w:rPr>
                    </w:pPr>
                    <w:r>
                      <w:rPr>
                        <w:rFonts w:ascii="Helvetica" w:hAnsi="Helvetica"/>
                        <w:color w:val="231F20"/>
                        <w:sz w:val="16"/>
                      </w:rPr>
                      <w:t>Na</w:t>
                    </w:r>
                    <w:r>
                      <w:rPr>
                        <w:rFonts w:ascii="Symbol" w:hAnsi="Symbol"/>
                        <w:color w:val="231F20"/>
                        <w:position w:val="5"/>
                        <w:sz w:val="12"/>
                      </w:rPr>
                      <w:t></w:t>
                    </w:r>
                  </w:p>
                </w:txbxContent>
              </v:textbox>
              <w10:wrap type="none"/>
            </v:shape>
            <v:shape style="position:absolute;left:9485;top:1550;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9875;top:1436;width:337;height:174" type="#_x0000_t202" filled="false" stroked="false">
              <v:textbox inset="0,0,0,0">
                <w:txbxContent>
                  <w:p>
                    <w:pPr>
                      <w:spacing w:line="171" w:lineRule="exact" w:before="0"/>
                      <w:ind w:left="0" w:right="0" w:firstLine="0"/>
                      <w:jc w:val="left"/>
                      <w:rPr>
                        <w:rFonts w:ascii="Helvetica"/>
                        <w:sz w:val="15"/>
                      </w:rPr>
                    </w:pPr>
                    <w:r>
                      <w:rPr>
                        <w:rFonts w:ascii="Helvetica"/>
                        <w:color w:val="231F20"/>
                        <w:sz w:val="15"/>
                      </w:rPr>
                      <w:t>NHE</w:t>
                    </w:r>
                  </w:p>
                </w:txbxContent>
              </v:textbox>
              <w10:wrap type="none"/>
            </v:shape>
            <v:shape style="position:absolute;left:6582;top:2003;width:43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Ang II</w:t>
                    </w:r>
                  </w:p>
                </w:txbxContent>
              </v:textbox>
              <w10:wrap type="none"/>
            </v:shape>
            <v:shape style="position:absolute;left:7632;top:1994;width:292;height:226" type="#_x0000_t202" filled="false" stroked="false">
              <v:textbox inset="0,0,0,0">
                <w:txbxContent>
                  <w:p>
                    <w:pPr>
                      <w:spacing w:line="237" w:lineRule="auto" w:before="0"/>
                      <w:ind w:left="0" w:right="0" w:firstLine="0"/>
                      <w:jc w:val="left"/>
                      <w:rPr>
                        <w:rFonts w:ascii="Helvetica"/>
                        <w:sz w:val="12"/>
                      </w:rPr>
                    </w:pPr>
                    <w:r>
                      <w:rPr>
                        <w:rFonts w:ascii="Helvetica"/>
                        <w:color w:val="231F20"/>
                        <w:sz w:val="16"/>
                      </w:rPr>
                      <w:t>AT</w:t>
                    </w:r>
                    <w:r>
                      <w:rPr>
                        <w:rFonts w:ascii="Helvetica"/>
                        <w:color w:val="231F20"/>
                        <w:position w:val="-4"/>
                        <w:sz w:val="12"/>
                      </w:rPr>
                      <w:t>1</w:t>
                    </w:r>
                  </w:p>
                </w:txbxContent>
              </v:textbox>
              <w10:wrap type="none"/>
            </v:shape>
            <v:shape style="position:absolute;left:9735;top:1994;width:292;height:226" type="#_x0000_t202" filled="false" stroked="false">
              <v:textbox inset="0,0,0,0">
                <w:txbxContent>
                  <w:p>
                    <w:pPr>
                      <w:spacing w:line="237" w:lineRule="auto" w:before="0"/>
                      <w:ind w:left="0" w:right="0" w:firstLine="0"/>
                      <w:jc w:val="left"/>
                      <w:rPr>
                        <w:rFonts w:ascii="Helvetica"/>
                        <w:sz w:val="12"/>
                      </w:rPr>
                    </w:pPr>
                    <w:r>
                      <w:rPr>
                        <w:rFonts w:ascii="Helvetica"/>
                        <w:color w:val="231F20"/>
                        <w:sz w:val="16"/>
                      </w:rPr>
                      <w:t>AT</w:t>
                    </w:r>
                    <w:r>
                      <w:rPr>
                        <w:rFonts w:ascii="Helvetica"/>
                        <w:color w:val="231F20"/>
                        <w:position w:val="-4"/>
                        <w:sz w:val="12"/>
                      </w:rPr>
                      <w:t>1</w:t>
                    </w:r>
                  </w:p>
                </w:txbxContent>
              </v:textbox>
              <w10:wrap type="none"/>
            </v:shape>
            <v:shape style="position:absolute;left:10603;top:2003;width:43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Ang II</w:t>
                    </w:r>
                  </w:p>
                </w:txbxContent>
              </v:textbox>
              <w10:wrap type="none"/>
            </v:shape>
            <v:shape style="position:absolute;left:7282;top:2413;width:921;height:298" type="#_x0000_t202" filled="false" stroked="false">
              <v:textbox inset="0,0,0,0">
                <w:txbxContent>
                  <w:p>
                    <w:pPr>
                      <w:tabs>
                        <w:tab w:pos="599" w:val="left" w:leader="none"/>
                      </w:tabs>
                      <w:spacing w:before="98"/>
                      <w:ind w:left="0" w:right="0" w:firstLine="0"/>
                      <w:jc w:val="left"/>
                      <w:rPr>
                        <w:rFonts w:ascii="Helvetica"/>
                        <w:b/>
                        <w:sz w:val="12"/>
                      </w:rPr>
                    </w:pPr>
                    <w:r>
                      <w:rPr>
                        <w:color w:val="231F20"/>
                        <w:w w:val="94"/>
                        <w:position w:val="8"/>
                        <w:sz w:val="20"/>
                        <w:u w:val="thick" w:color="231F20"/>
                      </w:rPr>
                      <w:t> </w:t>
                    </w:r>
                    <w:r>
                      <w:rPr>
                        <w:color w:val="231F20"/>
                        <w:position w:val="8"/>
                        <w:sz w:val="20"/>
                        <w:u w:val="thick" w:color="231F20"/>
                      </w:rPr>
                      <w:tab/>
                    </w:r>
                    <w:r>
                      <w:rPr>
                        <w:color w:val="231F20"/>
                        <w:spacing w:val="-24"/>
                        <w:position w:val="8"/>
                        <w:sz w:val="20"/>
                      </w:rPr>
                      <w:t> </w:t>
                    </w:r>
                    <w:r>
                      <w:rPr>
                        <w:rFonts w:ascii="Helvetica"/>
                        <w:b/>
                        <w:color w:val="231F20"/>
                        <w:sz w:val="16"/>
                      </w:rPr>
                      <w:t>Na</w:t>
                    </w:r>
                    <w:r>
                      <w:rPr>
                        <w:rFonts w:ascii="Helvetica"/>
                        <w:b/>
                        <w:color w:val="231F20"/>
                        <w:position w:val="5"/>
                        <w:sz w:val="12"/>
                      </w:rPr>
                      <w:t>+</w:t>
                    </w:r>
                  </w:p>
                </w:txbxContent>
              </v:textbox>
              <w10:wrap type="none"/>
            </v:shape>
            <v:shape style="position:absolute;left:7282;top:2614;width:1280;height:400" type="#_x0000_t202" filled="false" stroked="false">
              <v:textbox inset="0,0,0,0">
                <w:txbxContent>
                  <w:p>
                    <w:pPr>
                      <w:tabs>
                        <w:tab w:pos="599" w:val="left" w:leader="none"/>
                      </w:tabs>
                      <w:spacing w:before="13"/>
                      <w:ind w:left="0" w:right="0" w:firstLine="0"/>
                      <w:jc w:val="left"/>
                      <w:rPr>
                        <w:rFonts w:ascii="Helvetica"/>
                        <w:b/>
                        <w:sz w:val="17"/>
                      </w:rPr>
                    </w:pPr>
                    <w:r>
                      <w:rPr>
                        <w:color w:val="231F20"/>
                        <w:w w:val="94"/>
                        <w:position w:val="14"/>
                        <w:sz w:val="20"/>
                        <w:u w:val="thick" w:color="231F20"/>
                      </w:rPr>
                      <w:t> </w:t>
                    </w:r>
                    <w:r>
                      <w:rPr>
                        <w:color w:val="231F20"/>
                        <w:position w:val="14"/>
                        <w:sz w:val="20"/>
                        <w:u w:val="thick" w:color="231F20"/>
                      </w:rPr>
                      <w:tab/>
                    </w:r>
                    <w:r>
                      <w:rPr>
                        <w:color w:val="231F20"/>
                        <w:spacing w:val="-24"/>
                        <w:position w:val="14"/>
                        <w:sz w:val="20"/>
                      </w:rPr>
                      <w:t> </w:t>
                    </w:r>
                    <w:r>
                      <w:rPr>
                        <w:rFonts w:ascii="Helvetica"/>
                        <w:b/>
                        <w:color w:val="231F20"/>
                        <w:sz w:val="16"/>
                      </w:rPr>
                      <w:t>HCO </w:t>
                    </w:r>
                    <w:r>
                      <w:rPr>
                        <w:rFonts w:ascii="Consolas"/>
                        <w:color w:val="231F20"/>
                        <w:position w:val="9"/>
                        <w:sz w:val="9"/>
                      </w:rPr>
                      <w:t>-</w:t>
                    </w:r>
                    <w:r>
                      <w:rPr>
                        <w:rFonts w:ascii="Consolas"/>
                        <w:color w:val="231F20"/>
                        <w:spacing w:val="-12"/>
                        <w:position w:val="9"/>
                        <w:sz w:val="9"/>
                      </w:rPr>
                      <w:t> </w:t>
                    </w:r>
                    <w:r>
                      <w:rPr>
                        <w:rFonts w:ascii="Helvetica"/>
                        <w:b/>
                        <w:color w:val="F0535F"/>
                        <w:position w:val="19"/>
                        <w:sz w:val="17"/>
                      </w:rPr>
                      <w:t>+</w:t>
                    </w:r>
                  </w:p>
                </w:txbxContent>
              </v:textbox>
              <w10:wrap type="none"/>
            </v:shape>
            <v:shape style="position:absolute;left:8263;top:2912;width:87;height:143" type="#_x0000_t202" filled="false" stroked="false">
              <v:textbox inset="0,0,0,0">
                <w:txbxContent>
                  <w:p>
                    <w:pPr>
                      <w:spacing w:before="3"/>
                      <w:ind w:left="0" w:right="0" w:firstLine="0"/>
                      <w:jc w:val="left"/>
                      <w:rPr>
                        <w:rFonts w:ascii="Helvetica"/>
                        <w:b/>
                        <w:sz w:val="12"/>
                      </w:rPr>
                    </w:pPr>
                    <w:r>
                      <w:rPr>
                        <w:rFonts w:ascii="Helvetica"/>
                        <w:b/>
                        <w:color w:val="231F20"/>
                        <w:w w:val="99"/>
                        <w:sz w:val="12"/>
                      </w:rPr>
                      <w:t>3</w:t>
                    </w:r>
                  </w:p>
                </w:txbxContent>
              </v:textbox>
              <w10:wrap type="none"/>
            </v:shape>
            <w10:wrap type="topAndBottom"/>
          </v:group>
        </w:pict>
      </w:r>
    </w:p>
    <w:p>
      <w:pPr>
        <w:spacing w:line="259" w:lineRule="auto" w:before="55"/>
        <w:ind w:left="319" w:right="1077" w:firstLine="0"/>
        <w:jc w:val="both"/>
        <w:rPr>
          <w:rFonts w:ascii="Arial" w:hAnsi="Arial"/>
          <w:sz w:val="16"/>
        </w:rPr>
      </w:pPr>
      <w:bookmarkStart w:name="_bookmark59" w:id="60"/>
      <w:bookmarkEnd w:id="60"/>
      <w:r>
        <w:rPr/>
      </w:r>
      <w:r>
        <w:rPr>
          <w:rFonts w:ascii="Trebuchet MS" w:hAnsi="Trebuchet MS"/>
          <w:b/>
          <w:color w:val="231F20"/>
          <w:sz w:val="16"/>
        </w:rPr>
        <w:t>Figure 28­18. </w:t>
      </w:r>
      <w:r>
        <w:rPr>
          <w:rFonts w:ascii="Arial" w:hAnsi="Arial"/>
          <w:color w:val="231F20"/>
          <w:sz w:val="16"/>
        </w:rPr>
        <w:t>Direct effects of angiotensin II </w:t>
      </w:r>
      <w:r>
        <w:rPr>
          <w:rFonts w:ascii="Lucida Sans" w:hAnsi="Lucida Sans"/>
          <w:i/>
          <w:color w:val="231F20"/>
          <w:sz w:val="16"/>
        </w:rPr>
        <w:t>(Ang II) </w:t>
      </w:r>
      <w:r>
        <w:rPr>
          <w:rFonts w:ascii="Arial" w:hAnsi="Arial"/>
          <w:color w:val="231F20"/>
          <w:sz w:val="16"/>
        </w:rPr>
        <w:t>to increase proximal tubular sodium reabsorption. Ang II stimulates sodium- hydrogen exchange </w:t>
      </w:r>
      <w:r>
        <w:rPr>
          <w:rFonts w:ascii="Lucida Sans" w:hAnsi="Lucida Sans"/>
          <w:i/>
          <w:color w:val="231F20"/>
          <w:sz w:val="16"/>
        </w:rPr>
        <w:t>(NHE) </w:t>
      </w:r>
      <w:r>
        <w:rPr>
          <w:rFonts w:ascii="Arial" w:hAnsi="Arial"/>
          <w:color w:val="231F20"/>
          <w:sz w:val="16"/>
        </w:rPr>
        <w:t>on the luminal membrane and the </w:t>
      </w:r>
      <w:r>
        <w:rPr>
          <w:rFonts w:ascii="Arial" w:hAnsi="Arial"/>
          <w:color w:val="231F20"/>
          <w:w w:val="95"/>
          <w:sz w:val="16"/>
        </w:rPr>
        <w:t>sodium-potassium ATPase transporter as well as sodium-bicarbonate </w:t>
      </w:r>
      <w:r>
        <w:rPr>
          <w:rFonts w:ascii="Arial" w:hAnsi="Arial"/>
          <w:color w:val="231F20"/>
          <w:sz w:val="16"/>
        </w:rPr>
        <w:t>co-transport on the basolateral membrane. These same effects </w:t>
      </w:r>
      <w:r>
        <w:rPr>
          <w:rFonts w:ascii="Arial" w:hAnsi="Arial"/>
          <w:color w:val="231F20"/>
          <w:spacing w:val="-8"/>
          <w:sz w:val="16"/>
        </w:rPr>
        <w:t>of </w:t>
      </w:r>
      <w:r>
        <w:rPr>
          <w:rFonts w:ascii="Arial" w:hAnsi="Arial"/>
          <w:color w:val="231F20"/>
          <w:sz w:val="16"/>
        </w:rPr>
        <w:t>Ang</w:t>
      </w:r>
      <w:r>
        <w:rPr>
          <w:rFonts w:ascii="Arial" w:hAnsi="Arial"/>
          <w:color w:val="231F20"/>
          <w:spacing w:val="-15"/>
          <w:sz w:val="16"/>
        </w:rPr>
        <w:t> </w:t>
      </w:r>
      <w:r>
        <w:rPr>
          <w:rFonts w:ascii="Arial" w:hAnsi="Arial"/>
          <w:color w:val="231F20"/>
          <w:sz w:val="16"/>
        </w:rPr>
        <w:t>II</w:t>
      </w:r>
      <w:r>
        <w:rPr>
          <w:rFonts w:ascii="Arial" w:hAnsi="Arial"/>
          <w:color w:val="231F20"/>
          <w:spacing w:val="-14"/>
          <w:sz w:val="16"/>
        </w:rPr>
        <w:t> </w:t>
      </w:r>
      <w:r>
        <w:rPr>
          <w:rFonts w:ascii="Arial" w:hAnsi="Arial"/>
          <w:color w:val="231F20"/>
          <w:sz w:val="16"/>
        </w:rPr>
        <w:t>likely</w:t>
      </w:r>
      <w:r>
        <w:rPr>
          <w:rFonts w:ascii="Arial" w:hAnsi="Arial"/>
          <w:color w:val="231F20"/>
          <w:spacing w:val="-14"/>
          <w:sz w:val="16"/>
        </w:rPr>
        <w:t> </w:t>
      </w:r>
      <w:r>
        <w:rPr>
          <w:rFonts w:ascii="Arial" w:hAnsi="Arial"/>
          <w:color w:val="231F20"/>
          <w:sz w:val="16"/>
        </w:rPr>
        <w:t>occur</w:t>
      </w:r>
      <w:r>
        <w:rPr>
          <w:rFonts w:ascii="Arial" w:hAnsi="Arial"/>
          <w:color w:val="231F20"/>
          <w:spacing w:val="-14"/>
          <w:sz w:val="16"/>
        </w:rPr>
        <w:t> </w:t>
      </w:r>
      <w:r>
        <w:rPr>
          <w:rFonts w:ascii="Arial" w:hAnsi="Arial"/>
          <w:color w:val="231F20"/>
          <w:sz w:val="16"/>
        </w:rPr>
        <w:t>in</w:t>
      </w:r>
      <w:r>
        <w:rPr>
          <w:rFonts w:ascii="Arial" w:hAnsi="Arial"/>
          <w:color w:val="231F20"/>
          <w:spacing w:val="-14"/>
          <w:sz w:val="16"/>
        </w:rPr>
        <w:t> </w:t>
      </w:r>
      <w:r>
        <w:rPr>
          <w:rFonts w:ascii="Arial" w:hAnsi="Arial"/>
          <w:color w:val="231F20"/>
          <w:sz w:val="16"/>
        </w:rPr>
        <w:t>several</w:t>
      </w:r>
      <w:r>
        <w:rPr>
          <w:rFonts w:ascii="Arial" w:hAnsi="Arial"/>
          <w:color w:val="231F20"/>
          <w:spacing w:val="-14"/>
          <w:sz w:val="16"/>
        </w:rPr>
        <w:t> </w:t>
      </w:r>
      <w:r>
        <w:rPr>
          <w:rFonts w:ascii="Arial" w:hAnsi="Arial"/>
          <w:color w:val="231F20"/>
          <w:sz w:val="16"/>
        </w:rPr>
        <w:t>other</w:t>
      </w:r>
      <w:r>
        <w:rPr>
          <w:rFonts w:ascii="Arial" w:hAnsi="Arial"/>
          <w:color w:val="231F20"/>
          <w:spacing w:val="-14"/>
          <w:sz w:val="16"/>
        </w:rPr>
        <w:t> </w:t>
      </w:r>
      <w:r>
        <w:rPr>
          <w:rFonts w:ascii="Arial" w:hAnsi="Arial"/>
          <w:color w:val="231F20"/>
          <w:sz w:val="16"/>
        </w:rPr>
        <w:t>parts</w:t>
      </w:r>
      <w:r>
        <w:rPr>
          <w:rFonts w:ascii="Arial" w:hAnsi="Arial"/>
          <w:color w:val="231F20"/>
          <w:spacing w:val="-14"/>
          <w:sz w:val="16"/>
        </w:rPr>
        <w:t> </w:t>
      </w:r>
      <w:r>
        <w:rPr>
          <w:rFonts w:ascii="Arial" w:hAnsi="Arial"/>
          <w:color w:val="231F20"/>
          <w:sz w:val="16"/>
        </w:rPr>
        <w:t>of</w:t>
      </w:r>
      <w:r>
        <w:rPr>
          <w:rFonts w:ascii="Arial" w:hAnsi="Arial"/>
          <w:color w:val="231F20"/>
          <w:spacing w:val="-14"/>
          <w:sz w:val="16"/>
        </w:rPr>
        <w:t> </w:t>
      </w:r>
      <w:r>
        <w:rPr>
          <w:rFonts w:ascii="Arial" w:hAnsi="Arial"/>
          <w:color w:val="231F20"/>
          <w:sz w:val="16"/>
        </w:rPr>
        <w:t>the</w:t>
      </w:r>
      <w:r>
        <w:rPr>
          <w:rFonts w:ascii="Arial" w:hAnsi="Arial"/>
          <w:color w:val="231F20"/>
          <w:spacing w:val="-14"/>
          <w:sz w:val="16"/>
        </w:rPr>
        <w:t> </w:t>
      </w:r>
      <w:r>
        <w:rPr>
          <w:rFonts w:ascii="Arial" w:hAnsi="Arial"/>
          <w:color w:val="231F20"/>
          <w:sz w:val="16"/>
        </w:rPr>
        <w:t>renal</w:t>
      </w:r>
      <w:r>
        <w:rPr>
          <w:rFonts w:ascii="Arial" w:hAnsi="Arial"/>
          <w:color w:val="231F20"/>
          <w:spacing w:val="-14"/>
          <w:sz w:val="16"/>
        </w:rPr>
        <w:t> </w:t>
      </w:r>
      <w:r>
        <w:rPr>
          <w:rFonts w:ascii="Arial" w:hAnsi="Arial"/>
          <w:color w:val="231F20"/>
          <w:sz w:val="16"/>
        </w:rPr>
        <w:t>tubule,</w:t>
      </w:r>
      <w:r>
        <w:rPr>
          <w:rFonts w:ascii="Arial" w:hAnsi="Arial"/>
          <w:color w:val="231F20"/>
          <w:spacing w:val="-14"/>
          <w:sz w:val="16"/>
        </w:rPr>
        <w:t> </w:t>
      </w:r>
      <w:r>
        <w:rPr>
          <w:rFonts w:ascii="Arial" w:hAnsi="Arial"/>
          <w:color w:val="231F20"/>
          <w:sz w:val="16"/>
        </w:rPr>
        <w:t>including the loop of Henle, distal tubule, and collecting</w:t>
      </w:r>
      <w:r>
        <w:rPr>
          <w:rFonts w:ascii="Arial" w:hAnsi="Arial"/>
          <w:color w:val="231F20"/>
          <w:spacing w:val="44"/>
          <w:sz w:val="16"/>
        </w:rPr>
        <w:t> </w:t>
      </w:r>
      <w:r>
        <w:rPr>
          <w:rFonts w:ascii="Arial" w:hAnsi="Arial"/>
          <w:color w:val="231F20"/>
          <w:sz w:val="16"/>
        </w:rPr>
        <w:t>tubule.</w:t>
      </w:r>
    </w:p>
    <w:p>
      <w:pPr>
        <w:spacing w:after="0" w:line="259" w:lineRule="auto"/>
        <w:jc w:val="both"/>
        <w:rPr>
          <w:rFonts w:ascii="Arial" w:hAnsi="Arial"/>
          <w:sz w:val="16"/>
        </w:rPr>
        <w:sectPr>
          <w:type w:val="continuous"/>
          <w:pgSz w:w="12240" w:h="15660"/>
          <w:pgMar w:top="0" w:bottom="760" w:left="0" w:right="0"/>
          <w:cols w:num="2" w:equalWidth="0">
            <w:col w:w="6121" w:space="40"/>
            <w:col w:w="6079"/>
          </w:cols>
        </w:sectPr>
      </w:pPr>
    </w:p>
    <w:p>
      <w:pPr>
        <w:pStyle w:val="BodyText"/>
        <w:spacing w:before="2"/>
        <w:rPr>
          <w:rFonts w:ascii="Arial"/>
          <w:sz w:val="19"/>
        </w:rPr>
      </w:pPr>
    </w:p>
    <w:p>
      <w:pPr>
        <w:spacing w:after="0"/>
        <w:rPr>
          <w:rFonts w:ascii="Arial"/>
          <w:sz w:val="19"/>
        </w:rPr>
        <w:sectPr>
          <w:headerReference w:type="even" r:id="rId708"/>
          <w:footerReference w:type="even" r:id="rId709"/>
          <w:footerReference w:type="default" r:id="rId710"/>
          <w:pgSz w:w="12240" w:h="15660"/>
          <w:pgMar w:header="0" w:footer="567" w:top="720" w:bottom="760" w:left="0" w:right="0"/>
          <w:pgNumType w:start="364"/>
        </w:sectPr>
      </w:pPr>
    </w:p>
    <w:p>
      <w:pPr>
        <w:pStyle w:val="BodyText"/>
        <w:spacing w:line="249" w:lineRule="auto" w:before="99"/>
        <w:ind w:left="1080"/>
        <w:jc w:val="both"/>
      </w:pPr>
      <w:r>
        <w:rPr>
          <w:color w:val="231F20"/>
          <w:w w:val="105"/>
        </w:rPr>
        <w:t>efferent</w:t>
      </w:r>
      <w:r>
        <w:rPr>
          <w:color w:val="231F20"/>
          <w:spacing w:val="-13"/>
          <w:w w:val="105"/>
        </w:rPr>
        <w:t> </w:t>
      </w:r>
      <w:r>
        <w:rPr>
          <w:color w:val="231F20"/>
          <w:w w:val="105"/>
        </w:rPr>
        <w:t>arterioles</w:t>
      </w:r>
      <w:r>
        <w:rPr>
          <w:color w:val="231F20"/>
          <w:spacing w:val="-12"/>
          <w:w w:val="105"/>
        </w:rPr>
        <w:t> </w:t>
      </w:r>
      <w:r>
        <w:rPr>
          <w:color w:val="231F20"/>
          <w:w w:val="105"/>
        </w:rPr>
        <w:t>also</w:t>
      </w:r>
      <w:r>
        <w:rPr>
          <w:color w:val="231F20"/>
          <w:spacing w:val="-12"/>
          <w:w w:val="105"/>
        </w:rPr>
        <w:t> </w:t>
      </w:r>
      <w:r>
        <w:rPr>
          <w:color w:val="231F20"/>
          <w:w w:val="105"/>
        </w:rPr>
        <w:t>aids</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maintenance</w:t>
      </w:r>
      <w:r>
        <w:rPr>
          <w:color w:val="231F20"/>
          <w:spacing w:val="-13"/>
          <w:w w:val="105"/>
        </w:rPr>
        <w:t> </w:t>
      </w:r>
      <w:r>
        <w:rPr>
          <w:color w:val="231F20"/>
          <w:w w:val="105"/>
        </w:rPr>
        <w:t>of</w:t>
      </w:r>
      <w:r>
        <w:rPr>
          <w:color w:val="231F20"/>
          <w:spacing w:val="-12"/>
          <w:w w:val="105"/>
        </w:rPr>
        <w:t> </w:t>
      </w:r>
      <w:r>
        <w:rPr>
          <w:color w:val="231F20"/>
          <w:spacing w:val="-3"/>
          <w:w w:val="105"/>
        </w:rPr>
        <w:t>normal </w:t>
      </w:r>
      <w:r>
        <w:rPr>
          <w:color w:val="231F20"/>
          <w:w w:val="105"/>
        </w:rPr>
        <w:t>excretion of metabolic waste products such as urea and creatinine that depend mainly on an adequate GFR </w:t>
      </w:r>
      <w:r>
        <w:rPr>
          <w:color w:val="231F20"/>
          <w:spacing w:val="-6"/>
          <w:w w:val="105"/>
        </w:rPr>
        <w:t>for </w:t>
      </w:r>
      <w:r>
        <w:rPr>
          <w:color w:val="231F20"/>
          <w:w w:val="105"/>
        </w:rPr>
        <w:t>their</w:t>
      </w:r>
      <w:r>
        <w:rPr>
          <w:color w:val="231F20"/>
          <w:spacing w:val="-18"/>
          <w:w w:val="105"/>
        </w:rPr>
        <w:t> </w:t>
      </w:r>
      <w:r>
        <w:rPr>
          <w:color w:val="231F20"/>
          <w:w w:val="105"/>
        </w:rPr>
        <w:t>excretion.</w:t>
      </w:r>
      <w:r>
        <w:rPr>
          <w:color w:val="231F20"/>
          <w:spacing w:val="-17"/>
          <w:w w:val="105"/>
        </w:rPr>
        <w:t> </w:t>
      </w:r>
      <w:r>
        <w:rPr>
          <w:color w:val="231F20"/>
          <w:w w:val="105"/>
        </w:rPr>
        <w:t>Thus,</w:t>
      </w:r>
      <w:r>
        <w:rPr>
          <w:color w:val="231F20"/>
          <w:spacing w:val="-17"/>
          <w:w w:val="105"/>
        </w:rPr>
        <w:t> </w:t>
      </w:r>
      <w:r>
        <w:rPr>
          <w:color w:val="231F20"/>
          <w:w w:val="105"/>
        </w:rPr>
        <w:t>increased</w:t>
      </w:r>
      <w:r>
        <w:rPr>
          <w:color w:val="231F20"/>
          <w:spacing w:val="-17"/>
          <w:w w:val="105"/>
        </w:rPr>
        <w:t> </w:t>
      </w:r>
      <w:r>
        <w:rPr>
          <w:color w:val="231F20"/>
          <w:w w:val="105"/>
        </w:rPr>
        <w:t>formation</w:t>
      </w:r>
      <w:r>
        <w:rPr>
          <w:color w:val="231F20"/>
          <w:spacing w:val="-17"/>
          <w:w w:val="105"/>
        </w:rPr>
        <w:t> </w:t>
      </w:r>
      <w:r>
        <w:rPr>
          <w:color w:val="231F20"/>
          <w:w w:val="105"/>
        </w:rPr>
        <w:t>of</w:t>
      </w:r>
      <w:r>
        <w:rPr>
          <w:color w:val="231F20"/>
          <w:spacing w:val="-17"/>
          <w:w w:val="105"/>
        </w:rPr>
        <w:t> </w:t>
      </w:r>
      <w:r>
        <w:rPr>
          <w:color w:val="231F20"/>
          <w:w w:val="105"/>
        </w:rPr>
        <w:t>angiotensin II</w:t>
      </w:r>
      <w:r>
        <w:rPr>
          <w:color w:val="231F20"/>
          <w:spacing w:val="-18"/>
          <w:w w:val="105"/>
        </w:rPr>
        <w:t> </w:t>
      </w:r>
      <w:r>
        <w:rPr>
          <w:color w:val="231F20"/>
          <w:w w:val="105"/>
        </w:rPr>
        <w:t>permits</w:t>
      </w:r>
      <w:r>
        <w:rPr>
          <w:color w:val="231F20"/>
          <w:spacing w:val="-18"/>
          <w:w w:val="105"/>
        </w:rPr>
        <w:t> </w:t>
      </w:r>
      <w:r>
        <w:rPr>
          <w:color w:val="231F20"/>
          <w:w w:val="105"/>
        </w:rPr>
        <w:t>the</w:t>
      </w:r>
      <w:r>
        <w:rPr>
          <w:color w:val="231F20"/>
          <w:spacing w:val="-18"/>
          <w:w w:val="105"/>
        </w:rPr>
        <w:t> </w:t>
      </w:r>
      <w:r>
        <w:rPr>
          <w:color w:val="231F20"/>
          <w:w w:val="105"/>
        </w:rPr>
        <w:t>kidneys</w:t>
      </w:r>
      <w:r>
        <w:rPr>
          <w:color w:val="231F20"/>
          <w:spacing w:val="-17"/>
          <w:w w:val="105"/>
        </w:rPr>
        <w:t> </w:t>
      </w:r>
      <w:r>
        <w:rPr>
          <w:color w:val="231F20"/>
          <w:w w:val="105"/>
        </w:rPr>
        <w:t>to</w:t>
      </w:r>
      <w:r>
        <w:rPr>
          <w:color w:val="231F20"/>
          <w:spacing w:val="-18"/>
          <w:w w:val="105"/>
        </w:rPr>
        <w:t> </w:t>
      </w:r>
      <w:r>
        <w:rPr>
          <w:color w:val="231F20"/>
          <w:w w:val="105"/>
        </w:rPr>
        <w:t>retain</w:t>
      </w:r>
      <w:r>
        <w:rPr>
          <w:color w:val="231F20"/>
          <w:spacing w:val="-18"/>
          <w:w w:val="105"/>
        </w:rPr>
        <w:t> </w:t>
      </w:r>
      <w:r>
        <w:rPr>
          <w:color w:val="231F20"/>
          <w:w w:val="105"/>
        </w:rPr>
        <w:t>sodium</w:t>
      </w:r>
      <w:r>
        <w:rPr>
          <w:color w:val="231F20"/>
          <w:spacing w:val="-18"/>
          <w:w w:val="105"/>
        </w:rPr>
        <w:t> </w:t>
      </w:r>
      <w:r>
        <w:rPr>
          <w:color w:val="231F20"/>
          <w:w w:val="105"/>
        </w:rPr>
        <w:t>and</w:t>
      </w:r>
      <w:r>
        <w:rPr>
          <w:color w:val="231F20"/>
          <w:spacing w:val="-18"/>
          <w:w w:val="105"/>
        </w:rPr>
        <w:t> </w:t>
      </w:r>
      <w:r>
        <w:rPr>
          <w:color w:val="231F20"/>
          <w:w w:val="105"/>
        </w:rPr>
        <w:t>water</w:t>
      </w:r>
      <w:r>
        <w:rPr>
          <w:color w:val="231F20"/>
          <w:spacing w:val="-17"/>
          <w:w w:val="105"/>
        </w:rPr>
        <w:t> </w:t>
      </w:r>
      <w:r>
        <w:rPr>
          <w:color w:val="231F20"/>
          <w:w w:val="105"/>
        </w:rPr>
        <w:t>without causing retention of metabolic waste</w:t>
      </w:r>
      <w:r>
        <w:rPr>
          <w:color w:val="231F20"/>
          <w:spacing w:val="2"/>
          <w:w w:val="105"/>
        </w:rPr>
        <w:t> </w:t>
      </w:r>
      <w:r>
        <w:rPr>
          <w:color w:val="231F20"/>
          <w:w w:val="105"/>
        </w:rPr>
        <w:t>products.</w:t>
      </w:r>
    </w:p>
    <w:p>
      <w:pPr>
        <w:pStyle w:val="BodyText"/>
        <w:spacing w:line="249" w:lineRule="auto" w:before="245"/>
        <w:ind w:left="1072"/>
        <w:jc w:val="right"/>
      </w:pPr>
      <w:r>
        <w:rPr/>
        <w:pict>
          <v:rect style="position:absolute;margin-left:0pt;margin-top:68.236023pt;width:36pt;height:24pt;mso-position-horizontal-relative:page;mso-position-vertical-relative:paragraph;z-index:252276736" filled="true" fillcolor="#e8dac8" stroked="false">
            <v:fill type="solid"/>
            <w10:wrap type="none"/>
          </v:rect>
        </w:pict>
      </w:r>
      <w:r>
        <w:rPr>
          <w:rFonts w:ascii="Trebuchet MS"/>
          <w:b/>
          <w:color w:val="231F20"/>
          <w:w w:val="105"/>
          <w:sz w:val="19"/>
        </w:rPr>
        <w:t>ADH Increases Water</w:t>
      </w:r>
      <w:r>
        <w:rPr>
          <w:rFonts w:ascii="Trebuchet MS"/>
          <w:b/>
          <w:color w:val="231F20"/>
          <w:spacing w:val="-23"/>
          <w:w w:val="105"/>
          <w:sz w:val="19"/>
        </w:rPr>
        <w:t> </w:t>
      </w:r>
      <w:r>
        <w:rPr>
          <w:rFonts w:ascii="Trebuchet MS"/>
          <w:b/>
          <w:color w:val="231F20"/>
          <w:w w:val="105"/>
          <w:sz w:val="19"/>
        </w:rPr>
        <w:t>Reabsorption. </w:t>
      </w:r>
      <w:r>
        <w:rPr>
          <w:color w:val="231F20"/>
          <w:w w:val="105"/>
        </w:rPr>
        <w:t>The most</w:t>
      </w:r>
      <w:r>
        <w:rPr>
          <w:color w:val="231F20"/>
          <w:spacing w:val="32"/>
          <w:w w:val="105"/>
        </w:rPr>
        <w:t> </w:t>
      </w:r>
      <w:r>
        <w:rPr>
          <w:color w:val="231F20"/>
          <w:spacing w:val="-5"/>
          <w:w w:val="105"/>
        </w:rPr>
        <w:t>im-</w:t>
      </w:r>
      <w:r>
        <w:rPr>
          <w:color w:val="231F20"/>
          <w:w w:val="109"/>
        </w:rPr>
        <w:t> </w:t>
      </w:r>
      <w:r>
        <w:rPr>
          <w:color w:val="231F20"/>
          <w:w w:val="105"/>
        </w:rPr>
        <w:t>portant</w:t>
      </w:r>
      <w:r>
        <w:rPr>
          <w:color w:val="231F20"/>
          <w:spacing w:val="36"/>
          <w:w w:val="105"/>
        </w:rPr>
        <w:t> </w:t>
      </w:r>
      <w:r>
        <w:rPr>
          <w:color w:val="231F20"/>
          <w:w w:val="105"/>
        </w:rPr>
        <w:t>renal</w:t>
      </w:r>
      <w:r>
        <w:rPr>
          <w:color w:val="231F20"/>
          <w:spacing w:val="36"/>
          <w:w w:val="105"/>
        </w:rPr>
        <w:t> </w:t>
      </w:r>
      <w:r>
        <w:rPr>
          <w:color w:val="231F20"/>
          <w:w w:val="105"/>
        </w:rPr>
        <w:t>action</w:t>
      </w:r>
      <w:r>
        <w:rPr>
          <w:color w:val="231F20"/>
          <w:spacing w:val="36"/>
          <w:w w:val="105"/>
        </w:rPr>
        <w:t> </w:t>
      </w:r>
      <w:r>
        <w:rPr>
          <w:color w:val="231F20"/>
          <w:w w:val="105"/>
        </w:rPr>
        <w:t>of</w:t>
      </w:r>
      <w:r>
        <w:rPr>
          <w:color w:val="231F20"/>
          <w:spacing w:val="36"/>
          <w:w w:val="105"/>
        </w:rPr>
        <w:t> </w:t>
      </w:r>
      <w:r>
        <w:rPr>
          <w:color w:val="231F20"/>
          <w:w w:val="105"/>
        </w:rPr>
        <w:t>ADH</w:t>
      </w:r>
      <w:r>
        <w:rPr>
          <w:color w:val="231F20"/>
          <w:spacing w:val="36"/>
          <w:w w:val="105"/>
        </w:rPr>
        <w:t> </w:t>
      </w:r>
      <w:r>
        <w:rPr>
          <w:color w:val="231F20"/>
          <w:w w:val="105"/>
        </w:rPr>
        <w:t>is</w:t>
      </w:r>
      <w:r>
        <w:rPr>
          <w:color w:val="231F20"/>
          <w:spacing w:val="37"/>
          <w:w w:val="105"/>
        </w:rPr>
        <w:t> </w:t>
      </w:r>
      <w:r>
        <w:rPr>
          <w:color w:val="231F20"/>
          <w:w w:val="105"/>
        </w:rPr>
        <w:t>to</w:t>
      </w:r>
      <w:r>
        <w:rPr>
          <w:color w:val="231F20"/>
          <w:spacing w:val="36"/>
          <w:w w:val="105"/>
        </w:rPr>
        <w:t> </w:t>
      </w:r>
      <w:r>
        <w:rPr>
          <w:color w:val="231F20"/>
          <w:w w:val="105"/>
        </w:rPr>
        <w:t>increase</w:t>
      </w:r>
      <w:r>
        <w:rPr>
          <w:color w:val="231F20"/>
          <w:spacing w:val="36"/>
          <w:w w:val="105"/>
        </w:rPr>
        <w:t> </w:t>
      </w:r>
      <w:r>
        <w:rPr>
          <w:color w:val="231F20"/>
          <w:w w:val="105"/>
        </w:rPr>
        <w:t>the</w:t>
      </w:r>
      <w:r>
        <w:rPr>
          <w:color w:val="231F20"/>
          <w:spacing w:val="36"/>
          <w:w w:val="105"/>
        </w:rPr>
        <w:t> </w:t>
      </w:r>
      <w:r>
        <w:rPr>
          <w:color w:val="231F20"/>
          <w:w w:val="105"/>
        </w:rPr>
        <w:t>water</w:t>
      </w:r>
      <w:r>
        <w:rPr>
          <w:color w:val="231F20"/>
          <w:w w:val="105"/>
        </w:rPr>
        <w:t> </w:t>
      </w:r>
      <w:r>
        <w:rPr>
          <w:color w:val="231F20"/>
          <w:w w:val="105"/>
        </w:rPr>
        <w:t>permeability of the distal tubule, collecting</w:t>
      </w:r>
      <w:r>
        <w:rPr>
          <w:color w:val="231F20"/>
          <w:spacing w:val="12"/>
          <w:w w:val="105"/>
        </w:rPr>
        <w:t> </w:t>
      </w:r>
      <w:r>
        <w:rPr>
          <w:color w:val="231F20"/>
          <w:w w:val="105"/>
        </w:rPr>
        <w:t>tubule,</w:t>
      </w:r>
      <w:r>
        <w:rPr>
          <w:color w:val="231F20"/>
          <w:spacing w:val="10"/>
          <w:w w:val="105"/>
        </w:rPr>
        <w:t> </w:t>
      </w:r>
      <w:r>
        <w:rPr>
          <w:color w:val="231F20"/>
          <w:spacing w:val="-5"/>
          <w:w w:val="105"/>
        </w:rPr>
        <w:t>and</w:t>
      </w:r>
      <w:r>
        <w:rPr>
          <w:color w:val="231F20"/>
          <w:w w:val="105"/>
        </w:rPr>
        <w:t> </w:t>
      </w:r>
      <w:r>
        <w:rPr>
          <w:color w:val="231F20"/>
          <w:w w:val="105"/>
        </w:rPr>
        <w:t>collecting</w:t>
      </w:r>
      <w:r>
        <w:rPr>
          <w:color w:val="231F20"/>
          <w:spacing w:val="18"/>
          <w:w w:val="105"/>
        </w:rPr>
        <w:t> </w:t>
      </w:r>
      <w:r>
        <w:rPr>
          <w:color w:val="231F20"/>
          <w:w w:val="105"/>
        </w:rPr>
        <w:t>duct</w:t>
      </w:r>
      <w:r>
        <w:rPr>
          <w:color w:val="231F20"/>
          <w:spacing w:val="19"/>
          <w:w w:val="105"/>
        </w:rPr>
        <w:t> </w:t>
      </w:r>
      <w:r>
        <w:rPr>
          <w:color w:val="231F20"/>
          <w:w w:val="105"/>
        </w:rPr>
        <w:t>epithelia.</w:t>
      </w:r>
      <w:r>
        <w:rPr>
          <w:color w:val="231F20"/>
          <w:spacing w:val="19"/>
          <w:w w:val="105"/>
        </w:rPr>
        <w:t> </w:t>
      </w:r>
      <w:r>
        <w:rPr>
          <w:color w:val="231F20"/>
          <w:w w:val="105"/>
        </w:rPr>
        <w:t>This</w:t>
      </w:r>
      <w:r>
        <w:rPr>
          <w:color w:val="231F20"/>
          <w:spacing w:val="19"/>
          <w:w w:val="105"/>
        </w:rPr>
        <w:t> </w:t>
      </w:r>
      <w:r>
        <w:rPr>
          <w:color w:val="231F20"/>
          <w:w w:val="105"/>
        </w:rPr>
        <w:t>effect</w:t>
      </w:r>
      <w:r>
        <w:rPr>
          <w:color w:val="231F20"/>
          <w:spacing w:val="19"/>
          <w:w w:val="105"/>
        </w:rPr>
        <w:t> </w:t>
      </w:r>
      <w:r>
        <w:rPr>
          <w:color w:val="231F20"/>
          <w:w w:val="105"/>
        </w:rPr>
        <w:t>helps</w:t>
      </w:r>
      <w:r>
        <w:rPr>
          <w:color w:val="231F20"/>
          <w:spacing w:val="18"/>
          <w:w w:val="105"/>
        </w:rPr>
        <w:t> </w:t>
      </w:r>
      <w:r>
        <w:rPr>
          <w:color w:val="231F20"/>
          <w:w w:val="105"/>
        </w:rPr>
        <w:t>the</w:t>
      </w:r>
      <w:r>
        <w:rPr>
          <w:color w:val="231F20"/>
          <w:spacing w:val="19"/>
          <w:w w:val="105"/>
        </w:rPr>
        <w:t> </w:t>
      </w:r>
      <w:r>
        <w:rPr>
          <w:color w:val="231F20"/>
          <w:w w:val="105"/>
        </w:rPr>
        <w:t>body</w:t>
      </w:r>
      <w:r>
        <w:rPr>
          <w:color w:val="231F20"/>
          <w:spacing w:val="19"/>
          <w:w w:val="105"/>
        </w:rPr>
        <w:t> </w:t>
      </w:r>
      <w:r>
        <w:rPr>
          <w:color w:val="231F20"/>
          <w:w w:val="105"/>
        </w:rPr>
        <w:t>to</w:t>
      </w:r>
      <w:r>
        <w:rPr>
          <w:color w:val="231F20"/>
          <w:w w:val="103"/>
        </w:rPr>
        <w:t> </w:t>
      </w:r>
      <w:r>
        <w:rPr>
          <w:color w:val="231F20"/>
          <w:w w:val="105"/>
        </w:rPr>
        <w:t>conserve</w:t>
      </w:r>
      <w:r>
        <w:rPr>
          <w:color w:val="231F20"/>
          <w:spacing w:val="-8"/>
          <w:w w:val="105"/>
        </w:rPr>
        <w:t> </w:t>
      </w:r>
      <w:r>
        <w:rPr>
          <w:color w:val="231F20"/>
          <w:w w:val="105"/>
        </w:rPr>
        <w:t>water</w:t>
      </w:r>
      <w:r>
        <w:rPr>
          <w:color w:val="231F20"/>
          <w:spacing w:val="-7"/>
          <w:w w:val="105"/>
        </w:rPr>
        <w:t> </w:t>
      </w:r>
      <w:r>
        <w:rPr>
          <w:color w:val="231F20"/>
          <w:w w:val="105"/>
        </w:rPr>
        <w:t>in</w:t>
      </w:r>
      <w:r>
        <w:rPr>
          <w:color w:val="231F20"/>
          <w:spacing w:val="-7"/>
          <w:w w:val="105"/>
        </w:rPr>
        <w:t> </w:t>
      </w:r>
      <w:r>
        <w:rPr>
          <w:color w:val="231F20"/>
          <w:w w:val="105"/>
        </w:rPr>
        <w:t>circumstances</w:t>
      </w:r>
      <w:r>
        <w:rPr>
          <w:color w:val="231F20"/>
          <w:spacing w:val="-7"/>
          <w:w w:val="105"/>
        </w:rPr>
        <w:t> </w:t>
      </w:r>
      <w:r>
        <w:rPr>
          <w:color w:val="231F20"/>
          <w:w w:val="105"/>
        </w:rPr>
        <w:t>such</w:t>
      </w:r>
      <w:r>
        <w:rPr>
          <w:color w:val="231F20"/>
          <w:spacing w:val="-7"/>
          <w:w w:val="105"/>
        </w:rPr>
        <w:t> </w:t>
      </w:r>
      <w:r>
        <w:rPr>
          <w:color w:val="231F20"/>
          <w:w w:val="105"/>
        </w:rPr>
        <w:t>as</w:t>
      </w:r>
      <w:r>
        <w:rPr>
          <w:color w:val="231F20"/>
          <w:spacing w:val="-7"/>
          <w:w w:val="105"/>
        </w:rPr>
        <w:t> </w:t>
      </w:r>
      <w:r>
        <w:rPr>
          <w:color w:val="231F20"/>
          <w:w w:val="105"/>
        </w:rPr>
        <w:t>dehydration.</w:t>
      </w:r>
      <w:r>
        <w:rPr>
          <w:color w:val="231F20"/>
          <w:spacing w:val="-7"/>
          <w:w w:val="105"/>
        </w:rPr>
        <w:t> </w:t>
      </w:r>
      <w:r>
        <w:rPr>
          <w:color w:val="231F20"/>
          <w:spacing w:val="-6"/>
          <w:w w:val="105"/>
        </w:rPr>
        <w:t>In</w:t>
      </w:r>
      <w:r>
        <w:rPr>
          <w:color w:val="231F20"/>
          <w:w w:val="104"/>
        </w:rPr>
        <w:t> </w:t>
      </w:r>
      <w:r>
        <w:rPr>
          <w:color w:val="231F20"/>
          <w:w w:val="105"/>
        </w:rPr>
        <w:t>the</w:t>
      </w:r>
      <w:r>
        <w:rPr>
          <w:color w:val="231F20"/>
          <w:spacing w:val="-25"/>
          <w:w w:val="105"/>
        </w:rPr>
        <w:t> </w:t>
      </w:r>
      <w:r>
        <w:rPr>
          <w:color w:val="231F20"/>
          <w:w w:val="105"/>
        </w:rPr>
        <w:t>absence</w:t>
      </w:r>
      <w:r>
        <w:rPr>
          <w:color w:val="231F20"/>
          <w:spacing w:val="-24"/>
          <w:w w:val="105"/>
        </w:rPr>
        <w:t> </w:t>
      </w:r>
      <w:r>
        <w:rPr>
          <w:color w:val="231F20"/>
          <w:w w:val="105"/>
        </w:rPr>
        <w:t>of</w:t>
      </w:r>
      <w:r>
        <w:rPr>
          <w:color w:val="231F20"/>
          <w:spacing w:val="-24"/>
          <w:w w:val="105"/>
        </w:rPr>
        <w:t> </w:t>
      </w:r>
      <w:r>
        <w:rPr>
          <w:color w:val="231F20"/>
          <w:w w:val="105"/>
        </w:rPr>
        <w:t>ADH,</w:t>
      </w:r>
      <w:r>
        <w:rPr>
          <w:color w:val="231F20"/>
          <w:spacing w:val="-25"/>
          <w:w w:val="105"/>
        </w:rPr>
        <w:t> </w:t>
      </w:r>
      <w:r>
        <w:rPr>
          <w:color w:val="231F20"/>
          <w:w w:val="105"/>
        </w:rPr>
        <w:t>the</w:t>
      </w:r>
      <w:r>
        <w:rPr>
          <w:color w:val="231F20"/>
          <w:spacing w:val="-24"/>
          <w:w w:val="105"/>
        </w:rPr>
        <w:t> </w:t>
      </w:r>
      <w:r>
        <w:rPr>
          <w:color w:val="231F20"/>
          <w:w w:val="105"/>
        </w:rPr>
        <w:t>permeability</w:t>
      </w:r>
      <w:r>
        <w:rPr>
          <w:color w:val="231F20"/>
          <w:spacing w:val="-24"/>
          <w:w w:val="105"/>
        </w:rPr>
        <w:t> </w:t>
      </w:r>
      <w:r>
        <w:rPr>
          <w:color w:val="231F20"/>
          <w:w w:val="105"/>
        </w:rPr>
        <w:t>of</w:t>
      </w:r>
      <w:r>
        <w:rPr>
          <w:color w:val="231F20"/>
          <w:spacing w:val="-25"/>
          <w:w w:val="105"/>
        </w:rPr>
        <w:t> </w:t>
      </w:r>
      <w:r>
        <w:rPr>
          <w:color w:val="231F20"/>
          <w:w w:val="105"/>
        </w:rPr>
        <w:t>the</w:t>
      </w:r>
      <w:r>
        <w:rPr>
          <w:color w:val="231F20"/>
          <w:spacing w:val="-24"/>
          <w:w w:val="105"/>
        </w:rPr>
        <w:t> </w:t>
      </w:r>
      <w:r>
        <w:rPr>
          <w:color w:val="231F20"/>
          <w:w w:val="105"/>
        </w:rPr>
        <w:t>distal</w:t>
      </w:r>
      <w:r>
        <w:rPr>
          <w:color w:val="231F20"/>
          <w:spacing w:val="-24"/>
          <w:w w:val="105"/>
        </w:rPr>
        <w:t> </w:t>
      </w:r>
      <w:r>
        <w:rPr>
          <w:color w:val="231F20"/>
          <w:w w:val="105"/>
        </w:rPr>
        <w:t>tubules</w:t>
      </w:r>
      <w:r>
        <w:rPr>
          <w:color w:val="231F20"/>
          <w:w w:val="97"/>
        </w:rPr>
        <w:t> </w:t>
      </w:r>
      <w:r>
        <w:rPr>
          <w:color w:val="231F20"/>
          <w:w w:val="105"/>
        </w:rPr>
        <w:t>and</w:t>
      </w:r>
      <w:r>
        <w:rPr>
          <w:color w:val="231F20"/>
          <w:spacing w:val="-7"/>
          <w:w w:val="105"/>
        </w:rPr>
        <w:t> </w:t>
      </w:r>
      <w:r>
        <w:rPr>
          <w:color w:val="231F20"/>
          <w:w w:val="105"/>
        </w:rPr>
        <w:t>collecting</w:t>
      </w:r>
      <w:r>
        <w:rPr>
          <w:color w:val="231F20"/>
          <w:spacing w:val="-7"/>
          <w:w w:val="105"/>
        </w:rPr>
        <w:t> </w:t>
      </w:r>
      <w:r>
        <w:rPr>
          <w:color w:val="231F20"/>
          <w:w w:val="105"/>
        </w:rPr>
        <w:t>ducts</w:t>
      </w:r>
      <w:r>
        <w:rPr>
          <w:color w:val="231F20"/>
          <w:spacing w:val="-7"/>
          <w:w w:val="105"/>
        </w:rPr>
        <w:t> </w:t>
      </w:r>
      <w:r>
        <w:rPr>
          <w:color w:val="231F20"/>
          <w:w w:val="105"/>
        </w:rPr>
        <w:t>to</w:t>
      </w:r>
      <w:r>
        <w:rPr>
          <w:color w:val="231F20"/>
          <w:spacing w:val="-7"/>
          <w:w w:val="105"/>
        </w:rPr>
        <w:t> </w:t>
      </w:r>
      <w:r>
        <w:rPr>
          <w:color w:val="231F20"/>
          <w:w w:val="105"/>
        </w:rPr>
        <w:t>water</w:t>
      </w:r>
      <w:r>
        <w:rPr>
          <w:color w:val="231F20"/>
          <w:spacing w:val="-7"/>
          <w:w w:val="105"/>
        </w:rPr>
        <w:t> </w:t>
      </w:r>
      <w:r>
        <w:rPr>
          <w:color w:val="231F20"/>
          <w:w w:val="105"/>
        </w:rPr>
        <w:t>is</w:t>
      </w:r>
      <w:r>
        <w:rPr>
          <w:color w:val="231F20"/>
          <w:spacing w:val="-7"/>
          <w:w w:val="105"/>
        </w:rPr>
        <w:t> </w:t>
      </w:r>
      <w:r>
        <w:rPr>
          <w:color w:val="231F20"/>
          <w:spacing w:val="-3"/>
          <w:w w:val="105"/>
        </w:rPr>
        <w:t>low,</w:t>
      </w:r>
      <w:r>
        <w:rPr>
          <w:color w:val="231F20"/>
          <w:spacing w:val="-7"/>
          <w:w w:val="105"/>
        </w:rPr>
        <w:t> </w:t>
      </w:r>
      <w:r>
        <w:rPr>
          <w:color w:val="231F20"/>
          <w:w w:val="105"/>
        </w:rPr>
        <w:t>causing</w:t>
      </w:r>
      <w:r>
        <w:rPr>
          <w:color w:val="231F20"/>
          <w:spacing w:val="-7"/>
          <w:w w:val="105"/>
        </w:rPr>
        <w:t> </w:t>
      </w:r>
      <w:r>
        <w:rPr>
          <w:color w:val="231F20"/>
          <w:w w:val="105"/>
        </w:rPr>
        <w:t>the</w:t>
      </w:r>
      <w:r>
        <w:rPr>
          <w:color w:val="231F20"/>
          <w:spacing w:val="-6"/>
          <w:w w:val="105"/>
        </w:rPr>
        <w:t> </w:t>
      </w:r>
      <w:r>
        <w:rPr>
          <w:color w:val="231F20"/>
          <w:w w:val="105"/>
        </w:rPr>
        <w:t>kidneys</w:t>
      </w:r>
      <w:r>
        <w:rPr>
          <w:color w:val="231F20"/>
          <w:w w:val="93"/>
        </w:rPr>
        <w:t> </w:t>
      </w:r>
      <w:r>
        <w:rPr>
          <w:color w:val="231F20"/>
          <w:w w:val="105"/>
        </w:rPr>
        <w:t>to</w:t>
      </w:r>
      <w:r>
        <w:rPr>
          <w:color w:val="231F20"/>
          <w:spacing w:val="-26"/>
          <w:w w:val="105"/>
        </w:rPr>
        <w:t> </w:t>
      </w:r>
      <w:r>
        <w:rPr>
          <w:color w:val="231F20"/>
          <w:w w:val="105"/>
        </w:rPr>
        <w:t>excrete</w:t>
      </w:r>
      <w:r>
        <w:rPr>
          <w:color w:val="231F20"/>
          <w:spacing w:val="-26"/>
          <w:w w:val="105"/>
        </w:rPr>
        <w:t> </w:t>
      </w:r>
      <w:r>
        <w:rPr>
          <w:color w:val="231F20"/>
          <w:w w:val="105"/>
        </w:rPr>
        <w:t>large</w:t>
      </w:r>
      <w:r>
        <w:rPr>
          <w:color w:val="231F20"/>
          <w:spacing w:val="-25"/>
          <w:w w:val="105"/>
        </w:rPr>
        <w:t> </w:t>
      </w:r>
      <w:r>
        <w:rPr>
          <w:color w:val="231F20"/>
          <w:w w:val="105"/>
        </w:rPr>
        <w:t>amounts</w:t>
      </w:r>
      <w:r>
        <w:rPr>
          <w:color w:val="231F20"/>
          <w:spacing w:val="-26"/>
          <w:w w:val="105"/>
        </w:rPr>
        <w:t> </w:t>
      </w:r>
      <w:r>
        <w:rPr>
          <w:color w:val="231F20"/>
          <w:w w:val="105"/>
        </w:rPr>
        <w:t>of</w:t>
      </w:r>
      <w:r>
        <w:rPr>
          <w:color w:val="231F20"/>
          <w:spacing w:val="-26"/>
          <w:w w:val="105"/>
        </w:rPr>
        <w:t> </w:t>
      </w:r>
      <w:r>
        <w:rPr>
          <w:color w:val="231F20"/>
          <w:w w:val="105"/>
        </w:rPr>
        <w:t>dilute</w:t>
      </w:r>
      <w:r>
        <w:rPr>
          <w:color w:val="231F20"/>
          <w:spacing w:val="-25"/>
          <w:w w:val="105"/>
        </w:rPr>
        <w:t> </w:t>
      </w:r>
      <w:r>
        <w:rPr>
          <w:color w:val="231F20"/>
          <w:w w:val="105"/>
        </w:rPr>
        <w:t>urine,</w:t>
      </w:r>
      <w:r>
        <w:rPr>
          <w:color w:val="231F20"/>
          <w:spacing w:val="-26"/>
          <w:w w:val="105"/>
        </w:rPr>
        <w:t> </w:t>
      </w:r>
      <w:r>
        <w:rPr>
          <w:color w:val="231F20"/>
          <w:w w:val="105"/>
        </w:rPr>
        <w:t>a</w:t>
      </w:r>
      <w:r>
        <w:rPr>
          <w:color w:val="231F20"/>
          <w:spacing w:val="-26"/>
          <w:w w:val="105"/>
        </w:rPr>
        <w:t> </w:t>
      </w:r>
      <w:r>
        <w:rPr>
          <w:color w:val="231F20"/>
          <w:w w:val="105"/>
        </w:rPr>
        <w:t>condition</w:t>
      </w:r>
      <w:r>
        <w:rPr>
          <w:color w:val="231F20"/>
          <w:spacing w:val="-25"/>
          <w:w w:val="105"/>
        </w:rPr>
        <w:t> </w:t>
      </w:r>
      <w:r>
        <w:rPr>
          <w:color w:val="231F20"/>
          <w:w w:val="105"/>
        </w:rPr>
        <w:t>called</w:t>
      </w:r>
      <w:r>
        <w:rPr>
          <w:color w:val="231F20"/>
          <w:w w:val="105"/>
        </w:rPr>
        <w:t> </w:t>
      </w:r>
      <w:r>
        <w:rPr>
          <w:i/>
          <w:color w:val="231F20"/>
          <w:w w:val="105"/>
        </w:rPr>
        <w:t>diabetes insipidus</w:t>
      </w:r>
      <w:r>
        <w:rPr>
          <w:color w:val="231F20"/>
          <w:w w:val="105"/>
        </w:rPr>
        <w:t>. Thus, the actions of ADH play</w:t>
      </w:r>
      <w:r>
        <w:rPr>
          <w:color w:val="231F20"/>
          <w:spacing w:val="-22"/>
          <w:w w:val="105"/>
        </w:rPr>
        <w:t> </w:t>
      </w:r>
      <w:r>
        <w:rPr>
          <w:color w:val="231F20"/>
          <w:w w:val="105"/>
        </w:rPr>
        <w:t>a</w:t>
      </w:r>
      <w:r>
        <w:rPr>
          <w:color w:val="231F20"/>
          <w:spacing w:val="-3"/>
          <w:w w:val="105"/>
        </w:rPr>
        <w:t> </w:t>
      </w:r>
      <w:r>
        <w:rPr>
          <w:color w:val="231F20"/>
          <w:w w:val="105"/>
        </w:rPr>
        <w:t>key</w:t>
      </w:r>
      <w:r>
        <w:rPr>
          <w:color w:val="231F20"/>
          <w:w w:val="90"/>
        </w:rPr>
        <w:t> </w:t>
      </w:r>
      <w:r>
        <w:rPr>
          <w:color w:val="231F20"/>
          <w:w w:val="105"/>
        </w:rPr>
        <w:t>role</w:t>
      </w:r>
      <w:r>
        <w:rPr>
          <w:color w:val="231F20"/>
          <w:spacing w:val="-12"/>
          <w:w w:val="105"/>
        </w:rPr>
        <w:t> </w:t>
      </w:r>
      <w:r>
        <w:rPr>
          <w:color w:val="231F20"/>
          <w:w w:val="105"/>
        </w:rPr>
        <w:t>in</w:t>
      </w:r>
      <w:r>
        <w:rPr>
          <w:color w:val="231F20"/>
          <w:spacing w:val="-12"/>
          <w:w w:val="105"/>
        </w:rPr>
        <w:t> </w:t>
      </w:r>
      <w:r>
        <w:rPr>
          <w:color w:val="231F20"/>
          <w:w w:val="105"/>
        </w:rPr>
        <w:t>controlling</w:t>
      </w:r>
      <w:r>
        <w:rPr>
          <w:color w:val="231F20"/>
          <w:spacing w:val="-11"/>
          <w:w w:val="105"/>
        </w:rPr>
        <w:t> </w:t>
      </w:r>
      <w:r>
        <w:rPr>
          <w:color w:val="231F20"/>
          <w:w w:val="105"/>
        </w:rPr>
        <w:t>the</w:t>
      </w:r>
      <w:r>
        <w:rPr>
          <w:color w:val="231F20"/>
          <w:spacing w:val="-12"/>
          <w:w w:val="105"/>
        </w:rPr>
        <w:t> </w:t>
      </w:r>
      <w:r>
        <w:rPr>
          <w:color w:val="231F20"/>
          <w:w w:val="105"/>
        </w:rPr>
        <w:t>degree</w:t>
      </w:r>
      <w:r>
        <w:rPr>
          <w:color w:val="231F20"/>
          <w:spacing w:val="-12"/>
          <w:w w:val="105"/>
        </w:rPr>
        <w:t> </w:t>
      </w:r>
      <w:r>
        <w:rPr>
          <w:color w:val="231F20"/>
          <w:w w:val="105"/>
        </w:rPr>
        <w:t>of</w:t>
      </w:r>
      <w:r>
        <w:rPr>
          <w:color w:val="231F20"/>
          <w:spacing w:val="-11"/>
          <w:w w:val="105"/>
        </w:rPr>
        <w:t> </w:t>
      </w:r>
      <w:r>
        <w:rPr>
          <w:color w:val="231F20"/>
          <w:w w:val="105"/>
        </w:rPr>
        <w:t>dilution</w:t>
      </w:r>
      <w:r>
        <w:rPr>
          <w:color w:val="231F20"/>
          <w:spacing w:val="-12"/>
          <w:w w:val="105"/>
        </w:rPr>
        <w:t> </w:t>
      </w:r>
      <w:r>
        <w:rPr>
          <w:color w:val="231F20"/>
          <w:w w:val="105"/>
        </w:rPr>
        <w:t>or</w:t>
      </w:r>
      <w:r>
        <w:rPr>
          <w:color w:val="231F20"/>
          <w:spacing w:val="-11"/>
          <w:w w:val="105"/>
        </w:rPr>
        <w:t> </w:t>
      </w:r>
      <w:r>
        <w:rPr>
          <w:color w:val="231F20"/>
          <w:spacing w:val="-3"/>
          <w:w w:val="105"/>
        </w:rPr>
        <w:t>concentration</w:t>
      </w:r>
      <w:r>
        <w:rPr>
          <w:color w:val="231F20"/>
          <w:w w:val="106"/>
        </w:rPr>
        <w:t> </w:t>
      </w:r>
      <w:r>
        <w:rPr>
          <w:color w:val="231F20"/>
          <w:w w:val="105"/>
        </w:rPr>
        <w:t>of the urine, as discussed further in Chapters 29</w:t>
      </w:r>
      <w:r>
        <w:rPr>
          <w:color w:val="231F20"/>
          <w:spacing w:val="-38"/>
          <w:w w:val="105"/>
        </w:rPr>
        <w:t> </w:t>
      </w:r>
      <w:r>
        <w:rPr>
          <w:color w:val="231F20"/>
          <w:w w:val="105"/>
        </w:rPr>
        <w:t>and</w:t>
      </w:r>
      <w:r>
        <w:rPr>
          <w:color w:val="231F20"/>
          <w:spacing w:val="-4"/>
          <w:w w:val="105"/>
        </w:rPr>
        <w:t> </w:t>
      </w:r>
      <w:r>
        <w:rPr>
          <w:color w:val="231F20"/>
          <w:w w:val="105"/>
        </w:rPr>
        <w:t>76.</w:t>
      </w:r>
      <w:r>
        <w:rPr>
          <w:color w:val="231F20"/>
          <w:w w:val="96"/>
        </w:rPr>
        <w:t> </w:t>
      </w:r>
      <w:r>
        <w:rPr>
          <w:color w:val="231F20"/>
          <w:w w:val="105"/>
        </w:rPr>
        <w:t>ADH</w:t>
      </w:r>
      <w:r>
        <w:rPr>
          <w:color w:val="231F20"/>
          <w:spacing w:val="8"/>
          <w:w w:val="105"/>
        </w:rPr>
        <w:t> </w:t>
      </w:r>
      <w:r>
        <w:rPr>
          <w:color w:val="231F20"/>
          <w:w w:val="105"/>
        </w:rPr>
        <w:t>binds</w:t>
      </w:r>
      <w:r>
        <w:rPr>
          <w:color w:val="231F20"/>
          <w:spacing w:val="9"/>
          <w:w w:val="105"/>
        </w:rPr>
        <w:t> </w:t>
      </w:r>
      <w:r>
        <w:rPr>
          <w:color w:val="231F20"/>
          <w:w w:val="105"/>
        </w:rPr>
        <w:t>to</w:t>
      </w:r>
      <w:r>
        <w:rPr>
          <w:color w:val="231F20"/>
          <w:spacing w:val="9"/>
          <w:w w:val="105"/>
        </w:rPr>
        <w:t> </w:t>
      </w:r>
      <w:r>
        <w:rPr>
          <w:color w:val="231F20"/>
          <w:w w:val="105"/>
        </w:rPr>
        <w:t>specific</w:t>
      </w:r>
      <w:r>
        <w:rPr>
          <w:color w:val="231F20"/>
          <w:spacing w:val="9"/>
          <w:w w:val="105"/>
        </w:rPr>
        <w:t> </w:t>
      </w:r>
      <w:r>
        <w:rPr>
          <w:i/>
          <w:color w:val="231F20"/>
          <w:w w:val="105"/>
        </w:rPr>
        <w:t>V</w:t>
      </w:r>
      <w:r>
        <w:rPr>
          <w:i/>
          <w:color w:val="231F20"/>
          <w:w w:val="105"/>
          <w:vertAlign w:val="subscript"/>
        </w:rPr>
        <w:t>2</w:t>
      </w:r>
      <w:r>
        <w:rPr>
          <w:i/>
          <w:color w:val="231F20"/>
          <w:spacing w:val="9"/>
          <w:w w:val="105"/>
          <w:vertAlign w:val="baseline"/>
        </w:rPr>
        <w:t> </w:t>
      </w:r>
      <w:r>
        <w:rPr>
          <w:i/>
          <w:color w:val="231F20"/>
          <w:w w:val="105"/>
          <w:vertAlign w:val="baseline"/>
        </w:rPr>
        <w:t>receptors</w:t>
      </w:r>
      <w:r>
        <w:rPr>
          <w:i/>
          <w:color w:val="231F20"/>
          <w:spacing w:val="9"/>
          <w:w w:val="105"/>
          <w:vertAlign w:val="baseline"/>
        </w:rPr>
        <w:t> </w:t>
      </w:r>
      <w:r>
        <w:rPr>
          <w:color w:val="231F20"/>
          <w:w w:val="105"/>
          <w:vertAlign w:val="baseline"/>
        </w:rPr>
        <w:t>in</w:t>
      </w:r>
      <w:r>
        <w:rPr>
          <w:color w:val="231F20"/>
          <w:spacing w:val="9"/>
          <w:w w:val="105"/>
          <w:vertAlign w:val="baseline"/>
        </w:rPr>
        <w:t> </w:t>
      </w:r>
      <w:r>
        <w:rPr>
          <w:color w:val="231F20"/>
          <w:w w:val="105"/>
          <w:vertAlign w:val="baseline"/>
        </w:rPr>
        <w:t>the</w:t>
      </w:r>
      <w:r>
        <w:rPr>
          <w:color w:val="231F20"/>
          <w:spacing w:val="9"/>
          <w:w w:val="105"/>
          <w:vertAlign w:val="baseline"/>
        </w:rPr>
        <w:t> </w:t>
      </w:r>
      <w:r>
        <w:rPr>
          <w:color w:val="231F20"/>
          <w:w w:val="105"/>
          <w:vertAlign w:val="baseline"/>
        </w:rPr>
        <w:t>late</w:t>
      </w:r>
      <w:r>
        <w:rPr>
          <w:color w:val="231F20"/>
          <w:spacing w:val="9"/>
          <w:w w:val="105"/>
          <w:vertAlign w:val="baseline"/>
        </w:rPr>
        <w:t> </w:t>
      </w:r>
      <w:r>
        <w:rPr>
          <w:color w:val="231F20"/>
          <w:w w:val="105"/>
          <w:vertAlign w:val="baseline"/>
        </w:rPr>
        <w:t>distal</w:t>
      </w:r>
      <w:r>
        <w:rPr>
          <w:color w:val="231F20"/>
          <w:w w:val="96"/>
          <w:vertAlign w:val="baseline"/>
        </w:rPr>
        <w:t> </w:t>
      </w:r>
      <w:r>
        <w:rPr>
          <w:color w:val="231F20"/>
          <w:w w:val="105"/>
          <w:vertAlign w:val="baseline"/>
        </w:rPr>
        <w:t>tubules,</w:t>
      </w:r>
      <w:r>
        <w:rPr>
          <w:color w:val="231F20"/>
          <w:spacing w:val="-14"/>
          <w:w w:val="105"/>
          <w:vertAlign w:val="baseline"/>
        </w:rPr>
        <w:t> </w:t>
      </w:r>
      <w:r>
        <w:rPr>
          <w:color w:val="231F20"/>
          <w:w w:val="105"/>
          <w:vertAlign w:val="baseline"/>
        </w:rPr>
        <w:t>collecting</w:t>
      </w:r>
      <w:r>
        <w:rPr>
          <w:color w:val="231F20"/>
          <w:spacing w:val="-14"/>
          <w:w w:val="105"/>
          <w:vertAlign w:val="baseline"/>
        </w:rPr>
        <w:t> </w:t>
      </w:r>
      <w:r>
        <w:rPr>
          <w:color w:val="231F20"/>
          <w:w w:val="105"/>
          <w:vertAlign w:val="baseline"/>
        </w:rPr>
        <w:t>tubules,</w:t>
      </w:r>
      <w:r>
        <w:rPr>
          <w:color w:val="231F20"/>
          <w:spacing w:val="-13"/>
          <w:w w:val="105"/>
          <w:vertAlign w:val="baseline"/>
        </w:rPr>
        <w:t> </w:t>
      </w:r>
      <w:r>
        <w:rPr>
          <w:color w:val="231F20"/>
          <w:w w:val="105"/>
          <w:vertAlign w:val="baseline"/>
        </w:rPr>
        <w:t>and</w:t>
      </w:r>
      <w:r>
        <w:rPr>
          <w:color w:val="231F20"/>
          <w:spacing w:val="-14"/>
          <w:w w:val="105"/>
          <w:vertAlign w:val="baseline"/>
        </w:rPr>
        <w:t> </w:t>
      </w:r>
      <w:r>
        <w:rPr>
          <w:color w:val="231F20"/>
          <w:w w:val="105"/>
          <w:vertAlign w:val="baseline"/>
        </w:rPr>
        <w:t>collecting</w:t>
      </w:r>
      <w:r>
        <w:rPr>
          <w:color w:val="231F20"/>
          <w:spacing w:val="-13"/>
          <w:w w:val="105"/>
          <w:vertAlign w:val="baseline"/>
        </w:rPr>
        <w:t> </w:t>
      </w:r>
      <w:r>
        <w:rPr>
          <w:color w:val="231F20"/>
          <w:w w:val="105"/>
          <w:vertAlign w:val="baseline"/>
        </w:rPr>
        <w:t>ducts,</w:t>
      </w:r>
      <w:r>
        <w:rPr>
          <w:color w:val="231F20"/>
          <w:spacing w:val="-14"/>
          <w:w w:val="105"/>
          <w:vertAlign w:val="baseline"/>
        </w:rPr>
        <w:t> </w:t>
      </w:r>
      <w:r>
        <w:rPr>
          <w:color w:val="231F20"/>
          <w:w w:val="105"/>
          <w:vertAlign w:val="baseline"/>
        </w:rPr>
        <w:t>increas-</w:t>
      </w:r>
      <w:r>
        <w:rPr>
          <w:color w:val="231F20"/>
          <w:w w:val="109"/>
          <w:vertAlign w:val="baseline"/>
        </w:rPr>
        <w:t> </w:t>
      </w:r>
      <w:r>
        <w:rPr>
          <w:color w:val="231F20"/>
          <w:w w:val="105"/>
          <w:vertAlign w:val="baseline"/>
        </w:rPr>
        <w:t>ing</w:t>
      </w:r>
      <w:r>
        <w:rPr>
          <w:color w:val="231F20"/>
          <w:spacing w:val="24"/>
          <w:w w:val="105"/>
          <w:vertAlign w:val="baseline"/>
        </w:rPr>
        <w:t> </w:t>
      </w:r>
      <w:r>
        <w:rPr>
          <w:color w:val="231F20"/>
          <w:w w:val="105"/>
          <w:vertAlign w:val="baseline"/>
        </w:rPr>
        <w:t>the</w:t>
      </w:r>
      <w:r>
        <w:rPr>
          <w:color w:val="231F20"/>
          <w:spacing w:val="25"/>
          <w:w w:val="105"/>
          <w:vertAlign w:val="baseline"/>
        </w:rPr>
        <w:t> </w:t>
      </w:r>
      <w:r>
        <w:rPr>
          <w:color w:val="231F20"/>
          <w:w w:val="105"/>
          <w:vertAlign w:val="baseline"/>
        </w:rPr>
        <w:t>formation</w:t>
      </w:r>
      <w:r>
        <w:rPr>
          <w:color w:val="231F20"/>
          <w:spacing w:val="24"/>
          <w:w w:val="105"/>
          <w:vertAlign w:val="baseline"/>
        </w:rPr>
        <w:t> </w:t>
      </w:r>
      <w:r>
        <w:rPr>
          <w:color w:val="231F20"/>
          <w:w w:val="105"/>
          <w:vertAlign w:val="baseline"/>
        </w:rPr>
        <w:t>of</w:t>
      </w:r>
      <w:r>
        <w:rPr>
          <w:color w:val="231F20"/>
          <w:spacing w:val="25"/>
          <w:w w:val="105"/>
          <w:vertAlign w:val="baseline"/>
        </w:rPr>
        <w:t> </w:t>
      </w:r>
      <w:r>
        <w:rPr>
          <w:color w:val="231F20"/>
          <w:w w:val="105"/>
          <w:vertAlign w:val="baseline"/>
        </w:rPr>
        <w:t>cyclic</w:t>
      </w:r>
      <w:r>
        <w:rPr>
          <w:color w:val="231F20"/>
          <w:spacing w:val="25"/>
          <w:w w:val="105"/>
          <w:vertAlign w:val="baseline"/>
        </w:rPr>
        <w:t> </w:t>
      </w:r>
      <w:r>
        <w:rPr>
          <w:color w:val="231F20"/>
          <w:w w:val="105"/>
          <w:vertAlign w:val="baseline"/>
        </w:rPr>
        <w:t>adenosine</w:t>
      </w:r>
      <w:r>
        <w:rPr>
          <w:color w:val="231F20"/>
          <w:spacing w:val="24"/>
          <w:w w:val="105"/>
          <w:vertAlign w:val="baseline"/>
        </w:rPr>
        <w:t> </w:t>
      </w:r>
      <w:r>
        <w:rPr>
          <w:color w:val="231F20"/>
          <w:w w:val="105"/>
          <w:vertAlign w:val="baseline"/>
        </w:rPr>
        <w:t>monophosphate</w:t>
      </w:r>
      <w:r>
        <w:rPr>
          <w:color w:val="231F20"/>
          <w:w w:val="100"/>
          <w:vertAlign w:val="baseline"/>
        </w:rPr>
        <w:t> </w:t>
      </w:r>
      <w:r>
        <w:rPr>
          <w:color w:val="231F20"/>
          <w:w w:val="105"/>
          <w:vertAlign w:val="baseline"/>
        </w:rPr>
        <w:t>and activating protein kinases (</w:t>
      </w:r>
      <w:hyperlink w:history="true" w:anchor="_bookmark60">
        <w:r>
          <w:rPr>
            <w:b/>
            <w:color w:val="0080AC"/>
            <w:w w:val="105"/>
            <w:vertAlign w:val="baseline"/>
          </w:rPr>
          <w:t>Figure</w:t>
        </w:r>
        <w:r>
          <w:rPr>
            <w:b/>
            <w:color w:val="0080AC"/>
            <w:spacing w:val="43"/>
            <w:w w:val="105"/>
            <w:vertAlign w:val="baseline"/>
          </w:rPr>
          <w:t> </w:t>
        </w:r>
        <w:r>
          <w:rPr>
            <w:b/>
            <w:color w:val="0080AC"/>
            <w:w w:val="105"/>
            <w:vertAlign w:val="baseline"/>
          </w:rPr>
          <w:t>28-19</w:t>
        </w:r>
      </w:hyperlink>
      <w:r>
        <w:rPr>
          <w:color w:val="231F20"/>
          <w:w w:val="105"/>
          <w:vertAlign w:val="baseline"/>
        </w:rPr>
        <w:t>).</w:t>
      </w:r>
      <w:r>
        <w:rPr>
          <w:color w:val="231F20"/>
          <w:spacing w:val="9"/>
          <w:w w:val="105"/>
          <w:vertAlign w:val="baseline"/>
        </w:rPr>
        <w:t> </w:t>
      </w:r>
      <w:r>
        <w:rPr>
          <w:color w:val="231F20"/>
          <w:spacing w:val="-4"/>
          <w:w w:val="105"/>
          <w:vertAlign w:val="baseline"/>
        </w:rPr>
        <w:t>This</w:t>
      </w:r>
      <w:r>
        <w:rPr>
          <w:color w:val="231F20"/>
          <w:w w:val="98"/>
          <w:vertAlign w:val="baseline"/>
        </w:rPr>
        <w:t> </w:t>
      </w:r>
      <w:r>
        <w:rPr>
          <w:color w:val="231F20"/>
          <w:w w:val="105"/>
          <w:vertAlign w:val="baseline"/>
        </w:rPr>
        <w:t>action, in turn, stimulates the movement of</w:t>
      </w:r>
      <w:r>
        <w:rPr>
          <w:color w:val="231F20"/>
          <w:spacing w:val="18"/>
          <w:w w:val="105"/>
          <w:vertAlign w:val="baseline"/>
        </w:rPr>
        <w:t> </w:t>
      </w:r>
      <w:r>
        <w:rPr>
          <w:color w:val="231F20"/>
          <w:w w:val="105"/>
          <w:vertAlign w:val="baseline"/>
        </w:rPr>
        <w:t>an</w:t>
      </w:r>
      <w:r>
        <w:rPr>
          <w:color w:val="231F20"/>
          <w:spacing w:val="11"/>
          <w:w w:val="105"/>
          <w:vertAlign w:val="baseline"/>
        </w:rPr>
        <w:t> </w:t>
      </w:r>
      <w:r>
        <w:rPr>
          <w:color w:val="231F20"/>
          <w:spacing w:val="-3"/>
          <w:w w:val="105"/>
          <w:vertAlign w:val="baseline"/>
        </w:rPr>
        <w:t>intracel-</w:t>
      </w:r>
      <w:r>
        <w:rPr>
          <w:color w:val="231F20"/>
          <w:w w:val="109"/>
          <w:vertAlign w:val="baseline"/>
        </w:rPr>
        <w:t> </w:t>
      </w:r>
      <w:r>
        <w:rPr>
          <w:color w:val="231F20"/>
          <w:w w:val="105"/>
          <w:vertAlign w:val="baseline"/>
        </w:rPr>
        <w:t>lular</w:t>
      </w:r>
      <w:r>
        <w:rPr>
          <w:color w:val="231F20"/>
          <w:spacing w:val="-17"/>
          <w:w w:val="105"/>
          <w:vertAlign w:val="baseline"/>
        </w:rPr>
        <w:t> </w:t>
      </w:r>
      <w:r>
        <w:rPr>
          <w:color w:val="231F20"/>
          <w:w w:val="105"/>
          <w:vertAlign w:val="baseline"/>
        </w:rPr>
        <w:t>protein,</w:t>
      </w:r>
      <w:r>
        <w:rPr>
          <w:color w:val="231F20"/>
          <w:spacing w:val="-17"/>
          <w:w w:val="105"/>
          <w:vertAlign w:val="baseline"/>
        </w:rPr>
        <w:t> </w:t>
      </w:r>
      <w:r>
        <w:rPr>
          <w:color w:val="231F20"/>
          <w:w w:val="105"/>
          <w:vertAlign w:val="baseline"/>
        </w:rPr>
        <w:t>called</w:t>
      </w:r>
      <w:r>
        <w:rPr>
          <w:color w:val="231F20"/>
          <w:spacing w:val="-16"/>
          <w:w w:val="105"/>
          <w:vertAlign w:val="baseline"/>
        </w:rPr>
        <w:t> </w:t>
      </w:r>
      <w:r>
        <w:rPr>
          <w:i/>
          <w:color w:val="231F20"/>
          <w:w w:val="105"/>
          <w:vertAlign w:val="baseline"/>
        </w:rPr>
        <w:t>aquaporin-2</w:t>
      </w:r>
      <w:r>
        <w:rPr>
          <w:i/>
          <w:color w:val="231F20"/>
          <w:spacing w:val="-17"/>
          <w:w w:val="105"/>
          <w:vertAlign w:val="baseline"/>
        </w:rPr>
        <w:t> </w:t>
      </w:r>
      <w:r>
        <w:rPr>
          <w:i/>
          <w:color w:val="231F20"/>
          <w:w w:val="105"/>
          <w:vertAlign w:val="baseline"/>
        </w:rPr>
        <w:t>(AQP-2),</w:t>
      </w:r>
      <w:r>
        <w:rPr>
          <w:i/>
          <w:color w:val="231F20"/>
          <w:spacing w:val="-17"/>
          <w:w w:val="105"/>
          <w:vertAlign w:val="baseline"/>
        </w:rPr>
        <w:t> </w:t>
      </w:r>
      <w:r>
        <w:rPr>
          <w:color w:val="231F20"/>
          <w:w w:val="105"/>
          <w:vertAlign w:val="baseline"/>
        </w:rPr>
        <w:t>to</w:t>
      </w:r>
      <w:r>
        <w:rPr>
          <w:color w:val="231F20"/>
          <w:spacing w:val="-16"/>
          <w:w w:val="105"/>
          <w:vertAlign w:val="baseline"/>
        </w:rPr>
        <w:t> </w:t>
      </w:r>
      <w:r>
        <w:rPr>
          <w:color w:val="231F20"/>
          <w:w w:val="105"/>
          <w:vertAlign w:val="baseline"/>
        </w:rPr>
        <w:t>the</w:t>
      </w:r>
      <w:r>
        <w:rPr>
          <w:color w:val="231F20"/>
          <w:spacing w:val="-17"/>
          <w:w w:val="105"/>
          <w:vertAlign w:val="baseline"/>
        </w:rPr>
        <w:t> </w:t>
      </w:r>
      <w:r>
        <w:rPr>
          <w:color w:val="231F20"/>
          <w:w w:val="105"/>
          <w:vertAlign w:val="baseline"/>
        </w:rPr>
        <w:t>luminal</w:t>
      </w:r>
      <w:r>
        <w:rPr>
          <w:color w:val="231F20"/>
          <w:w w:val="102"/>
          <w:vertAlign w:val="baseline"/>
        </w:rPr>
        <w:t> </w:t>
      </w:r>
      <w:r>
        <w:rPr>
          <w:color w:val="231F20"/>
          <w:w w:val="105"/>
          <w:vertAlign w:val="baseline"/>
        </w:rPr>
        <w:t>side</w:t>
      </w:r>
      <w:r>
        <w:rPr>
          <w:color w:val="231F20"/>
          <w:spacing w:val="26"/>
          <w:w w:val="105"/>
          <w:vertAlign w:val="baseline"/>
        </w:rPr>
        <w:t> </w:t>
      </w:r>
      <w:r>
        <w:rPr>
          <w:color w:val="231F20"/>
          <w:w w:val="105"/>
          <w:vertAlign w:val="baseline"/>
        </w:rPr>
        <w:t>of</w:t>
      </w:r>
      <w:r>
        <w:rPr>
          <w:color w:val="231F20"/>
          <w:spacing w:val="26"/>
          <w:w w:val="105"/>
          <w:vertAlign w:val="baseline"/>
        </w:rPr>
        <w:t> </w:t>
      </w:r>
      <w:r>
        <w:rPr>
          <w:color w:val="231F20"/>
          <w:w w:val="105"/>
          <w:vertAlign w:val="baseline"/>
        </w:rPr>
        <w:t>the</w:t>
      </w:r>
      <w:r>
        <w:rPr>
          <w:color w:val="231F20"/>
          <w:spacing w:val="26"/>
          <w:w w:val="105"/>
          <w:vertAlign w:val="baseline"/>
        </w:rPr>
        <w:t> </w:t>
      </w:r>
      <w:r>
        <w:rPr>
          <w:color w:val="231F20"/>
          <w:w w:val="105"/>
          <w:vertAlign w:val="baseline"/>
        </w:rPr>
        <w:t>cell</w:t>
      </w:r>
      <w:r>
        <w:rPr>
          <w:color w:val="231F20"/>
          <w:spacing w:val="27"/>
          <w:w w:val="105"/>
          <w:vertAlign w:val="baseline"/>
        </w:rPr>
        <w:t> </w:t>
      </w:r>
      <w:r>
        <w:rPr>
          <w:color w:val="231F20"/>
          <w:w w:val="105"/>
          <w:vertAlign w:val="baseline"/>
        </w:rPr>
        <w:t>membranes.</w:t>
      </w:r>
      <w:r>
        <w:rPr>
          <w:color w:val="231F20"/>
          <w:spacing w:val="26"/>
          <w:w w:val="105"/>
          <w:vertAlign w:val="baseline"/>
        </w:rPr>
        <w:t> </w:t>
      </w:r>
      <w:r>
        <w:rPr>
          <w:color w:val="231F20"/>
          <w:w w:val="105"/>
          <w:vertAlign w:val="baseline"/>
        </w:rPr>
        <w:t>The</w:t>
      </w:r>
      <w:r>
        <w:rPr>
          <w:color w:val="231F20"/>
          <w:spacing w:val="26"/>
          <w:w w:val="105"/>
          <w:vertAlign w:val="baseline"/>
        </w:rPr>
        <w:t> </w:t>
      </w:r>
      <w:r>
        <w:rPr>
          <w:color w:val="231F20"/>
          <w:w w:val="105"/>
          <w:vertAlign w:val="baseline"/>
        </w:rPr>
        <w:t>molecules</w:t>
      </w:r>
      <w:r>
        <w:rPr>
          <w:color w:val="231F20"/>
          <w:spacing w:val="26"/>
          <w:w w:val="105"/>
          <w:vertAlign w:val="baseline"/>
        </w:rPr>
        <w:t> </w:t>
      </w:r>
      <w:r>
        <w:rPr>
          <w:color w:val="231F20"/>
          <w:w w:val="105"/>
          <w:vertAlign w:val="baseline"/>
        </w:rPr>
        <w:t>of</w:t>
      </w:r>
      <w:r>
        <w:rPr>
          <w:color w:val="231F20"/>
          <w:spacing w:val="27"/>
          <w:w w:val="105"/>
          <w:vertAlign w:val="baseline"/>
        </w:rPr>
        <w:t> </w:t>
      </w:r>
      <w:r>
        <w:rPr>
          <w:color w:val="231F20"/>
          <w:w w:val="105"/>
          <w:vertAlign w:val="baseline"/>
        </w:rPr>
        <w:t>AQP-2</w:t>
      </w:r>
      <w:r>
        <w:rPr>
          <w:color w:val="231F20"/>
          <w:w w:val="102"/>
          <w:vertAlign w:val="baseline"/>
        </w:rPr>
        <w:t> </w:t>
      </w:r>
      <w:r>
        <w:rPr>
          <w:color w:val="231F20"/>
          <w:w w:val="105"/>
          <w:vertAlign w:val="baseline"/>
        </w:rPr>
        <w:t>cluster</w:t>
      </w:r>
      <w:r>
        <w:rPr>
          <w:color w:val="231F20"/>
          <w:spacing w:val="-12"/>
          <w:w w:val="105"/>
          <w:vertAlign w:val="baseline"/>
        </w:rPr>
        <w:t> </w:t>
      </w:r>
      <w:r>
        <w:rPr>
          <w:color w:val="231F20"/>
          <w:w w:val="105"/>
          <w:vertAlign w:val="baseline"/>
        </w:rPr>
        <w:t>together</w:t>
      </w:r>
      <w:r>
        <w:rPr>
          <w:color w:val="231F20"/>
          <w:spacing w:val="-12"/>
          <w:w w:val="105"/>
          <w:vertAlign w:val="baseline"/>
        </w:rPr>
        <w:t> </w:t>
      </w:r>
      <w:r>
        <w:rPr>
          <w:color w:val="231F20"/>
          <w:w w:val="105"/>
          <w:vertAlign w:val="baseline"/>
        </w:rPr>
        <w:t>and</w:t>
      </w:r>
      <w:r>
        <w:rPr>
          <w:color w:val="231F20"/>
          <w:spacing w:val="-11"/>
          <w:w w:val="105"/>
          <w:vertAlign w:val="baseline"/>
        </w:rPr>
        <w:t> </w:t>
      </w:r>
      <w:r>
        <w:rPr>
          <w:color w:val="231F20"/>
          <w:w w:val="105"/>
          <w:vertAlign w:val="baseline"/>
        </w:rPr>
        <w:t>fuse</w:t>
      </w:r>
      <w:r>
        <w:rPr>
          <w:color w:val="231F20"/>
          <w:spacing w:val="-12"/>
          <w:w w:val="105"/>
          <w:vertAlign w:val="baseline"/>
        </w:rPr>
        <w:t> </w:t>
      </w:r>
      <w:r>
        <w:rPr>
          <w:color w:val="231F20"/>
          <w:w w:val="105"/>
          <w:vertAlign w:val="baseline"/>
        </w:rPr>
        <w:t>with</w:t>
      </w:r>
      <w:r>
        <w:rPr>
          <w:color w:val="231F20"/>
          <w:spacing w:val="-11"/>
          <w:w w:val="105"/>
          <w:vertAlign w:val="baseline"/>
        </w:rPr>
        <w:t> </w:t>
      </w:r>
      <w:r>
        <w:rPr>
          <w:color w:val="231F20"/>
          <w:w w:val="105"/>
          <w:vertAlign w:val="baseline"/>
        </w:rPr>
        <w:t>the</w:t>
      </w:r>
      <w:r>
        <w:rPr>
          <w:color w:val="231F20"/>
          <w:spacing w:val="-12"/>
          <w:w w:val="105"/>
          <w:vertAlign w:val="baseline"/>
        </w:rPr>
        <w:t> </w:t>
      </w:r>
      <w:r>
        <w:rPr>
          <w:color w:val="231F20"/>
          <w:w w:val="105"/>
          <w:vertAlign w:val="baseline"/>
        </w:rPr>
        <w:t>cell</w:t>
      </w:r>
      <w:r>
        <w:rPr>
          <w:color w:val="231F20"/>
          <w:spacing w:val="-12"/>
          <w:w w:val="105"/>
          <w:vertAlign w:val="baseline"/>
        </w:rPr>
        <w:t> </w:t>
      </w:r>
      <w:r>
        <w:rPr>
          <w:color w:val="231F20"/>
          <w:w w:val="105"/>
          <w:vertAlign w:val="baseline"/>
        </w:rPr>
        <w:t>membrane</w:t>
      </w:r>
      <w:r>
        <w:rPr>
          <w:color w:val="231F20"/>
          <w:spacing w:val="-11"/>
          <w:w w:val="105"/>
          <w:vertAlign w:val="baseline"/>
        </w:rPr>
        <w:t> </w:t>
      </w:r>
      <w:r>
        <w:rPr>
          <w:color w:val="231F20"/>
          <w:w w:val="105"/>
          <w:vertAlign w:val="baseline"/>
        </w:rPr>
        <w:t>by</w:t>
      </w:r>
      <w:r>
        <w:rPr>
          <w:color w:val="231F20"/>
          <w:spacing w:val="-12"/>
          <w:w w:val="105"/>
          <w:vertAlign w:val="baseline"/>
        </w:rPr>
        <w:t> </w:t>
      </w:r>
      <w:r>
        <w:rPr>
          <w:color w:val="231F20"/>
          <w:w w:val="105"/>
          <w:vertAlign w:val="baseline"/>
        </w:rPr>
        <w:t>exo-</w:t>
      </w:r>
      <w:r>
        <w:rPr>
          <w:color w:val="231F20"/>
          <w:w w:val="109"/>
          <w:vertAlign w:val="baseline"/>
        </w:rPr>
        <w:t> </w:t>
      </w:r>
      <w:r>
        <w:rPr>
          <w:color w:val="231F20"/>
          <w:w w:val="105"/>
          <w:vertAlign w:val="baseline"/>
        </w:rPr>
        <w:t>cytosis</w:t>
      </w:r>
      <w:r>
        <w:rPr>
          <w:color w:val="231F20"/>
          <w:spacing w:val="-24"/>
          <w:w w:val="105"/>
          <w:vertAlign w:val="baseline"/>
        </w:rPr>
        <w:t> </w:t>
      </w:r>
      <w:r>
        <w:rPr>
          <w:color w:val="231F20"/>
          <w:w w:val="105"/>
          <w:vertAlign w:val="baseline"/>
        </w:rPr>
        <w:t>to</w:t>
      </w:r>
      <w:r>
        <w:rPr>
          <w:color w:val="231F20"/>
          <w:spacing w:val="-24"/>
          <w:w w:val="105"/>
          <w:vertAlign w:val="baseline"/>
        </w:rPr>
        <w:t> </w:t>
      </w:r>
      <w:r>
        <w:rPr>
          <w:color w:val="231F20"/>
          <w:w w:val="105"/>
          <w:vertAlign w:val="baseline"/>
        </w:rPr>
        <w:t>form</w:t>
      </w:r>
      <w:r>
        <w:rPr>
          <w:color w:val="231F20"/>
          <w:spacing w:val="-25"/>
          <w:w w:val="105"/>
          <w:vertAlign w:val="baseline"/>
        </w:rPr>
        <w:t> </w:t>
      </w:r>
      <w:r>
        <w:rPr>
          <w:i/>
          <w:color w:val="231F20"/>
          <w:w w:val="105"/>
          <w:vertAlign w:val="baseline"/>
        </w:rPr>
        <w:t>water</w:t>
      </w:r>
      <w:r>
        <w:rPr>
          <w:i/>
          <w:color w:val="231F20"/>
          <w:spacing w:val="-23"/>
          <w:w w:val="105"/>
          <w:vertAlign w:val="baseline"/>
        </w:rPr>
        <w:t> </w:t>
      </w:r>
      <w:r>
        <w:rPr>
          <w:i/>
          <w:color w:val="231F20"/>
          <w:w w:val="105"/>
          <w:vertAlign w:val="baseline"/>
        </w:rPr>
        <w:t>channels</w:t>
      </w:r>
      <w:r>
        <w:rPr>
          <w:i/>
          <w:color w:val="231F20"/>
          <w:spacing w:val="-24"/>
          <w:w w:val="105"/>
          <w:vertAlign w:val="baseline"/>
        </w:rPr>
        <w:t> </w:t>
      </w:r>
      <w:r>
        <w:rPr>
          <w:color w:val="231F20"/>
          <w:w w:val="105"/>
          <w:vertAlign w:val="baseline"/>
        </w:rPr>
        <w:t>that</w:t>
      </w:r>
      <w:r>
        <w:rPr>
          <w:color w:val="231F20"/>
          <w:spacing w:val="-24"/>
          <w:w w:val="105"/>
          <w:vertAlign w:val="baseline"/>
        </w:rPr>
        <w:t> </w:t>
      </w:r>
      <w:r>
        <w:rPr>
          <w:color w:val="231F20"/>
          <w:w w:val="105"/>
          <w:vertAlign w:val="baseline"/>
        </w:rPr>
        <w:t>permit</w:t>
      </w:r>
      <w:r>
        <w:rPr>
          <w:color w:val="231F20"/>
          <w:spacing w:val="-24"/>
          <w:w w:val="105"/>
          <w:vertAlign w:val="baseline"/>
        </w:rPr>
        <w:t> </w:t>
      </w:r>
      <w:r>
        <w:rPr>
          <w:color w:val="231F20"/>
          <w:w w:val="105"/>
          <w:vertAlign w:val="baseline"/>
        </w:rPr>
        <w:t>rapid</w:t>
      </w:r>
      <w:r>
        <w:rPr>
          <w:color w:val="231F20"/>
          <w:spacing w:val="-23"/>
          <w:w w:val="105"/>
          <w:vertAlign w:val="baseline"/>
        </w:rPr>
        <w:t> </w:t>
      </w:r>
      <w:r>
        <w:rPr>
          <w:color w:val="231F20"/>
          <w:w w:val="105"/>
          <w:vertAlign w:val="baseline"/>
        </w:rPr>
        <w:t>diffusion</w:t>
      </w:r>
    </w:p>
    <w:p>
      <w:pPr>
        <w:pStyle w:val="BodyText"/>
        <w:spacing w:line="249" w:lineRule="auto" w:before="99"/>
        <w:ind w:left="319" w:right="1437"/>
        <w:jc w:val="both"/>
      </w:pPr>
      <w:r>
        <w:rPr/>
        <w:br w:type="column"/>
      </w:r>
      <w:r>
        <w:rPr>
          <w:color w:val="231F20"/>
          <w:w w:val="105"/>
        </w:rPr>
        <w:t>of water through the cells. There are other aquaporins, AQP-3 and AQP-4, in the basolateral side of the cell membrane that provide a path for water to rapidly exit the cells, although these aquaporins are not believed to be regulated by ADH. Chronic increases in ADH levels also</w:t>
      </w:r>
      <w:r>
        <w:rPr>
          <w:color w:val="231F20"/>
          <w:spacing w:val="-13"/>
          <w:w w:val="105"/>
        </w:rPr>
        <w:t> </w:t>
      </w:r>
      <w:r>
        <w:rPr>
          <w:color w:val="231F20"/>
          <w:w w:val="105"/>
        </w:rPr>
        <w:t>increase</w:t>
      </w:r>
      <w:r>
        <w:rPr>
          <w:color w:val="231F20"/>
          <w:spacing w:val="-13"/>
          <w:w w:val="105"/>
        </w:rPr>
        <w:t> </w:t>
      </w:r>
      <w:r>
        <w:rPr>
          <w:color w:val="231F20"/>
          <w:w w:val="105"/>
        </w:rPr>
        <w:t>the</w:t>
      </w:r>
      <w:r>
        <w:rPr>
          <w:color w:val="231F20"/>
          <w:spacing w:val="-13"/>
          <w:w w:val="105"/>
        </w:rPr>
        <w:t> </w:t>
      </w:r>
      <w:r>
        <w:rPr>
          <w:color w:val="231F20"/>
          <w:w w:val="105"/>
        </w:rPr>
        <w:t>formation</w:t>
      </w:r>
      <w:r>
        <w:rPr>
          <w:color w:val="231F20"/>
          <w:spacing w:val="-13"/>
          <w:w w:val="105"/>
        </w:rPr>
        <w:t> </w:t>
      </w:r>
      <w:r>
        <w:rPr>
          <w:color w:val="231F20"/>
          <w:w w:val="105"/>
        </w:rPr>
        <w:t>of</w:t>
      </w:r>
      <w:r>
        <w:rPr>
          <w:color w:val="231F20"/>
          <w:spacing w:val="-13"/>
          <w:w w:val="105"/>
        </w:rPr>
        <w:t> </w:t>
      </w:r>
      <w:r>
        <w:rPr>
          <w:color w:val="231F20"/>
          <w:w w:val="105"/>
        </w:rPr>
        <w:t>AQP-2</w:t>
      </w:r>
      <w:r>
        <w:rPr>
          <w:color w:val="231F20"/>
          <w:spacing w:val="-13"/>
          <w:w w:val="105"/>
        </w:rPr>
        <w:t> </w:t>
      </w:r>
      <w:r>
        <w:rPr>
          <w:color w:val="231F20"/>
          <w:w w:val="105"/>
        </w:rPr>
        <w:t>protein</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renal tubular cells by stimulating AQP-2 gene transcription. When the concentration of ADH decreases, the mole- cules of AQP-2 are shuttled back to the cell cytoplasm, thereby removing the water channels from the luminal membrane and reducing water permeability. These cel- lular</w:t>
      </w:r>
      <w:r>
        <w:rPr>
          <w:color w:val="231F20"/>
          <w:spacing w:val="-15"/>
          <w:w w:val="105"/>
        </w:rPr>
        <w:t> </w:t>
      </w:r>
      <w:r>
        <w:rPr>
          <w:color w:val="231F20"/>
          <w:w w:val="105"/>
        </w:rPr>
        <w:t>actions</w:t>
      </w:r>
      <w:r>
        <w:rPr>
          <w:color w:val="231F20"/>
          <w:spacing w:val="-15"/>
          <w:w w:val="105"/>
        </w:rPr>
        <w:t> </w:t>
      </w:r>
      <w:r>
        <w:rPr>
          <w:color w:val="231F20"/>
          <w:w w:val="105"/>
        </w:rPr>
        <w:t>of</w:t>
      </w:r>
      <w:r>
        <w:rPr>
          <w:color w:val="231F20"/>
          <w:spacing w:val="-14"/>
          <w:w w:val="105"/>
        </w:rPr>
        <w:t> </w:t>
      </w:r>
      <w:r>
        <w:rPr>
          <w:color w:val="231F20"/>
          <w:w w:val="105"/>
        </w:rPr>
        <w:t>ADH</w:t>
      </w:r>
      <w:r>
        <w:rPr>
          <w:color w:val="231F20"/>
          <w:spacing w:val="-15"/>
          <w:w w:val="105"/>
        </w:rPr>
        <w:t> </w:t>
      </w:r>
      <w:r>
        <w:rPr>
          <w:color w:val="231F20"/>
          <w:w w:val="105"/>
        </w:rPr>
        <w:t>are</w:t>
      </w:r>
      <w:r>
        <w:rPr>
          <w:color w:val="231F20"/>
          <w:spacing w:val="-15"/>
          <w:w w:val="105"/>
        </w:rPr>
        <w:t> </w:t>
      </w:r>
      <w:r>
        <w:rPr>
          <w:color w:val="231F20"/>
          <w:w w:val="105"/>
        </w:rPr>
        <w:t>discussed</w:t>
      </w:r>
      <w:r>
        <w:rPr>
          <w:color w:val="231F20"/>
          <w:spacing w:val="-14"/>
          <w:w w:val="105"/>
        </w:rPr>
        <w:t> </w:t>
      </w:r>
      <w:r>
        <w:rPr>
          <w:color w:val="231F20"/>
          <w:w w:val="105"/>
        </w:rPr>
        <w:t>further</w:t>
      </w:r>
      <w:r>
        <w:rPr>
          <w:color w:val="231F20"/>
          <w:spacing w:val="-15"/>
          <w:w w:val="105"/>
        </w:rPr>
        <w:t> </w:t>
      </w:r>
      <w:r>
        <w:rPr>
          <w:color w:val="231F20"/>
          <w:w w:val="105"/>
        </w:rPr>
        <w:t>in</w:t>
      </w:r>
      <w:r>
        <w:rPr>
          <w:color w:val="231F20"/>
          <w:spacing w:val="-14"/>
          <w:w w:val="105"/>
        </w:rPr>
        <w:t> </w:t>
      </w:r>
      <w:r>
        <w:rPr>
          <w:color w:val="231F20"/>
          <w:w w:val="105"/>
        </w:rPr>
        <w:t>Chapter</w:t>
      </w:r>
      <w:r>
        <w:rPr>
          <w:color w:val="231F20"/>
          <w:spacing w:val="-15"/>
          <w:w w:val="105"/>
        </w:rPr>
        <w:t> </w:t>
      </w:r>
      <w:r>
        <w:rPr>
          <w:color w:val="231F20"/>
          <w:w w:val="105"/>
        </w:rPr>
        <w:t>76.</w:t>
      </w:r>
    </w:p>
    <w:p>
      <w:pPr>
        <w:pStyle w:val="BodyText"/>
        <w:spacing w:before="5"/>
        <w:rPr>
          <w:sz w:val="22"/>
        </w:rPr>
      </w:pPr>
    </w:p>
    <w:p>
      <w:pPr>
        <w:pStyle w:val="BodyText"/>
        <w:spacing w:line="249" w:lineRule="auto" w:before="1"/>
        <w:ind w:left="319" w:right="1437"/>
        <w:jc w:val="both"/>
      </w:pPr>
      <w:r>
        <w:rPr>
          <w:rFonts w:ascii="Trebuchet MS"/>
          <w:b/>
          <w:color w:val="231F20"/>
          <w:w w:val="105"/>
          <w:sz w:val="19"/>
        </w:rPr>
        <w:t>Atrial Natriuretic Peptide Decreases Sodium </w:t>
      </w:r>
      <w:r>
        <w:rPr>
          <w:rFonts w:ascii="Trebuchet MS"/>
          <w:b/>
          <w:color w:val="231F20"/>
          <w:spacing w:val="-5"/>
          <w:w w:val="105"/>
          <w:sz w:val="19"/>
        </w:rPr>
        <w:t>and </w:t>
      </w:r>
      <w:r>
        <w:rPr>
          <w:rFonts w:ascii="Trebuchet MS"/>
          <w:b/>
          <w:color w:val="231F20"/>
          <w:w w:val="105"/>
          <w:sz w:val="19"/>
        </w:rPr>
        <w:t>Water</w:t>
      </w:r>
      <w:r>
        <w:rPr>
          <w:rFonts w:ascii="Trebuchet MS"/>
          <w:b/>
          <w:color w:val="231F20"/>
          <w:spacing w:val="-26"/>
          <w:w w:val="105"/>
          <w:sz w:val="19"/>
        </w:rPr>
        <w:t> </w:t>
      </w:r>
      <w:r>
        <w:rPr>
          <w:rFonts w:ascii="Trebuchet MS"/>
          <w:b/>
          <w:color w:val="231F20"/>
          <w:w w:val="105"/>
          <w:sz w:val="19"/>
        </w:rPr>
        <w:t>Reabsorption. </w:t>
      </w:r>
      <w:r>
        <w:rPr>
          <w:color w:val="231F20"/>
          <w:w w:val="105"/>
        </w:rPr>
        <w:t>When</w:t>
      </w:r>
      <w:r>
        <w:rPr>
          <w:color w:val="231F20"/>
          <w:spacing w:val="-21"/>
          <w:w w:val="105"/>
        </w:rPr>
        <w:t> </w:t>
      </w:r>
      <w:r>
        <w:rPr>
          <w:color w:val="231F20"/>
          <w:w w:val="105"/>
        </w:rPr>
        <w:t>specific</w:t>
      </w:r>
      <w:r>
        <w:rPr>
          <w:color w:val="231F20"/>
          <w:spacing w:val="-21"/>
          <w:w w:val="105"/>
        </w:rPr>
        <w:t> </w:t>
      </w:r>
      <w:r>
        <w:rPr>
          <w:color w:val="231F20"/>
          <w:w w:val="105"/>
        </w:rPr>
        <w:t>cells</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spacing w:val="-3"/>
          <w:w w:val="105"/>
        </w:rPr>
        <w:t>cardiac </w:t>
      </w:r>
      <w:r>
        <w:rPr>
          <w:color w:val="231F20"/>
          <w:w w:val="105"/>
        </w:rPr>
        <w:t>atria are stretched because of plasma volume expansion and</w:t>
      </w:r>
      <w:r>
        <w:rPr>
          <w:color w:val="231F20"/>
          <w:spacing w:val="-21"/>
          <w:w w:val="105"/>
        </w:rPr>
        <w:t> </w:t>
      </w:r>
      <w:r>
        <w:rPr>
          <w:color w:val="231F20"/>
          <w:w w:val="105"/>
        </w:rPr>
        <w:t>increased</w:t>
      </w:r>
      <w:r>
        <w:rPr>
          <w:color w:val="231F20"/>
          <w:spacing w:val="-21"/>
          <w:w w:val="105"/>
        </w:rPr>
        <w:t> </w:t>
      </w:r>
      <w:r>
        <w:rPr>
          <w:color w:val="231F20"/>
          <w:w w:val="105"/>
        </w:rPr>
        <w:t>atrial</w:t>
      </w:r>
      <w:r>
        <w:rPr>
          <w:color w:val="231F20"/>
          <w:spacing w:val="-20"/>
          <w:w w:val="105"/>
        </w:rPr>
        <w:t> </w:t>
      </w:r>
      <w:r>
        <w:rPr>
          <w:color w:val="231F20"/>
          <w:w w:val="105"/>
        </w:rPr>
        <w:t>blood</w:t>
      </w:r>
      <w:r>
        <w:rPr>
          <w:color w:val="231F20"/>
          <w:spacing w:val="-21"/>
          <w:w w:val="105"/>
        </w:rPr>
        <w:t> </w:t>
      </w:r>
      <w:r>
        <w:rPr>
          <w:color w:val="231F20"/>
          <w:w w:val="105"/>
        </w:rPr>
        <w:t>pressure,</w:t>
      </w:r>
      <w:r>
        <w:rPr>
          <w:color w:val="231F20"/>
          <w:spacing w:val="-21"/>
          <w:w w:val="105"/>
        </w:rPr>
        <w:t> </w:t>
      </w:r>
      <w:r>
        <w:rPr>
          <w:color w:val="231F20"/>
          <w:w w:val="105"/>
        </w:rPr>
        <w:t>they</w:t>
      </w:r>
      <w:r>
        <w:rPr>
          <w:color w:val="231F20"/>
          <w:spacing w:val="-20"/>
          <w:w w:val="105"/>
        </w:rPr>
        <w:t> </w:t>
      </w:r>
      <w:r>
        <w:rPr>
          <w:color w:val="231F20"/>
          <w:w w:val="105"/>
        </w:rPr>
        <w:t>secrete</w:t>
      </w:r>
      <w:r>
        <w:rPr>
          <w:color w:val="231F20"/>
          <w:spacing w:val="-21"/>
          <w:w w:val="105"/>
        </w:rPr>
        <w:t> </w:t>
      </w:r>
      <w:r>
        <w:rPr>
          <w:color w:val="231F20"/>
          <w:w w:val="105"/>
        </w:rPr>
        <w:t>a</w:t>
      </w:r>
      <w:r>
        <w:rPr>
          <w:color w:val="231F20"/>
          <w:spacing w:val="-21"/>
          <w:w w:val="105"/>
        </w:rPr>
        <w:t> </w:t>
      </w:r>
      <w:r>
        <w:rPr>
          <w:color w:val="231F20"/>
          <w:w w:val="105"/>
        </w:rPr>
        <w:t>peptide called </w:t>
      </w:r>
      <w:r>
        <w:rPr>
          <w:i/>
          <w:color w:val="231F20"/>
          <w:w w:val="105"/>
        </w:rPr>
        <w:t>atrial natriuretic peptide (ANP)</w:t>
      </w:r>
      <w:r>
        <w:rPr>
          <w:color w:val="231F20"/>
          <w:w w:val="105"/>
        </w:rPr>
        <w:t>. Increased</w:t>
      </w:r>
      <w:r>
        <w:rPr>
          <w:color w:val="231F20"/>
          <w:spacing w:val="-10"/>
          <w:w w:val="105"/>
        </w:rPr>
        <w:t> </w:t>
      </w:r>
      <w:r>
        <w:rPr>
          <w:color w:val="231F20"/>
          <w:w w:val="105"/>
        </w:rPr>
        <w:t>levels of this peptide in turn directly inhibit the reabsorption of</w:t>
      </w:r>
      <w:r>
        <w:rPr>
          <w:color w:val="231F20"/>
          <w:spacing w:val="-22"/>
          <w:w w:val="105"/>
        </w:rPr>
        <w:t> </w:t>
      </w:r>
      <w:r>
        <w:rPr>
          <w:color w:val="231F20"/>
          <w:w w:val="105"/>
        </w:rPr>
        <w:t>sodium</w:t>
      </w:r>
      <w:r>
        <w:rPr>
          <w:color w:val="231F20"/>
          <w:spacing w:val="-22"/>
          <w:w w:val="105"/>
        </w:rPr>
        <w:t> </w:t>
      </w:r>
      <w:r>
        <w:rPr>
          <w:color w:val="231F20"/>
          <w:w w:val="105"/>
        </w:rPr>
        <w:t>and</w:t>
      </w:r>
      <w:r>
        <w:rPr>
          <w:color w:val="231F20"/>
          <w:spacing w:val="-22"/>
          <w:w w:val="105"/>
        </w:rPr>
        <w:t> </w:t>
      </w:r>
      <w:r>
        <w:rPr>
          <w:color w:val="231F20"/>
          <w:w w:val="105"/>
        </w:rPr>
        <w:t>water</w:t>
      </w:r>
      <w:r>
        <w:rPr>
          <w:color w:val="231F20"/>
          <w:spacing w:val="-22"/>
          <w:w w:val="105"/>
        </w:rPr>
        <w:t> </w:t>
      </w:r>
      <w:r>
        <w:rPr>
          <w:color w:val="231F20"/>
          <w:w w:val="105"/>
        </w:rPr>
        <w:t>by</w:t>
      </w:r>
      <w:r>
        <w:rPr>
          <w:color w:val="231F20"/>
          <w:spacing w:val="-22"/>
          <w:w w:val="105"/>
        </w:rPr>
        <w:t> </w:t>
      </w:r>
      <w:r>
        <w:rPr>
          <w:color w:val="231F20"/>
          <w:w w:val="105"/>
        </w:rPr>
        <w:t>the</w:t>
      </w:r>
      <w:r>
        <w:rPr>
          <w:color w:val="231F20"/>
          <w:spacing w:val="-22"/>
          <w:w w:val="105"/>
        </w:rPr>
        <w:t> </w:t>
      </w:r>
      <w:r>
        <w:rPr>
          <w:color w:val="231F20"/>
          <w:w w:val="105"/>
        </w:rPr>
        <w:t>renal</w:t>
      </w:r>
      <w:r>
        <w:rPr>
          <w:color w:val="231F20"/>
          <w:spacing w:val="-22"/>
          <w:w w:val="105"/>
        </w:rPr>
        <w:t> </w:t>
      </w:r>
      <w:r>
        <w:rPr>
          <w:color w:val="231F20"/>
          <w:w w:val="105"/>
        </w:rPr>
        <w:t>tubules,</w:t>
      </w:r>
      <w:r>
        <w:rPr>
          <w:color w:val="231F20"/>
          <w:spacing w:val="-22"/>
          <w:w w:val="105"/>
        </w:rPr>
        <w:t> </w:t>
      </w:r>
      <w:r>
        <w:rPr>
          <w:color w:val="231F20"/>
          <w:w w:val="105"/>
        </w:rPr>
        <w:t>especially</w:t>
      </w:r>
      <w:r>
        <w:rPr>
          <w:color w:val="231F20"/>
          <w:spacing w:val="-22"/>
          <w:w w:val="105"/>
        </w:rPr>
        <w:t> </w:t>
      </w:r>
      <w:r>
        <w:rPr>
          <w:color w:val="231F20"/>
          <w:w w:val="105"/>
        </w:rPr>
        <w:t>in</w:t>
      </w:r>
      <w:r>
        <w:rPr>
          <w:color w:val="231F20"/>
          <w:spacing w:val="-22"/>
          <w:w w:val="105"/>
        </w:rPr>
        <w:t> </w:t>
      </w:r>
      <w:r>
        <w:rPr>
          <w:color w:val="231F20"/>
          <w:w w:val="105"/>
        </w:rPr>
        <w:t>the collecting ducts. ANP also inhibits renin secretion and therefore</w:t>
      </w:r>
      <w:r>
        <w:rPr>
          <w:color w:val="231F20"/>
          <w:spacing w:val="-14"/>
          <w:w w:val="105"/>
        </w:rPr>
        <w:t> </w:t>
      </w:r>
      <w:r>
        <w:rPr>
          <w:color w:val="231F20"/>
          <w:w w:val="105"/>
        </w:rPr>
        <w:t>angiotensin</w:t>
      </w:r>
      <w:r>
        <w:rPr>
          <w:color w:val="231F20"/>
          <w:spacing w:val="-14"/>
          <w:w w:val="105"/>
        </w:rPr>
        <w:t> </w:t>
      </w:r>
      <w:r>
        <w:rPr>
          <w:color w:val="231F20"/>
          <w:w w:val="105"/>
        </w:rPr>
        <w:t>II</w:t>
      </w:r>
      <w:r>
        <w:rPr>
          <w:color w:val="231F20"/>
          <w:spacing w:val="-14"/>
          <w:w w:val="105"/>
        </w:rPr>
        <w:t> </w:t>
      </w:r>
      <w:r>
        <w:rPr>
          <w:color w:val="231F20"/>
          <w:w w:val="105"/>
        </w:rPr>
        <w:t>formation,</w:t>
      </w:r>
      <w:r>
        <w:rPr>
          <w:color w:val="231F20"/>
          <w:spacing w:val="-14"/>
          <w:w w:val="105"/>
        </w:rPr>
        <w:t> </w:t>
      </w:r>
      <w:r>
        <w:rPr>
          <w:color w:val="231F20"/>
          <w:w w:val="105"/>
        </w:rPr>
        <w:t>which</w:t>
      </w:r>
      <w:r>
        <w:rPr>
          <w:color w:val="231F20"/>
          <w:spacing w:val="-14"/>
          <w:w w:val="105"/>
        </w:rPr>
        <w:t> </w:t>
      </w:r>
      <w:r>
        <w:rPr>
          <w:color w:val="231F20"/>
          <w:w w:val="105"/>
        </w:rPr>
        <w:t>in</w:t>
      </w:r>
      <w:r>
        <w:rPr>
          <w:color w:val="231F20"/>
          <w:spacing w:val="-13"/>
          <w:w w:val="105"/>
        </w:rPr>
        <w:t> </w:t>
      </w:r>
      <w:r>
        <w:rPr>
          <w:color w:val="231F20"/>
          <w:w w:val="105"/>
        </w:rPr>
        <w:t>turn</w:t>
      </w:r>
      <w:r>
        <w:rPr>
          <w:color w:val="231F20"/>
          <w:spacing w:val="-14"/>
          <w:w w:val="105"/>
        </w:rPr>
        <w:t> </w:t>
      </w:r>
      <w:r>
        <w:rPr>
          <w:color w:val="231F20"/>
          <w:w w:val="105"/>
        </w:rPr>
        <w:t>reduces renal tubular reabsorption. This decreased sodium and water reabsorption increases urinary excretion, which helps to return blood volume back toward normal.</w:t>
      </w:r>
    </w:p>
    <w:p>
      <w:pPr>
        <w:pStyle w:val="BodyText"/>
        <w:spacing w:line="249" w:lineRule="auto" w:before="11"/>
        <w:ind w:left="319" w:right="1437" w:firstLine="240"/>
        <w:jc w:val="both"/>
      </w:pPr>
      <w:r>
        <w:rPr>
          <w:color w:val="231F20"/>
        </w:rPr>
        <w:t>ANP levels are greatly elevated in congestive heart failure when the cardiac atria are stretched because of impaired pumping of the ventricles. The increased ANP</w:t>
      </w:r>
    </w:p>
    <w:p>
      <w:pPr>
        <w:spacing w:after="0" w:line="249" w:lineRule="auto"/>
        <w:jc w:val="both"/>
        <w:sectPr>
          <w:type w:val="continuous"/>
          <w:pgSz w:w="12240" w:h="15660"/>
          <w:pgMar w:top="0" w:bottom="760" w:left="0" w:right="0"/>
          <w:cols w:num="2" w:equalWidth="0">
            <w:col w:w="5761" w:space="40"/>
            <w:col w:w="6439"/>
          </w:cols>
        </w:sectPr>
      </w:pPr>
    </w:p>
    <w:p>
      <w:pPr>
        <w:spacing w:line="235" w:lineRule="auto" w:before="98"/>
        <w:ind w:left="1387" w:right="38" w:firstLine="0"/>
        <w:jc w:val="center"/>
        <w:rPr>
          <w:rFonts w:ascii="Helvetica"/>
          <w:sz w:val="16"/>
        </w:rPr>
      </w:pPr>
      <w:r>
        <w:rPr/>
        <w:pict>
          <v:group style="position:absolute;margin-left:55.980293pt;margin-top:7.044325pt;width:201.3pt;height:216.5pt;mso-position-horizontal-relative:page;mso-position-vertical-relative:paragraph;z-index:-273127424" coordorigin="1120,141" coordsize="4026,4330">
            <v:shape style="position:absolute;left:2133;top:167;width:2977;height:624" coordorigin="2134,167" coordsize="2977,624" path="m5110,167l2134,169,2134,500,2144,550,2171,591,2212,619,2262,629,4324,629,4352,630,4414,636,4495,654,4578,687,4655,725,4741,760,4826,784,4903,791,4989,774,5052,735,5092,673,5110,589,5110,167xe" filled="true" fillcolor="#feede3" stroked="false">
              <v:path arrowok="t"/>
              <v:fill type="solid"/>
            </v:shape>
            <v:shape style="position:absolute;left:2125;top:159;width:2992;height:639" coordorigin="2126,160" coordsize="2992,639" path="m5118,160l2126,162,2126,500,2137,553,2166,596,2209,625,2262,636,4324,636,4410,637,4465,643,4512,661,4575,694,4640,727,4721,761,4809,788,4892,798,4896,798,4900,798,4904,798,4965,789,4980,783,4892,783,4817,774,4735,750,4654,717,4582,681,4498,647,4415,629,4352,622,4324,621,2262,621,2215,612,2176,586,2150,547,2141,500,2141,177,5118,175,5118,160xm5118,175l5103,175,5103,589,5096,636,5083,677,5063,711,5036,739,5010,757,4978,770,4943,779,4903,783,4900,783,4896,783,4980,783,5021,767,5068,729,5101,671,5118,589,5118,175xe" filled="true" fillcolor="#e2874a" stroked="false">
              <v:path arrowok="t"/>
              <v:fill type="solid"/>
            </v:shape>
            <v:shape style="position:absolute;left:2133;top:846;width:2977;height:3617" coordorigin="2134,846" coordsize="2977,3617" path="m4903,846l4826,853,4741,877,4655,912,4578,950,4495,983,4414,1001,4352,1007,4324,1008,2262,1008,2212,1018,2171,1046,2144,1086,2134,1136,2134,4172,2144,4222,2171,4263,2212,4290,2262,4300,4324,4300,4352,4301,4414,4308,4495,4325,4578,4359,4655,4397,4741,4431,4826,4455,4903,4462,4989,4446,5052,4407,5092,4345,5110,4261,5110,1048,5092,963,5052,902,4989,863,4903,846xe" filled="true" fillcolor="#feede3" stroked="false">
              <v:path arrowok="t"/>
              <v:fill type="solid"/>
            </v:shape>
            <v:shape style="position:absolute;left:2126;top:838;width:2992;height:3632" coordorigin="2126,839" coordsize="2992,3632" path="m4896,839l4892,839,4809,849,4721,876,4640,910,4575,943,4492,976,4410,993,4349,1000,4324,1001,2262,1001,2209,1011,2166,1040,2137,1084,2126,1136,2126,4172,2137,4225,2166,4268,2209,4297,2262,4308,4324,4308,4410,4309,4465,4315,4512,4332,4575,4365,4640,4398,4721,4432,4809,4459,4892,4470,4896,4470,4900,4470,4904,4470,4965,4461,4980,4455,4892,4455,4817,4446,4735,4421,4654,4388,4582,4352,4498,4318,4415,4301,4352,4294,4324,4293,2262,4293,2215,4283,2176,4257,2150,4219,2141,4172,2141,1136,2150,1089,2176,1051,2215,1025,2262,1016,4324,1016,4352,1015,4415,1008,4498,990,4582,956,4654,920,4735,887,4817,863,4892,854,4980,854,4965,847,4904,839,4900,839,4896,839xm4980,854l4896,854,4899,854,4903,854,4903,854,4943,858,4978,867,5010,880,5036,898,5063,926,5082,960,5096,1001,5103,1048,5103,4261,5096,4308,5082,4349,5063,4383,5036,4411,5010,4428,4978,4442,4943,4450,4903,4455,4900,4455,4896,4455,4980,4455,5021,4439,5068,4401,5101,4342,5118,4261,5118,1048,5101,966,5068,908,5021,869,4980,854xe" filled="true" fillcolor="#e2874a" stroked="false">
              <v:path arrowok="t"/>
              <v:fill type="solid"/>
            </v:shape>
            <v:shape style="position:absolute;left:3196;top:1920;width:461;height:762" coordorigin="3196,1920" coordsize="461,762" path="m3344,1967l3269,1950,3198,1920,3196,1921,3223,1968,3197,2015,3198,2016,3269,1985,3344,1967m3656,2535l3656,2534,3609,2561,3562,2534,3561,2536,3591,2607,3609,2681,3626,2607,3646,2561,3656,2535e" filled="true" fillcolor="#231f20" stroked="false">
              <v:path arrowok="t"/>
              <v:fill type="solid"/>
            </v:shape>
            <v:line style="position:absolute" from="3608,2406" to="3608,2573" stroked="true" strokeweight="1.5pt" strokecolor="#231f20">
              <v:stroke dashstyle="solid"/>
            </v:line>
            <v:line style="position:absolute" from="2099,161" to="5145,161" stroked="true" strokeweight="2pt" strokecolor="#ffffff">
              <v:stroke dashstyle="solid"/>
            </v:line>
            <v:shape style="position:absolute;left:1882;top:1515;width:496;height:205" coordorigin="1882,1516" coordsize="496,205" path="m2356,1516l1882,1516,1882,1553,1906,1557,1925,1570,1938,1589,1942,1613,1938,1636,1925,1655,1906,1668,1882,1673,1882,1720,2356,1720,2365,1696,2372,1671,2376,1645,2378,1618,2376,1591,2372,1565,2365,1540,2356,1516xe" filled="true" fillcolor="#abc3e1" stroked="false">
              <v:path arrowok="t"/>
              <v:fill type="solid"/>
            </v:shape>
            <v:shape style="position:absolute;left:1882;top:1515;width:496;height:205" coordorigin="1882,1516" coordsize="496,205" path="m2378,1618l2376,1591,2372,1565,2365,1540,2356,1516,1882,1516,1882,1528,1882,1540,1882,1553,1906,1557,1925,1570,1938,1589,1942,1613,1938,1636,1925,1655,1906,1668,1882,1673,1882,1684,1882,1696,1882,1708,1882,1720,2356,1720,2365,1696,2372,1671,2376,1645,2378,1618xe" filled="false" stroked="true" strokeweight="1pt" strokecolor="#231f20">
              <v:path arrowok="t"/>
              <v:stroke dashstyle="solid"/>
            </v:shape>
            <v:shape style="position:absolute;left:1129;top:1458;width:669;height:320" coordorigin="1130,1458" coordsize="669,320" path="m1504,1458l1187,1458,1165,1463,1146,1475,1134,1493,1130,1516,1130,1720,1134,1743,1146,1761,1165,1773,1187,1778,1504,1778,1526,1773,1544,1761,1557,1743,1561,1720,1738,1720,1738,1673,1762,1668,1781,1655,1794,1636,1798,1613,1794,1589,1781,1570,1762,1557,1738,1553,1738,1516,1561,1516,1557,1493,1544,1475,1526,1463,1504,1458xe" filled="true" fillcolor="#f4a795" stroked="false">
              <v:path arrowok="t"/>
              <v:fill type="solid"/>
            </v:shape>
            <v:shape style="position:absolute;left:1129;top:1458;width:669;height:320" coordorigin="1130,1458" coordsize="669,320" path="m1798,1613l1794,1589,1781,1570,1762,1557,1738,1553,1738,1540,1738,1528,1738,1516,1561,1516,1557,1493,1544,1475,1526,1463,1504,1458,1187,1458,1165,1463,1146,1475,1134,1493,1130,1516,1130,1720,1134,1743,1146,1761,1165,1773,1187,1778,1504,1778,1526,1773,1544,1761,1557,1743,1561,1720,1738,1720,1738,1708,1738,1696,1738,1684,1738,1673,1762,1668,1781,1655,1794,1636,1798,1613xe" filled="false" stroked="true" strokeweight="1.0pt" strokecolor="#231f20">
              <v:path arrowok="t"/>
              <v:stroke dashstyle="solid"/>
            </v:shape>
            <v:shape style="position:absolute;left:1882;top:2820;width:496;height:205" coordorigin="1882,2821" coordsize="496,205" path="m2356,2821l1882,2821,1882,2858,1906,2862,1925,2875,1938,2894,1942,2918,1938,2941,1925,2960,1906,2973,1882,2978,1882,3025,2356,3025,2365,3001,2372,2976,2376,2950,2378,2923,2376,2896,2372,2870,2365,2845,2356,2821xe" filled="true" fillcolor="#abc3e1" stroked="false">
              <v:path arrowok="t"/>
              <v:fill type="solid"/>
            </v:shape>
            <v:shape style="position:absolute;left:1882;top:2820;width:496;height:205" coordorigin="1882,2821" coordsize="496,205" path="m2378,2923l2376,2896,2372,2870,2365,2845,2356,2821,1882,2821,1882,2833,1882,2845,1882,2858,1906,2862,1925,2875,1938,2894,1942,2918,1938,2941,1925,2960,1906,2973,1882,2978,1882,2989,1882,3001,1882,3013,1882,3025,2356,3025,2365,3001,2372,2976,2376,2950,2378,2923xe" filled="false" stroked="true" strokeweight="1pt" strokecolor="#231f20">
              <v:path arrowok="t"/>
              <v:stroke dashstyle="solid"/>
            </v:shape>
            <v:shape style="position:absolute;left:1129;top:2763;width:669;height:320" coordorigin="1130,2763" coordsize="669,320" path="m1504,2763l1187,2763,1165,2768,1146,2780,1134,2798,1130,2821,1130,3025,1134,3048,1146,3066,1165,3078,1187,3083,1504,3083,1526,3078,1544,3066,1557,3048,1561,3025,1738,3025,1738,2978,1762,2973,1781,2960,1794,2941,1798,2918,1794,2894,1781,2875,1762,2862,1738,2858,1738,2821,1561,2821,1557,2798,1544,2780,1526,2768,1504,2763xe" filled="true" fillcolor="#f4a795" stroked="false">
              <v:path arrowok="t"/>
              <v:fill type="solid"/>
            </v:shape>
            <v:shape style="position:absolute;left:1129;top:2763;width:669;height:320" coordorigin="1130,2763" coordsize="669,320" path="m1798,2918l1794,2894,1781,2875,1762,2862,1738,2858,1738,2845,1738,2833,1738,2821,1561,2821,1557,2798,1544,2780,1526,2768,1504,2763,1187,2763,1165,2768,1146,2780,1134,2798,1130,2821,1130,3025,1134,3048,1146,3066,1165,3078,1187,3083,1504,3083,1526,3078,1544,3066,1557,3048,1561,3025,1738,3025,1738,3013,1738,3001,1738,2989,1738,2978,1762,2973,1781,2960,1794,2941,1798,2918xe" filled="false" stroked="true" strokeweight="1pt" strokecolor="#231f20">
              <v:path arrowok="t"/>
              <v:stroke dashstyle="solid"/>
            </v:shape>
            <v:shape style="position:absolute;left:1849;top:2001;width:539;height:539" coordorigin="1850,2001" coordsize="539,539" path="m2119,2001l2047,2011,1983,2038,1929,2080,1887,2135,1859,2199,1850,2270,1859,2342,1887,2406,1929,2461,1983,2503,2047,2530,2119,2540,2191,2530,2255,2503,2309,2461,2352,2406,2379,2342,2388,2270,2379,2199,2352,2135,2309,2080,2255,2038,2191,2011,2119,2001xe" filled="true" fillcolor="#ffffff" stroked="false">
              <v:path arrowok="t"/>
              <v:fill type="solid"/>
            </v:shape>
            <v:shape style="position:absolute;left:-539;top:7633;width:696;height:539" coordorigin="-539,7633" coordsize="696,539" path="m2388,2270l2379,2342,2352,2406,2309,2461,2255,2503,2191,2530,2119,2540,2047,2530,1983,2503,1929,2461,1887,2406,1859,2342,1850,2270,1859,2199,1887,2135,1929,2080,1983,2038,2047,2011,2119,2001,2191,2011,2255,2038,2309,2080,2352,2135,2379,2199,2388,2270xm2545,2504l2490,2462,2448,2407,2420,2342,2411,2270,2420,2199,2448,2134,2490,2079,2545,2037e" filled="false" stroked="true" strokeweight="1pt" strokecolor="#231f20">
              <v:path arrowok="t"/>
              <v:stroke dashstyle="solid"/>
            </v:shape>
            <v:shape style="position:absolute;left:2490;top:1983;width:148;height:111" type="#_x0000_t75" stroked="false">
              <v:imagedata r:id="rId711" o:title=""/>
            </v:shape>
            <v:shape style="position:absolute;left:1977;top:2532;width:297;height:297" type="#_x0000_t75" stroked="false">
              <v:imagedata r:id="rId712" o:title=""/>
            </v:shape>
            <v:shape style="position:absolute;left:1977;top:1712;width:297;height:297" type="#_x0000_t75" stroked="false">
              <v:imagedata r:id="rId712" o:title=""/>
            </v:shape>
            <v:shape style="position:absolute;left:3254;top:3475;width:216;height:216" type="#_x0000_t75" stroked="false">
              <v:imagedata r:id="rId713" o:title=""/>
            </v:shape>
            <v:shape style="position:absolute;left:3542;top:3619;width:216;height:216" type="#_x0000_t75" stroked="false">
              <v:imagedata r:id="rId714" o:title=""/>
            </v:shape>
            <v:shape style="position:absolute;left:3837;top:3459;width:216;height:216" type="#_x0000_t75" stroked="false">
              <v:imagedata r:id="rId715" o:title=""/>
            </v:shape>
            <v:shape style="position:absolute;left:2112;top:1161;width:197;height:216" type="#_x0000_t75" stroked="false">
              <v:imagedata r:id="rId716" o:title=""/>
            </v:shape>
            <v:shape style="position:absolute;left:2112;top:3537;width:197;height:216" type="#_x0000_t75" stroked="false">
              <v:imagedata r:id="rId717" o:title=""/>
            </v:shape>
            <v:shape style="position:absolute;left:4934;top:1161;width:197;height:216" type="#_x0000_t75" stroked="false">
              <v:imagedata r:id="rId718" o:title=""/>
            </v:shape>
            <v:shape style="position:absolute;left:4934;top:1625;width:197;height:216" type="#_x0000_t75" stroked="false">
              <v:imagedata r:id="rId719" o:title=""/>
            </v:shape>
            <v:shape style="position:absolute;left:4934;top:2539;width:197;height:216" type="#_x0000_t75" stroked="false">
              <v:imagedata r:id="rId720" o:title=""/>
            </v:shape>
            <v:shape style="position:absolute;left:4673;top:1222;width:148;height:555" coordorigin="4674,1222" coordsize="148,555" path="m4821,1776l4795,1728,4821,1682,4819,1681,4748,1711,4674,1729,4748,1746,4820,1776,4821,1776m4821,1317l4795,1270,4821,1223,4819,1222,4748,1253,4674,1270,4748,1288,4820,1318,4821,1317e" filled="true" fillcolor="#231f20" stroked="false">
              <v:path arrowok="t"/>
              <v:fill type="solid"/>
            </v:shape>
            <v:shape style="position:absolute;left:3237;top:3024;width:674;height:482" type="#_x0000_t75" stroked="false">
              <v:imagedata r:id="rId721" o:title=""/>
            </v:shape>
            <v:shape style="position:absolute;left:4106;top:2855;width:672;height:712" coordorigin="4106,2856" coordsize="672,712" path="m4106,3567l4178,3558,4245,3534,4308,3496,4368,3448,4424,3390,4476,3326,4524,3258,4570,3188,4612,3118,4650,3051,4686,2989,4720,2934,4750,2889,4778,2856e" filled="false" stroked="true" strokeweight="1.5pt" strokecolor="#231f20">
              <v:path arrowok="t"/>
              <v:stroke dashstyle="solid"/>
            </v:shape>
            <v:shape style="position:absolute;left:4720;top:2779;width:134;height:134" type="#_x0000_t75" stroked="false">
              <v:imagedata r:id="rId722" o:title=""/>
            </v:shape>
            <v:shape style="position:absolute;left:4106;top:2080;width:688;height:1408" coordorigin="4106,2080" coordsize="688,1408" path="m4106,3487l4162,3454,4228,3363,4263,3300,4301,3227,4339,3146,4377,3059,4417,2967,4456,2872,4495,2776,4533,2679,4571,2584,4607,2493,4641,2406,4673,2326,4703,2254,4731,2192,4776,2103,4794,2080e" filled="false" stroked="true" strokeweight="1.5pt" strokecolor="#231f20">
              <v:path arrowok="t"/>
              <v:stroke dashstyle="solid"/>
            </v:shape>
            <v:shape style="position:absolute;left:4735;top:2004;width:134;height:134" type="#_x0000_t75" stroked="false">
              <v:imagedata r:id="rId723" o:title=""/>
            </v:shape>
            <v:shape style="position:absolute;left:4436;top:1432;width:342;height:1410" coordorigin="4436,1432" coordsize="342,1410" path="m4468,2842l4485,2791,4497,2740,4503,2689,4505,2639,4503,2589,4491,2488,4473,2387,4463,2336,4454,2284,4446,2231,4440,2178,4436,2124,4436,2069,4440,2012,4463,1895,4484,1835,4512,1772,4547,1708,4590,1642,4643,1575,4705,1505,4778,1432e" filled="false" stroked="true" strokeweight="1.5pt" strokecolor="#231f20">
              <v:path arrowok="t"/>
              <v:stroke dashstyle="solid"/>
            </v:shape>
            <v:shape style="position:absolute;left:4720;top:1365;width:141;height:125" type="#_x0000_t75" stroked="false">
              <v:imagedata r:id="rId724" o:title=""/>
            </v:shape>
            <w10:wrap type="none"/>
          </v:group>
        </w:pict>
      </w:r>
      <w:r>
        <w:rPr>
          <w:rFonts w:ascii="Helvetica"/>
          <w:color w:val="231F20"/>
          <w:sz w:val="16"/>
        </w:rPr>
        <w:t>Renal interstitial</w:t>
      </w:r>
      <w:r>
        <w:rPr>
          <w:rFonts w:ascii="Helvetica"/>
          <w:color w:val="231F20"/>
          <w:w w:val="99"/>
          <w:sz w:val="16"/>
        </w:rPr>
        <w:t> </w:t>
      </w:r>
      <w:r>
        <w:rPr>
          <w:rFonts w:ascii="Helvetica"/>
          <w:color w:val="231F20"/>
          <w:sz w:val="16"/>
        </w:rPr>
        <w:t>fluid</w:t>
      </w:r>
    </w:p>
    <w:p>
      <w:pPr>
        <w:pStyle w:val="BodyText"/>
        <w:spacing w:before="2"/>
        <w:rPr>
          <w:rFonts w:ascii="Helvetica"/>
          <w:sz w:val="18"/>
        </w:rPr>
      </w:pPr>
      <w:r>
        <w:rPr/>
        <w:br w:type="column"/>
      </w:r>
      <w:r>
        <w:rPr>
          <w:rFonts w:ascii="Helvetica"/>
          <w:sz w:val="18"/>
        </w:rPr>
      </w:r>
    </w:p>
    <w:p>
      <w:pPr>
        <w:spacing w:line="235" w:lineRule="auto" w:before="1"/>
        <w:ind w:left="1498" w:right="-18" w:hanging="112"/>
        <w:jc w:val="left"/>
        <w:rPr>
          <w:rFonts w:ascii="Helvetica"/>
          <w:sz w:val="16"/>
        </w:rPr>
      </w:pPr>
      <w:r>
        <w:rPr>
          <w:rFonts w:ascii="Helvetica"/>
          <w:color w:val="231F20"/>
          <w:sz w:val="16"/>
        </w:rPr>
        <w:t>Tubular cells</w:t>
      </w:r>
    </w:p>
    <w:p>
      <w:pPr>
        <w:spacing w:line="235" w:lineRule="auto" w:before="98"/>
        <w:ind w:left="926" w:right="-19" w:hanging="54"/>
        <w:jc w:val="left"/>
        <w:rPr>
          <w:rFonts w:ascii="Helvetica"/>
          <w:sz w:val="16"/>
        </w:rPr>
      </w:pPr>
      <w:r>
        <w:rPr/>
        <w:br w:type="column"/>
      </w:r>
      <w:r>
        <w:rPr>
          <w:rFonts w:ascii="Helvetica"/>
          <w:color w:val="231F20"/>
          <w:sz w:val="16"/>
        </w:rPr>
        <w:t>Tubular</w:t>
      </w:r>
      <w:r>
        <w:rPr>
          <w:rFonts w:ascii="Helvetica"/>
          <w:color w:val="231F20"/>
          <w:w w:val="99"/>
          <w:sz w:val="16"/>
        </w:rPr>
        <w:t> </w:t>
      </w:r>
      <w:r>
        <w:rPr>
          <w:rFonts w:ascii="Helvetica"/>
          <w:color w:val="231F20"/>
          <w:sz w:val="16"/>
        </w:rPr>
        <w:t>lumen</w:t>
      </w:r>
    </w:p>
    <w:p>
      <w:pPr>
        <w:pStyle w:val="BodyText"/>
        <w:spacing w:line="249" w:lineRule="auto" w:before="2"/>
        <w:ind w:left="359" w:right="1037"/>
      </w:pPr>
      <w:r>
        <w:rPr/>
        <w:br w:type="column"/>
      </w:r>
      <w:r>
        <w:rPr>
          <w:color w:val="231F20"/>
          <w:w w:val="105"/>
        </w:rPr>
        <w:t>helps to attenuate sodium and water retention in heart failure.</w:t>
      </w:r>
    </w:p>
    <w:p>
      <w:pPr>
        <w:spacing w:before="250"/>
        <w:ind w:left="359" w:right="0" w:firstLine="0"/>
        <w:jc w:val="left"/>
        <w:rPr>
          <w:rFonts w:ascii="Trebuchet MS" w:hAnsi="Trebuchet MS"/>
          <w:b/>
          <w:sz w:val="19"/>
        </w:rPr>
      </w:pPr>
      <w:r>
        <w:rPr>
          <w:rFonts w:ascii="Trebuchet MS" w:hAnsi="Trebuchet MS"/>
          <w:b/>
          <w:color w:val="231F20"/>
          <w:sz w:val="19"/>
        </w:rPr>
        <w:t>Parathyroid Hormone Increases Calcium Reabsorp­</w:t>
      </w:r>
    </w:p>
    <w:p>
      <w:pPr>
        <w:spacing w:after="0"/>
        <w:jc w:val="left"/>
        <w:rPr>
          <w:rFonts w:ascii="Trebuchet MS" w:hAnsi="Trebuchet MS"/>
          <w:sz w:val="19"/>
        </w:rPr>
        <w:sectPr>
          <w:type w:val="continuous"/>
          <w:pgSz w:w="12240" w:h="15660"/>
          <w:pgMar w:top="0" w:bottom="760" w:left="0" w:right="0"/>
          <w:cols w:num="4" w:equalWidth="0">
            <w:col w:w="2104" w:space="231"/>
            <w:col w:w="1931" w:space="40"/>
            <w:col w:w="1416" w:space="39"/>
            <w:col w:w="6479"/>
          </w:cols>
        </w:sectPr>
      </w:pPr>
    </w:p>
    <w:p>
      <w:pPr>
        <w:tabs>
          <w:tab w:pos="4781" w:val="left" w:leader="none"/>
          <w:tab w:pos="5262" w:val="left" w:leader="none"/>
        </w:tabs>
        <w:spacing w:line="87" w:lineRule="exact" w:before="166"/>
        <w:ind w:left="2396" w:right="0" w:firstLine="0"/>
        <w:jc w:val="left"/>
        <w:rPr>
          <w:rFonts w:ascii="Helvetica"/>
          <w:b/>
          <w:sz w:val="16"/>
        </w:rPr>
      </w:pPr>
      <w:r>
        <w:rPr>
          <w:rFonts w:ascii="Helvetica"/>
          <w:b/>
          <w:color w:val="231F20"/>
          <w:sz w:val="16"/>
        </w:rPr>
        <w:t>AQP-3</w:t>
        <w:tab/>
      </w:r>
      <w:r>
        <w:rPr>
          <w:rFonts w:ascii="Helvetica"/>
          <w:b/>
          <w:color w:val="231F20"/>
          <w:sz w:val="16"/>
          <w:u w:val="thick" w:color="231F20"/>
        </w:rPr>
        <w:t> </w:t>
        <w:tab/>
      </w:r>
      <w:r>
        <w:rPr>
          <w:rFonts w:ascii="Helvetica"/>
          <w:b/>
          <w:color w:val="231F20"/>
          <w:position w:val="-4"/>
          <w:sz w:val="16"/>
        </w:rPr>
        <w:t>H</w:t>
      </w:r>
      <w:r>
        <w:rPr>
          <w:rFonts w:ascii="Helvetica"/>
          <w:b/>
          <w:color w:val="231F20"/>
          <w:spacing w:val="21"/>
          <w:position w:val="-4"/>
          <w:sz w:val="16"/>
        </w:rPr>
        <w:t> </w:t>
      </w:r>
      <w:r>
        <w:rPr>
          <w:rFonts w:ascii="Helvetica"/>
          <w:b/>
          <w:color w:val="231F20"/>
          <w:spacing w:val="-18"/>
          <w:position w:val="-4"/>
          <w:sz w:val="16"/>
        </w:rPr>
        <w:t>O</w:t>
      </w:r>
    </w:p>
    <w:p>
      <w:pPr>
        <w:pStyle w:val="BodyText"/>
        <w:spacing w:before="11"/>
        <w:ind w:left="466"/>
      </w:pPr>
      <w:r>
        <w:rPr/>
        <w:br w:type="column"/>
      </w:r>
      <w:r>
        <w:rPr>
          <w:rFonts w:ascii="Trebuchet MS"/>
          <w:b/>
          <w:color w:val="231F20"/>
          <w:w w:val="105"/>
          <w:sz w:val="19"/>
        </w:rPr>
        <w:t>tion. </w:t>
      </w:r>
      <w:r>
        <w:rPr>
          <w:color w:val="231F20"/>
          <w:w w:val="105"/>
        </w:rPr>
        <w:t>Parathyroid hormone is one of the most important</w:t>
      </w:r>
    </w:p>
    <w:p>
      <w:pPr>
        <w:spacing w:after="0"/>
        <w:sectPr>
          <w:type w:val="continuous"/>
          <w:pgSz w:w="12240" w:h="15660"/>
          <w:pgMar w:top="0" w:bottom="760" w:left="0" w:right="0"/>
          <w:cols w:num="2" w:equalWidth="0">
            <w:col w:w="5614" w:space="40"/>
            <w:col w:w="6586"/>
          </w:cols>
        </w:sectPr>
      </w:pPr>
    </w:p>
    <w:p>
      <w:pPr>
        <w:spacing w:line="147" w:lineRule="exact" w:before="93"/>
        <w:ind w:left="0" w:right="38" w:firstLine="0"/>
        <w:jc w:val="right"/>
        <w:rPr>
          <w:rFonts w:ascii="Helvetica"/>
          <w:b/>
          <w:sz w:val="16"/>
        </w:rPr>
      </w:pPr>
      <w:r>
        <w:rPr>
          <w:rFonts w:ascii="Helvetica"/>
          <w:b/>
          <w:color w:val="231F20"/>
          <w:w w:val="95"/>
          <w:sz w:val="16"/>
        </w:rPr>
        <w:t>AQP-4</w:t>
      </w:r>
    </w:p>
    <w:p>
      <w:pPr>
        <w:pStyle w:val="BodyText"/>
        <w:tabs>
          <w:tab w:pos="3093" w:val="left" w:leader="none"/>
        </w:tabs>
        <w:spacing w:line="229" w:lineRule="exact"/>
        <w:ind w:left="2396"/>
      </w:pPr>
      <w:r>
        <w:rPr/>
        <w:br w:type="column"/>
      </w:r>
      <w:r>
        <w:rPr>
          <w:rFonts w:ascii="Helvetica"/>
          <w:b/>
          <w:color w:val="231F20"/>
          <w:w w:val="105"/>
          <w:position w:val="3"/>
          <w:sz w:val="12"/>
        </w:rPr>
        <w:t>2</w:t>
        <w:tab/>
      </w:r>
      <w:r>
        <w:rPr>
          <w:color w:val="231F20"/>
          <w:w w:val="105"/>
        </w:rPr>
        <w:t>calcium-regulating</w:t>
      </w:r>
      <w:r>
        <w:rPr>
          <w:color w:val="231F20"/>
          <w:spacing w:val="26"/>
          <w:w w:val="105"/>
        </w:rPr>
        <w:t> </w:t>
      </w:r>
      <w:r>
        <w:rPr>
          <w:color w:val="231F20"/>
          <w:w w:val="105"/>
        </w:rPr>
        <w:t>hormones</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body.</w:t>
      </w:r>
      <w:r>
        <w:rPr>
          <w:color w:val="231F20"/>
          <w:spacing w:val="27"/>
          <w:w w:val="105"/>
        </w:rPr>
        <w:t> </w:t>
      </w:r>
      <w:r>
        <w:rPr>
          <w:color w:val="231F20"/>
          <w:w w:val="105"/>
        </w:rPr>
        <w:t>Its</w:t>
      </w:r>
      <w:r>
        <w:rPr>
          <w:color w:val="231F20"/>
          <w:spacing w:val="27"/>
          <w:w w:val="105"/>
        </w:rPr>
        <w:t> </w:t>
      </w:r>
      <w:r>
        <w:rPr>
          <w:color w:val="231F20"/>
          <w:w w:val="105"/>
        </w:rPr>
        <w:t>principal</w:t>
      </w:r>
    </w:p>
    <w:p>
      <w:pPr>
        <w:spacing w:after="0" w:line="229" w:lineRule="exact"/>
        <w:sectPr>
          <w:type w:val="continuous"/>
          <w:pgSz w:w="12240" w:h="15660"/>
          <w:pgMar w:top="0" w:bottom="760" w:left="0" w:right="0"/>
          <w:cols w:num="2" w:equalWidth="0">
            <w:col w:w="2926" w:space="100"/>
            <w:col w:w="9214"/>
          </w:cols>
        </w:sectPr>
      </w:pPr>
    </w:p>
    <w:p>
      <w:pPr>
        <w:tabs>
          <w:tab w:pos="2018" w:val="left" w:leader="none"/>
          <w:tab w:pos="4781" w:val="left" w:leader="none"/>
          <w:tab w:pos="5262" w:val="left" w:leader="none"/>
        </w:tabs>
        <w:spacing w:line="36" w:lineRule="auto" w:before="92"/>
        <w:ind w:left="1210" w:right="0" w:firstLine="0"/>
        <w:jc w:val="left"/>
        <w:rPr>
          <w:rFonts w:ascii="Helvetica"/>
          <w:b/>
          <w:sz w:val="16"/>
        </w:rPr>
      </w:pPr>
      <w:r>
        <w:rPr>
          <w:rFonts w:ascii="Helvetica"/>
          <w:color w:val="231F20"/>
          <w:sz w:val="16"/>
        </w:rPr>
        <w:t>AVP</w:t>
        <w:tab/>
        <w:t>V2</w:t>
        <w:tab/>
      </w:r>
      <w:r>
        <w:rPr>
          <w:rFonts w:ascii="Helvetica"/>
          <w:color w:val="231F20"/>
          <w:sz w:val="16"/>
          <w:u w:val="thick" w:color="231F20"/>
        </w:rPr>
        <w:t> </w:t>
        <w:tab/>
      </w:r>
      <w:r>
        <w:rPr>
          <w:rFonts w:ascii="Helvetica"/>
          <w:b/>
          <w:color w:val="231F20"/>
          <w:position w:val="-11"/>
          <w:sz w:val="16"/>
        </w:rPr>
        <w:t>H</w:t>
      </w:r>
      <w:r>
        <w:rPr>
          <w:rFonts w:ascii="Helvetica"/>
          <w:b/>
          <w:color w:val="231F20"/>
          <w:spacing w:val="21"/>
          <w:position w:val="-11"/>
          <w:sz w:val="16"/>
        </w:rPr>
        <w:t> </w:t>
      </w:r>
      <w:r>
        <w:rPr>
          <w:rFonts w:ascii="Helvetica"/>
          <w:b/>
          <w:color w:val="231F20"/>
          <w:spacing w:val="-18"/>
          <w:position w:val="-11"/>
          <w:sz w:val="16"/>
        </w:rPr>
        <w:t>O</w:t>
      </w:r>
    </w:p>
    <w:p>
      <w:pPr>
        <w:pStyle w:val="BodyText"/>
        <w:spacing w:line="229" w:lineRule="exact"/>
        <w:ind w:left="466"/>
      </w:pPr>
      <w:r>
        <w:rPr/>
        <w:br w:type="column"/>
      </w:r>
      <w:r>
        <w:rPr>
          <w:color w:val="231F20"/>
          <w:w w:val="105"/>
        </w:rPr>
        <w:t>action in the kidneys is to increase tubular reabsorption</w:t>
      </w:r>
    </w:p>
    <w:p>
      <w:pPr>
        <w:spacing w:after="0" w:line="229" w:lineRule="exact"/>
        <w:sectPr>
          <w:type w:val="continuous"/>
          <w:pgSz w:w="12240" w:h="15660"/>
          <w:pgMar w:top="0" w:bottom="760" w:left="0" w:right="0"/>
          <w:cols w:num="2" w:equalWidth="0">
            <w:col w:w="5614" w:space="40"/>
            <w:col w:w="6586"/>
          </w:cols>
        </w:sectPr>
      </w:pPr>
    </w:p>
    <w:p>
      <w:pPr>
        <w:tabs>
          <w:tab w:pos="2665" w:val="left" w:leader="none"/>
        </w:tabs>
        <w:spacing w:before="41"/>
        <w:ind w:left="2033" w:right="0" w:firstLine="0"/>
        <w:jc w:val="left"/>
        <w:rPr>
          <w:rFonts w:ascii="Helvetica"/>
          <w:sz w:val="16"/>
        </w:rPr>
      </w:pPr>
      <w:r>
        <w:rPr>
          <w:rFonts w:ascii="Helvetica"/>
          <w:color w:val="231F20"/>
          <w:position w:val="15"/>
          <w:sz w:val="16"/>
        </w:rPr>
        <w:t>G</w:t>
      </w:r>
      <w:r>
        <w:rPr>
          <w:rFonts w:ascii="Helvetica"/>
          <w:color w:val="231F20"/>
          <w:position w:val="10"/>
          <w:sz w:val="12"/>
        </w:rPr>
        <w:t>s</w:t>
        <w:tab/>
      </w:r>
      <w:r>
        <w:rPr>
          <w:rFonts w:ascii="Helvetica"/>
          <w:b/>
          <w:color w:val="231F20"/>
          <w:sz w:val="16"/>
        </w:rPr>
        <w:t>cAMP</w:t>
      </w:r>
      <w:r>
        <w:rPr>
          <w:rFonts w:ascii="Helvetica"/>
          <w:b/>
          <w:color w:val="231F20"/>
          <w:spacing w:val="-23"/>
          <w:sz w:val="16"/>
        </w:rPr>
        <w:t> </w:t>
      </w:r>
      <w:r>
        <w:rPr>
          <w:rFonts w:ascii="Helvetica"/>
          <w:color w:val="231F20"/>
          <w:w w:val="86"/>
          <w:sz w:val="16"/>
          <w:u w:val="thick" w:color="231F20"/>
          <w:vertAlign w:val="superscript"/>
        </w:rPr>
        <w:t> </w:t>
      </w:r>
      <w:r>
        <w:rPr>
          <w:rFonts w:ascii="Helvetica"/>
          <w:color w:val="231F20"/>
          <w:spacing w:val="-7"/>
          <w:sz w:val="16"/>
          <w:u w:val="thick" w:color="231F20"/>
          <w:vertAlign w:val="baseline"/>
        </w:rPr>
        <w:t> </w:t>
      </w:r>
    </w:p>
    <w:p>
      <w:pPr>
        <w:spacing w:before="112"/>
        <w:ind w:left="2014" w:right="0" w:firstLine="0"/>
        <w:jc w:val="left"/>
        <w:rPr>
          <w:rFonts w:ascii="Helvetica"/>
          <w:sz w:val="16"/>
        </w:rPr>
      </w:pPr>
      <w:r>
        <w:rPr>
          <w:rFonts w:ascii="Helvetica"/>
          <w:color w:val="231F20"/>
          <w:sz w:val="16"/>
        </w:rPr>
        <w:t>AC</w:t>
      </w:r>
    </w:p>
    <w:p>
      <w:pPr>
        <w:pStyle w:val="BodyText"/>
        <w:spacing w:before="1"/>
        <w:rPr>
          <w:rFonts w:ascii="Helvetica"/>
          <w:sz w:val="15"/>
        </w:rPr>
      </w:pPr>
      <w:r>
        <w:rPr/>
        <w:br w:type="column"/>
      </w:r>
      <w:r>
        <w:rPr>
          <w:rFonts w:ascii="Helvetica"/>
          <w:sz w:val="15"/>
        </w:rPr>
      </w:r>
    </w:p>
    <w:p>
      <w:pPr>
        <w:spacing w:line="235" w:lineRule="auto" w:before="0"/>
        <w:ind w:left="67" w:right="0" w:firstLine="0"/>
        <w:jc w:val="center"/>
        <w:rPr>
          <w:rFonts w:ascii="Helvetica"/>
          <w:sz w:val="16"/>
        </w:rPr>
      </w:pPr>
      <w:r>
        <w:rPr>
          <w:rFonts w:ascii="Helvetica"/>
          <w:color w:val="231F20"/>
          <w:sz w:val="16"/>
        </w:rPr>
        <w:t>Protein</w:t>
      </w:r>
      <w:r>
        <w:rPr>
          <w:rFonts w:ascii="Helvetica"/>
          <w:color w:val="231F20"/>
          <w:w w:val="99"/>
          <w:sz w:val="16"/>
        </w:rPr>
        <w:t> </w:t>
      </w:r>
      <w:r>
        <w:rPr>
          <w:rFonts w:ascii="Helvetica"/>
          <w:color w:val="231F20"/>
          <w:sz w:val="16"/>
        </w:rPr>
        <w:t>Kinase A</w:t>
      </w:r>
    </w:p>
    <w:p>
      <w:pPr>
        <w:pStyle w:val="BodyText"/>
        <w:tabs>
          <w:tab w:pos="2218" w:val="left" w:leader="none"/>
        </w:tabs>
        <w:spacing w:line="249" w:lineRule="auto"/>
        <w:ind w:left="2218" w:right="1437" w:hanging="698"/>
        <w:jc w:val="both"/>
      </w:pPr>
      <w:r>
        <w:rPr/>
        <w:br w:type="column"/>
      </w:r>
      <w:r>
        <w:rPr>
          <w:rFonts w:ascii="Helvetica"/>
          <w:b/>
          <w:color w:val="231F20"/>
          <w:w w:val="105"/>
          <w:position w:val="4"/>
          <w:sz w:val="12"/>
        </w:rPr>
        <w:t>2</w:t>
        <w:tab/>
      </w:r>
      <w:r>
        <w:rPr>
          <w:color w:val="231F20"/>
          <w:w w:val="105"/>
        </w:rPr>
        <w:t>of calcium, especially in the distal tubules and </w:t>
      </w:r>
      <w:r>
        <w:rPr>
          <w:color w:val="231F20"/>
          <w:spacing w:val="-3"/>
          <w:w w:val="105"/>
        </w:rPr>
        <w:t>perhaps </w:t>
      </w:r>
      <w:r>
        <w:rPr>
          <w:color w:val="231F20"/>
          <w:w w:val="105"/>
        </w:rPr>
        <w:t>also</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8"/>
          <w:w w:val="105"/>
        </w:rPr>
        <w:t> </w:t>
      </w:r>
      <w:r>
        <w:rPr>
          <w:color w:val="231F20"/>
          <w:w w:val="105"/>
        </w:rPr>
        <w:t>loops</w:t>
      </w:r>
      <w:r>
        <w:rPr>
          <w:color w:val="231F20"/>
          <w:spacing w:val="-9"/>
          <w:w w:val="105"/>
        </w:rPr>
        <w:t> </w:t>
      </w:r>
      <w:r>
        <w:rPr>
          <w:color w:val="231F20"/>
          <w:w w:val="105"/>
        </w:rPr>
        <w:t>of</w:t>
      </w:r>
      <w:r>
        <w:rPr>
          <w:color w:val="231F20"/>
          <w:spacing w:val="-8"/>
          <w:w w:val="105"/>
        </w:rPr>
        <w:t> </w:t>
      </w:r>
      <w:r>
        <w:rPr>
          <w:color w:val="231F20"/>
          <w:w w:val="105"/>
        </w:rPr>
        <w:t>Henle.</w:t>
      </w:r>
      <w:r>
        <w:rPr>
          <w:color w:val="231F20"/>
          <w:spacing w:val="-9"/>
          <w:w w:val="105"/>
        </w:rPr>
        <w:t> </w:t>
      </w:r>
      <w:r>
        <w:rPr>
          <w:color w:val="231F20"/>
          <w:w w:val="105"/>
        </w:rPr>
        <w:t>Parathyroid</w:t>
      </w:r>
      <w:r>
        <w:rPr>
          <w:color w:val="231F20"/>
          <w:spacing w:val="-8"/>
          <w:w w:val="105"/>
        </w:rPr>
        <w:t> </w:t>
      </w:r>
      <w:r>
        <w:rPr>
          <w:color w:val="231F20"/>
          <w:w w:val="105"/>
        </w:rPr>
        <w:t>hormone</w:t>
      </w:r>
      <w:r>
        <w:rPr>
          <w:color w:val="231F20"/>
          <w:spacing w:val="-9"/>
          <w:w w:val="105"/>
        </w:rPr>
        <w:t> </w:t>
      </w:r>
      <w:r>
        <w:rPr>
          <w:color w:val="231F20"/>
          <w:w w:val="105"/>
        </w:rPr>
        <w:t>also</w:t>
      </w:r>
      <w:r>
        <w:rPr>
          <w:color w:val="231F20"/>
          <w:spacing w:val="-9"/>
          <w:w w:val="105"/>
        </w:rPr>
        <w:t> </w:t>
      </w:r>
      <w:r>
        <w:rPr>
          <w:color w:val="231F20"/>
          <w:spacing w:val="-5"/>
          <w:w w:val="105"/>
        </w:rPr>
        <w:t>has </w:t>
      </w:r>
      <w:r>
        <w:rPr>
          <w:color w:val="231F20"/>
          <w:w w:val="105"/>
        </w:rPr>
        <w:t>other</w:t>
      </w:r>
      <w:r>
        <w:rPr>
          <w:color w:val="231F20"/>
          <w:spacing w:val="37"/>
          <w:w w:val="105"/>
        </w:rPr>
        <w:t> </w:t>
      </w:r>
      <w:r>
        <w:rPr>
          <w:color w:val="231F20"/>
          <w:w w:val="105"/>
        </w:rPr>
        <w:t>actions,</w:t>
      </w:r>
      <w:r>
        <w:rPr>
          <w:color w:val="231F20"/>
          <w:spacing w:val="37"/>
          <w:w w:val="105"/>
        </w:rPr>
        <w:t> </w:t>
      </w:r>
      <w:r>
        <w:rPr>
          <w:color w:val="231F20"/>
          <w:w w:val="105"/>
        </w:rPr>
        <w:t>including</w:t>
      </w:r>
      <w:r>
        <w:rPr>
          <w:color w:val="231F20"/>
          <w:spacing w:val="37"/>
          <w:w w:val="105"/>
        </w:rPr>
        <w:t> </w:t>
      </w:r>
      <w:r>
        <w:rPr>
          <w:color w:val="231F20"/>
          <w:w w:val="105"/>
        </w:rPr>
        <w:t>inhibition</w:t>
      </w:r>
      <w:r>
        <w:rPr>
          <w:color w:val="231F20"/>
          <w:spacing w:val="37"/>
          <w:w w:val="105"/>
        </w:rPr>
        <w:t> </w:t>
      </w:r>
      <w:r>
        <w:rPr>
          <w:color w:val="231F20"/>
          <w:w w:val="105"/>
        </w:rPr>
        <w:t>of</w:t>
      </w:r>
      <w:r>
        <w:rPr>
          <w:color w:val="231F20"/>
          <w:spacing w:val="38"/>
          <w:w w:val="105"/>
        </w:rPr>
        <w:t> </w:t>
      </w:r>
      <w:r>
        <w:rPr>
          <w:color w:val="231F20"/>
          <w:w w:val="105"/>
        </w:rPr>
        <w:t>phosphate</w:t>
      </w:r>
      <w:r>
        <w:rPr>
          <w:color w:val="231F20"/>
          <w:spacing w:val="37"/>
          <w:w w:val="105"/>
        </w:rPr>
        <w:t> </w:t>
      </w:r>
      <w:r>
        <w:rPr>
          <w:color w:val="231F20"/>
          <w:spacing w:val="-4"/>
          <w:w w:val="105"/>
        </w:rPr>
        <w:t>reab-</w:t>
      </w:r>
    </w:p>
    <w:p>
      <w:pPr>
        <w:spacing w:after="0" w:line="249" w:lineRule="auto"/>
        <w:jc w:val="both"/>
        <w:sectPr>
          <w:type w:val="continuous"/>
          <w:pgSz w:w="12240" w:h="15660"/>
          <w:pgMar w:top="0" w:bottom="760" w:left="0" w:right="0"/>
          <w:cols w:num="3" w:equalWidth="0">
            <w:col w:w="3248" w:space="40"/>
            <w:col w:w="575" w:space="39"/>
            <w:col w:w="8338"/>
          </w:cols>
        </w:sectPr>
      </w:pPr>
    </w:p>
    <w:p>
      <w:pPr>
        <w:pStyle w:val="BodyText"/>
        <w:rPr>
          <w:sz w:val="18"/>
        </w:rPr>
      </w:pPr>
    </w:p>
    <w:p>
      <w:pPr>
        <w:pStyle w:val="BodyText"/>
        <w:spacing w:before="7"/>
        <w:rPr>
          <w:sz w:val="17"/>
        </w:rPr>
      </w:pPr>
    </w:p>
    <w:p>
      <w:pPr>
        <w:spacing w:before="0"/>
        <w:ind w:left="0" w:right="0" w:firstLine="0"/>
        <w:jc w:val="right"/>
        <w:rPr>
          <w:rFonts w:ascii="Helvetica"/>
          <w:sz w:val="16"/>
        </w:rPr>
      </w:pPr>
      <w:r>
        <w:rPr>
          <w:rFonts w:ascii="Helvetica"/>
          <w:color w:val="231F20"/>
          <w:sz w:val="16"/>
        </w:rPr>
        <w:t>AVP</w:t>
      </w:r>
    </w:p>
    <w:p>
      <w:pPr>
        <w:spacing w:line="164" w:lineRule="exact" w:before="1"/>
        <w:ind w:left="1009" w:right="0" w:firstLine="0"/>
        <w:jc w:val="center"/>
        <w:rPr>
          <w:rFonts w:ascii="Helvetica"/>
          <w:b/>
          <w:sz w:val="16"/>
        </w:rPr>
      </w:pPr>
      <w:r>
        <w:rPr/>
        <w:br w:type="column"/>
      </w:r>
      <w:r>
        <w:rPr>
          <w:rFonts w:ascii="Helvetica"/>
          <w:b/>
          <w:color w:val="231F20"/>
          <w:sz w:val="16"/>
        </w:rPr>
        <w:t>ATP</w:t>
      </w:r>
    </w:p>
    <w:p>
      <w:pPr>
        <w:spacing w:line="206" w:lineRule="auto" w:before="0"/>
        <w:ind w:left="429" w:right="645" w:firstLine="0"/>
        <w:jc w:val="center"/>
        <w:rPr>
          <w:rFonts w:ascii="Helvetica"/>
          <w:sz w:val="12"/>
        </w:rPr>
      </w:pPr>
      <w:r>
        <w:rPr>
          <w:rFonts w:ascii="Helvetica"/>
          <w:color w:val="231F20"/>
          <w:sz w:val="16"/>
        </w:rPr>
        <w:t>G</w:t>
      </w:r>
      <w:r>
        <w:rPr>
          <w:rFonts w:ascii="Helvetica"/>
          <w:color w:val="231F20"/>
          <w:position w:val="-4"/>
          <w:sz w:val="12"/>
        </w:rPr>
        <w:t>s</w:t>
      </w:r>
    </w:p>
    <w:p>
      <w:pPr>
        <w:spacing w:before="45"/>
        <w:ind w:left="425" w:right="660" w:firstLine="0"/>
        <w:jc w:val="center"/>
        <w:rPr>
          <w:rFonts w:ascii="Helvetica"/>
          <w:sz w:val="16"/>
        </w:rPr>
      </w:pPr>
      <w:r>
        <w:rPr>
          <w:rFonts w:ascii="Helvetica"/>
          <w:color w:val="231F20"/>
          <w:sz w:val="16"/>
        </w:rPr>
        <w:t>V2</w:t>
      </w:r>
    </w:p>
    <w:p>
      <w:pPr>
        <w:pStyle w:val="BodyText"/>
        <w:rPr>
          <w:rFonts w:ascii="Helvetica"/>
          <w:sz w:val="24"/>
        </w:rPr>
      </w:pPr>
      <w:r>
        <w:rPr/>
        <w:br w:type="column"/>
      </w:r>
      <w:r>
        <w:rPr>
          <w:rFonts w:ascii="Helvetica"/>
          <w:sz w:val="24"/>
        </w:rPr>
      </w:r>
    </w:p>
    <w:p>
      <w:pPr>
        <w:spacing w:line="235" w:lineRule="auto" w:before="1"/>
        <w:ind w:left="79" w:right="-19" w:firstLine="320"/>
        <w:jc w:val="left"/>
        <w:rPr>
          <w:rFonts w:ascii="Helvetica"/>
          <w:sz w:val="16"/>
        </w:rPr>
      </w:pPr>
      <w:r>
        <w:rPr>
          <w:rFonts w:ascii="Helvetica"/>
          <w:color w:val="231F20"/>
          <w:sz w:val="16"/>
        </w:rPr>
        <w:t>Protein Phosphorylation</w:t>
      </w:r>
    </w:p>
    <w:p>
      <w:pPr>
        <w:spacing w:before="123"/>
        <w:ind w:left="939" w:right="0" w:firstLine="0"/>
        <w:jc w:val="left"/>
        <w:rPr>
          <w:rFonts w:ascii="Helvetica"/>
          <w:b/>
          <w:sz w:val="16"/>
        </w:rPr>
      </w:pPr>
      <w:r>
        <w:rPr/>
        <w:br w:type="column"/>
      </w:r>
      <w:r>
        <w:rPr>
          <w:rFonts w:ascii="Helvetica"/>
          <w:b/>
          <w:color w:val="231F20"/>
          <w:sz w:val="16"/>
        </w:rPr>
        <w:t>AQP-2</w:t>
      </w:r>
    </w:p>
    <w:p>
      <w:pPr>
        <w:pStyle w:val="BodyText"/>
        <w:spacing w:line="249" w:lineRule="auto" w:before="2"/>
        <w:ind w:left="444" w:right="1438"/>
        <w:jc w:val="both"/>
      </w:pPr>
      <w:r>
        <w:rPr/>
        <w:br w:type="column"/>
      </w:r>
      <w:r>
        <w:rPr>
          <w:color w:val="231F20"/>
          <w:w w:val="105"/>
        </w:rPr>
        <w:t>sorption</w:t>
      </w:r>
      <w:r>
        <w:rPr>
          <w:color w:val="231F20"/>
          <w:spacing w:val="-6"/>
          <w:w w:val="105"/>
        </w:rPr>
        <w:t> </w:t>
      </w:r>
      <w:r>
        <w:rPr>
          <w:color w:val="231F20"/>
          <w:w w:val="105"/>
        </w:rPr>
        <w:t>by</w:t>
      </w:r>
      <w:r>
        <w:rPr>
          <w:color w:val="231F20"/>
          <w:spacing w:val="-5"/>
          <w:w w:val="105"/>
        </w:rPr>
        <w:t> </w:t>
      </w:r>
      <w:r>
        <w:rPr>
          <w:color w:val="231F20"/>
          <w:w w:val="105"/>
        </w:rPr>
        <w:t>the</w:t>
      </w:r>
      <w:r>
        <w:rPr>
          <w:color w:val="231F20"/>
          <w:spacing w:val="-5"/>
          <w:w w:val="105"/>
        </w:rPr>
        <w:t> </w:t>
      </w:r>
      <w:r>
        <w:rPr>
          <w:color w:val="231F20"/>
          <w:w w:val="105"/>
        </w:rPr>
        <w:t>proximal</w:t>
      </w:r>
      <w:r>
        <w:rPr>
          <w:color w:val="231F20"/>
          <w:spacing w:val="-5"/>
          <w:w w:val="105"/>
        </w:rPr>
        <w:t> </w:t>
      </w:r>
      <w:r>
        <w:rPr>
          <w:color w:val="231F20"/>
          <w:w w:val="105"/>
        </w:rPr>
        <w:t>tubule</w:t>
      </w:r>
      <w:r>
        <w:rPr>
          <w:color w:val="231F20"/>
          <w:spacing w:val="-5"/>
          <w:w w:val="105"/>
        </w:rPr>
        <w:t> </w:t>
      </w:r>
      <w:r>
        <w:rPr>
          <w:color w:val="231F20"/>
          <w:w w:val="105"/>
        </w:rPr>
        <w:t>and</w:t>
      </w:r>
      <w:r>
        <w:rPr>
          <w:color w:val="231F20"/>
          <w:spacing w:val="-4"/>
          <w:w w:val="105"/>
        </w:rPr>
        <w:t> </w:t>
      </w:r>
      <w:r>
        <w:rPr>
          <w:color w:val="231F20"/>
          <w:w w:val="105"/>
        </w:rPr>
        <w:t>stimulation</w:t>
      </w:r>
      <w:r>
        <w:rPr>
          <w:color w:val="231F20"/>
          <w:spacing w:val="-5"/>
          <w:w w:val="105"/>
        </w:rPr>
        <w:t> </w:t>
      </w:r>
      <w:r>
        <w:rPr>
          <w:color w:val="231F20"/>
          <w:w w:val="105"/>
        </w:rPr>
        <w:t>of</w:t>
      </w:r>
      <w:r>
        <w:rPr>
          <w:color w:val="231F20"/>
          <w:spacing w:val="-5"/>
          <w:w w:val="105"/>
        </w:rPr>
        <w:t> </w:t>
      </w:r>
      <w:r>
        <w:rPr>
          <w:color w:val="231F20"/>
          <w:w w:val="105"/>
        </w:rPr>
        <w:t>mag- nesium reabsorption by the loop of Henle, as discussed in Chapter</w:t>
      </w:r>
      <w:r>
        <w:rPr>
          <w:color w:val="231F20"/>
          <w:spacing w:val="6"/>
          <w:w w:val="105"/>
        </w:rPr>
        <w:t> </w:t>
      </w:r>
      <w:r>
        <w:rPr>
          <w:color w:val="231F20"/>
          <w:w w:val="105"/>
        </w:rPr>
        <w:t>30.</w:t>
      </w:r>
    </w:p>
    <w:p>
      <w:pPr>
        <w:spacing w:after="0" w:line="249" w:lineRule="auto"/>
        <w:jc w:val="both"/>
        <w:sectPr>
          <w:type w:val="continuous"/>
          <w:pgSz w:w="12240" w:h="15660"/>
          <w:pgMar w:top="0" w:bottom="760" w:left="0" w:right="0"/>
          <w:cols w:num="5" w:equalWidth="0">
            <w:col w:w="1531" w:space="40"/>
            <w:col w:w="1330" w:space="39"/>
            <w:col w:w="1228" w:space="39"/>
            <w:col w:w="1429" w:space="40"/>
            <w:col w:w="6564"/>
          </w:cols>
        </w:sectPr>
      </w:pPr>
    </w:p>
    <w:p>
      <w:pPr>
        <w:pStyle w:val="BodyText"/>
        <w:spacing w:before="2"/>
        <w:rPr>
          <w:sz w:val="21"/>
        </w:rPr>
      </w:pPr>
    </w:p>
    <w:p>
      <w:pPr>
        <w:spacing w:after="0"/>
        <w:rPr>
          <w:sz w:val="21"/>
        </w:rPr>
        <w:sectPr>
          <w:type w:val="continuous"/>
          <w:pgSz w:w="12240" w:h="15660"/>
          <w:pgMar w:top="0" w:bottom="760" w:left="0" w:right="0"/>
        </w:sectPr>
      </w:pPr>
    </w:p>
    <w:p>
      <w:pPr>
        <w:pStyle w:val="BodyText"/>
        <w:rPr>
          <w:sz w:val="18"/>
        </w:rPr>
      </w:pPr>
    </w:p>
    <w:p>
      <w:pPr>
        <w:pStyle w:val="BodyText"/>
        <w:spacing w:before="7"/>
        <w:rPr>
          <w:sz w:val="25"/>
        </w:rPr>
      </w:pPr>
    </w:p>
    <w:p>
      <w:pPr>
        <w:spacing w:before="0"/>
        <w:ind w:left="2842" w:right="0" w:firstLine="0"/>
        <w:jc w:val="left"/>
        <w:rPr>
          <w:rFonts w:ascii="Helvetica"/>
          <w:sz w:val="16"/>
        </w:rPr>
      </w:pPr>
      <w:r>
        <w:rPr>
          <w:rFonts w:ascii="Helvetica"/>
          <w:color w:val="231F20"/>
          <w:sz w:val="16"/>
        </w:rPr>
        <w:t>Aquaporin-2 (AQP-2)</w:t>
      </w:r>
    </w:p>
    <w:p>
      <w:pPr>
        <w:pStyle w:val="BodyText"/>
        <w:rPr>
          <w:rFonts w:ascii="Helvetica"/>
          <w:sz w:val="18"/>
        </w:rPr>
      </w:pPr>
    </w:p>
    <w:p>
      <w:pPr>
        <w:pStyle w:val="BodyText"/>
        <w:spacing w:before="11"/>
        <w:rPr>
          <w:rFonts w:ascii="Helvetica"/>
          <w:sz w:val="25"/>
        </w:rPr>
      </w:pPr>
    </w:p>
    <w:p>
      <w:pPr>
        <w:spacing w:line="256" w:lineRule="auto" w:before="0"/>
        <w:ind w:left="1080" w:right="0" w:firstLine="0"/>
        <w:jc w:val="both"/>
        <w:rPr>
          <w:rFonts w:ascii="Arial" w:hAnsi="Arial"/>
          <w:sz w:val="16"/>
        </w:rPr>
      </w:pPr>
      <w:bookmarkStart w:name="_bookmark60" w:id="61"/>
      <w:bookmarkEnd w:id="61"/>
      <w:r>
        <w:rPr/>
      </w:r>
      <w:r>
        <w:rPr>
          <w:rFonts w:ascii="Trebuchet MS" w:hAnsi="Trebuchet MS"/>
          <w:b/>
          <w:color w:val="231F20"/>
          <w:sz w:val="16"/>
        </w:rPr>
        <w:t>Figure</w:t>
      </w:r>
      <w:r>
        <w:rPr>
          <w:rFonts w:ascii="Trebuchet MS" w:hAnsi="Trebuchet MS"/>
          <w:b/>
          <w:color w:val="231F20"/>
          <w:spacing w:val="-30"/>
          <w:sz w:val="16"/>
        </w:rPr>
        <w:t> </w:t>
      </w:r>
      <w:r>
        <w:rPr>
          <w:rFonts w:ascii="Trebuchet MS" w:hAnsi="Trebuchet MS"/>
          <w:b/>
          <w:color w:val="231F20"/>
          <w:sz w:val="16"/>
        </w:rPr>
        <w:t>28­19.</w:t>
      </w:r>
      <w:r>
        <w:rPr>
          <w:rFonts w:ascii="Trebuchet MS" w:hAnsi="Trebuchet MS"/>
          <w:b/>
          <w:color w:val="231F20"/>
          <w:spacing w:val="-11"/>
          <w:sz w:val="16"/>
        </w:rPr>
        <w:t> </w:t>
      </w:r>
      <w:r>
        <w:rPr>
          <w:rFonts w:ascii="Arial" w:hAnsi="Arial"/>
          <w:color w:val="231F20"/>
          <w:sz w:val="16"/>
        </w:rPr>
        <w:t>Mechanism</w:t>
      </w:r>
      <w:r>
        <w:rPr>
          <w:rFonts w:ascii="Arial" w:hAnsi="Arial"/>
          <w:color w:val="231F20"/>
          <w:spacing w:val="-25"/>
          <w:sz w:val="16"/>
        </w:rPr>
        <w:t> </w:t>
      </w:r>
      <w:r>
        <w:rPr>
          <w:rFonts w:ascii="Arial" w:hAnsi="Arial"/>
          <w:color w:val="231F20"/>
          <w:sz w:val="16"/>
        </w:rPr>
        <w:t>of</w:t>
      </w:r>
      <w:r>
        <w:rPr>
          <w:rFonts w:ascii="Arial" w:hAnsi="Arial"/>
          <w:color w:val="231F20"/>
          <w:spacing w:val="-26"/>
          <w:sz w:val="16"/>
        </w:rPr>
        <w:t> </w:t>
      </w:r>
      <w:r>
        <w:rPr>
          <w:rFonts w:ascii="Arial" w:hAnsi="Arial"/>
          <w:color w:val="231F20"/>
          <w:sz w:val="16"/>
        </w:rPr>
        <w:t>action</w:t>
      </w:r>
      <w:r>
        <w:rPr>
          <w:rFonts w:ascii="Arial" w:hAnsi="Arial"/>
          <w:color w:val="231F20"/>
          <w:spacing w:val="-26"/>
          <w:sz w:val="16"/>
        </w:rPr>
        <w:t> </w:t>
      </w:r>
      <w:r>
        <w:rPr>
          <w:rFonts w:ascii="Arial" w:hAnsi="Arial"/>
          <w:color w:val="231F20"/>
          <w:sz w:val="16"/>
        </w:rPr>
        <w:t>of</w:t>
      </w:r>
      <w:r>
        <w:rPr>
          <w:rFonts w:ascii="Arial" w:hAnsi="Arial"/>
          <w:color w:val="231F20"/>
          <w:spacing w:val="-25"/>
          <w:sz w:val="16"/>
        </w:rPr>
        <w:t> </w:t>
      </w:r>
      <w:r>
        <w:rPr>
          <w:rFonts w:ascii="Arial" w:hAnsi="Arial"/>
          <w:color w:val="231F20"/>
          <w:sz w:val="16"/>
        </w:rPr>
        <w:t>arginine</w:t>
      </w:r>
      <w:r>
        <w:rPr>
          <w:rFonts w:ascii="Arial" w:hAnsi="Arial"/>
          <w:color w:val="231F20"/>
          <w:spacing w:val="-26"/>
          <w:sz w:val="16"/>
        </w:rPr>
        <w:t> </w:t>
      </w:r>
      <w:r>
        <w:rPr>
          <w:rFonts w:ascii="Arial" w:hAnsi="Arial"/>
          <w:color w:val="231F20"/>
          <w:sz w:val="16"/>
        </w:rPr>
        <w:t>vasopressin</w:t>
      </w:r>
      <w:r>
        <w:rPr>
          <w:rFonts w:ascii="Arial" w:hAnsi="Arial"/>
          <w:color w:val="231F20"/>
          <w:spacing w:val="-25"/>
          <w:sz w:val="16"/>
        </w:rPr>
        <w:t> </w:t>
      </w:r>
      <w:r>
        <w:rPr>
          <w:rFonts w:ascii="Lucida Sans" w:hAnsi="Lucida Sans"/>
          <w:i/>
          <w:color w:val="231F20"/>
          <w:sz w:val="16"/>
        </w:rPr>
        <w:t>(AVP)</w:t>
      </w:r>
      <w:r>
        <w:rPr>
          <w:rFonts w:ascii="Lucida Sans" w:hAnsi="Lucida Sans"/>
          <w:i/>
          <w:color w:val="231F20"/>
          <w:spacing w:val="-32"/>
          <w:sz w:val="16"/>
        </w:rPr>
        <w:t> </w:t>
      </w:r>
      <w:r>
        <w:rPr>
          <w:rFonts w:ascii="Arial" w:hAnsi="Arial"/>
          <w:color w:val="231F20"/>
          <w:spacing w:val="-7"/>
          <w:sz w:val="16"/>
        </w:rPr>
        <w:t>on </w:t>
      </w:r>
      <w:r>
        <w:rPr>
          <w:rFonts w:ascii="Arial" w:hAnsi="Arial"/>
          <w:color w:val="231F20"/>
          <w:sz w:val="16"/>
        </w:rPr>
        <w:t>the epithelial cells of the late distal tubules, collecting tubules, </w:t>
      </w:r>
      <w:r>
        <w:rPr>
          <w:rFonts w:ascii="Arial" w:hAnsi="Arial"/>
          <w:color w:val="231F20"/>
          <w:spacing w:val="-5"/>
          <w:sz w:val="16"/>
        </w:rPr>
        <w:t>and </w:t>
      </w:r>
      <w:r>
        <w:rPr>
          <w:rFonts w:ascii="Arial" w:hAnsi="Arial"/>
          <w:color w:val="231F20"/>
          <w:sz w:val="16"/>
        </w:rPr>
        <w:t>collecting ducts. </w:t>
      </w:r>
      <w:r>
        <w:rPr>
          <w:rFonts w:ascii="Arial" w:hAnsi="Arial"/>
          <w:color w:val="231F20"/>
          <w:spacing w:val="-3"/>
          <w:sz w:val="16"/>
        </w:rPr>
        <w:t>AVP </w:t>
      </w:r>
      <w:r>
        <w:rPr>
          <w:rFonts w:ascii="Arial" w:hAnsi="Arial"/>
          <w:color w:val="231F20"/>
          <w:sz w:val="16"/>
        </w:rPr>
        <w:t>binds to its V</w:t>
      </w:r>
      <w:r>
        <w:rPr>
          <w:rFonts w:ascii="Arial" w:hAnsi="Arial"/>
          <w:color w:val="231F20"/>
          <w:position w:val="-1"/>
          <w:sz w:val="9"/>
        </w:rPr>
        <w:t>2 </w:t>
      </w:r>
      <w:r>
        <w:rPr>
          <w:rFonts w:ascii="Arial" w:hAnsi="Arial"/>
          <w:color w:val="231F20"/>
          <w:sz w:val="16"/>
        </w:rPr>
        <w:t>receptors, which are </w:t>
      </w:r>
      <w:r>
        <w:rPr>
          <w:rFonts w:ascii="Arial" w:hAnsi="Arial"/>
          <w:color w:val="231F20"/>
          <w:spacing w:val="-3"/>
          <w:sz w:val="16"/>
        </w:rPr>
        <w:t>coupled </w:t>
      </w:r>
      <w:r>
        <w:rPr>
          <w:rFonts w:ascii="Arial" w:hAnsi="Arial"/>
          <w:color w:val="231F20"/>
          <w:sz w:val="16"/>
        </w:rPr>
        <w:t>with</w:t>
      </w:r>
      <w:r>
        <w:rPr>
          <w:rFonts w:ascii="Arial" w:hAnsi="Arial"/>
          <w:color w:val="231F20"/>
          <w:spacing w:val="-11"/>
          <w:sz w:val="16"/>
        </w:rPr>
        <w:t> </w:t>
      </w:r>
      <w:r>
        <w:rPr>
          <w:rFonts w:ascii="Arial" w:hAnsi="Arial"/>
          <w:color w:val="231F20"/>
          <w:sz w:val="16"/>
        </w:rPr>
        <w:t>stimulatory</w:t>
      </w:r>
      <w:r>
        <w:rPr>
          <w:rFonts w:ascii="Arial" w:hAnsi="Arial"/>
          <w:color w:val="231F20"/>
          <w:spacing w:val="-11"/>
          <w:sz w:val="16"/>
        </w:rPr>
        <w:t> </w:t>
      </w:r>
      <w:r>
        <w:rPr>
          <w:rFonts w:ascii="Arial" w:hAnsi="Arial"/>
          <w:color w:val="231F20"/>
          <w:sz w:val="16"/>
        </w:rPr>
        <w:t>G</w:t>
      </w:r>
      <w:r>
        <w:rPr>
          <w:rFonts w:ascii="Arial" w:hAnsi="Arial"/>
          <w:color w:val="231F20"/>
          <w:spacing w:val="-11"/>
          <w:sz w:val="16"/>
        </w:rPr>
        <w:t> </w:t>
      </w:r>
      <w:r>
        <w:rPr>
          <w:rFonts w:ascii="Arial" w:hAnsi="Arial"/>
          <w:color w:val="231F20"/>
          <w:sz w:val="16"/>
        </w:rPr>
        <w:t>proteins</w:t>
      </w:r>
      <w:r>
        <w:rPr>
          <w:rFonts w:ascii="Arial" w:hAnsi="Arial"/>
          <w:color w:val="231F20"/>
          <w:spacing w:val="-10"/>
          <w:sz w:val="16"/>
        </w:rPr>
        <w:t> </w:t>
      </w:r>
      <w:r>
        <w:rPr>
          <w:rFonts w:ascii="Lucida Sans" w:hAnsi="Lucida Sans"/>
          <w:i/>
          <w:color w:val="231F20"/>
          <w:sz w:val="16"/>
        </w:rPr>
        <w:t>(G</w:t>
      </w:r>
      <w:r>
        <w:rPr>
          <w:rFonts w:ascii="Lucida Sans" w:hAnsi="Lucida Sans"/>
          <w:i/>
          <w:color w:val="231F20"/>
          <w:position w:val="-1"/>
          <w:sz w:val="9"/>
        </w:rPr>
        <w:t>s</w:t>
      </w:r>
      <w:r>
        <w:rPr>
          <w:rFonts w:ascii="Lucida Sans" w:hAnsi="Lucida Sans"/>
          <w:i/>
          <w:color w:val="231F20"/>
          <w:sz w:val="16"/>
        </w:rPr>
        <w:t>)</w:t>
      </w:r>
      <w:r>
        <w:rPr>
          <w:rFonts w:ascii="Lucida Sans" w:hAnsi="Lucida Sans"/>
          <w:i/>
          <w:color w:val="231F20"/>
          <w:spacing w:val="-17"/>
          <w:sz w:val="16"/>
        </w:rPr>
        <w:t> </w:t>
      </w:r>
      <w:r>
        <w:rPr>
          <w:rFonts w:ascii="Arial" w:hAnsi="Arial"/>
          <w:color w:val="231F20"/>
          <w:sz w:val="16"/>
        </w:rPr>
        <w:t>that</w:t>
      </w:r>
      <w:r>
        <w:rPr>
          <w:rFonts w:ascii="Arial" w:hAnsi="Arial"/>
          <w:color w:val="231F20"/>
          <w:spacing w:val="-11"/>
          <w:sz w:val="16"/>
        </w:rPr>
        <w:t> </w:t>
      </w:r>
      <w:r>
        <w:rPr>
          <w:rFonts w:ascii="Arial" w:hAnsi="Arial"/>
          <w:color w:val="231F20"/>
          <w:sz w:val="16"/>
        </w:rPr>
        <w:t>activate</w:t>
      </w:r>
      <w:r>
        <w:rPr>
          <w:rFonts w:ascii="Arial" w:hAnsi="Arial"/>
          <w:color w:val="231F20"/>
          <w:spacing w:val="-10"/>
          <w:sz w:val="16"/>
        </w:rPr>
        <w:t> </w:t>
      </w:r>
      <w:r>
        <w:rPr>
          <w:rFonts w:ascii="Arial" w:hAnsi="Arial"/>
          <w:color w:val="231F20"/>
          <w:sz w:val="16"/>
        </w:rPr>
        <w:t>adenylate</w:t>
      </w:r>
      <w:r>
        <w:rPr>
          <w:rFonts w:ascii="Arial" w:hAnsi="Arial"/>
          <w:color w:val="231F20"/>
          <w:spacing w:val="-11"/>
          <w:sz w:val="16"/>
        </w:rPr>
        <w:t> </w:t>
      </w:r>
      <w:r>
        <w:rPr>
          <w:rFonts w:ascii="Arial" w:hAnsi="Arial"/>
          <w:color w:val="231F20"/>
          <w:sz w:val="16"/>
        </w:rPr>
        <w:t>cyclase</w:t>
      </w:r>
      <w:r>
        <w:rPr>
          <w:rFonts w:ascii="Arial" w:hAnsi="Arial"/>
          <w:color w:val="231F20"/>
          <w:spacing w:val="-11"/>
          <w:sz w:val="16"/>
        </w:rPr>
        <w:t> </w:t>
      </w:r>
      <w:r>
        <w:rPr>
          <w:rFonts w:ascii="Lucida Sans" w:hAnsi="Lucida Sans"/>
          <w:i/>
          <w:color w:val="231F20"/>
          <w:spacing w:val="-4"/>
          <w:sz w:val="16"/>
        </w:rPr>
        <w:t>(AC) </w:t>
      </w:r>
      <w:r>
        <w:rPr>
          <w:rFonts w:ascii="Arial" w:hAnsi="Arial"/>
          <w:color w:val="231F20"/>
          <w:sz w:val="16"/>
        </w:rPr>
        <w:t>and</w:t>
      </w:r>
      <w:r>
        <w:rPr>
          <w:rFonts w:ascii="Arial" w:hAnsi="Arial"/>
          <w:color w:val="231F20"/>
          <w:spacing w:val="-24"/>
          <w:sz w:val="16"/>
        </w:rPr>
        <w:t> </w:t>
      </w:r>
      <w:r>
        <w:rPr>
          <w:rFonts w:ascii="Arial" w:hAnsi="Arial"/>
          <w:color w:val="231F20"/>
          <w:sz w:val="16"/>
        </w:rPr>
        <w:t>stimulate</w:t>
      </w:r>
      <w:r>
        <w:rPr>
          <w:rFonts w:ascii="Arial" w:hAnsi="Arial"/>
          <w:color w:val="231F20"/>
          <w:spacing w:val="-24"/>
          <w:sz w:val="16"/>
        </w:rPr>
        <w:t> </w:t>
      </w:r>
      <w:r>
        <w:rPr>
          <w:rFonts w:ascii="Arial" w:hAnsi="Arial"/>
          <w:color w:val="231F20"/>
          <w:sz w:val="16"/>
        </w:rPr>
        <w:t>formation</w:t>
      </w:r>
      <w:r>
        <w:rPr>
          <w:rFonts w:ascii="Arial" w:hAnsi="Arial"/>
          <w:color w:val="231F20"/>
          <w:spacing w:val="-24"/>
          <w:sz w:val="16"/>
        </w:rPr>
        <w:t> </w:t>
      </w:r>
      <w:r>
        <w:rPr>
          <w:rFonts w:ascii="Arial" w:hAnsi="Arial"/>
          <w:color w:val="231F20"/>
          <w:sz w:val="16"/>
        </w:rPr>
        <w:t>of</w:t>
      </w:r>
      <w:r>
        <w:rPr>
          <w:rFonts w:ascii="Arial" w:hAnsi="Arial"/>
          <w:color w:val="231F20"/>
          <w:spacing w:val="-24"/>
          <w:sz w:val="16"/>
        </w:rPr>
        <w:t> </w:t>
      </w:r>
      <w:r>
        <w:rPr>
          <w:rFonts w:ascii="Arial" w:hAnsi="Arial"/>
          <w:color w:val="231F20"/>
          <w:sz w:val="16"/>
        </w:rPr>
        <w:t>cyclic</w:t>
      </w:r>
      <w:r>
        <w:rPr>
          <w:rFonts w:ascii="Arial" w:hAnsi="Arial"/>
          <w:color w:val="231F20"/>
          <w:spacing w:val="-24"/>
          <w:sz w:val="16"/>
        </w:rPr>
        <w:t> </w:t>
      </w:r>
      <w:r>
        <w:rPr>
          <w:rFonts w:ascii="Arial" w:hAnsi="Arial"/>
          <w:color w:val="231F20"/>
          <w:sz w:val="16"/>
        </w:rPr>
        <w:t>adenosine</w:t>
      </w:r>
      <w:r>
        <w:rPr>
          <w:rFonts w:ascii="Arial" w:hAnsi="Arial"/>
          <w:color w:val="231F20"/>
          <w:spacing w:val="-24"/>
          <w:sz w:val="16"/>
        </w:rPr>
        <w:t> </w:t>
      </w:r>
      <w:r>
        <w:rPr>
          <w:rFonts w:ascii="Arial" w:hAnsi="Arial"/>
          <w:color w:val="231F20"/>
          <w:sz w:val="16"/>
        </w:rPr>
        <w:t>monophosphate</w:t>
      </w:r>
      <w:r>
        <w:rPr>
          <w:rFonts w:ascii="Arial" w:hAnsi="Arial"/>
          <w:color w:val="231F20"/>
          <w:spacing w:val="-24"/>
          <w:sz w:val="16"/>
        </w:rPr>
        <w:t> </w:t>
      </w:r>
      <w:r>
        <w:rPr>
          <w:rFonts w:ascii="Lucida Sans" w:hAnsi="Lucida Sans"/>
          <w:i/>
          <w:color w:val="231F20"/>
          <w:spacing w:val="-3"/>
          <w:sz w:val="16"/>
        </w:rPr>
        <w:t>(cAMP)</w:t>
      </w:r>
      <w:r>
        <w:rPr>
          <w:rFonts w:ascii="Arial" w:hAnsi="Arial"/>
          <w:color w:val="231F20"/>
          <w:spacing w:val="-3"/>
          <w:sz w:val="16"/>
        </w:rPr>
        <w:t>. </w:t>
      </w:r>
      <w:r>
        <w:rPr>
          <w:rFonts w:ascii="Arial" w:hAnsi="Arial"/>
          <w:color w:val="231F20"/>
          <w:sz w:val="16"/>
        </w:rPr>
        <w:t>This,</w:t>
      </w:r>
      <w:r>
        <w:rPr>
          <w:rFonts w:ascii="Arial" w:hAnsi="Arial"/>
          <w:color w:val="231F20"/>
          <w:spacing w:val="-14"/>
          <w:sz w:val="16"/>
        </w:rPr>
        <w:t> </w:t>
      </w:r>
      <w:r>
        <w:rPr>
          <w:rFonts w:ascii="Arial" w:hAnsi="Arial"/>
          <w:color w:val="231F20"/>
          <w:sz w:val="16"/>
        </w:rPr>
        <w:t>in</w:t>
      </w:r>
      <w:r>
        <w:rPr>
          <w:rFonts w:ascii="Arial" w:hAnsi="Arial"/>
          <w:color w:val="231F20"/>
          <w:spacing w:val="-13"/>
          <w:sz w:val="16"/>
        </w:rPr>
        <w:t> </w:t>
      </w:r>
      <w:r>
        <w:rPr>
          <w:rFonts w:ascii="Arial" w:hAnsi="Arial"/>
          <w:color w:val="231F20"/>
          <w:sz w:val="16"/>
        </w:rPr>
        <w:t>turn,</w:t>
      </w:r>
      <w:r>
        <w:rPr>
          <w:rFonts w:ascii="Arial" w:hAnsi="Arial"/>
          <w:color w:val="231F20"/>
          <w:spacing w:val="-13"/>
          <w:sz w:val="16"/>
        </w:rPr>
        <w:t> </w:t>
      </w:r>
      <w:r>
        <w:rPr>
          <w:rFonts w:ascii="Arial" w:hAnsi="Arial"/>
          <w:color w:val="231F20"/>
          <w:sz w:val="16"/>
        </w:rPr>
        <w:t>activates</w:t>
      </w:r>
      <w:r>
        <w:rPr>
          <w:rFonts w:ascii="Arial" w:hAnsi="Arial"/>
          <w:color w:val="231F20"/>
          <w:spacing w:val="-13"/>
          <w:sz w:val="16"/>
        </w:rPr>
        <w:t> </w:t>
      </w:r>
      <w:r>
        <w:rPr>
          <w:rFonts w:ascii="Arial" w:hAnsi="Arial"/>
          <w:color w:val="231F20"/>
          <w:sz w:val="16"/>
        </w:rPr>
        <w:t>protein</w:t>
      </w:r>
      <w:r>
        <w:rPr>
          <w:rFonts w:ascii="Arial" w:hAnsi="Arial"/>
          <w:color w:val="231F20"/>
          <w:spacing w:val="-13"/>
          <w:sz w:val="16"/>
        </w:rPr>
        <w:t> </w:t>
      </w:r>
      <w:r>
        <w:rPr>
          <w:rFonts w:ascii="Arial" w:hAnsi="Arial"/>
          <w:color w:val="231F20"/>
          <w:sz w:val="16"/>
        </w:rPr>
        <w:t>kinase</w:t>
      </w:r>
      <w:r>
        <w:rPr>
          <w:rFonts w:ascii="Arial" w:hAnsi="Arial"/>
          <w:color w:val="231F20"/>
          <w:spacing w:val="-13"/>
          <w:sz w:val="16"/>
        </w:rPr>
        <w:t> </w:t>
      </w:r>
      <w:r>
        <w:rPr>
          <w:rFonts w:ascii="Arial" w:hAnsi="Arial"/>
          <w:color w:val="231F20"/>
          <w:sz w:val="16"/>
        </w:rPr>
        <w:t>A</w:t>
      </w:r>
      <w:r>
        <w:rPr>
          <w:rFonts w:ascii="Arial" w:hAnsi="Arial"/>
          <w:color w:val="231F20"/>
          <w:spacing w:val="-13"/>
          <w:sz w:val="16"/>
        </w:rPr>
        <w:t> </w:t>
      </w:r>
      <w:r>
        <w:rPr>
          <w:rFonts w:ascii="Arial" w:hAnsi="Arial"/>
          <w:color w:val="231F20"/>
          <w:sz w:val="16"/>
        </w:rPr>
        <w:t>and</w:t>
      </w:r>
      <w:r>
        <w:rPr>
          <w:rFonts w:ascii="Arial" w:hAnsi="Arial"/>
          <w:color w:val="231F20"/>
          <w:spacing w:val="-13"/>
          <w:sz w:val="16"/>
        </w:rPr>
        <w:t> </w:t>
      </w:r>
      <w:r>
        <w:rPr>
          <w:rFonts w:ascii="Arial" w:hAnsi="Arial"/>
          <w:color w:val="231F20"/>
          <w:sz w:val="16"/>
        </w:rPr>
        <w:t>phosphorylation</w:t>
      </w:r>
      <w:r>
        <w:rPr>
          <w:rFonts w:ascii="Arial" w:hAnsi="Arial"/>
          <w:color w:val="231F20"/>
          <w:spacing w:val="-13"/>
          <w:sz w:val="16"/>
        </w:rPr>
        <w:t> </w:t>
      </w:r>
      <w:r>
        <w:rPr>
          <w:rFonts w:ascii="Arial" w:hAnsi="Arial"/>
          <w:color w:val="231F20"/>
          <w:sz w:val="16"/>
        </w:rPr>
        <w:t>of</w:t>
      </w:r>
      <w:r>
        <w:rPr>
          <w:rFonts w:ascii="Arial" w:hAnsi="Arial"/>
          <w:color w:val="231F20"/>
          <w:spacing w:val="-13"/>
          <w:sz w:val="16"/>
        </w:rPr>
        <w:t> </w:t>
      </w:r>
      <w:r>
        <w:rPr>
          <w:rFonts w:ascii="Arial" w:hAnsi="Arial"/>
          <w:color w:val="231F20"/>
          <w:spacing w:val="-4"/>
          <w:sz w:val="16"/>
        </w:rPr>
        <w:t>intra- </w:t>
      </w:r>
      <w:r>
        <w:rPr>
          <w:rFonts w:ascii="Arial" w:hAnsi="Arial"/>
          <w:color w:val="231F20"/>
          <w:sz w:val="16"/>
        </w:rPr>
        <w:t>cellular proteins, causing movement of aquaporin-2 </w:t>
      </w:r>
      <w:r>
        <w:rPr>
          <w:rFonts w:ascii="Lucida Sans" w:hAnsi="Lucida Sans"/>
          <w:i/>
          <w:color w:val="231F20"/>
          <w:sz w:val="16"/>
        </w:rPr>
        <w:t>(AQP-2) </w:t>
      </w:r>
      <w:r>
        <w:rPr>
          <w:rFonts w:ascii="Arial" w:hAnsi="Arial"/>
          <w:color w:val="231F20"/>
          <w:sz w:val="16"/>
        </w:rPr>
        <w:t>to</w:t>
      </w:r>
      <w:r>
        <w:rPr>
          <w:rFonts w:ascii="Arial" w:hAnsi="Arial"/>
          <w:color w:val="231F20"/>
          <w:spacing w:val="-22"/>
          <w:sz w:val="16"/>
        </w:rPr>
        <w:t> </w:t>
      </w:r>
      <w:r>
        <w:rPr>
          <w:rFonts w:ascii="Arial" w:hAnsi="Arial"/>
          <w:color w:val="231F20"/>
          <w:spacing w:val="-6"/>
          <w:sz w:val="16"/>
        </w:rPr>
        <w:t>the </w:t>
      </w:r>
      <w:r>
        <w:rPr>
          <w:rFonts w:ascii="Arial" w:hAnsi="Arial"/>
          <w:color w:val="231F20"/>
          <w:sz w:val="16"/>
        </w:rPr>
        <w:t>luminal side of the cell membrane. The molecules of AQP-2 </w:t>
      </w:r>
      <w:r>
        <w:rPr>
          <w:rFonts w:ascii="Arial" w:hAnsi="Arial"/>
          <w:color w:val="231F20"/>
          <w:spacing w:val="-5"/>
          <w:sz w:val="16"/>
        </w:rPr>
        <w:t>fuse </w:t>
      </w:r>
      <w:r>
        <w:rPr>
          <w:rFonts w:ascii="Arial" w:hAnsi="Arial"/>
          <w:color w:val="231F20"/>
          <w:sz w:val="16"/>
        </w:rPr>
        <w:t>together</w:t>
      </w:r>
      <w:r>
        <w:rPr>
          <w:rFonts w:ascii="Arial" w:hAnsi="Arial"/>
          <w:color w:val="231F20"/>
          <w:spacing w:val="-4"/>
          <w:sz w:val="16"/>
        </w:rPr>
        <w:t> </w:t>
      </w:r>
      <w:r>
        <w:rPr>
          <w:rFonts w:ascii="Arial" w:hAnsi="Arial"/>
          <w:color w:val="231F20"/>
          <w:sz w:val="16"/>
        </w:rPr>
        <w:t>to</w:t>
      </w:r>
      <w:r>
        <w:rPr>
          <w:rFonts w:ascii="Arial" w:hAnsi="Arial"/>
          <w:color w:val="231F20"/>
          <w:spacing w:val="-3"/>
          <w:sz w:val="16"/>
        </w:rPr>
        <w:t> </w:t>
      </w:r>
      <w:r>
        <w:rPr>
          <w:rFonts w:ascii="Arial" w:hAnsi="Arial"/>
          <w:color w:val="231F20"/>
          <w:sz w:val="16"/>
        </w:rPr>
        <w:t>form</w:t>
      </w:r>
      <w:r>
        <w:rPr>
          <w:rFonts w:ascii="Arial" w:hAnsi="Arial"/>
          <w:color w:val="231F20"/>
          <w:spacing w:val="-3"/>
          <w:sz w:val="16"/>
        </w:rPr>
        <w:t> </w:t>
      </w:r>
      <w:r>
        <w:rPr>
          <w:rFonts w:ascii="Arial" w:hAnsi="Arial"/>
          <w:color w:val="231F20"/>
          <w:sz w:val="16"/>
        </w:rPr>
        <w:t>water</w:t>
      </w:r>
      <w:r>
        <w:rPr>
          <w:rFonts w:ascii="Arial" w:hAnsi="Arial"/>
          <w:color w:val="231F20"/>
          <w:spacing w:val="-3"/>
          <w:sz w:val="16"/>
        </w:rPr>
        <w:t> </w:t>
      </w:r>
      <w:r>
        <w:rPr>
          <w:rFonts w:ascii="Arial" w:hAnsi="Arial"/>
          <w:color w:val="231F20"/>
          <w:sz w:val="16"/>
        </w:rPr>
        <w:t>channels.</w:t>
      </w:r>
      <w:r>
        <w:rPr>
          <w:rFonts w:ascii="Arial" w:hAnsi="Arial"/>
          <w:color w:val="231F20"/>
          <w:spacing w:val="-3"/>
          <w:sz w:val="16"/>
        </w:rPr>
        <w:t> </w:t>
      </w:r>
      <w:r>
        <w:rPr>
          <w:rFonts w:ascii="Arial" w:hAnsi="Arial"/>
          <w:color w:val="231F20"/>
          <w:sz w:val="16"/>
        </w:rPr>
        <w:t>On</w:t>
      </w:r>
      <w:r>
        <w:rPr>
          <w:rFonts w:ascii="Arial" w:hAnsi="Arial"/>
          <w:color w:val="231F20"/>
          <w:spacing w:val="-3"/>
          <w:sz w:val="16"/>
        </w:rPr>
        <w:t> </w:t>
      </w:r>
      <w:r>
        <w:rPr>
          <w:rFonts w:ascii="Arial" w:hAnsi="Arial"/>
          <w:color w:val="231F20"/>
          <w:sz w:val="16"/>
        </w:rPr>
        <w:t>the</w:t>
      </w:r>
      <w:r>
        <w:rPr>
          <w:rFonts w:ascii="Arial" w:hAnsi="Arial"/>
          <w:color w:val="231F20"/>
          <w:spacing w:val="-3"/>
          <w:sz w:val="16"/>
        </w:rPr>
        <w:t> </w:t>
      </w:r>
      <w:r>
        <w:rPr>
          <w:rFonts w:ascii="Arial" w:hAnsi="Arial"/>
          <w:color w:val="231F20"/>
          <w:sz w:val="16"/>
        </w:rPr>
        <w:t>basolateral</w:t>
      </w:r>
      <w:r>
        <w:rPr>
          <w:rFonts w:ascii="Arial" w:hAnsi="Arial"/>
          <w:color w:val="231F20"/>
          <w:spacing w:val="-3"/>
          <w:sz w:val="16"/>
        </w:rPr>
        <w:t> </w:t>
      </w:r>
      <w:r>
        <w:rPr>
          <w:rFonts w:ascii="Arial" w:hAnsi="Arial"/>
          <w:color w:val="231F20"/>
          <w:sz w:val="16"/>
        </w:rPr>
        <w:t>side</w:t>
      </w:r>
      <w:r>
        <w:rPr>
          <w:rFonts w:ascii="Arial" w:hAnsi="Arial"/>
          <w:color w:val="231F20"/>
          <w:spacing w:val="-3"/>
          <w:sz w:val="16"/>
        </w:rPr>
        <w:t> </w:t>
      </w:r>
      <w:r>
        <w:rPr>
          <w:rFonts w:ascii="Arial" w:hAnsi="Arial"/>
          <w:color w:val="231F20"/>
          <w:sz w:val="16"/>
        </w:rPr>
        <w:t>of</w:t>
      </w:r>
      <w:r>
        <w:rPr>
          <w:rFonts w:ascii="Arial" w:hAnsi="Arial"/>
          <w:color w:val="231F20"/>
          <w:spacing w:val="-3"/>
          <w:sz w:val="16"/>
        </w:rPr>
        <w:t> </w:t>
      </w:r>
      <w:r>
        <w:rPr>
          <w:rFonts w:ascii="Arial" w:hAnsi="Arial"/>
          <w:color w:val="231F20"/>
          <w:sz w:val="16"/>
        </w:rPr>
        <w:t>the</w:t>
      </w:r>
      <w:r>
        <w:rPr>
          <w:rFonts w:ascii="Arial" w:hAnsi="Arial"/>
          <w:color w:val="231F20"/>
          <w:spacing w:val="-3"/>
          <w:sz w:val="16"/>
        </w:rPr>
        <w:t> </w:t>
      </w:r>
      <w:r>
        <w:rPr>
          <w:rFonts w:ascii="Arial" w:hAnsi="Arial"/>
          <w:color w:val="231F20"/>
          <w:spacing w:val="-4"/>
          <w:sz w:val="16"/>
        </w:rPr>
        <w:t>cell </w:t>
      </w:r>
      <w:r>
        <w:rPr>
          <w:rFonts w:ascii="Arial" w:hAnsi="Arial"/>
          <w:color w:val="231F20"/>
          <w:sz w:val="16"/>
        </w:rPr>
        <w:t>membrane are other aquaporins, </w:t>
      </w:r>
      <w:r>
        <w:rPr>
          <w:rFonts w:ascii="Lucida Sans" w:hAnsi="Lucida Sans"/>
          <w:i/>
          <w:color w:val="231F20"/>
          <w:sz w:val="16"/>
        </w:rPr>
        <w:t>AQP-3 </w:t>
      </w:r>
      <w:r>
        <w:rPr>
          <w:rFonts w:ascii="Arial" w:hAnsi="Arial"/>
          <w:color w:val="231F20"/>
          <w:sz w:val="16"/>
        </w:rPr>
        <w:t>and </w:t>
      </w:r>
      <w:r>
        <w:rPr>
          <w:rFonts w:ascii="Lucida Sans" w:hAnsi="Lucida Sans"/>
          <w:i/>
          <w:color w:val="231F20"/>
          <w:sz w:val="16"/>
        </w:rPr>
        <w:t>AQP-4, </w:t>
      </w:r>
      <w:r>
        <w:rPr>
          <w:rFonts w:ascii="Arial" w:hAnsi="Arial"/>
          <w:color w:val="231F20"/>
          <w:sz w:val="16"/>
        </w:rPr>
        <w:t>that </w:t>
      </w:r>
      <w:r>
        <w:rPr>
          <w:rFonts w:ascii="Arial" w:hAnsi="Arial"/>
          <w:color w:val="231F20"/>
          <w:spacing w:val="-3"/>
          <w:sz w:val="16"/>
        </w:rPr>
        <w:t>permit </w:t>
      </w:r>
      <w:r>
        <w:rPr>
          <w:rFonts w:ascii="Arial" w:hAnsi="Arial"/>
          <w:color w:val="231F20"/>
          <w:sz w:val="16"/>
        </w:rPr>
        <w:t>water to flow out of the cell, although these aquaporins do </w:t>
      </w:r>
      <w:r>
        <w:rPr>
          <w:rFonts w:ascii="Arial" w:hAnsi="Arial"/>
          <w:color w:val="231F20"/>
          <w:spacing w:val="-6"/>
          <w:sz w:val="16"/>
        </w:rPr>
        <w:t>not </w:t>
      </w:r>
      <w:r>
        <w:rPr>
          <w:rFonts w:ascii="Arial" w:hAnsi="Arial"/>
          <w:color w:val="231F20"/>
          <w:sz w:val="16"/>
        </w:rPr>
        <w:t>appear to be regulated by</w:t>
      </w:r>
      <w:r>
        <w:rPr>
          <w:rFonts w:ascii="Arial" w:hAnsi="Arial"/>
          <w:color w:val="231F20"/>
          <w:spacing w:val="31"/>
          <w:sz w:val="16"/>
        </w:rPr>
        <w:t> </w:t>
      </w:r>
      <w:r>
        <w:rPr>
          <w:rFonts w:ascii="Arial" w:hAnsi="Arial"/>
          <w:color w:val="231F20"/>
          <w:spacing w:val="-9"/>
          <w:sz w:val="16"/>
        </w:rPr>
        <w:t>AVP.</w:t>
      </w:r>
    </w:p>
    <w:p>
      <w:pPr>
        <w:pStyle w:val="Heading2"/>
        <w:spacing w:line="225" w:lineRule="auto" w:before="112"/>
        <w:ind w:right="2063"/>
      </w:pPr>
      <w:r>
        <w:rPr>
          <w:b w:val="0"/>
        </w:rPr>
        <w:br w:type="column"/>
      </w:r>
      <w:r>
        <w:rPr>
          <w:color w:val="231F20"/>
          <w:w w:val="105"/>
        </w:rPr>
        <w:t>SYMPATHETIC NERVOUS SYSTEM ACTIVATION INCREASES</w:t>
      </w:r>
    </w:p>
    <w:p>
      <w:pPr>
        <w:spacing w:line="243" w:lineRule="exact" w:before="0"/>
        <w:ind w:left="319" w:right="0" w:firstLine="0"/>
        <w:jc w:val="left"/>
        <w:rPr>
          <w:rFonts w:ascii="Trebuchet MS"/>
          <w:b/>
          <w:sz w:val="22"/>
        </w:rPr>
      </w:pPr>
      <w:r>
        <w:rPr>
          <w:rFonts w:ascii="Trebuchet MS"/>
          <w:b/>
          <w:color w:val="231F20"/>
          <w:w w:val="105"/>
          <w:sz w:val="22"/>
        </w:rPr>
        <w:t>SODIUM REABSORPTION</w:t>
      </w:r>
    </w:p>
    <w:p>
      <w:pPr>
        <w:pStyle w:val="BodyText"/>
        <w:spacing w:line="249" w:lineRule="auto" w:before="124"/>
        <w:ind w:left="319" w:right="1437"/>
        <w:jc w:val="both"/>
      </w:pPr>
      <w:r>
        <w:rPr>
          <w:color w:val="231F20"/>
          <w:w w:val="105"/>
        </w:rPr>
        <w:t>Activation</w:t>
      </w:r>
      <w:r>
        <w:rPr>
          <w:color w:val="231F20"/>
          <w:spacing w:val="-7"/>
          <w:w w:val="105"/>
        </w:rPr>
        <w:t> </w:t>
      </w:r>
      <w:r>
        <w:rPr>
          <w:color w:val="231F20"/>
          <w:w w:val="105"/>
        </w:rPr>
        <w:t>of</w:t>
      </w:r>
      <w:r>
        <w:rPr>
          <w:color w:val="231F20"/>
          <w:spacing w:val="-8"/>
          <w:w w:val="105"/>
        </w:rPr>
        <w:t> </w:t>
      </w:r>
      <w:r>
        <w:rPr>
          <w:color w:val="231F20"/>
          <w:w w:val="105"/>
        </w:rPr>
        <w:t>the</w:t>
      </w:r>
      <w:r>
        <w:rPr>
          <w:color w:val="231F20"/>
          <w:spacing w:val="-6"/>
          <w:w w:val="105"/>
        </w:rPr>
        <w:t> </w:t>
      </w:r>
      <w:r>
        <w:rPr>
          <w:color w:val="231F20"/>
          <w:w w:val="105"/>
        </w:rPr>
        <w:t>sympathetic</w:t>
      </w:r>
      <w:r>
        <w:rPr>
          <w:color w:val="231F20"/>
          <w:spacing w:val="-7"/>
          <w:w w:val="105"/>
        </w:rPr>
        <w:t> </w:t>
      </w:r>
      <w:r>
        <w:rPr>
          <w:color w:val="231F20"/>
          <w:w w:val="105"/>
        </w:rPr>
        <w:t>nervous</w:t>
      </w:r>
      <w:r>
        <w:rPr>
          <w:color w:val="231F20"/>
          <w:spacing w:val="-7"/>
          <w:w w:val="105"/>
        </w:rPr>
        <w:t> </w:t>
      </w:r>
      <w:r>
        <w:rPr>
          <w:color w:val="231F20"/>
          <w:w w:val="105"/>
        </w:rPr>
        <w:t>system,</w:t>
      </w:r>
      <w:r>
        <w:rPr>
          <w:color w:val="231F20"/>
          <w:spacing w:val="-7"/>
          <w:w w:val="105"/>
        </w:rPr>
        <w:t> </w:t>
      </w:r>
      <w:r>
        <w:rPr>
          <w:color w:val="231F20"/>
          <w:w w:val="105"/>
        </w:rPr>
        <w:t>if</w:t>
      </w:r>
      <w:r>
        <w:rPr>
          <w:color w:val="231F20"/>
          <w:spacing w:val="-7"/>
          <w:w w:val="105"/>
        </w:rPr>
        <w:t> </w:t>
      </w:r>
      <w:r>
        <w:rPr>
          <w:color w:val="231F20"/>
          <w:w w:val="105"/>
        </w:rPr>
        <w:t>severe, can</w:t>
      </w:r>
      <w:r>
        <w:rPr>
          <w:color w:val="231F20"/>
          <w:spacing w:val="-12"/>
          <w:w w:val="105"/>
        </w:rPr>
        <w:t> </w:t>
      </w:r>
      <w:r>
        <w:rPr>
          <w:color w:val="231F20"/>
          <w:w w:val="105"/>
        </w:rPr>
        <w:t>decrease</w:t>
      </w:r>
      <w:r>
        <w:rPr>
          <w:color w:val="231F20"/>
          <w:spacing w:val="-11"/>
          <w:w w:val="105"/>
        </w:rPr>
        <w:t> </w:t>
      </w:r>
      <w:r>
        <w:rPr>
          <w:color w:val="231F20"/>
          <w:w w:val="105"/>
        </w:rPr>
        <w:t>sodium</w:t>
      </w:r>
      <w:r>
        <w:rPr>
          <w:color w:val="231F20"/>
          <w:spacing w:val="-12"/>
          <w:w w:val="105"/>
        </w:rPr>
        <w:t> </w:t>
      </w:r>
      <w:r>
        <w:rPr>
          <w:color w:val="231F20"/>
          <w:w w:val="105"/>
        </w:rPr>
        <w:t>and</w:t>
      </w:r>
      <w:r>
        <w:rPr>
          <w:color w:val="231F20"/>
          <w:spacing w:val="-11"/>
          <w:w w:val="105"/>
        </w:rPr>
        <w:t> </w:t>
      </w:r>
      <w:r>
        <w:rPr>
          <w:color w:val="231F20"/>
          <w:w w:val="105"/>
        </w:rPr>
        <w:t>water</w:t>
      </w:r>
      <w:r>
        <w:rPr>
          <w:color w:val="231F20"/>
          <w:spacing w:val="-12"/>
          <w:w w:val="105"/>
        </w:rPr>
        <w:t> </w:t>
      </w:r>
      <w:r>
        <w:rPr>
          <w:color w:val="231F20"/>
          <w:w w:val="105"/>
        </w:rPr>
        <w:t>excretion</w:t>
      </w:r>
      <w:r>
        <w:rPr>
          <w:color w:val="231F20"/>
          <w:spacing w:val="-11"/>
          <w:w w:val="105"/>
        </w:rPr>
        <w:t> </w:t>
      </w:r>
      <w:r>
        <w:rPr>
          <w:color w:val="231F20"/>
          <w:w w:val="105"/>
        </w:rPr>
        <w:t>by</w:t>
      </w:r>
      <w:r>
        <w:rPr>
          <w:color w:val="231F20"/>
          <w:spacing w:val="-12"/>
          <w:w w:val="105"/>
        </w:rPr>
        <w:t> </w:t>
      </w:r>
      <w:r>
        <w:rPr>
          <w:color w:val="231F20"/>
          <w:w w:val="105"/>
        </w:rPr>
        <w:t>constricting the</w:t>
      </w:r>
      <w:r>
        <w:rPr>
          <w:color w:val="231F20"/>
          <w:spacing w:val="-10"/>
          <w:w w:val="105"/>
        </w:rPr>
        <w:t> </w:t>
      </w:r>
      <w:r>
        <w:rPr>
          <w:color w:val="231F20"/>
          <w:w w:val="105"/>
        </w:rPr>
        <w:t>renal</w:t>
      </w:r>
      <w:r>
        <w:rPr>
          <w:color w:val="231F20"/>
          <w:spacing w:val="-10"/>
          <w:w w:val="105"/>
        </w:rPr>
        <w:t> </w:t>
      </w:r>
      <w:r>
        <w:rPr>
          <w:color w:val="231F20"/>
          <w:w w:val="105"/>
        </w:rPr>
        <w:t>arterioles,</w:t>
      </w:r>
      <w:r>
        <w:rPr>
          <w:color w:val="231F20"/>
          <w:spacing w:val="-10"/>
          <w:w w:val="105"/>
        </w:rPr>
        <w:t> </w:t>
      </w:r>
      <w:r>
        <w:rPr>
          <w:color w:val="231F20"/>
          <w:w w:val="105"/>
        </w:rPr>
        <w:t>thereby</w:t>
      </w:r>
      <w:r>
        <w:rPr>
          <w:color w:val="231F20"/>
          <w:spacing w:val="-9"/>
          <w:w w:val="105"/>
        </w:rPr>
        <w:t> </w:t>
      </w:r>
      <w:r>
        <w:rPr>
          <w:color w:val="231F20"/>
          <w:w w:val="105"/>
        </w:rPr>
        <w:t>reducing</w:t>
      </w:r>
      <w:r>
        <w:rPr>
          <w:color w:val="231F20"/>
          <w:spacing w:val="-10"/>
          <w:w w:val="105"/>
        </w:rPr>
        <w:t> </w:t>
      </w:r>
      <w:r>
        <w:rPr>
          <w:color w:val="231F20"/>
          <w:w w:val="105"/>
        </w:rPr>
        <w:t>the</w:t>
      </w:r>
      <w:r>
        <w:rPr>
          <w:color w:val="231F20"/>
          <w:spacing w:val="-10"/>
          <w:w w:val="105"/>
        </w:rPr>
        <w:t> </w:t>
      </w:r>
      <w:r>
        <w:rPr>
          <w:color w:val="231F20"/>
          <w:w w:val="105"/>
        </w:rPr>
        <w:t>GFR.</w:t>
      </w:r>
      <w:r>
        <w:rPr>
          <w:color w:val="231F20"/>
          <w:spacing w:val="-9"/>
          <w:w w:val="105"/>
        </w:rPr>
        <w:t> </w:t>
      </w:r>
      <w:r>
        <w:rPr>
          <w:color w:val="231F20"/>
          <w:w w:val="105"/>
        </w:rPr>
        <w:t>Even</w:t>
      </w:r>
      <w:r>
        <w:rPr>
          <w:color w:val="231F20"/>
          <w:spacing w:val="-10"/>
          <w:w w:val="105"/>
        </w:rPr>
        <w:t> </w:t>
      </w:r>
      <w:r>
        <w:rPr>
          <w:color w:val="231F20"/>
          <w:spacing w:val="-4"/>
          <w:w w:val="105"/>
        </w:rPr>
        <w:t>low </w:t>
      </w:r>
      <w:r>
        <w:rPr>
          <w:color w:val="231F20"/>
          <w:w w:val="105"/>
        </w:rPr>
        <w:t>levels of sympathetic activation, however, decrease sodium and water excretion by increasing sodium reab- sorption</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proximal</w:t>
      </w:r>
      <w:r>
        <w:rPr>
          <w:color w:val="231F20"/>
          <w:spacing w:val="-12"/>
          <w:w w:val="105"/>
        </w:rPr>
        <w:t> </w:t>
      </w:r>
      <w:r>
        <w:rPr>
          <w:color w:val="231F20"/>
          <w:w w:val="105"/>
        </w:rPr>
        <w:t>tubule,</w:t>
      </w:r>
      <w:r>
        <w:rPr>
          <w:color w:val="231F20"/>
          <w:spacing w:val="-11"/>
          <w:w w:val="105"/>
        </w:rPr>
        <w:t> </w:t>
      </w:r>
      <w:r>
        <w:rPr>
          <w:color w:val="231F20"/>
          <w:w w:val="105"/>
        </w:rPr>
        <w:t>the</w:t>
      </w:r>
      <w:r>
        <w:rPr>
          <w:color w:val="231F20"/>
          <w:spacing w:val="-12"/>
          <w:w w:val="105"/>
        </w:rPr>
        <w:t> </w:t>
      </w:r>
      <w:r>
        <w:rPr>
          <w:color w:val="231F20"/>
          <w:w w:val="105"/>
        </w:rPr>
        <w:t>thick</w:t>
      </w:r>
      <w:r>
        <w:rPr>
          <w:color w:val="231F20"/>
          <w:spacing w:val="-11"/>
          <w:w w:val="105"/>
        </w:rPr>
        <w:t> </w:t>
      </w:r>
      <w:r>
        <w:rPr>
          <w:color w:val="231F20"/>
          <w:w w:val="105"/>
        </w:rPr>
        <w:t>ascending</w:t>
      </w:r>
      <w:r>
        <w:rPr>
          <w:color w:val="231F20"/>
          <w:spacing w:val="-12"/>
          <w:w w:val="105"/>
        </w:rPr>
        <w:t> </w:t>
      </w:r>
      <w:r>
        <w:rPr>
          <w:color w:val="231F20"/>
          <w:w w:val="105"/>
        </w:rPr>
        <w:t>limb of the loop of Henle, and perhaps in more distal parts</w:t>
      </w:r>
      <w:r>
        <w:rPr>
          <w:color w:val="231F20"/>
          <w:spacing w:val="-26"/>
          <w:w w:val="105"/>
        </w:rPr>
        <w:t> </w:t>
      </w:r>
      <w:r>
        <w:rPr>
          <w:color w:val="231F20"/>
          <w:w w:val="105"/>
        </w:rPr>
        <w:t>of</w:t>
      </w:r>
    </w:p>
    <w:p>
      <w:pPr>
        <w:pStyle w:val="BodyText"/>
        <w:spacing w:line="194" w:lineRule="auto"/>
        <w:ind w:left="319" w:right="1439"/>
        <w:jc w:val="both"/>
      </w:pPr>
      <w:r>
        <w:rPr>
          <w:color w:val="231F20"/>
          <w:w w:val="105"/>
        </w:rPr>
        <w:t>the</w:t>
      </w:r>
      <w:r>
        <w:rPr>
          <w:color w:val="231F20"/>
          <w:spacing w:val="-23"/>
          <w:w w:val="105"/>
        </w:rPr>
        <w:t> </w:t>
      </w:r>
      <w:r>
        <w:rPr>
          <w:color w:val="231F20"/>
          <w:w w:val="105"/>
        </w:rPr>
        <w:t>renal</w:t>
      </w:r>
      <w:r>
        <w:rPr>
          <w:color w:val="231F20"/>
          <w:spacing w:val="-23"/>
          <w:w w:val="105"/>
        </w:rPr>
        <w:t> </w:t>
      </w:r>
      <w:r>
        <w:rPr>
          <w:color w:val="231F20"/>
          <w:w w:val="105"/>
        </w:rPr>
        <w:t>tubule.</w:t>
      </w:r>
      <w:r>
        <w:rPr>
          <w:color w:val="231F20"/>
          <w:spacing w:val="-23"/>
          <w:w w:val="105"/>
        </w:rPr>
        <w:t> </w:t>
      </w:r>
      <w:r>
        <w:rPr>
          <w:color w:val="231F20"/>
          <w:w w:val="105"/>
        </w:rPr>
        <w:t>This</w:t>
      </w:r>
      <w:r>
        <w:rPr>
          <w:color w:val="231F20"/>
          <w:spacing w:val="-22"/>
          <w:w w:val="105"/>
        </w:rPr>
        <w:t> </w:t>
      </w:r>
      <w:r>
        <w:rPr>
          <w:color w:val="231F20"/>
          <w:w w:val="105"/>
        </w:rPr>
        <w:t>occurs</w:t>
      </w:r>
      <w:r>
        <w:rPr>
          <w:color w:val="231F20"/>
          <w:spacing w:val="-23"/>
          <w:w w:val="105"/>
        </w:rPr>
        <w:t> </w:t>
      </w:r>
      <w:r>
        <w:rPr>
          <w:color w:val="231F20"/>
          <w:w w:val="105"/>
        </w:rPr>
        <w:t>by</w:t>
      </w:r>
      <w:r>
        <w:rPr>
          <w:color w:val="231F20"/>
          <w:spacing w:val="-23"/>
          <w:w w:val="105"/>
        </w:rPr>
        <w:t> </w:t>
      </w:r>
      <w:r>
        <w:rPr>
          <w:color w:val="231F20"/>
          <w:w w:val="105"/>
        </w:rPr>
        <w:t>activation</w:t>
      </w:r>
      <w:r>
        <w:rPr>
          <w:color w:val="231F20"/>
          <w:spacing w:val="-22"/>
          <w:w w:val="105"/>
        </w:rPr>
        <w:t> </w:t>
      </w:r>
      <w:r>
        <w:rPr>
          <w:color w:val="231F20"/>
          <w:w w:val="105"/>
        </w:rPr>
        <w:t>of</w:t>
      </w:r>
      <w:r>
        <w:rPr>
          <w:color w:val="231F20"/>
          <w:spacing w:val="-24"/>
          <w:w w:val="105"/>
        </w:rPr>
        <w:t> </w:t>
      </w:r>
      <w:r>
        <w:rPr>
          <w:rFonts w:ascii="Arial Unicode MS" w:hAnsi="Arial Unicode MS"/>
          <w:color w:val="231F20"/>
          <w:spacing w:val="-3"/>
          <w:w w:val="105"/>
        </w:rPr>
        <w:t>α</w:t>
      </w:r>
      <w:r>
        <w:rPr>
          <w:color w:val="231F20"/>
          <w:spacing w:val="-3"/>
          <w:w w:val="105"/>
        </w:rPr>
        <w:t>-adrenergic </w:t>
      </w:r>
      <w:r>
        <w:rPr>
          <w:color w:val="231F20"/>
          <w:w w:val="105"/>
        </w:rPr>
        <w:t>receptors on the renal tubular epithelial</w:t>
      </w:r>
      <w:r>
        <w:rPr>
          <w:color w:val="231F20"/>
          <w:spacing w:val="1"/>
          <w:w w:val="105"/>
        </w:rPr>
        <w:t> </w:t>
      </w:r>
      <w:r>
        <w:rPr>
          <w:color w:val="231F20"/>
          <w:w w:val="105"/>
        </w:rPr>
        <w:t>cells.</w:t>
      </w:r>
    </w:p>
    <w:p>
      <w:pPr>
        <w:pStyle w:val="BodyText"/>
        <w:spacing w:line="249" w:lineRule="auto" w:before="17"/>
        <w:ind w:left="319" w:right="1437" w:firstLine="240"/>
        <w:jc w:val="both"/>
      </w:pPr>
      <w:r>
        <w:rPr>
          <w:color w:val="231F20"/>
          <w:w w:val="105"/>
        </w:rPr>
        <w:t>Sympathetic</w:t>
      </w:r>
      <w:r>
        <w:rPr>
          <w:color w:val="231F20"/>
          <w:spacing w:val="-36"/>
          <w:w w:val="105"/>
        </w:rPr>
        <w:t> </w:t>
      </w:r>
      <w:r>
        <w:rPr>
          <w:color w:val="231F20"/>
          <w:w w:val="105"/>
        </w:rPr>
        <w:t>nervous</w:t>
      </w:r>
      <w:r>
        <w:rPr>
          <w:color w:val="231F20"/>
          <w:spacing w:val="-36"/>
          <w:w w:val="105"/>
        </w:rPr>
        <w:t> </w:t>
      </w:r>
      <w:r>
        <w:rPr>
          <w:color w:val="231F20"/>
          <w:w w:val="105"/>
        </w:rPr>
        <w:t>system</w:t>
      </w:r>
      <w:r>
        <w:rPr>
          <w:color w:val="231F20"/>
          <w:spacing w:val="-36"/>
          <w:w w:val="105"/>
        </w:rPr>
        <w:t> </w:t>
      </w:r>
      <w:r>
        <w:rPr>
          <w:color w:val="231F20"/>
          <w:w w:val="105"/>
        </w:rPr>
        <w:t>stimulation</w:t>
      </w:r>
      <w:r>
        <w:rPr>
          <w:color w:val="231F20"/>
          <w:spacing w:val="-35"/>
          <w:w w:val="105"/>
        </w:rPr>
        <w:t> </w:t>
      </w:r>
      <w:r>
        <w:rPr>
          <w:color w:val="231F20"/>
          <w:w w:val="105"/>
        </w:rPr>
        <w:t>also</w:t>
      </w:r>
      <w:r>
        <w:rPr>
          <w:color w:val="231F20"/>
          <w:spacing w:val="-36"/>
          <w:w w:val="105"/>
        </w:rPr>
        <w:t> </w:t>
      </w:r>
      <w:r>
        <w:rPr>
          <w:color w:val="231F20"/>
          <w:w w:val="105"/>
        </w:rPr>
        <w:t>increases renin</w:t>
      </w:r>
      <w:r>
        <w:rPr>
          <w:color w:val="231F20"/>
          <w:spacing w:val="-14"/>
          <w:w w:val="105"/>
        </w:rPr>
        <w:t> </w:t>
      </w:r>
      <w:r>
        <w:rPr>
          <w:color w:val="231F20"/>
          <w:w w:val="105"/>
        </w:rPr>
        <w:t>release</w:t>
      </w:r>
      <w:r>
        <w:rPr>
          <w:color w:val="231F20"/>
          <w:spacing w:val="-13"/>
          <w:w w:val="105"/>
        </w:rPr>
        <w:t> </w:t>
      </w:r>
      <w:r>
        <w:rPr>
          <w:color w:val="231F20"/>
          <w:w w:val="105"/>
        </w:rPr>
        <w:t>and</w:t>
      </w:r>
      <w:r>
        <w:rPr>
          <w:color w:val="231F20"/>
          <w:spacing w:val="-13"/>
          <w:w w:val="105"/>
        </w:rPr>
        <w:t> </w:t>
      </w:r>
      <w:r>
        <w:rPr>
          <w:color w:val="231F20"/>
          <w:w w:val="105"/>
        </w:rPr>
        <w:t>angiotensin</w:t>
      </w:r>
      <w:r>
        <w:rPr>
          <w:color w:val="231F20"/>
          <w:spacing w:val="-14"/>
          <w:w w:val="105"/>
        </w:rPr>
        <w:t> </w:t>
      </w:r>
      <w:r>
        <w:rPr>
          <w:color w:val="231F20"/>
          <w:w w:val="105"/>
        </w:rPr>
        <w:t>II</w:t>
      </w:r>
      <w:r>
        <w:rPr>
          <w:color w:val="231F20"/>
          <w:spacing w:val="-13"/>
          <w:w w:val="105"/>
        </w:rPr>
        <w:t> </w:t>
      </w:r>
      <w:r>
        <w:rPr>
          <w:color w:val="231F20"/>
          <w:w w:val="105"/>
        </w:rPr>
        <w:t>formation,</w:t>
      </w:r>
      <w:r>
        <w:rPr>
          <w:color w:val="231F20"/>
          <w:spacing w:val="-13"/>
          <w:w w:val="105"/>
        </w:rPr>
        <w:t> </w:t>
      </w:r>
      <w:r>
        <w:rPr>
          <w:color w:val="231F20"/>
          <w:w w:val="105"/>
        </w:rPr>
        <w:t>which</w:t>
      </w:r>
      <w:r>
        <w:rPr>
          <w:color w:val="231F20"/>
          <w:spacing w:val="-13"/>
          <w:w w:val="105"/>
        </w:rPr>
        <w:t> </w:t>
      </w:r>
      <w:r>
        <w:rPr>
          <w:color w:val="231F20"/>
          <w:w w:val="105"/>
        </w:rPr>
        <w:t>adds</w:t>
      </w:r>
      <w:r>
        <w:rPr>
          <w:color w:val="231F20"/>
          <w:spacing w:val="-14"/>
          <w:w w:val="105"/>
        </w:rPr>
        <w:t> </w:t>
      </w:r>
      <w:r>
        <w:rPr>
          <w:color w:val="231F20"/>
          <w:spacing w:val="-7"/>
          <w:w w:val="105"/>
        </w:rPr>
        <w:t>to</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725"/>
          <w:pgSz w:w="12240" w:h="15660"/>
          <w:pgMar w:header="0" w:footer="567" w:top="0" w:bottom="760" w:left="0" w:right="0"/>
        </w:sectPr>
      </w:pPr>
    </w:p>
    <w:p>
      <w:pPr>
        <w:pStyle w:val="BodyText"/>
        <w:spacing w:line="249" w:lineRule="auto" w:before="100"/>
        <w:ind w:left="1440"/>
      </w:pPr>
      <w:r>
        <w:rPr>
          <w:color w:val="231F20"/>
          <w:w w:val="105"/>
        </w:rPr>
        <w:t>the overall effect to increase tubular reabsorption and decrease renal excretion of sodium.</w:t>
      </w:r>
    </w:p>
    <w:p>
      <w:pPr>
        <w:pStyle w:val="BodyText"/>
      </w:pPr>
    </w:p>
    <w:p>
      <w:pPr>
        <w:pStyle w:val="BodyText"/>
      </w:pPr>
    </w:p>
    <w:p>
      <w:pPr>
        <w:pStyle w:val="BodyText"/>
      </w:pPr>
    </w:p>
    <w:p>
      <w:pPr>
        <w:pStyle w:val="BodyText"/>
        <w:spacing w:before="5"/>
        <w:rPr>
          <w:sz w:val="15"/>
        </w:rPr>
      </w:pP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73"/>
        <w:ind w:left="1440" w:right="-8"/>
      </w:pPr>
      <w:r>
        <w:rPr>
          <w:color w:val="231F20"/>
          <w:w w:val="105"/>
        </w:rPr>
        <w:t>The</w:t>
      </w:r>
      <w:r>
        <w:rPr>
          <w:color w:val="231F20"/>
          <w:spacing w:val="-26"/>
          <w:w w:val="105"/>
        </w:rPr>
        <w:t> </w:t>
      </w:r>
      <w:r>
        <w:rPr>
          <w:color w:val="231F20"/>
          <w:w w:val="105"/>
        </w:rPr>
        <w:t>rates</w:t>
      </w:r>
      <w:r>
        <w:rPr>
          <w:color w:val="231F20"/>
          <w:spacing w:val="-25"/>
          <w:w w:val="105"/>
        </w:rPr>
        <w:t> </w:t>
      </w:r>
      <w:r>
        <w:rPr>
          <w:color w:val="231F20"/>
          <w:w w:val="105"/>
        </w:rPr>
        <w:t>at</w:t>
      </w:r>
      <w:r>
        <w:rPr>
          <w:color w:val="231F20"/>
          <w:spacing w:val="-25"/>
          <w:w w:val="105"/>
        </w:rPr>
        <w:t> </w:t>
      </w:r>
      <w:r>
        <w:rPr>
          <w:color w:val="231F20"/>
          <w:w w:val="105"/>
        </w:rPr>
        <w:t>which</w:t>
      </w:r>
      <w:r>
        <w:rPr>
          <w:color w:val="231F20"/>
          <w:spacing w:val="-25"/>
          <w:w w:val="105"/>
        </w:rPr>
        <w:t> </w:t>
      </w:r>
      <w:r>
        <w:rPr>
          <w:color w:val="231F20"/>
          <w:w w:val="105"/>
        </w:rPr>
        <w:t>different</w:t>
      </w:r>
      <w:r>
        <w:rPr>
          <w:color w:val="231F20"/>
          <w:spacing w:val="-25"/>
          <w:w w:val="105"/>
        </w:rPr>
        <w:t> </w:t>
      </w:r>
      <w:r>
        <w:rPr>
          <w:color w:val="231F20"/>
          <w:w w:val="105"/>
        </w:rPr>
        <w:t>substances</w:t>
      </w:r>
      <w:r>
        <w:rPr>
          <w:color w:val="231F20"/>
          <w:spacing w:val="-25"/>
          <w:w w:val="105"/>
        </w:rPr>
        <w:t> </w:t>
      </w:r>
      <w:r>
        <w:rPr>
          <w:color w:val="231F20"/>
          <w:w w:val="105"/>
        </w:rPr>
        <w:t>are</w:t>
      </w:r>
      <w:r>
        <w:rPr>
          <w:color w:val="231F20"/>
          <w:spacing w:val="-25"/>
          <w:w w:val="105"/>
        </w:rPr>
        <w:t> </w:t>
      </w:r>
      <w:r>
        <w:rPr>
          <w:color w:val="231F20"/>
          <w:w w:val="105"/>
        </w:rPr>
        <w:t>“cleared”</w:t>
      </w:r>
      <w:r>
        <w:rPr>
          <w:color w:val="231F20"/>
          <w:spacing w:val="-25"/>
          <w:w w:val="105"/>
        </w:rPr>
        <w:t> </w:t>
      </w:r>
      <w:r>
        <w:rPr>
          <w:color w:val="231F20"/>
          <w:spacing w:val="-4"/>
          <w:w w:val="105"/>
        </w:rPr>
        <w:t>from </w:t>
      </w:r>
      <w:r>
        <w:rPr>
          <w:color w:val="231F20"/>
          <w:w w:val="105"/>
        </w:rPr>
        <w:t>the</w:t>
      </w:r>
      <w:r>
        <w:rPr>
          <w:color w:val="231F20"/>
          <w:spacing w:val="-18"/>
          <w:w w:val="105"/>
        </w:rPr>
        <w:t> </w:t>
      </w:r>
      <w:r>
        <w:rPr>
          <w:color w:val="231F20"/>
          <w:w w:val="105"/>
        </w:rPr>
        <w:t>plasma</w:t>
      </w:r>
      <w:r>
        <w:rPr>
          <w:color w:val="231F20"/>
          <w:spacing w:val="-17"/>
          <w:w w:val="105"/>
        </w:rPr>
        <w:t> </w:t>
      </w:r>
      <w:r>
        <w:rPr>
          <w:color w:val="231F20"/>
          <w:w w:val="105"/>
        </w:rPr>
        <w:t>provide</w:t>
      </w:r>
      <w:r>
        <w:rPr>
          <w:color w:val="231F20"/>
          <w:spacing w:val="-17"/>
          <w:w w:val="105"/>
        </w:rPr>
        <w:t> </w:t>
      </w:r>
      <w:r>
        <w:rPr>
          <w:color w:val="231F20"/>
          <w:w w:val="105"/>
        </w:rPr>
        <w:t>a</w:t>
      </w:r>
      <w:r>
        <w:rPr>
          <w:color w:val="231F20"/>
          <w:spacing w:val="-18"/>
          <w:w w:val="105"/>
        </w:rPr>
        <w:t> </w:t>
      </w:r>
      <w:r>
        <w:rPr>
          <w:color w:val="231F20"/>
          <w:w w:val="105"/>
        </w:rPr>
        <w:t>useful</w:t>
      </w:r>
      <w:r>
        <w:rPr>
          <w:color w:val="231F20"/>
          <w:spacing w:val="-17"/>
          <w:w w:val="105"/>
        </w:rPr>
        <w:t> </w:t>
      </w:r>
      <w:r>
        <w:rPr>
          <w:color w:val="231F20"/>
          <w:w w:val="105"/>
        </w:rPr>
        <w:t>way</w:t>
      </w:r>
      <w:r>
        <w:rPr>
          <w:color w:val="231F20"/>
          <w:spacing w:val="-17"/>
          <w:w w:val="105"/>
        </w:rPr>
        <w:t> </w:t>
      </w:r>
      <w:r>
        <w:rPr>
          <w:color w:val="231F20"/>
          <w:w w:val="105"/>
        </w:rPr>
        <w:t>of</w:t>
      </w:r>
      <w:r>
        <w:rPr>
          <w:color w:val="231F20"/>
          <w:spacing w:val="-17"/>
          <w:w w:val="105"/>
        </w:rPr>
        <w:t> </w:t>
      </w:r>
      <w:r>
        <w:rPr>
          <w:color w:val="231F20"/>
          <w:w w:val="105"/>
        </w:rPr>
        <w:t>quantitating</w:t>
      </w:r>
      <w:r>
        <w:rPr>
          <w:color w:val="231F20"/>
          <w:spacing w:val="-18"/>
          <w:w w:val="105"/>
        </w:rPr>
        <w:t> </w:t>
      </w:r>
      <w:r>
        <w:rPr>
          <w:color w:val="231F20"/>
          <w:w w:val="105"/>
        </w:rPr>
        <w:t>the</w:t>
      </w:r>
      <w:r>
        <w:rPr>
          <w:color w:val="231F20"/>
          <w:spacing w:val="-17"/>
          <w:w w:val="105"/>
        </w:rPr>
        <w:t> </w:t>
      </w:r>
      <w:r>
        <w:rPr>
          <w:color w:val="231F20"/>
          <w:spacing w:val="-4"/>
          <w:w w:val="105"/>
        </w:rPr>
        <w:t>effec-</w:t>
      </w:r>
    </w:p>
    <w:p>
      <w:pPr>
        <w:spacing w:before="116"/>
        <w:ind w:left="295" w:right="1070" w:firstLine="0"/>
        <w:jc w:val="center"/>
        <w:rPr>
          <w:rFonts w:ascii="Trebuchet MS" w:hAnsi="Trebuchet MS"/>
          <w:sz w:val="18"/>
        </w:rPr>
      </w:pPr>
      <w:r>
        <w:rPr/>
        <w:br w:type="column"/>
      </w:r>
      <w:r>
        <w:rPr>
          <w:rFonts w:ascii="Trebuchet MS" w:hAnsi="Trebuchet MS"/>
          <w:w w:val="105"/>
          <w:sz w:val="18"/>
        </w:rPr>
        <w:t>C</w:t>
      </w:r>
      <w:r>
        <w:rPr>
          <w:rFonts w:ascii="Trebuchet MS" w:hAnsi="Trebuchet MS"/>
          <w:w w:val="105"/>
          <w:position w:val="-2"/>
          <w:sz w:val="10"/>
        </w:rPr>
        <w:t>s </w:t>
      </w:r>
      <w:r>
        <w:rPr>
          <w:rFonts w:ascii="Symbol" w:hAnsi="Symbol"/>
          <w:w w:val="105"/>
          <w:sz w:val="18"/>
        </w:rPr>
        <w:t></w:t>
      </w:r>
      <w:r>
        <w:rPr>
          <w:w w:val="105"/>
          <w:sz w:val="18"/>
        </w:rPr>
        <w:t> </w:t>
      </w:r>
      <w:r>
        <w:rPr>
          <w:rFonts w:ascii="Trebuchet MS" w:hAnsi="Trebuchet MS"/>
          <w:w w:val="105"/>
          <w:sz w:val="18"/>
        </w:rPr>
        <w:t>P</w:t>
      </w:r>
      <w:r>
        <w:rPr>
          <w:rFonts w:ascii="Trebuchet MS" w:hAnsi="Trebuchet MS"/>
          <w:w w:val="105"/>
          <w:position w:val="-2"/>
          <w:sz w:val="10"/>
        </w:rPr>
        <w:t>s   </w:t>
      </w:r>
      <w:r>
        <w:rPr>
          <w:rFonts w:ascii="Symbol" w:hAnsi="Symbol"/>
          <w:w w:val="105"/>
          <w:sz w:val="18"/>
        </w:rPr>
        <w:t></w:t>
      </w:r>
      <w:r>
        <w:rPr>
          <w:w w:val="105"/>
          <w:sz w:val="18"/>
        </w:rPr>
        <w:t> </w:t>
      </w:r>
      <w:r>
        <w:rPr>
          <w:rFonts w:ascii="Trebuchet MS" w:hAnsi="Trebuchet MS"/>
          <w:w w:val="105"/>
          <w:sz w:val="18"/>
        </w:rPr>
        <w:t>U</w:t>
      </w:r>
      <w:r>
        <w:rPr>
          <w:rFonts w:ascii="Trebuchet MS" w:hAnsi="Trebuchet MS"/>
          <w:w w:val="105"/>
          <w:position w:val="-2"/>
          <w:sz w:val="10"/>
        </w:rPr>
        <w:t>s  </w:t>
      </w:r>
      <w:r>
        <w:rPr>
          <w:rFonts w:ascii="Symbol" w:hAnsi="Symbol"/>
          <w:w w:val="105"/>
          <w:sz w:val="18"/>
        </w:rPr>
        <w:t></w:t>
      </w:r>
      <w:r>
        <w:rPr>
          <w:w w:val="105"/>
          <w:sz w:val="18"/>
        </w:rPr>
        <w:t> </w:t>
      </w:r>
      <w:r>
        <w:rPr>
          <w:rFonts w:ascii="Trebuchet MS" w:hAnsi="Trebuchet MS"/>
          <w:w w:val="105"/>
          <w:sz w:val="18"/>
        </w:rPr>
        <w:t>V</w:t>
      </w:r>
    </w:p>
    <w:p>
      <w:pPr>
        <w:pStyle w:val="BodyText"/>
        <w:spacing w:before="10"/>
        <w:rPr>
          <w:rFonts w:ascii="Trebuchet MS"/>
          <w:sz w:val="19"/>
        </w:rPr>
      </w:pPr>
    </w:p>
    <w:p>
      <w:pPr>
        <w:pStyle w:val="BodyText"/>
        <w:spacing w:line="249" w:lineRule="auto"/>
        <w:ind w:left="319" w:right="1077"/>
        <w:jc w:val="both"/>
      </w:pPr>
      <w:r>
        <w:rPr/>
        <w:pict>
          <v:shape style="position:absolute;margin-left:578.900024pt;margin-top:39.643261pt;width:15.9pt;height:53.35pt;mso-position-horizontal-relative:page;mso-position-vertical-relative:paragraph;z-index:25228902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where </w:t>
      </w:r>
      <w:r>
        <w:rPr>
          <w:i/>
          <w:color w:val="231F20"/>
          <w:w w:val="105"/>
        </w:rPr>
        <w:t>C</w:t>
      </w:r>
      <w:r>
        <w:rPr>
          <w:i/>
          <w:color w:val="231F20"/>
          <w:w w:val="105"/>
          <w:vertAlign w:val="subscript"/>
        </w:rPr>
        <w:t>s</w:t>
      </w:r>
      <w:r>
        <w:rPr>
          <w:i/>
          <w:color w:val="231F20"/>
          <w:w w:val="105"/>
          <w:vertAlign w:val="baseline"/>
        </w:rPr>
        <w:t> </w:t>
      </w:r>
      <w:r>
        <w:rPr>
          <w:color w:val="231F20"/>
          <w:w w:val="105"/>
          <w:vertAlign w:val="baseline"/>
        </w:rPr>
        <w:t>is the clearance rate of a substance </w:t>
      </w:r>
      <w:r>
        <w:rPr>
          <w:color w:val="231F20"/>
          <w:spacing w:val="2"/>
          <w:w w:val="105"/>
          <w:vertAlign w:val="baseline"/>
        </w:rPr>
        <w:t>s, </w:t>
      </w:r>
      <w:r>
        <w:rPr>
          <w:i/>
          <w:color w:val="231F20"/>
          <w:w w:val="105"/>
          <w:vertAlign w:val="baseline"/>
        </w:rPr>
        <w:t>P</w:t>
      </w:r>
      <w:r>
        <w:rPr>
          <w:i/>
          <w:color w:val="231F20"/>
          <w:w w:val="105"/>
          <w:vertAlign w:val="subscript"/>
        </w:rPr>
        <w:t>s</w:t>
      </w:r>
      <w:r>
        <w:rPr>
          <w:i/>
          <w:color w:val="231F20"/>
          <w:w w:val="105"/>
          <w:vertAlign w:val="baseline"/>
        </w:rPr>
        <w:t> </w:t>
      </w:r>
      <w:r>
        <w:rPr>
          <w:color w:val="231F20"/>
          <w:spacing w:val="-13"/>
          <w:w w:val="105"/>
          <w:vertAlign w:val="baseline"/>
        </w:rPr>
        <w:t>is   </w:t>
      </w:r>
      <w:r>
        <w:rPr>
          <w:color w:val="231F20"/>
          <w:w w:val="105"/>
          <w:vertAlign w:val="baseline"/>
        </w:rPr>
        <w:t>the</w:t>
      </w:r>
      <w:r>
        <w:rPr>
          <w:color w:val="231F20"/>
          <w:spacing w:val="-13"/>
          <w:w w:val="105"/>
          <w:vertAlign w:val="baseline"/>
        </w:rPr>
        <w:t> </w:t>
      </w:r>
      <w:r>
        <w:rPr>
          <w:color w:val="231F20"/>
          <w:w w:val="105"/>
          <w:vertAlign w:val="baseline"/>
        </w:rPr>
        <w:t>plasma</w:t>
      </w:r>
      <w:r>
        <w:rPr>
          <w:color w:val="231F20"/>
          <w:spacing w:val="-13"/>
          <w:w w:val="105"/>
          <w:vertAlign w:val="baseline"/>
        </w:rPr>
        <w:t> </w:t>
      </w:r>
      <w:r>
        <w:rPr>
          <w:color w:val="231F20"/>
          <w:w w:val="105"/>
          <w:vertAlign w:val="baseline"/>
        </w:rPr>
        <w:t>concentration</w:t>
      </w:r>
      <w:r>
        <w:rPr>
          <w:color w:val="231F20"/>
          <w:spacing w:val="-13"/>
          <w:w w:val="105"/>
          <w:vertAlign w:val="baseline"/>
        </w:rPr>
        <w:t> </w:t>
      </w:r>
      <w:r>
        <w:rPr>
          <w:color w:val="231F20"/>
          <w:w w:val="105"/>
          <w:vertAlign w:val="baseline"/>
        </w:rPr>
        <w:t>of</w:t>
      </w:r>
      <w:r>
        <w:rPr>
          <w:color w:val="231F20"/>
          <w:spacing w:val="-13"/>
          <w:w w:val="105"/>
          <w:vertAlign w:val="baseline"/>
        </w:rPr>
        <w:t> </w:t>
      </w:r>
      <w:r>
        <w:rPr>
          <w:color w:val="231F20"/>
          <w:w w:val="105"/>
          <w:vertAlign w:val="baseline"/>
        </w:rPr>
        <w:t>the</w:t>
      </w:r>
      <w:r>
        <w:rPr>
          <w:color w:val="231F20"/>
          <w:spacing w:val="-13"/>
          <w:w w:val="105"/>
          <w:vertAlign w:val="baseline"/>
        </w:rPr>
        <w:t> </w:t>
      </w:r>
      <w:r>
        <w:rPr>
          <w:color w:val="231F20"/>
          <w:w w:val="105"/>
          <w:vertAlign w:val="baseline"/>
        </w:rPr>
        <w:t>substance,</w:t>
      </w:r>
      <w:r>
        <w:rPr>
          <w:color w:val="231F20"/>
          <w:spacing w:val="-13"/>
          <w:w w:val="105"/>
          <w:vertAlign w:val="baseline"/>
        </w:rPr>
        <w:t> </w:t>
      </w:r>
      <w:r>
        <w:rPr>
          <w:i/>
          <w:color w:val="231F20"/>
          <w:w w:val="105"/>
          <w:vertAlign w:val="baseline"/>
        </w:rPr>
        <w:t>U</w:t>
      </w:r>
      <w:r>
        <w:rPr>
          <w:i/>
          <w:color w:val="231F20"/>
          <w:w w:val="105"/>
          <w:vertAlign w:val="subscript"/>
        </w:rPr>
        <w:t>s</w:t>
      </w:r>
      <w:r>
        <w:rPr>
          <w:i/>
          <w:color w:val="231F20"/>
          <w:spacing w:val="-13"/>
          <w:w w:val="105"/>
          <w:vertAlign w:val="baseline"/>
        </w:rPr>
        <w:t> </w:t>
      </w:r>
      <w:r>
        <w:rPr>
          <w:color w:val="231F20"/>
          <w:w w:val="105"/>
          <w:vertAlign w:val="baseline"/>
        </w:rPr>
        <w:t>is</w:t>
      </w:r>
      <w:r>
        <w:rPr>
          <w:color w:val="231F20"/>
          <w:spacing w:val="-12"/>
          <w:w w:val="105"/>
          <w:vertAlign w:val="baseline"/>
        </w:rPr>
        <w:t> </w:t>
      </w:r>
      <w:r>
        <w:rPr>
          <w:color w:val="231F20"/>
          <w:w w:val="105"/>
          <w:vertAlign w:val="baseline"/>
        </w:rPr>
        <w:t>the</w:t>
      </w:r>
      <w:r>
        <w:rPr>
          <w:color w:val="231F20"/>
          <w:spacing w:val="-13"/>
          <w:w w:val="105"/>
          <w:vertAlign w:val="baseline"/>
        </w:rPr>
        <w:t> </w:t>
      </w:r>
      <w:r>
        <w:rPr>
          <w:color w:val="231F20"/>
          <w:spacing w:val="-4"/>
          <w:w w:val="105"/>
          <w:vertAlign w:val="baseline"/>
        </w:rPr>
        <w:t>urine </w:t>
      </w:r>
      <w:r>
        <w:rPr>
          <w:color w:val="231F20"/>
          <w:w w:val="105"/>
          <w:vertAlign w:val="baseline"/>
        </w:rPr>
        <w:t>concentration of that substance, and </w:t>
      </w:r>
      <w:r>
        <w:rPr>
          <w:i/>
          <w:color w:val="231F20"/>
          <w:w w:val="105"/>
          <w:vertAlign w:val="baseline"/>
        </w:rPr>
        <w:t>V </w:t>
      </w:r>
      <w:r>
        <w:rPr>
          <w:color w:val="231F20"/>
          <w:w w:val="105"/>
          <w:vertAlign w:val="baseline"/>
        </w:rPr>
        <w:t>is the  urine  flow rate. Rearranging this equation, clearance can be expressed</w:t>
      </w:r>
      <w:r>
        <w:rPr>
          <w:color w:val="231F20"/>
          <w:spacing w:val="2"/>
          <w:w w:val="105"/>
          <w:vertAlign w:val="baseline"/>
        </w:rPr>
        <w:t> </w:t>
      </w:r>
      <w:r>
        <w:rPr>
          <w:color w:val="231F20"/>
          <w:w w:val="105"/>
          <w:vertAlign w:val="baseline"/>
        </w:rPr>
        <w:t>as</w:t>
      </w:r>
    </w:p>
    <w:p>
      <w:pPr>
        <w:spacing w:line="115" w:lineRule="exact" w:before="123"/>
        <w:ind w:left="295" w:right="706" w:firstLine="0"/>
        <w:jc w:val="center"/>
        <w:rPr>
          <w:rFonts w:ascii="Trebuchet MS" w:hAnsi="Trebuchet MS"/>
          <w:sz w:val="18"/>
        </w:rPr>
      </w:pPr>
      <w:r>
        <w:rPr>
          <w:rFonts w:ascii="Trebuchet MS" w:hAnsi="Trebuchet MS"/>
          <w:w w:val="105"/>
          <w:sz w:val="18"/>
          <w:u w:val="single"/>
        </w:rPr>
        <w:t>U</w:t>
      </w:r>
      <w:r>
        <w:rPr>
          <w:rFonts w:ascii="Trebuchet MS" w:hAnsi="Trebuchet MS"/>
          <w:w w:val="105"/>
          <w:position w:val="-2"/>
          <w:sz w:val="10"/>
          <w:u w:val="single"/>
        </w:rPr>
        <w:t>s  </w:t>
      </w:r>
      <w:r>
        <w:rPr>
          <w:rFonts w:ascii="Symbol" w:hAnsi="Symbol"/>
          <w:w w:val="105"/>
          <w:sz w:val="18"/>
          <w:u w:val="single"/>
        </w:rPr>
        <w:t></w:t>
      </w:r>
      <w:r>
        <w:rPr>
          <w:w w:val="105"/>
          <w:sz w:val="18"/>
          <w:u w:val="single"/>
        </w:rPr>
        <w:t> </w:t>
      </w:r>
      <w:r>
        <w:rPr>
          <w:rFonts w:ascii="Trebuchet MS" w:hAnsi="Trebuchet MS"/>
          <w:w w:val="105"/>
          <w:sz w:val="18"/>
          <w:u w:val="single"/>
        </w:rPr>
        <w:t>V</w:t>
      </w:r>
    </w:p>
    <w:p>
      <w:pPr>
        <w:spacing w:after="0" w:line="115" w:lineRule="exact"/>
        <w:jc w:val="center"/>
        <w:rPr>
          <w:rFonts w:ascii="Trebuchet MS" w:hAnsi="Trebuchet MS"/>
          <w:sz w:val="18"/>
        </w:rPr>
        <w:sectPr>
          <w:type w:val="continuous"/>
          <w:pgSz w:w="12240" w:h="15660"/>
          <w:pgMar w:top="0" w:bottom="760" w:left="0" w:right="0"/>
          <w:cols w:num="2" w:equalWidth="0">
            <w:col w:w="6121" w:space="40"/>
            <w:col w:w="6079"/>
          </w:cols>
        </w:sectPr>
      </w:pPr>
    </w:p>
    <w:p>
      <w:pPr>
        <w:pStyle w:val="BodyText"/>
        <w:spacing w:line="249" w:lineRule="auto" w:before="2"/>
        <w:ind w:left="1440" w:right="28"/>
      </w:pPr>
      <w:r>
        <w:rPr>
          <w:color w:val="231F20"/>
        </w:rPr>
        <w:t>tiveness with which the kidneys excrete various sub- stances (</w:t>
      </w:r>
      <w:hyperlink w:history="true" w:anchor="_bookmark61">
        <w:r>
          <w:rPr>
            <w:b/>
            <w:color w:val="0080AC"/>
          </w:rPr>
          <w:t>Table 28-4</w:t>
        </w:r>
      </w:hyperlink>
      <w:r>
        <w:rPr>
          <w:color w:val="231F20"/>
        </w:rPr>
        <w:t>). By definition, the renal clearance of</w:t>
      </w:r>
    </w:p>
    <w:p>
      <w:pPr>
        <w:spacing w:line="230" w:lineRule="exact" w:before="0"/>
        <w:ind w:left="1440" w:right="0" w:firstLine="0"/>
        <w:jc w:val="left"/>
        <w:rPr>
          <w:rFonts w:ascii="Symbol" w:hAnsi="Symbol"/>
          <w:sz w:val="18"/>
        </w:rPr>
      </w:pPr>
      <w:r>
        <w:rPr/>
        <w:br w:type="column"/>
      </w:r>
      <w:r>
        <w:rPr>
          <w:rFonts w:ascii="Trebuchet MS" w:hAnsi="Trebuchet MS"/>
          <w:sz w:val="18"/>
        </w:rPr>
        <w:t>C</w:t>
      </w:r>
      <w:r>
        <w:rPr>
          <w:rFonts w:ascii="Trebuchet MS" w:hAnsi="Trebuchet MS"/>
          <w:position w:val="-2"/>
          <w:sz w:val="10"/>
        </w:rPr>
        <w:t>s </w:t>
      </w:r>
      <w:r>
        <w:rPr>
          <w:rFonts w:ascii="Symbol" w:hAnsi="Symbol"/>
          <w:sz w:val="18"/>
        </w:rPr>
        <w:t></w:t>
      </w:r>
    </w:p>
    <w:p>
      <w:pPr>
        <w:spacing w:before="22"/>
        <w:ind w:left="0" w:right="1121" w:firstLine="0"/>
        <w:jc w:val="center"/>
        <w:rPr>
          <w:rFonts w:ascii="Trebuchet MS"/>
          <w:sz w:val="10"/>
        </w:rPr>
      </w:pPr>
      <w:r>
        <w:rPr/>
        <w:pict>
          <v:shape style="position:absolute;margin-left:446.192688pt;margin-top:-4.109692pt;width:5.05pt;height:10.45pt;mso-position-horizontal-relative:page;mso-position-vertical-relative:paragraph;z-index:252290048" type="#_x0000_t202" filled="false" stroked="false">
            <v:textbox inset="0,0,0,0">
              <w:txbxContent>
                <w:p>
                  <w:pPr>
                    <w:spacing w:line="208" w:lineRule="exact" w:before="0"/>
                    <w:ind w:left="0" w:right="0" w:firstLine="0"/>
                    <w:jc w:val="left"/>
                    <w:rPr>
                      <w:rFonts w:ascii="Trebuchet MS"/>
                      <w:sz w:val="18"/>
                    </w:rPr>
                  </w:pPr>
                  <w:r>
                    <w:rPr>
                      <w:rFonts w:ascii="Trebuchet MS"/>
                      <w:w w:val="99"/>
                      <w:sz w:val="18"/>
                    </w:rPr>
                    <w:t>P</w:t>
                  </w:r>
                </w:p>
              </w:txbxContent>
            </v:textbox>
            <w10:wrap type="none"/>
          </v:shape>
        </w:pict>
      </w:r>
      <w:r>
        <w:rPr>
          <w:rFonts w:ascii="Trebuchet MS"/>
          <w:w w:val="103"/>
          <w:sz w:val="10"/>
        </w:rPr>
        <w:t>s</w:t>
      </w:r>
    </w:p>
    <w:p>
      <w:pPr>
        <w:spacing w:after="0"/>
        <w:jc w:val="center"/>
        <w:rPr>
          <w:rFonts w:ascii="Trebuchet MS"/>
          <w:sz w:val="10"/>
        </w:rPr>
        <w:sectPr>
          <w:type w:val="continuous"/>
          <w:pgSz w:w="12240" w:h="15660"/>
          <w:pgMar w:top="0" w:bottom="760" w:left="0" w:right="0"/>
          <w:cols w:num="2" w:equalWidth="0">
            <w:col w:w="6161" w:space="781"/>
            <w:col w:w="5298"/>
          </w:cols>
        </w:sectPr>
      </w:pPr>
    </w:p>
    <w:p>
      <w:pPr>
        <w:spacing w:line="249" w:lineRule="auto" w:before="1"/>
        <w:ind w:left="1440" w:right="1" w:firstLine="0"/>
        <w:jc w:val="both"/>
        <w:rPr>
          <w:sz w:val="20"/>
        </w:rPr>
      </w:pPr>
      <w:r>
        <w:rPr>
          <w:color w:val="231F20"/>
          <w:sz w:val="20"/>
        </w:rPr>
        <w:t>a substance is the volume of plasma that is completely cleared of </w:t>
      </w:r>
      <w:r>
        <w:rPr>
          <w:i/>
          <w:color w:val="231F20"/>
          <w:sz w:val="20"/>
        </w:rPr>
        <w:t>the substance by the kidneys per unit of time</w:t>
      </w:r>
      <w:r>
        <w:rPr>
          <w:color w:val="231F20"/>
          <w:sz w:val="20"/>
        </w:rPr>
        <w:t>.</w:t>
      </w:r>
    </w:p>
    <w:p>
      <w:pPr>
        <w:pStyle w:val="BodyText"/>
        <w:spacing w:line="249" w:lineRule="auto" w:before="2"/>
        <w:ind w:left="1440" w:firstLine="240"/>
        <w:jc w:val="both"/>
      </w:pPr>
      <w:r>
        <w:rPr>
          <w:color w:val="231F20"/>
          <w:w w:val="105"/>
        </w:rPr>
        <w:t>Although there is no single volume of plasma that </w:t>
      </w:r>
      <w:r>
        <w:rPr>
          <w:color w:val="231F20"/>
          <w:spacing w:val="-8"/>
          <w:w w:val="105"/>
        </w:rPr>
        <w:t>is </w:t>
      </w:r>
      <w:r>
        <w:rPr>
          <w:i/>
          <w:color w:val="231F20"/>
          <w:w w:val="105"/>
        </w:rPr>
        <w:t>completely </w:t>
      </w:r>
      <w:r>
        <w:rPr>
          <w:color w:val="231F20"/>
          <w:w w:val="105"/>
        </w:rPr>
        <w:t>cleared of a substance, renal clearance </w:t>
      </w:r>
      <w:r>
        <w:rPr>
          <w:color w:val="231F20"/>
          <w:spacing w:val="-4"/>
          <w:w w:val="105"/>
        </w:rPr>
        <w:t>pro- </w:t>
      </w:r>
      <w:r>
        <w:rPr>
          <w:color w:val="231F20"/>
          <w:w w:val="105"/>
        </w:rPr>
        <w:t>vides</w:t>
      </w:r>
      <w:r>
        <w:rPr>
          <w:color w:val="231F20"/>
          <w:spacing w:val="-6"/>
          <w:w w:val="105"/>
        </w:rPr>
        <w:t> </w:t>
      </w:r>
      <w:r>
        <w:rPr>
          <w:color w:val="231F20"/>
          <w:w w:val="105"/>
        </w:rPr>
        <w:t>a</w:t>
      </w:r>
      <w:r>
        <w:rPr>
          <w:color w:val="231F20"/>
          <w:spacing w:val="-6"/>
          <w:w w:val="105"/>
        </w:rPr>
        <w:t> </w:t>
      </w:r>
      <w:r>
        <w:rPr>
          <w:color w:val="231F20"/>
          <w:w w:val="105"/>
        </w:rPr>
        <w:t>useful</w:t>
      </w:r>
      <w:r>
        <w:rPr>
          <w:color w:val="231F20"/>
          <w:spacing w:val="-6"/>
          <w:w w:val="105"/>
        </w:rPr>
        <w:t> </w:t>
      </w:r>
      <w:r>
        <w:rPr>
          <w:color w:val="231F20"/>
          <w:w w:val="105"/>
        </w:rPr>
        <w:t>way</w:t>
      </w:r>
      <w:r>
        <w:rPr>
          <w:color w:val="231F20"/>
          <w:spacing w:val="-6"/>
          <w:w w:val="105"/>
        </w:rPr>
        <w:t> </w:t>
      </w:r>
      <w:r>
        <w:rPr>
          <w:color w:val="231F20"/>
          <w:w w:val="105"/>
        </w:rPr>
        <w:t>of</w:t>
      </w:r>
      <w:r>
        <w:rPr>
          <w:color w:val="231F20"/>
          <w:spacing w:val="-6"/>
          <w:w w:val="105"/>
        </w:rPr>
        <w:t> </w:t>
      </w:r>
      <w:r>
        <w:rPr>
          <w:color w:val="231F20"/>
          <w:w w:val="105"/>
        </w:rPr>
        <w:t>quantifying</w:t>
      </w:r>
      <w:r>
        <w:rPr>
          <w:color w:val="231F20"/>
          <w:spacing w:val="-6"/>
          <w:w w:val="105"/>
        </w:rPr>
        <w:t> </w:t>
      </w:r>
      <w:r>
        <w:rPr>
          <w:color w:val="231F20"/>
          <w:w w:val="105"/>
        </w:rPr>
        <w:t>the</w:t>
      </w:r>
      <w:r>
        <w:rPr>
          <w:color w:val="231F20"/>
          <w:spacing w:val="-5"/>
          <w:w w:val="105"/>
        </w:rPr>
        <w:t> </w:t>
      </w:r>
      <w:r>
        <w:rPr>
          <w:color w:val="231F20"/>
          <w:w w:val="105"/>
        </w:rPr>
        <w:t>excretory</w:t>
      </w:r>
      <w:r>
        <w:rPr>
          <w:color w:val="231F20"/>
          <w:spacing w:val="-5"/>
          <w:w w:val="105"/>
        </w:rPr>
        <w:t> </w:t>
      </w:r>
      <w:r>
        <w:rPr>
          <w:color w:val="231F20"/>
          <w:w w:val="105"/>
        </w:rPr>
        <w:t>function of the kidneys. </w:t>
      </w:r>
      <w:r>
        <w:rPr>
          <w:color w:val="231F20"/>
          <w:spacing w:val="-8"/>
          <w:w w:val="105"/>
        </w:rPr>
        <w:t>We </w:t>
      </w:r>
      <w:r>
        <w:rPr>
          <w:color w:val="231F20"/>
          <w:w w:val="105"/>
        </w:rPr>
        <w:t>can use renal clearance to quantify the rate at which blood flows through the kidneys, </w:t>
      </w:r>
      <w:r>
        <w:rPr>
          <w:color w:val="231F20"/>
          <w:spacing w:val="-8"/>
          <w:w w:val="105"/>
        </w:rPr>
        <w:t>as </w:t>
      </w:r>
      <w:r>
        <w:rPr>
          <w:color w:val="231F20"/>
          <w:w w:val="105"/>
        </w:rPr>
        <w:t>well</w:t>
      </w:r>
      <w:r>
        <w:rPr>
          <w:color w:val="231F20"/>
          <w:spacing w:val="-27"/>
          <w:w w:val="105"/>
        </w:rPr>
        <w:t> </w:t>
      </w:r>
      <w:r>
        <w:rPr>
          <w:color w:val="231F20"/>
          <w:w w:val="105"/>
        </w:rPr>
        <w:t>as</w:t>
      </w:r>
      <w:r>
        <w:rPr>
          <w:color w:val="231F20"/>
          <w:spacing w:val="-26"/>
          <w:w w:val="105"/>
        </w:rPr>
        <w:t> </w:t>
      </w:r>
      <w:r>
        <w:rPr>
          <w:color w:val="231F20"/>
          <w:w w:val="105"/>
        </w:rPr>
        <w:t>the</w:t>
      </w:r>
      <w:r>
        <w:rPr>
          <w:color w:val="231F20"/>
          <w:spacing w:val="-27"/>
          <w:w w:val="105"/>
        </w:rPr>
        <w:t> </w:t>
      </w:r>
      <w:r>
        <w:rPr>
          <w:color w:val="231F20"/>
          <w:w w:val="105"/>
        </w:rPr>
        <w:t>glomerular</w:t>
      </w:r>
      <w:r>
        <w:rPr>
          <w:color w:val="231F20"/>
          <w:spacing w:val="-26"/>
          <w:w w:val="105"/>
        </w:rPr>
        <w:t> </w:t>
      </w:r>
      <w:r>
        <w:rPr>
          <w:color w:val="231F20"/>
          <w:w w:val="105"/>
        </w:rPr>
        <w:t>filtration,</w:t>
      </w:r>
      <w:r>
        <w:rPr>
          <w:color w:val="231F20"/>
          <w:spacing w:val="-26"/>
          <w:w w:val="105"/>
        </w:rPr>
        <w:t> </w:t>
      </w:r>
      <w:r>
        <w:rPr>
          <w:color w:val="231F20"/>
          <w:w w:val="105"/>
        </w:rPr>
        <w:t>tubular</w:t>
      </w:r>
      <w:r>
        <w:rPr>
          <w:color w:val="231F20"/>
          <w:spacing w:val="-27"/>
          <w:w w:val="105"/>
        </w:rPr>
        <w:t> </w:t>
      </w:r>
      <w:r>
        <w:rPr>
          <w:color w:val="231F20"/>
          <w:w w:val="105"/>
        </w:rPr>
        <w:t>reabsorption,</w:t>
      </w:r>
      <w:r>
        <w:rPr>
          <w:color w:val="231F20"/>
          <w:spacing w:val="-26"/>
          <w:w w:val="105"/>
        </w:rPr>
        <w:t> </w:t>
      </w:r>
      <w:r>
        <w:rPr>
          <w:color w:val="231F20"/>
          <w:spacing w:val="-6"/>
          <w:w w:val="105"/>
        </w:rPr>
        <w:t>and </w:t>
      </w:r>
      <w:r>
        <w:rPr>
          <w:color w:val="231F20"/>
          <w:w w:val="105"/>
        </w:rPr>
        <w:t>tubular secretion</w:t>
      </w:r>
      <w:r>
        <w:rPr>
          <w:color w:val="231F20"/>
          <w:spacing w:val="6"/>
          <w:w w:val="105"/>
        </w:rPr>
        <w:t> </w:t>
      </w:r>
      <w:r>
        <w:rPr>
          <w:color w:val="231F20"/>
          <w:w w:val="105"/>
        </w:rPr>
        <w:t>rates.</w:t>
      </w:r>
    </w:p>
    <w:p>
      <w:pPr>
        <w:pStyle w:val="BodyText"/>
        <w:spacing w:line="249" w:lineRule="auto" w:before="6"/>
        <w:ind w:left="1440" w:firstLine="240"/>
        <w:jc w:val="both"/>
      </w:pPr>
      <w:r>
        <w:rPr>
          <w:color w:val="231F20"/>
          <w:spacing w:val="-11"/>
          <w:w w:val="105"/>
        </w:rPr>
        <w:t>To </w:t>
      </w:r>
      <w:r>
        <w:rPr>
          <w:color w:val="231F20"/>
          <w:w w:val="105"/>
        </w:rPr>
        <w:t>illustrate the clearance principle, consider the fol- lowing</w:t>
      </w:r>
      <w:r>
        <w:rPr>
          <w:color w:val="231F20"/>
          <w:spacing w:val="-36"/>
          <w:w w:val="105"/>
        </w:rPr>
        <w:t> </w:t>
      </w:r>
      <w:r>
        <w:rPr>
          <w:color w:val="231F20"/>
          <w:w w:val="105"/>
        </w:rPr>
        <w:t>example:</w:t>
      </w:r>
      <w:r>
        <w:rPr>
          <w:color w:val="231F20"/>
          <w:spacing w:val="-36"/>
          <w:w w:val="105"/>
        </w:rPr>
        <w:t> </w:t>
      </w:r>
      <w:r>
        <w:rPr>
          <w:color w:val="231F20"/>
          <w:w w:val="105"/>
        </w:rPr>
        <w:t>If</w:t>
      </w:r>
      <w:r>
        <w:rPr>
          <w:color w:val="231F20"/>
          <w:spacing w:val="-36"/>
          <w:w w:val="105"/>
        </w:rPr>
        <w:t> </w:t>
      </w:r>
      <w:r>
        <w:rPr>
          <w:color w:val="231F20"/>
          <w:w w:val="105"/>
        </w:rPr>
        <w:t>the</w:t>
      </w:r>
      <w:r>
        <w:rPr>
          <w:color w:val="231F20"/>
          <w:spacing w:val="-36"/>
          <w:w w:val="105"/>
        </w:rPr>
        <w:t> </w:t>
      </w:r>
      <w:r>
        <w:rPr>
          <w:color w:val="231F20"/>
          <w:w w:val="105"/>
        </w:rPr>
        <w:t>plasma</w:t>
      </w:r>
      <w:r>
        <w:rPr>
          <w:color w:val="231F20"/>
          <w:spacing w:val="-35"/>
          <w:w w:val="105"/>
        </w:rPr>
        <w:t> </w:t>
      </w:r>
      <w:r>
        <w:rPr>
          <w:color w:val="231F20"/>
          <w:w w:val="105"/>
        </w:rPr>
        <w:t>passing</w:t>
      </w:r>
      <w:r>
        <w:rPr>
          <w:color w:val="231F20"/>
          <w:spacing w:val="-36"/>
          <w:w w:val="105"/>
        </w:rPr>
        <w:t> </w:t>
      </w:r>
      <w:r>
        <w:rPr>
          <w:color w:val="231F20"/>
          <w:w w:val="105"/>
        </w:rPr>
        <w:t>through</w:t>
      </w:r>
      <w:r>
        <w:rPr>
          <w:color w:val="231F20"/>
          <w:spacing w:val="-36"/>
          <w:w w:val="105"/>
        </w:rPr>
        <w:t> </w:t>
      </w:r>
      <w:r>
        <w:rPr>
          <w:color w:val="231F20"/>
          <w:w w:val="105"/>
        </w:rPr>
        <w:t>the</w:t>
      </w:r>
      <w:r>
        <w:rPr>
          <w:color w:val="231F20"/>
          <w:spacing w:val="-36"/>
          <w:w w:val="105"/>
        </w:rPr>
        <w:t> </w:t>
      </w:r>
      <w:r>
        <w:rPr>
          <w:color w:val="231F20"/>
          <w:w w:val="105"/>
        </w:rPr>
        <w:t>kidneys contains 1 milligram of a substance in each </w:t>
      </w:r>
      <w:r>
        <w:rPr>
          <w:color w:val="231F20"/>
          <w:spacing w:val="-3"/>
          <w:w w:val="105"/>
        </w:rPr>
        <w:t>milliliter </w:t>
      </w:r>
      <w:r>
        <w:rPr>
          <w:color w:val="231F20"/>
          <w:w w:val="105"/>
        </w:rPr>
        <w:t>and if 1 milligram of this substance is also excreted</w:t>
      </w:r>
      <w:r>
        <w:rPr>
          <w:color w:val="231F20"/>
          <w:spacing w:val="-17"/>
          <w:w w:val="105"/>
        </w:rPr>
        <w:t> </w:t>
      </w:r>
      <w:r>
        <w:rPr>
          <w:color w:val="231F20"/>
          <w:spacing w:val="-5"/>
          <w:w w:val="105"/>
        </w:rPr>
        <w:t>into </w:t>
      </w:r>
      <w:r>
        <w:rPr>
          <w:color w:val="231F20"/>
          <w:w w:val="105"/>
        </w:rPr>
        <w:t>the urine each minute, then 1 ml/min of the plasma </w:t>
      </w:r>
      <w:r>
        <w:rPr>
          <w:color w:val="231F20"/>
          <w:spacing w:val="-7"/>
          <w:w w:val="105"/>
        </w:rPr>
        <w:t>is </w:t>
      </w:r>
      <w:r>
        <w:rPr>
          <w:color w:val="231F20"/>
          <w:w w:val="105"/>
        </w:rPr>
        <w:t>“cleared” of the substance. Thus, clearance refers to the volume of plasma that would be necessary to supply</w:t>
      </w:r>
      <w:r>
        <w:rPr>
          <w:color w:val="231F20"/>
          <w:spacing w:val="-36"/>
          <w:w w:val="105"/>
        </w:rPr>
        <w:t> </w:t>
      </w:r>
      <w:r>
        <w:rPr>
          <w:color w:val="231F20"/>
          <w:w w:val="105"/>
        </w:rPr>
        <w:t>the amount</w:t>
      </w:r>
      <w:r>
        <w:rPr>
          <w:color w:val="231F20"/>
          <w:spacing w:val="27"/>
          <w:w w:val="105"/>
        </w:rPr>
        <w:t> </w:t>
      </w:r>
      <w:r>
        <w:rPr>
          <w:color w:val="231F20"/>
          <w:w w:val="105"/>
        </w:rPr>
        <w:t>of</w:t>
      </w:r>
      <w:r>
        <w:rPr>
          <w:color w:val="231F20"/>
          <w:spacing w:val="27"/>
          <w:w w:val="105"/>
        </w:rPr>
        <w:t> </w:t>
      </w:r>
      <w:r>
        <w:rPr>
          <w:color w:val="231F20"/>
          <w:w w:val="105"/>
        </w:rPr>
        <w:t>substance</w:t>
      </w:r>
      <w:r>
        <w:rPr>
          <w:color w:val="231F20"/>
          <w:spacing w:val="27"/>
          <w:w w:val="105"/>
        </w:rPr>
        <w:t> </w:t>
      </w:r>
      <w:r>
        <w:rPr>
          <w:color w:val="231F20"/>
          <w:w w:val="105"/>
        </w:rPr>
        <w:t>excreted</w:t>
      </w:r>
      <w:r>
        <w:rPr>
          <w:color w:val="231F20"/>
          <w:spacing w:val="27"/>
          <w:w w:val="105"/>
        </w:rPr>
        <w:t> </w:t>
      </w:r>
      <w:r>
        <w:rPr>
          <w:color w:val="231F20"/>
          <w:w w:val="105"/>
        </w:rPr>
        <w:t>in</w:t>
      </w:r>
      <w:r>
        <w:rPr>
          <w:color w:val="231F20"/>
          <w:spacing w:val="28"/>
          <w:w w:val="105"/>
        </w:rPr>
        <w:t> </w:t>
      </w:r>
      <w:r>
        <w:rPr>
          <w:color w:val="231F20"/>
          <w:w w:val="105"/>
        </w:rPr>
        <w:t>the</w:t>
      </w:r>
      <w:r>
        <w:rPr>
          <w:color w:val="231F20"/>
          <w:spacing w:val="27"/>
          <w:w w:val="105"/>
        </w:rPr>
        <w:t> </w:t>
      </w:r>
      <w:r>
        <w:rPr>
          <w:color w:val="231F20"/>
          <w:w w:val="105"/>
        </w:rPr>
        <w:t>urine</w:t>
      </w:r>
      <w:r>
        <w:rPr>
          <w:color w:val="231F20"/>
          <w:spacing w:val="27"/>
          <w:w w:val="105"/>
        </w:rPr>
        <w:t> </w:t>
      </w:r>
      <w:r>
        <w:rPr>
          <w:color w:val="231F20"/>
          <w:w w:val="105"/>
        </w:rPr>
        <w:t>per</w:t>
      </w:r>
      <w:r>
        <w:rPr>
          <w:color w:val="231F20"/>
          <w:spacing w:val="27"/>
          <w:w w:val="105"/>
        </w:rPr>
        <w:t> </w:t>
      </w:r>
      <w:r>
        <w:rPr>
          <w:color w:val="231F20"/>
          <w:w w:val="105"/>
        </w:rPr>
        <w:t>unit</w:t>
      </w:r>
      <w:r>
        <w:rPr>
          <w:color w:val="231F20"/>
          <w:spacing w:val="27"/>
          <w:w w:val="105"/>
        </w:rPr>
        <w:t> </w:t>
      </w:r>
      <w:r>
        <w:rPr>
          <w:color w:val="231F20"/>
          <w:w w:val="105"/>
        </w:rPr>
        <w:t>of</w:t>
      </w:r>
    </w:p>
    <w:p>
      <w:pPr>
        <w:pStyle w:val="BodyText"/>
        <w:spacing w:line="199" w:lineRule="auto" w:before="33"/>
        <w:ind w:left="319" w:right="1077" w:firstLine="240"/>
        <w:jc w:val="both"/>
      </w:pPr>
      <w:r>
        <w:rPr/>
        <w:br w:type="column"/>
      </w:r>
      <w:r>
        <w:rPr>
          <w:color w:val="231F20"/>
          <w:w w:val="105"/>
        </w:rPr>
        <w:t>Thus,</w:t>
      </w:r>
      <w:r>
        <w:rPr>
          <w:color w:val="231F20"/>
          <w:spacing w:val="-20"/>
          <w:w w:val="105"/>
        </w:rPr>
        <w:t> </w:t>
      </w:r>
      <w:r>
        <w:rPr>
          <w:color w:val="231F20"/>
          <w:w w:val="105"/>
        </w:rPr>
        <w:t>renal</w:t>
      </w:r>
      <w:r>
        <w:rPr>
          <w:color w:val="231F20"/>
          <w:spacing w:val="-19"/>
          <w:w w:val="105"/>
        </w:rPr>
        <w:t> </w:t>
      </w:r>
      <w:r>
        <w:rPr>
          <w:color w:val="231F20"/>
          <w:w w:val="105"/>
        </w:rPr>
        <w:t>clearance</w:t>
      </w:r>
      <w:r>
        <w:rPr>
          <w:color w:val="231F20"/>
          <w:spacing w:val="-19"/>
          <w:w w:val="105"/>
        </w:rPr>
        <w:t> </w:t>
      </w:r>
      <w:r>
        <w:rPr>
          <w:color w:val="231F20"/>
          <w:w w:val="105"/>
        </w:rPr>
        <w:t>of</w:t>
      </w:r>
      <w:r>
        <w:rPr>
          <w:color w:val="231F20"/>
          <w:spacing w:val="-19"/>
          <w:w w:val="105"/>
        </w:rPr>
        <w:t> </w:t>
      </w:r>
      <w:r>
        <w:rPr>
          <w:color w:val="231F20"/>
          <w:w w:val="105"/>
        </w:rPr>
        <w:t>a</w:t>
      </w:r>
      <w:r>
        <w:rPr>
          <w:color w:val="231F20"/>
          <w:spacing w:val="-19"/>
          <w:w w:val="105"/>
        </w:rPr>
        <w:t> </w:t>
      </w:r>
      <w:r>
        <w:rPr>
          <w:color w:val="231F20"/>
          <w:w w:val="105"/>
        </w:rPr>
        <w:t>substance</w:t>
      </w:r>
      <w:r>
        <w:rPr>
          <w:color w:val="231F20"/>
          <w:spacing w:val="-19"/>
          <w:w w:val="105"/>
        </w:rPr>
        <w:t> </w:t>
      </w:r>
      <w:r>
        <w:rPr>
          <w:color w:val="231F20"/>
          <w:w w:val="105"/>
        </w:rPr>
        <w:t>is</w:t>
      </w:r>
      <w:r>
        <w:rPr>
          <w:color w:val="231F20"/>
          <w:spacing w:val="-19"/>
          <w:w w:val="105"/>
        </w:rPr>
        <w:t> </w:t>
      </w:r>
      <w:r>
        <w:rPr>
          <w:color w:val="231F20"/>
          <w:w w:val="105"/>
        </w:rPr>
        <w:t>calculated</w:t>
      </w:r>
      <w:r>
        <w:rPr>
          <w:color w:val="231F20"/>
          <w:spacing w:val="-19"/>
          <w:w w:val="105"/>
        </w:rPr>
        <w:t> </w:t>
      </w:r>
      <w:r>
        <w:rPr>
          <w:color w:val="231F20"/>
          <w:w w:val="105"/>
        </w:rPr>
        <w:t>from the urinary excretion rate (U</w:t>
      </w:r>
      <w:r>
        <w:rPr>
          <w:color w:val="231F20"/>
          <w:w w:val="105"/>
          <w:vertAlign w:val="subscript"/>
        </w:rPr>
        <w:t>s</w:t>
      </w:r>
      <w:r>
        <w:rPr>
          <w:color w:val="231F20"/>
          <w:w w:val="105"/>
          <w:vertAlign w:val="baseline"/>
        </w:rPr>
        <w:t> </w:t>
      </w:r>
      <w:r>
        <w:rPr>
          <w:rFonts w:ascii="Arial Unicode MS" w:hAnsi="Arial Unicode MS"/>
          <w:color w:val="231F20"/>
          <w:w w:val="105"/>
          <w:vertAlign w:val="baseline"/>
        </w:rPr>
        <w:t>× </w:t>
      </w:r>
      <w:r>
        <w:rPr>
          <w:color w:val="231F20"/>
          <w:spacing w:val="4"/>
          <w:w w:val="105"/>
          <w:vertAlign w:val="baseline"/>
        </w:rPr>
        <w:t>V) </w:t>
      </w:r>
      <w:r>
        <w:rPr>
          <w:color w:val="231F20"/>
          <w:w w:val="105"/>
          <w:vertAlign w:val="baseline"/>
        </w:rPr>
        <w:t>of that </w:t>
      </w:r>
      <w:r>
        <w:rPr>
          <w:color w:val="231F20"/>
          <w:spacing w:val="-3"/>
          <w:w w:val="105"/>
          <w:vertAlign w:val="baseline"/>
        </w:rPr>
        <w:t>substance  </w:t>
      </w:r>
      <w:r>
        <w:rPr>
          <w:color w:val="231F20"/>
          <w:w w:val="105"/>
          <w:vertAlign w:val="baseline"/>
        </w:rPr>
        <w:t>divided by its plasma</w:t>
      </w:r>
      <w:r>
        <w:rPr>
          <w:color w:val="231F20"/>
          <w:spacing w:val="5"/>
          <w:w w:val="105"/>
          <w:vertAlign w:val="baseline"/>
        </w:rPr>
        <w:t> </w:t>
      </w:r>
      <w:r>
        <w:rPr>
          <w:color w:val="231F20"/>
          <w:w w:val="105"/>
          <w:vertAlign w:val="baseline"/>
        </w:rPr>
        <w:t>concentration.</w:t>
      </w:r>
    </w:p>
    <w:p>
      <w:pPr>
        <w:pStyle w:val="BodyText"/>
        <w:spacing w:before="2"/>
        <w:rPr>
          <w:sz w:val="32"/>
        </w:rPr>
      </w:pPr>
    </w:p>
    <w:p>
      <w:pPr>
        <w:pStyle w:val="Heading2"/>
        <w:spacing w:line="225" w:lineRule="auto"/>
        <w:ind w:right="1995"/>
      </w:pPr>
      <w:r>
        <w:rPr/>
        <w:pict>
          <v:rect style="position:absolute;margin-left:576pt;margin-top:-33.641079pt;width:36pt;height:24pt;mso-position-horizontal-relative:page;mso-position-vertical-relative:paragraph;z-index:252282880" filled="true" fillcolor="#e8dac8" stroked="false">
            <v:fill type="solid"/>
            <w10:wrap type="none"/>
          </v:rect>
        </w:pict>
      </w:r>
      <w:r>
        <w:rPr>
          <w:color w:val="231F20"/>
          <w:w w:val="105"/>
        </w:rPr>
        <w:t>INULIN CLEARANCE CAN BE USED TO ESTIMATE GFR</w:t>
      </w:r>
    </w:p>
    <w:p>
      <w:pPr>
        <w:pStyle w:val="BodyText"/>
        <w:spacing w:line="249" w:lineRule="auto" w:before="127"/>
        <w:ind w:left="319" w:right="1077"/>
        <w:jc w:val="both"/>
      </w:pPr>
      <w:r>
        <w:rPr>
          <w:color w:val="231F20"/>
          <w:w w:val="105"/>
        </w:rPr>
        <w:t>If</w:t>
      </w:r>
      <w:r>
        <w:rPr>
          <w:color w:val="231F20"/>
          <w:spacing w:val="-19"/>
          <w:w w:val="105"/>
        </w:rPr>
        <w:t> </w:t>
      </w:r>
      <w:r>
        <w:rPr>
          <w:color w:val="231F20"/>
          <w:w w:val="105"/>
        </w:rPr>
        <w:t>a</w:t>
      </w:r>
      <w:r>
        <w:rPr>
          <w:color w:val="231F20"/>
          <w:spacing w:val="-19"/>
          <w:w w:val="105"/>
        </w:rPr>
        <w:t> </w:t>
      </w:r>
      <w:r>
        <w:rPr>
          <w:color w:val="231F20"/>
          <w:w w:val="105"/>
        </w:rPr>
        <w:t>substance</w:t>
      </w:r>
      <w:r>
        <w:rPr>
          <w:color w:val="231F20"/>
          <w:spacing w:val="-19"/>
          <w:w w:val="105"/>
        </w:rPr>
        <w:t> </w:t>
      </w:r>
      <w:r>
        <w:rPr>
          <w:color w:val="231F20"/>
          <w:w w:val="105"/>
        </w:rPr>
        <w:t>is</w:t>
      </w:r>
      <w:r>
        <w:rPr>
          <w:color w:val="231F20"/>
          <w:spacing w:val="-19"/>
          <w:w w:val="105"/>
        </w:rPr>
        <w:t> </w:t>
      </w:r>
      <w:r>
        <w:rPr>
          <w:color w:val="231F20"/>
          <w:w w:val="105"/>
        </w:rPr>
        <w:t>freely</w:t>
      </w:r>
      <w:r>
        <w:rPr>
          <w:color w:val="231F20"/>
          <w:spacing w:val="-19"/>
          <w:w w:val="105"/>
        </w:rPr>
        <w:t> </w:t>
      </w:r>
      <w:r>
        <w:rPr>
          <w:color w:val="231F20"/>
          <w:w w:val="105"/>
        </w:rPr>
        <w:t>filtered</w:t>
      </w:r>
      <w:r>
        <w:rPr>
          <w:color w:val="231F20"/>
          <w:spacing w:val="-19"/>
          <w:w w:val="105"/>
        </w:rPr>
        <w:t> </w:t>
      </w:r>
      <w:r>
        <w:rPr>
          <w:color w:val="231F20"/>
          <w:w w:val="105"/>
        </w:rPr>
        <w:t>(filtered</w:t>
      </w:r>
      <w:r>
        <w:rPr>
          <w:color w:val="231F20"/>
          <w:spacing w:val="-19"/>
          <w:w w:val="105"/>
        </w:rPr>
        <w:t> </w:t>
      </w:r>
      <w:r>
        <w:rPr>
          <w:color w:val="231F20"/>
          <w:w w:val="105"/>
        </w:rPr>
        <w:t>as</w:t>
      </w:r>
      <w:r>
        <w:rPr>
          <w:color w:val="231F20"/>
          <w:spacing w:val="-18"/>
          <w:w w:val="105"/>
        </w:rPr>
        <w:t> </w:t>
      </w:r>
      <w:r>
        <w:rPr>
          <w:color w:val="231F20"/>
          <w:w w:val="105"/>
        </w:rPr>
        <w:t>freely</w:t>
      </w:r>
      <w:r>
        <w:rPr>
          <w:color w:val="231F20"/>
          <w:spacing w:val="-19"/>
          <w:w w:val="105"/>
        </w:rPr>
        <w:t> </w:t>
      </w:r>
      <w:r>
        <w:rPr>
          <w:color w:val="231F20"/>
          <w:w w:val="105"/>
        </w:rPr>
        <w:t>as</w:t>
      </w:r>
      <w:r>
        <w:rPr>
          <w:color w:val="231F20"/>
          <w:spacing w:val="-19"/>
          <w:w w:val="105"/>
        </w:rPr>
        <w:t> </w:t>
      </w:r>
      <w:r>
        <w:rPr>
          <w:color w:val="231F20"/>
          <w:w w:val="105"/>
        </w:rPr>
        <w:t>water) and</w:t>
      </w:r>
      <w:r>
        <w:rPr>
          <w:color w:val="231F20"/>
          <w:spacing w:val="17"/>
          <w:w w:val="105"/>
        </w:rPr>
        <w:t> </w:t>
      </w:r>
      <w:r>
        <w:rPr>
          <w:color w:val="231F20"/>
          <w:w w:val="105"/>
        </w:rPr>
        <w:t>is</w:t>
      </w:r>
      <w:r>
        <w:rPr>
          <w:color w:val="231F20"/>
          <w:spacing w:val="18"/>
          <w:w w:val="105"/>
        </w:rPr>
        <w:t> </w:t>
      </w:r>
      <w:r>
        <w:rPr>
          <w:color w:val="231F20"/>
          <w:w w:val="105"/>
        </w:rPr>
        <w:t>not</w:t>
      </w:r>
      <w:r>
        <w:rPr>
          <w:color w:val="231F20"/>
          <w:spacing w:val="18"/>
          <w:w w:val="105"/>
        </w:rPr>
        <w:t> </w:t>
      </w:r>
      <w:r>
        <w:rPr>
          <w:color w:val="231F20"/>
          <w:w w:val="105"/>
        </w:rPr>
        <w:t>reabsorbed</w:t>
      </w:r>
      <w:r>
        <w:rPr>
          <w:color w:val="231F20"/>
          <w:spacing w:val="17"/>
          <w:w w:val="105"/>
        </w:rPr>
        <w:t> </w:t>
      </w:r>
      <w:r>
        <w:rPr>
          <w:color w:val="231F20"/>
          <w:w w:val="105"/>
        </w:rPr>
        <w:t>or</w:t>
      </w:r>
      <w:r>
        <w:rPr>
          <w:color w:val="231F20"/>
          <w:spacing w:val="18"/>
          <w:w w:val="105"/>
        </w:rPr>
        <w:t> </w:t>
      </w:r>
      <w:r>
        <w:rPr>
          <w:color w:val="231F20"/>
          <w:w w:val="105"/>
        </w:rPr>
        <w:t>secreted</w:t>
      </w:r>
      <w:r>
        <w:rPr>
          <w:color w:val="231F20"/>
          <w:spacing w:val="18"/>
          <w:w w:val="105"/>
        </w:rPr>
        <w:t> </w:t>
      </w:r>
      <w:r>
        <w:rPr>
          <w:color w:val="231F20"/>
          <w:w w:val="105"/>
        </w:rPr>
        <w:t>by</w:t>
      </w:r>
      <w:r>
        <w:rPr>
          <w:color w:val="231F20"/>
          <w:spacing w:val="17"/>
          <w:w w:val="105"/>
        </w:rPr>
        <w:t> </w:t>
      </w:r>
      <w:r>
        <w:rPr>
          <w:color w:val="231F20"/>
          <w:w w:val="105"/>
        </w:rPr>
        <w:t>the</w:t>
      </w:r>
      <w:r>
        <w:rPr>
          <w:color w:val="231F20"/>
          <w:spacing w:val="18"/>
          <w:w w:val="105"/>
        </w:rPr>
        <w:t> </w:t>
      </w:r>
      <w:r>
        <w:rPr>
          <w:color w:val="231F20"/>
          <w:w w:val="105"/>
        </w:rPr>
        <w:t>renal</w:t>
      </w:r>
      <w:r>
        <w:rPr>
          <w:color w:val="231F20"/>
          <w:spacing w:val="18"/>
          <w:w w:val="105"/>
        </w:rPr>
        <w:t> </w:t>
      </w:r>
      <w:r>
        <w:rPr>
          <w:color w:val="231F20"/>
          <w:w w:val="105"/>
        </w:rPr>
        <w:t>tubules,</w:t>
      </w:r>
    </w:p>
    <w:p>
      <w:pPr>
        <w:pStyle w:val="BodyText"/>
        <w:spacing w:line="182" w:lineRule="auto" w:before="47"/>
        <w:ind w:left="319" w:right="1078"/>
        <w:jc w:val="both"/>
      </w:pPr>
      <w:r>
        <w:rPr>
          <w:color w:val="231F20"/>
          <w:w w:val="105"/>
        </w:rPr>
        <w:t>then the rate at which that substance is excreted in the urine (U</w:t>
      </w:r>
      <w:r>
        <w:rPr>
          <w:color w:val="231F20"/>
          <w:w w:val="105"/>
          <w:vertAlign w:val="subscript"/>
        </w:rPr>
        <w:t>s</w:t>
      </w:r>
      <w:r>
        <w:rPr>
          <w:color w:val="231F20"/>
          <w:w w:val="105"/>
          <w:vertAlign w:val="baseline"/>
        </w:rPr>
        <w:t> </w:t>
      </w:r>
      <w:r>
        <w:rPr>
          <w:rFonts w:ascii="Arial Unicode MS" w:hAnsi="Arial Unicode MS"/>
          <w:color w:val="231F20"/>
          <w:w w:val="105"/>
          <w:vertAlign w:val="baseline"/>
        </w:rPr>
        <w:t>× </w:t>
      </w:r>
      <w:r>
        <w:rPr>
          <w:color w:val="231F20"/>
          <w:w w:val="105"/>
          <w:vertAlign w:val="baseline"/>
        </w:rPr>
        <w:t>V) is equal to the filtration rate of the sub- stance by the kidneys (GFR </w:t>
      </w:r>
      <w:r>
        <w:rPr>
          <w:rFonts w:ascii="Arial Unicode MS" w:hAnsi="Arial Unicode MS"/>
          <w:color w:val="231F20"/>
          <w:w w:val="105"/>
          <w:vertAlign w:val="baseline"/>
        </w:rPr>
        <w:t>× </w:t>
      </w:r>
      <w:r>
        <w:rPr>
          <w:color w:val="231F20"/>
          <w:w w:val="105"/>
          <w:vertAlign w:val="baseline"/>
        </w:rPr>
        <w:t>P</w:t>
      </w:r>
      <w:r>
        <w:rPr>
          <w:color w:val="231F20"/>
          <w:w w:val="105"/>
          <w:vertAlign w:val="subscript"/>
        </w:rPr>
        <w:t>s</w:t>
      </w:r>
      <w:r>
        <w:rPr>
          <w:color w:val="231F20"/>
          <w:w w:val="105"/>
          <w:vertAlign w:val="baseline"/>
        </w:rPr>
        <w:t>). Thus,</w:t>
      </w:r>
    </w:p>
    <w:p>
      <w:pPr>
        <w:spacing w:before="106"/>
        <w:ind w:left="2001" w:right="0" w:firstLine="0"/>
        <w:jc w:val="left"/>
        <w:rPr>
          <w:rFonts w:ascii="Trebuchet MS" w:hAnsi="Trebuchet MS"/>
          <w:sz w:val="18"/>
        </w:rPr>
      </w:pPr>
      <w:r>
        <w:rPr>
          <w:rFonts w:ascii="Trebuchet MS" w:hAnsi="Trebuchet MS"/>
          <w:w w:val="105"/>
          <w:sz w:val="18"/>
        </w:rPr>
        <w:t>GFR </w:t>
      </w:r>
      <w:r>
        <w:rPr>
          <w:rFonts w:ascii="Symbol" w:hAnsi="Symbol"/>
          <w:w w:val="105"/>
          <w:sz w:val="18"/>
        </w:rPr>
        <w:t></w:t>
      </w:r>
      <w:r>
        <w:rPr>
          <w:w w:val="105"/>
          <w:sz w:val="18"/>
        </w:rPr>
        <w:t> </w:t>
      </w:r>
      <w:r>
        <w:rPr>
          <w:rFonts w:ascii="Trebuchet MS" w:hAnsi="Trebuchet MS"/>
          <w:w w:val="105"/>
          <w:sz w:val="18"/>
        </w:rPr>
        <w:t>P</w:t>
      </w:r>
      <w:r>
        <w:rPr>
          <w:rFonts w:ascii="Trebuchet MS" w:hAnsi="Trebuchet MS"/>
          <w:w w:val="105"/>
          <w:position w:val="-2"/>
          <w:sz w:val="10"/>
        </w:rPr>
        <w:t>s </w:t>
      </w:r>
      <w:r>
        <w:rPr>
          <w:rFonts w:ascii="Symbol" w:hAnsi="Symbol"/>
          <w:w w:val="105"/>
          <w:sz w:val="18"/>
        </w:rPr>
        <w:t></w:t>
      </w:r>
      <w:r>
        <w:rPr>
          <w:w w:val="105"/>
          <w:sz w:val="18"/>
        </w:rPr>
        <w:t> </w:t>
      </w:r>
      <w:r>
        <w:rPr>
          <w:rFonts w:ascii="Trebuchet MS" w:hAnsi="Trebuchet MS"/>
          <w:w w:val="105"/>
          <w:sz w:val="18"/>
        </w:rPr>
        <w:t>U</w:t>
      </w:r>
      <w:r>
        <w:rPr>
          <w:rFonts w:ascii="Trebuchet MS" w:hAnsi="Trebuchet MS"/>
          <w:w w:val="105"/>
          <w:position w:val="-2"/>
          <w:sz w:val="10"/>
        </w:rPr>
        <w:t>s </w:t>
      </w:r>
      <w:r>
        <w:rPr>
          <w:rFonts w:ascii="Symbol" w:hAnsi="Symbol"/>
          <w:w w:val="105"/>
          <w:sz w:val="18"/>
        </w:rPr>
        <w:t></w:t>
      </w:r>
      <w:r>
        <w:rPr>
          <w:w w:val="105"/>
          <w:sz w:val="18"/>
        </w:rPr>
        <w:t> </w:t>
      </w:r>
      <w:r>
        <w:rPr>
          <w:rFonts w:ascii="Trebuchet MS" w:hAnsi="Trebuchet MS"/>
          <w:w w:val="105"/>
          <w:sz w:val="18"/>
        </w:rPr>
        <w:t>V</w:t>
      </w:r>
    </w:p>
    <w:p>
      <w:pPr>
        <w:pStyle w:val="BodyText"/>
        <w:spacing w:line="249" w:lineRule="auto" w:before="112"/>
        <w:ind w:left="319" w:right="1077" w:firstLine="240"/>
        <w:jc w:val="both"/>
      </w:pPr>
      <w:r>
        <w:rPr>
          <w:color w:val="231F20"/>
        </w:rPr>
        <w:t>The GFR, therefore, can be calculated as the clearance of the substance as follows:</w:t>
      </w:r>
    </w:p>
    <w:p>
      <w:pPr>
        <w:spacing w:line="115" w:lineRule="exact" w:before="123"/>
        <w:ind w:left="295" w:right="916" w:firstLine="0"/>
        <w:jc w:val="center"/>
        <w:rPr>
          <w:rFonts w:ascii="Trebuchet MS" w:hAnsi="Trebuchet MS"/>
          <w:sz w:val="18"/>
        </w:rPr>
      </w:pPr>
      <w:r>
        <w:rPr>
          <w:rFonts w:ascii="Trebuchet MS" w:hAnsi="Trebuchet MS"/>
          <w:w w:val="105"/>
          <w:sz w:val="18"/>
          <w:u w:val="single"/>
        </w:rPr>
        <w:t>U</w:t>
      </w:r>
      <w:r>
        <w:rPr>
          <w:rFonts w:ascii="Trebuchet MS" w:hAnsi="Trebuchet MS"/>
          <w:w w:val="105"/>
          <w:position w:val="-2"/>
          <w:sz w:val="10"/>
          <w:u w:val="single"/>
        </w:rPr>
        <w:t>s  </w:t>
      </w:r>
      <w:r>
        <w:rPr>
          <w:rFonts w:ascii="Symbol" w:hAnsi="Symbol"/>
          <w:w w:val="105"/>
          <w:sz w:val="18"/>
          <w:u w:val="single"/>
        </w:rPr>
        <w:t></w:t>
      </w:r>
      <w:r>
        <w:rPr>
          <w:w w:val="105"/>
          <w:sz w:val="18"/>
          <w:u w:val="single"/>
        </w:rPr>
        <w:t> </w:t>
      </w:r>
      <w:r>
        <w:rPr>
          <w:rFonts w:ascii="Trebuchet MS" w:hAnsi="Trebuchet MS"/>
          <w:w w:val="105"/>
          <w:sz w:val="18"/>
          <w:u w:val="single"/>
        </w:rPr>
        <w:t>V</w:t>
      </w:r>
    </w:p>
    <w:p>
      <w:pPr>
        <w:spacing w:after="0" w:line="115" w:lineRule="exact"/>
        <w:jc w:val="center"/>
        <w:rPr>
          <w:rFonts w:ascii="Trebuchet MS" w:hAnsi="Trebuchet MS"/>
          <w:sz w:val="18"/>
        </w:rPr>
        <w:sectPr>
          <w:type w:val="continuous"/>
          <w:pgSz w:w="12240" w:h="15660"/>
          <w:pgMar w:top="0" w:bottom="760" w:left="0" w:right="0"/>
          <w:cols w:num="2" w:equalWidth="0">
            <w:col w:w="6121" w:space="40"/>
            <w:col w:w="6079"/>
          </w:cols>
        </w:sectPr>
      </w:pPr>
    </w:p>
    <w:p>
      <w:pPr>
        <w:pStyle w:val="BodyText"/>
        <w:spacing w:before="4"/>
        <w:ind w:left="1440"/>
      </w:pPr>
      <w:r>
        <w:rPr>
          <w:color w:val="231F20"/>
          <w:w w:val="105"/>
        </w:rPr>
        <w:t>time. Stated mathematically,</w:t>
      </w:r>
    </w:p>
    <w:p>
      <w:pPr>
        <w:pStyle w:val="BodyText"/>
        <w:rPr>
          <w:sz w:val="28"/>
        </w:rPr>
      </w:pPr>
    </w:p>
    <w:p>
      <w:pPr>
        <w:spacing w:before="211"/>
        <w:ind w:left="1440" w:right="0" w:firstLine="0"/>
        <w:jc w:val="left"/>
        <w:rPr>
          <w:rFonts w:ascii="Trebuchet MS" w:hAnsi="Trebuchet MS"/>
          <w:sz w:val="18"/>
        </w:rPr>
      </w:pPr>
      <w:r>
        <w:rPr/>
        <w:pict>
          <v:line style="position:absolute;mso-position-horizontal-relative:page;mso-position-vertical-relative:paragraph;z-index:-273121280" from="232.1875pt,55.599697pt" to="254.1255pt,55.599697pt" stroked="true" strokeweight=".375pt" strokecolor="#000000">
            <v:stroke dashstyle="solid"/>
            <w10:wrap type="none"/>
          </v:line>
        </w:pict>
      </w:r>
      <w:r>
        <w:rPr/>
        <w:pict>
          <v:line style="position:absolute;mso-position-horizontal-relative:page;mso-position-vertical-relative:paragraph;z-index:-273120256" from="239pt,84.873703pt" to="271.406pt,84.873703pt" stroked="true" strokeweight=".375pt" strokecolor="#000000">
            <v:stroke dashstyle="solid"/>
            <w10:wrap type="none"/>
          </v:line>
        </w:pict>
      </w:r>
      <w:bookmarkStart w:name="_bookmark61" w:id="62"/>
      <w:bookmarkEnd w:id="62"/>
      <w:r>
        <w:rPr/>
      </w:r>
      <w:r>
        <w:rPr>
          <w:rFonts w:ascii="Trebuchet MS" w:hAnsi="Trebuchet MS"/>
          <w:b/>
          <w:color w:val="231F20"/>
          <w:w w:val="105"/>
          <w:sz w:val="18"/>
        </w:rPr>
        <w:t>Table 28­4 </w:t>
      </w:r>
      <w:r>
        <w:rPr>
          <w:rFonts w:ascii="Trebuchet MS" w:hAnsi="Trebuchet MS"/>
          <w:color w:val="231F20"/>
          <w:w w:val="105"/>
          <w:sz w:val="18"/>
        </w:rPr>
        <w:t>Use of Clearance to Quantify Kidney Function</w:t>
      </w:r>
    </w:p>
    <w:p>
      <w:pPr>
        <w:tabs>
          <w:tab w:pos="2512" w:val="left" w:leader="none"/>
        </w:tabs>
        <w:spacing w:before="1"/>
        <w:ind w:left="1440" w:right="0" w:firstLine="0"/>
        <w:jc w:val="left"/>
        <w:rPr>
          <w:rFonts w:ascii="Trebuchet MS" w:hAnsi="Trebuchet MS"/>
          <w:sz w:val="10"/>
        </w:rPr>
      </w:pPr>
      <w:r>
        <w:rPr/>
        <w:br w:type="column"/>
      </w:r>
      <w:r>
        <w:rPr>
          <w:rFonts w:ascii="Trebuchet MS" w:hAnsi="Trebuchet MS"/>
          <w:sz w:val="18"/>
        </w:rPr>
        <w:t>GFR</w:t>
      </w:r>
      <w:r>
        <w:rPr>
          <w:rFonts w:ascii="Trebuchet MS" w:hAnsi="Trebuchet MS"/>
          <w:spacing w:val="-5"/>
          <w:sz w:val="18"/>
        </w:rPr>
        <w:t> </w:t>
      </w:r>
      <w:r>
        <w:rPr>
          <w:rFonts w:ascii="Symbol" w:hAnsi="Symbol"/>
          <w:sz w:val="18"/>
        </w:rPr>
        <w:t></w:t>
      </w:r>
      <w:r>
        <w:rPr>
          <w:sz w:val="18"/>
        </w:rPr>
        <w:tab/>
      </w:r>
      <w:r>
        <w:rPr>
          <w:rFonts w:ascii="Symbol" w:hAnsi="Symbol"/>
          <w:sz w:val="18"/>
        </w:rPr>
        <w:t></w:t>
      </w:r>
      <w:r>
        <w:rPr>
          <w:spacing w:val="-1"/>
          <w:sz w:val="18"/>
        </w:rPr>
        <w:t> </w:t>
      </w:r>
      <w:r>
        <w:rPr>
          <w:rFonts w:ascii="Trebuchet MS" w:hAnsi="Trebuchet MS"/>
          <w:sz w:val="18"/>
        </w:rPr>
        <w:t>C</w:t>
      </w:r>
      <w:r>
        <w:rPr>
          <w:rFonts w:ascii="Trebuchet MS" w:hAnsi="Trebuchet MS"/>
          <w:position w:val="-2"/>
          <w:sz w:val="10"/>
        </w:rPr>
        <w:t>s</w:t>
      </w:r>
    </w:p>
    <w:p>
      <w:pPr>
        <w:spacing w:before="22"/>
        <w:ind w:left="0" w:right="1071" w:firstLine="0"/>
        <w:jc w:val="center"/>
        <w:rPr>
          <w:rFonts w:ascii="Trebuchet MS"/>
          <w:sz w:val="10"/>
        </w:rPr>
      </w:pPr>
      <w:r>
        <w:rPr/>
        <w:pict>
          <v:shape style="position:absolute;margin-left:440.941711pt;margin-top:-4.111884pt;width:5.05pt;height:10.45pt;mso-position-horizontal-relative:page;mso-position-vertical-relative:paragraph;z-index:-273114112" type="#_x0000_t202" filled="false" stroked="false">
            <v:textbox inset="0,0,0,0">
              <w:txbxContent>
                <w:p>
                  <w:pPr>
                    <w:spacing w:line="208" w:lineRule="exact" w:before="0"/>
                    <w:ind w:left="0" w:right="0" w:firstLine="0"/>
                    <w:jc w:val="left"/>
                    <w:rPr>
                      <w:rFonts w:ascii="Trebuchet MS"/>
                      <w:sz w:val="18"/>
                    </w:rPr>
                  </w:pPr>
                  <w:r>
                    <w:rPr>
                      <w:rFonts w:ascii="Trebuchet MS"/>
                      <w:w w:val="99"/>
                      <w:sz w:val="18"/>
                    </w:rPr>
                    <w:t>P</w:t>
                  </w:r>
                </w:p>
              </w:txbxContent>
            </v:textbox>
            <w10:wrap type="none"/>
          </v:shape>
        </w:pict>
      </w:r>
      <w:r>
        <w:rPr>
          <w:rFonts w:ascii="Trebuchet MS"/>
          <w:w w:val="103"/>
          <w:sz w:val="10"/>
        </w:rPr>
        <w:t>s</w:t>
      </w:r>
    </w:p>
    <w:p>
      <w:pPr>
        <w:spacing w:after="0"/>
        <w:jc w:val="center"/>
        <w:rPr>
          <w:rFonts w:ascii="Trebuchet MS"/>
          <w:sz w:val="10"/>
        </w:rPr>
        <w:sectPr>
          <w:type w:val="continuous"/>
          <w:pgSz w:w="12240" w:h="15660"/>
          <w:pgMar w:top="0" w:bottom="760" w:left="0" w:right="0"/>
          <w:cols w:num="2" w:equalWidth="0">
            <w:col w:w="6412" w:space="270"/>
            <w:col w:w="5558"/>
          </w:cols>
        </w:sectPr>
      </w:pPr>
    </w:p>
    <w:p>
      <w:pPr>
        <w:pStyle w:val="BodyText"/>
        <w:spacing w:before="4"/>
        <w:rPr>
          <w:rFonts w:ascii="Trebuchet MS"/>
          <w:sz w:val="10"/>
        </w:rPr>
      </w:pPr>
      <w:r>
        <w:rPr/>
        <w:pict>
          <v:group style="position:absolute;margin-left:0pt;margin-top:0pt;width:612pt;height:180pt;mso-position-horizontal-relative:page;mso-position-vertical-relative:page;z-index:-27312332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v:shape style="position:absolute;left:1440;top:1827;width:4680;height:560" type="#_x0000_t202" filled="true" fillcolor="#e8dac8" stroked="false">
              <v:textbox inset="0,0,0,0">
                <w:txbxContent>
                  <w:p>
                    <w:pPr>
                      <w:spacing w:line="225" w:lineRule="auto" w:before="46"/>
                      <w:ind w:left="60" w:right="927" w:firstLine="0"/>
                      <w:jc w:val="left"/>
                      <w:rPr>
                        <w:rFonts w:ascii="Trebuchet MS"/>
                        <w:b/>
                        <w:sz w:val="22"/>
                      </w:rPr>
                    </w:pPr>
                    <w:r>
                      <w:rPr>
                        <w:rFonts w:ascii="Trebuchet MS"/>
                        <w:b/>
                        <w:color w:val="231F20"/>
                        <w:w w:val="110"/>
                        <w:sz w:val="22"/>
                      </w:rPr>
                      <w:t>USE OF CLEARANCE METHODS TO QUANTIFY KIDNEY FUNCTION</w:t>
                    </w:r>
                  </w:p>
                </w:txbxContent>
              </v:textbox>
              <v:fill type="solid"/>
              <w10:wrap type="none"/>
            </v:shape>
            <w10:wrap type="none"/>
          </v:group>
        </w:pict>
      </w:r>
      <w:r>
        <w:rPr/>
        <w:pict>
          <v:line style="position:absolute;mso-position-horizontal-relative:page;mso-position-vertical-relative:page;z-index:-273119232" from="265pt,546.410034pt" to="294pt,546.410034pt" stroked="true" strokeweight=".375pt" strokecolor="#000000">
            <v:stroke dashstyle="solid"/>
            <w10:wrap type="none"/>
          </v:line>
        </w:pict>
      </w:r>
      <w:r>
        <w:rPr/>
        <w:pict>
          <v:line style="position:absolute;mso-position-horizontal-relative:page;mso-position-vertical-relative:page;z-index:-273118208" from="261.75pt,575.593018pt" to="320.625pt,575.593018pt" stroked="true" strokeweight=".375pt" strokecolor="#000000">
            <v:stroke dashstyle="solid"/>
            <w10:wrap type="none"/>
          </v:line>
        </w:pict>
      </w:r>
      <w:r>
        <w:rPr/>
        <w:pict>
          <v:line style="position:absolute;mso-position-horizontal-relative:page;mso-position-vertical-relative:page;z-index:-273117184" from="237.25pt,599.874207pt" to="273.5pt,599.874207pt" stroked="true" strokeweight=".375pt" strokecolor="#000000">
            <v:stroke dashstyle="solid"/>
            <w10:wrap type="none"/>
          </v:line>
        </w:pict>
      </w: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6"/>
        <w:gridCol w:w="4325"/>
        <w:gridCol w:w="2889"/>
      </w:tblGrid>
      <w:tr>
        <w:trPr>
          <w:trHeight w:val="264" w:hRule="atLeast"/>
        </w:trPr>
        <w:tc>
          <w:tcPr>
            <w:tcW w:w="2506" w:type="dxa"/>
            <w:shd w:val="clear" w:color="auto" w:fill="D1DDF1"/>
          </w:tcPr>
          <w:p>
            <w:pPr>
              <w:pStyle w:val="TableParagraph"/>
              <w:spacing w:before="34"/>
              <w:ind w:left="120"/>
              <w:rPr>
                <w:b/>
                <w:sz w:val="16"/>
              </w:rPr>
            </w:pPr>
            <w:r>
              <w:rPr>
                <w:b/>
                <w:color w:val="231F20"/>
                <w:sz w:val="16"/>
              </w:rPr>
              <w:t>Term</w:t>
            </w:r>
          </w:p>
        </w:tc>
        <w:tc>
          <w:tcPr>
            <w:tcW w:w="4325" w:type="dxa"/>
            <w:shd w:val="clear" w:color="auto" w:fill="D1DDF1"/>
          </w:tcPr>
          <w:p>
            <w:pPr>
              <w:pStyle w:val="TableParagraph"/>
              <w:spacing w:before="34"/>
              <w:ind w:left="333"/>
              <w:rPr>
                <w:b/>
                <w:sz w:val="16"/>
              </w:rPr>
            </w:pPr>
            <w:r>
              <w:rPr>
                <w:b/>
                <w:color w:val="231F20"/>
                <w:sz w:val="16"/>
              </w:rPr>
              <w:t>Equation</w:t>
            </w:r>
          </w:p>
        </w:tc>
        <w:tc>
          <w:tcPr>
            <w:tcW w:w="2889" w:type="dxa"/>
            <w:shd w:val="clear" w:color="auto" w:fill="D1DDF1"/>
          </w:tcPr>
          <w:p>
            <w:pPr>
              <w:pStyle w:val="TableParagraph"/>
              <w:spacing w:before="34"/>
              <w:ind w:left="358"/>
              <w:rPr>
                <w:b/>
                <w:sz w:val="16"/>
              </w:rPr>
            </w:pPr>
            <w:r>
              <w:rPr>
                <w:b/>
                <w:color w:val="231F20"/>
                <w:sz w:val="16"/>
              </w:rPr>
              <w:t>Units</w:t>
            </w:r>
          </w:p>
        </w:tc>
      </w:tr>
      <w:tr>
        <w:trPr>
          <w:trHeight w:val="570" w:hRule="atLeast"/>
        </w:trPr>
        <w:tc>
          <w:tcPr>
            <w:tcW w:w="2506" w:type="dxa"/>
            <w:tcBorders>
              <w:bottom w:val="single" w:sz="4" w:space="0" w:color="FFFFFF"/>
            </w:tcBorders>
            <w:shd w:val="clear" w:color="auto" w:fill="E6ECF7"/>
          </w:tcPr>
          <w:p>
            <w:pPr>
              <w:pStyle w:val="TableParagraph"/>
              <w:spacing w:before="24"/>
              <w:ind w:left="120"/>
              <w:rPr>
                <w:sz w:val="16"/>
              </w:rPr>
            </w:pPr>
            <w:r>
              <w:rPr>
                <w:color w:val="231F20"/>
                <w:sz w:val="16"/>
              </w:rPr>
              <w:t>Clearance rate</w:t>
            </w:r>
          </w:p>
        </w:tc>
        <w:tc>
          <w:tcPr>
            <w:tcW w:w="4325" w:type="dxa"/>
            <w:tcBorders>
              <w:bottom w:val="single" w:sz="4" w:space="0" w:color="FFFFFF"/>
            </w:tcBorders>
            <w:shd w:val="clear" w:color="auto" w:fill="E6ECF7"/>
          </w:tcPr>
          <w:p>
            <w:pPr>
              <w:pStyle w:val="TableParagraph"/>
              <w:spacing w:line="158" w:lineRule="auto" w:before="107"/>
              <w:ind w:left="366"/>
              <w:rPr>
                <w:rFonts w:ascii="Arial Black" w:hAnsi="Arial Black"/>
                <w:sz w:val="16"/>
              </w:rPr>
            </w:pPr>
            <w:r>
              <w:rPr>
                <w:w w:val="105"/>
                <w:position w:val="-9"/>
                <w:sz w:val="16"/>
              </w:rPr>
              <w:t>C </w:t>
            </w:r>
            <w:r>
              <w:rPr>
                <w:rFonts w:ascii="Symbol" w:hAnsi="Symbol"/>
                <w:w w:val="105"/>
                <w:position w:val="-9"/>
                <w:sz w:val="16"/>
              </w:rPr>
              <w:t></w:t>
            </w:r>
            <w:r>
              <w:rPr>
                <w:rFonts w:ascii="Times New Roman" w:hAnsi="Times New Roman"/>
                <w:w w:val="105"/>
                <w:position w:val="-9"/>
                <w:sz w:val="16"/>
              </w:rPr>
              <w:t> </w:t>
            </w:r>
            <w:r>
              <w:rPr>
                <w:spacing w:val="-3"/>
                <w:w w:val="105"/>
                <w:sz w:val="16"/>
              </w:rPr>
              <w:t>U</w:t>
            </w:r>
            <w:r>
              <w:rPr>
                <w:spacing w:val="-3"/>
                <w:w w:val="105"/>
                <w:position w:val="-2"/>
                <w:sz w:val="9"/>
              </w:rPr>
              <w:t>s </w:t>
            </w:r>
            <w:r>
              <w:rPr>
                <w:rFonts w:ascii="Symbol" w:hAnsi="Symbol"/>
                <w:w w:val="105"/>
                <w:sz w:val="16"/>
              </w:rPr>
              <w:t></w:t>
            </w:r>
            <w:r>
              <w:rPr>
                <w:rFonts w:ascii="Times New Roman" w:hAnsi="Times New Roman"/>
                <w:w w:val="105"/>
                <w:sz w:val="16"/>
              </w:rPr>
              <w:t> </w:t>
            </w:r>
            <w:r>
              <w:rPr>
                <w:spacing w:val="-81"/>
                <w:w w:val="105"/>
                <w:sz w:val="16"/>
              </w:rPr>
              <w:t>V</w:t>
            </w:r>
            <w:r>
              <w:rPr>
                <w:rFonts w:ascii="Arial Black" w:hAnsi="Arial Black"/>
                <w:w w:val="99"/>
                <w:position w:val="5"/>
                <w:sz w:val="16"/>
              </w:rPr>
              <w:t> </w:t>
            </w:r>
          </w:p>
          <w:p>
            <w:pPr>
              <w:pStyle w:val="TableParagraph"/>
              <w:tabs>
                <w:tab w:pos="847" w:val="left" w:leader="none"/>
              </w:tabs>
              <w:spacing w:line="62" w:lineRule="auto" w:before="0"/>
              <w:ind w:left="468"/>
              <w:rPr>
                <w:sz w:val="16"/>
              </w:rPr>
            </w:pPr>
            <w:r>
              <w:rPr>
                <w:sz w:val="9"/>
              </w:rPr>
              <w:t>s</w:t>
              <w:tab/>
            </w:r>
            <w:r>
              <w:rPr>
                <w:position w:val="-8"/>
                <w:sz w:val="16"/>
              </w:rPr>
              <w:t>P</w:t>
            </w:r>
          </w:p>
          <w:p>
            <w:pPr>
              <w:pStyle w:val="TableParagraph"/>
              <w:spacing w:before="4"/>
              <w:ind w:left="922"/>
              <w:rPr>
                <w:sz w:val="9"/>
              </w:rPr>
            </w:pPr>
            <w:r>
              <w:rPr>
                <w:w w:val="102"/>
                <w:sz w:val="9"/>
              </w:rPr>
              <w:t>s</w:t>
            </w:r>
          </w:p>
        </w:tc>
        <w:tc>
          <w:tcPr>
            <w:tcW w:w="2889" w:type="dxa"/>
            <w:tcBorders>
              <w:bottom w:val="single" w:sz="4" w:space="0" w:color="FFFFFF"/>
            </w:tcBorders>
            <w:shd w:val="clear" w:color="auto" w:fill="E6ECF7"/>
          </w:tcPr>
          <w:p>
            <w:pPr>
              <w:pStyle w:val="TableParagraph"/>
              <w:spacing w:before="24"/>
              <w:ind w:left="358"/>
              <w:rPr>
                <w:sz w:val="16"/>
              </w:rPr>
            </w:pPr>
            <w:r>
              <w:rPr>
                <w:color w:val="231F20"/>
                <w:sz w:val="16"/>
              </w:rPr>
              <w:t>ml/min</w:t>
            </w:r>
          </w:p>
        </w:tc>
      </w:tr>
      <w:tr>
        <w:trPr>
          <w:trHeight w:val="575"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Glomerular filtration rate</w:t>
            </w:r>
          </w:p>
        </w:tc>
        <w:tc>
          <w:tcPr>
            <w:tcW w:w="4325" w:type="dxa"/>
            <w:tcBorders>
              <w:top w:val="single" w:sz="4" w:space="0" w:color="FFFFFF"/>
              <w:bottom w:val="single" w:sz="4" w:space="0" w:color="FFFFFF"/>
            </w:tcBorders>
            <w:shd w:val="clear" w:color="auto" w:fill="E6ECF7"/>
          </w:tcPr>
          <w:p>
            <w:pPr>
              <w:pStyle w:val="TableParagraph"/>
              <w:spacing w:line="163" w:lineRule="auto" w:before="114"/>
              <w:ind w:left="366"/>
              <w:rPr>
                <w:rFonts w:ascii="Arial Black" w:hAnsi="Arial Black"/>
                <w:sz w:val="16"/>
              </w:rPr>
            </w:pPr>
            <w:r>
              <w:rPr>
                <w:w w:val="105"/>
                <w:position w:val="-7"/>
                <w:sz w:val="16"/>
              </w:rPr>
              <w:t>GFR </w:t>
            </w:r>
            <w:r>
              <w:rPr>
                <w:rFonts w:ascii="Symbol" w:hAnsi="Symbol"/>
                <w:w w:val="105"/>
                <w:position w:val="-7"/>
                <w:sz w:val="16"/>
              </w:rPr>
              <w:t></w:t>
            </w:r>
            <w:r>
              <w:rPr>
                <w:rFonts w:ascii="Times New Roman" w:hAnsi="Times New Roman"/>
                <w:w w:val="105"/>
                <w:position w:val="-7"/>
                <w:sz w:val="16"/>
              </w:rPr>
              <w:t> </w:t>
            </w:r>
            <w:r>
              <w:rPr>
                <w:w w:val="105"/>
                <w:position w:val="3"/>
                <w:sz w:val="16"/>
              </w:rPr>
              <w:t>U</w:t>
            </w:r>
            <w:r>
              <w:rPr>
                <w:w w:val="105"/>
                <w:sz w:val="9"/>
              </w:rPr>
              <w:t>inulin </w:t>
            </w:r>
            <w:r>
              <w:rPr>
                <w:rFonts w:ascii="Symbol" w:hAnsi="Symbol"/>
                <w:w w:val="105"/>
                <w:position w:val="3"/>
                <w:sz w:val="16"/>
              </w:rPr>
              <w:t></w:t>
            </w:r>
            <w:r>
              <w:rPr>
                <w:rFonts w:ascii="Times New Roman" w:hAnsi="Times New Roman"/>
                <w:w w:val="105"/>
                <w:position w:val="3"/>
                <w:sz w:val="16"/>
              </w:rPr>
              <w:t> </w:t>
            </w:r>
            <w:r>
              <w:rPr>
                <w:spacing w:val="-81"/>
                <w:w w:val="105"/>
                <w:position w:val="3"/>
                <w:sz w:val="16"/>
              </w:rPr>
              <w:t>V</w:t>
            </w:r>
            <w:r>
              <w:rPr>
                <w:rFonts w:ascii="Arial Black" w:hAnsi="Arial Black"/>
                <w:w w:val="99"/>
                <w:position w:val="7"/>
                <w:sz w:val="16"/>
              </w:rPr>
              <w:t> </w:t>
            </w:r>
          </w:p>
          <w:p>
            <w:pPr>
              <w:pStyle w:val="TableParagraph"/>
              <w:spacing w:line="163" w:lineRule="exact" w:before="0"/>
              <w:ind w:left="983"/>
              <w:rPr>
                <w:sz w:val="9"/>
              </w:rPr>
            </w:pPr>
            <w:r>
              <w:rPr>
                <w:w w:val="110"/>
                <w:position w:val="3"/>
                <w:sz w:val="16"/>
              </w:rPr>
              <w:t>P</w:t>
            </w:r>
            <w:r>
              <w:rPr>
                <w:w w:val="110"/>
                <w:sz w:val="9"/>
              </w:rPr>
              <w:t>inulin</w:t>
            </w:r>
          </w:p>
        </w:tc>
        <w:tc>
          <w:tcPr>
            <w:tcW w:w="2889"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r>
      <w:tr>
        <w:trPr>
          <w:trHeight w:val="563"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Clearance ratio</w:t>
            </w:r>
          </w:p>
        </w:tc>
        <w:tc>
          <w:tcPr>
            <w:tcW w:w="4325" w:type="dxa"/>
            <w:tcBorders>
              <w:top w:val="single" w:sz="4" w:space="0" w:color="FFFFFF"/>
              <w:bottom w:val="single" w:sz="4" w:space="0" w:color="FFFFFF"/>
            </w:tcBorders>
            <w:shd w:val="clear" w:color="auto" w:fill="E6ECF7"/>
          </w:tcPr>
          <w:p>
            <w:pPr>
              <w:pStyle w:val="TableParagraph"/>
              <w:spacing w:line="252" w:lineRule="exact" w:before="84"/>
              <w:ind w:left="366"/>
              <w:rPr>
                <w:sz w:val="9"/>
              </w:rPr>
            </w:pPr>
            <w:r>
              <w:rPr>
                <w:sz w:val="16"/>
              </w:rPr>
              <w:t>Clearance ratio </w:t>
            </w:r>
            <w:r>
              <w:rPr>
                <w:rFonts w:ascii="Symbol" w:hAnsi="Symbol"/>
                <w:sz w:val="16"/>
              </w:rPr>
              <w:t></w:t>
            </w:r>
            <w:r>
              <w:rPr>
                <w:rFonts w:ascii="Times New Roman" w:hAnsi="Times New Roman"/>
                <w:position w:val="10"/>
                <w:sz w:val="16"/>
                <w:u w:val="single"/>
              </w:rPr>
              <w:t> </w:t>
            </w:r>
            <w:r>
              <w:rPr>
                <w:position w:val="10"/>
                <w:sz w:val="16"/>
                <w:u w:val="single"/>
              </w:rPr>
              <w:t>C</w:t>
            </w:r>
            <w:r>
              <w:rPr>
                <w:position w:val="7"/>
                <w:sz w:val="9"/>
                <w:u w:val="single"/>
              </w:rPr>
              <w:t>s </w:t>
            </w:r>
          </w:p>
          <w:p>
            <w:pPr>
              <w:pStyle w:val="TableParagraph"/>
              <w:spacing w:line="166" w:lineRule="exact" w:before="0"/>
              <w:ind w:left="1552" w:right="2200"/>
              <w:jc w:val="center"/>
              <w:rPr>
                <w:sz w:val="9"/>
              </w:rPr>
            </w:pPr>
            <w:r>
              <w:rPr>
                <w:w w:val="110"/>
                <w:position w:val="3"/>
                <w:sz w:val="16"/>
              </w:rPr>
              <w:t>C</w:t>
            </w:r>
            <w:r>
              <w:rPr>
                <w:w w:val="110"/>
                <w:sz w:val="9"/>
              </w:rPr>
              <w:t>inulin</w:t>
            </w:r>
          </w:p>
        </w:tc>
        <w:tc>
          <w:tcPr>
            <w:tcW w:w="2889" w:type="dxa"/>
            <w:tcBorders>
              <w:top w:val="single" w:sz="4" w:space="0" w:color="FFFFFF"/>
              <w:bottom w:val="single" w:sz="4" w:space="0" w:color="FFFFFF"/>
            </w:tcBorders>
            <w:shd w:val="clear" w:color="auto" w:fill="E6ECF7"/>
          </w:tcPr>
          <w:p>
            <w:pPr>
              <w:pStyle w:val="TableParagraph"/>
              <w:ind w:left="358"/>
              <w:rPr>
                <w:sz w:val="16"/>
              </w:rPr>
            </w:pPr>
            <w:r>
              <w:rPr>
                <w:color w:val="231F20"/>
                <w:w w:val="110"/>
                <w:sz w:val="16"/>
              </w:rPr>
              <w:t>None</w:t>
            </w:r>
          </w:p>
        </w:tc>
      </w:tr>
      <w:tr>
        <w:trPr>
          <w:trHeight w:val="568"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Effective renal plasma flow</w:t>
            </w:r>
          </w:p>
        </w:tc>
        <w:tc>
          <w:tcPr>
            <w:tcW w:w="4325" w:type="dxa"/>
            <w:tcBorders>
              <w:top w:val="single" w:sz="4" w:space="0" w:color="FFFFFF"/>
              <w:bottom w:val="single" w:sz="4" w:space="0" w:color="FFFFFF"/>
            </w:tcBorders>
            <w:shd w:val="clear" w:color="auto" w:fill="E6ECF7"/>
          </w:tcPr>
          <w:p>
            <w:pPr>
              <w:pStyle w:val="TableParagraph"/>
              <w:tabs>
                <w:tab w:pos="1220" w:val="left" w:leader="none"/>
              </w:tabs>
              <w:spacing w:line="250" w:lineRule="exact" w:before="94"/>
              <w:ind w:left="358"/>
              <w:rPr>
                <w:rFonts w:ascii="Arial Black" w:hAnsi="Arial Black"/>
                <w:sz w:val="16"/>
              </w:rPr>
            </w:pPr>
            <w:r>
              <w:rPr>
                <w:w w:val="105"/>
                <w:sz w:val="16"/>
              </w:rPr>
              <w:t>ERPF</w:t>
            </w:r>
            <w:r>
              <w:rPr>
                <w:spacing w:val="-16"/>
                <w:w w:val="105"/>
                <w:sz w:val="16"/>
              </w:rPr>
              <w:t> </w:t>
            </w:r>
            <w:r>
              <w:rPr>
                <w:rFonts w:ascii="Symbol" w:hAnsi="Symbol"/>
                <w:w w:val="105"/>
                <w:sz w:val="16"/>
              </w:rPr>
              <w:t></w:t>
            </w:r>
            <w:r>
              <w:rPr>
                <w:rFonts w:ascii="Times New Roman" w:hAnsi="Times New Roman"/>
                <w:spacing w:val="-7"/>
                <w:w w:val="105"/>
                <w:sz w:val="16"/>
              </w:rPr>
              <w:t> </w:t>
            </w:r>
            <w:r>
              <w:rPr>
                <w:w w:val="105"/>
                <w:sz w:val="16"/>
              </w:rPr>
              <w:t>C</w:t>
              <w:tab/>
            </w:r>
            <w:r>
              <w:rPr>
                <w:rFonts w:ascii="Symbol" w:hAnsi="Symbol"/>
                <w:w w:val="105"/>
                <w:sz w:val="16"/>
              </w:rPr>
              <w:t></w:t>
            </w:r>
            <w:r>
              <w:rPr>
                <w:rFonts w:ascii="Times New Roman" w:hAnsi="Times New Roman"/>
                <w:w w:val="105"/>
                <w:sz w:val="16"/>
              </w:rPr>
              <w:t> </w:t>
            </w:r>
            <w:r>
              <w:rPr>
                <w:spacing w:val="-4"/>
                <w:w w:val="105"/>
                <w:position w:val="10"/>
                <w:sz w:val="16"/>
              </w:rPr>
              <w:t>U</w:t>
            </w:r>
            <w:r>
              <w:rPr>
                <w:spacing w:val="-4"/>
                <w:w w:val="105"/>
                <w:position w:val="7"/>
                <w:sz w:val="9"/>
              </w:rPr>
              <w:t>PAH </w:t>
            </w:r>
            <w:r>
              <w:rPr>
                <w:rFonts w:ascii="Symbol" w:hAnsi="Symbol"/>
                <w:w w:val="105"/>
                <w:position w:val="10"/>
                <w:sz w:val="16"/>
              </w:rPr>
              <w:t></w:t>
            </w:r>
            <w:r>
              <w:rPr>
                <w:rFonts w:ascii="Times New Roman" w:hAnsi="Times New Roman"/>
                <w:spacing w:val="-7"/>
                <w:w w:val="105"/>
                <w:position w:val="10"/>
                <w:sz w:val="16"/>
              </w:rPr>
              <w:t> </w:t>
            </w:r>
            <w:r>
              <w:rPr>
                <w:spacing w:val="-81"/>
                <w:w w:val="105"/>
                <w:position w:val="10"/>
                <w:sz w:val="16"/>
              </w:rPr>
              <w:t>V</w:t>
            </w:r>
            <w:r>
              <w:rPr>
                <w:rFonts w:ascii="Arial Black" w:hAnsi="Arial Black"/>
                <w:w w:val="99"/>
                <w:position w:val="15"/>
                <w:sz w:val="16"/>
              </w:rPr>
              <w:t> </w:t>
            </w:r>
          </w:p>
          <w:p>
            <w:pPr>
              <w:pStyle w:val="TableParagraph"/>
              <w:tabs>
                <w:tab w:pos="1503" w:val="left" w:leader="none"/>
              </w:tabs>
              <w:spacing w:line="60" w:lineRule="auto" w:before="0"/>
              <w:ind w:left="977"/>
              <w:rPr>
                <w:sz w:val="16"/>
              </w:rPr>
            </w:pPr>
            <w:r>
              <w:rPr>
                <w:w w:val="110"/>
                <w:sz w:val="9"/>
              </w:rPr>
              <w:t>PAH</w:t>
              <w:tab/>
            </w:r>
            <w:r>
              <w:rPr>
                <w:spacing w:val="-21"/>
                <w:w w:val="110"/>
                <w:position w:val="-8"/>
                <w:sz w:val="16"/>
              </w:rPr>
              <w:t>P</w:t>
            </w:r>
          </w:p>
          <w:p>
            <w:pPr>
              <w:pStyle w:val="TableParagraph"/>
              <w:spacing w:before="4"/>
              <w:ind w:left="1303" w:right="2289"/>
              <w:jc w:val="center"/>
              <w:rPr>
                <w:sz w:val="9"/>
              </w:rPr>
            </w:pPr>
            <w:r>
              <w:rPr>
                <w:w w:val="120"/>
                <w:sz w:val="9"/>
              </w:rPr>
              <w:t>PAH</w:t>
            </w:r>
          </w:p>
        </w:tc>
        <w:tc>
          <w:tcPr>
            <w:tcW w:w="2889" w:type="dxa"/>
            <w:tcBorders>
              <w:top w:val="single" w:sz="4" w:space="0" w:color="FFFFFF"/>
              <w:bottom w:val="single" w:sz="4" w:space="0" w:color="FFFFFF"/>
            </w:tcBorders>
            <w:shd w:val="clear" w:color="auto" w:fill="E6ECF7"/>
          </w:tcPr>
          <w:p>
            <w:pPr>
              <w:pStyle w:val="TableParagraph"/>
              <w:ind w:left="358"/>
              <w:rPr>
                <w:sz w:val="16"/>
              </w:rPr>
            </w:pPr>
            <w:r>
              <w:rPr>
                <w:color w:val="231F20"/>
                <w:sz w:val="16"/>
              </w:rPr>
              <w:t>ml/min</w:t>
            </w:r>
          </w:p>
        </w:tc>
      </w:tr>
      <w:tr>
        <w:trPr>
          <w:trHeight w:val="1077"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Renal plasma flow</w:t>
            </w:r>
          </w:p>
        </w:tc>
        <w:tc>
          <w:tcPr>
            <w:tcW w:w="4325" w:type="dxa"/>
            <w:tcBorders>
              <w:top w:val="single" w:sz="4" w:space="0" w:color="FFFFFF"/>
              <w:bottom w:val="single" w:sz="4" w:space="0" w:color="FFFFFF"/>
            </w:tcBorders>
            <w:shd w:val="clear" w:color="auto" w:fill="E6ECF7"/>
          </w:tcPr>
          <w:p>
            <w:pPr>
              <w:pStyle w:val="TableParagraph"/>
              <w:tabs>
                <w:tab w:pos="1291" w:val="left" w:leader="none"/>
              </w:tabs>
              <w:spacing w:line="175" w:lineRule="auto" w:before="116"/>
              <w:ind w:left="807" w:right="1874" w:hanging="449"/>
              <w:rPr>
                <w:sz w:val="9"/>
              </w:rPr>
            </w:pPr>
            <w:r>
              <w:rPr>
                <w:spacing w:val="-1"/>
                <w:w w:val="104"/>
                <w:position w:val="-7"/>
                <w:sz w:val="16"/>
              </w:rPr>
              <w:t>R</w:t>
            </w:r>
            <w:r>
              <w:rPr>
                <w:spacing w:val="1"/>
                <w:w w:val="99"/>
                <w:position w:val="-7"/>
                <w:sz w:val="16"/>
              </w:rPr>
              <w:t>P</w:t>
            </w:r>
            <w:r>
              <w:rPr>
                <w:w w:val="95"/>
                <w:position w:val="-7"/>
                <w:sz w:val="16"/>
              </w:rPr>
              <w:t>F</w:t>
            </w:r>
            <w:r>
              <w:rPr>
                <w:spacing w:val="-10"/>
                <w:position w:val="-7"/>
                <w:sz w:val="16"/>
              </w:rPr>
              <w:t> </w:t>
            </w:r>
            <w:r>
              <w:rPr>
                <w:rFonts w:ascii="Symbol" w:hAnsi="Symbol"/>
                <w:w w:val="100"/>
                <w:position w:val="-7"/>
                <w:sz w:val="16"/>
              </w:rPr>
              <w:t></w:t>
            </w:r>
            <w:r>
              <w:rPr>
                <w:rFonts w:ascii="Times New Roman" w:hAnsi="Times New Roman"/>
                <w:spacing w:val="10"/>
                <w:position w:val="-7"/>
                <w:sz w:val="16"/>
              </w:rPr>
              <w:t> </w:t>
            </w:r>
            <w:r>
              <w:rPr>
                <w:spacing w:val="-2"/>
                <w:w w:val="102"/>
                <w:position w:val="3"/>
                <w:sz w:val="16"/>
                <w:u w:val="single"/>
              </w:rPr>
              <w:t>C</w:t>
            </w:r>
            <w:r>
              <w:rPr>
                <w:w w:val="105"/>
                <w:sz w:val="9"/>
                <w:u w:val="single"/>
              </w:rPr>
              <w:t>P</w:t>
            </w:r>
            <w:r>
              <w:rPr>
                <w:spacing w:val="-1"/>
                <w:w w:val="130"/>
                <w:sz w:val="9"/>
                <w:u w:val="single"/>
              </w:rPr>
              <w:t>A</w:t>
            </w:r>
            <w:r>
              <w:rPr>
                <w:w w:val="117"/>
                <w:sz w:val="9"/>
                <w:u w:val="single"/>
              </w:rPr>
              <w:t>H</w:t>
            </w:r>
            <w:r>
              <w:rPr>
                <w:sz w:val="9"/>
              </w:rPr>
              <w:t> </w:t>
            </w:r>
            <w:r>
              <w:rPr>
                <w:spacing w:val="9"/>
                <w:sz w:val="9"/>
              </w:rPr>
              <w:t> </w:t>
            </w:r>
            <w:r>
              <w:rPr>
                <w:rFonts w:ascii="Symbol" w:hAnsi="Symbol"/>
                <w:w w:val="100"/>
                <w:position w:val="-7"/>
                <w:sz w:val="16"/>
              </w:rPr>
              <w:t></w:t>
            </w:r>
            <w:r>
              <w:rPr>
                <w:rFonts w:ascii="Times New Roman" w:hAnsi="Times New Roman"/>
                <w:position w:val="-7"/>
                <w:sz w:val="16"/>
              </w:rPr>
              <w:t>  </w:t>
            </w:r>
            <w:r>
              <w:rPr>
                <w:rFonts w:ascii="Times New Roman" w:hAnsi="Times New Roman"/>
                <w:spacing w:val="3"/>
                <w:position w:val="-7"/>
                <w:sz w:val="16"/>
              </w:rPr>
              <w:t> </w:t>
            </w:r>
            <w:r>
              <w:rPr>
                <w:spacing w:val="-6"/>
                <w:w w:val="90"/>
                <w:position w:val="3"/>
                <w:sz w:val="16"/>
              </w:rPr>
              <w:t>(</w:t>
            </w:r>
            <w:r>
              <w:rPr>
                <w:spacing w:val="-12"/>
                <w:w w:val="111"/>
                <w:position w:val="3"/>
                <w:sz w:val="16"/>
              </w:rPr>
              <w:t>U</w:t>
            </w:r>
            <w:r>
              <w:rPr>
                <w:w w:val="105"/>
                <w:sz w:val="9"/>
              </w:rPr>
              <w:t>P</w:t>
            </w:r>
            <w:r>
              <w:rPr>
                <w:spacing w:val="-1"/>
                <w:w w:val="130"/>
                <w:sz w:val="9"/>
              </w:rPr>
              <w:t>A</w:t>
            </w:r>
            <w:r>
              <w:rPr>
                <w:w w:val="117"/>
                <w:sz w:val="9"/>
              </w:rPr>
              <w:t>H</w:t>
            </w:r>
            <w:r>
              <w:rPr>
                <w:sz w:val="9"/>
              </w:rPr>
              <w:t> </w:t>
            </w:r>
            <w:r>
              <w:rPr>
                <w:spacing w:val="-11"/>
                <w:sz w:val="9"/>
              </w:rPr>
              <w:t> </w:t>
            </w:r>
            <w:r>
              <w:rPr>
                <w:rFonts w:ascii="Symbol" w:hAnsi="Symbol"/>
                <w:w w:val="100"/>
                <w:position w:val="3"/>
                <w:sz w:val="16"/>
              </w:rPr>
              <w:t></w:t>
            </w:r>
            <w:r>
              <w:rPr>
                <w:rFonts w:ascii="Times New Roman" w:hAnsi="Times New Roman"/>
                <w:spacing w:val="-2"/>
                <w:position w:val="3"/>
                <w:sz w:val="16"/>
              </w:rPr>
              <w:t> </w:t>
            </w:r>
            <w:r>
              <w:rPr>
                <w:spacing w:val="-81"/>
                <w:w w:val="113"/>
                <w:position w:val="3"/>
                <w:sz w:val="16"/>
              </w:rPr>
              <w:t>V</w:t>
            </w:r>
            <w:r>
              <w:rPr>
                <w:rFonts w:ascii="Arial Black" w:hAnsi="Arial Black"/>
                <w:w w:val="99"/>
                <w:position w:val="7"/>
                <w:sz w:val="16"/>
              </w:rPr>
              <w:t> </w:t>
            </w:r>
            <w:r>
              <w:rPr>
                <w:rFonts w:ascii="Arial Black" w:hAnsi="Arial Black"/>
                <w:spacing w:val="-3"/>
                <w:position w:val="7"/>
                <w:sz w:val="16"/>
              </w:rPr>
              <w:t> </w:t>
            </w:r>
            <w:r>
              <w:rPr>
                <w:spacing w:val="7"/>
                <w:w w:val="53"/>
                <w:position w:val="3"/>
                <w:sz w:val="16"/>
              </w:rPr>
              <w:t>/</w:t>
            </w:r>
            <w:r>
              <w:rPr>
                <w:spacing w:val="-20"/>
                <w:w w:val="99"/>
                <w:position w:val="3"/>
                <w:sz w:val="16"/>
              </w:rPr>
              <w:t>P</w:t>
            </w:r>
            <w:r>
              <w:rPr>
                <w:w w:val="105"/>
                <w:sz w:val="9"/>
              </w:rPr>
              <w:t>P</w:t>
            </w:r>
            <w:r>
              <w:rPr>
                <w:spacing w:val="-1"/>
                <w:w w:val="130"/>
                <w:sz w:val="9"/>
              </w:rPr>
              <w:t>A</w:t>
            </w:r>
            <w:r>
              <w:rPr>
                <w:w w:val="117"/>
                <w:sz w:val="9"/>
              </w:rPr>
              <w:t>H</w:t>
            </w:r>
            <w:r>
              <w:rPr>
                <w:spacing w:val="-12"/>
                <w:sz w:val="9"/>
              </w:rPr>
              <w:t> </w:t>
            </w:r>
            <w:r>
              <w:rPr>
                <w:w w:val="90"/>
                <w:position w:val="3"/>
                <w:sz w:val="16"/>
              </w:rPr>
              <w:t>) </w:t>
            </w:r>
            <w:r>
              <w:rPr>
                <w:spacing w:val="-8"/>
                <w:w w:val="103"/>
                <w:position w:val="3"/>
                <w:sz w:val="16"/>
              </w:rPr>
              <w:t>E</w:t>
            </w:r>
            <w:r>
              <w:rPr>
                <w:w w:val="105"/>
                <w:sz w:val="9"/>
              </w:rPr>
              <w:t>P</w:t>
            </w:r>
            <w:r>
              <w:rPr>
                <w:spacing w:val="-1"/>
                <w:w w:val="130"/>
                <w:sz w:val="9"/>
              </w:rPr>
              <w:t>A</w:t>
            </w:r>
            <w:r>
              <w:rPr>
                <w:w w:val="117"/>
                <w:sz w:val="9"/>
              </w:rPr>
              <w:t>H</w:t>
            </w:r>
            <w:r>
              <w:rPr>
                <w:sz w:val="9"/>
              </w:rPr>
              <w:tab/>
            </w:r>
            <w:r>
              <w:rPr>
                <w:spacing w:val="-1"/>
                <w:w w:val="90"/>
                <w:position w:val="3"/>
                <w:sz w:val="16"/>
              </w:rPr>
              <w:t>(</w:t>
            </w:r>
            <w:r>
              <w:rPr>
                <w:spacing w:val="-20"/>
                <w:w w:val="99"/>
                <w:position w:val="3"/>
                <w:sz w:val="16"/>
              </w:rPr>
              <w:t>P</w:t>
            </w:r>
            <w:r>
              <w:rPr>
                <w:w w:val="105"/>
                <w:sz w:val="9"/>
              </w:rPr>
              <w:t>P</w:t>
            </w:r>
            <w:r>
              <w:rPr>
                <w:spacing w:val="-1"/>
                <w:w w:val="130"/>
                <w:sz w:val="9"/>
              </w:rPr>
              <w:t>A</w:t>
            </w:r>
            <w:r>
              <w:rPr>
                <w:w w:val="117"/>
                <w:sz w:val="9"/>
              </w:rPr>
              <w:t>H</w:t>
            </w:r>
            <w:r>
              <w:rPr>
                <w:sz w:val="9"/>
              </w:rPr>
              <w:t> </w:t>
            </w:r>
            <w:r>
              <w:rPr>
                <w:spacing w:val="-11"/>
                <w:sz w:val="9"/>
              </w:rPr>
              <w:t> </w:t>
            </w:r>
            <w:r>
              <w:rPr>
                <w:rFonts w:ascii="Symbol" w:hAnsi="Symbol"/>
                <w:w w:val="100"/>
                <w:position w:val="3"/>
                <w:sz w:val="16"/>
              </w:rPr>
              <w:t></w:t>
            </w:r>
            <w:r>
              <w:rPr>
                <w:rFonts w:ascii="Times New Roman" w:hAnsi="Times New Roman"/>
                <w:spacing w:val="-2"/>
                <w:position w:val="3"/>
                <w:sz w:val="16"/>
              </w:rPr>
              <w:t> </w:t>
            </w:r>
            <w:r>
              <w:rPr>
                <w:spacing w:val="-18"/>
                <w:w w:val="113"/>
                <w:position w:val="3"/>
                <w:sz w:val="16"/>
              </w:rPr>
              <w:t>V</w:t>
            </w:r>
            <w:r>
              <w:rPr>
                <w:w w:val="105"/>
                <w:sz w:val="9"/>
              </w:rPr>
              <w:t>P</w:t>
            </w:r>
            <w:r>
              <w:rPr>
                <w:spacing w:val="-1"/>
                <w:w w:val="130"/>
                <w:sz w:val="9"/>
              </w:rPr>
              <w:t>A</w:t>
            </w:r>
            <w:r>
              <w:rPr>
                <w:w w:val="117"/>
                <w:sz w:val="9"/>
              </w:rPr>
              <w:t>H</w:t>
            </w:r>
            <w:r>
              <w:rPr>
                <w:spacing w:val="-13"/>
                <w:sz w:val="9"/>
              </w:rPr>
              <w:t> </w:t>
            </w:r>
            <w:r>
              <w:rPr>
                <w:spacing w:val="11"/>
                <w:w w:val="90"/>
                <w:position w:val="3"/>
                <w:sz w:val="16"/>
              </w:rPr>
              <w:t>)</w:t>
            </w:r>
            <w:r>
              <w:rPr>
                <w:spacing w:val="5"/>
                <w:w w:val="53"/>
                <w:position w:val="3"/>
                <w:sz w:val="16"/>
              </w:rPr>
              <w:t>/</w:t>
            </w:r>
            <w:r>
              <w:rPr>
                <w:spacing w:val="-23"/>
                <w:w w:val="99"/>
                <w:position w:val="3"/>
                <w:sz w:val="16"/>
              </w:rPr>
              <w:t>P</w:t>
            </w:r>
            <w:r>
              <w:rPr>
                <w:spacing w:val="-3"/>
                <w:w w:val="105"/>
                <w:sz w:val="9"/>
              </w:rPr>
              <w:t>P</w:t>
            </w:r>
            <w:r>
              <w:rPr>
                <w:spacing w:val="-4"/>
                <w:w w:val="130"/>
                <w:sz w:val="9"/>
              </w:rPr>
              <w:t>A</w:t>
            </w:r>
            <w:r>
              <w:rPr>
                <w:spacing w:val="-3"/>
                <w:w w:val="117"/>
                <w:sz w:val="9"/>
              </w:rPr>
              <w:t>H</w:t>
            </w:r>
          </w:p>
          <w:p>
            <w:pPr>
              <w:pStyle w:val="TableParagraph"/>
              <w:spacing w:line="153" w:lineRule="auto" w:before="82"/>
              <w:ind w:left="665"/>
              <w:rPr>
                <w:rFonts w:ascii="Arial Black" w:hAnsi="Arial Black"/>
                <w:sz w:val="16"/>
              </w:rPr>
            </w:pPr>
            <w:r>
              <w:rPr>
                <w:rFonts w:ascii="Symbol" w:hAnsi="Symbol"/>
                <w:w w:val="110"/>
                <w:position w:val="-7"/>
                <w:sz w:val="16"/>
              </w:rPr>
              <w:t></w:t>
            </w:r>
            <w:r>
              <w:rPr>
                <w:rFonts w:ascii="Times New Roman" w:hAnsi="Times New Roman"/>
                <w:w w:val="110"/>
                <w:position w:val="-7"/>
                <w:sz w:val="16"/>
              </w:rPr>
              <w:t> </w:t>
            </w:r>
            <w:r>
              <w:rPr>
                <w:w w:val="110"/>
                <w:position w:val="3"/>
                <w:sz w:val="16"/>
              </w:rPr>
              <w:t>U</w:t>
            </w:r>
            <w:r>
              <w:rPr>
                <w:w w:val="110"/>
                <w:sz w:val="9"/>
              </w:rPr>
              <w:t>PAH </w:t>
            </w:r>
            <w:r>
              <w:rPr>
                <w:rFonts w:ascii="Symbol" w:hAnsi="Symbol"/>
                <w:w w:val="110"/>
                <w:position w:val="3"/>
                <w:sz w:val="16"/>
              </w:rPr>
              <w:t></w:t>
            </w:r>
            <w:r>
              <w:rPr>
                <w:rFonts w:ascii="Times New Roman" w:hAnsi="Times New Roman"/>
                <w:w w:val="110"/>
                <w:position w:val="3"/>
                <w:sz w:val="16"/>
              </w:rPr>
              <w:t> </w:t>
            </w:r>
            <w:r>
              <w:rPr>
                <w:w w:val="110"/>
                <w:position w:val="3"/>
                <w:sz w:val="16"/>
              </w:rPr>
              <w:t>V</w:t>
            </w:r>
            <w:r>
              <w:rPr>
                <w:rFonts w:ascii="Arial Black" w:hAnsi="Arial Black"/>
                <w:w w:val="99"/>
                <w:position w:val="7"/>
                <w:sz w:val="16"/>
              </w:rPr>
              <w:t> </w:t>
            </w:r>
          </w:p>
          <w:p>
            <w:pPr>
              <w:pStyle w:val="TableParagraph"/>
              <w:spacing w:line="169" w:lineRule="exact" w:before="0"/>
              <w:ind w:left="796"/>
              <w:rPr>
                <w:sz w:val="9"/>
              </w:rPr>
            </w:pPr>
            <w:r>
              <w:rPr>
                <w:w w:val="115"/>
                <w:position w:val="3"/>
                <w:sz w:val="16"/>
              </w:rPr>
              <w:t>P</w:t>
            </w:r>
            <w:r>
              <w:rPr>
                <w:w w:val="115"/>
                <w:sz w:val="9"/>
              </w:rPr>
              <w:t>PAH </w:t>
            </w:r>
            <w:r>
              <w:rPr>
                <w:rFonts w:ascii="Symbol" w:hAnsi="Symbol"/>
                <w:w w:val="115"/>
                <w:position w:val="3"/>
                <w:sz w:val="16"/>
              </w:rPr>
              <w:t></w:t>
            </w:r>
            <w:r>
              <w:rPr>
                <w:rFonts w:ascii="Times New Roman" w:hAnsi="Times New Roman"/>
                <w:w w:val="115"/>
                <w:position w:val="3"/>
                <w:sz w:val="16"/>
              </w:rPr>
              <w:t> </w:t>
            </w:r>
            <w:r>
              <w:rPr>
                <w:w w:val="115"/>
                <w:position w:val="3"/>
                <w:sz w:val="16"/>
              </w:rPr>
              <w:t>V</w:t>
            </w:r>
            <w:r>
              <w:rPr>
                <w:w w:val="115"/>
                <w:sz w:val="9"/>
              </w:rPr>
              <w:t>PAH</w:t>
            </w:r>
          </w:p>
        </w:tc>
        <w:tc>
          <w:tcPr>
            <w:tcW w:w="2889" w:type="dxa"/>
            <w:tcBorders>
              <w:top w:val="single" w:sz="4" w:space="0" w:color="FFFFFF"/>
              <w:bottom w:val="single" w:sz="4" w:space="0" w:color="FFFFFF"/>
            </w:tcBorders>
            <w:shd w:val="clear" w:color="auto" w:fill="E6ECF7"/>
          </w:tcPr>
          <w:p>
            <w:pPr>
              <w:pStyle w:val="TableParagraph"/>
              <w:ind w:left="358"/>
              <w:rPr>
                <w:sz w:val="16"/>
              </w:rPr>
            </w:pPr>
            <w:r>
              <w:rPr>
                <w:color w:val="231F20"/>
                <w:sz w:val="16"/>
              </w:rPr>
              <w:t>ml/min</w:t>
            </w:r>
          </w:p>
        </w:tc>
      </w:tr>
      <w:tr>
        <w:trPr>
          <w:trHeight w:val="550"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w w:val="110"/>
                <w:sz w:val="16"/>
              </w:rPr>
              <w:t>Renal blood flow</w:t>
            </w:r>
          </w:p>
        </w:tc>
        <w:tc>
          <w:tcPr>
            <w:tcW w:w="4325" w:type="dxa"/>
            <w:tcBorders>
              <w:top w:val="single" w:sz="4" w:space="0" w:color="FFFFFF"/>
              <w:bottom w:val="single" w:sz="4" w:space="0" w:color="FFFFFF"/>
            </w:tcBorders>
            <w:shd w:val="clear" w:color="auto" w:fill="E6ECF7"/>
          </w:tcPr>
          <w:p>
            <w:pPr>
              <w:pStyle w:val="TableParagraph"/>
              <w:tabs>
                <w:tab w:pos="1192" w:val="left" w:leader="none"/>
                <w:tab w:pos="1853" w:val="left" w:leader="none"/>
              </w:tabs>
              <w:spacing w:line="175" w:lineRule="auto" w:before="99"/>
              <w:ind w:left="358"/>
              <w:rPr>
                <w:sz w:val="16"/>
              </w:rPr>
            </w:pPr>
            <w:r>
              <w:rPr>
                <w:position w:val="-9"/>
                <w:sz w:val="16"/>
              </w:rPr>
              <w:t>RBF</w:t>
            </w:r>
            <w:r>
              <w:rPr>
                <w:spacing w:val="-9"/>
                <w:position w:val="-9"/>
                <w:sz w:val="16"/>
              </w:rPr>
              <w:t> </w:t>
            </w:r>
            <w:r>
              <w:rPr>
                <w:rFonts w:ascii="Symbol" w:hAnsi="Symbol"/>
                <w:position w:val="-9"/>
                <w:sz w:val="16"/>
              </w:rPr>
              <w:t></w:t>
            </w:r>
            <w:r>
              <w:rPr>
                <w:rFonts w:ascii="Symbol" w:hAnsi="Symbol"/>
                <w:sz w:val="16"/>
                <w:u w:val="single"/>
              </w:rPr>
              <w:t></w:t>
            </w:r>
            <w:r>
              <w:rPr>
                <w:sz w:val="16"/>
                <w:u w:val="single"/>
              </w:rPr>
              <w:t>RPF</w:t>
              <w:tab/>
            </w:r>
          </w:p>
          <w:p>
            <w:pPr>
              <w:pStyle w:val="TableParagraph"/>
              <w:spacing w:line="160" w:lineRule="exact" w:before="0"/>
              <w:ind w:left="801"/>
              <w:rPr>
                <w:sz w:val="16"/>
              </w:rPr>
            </w:pPr>
            <w:r>
              <w:rPr>
                <w:spacing w:val="3"/>
                <w:sz w:val="16"/>
              </w:rPr>
              <w:t>1</w:t>
            </w:r>
            <w:r>
              <w:rPr>
                <w:rFonts w:ascii="Symbol" w:hAnsi="Symbol"/>
                <w:spacing w:val="3"/>
                <w:sz w:val="16"/>
              </w:rPr>
              <w:t></w:t>
            </w:r>
            <w:r>
              <w:rPr>
                <w:rFonts w:ascii="Times New Roman" w:hAnsi="Times New Roman"/>
                <w:spacing w:val="7"/>
                <w:sz w:val="16"/>
              </w:rPr>
              <w:t> </w:t>
            </w:r>
            <w:r>
              <w:rPr>
                <w:sz w:val="16"/>
              </w:rPr>
              <w:t>Hematocrit</w:t>
            </w:r>
          </w:p>
        </w:tc>
        <w:tc>
          <w:tcPr>
            <w:tcW w:w="2889" w:type="dxa"/>
            <w:tcBorders>
              <w:top w:val="single" w:sz="4" w:space="0" w:color="FFFFFF"/>
              <w:bottom w:val="single" w:sz="4" w:space="0" w:color="FFFFFF"/>
            </w:tcBorders>
            <w:shd w:val="clear" w:color="auto" w:fill="E6ECF7"/>
          </w:tcPr>
          <w:p>
            <w:pPr>
              <w:pStyle w:val="TableParagraph"/>
              <w:ind w:left="358"/>
              <w:rPr>
                <w:sz w:val="16"/>
              </w:rPr>
            </w:pPr>
            <w:r>
              <w:rPr>
                <w:color w:val="231F20"/>
                <w:sz w:val="16"/>
              </w:rPr>
              <w:t>ml/min</w:t>
            </w:r>
          </w:p>
        </w:tc>
      </w:tr>
      <w:tr>
        <w:trPr>
          <w:trHeight w:val="348"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Excretion rate</w:t>
            </w:r>
          </w:p>
        </w:tc>
        <w:tc>
          <w:tcPr>
            <w:tcW w:w="4325" w:type="dxa"/>
            <w:tcBorders>
              <w:top w:val="single" w:sz="4" w:space="0" w:color="FFFFFF"/>
              <w:bottom w:val="single" w:sz="4" w:space="0" w:color="FFFFFF"/>
            </w:tcBorders>
            <w:shd w:val="clear" w:color="auto" w:fill="E6ECF7"/>
          </w:tcPr>
          <w:p>
            <w:pPr>
              <w:pStyle w:val="TableParagraph"/>
              <w:spacing w:before="94"/>
              <w:ind w:left="358"/>
              <w:rPr>
                <w:rFonts w:ascii="Arial Black" w:hAnsi="Arial Black"/>
                <w:sz w:val="16"/>
              </w:rPr>
            </w:pPr>
            <w:r>
              <w:rPr>
                <w:w w:val="105"/>
                <w:sz w:val="16"/>
              </w:rPr>
              <w:t>Excretion rate </w:t>
            </w:r>
            <w:r>
              <w:rPr>
                <w:rFonts w:ascii="Symbol" w:hAnsi="Symbol"/>
                <w:w w:val="105"/>
                <w:sz w:val="16"/>
              </w:rPr>
              <w:t></w:t>
            </w:r>
            <w:r>
              <w:rPr>
                <w:rFonts w:ascii="Times New Roman" w:hAnsi="Times New Roman"/>
                <w:w w:val="105"/>
                <w:sz w:val="16"/>
              </w:rPr>
              <w:t> </w:t>
            </w:r>
            <w:r>
              <w:rPr>
                <w:spacing w:val="-3"/>
                <w:w w:val="105"/>
                <w:sz w:val="16"/>
              </w:rPr>
              <w:t>U</w:t>
            </w:r>
            <w:r>
              <w:rPr>
                <w:spacing w:val="-3"/>
                <w:w w:val="105"/>
                <w:position w:val="-2"/>
                <w:sz w:val="9"/>
              </w:rPr>
              <w:t>s </w:t>
            </w:r>
            <w:r>
              <w:rPr>
                <w:rFonts w:ascii="Symbol" w:hAnsi="Symbol"/>
                <w:w w:val="105"/>
                <w:sz w:val="16"/>
              </w:rPr>
              <w:t></w:t>
            </w:r>
            <w:r>
              <w:rPr>
                <w:rFonts w:ascii="Times New Roman" w:hAnsi="Times New Roman"/>
                <w:w w:val="105"/>
                <w:sz w:val="16"/>
              </w:rPr>
              <w:t> </w:t>
            </w:r>
            <w:r>
              <w:rPr>
                <w:spacing w:val="-81"/>
                <w:w w:val="105"/>
                <w:sz w:val="16"/>
              </w:rPr>
              <w:t>V</w:t>
            </w:r>
            <w:r>
              <w:rPr>
                <w:rFonts w:ascii="Arial Black" w:hAnsi="Arial Black"/>
                <w:w w:val="99"/>
                <w:position w:val="5"/>
                <w:sz w:val="16"/>
              </w:rPr>
              <w:t> </w:t>
            </w:r>
          </w:p>
        </w:tc>
        <w:tc>
          <w:tcPr>
            <w:tcW w:w="2889" w:type="dxa"/>
            <w:tcBorders>
              <w:top w:val="single" w:sz="4" w:space="0" w:color="FFFFFF"/>
              <w:bottom w:val="single" w:sz="4" w:space="0" w:color="FFFFFF"/>
            </w:tcBorders>
            <w:shd w:val="clear" w:color="auto" w:fill="E6ECF7"/>
          </w:tcPr>
          <w:p>
            <w:pPr>
              <w:pStyle w:val="TableParagraph"/>
              <w:ind w:left="358"/>
              <w:rPr>
                <w:sz w:val="16"/>
              </w:rPr>
            </w:pPr>
            <w:r>
              <w:rPr>
                <w:color w:val="231F20"/>
                <w:sz w:val="16"/>
              </w:rPr>
              <w:t>mg/min, mmol/min, or mEq/min</w:t>
            </w:r>
          </w:p>
        </w:tc>
      </w:tr>
      <w:tr>
        <w:trPr>
          <w:trHeight w:val="598" w:hRule="atLeast"/>
        </w:trPr>
        <w:tc>
          <w:tcPr>
            <w:tcW w:w="2506"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Reabsorption rate</w:t>
            </w:r>
          </w:p>
        </w:tc>
        <w:tc>
          <w:tcPr>
            <w:tcW w:w="4325" w:type="dxa"/>
            <w:tcBorders>
              <w:top w:val="single" w:sz="4" w:space="0" w:color="FFFFFF"/>
              <w:bottom w:val="single" w:sz="4" w:space="0" w:color="FFFFFF"/>
            </w:tcBorders>
            <w:shd w:val="clear" w:color="auto" w:fill="E6ECF7"/>
          </w:tcPr>
          <w:p>
            <w:pPr>
              <w:pStyle w:val="TableParagraph"/>
              <w:spacing w:before="63"/>
              <w:ind w:left="358"/>
              <w:rPr>
                <w:sz w:val="16"/>
              </w:rPr>
            </w:pPr>
            <w:r>
              <w:rPr>
                <w:sz w:val="16"/>
              </w:rPr>
              <w:t>Reabsorption rate </w:t>
            </w:r>
            <w:r>
              <w:rPr>
                <w:rFonts w:ascii="Symbol" w:hAnsi="Symbol"/>
                <w:sz w:val="16"/>
              </w:rPr>
              <w:t></w:t>
            </w:r>
            <w:r>
              <w:rPr>
                <w:rFonts w:ascii="Times New Roman" w:hAnsi="Times New Roman"/>
                <w:sz w:val="16"/>
              </w:rPr>
              <w:t> </w:t>
            </w:r>
            <w:r>
              <w:rPr>
                <w:sz w:val="16"/>
              </w:rPr>
              <w:t>Filtered load </w:t>
            </w:r>
            <w:r>
              <w:rPr>
                <w:rFonts w:ascii="Symbol" w:hAnsi="Symbol"/>
                <w:sz w:val="16"/>
              </w:rPr>
              <w:t></w:t>
            </w:r>
            <w:r>
              <w:rPr>
                <w:rFonts w:ascii="Times New Roman" w:hAnsi="Times New Roman"/>
                <w:sz w:val="16"/>
              </w:rPr>
              <w:t> </w:t>
            </w:r>
            <w:r>
              <w:rPr>
                <w:sz w:val="16"/>
              </w:rPr>
              <w:t>Excretion rate</w:t>
            </w:r>
          </w:p>
          <w:p>
            <w:pPr>
              <w:pStyle w:val="TableParagraph"/>
              <w:spacing w:before="66"/>
              <w:ind w:left="1728"/>
              <w:rPr>
                <w:sz w:val="16"/>
              </w:rPr>
            </w:pPr>
            <w:r>
              <w:rPr>
                <w:rFonts w:ascii="Symbol" w:hAnsi="Symbol"/>
                <w:w w:val="100"/>
                <w:sz w:val="16"/>
              </w:rPr>
              <w:t></w:t>
            </w:r>
            <w:r>
              <w:rPr>
                <w:rFonts w:ascii="Times New Roman" w:hAnsi="Times New Roman"/>
                <w:spacing w:val="-1"/>
                <w:sz w:val="16"/>
              </w:rPr>
              <w:t> </w:t>
            </w:r>
            <w:r>
              <w:rPr>
                <w:spacing w:val="-1"/>
                <w:w w:val="90"/>
                <w:sz w:val="16"/>
              </w:rPr>
              <w:t>(</w:t>
            </w:r>
            <w:r>
              <w:rPr>
                <w:spacing w:val="-1"/>
                <w:w w:val="106"/>
                <w:sz w:val="16"/>
              </w:rPr>
              <w:t>G</w:t>
            </w:r>
            <w:r>
              <w:rPr>
                <w:spacing w:val="-1"/>
                <w:w w:val="95"/>
                <w:sz w:val="16"/>
              </w:rPr>
              <w:t>F</w:t>
            </w:r>
            <w:r>
              <w:rPr>
                <w:w w:val="104"/>
                <w:sz w:val="16"/>
              </w:rPr>
              <w:t>R</w:t>
            </w:r>
            <w:r>
              <w:rPr>
                <w:spacing w:val="-11"/>
                <w:sz w:val="16"/>
              </w:rPr>
              <w:t> </w:t>
            </w:r>
            <w:r>
              <w:rPr>
                <w:rFonts w:ascii="Symbol" w:hAnsi="Symbol"/>
                <w:w w:val="100"/>
                <w:sz w:val="16"/>
              </w:rPr>
              <w:t></w:t>
            </w:r>
            <w:r>
              <w:rPr>
                <w:rFonts w:ascii="Times New Roman" w:hAnsi="Times New Roman"/>
                <w:spacing w:val="-14"/>
                <w:sz w:val="16"/>
              </w:rPr>
              <w:t> </w:t>
            </w:r>
            <w:r>
              <w:rPr>
                <w:spacing w:val="-14"/>
                <w:w w:val="99"/>
                <w:sz w:val="16"/>
              </w:rPr>
              <w:t>P</w:t>
            </w:r>
            <w:r>
              <w:rPr>
                <w:w w:val="102"/>
                <w:position w:val="-2"/>
                <w:sz w:val="9"/>
              </w:rPr>
              <w:t>s</w:t>
            </w:r>
            <w:r>
              <w:rPr>
                <w:spacing w:val="-6"/>
                <w:position w:val="-2"/>
                <w:sz w:val="9"/>
              </w:rPr>
              <w:t> </w:t>
            </w:r>
            <w:r>
              <w:rPr>
                <w:w w:val="90"/>
                <w:sz w:val="16"/>
              </w:rPr>
              <w:t>)</w:t>
            </w:r>
            <w:r>
              <w:rPr>
                <w:spacing w:val="-17"/>
                <w:sz w:val="16"/>
              </w:rPr>
              <w:t> </w:t>
            </w:r>
            <w:r>
              <w:rPr>
                <w:rFonts w:ascii="Symbol" w:hAnsi="Symbol"/>
                <w:w w:val="100"/>
                <w:sz w:val="16"/>
              </w:rPr>
              <w:t></w:t>
            </w:r>
            <w:r>
              <w:rPr>
                <w:rFonts w:ascii="Times New Roman" w:hAnsi="Times New Roman"/>
                <w:spacing w:val="-8"/>
                <w:sz w:val="16"/>
              </w:rPr>
              <w:t> </w:t>
            </w:r>
            <w:r>
              <w:rPr>
                <w:spacing w:val="-1"/>
                <w:w w:val="90"/>
                <w:sz w:val="16"/>
              </w:rPr>
              <w:t>(</w:t>
            </w:r>
            <w:r>
              <w:rPr>
                <w:spacing w:val="-85"/>
                <w:w w:val="111"/>
                <w:sz w:val="16"/>
              </w:rPr>
              <w:t>U</w:t>
            </w:r>
            <w:r>
              <w:rPr>
                <w:rFonts w:ascii="Arial Black" w:hAnsi="Arial Black"/>
                <w:w w:val="99"/>
                <w:position w:val="5"/>
                <w:sz w:val="16"/>
              </w:rPr>
              <w:t> </w:t>
            </w:r>
            <w:r>
              <w:rPr>
                <w:rFonts w:ascii="Arial Black" w:hAnsi="Arial Black"/>
                <w:spacing w:val="-28"/>
                <w:position w:val="5"/>
                <w:sz w:val="16"/>
              </w:rPr>
              <w:t> </w:t>
            </w:r>
            <w:r>
              <w:rPr>
                <w:w w:val="102"/>
                <w:position w:val="-2"/>
                <w:sz w:val="9"/>
              </w:rPr>
              <w:t>s</w:t>
            </w:r>
            <w:r>
              <w:rPr>
                <w:position w:val="-2"/>
                <w:sz w:val="9"/>
              </w:rPr>
              <w:t> </w:t>
            </w:r>
            <w:r>
              <w:rPr>
                <w:spacing w:val="-1"/>
                <w:position w:val="-2"/>
                <w:sz w:val="9"/>
              </w:rPr>
              <w:t> </w:t>
            </w:r>
            <w:r>
              <w:rPr>
                <w:rFonts w:ascii="Symbol" w:hAnsi="Symbol"/>
                <w:w w:val="100"/>
                <w:sz w:val="16"/>
              </w:rPr>
              <w:t></w:t>
            </w:r>
            <w:r>
              <w:rPr>
                <w:rFonts w:ascii="Times New Roman" w:hAnsi="Times New Roman"/>
                <w:spacing w:val="2"/>
                <w:sz w:val="16"/>
              </w:rPr>
              <w:t> </w:t>
            </w:r>
            <w:r>
              <w:rPr>
                <w:w w:val="113"/>
                <w:sz w:val="16"/>
              </w:rPr>
              <w:t>V</w:t>
            </w:r>
            <w:r>
              <w:rPr>
                <w:w w:val="90"/>
                <w:sz w:val="16"/>
              </w:rPr>
              <w:t>)</w:t>
            </w:r>
          </w:p>
        </w:tc>
        <w:tc>
          <w:tcPr>
            <w:tcW w:w="2889" w:type="dxa"/>
            <w:tcBorders>
              <w:top w:val="single" w:sz="4" w:space="0" w:color="FFFFFF"/>
              <w:bottom w:val="single" w:sz="4" w:space="0" w:color="FFFFFF"/>
            </w:tcBorders>
            <w:shd w:val="clear" w:color="auto" w:fill="E6ECF7"/>
          </w:tcPr>
          <w:p>
            <w:pPr>
              <w:pStyle w:val="TableParagraph"/>
              <w:ind w:left="358"/>
              <w:rPr>
                <w:sz w:val="16"/>
              </w:rPr>
            </w:pPr>
            <w:r>
              <w:rPr>
                <w:color w:val="231F20"/>
                <w:sz w:val="16"/>
              </w:rPr>
              <w:t>mg/min, mmol/min, or mEq/min</w:t>
            </w:r>
          </w:p>
        </w:tc>
      </w:tr>
      <w:tr>
        <w:trPr>
          <w:trHeight w:val="279" w:hRule="atLeast"/>
        </w:trPr>
        <w:tc>
          <w:tcPr>
            <w:tcW w:w="2506" w:type="dxa"/>
            <w:tcBorders>
              <w:top w:val="single" w:sz="4" w:space="0" w:color="FFFFFF"/>
            </w:tcBorders>
            <w:shd w:val="clear" w:color="auto" w:fill="E6ECF7"/>
          </w:tcPr>
          <w:p>
            <w:pPr>
              <w:pStyle w:val="TableParagraph"/>
              <w:ind w:left="120"/>
              <w:rPr>
                <w:sz w:val="16"/>
              </w:rPr>
            </w:pPr>
            <w:r>
              <w:rPr>
                <w:color w:val="231F20"/>
                <w:sz w:val="16"/>
              </w:rPr>
              <w:t>Secretion rate</w:t>
            </w:r>
          </w:p>
        </w:tc>
        <w:tc>
          <w:tcPr>
            <w:tcW w:w="4325" w:type="dxa"/>
            <w:tcBorders>
              <w:top w:val="single" w:sz="4" w:space="0" w:color="FFFFFF"/>
            </w:tcBorders>
            <w:shd w:val="clear" w:color="auto" w:fill="E6ECF7"/>
          </w:tcPr>
          <w:p>
            <w:pPr>
              <w:pStyle w:val="TableParagraph"/>
              <w:spacing w:line="259" w:lineRule="exact" w:before="0"/>
              <w:ind w:left="333"/>
              <w:rPr>
                <w:sz w:val="16"/>
              </w:rPr>
            </w:pPr>
            <w:r>
              <w:rPr>
                <w:color w:val="231F20"/>
                <w:sz w:val="16"/>
              </w:rPr>
              <w:t>Secretion rate </w:t>
            </w:r>
            <w:r>
              <w:rPr>
                <w:rFonts w:ascii="Arial Unicode MS" w:hAnsi="Arial Unicode MS"/>
                <w:color w:val="231F20"/>
                <w:sz w:val="16"/>
              </w:rPr>
              <w:t>= </w:t>
            </w:r>
            <w:r>
              <w:rPr>
                <w:color w:val="231F20"/>
                <w:sz w:val="16"/>
              </w:rPr>
              <w:t>Excretion rate </w:t>
            </w:r>
            <w:r>
              <w:rPr>
                <w:rFonts w:ascii="Arial Unicode MS" w:hAnsi="Arial Unicode MS"/>
                <w:color w:val="231F20"/>
                <w:sz w:val="16"/>
              </w:rPr>
              <w:t>− </w:t>
            </w:r>
            <w:r>
              <w:rPr>
                <w:color w:val="231F20"/>
                <w:sz w:val="16"/>
              </w:rPr>
              <w:t>Filtered load</w:t>
            </w:r>
          </w:p>
        </w:tc>
        <w:tc>
          <w:tcPr>
            <w:tcW w:w="2889" w:type="dxa"/>
            <w:tcBorders>
              <w:top w:val="single" w:sz="4" w:space="0" w:color="FFFFFF"/>
            </w:tcBorders>
            <w:shd w:val="clear" w:color="auto" w:fill="E6ECF7"/>
          </w:tcPr>
          <w:p>
            <w:pPr>
              <w:pStyle w:val="TableParagraph"/>
              <w:ind w:left="358"/>
              <w:rPr>
                <w:sz w:val="16"/>
              </w:rPr>
            </w:pPr>
            <w:r>
              <w:rPr>
                <w:color w:val="231F20"/>
                <w:sz w:val="16"/>
              </w:rPr>
              <w:t>mg/min, mmol/min, or mEq/min</w:t>
            </w:r>
          </w:p>
        </w:tc>
      </w:tr>
    </w:tbl>
    <w:p>
      <w:pPr>
        <w:spacing w:line="254" w:lineRule="auto" w:before="30"/>
        <w:ind w:left="1600" w:right="1314" w:hanging="160"/>
        <w:jc w:val="left"/>
        <w:rPr>
          <w:rFonts w:ascii="Arial" w:hAnsi="Arial"/>
          <w:sz w:val="16"/>
        </w:rPr>
      </w:pPr>
      <w:r>
        <w:rPr>
          <w:rFonts w:ascii="Arial" w:hAnsi="Arial"/>
          <w:color w:val="231F20"/>
          <w:sz w:val="16"/>
        </w:rPr>
        <w:t>C</w:t>
      </w:r>
      <w:r>
        <w:rPr>
          <w:rFonts w:ascii="Arial" w:hAnsi="Arial"/>
          <w:color w:val="231F20"/>
          <w:position w:val="-1"/>
          <w:sz w:val="9"/>
        </w:rPr>
        <w:t>s</w:t>
      </w:r>
      <w:r>
        <w:rPr>
          <w:rFonts w:ascii="Arial" w:hAnsi="Arial"/>
          <w:color w:val="231F20"/>
          <w:sz w:val="16"/>
        </w:rPr>
        <w:t>,</w:t>
      </w:r>
      <w:r>
        <w:rPr>
          <w:rFonts w:ascii="Arial" w:hAnsi="Arial"/>
          <w:color w:val="231F20"/>
          <w:spacing w:val="-15"/>
          <w:sz w:val="16"/>
        </w:rPr>
        <w:t> </w:t>
      </w:r>
      <w:r>
        <w:rPr>
          <w:rFonts w:ascii="Arial" w:hAnsi="Arial"/>
          <w:color w:val="231F20"/>
          <w:sz w:val="16"/>
        </w:rPr>
        <w:t>clearance</w:t>
      </w:r>
      <w:r>
        <w:rPr>
          <w:rFonts w:ascii="Arial" w:hAnsi="Arial"/>
          <w:color w:val="231F20"/>
          <w:spacing w:val="-15"/>
          <w:sz w:val="16"/>
        </w:rPr>
        <w:t> </w:t>
      </w:r>
      <w:r>
        <w:rPr>
          <w:rFonts w:ascii="Arial" w:hAnsi="Arial"/>
          <w:color w:val="231F20"/>
          <w:sz w:val="16"/>
        </w:rPr>
        <w:t>rate</w:t>
      </w:r>
      <w:r>
        <w:rPr>
          <w:rFonts w:ascii="Arial" w:hAnsi="Arial"/>
          <w:color w:val="231F20"/>
          <w:spacing w:val="-15"/>
          <w:sz w:val="16"/>
        </w:rPr>
        <w:t> </w:t>
      </w:r>
      <w:r>
        <w:rPr>
          <w:rFonts w:ascii="Arial" w:hAnsi="Arial"/>
          <w:color w:val="231F20"/>
          <w:sz w:val="16"/>
        </w:rPr>
        <w:t>of</w:t>
      </w:r>
      <w:r>
        <w:rPr>
          <w:rFonts w:ascii="Arial" w:hAnsi="Arial"/>
          <w:color w:val="231F20"/>
          <w:spacing w:val="-14"/>
          <w:sz w:val="16"/>
        </w:rPr>
        <w:t> </w:t>
      </w:r>
      <w:r>
        <w:rPr>
          <w:rFonts w:ascii="Arial" w:hAnsi="Arial"/>
          <w:color w:val="231F20"/>
          <w:sz w:val="16"/>
        </w:rPr>
        <w:t>substance</w:t>
      </w:r>
      <w:r>
        <w:rPr>
          <w:rFonts w:ascii="Arial" w:hAnsi="Arial"/>
          <w:color w:val="231F20"/>
          <w:spacing w:val="-15"/>
          <w:sz w:val="16"/>
        </w:rPr>
        <w:t> </w:t>
      </w:r>
      <w:r>
        <w:rPr>
          <w:rFonts w:ascii="Arial" w:hAnsi="Arial"/>
          <w:color w:val="231F20"/>
          <w:sz w:val="16"/>
        </w:rPr>
        <w:t>“s”;</w:t>
      </w:r>
      <w:r>
        <w:rPr>
          <w:rFonts w:ascii="Arial" w:hAnsi="Arial"/>
          <w:color w:val="231F20"/>
          <w:spacing w:val="-15"/>
          <w:sz w:val="16"/>
        </w:rPr>
        <w:t> </w:t>
      </w:r>
      <w:r>
        <w:rPr>
          <w:rFonts w:ascii="Arial" w:hAnsi="Arial"/>
          <w:color w:val="231F20"/>
          <w:sz w:val="16"/>
        </w:rPr>
        <w:t>E</w:t>
      </w:r>
      <w:r>
        <w:rPr>
          <w:rFonts w:ascii="Arial" w:hAnsi="Arial"/>
          <w:color w:val="231F20"/>
          <w:position w:val="-1"/>
          <w:sz w:val="9"/>
        </w:rPr>
        <w:t>PAH</w:t>
      </w:r>
      <w:r>
        <w:rPr>
          <w:rFonts w:ascii="Arial" w:hAnsi="Arial"/>
          <w:color w:val="231F20"/>
          <w:sz w:val="16"/>
        </w:rPr>
        <w:t>,</w:t>
      </w:r>
      <w:r>
        <w:rPr>
          <w:rFonts w:ascii="Arial" w:hAnsi="Arial"/>
          <w:color w:val="231F20"/>
          <w:spacing w:val="-15"/>
          <w:sz w:val="16"/>
        </w:rPr>
        <w:t> </w:t>
      </w:r>
      <w:r>
        <w:rPr>
          <w:rFonts w:ascii="Arial" w:hAnsi="Arial"/>
          <w:color w:val="231F20"/>
          <w:spacing w:val="-4"/>
          <w:sz w:val="16"/>
        </w:rPr>
        <w:t>PAH</w:t>
      </w:r>
      <w:r>
        <w:rPr>
          <w:rFonts w:ascii="Arial" w:hAnsi="Arial"/>
          <w:color w:val="231F20"/>
          <w:spacing w:val="-15"/>
          <w:sz w:val="16"/>
        </w:rPr>
        <w:t> </w:t>
      </w:r>
      <w:r>
        <w:rPr>
          <w:rFonts w:ascii="Arial" w:hAnsi="Arial"/>
          <w:color w:val="231F20"/>
          <w:sz w:val="16"/>
        </w:rPr>
        <w:t>extraction</w:t>
      </w:r>
      <w:r>
        <w:rPr>
          <w:rFonts w:ascii="Arial" w:hAnsi="Arial"/>
          <w:color w:val="231F20"/>
          <w:spacing w:val="-14"/>
          <w:sz w:val="16"/>
        </w:rPr>
        <w:t> </w:t>
      </w:r>
      <w:r>
        <w:rPr>
          <w:rFonts w:ascii="Arial" w:hAnsi="Arial"/>
          <w:color w:val="231F20"/>
          <w:sz w:val="16"/>
        </w:rPr>
        <w:t>ratio;</w:t>
      </w:r>
      <w:r>
        <w:rPr>
          <w:rFonts w:ascii="Arial" w:hAnsi="Arial"/>
          <w:color w:val="231F20"/>
          <w:spacing w:val="-15"/>
          <w:sz w:val="16"/>
        </w:rPr>
        <w:t> </w:t>
      </w:r>
      <w:r>
        <w:rPr>
          <w:rFonts w:ascii="Arial" w:hAnsi="Arial"/>
          <w:color w:val="231F20"/>
          <w:spacing w:val="-5"/>
          <w:sz w:val="16"/>
        </w:rPr>
        <w:t>ERPF,</w:t>
      </w:r>
      <w:r>
        <w:rPr>
          <w:rFonts w:ascii="Arial" w:hAnsi="Arial"/>
          <w:color w:val="231F20"/>
          <w:spacing w:val="-15"/>
          <w:sz w:val="16"/>
        </w:rPr>
        <w:t> </w:t>
      </w:r>
      <w:r>
        <w:rPr>
          <w:rFonts w:ascii="Arial" w:hAnsi="Arial"/>
          <w:color w:val="231F20"/>
          <w:sz w:val="16"/>
        </w:rPr>
        <w:t>effective</w:t>
      </w:r>
      <w:r>
        <w:rPr>
          <w:rFonts w:ascii="Arial" w:hAnsi="Arial"/>
          <w:color w:val="231F20"/>
          <w:spacing w:val="-15"/>
          <w:sz w:val="16"/>
        </w:rPr>
        <w:t> </w:t>
      </w:r>
      <w:r>
        <w:rPr>
          <w:rFonts w:ascii="Arial" w:hAnsi="Arial"/>
          <w:color w:val="231F20"/>
          <w:sz w:val="16"/>
        </w:rPr>
        <w:t>renal</w:t>
      </w:r>
      <w:r>
        <w:rPr>
          <w:rFonts w:ascii="Arial" w:hAnsi="Arial"/>
          <w:color w:val="231F20"/>
          <w:spacing w:val="-14"/>
          <w:sz w:val="16"/>
        </w:rPr>
        <w:t> </w:t>
      </w:r>
      <w:r>
        <w:rPr>
          <w:rFonts w:ascii="Arial" w:hAnsi="Arial"/>
          <w:color w:val="231F20"/>
          <w:sz w:val="16"/>
        </w:rPr>
        <w:t>plasma</w:t>
      </w:r>
      <w:r>
        <w:rPr>
          <w:rFonts w:ascii="Arial" w:hAnsi="Arial"/>
          <w:color w:val="231F20"/>
          <w:spacing w:val="-15"/>
          <w:sz w:val="16"/>
        </w:rPr>
        <w:t> </w:t>
      </w:r>
      <w:r>
        <w:rPr>
          <w:rFonts w:ascii="Arial" w:hAnsi="Arial"/>
          <w:color w:val="231F20"/>
          <w:sz w:val="16"/>
        </w:rPr>
        <w:t>flow;</w:t>
      </w:r>
      <w:r>
        <w:rPr>
          <w:rFonts w:ascii="Arial" w:hAnsi="Arial"/>
          <w:color w:val="231F20"/>
          <w:spacing w:val="-15"/>
          <w:sz w:val="16"/>
        </w:rPr>
        <w:t> </w:t>
      </w:r>
      <w:r>
        <w:rPr>
          <w:rFonts w:ascii="Arial" w:hAnsi="Arial"/>
          <w:color w:val="231F20"/>
          <w:sz w:val="16"/>
        </w:rPr>
        <w:t>GFR,</w:t>
      </w:r>
      <w:r>
        <w:rPr>
          <w:rFonts w:ascii="Arial" w:hAnsi="Arial"/>
          <w:color w:val="231F20"/>
          <w:spacing w:val="-15"/>
          <w:sz w:val="16"/>
        </w:rPr>
        <w:t> </w:t>
      </w:r>
      <w:r>
        <w:rPr>
          <w:rFonts w:ascii="Arial" w:hAnsi="Arial"/>
          <w:color w:val="231F20"/>
          <w:sz w:val="16"/>
        </w:rPr>
        <w:t>glomerular</w:t>
      </w:r>
      <w:r>
        <w:rPr>
          <w:rFonts w:ascii="Arial" w:hAnsi="Arial"/>
          <w:color w:val="231F20"/>
          <w:spacing w:val="-14"/>
          <w:sz w:val="16"/>
        </w:rPr>
        <w:t> </w:t>
      </w:r>
      <w:r>
        <w:rPr>
          <w:rFonts w:ascii="Arial" w:hAnsi="Arial"/>
          <w:color w:val="231F20"/>
          <w:sz w:val="16"/>
        </w:rPr>
        <w:t>filtration</w:t>
      </w:r>
      <w:r>
        <w:rPr>
          <w:rFonts w:ascii="Arial" w:hAnsi="Arial"/>
          <w:color w:val="231F20"/>
          <w:spacing w:val="-15"/>
          <w:sz w:val="16"/>
        </w:rPr>
        <w:t> </w:t>
      </w:r>
      <w:r>
        <w:rPr>
          <w:rFonts w:ascii="Arial" w:hAnsi="Arial"/>
          <w:color w:val="231F20"/>
          <w:sz w:val="16"/>
        </w:rPr>
        <w:t>rate;</w:t>
      </w:r>
      <w:r>
        <w:rPr>
          <w:rFonts w:ascii="Arial" w:hAnsi="Arial"/>
          <w:color w:val="231F20"/>
          <w:spacing w:val="-15"/>
          <w:sz w:val="16"/>
        </w:rPr>
        <w:t> </w:t>
      </w:r>
      <w:r>
        <w:rPr>
          <w:rFonts w:ascii="Arial" w:hAnsi="Arial"/>
          <w:color w:val="231F20"/>
          <w:spacing w:val="-13"/>
          <w:sz w:val="16"/>
        </w:rPr>
        <w:t>P,</w:t>
      </w:r>
      <w:r>
        <w:rPr>
          <w:rFonts w:ascii="Arial" w:hAnsi="Arial"/>
          <w:color w:val="231F20"/>
          <w:spacing w:val="-15"/>
          <w:sz w:val="16"/>
        </w:rPr>
        <w:t> </w:t>
      </w:r>
      <w:r>
        <w:rPr>
          <w:rFonts w:ascii="Arial" w:hAnsi="Arial"/>
          <w:color w:val="231F20"/>
          <w:sz w:val="16"/>
        </w:rPr>
        <w:t>plasma concentration;</w:t>
      </w:r>
      <w:r>
        <w:rPr>
          <w:rFonts w:ascii="Arial" w:hAnsi="Arial"/>
          <w:color w:val="231F20"/>
          <w:spacing w:val="-11"/>
          <w:sz w:val="16"/>
        </w:rPr>
        <w:t> </w:t>
      </w:r>
      <w:r>
        <w:rPr>
          <w:rFonts w:ascii="Arial" w:hAnsi="Arial"/>
          <w:color w:val="231F20"/>
          <w:spacing w:val="-3"/>
          <w:sz w:val="16"/>
        </w:rPr>
        <w:t>PAH,</w:t>
      </w:r>
      <w:r>
        <w:rPr>
          <w:rFonts w:ascii="Arial" w:hAnsi="Arial"/>
          <w:color w:val="231F20"/>
          <w:spacing w:val="-11"/>
          <w:sz w:val="16"/>
        </w:rPr>
        <w:t> </w:t>
      </w:r>
      <w:r>
        <w:rPr>
          <w:rFonts w:ascii="Arial" w:hAnsi="Arial"/>
          <w:color w:val="231F20"/>
          <w:sz w:val="16"/>
        </w:rPr>
        <w:t>para-aminohippuric</w:t>
      </w:r>
      <w:r>
        <w:rPr>
          <w:rFonts w:ascii="Arial" w:hAnsi="Arial"/>
          <w:color w:val="231F20"/>
          <w:spacing w:val="-10"/>
          <w:sz w:val="16"/>
        </w:rPr>
        <w:t> </w:t>
      </w:r>
      <w:r>
        <w:rPr>
          <w:rFonts w:ascii="Arial" w:hAnsi="Arial"/>
          <w:color w:val="231F20"/>
          <w:sz w:val="16"/>
        </w:rPr>
        <w:t>acid;</w:t>
      </w:r>
      <w:r>
        <w:rPr>
          <w:rFonts w:ascii="Arial" w:hAnsi="Arial"/>
          <w:color w:val="231F20"/>
          <w:spacing w:val="-11"/>
          <w:sz w:val="16"/>
        </w:rPr>
        <w:t> </w:t>
      </w:r>
      <w:r>
        <w:rPr>
          <w:rFonts w:ascii="Arial" w:hAnsi="Arial"/>
          <w:color w:val="231F20"/>
          <w:sz w:val="16"/>
        </w:rPr>
        <w:t>P</w:t>
      </w:r>
      <w:r>
        <w:rPr>
          <w:rFonts w:ascii="Arial" w:hAnsi="Arial"/>
          <w:color w:val="231F20"/>
          <w:position w:val="-1"/>
          <w:sz w:val="9"/>
        </w:rPr>
        <w:t>PAH</w:t>
      </w:r>
      <w:r>
        <w:rPr>
          <w:rFonts w:ascii="Arial" w:hAnsi="Arial"/>
          <w:color w:val="231F20"/>
          <w:sz w:val="16"/>
        </w:rPr>
        <w:t>,</w:t>
      </w:r>
      <w:r>
        <w:rPr>
          <w:rFonts w:ascii="Arial" w:hAnsi="Arial"/>
          <w:color w:val="231F20"/>
          <w:spacing w:val="-11"/>
          <w:sz w:val="16"/>
        </w:rPr>
        <w:t> </w:t>
      </w:r>
      <w:r>
        <w:rPr>
          <w:rFonts w:ascii="Arial" w:hAnsi="Arial"/>
          <w:color w:val="231F20"/>
          <w:sz w:val="16"/>
        </w:rPr>
        <w:t>renal</w:t>
      </w:r>
      <w:r>
        <w:rPr>
          <w:rFonts w:ascii="Arial" w:hAnsi="Arial"/>
          <w:color w:val="231F20"/>
          <w:spacing w:val="-10"/>
          <w:sz w:val="16"/>
        </w:rPr>
        <w:t> </w:t>
      </w:r>
      <w:r>
        <w:rPr>
          <w:rFonts w:ascii="Arial" w:hAnsi="Arial"/>
          <w:color w:val="231F20"/>
          <w:sz w:val="16"/>
        </w:rPr>
        <w:t>arterial</w:t>
      </w:r>
      <w:r>
        <w:rPr>
          <w:rFonts w:ascii="Arial" w:hAnsi="Arial"/>
          <w:color w:val="231F20"/>
          <w:spacing w:val="-11"/>
          <w:sz w:val="16"/>
        </w:rPr>
        <w:t> </w:t>
      </w:r>
      <w:r>
        <w:rPr>
          <w:rFonts w:ascii="Arial" w:hAnsi="Arial"/>
          <w:color w:val="231F20"/>
          <w:spacing w:val="-4"/>
          <w:sz w:val="16"/>
        </w:rPr>
        <w:t>PAH</w:t>
      </w:r>
      <w:r>
        <w:rPr>
          <w:rFonts w:ascii="Arial" w:hAnsi="Arial"/>
          <w:color w:val="231F20"/>
          <w:spacing w:val="-11"/>
          <w:sz w:val="16"/>
        </w:rPr>
        <w:t> </w:t>
      </w:r>
      <w:r>
        <w:rPr>
          <w:rFonts w:ascii="Arial" w:hAnsi="Arial"/>
          <w:color w:val="231F20"/>
          <w:sz w:val="16"/>
        </w:rPr>
        <w:t>concentration;</w:t>
      </w:r>
      <w:r>
        <w:rPr>
          <w:rFonts w:ascii="Arial" w:hAnsi="Arial"/>
          <w:color w:val="231F20"/>
          <w:spacing w:val="-10"/>
          <w:sz w:val="16"/>
        </w:rPr>
        <w:t> </w:t>
      </w:r>
      <w:r>
        <w:rPr>
          <w:rFonts w:ascii="Arial" w:hAnsi="Arial"/>
          <w:color w:val="231F20"/>
          <w:spacing w:val="-6"/>
          <w:sz w:val="16"/>
        </w:rPr>
        <w:t>RBF,</w:t>
      </w:r>
      <w:r>
        <w:rPr>
          <w:rFonts w:ascii="Arial" w:hAnsi="Arial"/>
          <w:color w:val="231F20"/>
          <w:spacing w:val="-11"/>
          <w:sz w:val="16"/>
        </w:rPr>
        <w:t> </w:t>
      </w:r>
      <w:r>
        <w:rPr>
          <w:rFonts w:ascii="Arial" w:hAnsi="Arial"/>
          <w:color w:val="231F20"/>
          <w:sz w:val="16"/>
        </w:rPr>
        <w:t>renal</w:t>
      </w:r>
      <w:r>
        <w:rPr>
          <w:rFonts w:ascii="Arial" w:hAnsi="Arial"/>
          <w:color w:val="231F20"/>
          <w:spacing w:val="-10"/>
          <w:sz w:val="16"/>
        </w:rPr>
        <w:t> </w:t>
      </w:r>
      <w:r>
        <w:rPr>
          <w:rFonts w:ascii="Arial" w:hAnsi="Arial"/>
          <w:color w:val="231F20"/>
          <w:sz w:val="16"/>
        </w:rPr>
        <w:t>blood</w:t>
      </w:r>
      <w:r>
        <w:rPr>
          <w:rFonts w:ascii="Arial" w:hAnsi="Arial"/>
          <w:color w:val="231F20"/>
          <w:spacing w:val="-11"/>
          <w:sz w:val="16"/>
        </w:rPr>
        <w:t> </w:t>
      </w:r>
      <w:r>
        <w:rPr>
          <w:rFonts w:ascii="Arial" w:hAnsi="Arial"/>
          <w:color w:val="231F20"/>
          <w:sz w:val="16"/>
        </w:rPr>
        <w:t>flow;</w:t>
      </w:r>
      <w:r>
        <w:rPr>
          <w:rFonts w:ascii="Arial" w:hAnsi="Arial"/>
          <w:color w:val="231F20"/>
          <w:spacing w:val="-11"/>
          <w:sz w:val="16"/>
        </w:rPr>
        <w:t> </w:t>
      </w:r>
      <w:r>
        <w:rPr>
          <w:rFonts w:ascii="Arial" w:hAnsi="Arial"/>
          <w:color w:val="231F20"/>
          <w:spacing w:val="-6"/>
          <w:sz w:val="16"/>
        </w:rPr>
        <w:t>RPF,</w:t>
      </w:r>
      <w:r>
        <w:rPr>
          <w:rFonts w:ascii="Arial" w:hAnsi="Arial"/>
          <w:color w:val="231F20"/>
          <w:spacing w:val="-10"/>
          <w:sz w:val="16"/>
        </w:rPr>
        <w:t> </w:t>
      </w:r>
      <w:r>
        <w:rPr>
          <w:rFonts w:ascii="Arial" w:hAnsi="Arial"/>
          <w:color w:val="231F20"/>
          <w:sz w:val="16"/>
        </w:rPr>
        <w:t>renal</w:t>
      </w:r>
      <w:r>
        <w:rPr>
          <w:rFonts w:ascii="Arial" w:hAnsi="Arial"/>
          <w:color w:val="231F20"/>
          <w:spacing w:val="-11"/>
          <w:sz w:val="16"/>
        </w:rPr>
        <w:t> </w:t>
      </w:r>
      <w:r>
        <w:rPr>
          <w:rFonts w:ascii="Arial" w:hAnsi="Arial"/>
          <w:color w:val="231F20"/>
          <w:sz w:val="16"/>
        </w:rPr>
        <w:t>plasma</w:t>
      </w:r>
      <w:r>
        <w:rPr>
          <w:rFonts w:ascii="Arial" w:hAnsi="Arial"/>
          <w:color w:val="231F20"/>
          <w:spacing w:val="-11"/>
          <w:sz w:val="16"/>
        </w:rPr>
        <w:t> </w:t>
      </w:r>
      <w:r>
        <w:rPr>
          <w:rFonts w:ascii="Arial" w:hAnsi="Arial"/>
          <w:color w:val="231F20"/>
          <w:sz w:val="16"/>
        </w:rPr>
        <w:t>flow;</w:t>
      </w:r>
    </w:p>
    <w:p>
      <w:pPr>
        <w:spacing w:before="0"/>
        <w:ind w:left="1600" w:right="0" w:firstLine="0"/>
        <w:jc w:val="left"/>
        <w:rPr>
          <w:rFonts w:ascii="Arial"/>
          <w:sz w:val="16"/>
        </w:rPr>
      </w:pPr>
      <w:r>
        <w:rPr>
          <w:rFonts w:ascii="Arial"/>
          <w:color w:val="231F20"/>
          <w:sz w:val="16"/>
        </w:rPr>
        <w:t>S, a substance; U, urine concentration; </w:t>
      </w:r>
      <w:r>
        <w:rPr>
          <w:rFonts w:ascii="Arial"/>
          <w:spacing w:val="-75"/>
          <w:sz w:val="16"/>
        </w:rPr>
        <w:t>V</w:t>
      </w:r>
      <w:r>
        <w:rPr>
          <w:rFonts w:ascii="Arial"/>
          <w:spacing w:val="27"/>
          <w:position w:val="5"/>
          <w:sz w:val="16"/>
        </w:rPr>
        <w:t> </w:t>
      </w:r>
      <w:r>
        <w:rPr>
          <w:rFonts w:ascii="Arial"/>
          <w:color w:val="231F20"/>
          <w:sz w:val="16"/>
        </w:rPr>
        <w:t>, urine flow rate; V</w:t>
      </w:r>
      <w:r>
        <w:rPr>
          <w:rFonts w:ascii="Arial"/>
          <w:color w:val="231F20"/>
          <w:position w:val="-1"/>
          <w:sz w:val="9"/>
        </w:rPr>
        <w:t>PAH</w:t>
      </w:r>
      <w:r>
        <w:rPr>
          <w:rFonts w:ascii="Arial"/>
          <w:color w:val="231F20"/>
          <w:sz w:val="16"/>
        </w:rPr>
        <w:t>, renal venous </w:t>
      </w:r>
      <w:r>
        <w:rPr>
          <w:rFonts w:ascii="Arial"/>
          <w:color w:val="231F20"/>
          <w:spacing w:val="-4"/>
          <w:sz w:val="16"/>
        </w:rPr>
        <w:t>PAH </w:t>
      </w:r>
      <w:r>
        <w:rPr>
          <w:rFonts w:ascii="Arial"/>
          <w:color w:val="231F20"/>
          <w:sz w:val="16"/>
        </w:rPr>
        <w:t>concentration.</w:t>
      </w:r>
    </w:p>
    <w:p>
      <w:pPr>
        <w:spacing w:after="0"/>
        <w:jc w:val="left"/>
        <w:rPr>
          <w:rFonts w:ascii="Arial"/>
          <w:sz w:val="16"/>
        </w:rPr>
        <w:sectPr>
          <w:type w:val="continuous"/>
          <w:pgSz w:w="12240" w:h="15660"/>
          <w:pgMar w:top="0" w:bottom="760" w:left="0" w:right="0"/>
        </w:sectPr>
      </w:pPr>
    </w:p>
    <w:p>
      <w:pPr>
        <w:pStyle w:val="BodyText"/>
        <w:spacing w:before="7"/>
        <w:rPr>
          <w:rFonts w:ascii="Arial"/>
          <w:sz w:val="21"/>
        </w:rPr>
      </w:pPr>
    </w:p>
    <w:p>
      <w:pPr>
        <w:spacing w:after="0"/>
        <w:rPr>
          <w:rFonts w:ascii="Arial"/>
          <w:sz w:val="21"/>
        </w:rPr>
        <w:sectPr>
          <w:headerReference w:type="even" r:id="rId726"/>
          <w:footerReference w:type="even" r:id="rId727"/>
          <w:footerReference w:type="default" r:id="rId728"/>
          <w:pgSz w:w="12240" w:h="15660"/>
          <w:pgMar w:header="0" w:footer="567" w:top="720" w:bottom="760" w:left="0" w:right="0"/>
          <w:pgNumType w:start="366"/>
        </w:sectPr>
      </w:pPr>
    </w:p>
    <w:p>
      <w:pPr>
        <w:spacing w:before="143"/>
        <w:ind w:left="1714" w:right="0" w:firstLine="0"/>
        <w:jc w:val="left"/>
        <w:rPr>
          <w:rFonts w:ascii="Helvetica"/>
          <w:sz w:val="16"/>
        </w:rPr>
      </w:pPr>
      <w:r>
        <w:rPr/>
        <w:pict>
          <v:group style="position:absolute;margin-left:113.920593pt;margin-top:5.583332pt;width:172.1pt;height:199.4pt;mso-position-horizontal-relative:page;mso-position-vertical-relative:paragraph;z-index:-273111040" coordorigin="2278,112" coordsize="3442,3988">
            <v:shape style="position:absolute;left:3470;top:418;width:1022;height:3391" coordorigin="3471,418" coordsize="1022,3391" path="m3557,418l3527,426,3498,470,3487,501,3478,543,3472,594,3471,652,3477,714,3492,780,3518,847,3558,912,3613,974,3685,1030,3776,1080,3812,1090,3831,1103,3839,1128,3842,1173,3842,3726,3847,3772,3863,3796,3904,3806,3982,3808,4060,3794,4102,3766,4119,3739,4122,3726,4122,1173,4133,1126,4155,1097,4177,1083,4187,1080,4278,1030,4350,974,4405,912,4445,847,4471,780,4487,714,4490,682,3865,682,3795,672,3743,641,3680,579,3639,532,3610,493,3593,463,3588,445,3579,430,3557,418xm4407,418l4384,430,4376,445,4370,463,4354,493,4325,532,4283,579,4193,640,4094,669,4014,678,3982,679,3865,682,4490,682,4493,652,4492,594,4485,543,4476,501,4466,470,4436,426,4407,418xe" filled="true" fillcolor="#ffe293" stroked="false">
              <v:path arrowok="t"/>
              <v:fill type="solid"/>
            </v:shape>
            <v:shape style="position:absolute;left:3470;top:418;width:1022;height:3391" coordorigin="3471,418" coordsize="1022,3391" path="m3982,3808l4060,3794,4102,3766,4119,3739,4122,3726,4122,1173,4133,1126,4155,1097,4177,1083,4187,1080,4278,1030,4350,974,4405,912,4445,847,4471,780,4487,714,4493,652,4492,594,4476,501,4436,426,4407,418,4384,430,4376,445,4370,463,4354,493,4283,579,4193,640,4094,669,4014,678,3982,679,3865,682,3795,672,3743,641,3680,579,3639,532,3593,463,3588,445,3579,430,3557,418,3527,426,3498,470,3487,501,3478,543,3472,594,3471,652,3477,714,3492,780,3518,847,3558,912,3613,974,3685,1030,3776,1080,3812,1090,3831,1103,3839,1128,3842,1173,3842,3726,3847,3772,3863,3796,3904,3806,3982,3808xe" filled="false" stroked="true" strokeweight=".25pt" strokecolor="#b7705b">
              <v:path arrowok="t"/>
              <v:stroke dashstyle="solid"/>
            </v:shape>
            <v:shape style="position:absolute;left:3026;top:114;width:2280;height:3399" coordorigin="3027,114" coordsize="2280,3399" path="m4516,3115l4283,3115,4283,3152,4291,3224,4320,3315,4380,3406,4423,3444,4481,3478,4559,3503,4657,3512,5307,3512,5307,3279,4655,3279,4609,3276,4579,3267,4560,3256,4551,3247,4533,3221,4522,3191,4517,3162,4516,3139,4516,3134,4516,3130,4516,3115xm4969,347l4435,347,4440,347,4677,347,4703,352,4724,367,4739,388,4744,414,4744,731,4741,751,4734,780,4722,811,4702,837,4700,839,4699,841,4381,1181,4362,1205,4328,1263,4297,1355,4283,1484,4283,1494,4283,1500,4283,3121,4283,3118,4283,3115,4516,3115,4516,1500,4516,1494,4516,1484,4521,1420,4533,1375,4546,1348,4552,1339,4862,1006,4862,1006,4925,924,4959,841,4974,773,4977,738,4977,414,4969,347xm4867,1001l4864,1005,4862,1006,4862,1006,4867,1001xm3978,603l3979,603,3982,603,3979,603,3978,603xm3895,347l3528,347,3542,348,3560,351,3577,357,3589,368,3658,454,3728,517,3797,560,3863,587,3926,600,3982,603,4038,600,4100,587,4167,560,4236,517,4305,454,4372,370,3978,370,3927,363,3895,347xm3983,370l3981,370,3978,370,3985,370,3983,370xm4677,114l4444,114,4446,114,4448,114,4412,115,4342,126,4259,163,4182,236,4135,296,4086,338,4036,363,3985,370,4372,370,4374,368,4387,357,4404,351,4421,348,4435,347,4969,347,4969,345,4946,282,4911,226,4865,180,4809,145,4746,122,4677,114xm3520,114l3027,114,3027,347,3523,347,3528,347,3895,347,3877,338,3829,296,3781,236,3705,163,3622,126,3552,115,3515,114,3517,114,3520,114xe" filled="true" fillcolor="#f15b66" stroked="false">
              <v:path arrowok="t"/>
              <v:fill type="solid"/>
            </v:shape>
            <v:shape style="position:absolute;left:-955;top:14202;width:2280;height:3399" coordorigin="-955,14203" coordsize="2280,3399" path="m3982,603l3982,603m4182,236l4135,296,4086,338,4036,363,3985,370,3983,370,3981,370,3978,370,3927,363,3877,338,3829,296,3781,236,3705,163,3622,126,3552,115,3515,114,3517,114,3520,114,3522,114,3027,114,3027,347,3522,347,3523,347,3527,347,3528,347,3542,348,3560,351,3577,357,3589,368,3658,454,3728,517,3797,560,3863,587,3926,600,3982,603,3981,603,3979,603,3978,603,3979,603,3981,603,3982,603,3983,603,3984,603,3985,603,3984,603,3983,603,3982,603,4038,600,4100,587,4167,560,4236,517,4305,454,4374,368,4387,357,4404,351,4421,348,4435,347,4437,347,4440,347,4441,347,4677,347,4703,352,4724,367,4739,388,4744,414,4744,731,4741,751,4734,780,4722,811,4702,837,4700,839,4699,841,4697,842,4381,1181,4362,1205,4328,1263,4297,1355,4283,1484,4283,1490,4283,1497,4283,1504,4283,3124,4283,3121,4283,3118,4283,3115,4283,3152,4291,3224,4320,3315,4380,3406,4423,3444,4481,3478,4559,3503,4657,3512,5307,3512,5307,3279,4655,3279,4609,3276,4579,3267,4560,3256,4551,3247,4533,3221,4522,3191,4517,3162,4516,3139,4516,3136,4516,3134,4516,3132,4516,3130,4516,3126,4516,3124,4516,1504,4516,1503,4516,1501,4516,1500,4516,1494,4516,1489,4516,1484,4521,1420,4533,1375,4546,1348,4552,1339,4613,1274,4720,1159,4822,1050,4867,1001,4866,1003,4864,1005,4862,1006,4925,924,4959,841,4974,773,4977,738,4977,414,4969,345,4946,282,4911,226,4865,180,4809,145,4746,122,4677,114,4441,114,4444,114,4446,114,4448,114,4412,115,4342,126,4259,163,4182,236xe" filled="false" stroked="true" strokeweight=".25pt" strokecolor="#231f20">
              <v:path arrowok="t"/>
              <v:stroke dashstyle="solid"/>
            </v:shape>
            <v:shape style="position:absolute;left:3026;top:227;width:2513;height:3168" coordorigin="3027,228" coordsize="2513,3168" path="m5540,3396l4655,3396,4498,3355,4423,3261,4401,3167,4400,3124,4400,1504,4407,1395,4430,1319,4466,1261,4782,922,4826,863,4849,802,4859,754,4860,735,4860,414,4846,342,4807,284,4749,245,4677,231,4441,231,4377,228,4339,234,4311,257,4278,302,4237,356,4186,407,4127,449,4059,478,3982,486,3904,478,3836,449,3777,407,3727,356,3685,302,3637,258,3584,237,3540,231,3522,231,3027,231e" filled="false" stroked="true" strokeweight="2.25pt" strokecolor="#231f20">
              <v:path arrowok="t"/>
              <v:stroke dashstyle="solid"/>
            </v:shape>
            <v:shape style="position:absolute;left:2949;top:111;width:156;height:239" type="#_x0000_t75" stroked="false">
              <v:imagedata r:id="rId729" o:title=""/>
            </v:shape>
            <v:line style="position:absolute" from="3982,502" to="3982,3958" stroked="true" strokeweight="1pt" strokecolor="#231f20">
              <v:stroke dashstyle="solid"/>
            </v:line>
            <v:shape style="position:absolute;left:5476;top:3316;width:245;height:159" type="#_x0000_t75" stroked="false">
              <v:imagedata r:id="rId730" o:title=""/>
            </v:shape>
            <v:shape style="position:absolute;left:3927;top:3933;width:108;height:167" type="#_x0000_t75" stroked="false">
              <v:imagedata r:id="rId731" o:title=""/>
            </v:shape>
            <v:line style="position:absolute" from="2278,2183" to="2997,2183" stroked="true" strokeweight=".75pt" strokecolor="#231f20">
              <v:stroke dashstyle="solid"/>
            </v:line>
            <w10:wrap type="none"/>
          </v:group>
        </w:pict>
      </w:r>
      <w:r>
        <w:rPr>
          <w:rFonts w:ascii="Helvetica"/>
          <w:color w:val="231F20"/>
          <w:sz w:val="16"/>
        </w:rPr>
        <w:t>P</w:t>
      </w:r>
      <w:r>
        <w:rPr>
          <w:rFonts w:ascii="Helvetica"/>
          <w:color w:val="231F20"/>
          <w:sz w:val="16"/>
          <w:vertAlign w:val="subscript"/>
        </w:rPr>
        <w:t>inulin</w:t>
      </w:r>
      <w:r>
        <w:rPr>
          <w:rFonts w:ascii="Helvetica"/>
          <w:color w:val="231F20"/>
          <w:sz w:val="16"/>
          <w:vertAlign w:val="baseline"/>
        </w:rPr>
        <w:t> = 1 mg/ml</w:t>
      </w:r>
    </w:p>
    <w:p>
      <w:pPr>
        <w:pStyle w:val="BodyText"/>
        <w:rPr>
          <w:rFonts w:ascii="Helvetica"/>
        </w:rPr>
      </w:pPr>
    </w:p>
    <w:p>
      <w:pPr>
        <w:pStyle w:val="BodyText"/>
        <w:rPr>
          <w:rFonts w:ascii="Helvetica"/>
        </w:rPr>
      </w:pPr>
    </w:p>
    <w:p>
      <w:pPr>
        <w:pStyle w:val="BodyText"/>
        <w:rPr>
          <w:rFonts w:ascii="Helvetica"/>
        </w:rPr>
      </w:pPr>
    </w:p>
    <w:p>
      <w:pPr>
        <w:spacing w:before="135"/>
        <w:ind w:left="1119" w:right="0" w:firstLine="0"/>
        <w:jc w:val="left"/>
        <w:rPr>
          <w:rFonts w:ascii="Helvetica"/>
          <w:sz w:val="16"/>
        </w:rPr>
      </w:pPr>
      <w:r>
        <w:rPr>
          <w:rFonts w:ascii="Helvetica"/>
          <w:color w:val="231F20"/>
          <w:sz w:val="16"/>
        </w:rPr>
        <w:t>Amount filtered = Amount excreted</w:t>
      </w:r>
    </w:p>
    <w:p>
      <w:pPr>
        <w:spacing w:line="148" w:lineRule="exact" w:before="44"/>
        <w:ind w:left="0" w:right="407" w:firstLine="0"/>
        <w:jc w:val="right"/>
        <w:rPr>
          <w:rFonts w:ascii="Helvetica"/>
          <w:sz w:val="16"/>
        </w:rPr>
      </w:pPr>
      <w:r>
        <w:rPr>
          <w:rFonts w:ascii="Helvetica"/>
          <w:color w:val="231F20"/>
          <w:w w:val="100"/>
          <w:sz w:val="16"/>
        </w:rPr>
        <w:t>.</w:t>
      </w:r>
    </w:p>
    <w:p>
      <w:pPr>
        <w:spacing w:line="181" w:lineRule="exact" w:before="0"/>
        <w:ind w:left="0" w:right="375" w:firstLine="0"/>
        <w:jc w:val="right"/>
        <w:rPr>
          <w:rFonts w:ascii="Helvetica" w:hAnsi="Helvetica"/>
          <w:sz w:val="16"/>
        </w:rPr>
      </w:pPr>
      <w:r>
        <w:rPr>
          <w:rFonts w:ascii="Helvetica" w:hAnsi="Helvetica"/>
          <w:color w:val="231F20"/>
          <w:position w:val="3"/>
          <w:sz w:val="16"/>
        </w:rPr>
        <w:t>GFR </w:t>
      </w:r>
      <w:r>
        <w:rPr>
          <w:rFonts w:ascii="Symbol" w:hAnsi="Symbol"/>
          <w:color w:val="231F20"/>
          <w:position w:val="3"/>
          <w:sz w:val="16"/>
        </w:rPr>
        <w:t></w:t>
      </w:r>
      <w:r>
        <w:rPr>
          <w:color w:val="231F20"/>
          <w:position w:val="3"/>
          <w:sz w:val="16"/>
        </w:rPr>
        <w:t> </w:t>
      </w:r>
      <w:r>
        <w:rPr>
          <w:rFonts w:ascii="Helvetica" w:hAnsi="Helvetica"/>
          <w:color w:val="231F20"/>
          <w:position w:val="3"/>
          <w:sz w:val="16"/>
        </w:rPr>
        <w:t>P</w:t>
      </w:r>
      <w:r>
        <w:rPr>
          <w:rFonts w:ascii="Helvetica" w:hAnsi="Helvetica"/>
          <w:color w:val="231F20"/>
          <w:sz w:val="12"/>
        </w:rPr>
        <w:t>inulin </w:t>
      </w:r>
      <w:r>
        <w:rPr>
          <w:rFonts w:ascii="Helvetica" w:hAnsi="Helvetica"/>
          <w:color w:val="231F20"/>
          <w:position w:val="3"/>
          <w:sz w:val="16"/>
        </w:rPr>
        <w:t>= U</w:t>
      </w:r>
      <w:r>
        <w:rPr>
          <w:rFonts w:ascii="Helvetica" w:hAnsi="Helvetica"/>
          <w:color w:val="231F20"/>
          <w:sz w:val="12"/>
        </w:rPr>
        <w:t>inulin </w:t>
      </w:r>
      <w:r>
        <w:rPr>
          <w:rFonts w:ascii="Symbol" w:hAnsi="Symbol"/>
          <w:color w:val="231F20"/>
          <w:position w:val="3"/>
          <w:sz w:val="16"/>
        </w:rPr>
        <w:t></w:t>
      </w:r>
      <w:r>
        <w:rPr>
          <w:color w:val="231F20"/>
          <w:position w:val="3"/>
          <w:sz w:val="16"/>
        </w:rPr>
        <w:t> </w:t>
      </w:r>
      <w:r>
        <w:rPr>
          <w:rFonts w:ascii="Helvetica" w:hAnsi="Helvetica"/>
          <w:color w:val="231F20"/>
          <w:position w:val="3"/>
          <w:sz w:val="16"/>
        </w:rPr>
        <w:t>V</w:t>
      </w:r>
    </w:p>
    <w:p>
      <w:pPr>
        <w:spacing w:before="99"/>
        <w:ind w:left="0" w:right="5089" w:firstLine="0"/>
        <w:jc w:val="right"/>
        <w:rPr>
          <w:rFonts w:ascii="Helvetica"/>
          <w:sz w:val="16"/>
        </w:rPr>
      </w:pPr>
      <w:r>
        <w:rPr/>
        <w:br w:type="column"/>
      </w:r>
      <w:r>
        <w:rPr>
          <w:rFonts w:ascii="Helvetica"/>
          <w:color w:val="231F20"/>
          <w:w w:val="95"/>
          <w:sz w:val="16"/>
        </w:rPr>
        <w:t>100</w:t>
      </w:r>
    </w:p>
    <w:p>
      <w:pPr>
        <w:pStyle w:val="BodyText"/>
        <w:rPr>
          <w:rFonts w:ascii="Helvetica"/>
          <w:sz w:val="18"/>
        </w:rPr>
      </w:pPr>
    </w:p>
    <w:p>
      <w:pPr>
        <w:pStyle w:val="BodyText"/>
        <w:rPr>
          <w:rFonts w:ascii="Helvetica"/>
          <w:sz w:val="18"/>
        </w:rPr>
      </w:pPr>
    </w:p>
    <w:p>
      <w:pPr>
        <w:spacing w:before="120"/>
        <w:ind w:left="0" w:right="5089" w:firstLine="0"/>
        <w:jc w:val="right"/>
        <w:rPr>
          <w:rFonts w:ascii="Helvetica"/>
          <w:sz w:val="16"/>
        </w:rPr>
      </w:pPr>
      <w:r>
        <w:rPr/>
        <w:pict>
          <v:group style="position:absolute;margin-left:359.613495pt;margin-top:-26.789566pt;width:154.7pt;height:77.6pt;mso-position-horizontal-relative:page;mso-position-vertical-relative:paragraph;z-index:252297216" coordorigin="7192,-536" coordsize="3094,1552">
            <v:shape style="position:absolute;left:-75;top:13984;width:3082;height:1533" coordorigin="-74,13984" coordsize="3082,1533" path="m7267,-507l7192,-507m7267,210l7192,210m7267,927l7192,927m7330,942l7330,1016m7267,-517l7267,936m8063,941l8063,1015m8797,940l8797,1014m9531,939l9531,1013m10264,938l10264,1012m7267,937l10273,937e" filled="false" stroked="true" strokeweight="1pt" strokecolor="#231f20">
              <v:path arrowok="t"/>
              <v:stroke dashstyle="solid"/>
            </v:shape>
            <v:shape style="position:absolute;left:7393;top:-516;width:2873;height:788" coordorigin="7393,-516" coordsize="2873,788" path="m7393,-516l8052,-516,8052,272,10266,272e" filled="false" stroked="true" strokeweight="2pt" strokecolor="#f0535f">
              <v:path arrowok="t"/>
              <v:stroke dashstyle="solid"/>
            </v:shape>
            <w10:wrap type="none"/>
          </v:group>
        </w:pict>
      </w:r>
      <w:r>
        <w:rPr/>
        <w:pict>
          <v:shape style="position:absolute;margin-left:330.429901pt;margin-top:-16.691368pt;width:11.55pt;height:52.25pt;mso-position-horizontal-relative:page;mso-position-vertical-relative:paragraph;z-index:25230028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GFR (ml/min)</w:t>
                  </w:r>
                </w:p>
              </w:txbxContent>
            </v:textbox>
            <w10:wrap type="none"/>
          </v:shape>
        </w:pict>
      </w:r>
      <w:r>
        <w:rPr>
          <w:rFonts w:ascii="Helvetica"/>
          <w:color w:val="231F20"/>
          <w:w w:val="95"/>
          <w:sz w:val="16"/>
        </w:rPr>
        <w:t>50</w:t>
      </w:r>
    </w:p>
    <w:p>
      <w:pPr>
        <w:pStyle w:val="BodyText"/>
        <w:rPr>
          <w:rFonts w:ascii="Helvetica"/>
          <w:sz w:val="18"/>
        </w:rPr>
      </w:pPr>
    </w:p>
    <w:p>
      <w:pPr>
        <w:pStyle w:val="BodyText"/>
        <w:rPr>
          <w:rFonts w:ascii="Helvetica"/>
          <w:sz w:val="18"/>
        </w:rPr>
      </w:pPr>
    </w:p>
    <w:p>
      <w:pPr>
        <w:spacing w:before="123"/>
        <w:ind w:left="0" w:right="5089" w:firstLine="0"/>
        <w:jc w:val="right"/>
        <w:rPr>
          <w:rFonts w:ascii="Helvetica"/>
          <w:sz w:val="16"/>
        </w:rPr>
      </w:pPr>
      <w:r>
        <w:rPr>
          <w:rFonts w:ascii="Helvetica"/>
          <w:color w:val="231F20"/>
          <w:w w:val="99"/>
          <w:sz w:val="16"/>
        </w:rPr>
        <w:t>0</w:t>
      </w:r>
    </w:p>
    <w:p>
      <w:pPr>
        <w:spacing w:after="0"/>
        <w:jc w:val="right"/>
        <w:rPr>
          <w:rFonts w:ascii="Helvetica"/>
          <w:sz w:val="16"/>
        </w:rPr>
        <w:sectPr>
          <w:type w:val="continuous"/>
          <w:pgSz w:w="12240" w:h="15660"/>
          <w:pgMar w:top="0" w:bottom="760" w:left="0" w:right="0"/>
          <w:cols w:num="2" w:equalWidth="0">
            <w:col w:w="3628" w:space="2134"/>
            <w:col w:w="6478"/>
          </w:cols>
        </w:sectPr>
      </w:pPr>
    </w:p>
    <w:p>
      <w:pPr>
        <w:pStyle w:val="BodyText"/>
        <w:rPr>
          <w:rFonts w:ascii="Helvetica"/>
          <w:sz w:val="18"/>
        </w:rPr>
      </w:pPr>
    </w:p>
    <w:p>
      <w:pPr>
        <w:spacing w:line="130" w:lineRule="exact" w:before="149"/>
        <w:ind w:left="0" w:right="0" w:firstLine="0"/>
        <w:jc w:val="right"/>
        <w:rPr>
          <w:rFonts w:ascii="Helvetica"/>
          <w:sz w:val="16"/>
        </w:rPr>
      </w:pPr>
      <w:r>
        <w:rPr>
          <w:rFonts w:ascii="Helvetica"/>
          <w:color w:val="231F20"/>
          <w:sz w:val="16"/>
        </w:rPr>
        <w:t>GFR =</w:t>
      </w:r>
    </w:p>
    <w:p>
      <w:pPr>
        <w:spacing w:line="153" w:lineRule="exact" w:before="94"/>
        <w:ind w:left="0" w:right="9290" w:firstLine="0"/>
        <w:jc w:val="right"/>
        <w:rPr>
          <w:rFonts w:ascii="Helvetica"/>
          <w:sz w:val="16"/>
        </w:rPr>
      </w:pPr>
      <w:r>
        <w:rPr/>
        <w:br w:type="column"/>
      </w:r>
      <w:r>
        <w:rPr>
          <w:rFonts w:ascii="Helvetica"/>
          <w:color w:val="231F20"/>
          <w:sz w:val="16"/>
        </w:rPr>
        <w:t>.</w:t>
      </w:r>
    </w:p>
    <w:p>
      <w:pPr>
        <w:spacing w:line="175" w:lineRule="exact" w:before="0"/>
        <w:ind w:left="0" w:right="9260" w:firstLine="0"/>
        <w:jc w:val="right"/>
        <w:rPr>
          <w:rFonts w:ascii="Helvetica"/>
          <w:sz w:val="16"/>
        </w:rPr>
      </w:pPr>
      <w:r>
        <w:rPr/>
        <w:pict>
          <v:shape style="position:absolute;margin-left:136.910797pt;margin-top:-2.121058pt;width:4.4pt;height:10.45pt;mso-position-horizontal-relative:page;mso-position-vertical-relative:paragraph;z-index:-273103872" type="#_x0000_t202" filled="false" stroked="false">
            <v:textbox inset="0,0,0,0">
              <w:txbxContent>
                <w:p>
                  <w:pPr>
                    <w:spacing w:before="0"/>
                    <w:ind w:left="0" w:right="0" w:firstLine="0"/>
                    <w:jc w:val="left"/>
                    <w:rPr>
                      <w:rFonts w:ascii="Symbol" w:hAnsi="Symbol"/>
                      <w:sz w:val="16"/>
                    </w:rPr>
                  </w:pPr>
                  <w:r>
                    <w:rPr>
                      <w:rFonts w:ascii="Symbol" w:hAnsi="Symbol"/>
                      <w:color w:val="231F20"/>
                      <w:w w:val="100"/>
                      <w:sz w:val="16"/>
                    </w:rPr>
                    <w:t></w:t>
                  </w:r>
                </w:p>
              </w:txbxContent>
            </v:textbox>
            <w10:wrap type="none"/>
          </v:shape>
        </w:pict>
      </w:r>
      <w:r>
        <w:rPr>
          <w:rFonts w:ascii="Helvetica"/>
          <w:color w:val="231F20"/>
          <w:position w:val="3"/>
          <w:sz w:val="16"/>
        </w:rPr>
        <w:t>U</w:t>
      </w:r>
      <w:r>
        <w:rPr>
          <w:rFonts w:ascii="Helvetica"/>
          <w:color w:val="231F20"/>
          <w:sz w:val="12"/>
        </w:rPr>
        <w:t>inulin    </w:t>
      </w:r>
      <w:r>
        <w:rPr>
          <w:rFonts w:ascii="Helvetica"/>
          <w:color w:val="231F20"/>
          <w:spacing w:val="9"/>
          <w:sz w:val="12"/>
        </w:rPr>
        <w:t> </w:t>
      </w:r>
      <w:r>
        <w:rPr>
          <w:rFonts w:ascii="Helvetica"/>
          <w:color w:val="231F20"/>
          <w:position w:val="3"/>
          <w:sz w:val="16"/>
        </w:rPr>
        <w:t>V</w:t>
      </w:r>
    </w:p>
    <w:p>
      <w:pPr>
        <w:spacing w:after="0" w:line="175" w:lineRule="exact"/>
        <w:jc w:val="right"/>
        <w:rPr>
          <w:rFonts w:ascii="Helvetica"/>
          <w:sz w:val="16"/>
        </w:rPr>
        <w:sectPr>
          <w:type w:val="continuous"/>
          <w:pgSz w:w="12240" w:h="15660"/>
          <w:pgMar w:top="0" w:bottom="760" w:left="0" w:right="0"/>
          <w:cols w:num="2" w:equalWidth="0">
            <w:col w:w="2187" w:space="40"/>
            <w:col w:w="10013"/>
          </w:cols>
        </w:sectPr>
      </w:pPr>
    </w:p>
    <w:p>
      <w:pPr>
        <w:tabs>
          <w:tab w:pos="7148" w:val="right" w:leader="none"/>
        </w:tabs>
        <w:spacing w:line="254" w:lineRule="exact" w:before="0"/>
        <w:ind w:left="2444" w:right="0" w:firstLine="0"/>
        <w:jc w:val="left"/>
        <w:rPr>
          <w:rFonts w:ascii="Helvetica"/>
          <w:sz w:val="16"/>
        </w:rPr>
      </w:pPr>
      <w:r>
        <w:rPr/>
        <w:pict>
          <v:group style="position:absolute;margin-left:359.613495pt;margin-top:7.768846pt;width:154.75pt;height:76.7pt;mso-position-horizontal-relative:page;mso-position-vertical-relative:paragraph;z-index:252296192" coordorigin="7192,155" coordsize="3095,1534">
            <v:shape style="position:absolute;left:-75;top:12474;width:3082;height:1533" coordorigin="-74,12475" coordsize="3082,1533" path="m7267,165l7192,165m7267,882l7192,882m7267,1599l7192,1599m7330,1614l7330,1689m7267,156l7267,1609m8063,1613l8063,1688m8797,1612l8797,1687m9531,1611l9531,1686m10264,1610l10264,1685m7267,1609l10273,1609e" filled="false" stroked="true" strokeweight="1pt" strokecolor="#231f20">
              <v:path arrowok="t"/>
              <v:stroke dashstyle="solid"/>
            </v:shape>
            <v:shape style="position:absolute;left:7366;top:199;width:2900;height:687" coordorigin="7367,200" coordsize="2900,687" path="m7367,886l8057,886,8122,589,8240,426,8500,337,8987,266,9541,212,9942,200,10185,208,10267,216e" filled="false" stroked="true" strokeweight="2pt" strokecolor="#f0535f">
              <v:path arrowok="t"/>
              <v:stroke dashstyle="solid"/>
            </v:shape>
            <w10:wrap type="none"/>
          </v:group>
        </w:pict>
      </w:r>
      <w:r>
        <w:rPr/>
        <w:pict>
          <v:shape style="position:absolute;margin-left:329.429993pt;margin-top:1.146836pt;width:20.55pt;height:83.8pt;mso-position-horizontal-relative:page;mso-position-vertical-relative:paragraph;z-index:-273105920" type="#_x0000_t202" filled="false" stroked="false">
            <v:textbox inset="0,0,0,0" style="layout-flow:vertical;mso-layout-flow-alt:bottom-to-top">
              <w:txbxContent>
                <w:p>
                  <w:pPr>
                    <w:spacing w:line="235" w:lineRule="auto" w:before="27"/>
                    <w:ind w:left="20" w:right="0" w:firstLine="168"/>
                    <w:jc w:val="left"/>
                    <w:rPr>
                      <w:rFonts w:ascii="Helvetica"/>
                      <w:b/>
                      <w:sz w:val="16"/>
                    </w:rPr>
                  </w:pPr>
                  <w:r>
                    <w:rPr>
                      <w:rFonts w:ascii="Helvetica"/>
                      <w:b/>
                      <w:color w:val="231F20"/>
                      <w:sz w:val="16"/>
                    </w:rPr>
                    <w:t>Serum creatinine concentration (mg/dl)</w:t>
                  </w:r>
                </w:p>
              </w:txbxContent>
            </v:textbox>
            <w10:wrap type="none"/>
          </v:shape>
        </w:pict>
      </w:r>
      <w:r>
        <w:rPr>
          <w:rFonts w:ascii="Helvetica"/>
          <w:color w:val="231F20"/>
          <w:position w:val="3"/>
          <w:sz w:val="16"/>
        </w:rPr>
        <w:t>P</w:t>
      </w:r>
      <w:r>
        <w:rPr>
          <w:rFonts w:ascii="Helvetica"/>
          <w:color w:val="231F20"/>
          <w:sz w:val="12"/>
        </w:rPr>
        <w:t>inulin</w:t>
        <w:tab/>
      </w:r>
      <w:r>
        <w:rPr>
          <w:rFonts w:ascii="Helvetica"/>
          <w:color w:val="231F20"/>
          <w:position w:val="-3"/>
          <w:sz w:val="16"/>
        </w:rPr>
        <w:t>2</w:t>
      </w:r>
    </w:p>
    <w:p>
      <w:pPr>
        <w:spacing w:before="158"/>
        <w:ind w:left="1677" w:right="0" w:firstLine="0"/>
        <w:jc w:val="left"/>
        <w:rPr>
          <w:rFonts w:ascii="Helvetica"/>
          <w:sz w:val="16"/>
        </w:rPr>
      </w:pPr>
      <w:r>
        <w:rPr/>
        <w:pict>
          <v:rect style="position:absolute;margin-left:0pt;margin-top:20.498388pt;width:36pt;height:24pt;mso-position-horizontal-relative:page;mso-position-vertical-relative:paragraph;z-index:252292096" filled="true" fillcolor="#e8dac8" stroked="false">
            <v:fill type="solid"/>
            <w10:wrap type="none"/>
          </v:rect>
        </w:pict>
      </w:r>
      <w:r>
        <w:rPr>
          <w:rFonts w:ascii="Helvetica"/>
          <w:color w:val="231F20"/>
          <w:sz w:val="16"/>
        </w:rPr>
        <w:t>GFR = 125 ml/min</w:t>
      </w:r>
    </w:p>
    <w:p>
      <w:pPr>
        <w:spacing w:before="197"/>
        <w:ind w:left="1967" w:right="0" w:firstLine="0"/>
        <w:jc w:val="center"/>
        <w:rPr>
          <w:rFonts w:ascii="Helvetica"/>
          <w:sz w:val="16"/>
        </w:rPr>
      </w:pPr>
      <w:r>
        <w:rPr>
          <w:rFonts w:ascii="Helvetica"/>
          <w:color w:val="231F20"/>
          <w:w w:val="99"/>
          <w:sz w:val="16"/>
        </w:rPr>
        <w:t>1</w:t>
      </w:r>
    </w:p>
    <w:p>
      <w:pPr>
        <w:spacing w:after="0"/>
        <w:jc w:val="center"/>
        <w:rPr>
          <w:rFonts w:ascii="Helvetica"/>
          <w:sz w:val="16"/>
        </w:rPr>
        <w:sectPr>
          <w:type w:val="continuous"/>
          <w:pgSz w:w="12240" w:h="15660"/>
          <w:pgMar w:top="0" w:bottom="760" w:left="0" w:right="0"/>
        </w:sectPr>
      </w:pPr>
    </w:p>
    <w:p>
      <w:pPr>
        <w:spacing w:line="208" w:lineRule="auto" w:before="951"/>
        <w:ind w:left="3539" w:right="1054" w:hanging="216"/>
        <w:jc w:val="left"/>
        <w:rPr>
          <w:rFonts w:ascii="Helvetica"/>
          <w:sz w:val="16"/>
        </w:rPr>
      </w:pPr>
      <w:r>
        <w:rPr>
          <w:rFonts w:ascii="Helvetica"/>
          <w:color w:val="231F20"/>
          <w:sz w:val="16"/>
        </w:rPr>
        <w:t>U</w:t>
      </w:r>
      <w:r>
        <w:rPr>
          <w:rFonts w:ascii="Helvetica"/>
          <w:color w:val="231F20"/>
          <w:sz w:val="16"/>
          <w:vertAlign w:val="subscript"/>
        </w:rPr>
        <w:t>inu</w:t>
      </w:r>
      <w:r>
        <w:rPr>
          <w:rFonts w:ascii="Helvetica"/>
          <w:color w:val="231F20"/>
          <w:position w:val="-12"/>
          <w:sz w:val="16"/>
          <w:vertAlign w:val="baseline"/>
        </w:rPr>
        <w:t>.</w:t>
      </w:r>
      <w:r>
        <w:rPr>
          <w:rFonts w:ascii="Helvetica"/>
          <w:color w:val="231F20"/>
          <w:position w:val="-2"/>
          <w:sz w:val="12"/>
          <w:vertAlign w:val="baseline"/>
        </w:rPr>
        <w:t>lin </w:t>
      </w:r>
      <w:r>
        <w:rPr>
          <w:rFonts w:ascii="Helvetica"/>
          <w:color w:val="231F20"/>
          <w:sz w:val="16"/>
          <w:vertAlign w:val="baseline"/>
        </w:rPr>
        <w:t>= 125 mg/ml V = 1 ml/min</w:t>
      </w:r>
    </w:p>
    <w:p>
      <w:pPr>
        <w:spacing w:line="256" w:lineRule="auto" w:before="125"/>
        <w:ind w:left="1080" w:right="38" w:firstLine="0"/>
        <w:jc w:val="both"/>
        <w:rPr>
          <w:rFonts w:ascii="Arial" w:hAnsi="Arial"/>
          <w:sz w:val="16"/>
        </w:rPr>
      </w:pPr>
      <w:bookmarkStart w:name="_bookmark62" w:id="63"/>
      <w:bookmarkEnd w:id="63"/>
      <w:r>
        <w:rPr/>
      </w:r>
      <w:r>
        <w:rPr>
          <w:rFonts w:ascii="Trebuchet MS" w:hAnsi="Trebuchet MS"/>
          <w:b/>
          <w:color w:val="231F20"/>
          <w:sz w:val="16"/>
        </w:rPr>
        <w:t>Figure</w:t>
      </w:r>
      <w:r>
        <w:rPr>
          <w:rFonts w:ascii="Trebuchet MS" w:hAnsi="Trebuchet MS"/>
          <w:b/>
          <w:color w:val="231F20"/>
          <w:spacing w:val="-15"/>
          <w:sz w:val="16"/>
        </w:rPr>
        <w:t> </w:t>
      </w:r>
      <w:r>
        <w:rPr>
          <w:rFonts w:ascii="Trebuchet MS" w:hAnsi="Trebuchet MS"/>
          <w:b/>
          <w:color w:val="231F20"/>
          <w:sz w:val="16"/>
        </w:rPr>
        <w:t>28­20.</w:t>
      </w:r>
      <w:r>
        <w:rPr>
          <w:rFonts w:ascii="Trebuchet MS" w:hAnsi="Trebuchet MS"/>
          <w:b/>
          <w:color w:val="231F20"/>
          <w:spacing w:val="10"/>
          <w:sz w:val="16"/>
        </w:rPr>
        <w:t> </w:t>
      </w:r>
      <w:r>
        <w:rPr>
          <w:rFonts w:ascii="Arial" w:hAnsi="Arial"/>
          <w:color w:val="231F20"/>
          <w:sz w:val="16"/>
        </w:rPr>
        <w:t>Measurement</w:t>
      </w:r>
      <w:r>
        <w:rPr>
          <w:rFonts w:ascii="Arial" w:hAnsi="Arial"/>
          <w:color w:val="231F20"/>
          <w:spacing w:val="-11"/>
          <w:sz w:val="16"/>
        </w:rPr>
        <w:t> </w:t>
      </w:r>
      <w:r>
        <w:rPr>
          <w:rFonts w:ascii="Arial" w:hAnsi="Arial"/>
          <w:color w:val="231F20"/>
          <w:sz w:val="16"/>
        </w:rPr>
        <w:t>of</w:t>
      </w:r>
      <w:r>
        <w:rPr>
          <w:rFonts w:ascii="Arial" w:hAnsi="Arial"/>
          <w:color w:val="231F20"/>
          <w:spacing w:val="-11"/>
          <w:sz w:val="16"/>
        </w:rPr>
        <w:t> </w:t>
      </w:r>
      <w:r>
        <w:rPr>
          <w:rFonts w:ascii="Arial" w:hAnsi="Arial"/>
          <w:color w:val="231F20"/>
          <w:sz w:val="16"/>
        </w:rPr>
        <w:t>glomerular</w:t>
      </w:r>
      <w:r>
        <w:rPr>
          <w:rFonts w:ascii="Arial" w:hAnsi="Arial"/>
          <w:color w:val="231F20"/>
          <w:spacing w:val="-12"/>
          <w:sz w:val="16"/>
        </w:rPr>
        <w:t> </w:t>
      </w:r>
      <w:r>
        <w:rPr>
          <w:rFonts w:ascii="Arial" w:hAnsi="Arial"/>
          <w:color w:val="231F20"/>
          <w:sz w:val="16"/>
        </w:rPr>
        <w:t>filtration</w:t>
      </w:r>
      <w:r>
        <w:rPr>
          <w:rFonts w:ascii="Arial" w:hAnsi="Arial"/>
          <w:color w:val="231F20"/>
          <w:spacing w:val="-11"/>
          <w:sz w:val="16"/>
        </w:rPr>
        <w:t> </w:t>
      </w:r>
      <w:r>
        <w:rPr>
          <w:rFonts w:ascii="Arial" w:hAnsi="Arial"/>
          <w:color w:val="231F20"/>
          <w:sz w:val="16"/>
        </w:rPr>
        <w:t>rate</w:t>
      </w:r>
      <w:r>
        <w:rPr>
          <w:rFonts w:ascii="Arial" w:hAnsi="Arial"/>
          <w:color w:val="231F20"/>
          <w:spacing w:val="-10"/>
          <w:sz w:val="16"/>
        </w:rPr>
        <w:t> </w:t>
      </w:r>
      <w:r>
        <w:rPr>
          <w:rFonts w:ascii="Lucida Sans" w:hAnsi="Lucida Sans"/>
          <w:i/>
          <w:color w:val="231F20"/>
          <w:sz w:val="16"/>
        </w:rPr>
        <w:t>(GFR)</w:t>
      </w:r>
      <w:r>
        <w:rPr>
          <w:rFonts w:ascii="Lucida Sans" w:hAnsi="Lucida Sans"/>
          <w:i/>
          <w:color w:val="231F20"/>
          <w:spacing w:val="-18"/>
          <w:sz w:val="16"/>
        </w:rPr>
        <w:t> </w:t>
      </w:r>
      <w:r>
        <w:rPr>
          <w:rFonts w:ascii="Arial" w:hAnsi="Arial"/>
          <w:color w:val="231F20"/>
          <w:spacing w:val="-5"/>
          <w:sz w:val="16"/>
        </w:rPr>
        <w:t>from </w:t>
      </w:r>
      <w:r>
        <w:rPr>
          <w:rFonts w:ascii="Arial" w:hAnsi="Arial"/>
          <w:color w:val="231F20"/>
          <w:sz w:val="16"/>
        </w:rPr>
        <w:t>the</w:t>
      </w:r>
      <w:r>
        <w:rPr>
          <w:rFonts w:ascii="Arial" w:hAnsi="Arial"/>
          <w:color w:val="231F20"/>
          <w:spacing w:val="-15"/>
          <w:sz w:val="16"/>
        </w:rPr>
        <w:t> </w:t>
      </w:r>
      <w:r>
        <w:rPr>
          <w:rFonts w:ascii="Arial" w:hAnsi="Arial"/>
          <w:color w:val="231F20"/>
          <w:sz w:val="16"/>
        </w:rPr>
        <w:t>renal</w:t>
      </w:r>
      <w:r>
        <w:rPr>
          <w:rFonts w:ascii="Arial" w:hAnsi="Arial"/>
          <w:color w:val="231F20"/>
          <w:spacing w:val="-15"/>
          <w:sz w:val="16"/>
        </w:rPr>
        <w:t> </w:t>
      </w:r>
      <w:r>
        <w:rPr>
          <w:rFonts w:ascii="Arial" w:hAnsi="Arial"/>
          <w:color w:val="231F20"/>
          <w:sz w:val="16"/>
        </w:rPr>
        <w:t>clearance</w:t>
      </w:r>
      <w:r>
        <w:rPr>
          <w:rFonts w:ascii="Arial" w:hAnsi="Arial"/>
          <w:color w:val="231F20"/>
          <w:spacing w:val="-14"/>
          <w:sz w:val="16"/>
        </w:rPr>
        <w:t> </w:t>
      </w:r>
      <w:r>
        <w:rPr>
          <w:rFonts w:ascii="Arial" w:hAnsi="Arial"/>
          <w:color w:val="231F20"/>
          <w:sz w:val="16"/>
        </w:rPr>
        <w:t>of</w:t>
      </w:r>
      <w:r>
        <w:rPr>
          <w:rFonts w:ascii="Arial" w:hAnsi="Arial"/>
          <w:color w:val="231F20"/>
          <w:spacing w:val="-15"/>
          <w:sz w:val="16"/>
        </w:rPr>
        <w:t> </w:t>
      </w:r>
      <w:r>
        <w:rPr>
          <w:rFonts w:ascii="Arial" w:hAnsi="Arial"/>
          <w:color w:val="231F20"/>
          <w:sz w:val="16"/>
        </w:rPr>
        <w:t>inulin.</w:t>
      </w:r>
      <w:r>
        <w:rPr>
          <w:rFonts w:ascii="Arial" w:hAnsi="Arial"/>
          <w:color w:val="231F20"/>
          <w:spacing w:val="-14"/>
          <w:sz w:val="16"/>
        </w:rPr>
        <w:t> </w:t>
      </w:r>
      <w:r>
        <w:rPr>
          <w:rFonts w:ascii="Arial" w:hAnsi="Arial"/>
          <w:color w:val="231F20"/>
          <w:sz w:val="16"/>
        </w:rPr>
        <w:t>Inulin</w:t>
      </w:r>
      <w:r>
        <w:rPr>
          <w:rFonts w:ascii="Arial" w:hAnsi="Arial"/>
          <w:color w:val="231F20"/>
          <w:spacing w:val="-15"/>
          <w:sz w:val="16"/>
        </w:rPr>
        <w:t> </w:t>
      </w:r>
      <w:r>
        <w:rPr>
          <w:rFonts w:ascii="Arial" w:hAnsi="Arial"/>
          <w:color w:val="231F20"/>
          <w:sz w:val="16"/>
        </w:rPr>
        <w:t>is</w:t>
      </w:r>
      <w:r>
        <w:rPr>
          <w:rFonts w:ascii="Arial" w:hAnsi="Arial"/>
          <w:color w:val="231F20"/>
          <w:spacing w:val="-15"/>
          <w:sz w:val="16"/>
        </w:rPr>
        <w:t> </w:t>
      </w:r>
      <w:r>
        <w:rPr>
          <w:rFonts w:ascii="Arial" w:hAnsi="Arial"/>
          <w:color w:val="231F20"/>
          <w:sz w:val="16"/>
        </w:rPr>
        <w:t>freely</w:t>
      </w:r>
      <w:r>
        <w:rPr>
          <w:rFonts w:ascii="Arial" w:hAnsi="Arial"/>
          <w:color w:val="231F20"/>
          <w:spacing w:val="-14"/>
          <w:sz w:val="16"/>
        </w:rPr>
        <w:t> </w:t>
      </w:r>
      <w:r>
        <w:rPr>
          <w:rFonts w:ascii="Arial" w:hAnsi="Arial"/>
          <w:color w:val="231F20"/>
          <w:sz w:val="16"/>
        </w:rPr>
        <w:t>filtered</w:t>
      </w:r>
      <w:r>
        <w:rPr>
          <w:rFonts w:ascii="Arial" w:hAnsi="Arial"/>
          <w:color w:val="231F20"/>
          <w:spacing w:val="-15"/>
          <w:sz w:val="16"/>
        </w:rPr>
        <w:t> </w:t>
      </w:r>
      <w:r>
        <w:rPr>
          <w:rFonts w:ascii="Arial" w:hAnsi="Arial"/>
          <w:color w:val="231F20"/>
          <w:sz w:val="16"/>
        </w:rPr>
        <w:t>by</w:t>
      </w:r>
      <w:r>
        <w:rPr>
          <w:rFonts w:ascii="Arial" w:hAnsi="Arial"/>
          <w:color w:val="231F20"/>
          <w:spacing w:val="-14"/>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glomerular capillaries</w:t>
      </w:r>
      <w:r>
        <w:rPr>
          <w:rFonts w:ascii="Arial" w:hAnsi="Arial"/>
          <w:color w:val="231F20"/>
          <w:spacing w:val="-4"/>
          <w:sz w:val="16"/>
        </w:rPr>
        <w:t> </w:t>
      </w:r>
      <w:r>
        <w:rPr>
          <w:rFonts w:ascii="Arial" w:hAnsi="Arial"/>
          <w:color w:val="231F20"/>
          <w:sz w:val="16"/>
        </w:rPr>
        <w:t>but</w:t>
      </w:r>
      <w:r>
        <w:rPr>
          <w:rFonts w:ascii="Arial" w:hAnsi="Arial"/>
          <w:color w:val="231F20"/>
          <w:spacing w:val="-4"/>
          <w:sz w:val="16"/>
        </w:rPr>
        <w:t> </w:t>
      </w:r>
      <w:r>
        <w:rPr>
          <w:rFonts w:ascii="Arial" w:hAnsi="Arial"/>
          <w:color w:val="231F20"/>
          <w:sz w:val="16"/>
        </w:rPr>
        <w:t>is</w:t>
      </w:r>
      <w:r>
        <w:rPr>
          <w:rFonts w:ascii="Arial" w:hAnsi="Arial"/>
          <w:color w:val="231F20"/>
          <w:spacing w:val="-3"/>
          <w:sz w:val="16"/>
        </w:rPr>
        <w:t> </w:t>
      </w:r>
      <w:r>
        <w:rPr>
          <w:rFonts w:ascii="Arial" w:hAnsi="Arial"/>
          <w:color w:val="231F20"/>
          <w:sz w:val="16"/>
        </w:rPr>
        <w:t>not</w:t>
      </w:r>
      <w:r>
        <w:rPr>
          <w:rFonts w:ascii="Arial" w:hAnsi="Arial"/>
          <w:color w:val="231F20"/>
          <w:spacing w:val="-4"/>
          <w:sz w:val="16"/>
        </w:rPr>
        <w:t> </w:t>
      </w:r>
      <w:r>
        <w:rPr>
          <w:rFonts w:ascii="Arial" w:hAnsi="Arial"/>
          <w:color w:val="231F20"/>
          <w:sz w:val="16"/>
        </w:rPr>
        <w:t>reabsorbed</w:t>
      </w:r>
      <w:r>
        <w:rPr>
          <w:rFonts w:ascii="Arial" w:hAnsi="Arial"/>
          <w:color w:val="231F20"/>
          <w:spacing w:val="-3"/>
          <w:sz w:val="16"/>
        </w:rPr>
        <w:t> </w:t>
      </w:r>
      <w:r>
        <w:rPr>
          <w:rFonts w:ascii="Arial" w:hAnsi="Arial"/>
          <w:color w:val="231F20"/>
          <w:sz w:val="16"/>
        </w:rPr>
        <w:t>by</w:t>
      </w:r>
      <w:r>
        <w:rPr>
          <w:rFonts w:ascii="Arial" w:hAnsi="Arial"/>
          <w:color w:val="231F20"/>
          <w:spacing w:val="-4"/>
          <w:sz w:val="16"/>
        </w:rPr>
        <w:t> </w:t>
      </w:r>
      <w:r>
        <w:rPr>
          <w:rFonts w:ascii="Arial" w:hAnsi="Arial"/>
          <w:color w:val="231F20"/>
          <w:sz w:val="16"/>
        </w:rPr>
        <w:t>the</w:t>
      </w:r>
      <w:r>
        <w:rPr>
          <w:rFonts w:ascii="Arial" w:hAnsi="Arial"/>
          <w:color w:val="231F20"/>
          <w:spacing w:val="-3"/>
          <w:sz w:val="16"/>
        </w:rPr>
        <w:t> </w:t>
      </w:r>
      <w:r>
        <w:rPr>
          <w:rFonts w:ascii="Arial" w:hAnsi="Arial"/>
          <w:color w:val="231F20"/>
          <w:sz w:val="16"/>
        </w:rPr>
        <w:t>renal</w:t>
      </w:r>
      <w:r>
        <w:rPr>
          <w:rFonts w:ascii="Arial" w:hAnsi="Arial"/>
          <w:color w:val="231F20"/>
          <w:spacing w:val="-4"/>
          <w:sz w:val="16"/>
        </w:rPr>
        <w:t> </w:t>
      </w:r>
      <w:r>
        <w:rPr>
          <w:rFonts w:ascii="Arial" w:hAnsi="Arial"/>
          <w:color w:val="231F20"/>
          <w:sz w:val="16"/>
        </w:rPr>
        <w:t>tubules.</w:t>
      </w:r>
      <w:r>
        <w:rPr>
          <w:rFonts w:ascii="Arial" w:hAnsi="Arial"/>
          <w:color w:val="231F20"/>
          <w:spacing w:val="-4"/>
          <w:sz w:val="16"/>
        </w:rPr>
        <w:t> </w:t>
      </w:r>
      <w:r>
        <w:rPr>
          <w:rFonts w:ascii="Arial" w:hAnsi="Arial"/>
          <w:color w:val="231F20"/>
          <w:sz w:val="16"/>
        </w:rPr>
        <w:t>P</w:t>
      </w:r>
      <w:r>
        <w:rPr>
          <w:rFonts w:ascii="Arial" w:hAnsi="Arial"/>
          <w:color w:val="231F20"/>
          <w:position w:val="-1"/>
          <w:sz w:val="9"/>
        </w:rPr>
        <w:t>inulin</w:t>
      </w:r>
      <w:r>
        <w:rPr>
          <w:rFonts w:ascii="Arial" w:hAnsi="Arial"/>
          <w:color w:val="231F20"/>
          <w:sz w:val="16"/>
        </w:rPr>
        <w:t>,</w:t>
      </w:r>
      <w:r>
        <w:rPr>
          <w:rFonts w:ascii="Arial" w:hAnsi="Arial"/>
          <w:color w:val="231F20"/>
          <w:spacing w:val="-3"/>
          <w:sz w:val="16"/>
        </w:rPr>
        <w:t> </w:t>
      </w:r>
      <w:r>
        <w:rPr>
          <w:rFonts w:ascii="Arial" w:hAnsi="Arial"/>
          <w:color w:val="231F20"/>
          <w:sz w:val="16"/>
        </w:rPr>
        <w:t>plasma inulin concentration; U</w:t>
      </w:r>
      <w:r>
        <w:rPr>
          <w:rFonts w:ascii="Arial" w:hAnsi="Arial"/>
          <w:color w:val="231F20"/>
          <w:position w:val="-1"/>
          <w:sz w:val="9"/>
        </w:rPr>
        <w:t>inulin</w:t>
      </w:r>
      <w:r>
        <w:rPr>
          <w:rFonts w:ascii="Arial" w:hAnsi="Arial"/>
          <w:color w:val="231F20"/>
          <w:sz w:val="16"/>
        </w:rPr>
        <w:t>, urine inulin concentration;  </w:t>
      </w:r>
      <w:r>
        <w:rPr>
          <w:rFonts w:ascii="Arial" w:hAnsi="Arial"/>
          <w:spacing w:val="-75"/>
          <w:sz w:val="16"/>
        </w:rPr>
        <w:t>V</w:t>
      </w:r>
      <w:r>
        <w:rPr>
          <w:rFonts w:ascii="Arial" w:hAnsi="Arial"/>
          <w:spacing w:val="28"/>
          <w:position w:val="5"/>
          <w:sz w:val="16"/>
        </w:rPr>
        <w:t> </w:t>
      </w:r>
      <w:r>
        <w:rPr>
          <w:rFonts w:ascii="Arial" w:hAnsi="Arial"/>
          <w:color w:val="231F20"/>
          <w:sz w:val="16"/>
        </w:rPr>
        <w:t>,  </w:t>
      </w:r>
      <w:r>
        <w:rPr>
          <w:rFonts w:ascii="Arial" w:hAnsi="Arial"/>
          <w:color w:val="231F20"/>
          <w:spacing w:val="-3"/>
          <w:sz w:val="16"/>
        </w:rPr>
        <w:t>urine </w:t>
      </w:r>
      <w:r>
        <w:rPr>
          <w:rFonts w:ascii="Arial" w:hAnsi="Arial"/>
          <w:color w:val="231F20"/>
          <w:sz w:val="16"/>
        </w:rPr>
        <w:t>flow</w:t>
      </w:r>
      <w:r>
        <w:rPr>
          <w:rFonts w:ascii="Arial" w:hAnsi="Arial"/>
          <w:color w:val="231F20"/>
          <w:spacing w:val="8"/>
          <w:sz w:val="16"/>
        </w:rPr>
        <w:t> </w:t>
      </w:r>
      <w:r>
        <w:rPr>
          <w:rFonts w:ascii="Arial" w:hAnsi="Arial"/>
          <w:color w:val="231F20"/>
          <w:sz w:val="16"/>
        </w:rPr>
        <w:t>rate.</w:t>
      </w:r>
    </w:p>
    <w:p>
      <w:pPr>
        <w:pStyle w:val="BodyText"/>
        <w:rPr>
          <w:rFonts w:ascii="Arial"/>
          <w:sz w:val="18"/>
        </w:rPr>
      </w:pPr>
      <w:r>
        <w:rPr/>
        <w:br w:type="column"/>
      </w:r>
      <w:r>
        <w:rPr>
          <w:rFonts w:ascii="Arial"/>
          <w:sz w:val="18"/>
        </w:rPr>
      </w:r>
    </w:p>
    <w:p>
      <w:pPr>
        <w:pStyle w:val="BodyText"/>
        <w:rPr>
          <w:rFonts w:ascii="Arial"/>
          <w:sz w:val="18"/>
        </w:rPr>
      </w:pPr>
    </w:p>
    <w:p>
      <w:pPr>
        <w:spacing w:before="122"/>
        <w:ind w:left="1099" w:right="0" w:firstLine="0"/>
        <w:jc w:val="left"/>
        <w:rPr>
          <w:rFonts w:ascii="Helvetica"/>
          <w:sz w:val="16"/>
        </w:rPr>
      </w:pPr>
      <w:r>
        <w:rPr>
          <w:rFonts w:ascii="Helvetica"/>
          <w:color w:val="231F20"/>
          <w:w w:val="99"/>
          <w:sz w:val="16"/>
        </w:rPr>
        <w:t>0</w:t>
      </w:r>
    </w:p>
    <w:p>
      <w:pPr>
        <w:pStyle w:val="BodyText"/>
        <w:rPr>
          <w:rFonts w:ascii="Helvetica"/>
          <w:sz w:val="18"/>
        </w:rPr>
      </w:pPr>
    </w:p>
    <w:p>
      <w:pPr>
        <w:pStyle w:val="BodyText"/>
        <w:spacing w:before="11"/>
        <w:rPr>
          <w:rFonts w:ascii="Helvetica"/>
          <w:sz w:val="18"/>
        </w:rPr>
      </w:pPr>
    </w:p>
    <w:p>
      <w:pPr>
        <w:tabs>
          <w:tab w:pos="3417" w:val="left" w:leader="none"/>
        </w:tabs>
        <w:spacing w:line="181" w:lineRule="exact" w:before="0"/>
        <w:ind w:left="1785" w:right="0" w:firstLine="0"/>
        <w:jc w:val="left"/>
        <w:rPr>
          <w:rFonts w:ascii="Helvetica"/>
          <w:sz w:val="16"/>
        </w:rPr>
      </w:pPr>
      <w:r>
        <w:rPr/>
        <w:pict>
          <v:group style="position:absolute;margin-left:359.613495pt;margin-top:9.037888pt;width:154.1pt;height:80.650pt;mso-position-horizontal-relative:page;mso-position-vertical-relative:paragraph;z-index:-273110016" coordorigin="7192,181" coordsize="3082,1613">
            <v:shape style="position:absolute;left:-75;top:10352;width:3082;height:1533" coordorigin="-74,10353" coordsize="3082,1533" path="m7267,270l7192,270m7267,987l7192,987m7267,1704l7192,1704m7330,1719l7330,1794m7267,261l7267,1714m8063,1718l8063,1793m8797,1717l8797,1792m9531,1716l9531,1791m10264,1715l10264,1790m7262,1714l10273,1714e" filled="false" stroked="true" strokeweight="1pt" strokecolor="#231f20">
              <v:path arrowok="t"/>
              <v:stroke dashstyle="solid"/>
            </v:shape>
            <v:shape style="position:absolute;left:8017;top:358;width:906;height:691" coordorigin="8017,358" coordsize="906,691" path="m8922,358l8017,360,8017,1049,8167,694,8312,507,8535,427,8922,392,8922,358xe" filled="true" fillcolor="#ffe098" stroked="false">
              <v:path arrowok="t"/>
              <v:fill type="solid"/>
            </v:shape>
            <v:shape style="position:absolute;left:7372;top:391;width:2871;height:658" coordorigin="7372,392" coordsize="2871,658" path="m7372,392l8017,392,8017,1049,8167,694,8312,507,8535,427,8922,392,10243,392e" filled="false" stroked="true" strokeweight="1.25pt" strokecolor="#f0535f">
              <v:path arrowok="t"/>
              <v:stroke dashstyle="shortdash"/>
            </v:shape>
            <v:shape style="position:absolute;left:9027;top:776;width:91;height:19" coordorigin="9028,776" coordsize="91,19" path="m9118,779l9106,790,9097,794,9087,792,9073,783,9055,776,9041,778,9031,783,9028,786e" filled="false" stroked="true" strokeweight=".5pt" strokecolor="#231f20">
              <v:path arrowok="t"/>
              <v:stroke dashstyle="solid"/>
            </v:shape>
            <v:shape style="position:absolute;left:0;top:10362;width:254;height:520" coordorigin="0,10362" coordsize="254,520" path="m8327,181l8327,461m8580,701l8473,527e" filled="false" stroked="true" strokeweight=".75pt" strokecolor="#231f20">
              <v:path arrowok="t"/>
              <v:stroke dashstyle="solid"/>
            </v:shape>
            <w10:wrap type="none"/>
          </v:group>
        </w:pict>
      </w:r>
      <w:r>
        <w:rPr/>
        <w:pict>
          <v:shape style="position:absolute;margin-left:328.429993pt;margin-top:-2.49511pt;width:20.55pt;height:101.6pt;mso-position-horizontal-relative:page;mso-position-vertical-relative:paragraph;z-index:252298240" type="#_x0000_t202" filled="false" stroked="false">
            <v:textbox inset="0,0,0,0" style="layout-flow:vertical;mso-layout-flow-alt:bottom-to-top">
              <w:txbxContent>
                <w:p>
                  <w:pPr>
                    <w:spacing w:line="235" w:lineRule="auto" w:before="27"/>
                    <w:ind w:left="162" w:right="1" w:hanging="143"/>
                    <w:jc w:val="left"/>
                    <w:rPr>
                      <w:rFonts w:ascii="Helvetica"/>
                      <w:b/>
                      <w:sz w:val="16"/>
                    </w:rPr>
                  </w:pPr>
                  <w:r>
                    <w:rPr>
                      <w:rFonts w:ascii="Helvetica"/>
                      <w:b/>
                      <w:color w:val="231F20"/>
                      <w:sz w:val="16"/>
                    </w:rPr>
                    <w:t>Creatinine production and renal excretion (g/day)</w:t>
                  </w:r>
                </w:p>
              </w:txbxContent>
            </v:textbox>
            <w10:wrap type="none"/>
          </v:shape>
        </w:pict>
      </w:r>
      <w:r>
        <w:rPr/>
        <w:pict>
          <v:shape style="position:absolute;margin-left:367.993195pt;margin-top:8.412888pt;width:146.050pt;height:10.3pt;mso-position-horizontal-relative:page;mso-position-vertical-relative:paragraph;z-index:252302336" type="#_x0000_t202" filled="false" stroked="false">
            <v:textbox inset="0,0,0,0">
              <w:txbxContent>
                <w:tbl>
                  <w:tblPr>
                    <w:tblW w:w="0" w:type="auto"/>
                    <w:jc w:val="left"/>
                    <w:tblInd w:w="7" w:type="dxa"/>
                    <w:tblBorders>
                      <w:top w:val="single" w:sz="12" w:space="0" w:color="F0535F"/>
                      <w:left w:val="single" w:sz="12" w:space="0" w:color="F0535F"/>
                      <w:bottom w:val="single" w:sz="12" w:space="0" w:color="F0535F"/>
                      <w:right w:val="single" w:sz="12" w:space="0" w:color="F0535F"/>
                      <w:insideH w:val="single" w:sz="12" w:space="0" w:color="F0535F"/>
                      <w:insideV w:val="single" w:sz="12" w:space="0" w:color="F0535F"/>
                    </w:tblBorders>
                    <w:tblLayout w:type="fixed"/>
                    <w:tblCellMar>
                      <w:top w:w="0" w:type="dxa"/>
                      <w:left w:w="0" w:type="dxa"/>
                      <w:bottom w:w="0" w:type="dxa"/>
                      <w:right w:w="0" w:type="dxa"/>
                    </w:tblCellMar>
                    <w:tblLook w:val="01E0"/>
                  </w:tblPr>
                  <w:tblGrid>
                    <w:gridCol w:w="954"/>
                    <w:gridCol w:w="1435"/>
                    <w:gridCol w:w="493"/>
                  </w:tblGrid>
                  <w:tr>
                    <w:trPr>
                      <w:trHeight w:val="165" w:hRule="atLeast"/>
                    </w:trPr>
                    <w:tc>
                      <w:tcPr>
                        <w:tcW w:w="954" w:type="dxa"/>
                        <w:tcBorders>
                          <w:top w:val="nil"/>
                          <w:left w:val="nil"/>
                          <w:right w:val="single" w:sz="6" w:space="0" w:color="231F20"/>
                        </w:tcBorders>
                      </w:tcPr>
                      <w:p>
                        <w:pPr>
                          <w:pStyle w:val="TableParagraph"/>
                          <w:spacing w:before="0"/>
                          <w:rPr>
                            <w:rFonts w:ascii="Times New Roman"/>
                            <w:sz w:val="10"/>
                          </w:rPr>
                        </w:pPr>
                      </w:p>
                    </w:tc>
                    <w:tc>
                      <w:tcPr>
                        <w:tcW w:w="1435" w:type="dxa"/>
                        <w:tcBorders>
                          <w:top w:val="nil"/>
                          <w:left w:val="single" w:sz="6" w:space="0" w:color="231F20"/>
                          <w:right w:val="single" w:sz="6" w:space="0" w:color="231F20"/>
                        </w:tcBorders>
                      </w:tcPr>
                      <w:p>
                        <w:pPr>
                          <w:pStyle w:val="TableParagraph"/>
                          <w:spacing w:before="0"/>
                          <w:rPr>
                            <w:rFonts w:ascii="Times New Roman"/>
                            <w:sz w:val="10"/>
                          </w:rPr>
                        </w:pPr>
                      </w:p>
                    </w:tc>
                    <w:tc>
                      <w:tcPr>
                        <w:tcW w:w="493" w:type="dxa"/>
                        <w:tcBorders>
                          <w:top w:val="nil"/>
                          <w:left w:val="single" w:sz="6" w:space="0" w:color="231F20"/>
                          <w:right w:val="nil"/>
                        </w:tcBorders>
                      </w:tcPr>
                      <w:p>
                        <w:pPr>
                          <w:pStyle w:val="TableParagraph"/>
                          <w:spacing w:before="0"/>
                          <w:rPr>
                            <w:rFonts w:ascii="Times New Roman"/>
                            <w:sz w:val="10"/>
                          </w:rPr>
                        </w:pPr>
                      </w:p>
                    </w:tc>
                  </w:tr>
                </w:tbl>
                <w:p>
                  <w:pPr>
                    <w:pStyle w:val="BodyText"/>
                  </w:pPr>
                </w:p>
              </w:txbxContent>
            </v:textbox>
            <w10:wrap type="none"/>
          </v:shape>
        </w:pict>
      </w:r>
      <w:r>
        <w:rPr>
          <w:rFonts w:ascii="Helvetica"/>
          <w:color w:val="231F20"/>
          <w:sz w:val="16"/>
        </w:rPr>
        <w:t>Positive</w:t>
      </w:r>
      <w:r>
        <w:rPr>
          <w:rFonts w:ascii="Helvetica"/>
          <w:color w:val="231F20"/>
          <w:spacing w:val="-1"/>
          <w:sz w:val="16"/>
        </w:rPr>
        <w:t> </w:t>
      </w:r>
      <w:r>
        <w:rPr>
          <w:rFonts w:ascii="Helvetica"/>
          <w:color w:val="231F20"/>
          <w:sz w:val="16"/>
        </w:rPr>
        <w:t>balance</w:t>
        <w:tab/>
        <w:t>Production</w:t>
      </w:r>
    </w:p>
    <w:p>
      <w:pPr>
        <w:spacing w:line="181" w:lineRule="exact" w:before="0"/>
        <w:ind w:left="1080" w:right="0" w:firstLine="0"/>
        <w:jc w:val="left"/>
        <w:rPr>
          <w:rFonts w:ascii="Helvetica"/>
          <w:sz w:val="16"/>
        </w:rPr>
      </w:pPr>
      <w:r>
        <w:rPr>
          <w:rFonts w:ascii="Helvetica"/>
          <w:color w:val="231F20"/>
          <w:w w:val="99"/>
          <w:sz w:val="16"/>
        </w:rPr>
        <w:t>2</w:t>
      </w:r>
    </w:p>
    <w:p>
      <w:pPr>
        <w:pStyle w:val="BodyText"/>
        <w:rPr>
          <w:rFonts w:ascii="Helvetica"/>
          <w:sz w:val="18"/>
        </w:rPr>
      </w:pPr>
    </w:p>
    <w:p>
      <w:pPr>
        <w:spacing w:line="221" w:lineRule="exact" w:before="121"/>
        <w:ind w:left="2372" w:right="1947" w:firstLine="0"/>
        <w:jc w:val="center"/>
        <w:rPr>
          <w:rFonts w:ascii="Helvetica" w:hAnsi="Helvetica"/>
          <w:sz w:val="12"/>
        </w:rPr>
      </w:pPr>
      <w:r>
        <w:rPr>
          <w:rFonts w:ascii="Helvetica" w:hAnsi="Helvetica"/>
          <w:color w:val="231F20"/>
          <w:sz w:val="16"/>
        </w:rPr>
        <w:t>Excretion  GFR </w:t>
      </w:r>
      <w:r>
        <w:rPr>
          <w:rFonts w:ascii="Symbol" w:hAnsi="Symbol"/>
          <w:color w:val="231F20"/>
          <w:sz w:val="16"/>
        </w:rPr>
        <w:t></w:t>
      </w:r>
      <w:r>
        <w:rPr>
          <w:color w:val="231F20"/>
          <w:sz w:val="16"/>
        </w:rPr>
        <w:t> </w:t>
      </w:r>
      <w:r>
        <w:rPr>
          <w:rFonts w:ascii="Helvetica" w:hAnsi="Helvetica"/>
          <w:color w:val="231F20"/>
          <w:sz w:val="16"/>
        </w:rPr>
        <w:t>P</w:t>
      </w:r>
      <w:r>
        <w:rPr>
          <w:rFonts w:ascii="Helvetica" w:hAnsi="Helvetica"/>
          <w:color w:val="231F20"/>
          <w:position w:val="-4"/>
          <w:sz w:val="12"/>
        </w:rPr>
        <w:t>Creatinine</w:t>
      </w:r>
    </w:p>
    <w:p>
      <w:pPr>
        <w:spacing w:line="169" w:lineRule="exact" w:before="0"/>
        <w:ind w:left="1080" w:right="0" w:firstLine="0"/>
        <w:jc w:val="left"/>
        <w:rPr>
          <w:rFonts w:ascii="Helvetica"/>
          <w:sz w:val="16"/>
        </w:rPr>
      </w:pPr>
      <w:r>
        <w:rPr>
          <w:rFonts w:ascii="Helvetica"/>
          <w:color w:val="231F20"/>
          <w:w w:val="99"/>
          <w:sz w:val="16"/>
        </w:rPr>
        <w:t>1</w:t>
      </w:r>
    </w:p>
    <w:p>
      <w:pPr>
        <w:spacing w:after="0" w:line="169" w:lineRule="exact"/>
        <w:jc w:val="left"/>
        <w:rPr>
          <w:rFonts w:ascii="Helvetica"/>
          <w:sz w:val="16"/>
        </w:rPr>
        <w:sectPr>
          <w:type w:val="continuous"/>
          <w:pgSz w:w="12240" w:h="15660"/>
          <w:pgMar w:top="0" w:bottom="760" w:left="0" w:right="0"/>
          <w:cols w:num="2" w:equalWidth="0">
            <w:col w:w="5801" w:space="159"/>
            <w:col w:w="6280"/>
          </w:cols>
        </w:sectPr>
      </w:pPr>
    </w:p>
    <w:p>
      <w:pPr>
        <w:pStyle w:val="BodyText"/>
        <w:spacing w:before="9"/>
        <w:rPr>
          <w:rFonts w:ascii="Helvetica"/>
          <w:sz w:val="11"/>
        </w:rPr>
      </w:pPr>
    </w:p>
    <w:p>
      <w:pPr>
        <w:spacing w:after="0"/>
        <w:rPr>
          <w:rFonts w:ascii="Helvetica"/>
          <w:sz w:val="11"/>
        </w:rPr>
        <w:sectPr>
          <w:type w:val="continuous"/>
          <w:pgSz w:w="12240" w:h="15660"/>
          <w:pgMar w:top="0" w:bottom="760" w:left="0" w:right="0"/>
        </w:sectPr>
      </w:pPr>
    </w:p>
    <w:p>
      <w:pPr>
        <w:pStyle w:val="BodyText"/>
        <w:spacing w:line="249" w:lineRule="auto" w:before="225"/>
        <w:ind w:left="1079"/>
      </w:pPr>
      <w:r>
        <w:rPr>
          <w:color w:val="231F20"/>
        </w:rPr>
        <w:t>A substance that fits these criteria is </w:t>
      </w:r>
      <w:r>
        <w:rPr>
          <w:i/>
          <w:color w:val="231F20"/>
        </w:rPr>
        <w:t>inulin, </w:t>
      </w:r>
      <w:r>
        <w:rPr>
          <w:color w:val="231F20"/>
        </w:rPr>
        <w:t>a polysac- charide molecule with a molecular weight of about 5200.</w:t>
      </w:r>
    </w:p>
    <w:p>
      <w:pPr>
        <w:spacing w:before="100"/>
        <w:ind w:left="0" w:right="4029" w:firstLine="0"/>
        <w:jc w:val="center"/>
        <w:rPr>
          <w:rFonts w:ascii="Helvetica"/>
          <w:sz w:val="16"/>
        </w:rPr>
      </w:pPr>
      <w:r>
        <w:rPr/>
        <w:br w:type="column"/>
      </w:r>
      <w:r>
        <w:rPr>
          <w:rFonts w:ascii="Helvetica"/>
          <w:color w:val="231F20"/>
          <w:sz w:val="16"/>
        </w:rPr>
        <w:t>0</w:t>
      </w:r>
    </w:p>
    <w:p>
      <w:pPr>
        <w:tabs>
          <w:tab w:pos="729" w:val="left" w:leader="none"/>
          <w:tab w:pos="1469" w:val="left" w:leader="none"/>
          <w:tab w:pos="2202" w:val="left" w:leader="none"/>
          <w:tab w:pos="2929" w:val="left" w:leader="none"/>
        </w:tabs>
        <w:spacing w:before="0"/>
        <w:ind w:left="0" w:right="606" w:firstLine="0"/>
        <w:jc w:val="center"/>
        <w:rPr>
          <w:rFonts w:ascii="Helvetica"/>
          <w:sz w:val="16"/>
        </w:rPr>
      </w:pPr>
      <w:r>
        <w:rPr>
          <w:rFonts w:ascii="Helvetica"/>
          <w:color w:val="231F20"/>
          <w:sz w:val="16"/>
        </w:rPr>
        <w:t>0</w:t>
        <w:tab/>
        <w:t>1</w:t>
        <w:tab/>
        <w:t>2</w:t>
        <w:tab/>
        <w:t>3</w:t>
        <w:tab/>
        <w:t>4</w:t>
      </w:r>
    </w:p>
    <w:p>
      <w:pPr>
        <w:spacing w:line="176" w:lineRule="exact" w:before="61"/>
        <w:ind w:left="0" w:right="522" w:firstLine="0"/>
        <w:jc w:val="center"/>
        <w:rPr>
          <w:rFonts w:ascii="Helvetica"/>
          <w:b/>
          <w:sz w:val="16"/>
        </w:rPr>
      </w:pPr>
      <w:r>
        <w:rPr>
          <w:rFonts w:ascii="Helvetica"/>
          <w:b/>
          <w:color w:val="231F20"/>
          <w:sz w:val="16"/>
        </w:rPr>
        <w:t>Days</w:t>
      </w:r>
    </w:p>
    <w:p>
      <w:pPr>
        <w:spacing w:after="0" w:line="176" w:lineRule="exact"/>
        <w:jc w:val="center"/>
        <w:rPr>
          <w:rFonts w:ascii="Helvetica"/>
          <w:sz w:val="16"/>
        </w:rPr>
        <w:sectPr>
          <w:type w:val="continuous"/>
          <w:pgSz w:w="12240" w:h="15660"/>
          <w:pgMar w:top="0" w:bottom="760" w:left="0" w:right="0"/>
          <w:cols w:num="2" w:equalWidth="0">
            <w:col w:w="5800" w:space="159"/>
            <w:col w:w="6281"/>
          </w:cols>
        </w:sectPr>
      </w:pPr>
    </w:p>
    <w:p>
      <w:pPr>
        <w:pStyle w:val="BodyText"/>
        <w:spacing w:line="249" w:lineRule="auto"/>
        <w:ind w:left="1079"/>
        <w:jc w:val="both"/>
      </w:pPr>
      <w:r>
        <w:rPr>
          <w:color w:val="231F20"/>
          <w:w w:val="105"/>
        </w:rPr>
        <w:t>Inulin,</w:t>
      </w:r>
      <w:r>
        <w:rPr>
          <w:color w:val="231F20"/>
          <w:spacing w:val="-10"/>
          <w:w w:val="105"/>
        </w:rPr>
        <w:t> </w:t>
      </w:r>
      <w:r>
        <w:rPr>
          <w:color w:val="231F20"/>
          <w:w w:val="105"/>
        </w:rPr>
        <w:t>which</w:t>
      </w:r>
      <w:r>
        <w:rPr>
          <w:color w:val="231F20"/>
          <w:spacing w:val="-10"/>
          <w:w w:val="105"/>
        </w:rPr>
        <w:t> </w:t>
      </w:r>
      <w:r>
        <w:rPr>
          <w:color w:val="231F20"/>
          <w:w w:val="105"/>
        </w:rPr>
        <w:t>is</w:t>
      </w:r>
      <w:r>
        <w:rPr>
          <w:color w:val="231F20"/>
          <w:spacing w:val="-10"/>
          <w:w w:val="105"/>
        </w:rPr>
        <w:t> </w:t>
      </w:r>
      <w:r>
        <w:rPr>
          <w:color w:val="231F20"/>
          <w:w w:val="105"/>
        </w:rPr>
        <w:t>not</w:t>
      </w:r>
      <w:r>
        <w:rPr>
          <w:color w:val="231F20"/>
          <w:spacing w:val="-10"/>
          <w:w w:val="105"/>
        </w:rPr>
        <w:t> </w:t>
      </w:r>
      <w:r>
        <w:rPr>
          <w:color w:val="231F20"/>
          <w:w w:val="105"/>
        </w:rPr>
        <w:t>produced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body,</w:t>
      </w:r>
      <w:r>
        <w:rPr>
          <w:color w:val="231F20"/>
          <w:spacing w:val="-10"/>
          <w:w w:val="105"/>
        </w:rPr>
        <w:t> </w:t>
      </w:r>
      <w:r>
        <w:rPr>
          <w:color w:val="231F20"/>
          <w:w w:val="105"/>
        </w:rPr>
        <w:t>is</w:t>
      </w:r>
      <w:r>
        <w:rPr>
          <w:color w:val="231F20"/>
          <w:spacing w:val="-9"/>
          <w:w w:val="105"/>
        </w:rPr>
        <w:t> </w:t>
      </w:r>
      <w:r>
        <w:rPr>
          <w:color w:val="231F20"/>
          <w:w w:val="105"/>
        </w:rPr>
        <w:t>found</w:t>
      </w:r>
      <w:r>
        <w:rPr>
          <w:color w:val="231F20"/>
          <w:spacing w:val="-10"/>
          <w:w w:val="105"/>
        </w:rPr>
        <w:t> </w:t>
      </w:r>
      <w:r>
        <w:rPr>
          <w:color w:val="231F20"/>
          <w:w w:val="105"/>
        </w:rPr>
        <w:t>in</w:t>
      </w:r>
      <w:r>
        <w:rPr>
          <w:color w:val="231F20"/>
          <w:spacing w:val="-10"/>
          <w:w w:val="105"/>
        </w:rPr>
        <w:t> </w:t>
      </w:r>
      <w:r>
        <w:rPr>
          <w:color w:val="231F20"/>
          <w:w w:val="105"/>
        </w:rPr>
        <w:t>the roots</w:t>
      </w:r>
      <w:r>
        <w:rPr>
          <w:color w:val="231F20"/>
          <w:spacing w:val="-9"/>
          <w:w w:val="105"/>
        </w:rPr>
        <w:t> </w:t>
      </w:r>
      <w:r>
        <w:rPr>
          <w:color w:val="231F20"/>
          <w:w w:val="105"/>
        </w:rPr>
        <w:t>of</w:t>
      </w:r>
      <w:r>
        <w:rPr>
          <w:color w:val="231F20"/>
          <w:spacing w:val="-8"/>
          <w:w w:val="105"/>
        </w:rPr>
        <w:t> </w:t>
      </w:r>
      <w:r>
        <w:rPr>
          <w:color w:val="231F20"/>
          <w:w w:val="105"/>
        </w:rPr>
        <w:t>certain</w:t>
      </w:r>
      <w:r>
        <w:rPr>
          <w:color w:val="231F20"/>
          <w:spacing w:val="-8"/>
          <w:w w:val="105"/>
        </w:rPr>
        <w:t> </w:t>
      </w:r>
      <w:r>
        <w:rPr>
          <w:color w:val="231F20"/>
          <w:w w:val="105"/>
        </w:rPr>
        <w:t>plants</w:t>
      </w:r>
      <w:r>
        <w:rPr>
          <w:color w:val="231F20"/>
          <w:spacing w:val="-8"/>
          <w:w w:val="105"/>
        </w:rPr>
        <w:t> </w:t>
      </w:r>
      <w:r>
        <w:rPr>
          <w:color w:val="231F20"/>
          <w:w w:val="105"/>
        </w:rPr>
        <w:t>and</w:t>
      </w:r>
      <w:r>
        <w:rPr>
          <w:color w:val="231F20"/>
          <w:spacing w:val="-8"/>
          <w:w w:val="105"/>
        </w:rPr>
        <w:t> </w:t>
      </w:r>
      <w:r>
        <w:rPr>
          <w:color w:val="231F20"/>
          <w:w w:val="105"/>
        </w:rPr>
        <w:t>must</w:t>
      </w:r>
      <w:r>
        <w:rPr>
          <w:color w:val="231F20"/>
          <w:spacing w:val="-8"/>
          <w:w w:val="105"/>
        </w:rPr>
        <w:t> </w:t>
      </w:r>
      <w:r>
        <w:rPr>
          <w:color w:val="231F20"/>
          <w:w w:val="105"/>
        </w:rPr>
        <w:t>be</w:t>
      </w:r>
      <w:r>
        <w:rPr>
          <w:color w:val="231F20"/>
          <w:spacing w:val="-8"/>
          <w:w w:val="105"/>
        </w:rPr>
        <w:t> </w:t>
      </w:r>
      <w:r>
        <w:rPr>
          <w:color w:val="231F20"/>
          <w:w w:val="105"/>
        </w:rPr>
        <w:t>administered</w:t>
      </w:r>
      <w:r>
        <w:rPr>
          <w:color w:val="231F20"/>
          <w:spacing w:val="-8"/>
          <w:w w:val="105"/>
        </w:rPr>
        <w:t> </w:t>
      </w:r>
      <w:r>
        <w:rPr>
          <w:color w:val="231F20"/>
          <w:w w:val="105"/>
        </w:rPr>
        <w:t>intrave- nously to a patient to measure</w:t>
      </w:r>
      <w:r>
        <w:rPr>
          <w:color w:val="231F20"/>
          <w:spacing w:val="10"/>
          <w:w w:val="105"/>
        </w:rPr>
        <w:t> </w:t>
      </w:r>
      <w:r>
        <w:rPr>
          <w:color w:val="231F20"/>
          <w:w w:val="105"/>
        </w:rPr>
        <w:t>GFR.</w:t>
      </w:r>
    </w:p>
    <w:p>
      <w:pPr>
        <w:pStyle w:val="BodyText"/>
        <w:spacing w:line="249" w:lineRule="auto" w:before="2"/>
        <w:ind w:left="1080" w:firstLine="239"/>
        <w:jc w:val="both"/>
      </w:pPr>
      <w:hyperlink w:history="true" w:anchor="_bookmark62">
        <w:r>
          <w:rPr>
            <w:b/>
            <w:color w:val="0080AC"/>
            <w:w w:val="105"/>
          </w:rPr>
          <w:t>Figure 28-20</w:t>
        </w:r>
      </w:hyperlink>
      <w:r>
        <w:rPr>
          <w:b/>
          <w:color w:val="0080AC"/>
          <w:w w:val="105"/>
        </w:rPr>
        <w:t> </w:t>
      </w:r>
      <w:r>
        <w:rPr>
          <w:color w:val="231F20"/>
          <w:w w:val="105"/>
        </w:rPr>
        <w:t>shows the renal  handling  of  </w:t>
      </w:r>
      <w:r>
        <w:rPr>
          <w:color w:val="231F20"/>
          <w:spacing w:val="-3"/>
          <w:w w:val="105"/>
        </w:rPr>
        <w:t>inulin. </w:t>
      </w:r>
      <w:r>
        <w:rPr>
          <w:color w:val="231F20"/>
          <w:w w:val="105"/>
        </w:rPr>
        <w:t>In this example, the plasma concentration is 1 </w:t>
      </w:r>
      <w:r>
        <w:rPr>
          <w:color w:val="231F20"/>
          <w:spacing w:val="-3"/>
          <w:w w:val="105"/>
        </w:rPr>
        <w:t>mg/ml, </w:t>
      </w:r>
      <w:r>
        <w:rPr>
          <w:color w:val="231F20"/>
          <w:w w:val="105"/>
        </w:rPr>
        <w:t>urine concentration is 125 mg/ml, and urine flow rate is 1 ml/min. Therefore, 125 mg/min of inulin passes </w:t>
      </w:r>
      <w:r>
        <w:rPr>
          <w:color w:val="231F20"/>
          <w:spacing w:val="-4"/>
          <w:w w:val="105"/>
        </w:rPr>
        <w:t>into </w:t>
      </w:r>
      <w:r>
        <w:rPr>
          <w:color w:val="231F20"/>
          <w:w w:val="105"/>
        </w:rPr>
        <w:t>the</w:t>
      </w:r>
      <w:r>
        <w:rPr>
          <w:color w:val="231F20"/>
          <w:spacing w:val="-19"/>
          <w:w w:val="105"/>
        </w:rPr>
        <w:t> </w:t>
      </w:r>
      <w:r>
        <w:rPr>
          <w:color w:val="231F20"/>
          <w:w w:val="105"/>
        </w:rPr>
        <w:t>urine.</w:t>
      </w:r>
      <w:r>
        <w:rPr>
          <w:color w:val="231F20"/>
          <w:spacing w:val="-18"/>
          <w:w w:val="105"/>
        </w:rPr>
        <w:t> </w:t>
      </w:r>
      <w:r>
        <w:rPr>
          <w:color w:val="231F20"/>
          <w:w w:val="105"/>
        </w:rPr>
        <w:t>Then,</w:t>
      </w:r>
      <w:r>
        <w:rPr>
          <w:color w:val="231F20"/>
          <w:spacing w:val="-18"/>
          <w:w w:val="105"/>
        </w:rPr>
        <w:t> </w:t>
      </w:r>
      <w:r>
        <w:rPr>
          <w:color w:val="231F20"/>
          <w:w w:val="105"/>
        </w:rPr>
        <w:t>inulin</w:t>
      </w:r>
      <w:r>
        <w:rPr>
          <w:color w:val="231F20"/>
          <w:spacing w:val="-18"/>
          <w:w w:val="105"/>
        </w:rPr>
        <w:t> </w:t>
      </w:r>
      <w:r>
        <w:rPr>
          <w:color w:val="231F20"/>
          <w:w w:val="105"/>
        </w:rPr>
        <w:t>clearance</w:t>
      </w:r>
      <w:r>
        <w:rPr>
          <w:color w:val="231F20"/>
          <w:spacing w:val="-18"/>
          <w:w w:val="105"/>
        </w:rPr>
        <w:t> </w:t>
      </w:r>
      <w:r>
        <w:rPr>
          <w:color w:val="231F20"/>
          <w:w w:val="105"/>
        </w:rPr>
        <w:t>is</w:t>
      </w:r>
      <w:r>
        <w:rPr>
          <w:color w:val="231F20"/>
          <w:spacing w:val="-18"/>
          <w:w w:val="105"/>
        </w:rPr>
        <w:t> </w:t>
      </w:r>
      <w:r>
        <w:rPr>
          <w:color w:val="231F20"/>
          <w:w w:val="105"/>
        </w:rPr>
        <w:t>calculated</w:t>
      </w:r>
      <w:r>
        <w:rPr>
          <w:color w:val="231F20"/>
          <w:spacing w:val="-18"/>
          <w:w w:val="105"/>
        </w:rPr>
        <w:t> </w:t>
      </w:r>
      <w:r>
        <w:rPr>
          <w:color w:val="231F20"/>
          <w:w w:val="105"/>
        </w:rPr>
        <w:t>as</w:t>
      </w:r>
      <w:r>
        <w:rPr>
          <w:color w:val="231F20"/>
          <w:spacing w:val="-18"/>
          <w:w w:val="105"/>
        </w:rPr>
        <w:t> </w:t>
      </w:r>
      <w:r>
        <w:rPr>
          <w:color w:val="231F20"/>
          <w:w w:val="105"/>
        </w:rPr>
        <w:t>the</w:t>
      </w:r>
      <w:r>
        <w:rPr>
          <w:color w:val="231F20"/>
          <w:spacing w:val="-18"/>
          <w:w w:val="105"/>
        </w:rPr>
        <w:t> </w:t>
      </w:r>
      <w:r>
        <w:rPr>
          <w:color w:val="231F20"/>
          <w:w w:val="105"/>
        </w:rPr>
        <w:t>urine excretion</w:t>
      </w:r>
      <w:r>
        <w:rPr>
          <w:color w:val="231F20"/>
          <w:spacing w:val="-11"/>
          <w:w w:val="105"/>
        </w:rPr>
        <w:t> </w:t>
      </w:r>
      <w:r>
        <w:rPr>
          <w:color w:val="231F20"/>
          <w:w w:val="105"/>
        </w:rPr>
        <w:t>rate</w:t>
      </w:r>
      <w:r>
        <w:rPr>
          <w:color w:val="231F20"/>
          <w:spacing w:val="-11"/>
          <w:w w:val="105"/>
        </w:rPr>
        <w:t> </w:t>
      </w:r>
      <w:r>
        <w:rPr>
          <w:color w:val="231F20"/>
          <w:w w:val="105"/>
        </w:rPr>
        <w:t>of</w:t>
      </w:r>
      <w:r>
        <w:rPr>
          <w:color w:val="231F20"/>
          <w:spacing w:val="-11"/>
          <w:w w:val="105"/>
        </w:rPr>
        <w:t> </w:t>
      </w:r>
      <w:r>
        <w:rPr>
          <w:color w:val="231F20"/>
          <w:w w:val="105"/>
        </w:rPr>
        <w:t>inulin</w:t>
      </w:r>
      <w:r>
        <w:rPr>
          <w:color w:val="231F20"/>
          <w:spacing w:val="-11"/>
          <w:w w:val="105"/>
        </w:rPr>
        <w:t> </w:t>
      </w:r>
      <w:r>
        <w:rPr>
          <w:color w:val="231F20"/>
          <w:w w:val="105"/>
        </w:rPr>
        <w:t>divided</w:t>
      </w:r>
      <w:r>
        <w:rPr>
          <w:color w:val="231F20"/>
          <w:spacing w:val="-11"/>
          <w:w w:val="105"/>
        </w:rPr>
        <w:t> </w:t>
      </w:r>
      <w:r>
        <w:rPr>
          <w:color w:val="231F20"/>
          <w:w w:val="105"/>
        </w:rPr>
        <w:t>by</w:t>
      </w:r>
      <w:r>
        <w:rPr>
          <w:color w:val="231F20"/>
          <w:spacing w:val="-11"/>
          <w:w w:val="105"/>
        </w:rPr>
        <w:t> </w:t>
      </w:r>
      <w:r>
        <w:rPr>
          <w:color w:val="231F20"/>
          <w:w w:val="105"/>
        </w:rPr>
        <w:t>the</w:t>
      </w:r>
      <w:r>
        <w:rPr>
          <w:color w:val="231F20"/>
          <w:spacing w:val="-11"/>
          <w:w w:val="105"/>
        </w:rPr>
        <w:t> </w:t>
      </w:r>
      <w:r>
        <w:rPr>
          <w:color w:val="231F20"/>
          <w:w w:val="105"/>
        </w:rPr>
        <w:t>plasma</w:t>
      </w:r>
      <w:r>
        <w:rPr>
          <w:color w:val="231F20"/>
          <w:spacing w:val="-11"/>
          <w:w w:val="105"/>
        </w:rPr>
        <w:t> </w:t>
      </w:r>
      <w:r>
        <w:rPr>
          <w:color w:val="231F20"/>
          <w:w w:val="105"/>
        </w:rPr>
        <w:t>concentra- tion,</w:t>
      </w:r>
      <w:r>
        <w:rPr>
          <w:color w:val="231F20"/>
          <w:spacing w:val="-7"/>
          <w:w w:val="105"/>
        </w:rPr>
        <w:t> </w:t>
      </w:r>
      <w:r>
        <w:rPr>
          <w:color w:val="231F20"/>
          <w:w w:val="105"/>
        </w:rPr>
        <w:t>which</w:t>
      </w:r>
      <w:r>
        <w:rPr>
          <w:color w:val="231F20"/>
          <w:spacing w:val="-7"/>
          <w:w w:val="105"/>
        </w:rPr>
        <w:t> </w:t>
      </w:r>
      <w:r>
        <w:rPr>
          <w:color w:val="231F20"/>
          <w:w w:val="105"/>
        </w:rPr>
        <w:t>yields</w:t>
      </w:r>
      <w:r>
        <w:rPr>
          <w:color w:val="231F20"/>
          <w:spacing w:val="-7"/>
          <w:w w:val="105"/>
        </w:rPr>
        <w:t> </w:t>
      </w:r>
      <w:r>
        <w:rPr>
          <w:color w:val="231F20"/>
          <w:w w:val="105"/>
        </w:rPr>
        <w:t>a</w:t>
      </w:r>
      <w:r>
        <w:rPr>
          <w:color w:val="231F20"/>
          <w:spacing w:val="-7"/>
          <w:w w:val="105"/>
        </w:rPr>
        <w:t> </w:t>
      </w:r>
      <w:r>
        <w:rPr>
          <w:color w:val="231F20"/>
          <w:w w:val="105"/>
        </w:rPr>
        <w:t>value</w:t>
      </w:r>
      <w:r>
        <w:rPr>
          <w:color w:val="231F20"/>
          <w:spacing w:val="-7"/>
          <w:w w:val="105"/>
        </w:rPr>
        <w:t> </w:t>
      </w:r>
      <w:r>
        <w:rPr>
          <w:color w:val="231F20"/>
          <w:w w:val="105"/>
        </w:rPr>
        <w:t>of</w:t>
      </w:r>
      <w:r>
        <w:rPr>
          <w:color w:val="231F20"/>
          <w:spacing w:val="-6"/>
          <w:w w:val="105"/>
        </w:rPr>
        <w:t> </w:t>
      </w:r>
      <w:r>
        <w:rPr>
          <w:color w:val="231F20"/>
          <w:w w:val="105"/>
        </w:rPr>
        <w:t>125</w:t>
      </w:r>
      <w:r>
        <w:rPr>
          <w:color w:val="231F20"/>
          <w:spacing w:val="-11"/>
          <w:w w:val="105"/>
        </w:rPr>
        <w:t> </w:t>
      </w:r>
      <w:r>
        <w:rPr>
          <w:color w:val="231F20"/>
          <w:w w:val="105"/>
        </w:rPr>
        <w:t>ml/min.</w:t>
      </w:r>
      <w:r>
        <w:rPr>
          <w:color w:val="231F20"/>
          <w:spacing w:val="-7"/>
          <w:w w:val="105"/>
        </w:rPr>
        <w:t> </w:t>
      </w:r>
      <w:r>
        <w:rPr>
          <w:color w:val="231F20"/>
          <w:w w:val="105"/>
        </w:rPr>
        <w:t>Thus,</w:t>
      </w:r>
      <w:r>
        <w:rPr>
          <w:color w:val="231F20"/>
          <w:spacing w:val="-6"/>
          <w:w w:val="105"/>
        </w:rPr>
        <w:t> </w:t>
      </w:r>
      <w:r>
        <w:rPr>
          <w:color w:val="231F20"/>
          <w:w w:val="105"/>
        </w:rPr>
        <w:t>125</w:t>
      </w:r>
      <w:r>
        <w:rPr>
          <w:color w:val="231F20"/>
          <w:spacing w:val="-7"/>
          <w:w w:val="105"/>
        </w:rPr>
        <w:t> </w:t>
      </w:r>
      <w:r>
        <w:rPr>
          <w:color w:val="231F20"/>
          <w:spacing w:val="-4"/>
          <w:w w:val="105"/>
        </w:rPr>
        <w:t>mil- </w:t>
      </w:r>
      <w:r>
        <w:rPr>
          <w:color w:val="231F20"/>
          <w:w w:val="105"/>
        </w:rPr>
        <w:t>liliters of plasma flowing through the kidneys must </w:t>
      </w:r>
      <w:r>
        <w:rPr>
          <w:color w:val="231F20"/>
          <w:spacing w:val="-6"/>
          <w:w w:val="105"/>
        </w:rPr>
        <w:t>be </w:t>
      </w:r>
      <w:r>
        <w:rPr>
          <w:color w:val="231F20"/>
          <w:w w:val="105"/>
        </w:rPr>
        <w:t>filtered to deliver the inulin that appears in the</w:t>
      </w:r>
      <w:r>
        <w:rPr>
          <w:color w:val="231F20"/>
          <w:spacing w:val="-12"/>
          <w:w w:val="105"/>
        </w:rPr>
        <w:t> </w:t>
      </w:r>
      <w:r>
        <w:rPr>
          <w:color w:val="231F20"/>
          <w:w w:val="105"/>
        </w:rPr>
        <w:t>urine.</w:t>
      </w:r>
    </w:p>
    <w:p>
      <w:pPr>
        <w:pStyle w:val="BodyText"/>
        <w:spacing w:line="249" w:lineRule="auto" w:before="7"/>
        <w:ind w:left="1080" w:firstLine="240"/>
        <w:jc w:val="both"/>
        <w:rPr>
          <w:i/>
        </w:rPr>
      </w:pPr>
      <w:r>
        <w:rPr>
          <w:color w:val="231F20"/>
          <w:w w:val="105"/>
        </w:rPr>
        <w:t>Inulin is not the only substance that can be used </w:t>
      </w:r>
      <w:r>
        <w:rPr>
          <w:color w:val="231F20"/>
          <w:spacing w:val="-5"/>
          <w:w w:val="105"/>
        </w:rPr>
        <w:t>for </w:t>
      </w:r>
      <w:r>
        <w:rPr>
          <w:color w:val="231F20"/>
          <w:w w:val="105"/>
        </w:rPr>
        <w:t>determining GFR. Other substances that have been</w:t>
      </w:r>
      <w:r>
        <w:rPr>
          <w:color w:val="231F20"/>
          <w:spacing w:val="-37"/>
          <w:w w:val="105"/>
        </w:rPr>
        <w:t> </w:t>
      </w:r>
      <w:r>
        <w:rPr>
          <w:color w:val="231F20"/>
          <w:spacing w:val="-3"/>
          <w:w w:val="105"/>
        </w:rPr>
        <w:t>used </w:t>
      </w:r>
      <w:r>
        <w:rPr>
          <w:color w:val="231F20"/>
        </w:rPr>
        <w:t>clinically</w:t>
      </w:r>
      <w:r>
        <w:rPr>
          <w:color w:val="231F20"/>
          <w:spacing w:val="-9"/>
        </w:rPr>
        <w:t> </w:t>
      </w:r>
      <w:r>
        <w:rPr>
          <w:color w:val="231F20"/>
        </w:rPr>
        <w:t>to</w:t>
      </w:r>
      <w:r>
        <w:rPr>
          <w:color w:val="231F20"/>
          <w:spacing w:val="-9"/>
        </w:rPr>
        <w:t> </w:t>
      </w:r>
      <w:r>
        <w:rPr>
          <w:color w:val="231F20"/>
        </w:rPr>
        <w:t>estimate</w:t>
      </w:r>
      <w:r>
        <w:rPr>
          <w:color w:val="231F20"/>
          <w:spacing w:val="-9"/>
        </w:rPr>
        <w:t> </w:t>
      </w:r>
      <w:r>
        <w:rPr>
          <w:color w:val="231F20"/>
        </w:rPr>
        <w:t>GFR</w:t>
      </w:r>
      <w:r>
        <w:rPr>
          <w:color w:val="231F20"/>
          <w:spacing w:val="-9"/>
        </w:rPr>
        <w:t> </w:t>
      </w:r>
      <w:r>
        <w:rPr>
          <w:color w:val="231F20"/>
        </w:rPr>
        <w:t>include</w:t>
      </w:r>
      <w:r>
        <w:rPr>
          <w:color w:val="231F20"/>
          <w:spacing w:val="-8"/>
        </w:rPr>
        <w:t> </w:t>
      </w:r>
      <w:r>
        <w:rPr>
          <w:i/>
          <w:color w:val="231F20"/>
        </w:rPr>
        <w:t>radioactive</w:t>
      </w:r>
      <w:r>
        <w:rPr>
          <w:i/>
          <w:color w:val="231F20"/>
          <w:spacing w:val="-9"/>
        </w:rPr>
        <w:t> </w:t>
      </w:r>
      <w:r>
        <w:rPr>
          <w:i/>
          <w:color w:val="231F20"/>
        </w:rPr>
        <w:t>iothalamate </w:t>
      </w:r>
      <w:r>
        <w:rPr>
          <w:color w:val="231F20"/>
          <w:w w:val="105"/>
        </w:rPr>
        <w:t>and</w:t>
      </w:r>
      <w:r>
        <w:rPr>
          <w:color w:val="231F20"/>
          <w:spacing w:val="2"/>
          <w:w w:val="105"/>
        </w:rPr>
        <w:t> </w:t>
      </w:r>
      <w:r>
        <w:rPr>
          <w:i/>
          <w:color w:val="231F20"/>
          <w:w w:val="105"/>
        </w:rPr>
        <w:t>creatinine.</w:t>
      </w:r>
    </w:p>
    <w:p>
      <w:pPr>
        <w:spacing w:before="96"/>
        <w:ind w:left="319" w:right="0" w:firstLine="0"/>
        <w:jc w:val="both"/>
        <w:rPr>
          <w:rFonts w:ascii="Arial" w:hAnsi="Arial"/>
          <w:sz w:val="16"/>
        </w:rPr>
      </w:pPr>
      <w:r>
        <w:rPr/>
        <w:br w:type="column"/>
      </w:r>
      <w:bookmarkStart w:name="_bookmark63" w:id="64"/>
      <w:bookmarkEnd w:id="64"/>
      <w:r>
        <w:rPr/>
      </w:r>
      <w:r>
        <w:rPr>
          <w:rFonts w:ascii="Trebuchet MS" w:hAnsi="Trebuchet MS"/>
          <w:b/>
          <w:color w:val="231F20"/>
          <w:sz w:val="16"/>
        </w:rPr>
        <w:t>Figure 28­21. </w:t>
      </w:r>
      <w:r>
        <w:rPr>
          <w:rFonts w:ascii="Arial" w:hAnsi="Arial"/>
          <w:color w:val="231F20"/>
          <w:sz w:val="16"/>
        </w:rPr>
        <w:t>Effect of reducing glomerular filtration rate </w:t>
      </w:r>
      <w:r>
        <w:rPr>
          <w:rFonts w:ascii="Lucida Sans" w:hAnsi="Lucida Sans"/>
          <w:i/>
          <w:color w:val="231F20"/>
          <w:sz w:val="16"/>
        </w:rPr>
        <w:t>(GFR) </w:t>
      </w:r>
      <w:r>
        <w:rPr>
          <w:rFonts w:ascii="Arial" w:hAnsi="Arial"/>
          <w:color w:val="231F20"/>
          <w:sz w:val="16"/>
        </w:rPr>
        <w:t>by</w:t>
      </w:r>
    </w:p>
    <w:p>
      <w:pPr>
        <w:spacing w:line="261" w:lineRule="auto" w:before="14"/>
        <w:ind w:left="319" w:right="1437" w:firstLine="0"/>
        <w:jc w:val="both"/>
        <w:rPr>
          <w:rFonts w:ascii="Arial"/>
          <w:sz w:val="16"/>
        </w:rPr>
      </w:pPr>
      <w:r>
        <w:rPr>
          <w:rFonts w:ascii="Arial"/>
          <w:color w:val="231F20"/>
          <w:sz w:val="16"/>
        </w:rPr>
        <w:t>50 percent on serum creatinine concentration and on creatinine excretion rate when the production rate of creatinine remains con- stant. P</w:t>
      </w:r>
      <w:r>
        <w:rPr>
          <w:rFonts w:ascii="Arial"/>
          <w:color w:val="231F20"/>
          <w:position w:val="-1"/>
          <w:sz w:val="9"/>
        </w:rPr>
        <w:t>Creatinine</w:t>
      </w:r>
      <w:r>
        <w:rPr>
          <w:rFonts w:ascii="Arial"/>
          <w:color w:val="231F20"/>
          <w:sz w:val="16"/>
        </w:rPr>
        <w:t>, plasma creatinine concentration.</w:t>
      </w:r>
    </w:p>
    <w:p>
      <w:pPr>
        <w:pStyle w:val="BodyText"/>
        <w:spacing w:before="5"/>
        <w:rPr>
          <w:rFonts w:ascii="Arial"/>
          <w:sz w:val="25"/>
        </w:rPr>
      </w:pPr>
    </w:p>
    <w:p>
      <w:pPr>
        <w:pStyle w:val="BodyText"/>
        <w:spacing w:line="249" w:lineRule="auto"/>
        <w:ind w:left="319" w:right="1439"/>
        <w:jc w:val="both"/>
      </w:pPr>
      <w:r>
        <w:rPr>
          <w:color w:val="231F20"/>
          <w:w w:val="105"/>
        </w:rPr>
        <w:t>so the amount of creatinine excreted slightly exceeds the amount filtered. There is normally a slight </w:t>
      </w:r>
      <w:r>
        <w:rPr>
          <w:color w:val="231F20"/>
          <w:spacing w:val="-4"/>
          <w:w w:val="105"/>
        </w:rPr>
        <w:t>error   </w:t>
      </w:r>
      <w:r>
        <w:rPr>
          <w:color w:val="231F20"/>
          <w:spacing w:val="44"/>
          <w:w w:val="105"/>
        </w:rPr>
        <w:t> </w:t>
      </w:r>
      <w:r>
        <w:rPr>
          <w:color w:val="231F20"/>
          <w:w w:val="105"/>
        </w:rPr>
        <w:t>in</w:t>
      </w:r>
      <w:r>
        <w:rPr>
          <w:color w:val="231F20"/>
          <w:spacing w:val="-7"/>
          <w:w w:val="105"/>
        </w:rPr>
        <w:t> </w:t>
      </w:r>
      <w:r>
        <w:rPr>
          <w:color w:val="231F20"/>
          <w:w w:val="105"/>
        </w:rPr>
        <w:t>measuring</w:t>
      </w:r>
      <w:r>
        <w:rPr>
          <w:color w:val="231F20"/>
          <w:spacing w:val="-7"/>
          <w:w w:val="105"/>
        </w:rPr>
        <w:t> </w:t>
      </w:r>
      <w:r>
        <w:rPr>
          <w:color w:val="231F20"/>
          <w:w w:val="105"/>
        </w:rPr>
        <w:t>plasma</w:t>
      </w:r>
      <w:r>
        <w:rPr>
          <w:color w:val="231F20"/>
          <w:spacing w:val="-6"/>
          <w:w w:val="105"/>
        </w:rPr>
        <w:t> </w:t>
      </w:r>
      <w:r>
        <w:rPr>
          <w:color w:val="231F20"/>
          <w:w w:val="105"/>
        </w:rPr>
        <w:t>creatinine</w:t>
      </w:r>
      <w:r>
        <w:rPr>
          <w:color w:val="231F20"/>
          <w:spacing w:val="-7"/>
          <w:w w:val="105"/>
        </w:rPr>
        <w:t> </w:t>
      </w:r>
      <w:r>
        <w:rPr>
          <w:color w:val="231F20"/>
          <w:w w:val="105"/>
        </w:rPr>
        <w:t>that</w:t>
      </w:r>
      <w:r>
        <w:rPr>
          <w:color w:val="231F20"/>
          <w:spacing w:val="-7"/>
          <w:w w:val="105"/>
        </w:rPr>
        <w:t> </w:t>
      </w:r>
      <w:r>
        <w:rPr>
          <w:color w:val="231F20"/>
          <w:w w:val="105"/>
        </w:rPr>
        <w:t>leads</w:t>
      </w:r>
      <w:r>
        <w:rPr>
          <w:color w:val="231F20"/>
          <w:spacing w:val="-6"/>
          <w:w w:val="105"/>
        </w:rPr>
        <w:t> </w:t>
      </w:r>
      <w:r>
        <w:rPr>
          <w:color w:val="231F20"/>
          <w:w w:val="105"/>
        </w:rPr>
        <w:t>to</w:t>
      </w:r>
      <w:r>
        <w:rPr>
          <w:color w:val="231F20"/>
          <w:spacing w:val="-7"/>
          <w:w w:val="105"/>
        </w:rPr>
        <w:t> </w:t>
      </w:r>
      <w:r>
        <w:rPr>
          <w:color w:val="231F20"/>
          <w:w w:val="105"/>
        </w:rPr>
        <w:t>an</w:t>
      </w:r>
      <w:r>
        <w:rPr>
          <w:color w:val="231F20"/>
          <w:spacing w:val="-7"/>
          <w:w w:val="105"/>
        </w:rPr>
        <w:t> </w:t>
      </w:r>
      <w:r>
        <w:rPr>
          <w:color w:val="231F20"/>
          <w:w w:val="105"/>
        </w:rPr>
        <w:t>overesti- mate of the plasma creatinine concentration, and </w:t>
      </w:r>
      <w:r>
        <w:rPr>
          <w:color w:val="231F20"/>
          <w:spacing w:val="-6"/>
          <w:w w:val="105"/>
        </w:rPr>
        <w:t>for- </w:t>
      </w:r>
      <w:r>
        <w:rPr>
          <w:color w:val="231F20"/>
          <w:w w:val="105"/>
        </w:rPr>
        <w:t>tuitously, these two errors tend to cancel each </w:t>
      </w:r>
      <w:r>
        <w:rPr>
          <w:color w:val="231F20"/>
          <w:spacing w:val="-3"/>
          <w:w w:val="105"/>
        </w:rPr>
        <w:t>other.  </w:t>
      </w:r>
      <w:r>
        <w:rPr>
          <w:color w:val="231F20"/>
          <w:w w:val="105"/>
        </w:rPr>
        <w:t>Therefore,</w:t>
      </w:r>
      <w:r>
        <w:rPr>
          <w:color w:val="231F20"/>
          <w:spacing w:val="-35"/>
          <w:w w:val="105"/>
        </w:rPr>
        <w:t> </w:t>
      </w:r>
      <w:r>
        <w:rPr>
          <w:color w:val="231F20"/>
          <w:w w:val="105"/>
        </w:rPr>
        <w:t>creatinine</w:t>
      </w:r>
      <w:r>
        <w:rPr>
          <w:color w:val="231F20"/>
          <w:spacing w:val="-34"/>
          <w:w w:val="105"/>
        </w:rPr>
        <w:t> </w:t>
      </w:r>
      <w:r>
        <w:rPr>
          <w:color w:val="231F20"/>
          <w:w w:val="105"/>
        </w:rPr>
        <w:t>clearance</w:t>
      </w:r>
      <w:r>
        <w:rPr>
          <w:color w:val="231F20"/>
          <w:spacing w:val="-34"/>
          <w:w w:val="105"/>
        </w:rPr>
        <w:t> </w:t>
      </w:r>
      <w:r>
        <w:rPr>
          <w:color w:val="231F20"/>
          <w:w w:val="105"/>
        </w:rPr>
        <w:t>provides</w:t>
      </w:r>
      <w:r>
        <w:rPr>
          <w:color w:val="231F20"/>
          <w:spacing w:val="-34"/>
          <w:w w:val="105"/>
        </w:rPr>
        <w:t> </w:t>
      </w:r>
      <w:r>
        <w:rPr>
          <w:color w:val="231F20"/>
          <w:w w:val="105"/>
        </w:rPr>
        <w:t>a</w:t>
      </w:r>
      <w:r>
        <w:rPr>
          <w:color w:val="231F20"/>
          <w:spacing w:val="-34"/>
          <w:w w:val="105"/>
        </w:rPr>
        <w:t> </w:t>
      </w:r>
      <w:r>
        <w:rPr>
          <w:color w:val="231F20"/>
          <w:w w:val="105"/>
        </w:rPr>
        <w:t>reasonable</w:t>
      </w:r>
      <w:r>
        <w:rPr>
          <w:color w:val="231F20"/>
          <w:spacing w:val="-34"/>
          <w:w w:val="105"/>
        </w:rPr>
        <w:t> </w:t>
      </w:r>
      <w:r>
        <w:rPr>
          <w:color w:val="231F20"/>
          <w:spacing w:val="-3"/>
          <w:w w:val="105"/>
        </w:rPr>
        <w:t>esti- </w:t>
      </w:r>
      <w:r>
        <w:rPr>
          <w:color w:val="231F20"/>
          <w:w w:val="105"/>
        </w:rPr>
        <w:t>mate of</w:t>
      </w:r>
      <w:r>
        <w:rPr>
          <w:color w:val="231F20"/>
          <w:spacing w:val="5"/>
          <w:w w:val="105"/>
        </w:rPr>
        <w:t> </w:t>
      </w:r>
      <w:r>
        <w:rPr>
          <w:color w:val="231F20"/>
          <w:w w:val="105"/>
        </w:rPr>
        <w:t>GFR.</w:t>
      </w:r>
    </w:p>
    <w:p>
      <w:pPr>
        <w:pStyle w:val="BodyText"/>
        <w:spacing w:line="249" w:lineRule="auto" w:before="6"/>
        <w:ind w:left="319" w:right="1437" w:firstLine="240"/>
        <w:jc w:val="both"/>
      </w:pPr>
      <w:r>
        <w:rPr>
          <w:color w:val="231F20"/>
          <w:w w:val="105"/>
        </w:rPr>
        <w:t>In some cases, it may not be practical to collect</w:t>
      </w:r>
      <w:r>
        <w:rPr>
          <w:color w:val="231F20"/>
          <w:spacing w:val="-28"/>
          <w:w w:val="105"/>
        </w:rPr>
        <w:t> </w:t>
      </w:r>
      <w:r>
        <w:rPr>
          <w:color w:val="231F20"/>
          <w:w w:val="105"/>
        </w:rPr>
        <w:t>urine in a patient for measuring creatinine clearance (C</w:t>
      </w:r>
      <w:r>
        <w:rPr>
          <w:color w:val="231F20"/>
          <w:w w:val="105"/>
          <w:vertAlign w:val="subscript"/>
        </w:rPr>
        <w:t>Cr</w:t>
      </w:r>
      <w:r>
        <w:rPr>
          <w:color w:val="231F20"/>
          <w:w w:val="105"/>
          <w:vertAlign w:val="baseline"/>
        </w:rPr>
        <w:t>).</w:t>
      </w:r>
      <w:r>
        <w:rPr>
          <w:color w:val="231F20"/>
          <w:spacing w:val="-19"/>
          <w:w w:val="105"/>
          <w:vertAlign w:val="baseline"/>
        </w:rPr>
        <w:t> </w:t>
      </w:r>
      <w:r>
        <w:rPr>
          <w:color w:val="231F20"/>
          <w:spacing w:val="-14"/>
          <w:w w:val="105"/>
          <w:vertAlign w:val="baseline"/>
        </w:rPr>
        <w:t>An </w:t>
      </w:r>
      <w:r>
        <w:rPr>
          <w:color w:val="231F20"/>
          <w:w w:val="105"/>
          <w:vertAlign w:val="baseline"/>
        </w:rPr>
        <w:t>approximation of </w:t>
      </w:r>
      <w:r>
        <w:rPr>
          <w:i/>
          <w:color w:val="231F20"/>
          <w:w w:val="105"/>
          <w:vertAlign w:val="baseline"/>
        </w:rPr>
        <w:t>changes </w:t>
      </w:r>
      <w:r>
        <w:rPr>
          <w:color w:val="231F20"/>
          <w:w w:val="105"/>
          <w:vertAlign w:val="baseline"/>
        </w:rPr>
        <w:t>in GFR, however, can be obtained</w:t>
      </w:r>
      <w:r>
        <w:rPr>
          <w:color w:val="231F20"/>
          <w:spacing w:val="-18"/>
          <w:w w:val="105"/>
          <w:vertAlign w:val="baseline"/>
        </w:rPr>
        <w:t> </w:t>
      </w:r>
      <w:r>
        <w:rPr>
          <w:color w:val="231F20"/>
          <w:w w:val="105"/>
          <w:vertAlign w:val="baseline"/>
        </w:rPr>
        <w:t>by</w:t>
      </w:r>
      <w:r>
        <w:rPr>
          <w:color w:val="231F20"/>
          <w:spacing w:val="-18"/>
          <w:w w:val="105"/>
          <w:vertAlign w:val="baseline"/>
        </w:rPr>
        <w:t> </w:t>
      </w:r>
      <w:r>
        <w:rPr>
          <w:color w:val="231F20"/>
          <w:w w:val="105"/>
          <w:vertAlign w:val="baseline"/>
        </w:rPr>
        <w:t>simply</w:t>
      </w:r>
      <w:r>
        <w:rPr>
          <w:color w:val="231F20"/>
          <w:spacing w:val="-18"/>
          <w:w w:val="105"/>
          <w:vertAlign w:val="baseline"/>
        </w:rPr>
        <w:t> </w:t>
      </w:r>
      <w:r>
        <w:rPr>
          <w:color w:val="231F20"/>
          <w:w w:val="105"/>
          <w:vertAlign w:val="baseline"/>
        </w:rPr>
        <w:t>measuring</w:t>
      </w:r>
      <w:r>
        <w:rPr>
          <w:color w:val="231F20"/>
          <w:spacing w:val="-17"/>
          <w:w w:val="105"/>
          <w:vertAlign w:val="baseline"/>
        </w:rPr>
        <w:t> </w:t>
      </w:r>
      <w:r>
        <w:rPr>
          <w:color w:val="231F20"/>
          <w:w w:val="105"/>
          <w:vertAlign w:val="baseline"/>
        </w:rPr>
        <w:t>plasma</w:t>
      </w:r>
      <w:r>
        <w:rPr>
          <w:color w:val="231F20"/>
          <w:spacing w:val="-18"/>
          <w:w w:val="105"/>
          <w:vertAlign w:val="baseline"/>
        </w:rPr>
        <w:t> </w:t>
      </w:r>
      <w:r>
        <w:rPr>
          <w:color w:val="231F20"/>
          <w:w w:val="105"/>
          <w:vertAlign w:val="baseline"/>
        </w:rPr>
        <w:t>creatinine</w:t>
      </w:r>
      <w:r>
        <w:rPr>
          <w:color w:val="231F20"/>
          <w:spacing w:val="-18"/>
          <w:w w:val="105"/>
          <w:vertAlign w:val="baseline"/>
        </w:rPr>
        <w:t> </w:t>
      </w:r>
      <w:r>
        <w:rPr>
          <w:color w:val="231F20"/>
          <w:w w:val="105"/>
          <w:vertAlign w:val="baseline"/>
        </w:rPr>
        <w:t>concen- tration</w:t>
      </w:r>
      <w:r>
        <w:rPr>
          <w:color w:val="231F20"/>
          <w:spacing w:val="-6"/>
          <w:w w:val="105"/>
          <w:vertAlign w:val="baseline"/>
        </w:rPr>
        <w:t> </w:t>
      </w:r>
      <w:r>
        <w:rPr>
          <w:color w:val="231F20"/>
          <w:w w:val="105"/>
          <w:vertAlign w:val="baseline"/>
        </w:rPr>
        <w:t>(P</w:t>
      </w:r>
      <w:r>
        <w:rPr>
          <w:color w:val="231F20"/>
          <w:w w:val="105"/>
          <w:vertAlign w:val="subscript"/>
        </w:rPr>
        <w:t>Cr</w:t>
      </w:r>
      <w:r>
        <w:rPr>
          <w:color w:val="231F20"/>
          <w:w w:val="105"/>
          <w:vertAlign w:val="baseline"/>
        </w:rPr>
        <w:t>),</w:t>
      </w:r>
      <w:r>
        <w:rPr>
          <w:color w:val="231F20"/>
          <w:spacing w:val="-6"/>
          <w:w w:val="105"/>
          <w:vertAlign w:val="baseline"/>
        </w:rPr>
        <w:t> </w:t>
      </w:r>
      <w:r>
        <w:rPr>
          <w:color w:val="231F20"/>
          <w:w w:val="105"/>
          <w:vertAlign w:val="baseline"/>
        </w:rPr>
        <w:t>which</w:t>
      </w:r>
      <w:r>
        <w:rPr>
          <w:color w:val="231F20"/>
          <w:spacing w:val="-6"/>
          <w:w w:val="105"/>
          <w:vertAlign w:val="baseline"/>
        </w:rPr>
        <w:t> </w:t>
      </w:r>
      <w:r>
        <w:rPr>
          <w:color w:val="231F20"/>
          <w:w w:val="105"/>
          <w:vertAlign w:val="baseline"/>
        </w:rPr>
        <w:t>is</w:t>
      </w:r>
      <w:r>
        <w:rPr>
          <w:color w:val="231F20"/>
          <w:spacing w:val="-6"/>
          <w:w w:val="105"/>
          <w:vertAlign w:val="baseline"/>
        </w:rPr>
        <w:t> </w:t>
      </w:r>
      <w:r>
        <w:rPr>
          <w:color w:val="231F20"/>
          <w:w w:val="105"/>
          <w:vertAlign w:val="baseline"/>
        </w:rPr>
        <w:t>inversely</w:t>
      </w:r>
      <w:r>
        <w:rPr>
          <w:color w:val="231F20"/>
          <w:spacing w:val="-6"/>
          <w:w w:val="105"/>
          <w:vertAlign w:val="baseline"/>
        </w:rPr>
        <w:t> </w:t>
      </w:r>
      <w:r>
        <w:rPr>
          <w:color w:val="231F20"/>
          <w:w w:val="105"/>
          <w:vertAlign w:val="baseline"/>
        </w:rPr>
        <w:t>proportional</w:t>
      </w:r>
      <w:r>
        <w:rPr>
          <w:color w:val="231F20"/>
          <w:spacing w:val="-6"/>
          <w:w w:val="105"/>
          <w:vertAlign w:val="baseline"/>
        </w:rPr>
        <w:t> </w:t>
      </w:r>
      <w:r>
        <w:rPr>
          <w:color w:val="231F20"/>
          <w:w w:val="105"/>
          <w:vertAlign w:val="baseline"/>
        </w:rPr>
        <w:t>to</w:t>
      </w:r>
      <w:r>
        <w:rPr>
          <w:color w:val="231F20"/>
          <w:spacing w:val="-6"/>
          <w:w w:val="105"/>
          <w:vertAlign w:val="baseline"/>
        </w:rPr>
        <w:t> </w:t>
      </w:r>
      <w:r>
        <w:rPr>
          <w:color w:val="231F20"/>
          <w:w w:val="105"/>
          <w:vertAlign w:val="baseline"/>
        </w:rPr>
        <w:t>GFR:</w:t>
      </w:r>
    </w:p>
    <w:p>
      <w:pPr>
        <w:spacing w:after="0" w:line="249" w:lineRule="auto"/>
        <w:jc w:val="both"/>
        <w:sectPr>
          <w:type w:val="continuous"/>
          <w:pgSz w:w="12240" w:h="15660"/>
          <w:pgMar w:top="0" w:bottom="760" w:left="0" w:right="0"/>
          <w:cols w:num="2" w:equalWidth="0">
            <w:col w:w="5761" w:space="40"/>
            <w:col w:w="6439"/>
          </w:cols>
        </w:sectPr>
      </w:pPr>
    </w:p>
    <w:p>
      <w:pPr>
        <w:pStyle w:val="Heading2"/>
        <w:spacing w:line="225" w:lineRule="auto" w:before="116"/>
        <w:ind w:left="1080" w:right="13"/>
      </w:pPr>
      <w:r>
        <w:rPr>
          <w:color w:val="231F20"/>
          <w:w w:val="105"/>
        </w:rPr>
        <w:t>CREATININE CLEARANCE AND PLASMA CREATININE CONCENTRATION CAN BE</w:t>
      </w:r>
    </w:p>
    <w:p>
      <w:pPr>
        <w:pStyle w:val="BodyText"/>
        <w:spacing w:before="3"/>
        <w:rPr>
          <w:rFonts w:ascii="Trebuchet MS"/>
          <w:b/>
          <w:sz w:val="22"/>
        </w:rPr>
      </w:pPr>
      <w:r>
        <w:rPr/>
        <w:br w:type="column"/>
      </w:r>
      <w:r>
        <w:rPr>
          <w:rFonts w:ascii="Trebuchet MS"/>
          <w:b/>
          <w:sz w:val="22"/>
        </w:rPr>
      </w:r>
    </w:p>
    <w:p>
      <w:pPr>
        <w:spacing w:before="0"/>
        <w:ind w:left="1080" w:right="0" w:firstLine="0"/>
        <w:jc w:val="left"/>
        <w:rPr>
          <w:rFonts w:ascii="Trebuchet MS" w:hAnsi="Trebuchet MS"/>
          <w:sz w:val="10"/>
        </w:rPr>
      </w:pPr>
      <w:r>
        <w:rPr>
          <w:rFonts w:ascii="Trebuchet MS" w:hAnsi="Trebuchet MS"/>
          <w:w w:val="105"/>
          <w:sz w:val="18"/>
        </w:rPr>
        <w:t>GFR </w:t>
      </w:r>
      <w:r>
        <w:rPr>
          <w:rFonts w:ascii="Symbol" w:hAnsi="Symbol"/>
          <w:w w:val="105"/>
          <w:sz w:val="18"/>
        </w:rPr>
        <w:t></w:t>
      </w:r>
      <w:r>
        <w:rPr>
          <w:w w:val="105"/>
          <w:sz w:val="18"/>
        </w:rPr>
        <w:t> </w:t>
      </w:r>
      <w:r>
        <w:rPr>
          <w:rFonts w:ascii="Trebuchet MS" w:hAnsi="Trebuchet MS"/>
          <w:spacing w:val="-7"/>
          <w:w w:val="105"/>
          <w:sz w:val="18"/>
        </w:rPr>
        <w:t>C</w:t>
      </w:r>
      <w:r>
        <w:rPr>
          <w:rFonts w:ascii="Trebuchet MS" w:hAnsi="Trebuchet MS"/>
          <w:spacing w:val="-7"/>
          <w:w w:val="105"/>
          <w:position w:val="-2"/>
          <w:sz w:val="10"/>
        </w:rPr>
        <w:t>Cr</w:t>
      </w:r>
    </w:p>
    <w:p>
      <w:pPr>
        <w:spacing w:line="182" w:lineRule="auto" w:before="157"/>
        <w:ind w:left="26" w:right="0" w:firstLine="0"/>
        <w:jc w:val="left"/>
        <w:rPr>
          <w:rFonts w:ascii="Arial Black" w:hAnsi="Arial Black"/>
          <w:sz w:val="18"/>
        </w:rPr>
      </w:pPr>
      <w:r>
        <w:rPr/>
        <w:br w:type="column"/>
      </w:r>
      <w:r>
        <w:rPr>
          <w:rFonts w:ascii="Symbol" w:hAnsi="Symbol"/>
          <w:w w:val="110"/>
          <w:position w:val="-11"/>
          <w:sz w:val="18"/>
        </w:rPr>
        <w:t></w:t>
      </w:r>
      <w:r>
        <w:rPr>
          <w:w w:val="110"/>
          <w:position w:val="-11"/>
          <w:sz w:val="18"/>
        </w:rPr>
        <w:t> </w:t>
      </w:r>
      <w:r>
        <w:rPr>
          <w:rFonts w:ascii="Trebuchet MS" w:hAnsi="Trebuchet MS"/>
          <w:spacing w:val="-4"/>
          <w:w w:val="110"/>
          <w:sz w:val="18"/>
        </w:rPr>
        <w:t>U</w:t>
      </w:r>
      <w:r>
        <w:rPr>
          <w:rFonts w:ascii="Trebuchet MS" w:hAnsi="Trebuchet MS"/>
          <w:spacing w:val="-4"/>
          <w:w w:val="110"/>
          <w:position w:val="-2"/>
          <w:sz w:val="10"/>
        </w:rPr>
        <w:t>Cr </w:t>
      </w:r>
      <w:r>
        <w:rPr>
          <w:rFonts w:ascii="Symbol" w:hAnsi="Symbol"/>
          <w:w w:val="110"/>
          <w:sz w:val="18"/>
        </w:rPr>
        <w:t></w:t>
      </w:r>
      <w:r>
        <w:rPr>
          <w:w w:val="110"/>
          <w:sz w:val="18"/>
        </w:rPr>
        <w:t> </w:t>
      </w:r>
      <w:r>
        <w:rPr>
          <w:rFonts w:ascii="Trebuchet MS" w:hAnsi="Trebuchet MS"/>
          <w:spacing w:val="-91"/>
          <w:w w:val="110"/>
          <w:sz w:val="18"/>
        </w:rPr>
        <w:t>V</w:t>
      </w:r>
      <w:r>
        <w:rPr>
          <w:rFonts w:ascii="Arial Black" w:hAnsi="Arial Black"/>
          <w:w w:val="99"/>
          <w:position w:val="5"/>
          <w:sz w:val="18"/>
        </w:rPr>
        <w:t> </w:t>
      </w:r>
    </w:p>
    <w:p>
      <w:pPr>
        <w:spacing w:line="138" w:lineRule="exact" w:before="0"/>
        <w:ind w:left="346" w:right="0" w:firstLine="0"/>
        <w:jc w:val="left"/>
        <w:rPr>
          <w:rFonts w:ascii="Trebuchet MS"/>
          <w:sz w:val="10"/>
        </w:rPr>
      </w:pPr>
      <w:r>
        <w:rPr/>
        <w:pict>
          <v:line style="position:absolute;mso-position-horizontal-relative:page;mso-position-vertical-relative:paragraph;z-index:-273112064" from="432.5625pt,-2.739705pt" to="460.3125pt,-2.739705pt" stroked="true" strokeweight=".438pt" strokecolor="#000000">
            <v:stroke dashstyle="solid"/>
            <w10:wrap type="none"/>
          </v:line>
        </w:pict>
      </w:r>
      <w:r>
        <w:rPr>
          <w:rFonts w:ascii="Trebuchet MS"/>
          <w:w w:val="105"/>
          <w:position w:val="3"/>
          <w:sz w:val="18"/>
        </w:rPr>
        <w:t>P</w:t>
      </w:r>
      <w:r>
        <w:rPr>
          <w:rFonts w:ascii="Trebuchet MS"/>
          <w:w w:val="105"/>
          <w:sz w:val="10"/>
        </w:rPr>
        <w:t>Cr</w:t>
      </w:r>
    </w:p>
    <w:p>
      <w:pPr>
        <w:spacing w:after="0" w:line="138" w:lineRule="exact"/>
        <w:jc w:val="left"/>
        <w:rPr>
          <w:rFonts w:ascii="Trebuchet MS"/>
          <w:sz w:val="10"/>
        </w:rPr>
        <w:sectPr>
          <w:type w:val="continuous"/>
          <w:pgSz w:w="12240" w:h="15660"/>
          <w:pgMar w:top="0" w:bottom="760" w:left="0" w:right="0"/>
          <w:cols w:num="3" w:equalWidth="0">
            <w:col w:w="5148" w:space="1463"/>
            <w:col w:w="1821" w:space="40"/>
            <w:col w:w="3768"/>
          </w:cols>
        </w:sectPr>
      </w:pPr>
    </w:p>
    <w:p>
      <w:pPr>
        <w:pStyle w:val="Heading2"/>
        <w:spacing w:line="244" w:lineRule="exact"/>
        <w:ind w:left="1080"/>
        <w:jc w:val="both"/>
      </w:pPr>
      <w:r>
        <w:rPr>
          <w:color w:val="231F20"/>
          <w:w w:val="105"/>
        </w:rPr>
        <w:t>USED TO ESTIMATE GFR</w:t>
      </w:r>
    </w:p>
    <w:p>
      <w:pPr>
        <w:pStyle w:val="BodyText"/>
        <w:spacing w:line="249" w:lineRule="auto" w:before="124"/>
        <w:ind w:left="1080"/>
        <w:jc w:val="both"/>
      </w:pPr>
      <w:r>
        <w:rPr>
          <w:color w:val="231F20"/>
          <w:w w:val="105"/>
        </w:rPr>
        <w:t>Creatinine is a by-product of muscle metabolism and </w:t>
      </w:r>
      <w:r>
        <w:rPr>
          <w:color w:val="231F20"/>
          <w:spacing w:val="-8"/>
          <w:w w:val="105"/>
        </w:rPr>
        <w:t>is </w:t>
      </w:r>
      <w:r>
        <w:rPr>
          <w:color w:val="231F20"/>
          <w:w w:val="105"/>
        </w:rPr>
        <w:t>cleared</w:t>
      </w:r>
      <w:r>
        <w:rPr>
          <w:color w:val="231F20"/>
          <w:spacing w:val="-32"/>
          <w:w w:val="105"/>
        </w:rPr>
        <w:t> </w:t>
      </w:r>
      <w:r>
        <w:rPr>
          <w:color w:val="231F20"/>
          <w:w w:val="105"/>
        </w:rPr>
        <w:t>from</w:t>
      </w:r>
      <w:r>
        <w:rPr>
          <w:color w:val="231F20"/>
          <w:spacing w:val="-32"/>
          <w:w w:val="105"/>
        </w:rPr>
        <w:t> </w:t>
      </w:r>
      <w:r>
        <w:rPr>
          <w:color w:val="231F20"/>
          <w:w w:val="105"/>
        </w:rPr>
        <w:t>the</w:t>
      </w:r>
      <w:r>
        <w:rPr>
          <w:color w:val="231F20"/>
          <w:spacing w:val="-31"/>
          <w:w w:val="105"/>
        </w:rPr>
        <w:t> </w:t>
      </w:r>
      <w:r>
        <w:rPr>
          <w:color w:val="231F20"/>
          <w:w w:val="105"/>
        </w:rPr>
        <w:t>body</w:t>
      </w:r>
      <w:r>
        <w:rPr>
          <w:color w:val="231F20"/>
          <w:spacing w:val="-32"/>
          <w:w w:val="105"/>
        </w:rPr>
        <w:t> </w:t>
      </w:r>
      <w:r>
        <w:rPr>
          <w:color w:val="231F20"/>
          <w:w w:val="105"/>
        </w:rPr>
        <w:t>fluids</w:t>
      </w:r>
      <w:r>
        <w:rPr>
          <w:color w:val="231F20"/>
          <w:spacing w:val="-31"/>
          <w:w w:val="105"/>
        </w:rPr>
        <w:t> </w:t>
      </w:r>
      <w:r>
        <w:rPr>
          <w:color w:val="231F20"/>
          <w:w w:val="105"/>
        </w:rPr>
        <w:t>almost</w:t>
      </w:r>
      <w:r>
        <w:rPr>
          <w:color w:val="231F20"/>
          <w:spacing w:val="-32"/>
          <w:w w:val="105"/>
        </w:rPr>
        <w:t> </w:t>
      </w:r>
      <w:r>
        <w:rPr>
          <w:color w:val="231F20"/>
          <w:w w:val="105"/>
        </w:rPr>
        <w:t>entirely</w:t>
      </w:r>
      <w:r>
        <w:rPr>
          <w:color w:val="231F20"/>
          <w:spacing w:val="-31"/>
          <w:w w:val="105"/>
        </w:rPr>
        <w:t> </w:t>
      </w:r>
      <w:r>
        <w:rPr>
          <w:color w:val="231F20"/>
          <w:w w:val="105"/>
        </w:rPr>
        <w:t>by</w:t>
      </w:r>
      <w:r>
        <w:rPr>
          <w:color w:val="231F20"/>
          <w:spacing w:val="-32"/>
          <w:w w:val="105"/>
        </w:rPr>
        <w:t> </w:t>
      </w:r>
      <w:r>
        <w:rPr>
          <w:color w:val="231F20"/>
          <w:w w:val="105"/>
        </w:rPr>
        <w:t>glomerular filtration. Therefore, the clearance of creatinine can</w:t>
      </w:r>
      <w:r>
        <w:rPr>
          <w:color w:val="231F20"/>
          <w:spacing w:val="-39"/>
          <w:w w:val="105"/>
        </w:rPr>
        <w:t> </w:t>
      </w:r>
      <w:r>
        <w:rPr>
          <w:color w:val="231F20"/>
          <w:spacing w:val="-3"/>
          <w:w w:val="105"/>
        </w:rPr>
        <w:t>also </w:t>
      </w:r>
      <w:r>
        <w:rPr>
          <w:color w:val="231F20"/>
          <w:w w:val="105"/>
        </w:rPr>
        <w:t>be used to assess GFR. Because measurement of creati- nine</w:t>
      </w:r>
      <w:r>
        <w:rPr>
          <w:color w:val="231F20"/>
          <w:spacing w:val="-14"/>
          <w:w w:val="105"/>
        </w:rPr>
        <w:t> </w:t>
      </w:r>
      <w:r>
        <w:rPr>
          <w:color w:val="231F20"/>
          <w:w w:val="105"/>
        </w:rPr>
        <w:t>clearance</w:t>
      </w:r>
      <w:r>
        <w:rPr>
          <w:color w:val="231F20"/>
          <w:spacing w:val="-13"/>
          <w:w w:val="105"/>
        </w:rPr>
        <w:t> </w:t>
      </w:r>
      <w:r>
        <w:rPr>
          <w:color w:val="231F20"/>
          <w:w w:val="105"/>
        </w:rPr>
        <w:t>does</w:t>
      </w:r>
      <w:r>
        <w:rPr>
          <w:color w:val="231F20"/>
          <w:spacing w:val="-13"/>
          <w:w w:val="105"/>
        </w:rPr>
        <w:t> </w:t>
      </w:r>
      <w:r>
        <w:rPr>
          <w:color w:val="231F20"/>
          <w:w w:val="105"/>
        </w:rPr>
        <w:t>not</w:t>
      </w:r>
      <w:r>
        <w:rPr>
          <w:color w:val="231F20"/>
          <w:spacing w:val="-14"/>
          <w:w w:val="105"/>
        </w:rPr>
        <w:t> </w:t>
      </w:r>
      <w:r>
        <w:rPr>
          <w:color w:val="231F20"/>
          <w:w w:val="105"/>
        </w:rPr>
        <w:t>require</w:t>
      </w:r>
      <w:r>
        <w:rPr>
          <w:color w:val="231F20"/>
          <w:spacing w:val="-13"/>
          <w:w w:val="105"/>
        </w:rPr>
        <w:t> </w:t>
      </w:r>
      <w:r>
        <w:rPr>
          <w:color w:val="231F20"/>
          <w:w w:val="105"/>
        </w:rPr>
        <w:t>intravenous</w:t>
      </w:r>
      <w:r>
        <w:rPr>
          <w:color w:val="231F20"/>
          <w:spacing w:val="-13"/>
          <w:w w:val="105"/>
        </w:rPr>
        <w:t> </w:t>
      </w:r>
      <w:r>
        <w:rPr>
          <w:color w:val="231F20"/>
          <w:w w:val="105"/>
        </w:rPr>
        <w:t>infusion</w:t>
      </w:r>
      <w:r>
        <w:rPr>
          <w:color w:val="231F20"/>
          <w:spacing w:val="-13"/>
          <w:w w:val="105"/>
        </w:rPr>
        <w:t> </w:t>
      </w:r>
      <w:r>
        <w:rPr>
          <w:color w:val="231F20"/>
          <w:w w:val="105"/>
        </w:rPr>
        <w:t>into the patient, this method is much more widely used </w:t>
      </w:r>
      <w:r>
        <w:rPr>
          <w:color w:val="231F20"/>
          <w:spacing w:val="-5"/>
          <w:w w:val="105"/>
        </w:rPr>
        <w:t>than </w:t>
      </w:r>
      <w:r>
        <w:rPr>
          <w:color w:val="231F20"/>
          <w:w w:val="105"/>
        </w:rPr>
        <w:t>inulin</w:t>
      </w:r>
      <w:r>
        <w:rPr>
          <w:color w:val="231F20"/>
          <w:spacing w:val="-14"/>
          <w:w w:val="105"/>
        </w:rPr>
        <w:t> </w:t>
      </w:r>
      <w:r>
        <w:rPr>
          <w:color w:val="231F20"/>
          <w:w w:val="105"/>
        </w:rPr>
        <w:t>clearance</w:t>
      </w:r>
      <w:r>
        <w:rPr>
          <w:color w:val="231F20"/>
          <w:spacing w:val="-13"/>
          <w:w w:val="105"/>
        </w:rPr>
        <w:t> </w:t>
      </w:r>
      <w:r>
        <w:rPr>
          <w:color w:val="231F20"/>
          <w:w w:val="105"/>
        </w:rPr>
        <w:t>for</w:t>
      </w:r>
      <w:r>
        <w:rPr>
          <w:color w:val="231F20"/>
          <w:spacing w:val="-13"/>
          <w:w w:val="105"/>
        </w:rPr>
        <w:t> </w:t>
      </w:r>
      <w:r>
        <w:rPr>
          <w:color w:val="231F20"/>
          <w:w w:val="105"/>
        </w:rPr>
        <w:t>estimating</w:t>
      </w:r>
      <w:r>
        <w:rPr>
          <w:color w:val="231F20"/>
          <w:spacing w:val="-14"/>
          <w:w w:val="105"/>
        </w:rPr>
        <w:t> </w:t>
      </w:r>
      <w:r>
        <w:rPr>
          <w:color w:val="231F20"/>
          <w:w w:val="105"/>
        </w:rPr>
        <w:t>GFR</w:t>
      </w:r>
      <w:r>
        <w:rPr>
          <w:color w:val="231F20"/>
          <w:spacing w:val="-13"/>
          <w:w w:val="105"/>
        </w:rPr>
        <w:t> </w:t>
      </w:r>
      <w:r>
        <w:rPr>
          <w:color w:val="231F20"/>
          <w:w w:val="105"/>
        </w:rPr>
        <w:t>clinically.</w:t>
      </w:r>
      <w:r>
        <w:rPr>
          <w:color w:val="231F20"/>
          <w:spacing w:val="-13"/>
          <w:w w:val="105"/>
        </w:rPr>
        <w:t> </w:t>
      </w:r>
      <w:r>
        <w:rPr>
          <w:color w:val="231F20"/>
          <w:spacing w:val="-4"/>
          <w:w w:val="105"/>
        </w:rPr>
        <w:t>However, </w:t>
      </w:r>
      <w:r>
        <w:rPr>
          <w:color w:val="231F20"/>
          <w:w w:val="105"/>
        </w:rPr>
        <w:t>creatinine clearance is not a perfect marker of GFR because a small amount of it is secreted by the</w:t>
      </w:r>
      <w:r>
        <w:rPr>
          <w:color w:val="231F20"/>
          <w:spacing w:val="4"/>
          <w:w w:val="105"/>
        </w:rPr>
        <w:t> </w:t>
      </w:r>
      <w:r>
        <w:rPr>
          <w:color w:val="231F20"/>
          <w:w w:val="105"/>
        </w:rPr>
        <w:t>tubules,</w:t>
      </w:r>
    </w:p>
    <w:p>
      <w:pPr>
        <w:pStyle w:val="BodyText"/>
        <w:spacing w:line="249" w:lineRule="auto" w:before="128"/>
        <w:ind w:left="319" w:right="1437" w:firstLine="240"/>
        <w:jc w:val="both"/>
      </w:pPr>
      <w:r>
        <w:rPr/>
        <w:br w:type="column"/>
      </w:r>
      <w:r>
        <w:rPr>
          <w:color w:val="231F20"/>
          <w:w w:val="105"/>
        </w:rPr>
        <w:t>If GFR suddenly decreases by 50%, the kidneys will transiently</w:t>
      </w:r>
      <w:r>
        <w:rPr>
          <w:color w:val="231F20"/>
          <w:spacing w:val="-22"/>
          <w:w w:val="105"/>
        </w:rPr>
        <w:t> </w:t>
      </w:r>
      <w:r>
        <w:rPr>
          <w:color w:val="231F20"/>
          <w:w w:val="105"/>
        </w:rPr>
        <w:t>filter</w:t>
      </w:r>
      <w:r>
        <w:rPr>
          <w:color w:val="231F20"/>
          <w:spacing w:val="-21"/>
          <w:w w:val="105"/>
        </w:rPr>
        <w:t> </w:t>
      </w:r>
      <w:r>
        <w:rPr>
          <w:color w:val="231F20"/>
          <w:w w:val="105"/>
        </w:rPr>
        <w:t>and</w:t>
      </w:r>
      <w:r>
        <w:rPr>
          <w:color w:val="231F20"/>
          <w:spacing w:val="-22"/>
          <w:w w:val="105"/>
        </w:rPr>
        <w:t> </w:t>
      </w:r>
      <w:r>
        <w:rPr>
          <w:color w:val="231F20"/>
          <w:w w:val="105"/>
        </w:rPr>
        <w:t>excrete</w:t>
      </w:r>
      <w:r>
        <w:rPr>
          <w:color w:val="231F20"/>
          <w:spacing w:val="-21"/>
          <w:w w:val="105"/>
        </w:rPr>
        <w:t> </w:t>
      </w:r>
      <w:r>
        <w:rPr>
          <w:color w:val="231F20"/>
          <w:w w:val="105"/>
        </w:rPr>
        <w:t>only</w:t>
      </w:r>
      <w:r>
        <w:rPr>
          <w:color w:val="231F20"/>
          <w:spacing w:val="-22"/>
          <w:w w:val="105"/>
        </w:rPr>
        <w:t> </w:t>
      </w:r>
      <w:r>
        <w:rPr>
          <w:color w:val="231F20"/>
          <w:w w:val="105"/>
        </w:rPr>
        <w:t>half</w:t>
      </w:r>
      <w:r>
        <w:rPr>
          <w:color w:val="231F20"/>
          <w:spacing w:val="-21"/>
          <w:w w:val="105"/>
        </w:rPr>
        <w:t> </w:t>
      </w:r>
      <w:r>
        <w:rPr>
          <w:color w:val="231F20"/>
          <w:w w:val="105"/>
        </w:rPr>
        <w:t>as</w:t>
      </w:r>
      <w:r>
        <w:rPr>
          <w:color w:val="231F20"/>
          <w:spacing w:val="-22"/>
          <w:w w:val="105"/>
        </w:rPr>
        <w:t> </w:t>
      </w:r>
      <w:r>
        <w:rPr>
          <w:color w:val="231F20"/>
          <w:w w:val="105"/>
        </w:rPr>
        <w:t>much</w:t>
      </w:r>
      <w:r>
        <w:rPr>
          <w:color w:val="231F20"/>
          <w:spacing w:val="-21"/>
          <w:w w:val="105"/>
        </w:rPr>
        <w:t> </w:t>
      </w:r>
      <w:r>
        <w:rPr>
          <w:color w:val="231F20"/>
          <w:w w:val="105"/>
        </w:rPr>
        <w:t>creatinine, causing accumulation of creatinine in the body fluids and raising plasma concentration. Plasma concentration of</w:t>
      </w:r>
      <w:r>
        <w:rPr>
          <w:color w:val="231F20"/>
          <w:spacing w:val="-17"/>
          <w:w w:val="105"/>
        </w:rPr>
        <w:t> </w:t>
      </w:r>
      <w:r>
        <w:rPr>
          <w:color w:val="231F20"/>
          <w:w w:val="105"/>
        </w:rPr>
        <w:t>creatinine</w:t>
      </w:r>
      <w:r>
        <w:rPr>
          <w:color w:val="231F20"/>
          <w:spacing w:val="-16"/>
          <w:w w:val="105"/>
        </w:rPr>
        <w:t> </w:t>
      </w:r>
      <w:r>
        <w:rPr>
          <w:color w:val="231F20"/>
          <w:w w:val="105"/>
        </w:rPr>
        <w:t>will</w:t>
      </w:r>
      <w:r>
        <w:rPr>
          <w:color w:val="231F20"/>
          <w:spacing w:val="-16"/>
          <w:w w:val="105"/>
        </w:rPr>
        <w:t> </w:t>
      </w:r>
      <w:r>
        <w:rPr>
          <w:color w:val="231F20"/>
          <w:w w:val="105"/>
        </w:rPr>
        <w:t>continue</w:t>
      </w:r>
      <w:r>
        <w:rPr>
          <w:color w:val="231F20"/>
          <w:spacing w:val="-16"/>
          <w:w w:val="105"/>
        </w:rPr>
        <w:t> </w:t>
      </w:r>
      <w:r>
        <w:rPr>
          <w:color w:val="231F20"/>
          <w:w w:val="105"/>
        </w:rPr>
        <w:t>to</w:t>
      </w:r>
      <w:r>
        <w:rPr>
          <w:color w:val="231F20"/>
          <w:spacing w:val="-16"/>
          <w:w w:val="105"/>
        </w:rPr>
        <w:t> </w:t>
      </w:r>
      <w:r>
        <w:rPr>
          <w:color w:val="231F20"/>
          <w:w w:val="105"/>
        </w:rPr>
        <w:t>rise</w:t>
      </w:r>
      <w:r>
        <w:rPr>
          <w:color w:val="231F20"/>
          <w:spacing w:val="-16"/>
          <w:w w:val="105"/>
        </w:rPr>
        <w:t> </w:t>
      </w:r>
      <w:r>
        <w:rPr>
          <w:color w:val="231F20"/>
          <w:w w:val="105"/>
        </w:rPr>
        <w:t>until</w:t>
      </w:r>
      <w:r>
        <w:rPr>
          <w:color w:val="231F20"/>
          <w:spacing w:val="-16"/>
          <w:w w:val="105"/>
        </w:rPr>
        <w:t> </w:t>
      </w:r>
      <w:r>
        <w:rPr>
          <w:color w:val="231F20"/>
          <w:w w:val="105"/>
        </w:rPr>
        <w:t>the</w:t>
      </w:r>
      <w:r>
        <w:rPr>
          <w:color w:val="231F20"/>
          <w:spacing w:val="-16"/>
          <w:w w:val="105"/>
        </w:rPr>
        <w:t> </w:t>
      </w:r>
      <w:r>
        <w:rPr>
          <w:color w:val="231F20"/>
          <w:w w:val="105"/>
        </w:rPr>
        <w:t>filtered</w:t>
      </w:r>
      <w:r>
        <w:rPr>
          <w:color w:val="231F20"/>
          <w:spacing w:val="-16"/>
          <w:w w:val="105"/>
        </w:rPr>
        <w:t> </w:t>
      </w:r>
      <w:r>
        <w:rPr>
          <w:color w:val="231F20"/>
          <w:w w:val="105"/>
        </w:rPr>
        <w:t>load</w:t>
      </w:r>
      <w:r>
        <w:rPr>
          <w:color w:val="231F20"/>
          <w:spacing w:val="-16"/>
          <w:w w:val="105"/>
        </w:rPr>
        <w:t> </w:t>
      </w:r>
      <w:r>
        <w:rPr>
          <w:color w:val="231F20"/>
          <w:w w:val="105"/>
        </w:rPr>
        <w:t>of</w:t>
      </w:r>
    </w:p>
    <w:p>
      <w:pPr>
        <w:pStyle w:val="BodyText"/>
        <w:spacing w:line="194" w:lineRule="auto"/>
        <w:ind w:left="319" w:right="1439"/>
        <w:jc w:val="both"/>
      </w:pPr>
      <w:r>
        <w:rPr>
          <w:color w:val="231F20"/>
          <w:w w:val="105"/>
        </w:rPr>
        <w:t>creatinine</w:t>
      </w:r>
      <w:r>
        <w:rPr>
          <w:color w:val="231F20"/>
          <w:spacing w:val="-12"/>
          <w:w w:val="105"/>
        </w:rPr>
        <w:t> </w:t>
      </w:r>
      <w:r>
        <w:rPr>
          <w:color w:val="231F20"/>
          <w:w w:val="105"/>
        </w:rPr>
        <w:t>(P</w:t>
      </w:r>
      <w:r>
        <w:rPr>
          <w:color w:val="231F20"/>
          <w:w w:val="105"/>
          <w:vertAlign w:val="subscript"/>
        </w:rPr>
        <w:t>Cr</w:t>
      </w:r>
      <w:r>
        <w:rPr>
          <w:color w:val="231F20"/>
          <w:spacing w:val="-12"/>
          <w:w w:val="105"/>
          <w:vertAlign w:val="baseline"/>
        </w:rPr>
        <w:t> </w:t>
      </w:r>
      <w:r>
        <w:rPr>
          <w:rFonts w:ascii="Arial Unicode MS" w:hAnsi="Arial Unicode MS"/>
          <w:color w:val="231F20"/>
          <w:w w:val="105"/>
          <w:vertAlign w:val="baseline"/>
        </w:rPr>
        <w:t>×</w:t>
      </w:r>
      <w:r>
        <w:rPr>
          <w:rFonts w:ascii="Arial Unicode MS" w:hAnsi="Arial Unicode MS"/>
          <w:color w:val="231F20"/>
          <w:spacing w:val="-19"/>
          <w:w w:val="105"/>
          <w:vertAlign w:val="baseline"/>
        </w:rPr>
        <w:t> </w:t>
      </w:r>
      <w:r>
        <w:rPr>
          <w:color w:val="231F20"/>
          <w:w w:val="105"/>
          <w:vertAlign w:val="baseline"/>
        </w:rPr>
        <w:t>GFR)</w:t>
      </w:r>
      <w:r>
        <w:rPr>
          <w:color w:val="231F20"/>
          <w:spacing w:val="-11"/>
          <w:w w:val="105"/>
          <w:vertAlign w:val="baseline"/>
        </w:rPr>
        <w:t> </w:t>
      </w:r>
      <w:r>
        <w:rPr>
          <w:color w:val="231F20"/>
          <w:w w:val="105"/>
          <w:vertAlign w:val="baseline"/>
        </w:rPr>
        <w:t>and</w:t>
      </w:r>
      <w:r>
        <w:rPr>
          <w:color w:val="231F20"/>
          <w:spacing w:val="-12"/>
          <w:w w:val="105"/>
          <w:vertAlign w:val="baseline"/>
        </w:rPr>
        <w:t> </w:t>
      </w:r>
      <w:r>
        <w:rPr>
          <w:color w:val="231F20"/>
          <w:w w:val="105"/>
          <w:vertAlign w:val="baseline"/>
        </w:rPr>
        <w:t>creatinine</w:t>
      </w:r>
      <w:r>
        <w:rPr>
          <w:color w:val="231F20"/>
          <w:spacing w:val="-12"/>
          <w:w w:val="105"/>
          <w:vertAlign w:val="baseline"/>
        </w:rPr>
        <w:t> </w:t>
      </w:r>
      <w:r>
        <w:rPr>
          <w:color w:val="231F20"/>
          <w:w w:val="105"/>
          <w:vertAlign w:val="baseline"/>
        </w:rPr>
        <w:t>excretion</w:t>
      </w:r>
      <w:r>
        <w:rPr>
          <w:color w:val="231F20"/>
          <w:spacing w:val="-12"/>
          <w:w w:val="105"/>
          <w:vertAlign w:val="baseline"/>
        </w:rPr>
        <w:t> </w:t>
      </w:r>
      <w:r>
        <w:rPr>
          <w:color w:val="231F20"/>
          <w:w w:val="105"/>
          <w:vertAlign w:val="baseline"/>
        </w:rPr>
        <w:t>(U</w:t>
      </w:r>
      <w:r>
        <w:rPr>
          <w:color w:val="231F20"/>
          <w:w w:val="105"/>
          <w:vertAlign w:val="subscript"/>
        </w:rPr>
        <w:t>Cr</w:t>
      </w:r>
      <w:r>
        <w:rPr>
          <w:color w:val="231F20"/>
          <w:spacing w:val="-12"/>
          <w:w w:val="105"/>
          <w:vertAlign w:val="baseline"/>
        </w:rPr>
        <w:t> </w:t>
      </w:r>
      <w:r>
        <w:rPr>
          <w:rFonts w:ascii="Arial Unicode MS" w:hAnsi="Arial Unicode MS"/>
          <w:color w:val="231F20"/>
          <w:w w:val="105"/>
          <w:vertAlign w:val="baseline"/>
        </w:rPr>
        <w:t>×</w:t>
      </w:r>
      <w:r>
        <w:rPr>
          <w:rFonts w:ascii="Arial Unicode MS" w:hAnsi="Arial Unicode MS"/>
          <w:color w:val="231F20"/>
          <w:spacing w:val="-13"/>
          <w:w w:val="105"/>
          <w:vertAlign w:val="baseline"/>
        </w:rPr>
        <w:t> </w:t>
      </w:r>
      <w:r>
        <w:rPr>
          <w:spacing w:val="-100"/>
          <w:w w:val="105"/>
          <w:position w:val="-1"/>
          <w:vertAlign w:val="baseline"/>
        </w:rPr>
        <w:t>V</w:t>
      </w:r>
      <w:r>
        <w:rPr>
          <w:spacing w:val="32"/>
          <w:w w:val="105"/>
          <w:position w:val="3"/>
          <w:vertAlign w:val="baseline"/>
        </w:rPr>
        <w:t> </w:t>
      </w:r>
      <w:r>
        <w:rPr>
          <w:color w:val="231F20"/>
          <w:spacing w:val="-56"/>
          <w:w w:val="105"/>
          <w:vertAlign w:val="baseline"/>
        </w:rPr>
        <w:t>)</w:t>
      </w:r>
      <w:r>
        <w:rPr>
          <w:color w:val="231F20"/>
          <w:spacing w:val="-50"/>
          <w:w w:val="105"/>
          <w:vertAlign w:val="baseline"/>
        </w:rPr>
        <w:t> </w:t>
      </w:r>
      <w:r>
        <w:rPr>
          <w:color w:val="231F20"/>
          <w:w w:val="105"/>
          <w:vertAlign w:val="baseline"/>
        </w:rPr>
        <w:t>return</w:t>
      </w:r>
      <w:r>
        <w:rPr>
          <w:color w:val="231F20"/>
          <w:spacing w:val="9"/>
          <w:w w:val="105"/>
          <w:vertAlign w:val="baseline"/>
        </w:rPr>
        <w:t> </w:t>
      </w:r>
      <w:r>
        <w:rPr>
          <w:color w:val="231F20"/>
          <w:w w:val="105"/>
          <w:vertAlign w:val="baseline"/>
        </w:rPr>
        <w:t>to</w:t>
      </w:r>
      <w:r>
        <w:rPr>
          <w:color w:val="231F20"/>
          <w:spacing w:val="10"/>
          <w:w w:val="105"/>
          <w:vertAlign w:val="baseline"/>
        </w:rPr>
        <w:t> </w:t>
      </w:r>
      <w:r>
        <w:rPr>
          <w:color w:val="231F20"/>
          <w:w w:val="105"/>
          <w:vertAlign w:val="baseline"/>
        </w:rPr>
        <w:t>normal</w:t>
      </w:r>
      <w:r>
        <w:rPr>
          <w:color w:val="231F20"/>
          <w:spacing w:val="9"/>
          <w:w w:val="105"/>
          <w:vertAlign w:val="baseline"/>
        </w:rPr>
        <w:t> </w:t>
      </w:r>
      <w:r>
        <w:rPr>
          <w:color w:val="231F20"/>
          <w:w w:val="105"/>
          <w:vertAlign w:val="baseline"/>
        </w:rPr>
        <w:t>and</w:t>
      </w:r>
      <w:r>
        <w:rPr>
          <w:color w:val="231F20"/>
          <w:spacing w:val="10"/>
          <w:w w:val="105"/>
          <w:vertAlign w:val="baseline"/>
        </w:rPr>
        <w:t> </w:t>
      </w:r>
      <w:r>
        <w:rPr>
          <w:color w:val="231F20"/>
          <w:w w:val="105"/>
          <w:vertAlign w:val="baseline"/>
        </w:rPr>
        <w:t>a</w:t>
      </w:r>
      <w:r>
        <w:rPr>
          <w:color w:val="231F20"/>
          <w:spacing w:val="9"/>
          <w:w w:val="105"/>
          <w:vertAlign w:val="baseline"/>
        </w:rPr>
        <w:t> </w:t>
      </w:r>
      <w:r>
        <w:rPr>
          <w:color w:val="231F20"/>
          <w:w w:val="105"/>
          <w:vertAlign w:val="baseline"/>
        </w:rPr>
        <w:t>balance</w:t>
      </w:r>
      <w:r>
        <w:rPr>
          <w:color w:val="231F20"/>
          <w:spacing w:val="10"/>
          <w:w w:val="105"/>
          <w:vertAlign w:val="baseline"/>
        </w:rPr>
        <w:t> </w:t>
      </w:r>
      <w:r>
        <w:rPr>
          <w:color w:val="231F20"/>
          <w:w w:val="105"/>
          <w:vertAlign w:val="baseline"/>
        </w:rPr>
        <w:t>between</w:t>
      </w:r>
      <w:r>
        <w:rPr>
          <w:color w:val="231F20"/>
          <w:spacing w:val="9"/>
          <w:w w:val="105"/>
          <w:vertAlign w:val="baseline"/>
        </w:rPr>
        <w:t> </w:t>
      </w:r>
      <w:r>
        <w:rPr>
          <w:color w:val="231F20"/>
          <w:w w:val="105"/>
          <w:vertAlign w:val="baseline"/>
        </w:rPr>
        <w:t>creatinine</w:t>
      </w:r>
      <w:r>
        <w:rPr>
          <w:color w:val="231F20"/>
          <w:spacing w:val="10"/>
          <w:w w:val="105"/>
          <w:vertAlign w:val="baseline"/>
        </w:rPr>
        <w:t> </w:t>
      </w:r>
      <w:r>
        <w:rPr>
          <w:color w:val="231F20"/>
          <w:w w:val="105"/>
          <w:vertAlign w:val="baseline"/>
        </w:rPr>
        <w:t>pro-</w:t>
      </w:r>
    </w:p>
    <w:p>
      <w:pPr>
        <w:pStyle w:val="BodyText"/>
        <w:spacing w:line="249" w:lineRule="auto" w:before="15"/>
        <w:ind w:left="319" w:right="1437"/>
        <w:jc w:val="both"/>
      </w:pPr>
      <w:r>
        <w:rPr>
          <w:color w:val="231F20"/>
        </w:rPr>
        <w:t>duction and creatinine excretion is re-established. This response will occur when plasma creatinine increases to approximately twice normal, as shown in </w:t>
      </w:r>
      <w:hyperlink w:history="true" w:anchor="_bookmark63">
        <w:r>
          <w:rPr>
            <w:b/>
            <w:color w:val="0080AC"/>
          </w:rPr>
          <w:t>Figure 28-21</w:t>
        </w:r>
      </w:hyperlink>
      <w:r>
        <w:rPr>
          <w:color w:val="231F20"/>
        </w:rPr>
        <w:t>.</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after="0"/>
        <w:rPr>
          <w:sz w:val="24"/>
        </w:rPr>
        <w:sectPr>
          <w:headerReference w:type="default" r:id="rId732"/>
          <w:pgSz w:w="12240" w:h="15660"/>
          <w:pgMar w:header="0" w:footer="567" w:top="0" w:bottom="760" w:left="0" w:right="0"/>
        </w:sectPr>
      </w:pPr>
    </w:p>
    <w:p>
      <w:pPr>
        <w:tabs>
          <w:tab w:pos="6496" w:val="left" w:leader="none"/>
        </w:tabs>
        <w:spacing w:before="98"/>
        <w:ind w:left="2205" w:right="0" w:firstLine="0"/>
        <w:jc w:val="left"/>
        <w:rPr>
          <w:rFonts w:ascii="Helvetica"/>
          <w:sz w:val="16"/>
        </w:rPr>
      </w:pPr>
      <w:r>
        <w:rPr/>
        <w:pict>
          <v:group style="position:absolute;margin-left:122.385101pt;margin-top:7.880408pt;width:161.6pt;height:188.1pt;mso-position-horizontal-relative:page;mso-position-vertical-relative:paragraph;z-index:-273096704" coordorigin="2448,158" coordsize="3232,3762">
            <v:shape style="position:absolute;left:-75;top:14682;width:3215;height:3738" coordorigin="-74,14682" coordsize="3215,3738" path="m2522,191l2448,191m2522,713l2448,713m2522,1235l2448,1235m2522,1757l2448,1757m2522,2279l2448,2279m2522,2800l2448,2800m2522,3322l2448,3322m3044,3844l3044,3919m3566,3844l3566,3919m4088,3844l4088,3919m4610,3844l4610,3919m5132,3844l5132,3919m5654,3844l5654,3919m2522,181l2522,3844,5663,3844e" filled="false" stroked="true" strokeweight="1pt" strokecolor="#231f20">
              <v:path arrowok="t"/>
              <v:stroke dashstyle="solid"/>
            </v:shape>
            <v:shape style="position:absolute;left:2638;top:177;width:3021;height:3441" coordorigin="2639,178" coordsize="3021,3441" path="m2639,178l2667,642,2695,955,2739,1260,2815,1698,2833,1791,2851,1884,2871,1975,2892,2065,2914,2153,2937,2238,2961,2320,2986,2398,3011,2473,3038,2543,3065,2608,3093,2668,3121,2722,3180,2810,3230,2863,3255,2890,3321,2959,3414,3045,3471,3092,3537,3141,3612,3191,3695,3241,3789,3291,3893,3340,4009,3387,4135,3431,4193,3449,4254,3466,4319,3482,4387,3498,4459,3513,4533,3527,4609,3540,4688,3553,4769,3564,4853,3575,4938,3584,5025,3593,5113,3600,5202,3606,5292,3611,5383,3615,5475,3617,5567,3618,5659,3618e" filled="false" stroked="true" strokeweight="2pt" strokecolor="#f0535f">
              <v:path arrowok="t"/>
              <v:stroke dashstyle="solid"/>
            </v:shape>
            <v:shape style="position:absolute;left:2783;top:1683;width:2383;height:1958" coordorigin="2784,1684" coordsize="2383,1958" path="m2864,1724l2861,1708,2852,1695,2839,1687,2824,1684,2808,1687,2796,1695,2787,1708,2784,1724,2787,1739,2796,1752,2808,1761,2824,1764,2839,1761,2852,1752,2861,1739,2864,1724m3185,2769l3182,2754,3173,2741,3160,2732,3145,2729,3129,2732,3116,2741,3108,2754,3105,2769,3108,2785,3116,2797,3129,2806,3145,2809,3160,2806,3173,2797,3182,2785,3185,2769m3860,3305l3857,3290,3848,3277,3836,3269,3820,3265,3805,3269,3792,3277,3783,3290,3780,3305,3783,3321,3792,3334,3805,3342,3820,3345,3836,3342,3848,3334,3857,3321,3860,3305m5166,3602l5163,3586,5155,3573,5142,3565,5126,3562,5111,3565,5098,3573,5090,3586,5086,3602,5090,3617,5098,3630,5111,3638,5126,3642,5142,3638,5155,3630,5163,3617,5166,3602e" filled="true" fillcolor="#f0535f" stroked="false">
              <v:path arrowok="t"/>
              <v:fill type="solid"/>
            </v:shape>
            <v:line style="position:absolute" from="5129,3438" to="5129,3562" stroked="true" strokeweight=".75pt" strokecolor="#231f20">
              <v:stroke dashstyle="solid"/>
            </v:line>
            <v:shape style="position:absolute;left:4873;top:3254;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w10:wrap type="none"/>
          </v:group>
        </w:pict>
      </w:r>
      <w:r>
        <w:rPr>
          <w:rFonts w:ascii="Helvetica"/>
          <w:color w:val="231F20"/>
          <w:position w:val="3"/>
          <w:sz w:val="16"/>
        </w:rPr>
        <w:t>14</w:t>
        <w:tab/>
      </w:r>
      <w:r>
        <w:rPr>
          <w:rFonts w:ascii="Helvetica"/>
          <w:color w:val="231F20"/>
          <w:sz w:val="16"/>
        </w:rPr>
        <w:t>P</w:t>
      </w:r>
      <w:r>
        <w:rPr>
          <w:rFonts w:ascii="Helvetica"/>
          <w:color w:val="231F20"/>
          <w:sz w:val="16"/>
          <w:vertAlign w:val="subscript"/>
        </w:rPr>
        <w:t>PAH</w:t>
      </w:r>
      <w:r>
        <w:rPr>
          <w:rFonts w:ascii="Helvetica"/>
          <w:color w:val="231F20"/>
          <w:sz w:val="16"/>
          <w:vertAlign w:val="baseline"/>
        </w:rPr>
        <w:t> = 0.01</w:t>
      </w:r>
      <w:r>
        <w:rPr>
          <w:rFonts w:ascii="Helvetica"/>
          <w:color w:val="231F20"/>
          <w:spacing w:val="-20"/>
          <w:sz w:val="16"/>
          <w:vertAlign w:val="baseline"/>
        </w:rPr>
        <w:t> </w:t>
      </w:r>
      <w:r>
        <w:rPr>
          <w:rFonts w:ascii="Helvetica"/>
          <w:color w:val="231F20"/>
          <w:sz w:val="16"/>
          <w:vertAlign w:val="baseline"/>
        </w:rPr>
        <w:t>mg/ml</w:t>
      </w:r>
    </w:p>
    <w:p>
      <w:pPr>
        <w:pStyle w:val="BodyText"/>
        <w:spacing w:before="1"/>
        <w:rPr>
          <w:rFonts w:ascii="Helvetica"/>
          <w:sz w:val="27"/>
        </w:rPr>
      </w:pPr>
    </w:p>
    <w:p>
      <w:pPr>
        <w:spacing w:before="0"/>
        <w:ind w:left="2205" w:right="0" w:firstLine="0"/>
        <w:jc w:val="left"/>
        <w:rPr>
          <w:rFonts w:ascii="Helvetica"/>
          <w:sz w:val="16"/>
        </w:rPr>
      </w:pPr>
      <w:r>
        <w:rPr/>
        <w:pict>
          <v:shape style="position:absolute;margin-left:87.203598pt;margin-top:7.787104pt;width:20.55pt;height:125.2pt;mso-position-horizontal-relative:page;mso-position-vertical-relative:paragraph;z-index:252311552" type="#_x0000_t202" filled="false" stroked="false">
            <v:textbox inset="0,0,0,0" style="layout-flow:vertical;mso-layout-flow-alt:bottom-to-top">
              <w:txbxContent>
                <w:p>
                  <w:pPr>
                    <w:spacing w:line="235" w:lineRule="auto" w:before="27"/>
                    <w:ind w:left="784" w:right="1" w:hanging="765"/>
                    <w:jc w:val="left"/>
                    <w:rPr>
                      <w:rFonts w:ascii="Helvetica"/>
                      <w:b/>
                      <w:sz w:val="16"/>
                    </w:rPr>
                  </w:pPr>
                  <w:r>
                    <w:rPr>
                      <w:rFonts w:ascii="Helvetica"/>
                      <w:b/>
                      <w:color w:val="231F20"/>
                      <w:sz w:val="16"/>
                    </w:rPr>
                    <w:t>Plasma creatinine concentration (mg/100 ml)</w:t>
                  </w:r>
                </w:p>
              </w:txbxContent>
            </v:textbox>
            <w10:wrap type="none"/>
          </v:shape>
        </w:pict>
      </w:r>
      <w:r>
        <w:rPr>
          <w:rFonts w:ascii="Helvetica"/>
          <w:color w:val="231F20"/>
          <w:sz w:val="16"/>
        </w:rPr>
        <w:t>12</w:t>
      </w:r>
    </w:p>
    <w:p>
      <w:pPr>
        <w:pStyle w:val="BodyText"/>
        <w:rPr>
          <w:rFonts w:ascii="Helvetica"/>
          <w:sz w:val="18"/>
        </w:rPr>
      </w:pPr>
    </w:p>
    <w:p>
      <w:pPr>
        <w:spacing w:before="125"/>
        <w:ind w:left="2205" w:right="0" w:firstLine="0"/>
        <w:jc w:val="left"/>
        <w:rPr>
          <w:rFonts w:ascii="Helvetica"/>
          <w:sz w:val="16"/>
        </w:rPr>
      </w:pPr>
      <w:r>
        <w:rPr>
          <w:rFonts w:ascii="Helvetica"/>
          <w:color w:val="231F20"/>
          <w:sz w:val="16"/>
        </w:rPr>
        <w:t>10</w:t>
      </w:r>
    </w:p>
    <w:p>
      <w:pPr>
        <w:pStyle w:val="BodyText"/>
        <w:rPr>
          <w:rFonts w:ascii="Helvetica"/>
          <w:sz w:val="18"/>
        </w:rPr>
      </w:pPr>
    </w:p>
    <w:p>
      <w:pPr>
        <w:spacing w:before="136"/>
        <w:ind w:left="2294" w:right="0" w:firstLine="0"/>
        <w:jc w:val="left"/>
        <w:rPr>
          <w:rFonts w:ascii="Helvetica"/>
          <w:sz w:val="16"/>
        </w:rPr>
      </w:pPr>
      <w:r>
        <w:rPr>
          <w:rFonts w:ascii="Helvetica"/>
          <w:color w:val="231F20"/>
          <w:w w:val="99"/>
          <w:sz w:val="16"/>
        </w:rPr>
        <w:t>8</w:t>
      </w:r>
    </w:p>
    <w:p>
      <w:pPr>
        <w:pStyle w:val="BodyText"/>
        <w:rPr>
          <w:rFonts w:ascii="Helvetica"/>
          <w:sz w:val="18"/>
        </w:rPr>
      </w:pPr>
    </w:p>
    <w:p>
      <w:pPr>
        <w:spacing w:before="129"/>
        <w:ind w:left="2294" w:right="0" w:firstLine="0"/>
        <w:jc w:val="left"/>
        <w:rPr>
          <w:rFonts w:ascii="Helvetica"/>
          <w:sz w:val="16"/>
        </w:rPr>
      </w:pPr>
      <w:r>
        <w:rPr>
          <w:rFonts w:ascii="Helvetica"/>
          <w:color w:val="231F20"/>
          <w:w w:val="99"/>
          <w:sz w:val="16"/>
        </w:rPr>
        <w:t>6</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58"/>
        <w:ind w:left="1553" w:right="1474" w:firstLine="0"/>
        <w:jc w:val="center"/>
        <w:rPr>
          <w:rFonts w:ascii="Helvetica"/>
          <w:sz w:val="16"/>
        </w:rPr>
      </w:pPr>
      <w:r>
        <w:rPr>
          <w:rFonts w:ascii="Helvetica"/>
          <w:color w:val="231F20"/>
          <w:sz w:val="16"/>
        </w:rPr>
        <w:t>Renal plasma flow</w:t>
      </w:r>
    </w:p>
    <w:p>
      <w:pPr>
        <w:spacing w:line="204" w:lineRule="auto" w:before="16"/>
        <w:ind w:left="1994" w:right="1567" w:hanging="287"/>
        <w:jc w:val="left"/>
        <w:rPr>
          <w:rFonts w:ascii="Helvetica" w:hAnsi="Helvetica"/>
          <w:sz w:val="12"/>
        </w:rPr>
      </w:pPr>
      <w:r>
        <w:rPr/>
        <w:pict>
          <v:group style="position:absolute;margin-left:395.072784pt;margin-top:-94.316017pt;width:124.2pt;height:193.1pt;mso-position-horizontal-relative:page;mso-position-vertical-relative:paragraph;z-index:-273095680" coordorigin="7901,-1886" coordsize="2484,3862">
            <v:shape style="position:absolute;left:9941;top:1174;width:171;height:111" type="#_x0000_t75" stroked="false">
              <v:imagedata r:id="rId733" o:title=""/>
            </v:shape>
            <v:shape style="position:absolute;left:8672;top:1741;width:152;height:234" type="#_x0000_t75" stroked="false">
              <v:imagedata r:id="rId734" o:title=""/>
            </v:shape>
            <v:shape style="position:absolute;left:8262;top:-1596;width:969;height:3215" coordorigin="8263,-1595" coordsize="969,3215" path="m8344,-1595l8316,-1588,8288,-1546,8277,-1513,8268,-1468,8263,-1413,8264,-1351,8274,-1284,8296,-1215,8332,-1146,8386,-1080,8458,-1020,8552,-968,8586,-959,8604,-946,8612,-923,8614,-880,8614,1541,8619,1585,8635,1608,8673,1617,8747,1619,8821,1606,8861,1580,8877,1553,8880,1541,8880,-880,8891,-925,8912,-952,8932,-965,8942,-968,9036,-1020,9108,-1080,9161,-1146,9198,-1215,9220,-1284,9229,-1346,8637,-1346,8570,-1355,8521,-1384,8461,-1443,8422,-1488,8394,-1525,8378,-1553,8373,-1570,8365,-1584,8344,-1595xm9150,-1595l9129,-1584,9121,-1570,9115,-1553,9100,-1525,9072,-1488,9033,-1443,8947,-1385,8853,-1357,8778,-1349,8747,-1349,8637,-1346,9229,-1346,9230,-1351,9231,-1413,9226,-1468,9217,-1513,9206,-1546,9178,-1588,9150,-1595xe" filled="true" fillcolor="#ffe293" stroked="false">
              <v:path arrowok="t"/>
              <v:fill type="solid"/>
            </v:shape>
            <v:shape style="position:absolute;left:8262;top:-1596;width:969;height:3215" coordorigin="8263,-1595" coordsize="969,3215" path="m8747,1619l8821,1606,8861,1580,8877,1553,8880,1541,8880,-880,8891,-925,8912,-952,8932,-965,8942,-968,9036,-1020,9108,-1080,9161,-1146,9198,-1215,9220,-1284,9230,-1351,9231,-1413,9226,-1468,9217,-1513,9206,-1546,9178,-1588,9150,-1595,9129,-1584,9121,-1570,9115,-1553,9100,-1525,9033,-1443,8947,-1385,8853,-1357,8778,-1349,8747,-1349,8637,-1346,8570,-1355,8461,-1443,8394,-1525,8373,-1570,8365,-1584,8344,-1595,8316,-1588,8288,-1546,8277,-1513,8268,-1468,8263,-1413,8264,-1351,8274,-1284,8296,-1215,8332,-1146,8386,-1080,8458,-1020,8552,-968,8586,-959,8604,-946,8612,-923,8614,-880,8614,1541,8619,1585,8635,1608,8673,1617,8747,1619xe" filled="false" stroked="true" strokeweight=".25pt" strokecolor="#b7705b">
              <v:path arrowok="t"/>
              <v:stroke dashstyle="solid"/>
            </v:shape>
            <v:shape style="position:absolute;left:7975;top:-1884;width:1856;height:3223" coordorigin="7975,-1884" coordsize="1856,3223" path="m9254,962l9033,962,9033,997,9040,1065,9067,1151,9125,1238,9165,1273,9221,1306,9294,1330,9387,1339,9831,1339,9831,1118,9386,1118,9342,1114,9313,1106,9296,1096,9287,1087,9270,1063,9260,1034,9255,1007,9253,985,9253,980,9253,976,9254,962xm9682,-1663l9177,-1663,9178,-1663,9181,-1663,9407,-1663,9431,-1658,9451,-1645,9465,-1624,9470,-1600,9470,-1299,9467,-1280,9461,-1252,9449,-1223,9430,-1198,9428,-1197,9427,-1195,9126,-872,9107,-849,9076,-795,9046,-707,9032,-585,9033,-572,9033,968,9033,965,9033,962,9254,962,9253,-572,9253,-579,9253,-585,9258,-646,9270,-688,9282,-713,9288,-722,9582,-1038,9582,-1038,9641,-1116,9674,-1195,9688,-1259,9691,-1292,9691,-1600,9682,-1663xm9585,-1040l9582,-1038,9582,-1038,9585,-1040xm9587,-1043l9585,-1040,9585,-1041,9587,-1043xm8665,-1663l8317,-1663,8330,-1662,8347,-1659,8363,-1653,8375,-1643,8440,-1562,8506,-1502,8572,-1461,8635,-1436,8694,-1423,8747,-1420,8800,-1423,8859,-1436,8922,-1461,8988,-1502,9054,-1562,9118,-1641,8744,-1641,8695,-1648,8665,-1663xm8748,-1641l8746,-1641,8744,-1641,8750,-1641,8748,-1641xm9407,-1884l9185,-1884,9187,-1884,9190,-1884,9155,-1883,9088,-1872,9010,-1838,8937,-1768,8892,-1712,8846,-1672,8798,-1648,8750,-1641,9118,-1641,9119,-1643,9131,-1653,9147,-1659,9164,-1662,9177,-1663,9682,-1663,9680,-1675,9652,-1743,9607,-1801,9550,-1845,9482,-1874,9407,-1884xm8309,-1884l7975,-1884,7975,-1663,8312,-1663,8315,-1663,8317,-1663,8665,-1663,8648,-1672,8602,-1712,8557,-1768,8484,-1838,8405,-1872,8339,-1883,8304,-1884,8307,-1884,8309,-1884xe" filled="true" fillcolor="#f15b66" stroked="false">
              <v:path arrowok="t"/>
              <v:fill type="solid"/>
            </v:shape>
            <v:shape style="position:absolute;left:-772;top:12230;width:1856;height:3223" coordorigin="-772,12230" coordsize="1856,3223" path="m8747,-1420l8747,-1420m8937,-1768l8892,-1712,8846,-1672,8798,-1648,8750,-1641,8748,-1641,8746,-1641,8744,-1641,8695,-1648,8648,-1672,8602,-1712,8557,-1768,8484,-1838,8405,-1872,8339,-1883,8304,-1884,8307,-1884,8309,-1884,8311,-1884,7975,-1884,7975,-1663,8311,-1663,8312,-1663,8315,-1663,8317,-1663,8330,-1662,8347,-1659,8363,-1653,8375,-1643,8440,-1562,8506,-1502,8572,-1461,8635,-1436,8694,-1423,8747,-1420,8746,-1420,8745,-1420,8744,-1420,8745,-1420,8746,-1420,8747,-1420,8748,-1420,8749,-1420,8750,-1420,8749,-1420,8748,-1420,8747,-1420,8800,-1423,8859,-1436,8922,-1461,8988,-1502,9054,-1562,9119,-1643,9131,-1653,9147,-1659,9164,-1662,9177,-1663,9178,-1663,9181,-1663,9183,-1663,9407,-1663,9431,-1658,9451,-1645,9465,-1624,9470,-1600,9470,-1299,9467,-1280,9461,-1252,9449,-1223,9430,-1198,9428,-1197,9427,-1195,9425,-1193,9126,-872,9107,-849,9076,-795,9046,-707,9032,-585,9032,-579,9033,-572,9033,-566,9033,971,9033,968,9033,965,9033,962,9033,997,9040,1065,9067,1151,9125,1238,9165,1273,9221,1306,9294,1330,9387,1339,9831,1339,9831,1118,9386,1118,9342,1114,9313,1106,9296,1096,9287,1087,9270,1063,9260,1034,9255,1007,9253,985,9253,982,9253,980,9253,978,9253,976,9254,973,9254,971,9254,-566,9254,-567,9254,-569,9254,-570,9253,-575,9253,-580,9253,-585,9258,-646,9270,-688,9282,-713,9288,-722,9346,-784,9447,-893,9544,-997,9587,-1043,9585,-1041,9583,-1039,9582,-1038,9641,-1116,9674,-1195,9688,-1259,9691,-1292,9691,-1600,9680,-1675,9652,-1743,9607,-1801,9550,-1845,9482,-1874,9407,-1884,9183,-1884,9185,-1884,9187,-1884,9190,-1884,9155,-1883,9088,-1872,9010,-1838,8937,-1768xe" filled="false" stroked="true" strokeweight=".25pt" strokecolor="#231f20">
              <v:path arrowok="t"/>
              <v:stroke dashstyle="solid"/>
            </v:shape>
            <v:line style="position:absolute" from="8747,-1517" to="8747,1780" stroked="true" strokeweight="1.25pt" strokecolor="#231f20">
              <v:stroke dashstyle="solid"/>
            </v:line>
            <v:shape style="position:absolute;left:7975;top:-1777;width:1605;height:3581" coordorigin="7975,-1776" coordsize="1605,3581" path="m7975,-1773l8311,-1773,8372,-1776,8408,-1770,8435,-1749,8466,-1706,8505,-1654,8553,-1606,8609,-1566,8674,-1539,8747,-1531,8820,-1539,8885,-1566,8941,-1606,8989,-1654,9028,-1706,9074,-1748,9124,-1767,9166,-1773,9183,-1773,9407,-1773,9474,-1760,9529,-1723,9567,-1667,9580,-1600,9580,-1295,9577,-1230,9568,-1190,9547,-1158,9506,-1118,9206,-797,9166,-753,9147,-714,9141,-659,9143,-566,9143,-77,8747,130,8747,1804e" filled="false" stroked="true" strokeweight="2pt" strokecolor="#231f20">
              <v:path arrowok="t"/>
              <v:stroke dashstyle="solid"/>
            </v:shape>
            <v:shape style="position:absolute;left:9143;top:-101;width:843;height:1330" coordorigin="9143,-101" coordsize="843,1330" path="m9143,-101l9143,1010,9155,1079,9186,1139,9233,1187,9293,1218,9363,1229,9986,1229e" filled="false" stroked="true" strokeweight="1.25pt" strokecolor="#231f20">
              <v:path arrowok="t"/>
              <v:stroke dashstyle="solid"/>
            </v:shape>
            <v:line style="position:absolute" from="9733,257" to="10385,257" stroked="true" strokeweight=".75pt" strokecolor="#231f20">
              <v:stroke dashstyle="solid"/>
            </v:line>
            <v:shape style="position:absolute;left:7901;top:-1887;width:148;height:227" type="#_x0000_t75" stroked="false">
              <v:imagedata r:id="rId735" o:title=""/>
            </v:shape>
            <w10:wrap type="none"/>
          </v:group>
        </w:pict>
      </w:r>
      <w:r>
        <w:rPr/>
        <w:pict>
          <v:shape style="position:absolute;margin-left:578.900024pt;margin-top:-32.666222pt;width:15.9pt;height:53.35pt;mso-position-horizontal-relative:page;mso-position-vertical-relative:paragraph;z-index:25231052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hAnsi="Helvetica"/>
          <w:color w:val="231F20"/>
          <w:position w:val="-8"/>
          <w:sz w:val="16"/>
        </w:rPr>
        <w:t>= </w:t>
      </w:r>
      <w:r>
        <w:rPr>
          <w:rFonts w:ascii="Helvetica" w:hAnsi="Helvetica"/>
          <w:color w:val="231F20"/>
          <w:position w:val="3"/>
          <w:sz w:val="16"/>
        </w:rPr>
        <w:t>U</w:t>
      </w:r>
      <w:r>
        <w:rPr>
          <w:rFonts w:ascii="Helvetica" w:hAnsi="Helvetica"/>
          <w:color w:val="231F20"/>
          <w:sz w:val="12"/>
        </w:rPr>
        <w:t>PAH </w:t>
      </w:r>
      <w:r>
        <w:rPr>
          <w:rFonts w:ascii="Symbol" w:hAnsi="Symbol"/>
          <w:color w:val="231F20"/>
          <w:position w:val="3"/>
          <w:sz w:val="16"/>
        </w:rPr>
        <w:t></w:t>
      </w:r>
      <w:r>
        <w:rPr>
          <w:color w:val="231F20"/>
          <w:position w:val="3"/>
          <w:sz w:val="16"/>
        </w:rPr>
        <w:t> </w:t>
      </w:r>
      <w:r>
        <w:rPr>
          <w:rFonts w:ascii="Helvetica" w:hAnsi="Helvetica"/>
          <w:color w:val="231F20"/>
          <w:position w:val="3"/>
          <w:sz w:val="16"/>
        </w:rPr>
        <w:t>V P</w:t>
      </w:r>
      <w:r>
        <w:rPr>
          <w:rFonts w:ascii="Helvetica" w:hAnsi="Helvetica"/>
          <w:color w:val="231F20"/>
          <w:sz w:val="12"/>
        </w:rPr>
        <w:t>PAH</w:t>
      </w:r>
    </w:p>
    <w:p>
      <w:pPr>
        <w:spacing w:after="0" w:line="204" w:lineRule="auto"/>
        <w:jc w:val="left"/>
        <w:rPr>
          <w:rFonts w:ascii="Helvetica" w:hAnsi="Helvetica"/>
          <w:sz w:val="12"/>
        </w:rPr>
        <w:sectPr>
          <w:type w:val="continuous"/>
          <w:pgSz w:w="12240" w:h="15660"/>
          <w:pgMar w:top="0" w:bottom="760" w:left="0" w:right="0"/>
          <w:cols w:num="2" w:equalWidth="0">
            <w:col w:w="7824" w:space="40"/>
            <w:col w:w="4376"/>
          </w:cols>
        </w:sectPr>
      </w:pPr>
    </w:p>
    <w:p>
      <w:pPr>
        <w:pStyle w:val="BodyText"/>
        <w:spacing w:before="4"/>
        <w:rPr>
          <w:rFonts w:ascii="Helvetica"/>
          <w:sz w:val="11"/>
        </w:rPr>
      </w:pPr>
    </w:p>
    <w:p>
      <w:pPr>
        <w:spacing w:after="0"/>
        <w:rPr>
          <w:rFonts w:ascii="Helvetica"/>
          <w:sz w:val="11"/>
        </w:rPr>
        <w:sectPr>
          <w:type w:val="continuous"/>
          <w:pgSz w:w="12240" w:h="15660"/>
          <w:pgMar w:top="0" w:bottom="760" w:left="0" w:right="0"/>
        </w:sectPr>
      </w:pPr>
    </w:p>
    <w:p>
      <w:pPr>
        <w:spacing w:before="99"/>
        <w:ind w:left="1023" w:right="0" w:firstLine="0"/>
        <w:jc w:val="center"/>
        <w:rPr>
          <w:rFonts w:ascii="Helvetica"/>
          <w:sz w:val="16"/>
        </w:rPr>
      </w:pPr>
      <w:r>
        <w:rPr>
          <w:rFonts w:ascii="Helvetica"/>
          <w:color w:val="231F20"/>
          <w:w w:val="99"/>
          <w:sz w:val="16"/>
        </w:rPr>
        <w:t>4</w:t>
      </w:r>
    </w:p>
    <w:p>
      <w:pPr>
        <w:pStyle w:val="BodyText"/>
        <w:rPr>
          <w:rFonts w:ascii="Helvetica"/>
          <w:sz w:val="18"/>
        </w:rPr>
      </w:pPr>
    </w:p>
    <w:p>
      <w:pPr>
        <w:spacing w:before="129"/>
        <w:ind w:left="1023" w:right="0" w:firstLine="0"/>
        <w:jc w:val="center"/>
        <w:rPr>
          <w:rFonts w:ascii="Helvetica"/>
          <w:sz w:val="16"/>
        </w:rPr>
      </w:pPr>
      <w:r>
        <w:rPr>
          <w:rFonts w:ascii="Helvetica"/>
          <w:color w:val="231F20"/>
          <w:w w:val="99"/>
          <w:sz w:val="16"/>
        </w:rPr>
        <w:t>2</w:t>
      </w:r>
    </w:p>
    <w:p>
      <w:pPr>
        <w:pStyle w:val="BodyText"/>
        <w:rPr>
          <w:rFonts w:ascii="Helvetica"/>
          <w:sz w:val="18"/>
        </w:rPr>
      </w:pPr>
    </w:p>
    <w:p>
      <w:pPr>
        <w:pStyle w:val="BodyText"/>
        <w:rPr>
          <w:rFonts w:ascii="Helvetica"/>
          <w:sz w:val="18"/>
        </w:rPr>
      </w:pPr>
    </w:p>
    <w:p>
      <w:pPr>
        <w:tabs>
          <w:tab w:pos="519" w:val="left" w:leader="none"/>
        </w:tabs>
        <w:spacing w:before="118"/>
        <w:ind w:left="0" w:right="0" w:firstLine="0"/>
        <w:jc w:val="right"/>
        <w:rPr>
          <w:rFonts w:ascii="Helvetica"/>
          <w:sz w:val="16"/>
        </w:rPr>
      </w:pPr>
      <w:r>
        <w:rPr>
          <w:rFonts w:ascii="Helvetica"/>
          <w:color w:val="231F20"/>
          <w:sz w:val="16"/>
        </w:rPr>
        <w:t>25</w:t>
        <w:tab/>
      </w:r>
      <w:r>
        <w:rPr>
          <w:rFonts w:ascii="Helvetica"/>
          <w:color w:val="231F20"/>
          <w:w w:val="95"/>
          <w:sz w:val="16"/>
        </w:rPr>
        <w:t>50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
        <w:rPr>
          <w:rFonts w:ascii="Helvetica"/>
          <w:sz w:val="26"/>
        </w:rPr>
      </w:pPr>
    </w:p>
    <w:p>
      <w:pPr>
        <w:tabs>
          <w:tab w:pos="777" w:val="left" w:leader="none"/>
          <w:tab w:pos="1292" w:val="left" w:leader="none"/>
          <w:tab w:pos="1817" w:val="left" w:leader="none"/>
        </w:tabs>
        <w:spacing w:before="0"/>
        <w:ind w:left="306" w:right="0" w:firstLine="0"/>
        <w:jc w:val="left"/>
        <w:rPr>
          <w:rFonts w:ascii="Helvetica"/>
          <w:sz w:val="16"/>
        </w:rPr>
      </w:pPr>
      <w:r>
        <w:rPr>
          <w:rFonts w:ascii="Helvetica"/>
          <w:color w:val="231F20"/>
          <w:sz w:val="16"/>
        </w:rPr>
        <w:t>75</w:t>
        <w:tab/>
        <w:t>100</w:t>
        <w:tab/>
        <w:t>125</w:t>
        <w:tab/>
      </w:r>
      <w:r>
        <w:rPr>
          <w:rFonts w:ascii="Helvetica"/>
          <w:color w:val="231F20"/>
          <w:spacing w:val="-7"/>
          <w:sz w:val="16"/>
        </w:rPr>
        <w:t>150</w:t>
      </w:r>
    </w:p>
    <w:p>
      <w:pPr>
        <w:pStyle w:val="BodyText"/>
        <w:rPr>
          <w:rFonts w:ascii="Helvetica"/>
          <w:sz w:val="30"/>
        </w:rPr>
      </w:pPr>
      <w:r>
        <w:rPr/>
        <w:br w:type="column"/>
      </w:r>
      <w:r>
        <w:rPr>
          <w:rFonts w:ascii="Helvetica"/>
          <w:sz w:val="30"/>
        </w:rPr>
      </w:r>
    </w:p>
    <w:p>
      <w:pPr>
        <w:pStyle w:val="BodyText"/>
        <w:rPr>
          <w:rFonts w:ascii="Helvetica"/>
          <w:sz w:val="30"/>
        </w:rPr>
      </w:pPr>
    </w:p>
    <w:p>
      <w:pPr>
        <w:pStyle w:val="BodyText"/>
        <w:rPr>
          <w:rFonts w:ascii="Helvetica"/>
          <w:sz w:val="30"/>
        </w:rPr>
      </w:pPr>
    </w:p>
    <w:p>
      <w:pPr>
        <w:pStyle w:val="BodyText"/>
        <w:spacing w:before="6"/>
        <w:rPr>
          <w:rFonts w:ascii="Helvetica"/>
          <w:sz w:val="33"/>
        </w:rPr>
      </w:pPr>
    </w:p>
    <w:p>
      <w:pPr>
        <w:spacing w:line="19" w:lineRule="auto" w:before="1"/>
        <w:ind w:left="2265" w:right="0" w:firstLine="0"/>
        <w:jc w:val="left"/>
        <w:rPr>
          <w:rFonts w:ascii="Helvetica"/>
          <w:sz w:val="16"/>
        </w:rPr>
      </w:pPr>
      <w:r>
        <w:rPr>
          <w:rFonts w:ascii="Helvetica"/>
          <w:color w:val="231F20"/>
          <w:spacing w:val="-10"/>
          <w:sz w:val="16"/>
        </w:rPr>
        <w:t>U</w:t>
      </w:r>
      <w:r>
        <w:rPr>
          <w:rFonts w:ascii="Helvetica"/>
          <w:color w:val="231F20"/>
          <w:spacing w:val="-10"/>
          <w:sz w:val="16"/>
          <w:vertAlign w:val="subscript"/>
        </w:rPr>
        <w:t>PA</w:t>
      </w:r>
      <w:r>
        <w:rPr>
          <w:rFonts w:ascii="Helvetica"/>
          <w:color w:val="231F20"/>
          <w:spacing w:val="-10"/>
          <w:position w:val="-11"/>
          <w:sz w:val="16"/>
          <w:vertAlign w:val="baseline"/>
        </w:rPr>
        <w:t>.</w:t>
      </w:r>
      <w:r>
        <w:rPr>
          <w:rFonts w:ascii="Helvetica"/>
          <w:color w:val="231F20"/>
          <w:spacing w:val="-10"/>
          <w:position w:val="-2"/>
          <w:sz w:val="12"/>
          <w:vertAlign w:val="baseline"/>
        </w:rPr>
        <w:t>H </w:t>
      </w:r>
      <w:r>
        <w:rPr>
          <w:rFonts w:ascii="Helvetica"/>
          <w:color w:val="231F20"/>
          <w:sz w:val="16"/>
          <w:vertAlign w:val="baseline"/>
        </w:rPr>
        <w:t>= 5.85 mg/ml</w:t>
      </w:r>
    </w:p>
    <w:p>
      <w:pPr>
        <w:pStyle w:val="BodyText"/>
        <w:rPr>
          <w:rFonts w:ascii="Helvetica"/>
          <w:sz w:val="18"/>
        </w:rPr>
      </w:pPr>
      <w:r>
        <w:rPr/>
        <w:br w:type="column"/>
      </w:r>
      <w:r>
        <w:rPr>
          <w:rFonts w:ascii="Helvetica"/>
          <w:sz w:val="18"/>
        </w:rPr>
      </w:r>
    </w:p>
    <w:p>
      <w:pPr>
        <w:pStyle w:val="BodyText"/>
        <w:rPr>
          <w:rFonts w:ascii="Helvetica"/>
          <w:sz w:val="18"/>
        </w:rPr>
      </w:pPr>
    </w:p>
    <w:p>
      <w:pPr>
        <w:spacing w:line="235" w:lineRule="auto" w:before="111"/>
        <w:ind w:left="704" w:right="1076" w:firstLine="0"/>
        <w:jc w:val="left"/>
        <w:rPr>
          <w:rFonts w:ascii="Helvetica"/>
          <w:sz w:val="16"/>
        </w:rPr>
      </w:pPr>
      <w:r>
        <w:rPr>
          <w:rFonts w:ascii="Helvetica"/>
          <w:color w:val="231F20"/>
          <w:sz w:val="16"/>
        </w:rPr>
        <w:t>Renal venous PAH =</w:t>
      </w:r>
    </w:p>
    <w:p>
      <w:pPr>
        <w:spacing w:line="180" w:lineRule="exact" w:before="0"/>
        <w:ind w:left="704" w:right="0" w:firstLine="0"/>
        <w:jc w:val="left"/>
        <w:rPr>
          <w:rFonts w:ascii="Helvetica"/>
          <w:sz w:val="16"/>
        </w:rPr>
      </w:pPr>
      <w:r>
        <w:rPr/>
        <w:pict>
          <v:rect style="position:absolute;margin-left:576pt;margin-top:-31.091436pt;width:36pt;height:24pt;mso-position-horizontal-relative:page;mso-position-vertical-relative:paragraph;z-index:252306432" filled="true" fillcolor="#e8dac8" stroked="false">
            <v:fill type="solid"/>
            <w10:wrap type="none"/>
          </v:rect>
        </w:pict>
      </w:r>
      <w:r>
        <w:rPr>
          <w:rFonts w:ascii="Helvetica"/>
          <w:color w:val="231F20"/>
          <w:sz w:val="16"/>
        </w:rPr>
        <w:t>0.001 mg/ml</w:t>
      </w:r>
    </w:p>
    <w:p>
      <w:pPr>
        <w:spacing w:after="0" w:line="180" w:lineRule="exact"/>
        <w:jc w:val="left"/>
        <w:rPr>
          <w:rFonts w:ascii="Helvetica"/>
          <w:sz w:val="16"/>
        </w:rPr>
        <w:sectPr>
          <w:type w:val="continuous"/>
          <w:pgSz w:w="12240" w:h="15660"/>
          <w:pgMar w:top="0" w:bottom="760" w:left="0" w:right="0"/>
          <w:cols w:num="4" w:equalWidth="0">
            <w:col w:w="3656" w:space="40"/>
            <w:col w:w="2085" w:space="39"/>
            <w:col w:w="3602" w:space="39"/>
            <w:col w:w="2779"/>
          </w:cols>
        </w:sectPr>
      </w:pPr>
    </w:p>
    <w:p>
      <w:pPr>
        <w:spacing w:line="235" w:lineRule="auto" w:before="7"/>
        <w:ind w:left="3782" w:right="1048" w:hanging="605"/>
        <w:jc w:val="left"/>
        <w:rPr>
          <w:rFonts w:ascii="Helvetica"/>
          <w:b/>
          <w:sz w:val="16"/>
        </w:rPr>
      </w:pPr>
      <w:r>
        <w:rPr>
          <w:rFonts w:ascii="Helvetica"/>
          <w:b/>
          <w:color w:val="231F20"/>
          <w:sz w:val="16"/>
        </w:rPr>
        <w:t>Glomerular filtration rate (ml/min)</w:t>
      </w:r>
    </w:p>
    <w:p>
      <w:pPr>
        <w:spacing w:line="259" w:lineRule="auto" w:before="92"/>
        <w:ind w:left="1440" w:right="0" w:firstLine="0"/>
        <w:jc w:val="both"/>
        <w:rPr>
          <w:rFonts w:ascii="Arial" w:hAnsi="Arial"/>
          <w:sz w:val="16"/>
        </w:rPr>
      </w:pPr>
      <w:bookmarkStart w:name="_bookmark64" w:id="65"/>
      <w:bookmarkEnd w:id="65"/>
      <w:r>
        <w:rPr/>
      </w:r>
      <w:r>
        <w:rPr>
          <w:rFonts w:ascii="Trebuchet MS" w:hAnsi="Trebuchet MS"/>
          <w:b/>
          <w:color w:val="231F20"/>
          <w:sz w:val="16"/>
        </w:rPr>
        <w:t>Figure 28­22. </w:t>
      </w:r>
      <w:r>
        <w:rPr>
          <w:rFonts w:ascii="Arial" w:hAnsi="Arial"/>
          <w:color w:val="231F20"/>
          <w:sz w:val="16"/>
        </w:rPr>
        <w:t>Approximate relationship between glomerular </w:t>
      </w:r>
      <w:r>
        <w:rPr>
          <w:rFonts w:ascii="Arial" w:hAnsi="Arial"/>
          <w:color w:val="231F20"/>
          <w:spacing w:val="-4"/>
          <w:sz w:val="16"/>
        </w:rPr>
        <w:t>filtra- </w:t>
      </w:r>
      <w:r>
        <w:rPr>
          <w:rFonts w:ascii="Arial" w:hAnsi="Arial"/>
          <w:color w:val="231F20"/>
          <w:sz w:val="16"/>
        </w:rPr>
        <w:t>tion</w:t>
      </w:r>
      <w:r>
        <w:rPr>
          <w:rFonts w:ascii="Arial" w:hAnsi="Arial"/>
          <w:color w:val="231F20"/>
          <w:spacing w:val="-5"/>
          <w:sz w:val="16"/>
        </w:rPr>
        <w:t> </w:t>
      </w:r>
      <w:r>
        <w:rPr>
          <w:rFonts w:ascii="Arial" w:hAnsi="Arial"/>
          <w:color w:val="231F20"/>
          <w:sz w:val="16"/>
        </w:rPr>
        <w:t>rate</w:t>
      </w:r>
      <w:r>
        <w:rPr>
          <w:rFonts w:ascii="Arial" w:hAnsi="Arial"/>
          <w:color w:val="231F20"/>
          <w:spacing w:val="-4"/>
          <w:sz w:val="16"/>
        </w:rPr>
        <w:t> </w:t>
      </w:r>
      <w:r>
        <w:rPr>
          <w:rFonts w:ascii="Arial" w:hAnsi="Arial"/>
          <w:color w:val="231F20"/>
          <w:sz w:val="16"/>
        </w:rPr>
        <w:t>(GFR)</w:t>
      </w:r>
      <w:r>
        <w:rPr>
          <w:rFonts w:ascii="Arial" w:hAnsi="Arial"/>
          <w:color w:val="231F20"/>
          <w:spacing w:val="-5"/>
          <w:sz w:val="16"/>
        </w:rPr>
        <w:t> </w:t>
      </w:r>
      <w:r>
        <w:rPr>
          <w:rFonts w:ascii="Arial" w:hAnsi="Arial"/>
          <w:color w:val="231F20"/>
          <w:sz w:val="16"/>
        </w:rPr>
        <w:t>and</w:t>
      </w:r>
      <w:r>
        <w:rPr>
          <w:rFonts w:ascii="Arial" w:hAnsi="Arial"/>
          <w:color w:val="231F20"/>
          <w:spacing w:val="-4"/>
          <w:sz w:val="16"/>
        </w:rPr>
        <w:t> </w:t>
      </w:r>
      <w:r>
        <w:rPr>
          <w:rFonts w:ascii="Arial" w:hAnsi="Arial"/>
          <w:color w:val="231F20"/>
          <w:sz w:val="16"/>
        </w:rPr>
        <w:t>plasma</w:t>
      </w:r>
      <w:r>
        <w:rPr>
          <w:rFonts w:ascii="Arial" w:hAnsi="Arial"/>
          <w:color w:val="231F20"/>
          <w:spacing w:val="-5"/>
          <w:sz w:val="16"/>
        </w:rPr>
        <w:t> </w:t>
      </w:r>
      <w:r>
        <w:rPr>
          <w:rFonts w:ascii="Arial" w:hAnsi="Arial"/>
          <w:color w:val="231F20"/>
          <w:sz w:val="16"/>
        </w:rPr>
        <w:t>creatinine</w:t>
      </w:r>
      <w:r>
        <w:rPr>
          <w:rFonts w:ascii="Arial" w:hAnsi="Arial"/>
          <w:color w:val="231F20"/>
          <w:spacing w:val="-4"/>
          <w:sz w:val="16"/>
        </w:rPr>
        <w:t> </w:t>
      </w:r>
      <w:r>
        <w:rPr>
          <w:rFonts w:ascii="Arial" w:hAnsi="Arial"/>
          <w:color w:val="231F20"/>
          <w:sz w:val="16"/>
        </w:rPr>
        <w:t>concentration</w:t>
      </w:r>
      <w:r>
        <w:rPr>
          <w:rFonts w:ascii="Arial" w:hAnsi="Arial"/>
          <w:color w:val="231F20"/>
          <w:spacing w:val="-5"/>
          <w:sz w:val="16"/>
        </w:rPr>
        <w:t> </w:t>
      </w:r>
      <w:r>
        <w:rPr>
          <w:rFonts w:ascii="Arial" w:hAnsi="Arial"/>
          <w:color w:val="231F20"/>
          <w:sz w:val="16"/>
        </w:rPr>
        <w:t>under</w:t>
      </w:r>
      <w:r>
        <w:rPr>
          <w:rFonts w:ascii="Arial" w:hAnsi="Arial"/>
          <w:color w:val="231F20"/>
          <w:spacing w:val="-4"/>
          <w:sz w:val="16"/>
        </w:rPr>
        <w:t> </w:t>
      </w:r>
      <w:r>
        <w:rPr>
          <w:rFonts w:ascii="Arial" w:hAnsi="Arial"/>
          <w:color w:val="231F20"/>
          <w:sz w:val="16"/>
        </w:rPr>
        <w:t>steady- state</w:t>
      </w:r>
      <w:r>
        <w:rPr>
          <w:rFonts w:ascii="Arial" w:hAnsi="Arial"/>
          <w:color w:val="231F20"/>
          <w:spacing w:val="-22"/>
          <w:sz w:val="16"/>
        </w:rPr>
        <w:t> </w:t>
      </w:r>
      <w:r>
        <w:rPr>
          <w:rFonts w:ascii="Arial" w:hAnsi="Arial"/>
          <w:color w:val="231F20"/>
          <w:sz w:val="16"/>
        </w:rPr>
        <w:t>conditions.</w:t>
      </w:r>
      <w:r>
        <w:rPr>
          <w:rFonts w:ascii="Arial" w:hAnsi="Arial"/>
          <w:color w:val="231F20"/>
          <w:spacing w:val="-21"/>
          <w:sz w:val="16"/>
        </w:rPr>
        <w:t> </w:t>
      </w:r>
      <w:r>
        <w:rPr>
          <w:rFonts w:ascii="Arial" w:hAnsi="Arial"/>
          <w:color w:val="231F20"/>
          <w:sz w:val="16"/>
        </w:rPr>
        <w:t>Decreasing</w:t>
      </w:r>
      <w:r>
        <w:rPr>
          <w:rFonts w:ascii="Arial" w:hAnsi="Arial"/>
          <w:color w:val="231F20"/>
          <w:spacing w:val="-22"/>
          <w:sz w:val="16"/>
        </w:rPr>
        <w:t> </w:t>
      </w:r>
      <w:r>
        <w:rPr>
          <w:rFonts w:ascii="Arial" w:hAnsi="Arial"/>
          <w:color w:val="231F20"/>
          <w:sz w:val="16"/>
        </w:rPr>
        <w:t>GFR</w:t>
      </w:r>
      <w:r>
        <w:rPr>
          <w:rFonts w:ascii="Arial" w:hAnsi="Arial"/>
          <w:color w:val="231F20"/>
          <w:spacing w:val="-21"/>
          <w:sz w:val="16"/>
        </w:rPr>
        <w:t> </w:t>
      </w:r>
      <w:r>
        <w:rPr>
          <w:rFonts w:ascii="Arial" w:hAnsi="Arial"/>
          <w:color w:val="231F20"/>
          <w:sz w:val="16"/>
        </w:rPr>
        <w:t>by</w:t>
      </w:r>
      <w:r>
        <w:rPr>
          <w:rFonts w:ascii="Arial" w:hAnsi="Arial"/>
          <w:color w:val="231F20"/>
          <w:spacing w:val="-21"/>
          <w:sz w:val="16"/>
        </w:rPr>
        <w:t> </w:t>
      </w:r>
      <w:r>
        <w:rPr>
          <w:rFonts w:ascii="Arial" w:hAnsi="Arial"/>
          <w:color w:val="231F20"/>
          <w:sz w:val="16"/>
        </w:rPr>
        <w:t>50</w:t>
      </w:r>
      <w:r>
        <w:rPr>
          <w:rFonts w:ascii="Arial" w:hAnsi="Arial"/>
          <w:color w:val="231F20"/>
          <w:spacing w:val="-22"/>
          <w:sz w:val="16"/>
        </w:rPr>
        <w:t> </w:t>
      </w:r>
      <w:r>
        <w:rPr>
          <w:rFonts w:ascii="Arial" w:hAnsi="Arial"/>
          <w:color w:val="231F20"/>
          <w:sz w:val="16"/>
        </w:rPr>
        <w:t>percent</w:t>
      </w:r>
      <w:r>
        <w:rPr>
          <w:rFonts w:ascii="Arial" w:hAnsi="Arial"/>
          <w:color w:val="231F20"/>
          <w:spacing w:val="-21"/>
          <w:sz w:val="16"/>
        </w:rPr>
        <w:t> </w:t>
      </w:r>
      <w:r>
        <w:rPr>
          <w:rFonts w:ascii="Arial" w:hAnsi="Arial"/>
          <w:color w:val="231F20"/>
          <w:sz w:val="16"/>
        </w:rPr>
        <w:t>will</w:t>
      </w:r>
      <w:r>
        <w:rPr>
          <w:rFonts w:ascii="Arial" w:hAnsi="Arial"/>
          <w:color w:val="231F20"/>
          <w:spacing w:val="-21"/>
          <w:sz w:val="16"/>
        </w:rPr>
        <w:t> </w:t>
      </w:r>
      <w:r>
        <w:rPr>
          <w:rFonts w:ascii="Arial" w:hAnsi="Arial"/>
          <w:color w:val="231F20"/>
          <w:sz w:val="16"/>
        </w:rPr>
        <w:t>increase</w:t>
      </w:r>
      <w:r>
        <w:rPr>
          <w:rFonts w:ascii="Arial" w:hAnsi="Arial"/>
          <w:color w:val="231F20"/>
          <w:spacing w:val="-22"/>
          <w:sz w:val="16"/>
        </w:rPr>
        <w:t> </w:t>
      </w:r>
      <w:r>
        <w:rPr>
          <w:rFonts w:ascii="Arial" w:hAnsi="Arial"/>
          <w:color w:val="231F20"/>
          <w:spacing w:val="-3"/>
          <w:sz w:val="16"/>
        </w:rPr>
        <w:t>plasma </w:t>
      </w:r>
      <w:r>
        <w:rPr>
          <w:rFonts w:ascii="Arial" w:hAnsi="Arial"/>
          <w:color w:val="231F20"/>
          <w:sz w:val="16"/>
        </w:rPr>
        <w:t>creatinine to twice normal if creatinine production by the </w:t>
      </w:r>
      <w:r>
        <w:rPr>
          <w:rFonts w:ascii="Arial" w:hAnsi="Arial"/>
          <w:color w:val="231F20"/>
          <w:spacing w:val="-4"/>
          <w:sz w:val="16"/>
        </w:rPr>
        <w:t>body </w:t>
      </w:r>
      <w:r>
        <w:rPr>
          <w:rFonts w:ascii="Arial" w:hAnsi="Arial"/>
          <w:color w:val="231F20"/>
          <w:sz w:val="16"/>
        </w:rPr>
        <w:t>remains</w:t>
      </w:r>
      <w:r>
        <w:rPr>
          <w:rFonts w:ascii="Arial" w:hAnsi="Arial"/>
          <w:color w:val="231F20"/>
          <w:spacing w:val="7"/>
          <w:sz w:val="16"/>
        </w:rPr>
        <w:t> </w:t>
      </w:r>
      <w:r>
        <w:rPr>
          <w:rFonts w:ascii="Arial" w:hAnsi="Arial"/>
          <w:color w:val="231F20"/>
          <w:sz w:val="16"/>
        </w:rPr>
        <w:t>constant.</w:t>
      </w:r>
    </w:p>
    <w:p>
      <w:pPr>
        <w:pStyle w:val="BodyText"/>
        <w:rPr>
          <w:rFonts w:ascii="Arial"/>
          <w:sz w:val="18"/>
        </w:rPr>
      </w:pPr>
    </w:p>
    <w:p>
      <w:pPr>
        <w:pStyle w:val="BodyText"/>
        <w:spacing w:before="5"/>
        <w:rPr>
          <w:rFonts w:ascii="Arial"/>
          <w:sz w:val="21"/>
        </w:rPr>
      </w:pPr>
    </w:p>
    <w:p>
      <w:pPr>
        <w:pStyle w:val="BodyText"/>
        <w:spacing w:line="249" w:lineRule="auto"/>
        <w:ind w:left="1440" w:firstLine="240"/>
        <w:jc w:val="both"/>
      </w:pPr>
      <w:r>
        <w:rPr>
          <w:color w:val="231F20"/>
          <w:w w:val="105"/>
        </w:rPr>
        <w:t>If GFR falls to one-fourth normal, plasma </w:t>
      </w:r>
      <w:r>
        <w:rPr>
          <w:color w:val="231F20"/>
          <w:spacing w:val="-3"/>
          <w:w w:val="105"/>
        </w:rPr>
        <w:t>creatinine </w:t>
      </w:r>
      <w:r>
        <w:rPr>
          <w:color w:val="231F20"/>
          <w:w w:val="105"/>
        </w:rPr>
        <w:t>would</w:t>
      </w:r>
      <w:r>
        <w:rPr>
          <w:color w:val="231F20"/>
          <w:spacing w:val="-25"/>
          <w:w w:val="105"/>
        </w:rPr>
        <w:t> </w:t>
      </w:r>
      <w:r>
        <w:rPr>
          <w:color w:val="231F20"/>
          <w:w w:val="105"/>
        </w:rPr>
        <w:t>increase</w:t>
      </w:r>
      <w:r>
        <w:rPr>
          <w:color w:val="231F20"/>
          <w:spacing w:val="-25"/>
          <w:w w:val="105"/>
        </w:rPr>
        <w:t> </w:t>
      </w:r>
      <w:r>
        <w:rPr>
          <w:color w:val="231F20"/>
          <w:w w:val="105"/>
        </w:rPr>
        <w:t>to</w:t>
      </w:r>
      <w:r>
        <w:rPr>
          <w:color w:val="231F20"/>
          <w:spacing w:val="-24"/>
          <w:w w:val="105"/>
        </w:rPr>
        <w:t> </w:t>
      </w:r>
      <w:r>
        <w:rPr>
          <w:color w:val="231F20"/>
          <w:w w:val="105"/>
        </w:rPr>
        <w:t>about</w:t>
      </w:r>
      <w:r>
        <w:rPr>
          <w:color w:val="231F20"/>
          <w:spacing w:val="-25"/>
          <w:w w:val="105"/>
        </w:rPr>
        <w:t> </w:t>
      </w:r>
      <w:r>
        <w:rPr>
          <w:color w:val="231F20"/>
          <w:w w:val="105"/>
        </w:rPr>
        <w:t>four</w:t>
      </w:r>
      <w:r>
        <w:rPr>
          <w:color w:val="231F20"/>
          <w:spacing w:val="-24"/>
          <w:w w:val="105"/>
        </w:rPr>
        <w:t> </w:t>
      </w:r>
      <w:r>
        <w:rPr>
          <w:color w:val="231F20"/>
          <w:w w:val="105"/>
        </w:rPr>
        <w:t>times</w:t>
      </w:r>
      <w:r>
        <w:rPr>
          <w:color w:val="231F20"/>
          <w:spacing w:val="-25"/>
          <w:w w:val="105"/>
        </w:rPr>
        <w:t> </w:t>
      </w:r>
      <w:r>
        <w:rPr>
          <w:color w:val="231F20"/>
          <w:w w:val="105"/>
        </w:rPr>
        <w:t>normal,</w:t>
      </w:r>
      <w:r>
        <w:rPr>
          <w:color w:val="231F20"/>
          <w:spacing w:val="-25"/>
          <w:w w:val="105"/>
        </w:rPr>
        <w:t> </w:t>
      </w:r>
      <w:r>
        <w:rPr>
          <w:color w:val="231F20"/>
          <w:w w:val="105"/>
        </w:rPr>
        <w:t>and</w:t>
      </w:r>
      <w:r>
        <w:rPr>
          <w:color w:val="231F20"/>
          <w:spacing w:val="-24"/>
          <w:w w:val="105"/>
        </w:rPr>
        <w:t> </w:t>
      </w:r>
      <w:r>
        <w:rPr>
          <w:color w:val="231F20"/>
          <w:w w:val="105"/>
        </w:rPr>
        <w:t>a</w:t>
      </w:r>
      <w:r>
        <w:rPr>
          <w:color w:val="231F20"/>
          <w:spacing w:val="-25"/>
          <w:w w:val="105"/>
        </w:rPr>
        <w:t> </w:t>
      </w:r>
      <w:r>
        <w:rPr>
          <w:color w:val="231F20"/>
          <w:w w:val="105"/>
        </w:rPr>
        <w:t>decrease of GFR to one-eighth normal would raise plasma</w:t>
      </w:r>
      <w:r>
        <w:rPr>
          <w:color w:val="231F20"/>
          <w:spacing w:val="-27"/>
          <w:w w:val="105"/>
        </w:rPr>
        <w:t> </w:t>
      </w:r>
      <w:r>
        <w:rPr>
          <w:color w:val="231F20"/>
          <w:spacing w:val="-3"/>
          <w:w w:val="105"/>
        </w:rPr>
        <w:t>creati- </w:t>
      </w:r>
      <w:r>
        <w:rPr>
          <w:color w:val="231F20"/>
          <w:w w:val="105"/>
        </w:rPr>
        <w:t>nine</w:t>
      </w:r>
      <w:r>
        <w:rPr>
          <w:color w:val="231F20"/>
          <w:spacing w:val="-13"/>
          <w:w w:val="105"/>
        </w:rPr>
        <w:t> </w:t>
      </w:r>
      <w:r>
        <w:rPr>
          <w:color w:val="231F20"/>
          <w:w w:val="105"/>
        </w:rPr>
        <w:t>to</w:t>
      </w:r>
      <w:r>
        <w:rPr>
          <w:color w:val="231F20"/>
          <w:spacing w:val="-12"/>
          <w:w w:val="105"/>
        </w:rPr>
        <w:t> </w:t>
      </w:r>
      <w:r>
        <w:rPr>
          <w:color w:val="231F20"/>
          <w:w w:val="105"/>
        </w:rPr>
        <w:t>eight</w:t>
      </w:r>
      <w:r>
        <w:rPr>
          <w:color w:val="231F20"/>
          <w:spacing w:val="-13"/>
          <w:w w:val="105"/>
        </w:rPr>
        <w:t> </w:t>
      </w:r>
      <w:r>
        <w:rPr>
          <w:color w:val="231F20"/>
          <w:w w:val="105"/>
        </w:rPr>
        <w:t>times</w:t>
      </w:r>
      <w:r>
        <w:rPr>
          <w:color w:val="231F20"/>
          <w:spacing w:val="-12"/>
          <w:w w:val="105"/>
        </w:rPr>
        <w:t> </w:t>
      </w:r>
      <w:r>
        <w:rPr>
          <w:color w:val="231F20"/>
          <w:w w:val="105"/>
        </w:rPr>
        <w:t>normal.</w:t>
      </w:r>
      <w:r>
        <w:rPr>
          <w:color w:val="231F20"/>
          <w:spacing w:val="-12"/>
          <w:w w:val="105"/>
        </w:rPr>
        <w:t> </w:t>
      </w:r>
      <w:r>
        <w:rPr>
          <w:color w:val="231F20"/>
          <w:w w:val="105"/>
        </w:rPr>
        <w:t>Thus,</w:t>
      </w:r>
      <w:r>
        <w:rPr>
          <w:color w:val="231F20"/>
          <w:spacing w:val="-13"/>
          <w:w w:val="105"/>
        </w:rPr>
        <w:t> </w:t>
      </w:r>
      <w:r>
        <w:rPr>
          <w:color w:val="231F20"/>
          <w:w w:val="105"/>
        </w:rPr>
        <w:t>under</w:t>
      </w:r>
      <w:r>
        <w:rPr>
          <w:color w:val="231F20"/>
          <w:spacing w:val="-12"/>
          <w:w w:val="105"/>
        </w:rPr>
        <w:t> </w:t>
      </w:r>
      <w:r>
        <w:rPr>
          <w:color w:val="231F20"/>
          <w:w w:val="105"/>
        </w:rPr>
        <w:t>steady-state</w:t>
      </w:r>
      <w:r>
        <w:rPr>
          <w:color w:val="231F20"/>
          <w:spacing w:val="-12"/>
          <w:w w:val="105"/>
        </w:rPr>
        <w:t> </w:t>
      </w:r>
      <w:r>
        <w:rPr>
          <w:color w:val="231F20"/>
          <w:spacing w:val="-5"/>
          <w:w w:val="105"/>
        </w:rPr>
        <w:t>con- </w:t>
      </w:r>
      <w:r>
        <w:rPr>
          <w:color w:val="231F20"/>
          <w:w w:val="105"/>
        </w:rPr>
        <w:t>ditions, the creatinine excretion rate equals the rate </w:t>
      </w:r>
      <w:r>
        <w:rPr>
          <w:color w:val="231F20"/>
          <w:spacing w:val="-7"/>
          <w:w w:val="105"/>
        </w:rPr>
        <w:t>of </w:t>
      </w:r>
      <w:r>
        <w:rPr>
          <w:color w:val="231F20"/>
          <w:w w:val="105"/>
        </w:rPr>
        <w:t>creatinine production, despite reductions in </w:t>
      </w:r>
      <w:r>
        <w:rPr>
          <w:color w:val="231F20"/>
          <w:spacing w:val="-3"/>
          <w:w w:val="105"/>
        </w:rPr>
        <w:t>GFR. </w:t>
      </w:r>
      <w:r>
        <w:rPr>
          <w:color w:val="231F20"/>
          <w:w w:val="105"/>
        </w:rPr>
        <w:t>However,</w:t>
      </w:r>
      <w:r>
        <w:rPr>
          <w:color w:val="231F20"/>
          <w:spacing w:val="-7"/>
          <w:w w:val="105"/>
        </w:rPr>
        <w:t> </w:t>
      </w:r>
      <w:r>
        <w:rPr>
          <w:color w:val="231F20"/>
          <w:w w:val="105"/>
        </w:rPr>
        <w:t>this</w:t>
      </w:r>
      <w:r>
        <w:rPr>
          <w:color w:val="231F20"/>
          <w:spacing w:val="-7"/>
          <w:w w:val="105"/>
        </w:rPr>
        <w:t> </w:t>
      </w:r>
      <w:r>
        <w:rPr>
          <w:color w:val="231F20"/>
          <w:w w:val="105"/>
        </w:rPr>
        <w:t>normal</w:t>
      </w:r>
      <w:r>
        <w:rPr>
          <w:color w:val="231F20"/>
          <w:spacing w:val="-6"/>
          <w:w w:val="105"/>
        </w:rPr>
        <w:t> </w:t>
      </w:r>
      <w:r>
        <w:rPr>
          <w:color w:val="231F20"/>
          <w:w w:val="105"/>
        </w:rPr>
        <w:t>rate</w:t>
      </w:r>
      <w:r>
        <w:rPr>
          <w:color w:val="231F20"/>
          <w:spacing w:val="-7"/>
          <w:w w:val="105"/>
        </w:rPr>
        <w:t> </w:t>
      </w:r>
      <w:r>
        <w:rPr>
          <w:color w:val="231F20"/>
          <w:w w:val="105"/>
        </w:rPr>
        <w:t>of</w:t>
      </w:r>
      <w:r>
        <w:rPr>
          <w:color w:val="231F20"/>
          <w:spacing w:val="-6"/>
          <w:w w:val="105"/>
        </w:rPr>
        <w:t> </w:t>
      </w:r>
      <w:r>
        <w:rPr>
          <w:color w:val="231F20"/>
          <w:w w:val="105"/>
        </w:rPr>
        <w:t>creatinine</w:t>
      </w:r>
      <w:r>
        <w:rPr>
          <w:color w:val="231F20"/>
          <w:spacing w:val="-7"/>
          <w:w w:val="105"/>
        </w:rPr>
        <w:t> </w:t>
      </w:r>
      <w:r>
        <w:rPr>
          <w:color w:val="231F20"/>
          <w:w w:val="105"/>
        </w:rPr>
        <w:t>excretion</w:t>
      </w:r>
      <w:r>
        <w:rPr>
          <w:color w:val="231F20"/>
          <w:spacing w:val="-6"/>
          <w:w w:val="105"/>
        </w:rPr>
        <w:t> </w:t>
      </w:r>
      <w:r>
        <w:rPr>
          <w:color w:val="231F20"/>
          <w:spacing w:val="-4"/>
          <w:w w:val="105"/>
        </w:rPr>
        <w:t>occurs </w:t>
      </w:r>
      <w:r>
        <w:rPr>
          <w:color w:val="231F20"/>
          <w:w w:val="105"/>
        </w:rPr>
        <w:t>at the expense of elevated plasma creatinine concentra- tion, as shown in </w:t>
      </w:r>
      <w:hyperlink w:history="true" w:anchor="_bookmark64">
        <w:r>
          <w:rPr>
            <w:b/>
            <w:color w:val="0080AC"/>
            <w:w w:val="105"/>
          </w:rPr>
          <w:t>Figure</w:t>
        </w:r>
        <w:r>
          <w:rPr>
            <w:b/>
            <w:color w:val="0080AC"/>
            <w:spacing w:val="12"/>
            <w:w w:val="105"/>
          </w:rPr>
          <w:t> </w:t>
        </w:r>
        <w:r>
          <w:rPr>
            <w:b/>
            <w:color w:val="0080AC"/>
            <w:w w:val="105"/>
          </w:rPr>
          <w:t>28-22</w:t>
        </w:r>
      </w:hyperlink>
      <w:r>
        <w:rPr>
          <w:color w:val="231F20"/>
          <w:w w:val="105"/>
        </w:rPr>
        <w:t>.</w:t>
      </w:r>
    </w:p>
    <w:p>
      <w:pPr>
        <w:pStyle w:val="BodyText"/>
        <w:spacing w:before="3"/>
        <w:rPr>
          <w:sz w:val="31"/>
        </w:rPr>
      </w:pPr>
    </w:p>
    <w:p>
      <w:pPr>
        <w:pStyle w:val="Heading2"/>
        <w:spacing w:line="225" w:lineRule="auto"/>
        <w:ind w:left="1440" w:right="455"/>
      </w:pPr>
      <w:r>
        <w:rPr>
          <w:color w:val="231F20"/>
          <w:w w:val="105"/>
        </w:rPr>
        <w:t>PAH CLEARANCE CAN BE USED TO ESTIMATE RPF</w:t>
      </w:r>
    </w:p>
    <w:p>
      <w:pPr>
        <w:pStyle w:val="BodyText"/>
        <w:spacing w:line="249" w:lineRule="auto" w:before="127"/>
        <w:ind w:left="1439"/>
        <w:jc w:val="both"/>
      </w:pPr>
      <w:r>
        <w:rPr>
          <w:color w:val="231F20"/>
        </w:rPr>
        <w:t>Theoretically,</w:t>
      </w:r>
      <w:r>
        <w:rPr>
          <w:color w:val="231F20"/>
          <w:spacing w:val="-5"/>
        </w:rPr>
        <w:t> </w:t>
      </w:r>
      <w:r>
        <w:rPr>
          <w:color w:val="231F20"/>
        </w:rPr>
        <w:t>if</w:t>
      </w:r>
      <w:r>
        <w:rPr>
          <w:color w:val="231F20"/>
          <w:spacing w:val="-5"/>
        </w:rPr>
        <w:t> </w:t>
      </w:r>
      <w:r>
        <w:rPr>
          <w:color w:val="231F20"/>
        </w:rPr>
        <w:t>a</w:t>
      </w:r>
      <w:r>
        <w:rPr>
          <w:color w:val="231F20"/>
          <w:spacing w:val="-5"/>
        </w:rPr>
        <w:t> </w:t>
      </w:r>
      <w:r>
        <w:rPr>
          <w:color w:val="231F20"/>
        </w:rPr>
        <w:t>substance</w:t>
      </w:r>
      <w:r>
        <w:rPr>
          <w:color w:val="231F20"/>
          <w:spacing w:val="-5"/>
        </w:rPr>
        <w:t> </w:t>
      </w:r>
      <w:r>
        <w:rPr>
          <w:color w:val="231F20"/>
        </w:rPr>
        <w:t>is</w:t>
      </w:r>
      <w:r>
        <w:rPr>
          <w:color w:val="231F20"/>
          <w:spacing w:val="-6"/>
        </w:rPr>
        <w:t> </w:t>
      </w:r>
      <w:r>
        <w:rPr>
          <w:i/>
          <w:color w:val="231F20"/>
        </w:rPr>
        <w:t>completely</w:t>
      </w:r>
      <w:r>
        <w:rPr>
          <w:i/>
          <w:color w:val="231F20"/>
          <w:spacing w:val="-5"/>
        </w:rPr>
        <w:t> </w:t>
      </w:r>
      <w:r>
        <w:rPr>
          <w:color w:val="231F20"/>
        </w:rPr>
        <w:t>cleared</w:t>
      </w:r>
      <w:r>
        <w:rPr>
          <w:color w:val="231F20"/>
          <w:spacing w:val="-5"/>
        </w:rPr>
        <w:t> </w:t>
      </w:r>
      <w:r>
        <w:rPr>
          <w:color w:val="231F20"/>
        </w:rPr>
        <w:t>from</w:t>
      </w:r>
      <w:r>
        <w:rPr>
          <w:color w:val="231F20"/>
          <w:spacing w:val="-4"/>
        </w:rPr>
        <w:t> </w:t>
      </w:r>
      <w:r>
        <w:rPr>
          <w:color w:val="231F20"/>
          <w:spacing w:val="-5"/>
        </w:rPr>
        <w:t>the </w:t>
      </w:r>
      <w:r>
        <w:rPr>
          <w:color w:val="231F20"/>
        </w:rPr>
        <w:t>plasma, the clearance rate of that substance is equal to the total</w:t>
      </w:r>
      <w:r>
        <w:rPr>
          <w:color w:val="231F20"/>
          <w:spacing w:val="36"/>
        </w:rPr>
        <w:t> </w:t>
      </w:r>
      <w:r>
        <w:rPr>
          <w:color w:val="231F20"/>
          <w:spacing w:val="-5"/>
        </w:rPr>
        <w:t>RPF.</w:t>
      </w:r>
      <w:r>
        <w:rPr>
          <w:color w:val="231F20"/>
          <w:spacing w:val="37"/>
        </w:rPr>
        <w:t> </w:t>
      </w:r>
      <w:r>
        <w:rPr>
          <w:color w:val="231F20"/>
        </w:rPr>
        <w:t>In</w:t>
      </w:r>
      <w:r>
        <w:rPr>
          <w:color w:val="231F20"/>
          <w:spacing w:val="36"/>
        </w:rPr>
        <w:t> </w:t>
      </w:r>
      <w:r>
        <w:rPr>
          <w:color w:val="231F20"/>
        </w:rPr>
        <w:t>other</w:t>
      </w:r>
      <w:r>
        <w:rPr>
          <w:color w:val="231F20"/>
          <w:spacing w:val="37"/>
        </w:rPr>
        <w:t> </w:t>
      </w:r>
      <w:r>
        <w:rPr>
          <w:color w:val="231F20"/>
        </w:rPr>
        <w:t>words,</w:t>
      </w:r>
      <w:r>
        <w:rPr>
          <w:color w:val="231F20"/>
          <w:spacing w:val="36"/>
        </w:rPr>
        <w:t> </w:t>
      </w:r>
      <w:r>
        <w:rPr>
          <w:color w:val="231F20"/>
        </w:rPr>
        <w:t>the</w:t>
      </w:r>
      <w:r>
        <w:rPr>
          <w:color w:val="231F20"/>
          <w:spacing w:val="37"/>
        </w:rPr>
        <w:t> </w:t>
      </w:r>
      <w:r>
        <w:rPr>
          <w:color w:val="231F20"/>
        </w:rPr>
        <w:t>amount</w:t>
      </w:r>
      <w:r>
        <w:rPr>
          <w:color w:val="231F20"/>
          <w:spacing w:val="36"/>
        </w:rPr>
        <w:t> </w:t>
      </w:r>
      <w:r>
        <w:rPr>
          <w:color w:val="231F20"/>
        </w:rPr>
        <w:t>of</w:t>
      </w:r>
      <w:r>
        <w:rPr>
          <w:color w:val="231F20"/>
          <w:spacing w:val="37"/>
        </w:rPr>
        <w:t> </w:t>
      </w:r>
      <w:r>
        <w:rPr>
          <w:color w:val="231F20"/>
        </w:rPr>
        <w:t>the</w:t>
      </w:r>
      <w:r>
        <w:rPr>
          <w:color w:val="231F20"/>
          <w:spacing w:val="36"/>
        </w:rPr>
        <w:t> </w:t>
      </w:r>
      <w:r>
        <w:rPr>
          <w:color w:val="231F20"/>
        </w:rPr>
        <w:t>substance</w:t>
      </w:r>
    </w:p>
    <w:p>
      <w:pPr>
        <w:pStyle w:val="BodyText"/>
        <w:spacing w:line="180" w:lineRule="auto" w:before="10"/>
        <w:ind w:left="1440"/>
        <w:jc w:val="both"/>
      </w:pPr>
      <w:r>
        <w:rPr>
          <w:color w:val="231F20"/>
        </w:rPr>
        <w:t>delivered to the kidneys in the blood (RPF </w:t>
      </w:r>
      <w:r>
        <w:rPr>
          <w:rFonts w:ascii="Arial Unicode MS" w:hAnsi="Arial Unicode MS"/>
          <w:color w:val="231F20"/>
        </w:rPr>
        <w:t>× </w:t>
      </w:r>
      <w:r>
        <w:rPr>
          <w:color w:val="231F20"/>
        </w:rPr>
        <w:t>P</w:t>
      </w:r>
      <w:r>
        <w:rPr>
          <w:color w:val="231F20"/>
          <w:vertAlign w:val="subscript"/>
        </w:rPr>
        <w:t>s</w:t>
      </w:r>
      <w:r>
        <w:rPr>
          <w:color w:val="231F20"/>
          <w:vertAlign w:val="baseline"/>
        </w:rPr>
        <w:t>) would </w:t>
      </w:r>
      <w:r>
        <w:rPr>
          <w:color w:val="231F20"/>
          <w:spacing w:val="-10"/>
          <w:vertAlign w:val="baseline"/>
        </w:rPr>
        <w:t>be </w:t>
      </w:r>
      <w:r>
        <w:rPr>
          <w:color w:val="231F20"/>
          <w:vertAlign w:val="baseline"/>
        </w:rPr>
        <w:t>equal to the amount excreted in the urine (U</w:t>
      </w:r>
      <w:r>
        <w:rPr>
          <w:color w:val="231F20"/>
          <w:vertAlign w:val="subscript"/>
        </w:rPr>
        <w:t>s</w:t>
      </w:r>
      <w:r>
        <w:rPr>
          <w:color w:val="231F20"/>
          <w:vertAlign w:val="baseline"/>
        </w:rPr>
        <w:t> </w:t>
      </w:r>
      <w:r>
        <w:rPr>
          <w:rFonts w:ascii="Arial Unicode MS" w:hAnsi="Arial Unicode MS"/>
          <w:color w:val="231F20"/>
          <w:vertAlign w:val="baseline"/>
        </w:rPr>
        <w:t>× </w:t>
      </w:r>
      <w:r>
        <w:rPr>
          <w:spacing w:val="-100"/>
          <w:position w:val="1"/>
          <w:vertAlign w:val="baseline"/>
        </w:rPr>
        <w:t>V</w:t>
      </w:r>
      <w:r>
        <w:rPr>
          <w:spacing w:val="75"/>
          <w:position w:val="6"/>
          <w:vertAlign w:val="baseline"/>
        </w:rPr>
        <w:t> </w:t>
      </w:r>
      <w:r>
        <w:rPr>
          <w:color w:val="231F20"/>
          <w:vertAlign w:val="baseline"/>
        </w:rPr>
        <w:t>). </w:t>
      </w:r>
      <w:r>
        <w:rPr>
          <w:color w:val="231F20"/>
          <w:spacing w:val="-4"/>
          <w:vertAlign w:val="baseline"/>
        </w:rPr>
        <w:t>Thus, </w:t>
      </w:r>
      <w:r>
        <w:rPr>
          <w:color w:val="231F20"/>
          <w:vertAlign w:val="baseline"/>
        </w:rPr>
        <w:t>RPF could be calculated as</w:t>
      </w:r>
    </w:p>
    <w:p>
      <w:pPr>
        <w:spacing w:line="115" w:lineRule="exact" w:before="148"/>
        <w:ind w:left="3600" w:right="2096" w:firstLine="0"/>
        <w:jc w:val="center"/>
        <w:rPr>
          <w:rFonts w:ascii="Arial Black" w:hAnsi="Arial Black"/>
          <w:sz w:val="18"/>
        </w:rPr>
      </w:pPr>
      <w:r>
        <w:rPr/>
        <w:pict>
          <v:shape style="position:absolute;margin-left:179.531204pt;margin-top:19.851339pt;width:24.5pt;height:.1pt;mso-position-horizontal-relative:page;mso-position-vertical-relative:paragraph;z-index:-251013120;mso-wrap-distance-left:0;mso-wrap-distance-right:0" coordorigin="3591,397" coordsize="490,0" path="m3591,397l4081,397e" filled="false" stroked="true" strokeweight=".438pt" strokecolor="#000000">
            <v:path arrowok="t"/>
            <v:stroke dashstyle="solid"/>
            <w10:wrap type="topAndBottom"/>
          </v:shape>
        </w:pict>
      </w:r>
      <w:r>
        <w:rPr>
          <w:rFonts w:ascii="Trebuchet MS" w:hAnsi="Trebuchet MS"/>
          <w:spacing w:val="-4"/>
          <w:w w:val="105"/>
          <w:sz w:val="18"/>
        </w:rPr>
        <w:t>U</w:t>
      </w:r>
      <w:r>
        <w:rPr>
          <w:rFonts w:ascii="Trebuchet MS" w:hAnsi="Trebuchet MS"/>
          <w:spacing w:val="-4"/>
          <w:w w:val="105"/>
          <w:position w:val="-2"/>
          <w:sz w:val="10"/>
        </w:rPr>
        <w:t>s  </w:t>
      </w:r>
      <w:r>
        <w:rPr>
          <w:rFonts w:ascii="Symbol" w:hAnsi="Symbol"/>
          <w:w w:val="105"/>
          <w:sz w:val="18"/>
        </w:rPr>
        <w:t></w:t>
      </w:r>
      <w:r>
        <w:rPr>
          <w:w w:val="105"/>
          <w:sz w:val="18"/>
        </w:rPr>
        <w:t> </w:t>
      </w:r>
      <w:r>
        <w:rPr>
          <w:rFonts w:ascii="Trebuchet MS" w:hAnsi="Trebuchet MS"/>
          <w:spacing w:val="-91"/>
          <w:w w:val="105"/>
          <w:sz w:val="18"/>
        </w:rPr>
        <w:t>V</w:t>
      </w:r>
      <w:r>
        <w:rPr>
          <w:rFonts w:ascii="Arial Black" w:hAnsi="Arial Black"/>
          <w:w w:val="99"/>
          <w:position w:val="5"/>
          <w:sz w:val="18"/>
        </w:rPr>
        <w:t> </w:t>
      </w:r>
    </w:p>
    <w:p>
      <w:pPr>
        <w:spacing w:before="98"/>
        <w:ind w:left="295" w:right="1188" w:firstLine="0"/>
        <w:jc w:val="center"/>
        <w:rPr>
          <w:rFonts w:ascii="Helvetica"/>
          <w:sz w:val="16"/>
        </w:rPr>
      </w:pPr>
      <w:r>
        <w:rPr/>
        <w:br w:type="column"/>
      </w:r>
      <w:r>
        <w:rPr>
          <w:rFonts w:ascii="Helvetica"/>
          <w:color w:val="231F20"/>
          <w:sz w:val="16"/>
        </w:rPr>
        <w:t>V = 1 ml/min</w:t>
      </w:r>
    </w:p>
    <w:p>
      <w:pPr>
        <w:spacing w:line="259" w:lineRule="auto" w:before="91"/>
        <w:ind w:left="319" w:right="1077" w:firstLine="0"/>
        <w:jc w:val="both"/>
        <w:rPr>
          <w:rFonts w:ascii="Arial" w:hAnsi="Arial"/>
          <w:sz w:val="16"/>
        </w:rPr>
      </w:pPr>
      <w:bookmarkStart w:name="_bookmark65" w:id="66"/>
      <w:bookmarkEnd w:id="66"/>
      <w:r>
        <w:rPr/>
      </w:r>
      <w:r>
        <w:rPr>
          <w:rFonts w:ascii="Trebuchet MS" w:hAnsi="Trebuchet MS"/>
          <w:b/>
          <w:color w:val="231F20"/>
          <w:sz w:val="16"/>
        </w:rPr>
        <w:t>Figure 28­23. </w:t>
      </w:r>
      <w:r>
        <w:rPr>
          <w:rFonts w:ascii="Arial" w:hAnsi="Arial"/>
          <w:color w:val="231F20"/>
          <w:sz w:val="16"/>
        </w:rPr>
        <w:t>Measurement of renal plasma flow from the </w:t>
      </w:r>
      <w:r>
        <w:rPr>
          <w:rFonts w:ascii="Arial" w:hAnsi="Arial"/>
          <w:color w:val="231F20"/>
          <w:spacing w:val="-4"/>
          <w:sz w:val="16"/>
        </w:rPr>
        <w:t>renal </w:t>
      </w:r>
      <w:r>
        <w:rPr>
          <w:rFonts w:ascii="Arial" w:hAnsi="Arial"/>
          <w:color w:val="231F20"/>
          <w:sz w:val="16"/>
        </w:rPr>
        <w:t>clearance of para-aminohippuric acid </w:t>
      </w:r>
      <w:r>
        <w:rPr>
          <w:rFonts w:ascii="Lucida Sans" w:hAnsi="Lucida Sans"/>
          <w:i/>
          <w:color w:val="231F20"/>
          <w:sz w:val="16"/>
        </w:rPr>
        <w:t>(PAH)</w:t>
      </w:r>
      <w:r>
        <w:rPr>
          <w:rFonts w:ascii="Arial" w:hAnsi="Arial"/>
          <w:color w:val="231F20"/>
          <w:sz w:val="16"/>
        </w:rPr>
        <w:t>. </w:t>
      </w:r>
      <w:r>
        <w:rPr>
          <w:rFonts w:ascii="Arial" w:hAnsi="Arial"/>
          <w:color w:val="231F20"/>
          <w:spacing w:val="-4"/>
          <w:sz w:val="16"/>
        </w:rPr>
        <w:t>PAH </w:t>
      </w:r>
      <w:r>
        <w:rPr>
          <w:rFonts w:ascii="Arial" w:hAnsi="Arial"/>
          <w:color w:val="231F20"/>
          <w:sz w:val="16"/>
        </w:rPr>
        <w:t>is freely </w:t>
      </w:r>
      <w:r>
        <w:rPr>
          <w:rFonts w:ascii="Arial" w:hAnsi="Arial"/>
          <w:color w:val="231F20"/>
          <w:spacing w:val="-3"/>
          <w:sz w:val="16"/>
        </w:rPr>
        <w:t>filtered </w:t>
      </w:r>
      <w:r>
        <w:rPr>
          <w:rFonts w:ascii="Arial" w:hAnsi="Arial"/>
          <w:color w:val="231F20"/>
          <w:sz w:val="16"/>
        </w:rPr>
        <w:t>by the glomerular capillaries and is also secreted from the peritu- bular capillary blood into the tubular lumen. The amount of </w:t>
      </w:r>
      <w:r>
        <w:rPr>
          <w:rFonts w:ascii="Arial" w:hAnsi="Arial"/>
          <w:color w:val="231F20"/>
          <w:spacing w:val="-4"/>
          <w:sz w:val="16"/>
        </w:rPr>
        <w:t>PAH  </w:t>
      </w:r>
      <w:r>
        <w:rPr>
          <w:rFonts w:ascii="Arial" w:hAnsi="Arial"/>
          <w:color w:val="231F20"/>
          <w:sz w:val="16"/>
        </w:rPr>
        <w:t>in the plasma of the renal artery is about equal to the amount      of </w:t>
      </w:r>
      <w:r>
        <w:rPr>
          <w:rFonts w:ascii="Arial" w:hAnsi="Arial"/>
          <w:color w:val="231F20"/>
          <w:spacing w:val="-4"/>
          <w:sz w:val="16"/>
        </w:rPr>
        <w:t>PAH </w:t>
      </w:r>
      <w:r>
        <w:rPr>
          <w:rFonts w:ascii="Arial" w:hAnsi="Arial"/>
          <w:color w:val="231F20"/>
          <w:sz w:val="16"/>
        </w:rPr>
        <w:t>excreted in the urine. Therefore, the renal plasma flow  can</w:t>
      </w:r>
      <w:r>
        <w:rPr>
          <w:rFonts w:ascii="Arial" w:hAnsi="Arial"/>
          <w:color w:val="231F20"/>
          <w:spacing w:val="-7"/>
          <w:sz w:val="16"/>
        </w:rPr>
        <w:t> </w:t>
      </w:r>
      <w:r>
        <w:rPr>
          <w:rFonts w:ascii="Arial" w:hAnsi="Arial"/>
          <w:color w:val="231F20"/>
          <w:sz w:val="16"/>
        </w:rPr>
        <w:t>be</w:t>
      </w:r>
      <w:r>
        <w:rPr>
          <w:rFonts w:ascii="Arial" w:hAnsi="Arial"/>
          <w:color w:val="231F20"/>
          <w:spacing w:val="-7"/>
          <w:sz w:val="16"/>
        </w:rPr>
        <w:t> </w:t>
      </w:r>
      <w:r>
        <w:rPr>
          <w:rFonts w:ascii="Arial" w:hAnsi="Arial"/>
          <w:color w:val="231F20"/>
          <w:sz w:val="16"/>
        </w:rPr>
        <w:t>calculated</w:t>
      </w:r>
      <w:r>
        <w:rPr>
          <w:rFonts w:ascii="Arial" w:hAnsi="Arial"/>
          <w:color w:val="231F20"/>
          <w:spacing w:val="-7"/>
          <w:sz w:val="16"/>
        </w:rPr>
        <w:t> </w:t>
      </w:r>
      <w:r>
        <w:rPr>
          <w:rFonts w:ascii="Arial" w:hAnsi="Arial"/>
          <w:color w:val="231F20"/>
          <w:sz w:val="16"/>
        </w:rPr>
        <w:t>from</w:t>
      </w:r>
      <w:r>
        <w:rPr>
          <w:rFonts w:ascii="Arial" w:hAnsi="Arial"/>
          <w:color w:val="231F20"/>
          <w:spacing w:val="-7"/>
          <w:sz w:val="16"/>
        </w:rPr>
        <w:t> </w:t>
      </w:r>
      <w:r>
        <w:rPr>
          <w:rFonts w:ascii="Arial" w:hAnsi="Arial"/>
          <w:color w:val="231F20"/>
          <w:sz w:val="16"/>
        </w:rPr>
        <w:t>the</w:t>
      </w:r>
      <w:r>
        <w:rPr>
          <w:rFonts w:ascii="Arial" w:hAnsi="Arial"/>
          <w:color w:val="231F20"/>
          <w:spacing w:val="-7"/>
          <w:sz w:val="16"/>
        </w:rPr>
        <w:t> </w:t>
      </w:r>
      <w:r>
        <w:rPr>
          <w:rFonts w:ascii="Arial" w:hAnsi="Arial"/>
          <w:color w:val="231F20"/>
          <w:sz w:val="16"/>
        </w:rPr>
        <w:t>clearance</w:t>
      </w:r>
      <w:r>
        <w:rPr>
          <w:rFonts w:ascii="Arial" w:hAnsi="Arial"/>
          <w:color w:val="231F20"/>
          <w:spacing w:val="-7"/>
          <w:sz w:val="16"/>
        </w:rPr>
        <w:t> </w:t>
      </w:r>
      <w:r>
        <w:rPr>
          <w:rFonts w:ascii="Arial" w:hAnsi="Arial"/>
          <w:color w:val="231F20"/>
          <w:sz w:val="16"/>
        </w:rPr>
        <w:t>of</w:t>
      </w:r>
      <w:r>
        <w:rPr>
          <w:rFonts w:ascii="Arial" w:hAnsi="Arial"/>
          <w:color w:val="231F20"/>
          <w:spacing w:val="-7"/>
          <w:sz w:val="16"/>
        </w:rPr>
        <w:t> </w:t>
      </w:r>
      <w:r>
        <w:rPr>
          <w:rFonts w:ascii="Arial" w:hAnsi="Arial"/>
          <w:color w:val="231F20"/>
          <w:spacing w:val="-3"/>
          <w:sz w:val="16"/>
        </w:rPr>
        <w:t>PAH.</w:t>
      </w:r>
      <w:r>
        <w:rPr>
          <w:rFonts w:ascii="Arial" w:hAnsi="Arial"/>
          <w:color w:val="231F20"/>
          <w:spacing w:val="-6"/>
          <w:sz w:val="16"/>
        </w:rPr>
        <w:t> </w:t>
      </w:r>
      <w:r>
        <w:rPr>
          <w:rFonts w:ascii="Arial" w:hAnsi="Arial"/>
          <w:color w:val="231F20"/>
          <w:spacing w:val="-9"/>
          <w:sz w:val="16"/>
        </w:rPr>
        <w:t>To</w:t>
      </w:r>
      <w:r>
        <w:rPr>
          <w:rFonts w:ascii="Arial" w:hAnsi="Arial"/>
          <w:color w:val="231F20"/>
          <w:spacing w:val="-7"/>
          <w:sz w:val="16"/>
        </w:rPr>
        <w:t> </w:t>
      </w:r>
      <w:r>
        <w:rPr>
          <w:rFonts w:ascii="Arial" w:hAnsi="Arial"/>
          <w:color w:val="231F20"/>
          <w:sz w:val="16"/>
        </w:rPr>
        <w:t>be</w:t>
      </w:r>
      <w:r>
        <w:rPr>
          <w:rFonts w:ascii="Arial" w:hAnsi="Arial"/>
          <w:color w:val="231F20"/>
          <w:spacing w:val="-7"/>
          <w:sz w:val="16"/>
        </w:rPr>
        <w:t> </w:t>
      </w:r>
      <w:r>
        <w:rPr>
          <w:rFonts w:ascii="Arial" w:hAnsi="Arial"/>
          <w:color w:val="231F20"/>
          <w:sz w:val="16"/>
        </w:rPr>
        <w:t>more</w:t>
      </w:r>
      <w:r>
        <w:rPr>
          <w:rFonts w:ascii="Arial" w:hAnsi="Arial"/>
          <w:color w:val="231F20"/>
          <w:spacing w:val="-7"/>
          <w:sz w:val="16"/>
        </w:rPr>
        <w:t> </w:t>
      </w:r>
      <w:r>
        <w:rPr>
          <w:rFonts w:ascii="Arial" w:hAnsi="Arial"/>
          <w:color w:val="231F20"/>
          <w:sz w:val="16"/>
        </w:rPr>
        <w:t>accurate, one can correct for the percentage of </w:t>
      </w:r>
      <w:r>
        <w:rPr>
          <w:rFonts w:ascii="Arial" w:hAnsi="Arial"/>
          <w:color w:val="231F20"/>
          <w:spacing w:val="-4"/>
          <w:sz w:val="16"/>
        </w:rPr>
        <w:t>PAH </w:t>
      </w:r>
      <w:r>
        <w:rPr>
          <w:rFonts w:ascii="Arial" w:hAnsi="Arial"/>
          <w:color w:val="231F20"/>
          <w:sz w:val="16"/>
        </w:rPr>
        <w:t>that is still in the </w:t>
      </w:r>
      <w:r>
        <w:rPr>
          <w:rFonts w:ascii="Arial" w:hAnsi="Arial"/>
          <w:color w:val="231F20"/>
          <w:spacing w:val="-3"/>
          <w:sz w:val="16"/>
        </w:rPr>
        <w:t>blood </w:t>
      </w:r>
      <w:r>
        <w:rPr>
          <w:rFonts w:ascii="Arial" w:hAnsi="Arial"/>
          <w:color w:val="231F20"/>
          <w:sz w:val="16"/>
        </w:rPr>
        <w:t>when</w:t>
      </w:r>
      <w:r>
        <w:rPr>
          <w:rFonts w:ascii="Arial" w:hAnsi="Arial"/>
          <w:color w:val="231F20"/>
          <w:spacing w:val="-14"/>
          <w:sz w:val="16"/>
        </w:rPr>
        <w:t> </w:t>
      </w:r>
      <w:r>
        <w:rPr>
          <w:rFonts w:ascii="Arial" w:hAnsi="Arial"/>
          <w:color w:val="231F20"/>
          <w:sz w:val="16"/>
        </w:rPr>
        <w:t>it</w:t>
      </w:r>
      <w:r>
        <w:rPr>
          <w:rFonts w:ascii="Arial" w:hAnsi="Arial"/>
          <w:color w:val="231F20"/>
          <w:spacing w:val="-13"/>
          <w:sz w:val="16"/>
        </w:rPr>
        <w:t> </w:t>
      </w:r>
      <w:r>
        <w:rPr>
          <w:rFonts w:ascii="Arial" w:hAnsi="Arial"/>
          <w:color w:val="231F20"/>
          <w:sz w:val="16"/>
        </w:rPr>
        <w:t>leaves</w:t>
      </w:r>
      <w:r>
        <w:rPr>
          <w:rFonts w:ascii="Arial" w:hAnsi="Arial"/>
          <w:color w:val="231F20"/>
          <w:spacing w:val="-14"/>
          <w:sz w:val="16"/>
        </w:rPr>
        <w:t> </w:t>
      </w:r>
      <w:r>
        <w:rPr>
          <w:rFonts w:ascii="Arial" w:hAnsi="Arial"/>
          <w:color w:val="231F20"/>
          <w:sz w:val="16"/>
        </w:rPr>
        <w:t>the</w:t>
      </w:r>
      <w:r>
        <w:rPr>
          <w:rFonts w:ascii="Arial" w:hAnsi="Arial"/>
          <w:color w:val="231F20"/>
          <w:spacing w:val="-13"/>
          <w:sz w:val="16"/>
        </w:rPr>
        <w:t> </w:t>
      </w:r>
      <w:r>
        <w:rPr>
          <w:rFonts w:ascii="Arial" w:hAnsi="Arial"/>
          <w:color w:val="231F20"/>
          <w:sz w:val="16"/>
        </w:rPr>
        <w:t>kidneys.</w:t>
      </w:r>
      <w:r>
        <w:rPr>
          <w:rFonts w:ascii="Arial" w:hAnsi="Arial"/>
          <w:color w:val="231F20"/>
          <w:spacing w:val="-13"/>
          <w:sz w:val="16"/>
        </w:rPr>
        <w:t> </w:t>
      </w:r>
      <w:r>
        <w:rPr>
          <w:rFonts w:ascii="Arial" w:hAnsi="Arial"/>
          <w:color w:val="231F20"/>
          <w:sz w:val="16"/>
        </w:rPr>
        <w:t>P</w:t>
      </w:r>
      <w:r>
        <w:rPr>
          <w:rFonts w:ascii="Arial" w:hAnsi="Arial"/>
          <w:color w:val="231F20"/>
          <w:position w:val="-1"/>
          <w:sz w:val="9"/>
        </w:rPr>
        <w:t>PAH</w:t>
      </w:r>
      <w:r>
        <w:rPr>
          <w:rFonts w:ascii="Arial" w:hAnsi="Arial"/>
          <w:color w:val="231F20"/>
          <w:sz w:val="16"/>
        </w:rPr>
        <w:t>,</w:t>
      </w:r>
      <w:r>
        <w:rPr>
          <w:rFonts w:ascii="Arial" w:hAnsi="Arial"/>
          <w:color w:val="231F20"/>
          <w:spacing w:val="-14"/>
          <w:sz w:val="16"/>
        </w:rPr>
        <w:t> </w:t>
      </w:r>
      <w:r>
        <w:rPr>
          <w:rFonts w:ascii="Arial" w:hAnsi="Arial"/>
          <w:color w:val="231F20"/>
          <w:sz w:val="16"/>
        </w:rPr>
        <w:t>arterial</w:t>
      </w:r>
      <w:r>
        <w:rPr>
          <w:rFonts w:ascii="Arial" w:hAnsi="Arial"/>
          <w:color w:val="231F20"/>
          <w:spacing w:val="-13"/>
          <w:sz w:val="16"/>
        </w:rPr>
        <w:t> </w:t>
      </w:r>
      <w:r>
        <w:rPr>
          <w:rFonts w:ascii="Arial" w:hAnsi="Arial"/>
          <w:color w:val="231F20"/>
          <w:sz w:val="16"/>
        </w:rPr>
        <w:t>plasma</w:t>
      </w:r>
      <w:r>
        <w:rPr>
          <w:rFonts w:ascii="Arial" w:hAnsi="Arial"/>
          <w:color w:val="231F20"/>
          <w:spacing w:val="-14"/>
          <w:sz w:val="16"/>
        </w:rPr>
        <w:t> </w:t>
      </w:r>
      <w:r>
        <w:rPr>
          <w:rFonts w:ascii="Arial" w:hAnsi="Arial"/>
          <w:color w:val="231F20"/>
          <w:spacing w:val="-4"/>
          <w:sz w:val="16"/>
        </w:rPr>
        <w:t>PAH</w:t>
      </w:r>
      <w:r>
        <w:rPr>
          <w:rFonts w:ascii="Arial" w:hAnsi="Arial"/>
          <w:color w:val="231F20"/>
          <w:spacing w:val="-13"/>
          <w:sz w:val="16"/>
        </w:rPr>
        <w:t> </w:t>
      </w:r>
      <w:r>
        <w:rPr>
          <w:rFonts w:ascii="Arial" w:hAnsi="Arial"/>
          <w:color w:val="231F20"/>
          <w:sz w:val="16"/>
        </w:rPr>
        <w:t>concentration; U</w:t>
      </w:r>
      <w:r>
        <w:rPr>
          <w:rFonts w:ascii="Arial" w:hAnsi="Arial"/>
          <w:color w:val="231F20"/>
          <w:position w:val="-1"/>
          <w:sz w:val="9"/>
        </w:rPr>
        <w:t>PAH</w:t>
      </w:r>
      <w:r>
        <w:rPr>
          <w:rFonts w:ascii="Arial" w:hAnsi="Arial"/>
          <w:color w:val="231F20"/>
          <w:sz w:val="16"/>
        </w:rPr>
        <w:t>, urine </w:t>
      </w:r>
      <w:r>
        <w:rPr>
          <w:rFonts w:ascii="Arial" w:hAnsi="Arial"/>
          <w:color w:val="231F20"/>
          <w:spacing w:val="-4"/>
          <w:sz w:val="16"/>
        </w:rPr>
        <w:t>PAH </w:t>
      </w:r>
      <w:r>
        <w:rPr>
          <w:rFonts w:ascii="Arial" w:hAnsi="Arial"/>
          <w:color w:val="231F20"/>
          <w:sz w:val="16"/>
        </w:rPr>
        <w:t>concentration; </w:t>
      </w:r>
      <w:r>
        <w:rPr>
          <w:rFonts w:ascii="Arial" w:hAnsi="Arial"/>
          <w:spacing w:val="-75"/>
          <w:sz w:val="16"/>
        </w:rPr>
        <w:t>V</w:t>
      </w:r>
      <w:r>
        <w:rPr>
          <w:rFonts w:ascii="Arial" w:hAnsi="Arial"/>
          <w:spacing w:val="28"/>
          <w:position w:val="5"/>
          <w:sz w:val="16"/>
        </w:rPr>
        <w:t> </w:t>
      </w:r>
      <w:r>
        <w:rPr>
          <w:rFonts w:ascii="Arial" w:hAnsi="Arial"/>
          <w:color w:val="231F20"/>
          <w:sz w:val="16"/>
        </w:rPr>
        <w:t>, urine flow</w:t>
      </w:r>
      <w:r>
        <w:rPr>
          <w:rFonts w:ascii="Arial" w:hAnsi="Arial"/>
          <w:color w:val="231F20"/>
          <w:spacing w:val="43"/>
          <w:sz w:val="16"/>
        </w:rPr>
        <w:t> </w:t>
      </w:r>
      <w:r>
        <w:rPr>
          <w:rFonts w:ascii="Arial" w:hAnsi="Arial"/>
          <w:color w:val="231F20"/>
          <w:sz w:val="16"/>
        </w:rPr>
        <w:t>rate.</w:t>
      </w:r>
    </w:p>
    <w:p>
      <w:pPr>
        <w:pStyle w:val="BodyText"/>
        <w:spacing w:before="9"/>
        <w:rPr>
          <w:rFonts w:ascii="Arial"/>
          <w:sz w:val="21"/>
        </w:rPr>
      </w:pPr>
    </w:p>
    <w:p>
      <w:pPr>
        <w:pStyle w:val="BodyText"/>
        <w:spacing w:line="249" w:lineRule="auto" w:before="1"/>
        <w:ind w:left="319" w:right="1077"/>
        <w:jc w:val="both"/>
      </w:pPr>
      <w:r>
        <w:rPr>
          <w:color w:val="231F20"/>
        </w:rPr>
        <w:t>removed from the blood is known as the </w:t>
      </w:r>
      <w:r>
        <w:rPr>
          <w:i/>
          <w:color w:val="231F20"/>
        </w:rPr>
        <w:t>extraction ratio </w:t>
      </w:r>
      <w:r>
        <w:rPr>
          <w:i/>
          <w:color w:val="231F20"/>
        </w:rPr>
        <w:t>of PAH </w:t>
      </w:r>
      <w:r>
        <w:rPr>
          <w:color w:val="231F20"/>
        </w:rPr>
        <w:t>and averages about 90 percent in normal kidneys. In diseased kidneys, this extraction ratio may be reduced because of inability of damaged tubules to secrete </w:t>
      </w:r>
      <w:r>
        <w:rPr>
          <w:color w:val="231F20"/>
          <w:spacing w:val="-5"/>
        </w:rPr>
        <w:t>PAH </w:t>
      </w:r>
      <w:r>
        <w:rPr>
          <w:color w:val="231F20"/>
        </w:rPr>
        <w:t>into the tubular</w:t>
      </w:r>
      <w:r>
        <w:rPr>
          <w:color w:val="231F20"/>
          <w:spacing w:val="20"/>
        </w:rPr>
        <w:t> </w:t>
      </w:r>
      <w:r>
        <w:rPr>
          <w:color w:val="231F20"/>
        </w:rPr>
        <w:t>fluid.</w:t>
      </w:r>
    </w:p>
    <w:p>
      <w:pPr>
        <w:pStyle w:val="BodyText"/>
        <w:spacing w:line="249" w:lineRule="auto" w:before="4"/>
        <w:ind w:left="319" w:right="1077" w:firstLine="240"/>
        <w:jc w:val="both"/>
      </w:pPr>
      <w:r>
        <w:rPr>
          <w:color w:val="231F20"/>
        </w:rPr>
        <w:t>The calculation of RPF can be demonstrated by the following example: Assume that the plasma concentration of </w:t>
      </w:r>
      <w:r>
        <w:rPr>
          <w:color w:val="231F20"/>
          <w:spacing w:val="-5"/>
        </w:rPr>
        <w:t>PAH </w:t>
      </w:r>
      <w:r>
        <w:rPr>
          <w:color w:val="231F20"/>
        </w:rPr>
        <w:t>is 0.01 mg/ml, urine concentration is 5.85 mg/ml, and urine flow rate is 1 ml/min. </w:t>
      </w:r>
      <w:r>
        <w:rPr>
          <w:color w:val="231F20"/>
          <w:spacing w:val="-5"/>
        </w:rPr>
        <w:t>PAH </w:t>
      </w:r>
      <w:r>
        <w:rPr>
          <w:color w:val="231F20"/>
        </w:rPr>
        <w:t>clearance can </w:t>
      </w:r>
      <w:r>
        <w:rPr>
          <w:color w:val="231F20"/>
          <w:spacing w:val="-5"/>
        </w:rPr>
        <w:t>be </w:t>
      </w:r>
      <w:r>
        <w:rPr>
          <w:color w:val="231F20"/>
        </w:rPr>
        <w:t>calculated   from   the   rate   of   urinary   </w:t>
      </w:r>
      <w:r>
        <w:rPr>
          <w:color w:val="231F20"/>
          <w:spacing w:val="-5"/>
        </w:rPr>
        <w:t>PAH  </w:t>
      </w:r>
      <w:r>
        <w:rPr>
          <w:color w:val="231F20"/>
          <w:spacing w:val="11"/>
        </w:rPr>
        <w:t> </w:t>
      </w:r>
      <w:r>
        <w:rPr>
          <w:color w:val="231F20"/>
        </w:rPr>
        <w:t>excretion</w:t>
      </w:r>
    </w:p>
    <w:p>
      <w:pPr>
        <w:pStyle w:val="BodyText"/>
        <w:spacing w:line="194" w:lineRule="auto"/>
        <w:ind w:left="319" w:right="1079"/>
        <w:jc w:val="both"/>
      </w:pPr>
      <w:r>
        <w:rPr>
          <w:color w:val="231F20"/>
        </w:rPr>
        <w:t>(5.85 mg/ml </w:t>
      </w:r>
      <w:r>
        <w:rPr>
          <w:rFonts w:ascii="Arial Unicode MS" w:hAnsi="Arial Unicode MS"/>
          <w:color w:val="231F20"/>
        </w:rPr>
        <w:t>× </w:t>
      </w:r>
      <w:r>
        <w:rPr>
          <w:color w:val="231F20"/>
        </w:rPr>
        <w:t>1 ml/min) divided by the plasma </w:t>
      </w:r>
      <w:r>
        <w:rPr>
          <w:color w:val="231F20"/>
          <w:spacing w:val="-5"/>
        </w:rPr>
        <w:t>PAH </w:t>
      </w:r>
      <w:r>
        <w:rPr>
          <w:color w:val="231F20"/>
          <w:spacing w:val="-4"/>
        </w:rPr>
        <w:t>con- </w:t>
      </w:r>
      <w:r>
        <w:rPr>
          <w:color w:val="231F20"/>
        </w:rPr>
        <w:t>centration  (0.01 mg/ml).  Thus,  clearance  of  </w:t>
      </w:r>
      <w:r>
        <w:rPr>
          <w:color w:val="231F20"/>
          <w:spacing w:val="-5"/>
        </w:rPr>
        <w:t>PAH</w:t>
      </w:r>
      <w:r>
        <w:rPr>
          <w:color w:val="231F20"/>
          <w:spacing w:val="-21"/>
        </w:rPr>
        <w:t> </w:t>
      </w:r>
      <w:r>
        <w:rPr>
          <w:color w:val="231F20"/>
          <w:spacing w:val="-3"/>
        </w:rPr>
        <w:t>calcu-</w:t>
      </w:r>
    </w:p>
    <w:p>
      <w:pPr>
        <w:pStyle w:val="BodyText"/>
        <w:spacing w:before="16"/>
        <w:ind w:left="319"/>
        <w:jc w:val="both"/>
      </w:pPr>
      <w:r>
        <w:rPr>
          <w:color w:val="231F20"/>
          <w:w w:val="105"/>
        </w:rPr>
        <w:t>lates to be 585 ml/min.</w:t>
      </w:r>
    </w:p>
    <w:p>
      <w:pPr>
        <w:pStyle w:val="BodyText"/>
        <w:spacing w:line="249" w:lineRule="auto" w:before="10"/>
        <w:ind w:left="319" w:right="1077" w:firstLine="240"/>
        <w:jc w:val="both"/>
      </w:pPr>
      <w:r>
        <w:rPr>
          <w:color w:val="231F20"/>
        </w:rPr>
        <w:t>If the extraction ratio for PAH is 90 percent, the actual RPF can be calculated by dividing 585 ml/min by 0.9, yielding a value of 650 ml/min. Thus, total RPF can be calculated as</w:t>
      </w:r>
    </w:p>
    <w:p>
      <w:pPr>
        <w:spacing w:after="0" w:line="249" w:lineRule="auto"/>
        <w:jc w:val="both"/>
        <w:sectPr>
          <w:type w:val="continuous"/>
          <w:pgSz w:w="12240" w:h="15660"/>
          <w:pgMar w:top="0" w:bottom="760" w:left="0" w:right="0"/>
          <w:cols w:num="2" w:equalWidth="0">
            <w:col w:w="6121" w:space="40"/>
            <w:col w:w="6079"/>
          </w:cols>
        </w:sectPr>
      </w:pPr>
    </w:p>
    <w:p>
      <w:pPr>
        <w:spacing w:line="53" w:lineRule="exact" w:before="0"/>
        <w:ind w:left="0" w:right="345" w:firstLine="0"/>
        <w:jc w:val="right"/>
        <w:rPr>
          <w:rFonts w:ascii="Symbol" w:hAnsi="Symbol"/>
          <w:sz w:val="18"/>
        </w:rPr>
      </w:pPr>
      <w:r>
        <w:rPr/>
        <w:pict>
          <v:shape style="position:absolute;margin-left:187.938202pt;margin-top:-.827994pt;width:5.05pt;height:10.45pt;mso-position-horizontal-relative:page;mso-position-vertical-relative:paragraph;z-index:252312576" type="#_x0000_t202" filled="false" stroked="false">
            <v:textbox inset="0,0,0,0">
              <w:txbxContent>
                <w:p>
                  <w:pPr>
                    <w:spacing w:line="208" w:lineRule="exact" w:before="0"/>
                    <w:ind w:left="0" w:right="0" w:firstLine="0"/>
                    <w:jc w:val="left"/>
                    <w:rPr>
                      <w:rFonts w:ascii="Trebuchet MS"/>
                      <w:sz w:val="18"/>
                    </w:rPr>
                  </w:pPr>
                  <w:r>
                    <w:rPr>
                      <w:rFonts w:ascii="Trebuchet MS"/>
                      <w:w w:val="99"/>
                      <w:sz w:val="18"/>
                    </w:rPr>
                    <w:t>P</w:t>
                  </w:r>
                </w:p>
              </w:txbxContent>
            </v:textbox>
            <w10:wrap type="none"/>
          </v:shape>
        </w:pict>
      </w:r>
      <w:r>
        <w:rPr>
          <w:rFonts w:ascii="Trebuchet MS" w:hAnsi="Trebuchet MS"/>
          <w:sz w:val="18"/>
        </w:rPr>
        <w:t>RPF </w:t>
      </w:r>
      <w:r>
        <w:rPr>
          <w:rFonts w:ascii="Symbol" w:hAnsi="Symbol"/>
          <w:sz w:val="18"/>
        </w:rPr>
        <w:t></w:t>
      </w:r>
    </w:p>
    <w:p>
      <w:pPr>
        <w:spacing w:before="34"/>
        <w:ind w:left="0" w:right="0" w:firstLine="0"/>
        <w:jc w:val="right"/>
        <w:rPr>
          <w:rFonts w:ascii="Trebuchet MS"/>
          <w:sz w:val="10"/>
        </w:rPr>
      </w:pPr>
      <w:r>
        <w:rPr>
          <w:rFonts w:ascii="Trebuchet MS"/>
          <w:w w:val="103"/>
          <w:sz w:val="10"/>
        </w:rPr>
        <w:t>s</w:t>
      </w:r>
    </w:p>
    <w:p>
      <w:pPr>
        <w:spacing w:line="16" w:lineRule="auto" w:before="0"/>
        <w:ind w:left="209" w:right="0" w:firstLine="0"/>
        <w:jc w:val="left"/>
        <w:rPr>
          <w:rFonts w:ascii="Trebuchet MS" w:hAnsi="Trebuchet MS"/>
          <w:sz w:val="10"/>
        </w:rPr>
      </w:pPr>
      <w:r>
        <w:rPr/>
        <w:br w:type="column"/>
      </w:r>
      <w:r>
        <w:rPr>
          <w:rFonts w:ascii="Symbol" w:hAnsi="Symbol"/>
          <w:sz w:val="18"/>
        </w:rPr>
        <w:t></w:t>
      </w:r>
      <w:r>
        <w:rPr>
          <w:sz w:val="18"/>
        </w:rPr>
        <w:t> </w:t>
      </w:r>
      <w:r>
        <w:rPr>
          <w:rFonts w:ascii="Trebuchet MS" w:hAnsi="Trebuchet MS"/>
          <w:sz w:val="18"/>
        </w:rPr>
        <w:t>C</w:t>
      </w:r>
      <w:r>
        <w:rPr>
          <w:rFonts w:ascii="Trebuchet MS" w:hAnsi="Trebuchet MS"/>
          <w:position w:val="-2"/>
          <w:sz w:val="10"/>
        </w:rPr>
        <w:t>s</w:t>
      </w:r>
    </w:p>
    <w:p>
      <w:pPr>
        <w:spacing w:line="151" w:lineRule="exact" w:before="62"/>
        <w:ind w:left="2432" w:right="0" w:firstLine="0"/>
        <w:jc w:val="left"/>
        <w:rPr>
          <w:rFonts w:ascii="Symbol" w:hAnsi="Symbol"/>
          <w:sz w:val="18"/>
        </w:rPr>
      </w:pPr>
      <w:r>
        <w:rPr/>
        <w:br w:type="column"/>
      </w:r>
      <w:r>
        <w:rPr>
          <w:rFonts w:ascii="Trebuchet MS" w:hAnsi="Trebuchet MS"/>
          <w:w w:val="105"/>
          <w:sz w:val="18"/>
        </w:rPr>
        <w:t>Total</w:t>
      </w:r>
      <w:r>
        <w:rPr>
          <w:rFonts w:ascii="Trebuchet MS" w:hAnsi="Trebuchet MS"/>
          <w:spacing w:val="-34"/>
          <w:w w:val="105"/>
          <w:sz w:val="18"/>
        </w:rPr>
        <w:t> </w:t>
      </w:r>
      <w:r>
        <w:rPr>
          <w:rFonts w:ascii="Trebuchet MS" w:hAnsi="Trebuchet MS"/>
          <w:w w:val="105"/>
          <w:sz w:val="18"/>
        </w:rPr>
        <w:t>renal</w:t>
      </w:r>
      <w:r>
        <w:rPr>
          <w:rFonts w:ascii="Trebuchet MS" w:hAnsi="Trebuchet MS"/>
          <w:spacing w:val="-37"/>
          <w:w w:val="105"/>
          <w:sz w:val="18"/>
        </w:rPr>
        <w:t> </w:t>
      </w:r>
      <w:r>
        <w:rPr>
          <w:rFonts w:ascii="Trebuchet MS" w:hAnsi="Trebuchet MS"/>
          <w:w w:val="105"/>
          <w:sz w:val="18"/>
        </w:rPr>
        <w:t>plasma</w:t>
      </w:r>
      <w:r>
        <w:rPr>
          <w:rFonts w:ascii="Trebuchet MS" w:hAnsi="Trebuchet MS"/>
          <w:spacing w:val="-19"/>
          <w:w w:val="105"/>
          <w:sz w:val="18"/>
        </w:rPr>
        <w:t> </w:t>
      </w:r>
      <w:r>
        <w:rPr>
          <w:rFonts w:ascii="Trebuchet MS" w:hAnsi="Trebuchet MS"/>
          <w:w w:val="105"/>
          <w:sz w:val="18"/>
        </w:rPr>
        <w:t>flow</w:t>
      </w:r>
      <w:r>
        <w:rPr>
          <w:rFonts w:ascii="Trebuchet MS" w:hAnsi="Trebuchet MS"/>
          <w:spacing w:val="-10"/>
          <w:w w:val="105"/>
          <w:sz w:val="18"/>
        </w:rPr>
        <w:t> </w:t>
      </w:r>
      <w:r>
        <w:rPr>
          <w:rFonts w:ascii="Symbol" w:hAnsi="Symbol"/>
          <w:w w:val="105"/>
          <w:sz w:val="18"/>
        </w:rPr>
        <w:t></w:t>
      </w:r>
    </w:p>
    <w:p>
      <w:pPr>
        <w:tabs>
          <w:tab w:pos="1688" w:val="left" w:leader="none"/>
        </w:tabs>
        <w:spacing w:line="168" w:lineRule="exact" w:before="0"/>
        <w:ind w:left="13" w:right="0" w:firstLine="0"/>
        <w:jc w:val="left"/>
        <w:rPr>
          <w:rFonts w:ascii="Trebuchet MS"/>
          <w:sz w:val="18"/>
        </w:rPr>
      </w:pPr>
      <w:r>
        <w:rPr/>
        <w:br w:type="column"/>
      </w:r>
      <w:r>
        <w:rPr>
          <w:rFonts w:ascii="Trebuchet MS"/>
          <w:w w:val="92"/>
          <w:sz w:val="18"/>
          <w:u w:val="single"/>
        </w:rPr>
        <w:t> </w:t>
      </w:r>
      <w:r>
        <w:rPr>
          <w:rFonts w:ascii="Trebuchet MS"/>
          <w:sz w:val="18"/>
          <w:u w:val="single"/>
        </w:rPr>
        <w:t>   </w:t>
      </w:r>
      <w:r>
        <w:rPr>
          <w:rFonts w:ascii="Trebuchet MS"/>
          <w:spacing w:val="-24"/>
          <w:sz w:val="18"/>
          <w:u w:val="single"/>
        </w:rPr>
        <w:t> </w:t>
      </w:r>
      <w:r>
        <w:rPr>
          <w:rFonts w:ascii="Trebuchet MS"/>
          <w:w w:val="105"/>
          <w:sz w:val="18"/>
          <w:u w:val="single"/>
        </w:rPr>
        <w:t>PAH</w:t>
      </w:r>
      <w:r>
        <w:rPr>
          <w:rFonts w:ascii="Trebuchet MS"/>
          <w:spacing w:val="-44"/>
          <w:w w:val="105"/>
          <w:sz w:val="18"/>
          <w:u w:val="single"/>
        </w:rPr>
        <w:t> </w:t>
      </w:r>
      <w:r>
        <w:rPr>
          <w:rFonts w:ascii="Trebuchet MS"/>
          <w:w w:val="105"/>
          <w:sz w:val="18"/>
          <w:u w:val="single"/>
        </w:rPr>
        <w:t>clearance</w:t>
      </w:r>
      <w:r>
        <w:rPr>
          <w:rFonts w:ascii="Trebuchet MS"/>
          <w:sz w:val="18"/>
          <w:u w:val="single"/>
        </w:rPr>
        <w:tab/>
      </w:r>
    </w:p>
    <w:p>
      <w:pPr>
        <w:spacing w:after="0" w:line="168" w:lineRule="exact"/>
        <w:jc w:val="left"/>
        <w:rPr>
          <w:rFonts w:ascii="Trebuchet MS"/>
          <w:sz w:val="18"/>
        </w:rPr>
        <w:sectPr>
          <w:type w:val="continuous"/>
          <w:pgSz w:w="12240" w:h="15660"/>
          <w:pgMar w:top="0" w:bottom="760" w:left="0" w:right="0"/>
          <w:cols w:num="4" w:equalWidth="0">
            <w:col w:w="3885" w:space="40"/>
            <w:col w:w="510" w:space="39"/>
            <w:col w:w="4512" w:space="40"/>
            <w:col w:w="3214"/>
          </w:cols>
        </w:sectPr>
      </w:pPr>
    </w:p>
    <w:p>
      <w:pPr>
        <w:pStyle w:val="BodyText"/>
        <w:spacing w:line="249" w:lineRule="auto" w:before="94"/>
        <w:ind w:left="1440" w:firstLine="240"/>
        <w:jc w:val="both"/>
      </w:pPr>
      <w:r>
        <w:rPr>
          <w:color w:val="231F20"/>
        </w:rPr>
        <w:t>Because the GFR is only about 20 percent of the total plasma </w:t>
      </w:r>
      <w:r>
        <w:rPr>
          <w:color w:val="231F20"/>
          <w:spacing w:val="-3"/>
        </w:rPr>
        <w:t>flow, </w:t>
      </w:r>
      <w:r>
        <w:rPr>
          <w:color w:val="231F20"/>
        </w:rPr>
        <w:t>a substance that is completely cleared </w:t>
      </w:r>
      <w:r>
        <w:rPr>
          <w:color w:val="231F20"/>
          <w:spacing w:val="-4"/>
        </w:rPr>
        <w:t>from </w:t>
      </w:r>
      <w:r>
        <w:rPr>
          <w:color w:val="231F20"/>
        </w:rPr>
        <w:t>the plasma must be excreted by tubular secretion, as </w:t>
      </w:r>
      <w:r>
        <w:rPr>
          <w:color w:val="231F20"/>
          <w:spacing w:val="-4"/>
        </w:rPr>
        <w:t>well </w:t>
      </w:r>
      <w:r>
        <w:rPr>
          <w:color w:val="231F20"/>
        </w:rPr>
        <w:t>as glomerular filtration (</w:t>
      </w:r>
      <w:hyperlink w:history="true" w:anchor="_bookmark65">
        <w:r>
          <w:rPr>
            <w:b/>
            <w:color w:val="0080AC"/>
          </w:rPr>
          <w:t>Figure 28-23</w:t>
        </w:r>
      </w:hyperlink>
      <w:r>
        <w:rPr>
          <w:color w:val="231F20"/>
        </w:rPr>
        <w:t>). There is </w:t>
      </w:r>
      <w:r>
        <w:rPr>
          <w:color w:val="231F20"/>
          <w:spacing w:val="-6"/>
        </w:rPr>
        <w:t>no </w:t>
      </w:r>
      <w:r>
        <w:rPr>
          <w:color w:val="231F20"/>
        </w:rPr>
        <w:t>known</w:t>
      </w:r>
      <w:r>
        <w:rPr>
          <w:color w:val="231F20"/>
          <w:spacing w:val="-8"/>
        </w:rPr>
        <w:t> </w:t>
      </w:r>
      <w:r>
        <w:rPr>
          <w:color w:val="231F20"/>
        </w:rPr>
        <w:t>substance</w:t>
      </w:r>
      <w:r>
        <w:rPr>
          <w:color w:val="231F20"/>
          <w:spacing w:val="-7"/>
        </w:rPr>
        <w:t> </w:t>
      </w:r>
      <w:r>
        <w:rPr>
          <w:color w:val="231F20"/>
        </w:rPr>
        <w:t>that</w:t>
      </w:r>
      <w:r>
        <w:rPr>
          <w:color w:val="231F20"/>
          <w:spacing w:val="-8"/>
        </w:rPr>
        <w:t> </w:t>
      </w:r>
      <w:r>
        <w:rPr>
          <w:color w:val="231F20"/>
        </w:rPr>
        <w:t>is</w:t>
      </w:r>
      <w:r>
        <w:rPr>
          <w:color w:val="231F20"/>
          <w:spacing w:val="-7"/>
        </w:rPr>
        <w:t> </w:t>
      </w:r>
      <w:r>
        <w:rPr>
          <w:i/>
          <w:color w:val="231F20"/>
        </w:rPr>
        <w:t>completely</w:t>
      </w:r>
      <w:r>
        <w:rPr>
          <w:i/>
          <w:color w:val="231F20"/>
          <w:spacing w:val="-8"/>
        </w:rPr>
        <w:t> </w:t>
      </w:r>
      <w:r>
        <w:rPr>
          <w:color w:val="231F20"/>
        </w:rPr>
        <w:t>cleared</w:t>
      </w:r>
      <w:r>
        <w:rPr>
          <w:color w:val="231F20"/>
          <w:spacing w:val="-7"/>
        </w:rPr>
        <w:t> </w:t>
      </w:r>
      <w:r>
        <w:rPr>
          <w:color w:val="231F20"/>
        </w:rPr>
        <w:t>by</w:t>
      </w:r>
      <w:r>
        <w:rPr>
          <w:color w:val="231F20"/>
          <w:spacing w:val="-8"/>
        </w:rPr>
        <w:t> </w:t>
      </w:r>
      <w:r>
        <w:rPr>
          <w:color w:val="231F20"/>
        </w:rPr>
        <w:t>the</w:t>
      </w:r>
      <w:r>
        <w:rPr>
          <w:color w:val="231F20"/>
          <w:spacing w:val="-7"/>
        </w:rPr>
        <w:t> </w:t>
      </w:r>
      <w:r>
        <w:rPr>
          <w:color w:val="231F20"/>
        </w:rPr>
        <w:t>kidneys. One</w:t>
      </w:r>
      <w:r>
        <w:rPr>
          <w:color w:val="231F20"/>
          <w:spacing w:val="21"/>
        </w:rPr>
        <w:t> </w:t>
      </w:r>
      <w:r>
        <w:rPr>
          <w:color w:val="231F20"/>
        </w:rPr>
        <w:t>substance—PAH—is</w:t>
      </w:r>
      <w:r>
        <w:rPr>
          <w:color w:val="231F20"/>
          <w:spacing w:val="22"/>
        </w:rPr>
        <w:t> </w:t>
      </w:r>
      <w:r>
        <w:rPr>
          <w:color w:val="231F20"/>
        </w:rPr>
        <w:t>about</w:t>
      </w:r>
      <w:r>
        <w:rPr>
          <w:color w:val="231F20"/>
          <w:spacing w:val="21"/>
        </w:rPr>
        <w:t> </w:t>
      </w:r>
      <w:r>
        <w:rPr>
          <w:color w:val="231F20"/>
        </w:rPr>
        <w:t>90</w:t>
      </w:r>
      <w:r>
        <w:rPr>
          <w:color w:val="231F20"/>
          <w:spacing w:val="21"/>
        </w:rPr>
        <w:t> </w:t>
      </w:r>
      <w:r>
        <w:rPr>
          <w:color w:val="231F20"/>
        </w:rPr>
        <w:t>percent</w:t>
      </w:r>
      <w:r>
        <w:rPr>
          <w:color w:val="231F20"/>
          <w:spacing w:val="22"/>
        </w:rPr>
        <w:t> </w:t>
      </w:r>
      <w:r>
        <w:rPr>
          <w:color w:val="231F20"/>
        </w:rPr>
        <w:t>cleared</w:t>
      </w:r>
      <w:r>
        <w:rPr>
          <w:color w:val="231F20"/>
          <w:spacing w:val="21"/>
        </w:rPr>
        <w:t> </w:t>
      </w:r>
      <w:r>
        <w:rPr>
          <w:color w:val="231F20"/>
          <w:spacing w:val="-4"/>
        </w:rPr>
        <w:t>from</w:t>
      </w:r>
    </w:p>
    <w:p>
      <w:pPr>
        <w:spacing w:line="209" w:lineRule="exact" w:before="0"/>
        <w:ind w:left="2876" w:right="0" w:firstLine="0"/>
        <w:jc w:val="left"/>
        <w:rPr>
          <w:rFonts w:ascii="Trebuchet MS"/>
          <w:sz w:val="18"/>
        </w:rPr>
      </w:pPr>
      <w:r>
        <w:rPr/>
        <w:br w:type="column"/>
      </w:r>
      <w:r>
        <w:rPr>
          <w:rFonts w:ascii="Trebuchet MS"/>
          <w:w w:val="105"/>
          <w:sz w:val="18"/>
        </w:rPr>
        <w:t>PAH extraction ratio</w:t>
      </w:r>
    </w:p>
    <w:p>
      <w:pPr>
        <w:pStyle w:val="BodyText"/>
        <w:spacing w:line="249" w:lineRule="auto" w:before="126"/>
        <w:ind w:left="319" w:right="1077" w:firstLine="240"/>
        <w:jc w:val="both"/>
      </w:pPr>
      <w:r>
        <w:rPr>
          <w:color w:val="231F20"/>
          <w:w w:val="105"/>
        </w:rPr>
        <w:t>The extraction ratio (E</w:t>
      </w:r>
      <w:r>
        <w:rPr>
          <w:color w:val="231F20"/>
          <w:w w:val="105"/>
          <w:vertAlign w:val="subscript"/>
        </w:rPr>
        <w:t>PAH</w:t>
      </w:r>
      <w:r>
        <w:rPr>
          <w:color w:val="231F20"/>
          <w:w w:val="105"/>
          <w:vertAlign w:val="baseline"/>
        </w:rPr>
        <w:t>) is calculated as the </w:t>
      </w:r>
      <w:r>
        <w:rPr>
          <w:color w:val="231F20"/>
          <w:spacing w:val="-10"/>
          <w:w w:val="105"/>
          <w:vertAlign w:val="baseline"/>
        </w:rPr>
        <w:t>differ- </w:t>
      </w:r>
      <w:r>
        <w:rPr>
          <w:color w:val="231F20"/>
          <w:w w:val="105"/>
          <w:vertAlign w:val="baseline"/>
        </w:rPr>
        <w:t>ence between the renal arterial </w:t>
      </w:r>
      <w:r>
        <w:rPr>
          <w:color w:val="231F20"/>
          <w:spacing w:val="-5"/>
          <w:w w:val="105"/>
          <w:vertAlign w:val="baseline"/>
        </w:rPr>
        <w:t>PAH </w:t>
      </w:r>
      <w:r>
        <w:rPr>
          <w:color w:val="231F20"/>
          <w:w w:val="105"/>
          <w:vertAlign w:val="baseline"/>
        </w:rPr>
        <w:t>(P</w:t>
      </w:r>
      <w:r>
        <w:rPr>
          <w:color w:val="231F20"/>
          <w:w w:val="105"/>
          <w:vertAlign w:val="subscript"/>
        </w:rPr>
        <w:t>PAH</w:t>
      </w:r>
      <w:r>
        <w:rPr>
          <w:color w:val="231F20"/>
          <w:w w:val="105"/>
          <w:vertAlign w:val="baseline"/>
        </w:rPr>
        <w:t>) and </w:t>
      </w:r>
      <w:r>
        <w:rPr>
          <w:color w:val="231F20"/>
          <w:spacing w:val="-12"/>
          <w:w w:val="105"/>
          <w:vertAlign w:val="baseline"/>
        </w:rPr>
        <w:t>renal </w:t>
      </w:r>
      <w:r>
        <w:rPr>
          <w:color w:val="231F20"/>
          <w:w w:val="105"/>
          <w:vertAlign w:val="baseline"/>
        </w:rPr>
        <w:t>venous </w:t>
      </w:r>
      <w:r>
        <w:rPr>
          <w:color w:val="231F20"/>
          <w:spacing w:val="-5"/>
          <w:w w:val="105"/>
          <w:vertAlign w:val="baseline"/>
        </w:rPr>
        <w:t>PAH </w:t>
      </w:r>
      <w:r>
        <w:rPr>
          <w:color w:val="231F20"/>
          <w:w w:val="105"/>
          <w:vertAlign w:val="baseline"/>
        </w:rPr>
        <w:t>(V</w:t>
      </w:r>
      <w:r>
        <w:rPr>
          <w:color w:val="231F20"/>
          <w:w w:val="105"/>
          <w:vertAlign w:val="subscript"/>
        </w:rPr>
        <w:t>PAH</w:t>
      </w:r>
      <w:r>
        <w:rPr>
          <w:color w:val="231F20"/>
          <w:w w:val="105"/>
          <w:vertAlign w:val="baseline"/>
        </w:rPr>
        <w:t>) concentrations, divided by the </w:t>
      </w:r>
      <w:r>
        <w:rPr>
          <w:color w:val="231F20"/>
          <w:spacing w:val="-12"/>
          <w:w w:val="105"/>
          <w:vertAlign w:val="baseline"/>
        </w:rPr>
        <w:t>renal </w:t>
      </w:r>
      <w:r>
        <w:rPr>
          <w:color w:val="231F20"/>
          <w:w w:val="105"/>
          <w:vertAlign w:val="baseline"/>
        </w:rPr>
        <w:t>arterial </w:t>
      </w:r>
      <w:r>
        <w:rPr>
          <w:color w:val="231F20"/>
          <w:spacing w:val="-5"/>
          <w:w w:val="105"/>
          <w:vertAlign w:val="baseline"/>
        </w:rPr>
        <w:t>PAH </w:t>
      </w:r>
      <w:r>
        <w:rPr>
          <w:color w:val="231F20"/>
          <w:w w:val="105"/>
          <w:vertAlign w:val="baseline"/>
        </w:rPr>
        <w:t>concentration:</w:t>
      </w:r>
    </w:p>
    <w:p>
      <w:pPr>
        <w:spacing w:line="115" w:lineRule="exact" w:before="122"/>
        <w:ind w:left="295" w:right="587" w:firstLine="0"/>
        <w:jc w:val="center"/>
        <w:rPr>
          <w:rFonts w:ascii="Trebuchet MS" w:hAnsi="Trebuchet MS"/>
          <w:sz w:val="10"/>
        </w:rPr>
      </w:pPr>
      <w:r>
        <w:rPr>
          <w:rFonts w:ascii="Trebuchet MS" w:hAnsi="Trebuchet MS"/>
          <w:w w:val="115"/>
          <w:position w:val="3"/>
          <w:sz w:val="18"/>
          <w:u w:val="single"/>
        </w:rPr>
        <w:t>P</w:t>
      </w:r>
      <w:r>
        <w:rPr>
          <w:rFonts w:ascii="Trebuchet MS" w:hAnsi="Trebuchet MS"/>
          <w:w w:val="115"/>
          <w:sz w:val="10"/>
          <w:u w:val="single"/>
        </w:rPr>
        <w:t>PAH  </w:t>
      </w:r>
      <w:r>
        <w:rPr>
          <w:rFonts w:ascii="Symbol" w:hAnsi="Symbol"/>
          <w:w w:val="115"/>
          <w:position w:val="3"/>
          <w:sz w:val="18"/>
          <w:u w:val="single"/>
        </w:rPr>
        <w:t></w:t>
      </w:r>
      <w:r>
        <w:rPr>
          <w:w w:val="115"/>
          <w:position w:val="3"/>
          <w:sz w:val="18"/>
          <w:u w:val="single"/>
        </w:rPr>
        <w:t> </w:t>
      </w:r>
      <w:r>
        <w:rPr>
          <w:rFonts w:ascii="Trebuchet MS" w:hAnsi="Trebuchet MS"/>
          <w:w w:val="115"/>
          <w:position w:val="3"/>
          <w:sz w:val="18"/>
          <w:u w:val="single"/>
        </w:rPr>
        <w:t>V</w:t>
      </w:r>
      <w:r>
        <w:rPr>
          <w:rFonts w:ascii="Trebuchet MS" w:hAnsi="Trebuchet MS"/>
          <w:w w:val="115"/>
          <w:sz w:val="10"/>
          <w:u w:val="single"/>
        </w:rPr>
        <w:t>PAH</w:t>
      </w:r>
    </w:p>
    <w:p>
      <w:pPr>
        <w:spacing w:after="0" w:line="115" w:lineRule="exact"/>
        <w:jc w:val="center"/>
        <w:rPr>
          <w:rFonts w:ascii="Trebuchet MS" w:hAnsi="Trebuchet MS"/>
          <w:sz w:val="10"/>
        </w:rPr>
        <w:sectPr>
          <w:type w:val="continuous"/>
          <w:pgSz w:w="12240" w:h="15660"/>
          <w:pgMar w:top="0" w:bottom="760" w:left="0" w:right="0"/>
          <w:cols w:num="2" w:equalWidth="0">
            <w:col w:w="6121" w:space="40"/>
            <w:col w:w="6079"/>
          </w:cols>
        </w:sectPr>
      </w:pPr>
    </w:p>
    <w:p>
      <w:pPr>
        <w:pStyle w:val="BodyText"/>
        <w:spacing w:line="249" w:lineRule="auto" w:before="5"/>
        <w:ind w:left="1440" w:right="28"/>
      </w:pPr>
      <w:r>
        <w:rPr>
          <w:color w:val="231F20"/>
          <w:w w:val="105"/>
        </w:rPr>
        <w:t>the</w:t>
      </w:r>
      <w:r>
        <w:rPr>
          <w:color w:val="231F20"/>
          <w:spacing w:val="-10"/>
          <w:w w:val="105"/>
        </w:rPr>
        <w:t> </w:t>
      </w:r>
      <w:r>
        <w:rPr>
          <w:color w:val="231F20"/>
          <w:w w:val="105"/>
        </w:rPr>
        <w:t>plasma.</w:t>
      </w:r>
      <w:r>
        <w:rPr>
          <w:color w:val="231F20"/>
          <w:spacing w:val="-10"/>
          <w:w w:val="105"/>
        </w:rPr>
        <w:t> </w:t>
      </w:r>
      <w:r>
        <w:rPr>
          <w:color w:val="231F20"/>
          <w:w w:val="105"/>
        </w:rPr>
        <w:t>Therefore,</w:t>
      </w:r>
      <w:r>
        <w:rPr>
          <w:color w:val="231F20"/>
          <w:spacing w:val="-10"/>
          <w:w w:val="105"/>
        </w:rPr>
        <w:t> </w:t>
      </w:r>
      <w:r>
        <w:rPr>
          <w:color w:val="231F20"/>
          <w:w w:val="105"/>
        </w:rPr>
        <w:t>the</w:t>
      </w:r>
      <w:r>
        <w:rPr>
          <w:color w:val="231F20"/>
          <w:spacing w:val="-10"/>
          <w:w w:val="105"/>
        </w:rPr>
        <w:t> </w:t>
      </w:r>
      <w:r>
        <w:rPr>
          <w:color w:val="231F20"/>
          <w:w w:val="105"/>
        </w:rPr>
        <w:t>clearance</w:t>
      </w:r>
      <w:r>
        <w:rPr>
          <w:color w:val="231F20"/>
          <w:spacing w:val="-10"/>
          <w:w w:val="105"/>
        </w:rPr>
        <w:t> </w:t>
      </w:r>
      <w:r>
        <w:rPr>
          <w:color w:val="231F20"/>
          <w:w w:val="105"/>
        </w:rPr>
        <w:t>of</w:t>
      </w:r>
      <w:r>
        <w:rPr>
          <w:color w:val="231F20"/>
          <w:spacing w:val="-10"/>
          <w:w w:val="105"/>
        </w:rPr>
        <w:t> </w:t>
      </w:r>
      <w:r>
        <w:rPr>
          <w:color w:val="231F20"/>
          <w:spacing w:val="-5"/>
          <w:w w:val="105"/>
        </w:rPr>
        <w:t>PAH</w:t>
      </w:r>
      <w:r>
        <w:rPr>
          <w:color w:val="231F20"/>
          <w:spacing w:val="-10"/>
          <w:w w:val="105"/>
        </w:rPr>
        <w:t> </w:t>
      </w:r>
      <w:r>
        <w:rPr>
          <w:color w:val="231F20"/>
          <w:w w:val="105"/>
        </w:rPr>
        <w:t>can</w:t>
      </w:r>
      <w:r>
        <w:rPr>
          <w:color w:val="231F20"/>
          <w:spacing w:val="-10"/>
          <w:w w:val="105"/>
        </w:rPr>
        <w:t> </w:t>
      </w:r>
      <w:r>
        <w:rPr>
          <w:color w:val="231F20"/>
          <w:w w:val="105"/>
        </w:rPr>
        <w:t>be</w:t>
      </w:r>
      <w:r>
        <w:rPr>
          <w:color w:val="231F20"/>
          <w:spacing w:val="-10"/>
          <w:w w:val="105"/>
        </w:rPr>
        <w:t> </w:t>
      </w:r>
      <w:r>
        <w:rPr>
          <w:color w:val="231F20"/>
          <w:w w:val="105"/>
        </w:rPr>
        <w:t>used as</w:t>
      </w:r>
      <w:r>
        <w:rPr>
          <w:color w:val="231F20"/>
          <w:spacing w:val="-22"/>
          <w:w w:val="105"/>
        </w:rPr>
        <w:t> </w:t>
      </w:r>
      <w:r>
        <w:rPr>
          <w:color w:val="231F20"/>
          <w:w w:val="105"/>
        </w:rPr>
        <w:t>an</w:t>
      </w:r>
      <w:r>
        <w:rPr>
          <w:color w:val="231F20"/>
          <w:spacing w:val="-22"/>
          <w:w w:val="105"/>
        </w:rPr>
        <w:t> </w:t>
      </w:r>
      <w:r>
        <w:rPr>
          <w:color w:val="231F20"/>
          <w:w w:val="105"/>
        </w:rPr>
        <w:t>approximation</w:t>
      </w:r>
      <w:r>
        <w:rPr>
          <w:color w:val="231F20"/>
          <w:spacing w:val="-22"/>
          <w:w w:val="105"/>
        </w:rPr>
        <w:t> </w:t>
      </w:r>
      <w:r>
        <w:rPr>
          <w:color w:val="231F20"/>
          <w:w w:val="105"/>
        </w:rPr>
        <w:t>of</w:t>
      </w:r>
      <w:r>
        <w:rPr>
          <w:color w:val="231F20"/>
          <w:spacing w:val="-22"/>
          <w:w w:val="105"/>
        </w:rPr>
        <w:t> </w:t>
      </w:r>
      <w:r>
        <w:rPr>
          <w:color w:val="231F20"/>
          <w:spacing w:val="-5"/>
          <w:w w:val="105"/>
        </w:rPr>
        <w:t>RPF.</w:t>
      </w:r>
      <w:r>
        <w:rPr>
          <w:color w:val="231F20"/>
          <w:spacing w:val="-22"/>
          <w:w w:val="105"/>
        </w:rPr>
        <w:t> </w:t>
      </w:r>
      <w:r>
        <w:rPr>
          <w:color w:val="231F20"/>
          <w:spacing w:val="-11"/>
          <w:w w:val="105"/>
        </w:rPr>
        <w:t>To</w:t>
      </w:r>
      <w:r>
        <w:rPr>
          <w:color w:val="231F20"/>
          <w:spacing w:val="-21"/>
          <w:w w:val="105"/>
        </w:rPr>
        <w:t> </w:t>
      </w:r>
      <w:r>
        <w:rPr>
          <w:color w:val="231F20"/>
          <w:w w:val="105"/>
        </w:rPr>
        <w:t>be</w:t>
      </w:r>
      <w:r>
        <w:rPr>
          <w:color w:val="231F20"/>
          <w:spacing w:val="-22"/>
          <w:w w:val="105"/>
        </w:rPr>
        <w:t> </w:t>
      </w:r>
      <w:r>
        <w:rPr>
          <w:color w:val="231F20"/>
          <w:w w:val="105"/>
        </w:rPr>
        <w:t>more</w:t>
      </w:r>
      <w:r>
        <w:rPr>
          <w:color w:val="231F20"/>
          <w:spacing w:val="-22"/>
          <w:w w:val="105"/>
        </w:rPr>
        <w:t> </w:t>
      </w:r>
      <w:r>
        <w:rPr>
          <w:color w:val="231F20"/>
          <w:w w:val="105"/>
        </w:rPr>
        <w:t>accurate,</w:t>
      </w:r>
      <w:r>
        <w:rPr>
          <w:color w:val="231F20"/>
          <w:spacing w:val="-22"/>
          <w:w w:val="105"/>
        </w:rPr>
        <w:t> </w:t>
      </w:r>
      <w:r>
        <w:rPr>
          <w:color w:val="231F20"/>
          <w:w w:val="105"/>
        </w:rPr>
        <w:t>one</w:t>
      </w:r>
      <w:r>
        <w:rPr>
          <w:color w:val="231F20"/>
          <w:spacing w:val="-22"/>
          <w:w w:val="105"/>
        </w:rPr>
        <w:t> </w:t>
      </w:r>
      <w:r>
        <w:rPr>
          <w:color w:val="231F20"/>
          <w:w w:val="105"/>
        </w:rPr>
        <w:t>can</w:t>
      </w:r>
    </w:p>
    <w:p>
      <w:pPr>
        <w:spacing w:before="0"/>
        <w:ind w:left="0" w:right="0" w:firstLine="0"/>
        <w:jc w:val="right"/>
        <w:rPr>
          <w:rFonts w:ascii="Symbol" w:hAnsi="Symbol"/>
          <w:sz w:val="18"/>
        </w:rPr>
      </w:pPr>
      <w:r>
        <w:rPr/>
        <w:br w:type="column"/>
      </w:r>
      <w:r>
        <w:rPr>
          <w:rFonts w:ascii="Trebuchet MS" w:hAnsi="Trebuchet MS"/>
          <w:w w:val="110"/>
          <w:position w:val="3"/>
          <w:sz w:val="18"/>
        </w:rPr>
        <w:t>E</w:t>
      </w:r>
      <w:r>
        <w:rPr>
          <w:rFonts w:ascii="Trebuchet MS" w:hAnsi="Trebuchet MS"/>
          <w:w w:val="110"/>
          <w:sz w:val="10"/>
        </w:rPr>
        <w:t>PAH </w:t>
      </w:r>
      <w:r>
        <w:rPr>
          <w:rFonts w:ascii="Symbol" w:hAnsi="Symbol"/>
          <w:w w:val="110"/>
          <w:position w:val="3"/>
          <w:sz w:val="18"/>
        </w:rPr>
        <w:t></w:t>
      </w:r>
    </w:p>
    <w:p>
      <w:pPr>
        <w:spacing w:before="150"/>
        <w:ind w:left="261" w:right="0" w:firstLine="0"/>
        <w:jc w:val="left"/>
        <w:rPr>
          <w:rFonts w:ascii="Trebuchet MS"/>
          <w:sz w:val="10"/>
        </w:rPr>
      </w:pPr>
      <w:r>
        <w:rPr/>
        <w:br w:type="column"/>
      </w:r>
      <w:r>
        <w:rPr>
          <w:rFonts w:ascii="Trebuchet MS"/>
          <w:w w:val="115"/>
          <w:position w:val="3"/>
          <w:sz w:val="18"/>
        </w:rPr>
        <w:t>P</w:t>
      </w:r>
      <w:r>
        <w:rPr>
          <w:rFonts w:ascii="Trebuchet MS"/>
          <w:w w:val="115"/>
          <w:sz w:val="10"/>
        </w:rPr>
        <w:t>PAH</w:t>
      </w:r>
    </w:p>
    <w:p>
      <w:pPr>
        <w:spacing w:after="0"/>
        <w:jc w:val="left"/>
        <w:rPr>
          <w:rFonts w:ascii="Trebuchet MS"/>
          <w:sz w:val="10"/>
        </w:rPr>
        <w:sectPr>
          <w:type w:val="continuous"/>
          <w:pgSz w:w="12240" w:h="15660"/>
          <w:pgMar w:top="0" w:bottom="760" w:left="0" w:right="0"/>
          <w:cols w:num="3" w:equalWidth="0">
            <w:col w:w="6161" w:space="542"/>
            <w:col w:w="1903" w:space="40"/>
            <w:col w:w="3594"/>
          </w:cols>
        </w:sectPr>
      </w:pPr>
    </w:p>
    <w:p>
      <w:pPr>
        <w:pStyle w:val="BodyText"/>
        <w:spacing w:line="249" w:lineRule="auto" w:before="2"/>
        <w:ind w:left="1440" w:right="-10"/>
      </w:pPr>
      <w:r>
        <w:rPr/>
        <w:pict>
          <v:group style="position:absolute;margin-left:0pt;margin-top:0pt;width:612pt;height:180pt;mso-position-horizontal-relative:page;mso-position-vertical-relative:page;z-index:-27309977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r>
        <w:rPr>
          <w:color w:val="231F20"/>
          <w:w w:val="105"/>
        </w:rPr>
        <w:t>correct</w:t>
      </w:r>
      <w:r>
        <w:rPr>
          <w:color w:val="231F20"/>
          <w:spacing w:val="-14"/>
          <w:w w:val="105"/>
        </w:rPr>
        <w:t> </w:t>
      </w:r>
      <w:r>
        <w:rPr>
          <w:color w:val="231F20"/>
          <w:w w:val="105"/>
        </w:rPr>
        <w:t>for</w:t>
      </w:r>
      <w:r>
        <w:rPr>
          <w:color w:val="231F20"/>
          <w:spacing w:val="-14"/>
          <w:w w:val="105"/>
        </w:rPr>
        <w:t> </w:t>
      </w:r>
      <w:r>
        <w:rPr>
          <w:color w:val="231F20"/>
          <w:w w:val="105"/>
        </w:rPr>
        <w:t>the</w:t>
      </w:r>
      <w:r>
        <w:rPr>
          <w:color w:val="231F20"/>
          <w:spacing w:val="-13"/>
          <w:w w:val="105"/>
        </w:rPr>
        <w:t> </w:t>
      </w:r>
      <w:r>
        <w:rPr>
          <w:color w:val="231F20"/>
          <w:w w:val="105"/>
        </w:rPr>
        <w:t>percentage</w:t>
      </w:r>
      <w:r>
        <w:rPr>
          <w:color w:val="231F20"/>
          <w:spacing w:val="-14"/>
          <w:w w:val="105"/>
        </w:rPr>
        <w:t> </w:t>
      </w:r>
      <w:r>
        <w:rPr>
          <w:color w:val="231F20"/>
          <w:w w:val="105"/>
        </w:rPr>
        <w:t>of</w:t>
      </w:r>
      <w:r>
        <w:rPr>
          <w:color w:val="231F20"/>
          <w:spacing w:val="-13"/>
          <w:w w:val="105"/>
        </w:rPr>
        <w:t> </w:t>
      </w:r>
      <w:r>
        <w:rPr>
          <w:color w:val="231F20"/>
          <w:spacing w:val="-5"/>
          <w:w w:val="105"/>
        </w:rPr>
        <w:t>PAH</w:t>
      </w:r>
      <w:r>
        <w:rPr>
          <w:color w:val="231F20"/>
          <w:spacing w:val="-14"/>
          <w:w w:val="105"/>
        </w:rPr>
        <w:t> </w:t>
      </w:r>
      <w:r>
        <w:rPr>
          <w:color w:val="231F20"/>
          <w:w w:val="105"/>
        </w:rPr>
        <w:t>that</w:t>
      </w:r>
      <w:r>
        <w:rPr>
          <w:color w:val="231F20"/>
          <w:spacing w:val="-13"/>
          <w:w w:val="105"/>
        </w:rPr>
        <w:t> </w:t>
      </w:r>
      <w:r>
        <w:rPr>
          <w:color w:val="231F20"/>
          <w:w w:val="105"/>
        </w:rPr>
        <w:t>is</w:t>
      </w:r>
      <w:r>
        <w:rPr>
          <w:color w:val="231F20"/>
          <w:spacing w:val="-14"/>
          <w:w w:val="105"/>
        </w:rPr>
        <w:t> </w:t>
      </w:r>
      <w:r>
        <w:rPr>
          <w:color w:val="231F20"/>
          <w:w w:val="105"/>
        </w:rPr>
        <w:t>still</w:t>
      </w:r>
      <w:r>
        <w:rPr>
          <w:color w:val="231F20"/>
          <w:spacing w:val="-13"/>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blood when it leaves the kidneys. The percentage of</w:t>
      </w:r>
      <w:r>
        <w:rPr>
          <w:color w:val="231F20"/>
          <w:spacing w:val="16"/>
          <w:w w:val="105"/>
        </w:rPr>
        <w:t> </w:t>
      </w:r>
      <w:r>
        <w:rPr>
          <w:color w:val="231F20"/>
          <w:spacing w:val="-10"/>
          <w:w w:val="105"/>
        </w:rPr>
        <w:t>PAH</w:t>
      </w:r>
    </w:p>
    <w:p>
      <w:pPr>
        <w:pStyle w:val="BodyText"/>
        <w:spacing w:line="249" w:lineRule="auto" w:before="2"/>
        <w:ind w:left="319" w:right="1239" w:firstLine="240"/>
      </w:pPr>
      <w:r>
        <w:rPr/>
        <w:br w:type="column"/>
      </w:r>
      <w:r>
        <w:rPr>
          <w:color w:val="231F20"/>
          <w:w w:val="105"/>
        </w:rPr>
        <w:t>One can calculate the  total  blood  flow  </w:t>
      </w:r>
      <w:r>
        <w:rPr>
          <w:color w:val="231F20"/>
          <w:spacing w:val="-3"/>
          <w:w w:val="105"/>
        </w:rPr>
        <w:t>through  </w:t>
      </w:r>
      <w:r>
        <w:rPr>
          <w:color w:val="231F20"/>
          <w:w w:val="105"/>
        </w:rPr>
        <w:t>the kidneys from the total RPF and hematocrit</w:t>
      </w:r>
      <w:r>
        <w:rPr>
          <w:color w:val="231F20"/>
          <w:spacing w:val="36"/>
          <w:w w:val="105"/>
        </w:rPr>
        <w:t> </w:t>
      </w:r>
      <w:r>
        <w:rPr>
          <w:color w:val="231F20"/>
          <w:w w:val="105"/>
        </w:rPr>
        <w:t>(the</w:t>
      </w:r>
    </w:p>
    <w:p>
      <w:pPr>
        <w:spacing w:after="0" w:line="249" w:lineRule="auto"/>
        <w:sectPr>
          <w:type w:val="continuous"/>
          <w:pgSz w:w="12240" w:h="15660"/>
          <w:pgMar w:top="0" w:bottom="760" w:left="0" w:right="0"/>
          <w:cols w:num="2" w:equalWidth="0">
            <w:col w:w="6121" w:space="40"/>
            <w:col w:w="6079"/>
          </w:cols>
        </w:sectPr>
      </w:pPr>
    </w:p>
    <w:p>
      <w:pPr>
        <w:pStyle w:val="BodyText"/>
        <w:spacing w:before="2"/>
        <w:rPr>
          <w:sz w:val="19"/>
        </w:rPr>
      </w:pPr>
    </w:p>
    <w:p>
      <w:pPr>
        <w:pStyle w:val="BodyText"/>
        <w:spacing w:line="249" w:lineRule="auto" w:before="99"/>
        <w:ind w:left="1080" w:right="6477"/>
        <w:jc w:val="both"/>
      </w:pPr>
      <w:r>
        <w:rPr/>
        <w:pict>
          <v:group style="position:absolute;margin-left:306pt;margin-top:6.935962pt;width:234pt;height:189pt;mso-position-horizontal-relative:page;mso-position-vertical-relative:paragraph;z-index:252318720" coordorigin="6120,139" coordsize="4680,3780">
            <v:rect style="position:absolute;left:6120;top:138;width:4680;height:3780" filled="true" fillcolor="#f0eef6" stroked="false">
              <v:fill type="solid"/>
            </v:rect>
            <v:line style="position:absolute" from="6300,2985" to="8200,2985" stroked="true" strokeweight=".5pt" strokecolor="#ffffff">
              <v:stroke dashstyle="solid"/>
            </v:line>
            <v:line style="position:absolute" from="8200,2985" to="10620,2985" stroked="true" strokeweight=".5pt" strokecolor="#ffffff">
              <v:stroke dashstyle="solid"/>
            </v:line>
            <v:line style="position:absolute" from="6300,3260" to="8200,3260" stroked="true" strokeweight=".5pt" strokecolor="#ffffff">
              <v:stroke dashstyle="solid"/>
            </v:line>
            <v:line style="position:absolute" from="8200,3260" to="10620,3260" stroked="true" strokeweight=".5pt" strokecolor="#ffffff">
              <v:stroke dashstyle="solid"/>
            </v:line>
            <v:line style="position:absolute" from="6300,3534" to="8200,3534" stroked="true" strokeweight=".5pt" strokecolor="#ffffff">
              <v:stroke dashstyle="solid"/>
            </v:line>
            <v:line style="position:absolute" from="8200,3534" to="10620,3534" stroked="true" strokeweight=".5pt" strokecolor="#ffffff">
              <v:stroke dashstyle="solid"/>
            </v:line>
            <v:line style="position:absolute" from="6300,3819" to="8200,3819" stroked="true" strokeweight=".5pt" strokecolor="#ffffff">
              <v:stroke dashstyle="solid"/>
            </v:line>
            <v:line style="position:absolute" from="8200,3819" to="10620,3819" stroked="true" strokeweight=".5pt" strokecolor="#ffffff">
              <v:stroke dashstyle="solid"/>
            </v:line>
            <v:shape style="position:absolute;left:6300;top:270;width:4341;height:1384" type="#_x0000_t202" filled="false" stroked="false">
              <v:textbox inset="0,0,0,0">
                <w:txbxContent>
                  <w:p>
                    <w:pPr>
                      <w:spacing w:line="254" w:lineRule="auto" w:before="0"/>
                      <w:ind w:left="0" w:right="18" w:firstLine="0"/>
                      <w:jc w:val="both"/>
                      <w:rPr>
                        <w:sz w:val="18"/>
                      </w:rPr>
                    </w:pPr>
                    <w:r>
                      <w:rPr>
                        <w:color w:val="231F20"/>
                        <w:w w:val="105"/>
                        <w:sz w:val="18"/>
                      </w:rPr>
                      <w:t>tubules; and (3) if the clearance rate of a substance is greater than that of inulin, the substance must be</w:t>
                    </w:r>
                    <w:r>
                      <w:rPr>
                        <w:color w:val="231F20"/>
                        <w:spacing w:val="-29"/>
                        <w:w w:val="105"/>
                        <w:sz w:val="18"/>
                      </w:rPr>
                      <w:t> </w:t>
                    </w:r>
                    <w:r>
                      <w:rPr>
                        <w:color w:val="231F20"/>
                        <w:w w:val="105"/>
                        <w:sz w:val="18"/>
                      </w:rPr>
                      <w:t>secreted by</w:t>
                    </w:r>
                    <w:r>
                      <w:rPr>
                        <w:color w:val="231F20"/>
                        <w:spacing w:val="-5"/>
                        <w:w w:val="105"/>
                        <w:sz w:val="18"/>
                      </w:rPr>
                      <w:t> </w:t>
                    </w:r>
                    <w:r>
                      <w:rPr>
                        <w:color w:val="231F20"/>
                        <w:w w:val="105"/>
                        <w:sz w:val="18"/>
                      </w:rPr>
                      <w:t>the</w:t>
                    </w:r>
                    <w:r>
                      <w:rPr>
                        <w:color w:val="231F20"/>
                        <w:spacing w:val="-5"/>
                        <w:w w:val="105"/>
                        <w:sz w:val="18"/>
                      </w:rPr>
                      <w:t> </w:t>
                    </w:r>
                    <w:r>
                      <w:rPr>
                        <w:color w:val="231F20"/>
                        <w:w w:val="105"/>
                        <w:sz w:val="18"/>
                      </w:rPr>
                      <w:t>nephron</w:t>
                    </w:r>
                    <w:r>
                      <w:rPr>
                        <w:color w:val="231F20"/>
                        <w:spacing w:val="-5"/>
                        <w:w w:val="105"/>
                        <w:sz w:val="18"/>
                      </w:rPr>
                      <w:t> </w:t>
                    </w:r>
                    <w:r>
                      <w:rPr>
                        <w:color w:val="231F20"/>
                        <w:w w:val="105"/>
                        <w:sz w:val="18"/>
                      </w:rPr>
                      <w:t>tubules.</w:t>
                    </w:r>
                    <w:r>
                      <w:rPr>
                        <w:color w:val="231F20"/>
                        <w:spacing w:val="-5"/>
                        <w:w w:val="105"/>
                        <w:sz w:val="18"/>
                      </w:rPr>
                      <w:t> </w:t>
                    </w:r>
                    <w:r>
                      <w:rPr>
                        <w:color w:val="231F20"/>
                        <w:w w:val="105"/>
                        <w:sz w:val="18"/>
                      </w:rPr>
                      <w:t>Listed</w:t>
                    </w:r>
                    <w:r>
                      <w:rPr>
                        <w:color w:val="231F20"/>
                        <w:spacing w:val="-5"/>
                        <w:w w:val="105"/>
                        <w:sz w:val="18"/>
                      </w:rPr>
                      <w:t> </w:t>
                    </w:r>
                    <w:r>
                      <w:rPr>
                        <w:color w:val="231F20"/>
                        <w:w w:val="105"/>
                        <w:sz w:val="18"/>
                      </w:rPr>
                      <w:t>below</w:t>
                    </w:r>
                    <w:r>
                      <w:rPr>
                        <w:color w:val="231F20"/>
                        <w:spacing w:val="-5"/>
                        <w:w w:val="105"/>
                        <w:sz w:val="18"/>
                      </w:rPr>
                      <w:t> </w:t>
                    </w:r>
                    <w:r>
                      <w:rPr>
                        <w:color w:val="231F20"/>
                        <w:w w:val="105"/>
                        <w:sz w:val="18"/>
                      </w:rPr>
                      <w:t>are</w:t>
                    </w:r>
                    <w:r>
                      <w:rPr>
                        <w:color w:val="231F20"/>
                        <w:spacing w:val="-5"/>
                        <w:w w:val="105"/>
                        <w:sz w:val="18"/>
                      </w:rPr>
                      <w:t> </w:t>
                    </w:r>
                    <w:r>
                      <w:rPr>
                        <w:color w:val="231F20"/>
                        <w:w w:val="105"/>
                        <w:sz w:val="18"/>
                      </w:rPr>
                      <w:t>the</w:t>
                    </w:r>
                    <w:r>
                      <w:rPr>
                        <w:color w:val="231F20"/>
                        <w:spacing w:val="-5"/>
                        <w:w w:val="105"/>
                        <w:sz w:val="18"/>
                      </w:rPr>
                      <w:t> </w:t>
                    </w:r>
                    <w:r>
                      <w:rPr>
                        <w:color w:val="231F20"/>
                        <w:w w:val="105"/>
                        <w:sz w:val="18"/>
                      </w:rPr>
                      <w:t>approximate clearance</w:t>
                    </w:r>
                    <w:r>
                      <w:rPr>
                        <w:color w:val="231F20"/>
                        <w:spacing w:val="-29"/>
                        <w:w w:val="105"/>
                        <w:sz w:val="18"/>
                      </w:rPr>
                      <w:t> </w:t>
                    </w:r>
                    <w:r>
                      <w:rPr>
                        <w:color w:val="231F20"/>
                        <w:w w:val="105"/>
                        <w:sz w:val="18"/>
                      </w:rPr>
                      <w:t>rates</w:t>
                    </w:r>
                    <w:r>
                      <w:rPr>
                        <w:color w:val="231F20"/>
                        <w:spacing w:val="-29"/>
                        <w:w w:val="105"/>
                        <w:sz w:val="18"/>
                      </w:rPr>
                      <w:t> </w:t>
                    </w:r>
                    <w:r>
                      <w:rPr>
                        <w:color w:val="231F20"/>
                        <w:w w:val="105"/>
                        <w:sz w:val="18"/>
                      </w:rPr>
                      <w:t>for</w:t>
                    </w:r>
                    <w:r>
                      <w:rPr>
                        <w:color w:val="231F20"/>
                        <w:spacing w:val="-29"/>
                        <w:w w:val="105"/>
                        <w:sz w:val="18"/>
                      </w:rPr>
                      <w:t> </w:t>
                    </w:r>
                    <w:r>
                      <w:rPr>
                        <w:color w:val="231F20"/>
                        <w:w w:val="105"/>
                        <w:sz w:val="18"/>
                      </w:rPr>
                      <w:t>some</w:t>
                    </w:r>
                    <w:r>
                      <w:rPr>
                        <w:color w:val="231F20"/>
                        <w:spacing w:val="-29"/>
                        <w:w w:val="105"/>
                        <w:sz w:val="18"/>
                      </w:rPr>
                      <w:t> </w:t>
                    </w:r>
                    <w:r>
                      <w:rPr>
                        <w:color w:val="231F20"/>
                        <w:w w:val="105"/>
                        <w:sz w:val="18"/>
                      </w:rPr>
                      <w:t>of</w:t>
                    </w:r>
                    <w:r>
                      <w:rPr>
                        <w:color w:val="231F20"/>
                        <w:spacing w:val="-29"/>
                        <w:w w:val="105"/>
                        <w:sz w:val="18"/>
                      </w:rPr>
                      <w:t> </w:t>
                    </w:r>
                    <w:r>
                      <w:rPr>
                        <w:color w:val="231F20"/>
                        <w:w w:val="105"/>
                        <w:sz w:val="18"/>
                      </w:rPr>
                      <w:t>the</w:t>
                    </w:r>
                    <w:r>
                      <w:rPr>
                        <w:color w:val="231F20"/>
                        <w:spacing w:val="-29"/>
                        <w:w w:val="105"/>
                        <w:sz w:val="18"/>
                      </w:rPr>
                      <w:t> </w:t>
                    </w:r>
                    <w:r>
                      <w:rPr>
                        <w:color w:val="231F20"/>
                        <w:w w:val="105"/>
                        <w:sz w:val="18"/>
                      </w:rPr>
                      <w:t>substances</w:t>
                    </w:r>
                    <w:r>
                      <w:rPr>
                        <w:color w:val="231F20"/>
                        <w:spacing w:val="-29"/>
                        <w:w w:val="105"/>
                        <w:sz w:val="18"/>
                      </w:rPr>
                      <w:t> </w:t>
                    </w:r>
                    <w:r>
                      <w:rPr>
                        <w:color w:val="231F20"/>
                        <w:w w:val="105"/>
                        <w:sz w:val="18"/>
                      </w:rPr>
                      <w:t>normally</w:t>
                    </w:r>
                    <w:r>
                      <w:rPr>
                        <w:color w:val="231F20"/>
                        <w:spacing w:val="-28"/>
                        <w:w w:val="105"/>
                        <w:sz w:val="18"/>
                      </w:rPr>
                      <w:t> </w:t>
                    </w:r>
                    <w:r>
                      <w:rPr>
                        <w:color w:val="231F20"/>
                        <w:w w:val="105"/>
                        <w:sz w:val="18"/>
                      </w:rPr>
                      <w:t>handled by the</w:t>
                    </w:r>
                    <w:r>
                      <w:rPr>
                        <w:color w:val="231F20"/>
                        <w:spacing w:val="6"/>
                        <w:w w:val="105"/>
                        <w:sz w:val="18"/>
                      </w:rPr>
                      <w:t> </w:t>
                    </w:r>
                    <w:r>
                      <w:rPr>
                        <w:color w:val="231F20"/>
                        <w:w w:val="105"/>
                        <w:sz w:val="18"/>
                      </w:rPr>
                      <w:t>kidneys:</w:t>
                    </w:r>
                  </w:p>
                  <w:p>
                    <w:pPr>
                      <w:tabs>
                        <w:tab w:pos="4319" w:val="left" w:leader="none"/>
                      </w:tabs>
                      <w:spacing w:before="31"/>
                      <w:ind w:left="0" w:right="0" w:firstLine="0"/>
                      <w:jc w:val="left"/>
                      <w:rPr>
                        <w:rFonts w:ascii="Trebuchet MS"/>
                        <w:b/>
                        <w:sz w:val="22"/>
                      </w:rPr>
                    </w:pPr>
                    <w:r>
                      <w:rPr>
                        <w:rFonts w:ascii="Trebuchet MS"/>
                        <w:b/>
                        <w:color w:val="231F20"/>
                        <w:w w:val="92"/>
                        <w:sz w:val="22"/>
                        <w:u w:val="single" w:color="FFFFFF"/>
                      </w:rPr>
                      <w:t> </w:t>
                    </w:r>
                    <w:r>
                      <w:rPr>
                        <w:rFonts w:ascii="Trebuchet MS"/>
                        <w:b/>
                        <w:color w:val="231F20"/>
                        <w:sz w:val="22"/>
                        <w:u w:val="single" w:color="FFFFFF"/>
                      </w:rPr>
                      <w:tab/>
                    </w:r>
                  </w:p>
                </w:txbxContent>
              </v:textbox>
              <w10:wrap type="none"/>
            </v:shape>
            <v:shape style="position:absolute;left:6300;top:2746;width:803;height:1009" type="#_x0000_t202" filled="false" stroked="false">
              <v:textbox inset="0,0,0,0">
                <w:txbxContent>
                  <w:p>
                    <w:pPr>
                      <w:spacing w:line="355" w:lineRule="auto" w:before="0"/>
                      <w:ind w:left="0" w:right="18" w:firstLine="0"/>
                      <w:jc w:val="both"/>
                      <w:rPr>
                        <w:rFonts w:ascii="Trebuchet MS"/>
                        <w:sz w:val="16"/>
                      </w:rPr>
                    </w:pPr>
                    <w:r>
                      <w:rPr>
                        <w:rFonts w:ascii="Trebuchet MS"/>
                        <w:color w:val="231F20"/>
                        <w:w w:val="105"/>
                        <w:sz w:val="16"/>
                      </w:rPr>
                      <w:t>Potassium Phosphate Inulin</w:t>
                    </w:r>
                  </w:p>
                  <w:p>
                    <w:pPr>
                      <w:spacing w:line="185" w:lineRule="exact" w:before="0"/>
                      <w:ind w:left="0" w:right="0" w:firstLine="0"/>
                      <w:jc w:val="left"/>
                      <w:rPr>
                        <w:rFonts w:ascii="Trebuchet MS"/>
                        <w:sz w:val="16"/>
                      </w:rPr>
                    </w:pPr>
                    <w:r>
                      <w:rPr>
                        <w:rFonts w:ascii="Trebuchet MS"/>
                        <w:color w:val="231F20"/>
                        <w:w w:val="105"/>
                        <w:sz w:val="16"/>
                      </w:rPr>
                      <w:t>Creatinine</w:t>
                    </w:r>
                  </w:p>
                </w:txbxContent>
              </v:textbox>
              <w10:wrap type="none"/>
            </v:shape>
            <v:shape style="position:absolute;left:9073;top:2746;width:421;height:1009" type="#_x0000_t202" filled="false" stroked="false">
              <v:textbox inset="0,0,0,0">
                <w:txbxContent>
                  <w:p>
                    <w:pPr>
                      <w:spacing w:line="185" w:lineRule="exact" w:before="0"/>
                      <w:ind w:left="88" w:right="0" w:firstLine="0"/>
                      <w:jc w:val="left"/>
                      <w:rPr>
                        <w:rFonts w:ascii="Trebuchet MS"/>
                        <w:sz w:val="16"/>
                      </w:rPr>
                    </w:pPr>
                    <w:r>
                      <w:rPr>
                        <w:rFonts w:ascii="Trebuchet MS"/>
                        <w:color w:val="231F20"/>
                        <w:sz w:val="16"/>
                      </w:rPr>
                      <w:t>12.0</w:t>
                    </w:r>
                  </w:p>
                  <w:p>
                    <w:pPr>
                      <w:spacing w:before="88"/>
                      <w:ind w:left="88" w:right="0" w:firstLine="0"/>
                      <w:jc w:val="left"/>
                      <w:rPr>
                        <w:rFonts w:ascii="Trebuchet MS"/>
                        <w:sz w:val="16"/>
                      </w:rPr>
                    </w:pPr>
                    <w:r>
                      <w:rPr>
                        <w:rFonts w:ascii="Trebuchet MS"/>
                        <w:color w:val="231F20"/>
                        <w:sz w:val="16"/>
                      </w:rPr>
                      <w:t>25.0</w:t>
                    </w:r>
                  </w:p>
                  <w:p>
                    <w:pPr>
                      <w:spacing w:before="89"/>
                      <w:ind w:left="0" w:right="0" w:firstLine="0"/>
                      <w:jc w:val="left"/>
                      <w:rPr>
                        <w:rFonts w:ascii="Trebuchet MS"/>
                        <w:sz w:val="16"/>
                      </w:rPr>
                    </w:pPr>
                    <w:r>
                      <w:rPr>
                        <w:rFonts w:ascii="Trebuchet MS"/>
                        <w:color w:val="231F20"/>
                        <w:sz w:val="16"/>
                      </w:rPr>
                      <w:t>125.0</w:t>
                    </w:r>
                  </w:p>
                  <w:p>
                    <w:pPr>
                      <w:spacing w:before="89"/>
                      <w:ind w:left="0" w:right="0" w:firstLine="0"/>
                      <w:jc w:val="left"/>
                      <w:rPr>
                        <w:rFonts w:ascii="Trebuchet MS"/>
                        <w:sz w:val="16"/>
                      </w:rPr>
                    </w:pPr>
                    <w:r>
                      <w:rPr>
                        <w:rFonts w:ascii="Trebuchet MS"/>
                        <w:color w:val="231F20"/>
                        <w:sz w:val="16"/>
                      </w:rPr>
                      <w:t>140.0</w:t>
                    </w:r>
                  </w:p>
                </w:txbxContent>
              </v:textbox>
              <w10:wrap type="none"/>
            </v:shape>
            <w10:wrap type="none"/>
          </v:group>
        </w:pict>
      </w:r>
      <w:r>
        <w:rPr>
          <w:color w:val="231F20"/>
          <w:w w:val="105"/>
        </w:rPr>
        <w:t>percentage of red blood cells in the blood). If the hema- tocrit is 0.45 and the total RPF is 650 ml/min, the total blood flow through both kidneys is 650/(1 – 0.45), or 1182 ml/min.</w:t>
      </w:r>
    </w:p>
    <w:p>
      <w:pPr>
        <w:pStyle w:val="BodyText"/>
        <w:rPr>
          <w:sz w:val="31"/>
        </w:rPr>
      </w:pPr>
    </w:p>
    <w:p>
      <w:pPr>
        <w:pStyle w:val="Heading2"/>
        <w:spacing w:line="225" w:lineRule="auto"/>
        <w:ind w:left="1080" w:right="7175"/>
      </w:pPr>
      <w:r>
        <w:rPr/>
        <w:pict>
          <v:shape style="position:absolute;margin-left:315pt;margin-top:12.318121pt;width:216pt;height:53.2pt;mso-position-horizontal-relative:page;mso-position-vertical-relative:paragraph;z-index:2523197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2928"/>
                  </w:tblGrid>
                  <w:tr>
                    <w:trPr>
                      <w:trHeight w:val="224" w:hRule="atLeast"/>
                    </w:trPr>
                    <w:tc>
                      <w:tcPr>
                        <w:tcW w:w="1392" w:type="dxa"/>
                        <w:tcBorders>
                          <w:bottom w:val="single" w:sz="4" w:space="0" w:color="FFFFFF"/>
                        </w:tcBorders>
                        <w:shd w:val="clear" w:color="auto" w:fill="F0EEF6"/>
                      </w:tcPr>
                      <w:p>
                        <w:pPr>
                          <w:pStyle w:val="TableParagraph"/>
                          <w:spacing w:line="185" w:lineRule="exact" w:before="0"/>
                          <w:rPr>
                            <w:b/>
                            <w:sz w:val="16"/>
                          </w:rPr>
                        </w:pPr>
                        <w:r>
                          <w:rPr>
                            <w:b/>
                            <w:color w:val="231F20"/>
                            <w:sz w:val="16"/>
                          </w:rPr>
                          <w:t>Substance</w:t>
                        </w:r>
                      </w:p>
                    </w:tc>
                    <w:tc>
                      <w:tcPr>
                        <w:tcW w:w="2928" w:type="dxa"/>
                        <w:tcBorders>
                          <w:bottom w:val="single" w:sz="4" w:space="0" w:color="FFFFFF"/>
                        </w:tcBorders>
                        <w:shd w:val="clear" w:color="auto" w:fill="F0EEF6"/>
                      </w:tcPr>
                      <w:p>
                        <w:pPr>
                          <w:pStyle w:val="TableParagraph"/>
                          <w:spacing w:line="185" w:lineRule="exact" w:before="0"/>
                          <w:ind w:left="627"/>
                          <w:rPr>
                            <w:b/>
                            <w:sz w:val="16"/>
                          </w:rPr>
                        </w:pPr>
                        <w:r>
                          <w:rPr>
                            <w:b/>
                            <w:color w:val="231F20"/>
                            <w:sz w:val="16"/>
                          </w:rPr>
                          <w:t>Clearance Rate (ml/min)</w:t>
                        </w:r>
                      </w:p>
                    </w:tc>
                  </w:tr>
                  <w:tr>
                    <w:trPr>
                      <w:trHeight w:val="264" w:hRule="atLeast"/>
                    </w:trPr>
                    <w:tc>
                      <w:tcPr>
                        <w:tcW w:w="1392" w:type="dxa"/>
                        <w:tcBorders>
                          <w:top w:val="single" w:sz="4" w:space="0" w:color="FFFFFF"/>
                          <w:bottom w:val="single" w:sz="4" w:space="0" w:color="FFFFFF"/>
                        </w:tcBorders>
                        <w:shd w:val="clear" w:color="auto" w:fill="F0EEF6"/>
                      </w:tcPr>
                      <w:p>
                        <w:pPr>
                          <w:pStyle w:val="TableParagraph"/>
                          <w:rPr>
                            <w:sz w:val="16"/>
                          </w:rPr>
                        </w:pPr>
                        <w:r>
                          <w:rPr>
                            <w:color w:val="231F20"/>
                            <w:w w:val="105"/>
                            <w:sz w:val="16"/>
                          </w:rPr>
                          <w:t>Glucose</w:t>
                        </w:r>
                      </w:p>
                    </w:tc>
                    <w:tc>
                      <w:tcPr>
                        <w:tcW w:w="2928" w:type="dxa"/>
                        <w:tcBorders>
                          <w:top w:val="single" w:sz="4" w:space="0" w:color="FFFFFF"/>
                          <w:bottom w:val="single" w:sz="4" w:space="0" w:color="FFFFFF"/>
                        </w:tcBorders>
                        <w:shd w:val="clear" w:color="auto" w:fill="F0EEF6"/>
                      </w:tcPr>
                      <w:p>
                        <w:pPr>
                          <w:pStyle w:val="TableParagraph"/>
                          <w:ind w:left="279"/>
                          <w:jc w:val="center"/>
                          <w:rPr>
                            <w:sz w:val="16"/>
                          </w:rPr>
                        </w:pPr>
                        <w:r>
                          <w:rPr>
                            <w:color w:val="231F20"/>
                            <w:w w:val="106"/>
                            <w:sz w:val="16"/>
                          </w:rPr>
                          <w:t>0</w:t>
                        </w:r>
                      </w:p>
                    </w:tc>
                  </w:tr>
                  <w:tr>
                    <w:trPr>
                      <w:trHeight w:val="259" w:hRule="atLeast"/>
                    </w:trPr>
                    <w:tc>
                      <w:tcPr>
                        <w:tcW w:w="1392" w:type="dxa"/>
                        <w:tcBorders>
                          <w:top w:val="single" w:sz="4" w:space="0" w:color="FFFFFF"/>
                        </w:tcBorders>
                        <w:shd w:val="clear" w:color="auto" w:fill="F0EEF6"/>
                      </w:tcPr>
                      <w:p>
                        <w:pPr>
                          <w:pStyle w:val="TableParagraph"/>
                          <w:rPr>
                            <w:sz w:val="16"/>
                          </w:rPr>
                        </w:pPr>
                        <w:r>
                          <w:rPr>
                            <w:color w:val="231F20"/>
                            <w:spacing w:val="-80"/>
                            <w:w w:val="105"/>
                            <w:sz w:val="16"/>
                          </w:rPr>
                          <w:t>S</w:t>
                        </w:r>
                        <w:r>
                          <w:rPr>
                            <w:color w:val="231F20"/>
                            <w:spacing w:val="30"/>
                            <w:w w:val="105"/>
                            <w:position w:val="-9"/>
                            <w:sz w:val="16"/>
                            <w:u w:val="single" w:color="FFFFFF"/>
                          </w:rPr>
                          <w:t> </w:t>
                        </w:r>
                        <w:r>
                          <w:rPr>
                            <w:color w:val="231F20"/>
                            <w:w w:val="105"/>
                            <w:sz w:val="16"/>
                          </w:rPr>
                          <w:t>odium</w:t>
                        </w:r>
                      </w:p>
                    </w:tc>
                    <w:tc>
                      <w:tcPr>
                        <w:tcW w:w="2928" w:type="dxa"/>
                        <w:tcBorders>
                          <w:top w:val="single" w:sz="4" w:space="0" w:color="FFFFFF"/>
                        </w:tcBorders>
                        <w:shd w:val="clear" w:color="auto" w:fill="F0EEF6"/>
                      </w:tcPr>
                      <w:p>
                        <w:pPr>
                          <w:pStyle w:val="TableParagraph"/>
                          <w:ind w:left="1536" w:right="1124"/>
                          <w:jc w:val="center"/>
                          <w:rPr>
                            <w:sz w:val="16"/>
                          </w:rPr>
                        </w:pPr>
                        <w:r>
                          <w:rPr>
                            <w:color w:val="231F20"/>
                            <w:sz w:val="16"/>
                          </w:rPr>
                          <w:t>0.9</w:t>
                        </w:r>
                      </w:p>
                    </w:tc>
                  </w:tr>
                  <w:tr>
                    <w:trPr>
                      <w:trHeight w:val="279" w:hRule="atLeast"/>
                    </w:trPr>
                    <w:tc>
                      <w:tcPr>
                        <w:tcW w:w="1392" w:type="dxa"/>
                        <w:tcBorders>
                          <w:bottom w:val="single" w:sz="4" w:space="0" w:color="FFFFFF"/>
                        </w:tcBorders>
                        <w:shd w:val="clear" w:color="auto" w:fill="F0EEF6"/>
                      </w:tcPr>
                      <w:p>
                        <w:pPr>
                          <w:pStyle w:val="TableParagraph"/>
                          <w:spacing w:before="44"/>
                          <w:rPr>
                            <w:sz w:val="16"/>
                          </w:rPr>
                        </w:pPr>
                        <w:r>
                          <w:rPr>
                            <w:color w:val="231F20"/>
                            <w:w w:val="105"/>
                            <w:sz w:val="16"/>
                          </w:rPr>
                          <w:t>Chloride</w:t>
                        </w:r>
                      </w:p>
                    </w:tc>
                    <w:tc>
                      <w:tcPr>
                        <w:tcW w:w="2928" w:type="dxa"/>
                        <w:tcBorders>
                          <w:bottom w:val="single" w:sz="4" w:space="0" w:color="FFFFFF"/>
                        </w:tcBorders>
                        <w:shd w:val="clear" w:color="auto" w:fill="F0EEF6"/>
                      </w:tcPr>
                      <w:p>
                        <w:pPr>
                          <w:pStyle w:val="TableParagraph"/>
                          <w:spacing w:before="44"/>
                          <w:ind w:left="1536" w:right="1124"/>
                          <w:jc w:val="center"/>
                          <w:rPr>
                            <w:sz w:val="16"/>
                          </w:rPr>
                        </w:pPr>
                        <w:r>
                          <w:rPr>
                            <w:color w:val="231F20"/>
                            <w:sz w:val="16"/>
                          </w:rPr>
                          <w:t>1.3</w:t>
                        </w:r>
                      </w:p>
                    </w:tc>
                  </w:tr>
                </w:tbl>
                <w:p>
                  <w:pPr>
                    <w:pStyle w:val="BodyText"/>
                  </w:pPr>
                </w:p>
              </w:txbxContent>
            </v:textbox>
            <w10:wrap type="none"/>
          </v:shape>
        </w:pict>
      </w:r>
      <w:r>
        <w:rPr>
          <w:color w:val="231F20"/>
        </w:rPr>
        <w:t>FILTRATION FRACTION IS CALCULATED FROM GFR DIVIDED BY RPF</w:t>
      </w:r>
    </w:p>
    <w:p>
      <w:pPr>
        <w:pStyle w:val="BodyText"/>
        <w:spacing w:line="249" w:lineRule="auto" w:before="127"/>
        <w:ind w:left="1080" w:right="6477"/>
        <w:jc w:val="both"/>
      </w:pPr>
      <w:r>
        <w:rPr/>
        <w:pict>
          <v:rect style="position:absolute;margin-left:0pt;margin-top:50.33596pt;width:36pt;height:24pt;mso-position-horizontal-relative:page;mso-position-vertical-relative:paragraph;z-index:252314624" filled="true" fillcolor="#e8dac8" stroked="false">
            <v:fill type="solid"/>
            <w10:wrap type="none"/>
          </v:rect>
        </w:pict>
      </w:r>
      <w:r>
        <w:rPr>
          <w:color w:val="231F20"/>
          <w:spacing w:val="-11"/>
        </w:rPr>
        <w:t>To  </w:t>
      </w:r>
      <w:r>
        <w:rPr>
          <w:color w:val="231F20"/>
        </w:rPr>
        <w:t>calculate the filtration fraction, which is the fraction  of plasma that filters through the glomerular membrane, one must first know the RPF </w:t>
      </w:r>
      <w:r>
        <w:rPr>
          <w:color w:val="231F20"/>
          <w:spacing w:val="-4"/>
        </w:rPr>
        <w:t>(PAH </w:t>
      </w:r>
      <w:r>
        <w:rPr>
          <w:color w:val="231F20"/>
        </w:rPr>
        <w:t>clearance) and the GFR (inulin clearance). If the RPF  is  650 ml/min  </w:t>
      </w:r>
      <w:r>
        <w:rPr>
          <w:color w:val="231F20"/>
          <w:spacing w:val="-5"/>
        </w:rPr>
        <w:t>and </w:t>
      </w:r>
      <w:r>
        <w:rPr>
          <w:color w:val="231F20"/>
        </w:rPr>
        <w:t>the GFR is 125 ml/min, the filtration fraction (FF) is cal- culated</w:t>
      </w:r>
      <w:r>
        <w:rPr>
          <w:color w:val="231F20"/>
          <w:spacing w:val="6"/>
        </w:rPr>
        <w:t> </w:t>
      </w:r>
      <w:r>
        <w:rPr>
          <w:color w:val="231F20"/>
        </w:rPr>
        <w:t>as</w:t>
      </w:r>
    </w:p>
    <w:p>
      <w:pPr>
        <w:spacing w:before="130"/>
        <w:ind w:left="2173" w:right="0" w:firstLine="0"/>
        <w:jc w:val="left"/>
        <w:rPr>
          <w:rFonts w:ascii="Trebuchet MS" w:hAnsi="Trebuchet MS"/>
          <w:sz w:val="18"/>
        </w:rPr>
      </w:pPr>
      <w:r>
        <w:rPr>
          <w:rFonts w:ascii="Trebuchet MS" w:hAnsi="Trebuchet MS"/>
          <w:w w:val="95"/>
          <w:sz w:val="18"/>
        </w:rPr>
        <w:t>FF</w:t>
      </w:r>
      <w:r>
        <w:rPr>
          <w:rFonts w:ascii="Trebuchet MS" w:hAnsi="Trebuchet MS"/>
          <w:spacing w:val="-10"/>
          <w:sz w:val="18"/>
        </w:rPr>
        <w:t> </w:t>
      </w:r>
      <w:r>
        <w:rPr>
          <w:rFonts w:ascii="Symbol" w:hAnsi="Symbol"/>
          <w:w w:val="100"/>
          <w:sz w:val="18"/>
        </w:rPr>
        <w:t></w:t>
      </w:r>
      <w:r>
        <w:rPr>
          <w:spacing w:val="-1"/>
          <w:sz w:val="18"/>
        </w:rPr>
        <w:t> </w:t>
      </w:r>
      <w:r>
        <w:rPr>
          <w:rFonts w:ascii="Trebuchet MS" w:hAnsi="Trebuchet MS"/>
          <w:spacing w:val="-1"/>
          <w:w w:val="106"/>
          <w:sz w:val="18"/>
        </w:rPr>
        <w:t>G</w:t>
      </w:r>
      <w:r>
        <w:rPr>
          <w:rFonts w:ascii="Trebuchet MS" w:hAnsi="Trebuchet MS"/>
          <w:w w:val="100"/>
          <w:sz w:val="18"/>
        </w:rPr>
        <w:t>F</w:t>
      </w:r>
      <w:r>
        <w:rPr>
          <w:rFonts w:ascii="Trebuchet MS" w:hAnsi="Trebuchet MS"/>
          <w:spacing w:val="19"/>
          <w:w w:val="100"/>
          <w:sz w:val="18"/>
        </w:rPr>
        <w:t>R</w:t>
      </w:r>
      <w:r>
        <w:rPr>
          <w:rFonts w:ascii="Trebuchet MS" w:hAnsi="Trebuchet MS"/>
          <w:spacing w:val="6"/>
          <w:w w:val="53"/>
          <w:sz w:val="18"/>
        </w:rPr>
        <w:t>/</w:t>
      </w:r>
      <w:r>
        <w:rPr>
          <w:rFonts w:ascii="Trebuchet MS" w:hAnsi="Trebuchet MS"/>
          <w:spacing w:val="-1"/>
          <w:w w:val="104"/>
          <w:sz w:val="18"/>
        </w:rPr>
        <w:t>R</w:t>
      </w:r>
      <w:r>
        <w:rPr>
          <w:rFonts w:ascii="Trebuchet MS" w:hAnsi="Trebuchet MS"/>
          <w:spacing w:val="1"/>
          <w:w w:val="99"/>
          <w:sz w:val="18"/>
        </w:rPr>
        <w:t>P</w:t>
      </w:r>
      <w:r>
        <w:rPr>
          <w:rFonts w:ascii="Trebuchet MS" w:hAnsi="Trebuchet MS"/>
          <w:w w:val="95"/>
          <w:sz w:val="18"/>
        </w:rPr>
        <w:t>F</w:t>
      </w:r>
      <w:r>
        <w:rPr>
          <w:rFonts w:ascii="Trebuchet MS" w:hAnsi="Trebuchet MS"/>
          <w:spacing w:val="-10"/>
          <w:sz w:val="18"/>
        </w:rPr>
        <w:t> </w:t>
      </w:r>
      <w:r>
        <w:rPr>
          <w:rFonts w:ascii="Symbol" w:hAnsi="Symbol"/>
          <w:w w:val="100"/>
          <w:sz w:val="18"/>
        </w:rPr>
        <w:t></w:t>
      </w:r>
      <w:r>
        <w:rPr>
          <w:spacing w:val="-12"/>
          <w:sz w:val="18"/>
        </w:rPr>
        <w:t> </w:t>
      </w:r>
      <w:r>
        <w:rPr>
          <w:rFonts w:ascii="Trebuchet MS" w:hAnsi="Trebuchet MS"/>
          <w:spacing w:val="1"/>
          <w:w w:val="106"/>
          <w:sz w:val="18"/>
        </w:rPr>
        <w:t>12</w:t>
      </w:r>
      <w:r>
        <w:rPr>
          <w:rFonts w:ascii="Trebuchet MS" w:hAnsi="Trebuchet MS"/>
          <w:spacing w:val="15"/>
          <w:w w:val="106"/>
          <w:sz w:val="18"/>
        </w:rPr>
        <w:t>5</w:t>
      </w:r>
      <w:r>
        <w:rPr>
          <w:rFonts w:ascii="Trebuchet MS" w:hAnsi="Trebuchet MS"/>
          <w:spacing w:val="14"/>
          <w:w w:val="53"/>
          <w:sz w:val="18"/>
        </w:rPr>
        <w:t>/</w:t>
      </w:r>
      <w:r>
        <w:rPr>
          <w:rFonts w:ascii="Trebuchet MS" w:hAnsi="Trebuchet MS"/>
          <w:spacing w:val="1"/>
          <w:w w:val="106"/>
          <w:sz w:val="18"/>
        </w:rPr>
        <w:t>65</w:t>
      </w:r>
      <w:r>
        <w:rPr>
          <w:rFonts w:ascii="Trebuchet MS" w:hAnsi="Trebuchet MS"/>
          <w:w w:val="106"/>
          <w:sz w:val="18"/>
        </w:rPr>
        <w:t>0</w:t>
      </w:r>
      <w:r>
        <w:rPr>
          <w:rFonts w:ascii="Trebuchet MS" w:hAnsi="Trebuchet MS"/>
          <w:spacing w:val="-9"/>
          <w:sz w:val="18"/>
        </w:rPr>
        <w:t> </w:t>
      </w:r>
      <w:r>
        <w:rPr>
          <w:rFonts w:ascii="Symbol" w:hAnsi="Symbol"/>
          <w:w w:val="100"/>
          <w:sz w:val="18"/>
        </w:rPr>
        <w:t></w:t>
      </w:r>
      <w:r>
        <w:rPr>
          <w:spacing w:val="-1"/>
          <w:sz w:val="18"/>
        </w:rPr>
        <w:t> </w:t>
      </w:r>
      <w:r>
        <w:rPr>
          <w:rFonts w:ascii="Trebuchet MS" w:hAnsi="Trebuchet MS"/>
          <w:spacing w:val="1"/>
          <w:w w:val="106"/>
          <w:sz w:val="18"/>
        </w:rPr>
        <w:t>0</w:t>
      </w:r>
      <w:r>
        <w:rPr>
          <w:rFonts w:ascii="Trebuchet MS" w:hAnsi="Trebuchet MS"/>
          <w:w w:val="75"/>
          <w:sz w:val="18"/>
        </w:rPr>
        <w:t>.</w:t>
      </w:r>
      <w:r>
        <w:rPr>
          <w:rFonts w:ascii="Trebuchet MS" w:hAnsi="Trebuchet MS"/>
          <w:spacing w:val="1"/>
          <w:w w:val="106"/>
          <w:sz w:val="18"/>
        </w:rPr>
        <w:t>1</w:t>
      </w:r>
      <w:r>
        <w:rPr>
          <w:rFonts w:ascii="Trebuchet MS" w:hAnsi="Trebuchet MS"/>
          <w:w w:val="106"/>
          <w:sz w:val="18"/>
        </w:rPr>
        <w:t>9</w:t>
      </w:r>
    </w:p>
    <w:p>
      <w:pPr>
        <w:pStyle w:val="BodyText"/>
        <w:spacing w:before="10"/>
        <w:rPr>
          <w:rFonts w:ascii="Trebuchet MS"/>
          <w:sz w:val="25"/>
        </w:rPr>
      </w:pPr>
    </w:p>
    <w:p>
      <w:pPr>
        <w:spacing w:after="0"/>
        <w:rPr>
          <w:rFonts w:ascii="Trebuchet MS"/>
          <w:sz w:val="25"/>
        </w:rPr>
        <w:sectPr>
          <w:headerReference w:type="even" r:id="rId736"/>
          <w:footerReference w:type="even" r:id="rId737"/>
          <w:footerReference w:type="default" r:id="rId738"/>
          <w:pgSz w:w="12240" w:h="15660"/>
          <w:pgMar w:header="0" w:footer="567" w:top="720" w:bottom="760" w:left="0" w:right="0"/>
          <w:pgNumType w:start="368"/>
        </w:sectPr>
      </w:pPr>
    </w:p>
    <w:p>
      <w:pPr>
        <w:pStyle w:val="Heading2"/>
        <w:spacing w:line="225" w:lineRule="auto" w:before="186"/>
        <w:ind w:left="1080" w:right="1455"/>
      </w:pPr>
      <w:r>
        <w:rPr>
          <w:color w:val="231F20"/>
          <w:w w:val="105"/>
        </w:rPr>
        <w:t>CALCULATION OF TUBULAR REABSORPTION</w:t>
      </w:r>
      <w:r>
        <w:rPr>
          <w:color w:val="231F20"/>
          <w:spacing w:val="-58"/>
          <w:w w:val="105"/>
        </w:rPr>
        <w:t> </w:t>
      </w:r>
      <w:r>
        <w:rPr>
          <w:color w:val="231F20"/>
          <w:w w:val="105"/>
        </w:rPr>
        <w:t>OR SECRETION FROM RENAL CLEARANCES</w:t>
      </w:r>
    </w:p>
    <w:p>
      <w:pPr>
        <w:pStyle w:val="BodyText"/>
        <w:spacing w:line="249" w:lineRule="auto" w:before="127"/>
        <w:ind w:left="1080"/>
        <w:jc w:val="both"/>
      </w:pPr>
      <w:r>
        <w:rPr>
          <w:color w:val="231F20"/>
          <w:w w:val="105"/>
        </w:rPr>
        <w:t>If</w:t>
      </w:r>
      <w:r>
        <w:rPr>
          <w:color w:val="231F20"/>
          <w:spacing w:val="-11"/>
          <w:w w:val="105"/>
        </w:rPr>
        <w:t> </w:t>
      </w:r>
      <w:r>
        <w:rPr>
          <w:color w:val="231F20"/>
          <w:w w:val="105"/>
        </w:rPr>
        <w:t>the</w:t>
      </w:r>
      <w:r>
        <w:rPr>
          <w:color w:val="231F20"/>
          <w:spacing w:val="-11"/>
          <w:w w:val="105"/>
        </w:rPr>
        <w:t> </w:t>
      </w:r>
      <w:r>
        <w:rPr>
          <w:color w:val="231F20"/>
          <w:w w:val="105"/>
        </w:rPr>
        <w:t>rates</w:t>
      </w:r>
      <w:r>
        <w:rPr>
          <w:color w:val="231F20"/>
          <w:spacing w:val="-11"/>
          <w:w w:val="105"/>
        </w:rPr>
        <w:t> </w:t>
      </w:r>
      <w:r>
        <w:rPr>
          <w:color w:val="231F20"/>
          <w:w w:val="105"/>
        </w:rPr>
        <w:t>of</w:t>
      </w:r>
      <w:r>
        <w:rPr>
          <w:color w:val="231F20"/>
          <w:spacing w:val="-10"/>
          <w:w w:val="105"/>
        </w:rPr>
        <w:t> </w:t>
      </w:r>
      <w:r>
        <w:rPr>
          <w:color w:val="231F20"/>
          <w:w w:val="105"/>
        </w:rPr>
        <w:t>glomerular</w:t>
      </w:r>
      <w:r>
        <w:rPr>
          <w:color w:val="231F20"/>
          <w:spacing w:val="-11"/>
          <w:w w:val="105"/>
        </w:rPr>
        <w:t> </w:t>
      </w:r>
      <w:r>
        <w:rPr>
          <w:color w:val="231F20"/>
          <w:w w:val="105"/>
        </w:rPr>
        <w:t>filtration</w:t>
      </w:r>
      <w:r>
        <w:rPr>
          <w:color w:val="231F20"/>
          <w:spacing w:val="-11"/>
          <w:w w:val="105"/>
        </w:rPr>
        <w:t> </w:t>
      </w:r>
      <w:r>
        <w:rPr>
          <w:color w:val="231F20"/>
          <w:w w:val="105"/>
        </w:rPr>
        <w:t>and</w:t>
      </w:r>
      <w:r>
        <w:rPr>
          <w:color w:val="231F20"/>
          <w:spacing w:val="-10"/>
          <w:w w:val="105"/>
        </w:rPr>
        <w:t> </w:t>
      </w:r>
      <w:r>
        <w:rPr>
          <w:color w:val="231F20"/>
          <w:w w:val="105"/>
        </w:rPr>
        <w:t>renal</w:t>
      </w:r>
      <w:r>
        <w:rPr>
          <w:color w:val="231F20"/>
          <w:spacing w:val="-11"/>
          <w:w w:val="105"/>
        </w:rPr>
        <w:t> </w:t>
      </w:r>
      <w:r>
        <w:rPr>
          <w:color w:val="231F20"/>
          <w:w w:val="105"/>
        </w:rPr>
        <w:t>excretion</w:t>
      </w:r>
      <w:r>
        <w:rPr>
          <w:color w:val="231F20"/>
          <w:spacing w:val="-11"/>
          <w:w w:val="105"/>
        </w:rPr>
        <w:t> </w:t>
      </w:r>
      <w:r>
        <w:rPr>
          <w:color w:val="231F20"/>
          <w:spacing w:val="-7"/>
          <w:w w:val="105"/>
        </w:rPr>
        <w:t>of </w:t>
      </w:r>
      <w:r>
        <w:rPr>
          <w:color w:val="231F20"/>
          <w:w w:val="105"/>
        </w:rPr>
        <w:t>a substance are known, one can calculate whether </w:t>
      </w:r>
      <w:r>
        <w:rPr>
          <w:color w:val="231F20"/>
          <w:spacing w:val="-4"/>
          <w:w w:val="105"/>
        </w:rPr>
        <w:t>there </w:t>
      </w:r>
      <w:r>
        <w:rPr>
          <w:color w:val="231F20"/>
          <w:w w:val="105"/>
        </w:rPr>
        <w:t>is a net reabsorption or a net secretion of that substance by</w:t>
      </w:r>
      <w:r>
        <w:rPr>
          <w:color w:val="231F20"/>
          <w:spacing w:val="-9"/>
          <w:w w:val="105"/>
        </w:rPr>
        <w:t> </w:t>
      </w:r>
      <w:r>
        <w:rPr>
          <w:color w:val="231F20"/>
          <w:w w:val="105"/>
        </w:rPr>
        <w:t>the</w:t>
      </w:r>
      <w:r>
        <w:rPr>
          <w:color w:val="231F20"/>
          <w:spacing w:val="-8"/>
          <w:w w:val="105"/>
        </w:rPr>
        <w:t> </w:t>
      </w:r>
      <w:r>
        <w:rPr>
          <w:color w:val="231F20"/>
          <w:w w:val="105"/>
        </w:rPr>
        <w:t>renal</w:t>
      </w:r>
      <w:r>
        <w:rPr>
          <w:color w:val="231F20"/>
          <w:spacing w:val="-8"/>
          <w:w w:val="105"/>
        </w:rPr>
        <w:t> </w:t>
      </w:r>
      <w:r>
        <w:rPr>
          <w:color w:val="231F20"/>
          <w:w w:val="105"/>
        </w:rPr>
        <w:t>tubules.</w:t>
      </w:r>
      <w:r>
        <w:rPr>
          <w:color w:val="231F20"/>
          <w:spacing w:val="-8"/>
          <w:w w:val="105"/>
        </w:rPr>
        <w:t> </w:t>
      </w:r>
      <w:r>
        <w:rPr>
          <w:color w:val="231F20"/>
          <w:spacing w:val="-3"/>
          <w:w w:val="105"/>
        </w:rPr>
        <w:t>For</w:t>
      </w:r>
      <w:r>
        <w:rPr>
          <w:color w:val="231F20"/>
          <w:spacing w:val="-8"/>
          <w:w w:val="105"/>
        </w:rPr>
        <w:t> </w:t>
      </w:r>
      <w:r>
        <w:rPr>
          <w:color w:val="231F20"/>
          <w:w w:val="105"/>
        </w:rPr>
        <w:t>example,</w:t>
      </w:r>
      <w:r>
        <w:rPr>
          <w:color w:val="231F20"/>
          <w:spacing w:val="-8"/>
          <w:w w:val="105"/>
        </w:rPr>
        <w:t> </w:t>
      </w:r>
      <w:r>
        <w:rPr>
          <w:color w:val="231F20"/>
          <w:w w:val="105"/>
        </w:rPr>
        <w:t>if</w:t>
      </w:r>
      <w:r>
        <w:rPr>
          <w:color w:val="231F20"/>
          <w:spacing w:val="-8"/>
          <w:w w:val="105"/>
        </w:rPr>
        <w:t> </w:t>
      </w:r>
      <w:r>
        <w:rPr>
          <w:color w:val="231F20"/>
          <w:w w:val="105"/>
        </w:rPr>
        <w:t>the</w:t>
      </w:r>
      <w:r>
        <w:rPr>
          <w:color w:val="231F20"/>
          <w:spacing w:val="-8"/>
          <w:w w:val="105"/>
        </w:rPr>
        <w:t> </w:t>
      </w:r>
      <w:r>
        <w:rPr>
          <w:color w:val="231F20"/>
          <w:w w:val="105"/>
        </w:rPr>
        <w:t>rate</w:t>
      </w:r>
      <w:r>
        <w:rPr>
          <w:color w:val="231F20"/>
          <w:spacing w:val="-8"/>
          <w:w w:val="105"/>
        </w:rPr>
        <w:t> </w:t>
      </w:r>
      <w:r>
        <w:rPr>
          <w:color w:val="231F20"/>
          <w:w w:val="105"/>
        </w:rPr>
        <w:t>of</w:t>
      </w:r>
      <w:r>
        <w:rPr>
          <w:color w:val="231F20"/>
          <w:spacing w:val="-8"/>
          <w:w w:val="105"/>
        </w:rPr>
        <w:t> </w:t>
      </w:r>
      <w:r>
        <w:rPr>
          <w:color w:val="231F20"/>
          <w:spacing w:val="-3"/>
          <w:w w:val="105"/>
        </w:rPr>
        <w:t>excretion</w:t>
      </w:r>
    </w:p>
    <w:p>
      <w:pPr>
        <w:pStyle w:val="BodyText"/>
        <w:spacing w:line="180" w:lineRule="auto" w:before="11"/>
        <w:ind w:left="1080"/>
        <w:jc w:val="both"/>
      </w:pPr>
      <w:r>
        <w:rPr>
          <w:color w:val="231F20"/>
          <w:w w:val="105"/>
        </w:rPr>
        <w:t>of the substance (U</w:t>
      </w:r>
      <w:r>
        <w:rPr>
          <w:color w:val="231F20"/>
          <w:w w:val="105"/>
          <w:vertAlign w:val="subscript"/>
        </w:rPr>
        <w:t>s</w:t>
      </w:r>
      <w:r>
        <w:rPr>
          <w:color w:val="231F20"/>
          <w:w w:val="105"/>
          <w:vertAlign w:val="baseline"/>
        </w:rPr>
        <w:t> </w:t>
      </w:r>
      <w:r>
        <w:rPr>
          <w:rFonts w:ascii="Arial Unicode MS" w:hAnsi="Arial Unicode MS"/>
          <w:color w:val="231F20"/>
          <w:w w:val="105"/>
          <w:vertAlign w:val="baseline"/>
        </w:rPr>
        <w:t>× </w:t>
      </w:r>
      <w:r>
        <w:rPr>
          <w:spacing w:val="-100"/>
          <w:w w:val="105"/>
          <w:vertAlign w:val="baseline"/>
        </w:rPr>
        <w:t>V</w:t>
      </w:r>
      <w:r>
        <w:rPr>
          <w:spacing w:val="32"/>
          <w:w w:val="105"/>
          <w:position w:val="5"/>
          <w:vertAlign w:val="baseline"/>
        </w:rPr>
        <w:t> </w:t>
      </w:r>
      <w:r>
        <w:rPr>
          <w:color w:val="231F20"/>
          <w:w w:val="105"/>
          <w:vertAlign w:val="baseline"/>
        </w:rPr>
        <w:t>) is less than the filtered load</w:t>
      </w:r>
      <w:r>
        <w:rPr>
          <w:color w:val="231F20"/>
          <w:spacing w:val="-26"/>
          <w:w w:val="105"/>
          <w:vertAlign w:val="baseline"/>
        </w:rPr>
        <w:t> </w:t>
      </w:r>
      <w:r>
        <w:rPr>
          <w:color w:val="231F20"/>
          <w:spacing w:val="-7"/>
          <w:w w:val="105"/>
          <w:vertAlign w:val="baseline"/>
        </w:rPr>
        <w:t>of </w:t>
      </w:r>
      <w:r>
        <w:rPr>
          <w:color w:val="231F20"/>
          <w:w w:val="105"/>
          <w:vertAlign w:val="baseline"/>
        </w:rPr>
        <w:t>the substance (GFR </w:t>
      </w:r>
      <w:r>
        <w:rPr>
          <w:rFonts w:ascii="Arial Unicode MS" w:hAnsi="Arial Unicode MS"/>
          <w:color w:val="231F20"/>
          <w:w w:val="105"/>
          <w:vertAlign w:val="baseline"/>
        </w:rPr>
        <w:t>× </w:t>
      </w:r>
      <w:r>
        <w:rPr>
          <w:color w:val="231F20"/>
          <w:w w:val="105"/>
          <w:vertAlign w:val="baseline"/>
        </w:rPr>
        <w:t>P</w:t>
      </w:r>
      <w:r>
        <w:rPr>
          <w:color w:val="231F20"/>
          <w:w w:val="105"/>
          <w:vertAlign w:val="subscript"/>
        </w:rPr>
        <w:t>s</w:t>
      </w:r>
      <w:r>
        <w:rPr>
          <w:color w:val="231F20"/>
          <w:w w:val="105"/>
          <w:vertAlign w:val="baseline"/>
        </w:rPr>
        <w:t>), then some of the </w:t>
      </w:r>
      <w:r>
        <w:rPr>
          <w:color w:val="231F20"/>
          <w:spacing w:val="-4"/>
          <w:w w:val="105"/>
          <w:vertAlign w:val="baseline"/>
        </w:rPr>
        <w:t>substance </w:t>
      </w:r>
      <w:r>
        <w:rPr>
          <w:color w:val="231F20"/>
          <w:w w:val="105"/>
          <w:vertAlign w:val="baseline"/>
        </w:rPr>
        <w:t>must have been reabsorbed from the renal</w:t>
      </w:r>
      <w:r>
        <w:rPr>
          <w:color w:val="231F20"/>
          <w:spacing w:val="2"/>
          <w:w w:val="105"/>
          <w:vertAlign w:val="baseline"/>
        </w:rPr>
        <w:t> </w:t>
      </w:r>
      <w:r>
        <w:rPr>
          <w:color w:val="231F20"/>
          <w:w w:val="105"/>
          <w:vertAlign w:val="baseline"/>
        </w:rPr>
        <w:t>tubules.</w:t>
      </w:r>
    </w:p>
    <w:p>
      <w:pPr>
        <w:pStyle w:val="BodyText"/>
        <w:spacing w:line="249" w:lineRule="auto" w:before="18"/>
        <w:ind w:left="1080" w:firstLine="240"/>
        <w:jc w:val="both"/>
      </w:pPr>
      <w:r>
        <w:rPr>
          <w:color w:val="231F20"/>
          <w:w w:val="105"/>
        </w:rPr>
        <w:t>Conversely, if the excretion rate of the substance is greater than its filtered load, then the rate at which it appears in the urine represents the sum of the rate of glomerular filtration plus tubular secretion.</w:t>
      </w:r>
    </w:p>
    <w:p>
      <w:pPr>
        <w:pStyle w:val="BodyText"/>
        <w:spacing w:line="249" w:lineRule="auto" w:before="3"/>
        <w:ind w:left="1080" w:firstLine="240"/>
        <w:jc w:val="both"/>
      </w:pPr>
      <w:r>
        <w:rPr>
          <w:color w:val="231F20"/>
          <w:w w:val="105"/>
        </w:rPr>
        <w:t>The</w:t>
      </w:r>
      <w:r>
        <w:rPr>
          <w:color w:val="231F20"/>
          <w:spacing w:val="-32"/>
          <w:w w:val="105"/>
        </w:rPr>
        <w:t> </w:t>
      </w:r>
      <w:r>
        <w:rPr>
          <w:color w:val="231F20"/>
          <w:w w:val="105"/>
        </w:rPr>
        <w:t>following</w:t>
      </w:r>
      <w:r>
        <w:rPr>
          <w:color w:val="231F20"/>
          <w:spacing w:val="-31"/>
          <w:w w:val="105"/>
        </w:rPr>
        <w:t> </w:t>
      </w:r>
      <w:r>
        <w:rPr>
          <w:color w:val="231F20"/>
          <w:w w:val="105"/>
        </w:rPr>
        <w:t>example</w:t>
      </w:r>
      <w:r>
        <w:rPr>
          <w:color w:val="231F20"/>
          <w:spacing w:val="-31"/>
          <w:w w:val="105"/>
        </w:rPr>
        <w:t> </w:t>
      </w:r>
      <w:r>
        <w:rPr>
          <w:color w:val="231F20"/>
          <w:w w:val="105"/>
        </w:rPr>
        <w:t>demonstrates</w:t>
      </w:r>
      <w:r>
        <w:rPr>
          <w:color w:val="231F20"/>
          <w:spacing w:val="-31"/>
          <w:w w:val="105"/>
        </w:rPr>
        <w:t> </w:t>
      </w:r>
      <w:r>
        <w:rPr>
          <w:color w:val="231F20"/>
          <w:w w:val="105"/>
        </w:rPr>
        <w:t>the</w:t>
      </w:r>
      <w:r>
        <w:rPr>
          <w:color w:val="231F20"/>
          <w:spacing w:val="-32"/>
          <w:w w:val="105"/>
        </w:rPr>
        <w:t> </w:t>
      </w:r>
      <w:r>
        <w:rPr>
          <w:color w:val="231F20"/>
          <w:w w:val="105"/>
        </w:rPr>
        <w:t>calculation</w:t>
      </w:r>
      <w:r>
        <w:rPr>
          <w:color w:val="231F20"/>
          <w:spacing w:val="-31"/>
          <w:w w:val="105"/>
        </w:rPr>
        <w:t> </w:t>
      </w:r>
      <w:r>
        <w:rPr>
          <w:color w:val="231F20"/>
          <w:spacing w:val="-6"/>
          <w:w w:val="105"/>
        </w:rPr>
        <w:t>of </w:t>
      </w:r>
      <w:r>
        <w:rPr>
          <w:color w:val="231F20"/>
          <w:w w:val="105"/>
        </w:rPr>
        <w:t>tubular reabsorption. Assume the following laboratory values for a patient were</w:t>
      </w:r>
      <w:r>
        <w:rPr>
          <w:color w:val="231F20"/>
          <w:spacing w:val="7"/>
          <w:w w:val="105"/>
        </w:rPr>
        <w:t> </w:t>
      </w:r>
      <w:r>
        <w:rPr>
          <w:color w:val="231F20"/>
          <w:w w:val="105"/>
        </w:rPr>
        <w:t>obtained:</w:t>
      </w:r>
    </w:p>
    <w:p>
      <w:pPr>
        <w:pStyle w:val="BodyText"/>
        <w:spacing w:line="244" w:lineRule="exact"/>
        <w:ind w:left="1320"/>
        <w:jc w:val="both"/>
      </w:pPr>
      <w:r>
        <w:rPr>
          <w:color w:val="231F20"/>
          <w:w w:val="105"/>
        </w:rPr>
        <w:t>Urine flow rate </w:t>
      </w:r>
      <w:r>
        <w:rPr>
          <w:rFonts w:ascii="Arial Unicode MS"/>
          <w:color w:val="231F20"/>
          <w:w w:val="105"/>
        </w:rPr>
        <w:t>= </w:t>
      </w:r>
      <w:r>
        <w:rPr>
          <w:color w:val="231F20"/>
          <w:w w:val="105"/>
        </w:rPr>
        <w:t>1 ml/min</w:t>
      </w:r>
    </w:p>
    <w:p>
      <w:pPr>
        <w:pStyle w:val="BodyText"/>
        <w:spacing w:line="240" w:lineRule="exact"/>
        <w:ind w:left="1320"/>
        <w:jc w:val="both"/>
      </w:pPr>
      <w:r>
        <w:rPr>
          <w:color w:val="231F20"/>
          <w:w w:val="105"/>
        </w:rPr>
        <w:t>Urine concentration of sodium (U</w:t>
      </w:r>
      <w:r>
        <w:rPr>
          <w:color w:val="231F20"/>
          <w:w w:val="105"/>
          <w:vertAlign w:val="subscript"/>
        </w:rPr>
        <w:t>Na</w:t>
      </w:r>
      <w:r>
        <w:rPr>
          <w:color w:val="231F20"/>
          <w:w w:val="105"/>
          <w:vertAlign w:val="baseline"/>
        </w:rPr>
        <w:t>) </w:t>
      </w:r>
      <w:r>
        <w:rPr>
          <w:rFonts w:ascii="Arial Unicode MS"/>
          <w:color w:val="231F20"/>
          <w:w w:val="105"/>
          <w:vertAlign w:val="baseline"/>
        </w:rPr>
        <w:t>= </w:t>
      </w:r>
      <w:r>
        <w:rPr>
          <w:color w:val="231F20"/>
          <w:w w:val="105"/>
          <w:vertAlign w:val="baseline"/>
        </w:rPr>
        <w:t>70 mEq/L</w:t>
      </w:r>
    </w:p>
    <w:p>
      <w:pPr>
        <w:pStyle w:val="BodyText"/>
        <w:spacing w:line="240" w:lineRule="exact"/>
        <w:ind w:left="1520"/>
        <w:jc w:val="both"/>
      </w:pPr>
      <w:r>
        <w:rPr>
          <w:rFonts w:ascii="Arial Unicode MS" w:hAnsi="Arial Unicode MS"/>
          <w:color w:val="231F20"/>
        </w:rPr>
        <w:t>= </w:t>
      </w:r>
      <w:r>
        <w:rPr>
          <w:color w:val="231F20"/>
        </w:rPr>
        <w:t>70 </w:t>
      </w:r>
      <w:r>
        <w:rPr>
          <w:rFonts w:ascii="Arial Unicode MS" w:hAnsi="Arial Unicode MS"/>
          <w:color w:val="231F20"/>
        </w:rPr>
        <w:t>µ</w:t>
      </w:r>
      <w:r>
        <w:rPr>
          <w:color w:val="231F20"/>
        </w:rPr>
        <w:t>Eq/ml</w:t>
      </w:r>
    </w:p>
    <w:p>
      <w:pPr>
        <w:pStyle w:val="BodyText"/>
        <w:spacing w:line="240" w:lineRule="exact"/>
        <w:ind w:left="1319"/>
        <w:jc w:val="both"/>
      </w:pPr>
      <w:r>
        <w:rPr>
          <w:color w:val="231F20"/>
          <w:w w:val="105"/>
        </w:rPr>
        <w:t>Plasma sodium concentration </w:t>
      </w:r>
      <w:r>
        <w:rPr>
          <w:rFonts w:ascii="Arial Unicode MS"/>
          <w:color w:val="231F20"/>
          <w:w w:val="105"/>
        </w:rPr>
        <w:t>= </w:t>
      </w:r>
      <w:r>
        <w:rPr>
          <w:color w:val="231F20"/>
          <w:w w:val="105"/>
        </w:rPr>
        <w:t>140 mEq/L</w:t>
      </w:r>
    </w:p>
    <w:p>
      <w:pPr>
        <w:pStyle w:val="BodyText"/>
        <w:spacing w:line="240" w:lineRule="exact"/>
        <w:ind w:left="1520"/>
        <w:jc w:val="both"/>
      </w:pPr>
      <w:r>
        <w:rPr>
          <w:rFonts w:ascii="Arial Unicode MS" w:hAnsi="Arial Unicode MS"/>
          <w:color w:val="231F20"/>
        </w:rPr>
        <w:t>= </w:t>
      </w:r>
      <w:r>
        <w:rPr>
          <w:color w:val="231F20"/>
        </w:rPr>
        <w:t>140 </w:t>
      </w:r>
      <w:r>
        <w:rPr>
          <w:rFonts w:ascii="Arial Unicode MS" w:hAnsi="Arial Unicode MS"/>
          <w:color w:val="231F20"/>
        </w:rPr>
        <w:t>µ</w:t>
      </w:r>
      <w:r>
        <w:rPr>
          <w:color w:val="231F20"/>
        </w:rPr>
        <w:t>Eq/ml</w:t>
      </w:r>
    </w:p>
    <w:p>
      <w:pPr>
        <w:pStyle w:val="BodyText"/>
        <w:spacing w:line="240" w:lineRule="exact"/>
        <w:ind w:left="1319"/>
        <w:jc w:val="both"/>
      </w:pPr>
      <w:r>
        <w:rPr>
          <w:color w:val="231F20"/>
        </w:rPr>
        <w:t>GFR (inulin clearance) </w:t>
      </w:r>
      <w:r>
        <w:rPr>
          <w:rFonts w:ascii="Arial Unicode MS"/>
          <w:color w:val="231F20"/>
        </w:rPr>
        <w:t>= </w:t>
      </w:r>
      <w:r>
        <w:rPr>
          <w:color w:val="231F20"/>
        </w:rPr>
        <w:t>100 ml/min</w:t>
      </w:r>
    </w:p>
    <w:p>
      <w:pPr>
        <w:pStyle w:val="BodyText"/>
        <w:spacing w:line="175" w:lineRule="auto" w:before="11"/>
        <w:ind w:left="1080" w:firstLine="240"/>
        <w:jc w:val="both"/>
      </w:pPr>
      <w:r>
        <w:rPr>
          <w:color w:val="231F20"/>
        </w:rPr>
        <w:t>In this example, the filtered sodium load is GFR </w:t>
      </w:r>
      <w:r>
        <w:rPr>
          <w:rFonts w:ascii="Arial Unicode MS" w:hAnsi="Arial Unicode MS"/>
          <w:color w:val="231F20"/>
        </w:rPr>
        <w:t>× </w:t>
      </w:r>
      <w:r>
        <w:rPr>
          <w:color w:val="231F20"/>
        </w:rPr>
        <w:t>P</w:t>
      </w:r>
      <w:r>
        <w:rPr>
          <w:color w:val="231F20"/>
          <w:vertAlign w:val="subscript"/>
        </w:rPr>
        <w:t>Na</w:t>
      </w:r>
      <w:r>
        <w:rPr>
          <w:color w:val="231F20"/>
          <w:vertAlign w:val="baseline"/>
        </w:rPr>
        <w:t>, or 100 ml/min </w:t>
      </w:r>
      <w:r>
        <w:rPr>
          <w:rFonts w:ascii="Arial Unicode MS" w:hAnsi="Arial Unicode MS"/>
          <w:color w:val="231F20"/>
          <w:vertAlign w:val="baseline"/>
        </w:rPr>
        <w:t>× </w:t>
      </w:r>
      <w:r>
        <w:rPr>
          <w:color w:val="231F20"/>
          <w:vertAlign w:val="baseline"/>
        </w:rPr>
        <w:t>140 </w:t>
      </w:r>
      <w:r>
        <w:rPr>
          <w:rFonts w:ascii="Arial Unicode MS" w:hAnsi="Arial Unicode MS"/>
          <w:color w:val="231F20"/>
          <w:vertAlign w:val="baseline"/>
        </w:rPr>
        <w:t>µ</w:t>
      </w:r>
      <w:r>
        <w:rPr>
          <w:color w:val="231F20"/>
          <w:vertAlign w:val="baseline"/>
        </w:rPr>
        <w:t>Eq/ml </w:t>
      </w:r>
      <w:r>
        <w:rPr>
          <w:rFonts w:ascii="Arial Unicode MS" w:hAnsi="Arial Unicode MS"/>
          <w:color w:val="231F20"/>
          <w:vertAlign w:val="baseline"/>
        </w:rPr>
        <w:t>= </w:t>
      </w:r>
      <w:r>
        <w:rPr>
          <w:color w:val="231F20"/>
          <w:vertAlign w:val="baseline"/>
        </w:rPr>
        <w:t>14,000 </w:t>
      </w:r>
      <w:r>
        <w:rPr>
          <w:rFonts w:ascii="Arial Unicode MS" w:hAnsi="Arial Unicode MS"/>
          <w:color w:val="231F20"/>
          <w:vertAlign w:val="baseline"/>
        </w:rPr>
        <w:t>µ</w:t>
      </w:r>
      <w:r>
        <w:rPr>
          <w:color w:val="231F20"/>
          <w:vertAlign w:val="baseline"/>
        </w:rPr>
        <w:t>Eq/min. Urinary sodium excretion (U</w:t>
      </w:r>
      <w:r>
        <w:rPr>
          <w:color w:val="231F20"/>
          <w:vertAlign w:val="subscript"/>
        </w:rPr>
        <w:t>Na</w:t>
      </w:r>
      <w:r>
        <w:rPr>
          <w:color w:val="231F20"/>
          <w:vertAlign w:val="baseline"/>
        </w:rPr>
        <w:t> </w:t>
      </w:r>
      <w:r>
        <w:rPr>
          <w:rFonts w:ascii="Arial Unicode MS" w:hAnsi="Arial Unicode MS"/>
          <w:color w:val="231F20"/>
          <w:vertAlign w:val="baseline"/>
        </w:rPr>
        <w:t>× </w:t>
      </w:r>
      <w:r>
        <w:rPr>
          <w:color w:val="231F20"/>
          <w:vertAlign w:val="baseline"/>
        </w:rPr>
        <w:t>urine flow rate) is 70 </w:t>
      </w:r>
      <w:r>
        <w:rPr>
          <w:rFonts w:ascii="Arial Unicode MS" w:hAnsi="Arial Unicode MS"/>
          <w:color w:val="231F20"/>
          <w:vertAlign w:val="baseline"/>
        </w:rPr>
        <w:t>µ</w:t>
      </w:r>
      <w:r>
        <w:rPr>
          <w:color w:val="231F20"/>
          <w:vertAlign w:val="baseline"/>
        </w:rPr>
        <w:t>Eq/min. Therefore, tubular reabsorption of sodium is the differ-</w:t>
      </w:r>
    </w:p>
    <w:p>
      <w:pPr>
        <w:pStyle w:val="BodyText"/>
        <w:spacing w:line="204" w:lineRule="auto" w:before="46"/>
        <w:ind w:left="1080" w:right="1"/>
        <w:jc w:val="both"/>
      </w:pPr>
      <w:r>
        <w:rPr>
          <w:color w:val="231F20"/>
        </w:rPr>
        <w:t>ence between the filtered load and urinary excretion, or 14,000 </w:t>
      </w:r>
      <w:r>
        <w:rPr>
          <w:rFonts w:ascii="Arial Unicode MS" w:hAnsi="Arial Unicode MS"/>
          <w:color w:val="231F20"/>
        </w:rPr>
        <w:t>µ</w:t>
      </w:r>
      <w:r>
        <w:rPr>
          <w:color w:val="231F20"/>
        </w:rPr>
        <w:t>Eq/min </w:t>
      </w:r>
      <w:r>
        <w:rPr>
          <w:rFonts w:ascii="Arial Unicode MS" w:hAnsi="Arial Unicode MS"/>
          <w:color w:val="231F20"/>
        </w:rPr>
        <w:t>− </w:t>
      </w:r>
      <w:r>
        <w:rPr>
          <w:color w:val="231F20"/>
        </w:rPr>
        <w:t>70 </w:t>
      </w:r>
      <w:r>
        <w:rPr>
          <w:rFonts w:ascii="Arial Unicode MS" w:hAnsi="Arial Unicode MS"/>
          <w:color w:val="231F20"/>
        </w:rPr>
        <w:t>µ</w:t>
      </w:r>
      <w:r>
        <w:rPr>
          <w:color w:val="231F20"/>
        </w:rPr>
        <w:t>Eq/min </w:t>
      </w:r>
      <w:r>
        <w:rPr>
          <w:rFonts w:ascii="Arial Unicode MS" w:hAnsi="Arial Unicode MS"/>
          <w:color w:val="231F20"/>
        </w:rPr>
        <w:t>= </w:t>
      </w:r>
      <w:r>
        <w:rPr>
          <w:color w:val="231F20"/>
        </w:rPr>
        <w:t>13,930 </w:t>
      </w:r>
      <w:r>
        <w:rPr>
          <w:rFonts w:ascii="Arial Unicode MS" w:hAnsi="Arial Unicode MS"/>
          <w:color w:val="231F20"/>
        </w:rPr>
        <w:t>µ</w:t>
      </w:r>
      <w:r>
        <w:rPr>
          <w:color w:val="231F20"/>
        </w:rPr>
        <w:t>Eq/min.</w:t>
      </w:r>
    </w:p>
    <w:p>
      <w:pPr>
        <w:pStyle w:val="BodyText"/>
        <w:spacing w:after="25"/>
        <w:rPr>
          <w:sz w:val="23"/>
        </w:rPr>
      </w:pPr>
    </w:p>
    <w:p>
      <w:pPr>
        <w:pStyle w:val="BodyText"/>
        <w:ind w:left="1080" w:right="-58"/>
      </w:pPr>
      <w:r>
        <w:rPr/>
        <w:pict>
          <v:shape style="width:234pt;height:100.95pt;mso-position-horizontal-relative:char;mso-position-vertical-relative:line" type="#_x0000_t202" filled="true" fillcolor="#f0eef6" stroked="false">
            <w10:anchorlock/>
            <v:textbox inset="0,0,0,0">
              <w:txbxContent>
                <w:p>
                  <w:pPr>
                    <w:spacing w:line="256" w:lineRule="auto" w:before="148"/>
                    <w:ind w:left="180" w:right="177" w:firstLine="240"/>
                    <w:jc w:val="both"/>
                    <w:rPr>
                      <w:sz w:val="18"/>
                    </w:rPr>
                  </w:pPr>
                  <w:r>
                    <w:rPr>
                      <w:rFonts w:ascii="Trebuchet MS"/>
                      <w:b/>
                      <w:color w:val="231F20"/>
                      <w:sz w:val="16"/>
                    </w:rPr>
                    <w:t>Comparisons of Inulin Clearance with Clearances </w:t>
                  </w:r>
                  <w:r>
                    <w:rPr>
                      <w:rFonts w:ascii="Trebuchet MS"/>
                      <w:b/>
                      <w:color w:val="231F20"/>
                      <w:spacing w:val="-9"/>
                      <w:sz w:val="16"/>
                    </w:rPr>
                    <w:t>of </w:t>
                  </w:r>
                  <w:r>
                    <w:rPr>
                      <w:rFonts w:ascii="Trebuchet MS"/>
                      <w:b/>
                      <w:color w:val="231F20"/>
                      <w:sz w:val="16"/>
                    </w:rPr>
                    <w:t>Different Solutes. </w:t>
                  </w:r>
                  <w:r>
                    <w:rPr>
                      <w:color w:val="231F20"/>
                      <w:sz w:val="18"/>
                    </w:rPr>
                    <w:t>The following generalizations can be made by comparing the clearance of a substance with the clearance of inulin, a measure of GFR: (1) If the clearance rate of the substance equals that of inulin, the substance     is only filtered and not reabsorbed or secreted; (2) if the clearance rate of a substance is less than inulin clearance, the substance must have been reabsorbed by the</w:t>
                  </w:r>
                  <w:r>
                    <w:rPr>
                      <w:color w:val="231F20"/>
                      <w:spacing w:val="-12"/>
                      <w:sz w:val="18"/>
                    </w:rPr>
                    <w:t> </w:t>
                  </w:r>
                  <w:r>
                    <w:rPr>
                      <w:color w:val="231F20"/>
                      <w:sz w:val="18"/>
                    </w:rPr>
                    <w:t>nephron</w:t>
                  </w:r>
                </w:p>
              </w:txbxContent>
            </v:textbox>
            <v:fill type="solid"/>
          </v:shape>
        </w:pict>
      </w:r>
      <w:r>
        <w:rPr/>
      </w:r>
    </w:p>
    <w:p>
      <w:pPr>
        <w:pStyle w:val="Heading1"/>
        <w:spacing w:before="93"/>
      </w:pPr>
      <w:r>
        <w:rPr/>
        <w:br w:type="column"/>
      </w:r>
      <w:r>
        <w:rPr>
          <w:color w:val="231F20"/>
        </w:rPr>
        <w:t>Bibliography</w:t>
      </w:r>
    </w:p>
    <w:p>
      <w:pPr>
        <w:spacing w:line="261" w:lineRule="auto" w:before="100"/>
        <w:ind w:left="479" w:right="1437" w:hanging="160"/>
        <w:jc w:val="both"/>
        <w:rPr>
          <w:rFonts w:ascii="Arial"/>
          <w:sz w:val="16"/>
        </w:rPr>
      </w:pPr>
      <w:r>
        <w:rPr>
          <w:rFonts w:ascii="Arial"/>
          <w:color w:val="231F20"/>
          <w:sz w:val="16"/>
        </w:rPr>
        <w:t>Al-Awqati Q, Gao XB: Differentiation of intercalated cells in the kidney. Physiology (Bethesda) 26:266, 2011.</w:t>
      </w:r>
    </w:p>
    <w:p>
      <w:pPr>
        <w:spacing w:line="261" w:lineRule="auto" w:before="0"/>
        <w:ind w:left="479" w:right="1437" w:hanging="160"/>
        <w:jc w:val="both"/>
        <w:rPr>
          <w:rFonts w:ascii="Arial"/>
          <w:sz w:val="16"/>
        </w:rPr>
      </w:pPr>
      <w:r>
        <w:rPr>
          <w:rFonts w:ascii="Arial"/>
          <w:color w:val="231F20"/>
          <w:sz w:val="16"/>
        </w:rPr>
        <w:t>Alexander</w:t>
      </w:r>
      <w:r>
        <w:rPr>
          <w:rFonts w:ascii="Arial"/>
          <w:color w:val="231F20"/>
          <w:spacing w:val="-8"/>
          <w:sz w:val="16"/>
        </w:rPr>
        <w:t> </w:t>
      </w:r>
      <w:r>
        <w:rPr>
          <w:rFonts w:ascii="Arial"/>
          <w:color w:val="231F20"/>
          <w:spacing w:val="-6"/>
          <w:sz w:val="16"/>
        </w:rPr>
        <w:t>RT,</w:t>
      </w:r>
      <w:r>
        <w:rPr>
          <w:rFonts w:ascii="Arial"/>
          <w:color w:val="231F20"/>
          <w:spacing w:val="-7"/>
          <w:sz w:val="16"/>
        </w:rPr>
        <w:t> </w:t>
      </w:r>
      <w:r>
        <w:rPr>
          <w:rFonts w:ascii="Arial"/>
          <w:color w:val="231F20"/>
          <w:sz w:val="16"/>
        </w:rPr>
        <w:t>Dimke</w:t>
      </w:r>
      <w:r>
        <w:rPr>
          <w:rFonts w:ascii="Arial"/>
          <w:color w:val="231F20"/>
          <w:spacing w:val="-8"/>
          <w:sz w:val="16"/>
        </w:rPr>
        <w:t> </w:t>
      </w:r>
      <w:r>
        <w:rPr>
          <w:rFonts w:ascii="Arial"/>
          <w:color w:val="231F20"/>
          <w:sz w:val="16"/>
        </w:rPr>
        <w:t>H,</w:t>
      </w:r>
      <w:r>
        <w:rPr>
          <w:rFonts w:ascii="Arial"/>
          <w:color w:val="231F20"/>
          <w:spacing w:val="-7"/>
          <w:sz w:val="16"/>
        </w:rPr>
        <w:t> </w:t>
      </w:r>
      <w:r>
        <w:rPr>
          <w:rFonts w:ascii="Arial"/>
          <w:color w:val="231F20"/>
          <w:sz w:val="16"/>
        </w:rPr>
        <w:t>Cordat</w:t>
      </w:r>
      <w:r>
        <w:rPr>
          <w:rFonts w:ascii="Arial"/>
          <w:color w:val="231F20"/>
          <w:spacing w:val="-8"/>
          <w:sz w:val="16"/>
        </w:rPr>
        <w:t> </w:t>
      </w:r>
      <w:r>
        <w:rPr>
          <w:rFonts w:ascii="Arial"/>
          <w:color w:val="231F20"/>
          <w:sz w:val="16"/>
        </w:rPr>
        <w:t>E:</w:t>
      </w:r>
      <w:r>
        <w:rPr>
          <w:rFonts w:ascii="Arial"/>
          <w:color w:val="231F20"/>
          <w:spacing w:val="-7"/>
          <w:sz w:val="16"/>
        </w:rPr>
        <w:t> </w:t>
      </w:r>
      <w:r>
        <w:rPr>
          <w:rFonts w:ascii="Arial"/>
          <w:color w:val="231F20"/>
          <w:sz w:val="16"/>
        </w:rPr>
        <w:t>Proximal</w:t>
      </w:r>
      <w:r>
        <w:rPr>
          <w:rFonts w:ascii="Arial"/>
          <w:color w:val="231F20"/>
          <w:spacing w:val="-8"/>
          <w:sz w:val="16"/>
        </w:rPr>
        <w:t> </w:t>
      </w:r>
      <w:r>
        <w:rPr>
          <w:rFonts w:ascii="Arial"/>
          <w:color w:val="231F20"/>
          <w:sz w:val="16"/>
        </w:rPr>
        <w:t>tubular</w:t>
      </w:r>
      <w:r>
        <w:rPr>
          <w:rFonts w:ascii="Arial"/>
          <w:color w:val="231F20"/>
          <w:spacing w:val="-7"/>
          <w:sz w:val="16"/>
        </w:rPr>
        <w:t> </w:t>
      </w:r>
      <w:r>
        <w:rPr>
          <w:rFonts w:ascii="Arial"/>
          <w:color w:val="231F20"/>
          <w:sz w:val="16"/>
        </w:rPr>
        <w:t>NHEs:</w:t>
      </w:r>
      <w:r>
        <w:rPr>
          <w:rFonts w:ascii="Arial"/>
          <w:color w:val="231F20"/>
          <w:spacing w:val="-7"/>
          <w:sz w:val="16"/>
        </w:rPr>
        <w:t> </w:t>
      </w:r>
      <w:r>
        <w:rPr>
          <w:rFonts w:ascii="Arial"/>
          <w:color w:val="231F20"/>
          <w:sz w:val="16"/>
        </w:rPr>
        <w:t>sodium, protons and calcium? Am J Physiol Renal Physiol 305:F229, 2013.</w:t>
      </w:r>
    </w:p>
    <w:p>
      <w:pPr>
        <w:spacing w:line="261" w:lineRule="auto" w:before="0"/>
        <w:ind w:left="479" w:right="1437" w:hanging="160"/>
        <w:jc w:val="both"/>
        <w:rPr>
          <w:rFonts w:ascii="Arial"/>
          <w:sz w:val="16"/>
        </w:rPr>
      </w:pPr>
      <w:r>
        <w:rPr>
          <w:rFonts w:ascii="Arial"/>
          <w:color w:val="231F20"/>
          <w:sz w:val="16"/>
        </w:rPr>
        <w:t>Ares</w:t>
      </w:r>
      <w:r>
        <w:rPr>
          <w:rFonts w:ascii="Arial"/>
          <w:color w:val="231F20"/>
          <w:spacing w:val="-26"/>
          <w:sz w:val="16"/>
        </w:rPr>
        <w:t> </w:t>
      </w:r>
      <w:r>
        <w:rPr>
          <w:rFonts w:ascii="Arial"/>
          <w:color w:val="231F20"/>
          <w:sz w:val="16"/>
        </w:rPr>
        <w:t>GR,</w:t>
      </w:r>
      <w:r>
        <w:rPr>
          <w:rFonts w:ascii="Arial"/>
          <w:color w:val="231F20"/>
          <w:spacing w:val="-26"/>
          <w:sz w:val="16"/>
        </w:rPr>
        <w:t> </w:t>
      </w:r>
      <w:r>
        <w:rPr>
          <w:rFonts w:ascii="Arial"/>
          <w:color w:val="231F20"/>
          <w:sz w:val="16"/>
        </w:rPr>
        <w:t>Caceres</w:t>
      </w:r>
      <w:r>
        <w:rPr>
          <w:rFonts w:ascii="Arial"/>
          <w:color w:val="231F20"/>
          <w:spacing w:val="-25"/>
          <w:sz w:val="16"/>
        </w:rPr>
        <w:t> </w:t>
      </w:r>
      <w:r>
        <w:rPr>
          <w:rFonts w:ascii="Arial"/>
          <w:color w:val="231F20"/>
          <w:sz w:val="16"/>
        </w:rPr>
        <w:t>PS,</w:t>
      </w:r>
      <w:r>
        <w:rPr>
          <w:rFonts w:ascii="Arial"/>
          <w:color w:val="231F20"/>
          <w:spacing w:val="-26"/>
          <w:sz w:val="16"/>
        </w:rPr>
        <w:t> </w:t>
      </w:r>
      <w:r>
        <w:rPr>
          <w:rFonts w:ascii="Arial"/>
          <w:color w:val="231F20"/>
          <w:sz w:val="16"/>
        </w:rPr>
        <w:t>Ortiz</w:t>
      </w:r>
      <w:r>
        <w:rPr>
          <w:rFonts w:ascii="Arial"/>
          <w:color w:val="231F20"/>
          <w:spacing w:val="-25"/>
          <w:sz w:val="16"/>
        </w:rPr>
        <w:t> </w:t>
      </w:r>
      <w:r>
        <w:rPr>
          <w:rFonts w:ascii="Arial"/>
          <w:color w:val="231F20"/>
          <w:spacing w:val="-4"/>
          <w:sz w:val="16"/>
        </w:rPr>
        <w:t>PA:</w:t>
      </w:r>
      <w:r>
        <w:rPr>
          <w:rFonts w:ascii="Arial"/>
          <w:color w:val="231F20"/>
          <w:spacing w:val="-26"/>
          <w:sz w:val="16"/>
        </w:rPr>
        <w:t> </w:t>
      </w:r>
      <w:r>
        <w:rPr>
          <w:rFonts w:ascii="Arial"/>
          <w:color w:val="231F20"/>
          <w:sz w:val="16"/>
        </w:rPr>
        <w:t>Molecular</w:t>
      </w:r>
      <w:r>
        <w:rPr>
          <w:rFonts w:ascii="Arial"/>
          <w:color w:val="231F20"/>
          <w:spacing w:val="-25"/>
          <w:sz w:val="16"/>
        </w:rPr>
        <w:t> </w:t>
      </w:r>
      <w:r>
        <w:rPr>
          <w:rFonts w:ascii="Arial"/>
          <w:color w:val="231F20"/>
          <w:sz w:val="16"/>
        </w:rPr>
        <w:t>regulation</w:t>
      </w:r>
      <w:r>
        <w:rPr>
          <w:rFonts w:ascii="Arial"/>
          <w:color w:val="231F20"/>
          <w:spacing w:val="-26"/>
          <w:sz w:val="16"/>
        </w:rPr>
        <w:t> </w:t>
      </w:r>
      <w:r>
        <w:rPr>
          <w:rFonts w:ascii="Arial"/>
          <w:color w:val="231F20"/>
          <w:sz w:val="16"/>
        </w:rPr>
        <w:t>of</w:t>
      </w:r>
      <w:r>
        <w:rPr>
          <w:rFonts w:ascii="Arial"/>
          <w:color w:val="231F20"/>
          <w:spacing w:val="-26"/>
          <w:sz w:val="16"/>
        </w:rPr>
        <w:t> </w:t>
      </w:r>
      <w:r>
        <w:rPr>
          <w:rFonts w:ascii="Arial"/>
          <w:color w:val="231F20"/>
          <w:sz w:val="16"/>
        </w:rPr>
        <w:t>NKCC2</w:t>
      </w:r>
      <w:r>
        <w:rPr>
          <w:rFonts w:ascii="Arial"/>
          <w:color w:val="231F20"/>
          <w:spacing w:val="-25"/>
          <w:sz w:val="16"/>
        </w:rPr>
        <w:t> </w:t>
      </w:r>
      <w:r>
        <w:rPr>
          <w:rFonts w:ascii="Arial"/>
          <w:color w:val="231F20"/>
          <w:sz w:val="16"/>
        </w:rPr>
        <w:t>in</w:t>
      </w:r>
      <w:r>
        <w:rPr>
          <w:rFonts w:ascii="Arial"/>
          <w:color w:val="231F20"/>
          <w:spacing w:val="-26"/>
          <w:sz w:val="16"/>
        </w:rPr>
        <w:t> </w:t>
      </w:r>
      <w:r>
        <w:rPr>
          <w:rFonts w:ascii="Arial"/>
          <w:color w:val="231F20"/>
          <w:sz w:val="16"/>
        </w:rPr>
        <w:t>the thick ascending limb. Am J Physiol Renal Physiol 301:F1143, 2011.</w:t>
      </w:r>
    </w:p>
    <w:p>
      <w:pPr>
        <w:spacing w:line="261" w:lineRule="auto" w:before="0"/>
        <w:ind w:left="479" w:right="1437" w:hanging="160"/>
        <w:jc w:val="both"/>
        <w:rPr>
          <w:rFonts w:ascii="Arial"/>
          <w:sz w:val="16"/>
        </w:rPr>
      </w:pPr>
      <w:r>
        <w:rPr>
          <w:rFonts w:ascii="Arial"/>
          <w:color w:val="231F20"/>
          <w:sz w:val="16"/>
        </w:rPr>
        <w:t>Arroyo JP, Ronzaud C, Lagnaz D, et al: Aldosterone paradox: dif- ferential regulation of ion transport in distal nephron. Physiology (Bethesda) 26:115, 2011.</w:t>
      </w:r>
    </w:p>
    <w:p>
      <w:pPr>
        <w:spacing w:line="261" w:lineRule="auto" w:before="0"/>
        <w:ind w:left="479" w:right="1437" w:hanging="160"/>
        <w:jc w:val="both"/>
        <w:rPr>
          <w:rFonts w:ascii="Arial"/>
          <w:sz w:val="16"/>
        </w:rPr>
      </w:pPr>
      <w:r>
        <w:rPr>
          <w:rFonts w:ascii="Arial"/>
          <w:color w:val="231F20"/>
          <w:sz w:val="16"/>
        </w:rPr>
        <w:t>Breton S, Brown D: Regulation of luminal acidification by the V-ATPase. Physiology (Bethesda) 28:318, 2013.</w:t>
      </w:r>
    </w:p>
    <w:p>
      <w:pPr>
        <w:spacing w:line="261" w:lineRule="auto" w:before="0"/>
        <w:ind w:left="479" w:right="1439" w:hanging="160"/>
        <w:jc w:val="both"/>
        <w:rPr>
          <w:rFonts w:ascii="Arial" w:hAnsi="Arial"/>
          <w:sz w:val="16"/>
        </w:rPr>
      </w:pPr>
      <w:r>
        <w:rPr>
          <w:rFonts w:ascii="Arial" w:hAnsi="Arial"/>
          <w:color w:val="231F20"/>
          <w:sz w:val="16"/>
        </w:rPr>
        <w:t>Bröer</w:t>
      </w:r>
      <w:r>
        <w:rPr>
          <w:rFonts w:ascii="Arial" w:hAnsi="Arial"/>
          <w:color w:val="231F20"/>
          <w:spacing w:val="-20"/>
          <w:sz w:val="16"/>
        </w:rPr>
        <w:t> </w:t>
      </w:r>
      <w:r>
        <w:rPr>
          <w:rFonts w:ascii="Arial" w:hAnsi="Arial"/>
          <w:color w:val="231F20"/>
          <w:sz w:val="16"/>
        </w:rPr>
        <w:t>S:</w:t>
      </w:r>
      <w:r>
        <w:rPr>
          <w:rFonts w:ascii="Arial" w:hAnsi="Arial"/>
          <w:color w:val="231F20"/>
          <w:spacing w:val="-20"/>
          <w:sz w:val="16"/>
        </w:rPr>
        <w:t> </w:t>
      </w:r>
      <w:r>
        <w:rPr>
          <w:rFonts w:ascii="Arial" w:hAnsi="Arial"/>
          <w:color w:val="231F20"/>
          <w:sz w:val="16"/>
        </w:rPr>
        <w:t>Amino</w:t>
      </w:r>
      <w:r>
        <w:rPr>
          <w:rFonts w:ascii="Arial" w:hAnsi="Arial"/>
          <w:color w:val="231F20"/>
          <w:spacing w:val="-20"/>
          <w:sz w:val="16"/>
        </w:rPr>
        <w:t> </w:t>
      </w:r>
      <w:r>
        <w:rPr>
          <w:rFonts w:ascii="Arial" w:hAnsi="Arial"/>
          <w:color w:val="231F20"/>
          <w:sz w:val="16"/>
        </w:rPr>
        <w:t>acid</w:t>
      </w:r>
      <w:r>
        <w:rPr>
          <w:rFonts w:ascii="Arial" w:hAnsi="Arial"/>
          <w:color w:val="231F20"/>
          <w:spacing w:val="-20"/>
          <w:sz w:val="16"/>
        </w:rPr>
        <w:t> </w:t>
      </w:r>
      <w:r>
        <w:rPr>
          <w:rFonts w:ascii="Arial" w:hAnsi="Arial"/>
          <w:color w:val="231F20"/>
          <w:sz w:val="16"/>
        </w:rPr>
        <w:t>transport</w:t>
      </w:r>
      <w:r>
        <w:rPr>
          <w:rFonts w:ascii="Arial" w:hAnsi="Arial"/>
          <w:color w:val="231F20"/>
          <w:spacing w:val="-19"/>
          <w:sz w:val="16"/>
        </w:rPr>
        <w:t> </w:t>
      </w:r>
      <w:r>
        <w:rPr>
          <w:rFonts w:ascii="Arial" w:hAnsi="Arial"/>
          <w:color w:val="231F20"/>
          <w:sz w:val="16"/>
        </w:rPr>
        <w:t>across</w:t>
      </w:r>
      <w:r>
        <w:rPr>
          <w:rFonts w:ascii="Arial" w:hAnsi="Arial"/>
          <w:color w:val="231F20"/>
          <w:spacing w:val="-20"/>
          <w:sz w:val="16"/>
        </w:rPr>
        <w:t> </w:t>
      </w:r>
      <w:r>
        <w:rPr>
          <w:rFonts w:ascii="Arial" w:hAnsi="Arial"/>
          <w:color w:val="231F20"/>
          <w:sz w:val="16"/>
        </w:rPr>
        <w:t>mammalian</w:t>
      </w:r>
      <w:r>
        <w:rPr>
          <w:rFonts w:ascii="Arial" w:hAnsi="Arial"/>
          <w:color w:val="231F20"/>
          <w:spacing w:val="-20"/>
          <w:sz w:val="16"/>
        </w:rPr>
        <w:t> </w:t>
      </w:r>
      <w:r>
        <w:rPr>
          <w:rFonts w:ascii="Arial" w:hAnsi="Arial"/>
          <w:color w:val="231F20"/>
          <w:sz w:val="16"/>
        </w:rPr>
        <w:t>intestinal</w:t>
      </w:r>
      <w:r>
        <w:rPr>
          <w:rFonts w:ascii="Arial" w:hAnsi="Arial"/>
          <w:color w:val="231F20"/>
          <w:spacing w:val="-20"/>
          <w:sz w:val="16"/>
        </w:rPr>
        <w:t> </w:t>
      </w:r>
      <w:r>
        <w:rPr>
          <w:rFonts w:ascii="Arial" w:hAnsi="Arial"/>
          <w:color w:val="231F20"/>
          <w:sz w:val="16"/>
        </w:rPr>
        <w:t>and</w:t>
      </w:r>
      <w:r>
        <w:rPr>
          <w:rFonts w:ascii="Arial" w:hAnsi="Arial"/>
          <w:color w:val="231F20"/>
          <w:spacing w:val="-19"/>
          <w:sz w:val="16"/>
        </w:rPr>
        <w:t> </w:t>
      </w:r>
      <w:r>
        <w:rPr>
          <w:rFonts w:ascii="Arial" w:hAnsi="Arial"/>
          <w:color w:val="231F20"/>
          <w:spacing w:val="-5"/>
          <w:sz w:val="16"/>
        </w:rPr>
        <w:t>renal </w:t>
      </w:r>
      <w:r>
        <w:rPr>
          <w:rFonts w:ascii="Arial" w:hAnsi="Arial"/>
          <w:color w:val="231F20"/>
          <w:sz w:val="16"/>
        </w:rPr>
        <w:t>epithelia. Physiol Rev 88:249,</w:t>
      </w:r>
      <w:r>
        <w:rPr>
          <w:rFonts w:ascii="Arial" w:hAnsi="Arial"/>
          <w:color w:val="231F20"/>
          <w:spacing w:val="21"/>
          <w:sz w:val="16"/>
        </w:rPr>
        <w:t> </w:t>
      </w:r>
      <w:r>
        <w:rPr>
          <w:rFonts w:ascii="Arial" w:hAnsi="Arial"/>
          <w:color w:val="231F20"/>
          <w:sz w:val="16"/>
        </w:rPr>
        <w:t>2008.</w:t>
      </w:r>
    </w:p>
    <w:p>
      <w:pPr>
        <w:spacing w:line="261" w:lineRule="auto" w:before="0"/>
        <w:ind w:left="479" w:right="1437" w:hanging="160"/>
        <w:jc w:val="both"/>
        <w:rPr>
          <w:rFonts w:ascii="Arial"/>
          <w:sz w:val="16"/>
        </w:rPr>
      </w:pPr>
      <w:r>
        <w:rPr>
          <w:rFonts w:ascii="Arial"/>
          <w:color w:val="231F20"/>
          <w:sz w:val="16"/>
        </w:rPr>
        <w:t>Christensen</w:t>
      </w:r>
      <w:r>
        <w:rPr>
          <w:rFonts w:ascii="Arial"/>
          <w:color w:val="231F20"/>
          <w:spacing w:val="-23"/>
          <w:sz w:val="16"/>
        </w:rPr>
        <w:t> </w:t>
      </w:r>
      <w:r>
        <w:rPr>
          <w:rFonts w:ascii="Arial"/>
          <w:color w:val="231F20"/>
          <w:sz w:val="16"/>
        </w:rPr>
        <w:t>EI,</w:t>
      </w:r>
      <w:r>
        <w:rPr>
          <w:rFonts w:ascii="Arial"/>
          <w:color w:val="231F20"/>
          <w:spacing w:val="-22"/>
          <w:sz w:val="16"/>
        </w:rPr>
        <w:t> </w:t>
      </w:r>
      <w:r>
        <w:rPr>
          <w:rFonts w:ascii="Arial"/>
          <w:color w:val="231F20"/>
          <w:sz w:val="16"/>
        </w:rPr>
        <w:t>Birn</w:t>
      </w:r>
      <w:r>
        <w:rPr>
          <w:rFonts w:ascii="Arial"/>
          <w:color w:val="231F20"/>
          <w:spacing w:val="-23"/>
          <w:sz w:val="16"/>
        </w:rPr>
        <w:t> </w:t>
      </w:r>
      <w:r>
        <w:rPr>
          <w:rFonts w:ascii="Arial"/>
          <w:color w:val="231F20"/>
          <w:sz w:val="16"/>
        </w:rPr>
        <w:t>H,</w:t>
      </w:r>
      <w:r>
        <w:rPr>
          <w:rFonts w:ascii="Arial"/>
          <w:color w:val="231F20"/>
          <w:spacing w:val="-22"/>
          <w:sz w:val="16"/>
        </w:rPr>
        <w:t> </w:t>
      </w:r>
      <w:r>
        <w:rPr>
          <w:rFonts w:ascii="Arial"/>
          <w:color w:val="231F20"/>
          <w:sz w:val="16"/>
        </w:rPr>
        <w:t>Storm</w:t>
      </w:r>
      <w:r>
        <w:rPr>
          <w:rFonts w:ascii="Arial"/>
          <w:color w:val="231F20"/>
          <w:spacing w:val="-22"/>
          <w:sz w:val="16"/>
        </w:rPr>
        <w:t> </w:t>
      </w:r>
      <w:r>
        <w:rPr>
          <w:rFonts w:ascii="Arial"/>
          <w:color w:val="231F20"/>
          <w:spacing w:val="-9"/>
          <w:sz w:val="16"/>
        </w:rPr>
        <w:t>T,</w:t>
      </w:r>
      <w:r>
        <w:rPr>
          <w:rFonts w:ascii="Arial"/>
          <w:color w:val="231F20"/>
          <w:spacing w:val="-23"/>
          <w:sz w:val="16"/>
        </w:rPr>
        <w:t> </w:t>
      </w:r>
      <w:r>
        <w:rPr>
          <w:rFonts w:ascii="Arial"/>
          <w:color w:val="231F20"/>
          <w:sz w:val="16"/>
        </w:rPr>
        <w:t>et</w:t>
      </w:r>
      <w:r>
        <w:rPr>
          <w:rFonts w:ascii="Arial"/>
          <w:color w:val="231F20"/>
          <w:spacing w:val="-22"/>
          <w:sz w:val="16"/>
        </w:rPr>
        <w:t> </w:t>
      </w:r>
      <w:r>
        <w:rPr>
          <w:rFonts w:ascii="Arial"/>
          <w:color w:val="231F20"/>
          <w:sz w:val="16"/>
        </w:rPr>
        <w:t>al:</w:t>
      </w:r>
      <w:r>
        <w:rPr>
          <w:rFonts w:ascii="Arial"/>
          <w:color w:val="231F20"/>
          <w:spacing w:val="-22"/>
          <w:sz w:val="16"/>
        </w:rPr>
        <w:t> </w:t>
      </w:r>
      <w:r>
        <w:rPr>
          <w:rFonts w:ascii="Arial"/>
          <w:color w:val="231F20"/>
          <w:sz w:val="16"/>
        </w:rPr>
        <w:t>Endocytic</w:t>
      </w:r>
      <w:r>
        <w:rPr>
          <w:rFonts w:ascii="Arial"/>
          <w:color w:val="231F20"/>
          <w:spacing w:val="-23"/>
          <w:sz w:val="16"/>
        </w:rPr>
        <w:t> </w:t>
      </w:r>
      <w:r>
        <w:rPr>
          <w:rFonts w:ascii="Arial"/>
          <w:color w:val="231F20"/>
          <w:sz w:val="16"/>
        </w:rPr>
        <w:t>receptors</w:t>
      </w:r>
      <w:r>
        <w:rPr>
          <w:rFonts w:ascii="Arial"/>
          <w:color w:val="231F20"/>
          <w:spacing w:val="-22"/>
          <w:sz w:val="16"/>
        </w:rPr>
        <w:t> </w:t>
      </w:r>
      <w:r>
        <w:rPr>
          <w:rFonts w:ascii="Arial"/>
          <w:color w:val="231F20"/>
          <w:sz w:val="16"/>
        </w:rPr>
        <w:t>in</w:t>
      </w:r>
      <w:r>
        <w:rPr>
          <w:rFonts w:ascii="Arial"/>
          <w:color w:val="231F20"/>
          <w:spacing w:val="-23"/>
          <w:sz w:val="16"/>
        </w:rPr>
        <w:t> </w:t>
      </w:r>
      <w:r>
        <w:rPr>
          <w:rFonts w:ascii="Arial"/>
          <w:color w:val="231F20"/>
          <w:sz w:val="16"/>
        </w:rPr>
        <w:t>the</w:t>
      </w:r>
      <w:r>
        <w:rPr>
          <w:rFonts w:ascii="Arial"/>
          <w:color w:val="231F20"/>
          <w:spacing w:val="-22"/>
          <w:sz w:val="16"/>
        </w:rPr>
        <w:t> </w:t>
      </w:r>
      <w:r>
        <w:rPr>
          <w:rFonts w:ascii="Arial"/>
          <w:color w:val="231F20"/>
          <w:sz w:val="16"/>
        </w:rPr>
        <w:t>renal proximal tubule. Physiology (Bethesda) 27:223,</w:t>
      </w:r>
      <w:r>
        <w:rPr>
          <w:rFonts w:ascii="Arial"/>
          <w:color w:val="231F20"/>
          <w:spacing w:val="3"/>
          <w:sz w:val="16"/>
        </w:rPr>
        <w:t> </w:t>
      </w:r>
      <w:r>
        <w:rPr>
          <w:rFonts w:ascii="Arial"/>
          <w:color w:val="231F20"/>
          <w:sz w:val="16"/>
        </w:rPr>
        <w:t>2012.</w:t>
      </w:r>
    </w:p>
    <w:p>
      <w:pPr>
        <w:spacing w:line="261" w:lineRule="auto" w:before="0"/>
        <w:ind w:left="479" w:right="1437" w:hanging="160"/>
        <w:jc w:val="both"/>
        <w:rPr>
          <w:rFonts w:ascii="Arial" w:hAnsi="Arial"/>
          <w:sz w:val="16"/>
        </w:rPr>
      </w:pPr>
      <w:r>
        <w:rPr>
          <w:rFonts w:ascii="Arial" w:hAnsi="Arial"/>
          <w:color w:val="231F20"/>
          <w:w w:val="95"/>
          <w:sz w:val="16"/>
        </w:rPr>
        <w:t>Féraille E, Doucet A: Sodium-potassium-adenosine-triphosphatase– </w:t>
      </w:r>
      <w:r>
        <w:rPr>
          <w:rFonts w:ascii="Arial" w:hAnsi="Arial"/>
          <w:color w:val="231F20"/>
          <w:sz w:val="16"/>
        </w:rPr>
        <w:t>dependent sodium transport in the kidney: hormonal control. Physiol Rev 81:345, 2001.</w:t>
      </w:r>
    </w:p>
    <w:p>
      <w:pPr>
        <w:spacing w:line="261" w:lineRule="auto" w:before="0"/>
        <w:ind w:left="479" w:right="1438" w:hanging="160"/>
        <w:jc w:val="both"/>
        <w:rPr>
          <w:rFonts w:ascii="Arial"/>
          <w:sz w:val="16"/>
        </w:rPr>
      </w:pPr>
      <w:r>
        <w:rPr>
          <w:rFonts w:ascii="Arial"/>
          <w:color w:val="231F20"/>
          <w:sz w:val="16"/>
        </w:rPr>
        <w:t>Ferrannini</w:t>
      </w:r>
      <w:r>
        <w:rPr>
          <w:rFonts w:ascii="Arial"/>
          <w:color w:val="231F20"/>
          <w:spacing w:val="-22"/>
          <w:sz w:val="16"/>
        </w:rPr>
        <w:t> </w:t>
      </w:r>
      <w:r>
        <w:rPr>
          <w:rFonts w:ascii="Arial"/>
          <w:color w:val="231F20"/>
          <w:sz w:val="16"/>
        </w:rPr>
        <w:t>E,</w:t>
      </w:r>
      <w:r>
        <w:rPr>
          <w:rFonts w:ascii="Arial"/>
          <w:color w:val="231F20"/>
          <w:spacing w:val="-21"/>
          <w:sz w:val="16"/>
        </w:rPr>
        <w:t> </w:t>
      </w:r>
      <w:r>
        <w:rPr>
          <w:rFonts w:ascii="Arial"/>
          <w:color w:val="231F20"/>
          <w:sz w:val="16"/>
        </w:rPr>
        <w:t>Solini</w:t>
      </w:r>
      <w:r>
        <w:rPr>
          <w:rFonts w:ascii="Arial"/>
          <w:color w:val="231F20"/>
          <w:spacing w:val="-21"/>
          <w:sz w:val="16"/>
        </w:rPr>
        <w:t> </w:t>
      </w:r>
      <w:r>
        <w:rPr>
          <w:rFonts w:ascii="Arial"/>
          <w:color w:val="231F20"/>
          <w:sz w:val="16"/>
        </w:rPr>
        <w:t>A:</w:t>
      </w:r>
      <w:r>
        <w:rPr>
          <w:rFonts w:ascii="Arial"/>
          <w:color w:val="231F20"/>
          <w:spacing w:val="-21"/>
          <w:sz w:val="16"/>
        </w:rPr>
        <w:t> </w:t>
      </w:r>
      <w:r>
        <w:rPr>
          <w:rFonts w:ascii="Arial"/>
          <w:color w:val="231F20"/>
          <w:spacing w:val="-3"/>
          <w:sz w:val="16"/>
        </w:rPr>
        <w:t>SGLT2</w:t>
      </w:r>
      <w:r>
        <w:rPr>
          <w:rFonts w:ascii="Arial"/>
          <w:color w:val="231F20"/>
          <w:spacing w:val="-22"/>
          <w:sz w:val="16"/>
        </w:rPr>
        <w:t> </w:t>
      </w:r>
      <w:r>
        <w:rPr>
          <w:rFonts w:ascii="Arial"/>
          <w:color w:val="231F20"/>
          <w:sz w:val="16"/>
        </w:rPr>
        <w:t>inhibition</w:t>
      </w:r>
      <w:r>
        <w:rPr>
          <w:rFonts w:ascii="Arial"/>
          <w:color w:val="231F20"/>
          <w:spacing w:val="-21"/>
          <w:sz w:val="16"/>
        </w:rPr>
        <w:t> </w:t>
      </w:r>
      <w:r>
        <w:rPr>
          <w:rFonts w:ascii="Arial"/>
          <w:color w:val="231F20"/>
          <w:sz w:val="16"/>
        </w:rPr>
        <w:t>in</w:t>
      </w:r>
      <w:r>
        <w:rPr>
          <w:rFonts w:ascii="Arial"/>
          <w:color w:val="231F20"/>
          <w:spacing w:val="-21"/>
          <w:sz w:val="16"/>
        </w:rPr>
        <w:t> </w:t>
      </w:r>
      <w:r>
        <w:rPr>
          <w:rFonts w:ascii="Arial"/>
          <w:color w:val="231F20"/>
          <w:sz w:val="16"/>
        </w:rPr>
        <w:t>diabetes</w:t>
      </w:r>
      <w:r>
        <w:rPr>
          <w:rFonts w:ascii="Arial"/>
          <w:color w:val="231F20"/>
          <w:spacing w:val="-21"/>
          <w:sz w:val="16"/>
        </w:rPr>
        <w:t> </w:t>
      </w:r>
      <w:r>
        <w:rPr>
          <w:rFonts w:ascii="Arial"/>
          <w:color w:val="231F20"/>
          <w:sz w:val="16"/>
        </w:rPr>
        <w:t>mellitus:</w:t>
      </w:r>
      <w:r>
        <w:rPr>
          <w:rFonts w:ascii="Arial"/>
          <w:color w:val="231F20"/>
          <w:spacing w:val="-22"/>
          <w:sz w:val="16"/>
        </w:rPr>
        <w:t> </w:t>
      </w:r>
      <w:r>
        <w:rPr>
          <w:rFonts w:ascii="Arial"/>
          <w:color w:val="231F20"/>
          <w:sz w:val="16"/>
        </w:rPr>
        <w:t>rationale and clinical prospects. Nat Rev Endocrinol 8:495,</w:t>
      </w:r>
      <w:r>
        <w:rPr>
          <w:rFonts w:ascii="Arial"/>
          <w:color w:val="231F20"/>
          <w:spacing w:val="-4"/>
          <w:sz w:val="16"/>
        </w:rPr>
        <w:t> </w:t>
      </w:r>
      <w:r>
        <w:rPr>
          <w:rFonts w:ascii="Arial"/>
          <w:color w:val="231F20"/>
          <w:sz w:val="16"/>
        </w:rPr>
        <w:t>2012.</w:t>
      </w:r>
    </w:p>
    <w:p>
      <w:pPr>
        <w:spacing w:line="261" w:lineRule="auto" w:before="0"/>
        <w:ind w:left="479" w:right="1437" w:hanging="160"/>
        <w:jc w:val="both"/>
        <w:rPr>
          <w:rFonts w:ascii="Arial" w:hAnsi="Arial"/>
          <w:sz w:val="16"/>
        </w:rPr>
      </w:pPr>
      <w:r>
        <w:rPr>
          <w:rFonts w:ascii="Arial" w:hAnsi="Arial"/>
          <w:color w:val="231F20"/>
          <w:sz w:val="16"/>
        </w:rPr>
        <w:t>Gamba</w:t>
      </w:r>
      <w:r>
        <w:rPr>
          <w:rFonts w:ascii="Arial" w:hAnsi="Arial"/>
          <w:color w:val="231F20"/>
          <w:spacing w:val="-5"/>
          <w:sz w:val="16"/>
        </w:rPr>
        <w:t> </w:t>
      </w:r>
      <w:r>
        <w:rPr>
          <w:rFonts w:ascii="Arial" w:hAnsi="Arial"/>
          <w:color w:val="231F20"/>
          <w:sz w:val="16"/>
        </w:rPr>
        <w:t>G,</w:t>
      </w:r>
      <w:r>
        <w:rPr>
          <w:rFonts w:ascii="Arial" w:hAnsi="Arial"/>
          <w:color w:val="231F20"/>
          <w:spacing w:val="-5"/>
          <w:sz w:val="16"/>
        </w:rPr>
        <w:t> </w:t>
      </w:r>
      <w:r>
        <w:rPr>
          <w:rFonts w:ascii="Arial" w:hAnsi="Arial"/>
          <w:color w:val="231F20"/>
          <w:sz w:val="16"/>
        </w:rPr>
        <w:t>Wang</w:t>
      </w:r>
      <w:r>
        <w:rPr>
          <w:rFonts w:ascii="Arial" w:hAnsi="Arial"/>
          <w:color w:val="231F20"/>
          <w:spacing w:val="-5"/>
          <w:sz w:val="16"/>
        </w:rPr>
        <w:t> </w:t>
      </w:r>
      <w:r>
        <w:rPr>
          <w:rFonts w:ascii="Arial" w:hAnsi="Arial"/>
          <w:color w:val="231F20"/>
          <w:spacing w:val="-6"/>
          <w:sz w:val="16"/>
        </w:rPr>
        <w:t>W,</w:t>
      </w:r>
      <w:r>
        <w:rPr>
          <w:rFonts w:ascii="Arial" w:hAnsi="Arial"/>
          <w:color w:val="231F20"/>
          <w:spacing w:val="-5"/>
          <w:sz w:val="16"/>
        </w:rPr>
        <w:t> </w:t>
      </w:r>
      <w:r>
        <w:rPr>
          <w:rFonts w:ascii="Arial" w:hAnsi="Arial"/>
          <w:color w:val="231F20"/>
          <w:sz w:val="16"/>
        </w:rPr>
        <w:t>Schild</w:t>
      </w:r>
      <w:r>
        <w:rPr>
          <w:rFonts w:ascii="Arial" w:hAnsi="Arial"/>
          <w:color w:val="231F20"/>
          <w:spacing w:val="-4"/>
          <w:sz w:val="16"/>
        </w:rPr>
        <w:t> </w:t>
      </w:r>
      <w:r>
        <w:rPr>
          <w:rFonts w:ascii="Arial" w:hAnsi="Arial"/>
          <w:color w:val="231F20"/>
          <w:sz w:val="16"/>
        </w:rPr>
        <w:t>L:</w:t>
      </w:r>
      <w:r>
        <w:rPr>
          <w:rFonts w:ascii="Arial" w:hAnsi="Arial"/>
          <w:color w:val="231F20"/>
          <w:spacing w:val="-5"/>
          <w:sz w:val="16"/>
        </w:rPr>
        <w:t> </w:t>
      </w:r>
      <w:r>
        <w:rPr>
          <w:rFonts w:ascii="Arial" w:hAnsi="Arial"/>
          <w:color w:val="231F20"/>
          <w:sz w:val="16"/>
        </w:rPr>
        <w:t>Sodium</w:t>
      </w:r>
      <w:r>
        <w:rPr>
          <w:rFonts w:ascii="Arial" w:hAnsi="Arial"/>
          <w:color w:val="231F20"/>
          <w:spacing w:val="-5"/>
          <w:sz w:val="16"/>
        </w:rPr>
        <w:t> </w:t>
      </w:r>
      <w:r>
        <w:rPr>
          <w:rFonts w:ascii="Arial" w:hAnsi="Arial"/>
          <w:color w:val="231F20"/>
          <w:sz w:val="16"/>
        </w:rPr>
        <w:t>chloride</w:t>
      </w:r>
      <w:r>
        <w:rPr>
          <w:rFonts w:ascii="Arial" w:hAnsi="Arial"/>
          <w:color w:val="231F20"/>
          <w:spacing w:val="-5"/>
          <w:sz w:val="16"/>
        </w:rPr>
        <w:t> </w:t>
      </w:r>
      <w:r>
        <w:rPr>
          <w:rFonts w:ascii="Arial" w:hAnsi="Arial"/>
          <w:color w:val="231F20"/>
          <w:sz w:val="16"/>
        </w:rPr>
        <w:t>transport</w:t>
      </w:r>
      <w:r>
        <w:rPr>
          <w:rFonts w:ascii="Arial" w:hAnsi="Arial"/>
          <w:color w:val="231F20"/>
          <w:spacing w:val="-5"/>
          <w:sz w:val="16"/>
        </w:rPr>
        <w:t> </w:t>
      </w:r>
      <w:r>
        <w:rPr>
          <w:rFonts w:ascii="Arial" w:hAnsi="Arial"/>
          <w:color w:val="231F20"/>
          <w:sz w:val="16"/>
        </w:rPr>
        <w:t>in</w:t>
      </w:r>
      <w:r>
        <w:rPr>
          <w:rFonts w:ascii="Arial" w:hAnsi="Arial"/>
          <w:color w:val="231F20"/>
          <w:spacing w:val="-4"/>
          <w:sz w:val="16"/>
        </w:rPr>
        <w:t> </w:t>
      </w:r>
      <w:r>
        <w:rPr>
          <w:rFonts w:ascii="Arial" w:hAnsi="Arial"/>
          <w:color w:val="231F20"/>
          <w:sz w:val="16"/>
        </w:rPr>
        <w:t>the</w:t>
      </w:r>
      <w:r>
        <w:rPr>
          <w:rFonts w:ascii="Arial" w:hAnsi="Arial"/>
          <w:color w:val="231F20"/>
          <w:spacing w:val="-5"/>
          <w:sz w:val="16"/>
        </w:rPr>
        <w:t> </w:t>
      </w:r>
      <w:r>
        <w:rPr>
          <w:rFonts w:ascii="Arial" w:hAnsi="Arial"/>
          <w:color w:val="231F20"/>
          <w:spacing w:val="-4"/>
          <w:sz w:val="16"/>
        </w:rPr>
        <w:t>loop </w:t>
      </w:r>
      <w:r>
        <w:rPr>
          <w:rFonts w:ascii="Arial" w:hAnsi="Arial"/>
          <w:color w:val="231F20"/>
          <w:sz w:val="16"/>
        </w:rPr>
        <w:t>of Henle, distal convoluted tubule and collecting duct. In: Alpern RJ, Caplan MJ, Moe OW (eds): Seldin Giebisch’s The Kidney— </w:t>
      </w:r>
      <w:r>
        <w:rPr>
          <w:rFonts w:ascii="Arial" w:hAnsi="Arial"/>
          <w:color w:val="231F20"/>
          <w:w w:val="95"/>
          <w:sz w:val="16"/>
        </w:rPr>
        <w:t>Physiology and Pathophysiology, 5th ed. London: Academic </w:t>
      </w:r>
      <w:r>
        <w:rPr>
          <w:rFonts w:ascii="Arial" w:hAnsi="Arial"/>
          <w:color w:val="231F20"/>
          <w:spacing w:val="-3"/>
          <w:w w:val="95"/>
          <w:sz w:val="16"/>
        </w:rPr>
        <w:t>Press, </w:t>
      </w:r>
      <w:r>
        <w:rPr>
          <w:rFonts w:ascii="Arial" w:hAnsi="Arial"/>
          <w:color w:val="231F20"/>
          <w:sz w:val="16"/>
        </w:rPr>
        <w:t>2013.</w:t>
      </w:r>
    </w:p>
    <w:p>
      <w:pPr>
        <w:spacing w:line="261" w:lineRule="auto" w:before="0"/>
        <w:ind w:left="479" w:right="1437" w:hanging="160"/>
        <w:jc w:val="both"/>
        <w:rPr>
          <w:rFonts w:ascii="Arial" w:hAnsi="Arial"/>
          <w:sz w:val="16"/>
        </w:rPr>
      </w:pPr>
      <w:r>
        <w:rPr>
          <w:rFonts w:ascii="Arial" w:hAnsi="Arial"/>
          <w:color w:val="231F20"/>
          <w:w w:val="95"/>
          <w:sz w:val="16"/>
        </w:rPr>
        <w:t>Hall</w:t>
      </w:r>
      <w:r>
        <w:rPr>
          <w:rFonts w:ascii="Arial" w:hAnsi="Arial"/>
          <w:color w:val="231F20"/>
          <w:spacing w:val="-5"/>
          <w:w w:val="95"/>
          <w:sz w:val="16"/>
        </w:rPr>
        <w:t> </w:t>
      </w:r>
      <w:r>
        <w:rPr>
          <w:rFonts w:ascii="Arial" w:hAnsi="Arial"/>
          <w:color w:val="231F20"/>
          <w:w w:val="95"/>
          <w:sz w:val="16"/>
        </w:rPr>
        <w:t>JE,</w:t>
      </w:r>
      <w:r>
        <w:rPr>
          <w:rFonts w:ascii="Arial" w:hAnsi="Arial"/>
          <w:color w:val="231F20"/>
          <w:spacing w:val="-4"/>
          <w:w w:val="95"/>
          <w:sz w:val="16"/>
        </w:rPr>
        <w:t> </w:t>
      </w:r>
      <w:r>
        <w:rPr>
          <w:rFonts w:ascii="Arial" w:hAnsi="Arial"/>
          <w:color w:val="231F20"/>
          <w:w w:val="95"/>
          <w:sz w:val="16"/>
        </w:rPr>
        <w:t>Brands</w:t>
      </w:r>
      <w:r>
        <w:rPr>
          <w:rFonts w:ascii="Arial" w:hAnsi="Arial"/>
          <w:color w:val="231F20"/>
          <w:spacing w:val="-5"/>
          <w:w w:val="95"/>
          <w:sz w:val="16"/>
        </w:rPr>
        <w:t> </w:t>
      </w:r>
      <w:r>
        <w:rPr>
          <w:rFonts w:ascii="Arial" w:hAnsi="Arial"/>
          <w:color w:val="231F20"/>
          <w:w w:val="95"/>
          <w:sz w:val="16"/>
        </w:rPr>
        <w:t>MW:</w:t>
      </w:r>
      <w:r>
        <w:rPr>
          <w:rFonts w:ascii="Arial" w:hAnsi="Arial"/>
          <w:color w:val="231F20"/>
          <w:spacing w:val="-4"/>
          <w:w w:val="95"/>
          <w:sz w:val="16"/>
        </w:rPr>
        <w:t> </w:t>
      </w:r>
      <w:r>
        <w:rPr>
          <w:rFonts w:ascii="Arial" w:hAnsi="Arial"/>
          <w:color w:val="231F20"/>
          <w:w w:val="95"/>
          <w:sz w:val="16"/>
        </w:rPr>
        <w:t>The</w:t>
      </w:r>
      <w:r>
        <w:rPr>
          <w:rFonts w:ascii="Arial" w:hAnsi="Arial"/>
          <w:color w:val="231F20"/>
          <w:spacing w:val="-5"/>
          <w:w w:val="95"/>
          <w:sz w:val="16"/>
        </w:rPr>
        <w:t> </w:t>
      </w:r>
      <w:r>
        <w:rPr>
          <w:rFonts w:ascii="Arial" w:hAnsi="Arial"/>
          <w:color w:val="231F20"/>
          <w:w w:val="95"/>
          <w:sz w:val="16"/>
        </w:rPr>
        <w:t>renin-angiotensin-aldosterone</w:t>
      </w:r>
      <w:r>
        <w:rPr>
          <w:rFonts w:ascii="Arial" w:hAnsi="Arial"/>
          <w:color w:val="231F20"/>
          <w:spacing w:val="-4"/>
          <w:w w:val="95"/>
          <w:sz w:val="16"/>
        </w:rPr>
        <w:t> </w:t>
      </w:r>
      <w:r>
        <w:rPr>
          <w:rFonts w:ascii="Arial" w:hAnsi="Arial"/>
          <w:color w:val="231F20"/>
          <w:w w:val="95"/>
          <w:sz w:val="16"/>
        </w:rPr>
        <w:t>system:</w:t>
      </w:r>
      <w:r>
        <w:rPr>
          <w:rFonts w:ascii="Arial" w:hAnsi="Arial"/>
          <w:color w:val="231F20"/>
          <w:spacing w:val="-5"/>
          <w:w w:val="95"/>
          <w:sz w:val="16"/>
        </w:rPr>
        <w:t> </w:t>
      </w:r>
      <w:r>
        <w:rPr>
          <w:rFonts w:ascii="Arial" w:hAnsi="Arial"/>
          <w:color w:val="231F20"/>
          <w:w w:val="95"/>
          <w:sz w:val="16"/>
        </w:rPr>
        <w:t>renal </w:t>
      </w:r>
      <w:r>
        <w:rPr>
          <w:rFonts w:ascii="Arial" w:hAnsi="Arial"/>
          <w:color w:val="231F20"/>
          <w:sz w:val="16"/>
        </w:rPr>
        <w:t>mechanisms</w:t>
      </w:r>
      <w:r>
        <w:rPr>
          <w:rFonts w:ascii="Arial" w:hAnsi="Arial"/>
          <w:color w:val="231F20"/>
          <w:spacing w:val="-26"/>
          <w:sz w:val="16"/>
        </w:rPr>
        <w:t> </w:t>
      </w:r>
      <w:r>
        <w:rPr>
          <w:rFonts w:ascii="Arial" w:hAnsi="Arial"/>
          <w:color w:val="231F20"/>
          <w:sz w:val="16"/>
        </w:rPr>
        <w:t>and</w:t>
      </w:r>
      <w:r>
        <w:rPr>
          <w:rFonts w:ascii="Arial" w:hAnsi="Arial"/>
          <w:color w:val="231F20"/>
          <w:spacing w:val="-25"/>
          <w:sz w:val="16"/>
        </w:rPr>
        <w:t> </w:t>
      </w:r>
      <w:r>
        <w:rPr>
          <w:rFonts w:ascii="Arial" w:hAnsi="Arial"/>
          <w:color w:val="231F20"/>
          <w:sz w:val="16"/>
        </w:rPr>
        <w:t>circulatory</w:t>
      </w:r>
      <w:r>
        <w:rPr>
          <w:rFonts w:ascii="Arial" w:hAnsi="Arial"/>
          <w:color w:val="231F20"/>
          <w:spacing w:val="-25"/>
          <w:sz w:val="16"/>
        </w:rPr>
        <w:t> </w:t>
      </w:r>
      <w:r>
        <w:rPr>
          <w:rFonts w:ascii="Arial" w:hAnsi="Arial"/>
          <w:color w:val="231F20"/>
          <w:sz w:val="16"/>
        </w:rPr>
        <w:t>homeostasis.</w:t>
      </w:r>
      <w:r>
        <w:rPr>
          <w:rFonts w:ascii="Arial" w:hAnsi="Arial"/>
          <w:color w:val="231F20"/>
          <w:spacing w:val="-25"/>
          <w:sz w:val="16"/>
        </w:rPr>
        <w:t> </w:t>
      </w:r>
      <w:r>
        <w:rPr>
          <w:rFonts w:ascii="Arial" w:hAnsi="Arial"/>
          <w:color w:val="231F20"/>
          <w:sz w:val="16"/>
        </w:rPr>
        <w:t>In:</w:t>
      </w:r>
      <w:r>
        <w:rPr>
          <w:rFonts w:ascii="Arial" w:hAnsi="Arial"/>
          <w:color w:val="231F20"/>
          <w:spacing w:val="-25"/>
          <w:sz w:val="16"/>
        </w:rPr>
        <w:t> </w:t>
      </w:r>
      <w:r>
        <w:rPr>
          <w:rFonts w:ascii="Arial" w:hAnsi="Arial"/>
          <w:color w:val="231F20"/>
          <w:sz w:val="16"/>
        </w:rPr>
        <w:t>Seldin</w:t>
      </w:r>
      <w:r>
        <w:rPr>
          <w:rFonts w:ascii="Arial" w:hAnsi="Arial"/>
          <w:color w:val="231F20"/>
          <w:spacing w:val="-25"/>
          <w:sz w:val="16"/>
        </w:rPr>
        <w:t> </w:t>
      </w:r>
      <w:r>
        <w:rPr>
          <w:rFonts w:ascii="Arial" w:hAnsi="Arial"/>
          <w:color w:val="231F20"/>
          <w:spacing w:val="-4"/>
          <w:sz w:val="16"/>
        </w:rPr>
        <w:t>DW,</w:t>
      </w:r>
      <w:r>
        <w:rPr>
          <w:rFonts w:ascii="Arial" w:hAnsi="Arial"/>
          <w:color w:val="231F20"/>
          <w:spacing w:val="-25"/>
          <w:sz w:val="16"/>
        </w:rPr>
        <w:t> </w:t>
      </w:r>
      <w:r>
        <w:rPr>
          <w:rFonts w:ascii="Arial" w:hAnsi="Arial"/>
          <w:color w:val="231F20"/>
          <w:sz w:val="16"/>
        </w:rPr>
        <w:t>Giebisch </w:t>
      </w:r>
      <w:r>
        <w:rPr>
          <w:rFonts w:ascii="Arial" w:hAnsi="Arial"/>
          <w:color w:val="231F20"/>
          <w:w w:val="95"/>
          <w:sz w:val="16"/>
        </w:rPr>
        <w:t>G</w:t>
      </w:r>
      <w:r>
        <w:rPr>
          <w:rFonts w:ascii="Arial" w:hAnsi="Arial"/>
          <w:color w:val="231F20"/>
          <w:spacing w:val="-11"/>
          <w:w w:val="95"/>
          <w:sz w:val="16"/>
        </w:rPr>
        <w:t> </w:t>
      </w:r>
      <w:r>
        <w:rPr>
          <w:rFonts w:ascii="Arial" w:hAnsi="Arial"/>
          <w:color w:val="231F20"/>
          <w:w w:val="95"/>
          <w:sz w:val="16"/>
        </w:rPr>
        <w:t>(eds):</w:t>
      </w:r>
      <w:r>
        <w:rPr>
          <w:rFonts w:ascii="Arial" w:hAnsi="Arial"/>
          <w:color w:val="231F20"/>
          <w:spacing w:val="-11"/>
          <w:w w:val="95"/>
          <w:sz w:val="16"/>
        </w:rPr>
        <w:t> </w:t>
      </w:r>
      <w:r>
        <w:rPr>
          <w:rFonts w:ascii="Arial" w:hAnsi="Arial"/>
          <w:color w:val="231F20"/>
          <w:w w:val="95"/>
          <w:sz w:val="16"/>
        </w:rPr>
        <w:t>The</w:t>
      </w:r>
      <w:r>
        <w:rPr>
          <w:rFonts w:ascii="Arial" w:hAnsi="Arial"/>
          <w:color w:val="231F20"/>
          <w:spacing w:val="-11"/>
          <w:w w:val="95"/>
          <w:sz w:val="16"/>
        </w:rPr>
        <w:t> </w:t>
      </w:r>
      <w:r>
        <w:rPr>
          <w:rFonts w:ascii="Arial" w:hAnsi="Arial"/>
          <w:color w:val="231F20"/>
          <w:w w:val="95"/>
          <w:sz w:val="16"/>
        </w:rPr>
        <w:t>Kidney—Physiology</w:t>
      </w:r>
      <w:r>
        <w:rPr>
          <w:rFonts w:ascii="Arial" w:hAnsi="Arial"/>
          <w:color w:val="231F20"/>
          <w:spacing w:val="-11"/>
          <w:w w:val="95"/>
          <w:sz w:val="16"/>
        </w:rPr>
        <w:t> </w:t>
      </w:r>
      <w:r>
        <w:rPr>
          <w:rFonts w:ascii="Arial" w:hAnsi="Arial"/>
          <w:color w:val="231F20"/>
          <w:w w:val="95"/>
          <w:sz w:val="16"/>
        </w:rPr>
        <w:t>and</w:t>
      </w:r>
      <w:r>
        <w:rPr>
          <w:rFonts w:ascii="Arial" w:hAnsi="Arial"/>
          <w:color w:val="231F20"/>
          <w:spacing w:val="-10"/>
          <w:w w:val="95"/>
          <w:sz w:val="16"/>
        </w:rPr>
        <w:t> </w:t>
      </w:r>
      <w:r>
        <w:rPr>
          <w:rFonts w:ascii="Arial" w:hAnsi="Arial"/>
          <w:color w:val="231F20"/>
          <w:w w:val="95"/>
          <w:sz w:val="16"/>
        </w:rPr>
        <w:t>Pathophysiology,</w:t>
      </w:r>
      <w:r>
        <w:rPr>
          <w:rFonts w:ascii="Arial" w:hAnsi="Arial"/>
          <w:color w:val="231F20"/>
          <w:spacing w:val="-11"/>
          <w:w w:val="95"/>
          <w:sz w:val="16"/>
        </w:rPr>
        <w:t> </w:t>
      </w:r>
      <w:r>
        <w:rPr>
          <w:rFonts w:ascii="Arial" w:hAnsi="Arial"/>
          <w:color w:val="231F20"/>
          <w:w w:val="95"/>
          <w:sz w:val="16"/>
        </w:rPr>
        <w:t>3rd</w:t>
      </w:r>
      <w:r>
        <w:rPr>
          <w:rFonts w:ascii="Arial" w:hAnsi="Arial"/>
          <w:color w:val="231F20"/>
          <w:spacing w:val="-11"/>
          <w:w w:val="95"/>
          <w:sz w:val="16"/>
        </w:rPr>
        <w:t> </w:t>
      </w:r>
      <w:r>
        <w:rPr>
          <w:rFonts w:ascii="Arial" w:hAnsi="Arial"/>
          <w:color w:val="231F20"/>
          <w:w w:val="95"/>
          <w:sz w:val="16"/>
        </w:rPr>
        <w:t>ed.</w:t>
      </w:r>
      <w:r>
        <w:rPr>
          <w:rFonts w:ascii="Arial" w:hAnsi="Arial"/>
          <w:color w:val="231F20"/>
          <w:spacing w:val="-11"/>
          <w:w w:val="95"/>
          <w:sz w:val="16"/>
        </w:rPr>
        <w:t> </w:t>
      </w:r>
      <w:r>
        <w:rPr>
          <w:rFonts w:ascii="Arial" w:hAnsi="Arial"/>
          <w:color w:val="231F20"/>
          <w:spacing w:val="-4"/>
          <w:w w:val="95"/>
          <w:sz w:val="16"/>
        </w:rPr>
        <w:t>New </w:t>
      </w:r>
      <w:r>
        <w:rPr>
          <w:rFonts w:ascii="Arial" w:hAnsi="Arial"/>
          <w:color w:val="231F20"/>
          <w:spacing w:val="-3"/>
          <w:sz w:val="16"/>
        </w:rPr>
        <w:t>York: </w:t>
      </w:r>
      <w:r>
        <w:rPr>
          <w:rFonts w:ascii="Arial" w:hAnsi="Arial"/>
          <w:color w:val="231F20"/>
          <w:sz w:val="16"/>
        </w:rPr>
        <w:t>Raven Press,</w:t>
      </w:r>
      <w:r>
        <w:rPr>
          <w:rFonts w:ascii="Arial" w:hAnsi="Arial"/>
          <w:color w:val="231F20"/>
          <w:spacing w:val="19"/>
          <w:sz w:val="16"/>
        </w:rPr>
        <w:t> </w:t>
      </w:r>
      <w:r>
        <w:rPr>
          <w:rFonts w:ascii="Arial" w:hAnsi="Arial"/>
          <w:color w:val="231F20"/>
          <w:sz w:val="16"/>
        </w:rPr>
        <w:t>2000.</w:t>
      </w:r>
    </w:p>
    <w:p>
      <w:pPr>
        <w:spacing w:line="261" w:lineRule="auto" w:before="0"/>
        <w:ind w:left="479" w:right="1437" w:hanging="160"/>
        <w:jc w:val="both"/>
        <w:rPr>
          <w:rFonts w:ascii="Arial"/>
          <w:sz w:val="16"/>
        </w:rPr>
      </w:pPr>
      <w:r>
        <w:rPr>
          <w:rFonts w:ascii="Arial"/>
          <w:color w:val="231F20"/>
          <w:sz w:val="16"/>
        </w:rPr>
        <w:t>Hall JE, Granger </w:t>
      </w:r>
      <w:r>
        <w:rPr>
          <w:rFonts w:ascii="Arial"/>
          <w:color w:val="231F20"/>
          <w:spacing w:val="-9"/>
          <w:sz w:val="16"/>
        </w:rPr>
        <w:t>JP, </w:t>
      </w:r>
      <w:r>
        <w:rPr>
          <w:rFonts w:ascii="Arial"/>
          <w:color w:val="231F20"/>
          <w:sz w:val="16"/>
        </w:rPr>
        <w:t>do Carmo JM, et al: Hypertension:</w:t>
      </w:r>
      <w:r>
        <w:rPr>
          <w:rFonts w:ascii="Arial"/>
          <w:color w:val="231F20"/>
          <w:spacing w:val="-24"/>
          <w:sz w:val="16"/>
        </w:rPr>
        <w:t> </w:t>
      </w:r>
      <w:r>
        <w:rPr>
          <w:rFonts w:ascii="Arial"/>
          <w:color w:val="231F20"/>
          <w:sz w:val="16"/>
        </w:rPr>
        <w:t>physiology and pathophysiology. Compr Physiol 2:2393,</w:t>
      </w:r>
      <w:r>
        <w:rPr>
          <w:rFonts w:ascii="Arial"/>
          <w:color w:val="231F20"/>
          <w:spacing w:val="14"/>
          <w:sz w:val="16"/>
        </w:rPr>
        <w:t> </w:t>
      </w:r>
      <w:r>
        <w:rPr>
          <w:rFonts w:ascii="Arial"/>
          <w:color w:val="231F20"/>
          <w:sz w:val="16"/>
        </w:rPr>
        <w:t>2012.</w:t>
      </w:r>
    </w:p>
    <w:p>
      <w:pPr>
        <w:spacing w:line="183" w:lineRule="exact" w:before="0"/>
        <w:ind w:left="319" w:right="0" w:firstLine="0"/>
        <w:jc w:val="both"/>
        <w:rPr>
          <w:rFonts w:ascii="Arial"/>
          <w:sz w:val="16"/>
        </w:rPr>
      </w:pPr>
      <w:r>
        <w:rPr>
          <w:rFonts w:ascii="Arial"/>
          <w:color w:val="231F20"/>
          <w:sz w:val="16"/>
        </w:rPr>
        <w:t>Hamilton KL, Devor DC: Basolateral membrane K</w:t>
      </w:r>
      <w:r>
        <w:rPr>
          <w:rFonts w:ascii="Arial Unicode MS"/>
          <w:color w:val="231F20"/>
          <w:position w:val="6"/>
          <w:sz w:val="9"/>
        </w:rPr>
        <w:t>+ </w:t>
      </w:r>
      <w:r>
        <w:rPr>
          <w:rFonts w:ascii="Arial"/>
          <w:color w:val="231F20"/>
          <w:sz w:val="16"/>
        </w:rPr>
        <w:t>channels in</w:t>
      </w:r>
    </w:p>
    <w:p>
      <w:pPr>
        <w:spacing w:line="261" w:lineRule="auto" w:before="0"/>
        <w:ind w:left="479" w:right="1439" w:firstLine="0"/>
        <w:jc w:val="both"/>
        <w:rPr>
          <w:rFonts w:ascii="Arial"/>
          <w:sz w:val="16"/>
        </w:rPr>
      </w:pPr>
      <w:r>
        <w:rPr>
          <w:rFonts w:ascii="Arial"/>
          <w:color w:val="231F20"/>
          <w:sz w:val="16"/>
        </w:rPr>
        <w:t>renal epithelial cells. Am J Physiol Renal Physiol 302:F1069, 2012.</w:t>
      </w:r>
    </w:p>
    <w:p>
      <w:pPr>
        <w:spacing w:line="261" w:lineRule="auto" w:before="0"/>
        <w:ind w:left="479" w:right="1437" w:hanging="160"/>
        <w:jc w:val="both"/>
        <w:rPr>
          <w:rFonts w:ascii="Arial"/>
          <w:sz w:val="16"/>
        </w:rPr>
      </w:pPr>
      <w:r>
        <w:rPr>
          <w:rFonts w:ascii="Arial"/>
          <w:color w:val="231F20"/>
          <w:sz w:val="16"/>
        </w:rPr>
        <w:t>Hamm L, Hering-Smith KS, Nakhoul NL: Acid-base and</w:t>
      </w:r>
      <w:r>
        <w:rPr>
          <w:rFonts w:ascii="Arial"/>
          <w:color w:val="231F20"/>
          <w:spacing w:val="-24"/>
          <w:sz w:val="16"/>
        </w:rPr>
        <w:t> </w:t>
      </w:r>
      <w:r>
        <w:rPr>
          <w:rFonts w:ascii="Arial"/>
          <w:color w:val="231F20"/>
          <w:sz w:val="16"/>
        </w:rPr>
        <w:t>potassium homeostasis. Semin Nephrol 33:257,</w:t>
      </w:r>
      <w:r>
        <w:rPr>
          <w:rFonts w:ascii="Arial"/>
          <w:color w:val="231F20"/>
          <w:spacing w:val="17"/>
          <w:sz w:val="16"/>
        </w:rPr>
        <w:t> </w:t>
      </w:r>
      <w:r>
        <w:rPr>
          <w:rFonts w:ascii="Arial"/>
          <w:color w:val="231F20"/>
          <w:sz w:val="16"/>
        </w:rPr>
        <w:t>2013.</w:t>
      </w:r>
    </w:p>
    <w:p>
      <w:pPr>
        <w:spacing w:line="261" w:lineRule="auto" w:before="0"/>
        <w:ind w:left="479" w:right="1439" w:hanging="160"/>
        <w:jc w:val="both"/>
        <w:rPr>
          <w:rFonts w:ascii="Arial"/>
          <w:sz w:val="16"/>
        </w:rPr>
      </w:pPr>
      <w:r>
        <w:rPr>
          <w:rFonts w:ascii="Arial"/>
          <w:color w:val="231F20"/>
          <w:sz w:val="16"/>
        </w:rPr>
        <w:t>Kellenberger</w:t>
      </w:r>
      <w:r>
        <w:rPr>
          <w:rFonts w:ascii="Arial"/>
          <w:color w:val="231F20"/>
          <w:spacing w:val="-21"/>
          <w:sz w:val="16"/>
        </w:rPr>
        <w:t> </w:t>
      </w:r>
      <w:r>
        <w:rPr>
          <w:rFonts w:ascii="Arial"/>
          <w:color w:val="231F20"/>
          <w:sz w:val="16"/>
        </w:rPr>
        <w:t>S,</w:t>
      </w:r>
      <w:r>
        <w:rPr>
          <w:rFonts w:ascii="Arial"/>
          <w:color w:val="231F20"/>
          <w:spacing w:val="-20"/>
          <w:sz w:val="16"/>
        </w:rPr>
        <w:t> </w:t>
      </w:r>
      <w:r>
        <w:rPr>
          <w:rFonts w:ascii="Arial"/>
          <w:color w:val="231F20"/>
          <w:sz w:val="16"/>
        </w:rPr>
        <w:t>Schild</w:t>
      </w:r>
      <w:r>
        <w:rPr>
          <w:rFonts w:ascii="Arial"/>
          <w:color w:val="231F20"/>
          <w:spacing w:val="-20"/>
          <w:sz w:val="16"/>
        </w:rPr>
        <w:t> </w:t>
      </w:r>
      <w:r>
        <w:rPr>
          <w:rFonts w:ascii="Arial"/>
          <w:color w:val="231F20"/>
          <w:sz w:val="16"/>
        </w:rPr>
        <w:t>L:</w:t>
      </w:r>
      <w:r>
        <w:rPr>
          <w:rFonts w:ascii="Arial"/>
          <w:color w:val="231F20"/>
          <w:spacing w:val="-21"/>
          <w:sz w:val="16"/>
        </w:rPr>
        <w:t> </w:t>
      </w:r>
      <w:r>
        <w:rPr>
          <w:rFonts w:ascii="Arial"/>
          <w:color w:val="231F20"/>
          <w:sz w:val="16"/>
        </w:rPr>
        <w:t>Epithelial</w:t>
      </w:r>
      <w:r>
        <w:rPr>
          <w:rFonts w:ascii="Arial"/>
          <w:color w:val="231F20"/>
          <w:spacing w:val="-20"/>
          <w:sz w:val="16"/>
        </w:rPr>
        <w:t> </w:t>
      </w:r>
      <w:r>
        <w:rPr>
          <w:rFonts w:ascii="Arial"/>
          <w:color w:val="231F20"/>
          <w:sz w:val="16"/>
        </w:rPr>
        <w:t>sodium</w:t>
      </w:r>
      <w:r>
        <w:rPr>
          <w:rFonts w:ascii="Arial"/>
          <w:color w:val="231F20"/>
          <w:spacing w:val="-20"/>
          <w:sz w:val="16"/>
        </w:rPr>
        <w:t> </w:t>
      </w:r>
      <w:r>
        <w:rPr>
          <w:rFonts w:ascii="Arial"/>
          <w:color w:val="231F20"/>
          <w:sz w:val="16"/>
        </w:rPr>
        <w:t>channel/degenerin</w:t>
      </w:r>
      <w:r>
        <w:rPr>
          <w:rFonts w:ascii="Arial"/>
          <w:color w:val="231F20"/>
          <w:spacing w:val="-20"/>
          <w:sz w:val="16"/>
        </w:rPr>
        <w:t> </w:t>
      </w:r>
      <w:r>
        <w:rPr>
          <w:rFonts w:ascii="Arial"/>
          <w:color w:val="231F20"/>
          <w:spacing w:val="-4"/>
          <w:sz w:val="16"/>
        </w:rPr>
        <w:t>family </w:t>
      </w:r>
      <w:r>
        <w:rPr>
          <w:rFonts w:ascii="Arial"/>
          <w:color w:val="231F20"/>
          <w:sz w:val="16"/>
        </w:rPr>
        <w:t>of ion channels: a variety of functions for a shared </w:t>
      </w:r>
      <w:r>
        <w:rPr>
          <w:rFonts w:ascii="Arial"/>
          <w:color w:val="231F20"/>
          <w:spacing w:val="-3"/>
          <w:sz w:val="16"/>
        </w:rPr>
        <w:t>structure. </w:t>
      </w:r>
      <w:r>
        <w:rPr>
          <w:rFonts w:ascii="Arial"/>
          <w:color w:val="231F20"/>
          <w:sz w:val="16"/>
        </w:rPr>
        <w:t>Physiol Rev 82:735,</w:t>
      </w:r>
      <w:r>
        <w:rPr>
          <w:rFonts w:ascii="Arial"/>
          <w:color w:val="231F20"/>
          <w:spacing w:val="18"/>
          <w:sz w:val="16"/>
        </w:rPr>
        <w:t> </w:t>
      </w:r>
      <w:r>
        <w:rPr>
          <w:rFonts w:ascii="Arial"/>
          <w:color w:val="231F20"/>
          <w:sz w:val="16"/>
        </w:rPr>
        <w:t>2002.</w:t>
      </w:r>
    </w:p>
    <w:p>
      <w:pPr>
        <w:spacing w:line="261" w:lineRule="auto" w:before="0"/>
        <w:ind w:left="479" w:right="1439" w:hanging="160"/>
        <w:jc w:val="both"/>
        <w:rPr>
          <w:rFonts w:ascii="Arial"/>
          <w:sz w:val="16"/>
        </w:rPr>
      </w:pPr>
      <w:r>
        <w:rPr>
          <w:rFonts w:ascii="Arial"/>
          <w:color w:val="231F20"/>
          <w:sz w:val="16"/>
        </w:rPr>
        <w:t>Klein</w:t>
      </w:r>
      <w:r>
        <w:rPr>
          <w:rFonts w:ascii="Arial"/>
          <w:color w:val="231F20"/>
          <w:spacing w:val="-25"/>
          <w:sz w:val="16"/>
        </w:rPr>
        <w:t> </w:t>
      </w:r>
      <w:r>
        <w:rPr>
          <w:rFonts w:ascii="Arial"/>
          <w:color w:val="231F20"/>
          <w:sz w:val="16"/>
        </w:rPr>
        <w:t>JD,</w:t>
      </w:r>
      <w:r>
        <w:rPr>
          <w:rFonts w:ascii="Arial"/>
          <w:color w:val="231F20"/>
          <w:spacing w:val="-25"/>
          <w:sz w:val="16"/>
        </w:rPr>
        <w:t> </w:t>
      </w:r>
      <w:r>
        <w:rPr>
          <w:rFonts w:ascii="Arial"/>
          <w:color w:val="231F20"/>
          <w:sz w:val="16"/>
        </w:rPr>
        <w:t>Blount</w:t>
      </w:r>
      <w:r>
        <w:rPr>
          <w:rFonts w:ascii="Arial"/>
          <w:color w:val="231F20"/>
          <w:spacing w:val="-25"/>
          <w:sz w:val="16"/>
        </w:rPr>
        <w:t> </w:t>
      </w:r>
      <w:r>
        <w:rPr>
          <w:rFonts w:ascii="Arial"/>
          <w:color w:val="231F20"/>
          <w:sz w:val="16"/>
        </w:rPr>
        <w:t>MA,</w:t>
      </w:r>
      <w:r>
        <w:rPr>
          <w:rFonts w:ascii="Arial"/>
          <w:color w:val="231F20"/>
          <w:spacing w:val="-25"/>
          <w:sz w:val="16"/>
        </w:rPr>
        <w:t> </w:t>
      </w:r>
      <w:r>
        <w:rPr>
          <w:rFonts w:ascii="Arial"/>
          <w:color w:val="231F20"/>
          <w:sz w:val="16"/>
        </w:rPr>
        <w:t>Sands</w:t>
      </w:r>
      <w:r>
        <w:rPr>
          <w:rFonts w:ascii="Arial"/>
          <w:color w:val="231F20"/>
          <w:spacing w:val="-25"/>
          <w:sz w:val="16"/>
        </w:rPr>
        <w:t> </w:t>
      </w:r>
      <w:r>
        <w:rPr>
          <w:rFonts w:ascii="Arial"/>
          <w:color w:val="231F20"/>
          <w:sz w:val="16"/>
        </w:rPr>
        <w:t>JM:</w:t>
      </w:r>
      <w:r>
        <w:rPr>
          <w:rFonts w:ascii="Arial"/>
          <w:color w:val="231F20"/>
          <w:spacing w:val="-25"/>
          <w:sz w:val="16"/>
        </w:rPr>
        <w:t> </w:t>
      </w:r>
      <w:r>
        <w:rPr>
          <w:rFonts w:ascii="Arial"/>
          <w:color w:val="231F20"/>
          <w:sz w:val="16"/>
        </w:rPr>
        <w:t>Molecular</w:t>
      </w:r>
      <w:r>
        <w:rPr>
          <w:rFonts w:ascii="Arial"/>
          <w:color w:val="231F20"/>
          <w:spacing w:val="-24"/>
          <w:sz w:val="16"/>
        </w:rPr>
        <w:t> </w:t>
      </w:r>
      <w:r>
        <w:rPr>
          <w:rFonts w:ascii="Arial"/>
          <w:color w:val="231F20"/>
          <w:sz w:val="16"/>
        </w:rPr>
        <w:t>mechanisms</w:t>
      </w:r>
      <w:r>
        <w:rPr>
          <w:rFonts w:ascii="Arial"/>
          <w:color w:val="231F20"/>
          <w:spacing w:val="-25"/>
          <w:sz w:val="16"/>
        </w:rPr>
        <w:t> </w:t>
      </w:r>
      <w:r>
        <w:rPr>
          <w:rFonts w:ascii="Arial"/>
          <w:color w:val="231F20"/>
          <w:sz w:val="16"/>
        </w:rPr>
        <w:t>of</w:t>
      </w:r>
      <w:r>
        <w:rPr>
          <w:rFonts w:ascii="Arial"/>
          <w:color w:val="231F20"/>
          <w:spacing w:val="-25"/>
          <w:sz w:val="16"/>
        </w:rPr>
        <w:t> </w:t>
      </w:r>
      <w:r>
        <w:rPr>
          <w:rFonts w:ascii="Arial"/>
          <w:color w:val="231F20"/>
          <w:sz w:val="16"/>
        </w:rPr>
        <w:t>urea</w:t>
      </w:r>
      <w:r>
        <w:rPr>
          <w:rFonts w:ascii="Arial"/>
          <w:color w:val="231F20"/>
          <w:spacing w:val="-25"/>
          <w:sz w:val="16"/>
        </w:rPr>
        <w:t> </w:t>
      </w:r>
      <w:r>
        <w:rPr>
          <w:rFonts w:ascii="Arial"/>
          <w:color w:val="231F20"/>
          <w:spacing w:val="-4"/>
          <w:sz w:val="16"/>
        </w:rPr>
        <w:t>trans- </w:t>
      </w:r>
      <w:r>
        <w:rPr>
          <w:rFonts w:ascii="Arial"/>
          <w:color w:val="231F20"/>
          <w:sz w:val="16"/>
        </w:rPr>
        <w:t>port in health and disease. Pflugers Arch 464:561,</w:t>
      </w:r>
      <w:r>
        <w:rPr>
          <w:rFonts w:ascii="Arial"/>
          <w:color w:val="231F20"/>
          <w:spacing w:val="10"/>
          <w:sz w:val="16"/>
        </w:rPr>
        <w:t> </w:t>
      </w:r>
      <w:r>
        <w:rPr>
          <w:rFonts w:ascii="Arial"/>
          <w:color w:val="231F20"/>
          <w:sz w:val="16"/>
        </w:rPr>
        <w:t>2012.</w:t>
      </w:r>
    </w:p>
    <w:p>
      <w:pPr>
        <w:spacing w:line="261" w:lineRule="auto" w:before="0"/>
        <w:ind w:left="479" w:right="1439" w:hanging="160"/>
        <w:jc w:val="both"/>
        <w:rPr>
          <w:rFonts w:ascii="Arial"/>
          <w:sz w:val="16"/>
        </w:rPr>
      </w:pPr>
      <w:r>
        <w:rPr>
          <w:rFonts w:ascii="Arial"/>
          <w:color w:val="231F20"/>
          <w:sz w:val="16"/>
        </w:rPr>
        <w:t>Kohan</w:t>
      </w:r>
      <w:r>
        <w:rPr>
          <w:rFonts w:ascii="Arial"/>
          <w:color w:val="231F20"/>
          <w:spacing w:val="-15"/>
          <w:sz w:val="16"/>
        </w:rPr>
        <w:t> </w:t>
      </w:r>
      <w:r>
        <w:rPr>
          <w:rFonts w:ascii="Arial"/>
          <w:color w:val="231F20"/>
          <w:sz w:val="16"/>
        </w:rPr>
        <w:t>DE:</w:t>
      </w:r>
      <w:r>
        <w:rPr>
          <w:rFonts w:ascii="Arial"/>
          <w:color w:val="231F20"/>
          <w:spacing w:val="-15"/>
          <w:sz w:val="16"/>
        </w:rPr>
        <w:t> </w:t>
      </w:r>
      <w:r>
        <w:rPr>
          <w:rFonts w:ascii="Arial"/>
          <w:color w:val="231F20"/>
          <w:sz w:val="16"/>
        </w:rPr>
        <w:t>Role</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collecting</w:t>
      </w:r>
      <w:r>
        <w:rPr>
          <w:rFonts w:ascii="Arial"/>
          <w:color w:val="231F20"/>
          <w:spacing w:val="-15"/>
          <w:sz w:val="16"/>
        </w:rPr>
        <w:t> </w:t>
      </w:r>
      <w:r>
        <w:rPr>
          <w:rFonts w:ascii="Arial"/>
          <w:color w:val="231F20"/>
          <w:sz w:val="16"/>
        </w:rPr>
        <w:t>duct</w:t>
      </w:r>
      <w:r>
        <w:rPr>
          <w:rFonts w:ascii="Arial"/>
          <w:color w:val="231F20"/>
          <w:spacing w:val="-15"/>
          <w:sz w:val="16"/>
        </w:rPr>
        <w:t> </w:t>
      </w:r>
      <w:r>
        <w:rPr>
          <w:rFonts w:ascii="Arial"/>
          <w:color w:val="231F20"/>
          <w:sz w:val="16"/>
        </w:rPr>
        <w:t>endothelin</w:t>
      </w:r>
      <w:r>
        <w:rPr>
          <w:rFonts w:ascii="Arial"/>
          <w:color w:val="231F20"/>
          <w:spacing w:val="-15"/>
          <w:sz w:val="16"/>
        </w:rPr>
        <w:t> </w:t>
      </w:r>
      <w:r>
        <w:rPr>
          <w:rFonts w:ascii="Arial"/>
          <w:color w:val="231F20"/>
          <w:sz w:val="16"/>
        </w:rPr>
        <w:t>in</w:t>
      </w:r>
      <w:r>
        <w:rPr>
          <w:rFonts w:ascii="Arial"/>
          <w:color w:val="231F20"/>
          <w:spacing w:val="-15"/>
          <w:sz w:val="16"/>
        </w:rPr>
        <w:t> </w:t>
      </w:r>
      <w:r>
        <w:rPr>
          <w:rFonts w:ascii="Arial"/>
          <w:color w:val="231F20"/>
          <w:sz w:val="16"/>
        </w:rPr>
        <w:t>control</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renal</w:t>
      </w:r>
      <w:r>
        <w:rPr>
          <w:rFonts w:ascii="Arial"/>
          <w:color w:val="231F20"/>
          <w:spacing w:val="-15"/>
          <w:sz w:val="16"/>
        </w:rPr>
        <w:t> </w:t>
      </w:r>
      <w:r>
        <w:rPr>
          <w:rFonts w:ascii="Arial"/>
          <w:color w:val="231F20"/>
          <w:sz w:val="16"/>
        </w:rPr>
        <w:t>func- tion</w:t>
      </w:r>
      <w:r>
        <w:rPr>
          <w:rFonts w:ascii="Arial"/>
          <w:color w:val="231F20"/>
          <w:spacing w:val="-11"/>
          <w:sz w:val="16"/>
        </w:rPr>
        <w:t> </w:t>
      </w:r>
      <w:r>
        <w:rPr>
          <w:rFonts w:ascii="Arial"/>
          <w:color w:val="231F20"/>
          <w:sz w:val="16"/>
        </w:rPr>
        <w:t>and</w:t>
      </w:r>
      <w:r>
        <w:rPr>
          <w:rFonts w:ascii="Arial"/>
          <w:color w:val="231F20"/>
          <w:spacing w:val="-10"/>
          <w:sz w:val="16"/>
        </w:rPr>
        <w:t> </w:t>
      </w:r>
      <w:r>
        <w:rPr>
          <w:rFonts w:ascii="Arial"/>
          <w:color w:val="231F20"/>
          <w:sz w:val="16"/>
        </w:rPr>
        <w:t>blood</w:t>
      </w:r>
      <w:r>
        <w:rPr>
          <w:rFonts w:ascii="Arial"/>
          <w:color w:val="231F20"/>
          <w:spacing w:val="-10"/>
          <w:sz w:val="16"/>
        </w:rPr>
        <w:t> </w:t>
      </w:r>
      <w:r>
        <w:rPr>
          <w:rFonts w:ascii="Arial"/>
          <w:color w:val="231F20"/>
          <w:sz w:val="16"/>
        </w:rPr>
        <w:t>pressure.</w:t>
      </w:r>
      <w:r>
        <w:rPr>
          <w:rFonts w:ascii="Arial"/>
          <w:color w:val="231F20"/>
          <w:spacing w:val="-11"/>
          <w:sz w:val="16"/>
        </w:rPr>
        <w:t> </w:t>
      </w:r>
      <w:r>
        <w:rPr>
          <w:rFonts w:ascii="Arial"/>
          <w:color w:val="231F20"/>
          <w:sz w:val="16"/>
        </w:rPr>
        <w:t>Am</w:t>
      </w:r>
      <w:r>
        <w:rPr>
          <w:rFonts w:ascii="Arial"/>
          <w:color w:val="231F20"/>
          <w:spacing w:val="-10"/>
          <w:sz w:val="16"/>
        </w:rPr>
        <w:t> </w:t>
      </w:r>
      <w:r>
        <w:rPr>
          <w:rFonts w:ascii="Arial"/>
          <w:color w:val="231F20"/>
          <w:sz w:val="16"/>
        </w:rPr>
        <w:t>J</w:t>
      </w:r>
      <w:r>
        <w:rPr>
          <w:rFonts w:ascii="Arial"/>
          <w:color w:val="231F20"/>
          <w:spacing w:val="-10"/>
          <w:sz w:val="16"/>
        </w:rPr>
        <w:t> </w:t>
      </w:r>
      <w:r>
        <w:rPr>
          <w:rFonts w:ascii="Arial"/>
          <w:color w:val="231F20"/>
          <w:sz w:val="16"/>
        </w:rPr>
        <w:t>Physiol</w:t>
      </w:r>
      <w:r>
        <w:rPr>
          <w:rFonts w:ascii="Arial"/>
          <w:color w:val="231F20"/>
          <w:spacing w:val="-11"/>
          <w:sz w:val="16"/>
        </w:rPr>
        <w:t> </w:t>
      </w:r>
      <w:r>
        <w:rPr>
          <w:rFonts w:ascii="Arial"/>
          <w:color w:val="231F20"/>
          <w:sz w:val="16"/>
        </w:rPr>
        <w:t>Regul</w:t>
      </w:r>
      <w:r>
        <w:rPr>
          <w:rFonts w:ascii="Arial"/>
          <w:color w:val="231F20"/>
          <w:spacing w:val="-10"/>
          <w:sz w:val="16"/>
        </w:rPr>
        <w:t> </w:t>
      </w:r>
      <w:r>
        <w:rPr>
          <w:rFonts w:ascii="Arial"/>
          <w:color w:val="231F20"/>
          <w:sz w:val="16"/>
        </w:rPr>
        <w:t>Integr</w:t>
      </w:r>
      <w:r>
        <w:rPr>
          <w:rFonts w:ascii="Arial"/>
          <w:color w:val="231F20"/>
          <w:spacing w:val="-10"/>
          <w:sz w:val="16"/>
        </w:rPr>
        <w:t> </w:t>
      </w:r>
      <w:r>
        <w:rPr>
          <w:rFonts w:ascii="Arial"/>
          <w:color w:val="231F20"/>
          <w:sz w:val="16"/>
        </w:rPr>
        <w:t>Comp</w:t>
      </w:r>
      <w:r>
        <w:rPr>
          <w:rFonts w:ascii="Arial"/>
          <w:color w:val="231F20"/>
          <w:spacing w:val="-11"/>
          <w:sz w:val="16"/>
        </w:rPr>
        <w:t> </w:t>
      </w:r>
      <w:r>
        <w:rPr>
          <w:rFonts w:ascii="Arial"/>
          <w:color w:val="231F20"/>
          <w:spacing w:val="-3"/>
          <w:sz w:val="16"/>
        </w:rPr>
        <w:t>Physiol </w:t>
      </w:r>
      <w:r>
        <w:rPr>
          <w:rFonts w:ascii="Arial"/>
          <w:color w:val="231F20"/>
          <w:sz w:val="16"/>
        </w:rPr>
        <w:t>305:R659,</w:t>
      </w:r>
      <w:r>
        <w:rPr>
          <w:rFonts w:ascii="Arial"/>
          <w:color w:val="231F20"/>
          <w:spacing w:val="7"/>
          <w:sz w:val="16"/>
        </w:rPr>
        <w:t> </w:t>
      </w:r>
      <w:r>
        <w:rPr>
          <w:rFonts w:ascii="Arial"/>
          <w:color w:val="231F20"/>
          <w:sz w:val="16"/>
        </w:rPr>
        <w:t>2013.</w:t>
      </w:r>
    </w:p>
    <w:p>
      <w:pPr>
        <w:spacing w:after="0" w:line="261" w:lineRule="auto"/>
        <w:jc w:val="both"/>
        <w:rPr>
          <w:rFonts w:ascii="Arial"/>
          <w:sz w:val="16"/>
        </w:rPr>
        <w:sectPr>
          <w:type w:val="continuous"/>
          <w:pgSz w:w="12240" w:h="15660"/>
          <w:pgMar w:top="0" w:bottom="760" w:left="0" w:right="0"/>
          <w:cols w:num="2" w:equalWidth="0">
            <w:col w:w="5761" w:space="40"/>
            <w:col w:w="6439"/>
          </w:cols>
        </w:sect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23"/>
        </w:rPr>
      </w:pPr>
    </w:p>
    <w:p>
      <w:pPr>
        <w:spacing w:after="0"/>
        <w:rPr>
          <w:rFonts w:ascii="Arial"/>
          <w:sz w:val="23"/>
        </w:rPr>
        <w:sectPr>
          <w:headerReference w:type="default" r:id="rId739"/>
          <w:pgSz w:w="12240" w:h="15660"/>
          <w:pgMar w:header="0" w:footer="567" w:top="0" w:bottom="760" w:left="0" w:right="0"/>
        </w:sectPr>
      </w:pPr>
    </w:p>
    <w:p>
      <w:pPr>
        <w:spacing w:line="261" w:lineRule="auto" w:before="96"/>
        <w:ind w:left="1600" w:right="0" w:hanging="160"/>
        <w:jc w:val="both"/>
        <w:rPr>
          <w:rFonts w:ascii="Arial" w:hAnsi="Arial"/>
          <w:sz w:val="16"/>
        </w:rPr>
      </w:pPr>
      <w:r>
        <w:rPr>
          <w:rFonts w:ascii="Arial" w:hAnsi="Arial"/>
          <w:color w:val="231F20"/>
          <w:sz w:val="16"/>
        </w:rPr>
        <w:t>Nielsen</w:t>
      </w:r>
      <w:r>
        <w:rPr>
          <w:rFonts w:ascii="Arial" w:hAnsi="Arial"/>
          <w:color w:val="231F20"/>
          <w:spacing w:val="-19"/>
          <w:sz w:val="16"/>
        </w:rPr>
        <w:t> </w:t>
      </w:r>
      <w:r>
        <w:rPr>
          <w:rFonts w:ascii="Arial" w:hAnsi="Arial"/>
          <w:color w:val="231F20"/>
          <w:sz w:val="16"/>
        </w:rPr>
        <w:t>S,</w:t>
      </w:r>
      <w:r>
        <w:rPr>
          <w:rFonts w:ascii="Arial" w:hAnsi="Arial"/>
          <w:color w:val="231F20"/>
          <w:spacing w:val="-19"/>
          <w:sz w:val="16"/>
        </w:rPr>
        <w:t> </w:t>
      </w:r>
      <w:r>
        <w:rPr>
          <w:rFonts w:ascii="Arial" w:hAnsi="Arial"/>
          <w:color w:val="231F20"/>
          <w:sz w:val="16"/>
        </w:rPr>
        <w:t>Frøkiær</w:t>
      </w:r>
      <w:r>
        <w:rPr>
          <w:rFonts w:ascii="Arial" w:hAnsi="Arial"/>
          <w:color w:val="231F20"/>
          <w:spacing w:val="-19"/>
          <w:sz w:val="16"/>
        </w:rPr>
        <w:t> </w:t>
      </w:r>
      <w:r>
        <w:rPr>
          <w:rFonts w:ascii="Arial" w:hAnsi="Arial"/>
          <w:color w:val="231F20"/>
          <w:sz w:val="16"/>
        </w:rPr>
        <w:t>J,</w:t>
      </w:r>
      <w:r>
        <w:rPr>
          <w:rFonts w:ascii="Arial" w:hAnsi="Arial"/>
          <w:color w:val="231F20"/>
          <w:spacing w:val="-18"/>
          <w:sz w:val="16"/>
        </w:rPr>
        <w:t> </w:t>
      </w:r>
      <w:r>
        <w:rPr>
          <w:rFonts w:ascii="Arial" w:hAnsi="Arial"/>
          <w:color w:val="231F20"/>
          <w:sz w:val="16"/>
        </w:rPr>
        <w:t>Marples</w:t>
      </w:r>
      <w:r>
        <w:rPr>
          <w:rFonts w:ascii="Arial" w:hAnsi="Arial"/>
          <w:color w:val="231F20"/>
          <w:spacing w:val="-19"/>
          <w:sz w:val="16"/>
        </w:rPr>
        <w:t> </w:t>
      </w:r>
      <w:r>
        <w:rPr>
          <w:rFonts w:ascii="Arial" w:hAnsi="Arial"/>
          <w:color w:val="231F20"/>
          <w:sz w:val="16"/>
        </w:rPr>
        <w:t>D,</w:t>
      </w:r>
      <w:r>
        <w:rPr>
          <w:rFonts w:ascii="Arial" w:hAnsi="Arial"/>
          <w:color w:val="231F20"/>
          <w:spacing w:val="-19"/>
          <w:sz w:val="16"/>
        </w:rPr>
        <w:t> </w:t>
      </w:r>
      <w:r>
        <w:rPr>
          <w:rFonts w:ascii="Arial" w:hAnsi="Arial"/>
          <w:color w:val="231F20"/>
          <w:sz w:val="16"/>
        </w:rPr>
        <w:t>et</w:t>
      </w:r>
      <w:r>
        <w:rPr>
          <w:rFonts w:ascii="Arial" w:hAnsi="Arial"/>
          <w:color w:val="231F20"/>
          <w:spacing w:val="-18"/>
          <w:sz w:val="16"/>
        </w:rPr>
        <w:t> </w:t>
      </w:r>
      <w:r>
        <w:rPr>
          <w:rFonts w:ascii="Arial" w:hAnsi="Arial"/>
          <w:color w:val="231F20"/>
          <w:sz w:val="16"/>
        </w:rPr>
        <w:t>al:</w:t>
      </w:r>
      <w:r>
        <w:rPr>
          <w:rFonts w:ascii="Arial" w:hAnsi="Arial"/>
          <w:color w:val="231F20"/>
          <w:spacing w:val="-19"/>
          <w:sz w:val="16"/>
        </w:rPr>
        <w:t> </w:t>
      </w:r>
      <w:r>
        <w:rPr>
          <w:rFonts w:ascii="Arial" w:hAnsi="Arial"/>
          <w:color w:val="231F20"/>
          <w:sz w:val="16"/>
        </w:rPr>
        <w:t>Aquaporins</w:t>
      </w:r>
      <w:r>
        <w:rPr>
          <w:rFonts w:ascii="Arial" w:hAnsi="Arial"/>
          <w:color w:val="231F20"/>
          <w:spacing w:val="-19"/>
          <w:sz w:val="16"/>
        </w:rPr>
        <w:t> </w:t>
      </w:r>
      <w:r>
        <w:rPr>
          <w:rFonts w:ascii="Arial" w:hAnsi="Arial"/>
          <w:color w:val="231F20"/>
          <w:sz w:val="16"/>
        </w:rPr>
        <w:t>in</w:t>
      </w:r>
      <w:r>
        <w:rPr>
          <w:rFonts w:ascii="Arial" w:hAnsi="Arial"/>
          <w:color w:val="231F20"/>
          <w:spacing w:val="-19"/>
          <w:sz w:val="16"/>
        </w:rPr>
        <w:t> </w:t>
      </w:r>
      <w:r>
        <w:rPr>
          <w:rFonts w:ascii="Arial" w:hAnsi="Arial"/>
          <w:color w:val="231F20"/>
          <w:sz w:val="16"/>
        </w:rPr>
        <w:t>the</w:t>
      </w:r>
      <w:r>
        <w:rPr>
          <w:rFonts w:ascii="Arial" w:hAnsi="Arial"/>
          <w:color w:val="231F20"/>
          <w:spacing w:val="-18"/>
          <w:sz w:val="16"/>
        </w:rPr>
        <w:t> </w:t>
      </w:r>
      <w:r>
        <w:rPr>
          <w:rFonts w:ascii="Arial" w:hAnsi="Arial"/>
          <w:color w:val="231F20"/>
          <w:sz w:val="16"/>
        </w:rPr>
        <w:t>kidney:</w:t>
      </w:r>
      <w:r>
        <w:rPr>
          <w:rFonts w:ascii="Arial" w:hAnsi="Arial"/>
          <w:color w:val="231F20"/>
          <w:spacing w:val="-19"/>
          <w:sz w:val="16"/>
        </w:rPr>
        <w:t> </w:t>
      </w:r>
      <w:r>
        <w:rPr>
          <w:rFonts w:ascii="Arial" w:hAnsi="Arial"/>
          <w:color w:val="231F20"/>
          <w:spacing w:val="-6"/>
          <w:sz w:val="16"/>
        </w:rPr>
        <w:t>from </w:t>
      </w:r>
      <w:r>
        <w:rPr>
          <w:rFonts w:ascii="Arial" w:hAnsi="Arial"/>
          <w:color w:val="231F20"/>
          <w:sz w:val="16"/>
        </w:rPr>
        <w:t>molecules to medicine. Physiol Rev 82:205,</w:t>
      </w:r>
      <w:r>
        <w:rPr>
          <w:rFonts w:ascii="Arial" w:hAnsi="Arial"/>
          <w:color w:val="231F20"/>
          <w:spacing w:val="12"/>
          <w:sz w:val="16"/>
        </w:rPr>
        <w:t> </w:t>
      </w:r>
      <w:r>
        <w:rPr>
          <w:rFonts w:ascii="Arial" w:hAnsi="Arial"/>
          <w:color w:val="231F20"/>
          <w:sz w:val="16"/>
        </w:rPr>
        <w:t>2002.</w:t>
      </w:r>
    </w:p>
    <w:p>
      <w:pPr>
        <w:spacing w:line="261" w:lineRule="auto" w:before="0"/>
        <w:ind w:left="1600" w:right="0" w:hanging="160"/>
        <w:jc w:val="both"/>
        <w:rPr>
          <w:rFonts w:ascii="Arial"/>
          <w:sz w:val="16"/>
        </w:rPr>
      </w:pPr>
      <w:r>
        <w:rPr>
          <w:rFonts w:ascii="Arial"/>
          <w:color w:val="231F20"/>
          <w:sz w:val="16"/>
        </w:rPr>
        <w:t>Palmer LG, Frindt G: Aldosterone and potassium secretion by </w:t>
      </w:r>
      <w:r>
        <w:rPr>
          <w:rFonts w:ascii="Arial"/>
          <w:color w:val="231F20"/>
          <w:spacing w:val="-6"/>
          <w:sz w:val="16"/>
        </w:rPr>
        <w:t>the </w:t>
      </w:r>
      <w:r>
        <w:rPr>
          <w:rFonts w:ascii="Arial"/>
          <w:color w:val="231F20"/>
          <w:sz w:val="16"/>
        </w:rPr>
        <w:t>cortical collecting duct. Kidney Int 57:1324,</w:t>
      </w:r>
      <w:r>
        <w:rPr>
          <w:rFonts w:ascii="Arial"/>
          <w:color w:val="231F20"/>
          <w:spacing w:val="33"/>
          <w:sz w:val="16"/>
        </w:rPr>
        <w:t> </w:t>
      </w:r>
      <w:r>
        <w:rPr>
          <w:rFonts w:ascii="Arial"/>
          <w:color w:val="231F20"/>
          <w:sz w:val="16"/>
        </w:rPr>
        <w:t>2000.</w:t>
      </w:r>
    </w:p>
    <w:p>
      <w:pPr>
        <w:spacing w:line="261" w:lineRule="auto" w:before="0"/>
        <w:ind w:left="1600" w:right="0" w:hanging="160"/>
        <w:jc w:val="both"/>
        <w:rPr>
          <w:rFonts w:ascii="Arial"/>
          <w:sz w:val="16"/>
        </w:rPr>
      </w:pPr>
      <w:r>
        <w:rPr>
          <w:rFonts w:ascii="Arial"/>
          <w:color w:val="231F20"/>
          <w:sz w:val="16"/>
        </w:rPr>
        <w:t>Reilly </w:t>
      </w:r>
      <w:r>
        <w:rPr>
          <w:rFonts w:ascii="Arial"/>
          <w:color w:val="231F20"/>
          <w:spacing w:val="-7"/>
          <w:sz w:val="16"/>
        </w:rPr>
        <w:t>RF, </w:t>
      </w:r>
      <w:r>
        <w:rPr>
          <w:rFonts w:ascii="Arial"/>
          <w:color w:val="231F20"/>
          <w:sz w:val="16"/>
        </w:rPr>
        <w:t>Ellison DH: Mammalian distal tubule: physiology, </w:t>
      </w:r>
      <w:r>
        <w:rPr>
          <w:rFonts w:ascii="Arial"/>
          <w:color w:val="231F20"/>
          <w:spacing w:val="-3"/>
          <w:sz w:val="16"/>
        </w:rPr>
        <w:t>patho- </w:t>
      </w:r>
      <w:r>
        <w:rPr>
          <w:rFonts w:ascii="Arial"/>
          <w:color w:val="231F20"/>
          <w:sz w:val="16"/>
        </w:rPr>
        <w:t>physiology, and molecular anatomy. Physiol Rev 80:277, 2000.</w:t>
      </w:r>
    </w:p>
    <w:p>
      <w:pPr>
        <w:spacing w:line="261" w:lineRule="auto" w:before="0"/>
        <w:ind w:left="1600" w:right="0" w:hanging="160"/>
        <w:jc w:val="both"/>
        <w:rPr>
          <w:rFonts w:ascii="Arial"/>
          <w:sz w:val="16"/>
        </w:rPr>
      </w:pPr>
      <w:r>
        <w:rPr>
          <w:rFonts w:ascii="Arial"/>
          <w:color w:val="231F20"/>
          <w:sz w:val="16"/>
        </w:rPr>
        <w:t>Rossier</w:t>
      </w:r>
      <w:r>
        <w:rPr>
          <w:rFonts w:ascii="Arial"/>
          <w:color w:val="231F20"/>
          <w:spacing w:val="-14"/>
          <w:sz w:val="16"/>
        </w:rPr>
        <w:t> </w:t>
      </w:r>
      <w:r>
        <w:rPr>
          <w:rFonts w:ascii="Arial"/>
          <w:color w:val="231F20"/>
          <w:sz w:val="16"/>
        </w:rPr>
        <w:t>BC,</w:t>
      </w:r>
      <w:r>
        <w:rPr>
          <w:rFonts w:ascii="Arial"/>
          <w:color w:val="231F20"/>
          <w:spacing w:val="-14"/>
          <w:sz w:val="16"/>
        </w:rPr>
        <w:t> </w:t>
      </w:r>
      <w:r>
        <w:rPr>
          <w:rFonts w:ascii="Arial"/>
          <w:color w:val="231F20"/>
          <w:sz w:val="16"/>
        </w:rPr>
        <w:t>Staub</w:t>
      </w:r>
      <w:r>
        <w:rPr>
          <w:rFonts w:ascii="Arial"/>
          <w:color w:val="231F20"/>
          <w:spacing w:val="-14"/>
          <w:sz w:val="16"/>
        </w:rPr>
        <w:t> </w:t>
      </w:r>
      <w:r>
        <w:rPr>
          <w:rFonts w:ascii="Arial"/>
          <w:color w:val="231F20"/>
          <w:sz w:val="16"/>
        </w:rPr>
        <w:t>O,</w:t>
      </w:r>
      <w:r>
        <w:rPr>
          <w:rFonts w:ascii="Arial"/>
          <w:color w:val="231F20"/>
          <w:spacing w:val="-14"/>
          <w:sz w:val="16"/>
        </w:rPr>
        <w:t> </w:t>
      </w:r>
      <w:r>
        <w:rPr>
          <w:rFonts w:ascii="Arial"/>
          <w:color w:val="231F20"/>
          <w:sz w:val="16"/>
        </w:rPr>
        <w:t>Hummler</w:t>
      </w:r>
      <w:r>
        <w:rPr>
          <w:rFonts w:ascii="Arial"/>
          <w:color w:val="231F20"/>
          <w:spacing w:val="-13"/>
          <w:sz w:val="16"/>
        </w:rPr>
        <w:t> </w:t>
      </w:r>
      <w:r>
        <w:rPr>
          <w:rFonts w:ascii="Arial"/>
          <w:color w:val="231F20"/>
          <w:sz w:val="16"/>
        </w:rPr>
        <w:t>E:</w:t>
      </w:r>
      <w:r>
        <w:rPr>
          <w:rFonts w:ascii="Arial"/>
          <w:color w:val="231F20"/>
          <w:spacing w:val="-14"/>
          <w:sz w:val="16"/>
        </w:rPr>
        <w:t> </w:t>
      </w:r>
      <w:r>
        <w:rPr>
          <w:rFonts w:ascii="Arial"/>
          <w:color w:val="231F20"/>
          <w:sz w:val="16"/>
        </w:rPr>
        <w:t>Genetic</w:t>
      </w:r>
      <w:r>
        <w:rPr>
          <w:rFonts w:ascii="Arial"/>
          <w:color w:val="231F20"/>
          <w:spacing w:val="-14"/>
          <w:sz w:val="16"/>
        </w:rPr>
        <w:t> </w:t>
      </w:r>
      <w:r>
        <w:rPr>
          <w:rFonts w:ascii="Arial"/>
          <w:color w:val="231F20"/>
          <w:sz w:val="16"/>
        </w:rPr>
        <w:t>dissection</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sodium</w:t>
      </w:r>
      <w:r>
        <w:rPr>
          <w:rFonts w:ascii="Arial"/>
          <w:color w:val="231F20"/>
          <w:spacing w:val="-13"/>
          <w:sz w:val="16"/>
        </w:rPr>
        <w:t> </w:t>
      </w:r>
      <w:r>
        <w:rPr>
          <w:rFonts w:ascii="Arial"/>
          <w:color w:val="231F20"/>
          <w:spacing w:val="-4"/>
          <w:sz w:val="16"/>
        </w:rPr>
        <w:t>and </w:t>
      </w:r>
      <w:r>
        <w:rPr>
          <w:rFonts w:ascii="Arial"/>
          <w:color w:val="231F20"/>
          <w:w w:val="95"/>
          <w:sz w:val="16"/>
        </w:rPr>
        <w:t>potassium transport along the aldosterone-sensitive distal </w:t>
      </w:r>
      <w:r>
        <w:rPr>
          <w:rFonts w:ascii="Arial"/>
          <w:color w:val="231F20"/>
          <w:spacing w:val="-3"/>
          <w:w w:val="95"/>
          <w:sz w:val="16"/>
        </w:rPr>
        <w:t>nephron: </w:t>
      </w:r>
      <w:r>
        <w:rPr>
          <w:rFonts w:ascii="Arial"/>
          <w:color w:val="231F20"/>
          <w:sz w:val="16"/>
        </w:rPr>
        <w:t>importance in the control of blood pressure and </w:t>
      </w:r>
      <w:r>
        <w:rPr>
          <w:rFonts w:ascii="Arial"/>
          <w:color w:val="231F20"/>
          <w:spacing w:val="-2"/>
          <w:sz w:val="16"/>
        </w:rPr>
        <w:t>hypertension. </w:t>
      </w:r>
      <w:r>
        <w:rPr>
          <w:rFonts w:ascii="Arial"/>
          <w:color w:val="231F20"/>
          <w:sz w:val="16"/>
        </w:rPr>
        <w:t>FEBS Lett 587:1929,</w:t>
      </w:r>
      <w:r>
        <w:rPr>
          <w:rFonts w:ascii="Arial"/>
          <w:color w:val="231F20"/>
          <w:spacing w:val="18"/>
          <w:sz w:val="16"/>
        </w:rPr>
        <w:t> </w:t>
      </w:r>
      <w:r>
        <w:rPr>
          <w:rFonts w:ascii="Arial"/>
          <w:color w:val="231F20"/>
          <w:sz w:val="16"/>
        </w:rPr>
        <w:t>2013.</w:t>
      </w:r>
    </w:p>
    <w:p>
      <w:pPr>
        <w:spacing w:line="261" w:lineRule="auto" w:before="0"/>
        <w:ind w:left="1600" w:right="0" w:hanging="160"/>
        <w:jc w:val="both"/>
        <w:rPr>
          <w:rFonts w:ascii="Arial"/>
          <w:sz w:val="16"/>
        </w:rPr>
      </w:pPr>
      <w:r>
        <w:rPr/>
        <w:pict>
          <v:rect style="position:absolute;margin-left:576pt;margin-top:39.231934pt;width:36pt;height:24pt;mso-position-horizontal-relative:page;mso-position-vertical-relative:paragraph;z-index:252322816" filled="true" fillcolor="#e8dac8" stroked="false">
            <v:fill type="solid"/>
            <w10:wrap type="none"/>
          </v:rect>
        </w:pict>
      </w:r>
      <w:r>
        <w:rPr>
          <w:rFonts w:ascii="Arial"/>
          <w:color w:val="231F20"/>
          <w:w w:val="95"/>
          <w:sz w:val="16"/>
        </w:rPr>
        <w:t>Russell JM: Sodium-potassium-chloride cotransport. Physiol Rev 80: </w:t>
      </w:r>
      <w:r>
        <w:rPr>
          <w:rFonts w:ascii="Arial"/>
          <w:color w:val="231F20"/>
          <w:sz w:val="16"/>
        </w:rPr>
        <w:t>211, 2000.</w:t>
      </w:r>
    </w:p>
    <w:p>
      <w:pPr>
        <w:spacing w:line="261" w:lineRule="auto" w:before="96"/>
        <w:ind w:left="479" w:right="1079" w:hanging="160"/>
        <w:jc w:val="both"/>
        <w:rPr>
          <w:rFonts w:ascii="Arial"/>
          <w:sz w:val="16"/>
        </w:rPr>
      </w:pPr>
      <w:r>
        <w:rPr/>
        <w:br w:type="column"/>
      </w:r>
      <w:r>
        <w:rPr>
          <w:rFonts w:ascii="Arial"/>
          <w:color w:val="231F20"/>
          <w:sz w:val="16"/>
        </w:rPr>
        <w:t>Schafer</w:t>
      </w:r>
      <w:r>
        <w:rPr>
          <w:rFonts w:ascii="Arial"/>
          <w:color w:val="231F20"/>
          <w:spacing w:val="-8"/>
          <w:sz w:val="16"/>
        </w:rPr>
        <w:t> </w:t>
      </w:r>
      <w:r>
        <w:rPr>
          <w:rFonts w:ascii="Arial"/>
          <w:color w:val="231F20"/>
          <w:sz w:val="16"/>
        </w:rPr>
        <w:t>JA:</w:t>
      </w:r>
      <w:r>
        <w:rPr>
          <w:rFonts w:ascii="Arial"/>
          <w:color w:val="231F20"/>
          <w:spacing w:val="-7"/>
          <w:sz w:val="16"/>
        </w:rPr>
        <w:t> </w:t>
      </w:r>
      <w:r>
        <w:rPr>
          <w:rFonts w:ascii="Arial"/>
          <w:color w:val="231F20"/>
          <w:sz w:val="16"/>
        </w:rPr>
        <w:t>Abnormal</w:t>
      </w:r>
      <w:r>
        <w:rPr>
          <w:rFonts w:ascii="Arial"/>
          <w:color w:val="231F20"/>
          <w:spacing w:val="-7"/>
          <w:sz w:val="16"/>
        </w:rPr>
        <w:t> </w:t>
      </w:r>
      <w:r>
        <w:rPr>
          <w:rFonts w:ascii="Arial"/>
          <w:color w:val="231F20"/>
          <w:sz w:val="16"/>
        </w:rPr>
        <w:t>regulation</w:t>
      </w:r>
      <w:r>
        <w:rPr>
          <w:rFonts w:ascii="Arial"/>
          <w:color w:val="231F20"/>
          <w:spacing w:val="-7"/>
          <w:sz w:val="16"/>
        </w:rPr>
        <w:t> </w:t>
      </w:r>
      <w:r>
        <w:rPr>
          <w:rFonts w:ascii="Arial"/>
          <w:color w:val="231F20"/>
          <w:sz w:val="16"/>
        </w:rPr>
        <w:t>of</w:t>
      </w:r>
      <w:r>
        <w:rPr>
          <w:rFonts w:ascii="Arial"/>
          <w:color w:val="231F20"/>
          <w:spacing w:val="-7"/>
          <w:sz w:val="16"/>
        </w:rPr>
        <w:t> </w:t>
      </w:r>
      <w:r>
        <w:rPr>
          <w:rFonts w:ascii="Arial"/>
          <w:color w:val="231F20"/>
          <w:sz w:val="16"/>
        </w:rPr>
        <w:t>ENaC:</w:t>
      </w:r>
      <w:r>
        <w:rPr>
          <w:rFonts w:ascii="Arial"/>
          <w:color w:val="231F20"/>
          <w:spacing w:val="-8"/>
          <w:sz w:val="16"/>
        </w:rPr>
        <w:t> </w:t>
      </w:r>
      <w:r>
        <w:rPr>
          <w:rFonts w:ascii="Arial"/>
          <w:color w:val="231F20"/>
          <w:sz w:val="16"/>
        </w:rPr>
        <w:t>syndromes</w:t>
      </w:r>
      <w:r>
        <w:rPr>
          <w:rFonts w:ascii="Arial"/>
          <w:color w:val="231F20"/>
          <w:spacing w:val="-7"/>
          <w:sz w:val="16"/>
        </w:rPr>
        <w:t> </w:t>
      </w:r>
      <w:r>
        <w:rPr>
          <w:rFonts w:ascii="Arial"/>
          <w:color w:val="231F20"/>
          <w:sz w:val="16"/>
        </w:rPr>
        <w:t>of</w:t>
      </w:r>
      <w:r>
        <w:rPr>
          <w:rFonts w:ascii="Arial"/>
          <w:color w:val="231F20"/>
          <w:spacing w:val="-7"/>
          <w:sz w:val="16"/>
        </w:rPr>
        <w:t> </w:t>
      </w:r>
      <w:r>
        <w:rPr>
          <w:rFonts w:ascii="Arial"/>
          <w:color w:val="231F20"/>
          <w:sz w:val="16"/>
        </w:rPr>
        <w:t>salt</w:t>
      </w:r>
      <w:r>
        <w:rPr>
          <w:rFonts w:ascii="Arial"/>
          <w:color w:val="231F20"/>
          <w:spacing w:val="-7"/>
          <w:sz w:val="16"/>
        </w:rPr>
        <w:t> </w:t>
      </w:r>
      <w:r>
        <w:rPr>
          <w:rFonts w:ascii="Arial"/>
          <w:color w:val="231F20"/>
          <w:spacing w:val="-4"/>
          <w:sz w:val="16"/>
        </w:rPr>
        <w:t>reten- </w:t>
      </w:r>
      <w:r>
        <w:rPr>
          <w:rFonts w:ascii="Arial"/>
          <w:color w:val="231F20"/>
          <w:sz w:val="16"/>
        </w:rPr>
        <w:t>tion and salt wasting by the collecting duct. Am J Physiol </w:t>
      </w:r>
      <w:r>
        <w:rPr>
          <w:rFonts w:ascii="Arial"/>
          <w:color w:val="231F20"/>
          <w:spacing w:val="-3"/>
          <w:sz w:val="16"/>
        </w:rPr>
        <w:t>Renal </w:t>
      </w:r>
      <w:r>
        <w:rPr>
          <w:rFonts w:ascii="Arial"/>
          <w:color w:val="231F20"/>
          <w:sz w:val="16"/>
        </w:rPr>
        <w:t>Physiol 283:F221,</w:t>
      </w:r>
      <w:r>
        <w:rPr>
          <w:rFonts w:ascii="Arial"/>
          <w:color w:val="231F20"/>
          <w:spacing w:val="13"/>
          <w:sz w:val="16"/>
        </w:rPr>
        <w:t> </w:t>
      </w:r>
      <w:r>
        <w:rPr>
          <w:rFonts w:ascii="Arial"/>
          <w:color w:val="231F20"/>
          <w:sz w:val="16"/>
        </w:rPr>
        <w:t>2002.</w:t>
      </w:r>
    </w:p>
    <w:p>
      <w:pPr>
        <w:spacing w:line="261" w:lineRule="auto" w:before="0"/>
        <w:ind w:left="479" w:right="1078" w:hanging="160"/>
        <w:jc w:val="both"/>
        <w:rPr>
          <w:rFonts w:ascii="Arial"/>
          <w:sz w:val="16"/>
        </w:rPr>
      </w:pPr>
      <w:r>
        <w:rPr>
          <w:rFonts w:ascii="Arial"/>
          <w:color w:val="231F20"/>
          <w:sz w:val="16"/>
        </w:rPr>
        <w:t>Staruschenko A: Regulation of transport in the connecting tubule and cortical collecting duct. Compr Physiol 2:1541, 2012.</w:t>
      </w:r>
    </w:p>
    <w:p>
      <w:pPr>
        <w:spacing w:line="261" w:lineRule="auto" w:before="0"/>
        <w:ind w:left="479" w:right="1079" w:hanging="160"/>
        <w:jc w:val="both"/>
        <w:rPr>
          <w:rFonts w:ascii="Arial"/>
          <w:sz w:val="16"/>
        </w:rPr>
      </w:pPr>
      <w:r>
        <w:rPr/>
        <w:pict>
          <v:shape style="position:absolute;margin-left:578.900024pt;margin-top:12.889234pt;width:15.9pt;height:53.35pt;mso-position-horizontal-relative:page;mso-position-vertical-relative:paragraph;z-index:25232384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Arial"/>
          <w:color w:val="231F20"/>
          <w:sz w:val="16"/>
        </w:rPr>
        <w:t>Thomson</w:t>
      </w:r>
      <w:r>
        <w:rPr>
          <w:rFonts w:ascii="Arial"/>
          <w:color w:val="231F20"/>
          <w:spacing w:val="-18"/>
          <w:sz w:val="16"/>
        </w:rPr>
        <w:t> </w:t>
      </w:r>
      <w:r>
        <w:rPr>
          <w:rFonts w:ascii="Arial"/>
          <w:color w:val="231F20"/>
          <w:sz w:val="16"/>
        </w:rPr>
        <w:t>SC,</w:t>
      </w:r>
      <w:r>
        <w:rPr>
          <w:rFonts w:ascii="Arial"/>
          <w:color w:val="231F20"/>
          <w:spacing w:val="-18"/>
          <w:sz w:val="16"/>
        </w:rPr>
        <w:t> </w:t>
      </w:r>
      <w:r>
        <w:rPr>
          <w:rFonts w:ascii="Arial"/>
          <w:color w:val="231F20"/>
          <w:sz w:val="16"/>
        </w:rPr>
        <w:t>Blantz</w:t>
      </w:r>
      <w:r>
        <w:rPr>
          <w:rFonts w:ascii="Arial"/>
          <w:color w:val="231F20"/>
          <w:spacing w:val="-18"/>
          <w:sz w:val="16"/>
        </w:rPr>
        <w:t> </w:t>
      </w:r>
      <w:r>
        <w:rPr>
          <w:rFonts w:ascii="Arial"/>
          <w:color w:val="231F20"/>
          <w:sz w:val="16"/>
        </w:rPr>
        <w:t>RC:</w:t>
      </w:r>
      <w:r>
        <w:rPr>
          <w:rFonts w:ascii="Arial"/>
          <w:color w:val="231F20"/>
          <w:spacing w:val="-18"/>
          <w:sz w:val="16"/>
        </w:rPr>
        <w:t> </w:t>
      </w:r>
      <w:r>
        <w:rPr>
          <w:rFonts w:ascii="Arial"/>
          <w:color w:val="231F20"/>
          <w:sz w:val="16"/>
        </w:rPr>
        <w:t>Glomerulotubular</w:t>
      </w:r>
      <w:r>
        <w:rPr>
          <w:rFonts w:ascii="Arial"/>
          <w:color w:val="231F20"/>
          <w:spacing w:val="-18"/>
          <w:sz w:val="16"/>
        </w:rPr>
        <w:t> </w:t>
      </w:r>
      <w:r>
        <w:rPr>
          <w:rFonts w:ascii="Arial"/>
          <w:color w:val="231F20"/>
          <w:sz w:val="16"/>
        </w:rPr>
        <w:t>balance,</w:t>
      </w:r>
      <w:r>
        <w:rPr>
          <w:rFonts w:ascii="Arial"/>
          <w:color w:val="231F20"/>
          <w:spacing w:val="-17"/>
          <w:sz w:val="16"/>
        </w:rPr>
        <w:t> </w:t>
      </w:r>
      <w:r>
        <w:rPr>
          <w:rFonts w:ascii="Arial"/>
          <w:color w:val="231F20"/>
          <w:spacing w:val="-3"/>
          <w:sz w:val="16"/>
        </w:rPr>
        <w:t>tubuloglomeru- </w:t>
      </w:r>
      <w:r>
        <w:rPr>
          <w:rFonts w:ascii="Arial"/>
          <w:color w:val="231F20"/>
          <w:sz w:val="16"/>
        </w:rPr>
        <w:t>lar feedback, and salt homeostasis. J Am Soc Nephrol 19:2272, 2008.</w:t>
      </w:r>
    </w:p>
    <w:p>
      <w:pPr>
        <w:spacing w:line="261" w:lineRule="auto" w:before="0"/>
        <w:ind w:left="479" w:right="1079" w:hanging="160"/>
        <w:jc w:val="both"/>
        <w:rPr>
          <w:rFonts w:ascii="Arial"/>
          <w:sz w:val="16"/>
        </w:rPr>
      </w:pPr>
      <w:r>
        <w:rPr>
          <w:rFonts w:ascii="Arial"/>
          <w:color w:val="231F20"/>
          <w:sz w:val="16"/>
        </w:rPr>
        <w:t>Welling PA: Regulation of renal potassium secretion: molecular mechanisms. Semin Nephrol 33:215, 2013.</w:t>
      </w:r>
    </w:p>
    <w:p>
      <w:pPr>
        <w:spacing w:line="217" w:lineRule="exact" w:before="0"/>
        <w:ind w:left="319" w:right="0" w:firstLine="0"/>
        <w:jc w:val="both"/>
        <w:rPr>
          <w:rFonts w:ascii="Arial"/>
          <w:sz w:val="16"/>
        </w:rPr>
      </w:pPr>
      <w:r>
        <w:rPr>
          <w:rFonts w:ascii="Arial"/>
          <w:color w:val="231F20"/>
          <w:sz w:val="16"/>
        </w:rPr>
        <w:t>Wright EM: Renal Na(</w:t>
      </w:r>
      <w:r>
        <w:rPr>
          <w:rFonts w:ascii="Arial Unicode MS"/>
          <w:color w:val="231F20"/>
          <w:sz w:val="16"/>
        </w:rPr>
        <w:t>+</w:t>
      </w:r>
      <w:r>
        <w:rPr>
          <w:rFonts w:ascii="Arial"/>
          <w:color w:val="231F20"/>
          <w:sz w:val="16"/>
        </w:rPr>
        <w:t>)-glucose cotransporters. Am J Physiol Renal</w:t>
      </w:r>
    </w:p>
    <w:p>
      <w:pPr>
        <w:spacing w:line="166" w:lineRule="exact" w:before="0"/>
        <w:ind w:left="479" w:right="0" w:firstLine="0"/>
        <w:jc w:val="both"/>
        <w:rPr>
          <w:rFonts w:ascii="Arial"/>
          <w:sz w:val="16"/>
        </w:rPr>
      </w:pPr>
      <w:r>
        <w:rPr>
          <w:rFonts w:ascii="Arial"/>
          <w:color w:val="231F20"/>
          <w:sz w:val="16"/>
        </w:rPr>
        <w:t>Physiol 280:F10, 2001.</w:t>
      </w:r>
    </w:p>
    <w:p>
      <w:pPr>
        <w:spacing w:after="0" w:line="166" w:lineRule="exact"/>
        <w:jc w:val="both"/>
        <w:rPr>
          <w:rFonts w:ascii="Arial"/>
          <w:sz w:val="16"/>
        </w:rPr>
        <w:sectPr>
          <w:type w:val="continuous"/>
          <w:pgSz w:w="12240" w:h="15660"/>
          <w:pgMar w:top="0" w:bottom="760" w:left="0" w:right="0"/>
          <w:cols w:num="2" w:equalWidth="0">
            <w:col w:w="6121" w:space="40"/>
            <w:col w:w="6079"/>
          </w:cols>
        </w:sectPr>
      </w:pPr>
    </w:p>
    <w:p>
      <w:pPr>
        <w:rPr>
          <w:sz w:val="2"/>
          <w:szCs w:val="2"/>
        </w:rPr>
      </w:pPr>
      <w:r>
        <w:rPr/>
        <w:pict>
          <v:group style="position:absolute;margin-left:0pt;margin-top:0pt;width:612pt;height:180pt;mso-position-horizontal-relative:page;mso-position-vertical-relative:page;z-index:-27308339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6482" w:right="0" w:firstLine="0"/>
                      <w:jc w:val="left"/>
                      <w:rPr>
                        <w:rFonts w:ascii="Trebuchet MS"/>
                        <w:sz w:val="18"/>
                      </w:rPr>
                    </w:pPr>
                    <w:r>
                      <w:rPr>
                        <w:rFonts w:ascii="Trebuchet MS"/>
                        <w:b/>
                        <w:color w:val="231F20"/>
                        <w:w w:val="105"/>
                        <w:sz w:val="18"/>
                      </w:rPr>
                      <w:t>Chapter 28 </w:t>
                    </w:r>
                    <w:r>
                      <w:rPr>
                        <w:rFonts w:ascii="Trebuchet MS"/>
                        <w:color w:val="231F20"/>
                        <w:w w:val="105"/>
                        <w:sz w:val="18"/>
                      </w:rPr>
                      <w:t>Renal Tubular Reabsorption and Secretion</w:t>
                    </w:r>
                  </w:p>
                </w:txbxContent>
              </v:textbox>
              <v:fill type="solid"/>
              <w10:wrap type="none"/>
            </v:shape>
            <w10:wrap type="none"/>
          </v:group>
        </w:pict>
      </w:r>
    </w:p>
    <w:p>
      <w:pPr>
        <w:spacing w:after="0"/>
        <w:rPr>
          <w:sz w:val="2"/>
          <w:szCs w:val="2"/>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740"/>
          <w:footerReference w:type="default" r:id="rId741"/>
          <w:footerReference w:type="even" r:id="rId742"/>
          <w:pgSz w:w="12240" w:h="15660"/>
          <w:pgMar w:header="0" w:footer="567" w:top="0" w:bottom="760" w:left="0" w:right="0"/>
          <w:pgNumType w:start="371"/>
        </w:sectPr>
      </w:pPr>
    </w:p>
    <w:p>
      <w:pPr>
        <w:pStyle w:val="BodyText"/>
        <w:spacing w:line="249" w:lineRule="auto" w:before="250"/>
        <w:ind w:left="1440"/>
        <w:jc w:val="both"/>
      </w:pPr>
      <w:r>
        <w:rPr/>
        <w:pict>
          <v:group style="position:absolute;margin-left:0pt;margin-top:0pt;width:612pt;height:180pt;mso-position-horizontal-relative:page;mso-position-vertical-relative:page;z-index:252331008"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743" o:title=""/>
            </v:shape>
            <v:shape style="position:absolute;left:6005;top:2428;width:5176;height:620" type="#_x0000_t202" filled="false" stroked="false">
              <v:textbox inset="0,0,0,0">
                <w:txbxContent>
                  <w:p>
                    <w:pPr>
                      <w:spacing w:before="36"/>
                      <w:ind w:left="0" w:right="0" w:firstLine="0"/>
                      <w:jc w:val="left"/>
                      <w:rPr>
                        <w:b/>
                        <w:sz w:val="38"/>
                      </w:rPr>
                    </w:pPr>
                    <w:r>
                      <w:rPr>
                        <w:b/>
                        <w:color w:val="231F20"/>
                        <w:w w:val="95"/>
                        <w:sz w:val="38"/>
                      </w:rPr>
                      <w:t>Regulation of Extracellular Fluid</w:t>
                    </w:r>
                  </w:p>
                </w:txbxContent>
              </v:textbox>
              <w10:wrap type="none"/>
            </v:shape>
            <v:shape style="position:absolute;left:4958;top:2848;width:6222;height:620" type="#_x0000_t202" filled="false" stroked="false">
              <v:textbox inset="0,0,0,0">
                <w:txbxContent>
                  <w:p>
                    <w:pPr>
                      <w:spacing w:before="36"/>
                      <w:ind w:left="0" w:right="0" w:firstLine="0"/>
                      <w:jc w:val="left"/>
                      <w:rPr>
                        <w:b/>
                        <w:sz w:val="38"/>
                      </w:rPr>
                    </w:pPr>
                    <w:r>
                      <w:rPr>
                        <w:b/>
                        <w:color w:val="231F20"/>
                        <w:sz w:val="38"/>
                      </w:rPr>
                      <w:t>Osmolarity</w:t>
                    </w:r>
                    <w:r>
                      <w:rPr>
                        <w:b/>
                        <w:color w:val="231F20"/>
                        <w:spacing w:val="-45"/>
                        <w:sz w:val="38"/>
                      </w:rPr>
                      <w:t> </w:t>
                    </w:r>
                    <w:r>
                      <w:rPr>
                        <w:b/>
                        <w:color w:val="231F20"/>
                        <w:sz w:val="38"/>
                      </w:rPr>
                      <w:t>and</w:t>
                    </w:r>
                    <w:r>
                      <w:rPr>
                        <w:b/>
                        <w:color w:val="231F20"/>
                        <w:spacing w:val="-45"/>
                        <w:sz w:val="38"/>
                      </w:rPr>
                      <w:t> </w:t>
                    </w:r>
                    <w:r>
                      <w:rPr>
                        <w:b/>
                        <w:color w:val="231F20"/>
                        <w:spacing w:val="3"/>
                        <w:sz w:val="38"/>
                      </w:rPr>
                      <w:t>Sodium</w:t>
                    </w:r>
                    <w:r>
                      <w:rPr>
                        <w:b/>
                        <w:color w:val="231F20"/>
                        <w:spacing w:val="-45"/>
                        <w:sz w:val="38"/>
                      </w:rPr>
                      <w:t> </w:t>
                    </w:r>
                    <w:r>
                      <w:rPr>
                        <w:b/>
                        <w:color w:val="231F20"/>
                        <w:sz w:val="38"/>
                      </w:rPr>
                      <w:t>Concentration</w:t>
                    </w:r>
                  </w:p>
                </w:txbxContent>
              </v:textbox>
              <w10:wrap type="none"/>
            </v:shape>
            <v:shape style="position:absolute;left:5668;top:2008;width:5512;height:620" type="#_x0000_t202" filled="false" stroked="false">
              <v:textbox inset="0,0,0,0">
                <w:txbxContent>
                  <w:p>
                    <w:pPr>
                      <w:spacing w:before="36"/>
                      <w:ind w:left="0" w:right="0" w:firstLine="0"/>
                      <w:jc w:val="left"/>
                      <w:rPr>
                        <w:b/>
                        <w:sz w:val="38"/>
                      </w:rPr>
                    </w:pPr>
                    <w:r>
                      <w:rPr>
                        <w:b/>
                        <w:color w:val="231F20"/>
                        <w:sz w:val="38"/>
                      </w:rPr>
                      <w:t>Urine</w:t>
                    </w:r>
                    <w:r>
                      <w:rPr>
                        <w:b/>
                        <w:color w:val="231F20"/>
                        <w:spacing w:val="-44"/>
                        <w:sz w:val="38"/>
                      </w:rPr>
                      <w:t> </w:t>
                    </w:r>
                    <w:r>
                      <w:rPr>
                        <w:b/>
                        <w:color w:val="231F20"/>
                        <w:sz w:val="38"/>
                      </w:rPr>
                      <w:t>Concentration</w:t>
                    </w:r>
                    <w:r>
                      <w:rPr>
                        <w:b/>
                        <w:color w:val="231F20"/>
                        <w:spacing w:val="-43"/>
                        <w:sz w:val="38"/>
                      </w:rPr>
                      <w:t> </w:t>
                    </w:r>
                    <w:r>
                      <w:rPr>
                        <w:b/>
                        <w:color w:val="231F20"/>
                        <w:sz w:val="38"/>
                      </w:rPr>
                      <w:t>and</w:t>
                    </w:r>
                    <w:r>
                      <w:rPr>
                        <w:b/>
                        <w:color w:val="231F20"/>
                        <w:spacing w:val="-43"/>
                        <w:sz w:val="38"/>
                      </w:rPr>
                      <w:t> </w:t>
                    </w:r>
                    <w:r>
                      <w:rPr>
                        <w:b/>
                        <w:color w:val="231F20"/>
                        <w:sz w:val="38"/>
                      </w:rPr>
                      <w:t>Dilution;</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2</w:t>
                    </w:r>
                    <w:r>
                      <w:rPr>
                        <w:rFonts w:ascii="Trebuchet MS"/>
                        <w:b/>
                        <w:color w:val="231F20"/>
                        <w:spacing w:val="-44"/>
                        <w:w w:val="105"/>
                        <w:sz w:val="36"/>
                      </w:rPr>
                      <w:t> </w:t>
                    </w:r>
                    <w:r>
                      <w:rPr>
                        <w:rFonts w:ascii="Trebuchet MS"/>
                        <w:b/>
                        <w:color w:val="231F20"/>
                        <w:w w:val="105"/>
                        <w:sz w:val="36"/>
                      </w:rPr>
                      <w:t>9</w:t>
                    </w:r>
                  </w:p>
                </w:txbxContent>
              </v:textbox>
              <w10:wrap type="none"/>
            </v:shape>
            <w10:wrap type="none"/>
          </v:group>
        </w:pict>
      </w:r>
      <w:r>
        <w:rPr/>
        <w:pict>
          <v:shape style="position:absolute;margin-left:578.900024pt;margin-top:-79.856735pt;width:15.9pt;height:53.35pt;mso-position-horizontal-relative:page;mso-position-vertical-relative:paragraph;z-index:25233305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spacing w:val="-3"/>
        </w:rPr>
        <w:t>For </w:t>
      </w:r>
      <w:r>
        <w:rPr>
          <w:color w:val="231F20"/>
        </w:rPr>
        <w:t>the cells of the body to function properly, they </w:t>
      </w:r>
      <w:r>
        <w:rPr>
          <w:color w:val="231F20"/>
          <w:spacing w:val="-5"/>
        </w:rPr>
        <w:t>must </w:t>
      </w:r>
      <w:r>
        <w:rPr>
          <w:color w:val="231F20"/>
        </w:rPr>
        <w:t>be bathed in extracellular fluid with a relatively constant concentration of electrolytes and other solutes. The total </w:t>
      </w:r>
      <w:r>
        <w:rPr>
          <w:i/>
          <w:color w:val="231F20"/>
        </w:rPr>
        <w:t>concentration </w:t>
      </w:r>
      <w:r>
        <w:rPr>
          <w:color w:val="231F20"/>
        </w:rPr>
        <w:t>of solutes in the extracellular fluid—and therefore the osmolarity—must also be precisely </w:t>
      </w:r>
      <w:r>
        <w:rPr>
          <w:color w:val="231F20"/>
          <w:spacing w:val="-3"/>
        </w:rPr>
        <w:t>regu­ </w:t>
      </w:r>
      <w:r>
        <w:rPr>
          <w:color w:val="231F20"/>
        </w:rPr>
        <w:t>lated to prevent the cells from shrinking or swelling. The osmolarity is determined by the amount of solute (mainly sodium chloride) divided by the volume of the </w:t>
      </w:r>
      <w:r>
        <w:rPr>
          <w:color w:val="231F20"/>
          <w:spacing w:val="-3"/>
        </w:rPr>
        <w:t>extra­ </w:t>
      </w:r>
      <w:r>
        <w:rPr>
          <w:color w:val="231F20"/>
        </w:rPr>
        <w:t>cellular fluid. Thus, to a large extent, extracellular fluid osmolarity and sodium chloride concentration are </w:t>
      </w:r>
      <w:r>
        <w:rPr>
          <w:color w:val="231F20"/>
          <w:spacing w:val="-3"/>
        </w:rPr>
        <w:t>regu­ </w:t>
      </w:r>
      <w:r>
        <w:rPr>
          <w:color w:val="231F20"/>
        </w:rPr>
        <w:t>lated by the amount of extracellular </w:t>
      </w:r>
      <w:r>
        <w:rPr>
          <w:color w:val="231F20"/>
          <w:spacing w:val="-3"/>
        </w:rPr>
        <w:t>water. </w:t>
      </w:r>
      <w:r>
        <w:rPr>
          <w:color w:val="231F20"/>
        </w:rPr>
        <w:t>The total body water is controlled by (1) fluid intake, which is regulated by factors that determine thirst, and (2) renal water excre­ tion, which is controlled by multiple factors that </w:t>
      </w:r>
      <w:r>
        <w:rPr>
          <w:color w:val="231F20"/>
          <w:spacing w:val="-3"/>
        </w:rPr>
        <w:t>influence </w:t>
      </w:r>
      <w:r>
        <w:rPr>
          <w:color w:val="231F20"/>
        </w:rPr>
        <w:t>glomerular filtration and tubular reabsorption.</w:t>
      </w:r>
    </w:p>
    <w:p>
      <w:pPr>
        <w:pStyle w:val="BodyText"/>
        <w:spacing w:line="249" w:lineRule="auto" w:before="13"/>
        <w:ind w:left="1440" w:firstLine="240"/>
        <w:jc w:val="both"/>
      </w:pPr>
      <w:r>
        <w:rPr>
          <w:color w:val="231F20"/>
          <w:w w:val="105"/>
        </w:rPr>
        <w:t>In this </w:t>
      </w:r>
      <w:r>
        <w:rPr>
          <w:color w:val="231F20"/>
          <w:spacing w:val="-3"/>
          <w:w w:val="105"/>
        </w:rPr>
        <w:t>chapter, </w:t>
      </w:r>
      <w:r>
        <w:rPr>
          <w:color w:val="231F20"/>
          <w:w w:val="105"/>
        </w:rPr>
        <w:t>we discuss (1) the mechanisms </w:t>
      </w:r>
      <w:r>
        <w:rPr>
          <w:color w:val="231F20"/>
          <w:spacing w:val="-5"/>
          <w:w w:val="105"/>
        </w:rPr>
        <w:t>that </w:t>
      </w:r>
      <w:r>
        <w:rPr>
          <w:color w:val="231F20"/>
          <w:w w:val="105"/>
        </w:rPr>
        <w:t>cause</w:t>
      </w:r>
      <w:r>
        <w:rPr>
          <w:color w:val="231F20"/>
          <w:spacing w:val="-7"/>
          <w:w w:val="105"/>
        </w:rPr>
        <w:t> </w:t>
      </w:r>
      <w:r>
        <w:rPr>
          <w:color w:val="231F20"/>
          <w:w w:val="105"/>
        </w:rPr>
        <w:t>the</w:t>
      </w:r>
      <w:r>
        <w:rPr>
          <w:color w:val="231F20"/>
          <w:spacing w:val="-7"/>
          <w:w w:val="105"/>
        </w:rPr>
        <w:t> </w:t>
      </w:r>
      <w:r>
        <w:rPr>
          <w:color w:val="231F20"/>
          <w:w w:val="105"/>
        </w:rPr>
        <w:t>kidneys</w:t>
      </w:r>
      <w:r>
        <w:rPr>
          <w:color w:val="231F20"/>
          <w:spacing w:val="-7"/>
          <w:w w:val="105"/>
        </w:rPr>
        <w:t> </w:t>
      </w:r>
      <w:r>
        <w:rPr>
          <w:color w:val="231F20"/>
          <w:w w:val="105"/>
        </w:rPr>
        <w:t>to</w:t>
      </w:r>
      <w:r>
        <w:rPr>
          <w:color w:val="231F20"/>
          <w:spacing w:val="-6"/>
          <w:w w:val="105"/>
        </w:rPr>
        <w:t> </w:t>
      </w:r>
      <w:r>
        <w:rPr>
          <w:color w:val="231F20"/>
          <w:w w:val="105"/>
        </w:rPr>
        <w:t>eliminate</w:t>
      </w:r>
      <w:r>
        <w:rPr>
          <w:color w:val="231F20"/>
          <w:spacing w:val="-7"/>
          <w:w w:val="105"/>
        </w:rPr>
        <w:t> </w:t>
      </w:r>
      <w:r>
        <w:rPr>
          <w:color w:val="231F20"/>
          <w:w w:val="105"/>
        </w:rPr>
        <w:t>excess</w:t>
      </w:r>
      <w:r>
        <w:rPr>
          <w:color w:val="231F20"/>
          <w:spacing w:val="-7"/>
          <w:w w:val="105"/>
        </w:rPr>
        <w:t> </w:t>
      </w:r>
      <w:r>
        <w:rPr>
          <w:color w:val="231F20"/>
          <w:w w:val="105"/>
        </w:rPr>
        <w:t>water</w:t>
      </w:r>
      <w:r>
        <w:rPr>
          <w:color w:val="231F20"/>
          <w:spacing w:val="-6"/>
          <w:w w:val="105"/>
        </w:rPr>
        <w:t> </w:t>
      </w:r>
      <w:r>
        <w:rPr>
          <w:color w:val="231F20"/>
          <w:w w:val="105"/>
        </w:rPr>
        <w:t>by</w:t>
      </w:r>
      <w:r>
        <w:rPr>
          <w:color w:val="231F20"/>
          <w:spacing w:val="-7"/>
          <w:w w:val="105"/>
        </w:rPr>
        <w:t> </w:t>
      </w:r>
      <w:r>
        <w:rPr>
          <w:color w:val="231F20"/>
          <w:spacing w:val="-3"/>
          <w:w w:val="105"/>
        </w:rPr>
        <w:t>excreting </w:t>
      </w:r>
      <w:r>
        <w:rPr>
          <w:color w:val="231F20"/>
          <w:w w:val="105"/>
        </w:rPr>
        <w:t>a</w:t>
      </w:r>
      <w:r>
        <w:rPr>
          <w:color w:val="231F20"/>
          <w:spacing w:val="-9"/>
          <w:w w:val="105"/>
        </w:rPr>
        <w:t> </w:t>
      </w:r>
      <w:r>
        <w:rPr>
          <w:color w:val="231F20"/>
          <w:w w:val="105"/>
        </w:rPr>
        <w:t>dilute</w:t>
      </w:r>
      <w:r>
        <w:rPr>
          <w:color w:val="231F20"/>
          <w:spacing w:val="-9"/>
          <w:w w:val="105"/>
        </w:rPr>
        <w:t> </w:t>
      </w:r>
      <w:r>
        <w:rPr>
          <w:color w:val="231F20"/>
          <w:w w:val="105"/>
        </w:rPr>
        <w:t>urine;</w:t>
      </w:r>
      <w:r>
        <w:rPr>
          <w:color w:val="231F20"/>
          <w:spacing w:val="-9"/>
          <w:w w:val="105"/>
        </w:rPr>
        <w:t> </w:t>
      </w:r>
      <w:r>
        <w:rPr>
          <w:color w:val="231F20"/>
          <w:w w:val="105"/>
        </w:rPr>
        <w:t>(2)</w:t>
      </w:r>
      <w:r>
        <w:rPr>
          <w:color w:val="231F20"/>
          <w:spacing w:val="-9"/>
          <w:w w:val="105"/>
        </w:rPr>
        <w:t> </w:t>
      </w:r>
      <w:r>
        <w:rPr>
          <w:color w:val="231F20"/>
          <w:w w:val="105"/>
        </w:rPr>
        <w:t>the</w:t>
      </w:r>
      <w:r>
        <w:rPr>
          <w:color w:val="231F20"/>
          <w:spacing w:val="-9"/>
          <w:w w:val="105"/>
        </w:rPr>
        <w:t> </w:t>
      </w:r>
      <w:r>
        <w:rPr>
          <w:color w:val="231F20"/>
          <w:w w:val="105"/>
        </w:rPr>
        <w:t>mechanisms</w:t>
      </w:r>
      <w:r>
        <w:rPr>
          <w:color w:val="231F20"/>
          <w:spacing w:val="-8"/>
          <w:w w:val="105"/>
        </w:rPr>
        <w:t> </w:t>
      </w:r>
      <w:r>
        <w:rPr>
          <w:color w:val="231F20"/>
          <w:w w:val="105"/>
        </w:rPr>
        <w:t>that</w:t>
      </w:r>
      <w:r>
        <w:rPr>
          <w:color w:val="231F20"/>
          <w:spacing w:val="-9"/>
          <w:w w:val="105"/>
        </w:rPr>
        <w:t> </w:t>
      </w:r>
      <w:r>
        <w:rPr>
          <w:color w:val="231F20"/>
          <w:w w:val="105"/>
        </w:rPr>
        <w:t>cause</w:t>
      </w:r>
      <w:r>
        <w:rPr>
          <w:color w:val="231F20"/>
          <w:spacing w:val="-9"/>
          <w:w w:val="105"/>
        </w:rPr>
        <w:t> </w:t>
      </w:r>
      <w:r>
        <w:rPr>
          <w:color w:val="231F20"/>
          <w:w w:val="105"/>
        </w:rPr>
        <w:t>the</w:t>
      </w:r>
      <w:r>
        <w:rPr>
          <w:color w:val="231F20"/>
          <w:spacing w:val="-9"/>
          <w:w w:val="105"/>
        </w:rPr>
        <w:t> </w:t>
      </w:r>
      <w:r>
        <w:rPr>
          <w:color w:val="231F20"/>
          <w:spacing w:val="-3"/>
          <w:w w:val="105"/>
        </w:rPr>
        <w:t>kidneys </w:t>
      </w:r>
      <w:r>
        <w:rPr>
          <w:color w:val="231F20"/>
          <w:w w:val="105"/>
        </w:rPr>
        <w:t>to</w:t>
      </w:r>
      <w:r>
        <w:rPr>
          <w:color w:val="231F20"/>
          <w:spacing w:val="39"/>
          <w:w w:val="105"/>
        </w:rPr>
        <w:t> </w:t>
      </w:r>
      <w:r>
        <w:rPr>
          <w:color w:val="231F20"/>
          <w:w w:val="105"/>
        </w:rPr>
        <w:t>conserve</w:t>
      </w:r>
      <w:r>
        <w:rPr>
          <w:color w:val="231F20"/>
          <w:spacing w:val="40"/>
          <w:w w:val="105"/>
        </w:rPr>
        <w:t> </w:t>
      </w:r>
      <w:r>
        <w:rPr>
          <w:color w:val="231F20"/>
          <w:w w:val="105"/>
        </w:rPr>
        <w:t>water</w:t>
      </w:r>
      <w:r>
        <w:rPr>
          <w:color w:val="231F20"/>
          <w:spacing w:val="40"/>
          <w:w w:val="105"/>
        </w:rPr>
        <w:t> </w:t>
      </w:r>
      <w:r>
        <w:rPr>
          <w:color w:val="231F20"/>
          <w:w w:val="105"/>
        </w:rPr>
        <w:t>by</w:t>
      </w:r>
      <w:r>
        <w:rPr>
          <w:color w:val="231F20"/>
          <w:spacing w:val="40"/>
          <w:w w:val="105"/>
        </w:rPr>
        <w:t> </w:t>
      </w:r>
      <w:r>
        <w:rPr>
          <w:color w:val="231F20"/>
          <w:w w:val="105"/>
        </w:rPr>
        <w:t>excreting</w:t>
      </w:r>
      <w:r>
        <w:rPr>
          <w:color w:val="231F20"/>
          <w:spacing w:val="40"/>
          <w:w w:val="105"/>
        </w:rPr>
        <w:t> </w:t>
      </w:r>
      <w:r>
        <w:rPr>
          <w:color w:val="231F20"/>
          <w:w w:val="105"/>
        </w:rPr>
        <w:t>a</w:t>
      </w:r>
      <w:r>
        <w:rPr>
          <w:color w:val="231F20"/>
          <w:spacing w:val="40"/>
          <w:w w:val="105"/>
        </w:rPr>
        <w:t> </w:t>
      </w:r>
      <w:r>
        <w:rPr>
          <w:color w:val="231F20"/>
          <w:w w:val="105"/>
        </w:rPr>
        <w:t>concentrated</w:t>
      </w:r>
      <w:r>
        <w:rPr>
          <w:color w:val="231F20"/>
          <w:spacing w:val="39"/>
          <w:w w:val="105"/>
        </w:rPr>
        <w:t> </w:t>
      </w:r>
      <w:r>
        <w:rPr>
          <w:color w:val="231F20"/>
          <w:w w:val="105"/>
        </w:rPr>
        <w:t>urine;</w:t>
      </w:r>
    </w:p>
    <w:p>
      <w:pPr>
        <w:pStyle w:val="ListParagraph"/>
        <w:numPr>
          <w:ilvl w:val="0"/>
          <w:numId w:val="18"/>
        </w:numPr>
        <w:tabs>
          <w:tab w:pos="1714" w:val="left" w:leader="none"/>
        </w:tabs>
        <w:spacing w:line="249" w:lineRule="auto" w:before="3" w:after="0"/>
        <w:ind w:left="1440" w:right="0" w:firstLine="0"/>
        <w:jc w:val="both"/>
        <w:rPr>
          <w:sz w:val="20"/>
        </w:rPr>
      </w:pPr>
      <w:r>
        <w:rPr>
          <w:color w:val="231F20"/>
          <w:w w:val="105"/>
          <w:sz w:val="20"/>
        </w:rPr>
        <w:t>the</w:t>
      </w:r>
      <w:r>
        <w:rPr>
          <w:color w:val="231F20"/>
          <w:spacing w:val="-15"/>
          <w:w w:val="105"/>
          <w:sz w:val="20"/>
        </w:rPr>
        <w:t> </w:t>
      </w:r>
      <w:r>
        <w:rPr>
          <w:color w:val="231F20"/>
          <w:w w:val="105"/>
          <w:sz w:val="20"/>
        </w:rPr>
        <w:t>renal</w:t>
      </w:r>
      <w:r>
        <w:rPr>
          <w:color w:val="231F20"/>
          <w:spacing w:val="-14"/>
          <w:w w:val="105"/>
          <w:sz w:val="20"/>
        </w:rPr>
        <w:t> </w:t>
      </w:r>
      <w:r>
        <w:rPr>
          <w:color w:val="231F20"/>
          <w:w w:val="105"/>
          <w:sz w:val="20"/>
        </w:rPr>
        <w:t>feedback</w:t>
      </w:r>
      <w:r>
        <w:rPr>
          <w:color w:val="231F20"/>
          <w:spacing w:val="-15"/>
          <w:w w:val="105"/>
          <w:sz w:val="20"/>
        </w:rPr>
        <w:t> </w:t>
      </w:r>
      <w:r>
        <w:rPr>
          <w:color w:val="231F20"/>
          <w:w w:val="105"/>
          <w:sz w:val="20"/>
        </w:rPr>
        <w:t>mechanisms</w:t>
      </w:r>
      <w:r>
        <w:rPr>
          <w:color w:val="231F20"/>
          <w:spacing w:val="-14"/>
          <w:w w:val="105"/>
          <w:sz w:val="20"/>
        </w:rPr>
        <w:t> </w:t>
      </w:r>
      <w:r>
        <w:rPr>
          <w:color w:val="231F20"/>
          <w:w w:val="105"/>
          <w:sz w:val="20"/>
        </w:rPr>
        <w:t>that</w:t>
      </w:r>
      <w:r>
        <w:rPr>
          <w:color w:val="231F20"/>
          <w:spacing w:val="-15"/>
          <w:w w:val="105"/>
          <w:sz w:val="20"/>
        </w:rPr>
        <w:t> </w:t>
      </w:r>
      <w:r>
        <w:rPr>
          <w:color w:val="231F20"/>
          <w:w w:val="105"/>
          <w:sz w:val="20"/>
        </w:rPr>
        <w:t>control</w:t>
      </w:r>
      <w:r>
        <w:rPr>
          <w:color w:val="231F20"/>
          <w:spacing w:val="-14"/>
          <w:w w:val="105"/>
          <w:sz w:val="20"/>
        </w:rPr>
        <w:t> </w:t>
      </w:r>
      <w:r>
        <w:rPr>
          <w:color w:val="231F20"/>
          <w:w w:val="105"/>
          <w:sz w:val="20"/>
        </w:rPr>
        <w:t>the</w:t>
      </w:r>
      <w:r>
        <w:rPr>
          <w:color w:val="231F20"/>
          <w:spacing w:val="-15"/>
          <w:w w:val="105"/>
          <w:sz w:val="20"/>
        </w:rPr>
        <w:t> </w:t>
      </w:r>
      <w:r>
        <w:rPr>
          <w:color w:val="231F20"/>
          <w:w w:val="105"/>
          <w:sz w:val="20"/>
        </w:rPr>
        <w:t>extra­ cellular fluid sodium concentration and osmolarity;  and</w:t>
      </w:r>
      <w:r>
        <w:rPr>
          <w:color w:val="231F20"/>
          <w:spacing w:val="-14"/>
          <w:w w:val="105"/>
          <w:sz w:val="20"/>
        </w:rPr>
        <w:t> </w:t>
      </w:r>
      <w:r>
        <w:rPr>
          <w:color w:val="231F20"/>
          <w:w w:val="105"/>
          <w:sz w:val="20"/>
        </w:rPr>
        <w:t>(4)</w:t>
      </w:r>
      <w:r>
        <w:rPr>
          <w:color w:val="231F20"/>
          <w:spacing w:val="-13"/>
          <w:w w:val="105"/>
          <w:sz w:val="20"/>
        </w:rPr>
        <w:t> </w:t>
      </w:r>
      <w:r>
        <w:rPr>
          <w:color w:val="231F20"/>
          <w:w w:val="105"/>
          <w:sz w:val="20"/>
        </w:rPr>
        <w:t>the</w:t>
      </w:r>
      <w:r>
        <w:rPr>
          <w:color w:val="231F20"/>
          <w:spacing w:val="-13"/>
          <w:w w:val="105"/>
          <w:sz w:val="20"/>
        </w:rPr>
        <w:t> </w:t>
      </w:r>
      <w:r>
        <w:rPr>
          <w:color w:val="231F20"/>
          <w:w w:val="105"/>
          <w:sz w:val="20"/>
        </w:rPr>
        <w:t>thirst</w:t>
      </w:r>
      <w:r>
        <w:rPr>
          <w:color w:val="231F20"/>
          <w:spacing w:val="-14"/>
          <w:w w:val="105"/>
          <w:sz w:val="20"/>
        </w:rPr>
        <w:t> </w:t>
      </w:r>
      <w:r>
        <w:rPr>
          <w:color w:val="231F20"/>
          <w:w w:val="105"/>
          <w:sz w:val="20"/>
        </w:rPr>
        <w:t>and</w:t>
      </w:r>
      <w:r>
        <w:rPr>
          <w:color w:val="231F20"/>
          <w:spacing w:val="-13"/>
          <w:w w:val="105"/>
          <w:sz w:val="20"/>
        </w:rPr>
        <w:t> </w:t>
      </w:r>
      <w:r>
        <w:rPr>
          <w:color w:val="231F20"/>
          <w:w w:val="105"/>
          <w:sz w:val="20"/>
        </w:rPr>
        <w:t>salt</w:t>
      </w:r>
      <w:r>
        <w:rPr>
          <w:color w:val="231F20"/>
          <w:spacing w:val="-13"/>
          <w:w w:val="105"/>
          <w:sz w:val="20"/>
        </w:rPr>
        <w:t> </w:t>
      </w:r>
      <w:r>
        <w:rPr>
          <w:color w:val="231F20"/>
          <w:w w:val="105"/>
          <w:sz w:val="20"/>
        </w:rPr>
        <w:t>appetite</w:t>
      </w:r>
      <w:r>
        <w:rPr>
          <w:color w:val="231F20"/>
          <w:spacing w:val="-14"/>
          <w:w w:val="105"/>
          <w:sz w:val="20"/>
        </w:rPr>
        <w:t> </w:t>
      </w:r>
      <w:r>
        <w:rPr>
          <w:color w:val="231F20"/>
          <w:w w:val="105"/>
          <w:sz w:val="20"/>
        </w:rPr>
        <w:t>mechanisms</w:t>
      </w:r>
      <w:r>
        <w:rPr>
          <w:color w:val="231F20"/>
          <w:spacing w:val="-13"/>
          <w:w w:val="105"/>
          <w:sz w:val="20"/>
        </w:rPr>
        <w:t> </w:t>
      </w:r>
      <w:r>
        <w:rPr>
          <w:color w:val="231F20"/>
          <w:w w:val="105"/>
          <w:sz w:val="20"/>
        </w:rPr>
        <w:t>that</w:t>
      </w:r>
      <w:r>
        <w:rPr>
          <w:color w:val="231F20"/>
          <w:spacing w:val="-13"/>
          <w:w w:val="105"/>
          <w:sz w:val="20"/>
        </w:rPr>
        <w:t> </w:t>
      </w:r>
      <w:r>
        <w:rPr>
          <w:color w:val="231F20"/>
          <w:spacing w:val="-5"/>
          <w:w w:val="105"/>
          <w:sz w:val="20"/>
        </w:rPr>
        <w:t>deter­ </w:t>
      </w:r>
      <w:r>
        <w:rPr>
          <w:color w:val="231F20"/>
          <w:w w:val="105"/>
          <w:sz w:val="20"/>
        </w:rPr>
        <w:t>mine the intakes of water and salt, which also help </w:t>
      </w:r>
      <w:r>
        <w:rPr>
          <w:color w:val="231F20"/>
          <w:spacing w:val="-7"/>
          <w:w w:val="105"/>
          <w:sz w:val="20"/>
        </w:rPr>
        <w:t>to </w:t>
      </w:r>
      <w:r>
        <w:rPr>
          <w:color w:val="231F20"/>
          <w:w w:val="105"/>
          <w:sz w:val="20"/>
        </w:rPr>
        <w:t>control</w:t>
      </w:r>
      <w:r>
        <w:rPr>
          <w:color w:val="231F20"/>
          <w:spacing w:val="-37"/>
          <w:w w:val="105"/>
          <w:sz w:val="20"/>
        </w:rPr>
        <w:t> </w:t>
      </w:r>
      <w:r>
        <w:rPr>
          <w:color w:val="231F20"/>
          <w:w w:val="105"/>
          <w:sz w:val="20"/>
        </w:rPr>
        <w:t>extracellular</w:t>
      </w:r>
      <w:r>
        <w:rPr>
          <w:color w:val="231F20"/>
          <w:spacing w:val="-37"/>
          <w:w w:val="105"/>
          <w:sz w:val="20"/>
        </w:rPr>
        <w:t> </w:t>
      </w:r>
      <w:r>
        <w:rPr>
          <w:color w:val="231F20"/>
          <w:w w:val="105"/>
          <w:sz w:val="20"/>
        </w:rPr>
        <w:t>fluid</w:t>
      </w:r>
      <w:r>
        <w:rPr>
          <w:color w:val="231F20"/>
          <w:spacing w:val="-36"/>
          <w:w w:val="105"/>
          <w:sz w:val="20"/>
        </w:rPr>
        <w:t> </w:t>
      </w:r>
      <w:r>
        <w:rPr>
          <w:color w:val="231F20"/>
          <w:w w:val="105"/>
          <w:sz w:val="20"/>
        </w:rPr>
        <w:t>volume,</w:t>
      </w:r>
      <w:r>
        <w:rPr>
          <w:color w:val="231F20"/>
          <w:spacing w:val="-37"/>
          <w:w w:val="105"/>
          <w:sz w:val="20"/>
        </w:rPr>
        <w:t> </w:t>
      </w:r>
      <w:r>
        <w:rPr>
          <w:color w:val="231F20"/>
          <w:w w:val="105"/>
          <w:sz w:val="20"/>
        </w:rPr>
        <w:t>osmolarity,</w:t>
      </w:r>
      <w:r>
        <w:rPr>
          <w:color w:val="231F20"/>
          <w:spacing w:val="-37"/>
          <w:w w:val="105"/>
          <w:sz w:val="20"/>
        </w:rPr>
        <w:t> </w:t>
      </w:r>
      <w:r>
        <w:rPr>
          <w:color w:val="231F20"/>
          <w:w w:val="105"/>
          <w:sz w:val="20"/>
        </w:rPr>
        <w:t>and</w:t>
      </w:r>
      <w:r>
        <w:rPr>
          <w:color w:val="231F20"/>
          <w:spacing w:val="-36"/>
          <w:w w:val="105"/>
          <w:sz w:val="20"/>
        </w:rPr>
        <w:t> </w:t>
      </w:r>
      <w:r>
        <w:rPr>
          <w:color w:val="231F20"/>
          <w:spacing w:val="-3"/>
          <w:w w:val="105"/>
          <w:sz w:val="20"/>
        </w:rPr>
        <w:t>sodium </w:t>
      </w:r>
      <w:r>
        <w:rPr>
          <w:color w:val="231F20"/>
          <w:w w:val="105"/>
          <w:sz w:val="20"/>
        </w:rPr>
        <w:t>concentration.</w:t>
      </w:r>
    </w:p>
    <w:p>
      <w:pPr>
        <w:pStyle w:val="BodyText"/>
        <w:rPr>
          <w:sz w:val="25"/>
        </w:rPr>
      </w:pPr>
      <w:r>
        <w:rPr/>
        <w:pict>
          <v:shape style="position:absolute;margin-left:72pt;margin-top:15.591998pt;width:234pt;height:28pt;mso-position-horizontal-relative:page;mso-position-vertical-relative:paragraph;z-index:-250991616;mso-wrap-distance-left:0;mso-wrap-distance-right:0" type="#_x0000_t202" filled="true" fillcolor="#e8dac8" stroked="false">
            <v:textbox inset="0,0,0,0">
              <w:txbxContent>
                <w:p>
                  <w:pPr>
                    <w:spacing w:line="225" w:lineRule="auto" w:before="46"/>
                    <w:ind w:left="60" w:right="686" w:firstLine="0"/>
                    <w:jc w:val="left"/>
                    <w:rPr>
                      <w:rFonts w:ascii="Trebuchet MS"/>
                      <w:b/>
                      <w:sz w:val="22"/>
                    </w:rPr>
                  </w:pPr>
                  <w:r>
                    <w:rPr>
                      <w:rFonts w:ascii="Trebuchet MS"/>
                      <w:b/>
                      <w:color w:val="231F20"/>
                      <w:w w:val="115"/>
                      <w:sz w:val="22"/>
                    </w:rPr>
                    <w:t>KIDNEYS EXCRETE EXCESS </w:t>
                  </w:r>
                  <w:r>
                    <w:rPr>
                      <w:rFonts w:ascii="Trebuchet MS"/>
                      <w:b/>
                      <w:color w:val="231F20"/>
                      <w:spacing w:val="-8"/>
                      <w:w w:val="115"/>
                      <w:sz w:val="22"/>
                    </w:rPr>
                    <w:t>WATER </w:t>
                  </w:r>
                  <w:r>
                    <w:rPr>
                      <w:rFonts w:ascii="Trebuchet MS"/>
                      <w:b/>
                      <w:color w:val="231F20"/>
                      <w:w w:val="115"/>
                      <w:sz w:val="22"/>
                    </w:rPr>
                    <w:t>BY FORMING DILUTE URINE</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rPr>
        <w:t>Normal kidneys have a tremendous capability to vary </w:t>
      </w:r>
      <w:r>
        <w:rPr>
          <w:color w:val="231F20"/>
          <w:spacing w:val="-5"/>
        </w:rPr>
        <w:t>the </w:t>
      </w:r>
      <w:r>
        <w:rPr>
          <w:color w:val="231F20"/>
        </w:rPr>
        <w:t>relative proportions of  solutes  and  water  in  the  </w:t>
      </w:r>
      <w:r>
        <w:rPr>
          <w:color w:val="231F20"/>
          <w:spacing w:val="-3"/>
        </w:rPr>
        <w:t>urine  </w:t>
      </w:r>
      <w:r>
        <w:rPr>
          <w:color w:val="231F20"/>
        </w:rPr>
        <w:t>in response to various challenges. When there is excess water in the body and body fluid osmolarity is </w:t>
      </w:r>
      <w:r>
        <w:rPr>
          <w:color w:val="231F20"/>
          <w:spacing w:val="-3"/>
        </w:rPr>
        <w:t>reduced, </w:t>
      </w:r>
      <w:r>
        <w:rPr>
          <w:color w:val="231F20"/>
        </w:rPr>
        <w:t>the kidneys can excrete urine with an osmolarity as </w:t>
      </w:r>
      <w:r>
        <w:rPr>
          <w:color w:val="231F20"/>
          <w:spacing w:val="-4"/>
        </w:rPr>
        <w:t>low  </w:t>
      </w:r>
      <w:r>
        <w:rPr>
          <w:color w:val="231F20"/>
        </w:rPr>
        <w:t>as 50 mOsm/L, a concentration that is only about </w:t>
      </w:r>
      <w:r>
        <w:rPr>
          <w:color w:val="231F20"/>
          <w:spacing w:val="-5"/>
        </w:rPr>
        <w:t>one </w:t>
      </w:r>
      <w:r>
        <w:rPr>
          <w:color w:val="231F20"/>
        </w:rPr>
        <w:t>sixth the osmolarity of normal extracellular fluid. Conversely, when there is a deficit of water in the body and extracellular fluid osmolarity is high,  the  kidneys can excrete highly concentrated urine with an </w:t>
      </w:r>
      <w:r>
        <w:rPr>
          <w:color w:val="231F20"/>
          <w:spacing w:val="-3"/>
        </w:rPr>
        <w:t>osmolar­   </w:t>
      </w:r>
      <w:r>
        <w:rPr>
          <w:color w:val="231F20"/>
        </w:rPr>
        <w:t>ity of 1200 to 1400 mOsm/L. Equally important, </w:t>
      </w:r>
      <w:r>
        <w:rPr>
          <w:color w:val="231F20"/>
          <w:spacing w:val="-6"/>
        </w:rPr>
        <w:t>the </w:t>
      </w:r>
      <w:r>
        <w:rPr>
          <w:color w:val="231F20"/>
        </w:rPr>
        <w:t>kidneys can excrete  a  large  volume  of  dilute  urine  </w:t>
      </w:r>
      <w:r>
        <w:rPr>
          <w:color w:val="231F20"/>
          <w:spacing w:val="-6"/>
        </w:rPr>
        <w:t>or </w:t>
      </w:r>
      <w:r>
        <w:rPr>
          <w:color w:val="231F20"/>
        </w:rPr>
        <w:t>a small volume of concentrated urine without </w:t>
      </w:r>
      <w:r>
        <w:rPr>
          <w:color w:val="231F20"/>
          <w:spacing w:val="-5"/>
        </w:rPr>
        <w:t>major </w:t>
      </w:r>
      <w:r>
        <w:rPr>
          <w:color w:val="231F20"/>
        </w:rPr>
        <w:t>changes in rates of excretion of solutes such as sodium and potassium. This ability to regulate water</w:t>
      </w:r>
      <w:r>
        <w:rPr>
          <w:color w:val="231F20"/>
          <w:spacing w:val="11"/>
        </w:rPr>
        <w:t> </w:t>
      </w:r>
      <w:r>
        <w:rPr>
          <w:color w:val="231F20"/>
        </w:rPr>
        <w:t>excretion</w:t>
      </w:r>
    </w:p>
    <w:p>
      <w:pPr>
        <w:pStyle w:val="BodyText"/>
        <w:spacing w:line="249" w:lineRule="auto" w:before="250"/>
        <w:ind w:left="319" w:right="1079"/>
        <w:jc w:val="both"/>
      </w:pPr>
      <w:r>
        <w:rPr/>
        <w:br w:type="column"/>
      </w:r>
      <w:r>
        <w:rPr>
          <w:color w:val="231F20"/>
        </w:rPr>
        <w:t>independently of solute excretion is necessary for sur­ vival, especially when fluid intake is limited.</w:t>
      </w:r>
    </w:p>
    <w:p>
      <w:pPr>
        <w:pStyle w:val="BodyText"/>
        <w:spacing w:before="9"/>
        <w:rPr>
          <w:sz w:val="30"/>
        </w:rPr>
      </w:pPr>
    </w:p>
    <w:p>
      <w:pPr>
        <w:pStyle w:val="Heading2"/>
        <w:spacing w:line="225" w:lineRule="auto" w:before="1"/>
        <w:ind w:right="1490"/>
      </w:pPr>
      <w:r>
        <w:rPr/>
        <w:pict>
          <v:rect style="position:absolute;margin-left:576pt;margin-top:-57.59108pt;width:36pt;height:24pt;mso-position-horizontal-relative:page;mso-position-vertical-relative:paragraph;z-index:252332032" filled="true" fillcolor="#e8dac8" stroked="false">
            <v:fill type="solid"/>
            <w10:wrap type="none"/>
          </v:rect>
        </w:pict>
      </w:r>
      <w:r>
        <w:rPr>
          <w:color w:val="231F20"/>
          <w:w w:val="105"/>
        </w:rPr>
        <w:t>ANTIDIURETIC HORMONE CONTROLS URINE CONCENTRATION</w:t>
      </w:r>
    </w:p>
    <w:p>
      <w:pPr>
        <w:pStyle w:val="BodyText"/>
        <w:spacing w:line="249" w:lineRule="auto" w:before="127"/>
        <w:ind w:left="319" w:right="1077"/>
        <w:jc w:val="both"/>
      </w:pPr>
      <w:r>
        <w:rPr>
          <w:color w:val="231F20"/>
          <w:w w:val="105"/>
        </w:rPr>
        <w:t>The</w:t>
      </w:r>
      <w:r>
        <w:rPr>
          <w:color w:val="231F20"/>
          <w:spacing w:val="-9"/>
          <w:w w:val="105"/>
        </w:rPr>
        <w:t> </w:t>
      </w:r>
      <w:r>
        <w:rPr>
          <w:color w:val="231F20"/>
          <w:w w:val="105"/>
        </w:rPr>
        <w:t>body</w:t>
      </w:r>
      <w:r>
        <w:rPr>
          <w:color w:val="231F20"/>
          <w:spacing w:val="-8"/>
          <w:w w:val="105"/>
        </w:rPr>
        <w:t> </w:t>
      </w:r>
      <w:r>
        <w:rPr>
          <w:color w:val="231F20"/>
          <w:w w:val="105"/>
        </w:rPr>
        <w:t>has</w:t>
      </w:r>
      <w:r>
        <w:rPr>
          <w:color w:val="231F20"/>
          <w:spacing w:val="-8"/>
          <w:w w:val="105"/>
        </w:rPr>
        <w:t> </w:t>
      </w:r>
      <w:r>
        <w:rPr>
          <w:color w:val="231F20"/>
          <w:w w:val="105"/>
        </w:rPr>
        <w:t>a</w:t>
      </w:r>
      <w:r>
        <w:rPr>
          <w:color w:val="231F20"/>
          <w:spacing w:val="-8"/>
          <w:w w:val="105"/>
        </w:rPr>
        <w:t> </w:t>
      </w:r>
      <w:r>
        <w:rPr>
          <w:color w:val="231F20"/>
          <w:w w:val="105"/>
        </w:rPr>
        <w:t>powerful</w:t>
      </w:r>
      <w:r>
        <w:rPr>
          <w:color w:val="231F20"/>
          <w:spacing w:val="-8"/>
          <w:w w:val="105"/>
        </w:rPr>
        <w:t> </w:t>
      </w:r>
      <w:r>
        <w:rPr>
          <w:color w:val="231F20"/>
          <w:w w:val="105"/>
        </w:rPr>
        <w:t>feedback</w:t>
      </w:r>
      <w:r>
        <w:rPr>
          <w:color w:val="231F20"/>
          <w:spacing w:val="-8"/>
          <w:w w:val="105"/>
        </w:rPr>
        <w:t> </w:t>
      </w:r>
      <w:r>
        <w:rPr>
          <w:color w:val="231F20"/>
          <w:w w:val="105"/>
        </w:rPr>
        <w:t>system</w:t>
      </w:r>
      <w:r>
        <w:rPr>
          <w:color w:val="231F20"/>
          <w:spacing w:val="-8"/>
          <w:w w:val="105"/>
        </w:rPr>
        <w:t> </w:t>
      </w:r>
      <w:r>
        <w:rPr>
          <w:color w:val="231F20"/>
          <w:w w:val="105"/>
        </w:rPr>
        <w:t>for</w:t>
      </w:r>
      <w:r>
        <w:rPr>
          <w:color w:val="231F20"/>
          <w:spacing w:val="-8"/>
          <w:w w:val="105"/>
        </w:rPr>
        <w:t> </w:t>
      </w:r>
      <w:r>
        <w:rPr>
          <w:color w:val="231F20"/>
          <w:w w:val="105"/>
        </w:rPr>
        <w:t>regulating plasma osmolarity and sodium concentration that </w:t>
      </w:r>
      <w:r>
        <w:rPr>
          <w:color w:val="231F20"/>
          <w:spacing w:val="-4"/>
          <w:w w:val="105"/>
        </w:rPr>
        <w:t>oper­ </w:t>
      </w:r>
      <w:r>
        <w:rPr>
          <w:color w:val="231F20"/>
          <w:w w:val="105"/>
        </w:rPr>
        <w:t>ates by altering renal excretion of water independently of the rate of solute excretion. A primary effector of this</w:t>
      </w:r>
      <w:r>
        <w:rPr>
          <w:color w:val="231F20"/>
          <w:spacing w:val="-13"/>
          <w:w w:val="105"/>
        </w:rPr>
        <w:t> </w:t>
      </w:r>
      <w:r>
        <w:rPr>
          <w:color w:val="231F20"/>
          <w:w w:val="105"/>
        </w:rPr>
        <w:t>feedback</w:t>
      </w:r>
      <w:r>
        <w:rPr>
          <w:color w:val="231F20"/>
          <w:spacing w:val="-12"/>
          <w:w w:val="105"/>
        </w:rPr>
        <w:t> </w:t>
      </w:r>
      <w:r>
        <w:rPr>
          <w:color w:val="231F20"/>
          <w:w w:val="105"/>
        </w:rPr>
        <w:t>is</w:t>
      </w:r>
      <w:r>
        <w:rPr>
          <w:color w:val="231F20"/>
          <w:spacing w:val="-12"/>
          <w:w w:val="105"/>
        </w:rPr>
        <w:t> </w:t>
      </w:r>
      <w:r>
        <w:rPr>
          <w:i/>
          <w:color w:val="231F20"/>
          <w:w w:val="105"/>
        </w:rPr>
        <w:t>antidiuretic</w:t>
      </w:r>
      <w:r>
        <w:rPr>
          <w:i/>
          <w:color w:val="231F20"/>
          <w:spacing w:val="-13"/>
          <w:w w:val="105"/>
        </w:rPr>
        <w:t> </w:t>
      </w:r>
      <w:r>
        <w:rPr>
          <w:i/>
          <w:color w:val="231F20"/>
          <w:w w:val="105"/>
        </w:rPr>
        <w:t>hormone</w:t>
      </w:r>
      <w:r>
        <w:rPr>
          <w:i/>
          <w:color w:val="231F20"/>
          <w:spacing w:val="-12"/>
          <w:w w:val="105"/>
        </w:rPr>
        <w:t> </w:t>
      </w:r>
      <w:r>
        <w:rPr>
          <w:i/>
          <w:color w:val="231F20"/>
          <w:w w:val="105"/>
        </w:rPr>
        <w:t>(ADH),</w:t>
      </w:r>
      <w:r>
        <w:rPr>
          <w:i/>
          <w:color w:val="231F20"/>
          <w:spacing w:val="-12"/>
          <w:w w:val="105"/>
        </w:rPr>
        <w:t> </w:t>
      </w:r>
      <w:r>
        <w:rPr>
          <w:color w:val="231F20"/>
          <w:w w:val="105"/>
        </w:rPr>
        <w:t>also</w:t>
      </w:r>
      <w:r>
        <w:rPr>
          <w:color w:val="231F20"/>
          <w:spacing w:val="-12"/>
          <w:w w:val="105"/>
        </w:rPr>
        <w:t> </w:t>
      </w:r>
      <w:r>
        <w:rPr>
          <w:color w:val="231F20"/>
          <w:w w:val="105"/>
        </w:rPr>
        <w:t>called </w:t>
      </w:r>
      <w:r>
        <w:rPr>
          <w:i/>
          <w:color w:val="231F20"/>
          <w:w w:val="105"/>
        </w:rPr>
        <w:t>vasopressin</w:t>
      </w:r>
      <w:r>
        <w:rPr>
          <w:color w:val="231F20"/>
          <w:w w:val="105"/>
        </w:rPr>
        <w:t>.</w:t>
      </w:r>
    </w:p>
    <w:p>
      <w:pPr>
        <w:pStyle w:val="BodyText"/>
        <w:spacing w:line="249" w:lineRule="auto" w:before="5"/>
        <w:ind w:left="319" w:right="1077" w:firstLine="240"/>
        <w:jc w:val="both"/>
      </w:pPr>
      <w:r>
        <w:rPr>
          <w:color w:val="231F20"/>
          <w:w w:val="105"/>
        </w:rPr>
        <w:t>When osmolarity of the body fluids increases </w:t>
      </w:r>
      <w:r>
        <w:rPr>
          <w:color w:val="231F20"/>
          <w:spacing w:val="-3"/>
          <w:w w:val="105"/>
        </w:rPr>
        <w:t>above </w:t>
      </w:r>
      <w:r>
        <w:rPr>
          <w:color w:val="231F20"/>
          <w:w w:val="105"/>
        </w:rPr>
        <w:t>normal (i.e., the solutes in the body fluids become </w:t>
      </w:r>
      <w:r>
        <w:rPr>
          <w:color w:val="231F20"/>
          <w:spacing w:val="-4"/>
          <w:w w:val="105"/>
        </w:rPr>
        <w:t>too </w:t>
      </w:r>
      <w:r>
        <w:rPr>
          <w:color w:val="231F20"/>
          <w:w w:val="105"/>
        </w:rPr>
        <w:t>concentrated), the posterior pituitary gland secretes more</w:t>
      </w:r>
      <w:r>
        <w:rPr>
          <w:color w:val="231F20"/>
          <w:spacing w:val="-22"/>
          <w:w w:val="105"/>
        </w:rPr>
        <w:t> </w:t>
      </w:r>
      <w:r>
        <w:rPr>
          <w:color w:val="231F20"/>
          <w:w w:val="105"/>
        </w:rPr>
        <w:t>ADH,</w:t>
      </w:r>
      <w:r>
        <w:rPr>
          <w:color w:val="231F20"/>
          <w:spacing w:val="-22"/>
          <w:w w:val="105"/>
        </w:rPr>
        <w:t> </w:t>
      </w:r>
      <w:r>
        <w:rPr>
          <w:color w:val="231F20"/>
          <w:w w:val="105"/>
        </w:rPr>
        <w:t>which</w:t>
      </w:r>
      <w:r>
        <w:rPr>
          <w:color w:val="231F20"/>
          <w:spacing w:val="-22"/>
          <w:w w:val="105"/>
        </w:rPr>
        <w:t> </w:t>
      </w:r>
      <w:r>
        <w:rPr>
          <w:color w:val="231F20"/>
          <w:w w:val="105"/>
        </w:rPr>
        <w:t>increases</w:t>
      </w:r>
      <w:r>
        <w:rPr>
          <w:color w:val="231F20"/>
          <w:spacing w:val="-21"/>
          <w:w w:val="105"/>
        </w:rPr>
        <w:t> </w:t>
      </w:r>
      <w:r>
        <w:rPr>
          <w:color w:val="231F20"/>
          <w:w w:val="105"/>
        </w:rPr>
        <w:t>the</w:t>
      </w:r>
      <w:r>
        <w:rPr>
          <w:color w:val="231F20"/>
          <w:spacing w:val="-22"/>
          <w:w w:val="105"/>
        </w:rPr>
        <w:t> </w:t>
      </w:r>
      <w:r>
        <w:rPr>
          <w:color w:val="231F20"/>
          <w:w w:val="105"/>
        </w:rPr>
        <w:t>permeability</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1"/>
          <w:w w:val="105"/>
        </w:rPr>
        <w:t> </w:t>
      </w:r>
      <w:r>
        <w:rPr>
          <w:color w:val="231F20"/>
          <w:w w:val="105"/>
        </w:rPr>
        <w:t>distal tubules and collecting ducts to </w:t>
      </w:r>
      <w:r>
        <w:rPr>
          <w:color w:val="231F20"/>
          <w:spacing w:val="-3"/>
          <w:w w:val="105"/>
        </w:rPr>
        <w:t>water, </w:t>
      </w:r>
      <w:r>
        <w:rPr>
          <w:color w:val="231F20"/>
          <w:w w:val="105"/>
        </w:rPr>
        <w:t>as discussed in Chapter 28. This mechanism increases water reabsorp­ tion and decreases urine volume but does not markedly alter the rate of renal excretion of the</w:t>
      </w:r>
      <w:r>
        <w:rPr>
          <w:color w:val="231F20"/>
          <w:spacing w:val="5"/>
          <w:w w:val="105"/>
        </w:rPr>
        <w:t> </w:t>
      </w:r>
      <w:r>
        <w:rPr>
          <w:color w:val="231F20"/>
          <w:w w:val="105"/>
        </w:rPr>
        <w:t>solutes.</w:t>
      </w:r>
    </w:p>
    <w:p>
      <w:pPr>
        <w:pStyle w:val="BodyText"/>
        <w:spacing w:line="249" w:lineRule="auto" w:before="6"/>
        <w:ind w:left="319" w:right="1077" w:firstLine="240"/>
        <w:jc w:val="both"/>
      </w:pPr>
      <w:r>
        <w:rPr>
          <w:color w:val="231F20"/>
          <w:w w:val="105"/>
        </w:rPr>
        <w:t>When there is excess water in the body and extracel­ lular</w:t>
      </w:r>
      <w:r>
        <w:rPr>
          <w:color w:val="231F20"/>
          <w:spacing w:val="-21"/>
          <w:w w:val="105"/>
        </w:rPr>
        <w:t> </w:t>
      </w:r>
      <w:r>
        <w:rPr>
          <w:color w:val="231F20"/>
          <w:w w:val="105"/>
        </w:rPr>
        <w:t>fluid</w:t>
      </w:r>
      <w:r>
        <w:rPr>
          <w:color w:val="231F20"/>
          <w:spacing w:val="-21"/>
          <w:w w:val="105"/>
        </w:rPr>
        <w:t> </w:t>
      </w:r>
      <w:r>
        <w:rPr>
          <w:color w:val="231F20"/>
          <w:w w:val="105"/>
        </w:rPr>
        <w:t>osmolarity</w:t>
      </w:r>
      <w:r>
        <w:rPr>
          <w:color w:val="231F20"/>
          <w:spacing w:val="-21"/>
          <w:w w:val="105"/>
        </w:rPr>
        <w:t> </w:t>
      </w:r>
      <w:r>
        <w:rPr>
          <w:color w:val="231F20"/>
          <w:w w:val="105"/>
        </w:rPr>
        <w:t>is</w:t>
      </w:r>
      <w:r>
        <w:rPr>
          <w:color w:val="231F20"/>
          <w:spacing w:val="-21"/>
          <w:w w:val="105"/>
        </w:rPr>
        <w:t> </w:t>
      </w:r>
      <w:r>
        <w:rPr>
          <w:color w:val="231F20"/>
          <w:w w:val="105"/>
        </w:rPr>
        <w:t>reduced,</w:t>
      </w:r>
      <w:r>
        <w:rPr>
          <w:color w:val="231F20"/>
          <w:spacing w:val="-21"/>
          <w:w w:val="105"/>
        </w:rPr>
        <w:t> </w:t>
      </w:r>
      <w:r>
        <w:rPr>
          <w:color w:val="231F20"/>
          <w:w w:val="105"/>
        </w:rPr>
        <w:t>the</w:t>
      </w:r>
      <w:r>
        <w:rPr>
          <w:color w:val="231F20"/>
          <w:spacing w:val="-21"/>
          <w:w w:val="105"/>
        </w:rPr>
        <w:t> </w:t>
      </w:r>
      <w:r>
        <w:rPr>
          <w:color w:val="231F20"/>
          <w:w w:val="105"/>
        </w:rPr>
        <w:t>secretion</w:t>
      </w:r>
      <w:r>
        <w:rPr>
          <w:color w:val="231F20"/>
          <w:spacing w:val="-21"/>
          <w:w w:val="105"/>
        </w:rPr>
        <w:t> </w:t>
      </w:r>
      <w:r>
        <w:rPr>
          <w:color w:val="231F20"/>
          <w:w w:val="105"/>
        </w:rPr>
        <w:t>of</w:t>
      </w:r>
      <w:r>
        <w:rPr>
          <w:color w:val="231F20"/>
          <w:spacing w:val="-21"/>
          <w:w w:val="105"/>
        </w:rPr>
        <w:t> </w:t>
      </w:r>
      <w:r>
        <w:rPr>
          <w:color w:val="231F20"/>
          <w:w w:val="105"/>
        </w:rPr>
        <w:t>ADH</w:t>
      </w:r>
      <w:r>
        <w:rPr>
          <w:color w:val="231F20"/>
          <w:spacing w:val="-21"/>
          <w:w w:val="105"/>
        </w:rPr>
        <w:t> </w:t>
      </w:r>
      <w:r>
        <w:rPr>
          <w:color w:val="231F20"/>
          <w:w w:val="105"/>
        </w:rPr>
        <w:t>by the posterior pituitary decreases, thereby reducing the permeability of the distal tubule and collecting ducts to </w:t>
      </w:r>
      <w:r>
        <w:rPr>
          <w:color w:val="231F20"/>
          <w:spacing w:val="-3"/>
          <w:w w:val="105"/>
        </w:rPr>
        <w:t>water, </w:t>
      </w:r>
      <w:r>
        <w:rPr>
          <w:color w:val="231F20"/>
          <w:w w:val="105"/>
        </w:rPr>
        <w:t>which causes increased amounts of more dilute urine to be excreted. Thus, the rate of ADH secretion determines,</w:t>
      </w:r>
      <w:r>
        <w:rPr>
          <w:color w:val="231F20"/>
          <w:spacing w:val="-20"/>
          <w:w w:val="105"/>
        </w:rPr>
        <w:t> </w:t>
      </w:r>
      <w:r>
        <w:rPr>
          <w:color w:val="231F20"/>
          <w:w w:val="105"/>
        </w:rPr>
        <w:t>to</w:t>
      </w:r>
      <w:r>
        <w:rPr>
          <w:color w:val="231F20"/>
          <w:spacing w:val="-19"/>
          <w:w w:val="105"/>
        </w:rPr>
        <w:t> </w:t>
      </w:r>
      <w:r>
        <w:rPr>
          <w:color w:val="231F20"/>
          <w:w w:val="105"/>
        </w:rPr>
        <w:t>a</w:t>
      </w:r>
      <w:r>
        <w:rPr>
          <w:color w:val="231F20"/>
          <w:spacing w:val="-19"/>
          <w:w w:val="105"/>
        </w:rPr>
        <w:t> </w:t>
      </w:r>
      <w:r>
        <w:rPr>
          <w:color w:val="231F20"/>
          <w:w w:val="105"/>
        </w:rPr>
        <w:t>large</w:t>
      </w:r>
      <w:r>
        <w:rPr>
          <w:color w:val="231F20"/>
          <w:spacing w:val="-19"/>
          <w:w w:val="105"/>
        </w:rPr>
        <w:t> </w:t>
      </w:r>
      <w:r>
        <w:rPr>
          <w:color w:val="231F20"/>
          <w:w w:val="105"/>
        </w:rPr>
        <w:t>extent,</w:t>
      </w:r>
      <w:r>
        <w:rPr>
          <w:color w:val="231F20"/>
          <w:spacing w:val="-19"/>
          <w:w w:val="105"/>
        </w:rPr>
        <w:t> </w:t>
      </w:r>
      <w:r>
        <w:rPr>
          <w:color w:val="231F20"/>
          <w:w w:val="105"/>
        </w:rPr>
        <w:t>whether</w:t>
      </w:r>
      <w:r>
        <w:rPr>
          <w:color w:val="231F20"/>
          <w:spacing w:val="-19"/>
          <w:w w:val="105"/>
        </w:rPr>
        <w:t> </w:t>
      </w:r>
      <w:r>
        <w:rPr>
          <w:color w:val="231F20"/>
          <w:w w:val="105"/>
        </w:rPr>
        <w:t>the</w:t>
      </w:r>
      <w:r>
        <w:rPr>
          <w:color w:val="231F20"/>
          <w:spacing w:val="-19"/>
          <w:w w:val="105"/>
        </w:rPr>
        <w:t> </w:t>
      </w:r>
      <w:r>
        <w:rPr>
          <w:color w:val="231F20"/>
          <w:w w:val="105"/>
        </w:rPr>
        <w:t>kidney</w:t>
      </w:r>
      <w:r>
        <w:rPr>
          <w:color w:val="231F20"/>
          <w:spacing w:val="-20"/>
          <w:w w:val="105"/>
        </w:rPr>
        <w:t> </w:t>
      </w:r>
      <w:r>
        <w:rPr>
          <w:color w:val="231F20"/>
          <w:w w:val="105"/>
        </w:rPr>
        <w:t>excretes dilute or concentrated</w:t>
      </w:r>
      <w:r>
        <w:rPr>
          <w:color w:val="231F20"/>
          <w:spacing w:val="9"/>
          <w:w w:val="105"/>
        </w:rPr>
        <w:t> </w:t>
      </w:r>
      <w:r>
        <w:rPr>
          <w:color w:val="231F20"/>
          <w:w w:val="105"/>
        </w:rPr>
        <w:t>urine.</w:t>
      </w:r>
    </w:p>
    <w:p>
      <w:pPr>
        <w:pStyle w:val="BodyText"/>
        <w:spacing w:before="3"/>
        <w:rPr>
          <w:sz w:val="31"/>
        </w:rPr>
      </w:pPr>
    </w:p>
    <w:p>
      <w:pPr>
        <w:pStyle w:val="Heading2"/>
        <w:spacing w:line="225" w:lineRule="auto"/>
        <w:ind w:right="1817"/>
      </w:pPr>
      <w:r>
        <w:rPr>
          <w:color w:val="231F20"/>
          <w:w w:val="105"/>
        </w:rPr>
        <w:t>RENAL MECHANISMS FOR EXCRETING DILUTE URINE</w:t>
      </w:r>
    </w:p>
    <w:p>
      <w:pPr>
        <w:pStyle w:val="BodyText"/>
        <w:spacing w:line="249" w:lineRule="auto" w:before="127"/>
        <w:ind w:left="319" w:right="1077"/>
        <w:jc w:val="both"/>
      </w:pPr>
      <w:r>
        <w:rPr>
          <w:color w:val="231F20"/>
          <w:w w:val="105"/>
        </w:rPr>
        <w:t>When there is a large excess of water in the body, the kidney can excrete as much as 20 L/day of dilute urine, with a concentration as low as 50 mOsm/L. The kidney performs this impressive feat by continuing to reabsorb solutes while failing to reabsorb large amounts of water in</w:t>
      </w:r>
      <w:r>
        <w:rPr>
          <w:color w:val="231F20"/>
          <w:spacing w:val="-12"/>
          <w:w w:val="105"/>
        </w:rPr>
        <w:t> </w:t>
      </w:r>
      <w:r>
        <w:rPr>
          <w:color w:val="231F20"/>
          <w:w w:val="105"/>
        </w:rPr>
        <w:t>the</w:t>
      </w:r>
      <w:r>
        <w:rPr>
          <w:color w:val="231F20"/>
          <w:spacing w:val="-11"/>
          <w:w w:val="105"/>
        </w:rPr>
        <w:t> </w:t>
      </w:r>
      <w:r>
        <w:rPr>
          <w:color w:val="231F20"/>
          <w:w w:val="105"/>
        </w:rPr>
        <w:t>distal</w:t>
      </w:r>
      <w:r>
        <w:rPr>
          <w:color w:val="231F20"/>
          <w:spacing w:val="-12"/>
          <w:w w:val="105"/>
        </w:rPr>
        <w:t> </w:t>
      </w:r>
      <w:r>
        <w:rPr>
          <w:color w:val="231F20"/>
          <w:w w:val="105"/>
        </w:rPr>
        <w:t>parts</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nephron,</w:t>
      </w:r>
      <w:r>
        <w:rPr>
          <w:color w:val="231F20"/>
          <w:spacing w:val="-12"/>
          <w:w w:val="105"/>
        </w:rPr>
        <w:t> </w:t>
      </w:r>
      <w:r>
        <w:rPr>
          <w:color w:val="231F20"/>
          <w:w w:val="105"/>
        </w:rPr>
        <w:t>including</w:t>
      </w:r>
      <w:r>
        <w:rPr>
          <w:color w:val="231F20"/>
          <w:spacing w:val="-11"/>
          <w:w w:val="105"/>
        </w:rPr>
        <w:t> </w:t>
      </w:r>
      <w:r>
        <w:rPr>
          <w:color w:val="231F20"/>
          <w:w w:val="105"/>
        </w:rPr>
        <w:t>the</w:t>
      </w:r>
      <w:r>
        <w:rPr>
          <w:color w:val="231F20"/>
          <w:spacing w:val="-12"/>
          <w:w w:val="105"/>
        </w:rPr>
        <w:t> </w:t>
      </w:r>
      <w:r>
        <w:rPr>
          <w:color w:val="231F20"/>
          <w:w w:val="105"/>
        </w:rPr>
        <w:t>late</w:t>
      </w:r>
      <w:r>
        <w:rPr>
          <w:color w:val="231F20"/>
          <w:spacing w:val="-11"/>
          <w:w w:val="105"/>
        </w:rPr>
        <w:t> </w:t>
      </w:r>
      <w:r>
        <w:rPr>
          <w:color w:val="231F20"/>
          <w:w w:val="105"/>
        </w:rPr>
        <w:t>distal tubule and the collecting</w:t>
      </w:r>
      <w:r>
        <w:rPr>
          <w:color w:val="231F20"/>
          <w:spacing w:val="10"/>
          <w:w w:val="105"/>
        </w:rPr>
        <w:t> </w:t>
      </w:r>
      <w:r>
        <w:rPr>
          <w:color w:val="231F20"/>
          <w:w w:val="105"/>
        </w:rPr>
        <w:t>ducts.</w:t>
      </w:r>
    </w:p>
    <w:p>
      <w:pPr>
        <w:pStyle w:val="BodyText"/>
        <w:spacing w:line="249" w:lineRule="auto" w:before="6"/>
        <w:ind w:left="319" w:right="1077" w:firstLine="240"/>
        <w:jc w:val="both"/>
      </w:pPr>
      <w:hyperlink w:history="true" w:anchor="_bookmark67">
        <w:r>
          <w:rPr>
            <w:b/>
            <w:color w:val="0080AC"/>
            <w:w w:val="105"/>
          </w:rPr>
          <w:t>Figure 29-1</w:t>
        </w:r>
      </w:hyperlink>
      <w:r>
        <w:rPr>
          <w:b/>
          <w:color w:val="0080AC"/>
          <w:w w:val="105"/>
        </w:rPr>
        <w:t> </w:t>
      </w:r>
      <w:r>
        <w:rPr>
          <w:color w:val="231F20"/>
          <w:w w:val="105"/>
        </w:rPr>
        <w:t>shows the approximate renal responses in a human after ingestion of 1 liter of </w:t>
      </w:r>
      <w:r>
        <w:rPr>
          <w:color w:val="231F20"/>
          <w:spacing w:val="-3"/>
          <w:w w:val="105"/>
        </w:rPr>
        <w:t>water. </w:t>
      </w:r>
      <w:r>
        <w:rPr>
          <w:color w:val="231F20"/>
          <w:w w:val="105"/>
        </w:rPr>
        <w:t>Note </w:t>
      </w:r>
      <w:r>
        <w:rPr>
          <w:color w:val="231F20"/>
          <w:spacing w:val="-4"/>
          <w:w w:val="105"/>
        </w:rPr>
        <w:t>that </w:t>
      </w:r>
      <w:r>
        <w:rPr>
          <w:color w:val="231F20"/>
          <w:w w:val="105"/>
        </w:rPr>
        <w:t>urine</w:t>
      </w:r>
      <w:r>
        <w:rPr>
          <w:color w:val="231F20"/>
          <w:spacing w:val="-6"/>
          <w:w w:val="105"/>
        </w:rPr>
        <w:t> </w:t>
      </w:r>
      <w:r>
        <w:rPr>
          <w:color w:val="231F20"/>
          <w:w w:val="105"/>
        </w:rPr>
        <w:t>volume</w:t>
      </w:r>
      <w:r>
        <w:rPr>
          <w:color w:val="231F20"/>
          <w:spacing w:val="-5"/>
          <w:w w:val="105"/>
        </w:rPr>
        <w:t> </w:t>
      </w:r>
      <w:r>
        <w:rPr>
          <w:color w:val="231F20"/>
          <w:w w:val="105"/>
        </w:rPr>
        <w:t>increases</w:t>
      </w:r>
      <w:r>
        <w:rPr>
          <w:color w:val="231F20"/>
          <w:spacing w:val="-5"/>
          <w:w w:val="105"/>
        </w:rPr>
        <w:t> </w:t>
      </w:r>
      <w:r>
        <w:rPr>
          <w:color w:val="231F20"/>
          <w:w w:val="105"/>
        </w:rPr>
        <w:t>to</w:t>
      </w:r>
      <w:r>
        <w:rPr>
          <w:color w:val="231F20"/>
          <w:spacing w:val="-5"/>
          <w:w w:val="105"/>
        </w:rPr>
        <w:t> </w:t>
      </w:r>
      <w:r>
        <w:rPr>
          <w:color w:val="231F20"/>
          <w:w w:val="105"/>
        </w:rPr>
        <w:t>about</w:t>
      </w:r>
      <w:r>
        <w:rPr>
          <w:color w:val="231F20"/>
          <w:spacing w:val="-5"/>
          <w:w w:val="105"/>
        </w:rPr>
        <w:t> </w:t>
      </w:r>
      <w:r>
        <w:rPr>
          <w:color w:val="231F20"/>
          <w:w w:val="105"/>
        </w:rPr>
        <w:t>six</w:t>
      </w:r>
      <w:r>
        <w:rPr>
          <w:color w:val="231F20"/>
          <w:spacing w:val="-6"/>
          <w:w w:val="105"/>
        </w:rPr>
        <w:t> </w:t>
      </w:r>
      <w:r>
        <w:rPr>
          <w:color w:val="231F20"/>
          <w:w w:val="105"/>
        </w:rPr>
        <w:t>times</w:t>
      </w:r>
      <w:r>
        <w:rPr>
          <w:color w:val="231F20"/>
          <w:spacing w:val="-5"/>
          <w:w w:val="105"/>
        </w:rPr>
        <w:t> </w:t>
      </w:r>
      <w:r>
        <w:rPr>
          <w:color w:val="231F20"/>
          <w:w w:val="105"/>
        </w:rPr>
        <w:t>normal</w:t>
      </w:r>
      <w:r>
        <w:rPr>
          <w:color w:val="231F20"/>
          <w:spacing w:val="-6"/>
          <w:w w:val="105"/>
        </w:rPr>
        <w:t> </w:t>
      </w:r>
      <w:r>
        <w:rPr>
          <w:color w:val="231F20"/>
          <w:w w:val="105"/>
        </w:rPr>
        <w:t>within 45 minutes after the water has been drunk. However, the</w:t>
      </w:r>
      <w:r>
        <w:rPr>
          <w:color w:val="231F20"/>
          <w:spacing w:val="28"/>
          <w:w w:val="105"/>
        </w:rPr>
        <w:t> </w:t>
      </w:r>
      <w:r>
        <w:rPr>
          <w:color w:val="231F20"/>
          <w:w w:val="105"/>
        </w:rPr>
        <w:t>total</w:t>
      </w:r>
      <w:r>
        <w:rPr>
          <w:color w:val="231F20"/>
          <w:spacing w:val="29"/>
          <w:w w:val="105"/>
        </w:rPr>
        <w:t> </w:t>
      </w:r>
      <w:r>
        <w:rPr>
          <w:color w:val="231F20"/>
          <w:w w:val="105"/>
        </w:rPr>
        <w:t>amount</w:t>
      </w:r>
      <w:r>
        <w:rPr>
          <w:color w:val="231F20"/>
          <w:spacing w:val="29"/>
          <w:w w:val="105"/>
        </w:rPr>
        <w:t> </w:t>
      </w:r>
      <w:r>
        <w:rPr>
          <w:color w:val="231F20"/>
          <w:w w:val="105"/>
        </w:rPr>
        <w:t>of</w:t>
      </w:r>
      <w:r>
        <w:rPr>
          <w:color w:val="231F20"/>
          <w:spacing w:val="29"/>
          <w:w w:val="105"/>
        </w:rPr>
        <w:t> </w:t>
      </w:r>
      <w:r>
        <w:rPr>
          <w:color w:val="231F20"/>
          <w:w w:val="105"/>
        </w:rPr>
        <w:t>solute</w:t>
      </w:r>
      <w:r>
        <w:rPr>
          <w:color w:val="231F20"/>
          <w:spacing w:val="28"/>
          <w:w w:val="105"/>
        </w:rPr>
        <w:t> </w:t>
      </w:r>
      <w:r>
        <w:rPr>
          <w:color w:val="231F20"/>
          <w:w w:val="105"/>
        </w:rPr>
        <w:t>excreted</w:t>
      </w:r>
      <w:r>
        <w:rPr>
          <w:color w:val="231F20"/>
          <w:spacing w:val="29"/>
          <w:w w:val="105"/>
        </w:rPr>
        <w:t> </w:t>
      </w:r>
      <w:r>
        <w:rPr>
          <w:color w:val="231F20"/>
          <w:w w:val="105"/>
        </w:rPr>
        <w:t>remains</w:t>
      </w:r>
      <w:r>
        <w:rPr>
          <w:color w:val="231F20"/>
          <w:spacing w:val="29"/>
          <w:w w:val="105"/>
        </w:rPr>
        <w:t> </w:t>
      </w:r>
      <w:r>
        <w:rPr>
          <w:color w:val="231F20"/>
          <w:w w:val="105"/>
        </w:rPr>
        <w:t>relatively</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21"/>
        </w:rPr>
      </w:pPr>
    </w:p>
    <w:p>
      <w:pPr>
        <w:spacing w:after="0"/>
        <w:rPr>
          <w:sz w:val="21"/>
        </w:rPr>
        <w:sectPr>
          <w:headerReference w:type="default" r:id="rId744"/>
          <w:pgSz w:w="12240" w:h="15660"/>
          <w:pgMar w:header="0" w:footer="567" w:top="720" w:bottom="760" w:left="0" w:right="0"/>
        </w:sectPr>
      </w:pPr>
    </w:p>
    <w:p>
      <w:pPr>
        <w:spacing w:before="104"/>
        <w:ind w:left="2179" w:right="0" w:firstLine="0"/>
        <w:jc w:val="left"/>
        <w:rPr>
          <w:rFonts w:ascii="Helvetica"/>
          <w:b/>
          <w:sz w:val="16"/>
        </w:rPr>
      </w:pPr>
      <w:r>
        <w:rPr/>
        <w:pict>
          <v:group style="position:absolute;margin-left:115.827301pt;margin-top:15.305392pt;width:143.85pt;height:204.55pt;mso-position-horizontal-relative:page;mso-position-vertical-relative:paragraph;z-index:-273070080" coordorigin="2317,306" coordsize="2877,4091">
            <v:shape style="position:absolute;left:-75;top:14686;width:2852;height:1170" coordorigin="-74,14686" coordsize="2852,1170" path="m2391,3237l2317,3237m2391,3779l2317,3779m2391,4321l2317,4321m2391,3227l2391,4321,5168,4321m2766,4322l2766,4397m3089,4322l3089,4397m3412,4322l3412,4397m3735,4322l3735,4397m4058,4322l4058,4397m4380,4322l4380,4397m4703,4322l4703,4397e" filled="false" stroked="true" strokeweight="1pt" strokecolor="#231f20">
              <v:path arrowok="t"/>
              <v:stroke dashstyle="solid"/>
            </v:shape>
            <v:line style="position:absolute" from="2766,595" to="2766,4322" stroked="true" strokeweight=".75pt" strokecolor="#231f20">
              <v:stroke dashstyle="shortdash"/>
            </v:line>
            <v:shape style="position:absolute;left:-75;top:11912;width:75;height:1095" coordorigin="-74,11913" coordsize="75,1095" path="m2391,464l2317,464m2391,735l2317,735m2391,1006l2317,1006m2391,1277l2317,1277m2391,1547l2317,1547m2391,454l2391,1548e" filled="false" stroked="true" strokeweight="1pt" strokecolor="#231f20">
              <v:path arrowok="t"/>
              <v:stroke dashstyle="solid"/>
            </v:shape>
            <v:shape style="position:absolute;left:2404;top:718;width:2734;height:705" coordorigin="2405,719" coordsize="2734,705" path="m2405,737l2617,744,2730,748,2812,757,2891,792,2934,834,2972,897,2997,959,3035,1057,3077,1162,3110,1248,3125,1287,3137,1312,3227,1401,3308,1417,3654,1421,3840,1423,3928,1423,3982,1424,4062,1423,4166,1422,4262,1421,4318,1420,4392,1374,4443,1256,4490,1104,4533,961,4552,897,4593,797,4633,745,4696,725,4805,720,4936,719,5042,719,5112,720,5138,720e" filled="false" stroked="true" strokeweight="2pt" strokecolor="#231f20">
              <v:path arrowok="t"/>
              <v:stroke dashstyle="solid"/>
            </v:shape>
            <v:shape style="position:absolute;left:2398;top:1117;width:2767;height:80" coordorigin="2398,1118" coordsize="2767,80" path="m2398,1147l2495,1147,2549,1147,2581,1146,2608,1144,2655,1140,2719,1138,2783,1139,2828,1147,2859,1162,2891,1178,2921,1191,2948,1197,3308,1197,3362,1197,3441,1196,3536,1195,3639,1194,3740,1193,3832,1193,3905,1193,3952,1194,4019,1195,4112,1195,4212,1195,4301,1194,4358,1194,4459,1189,4538,1177,4556,1171,4588,1163,4700,1142,4784,1131,4888,1123,5015,1118,5165,1118e" filled="false" stroked="true" strokeweight="2pt" strokecolor="#f0535f">
              <v:path arrowok="t"/>
              <v:stroke dashstyle="shortdash"/>
            </v:shape>
            <v:shape style="position:absolute;left:-75;top:13259;width:75;height:1095" coordorigin="-74,13259" coordsize="75,1095" path="m2391,1811l2317,1811m2391,2172l2317,2172m2391,2533l2317,2533m2391,2894l2317,2894m2391,1800l2391,2894e" filled="false" stroked="true" strokeweight="1pt" strokecolor="#231f20">
              <v:path arrowok="t"/>
              <v:stroke dashstyle="solid"/>
            </v:shape>
            <v:shape style="position:absolute;left:2400;top:1776;width:2773;height:972" coordorigin="2401,1777" coordsize="2773,972" path="m2401,2733l2793,2733,2885,2748,2939,2732,2974,2665,3011,2528,3034,2434,3058,2335,3081,2236,3102,2142,3121,2058,3136,1990,3151,1923,3156,1894,3181,1845,3244,1799,3363,1780,4178,1780,4272,1777,4358,1826,4391,1903,4449,2057,4527,2266,4594,2451,4623,2530,4648,2621,4682,2669,4747,2688,4866,2695,5007,2698,5102,2696,5156,2692,5173,2690e" filled="false" stroked="true" strokeweight="2pt" strokecolor="#2384c6">
              <v:path arrowok="t"/>
              <v:stroke dashstyle="solid"/>
            </v:shape>
            <v:shape style="position:absolute;left:2401;top:3686;width:2727;height:77" coordorigin="2402,3687" coordsize="2727,77" path="m2402,3757l2778,3757,2825,3754,2852,3751,2872,3747,2895,3740,2947,3726,3009,3713,3081,3703,3163,3696,3254,3693,3355,3694,4462,3687,4504,3693,4529,3697,4546,3702,4565,3710,4605,3724,4671,3741,4752,3756,4835,3764,4926,3763,5022,3760,5097,3756,5128,3754e" filled="false" stroked="true" strokeweight="2pt" strokecolor="#92bc98">
              <v:path arrowok="t"/>
              <v:stroke dashstyle="solid"/>
            </v:shape>
            <v:line style="position:absolute" from="2765,306" to="2765,468" stroked="true" strokeweight="1.5pt" strokecolor="#231f20">
              <v:stroke dashstyle="solid"/>
            </v:line>
            <v:shape style="position:absolute;left:2705;top:410;width:120;height:185" coordorigin="2706,411" coordsize="120,185" path="m2707,411l2706,413,2744,502,2766,595,2788,502,2812,444,2766,444,2707,411xm2825,411l2766,444,2812,444,2826,413,2825,411xe" filled="true" fillcolor="#231f20" stroked="false">
              <v:path arrowok="t"/>
              <v:fill type="solid"/>
            </v:shape>
            <w10:wrap type="none"/>
          </v:group>
        </w:pict>
      </w:r>
      <w:r>
        <w:rPr>
          <w:rFonts w:ascii="Helvetica"/>
          <w:b/>
          <w:color w:val="231F20"/>
          <w:sz w:val="16"/>
        </w:rPr>
        <w:t>Drink 1.0 L H</w:t>
      </w:r>
      <w:r>
        <w:rPr>
          <w:rFonts w:ascii="Helvetica"/>
          <w:b/>
          <w:color w:val="231F20"/>
          <w:position w:val="-4"/>
          <w:sz w:val="12"/>
        </w:rPr>
        <w:t>2</w:t>
      </w:r>
      <w:r>
        <w:rPr>
          <w:rFonts w:ascii="Helvetica"/>
          <w:b/>
          <w:color w:val="231F20"/>
          <w:sz w:val="16"/>
        </w:rPr>
        <w:t>O</w:t>
      </w:r>
    </w:p>
    <w:p>
      <w:pPr>
        <w:spacing w:before="42"/>
        <w:ind w:left="1995" w:right="0" w:firstLine="0"/>
        <w:jc w:val="left"/>
        <w:rPr>
          <w:rFonts w:ascii="Helvetica"/>
          <w:sz w:val="16"/>
        </w:rPr>
      </w:pPr>
      <w:r>
        <w:rPr/>
        <w:pict>
          <v:shape style="position:absolute;margin-left:76.425598pt;margin-top:11.350394pt;width:20.55pt;height:43.8pt;mso-position-horizontal-relative:page;mso-position-vertical-relative:paragraph;z-index:252355584" type="#_x0000_t202" filled="false" stroked="false">
            <v:textbox inset="0,0,0,0" style="layout-flow:vertical;mso-layout-flow-alt:bottom-to-top">
              <w:txbxContent>
                <w:p>
                  <w:pPr>
                    <w:spacing w:line="235" w:lineRule="auto" w:before="27"/>
                    <w:ind w:left="64" w:right="1" w:hanging="45"/>
                    <w:jc w:val="left"/>
                    <w:rPr>
                      <w:rFonts w:ascii="Helvetica"/>
                      <w:b/>
                      <w:sz w:val="16"/>
                    </w:rPr>
                  </w:pPr>
                  <w:r>
                    <w:rPr>
                      <w:rFonts w:ascii="Helvetica"/>
                      <w:b/>
                      <w:color w:val="231F20"/>
                      <w:sz w:val="16"/>
                    </w:rPr>
                    <w:t>Osmolarity (mOsm/L)</w:t>
                  </w:r>
                </w:p>
              </w:txbxContent>
            </v:textbox>
            <w10:wrap type="none"/>
          </v:shape>
        </w:pict>
      </w:r>
      <w:r>
        <w:rPr>
          <w:rFonts w:ascii="Helvetica"/>
          <w:color w:val="231F20"/>
          <w:sz w:val="16"/>
        </w:rPr>
        <w:t>800</w:t>
      </w:r>
    </w:p>
    <w:p>
      <w:pPr>
        <w:pStyle w:val="BodyText"/>
        <w:rPr>
          <w:rFonts w:ascii="Helvetica"/>
          <w:sz w:val="18"/>
        </w:rPr>
      </w:pPr>
    </w:p>
    <w:p>
      <w:pPr>
        <w:spacing w:before="149"/>
        <w:ind w:left="1995" w:right="0" w:firstLine="0"/>
        <w:jc w:val="left"/>
        <w:rPr>
          <w:rFonts w:ascii="Helvetica"/>
          <w:sz w:val="16"/>
        </w:rPr>
      </w:pPr>
      <w:r>
        <w:rPr>
          <w:rFonts w:ascii="Helvetica"/>
          <w:color w:val="231F20"/>
          <w:sz w:val="16"/>
        </w:rPr>
        <w:t>400</w:t>
      </w:r>
    </w:p>
    <w:p>
      <w:pPr>
        <w:pStyle w:val="BodyText"/>
        <w:rPr>
          <w:rFonts w:ascii="Helvetica"/>
          <w:sz w:val="18"/>
        </w:rPr>
      </w:pPr>
    </w:p>
    <w:p>
      <w:pPr>
        <w:spacing w:before="148"/>
        <w:ind w:left="2173" w:right="0" w:firstLine="0"/>
        <w:jc w:val="left"/>
        <w:rPr>
          <w:rFonts w:ascii="Helvetica"/>
          <w:sz w:val="16"/>
        </w:rPr>
      </w:pPr>
      <w:r>
        <w:rPr>
          <w:rFonts w:ascii="Helvetica"/>
          <w:color w:val="231F20"/>
          <w:w w:val="99"/>
          <w:sz w:val="16"/>
        </w:rPr>
        <w:t>0</w:t>
      </w:r>
    </w:p>
    <w:p>
      <w:pPr>
        <w:spacing w:before="84"/>
        <w:ind w:left="2173" w:right="0" w:firstLine="0"/>
        <w:jc w:val="left"/>
        <w:rPr>
          <w:rFonts w:ascii="Helvetica"/>
          <w:sz w:val="16"/>
        </w:rPr>
      </w:pPr>
      <w:r>
        <w:rPr/>
        <w:pict>
          <v:shape style="position:absolute;margin-left:85.425598pt;margin-top:6.562019pt;width:20.55pt;height:57.6pt;mso-position-horizontal-relative:page;mso-position-vertical-relative:paragraph;z-index:252356608" type="#_x0000_t202" filled="false" stroked="false">
            <v:textbox inset="0,0,0,0" style="layout-flow:vertical;mso-layout-flow-alt:bottom-to-top">
              <w:txbxContent>
                <w:p>
                  <w:pPr>
                    <w:spacing w:line="235" w:lineRule="auto" w:before="27"/>
                    <w:ind w:left="264" w:right="1" w:hanging="245"/>
                    <w:jc w:val="left"/>
                    <w:rPr>
                      <w:rFonts w:ascii="Helvetica"/>
                      <w:b/>
                      <w:sz w:val="16"/>
                    </w:rPr>
                  </w:pPr>
                  <w:r>
                    <w:rPr>
                      <w:rFonts w:ascii="Helvetica"/>
                      <w:b/>
                      <w:color w:val="231F20"/>
                      <w:sz w:val="16"/>
                    </w:rPr>
                    <w:t>Urine flow rate (ml/min)</w:t>
                  </w:r>
                </w:p>
              </w:txbxContent>
            </v:textbox>
            <w10:wrap type="none"/>
          </v:shape>
        </w:pict>
      </w:r>
      <w:r>
        <w:rPr>
          <w:rFonts w:ascii="Helvetica"/>
          <w:color w:val="231F20"/>
          <w:w w:val="99"/>
          <w:sz w:val="16"/>
        </w:rPr>
        <w:t>6</w:t>
      </w:r>
    </w:p>
    <w:p>
      <w:pPr>
        <w:pStyle w:val="BodyText"/>
        <w:spacing w:before="8"/>
        <w:rPr>
          <w:rFonts w:ascii="Helvetica"/>
          <w:sz w:val="14"/>
        </w:rPr>
      </w:pPr>
    </w:p>
    <w:p>
      <w:pPr>
        <w:spacing w:before="1"/>
        <w:ind w:left="2173" w:right="0" w:firstLine="0"/>
        <w:jc w:val="left"/>
        <w:rPr>
          <w:rFonts w:ascii="Helvetica"/>
          <w:sz w:val="16"/>
        </w:rPr>
      </w:pPr>
      <w:r>
        <w:rPr>
          <w:rFonts w:ascii="Helvetica"/>
          <w:color w:val="231F20"/>
          <w:w w:val="99"/>
          <w:sz w:val="16"/>
        </w:rPr>
        <w:t>4</w:t>
      </w:r>
    </w:p>
    <w:p>
      <w:pPr>
        <w:pStyle w:val="BodyText"/>
        <w:spacing w:before="7"/>
        <w:rPr>
          <w:rFonts w:ascii="Helvetica"/>
          <w:sz w:val="15"/>
        </w:rPr>
      </w:pPr>
    </w:p>
    <w:p>
      <w:pPr>
        <w:spacing w:before="1"/>
        <w:ind w:left="2173" w:right="0" w:firstLine="0"/>
        <w:jc w:val="left"/>
        <w:rPr>
          <w:rFonts w:ascii="Helvetica"/>
          <w:sz w:val="16"/>
        </w:rPr>
      </w:pPr>
      <w:r>
        <w:rPr>
          <w:rFonts w:ascii="Helvetica"/>
          <w:color w:val="231F20"/>
          <w:w w:val="99"/>
          <w:sz w:val="16"/>
        </w:rPr>
        <w:t>2</w:t>
      </w:r>
    </w:p>
    <w:p>
      <w:pPr>
        <w:pStyle w:val="BodyText"/>
        <w:spacing w:before="4"/>
        <w:rPr>
          <w:rFonts w:ascii="Helvetica"/>
          <w:sz w:val="15"/>
        </w:rPr>
      </w:pPr>
    </w:p>
    <w:p>
      <w:pPr>
        <w:spacing w:before="0"/>
        <w:ind w:left="2173" w:right="0" w:firstLine="0"/>
        <w:jc w:val="left"/>
        <w:rPr>
          <w:rFonts w:ascii="Helvetica"/>
          <w:sz w:val="16"/>
        </w:rPr>
      </w:pPr>
      <w:r>
        <w:rPr/>
        <w:pict>
          <v:rect style="position:absolute;margin-left:0pt;margin-top:3.935791pt;width:36pt;height:24pt;mso-position-horizontal-relative:page;mso-position-vertical-relative:paragraph;z-index:252334080" filled="true" fillcolor="#e8dac8" stroked="false">
            <v:fill type="solid"/>
            <w10:wrap type="none"/>
          </v:rect>
        </w:pict>
      </w:r>
      <w:r>
        <w:rPr>
          <w:rFonts w:ascii="Helvetica"/>
          <w:color w:val="231F20"/>
          <w:w w:val="99"/>
          <w:sz w:val="16"/>
        </w:rPr>
        <w:t>0</w:t>
      </w:r>
    </w:p>
    <w:p>
      <w:pPr>
        <w:pStyle w:val="BodyText"/>
        <w:spacing w:before="3"/>
        <w:rPr>
          <w:rFonts w:ascii="Helvetica"/>
          <w:sz w:val="14"/>
        </w:rPr>
      </w:pPr>
    </w:p>
    <w:p>
      <w:pPr>
        <w:spacing w:before="0"/>
        <w:ind w:left="2040" w:right="0" w:firstLine="0"/>
        <w:jc w:val="left"/>
        <w:rPr>
          <w:rFonts w:ascii="Helvetica"/>
          <w:sz w:val="16"/>
        </w:rPr>
      </w:pPr>
      <w:r>
        <w:rPr/>
        <w:pict>
          <v:shape style="position:absolute;margin-left:69.925598pt;margin-top:3.249889pt;width:29.55pt;height:55.8pt;mso-position-horizontal-relative:page;mso-position-vertical-relative:paragraph;z-index:252354560" type="#_x0000_t202" filled="false" stroked="false">
            <v:textbox inset="0,0,0,0" style="layout-flow:vertical;mso-layout-flow-alt:bottom-to-top">
              <w:txbxContent>
                <w:p>
                  <w:pPr>
                    <w:spacing w:line="235" w:lineRule="auto" w:before="27"/>
                    <w:ind w:left="20" w:right="18" w:firstLine="0"/>
                    <w:jc w:val="center"/>
                    <w:rPr>
                      <w:rFonts w:ascii="Helvetica"/>
                      <w:b/>
                      <w:sz w:val="16"/>
                    </w:rPr>
                  </w:pPr>
                  <w:r>
                    <w:rPr>
                      <w:rFonts w:ascii="Helvetica"/>
                      <w:b/>
                      <w:color w:val="231F20"/>
                      <w:sz w:val="16"/>
                    </w:rPr>
                    <w:t>Urinary solute excretion (mOsm/min)</w:t>
                  </w:r>
                </w:p>
              </w:txbxContent>
            </v:textbox>
            <w10:wrap type="none"/>
          </v:shape>
        </w:pict>
      </w:r>
      <w:r>
        <w:rPr>
          <w:rFonts w:ascii="Helvetica"/>
          <w:color w:val="231F20"/>
          <w:sz w:val="16"/>
        </w:rPr>
        <w:t>1.2</w:t>
      </w:r>
    </w:p>
    <w:p>
      <w:pPr>
        <w:pStyle w:val="BodyText"/>
        <w:rPr>
          <w:rFonts w:ascii="Helvetica"/>
          <w:sz w:val="18"/>
        </w:rPr>
      </w:pPr>
      <w:r>
        <w:rPr/>
        <w:br w:type="column"/>
      </w:r>
      <w:r>
        <w:rPr>
          <w:rFonts w:ascii="Helvetica"/>
          <w:sz w:val="18"/>
        </w:rPr>
      </w:r>
    </w:p>
    <w:p>
      <w:pPr>
        <w:pStyle w:val="BodyText"/>
        <w:rPr>
          <w:rFonts w:ascii="Helvetica"/>
          <w:sz w:val="18"/>
        </w:rPr>
      </w:pPr>
    </w:p>
    <w:p>
      <w:pPr>
        <w:spacing w:line="256" w:lineRule="auto" w:before="119"/>
        <w:ind w:left="1287" w:right="6832" w:hanging="1"/>
        <w:jc w:val="center"/>
        <w:rPr>
          <w:rFonts w:ascii="Helvetica"/>
          <w:sz w:val="16"/>
        </w:rPr>
      </w:pPr>
      <w:r>
        <w:rPr>
          <w:rFonts w:ascii="Helvetica"/>
          <w:color w:val="231F20"/>
          <w:sz w:val="16"/>
        </w:rPr>
        <w:t>Urine osmolarity</w:t>
      </w:r>
      <w:r>
        <w:rPr>
          <w:rFonts w:ascii="Helvetica"/>
          <w:color w:val="231F20"/>
          <w:w w:val="99"/>
          <w:sz w:val="16"/>
        </w:rPr>
        <w:t> </w:t>
      </w:r>
      <w:r>
        <w:rPr>
          <w:rFonts w:ascii="Helvetica"/>
          <w:color w:val="231F20"/>
          <w:sz w:val="16"/>
        </w:rPr>
        <w:t>Plasma</w:t>
      </w:r>
    </w:p>
    <w:p>
      <w:pPr>
        <w:spacing w:line="168" w:lineRule="exact" w:before="0"/>
        <w:ind w:left="1268" w:right="6813" w:firstLine="0"/>
        <w:jc w:val="center"/>
        <w:rPr>
          <w:rFonts w:ascii="Helvetica"/>
          <w:sz w:val="16"/>
        </w:rPr>
      </w:pPr>
      <w:r>
        <w:rPr/>
        <w:pict>
          <v:group style="position:absolute;margin-left:308.7901pt;margin-top:-50.948364pt;width:228.5pt;height:178.1pt;mso-position-horizontal-relative:page;mso-position-vertical-relative:paragraph;z-index:252353536" coordorigin="6176,-1019" coordsize="4570,3562">
            <v:shape style="position:absolute;left:6185;top:-784;width:2086;height:1598" type="#_x0000_t75" stroked="false">
              <v:imagedata r:id="rId745" o:title=""/>
            </v:shape>
            <v:shape style="position:absolute;left:8699;top:-593;width:827;height:1754" type="#_x0000_t75" stroked="false">
              <v:imagedata r:id="rId746" o:title=""/>
            </v:shape>
            <v:shape style="position:absolute;left:9521;top:-973;width:819;height:1210" coordorigin="9521,-973" coordsize="819,1210" path="m9863,-592l9521,-592,9521,-260,9836,-260,9846,-246,9858,-219,9867,-176,9871,-114,9871,237,10202,225,10202,-114,10200,-175,10194,-230,10184,-281,10171,-327,10166,-354,10165,-379,10166,-401,10169,-420,10201,-542,10223,-592,9866,-592,9864,-592,9863,-592xm10149,-973l10133,-956,10098,-914,10050,-848,9998,-759,9949,-649,9933,-625,9912,-608,9889,-597,9866,-592,10223,-592,10245,-641,10290,-715,10325,-761,10340,-777,10149,-973xe" filled="true" fillcolor="#fef3da" stroked="false">
              <v:path arrowok="t"/>
              <v:fill type="solid"/>
            </v:shape>
            <v:shape style="position:absolute;left:9479;top:117;width:1004;height:2416" type="#_x0000_t75" stroked="false">
              <v:imagedata r:id="rId747" o:title=""/>
            </v:shape>
            <v:shape style="position:absolute;left:8037;top:813;width:898;height:1431" coordorigin="8037,814" coordsize="898,1431" path="m8174,814l8037,814,8037,1784,8043,1859,8060,1929,8087,1995,8123,2056,8167,2109,8219,2155,8277,2193,8341,2221,8409,2238,8481,2244,8554,2238,8624,2221,8689,2193,8749,2157,8801,2111,8804,2108,8481,2108,8411,2099,8346,2075,8289,2037,8241,1986,8205,1926,8182,1858,8174,1784,8174,814xm8934,1162l8798,1162,8798,1791,8789,1863,8766,1930,8728,1989,8679,2038,8620,2075,8553,2099,8481,2108,8804,2108,8847,2058,8884,1999,8911,1934,8928,1864,8934,1791,8934,1162xe" filled="true" fillcolor="#fed502" stroked="false">
              <v:path arrowok="t"/>
              <v:fill type="solid"/>
            </v:shape>
            <v:shape style="position:absolute;left:7977;top:-532;width:3;height:2" coordorigin="7977,-532" coordsize="3,1" path="m7977,-532l7979,-531,7980,-531,7980,-531,7977,-532xe" filled="true" fillcolor="#ece8ab" stroked="false">
              <v:path arrowok="t"/>
              <v:fill type="solid"/>
            </v:shape>
            <v:shape style="position:absolute;left:-1791;top:13131;width:4298;height:3506" coordorigin="-1791,13131" coordsize="4298,3506" path="m7977,-532l7977,-532,7979,-531,7979,-531,7980,-531,7980,-531,7980,-531,7979,-531,7978,-532,7977,-532xm10202,2356l10202,770,10203,770,10218,660,10256,570,10309,497,10368,441,10422,402,10464,378,10483,369,10378,117,10360,125,10321,145,10266,178,10202,225,10202,-114,10200,-175,10194,-230,10184,-281,10171,-327,10166,-354,10165,-379,10166,-401,10169,-420,10201,-542,10245,-641,10290,-715,10325,-761,10340,-777,10149,-973,10133,-956,10098,-914,10050,-848,9998,-759,9949,-649,9933,-625,9912,-608,9889,-597,9866,-592,9864,-592,9863,-592,9861,-592,9237,-592,9142,-588,9055,-574,8977,-552,8907,-520,8847,-480,8795,-431,8745,-360,8716,-291,8703,-229,8700,-180,8700,-172,8700,-166,8700,-160,8700,1011,8707,1059,8728,1101,8758,1136,8798,1162,8798,1791,8789,1863,8766,1930,8728,1989,8679,2038,8620,2075,8553,2099,8481,2108,8411,2099,8346,2075,8289,2037,8241,1986,8205,1926,8182,1858,8174,1784,8174,814,8213,789,8244,754,8264,711,8271,663,8271,13,8263,-124,8239,-235,8204,-325,8162,-395,8117,-447,8073,-485,8032,-510,8000,-524,7979,-531,7891,-545,7809,-542,7735,-529,7671,-511,7645,-504,7620,-497,7598,-493,7579,-491,7530,-492,7489,-497,7451,-507,7411,-525,7340,-553,7263,-567,7182,-567,7097,-553,7008,-525,6967,-510,6936,-502,6907,-498,6877,-498,6866,-498,6853,-500,6838,-502,6823,-504,6789,-569,6745,-628,6692,-679,6631,-721,6563,-753,6490,-774,6412,-784,6332,-784,6285,-776,6252,-750,6214,-699,6189,-649,6186,-607,6197,-576,6217,-559,6253,-550,6294,-551,6334,-556,6369,-562,6378,-562,6387,-563,6396,-563,6474,-551,6541,-519,6595,-470,6630,-407,6643,-335,6630,-263,6595,-201,6541,-152,6474,-119,6396,-108,6387,-108,6379,-108,6370,-109,6335,-114,6294,-119,6253,-120,6217,-112,6197,-94,6186,-63,6189,-21,6214,29,6272,80,6337,105,6390,113,6412,113,6491,104,6565,82,6633,50,6694,7,6747,-44,6791,-103,6824,-169,6838,-168,6851,-167,6863,-166,6935,-167,7001,-177,7064,-193,7129,-217,7169,-230,7205,-237,7235,-237,7259,-230,7349,-192,7433,-171,7509,-162,7579,-160,7629,-163,7676,-170,7721,-181,7762,-192,7800,-203,7832,-210,7860,-213,7883,-212,7900,-191,7919,-148,7934,-82,7940,13,7940,663,7947,711,7967,754,7998,789,8037,814,8037,1784,8043,1859,8060,1929,8087,1995,8123,2056,8167,2109,8219,2155,8277,2193,8341,2221,8409,2238,8481,2244,8554,2238,8624,2221,8689,2194,8749,2157,8801,2111,8847,2058,8884,1999,8911,1934,8928,1864,8934,1791,8934,1162,8974,1136,9005,1101,9025,1059,9032,1011,9032,-166,9032,-171,9031,-182,9031,-187,9031,-180,9031,-180,9031,-184,9032,-200,9046,-214,9063,-227,9097,-243,9153,-255,9237,-260,9836,-260,9846,-246,9858,-219,9867,-176,9871,-114,9871,790,9776,725,9690,675,9623,642,9585,625,9479,876,9551,911,9627,954,9701,1005,9768,1060,9822,1119,9858,1178,9870,1235,9871,1235,9871,2356m9805,2532l9843,2485,9862,2426,9869,2377,9871,2356m10202,2356l10205,2427,10212,2469,10230,2497,10265,2529e" filled="false" stroked="true" strokeweight="1pt" strokecolor="#e2874a">
              <v:path arrowok="t"/>
              <v:stroke dashstyle="solid"/>
            </v:shape>
            <v:shape style="position:absolute;left:6972;top:-611;width:135;height:135" coordorigin="6972,-611" coordsize="135,135" path="m7040,-611l7013,-606,6992,-591,6978,-570,6972,-544,6978,-517,6992,-496,7013,-481,7040,-476,7066,-481,7087,-496,7102,-517,7107,-544,7102,-570,7087,-591,7066,-606,7040,-611xe" filled="true" fillcolor="#ffffff" stroked="false">
              <v:path arrowok="t"/>
              <v:fill type="solid"/>
            </v:shape>
            <v:shape style="position:absolute;left:6972;top:-611;width:135;height:135" coordorigin="6972,-611" coordsize="135,135" path="m7107,-544l7102,-517,7087,-496,7066,-481,7040,-476,7013,-481,6992,-496,6978,-517,6972,-544,6978,-570,6992,-591,7013,-606,7040,-611,7066,-606,7087,-591,7102,-570,7107,-544xe" filled="false" stroked="true" strokeweight=".75pt" strokecolor="#231f20">
              <v:path arrowok="t"/>
              <v:stroke dashstyle="solid"/>
            </v:shape>
            <v:shape style="position:absolute;left:9404;top:-666;width:135;height:135" coordorigin="9405,-666" coordsize="135,135" path="m9472,-666l9446,-661,9425,-646,9410,-625,9405,-599,9410,-572,9425,-551,9446,-536,9472,-531,9499,-536,9520,-551,9534,-572,9540,-599,9534,-625,9520,-646,9499,-661,9472,-666xe" filled="true" fillcolor="#ffffff" stroked="false">
              <v:path arrowok="t"/>
              <v:fill type="solid"/>
            </v:shape>
            <v:shape style="position:absolute;left:9404;top:-666;width:135;height:135" coordorigin="9405,-666" coordsize="135,135" path="m9540,-599l9534,-572,9520,-551,9499,-536,9472,-531,9446,-536,9425,-551,9410,-572,9405,-599,9410,-625,9425,-646,9446,-661,9472,-666,9499,-661,9520,-646,9534,-625,9540,-599xe" filled="false" stroked="true" strokeweight=".75pt" strokecolor="#231f20">
              <v:path arrowok="t"/>
              <v:stroke dashstyle="solid"/>
            </v:shape>
            <v:shape style="position:absolute;left:8631;top:93;width:135;height:135" coordorigin="8631,93" coordsize="135,135" path="m8699,93l8673,98,8651,113,8637,134,8631,161,8637,187,8651,208,8673,223,8699,228,8725,223,8746,208,8761,187,8766,161,8761,134,8746,113,8725,98,8699,93xe" filled="true" fillcolor="#ffffff" stroked="false">
              <v:path arrowok="t"/>
              <v:fill type="solid"/>
            </v:shape>
            <v:shape style="position:absolute;left:8631;top:93;width:135;height:135" coordorigin="8631,93" coordsize="135,135" path="m8766,161l8761,187,8746,208,8725,223,8699,228,8673,223,8651,208,8637,187,8631,161,8637,134,8651,113,8673,98,8699,93,8725,98,8746,113,8761,134,8766,161xe" filled="false" stroked="true" strokeweight=".75pt" strokecolor="#231f20">
              <v:path arrowok="t"/>
              <v:stroke dashstyle="solid"/>
            </v:shape>
            <v:shape style="position:absolute;left:8631;top:335;width:135;height:135" coordorigin="8631,336" coordsize="135,135" path="m8699,336l8673,341,8651,356,8637,377,8631,403,8637,430,8651,451,8673,466,8699,471,8725,466,8746,451,8761,430,8766,403,8761,377,8746,356,8725,341,8699,336xe" filled="true" fillcolor="#ffffff" stroked="false">
              <v:path arrowok="t"/>
              <v:fill type="solid"/>
            </v:shape>
            <v:shape style="position:absolute;left:8631;top:335;width:135;height:135" coordorigin="8631,336" coordsize="135,135" path="m8766,403l8761,430,8746,451,8725,466,8699,471,8673,466,8651,451,8637,430,8631,403,8637,377,8651,356,8673,341,8699,336,8725,341,8746,356,8761,377,8766,403xe" filled="false" stroked="true" strokeweight=".75pt" strokecolor="#231f20">
              <v:path arrowok="t"/>
              <v:stroke dashstyle="solid"/>
            </v:shape>
            <v:shape style="position:absolute;left:8631;top:578;width:135;height:135" coordorigin="8631,579" coordsize="135,135" path="m8699,579l8673,584,8651,598,8637,620,8631,646,8637,672,8651,694,8673,708,8699,714,8725,708,8746,694,8761,672,8766,646,8761,620,8746,598,8725,584,8699,579xe" filled="true" fillcolor="#ffffff" stroked="false">
              <v:path arrowok="t"/>
              <v:fill type="solid"/>
            </v:shape>
            <v:shape style="position:absolute;left:8631;top:578;width:135;height:135" coordorigin="8631,579" coordsize="135,135" path="m8766,646l8761,672,8746,694,8725,708,8699,714,8673,708,8651,694,8637,672,8631,646,8637,620,8651,598,8673,584,8699,579,8725,584,8746,598,8761,620,8766,646xe" filled="false" stroked="true" strokeweight=".75pt" strokecolor="#231f20">
              <v:path arrowok="t"/>
              <v:stroke dashstyle="solid"/>
            </v:shape>
            <v:shape style="position:absolute;left:9799;top:1372;width:135;height:135" coordorigin="9800,1372" coordsize="135,135" path="m9867,1372l9841,1377,9820,1392,9805,1413,9800,1440,9805,1466,9820,1487,9841,1502,9867,1507,9894,1502,9915,1487,9929,1466,9935,1440,9929,1413,9915,1392,9894,1377,9867,1372xe" filled="true" fillcolor="#ffffff" stroked="false">
              <v:path arrowok="t"/>
              <v:fill type="solid"/>
            </v:shape>
            <v:shape style="position:absolute;left:-135;top:13241;width:946;height:399" coordorigin="-135,13241" coordsize="946,399" path="m9935,1440l9929,1413,9915,1392,9894,1377,9867,1372,9841,1377,9820,1392,9805,1413,9800,1440,9805,1466,9820,1487,9841,1502,9867,1507,9894,1502,9915,1487,9929,1466,9935,1440xm10745,1108l10503,1108e" filled="false" stroked="true" strokeweight=".75pt" strokecolor="#231f20">
              <v:path arrowok="t"/>
              <v:stroke dashstyle="solid"/>
            </v:shape>
            <v:shape style="position:absolute;left:-666;top:13572;width:1039;height:1904" coordorigin="-665,13573" coordsize="1039,1904" path="m10128,-995l10363,-760m10363,82l10501,403m9595,593l9462,908e" filled="false" stroked="true" strokeweight="1.5pt" strokecolor="#ffffff">
              <v:path arrowok="t"/>
              <v:stroke dashstyle="solid"/>
            </v:shape>
            <v:shape style="position:absolute;left:7121;top:-776;width:1530;height:1334" coordorigin="7122,-775" coordsize="1530,1334" path="m7264,-775l7199,-708,7122,-653,7122,-651,7188,-649,7220,-592,7222,-593,7235,-686,7257,-753,7264,-775m8652,460l8651,458,8557,445,8468,416,8535,481,8591,558,8593,558,8595,492,8652,460m8652,221l8651,219,8557,206,8468,177,8535,243,8591,319,8593,319,8595,253,8652,221m8652,-21l8651,-24,8557,-37,8468,-65,8535,0,8591,77,8593,77,8595,11,8652,-21e" filled="true" fillcolor="#231f20" stroked="false">
              <v:path arrowok="t"/>
              <v:fill type="solid"/>
            </v:shape>
            <v:shape style="position:absolute;left:6999;top:-651;width:191;height:236" coordorigin="7000,-650" coordsize="191,236" path="m7190,-650l7143,-568,7108,-516,7066,-472,7000,-415e" filled="false" stroked="true" strokeweight="1.5pt" strokecolor="#231f20">
              <v:path arrowok="t"/>
              <v:stroke dashstyle="solid"/>
            </v:shape>
            <v:shape style="position:absolute;left:9554;top:-831;width:142;height:184" coordorigin="9555,-830" coordsize="142,184" path="m9697,-830l9631,-763,9555,-708,9555,-706,9621,-704,9653,-647,9655,-648,9668,-741,9689,-808,9697,-830xe" filled="true" fillcolor="#231f20" stroked="false">
              <v:path arrowok="t"/>
              <v:fill type="solid"/>
            </v:shape>
            <v:shape style="position:absolute;left:-1030;top:13572;width:1030;height:1386" coordorigin="-1030,13573" coordsize="1030,1386" path="m9623,-705l9576,-623,9541,-571,9499,-527,9432,-470m8593,12l8676,59,8728,94,8771,136,8829,203m8593,252l8676,299,8728,335,8771,377,8829,443m8593,490l8676,537,8728,572,8771,614,8829,680e" filled="false" stroked="true" strokeweight="1.5pt" strokecolor="#231f20">
              <v:path arrowok="t"/>
              <v:stroke dashstyle="solid"/>
            </v:shape>
            <v:shape style="position:absolute;left:8513;top:1300;width:376;height:280" type="#_x0000_t75" stroked="false">
              <v:imagedata r:id="rId748" o:title=""/>
            </v:shape>
            <v:shape style="position:absolute;left:7750;top:1267;width:376;height:280" type="#_x0000_t75" stroked="false">
              <v:imagedata r:id="rId749" o:title=""/>
            </v:shape>
            <v:shape style="position:absolute;left:7540;top:-766;width:142;height:184" coordorigin="7540,-765" coordsize="142,184" path="m7682,-765l7617,-699,7541,-643,7540,-641,7606,-639,7638,-582,7641,-583,7654,-676,7675,-743,7682,-765xe" filled="true" fillcolor="#231f20" stroked="false">
              <v:path arrowok="t"/>
              <v:fill type="solid"/>
            </v:shape>
            <v:shape style="position:absolute;left:10570;top:-734;width:117;height:181" type="#_x0000_t75" stroked="false">
              <v:imagedata r:id="rId750" o:title=""/>
            </v:shape>
            <v:shape style="position:absolute;left:10570;top:2256;width:117;height:181" type="#_x0000_t75" stroked="false">
              <v:imagedata r:id="rId751" o:title=""/>
            </v:shape>
            <v:shape style="position:absolute;left:7418;top:-641;width:191;height:236" coordorigin="7418,-641" coordsize="191,236" path="m7609,-641l7562,-558,7526,-506,7484,-463,7418,-405e" filled="false" stroked="true" strokeweight="1.5pt" strokecolor="#231f20">
              <v:path arrowok="t"/>
              <v:stroke dashstyle="shortdash"/>
            </v:shape>
            <v:shape style="position:absolute;left:9637;top:1527;width:184;height:142" coordorigin="9637,1528" coordsize="184,142" path="m9761,1528l9759,1528,9704,1604,9637,1670,9726,1641,9819,1628,9820,1626,9763,1594,9761,1528xe" filled="true" fillcolor="#231f20" stroked="false">
              <v:path arrowok="t"/>
              <v:fill type="solid"/>
            </v:shape>
            <v:shape style="position:absolute;left:0;top:11325;width:869;height:2989" coordorigin="0,11325" coordsize="869,2989" path="m9762,1596l9844,1549,9896,1514,9940,1472,9997,1405m10630,9l10630,-651m10630,2337l10630,2018m10630,1362l10630,555e" filled="false" stroked="true" strokeweight="1.5pt" strokecolor="#231f20">
              <v:path arrowok="t"/>
              <v:stroke dashstyle="solid"/>
            </v:shape>
            <v:shape style="position:absolute;left:7061;top:-964;width:846;height:226" type="#_x0000_t202" filled="false" stroked="false">
              <v:textbox inset="0,0,0,0">
                <w:txbxContent>
                  <w:p>
                    <w:pPr>
                      <w:spacing w:line="237" w:lineRule="auto" w:before="0"/>
                      <w:ind w:left="0" w:right="0" w:firstLine="0"/>
                      <w:jc w:val="left"/>
                      <w:rPr>
                        <w:rFonts w:ascii="Helvetica"/>
                        <w:sz w:val="16"/>
                      </w:rPr>
                    </w:pPr>
                    <w:r>
                      <w:rPr>
                        <w:rFonts w:ascii="Helvetica"/>
                        <w:color w:val="231F20"/>
                        <w:sz w:val="16"/>
                      </w:rPr>
                      <w:t>NaCl H</w:t>
                    </w:r>
                    <w:r>
                      <w:rPr>
                        <w:rFonts w:ascii="Helvetica"/>
                        <w:color w:val="231F20"/>
                        <w:position w:val="-4"/>
                        <w:sz w:val="12"/>
                      </w:rPr>
                      <w:t>2</w:t>
                    </w:r>
                    <w:r>
                      <w:rPr>
                        <w:rFonts w:ascii="Helvetica"/>
                        <w:color w:val="231F20"/>
                        <w:sz w:val="16"/>
                      </w:rPr>
                      <w:t>O</w:t>
                    </w:r>
                  </w:p>
                </w:txbxContent>
              </v:textbox>
              <w10:wrap type="none"/>
            </v:shape>
            <v:shape style="position:absolute;left:9522;top:-1019;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NaCl</w:t>
                    </w:r>
                  </w:p>
                </w:txbxContent>
              </v:textbox>
              <w10:wrap type="none"/>
            </v:shape>
            <v:shape style="position:absolute;left:8018;top:-748;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300</w:t>
                    </w:r>
                  </w:p>
                </w:txbxContent>
              </v:textbox>
              <w10:wrap type="none"/>
            </v:shape>
            <v:shape style="position:absolute;left:7784;top:-446;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300</w:t>
                    </w:r>
                  </w:p>
                </w:txbxContent>
              </v:textbox>
              <w10:wrap type="none"/>
            </v:shape>
            <v:shape style="position:absolute;left:8894;top:-809;width:443;height:459" type="#_x0000_t202" filled="false" stroked="false">
              <v:textbox inset="0,0,0,0">
                <w:txbxContent>
                  <w:p>
                    <w:pPr>
                      <w:spacing w:line="183" w:lineRule="exact" w:before="0"/>
                      <w:ind w:left="155" w:right="0" w:firstLine="0"/>
                      <w:jc w:val="left"/>
                      <w:rPr>
                        <w:rFonts w:ascii="Helvetica"/>
                        <w:sz w:val="16"/>
                      </w:rPr>
                    </w:pPr>
                    <w:r>
                      <w:rPr>
                        <w:rFonts w:ascii="Helvetica"/>
                        <w:color w:val="231F20"/>
                        <w:sz w:val="16"/>
                      </w:rPr>
                      <w:t>300</w:t>
                    </w:r>
                  </w:p>
                  <w:p>
                    <w:pPr>
                      <w:spacing w:before="89"/>
                      <w:ind w:left="0" w:right="0" w:firstLine="0"/>
                      <w:jc w:val="left"/>
                      <w:rPr>
                        <w:rFonts w:ascii="Helvetica"/>
                        <w:sz w:val="16"/>
                      </w:rPr>
                    </w:pPr>
                    <w:r>
                      <w:rPr>
                        <w:rFonts w:ascii="Helvetica"/>
                        <w:color w:val="231F20"/>
                        <w:sz w:val="16"/>
                      </w:rPr>
                      <w:t>100</w:t>
                    </w:r>
                  </w:p>
                </w:txbxContent>
              </v:textbox>
              <w10:wrap type="none"/>
            </v:shape>
            <v:shape style="position:absolute;left:9831;top:-536;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100</w:t>
                    </w:r>
                  </w:p>
                </w:txbxContent>
              </v:textbox>
              <w10:wrap type="none"/>
            </v:shape>
            <v:shape style="position:absolute;left:8304;top:-249;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NaCl</w:t>
                    </w:r>
                  </w:p>
                </w:txbxContent>
              </v:textbox>
              <w10:wrap type="none"/>
            </v:shape>
            <v:shape style="position:absolute;left:7547;top:1034;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400</w:t>
                    </w:r>
                  </w:p>
                </w:txbxContent>
              </v:textbox>
              <w10:wrap type="none"/>
            </v:shape>
            <v:shape style="position:absolute;left:8304;top:918;width:376;height:386" type="#_x0000_t202" filled="false" stroked="false">
              <v:textbox inset="0,0,0,0">
                <w:txbxContent>
                  <w:p>
                    <w:pPr>
                      <w:spacing w:line="183" w:lineRule="exact" w:before="0"/>
                      <w:ind w:left="38" w:right="0" w:firstLine="0"/>
                      <w:jc w:val="left"/>
                      <w:rPr>
                        <w:rFonts w:ascii="Helvetica"/>
                        <w:sz w:val="16"/>
                      </w:rPr>
                    </w:pPr>
                    <w:r>
                      <w:rPr>
                        <w:rFonts w:ascii="Helvetica"/>
                        <w:color w:val="231F20"/>
                        <w:sz w:val="16"/>
                      </w:rPr>
                      <w:t>400</w:t>
                    </w:r>
                  </w:p>
                  <w:p>
                    <w:pPr>
                      <w:spacing w:before="16"/>
                      <w:ind w:left="0" w:right="0" w:firstLine="0"/>
                      <w:jc w:val="left"/>
                      <w:rPr>
                        <w:rFonts w:ascii="Helvetica"/>
                        <w:sz w:val="16"/>
                      </w:rPr>
                    </w:pPr>
                    <w:r>
                      <w:rPr>
                        <w:rFonts w:ascii="Helvetica"/>
                        <w:color w:val="231F20"/>
                        <w:sz w:val="16"/>
                      </w:rPr>
                      <w:t>NaCl</w:t>
                    </w:r>
                  </w:p>
                </w:txbxContent>
              </v:textbox>
              <w10:wrap type="none"/>
            </v:shape>
            <v:shape style="position:absolute;left:9165;top:1034;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400</w:t>
                    </w:r>
                  </w:p>
                </w:txbxContent>
              </v:textbox>
              <w10:wrap type="none"/>
            </v:shape>
            <v:shape style="position:absolute;left:9953;top:908;width:19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70</w:t>
                    </w:r>
                  </w:p>
                </w:txbxContent>
              </v:textbox>
              <w10:wrap type="none"/>
            </v:shape>
            <v:shape style="position:absolute;left:7533;top:1540;width:327;height:226" type="#_x0000_t202" filled="false" stroked="false">
              <v:textbox inset="0,0,0,0">
                <w:txbxContent>
                  <w:p>
                    <w:pPr>
                      <w:spacing w:line="237" w:lineRule="auto" w:before="0"/>
                      <w:ind w:left="0"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w:t>
                    </w:r>
                  </w:p>
                </w:txbxContent>
              </v:textbox>
              <w10:wrap type="none"/>
            </v:shape>
            <v:shape style="position:absolute;left:9272;top:1600;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NaCl</w:t>
                    </w:r>
                  </w:p>
                </w:txbxContent>
              </v:textbox>
              <w10:wrap type="none"/>
            </v:shape>
            <v:shape style="position:absolute;left:7547;top:207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8356;top:207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9165;top:207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9953;top:2080;width:19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50</w:t>
                    </w:r>
                  </w:p>
                </w:txbxContent>
              </v:textbox>
              <w10:wrap type="none"/>
            </v:shape>
            <w10:wrap type="none"/>
          </v:group>
        </w:pict>
      </w:r>
      <w:r>
        <w:rPr/>
        <w:pict>
          <v:shape style="position:absolute;margin-left:525.596008pt;margin-top:1.343633pt;width:11.25pt;height:25.6pt;mso-position-horizontal-relative:page;mso-position-vertical-relative:paragraph;z-index:252358656"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Cortex</w:t>
                  </w:r>
                </w:p>
              </w:txbxContent>
            </v:textbox>
            <w10:wrap type="none"/>
          </v:shape>
        </w:pict>
      </w:r>
      <w:r>
        <w:rPr>
          <w:rFonts w:ascii="Helvetica"/>
          <w:color w:val="231F20"/>
          <w:sz w:val="16"/>
        </w:rPr>
        <w:t>osmolarity</w:t>
      </w:r>
    </w:p>
    <w:p>
      <w:pPr>
        <w:spacing w:after="0" w:line="168" w:lineRule="exact"/>
        <w:jc w:val="center"/>
        <w:rPr>
          <w:rFonts w:ascii="Helvetica"/>
          <w:sz w:val="16"/>
        </w:rPr>
        <w:sectPr>
          <w:type w:val="continuous"/>
          <w:pgSz w:w="12240" w:h="15660"/>
          <w:pgMar w:top="0" w:bottom="760" w:left="0" w:right="0"/>
          <w:cols w:num="2" w:equalWidth="0">
            <w:col w:w="3349" w:space="40"/>
            <w:col w:w="8851"/>
          </w:cols>
        </w:sectPr>
      </w:pPr>
    </w:p>
    <w:p>
      <w:pPr>
        <w:pStyle w:val="BodyText"/>
        <w:spacing w:before="4"/>
        <w:rPr>
          <w:rFonts w:ascii="Helvetica"/>
          <w:sz w:val="22"/>
        </w:rPr>
      </w:pPr>
    </w:p>
    <w:p>
      <w:pPr>
        <w:spacing w:after="0"/>
        <w:rPr>
          <w:rFonts w:ascii="Helvetica"/>
          <w:sz w:val="22"/>
        </w:rPr>
        <w:sectPr>
          <w:type w:val="continuous"/>
          <w:pgSz w:w="12240" w:h="15660"/>
          <w:pgMar w:top="0" w:bottom="760" w:left="0" w:right="0"/>
        </w:sectPr>
      </w:pPr>
    </w:p>
    <w:p>
      <w:pPr>
        <w:spacing w:before="99"/>
        <w:ind w:left="0" w:right="547" w:firstLine="0"/>
        <w:jc w:val="right"/>
        <w:rPr>
          <w:rFonts w:ascii="Helvetica"/>
          <w:sz w:val="16"/>
        </w:rPr>
      </w:pPr>
      <w:r>
        <w:rPr/>
        <w:pict>
          <v:shape style="position:absolute;margin-left:525.596008pt;margin-top:-53.315411pt;width:11.25pt;height:30.05pt;mso-position-horizontal-relative:page;mso-position-vertical-relative:paragraph;z-index:252357632"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Medulla</w:t>
                  </w:r>
                </w:p>
              </w:txbxContent>
            </v:textbox>
            <w10:wrap type="none"/>
          </v:shape>
        </w:pict>
      </w:r>
      <w:r>
        <w:rPr>
          <w:rFonts w:ascii="Helvetica"/>
          <w:color w:val="231F20"/>
          <w:w w:val="95"/>
          <w:sz w:val="16"/>
        </w:rPr>
        <w:t>0.6</w:t>
      </w:r>
    </w:p>
    <w:p>
      <w:pPr>
        <w:pStyle w:val="BodyText"/>
        <w:rPr>
          <w:rFonts w:ascii="Helvetica"/>
          <w:sz w:val="18"/>
        </w:rPr>
      </w:pPr>
    </w:p>
    <w:p>
      <w:pPr>
        <w:spacing w:line="184" w:lineRule="exact" w:before="148"/>
        <w:ind w:left="2173" w:right="0" w:firstLine="0"/>
        <w:jc w:val="left"/>
        <w:rPr>
          <w:rFonts w:ascii="Helvetica"/>
          <w:sz w:val="16"/>
        </w:rPr>
      </w:pPr>
      <w:r>
        <w:rPr>
          <w:rFonts w:ascii="Helvetica"/>
          <w:color w:val="231F20"/>
          <w:w w:val="99"/>
          <w:sz w:val="16"/>
        </w:rPr>
        <w:t>0</w:t>
      </w:r>
    </w:p>
    <w:p>
      <w:pPr>
        <w:spacing w:line="150" w:lineRule="exact" w:before="0"/>
        <w:ind w:left="2722" w:right="0" w:firstLine="0"/>
        <w:jc w:val="lef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5"/>
        <w:rPr>
          <w:rFonts w:ascii="Helvetica"/>
          <w:sz w:val="17"/>
        </w:rPr>
      </w:pPr>
    </w:p>
    <w:p>
      <w:pPr>
        <w:tabs>
          <w:tab w:pos="1069" w:val="left" w:leader="none"/>
        </w:tabs>
        <w:spacing w:line="150" w:lineRule="exact" w:before="0"/>
        <w:ind w:left="462" w:right="0" w:firstLine="0"/>
        <w:jc w:val="left"/>
        <w:rPr>
          <w:rFonts w:ascii="Helvetica"/>
          <w:sz w:val="16"/>
        </w:rPr>
      </w:pPr>
      <w:r>
        <w:rPr>
          <w:rFonts w:ascii="Helvetica"/>
          <w:color w:val="231F20"/>
          <w:sz w:val="16"/>
        </w:rPr>
        <w:t>60</w:t>
        <w:tab/>
      </w:r>
      <w:r>
        <w:rPr>
          <w:rFonts w:ascii="Helvetica"/>
          <w:color w:val="231F20"/>
          <w:spacing w:val="-7"/>
          <w:sz w:val="16"/>
        </w:rPr>
        <w:t>120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5"/>
        <w:rPr>
          <w:rFonts w:ascii="Helvetica"/>
          <w:sz w:val="17"/>
        </w:rPr>
      </w:pPr>
    </w:p>
    <w:p>
      <w:pPr>
        <w:spacing w:line="150" w:lineRule="exact" w:before="0"/>
        <w:ind w:left="343" w:right="0" w:firstLine="0"/>
        <w:jc w:val="left"/>
        <w:rPr>
          <w:rFonts w:ascii="Helvetica"/>
          <w:sz w:val="16"/>
        </w:rPr>
      </w:pPr>
      <w:r>
        <w:rPr>
          <w:rFonts w:ascii="Helvetica"/>
          <w:color w:val="231F20"/>
          <w:sz w:val="16"/>
        </w:rPr>
        <w:t>180</w:t>
      </w:r>
    </w:p>
    <w:p>
      <w:pPr>
        <w:pStyle w:val="BodyText"/>
        <w:spacing w:before="6"/>
        <w:rPr>
          <w:rFonts w:ascii="Helvetica"/>
          <w:sz w:val="14"/>
        </w:rPr>
      </w:pPr>
      <w:r>
        <w:rPr/>
        <w:br w:type="column"/>
      </w:r>
      <w:r>
        <w:rPr>
          <w:rFonts w:ascii="Helvetica"/>
          <w:sz w:val="14"/>
        </w:rPr>
      </w:r>
    </w:p>
    <w:p>
      <w:pPr>
        <w:spacing w:line="259" w:lineRule="auto" w:before="0"/>
        <w:ind w:left="1242" w:right="1437" w:firstLine="0"/>
        <w:jc w:val="both"/>
        <w:rPr>
          <w:rFonts w:ascii="Arial"/>
          <w:sz w:val="16"/>
        </w:rPr>
      </w:pPr>
      <w:bookmarkStart w:name="_bookmark66" w:id="67"/>
      <w:bookmarkEnd w:id="67"/>
      <w:r>
        <w:rPr/>
      </w:r>
      <w:r>
        <w:rPr>
          <w:rFonts w:ascii="Trebuchet MS"/>
          <w:b/>
          <w:color w:val="231F20"/>
          <w:sz w:val="16"/>
        </w:rPr>
        <w:t>Figure 29-2. </w:t>
      </w:r>
      <w:r>
        <w:rPr>
          <w:rFonts w:ascii="Arial"/>
          <w:color w:val="231F20"/>
          <w:sz w:val="16"/>
        </w:rPr>
        <w:t>Formation of dilute urine when antidiuretic hormone (ADH)</w:t>
      </w:r>
      <w:r>
        <w:rPr>
          <w:rFonts w:ascii="Arial"/>
          <w:color w:val="231F20"/>
          <w:spacing w:val="-8"/>
          <w:sz w:val="16"/>
        </w:rPr>
        <w:t> </w:t>
      </w:r>
      <w:r>
        <w:rPr>
          <w:rFonts w:ascii="Arial"/>
          <w:color w:val="231F20"/>
          <w:sz w:val="16"/>
        </w:rPr>
        <w:t>levels</w:t>
      </w:r>
      <w:r>
        <w:rPr>
          <w:rFonts w:ascii="Arial"/>
          <w:color w:val="231F20"/>
          <w:spacing w:val="-7"/>
          <w:sz w:val="16"/>
        </w:rPr>
        <w:t> </w:t>
      </w:r>
      <w:r>
        <w:rPr>
          <w:rFonts w:ascii="Arial"/>
          <w:color w:val="231F20"/>
          <w:sz w:val="16"/>
        </w:rPr>
        <w:t>are</w:t>
      </w:r>
      <w:r>
        <w:rPr>
          <w:rFonts w:ascii="Arial"/>
          <w:color w:val="231F20"/>
          <w:spacing w:val="-7"/>
          <w:sz w:val="16"/>
        </w:rPr>
        <w:t> </w:t>
      </w:r>
      <w:r>
        <w:rPr>
          <w:rFonts w:ascii="Arial"/>
          <w:color w:val="231F20"/>
          <w:sz w:val="16"/>
        </w:rPr>
        <w:t>very</w:t>
      </w:r>
      <w:r>
        <w:rPr>
          <w:rFonts w:ascii="Arial"/>
          <w:color w:val="231F20"/>
          <w:spacing w:val="-7"/>
          <w:sz w:val="16"/>
        </w:rPr>
        <w:t> </w:t>
      </w:r>
      <w:r>
        <w:rPr>
          <w:rFonts w:ascii="Arial"/>
          <w:color w:val="231F20"/>
          <w:spacing w:val="-3"/>
          <w:sz w:val="16"/>
        </w:rPr>
        <w:t>low.</w:t>
      </w:r>
      <w:r>
        <w:rPr>
          <w:rFonts w:ascii="Arial"/>
          <w:color w:val="231F20"/>
          <w:spacing w:val="-7"/>
          <w:sz w:val="16"/>
        </w:rPr>
        <w:t> </w:t>
      </w:r>
      <w:r>
        <w:rPr>
          <w:rFonts w:ascii="Arial"/>
          <w:color w:val="231F20"/>
          <w:sz w:val="16"/>
        </w:rPr>
        <w:t>Note</w:t>
      </w:r>
      <w:r>
        <w:rPr>
          <w:rFonts w:ascii="Arial"/>
          <w:color w:val="231F20"/>
          <w:spacing w:val="-7"/>
          <w:sz w:val="16"/>
        </w:rPr>
        <w:t> </w:t>
      </w:r>
      <w:r>
        <w:rPr>
          <w:rFonts w:ascii="Arial"/>
          <w:color w:val="231F20"/>
          <w:sz w:val="16"/>
        </w:rPr>
        <w:t>that</w:t>
      </w:r>
      <w:r>
        <w:rPr>
          <w:rFonts w:ascii="Arial"/>
          <w:color w:val="231F20"/>
          <w:spacing w:val="-7"/>
          <w:sz w:val="16"/>
        </w:rPr>
        <w:t> </w:t>
      </w:r>
      <w:r>
        <w:rPr>
          <w:rFonts w:ascii="Arial"/>
          <w:color w:val="231F20"/>
          <w:sz w:val="16"/>
        </w:rPr>
        <w:t>in</w:t>
      </w:r>
      <w:r>
        <w:rPr>
          <w:rFonts w:ascii="Arial"/>
          <w:color w:val="231F20"/>
          <w:spacing w:val="-8"/>
          <w:sz w:val="16"/>
        </w:rPr>
        <w:t> </w:t>
      </w:r>
      <w:r>
        <w:rPr>
          <w:rFonts w:ascii="Arial"/>
          <w:color w:val="231F20"/>
          <w:sz w:val="16"/>
        </w:rPr>
        <w:t>the</w:t>
      </w:r>
      <w:r>
        <w:rPr>
          <w:rFonts w:ascii="Arial"/>
          <w:color w:val="231F20"/>
          <w:spacing w:val="-7"/>
          <w:sz w:val="16"/>
        </w:rPr>
        <w:t> </w:t>
      </w:r>
      <w:r>
        <w:rPr>
          <w:rFonts w:ascii="Arial"/>
          <w:color w:val="231F20"/>
          <w:sz w:val="16"/>
        </w:rPr>
        <w:t>ascending</w:t>
      </w:r>
      <w:r>
        <w:rPr>
          <w:rFonts w:ascii="Arial"/>
          <w:color w:val="231F20"/>
          <w:spacing w:val="-7"/>
          <w:sz w:val="16"/>
        </w:rPr>
        <w:t> </w:t>
      </w:r>
      <w:r>
        <w:rPr>
          <w:rFonts w:ascii="Arial"/>
          <w:color w:val="231F20"/>
          <w:sz w:val="16"/>
        </w:rPr>
        <w:t>loop</w:t>
      </w:r>
      <w:r>
        <w:rPr>
          <w:rFonts w:ascii="Arial"/>
          <w:color w:val="231F20"/>
          <w:spacing w:val="-7"/>
          <w:sz w:val="16"/>
        </w:rPr>
        <w:t> </w:t>
      </w:r>
      <w:r>
        <w:rPr>
          <w:rFonts w:ascii="Arial"/>
          <w:color w:val="231F20"/>
          <w:sz w:val="16"/>
        </w:rPr>
        <w:t>of</w:t>
      </w:r>
      <w:r>
        <w:rPr>
          <w:rFonts w:ascii="Arial"/>
          <w:color w:val="231F20"/>
          <w:spacing w:val="-7"/>
          <w:sz w:val="16"/>
        </w:rPr>
        <w:t> </w:t>
      </w:r>
      <w:r>
        <w:rPr>
          <w:rFonts w:ascii="Arial"/>
          <w:color w:val="231F20"/>
          <w:spacing w:val="-3"/>
          <w:sz w:val="16"/>
        </w:rPr>
        <w:t>Henle, </w:t>
      </w:r>
      <w:r>
        <w:rPr>
          <w:rFonts w:ascii="Arial"/>
          <w:color w:val="231F20"/>
          <w:sz w:val="16"/>
        </w:rPr>
        <w:t>the tubular fluid becomes very dilute. In the distal tubules and col- lecting</w:t>
      </w:r>
      <w:r>
        <w:rPr>
          <w:rFonts w:ascii="Arial"/>
          <w:color w:val="231F20"/>
          <w:spacing w:val="-11"/>
          <w:sz w:val="16"/>
        </w:rPr>
        <w:t> </w:t>
      </w:r>
      <w:r>
        <w:rPr>
          <w:rFonts w:ascii="Arial"/>
          <w:color w:val="231F20"/>
          <w:sz w:val="16"/>
        </w:rPr>
        <w:t>tubules,</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tubular</w:t>
      </w:r>
      <w:r>
        <w:rPr>
          <w:rFonts w:ascii="Arial"/>
          <w:color w:val="231F20"/>
          <w:spacing w:val="-10"/>
          <w:sz w:val="16"/>
        </w:rPr>
        <w:t> </w:t>
      </w:r>
      <w:r>
        <w:rPr>
          <w:rFonts w:ascii="Arial"/>
          <w:color w:val="231F20"/>
          <w:sz w:val="16"/>
        </w:rPr>
        <w:t>fluid</w:t>
      </w:r>
      <w:r>
        <w:rPr>
          <w:rFonts w:ascii="Arial"/>
          <w:color w:val="231F20"/>
          <w:spacing w:val="-10"/>
          <w:sz w:val="16"/>
        </w:rPr>
        <w:t> </w:t>
      </w:r>
      <w:r>
        <w:rPr>
          <w:rFonts w:ascii="Arial"/>
          <w:color w:val="231F20"/>
          <w:sz w:val="16"/>
        </w:rPr>
        <w:t>is</w:t>
      </w:r>
      <w:r>
        <w:rPr>
          <w:rFonts w:ascii="Arial"/>
          <w:color w:val="231F20"/>
          <w:spacing w:val="-10"/>
          <w:sz w:val="16"/>
        </w:rPr>
        <w:t> </w:t>
      </w:r>
      <w:r>
        <w:rPr>
          <w:rFonts w:ascii="Arial"/>
          <w:color w:val="231F20"/>
          <w:sz w:val="16"/>
        </w:rPr>
        <w:t>further</w:t>
      </w:r>
      <w:r>
        <w:rPr>
          <w:rFonts w:ascii="Arial"/>
          <w:color w:val="231F20"/>
          <w:spacing w:val="-10"/>
          <w:sz w:val="16"/>
        </w:rPr>
        <w:t> </w:t>
      </w:r>
      <w:r>
        <w:rPr>
          <w:rFonts w:ascii="Arial"/>
          <w:color w:val="231F20"/>
          <w:sz w:val="16"/>
        </w:rPr>
        <w:t>diluted</w:t>
      </w:r>
      <w:r>
        <w:rPr>
          <w:rFonts w:ascii="Arial"/>
          <w:color w:val="231F20"/>
          <w:spacing w:val="-11"/>
          <w:sz w:val="16"/>
        </w:rPr>
        <w:t> </w:t>
      </w:r>
      <w:r>
        <w:rPr>
          <w:rFonts w:ascii="Arial"/>
          <w:color w:val="231F20"/>
          <w:sz w:val="16"/>
        </w:rPr>
        <w:t>by</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pacing w:val="-3"/>
          <w:sz w:val="16"/>
        </w:rPr>
        <w:t>reabsorption</w:t>
      </w:r>
    </w:p>
    <w:p>
      <w:pPr>
        <w:spacing w:after="0" w:line="259" w:lineRule="auto"/>
        <w:jc w:val="both"/>
        <w:rPr>
          <w:rFonts w:ascii="Arial"/>
          <w:sz w:val="16"/>
        </w:rPr>
        <w:sectPr>
          <w:type w:val="continuous"/>
          <w:pgSz w:w="12240" w:h="15660"/>
          <w:pgMar w:top="0" w:bottom="760" w:left="0" w:right="0"/>
          <w:cols w:num="4" w:equalWidth="0">
            <w:col w:w="2812" w:space="40"/>
            <w:col w:w="1337" w:space="39"/>
            <w:col w:w="610" w:space="39"/>
            <w:col w:w="7363"/>
          </w:cols>
        </w:sectPr>
      </w:pPr>
    </w:p>
    <w:p>
      <w:pPr>
        <w:spacing w:before="90"/>
        <w:ind w:left="3159" w:right="0" w:firstLine="0"/>
        <w:jc w:val="left"/>
        <w:rPr>
          <w:rFonts w:ascii="Helvetica"/>
          <w:b/>
          <w:sz w:val="16"/>
        </w:rPr>
      </w:pPr>
      <w:r>
        <w:rPr>
          <w:rFonts w:ascii="Helvetica"/>
          <w:b/>
          <w:color w:val="231F20"/>
          <w:sz w:val="16"/>
        </w:rPr>
        <w:t>Time (minutes)</w:t>
      </w:r>
    </w:p>
    <w:p>
      <w:pPr>
        <w:spacing w:line="261" w:lineRule="auto" w:before="92"/>
        <w:ind w:left="1080" w:right="0" w:firstLine="0"/>
        <w:jc w:val="both"/>
        <w:rPr>
          <w:rFonts w:ascii="Arial"/>
          <w:sz w:val="16"/>
        </w:rPr>
      </w:pPr>
      <w:bookmarkStart w:name="_bookmark67" w:id="68"/>
      <w:bookmarkEnd w:id="68"/>
      <w:r>
        <w:rPr/>
      </w:r>
      <w:r>
        <w:rPr>
          <w:rFonts w:ascii="Trebuchet MS"/>
          <w:b/>
          <w:color w:val="231F20"/>
          <w:sz w:val="16"/>
        </w:rPr>
        <w:t>Figure 29-1. </w:t>
      </w:r>
      <w:r>
        <w:rPr>
          <w:rFonts w:ascii="Arial"/>
          <w:color w:val="231F20"/>
          <w:sz w:val="16"/>
        </w:rPr>
        <w:t>Water diuresis in a human after ingestion of 1 liter </w:t>
      </w:r>
      <w:r>
        <w:rPr>
          <w:rFonts w:ascii="Arial"/>
          <w:color w:val="231F20"/>
          <w:spacing w:val="-7"/>
          <w:sz w:val="16"/>
        </w:rPr>
        <w:t>of </w:t>
      </w:r>
      <w:r>
        <w:rPr>
          <w:rFonts w:ascii="Arial"/>
          <w:color w:val="231F20"/>
          <w:spacing w:val="-3"/>
          <w:sz w:val="16"/>
        </w:rPr>
        <w:t>water. </w:t>
      </w:r>
      <w:r>
        <w:rPr>
          <w:rFonts w:ascii="Arial"/>
          <w:color w:val="231F20"/>
          <w:sz w:val="16"/>
        </w:rPr>
        <w:t>Note that after water ingestion, urine volume increases </w:t>
      </w:r>
      <w:r>
        <w:rPr>
          <w:rFonts w:ascii="Arial"/>
          <w:color w:val="231F20"/>
          <w:spacing w:val="-6"/>
          <w:sz w:val="16"/>
        </w:rPr>
        <w:t>and </w:t>
      </w:r>
      <w:r>
        <w:rPr>
          <w:rFonts w:ascii="Arial"/>
          <w:color w:val="231F20"/>
          <w:sz w:val="16"/>
        </w:rPr>
        <w:t>urine osmolarity decreases, causing excretion of a large volume</w:t>
      </w:r>
      <w:r>
        <w:rPr>
          <w:rFonts w:ascii="Arial"/>
          <w:color w:val="231F20"/>
          <w:spacing w:val="-16"/>
          <w:sz w:val="16"/>
        </w:rPr>
        <w:t> </w:t>
      </w:r>
      <w:r>
        <w:rPr>
          <w:rFonts w:ascii="Arial"/>
          <w:color w:val="231F20"/>
          <w:spacing w:val="-6"/>
          <w:sz w:val="16"/>
        </w:rPr>
        <w:t>of </w:t>
      </w:r>
      <w:r>
        <w:rPr>
          <w:rFonts w:ascii="Arial"/>
          <w:color w:val="231F20"/>
          <w:sz w:val="16"/>
        </w:rPr>
        <w:t>dilute urine; however, the total amount of solute excreted by </w:t>
      </w:r>
      <w:r>
        <w:rPr>
          <w:rFonts w:ascii="Arial"/>
          <w:color w:val="231F20"/>
          <w:spacing w:val="-5"/>
          <w:sz w:val="16"/>
        </w:rPr>
        <w:t>the </w:t>
      </w:r>
      <w:r>
        <w:rPr>
          <w:rFonts w:ascii="Arial"/>
          <w:color w:val="231F20"/>
          <w:sz w:val="16"/>
        </w:rPr>
        <w:t>kidneys</w:t>
      </w:r>
      <w:r>
        <w:rPr>
          <w:rFonts w:ascii="Arial"/>
          <w:color w:val="231F20"/>
          <w:spacing w:val="-18"/>
          <w:sz w:val="16"/>
        </w:rPr>
        <w:t> </w:t>
      </w:r>
      <w:r>
        <w:rPr>
          <w:rFonts w:ascii="Arial"/>
          <w:color w:val="231F20"/>
          <w:sz w:val="16"/>
        </w:rPr>
        <w:t>remains</w:t>
      </w:r>
      <w:r>
        <w:rPr>
          <w:rFonts w:ascii="Arial"/>
          <w:color w:val="231F20"/>
          <w:spacing w:val="-17"/>
          <w:sz w:val="16"/>
        </w:rPr>
        <w:t> </w:t>
      </w:r>
      <w:r>
        <w:rPr>
          <w:rFonts w:ascii="Arial"/>
          <w:color w:val="231F20"/>
          <w:sz w:val="16"/>
        </w:rPr>
        <w:t>relatively</w:t>
      </w:r>
      <w:r>
        <w:rPr>
          <w:rFonts w:ascii="Arial"/>
          <w:color w:val="231F20"/>
          <w:spacing w:val="-17"/>
          <w:sz w:val="16"/>
        </w:rPr>
        <w:t> </w:t>
      </w:r>
      <w:r>
        <w:rPr>
          <w:rFonts w:ascii="Arial"/>
          <w:color w:val="231F20"/>
          <w:sz w:val="16"/>
        </w:rPr>
        <w:t>constant.</w:t>
      </w:r>
      <w:r>
        <w:rPr>
          <w:rFonts w:ascii="Arial"/>
          <w:color w:val="231F20"/>
          <w:spacing w:val="-17"/>
          <w:sz w:val="16"/>
        </w:rPr>
        <w:t> </w:t>
      </w:r>
      <w:r>
        <w:rPr>
          <w:rFonts w:ascii="Arial"/>
          <w:color w:val="231F20"/>
          <w:sz w:val="16"/>
        </w:rPr>
        <w:t>These</w:t>
      </w:r>
      <w:r>
        <w:rPr>
          <w:rFonts w:ascii="Arial"/>
          <w:color w:val="231F20"/>
          <w:spacing w:val="-17"/>
          <w:sz w:val="16"/>
        </w:rPr>
        <w:t> </w:t>
      </w:r>
      <w:r>
        <w:rPr>
          <w:rFonts w:ascii="Arial"/>
          <w:color w:val="231F20"/>
          <w:sz w:val="16"/>
        </w:rPr>
        <w:t>responses</w:t>
      </w:r>
      <w:r>
        <w:rPr>
          <w:rFonts w:ascii="Arial"/>
          <w:color w:val="231F20"/>
          <w:spacing w:val="-17"/>
          <w:sz w:val="16"/>
        </w:rPr>
        <w:t> </w:t>
      </w:r>
      <w:r>
        <w:rPr>
          <w:rFonts w:ascii="Arial"/>
          <w:color w:val="231F20"/>
          <w:sz w:val="16"/>
        </w:rPr>
        <w:t>of</w:t>
      </w:r>
      <w:r>
        <w:rPr>
          <w:rFonts w:ascii="Arial"/>
          <w:color w:val="231F20"/>
          <w:spacing w:val="-17"/>
          <w:sz w:val="16"/>
        </w:rPr>
        <w:t> </w:t>
      </w:r>
      <w:r>
        <w:rPr>
          <w:rFonts w:ascii="Arial"/>
          <w:color w:val="231F20"/>
          <w:sz w:val="16"/>
        </w:rPr>
        <w:t>the</w:t>
      </w:r>
      <w:r>
        <w:rPr>
          <w:rFonts w:ascii="Arial"/>
          <w:color w:val="231F20"/>
          <w:spacing w:val="-17"/>
          <w:sz w:val="16"/>
        </w:rPr>
        <w:t> </w:t>
      </w:r>
      <w:r>
        <w:rPr>
          <w:rFonts w:ascii="Arial"/>
          <w:color w:val="231F20"/>
          <w:spacing w:val="-3"/>
          <w:sz w:val="16"/>
        </w:rPr>
        <w:t>kidneys </w:t>
      </w:r>
      <w:r>
        <w:rPr>
          <w:rFonts w:ascii="Arial"/>
          <w:color w:val="231F20"/>
          <w:sz w:val="16"/>
        </w:rPr>
        <w:t>prevent</w:t>
      </w:r>
      <w:r>
        <w:rPr>
          <w:rFonts w:ascii="Arial"/>
          <w:color w:val="231F20"/>
          <w:spacing w:val="-14"/>
          <w:sz w:val="16"/>
        </w:rPr>
        <w:t> </w:t>
      </w:r>
      <w:r>
        <w:rPr>
          <w:rFonts w:ascii="Arial"/>
          <w:color w:val="231F20"/>
          <w:sz w:val="16"/>
        </w:rPr>
        <w:t>plasma</w:t>
      </w:r>
      <w:r>
        <w:rPr>
          <w:rFonts w:ascii="Arial"/>
          <w:color w:val="231F20"/>
          <w:spacing w:val="-14"/>
          <w:sz w:val="16"/>
        </w:rPr>
        <w:t> </w:t>
      </w:r>
      <w:r>
        <w:rPr>
          <w:rFonts w:ascii="Arial"/>
          <w:color w:val="231F20"/>
          <w:sz w:val="16"/>
        </w:rPr>
        <w:t>osmolarity</w:t>
      </w:r>
      <w:r>
        <w:rPr>
          <w:rFonts w:ascii="Arial"/>
          <w:color w:val="231F20"/>
          <w:spacing w:val="-13"/>
          <w:sz w:val="16"/>
        </w:rPr>
        <w:t> </w:t>
      </w:r>
      <w:r>
        <w:rPr>
          <w:rFonts w:ascii="Arial"/>
          <w:color w:val="231F20"/>
          <w:sz w:val="16"/>
        </w:rPr>
        <w:t>from</w:t>
      </w:r>
      <w:r>
        <w:rPr>
          <w:rFonts w:ascii="Arial"/>
          <w:color w:val="231F20"/>
          <w:spacing w:val="-14"/>
          <w:sz w:val="16"/>
        </w:rPr>
        <w:t> </w:t>
      </w:r>
      <w:r>
        <w:rPr>
          <w:rFonts w:ascii="Arial"/>
          <w:color w:val="231F20"/>
          <w:sz w:val="16"/>
        </w:rPr>
        <w:t>decreasing</w:t>
      </w:r>
      <w:r>
        <w:rPr>
          <w:rFonts w:ascii="Arial"/>
          <w:color w:val="231F20"/>
          <w:spacing w:val="-14"/>
          <w:sz w:val="16"/>
        </w:rPr>
        <w:t> </w:t>
      </w:r>
      <w:r>
        <w:rPr>
          <w:rFonts w:ascii="Arial"/>
          <w:color w:val="231F20"/>
          <w:sz w:val="16"/>
        </w:rPr>
        <w:t>markedly</w:t>
      </w:r>
      <w:r>
        <w:rPr>
          <w:rFonts w:ascii="Arial"/>
          <w:color w:val="231F20"/>
          <w:spacing w:val="-13"/>
          <w:sz w:val="16"/>
        </w:rPr>
        <w:t> </w:t>
      </w:r>
      <w:r>
        <w:rPr>
          <w:rFonts w:ascii="Arial"/>
          <w:color w:val="231F20"/>
          <w:sz w:val="16"/>
        </w:rPr>
        <w:t>during</w:t>
      </w:r>
      <w:r>
        <w:rPr>
          <w:rFonts w:ascii="Arial"/>
          <w:color w:val="231F20"/>
          <w:spacing w:val="-14"/>
          <w:sz w:val="16"/>
        </w:rPr>
        <w:t> </w:t>
      </w:r>
      <w:r>
        <w:rPr>
          <w:rFonts w:ascii="Arial"/>
          <w:color w:val="231F20"/>
          <w:spacing w:val="-3"/>
          <w:sz w:val="16"/>
        </w:rPr>
        <w:t>excess </w:t>
      </w:r>
      <w:r>
        <w:rPr>
          <w:rFonts w:ascii="Arial"/>
          <w:color w:val="231F20"/>
          <w:sz w:val="16"/>
        </w:rPr>
        <w:t>water</w:t>
      </w:r>
      <w:r>
        <w:rPr>
          <w:rFonts w:ascii="Arial"/>
          <w:color w:val="231F20"/>
          <w:spacing w:val="7"/>
          <w:sz w:val="16"/>
        </w:rPr>
        <w:t> </w:t>
      </w:r>
      <w:r>
        <w:rPr>
          <w:rFonts w:ascii="Arial"/>
          <w:color w:val="231F20"/>
          <w:sz w:val="16"/>
        </w:rPr>
        <w:t>ingestion.</w:t>
      </w:r>
    </w:p>
    <w:p>
      <w:pPr>
        <w:pStyle w:val="BodyText"/>
        <w:spacing w:before="8"/>
        <w:rPr>
          <w:rFonts w:ascii="Arial"/>
          <w:sz w:val="19"/>
        </w:rPr>
      </w:pPr>
    </w:p>
    <w:p>
      <w:pPr>
        <w:pStyle w:val="BodyText"/>
        <w:spacing w:line="249" w:lineRule="auto" w:before="1"/>
        <w:ind w:left="1080" w:right="1"/>
        <w:jc w:val="both"/>
      </w:pPr>
      <w:r>
        <w:rPr>
          <w:color w:val="231F20"/>
        </w:rPr>
        <w:t>constant  because  the  urine  formed  becomes   dilute  and  urine  osmolarity  decreases  from  600  to   about 100 mOsm/L. Thus, after ingestion of excess </w:t>
      </w:r>
      <w:r>
        <w:rPr>
          <w:color w:val="231F20"/>
          <w:spacing w:val="-3"/>
        </w:rPr>
        <w:t>water, </w:t>
      </w:r>
      <w:r>
        <w:rPr>
          <w:color w:val="231F20"/>
        </w:rPr>
        <w:t>the kidney rids the body of the excess water but does not excrete excess amounts of</w:t>
      </w:r>
      <w:r>
        <w:rPr>
          <w:color w:val="231F20"/>
          <w:spacing w:val="28"/>
        </w:rPr>
        <w:t> </w:t>
      </w:r>
      <w:r>
        <w:rPr>
          <w:color w:val="231F20"/>
        </w:rPr>
        <w:t>solutes.</w:t>
      </w:r>
    </w:p>
    <w:p>
      <w:pPr>
        <w:pStyle w:val="BodyText"/>
        <w:spacing w:line="249" w:lineRule="auto" w:before="4"/>
        <w:ind w:left="1080" w:firstLine="240"/>
        <w:jc w:val="both"/>
      </w:pPr>
      <w:r>
        <w:rPr>
          <w:color w:val="231F20"/>
          <w:w w:val="105"/>
        </w:rPr>
        <w:t>When the glomerular filtrate  is  initially  formed,  its osmolarity is about the same as  that  of  </w:t>
      </w:r>
      <w:r>
        <w:rPr>
          <w:color w:val="231F20"/>
          <w:spacing w:val="-3"/>
          <w:w w:val="105"/>
        </w:rPr>
        <w:t>plasma  </w:t>
      </w:r>
      <w:r>
        <w:rPr>
          <w:color w:val="231F20"/>
          <w:w w:val="105"/>
        </w:rPr>
        <w:t>(300</w:t>
      </w:r>
      <w:r>
        <w:rPr>
          <w:color w:val="231F20"/>
          <w:spacing w:val="-14"/>
          <w:w w:val="105"/>
        </w:rPr>
        <w:t> </w:t>
      </w:r>
      <w:r>
        <w:rPr>
          <w:color w:val="231F20"/>
          <w:w w:val="105"/>
        </w:rPr>
        <w:t>mOsm/L).</w:t>
      </w:r>
      <w:r>
        <w:rPr>
          <w:color w:val="231F20"/>
          <w:spacing w:val="-18"/>
          <w:w w:val="105"/>
        </w:rPr>
        <w:t> </w:t>
      </w:r>
      <w:r>
        <w:rPr>
          <w:color w:val="231F20"/>
          <w:spacing w:val="-11"/>
          <w:w w:val="105"/>
        </w:rPr>
        <w:t>To</w:t>
      </w:r>
      <w:r>
        <w:rPr>
          <w:color w:val="231F20"/>
          <w:spacing w:val="-19"/>
          <w:w w:val="105"/>
        </w:rPr>
        <w:t> </w:t>
      </w:r>
      <w:r>
        <w:rPr>
          <w:color w:val="231F20"/>
          <w:w w:val="105"/>
        </w:rPr>
        <w:t>excrete</w:t>
      </w:r>
      <w:r>
        <w:rPr>
          <w:color w:val="231F20"/>
          <w:spacing w:val="-18"/>
          <w:w w:val="105"/>
        </w:rPr>
        <w:t> </w:t>
      </w:r>
      <w:r>
        <w:rPr>
          <w:color w:val="231F20"/>
          <w:w w:val="105"/>
        </w:rPr>
        <w:t>excess</w:t>
      </w:r>
      <w:r>
        <w:rPr>
          <w:color w:val="231F20"/>
          <w:spacing w:val="-18"/>
          <w:w w:val="105"/>
        </w:rPr>
        <w:t> </w:t>
      </w:r>
      <w:r>
        <w:rPr>
          <w:color w:val="231F20"/>
          <w:spacing w:val="-3"/>
          <w:w w:val="105"/>
        </w:rPr>
        <w:t>water,</w:t>
      </w:r>
      <w:r>
        <w:rPr>
          <w:color w:val="231F20"/>
          <w:spacing w:val="-18"/>
          <w:w w:val="105"/>
        </w:rPr>
        <w:t> </w:t>
      </w:r>
      <w:r>
        <w:rPr>
          <w:color w:val="231F20"/>
          <w:w w:val="105"/>
        </w:rPr>
        <w:t>it</w:t>
      </w:r>
      <w:r>
        <w:rPr>
          <w:color w:val="231F20"/>
          <w:spacing w:val="-19"/>
          <w:w w:val="105"/>
        </w:rPr>
        <w:t> </w:t>
      </w:r>
      <w:r>
        <w:rPr>
          <w:color w:val="231F20"/>
          <w:w w:val="105"/>
        </w:rPr>
        <w:t>is</w:t>
      </w:r>
      <w:r>
        <w:rPr>
          <w:color w:val="231F20"/>
          <w:spacing w:val="-18"/>
          <w:w w:val="105"/>
        </w:rPr>
        <w:t> </w:t>
      </w:r>
      <w:r>
        <w:rPr>
          <w:color w:val="231F20"/>
          <w:w w:val="105"/>
        </w:rPr>
        <w:t>necessary</w:t>
      </w:r>
      <w:r>
        <w:rPr>
          <w:color w:val="231F20"/>
          <w:spacing w:val="-18"/>
          <w:w w:val="105"/>
        </w:rPr>
        <w:t> </w:t>
      </w:r>
      <w:r>
        <w:rPr>
          <w:color w:val="231F20"/>
          <w:w w:val="105"/>
        </w:rPr>
        <w:t>to dilute</w:t>
      </w:r>
      <w:r>
        <w:rPr>
          <w:color w:val="231F20"/>
          <w:spacing w:val="-4"/>
          <w:w w:val="105"/>
        </w:rPr>
        <w:t> </w:t>
      </w:r>
      <w:r>
        <w:rPr>
          <w:color w:val="231F20"/>
          <w:w w:val="105"/>
        </w:rPr>
        <w:t>the</w:t>
      </w:r>
      <w:r>
        <w:rPr>
          <w:color w:val="231F20"/>
          <w:spacing w:val="-4"/>
          <w:w w:val="105"/>
        </w:rPr>
        <w:t> </w:t>
      </w:r>
      <w:r>
        <w:rPr>
          <w:color w:val="231F20"/>
          <w:w w:val="105"/>
        </w:rPr>
        <w:t>filtrate</w:t>
      </w:r>
      <w:r>
        <w:rPr>
          <w:color w:val="231F20"/>
          <w:spacing w:val="-4"/>
          <w:w w:val="105"/>
        </w:rPr>
        <w:t> </w:t>
      </w:r>
      <w:r>
        <w:rPr>
          <w:color w:val="231F20"/>
          <w:w w:val="105"/>
        </w:rPr>
        <w:t>as</w:t>
      </w:r>
      <w:r>
        <w:rPr>
          <w:color w:val="231F20"/>
          <w:spacing w:val="-4"/>
          <w:w w:val="105"/>
        </w:rPr>
        <w:t> </w:t>
      </w:r>
      <w:r>
        <w:rPr>
          <w:color w:val="231F20"/>
          <w:w w:val="105"/>
        </w:rPr>
        <w:t>it</w:t>
      </w:r>
      <w:r>
        <w:rPr>
          <w:color w:val="231F20"/>
          <w:spacing w:val="-4"/>
          <w:w w:val="105"/>
        </w:rPr>
        <w:t> </w:t>
      </w:r>
      <w:r>
        <w:rPr>
          <w:color w:val="231F20"/>
          <w:w w:val="105"/>
        </w:rPr>
        <w:t>passes</w:t>
      </w:r>
      <w:r>
        <w:rPr>
          <w:color w:val="231F20"/>
          <w:spacing w:val="-4"/>
          <w:w w:val="105"/>
        </w:rPr>
        <w:t> </w:t>
      </w:r>
      <w:r>
        <w:rPr>
          <w:color w:val="231F20"/>
          <w:w w:val="105"/>
        </w:rPr>
        <w:t>along</w:t>
      </w:r>
      <w:r>
        <w:rPr>
          <w:color w:val="231F20"/>
          <w:spacing w:val="-4"/>
          <w:w w:val="105"/>
        </w:rPr>
        <w:t> </w:t>
      </w:r>
      <w:r>
        <w:rPr>
          <w:color w:val="231F20"/>
          <w:w w:val="105"/>
        </w:rPr>
        <w:t>the</w:t>
      </w:r>
      <w:r>
        <w:rPr>
          <w:color w:val="231F20"/>
          <w:spacing w:val="-3"/>
          <w:w w:val="105"/>
        </w:rPr>
        <w:t> </w:t>
      </w:r>
      <w:r>
        <w:rPr>
          <w:color w:val="231F20"/>
          <w:w w:val="105"/>
        </w:rPr>
        <w:t>tubule.</w:t>
      </w:r>
      <w:r>
        <w:rPr>
          <w:color w:val="231F20"/>
          <w:spacing w:val="-4"/>
          <w:w w:val="105"/>
        </w:rPr>
        <w:t> </w:t>
      </w:r>
      <w:r>
        <w:rPr>
          <w:color w:val="231F20"/>
          <w:w w:val="105"/>
        </w:rPr>
        <w:t>This</w:t>
      </w:r>
      <w:r>
        <w:rPr>
          <w:color w:val="231F20"/>
          <w:spacing w:val="-4"/>
          <w:w w:val="105"/>
        </w:rPr>
        <w:t> </w:t>
      </w:r>
      <w:r>
        <w:rPr>
          <w:color w:val="231F20"/>
          <w:spacing w:val="-3"/>
          <w:w w:val="105"/>
        </w:rPr>
        <w:t>dilu­ </w:t>
      </w:r>
      <w:r>
        <w:rPr>
          <w:color w:val="231F20"/>
          <w:w w:val="105"/>
        </w:rPr>
        <w:t>tion</w:t>
      </w:r>
      <w:r>
        <w:rPr>
          <w:color w:val="231F20"/>
          <w:spacing w:val="-17"/>
          <w:w w:val="105"/>
        </w:rPr>
        <w:t> </w:t>
      </w:r>
      <w:r>
        <w:rPr>
          <w:color w:val="231F20"/>
          <w:w w:val="105"/>
        </w:rPr>
        <w:t>is</w:t>
      </w:r>
      <w:r>
        <w:rPr>
          <w:color w:val="231F20"/>
          <w:spacing w:val="-17"/>
          <w:w w:val="105"/>
        </w:rPr>
        <w:t> </w:t>
      </w:r>
      <w:r>
        <w:rPr>
          <w:color w:val="231F20"/>
          <w:w w:val="105"/>
        </w:rPr>
        <w:t>achieved</w:t>
      </w:r>
      <w:r>
        <w:rPr>
          <w:color w:val="231F20"/>
          <w:spacing w:val="-17"/>
          <w:w w:val="105"/>
        </w:rPr>
        <w:t> </w:t>
      </w:r>
      <w:r>
        <w:rPr>
          <w:color w:val="231F20"/>
          <w:w w:val="105"/>
        </w:rPr>
        <w:t>by</w:t>
      </w:r>
      <w:r>
        <w:rPr>
          <w:color w:val="231F20"/>
          <w:spacing w:val="-17"/>
          <w:w w:val="105"/>
        </w:rPr>
        <w:t> </w:t>
      </w:r>
      <w:r>
        <w:rPr>
          <w:color w:val="231F20"/>
          <w:w w:val="105"/>
        </w:rPr>
        <w:t>reabsorbing</w:t>
      </w:r>
      <w:r>
        <w:rPr>
          <w:color w:val="231F20"/>
          <w:spacing w:val="-16"/>
          <w:w w:val="105"/>
        </w:rPr>
        <w:t> </w:t>
      </w:r>
      <w:r>
        <w:rPr>
          <w:color w:val="231F20"/>
          <w:w w:val="105"/>
        </w:rPr>
        <w:t>solutes</w:t>
      </w:r>
      <w:r>
        <w:rPr>
          <w:color w:val="231F20"/>
          <w:spacing w:val="-17"/>
          <w:w w:val="105"/>
        </w:rPr>
        <w:t> </w:t>
      </w:r>
      <w:r>
        <w:rPr>
          <w:color w:val="231F20"/>
          <w:w w:val="105"/>
        </w:rPr>
        <w:t>to</w:t>
      </w:r>
      <w:r>
        <w:rPr>
          <w:color w:val="231F20"/>
          <w:spacing w:val="-17"/>
          <w:w w:val="105"/>
        </w:rPr>
        <w:t> </w:t>
      </w:r>
      <w:r>
        <w:rPr>
          <w:color w:val="231F20"/>
          <w:w w:val="105"/>
        </w:rPr>
        <w:t>a</w:t>
      </w:r>
      <w:r>
        <w:rPr>
          <w:color w:val="231F20"/>
          <w:spacing w:val="-17"/>
          <w:w w:val="105"/>
        </w:rPr>
        <w:t> </w:t>
      </w:r>
      <w:r>
        <w:rPr>
          <w:color w:val="231F20"/>
          <w:w w:val="105"/>
        </w:rPr>
        <w:t>greater</w:t>
      </w:r>
      <w:r>
        <w:rPr>
          <w:color w:val="231F20"/>
          <w:spacing w:val="-17"/>
          <w:w w:val="105"/>
        </w:rPr>
        <w:t> </w:t>
      </w:r>
      <w:r>
        <w:rPr>
          <w:color w:val="231F20"/>
          <w:w w:val="105"/>
        </w:rPr>
        <w:t>extent than</w:t>
      </w:r>
      <w:r>
        <w:rPr>
          <w:color w:val="231F20"/>
          <w:spacing w:val="-13"/>
          <w:w w:val="105"/>
        </w:rPr>
        <w:t> </w:t>
      </w:r>
      <w:r>
        <w:rPr>
          <w:color w:val="231F20"/>
          <w:spacing w:val="-3"/>
          <w:w w:val="105"/>
        </w:rPr>
        <w:t>water,</w:t>
      </w:r>
      <w:r>
        <w:rPr>
          <w:color w:val="231F20"/>
          <w:spacing w:val="-13"/>
          <w:w w:val="105"/>
        </w:rPr>
        <w:t> </w:t>
      </w:r>
      <w:r>
        <w:rPr>
          <w:color w:val="231F20"/>
          <w:w w:val="105"/>
        </w:rPr>
        <w:t>as</w:t>
      </w:r>
      <w:r>
        <w:rPr>
          <w:color w:val="231F20"/>
          <w:spacing w:val="-13"/>
          <w:w w:val="105"/>
        </w:rPr>
        <w:t> </w:t>
      </w:r>
      <w:r>
        <w:rPr>
          <w:color w:val="231F20"/>
          <w:w w:val="105"/>
        </w:rPr>
        <w:t>shown</w:t>
      </w:r>
      <w:r>
        <w:rPr>
          <w:color w:val="231F20"/>
          <w:spacing w:val="-12"/>
          <w:w w:val="105"/>
        </w:rPr>
        <w:t> </w:t>
      </w:r>
      <w:r>
        <w:rPr>
          <w:color w:val="231F20"/>
          <w:w w:val="105"/>
        </w:rPr>
        <w:t>in</w:t>
      </w:r>
      <w:r>
        <w:rPr>
          <w:color w:val="231F20"/>
          <w:spacing w:val="-12"/>
          <w:w w:val="105"/>
        </w:rPr>
        <w:t> </w:t>
      </w:r>
      <w:hyperlink w:history="true" w:anchor="_bookmark66">
        <w:r>
          <w:rPr>
            <w:b/>
            <w:color w:val="0080AC"/>
            <w:w w:val="105"/>
          </w:rPr>
          <w:t>Figure</w:t>
        </w:r>
        <w:r>
          <w:rPr>
            <w:b/>
            <w:color w:val="0080AC"/>
            <w:spacing w:val="-15"/>
            <w:w w:val="105"/>
          </w:rPr>
          <w:t> </w:t>
        </w:r>
        <w:r>
          <w:rPr>
            <w:b/>
            <w:color w:val="0080AC"/>
            <w:w w:val="105"/>
          </w:rPr>
          <w:t>29-2</w:t>
        </w:r>
      </w:hyperlink>
      <w:r>
        <w:rPr>
          <w:color w:val="231F20"/>
          <w:w w:val="105"/>
        </w:rPr>
        <w:t>,</w:t>
      </w:r>
      <w:r>
        <w:rPr>
          <w:color w:val="231F20"/>
          <w:spacing w:val="-13"/>
          <w:w w:val="105"/>
        </w:rPr>
        <w:t> </w:t>
      </w:r>
      <w:r>
        <w:rPr>
          <w:color w:val="231F20"/>
          <w:w w:val="105"/>
        </w:rPr>
        <w:t>but</w:t>
      </w:r>
      <w:r>
        <w:rPr>
          <w:color w:val="231F20"/>
          <w:spacing w:val="-12"/>
          <w:w w:val="105"/>
        </w:rPr>
        <w:t> </w:t>
      </w:r>
      <w:r>
        <w:rPr>
          <w:color w:val="231F20"/>
          <w:w w:val="105"/>
        </w:rPr>
        <w:t>this</w:t>
      </w:r>
      <w:r>
        <w:rPr>
          <w:color w:val="231F20"/>
          <w:spacing w:val="-13"/>
          <w:w w:val="105"/>
        </w:rPr>
        <w:t> </w:t>
      </w:r>
      <w:r>
        <w:rPr>
          <w:color w:val="231F20"/>
          <w:w w:val="105"/>
        </w:rPr>
        <w:t>occurs</w:t>
      </w:r>
      <w:r>
        <w:rPr>
          <w:color w:val="231F20"/>
          <w:spacing w:val="-13"/>
          <w:w w:val="105"/>
        </w:rPr>
        <w:t> </w:t>
      </w:r>
      <w:r>
        <w:rPr>
          <w:color w:val="231F20"/>
          <w:w w:val="105"/>
        </w:rPr>
        <w:t>only in</w:t>
      </w:r>
      <w:r>
        <w:rPr>
          <w:color w:val="231F20"/>
          <w:spacing w:val="-14"/>
          <w:w w:val="105"/>
        </w:rPr>
        <w:t> </w:t>
      </w:r>
      <w:r>
        <w:rPr>
          <w:color w:val="231F20"/>
          <w:w w:val="105"/>
        </w:rPr>
        <w:t>certain</w:t>
      </w:r>
      <w:r>
        <w:rPr>
          <w:color w:val="231F20"/>
          <w:spacing w:val="-13"/>
          <w:w w:val="105"/>
        </w:rPr>
        <w:t> </w:t>
      </w:r>
      <w:r>
        <w:rPr>
          <w:color w:val="231F20"/>
          <w:w w:val="105"/>
        </w:rPr>
        <w:t>segments</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tubular</w:t>
      </w:r>
      <w:r>
        <w:rPr>
          <w:color w:val="231F20"/>
          <w:spacing w:val="-13"/>
          <w:w w:val="105"/>
        </w:rPr>
        <w:t> </w:t>
      </w:r>
      <w:r>
        <w:rPr>
          <w:color w:val="231F20"/>
          <w:w w:val="105"/>
        </w:rPr>
        <w:t>system,</w:t>
      </w:r>
      <w:r>
        <w:rPr>
          <w:color w:val="231F20"/>
          <w:spacing w:val="-13"/>
          <w:w w:val="105"/>
        </w:rPr>
        <w:t> </w:t>
      </w:r>
      <w:r>
        <w:rPr>
          <w:color w:val="231F20"/>
          <w:w w:val="105"/>
        </w:rPr>
        <w:t>as</w:t>
      </w:r>
      <w:r>
        <w:rPr>
          <w:color w:val="231F20"/>
          <w:spacing w:val="-13"/>
          <w:w w:val="105"/>
        </w:rPr>
        <w:t> </w:t>
      </w:r>
      <w:r>
        <w:rPr>
          <w:color w:val="231F20"/>
          <w:w w:val="105"/>
        </w:rPr>
        <w:t>described</w:t>
      </w:r>
      <w:r>
        <w:rPr>
          <w:color w:val="231F20"/>
          <w:spacing w:val="-13"/>
          <w:w w:val="105"/>
        </w:rPr>
        <w:t> </w:t>
      </w:r>
      <w:r>
        <w:rPr>
          <w:color w:val="231F20"/>
          <w:spacing w:val="-6"/>
          <w:w w:val="105"/>
        </w:rPr>
        <w:t>in </w:t>
      </w:r>
      <w:r>
        <w:rPr>
          <w:color w:val="231F20"/>
          <w:w w:val="105"/>
        </w:rPr>
        <w:t>the following</w:t>
      </w:r>
      <w:r>
        <w:rPr>
          <w:color w:val="231F20"/>
          <w:spacing w:val="4"/>
          <w:w w:val="105"/>
        </w:rPr>
        <w:t> </w:t>
      </w:r>
      <w:r>
        <w:rPr>
          <w:color w:val="231F20"/>
          <w:w w:val="105"/>
        </w:rPr>
        <w:t>sections.</w:t>
      </w:r>
    </w:p>
    <w:p>
      <w:pPr>
        <w:pStyle w:val="BodyText"/>
        <w:spacing w:before="1"/>
        <w:rPr>
          <w:sz w:val="22"/>
        </w:rPr>
      </w:pPr>
    </w:p>
    <w:p>
      <w:pPr>
        <w:pStyle w:val="BodyText"/>
        <w:spacing w:line="249" w:lineRule="auto" w:before="1"/>
        <w:ind w:left="1079"/>
        <w:jc w:val="both"/>
      </w:pPr>
      <w:r>
        <w:rPr>
          <w:rFonts w:ascii="Trebuchet MS" w:hAnsi="Trebuchet MS"/>
          <w:b/>
          <w:color w:val="231F20"/>
          <w:spacing w:val="-3"/>
          <w:w w:val="105"/>
          <w:sz w:val="19"/>
        </w:rPr>
        <w:t>Tubular </w:t>
      </w:r>
      <w:r>
        <w:rPr>
          <w:rFonts w:ascii="Trebuchet MS" w:hAnsi="Trebuchet MS"/>
          <w:b/>
          <w:color w:val="231F20"/>
          <w:w w:val="105"/>
          <w:sz w:val="19"/>
        </w:rPr>
        <w:t>Fluid Remains Isosmotic in the </w:t>
      </w:r>
      <w:r>
        <w:rPr>
          <w:rFonts w:ascii="Trebuchet MS" w:hAnsi="Trebuchet MS"/>
          <w:b/>
          <w:color w:val="231F20"/>
          <w:spacing w:val="-3"/>
          <w:w w:val="105"/>
          <w:sz w:val="19"/>
        </w:rPr>
        <w:t>Proximal Tubule. </w:t>
      </w:r>
      <w:r>
        <w:rPr>
          <w:color w:val="231F20"/>
          <w:w w:val="105"/>
        </w:rPr>
        <w:t>As fluid flows through the proximal </w:t>
      </w:r>
      <w:r>
        <w:rPr>
          <w:color w:val="231F20"/>
          <w:spacing w:val="-3"/>
          <w:w w:val="105"/>
        </w:rPr>
        <w:t>tubule, </w:t>
      </w:r>
      <w:r>
        <w:rPr>
          <w:color w:val="231F20"/>
          <w:w w:val="105"/>
        </w:rPr>
        <w:t>solutes</w:t>
      </w:r>
      <w:r>
        <w:rPr>
          <w:color w:val="231F20"/>
          <w:spacing w:val="-13"/>
          <w:w w:val="105"/>
        </w:rPr>
        <w:t> </w:t>
      </w:r>
      <w:r>
        <w:rPr>
          <w:color w:val="231F20"/>
          <w:w w:val="105"/>
        </w:rPr>
        <w:t>and</w:t>
      </w:r>
      <w:r>
        <w:rPr>
          <w:color w:val="231F20"/>
          <w:spacing w:val="-13"/>
          <w:w w:val="105"/>
        </w:rPr>
        <w:t> </w:t>
      </w:r>
      <w:r>
        <w:rPr>
          <w:color w:val="231F20"/>
          <w:w w:val="105"/>
        </w:rPr>
        <w:t>water</w:t>
      </w:r>
      <w:r>
        <w:rPr>
          <w:color w:val="231F20"/>
          <w:spacing w:val="-13"/>
          <w:w w:val="105"/>
        </w:rPr>
        <w:t> </w:t>
      </w:r>
      <w:r>
        <w:rPr>
          <w:color w:val="231F20"/>
          <w:w w:val="105"/>
        </w:rPr>
        <w:t>are</w:t>
      </w:r>
      <w:r>
        <w:rPr>
          <w:color w:val="231F20"/>
          <w:spacing w:val="-13"/>
          <w:w w:val="105"/>
        </w:rPr>
        <w:t> </w:t>
      </w:r>
      <w:r>
        <w:rPr>
          <w:color w:val="231F20"/>
          <w:w w:val="105"/>
        </w:rPr>
        <w:t>reabsorbed</w:t>
      </w:r>
      <w:r>
        <w:rPr>
          <w:color w:val="231F20"/>
          <w:spacing w:val="-13"/>
          <w:w w:val="105"/>
        </w:rPr>
        <w:t> </w:t>
      </w:r>
      <w:r>
        <w:rPr>
          <w:color w:val="231F20"/>
          <w:w w:val="105"/>
        </w:rPr>
        <w:t>in</w:t>
      </w:r>
      <w:r>
        <w:rPr>
          <w:color w:val="231F20"/>
          <w:spacing w:val="-13"/>
          <w:w w:val="105"/>
        </w:rPr>
        <w:t> </w:t>
      </w:r>
      <w:r>
        <w:rPr>
          <w:color w:val="231F20"/>
          <w:w w:val="105"/>
        </w:rPr>
        <w:t>equal</w:t>
      </w:r>
      <w:r>
        <w:rPr>
          <w:color w:val="231F20"/>
          <w:spacing w:val="-13"/>
          <w:w w:val="105"/>
        </w:rPr>
        <w:t> </w:t>
      </w:r>
      <w:r>
        <w:rPr>
          <w:color w:val="231F20"/>
          <w:w w:val="105"/>
        </w:rPr>
        <w:t>proportions,</w:t>
      </w:r>
      <w:r>
        <w:rPr>
          <w:color w:val="231F20"/>
          <w:spacing w:val="-13"/>
          <w:w w:val="105"/>
        </w:rPr>
        <w:t> </w:t>
      </w:r>
      <w:r>
        <w:rPr>
          <w:color w:val="231F20"/>
          <w:w w:val="105"/>
        </w:rPr>
        <w:t>so little change in osmolarity occurs; thus, the proximal tubule fluid remains isosmotic to the plasma, with </w:t>
      </w:r>
      <w:r>
        <w:rPr>
          <w:color w:val="231F20"/>
          <w:spacing w:val="-6"/>
          <w:w w:val="105"/>
        </w:rPr>
        <w:t>an </w:t>
      </w:r>
      <w:r>
        <w:rPr>
          <w:color w:val="231F20"/>
          <w:w w:val="105"/>
        </w:rPr>
        <w:t>osmolarity of about 300 mOsm/L. As fluid passes</w:t>
      </w:r>
      <w:r>
        <w:rPr>
          <w:color w:val="231F20"/>
          <w:spacing w:val="-35"/>
          <w:w w:val="105"/>
        </w:rPr>
        <w:t> </w:t>
      </w:r>
      <w:r>
        <w:rPr>
          <w:color w:val="231F20"/>
          <w:w w:val="105"/>
        </w:rPr>
        <w:t>down the descending loop of Henle, water is reabsorbed by osmosis and the tubular fluid reaches equilibrium </w:t>
      </w:r>
      <w:r>
        <w:rPr>
          <w:color w:val="231F20"/>
          <w:spacing w:val="-4"/>
          <w:w w:val="105"/>
        </w:rPr>
        <w:t>with </w:t>
      </w:r>
      <w:r>
        <w:rPr>
          <w:color w:val="231F20"/>
          <w:w w:val="105"/>
        </w:rPr>
        <w:t>the surrounding interstitial fluid of the renal medulla, which is very hypertonic—about two to four times the osmolarity of the original glomerular filtrate.</w:t>
      </w:r>
      <w:r>
        <w:rPr>
          <w:color w:val="231F20"/>
          <w:spacing w:val="-14"/>
          <w:w w:val="105"/>
        </w:rPr>
        <w:t> </w:t>
      </w:r>
      <w:r>
        <w:rPr>
          <w:color w:val="231F20"/>
          <w:spacing w:val="-3"/>
          <w:w w:val="105"/>
        </w:rPr>
        <w:t>Therefore, </w:t>
      </w:r>
      <w:r>
        <w:rPr>
          <w:color w:val="231F20"/>
          <w:w w:val="105"/>
        </w:rPr>
        <w:t>the tubular fluid becomes more concentrated as it flows into the inner</w:t>
      </w:r>
      <w:r>
        <w:rPr>
          <w:color w:val="231F20"/>
          <w:spacing w:val="9"/>
          <w:w w:val="105"/>
        </w:rPr>
        <w:t> </w:t>
      </w:r>
      <w:r>
        <w:rPr>
          <w:color w:val="231F20"/>
          <w:w w:val="105"/>
        </w:rPr>
        <w:t>medulla.</w:t>
      </w:r>
    </w:p>
    <w:p>
      <w:pPr>
        <w:pStyle w:val="BodyText"/>
        <w:spacing w:before="7"/>
        <w:rPr>
          <w:sz w:val="22"/>
        </w:rPr>
      </w:pPr>
    </w:p>
    <w:p>
      <w:pPr>
        <w:spacing w:line="252" w:lineRule="auto" w:before="0"/>
        <w:ind w:left="1080" w:right="0" w:firstLine="0"/>
        <w:jc w:val="both"/>
        <w:rPr>
          <w:sz w:val="20"/>
        </w:rPr>
      </w:pPr>
      <w:r>
        <w:rPr>
          <w:rFonts w:ascii="Trebuchet MS"/>
          <w:b/>
          <w:color w:val="231F20"/>
          <w:sz w:val="19"/>
        </w:rPr>
        <w:t>Tubular Fluid Is Diluted in the Ascending Loop of  Henle. </w:t>
      </w:r>
      <w:r>
        <w:rPr>
          <w:color w:val="231F20"/>
          <w:sz w:val="20"/>
        </w:rPr>
        <w:t>In the ascending limb of the loop of Henle,</w:t>
      </w:r>
    </w:p>
    <w:p>
      <w:pPr>
        <w:spacing w:line="261" w:lineRule="auto" w:before="0"/>
        <w:ind w:left="319" w:right="1437" w:firstLine="0"/>
        <w:jc w:val="both"/>
        <w:rPr>
          <w:rFonts w:ascii="Arial"/>
          <w:sz w:val="16"/>
        </w:rPr>
      </w:pPr>
      <w:r>
        <w:rPr/>
        <w:br w:type="column"/>
      </w:r>
      <w:r>
        <w:rPr>
          <w:rFonts w:ascii="Arial"/>
          <w:color w:val="231F20"/>
          <w:sz w:val="16"/>
        </w:rPr>
        <w:t>of</w:t>
      </w:r>
      <w:r>
        <w:rPr>
          <w:rFonts w:ascii="Arial"/>
          <w:color w:val="231F20"/>
          <w:spacing w:val="-21"/>
          <w:sz w:val="16"/>
        </w:rPr>
        <w:t> </w:t>
      </w:r>
      <w:r>
        <w:rPr>
          <w:rFonts w:ascii="Arial"/>
          <w:color w:val="231F20"/>
          <w:sz w:val="16"/>
        </w:rPr>
        <w:t>sodium</w:t>
      </w:r>
      <w:r>
        <w:rPr>
          <w:rFonts w:ascii="Arial"/>
          <w:color w:val="231F20"/>
          <w:spacing w:val="-20"/>
          <w:sz w:val="16"/>
        </w:rPr>
        <w:t> </w:t>
      </w:r>
      <w:r>
        <w:rPr>
          <w:rFonts w:ascii="Arial"/>
          <w:color w:val="231F20"/>
          <w:sz w:val="16"/>
        </w:rPr>
        <w:t>chloride</w:t>
      </w:r>
      <w:r>
        <w:rPr>
          <w:rFonts w:ascii="Arial"/>
          <w:color w:val="231F20"/>
          <w:spacing w:val="-20"/>
          <w:sz w:val="16"/>
        </w:rPr>
        <w:t> </w:t>
      </w:r>
      <w:r>
        <w:rPr>
          <w:rFonts w:ascii="Arial"/>
          <w:color w:val="231F20"/>
          <w:sz w:val="16"/>
        </w:rPr>
        <w:t>and</w:t>
      </w:r>
      <w:r>
        <w:rPr>
          <w:rFonts w:ascii="Arial"/>
          <w:color w:val="231F20"/>
          <w:spacing w:val="-20"/>
          <w:sz w:val="16"/>
        </w:rPr>
        <w:t> </w:t>
      </w:r>
      <w:r>
        <w:rPr>
          <w:rFonts w:ascii="Arial"/>
          <w:color w:val="231F20"/>
          <w:sz w:val="16"/>
        </w:rPr>
        <w:t>the</w:t>
      </w:r>
      <w:r>
        <w:rPr>
          <w:rFonts w:ascii="Arial"/>
          <w:color w:val="231F20"/>
          <w:spacing w:val="-20"/>
          <w:sz w:val="16"/>
        </w:rPr>
        <w:t> </w:t>
      </w:r>
      <w:r>
        <w:rPr>
          <w:rFonts w:ascii="Arial"/>
          <w:color w:val="231F20"/>
          <w:sz w:val="16"/>
        </w:rPr>
        <w:t>failure</w:t>
      </w:r>
      <w:r>
        <w:rPr>
          <w:rFonts w:ascii="Arial"/>
          <w:color w:val="231F20"/>
          <w:spacing w:val="-20"/>
          <w:sz w:val="16"/>
        </w:rPr>
        <w:t> </w:t>
      </w:r>
      <w:r>
        <w:rPr>
          <w:rFonts w:ascii="Arial"/>
          <w:color w:val="231F20"/>
          <w:sz w:val="16"/>
        </w:rPr>
        <w:t>to</w:t>
      </w:r>
      <w:r>
        <w:rPr>
          <w:rFonts w:ascii="Arial"/>
          <w:color w:val="231F20"/>
          <w:spacing w:val="-20"/>
          <w:sz w:val="16"/>
        </w:rPr>
        <w:t> </w:t>
      </w:r>
      <w:r>
        <w:rPr>
          <w:rFonts w:ascii="Arial"/>
          <w:color w:val="231F20"/>
          <w:sz w:val="16"/>
        </w:rPr>
        <w:t>reabsorb</w:t>
      </w:r>
      <w:r>
        <w:rPr>
          <w:rFonts w:ascii="Arial"/>
          <w:color w:val="231F20"/>
          <w:spacing w:val="-20"/>
          <w:sz w:val="16"/>
        </w:rPr>
        <w:t> </w:t>
      </w:r>
      <w:r>
        <w:rPr>
          <w:rFonts w:ascii="Arial"/>
          <w:color w:val="231F20"/>
          <w:sz w:val="16"/>
        </w:rPr>
        <w:t>water</w:t>
      </w:r>
      <w:r>
        <w:rPr>
          <w:rFonts w:ascii="Arial"/>
          <w:color w:val="231F20"/>
          <w:spacing w:val="-21"/>
          <w:sz w:val="16"/>
        </w:rPr>
        <w:t> </w:t>
      </w:r>
      <w:r>
        <w:rPr>
          <w:rFonts w:ascii="Arial"/>
          <w:color w:val="231F20"/>
          <w:sz w:val="16"/>
        </w:rPr>
        <w:t>when</w:t>
      </w:r>
      <w:r>
        <w:rPr>
          <w:rFonts w:ascii="Arial"/>
          <w:color w:val="231F20"/>
          <w:spacing w:val="-20"/>
          <w:sz w:val="16"/>
        </w:rPr>
        <w:t> </w:t>
      </w:r>
      <w:r>
        <w:rPr>
          <w:rFonts w:ascii="Arial"/>
          <w:color w:val="231F20"/>
          <w:sz w:val="16"/>
        </w:rPr>
        <w:t>ADH</w:t>
      </w:r>
      <w:r>
        <w:rPr>
          <w:rFonts w:ascii="Arial"/>
          <w:color w:val="231F20"/>
          <w:spacing w:val="-20"/>
          <w:sz w:val="16"/>
        </w:rPr>
        <w:t> </w:t>
      </w:r>
      <w:r>
        <w:rPr>
          <w:rFonts w:ascii="Arial"/>
          <w:color w:val="231F20"/>
          <w:spacing w:val="-3"/>
          <w:sz w:val="16"/>
        </w:rPr>
        <w:t>levels </w:t>
      </w:r>
      <w:r>
        <w:rPr>
          <w:rFonts w:ascii="Arial"/>
          <w:color w:val="231F20"/>
          <w:sz w:val="16"/>
        </w:rPr>
        <w:t>are</w:t>
      </w:r>
      <w:r>
        <w:rPr>
          <w:rFonts w:ascii="Arial"/>
          <w:color w:val="231F20"/>
          <w:spacing w:val="-9"/>
          <w:sz w:val="16"/>
        </w:rPr>
        <w:t> </w:t>
      </w:r>
      <w:r>
        <w:rPr>
          <w:rFonts w:ascii="Arial"/>
          <w:color w:val="231F20"/>
          <w:sz w:val="16"/>
        </w:rPr>
        <w:t>very</w:t>
      </w:r>
      <w:r>
        <w:rPr>
          <w:rFonts w:ascii="Arial"/>
          <w:color w:val="231F20"/>
          <w:spacing w:val="-9"/>
          <w:sz w:val="16"/>
        </w:rPr>
        <w:t> </w:t>
      </w:r>
      <w:r>
        <w:rPr>
          <w:rFonts w:ascii="Arial"/>
          <w:color w:val="231F20"/>
          <w:spacing w:val="-3"/>
          <w:sz w:val="16"/>
        </w:rPr>
        <w:t>low.</w:t>
      </w:r>
      <w:r>
        <w:rPr>
          <w:rFonts w:ascii="Arial"/>
          <w:color w:val="231F20"/>
          <w:spacing w:val="-9"/>
          <w:sz w:val="16"/>
        </w:rPr>
        <w:t> </w:t>
      </w:r>
      <w:r>
        <w:rPr>
          <w:rFonts w:ascii="Arial"/>
          <w:color w:val="231F20"/>
          <w:sz w:val="16"/>
        </w:rPr>
        <w:t>The</w:t>
      </w:r>
      <w:r>
        <w:rPr>
          <w:rFonts w:ascii="Arial"/>
          <w:color w:val="231F20"/>
          <w:spacing w:val="-9"/>
          <w:sz w:val="16"/>
        </w:rPr>
        <w:t> </w:t>
      </w:r>
      <w:r>
        <w:rPr>
          <w:rFonts w:ascii="Arial"/>
          <w:color w:val="231F20"/>
          <w:sz w:val="16"/>
        </w:rPr>
        <w:t>failure</w:t>
      </w:r>
      <w:r>
        <w:rPr>
          <w:rFonts w:ascii="Arial"/>
          <w:color w:val="231F20"/>
          <w:spacing w:val="-9"/>
          <w:sz w:val="16"/>
        </w:rPr>
        <w:t> </w:t>
      </w:r>
      <w:r>
        <w:rPr>
          <w:rFonts w:ascii="Arial"/>
          <w:color w:val="231F20"/>
          <w:sz w:val="16"/>
        </w:rPr>
        <w:t>to</w:t>
      </w:r>
      <w:r>
        <w:rPr>
          <w:rFonts w:ascii="Arial"/>
          <w:color w:val="231F20"/>
          <w:spacing w:val="-9"/>
          <w:sz w:val="16"/>
        </w:rPr>
        <w:t> </w:t>
      </w:r>
      <w:r>
        <w:rPr>
          <w:rFonts w:ascii="Arial"/>
          <w:color w:val="231F20"/>
          <w:sz w:val="16"/>
        </w:rPr>
        <w:t>reabsorb</w:t>
      </w:r>
      <w:r>
        <w:rPr>
          <w:rFonts w:ascii="Arial"/>
          <w:color w:val="231F20"/>
          <w:spacing w:val="-9"/>
          <w:sz w:val="16"/>
        </w:rPr>
        <w:t> </w:t>
      </w:r>
      <w:r>
        <w:rPr>
          <w:rFonts w:ascii="Arial"/>
          <w:color w:val="231F20"/>
          <w:sz w:val="16"/>
        </w:rPr>
        <w:t>water</w:t>
      </w:r>
      <w:r>
        <w:rPr>
          <w:rFonts w:ascii="Arial"/>
          <w:color w:val="231F20"/>
          <w:spacing w:val="-8"/>
          <w:sz w:val="16"/>
        </w:rPr>
        <w:t> </w:t>
      </w:r>
      <w:r>
        <w:rPr>
          <w:rFonts w:ascii="Arial"/>
          <w:color w:val="231F20"/>
          <w:sz w:val="16"/>
        </w:rPr>
        <w:t>and</w:t>
      </w:r>
      <w:r>
        <w:rPr>
          <w:rFonts w:ascii="Arial"/>
          <w:color w:val="231F20"/>
          <w:spacing w:val="-9"/>
          <w:sz w:val="16"/>
        </w:rPr>
        <w:t> </w:t>
      </w:r>
      <w:r>
        <w:rPr>
          <w:rFonts w:ascii="Arial"/>
          <w:color w:val="231F20"/>
          <w:sz w:val="16"/>
        </w:rPr>
        <w:t>continued</w:t>
      </w:r>
      <w:r>
        <w:rPr>
          <w:rFonts w:ascii="Arial"/>
          <w:color w:val="231F20"/>
          <w:spacing w:val="-9"/>
          <w:sz w:val="16"/>
        </w:rPr>
        <w:t> </w:t>
      </w:r>
      <w:r>
        <w:rPr>
          <w:rFonts w:ascii="Arial"/>
          <w:color w:val="231F20"/>
          <w:sz w:val="16"/>
        </w:rPr>
        <w:t>reabsorp- tion of solutes lead to a large volume of dilute urine. (Numerical values are in milliosmoles per</w:t>
      </w:r>
      <w:r>
        <w:rPr>
          <w:rFonts w:ascii="Arial"/>
          <w:color w:val="231F20"/>
          <w:spacing w:val="27"/>
          <w:sz w:val="16"/>
        </w:rPr>
        <w:t> </w:t>
      </w:r>
      <w:r>
        <w:rPr>
          <w:rFonts w:ascii="Arial"/>
          <w:color w:val="231F20"/>
          <w:spacing w:val="-3"/>
          <w:sz w:val="16"/>
        </w:rPr>
        <w:t>liter.)</w:t>
      </w:r>
    </w:p>
    <w:p>
      <w:pPr>
        <w:pStyle w:val="BodyText"/>
        <w:spacing w:before="7"/>
        <w:rPr>
          <w:rFonts w:ascii="Arial"/>
        </w:rPr>
      </w:pPr>
    </w:p>
    <w:p>
      <w:pPr>
        <w:spacing w:line="249" w:lineRule="auto" w:before="0"/>
        <w:ind w:left="319" w:right="1437" w:firstLine="0"/>
        <w:jc w:val="both"/>
        <w:rPr>
          <w:i/>
          <w:sz w:val="20"/>
        </w:rPr>
      </w:pPr>
      <w:r>
        <w:rPr>
          <w:color w:val="231F20"/>
          <w:sz w:val="20"/>
        </w:rPr>
        <w:t>especially in the thick segment, sodium, potassium, and chloride are avidly reabsorbed. However, this portion of the tubular segment is impermeable to </w:t>
      </w:r>
      <w:r>
        <w:rPr>
          <w:color w:val="231F20"/>
          <w:spacing w:val="-3"/>
          <w:sz w:val="20"/>
        </w:rPr>
        <w:t>water, </w:t>
      </w:r>
      <w:r>
        <w:rPr>
          <w:color w:val="231F20"/>
          <w:sz w:val="20"/>
        </w:rPr>
        <w:t>even in the presence of large amounts of ADH. Therefore, the tubular fluid becomes more dilute as it flows up the ascending loop of Henle into the early distal tubule, with the osmo­ larity decreasing progressively to about 100 mOsm/L by the time the fluid enters the early distal tubular segment. </w:t>
      </w:r>
      <w:r>
        <w:rPr>
          <w:i/>
          <w:color w:val="231F20"/>
          <w:sz w:val="20"/>
        </w:rPr>
        <w:t>Thus</w:t>
      </w:r>
      <w:r>
        <w:rPr>
          <w:color w:val="231F20"/>
          <w:sz w:val="20"/>
        </w:rPr>
        <w:t>,</w:t>
      </w:r>
      <w:r>
        <w:rPr>
          <w:color w:val="231F20"/>
          <w:spacing w:val="-13"/>
          <w:sz w:val="20"/>
        </w:rPr>
        <w:t> </w:t>
      </w:r>
      <w:r>
        <w:rPr>
          <w:i/>
          <w:color w:val="231F20"/>
          <w:sz w:val="20"/>
        </w:rPr>
        <w:t>regardless</w:t>
      </w:r>
      <w:r>
        <w:rPr>
          <w:i/>
          <w:color w:val="231F20"/>
          <w:spacing w:val="-12"/>
          <w:sz w:val="20"/>
        </w:rPr>
        <w:t> </w:t>
      </w:r>
      <w:r>
        <w:rPr>
          <w:i/>
          <w:color w:val="231F20"/>
          <w:sz w:val="20"/>
        </w:rPr>
        <w:t>of</w:t>
      </w:r>
      <w:r>
        <w:rPr>
          <w:i/>
          <w:color w:val="231F20"/>
          <w:spacing w:val="-13"/>
          <w:sz w:val="20"/>
        </w:rPr>
        <w:t> </w:t>
      </w:r>
      <w:r>
        <w:rPr>
          <w:i/>
          <w:color w:val="231F20"/>
          <w:sz w:val="20"/>
        </w:rPr>
        <w:t>whether</w:t>
      </w:r>
      <w:r>
        <w:rPr>
          <w:i/>
          <w:color w:val="231F20"/>
          <w:spacing w:val="-12"/>
          <w:sz w:val="20"/>
        </w:rPr>
        <w:t> </w:t>
      </w:r>
      <w:r>
        <w:rPr>
          <w:i/>
          <w:color w:val="231F20"/>
          <w:sz w:val="20"/>
        </w:rPr>
        <w:t>ADH</w:t>
      </w:r>
      <w:r>
        <w:rPr>
          <w:i/>
          <w:color w:val="231F20"/>
          <w:spacing w:val="-13"/>
          <w:sz w:val="20"/>
        </w:rPr>
        <w:t> </w:t>
      </w:r>
      <w:r>
        <w:rPr>
          <w:i/>
          <w:color w:val="231F20"/>
          <w:sz w:val="20"/>
        </w:rPr>
        <w:t>is</w:t>
      </w:r>
      <w:r>
        <w:rPr>
          <w:i/>
          <w:color w:val="231F20"/>
          <w:spacing w:val="-12"/>
          <w:sz w:val="20"/>
        </w:rPr>
        <w:t> </w:t>
      </w:r>
      <w:r>
        <w:rPr>
          <w:i/>
          <w:color w:val="231F20"/>
          <w:sz w:val="20"/>
        </w:rPr>
        <w:t>present</w:t>
      </w:r>
      <w:r>
        <w:rPr>
          <w:i/>
          <w:color w:val="231F20"/>
          <w:spacing w:val="-12"/>
          <w:sz w:val="20"/>
        </w:rPr>
        <w:t> </w:t>
      </w:r>
      <w:r>
        <w:rPr>
          <w:i/>
          <w:color w:val="231F20"/>
          <w:sz w:val="20"/>
        </w:rPr>
        <w:t>or</w:t>
      </w:r>
      <w:r>
        <w:rPr>
          <w:i/>
          <w:color w:val="231F20"/>
          <w:spacing w:val="-13"/>
          <w:sz w:val="20"/>
        </w:rPr>
        <w:t> </w:t>
      </w:r>
      <w:r>
        <w:rPr>
          <w:i/>
          <w:color w:val="231F20"/>
          <w:sz w:val="20"/>
        </w:rPr>
        <w:t>absent</w:t>
      </w:r>
      <w:r>
        <w:rPr>
          <w:color w:val="231F20"/>
          <w:sz w:val="20"/>
        </w:rPr>
        <w:t>,</w:t>
      </w:r>
      <w:r>
        <w:rPr>
          <w:color w:val="231F20"/>
          <w:spacing w:val="-12"/>
          <w:sz w:val="20"/>
        </w:rPr>
        <w:t> </w:t>
      </w:r>
      <w:r>
        <w:rPr>
          <w:i/>
          <w:color w:val="231F20"/>
          <w:sz w:val="20"/>
        </w:rPr>
        <w:t>fluid </w:t>
      </w:r>
      <w:r>
        <w:rPr>
          <w:i/>
          <w:color w:val="231F20"/>
          <w:sz w:val="20"/>
        </w:rPr>
        <w:t>leaving the early distal tubular segment is hypo-osmotic</w:t>
      </w:r>
      <w:r>
        <w:rPr>
          <w:color w:val="231F20"/>
          <w:sz w:val="20"/>
        </w:rPr>
        <w:t>, </w:t>
      </w:r>
      <w:r>
        <w:rPr>
          <w:i/>
          <w:color w:val="231F20"/>
          <w:sz w:val="20"/>
        </w:rPr>
        <w:t>with an osmolarity of only about one third the osmolarity </w:t>
      </w:r>
      <w:r>
        <w:rPr>
          <w:i/>
          <w:color w:val="231F20"/>
          <w:sz w:val="20"/>
        </w:rPr>
        <w:t>of</w:t>
      </w:r>
      <w:r>
        <w:rPr>
          <w:i/>
          <w:color w:val="231F20"/>
          <w:spacing w:val="6"/>
          <w:sz w:val="20"/>
        </w:rPr>
        <w:t> </w:t>
      </w:r>
      <w:r>
        <w:rPr>
          <w:i/>
          <w:color w:val="231F20"/>
          <w:sz w:val="20"/>
        </w:rPr>
        <w:t>plasma.</w:t>
      </w:r>
    </w:p>
    <w:p>
      <w:pPr>
        <w:pStyle w:val="BodyText"/>
        <w:spacing w:before="5"/>
        <w:rPr>
          <w:i/>
          <w:sz w:val="22"/>
        </w:rPr>
      </w:pPr>
    </w:p>
    <w:p>
      <w:pPr>
        <w:pStyle w:val="BodyText"/>
        <w:spacing w:line="249" w:lineRule="auto"/>
        <w:ind w:left="319" w:right="1437"/>
        <w:jc w:val="both"/>
      </w:pPr>
      <w:r>
        <w:rPr>
          <w:rFonts w:ascii="Trebuchet MS" w:hAnsi="Trebuchet MS"/>
          <w:b/>
          <w:color w:val="231F20"/>
          <w:spacing w:val="-3"/>
          <w:w w:val="105"/>
          <w:sz w:val="19"/>
        </w:rPr>
        <w:t>Tubular </w:t>
      </w:r>
      <w:r>
        <w:rPr>
          <w:rFonts w:ascii="Trebuchet MS" w:hAnsi="Trebuchet MS"/>
          <w:b/>
          <w:color w:val="231F20"/>
          <w:w w:val="105"/>
          <w:sz w:val="19"/>
        </w:rPr>
        <w:t>Fluid in Distal and Collecting </w:t>
      </w:r>
      <w:r>
        <w:rPr>
          <w:rFonts w:ascii="Trebuchet MS" w:hAnsi="Trebuchet MS"/>
          <w:b/>
          <w:color w:val="231F20"/>
          <w:spacing w:val="-3"/>
          <w:w w:val="105"/>
          <w:sz w:val="19"/>
        </w:rPr>
        <w:t>Tubules </w:t>
      </w:r>
      <w:r>
        <w:rPr>
          <w:rFonts w:ascii="Trebuchet MS" w:hAnsi="Trebuchet MS"/>
          <w:b/>
          <w:color w:val="231F20"/>
          <w:spacing w:val="-6"/>
          <w:w w:val="105"/>
          <w:sz w:val="19"/>
        </w:rPr>
        <w:t>Is </w:t>
      </w:r>
      <w:r>
        <w:rPr>
          <w:rFonts w:ascii="Trebuchet MS" w:hAnsi="Trebuchet MS"/>
          <w:b/>
          <w:color w:val="231F20"/>
          <w:w w:val="105"/>
          <w:sz w:val="19"/>
        </w:rPr>
        <w:t>Further</w:t>
      </w:r>
      <w:r>
        <w:rPr>
          <w:rFonts w:ascii="Trebuchet MS" w:hAnsi="Trebuchet MS"/>
          <w:b/>
          <w:color w:val="231F20"/>
          <w:spacing w:val="-18"/>
          <w:w w:val="105"/>
          <w:sz w:val="19"/>
        </w:rPr>
        <w:t> </w:t>
      </w:r>
      <w:r>
        <w:rPr>
          <w:rFonts w:ascii="Trebuchet MS" w:hAnsi="Trebuchet MS"/>
          <w:b/>
          <w:color w:val="231F20"/>
          <w:w w:val="105"/>
          <w:sz w:val="19"/>
        </w:rPr>
        <w:t>Diluted</w:t>
      </w:r>
      <w:r>
        <w:rPr>
          <w:rFonts w:ascii="Trebuchet MS" w:hAnsi="Trebuchet MS"/>
          <w:b/>
          <w:color w:val="231F20"/>
          <w:spacing w:val="-18"/>
          <w:w w:val="105"/>
          <w:sz w:val="19"/>
        </w:rPr>
        <w:t> </w:t>
      </w:r>
      <w:r>
        <w:rPr>
          <w:rFonts w:ascii="Trebuchet MS" w:hAnsi="Trebuchet MS"/>
          <w:b/>
          <w:color w:val="231F20"/>
          <w:w w:val="105"/>
          <w:sz w:val="19"/>
        </w:rPr>
        <w:t>in</w:t>
      </w:r>
      <w:r>
        <w:rPr>
          <w:rFonts w:ascii="Trebuchet MS" w:hAnsi="Trebuchet MS"/>
          <w:b/>
          <w:color w:val="231F20"/>
          <w:spacing w:val="-18"/>
          <w:w w:val="105"/>
          <w:sz w:val="19"/>
        </w:rPr>
        <w:t> </w:t>
      </w:r>
      <w:r>
        <w:rPr>
          <w:rFonts w:ascii="Trebuchet MS" w:hAnsi="Trebuchet MS"/>
          <w:b/>
          <w:color w:val="231F20"/>
          <w:w w:val="105"/>
          <w:sz w:val="19"/>
        </w:rPr>
        <w:t>the</w:t>
      </w:r>
      <w:r>
        <w:rPr>
          <w:rFonts w:ascii="Trebuchet MS" w:hAnsi="Trebuchet MS"/>
          <w:b/>
          <w:color w:val="231F20"/>
          <w:spacing w:val="-17"/>
          <w:w w:val="105"/>
          <w:sz w:val="19"/>
        </w:rPr>
        <w:t> </w:t>
      </w:r>
      <w:r>
        <w:rPr>
          <w:rFonts w:ascii="Trebuchet MS" w:hAnsi="Trebuchet MS"/>
          <w:b/>
          <w:color w:val="231F20"/>
          <w:w w:val="105"/>
          <w:sz w:val="19"/>
        </w:rPr>
        <w:t>Absence</w:t>
      </w:r>
      <w:r>
        <w:rPr>
          <w:rFonts w:ascii="Trebuchet MS" w:hAnsi="Trebuchet MS"/>
          <w:b/>
          <w:color w:val="231F20"/>
          <w:spacing w:val="-18"/>
          <w:w w:val="105"/>
          <w:sz w:val="19"/>
        </w:rPr>
        <w:t> </w:t>
      </w:r>
      <w:r>
        <w:rPr>
          <w:rFonts w:ascii="Trebuchet MS" w:hAnsi="Trebuchet MS"/>
          <w:b/>
          <w:color w:val="231F20"/>
          <w:w w:val="105"/>
          <w:sz w:val="19"/>
        </w:rPr>
        <w:t>of</w:t>
      </w:r>
      <w:r>
        <w:rPr>
          <w:rFonts w:ascii="Trebuchet MS" w:hAnsi="Trebuchet MS"/>
          <w:b/>
          <w:color w:val="231F20"/>
          <w:spacing w:val="-18"/>
          <w:w w:val="105"/>
          <w:sz w:val="19"/>
        </w:rPr>
        <w:t> </w:t>
      </w:r>
      <w:r>
        <w:rPr>
          <w:rFonts w:ascii="Trebuchet MS" w:hAnsi="Trebuchet MS"/>
          <w:b/>
          <w:color w:val="231F20"/>
          <w:w w:val="105"/>
          <w:sz w:val="19"/>
        </w:rPr>
        <w:t>ADH.</w:t>
      </w:r>
      <w:r>
        <w:rPr>
          <w:rFonts w:ascii="Trebuchet MS" w:hAnsi="Trebuchet MS"/>
          <w:b/>
          <w:color w:val="231F20"/>
          <w:spacing w:val="9"/>
          <w:w w:val="105"/>
          <w:sz w:val="19"/>
        </w:rPr>
        <w:t> </w:t>
      </w:r>
      <w:r>
        <w:rPr>
          <w:color w:val="231F20"/>
          <w:w w:val="105"/>
        </w:rPr>
        <w:t>As</w:t>
      </w:r>
      <w:r>
        <w:rPr>
          <w:color w:val="231F20"/>
          <w:spacing w:val="-15"/>
          <w:w w:val="105"/>
        </w:rPr>
        <w:t> </w:t>
      </w:r>
      <w:r>
        <w:rPr>
          <w:color w:val="231F20"/>
          <w:w w:val="105"/>
        </w:rPr>
        <w:t>the</w:t>
      </w:r>
      <w:r>
        <w:rPr>
          <w:color w:val="231F20"/>
          <w:spacing w:val="-14"/>
          <w:w w:val="105"/>
        </w:rPr>
        <w:t> </w:t>
      </w:r>
      <w:r>
        <w:rPr>
          <w:color w:val="231F20"/>
          <w:w w:val="105"/>
        </w:rPr>
        <w:t>dilute fluid in the early distal tubule passes into the late distal convoluted tubule, cortical collecting duct, and collect­ ing</w:t>
      </w:r>
      <w:r>
        <w:rPr>
          <w:color w:val="231F20"/>
          <w:spacing w:val="-12"/>
          <w:w w:val="105"/>
        </w:rPr>
        <w:t> </w:t>
      </w:r>
      <w:r>
        <w:rPr>
          <w:color w:val="231F20"/>
          <w:w w:val="105"/>
        </w:rPr>
        <w:t>duct,</w:t>
      </w:r>
      <w:r>
        <w:rPr>
          <w:color w:val="231F20"/>
          <w:spacing w:val="-11"/>
          <w:w w:val="105"/>
        </w:rPr>
        <w:t> </w:t>
      </w:r>
      <w:r>
        <w:rPr>
          <w:color w:val="231F20"/>
          <w:w w:val="105"/>
        </w:rPr>
        <w:t>there</w:t>
      </w:r>
      <w:r>
        <w:rPr>
          <w:color w:val="231F20"/>
          <w:spacing w:val="-11"/>
          <w:w w:val="105"/>
        </w:rPr>
        <w:t> </w:t>
      </w:r>
      <w:r>
        <w:rPr>
          <w:color w:val="231F20"/>
          <w:w w:val="105"/>
        </w:rPr>
        <w:t>is</w:t>
      </w:r>
      <w:r>
        <w:rPr>
          <w:color w:val="231F20"/>
          <w:spacing w:val="-12"/>
          <w:w w:val="105"/>
        </w:rPr>
        <w:t> </w:t>
      </w:r>
      <w:r>
        <w:rPr>
          <w:color w:val="231F20"/>
          <w:w w:val="105"/>
        </w:rPr>
        <w:t>additional</w:t>
      </w:r>
      <w:r>
        <w:rPr>
          <w:color w:val="231F20"/>
          <w:spacing w:val="-11"/>
          <w:w w:val="105"/>
        </w:rPr>
        <w:t> </w:t>
      </w:r>
      <w:r>
        <w:rPr>
          <w:color w:val="231F20"/>
          <w:w w:val="105"/>
        </w:rPr>
        <w:t>reabsorption</w:t>
      </w:r>
      <w:r>
        <w:rPr>
          <w:color w:val="231F20"/>
          <w:spacing w:val="-11"/>
          <w:w w:val="105"/>
        </w:rPr>
        <w:t> </w:t>
      </w:r>
      <w:r>
        <w:rPr>
          <w:color w:val="231F20"/>
          <w:w w:val="105"/>
        </w:rPr>
        <w:t>of</w:t>
      </w:r>
      <w:r>
        <w:rPr>
          <w:color w:val="231F20"/>
          <w:spacing w:val="-12"/>
          <w:w w:val="105"/>
        </w:rPr>
        <w:t> </w:t>
      </w:r>
      <w:r>
        <w:rPr>
          <w:color w:val="231F20"/>
          <w:w w:val="105"/>
        </w:rPr>
        <w:t>sodium</w:t>
      </w:r>
      <w:r>
        <w:rPr>
          <w:color w:val="231F20"/>
          <w:spacing w:val="-11"/>
          <w:w w:val="105"/>
        </w:rPr>
        <w:t> </w:t>
      </w:r>
      <w:r>
        <w:rPr>
          <w:color w:val="231F20"/>
          <w:spacing w:val="-4"/>
          <w:w w:val="105"/>
        </w:rPr>
        <w:t>chlo­ </w:t>
      </w:r>
      <w:r>
        <w:rPr>
          <w:color w:val="231F20"/>
          <w:w w:val="105"/>
        </w:rPr>
        <w:t>ride. In the absence of ADH, this portion of the tubule is also impermeable to </w:t>
      </w:r>
      <w:r>
        <w:rPr>
          <w:color w:val="231F20"/>
          <w:spacing w:val="-3"/>
          <w:w w:val="105"/>
        </w:rPr>
        <w:t>water, </w:t>
      </w:r>
      <w:r>
        <w:rPr>
          <w:color w:val="231F20"/>
          <w:w w:val="105"/>
        </w:rPr>
        <w:t>and the additional reab­ sorption of solutes causes the tubular fluid to become even more dilute, decreasing its osmolarity to as low as 50 mOsm/L. The failure to reabsorb water and the con­ tinued reabsorption of solutes lead to a large volume </w:t>
      </w:r>
      <w:r>
        <w:rPr>
          <w:color w:val="231F20"/>
          <w:spacing w:val="-6"/>
          <w:w w:val="105"/>
        </w:rPr>
        <w:t>of </w:t>
      </w:r>
      <w:r>
        <w:rPr>
          <w:color w:val="231F20"/>
          <w:w w:val="105"/>
        </w:rPr>
        <w:t>dilute</w:t>
      </w:r>
      <w:r>
        <w:rPr>
          <w:color w:val="231F20"/>
          <w:spacing w:val="3"/>
          <w:w w:val="105"/>
        </w:rPr>
        <w:t> </w:t>
      </w:r>
      <w:r>
        <w:rPr>
          <w:color w:val="231F20"/>
          <w:w w:val="105"/>
        </w:rPr>
        <w:t>urine.</w:t>
      </w:r>
    </w:p>
    <w:p>
      <w:pPr>
        <w:pStyle w:val="BodyText"/>
        <w:spacing w:line="249" w:lineRule="auto" w:before="11"/>
        <w:ind w:left="319" w:right="1437" w:firstLine="240"/>
        <w:jc w:val="both"/>
      </w:pPr>
      <w:r>
        <w:rPr>
          <w:color w:val="231F20"/>
          <w:spacing w:val="-11"/>
          <w:w w:val="105"/>
        </w:rPr>
        <w:t>To </w:t>
      </w:r>
      <w:r>
        <w:rPr>
          <w:color w:val="231F20"/>
          <w:w w:val="105"/>
        </w:rPr>
        <w:t>summarize, the mechanism for forming dilute urine is to continue reabsorbing solutes from the distal segments of the tubular system while failing to</w:t>
      </w:r>
      <w:r>
        <w:rPr>
          <w:color w:val="231F20"/>
          <w:spacing w:val="-37"/>
          <w:w w:val="105"/>
        </w:rPr>
        <w:t> </w:t>
      </w:r>
      <w:r>
        <w:rPr>
          <w:color w:val="231F20"/>
          <w:w w:val="105"/>
        </w:rPr>
        <w:t>reabsorb </w:t>
      </w:r>
      <w:r>
        <w:rPr>
          <w:color w:val="231F20"/>
          <w:spacing w:val="-3"/>
          <w:w w:val="105"/>
        </w:rPr>
        <w:t>water. </w:t>
      </w:r>
      <w:r>
        <w:rPr>
          <w:color w:val="231F20"/>
          <w:w w:val="105"/>
        </w:rPr>
        <w:t>In healthy kidneys, fluid leaving the ascending loop of Henle and early distal tubule is always </w:t>
      </w:r>
      <w:r>
        <w:rPr>
          <w:color w:val="231F20"/>
          <w:spacing w:val="-3"/>
          <w:w w:val="105"/>
        </w:rPr>
        <w:t>dilute, </w:t>
      </w:r>
      <w:r>
        <w:rPr>
          <w:color w:val="231F20"/>
          <w:w w:val="105"/>
        </w:rPr>
        <w:t>regardless of the level of ADH. In the absence of </w:t>
      </w:r>
      <w:r>
        <w:rPr>
          <w:color w:val="231F20"/>
          <w:spacing w:val="-3"/>
          <w:w w:val="105"/>
        </w:rPr>
        <w:t>ADH, </w:t>
      </w:r>
      <w:r>
        <w:rPr>
          <w:color w:val="231F20"/>
          <w:w w:val="105"/>
        </w:rPr>
        <w:t>the urine is further diluted in the late distal tubule </w:t>
      </w:r>
      <w:r>
        <w:rPr>
          <w:color w:val="231F20"/>
          <w:spacing w:val="-4"/>
          <w:w w:val="105"/>
        </w:rPr>
        <w:t>and </w:t>
      </w:r>
      <w:r>
        <w:rPr>
          <w:color w:val="231F20"/>
          <w:w w:val="105"/>
        </w:rPr>
        <w:t>collecting ducts and a large volume of dilute urine is excreted.</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pStyle w:val="BodyText"/>
        <w:spacing w:line="20" w:lineRule="exact"/>
        <w:ind w:left="1435"/>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spacing w:after="0" w:line="20" w:lineRule="exact"/>
        <w:rPr>
          <w:sz w:val="2"/>
        </w:rPr>
        <w:sectPr>
          <w:headerReference w:type="even" r:id="rId752"/>
          <w:pgSz w:w="12240" w:h="15660"/>
          <w:pgMar w:header="0" w:footer="567" w:top="0" w:bottom="760" w:left="0" w:right="0"/>
        </w:sectPr>
      </w:pPr>
    </w:p>
    <w:p>
      <w:pPr>
        <w:pStyle w:val="BodyText"/>
        <w:spacing w:line="249" w:lineRule="auto" w:before="74"/>
        <w:ind w:left="1440"/>
        <w:jc w:val="both"/>
      </w:pPr>
      <w:r>
        <w:rPr/>
        <w:pict>
          <v:group style="position:absolute;margin-left:0pt;margin-top:0pt;width:612pt;height:232pt;mso-position-horizontal-relative:page;mso-position-vertical-relative:page;z-index:-273036288" coordorigin="0,0" coordsize="12240,464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v:shape style="position:absolute;left:6480;top:1080;width:4680;height:3560" type="#_x0000_t202" filled="true" fillcolor="#f0eef6" stroked="false">
              <v:textbox inset="0,0,0,0">
                <w:txbxContent>
                  <w:p>
                    <w:pPr>
                      <w:spacing w:line="254" w:lineRule="auto" w:before="131"/>
                      <w:ind w:left="179" w:right="177" w:firstLine="0"/>
                      <w:jc w:val="both"/>
                      <w:rPr>
                        <w:sz w:val="18"/>
                      </w:rPr>
                    </w:pPr>
                    <w:r>
                      <w:rPr>
                        <w:color w:val="231F20"/>
                        <w:sz w:val="18"/>
                      </w:rPr>
                      <w:t>Why then does drinking seawater cause dehydration? The answer is that the kidney must also excrete other solutes, especially urea, which contribute  about  600 mOsm/L when the urine is maximally concentrated. Therefore, the maximum concentration of sodium chloride that can be excreted by the kidneys is about 600 mOsm/L. Thus, for every liter of seawater drunk, 1.5 liters of urine volume would be required to rid the body of 1200 milliosmoles of sodium chloride ingested in addition to 600 milliosmoles  of other solutes such as urea. This would result in a net fluid loss of 0.5 liter for every liter of seawater</w:t>
                    </w:r>
                    <w:r>
                      <w:rPr>
                        <w:color w:val="231F20"/>
                        <w:spacing w:val="17"/>
                        <w:sz w:val="18"/>
                      </w:rPr>
                      <w:t> </w:t>
                    </w:r>
                    <w:r>
                      <w:rPr>
                        <w:color w:val="231F20"/>
                        <w:sz w:val="18"/>
                      </w:rPr>
                      <w:t>drunk, explaining the rapid dehydration that occurs in shipwreck victims who drink seawater. However, a shipwreck </w:t>
                    </w:r>
                    <w:r>
                      <w:rPr>
                        <w:color w:val="231F20"/>
                        <w:spacing w:val="-3"/>
                        <w:sz w:val="18"/>
                      </w:rPr>
                      <w:t>victim’s </w:t>
                    </w:r>
                    <w:r>
                      <w:rPr>
                        <w:color w:val="231F20"/>
                        <w:sz w:val="18"/>
                      </w:rPr>
                      <w:t>pet Australian hopping mouse could drink with impunity  all the seawater it</w:t>
                    </w:r>
                    <w:r>
                      <w:rPr>
                        <w:color w:val="231F20"/>
                        <w:spacing w:val="26"/>
                        <w:sz w:val="18"/>
                      </w:rPr>
                      <w:t> </w:t>
                    </w:r>
                    <w:r>
                      <w:rPr>
                        <w:color w:val="231F20"/>
                        <w:sz w:val="18"/>
                      </w:rPr>
                      <w:t>wanted.</w:t>
                    </w:r>
                  </w:p>
                </w:txbxContent>
              </v:textbox>
              <v:fill type="solid"/>
              <w10:wrap type="none"/>
            </v:shape>
            <v:shape style="position:absolute;left:1440;top:1106;width:4680;height:560" type="#_x0000_t202" filled="true" fillcolor="#e8dac8" stroked="false">
              <v:textbox inset="0,0,0,0">
                <w:txbxContent>
                  <w:p>
                    <w:pPr>
                      <w:spacing w:line="225" w:lineRule="auto" w:before="46"/>
                      <w:ind w:left="60" w:right="702" w:firstLine="0"/>
                      <w:jc w:val="left"/>
                      <w:rPr>
                        <w:rFonts w:ascii="Trebuchet MS"/>
                        <w:b/>
                        <w:sz w:val="22"/>
                      </w:rPr>
                    </w:pPr>
                    <w:r>
                      <w:rPr>
                        <w:rFonts w:ascii="Trebuchet MS"/>
                        <w:b/>
                        <w:color w:val="231F20"/>
                        <w:w w:val="110"/>
                        <w:sz w:val="22"/>
                      </w:rPr>
                      <w:t>KIDNEYS CONSERVE WATER BY EXCRETING CONCENTRATED URINE</w:t>
                    </w:r>
                  </w:p>
                </w:txbxContent>
              </v:textbox>
              <v:fill type="solid"/>
              <w10:wrap type="none"/>
            </v:shape>
            <w10:wrap type="none"/>
          </v:group>
        </w:pict>
      </w:r>
      <w:r>
        <w:rPr>
          <w:color w:val="231F20"/>
          <w:w w:val="105"/>
        </w:rPr>
        <w:t>The ability of the kidney to form urine more concen­ trated than plasma is essential for survival of mammals that live on land, including humans. </w:t>
      </w:r>
      <w:r>
        <w:rPr>
          <w:color w:val="231F20"/>
          <w:spacing w:val="-4"/>
          <w:w w:val="105"/>
        </w:rPr>
        <w:t>Water </w:t>
      </w:r>
      <w:r>
        <w:rPr>
          <w:color w:val="231F20"/>
          <w:w w:val="105"/>
        </w:rPr>
        <w:t>is </w:t>
      </w:r>
      <w:r>
        <w:rPr>
          <w:color w:val="231F20"/>
          <w:spacing w:val="-3"/>
          <w:w w:val="105"/>
        </w:rPr>
        <w:t>continu­ </w:t>
      </w:r>
      <w:r>
        <w:rPr>
          <w:color w:val="231F20"/>
          <w:w w:val="105"/>
        </w:rPr>
        <w:t>ously lost from the body through various routes,</w:t>
      </w:r>
      <w:r>
        <w:rPr>
          <w:color w:val="231F20"/>
          <w:spacing w:val="-25"/>
          <w:w w:val="105"/>
        </w:rPr>
        <w:t> </w:t>
      </w:r>
      <w:r>
        <w:rPr>
          <w:color w:val="231F20"/>
          <w:w w:val="105"/>
        </w:rPr>
        <w:t>includ­ ing the lungs by evaporation into the expired </w:t>
      </w:r>
      <w:r>
        <w:rPr>
          <w:color w:val="231F20"/>
          <w:spacing w:val="-4"/>
          <w:w w:val="105"/>
        </w:rPr>
        <w:t>air, </w:t>
      </w:r>
      <w:r>
        <w:rPr>
          <w:color w:val="231F20"/>
          <w:spacing w:val="-5"/>
          <w:w w:val="105"/>
        </w:rPr>
        <w:t>the </w:t>
      </w:r>
      <w:r>
        <w:rPr>
          <w:color w:val="231F20"/>
          <w:w w:val="105"/>
        </w:rPr>
        <w:t>gastrointestinal</w:t>
      </w:r>
      <w:r>
        <w:rPr>
          <w:color w:val="231F20"/>
          <w:spacing w:val="-22"/>
          <w:w w:val="105"/>
        </w:rPr>
        <w:t> </w:t>
      </w:r>
      <w:r>
        <w:rPr>
          <w:color w:val="231F20"/>
          <w:w w:val="105"/>
        </w:rPr>
        <w:t>tract</w:t>
      </w:r>
      <w:r>
        <w:rPr>
          <w:color w:val="231F20"/>
          <w:spacing w:val="-21"/>
          <w:w w:val="105"/>
        </w:rPr>
        <w:t> </w:t>
      </w:r>
      <w:r>
        <w:rPr>
          <w:color w:val="231F20"/>
          <w:w w:val="105"/>
        </w:rPr>
        <w:t>by</w:t>
      </w:r>
      <w:r>
        <w:rPr>
          <w:color w:val="231F20"/>
          <w:spacing w:val="-21"/>
          <w:w w:val="105"/>
        </w:rPr>
        <w:t> </w:t>
      </w:r>
      <w:r>
        <w:rPr>
          <w:color w:val="231F20"/>
          <w:w w:val="105"/>
        </w:rPr>
        <w:t>way</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2"/>
          <w:w w:val="105"/>
        </w:rPr>
        <w:t> </w:t>
      </w:r>
      <w:r>
        <w:rPr>
          <w:color w:val="231F20"/>
          <w:w w:val="105"/>
        </w:rPr>
        <w:t>feces,</w:t>
      </w:r>
      <w:r>
        <w:rPr>
          <w:color w:val="231F20"/>
          <w:spacing w:val="-21"/>
          <w:w w:val="105"/>
        </w:rPr>
        <w:t> </w:t>
      </w:r>
      <w:r>
        <w:rPr>
          <w:color w:val="231F20"/>
          <w:w w:val="105"/>
        </w:rPr>
        <w:t>the</w:t>
      </w:r>
      <w:r>
        <w:rPr>
          <w:color w:val="231F20"/>
          <w:spacing w:val="-21"/>
          <w:w w:val="105"/>
        </w:rPr>
        <w:t> </w:t>
      </w:r>
      <w:r>
        <w:rPr>
          <w:color w:val="231F20"/>
          <w:w w:val="105"/>
        </w:rPr>
        <w:t>skin</w:t>
      </w:r>
      <w:r>
        <w:rPr>
          <w:color w:val="231F20"/>
          <w:spacing w:val="-21"/>
          <w:w w:val="105"/>
        </w:rPr>
        <w:t> </w:t>
      </w:r>
      <w:r>
        <w:rPr>
          <w:color w:val="231F20"/>
          <w:w w:val="105"/>
        </w:rPr>
        <w:t>through evaporation and perspiration, and the kidneys </w:t>
      </w:r>
      <w:r>
        <w:rPr>
          <w:color w:val="231F20"/>
          <w:spacing w:val="-3"/>
          <w:w w:val="105"/>
        </w:rPr>
        <w:t>through </w:t>
      </w:r>
      <w:r>
        <w:rPr>
          <w:color w:val="231F20"/>
          <w:w w:val="105"/>
        </w:rPr>
        <w:t>excretion of urine. Fluid intake is required to match</w:t>
      </w:r>
      <w:r>
        <w:rPr>
          <w:color w:val="231F20"/>
          <w:spacing w:val="-21"/>
          <w:w w:val="105"/>
        </w:rPr>
        <w:t> </w:t>
      </w:r>
      <w:r>
        <w:rPr>
          <w:color w:val="231F20"/>
          <w:w w:val="105"/>
        </w:rPr>
        <w:t>this loss,</w:t>
      </w:r>
      <w:r>
        <w:rPr>
          <w:color w:val="231F20"/>
          <w:spacing w:val="-16"/>
          <w:w w:val="105"/>
        </w:rPr>
        <w:t> </w:t>
      </w:r>
      <w:r>
        <w:rPr>
          <w:color w:val="231F20"/>
          <w:w w:val="105"/>
        </w:rPr>
        <w:t>but</w:t>
      </w:r>
      <w:r>
        <w:rPr>
          <w:color w:val="231F20"/>
          <w:spacing w:val="-16"/>
          <w:w w:val="105"/>
        </w:rPr>
        <w:t> </w:t>
      </w:r>
      <w:r>
        <w:rPr>
          <w:color w:val="231F20"/>
          <w:w w:val="105"/>
        </w:rPr>
        <w:t>the</w:t>
      </w:r>
      <w:r>
        <w:rPr>
          <w:color w:val="231F20"/>
          <w:spacing w:val="-15"/>
          <w:w w:val="105"/>
        </w:rPr>
        <w:t> </w:t>
      </w:r>
      <w:r>
        <w:rPr>
          <w:color w:val="231F20"/>
          <w:w w:val="105"/>
        </w:rPr>
        <w:t>ability</w:t>
      </w:r>
      <w:r>
        <w:rPr>
          <w:color w:val="231F20"/>
          <w:spacing w:val="-15"/>
          <w:w w:val="105"/>
        </w:rPr>
        <w:t> </w:t>
      </w:r>
      <w:r>
        <w:rPr>
          <w:color w:val="231F20"/>
          <w:w w:val="105"/>
        </w:rPr>
        <w:t>of</w:t>
      </w:r>
      <w:r>
        <w:rPr>
          <w:color w:val="231F20"/>
          <w:spacing w:val="-16"/>
          <w:w w:val="105"/>
        </w:rPr>
        <w:t> </w:t>
      </w:r>
      <w:r>
        <w:rPr>
          <w:color w:val="231F20"/>
          <w:w w:val="105"/>
        </w:rPr>
        <w:t>the</w:t>
      </w:r>
      <w:r>
        <w:rPr>
          <w:color w:val="231F20"/>
          <w:spacing w:val="-15"/>
          <w:w w:val="105"/>
        </w:rPr>
        <w:t> </w:t>
      </w:r>
      <w:r>
        <w:rPr>
          <w:color w:val="231F20"/>
          <w:w w:val="105"/>
        </w:rPr>
        <w:t>kidneys</w:t>
      </w:r>
      <w:r>
        <w:rPr>
          <w:color w:val="231F20"/>
          <w:spacing w:val="-15"/>
          <w:w w:val="105"/>
        </w:rPr>
        <w:t> </w:t>
      </w:r>
      <w:r>
        <w:rPr>
          <w:color w:val="231F20"/>
          <w:w w:val="105"/>
        </w:rPr>
        <w:t>to</w:t>
      </w:r>
      <w:r>
        <w:rPr>
          <w:color w:val="231F20"/>
          <w:spacing w:val="-15"/>
          <w:w w:val="105"/>
        </w:rPr>
        <w:t> </w:t>
      </w:r>
      <w:r>
        <w:rPr>
          <w:color w:val="231F20"/>
          <w:w w:val="105"/>
        </w:rPr>
        <w:t>form</w:t>
      </w:r>
      <w:r>
        <w:rPr>
          <w:color w:val="231F20"/>
          <w:spacing w:val="-16"/>
          <w:w w:val="105"/>
        </w:rPr>
        <w:t> </w:t>
      </w:r>
      <w:r>
        <w:rPr>
          <w:color w:val="231F20"/>
          <w:w w:val="105"/>
        </w:rPr>
        <w:t>a</w:t>
      </w:r>
      <w:r>
        <w:rPr>
          <w:color w:val="231F20"/>
          <w:spacing w:val="-16"/>
          <w:w w:val="105"/>
        </w:rPr>
        <w:t> </w:t>
      </w:r>
      <w:r>
        <w:rPr>
          <w:color w:val="231F20"/>
          <w:w w:val="105"/>
        </w:rPr>
        <w:t>small</w:t>
      </w:r>
      <w:r>
        <w:rPr>
          <w:color w:val="231F20"/>
          <w:spacing w:val="-15"/>
          <w:w w:val="105"/>
        </w:rPr>
        <w:t> </w:t>
      </w:r>
      <w:r>
        <w:rPr>
          <w:color w:val="231F20"/>
          <w:spacing w:val="-3"/>
          <w:w w:val="105"/>
        </w:rPr>
        <w:t>volume </w:t>
      </w:r>
      <w:r>
        <w:rPr>
          <w:color w:val="231F20"/>
          <w:w w:val="105"/>
        </w:rPr>
        <w:t>of concentrated urine minimizes the intake of fluid required</w:t>
      </w:r>
      <w:r>
        <w:rPr>
          <w:color w:val="231F20"/>
          <w:spacing w:val="-14"/>
          <w:w w:val="105"/>
        </w:rPr>
        <w:t> </w:t>
      </w:r>
      <w:r>
        <w:rPr>
          <w:color w:val="231F20"/>
          <w:w w:val="105"/>
        </w:rPr>
        <w:t>to</w:t>
      </w:r>
      <w:r>
        <w:rPr>
          <w:color w:val="231F20"/>
          <w:spacing w:val="-14"/>
          <w:w w:val="105"/>
        </w:rPr>
        <w:t> </w:t>
      </w:r>
      <w:r>
        <w:rPr>
          <w:color w:val="231F20"/>
          <w:w w:val="105"/>
        </w:rPr>
        <w:t>maintain</w:t>
      </w:r>
      <w:r>
        <w:rPr>
          <w:color w:val="231F20"/>
          <w:spacing w:val="-14"/>
          <w:w w:val="105"/>
        </w:rPr>
        <w:t> </w:t>
      </w:r>
      <w:r>
        <w:rPr>
          <w:color w:val="231F20"/>
          <w:w w:val="105"/>
        </w:rPr>
        <w:t>homeostasis,</w:t>
      </w:r>
      <w:r>
        <w:rPr>
          <w:color w:val="231F20"/>
          <w:spacing w:val="-14"/>
          <w:w w:val="105"/>
        </w:rPr>
        <w:t> </w:t>
      </w:r>
      <w:r>
        <w:rPr>
          <w:color w:val="231F20"/>
          <w:w w:val="105"/>
        </w:rPr>
        <w:t>a</w:t>
      </w:r>
      <w:r>
        <w:rPr>
          <w:color w:val="231F20"/>
          <w:spacing w:val="-13"/>
          <w:w w:val="105"/>
        </w:rPr>
        <w:t> </w:t>
      </w:r>
      <w:r>
        <w:rPr>
          <w:color w:val="231F20"/>
          <w:w w:val="105"/>
        </w:rPr>
        <w:t>function</w:t>
      </w:r>
      <w:r>
        <w:rPr>
          <w:color w:val="231F20"/>
          <w:spacing w:val="-14"/>
          <w:w w:val="105"/>
        </w:rPr>
        <w:t> </w:t>
      </w:r>
      <w:r>
        <w:rPr>
          <w:color w:val="231F20"/>
          <w:w w:val="105"/>
        </w:rPr>
        <w:t>that</w:t>
      </w:r>
      <w:r>
        <w:rPr>
          <w:color w:val="231F20"/>
          <w:spacing w:val="-14"/>
          <w:w w:val="105"/>
        </w:rPr>
        <w:t> </w:t>
      </w:r>
      <w:r>
        <w:rPr>
          <w:color w:val="231F20"/>
          <w:w w:val="105"/>
        </w:rPr>
        <w:t>is</w:t>
      </w:r>
      <w:r>
        <w:rPr>
          <w:color w:val="231F20"/>
          <w:spacing w:val="-14"/>
          <w:w w:val="105"/>
        </w:rPr>
        <w:t> </w:t>
      </w:r>
      <w:r>
        <w:rPr>
          <w:color w:val="231F20"/>
          <w:spacing w:val="-3"/>
          <w:w w:val="105"/>
        </w:rPr>
        <w:t>espe­ </w:t>
      </w:r>
      <w:r>
        <w:rPr>
          <w:color w:val="231F20"/>
          <w:w w:val="105"/>
        </w:rPr>
        <w:t>cially important when water is in short</w:t>
      </w:r>
      <w:r>
        <w:rPr>
          <w:color w:val="231F20"/>
          <w:spacing w:val="-5"/>
          <w:w w:val="105"/>
        </w:rPr>
        <w:t> </w:t>
      </w:r>
      <w:r>
        <w:rPr>
          <w:color w:val="231F20"/>
          <w:w w:val="105"/>
        </w:rPr>
        <w:t>supply.</w:t>
      </w:r>
    </w:p>
    <w:p>
      <w:pPr>
        <w:pStyle w:val="BodyText"/>
        <w:spacing w:line="249" w:lineRule="auto" w:before="10"/>
        <w:ind w:left="1440" w:firstLine="240"/>
        <w:jc w:val="both"/>
      </w:pPr>
      <w:r>
        <w:rPr>
          <w:color w:val="231F20"/>
          <w:w w:val="105"/>
        </w:rPr>
        <w:t>When</w:t>
      </w:r>
      <w:r>
        <w:rPr>
          <w:color w:val="231F20"/>
          <w:spacing w:val="-4"/>
          <w:w w:val="105"/>
        </w:rPr>
        <w:t> </w:t>
      </w:r>
      <w:r>
        <w:rPr>
          <w:color w:val="231F20"/>
          <w:w w:val="105"/>
        </w:rPr>
        <w:t>there</w:t>
      </w:r>
      <w:r>
        <w:rPr>
          <w:color w:val="231F20"/>
          <w:spacing w:val="-4"/>
          <w:w w:val="105"/>
        </w:rPr>
        <w:t> </w:t>
      </w:r>
      <w:r>
        <w:rPr>
          <w:color w:val="231F20"/>
          <w:w w:val="105"/>
        </w:rPr>
        <w:t>is</w:t>
      </w:r>
      <w:r>
        <w:rPr>
          <w:color w:val="231F20"/>
          <w:spacing w:val="-4"/>
          <w:w w:val="105"/>
        </w:rPr>
        <w:t> </w:t>
      </w:r>
      <w:r>
        <w:rPr>
          <w:color w:val="231F20"/>
          <w:w w:val="105"/>
        </w:rPr>
        <w:t>a</w:t>
      </w:r>
      <w:r>
        <w:rPr>
          <w:color w:val="231F20"/>
          <w:spacing w:val="-4"/>
          <w:w w:val="105"/>
        </w:rPr>
        <w:t> </w:t>
      </w:r>
      <w:r>
        <w:rPr>
          <w:color w:val="231F20"/>
          <w:w w:val="105"/>
        </w:rPr>
        <w:t>water</w:t>
      </w:r>
      <w:r>
        <w:rPr>
          <w:color w:val="231F20"/>
          <w:spacing w:val="-4"/>
          <w:w w:val="105"/>
        </w:rPr>
        <w:t> </w:t>
      </w:r>
      <w:r>
        <w:rPr>
          <w:color w:val="231F20"/>
          <w:w w:val="105"/>
        </w:rPr>
        <w:t>deficit</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body,</w:t>
      </w:r>
      <w:r>
        <w:rPr>
          <w:color w:val="231F20"/>
          <w:spacing w:val="-4"/>
          <w:w w:val="105"/>
        </w:rPr>
        <w:t> </w:t>
      </w:r>
      <w:r>
        <w:rPr>
          <w:color w:val="231F20"/>
          <w:w w:val="105"/>
        </w:rPr>
        <w:t>the</w:t>
      </w:r>
      <w:r>
        <w:rPr>
          <w:color w:val="231F20"/>
          <w:spacing w:val="-4"/>
          <w:w w:val="105"/>
        </w:rPr>
        <w:t> </w:t>
      </w:r>
      <w:r>
        <w:rPr>
          <w:color w:val="231F20"/>
          <w:spacing w:val="-3"/>
          <w:w w:val="105"/>
        </w:rPr>
        <w:t>kidneys </w:t>
      </w:r>
      <w:r>
        <w:rPr>
          <w:color w:val="231F20"/>
          <w:w w:val="105"/>
        </w:rPr>
        <w:t>form</w:t>
      </w:r>
      <w:r>
        <w:rPr>
          <w:color w:val="231F20"/>
          <w:spacing w:val="-11"/>
          <w:w w:val="105"/>
        </w:rPr>
        <w:t> </w:t>
      </w:r>
      <w:r>
        <w:rPr>
          <w:color w:val="231F20"/>
          <w:w w:val="105"/>
        </w:rPr>
        <w:t>concentrated</w:t>
      </w:r>
      <w:r>
        <w:rPr>
          <w:color w:val="231F20"/>
          <w:spacing w:val="-11"/>
          <w:w w:val="105"/>
        </w:rPr>
        <w:t> </w:t>
      </w:r>
      <w:r>
        <w:rPr>
          <w:color w:val="231F20"/>
          <w:w w:val="105"/>
        </w:rPr>
        <w:t>urine</w:t>
      </w:r>
      <w:r>
        <w:rPr>
          <w:color w:val="231F20"/>
          <w:spacing w:val="-11"/>
          <w:w w:val="105"/>
        </w:rPr>
        <w:t> </w:t>
      </w:r>
      <w:r>
        <w:rPr>
          <w:color w:val="231F20"/>
          <w:w w:val="105"/>
        </w:rPr>
        <w:t>by</w:t>
      </w:r>
      <w:r>
        <w:rPr>
          <w:color w:val="231F20"/>
          <w:spacing w:val="-11"/>
          <w:w w:val="105"/>
        </w:rPr>
        <w:t> </w:t>
      </w:r>
      <w:r>
        <w:rPr>
          <w:color w:val="231F20"/>
          <w:w w:val="105"/>
        </w:rPr>
        <w:t>continuing</w:t>
      </w:r>
      <w:r>
        <w:rPr>
          <w:color w:val="231F20"/>
          <w:spacing w:val="-11"/>
          <w:w w:val="105"/>
        </w:rPr>
        <w:t> </w:t>
      </w:r>
      <w:r>
        <w:rPr>
          <w:color w:val="231F20"/>
          <w:w w:val="105"/>
        </w:rPr>
        <w:t>to</w:t>
      </w:r>
      <w:r>
        <w:rPr>
          <w:color w:val="231F20"/>
          <w:spacing w:val="-11"/>
          <w:w w:val="105"/>
        </w:rPr>
        <w:t> </w:t>
      </w:r>
      <w:r>
        <w:rPr>
          <w:color w:val="231F20"/>
          <w:w w:val="105"/>
        </w:rPr>
        <w:t>excrete</w:t>
      </w:r>
      <w:r>
        <w:rPr>
          <w:color w:val="231F20"/>
          <w:spacing w:val="-11"/>
          <w:w w:val="105"/>
        </w:rPr>
        <w:t> </w:t>
      </w:r>
      <w:r>
        <w:rPr>
          <w:color w:val="231F20"/>
          <w:w w:val="105"/>
        </w:rPr>
        <w:t>solutes while increasing water reabsorption and decreasing the volume</w:t>
      </w:r>
      <w:r>
        <w:rPr>
          <w:color w:val="231F20"/>
          <w:spacing w:val="-9"/>
          <w:w w:val="105"/>
        </w:rPr>
        <w:t> </w:t>
      </w:r>
      <w:r>
        <w:rPr>
          <w:color w:val="231F20"/>
          <w:w w:val="105"/>
        </w:rPr>
        <w:t>of</w:t>
      </w:r>
      <w:r>
        <w:rPr>
          <w:color w:val="231F20"/>
          <w:spacing w:val="-8"/>
          <w:w w:val="105"/>
        </w:rPr>
        <w:t> </w:t>
      </w:r>
      <w:r>
        <w:rPr>
          <w:color w:val="231F20"/>
          <w:w w:val="105"/>
        </w:rPr>
        <w:t>urine</w:t>
      </w:r>
      <w:r>
        <w:rPr>
          <w:color w:val="231F20"/>
          <w:spacing w:val="-9"/>
          <w:w w:val="105"/>
        </w:rPr>
        <w:t> </w:t>
      </w:r>
      <w:r>
        <w:rPr>
          <w:color w:val="231F20"/>
          <w:w w:val="105"/>
        </w:rPr>
        <w:t>formed.</w:t>
      </w:r>
      <w:r>
        <w:rPr>
          <w:color w:val="231F20"/>
          <w:spacing w:val="-8"/>
          <w:w w:val="105"/>
        </w:rPr>
        <w:t> </w:t>
      </w:r>
      <w:r>
        <w:rPr>
          <w:color w:val="231F20"/>
          <w:w w:val="105"/>
        </w:rPr>
        <w:t>The</w:t>
      </w:r>
      <w:r>
        <w:rPr>
          <w:color w:val="231F20"/>
          <w:spacing w:val="-9"/>
          <w:w w:val="105"/>
        </w:rPr>
        <w:t> </w:t>
      </w:r>
      <w:r>
        <w:rPr>
          <w:color w:val="231F20"/>
          <w:w w:val="105"/>
        </w:rPr>
        <w:t>human</w:t>
      </w:r>
      <w:r>
        <w:rPr>
          <w:color w:val="231F20"/>
          <w:spacing w:val="-8"/>
          <w:w w:val="105"/>
        </w:rPr>
        <w:t> </w:t>
      </w:r>
      <w:r>
        <w:rPr>
          <w:color w:val="231F20"/>
          <w:w w:val="105"/>
        </w:rPr>
        <w:t>kidney</w:t>
      </w:r>
      <w:r>
        <w:rPr>
          <w:color w:val="231F20"/>
          <w:spacing w:val="-9"/>
          <w:w w:val="105"/>
        </w:rPr>
        <w:t> </w:t>
      </w:r>
      <w:r>
        <w:rPr>
          <w:color w:val="231F20"/>
          <w:w w:val="105"/>
        </w:rPr>
        <w:t>can</w:t>
      </w:r>
      <w:r>
        <w:rPr>
          <w:color w:val="231F20"/>
          <w:spacing w:val="-8"/>
          <w:w w:val="105"/>
        </w:rPr>
        <w:t> </w:t>
      </w:r>
      <w:r>
        <w:rPr>
          <w:color w:val="231F20"/>
          <w:spacing w:val="-3"/>
          <w:w w:val="105"/>
        </w:rPr>
        <w:t>produce </w:t>
      </w:r>
      <w:r>
        <w:rPr>
          <w:color w:val="231F20"/>
          <w:w w:val="105"/>
        </w:rPr>
        <w:t>a</w:t>
      </w:r>
      <w:r>
        <w:rPr>
          <w:color w:val="231F20"/>
          <w:spacing w:val="-16"/>
          <w:w w:val="105"/>
        </w:rPr>
        <w:t> </w:t>
      </w:r>
      <w:r>
        <w:rPr>
          <w:color w:val="231F20"/>
          <w:w w:val="105"/>
        </w:rPr>
        <w:t>maximal</w:t>
      </w:r>
      <w:r>
        <w:rPr>
          <w:color w:val="231F20"/>
          <w:spacing w:val="-15"/>
          <w:w w:val="105"/>
        </w:rPr>
        <w:t> </w:t>
      </w:r>
      <w:r>
        <w:rPr>
          <w:color w:val="231F20"/>
          <w:w w:val="105"/>
        </w:rPr>
        <w:t>urine</w:t>
      </w:r>
      <w:r>
        <w:rPr>
          <w:color w:val="231F20"/>
          <w:spacing w:val="-15"/>
          <w:w w:val="105"/>
        </w:rPr>
        <w:t> </w:t>
      </w:r>
      <w:r>
        <w:rPr>
          <w:color w:val="231F20"/>
          <w:w w:val="105"/>
        </w:rPr>
        <w:t>concentration</w:t>
      </w:r>
      <w:r>
        <w:rPr>
          <w:color w:val="231F20"/>
          <w:spacing w:val="-15"/>
          <w:w w:val="105"/>
        </w:rPr>
        <w:t> </w:t>
      </w:r>
      <w:r>
        <w:rPr>
          <w:color w:val="231F20"/>
          <w:w w:val="105"/>
        </w:rPr>
        <w:t>of</w:t>
      </w:r>
      <w:r>
        <w:rPr>
          <w:color w:val="231F20"/>
          <w:spacing w:val="-15"/>
          <w:w w:val="105"/>
        </w:rPr>
        <w:t> </w:t>
      </w:r>
      <w:r>
        <w:rPr>
          <w:color w:val="231F20"/>
          <w:w w:val="105"/>
        </w:rPr>
        <w:t>1200</w:t>
      </w:r>
      <w:r>
        <w:rPr>
          <w:color w:val="231F20"/>
          <w:spacing w:val="-15"/>
          <w:w w:val="105"/>
        </w:rPr>
        <w:t> </w:t>
      </w:r>
      <w:r>
        <w:rPr>
          <w:color w:val="231F20"/>
          <w:w w:val="105"/>
        </w:rPr>
        <w:t>to</w:t>
      </w:r>
      <w:r>
        <w:rPr>
          <w:color w:val="231F20"/>
          <w:spacing w:val="-16"/>
          <w:w w:val="105"/>
        </w:rPr>
        <w:t> </w:t>
      </w:r>
      <w:r>
        <w:rPr>
          <w:color w:val="231F20"/>
          <w:w w:val="105"/>
        </w:rPr>
        <w:t>1400</w:t>
      </w:r>
      <w:r>
        <w:rPr>
          <w:color w:val="231F20"/>
          <w:spacing w:val="-8"/>
          <w:w w:val="105"/>
        </w:rPr>
        <w:t> </w:t>
      </w:r>
      <w:r>
        <w:rPr>
          <w:color w:val="231F20"/>
          <w:spacing w:val="-3"/>
          <w:w w:val="105"/>
        </w:rPr>
        <w:t>mOsm/L, </w:t>
      </w:r>
      <w:r>
        <w:rPr>
          <w:color w:val="231F20"/>
          <w:w w:val="105"/>
        </w:rPr>
        <w:t>four to five times the osmolarity of</w:t>
      </w:r>
      <w:r>
        <w:rPr>
          <w:color w:val="231F20"/>
          <w:spacing w:val="-2"/>
          <w:w w:val="105"/>
        </w:rPr>
        <w:t> </w:t>
      </w:r>
      <w:r>
        <w:rPr>
          <w:color w:val="231F20"/>
          <w:w w:val="105"/>
        </w:rPr>
        <w:t>plasma.</w:t>
      </w:r>
    </w:p>
    <w:p>
      <w:pPr>
        <w:pStyle w:val="BodyText"/>
        <w:spacing w:line="249" w:lineRule="auto" w:before="5"/>
        <w:ind w:left="1440" w:firstLine="240"/>
        <w:jc w:val="both"/>
      </w:pPr>
      <w:r>
        <w:rPr>
          <w:color w:val="231F20"/>
          <w:w w:val="105"/>
        </w:rPr>
        <w:t>Some desert animals, such as the Australian hopping mouse, can concentrate urine to as high as </w:t>
      </w:r>
      <w:r>
        <w:rPr>
          <w:color w:val="231F20"/>
          <w:spacing w:val="-3"/>
          <w:w w:val="105"/>
        </w:rPr>
        <w:t>10,000 </w:t>
      </w:r>
      <w:r>
        <w:rPr>
          <w:color w:val="231F20"/>
          <w:w w:val="105"/>
        </w:rPr>
        <w:t>mOsm/L.</w:t>
      </w:r>
      <w:r>
        <w:rPr>
          <w:color w:val="231F20"/>
          <w:spacing w:val="-7"/>
          <w:w w:val="105"/>
        </w:rPr>
        <w:t> </w:t>
      </w:r>
      <w:r>
        <w:rPr>
          <w:color w:val="231F20"/>
          <w:w w:val="105"/>
        </w:rPr>
        <w:t>This</w:t>
      </w:r>
      <w:r>
        <w:rPr>
          <w:color w:val="231F20"/>
          <w:spacing w:val="-6"/>
          <w:w w:val="105"/>
        </w:rPr>
        <w:t> </w:t>
      </w:r>
      <w:r>
        <w:rPr>
          <w:color w:val="231F20"/>
          <w:w w:val="105"/>
        </w:rPr>
        <w:t>ability</w:t>
      </w:r>
      <w:r>
        <w:rPr>
          <w:color w:val="231F20"/>
          <w:spacing w:val="-6"/>
          <w:w w:val="105"/>
        </w:rPr>
        <w:t> </w:t>
      </w:r>
      <w:r>
        <w:rPr>
          <w:color w:val="231F20"/>
          <w:w w:val="105"/>
        </w:rPr>
        <w:t>allows</w:t>
      </w:r>
      <w:r>
        <w:rPr>
          <w:color w:val="231F20"/>
          <w:spacing w:val="-6"/>
          <w:w w:val="105"/>
        </w:rPr>
        <w:t> </w:t>
      </w:r>
      <w:r>
        <w:rPr>
          <w:color w:val="231F20"/>
          <w:w w:val="105"/>
        </w:rPr>
        <w:t>the</w:t>
      </w:r>
      <w:r>
        <w:rPr>
          <w:color w:val="231F20"/>
          <w:spacing w:val="-7"/>
          <w:w w:val="105"/>
        </w:rPr>
        <w:t> </w:t>
      </w:r>
      <w:r>
        <w:rPr>
          <w:color w:val="231F20"/>
          <w:w w:val="105"/>
        </w:rPr>
        <w:t>mouse</w:t>
      </w:r>
      <w:r>
        <w:rPr>
          <w:color w:val="231F20"/>
          <w:spacing w:val="-6"/>
          <w:w w:val="105"/>
        </w:rPr>
        <w:t> </w:t>
      </w:r>
      <w:r>
        <w:rPr>
          <w:color w:val="231F20"/>
          <w:w w:val="105"/>
        </w:rPr>
        <w:t>to</w:t>
      </w:r>
      <w:r>
        <w:rPr>
          <w:color w:val="231F20"/>
          <w:spacing w:val="-6"/>
          <w:w w:val="105"/>
        </w:rPr>
        <w:t> </w:t>
      </w:r>
      <w:r>
        <w:rPr>
          <w:color w:val="231F20"/>
          <w:w w:val="105"/>
        </w:rPr>
        <w:t>survive</w:t>
      </w:r>
      <w:r>
        <w:rPr>
          <w:color w:val="231F20"/>
          <w:spacing w:val="-6"/>
          <w:w w:val="105"/>
        </w:rPr>
        <w:t> </w:t>
      </w:r>
      <w:r>
        <w:rPr>
          <w:color w:val="231F20"/>
          <w:w w:val="105"/>
        </w:rPr>
        <w:t>in</w:t>
      </w:r>
      <w:r>
        <w:rPr>
          <w:color w:val="231F20"/>
          <w:spacing w:val="-7"/>
          <w:w w:val="105"/>
        </w:rPr>
        <w:t> </w:t>
      </w:r>
      <w:r>
        <w:rPr>
          <w:color w:val="231F20"/>
          <w:spacing w:val="-5"/>
          <w:w w:val="105"/>
        </w:rPr>
        <w:t>the </w:t>
      </w:r>
      <w:r>
        <w:rPr>
          <w:color w:val="231F20"/>
          <w:w w:val="105"/>
        </w:rPr>
        <w:t>desert without drinking water; sufficient water can be obtained through the ingested food and water produced in</w:t>
      </w:r>
      <w:r>
        <w:rPr>
          <w:color w:val="231F20"/>
          <w:spacing w:val="-6"/>
          <w:w w:val="105"/>
        </w:rPr>
        <w:t> </w:t>
      </w:r>
      <w:r>
        <w:rPr>
          <w:color w:val="231F20"/>
          <w:w w:val="105"/>
        </w:rPr>
        <w:t>the</w:t>
      </w:r>
      <w:r>
        <w:rPr>
          <w:color w:val="231F20"/>
          <w:spacing w:val="-6"/>
          <w:w w:val="105"/>
        </w:rPr>
        <w:t> </w:t>
      </w:r>
      <w:r>
        <w:rPr>
          <w:color w:val="231F20"/>
          <w:w w:val="105"/>
        </w:rPr>
        <w:t>body</w:t>
      </w:r>
      <w:r>
        <w:rPr>
          <w:color w:val="231F20"/>
          <w:spacing w:val="-5"/>
          <w:w w:val="105"/>
        </w:rPr>
        <w:t> </w:t>
      </w:r>
      <w:r>
        <w:rPr>
          <w:color w:val="231F20"/>
          <w:w w:val="105"/>
        </w:rPr>
        <w:t>by</w:t>
      </w:r>
      <w:r>
        <w:rPr>
          <w:color w:val="231F20"/>
          <w:spacing w:val="-6"/>
          <w:w w:val="105"/>
        </w:rPr>
        <w:t> </w:t>
      </w:r>
      <w:r>
        <w:rPr>
          <w:color w:val="231F20"/>
          <w:w w:val="105"/>
        </w:rPr>
        <w:t>metabolism</w:t>
      </w:r>
      <w:r>
        <w:rPr>
          <w:color w:val="231F20"/>
          <w:spacing w:val="-6"/>
          <w:w w:val="105"/>
        </w:rPr>
        <w:t> </w:t>
      </w:r>
      <w:r>
        <w:rPr>
          <w:color w:val="231F20"/>
          <w:w w:val="105"/>
        </w:rPr>
        <w:t>of</w:t>
      </w:r>
      <w:r>
        <w:rPr>
          <w:color w:val="231F20"/>
          <w:spacing w:val="-5"/>
          <w:w w:val="105"/>
        </w:rPr>
        <w:t> </w:t>
      </w:r>
      <w:r>
        <w:rPr>
          <w:color w:val="231F20"/>
          <w:w w:val="105"/>
        </w:rPr>
        <w:t>the</w:t>
      </w:r>
      <w:r>
        <w:rPr>
          <w:color w:val="231F20"/>
          <w:spacing w:val="-6"/>
          <w:w w:val="105"/>
        </w:rPr>
        <w:t> </w:t>
      </w:r>
      <w:r>
        <w:rPr>
          <w:color w:val="231F20"/>
          <w:w w:val="105"/>
        </w:rPr>
        <w:t>food.</w:t>
      </w:r>
      <w:r>
        <w:rPr>
          <w:color w:val="231F20"/>
          <w:spacing w:val="-5"/>
          <w:w w:val="105"/>
        </w:rPr>
        <w:t> </w:t>
      </w:r>
      <w:r>
        <w:rPr>
          <w:color w:val="231F20"/>
          <w:w w:val="105"/>
        </w:rPr>
        <w:t>Animals</w:t>
      </w:r>
      <w:r>
        <w:rPr>
          <w:color w:val="231F20"/>
          <w:spacing w:val="-6"/>
          <w:w w:val="105"/>
        </w:rPr>
        <w:t> </w:t>
      </w:r>
      <w:r>
        <w:rPr>
          <w:color w:val="231F20"/>
          <w:spacing w:val="-3"/>
          <w:w w:val="105"/>
        </w:rPr>
        <w:t>adapted </w:t>
      </w:r>
      <w:r>
        <w:rPr>
          <w:color w:val="231F20"/>
          <w:w w:val="105"/>
        </w:rPr>
        <w:t>to freshwater environments usually have minimal</w:t>
      </w:r>
      <w:r>
        <w:rPr>
          <w:color w:val="231F20"/>
          <w:spacing w:val="-29"/>
          <w:w w:val="105"/>
        </w:rPr>
        <w:t> </w:t>
      </w:r>
      <w:r>
        <w:rPr>
          <w:color w:val="231F20"/>
          <w:spacing w:val="-3"/>
          <w:w w:val="105"/>
        </w:rPr>
        <w:t>urine­ </w:t>
      </w:r>
      <w:r>
        <w:rPr>
          <w:color w:val="231F20"/>
          <w:w w:val="105"/>
        </w:rPr>
        <w:t>concentrating</w:t>
      </w:r>
      <w:r>
        <w:rPr>
          <w:color w:val="231F20"/>
          <w:spacing w:val="-12"/>
          <w:w w:val="105"/>
        </w:rPr>
        <w:t> </w:t>
      </w:r>
      <w:r>
        <w:rPr>
          <w:color w:val="231F20"/>
          <w:w w:val="105"/>
        </w:rPr>
        <w:t>ability.</w:t>
      </w:r>
      <w:r>
        <w:rPr>
          <w:color w:val="231F20"/>
          <w:spacing w:val="-11"/>
          <w:w w:val="105"/>
        </w:rPr>
        <w:t> </w:t>
      </w:r>
      <w:r>
        <w:rPr>
          <w:color w:val="231F20"/>
          <w:w w:val="105"/>
        </w:rPr>
        <w:t>Beavers,</w:t>
      </w:r>
      <w:r>
        <w:rPr>
          <w:color w:val="231F20"/>
          <w:spacing w:val="-11"/>
          <w:w w:val="105"/>
        </w:rPr>
        <w:t> </w:t>
      </w:r>
      <w:r>
        <w:rPr>
          <w:color w:val="231F20"/>
          <w:w w:val="105"/>
        </w:rPr>
        <w:t>for</w:t>
      </w:r>
      <w:r>
        <w:rPr>
          <w:color w:val="231F20"/>
          <w:spacing w:val="-11"/>
          <w:w w:val="105"/>
        </w:rPr>
        <w:t> </w:t>
      </w:r>
      <w:r>
        <w:rPr>
          <w:color w:val="231F20"/>
          <w:w w:val="105"/>
        </w:rPr>
        <w:t>example,</w:t>
      </w:r>
      <w:r>
        <w:rPr>
          <w:color w:val="231F20"/>
          <w:spacing w:val="-11"/>
          <w:w w:val="105"/>
        </w:rPr>
        <w:t> </w:t>
      </w:r>
      <w:r>
        <w:rPr>
          <w:color w:val="231F20"/>
          <w:w w:val="105"/>
        </w:rPr>
        <w:t>can</w:t>
      </w:r>
      <w:r>
        <w:rPr>
          <w:color w:val="231F20"/>
          <w:spacing w:val="-11"/>
          <w:w w:val="105"/>
        </w:rPr>
        <w:t> </w:t>
      </w:r>
      <w:r>
        <w:rPr>
          <w:color w:val="231F20"/>
          <w:w w:val="105"/>
        </w:rPr>
        <w:t>concen­ trate the urine only to about 500</w:t>
      </w:r>
      <w:r>
        <w:rPr>
          <w:color w:val="231F20"/>
          <w:spacing w:val="19"/>
          <w:w w:val="105"/>
        </w:rPr>
        <w:t> </w:t>
      </w:r>
      <w:r>
        <w:rPr>
          <w:color w:val="231F20"/>
          <w:w w:val="105"/>
        </w:rPr>
        <w:t>mOsm/L.</w:t>
      </w:r>
    </w:p>
    <w:p>
      <w:pPr>
        <w:pStyle w:val="BodyText"/>
        <w:spacing w:before="1" w:after="39"/>
        <w:rPr>
          <w:sz w:val="23"/>
        </w:rPr>
      </w:pPr>
    </w:p>
    <w:p>
      <w:pPr>
        <w:pStyle w:val="BodyText"/>
        <w:ind w:left="1440" w:right="-72"/>
      </w:pPr>
      <w:r>
        <w:rPr/>
        <w:pict>
          <v:group style="width:234pt;height:306.5pt;mso-position-horizontal-relative:char;mso-position-vertical-relative:line" coordorigin="0,0" coordsize="4680,6130">
            <v:rect style="position:absolute;left:0;top:0;width:4680;height:6130" filled="true" fillcolor="#f0eef6" stroked="false">
              <v:fill type="solid"/>
            </v:rect>
            <v:line style="position:absolute" from="1230,2434" to="2490,2434" stroked="true" strokeweight=".438pt" strokecolor="#000000">
              <v:stroke dashstyle="solid"/>
            </v:line>
            <v:shape style="position:absolute;left:1236;top:2197;width:2231;height:338" type="#_x0000_t202" filled="false" stroked="false">
              <v:textbox inset="0,0,0,0">
                <w:txbxContent>
                  <w:p>
                    <w:pPr>
                      <w:spacing w:line="223" w:lineRule="auto" w:before="4"/>
                      <w:ind w:left="0" w:right="0" w:firstLine="0"/>
                      <w:jc w:val="left"/>
                      <w:rPr>
                        <w:rFonts w:ascii="Trebuchet MS" w:hAnsi="Trebuchet MS"/>
                        <w:sz w:val="18"/>
                      </w:rPr>
                    </w:pPr>
                    <w:r>
                      <w:rPr>
                        <w:rFonts w:ascii="Trebuchet MS" w:hAnsi="Trebuchet MS"/>
                        <w:spacing w:val="1"/>
                        <w:w w:val="106"/>
                        <w:sz w:val="18"/>
                      </w:rPr>
                      <w:t>60</w:t>
                    </w:r>
                    <w:r>
                      <w:rPr>
                        <w:rFonts w:ascii="Trebuchet MS" w:hAnsi="Trebuchet MS"/>
                        <w:w w:val="106"/>
                        <w:sz w:val="18"/>
                      </w:rPr>
                      <w:t>0</w:t>
                    </w:r>
                    <w:r>
                      <w:rPr>
                        <w:rFonts w:ascii="Trebuchet MS" w:hAnsi="Trebuchet MS"/>
                        <w:spacing w:val="-20"/>
                        <w:sz w:val="18"/>
                      </w:rPr>
                      <w:t> </w:t>
                    </w:r>
                    <w:r>
                      <w:rPr>
                        <w:rFonts w:ascii="Trebuchet MS" w:hAnsi="Trebuchet MS"/>
                        <w:w w:val="107"/>
                        <w:sz w:val="18"/>
                      </w:rPr>
                      <w:t>mOs</w:t>
                    </w:r>
                    <w:r>
                      <w:rPr>
                        <w:rFonts w:ascii="Trebuchet MS" w:hAnsi="Trebuchet MS"/>
                        <w:spacing w:val="9"/>
                        <w:w w:val="107"/>
                        <w:sz w:val="18"/>
                      </w:rPr>
                      <w:t>m</w:t>
                    </w:r>
                    <w:r>
                      <w:rPr>
                        <w:rFonts w:ascii="Trebuchet MS" w:hAnsi="Trebuchet MS"/>
                        <w:spacing w:val="14"/>
                        <w:w w:val="53"/>
                        <w:sz w:val="18"/>
                      </w:rPr>
                      <w:t>/</w:t>
                    </w:r>
                    <w:r>
                      <w:rPr>
                        <w:rFonts w:ascii="Trebuchet MS" w:hAnsi="Trebuchet MS"/>
                        <w:spacing w:val="-1"/>
                        <w:w w:val="109"/>
                        <w:sz w:val="18"/>
                      </w:rPr>
                      <w:t>d</w:t>
                    </w:r>
                    <w:r>
                      <w:rPr>
                        <w:rFonts w:ascii="Trebuchet MS" w:hAnsi="Trebuchet MS"/>
                        <w:spacing w:val="1"/>
                        <w:w w:val="105"/>
                        <w:sz w:val="18"/>
                      </w:rPr>
                      <w:t>a</w:t>
                    </w:r>
                    <w:r>
                      <w:rPr>
                        <w:rFonts w:ascii="Trebuchet MS" w:hAnsi="Trebuchet MS"/>
                        <w:w w:val="101"/>
                        <w:sz w:val="18"/>
                      </w:rPr>
                      <w:t>y</w:t>
                    </w:r>
                    <w:r>
                      <w:rPr>
                        <w:rFonts w:ascii="Trebuchet MS" w:hAnsi="Trebuchet MS"/>
                        <w:spacing w:val="10"/>
                        <w:sz w:val="18"/>
                      </w:rPr>
                      <w:t> </w:t>
                    </w:r>
                    <w:r>
                      <w:rPr>
                        <w:rFonts w:ascii="Symbol" w:hAnsi="Symbol"/>
                        <w:w w:val="100"/>
                        <w:position w:val="-11"/>
                        <w:sz w:val="18"/>
                      </w:rPr>
                      <w:t></w:t>
                    </w:r>
                    <w:r>
                      <w:rPr>
                        <w:spacing w:val="-1"/>
                        <w:position w:val="-11"/>
                        <w:sz w:val="18"/>
                      </w:rPr>
                      <w:t> </w:t>
                    </w:r>
                    <w:r>
                      <w:rPr>
                        <w:rFonts w:ascii="Trebuchet MS" w:hAnsi="Trebuchet MS"/>
                        <w:spacing w:val="1"/>
                        <w:w w:val="106"/>
                        <w:position w:val="-11"/>
                        <w:sz w:val="18"/>
                      </w:rPr>
                      <w:t>0</w:t>
                    </w:r>
                    <w:r>
                      <w:rPr>
                        <w:rFonts w:ascii="Trebuchet MS" w:hAnsi="Trebuchet MS"/>
                        <w:w w:val="75"/>
                        <w:position w:val="-11"/>
                        <w:sz w:val="18"/>
                      </w:rPr>
                      <w:t>.</w:t>
                    </w:r>
                    <w:r>
                      <w:rPr>
                        <w:rFonts w:ascii="Trebuchet MS" w:hAnsi="Trebuchet MS"/>
                        <w:w w:val="106"/>
                        <w:position w:val="-11"/>
                        <w:sz w:val="18"/>
                      </w:rPr>
                      <w:t>5</w:t>
                    </w:r>
                    <w:r>
                      <w:rPr>
                        <w:rFonts w:ascii="Trebuchet MS" w:hAnsi="Trebuchet MS"/>
                        <w:spacing w:val="-25"/>
                        <w:position w:val="-11"/>
                        <w:sz w:val="18"/>
                      </w:rPr>
                      <w:t> </w:t>
                    </w:r>
                    <w:r>
                      <w:rPr>
                        <w:rFonts w:ascii="Trebuchet MS" w:hAnsi="Trebuchet MS"/>
                        <w:w w:val="98"/>
                        <w:position w:val="-11"/>
                        <w:sz w:val="18"/>
                      </w:rPr>
                      <w:t>L</w:t>
                    </w:r>
                    <w:r>
                      <w:rPr>
                        <w:rFonts w:ascii="Trebuchet MS" w:hAnsi="Trebuchet MS"/>
                        <w:spacing w:val="-32"/>
                        <w:position w:val="-11"/>
                        <w:sz w:val="18"/>
                      </w:rPr>
                      <w:t> </w:t>
                    </w:r>
                    <w:r>
                      <w:rPr>
                        <w:rFonts w:ascii="Trebuchet MS" w:hAnsi="Trebuchet MS"/>
                        <w:spacing w:val="14"/>
                        <w:w w:val="53"/>
                        <w:position w:val="-11"/>
                        <w:sz w:val="18"/>
                      </w:rPr>
                      <w:t>/</w:t>
                    </w:r>
                    <w:r>
                      <w:rPr>
                        <w:rFonts w:ascii="Trebuchet MS" w:hAnsi="Trebuchet MS"/>
                        <w:spacing w:val="-1"/>
                        <w:w w:val="109"/>
                        <w:position w:val="-11"/>
                        <w:sz w:val="18"/>
                      </w:rPr>
                      <w:t>d</w:t>
                    </w:r>
                    <w:r>
                      <w:rPr>
                        <w:rFonts w:ascii="Trebuchet MS" w:hAnsi="Trebuchet MS"/>
                        <w:spacing w:val="1"/>
                        <w:w w:val="105"/>
                        <w:position w:val="-11"/>
                        <w:sz w:val="18"/>
                      </w:rPr>
                      <w:t>a</w:t>
                    </w:r>
                    <w:r>
                      <w:rPr>
                        <w:rFonts w:ascii="Trebuchet MS" w:hAnsi="Trebuchet MS"/>
                        <w:w w:val="101"/>
                        <w:position w:val="-11"/>
                        <w:sz w:val="18"/>
                      </w:rPr>
                      <w:t>y</w:t>
                    </w:r>
                  </w:p>
                </w:txbxContent>
              </v:textbox>
              <w10:wrap type="none"/>
            </v:shape>
            <v:shape style="position:absolute;left:180;top:2451;width:4341;height:3591" type="#_x0000_t202" filled="false" stroked="false">
              <v:textbox inset="0,0,0,0">
                <w:txbxContent>
                  <w:p>
                    <w:pPr>
                      <w:spacing w:line="209" w:lineRule="exact" w:before="0"/>
                      <w:ind w:left="1110" w:right="0" w:firstLine="0"/>
                      <w:jc w:val="left"/>
                      <w:rPr>
                        <w:rFonts w:ascii="Trebuchet MS"/>
                        <w:sz w:val="18"/>
                      </w:rPr>
                    </w:pPr>
                    <w:r>
                      <w:rPr>
                        <w:rFonts w:ascii="Trebuchet MS"/>
                        <w:spacing w:val="1"/>
                        <w:w w:val="106"/>
                        <w:sz w:val="18"/>
                      </w:rPr>
                      <w:t>120</w:t>
                    </w:r>
                    <w:r>
                      <w:rPr>
                        <w:rFonts w:ascii="Trebuchet MS"/>
                        <w:w w:val="106"/>
                        <w:sz w:val="18"/>
                      </w:rPr>
                      <w:t>0</w:t>
                    </w:r>
                    <w:r>
                      <w:rPr>
                        <w:rFonts w:ascii="Trebuchet MS"/>
                        <w:spacing w:val="-20"/>
                        <w:sz w:val="18"/>
                      </w:rPr>
                      <w:t> </w:t>
                    </w:r>
                    <w:r>
                      <w:rPr>
                        <w:rFonts w:ascii="Trebuchet MS"/>
                        <w:w w:val="107"/>
                        <w:sz w:val="18"/>
                      </w:rPr>
                      <w:t>mOs</w:t>
                    </w:r>
                    <w:r>
                      <w:rPr>
                        <w:rFonts w:ascii="Trebuchet MS"/>
                        <w:spacing w:val="9"/>
                        <w:w w:val="107"/>
                        <w:sz w:val="18"/>
                      </w:rPr>
                      <w:t>m</w:t>
                    </w:r>
                    <w:r>
                      <w:rPr>
                        <w:rFonts w:ascii="Trebuchet MS"/>
                        <w:spacing w:val="6"/>
                        <w:w w:val="53"/>
                        <w:sz w:val="18"/>
                      </w:rPr>
                      <w:t>/</w:t>
                    </w:r>
                    <w:r>
                      <w:rPr>
                        <w:rFonts w:ascii="Trebuchet MS"/>
                        <w:w w:val="98"/>
                        <w:sz w:val="18"/>
                      </w:rPr>
                      <w:t>L</w:t>
                    </w:r>
                  </w:p>
                  <w:p>
                    <w:pPr>
                      <w:spacing w:line="254" w:lineRule="auto" w:before="41"/>
                      <w:ind w:left="0" w:right="18" w:firstLine="0"/>
                      <w:jc w:val="both"/>
                      <w:rPr>
                        <w:sz w:val="18"/>
                      </w:rPr>
                    </w:pPr>
                    <w:r>
                      <w:rPr>
                        <w:color w:val="231F20"/>
                        <w:w w:val="105"/>
                        <w:sz w:val="18"/>
                      </w:rPr>
                      <w:t>This minimal loss of volume in the urine contributes </w:t>
                    </w:r>
                    <w:r>
                      <w:rPr>
                        <w:color w:val="231F20"/>
                        <w:spacing w:val="-8"/>
                        <w:w w:val="105"/>
                        <w:sz w:val="18"/>
                      </w:rPr>
                      <w:t>to </w:t>
                    </w:r>
                    <w:r>
                      <w:rPr>
                        <w:color w:val="231F20"/>
                        <w:w w:val="105"/>
                        <w:sz w:val="18"/>
                      </w:rPr>
                      <w:t>dehydration, along with water loss from the skin,</w:t>
                    </w:r>
                    <w:r>
                      <w:rPr>
                        <w:color w:val="231F20"/>
                        <w:spacing w:val="-24"/>
                        <w:w w:val="105"/>
                        <w:sz w:val="18"/>
                      </w:rPr>
                      <w:t> </w:t>
                    </w:r>
                    <w:r>
                      <w:rPr>
                        <w:color w:val="231F20"/>
                        <w:w w:val="105"/>
                        <w:sz w:val="18"/>
                      </w:rPr>
                      <w:t>respira­ tory tract, and gastrointestinal tract, when water is </w:t>
                    </w:r>
                    <w:r>
                      <w:rPr>
                        <w:color w:val="231F20"/>
                        <w:spacing w:val="-4"/>
                        <w:w w:val="105"/>
                        <w:sz w:val="18"/>
                      </w:rPr>
                      <w:t>not </w:t>
                    </w:r>
                    <w:r>
                      <w:rPr>
                        <w:color w:val="231F20"/>
                        <w:w w:val="105"/>
                        <w:sz w:val="18"/>
                      </w:rPr>
                      <w:t>available to</w:t>
                    </w:r>
                    <w:r>
                      <w:rPr>
                        <w:color w:val="231F20"/>
                        <w:spacing w:val="5"/>
                        <w:w w:val="105"/>
                        <w:sz w:val="18"/>
                      </w:rPr>
                      <w:t> </w:t>
                    </w:r>
                    <w:r>
                      <w:rPr>
                        <w:color w:val="231F20"/>
                        <w:w w:val="105"/>
                        <w:sz w:val="18"/>
                      </w:rPr>
                      <w:t>drink.</w:t>
                    </w:r>
                  </w:p>
                  <w:p>
                    <w:pPr>
                      <w:spacing w:line="254" w:lineRule="auto" w:before="2"/>
                      <w:ind w:left="0" w:right="18" w:firstLine="239"/>
                      <w:jc w:val="both"/>
                      <w:rPr>
                        <w:sz w:val="18"/>
                      </w:rPr>
                    </w:pPr>
                    <w:r>
                      <w:rPr>
                        <w:color w:val="231F20"/>
                        <w:w w:val="105"/>
                        <w:sz w:val="18"/>
                      </w:rPr>
                      <w:t>The</w:t>
                    </w:r>
                    <w:r>
                      <w:rPr>
                        <w:color w:val="231F20"/>
                        <w:spacing w:val="-7"/>
                        <w:w w:val="105"/>
                        <w:sz w:val="18"/>
                      </w:rPr>
                      <w:t> </w:t>
                    </w:r>
                    <w:r>
                      <w:rPr>
                        <w:color w:val="231F20"/>
                        <w:w w:val="105"/>
                        <w:sz w:val="18"/>
                      </w:rPr>
                      <w:t>limited</w:t>
                    </w:r>
                    <w:r>
                      <w:rPr>
                        <w:color w:val="231F20"/>
                        <w:spacing w:val="-7"/>
                        <w:w w:val="105"/>
                        <w:sz w:val="18"/>
                      </w:rPr>
                      <w:t> </w:t>
                    </w:r>
                    <w:r>
                      <w:rPr>
                        <w:color w:val="231F20"/>
                        <w:w w:val="105"/>
                        <w:sz w:val="18"/>
                      </w:rPr>
                      <w:t>ability</w:t>
                    </w:r>
                    <w:r>
                      <w:rPr>
                        <w:color w:val="231F20"/>
                        <w:spacing w:val="-7"/>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7"/>
                        <w:w w:val="105"/>
                        <w:sz w:val="18"/>
                      </w:rPr>
                      <w:t> </w:t>
                    </w:r>
                    <w:r>
                      <w:rPr>
                        <w:color w:val="231F20"/>
                        <w:w w:val="105"/>
                        <w:sz w:val="18"/>
                      </w:rPr>
                      <w:t>human</w:t>
                    </w:r>
                    <w:r>
                      <w:rPr>
                        <w:color w:val="231F20"/>
                        <w:spacing w:val="-7"/>
                        <w:w w:val="105"/>
                        <w:sz w:val="18"/>
                      </w:rPr>
                      <w:t> </w:t>
                    </w:r>
                    <w:r>
                      <w:rPr>
                        <w:color w:val="231F20"/>
                        <w:w w:val="105"/>
                        <w:sz w:val="18"/>
                      </w:rPr>
                      <w:t>kidney</w:t>
                    </w:r>
                    <w:r>
                      <w:rPr>
                        <w:color w:val="231F20"/>
                        <w:spacing w:val="-6"/>
                        <w:w w:val="105"/>
                        <w:sz w:val="18"/>
                      </w:rPr>
                      <w:t> </w:t>
                    </w:r>
                    <w:r>
                      <w:rPr>
                        <w:color w:val="231F20"/>
                        <w:w w:val="105"/>
                        <w:sz w:val="18"/>
                      </w:rPr>
                      <w:t>to</w:t>
                    </w:r>
                    <w:r>
                      <w:rPr>
                        <w:color w:val="231F20"/>
                        <w:spacing w:val="-7"/>
                        <w:w w:val="105"/>
                        <w:sz w:val="18"/>
                      </w:rPr>
                      <w:t> </w:t>
                    </w:r>
                    <w:r>
                      <w:rPr>
                        <w:color w:val="231F20"/>
                        <w:w w:val="105"/>
                        <w:sz w:val="18"/>
                      </w:rPr>
                      <w:t>concentrate the</w:t>
                    </w:r>
                    <w:r>
                      <w:rPr>
                        <w:color w:val="231F20"/>
                        <w:spacing w:val="-15"/>
                        <w:w w:val="105"/>
                        <w:sz w:val="18"/>
                      </w:rPr>
                      <w:t> </w:t>
                    </w:r>
                    <w:r>
                      <w:rPr>
                        <w:color w:val="231F20"/>
                        <w:w w:val="105"/>
                        <w:sz w:val="18"/>
                      </w:rPr>
                      <w:t>urine</w:t>
                    </w:r>
                    <w:r>
                      <w:rPr>
                        <w:color w:val="231F20"/>
                        <w:spacing w:val="-14"/>
                        <w:w w:val="105"/>
                        <w:sz w:val="18"/>
                      </w:rPr>
                      <w:t> </w:t>
                    </w:r>
                    <w:r>
                      <w:rPr>
                        <w:color w:val="231F20"/>
                        <w:w w:val="105"/>
                        <w:sz w:val="18"/>
                      </w:rPr>
                      <w:t>to</w:t>
                    </w:r>
                    <w:r>
                      <w:rPr>
                        <w:color w:val="231F20"/>
                        <w:spacing w:val="-14"/>
                        <w:w w:val="105"/>
                        <w:sz w:val="18"/>
                      </w:rPr>
                      <w:t> </w:t>
                    </w:r>
                    <w:r>
                      <w:rPr>
                        <w:color w:val="231F20"/>
                        <w:w w:val="105"/>
                        <w:sz w:val="18"/>
                      </w:rPr>
                      <w:t>only</w:t>
                    </w:r>
                    <w:r>
                      <w:rPr>
                        <w:color w:val="231F20"/>
                        <w:spacing w:val="-15"/>
                        <w:w w:val="105"/>
                        <w:sz w:val="18"/>
                      </w:rPr>
                      <w:t> </w:t>
                    </w:r>
                    <w:r>
                      <w:rPr>
                        <w:color w:val="231F20"/>
                        <w:w w:val="105"/>
                        <w:sz w:val="18"/>
                      </w:rPr>
                      <w:t>about</w:t>
                    </w:r>
                    <w:r>
                      <w:rPr>
                        <w:color w:val="231F20"/>
                        <w:spacing w:val="-14"/>
                        <w:w w:val="105"/>
                        <w:sz w:val="18"/>
                      </w:rPr>
                      <w:t> </w:t>
                    </w:r>
                    <w:r>
                      <w:rPr>
                        <w:color w:val="231F20"/>
                        <w:w w:val="105"/>
                        <w:sz w:val="18"/>
                      </w:rPr>
                      <w:t>1200</w:t>
                    </w:r>
                    <w:r>
                      <w:rPr>
                        <w:color w:val="231F20"/>
                        <w:spacing w:val="-9"/>
                        <w:w w:val="105"/>
                        <w:sz w:val="18"/>
                      </w:rPr>
                      <w:t> </w:t>
                    </w:r>
                    <w:r>
                      <w:rPr>
                        <w:color w:val="231F20"/>
                        <w:w w:val="105"/>
                        <w:sz w:val="18"/>
                      </w:rPr>
                      <w:t>mOsm/L</w:t>
                    </w:r>
                    <w:r>
                      <w:rPr>
                        <w:color w:val="231F20"/>
                        <w:spacing w:val="-14"/>
                        <w:w w:val="105"/>
                        <w:sz w:val="18"/>
                      </w:rPr>
                      <w:t> </w:t>
                    </w:r>
                    <w:r>
                      <w:rPr>
                        <w:color w:val="231F20"/>
                        <w:w w:val="105"/>
                        <w:sz w:val="18"/>
                      </w:rPr>
                      <w:t>explains</w:t>
                    </w:r>
                    <w:r>
                      <w:rPr>
                        <w:color w:val="231F20"/>
                        <w:spacing w:val="-14"/>
                        <w:w w:val="105"/>
                        <w:sz w:val="18"/>
                      </w:rPr>
                      <w:t> </w:t>
                    </w:r>
                    <w:r>
                      <w:rPr>
                        <w:color w:val="231F20"/>
                        <w:w w:val="105"/>
                        <w:sz w:val="18"/>
                      </w:rPr>
                      <w:t>why</w:t>
                    </w:r>
                    <w:r>
                      <w:rPr>
                        <w:color w:val="231F20"/>
                        <w:spacing w:val="-15"/>
                        <w:w w:val="105"/>
                        <w:sz w:val="18"/>
                      </w:rPr>
                      <w:t> </w:t>
                    </w:r>
                    <w:r>
                      <w:rPr>
                        <w:color w:val="231F20"/>
                        <w:w w:val="105"/>
                        <w:sz w:val="18"/>
                      </w:rPr>
                      <w:t>severe dehydration occurs if one attempts to drink seawater. Sodium chloride concentration in the oceans averages about</w:t>
                    </w:r>
                    <w:r>
                      <w:rPr>
                        <w:color w:val="231F20"/>
                        <w:spacing w:val="-15"/>
                        <w:w w:val="105"/>
                        <w:sz w:val="18"/>
                      </w:rPr>
                      <w:t> </w:t>
                    </w:r>
                    <w:r>
                      <w:rPr>
                        <w:color w:val="231F20"/>
                        <w:w w:val="105"/>
                        <w:sz w:val="18"/>
                      </w:rPr>
                      <w:t>3.0</w:t>
                    </w:r>
                    <w:r>
                      <w:rPr>
                        <w:color w:val="231F20"/>
                        <w:spacing w:val="-14"/>
                        <w:w w:val="105"/>
                        <w:sz w:val="18"/>
                      </w:rPr>
                      <w:t> </w:t>
                    </w:r>
                    <w:r>
                      <w:rPr>
                        <w:color w:val="231F20"/>
                        <w:w w:val="105"/>
                        <w:sz w:val="18"/>
                      </w:rPr>
                      <w:t>to</w:t>
                    </w:r>
                    <w:r>
                      <w:rPr>
                        <w:color w:val="231F20"/>
                        <w:spacing w:val="-14"/>
                        <w:w w:val="105"/>
                        <w:sz w:val="18"/>
                      </w:rPr>
                      <w:t> </w:t>
                    </w:r>
                    <w:r>
                      <w:rPr>
                        <w:color w:val="231F20"/>
                        <w:w w:val="105"/>
                        <w:sz w:val="18"/>
                      </w:rPr>
                      <w:t>3.5</w:t>
                    </w:r>
                    <w:r>
                      <w:rPr>
                        <w:color w:val="231F20"/>
                        <w:spacing w:val="-14"/>
                        <w:w w:val="105"/>
                        <w:sz w:val="18"/>
                      </w:rPr>
                      <w:t> </w:t>
                    </w:r>
                    <w:r>
                      <w:rPr>
                        <w:color w:val="231F20"/>
                        <w:w w:val="105"/>
                        <w:sz w:val="18"/>
                      </w:rPr>
                      <w:t>percent,</w:t>
                    </w:r>
                    <w:r>
                      <w:rPr>
                        <w:color w:val="231F20"/>
                        <w:spacing w:val="-14"/>
                        <w:w w:val="105"/>
                        <w:sz w:val="18"/>
                      </w:rPr>
                      <w:t> </w:t>
                    </w:r>
                    <w:r>
                      <w:rPr>
                        <w:color w:val="231F20"/>
                        <w:w w:val="105"/>
                        <w:sz w:val="18"/>
                      </w:rPr>
                      <w:t>with</w:t>
                    </w:r>
                    <w:r>
                      <w:rPr>
                        <w:color w:val="231F20"/>
                        <w:spacing w:val="-15"/>
                        <w:w w:val="105"/>
                        <w:sz w:val="18"/>
                      </w:rPr>
                      <w:t> </w:t>
                    </w:r>
                    <w:r>
                      <w:rPr>
                        <w:color w:val="231F20"/>
                        <w:w w:val="105"/>
                        <w:sz w:val="18"/>
                      </w:rPr>
                      <w:t>an</w:t>
                    </w:r>
                    <w:r>
                      <w:rPr>
                        <w:color w:val="231F20"/>
                        <w:spacing w:val="-14"/>
                        <w:w w:val="105"/>
                        <w:sz w:val="18"/>
                      </w:rPr>
                      <w:t> </w:t>
                    </w:r>
                    <w:r>
                      <w:rPr>
                        <w:color w:val="231F20"/>
                        <w:w w:val="105"/>
                        <w:sz w:val="18"/>
                      </w:rPr>
                      <w:t>osmolarity</w:t>
                    </w:r>
                    <w:r>
                      <w:rPr>
                        <w:color w:val="231F20"/>
                        <w:spacing w:val="-14"/>
                        <w:w w:val="105"/>
                        <w:sz w:val="18"/>
                      </w:rPr>
                      <w:t> </w:t>
                    </w:r>
                    <w:r>
                      <w:rPr>
                        <w:color w:val="231F20"/>
                        <w:w w:val="105"/>
                        <w:sz w:val="18"/>
                      </w:rPr>
                      <w:t>between</w:t>
                    </w:r>
                    <w:r>
                      <w:rPr>
                        <w:color w:val="231F20"/>
                        <w:spacing w:val="-14"/>
                        <w:w w:val="105"/>
                        <w:sz w:val="18"/>
                      </w:rPr>
                      <w:t> </w:t>
                    </w:r>
                    <w:r>
                      <w:rPr>
                        <w:color w:val="231F20"/>
                        <w:w w:val="105"/>
                        <w:sz w:val="18"/>
                      </w:rPr>
                      <w:t>about 1000</w:t>
                    </w:r>
                    <w:r>
                      <w:rPr>
                        <w:color w:val="231F20"/>
                        <w:spacing w:val="-10"/>
                        <w:w w:val="105"/>
                        <w:sz w:val="18"/>
                      </w:rPr>
                      <w:t> </w:t>
                    </w:r>
                    <w:r>
                      <w:rPr>
                        <w:color w:val="231F20"/>
                        <w:w w:val="105"/>
                        <w:sz w:val="18"/>
                      </w:rPr>
                      <w:t>and</w:t>
                    </w:r>
                    <w:r>
                      <w:rPr>
                        <w:color w:val="231F20"/>
                        <w:spacing w:val="-10"/>
                        <w:w w:val="105"/>
                        <w:sz w:val="18"/>
                      </w:rPr>
                      <w:t> </w:t>
                    </w:r>
                    <w:r>
                      <w:rPr>
                        <w:color w:val="231F20"/>
                        <w:w w:val="105"/>
                        <w:sz w:val="18"/>
                      </w:rPr>
                      <w:t>1200</w:t>
                    </w:r>
                    <w:r>
                      <w:rPr>
                        <w:color w:val="231F20"/>
                        <w:spacing w:val="-9"/>
                        <w:w w:val="105"/>
                        <w:sz w:val="18"/>
                      </w:rPr>
                      <w:t> </w:t>
                    </w:r>
                    <w:r>
                      <w:rPr>
                        <w:color w:val="231F20"/>
                        <w:w w:val="105"/>
                        <w:sz w:val="18"/>
                      </w:rPr>
                      <w:t>mOsm/L.</w:t>
                    </w:r>
                    <w:r>
                      <w:rPr>
                        <w:color w:val="231F20"/>
                        <w:spacing w:val="-9"/>
                        <w:w w:val="105"/>
                        <w:sz w:val="18"/>
                      </w:rPr>
                      <w:t> </w:t>
                    </w:r>
                    <w:r>
                      <w:rPr>
                        <w:color w:val="231F20"/>
                        <w:w w:val="105"/>
                        <w:sz w:val="18"/>
                      </w:rPr>
                      <w:t>Drinking</w:t>
                    </w:r>
                    <w:r>
                      <w:rPr>
                        <w:color w:val="231F20"/>
                        <w:spacing w:val="-10"/>
                        <w:w w:val="105"/>
                        <w:sz w:val="18"/>
                      </w:rPr>
                      <w:t> </w:t>
                    </w:r>
                    <w:r>
                      <w:rPr>
                        <w:color w:val="231F20"/>
                        <w:w w:val="105"/>
                        <w:sz w:val="18"/>
                      </w:rPr>
                      <w:t>1</w:t>
                    </w:r>
                    <w:r>
                      <w:rPr>
                        <w:color w:val="231F20"/>
                        <w:spacing w:val="-9"/>
                        <w:w w:val="105"/>
                        <w:sz w:val="18"/>
                      </w:rPr>
                      <w:t> </w:t>
                    </w:r>
                    <w:r>
                      <w:rPr>
                        <w:color w:val="231F20"/>
                        <w:w w:val="105"/>
                        <w:sz w:val="18"/>
                      </w:rPr>
                      <w:t>liter</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seawater</w:t>
                    </w:r>
                    <w:r>
                      <w:rPr>
                        <w:color w:val="231F20"/>
                        <w:spacing w:val="-9"/>
                        <w:w w:val="105"/>
                        <w:sz w:val="18"/>
                      </w:rPr>
                      <w:t> </w:t>
                    </w:r>
                    <w:r>
                      <w:rPr>
                        <w:color w:val="231F20"/>
                        <w:spacing w:val="-4"/>
                        <w:w w:val="105"/>
                        <w:sz w:val="18"/>
                      </w:rPr>
                      <w:t>with </w:t>
                    </w:r>
                    <w:r>
                      <w:rPr>
                        <w:color w:val="231F20"/>
                        <w:w w:val="105"/>
                        <w:sz w:val="18"/>
                      </w:rPr>
                      <w:t>a concentration of 1200 mOsm/L would provide a total sodium chloride intake of 1200 milliosmoles. If maximal urine</w:t>
                    </w:r>
                    <w:r>
                      <w:rPr>
                        <w:color w:val="231F20"/>
                        <w:spacing w:val="-20"/>
                        <w:w w:val="105"/>
                        <w:sz w:val="18"/>
                      </w:rPr>
                      <w:t> </w:t>
                    </w:r>
                    <w:r>
                      <w:rPr>
                        <w:color w:val="231F20"/>
                        <w:w w:val="105"/>
                        <w:sz w:val="18"/>
                      </w:rPr>
                      <w:t>concentrating</w:t>
                    </w:r>
                    <w:r>
                      <w:rPr>
                        <w:color w:val="231F20"/>
                        <w:spacing w:val="-19"/>
                        <w:w w:val="105"/>
                        <w:sz w:val="18"/>
                      </w:rPr>
                      <w:t> </w:t>
                    </w:r>
                    <w:r>
                      <w:rPr>
                        <w:color w:val="231F20"/>
                        <w:w w:val="105"/>
                        <w:sz w:val="18"/>
                      </w:rPr>
                      <w:t>ability</w:t>
                    </w:r>
                    <w:r>
                      <w:rPr>
                        <w:color w:val="231F20"/>
                        <w:spacing w:val="-19"/>
                        <w:w w:val="105"/>
                        <w:sz w:val="18"/>
                      </w:rPr>
                      <w:t> </w:t>
                    </w:r>
                    <w:r>
                      <w:rPr>
                        <w:color w:val="231F20"/>
                        <w:w w:val="105"/>
                        <w:sz w:val="18"/>
                      </w:rPr>
                      <w:t>is</w:t>
                    </w:r>
                    <w:r>
                      <w:rPr>
                        <w:color w:val="231F20"/>
                        <w:spacing w:val="-19"/>
                        <w:w w:val="105"/>
                        <w:sz w:val="18"/>
                      </w:rPr>
                      <w:t> </w:t>
                    </w:r>
                    <w:r>
                      <w:rPr>
                        <w:color w:val="231F20"/>
                        <w:w w:val="105"/>
                        <w:sz w:val="18"/>
                      </w:rPr>
                      <w:t>1200</w:t>
                    </w:r>
                    <w:r>
                      <w:rPr>
                        <w:color w:val="231F20"/>
                        <w:spacing w:val="-8"/>
                        <w:w w:val="105"/>
                        <w:sz w:val="18"/>
                      </w:rPr>
                      <w:t> </w:t>
                    </w:r>
                    <w:r>
                      <w:rPr>
                        <w:color w:val="231F20"/>
                        <w:w w:val="105"/>
                        <w:sz w:val="18"/>
                      </w:rPr>
                      <w:t>mOsm/L,</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amount</w:t>
                    </w:r>
                    <w:r>
                      <w:rPr>
                        <w:color w:val="231F20"/>
                        <w:spacing w:val="-19"/>
                        <w:w w:val="105"/>
                        <w:sz w:val="18"/>
                      </w:rPr>
                      <w:t> </w:t>
                    </w:r>
                    <w:r>
                      <w:rPr>
                        <w:color w:val="231F20"/>
                        <w:w w:val="105"/>
                        <w:sz w:val="18"/>
                      </w:rPr>
                      <w:t>of urine volume needed to excrete 1200 milliosmoles</w:t>
                    </w:r>
                    <w:r>
                      <w:rPr>
                        <w:color w:val="231F20"/>
                        <w:spacing w:val="-30"/>
                        <w:w w:val="105"/>
                        <w:sz w:val="18"/>
                      </w:rPr>
                      <w:t> </w:t>
                    </w:r>
                    <w:r>
                      <w:rPr>
                        <w:color w:val="231F20"/>
                        <w:w w:val="105"/>
                        <w:sz w:val="18"/>
                      </w:rPr>
                      <w:t>would be</w:t>
                    </w:r>
                    <w:r>
                      <w:rPr>
                        <w:color w:val="231F20"/>
                        <w:spacing w:val="-26"/>
                        <w:w w:val="105"/>
                        <w:sz w:val="18"/>
                      </w:rPr>
                      <w:t> </w:t>
                    </w:r>
                    <w:r>
                      <w:rPr>
                        <w:color w:val="231F20"/>
                        <w:w w:val="105"/>
                        <w:sz w:val="18"/>
                      </w:rPr>
                      <w:t>1200</w:t>
                    </w:r>
                    <w:r>
                      <w:rPr>
                        <w:color w:val="231F20"/>
                        <w:spacing w:val="-26"/>
                        <w:w w:val="105"/>
                        <w:sz w:val="18"/>
                      </w:rPr>
                      <w:t> </w:t>
                    </w:r>
                    <w:r>
                      <w:rPr>
                        <w:color w:val="231F20"/>
                        <w:w w:val="105"/>
                        <w:sz w:val="18"/>
                      </w:rPr>
                      <w:t>milliosmoles</w:t>
                    </w:r>
                    <w:r>
                      <w:rPr>
                        <w:color w:val="231F20"/>
                        <w:spacing w:val="-25"/>
                        <w:w w:val="105"/>
                        <w:sz w:val="18"/>
                      </w:rPr>
                      <w:t> </w:t>
                    </w:r>
                    <w:r>
                      <w:rPr>
                        <w:color w:val="231F20"/>
                        <w:w w:val="105"/>
                        <w:sz w:val="18"/>
                      </w:rPr>
                      <w:t>divided</w:t>
                    </w:r>
                    <w:r>
                      <w:rPr>
                        <w:color w:val="231F20"/>
                        <w:spacing w:val="-26"/>
                        <w:w w:val="105"/>
                        <w:sz w:val="18"/>
                      </w:rPr>
                      <w:t> </w:t>
                    </w:r>
                    <w:r>
                      <w:rPr>
                        <w:color w:val="231F20"/>
                        <w:w w:val="105"/>
                        <w:sz w:val="18"/>
                      </w:rPr>
                      <w:t>by</w:t>
                    </w:r>
                    <w:r>
                      <w:rPr>
                        <w:color w:val="231F20"/>
                        <w:spacing w:val="-26"/>
                        <w:w w:val="105"/>
                        <w:sz w:val="18"/>
                      </w:rPr>
                      <w:t> </w:t>
                    </w:r>
                    <w:r>
                      <w:rPr>
                        <w:color w:val="231F20"/>
                        <w:w w:val="105"/>
                        <w:sz w:val="18"/>
                      </w:rPr>
                      <w:t>1200</w:t>
                    </w:r>
                    <w:r>
                      <w:rPr>
                        <w:color w:val="231F20"/>
                        <w:spacing w:val="-19"/>
                        <w:w w:val="105"/>
                        <w:sz w:val="18"/>
                      </w:rPr>
                      <w:t> </w:t>
                    </w:r>
                    <w:r>
                      <w:rPr>
                        <w:color w:val="231F20"/>
                        <w:w w:val="105"/>
                        <w:sz w:val="18"/>
                      </w:rPr>
                      <w:t>mOsm/L,</w:t>
                    </w:r>
                    <w:r>
                      <w:rPr>
                        <w:color w:val="231F20"/>
                        <w:spacing w:val="-25"/>
                        <w:w w:val="105"/>
                        <w:sz w:val="18"/>
                      </w:rPr>
                      <w:t> </w:t>
                    </w:r>
                    <w:r>
                      <w:rPr>
                        <w:color w:val="231F20"/>
                        <w:w w:val="105"/>
                        <w:sz w:val="18"/>
                      </w:rPr>
                      <w:t>or</w:t>
                    </w:r>
                    <w:r>
                      <w:rPr>
                        <w:color w:val="231F20"/>
                        <w:spacing w:val="-26"/>
                        <w:w w:val="105"/>
                        <w:sz w:val="18"/>
                      </w:rPr>
                      <w:t> </w:t>
                    </w:r>
                    <w:r>
                      <w:rPr>
                        <w:color w:val="231F20"/>
                        <w:w w:val="105"/>
                        <w:sz w:val="18"/>
                      </w:rPr>
                      <w:t>1.0</w:t>
                    </w:r>
                    <w:r>
                      <w:rPr>
                        <w:color w:val="231F20"/>
                        <w:spacing w:val="-25"/>
                        <w:w w:val="105"/>
                        <w:sz w:val="18"/>
                      </w:rPr>
                      <w:t> </w:t>
                    </w:r>
                    <w:r>
                      <w:rPr>
                        <w:color w:val="231F20"/>
                        <w:spacing w:val="-3"/>
                        <w:w w:val="105"/>
                        <w:sz w:val="18"/>
                      </w:rPr>
                      <w:t>liter.</w:t>
                    </w:r>
                  </w:p>
                </w:txbxContent>
              </v:textbox>
              <w10:wrap type="none"/>
            </v:shape>
            <v:shape style="position:absolute;left:180;top:121;width:4341;height:2101" type="#_x0000_t202" filled="false" stroked="false">
              <v:textbox inset="0,0,0,0">
                <w:txbxContent>
                  <w:p>
                    <w:pPr>
                      <w:spacing w:line="208" w:lineRule="exact" w:before="0"/>
                      <w:ind w:left="0" w:right="0" w:firstLine="0"/>
                      <w:jc w:val="both"/>
                      <w:rPr>
                        <w:rFonts w:ascii="Trebuchet MS"/>
                        <w:b/>
                        <w:sz w:val="18"/>
                      </w:rPr>
                    </w:pPr>
                    <w:r>
                      <w:rPr>
                        <w:rFonts w:ascii="Trebuchet MS"/>
                        <w:b/>
                        <w:color w:val="231F20"/>
                        <w:sz w:val="18"/>
                      </w:rPr>
                      <w:t>Obligatory  Urine</w:t>
                    </w:r>
                    <w:r>
                      <w:rPr>
                        <w:rFonts w:ascii="Trebuchet MS"/>
                        <w:b/>
                        <w:color w:val="231F20"/>
                        <w:spacing w:val="2"/>
                        <w:sz w:val="18"/>
                      </w:rPr>
                      <w:t> </w:t>
                    </w:r>
                    <w:r>
                      <w:rPr>
                        <w:rFonts w:ascii="Trebuchet MS"/>
                        <w:b/>
                        <w:color w:val="231F20"/>
                        <w:sz w:val="18"/>
                      </w:rPr>
                      <w:t>Volume</w:t>
                    </w:r>
                  </w:p>
                  <w:p>
                    <w:pPr>
                      <w:spacing w:line="254" w:lineRule="auto" w:before="92"/>
                      <w:ind w:left="0" w:right="18" w:firstLine="0"/>
                      <w:jc w:val="both"/>
                      <w:rPr>
                        <w:sz w:val="18"/>
                      </w:rPr>
                    </w:pPr>
                    <w:r>
                      <w:rPr>
                        <w:color w:val="231F20"/>
                        <w:w w:val="105"/>
                        <w:sz w:val="18"/>
                      </w:rPr>
                      <w:t>The maximal concentrating ability of the kidney dictates how much urine volume must be excreted each day to</w:t>
                    </w:r>
                    <w:r>
                      <w:rPr>
                        <w:color w:val="231F20"/>
                        <w:spacing w:val="-26"/>
                        <w:w w:val="105"/>
                        <w:sz w:val="18"/>
                      </w:rPr>
                      <w:t> </w:t>
                    </w:r>
                    <w:r>
                      <w:rPr>
                        <w:color w:val="231F20"/>
                        <w:w w:val="105"/>
                        <w:sz w:val="18"/>
                      </w:rPr>
                      <w:t>rid the body of metabolic waste products and ions that are ingested.</w:t>
                    </w:r>
                    <w:r>
                      <w:rPr>
                        <w:color w:val="231F20"/>
                        <w:spacing w:val="-22"/>
                        <w:w w:val="105"/>
                        <w:sz w:val="18"/>
                      </w:rPr>
                      <w:t> </w:t>
                    </w:r>
                    <w:r>
                      <w:rPr>
                        <w:color w:val="231F20"/>
                        <w:w w:val="105"/>
                        <w:sz w:val="18"/>
                      </w:rPr>
                      <w:t>A</w:t>
                    </w:r>
                    <w:r>
                      <w:rPr>
                        <w:color w:val="231F20"/>
                        <w:spacing w:val="-22"/>
                        <w:w w:val="105"/>
                        <w:sz w:val="18"/>
                      </w:rPr>
                      <w:t> </w:t>
                    </w:r>
                    <w:r>
                      <w:rPr>
                        <w:color w:val="231F20"/>
                        <w:w w:val="105"/>
                        <w:sz w:val="18"/>
                      </w:rPr>
                      <w:t>normal</w:t>
                    </w:r>
                    <w:r>
                      <w:rPr>
                        <w:color w:val="231F20"/>
                        <w:spacing w:val="-21"/>
                        <w:w w:val="105"/>
                        <w:sz w:val="18"/>
                      </w:rPr>
                      <w:t> </w:t>
                    </w:r>
                    <w:r>
                      <w:rPr>
                        <w:color w:val="231F20"/>
                        <w:w w:val="105"/>
                        <w:sz w:val="18"/>
                      </w:rPr>
                      <w:t>70­kilogram</w:t>
                    </w:r>
                    <w:r>
                      <w:rPr>
                        <w:color w:val="231F20"/>
                        <w:spacing w:val="-22"/>
                        <w:w w:val="105"/>
                        <w:sz w:val="18"/>
                      </w:rPr>
                      <w:t> </w:t>
                    </w:r>
                    <w:r>
                      <w:rPr>
                        <w:color w:val="231F20"/>
                        <w:w w:val="105"/>
                        <w:sz w:val="18"/>
                      </w:rPr>
                      <w:t>human</w:t>
                    </w:r>
                    <w:r>
                      <w:rPr>
                        <w:color w:val="231F20"/>
                        <w:spacing w:val="-21"/>
                        <w:w w:val="105"/>
                        <w:sz w:val="18"/>
                      </w:rPr>
                      <w:t> </w:t>
                    </w:r>
                    <w:r>
                      <w:rPr>
                        <w:color w:val="231F20"/>
                        <w:w w:val="105"/>
                        <w:sz w:val="18"/>
                      </w:rPr>
                      <w:t>must</w:t>
                    </w:r>
                    <w:r>
                      <w:rPr>
                        <w:color w:val="231F20"/>
                        <w:spacing w:val="-22"/>
                        <w:w w:val="105"/>
                        <w:sz w:val="18"/>
                      </w:rPr>
                      <w:t> </w:t>
                    </w:r>
                    <w:r>
                      <w:rPr>
                        <w:color w:val="231F20"/>
                        <w:w w:val="105"/>
                        <w:sz w:val="18"/>
                      </w:rPr>
                      <w:t>excrete</w:t>
                    </w:r>
                    <w:r>
                      <w:rPr>
                        <w:color w:val="231F20"/>
                        <w:spacing w:val="-22"/>
                        <w:w w:val="105"/>
                        <w:sz w:val="18"/>
                      </w:rPr>
                      <w:t> </w:t>
                    </w:r>
                    <w:r>
                      <w:rPr>
                        <w:color w:val="231F20"/>
                        <w:w w:val="105"/>
                        <w:sz w:val="18"/>
                      </w:rPr>
                      <w:t>about 600</w:t>
                    </w:r>
                    <w:r>
                      <w:rPr>
                        <w:color w:val="231F20"/>
                        <w:spacing w:val="-16"/>
                        <w:w w:val="105"/>
                        <w:sz w:val="18"/>
                      </w:rPr>
                      <w:t> </w:t>
                    </w:r>
                    <w:r>
                      <w:rPr>
                        <w:color w:val="231F20"/>
                        <w:w w:val="105"/>
                        <w:sz w:val="18"/>
                      </w:rPr>
                      <w:t>milliosmoles</w:t>
                    </w:r>
                    <w:r>
                      <w:rPr>
                        <w:color w:val="231F20"/>
                        <w:spacing w:val="-16"/>
                        <w:w w:val="105"/>
                        <w:sz w:val="18"/>
                      </w:rPr>
                      <w:t> </w:t>
                    </w:r>
                    <w:r>
                      <w:rPr>
                        <w:color w:val="231F20"/>
                        <w:w w:val="105"/>
                        <w:sz w:val="18"/>
                      </w:rPr>
                      <w:t>of</w:t>
                    </w:r>
                    <w:r>
                      <w:rPr>
                        <w:color w:val="231F20"/>
                        <w:spacing w:val="-16"/>
                        <w:w w:val="105"/>
                        <w:sz w:val="18"/>
                      </w:rPr>
                      <w:t> </w:t>
                    </w:r>
                    <w:r>
                      <w:rPr>
                        <w:color w:val="231F20"/>
                        <w:w w:val="105"/>
                        <w:sz w:val="18"/>
                      </w:rPr>
                      <w:t>solute</w:t>
                    </w:r>
                    <w:r>
                      <w:rPr>
                        <w:color w:val="231F20"/>
                        <w:spacing w:val="-16"/>
                        <w:w w:val="105"/>
                        <w:sz w:val="18"/>
                      </w:rPr>
                      <w:t> </w:t>
                    </w:r>
                    <w:r>
                      <w:rPr>
                        <w:color w:val="231F20"/>
                        <w:w w:val="105"/>
                        <w:sz w:val="18"/>
                      </w:rPr>
                      <w:t>each</w:t>
                    </w:r>
                    <w:r>
                      <w:rPr>
                        <w:color w:val="231F20"/>
                        <w:spacing w:val="-16"/>
                        <w:w w:val="105"/>
                        <w:sz w:val="18"/>
                      </w:rPr>
                      <w:t> </w:t>
                    </w:r>
                    <w:r>
                      <w:rPr>
                        <w:color w:val="231F20"/>
                        <w:spacing w:val="-4"/>
                        <w:w w:val="105"/>
                        <w:sz w:val="18"/>
                      </w:rPr>
                      <w:t>day.</w:t>
                    </w:r>
                    <w:r>
                      <w:rPr>
                        <w:color w:val="231F20"/>
                        <w:spacing w:val="-16"/>
                        <w:w w:val="105"/>
                        <w:sz w:val="18"/>
                      </w:rPr>
                      <w:t> </w:t>
                    </w:r>
                    <w:r>
                      <w:rPr>
                        <w:color w:val="231F20"/>
                        <w:w w:val="105"/>
                        <w:sz w:val="18"/>
                      </w:rPr>
                      <w:t>If</w:t>
                    </w:r>
                    <w:r>
                      <w:rPr>
                        <w:color w:val="231F20"/>
                        <w:spacing w:val="-16"/>
                        <w:w w:val="105"/>
                        <w:sz w:val="18"/>
                      </w:rPr>
                      <w:t> </w:t>
                    </w:r>
                    <w:r>
                      <w:rPr>
                        <w:color w:val="231F20"/>
                        <w:w w:val="105"/>
                        <w:sz w:val="18"/>
                      </w:rPr>
                      <w:t>maximal</w:t>
                    </w:r>
                    <w:r>
                      <w:rPr>
                        <w:color w:val="231F20"/>
                        <w:spacing w:val="-16"/>
                        <w:w w:val="105"/>
                        <w:sz w:val="18"/>
                      </w:rPr>
                      <w:t> </w:t>
                    </w:r>
                    <w:r>
                      <w:rPr>
                        <w:color w:val="231F20"/>
                        <w:w w:val="105"/>
                        <w:sz w:val="18"/>
                      </w:rPr>
                      <w:t>urine</w:t>
                    </w:r>
                    <w:r>
                      <w:rPr>
                        <w:color w:val="231F20"/>
                        <w:spacing w:val="-15"/>
                        <w:w w:val="105"/>
                        <w:sz w:val="18"/>
                      </w:rPr>
                      <w:t> </w:t>
                    </w:r>
                    <w:r>
                      <w:rPr>
                        <w:color w:val="231F20"/>
                        <w:w w:val="105"/>
                        <w:sz w:val="18"/>
                      </w:rPr>
                      <w:t>con­ centrating</w:t>
                    </w:r>
                    <w:r>
                      <w:rPr>
                        <w:color w:val="231F20"/>
                        <w:spacing w:val="-14"/>
                        <w:w w:val="105"/>
                        <w:sz w:val="18"/>
                      </w:rPr>
                      <w:t> </w:t>
                    </w:r>
                    <w:r>
                      <w:rPr>
                        <w:color w:val="231F20"/>
                        <w:w w:val="105"/>
                        <w:sz w:val="18"/>
                      </w:rPr>
                      <w:t>ability</w:t>
                    </w:r>
                    <w:r>
                      <w:rPr>
                        <w:color w:val="231F20"/>
                        <w:spacing w:val="-13"/>
                        <w:w w:val="105"/>
                        <w:sz w:val="18"/>
                      </w:rPr>
                      <w:t> </w:t>
                    </w:r>
                    <w:r>
                      <w:rPr>
                        <w:color w:val="231F20"/>
                        <w:w w:val="105"/>
                        <w:sz w:val="18"/>
                      </w:rPr>
                      <w:t>is</w:t>
                    </w:r>
                    <w:r>
                      <w:rPr>
                        <w:color w:val="231F20"/>
                        <w:spacing w:val="-13"/>
                        <w:w w:val="105"/>
                        <w:sz w:val="18"/>
                      </w:rPr>
                      <w:t> </w:t>
                    </w:r>
                    <w:r>
                      <w:rPr>
                        <w:color w:val="231F20"/>
                        <w:w w:val="105"/>
                        <w:sz w:val="18"/>
                      </w:rPr>
                      <w:t>1200</w:t>
                    </w:r>
                    <w:r>
                      <w:rPr>
                        <w:color w:val="231F20"/>
                        <w:spacing w:val="-9"/>
                        <w:w w:val="105"/>
                        <w:sz w:val="18"/>
                      </w:rPr>
                      <w:t> </w:t>
                    </w:r>
                    <w:r>
                      <w:rPr>
                        <w:color w:val="231F20"/>
                        <w:w w:val="105"/>
                        <w:sz w:val="18"/>
                      </w:rPr>
                      <w:t>mOsm/L,</w:t>
                    </w:r>
                    <w:r>
                      <w:rPr>
                        <w:color w:val="231F20"/>
                        <w:spacing w:val="-13"/>
                        <w:w w:val="105"/>
                        <w:sz w:val="18"/>
                      </w:rPr>
                      <w:t> </w:t>
                    </w:r>
                    <w:r>
                      <w:rPr>
                        <w:color w:val="231F20"/>
                        <w:w w:val="105"/>
                        <w:sz w:val="18"/>
                      </w:rPr>
                      <w:t>the</w:t>
                    </w:r>
                    <w:r>
                      <w:rPr>
                        <w:color w:val="231F20"/>
                        <w:spacing w:val="-13"/>
                        <w:w w:val="105"/>
                        <w:sz w:val="18"/>
                      </w:rPr>
                      <w:t> </w:t>
                    </w:r>
                    <w:r>
                      <w:rPr>
                        <w:i/>
                        <w:color w:val="231F20"/>
                        <w:w w:val="105"/>
                        <w:sz w:val="18"/>
                      </w:rPr>
                      <w:t>minimal</w:t>
                    </w:r>
                    <w:r>
                      <w:rPr>
                        <w:i/>
                        <w:color w:val="231F20"/>
                        <w:spacing w:val="-13"/>
                        <w:w w:val="105"/>
                        <w:sz w:val="18"/>
                      </w:rPr>
                      <w:t> </w:t>
                    </w:r>
                    <w:r>
                      <w:rPr>
                        <w:color w:val="231F20"/>
                        <w:w w:val="105"/>
                        <w:sz w:val="18"/>
                      </w:rPr>
                      <w:t>volume</w:t>
                    </w:r>
                    <w:r>
                      <w:rPr>
                        <w:color w:val="231F20"/>
                        <w:spacing w:val="-13"/>
                        <w:w w:val="105"/>
                        <w:sz w:val="18"/>
                      </w:rPr>
                      <w:t> </w:t>
                    </w:r>
                    <w:r>
                      <w:rPr>
                        <w:color w:val="231F20"/>
                        <w:w w:val="105"/>
                        <w:sz w:val="18"/>
                      </w:rPr>
                      <w:t>of urine that must be excreted, called the </w:t>
                    </w:r>
                    <w:r>
                      <w:rPr>
                        <w:i/>
                        <w:color w:val="231F20"/>
                        <w:w w:val="105"/>
                        <w:sz w:val="18"/>
                      </w:rPr>
                      <w:t>obligatory urine </w:t>
                    </w:r>
                    <w:r>
                      <w:rPr>
                        <w:i/>
                        <w:color w:val="231F20"/>
                        <w:w w:val="105"/>
                        <w:sz w:val="18"/>
                      </w:rPr>
                      <w:t>volume, </w:t>
                    </w:r>
                    <w:r>
                      <w:rPr>
                        <w:color w:val="231F20"/>
                        <w:w w:val="105"/>
                        <w:sz w:val="18"/>
                      </w:rPr>
                      <w:t>can be calculated</w:t>
                    </w:r>
                    <w:r>
                      <w:rPr>
                        <w:color w:val="231F20"/>
                        <w:spacing w:val="10"/>
                        <w:w w:val="105"/>
                        <w:sz w:val="18"/>
                      </w:rPr>
                      <w:t> </w:t>
                    </w:r>
                    <w:r>
                      <w:rPr>
                        <w:color w:val="231F20"/>
                        <w:w w:val="105"/>
                        <w:sz w:val="18"/>
                      </w:rPr>
                      <w:t>as</w:t>
                    </w:r>
                  </w:p>
                </w:txbxContent>
              </v:textbox>
              <w10:wrap type="none"/>
            </v:shape>
          </v:group>
        </w:pict>
      </w:r>
      <w:r>
        <w:rPr/>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1"/>
        </w:rPr>
      </w:pPr>
    </w:p>
    <w:p>
      <w:pPr>
        <w:pStyle w:val="Heading2"/>
        <w:jc w:val="both"/>
      </w:pPr>
      <w:r>
        <w:rPr/>
        <w:pict>
          <v:rect style="position:absolute;margin-left:576pt;margin-top:-56.636658pt;width:36pt;height:24pt;mso-position-horizontal-relative:page;mso-position-vertical-relative:paragraph;z-index:252369920" filled="true" fillcolor="#e8dac8" stroked="false">
            <v:fill type="solid"/>
            <w10:wrap type="none"/>
          </v:rect>
        </w:pict>
      </w:r>
      <w:r>
        <w:rPr/>
        <w:pict>
          <v:shape style="position:absolute;margin-left:578.900024pt;margin-top:-132.979355pt;width:15.9pt;height:53.35pt;mso-position-horizontal-relative:page;mso-position-vertical-relative:paragraph;z-index:25237094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URINE SPECIFIC GRAVITY</w:t>
      </w:r>
    </w:p>
    <w:p>
      <w:pPr>
        <w:pStyle w:val="BodyText"/>
        <w:spacing w:line="249" w:lineRule="auto" w:before="132"/>
        <w:ind w:left="319" w:right="1077"/>
        <w:jc w:val="both"/>
      </w:pPr>
      <w:r>
        <w:rPr>
          <w:color w:val="231F20"/>
          <w:w w:val="105"/>
        </w:rPr>
        <w:t>Urine</w:t>
      </w:r>
      <w:r>
        <w:rPr>
          <w:color w:val="231F20"/>
          <w:spacing w:val="-7"/>
          <w:w w:val="105"/>
        </w:rPr>
        <w:t> </w:t>
      </w:r>
      <w:r>
        <w:rPr>
          <w:i/>
          <w:color w:val="231F20"/>
          <w:w w:val="105"/>
        </w:rPr>
        <w:t>specific</w:t>
      </w:r>
      <w:r>
        <w:rPr>
          <w:i/>
          <w:color w:val="231F20"/>
          <w:spacing w:val="-7"/>
          <w:w w:val="105"/>
        </w:rPr>
        <w:t> </w:t>
      </w:r>
      <w:r>
        <w:rPr>
          <w:i/>
          <w:color w:val="231F20"/>
          <w:w w:val="105"/>
        </w:rPr>
        <w:t>gravity</w:t>
      </w:r>
      <w:r>
        <w:rPr>
          <w:i/>
          <w:color w:val="231F20"/>
          <w:spacing w:val="-6"/>
          <w:w w:val="105"/>
        </w:rPr>
        <w:t> </w:t>
      </w:r>
      <w:r>
        <w:rPr>
          <w:color w:val="231F20"/>
          <w:w w:val="105"/>
        </w:rPr>
        <w:t>is</w:t>
      </w:r>
      <w:r>
        <w:rPr>
          <w:color w:val="231F20"/>
          <w:spacing w:val="-7"/>
          <w:w w:val="105"/>
        </w:rPr>
        <w:t> </w:t>
      </w:r>
      <w:r>
        <w:rPr>
          <w:color w:val="231F20"/>
          <w:w w:val="105"/>
        </w:rPr>
        <w:t>often</w:t>
      </w:r>
      <w:r>
        <w:rPr>
          <w:color w:val="231F20"/>
          <w:spacing w:val="-6"/>
          <w:w w:val="105"/>
        </w:rPr>
        <w:t> </w:t>
      </w:r>
      <w:r>
        <w:rPr>
          <w:color w:val="231F20"/>
          <w:w w:val="105"/>
        </w:rPr>
        <w:t>used</w:t>
      </w:r>
      <w:r>
        <w:rPr>
          <w:color w:val="231F20"/>
          <w:spacing w:val="-7"/>
          <w:w w:val="105"/>
        </w:rPr>
        <w:t> </w:t>
      </w:r>
      <w:r>
        <w:rPr>
          <w:color w:val="231F20"/>
          <w:w w:val="105"/>
        </w:rPr>
        <w:t>in</w:t>
      </w:r>
      <w:r>
        <w:rPr>
          <w:color w:val="231F20"/>
          <w:spacing w:val="-6"/>
          <w:w w:val="105"/>
        </w:rPr>
        <w:t> </w:t>
      </w:r>
      <w:r>
        <w:rPr>
          <w:color w:val="231F20"/>
          <w:w w:val="105"/>
        </w:rPr>
        <w:t>clinical</w:t>
      </w:r>
      <w:r>
        <w:rPr>
          <w:color w:val="231F20"/>
          <w:spacing w:val="-7"/>
          <w:w w:val="105"/>
        </w:rPr>
        <w:t> </w:t>
      </w:r>
      <w:r>
        <w:rPr>
          <w:color w:val="231F20"/>
          <w:w w:val="105"/>
        </w:rPr>
        <w:t>settings</w:t>
      </w:r>
      <w:r>
        <w:rPr>
          <w:color w:val="231F20"/>
          <w:spacing w:val="-6"/>
          <w:w w:val="105"/>
        </w:rPr>
        <w:t> </w:t>
      </w:r>
      <w:r>
        <w:rPr>
          <w:color w:val="231F20"/>
          <w:w w:val="105"/>
        </w:rPr>
        <w:t>to provide a rapid estimate of urine solute concentration. The more concentrated the urine, the higher the </w:t>
      </w:r>
      <w:r>
        <w:rPr>
          <w:color w:val="231F20"/>
          <w:spacing w:val="-3"/>
          <w:w w:val="105"/>
        </w:rPr>
        <w:t>urine </w:t>
      </w:r>
      <w:r>
        <w:rPr>
          <w:color w:val="231F20"/>
          <w:w w:val="105"/>
        </w:rPr>
        <w:t>specific gravity. In most cases, urine specific gravity increases linearly with increasing urine osmolarity (</w:t>
      </w:r>
      <w:hyperlink w:history="true" w:anchor="_bookmark68">
        <w:r>
          <w:rPr>
            <w:b/>
            <w:color w:val="0080AC"/>
            <w:w w:val="105"/>
          </w:rPr>
          <w:t>Figure 29-3</w:t>
        </w:r>
      </w:hyperlink>
      <w:r>
        <w:rPr>
          <w:color w:val="231F20"/>
          <w:w w:val="105"/>
        </w:rPr>
        <w:t>). Urine specific gravity, however, is </w:t>
      </w:r>
      <w:r>
        <w:rPr>
          <w:color w:val="231F20"/>
          <w:spacing w:val="-11"/>
          <w:w w:val="105"/>
        </w:rPr>
        <w:t>a </w:t>
      </w:r>
      <w:r>
        <w:rPr>
          <w:color w:val="231F20"/>
          <w:w w:val="105"/>
        </w:rPr>
        <w:t>measure of the weight of solutes in a given volume </w:t>
      </w:r>
      <w:r>
        <w:rPr>
          <w:color w:val="231F20"/>
          <w:spacing w:val="-5"/>
          <w:w w:val="105"/>
        </w:rPr>
        <w:t>of </w:t>
      </w:r>
      <w:r>
        <w:rPr>
          <w:color w:val="231F20"/>
          <w:w w:val="105"/>
        </w:rPr>
        <w:t>urine</w:t>
      </w:r>
      <w:r>
        <w:rPr>
          <w:color w:val="231F20"/>
          <w:spacing w:val="-13"/>
          <w:w w:val="105"/>
        </w:rPr>
        <w:t> </w:t>
      </w:r>
      <w:r>
        <w:rPr>
          <w:color w:val="231F20"/>
          <w:w w:val="105"/>
        </w:rPr>
        <w:t>and</w:t>
      </w:r>
      <w:r>
        <w:rPr>
          <w:color w:val="231F20"/>
          <w:spacing w:val="-12"/>
          <w:w w:val="105"/>
        </w:rPr>
        <w:t> </w:t>
      </w:r>
      <w:r>
        <w:rPr>
          <w:color w:val="231F20"/>
          <w:w w:val="105"/>
        </w:rPr>
        <w:t>is</w:t>
      </w:r>
      <w:r>
        <w:rPr>
          <w:color w:val="231F20"/>
          <w:spacing w:val="-12"/>
          <w:w w:val="105"/>
        </w:rPr>
        <w:t> </w:t>
      </w:r>
      <w:r>
        <w:rPr>
          <w:color w:val="231F20"/>
          <w:w w:val="105"/>
        </w:rPr>
        <w:t>therefore</w:t>
      </w:r>
      <w:r>
        <w:rPr>
          <w:color w:val="231F20"/>
          <w:spacing w:val="-12"/>
          <w:w w:val="105"/>
        </w:rPr>
        <w:t> </w:t>
      </w:r>
      <w:r>
        <w:rPr>
          <w:color w:val="231F20"/>
          <w:w w:val="105"/>
        </w:rPr>
        <w:t>determined</w:t>
      </w:r>
      <w:r>
        <w:rPr>
          <w:color w:val="231F20"/>
          <w:spacing w:val="-13"/>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number</w:t>
      </w:r>
      <w:r>
        <w:rPr>
          <w:color w:val="231F20"/>
          <w:spacing w:val="-12"/>
          <w:w w:val="105"/>
        </w:rPr>
        <w:t> </w:t>
      </w:r>
      <w:r>
        <w:rPr>
          <w:color w:val="231F20"/>
          <w:w w:val="105"/>
        </w:rPr>
        <w:t>and</w:t>
      </w:r>
      <w:r>
        <w:rPr>
          <w:color w:val="231F20"/>
          <w:spacing w:val="-13"/>
          <w:w w:val="105"/>
        </w:rPr>
        <w:t> </w:t>
      </w:r>
      <w:r>
        <w:rPr>
          <w:color w:val="231F20"/>
          <w:spacing w:val="-3"/>
          <w:w w:val="105"/>
        </w:rPr>
        <w:t>size </w:t>
      </w:r>
      <w:r>
        <w:rPr>
          <w:color w:val="231F20"/>
          <w:w w:val="105"/>
        </w:rPr>
        <w:t>of the solute molecules. In contrast, osmolarity is </w:t>
      </w:r>
      <w:r>
        <w:rPr>
          <w:color w:val="231F20"/>
          <w:spacing w:val="-4"/>
          <w:w w:val="105"/>
        </w:rPr>
        <w:t>deter­ </w:t>
      </w:r>
      <w:r>
        <w:rPr>
          <w:color w:val="231F20"/>
          <w:w w:val="105"/>
        </w:rPr>
        <w:t>mined</w:t>
      </w:r>
      <w:r>
        <w:rPr>
          <w:color w:val="231F20"/>
          <w:spacing w:val="-11"/>
          <w:w w:val="105"/>
        </w:rPr>
        <w:t> </w:t>
      </w:r>
      <w:r>
        <w:rPr>
          <w:color w:val="231F20"/>
          <w:w w:val="105"/>
        </w:rPr>
        <w:t>only</w:t>
      </w:r>
      <w:r>
        <w:rPr>
          <w:color w:val="231F20"/>
          <w:spacing w:val="-11"/>
          <w:w w:val="105"/>
        </w:rPr>
        <w:t> </w:t>
      </w:r>
      <w:r>
        <w:rPr>
          <w:color w:val="231F20"/>
          <w:w w:val="105"/>
        </w:rPr>
        <w:t>by</w:t>
      </w:r>
      <w:r>
        <w:rPr>
          <w:color w:val="231F20"/>
          <w:spacing w:val="-11"/>
          <w:w w:val="105"/>
        </w:rPr>
        <w:t> </w:t>
      </w:r>
      <w:r>
        <w:rPr>
          <w:color w:val="231F20"/>
          <w:w w:val="105"/>
        </w:rPr>
        <w:t>the</w:t>
      </w:r>
      <w:r>
        <w:rPr>
          <w:color w:val="231F20"/>
          <w:spacing w:val="-11"/>
          <w:w w:val="105"/>
        </w:rPr>
        <w:t> </w:t>
      </w:r>
      <w:r>
        <w:rPr>
          <w:color w:val="231F20"/>
          <w:w w:val="105"/>
        </w:rPr>
        <w:t>number</w:t>
      </w:r>
      <w:r>
        <w:rPr>
          <w:color w:val="231F20"/>
          <w:spacing w:val="-11"/>
          <w:w w:val="105"/>
        </w:rPr>
        <w:t> </w:t>
      </w:r>
      <w:r>
        <w:rPr>
          <w:color w:val="231F20"/>
          <w:w w:val="105"/>
        </w:rPr>
        <w:t>of</w:t>
      </w:r>
      <w:r>
        <w:rPr>
          <w:color w:val="231F20"/>
          <w:spacing w:val="-11"/>
          <w:w w:val="105"/>
        </w:rPr>
        <w:t> </w:t>
      </w:r>
      <w:r>
        <w:rPr>
          <w:color w:val="231F20"/>
          <w:w w:val="105"/>
        </w:rPr>
        <w:t>solute</w:t>
      </w:r>
      <w:r>
        <w:rPr>
          <w:color w:val="231F20"/>
          <w:spacing w:val="-11"/>
          <w:w w:val="105"/>
        </w:rPr>
        <w:t> </w:t>
      </w:r>
      <w:r>
        <w:rPr>
          <w:color w:val="231F20"/>
          <w:w w:val="105"/>
        </w:rPr>
        <w:t>molecules</w:t>
      </w:r>
      <w:r>
        <w:rPr>
          <w:color w:val="231F20"/>
          <w:spacing w:val="-10"/>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given volume.</w:t>
      </w:r>
    </w:p>
    <w:p>
      <w:pPr>
        <w:pStyle w:val="BodyText"/>
        <w:spacing w:line="249" w:lineRule="auto" w:before="9"/>
        <w:ind w:left="319" w:right="1077" w:firstLine="240"/>
        <w:jc w:val="both"/>
      </w:pPr>
      <w:r>
        <w:rPr>
          <w:color w:val="231F20"/>
        </w:rPr>
        <w:t>Urine specific gravity is generally expressed in grams/ ml </w:t>
      </w:r>
      <w:r>
        <w:rPr>
          <w:color w:val="231F20"/>
          <w:spacing w:val="32"/>
        </w:rPr>
        <w:t> </w:t>
      </w:r>
      <w:r>
        <w:rPr>
          <w:color w:val="231F20"/>
        </w:rPr>
        <w:t>and, </w:t>
      </w:r>
      <w:r>
        <w:rPr>
          <w:color w:val="231F20"/>
          <w:spacing w:val="33"/>
        </w:rPr>
        <w:t> </w:t>
      </w:r>
      <w:r>
        <w:rPr>
          <w:color w:val="231F20"/>
        </w:rPr>
        <w:t>in </w:t>
      </w:r>
      <w:r>
        <w:rPr>
          <w:color w:val="231F20"/>
          <w:spacing w:val="33"/>
        </w:rPr>
        <w:t> </w:t>
      </w:r>
      <w:r>
        <w:rPr>
          <w:color w:val="231F20"/>
        </w:rPr>
        <w:t>humans, </w:t>
      </w:r>
      <w:r>
        <w:rPr>
          <w:color w:val="231F20"/>
          <w:spacing w:val="32"/>
        </w:rPr>
        <w:t> </w:t>
      </w:r>
      <w:r>
        <w:rPr>
          <w:color w:val="231F20"/>
        </w:rPr>
        <w:t>normally </w:t>
      </w:r>
      <w:r>
        <w:rPr>
          <w:color w:val="231F20"/>
          <w:spacing w:val="33"/>
        </w:rPr>
        <w:t> </w:t>
      </w:r>
      <w:r>
        <w:rPr>
          <w:color w:val="231F20"/>
        </w:rPr>
        <w:t>ranges </w:t>
      </w:r>
      <w:r>
        <w:rPr>
          <w:color w:val="231F20"/>
          <w:spacing w:val="33"/>
        </w:rPr>
        <w:t> </w:t>
      </w:r>
      <w:r>
        <w:rPr>
          <w:color w:val="231F20"/>
        </w:rPr>
        <w:t>from </w:t>
      </w:r>
      <w:r>
        <w:rPr>
          <w:color w:val="231F20"/>
          <w:spacing w:val="32"/>
        </w:rPr>
        <w:t> </w:t>
      </w:r>
      <w:r>
        <w:rPr>
          <w:color w:val="231F20"/>
        </w:rPr>
        <w:t>1.002 </w:t>
      </w:r>
      <w:r>
        <w:rPr>
          <w:color w:val="231F20"/>
          <w:spacing w:val="33"/>
        </w:rPr>
        <w:t> </w:t>
      </w:r>
      <w:r>
        <w:rPr>
          <w:color w:val="231F20"/>
          <w:spacing w:val="-7"/>
        </w:rPr>
        <w:t>to</w:t>
      </w:r>
    </w:p>
    <w:p>
      <w:pPr>
        <w:pStyle w:val="ListParagraph"/>
        <w:numPr>
          <w:ilvl w:val="1"/>
          <w:numId w:val="19"/>
        </w:numPr>
        <w:tabs>
          <w:tab w:pos="814" w:val="left" w:leader="none"/>
        </w:tabs>
        <w:spacing w:line="249" w:lineRule="auto" w:before="2" w:after="0"/>
        <w:ind w:left="319" w:right="1077" w:firstLine="0"/>
        <w:jc w:val="both"/>
        <w:rPr>
          <w:sz w:val="20"/>
        </w:rPr>
      </w:pPr>
      <w:r>
        <w:rPr>
          <w:color w:val="231F20"/>
          <w:w w:val="105"/>
          <w:sz w:val="20"/>
        </w:rPr>
        <w:t>g/ml,</w:t>
      </w:r>
      <w:r>
        <w:rPr>
          <w:color w:val="231F20"/>
          <w:spacing w:val="-12"/>
          <w:w w:val="105"/>
          <w:sz w:val="20"/>
        </w:rPr>
        <w:t> </w:t>
      </w:r>
      <w:r>
        <w:rPr>
          <w:color w:val="231F20"/>
          <w:w w:val="105"/>
          <w:sz w:val="20"/>
        </w:rPr>
        <w:t>rising</w:t>
      </w:r>
      <w:r>
        <w:rPr>
          <w:color w:val="231F20"/>
          <w:spacing w:val="-11"/>
          <w:w w:val="105"/>
          <w:sz w:val="20"/>
        </w:rPr>
        <w:t> </w:t>
      </w:r>
      <w:r>
        <w:rPr>
          <w:color w:val="231F20"/>
          <w:w w:val="105"/>
          <w:sz w:val="20"/>
        </w:rPr>
        <w:t>by</w:t>
      </w:r>
      <w:r>
        <w:rPr>
          <w:color w:val="231F20"/>
          <w:spacing w:val="-11"/>
          <w:w w:val="105"/>
          <w:sz w:val="20"/>
        </w:rPr>
        <w:t> </w:t>
      </w:r>
      <w:r>
        <w:rPr>
          <w:color w:val="231F20"/>
          <w:w w:val="105"/>
          <w:sz w:val="20"/>
        </w:rPr>
        <w:t>0.001</w:t>
      </w:r>
      <w:r>
        <w:rPr>
          <w:color w:val="231F20"/>
          <w:spacing w:val="-11"/>
          <w:w w:val="105"/>
          <w:sz w:val="20"/>
        </w:rPr>
        <w:t> </w:t>
      </w:r>
      <w:r>
        <w:rPr>
          <w:color w:val="231F20"/>
          <w:w w:val="105"/>
          <w:sz w:val="20"/>
        </w:rPr>
        <w:t>for</w:t>
      </w:r>
      <w:r>
        <w:rPr>
          <w:color w:val="231F20"/>
          <w:spacing w:val="-11"/>
          <w:w w:val="105"/>
          <w:sz w:val="20"/>
        </w:rPr>
        <w:t> </w:t>
      </w:r>
      <w:r>
        <w:rPr>
          <w:color w:val="231F20"/>
          <w:w w:val="105"/>
          <w:sz w:val="20"/>
        </w:rPr>
        <w:t>every</w:t>
      </w:r>
      <w:r>
        <w:rPr>
          <w:color w:val="231F20"/>
          <w:spacing w:val="-11"/>
          <w:w w:val="105"/>
          <w:sz w:val="20"/>
        </w:rPr>
        <w:t> </w:t>
      </w:r>
      <w:r>
        <w:rPr>
          <w:color w:val="231F20"/>
          <w:w w:val="105"/>
          <w:sz w:val="20"/>
        </w:rPr>
        <w:t>35</w:t>
      </w:r>
      <w:r>
        <w:rPr>
          <w:color w:val="231F20"/>
          <w:spacing w:val="-11"/>
          <w:w w:val="105"/>
          <w:sz w:val="20"/>
        </w:rPr>
        <w:t> </w:t>
      </w:r>
      <w:r>
        <w:rPr>
          <w:color w:val="231F20"/>
          <w:w w:val="105"/>
          <w:sz w:val="20"/>
        </w:rPr>
        <w:t>to</w:t>
      </w:r>
      <w:r>
        <w:rPr>
          <w:color w:val="231F20"/>
          <w:spacing w:val="-12"/>
          <w:w w:val="105"/>
          <w:sz w:val="20"/>
        </w:rPr>
        <w:t> </w:t>
      </w:r>
      <w:r>
        <w:rPr>
          <w:color w:val="231F20"/>
          <w:w w:val="105"/>
          <w:sz w:val="20"/>
        </w:rPr>
        <w:t>40</w:t>
      </w:r>
      <w:r>
        <w:rPr>
          <w:color w:val="231F20"/>
          <w:spacing w:val="-11"/>
          <w:w w:val="105"/>
          <w:sz w:val="20"/>
        </w:rPr>
        <w:t> </w:t>
      </w:r>
      <w:r>
        <w:rPr>
          <w:color w:val="231F20"/>
          <w:w w:val="105"/>
          <w:sz w:val="20"/>
        </w:rPr>
        <w:t>mOsmol/L increase in urine osmolarity. This relationship between specific</w:t>
      </w:r>
      <w:r>
        <w:rPr>
          <w:color w:val="231F20"/>
          <w:spacing w:val="-5"/>
          <w:w w:val="105"/>
          <w:sz w:val="20"/>
        </w:rPr>
        <w:t> </w:t>
      </w:r>
      <w:r>
        <w:rPr>
          <w:color w:val="231F20"/>
          <w:w w:val="105"/>
          <w:sz w:val="20"/>
        </w:rPr>
        <w:t>gravity</w:t>
      </w:r>
      <w:r>
        <w:rPr>
          <w:color w:val="231F20"/>
          <w:spacing w:val="-5"/>
          <w:w w:val="105"/>
          <w:sz w:val="20"/>
        </w:rPr>
        <w:t> </w:t>
      </w:r>
      <w:r>
        <w:rPr>
          <w:color w:val="231F20"/>
          <w:w w:val="105"/>
          <w:sz w:val="20"/>
        </w:rPr>
        <w:t>and</w:t>
      </w:r>
      <w:r>
        <w:rPr>
          <w:color w:val="231F20"/>
          <w:spacing w:val="-5"/>
          <w:w w:val="105"/>
          <w:sz w:val="20"/>
        </w:rPr>
        <w:t> </w:t>
      </w:r>
      <w:r>
        <w:rPr>
          <w:color w:val="231F20"/>
          <w:w w:val="105"/>
          <w:sz w:val="20"/>
        </w:rPr>
        <w:t>osmolarity</w:t>
      </w:r>
      <w:r>
        <w:rPr>
          <w:color w:val="231F20"/>
          <w:spacing w:val="-5"/>
          <w:w w:val="105"/>
          <w:sz w:val="20"/>
        </w:rPr>
        <w:t> </w:t>
      </w:r>
      <w:r>
        <w:rPr>
          <w:color w:val="231F20"/>
          <w:w w:val="105"/>
          <w:sz w:val="20"/>
        </w:rPr>
        <w:t>is</w:t>
      </w:r>
      <w:r>
        <w:rPr>
          <w:color w:val="231F20"/>
          <w:spacing w:val="-5"/>
          <w:w w:val="105"/>
          <w:sz w:val="20"/>
        </w:rPr>
        <w:t> </w:t>
      </w:r>
      <w:r>
        <w:rPr>
          <w:color w:val="231F20"/>
          <w:w w:val="105"/>
          <w:sz w:val="20"/>
        </w:rPr>
        <w:t>altered</w:t>
      </w:r>
      <w:r>
        <w:rPr>
          <w:color w:val="231F20"/>
          <w:spacing w:val="-5"/>
          <w:w w:val="105"/>
          <w:sz w:val="20"/>
        </w:rPr>
        <w:t> </w:t>
      </w:r>
      <w:r>
        <w:rPr>
          <w:color w:val="231F20"/>
          <w:w w:val="105"/>
          <w:sz w:val="20"/>
        </w:rPr>
        <w:t>when</w:t>
      </w:r>
      <w:r>
        <w:rPr>
          <w:color w:val="231F20"/>
          <w:spacing w:val="-5"/>
          <w:w w:val="105"/>
          <w:sz w:val="20"/>
        </w:rPr>
        <w:t> </w:t>
      </w:r>
      <w:r>
        <w:rPr>
          <w:color w:val="231F20"/>
          <w:w w:val="105"/>
          <w:sz w:val="20"/>
        </w:rPr>
        <w:t>there</w:t>
      </w:r>
      <w:r>
        <w:rPr>
          <w:color w:val="231F20"/>
          <w:spacing w:val="-5"/>
          <w:w w:val="105"/>
          <w:sz w:val="20"/>
        </w:rPr>
        <w:t> </w:t>
      </w:r>
      <w:r>
        <w:rPr>
          <w:color w:val="231F20"/>
          <w:w w:val="105"/>
          <w:sz w:val="20"/>
        </w:rPr>
        <w:t>are significant</w:t>
      </w:r>
      <w:r>
        <w:rPr>
          <w:color w:val="231F20"/>
          <w:spacing w:val="-10"/>
          <w:w w:val="105"/>
          <w:sz w:val="20"/>
        </w:rPr>
        <w:t> </w:t>
      </w:r>
      <w:r>
        <w:rPr>
          <w:color w:val="231F20"/>
          <w:w w:val="105"/>
          <w:sz w:val="20"/>
        </w:rPr>
        <w:t>amounts</w:t>
      </w:r>
      <w:r>
        <w:rPr>
          <w:color w:val="231F20"/>
          <w:spacing w:val="-10"/>
          <w:w w:val="105"/>
          <w:sz w:val="20"/>
        </w:rPr>
        <w:t> </w:t>
      </w:r>
      <w:r>
        <w:rPr>
          <w:color w:val="231F20"/>
          <w:w w:val="105"/>
          <w:sz w:val="20"/>
        </w:rPr>
        <w:t>of</w:t>
      </w:r>
      <w:r>
        <w:rPr>
          <w:color w:val="231F20"/>
          <w:spacing w:val="-10"/>
          <w:w w:val="105"/>
          <w:sz w:val="20"/>
        </w:rPr>
        <w:t> </w:t>
      </w:r>
      <w:r>
        <w:rPr>
          <w:color w:val="231F20"/>
          <w:w w:val="105"/>
          <w:sz w:val="20"/>
        </w:rPr>
        <w:t>large</w:t>
      </w:r>
      <w:r>
        <w:rPr>
          <w:color w:val="231F20"/>
          <w:spacing w:val="-10"/>
          <w:w w:val="105"/>
          <w:sz w:val="20"/>
        </w:rPr>
        <w:t> </w:t>
      </w:r>
      <w:r>
        <w:rPr>
          <w:color w:val="231F20"/>
          <w:w w:val="105"/>
          <w:sz w:val="20"/>
        </w:rPr>
        <w:t>molecules</w:t>
      </w:r>
      <w:r>
        <w:rPr>
          <w:color w:val="231F20"/>
          <w:spacing w:val="-10"/>
          <w:w w:val="105"/>
          <w:sz w:val="20"/>
        </w:rPr>
        <w:t> </w:t>
      </w:r>
      <w:r>
        <w:rPr>
          <w:color w:val="231F20"/>
          <w:w w:val="105"/>
          <w:sz w:val="20"/>
        </w:rPr>
        <w:t>in</w:t>
      </w:r>
      <w:r>
        <w:rPr>
          <w:color w:val="231F20"/>
          <w:spacing w:val="-9"/>
          <w:w w:val="105"/>
          <w:sz w:val="20"/>
        </w:rPr>
        <w:t> </w:t>
      </w:r>
      <w:r>
        <w:rPr>
          <w:color w:val="231F20"/>
          <w:w w:val="105"/>
          <w:sz w:val="20"/>
        </w:rPr>
        <w:t>the</w:t>
      </w:r>
      <w:r>
        <w:rPr>
          <w:color w:val="231F20"/>
          <w:spacing w:val="-10"/>
          <w:w w:val="105"/>
          <w:sz w:val="20"/>
        </w:rPr>
        <w:t> </w:t>
      </w:r>
      <w:r>
        <w:rPr>
          <w:color w:val="231F20"/>
          <w:w w:val="105"/>
          <w:sz w:val="20"/>
        </w:rPr>
        <w:t>urine,</w:t>
      </w:r>
      <w:r>
        <w:rPr>
          <w:color w:val="231F20"/>
          <w:spacing w:val="-10"/>
          <w:w w:val="105"/>
          <w:sz w:val="20"/>
        </w:rPr>
        <w:t> </w:t>
      </w:r>
      <w:r>
        <w:rPr>
          <w:color w:val="231F20"/>
          <w:w w:val="105"/>
          <w:sz w:val="20"/>
        </w:rPr>
        <w:t>such as </w:t>
      </w:r>
      <w:r>
        <w:rPr>
          <w:color w:val="231F20"/>
          <w:spacing w:val="11"/>
          <w:w w:val="105"/>
          <w:sz w:val="20"/>
        </w:rPr>
        <w:t> </w:t>
      </w:r>
      <w:r>
        <w:rPr>
          <w:color w:val="231F20"/>
          <w:w w:val="105"/>
          <w:sz w:val="20"/>
        </w:rPr>
        <w:t>glucose, </w:t>
      </w:r>
      <w:r>
        <w:rPr>
          <w:color w:val="231F20"/>
          <w:spacing w:val="12"/>
          <w:w w:val="105"/>
          <w:sz w:val="20"/>
        </w:rPr>
        <w:t> </w:t>
      </w:r>
      <w:r>
        <w:rPr>
          <w:color w:val="231F20"/>
          <w:w w:val="105"/>
          <w:sz w:val="20"/>
        </w:rPr>
        <w:t>radiocontrast </w:t>
      </w:r>
      <w:r>
        <w:rPr>
          <w:color w:val="231F20"/>
          <w:spacing w:val="12"/>
          <w:w w:val="105"/>
          <w:sz w:val="20"/>
        </w:rPr>
        <w:t> </w:t>
      </w:r>
      <w:r>
        <w:rPr>
          <w:color w:val="231F20"/>
          <w:w w:val="105"/>
          <w:sz w:val="20"/>
        </w:rPr>
        <w:t>media </w:t>
      </w:r>
      <w:r>
        <w:rPr>
          <w:color w:val="231F20"/>
          <w:spacing w:val="11"/>
          <w:w w:val="105"/>
          <w:sz w:val="20"/>
        </w:rPr>
        <w:t> </w:t>
      </w:r>
      <w:r>
        <w:rPr>
          <w:color w:val="231F20"/>
          <w:w w:val="105"/>
          <w:sz w:val="20"/>
        </w:rPr>
        <w:t>used </w:t>
      </w:r>
      <w:r>
        <w:rPr>
          <w:color w:val="231F20"/>
          <w:spacing w:val="12"/>
          <w:w w:val="105"/>
          <w:sz w:val="20"/>
        </w:rPr>
        <w:t> </w:t>
      </w:r>
      <w:r>
        <w:rPr>
          <w:color w:val="231F20"/>
          <w:w w:val="105"/>
          <w:sz w:val="20"/>
        </w:rPr>
        <w:t>for </w:t>
      </w:r>
      <w:r>
        <w:rPr>
          <w:color w:val="231F20"/>
          <w:spacing w:val="12"/>
          <w:w w:val="105"/>
          <w:sz w:val="20"/>
        </w:rPr>
        <w:t> </w:t>
      </w:r>
      <w:r>
        <w:rPr>
          <w:color w:val="231F20"/>
          <w:w w:val="105"/>
          <w:sz w:val="20"/>
        </w:rPr>
        <w:t>diagnostic</w:t>
      </w:r>
    </w:p>
    <w:p>
      <w:pPr>
        <w:pStyle w:val="BodyText"/>
      </w:pPr>
    </w:p>
    <w:p>
      <w:pPr>
        <w:pStyle w:val="BodyText"/>
        <w:spacing w:before="3"/>
        <w:rPr>
          <w:sz w:val="11"/>
        </w:rPr>
      </w:pPr>
      <w:r>
        <w:rPr/>
        <w:drawing>
          <wp:anchor distT="0" distB="0" distL="0" distR="0" allowOverlap="1" layoutInCell="1" locked="0" behindDoc="0" simplePos="0" relativeHeight="690">
            <wp:simplePos x="0" y="0"/>
            <wp:positionH relativeFrom="page">
              <wp:posOffset>4202501</wp:posOffset>
            </wp:positionH>
            <wp:positionV relativeFrom="paragraph">
              <wp:posOffset>107048</wp:posOffset>
            </wp:positionV>
            <wp:extent cx="2621358" cy="2461164"/>
            <wp:effectExtent l="0" t="0" r="0" b="0"/>
            <wp:wrapTopAndBottom/>
            <wp:docPr id="9" name="image621.png" descr="Image of Figure 29-3."/>
            <wp:cNvGraphicFramePr>
              <a:graphicFrameLocks noChangeAspect="1"/>
            </wp:cNvGraphicFramePr>
            <a:graphic>
              <a:graphicData uri="http://schemas.openxmlformats.org/drawingml/2006/picture">
                <pic:pic>
                  <pic:nvPicPr>
                    <pic:cNvPr id="10" name="image621.png"/>
                    <pic:cNvPicPr/>
                  </pic:nvPicPr>
                  <pic:blipFill>
                    <a:blip r:embed="rId753" cstate="print"/>
                    <a:stretch>
                      <a:fillRect/>
                    </a:stretch>
                  </pic:blipFill>
                  <pic:spPr>
                    <a:xfrm>
                      <a:off x="0" y="0"/>
                      <a:ext cx="2621358" cy="2461164"/>
                    </a:xfrm>
                    <a:prstGeom prst="rect">
                      <a:avLst/>
                    </a:prstGeom>
                  </pic:spPr>
                </pic:pic>
              </a:graphicData>
            </a:graphic>
          </wp:anchor>
        </w:drawing>
      </w:r>
    </w:p>
    <w:p>
      <w:pPr>
        <w:pStyle w:val="BodyText"/>
        <w:spacing w:before="3"/>
        <w:rPr>
          <w:sz w:val="29"/>
        </w:rPr>
      </w:pPr>
    </w:p>
    <w:p>
      <w:pPr>
        <w:spacing w:line="259" w:lineRule="auto" w:before="1"/>
        <w:ind w:left="319" w:right="1078" w:firstLine="0"/>
        <w:jc w:val="both"/>
        <w:rPr>
          <w:rFonts w:ascii="Arial"/>
          <w:sz w:val="16"/>
        </w:rPr>
      </w:pPr>
      <w:bookmarkStart w:name="_bookmark68" w:id="69"/>
      <w:bookmarkEnd w:id="69"/>
      <w:r>
        <w:rPr/>
      </w:r>
      <w:r>
        <w:rPr>
          <w:rFonts w:ascii="Trebuchet MS"/>
          <w:b/>
          <w:color w:val="231F20"/>
          <w:sz w:val="16"/>
        </w:rPr>
        <w:t>Figure</w:t>
      </w:r>
      <w:r>
        <w:rPr>
          <w:rFonts w:ascii="Trebuchet MS"/>
          <w:b/>
          <w:color w:val="231F20"/>
          <w:spacing w:val="-27"/>
          <w:sz w:val="16"/>
        </w:rPr>
        <w:t> </w:t>
      </w:r>
      <w:r>
        <w:rPr>
          <w:rFonts w:ascii="Trebuchet MS"/>
          <w:b/>
          <w:color w:val="231F20"/>
          <w:sz w:val="16"/>
        </w:rPr>
        <w:t>29-3.</w:t>
      </w:r>
      <w:r>
        <w:rPr>
          <w:rFonts w:ascii="Trebuchet MS"/>
          <w:b/>
          <w:color w:val="231F20"/>
          <w:spacing w:val="-7"/>
          <w:sz w:val="16"/>
        </w:rPr>
        <w:t> </w:t>
      </w:r>
      <w:r>
        <w:rPr>
          <w:rFonts w:ascii="Arial"/>
          <w:color w:val="231F20"/>
          <w:sz w:val="16"/>
        </w:rPr>
        <w:t>Relationship</w:t>
      </w:r>
      <w:r>
        <w:rPr>
          <w:rFonts w:ascii="Arial"/>
          <w:color w:val="231F20"/>
          <w:spacing w:val="-23"/>
          <w:sz w:val="16"/>
        </w:rPr>
        <w:t> </w:t>
      </w:r>
      <w:r>
        <w:rPr>
          <w:rFonts w:ascii="Arial"/>
          <w:color w:val="231F20"/>
          <w:sz w:val="16"/>
        </w:rPr>
        <w:t>between</w:t>
      </w:r>
      <w:r>
        <w:rPr>
          <w:rFonts w:ascii="Arial"/>
          <w:color w:val="231F20"/>
          <w:spacing w:val="-22"/>
          <w:sz w:val="16"/>
        </w:rPr>
        <w:t> </w:t>
      </w:r>
      <w:r>
        <w:rPr>
          <w:rFonts w:ascii="Arial"/>
          <w:color w:val="231F20"/>
          <w:sz w:val="16"/>
        </w:rPr>
        <w:t>specific</w:t>
      </w:r>
      <w:r>
        <w:rPr>
          <w:rFonts w:ascii="Arial"/>
          <w:color w:val="231F20"/>
          <w:spacing w:val="-23"/>
          <w:sz w:val="16"/>
        </w:rPr>
        <w:t> </w:t>
      </w:r>
      <w:r>
        <w:rPr>
          <w:rFonts w:ascii="Arial"/>
          <w:color w:val="231F20"/>
          <w:sz w:val="16"/>
        </w:rPr>
        <w:t>gravity</w:t>
      </w:r>
      <w:r>
        <w:rPr>
          <w:rFonts w:ascii="Arial"/>
          <w:color w:val="231F20"/>
          <w:spacing w:val="-23"/>
          <w:sz w:val="16"/>
        </w:rPr>
        <w:t> </w:t>
      </w:r>
      <w:r>
        <w:rPr>
          <w:rFonts w:ascii="Arial"/>
          <w:color w:val="231F20"/>
          <w:sz w:val="16"/>
        </w:rPr>
        <w:t>and</w:t>
      </w:r>
      <w:r>
        <w:rPr>
          <w:rFonts w:ascii="Arial"/>
          <w:color w:val="231F20"/>
          <w:spacing w:val="-23"/>
          <w:sz w:val="16"/>
        </w:rPr>
        <w:t> </w:t>
      </w:r>
      <w:r>
        <w:rPr>
          <w:rFonts w:ascii="Arial"/>
          <w:color w:val="231F20"/>
          <w:sz w:val="16"/>
        </w:rPr>
        <w:t>osmolarity</w:t>
      </w:r>
      <w:r>
        <w:rPr>
          <w:rFonts w:ascii="Arial"/>
          <w:color w:val="231F20"/>
          <w:spacing w:val="-23"/>
          <w:sz w:val="16"/>
        </w:rPr>
        <w:t> </w:t>
      </w:r>
      <w:r>
        <w:rPr>
          <w:rFonts w:ascii="Arial"/>
          <w:color w:val="231F20"/>
          <w:spacing w:val="-8"/>
          <w:sz w:val="16"/>
        </w:rPr>
        <w:t>of </w:t>
      </w:r>
      <w:r>
        <w:rPr>
          <w:rFonts w:ascii="Arial"/>
          <w:color w:val="231F20"/>
          <w:sz w:val="16"/>
        </w:rPr>
        <w:t>the</w:t>
      </w:r>
      <w:r>
        <w:rPr>
          <w:rFonts w:ascii="Arial"/>
          <w:color w:val="231F20"/>
          <w:spacing w:val="7"/>
          <w:sz w:val="16"/>
        </w:rPr>
        <w:t> </w:t>
      </w:r>
      <w:r>
        <w:rPr>
          <w:rFonts w:ascii="Arial"/>
          <w:color w:val="231F20"/>
          <w:sz w:val="16"/>
        </w:rPr>
        <w:t>urine.</w:t>
      </w:r>
    </w:p>
    <w:p>
      <w:pPr>
        <w:spacing w:after="0" w:line="259" w:lineRule="auto"/>
        <w:jc w:val="both"/>
        <w:rPr>
          <w:rFonts w:ascii="Arial"/>
          <w:sz w:val="16"/>
        </w:rPr>
        <w:sectPr>
          <w:type w:val="continuous"/>
          <w:pgSz w:w="12240" w:h="15660"/>
          <w:pgMar w:top="0" w:bottom="760" w:left="0" w:right="0"/>
          <w:cols w:num="2" w:equalWidth="0">
            <w:col w:w="6121" w:space="40"/>
            <w:col w:w="6079"/>
          </w:cols>
        </w:sectPr>
      </w:pPr>
    </w:p>
    <w:p>
      <w:pPr>
        <w:pStyle w:val="BodyText"/>
        <w:spacing w:before="2"/>
        <w:rPr>
          <w:rFonts w:ascii="Arial"/>
          <w:sz w:val="19"/>
        </w:rPr>
      </w:pPr>
    </w:p>
    <w:p>
      <w:pPr>
        <w:spacing w:after="0"/>
        <w:rPr>
          <w:rFonts w:ascii="Arial"/>
          <w:sz w:val="19"/>
        </w:rPr>
        <w:sectPr>
          <w:headerReference w:type="even" r:id="rId754"/>
          <w:footerReference w:type="even" r:id="rId755"/>
          <w:footerReference w:type="default" r:id="rId756"/>
          <w:pgSz w:w="12240" w:h="15660"/>
          <w:pgMar w:header="0" w:footer="567" w:top="720" w:bottom="760" w:left="0" w:right="0"/>
          <w:pgNumType w:start="374"/>
        </w:sectPr>
      </w:pPr>
    </w:p>
    <w:p>
      <w:pPr>
        <w:pStyle w:val="BodyText"/>
        <w:spacing w:line="249" w:lineRule="auto" w:before="99"/>
        <w:ind w:left="1080"/>
        <w:jc w:val="both"/>
      </w:pPr>
      <w:r>
        <w:rPr>
          <w:color w:val="231F20"/>
        </w:rPr>
        <w:t>purposes, or some antibiotics. In these cases, urine spe­ cific gravity measurements may falsely suggest a highly concentrated urine despite a normal urine osmolality.</w:t>
      </w:r>
    </w:p>
    <w:p>
      <w:pPr>
        <w:pStyle w:val="BodyText"/>
        <w:spacing w:line="249" w:lineRule="auto" w:before="3"/>
        <w:ind w:left="1080" w:firstLine="240"/>
        <w:jc w:val="both"/>
      </w:pPr>
      <w:r>
        <w:rPr>
          <w:color w:val="231F20"/>
          <w:w w:val="105"/>
        </w:rPr>
        <w:t>Dipsticks</w:t>
      </w:r>
      <w:r>
        <w:rPr>
          <w:color w:val="231F20"/>
          <w:spacing w:val="-29"/>
          <w:w w:val="105"/>
        </w:rPr>
        <w:t> </w:t>
      </w:r>
      <w:r>
        <w:rPr>
          <w:color w:val="231F20"/>
          <w:w w:val="105"/>
        </w:rPr>
        <w:t>are</w:t>
      </w:r>
      <w:r>
        <w:rPr>
          <w:color w:val="231F20"/>
          <w:spacing w:val="-29"/>
          <w:w w:val="105"/>
        </w:rPr>
        <w:t> </w:t>
      </w:r>
      <w:r>
        <w:rPr>
          <w:color w:val="231F20"/>
          <w:w w:val="105"/>
        </w:rPr>
        <w:t>available</w:t>
      </w:r>
      <w:r>
        <w:rPr>
          <w:color w:val="231F20"/>
          <w:spacing w:val="-29"/>
          <w:w w:val="105"/>
        </w:rPr>
        <w:t> </w:t>
      </w:r>
      <w:r>
        <w:rPr>
          <w:color w:val="231F20"/>
          <w:w w:val="105"/>
        </w:rPr>
        <w:t>that</w:t>
      </w:r>
      <w:r>
        <w:rPr>
          <w:color w:val="231F20"/>
          <w:spacing w:val="-30"/>
          <w:w w:val="105"/>
        </w:rPr>
        <w:t> </w:t>
      </w:r>
      <w:r>
        <w:rPr>
          <w:color w:val="231F20"/>
          <w:w w:val="105"/>
        </w:rPr>
        <w:t>measure</w:t>
      </w:r>
      <w:r>
        <w:rPr>
          <w:color w:val="231F20"/>
          <w:spacing w:val="-29"/>
          <w:w w:val="105"/>
        </w:rPr>
        <w:t> </w:t>
      </w:r>
      <w:r>
        <w:rPr>
          <w:color w:val="231F20"/>
          <w:w w:val="105"/>
        </w:rPr>
        <w:t>approximate</w:t>
      </w:r>
      <w:r>
        <w:rPr>
          <w:color w:val="231F20"/>
          <w:spacing w:val="-29"/>
          <w:w w:val="105"/>
        </w:rPr>
        <w:t> </w:t>
      </w:r>
      <w:r>
        <w:rPr>
          <w:color w:val="231F20"/>
          <w:spacing w:val="-3"/>
          <w:w w:val="105"/>
        </w:rPr>
        <w:t>urine </w:t>
      </w:r>
      <w:r>
        <w:rPr>
          <w:color w:val="231F20"/>
          <w:w w:val="105"/>
        </w:rPr>
        <w:t>specific gravity, but most laboratories measure specific gravity with a</w:t>
      </w:r>
      <w:r>
        <w:rPr>
          <w:color w:val="231F20"/>
          <w:spacing w:val="5"/>
          <w:w w:val="105"/>
        </w:rPr>
        <w:t> </w:t>
      </w:r>
      <w:r>
        <w:rPr>
          <w:color w:val="231F20"/>
          <w:w w:val="105"/>
        </w:rPr>
        <w:t>refractometer.</w:t>
      </w:r>
    </w:p>
    <w:p>
      <w:pPr>
        <w:pStyle w:val="BodyText"/>
        <w:spacing w:before="10"/>
        <w:rPr>
          <w:sz w:val="30"/>
        </w:rPr>
      </w:pPr>
    </w:p>
    <w:p>
      <w:pPr>
        <w:pStyle w:val="Heading2"/>
        <w:spacing w:line="225" w:lineRule="auto"/>
        <w:ind w:left="1080" w:right="1288"/>
      </w:pPr>
      <w:r>
        <w:rPr>
          <w:color w:val="231F20"/>
          <w:w w:val="105"/>
        </w:rPr>
        <w:t>REQUIREMENTS FOR</w:t>
      </w:r>
      <w:r>
        <w:rPr>
          <w:color w:val="231F20"/>
          <w:spacing w:val="-54"/>
          <w:w w:val="105"/>
        </w:rPr>
        <w:t> </w:t>
      </w:r>
      <w:r>
        <w:rPr>
          <w:color w:val="231F20"/>
          <w:w w:val="105"/>
        </w:rPr>
        <w:t>EXCRETING A CONCENTRATED URINE—HIGH</w:t>
      </w:r>
    </w:p>
    <w:p>
      <w:pPr>
        <w:spacing w:line="225" w:lineRule="auto" w:before="0"/>
        <w:ind w:left="1080" w:right="800" w:firstLine="0"/>
        <w:jc w:val="left"/>
        <w:rPr>
          <w:rFonts w:ascii="Trebuchet MS"/>
          <w:b/>
          <w:sz w:val="22"/>
        </w:rPr>
      </w:pPr>
      <w:r>
        <w:rPr/>
        <w:pict>
          <v:rect style="position:absolute;margin-left:0pt;margin-top:26.356907pt;width:36pt;height:24pt;mso-position-horizontal-relative:page;mso-position-vertical-relative:paragraph;z-index:252374016" filled="true" fillcolor="#e8dac8" stroked="false">
            <v:fill type="solid"/>
            <w10:wrap type="none"/>
          </v:rect>
        </w:pict>
      </w:r>
      <w:r>
        <w:rPr>
          <w:rFonts w:ascii="Trebuchet MS"/>
          <w:b/>
          <w:color w:val="231F20"/>
          <w:w w:val="105"/>
          <w:sz w:val="22"/>
        </w:rPr>
        <w:t>ADH LEVELS AND HYPEROSMOTIC RENAL MEDULLA</w:t>
      </w:r>
    </w:p>
    <w:p>
      <w:pPr>
        <w:pStyle w:val="BodyText"/>
        <w:spacing w:line="249" w:lineRule="auto" w:before="127"/>
        <w:ind w:left="1080"/>
        <w:jc w:val="both"/>
      </w:pPr>
      <w:r>
        <w:rPr>
          <w:color w:val="231F20"/>
        </w:rPr>
        <w:t>The basic requirements for forming a concentrated urine are (1) a </w:t>
      </w:r>
      <w:r>
        <w:rPr>
          <w:i/>
          <w:color w:val="231F20"/>
        </w:rPr>
        <w:t>high level of ADH, </w:t>
      </w:r>
      <w:r>
        <w:rPr>
          <w:color w:val="231F20"/>
        </w:rPr>
        <w:t>which increases the </w:t>
      </w:r>
      <w:r>
        <w:rPr>
          <w:color w:val="231F20"/>
          <w:spacing w:val="-3"/>
        </w:rPr>
        <w:t>perme­ </w:t>
      </w:r>
      <w:r>
        <w:rPr>
          <w:color w:val="231F20"/>
        </w:rPr>
        <w:t>ability of the distal tubules and collecting ducts to </w:t>
      </w:r>
      <w:r>
        <w:rPr>
          <w:color w:val="231F20"/>
          <w:spacing w:val="-3"/>
        </w:rPr>
        <w:t>water, </w:t>
      </w:r>
      <w:r>
        <w:rPr>
          <w:color w:val="231F20"/>
        </w:rPr>
        <w:t>thereby allowing these tubular segments to avidly reab­ sorb </w:t>
      </w:r>
      <w:r>
        <w:rPr>
          <w:color w:val="231F20"/>
          <w:spacing w:val="-3"/>
        </w:rPr>
        <w:t>water, </w:t>
      </w:r>
      <w:r>
        <w:rPr>
          <w:color w:val="231F20"/>
        </w:rPr>
        <w:t>and (2) </w:t>
      </w:r>
      <w:r>
        <w:rPr>
          <w:i/>
          <w:color w:val="231F20"/>
        </w:rPr>
        <w:t>a high osmolarity of the renal medul- </w:t>
      </w:r>
      <w:r>
        <w:rPr>
          <w:i/>
          <w:color w:val="231F20"/>
        </w:rPr>
        <w:t>lary interstitial fluid, </w:t>
      </w:r>
      <w:r>
        <w:rPr>
          <w:color w:val="231F20"/>
        </w:rPr>
        <w:t>which provides the osmotic gradient necessary for water reabsorption to occur in the presence of high levels of</w:t>
      </w:r>
      <w:r>
        <w:rPr>
          <w:color w:val="231F20"/>
          <w:spacing w:val="22"/>
        </w:rPr>
        <w:t> </w:t>
      </w:r>
      <w:r>
        <w:rPr>
          <w:color w:val="231F20"/>
        </w:rPr>
        <w:t>ADH.</w:t>
      </w:r>
    </w:p>
    <w:p>
      <w:pPr>
        <w:pStyle w:val="BodyText"/>
        <w:spacing w:line="249" w:lineRule="auto" w:before="7"/>
        <w:ind w:left="1080" w:firstLine="240"/>
        <w:jc w:val="both"/>
        <w:rPr>
          <w:i/>
        </w:rPr>
      </w:pPr>
      <w:r>
        <w:rPr>
          <w:color w:val="231F20"/>
          <w:w w:val="105"/>
        </w:rPr>
        <w:t>The renal medullary interstitium surrounding the</w:t>
      </w:r>
      <w:r>
        <w:rPr>
          <w:color w:val="231F20"/>
          <w:spacing w:val="-36"/>
          <w:w w:val="105"/>
        </w:rPr>
        <w:t> </w:t>
      </w:r>
      <w:r>
        <w:rPr>
          <w:color w:val="231F20"/>
          <w:spacing w:val="-5"/>
          <w:w w:val="105"/>
        </w:rPr>
        <w:t>col­ </w:t>
      </w:r>
      <w:r>
        <w:rPr>
          <w:color w:val="231F20"/>
          <w:w w:val="105"/>
        </w:rPr>
        <w:t>lecting ducts is normally hyperosmotic, so when </w:t>
      </w:r>
      <w:r>
        <w:rPr>
          <w:color w:val="231F20"/>
          <w:spacing w:val="-5"/>
          <w:w w:val="105"/>
        </w:rPr>
        <w:t>ADH </w:t>
      </w:r>
      <w:r>
        <w:rPr>
          <w:color w:val="231F20"/>
          <w:w w:val="105"/>
        </w:rPr>
        <w:t>levels are high, water moves through the tubular mem­ brane by osmosis into the renal interstitium; from </w:t>
      </w:r>
      <w:r>
        <w:rPr>
          <w:color w:val="231F20"/>
          <w:spacing w:val="-4"/>
          <w:w w:val="105"/>
        </w:rPr>
        <w:t>there </w:t>
      </w:r>
      <w:r>
        <w:rPr>
          <w:color w:val="231F20"/>
          <w:w w:val="105"/>
        </w:rPr>
        <w:t>it is carried away by the vasa recta back into the blood. Thus, the urine­concentrating ability is limited by </w:t>
      </w:r>
      <w:r>
        <w:rPr>
          <w:color w:val="231F20"/>
          <w:spacing w:val="-5"/>
          <w:w w:val="105"/>
        </w:rPr>
        <w:t>the </w:t>
      </w:r>
      <w:r>
        <w:rPr>
          <w:color w:val="231F20"/>
          <w:w w:val="105"/>
        </w:rPr>
        <w:t>level</w:t>
      </w:r>
      <w:r>
        <w:rPr>
          <w:color w:val="231F20"/>
          <w:spacing w:val="-20"/>
          <w:w w:val="105"/>
        </w:rPr>
        <w:t> </w:t>
      </w:r>
      <w:r>
        <w:rPr>
          <w:color w:val="231F20"/>
          <w:w w:val="105"/>
        </w:rPr>
        <w:t>of</w:t>
      </w:r>
      <w:r>
        <w:rPr>
          <w:color w:val="231F20"/>
          <w:spacing w:val="-19"/>
          <w:w w:val="105"/>
        </w:rPr>
        <w:t> </w:t>
      </w:r>
      <w:r>
        <w:rPr>
          <w:color w:val="231F20"/>
          <w:w w:val="105"/>
        </w:rPr>
        <w:t>ADH</w:t>
      </w:r>
      <w:r>
        <w:rPr>
          <w:color w:val="231F20"/>
          <w:spacing w:val="-19"/>
          <w:w w:val="105"/>
        </w:rPr>
        <w:t> </w:t>
      </w:r>
      <w:r>
        <w:rPr>
          <w:color w:val="231F20"/>
          <w:w w:val="105"/>
        </w:rPr>
        <w:t>and</w:t>
      </w:r>
      <w:r>
        <w:rPr>
          <w:color w:val="231F20"/>
          <w:spacing w:val="-19"/>
          <w:w w:val="105"/>
        </w:rPr>
        <w:t> </w:t>
      </w:r>
      <w:r>
        <w:rPr>
          <w:color w:val="231F20"/>
          <w:w w:val="105"/>
        </w:rPr>
        <w:t>by</w:t>
      </w:r>
      <w:r>
        <w:rPr>
          <w:color w:val="231F20"/>
          <w:spacing w:val="-19"/>
          <w:w w:val="105"/>
        </w:rPr>
        <w:t> </w:t>
      </w:r>
      <w:r>
        <w:rPr>
          <w:color w:val="231F20"/>
          <w:w w:val="105"/>
        </w:rPr>
        <w:t>the</w:t>
      </w:r>
      <w:r>
        <w:rPr>
          <w:color w:val="231F20"/>
          <w:spacing w:val="-19"/>
          <w:w w:val="105"/>
        </w:rPr>
        <w:t> </w:t>
      </w:r>
      <w:r>
        <w:rPr>
          <w:color w:val="231F20"/>
          <w:w w:val="105"/>
        </w:rPr>
        <w:t>degree</w:t>
      </w:r>
      <w:r>
        <w:rPr>
          <w:color w:val="231F20"/>
          <w:spacing w:val="-19"/>
          <w:w w:val="105"/>
        </w:rPr>
        <w:t> </w:t>
      </w:r>
      <w:r>
        <w:rPr>
          <w:color w:val="231F20"/>
          <w:w w:val="105"/>
        </w:rPr>
        <w:t>of</w:t>
      </w:r>
      <w:r>
        <w:rPr>
          <w:color w:val="231F20"/>
          <w:spacing w:val="-19"/>
          <w:w w:val="105"/>
        </w:rPr>
        <w:t> </w:t>
      </w:r>
      <w:r>
        <w:rPr>
          <w:color w:val="231F20"/>
          <w:w w:val="105"/>
        </w:rPr>
        <w:t>hyperosmolarity</w:t>
      </w:r>
      <w:r>
        <w:rPr>
          <w:color w:val="231F20"/>
          <w:spacing w:val="-19"/>
          <w:w w:val="105"/>
        </w:rPr>
        <w:t> </w:t>
      </w:r>
      <w:r>
        <w:rPr>
          <w:color w:val="231F20"/>
          <w:w w:val="105"/>
        </w:rPr>
        <w:t>of</w:t>
      </w:r>
      <w:r>
        <w:rPr>
          <w:color w:val="231F20"/>
          <w:spacing w:val="-19"/>
          <w:w w:val="105"/>
        </w:rPr>
        <w:t> </w:t>
      </w:r>
      <w:r>
        <w:rPr>
          <w:color w:val="231F20"/>
          <w:spacing w:val="-6"/>
          <w:w w:val="105"/>
        </w:rPr>
        <w:t>the </w:t>
      </w:r>
      <w:r>
        <w:rPr>
          <w:color w:val="231F20"/>
          <w:w w:val="105"/>
        </w:rPr>
        <w:t>renal medulla. </w:t>
      </w:r>
      <w:r>
        <w:rPr>
          <w:color w:val="231F20"/>
          <w:spacing w:val="-8"/>
          <w:w w:val="105"/>
        </w:rPr>
        <w:t>We </w:t>
      </w:r>
      <w:r>
        <w:rPr>
          <w:color w:val="231F20"/>
          <w:w w:val="105"/>
        </w:rPr>
        <w:t>discuss the factors that control ADH secretion</w:t>
      </w:r>
      <w:r>
        <w:rPr>
          <w:color w:val="231F20"/>
          <w:spacing w:val="-9"/>
          <w:w w:val="105"/>
        </w:rPr>
        <w:t> </w:t>
      </w:r>
      <w:r>
        <w:rPr>
          <w:color w:val="231F20"/>
          <w:spacing w:val="-4"/>
          <w:w w:val="105"/>
        </w:rPr>
        <w:t>later,</w:t>
      </w:r>
      <w:r>
        <w:rPr>
          <w:color w:val="231F20"/>
          <w:spacing w:val="-9"/>
          <w:w w:val="105"/>
        </w:rPr>
        <w:t> </w:t>
      </w:r>
      <w:r>
        <w:rPr>
          <w:color w:val="231F20"/>
          <w:w w:val="105"/>
        </w:rPr>
        <w:t>but</w:t>
      </w:r>
      <w:r>
        <w:rPr>
          <w:color w:val="231F20"/>
          <w:spacing w:val="-9"/>
          <w:w w:val="105"/>
        </w:rPr>
        <w:t> </w:t>
      </w:r>
      <w:r>
        <w:rPr>
          <w:color w:val="231F20"/>
          <w:w w:val="105"/>
        </w:rPr>
        <w:t>for</w:t>
      </w:r>
      <w:r>
        <w:rPr>
          <w:color w:val="231F20"/>
          <w:spacing w:val="-8"/>
          <w:w w:val="105"/>
        </w:rPr>
        <w:t> </w:t>
      </w:r>
      <w:r>
        <w:rPr>
          <w:color w:val="231F20"/>
          <w:spacing w:val="-3"/>
          <w:w w:val="105"/>
        </w:rPr>
        <w:t>now,</w:t>
      </w:r>
      <w:r>
        <w:rPr>
          <w:color w:val="231F20"/>
          <w:spacing w:val="-9"/>
          <w:w w:val="105"/>
        </w:rPr>
        <w:t> </w:t>
      </w:r>
      <w:r>
        <w:rPr>
          <w:color w:val="231F20"/>
          <w:w w:val="105"/>
        </w:rPr>
        <w:t>what</w:t>
      </w:r>
      <w:r>
        <w:rPr>
          <w:color w:val="231F20"/>
          <w:spacing w:val="-9"/>
          <w:w w:val="105"/>
        </w:rPr>
        <w:t> </w:t>
      </w:r>
      <w:r>
        <w:rPr>
          <w:color w:val="231F20"/>
          <w:w w:val="105"/>
        </w:rPr>
        <w:t>is</w:t>
      </w:r>
      <w:r>
        <w:rPr>
          <w:color w:val="231F20"/>
          <w:spacing w:val="-8"/>
          <w:w w:val="105"/>
        </w:rPr>
        <w:t> </w:t>
      </w:r>
      <w:r>
        <w:rPr>
          <w:color w:val="231F20"/>
          <w:w w:val="105"/>
        </w:rPr>
        <w:t>the</w:t>
      </w:r>
      <w:r>
        <w:rPr>
          <w:color w:val="231F20"/>
          <w:spacing w:val="-9"/>
          <w:w w:val="105"/>
        </w:rPr>
        <w:t> </w:t>
      </w:r>
      <w:r>
        <w:rPr>
          <w:color w:val="231F20"/>
          <w:w w:val="105"/>
        </w:rPr>
        <w:t>process</w:t>
      </w:r>
      <w:r>
        <w:rPr>
          <w:color w:val="231F20"/>
          <w:spacing w:val="-9"/>
          <w:w w:val="105"/>
        </w:rPr>
        <w:t> </w:t>
      </w:r>
      <w:r>
        <w:rPr>
          <w:color w:val="231F20"/>
          <w:w w:val="105"/>
        </w:rPr>
        <w:t>by</w:t>
      </w:r>
      <w:r>
        <w:rPr>
          <w:color w:val="231F20"/>
          <w:spacing w:val="-9"/>
          <w:w w:val="105"/>
        </w:rPr>
        <w:t> </w:t>
      </w:r>
      <w:r>
        <w:rPr>
          <w:color w:val="231F20"/>
          <w:w w:val="105"/>
        </w:rPr>
        <w:t>which renal</w:t>
      </w:r>
      <w:r>
        <w:rPr>
          <w:color w:val="231F20"/>
          <w:spacing w:val="-17"/>
          <w:w w:val="105"/>
        </w:rPr>
        <w:t> </w:t>
      </w:r>
      <w:r>
        <w:rPr>
          <w:color w:val="231F20"/>
          <w:w w:val="105"/>
        </w:rPr>
        <w:t>medullary</w:t>
      </w:r>
      <w:r>
        <w:rPr>
          <w:color w:val="231F20"/>
          <w:spacing w:val="-17"/>
          <w:w w:val="105"/>
        </w:rPr>
        <w:t> </w:t>
      </w:r>
      <w:r>
        <w:rPr>
          <w:color w:val="231F20"/>
          <w:w w:val="105"/>
        </w:rPr>
        <w:t>interstitial</w:t>
      </w:r>
      <w:r>
        <w:rPr>
          <w:color w:val="231F20"/>
          <w:spacing w:val="-17"/>
          <w:w w:val="105"/>
        </w:rPr>
        <w:t> </w:t>
      </w:r>
      <w:r>
        <w:rPr>
          <w:color w:val="231F20"/>
          <w:w w:val="105"/>
        </w:rPr>
        <w:t>fluid</w:t>
      </w:r>
      <w:r>
        <w:rPr>
          <w:color w:val="231F20"/>
          <w:spacing w:val="-16"/>
          <w:w w:val="105"/>
        </w:rPr>
        <w:t> </w:t>
      </w:r>
      <w:r>
        <w:rPr>
          <w:color w:val="231F20"/>
          <w:w w:val="105"/>
        </w:rPr>
        <w:t>becomes</w:t>
      </w:r>
      <w:r>
        <w:rPr>
          <w:color w:val="231F20"/>
          <w:spacing w:val="-17"/>
          <w:w w:val="105"/>
        </w:rPr>
        <w:t> </w:t>
      </w:r>
      <w:r>
        <w:rPr>
          <w:color w:val="231F20"/>
          <w:w w:val="105"/>
        </w:rPr>
        <w:t>hyperosmotic? This</w:t>
      </w:r>
      <w:r>
        <w:rPr>
          <w:color w:val="231F20"/>
          <w:spacing w:val="-23"/>
          <w:w w:val="105"/>
        </w:rPr>
        <w:t> </w:t>
      </w:r>
      <w:r>
        <w:rPr>
          <w:color w:val="231F20"/>
          <w:w w:val="105"/>
        </w:rPr>
        <w:t>process</w:t>
      </w:r>
      <w:r>
        <w:rPr>
          <w:color w:val="231F20"/>
          <w:spacing w:val="-22"/>
          <w:w w:val="105"/>
        </w:rPr>
        <w:t> </w:t>
      </w:r>
      <w:r>
        <w:rPr>
          <w:color w:val="231F20"/>
          <w:w w:val="105"/>
        </w:rPr>
        <w:t>involves</w:t>
      </w:r>
      <w:r>
        <w:rPr>
          <w:color w:val="231F20"/>
          <w:spacing w:val="-22"/>
          <w:w w:val="105"/>
        </w:rPr>
        <w:t> </w:t>
      </w:r>
      <w:r>
        <w:rPr>
          <w:color w:val="231F20"/>
          <w:w w:val="105"/>
        </w:rPr>
        <w:t>the</w:t>
      </w:r>
      <w:r>
        <w:rPr>
          <w:color w:val="231F20"/>
          <w:spacing w:val="-22"/>
          <w:w w:val="105"/>
        </w:rPr>
        <w:t> </w:t>
      </w:r>
      <w:r>
        <w:rPr>
          <w:color w:val="231F20"/>
          <w:w w:val="105"/>
        </w:rPr>
        <w:t>operation</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1"/>
          <w:w w:val="105"/>
        </w:rPr>
        <w:t> </w:t>
      </w:r>
      <w:r>
        <w:rPr>
          <w:i/>
          <w:color w:val="231F20"/>
          <w:w w:val="105"/>
        </w:rPr>
        <w:t>countercurrent </w:t>
      </w:r>
      <w:r>
        <w:rPr>
          <w:i/>
          <w:color w:val="231F20"/>
          <w:w w:val="105"/>
        </w:rPr>
        <w:t>multiplier</w:t>
      </w:r>
      <w:r>
        <w:rPr>
          <w:i/>
          <w:color w:val="231F20"/>
          <w:spacing w:val="2"/>
          <w:w w:val="105"/>
        </w:rPr>
        <w:t> </w:t>
      </w:r>
      <w:r>
        <w:rPr>
          <w:i/>
          <w:color w:val="231F20"/>
          <w:w w:val="105"/>
        </w:rPr>
        <w:t>mechanism.</w:t>
      </w:r>
    </w:p>
    <w:p>
      <w:pPr>
        <w:spacing w:line="249" w:lineRule="auto" w:before="9"/>
        <w:ind w:left="1080" w:right="0" w:firstLine="240"/>
        <w:jc w:val="both"/>
        <w:rPr>
          <w:sz w:val="20"/>
        </w:rPr>
      </w:pPr>
      <w:r>
        <w:rPr>
          <w:i/>
          <w:color w:val="231F20"/>
          <w:w w:val="105"/>
          <w:sz w:val="20"/>
        </w:rPr>
        <w:t>The</w:t>
      </w:r>
      <w:r>
        <w:rPr>
          <w:i/>
          <w:color w:val="231F20"/>
          <w:spacing w:val="-14"/>
          <w:w w:val="105"/>
          <w:sz w:val="20"/>
        </w:rPr>
        <w:t> </w:t>
      </w:r>
      <w:r>
        <w:rPr>
          <w:i/>
          <w:color w:val="231F20"/>
          <w:w w:val="105"/>
          <w:sz w:val="20"/>
        </w:rPr>
        <w:t>countercurrent</w:t>
      </w:r>
      <w:r>
        <w:rPr>
          <w:i/>
          <w:color w:val="231F20"/>
          <w:spacing w:val="-13"/>
          <w:w w:val="105"/>
          <w:sz w:val="20"/>
        </w:rPr>
        <w:t> </w:t>
      </w:r>
      <w:r>
        <w:rPr>
          <w:i/>
          <w:color w:val="231F20"/>
          <w:w w:val="105"/>
          <w:sz w:val="20"/>
        </w:rPr>
        <w:t>multiplier</w:t>
      </w:r>
      <w:r>
        <w:rPr>
          <w:i/>
          <w:color w:val="231F20"/>
          <w:spacing w:val="-13"/>
          <w:w w:val="105"/>
          <w:sz w:val="20"/>
        </w:rPr>
        <w:t> </w:t>
      </w:r>
      <w:r>
        <w:rPr>
          <w:i/>
          <w:color w:val="231F20"/>
          <w:w w:val="105"/>
          <w:sz w:val="20"/>
        </w:rPr>
        <w:t>mechanism</w:t>
      </w:r>
      <w:r>
        <w:rPr>
          <w:i/>
          <w:color w:val="231F20"/>
          <w:spacing w:val="-13"/>
          <w:w w:val="105"/>
          <w:sz w:val="20"/>
        </w:rPr>
        <w:t> </w:t>
      </w:r>
      <w:r>
        <w:rPr>
          <w:i/>
          <w:color w:val="231F20"/>
          <w:w w:val="105"/>
          <w:sz w:val="20"/>
        </w:rPr>
        <w:t>depends</w:t>
      </w:r>
      <w:r>
        <w:rPr>
          <w:i/>
          <w:color w:val="231F20"/>
          <w:spacing w:val="-13"/>
          <w:w w:val="105"/>
          <w:sz w:val="20"/>
        </w:rPr>
        <w:t> </w:t>
      </w:r>
      <w:r>
        <w:rPr>
          <w:i/>
          <w:color w:val="231F20"/>
          <w:spacing w:val="-7"/>
          <w:w w:val="105"/>
          <w:sz w:val="20"/>
        </w:rPr>
        <w:t>on </w:t>
      </w:r>
      <w:r>
        <w:rPr>
          <w:i/>
          <w:color w:val="231F20"/>
          <w:w w:val="105"/>
          <w:sz w:val="20"/>
        </w:rPr>
        <w:t>the</w:t>
      </w:r>
      <w:r>
        <w:rPr>
          <w:i/>
          <w:color w:val="231F20"/>
          <w:spacing w:val="-21"/>
          <w:w w:val="105"/>
          <w:sz w:val="20"/>
        </w:rPr>
        <w:t> </w:t>
      </w:r>
      <w:r>
        <w:rPr>
          <w:i/>
          <w:color w:val="231F20"/>
          <w:w w:val="105"/>
          <w:sz w:val="20"/>
        </w:rPr>
        <w:t>special</w:t>
      </w:r>
      <w:r>
        <w:rPr>
          <w:i/>
          <w:color w:val="231F20"/>
          <w:spacing w:val="-21"/>
          <w:w w:val="105"/>
          <w:sz w:val="20"/>
        </w:rPr>
        <w:t> </w:t>
      </w:r>
      <w:r>
        <w:rPr>
          <w:i/>
          <w:color w:val="231F20"/>
          <w:w w:val="105"/>
          <w:sz w:val="20"/>
        </w:rPr>
        <w:t>anatomical</w:t>
      </w:r>
      <w:r>
        <w:rPr>
          <w:i/>
          <w:color w:val="231F20"/>
          <w:spacing w:val="-21"/>
          <w:w w:val="105"/>
          <w:sz w:val="20"/>
        </w:rPr>
        <w:t> </w:t>
      </w:r>
      <w:r>
        <w:rPr>
          <w:i/>
          <w:color w:val="231F20"/>
          <w:w w:val="105"/>
          <w:sz w:val="20"/>
        </w:rPr>
        <w:t>arrangement</w:t>
      </w:r>
      <w:r>
        <w:rPr>
          <w:i/>
          <w:color w:val="231F20"/>
          <w:spacing w:val="-21"/>
          <w:w w:val="105"/>
          <w:sz w:val="20"/>
        </w:rPr>
        <w:t> </w:t>
      </w:r>
      <w:r>
        <w:rPr>
          <w:i/>
          <w:color w:val="231F20"/>
          <w:w w:val="105"/>
          <w:sz w:val="20"/>
        </w:rPr>
        <w:t>of</w:t>
      </w:r>
      <w:r>
        <w:rPr>
          <w:i/>
          <w:color w:val="231F20"/>
          <w:spacing w:val="-20"/>
          <w:w w:val="105"/>
          <w:sz w:val="20"/>
        </w:rPr>
        <w:t> </w:t>
      </w:r>
      <w:r>
        <w:rPr>
          <w:i/>
          <w:color w:val="231F20"/>
          <w:w w:val="105"/>
          <w:sz w:val="20"/>
        </w:rPr>
        <w:t>the</w:t>
      </w:r>
      <w:r>
        <w:rPr>
          <w:i/>
          <w:color w:val="231F20"/>
          <w:spacing w:val="-21"/>
          <w:w w:val="105"/>
          <w:sz w:val="20"/>
        </w:rPr>
        <w:t> </w:t>
      </w:r>
      <w:r>
        <w:rPr>
          <w:i/>
          <w:color w:val="231F20"/>
          <w:w w:val="105"/>
          <w:sz w:val="20"/>
        </w:rPr>
        <w:t>loops</w:t>
      </w:r>
      <w:r>
        <w:rPr>
          <w:i/>
          <w:color w:val="231F20"/>
          <w:spacing w:val="-21"/>
          <w:w w:val="105"/>
          <w:sz w:val="20"/>
        </w:rPr>
        <w:t> </w:t>
      </w:r>
      <w:r>
        <w:rPr>
          <w:i/>
          <w:color w:val="231F20"/>
          <w:w w:val="105"/>
          <w:sz w:val="20"/>
        </w:rPr>
        <w:t>of</w:t>
      </w:r>
      <w:r>
        <w:rPr>
          <w:i/>
          <w:color w:val="231F20"/>
          <w:spacing w:val="-21"/>
          <w:w w:val="105"/>
          <w:sz w:val="20"/>
        </w:rPr>
        <w:t> </w:t>
      </w:r>
      <w:r>
        <w:rPr>
          <w:i/>
          <w:color w:val="231F20"/>
          <w:w w:val="105"/>
          <w:sz w:val="20"/>
        </w:rPr>
        <w:t>Henle and</w:t>
      </w:r>
      <w:r>
        <w:rPr>
          <w:i/>
          <w:color w:val="231F20"/>
          <w:spacing w:val="-26"/>
          <w:w w:val="105"/>
          <w:sz w:val="20"/>
        </w:rPr>
        <w:t> </w:t>
      </w:r>
      <w:r>
        <w:rPr>
          <w:i/>
          <w:color w:val="231F20"/>
          <w:w w:val="105"/>
          <w:sz w:val="20"/>
        </w:rPr>
        <w:t>the</w:t>
      </w:r>
      <w:r>
        <w:rPr>
          <w:i/>
          <w:color w:val="231F20"/>
          <w:spacing w:val="-25"/>
          <w:w w:val="105"/>
          <w:sz w:val="20"/>
        </w:rPr>
        <w:t> </w:t>
      </w:r>
      <w:r>
        <w:rPr>
          <w:i/>
          <w:color w:val="231F20"/>
          <w:w w:val="105"/>
          <w:sz w:val="20"/>
        </w:rPr>
        <w:t>vasa</w:t>
      </w:r>
      <w:r>
        <w:rPr>
          <w:i/>
          <w:color w:val="231F20"/>
          <w:spacing w:val="-26"/>
          <w:w w:val="105"/>
          <w:sz w:val="20"/>
        </w:rPr>
        <w:t> </w:t>
      </w:r>
      <w:r>
        <w:rPr>
          <w:i/>
          <w:color w:val="231F20"/>
          <w:w w:val="105"/>
          <w:sz w:val="20"/>
        </w:rPr>
        <w:t>recta,</w:t>
      </w:r>
      <w:r>
        <w:rPr>
          <w:i/>
          <w:color w:val="231F20"/>
          <w:spacing w:val="-25"/>
          <w:w w:val="105"/>
          <w:sz w:val="20"/>
        </w:rPr>
        <w:t> </w:t>
      </w:r>
      <w:r>
        <w:rPr>
          <w:i/>
          <w:color w:val="231F20"/>
          <w:w w:val="105"/>
          <w:sz w:val="20"/>
        </w:rPr>
        <w:t>the</w:t>
      </w:r>
      <w:r>
        <w:rPr>
          <w:i/>
          <w:color w:val="231F20"/>
          <w:spacing w:val="-26"/>
          <w:w w:val="105"/>
          <w:sz w:val="20"/>
        </w:rPr>
        <w:t> </w:t>
      </w:r>
      <w:r>
        <w:rPr>
          <w:i/>
          <w:color w:val="231F20"/>
          <w:w w:val="105"/>
          <w:sz w:val="20"/>
        </w:rPr>
        <w:t>specialized</w:t>
      </w:r>
      <w:r>
        <w:rPr>
          <w:i/>
          <w:color w:val="231F20"/>
          <w:spacing w:val="-25"/>
          <w:w w:val="105"/>
          <w:sz w:val="20"/>
        </w:rPr>
        <w:t> </w:t>
      </w:r>
      <w:r>
        <w:rPr>
          <w:i/>
          <w:color w:val="231F20"/>
          <w:w w:val="105"/>
          <w:sz w:val="20"/>
        </w:rPr>
        <w:t>peritubular</w:t>
      </w:r>
      <w:r>
        <w:rPr>
          <w:i/>
          <w:color w:val="231F20"/>
          <w:spacing w:val="-26"/>
          <w:w w:val="105"/>
          <w:sz w:val="20"/>
        </w:rPr>
        <w:t> </w:t>
      </w:r>
      <w:r>
        <w:rPr>
          <w:i/>
          <w:color w:val="231F20"/>
          <w:w w:val="105"/>
          <w:sz w:val="20"/>
        </w:rPr>
        <w:t>capillaries of the renal medulla</w:t>
      </w:r>
      <w:r>
        <w:rPr>
          <w:color w:val="231F20"/>
          <w:w w:val="105"/>
          <w:sz w:val="20"/>
        </w:rPr>
        <w:t>. In the human, about 25 percent of the</w:t>
      </w:r>
      <w:r>
        <w:rPr>
          <w:color w:val="231F20"/>
          <w:spacing w:val="-13"/>
          <w:w w:val="105"/>
          <w:sz w:val="20"/>
        </w:rPr>
        <w:t> </w:t>
      </w:r>
      <w:r>
        <w:rPr>
          <w:color w:val="231F20"/>
          <w:w w:val="105"/>
          <w:sz w:val="20"/>
        </w:rPr>
        <w:t>nephrons</w:t>
      </w:r>
      <w:r>
        <w:rPr>
          <w:color w:val="231F20"/>
          <w:spacing w:val="-12"/>
          <w:w w:val="105"/>
          <w:sz w:val="20"/>
        </w:rPr>
        <w:t> </w:t>
      </w:r>
      <w:r>
        <w:rPr>
          <w:color w:val="231F20"/>
          <w:w w:val="105"/>
          <w:sz w:val="20"/>
        </w:rPr>
        <w:t>are</w:t>
      </w:r>
      <w:r>
        <w:rPr>
          <w:color w:val="231F20"/>
          <w:spacing w:val="-13"/>
          <w:w w:val="105"/>
          <w:sz w:val="20"/>
        </w:rPr>
        <w:t> </w:t>
      </w:r>
      <w:r>
        <w:rPr>
          <w:i/>
          <w:color w:val="231F20"/>
          <w:w w:val="105"/>
          <w:sz w:val="20"/>
        </w:rPr>
        <w:t>juxtamedullary</w:t>
      </w:r>
      <w:r>
        <w:rPr>
          <w:i/>
          <w:color w:val="231F20"/>
          <w:spacing w:val="-12"/>
          <w:w w:val="105"/>
          <w:sz w:val="20"/>
        </w:rPr>
        <w:t> </w:t>
      </w:r>
      <w:r>
        <w:rPr>
          <w:i/>
          <w:color w:val="231F20"/>
          <w:w w:val="105"/>
          <w:sz w:val="20"/>
        </w:rPr>
        <w:t>nephrons,</w:t>
      </w:r>
      <w:r>
        <w:rPr>
          <w:i/>
          <w:color w:val="231F20"/>
          <w:spacing w:val="-12"/>
          <w:w w:val="105"/>
          <w:sz w:val="20"/>
        </w:rPr>
        <w:t> </w:t>
      </w:r>
      <w:r>
        <w:rPr>
          <w:color w:val="231F20"/>
          <w:w w:val="105"/>
          <w:sz w:val="20"/>
        </w:rPr>
        <w:t>with</w:t>
      </w:r>
      <w:r>
        <w:rPr>
          <w:color w:val="231F20"/>
          <w:spacing w:val="-13"/>
          <w:w w:val="105"/>
          <w:sz w:val="20"/>
        </w:rPr>
        <w:t> </w:t>
      </w:r>
      <w:r>
        <w:rPr>
          <w:color w:val="231F20"/>
          <w:w w:val="105"/>
          <w:sz w:val="20"/>
        </w:rPr>
        <w:t>loops</w:t>
      </w:r>
      <w:r>
        <w:rPr>
          <w:color w:val="231F20"/>
          <w:spacing w:val="-12"/>
          <w:w w:val="105"/>
          <w:sz w:val="20"/>
        </w:rPr>
        <w:t> </w:t>
      </w:r>
      <w:r>
        <w:rPr>
          <w:color w:val="231F20"/>
          <w:w w:val="105"/>
          <w:sz w:val="20"/>
        </w:rPr>
        <w:t>of Henle and vasa recta that go deeply into the medulla before</w:t>
      </w:r>
      <w:r>
        <w:rPr>
          <w:color w:val="231F20"/>
          <w:spacing w:val="-20"/>
          <w:w w:val="105"/>
          <w:sz w:val="20"/>
        </w:rPr>
        <w:t> </w:t>
      </w:r>
      <w:r>
        <w:rPr>
          <w:color w:val="231F20"/>
          <w:w w:val="105"/>
          <w:sz w:val="20"/>
        </w:rPr>
        <w:t>returning</w:t>
      </w:r>
      <w:r>
        <w:rPr>
          <w:color w:val="231F20"/>
          <w:spacing w:val="-20"/>
          <w:w w:val="105"/>
          <w:sz w:val="20"/>
        </w:rPr>
        <w:t> </w:t>
      </w:r>
      <w:r>
        <w:rPr>
          <w:color w:val="231F20"/>
          <w:w w:val="105"/>
          <w:sz w:val="20"/>
        </w:rPr>
        <w:t>to</w:t>
      </w:r>
      <w:r>
        <w:rPr>
          <w:color w:val="231F20"/>
          <w:spacing w:val="-20"/>
          <w:w w:val="105"/>
          <w:sz w:val="20"/>
        </w:rPr>
        <w:t> </w:t>
      </w:r>
      <w:r>
        <w:rPr>
          <w:color w:val="231F20"/>
          <w:w w:val="105"/>
          <w:sz w:val="20"/>
        </w:rPr>
        <w:t>the</w:t>
      </w:r>
      <w:r>
        <w:rPr>
          <w:color w:val="231F20"/>
          <w:spacing w:val="-20"/>
          <w:w w:val="105"/>
          <w:sz w:val="20"/>
        </w:rPr>
        <w:t> </w:t>
      </w:r>
      <w:r>
        <w:rPr>
          <w:color w:val="231F20"/>
          <w:w w:val="105"/>
          <w:sz w:val="20"/>
        </w:rPr>
        <w:t>cortex.</w:t>
      </w:r>
      <w:r>
        <w:rPr>
          <w:color w:val="231F20"/>
          <w:spacing w:val="-20"/>
          <w:w w:val="105"/>
          <w:sz w:val="20"/>
        </w:rPr>
        <w:t> </w:t>
      </w:r>
      <w:r>
        <w:rPr>
          <w:color w:val="231F20"/>
          <w:w w:val="105"/>
          <w:sz w:val="20"/>
        </w:rPr>
        <w:t>Some</w:t>
      </w:r>
      <w:r>
        <w:rPr>
          <w:color w:val="231F20"/>
          <w:spacing w:val="-20"/>
          <w:w w:val="105"/>
          <w:sz w:val="20"/>
        </w:rPr>
        <w:t> </w:t>
      </w:r>
      <w:r>
        <w:rPr>
          <w:color w:val="231F20"/>
          <w:w w:val="105"/>
          <w:sz w:val="20"/>
        </w:rPr>
        <w:t>of</w:t>
      </w:r>
      <w:r>
        <w:rPr>
          <w:color w:val="231F20"/>
          <w:spacing w:val="-20"/>
          <w:w w:val="105"/>
          <w:sz w:val="20"/>
        </w:rPr>
        <w:t> </w:t>
      </w:r>
      <w:r>
        <w:rPr>
          <w:color w:val="231F20"/>
          <w:w w:val="105"/>
          <w:sz w:val="20"/>
        </w:rPr>
        <w:t>the</w:t>
      </w:r>
      <w:r>
        <w:rPr>
          <w:color w:val="231F20"/>
          <w:spacing w:val="-20"/>
          <w:w w:val="105"/>
          <w:sz w:val="20"/>
        </w:rPr>
        <w:t> </w:t>
      </w:r>
      <w:r>
        <w:rPr>
          <w:color w:val="231F20"/>
          <w:w w:val="105"/>
          <w:sz w:val="20"/>
        </w:rPr>
        <w:t>loops</w:t>
      </w:r>
      <w:r>
        <w:rPr>
          <w:color w:val="231F20"/>
          <w:spacing w:val="-20"/>
          <w:w w:val="105"/>
          <w:sz w:val="20"/>
        </w:rPr>
        <w:t> </w:t>
      </w:r>
      <w:r>
        <w:rPr>
          <w:color w:val="231F20"/>
          <w:w w:val="105"/>
          <w:sz w:val="20"/>
        </w:rPr>
        <w:t>of</w:t>
      </w:r>
      <w:r>
        <w:rPr>
          <w:color w:val="231F20"/>
          <w:spacing w:val="-20"/>
          <w:w w:val="105"/>
          <w:sz w:val="20"/>
        </w:rPr>
        <w:t> </w:t>
      </w:r>
      <w:r>
        <w:rPr>
          <w:color w:val="231F20"/>
          <w:w w:val="105"/>
          <w:sz w:val="20"/>
        </w:rPr>
        <w:t>Henle dip</w:t>
      </w:r>
      <w:r>
        <w:rPr>
          <w:color w:val="231F20"/>
          <w:spacing w:val="-16"/>
          <w:w w:val="105"/>
          <w:sz w:val="20"/>
        </w:rPr>
        <w:t> </w:t>
      </w:r>
      <w:r>
        <w:rPr>
          <w:color w:val="231F20"/>
          <w:w w:val="105"/>
          <w:sz w:val="20"/>
        </w:rPr>
        <w:t>all</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way</w:t>
      </w:r>
      <w:r>
        <w:rPr>
          <w:color w:val="231F20"/>
          <w:spacing w:val="-16"/>
          <w:w w:val="105"/>
          <w:sz w:val="20"/>
        </w:rPr>
        <w:t> </w:t>
      </w:r>
      <w:r>
        <w:rPr>
          <w:color w:val="231F20"/>
          <w:w w:val="105"/>
          <w:sz w:val="20"/>
        </w:rPr>
        <w:t>to</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tips</w:t>
      </w:r>
      <w:r>
        <w:rPr>
          <w:color w:val="231F20"/>
          <w:spacing w:val="-16"/>
          <w:w w:val="105"/>
          <w:sz w:val="20"/>
        </w:rPr>
        <w:t> </w:t>
      </w:r>
      <w:r>
        <w:rPr>
          <w:color w:val="231F20"/>
          <w:w w:val="105"/>
          <w:sz w:val="20"/>
        </w:rPr>
        <w:t>of</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renal</w:t>
      </w:r>
      <w:r>
        <w:rPr>
          <w:color w:val="231F20"/>
          <w:spacing w:val="-16"/>
          <w:w w:val="105"/>
          <w:sz w:val="20"/>
        </w:rPr>
        <w:t> </w:t>
      </w:r>
      <w:r>
        <w:rPr>
          <w:color w:val="231F20"/>
          <w:w w:val="105"/>
          <w:sz w:val="20"/>
        </w:rPr>
        <w:t>papillae</w:t>
      </w:r>
      <w:r>
        <w:rPr>
          <w:color w:val="231F20"/>
          <w:spacing w:val="-15"/>
          <w:w w:val="105"/>
          <w:sz w:val="20"/>
        </w:rPr>
        <w:t> </w:t>
      </w:r>
      <w:r>
        <w:rPr>
          <w:color w:val="231F20"/>
          <w:w w:val="105"/>
          <w:sz w:val="20"/>
        </w:rPr>
        <w:t>that</w:t>
      </w:r>
      <w:r>
        <w:rPr>
          <w:color w:val="231F20"/>
          <w:spacing w:val="-15"/>
          <w:w w:val="105"/>
          <w:sz w:val="20"/>
        </w:rPr>
        <w:t> </w:t>
      </w:r>
      <w:r>
        <w:rPr>
          <w:color w:val="231F20"/>
          <w:w w:val="105"/>
          <w:sz w:val="20"/>
        </w:rPr>
        <w:t>project from</w:t>
      </w:r>
      <w:r>
        <w:rPr>
          <w:color w:val="231F20"/>
          <w:spacing w:val="-26"/>
          <w:w w:val="105"/>
          <w:sz w:val="20"/>
        </w:rPr>
        <w:t> </w:t>
      </w:r>
      <w:r>
        <w:rPr>
          <w:color w:val="231F20"/>
          <w:w w:val="105"/>
          <w:sz w:val="20"/>
        </w:rPr>
        <w:t>the</w:t>
      </w:r>
      <w:r>
        <w:rPr>
          <w:color w:val="231F20"/>
          <w:spacing w:val="-25"/>
          <w:w w:val="105"/>
          <w:sz w:val="20"/>
        </w:rPr>
        <w:t> </w:t>
      </w:r>
      <w:r>
        <w:rPr>
          <w:color w:val="231F20"/>
          <w:w w:val="105"/>
          <w:sz w:val="20"/>
        </w:rPr>
        <w:t>medulla</w:t>
      </w:r>
      <w:r>
        <w:rPr>
          <w:color w:val="231F20"/>
          <w:spacing w:val="-25"/>
          <w:w w:val="105"/>
          <w:sz w:val="20"/>
        </w:rPr>
        <w:t> </w:t>
      </w:r>
      <w:r>
        <w:rPr>
          <w:color w:val="231F20"/>
          <w:w w:val="105"/>
          <w:sz w:val="20"/>
        </w:rPr>
        <w:t>into</w:t>
      </w:r>
      <w:r>
        <w:rPr>
          <w:color w:val="231F20"/>
          <w:spacing w:val="-25"/>
          <w:w w:val="105"/>
          <w:sz w:val="20"/>
        </w:rPr>
        <w:t> </w:t>
      </w:r>
      <w:r>
        <w:rPr>
          <w:color w:val="231F20"/>
          <w:w w:val="105"/>
          <w:sz w:val="20"/>
        </w:rPr>
        <w:t>the</w:t>
      </w:r>
      <w:r>
        <w:rPr>
          <w:color w:val="231F20"/>
          <w:spacing w:val="-26"/>
          <w:w w:val="105"/>
          <w:sz w:val="20"/>
        </w:rPr>
        <w:t> </w:t>
      </w:r>
      <w:r>
        <w:rPr>
          <w:color w:val="231F20"/>
          <w:w w:val="105"/>
          <w:sz w:val="20"/>
        </w:rPr>
        <w:t>renal</w:t>
      </w:r>
      <w:r>
        <w:rPr>
          <w:color w:val="231F20"/>
          <w:spacing w:val="-25"/>
          <w:w w:val="105"/>
          <w:sz w:val="20"/>
        </w:rPr>
        <w:t> </w:t>
      </w:r>
      <w:r>
        <w:rPr>
          <w:color w:val="231F20"/>
          <w:w w:val="105"/>
          <w:sz w:val="20"/>
        </w:rPr>
        <w:t>pelvis.</w:t>
      </w:r>
      <w:r>
        <w:rPr>
          <w:color w:val="231F20"/>
          <w:spacing w:val="-25"/>
          <w:w w:val="105"/>
          <w:sz w:val="20"/>
        </w:rPr>
        <w:t> </w:t>
      </w:r>
      <w:r>
        <w:rPr>
          <w:color w:val="231F20"/>
          <w:w w:val="105"/>
          <w:sz w:val="20"/>
        </w:rPr>
        <w:t>Paralleling</w:t>
      </w:r>
      <w:r>
        <w:rPr>
          <w:color w:val="231F20"/>
          <w:spacing w:val="-25"/>
          <w:w w:val="105"/>
          <w:sz w:val="20"/>
        </w:rPr>
        <w:t> </w:t>
      </w:r>
      <w:r>
        <w:rPr>
          <w:color w:val="231F20"/>
          <w:w w:val="105"/>
          <w:sz w:val="20"/>
        </w:rPr>
        <w:t>the</w:t>
      </w:r>
      <w:r>
        <w:rPr>
          <w:color w:val="231F20"/>
          <w:spacing w:val="-26"/>
          <w:w w:val="105"/>
          <w:sz w:val="20"/>
        </w:rPr>
        <w:t> </w:t>
      </w:r>
      <w:r>
        <w:rPr>
          <w:color w:val="231F20"/>
          <w:spacing w:val="-4"/>
          <w:w w:val="105"/>
          <w:sz w:val="20"/>
        </w:rPr>
        <w:t>long </w:t>
      </w:r>
      <w:r>
        <w:rPr>
          <w:color w:val="231F20"/>
          <w:w w:val="105"/>
          <w:sz w:val="20"/>
        </w:rPr>
        <w:t>loops of Henle are the vasa recta, which also loop</w:t>
      </w:r>
      <w:r>
        <w:rPr>
          <w:color w:val="231F20"/>
          <w:spacing w:val="-24"/>
          <w:w w:val="105"/>
          <w:sz w:val="20"/>
        </w:rPr>
        <w:t> </w:t>
      </w:r>
      <w:r>
        <w:rPr>
          <w:color w:val="231F20"/>
          <w:w w:val="105"/>
          <w:sz w:val="20"/>
        </w:rPr>
        <w:t>down into</w:t>
      </w:r>
      <w:r>
        <w:rPr>
          <w:color w:val="231F20"/>
          <w:spacing w:val="-17"/>
          <w:w w:val="105"/>
          <w:sz w:val="20"/>
        </w:rPr>
        <w:t> </w:t>
      </w:r>
      <w:r>
        <w:rPr>
          <w:color w:val="231F20"/>
          <w:w w:val="105"/>
          <w:sz w:val="20"/>
        </w:rPr>
        <w:t>the</w:t>
      </w:r>
      <w:r>
        <w:rPr>
          <w:color w:val="231F20"/>
          <w:spacing w:val="-17"/>
          <w:w w:val="105"/>
          <w:sz w:val="20"/>
        </w:rPr>
        <w:t> </w:t>
      </w:r>
      <w:r>
        <w:rPr>
          <w:color w:val="231F20"/>
          <w:w w:val="105"/>
          <w:sz w:val="20"/>
        </w:rPr>
        <w:t>medulla</w:t>
      </w:r>
      <w:r>
        <w:rPr>
          <w:color w:val="231F20"/>
          <w:spacing w:val="-16"/>
          <w:w w:val="105"/>
          <w:sz w:val="20"/>
        </w:rPr>
        <w:t> </w:t>
      </w:r>
      <w:r>
        <w:rPr>
          <w:color w:val="231F20"/>
          <w:w w:val="105"/>
          <w:sz w:val="20"/>
        </w:rPr>
        <w:t>before</w:t>
      </w:r>
      <w:r>
        <w:rPr>
          <w:color w:val="231F20"/>
          <w:spacing w:val="-17"/>
          <w:w w:val="105"/>
          <w:sz w:val="20"/>
        </w:rPr>
        <w:t> </w:t>
      </w:r>
      <w:r>
        <w:rPr>
          <w:color w:val="231F20"/>
          <w:w w:val="105"/>
          <w:sz w:val="20"/>
        </w:rPr>
        <w:t>returning</w:t>
      </w:r>
      <w:r>
        <w:rPr>
          <w:color w:val="231F20"/>
          <w:spacing w:val="-17"/>
          <w:w w:val="105"/>
          <w:sz w:val="20"/>
        </w:rPr>
        <w:t> </w:t>
      </w:r>
      <w:r>
        <w:rPr>
          <w:color w:val="231F20"/>
          <w:w w:val="105"/>
          <w:sz w:val="20"/>
        </w:rPr>
        <w:t>to</w:t>
      </w:r>
      <w:r>
        <w:rPr>
          <w:color w:val="231F20"/>
          <w:spacing w:val="-16"/>
          <w:w w:val="105"/>
          <w:sz w:val="20"/>
        </w:rPr>
        <w:t> </w:t>
      </w:r>
      <w:r>
        <w:rPr>
          <w:color w:val="231F20"/>
          <w:w w:val="105"/>
          <w:sz w:val="20"/>
        </w:rPr>
        <w:t>the</w:t>
      </w:r>
      <w:r>
        <w:rPr>
          <w:color w:val="231F20"/>
          <w:spacing w:val="-17"/>
          <w:w w:val="105"/>
          <w:sz w:val="20"/>
        </w:rPr>
        <w:t> </w:t>
      </w:r>
      <w:r>
        <w:rPr>
          <w:color w:val="231F20"/>
          <w:w w:val="105"/>
          <w:sz w:val="20"/>
        </w:rPr>
        <w:t>renal</w:t>
      </w:r>
      <w:r>
        <w:rPr>
          <w:color w:val="231F20"/>
          <w:spacing w:val="-17"/>
          <w:w w:val="105"/>
          <w:sz w:val="20"/>
        </w:rPr>
        <w:t> </w:t>
      </w:r>
      <w:r>
        <w:rPr>
          <w:color w:val="231F20"/>
          <w:w w:val="105"/>
          <w:sz w:val="20"/>
        </w:rPr>
        <w:t>cortex.</w:t>
      </w:r>
      <w:r>
        <w:rPr>
          <w:color w:val="231F20"/>
          <w:spacing w:val="-16"/>
          <w:w w:val="105"/>
          <w:sz w:val="20"/>
        </w:rPr>
        <w:t> </w:t>
      </w:r>
      <w:r>
        <w:rPr>
          <w:color w:val="231F20"/>
          <w:w w:val="105"/>
          <w:sz w:val="20"/>
        </w:rPr>
        <w:t>And finally,</w:t>
      </w:r>
      <w:r>
        <w:rPr>
          <w:color w:val="231F20"/>
          <w:spacing w:val="-27"/>
          <w:w w:val="105"/>
          <w:sz w:val="20"/>
        </w:rPr>
        <w:t> </w:t>
      </w:r>
      <w:r>
        <w:rPr>
          <w:color w:val="231F20"/>
          <w:w w:val="105"/>
          <w:sz w:val="20"/>
        </w:rPr>
        <w:t>the</w:t>
      </w:r>
      <w:r>
        <w:rPr>
          <w:color w:val="231F20"/>
          <w:spacing w:val="-27"/>
          <w:w w:val="105"/>
          <w:sz w:val="20"/>
        </w:rPr>
        <w:t> </w:t>
      </w:r>
      <w:r>
        <w:rPr>
          <w:color w:val="231F20"/>
          <w:w w:val="105"/>
          <w:sz w:val="20"/>
        </w:rPr>
        <w:t>collecting</w:t>
      </w:r>
      <w:r>
        <w:rPr>
          <w:color w:val="231F20"/>
          <w:spacing w:val="-27"/>
          <w:w w:val="105"/>
          <w:sz w:val="20"/>
        </w:rPr>
        <w:t> </w:t>
      </w:r>
      <w:r>
        <w:rPr>
          <w:color w:val="231F20"/>
          <w:w w:val="105"/>
          <w:sz w:val="20"/>
        </w:rPr>
        <w:t>ducts,</w:t>
      </w:r>
      <w:r>
        <w:rPr>
          <w:color w:val="231F20"/>
          <w:spacing w:val="-27"/>
          <w:w w:val="105"/>
          <w:sz w:val="20"/>
        </w:rPr>
        <w:t> </w:t>
      </w:r>
      <w:r>
        <w:rPr>
          <w:color w:val="231F20"/>
          <w:w w:val="105"/>
          <w:sz w:val="20"/>
        </w:rPr>
        <w:t>which</w:t>
      </w:r>
      <w:r>
        <w:rPr>
          <w:color w:val="231F20"/>
          <w:spacing w:val="-26"/>
          <w:w w:val="105"/>
          <w:sz w:val="20"/>
        </w:rPr>
        <w:t> </w:t>
      </w:r>
      <w:r>
        <w:rPr>
          <w:color w:val="231F20"/>
          <w:w w:val="105"/>
          <w:sz w:val="20"/>
        </w:rPr>
        <w:t>carry</w:t>
      </w:r>
      <w:r>
        <w:rPr>
          <w:color w:val="231F20"/>
          <w:spacing w:val="-27"/>
          <w:w w:val="105"/>
          <w:sz w:val="20"/>
        </w:rPr>
        <w:t> </w:t>
      </w:r>
      <w:r>
        <w:rPr>
          <w:color w:val="231F20"/>
          <w:w w:val="105"/>
          <w:sz w:val="20"/>
        </w:rPr>
        <w:t>urine</w:t>
      </w:r>
      <w:r>
        <w:rPr>
          <w:color w:val="231F20"/>
          <w:spacing w:val="-27"/>
          <w:w w:val="105"/>
          <w:sz w:val="20"/>
        </w:rPr>
        <w:t> </w:t>
      </w:r>
      <w:r>
        <w:rPr>
          <w:color w:val="231F20"/>
          <w:w w:val="105"/>
          <w:sz w:val="20"/>
        </w:rPr>
        <w:t>through</w:t>
      </w:r>
      <w:r>
        <w:rPr>
          <w:color w:val="231F20"/>
          <w:spacing w:val="-27"/>
          <w:w w:val="105"/>
          <w:sz w:val="20"/>
        </w:rPr>
        <w:t> </w:t>
      </w:r>
      <w:r>
        <w:rPr>
          <w:color w:val="231F20"/>
          <w:w w:val="105"/>
          <w:sz w:val="20"/>
        </w:rPr>
        <w:t>the hyperosmotic</w:t>
      </w:r>
      <w:r>
        <w:rPr>
          <w:color w:val="231F20"/>
          <w:spacing w:val="-31"/>
          <w:w w:val="105"/>
          <w:sz w:val="20"/>
        </w:rPr>
        <w:t> </w:t>
      </w:r>
      <w:r>
        <w:rPr>
          <w:color w:val="231F20"/>
          <w:w w:val="105"/>
          <w:sz w:val="20"/>
        </w:rPr>
        <w:t>renal</w:t>
      </w:r>
      <w:r>
        <w:rPr>
          <w:color w:val="231F20"/>
          <w:spacing w:val="-30"/>
          <w:w w:val="105"/>
          <w:sz w:val="20"/>
        </w:rPr>
        <w:t> </w:t>
      </w:r>
      <w:r>
        <w:rPr>
          <w:color w:val="231F20"/>
          <w:w w:val="105"/>
          <w:sz w:val="20"/>
        </w:rPr>
        <w:t>medulla</w:t>
      </w:r>
      <w:r>
        <w:rPr>
          <w:color w:val="231F20"/>
          <w:spacing w:val="-30"/>
          <w:w w:val="105"/>
          <w:sz w:val="20"/>
        </w:rPr>
        <w:t> </w:t>
      </w:r>
      <w:r>
        <w:rPr>
          <w:color w:val="231F20"/>
          <w:w w:val="105"/>
          <w:sz w:val="20"/>
        </w:rPr>
        <w:t>before</w:t>
      </w:r>
      <w:r>
        <w:rPr>
          <w:color w:val="231F20"/>
          <w:spacing w:val="-30"/>
          <w:w w:val="105"/>
          <w:sz w:val="20"/>
        </w:rPr>
        <w:t> </w:t>
      </w:r>
      <w:r>
        <w:rPr>
          <w:color w:val="231F20"/>
          <w:w w:val="105"/>
          <w:sz w:val="20"/>
        </w:rPr>
        <w:t>it</w:t>
      </w:r>
      <w:r>
        <w:rPr>
          <w:color w:val="231F20"/>
          <w:spacing w:val="-30"/>
          <w:w w:val="105"/>
          <w:sz w:val="20"/>
        </w:rPr>
        <w:t> </w:t>
      </w:r>
      <w:r>
        <w:rPr>
          <w:color w:val="231F20"/>
          <w:w w:val="105"/>
          <w:sz w:val="20"/>
        </w:rPr>
        <w:t>is</w:t>
      </w:r>
      <w:r>
        <w:rPr>
          <w:color w:val="231F20"/>
          <w:spacing w:val="-31"/>
          <w:w w:val="105"/>
          <w:sz w:val="20"/>
        </w:rPr>
        <w:t> </w:t>
      </w:r>
      <w:r>
        <w:rPr>
          <w:color w:val="231F20"/>
          <w:w w:val="105"/>
          <w:sz w:val="20"/>
        </w:rPr>
        <w:t>excreted,</w:t>
      </w:r>
      <w:r>
        <w:rPr>
          <w:color w:val="231F20"/>
          <w:spacing w:val="-30"/>
          <w:w w:val="105"/>
          <w:sz w:val="20"/>
        </w:rPr>
        <w:t> </w:t>
      </w:r>
      <w:r>
        <w:rPr>
          <w:color w:val="231F20"/>
          <w:w w:val="105"/>
          <w:sz w:val="20"/>
        </w:rPr>
        <w:t>also</w:t>
      </w:r>
      <w:r>
        <w:rPr>
          <w:color w:val="231F20"/>
          <w:spacing w:val="-30"/>
          <w:w w:val="105"/>
          <w:sz w:val="20"/>
        </w:rPr>
        <w:t> </w:t>
      </w:r>
      <w:r>
        <w:rPr>
          <w:color w:val="231F20"/>
          <w:w w:val="105"/>
          <w:sz w:val="20"/>
        </w:rPr>
        <w:t>play a critical role in the countercurrent</w:t>
      </w:r>
      <w:r>
        <w:rPr>
          <w:color w:val="231F20"/>
          <w:spacing w:val="10"/>
          <w:w w:val="105"/>
          <w:sz w:val="20"/>
        </w:rPr>
        <w:t> </w:t>
      </w:r>
      <w:r>
        <w:rPr>
          <w:color w:val="231F20"/>
          <w:w w:val="105"/>
          <w:sz w:val="20"/>
        </w:rPr>
        <w:t>mechanism.</w:t>
      </w:r>
    </w:p>
    <w:p>
      <w:pPr>
        <w:pStyle w:val="BodyText"/>
        <w:spacing w:before="8"/>
        <w:rPr>
          <w:sz w:val="31"/>
        </w:rPr>
      </w:pPr>
    </w:p>
    <w:p>
      <w:pPr>
        <w:pStyle w:val="Heading2"/>
        <w:spacing w:line="225" w:lineRule="auto"/>
        <w:ind w:left="1080" w:right="800"/>
      </w:pPr>
      <w:r>
        <w:rPr>
          <w:color w:val="231F20"/>
        </w:rPr>
        <w:t>COUNTERCURRENT MULTIPLIER </w:t>
      </w:r>
      <w:r>
        <w:rPr>
          <w:color w:val="231F20"/>
          <w:w w:val="105"/>
        </w:rPr>
        <w:t>MECHANISM PRODUCES</w:t>
      </w:r>
    </w:p>
    <w:p>
      <w:pPr>
        <w:spacing w:line="225" w:lineRule="auto" w:before="0"/>
        <w:ind w:left="1080" w:right="800" w:firstLine="0"/>
        <w:jc w:val="left"/>
        <w:rPr>
          <w:rFonts w:ascii="Trebuchet MS"/>
          <w:b/>
          <w:sz w:val="22"/>
        </w:rPr>
      </w:pPr>
      <w:r>
        <w:rPr>
          <w:rFonts w:ascii="Trebuchet MS"/>
          <w:b/>
          <w:color w:val="231F20"/>
          <w:w w:val="105"/>
          <w:sz w:val="22"/>
        </w:rPr>
        <w:t>A HYPEROSMOTIC RENAL MEDULLARY INTERSTITIUM</w:t>
      </w:r>
    </w:p>
    <w:p>
      <w:pPr>
        <w:pStyle w:val="BodyText"/>
        <w:spacing w:line="249" w:lineRule="auto" w:before="127"/>
        <w:ind w:left="1080"/>
        <w:jc w:val="both"/>
      </w:pPr>
      <w:r>
        <w:rPr>
          <w:color w:val="231F20"/>
        </w:rPr>
        <w:t>The osmolarity of interstitial fluid in almost all parts </w:t>
      </w:r>
      <w:r>
        <w:rPr>
          <w:color w:val="231F20"/>
          <w:spacing w:val="-6"/>
        </w:rPr>
        <w:t>of </w:t>
      </w:r>
      <w:r>
        <w:rPr>
          <w:color w:val="231F20"/>
        </w:rPr>
        <w:t>the body is about 300 mOsm/L, which is similar to </w:t>
      </w:r>
      <w:r>
        <w:rPr>
          <w:color w:val="231F20"/>
          <w:spacing w:val="-6"/>
        </w:rPr>
        <w:t>the </w:t>
      </w:r>
      <w:r>
        <w:rPr>
          <w:color w:val="231F20"/>
        </w:rPr>
        <w:t>plasma osmolarity. (As discussed in Chapter 25, the </w:t>
      </w:r>
      <w:r>
        <w:rPr>
          <w:i/>
          <w:color w:val="231F20"/>
          <w:spacing w:val="-3"/>
        </w:rPr>
        <w:t>cor- </w:t>
      </w:r>
      <w:r>
        <w:rPr>
          <w:i/>
          <w:color w:val="231F20"/>
        </w:rPr>
        <w:t>rected osmolar activity, </w:t>
      </w:r>
      <w:r>
        <w:rPr>
          <w:color w:val="231F20"/>
        </w:rPr>
        <w:t>which accounts for intermolecu­ lar</w:t>
      </w:r>
      <w:r>
        <w:rPr>
          <w:color w:val="231F20"/>
          <w:spacing w:val="28"/>
        </w:rPr>
        <w:t> </w:t>
      </w:r>
      <w:r>
        <w:rPr>
          <w:color w:val="231F20"/>
        </w:rPr>
        <w:t>attraction,</w:t>
      </w:r>
      <w:r>
        <w:rPr>
          <w:color w:val="231F20"/>
          <w:spacing w:val="29"/>
        </w:rPr>
        <w:t> </w:t>
      </w:r>
      <w:r>
        <w:rPr>
          <w:color w:val="231F20"/>
        </w:rPr>
        <w:t>is</w:t>
      </w:r>
      <w:r>
        <w:rPr>
          <w:color w:val="231F20"/>
          <w:spacing w:val="28"/>
        </w:rPr>
        <w:t> </w:t>
      </w:r>
      <w:r>
        <w:rPr>
          <w:color w:val="231F20"/>
        </w:rPr>
        <w:t>about</w:t>
      </w:r>
      <w:r>
        <w:rPr>
          <w:color w:val="231F20"/>
          <w:spacing w:val="29"/>
        </w:rPr>
        <w:t> </w:t>
      </w:r>
      <w:r>
        <w:rPr>
          <w:color w:val="231F20"/>
        </w:rPr>
        <w:t>282</w:t>
      </w:r>
      <w:r>
        <w:rPr>
          <w:color w:val="231F20"/>
          <w:spacing w:val="18"/>
        </w:rPr>
        <w:t> </w:t>
      </w:r>
      <w:r>
        <w:rPr>
          <w:color w:val="231F20"/>
        </w:rPr>
        <w:t>mOsm/L.)</w:t>
      </w:r>
      <w:r>
        <w:rPr>
          <w:color w:val="231F20"/>
          <w:spacing w:val="29"/>
        </w:rPr>
        <w:t> </w:t>
      </w:r>
      <w:r>
        <w:rPr>
          <w:color w:val="231F20"/>
        </w:rPr>
        <w:t>The</w:t>
      </w:r>
      <w:r>
        <w:rPr>
          <w:color w:val="231F20"/>
          <w:spacing w:val="28"/>
        </w:rPr>
        <w:t> </w:t>
      </w:r>
      <w:r>
        <w:rPr>
          <w:color w:val="231F20"/>
        </w:rPr>
        <w:t>osmolarity</w:t>
      </w:r>
      <w:r>
        <w:rPr>
          <w:color w:val="231F20"/>
          <w:spacing w:val="29"/>
        </w:rPr>
        <w:t> </w:t>
      </w:r>
      <w:r>
        <w:rPr>
          <w:color w:val="231F20"/>
          <w:spacing w:val="-8"/>
        </w:rPr>
        <w:t>of</w:t>
      </w:r>
    </w:p>
    <w:p>
      <w:pPr>
        <w:pStyle w:val="BodyText"/>
        <w:spacing w:line="249" w:lineRule="auto" w:before="99"/>
        <w:ind w:left="319" w:right="1437"/>
        <w:jc w:val="both"/>
      </w:pPr>
      <w:r>
        <w:rPr/>
        <w:br w:type="column"/>
      </w:r>
      <w:r>
        <w:rPr>
          <w:color w:val="231F20"/>
          <w:w w:val="105"/>
        </w:rPr>
        <w:t>the</w:t>
      </w:r>
      <w:r>
        <w:rPr>
          <w:color w:val="231F20"/>
          <w:spacing w:val="-7"/>
          <w:w w:val="105"/>
        </w:rPr>
        <w:t> </w:t>
      </w:r>
      <w:r>
        <w:rPr>
          <w:color w:val="231F20"/>
          <w:w w:val="105"/>
        </w:rPr>
        <w:t>interstitial</w:t>
      </w:r>
      <w:r>
        <w:rPr>
          <w:color w:val="231F20"/>
          <w:spacing w:val="-6"/>
          <w:w w:val="105"/>
        </w:rPr>
        <w:t> </w:t>
      </w:r>
      <w:r>
        <w:rPr>
          <w:color w:val="231F20"/>
          <w:w w:val="105"/>
        </w:rPr>
        <w:t>fluid</w:t>
      </w:r>
      <w:r>
        <w:rPr>
          <w:color w:val="231F20"/>
          <w:spacing w:val="-7"/>
          <w:w w:val="105"/>
        </w:rPr>
        <w:t> </w:t>
      </w:r>
      <w:r>
        <w:rPr>
          <w:color w:val="231F20"/>
          <w:w w:val="105"/>
        </w:rPr>
        <w:t>in</w:t>
      </w:r>
      <w:r>
        <w:rPr>
          <w:color w:val="231F20"/>
          <w:spacing w:val="-6"/>
          <w:w w:val="105"/>
        </w:rPr>
        <w:t> </w:t>
      </w:r>
      <w:r>
        <w:rPr>
          <w:color w:val="231F20"/>
          <w:w w:val="105"/>
        </w:rPr>
        <w:t>the</w:t>
      </w:r>
      <w:r>
        <w:rPr>
          <w:color w:val="231F20"/>
          <w:spacing w:val="-7"/>
          <w:w w:val="105"/>
        </w:rPr>
        <w:t> </w:t>
      </w:r>
      <w:r>
        <w:rPr>
          <w:color w:val="231F20"/>
          <w:w w:val="105"/>
        </w:rPr>
        <w:t>medulla</w:t>
      </w:r>
      <w:r>
        <w:rPr>
          <w:color w:val="231F20"/>
          <w:spacing w:val="-6"/>
          <w:w w:val="105"/>
        </w:rPr>
        <w:t> </w:t>
      </w:r>
      <w:r>
        <w:rPr>
          <w:color w:val="231F20"/>
          <w:w w:val="105"/>
        </w:rPr>
        <w:t>of</w:t>
      </w:r>
      <w:r>
        <w:rPr>
          <w:color w:val="231F20"/>
          <w:spacing w:val="-7"/>
          <w:w w:val="105"/>
        </w:rPr>
        <w:t> </w:t>
      </w:r>
      <w:r>
        <w:rPr>
          <w:color w:val="231F20"/>
          <w:w w:val="105"/>
        </w:rPr>
        <w:t>the</w:t>
      </w:r>
      <w:r>
        <w:rPr>
          <w:color w:val="231F20"/>
          <w:spacing w:val="-6"/>
          <w:w w:val="105"/>
        </w:rPr>
        <w:t> </w:t>
      </w:r>
      <w:r>
        <w:rPr>
          <w:color w:val="231F20"/>
          <w:w w:val="105"/>
        </w:rPr>
        <w:t>kidney</w:t>
      </w:r>
      <w:r>
        <w:rPr>
          <w:color w:val="231F20"/>
          <w:spacing w:val="-7"/>
          <w:w w:val="105"/>
        </w:rPr>
        <w:t> </w:t>
      </w:r>
      <w:r>
        <w:rPr>
          <w:color w:val="231F20"/>
          <w:w w:val="105"/>
        </w:rPr>
        <w:t>is</w:t>
      </w:r>
      <w:r>
        <w:rPr>
          <w:color w:val="231F20"/>
          <w:spacing w:val="-6"/>
          <w:w w:val="105"/>
        </w:rPr>
        <w:t> </w:t>
      </w:r>
      <w:r>
        <w:rPr>
          <w:color w:val="231F20"/>
          <w:w w:val="105"/>
        </w:rPr>
        <w:t>much higher and may increase progressively to about 1200 to 1400</w:t>
      </w:r>
      <w:r>
        <w:rPr>
          <w:color w:val="231F20"/>
          <w:spacing w:val="-13"/>
          <w:w w:val="105"/>
        </w:rPr>
        <w:t> </w:t>
      </w:r>
      <w:r>
        <w:rPr>
          <w:color w:val="231F20"/>
          <w:w w:val="105"/>
        </w:rPr>
        <w:t>mOsm/L</w:t>
      </w:r>
      <w:r>
        <w:rPr>
          <w:color w:val="231F20"/>
          <w:spacing w:val="-25"/>
          <w:w w:val="105"/>
        </w:rPr>
        <w:t> </w:t>
      </w:r>
      <w:r>
        <w:rPr>
          <w:color w:val="231F20"/>
          <w:w w:val="105"/>
        </w:rPr>
        <w:t>in</w:t>
      </w:r>
      <w:r>
        <w:rPr>
          <w:color w:val="231F20"/>
          <w:spacing w:val="-26"/>
          <w:w w:val="105"/>
        </w:rPr>
        <w:t> </w:t>
      </w:r>
      <w:r>
        <w:rPr>
          <w:color w:val="231F20"/>
          <w:w w:val="105"/>
        </w:rPr>
        <w:t>the</w:t>
      </w:r>
      <w:r>
        <w:rPr>
          <w:color w:val="231F20"/>
          <w:spacing w:val="-26"/>
          <w:w w:val="105"/>
        </w:rPr>
        <w:t> </w:t>
      </w:r>
      <w:r>
        <w:rPr>
          <w:color w:val="231F20"/>
          <w:w w:val="105"/>
        </w:rPr>
        <w:t>pelvic</w:t>
      </w:r>
      <w:r>
        <w:rPr>
          <w:color w:val="231F20"/>
          <w:spacing w:val="-26"/>
          <w:w w:val="105"/>
        </w:rPr>
        <w:t> </w:t>
      </w:r>
      <w:r>
        <w:rPr>
          <w:color w:val="231F20"/>
          <w:w w:val="105"/>
        </w:rPr>
        <w:t>tip</w:t>
      </w:r>
      <w:r>
        <w:rPr>
          <w:color w:val="231F20"/>
          <w:spacing w:val="-25"/>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medulla.</w:t>
      </w:r>
      <w:r>
        <w:rPr>
          <w:color w:val="231F20"/>
          <w:spacing w:val="-26"/>
          <w:w w:val="105"/>
        </w:rPr>
        <w:t> </w:t>
      </w:r>
      <w:r>
        <w:rPr>
          <w:color w:val="231F20"/>
          <w:w w:val="105"/>
        </w:rPr>
        <w:t>This</w:t>
      </w:r>
      <w:r>
        <w:rPr>
          <w:color w:val="231F20"/>
          <w:spacing w:val="-25"/>
          <w:w w:val="105"/>
        </w:rPr>
        <w:t> </w:t>
      </w:r>
      <w:r>
        <w:rPr>
          <w:color w:val="231F20"/>
          <w:w w:val="105"/>
        </w:rPr>
        <w:t>means that the renal medullary interstitium has accumulated solutes in great excess of </w:t>
      </w:r>
      <w:r>
        <w:rPr>
          <w:color w:val="231F20"/>
          <w:spacing w:val="-3"/>
          <w:w w:val="105"/>
        </w:rPr>
        <w:t>water. </w:t>
      </w:r>
      <w:r>
        <w:rPr>
          <w:color w:val="231F20"/>
          <w:w w:val="105"/>
        </w:rPr>
        <w:t>Once the high solute concentration</w:t>
      </w:r>
      <w:r>
        <w:rPr>
          <w:color w:val="231F20"/>
          <w:spacing w:val="-16"/>
          <w:w w:val="105"/>
        </w:rPr>
        <w:t> </w:t>
      </w:r>
      <w:r>
        <w:rPr>
          <w:color w:val="231F20"/>
          <w:w w:val="105"/>
        </w:rPr>
        <w:t>in</w:t>
      </w:r>
      <w:r>
        <w:rPr>
          <w:color w:val="231F20"/>
          <w:spacing w:val="-15"/>
          <w:w w:val="105"/>
        </w:rPr>
        <w:t> </w:t>
      </w:r>
      <w:r>
        <w:rPr>
          <w:color w:val="231F20"/>
          <w:w w:val="105"/>
        </w:rPr>
        <w:t>the</w:t>
      </w:r>
      <w:r>
        <w:rPr>
          <w:color w:val="231F20"/>
          <w:spacing w:val="-15"/>
          <w:w w:val="105"/>
        </w:rPr>
        <w:t> </w:t>
      </w:r>
      <w:r>
        <w:rPr>
          <w:color w:val="231F20"/>
          <w:w w:val="105"/>
        </w:rPr>
        <w:t>medulla</w:t>
      </w:r>
      <w:r>
        <w:rPr>
          <w:color w:val="231F20"/>
          <w:spacing w:val="-15"/>
          <w:w w:val="105"/>
        </w:rPr>
        <w:t> </w:t>
      </w:r>
      <w:r>
        <w:rPr>
          <w:color w:val="231F20"/>
          <w:w w:val="105"/>
        </w:rPr>
        <w:t>is</w:t>
      </w:r>
      <w:r>
        <w:rPr>
          <w:color w:val="231F20"/>
          <w:spacing w:val="-15"/>
          <w:w w:val="105"/>
        </w:rPr>
        <w:t> </w:t>
      </w:r>
      <w:r>
        <w:rPr>
          <w:color w:val="231F20"/>
          <w:w w:val="105"/>
        </w:rPr>
        <w:t>achieved,</w:t>
      </w:r>
      <w:r>
        <w:rPr>
          <w:color w:val="231F20"/>
          <w:spacing w:val="-15"/>
          <w:w w:val="105"/>
        </w:rPr>
        <w:t> </w:t>
      </w:r>
      <w:r>
        <w:rPr>
          <w:color w:val="231F20"/>
          <w:w w:val="105"/>
        </w:rPr>
        <w:t>it</w:t>
      </w:r>
      <w:r>
        <w:rPr>
          <w:color w:val="231F20"/>
          <w:spacing w:val="-15"/>
          <w:w w:val="105"/>
        </w:rPr>
        <w:t> </w:t>
      </w:r>
      <w:r>
        <w:rPr>
          <w:color w:val="231F20"/>
          <w:w w:val="105"/>
        </w:rPr>
        <w:t>is</w:t>
      </w:r>
      <w:r>
        <w:rPr>
          <w:color w:val="231F20"/>
          <w:spacing w:val="-15"/>
          <w:w w:val="105"/>
        </w:rPr>
        <w:t> </w:t>
      </w:r>
      <w:r>
        <w:rPr>
          <w:color w:val="231F20"/>
          <w:w w:val="105"/>
        </w:rPr>
        <w:t>maintained by</w:t>
      </w:r>
      <w:r>
        <w:rPr>
          <w:color w:val="231F20"/>
          <w:spacing w:val="-9"/>
          <w:w w:val="105"/>
        </w:rPr>
        <w:t> </w:t>
      </w:r>
      <w:r>
        <w:rPr>
          <w:color w:val="231F20"/>
          <w:w w:val="105"/>
        </w:rPr>
        <w:t>a</w:t>
      </w:r>
      <w:r>
        <w:rPr>
          <w:color w:val="231F20"/>
          <w:spacing w:val="-9"/>
          <w:w w:val="105"/>
        </w:rPr>
        <w:t> </w:t>
      </w:r>
      <w:r>
        <w:rPr>
          <w:color w:val="231F20"/>
          <w:w w:val="105"/>
        </w:rPr>
        <w:t>balanced</w:t>
      </w:r>
      <w:r>
        <w:rPr>
          <w:color w:val="231F20"/>
          <w:spacing w:val="-9"/>
          <w:w w:val="105"/>
        </w:rPr>
        <w:t> </w:t>
      </w:r>
      <w:r>
        <w:rPr>
          <w:color w:val="231F20"/>
          <w:w w:val="105"/>
        </w:rPr>
        <w:t>inflow</w:t>
      </w:r>
      <w:r>
        <w:rPr>
          <w:color w:val="231F20"/>
          <w:spacing w:val="-9"/>
          <w:w w:val="105"/>
        </w:rPr>
        <w:t> </w:t>
      </w:r>
      <w:r>
        <w:rPr>
          <w:color w:val="231F20"/>
          <w:w w:val="105"/>
        </w:rPr>
        <w:t>and</w:t>
      </w:r>
      <w:r>
        <w:rPr>
          <w:color w:val="231F20"/>
          <w:spacing w:val="-9"/>
          <w:w w:val="105"/>
        </w:rPr>
        <w:t> </w:t>
      </w:r>
      <w:r>
        <w:rPr>
          <w:color w:val="231F20"/>
          <w:w w:val="105"/>
        </w:rPr>
        <w:t>outflow</w:t>
      </w:r>
      <w:r>
        <w:rPr>
          <w:color w:val="231F20"/>
          <w:spacing w:val="-9"/>
          <w:w w:val="105"/>
        </w:rPr>
        <w:t> </w:t>
      </w:r>
      <w:r>
        <w:rPr>
          <w:color w:val="231F20"/>
          <w:w w:val="105"/>
        </w:rPr>
        <w:t>of</w:t>
      </w:r>
      <w:r>
        <w:rPr>
          <w:color w:val="231F20"/>
          <w:spacing w:val="-8"/>
          <w:w w:val="105"/>
        </w:rPr>
        <w:t> </w:t>
      </w:r>
      <w:r>
        <w:rPr>
          <w:color w:val="231F20"/>
          <w:w w:val="105"/>
        </w:rPr>
        <w:t>solutes</w:t>
      </w:r>
      <w:r>
        <w:rPr>
          <w:color w:val="231F20"/>
          <w:spacing w:val="-9"/>
          <w:w w:val="105"/>
        </w:rPr>
        <w:t> </w:t>
      </w:r>
      <w:r>
        <w:rPr>
          <w:color w:val="231F20"/>
          <w:w w:val="105"/>
        </w:rPr>
        <w:t>and</w:t>
      </w:r>
      <w:r>
        <w:rPr>
          <w:color w:val="231F20"/>
          <w:spacing w:val="-9"/>
          <w:w w:val="105"/>
        </w:rPr>
        <w:t> </w:t>
      </w:r>
      <w:r>
        <w:rPr>
          <w:color w:val="231F20"/>
          <w:w w:val="105"/>
        </w:rPr>
        <w:t>water</w:t>
      </w:r>
      <w:r>
        <w:rPr>
          <w:color w:val="231F20"/>
          <w:spacing w:val="-9"/>
          <w:w w:val="105"/>
        </w:rPr>
        <w:t> </w:t>
      </w:r>
      <w:r>
        <w:rPr>
          <w:color w:val="231F20"/>
          <w:spacing w:val="-7"/>
          <w:w w:val="105"/>
        </w:rPr>
        <w:t>in </w:t>
      </w:r>
      <w:r>
        <w:rPr>
          <w:color w:val="231F20"/>
          <w:w w:val="105"/>
        </w:rPr>
        <w:t>the</w:t>
      </w:r>
      <w:r>
        <w:rPr>
          <w:color w:val="231F20"/>
          <w:spacing w:val="3"/>
          <w:w w:val="105"/>
        </w:rPr>
        <w:t> </w:t>
      </w:r>
      <w:r>
        <w:rPr>
          <w:color w:val="231F20"/>
          <w:w w:val="105"/>
        </w:rPr>
        <w:t>medulla.</w:t>
      </w:r>
    </w:p>
    <w:p>
      <w:pPr>
        <w:pStyle w:val="BodyText"/>
        <w:spacing w:line="249" w:lineRule="auto" w:before="7"/>
        <w:ind w:left="319" w:right="1437" w:firstLine="240"/>
        <w:jc w:val="both"/>
      </w:pPr>
      <w:r>
        <w:rPr>
          <w:color w:val="231F20"/>
          <w:w w:val="105"/>
        </w:rPr>
        <w:t>The major factors that  contribute  to  the  buildup  of solute concentration into the renal medulla are as follows:</w:t>
      </w:r>
    </w:p>
    <w:p>
      <w:pPr>
        <w:pStyle w:val="ListParagraph"/>
        <w:numPr>
          <w:ilvl w:val="2"/>
          <w:numId w:val="19"/>
        </w:numPr>
        <w:tabs>
          <w:tab w:pos="802" w:val="left" w:leader="none"/>
        </w:tabs>
        <w:spacing w:line="249" w:lineRule="auto" w:before="3" w:after="0"/>
        <w:ind w:left="801" w:right="1437" w:hanging="243"/>
        <w:jc w:val="both"/>
        <w:rPr>
          <w:sz w:val="20"/>
        </w:rPr>
      </w:pPr>
      <w:r>
        <w:rPr>
          <w:color w:val="231F20"/>
          <w:w w:val="105"/>
          <w:sz w:val="20"/>
        </w:rPr>
        <w:t>Active transport of sodium ions and co­transport of potassium, chloride, and other ions out of </w:t>
      </w:r>
      <w:r>
        <w:rPr>
          <w:color w:val="231F20"/>
          <w:spacing w:val="-5"/>
          <w:w w:val="105"/>
          <w:sz w:val="20"/>
        </w:rPr>
        <w:t>the </w:t>
      </w:r>
      <w:r>
        <w:rPr>
          <w:color w:val="231F20"/>
          <w:w w:val="105"/>
          <w:sz w:val="20"/>
        </w:rPr>
        <w:t>thick portion of the ascending limb of the loop of Henle into the medullary</w:t>
      </w:r>
      <w:r>
        <w:rPr>
          <w:color w:val="231F20"/>
          <w:spacing w:val="9"/>
          <w:w w:val="105"/>
          <w:sz w:val="20"/>
        </w:rPr>
        <w:t> </w:t>
      </w:r>
      <w:r>
        <w:rPr>
          <w:color w:val="231F20"/>
          <w:w w:val="105"/>
          <w:sz w:val="20"/>
        </w:rPr>
        <w:t>interstitium</w:t>
      </w:r>
    </w:p>
    <w:p>
      <w:pPr>
        <w:pStyle w:val="ListParagraph"/>
        <w:numPr>
          <w:ilvl w:val="2"/>
          <w:numId w:val="19"/>
        </w:numPr>
        <w:tabs>
          <w:tab w:pos="802" w:val="left" w:leader="none"/>
        </w:tabs>
        <w:spacing w:line="249" w:lineRule="auto" w:before="3" w:after="0"/>
        <w:ind w:left="801" w:right="1437" w:hanging="243"/>
        <w:jc w:val="both"/>
        <w:rPr>
          <w:sz w:val="20"/>
        </w:rPr>
      </w:pPr>
      <w:r>
        <w:rPr>
          <w:color w:val="231F20"/>
          <w:w w:val="105"/>
          <w:sz w:val="20"/>
        </w:rPr>
        <w:t>Active transport of ions from the collecting ducts into the medullary</w:t>
      </w:r>
      <w:r>
        <w:rPr>
          <w:color w:val="231F20"/>
          <w:spacing w:val="9"/>
          <w:w w:val="105"/>
          <w:sz w:val="20"/>
        </w:rPr>
        <w:t> </w:t>
      </w:r>
      <w:r>
        <w:rPr>
          <w:color w:val="231F20"/>
          <w:w w:val="105"/>
          <w:sz w:val="20"/>
        </w:rPr>
        <w:t>interstitium</w:t>
      </w:r>
    </w:p>
    <w:p>
      <w:pPr>
        <w:pStyle w:val="ListParagraph"/>
        <w:numPr>
          <w:ilvl w:val="2"/>
          <w:numId w:val="19"/>
        </w:numPr>
        <w:tabs>
          <w:tab w:pos="802" w:val="left" w:leader="none"/>
        </w:tabs>
        <w:spacing w:line="249" w:lineRule="auto" w:before="1" w:after="0"/>
        <w:ind w:left="801" w:right="1437" w:hanging="243"/>
        <w:jc w:val="both"/>
        <w:rPr>
          <w:sz w:val="20"/>
        </w:rPr>
      </w:pPr>
      <w:r>
        <w:rPr>
          <w:color w:val="231F20"/>
          <w:w w:val="105"/>
          <w:sz w:val="20"/>
        </w:rPr>
        <w:t>Facilitated diffusion of urea from the inner medullary collecting ducts into the medullary interstitium</w:t>
      </w:r>
    </w:p>
    <w:p>
      <w:pPr>
        <w:pStyle w:val="ListParagraph"/>
        <w:numPr>
          <w:ilvl w:val="2"/>
          <w:numId w:val="19"/>
        </w:numPr>
        <w:tabs>
          <w:tab w:pos="802" w:val="left" w:leader="none"/>
        </w:tabs>
        <w:spacing w:line="249" w:lineRule="auto" w:before="3" w:after="0"/>
        <w:ind w:left="801" w:right="1437" w:hanging="243"/>
        <w:jc w:val="both"/>
        <w:rPr>
          <w:sz w:val="20"/>
        </w:rPr>
      </w:pPr>
      <w:r>
        <w:rPr>
          <w:color w:val="231F20"/>
          <w:w w:val="105"/>
          <w:sz w:val="20"/>
        </w:rPr>
        <w:t>Diffusion</w:t>
      </w:r>
      <w:r>
        <w:rPr>
          <w:color w:val="231F20"/>
          <w:spacing w:val="-7"/>
          <w:w w:val="105"/>
          <w:sz w:val="20"/>
        </w:rPr>
        <w:t> </w:t>
      </w:r>
      <w:r>
        <w:rPr>
          <w:color w:val="231F20"/>
          <w:w w:val="105"/>
          <w:sz w:val="20"/>
        </w:rPr>
        <w:t>of</w:t>
      </w:r>
      <w:r>
        <w:rPr>
          <w:color w:val="231F20"/>
          <w:spacing w:val="-7"/>
          <w:w w:val="105"/>
          <w:sz w:val="20"/>
        </w:rPr>
        <w:t> </w:t>
      </w:r>
      <w:r>
        <w:rPr>
          <w:color w:val="231F20"/>
          <w:w w:val="105"/>
          <w:sz w:val="20"/>
        </w:rPr>
        <w:t>only</w:t>
      </w:r>
      <w:r>
        <w:rPr>
          <w:color w:val="231F20"/>
          <w:spacing w:val="-7"/>
          <w:w w:val="105"/>
          <w:sz w:val="20"/>
        </w:rPr>
        <w:t> </w:t>
      </w:r>
      <w:r>
        <w:rPr>
          <w:color w:val="231F20"/>
          <w:w w:val="105"/>
          <w:sz w:val="20"/>
        </w:rPr>
        <w:t>small</w:t>
      </w:r>
      <w:r>
        <w:rPr>
          <w:color w:val="231F20"/>
          <w:spacing w:val="-7"/>
          <w:w w:val="105"/>
          <w:sz w:val="20"/>
        </w:rPr>
        <w:t> </w:t>
      </w:r>
      <w:r>
        <w:rPr>
          <w:color w:val="231F20"/>
          <w:w w:val="105"/>
          <w:sz w:val="20"/>
        </w:rPr>
        <w:t>amounts</w:t>
      </w:r>
      <w:r>
        <w:rPr>
          <w:color w:val="231F20"/>
          <w:spacing w:val="-7"/>
          <w:w w:val="105"/>
          <w:sz w:val="20"/>
        </w:rPr>
        <w:t> </w:t>
      </w:r>
      <w:r>
        <w:rPr>
          <w:color w:val="231F20"/>
          <w:w w:val="105"/>
          <w:sz w:val="20"/>
        </w:rPr>
        <w:t>of</w:t>
      </w:r>
      <w:r>
        <w:rPr>
          <w:color w:val="231F20"/>
          <w:spacing w:val="-6"/>
          <w:w w:val="105"/>
          <w:sz w:val="20"/>
        </w:rPr>
        <w:t> </w:t>
      </w:r>
      <w:r>
        <w:rPr>
          <w:color w:val="231F20"/>
          <w:w w:val="105"/>
          <w:sz w:val="20"/>
        </w:rPr>
        <w:t>water</w:t>
      </w:r>
      <w:r>
        <w:rPr>
          <w:color w:val="231F20"/>
          <w:spacing w:val="-7"/>
          <w:w w:val="105"/>
          <w:sz w:val="20"/>
        </w:rPr>
        <w:t> </w:t>
      </w:r>
      <w:r>
        <w:rPr>
          <w:color w:val="231F20"/>
          <w:w w:val="105"/>
          <w:sz w:val="20"/>
        </w:rPr>
        <w:t>from</w:t>
      </w:r>
      <w:r>
        <w:rPr>
          <w:color w:val="231F20"/>
          <w:spacing w:val="-7"/>
          <w:w w:val="105"/>
          <w:sz w:val="20"/>
        </w:rPr>
        <w:t> </w:t>
      </w:r>
      <w:r>
        <w:rPr>
          <w:color w:val="231F20"/>
          <w:w w:val="105"/>
          <w:sz w:val="20"/>
        </w:rPr>
        <w:t>the medullary</w:t>
      </w:r>
      <w:r>
        <w:rPr>
          <w:color w:val="231F20"/>
          <w:spacing w:val="-29"/>
          <w:w w:val="105"/>
          <w:sz w:val="20"/>
        </w:rPr>
        <w:t> </w:t>
      </w:r>
      <w:r>
        <w:rPr>
          <w:color w:val="231F20"/>
          <w:w w:val="105"/>
          <w:sz w:val="20"/>
        </w:rPr>
        <w:t>tubules</w:t>
      </w:r>
      <w:r>
        <w:rPr>
          <w:color w:val="231F20"/>
          <w:spacing w:val="-29"/>
          <w:w w:val="105"/>
          <w:sz w:val="20"/>
        </w:rPr>
        <w:t> </w:t>
      </w:r>
      <w:r>
        <w:rPr>
          <w:color w:val="231F20"/>
          <w:w w:val="105"/>
          <w:sz w:val="20"/>
        </w:rPr>
        <w:t>into</w:t>
      </w:r>
      <w:r>
        <w:rPr>
          <w:color w:val="231F20"/>
          <w:spacing w:val="-29"/>
          <w:w w:val="105"/>
          <w:sz w:val="20"/>
        </w:rPr>
        <w:t> </w:t>
      </w:r>
      <w:r>
        <w:rPr>
          <w:color w:val="231F20"/>
          <w:w w:val="105"/>
          <w:sz w:val="20"/>
        </w:rPr>
        <w:t>the</w:t>
      </w:r>
      <w:r>
        <w:rPr>
          <w:color w:val="231F20"/>
          <w:spacing w:val="-29"/>
          <w:w w:val="105"/>
          <w:sz w:val="20"/>
        </w:rPr>
        <w:t> </w:t>
      </w:r>
      <w:r>
        <w:rPr>
          <w:color w:val="231F20"/>
          <w:w w:val="105"/>
          <w:sz w:val="20"/>
        </w:rPr>
        <w:t>medullary</w:t>
      </w:r>
      <w:r>
        <w:rPr>
          <w:color w:val="231F20"/>
          <w:spacing w:val="-29"/>
          <w:w w:val="105"/>
          <w:sz w:val="20"/>
        </w:rPr>
        <w:t> </w:t>
      </w:r>
      <w:r>
        <w:rPr>
          <w:color w:val="231F20"/>
          <w:w w:val="105"/>
          <w:sz w:val="20"/>
        </w:rPr>
        <w:t>interstitium— far less than the reabsorption of solutes into </w:t>
      </w:r>
      <w:r>
        <w:rPr>
          <w:color w:val="231F20"/>
          <w:spacing w:val="-5"/>
          <w:w w:val="105"/>
          <w:sz w:val="20"/>
        </w:rPr>
        <w:t>the </w:t>
      </w:r>
      <w:r>
        <w:rPr>
          <w:color w:val="231F20"/>
          <w:w w:val="105"/>
          <w:sz w:val="20"/>
        </w:rPr>
        <w:t>medullary</w:t>
      </w:r>
      <w:r>
        <w:rPr>
          <w:color w:val="231F20"/>
          <w:spacing w:val="3"/>
          <w:w w:val="105"/>
          <w:sz w:val="20"/>
        </w:rPr>
        <w:t> </w:t>
      </w:r>
      <w:r>
        <w:rPr>
          <w:color w:val="231F20"/>
          <w:w w:val="105"/>
          <w:sz w:val="20"/>
        </w:rPr>
        <w:t>interstitium</w:t>
      </w:r>
    </w:p>
    <w:p>
      <w:pPr>
        <w:pStyle w:val="BodyText"/>
        <w:spacing w:before="10"/>
        <w:rPr>
          <w:sz w:val="24"/>
        </w:rPr>
      </w:pPr>
      <w:r>
        <w:rPr/>
        <w:pict>
          <v:shape style="position:absolute;margin-left:306pt;margin-top:15.510309pt;width:234pt;height:52pt;mso-position-horizontal-relative:page;mso-position-vertical-relative:paragraph;z-index:-250944512;mso-wrap-distance-left:0;mso-wrap-distance-right:0" type="#_x0000_t202" filled="true" fillcolor="#e8dac8" stroked="false">
            <v:textbox inset="0,0,0,0">
              <w:txbxContent>
                <w:p>
                  <w:pPr>
                    <w:spacing w:line="225" w:lineRule="auto" w:before="46"/>
                    <w:ind w:left="60" w:right="779" w:firstLine="0"/>
                    <w:jc w:val="left"/>
                    <w:rPr>
                      <w:rFonts w:ascii="Trebuchet MS"/>
                      <w:b/>
                      <w:sz w:val="22"/>
                    </w:rPr>
                  </w:pPr>
                  <w:r>
                    <w:rPr>
                      <w:rFonts w:ascii="Trebuchet MS"/>
                      <w:b/>
                      <w:color w:val="231F20"/>
                      <w:w w:val="110"/>
                      <w:sz w:val="22"/>
                    </w:rPr>
                    <w:t>SPECIAL CHARACTERISTICS OF THE LOOP OF HENLE THAT CAUSE SOLUTES TO BE TRAPPED IN</w:t>
                  </w:r>
                </w:p>
                <w:p>
                  <w:pPr>
                    <w:spacing w:line="243" w:lineRule="exact" w:before="0"/>
                    <w:ind w:left="60" w:right="0" w:firstLine="0"/>
                    <w:jc w:val="left"/>
                    <w:rPr>
                      <w:rFonts w:ascii="Trebuchet MS"/>
                      <w:b/>
                      <w:sz w:val="22"/>
                    </w:rPr>
                  </w:pPr>
                  <w:r>
                    <w:rPr>
                      <w:rFonts w:ascii="Trebuchet MS"/>
                      <w:b/>
                      <w:color w:val="231F20"/>
                      <w:w w:val="110"/>
                      <w:sz w:val="22"/>
                    </w:rPr>
                    <w:t>THE RENAL MEDULLA</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437"/>
        <w:jc w:val="both"/>
      </w:pPr>
      <w:r>
        <w:rPr>
          <w:color w:val="231F20"/>
          <w:w w:val="105"/>
        </w:rPr>
        <w:t>The transport characteristics of the loops of Henle are summarized in </w:t>
      </w:r>
      <w:hyperlink w:history="true" w:anchor="_bookmark69">
        <w:r>
          <w:rPr>
            <w:b/>
            <w:color w:val="0080AC"/>
            <w:w w:val="105"/>
          </w:rPr>
          <w:t>Table 29-1</w:t>
        </w:r>
      </w:hyperlink>
      <w:r>
        <w:rPr>
          <w:color w:val="231F20"/>
          <w:w w:val="105"/>
        </w:rPr>
        <w:t>, along with the properties of the proximal tubules, distal tubules, cortical collecting tubules, and inner medullary collecting ducts.</w:t>
      </w:r>
    </w:p>
    <w:p>
      <w:pPr>
        <w:pStyle w:val="BodyText"/>
        <w:spacing w:line="249" w:lineRule="auto" w:before="3"/>
        <w:ind w:left="319" w:right="1437" w:firstLine="240"/>
        <w:jc w:val="both"/>
      </w:pPr>
      <w:r>
        <w:rPr>
          <w:color w:val="231F20"/>
        </w:rPr>
        <w:t>A major reason for the high medullary osmolarity </w:t>
      </w:r>
      <w:r>
        <w:rPr>
          <w:color w:val="231F20"/>
          <w:spacing w:val="-6"/>
        </w:rPr>
        <w:t>is </w:t>
      </w:r>
      <w:r>
        <w:rPr>
          <w:color w:val="231F20"/>
        </w:rPr>
        <w:t>active transport of sodium and co­transport of potas­ sium, chloride, and other ions from the thick ascending loop of Henle into the interstitium. This pump is capable of establishing about a 200­milliosmole concentration gradient between the tubular lumen and the </w:t>
      </w:r>
      <w:r>
        <w:rPr>
          <w:color w:val="231F20"/>
          <w:spacing w:val="-3"/>
        </w:rPr>
        <w:t>interstitial </w:t>
      </w:r>
      <w:r>
        <w:rPr>
          <w:color w:val="231F20"/>
        </w:rPr>
        <w:t>fluid. Because the thick ascending limb is virtually imper­ meable to </w:t>
      </w:r>
      <w:r>
        <w:rPr>
          <w:color w:val="231F20"/>
          <w:spacing w:val="-3"/>
        </w:rPr>
        <w:t>water, </w:t>
      </w:r>
      <w:r>
        <w:rPr>
          <w:color w:val="231F20"/>
        </w:rPr>
        <w:t>the solutes pumped out are not followed by osmotic flow of water into the interstitium. Thus, </w:t>
      </w:r>
      <w:r>
        <w:rPr>
          <w:color w:val="231F20"/>
          <w:spacing w:val="-5"/>
        </w:rPr>
        <w:t>the </w:t>
      </w:r>
      <w:r>
        <w:rPr>
          <w:color w:val="231F20"/>
        </w:rPr>
        <w:t>active transport of sodium and other ions out of the </w:t>
      </w:r>
      <w:r>
        <w:rPr>
          <w:color w:val="231F20"/>
          <w:spacing w:val="-4"/>
        </w:rPr>
        <w:t>thick </w:t>
      </w:r>
      <w:r>
        <w:rPr>
          <w:color w:val="231F20"/>
        </w:rPr>
        <w:t>ascending loop adds solutes in excess of water to the </w:t>
      </w:r>
      <w:r>
        <w:rPr>
          <w:color w:val="231F20"/>
          <w:spacing w:val="-4"/>
        </w:rPr>
        <w:t>renal </w:t>
      </w:r>
      <w:r>
        <w:rPr>
          <w:color w:val="231F20"/>
        </w:rPr>
        <w:t>medullary interstitium. There is some passive reabsorp­ tion of sodium chloride from the thin ascending limb </w:t>
      </w:r>
      <w:r>
        <w:rPr>
          <w:color w:val="231F20"/>
          <w:spacing w:val="-6"/>
        </w:rPr>
        <w:t>of </w:t>
      </w:r>
      <w:r>
        <w:rPr>
          <w:color w:val="231F20"/>
          <w:spacing w:val="-3"/>
        </w:rPr>
        <w:t>Henle’s </w:t>
      </w:r>
      <w:r>
        <w:rPr>
          <w:color w:val="231F20"/>
        </w:rPr>
        <w:t>loop, which is also impermeable to </w:t>
      </w:r>
      <w:r>
        <w:rPr>
          <w:color w:val="231F20"/>
          <w:spacing w:val="-3"/>
        </w:rPr>
        <w:t>water, </w:t>
      </w:r>
      <w:r>
        <w:rPr>
          <w:color w:val="231F20"/>
        </w:rPr>
        <w:t>adding further to the high solute concentration of the renal med­ ullary</w:t>
      </w:r>
      <w:r>
        <w:rPr>
          <w:color w:val="231F20"/>
          <w:spacing w:val="6"/>
        </w:rPr>
        <w:t> </w:t>
      </w:r>
      <w:r>
        <w:rPr>
          <w:color w:val="231F20"/>
        </w:rPr>
        <w:t>interstitium.</w:t>
      </w:r>
    </w:p>
    <w:p>
      <w:pPr>
        <w:pStyle w:val="BodyText"/>
        <w:spacing w:line="249" w:lineRule="auto" w:before="13"/>
        <w:ind w:left="319" w:right="1437" w:firstLine="240"/>
        <w:jc w:val="both"/>
      </w:pPr>
      <w:r>
        <w:rPr>
          <w:color w:val="231F20"/>
        </w:rPr>
        <w:t>The descending limb of </w:t>
      </w:r>
      <w:r>
        <w:rPr>
          <w:color w:val="231F20"/>
          <w:spacing w:val="-3"/>
        </w:rPr>
        <w:t>Henle’s  </w:t>
      </w:r>
      <w:r>
        <w:rPr>
          <w:color w:val="231F20"/>
        </w:rPr>
        <w:t>loop, in contrast </w:t>
      </w:r>
      <w:r>
        <w:rPr>
          <w:color w:val="231F20"/>
          <w:spacing w:val="-7"/>
        </w:rPr>
        <w:t>to</w:t>
      </w:r>
      <w:r>
        <w:rPr>
          <w:color w:val="231F20"/>
          <w:spacing w:val="36"/>
        </w:rPr>
        <w:t> </w:t>
      </w:r>
      <w:r>
        <w:rPr>
          <w:color w:val="231F20"/>
        </w:rPr>
        <w:t>the ascending limb, is very permeable to </w:t>
      </w:r>
      <w:r>
        <w:rPr>
          <w:color w:val="231F20"/>
          <w:spacing w:val="-3"/>
        </w:rPr>
        <w:t>water, </w:t>
      </w:r>
      <w:r>
        <w:rPr>
          <w:color w:val="231F20"/>
        </w:rPr>
        <w:t>and the tubular fluid osmolarity quickly becomes equal to </w:t>
      </w:r>
      <w:r>
        <w:rPr>
          <w:color w:val="231F20"/>
          <w:spacing w:val="-5"/>
        </w:rPr>
        <w:t>the </w:t>
      </w:r>
      <w:r>
        <w:rPr>
          <w:color w:val="231F20"/>
        </w:rPr>
        <w:t>renal medullary osmolarity. Therefore, water diffuses </w:t>
      </w:r>
      <w:r>
        <w:rPr>
          <w:color w:val="231F20"/>
          <w:spacing w:val="-4"/>
        </w:rPr>
        <w:t>out </w:t>
      </w:r>
      <w:r>
        <w:rPr>
          <w:color w:val="231F20"/>
        </w:rPr>
        <w:t>of the descending limb of </w:t>
      </w:r>
      <w:r>
        <w:rPr>
          <w:color w:val="231F20"/>
          <w:spacing w:val="-3"/>
        </w:rPr>
        <w:t>Henle’s </w:t>
      </w:r>
      <w:r>
        <w:rPr>
          <w:color w:val="231F20"/>
        </w:rPr>
        <w:t>loop into the </w:t>
      </w:r>
      <w:r>
        <w:rPr>
          <w:color w:val="231F20"/>
          <w:spacing w:val="-3"/>
        </w:rPr>
        <w:t>intersti­ </w:t>
      </w:r>
      <w:r>
        <w:rPr>
          <w:color w:val="231F20"/>
        </w:rPr>
        <w:t>tium and the tubular fluid osmolarity gradually rises as it flows toward the tip of the loop of</w:t>
      </w:r>
      <w:r>
        <w:rPr>
          <w:color w:val="231F20"/>
          <w:spacing w:val="12"/>
        </w:rPr>
        <w:t> </w:t>
      </w:r>
      <w:r>
        <w:rPr>
          <w:color w:val="231F20"/>
        </w:rPr>
        <w:t>Henle.</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spacing w:before="11"/>
        <w:rPr>
          <w:sz w:val="18"/>
        </w:rPr>
      </w:pPr>
    </w:p>
    <w:p>
      <w:pPr>
        <w:spacing w:before="99"/>
        <w:ind w:left="1440" w:right="0" w:firstLine="0"/>
        <w:jc w:val="left"/>
        <w:rPr>
          <w:rFonts w:ascii="Trebuchet MS" w:hAnsi="Trebuchet MS"/>
          <w:sz w:val="18"/>
        </w:rPr>
      </w:pPr>
      <w:r>
        <w:rPr/>
        <w:pict>
          <v:shape style="position:absolute;margin-left:578.900024pt;margin-top:58.743164pt;width:15.9pt;height:53.35pt;mso-position-horizontal-relative:page;mso-position-vertical-relative:paragraph;z-index:25241497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bookmarkStart w:name="_bookmark69" w:id="70"/>
      <w:bookmarkEnd w:id="70"/>
      <w:r>
        <w:rPr/>
      </w:r>
      <w:r>
        <w:rPr>
          <w:rFonts w:ascii="Trebuchet MS" w:hAnsi="Trebuchet MS"/>
          <w:b/>
          <w:color w:val="231F20"/>
          <w:w w:val="105"/>
          <w:sz w:val="18"/>
        </w:rPr>
        <w:t>Table 29-1 </w:t>
      </w:r>
      <w:r>
        <w:rPr>
          <w:rFonts w:ascii="Trebuchet MS" w:hAnsi="Trebuchet MS"/>
          <w:color w:val="231F20"/>
          <w:w w:val="105"/>
          <w:sz w:val="18"/>
        </w:rPr>
        <w:t>Summary of Tubule Characteristics—Urine Concentration</w:t>
      </w:r>
    </w:p>
    <w:p>
      <w:pPr>
        <w:pStyle w:val="BodyText"/>
        <w:spacing w:before="4"/>
        <w:rPr>
          <w:rFonts w:ascii="Trebuchet MS"/>
          <w:sz w:val="10"/>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1245"/>
        <w:gridCol w:w="1960"/>
        <w:gridCol w:w="1914"/>
        <w:gridCol w:w="1251"/>
        <w:gridCol w:w="1240"/>
      </w:tblGrid>
      <w:tr>
        <w:trPr>
          <w:trHeight w:val="575" w:hRule="atLeast"/>
        </w:trPr>
        <w:tc>
          <w:tcPr>
            <w:tcW w:w="9722" w:type="dxa"/>
            <w:gridSpan w:val="6"/>
            <w:shd w:val="clear" w:color="auto" w:fill="D1DDF1"/>
          </w:tcPr>
          <w:p>
            <w:pPr>
              <w:pStyle w:val="TableParagraph"/>
              <w:spacing w:before="66" w:after="50"/>
              <w:ind w:left="7433"/>
              <w:rPr>
                <w:b/>
                <w:i/>
                <w:sz w:val="16"/>
              </w:rPr>
            </w:pPr>
            <w:r>
              <w:rPr>
                <w:b/>
                <w:i/>
                <w:color w:val="231F20"/>
                <w:sz w:val="16"/>
              </w:rPr>
              <w:t>Permeability</w:t>
            </w:r>
          </w:p>
          <w:p>
            <w:pPr>
              <w:pStyle w:val="TableParagraph"/>
              <w:spacing w:line="20" w:lineRule="exact" w:before="0"/>
              <w:ind w:left="6201"/>
              <w:rPr>
                <w:sz w:val="2"/>
              </w:rPr>
            </w:pPr>
            <w:r>
              <w:rPr>
                <w:sz w:val="2"/>
              </w:rPr>
              <w:pict>
                <v:group style="width:169.7pt;height:.5pt;mso-position-horizontal-relative:char;mso-position-vertical-relative:line" coordorigin="0,0" coordsize="3394,10">
                  <v:line style="position:absolute" from="0,5" to="1349,5" stroked="true" strokeweight=".5pt" strokecolor="#ffffff">
                    <v:stroke dashstyle="solid"/>
                  </v:line>
                  <v:line style="position:absolute" from="1349,5" to="2734,5" stroked="true" strokeweight=".5pt" strokecolor="#ffffff">
                    <v:stroke dashstyle="solid"/>
                  </v:line>
                  <v:line style="position:absolute" from="2734,5" to="3394,5" stroked="true" strokeweight=".5pt" strokecolor="#ffffff">
                    <v:stroke dashstyle="solid"/>
                  </v:line>
                </v:group>
              </w:pict>
            </w:r>
            <w:r>
              <w:rPr>
                <w:sz w:val="2"/>
              </w:rPr>
            </w:r>
          </w:p>
          <w:p>
            <w:pPr>
              <w:pStyle w:val="TableParagraph"/>
              <w:tabs>
                <w:tab w:pos="6283" w:val="left" w:leader="none"/>
                <w:tab w:pos="7674" w:val="left" w:leader="none"/>
                <w:tab w:pos="9153" w:val="left" w:leader="none"/>
              </w:tabs>
              <w:spacing w:before="24"/>
              <w:ind w:left="3525"/>
              <w:rPr>
                <w:b/>
                <w:sz w:val="16"/>
              </w:rPr>
            </w:pPr>
            <w:r>
              <w:rPr>
                <w:b/>
                <w:color w:val="231F20"/>
                <w:sz w:val="16"/>
              </w:rPr>
              <w:t>Active</w:t>
            </w:r>
            <w:r>
              <w:rPr>
                <w:b/>
                <w:color w:val="231F20"/>
                <w:spacing w:val="3"/>
                <w:sz w:val="16"/>
              </w:rPr>
              <w:t> </w:t>
            </w:r>
            <w:r>
              <w:rPr>
                <w:b/>
                <w:color w:val="231F20"/>
                <w:sz w:val="16"/>
              </w:rPr>
              <w:t>NaCl</w:t>
            </w:r>
            <w:r>
              <w:rPr>
                <w:b/>
                <w:color w:val="231F20"/>
                <w:spacing w:val="3"/>
                <w:sz w:val="16"/>
              </w:rPr>
              <w:t> </w:t>
            </w:r>
            <w:r>
              <w:rPr>
                <w:b/>
                <w:color w:val="231F20"/>
                <w:sz w:val="16"/>
              </w:rPr>
              <w:t>Transport</w:t>
              <w:tab/>
              <w:t>H</w:t>
            </w:r>
            <w:r>
              <w:rPr>
                <w:b/>
                <w:color w:val="231F20"/>
                <w:position w:val="-1"/>
                <w:sz w:val="9"/>
              </w:rPr>
              <w:t>2</w:t>
            </w:r>
            <w:r>
              <w:rPr>
                <w:b/>
                <w:color w:val="231F20"/>
                <w:sz w:val="16"/>
              </w:rPr>
              <w:t>O</w:t>
              <w:tab/>
              <w:t>NaCl</w:t>
              <w:tab/>
              <w:t>Urea</w:t>
            </w:r>
          </w:p>
        </w:tc>
      </w:tr>
      <w:tr>
        <w:trPr>
          <w:trHeight w:val="269" w:hRule="atLeast"/>
        </w:trPr>
        <w:tc>
          <w:tcPr>
            <w:tcW w:w="2112" w:type="dxa"/>
            <w:tcBorders>
              <w:bottom w:val="single" w:sz="4" w:space="0" w:color="FFFFFF"/>
            </w:tcBorders>
            <w:shd w:val="clear" w:color="auto" w:fill="E6ECF7"/>
          </w:tcPr>
          <w:p>
            <w:pPr>
              <w:pStyle w:val="TableParagraph"/>
              <w:spacing w:before="34"/>
              <w:ind w:left="120"/>
              <w:rPr>
                <w:sz w:val="16"/>
              </w:rPr>
            </w:pPr>
            <w:r>
              <w:rPr>
                <w:color w:val="231F20"/>
                <w:w w:val="105"/>
                <w:sz w:val="16"/>
              </w:rPr>
              <w:t>Proximal tubule</w:t>
            </w:r>
          </w:p>
        </w:tc>
        <w:tc>
          <w:tcPr>
            <w:tcW w:w="1245" w:type="dxa"/>
            <w:tcBorders>
              <w:bottom w:val="single" w:sz="4" w:space="0" w:color="FFFFFF"/>
            </w:tcBorders>
            <w:shd w:val="clear" w:color="auto" w:fill="E6ECF7"/>
          </w:tcPr>
          <w:p>
            <w:pPr>
              <w:pStyle w:val="TableParagraph"/>
              <w:spacing w:before="0"/>
              <w:rPr>
                <w:rFonts w:ascii="Times New Roman"/>
                <w:sz w:val="18"/>
              </w:rPr>
            </w:pPr>
          </w:p>
        </w:tc>
        <w:tc>
          <w:tcPr>
            <w:tcW w:w="1960" w:type="dxa"/>
            <w:tcBorders>
              <w:bottom w:val="single" w:sz="4" w:space="0" w:color="FFFFFF"/>
            </w:tcBorders>
            <w:shd w:val="clear" w:color="auto" w:fill="E6ECF7"/>
          </w:tcPr>
          <w:p>
            <w:pPr>
              <w:pStyle w:val="TableParagraph"/>
              <w:spacing w:before="37"/>
              <w:ind w:left="869" w:right="875"/>
              <w:jc w:val="center"/>
              <w:rPr>
                <w:rFonts w:ascii="Consolas"/>
                <w:sz w:val="16"/>
              </w:rPr>
            </w:pPr>
            <w:r>
              <w:rPr>
                <w:rFonts w:ascii="Consolas"/>
                <w:color w:val="231F20"/>
                <w:sz w:val="16"/>
              </w:rPr>
              <w:t>++</w:t>
            </w:r>
          </w:p>
        </w:tc>
        <w:tc>
          <w:tcPr>
            <w:tcW w:w="1914" w:type="dxa"/>
            <w:tcBorders>
              <w:bottom w:val="single" w:sz="4" w:space="0" w:color="FFFFFF"/>
            </w:tcBorders>
            <w:shd w:val="clear" w:color="auto" w:fill="E6ECF7"/>
          </w:tcPr>
          <w:p>
            <w:pPr>
              <w:pStyle w:val="TableParagraph"/>
              <w:spacing w:before="37"/>
              <w:ind w:left="892"/>
              <w:rPr>
                <w:rFonts w:ascii="Consolas"/>
                <w:sz w:val="16"/>
              </w:rPr>
            </w:pPr>
            <w:r>
              <w:rPr>
                <w:rFonts w:ascii="Consolas"/>
                <w:color w:val="231F20"/>
                <w:sz w:val="16"/>
              </w:rPr>
              <w:t>++</w:t>
            </w:r>
          </w:p>
        </w:tc>
        <w:tc>
          <w:tcPr>
            <w:tcW w:w="1251" w:type="dxa"/>
            <w:tcBorders>
              <w:bottom w:val="single" w:sz="4" w:space="0" w:color="FFFFFF"/>
            </w:tcBorders>
            <w:shd w:val="clear" w:color="auto" w:fill="E6ECF7"/>
          </w:tcPr>
          <w:p>
            <w:pPr>
              <w:pStyle w:val="TableParagraph"/>
              <w:spacing w:before="37"/>
              <w:ind w:right="581"/>
              <w:jc w:val="right"/>
              <w:rPr>
                <w:rFonts w:ascii="Consolas"/>
                <w:sz w:val="16"/>
              </w:rPr>
            </w:pPr>
            <w:r>
              <w:rPr>
                <w:rFonts w:ascii="Consolas"/>
                <w:color w:val="231F20"/>
                <w:w w:val="99"/>
                <w:sz w:val="16"/>
              </w:rPr>
              <w:t>+</w:t>
            </w:r>
          </w:p>
        </w:tc>
        <w:tc>
          <w:tcPr>
            <w:tcW w:w="1240" w:type="dxa"/>
            <w:tcBorders>
              <w:bottom w:val="single" w:sz="4" w:space="0" w:color="FFFFFF"/>
            </w:tcBorders>
            <w:shd w:val="clear" w:color="auto" w:fill="E6ECF7"/>
          </w:tcPr>
          <w:p>
            <w:pPr>
              <w:pStyle w:val="TableParagraph"/>
              <w:spacing w:before="37"/>
              <w:ind w:left="578"/>
              <w:rPr>
                <w:rFonts w:ascii="Consolas"/>
                <w:sz w:val="16"/>
              </w:rPr>
            </w:pPr>
            <w:r>
              <w:rPr>
                <w:rFonts w:ascii="Consolas"/>
                <w:color w:val="231F20"/>
                <w:w w:val="99"/>
                <w:sz w:val="16"/>
              </w:rPr>
              <w:t>+</w:t>
            </w:r>
          </w:p>
        </w:tc>
      </w:tr>
      <w:tr>
        <w:trPr>
          <w:trHeight w:val="264" w:hRule="atLeast"/>
        </w:trPr>
        <w:tc>
          <w:tcPr>
            <w:tcW w:w="211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Thin descending limb</w:t>
            </w:r>
          </w:p>
        </w:tc>
        <w:tc>
          <w:tcPr>
            <w:tcW w:w="12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960" w:type="dxa"/>
            <w:tcBorders>
              <w:top w:val="single" w:sz="4" w:space="0" w:color="FFFFFF"/>
              <w:bottom w:val="single" w:sz="4" w:space="0" w:color="FFFFFF"/>
            </w:tcBorders>
            <w:shd w:val="clear" w:color="auto" w:fill="E6ECF7"/>
          </w:tcPr>
          <w:p>
            <w:pPr>
              <w:pStyle w:val="TableParagraph"/>
              <w:ind w:right="93"/>
              <w:jc w:val="center"/>
              <w:rPr>
                <w:sz w:val="16"/>
              </w:rPr>
            </w:pPr>
            <w:r>
              <w:rPr>
                <w:color w:val="231F20"/>
                <w:w w:val="106"/>
                <w:sz w:val="16"/>
              </w:rPr>
              <w:t>0</w:t>
            </w:r>
          </w:p>
        </w:tc>
        <w:tc>
          <w:tcPr>
            <w:tcW w:w="1914" w:type="dxa"/>
            <w:tcBorders>
              <w:top w:val="single" w:sz="4" w:space="0" w:color="FFFFFF"/>
              <w:bottom w:val="single" w:sz="4" w:space="0" w:color="FFFFFF"/>
            </w:tcBorders>
            <w:shd w:val="clear" w:color="auto" w:fill="E6ECF7"/>
          </w:tcPr>
          <w:p>
            <w:pPr>
              <w:pStyle w:val="TableParagraph"/>
              <w:spacing w:before="32"/>
              <w:ind w:left="892"/>
              <w:rPr>
                <w:rFonts w:ascii="Consolas"/>
                <w:sz w:val="16"/>
              </w:rPr>
            </w:pPr>
            <w:r>
              <w:rPr>
                <w:rFonts w:ascii="Consolas"/>
                <w:color w:val="231F20"/>
                <w:sz w:val="16"/>
              </w:rPr>
              <w:t>++</w:t>
            </w:r>
          </w:p>
        </w:tc>
        <w:tc>
          <w:tcPr>
            <w:tcW w:w="1251" w:type="dxa"/>
            <w:tcBorders>
              <w:top w:val="single" w:sz="4" w:space="0" w:color="FFFFFF"/>
              <w:bottom w:val="single" w:sz="4" w:space="0" w:color="FFFFFF"/>
            </w:tcBorders>
            <w:shd w:val="clear" w:color="auto" w:fill="E6ECF7"/>
          </w:tcPr>
          <w:p>
            <w:pPr>
              <w:pStyle w:val="TableParagraph"/>
              <w:spacing w:before="32"/>
              <w:ind w:right="581"/>
              <w:jc w:val="right"/>
              <w:rPr>
                <w:rFonts w:ascii="Consolas"/>
                <w:sz w:val="16"/>
              </w:rPr>
            </w:pPr>
            <w:r>
              <w:rPr>
                <w:rFonts w:ascii="Consolas"/>
                <w:color w:val="231F20"/>
                <w:w w:val="99"/>
                <w:sz w:val="16"/>
              </w:rPr>
              <w:t>+</w:t>
            </w:r>
          </w:p>
        </w:tc>
        <w:tc>
          <w:tcPr>
            <w:tcW w:w="1240" w:type="dxa"/>
            <w:tcBorders>
              <w:top w:val="single" w:sz="4" w:space="0" w:color="FFFFFF"/>
              <w:bottom w:val="single" w:sz="4" w:space="0" w:color="FFFFFF"/>
            </w:tcBorders>
            <w:shd w:val="clear" w:color="auto" w:fill="E6ECF7"/>
          </w:tcPr>
          <w:p>
            <w:pPr>
              <w:pStyle w:val="TableParagraph"/>
              <w:spacing w:before="32"/>
              <w:ind w:left="578"/>
              <w:rPr>
                <w:rFonts w:ascii="Consolas"/>
                <w:sz w:val="16"/>
              </w:rPr>
            </w:pPr>
            <w:r>
              <w:rPr>
                <w:rFonts w:ascii="Consolas"/>
                <w:color w:val="231F20"/>
                <w:w w:val="99"/>
                <w:sz w:val="16"/>
              </w:rPr>
              <w:t>+</w:t>
            </w:r>
          </w:p>
        </w:tc>
      </w:tr>
      <w:tr>
        <w:trPr>
          <w:trHeight w:val="264" w:hRule="atLeast"/>
        </w:trPr>
        <w:tc>
          <w:tcPr>
            <w:tcW w:w="211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Thin ascending limb</w:t>
            </w:r>
          </w:p>
        </w:tc>
        <w:tc>
          <w:tcPr>
            <w:tcW w:w="12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960" w:type="dxa"/>
            <w:tcBorders>
              <w:top w:val="single" w:sz="4" w:space="0" w:color="FFFFFF"/>
              <w:bottom w:val="single" w:sz="4" w:space="0" w:color="FFFFFF"/>
            </w:tcBorders>
            <w:shd w:val="clear" w:color="auto" w:fill="E6ECF7"/>
          </w:tcPr>
          <w:p>
            <w:pPr>
              <w:pStyle w:val="TableParagraph"/>
              <w:ind w:right="93"/>
              <w:jc w:val="center"/>
              <w:rPr>
                <w:sz w:val="16"/>
              </w:rPr>
            </w:pPr>
            <w:r>
              <w:rPr>
                <w:color w:val="231F20"/>
                <w:w w:val="106"/>
                <w:sz w:val="16"/>
              </w:rPr>
              <w:t>0</w:t>
            </w:r>
          </w:p>
        </w:tc>
        <w:tc>
          <w:tcPr>
            <w:tcW w:w="1914" w:type="dxa"/>
            <w:tcBorders>
              <w:top w:val="single" w:sz="4" w:space="0" w:color="FFFFFF"/>
              <w:bottom w:val="single" w:sz="4" w:space="0" w:color="FFFFFF"/>
            </w:tcBorders>
            <w:shd w:val="clear" w:color="auto" w:fill="E6ECF7"/>
          </w:tcPr>
          <w:p>
            <w:pPr>
              <w:pStyle w:val="TableParagraph"/>
              <w:ind w:left="892"/>
              <w:rPr>
                <w:sz w:val="16"/>
              </w:rPr>
            </w:pPr>
            <w:r>
              <w:rPr>
                <w:color w:val="231F20"/>
                <w:w w:val="106"/>
                <w:sz w:val="16"/>
              </w:rPr>
              <w:t>0</w:t>
            </w:r>
          </w:p>
        </w:tc>
        <w:tc>
          <w:tcPr>
            <w:tcW w:w="1251" w:type="dxa"/>
            <w:tcBorders>
              <w:top w:val="single" w:sz="4" w:space="0" w:color="FFFFFF"/>
              <w:bottom w:val="single" w:sz="4" w:space="0" w:color="FFFFFF"/>
            </w:tcBorders>
            <w:shd w:val="clear" w:color="auto" w:fill="E6ECF7"/>
          </w:tcPr>
          <w:p>
            <w:pPr>
              <w:pStyle w:val="TableParagraph"/>
              <w:spacing w:before="32"/>
              <w:ind w:right="581"/>
              <w:jc w:val="right"/>
              <w:rPr>
                <w:rFonts w:ascii="Consolas"/>
                <w:sz w:val="16"/>
              </w:rPr>
            </w:pPr>
            <w:r>
              <w:rPr>
                <w:rFonts w:ascii="Consolas"/>
                <w:color w:val="231F20"/>
                <w:w w:val="99"/>
                <w:sz w:val="16"/>
              </w:rPr>
              <w:t>+</w:t>
            </w:r>
          </w:p>
        </w:tc>
        <w:tc>
          <w:tcPr>
            <w:tcW w:w="1240" w:type="dxa"/>
            <w:tcBorders>
              <w:top w:val="single" w:sz="4" w:space="0" w:color="FFFFFF"/>
              <w:bottom w:val="single" w:sz="4" w:space="0" w:color="FFFFFF"/>
            </w:tcBorders>
            <w:shd w:val="clear" w:color="auto" w:fill="E6ECF7"/>
          </w:tcPr>
          <w:p>
            <w:pPr>
              <w:pStyle w:val="TableParagraph"/>
              <w:spacing w:before="32"/>
              <w:ind w:left="578"/>
              <w:rPr>
                <w:rFonts w:ascii="Consolas"/>
                <w:sz w:val="16"/>
              </w:rPr>
            </w:pPr>
            <w:r>
              <w:rPr>
                <w:rFonts w:ascii="Consolas"/>
                <w:color w:val="231F20"/>
                <w:w w:val="99"/>
                <w:sz w:val="16"/>
              </w:rPr>
              <w:t>+</w:t>
            </w:r>
          </w:p>
        </w:tc>
      </w:tr>
      <w:tr>
        <w:trPr>
          <w:trHeight w:val="264" w:hRule="atLeast"/>
        </w:trPr>
        <w:tc>
          <w:tcPr>
            <w:tcW w:w="211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Thick ascending limb</w:t>
            </w:r>
          </w:p>
        </w:tc>
        <w:tc>
          <w:tcPr>
            <w:tcW w:w="12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960" w:type="dxa"/>
            <w:tcBorders>
              <w:top w:val="single" w:sz="4" w:space="0" w:color="FFFFFF"/>
              <w:bottom w:val="single" w:sz="4" w:space="0" w:color="FFFFFF"/>
            </w:tcBorders>
            <w:shd w:val="clear" w:color="auto" w:fill="E6ECF7"/>
          </w:tcPr>
          <w:p>
            <w:pPr>
              <w:pStyle w:val="TableParagraph"/>
              <w:spacing w:before="32"/>
              <w:ind w:left="869" w:right="875"/>
              <w:jc w:val="center"/>
              <w:rPr>
                <w:rFonts w:ascii="Consolas"/>
                <w:sz w:val="16"/>
              </w:rPr>
            </w:pPr>
            <w:r>
              <w:rPr>
                <w:rFonts w:ascii="Consolas"/>
                <w:color w:val="231F20"/>
                <w:sz w:val="16"/>
              </w:rPr>
              <w:t>++</w:t>
            </w:r>
          </w:p>
        </w:tc>
        <w:tc>
          <w:tcPr>
            <w:tcW w:w="1914" w:type="dxa"/>
            <w:tcBorders>
              <w:top w:val="single" w:sz="4" w:space="0" w:color="FFFFFF"/>
              <w:bottom w:val="single" w:sz="4" w:space="0" w:color="FFFFFF"/>
            </w:tcBorders>
            <w:shd w:val="clear" w:color="auto" w:fill="E6ECF7"/>
          </w:tcPr>
          <w:p>
            <w:pPr>
              <w:pStyle w:val="TableParagraph"/>
              <w:ind w:left="892"/>
              <w:rPr>
                <w:sz w:val="16"/>
              </w:rPr>
            </w:pPr>
            <w:r>
              <w:rPr>
                <w:color w:val="231F20"/>
                <w:w w:val="106"/>
                <w:sz w:val="16"/>
              </w:rPr>
              <w:t>0</w:t>
            </w:r>
          </w:p>
        </w:tc>
        <w:tc>
          <w:tcPr>
            <w:tcW w:w="1251" w:type="dxa"/>
            <w:tcBorders>
              <w:top w:val="single" w:sz="4" w:space="0" w:color="FFFFFF"/>
              <w:bottom w:val="single" w:sz="4" w:space="0" w:color="FFFFFF"/>
            </w:tcBorders>
            <w:shd w:val="clear" w:color="auto" w:fill="E6ECF7"/>
          </w:tcPr>
          <w:p>
            <w:pPr>
              <w:pStyle w:val="TableParagraph"/>
              <w:ind w:right="580"/>
              <w:jc w:val="right"/>
              <w:rPr>
                <w:sz w:val="16"/>
              </w:rPr>
            </w:pPr>
            <w:r>
              <w:rPr>
                <w:color w:val="231F20"/>
                <w:w w:val="106"/>
                <w:sz w:val="16"/>
              </w:rPr>
              <w:t>0</w:t>
            </w:r>
          </w:p>
        </w:tc>
        <w:tc>
          <w:tcPr>
            <w:tcW w:w="1240" w:type="dxa"/>
            <w:tcBorders>
              <w:top w:val="single" w:sz="4" w:space="0" w:color="FFFFFF"/>
              <w:bottom w:val="single" w:sz="4" w:space="0" w:color="FFFFFF"/>
            </w:tcBorders>
            <w:shd w:val="clear" w:color="auto" w:fill="E6ECF7"/>
          </w:tcPr>
          <w:p>
            <w:pPr>
              <w:pStyle w:val="TableParagraph"/>
              <w:ind w:left="577"/>
              <w:rPr>
                <w:sz w:val="16"/>
              </w:rPr>
            </w:pPr>
            <w:r>
              <w:rPr>
                <w:color w:val="231F20"/>
                <w:w w:val="106"/>
                <w:sz w:val="16"/>
              </w:rPr>
              <w:t>0</w:t>
            </w:r>
          </w:p>
        </w:tc>
      </w:tr>
      <w:tr>
        <w:trPr>
          <w:trHeight w:val="264" w:hRule="atLeast"/>
        </w:trPr>
        <w:tc>
          <w:tcPr>
            <w:tcW w:w="211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Distal tubule</w:t>
            </w:r>
          </w:p>
        </w:tc>
        <w:tc>
          <w:tcPr>
            <w:tcW w:w="12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960" w:type="dxa"/>
            <w:tcBorders>
              <w:top w:val="single" w:sz="4" w:space="0" w:color="FFFFFF"/>
              <w:bottom w:val="single" w:sz="4" w:space="0" w:color="FFFFFF"/>
            </w:tcBorders>
            <w:shd w:val="clear" w:color="auto" w:fill="E6ECF7"/>
          </w:tcPr>
          <w:p>
            <w:pPr>
              <w:pStyle w:val="TableParagraph"/>
              <w:spacing w:before="32"/>
              <w:ind w:right="94"/>
              <w:jc w:val="center"/>
              <w:rPr>
                <w:rFonts w:ascii="Consolas"/>
                <w:sz w:val="16"/>
              </w:rPr>
            </w:pPr>
            <w:r>
              <w:rPr>
                <w:rFonts w:ascii="Consolas"/>
                <w:color w:val="231F20"/>
                <w:w w:val="99"/>
                <w:sz w:val="16"/>
              </w:rPr>
              <w:t>+</w:t>
            </w:r>
          </w:p>
        </w:tc>
        <w:tc>
          <w:tcPr>
            <w:tcW w:w="1914" w:type="dxa"/>
            <w:tcBorders>
              <w:top w:val="single" w:sz="4" w:space="0" w:color="FFFFFF"/>
              <w:bottom w:val="single" w:sz="4" w:space="0" w:color="FFFFFF"/>
            </w:tcBorders>
            <w:shd w:val="clear" w:color="auto" w:fill="E6ECF7"/>
          </w:tcPr>
          <w:p>
            <w:pPr>
              <w:pStyle w:val="TableParagraph"/>
              <w:ind w:left="895"/>
              <w:rPr>
                <w:sz w:val="16"/>
              </w:rPr>
            </w:pPr>
            <w:r>
              <w:rPr>
                <w:rFonts w:ascii="Consolas"/>
                <w:color w:val="231F20"/>
                <w:w w:val="110"/>
                <w:sz w:val="16"/>
              </w:rPr>
              <w:t>+</w:t>
            </w:r>
            <w:r>
              <w:rPr>
                <w:color w:val="231F20"/>
                <w:w w:val="110"/>
                <w:sz w:val="16"/>
              </w:rPr>
              <w:t>ADH</w:t>
            </w:r>
          </w:p>
        </w:tc>
        <w:tc>
          <w:tcPr>
            <w:tcW w:w="1251" w:type="dxa"/>
            <w:tcBorders>
              <w:top w:val="single" w:sz="4" w:space="0" w:color="FFFFFF"/>
              <w:bottom w:val="single" w:sz="4" w:space="0" w:color="FFFFFF"/>
            </w:tcBorders>
            <w:shd w:val="clear" w:color="auto" w:fill="E6ECF7"/>
          </w:tcPr>
          <w:p>
            <w:pPr>
              <w:pStyle w:val="TableParagraph"/>
              <w:ind w:right="580"/>
              <w:jc w:val="right"/>
              <w:rPr>
                <w:sz w:val="16"/>
              </w:rPr>
            </w:pPr>
            <w:r>
              <w:rPr>
                <w:color w:val="231F20"/>
                <w:w w:val="106"/>
                <w:sz w:val="16"/>
              </w:rPr>
              <w:t>0</w:t>
            </w:r>
          </w:p>
        </w:tc>
        <w:tc>
          <w:tcPr>
            <w:tcW w:w="1240" w:type="dxa"/>
            <w:tcBorders>
              <w:top w:val="single" w:sz="4" w:space="0" w:color="FFFFFF"/>
              <w:bottom w:val="single" w:sz="4" w:space="0" w:color="FFFFFF"/>
            </w:tcBorders>
            <w:shd w:val="clear" w:color="auto" w:fill="E6ECF7"/>
          </w:tcPr>
          <w:p>
            <w:pPr>
              <w:pStyle w:val="TableParagraph"/>
              <w:ind w:left="578"/>
              <w:rPr>
                <w:sz w:val="16"/>
              </w:rPr>
            </w:pPr>
            <w:r>
              <w:rPr>
                <w:color w:val="231F20"/>
                <w:w w:val="106"/>
                <w:sz w:val="16"/>
              </w:rPr>
              <w:t>0</w:t>
            </w:r>
          </w:p>
        </w:tc>
      </w:tr>
      <w:tr>
        <w:trPr>
          <w:trHeight w:val="264" w:hRule="atLeast"/>
        </w:trPr>
        <w:tc>
          <w:tcPr>
            <w:tcW w:w="2112"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Cortical collecting tubule</w:t>
            </w:r>
          </w:p>
        </w:tc>
        <w:tc>
          <w:tcPr>
            <w:tcW w:w="12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960" w:type="dxa"/>
            <w:tcBorders>
              <w:top w:val="single" w:sz="4" w:space="0" w:color="FFFFFF"/>
              <w:bottom w:val="single" w:sz="4" w:space="0" w:color="FFFFFF"/>
            </w:tcBorders>
            <w:shd w:val="clear" w:color="auto" w:fill="E6ECF7"/>
          </w:tcPr>
          <w:p>
            <w:pPr>
              <w:pStyle w:val="TableParagraph"/>
              <w:spacing w:before="32"/>
              <w:ind w:right="94"/>
              <w:jc w:val="center"/>
              <w:rPr>
                <w:rFonts w:ascii="Consolas"/>
                <w:sz w:val="16"/>
              </w:rPr>
            </w:pPr>
            <w:r>
              <w:rPr>
                <w:rFonts w:ascii="Consolas"/>
                <w:color w:val="231F20"/>
                <w:w w:val="99"/>
                <w:sz w:val="16"/>
              </w:rPr>
              <w:t>+</w:t>
            </w:r>
          </w:p>
        </w:tc>
        <w:tc>
          <w:tcPr>
            <w:tcW w:w="1914" w:type="dxa"/>
            <w:tcBorders>
              <w:top w:val="single" w:sz="4" w:space="0" w:color="FFFFFF"/>
              <w:bottom w:val="single" w:sz="4" w:space="0" w:color="FFFFFF"/>
            </w:tcBorders>
            <w:shd w:val="clear" w:color="auto" w:fill="E6ECF7"/>
          </w:tcPr>
          <w:p>
            <w:pPr>
              <w:pStyle w:val="TableParagraph"/>
              <w:ind w:left="895"/>
              <w:rPr>
                <w:sz w:val="16"/>
              </w:rPr>
            </w:pPr>
            <w:r>
              <w:rPr>
                <w:rFonts w:ascii="Consolas"/>
                <w:color w:val="231F20"/>
                <w:w w:val="110"/>
                <w:sz w:val="16"/>
              </w:rPr>
              <w:t>+</w:t>
            </w:r>
            <w:r>
              <w:rPr>
                <w:color w:val="231F20"/>
                <w:w w:val="110"/>
                <w:sz w:val="16"/>
              </w:rPr>
              <w:t>ADH</w:t>
            </w:r>
          </w:p>
        </w:tc>
        <w:tc>
          <w:tcPr>
            <w:tcW w:w="1251" w:type="dxa"/>
            <w:tcBorders>
              <w:top w:val="single" w:sz="4" w:space="0" w:color="FFFFFF"/>
              <w:bottom w:val="single" w:sz="4" w:space="0" w:color="FFFFFF"/>
            </w:tcBorders>
            <w:shd w:val="clear" w:color="auto" w:fill="E6ECF7"/>
          </w:tcPr>
          <w:p>
            <w:pPr>
              <w:pStyle w:val="TableParagraph"/>
              <w:ind w:right="580"/>
              <w:jc w:val="right"/>
              <w:rPr>
                <w:sz w:val="16"/>
              </w:rPr>
            </w:pPr>
            <w:r>
              <w:rPr>
                <w:color w:val="231F20"/>
                <w:w w:val="106"/>
                <w:sz w:val="16"/>
              </w:rPr>
              <w:t>0</w:t>
            </w:r>
          </w:p>
        </w:tc>
        <w:tc>
          <w:tcPr>
            <w:tcW w:w="1240" w:type="dxa"/>
            <w:tcBorders>
              <w:top w:val="single" w:sz="4" w:space="0" w:color="FFFFFF"/>
              <w:bottom w:val="single" w:sz="4" w:space="0" w:color="FFFFFF"/>
            </w:tcBorders>
            <w:shd w:val="clear" w:color="auto" w:fill="E6ECF7"/>
          </w:tcPr>
          <w:p>
            <w:pPr>
              <w:pStyle w:val="TableParagraph"/>
              <w:ind w:left="578"/>
              <w:rPr>
                <w:sz w:val="16"/>
              </w:rPr>
            </w:pPr>
            <w:r>
              <w:rPr>
                <w:color w:val="231F20"/>
                <w:w w:val="106"/>
                <w:sz w:val="16"/>
              </w:rPr>
              <w:t>0</w:t>
            </w:r>
          </w:p>
        </w:tc>
      </w:tr>
      <w:tr>
        <w:trPr>
          <w:trHeight w:val="279" w:hRule="atLeast"/>
        </w:trPr>
        <w:tc>
          <w:tcPr>
            <w:tcW w:w="2112" w:type="dxa"/>
            <w:tcBorders>
              <w:top w:val="single" w:sz="4" w:space="0" w:color="FFFFFF"/>
            </w:tcBorders>
            <w:shd w:val="clear" w:color="auto" w:fill="E6ECF7"/>
          </w:tcPr>
          <w:p>
            <w:pPr>
              <w:pStyle w:val="TableParagraph"/>
              <w:ind w:left="120"/>
              <w:rPr>
                <w:sz w:val="16"/>
              </w:rPr>
            </w:pPr>
            <w:r>
              <w:rPr>
                <w:color w:val="231F20"/>
                <w:w w:val="105"/>
                <w:sz w:val="16"/>
              </w:rPr>
              <w:t>Inner medullary collecting</w:t>
            </w:r>
          </w:p>
        </w:tc>
        <w:tc>
          <w:tcPr>
            <w:tcW w:w="1245" w:type="dxa"/>
            <w:tcBorders>
              <w:top w:val="single" w:sz="4" w:space="0" w:color="FFFFFF"/>
            </w:tcBorders>
            <w:shd w:val="clear" w:color="auto" w:fill="E6ECF7"/>
          </w:tcPr>
          <w:p>
            <w:pPr>
              <w:pStyle w:val="TableParagraph"/>
              <w:ind w:left="26"/>
              <w:rPr>
                <w:sz w:val="16"/>
              </w:rPr>
            </w:pPr>
            <w:r>
              <w:rPr>
                <w:color w:val="231F20"/>
                <w:w w:val="105"/>
                <w:sz w:val="16"/>
              </w:rPr>
              <w:t>duct</w:t>
            </w:r>
          </w:p>
        </w:tc>
        <w:tc>
          <w:tcPr>
            <w:tcW w:w="1960" w:type="dxa"/>
            <w:tcBorders>
              <w:top w:val="single" w:sz="4" w:space="0" w:color="FFFFFF"/>
            </w:tcBorders>
            <w:shd w:val="clear" w:color="auto" w:fill="E6ECF7"/>
          </w:tcPr>
          <w:p>
            <w:pPr>
              <w:pStyle w:val="TableParagraph"/>
              <w:spacing w:before="32"/>
              <w:ind w:right="94"/>
              <w:jc w:val="center"/>
              <w:rPr>
                <w:rFonts w:ascii="Consolas"/>
                <w:sz w:val="16"/>
              </w:rPr>
            </w:pPr>
            <w:r>
              <w:rPr>
                <w:rFonts w:ascii="Consolas"/>
                <w:color w:val="231F20"/>
                <w:w w:val="99"/>
                <w:sz w:val="16"/>
              </w:rPr>
              <w:t>+</w:t>
            </w:r>
          </w:p>
        </w:tc>
        <w:tc>
          <w:tcPr>
            <w:tcW w:w="1914" w:type="dxa"/>
            <w:tcBorders>
              <w:top w:val="single" w:sz="4" w:space="0" w:color="FFFFFF"/>
            </w:tcBorders>
            <w:shd w:val="clear" w:color="auto" w:fill="E6ECF7"/>
          </w:tcPr>
          <w:p>
            <w:pPr>
              <w:pStyle w:val="TableParagraph"/>
              <w:ind w:left="895"/>
              <w:rPr>
                <w:sz w:val="16"/>
              </w:rPr>
            </w:pPr>
            <w:r>
              <w:rPr>
                <w:rFonts w:ascii="Consolas"/>
                <w:color w:val="231F20"/>
                <w:w w:val="110"/>
                <w:sz w:val="16"/>
              </w:rPr>
              <w:t>+</w:t>
            </w:r>
            <w:r>
              <w:rPr>
                <w:color w:val="231F20"/>
                <w:w w:val="110"/>
                <w:sz w:val="16"/>
              </w:rPr>
              <w:t>ADH</w:t>
            </w:r>
          </w:p>
        </w:tc>
        <w:tc>
          <w:tcPr>
            <w:tcW w:w="1251" w:type="dxa"/>
            <w:tcBorders>
              <w:top w:val="single" w:sz="4" w:space="0" w:color="FFFFFF"/>
            </w:tcBorders>
            <w:shd w:val="clear" w:color="auto" w:fill="E6ECF7"/>
          </w:tcPr>
          <w:p>
            <w:pPr>
              <w:pStyle w:val="TableParagraph"/>
              <w:ind w:right="580"/>
              <w:jc w:val="right"/>
              <w:rPr>
                <w:sz w:val="16"/>
              </w:rPr>
            </w:pPr>
            <w:r>
              <w:rPr>
                <w:color w:val="231F20"/>
                <w:w w:val="106"/>
                <w:sz w:val="16"/>
              </w:rPr>
              <w:t>0</w:t>
            </w:r>
          </w:p>
        </w:tc>
        <w:tc>
          <w:tcPr>
            <w:tcW w:w="1240" w:type="dxa"/>
            <w:tcBorders>
              <w:top w:val="single" w:sz="4" w:space="0" w:color="FFFFFF"/>
            </w:tcBorders>
            <w:shd w:val="clear" w:color="auto" w:fill="E6ECF7"/>
          </w:tcPr>
          <w:p>
            <w:pPr>
              <w:pStyle w:val="TableParagraph"/>
              <w:ind w:left="578"/>
              <w:rPr>
                <w:sz w:val="16"/>
              </w:rPr>
            </w:pPr>
            <w:r>
              <w:rPr>
                <w:rFonts w:ascii="Consolas"/>
                <w:color w:val="231F20"/>
                <w:w w:val="110"/>
                <w:sz w:val="16"/>
              </w:rPr>
              <w:t>+</w:t>
            </w:r>
            <w:r>
              <w:rPr>
                <w:color w:val="231F20"/>
                <w:w w:val="110"/>
                <w:sz w:val="16"/>
              </w:rPr>
              <w:t>ADH</w:t>
            </w:r>
          </w:p>
        </w:tc>
      </w:tr>
    </w:tbl>
    <w:p>
      <w:pPr>
        <w:spacing w:line="252" w:lineRule="auto" w:before="30"/>
        <w:ind w:left="1600" w:right="1124" w:hanging="160"/>
        <w:jc w:val="left"/>
        <w:rPr>
          <w:rFonts w:ascii="Arial"/>
          <w:sz w:val="16"/>
        </w:rPr>
      </w:pPr>
      <w:r>
        <w:rPr/>
        <w:pict>
          <v:rect style="position:absolute;margin-left:576pt;margin-top:-11.673218pt;width:36pt;height:24pt;mso-position-horizontal-relative:page;mso-position-vertical-relative:paragraph;z-index:252396544" filled="true" fillcolor="#e8dac8" stroked="false">
            <v:fill type="solid"/>
            <w10:wrap type="none"/>
          </v:rect>
        </w:pict>
      </w:r>
      <w:r>
        <w:rPr>
          <w:rFonts w:ascii="Arial"/>
          <w:color w:val="231F20"/>
          <w:sz w:val="16"/>
        </w:rPr>
        <w:t>ADH,</w:t>
      </w:r>
      <w:r>
        <w:rPr>
          <w:rFonts w:ascii="Arial"/>
          <w:color w:val="231F20"/>
          <w:spacing w:val="-6"/>
          <w:sz w:val="16"/>
        </w:rPr>
        <w:t> </w:t>
      </w:r>
      <w:r>
        <w:rPr>
          <w:rFonts w:ascii="Arial"/>
          <w:color w:val="231F20"/>
          <w:sz w:val="16"/>
        </w:rPr>
        <w:t>antidiuretic</w:t>
      </w:r>
      <w:r>
        <w:rPr>
          <w:rFonts w:ascii="Arial"/>
          <w:color w:val="231F20"/>
          <w:spacing w:val="-6"/>
          <w:sz w:val="16"/>
        </w:rPr>
        <w:t> </w:t>
      </w:r>
      <w:r>
        <w:rPr>
          <w:rFonts w:ascii="Arial"/>
          <w:color w:val="231F20"/>
          <w:sz w:val="16"/>
        </w:rPr>
        <w:t>hormone;</w:t>
      </w:r>
      <w:r>
        <w:rPr>
          <w:rFonts w:ascii="Arial"/>
          <w:color w:val="231F20"/>
          <w:spacing w:val="-6"/>
          <w:sz w:val="16"/>
        </w:rPr>
        <w:t> </w:t>
      </w:r>
      <w:r>
        <w:rPr>
          <w:rFonts w:ascii="Arial"/>
          <w:color w:val="231F20"/>
          <w:sz w:val="16"/>
        </w:rPr>
        <w:t>NaCl,</w:t>
      </w:r>
      <w:r>
        <w:rPr>
          <w:rFonts w:ascii="Arial"/>
          <w:color w:val="231F20"/>
          <w:spacing w:val="-5"/>
          <w:sz w:val="16"/>
        </w:rPr>
        <w:t> </w:t>
      </w:r>
      <w:r>
        <w:rPr>
          <w:rFonts w:ascii="Arial"/>
          <w:color w:val="231F20"/>
          <w:sz w:val="16"/>
        </w:rPr>
        <w:t>sodium</w:t>
      </w:r>
      <w:r>
        <w:rPr>
          <w:rFonts w:ascii="Arial"/>
          <w:color w:val="231F20"/>
          <w:spacing w:val="-6"/>
          <w:sz w:val="16"/>
        </w:rPr>
        <w:t> </w:t>
      </w:r>
      <w:r>
        <w:rPr>
          <w:rFonts w:ascii="Arial"/>
          <w:color w:val="231F20"/>
          <w:sz w:val="16"/>
        </w:rPr>
        <w:t>chloride;</w:t>
      </w:r>
      <w:r>
        <w:rPr>
          <w:rFonts w:ascii="Arial"/>
          <w:color w:val="231F20"/>
          <w:spacing w:val="-6"/>
          <w:sz w:val="16"/>
        </w:rPr>
        <w:t> </w:t>
      </w:r>
      <w:r>
        <w:rPr>
          <w:rFonts w:ascii="Arial"/>
          <w:color w:val="231F20"/>
          <w:sz w:val="16"/>
        </w:rPr>
        <w:t>0,</w:t>
      </w:r>
      <w:r>
        <w:rPr>
          <w:rFonts w:ascii="Arial"/>
          <w:color w:val="231F20"/>
          <w:spacing w:val="-5"/>
          <w:sz w:val="16"/>
        </w:rPr>
        <w:t> </w:t>
      </w:r>
      <w:r>
        <w:rPr>
          <w:rFonts w:ascii="Arial"/>
          <w:color w:val="231F20"/>
          <w:sz w:val="16"/>
        </w:rPr>
        <w:t>minimal</w:t>
      </w:r>
      <w:r>
        <w:rPr>
          <w:rFonts w:ascii="Arial"/>
          <w:color w:val="231F20"/>
          <w:spacing w:val="-6"/>
          <w:sz w:val="16"/>
        </w:rPr>
        <w:t> </w:t>
      </w:r>
      <w:r>
        <w:rPr>
          <w:rFonts w:ascii="Arial"/>
          <w:color w:val="231F20"/>
          <w:sz w:val="16"/>
        </w:rPr>
        <w:t>level</w:t>
      </w:r>
      <w:r>
        <w:rPr>
          <w:rFonts w:ascii="Arial"/>
          <w:color w:val="231F20"/>
          <w:spacing w:val="-6"/>
          <w:sz w:val="16"/>
        </w:rPr>
        <w:t> </w:t>
      </w:r>
      <w:r>
        <w:rPr>
          <w:rFonts w:ascii="Arial"/>
          <w:color w:val="231F20"/>
          <w:sz w:val="16"/>
        </w:rPr>
        <w:t>of</w:t>
      </w:r>
      <w:r>
        <w:rPr>
          <w:rFonts w:ascii="Arial"/>
          <w:color w:val="231F20"/>
          <w:spacing w:val="-5"/>
          <w:sz w:val="16"/>
        </w:rPr>
        <w:t> </w:t>
      </w:r>
      <w:r>
        <w:rPr>
          <w:rFonts w:ascii="Arial"/>
          <w:color w:val="231F20"/>
          <w:sz w:val="16"/>
        </w:rPr>
        <w:t>active</w:t>
      </w:r>
      <w:r>
        <w:rPr>
          <w:rFonts w:ascii="Arial"/>
          <w:color w:val="231F20"/>
          <w:spacing w:val="-6"/>
          <w:sz w:val="16"/>
        </w:rPr>
        <w:t> </w:t>
      </w:r>
      <w:r>
        <w:rPr>
          <w:rFonts w:ascii="Arial"/>
          <w:color w:val="231F20"/>
          <w:sz w:val="16"/>
        </w:rPr>
        <w:t>transport</w:t>
      </w:r>
      <w:r>
        <w:rPr>
          <w:rFonts w:ascii="Arial"/>
          <w:color w:val="231F20"/>
          <w:spacing w:val="-6"/>
          <w:sz w:val="16"/>
        </w:rPr>
        <w:t> </w:t>
      </w:r>
      <w:r>
        <w:rPr>
          <w:rFonts w:ascii="Arial"/>
          <w:color w:val="231F20"/>
          <w:sz w:val="16"/>
        </w:rPr>
        <w:t>or</w:t>
      </w:r>
      <w:r>
        <w:rPr>
          <w:rFonts w:ascii="Arial"/>
          <w:color w:val="231F20"/>
          <w:spacing w:val="-5"/>
          <w:sz w:val="16"/>
        </w:rPr>
        <w:t> </w:t>
      </w:r>
      <w:r>
        <w:rPr>
          <w:rFonts w:ascii="Arial"/>
          <w:color w:val="231F20"/>
          <w:sz w:val="16"/>
        </w:rPr>
        <w:t>permeability;</w:t>
      </w:r>
      <w:r>
        <w:rPr>
          <w:rFonts w:ascii="Arial"/>
          <w:color w:val="231F20"/>
          <w:spacing w:val="-6"/>
          <w:sz w:val="16"/>
        </w:rPr>
        <w:t> </w:t>
      </w:r>
      <w:r>
        <w:rPr>
          <w:rFonts w:ascii="Consolas"/>
          <w:color w:val="231F20"/>
          <w:sz w:val="16"/>
        </w:rPr>
        <w:t>+</w:t>
      </w:r>
      <w:r>
        <w:rPr>
          <w:rFonts w:ascii="Arial"/>
          <w:color w:val="231F20"/>
          <w:sz w:val="16"/>
        </w:rPr>
        <w:t>,</w:t>
      </w:r>
      <w:r>
        <w:rPr>
          <w:rFonts w:ascii="Arial"/>
          <w:color w:val="231F20"/>
          <w:spacing w:val="-6"/>
          <w:sz w:val="16"/>
        </w:rPr>
        <w:t> </w:t>
      </w:r>
      <w:r>
        <w:rPr>
          <w:rFonts w:ascii="Arial"/>
          <w:color w:val="231F20"/>
          <w:sz w:val="16"/>
        </w:rPr>
        <w:t>moderate</w:t>
      </w:r>
      <w:r>
        <w:rPr>
          <w:rFonts w:ascii="Arial"/>
          <w:color w:val="231F20"/>
          <w:spacing w:val="-5"/>
          <w:sz w:val="16"/>
        </w:rPr>
        <w:t> </w:t>
      </w:r>
      <w:r>
        <w:rPr>
          <w:rFonts w:ascii="Arial"/>
          <w:color w:val="231F20"/>
          <w:sz w:val="16"/>
        </w:rPr>
        <w:t>level</w:t>
      </w:r>
      <w:r>
        <w:rPr>
          <w:rFonts w:ascii="Arial"/>
          <w:color w:val="231F20"/>
          <w:spacing w:val="-6"/>
          <w:sz w:val="16"/>
        </w:rPr>
        <w:t> </w:t>
      </w:r>
      <w:r>
        <w:rPr>
          <w:rFonts w:ascii="Arial"/>
          <w:color w:val="231F20"/>
          <w:sz w:val="16"/>
        </w:rPr>
        <w:t>of</w:t>
      </w:r>
      <w:r>
        <w:rPr>
          <w:rFonts w:ascii="Arial"/>
          <w:color w:val="231F20"/>
          <w:spacing w:val="-6"/>
          <w:sz w:val="16"/>
        </w:rPr>
        <w:t> </w:t>
      </w:r>
      <w:r>
        <w:rPr>
          <w:rFonts w:ascii="Arial"/>
          <w:color w:val="231F20"/>
          <w:sz w:val="16"/>
        </w:rPr>
        <w:t>active</w:t>
      </w:r>
      <w:r>
        <w:rPr>
          <w:rFonts w:ascii="Arial"/>
          <w:color w:val="231F20"/>
          <w:spacing w:val="-5"/>
          <w:sz w:val="16"/>
        </w:rPr>
        <w:t> </w:t>
      </w:r>
      <w:r>
        <w:rPr>
          <w:rFonts w:ascii="Arial"/>
          <w:color w:val="231F20"/>
          <w:sz w:val="16"/>
        </w:rPr>
        <w:t>transport or permeability; </w:t>
      </w:r>
      <w:r>
        <w:rPr>
          <w:rFonts w:ascii="Consolas"/>
          <w:color w:val="231F20"/>
          <w:sz w:val="16"/>
        </w:rPr>
        <w:t>++</w:t>
      </w:r>
      <w:r>
        <w:rPr>
          <w:rFonts w:ascii="Arial"/>
          <w:color w:val="231F20"/>
          <w:sz w:val="16"/>
        </w:rPr>
        <w:t>, high level of active transport or permeability; </w:t>
      </w:r>
      <w:r>
        <w:rPr>
          <w:rFonts w:ascii="Consolas"/>
          <w:color w:val="231F20"/>
          <w:sz w:val="16"/>
        </w:rPr>
        <w:t>+</w:t>
      </w:r>
      <w:r>
        <w:rPr>
          <w:rFonts w:ascii="Arial"/>
          <w:color w:val="231F20"/>
          <w:sz w:val="16"/>
        </w:rPr>
        <w:t>ADH, permeability to water or urea is increased by</w:t>
      </w:r>
      <w:r>
        <w:rPr>
          <w:rFonts w:ascii="Arial"/>
          <w:color w:val="231F20"/>
          <w:spacing w:val="16"/>
          <w:sz w:val="16"/>
        </w:rPr>
        <w:t> </w:t>
      </w:r>
      <w:r>
        <w:rPr>
          <w:rFonts w:ascii="Arial"/>
          <w:color w:val="231F20"/>
          <w:sz w:val="16"/>
        </w:rPr>
        <w:t>ADH.</w:t>
      </w:r>
    </w:p>
    <w:p>
      <w:pPr>
        <w:pStyle w:val="BodyText"/>
        <w:rPr>
          <w:rFonts w:ascii="Arial"/>
        </w:rPr>
      </w:pPr>
    </w:p>
    <w:p>
      <w:pPr>
        <w:pStyle w:val="BodyText"/>
        <w:spacing w:before="3"/>
        <w:rPr>
          <w:rFonts w:ascii="Arial"/>
          <w:sz w:val="29"/>
        </w:rPr>
      </w:pPr>
      <w:r>
        <w:rPr/>
        <w:pict>
          <v:group style="position:absolute;margin-left:127.800003pt;margin-top:19.554815pt;width:93.65pt;height:81.850pt;mso-position-horizontal-relative:page;mso-position-vertical-relative:paragraph;z-index:-250936320;mso-wrap-distance-left:0;mso-wrap-distance-right:0" coordorigin="2556,391" coordsize="1873,1637">
            <v:shape style="position:absolute;left:2751;top:410;width:1463;height:1611" coordorigin="2751,410" coordsize="1463,1611" path="m3195,699l2906,699,2906,1321,2911,1407,2922,1488,2938,1565,2961,1636,2989,1701,3023,1762,3063,1817,3109,1866,3205,1939,3298,1985,3382,2009,3446,2019,3482,2020,3519,2019,3583,2009,3667,1985,3760,1939,3856,1866,3902,1817,3942,1762,3959,1731,3479,1731,3481,1731,3456,1729,3418,1722,3372,1703,3324,1671,3277,1620,3237,1547,3208,1447,3195,1316,3195,699xm3769,608l3769,1316,3757,1447,3728,1547,3688,1620,3641,1671,3593,1703,3547,1722,3509,1729,3484,1731,3479,1731,3959,1731,3976,1701,4004,1636,4027,1565,4043,1488,4054,1407,4059,1321,4059,699,4213,699,4213,618,3770,618,3769,608xm2889,410l2751,410,2752,699,3195,699,3195,618,3195,618,3195,596,3190,561,3175,519,3145,475,3115,448,3079,428,3040,416,2996,410,2889,410xm3195,608l3195,618,3195,618,3195,608xm4076,410l3969,410,3925,416,3885,428,3850,448,3820,475,3790,519,3775,561,3770,596,3770,618,4213,618,4213,410,4076,410xe" filled="true" fillcolor="#fde084" stroked="false">
              <v:path arrowok="t"/>
              <v:fill type="solid"/>
            </v:shape>
            <v:shape style="position:absolute;left:2751;top:410;width:1463;height:1611" coordorigin="2751,410" coordsize="1463,1611" path="m3969,410l3885,428,3820,475,3775,561,3770,618,3769,608,3769,1316,3757,1447,3728,1547,3688,1620,3641,1671,3547,1722,3484,1731,3479,1731,3481,1731,3456,1729,3372,1703,3277,1620,3237,1547,3208,1447,3195,1316,3195,608,3195,618,3175,519,3115,448,3040,416,2962,410,2889,410,2751,410,2752,699,2801,699,2834,699,2864,699,2906,699,2906,1319,2906,1321,2911,1407,2922,1488,2938,1565,2961,1636,2989,1701,3023,1762,3063,1817,3109,1866,3205,1939,3298,1985,3382,2009,3446,2019,3482,2020,3519,2019,3583,2009,3667,1985,3760,1939,3856,1866,3902,1817,3942,1762,3976,1701,4004,1636,4027,1565,4043,1488,4054,1407,4059,1321,4059,1318,4059,699,4112,699,4162,699,4199,699,4213,699,4213,410,4076,410,4003,410,3975,410,3969,410xe" filled="false" stroked="true" strokeweight=".75pt" strokecolor="#e2874a">
              <v:path arrowok="t"/>
              <v:stroke dashstyle="solid"/>
            </v:shape>
            <v:shape style="position:absolute;left:2659;top:812;width:219;height:219" type="#_x0000_t75" stroked="false">
              <v:imagedata r:id="rId758" o:title=""/>
            </v:shape>
            <v:line style="position:absolute" from="2749,391" to="2749,731" stroked="true" strokeweight="1.5pt" strokecolor="#ffffff">
              <v:stroke dashstyle="solid"/>
            </v:line>
            <v:line style="position:absolute" from="4214,391" to="4214,731" stroked="true" strokeweight="1.5pt" strokecolor="#ffffff">
              <v:stroke dashstyle="solid"/>
            </v:line>
            <v:shape style="position:absolute;left:2727;top:510;width:141;height:92" coordorigin="2728,511" coordsize="141,92" path="m2729,511l2728,512,2753,556,2728,601,2729,602,2797,573,2868,556,2797,540,2729,511xe" filled="true" fillcolor="#231f20" stroked="false">
              <v:path arrowok="t"/>
              <v:fill type="solid"/>
            </v:shape>
            <v:line style="position:absolute" from="2556,556" to="2767,556" stroked="true" strokeweight="1.5pt" strokecolor="#231f20">
              <v:stroke dashstyle="solid"/>
            </v:line>
            <v:shape style="position:absolute;left:4288;top:510;width:141;height:92" coordorigin="4288,511" coordsize="141,92" path="m4290,511l4288,512,4314,556,4288,601,4290,602,4358,573,4429,556,4358,540,4290,511xe" filled="true" fillcolor="#231f20" stroked="false">
              <v:path arrowok="t"/>
              <v:fill type="solid"/>
            </v:shape>
            <v:shape style="position:absolute;left:3680;top:1710;width:134;height:129" type="#_x0000_t75" stroked="false">
              <v:imagedata r:id="rId759" o:title=""/>
            </v:shape>
            <v:line style="position:absolute" from="4116,556" to="4327,556" stroked="true" strokeweight="1.5pt" strokecolor="#231f20">
              <v:stroke dashstyle="solid"/>
            </v:line>
            <v:shape style="position:absolute;left:3234;top:1780;width:506;height:103" coordorigin="3234,1780" coordsize="506,103" path="m3740,1780l3683,1823,3620,1856,3554,1876,3484,1883,3416,1876,3351,1857,3290,1827,3234,1786e" filled="false" stroked="true" strokeweight="1.5pt" strokecolor="#231f20">
              <v:path arrowok="t"/>
              <v:stroke dashstyle="solid"/>
            </v:shape>
            <v:shape style="position:absolute;left:2900;top:489;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3367;top:454;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3834;top:489;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2729;top:809;width:1323;height:857" type="#_x0000_t202" filled="false" stroked="false">
              <v:textbox inset="0,0,0,0">
                <w:txbxContent>
                  <w:p>
                    <w:pPr>
                      <w:tabs>
                        <w:tab w:pos="637" w:val="left" w:leader="none"/>
                      </w:tabs>
                      <w:spacing w:line="180" w:lineRule="exact" w:before="0"/>
                      <w:ind w:left="0" w:right="0" w:firstLine="0"/>
                      <w:jc w:val="left"/>
                      <w:rPr>
                        <w:rFonts w:ascii="Helvetica"/>
                        <w:sz w:val="14"/>
                      </w:rPr>
                    </w:pPr>
                    <w:r>
                      <w:rPr>
                        <w:rFonts w:ascii="Helvetica"/>
                        <w:color w:val="231F20"/>
                        <w:position w:val="-1"/>
                        <w:sz w:val="14"/>
                      </w:rPr>
                      <w:t>1   </w:t>
                    </w:r>
                    <w:r>
                      <w:rPr>
                        <w:rFonts w:ascii="Helvetica"/>
                        <w:color w:val="231F20"/>
                        <w:sz w:val="14"/>
                      </w:rPr>
                      <w:t>300</w:t>
                      <w:tab/>
                    </w:r>
                    <w:r>
                      <w:rPr>
                        <w:rFonts w:ascii="Helvetica"/>
                        <w:color w:val="231F20"/>
                        <w:position w:val="0"/>
                        <w:sz w:val="14"/>
                      </w:rPr>
                      <w:t>300    </w:t>
                    </w:r>
                    <w:r>
                      <w:rPr>
                        <w:rFonts w:ascii="Helvetica"/>
                        <w:color w:val="231F20"/>
                        <w:spacing w:val="3"/>
                        <w:position w:val="0"/>
                        <w:sz w:val="14"/>
                      </w:rPr>
                      <w:t> </w:t>
                    </w:r>
                    <w:r>
                      <w:rPr>
                        <w:rFonts w:ascii="Helvetica"/>
                        <w:color w:val="231F20"/>
                        <w:sz w:val="14"/>
                      </w:rPr>
                      <w:t>300</w:t>
                    </w:r>
                  </w:p>
                  <w:p>
                    <w:pPr>
                      <w:spacing w:line="240" w:lineRule="auto" w:before="0"/>
                      <w:rPr>
                        <w:rFonts w:ascii="Helvetica"/>
                        <w:sz w:val="16"/>
                      </w:rPr>
                    </w:pPr>
                  </w:p>
                  <w:p>
                    <w:pPr>
                      <w:tabs>
                        <w:tab w:pos="637" w:val="left" w:leader="none"/>
                      </w:tabs>
                      <w:spacing w:before="0"/>
                      <w:ind w:left="196" w:right="0" w:firstLine="0"/>
                      <w:jc w:val="left"/>
                      <w:rPr>
                        <w:rFonts w:ascii="Helvetica"/>
                        <w:sz w:val="14"/>
                      </w:rPr>
                    </w:pPr>
                    <w:r>
                      <w:rPr>
                        <w:rFonts w:ascii="Helvetica"/>
                        <w:color w:val="231F20"/>
                        <w:position w:val="1"/>
                        <w:sz w:val="14"/>
                      </w:rPr>
                      <w:t>300</w:t>
                      <w:tab/>
                    </w:r>
                    <w:r>
                      <w:rPr>
                        <w:rFonts w:ascii="Helvetica"/>
                        <w:color w:val="231F20"/>
                        <w:sz w:val="14"/>
                      </w:rPr>
                      <w:t>300    </w:t>
                    </w:r>
                    <w:r>
                      <w:rPr>
                        <w:rFonts w:ascii="Helvetica"/>
                        <w:color w:val="231F20"/>
                        <w:spacing w:val="2"/>
                        <w:sz w:val="14"/>
                      </w:rPr>
                      <w:t> </w:t>
                    </w:r>
                    <w:r>
                      <w:rPr>
                        <w:rFonts w:ascii="Helvetica"/>
                        <w:color w:val="231F20"/>
                        <w:position w:val="1"/>
                        <w:sz w:val="14"/>
                      </w:rPr>
                      <w:t>300</w:t>
                    </w:r>
                  </w:p>
                  <w:p>
                    <w:pPr>
                      <w:spacing w:line="240" w:lineRule="auto" w:before="10"/>
                      <w:rPr>
                        <w:rFonts w:ascii="Helvetica"/>
                        <w:sz w:val="12"/>
                      </w:rPr>
                    </w:pPr>
                  </w:p>
                  <w:p>
                    <w:pPr>
                      <w:spacing w:before="1"/>
                      <w:ind w:left="257" w:right="0" w:firstLine="0"/>
                      <w:jc w:val="left"/>
                      <w:rPr>
                        <w:rFonts w:ascii="Helvetica"/>
                        <w:sz w:val="14"/>
                      </w:rPr>
                    </w:pPr>
                    <w:r>
                      <w:rPr>
                        <w:rFonts w:ascii="Helvetica"/>
                        <w:color w:val="231F20"/>
                        <w:position w:val="1"/>
                        <w:sz w:val="14"/>
                      </w:rPr>
                      <w:t>300 </w:t>
                    </w:r>
                    <w:r>
                      <w:rPr>
                        <w:rFonts w:ascii="Helvetica"/>
                        <w:color w:val="231F20"/>
                        <w:sz w:val="14"/>
                      </w:rPr>
                      <w:t>300 </w:t>
                    </w:r>
                    <w:r>
                      <w:rPr>
                        <w:rFonts w:ascii="Helvetica"/>
                        <w:color w:val="231F20"/>
                        <w:position w:val="1"/>
                        <w:sz w:val="14"/>
                      </w:rPr>
                      <w:t>300</w:t>
                    </w:r>
                  </w:p>
                </w:txbxContent>
              </v:textbox>
              <w10:wrap type="none"/>
            </v:shape>
            <w10:wrap type="topAndBottom"/>
          </v:group>
        </w:pict>
      </w:r>
      <w:r>
        <w:rPr/>
        <w:pict>
          <v:group style="position:absolute;margin-left:226.34201pt;margin-top:19.554815pt;width:78.8pt;height:81.850pt;mso-position-horizontal-relative:page;mso-position-vertical-relative:paragraph;z-index:-250932224;mso-wrap-distance-left:0;mso-wrap-distance-right:0" coordorigin="4527,391" coordsize="1576,1637">
            <v:shape style="position:absolute;left:4626;top:410;width:1463;height:1611" type="#_x0000_t75" stroked="false">
              <v:imagedata r:id="rId760" o:title=""/>
            </v:shape>
            <v:shape style="position:absolute;left:4626;top:410;width:1463;height:1611" coordorigin="4626,410" coordsize="1463,1611" path="m5844,410l5761,428,5695,475,5650,561,5645,596,5645,618,5644,608,5644,1316,5632,1447,5603,1547,5563,1620,5516,1671,5422,1722,5359,1731,5354,1731,5356,1731,5331,1729,5247,1703,5152,1620,5112,1547,5083,1447,5070,1316,5070,608,5070,618,5050,519,4990,448,4915,416,4837,410,4764,410,4626,410,4627,699,4676,699,4709,699,4739,699,4781,699,4781,1319,4781,1321,4786,1407,4797,1488,4813,1565,4836,1636,4864,1701,4898,1762,4938,1817,4984,1866,5080,1939,5173,1985,5257,2009,5321,2019,5357,2020,5394,2019,5458,2009,5542,1985,5635,1939,5731,1866,5777,1817,5817,1762,5851,1701,5879,1636,5902,1565,5918,1488,5929,1407,5934,1321,5934,1318,5934,699,5988,699,6037,699,6074,699,6088,699,6088,410,5951,410,5878,410,5850,410,5844,410xe" filled="false" stroked="true" strokeweight=".75pt" strokecolor="#e2874a">
              <v:path arrowok="t"/>
              <v:stroke dashstyle="solid"/>
            </v:shape>
            <v:shape style="position:absolute;left:5553;top:660;width:189;height:189" type="#_x0000_t75" stroked="false">
              <v:imagedata r:id="rId761" o:title=""/>
            </v:shape>
            <v:shape style="position:absolute;left:5553;top:960;width:189;height:189" type="#_x0000_t75" stroked="false">
              <v:imagedata r:id="rId761" o:title=""/>
            </v:shape>
            <v:shape style="position:absolute;left:4526;top:812;width:219;height:219" type="#_x0000_t75" stroked="false">
              <v:imagedata r:id="rId762" o:title=""/>
            </v:shape>
            <v:shape style="position:absolute;left:5543;top:1337;width:189;height:189" type="#_x0000_t75" stroked="false">
              <v:imagedata r:id="rId763" o:title=""/>
            </v:shape>
            <v:line style="position:absolute" from="4626,391" to="4626,731" stroked="true" strokeweight="1.5pt" strokecolor="#ffffff">
              <v:stroke dashstyle="solid"/>
            </v:line>
            <v:line style="position:absolute" from="6087,391" to="6087,731" stroked="true" strokeweight="1.5pt" strokecolor="#ffffff">
              <v:stroke dashstyle="solid"/>
            </v:line>
            <v:shape style="position:absolute;left:5409;top:622;width:141;height:92" coordorigin="5409,623" coordsize="141,92" path="m5548,623l5480,652,5409,668,5480,685,5548,714,5549,713,5524,668,5549,624,5548,623xe" filled="true" fillcolor="#231f20" stroked="false">
              <v:path arrowok="t"/>
              <v:fill type="solid"/>
            </v:shape>
            <v:shape style="position:absolute;left:5409;top:922;width:141;height:92" coordorigin="5409,922" coordsize="141,92" path="m5548,922l5480,951,5409,967,5480,984,5548,1013,5549,1013,5524,968,5549,923,5548,922xe" filled="true" fillcolor="#231f20" stroked="false">
              <v:path arrowok="t"/>
              <v:fill type="solid"/>
            </v:shape>
            <v:shape style="position:absolute;left:5399;top:1299;width:141;height:92" coordorigin="5399,1299" coordsize="141,92" path="m5538,1299l5470,1328,5399,1345,5470,1362,5538,1390,5540,1390,5514,1345,5540,1300,5538,1299xe" filled="true" fillcolor="#231f20" stroked="false">
              <v:path arrowok="t"/>
              <v:fill type="solid"/>
            </v:shape>
            <v:shape style="position:absolute;left:4782;top:489;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5510;top:489;width:460;height:162" type="#_x0000_t202" filled="false" stroked="false">
              <v:textbox inset="0,0,0,0">
                <w:txbxContent>
                  <w:p>
                    <w:pPr>
                      <w:spacing w:line="160" w:lineRule="exact" w:before="0"/>
                      <w:ind w:left="0" w:right="0" w:firstLine="0"/>
                      <w:jc w:val="left"/>
                      <w:rPr>
                        <w:rFonts w:ascii="Helvetica"/>
                        <w:sz w:val="14"/>
                      </w:rPr>
                    </w:pPr>
                    <w:r>
                      <w:rPr>
                        <w:rFonts w:ascii="Helvetica"/>
                        <w:color w:val="231F20"/>
                        <w:w w:val="100"/>
                        <w:sz w:val="14"/>
                        <w:u w:val="thick" w:color="231F20"/>
                      </w:rPr>
                      <w:t> </w:t>
                    </w:r>
                    <w:r>
                      <w:rPr>
                        <w:rFonts w:ascii="Helvetica"/>
                        <w:color w:val="231F20"/>
                        <w:sz w:val="14"/>
                        <w:u w:val="thick" w:color="231F20"/>
                      </w:rPr>
                      <w:t>    2</w:t>
                    </w:r>
                    <w:r>
                      <w:rPr>
                        <w:rFonts w:ascii="Helvetica"/>
                        <w:color w:val="231F20"/>
                        <w:sz w:val="14"/>
                      </w:rPr>
                      <w:t>00</w:t>
                    </w:r>
                  </w:p>
                </w:txbxContent>
              </v:textbox>
              <w10:wrap type="none"/>
            </v:shape>
            <v:shape style="position:absolute;left:4596;top:808;width:1338;height:857" type="#_x0000_t202" filled="false" stroked="false">
              <v:textbox inset="0,0,0,0">
                <w:txbxContent>
                  <w:p>
                    <w:pPr>
                      <w:spacing w:line="180" w:lineRule="exact" w:before="0"/>
                      <w:ind w:left="0" w:right="0" w:firstLine="0"/>
                      <w:jc w:val="left"/>
                      <w:rPr>
                        <w:rFonts w:ascii="Helvetica"/>
                        <w:sz w:val="14"/>
                      </w:rPr>
                    </w:pPr>
                    <w:r>
                      <w:rPr>
                        <w:rFonts w:ascii="Helvetica"/>
                        <w:color w:val="231F20"/>
                        <w:position w:val="-1"/>
                        <w:sz w:val="14"/>
                      </w:rPr>
                      <w:t>2    </w:t>
                    </w:r>
                    <w:r>
                      <w:rPr>
                        <w:rFonts w:ascii="Helvetica"/>
                        <w:color w:val="231F20"/>
                        <w:sz w:val="14"/>
                      </w:rPr>
                      <w:t>300     </w:t>
                    </w:r>
                    <w:r>
                      <w:rPr>
                        <w:rFonts w:ascii="Helvetica"/>
                        <w:color w:val="231F20"/>
                        <w:position w:val="0"/>
                        <w:sz w:val="14"/>
                      </w:rPr>
                      <w:t>400</w:t>
                    </w:r>
                    <w:r>
                      <w:rPr>
                        <w:rFonts w:ascii="Helvetica"/>
                        <w:color w:val="231F20"/>
                        <w:sz w:val="14"/>
                        <w:u w:val="thick" w:color="231F20"/>
                      </w:rPr>
                      <w:t>   </w:t>
                    </w:r>
                    <w:r>
                      <w:rPr>
                        <w:rFonts w:ascii="Helvetica"/>
                        <w:color w:val="231F20"/>
                        <w:spacing w:val="29"/>
                        <w:sz w:val="14"/>
                        <w:u w:val="thick" w:color="231F20"/>
                      </w:rPr>
                      <w:t> </w:t>
                    </w:r>
                    <w:r>
                      <w:rPr>
                        <w:rFonts w:ascii="Helvetica"/>
                        <w:color w:val="231F20"/>
                        <w:sz w:val="14"/>
                        <w:u w:val="thick" w:color="231F20"/>
                      </w:rPr>
                      <w:t>2</w:t>
                    </w:r>
                    <w:r>
                      <w:rPr>
                        <w:rFonts w:ascii="Helvetica"/>
                        <w:color w:val="231F20"/>
                        <w:sz w:val="14"/>
                      </w:rPr>
                      <w:t>00</w:t>
                    </w:r>
                  </w:p>
                  <w:p>
                    <w:pPr>
                      <w:spacing w:line="240" w:lineRule="auto" w:before="0"/>
                      <w:rPr>
                        <w:rFonts w:ascii="Helvetica"/>
                        <w:sz w:val="16"/>
                      </w:rPr>
                    </w:pPr>
                  </w:p>
                  <w:p>
                    <w:pPr>
                      <w:spacing w:before="0"/>
                      <w:ind w:left="211" w:right="0" w:firstLine="0"/>
                      <w:jc w:val="left"/>
                      <w:rPr>
                        <w:rFonts w:ascii="Helvetica"/>
                        <w:sz w:val="14"/>
                      </w:rPr>
                    </w:pPr>
                    <w:r>
                      <w:rPr>
                        <w:rFonts w:ascii="Helvetica"/>
                        <w:color w:val="231F20"/>
                        <w:position w:val="1"/>
                        <w:sz w:val="14"/>
                      </w:rPr>
                      <w:t>300     </w:t>
                    </w:r>
                    <w:r>
                      <w:rPr>
                        <w:rFonts w:ascii="Helvetica"/>
                        <w:color w:val="231F20"/>
                        <w:sz w:val="14"/>
                      </w:rPr>
                      <w:t>400</w:t>
                    </w:r>
                    <w:r>
                      <w:rPr>
                        <w:rFonts w:ascii="Helvetica"/>
                        <w:color w:val="231F20"/>
                        <w:position w:val="1"/>
                        <w:sz w:val="14"/>
                        <w:u w:val="thick" w:color="231F20"/>
                      </w:rPr>
                      <w:t>    </w:t>
                    </w:r>
                    <w:r>
                      <w:rPr>
                        <w:rFonts w:ascii="Helvetica"/>
                        <w:color w:val="231F20"/>
                        <w:spacing w:val="14"/>
                        <w:position w:val="1"/>
                        <w:sz w:val="14"/>
                        <w:u w:val="thick" w:color="231F20"/>
                      </w:rPr>
                      <w:t> </w:t>
                    </w:r>
                    <w:r>
                      <w:rPr>
                        <w:rFonts w:ascii="Helvetica"/>
                        <w:color w:val="231F20"/>
                        <w:position w:val="1"/>
                        <w:sz w:val="14"/>
                        <w:u w:val="thick" w:color="231F20"/>
                      </w:rPr>
                      <w:t>2</w:t>
                    </w:r>
                    <w:r>
                      <w:rPr>
                        <w:rFonts w:ascii="Helvetica"/>
                        <w:color w:val="231F20"/>
                        <w:position w:val="1"/>
                        <w:sz w:val="14"/>
                      </w:rPr>
                      <w:t>00</w:t>
                    </w:r>
                  </w:p>
                  <w:p>
                    <w:pPr>
                      <w:spacing w:line="240" w:lineRule="auto" w:before="10"/>
                      <w:rPr>
                        <w:rFonts w:ascii="Helvetica"/>
                        <w:sz w:val="12"/>
                      </w:rPr>
                    </w:pPr>
                  </w:p>
                  <w:p>
                    <w:pPr>
                      <w:spacing w:before="1"/>
                      <w:ind w:left="272" w:right="0" w:firstLine="0"/>
                      <w:jc w:val="left"/>
                      <w:rPr>
                        <w:rFonts w:ascii="Helvetica"/>
                        <w:sz w:val="14"/>
                      </w:rPr>
                    </w:pPr>
                    <w:r>
                      <w:rPr>
                        <w:rFonts w:ascii="Helvetica"/>
                        <w:color w:val="231F20"/>
                        <w:position w:val="1"/>
                        <w:sz w:val="14"/>
                      </w:rPr>
                      <w:t>300 </w:t>
                    </w:r>
                    <w:r>
                      <w:rPr>
                        <w:rFonts w:ascii="Helvetica"/>
                        <w:color w:val="231F20"/>
                        <w:sz w:val="14"/>
                      </w:rPr>
                      <w:t>400 </w:t>
                    </w:r>
                    <w:r>
                      <w:rPr>
                        <w:rFonts w:ascii="Helvetica"/>
                        <w:color w:val="231F20"/>
                        <w:position w:val="1"/>
                        <w:sz w:val="14"/>
                      </w:rPr>
                      <w:t>200</w:t>
                    </w:r>
                  </w:p>
                </w:txbxContent>
              </v:textbox>
              <w10:wrap type="none"/>
            </v:shape>
            <w10:wrap type="topAndBottom"/>
          </v:group>
        </w:pict>
      </w:r>
      <w:r>
        <w:rPr/>
        <w:pict>
          <v:group style="position:absolute;margin-left:320.192993pt;margin-top:19.554815pt;width:78.75pt;height:81.850pt;mso-position-horizontal-relative:page;mso-position-vertical-relative:paragraph;z-index:-250928128;mso-wrap-distance-left:0;mso-wrap-distance-right:0" coordorigin="6404,391" coordsize="1575,1637">
            <v:shape style="position:absolute;left:6501;top:410;width:445;height:337" coordorigin="6501,410" coordsize="445,337" path="m6945,699l6656,699,6656,747,6945,739,6945,699xm6639,410l6501,410,6502,699,6945,699,6945,618,6945,618,6945,596,6940,561,6925,519,6895,475,6865,448,6829,428,6790,416,6746,410,6639,410xm6945,608l6945,618,6945,618,6945,608xe" filled="true" fillcolor="#fde084" stroked="false">
              <v:path arrowok="t"/>
              <v:fill type="solid"/>
            </v:shape>
            <v:shape style="position:absolute;left:6656;top:739;width:915;height:1282" type="#_x0000_t75" stroked="false">
              <v:imagedata r:id="rId764" o:title=""/>
            </v:shape>
            <v:shape style="position:absolute;left:7382;top:410;width:581;height:1487" coordorigin="7383,410" coordsize="581,1487" path="m7519,608l7519,1318,7510,1427,7489,1517,7459,1587,7423,1640,7383,1678,7571,1897,7580,1889,7589,1882,7597,1874,7606,1866,7652,1817,7692,1762,7726,1701,7754,1636,7777,1565,7793,1488,7804,1407,7809,1321,7809,699,7963,699,7963,618,7520,618,7519,608xm7826,410l7719,410,7675,416,7636,428,7600,448,7570,475,7540,519,7525,561,7520,596,7520,618,7963,618,7963,410,7826,410xe" filled="true" fillcolor="#fde7aa" stroked="false">
              <v:path arrowok="t"/>
              <v:fill type="solid"/>
            </v:shape>
            <v:shape style="position:absolute;left:6501;top:410;width:1463;height:1611" coordorigin="6501,410" coordsize="1463,1611" path="m7719,410l7636,428,7570,475,7525,561,7520,618,7519,608,7519,1316,7507,1447,7478,1547,7438,1620,7391,1671,7297,1722,7234,1731,7229,1731,7231,1731,7206,1729,7122,1703,7027,1620,6987,1547,6958,1447,6946,1316,6946,608,6945,618,6925,519,6865,448,6790,416,6712,410,6639,410,6501,410,6502,699,6551,699,6584,699,6614,699,6656,699,6656,1319,6656,1321,6661,1407,6672,1488,6688,1565,6711,1636,6739,1701,6773,1762,6813,1817,6859,1866,6955,1939,7048,1985,7132,2009,7196,2019,7232,2020,7269,2019,7333,2009,7417,1985,7510,1939,7606,1866,7652,1817,7692,1762,7726,1701,7754,1636,7777,1565,7793,1488,7804,1407,7809,1321,7809,1318,7809,699,7863,699,7912,699,7949,699,7963,699,7963,410,7826,410,7753,410,7725,410,7719,410xe" filled="false" stroked="true" strokeweight=".75pt" strokecolor="#e2874a">
              <v:path arrowok="t"/>
              <v:stroke dashstyle="solid"/>
            </v:shape>
            <v:shape style="position:absolute;left:6403;top:812;width:219;height:219" type="#_x0000_t75" stroked="false">
              <v:imagedata r:id="rId758" o:title=""/>
            </v:shape>
            <v:line style="position:absolute" from="6503,391" to="6503,731" stroked="true" strokeweight="1.5pt" strokecolor="#ffffff">
              <v:stroke dashstyle="solid"/>
            </v:line>
            <v:line style="position:absolute" from="7964,391" to="7964,731" stroked="true" strokeweight="1.5pt" strokecolor="#ffffff">
              <v:stroke dashstyle="solid"/>
            </v:line>
            <v:shape style="position:absolute;left:7020;top:622;width:141;height:92" coordorigin="7021,623" coordsize="141,92" path="m7022,623l7021,624,7046,668,7021,713,7022,714,7090,685,7161,668,7090,652,7022,623xe" filled="true" fillcolor="#231f20" stroked="false">
              <v:path arrowok="t"/>
              <v:fill type="solid"/>
            </v:shape>
            <v:shape style="position:absolute;left:7020;top:967;width:141;height:92" coordorigin="7021,968" coordsize="141,92" path="m7022,968l7021,969,7046,1013,7021,1058,7022,1059,7090,1030,7161,1013,7090,997,7022,968xe" filled="true" fillcolor="#231f20" stroked="false">
              <v:path arrowok="t"/>
              <v:fill type="solid"/>
            </v:shape>
            <v:line style="position:absolute" from="6790,1013" to="7060,1013" stroked="true" strokeweight="1.5pt" strokecolor="#231f20">
              <v:stroke dashstyle="shortdash"/>
            </v:line>
            <v:shape style="position:absolute;left:7030;top:1329;width:141;height:92" coordorigin="7030,1330" coordsize="141,92" path="m7032,1330l7030,1331,7056,1375,7030,1420,7032,1421,7100,1392,7171,1375,7100,1359,7032,1330xe" filled="true" fillcolor="#231f20" stroked="false">
              <v:path arrowok="t"/>
              <v:fill type="solid"/>
            </v:shape>
            <v:line style="position:absolute" from="6784,1375" to="7054,1375" stroked="true" strokeweight="1.5pt" strokecolor="#231f20">
              <v:stroke dashstyle="shortdash"/>
            </v:line>
            <v:shape style="position:absolute;left:6659;top:489;width:421;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w:t>
                    </w:r>
                    <w:r>
                      <w:rPr>
                        <w:rFonts w:ascii="Helvetica"/>
                        <w:color w:val="231F20"/>
                        <w:sz w:val="14"/>
                        <w:u w:val="thick" w:color="231F20"/>
                      </w:rPr>
                      <w:t>0 </w:t>
                    </w:r>
                  </w:p>
                </w:txbxContent>
              </v:textbox>
              <w10:wrap type="none"/>
            </v:shape>
            <v:shape style="position:absolute;left:7593;top:488;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200</w:t>
                    </w:r>
                  </w:p>
                </w:txbxContent>
              </v:textbox>
              <w10:wrap type="none"/>
            </v:shape>
            <v:shape style="position:absolute;left:6473;top:808;width:1338;height:857" type="#_x0000_t202" filled="false" stroked="false">
              <v:textbox inset="0,0,0,0">
                <w:txbxContent>
                  <w:p>
                    <w:pPr>
                      <w:tabs>
                        <w:tab w:pos="1083" w:val="left" w:leader="none"/>
                      </w:tabs>
                      <w:spacing w:line="180" w:lineRule="exact" w:before="0"/>
                      <w:ind w:left="0" w:right="0" w:firstLine="0"/>
                      <w:jc w:val="left"/>
                      <w:rPr>
                        <w:rFonts w:ascii="Helvetica"/>
                        <w:sz w:val="14"/>
                      </w:rPr>
                    </w:pPr>
                    <w:r>
                      <w:rPr>
                        <w:rFonts w:ascii="Helvetica"/>
                        <w:color w:val="231F20"/>
                        <w:position w:val="-1"/>
                        <w:sz w:val="14"/>
                      </w:rPr>
                      <w:t>3  </w:t>
                    </w:r>
                    <w:r>
                      <w:rPr>
                        <w:rFonts w:ascii="Helvetica"/>
                        <w:color w:val="231F20"/>
                        <w:spacing w:val="15"/>
                        <w:position w:val="-1"/>
                        <w:sz w:val="14"/>
                      </w:rPr>
                      <w:t> </w:t>
                    </w:r>
                    <w:r>
                      <w:rPr>
                        <w:rFonts w:ascii="Helvetica"/>
                        <w:color w:val="231F20"/>
                        <w:sz w:val="14"/>
                      </w:rPr>
                      <w:t>400   </w:t>
                    </w:r>
                    <w:r>
                      <w:rPr>
                        <w:rFonts w:ascii="Helvetica"/>
                        <w:color w:val="231F20"/>
                        <w:spacing w:val="36"/>
                        <w:sz w:val="14"/>
                      </w:rPr>
                      <w:t> </w:t>
                    </w:r>
                    <w:r>
                      <w:rPr>
                        <w:rFonts w:ascii="Helvetica"/>
                        <w:color w:val="231F20"/>
                        <w:position w:val="0"/>
                        <w:sz w:val="14"/>
                      </w:rPr>
                      <w:t>400</w:t>
                      <w:tab/>
                    </w:r>
                    <w:r>
                      <w:rPr>
                        <w:rFonts w:ascii="Helvetica"/>
                        <w:color w:val="231F20"/>
                        <w:sz w:val="14"/>
                      </w:rPr>
                      <w:t>200</w:t>
                    </w:r>
                  </w:p>
                  <w:p>
                    <w:pPr>
                      <w:spacing w:line="240" w:lineRule="auto" w:before="0"/>
                      <w:rPr>
                        <w:rFonts w:ascii="Helvetica"/>
                        <w:sz w:val="16"/>
                      </w:rPr>
                    </w:pPr>
                  </w:p>
                  <w:p>
                    <w:pPr>
                      <w:tabs>
                        <w:tab w:pos="1083" w:val="left" w:leader="none"/>
                      </w:tabs>
                      <w:spacing w:before="0"/>
                      <w:ind w:left="211" w:right="0" w:firstLine="0"/>
                      <w:jc w:val="left"/>
                      <w:rPr>
                        <w:rFonts w:ascii="Helvetica"/>
                        <w:sz w:val="14"/>
                      </w:rPr>
                    </w:pPr>
                    <w:r>
                      <w:rPr>
                        <w:rFonts w:ascii="Helvetica"/>
                        <w:color w:val="231F20"/>
                        <w:position w:val="1"/>
                        <w:sz w:val="14"/>
                      </w:rPr>
                      <w:t>400   </w:t>
                    </w:r>
                    <w:r>
                      <w:rPr>
                        <w:rFonts w:ascii="Helvetica"/>
                        <w:color w:val="231F20"/>
                        <w:spacing w:val="35"/>
                        <w:position w:val="1"/>
                        <w:sz w:val="14"/>
                      </w:rPr>
                      <w:t> </w:t>
                    </w:r>
                    <w:r>
                      <w:rPr>
                        <w:rFonts w:ascii="Helvetica"/>
                        <w:color w:val="231F20"/>
                        <w:sz w:val="14"/>
                      </w:rPr>
                      <w:t>400</w:t>
                      <w:tab/>
                    </w:r>
                    <w:r>
                      <w:rPr>
                        <w:rFonts w:ascii="Helvetica"/>
                        <w:color w:val="231F20"/>
                        <w:position w:val="1"/>
                        <w:sz w:val="14"/>
                      </w:rPr>
                      <w:t>200</w:t>
                    </w:r>
                  </w:p>
                  <w:p>
                    <w:pPr>
                      <w:spacing w:line="240" w:lineRule="auto" w:before="10"/>
                      <w:rPr>
                        <w:rFonts w:ascii="Helvetica"/>
                        <w:sz w:val="12"/>
                      </w:rPr>
                    </w:pPr>
                  </w:p>
                  <w:p>
                    <w:pPr>
                      <w:spacing w:before="1"/>
                      <w:ind w:left="272" w:right="0" w:firstLine="0"/>
                      <w:jc w:val="left"/>
                      <w:rPr>
                        <w:rFonts w:ascii="Helvetica"/>
                        <w:sz w:val="14"/>
                      </w:rPr>
                    </w:pPr>
                    <w:r>
                      <w:rPr>
                        <w:rFonts w:ascii="Helvetica"/>
                        <w:color w:val="231F20"/>
                        <w:position w:val="1"/>
                        <w:sz w:val="14"/>
                      </w:rPr>
                      <w:t>400 </w:t>
                    </w:r>
                    <w:r>
                      <w:rPr>
                        <w:rFonts w:ascii="Helvetica"/>
                        <w:color w:val="231F20"/>
                        <w:sz w:val="14"/>
                      </w:rPr>
                      <w:t>400 </w:t>
                    </w:r>
                    <w:r>
                      <w:rPr>
                        <w:rFonts w:ascii="Helvetica"/>
                        <w:color w:val="231F20"/>
                        <w:position w:val="1"/>
                        <w:sz w:val="14"/>
                      </w:rPr>
                      <w:t>200</w:t>
                    </w:r>
                  </w:p>
                </w:txbxContent>
              </v:textbox>
              <w10:wrap type="none"/>
            </v:shape>
            <w10:wrap type="topAndBottom"/>
          </v:group>
        </w:pict>
      </w:r>
      <w:r>
        <w:rPr/>
        <w:pict>
          <v:group style="position:absolute;margin-left:408.571991pt;margin-top:19.554815pt;width:93.65pt;height:81.850pt;mso-position-horizontal-relative:page;mso-position-vertical-relative:paragraph;z-index:-250923008;mso-wrap-distance-left:0;mso-wrap-distance-right:0" coordorigin="8171,391" coordsize="1873,1637">
            <v:shape style="position:absolute;left:8376;top:410;width:445;height:725" type="#_x0000_t75" stroked="false">
              <v:imagedata r:id="rId765" o:title=""/>
            </v:shape>
            <v:shape style="position:absolute;left:8531;top:1112;width:1153;height:909" coordorigin="8531,1112" coordsize="1153,909" path="m8531,1112l8531,1321,8536,1407,8547,1488,8563,1565,8586,1636,8614,1701,8648,1762,8688,1817,8734,1866,8830,1939,8923,1985,9007,2009,9071,2019,9107,2020,9144,2019,9208,2009,9292,1985,9385,1939,9481,1866,9527,1817,9567,1762,9584,1731,9104,1731,9106,1731,9081,1729,9043,1722,8997,1703,8949,1671,8902,1620,8862,1547,8833,1447,8821,1316,8821,1120,8531,1112xm9684,1143l9394,1150,9394,1316,9382,1447,9353,1547,9313,1620,9266,1671,9218,1703,9172,1722,9134,1729,9109,1731,9104,1731,9584,1731,9601,1701,9629,1636,9652,1565,9668,1488,9679,1407,9684,1321,9684,1143xe" filled="true" fillcolor="#fcd946" stroked="false">
              <v:path arrowok="t"/>
              <v:fill type="solid"/>
            </v:shape>
            <v:shape style="position:absolute;left:9394;top:410;width:445;height:756" type="#_x0000_t75" stroked="false">
              <v:imagedata r:id="rId766" o:title=""/>
            </v:shape>
            <v:shape style="position:absolute;left:8376;top:410;width:1463;height:1611" coordorigin="8376,410" coordsize="1463,1611" path="m9594,410l9511,428,9445,475,9400,561,9395,618,9394,608,9394,1316,9382,1447,9353,1547,9313,1620,9266,1671,9172,1722,9109,1731,9104,1731,9106,1731,9081,1729,8997,1703,8902,1620,8862,1547,8833,1447,8821,1316,8821,608,8820,618,8800,519,8740,448,8665,416,8587,410,8514,410,8376,410,8377,699,8426,699,8459,699,8489,699,8531,699,8531,1319,8531,1321,8536,1407,8547,1488,8563,1565,8586,1636,8614,1701,8648,1762,8688,1817,8734,1866,8830,1939,8923,1985,9007,2009,9071,2019,9107,2020,9144,2019,9208,2009,9292,1985,9385,1939,9481,1866,9527,1817,9567,1762,9601,1701,9629,1636,9652,1565,9668,1488,9679,1407,9684,1321,9684,1318,9684,699,9738,699,9787,699,9824,699,9838,699,9839,410,9701,410,9628,410,9600,410,9594,410xe" filled="false" stroked="true" strokeweight=".75pt" strokecolor="#e2874a">
              <v:path arrowok="t"/>
              <v:stroke dashstyle="solid"/>
            </v:shape>
            <v:shape style="position:absolute;left:8270;top:812;width:219;height:219" type="#_x0000_t75" stroked="false">
              <v:imagedata r:id="rId758" o:title=""/>
            </v:shape>
            <v:line style="position:absolute" from="8376,391" to="8376,731" stroked="true" strokeweight="1.5pt" strokecolor="#ffffff">
              <v:stroke dashstyle="solid"/>
            </v:line>
            <v:line style="position:absolute" from="9837,391" to="9837,731" stroked="true" strokeweight="1.5pt" strokecolor="#ffffff">
              <v:stroke dashstyle="solid"/>
            </v:line>
            <v:shape style="position:absolute;left:8343;top:510;width:141;height:92" coordorigin="8343,511" coordsize="141,92" path="m8345,511l8343,512,8369,556,8343,601,8345,602,8413,573,8484,556,8413,540,8345,511xe" filled="true" fillcolor="#231f20" stroked="false">
              <v:path arrowok="t"/>
              <v:fill type="solid"/>
            </v:shape>
            <v:line style="position:absolute" from="8171,556" to="8382,556" stroked="true" strokeweight="1.5pt" strokecolor="#231f20">
              <v:stroke dashstyle="solid"/>
            </v:line>
            <v:shape style="position:absolute;left:9903;top:510;width:141;height:92" coordorigin="9904,511" coordsize="141,92" path="m9905,511l9904,512,9929,556,9904,601,9905,602,9973,573,10044,556,9973,540,9905,511xe" filled="true" fillcolor="#231f20" stroked="false">
              <v:path arrowok="t"/>
              <v:fill type="solid"/>
            </v:shape>
            <v:line style="position:absolute" from="9732,556" to="9943,556" stroked="true" strokeweight="1.5pt" strokecolor="#231f20">
              <v:stroke dashstyle="solid"/>
            </v:line>
            <v:shape style="position:absolute;left:9298;top:1710;width:134;height:129" type="#_x0000_t75" stroked="false">
              <v:imagedata r:id="rId767" o:title=""/>
            </v:shape>
            <v:shape style="position:absolute;left:8851;top:1780;width:506;height:103" coordorigin="8852,1780" coordsize="506,103" path="m9357,1780l9300,1823,9238,1856,9171,1876,9101,1883,9033,1876,8969,1857,8908,1827,8852,1786e" filled="false" stroked="true" strokeweight="1.5pt" strokecolor="#231f20">
              <v:path arrowok="t"/>
              <v:stroke dashstyle="solid"/>
            </v:shape>
            <v:shape style="position:absolute;left:8536;top:488;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8987;top:427;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9470;top:488;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200</w:t>
                    </w:r>
                  </w:p>
                </w:txbxContent>
              </v:textbox>
              <w10:wrap type="none"/>
            </v:shape>
            <v:shape style="position:absolute;left:8340;top:808;width:1348;height:857" type="#_x0000_t202" filled="false" stroked="false">
              <v:textbox inset="0,0,0,0">
                <w:txbxContent>
                  <w:p>
                    <w:pPr>
                      <w:tabs>
                        <w:tab w:pos="1093" w:val="left" w:leader="none"/>
                      </w:tabs>
                      <w:spacing w:line="180" w:lineRule="exact" w:before="0"/>
                      <w:ind w:left="0" w:right="0" w:firstLine="0"/>
                      <w:jc w:val="left"/>
                      <w:rPr>
                        <w:rFonts w:ascii="Helvetica"/>
                        <w:sz w:val="14"/>
                      </w:rPr>
                    </w:pPr>
                    <w:r>
                      <w:rPr>
                        <w:rFonts w:ascii="Helvetica"/>
                        <w:color w:val="231F20"/>
                        <w:position w:val="-1"/>
                        <w:sz w:val="14"/>
                      </w:rPr>
                      <w:t>4  </w:t>
                    </w:r>
                    <w:r>
                      <w:rPr>
                        <w:rFonts w:ascii="Helvetica"/>
                        <w:color w:val="231F20"/>
                        <w:spacing w:val="26"/>
                        <w:position w:val="-1"/>
                        <w:sz w:val="14"/>
                      </w:rPr>
                      <w:t> </w:t>
                    </w:r>
                    <w:r>
                      <w:rPr>
                        <w:rFonts w:ascii="Helvetica"/>
                        <w:color w:val="231F20"/>
                        <w:sz w:val="14"/>
                      </w:rPr>
                      <w:t>300   </w:t>
                    </w:r>
                    <w:r>
                      <w:rPr>
                        <w:rFonts w:ascii="Helvetica"/>
                        <w:color w:val="231F20"/>
                        <w:spacing w:val="36"/>
                        <w:sz w:val="14"/>
                      </w:rPr>
                      <w:t> </w:t>
                    </w:r>
                    <w:r>
                      <w:rPr>
                        <w:rFonts w:ascii="Helvetica"/>
                        <w:color w:val="231F20"/>
                        <w:position w:val="0"/>
                        <w:sz w:val="14"/>
                      </w:rPr>
                      <w:t>400</w:t>
                      <w:tab/>
                    </w:r>
                    <w:r>
                      <w:rPr>
                        <w:rFonts w:ascii="Helvetica"/>
                        <w:color w:val="231F20"/>
                        <w:sz w:val="14"/>
                      </w:rPr>
                      <w:t>200</w:t>
                    </w:r>
                  </w:p>
                  <w:p>
                    <w:pPr>
                      <w:spacing w:line="240" w:lineRule="auto" w:before="0"/>
                      <w:rPr>
                        <w:rFonts w:ascii="Helvetica"/>
                        <w:sz w:val="16"/>
                      </w:rPr>
                    </w:pPr>
                  </w:p>
                  <w:p>
                    <w:pPr>
                      <w:tabs>
                        <w:tab w:pos="1093" w:val="left" w:leader="none"/>
                      </w:tabs>
                      <w:spacing w:before="0"/>
                      <w:ind w:left="221" w:right="0" w:firstLine="0"/>
                      <w:jc w:val="left"/>
                      <w:rPr>
                        <w:rFonts w:ascii="Helvetica"/>
                        <w:sz w:val="14"/>
                      </w:rPr>
                    </w:pPr>
                    <w:r>
                      <w:rPr>
                        <w:rFonts w:ascii="Helvetica"/>
                        <w:color w:val="231F20"/>
                        <w:position w:val="1"/>
                        <w:sz w:val="14"/>
                      </w:rPr>
                      <w:t>400   </w:t>
                    </w:r>
                    <w:r>
                      <w:rPr>
                        <w:rFonts w:ascii="Helvetica"/>
                        <w:color w:val="231F20"/>
                        <w:spacing w:val="35"/>
                        <w:position w:val="1"/>
                        <w:sz w:val="14"/>
                      </w:rPr>
                      <w:t> </w:t>
                    </w:r>
                    <w:r>
                      <w:rPr>
                        <w:rFonts w:ascii="Helvetica"/>
                        <w:color w:val="231F20"/>
                        <w:sz w:val="14"/>
                      </w:rPr>
                      <w:t>400</w:t>
                      <w:tab/>
                    </w:r>
                    <w:r>
                      <w:rPr>
                        <w:rFonts w:ascii="Helvetica"/>
                        <w:color w:val="231F20"/>
                        <w:position w:val="1"/>
                        <w:sz w:val="14"/>
                      </w:rPr>
                      <w:t>400</w:t>
                    </w:r>
                  </w:p>
                  <w:p>
                    <w:pPr>
                      <w:spacing w:line="240" w:lineRule="auto" w:before="10"/>
                      <w:rPr>
                        <w:rFonts w:ascii="Helvetica"/>
                        <w:sz w:val="12"/>
                      </w:rPr>
                    </w:pPr>
                  </w:p>
                  <w:p>
                    <w:pPr>
                      <w:spacing w:before="1"/>
                      <w:ind w:left="282" w:right="0" w:firstLine="0"/>
                      <w:jc w:val="left"/>
                      <w:rPr>
                        <w:rFonts w:ascii="Helvetica"/>
                        <w:sz w:val="14"/>
                      </w:rPr>
                    </w:pPr>
                    <w:r>
                      <w:rPr>
                        <w:rFonts w:ascii="Helvetica"/>
                        <w:color w:val="231F20"/>
                        <w:position w:val="1"/>
                        <w:sz w:val="14"/>
                      </w:rPr>
                      <w:t>400 </w:t>
                    </w:r>
                    <w:r>
                      <w:rPr>
                        <w:rFonts w:ascii="Helvetica"/>
                        <w:color w:val="231F20"/>
                        <w:sz w:val="14"/>
                      </w:rPr>
                      <w:t>400 </w:t>
                    </w:r>
                    <w:r>
                      <w:rPr>
                        <w:rFonts w:ascii="Helvetica"/>
                        <w:color w:val="231F20"/>
                        <w:position w:val="1"/>
                        <w:sz w:val="14"/>
                      </w:rPr>
                      <w:t>400</w:t>
                    </w:r>
                  </w:p>
                </w:txbxContent>
              </v:textbox>
              <w10:wrap type="none"/>
            </v:shape>
            <w10:wrap type="topAndBottom"/>
          </v:group>
        </w:pict>
      </w:r>
    </w:p>
    <w:p>
      <w:pPr>
        <w:pStyle w:val="BodyText"/>
        <w:rPr>
          <w:rFonts w:ascii="Arial"/>
        </w:rPr>
      </w:pPr>
    </w:p>
    <w:p>
      <w:pPr>
        <w:pStyle w:val="BodyText"/>
        <w:rPr>
          <w:rFonts w:ascii="Arial"/>
        </w:rPr>
      </w:pPr>
    </w:p>
    <w:p>
      <w:pPr>
        <w:pStyle w:val="BodyText"/>
        <w:rPr>
          <w:rFonts w:ascii="Arial"/>
          <w:sz w:val="16"/>
        </w:rPr>
      </w:pPr>
    </w:p>
    <w:p>
      <w:pPr>
        <w:spacing w:before="93"/>
        <w:ind w:left="3110" w:right="932" w:firstLine="0"/>
        <w:jc w:val="center"/>
        <w:rPr>
          <w:rFonts w:ascii="Helvetica"/>
          <w:sz w:val="14"/>
        </w:rPr>
      </w:pPr>
      <w:r>
        <w:rPr/>
        <w:pict>
          <v:group style="position:absolute;margin-left:226.34201pt;margin-top:-19.66469pt;width:78.8pt;height:82.45pt;mso-position-horizontal-relative:page;mso-position-vertical-relative:paragraph;z-index:-273004544" coordorigin="4527,-393" coordsize="1576,1649">
            <v:shape style="position:absolute;left:4626;top:-363;width:1463;height:1611" type="#_x0000_t75" stroked="false">
              <v:imagedata r:id="rId768" o:title=""/>
            </v:shape>
            <v:shape style="position:absolute;left:4626;top:-363;width:1463;height:1611" coordorigin="4626,-363" coordsize="1463,1611" path="m5844,-363l5761,-345,5695,-298,5650,-212,5645,-177,5645,-155,5644,-165,5644,543,5632,674,5603,774,5563,847,5516,898,5422,949,5359,958,5354,958,5356,958,5331,957,5247,931,5152,847,5112,774,5083,674,5071,543,5071,-165,5070,-155,5050,-254,4990,-325,4915,-357,4837,-363,4764,-363,4626,-363,4627,-73,4676,-73,4709,-73,4739,-73,4781,-73,4781,546,4786,634,4797,715,4813,792,4836,863,4864,928,4898,989,4938,1044,4984,1093,5080,1166,5173,1212,5257,1236,5321,1246,5357,1247,5394,1246,5458,1236,5542,1212,5635,1166,5731,1093,5777,1044,5817,989,5851,928,5879,863,5902,792,5918,715,5929,634,5934,548,5934,545,5934,-73,5988,-73,6037,-73,6074,-73,6088,-73,6089,-363,5951,-363,5878,-363,5850,-363,5844,-363xe" filled="false" stroked="true" strokeweight=".75pt" strokecolor="#e2874a">
              <v:path arrowok="t"/>
              <v:stroke dashstyle="solid"/>
            </v:shape>
            <v:shape style="position:absolute;left:4526;top:39;width:219;height:219" type="#_x0000_t75" stroked="false">
              <v:imagedata r:id="rId769" o:title=""/>
            </v:shape>
            <v:shape style="position:absolute;left:1876;top:10142;width:1462;height:340" coordorigin="1877,10143" coordsize="1462,340" path="m4626,-393l4626,-54m6087,-393l6087,-54e" filled="false" stroked="true" strokeweight="1.5pt" strokecolor="#ffffff">
              <v:path arrowok="t"/>
              <v:stroke dashstyle="solid"/>
            </v:shape>
            <v:shape style="position:absolute;left:5145;top:-151;width:141;height:92" coordorigin="5146,-150" coordsize="141,92" path="m5147,-150l5146,-149,5171,-105,5146,-60,5147,-59,5215,-88,5286,-105,5215,-121,5147,-150xe" filled="true" fillcolor="#231f20" stroked="false">
              <v:path arrowok="t"/>
              <v:fill type="solid"/>
            </v:shape>
            <v:line style="position:absolute" from="4915,-105" to="5215,-105" stroked="true" strokeweight="1.5pt" strokecolor="#231f20">
              <v:stroke dashstyle="shortdash"/>
            </v:line>
            <v:shape style="position:absolute;left:4784;top:-285;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5717;top:-285;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150</w:t>
                    </w:r>
                  </w:p>
                </w:txbxContent>
              </v:textbox>
              <w10:wrap type="none"/>
            </v:shape>
            <v:shape style="position:absolute;left:4596;top:35;width:1325;height:185" type="#_x0000_t202" filled="false" stroked="false">
              <v:textbox inset="0,0,0,0">
                <w:txbxContent>
                  <w:p>
                    <w:pPr>
                      <w:spacing w:line="180" w:lineRule="exact" w:before="0"/>
                      <w:ind w:left="0" w:right="0" w:firstLine="0"/>
                      <w:jc w:val="left"/>
                      <w:rPr>
                        <w:rFonts w:ascii="Helvetica"/>
                        <w:sz w:val="14"/>
                      </w:rPr>
                    </w:pPr>
                    <w:r>
                      <w:rPr>
                        <w:rFonts w:ascii="Helvetica"/>
                        <w:color w:val="231F20"/>
                        <w:position w:val="-1"/>
                        <w:sz w:val="14"/>
                      </w:rPr>
                      <w:t>6 </w:t>
                    </w:r>
                    <w:r>
                      <w:rPr>
                        <w:rFonts w:ascii="Helvetica"/>
                        <w:color w:val="231F20"/>
                        <w:sz w:val="14"/>
                      </w:rPr>
                      <w:t>350 </w:t>
                    </w:r>
                    <w:r>
                      <w:rPr>
                        <w:rFonts w:ascii="Helvetica"/>
                        <w:color w:val="231F20"/>
                        <w:position w:val="0"/>
                        <w:sz w:val="14"/>
                      </w:rPr>
                      <w:t>350 </w:t>
                    </w:r>
                    <w:r>
                      <w:rPr>
                        <w:rFonts w:ascii="Helvetica"/>
                        <w:color w:val="231F20"/>
                        <w:sz w:val="14"/>
                      </w:rPr>
                      <w:t>150</w:t>
                    </w:r>
                  </w:p>
                </w:txbxContent>
              </v:textbox>
              <w10:wrap type="none"/>
            </v:shape>
            <w10:wrap type="none"/>
          </v:group>
        </w:pict>
      </w:r>
      <w:r>
        <w:rPr/>
        <w:pict>
          <v:group style="position:absolute;margin-left:132.997910pt;margin-top:-19.66469pt;width:78.5pt;height:82.45pt;mso-position-horizontal-relative:page;mso-position-vertical-relative:paragraph;z-index:-273000448" coordorigin="2660,-393" coordsize="1570,1649">
            <v:shape style="position:absolute;left:3769;top:-363;width:445;height:773" type="#_x0000_t75" stroked="false">
              <v:imagedata r:id="rId770" o:title=""/>
            </v:shape>
            <v:shape style="position:absolute;left:2751;top:-363;width:1308;height:1611" coordorigin="2751,-363" coordsize="1308,1611" path="m3195,-73l2906,-73,2906,548,2911,634,2922,715,2938,792,2961,863,2989,928,3023,989,3063,1044,3109,1093,3205,1166,3298,1212,3382,1236,3446,1246,3482,1247,3519,1246,3583,1236,3667,1212,3760,1166,3856,1093,3902,1044,3942,989,3959,958,3479,958,3481,958,3456,957,3418,949,3372,931,3324,898,3277,847,3237,774,3208,674,3195,543,3195,-73xm4059,402l3769,410,3769,543,3757,674,3728,774,3688,847,3641,898,3593,931,3547,949,3509,957,3484,958,3479,958,3959,958,3976,928,4004,863,4027,792,4043,715,4054,634,4059,548,4059,402xm2889,-363l2751,-363,2752,-73,3195,-73,3195,-155,3195,-155,3195,-177,3190,-212,3175,-254,3145,-298,3115,-325,3079,-345,3040,-357,2996,-363,2889,-363xm3195,-165l3195,-155,3195,-155,3195,-165xe" filled="true" fillcolor="#fde084" stroked="false">
              <v:path arrowok="t"/>
              <v:fill type="solid"/>
            </v:shape>
            <v:shape style="position:absolute;left:2659;top:39;width:219;height:219" type="#_x0000_t75" stroked="false">
              <v:imagedata r:id="rId771" o:title=""/>
            </v:shape>
            <v:shape style="position:absolute;left:2751;top:-363;width:1463;height:1611" coordorigin="2751,-363" coordsize="1463,1611" path="m3969,-363l3886,-345,3820,-298,3775,-212,3770,-155,3769,-165,3769,543,3757,674,3728,774,3688,847,3641,898,3547,949,3484,958,3479,958,3481,958,3456,957,3372,931,3277,847,3237,774,3208,674,3195,543,3195,-165,3195,-155,3175,-254,3115,-325,3040,-357,2962,-363,2889,-363,2751,-363,2752,-73,2801,-73,2834,-73,2864,-73,2906,-73,2906,546,2911,634,2922,715,2938,792,2961,863,2989,928,3023,989,3063,1044,3109,1093,3205,1166,3298,1212,3382,1236,3446,1246,3482,1247,3519,1246,3583,1236,3667,1212,3760,1166,3856,1093,3902,1044,3942,989,3976,928,4004,863,4027,792,4043,715,4054,634,4059,548,4059,545,4059,-73,4113,-73,4162,-73,4199,-73,4213,-73,4213,-363,4076,-363,4003,-363,3975,-363,3969,-363xe" filled="false" stroked="true" strokeweight=".75pt" strokecolor="#e2874a">
              <v:path arrowok="t"/>
              <v:stroke dashstyle="solid"/>
            </v:shape>
            <v:shape style="position:absolute;left:3678;top:-113;width:189;height:189" type="#_x0000_t75" stroked="false">
              <v:imagedata r:id="rId772" o:title=""/>
            </v:shape>
            <v:shape style="position:absolute;left:3678;top:187;width:189;height:189" type="#_x0000_t75" stroked="false">
              <v:imagedata r:id="rId773" o:title=""/>
            </v:shape>
            <v:shape style="position:absolute;left:0;top:10142;width:1465;height:340" coordorigin="0,10143" coordsize="1465,340" path="m2749,-393l2749,-54m4214,-393l4214,-54e" filled="false" stroked="true" strokeweight="1.5pt" strokecolor="#ffffff">
              <v:path arrowok="t"/>
              <v:stroke dashstyle="solid"/>
            </v:shape>
            <v:shape style="position:absolute;left:3534;top:-151;width:141;height:92" coordorigin="3534,-150" coordsize="141,92" path="m3673,-150l3605,-121,3534,-105,3605,-88,3673,-59,3674,-60,3649,-105,3674,-149,3673,-150xe" filled="true" fillcolor="#231f20" stroked="false">
              <v:path arrowok="t"/>
              <v:fill type="solid"/>
            </v:shape>
            <v:line style="position:absolute" from="3905,-105" to="3635,-105" stroked="true" strokeweight="1.5pt" strokecolor="#231f20">
              <v:stroke dashstyle="solid"/>
            </v:line>
            <v:shape style="position:absolute;left:3534;top:149;width:141;height:92" coordorigin="3534,149" coordsize="141,92" path="m3673,149l3605,178,3534,195,3605,211,3673,240,3674,240,3649,195,3674,150,3673,149xe" filled="true" fillcolor="#231f20" stroked="false">
              <v:path arrowok="t"/>
              <v:fill type="solid"/>
            </v:shape>
            <v:shape style="position:absolute;left:2907;top:-285;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3840;top:-285;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150</w:t>
                    </w:r>
                  </w:p>
                </w:txbxContent>
              </v:textbox>
              <w10:wrap type="none"/>
            </v:shape>
            <v:shape style="position:absolute;left:2729;top:34;width:1330;height:185" type="#_x0000_t202" filled="false" stroked="false">
              <v:textbox inset="0,0,0,0">
                <w:txbxContent>
                  <w:p>
                    <w:pPr>
                      <w:spacing w:line="180" w:lineRule="exact" w:before="0"/>
                      <w:ind w:left="0" w:right="0" w:firstLine="0"/>
                      <w:jc w:val="left"/>
                      <w:rPr>
                        <w:rFonts w:ascii="Helvetica"/>
                        <w:sz w:val="14"/>
                      </w:rPr>
                    </w:pPr>
                    <w:r>
                      <w:rPr>
                        <w:rFonts w:ascii="Helvetica"/>
                        <w:color w:val="231F20"/>
                        <w:position w:val="-1"/>
                        <w:sz w:val="14"/>
                      </w:rPr>
                      <w:t>5 </w:t>
                    </w:r>
                    <w:r>
                      <w:rPr>
                        <w:rFonts w:ascii="Helvetica"/>
                        <w:color w:val="231F20"/>
                        <w:sz w:val="14"/>
                      </w:rPr>
                      <w:t>300 </w:t>
                    </w:r>
                    <w:r>
                      <w:rPr>
                        <w:rFonts w:ascii="Helvetica"/>
                        <w:color w:val="231F20"/>
                        <w:position w:val="0"/>
                        <w:sz w:val="14"/>
                      </w:rPr>
                      <w:t>350</w:t>
                    </w:r>
                    <w:r>
                      <w:rPr>
                        <w:rFonts w:ascii="Helvetica"/>
                        <w:color w:val="231F20"/>
                        <w:sz w:val="14"/>
                        <w:u w:val="thick" w:color="231F20"/>
                      </w:rPr>
                      <w:t> 1</w:t>
                    </w:r>
                    <w:r>
                      <w:rPr>
                        <w:rFonts w:ascii="Helvetica"/>
                        <w:color w:val="231F20"/>
                        <w:sz w:val="14"/>
                      </w:rPr>
                      <w:t>50</w:t>
                    </w:r>
                  </w:p>
                </w:txbxContent>
              </v:textbox>
              <w10:wrap type="none"/>
            </v:shape>
            <w10:wrap type="none"/>
          </v:group>
        </w:pict>
      </w:r>
      <w:r>
        <w:rPr/>
        <w:pict>
          <v:group style="position:absolute;margin-left:413.536987pt;margin-top:-19.66469pt;width:79.1pt;height:82.45pt;mso-position-horizontal-relative:page;mso-position-vertical-relative:paragraph;z-index:-272995328" coordorigin="8271,-393" coordsize="1582,1649">
            <v:shape style="position:absolute;left:8376;top:-363;width:1463;height:1611" type="#_x0000_t75" stroked="false">
              <v:imagedata r:id="rId774" o:title=""/>
            </v:shape>
            <v:shape style="position:absolute;left:8376;top:-363;width:1463;height:1611" coordorigin="8376,-363" coordsize="1463,1611" path="m9594,-363l9511,-345,9445,-298,9400,-212,9395,-155,9394,-165,9394,543,9382,674,9353,774,9313,847,9266,898,9172,949,9109,958,9104,958,9106,958,9081,957,8997,931,8902,847,8862,774,8833,674,8821,543,8821,-165,8820,-155,8800,-254,8740,-325,8665,-357,8587,-363,8514,-363,8376,-363,8377,-73,8426,-73,8459,-73,8489,-73,8531,-73,8531,546,8536,634,8547,715,8563,792,8586,863,8614,928,8648,989,8688,1044,8734,1093,8830,1166,8923,1212,9007,1236,9071,1246,9107,1247,9144,1246,9208,1236,9292,1212,9385,1166,9481,1093,9527,1044,9567,989,9601,928,9629,863,9652,792,9668,715,9679,634,9684,548,9684,545,9684,-73,9738,-73,9787,-73,9824,-73,9838,-73,9839,-363,9701,-363,9628,-363,9600,-363,9594,-363xe" filled="false" stroked="true" strokeweight=".75pt" strokecolor="#e2874a">
              <v:path arrowok="t"/>
              <v:stroke dashstyle="solid"/>
            </v:shape>
            <v:shape style="position:absolute;left:8270;top:39;width:219;height:219" type="#_x0000_t75" stroked="false">
              <v:imagedata r:id="rId771" o:title=""/>
            </v:shape>
            <v:shape style="position:absolute;left:5626;top:10142;width:1461;height:340" coordorigin="5627,10143" coordsize="1461,340" path="m8376,-393l8376,-54m9837,-393l9837,-54e" filled="false" stroked="true" strokeweight="1.5pt" strokecolor="#ffffff">
              <v:path arrowok="t"/>
              <v:stroke dashstyle="solid"/>
            </v:shape>
            <v:shape style="position:absolute;left:8536;top:-285;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8987;top:-346;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300</w:t>
                    </w:r>
                  </w:p>
                </w:txbxContent>
              </v:textbox>
              <w10:wrap type="none"/>
            </v:shape>
            <v:shape style="position:absolute;left:9469;top:-285;width:254;height:162" type="#_x0000_t202" filled="false" stroked="false">
              <v:textbox inset="0,0,0,0">
                <w:txbxContent>
                  <w:p>
                    <w:pPr>
                      <w:spacing w:line="160" w:lineRule="exact" w:before="0"/>
                      <w:ind w:left="0" w:right="0" w:firstLine="0"/>
                      <w:jc w:val="left"/>
                      <w:rPr>
                        <w:rFonts w:ascii="Helvetica"/>
                        <w:sz w:val="14"/>
                      </w:rPr>
                    </w:pPr>
                    <w:r>
                      <w:rPr>
                        <w:rFonts w:ascii="Helvetica"/>
                        <w:color w:val="231F20"/>
                        <w:sz w:val="14"/>
                      </w:rPr>
                      <w:t>100</w:t>
                    </w:r>
                  </w:p>
                </w:txbxContent>
              </v:textbox>
              <w10:wrap type="none"/>
            </v:shape>
            <v:shape style="position:absolute;left:8340;top:35;width:1348;height:185" type="#_x0000_t202" filled="false" stroked="false">
              <v:textbox inset="0,0,0,0">
                <w:txbxContent>
                  <w:p>
                    <w:pPr>
                      <w:tabs>
                        <w:tab w:pos="1093" w:val="left" w:leader="none"/>
                      </w:tabs>
                      <w:spacing w:line="180" w:lineRule="exact" w:before="0"/>
                      <w:ind w:left="0" w:right="0" w:firstLine="0"/>
                      <w:jc w:val="left"/>
                      <w:rPr>
                        <w:rFonts w:ascii="Helvetica"/>
                        <w:sz w:val="14"/>
                      </w:rPr>
                    </w:pPr>
                    <w:r>
                      <w:rPr>
                        <w:rFonts w:ascii="Helvetica"/>
                        <w:color w:val="231F20"/>
                        <w:position w:val="-1"/>
                        <w:sz w:val="14"/>
                      </w:rPr>
                      <w:t>7  </w:t>
                    </w:r>
                    <w:r>
                      <w:rPr>
                        <w:rFonts w:ascii="Helvetica"/>
                        <w:color w:val="231F20"/>
                        <w:spacing w:val="26"/>
                        <w:position w:val="-1"/>
                        <w:sz w:val="14"/>
                      </w:rPr>
                      <w:t> </w:t>
                    </w:r>
                    <w:r>
                      <w:rPr>
                        <w:rFonts w:ascii="Helvetica"/>
                        <w:color w:val="231F20"/>
                        <w:sz w:val="14"/>
                      </w:rPr>
                      <w:t>700   </w:t>
                    </w:r>
                    <w:r>
                      <w:rPr>
                        <w:rFonts w:ascii="Helvetica"/>
                        <w:color w:val="231F20"/>
                        <w:spacing w:val="36"/>
                        <w:sz w:val="14"/>
                      </w:rPr>
                      <w:t> </w:t>
                    </w:r>
                    <w:r>
                      <w:rPr>
                        <w:rFonts w:ascii="Helvetica"/>
                        <w:color w:val="231F20"/>
                        <w:position w:val="0"/>
                        <w:sz w:val="14"/>
                      </w:rPr>
                      <w:t>700</w:t>
                      <w:tab/>
                    </w:r>
                    <w:r>
                      <w:rPr>
                        <w:rFonts w:ascii="Helvetica"/>
                        <w:color w:val="231F20"/>
                        <w:sz w:val="14"/>
                      </w:rPr>
                      <w:t>500</w:t>
                    </w:r>
                  </w:p>
                </w:txbxContent>
              </v:textbox>
              <w10:wrap type="none"/>
            </v:shape>
            <w10:wrap type="none"/>
          </v:group>
        </w:pict>
      </w:r>
      <w:r>
        <w:rPr/>
        <w:pict>
          <v:group style="position:absolute;margin-left:176.218002pt;margin-top:26.32432pt;width:16.650pt;height:11.35pt;mso-position-horizontal-relative:page;mso-position-vertical-relative:paragraph;z-index:-272994304" coordorigin="3524,526" coordsize="333,227">
            <v:shape style="position:absolute;left:3668;top:564;width:189;height:189" type="#_x0000_t75" stroked="false">
              <v:imagedata r:id="rId775" o:title=""/>
            </v:shape>
            <v:shape style="position:absolute;left:3524;top:526;width:141;height:92" coordorigin="3524,526" coordsize="141,92" path="m3663,526l3595,555,3524,572,3595,589,3663,618,3665,617,3639,572,3665,527,3663,526xe" filled="true" fillcolor="#231f20" stroked="false">
              <v:path arrowok="t"/>
              <v:fill type="solid"/>
            </v:shape>
            <w10:wrap type="none"/>
          </v:group>
        </w:pict>
      </w:r>
      <w:r>
        <w:rPr/>
        <w:pict>
          <v:shape style="position:absolute;margin-left:408.552002pt;margin-top:12.52942pt;width:7.05pt;height:4.6pt;mso-position-horizontal-relative:page;mso-position-vertical-relative:paragraph;z-index:-272993280" coordorigin="8171,251" coordsize="141,92" path="m8173,251l8171,252,8197,296,8171,341,8173,342,8241,313,8311,296,8240,279,8173,251xe" filled="true" fillcolor="#231f20" stroked="false">
            <v:path arrowok="t"/>
            <v:fill type="solid"/>
            <w10:wrap type="none"/>
          </v:shape>
        </w:pict>
      </w:r>
      <w:r>
        <w:rPr/>
        <w:pict>
          <v:shape style="position:absolute;margin-left:257.281006pt;margin-top:9.74431pt;width:7.05pt;height:4.6pt;mso-position-horizontal-relative:page;mso-position-vertical-relative:paragraph;z-index:252412928" coordorigin="5146,195" coordsize="141,92" path="m5147,195l5146,196,5171,240,5146,285,5147,286,5215,257,5286,240,5215,224,5147,195xe" filled="true" fillcolor="#231f20" stroked="false">
            <v:path arrowok="t"/>
            <v:fill type="solid"/>
            <w10:wrap type="none"/>
          </v:shape>
        </w:pict>
      </w:r>
      <w:r>
        <w:rPr/>
        <w:pict>
          <v:shape style="position:absolute;margin-left:257.764984pt;margin-top:27.846315pt;width:7.05pt;height:4.6pt;mso-position-horizontal-relative:page;mso-position-vertical-relative:paragraph;z-index:-272991232" coordorigin="5155,557" coordsize="141,92" path="m5157,557l5155,558,5181,602,5155,647,5157,648,5225,619,5296,602,5225,586,5157,557xe" filled="true" fillcolor="#231f20" stroked="false">
            <v:path arrowok="t"/>
            <v:fill type="solid"/>
            <w10:wrap type="none"/>
          </v:shape>
        </w:pict>
      </w:r>
      <w:r>
        <w:rPr>
          <w:rFonts w:ascii="Helvetica"/>
          <w:color w:val="231F20"/>
          <w:sz w:val="14"/>
        </w:rPr>
        <w:t>Repeat steps 4 to 6</w:t>
      </w:r>
    </w:p>
    <w:tbl>
      <w:tblPr>
        <w:tblW w:w="0" w:type="auto"/>
        <w:jc w:val="left"/>
        <w:tblInd w:w="2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
        <w:gridCol w:w="1131"/>
        <w:gridCol w:w="788"/>
        <w:gridCol w:w="336"/>
        <w:gridCol w:w="570"/>
        <w:gridCol w:w="2088"/>
        <w:gridCol w:w="701"/>
        <w:gridCol w:w="379"/>
        <w:gridCol w:w="426"/>
      </w:tblGrid>
      <w:tr>
        <w:trPr>
          <w:trHeight w:val="25" w:hRule="atLeast"/>
        </w:trPr>
        <w:tc>
          <w:tcPr>
            <w:tcW w:w="410" w:type="dxa"/>
          </w:tcPr>
          <w:p>
            <w:pPr>
              <w:pStyle w:val="TableParagraph"/>
              <w:spacing w:before="0"/>
              <w:rPr>
                <w:rFonts w:ascii="Times New Roman"/>
                <w:sz w:val="2"/>
              </w:rPr>
            </w:pPr>
          </w:p>
        </w:tc>
        <w:tc>
          <w:tcPr>
            <w:tcW w:w="1131" w:type="dxa"/>
          </w:tcPr>
          <w:p>
            <w:pPr>
              <w:pStyle w:val="TableParagraph"/>
              <w:spacing w:before="0"/>
              <w:rPr>
                <w:rFonts w:ascii="Times New Roman"/>
                <w:sz w:val="2"/>
              </w:rPr>
            </w:pPr>
          </w:p>
        </w:tc>
        <w:tc>
          <w:tcPr>
            <w:tcW w:w="788" w:type="dxa"/>
            <w:tcBorders>
              <w:top w:val="dashSmallGap" w:sz="12" w:space="0" w:color="231F20"/>
            </w:tcBorders>
          </w:tcPr>
          <w:p>
            <w:pPr>
              <w:pStyle w:val="TableParagraph"/>
              <w:spacing w:before="0"/>
              <w:rPr>
                <w:rFonts w:ascii="Times New Roman"/>
                <w:sz w:val="2"/>
              </w:rPr>
            </w:pPr>
          </w:p>
        </w:tc>
        <w:tc>
          <w:tcPr>
            <w:tcW w:w="336" w:type="dxa"/>
          </w:tcPr>
          <w:p>
            <w:pPr>
              <w:pStyle w:val="TableParagraph"/>
              <w:spacing w:before="0"/>
              <w:rPr>
                <w:rFonts w:ascii="Times New Roman"/>
                <w:sz w:val="2"/>
              </w:rPr>
            </w:pPr>
          </w:p>
        </w:tc>
        <w:tc>
          <w:tcPr>
            <w:tcW w:w="570" w:type="dxa"/>
          </w:tcPr>
          <w:p>
            <w:pPr>
              <w:pStyle w:val="TableParagraph"/>
              <w:spacing w:before="0"/>
              <w:rPr>
                <w:rFonts w:ascii="Times New Roman"/>
                <w:sz w:val="2"/>
              </w:rPr>
            </w:pPr>
          </w:p>
        </w:tc>
        <w:tc>
          <w:tcPr>
            <w:tcW w:w="2088" w:type="dxa"/>
            <w:tcBorders>
              <w:bottom w:val="single" w:sz="12" w:space="0" w:color="231F20"/>
            </w:tcBorders>
          </w:tcPr>
          <w:p>
            <w:pPr>
              <w:pStyle w:val="TableParagraph"/>
              <w:spacing w:before="0"/>
              <w:rPr>
                <w:rFonts w:ascii="Times New Roman"/>
                <w:sz w:val="2"/>
              </w:rPr>
            </w:pPr>
          </w:p>
        </w:tc>
        <w:tc>
          <w:tcPr>
            <w:tcW w:w="701" w:type="dxa"/>
          </w:tcPr>
          <w:p>
            <w:pPr>
              <w:pStyle w:val="TableParagraph"/>
              <w:spacing w:before="0"/>
              <w:rPr>
                <w:rFonts w:ascii="Times New Roman"/>
                <w:sz w:val="2"/>
              </w:rPr>
            </w:pPr>
          </w:p>
        </w:tc>
        <w:tc>
          <w:tcPr>
            <w:tcW w:w="379" w:type="dxa"/>
          </w:tcPr>
          <w:p>
            <w:pPr>
              <w:pStyle w:val="TableParagraph"/>
              <w:spacing w:before="0"/>
              <w:rPr>
                <w:rFonts w:ascii="Times New Roman"/>
                <w:sz w:val="2"/>
              </w:rPr>
            </w:pPr>
          </w:p>
        </w:tc>
        <w:tc>
          <w:tcPr>
            <w:tcW w:w="426" w:type="dxa"/>
          </w:tcPr>
          <w:p>
            <w:pPr>
              <w:pStyle w:val="TableParagraph"/>
              <w:spacing w:before="0"/>
              <w:rPr>
                <w:rFonts w:ascii="Times New Roman"/>
                <w:sz w:val="2"/>
              </w:rPr>
            </w:pPr>
          </w:p>
        </w:tc>
      </w:tr>
      <w:tr>
        <w:trPr>
          <w:trHeight w:val="276" w:hRule="atLeast"/>
        </w:trPr>
        <w:tc>
          <w:tcPr>
            <w:tcW w:w="410" w:type="dxa"/>
          </w:tcPr>
          <w:p>
            <w:pPr>
              <w:pStyle w:val="TableParagraph"/>
              <w:spacing w:before="79"/>
              <w:ind w:left="31" w:right="105"/>
              <w:jc w:val="center"/>
              <w:rPr>
                <w:rFonts w:ascii="Helvetica"/>
                <w:sz w:val="14"/>
              </w:rPr>
            </w:pPr>
            <w:r>
              <w:rPr>
                <w:rFonts w:ascii="Helvetica"/>
                <w:color w:val="231F20"/>
                <w:sz w:val="14"/>
              </w:rPr>
              <w:t>400</w:t>
            </w:r>
          </w:p>
        </w:tc>
        <w:tc>
          <w:tcPr>
            <w:tcW w:w="1131" w:type="dxa"/>
          </w:tcPr>
          <w:p>
            <w:pPr>
              <w:pStyle w:val="TableParagraph"/>
              <w:spacing w:before="74"/>
              <w:ind w:left="65"/>
              <w:rPr>
                <w:rFonts w:ascii="Helvetica"/>
                <w:sz w:val="14"/>
              </w:rPr>
            </w:pPr>
            <w:r>
              <w:rPr>
                <w:rFonts w:ascii="Helvetica"/>
                <w:color w:val="231F20"/>
                <w:sz w:val="14"/>
              </w:rPr>
              <w:t>500</w:t>
            </w:r>
            <w:r>
              <w:rPr>
                <w:rFonts w:ascii="Helvetica"/>
                <w:color w:val="231F20"/>
                <w:position w:val="1"/>
                <w:sz w:val="14"/>
                <w:u w:val="thick" w:color="231F20"/>
              </w:rPr>
              <w:t> 3</w:t>
            </w:r>
            <w:r>
              <w:rPr>
                <w:rFonts w:ascii="Helvetica"/>
                <w:color w:val="231F20"/>
                <w:position w:val="1"/>
                <w:sz w:val="14"/>
              </w:rPr>
              <w:t>00</w:t>
            </w:r>
          </w:p>
        </w:tc>
        <w:tc>
          <w:tcPr>
            <w:tcW w:w="788" w:type="dxa"/>
            <w:tcBorders>
              <w:bottom w:val="dashSmallGap" w:sz="12" w:space="0" w:color="231F20"/>
            </w:tcBorders>
          </w:tcPr>
          <w:p>
            <w:pPr>
              <w:pStyle w:val="TableParagraph"/>
              <w:spacing w:before="80"/>
              <w:ind w:right="166"/>
              <w:jc w:val="right"/>
              <w:rPr>
                <w:rFonts w:ascii="Helvetica"/>
                <w:sz w:val="14"/>
              </w:rPr>
            </w:pPr>
            <w:r>
              <w:rPr>
                <w:rFonts w:ascii="Helvetica"/>
                <w:color w:val="231F20"/>
                <w:w w:val="95"/>
                <w:sz w:val="14"/>
              </w:rPr>
              <w:t>500</w:t>
            </w:r>
          </w:p>
        </w:tc>
        <w:tc>
          <w:tcPr>
            <w:tcW w:w="336" w:type="dxa"/>
          </w:tcPr>
          <w:p>
            <w:pPr>
              <w:pStyle w:val="TableParagraph"/>
              <w:spacing w:before="85"/>
              <w:ind w:left="23"/>
              <w:rPr>
                <w:rFonts w:ascii="Helvetica"/>
                <w:sz w:val="14"/>
              </w:rPr>
            </w:pPr>
            <w:r>
              <w:rPr>
                <w:rFonts w:ascii="Helvetica"/>
                <w:color w:val="231F20"/>
                <w:sz w:val="14"/>
              </w:rPr>
              <w:t>500</w:t>
            </w:r>
          </w:p>
        </w:tc>
        <w:tc>
          <w:tcPr>
            <w:tcW w:w="570" w:type="dxa"/>
          </w:tcPr>
          <w:p>
            <w:pPr>
              <w:pStyle w:val="TableParagraph"/>
              <w:spacing w:before="80"/>
              <w:ind w:left="129"/>
              <w:rPr>
                <w:rFonts w:ascii="Helvetica"/>
                <w:sz w:val="14"/>
              </w:rPr>
            </w:pPr>
            <w:r>
              <w:rPr>
                <w:rFonts w:ascii="Helvetica"/>
                <w:color w:val="231F20"/>
                <w:sz w:val="14"/>
              </w:rPr>
              <w:t>300</w:t>
            </w:r>
          </w:p>
        </w:tc>
        <w:tc>
          <w:tcPr>
            <w:tcW w:w="2088" w:type="dxa"/>
            <w:tcBorders>
              <w:top w:val="single" w:sz="12" w:space="0" w:color="231F20"/>
            </w:tcBorders>
          </w:tcPr>
          <w:p>
            <w:pPr>
              <w:pStyle w:val="TableParagraph"/>
              <w:spacing w:before="0"/>
              <w:rPr>
                <w:rFonts w:ascii="Times New Roman"/>
                <w:sz w:val="18"/>
              </w:rPr>
            </w:pPr>
          </w:p>
        </w:tc>
        <w:tc>
          <w:tcPr>
            <w:tcW w:w="701" w:type="dxa"/>
          </w:tcPr>
          <w:p>
            <w:pPr>
              <w:pStyle w:val="TableParagraph"/>
              <w:spacing w:before="80"/>
              <w:ind w:right="78"/>
              <w:jc w:val="right"/>
              <w:rPr>
                <w:rFonts w:ascii="Helvetica"/>
                <w:sz w:val="14"/>
              </w:rPr>
            </w:pPr>
            <w:r>
              <w:rPr>
                <w:rFonts w:ascii="Helvetica"/>
                <w:color w:val="231F20"/>
                <w:w w:val="95"/>
                <w:sz w:val="14"/>
              </w:rPr>
              <w:t>1000</w:t>
            </w:r>
          </w:p>
        </w:tc>
        <w:tc>
          <w:tcPr>
            <w:tcW w:w="379" w:type="dxa"/>
          </w:tcPr>
          <w:p>
            <w:pPr>
              <w:pStyle w:val="TableParagraph"/>
              <w:spacing w:before="85"/>
              <w:ind w:right="23"/>
              <w:jc w:val="right"/>
              <w:rPr>
                <w:rFonts w:ascii="Helvetica"/>
                <w:sz w:val="14"/>
              </w:rPr>
            </w:pPr>
            <w:r>
              <w:rPr>
                <w:rFonts w:ascii="Helvetica"/>
                <w:color w:val="231F20"/>
                <w:w w:val="95"/>
                <w:sz w:val="14"/>
              </w:rPr>
              <w:t>1000</w:t>
            </w:r>
          </w:p>
        </w:tc>
        <w:tc>
          <w:tcPr>
            <w:tcW w:w="426" w:type="dxa"/>
          </w:tcPr>
          <w:p>
            <w:pPr>
              <w:pStyle w:val="TableParagraph"/>
              <w:spacing w:before="80"/>
              <w:ind w:right="41"/>
              <w:jc w:val="right"/>
              <w:rPr>
                <w:rFonts w:ascii="Helvetica"/>
                <w:sz w:val="14"/>
              </w:rPr>
            </w:pPr>
            <w:r>
              <w:rPr>
                <w:rFonts w:ascii="Helvetica"/>
                <w:color w:val="231F20"/>
                <w:w w:val="95"/>
                <w:sz w:val="14"/>
              </w:rPr>
              <w:t>800</w:t>
            </w:r>
          </w:p>
        </w:tc>
      </w:tr>
      <w:tr>
        <w:trPr>
          <w:trHeight w:val="324" w:hRule="atLeast"/>
        </w:trPr>
        <w:tc>
          <w:tcPr>
            <w:tcW w:w="410" w:type="dxa"/>
          </w:tcPr>
          <w:p>
            <w:pPr>
              <w:pStyle w:val="TableParagraph"/>
              <w:spacing w:before="93"/>
              <w:ind w:left="90" w:right="45"/>
              <w:jc w:val="center"/>
              <w:rPr>
                <w:rFonts w:ascii="Helvetica"/>
                <w:sz w:val="14"/>
              </w:rPr>
            </w:pPr>
            <w:r>
              <w:rPr>
                <w:rFonts w:ascii="Helvetica"/>
                <w:color w:val="231F20"/>
                <w:sz w:val="14"/>
              </w:rPr>
              <w:t>400</w:t>
            </w:r>
          </w:p>
        </w:tc>
        <w:tc>
          <w:tcPr>
            <w:tcW w:w="1131" w:type="dxa"/>
          </w:tcPr>
          <w:p>
            <w:pPr>
              <w:pStyle w:val="TableParagraph"/>
              <w:spacing w:before="88"/>
              <w:ind w:left="65"/>
              <w:rPr>
                <w:rFonts w:ascii="Helvetica"/>
                <w:sz w:val="14"/>
              </w:rPr>
            </w:pPr>
            <w:r>
              <w:rPr>
                <w:rFonts w:ascii="Helvetica"/>
                <w:color w:val="231F20"/>
                <w:sz w:val="14"/>
              </w:rPr>
              <w:t>500 </w:t>
            </w:r>
            <w:r>
              <w:rPr>
                <w:rFonts w:ascii="Helvetica"/>
                <w:color w:val="231F20"/>
                <w:position w:val="1"/>
                <w:sz w:val="14"/>
              </w:rPr>
              <w:t>300</w:t>
            </w:r>
          </w:p>
        </w:tc>
        <w:tc>
          <w:tcPr>
            <w:tcW w:w="788" w:type="dxa"/>
            <w:tcBorders>
              <w:top w:val="dashSmallGap" w:sz="12" w:space="0" w:color="231F20"/>
            </w:tcBorders>
          </w:tcPr>
          <w:p>
            <w:pPr>
              <w:pStyle w:val="TableParagraph"/>
              <w:spacing w:before="93"/>
              <w:ind w:right="105"/>
              <w:jc w:val="right"/>
              <w:rPr>
                <w:rFonts w:ascii="Helvetica"/>
                <w:sz w:val="14"/>
              </w:rPr>
            </w:pPr>
            <w:r>
              <w:rPr>
                <w:rFonts w:ascii="Helvetica"/>
                <w:color w:val="231F20"/>
                <w:w w:val="95"/>
                <w:sz w:val="14"/>
              </w:rPr>
              <w:t>500</w:t>
            </w:r>
          </w:p>
        </w:tc>
        <w:tc>
          <w:tcPr>
            <w:tcW w:w="336" w:type="dxa"/>
          </w:tcPr>
          <w:p>
            <w:pPr>
              <w:pStyle w:val="TableParagraph"/>
              <w:spacing w:before="98"/>
              <w:ind w:left="23"/>
              <w:rPr>
                <w:rFonts w:ascii="Helvetica"/>
                <w:sz w:val="14"/>
              </w:rPr>
            </w:pPr>
            <w:r>
              <w:rPr>
                <w:rFonts w:ascii="Helvetica"/>
                <w:color w:val="231F20"/>
                <w:sz w:val="14"/>
              </w:rPr>
              <w:t>500</w:t>
            </w:r>
          </w:p>
        </w:tc>
        <w:tc>
          <w:tcPr>
            <w:tcW w:w="570" w:type="dxa"/>
          </w:tcPr>
          <w:p>
            <w:pPr>
              <w:pStyle w:val="TableParagraph"/>
              <w:spacing w:before="93"/>
              <w:ind w:left="83"/>
              <w:rPr>
                <w:rFonts w:ascii="Helvetica"/>
                <w:sz w:val="14"/>
              </w:rPr>
            </w:pPr>
            <w:r>
              <w:rPr>
                <w:rFonts w:ascii="Helvetica"/>
                <w:color w:val="231F20"/>
                <w:sz w:val="14"/>
              </w:rPr>
              <w:t>300</w:t>
            </w:r>
          </w:p>
        </w:tc>
        <w:tc>
          <w:tcPr>
            <w:tcW w:w="2088" w:type="dxa"/>
          </w:tcPr>
          <w:p>
            <w:pPr>
              <w:pStyle w:val="TableParagraph"/>
              <w:spacing w:before="0"/>
              <w:rPr>
                <w:rFonts w:ascii="Times New Roman"/>
                <w:sz w:val="18"/>
              </w:rPr>
            </w:pPr>
          </w:p>
        </w:tc>
        <w:tc>
          <w:tcPr>
            <w:tcW w:w="701" w:type="dxa"/>
          </w:tcPr>
          <w:p>
            <w:pPr>
              <w:pStyle w:val="TableParagraph"/>
              <w:spacing w:before="93"/>
              <w:ind w:right="29"/>
              <w:jc w:val="right"/>
              <w:rPr>
                <w:rFonts w:ascii="Helvetica"/>
                <w:sz w:val="14"/>
              </w:rPr>
            </w:pPr>
            <w:r>
              <w:rPr>
                <w:rFonts w:ascii="Helvetica"/>
                <w:color w:val="231F20"/>
                <w:w w:val="95"/>
                <w:sz w:val="14"/>
              </w:rPr>
              <w:t>1200</w:t>
            </w:r>
          </w:p>
        </w:tc>
        <w:tc>
          <w:tcPr>
            <w:tcW w:w="379" w:type="dxa"/>
          </w:tcPr>
          <w:p>
            <w:pPr>
              <w:pStyle w:val="TableParagraph"/>
              <w:spacing w:before="98"/>
              <w:ind w:right="23"/>
              <w:jc w:val="right"/>
              <w:rPr>
                <w:rFonts w:ascii="Helvetica"/>
                <w:sz w:val="14"/>
              </w:rPr>
            </w:pPr>
            <w:r>
              <w:rPr>
                <w:rFonts w:ascii="Helvetica"/>
                <w:color w:val="231F20"/>
                <w:w w:val="95"/>
                <w:sz w:val="14"/>
              </w:rPr>
              <w:t>1200</w:t>
            </w:r>
          </w:p>
        </w:tc>
        <w:tc>
          <w:tcPr>
            <w:tcW w:w="426" w:type="dxa"/>
          </w:tcPr>
          <w:p>
            <w:pPr>
              <w:pStyle w:val="TableParagraph"/>
              <w:spacing w:before="93"/>
              <w:ind w:right="75"/>
              <w:jc w:val="right"/>
              <w:rPr>
                <w:rFonts w:ascii="Helvetica"/>
                <w:sz w:val="14"/>
              </w:rPr>
            </w:pPr>
            <w:r>
              <w:rPr>
                <w:rFonts w:ascii="Helvetica"/>
                <w:color w:val="231F20"/>
                <w:w w:val="95"/>
                <w:sz w:val="14"/>
              </w:rPr>
              <w:t>1000</w:t>
            </w:r>
          </w:p>
        </w:tc>
      </w:tr>
    </w:tbl>
    <w:p>
      <w:pPr>
        <w:pStyle w:val="BodyText"/>
        <w:rPr>
          <w:rFonts w:ascii="Helvetica"/>
          <w:sz w:val="16"/>
        </w:rPr>
      </w:pPr>
    </w:p>
    <w:p>
      <w:pPr>
        <w:pStyle w:val="BodyText"/>
        <w:spacing w:before="3"/>
        <w:rPr>
          <w:rFonts w:ascii="Helvetica"/>
          <w:sz w:val="18"/>
        </w:rPr>
      </w:pPr>
    </w:p>
    <w:p>
      <w:pPr>
        <w:spacing w:line="259" w:lineRule="auto" w:before="1"/>
        <w:ind w:left="1440" w:right="1078" w:firstLine="0"/>
        <w:jc w:val="left"/>
        <w:rPr>
          <w:rFonts w:ascii="Arial"/>
          <w:sz w:val="16"/>
        </w:rPr>
      </w:pPr>
      <w:bookmarkStart w:name="_bookmark70" w:id="71"/>
      <w:bookmarkEnd w:id="71"/>
      <w:r>
        <w:rPr/>
      </w:r>
      <w:r>
        <w:rPr>
          <w:rFonts w:ascii="Trebuchet MS"/>
          <w:b/>
          <w:color w:val="231F20"/>
          <w:sz w:val="16"/>
        </w:rPr>
        <w:t>Figure 29-4. </w:t>
      </w:r>
      <w:r>
        <w:rPr>
          <w:rFonts w:ascii="Arial"/>
          <w:color w:val="231F20"/>
          <w:sz w:val="16"/>
        </w:rPr>
        <w:t>Countercurrent multiplier system in the loop of Henle for producing a hyperosmotic renal medulla. (Numerical values are in milliosmoles per liter.)</w:t>
      </w:r>
    </w:p>
    <w:p>
      <w:pPr>
        <w:pStyle w:val="BodyText"/>
        <w:rPr>
          <w:rFonts w:ascii="Arial"/>
        </w:rPr>
      </w:pPr>
    </w:p>
    <w:p>
      <w:pPr>
        <w:spacing w:after="0"/>
        <w:rPr>
          <w:rFonts w:ascii="Arial"/>
        </w:rPr>
        <w:sectPr>
          <w:headerReference w:type="even" r:id="rId757"/>
          <w:pgSz w:w="12240" w:h="15660"/>
          <w:pgMar w:header="0" w:footer="567" w:top="0" w:bottom="760" w:left="0" w:right="0"/>
        </w:sectPr>
      </w:pPr>
    </w:p>
    <w:p>
      <w:pPr>
        <w:pStyle w:val="BodyText"/>
        <w:spacing w:before="10"/>
        <w:rPr>
          <w:rFonts w:ascii="Arial"/>
          <w:sz w:val="23"/>
        </w:rPr>
      </w:pPr>
      <w:r>
        <w:rPr/>
        <w:pict>
          <v:group style="position:absolute;margin-left:0pt;margin-top:0pt;width:612pt;height:180pt;mso-position-horizontal-relative:page;mso-position-vertical-relative:page;z-index:-27300966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w10:wrap type="none"/>
          </v:group>
        </w:pict>
      </w:r>
    </w:p>
    <w:p>
      <w:pPr>
        <w:pStyle w:val="BodyText"/>
        <w:spacing w:line="249" w:lineRule="auto"/>
        <w:ind w:left="1439"/>
        <w:jc w:val="both"/>
      </w:pPr>
      <w:r>
        <w:rPr>
          <w:rFonts w:ascii="Trebuchet MS" w:hAnsi="Trebuchet MS"/>
          <w:b/>
          <w:color w:val="231F20"/>
          <w:w w:val="105"/>
          <w:sz w:val="19"/>
        </w:rPr>
        <w:t>Steps Involved in Causing Hyperosmotic </w:t>
      </w:r>
      <w:r>
        <w:rPr>
          <w:rFonts w:ascii="Trebuchet MS" w:hAnsi="Trebuchet MS"/>
          <w:b/>
          <w:color w:val="231F20"/>
          <w:spacing w:val="-4"/>
          <w:w w:val="105"/>
          <w:sz w:val="19"/>
        </w:rPr>
        <w:t>Renal </w:t>
      </w:r>
      <w:r>
        <w:rPr>
          <w:rFonts w:ascii="Trebuchet MS" w:hAnsi="Trebuchet MS"/>
          <w:b/>
          <w:color w:val="231F20"/>
          <w:w w:val="105"/>
          <w:sz w:val="19"/>
        </w:rPr>
        <w:t>Medullary</w:t>
      </w:r>
      <w:r>
        <w:rPr>
          <w:rFonts w:ascii="Trebuchet MS" w:hAnsi="Trebuchet MS"/>
          <w:b/>
          <w:color w:val="231F20"/>
          <w:spacing w:val="-21"/>
          <w:w w:val="105"/>
          <w:sz w:val="19"/>
        </w:rPr>
        <w:t> </w:t>
      </w:r>
      <w:r>
        <w:rPr>
          <w:rFonts w:ascii="Trebuchet MS" w:hAnsi="Trebuchet MS"/>
          <w:b/>
          <w:color w:val="231F20"/>
          <w:w w:val="105"/>
          <w:sz w:val="19"/>
        </w:rPr>
        <w:t>Interstitium.</w:t>
      </w:r>
      <w:r>
        <w:rPr>
          <w:rFonts w:ascii="Trebuchet MS" w:hAnsi="Trebuchet MS"/>
          <w:b/>
          <w:color w:val="231F20"/>
          <w:spacing w:val="3"/>
          <w:w w:val="105"/>
          <w:sz w:val="19"/>
        </w:rPr>
        <w:t> </w:t>
      </w:r>
      <w:r>
        <w:rPr>
          <w:color w:val="231F20"/>
          <w:w w:val="105"/>
        </w:rPr>
        <w:t>Keeping</w:t>
      </w:r>
      <w:r>
        <w:rPr>
          <w:color w:val="231F20"/>
          <w:spacing w:val="-17"/>
          <w:w w:val="105"/>
        </w:rPr>
        <w:t> </w:t>
      </w:r>
      <w:r>
        <w:rPr>
          <w:color w:val="231F20"/>
          <w:w w:val="105"/>
        </w:rPr>
        <w:t>in</w:t>
      </w:r>
      <w:r>
        <w:rPr>
          <w:color w:val="231F20"/>
          <w:spacing w:val="-18"/>
          <w:w w:val="105"/>
        </w:rPr>
        <w:t> </w:t>
      </w:r>
      <w:r>
        <w:rPr>
          <w:color w:val="231F20"/>
          <w:w w:val="105"/>
        </w:rPr>
        <w:t>mind</w:t>
      </w:r>
      <w:r>
        <w:rPr>
          <w:color w:val="231F20"/>
          <w:spacing w:val="-17"/>
          <w:w w:val="105"/>
        </w:rPr>
        <w:t> </w:t>
      </w:r>
      <w:r>
        <w:rPr>
          <w:color w:val="231F20"/>
          <w:w w:val="105"/>
        </w:rPr>
        <w:t>these</w:t>
      </w:r>
      <w:r>
        <w:rPr>
          <w:color w:val="231F20"/>
          <w:spacing w:val="-18"/>
          <w:w w:val="105"/>
        </w:rPr>
        <w:t> </w:t>
      </w:r>
      <w:r>
        <w:rPr>
          <w:color w:val="231F20"/>
          <w:spacing w:val="-3"/>
          <w:w w:val="105"/>
        </w:rPr>
        <w:t>charac­ </w:t>
      </w:r>
      <w:r>
        <w:rPr>
          <w:color w:val="231F20"/>
          <w:w w:val="105"/>
        </w:rPr>
        <w:t>teristics</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loop</w:t>
      </w:r>
      <w:r>
        <w:rPr>
          <w:color w:val="231F20"/>
          <w:spacing w:val="-7"/>
          <w:w w:val="105"/>
        </w:rPr>
        <w:t> </w:t>
      </w:r>
      <w:r>
        <w:rPr>
          <w:color w:val="231F20"/>
          <w:w w:val="105"/>
        </w:rPr>
        <w:t>of</w:t>
      </w:r>
      <w:r>
        <w:rPr>
          <w:color w:val="231F20"/>
          <w:spacing w:val="-7"/>
          <w:w w:val="105"/>
        </w:rPr>
        <w:t> </w:t>
      </w:r>
      <w:r>
        <w:rPr>
          <w:color w:val="231F20"/>
          <w:w w:val="105"/>
        </w:rPr>
        <w:t>Henle,</w:t>
      </w:r>
      <w:r>
        <w:rPr>
          <w:color w:val="231F20"/>
          <w:spacing w:val="-7"/>
          <w:w w:val="105"/>
        </w:rPr>
        <w:t> </w:t>
      </w:r>
      <w:r>
        <w:rPr>
          <w:color w:val="231F20"/>
          <w:w w:val="105"/>
        </w:rPr>
        <w:t>let</w:t>
      </w:r>
      <w:r>
        <w:rPr>
          <w:color w:val="231F20"/>
          <w:spacing w:val="-7"/>
          <w:w w:val="105"/>
        </w:rPr>
        <w:t> </w:t>
      </w:r>
      <w:r>
        <w:rPr>
          <w:color w:val="231F20"/>
          <w:w w:val="105"/>
        </w:rPr>
        <w:t>us</w:t>
      </w:r>
      <w:r>
        <w:rPr>
          <w:color w:val="231F20"/>
          <w:spacing w:val="-7"/>
          <w:w w:val="105"/>
        </w:rPr>
        <w:t> </w:t>
      </w:r>
      <w:r>
        <w:rPr>
          <w:color w:val="231F20"/>
          <w:w w:val="105"/>
        </w:rPr>
        <w:t>now</w:t>
      </w:r>
      <w:r>
        <w:rPr>
          <w:color w:val="231F20"/>
          <w:spacing w:val="-7"/>
          <w:w w:val="105"/>
        </w:rPr>
        <w:t> </w:t>
      </w:r>
      <w:r>
        <w:rPr>
          <w:color w:val="231F20"/>
          <w:w w:val="105"/>
        </w:rPr>
        <w:t>discuss</w:t>
      </w:r>
      <w:r>
        <w:rPr>
          <w:color w:val="231F20"/>
          <w:spacing w:val="-7"/>
          <w:w w:val="105"/>
        </w:rPr>
        <w:t> </w:t>
      </w:r>
      <w:r>
        <w:rPr>
          <w:color w:val="231F20"/>
          <w:w w:val="105"/>
        </w:rPr>
        <w:t>how</w:t>
      </w:r>
      <w:r>
        <w:rPr>
          <w:color w:val="231F20"/>
          <w:spacing w:val="-7"/>
          <w:w w:val="105"/>
        </w:rPr>
        <w:t> </w:t>
      </w:r>
      <w:r>
        <w:rPr>
          <w:color w:val="231F20"/>
          <w:w w:val="105"/>
        </w:rPr>
        <w:t>the renal medulla becomes hyperosmotic. First, assume</w:t>
      </w:r>
      <w:r>
        <w:rPr>
          <w:color w:val="231F20"/>
          <w:spacing w:val="-31"/>
          <w:w w:val="105"/>
        </w:rPr>
        <w:t> </w:t>
      </w:r>
      <w:r>
        <w:rPr>
          <w:color w:val="231F20"/>
          <w:spacing w:val="-4"/>
          <w:w w:val="105"/>
        </w:rPr>
        <w:t>that </w:t>
      </w:r>
      <w:r>
        <w:rPr>
          <w:color w:val="231F20"/>
          <w:w w:val="105"/>
        </w:rPr>
        <w:t>the</w:t>
      </w:r>
      <w:r>
        <w:rPr>
          <w:color w:val="231F20"/>
          <w:spacing w:val="-9"/>
          <w:w w:val="105"/>
        </w:rPr>
        <w:t> </w:t>
      </w:r>
      <w:r>
        <w:rPr>
          <w:color w:val="231F20"/>
          <w:w w:val="105"/>
        </w:rPr>
        <w:t>loop</w:t>
      </w:r>
      <w:r>
        <w:rPr>
          <w:color w:val="231F20"/>
          <w:spacing w:val="-9"/>
          <w:w w:val="105"/>
        </w:rPr>
        <w:t> </w:t>
      </w:r>
      <w:r>
        <w:rPr>
          <w:color w:val="231F20"/>
          <w:w w:val="105"/>
        </w:rPr>
        <w:t>of</w:t>
      </w:r>
      <w:r>
        <w:rPr>
          <w:color w:val="231F20"/>
          <w:spacing w:val="-9"/>
          <w:w w:val="105"/>
        </w:rPr>
        <w:t> </w:t>
      </w:r>
      <w:r>
        <w:rPr>
          <w:color w:val="231F20"/>
          <w:w w:val="105"/>
        </w:rPr>
        <w:t>Henle</w:t>
      </w:r>
      <w:r>
        <w:rPr>
          <w:color w:val="231F20"/>
          <w:spacing w:val="-9"/>
          <w:w w:val="105"/>
        </w:rPr>
        <w:t> </w:t>
      </w:r>
      <w:r>
        <w:rPr>
          <w:color w:val="231F20"/>
          <w:w w:val="105"/>
        </w:rPr>
        <w:t>is</w:t>
      </w:r>
      <w:r>
        <w:rPr>
          <w:color w:val="231F20"/>
          <w:spacing w:val="-9"/>
          <w:w w:val="105"/>
        </w:rPr>
        <w:t> </w:t>
      </w:r>
      <w:r>
        <w:rPr>
          <w:color w:val="231F20"/>
          <w:w w:val="105"/>
        </w:rPr>
        <w:t>filled</w:t>
      </w:r>
      <w:r>
        <w:rPr>
          <w:color w:val="231F20"/>
          <w:spacing w:val="-9"/>
          <w:w w:val="105"/>
        </w:rPr>
        <w:t> </w:t>
      </w:r>
      <w:r>
        <w:rPr>
          <w:color w:val="231F20"/>
          <w:w w:val="105"/>
        </w:rPr>
        <w:t>with</w:t>
      </w:r>
      <w:r>
        <w:rPr>
          <w:color w:val="231F20"/>
          <w:spacing w:val="-9"/>
          <w:w w:val="105"/>
        </w:rPr>
        <w:t> </w:t>
      </w:r>
      <w:r>
        <w:rPr>
          <w:color w:val="231F20"/>
          <w:w w:val="105"/>
        </w:rPr>
        <w:t>fluid</w:t>
      </w:r>
      <w:r>
        <w:rPr>
          <w:color w:val="231F20"/>
          <w:spacing w:val="-9"/>
          <w:w w:val="105"/>
        </w:rPr>
        <w:t> </w:t>
      </w:r>
      <w:r>
        <w:rPr>
          <w:color w:val="231F20"/>
          <w:w w:val="105"/>
        </w:rPr>
        <w:t>with</w:t>
      </w:r>
      <w:r>
        <w:rPr>
          <w:color w:val="231F20"/>
          <w:spacing w:val="-9"/>
          <w:w w:val="105"/>
        </w:rPr>
        <w:t> </w:t>
      </w:r>
      <w:r>
        <w:rPr>
          <w:color w:val="231F20"/>
          <w:w w:val="105"/>
        </w:rPr>
        <w:t>a</w:t>
      </w:r>
      <w:r>
        <w:rPr>
          <w:color w:val="231F20"/>
          <w:spacing w:val="-9"/>
          <w:w w:val="105"/>
        </w:rPr>
        <w:t> </w:t>
      </w:r>
      <w:r>
        <w:rPr>
          <w:color w:val="231F20"/>
          <w:spacing w:val="-3"/>
          <w:w w:val="105"/>
        </w:rPr>
        <w:t>concentration </w:t>
      </w:r>
      <w:r>
        <w:rPr>
          <w:color w:val="231F20"/>
          <w:w w:val="105"/>
        </w:rPr>
        <w:t>of 300 mOsm/L, the same as that leaving the proximal tubule (</w:t>
      </w:r>
      <w:hyperlink w:history="true" w:anchor="_bookmark70">
        <w:r>
          <w:rPr>
            <w:b/>
            <w:color w:val="0080AC"/>
            <w:w w:val="105"/>
          </w:rPr>
          <w:t>Figure 29-4</w:t>
        </w:r>
      </w:hyperlink>
      <w:r>
        <w:rPr>
          <w:color w:val="231F20"/>
          <w:w w:val="105"/>
        </w:rPr>
        <w:t>, step 1). Next, the active ion </w:t>
      </w:r>
      <w:r>
        <w:rPr>
          <w:color w:val="231F20"/>
          <w:spacing w:val="-5"/>
          <w:w w:val="105"/>
        </w:rPr>
        <w:t>pump </w:t>
      </w:r>
      <w:r>
        <w:rPr>
          <w:color w:val="231F20"/>
          <w:w w:val="105"/>
        </w:rPr>
        <w:t>of</w:t>
      </w:r>
      <w:r>
        <w:rPr>
          <w:color w:val="231F20"/>
          <w:spacing w:val="-8"/>
          <w:w w:val="105"/>
        </w:rPr>
        <w:t> </w:t>
      </w:r>
      <w:r>
        <w:rPr>
          <w:color w:val="231F20"/>
          <w:w w:val="105"/>
        </w:rPr>
        <w:t>the</w:t>
      </w:r>
      <w:r>
        <w:rPr>
          <w:color w:val="231F20"/>
          <w:spacing w:val="-8"/>
          <w:w w:val="105"/>
        </w:rPr>
        <w:t> </w:t>
      </w:r>
      <w:r>
        <w:rPr>
          <w:i/>
          <w:color w:val="231F20"/>
          <w:w w:val="105"/>
        </w:rPr>
        <w:t>thick</w:t>
      </w:r>
      <w:r>
        <w:rPr>
          <w:i/>
          <w:color w:val="231F20"/>
          <w:spacing w:val="-7"/>
          <w:w w:val="105"/>
        </w:rPr>
        <w:t> </w:t>
      </w:r>
      <w:r>
        <w:rPr>
          <w:i/>
          <w:color w:val="231F20"/>
          <w:w w:val="105"/>
        </w:rPr>
        <w:t>ascending</w:t>
      </w:r>
      <w:r>
        <w:rPr>
          <w:i/>
          <w:color w:val="231F20"/>
          <w:spacing w:val="-8"/>
          <w:w w:val="105"/>
        </w:rPr>
        <w:t> </w:t>
      </w:r>
      <w:r>
        <w:rPr>
          <w:i/>
          <w:color w:val="231F20"/>
          <w:w w:val="105"/>
        </w:rPr>
        <w:t>limb</w:t>
      </w:r>
      <w:r>
        <w:rPr>
          <w:i/>
          <w:color w:val="231F20"/>
          <w:spacing w:val="-7"/>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loop</w:t>
      </w:r>
      <w:r>
        <w:rPr>
          <w:color w:val="231F20"/>
          <w:spacing w:val="-7"/>
          <w:w w:val="105"/>
        </w:rPr>
        <w:t> </w:t>
      </w:r>
      <w:r>
        <w:rPr>
          <w:color w:val="231F20"/>
          <w:w w:val="105"/>
        </w:rPr>
        <w:t>of</w:t>
      </w:r>
      <w:r>
        <w:rPr>
          <w:color w:val="231F20"/>
          <w:spacing w:val="-8"/>
          <w:w w:val="105"/>
        </w:rPr>
        <w:t> </w:t>
      </w:r>
      <w:r>
        <w:rPr>
          <w:color w:val="231F20"/>
          <w:w w:val="105"/>
        </w:rPr>
        <w:t>Henle</w:t>
      </w:r>
      <w:r>
        <w:rPr>
          <w:color w:val="231F20"/>
          <w:spacing w:val="-7"/>
          <w:w w:val="105"/>
        </w:rPr>
        <w:t> </w:t>
      </w:r>
      <w:r>
        <w:rPr>
          <w:color w:val="231F20"/>
          <w:w w:val="105"/>
        </w:rPr>
        <w:t>reduces the concentration inside the tubule and raises the </w:t>
      </w:r>
      <w:r>
        <w:rPr>
          <w:color w:val="231F20"/>
          <w:spacing w:val="-5"/>
          <w:w w:val="105"/>
        </w:rPr>
        <w:t>inter­ </w:t>
      </w:r>
      <w:r>
        <w:rPr>
          <w:color w:val="231F20"/>
          <w:w w:val="105"/>
        </w:rPr>
        <w:t>stitial</w:t>
      </w:r>
      <w:r>
        <w:rPr>
          <w:color w:val="231F20"/>
          <w:spacing w:val="-38"/>
          <w:w w:val="105"/>
        </w:rPr>
        <w:t> </w:t>
      </w:r>
      <w:r>
        <w:rPr>
          <w:color w:val="231F20"/>
          <w:w w:val="105"/>
        </w:rPr>
        <w:t>concentration;</w:t>
      </w:r>
      <w:r>
        <w:rPr>
          <w:color w:val="231F20"/>
          <w:spacing w:val="-38"/>
          <w:w w:val="105"/>
        </w:rPr>
        <w:t> </w:t>
      </w:r>
      <w:r>
        <w:rPr>
          <w:color w:val="231F20"/>
          <w:w w:val="105"/>
        </w:rPr>
        <w:t>this</w:t>
      </w:r>
      <w:r>
        <w:rPr>
          <w:color w:val="231F20"/>
          <w:spacing w:val="-38"/>
          <w:w w:val="105"/>
        </w:rPr>
        <w:t> </w:t>
      </w:r>
      <w:r>
        <w:rPr>
          <w:color w:val="231F20"/>
          <w:w w:val="105"/>
        </w:rPr>
        <w:t>pump</w:t>
      </w:r>
      <w:r>
        <w:rPr>
          <w:color w:val="231F20"/>
          <w:spacing w:val="-38"/>
          <w:w w:val="105"/>
        </w:rPr>
        <w:t> </w:t>
      </w:r>
      <w:r>
        <w:rPr>
          <w:color w:val="231F20"/>
          <w:w w:val="105"/>
        </w:rPr>
        <w:t>establishes</w:t>
      </w:r>
      <w:r>
        <w:rPr>
          <w:color w:val="231F20"/>
          <w:spacing w:val="-38"/>
          <w:w w:val="105"/>
        </w:rPr>
        <w:t> </w:t>
      </w:r>
      <w:r>
        <w:rPr>
          <w:color w:val="231F20"/>
          <w:w w:val="105"/>
        </w:rPr>
        <w:t>a</w:t>
      </w:r>
      <w:r>
        <w:rPr>
          <w:color w:val="231F20"/>
          <w:spacing w:val="-38"/>
          <w:w w:val="105"/>
        </w:rPr>
        <w:t> </w:t>
      </w:r>
      <w:r>
        <w:rPr>
          <w:color w:val="231F20"/>
          <w:w w:val="105"/>
        </w:rPr>
        <w:t>200­mOsm/L concentration gradient between the tubular fluid and</w:t>
      </w:r>
      <w:r>
        <w:rPr>
          <w:color w:val="231F20"/>
          <w:spacing w:val="-34"/>
          <w:w w:val="105"/>
        </w:rPr>
        <w:t> </w:t>
      </w:r>
      <w:r>
        <w:rPr>
          <w:color w:val="231F20"/>
          <w:w w:val="105"/>
        </w:rPr>
        <w:t>the interstitial</w:t>
      </w:r>
      <w:r>
        <w:rPr>
          <w:color w:val="231F20"/>
          <w:spacing w:val="-17"/>
          <w:w w:val="105"/>
        </w:rPr>
        <w:t> </w:t>
      </w:r>
      <w:r>
        <w:rPr>
          <w:color w:val="231F20"/>
          <w:w w:val="105"/>
        </w:rPr>
        <w:t>fluid</w:t>
      </w:r>
      <w:r>
        <w:rPr>
          <w:color w:val="231F20"/>
          <w:spacing w:val="-17"/>
          <w:w w:val="105"/>
        </w:rPr>
        <w:t> </w:t>
      </w:r>
      <w:r>
        <w:rPr>
          <w:color w:val="231F20"/>
          <w:w w:val="105"/>
        </w:rPr>
        <w:t>(step</w:t>
      </w:r>
      <w:r>
        <w:rPr>
          <w:color w:val="231F20"/>
          <w:spacing w:val="-16"/>
          <w:w w:val="105"/>
        </w:rPr>
        <w:t> </w:t>
      </w:r>
      <w:r>
        <w:rPr>
          <w:color w:val="231F20"/>
          <w:w w:val="105"/>
        </w:rPr>
        <w:t>2).</w:t>
      </w:r>
      <w:r>
        <w:rPr>
          <w:color w:val="231F20"/>
          <w:spacing w:val="-17"/>
          <w:w w:val="105"/>
        </w:rPr>
        <w:t> </w:t>
      </w:r>
      <w:r>
        <w:rPr>
          <w:color w:val="231F20"/>
          <w:w w:val="105"/>
        </w:rPr>
        <w:t>The</w:t>
      </w:r>
      <w:r>
        <w:rPr>
          <w:color w:val="231F20"/>
          <w:spacing w:val="-16"/>
          <w:w w:val="105"/>
        </w:rPr>
        <w:t> </w:t>
      </w:r>
      <w:r>
        <w:rPr>
          <w:color w:val="231F20"/>
          <w:w w:val="105"/>
        </w:rPr>
        <w:t>limit</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7"/>
          <w:w w:val="105"/>
        </w:rPr>
        <w:t> </w:t>
      </w:r>
      <w:r>
        <w:rPr>
          <w:color w:val="231F20"/>
          <w:w w:val="105"/>
        </w:rPr>
        <w:t>gradient</w:t>
      </w:r>
      <w:r>
        <w:rPr>
          <w:color w:val="231F20"/>
          <w:spacing w:val="-17"/>
          <w:w w:val="105"/>
        </w:rPr>
        <w:t> </w:t>
      </w:r>
      <w:r>
        <w:rPr>
          <w:color w:val="231F20"/>
          <w:w w:val="105"/>
        </w:rPr>
        <w:t>is</w:t>
      </w:r>
      <w:r>
        <w:rPr>
          <w:color w:val="231F20"/>
          <w:spacing w:val="-16"/>
          <w:w w:val="105"/>
        </w:rPr>
        <w:t> </w:t>
      </w:r>
      <w:r>
        <w:rPr>
          <w:color w:val="231F20"/>
          <w:spacing w:val="-3"/>
          <w:w w:val="105"/>
        </w:rPr>
        <w:t>about </w:t>
      </w:r>
      <w:r>
        <w:rPr>
          <w:color w:val="231F20"/>
          <w:w w:val="105"/>
        </w:rPr>
        <w:t>200</w:t>
      </w:r>
      <w:r>
        <w:rPr>
          <w:color w:val="231F20"/>
          <w:spacing w:val="-15"/>
          <w:w w:val="105"/>
        </w:rPr>
        <w:t> </w:t>
      </w:r>
      <w:r>
        <w:rPr>
          <w:color w:val="231F20"/>
          <w:w w:val="105"/>
        </w:rPr>
        <w:t>mOsm/L</w:t>
      </w:r>
      <w:r>
        <w:rPr>
          <w:color w:val="231F20"/>
          <w:spacing w:val="-11"/>
          <w:w w:val="105"/>
        </w:rPr>
        <w:t> </w:t>
      </w:r>
      <w:r>
        <w:rPr>
          <w:color w:val="231F20"/>
          <w:w w:val="105"/>
        </w:rPr>
        <w:t>because</w:t>
      </w:r>
      <w:r>
        <w:rPr>
          <w:color w:val="231F20"/>
          <w:spacing w:val="-11"/>
          <w:w w:val="105"/>
        </w:rPr>
        <w:t> </w:t>
      </w:r>
      <w:r>
        <w:rPr>
          <w:color w:val="231F20"/>
          <w:w w:val="105"/>
        </w:rPr>
        <w:t>paracellular</w:t>
      </w:r>
      <w:r>
        <w:rPr>
          <w:color w:val="231F20"/>
          <w:spacing w:val="-11"/>
          <w:w w:val="105"/>
        </w:rPr>
        <w:t> </w:t>
      </w:r>
      <w:r>
        <w:rPr>
          <w:color w:val="231F20"/>
          <w:w w:val="105"/>
        </w:rPr>
        <w:t>diffusion</w:t>
      </w:r>
      <w:r>
        <w:rPr>
          <w:color w:val="231F20"/>
          <w:spacing w:val="-11"/>
          <w:w w:val="105"/>
        </w:rPr>
        <w:t> </w:t>
      </w:r>
      <w:r>
        <w:rPr>
          <w:color w:val="231F20"/>
          <w:w w:val="105"/>
        </w:rPr>
        <w:t>of</w:t>
      </w:r>
      <w:r>
        <w:rPr>
          <w:color w:val="231F20"/>
          <w:spacing w:val="-11"/>
          <w:w w:val="105"/>
        </w:rPr>
        <w:t> </w:t>
      </w:r>
      <w:r>
        <w:rPr>
          <w:color w:val="231F20"/>
          <w:w w:val="105"/>
        </w:rPr>
        <w:t>ions</w:t>
      </w:r>
      <w:r>
        <w:rPr>
          <w:color w:val="231F20"/>
          <w:spacing w:val="-11"/>
          <w:w w:val="105"/>
        </w:rPr>
        <w:t> </w:t>
      </w:r>
      <w:r>
        <w:rPr>
          <w:color w:val="231F20"/>
          <w:spacing w:val="-4"/>
          <w:w w:val="105"/>
        </w:rPr>
        <w:t>back </w:t>
      </w:r>
      <w:r>
        <w:rPr>
          <w:color w:val="231F20"/>
          <w:w w:val="105"/>
        </w:rPr>
        <w:t>into the tubule eventually counterbalances transport </w:t>
      </w:r>
      <w:r>
        <w:rPr>
          <w:color w:val="231F20"/>
          <w:spacing w:val="-8"/>
          <w:w w:val="105"/>
        </w:rPr>
        <w:t>of </w:t>
      </w:r>
      <w:r>
        <w:rPr>
          <w:color w:val="231F20"/>
          <w:w w:val="105"/>
        </w:rPr>
        <w:t>ions out of the lumen when the 200­mOsm/L</w:t>
      </w:r>
      <w:r>
        <w:rPr>
          <w:color w:val="231F20"/>
          <w:spacing w:val="-32"/>
          <w:w w:val="105"/>
        </w:rPr>
        <w:t> </w:t>
      </w:r>
      <w:r>
        <w:rPr>
          <w:color w:val="231F20"/>
          <w:spacing w:val="-3"/>
          <w:w w:val="105"/>
        </w:rPr>
        <w:t>concentra­ </w:t>
      </w:r>
      <w:r>
        <w:rPr>
          <w:color w:val="231F20"/>
          <w:w w:val="105"/>
        </w:rPr>
        <w:t>tion gradient is</w:t>
      </w:r>
      <w:r>
        <w:rPr>
          <w:color w:val="231F20"/>
          <w:spacing w:val="7"/>
          <w:w w:val="105"/>
        </w:rPr>
        <w:t> </w:t>
      </w:r>
      <w:r>
        <w:rPr>
          <w:color w:val="231F20"/>
          <w:w w:val="105"/>
        </w:rPr>
        <w:t>achieved.</w:t>
      </w:r>
    </w:p>
    <w:p>
      <w:pPr>
        <w:pStyle w:val="BodyText"/>
        <w:spacing w:line="249" w:lineRule="auto" w:before="14"/>
        <w:ind w:left="1440" w:firstLine="240"/>
        <w:jc w:val="both"/>
      </w:pPr>
      <w:r>
        <w:rPr>
          <w:color w:val="231F20"/>
        </w:rPr>
        <w:t>Step 3 is that the tubular  fluid  in  the  </w:t>
      </w:r>
      <w:r>
        <w:rPr>
          <w:i/>
          <w:color w:val="231F20"/>
          <w:spacing w:val="-3"/>
        </w:rPr>
        <w:t>descending  </w:t>
      </w:r>
      <w:r>
        <w:rPr>
          <w:i/>
          <w:color w:val="231F20"/>
        </w:rPr>
        <w:t>limb of the loop of Henle </w:t>
      </w:r>
      <w:r>
        <w:rPr>
          <w:color w:val="231F20"/>
        </w:rPr>
        <w:t>and the interstitial fluid </w:t>
      </w:r>
      <w:r>
        <w:rPr>
          <w:color w:val="231F20"/>
          <w:spacing w:val="-3"/>
        </w:rPr>
        <w:t>quickly </w:t>
      </w:r>
      <w:r>
        <w:rPr>
          <w:color w:val="231F20"/>
        </w:rPr>
        <w:t>reach osmotic equilibrium because of osmosis of water out of the descending  limb.  The  interstitial  osmolarity is maintained at 400 mOsm/L because of</w:t>
      </w:r>
      <w:r>
        <w:rPr>
          <w:color w:val="231F20"/>
          <w:spacing w:val="18"/>
        </w:rPr>
        <w:t> </w:t>
      </w:r>
      <w:r>
        <w:rPr>
          <w:color w:val="231F20"/>
          <w:spacing w:val="-3"/>
        </w:rPr>
        <w:t>continued</w:t>
      </w:r>
    </w:p>
    <w:p>
      <w:pPr>
        <w:pStyle w:val="BodyText"/>
        <w:spacing w:before="1"/>
        <w:rPr>
          <w:sz w:val="23"/>
        </w:rPr>
      </w:pPr>
      <w:r>
        <w:rPr/>
        <w:br w:type="column"/>
      </w:r>
      <w:r>
        <w:rPr>
          <w:sz w:val="23"/>
        </w:rPr>
      </w:r>
    </w:p>
    <w:p>
      <w:pPr>
        <w:pStyle w:val="BodyText"/>
        <w:spacing w:line="249" w:lineRule="auto" w:before="1"/>
        <w:ind w:left="319" w:right="1077"/>
        <w:jc w:val="both"/>
      </w:pPr>
      <w:r>
        <w:rPr>
          <w:color w:val="231F20"/>
        </w:rPr>
        <w:t>transport of ions out of the thick ascending loop of </w:t>
      </w:r>
      <w:r>
        <w:rPr>
          <w:color w:val="231F20"/>
          <w:spacing w:val="-3"/>
        </w:rPr>
        <w:t>Henle. </w:t>
      </w:r>
      <w:r>
        <w:rPr>
          <w:color w:val="231F20"/>
        </w:rPr>
        <w:t>Thus, by itself, the active transport of sodium chloride out of the thick ascending limb is capable of establishing </w:t>
      </w:r>
      <w:r>
        <w:rPr>
          <w:color w:val="231F20"/>
          <w:spacing w:val="-3"/>
        </w:rPr>
        <w:t>only </w:t>
      </w:r>
      <w:r>
        <w:rPr>
          <w:color w:val="231F20"/>
        </w:rPr>
        <w:t>a 200­mOsm/L concentration gradient, which is  much less than that achieved by the countercurrent multiplier system.</w:t>
      </w:r>
    </w:p>
    <w:p>
      <w:pPr>
        <w:pStyle w:val="BodyText"/>
        <w:spacing w:line="249" w:lineRule="auto" w:before="5"/>
        <w:ind w:left="319" w:right="1077" w:firstLine="240"/>
        <w:jc w:val="both"/>
      </w:pPr>
      <w:r>
        <w:rPr>
          <w:color w:val="231F20"/>
          <w:w w:val="105"/>
        </w:rPr>
        <w:t>Step</w:t>
      </w:r>
      <w:r>
        <w:rPr>
          <w:color w:val="231F20"/>
          <w:spacing w:val="-17"/>
          <w:w w:val="105"/>
        </w:rPr>
        <w:t> </w:t>
      </w:r>
      <w:r>
        <w:rPr>
          <w:color w:val="231F20"/>
          <w:w w:val="105"/>
        </w:rPr>
        <w:t>4</w:t>
      </w:r>
      <w:r>
        <w:rPr>
          <w:color w:val="231F20"/>
          <w:spacing w:val="-16"/>
          <w:w w:val="105"/>
        </w:rPr>
        <w:t> </w:t>
      </w:r>
      <w:r>
        <w:rPr>
          <w:color w:val="231F20"/>
          <w:w w:val="105"/>
        </w:rPr>
        <w:t>is</w:t>
      </w:r>
      <w:r>
        <w:rPr>
          <w:color w:val="231F20"/>
          <w:spacing w:val="-16"/>
          <w:w w:val="105"/>
        </w:rPr>
        <w:t> </w:t>
      </w:r>
      <w:r>
        <w:rPr>
          <w:color w:val="231F20"/>
          <w:w w:val="105"/>
        </w:rPr>
        <w:t>additional</w:t>
      </w:r>
      <w:r>
        <w:rPr>
          <w:color w:val="231F20"/>
          <w:spacing w:val="-16"/>
          <w:w w:val="105"/>
        </w:rPr>
        <w:t> </w:t>
      </w:r>
      <w:r>
        <w:rPr>
          <w:color w:val="231F20"/>
          <w:w w:val="105"/>
        </w:rPr>
        <w:t>flow</w:t>
      </w:r>
      <w:r>
        <w:rPr>
          <w:color w:val="231F20"/>
          <w:spacing w:val="-16"/>
          <w:w w:val="105"/>
        </w:rPr>
        <w:t> </w:t>
      </w:r>
      <w:r>
        <w:rPr>
          <w:color w:val="231F20"/>
          <w:w w:val="105"/>
        </w:rPr>
        <w:t>of</w:t>
      </w:r>
      <w:r>
        <w:rPr>
          <w:color w:val="231F20"/>
          <w:spacing w:val="-16"/>
          <w:w w:val="105"/>
        </w:rPr>
        <w:t> </w:t>
      </w:r>
      <w:r>
        <w:rPr>
          <w:color w:val="231F20"/>
          <w:w w:val="105"/>
        </w:rPr>
        <w:t>fluid</w:t>
      </w:r>
      <w:r>
        <w:rPr>
          <w:color w:val="231F20"/>
          <w:spacing w:val="-16"/>
          <w:w w:val="105"/>
        </w:rPr>
        <w:t> </w:t>
      </w:r>
      <w:r>
        <w:rPr>
          <w:color w:val="231F20"/>
          <w:w w:val="105"/>
        </w:rPr>
        <w:t>into</w:t>
      </w:r>
      <w:r>
        <w:rPr>
          <w:color w:val="231F20"/>
          <w:spacing w:val="-16"/>
          <w:w w:val="105"/>
        </w:rPr>
        <w:t> </w:t>
      </w:r>
      <w:r>
        <w:rPr>
          <w:color w:val="231F20"/>
          <w:w w:val="105"/>
        </w:rPr>
        <w:t>the</w:t>
      </w:r>
      <w:r>
        <w:rPr>
          <w:color w:val="231F20"/>
          <w:spacing w:val="-16"/>
          <w:w w:val="105"/>
        </w:rPr>
        <w:t> </w:t>
      </w:r>
      <w:r>
        <w:rPr>
          <w:color w:val="231F20"/>
          <w:w w:val="105"/>
        </w:rPr>
        <w:t>loop</w:t>
      </w:r>
      <w:r>
        <w:rPr>
          <w:color w:val="231F20"/>
          <w:spacing w:val="-16"/>
          <w:w w:val="105"/>
        </w:rPr>
        <w:t> </w:t>
      </w:r>
      <w:r>
        <w:rPr>
          <w:color w:val="231F20"/>
          <w:w w:val="105"/>
        </w:rPr>
        <w:t>of</w:t>
      </w:r>
      <w:r>
        <w:rPr>
          <w:color w:val="231F20"/>
          <w:spacing w:val="-16"/>
          <w:w w:val="105"/>
        </w:rPr>
        <w:t> </w:t>
      </w:r>
      <w:r>
        <w:rPr>
          <w:color w:val="231F20"/>
          <w:spacing w:val="-4"/>
          <w:w w:val="105"/>
        </w:rPr>
        <w:t>Henle </w:t>
      </w:r>
      <w:r>
        <w:rPr>
          <w:color w:val="231F20"/>
          <w:w w:val="105"/>
        </w:rPr>
        <w:t>from</w:t>
      </w:r>
      <w:r>
        <w:rPr>
          <w:color w:val="231F20"/>
          <w:spacing w:val="-22"/>
          <w:w w:val="105"/>
        </w:rPr>
        <w:t> </w:t>
      </w:r>
      <w:r>
        <w:rPr>
          <w:color w:val="231F20"/>
          <w:w w:val="105"/>
        </w:rPr>
        <w:t>the</w:t>
      </w:r>
      <w:r>
        <w:rPr>
          <w:color w:val="231F20"/>
          <w:spacing w:val="-22"/>
          <w:w w:val="105"/>
        </w:rPr>
        <w:t> </w:t>
      </w:r>
      <w:r>
        <w:rPr>
          <w:color w:val="231F20"/>
          <w:w w:val="105"/>
        </w:rPr>
        <w:t>proximal</w:t>
      </w:r>
      <w:r>
        <w:rPr>
          <w:color w:val="231F20"/>
          <w:spacing w:val="-22"/>
          <w:w w:val="105"/>
        </w:rPr>
        <w:t> </w:t>
      </w:r>
      <w:r>
        <w:rPr>
          <w:color w:val="231F20"/>
          <w:w w:val="105"/>
        </w:rPr>
        <w:t>tubule,</w:t>
      </w:r>
      <w:r>
        <w:rPr>
          <w:color w:val="231F20"/>
          <w:spacing w:val="-22"/>
          <w:w w:val="105"/>
        </w:rPr>
        <w:t> </w:t>
      </w:r>
      <w:r>
        <w:rPr>
          <w:color w:val="231F20"/>
          <w:w w:val="105"/>
        </w:rPr>
        <w:t>which</w:t>
      </w:r>
      <w:r>
        <w:rPr>
          <w:color w:val="231F20"/>
          <w:spacing w:val="-22"/>
          <w:w w:val="105"/>
        </w:rPr>
        <w:t> </w:t>
      </w:r>
      <w:r>
        <w:rPr>
          <w:color w:val="231F20"/>
          <w:w w:val="105"/>
        </w:rPr>
        <w:t>causes</w:t>
      </w:r>
      <w:r>
        <w:rPr>
          <w:color w:val="231F20"/>
          <w:spacing w:val="-22"/>
          <w:w w:val="105"/>
        </w:rPr>
        <w:t> </w:t>
      </w:r>
      <w:r>
        <w:rPr>
          <w:color w:val="231F20"/>
          <w:w w:val="105"/>
        </w:rPr>
        <w:t>the</w:t>
      </w:r>
      <w:r>
        <w:rPr>
          <w:color w:val="231F20"/>
          <w:spacing w:val="-21"/>
          <w:w w:val="105"/>
        </w:rPr>
        <w:t> </w:t>
      </w:r>
      <w:r>
        <w:rPr>
          <w:color w:val="231F20"/>
          <w:w w:val="105"/>
        </w:rPr>
        <w:t>hyperosmotic fluid previously formed in the descending limb to </w:t>
      </w:r>
      <w:r>
        <w:rPr>
          <w:color w:val="231F20"/>
          <w:spacing w:val="-3"/>
          <w:w w:val="105"/>
        </w:rPr>
        <w:t>flow </w:t>
      </w:r>
      <w:r>
        <w:rPr>
          <w:color w:val="231F20"/>
          <w:w w:val="105"/>
        </w:rPr>
        <w:t>into</w:t>
      </w:r>
      <w:r>
        <w:rPr>
          <w:color w:val="231F20"/>
          <w:spacing w:val="-5"/>
          <w:w w:val="105"/>
        </w:rPr>
        <w:t> </w:t>
      </w:r>
      <w:r>
        <w:rPr>
          <w:color w:val="231F20"/>
          <w:w w:val="105"/>
        </w:rPr>
        <w:t>the</w:t>
      </w:r>
      <w:r>
        <w:rPr>
          <w:color w:val="231F20"/>
          <w:spacing w:val="-4"/>
          <w:w w:val="105"/>
        </w:rPr>
        <w:t> </w:t>
      </w:r>
      <w:r>
        <w:rPr>
          <w:color w:val="231F20"/>
          <w:w w:val="105"/>
        </w:rPr>
        <w:t>ascending</w:t>
      </w:r>
      <w:r>
        <w:rPr>
          <w:color w:val="231F20"/>
          <w:spacing w:val="-4"/>
          <w:w w:val="105"/>
        </w:rPr>
        <w:t> </w:t>
      </w:r>
      <w:r>
        <w:rPr>
          <w:color w:val="231F20"/>
          <w:w w:val="105"/>
        </w:rPr>
        <w:t>limb.</w:t>
      </w:r>
      <w:r>
        <w:rPr>
          <w:color w:val="231F20"/>
          <w:spacing w:val="-4"/>
          <w:w w:val="105"/>
        </w:rPr>
        <w:t> </w:t>
      </w:r>
      <w:r>
        <w:rPr>
          <w:color w:val="231F20"/>
          <w:w w:val="105"/>
        </w:rPr>
        <w:t>Once</w:t>
      </w:r>
      <w:r>
        <w:rPr>
          <w:color w:val="231F20"/>
          <w:spacing w:val="-5"/>
          <w:w w:val="105"/>
        </w:rPr>
        <w:t> </w:t>
      </w:r>
      <w:r>
        <w:rPr>
          <w:color w:val="231F20"/>
          <w:w w:val="105"/>
        </w:rPr>
        <w:t>this</w:t>
      </w:r>
      <w:r>
        <w:rPr>
          <w:color w:val="231F20"/>
          <w:spacing w:val="-4"/>
          <w:w w:val="105"/>
        </w:rPr>
        <w:t> </w:t>
      </w:r>
      <w:r>
        <w:rPr>
          <w:color w:val="231F20"/>
          <w:w w:val="105"/>
        </w:rPr>
        <w:t>fluid</w:t>
      </w:r>
      <w:r>
        <w:rPr>
          <w:color w:val="231F20"/>
          <w:spacing w:val="-4"/>
          <w:w w:val="105"/>
        </w:rPr>
        <w:t> </w:t>
      </w:r>
      <w:r>
        <w:rPr>
          <w:color w:val="231F20"/>
          <w:w w:val="105"/>
        </w:rPr>
        <w:t>is</w:t>
      </w:r>
      <w:r>
        <w:rPr>
          <w:color w:val="231F20"/>
          <w:spacing w:val="-4"/>
          <w:w w:val="105"/>
        </w:rPr>
        <w:t> </w:t>
      </w:r>
      <w:r>
        <w:rPr>
          <w:color w:val="231F20"/>
          <w:w w:val="105"/>
        </w:rPr>
        <w:t>in</w:t>
      </w:r>
      <w:r>
        <w:rPr>
          <w:color w:val="231F20"/>
          <w:spacing w:val="-5"/>
          <w:w w:val="105"/>
        </w:rPr>
        <w:t> </w:t>
      </w:r>
      <w:r>
        <w:rPr>
          <w:color w:val="231F20"/>
          <w:w w:val="105"/>
        </w:rPr>
        <w:t>the</w:t>
      </w:r>
      <w:r>
        <w:rPr>
          <w:color w:val="231F20"/>
          <w:spacing w:val="-4"/>
          <w:w w:val="105"/>
        </w:rPr>
        <w:t> </w:t>
      </w:r>
      <w:r>
        <w:rPr>
          <w:color w:val="231F20"/>
          <w:spacing w:val="-3"/>
          <w:w w:val="105"/>
        </w:rPr>
        <w:t>ascend­ </w:t>
      </w:r>
      <w:r>
        <w:rPr>
          <w:color w:val="231F20"/>
          <w:w w:val="105"/>
        </w:rPr>
        <w:t>ing</w:t>
      </w:r>
      <w:r>
        <w:rPr>
          <w:color w:val="231F20"/>
          <w:spacing w:val="-24"/>
          <w:w w:val="105"/>
        </w:rPr>
        <w:t> </w:t>
      </w:r>
      <w:r>
        <w:rPr>
          <w:color w:val="231F20"/>
          <w:w w:val="105"/>
        </w:rPr>
        <w:t>limb,</w:t>
      </w:r>
      <w:r>
        <w:rPr>
          <w:color w:val="231F20"/>
          <w:spacing w:val="-23"/>
          <w:w w:val="105"/>
        </w:rPr>
        <w:t> </w:t>
      </w:r>
      <w:r>
        <w:rPr>
          <w:color w:val="231F20"/>
          <w:w w:val="105"/>
        </w:rPr>
        <w:t>additional</w:t>
      </w:r>
      <w:r>
        <w:rPr>
          <w:color w:val="231F20"/>
          <w:spacing w:val="-23"/>
          <w:w w:val="105"/>
        </w:rPr>
        <w:t> </w:t>
      </w:r>
      <w:r>
        <w:rPr>
          <w:color w:val="231F20"/>
          <w:w w:val="105"/>
        </w:rPr>
        <w:t>ions</w:t>
      </w:r>
      <w:r>
        <w:rPr>
          <w:color w:val="231F20"/>
          <w:spacing w:val="-23"/>
          <w:w w:val="105"/>
        </w:rPr>
        <w:t> </w:t>
      </w:r>
      <w:r>
        <w:rPr>
          <w:color w:val="231F20"/>
          <w:w w:val="105"/>
        </w:rPr>
        <w:t>are</w:t>
      </w:r>
      <w:r>
        <w:rPr>
          <w:color w:val="231F20"/>
          <w:spacing w:val="-23"/>
          <w:w w:val="105"/>
        </w:rPr>
        <w:t> </w:t>
      </w:r>
      <w:r>
        <w:rPr>
          <w:color w:val="231F20"/>
          <w:w w:val="105"/>
        </w:rPr>
        <w:t>pumped</w:t>
      </w:r>
      <w:r>
        <w:rPr>
          <w:color w:val="231F20"/>
          <w:spacing w:val="-23"/>
          <w:w w:val="105"/>
        </w:rPr>
        <w:t> </w:t>
      </w:r>
      <w:r>
        <w:rPr>
          <w:color w:val="231F20"/>
          <w:w w:val="105"/>
        </w:rPr>
        <w:t>into</w:t>
      </w:r>
      <w:r>
        <w:rPr>
          <w:color w:val="231F20"/>
          <w:spacing w:val="-23"/>
          <w:w w:val="105"/>
        </w:rPr>
        <w:t> </w:t>
      </w:r>
      <w:r>
        <w:rPr>
          <w:color w:val="231F20"/>
          <w:w w:val="105"/>
        </w:rPr>
        <w:t>the</w:t>
      </w:r>
      <w:r>
        <w:rPr>
          <w:color w:val="231F20"/>
          <w:spacing w:val="-23"/>
          <w:w w:val="105"/>
        </w:rPr>
        <w:t> </w:t>
      </w:r>
      <w:r>
        <w:rPr>
          <w:color w:val="231F20"/>
          <w:w w:val="105"/>
        </w:rPr>
        <w:t>interstitium, with water remaining in the tubular fluid, until a </w:t>
      </w:r>
      <w:r>
        <w:rPr>
          <w:color w:val="231F20"/>
          <w:spacing w:val="-4"/>
          <w:w w:val="105"/>
        </w:rPr>
        <w:t>200­ </w:t>
      </w:r>
      <w:r>
        <w:rPr>
          <w:color w:val="231F20"/>
          <w:w w:val="105"/>
        </w:rPr>
        <w:t>mOsm/L osmotic gradient is established, with the inter­ stitial fluid osmolarity rising to 500 mOsm/L (step 5). Then,</w:t>
      </w:r>
      <w:r>
        <w:rPr>
          <w:color w:val="231F20"/>
          <w:spacing w:val="-25"/>
          <w:w w:val="105"/>
        </w:rPr>
        <w:t> </w:t>
      </w:r>
      <w:r>
        <w:rPr>
          <w:color w:val="231F20"/>
          <w:w w:val="105"/>
        </w:rPr>
        <w:t>once</w:t>
      </w:r>
      <w:r>
        <w:rPr>
          <w:color w:val="231F20"/>
          <w:spacing w:val="-24"/>
          <w:w w:val="105"/>
        </w:rPr>
        <w:t> </w:t>
      </w:r>
      <w:r>
        <w:rPr>
          <w:color w:val="231F20"/>
          <w:w w:val="105"/>
        </w:rPr>
        <w:t>again,</w:t>
      </w:r>
      <w:r>
        <w:rPr>
          <w:color w:val="231F20"/>
          <w:spacing w:val="-24"/>
          <w:w w:val="105"/>
        </w:rPr>
        <w:t> </w:t>
      </w:r>
      <w:r>
        <w:rPr>
          <w:color w:val="231F20"/>
          <w:w w:val="105"/>
        </w:rPr>
        <w:t>the</w:t>
      </w:r>
      <w:r>
        <w:rPr>
          <w:color w:val="231F20"/>
          <w:spacing w:val="-24"/>
          <w:w w:val="105"/>
        </w:rPr>
        <w:t> </w:t>
      </w:r>
      <w:r>
        <w:rPr>
          <w:color w:val="231F20"/>
          <w:w w:val="105"/>
        </w:rPr>
        <w:t>fluid</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descending</w:t>
      </w:r>
      <w:r>
        <w:rPr>
          <w:color w:val="231F20"/>
          <w:spacing w:val="-24"/>
          <w:w w:val="105"/>
        </w:rPr>
        <w:t> </w:t>
      </w:r>
      <w:r>
        <w:rPr>
          <w:color w:val="231F20"/>
          <w:w w:val="105"/>
        </w:rPr>
        <w:t>limb</w:t>
      </w:r>
      <w:r>
        <w:rPr>
          <w:color w:val="231F20"/>
          <w:spacing w:val="-24"/>
          <w:w w:val="105"/>
        </w:rPr>
        <w:t> </w:t>
      </w:r>
      <w:r>
        <w:rPr>
          <w:color w:val="231F20"/>
          <w:w w:val="105"/>
        </w:rPr>
        <w:t>reaches equilibrium</w:t>
      </w:r>
      <w:r>
        <w:rPr>
          <w:color w:val="231F20"/>
          <w:spacing w:val="-10"/>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hyperosmotic</w:t>
      </w:r>
      <w:r>
        <w:rPr>
          <w:color w:val="231F20"/>
          <w:spacing w:val="-9"/>
          <w:w w:val="105"/>
        </w:rPr>
        <w:t> </w:t>
      </w:r>
      <w:r>
        <w:rPr>
          <w:color w:val="231F20"/>
          <w:w w:val="105"/>
        </w:rPr>
        <w:t>medullary</w:t>
      </w:r>
      <w:r>
        <w:rPr>
          <w:color w:val="231F20"/>
          <w:spacing w:val="-9"/>
          <w:w w:val="105"/>
        </w:rPr>
        <w:t> </w:t>
      </w:r>
      <w:r>
        <w:rPr>
          <w:color w:val="231F20"/>
          <w:w w:val="105"/>
        </w:rPr>
        <w:t>interstitial fluid</w:t>
      </w:r>
      <w:r>
        <w:rPr>
          <w:color w:val="231F20"/>
          <w:spacing w:val="-11"/>
          <w:w w:val="105"/>
        </w:rPr>
        <w:t> </w:t>
      </w:r>
      <w:r>
        <w:rPr>
          <w:color w:val="231F20"/>
          <w:w w:val="105"/>
        </w:rPr>
        <w:t>(step</w:t>
      </w:r>
      <w:r>
        <w:rPr>
          <w:color w:val="231F20"/>
          <w:spacing w:val="-11"/>
          <w:w w:val="105"/>
        </w:rPr>
        <w:t> </w:t>
      </w:r>
      <w:r>
        <w:rPr>
          <w:color w:val="231F20"/>
          <w:w w:val="105"/>
        </w:rPr>
        <w:t>6),</w:t>
      </w:r>
      <w:r>
        <w:rPr>
          <w:color w:val="231F20"/>
          <w:spacing w:val="-11"/>
          <w:w w:val="105"/>
        </w:rPr>
        <w:t> </w:t>
      </w:r>
      <w:r>
        <w:rPr>
          <w:color w:val="231F20"/>
          <w:w w:val="105"/>
        </w:rPr>
        <w:t>and</w:t>
      </w:r>
      <w:r>
        <w:rPr>
          <w:color w:val="231F20"/>
          <w:spacing w:val="-11"/>
          <w:w w:val="105"/>
        </w:rPr>
        <w:t> </w:t>
      </w:r>
      <w:r>
        <w:rPr>
          <w:color w:val="231F20"/>
          <w:w w:val="105"/>
        </w:rPr>
        <w:t>as</w:t>
      </w:r>
      <w:r>
        <w:rPr>
          <w:color w:val="231F20"/>
          <w:spacing w:val="-11"/>
          <w:w w:val="105"/>
        </w:rPr>
        <w:t> </w:t>
      </w:r>
      <w:r>
        <w:rPr>
          <w:color w:val="231F20"/>
          <w:w w:val="105"/>
        </w:rPr>
        <w:t>the</w:t>
      </w:r>
      <w:r>
        <w:rPr>
          <w:color w:val="231F20"/>
          <w:spacing w:val="-11"/>
          <w:w w:val="105"/>
        </w:rPr>
        <w:t> </w:t>
      </w:r>
      <w:r>
        <w:rPr>
          <w:color w:val="231F20"/>
          <w:w w:val="105"/>
        </w:rPr>
        <w:t>hyperosmotic</w:t>
      </w:r>
      <w:r>
        <w:rPr>
          <w:color w:val="231F20"/>
          <w:spacing w:val="-11"/>
          <w:w w:val="105"/>
        </w:rPr>
        <w:t> </w:t>
      </w:r>
      <w:r>
        <w:rPr>
          <w:color w:val="231F20"/>
          <w:w w:val="105"/>
        </w:rPr>
        <w:t>tubular</w:t>
      </w:r>
      <w:r>
        <w:rPr>
          <w:color w:val="231F20"/>
          <w:spacing w:val="-11"/>
          <w:w w:val="105"/>
        </w:rPr>
        <w:t> </w:t>
      </w:r>
      <w:r>
        <w:rPr>
          <w:color w:val="231F20"/>
          <w:w w:val="105"/>
        </w:rPr>
        <w:t>fluid</w:t>
      </w:r>
      <w:r>
        <w:rPr>
          <w:color w:val="231F20"/>
          <w:spacing w:val="-11"/>
          <w:w w:val="105"/>
        </w:rPr>
        <w:t> </w:t>
      </w:r>
      <w:r>
        <w:rPr>
          <w:color w:val="231F20"/>
          <w:spacing w:val="-4"/>
          <w:w w:val="105"/>
        </w:rPr>
        <w:t>from </w:t>
      </w:r>
      <w:r>
        <w:rPr>
          <w:color w:val="231F20"/>
          <w:w w:val="105"/>
        </w:rPr>
        <w:t>the descending limb of the loop of Henle flows into the ascending</w:t>
      </w:r>
      <w:r>
        <w:rPr>
          <w:color w:val="231F20"/>
          <w:spacing w:val="-18"/>
          <w:w w:val="105"/>
        </w:rPr>
        <w:t> </w:t>
      </w:r>
      <w:r>
        <w:rPr>
          <w:color w:val="231F20"/>
          <w:w w:val="105"/>
        </w:rPr>
        <w:t>limb,</w:t>
      </w:r>
      <w:r>
        <w:rPr>
          <w:color w:val="231F20"/>
          <w:spacing w:val="-17"/>
          <w:w w:val="105"/>
        </w:rPr>
        <w:t> </w:t>
      </w:r>
      <w:r>
        <w:rPr>
          <w:color w:val="231F20"/>
          <w:w w:val="105"/>
        </w:rPr>
        <w:t>still</w:t>
      </w:r>
      <w:r>
        <w:rPr>
          <w:color w:val="231F20"/>
          <w:spacing w:val="-17"/>
          <w:w w:val="105"/>
        </w:rPr>
        <w:t> </w:t>
      </w:r>
      <w:r>
        <w:rPr>
          <w:color w:val="231F20"/>
          <w:w w:val="105"/>
        </w:rPr>
        <w:t>more</w:t>
      </w:r>
      <w:r>
        <w:rPr>
          <w:color w:val="231F20"/>
          <w:spacing w:val="-17"/>
          <w:w w:val="105"/>
        </w:rPr>
        <w:t> </w:t>
      </w:r>
      <w:r>
        <w:rPr>
          <w:color w:val="231F20"/>
          <w:w w:val="105"/>
        </w:rPr>
        <w:t>solute</w:t>
      </w:r>
      <w:r>
        <w:rPr>
          <w:color w:val="231F20"/>
          <w:spacing w:val="-17"/>
          <w:w w:val="105"/>
        </w:rPr>
        <w:t> </w:t>
      </w:r>
      <w:r>
        <w:rPr>
          <w:color w:val="231F20"/>
          <w:w w:val="105"/>
        </w:rPr>
        <w:t>is</w:t>
      </w:r>
      <w:r>
        <w:rPr>
          <w:color w:val="231F20"/>
          <w:spacing w:val="-17"/>
          <w:w w:val="105"/>
        </w:rPr>
        <w:t> </w:t>
      </w:r>
      <w:r>
        <w:rPr>
          <w:color w:val="231F20"/>
          <w:w w:val="105"/>
        </w:rPr>
        <w:t>continuously</w:t>
      </w:r>
      <w:r>
        <w:rPr>
          <w:color w:val="231F20"/>
          <w:spacing w:val="-17"/>
          <w:w w:val="105"/>
        </w:rPr>
        <w:t> </w:t>
      </w:r>
      <w:r>
        <w:rPr>
          <w:color w:val="231F20"/>
          <w:w w:val="105"/>
        </w:rPr>
        <w:t>pumped out of the tubules and deposited into the</w:t>
      </w:r>
      <w:r>
        <w:rPr>
          <w:color w:val="231F20"/>
          <w:spacing w:val="34"/>
          <w:w w:val="105"/>
        </w:rPr>
        <w:t> </w:t>
      </w:r>
      <w:r>
        <w:rPr>
          <w:color w:val="231F20"/>
          <w:w w:val="105"/>
        </w:rPr>
        <w:t>medullary interstitium.</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776"/>
          <w:footerReference w:type="even" r:id="rId777"/>
          <w:footerReference w:type="default" r:id="rId778"/>
          <w:pgSz w:w="12240" w:h="15660"/>
          <w:pgMar w:header="0" w:footer="567" w:top="720" w:bottom="760" w:left="0" w:right="0"/>
          <w:pgNumType w:start="376"/>
        </w:sectPr>
      </w:pPr>
    </w:p>
    <w:p>
      <w:pPr>
        <w:spacing w:line="249" w:lineRule="auto" w:before="99"/>
        <w:ind w:left="1080" w:right="0" w:firstLine="240"/>
        <w:jc w:val="both"/>
        <w:rPr>
          <w:sz w:val="20"/>
        </w:rPr>
      </w:pPr>
      <w:r>
        <w:rPr>
          <w:color w:val="231F20"/>
          <w:sz w:val="20"/>
        </w:rPr>
        <w:t>These steps are repeated over and </w:t>
      </w:r>
      <w:r>
        <w:rPr>
          <w:color w:val="231F20"/>
          <w:spacing w:val="-4"/>
          <w:sz w:val="20"/>
        </w:rPr>
        <w:t>over, </w:t>
      </w:r>
      <w:r>
        <w:rPr>
          <w:color w:val="231F20"/>
          <w:sz w:val="20"/>
        </w:rPr>
        <w:t>with the </w:t>
      </w:r>
      <w:r>
        <w:rPr>
          <w:color w:val="231F20"/>
          <w:spacing w:val="-5"/>
          <w:sz w:val="20"/>
        </w:rPr>
        <w:t>net </w:t>
      </w:r>
      <w:r>
        <w:rPr>
          <w:color w:val="231F20"/>
          <w:sz w:val="20"/>
        </w:rPr>
        <w:t>effect of adding more and more solute to the medulla </w:t>
      </w:r>
      <w:r>
        <w:rPr>
          <w:color w:val="231F20"/>
          <w:spacing w:val="-7"/>
          <w:sz w:val="20"/>
        </w:rPr>
        <w:t>in </w:t>
      </w:r>
      <w:r>
        <w:rPr>
          <w:color w:val="231F20"/>
          <w:sz w:val="20"/>
        </w:rPr>
        <w:t>excess</w:t>
      </w:r>
      <w:r>
        <w:rPr>
          <w:color w:val="231F20"/>
          <w:spacing w:val="-15"/>
          <w:sz w:val="20"/>
        </w:rPr>
        <w:t> </w:t>
      </w:r>
      <w:r>
        <w:rPr>
          <w:color w:val="231F20"/>
          <w:sz w:val="20"/>
        </w:rPr>
        <w:t>of</w:t>
      </w:r>
      <w:r>
        <w:rPr>
          <w:color w:val="231F20"/>
          <w:spacing w:val="-14"/>
          <w:sz w:val="20"/>
        </w:rPr>
        <w:t> </w:t>
      </w:r>
      <w:r>
        <w:rPr>
          <w:color w:val="231F20"/>
          <w:sz w:val="20"/>
        </w:rPr>
        <w:t>water;</w:t>
      </w:r>
      <w:r>
        <w:rPr>
          <w:color w:val="231F20"/>
          <w:spacing w:val="-14"/>
          <w:sz w:val="20"/>
        </w:rPr>
        <w:t> </w:t>
      </w:r>
      <w:r>
        <w:rPr>
          <w:color w:val="231F20"/>
          <w:sz w:val="20"/>
        </w:rPr>
        <w:t>with</w:t>
      </w:r>
      <w:r>
        <w:rPr>
          <w:color w:val="231F20"/>
          <w:spacing w:val="-14"/>
          <w:sz w:val="20"/>
        </w:rPr>
        <w:t> </w:t>
      </w:r>
      <w:r>
        <w:rPr>
          <w:color w:val="231F20"/>
          <w:sz w:val="20"/>
        </w:rPr>
        <w:t>sufficient</w:t>
      </w:r>
      <w:r>
        <w:rPr>
          <w:color w:val="231F20"/>
          <w:spacing w:val="-14"/>
          <w:sz w:val="20"/>
        </w:rPr>
        <w:t> </w:t>
      </w:r>
      <w:r>
        <w:rPr>
          <w:color w:val="231F20"/>
          <w:sz w:val="20"/>
        </w:rPr>
        <w:t>time,</w:t>
      </w:r>
      <w:r>
        <w:rPr>
          <w:color w:val="231F20"/>
          <w:spacing w:val="-15"/>
          <w:sz w:val="20"/>
        </w:rPr>
        <w:t> </w:t>
      </w:r>
      <w:r>
        <w:rPr>
          <w:i/>
          <w:color w:val="231F20"/>
          <w:sz w:val="20"/>
        </w:rPr>
        <w:t>this</w:t>
      </w:r>
      <w:r>
        <w:rPr>
          <w:i/>
          <w:color w:val="231F20"/>
          <w:spacing w:val="-14"/>
          <w:sz w:val="20"/>
        </w:rPr>
        <w:t> </w:t>
      </w:r>
      <w:r>
        <w:rPr>
          <w:i/>
          <w:color w:val="231F20"/>
          <w:sz w:val="20"/>
        </w:rPr>
        <w:t>process</w:t>
      </w:r>
      <w:r>
        <w:rPr>
          <w:i/>
          <w:color w:val="231F20"/>
          <w:spacing w:val="-14"/>
          <w:sz w:val="20"/>
        </w:rPr>
        <w:t> </w:t>
      </w:r>
      <w:r>
        <w:rPr>
          <w:i/>
          <w:color w:val="231F20"/>
          <w:sz w:val="20"/>
        </w:rPr>
        <w:t>gradually </w:t>
      </w:r>
      <w:r>
        <w:rPr>
          <w:i/>
          <w:color w:val="231F20"/>
          <w:sz w:val="20"/>
        </w:rPr>
        <w:t>traps solutes in the medulla and multiplies the </w:t>
      </w:r>
      <w:r>
        <w:rPr>
          <w:i/>
          <w:color w:val="231F20"/>
          <w:spacing w:val="-3"/>
          <w:sz w:val="20"/>
        </w:rPr>
        <w:t>concentra- </w:t>
      </w:r>
      <w:r>
        <w:rPr>
          <w:i/>
          <w:color w:val="231F20"/>
          <w:sz w:val="20"/>
        </w:rPr>
        <w:t>tion gradient established by the active pumping of ions</w:t>
      </w:r>
      <w:r>
        <w:rPr>
          <w:i/>
          <w:color w:val="231F20"/>
          <w:spacing w:val="-23"/>
          <w:sz w:val="20"/>
        </w:rPr>
        <w:t> </w:t>
      </w:r>
      <w:r>
        <w:rPr>
          <w:i/>
          <w:color w:val="231F20"/>
          <w:spacing w:val="-4"/>
          <w:sz w:val="20"/>
        </w:rPr>
        <w:t>out </w:t>
      </w:r>
      <w:r>
        <w:rPr>
          <w:i/>
          <w:color w:val="231F20"/>
          <w:sz w:val="20"/>
        </w:rPr>
        <w:t>of</w:t>
      </w:r>
      <w:r>
        <w:rPr>
          <w:i/>
          <w:color w:val="231F20"/>
          <w:spacing w:val="-5"/>
          <w:sz w:val="20"/>
        </w:rPr>
        <w:t> </w:t>
      </w:r>
      <w:r>
        <w:rPr>
          <w:i/>
          <w:color w:val="231F20"/>
          <w:sz w:val="20"/>
        </w:rPr>
        <w:t>the</w:t>
      </w:r>
      <w:r>
        <w:rPr>
          <w:i/>
          <w:color w:val="231F20"/>
          <w:spacing w:val="-5"/>
          <w:sz w:val="20"/>
        </w:rPr>
        <w:t> </w:t>
      </w:r>
      <w:r>
        <w:rPr>
          <w:i/>
          <w:color w:val="231F20"/>
          <w:sz w:val="20"/>
        </w:rPr>
        <w:t>thick</w:t>
      </w:r>
      <w:r>
        <w:rPr>
          <w:i/>
          <w:color w:val="231F20"/>
          <w:spacing w:val="-5"/>
          <w:sz w:val="20"/>
        </w:rPr>
        <w:t> </w:t>
      </w:r>
      <w:r>
        <w:rPr>
          <w:i/>
          <w:color w:val="231F20"/>
          <w:sz w:val="20"/>
        </w:rPr>
        <w:t>ascending</w:t>
      </w:r>
      <w:r>
        <w:rPr>
          <w:i/>
          <w:color w:val="231F20"/>
          <w:spacing w:val="-5"/>
          <w:sz w:val="20"/>
        </w:rPr>
        <w:t> </w:t>
      </w:r>
      <w:r>
        <w:rPr>
          <w:i/>
          <w:color w:val="231F20"/>
          <w:sz w:val="20"/>
        </w:rPr>
        <w:t>loop</w:t>
      </w:r>
      <w:r>
        <w:rPr>
          <w:i/>
          <w:color w:val="231F20"/>
          <w:spacing w:val="-4"/>
          <w:sz w:val="20"/>
        </w:rPr>
        <w:t> </w:t>
      </w:r>
      <w:r>
        <w:rPr>
          <w:i/>
          <w:color w:val="231F20"/>
          <w:sz w:val="20"/>
        </w:rPr>
        <w:t>of</w:t>
      </w:r>
      <w:r>
        <w:rPr>
          <w:i/>
          <w:color w:val="231F20"/>
          <w:spacing w:val="-5"/>
          <w:sz w:val="20"/>
        </w:rPr>
        <w:t> </w:t>
      </w:r>
      <w:r>
        <w:rPr>
          <w:i/>
          <w:color w:val="231F20"/>
          <w:sz w:val="20"/>
        </w:rPr>
        <w:t>Henle</w:t>
      </w:r>
      <w:r>
        <w:rPr>
          <w:color w:val="231F20"/>
          <w:sz w:val="20"/>
        </w:rPr>
        <w:t>,</w:t>
      </w:r>
      <w:r>
        <w:rPr>
          <w:color w:val="231F20"/>
          <w:spacing w:val="-5"/>
          <w:sz w:val="20"/>
        </w:rPr>
        <w:t> </w:t>
      </w:r>
      <w:r>
        <w:rPr>
          <w:i/>
          <w:color w:val="231F20"/>
          <w:sz w:val="20"/>
        </w:rPr>
        <w:t>eventually</w:t>
      </w:r>
      <w:r>
        <w:rPr>
          <w:i/>
          <w:color w:val="231F20"/>
          <w:spacing w:val="-5"/>
          <w:sz w:val="20"/>
        </w:rPr>
        <w:t> </w:t>
      </w:r>
      <w:r>
        <w:rPr>
          <w:i/>
          <w:color w:val="231F20"/>
          <w:sz w:val="20"/>
        </w:rPr>
        <w:t>raising</w:t>
      </w:r>
      <w:r>
        <w:rPr>
          <w:i/>
          <w:color w:val="231F20"/>
          <w:spacing w:val="-4"/>
          <w:sz w:val="20"/>
        </w:rPr>
        <w:t> </w:t>
      </w:r>
      <w:r>
        <w:rPr>
          <w:i/>
          <w:color w:val="231F20"/>
          <w:spacing w:val="-5"/>
          <w:sz w:val="20"/>
        </w:rPr>
        <w:t>the </w:t>
      </w:r>
      <w:r>
        <w:rPr>
          <w:i/>
          <w:color w:val="231F20"/>
          <w:sz w:val="20"/>
        </w:rPr>
        <w:t>interstitial fluid osmolarity to 1200 to 1400 mOsm/L, </w:t>
      </w:r>
      <w:r>
        <w:rPr>
          <w:i/>
          <w:color w:val="231F20"/>
          <w:spacing w:val="-5"/>
          <w:sz w:val="20"/>
        </w:rPr>
        <w:t>as </w:t>
      </w:r>
      <w:r>
        <w:rPr>
          <w:i/>
          <w:color w:val="231F20"/>
          <w:sz w:val="20"/>
        </w:rPr>
        <w:t>shown in step</w:t>
      </w:r>
      <w:r>
        <w:rPr>
          <w:i/>
          <w:color w:val="231F20"/>
          <w:spacing w:val="17"/>
          <w:sz w:val="20"/>
        </w:rPr>
        <w:t> </w:t>
      </w:r>
      <w:r>
        <w:rPr>
          <w:i/>
          <w:color w:val="231F20"/>
          <w:sz w:val="20"/>
        </w:rPr>
        <w:t>7</w:t>
      </w:r>
      <w:r>
        <w:rPr>
          <w:color w:val="231F20"/>
          <w:sz w:val="20"/>
        </w:rPr>
        <w:t>.</w:t>
      </w:r>
    </w:p>
    <w:p>
      <w:pPr>
        <w:pStyle w:val="BodyText"/>
        <w:spacing w:line="249" w:lineRule="auto" w:before="7"/>
        <w:ind w:left="1079" w:firstLine="240"/>
        <w:jc w:val="both"/>
      </w:pPr>
      <w:r>
        <w:rPr/>
        <w:pict>
          <v:rect style="position:absolute;margin-left:0pt;margin-top:44.336021pt;width:36pt;height:24pt;mso-position-horizontal-relative:page;mso-position-vertical-relative:paragraph;z-index:252416000" filled="true" fillcolor="#e8dac8" stroked="false">
            <v:fill type="solid"/>
            <w10:wrap type="none"/>
          </v:rect>
        </w:pict>
      </w:r>
      <w:r>
        <w:rPr>
          <w:color w:val="231F20"/>
        </w:rPr>
        <w:t>Thus, the repetitive reabsorption of  sodium  </w:t>
      </w:r>
      <w:r>
        <w:rPr>
          <w:color w:val="231F20"/>
          <w:spacing w:val="-3"/>
        </w:rPr>
        <w:t>chloride </w:t>
      </w:r>
      <w:r>
        <w:rPr>
          <w:color w:val="231F20"/>
        </w:rPr>
        <w:t>by</w:t>
      </w:r>
      <w:r>
        <w:rPr>
          <w:color w:val="231F20"/>
          <w:spacing w:val="-5"/>
        </w:rPr>
        <w:t> </w:t>
      </w:r>
      <w:r>
        <w:rPr>
          <w:color w:val="231F20"/>
        </w:rPr>
        <w:t>the</w:t>
      </w:r>
      <w:r>
        <w:rPr>
          <w:color w:val="231F20"/>
          <w:spacing w:val="-4"/>
        </w:rPr>
        <w:t> </w:t>
      </w:r>
      <w:r>
        <w:rPr>
          <w:color w:val="231F20"/>
        </w:rPr>
        <w:t>thick</w:t>
      </w:r>
      <w:r>
        <w:rPr>
          <w:color w:val="231F20"/>
          <w:spacing w:val="-4"/>
        </w:rPr>
        <w:t> </w:t>
      </w:r>
      <w:r>
        <w:rPr>
          <w:color w:val="231F20"/>
        </w:rPr>
        <w:t>ascending</w:t>
      </w:r>
      <w:r>
        <w:rPr>
          <w:color w:val="231F20"/>
          <w:spacing w:val="-4"/>
        </w:rPr>
        <w:t> </w:t>
      </w:r>
      <w:r>
        <w:rPr>
          <w:color w:val="231F20"/>
        </w:rPr>
        <w:t>loop</w:t>
      </w:r>
      <w:r>
        <w:rPr>
          <w:color w:val="231F20"/>
          <w:spacing w:val="-4"/>
        </w:rPr>
        <w:t> </w:t>
      </w:r>
      <w:r>
        <w:rPr>
          <w:color w:val="231F20"/>
        </w:rPr>
        <w:t>of</w:t>
      </w:r>
      <w:r>
        <w:rPr>
          <w:color w:val="231F20"/>
          <w:spacing w:val="-4"/>
        </w:rPr>
        <w:t> </w:t>
      </w:r>
      <w:r>
        <w:rPr>
          <w:color w:val="231F20"/>
        </w:rPr>
        <w:t>Henle</w:t>
      </w:r>
      <w:r>
        <w:rPr>
          <w:color w:val="231F20"/>
          <w:spacing w:val="-4"/>
        </w:rPr>
        <w:t> </w:t>
      </w:r>
      <w:r>
        <w:rPr>
          <w:color w:val="231F20"/>
        </w:rPr>
        <w:t>and</w:t>
      </w:r>
      <w:r>
        <w:rPr>
          <w:color w:val="231F20"/>
          <w:spacing w:val="-4"/>
        </w:rPr>
        <w:t> </w:t>
      </w:r>
      <w:r>
        <w:rPr>
          <w:color w:val="231F20"/>
        </w:rPr>
        <w:t>continued</w:t>
      </w:r>
      <w:r>
        <w:rPr>
          <w:color w:val="231F20"/>
          <w:spacing w:val="-4"/>
        </w:rPr>
        <w:t> </w:t>
      </w:r>
      <w:r>
        <w:rPr>
          <w:color w:val="231F20"/>
        </w:rPr>
        <w:t>inflow of new sodium chloride from the proximal tubule </w:t>
      </w:r>
      <w:r>
        <w:rPr>
          <w:color w:val="231F20"/>
          <w:spacing w:val="-5"/>
        </w:rPr>
        <w:t>into    </w:t>
      </w:r>
      <w:r>
        <w:rPr>
          <w:color w:val="231F20"/>
        </w:rPr>
        <w:t>the loop of Henle is called the </w:t>
      </w:r>
      <w:r>
        <w:rPr>
          <w:i/>
          <w:color w:val="231F20"/>
        </w:rPr>
        <w:t>countercurrent multiplier</w:t>
      </w:r>
      <w:r>
        <w:rPr>
          <w:color w:val="231F20"/>
        </w:rPr>
        <w:t>. The sodium chloride reabsorbed from the ascending loop of Henle keeps adding to the newly arrived sodium chlo­ ride, thus “multiplying” its concentration in the medullary interstitium.</w:t>
      </w:r>
    </w:p>
    <w:p>
      <w:pPr>
        <w:pStyle w:val="BodyText"/>
        <w:spacing w:before="3"/>
        <w:rPr>
          <w:sz w:val="31"/>
        </w:rPr>
      </w:pPr>
    </w:p>
    <w:p>
      <w:pPr>
        <w:pStyle w:val="Heading2"/>
        <w:spacing w:line="225" w:lineRule="auto"/>
        <w:ind w:left="1080" w:right="1086"/>
      </w:pPr>
      <w:r>
        <w:rPr>
          <w:color w:val="231F20"/>
          <w:w w:val="105"/>
        </w:rPr>
        <w:t>ROLE OF </w:t>
      </w:r>
      <w:r>
        <w:rPr>
          <w:color w:val="231F20"/>
          <w:spacing w:val="-3"/>
          <w:w w:val="105"/>
        </w:rPr>
        <w:t>DISTAL </w:t>
      </w:r>
      <w:r>
        <w:rPr>
          <w:color w:val="231F20"/>
          <w:w w:val="105"/>
        </w:rPr>
        <w:t>TUBULE AND COLLECTING</w:t>
      </w:r>
      <w:r>
        <w:rPr>
          <w:color w:val="231F20"/>
          <w:spacing w:val="-35"/>
          <w:w w:val="105"/>
        </w:rPr>
        <w:t> </w:t>
      </w:r>
      <w:r>
        <w:rPr>
          <w:color w:val="231F20"/>
          <w:w w:val="105"/>
        </w:rPr>
        <w:t>DUCTS</w:t>
      </w:r>
      <w:r>
        <w:rPr>
          <w:color w:val="231F20"/>
          <w:spacing w:val="-35"/>
          <w:w w:val="105"/>
        </w:rPr>
        <w:t> </w:t>
      </w:r>
      <w:r>
        <w:rPr>
          <w:color w:val="231F20"/>
          <w:w w:val="105"/>
        </w:rPr>
        <w:t>IN</w:t>
      </w:r>
      <w:r>
        <w:rPr>
          <w:color w:val="231F20"/>
          <w:spacing w:val="-34"/>
          <w:w w:val="105"/>
        </w:rPr>
        <w:t> </w:t>
      </w:r>
      <w:r>
        <w:rPr>
          <w:color w:val="231F20"/>
          <w:w w:val="105"/>
        </w:rPr>
        <w:t>EXCRETING CONCENTRATED</w:t>
      </w:r>
      <w:r>
        <w:rPr>
          <w:color w:val="231F20"/>
          <w:spacing w:val="-1"/>
          <w:w w:val="105"/>
        </w:rPr>
        <w:t> </w:t>
      </w:r>
      <w:r>
        <w:rPr>
          <w:color w:val="231F20"/>
          <w:w w:val="105"/>
        </w:rPr>
        <w:t>URINE</w:t>
      </w:r>
    </w:p>
    <w:p>
      <w:pPr>
        <w:pStyle w:val="BodyText"/>
        <w:spacing w:line="249" w:lineRule="auto" w:before="127"/>
        <w:ind w:left="1080"/>
        <w:jc w:val="both"/>
      </w:pPr>
      <w:r>
        <w:rPr>
          <w:color w:val="231F20"/>
          <w:w w:val="105"/>
        </w:rPr>
        <w:t>When the tubular fluid leaves the loop of Henle and flows into the distal convoluted tubule in the renal </w:t>
      </w:r>
      <w:r>
        <w:rPr>
          <w:color w:val="231F20"/>
          <w:spacing w:val="-6"/>
          <w:w w:val="105"/>
        </w:rPr>
        <w:t>cor­ </w:t>
      </w:r>
      <w:r>
        <w:rPr>
          <w:color w:val="231F20"/>
          <w:w w:val="105"/>
        </w:rPr>
        <w:t>tex, the fluid is dilute, with an osmolarity of only about 100 mOsm/L (</w:t>
      </w:r>
      <w:hyperlink w:history="true" w:anchor="_bookmark71">
        <w:r>
          <w:rPr>
            <w:b/>
            <w:color w:val="0080AC"/>
            <w:w w:val="105"/>
          </w:rPr>
          <w:t>Figure 29-5</w:t>
        </w:r>
      </w:hyperlink>
      <w:r>
        <w:rPr>
          <w:color w:val="231F20"/>
          <w:w w:val="105"/>
        </w:rPr>
        <w:t>). The early distal tubule </w:t>
      </w:r>
      <w:r>
        <w:rPr>
          <w:color w:val="231F20"/>
          <w:spacing w:val="-6"/>
          <w:w w:val="105"/>
        </w:rPr>
        <w:t>fur­ </w:t>
      </w:r>
      <w:r>
        <w:rPr>
          <w:color w:val="231F20"/>
          <w:w w:val="105"/>
        </w:rPr>
        <w:t>ther dilutes the tubular fluid because this segment, </w:t>
      </w:r>
      <w:r>
        <w:rPr>
          <w:color w:val="231F20"/>
          <w:spacing w:val="-5"/>
          <w:w w:val="105"/>
        </w:rPr>
        <w:t>like </w:t>
      </w:r>
      <w:r>
        <w:rPr>
          <w:color w:val="231F20"/>
          <w:w w:val="105"/>
        </w:rPr>
        <w:t>the ascending loop of Henle, actively transports </w:t>
      </w:r>
      <w:r>
        <w:rPr>
          <w:color w:val="231F20"/>
          <w:spacing w:val="-3"/>
          <w:w w:val="105"/>
        </w:rPr>
        <w:t>sodium </w:t>
      </w:r>
      <w:r>
        <w:rPr>
          <w:color w:val="231F20"/>
          <w:w w:val="105"/>
        </w:rPr>
        <w:t>chloride</w:t>
      </w:r>
      <w:r>
        <w:rPr>
          <w:color w:val="231F20"/>
          <w:spacing w:val="-20"/>
          <w:w w:val="105"/>
        </w:rPr>
        <w:t> </w:t>
      </w:r>
      <w:r>
        <w:rPr>
          <w:color w:val="231F20"/>
          <w:w w:val="105"/>
        </w:rPr>
        <w:t>out</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tubule</w:t>
      </w:r>
      <w:r>
        <w:rPr>
          <w:color w:val="231F20"/>
          <w:spacing w:val="-20"/>
          <w:w w:val="105"/>
        </w:rPr>
        <w:t> </w:t>
      </w:r>
      <w:r>
        <w:rPr>
          <w:color w:val="231F20"/>
          <w:w w:val="105"/>
        </w:rPr>
        <w:t>but</w:t>
      </w:r>
      <w:r>
        <w:rPr>
          <w:color w:val="231F20"/>
          <w:spacing w:val="-19"/>
          <w:w w:val="105"/>
        </w:rPr>
        <w:t> </w:t>
      </w:r>
      <w:r>
        <w:rPr>
          <w:color w:val="231F20"/>
          <w:w w:val="105"/>
        </w:rPr>
        <w:t>is</w:t>
      </w:r>
      <w:r>
        <w:rPr>
          <w:color w:val="231F20"/>
          <w:spacing w:val="-20"/>
          <w:w w:val="105"/>
        </w:rPr>
        <w:t> </w:t>
      </w:r>
      <w:r>
        <w:rPr>
          <w:color w:val="231F20"/>
          <w:w w:val="105"/>
        </w:rPr>
        <w:t>relatively</w:t>
      </w:r>
      <w:r>
        <w:rPr>
          <w:color w:val="231F20"/>
          <w:spacing w:val="-19"/>
          <w:w w:val="105"/>
        </w:rPr>
        <w:t> </w:t>
      </w:r>
      <w:r>
        <w:rPr>
          <w:color w:val="231F20"/>
          <w:w w:val="105"/>
        </w:rPr>
        <w:t>impermeable</w:t>
      </w:r>
      <w:r>
        <w:rPr>
          <w:color w:val="231F20"/>
          <w:spacing w:val="-20"/>
          <w:w w:val="105"/>
        </w:rPr>
        <w:t> </w:t>
      </w:r>
      <w:r>
        <w:rPr>
          <w:color w:val="231F20"/>
          <w:w w:val="105"/>
        </w:rPr>
        <w:t>to </w:t>
      </w:r>
      <w:r>
        <w:rPr>
          <w:color w:val="231F20"/>
          <w:spacing w:val="-3"/>
          <w:w w:val="105"/>
        </w:rPr>
        <w:t>water.</w:t>
      </w:r>
    </w:p>
    <w:p>
      <w:pPr>
        <w:pStyle w:val="BodyText"/>
        <w:spacing w:line="249" w:lineRule="auto" w:before="6"/>
        <w:ind w:left="1080" w:firstLine="240"/>
        <w:jc w:val="both"/>
      </w:pPr>
      <w:r>
        <w:rPr/>
        <w:pict>
          <v:group style="position:absolute;margin-left:56.852592pt;margin-top:83.806030pt;width:228.35pt;height:177.95pt;mso-position-horizontal-relative:page;mso-position-vertical-relative:paragraph;z-index:252427264" coordorigin="1137,1676" coordsize="4567,3559">
            <v:shape style="position:absolute;left:1148;top:1734;width:4298;height:3320" coordorigin="1148,1735" coordsize="4298,3320" path="m4547,3335l4441,3595,4513,3615,4589,3655,4663,3715,4730,3775,4784,3835,4820,3895,4832,3935,4833,3935,4833,5055,5164,5055,5164,3495,4833,3495,4738,3435,4652,3375,4585,3355,4547,3335xm3205,2495l2846,2495,2862,2515,2881,2555,2896,2635,2902,2715,2902,3375,2909,3415,2929,3455,2960,3495,2999,3515,2999,4495,3005,4575,3022,4635,3049,4695,3085,4755,3129,4815,3181,4855,3239,4895,3303,4935,3371,4955,3517,4955,3586,4935,3651,4895,3711,4875,3764,4815,3373,4815,3308,4775,3251,4755,3203,4695,3167,4635,3144,4575,3136,4495,3136,3515,3175,3495,3206,3455,3226,3415,3233,3375,3233,2715,3225,2595,3205,2495xm3994,2535l3662,2535,3663,2555,3663,3715,3670,3775,3690,3815,3721,3855,3760,3875,3760,4495,3752,4575,3728,4635,3690,4695,3641,4755,3582,4775,3516,4815,3764,4815,3809,4775,3846,4715,3873,4635,3891,4575,3897,4495,3897,3875,3936,3855,3967,3815,3987,3775,3994,3715,3994,2535xm5151,2455l4809,2455,4820,2495,4829,2535,4833,2595,4833,3495,5164,3495,5164,3475,5165,3475,5180,3375,5218,3275,5272,3215,5330,3155,5385,3115,5426,3095,5445,3075,5384,2935,5164,2935,5164,2595,5162,2535,5156,2475,5151,2455xm5341,2835l5322,2835,5283,2855,5229,2895,5164,2935,5384,2935,5341,2835xm1294,1915l1247,1935,1214,1955,1176,2015,1151,2055,1148,2095,1159,2135,1179,2155,1436,2155,1504,2195,1557,2235,1592,2295,1605,2375,1592,2455,1557,2515,1504,2555,1436,2595,1179,2595,1159,2615,1148,2655,1152,2695,1176,2735,1234,2795,1299,2815,1453,2815,1527,2795,1595,2755,1656,2715,1709,2655,1753,2615,1787,2535,1963,2535,2026,2515,2091,2495,2131,2475,3201,2475,3166,2375,3125,2315,3079,2255,3035,2215,1801,2215,1786,2195,1752,2135,1707,2075,1654,2035,1593,1995,1525,1955,1452,1935,1374,1935,1294,1915xm3201,2475l2221,2475,2311,2515,2395,2535,2471,2555,2591,2555,2638,2535,2683,2535,2724,2515,2762,2515,2794,2495,3205,2495,3201,2475xm5112,1735l5095,1755,5060,1795,5013,1855,4961,1955,4911,2055,4895,2075,4874,2095,4851,2115,4104,2115,4017,2135,3939,2155,3870,2195,3809,2235,3757,2275,3708,2355,3679,2415,3665,2475,3662,2535,3993,2535,3993,2515,3994,2515,4008,2495,4025,2475,4059,2475,4116,2455,5151,2455,5146,2435,5133,2375,5129,2355,5127,2335,5129,2315,5131,2295,5163,2175,5207,2075,5252,1995,5287,1955,5302,1935,5112,1735xm3993,2515l3993,2515,3993,2535,3993,2515xm2225,2135l2144,2135,1970,2175,1930,2195,1898,2215,2451,2215,2413,2195,2374,2175,2302,2155,2225,2135xm2962,2175l2697,2175,2633,2195,2607,2195,2582,2215,3035,2215,2994,2195,2962,2175xm2853,2155l2771,2175,2942,2175,2853,2155xe" filled="true" fillcolor="#fab018" stroked="false">
              <v:path arrowok="t"/>
              <v:fill type="solid"/>
            </v:shape>
            <v:shape style="position:absolute;left:1144;top:1910;width:2086;height:1599" coordorigin="1145,1911" coordsize="2086,1599" path="m3202,2482l2818,2482,2842,2483,2859,2504,2877,2547,2892,2613,2898,2708,2898,3358,2906,3406,2926,3449,2956,3484,2996,3509,3132,3509,3172,3484,3203,3449,3223,3406,3230,3358,3230,2708,3221,2572,3202,2482xm1212,2575l1175,2583,1156,2601,1145,2632,1148,2674,1173,2724,1230,2775,1296,2800,1349,2808,1371,2808,1450,2799,1523,2777,1591,2745,1652,2702,1705,2651,1749,2592,1752,2587,1346,2587,1337,2587,1329,2586,1294,2581,1253,2576,1212,2575xm1751,2132l1354,2132,1432,2144,1500,2176,1554,2225,1589,2288,1601,2360,1589,2432,1554,2494,1500,2544,1432,2576,1354,2587,1752,2587,1783,2526,1908,2526,1960,2519,2023,2502,2088,2478,2128,2465,2164,2458,3197,2458,3163,2370,3121,2300,3076,2248,3031,2210,3021,2204,2538,2204,2489,2203,2448,2198,2446,2197,1836,2197,1825,2197,1812,2195,1797,2194,1782,2191,1751,2132xm3197,2458l2194,2458,2217,2465,2308,2503,2391,2525,2468,2534,2538,2535,2588,2532,2635,2525,2679,2514,2759,2492,2791,2485,2818,2482,3202,2482,3198,2460,3197,2458xm1908,2526l1783,2526,1797,2527,1810,2528,1822,2529,1894,2528,1908,2526xm2849,2150l2768,2153,2694,2167,2630,2184,2603,2191,2579,2198,2556,2202,2538,2204,3021,2204,2991,2185,2959,2171,2938,2164,2849,2150xm2141,2128l2055,2142,1967,2170,1926,2185,1894,2194,1866,2197,1836,2197,2446,2197,2409,2188,2370,2170,2299,2142,2222,2128,2141,2128xm1291,1911l1244,1919,1211,1945,1173,1996,1148,2046,1145,2088,1156,2119,1175,2137,1212,2145,1253,2144,1293,2139,1328,2134,1337,2133,1345,2132,1751,2132,1748,2126,1704,2067,1651,2016,1590,1974,1522,1942,1449,1921,1370,1912,1291,1911xe" filled="true" fillcolor="#f2f0cb" stroked="false">
              <v:path arrowok="t"/>
              <v:fill type="solid"/>
            </v:shape>
            <v:shape style="position:absolute;left:1144;top:1911;width:2086;height:2211" type="#_x0000_t75" stroked="false">
              <v:imagedata r:id="rId779" o:title=""/>
            </v:shape>
            <v:shape style="position:absolute;left:4479;top:1722;width:819;height:1210" coordorigin="4480,1722" coordsize="819,1210" path="m4821,2103l4480,2103,4480,2435,4795,2435,4805,2449,4816,2476,4826,2519,4829,2581,4829,2932,5161,2920,5161,2581,5159,2520,5152,2465,5143,2414,5129,2368,5125,2341,5124,2316,5125,2295,5128,2275,5160,2153,5182,2103,4825,2103,4823,2103,4821,2103xm5108,1722l5092,1739,5056,1781,5009,1847,4957,1936,4908,2046,4892,2070,4871,2087,4848,2098,4825,2103,5182,2103,5204,2054,5249,1980,5284,1934,5299,1918,5108,1722xe" filled="true" fillcolor="#fde084" stroked="false">
              <v:path arrowok="t"/>
              <v:fill type="solid"/>
            </v:shape>
            <v:shape style="position:absolute;left:4437;top:2812;width:1004;height:2416" type="#_x0000_t75" stroked="false">
              <v:imagedata r:id="rId780" o:title=""/>
            </v:shape>
            <v:shape style="position:absolute;left:2936;top:2163;width:3;height:2" coordorigin="2936,2164" coordsize="3,1" path="m2939,2164l2939,2164,2939,2164,2939,2164xm2936,2164l2937,2164,2939,2164,2939,2164,2936,2164xe" filled="true" fillcolor="#ece8ab" stroked="false">
              <v:path arrowok="t"/>
              <v:fill type="solid"/>
            </v:shape>
            <v:shape style="position:absolute;left:-1791;top:7224;width:4298;height:3330" coordorigin="-1791,7225" coordsize="4298,3330" path="m2935,2163l2936,2163,2937,2164,2938,2164,2939,2164,2939,2164,2939,2164,2938,2164,2937,2164,2935,2163xm5161,5051l5161,3465,5161,3465,5176,3356,5215,3265,5268,3192,5327,3137,5381,3097,5423,3074,5442,3064,5337,2812,5319,2820,5280,2841,5225,2874,5161,2920,5161,2581,5159,2520,5152,2465,5143,2414,5129,2368,5125,2341,5124,2316,5125,2295,5128,2275,5160,2153,5204,2054,5249,1980,5284,1934,5299,1918,5108,1722,5092,1739,5056,1781,5009,1847,4957,1936,4908,2046,4892,2070,4871,2087,4848,2098,4825,2103,4823,2103,4821,2103,4820,2103,4195,2103,4100,2108,4014,2121,3935,2143,3866,2175,3806,2215,3754,2264,3704,2335,3675,2404,3662,2466,3658,2515,3658,2523,3659,2530,3659,2535,3659,3706,3666,3754,3686,3797,3717,3831,3757,3857,3757,4486,3748,4558,3724,4625,3687,4684,3638,4733,3579,4770,3512,4794,3440,4803,3369,4794,3305,4770,3248,4732,3200,4681,3164,4621,3141,4553,3132,4479,3132,3509,3172,3484,3203,3449,3223,3406,3230,3358,3230,2708,3221,2572,3198,2460,3163,2370,3121,2300,3076,2248,3031,2210,2991,2185,2959,2171,2938,2164,2849,2150,2768,2153,2694,2167,2630,2184,2603,2191,2579,2198,2556,2202,2538,2204,2489,2203,2448,2198,2409,2188,2370,2170,2299,2142,2222,2128,2141,2128,2055,2142,1967,2170,1926,2185,1894,2193,1866,2197,1836,2198,1825,2197,1812,2195,1797,2194,1782,2191,1748,2126,1704,2067,1651,2016,1590,1974,1522,1942,1448,1921,1370,1912,1291,1911,1244,1919,1211,1945,1173,1996,1148,2046,1145,2088,1156,2119,1175,2137,1212,2145,1253,2144,1293,2139,1328,2134,1337,2133,1345,2132,1354,2132,1432,2144,1500,2176,1554,2225,1589,2288,1601,2360,1589,2432,1554,2494,1500,2544,1432,2576,1354,2587,1346,2587,1337,2587,1329,2586,1294,2581,1253,2576,1212,2575,1175,2583,1156,2601,1145,2632,1148,2674,1173,2724,1230,2775,1296,2800,1349,2808,1371,2808,1450,2799,1523,2777,1591,2745,1652,2702,1705,2651,1749,2592,1783,2526,1797,2527,1810,2528,1822,2529,1894,2528,1960,2519,2023,2502,2088,2479,2128,2465,2164,2459,2194,2458,2217,2465,2308,2503,2391,2525,2468,2534,2538,2535,2588,2532,2635,2525,2679,2514,2721,2503,2759,2492,2791,2485,2818,2482,2842,2483,2859,2504,2877,2547,2892,2613,2898,2708,2898,3358,2906,3406,2926,3449,2956,3484,2996,3509,2996,4479,3002,4554,3019,4625,3046,4691,3082,4751,3126,4804,3178,4850,3236,4888,3300,4916,3368,4933,3440,4939,3513,4933,3583,4916,3648,4889,3707,4852,3760,4806,3806,4753,3842,4694,3870,4629,3887,4559,3893,4486,3893,3857,3933,3831,3963,3797,3983,3754,3991,3706,3991,2529,3991,2524,3990,2513,3989,2508,3990,2515,3990,2515,3990,2511,3991,2495,4005,2481,4022,2468,4056,2453,4112,2440,4195,2435,4795,2435,4805,2449,4816,2476,4826,2519,4829,2581,4829,3485,4735,3420,4649,3370,4582,3337,4544,3320,4438,3571,4510,3606,4586,3649,4660,3700,4726,3755,4781,3814,4817,3873,4829,3930,4829,3930,4829,5051e" filled="false" stroked="true" strokeweight=".75pt" strokecolor="#c8b12f">
              <v:path arrowok="t"/>
              <v:stroke dashstyle="solid"/>
            </v:shape>
            <v:shape style="position:absolute;left:0;top:7489;width:461;height:176" coordorigin="0,7490" coordsize="461,176" path="m4764,5227l4801,5180,4821,5121,4828,5072,4829,5051m5161,5051l5163,5123,5171,5164,5189,5193,5224,5224e" filled="false" stroked="true" strokeweight=".75pt" strokecolor="#e2874a">
              <v:path arrowok="t"/>
              <v:stroke dashstyle="solid"/>
            </v:shape>
            <v:line style="position:absolute" from="5704,3804" to="5461,3804" stroked="true" strokeweight=".75pt" strokecolor="#231f20">
              <v:stroke dashstyle="solid"/>
            </v:line>
            <v:shape style="position:absolute;left:3658;top:2103;width:827;height:1754" type="#_x0000_t75" stroked="false">
              <v:imagedata r:id="rId781" o:title=""/>
            </v:shape>
            <v:shape style="position:absolute;left:1144;top:1722;width:4298;height:3330" coordorigin="1145,1722" coordsize="4298,3330" path="m5161,5051l5161,3465,5161,3465,5176,3356,5215,3265,5268,3192,5327,3137,5381,3097,5442,3064,5337,2812,5319,2820,5280,2841,5225,2874,5161,2920,5161,2581,5159,2520,5152,2465,5143,2414,5129,2368,5125,2341,5128,2275,5160,2153,5204,2054,5249,1980,5299,1918,5108,1722,5056,1781,5009,1847,4957,1936,4908,2046,4892,2070,4871,2087,4848,2098,4825,2103,4823,2103,4821,2103,4820,2103,4195,2103,4100,2108,4014,2121,3935,2143,3866,2175,3806,2215,3754,2264,3704,2335,3675,2404,3662,2466,3658,2515,3658,2523,3659,2530,3659,2535,3659,3706,3666,3754,3686,3797,3717,3831,3757,3857,3757,4486,3748,4558,3724,4625,3687,4684,3638,4733,3579,4770,3512,4794,3440,4803,3369,4794,3305,4770,3248,4732,3200,4681,3164,4621,3141,4553,3132,4479,3132,3509,3172,3484,3203,3449,3223,3406,3230,3358,3230,2708,3221,2572,3198,2460,3163,2370,3121,2300,3076,2248,2991,2185,2849,2150,2768,2153,2694,2167,2630,2184,2603,2191,2579,2198,2556,2202,2538,2204,2489,2203,2448,2198,2409,2188,2370,2170,2299,2142,2222,2128,2141,2128,2055,2142,1967,2170,1926,2185,1894,2193,1866,2197,1836,2197,1825,2197,1812,2195,1797,2194,1782,2191,1748,2126,1704,2067,1651,2016,1590,1974,1522,1942,1448,1921,1370,1912,1291,1911,1244,1919,1211,1945,1173,1996,1148,2046,1145,2088,1156,2119,1175,2137,1212,2145,1253,2144,1293,2139,1328,2134,1337,2133,1345,2132,1354,2132,1432,2144,1500,2176,1554,2225,1589,2288,1601,2360,1589,2432,1554,2494,1500,2544,1432,2576,1354,2587,1346,2587,1337,2587,1329,2586,1294,2581,1253,2576,1212,2575,1175,2583,1156,2601,1145,2632,1148,2674,1230,2775,1296,2800,1371,2808,1450,2799,1523,2777,1591,2745,1652,2702,1705,2651,1749,2592,1783,2526,1797,2527,1810,2528,1822,2529,1894,2528,1960,2519,2023,2502,2088,2478,2128,2465,2164,2458,2194,2458,2217,2465,2308,2503,2391,2525,2468,2534,2538,2535,2588,2532,2635,2525,2679,2514,2721,2503,2759,2492,2791,2485,2818,2482,2842,2483,2859,2504,2877,2547,2892,2613,2898,2708,2898,3358,2906,3406,2926,3449,2956,3484,2996,3509,2996,4479,3002,4554,3019,4625,3046,4691,3082,4751,3126,4804,3178,4850,3236,4888,3300,4916,3368,4933,3440,4939,3513,4933,3583,4916,3648,4889,3707,4852,3760,4806,3806,4753,3842,4694,3870,4629,3887,4559,3893,4486,3893,3857,3933,3831,3963,3797,3983,3754,3991,3706,3991,2529,3991,2524,3990,2513,3989,2508,3990,2515,3990,2515,3990,2511,4056,2453,4195,2435,4795,2435,4805,2449,4816,2476,4826,2519,4829,2581,4829,3485,4735,3420,4649,3370,4582,3337,4544,3320,4438,3571,4510,3606,4586,3649,4660,3700,4726,3755,4781,3814,4817,3873,4829,3930,4829,3930,4829,5051e" filled="false" stroked="true" strokeweight=".75pt" strokecolor="#e2874a">
              <v:path arrowok="t"/>
              <v:stroke dashstyle="solid"/>
            </v:shape>
            <v:line style="position:absolute" from="4554,3288" to="4421,3603" stroked="true" strokeweight="1.5pt" strokecolor="#ffffff">
              <v:stroke dashstyle="solid"/>
            </v:line>
            <v:shape style="position:absolute;left:4473;top:2021;width:150;height:150" type="#_x0000_t75" stroked="false">
              <v:imagedata r:id="rId782" o:title=""/>
            </v:shape>
            <v:shape style="position:absolute;left:3582;top:2780;width:150;height:150" type="#_x0000_t75" stroked="false">
              <v:imagedata r:id="rId783" o:title=""/>
            </v:shape>
            <v:shape style="position:absolute;left:3582;top:3023;width:150;height:150" type="#_x0000_t75" stroked="false">
              <v:imagedata r:id="rId784" o:title=""/>
            </v:shape>
            <v:shape style="position:absolute;left:3582;top:3266;width:150;height:150" type="#_x0000_t75" stroked="false">
              <v:imagedata r:id="rId785" o:title=""/>
            </v:shape>
            <v:shape style="position:absolute;left:4751;top:4157;width:150;height:150" type="#_x0000_t75" stroked="false">
              <v:imagedata r:id="rId786" o:title=""/>
            </v:shape>
            <v:shape style="position:absolute;left:1923;top:2076;width:150;height:150" type="#_x0000_t75" stroked="false">
              <v:imagedata r:id="rId787" o:title=""/>
            </v:shape>
            <v:shape style="position:absolute;left:-236;top:6588;width:374;height:1399" coordorigin="-235,6588" coordsize="374,1399" path="m5322,2778l5460,3098m5086,1700l5322,1935e" filled="false" stroked="true" strokeweight="1.5pt" strokecolor="#ffffff">
              <v:path arrowok="t"/>
              <v:stroke dashstyle="solid"/>
            </v:shape>
            <v:shape style="position:absolute;left:5529;top:1961;width:117;height:181" type="#_x0000_t75" stroked="false">
              <v:imagedata r:id="rId788" o:title=""/>
            </v:shape>
            <v:shape style="position:absolute;left:5529;top:4951;width:117;height:181" type="#_x0000_t75" stroked="false">
              <v:imagedata r:id="rId789" o:title=""/>
            </v:shape>
            <v:shape style="position:absolute;left:0;top:7004;width:2;height:2989" coordorigin="0,7005" coordsize="0,2989" path="m5589,2704l5589,2044m5589,4057l5589,3251m5589,5032l5589,4713e" filled="false" stroked="true" strokeweight="1.5pt" strokecolor="#231f20">
              <v:path arrowok="t"/>
              <v:stroke dashstyle="solid"/>
            </v:shape>
            <v:shape style="position:absolute;left:4493;top:1864;width:280;height:376" type="#_x0000_t75" stroked="false">
              <v:imagedata r:id="rId790" o:title=""/>
            </v:shape>
            <v:shape style="position:absolute;left:4153;top:1864;width:280;height:376" type="#_x0000_t75" stroked="false">
              <v:imagedata r:id="rId791" o:title=""/>
            </v:shape>
            <v:shape style="position:absolute;left:3427;top:2629;width:376;height:761" type="#_x0000_t75" stroked="false">
              <v:imagedata r:id="rId792" o:title=""/>
            </v:shape>
            <v:shape style="position:absolute;left:4507;top:3965;width:492;height:710" type="#_x0000_t75" stroked="false">
              <v:imagedata r:id="rId793" o:title=""/>
            </v:shape>
            <v:shape style="position:absolute;left:3472;top:3995;width:376;height:280" type="#_x0000_t75" stroked="false">
              <v:imagedata r:id="rId794" o:title=""/>
            </v:shape>
            <v:shape style="position:absolute;left:2708;top:3962;width:376;height:280" type="#_x0000_t75" stroked="false">
              <v:imagedata r:id="rId795" o:title=""/>
            </v:shape>
            <v:shape style="position:absolute;left:1943;top:1920;width:280;height:376" type="#_x0000_t75" stroked="false">
              <v:imagedata r:id="rId796" o:title=""/>
            </v:shape>
            <v:shape style="position:absolute;left:2303;top:1929;width:280;height:376" type="#_x0000_t75" stroked="false">
              <v:imagedata r:id="rId797" o:title=""/>
            </v:shape>
            <v:shape style="position:absolute;left:2823;top:1905;width:157;height:177" type="#_x0000_t75" stroked="false">
              <v:imagedata r:id="rId798" o:title=""/>
            </v:shape>
            <v:shape style="position:absolute;left:2520;top:2019;width:371;height:380" coordorigin="2521,2020" coordsize="371,380" path="m2891,2020l2834,2096,2792,2143,2745,2181,2672,2229,2596,2283,2555,2318,2535,2352,2521,2399e" filled="false" stroked="true" strokeweight="1.5pt" strokecolor="#231f20">
              <v:path arrowok="t"/>
              <v:stroke dashstyle="shortdash"/>
            </v:shape>
            <v:shape style="position:absolute;left:2020;top:1732;width:1619;height:900" type="#_x0000_t202" filled="false" stroked="false">
              <v:textbox inset="0,0,0,0">
                <w:txbxContent>
                  <w:p>
                    <w:pPr>
                      <w:spacing w:line="219" w:lineRule="exact" w:before="0"/>
                      <w:ind w:left="0" w:right="0" w:firstLine="0"/>
                      <w:jc w:val="left"/>
                      <w:rPr>
                        <w:rFonts w:ascii="Helvetica"/>
                        <w:sz w:val="16"/>
                      </w:rPr>
                    </w:pPr>
                    <w:r>
                      <w:rPr>
                        <w:rFonts w:ascii="Helvetica"/>
                        <w:color w:val="231F20"/>
                        <w:sz w:val="16"/>
                      </w:rPr>
                      <w:t>NaCl H</w:t>
                    </w:r>
                    <w:r>
                      <w:rPr>
                        <w:rFonts w:ascii="Helvetica"/>
                        <w:color w:val="231F20"/>
                        <w:position w:val="-4"/>
                        <w:sz w:val="12"/>
                      </w:rPr>
                      <w:t>2</w:t>
                    </w:r>
                    <w:r>
                      <w:rPr>
                        <w:rFonts w:ascii="Helvetica"/>
                        <w:color w:val="231F20"/>
                        <w:sz w:val="16"/>
                      </w:rPr>
                      <w:t>O Urea</w:t>
                    </w:r>
                  </w:p>
                  <w:p>
                    <w:pPr>
                      <w:spacing w:line="179" w:lineRule="exact" w:before="0"/>
                      <w:ind w:left="975" w:right="0" w:firstLine="0"/>
                      <w:jc w:val="left"/>
                      <w:rPr>
                        <w:rFonts w:ascii="Helvetica"/>
                        <w:sz w:val="16"/>
                      </w:rPr>
                    </w:pPr>
                    <w:r>
                      <w:rPr>
                        <w:rFonts w:ascii="Helvetica"/>
                        <w:color w:val="231F20"/>
                        <w:sz w:val="16"/>
                      </w:rPr>
                      <w:t>300</w:t>
                    </w:r>
                  </w:p>
                  <w:p>
                    <w:pPr>
                      <w:spacing w:before="118"/>
                      <w:ind w:left="702" w:right="610" w:firstLine="0"/>
                      <w:jc w:val="center"/>
                      <w:rPr>
                        <w:rFonts w:ascii="Helvetica"/>
                        <w:sz w:val="16"/>
                      </w:rPr>
                    </w:pPr>
                    <w:r>
                      <w:rPr>
                        <w:rFonts w:ascii="Helvetica"/>
                        <w:color w:val="231F20"/>
                        <w:sz w:val="16"/>
                      </w:rPr>
                      <w:t>300</w:t>
                    </w:r>
                  </w:p>
                  <w:p>
                    <w:pPr>
                      <w:spacing w:before="13"/>
                      <w:ind w:left="0" w:right="18" w:firstLine="0"/>
                      <w:jc w:val="right"/>
                      <w:rPr>
                        <w:rFonts w:ascii="Helvetica"/>
                        <w:sz w:val="16"/>
                      </w:rPr>
                    </w:pPr>
                    <w:r>
                      <w:rPr>
                        <w:rFonts w:ascii="Helvetica"/>
                        <w:color w:val="231F20"/>
                        <w:w w:val="95"/>
                        <w:sz w:val="16"/>
                      </w:rPr>
                      <w:t>NaCl</w:t>
                    </w:r>
                  </w:p>
                </w:txbxContent>
              </v:textbox>
              <w10:wrap type="none"/>
            </v:shape>
            <v:shape style="position:absolute;left:4154;top:1676;width:820;height:226" type="#_x0000_t202" filled="false" stroked="false">
              <v:textbox inset="0,0,0,0">
                <w:txbxContent>
                  <w:p>
                    <w:pPr>
                      <w:spacing w:line="237" w:lineRule="auto" w:before="0"/>
                      <w:ind w:left="0"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NaCl</w:t>
                    </w:r>
                  </w:p>
                </w:txbxContent>
              </v:textbox>
              <w10:wrap type="none"/>
            </v:shape>
            <v:shape style="position:absolute;left:3824;top:2215;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100</w:t>
                    </w:r>
                  </w:p>
                </w:txbxContent>
              </v:textbox>
              <w10:wrap type="none"/>
            </v:shape>
            <v:shape style="position:absolute;left:4790;top:2198;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300</w:t>
                    </w:r>
                  </w:p>
                </w:txbxContent>
              </v:textbox>
              <w10:wrap type="none"/>
            </v:shape>
            <v:shape style="position:absolute;left:2506;top:3729;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3187;top:3730;width:402;height:516" type="#_x0000_t202" filled="false" stroked="false">
              <v:textbox inset="0,0,0,0">
                <w:txbxContent>
                  <w:p>
                    <w:pPr>
                      <w:spacing w:line="183" w:lineRule="exact" w:before="0"/>
                      <w:ind w:left="115" w:right="0" w:firstLine="0"/>
                      <w:jc w:val="left"/>
                      <w:rPr>
                        <w:rFonts w:ascii="Helvetica"/>
                        <w:sz w:val="16"/>
                      </w:rPr>
                    </w:pPr>
                    <w:r>
                      <w:rPr>
                        <w:rFonts w:ascii="Helvetica"/>
                        <w:color w:val="231F20"/>
                        <w:sz w:val="16"/>
                      </w:rPr>
                      <w:t>600</w:t>
                    </w:r>
                  </w:p>
                  <w:p>
                    <w:pPr>
                      <w:spacing w:before="146"/>
                      <w:ind w:left="0" w:right="0" w:firstLine="0"/>
                      <w:jc w:val="left"/>
                      <w:rPr>
                        <w:rFonts w:ascii="Helvetica"/>
                        <w:sz w:val="16"/>
                      </w:rPr>
                    </w:pPr>
                    <w:r>
                      <w:rPr>
                        <w:rFonts w:ascii="Helvetica"/>
                        <w:color w:val="231F20"/>
                        <w:sz w:val="16"/>
                      </w:rPr>
                      <w:t>NaCl</w:t>
                    </w:r>
                  </w:p>
                </w:txbxContent>
              </v:textbox>
              <w10:wrap type="none"/>
            </v:shape>
            <v:shape style="position:absolute;left:4123;top:3729;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4854;top:3720;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2461;top:4235;width:1185;height:716" type="#_x0000_t202" filled="false" stroked="false">
              <v:textbox inset="0,0,0,0">
                <w:txbxContent>
                  <w:p>
                    <w:pPr>
                      <w:spacing w:line="237" w:lineRule="auto" w:before="0"/>
                      <w:ind w:left="30"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w:t>
                    </w:r>
                  </w:p>
                  <w:p>
                    <w:pPr>
                      <w:spacing w:line="240" w:lineRule="auto" w:before="6"/>
                      <w:rPr>
                        <w:rFonts w:ascii="Helvetica"/>
                        <w:sz w:val="26"/>
                      </w:rPr>
                    </w:pPr>
                  </w:p>
                  <w:p>
                    <w:pPr>
                      <w:tabs>
                        <w:tab w:pos="808" w:val="left" w:leader="none"/>
                      </w:tabs>
                      <w:spacing w:before="1"/>
                      <w:ind w:left="0" w:right="0" w:firstLine="0"/>
                      <w:jc w:val="left"/>
                      <w:rPr>
                        <w:rFonts w:ascii="Helvetica"/>
                        <w:sz w:val="16"/>
                      </w:rPr>
                    </w:pPr>
                    <w:r>
                      <w:rPr>
                        <w:rFonts w:ascii="Helvetica"/>
                        <w:color w:val="231F20"/>
                        <w:sz w:val="16"/>
                      </w:rPr>
                      <w:t>1200</w:t>
                      <w:tab/>
                      <w:t>1200</w:t>
                    </w:r>
                  </w:p>
                </w:txbxContent>
              </v:textbox>
              <w10:wrap type="none"/>
            </v:shape>
            <v:shape style="position:absolute;left:4079;top:4143;width:1103;height:818" type="#_x0000_t202" filled="false" stroked="false">
              <v:textbox inset="0,0,0,0">
                <w:txbxContent>
                  <w:p>
                    <w:pPr>
                      <w:spacing w:line="209" w:lineRule="exact" w:before="0"/>
                      <w:ind w:left="59"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w:t>
                    </w:r>
                  </w:p>
                  <w:p>
                    <w:pPr>
                      <w:spacing w:line="169" w:lineRule="exact" w:before="0"/>
                      <w:ind w:left="34" w:right="0" w:firstLine="0"/>
                      <w:jc w:val="left"/>
                      <w:rPr>
                        <w:rFonts w:ascii="Helvetica"/>
                        <w:sz w:val="16"/>
                      </w:rPr>
                    </w:pPr>
                    <w:r>
                      <w:rPr>
                        <w:rFonts w:ascii="Helvetica"/>
                        <w:color w:val="231F20"/>
                        <w:sz w:val="16"/>
                      </w:rPr>
                      <w:t>NaCl</w:t>
                    </w:r>
                  </w:p>
                  <w:p>
                    <w:pPr>
                      <w:spacing w:before="30"/>
                      <w:ind w:left="39" w:right="0" w:firstLine="0"/>
                      <w:jc w:val="left"/>
                      <w:rPr>
                        <w:rFonts w:ascii="Helvetica"/>
                        <w:sz w:val="16"/>
                      </w:rPr>
                    </w:pPr>
                    <w:r>
                      <w:rPr>
                        <w:rFonts w:ascii="Helvetica"/>
                        <w:color w:val="231F20"/>
                        <w:sz w:val="16"/>
                      </w:rPr>
                      <w:t>Urea</w:t>
                    </w:r>
                  </w:p>
                  <w:p>
                    <w:pPr>
                      <w:tabs>
                        <w:tab w:pos="726" w:val="left" w:leader="none"/>
                      </w:tabs>
                      <w:spacing w:before="29"/>
                      <w:ind w:left="0" w:right="0" w:firstLine="0"/>
                      <w:jc w:val="left"/>
                      <w:rPr>
                        <w:rFonts w:ascii="Helvetica"/>
                        <w:sz w:val="16"/>
                      </w:rPr>
                    </w:pPr>
                    <w:r>
                      <w:rPr>
                        <w:rFonts w:ascii="Helvetica"/>
                        <w:color w:val="231F20"/>
                        <w:position w:val="1"/>
                        <w:sz w:val="16"/>
                      </w:rPr>
                      <w:t>1200</w:t>
                      <w:tab/>
                    </w:r>
                    <w:r>
                      <w:rPr>
                        <w:rFonts w:ascii="Helvetica"/>
                        <w:color w:val="231F20"/>
                        <w:sz w:val="16"/>
                      </w:rPr>
                      <w:t>1200</w:t>
                    </w:r>
                  </w:p>
                </w:txbxContent>
              </v:textbox>
              <w10:wrap type="none"/>
            </v:shape>
            <w10:wrap type="none"/>
          </v:group>
        </w:pict>
      </w:r>
      <w:r>
        <w:rPr/>
        <w:pict>
          <v:shape style="position:absolute;margin-left:273.533508pt;margin-top:136.097931pt;width:11.25pt;height:25.6pt;mso-position-horizontal-relative:page;mso-position-vertical-relative:paragraph;z-index:252429312"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Cortex</w:t>
                  </w:r>
                </w:p>
              </w:txbxContent>
            </v:textbox>
            <w10:wrap type="none"/>
          </v:shape>
        </w:pict>
      </w:r>
      <w:r>
        <w:rPr>
          <w:color w:val="231F20"/>
          <w:w w:val="105"/>
        </w:rPr>
        <w:t>As fluid flows into the cortical collecting tubule, the amount</w:t>
      </w:r>
      <w:r>
        <w:rPr>
          <w:color w:val="231F20"/>
          <w:spacing w:val="-20"/>
          <w:w w:val="105"/>
        </w:rPr>
        <w:t> </w:t>
      </w:r>
      <w:r>
        <w:rPr>
          <w:color w:val="231F20"/>
          <w:w w:val="105"/>
        </w:rPr>
        <w:t>of</w:t>
      </w:r>
      <w:r>
        <w:rPr>
          <w:color w:val="231F20"/>
          <w:spacing w:val="-20"/>
          <w:w w:val="105"/>
        </w:rPr>
        <w:t> </w:t>
      </w:r>
      <w:r>
        <w:rPr>
          <w:color w:val="231F20"/>
          <w:w w:val="105"/>
        </w:rPr>
        <w:t>water</w:t>
      </w:r>
      <w:r>
        <w:rPr>
          <w:color w:val="231F20"/>
          <w:spacing w:val="-19"/>
          <w:w w:val="105"/>
        </w:rPr>
        <w:t> </w:t>
      </w:r>
      <w:r>
        <w:rPr>
          <w:color w:val="231F20"/>
          <w:w w:val="105"/>
        </w:rPr>
        <w:t>reabsorbed</w:t>
      </w:r>
      <w:r>
        <w:rPr>
          <w:color w:val="231F20"/>
          <w:spacing w:val="-20"/>
          <w:w w:val="105"/>
        </w:rPr>
        <w:t> </w:t>
      </w:r>
      <w:r>
        <w:rPr>
          <w:color w:val="231F20"/>
          <w:w w:val="105"/>
        </w:rPr>
        <w:t>is</w:t>
      </w:r>
      <w:r>
        <w:rPr>
          <w:color w:val="231F20"/>
          <w:spacing w:val="-20"/>
          <w:w w:val="105"/>
        </w:rPr>
        <w:t> </w:t>
      </w:r>
      <w:r>
        <w:rPr>
          <w:color w:val="231F20"/>
          <w:w w:val="105"/>
        </w:rPr>
        <w:t>critically</w:t>
      </w:r>
      <w:r>
        <w:rPr>
          <w:color w:val="231F20"/>
          <w:spacing w:val="-19"/>
          <w:w w:val="105"/>
        </w:rPr>
        <w:t> </w:t>
      </w:r>
      <w:r>
        <w:rPr>
          <w:color w:val="231F20"/>
          <w:w w:val="105"/>
        </w:rPr>
        <w:t>dependent</w:t>
      </w:r>
      <w:r>
        <w:rPr>
          <w:color w:val="231F20"/>
          <w:spacing w:val="-20"/>
          <w:w w:val="105"/>
        </w:rPr>
        <w:t> </w:t>
      </w:r>
      <w:r>
        <w:rPr>
          <w:color w:val="231F20"/>
          <w:w w:val="105"/>
        </w:rPr>
        <w:t>on</w:t>
      </w:r>
      <w:r>
        <w:rPr>
          <w:color w:val="231F20"/>
          <w:spacing w:val="-19"/>
          <w:w w:val="105"/>
        </w:rPr>
        <w:t> </w:t>
      </w:r>
      <w:r>
        <w:rPr>
          <w:color w:val="231F20"/>
          <w:w w:val="105"/>
        </w:rPr>
        <w:t>the plasma concentration of ADH. In the absence of </w:t>
      </w:r>
      <w:r>
        <w:rPr>
          <w:color w:val="231F20"/>
          <w:spacing w:val="-4"/>
          <w:w w:val="105"/>
        </w:rPr>
        <w:t>ADH, </w:t>
      </w:r>
      <w:r>
        <w:rPr>
          <w:color w:val="231F20"/>
          <w:w w:val="105"/>
        </w:rPr>
        <w:t>this</w:t>
      </w:r>
      <w:r>
        <w:rPr>
          <w:color w:val="231F20"/>
          <w:spacing w:val="-6"/>
          <w:w w:val="105"/>
        </w:rPr>
        <w:t> </w:t>
      </w:r>
      <w:r>
        <w:rPr>
          <w:color w:val="231F20"/>
          <w:w w:val="105"/>
        </w:rPr>
        <w:t>segment</w:t>
      </w:r>
      <w:r>
        <w:rPr>
          <w:color w:val="231F20"/>
          <w:spacing w:val="-6"/>
          <w:w w:val="105"/>
        </w:rPr>
        <w:t> </w:t>
      </w:r>
      <w:r>
        <w:rPr>
          <w:color w:val="231F20"/>
          <w:w w:val="105"/>
        </w:rPr>
        <w:t>is</w:t>
      </w:r>
      <w:r>
        <w:rPr>
          <w:color w:val="231F20"/>
          <w:spacing w:val="-5"/>
          <w:w w:val="105"/>
        </w:rPr>
        <w:t> </w:t>
      </w:r>
      <w:r>
        <w:rPr>
          <w:color w:val="231F20"/>
          <w:w w:val="105"/>
        </w:rPr>
        <w:t>almost</w:t>
      </w:r>
      <w:r>
        <w:rPr>
          <w:color w:val="231F20"/>
          <w:spacing w:val="-6"/>
          <w:w w:val="105"/>
        </w:rPr>
        <w:t> </w:t>
      </w:r>
      <w:r>
        <w:rPr>
          <w:color w:val="231F20"/>
          <w:w w:val="105"/>
        </w:rPr>
        <w:t>impermeable</w:t>
      </w:r>
      <w:r>
        <w:rPr>
          <w:color w:val="231F20"/>
          <w:spacing w:val="-5"/>
          <w:w w:val="105"/>
        </w:rPr>
        <w:t> </w:t>
      </w:r>
      <w:r>
        <w:rPr>
          <w:color w:val="231F20"/>
          <w:w w:val="105"/>
        </w:rPr>
        <w:t>to</w:t>
      </w:r>
      <w:r>
        <w:rPr>
          <w:color w:val="231F20"/>
          <w:spacing w:val="-6"/>
          <w:w w:val="105"/>
        </w:rPr>
        <w:t> </w:t>
      </w:r>
      <w:r>
        <w:rPr>
          <w:color w:val="231F20"/>
          <w:w w:val="105"/>
        </w:rPr>
        <w:t>water</w:t>
      </w:r>
      <w:r>
        <w:rPr>
          <w:color w:val="231F20"/>
          <w:spacing w:val="-5"/>
          <w:w w:val="105"/>
        </w:rPr>
        <w:t> </w:t>
      </w:r>
      <w:r>
        <w:rPr>
          <w:color w:val="231F20"/>
          <w:w w:val="105"/>
        </w:rPr>
        <w:t>and</w:t>
      </w:r>
      <w:r>
        <w:rPr>
          <w:color w:val="231F20"/>
          <w:spacing w:val="-6"/>
          <w:w w:val="105"/>
        </w:rPr>
        <w:t> </w:t>
      </w:r>
      <w:r>
        <w:rPr>
          <w:color w:val="231F20"/>
          <w:w w:val="105"/>
        </w:rPr>
        <w:t>fails</w:t>
      </w:r>
      <w:r>
        <w:rPr>
          <w:color w:val="231F20"/>
          <w:spacing w:val="-5"/>
          <w:w w:val="105"/>
        </w:rPr>
        <w:t> </w:t>
      </w:r>
      <w:r>
        <w:rPr>
          <w:color w:val="231F20"/>
          <w:spacing w:val="-8"/>
          <w:w w:val="105"/>
        </w:rPr>
        <w:t>to </w:t>
      </w:r>
      <w:r>
        <w:rPr>
          <w:color w:val="231F20"/>
          <w:w w:val="105"/>
        </w:rPr>
        <w:t>reabsorb</w:t>
      </w:r>
      <w:r>
        <w:rPr>
          <w:color w:val="231F20"/>
          <w:spacing w:val="39"/>
          <w:w w:val="105"/>
        </w:rPr>
        <w:t> </w:t>
      </w:r>
      <w:r>
        <w:rPr>
          <w:color w:val="231F20"/>
          <w:w w:val="105"/>
        </w:rPr>
        <w:t>water</w:t>
      </w:r>
      <w:r>
        <w:rPr>
          <w:color w:val="231F20"/>
          <w:spacing w:val="39"/>
          <w:w w:val="105"/>
        </w:rPr>
        <w:t> </w:t>
      </w:r>
      <w:r>
        <w:rPr>
          <w:color w:val="231F20"/>
          <w:w w:val="105"/>
        </w:rPr>
        <w:t>but</w:t>
      </w:r>
      <w:r>
        <w:rPr>
          <w:color w:val="231F20"/>
          <w:spacing w:val="39"/>
          <w:w w:val="105"/>
        </w:rPr>
        <w:t> </w:t>
      </w:r>
      <w:r>
        <w:rPr>
          <w:color w:val="231F20"/>
          <w:w w:val="105"/>
        </w:rPr>
        <w:t>continues</w:t>
      </w:r>
      <w:r>
        <w:rPr>
          <w:color w:val="231F20"/>
          <w:spacing w:val="39"/>
          <w:w w:val="105"/>
        </w:rPr>
        <w:t> </w:t>
      </w:r>
      <w:r>
        <w:rPr>
          <w:color w:val="231F20"/>
          <w:w w:val="105"/>
        </w:rPr>
        <w:t>to</w:t>
      </w:r>
      <w:r>
        <w:rPr>
          <w:color w:val="231F20"/>
          <w:spacing w:val="39"/>
          <w:w w:val="105"/>
        </w:rPr>
        <w:t> </w:t>
      </w:r>
      <w:r>
        <w:rPr>
          <w:color w:val="231F20"/>
          <w:w w:val="105"/>
        </w:rPr>
        <w:t>reabsorb</w:t>
      </w:r>
      <w:r>
        <w:rPr>
          <w:color w:val="231F20"/>
          <w:spacing w:val="39"/>
          <w:w w:val="105"/>
        </w:rPr>
        <w:t> </w:t>
      </w:r>
      <w:r>
        <w:rPr>
          <w:color w:val="231F20"/>
          <w:w w:val="105"/>
        </w:rPr>
        <w:t>solutes</w:t>
      </w:r>
      <w:r>
        <w:rPr>
          <w:color w:val="231F20"/>
          <w:spacing w:val="40"/>
          <w:w w:val="105"/>
        </w:rPr>
        <w:t> </w:t>
      </w:r>
      <w:r>
        <w:rPr>
          <w:color w:val="231F20"/>
          <w:spacing w:val="-5"/>
          <w:w w:val="105"/>
        </w:rPr>
        <w:t>and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2"/>
        </w:rPr>
      </w:pPr>
    </w:p>
    <w:p>
      <w:pPr>
        <w:spacing w:line="261" w:lineRule="auto" w:before="0"/>
        <w:ind w:left="1080" w:right="0" w:firstLine="0"/>
        <w:jc w:val="both"/>
        <w:rPr>
          <w:rFonts w:ascii="Arial"/>
          <w:sz w:val="16"/>
        </w:rPr>
      </w:pPr>
      <w:r>
        <w:rPr/>
        <w:pict>
          <v:shape style="position:absolute;margin-left:273.533508pt;margin-top:-61.554279pt;width:11.25pt;height:30.05pt;mso-position-horizontal-relative:page;mso-position-vertical-relative:paragraph;z-index:252428288"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Medulla</w:t>
                  </w:r>
                </w:p>
              </w:txbxContent>
            </v:textbox>
            <w10:wrap type="none"/>
          </v:shape>
        </w:pict>
      </w:r>
      <w:bookmarkStart w:name="_bookmark71" w:id="72"/>
      <w:bookmarkEnd w:id="72"/>
      <w:r>
        <w:rPr/>
      </w:r>
      <w:r>
        <w:rPr>
          <w:rFonts w:ascii="Trebuchet MS"/>
          <w:b/>
          <w:color w:val="231F20"/>
          <w:sz w:val="16"/>
        </w:rPr>
        <w:t>Figure 29-5. </w:t>
      </w:r>
      <w:r>
        <w:rPr>
          <w:rFonts w:ascii="Arial"/>
          <w:color w:val="231F20"/>
          <w:sz w:val="16"/>
        </w:rPr>
        <w:t>Formation of a concentrated urine when </w:t>
      </w:r>
      <w:r>
        <w:rPr>
          <w:rFonts w:ascii="Arial"/>
          <w:color w:val="231F20"/>
          <w:spacing w:val="-3"/>
          <w:sz w:val="16"/>
        </w:rPr>
        <w:t>antidiuretic </w:t>
      </w:r>
      <w:r>
        <w:rPr>
          <w:rFonts w:ascii="Arial"/>
          <w:color w:val="231F20"/>
          <w:sz w:val="16"/>
        </w:rPr>
        <w:t>hormone (ADH) levels are high. Note that the fluid leaving the</w:t>
      </w:r>
      <w:r>
        <w:rPr>
          <w:rFonts w:ascii="Arial"/>
          <w:color w:val="231F20"/>
          <w:spacing w:val="-24"/>
          <w:sz w:val="16"/>
        </w:rPr>
        <w:t> </w:t>
      </w:r>
      <w:r>
        <w:rPr>
          <w:rFonts w:ascii="Arial"/>
          <w:color w:val="231F20"/>
          <w:spacing w:val="-4"/>
          <w:sz w:val="16"/>
        </w:rPr>
        <w:t>loop </w:t>
      </w:r>
      <w:r>
        <w:rPr>
          <w:rFonts w:ascii="Arial"/>
          <w:color w:val="231F20"/>
          <w:sz w:val="16"/>
        </w:rPr>
        <w:t>of Henle is dilute but becomes concentrated as water is </w:t>
      </w:r>
      <w:r>
        <w:rPr>
          <w:rFonts w:ascii="Arial"/>
          <w:color w:val="231F20"/>
          <w:spacing w:val="-3"/>
          <w:sz w:val="16"/>
        </w:rPr>
        <w:t>absorbed </w:t>
      </w:r>
      <w:r>
        <w:rPr>
          <w:rFonts w:ascii="Arial"/>
          <w:color w:val="231F20"/>
          <w:sz w:val="16"/>
        </w:rPr>
        <w:t>from</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distal</w:t>
      </w:r>
      <w:r>
        <w:rPr>
          <w:rFonts w:ascii="Arial"/>
          <w:color w:val="231F20"/>
          <w:spacing w:val="-10"/>
          <w:sz w:val="16"/>
        </w:rPr>
        <w:t> </w:t>
      </w:r>
      <w:r>
        <w:rPr>
          <w:rFonts w:ascii="Arial"/>
          <w:color w:val="231F20"/>
          <w:sz w:val="16"/>
        </w:rPr>
        <w:t>tubules</w:t>
      </w:r>
      <w:r>
        <w:rPr>
          <w:rFonts w:ascii="Arial"/>
          <w:color w:val="231F20"/>
          <w:spacing w:val="-10"/>
          <w:sz w:val="16"/>
        </w:rPr>
        <w:t> </w:t>
      </w:r>
      <w:r>
        <w:rPr>
          <w:rFonts w:ascii="Arial"/>
          <w:color w:val="231F20"/>
          <w:sz w:val="16"/>
        </w:rPr>
        <w:t>and</w:t>
      </w:r>
      <w:r>
        <w:rPr>
          <w:rFonts w:ascii="Arial"/>
          <w:color w:val="231F20"/>
          <w:spacing w:val="-9"/>
          <w:sz w:val="16"/>
        </w:rPr>
        <w:t> </w:t>
      </w:r>
      <w:r>
        <w:rPr>
          <w:rFonts w:ascii="Arial"/>
          <w:color w:val="231F20"/>
          <w:sz w:val="16"/>
        </w:rPr>
        <w:t>collecting</w:t>
      </w:r>
      <w:r>
        <w:rPr>
          <w:rFonts w:ascii="Arial"/>
          <w:color w:val="231F20"/>
          <w:spacing w:val="-10"/>
          <w:sz w:val="16"/>
        </w:rPr>
        <w:t> </w:t>
      </w:r>
      <w:r>
        <w:rPr>
          <w:rFonts w:ascii="Arial"/>
          <w:color w:val="231F20"/>
          <w:sz w:val="16"/>
        </w:rPr>
        <w:t>tubules.</w:t>
      </w:r>
      <w:r>
        <w:rPr>
          <w:rFonts w:ascii="Arial"/>
          <w:color w:val="231F20"/>
          <w:spacing w:val="-10"/>
          <w:sz w:val="16"/>
        </w:rPr>
        <w:t> </w:t>
      </w:r>
      <w:r>
        <w:rPr>
          <w:rFonts w:ascii="Arial"/>
          <w:color w:val="231F20"/>
          <w:sz w:val="16"/>
        </w:rPr>
        <w:t>With</w:t>
      </w:r>
      <w:r>
        <w:rPr>
          <w:rFonts w:ascii="Arial"/>
          <w:color w:val="231F20"/>
          <w:spacing w:val="-10"/>
          <w:sz w:val="16"/>
        </w:rPr>
        <w:t> </w:t>
      </w:r>
      <w:r>
        <w:rPr>
          <w:rFonts w:ascii="Arial"/>
          <w:color w:val="231F20"/>
          <w:sz w:val="16"/>
        </w:rPr>
        <w:t>high</w:t>
      </w:r>
      <w:r>
        <w:rPr>
          <w:rFonts w:ascii="Arial"/>
          <w:color w:val="231F20"/>
          <w:spacing w:val="-9"/>
          <w:sz w:val="16"/>
        </w:rPr>
        <w:t> </w:t>
      </w:r>
      <w:r>
        <w:rPr>
          <w:rFonts w:ascii="Arial"/>
          <w:color w:val="231F20"/>
          <w:sz w:val="16"/>
        </w:rPr>
        <w:t>ADH</w:t>
      </w:r>
      <w:r>
        <w:rPr>
          <w:rFonts w:ascii="Arial"/>
          <w:color w:val="231F20"/>
          <w:spacing w:val="-10"/>
          <w:sz w:val="16"/>
        </w:rPr>
        <w:t> </w:t>
      </w:r>
      <w:r>
        <w:rPr>
          <w:rFonts w:ascii="Arial"/>
          <w:color w:val="231F20"/>
          <w:spacing w:val="-3"/>
          <w:sz w:val="16"/>
        </w:rPr>
        <w:t>levels, </w:t>
      </w:r>
      <w:r>
        <w:rPr>
          <w:rFonts w:ascii="Arial"/>
          <w:color w:val="231F20"/>
          <w:sz w:val="16"/>
        </w:rPr>
        <w:t>the osmolarity of the urine is about the same as the osmolarity of the renal medullary interstitial fluid in the papilla, which is </w:t>
      </w:r>
      <w:r>
        <w:rPr>
          <w:rFonts w:ascii="Arial"/>
          <w:color w:val="231F20"/>
          <w:spacing w:val="-3"/>
          <w:sz w:val="16"/>
        </w:rPr>
        <w:t>about </w:t>
      </w:r>
      <w:r>
        <w:rPr>
          <w:rFonts w:ascii="Arial"/>
          <w:color w:val="231F20"/>
          <w:sz w:val="16"/>
        </w:rPr>
        <w:t>1200</w:t>
      </w:r>
      <w:r>
        <w:rPr>
          <w:rFonts w:ascii="Arial"/>
          <w:color w:val="231F20"/>
          <w:spacing w:val="-5"/>
          <w:sz w:val="16"/>
        </w:rPr>
        <w:t> </w:t>
      </w:r>
      <w:r>
        <w:rPr>
          <w:rFonts w:ascii="Arial"/>
          <w:color w:val="231F20"/>
          <w:sz w:val="16"/>
        </w:rPr>
        <w:t>mOsm/L.</w:t>
      </w:r>
      <w:r>
        <w:rPr>
          <w:rFonts w:ascii="Arial"/>
          <w:color w:val="231F20"/>
          <w:spacing w:val="-5"/>
          <w:sz w:val="16"/>
        </w:rPr>
        <w:t> </w:t>
      </w:r>
      <w:r>
        <w:rPr>
          <w:rFonts w:ascii="Arial"/>
          <w:color w:val="231F20"/>
          <w:sz w:val="16"/>
        </w:rPr>
        <w:t>(Numerical</w:t>
      </w:r>
      <w:r>
        <w:rPr>
          <w:rFonts w:ascii="Arial"/>
          <w:color w:val="231F20"/>
          <w:spacing w:val="-5"/>
          <w:sz w:val="16"/>
        </w:rPr>
        <w:t> </w:t>
      </w:r>
      <w:r>
        <w:rPr>
          <w:rFonts w:ascii="Arial"/>
          <w:color w:val="231F20"/>
          <w:sz w:val="16"/>
        </w:rPr>
        <w:t>values</w:t>
      </w:r>
      <w:r>
        <w:rPr>
          <w:rFonts w:ascii="Arial"/>
          <w:color w:val="231F20"/>
          <w:spacing w:val="-5"/>
          <w:sz w:val="16"/>
        </w:rPr>
        <w:t> </w:t>
      </w:r>
      <w:r>
        <w:rPr>
          <w:rFonts w:ascii="Arial"/>
          <w:color w:val="231F20"/>
          <w:sz w:val="16"/>
        </w:rPr>
        <w:t>are</w:t>
      </w:r>
      <w:r>
        <w:rPr>
          <w:rFonts w:ascii="Arial"/>
          <w:color w:val="231F20"/>
          <w:spacing w:val="-5"/>
          <w:sz w:val="16"/>
        </w:rPr>
        <w:t> </w:t>
      </w:r>
      <w:r>
        <w:rPr>
          <w:rFonts w:ascii="Arial"/>
          <w:color w:val="231F20"/>
          <w:sz w:val="16"/>
        </w:rPr>
        <w:t>in</w:t>
      </w:r>
      <w:r>
        <w:rPr>
          <w:rFonts w:ascii="Arial"/>
          <w:color w:val="231F20"/>
          <w:spacing w:val="-5"/>
          <w:sz w:val="16"/>
        </w:rPr>
        <w:t> </w:t>
      </w:r>
      <w:r>
        <w:rPr>
          <w:rFonts w:ascii="Arial"/>
          <w:color w:val="231F20"/>
          <w:sz w:val="16"/>
        </w:rPr>
        <w:t>milliosmoles</w:t>
      </w:r>
      <w:r>
        <w:rPr>
          <w:rFonts w:ascii="Arial"/>
          <w:color w:val="231F20"/>
          <w:spacing w:val="-5"/>
          <w:sz w:val="16"/>
        </w:rPr>
        <w:t> </w:t>
      </w:r>
      <w:r>
        <w:rPr>
          <w:rFonts w:ascii="Arial"/>
          <w:color w:val="231F20"/>
          <w:sz w:val="16"/>
        </w:rPr>
        <w:t>per</w:t>
      </w:r>
      <w:r>
        <w:rPr>
          <w:rFonts w:ascii="Arial"/>
          <w:color w:val="231F20"/>
          <w:spacing w:val="-5"/>
          <w:sz w:val="16"/>
        </w:rPr>
        <w:t> </w:t>
      </w:r>
      <w:r>
        <w:rPr>
          <w:rFonts w:ascii="Arial"/>
          <w:color w:val="231F20"/>
          <w:spacing w:val="-3"/>
          <w:sz w:val="16"/>
        </w:rPr>
        <w:t>liter.)</w:t>
      </w:r>
    </w:p>
    <w:p>
      <w:pPr>
        <w:spacing w:line="249" w:lineRule="auto" w:before="99"/>
        <w:ind w:left="318" w:right="1439" w:firstLine="0"/>
        <w:jc w:val="both"/>
        <w:rPr>
          <w:sz w:val="20"/>
        </w:rPr>
      </w:pPr>
      <w:r>
        <w:rPr/>
        <w:br w:type="column"/>
      </w:r>
      <w:r>
        <w:rPr>
          <w:color w:val="231F20"/>
          <w:w w:val="105"/>
          <w:sz w:val="20"/>
        </w:rPr>
        <w:t>further dilutes the urine. When there is a high </w:t>
      </w:r>
      <w:r>
        <w:rPr>
          <w:color w:val="231F20"/>
          <w:spacing w:val="-3"/>
          <w:w w:val="105"/>
          <w:sz w:val="20"/>
        </w:rPr>
        <w:t>concen­ </w:t>
      </w:r>
      <w:r>
        <w:rPr>
          <w:color w:val="231F20"/>
          <w:w w:val="105"/>
          <w:sz w:val="20"/>
        </w:rPr>
        <w:t>tration of ADH, the cortical collecting tubule becomes highly</w:t>
      </w:r>
      <w:r>
        <w:rPr>
          <w:color w:val="231F20"/>
          <w:spacing w:val="-10"/>
          <w:w w:val="105"/>
          <w:sz w:val="20"/>
        </w:rPr>
        <w:t> </w:t>
      </w:r>
      <w:r>
        <w:rPr>
          <w:color w:val="231F20"/>
          <w:w w:val="105"/>
          <w:sz w:val="20"/>
        </w:rPr>
        <w:t>permeable</w:t>
      </w:r>
      <w:r>
        <w:rPr>
          <w:color w:val="231F20"/>
          <w:spacing w:val="-9"/>
          <w:w w:val="105"/>
          <w:sz w:val="20"/>
        </w:rPr>
        <w:t> </w:t>
      </w:r>
      <w:r>
        <w:rPr>
          <w:color w:val="231F20"/>
          <w:w w:val="105"/>
          <w:sz w:val="20"/>
        </w:rPr>
        <w:t>to</w:t>
      </w:r>
      <w:r>
        <w:rPr>
          <w:color w:val="231F20"/>
          <w:spacing w:val="-9"/>
          <w:w w:val="105"/>
          <w:sz w:val="20"/>
        </w:rPr>
        <w:t> </w:t>
      </w:r>
      <w:r>
        <w:rPr>
          <w:color w:val="231F20"/>
          <w:spacing w:val="-3"/>
          <w:w w:val="105"/>
          <w:sz w:val="20"/>
        </w:rPr>
        <w:t>water,</w:t>
      </w:r>
      <w:r>
        <w:rPr>
          <w:color w:val="231F20"/>
          <w:spacing w:val="-9"/>
          <w:w w:val="105"/>
          <w:sz w:val="20"/>
        </w:rPr>
        <w:t> </w:t>
      </w:r>
      <w:r>
        <w:rPr>
          <w:color w:val="231F20"/>
          <w:w w:val="105"/>
          <w:sz w:val="20"/>
        </w:rPr>
        <w:t>so</w:t>
      </w:r>
      <w:r>
        <w:rPr>
          <w:color w:val="231F20"/>
          <w:spacing w:val="-9"/>
          <w:w w:val="105"/>
          <w:sz w:val="20"/>
        </w:rPr>
        <w:t> </w:t>
      </w:r>
      <w:r>
        <w:rPr>
          <w:color w:val="231F20"/>
          <w:w w:val="105"/>
          <w:sz w:val="20"/>
        </w:rPr>
        <w:t>large</w:t>
      </w:r>
      <w:r>
        <w:rPr>
          <w:color w:val="231F20"/>
          <w:spacing w:val="-9"/>
          <w:w w:val="105"/>
          <w:sz w:val="20"/>
        </w:rPr>
        <w:t> </w:t>
      </w:r>
      <w:r>
        <w:rPr>
          <w:color w:val="231F20"/>
          <w:w w:val="105"/>
          <w:sz w:val="20"/>
        </w:rPr>
        <w:t>amounts</w:t>
      </w:r>
      <w:r>
        <w:rPr>
          <w:color w:val="231F20"/>
          <w:spacing w:val="-9"/>
          <w:w w:val="105"/>
          <w:sz w:val="20"/>
        </w:rPr>
        <w:t> </w:t>
      </w:r>
      <w:r>
        <w:rPr>
          <w:color w:val="231F20"/>
          <w:w w:val="105"/>
          <w:sz w:val="20"/>
        </w:rPr>
        <w:t>of</w:t>
      </w:r>
      <w:r>
        <w:rPr>
          <w:color w:val="231F20"/>
          <w:spacing w:val="-9"/>
          <w:w w:val="105"/>
          <w:sz w:val="20"/>
        </w:rPr>
        <w:t> </w:t>
      </w:r>
      <w:r>
        <w:rPr>
          <w:color w:val="231F20"/>
          <w:w w:val="105"/>
          <w:sz w:val="20"/>
        </w:rPr>
        <w:t>water</w:t>
      </w:r>
      <w:r>
        <w:rPr>
          <w:color w:val="231F20"/>
          <w:spacing w:val="-10"/>
          <w:w w:val="105"/>
          <w:sz w:val="20"/>
        </w:rPr>
        <w:t> </w:t>
      </w:r>
      <w:r>
        <w:rPr>
          <w:color w:val="231F20"/>
          <w:spacing w:val="-5"/>
          <w:w w:val="105"/>
          <w:sz w:val="20"/>
        </w:rPr>
        <w:t>are </w:t>
      </w:r>
      <w:r>
        <w:rPr>
          <w:color w:val="231F20"/>
          <w:w w:val="105"/>
          <w:sz w:val="20"/>
        </w:rPr>
        <w:t>now reabsorbed from the tubule into the cortex intersti­ tium,</w:t>
      </w:r>
      <w:r>
        <w:rPr>
          <w:color w:val="231F20"/>
          <w:spacing w:val="-10"/>
          <w:w w:val="105"/>
          <w:sz w:val="20"/>
        </w:rPr>
        <w:t> </w:t>
      </w:r>
      <w:r>
        <w:rPr>
          <w:color w:val="231F20"/>
          <w:w w:val="105"/>
          <w:sz w:val="20"/>
        </w:rPr>
        <w:t>where</w:t>
      </w:r>
      <w:r>
        <w:rPr>
          <w:color w:val="231F20"/>
          <w:spacing w:val="-9"/>
          <w:w w:val="105"/>
          <w:sz w:val="20"/>
        </w:rPr>
        <w:t> </w:t>
      </w:r>
      <w:r>
        <w:rPr>
          <w:color w:val="231F20"/>
          <w:w w:val="105"/>
          <w:sz w:val="20"/>
        </w:rPr>
        <w:t>it</w:t>
      </w:r>
      <w:r>
        <w:rPr>
          <w:color w:val="231F20"/>
          <w:spacing w:val="-10"/>
          <w:w w:val="105"/>
          <w:sz w:val="20"/>
        </w:rPr>
        <w:t> </w:t>
      </w:r>
      <w:r>
        <w:rPr>
          <w:color w:val="231F20"/>
          <w:w w:val="105"/>
          <w:sz w:val="20"/>
        </w:rPr>
        <w:t>is</w:t>
      </w:r>
      <w:r>
        <w:rPr>
          <w:color w:val="231F20"/>
          <w:spacing w:val="-9"/>
          <w:w w:val="105"/>
          <w:sz w:val="20"/>
        </w:rPr>
        <w:t> </w:t>
      </w:r>
      <w:r>
        <w:rPr>
          <w:color w:val="231F20"/>
          <w:w w:val="105"/>
          <w:sz w:val="20"/>
        </w:rPr>
        <w:t>swept</w:t>
      </w:r>
      <w:r>
        <w:rPr>
          <w:color w:val="231F20"/>
          <w:spacing w:val="-10"/>
          <w:w w:val="105"/>
          <w:sz w:val="20"/>
        </w:rPr>
        <w:t> </w:t>
      </w:r>
      <w:r>
        <w:rPr>
          <w:color w:val="231F20"/>
          <w:w w:val="105"/>
          <w:sz w:val="20"/>
        </w:rPr>
        <w:t>away</w:t>
      </w:r>
      <w:r>
        <w:rPr>
          <w:color w:val="231F20"/>
          <w:spacing w:val="-9"/>
          <w:w w:val="105"/>
          <w:sz w:val="20"/>
        </w:rPr>
        <w:t> </w:t>
      </w:r>
      <w:r>
        <w:rPr>
          <w:color w:val="231F20"/>
          <w:w w:val="105"/>
          <w:sz w:val="20"/>
        </w:rPr>
        <w:t>by</w:t>
      </w:r>
      <w:r>
        <w:rPr>
          <w:color w:val="231F20"/>
          <w:spacing w:val="-9"/>
          <w:w w:val="105"/>
          <w:sz w:val="20"/>
        </w:rPr>
        <w:t> </w:t>
      </w:r>
      <w:r>
        <w:rPr>
          <w:color w:val="231F20"/>
          <w:w w:val="105"/>
          <w:sz w:val="20"/>
        </w:rPr>
        <w:t>the</w:t>
      </w:r>
      <w:r>
        <w:rPr>
          <w:color w:val="231F20"/>
          <w:spacing w:val="-10"/>
          <w:w w:val="105"/>
          <w:sz w:val="20"/>
        </w:rPr>
        <w:t> </w:t>
      </w:r>
      <w:r>
        <w:rPr>
          <w:color w:val="231F20"/>
          <w:w w:val="105"/>
          <w:sz w:val="20"/>
        </w:rPr>
        <w:t>rapidly</w:t>
      </w:r>
      <w:r>
        <w:rPr>
          <w:color w:val="231F20"/>
          <w:spacing w:val="-9"/>
          <w:w w:val="105"/>
          <w:sz w:val="20"/>
        </w:rPr>
        <w:t> </w:t>
      </w:r>
      <w:r>
        <w:rPr>
          <w:color w:val="231F20"/>
          <w:w w:val="105"/>
          <w:sz w:val="20"/>
        </w:rPr>
        <w:t>flowing</w:t>
      </w:r>
      <w:r>
        <w:rPr>
          <w:color w:val="231F20"/>
          <w:spacing w:val="-10"/>
          <w:w w:val="105"/>
          <w:sz w:val="20"/>
        </w:rPr>
        <w:t> </w:t>
      </w:r>
      <w:r>
        <w:rPr>
          <w:color w:val="231F20"/>
          <w:spacing w:val="-3"/>
          <w:w w:val="105"/>
          <w:sz w:val="20"/>
        </w:rPr>
        <w:t>peri­ </w:t>
      </w:r>
      <w:r>
        <w:rPr>
          <w:color w:val="231F20"/>
          <w:w w:val="105"/>
          <w:sz w:val="20"/>
        </w:rPr>
        <w:t>tubular capillaries. </w:t>
      </w:r>
      <w:r>
        <w:rPr>
          <w:i/>
          <w:color w:val="231F20"/>
          <w:w w:val="105"/>
          <w:sz w:val="20"/>
        </w:rPr>
        <w:t>The fact that these large amounts </w:t>
      </w:r>
      <w:r>
        <w:rPr>
          <w:i/>
          <w:color w:val="231F20"/>
          <w:spacing w:val="-7"/>
          <w:w w:val="105"/>
          <w:sz w:val="20"/>
        </w:rPr>
        <w:t>of </w:t>
      </w:r>
      <w:r>
        <w:rPr>
          <w:i/>
          <w:color w:val="231F20"/>
          <w:w w:val="105"/>
          <w:sz w:val="20"/>
        </w:rPr>
        <w:t>water</w:t>
      </w:r>
      <w:r>
        <w:rPr>
          <w:i/>
          <w:color w:val="231F20"/>
          <w:spacing w:val="-18"/>
          <w:w w:val="105"/>
          <w:sz w:val="20"/>
        </w:rPr>
        <w:t> </w:t>
      </w:r>
      <w:r>
        <w:rPr>
          <w:i/>
          <w:color w:val="231F20"/>
          <w:w w:val="105"/>
          <w:sz w:val="20"/>
        </w:rPr>
        <w:t>are</w:t>
      </w:r>
      <w:r>
        <w:rPr>
          <w:i/>
          <w:color w:val="231F20"/>
          <w:spacing w:val="-17"/>
          <w:w w:val="105"/>
          <w:sz w:val="20"/>
        </w:rPr>
        <w:t> </w:t>
      </w:r>
      <w:r>
        <w:rPr>
          <w:i/>
          <w:color w:val="231F20"/>
          <w:w w:val="105"/>
          <w:sz w:val="20"/>
        </w:rPr>
        <w:t>reabsorbed</w:t>
      </w:r>
      <w:r>
        <w:rPr>
          <w:i/>
          <w:color w:val="231F20"/>
          <w:spacing w:val="-17"/>
          <w:w w:val="105"/>
          <w:sz w:val="20"/>
        </w:rPr>
        <w:t> </w:t>
      </w:r>
      <w:r>
        <w:rPr>
          <w:i/>
          <w:color w:val="231F20"/>
          <w:w w:val="105"/>
          <w:sz w:val="20"/>
        </w:rPr>
        <w:t>into</w:t>
      </w:r>
      <w:r>
        <w:rPr>
          <w:i/>
          <w:color w:val="231F20"/>
          <w:spacing w:val="-17"/>
          <w:w w:val="105"/>
          <w:sz w:val="20"/>
        </w:rPr>
        <w:t> </w:t>
      </w:r>
      <w:r>
        <w:rPr>
          <w:i/>
          <w:color w:val="231F20"/>
          <w:w w:val="105"/>
          <w:sz w:val="20"/>
        </w:rPr>
        <w:t>the</w:t>
      </w:r>
      <w:r>
        <w:rPr>
          <w:i/>
          <w:color w:val="231F20"/>
          <w:spacing w:val="-17"/>
          <w:w w:val="105"/>
          <w:sz w:val="20"/>
        </w:rPr>
        <w:t> </w:t>
      </w:r>
      <w:r>
        <w:rPr>
          <w:i/>
          <w:color w:val="231F20"/>
          <w:w w:val="105"/>
          <w:sz w:val="20"/>
        </w:rPr>
        <w:t>cortex</w:t>
      </w:r>
      <w:r>
        <w:rPr>
          <w:color w:val="231F20"/>
          <w:w w:val="105"/>
          <w:sz w:val="20"/>
        </w:rPr>
        <w:t>,</w:t>
      </w:r>
      <w:r>
        <w:rPr>
          <w:color w:val="231F20"/>
          <w:spacing w:val="-17"/>
          <w:w w:val="105"/>
          <w:sz w:val="20"/>
        </w:rPr>
        <w:t> </w:t>
      </w:r>
      <w:r>
        <w:rPr>
          <w:i/>
          <w:color w:val="231F20"/>
          <w:w w:val="105"/>
          <w:sz w:val="20"/>
        </w:rPr>
        <w:t>rather</w:t>
      </w:r>
      <w:r>
        <w:rPr>
          <w:i/>
          <w:color w:val="231F20"/>
          <w:spacing w:val="-18"/>
          <w:w w:val="105"/>
          <w:sz w:val="20"/>
        </w:rPr>
        <w:t> </w:t>
      </w:r>
      <w:r>
        <w:rPr>
          <w:i/>
          <w:color w:val="231F20"/>
          <w:w w:val="105"/>
          <w:sz w:val="20"/>
        </w:rPr>
        <w:t>than</w:t>
      </w:r>
      <w:r>
        <w:rPr>
          <w:i/>
          <w:color w:val="231F20"/>
          <w:spacing w:val="-17"/>
          <w:w w:val="105"/>
          <w:sz w:val="20"/>
        </w:rPr>
        <w:t> </w:t>
      </w:r>
      <w:r>
        <w:rPr>
          <w:i/>
          <w:color w:val="231F20"/>
          <w:w w:val="105"/>
          <w:sz w:val="20"/>
        </w:rPr>
        <w:t>into</w:t>
      </w:r>
      <w:r>
        <w:rPr>
          <w:i/>
          <w:color w:val="231F20"/>
          <w:spacing w:val="-17"/>
          <w:w w:val="105"/>
          <w:sz w:val="20"/>
        </w:rPr>
        <w:t> </w:t>
      </w:r>
      <w:r>
        <w:rPr>
          <w:i/>
          <w:color w:val="231F20"/>
          <w:w w:val="105"/>
          <w:sz w:val="20"/>
        </w:rPr>
        <w:t>the </w:t>
      </w:r>
      <w:r>
        <w:rPr>
          <w:i/>
          <w:color w:val="231F20"/>
          <w:w w:val="105"/>
          <w:sz w:val="20"/>
        </w:rPr>
        <w:t>renal</w:t>
      </w:r>
      <w:r>
        <w:rPr>
          <w:i/>
          <w:color w:val="231F20"/>
          <w:spacing w:val="-25"/>
          <w:w w:val="105"/>
          <w:sz w:val="20"/>
        </w:rPr>
        <w:t> </w:t>
      </w:r>
      <w:r>
        <w:rPr>
          <w:i/>
          <w:color w:val="231F20"/>
          <w:w w:val="105"/>
          <w:sz w:val="20"/>
        </w:rPr>
        <w:t>medulla</w:t>
      </w:r>
      <w:r>
        <w:rPr>
          <w:color w:val="231F20"/>
          <w:w w:val="105"/>
          <w:sz w:val="20"/>
        </w:rPr>
        <w:t>,</w:t>
      </w:r>
      <w:r>
        <w:rPr>
          <w:color w:val="231F20"/>
          <w:spacing w:val="-25"/>
          <w:w w:val="105"/>
          <w:sz w:val="20"/>
        </w:rPr>
        <w:t> </w:t>
      </w:r>
      <w:r>
        <w:rPr>
          <w:i/>
          <w:color w:val="231F20"/>
          <w:w w:val="105"/>
          <w:sz w:val="20"/>
        </w:rPr>
        <w:t>helps</w:t>
      </w:r>
      <w:r>
        <w:rPr>
          <w:i/>
          <w:color w:val="231F20"/>
          <w:spacing w:val="-24"/>
          <w:w w:val="105"/>
          <w:sz w:val="20"/>
        </w:rPr>
        <w:t> </w:t>
      </w:r>
      <w:r>
        <w:rPr>
          <w:i/>
          <w:color w:val="231F20"/>
          <w:w w:val="105"/>
          <w:sz w:val="20"/>
        </w:rPr>
        <w:t>to</w:t>
      </w:r>
      <w:r>
        <w:rPr>
          <w:i/>
          <w:color w:val="231F20"/>
          <w:spacing w:val="-25"/>
          <w:w w:val="105"/>
          <w:sz w:val="20"/>
        </w:rPr>
        <w:t> </w:t>
      </w:r>
      <w:r>
        <w:rPr>
          <w:i/>
          <w:color w:val="231F20"/>
          <w:w w:val="105"/>
          <w:sz w:val="20"/>
        </w:rPr>
        <w:t>preserve</w:t>
      </w:r>
      <w:r>
        <w:rPr>
          <w:i/>
          <w:color w:val="231F20"/>
          <w:spacing w:val="-25"/>
          <w:w w:val="105"/>
          <w:sz w:val="20"/>
        </w:rPr>
        <w:t> </w:t>
      </w:r>
      <w:r>
        <w:rPr>
          <w:i/>
          <w:color w:val="231F20"/>
          <w:w w:val="105"/>
          <w:sz w:val="20"/>
        </w:rPr>
        <w:t>the</w:t>
      </w:r>
      <w:r>
        <w:rPr>
          <w:i/>
          <w:color w:val="231F20"/>
          <w:spacing w:val="-25"/>
          <w:w w:val="105"/>
          <w:sz w:val="20"/>
        </w:rPr>
        <w:t> </w:t>
      </w:r>
      <w:r>
        <w:rPr>
          <w:i/>
          <w:color w:val="231F20"/>
          <w:w w:val="105"/>
          <w:sz w:val="20"/>
        </w:rPr>
        <w:t>high</w:t>
      </w:r>
      <w:r>
        <w:rPr>
          <w:i/>
          <w:color w:val="231F20"/>
          <w:spacing w:val="-24"/>
          <w:w w:val="105"/>
          <w:sz w:val="20"/>
        </w:rPr>
        <w:t> </w:t>
      </w:r>
      <w:r>
        <w:rPr>
          <w:i/>
          <w:color w:val="231F20"/>
          <w:w w:val="105"/>
          <w:sz w:val="20"/>
        </w:rPr>
        <w:t>medullary</w:t>
      </w:r>
      <w:r>
        <w:rPr>
          <w:i/>
          <w:color w:val="231F20"/>
          <w:spacing w:val="-25"/>
          <w:w w:val="105"/>
          <w:sz w:val="20"/>
        </w:rPr>
        <w:t> </w:t>
      </w:r>
      <w:r>
        <w:rPr>
          <w:i/>
          <w:color w:val="231F20"/>
          <w:w w:val="105"/>
          <w:sz w:val="20"/>
        </w:rPr>
        <w:t>inter- </w:t>
      </w:r>
      <w:r>
        <w:rPr>
          <w:i/>
          <w:color w:val="231F20"/>
          <w:w w:val="105"/>
          <w:sz w:val="20"/>
        </w:rPr>
        <w:t>stitial fluid</w:t>
      </w:r>
      <w:r>
        <w:rPr>
          <w:i/>
          <w:color w:val="231F20"/>
          <w:spacing w:val="4"/>
          <w:w w:val="105"/>
          <w:sz w:val="20"/>
        </w:rPr>
        <w:t> </w:t>
      </w:r>
      <w:r>
        <w:rPr>
          <w:i/>
          <w:color w:val="231F20"/>
          <w:w w:val="105"/>
          <w:sz w:val="20"/>
        </w:rPr>
        <w:t>osmolarity</w:t>
      </w:r>
      <w:r>
        <w:rPr>
          <w:color w:val="231F20"/>
          <w:w w:val="105"/>
          <w:sz w:val="20"/>
        </w:rPr>
        <w:t>.</w:t>
      </w:r>
    </w:p>
    <w:p>
      <w:pPr>
        <w:pStyle w:val="BodyText"/>
        <w:spacing w:line="249" w:lineRule="auto" w:before="8"/>
        <w:ind w:left="318" w:right="1437" w:firstLine="240"/>
        <w:jc w:val="both"/>
      </w:pPr>
      <w:r>
        <w:rPr>
          <w:color w:val="231F20"/>
        </w:rPr>
        <w:t>As the tubular fluid flows along the medullary collect­ ing ducts, there is further water reabsorption from the tubular fluid into the interstitium, but the total </w:t>
      </w:r>
      <w:r>
        <w:rPr>
          <w:color w:val="231F20"/>
          <w:spacing w:val="-3"/>
        </w:rPr>
        <w:t>amount     </w:t>
      </w:r>
      <w:r>
        <w:rPr>
          <w:color w:val="231F20"/>
        </w:rPr>
        <w:t>of water is relatively small compared with that added to the cortex interstitium. The reabsorbed water is carried away by the vasa recta into the venous blood. When high levels of ADH are present, the collecting ducts become permeable to </w:t>
      </w:r>
      <w:r>
        <w:rPr>
          <w:color w:val="231F20"/>
          <w:spacing w:val="-3"/>
        </w:rPr>
        <w:t>water, </w:t>
      </w:r>
      <w:r>
        <w:rPr>
          <w:color w:val="231F20"/>
        </w:rPr>
        <w:t>so the fluid at the end of the collect­ ing ducts has essentially the same osmolarity as the </w:t>
      </w:r>
      <w:r>
        <w:rPr>
          <w:color w:val="231F20"/>
          <w:spacing w:val="-4"/>
        </w:rPr>
        <w:t>inter­ </w:t>
      </w:r>
      <w:r>
        <w:rPr>
          <w:color w:val="231F20"/>
        </w:rPr>
        <w:t>stitial fluid of the renal medulla—about 1200 </w:t>
      </w:r>
      <w:r>
        <w:rPr>
          <w:color w:val="231F20"/>
          <w:spacing w:val="-3"/>
        </w:rPr>
        <w:t>mOsm/L </w:t>
      </w:r>
      <w:r>
        <w:rPr>
          <w:color w:val="231F20"/>
        </w:rPr>
        <w:t>(see </w:t>
      </w:r>
      <w:hyperlink w:history="true" w:anchor="_bookmark70">
        <w:r>
          <w:rPr>
            <w:b/>
            <w:color w:val="0080AC"/>
          </w:rPr>
          <w:t>Figure 29-4</w:t>
        </w:r>
      </w:hyperlink>
      <w:r>
        <w:rPr>
          <w:color w:val="231F20"/>
        </w:rPr>
        <w:t>). Thus, by reabsorbing as much water as possible, the kidneys form highly concentrated urine, excreting normal amounts of solutes in the urine while adding water back to the extracellular fluid and compen­ sating for deficits of body</w:t>
      </w:r>
      <w:r>
        <w:rPr>
          <w:color w:val="231F20"/>
          <w:spacing w:val="32"/>
        </w:rPr>
        <w:t> </w:t>
      </w:r>
      <w:r>
        <w:rPr>
          <w:color w:val="231F20"/>
          <w:spacing w:val="-3"/>
        </w:rPr>
        <w:t>water.</w:t>
      </w:r>
    </w:p>
    <w:p>
      <w:pPr>
        <w:pStyle w:val="BodyText"/>
        <w:spacing w:before="8"/>
        <w:rPr>
          <w:sz w:val="31"/>
        </w:rPr>
      </w:pPr>
    </w:p>
    <w:p>
      <w:pPr>
        <w:pStyle w:val="Heading2"/>
        <w:spacing w:line="225" w:lineRule="auto"/>
        <w:ind w:right="1734"/>
      </w:pPr>
      <w:r>
        <w:rPr>
          <w:color w:val="231F20"/>
          <w:w w:val="105"/>
        </w:rPr>
        <w:t>UREA CONTRIBUTES TO HYPEROSMOTIC RENAL MEDULLARY INTERSTITIUM AND FORMATION OF CONCENTRATED URINE</w:t>
      </w:r>
    </w:p>
    <w:p>
      <w:pPr>
        <w:pStyle w:val="BodyText"/>
        <w:spacing w:line="249" w:lineRule="auto" w:before="127"/>
        <w:ind w:left="319" w:right="1437"/>
        <w:jc w:val="both"/>
      </w:pPr>
      <w:r>
        <w:rPr>
          <w:color w:val="231F20"/>
          <w:w w:val="105"/>
        </w:rPr>
        <w:t>Thus </w:t>
      </w:r>
      <w:r>
        <w:rPr>
          <w:color w:val="231F20"/>
          <w:spacing w:val="-4"/>
          <w:w w:val="105"/>
        </w:rPr>
        <w:t>far, </w:t>
      </w:r>
      <w:r>
        <w:rPr>
          <w:color w:val="231F20"/>
          <w:w w:val="105"/>
        </w:rPr>
        <w:t>we have considered only the contribution of sodium chloride to the hyperosmotic renal medullary interstitium. However, urea contributes about 40 to 50 percent of the osmolarity (500 to 600 mOsm/L) of </w:t>
      </w:r>
      <w:r>
        <w:rPr>
          <w:color w:val="231F20"/>
          <w:spacing w:val="-6"/>
          <w:w w:val="105"/>
        </w:rPr>
        <w:t>the </w:t>
      </w:r>
      <w:r>
        <w:rPr>
          <w:color w:val="231F20"/>
          <w:w w:val="105"/>
        </w:rPr>
        <w:t>renal medullary interstitium when the kidney is</w:t>
      </w:r>
      <w:r>
        <w:rPr>
          <w:color w:val="231F20"/>
          <w:spacing w:val="-34"/>
          <w:w w:val="105"/>
        </w:rPr>
        <w:t> </w:t>
      </w:r>
      <w:r>
        <w:rPr>
          <w:color w:val="231F20"/>
          <w:w w:val="105"/>
        </w:rPr>
        <w:t>forming a</w:t>
      </w:r>
      <w:r>
        <w:rPr>
          <w:color w:val="231F20"/>
          <w:spacing w:val="-20"/>
          <w:w w:val="105"/>
        </w:rPr>
        <w:t> </w:t>
      </w:r>
      <w:r>
        <w:rPr>
          <w:color w:val="231F20"/>
          <w:w w:val="105"/>
        </w:rPr>
        <w:t>maximally</w:t>
      </w:r>
      <w:r>
        <w:rPr>
          <w:color w:val="231F20"/>
          <w:spacing w:val="-20"/>
          <w:w w:val="105"/>
        </w:rPr>
        <w:t> </w:t>
      </w:r>
      <w:r>
        <w:rPr>
          <w:color w:val="231F20"/>
          <w:w w:val="105"/>
        </w:rPr>
        <w:t>concentrated</w:t>
      </w:r>
      <w:r>
        <w:rPr>
          <w:color w:val="231F20"/>
          <w:spacing w:val="-20"/>
          <w:w w:val="105"/>
        </w:rPr>
        <w:t> </w:t>
      </w:r>
      <w:r>
        <w:rPr>
          <w:color w:val="231F20"/>
          <w:w w:val="105"/>
        </w:rPr>
        <w:t>urine.</w:t>
      </w:r>
      <w:r>
        <w:rPr>
          <w:color w:val="231F20"/>
          <w:spacing w:val="-20"/>
          <w:w w:val="105"/>
        </w:rPr>
        <w:t> </w:t>
      </w:r>
      <w:r>
        <w:rPr>
          <w:color w:val="231F20"/>
          <w:w w:val="105"/>
        </w:rPr>
        <w:t>Unlike</w:t>
      </w:r>
      <w:r>
        <w:rPr>
          <w:color w:val="231F20"/>
          <w:spacing w:val="-20"/>
          <w:w w:val="105"/>
        </w:rPr>
        <w:t> </w:t>
      </w:r>
      <w:r>
        <w:rPr>
          <w:color w:val="231F20"/>
          <w:w w:val="105"/>
        </w:rPr>
        <w:t>sodium</w:t>
      </w:r>
      <w:r>
        <w:rPr>
          <w:color w:val="231F20"/>
          <w:spacing w:val="-20"/>
          <w:w w:val="105"/>
        </w:rPr>
        <w:t> </w:t>
      </w:r>
      <w:r>
        <w:rPr>
          <w:color w:val="231F20"/>
          <w:w w:val="105"/>
        </w:rPr>
        <w:t>chloride, urea</w:t>
      </w:r>
      <w:r>
        <w:rPr>
          <w:color w:val="231F20"/>
          <w:spacing w:val="-15"/>
          <w:w w:val="105"/>
        </w:rPr>
        <w:t> </w:t>
      </w:r>
      <w:r>
        <w:rPr>
          <w:color w:val="231F20"/>
          <w:w w:val="105"/>
        </w:rPr>
        <w:t>is</w:t>
      </w:r>
      <w:r>
        <w:rPr>
          <w:color w:val="231F20"/>
          <w:spacing w:val="-14"/>
          <w:w w:val="105"/>
        </w:rPr>
        <w:t> </w:t>
      </w:r>
      <w:r>
        <w:rPr>
          <w:color w:val="231F20"/>
          <w:w w:val="105"/>
        </w:rPr>
        <w:t>passively</w:t>
      </w:r>
      <w:r>
        <w:rPr>
          <w:color w:val="231F20"/>
          <w:spacing w:val="-14"/>
          <w:w w:val="105"/>
        </w:rPr>
        <w:t> </w:t>
      </w:r>
      <w:r>
        <w:rPr>
          <w:color w:val="231F20"/>
          <w:w w:val="105"/>
        </w:rPr>
        <w:t>reabsorbed</w:t>
      </w:r>
      <w:r>
        <w:rPr>
          <w:color w:val="231F20"/>
          <w:spacing w:val="-14"/>
          <w:w w:val="105"/>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w w:val="105"/>
        </w:rPr>
        <w:t>tubule.</w:t>
      </w:r>
      <w:r>
        <w:rPr>
          <w:color w:val="231F20"/>
          <w:spacing w:val="-14"/>
          <w:w w:val="105"/>
        </w:rPr>
        <w:t> </w:t>
      </w:r>
      <w:r>
        <w:rPr>
          <w:color w:val="231F20"/>
          <w:w w:val="105"/>
        </w:rPr>
        <w:t>When</w:t>
      </w:r>
      <w:r>
        <w:rPr>
          <w:color w:val="231F20"/>
          <w:spacing w:val="-14"/>
          <w:w w:val="105"/>
        </w:rPr>
        <w:t> </w:t>
      </w:r>
      <w:r>
        <w:rPr>
          <w:color w:val="231F20"/>
          <w:w w:val="105"/>
        </w:rPr>
        <w:t>there is</w:t>
      </w:r>
      <w:r>
        <w:rPr>
          <w:color w:val="231F20"/>
          <w:spacing w:val="-20"/>
          <w:w w:val="105"/>
        </w:rPr>
        <w:t> </w:t>
      </w:r>
      <w:r>
        <w:rPr>
          <w:color w:val="231F20"/>
          <w:w w:val="105"/>
        </w:rPr>
        <w:t>a</w:t>
      </w:r>
      <w:r>
        <w:rPr>
          <w:color w:val="231F20"/>
          <w:spacing w:val="-20"/>
          <w:w w:val="105"/>
        </w:rPr>
        <w:t> </w:t>
      </w:r>
      <w:r>
        <w:rPr>
          <w:color w:val="231F20"/>
          <w:w w:val="105"/>
        </w:rPr>
        <w:t>water</w:t>
      </w:r>
      <w:r>
        <w:rPr>
          <w:color w:val="231F20"/>
          <w:spacing w:val="-20"/>
          <w:w w:val="105"/>
        </w:rPr>
        <w:t> </w:t>
      </w:r>
      <w:r>
        <w:rPr>
          <w:color w:val="231F20"/>
          <w:w w:val="105"/>
        </w:rPr>
        <w:t>deficit</w:t>
      </w:r>
      <w:r>
        <w:rPr>
          <w:color w:val="231F20"/>
          <w:spacing w:val="-20"/>
          <w:w w:val="105"/>
        </w:rPr>
        <w:t> </w:t>
      </w:r>
      <w:r>
        <w:rPr>
          <w:color w:val="231F20"/>
          <w:w w:val="105"/>
        </w:rPr>
        <w:t>and</w:t>
      </w:r>
      <w:r>
        <w:rPr>
          <w:color w:val="231F20"/>
          <w:spacing w:val="-19"/>
          <w:w w:val="105"/>
        </w:rPr>
        <w:t> </w:t>
      </w:r>
      <w:r>
        <w:rPr>
          <w:color w:val="231F20"/>
          <w:w w:val="105"/>
        </w:rPr>
        <w:t>blood</w:t>
      </w:r>
      <w:r>
        <w:rPr>
          <w:color w:val="231F20"/>
          <w:spacing w:val="-20"/>
          <w:w w:val="105"/>
        </w:rPr>
        <w:t> </w:t>
      </w:r>
      <w:r>
        <w:rPr>
          <w:color w:val="231F20"/>
          <w:w w:val="105"/>
        </w:rPr>
        <w:t>concentration</w:t>
      </w:r>
      <w:r>
        <w:rPr>
          <w:color w:val="231F20"/>
          <w:spacing w:val="-20"/>
          <w:w w:val="105"/>
        </w:rPr>
        <w:t> </w:t>
      </w:r>
      <w:r>
        <w:rPr>
          <w:color w:val="231F20"/>
          <w:w w:val="105"/>
        </w:rPr>
        <w:t>of</w:t>
      </w:r>
      <w:r>
        <w:rPr>
          <w:color w:val="231F20"/>
          <w:spacing w:val="-20"/>
          <w:w w:val="105"/>
        </w:rPr>
        <w:t> </w:t>
      </w:r>
      <w:r>
        <w:rPr>
          <w:color w:val="231F20"/>
          <w:w w:val="105"/>
        </w:rPr>
        <w:t>ADH</w:t>
      </w:r>
      <w:r>
        <w:rPr>
          <w:color w:val="231F20"/>
          <w:spacing w:val="-20"/>
          <w:w w:val="105"/>
        </w:rPr>
        <w:t> </w:t>
      </w:r>
      <w:r>
        <w:rPr>
          <w:color w:val="231F20"/>
          <w:w w:val="105"/>
        </w:rPr>
        <w:t>is</w:t>
      </w:r>
      <w:r>
        <w:rPr>
          <w:color w:val="231F20"/>
          <w:spacing w:val="-19"/>
          <w:w w:val="105"/>
        </w:rPr>
        <w:t> </w:t>
      </w:r>
      <w:r>
        <w:rPr>
          <w:color w:val="231F20"/>
          <w:spacing w:val="-3"/>
          <w:w w:val="105"/>
        </w:rPr>
        <w:t>high, </w:t>
      </w:r>
      <w:r>
        <w:rPr>
          <w:color w:val="231F20"/>
          <w:w w:val="105"/>
        </w:rPr>
        <w:t>large</w:t>
      </w:r>
      <w:r>
        <w:rPr>
          <w:color w:val="231F20"/>
          <w:spacing w:val="-5"/>
          <w:w w:val="105"/>
        </w:rPr>
        <w:t> </w:t>
      </w:r>
      <w:r>
        <w:rPr>
          <w:color w:val="231F20"/>
          <w:w w:val="105"/>
        </w:rPr>
        <w:t>amounts</w:t>
      </w:r>
      <w:r>
        <w:rPr>
          <w:color w:val="231F20"/>
          <w:spacing w:val="-5"/>
          <w:w w:val="105"/>
        </w:rPr>
        <w:t> </w:t>
      </w:r>
      <w:r>
        <w:rPr>
          <w:color w:val="231F20"/>
          <w:w w:val="105"/>
        </w:rPr>
        <w:t>of</w:t>
      </w:r>
      <w:r>
        <w:rPr>
          <w:color w:val="231F20"/>
          <w:spacing w:val="-5"/>
          <w:w w:val="105"/>
        </w:rPr>
        <w:t> </w:t>
      </w:r>
      <w:r>
        <w:rPr>
          <w:color w:val="231F20"/>
          <w:w w:val="105"/>
        </w:rPr>
        <w:t>urea</w:t>
      </w:r>
      <w:r>
        <w:rPr>
          <w:color w:val="231F20"/>
          <w:spacing w:val="-5"/>
          <w:w w:val="105"/>
        </w:rPr>
        <w:t> </w:t>
      </w:r>
      <w:r>
        <w:rPr>
          <w:color w:val="231F20"/>
          <w:w w:val="105"/>
        </w:rPr>
        <w:t>are</w:t>
      </w:r>
      <w:r>
        <w:rPr>
          <w:color w:val="231F20"/>
          <w:spacing w:val="-5"/>
          <w:w w:val="105"/>
        </w:rPr>
        <w:t> </w:t>
      </w:r>
      <w:r>
        <w:rPr>
          <w:color w:val="231F20"/>
          <w:w w:val="105"/>
        </w:rPr>
        <w:t>passively</w:t>
      </w:r>
      <w:r>
        <w:rPr>
          <w:color w:val="231F20"/>
          <w:spacing w:val="-5"/>
          <w:w w:val="105"/>
        </w:rPr>
        <w:t> </w:t>
      </w:r>
      <w:r>
        <w:rPr>
          <w:color w:val="231F20"/>
          <w:w w:val="105"/>
        </w:rPr>
        <w:t>reabsorbed</w:t>
      </w:r>
      <w:r>
        <w:rPr>
          <w:color w:val="231F20"/>
          <w:spacing w:val="-5"/>
          <w:w w:val="105"/>
        </w:rPr>
        <w:t> </w:t>
      </w:r>
      <w:r>
        <w:rPr>
          <w:color w:val="231F20"/>
          <w:w w:val="105"/>
        </w:rPr>
        <w:t>from</w:t>
      </w:r>
      <w:r>
        <w:rPr>
          <w:color w:val="231F20"/>
          <w:spacing w:val="-5"/>
          <w:w w:val="105"/>
        </w:rPr>
        <w:t> </w:t>
      </w:r>
      <w:r>
        <w:rPr>
          <w:color w:val="231F20"/>
          <w:w w:val="105"/>
        </w:rPr>
        <w:t>the inner medullary collecting ducts into the</w:t>
      </w:r>
      <w:r>
        <w:rPr>
          <w:color w:val="231F20"/>
          <w:spacing w:val="-10"/>
          <w:w w:val="105"/>
        </w:rPr>
        <w:t> </w:t>
      </w:r>
      <w:r>
        <w:rPr>
          <w:color w:val="231F20"/>
          <w:w w:val="105"/>
        </w:rPr>
        <w:t>interstitium.</w:t>
      </w:r>
    </w:p>
    <w:p>
      <w:pPr>
        <w:pStyle w:val="BodyText"/>
        <w:spacing w:line="249" w:lineRule="auto" w:before="9"/>
        <w:ind w:left="319" w:right="1437" w:firstLine="240"/>
        <w:jc w:val="both"/>
      </w:pPr>
      <w:r>
        <w:rPr>
          <w:color w:val="231F20"/>
          <w:w w:val="105"/>
        </w:rPr>
        <w:t>The</w:t>
      </w:r>
      <w:r>
        <w:rPr>
          <w:color w:val="231F20"/>
          <w:spacing w:val="-14"/>
          <w:w w:val="105"/>
        </w:rPr>
        <w:t> </w:t>
      </w:r>
      <w:r>
        <w:rPr>
          <w:color w:val="231F20"/>
          <w:w w:val="105"/>
        </w:rPr>
        <w:t>mechanism</w:t>
      </w:r>
      <w:r>
        <w:rPr>
          <w:color w:val="231F20"/>
          <w:spacing w:val="-13"/>
          <w:w w:val="105"/>
        </w:rPr>
        <w:t> </w:t>
      </w:r>
      <w:r>
        <w:rPr>
          <w:color w:val="231F20"/>
          <w:w w:val="105"/>
        </w:rPr>
        <w:t>for</w:t>
      </w:r>
      <w:r>
        <w:rPr>
          <w:color w:val="231F20"/>
          <w:spacing w:val="-13"/>
          <w:w w:val="105"/>
        </w:rPr>
        <w:t> </w:t>
      </w:r>
      <w:r>
        <w:rPr>
          <w:color w:val="231F20"/>
          <w:w w:val="105"/>
        </w:rPr>
        <w:t>reabsorption</w:t>
      </w:r>
      <w:r>
        <w:rPr>
          <w:color w:val="231F20"/>
          <w:spacing w:val="-13"/>
          <w:w w:val="105"/>
        </w:rPr>
        <w:t> </w:t>
      </w:r>
      <w:r>
        <w:rPr>
          <w:color w:val="231F20"/>
          <w:w w:val="105"/>
        </w:rPr>
        <w:t>of</w:t>
      </w:r>
      <w:r>
        <w:rPr>
          <w:color w:val="231F20"/>
          <w:spacing w:val="-14"/>
          <w:w w:val="105"/>
        </w:rPr>
        <w:t> </w:t>
      </w:r>
      <w:r>
        <w:rPr>
          <w:color w:val="231F20"/>
          <w:w w:val="105"/>
        </w:rPr>
        <w:t>urea</w:t>
      </w:r>
      <w:r>
        <w:rPr>
          <w:color w:val="231F20"/>
          <w:spacing w:val="-13"/>
          <w:w w:val="105"/>
        </w:rPr>
        <w:t> </w:t>
      </w:r>
      <w:r>
        <w:rPr>
          <w:color w:val="231F20"/>
          <w:w w:val="105"/>
        </w:rPr>
        <w:t>into</w:t>
      </w:r>
      <w:r>
        <w:rPr>
          <w:color w:val="231F20"/>
          <w:spacing w:val="-13"/>
          <w:w w:val="105"/>
        </w:rPr>
        <w:t> </w:t>
      </w:r>
      <w:r>
        <w:rPr>
          <w:color w:val="231F20"/>
          <w:w w:val="105"/>
        </w:rPr>
        <w:t>the</w:t>
      </w:r>
      <w:r>
        <w:rPr>
          <w:color w:val="231F20"/>
          <w:spacing w:val="-13"/>
          <w:w w:val="105"/>
        </w:rPr>
        <w:t> </w:t>
      </w:r>
      <w:r>
        <w:rPr>
          <w:color w:val="231F20"/>
          <w:w w:val="105"/>
        </w:rPr>
        <w:t>renal medulla is as follows: As water flows up the ascending loop of Henle and into the distal and cortical collecting tubules,</w:t>
      </w:r>
      <w:r>
        <w:rPr>
          <w:color w:val="231F20"/>
          <w:spacing w:val="-7"/>
          <w:w w:val="105"/>
        </w:rPr>
        <w:t> </w:t>
      </w:r>
      <w:r>
        <w:rPr>
          <w:color w:val="231F20"/>
          <w:w w:val="105"/>
        </w:rPr>
        <w:t>little</w:t>
      </w:r>
      <w:r>
        <w:rPr>
          <w:color w:val="231F20"/>
          <w:spacing w:val="-6"/>
          <w:w w:val="105"/>
        </w:rPr>
        <w:t> </w:t>
      </w:r>
      <w:r>
        <w:rPr>
          <w:color w:val="231F20"/>
          <w:w w:val="105"/>
        </w:rPr>
        <w:t>urea</w:t>
      </w:r>
      <w:r>
        <w:rPr>
          <w:color w:val="231F20"/>
          <w:spacing w:val="-6"/>
          <w:w w:val="105"/>
        </w:rPr>
        <w:t> </w:t>
      </w:r>
      <w:r>
        <w:rPr>
          <w:color w:val="231F20"/>
          <w:w w:val="105"/>
        </w:rPr>
        <w:t>is</w:t>
      </w:r>
      <w:r>
        <w:rPr>
          <w:color w:val="231F20"/>
          <w:spacing w:val="-6"/>
          <w:w w:val="105"/>
        </w:rPr>
        <w:t> </w:t>
      </w:r>
      <w:r>
        <w:rPr>
          <w:color w:val="231F20"/>
          <w:w w:val="105"/>
        </w:rPr>
        <w:t>reabsorbed</w:t>
      </w:r>
      <w:r>
        <w:rPr>
          <w:color w:val="231F20"/>
          <w:spacing w:val="-6"/>
          <w:w w:val="105"/>
        </w:rPr>
        <w:t> </w:t>
      </w:r>
      <w:r>
        <w:rPr>
          <w:color w:val="231F20"/>
          <w:w w:val="105"/>
        </w:rPr>
        <w:t>because</w:t>
      </w:r>
      <w:r>
        <w:rPr>
          <w:color w:val="231F20"/>
          <w:spacing w:val="-6"/>
          <w:w w:val="105"/>
        </w:rPr>
        <w:t> </w:t>
      </w:r>
      <w:r>
        <w:rPr>
          <w:color w:val="231F20"/>
          <w:w w:val="105"/>
        </w:rPr>
        <w:t>these</w:t>
      </w:r>
      <w:r>
        <w:rPr>
          <w:color w:val="231F20"/>
          <w:spacing w:val="-6"/>
          <w:w w:val="105"/>
        </w:rPr>
        <w:t> </w:t>
      </w:r>
      <w:r>
        <w:rPr>
          <w:color w:val="231F20"/>
          <w:w w:val="105"/>
        </w:rPr>
        <w:t>segments are</w:t>
      </w:r>
      <w:r>
        <w:rPr>
          <w:color w:val="231F20"/>
          <w:spacing w:val="-21"/>
          <w:w w:val="105"/>
        </w:rPr>
        <w:t> </w:t>
      </w:r>
      <w:r>
        <w:rPr>
          <w:color w:val="231F20"/>
          <w:w w:val="105"/>
        </w:rPr>
        <w:t>impermeable</w:t>
      </w:r>
      <w:r>
        <w:rPr>
          <w:color w:val="231F20"/>
          <w:spacing w:val="-20"/>
          <w:w w:val="105"/>
        </w:rPr>
        <w:t> </w:t>
      </w:r>
      <w:r>
        <w:rPr>
          <w:color w:val="231F20"/>
          <w:w w:val="105"/>
        </w:rPr>
        <w:t>to</w:t>
      </w:r>
      <w:r>
        <w:rPr>
          <w:color w:val="231F20"/>
          <w:spacing w:val="-20"/>
          <w:w w:val="105"/>
        </w:rPr>
        <w:t> </w:t>
      </w:r>
      <w:r>
        <w:rPr>
          <w:color w:val="231F20"/>
          <w:w w:val="105"/>
        </w:rPr>
        <w:t>urea</w:t>
      </w:r>
      <w:r>
        <w:rPr>
          <w:color w:val="231F20"/>
          <w:spacing w:val="-21"/>
          <w:w w:val="105"/>
        </w:rPr>
        <w:t> </w:t>
      </w:r>
      <w:r>
        <w:rPr>
          <w:color w:val="231F20"/>
          <w:w w:val="105"/>
        </w:rPr>
        <w:t>(see</w:t>
      </w:r>
      <w:r>
        <w:rPr>
          <w:color w:val="231F20"/>
          <w:spacing w:val="-20"/>
          <w:w w:val="105"/>
        </w:rPr>
        <w:t> </w:t>
      </w:r>
      <w:hyperlink w:history="true" w:anchor="_bookmark69">
        <w:r>
          <w:rPr>
            <w:b/>
            <w:color w:val="0080AC"/>
            <w:spacing w:val="-4"/>
            <w:w w:val="105"/>
          </w:rPr>
          <w:t>Table</w:t>
        </w:r>
        <w:r>
          <w:rPr>
            <w:b/>
            <w:color w:val="0080AC"/>
            <w:spacing w:val="-22"/>
            <w:w w:val="105"/>
          </w:rPr>
          <w:t> </w:t>
        </w:r>
        <w:r>
          <w:rPr>
            <w:b/>
            <w:color w:val="0080AC"/>
            <w:w w:val="105"/>
          </w:rPr>
          <w:t>29-1</w:t>
        </w:r>
      </w:hyperlink>
      <w:r>
        <w:rPr>
          <w:color w:val="231F20"/>
          <w:w w:val="105"/>
        </w:rPr>
        <w:t>).</w:t>
      </w:r>
      <w:r>
        <w:rPr>
          <w:color w:val="231F20"/>
          <w:spacing w:val="-21"/>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presence of high concentrations of ADH, water is reabsorbed rapidly from the cortical collecting tubule and the urea concentration increases rapidly because urea is not</w:t>
      </w:r>
      <w:r>
        <w:rPr>
          <w:color w:val="231F20"/>
          <w:spacing w:val="-8"/>
          <w:w w:val="105"/>
        </w:rPr>
        <w:t> </w:t>
      </w:r>
      <w:r>
        <w:rPr>
          <w:color w:val="231F20"/>
          <w:w w:val="105"/>
        </w:rPr>
        <w:t>very permeant in this part of the</w:t>
      </w:r>
      <w:r>
        <w:rPr>
          <w:color w:val="231F20"/>
          <w:spacing w:val="19"/>
          <w:w w:val="105"/>
        </w:rPr>
        <w:t> </w:t>
      </w:r>
      <w:r>
        <w:rPr>
          <w:color w:val="231F20"/>
          <w:w w:val="105"/>
        </w:rPr>
        <w:t>tubule.</w:t>
      </w:r>
    </w:p>
    <w:p>
      <w:pPr>
        <w:pStyle w:val="BodyText"/>
        <w:spacing w:line="249" w:lineRule="auto" w:before="7"/>
        <w:ind w:left="319" w:right="1437" w:firstLine="240"/>
        <w:jc w:val="both"/>
      </w:pPr>
      <w:r>
        <w:rPr>
          <w:color w:val="231F20"/>
          <w:w w:val="105"/>
        </w:rPr>
        <w:t>As the tubular fluid flows into the inner medullary collecting</w:t>
      </w:r>
      <w:r>
        <w:rPr>
          <w:color w:val="231F20"/>
          <w:spacing w:val="-29"/>
          <w:w w:val="105"/>
        </w:rPr>
        <w:t> </w:t>
      </w:r>
      <w:r>
        <w:rPr>
          <w:color w:val="231F20"/>
          <w:w w:val="105"/>
        </w:rPr>
        <w:t>ducts,</w:t>
      </w:r>
      <w:r>
        <w:rPr>
          <w:color w:val="231F20"/>
          <w:spacing w:val="-27"/>
          <w:w w:val="105"/>
        </w:rPr>
        <w:t> </w:t>
      </w:r>
      <w:r>
        <w:rPr>
          <w:color w:val="231F20"/>
          <w:w w:val="105"/>
        </w:rPr>
        <w:t>still</w:t>
      </w:r>
      <w:r>
        <w:rPr>
          <w:color w:val="231F20"/>
          <w:spacing w:val="-27"/>
          <w:w w:val="105"/>
        </w:rPr>
        <w:t> </w:t>
      </w:r>
      <w:r>
        <w:rPr>
          <w:color w:val="231F20"/>
          <w:w w:val="105"/>
        </w:rPr>
        <w:t>more</w:t>
      </w:r>
      <w:r>
        <w:rPr>
          <w:color w:val="231F20"/>
          <w:spacing w:val="-28"/>
          <w:w w:val="105"/>
        </w:rPr>
        <w:t> </w:t>
      </w:r>
      <w:r>
        <w:rPr>
          <w:color w:val="231F20"/>
          <w:w w:val="105"/>
        </w:rPr>
        <w:t>water</w:t>
      </w:r>
      <w:r>
        <w:rPr>
          <w:color w:val="231F20"/>
          <w:spacing w:val="-27"/>
          <w:w w:val="105"/>
        </w:rPr>
        <w:t> </w:t>
      </w:r>
      <w:r>
        <w:rPr>
          <w:color w:val="231F20"/>
          <w:w w:val="105"/>
        </w:rPr>
        <w:t>reabsorption</w:t>
      </w:r>
      <w:r>
        <w:rPr>
          <w:color w:val="231F20"/>
          <w:spacing w:val="-28"/>
          <w:w w:val="105"/>
        </w:rPr>
        <w:t> </w:t>
      </w:r>
      <w:r>
        <w:rPr>
          <w:color w:val="231F20"/>
          <w:w w:val="105"/>
        </w:rPr>
        <w:t>takes</w:t>
      </w:r>
      <w:r>
        <w:rPr>
          <w:color w:val="231F20"/>
          <w:spacing w:val="-27"/>
          <w:w w:val="105"/>
        </w:rPr>
        <w:t> </w:t>
      </w:r>
      <w:r>
        <w:rPr>
          <w:color w:val="231F20"/>
          <w:spacing w:val="-3"/>
          <w:w w:val="105"/>
        </w:rPr>
        <w:t>place, </w:t>
      </w:r>
      <w:r>
        <w:rPr>
          <w:color w:val="231F20"/>
          <w:w w:val="105"/>
        </w:rPr>
        <w:t>causing</w:t>
      </w:r>
      <w:r>
        <w:rPr>
          <w:color w:val="231F20"/>
          <w:spacing w:val="-14"/>
          <w:w w:val="105"/>
        </w:rPr>
        <w:t> </w:t>
      </w:r>
      <w:r>
        <w:rPr>
          <w:color w:val="231F20"/>
          <w:w w:val="105"/>
        </w:rPr>
        <w:t>an</w:t>
      </w:r>
      <w:r>
        <w:rPr>
          <w:color w:val="231F20"/>
          <w:spacing w:val="-13"/>
          <w:w w:val="105"/>
        </w:rPr>
        <w:t> </w:t>
      </w:r>
      <w:r>
        <w:rPr>
          <w:color w:val="231F20"/>
          <w:w w:val="105"/>
        </w:rPr>
        <w:t>even</w:t>
      </w:r>
      <w:r>
        <w:rPr>
          <w:color w:val="231F20"/>
          <w:spacing w:val="-14"/>
          <w:w w:val="105"/>
        </w:rPr>
        <w:t> </w:t>
      </w:r>
      <w:r>
        <w:rPr>
          <w:color w:val="231F20"/>
          <w:w w:val="105"/>
        </w:rPr>
        <w:t>higher</w:t>
      </w:r>
      <w:r>
        <w:rPr>
          <w:color w:val="231F20"/>
          <w:spacing w:val="-13"/>
          <w:w w:val="105"/>
        </w:rPr>
        <w:t> </w:t>
      </w:r>
      <w:r>
        <w:rPr>
          <w:color w:val="231F20"/>
          <w:w w:val="105"/>
        </w:rPr>
        <w:t>concentration</w:t>
      </w:r>
      <w:r>
        <w:rPr>
          <w:color w:val="231F20"/>
          <w:spacing w:val="-13"/>
          <w:w w:val="105"/>
        </w:rPr>
        <w:t> </w:t>
      </w:r>
      <w:r>
        <w:rPr>
          <w:color w:val="231F20"/>
          <w:w w:val="105"/>
        </w:rPr>
        <w:t>of</w:t>
      </w:r>
      <w:r>
        <w:rPr>
          <w:color w:val="231F20"/>
          <w:spacing w:val="-14"/>
          <w:w w:val="105"/>
        </w:rPr>
        <w:t> </w:t>
      </w:r>
      <w:r>
        <w:rPr>
          <w:color w:val="231F20"/>
          <w:w w:val="105"/>
        </w:rPr>
        <w:t>urea</w:t>
      </w:r>
      <w:r>
        <w:rPr>
          <w:color w:val="231F20"/>
          <w:spacing w:val="-13"/>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fluid. This</w:t>
      </w:r>
      <w:r>
        <w:rPr>
          <w:color w:val="231F20"/>
          <w:spacing w:val="-11"/>
          <w:w w:val="105"/>
        </w:rPr>
        <w:t> </w:t>
      </w:r>
      <w:r>
        <w:rPr>
          <w:color w:val="231F20"/>
          <w:w w:val="105"/>
        </w:rPr>
        <w:t>high</w:t>
      </w:r>
      <w:r>
        <w:rPr>
          <w:color w:val="231F20"/>
          <w:spacing w:val="-11"/>
          <w:w w:val="105"/>
        </w:rPr>
        <w:t> </w:t>
      </w:r>
      <w:r>
        <w:rPr>
          <w:color w:val="231F20"/>
          <w:w w:val="105"/>
        </w:rPr>
        <w:t>concentration</w:t>
      </w:r>
      <w:r>
        <w:rPr>
          <w:color w:val="231F20"/>
          <w:spacing w:val="-11"/>
          <w:w w:val="105"/>
        </w:rPr>
        <w:t> </w:t>
      </w:r>
      <w:r>
        <w:rPr>
          <w:color w:val="231F20"/>
          <w:w w:val="105"/>
        </w:rPr>
        <w:t>of</w:t>
      </w:r>
      <w:r>
        <w:rPr>
          <w:color w:val="231F20"/>
          <w:spacing w:val="-11"/>
          <w:w w:val="105"/>
        </w:rPr>
        <w:t> </w:t>
      </w:r>
      <w:r>
        <w:rPr>
          <w:color w:val="231F20"/>
          <w:w w:val="105"/>
        </w:rPr>
        <w:t>urea</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tubular</w:t>
      </w:r>
      <w:r>
        <w:rPr>
          <w:color w:val="231F20"/>
          <w:spacing w:val="-11"/>
          <w:w w:val="105"/>
        </w:rPr>
        <w:t> </w:t>
      </w:r>
      <w:r>
        <w:rPr>
          <w:color w:val="231F20"/>
          <w:w w:val="105"/>
        </w:rPr>
        <w:t>fluid</w:t>
      </w:r>
      <w:r>
        <w:rPr>
          <w:color w:val="231F20"/>
          <w:spacing w:val="-11"/>
          <w:w w:val="105"/>
        </w:rPr>
        <w:t> </w:t>
      </w:r>
      <w:r>
        <w:rPr>
          <w:color w:val="231F20"/>
          <w:w w:val="105"/>
        </w:rPr>
        <w:t>of</w:t>
      </w:r>
      <w:r>
        <w:rPr>
          <w:color w:val="231F20"/>
          <w:spacing w:val="-11"/>
          <w:w w:val="105"/>
        </w:rPr>
        <w:t> </w:t>
      </w:r>
      <w:r>
        <w:rPr>
          <w:color w:val="231F20"/>
          <w:spacing w:val="-6"/>
          <w:w w:val="105"/>
        </w:rPr>
        <w:t>the </w:t>
      </w:r>
      <w:r>
        <w:rPr>
          <w:color w:val="231F20"/>
          <w:w w:val="105"/>
        </w:rPr>
        <w:t>inner medullary collecting duct causes urea to diffuse out</w:t>
      </w:r>
      <w:r>
        <w:rPr>
          <w:color w:val="231F20"/>
          <w:spacing w:val="-5"/>
          <w:w w:val="105"/>
        </w:rPr>
        <w:t> </w:t>
      </w:r>
      <w:r>
        <w:rPr>
          <w:color w:val="231F20"/>
          <w:w w:val="105"/>
        </w:rPr>
        <w:t>of</w:t>
      </w:r>
      <w:r>
        <w:rPr>
          <w:color w:val="231F20"/>
          <w:spacing w:val="-4"/>
          <w:w w:val="105"/>
        </w:rPr>
        <w:t> </w:t>
      </w:r>
      <w:r>
        <w:rPr>
          <w:color w:val="231F20"/>
          <w:w w:val="105"/>
        </w:rPr>
        <w:t>the</w:t>
      </w:r>
      <w:r>
        <w:rPr>
          <w:color w:val="231F20"/>
          <w:spacing w:val="-5"/>
          <w:w w:val="105"/>
        </w:rPr>
        <w:t> </w:t>
      </w:r>
      <w:r>
        <w:rPr>
          <w:color w:val="231F20"/>
          <w:w w:val="105"/>
        </w:rPr>
        <w:t>tubule</w:t>
      </w:r>
      <w:r>
        <w:rPr>
          <w:color w:val="231F20"/>
          <w:spacing w:val="-4"/>
          <w:w w:val="105"/>
        </w:rPr>
        <w:t> </w:t>
      </w:r>
      <w:r>
        <w:rPr>
          <w:color w:val="231F20"/>
          <w:w w:val="105"/>
        </w:rPr>
        <w:t>into</w:t>
      </w:r>
      <w:r>
        <w:rPr>
          <w:color w:val="231F20"/>
          <w:spacing w:val="-4"/>
          <w:w w:val="105"/>
        </w:rPr>
        <w:t> </w:t>
      </w:r>
      <w:r>
        <w:rPr>
          <w:color w:val="231F20"/>
          <w:w w:val="105"/>
        </w:rPr>
        <w:t>the</w:t>
      </w:r>
      <w:r>
        <w:rPr>
          <w:color w:val="231F20"/>
          <w:spacing w:val="-5"/>
          <w:w w:val="105"/>
        </w:rPr>
        <w:t> </w:t>
      </w:r>
      <w:r>
        <w:rPr>
          <w:color w:val="231F20"/>
          <w:w w:val="105"/>
        </w:rPr>
        <w:t>renal</w:t>
      </w:r>
      <w:r>
        <w:rPr>
          <w:color w:val="231F20"/>
          <w:spacing w:val="-4"/>
          <w:w w:val="105"/>
        </w:rPr>
        <w:t> </w:t>
      </w:r>
      <w:r>
        <w:rPr>
          <w:color w:val="231F20"/>
          <w:w w:val="105"/>
        </w:rPr>
        <w:t>interstitial</w:t>
      </w:r>
      <w:r>
        <w:rPr>
          <w:color w:val="231F20"/>
          <w:spacing w:val="-4"/>
          <w:w w:val="105"/>
        </w:rPr>
        <w:t> </w:t>
      </w:r>
      <w:r>
        <w:rPr>
          <w:color w:val="231F20"/>
          <w:w w:val="105"/>
        </w:rPr>
        <w:t>fluid.</w:t>
      </w:r>
      <w:r>
        <w:rPr>
          <w:color w:val="231F20"/>
          <w:spacing w:val="-5"/>
          <w:w w:val="105"/>
        </w:rPr>
        <w:t> </w:t>
      </w:r>
      <w:r>
        <w:rPr>
          <w:color w:val="231F20"/>
          <w:w w:val="105"/>
        </w:rPr>
        <w:t>This</w:t>
      </w:r>
      <w:r>
        <w:rPr>
          <w:color w:val="231F20"/>
          <w:spacing w:val="-4"/>
          <w:w w:val="105"/>
        </w:rPr>
        <w:t> </w:t>
      </w:r>
      <w:r>
        <w:rPr>
          <w:color w:val="231F20"/>
          <w:spacing w:val="-5"/>
          <w:w w:val="105"/>
        </w:rPr>
        <w:t>dif­ </w:t>
      </w:r>
      <w:r>
        <w:rPr>
          <w:color w:val="231F20"/>
          <w:w w:val="105"/>
        </w:rPr>
        <w:t>fusion</w:t>
      </w:r>
      <w:r>
        <w:rPr>
          <w:color w:val="231F20"/>
          <w:spacing w:val="-17"/>
          <w:w w:val="105"/>
        </w:rPr>
        <w:t> </w:t>
      </w:r>
      <w:r>
        <w:rPr>
          <w:color w:val="231F20"/>
          <w:w w:val="105"/>
        </w:rPr>
        <w:t>is</w:t>
      </w:r>
      <w:r>
        <w:rPr>
          <w:color w:val="231F20"/>
          <w:spacing w:val="-17"/>
          <w:w w:val="105"/>
        </w:rPr>
        <w:t> </w:t>
      </w:r>
      <w:r>
        <w:rPr>
          <w:color w:val="231F20"/>
          <w:w w:val="105"/>
        </w:rPr>
        <w:t>greatly</w:t>
      </w:r>
      <w:r>
        <w:rPr>
          <w:color w:val="231F20"/>
          <w:spacing w:val="-17"/>
          <w:w w:val="105"/>
        </w:rPr>
        <w:t> </w:t>
      </w:r>
      <w:r>
        <w:rPr>
          <w:color w:val="231F20"/>
          <w:w w:val="105"/>
        </w:rPr>
        <w:t>facilitated</w:t>
      </w:r>
      <w:r>
        <w:rPr>
          <w:color w:val="231F20"/>
          <w:spacing w:val="-17"/>
          <w:w w:val="105"/>
        </w:rPr>
        <w:t> </w:t>
      </w:r>
      <w:r>
        <w:rPr>
          <w:color w:val="231F20"/>
          <w:w w:val="105"/>
        </w:rPr>
        <w:t>by</w:t>
      </w:r>
      <w:r>
        <w:rPr>
          <w:color w:val="231F20"/>
          <w:spacing w:val="-16"/>
          <w:w w:val="105"/>
        </w:rPr>
        <w:t> </w:t>
      </w:r>
      <w:r>
        <w:rPr>
          <w:color w:val="231F20"/>
          <w:w w:val="105"/>
        </w:rPr>
        <w:t>specific</w:t>
      </w:r>
      <w:r>
        <w:rPr>
          <w:color w:val="231F20"/>
          <w:spacing w:val="-18"/>
          <w:w w:val="105"/>
        </w:rPr>
        <w:t> </w:t>
      </w:r>
      <w:r>
        <w:rPr>
          <w:i/>
          <w:color w:val="231F20"/>
          <w:w w:val="105"/>
        </w:rPr>
        <w:t>urea</w:t>
      </w:r>
      <w:r>
        <w:rPr>
          <w:i/>
          <w:color w:val="231F20"/>
          <w:spacing w:val="-17"/>
          <w:w w:val="105"/>
        </w:rPr>
        <w:t> </w:t>
      </w:r>
      <w:r>
        <w:rPr>
          <w:i/>
          <w:color w:val="231F20"/>
          <w:w w:val="105"/>
        </w:rPr>
        <w:t>transporters, </w:t>
      </w:r>
      <w:r>
        <w:rPr>
          <w:i/>
          <w:color w:val="231F20"/>
          <w:spacing w:val="-3"/>
          <w:w w:val="105"/>
        </w:rPr>
        <w:t>UT-A1</w:t>
      </w:r>
      <w:r>
        <w:rPr>
          <w:i/>
          <w:color w:val="231F20"/>
          <w:spacing w:val="-7"/>
          <w:w w:val="105"/>
        </w:rPr>
        <w:t> </w:t>
      </w:r>
      <w:r>
        <w:rPr>
          <w:color w:val="231F20"/>
          <w:w w:val="105"/>
        </w:rPr>
        <w:t>and</w:t>
      </w:r>
      <w:r>
        <w:rPr>
          <w:color w:val="231F20"/>
          <w:spacing w:val="-7"/>
          <w:w w:val="105"/>
        </w:rPr>
        <w:t> </w:t>
      </w:r>
      <w:r>
        <w:rPr>
          <w:i/>
          <w:color w:val="231F20"/>
          <w:w w:val="105"/>
        </w:rPr>
        <w:t>UT-A3</w:t>
      </w:r>
      <w:r>
        <w:rPr>
          <w:color w:val="231F20"/>
          <w:w w:val="105"/>
        </w:rPr>
        <w:t>.</w:t>
      </w:r>
      <w:r>
        <w:rPr>
          <w:color w:val="231F20"/>
          <w:spacing w:val="-6"/>
          <w:w w:val="105"/>
        </w:rPr>
        <w:t> </w:t>
      </w:r>
      <w:r>
        <w:rPr>
          <w:color w:val="231F20"/>
          <w:w w:val="105"/>
        </w:rPr>
        <w:t>These</w:t>
      </w:r>
      <w:r>
        <w:rPr>
          <w:color w:val="231F20"/>
          <w:spacing w:val="-7"/>
          <w:w w:val="105"/>
        </w:rPr>
        <w:t> </w:t>
      </w:r>
      <w:r>
        <w:rPr>
          <w:color w:val="231F20"/>
          <w:w w:val="105"/>
        </w:rPr>
        <w:t>urea</w:t>
      </w:r>
      <w:r>
        <w:rPr>
          <w:color w:val="231F20"/>
          <w:spacing w:val="-6"/>
          <w:w w:val="105"/>
        </w:rPr>
        <w:t> </w:t>
      </w:r>
      <w:r>
        <w:rPr>
          <w:color w:val="231F20"/>
          <w:w w:val="105"/>
        </w:rPr>
        <w:t>transporters</w:t>
      </w:r>
      <w:r>
        <w:rPr>
          <w:color w:val="231F20"/>
          <w:spacing w:val="-7"/>
          <w:w w:val="105"/>
        </w:rPr>
        <w:t> </w:t>
      </w:r>
      <w:r>
        <w:rPr>
          <w:color w:val="231F20"/>
          <w:w w:val="105"/>
        </w:rPr>
        <w:t>are</w:t>
      </w:r>
      <w:r>
        <w:rPr>
          <w:color w:val="231F20"/>
          <w:spacing w:val="-7"/>
          <w:w w:val="105"/>
        </w:rPr>
        <w:t> </w:t>
      </w:r>
      <w:r>
        <w:rPr>
          <w:color w:val="231F20"/>
          <w:w w:val="105"/>
        </w:rPr>
        <w:t>activated by</w:t>
      </w:r>
      <w:r>
        <w:rPr>
          <w:color w:val="231F20"/>
          <w:spacing w:val="23"/>
          <w:w w:val="105"/>
        </w:rPr>
        <w:t> </w:t>
      </w:r>
      <w:r>
        <w:rPr>
          <w:color w:val="231F20"/>
          <w:w w:val="105"/>
        </w:rPr>
        <w:t>ADH,</w:t>
      </w:r>
      <w:r>
        <w:rPr>
          <w:color w:val="231F20"/>
          <w:spacing w:val="24"/>
          <w:w w:val="105"/>
        </w:rPr>
        <w:t> </w:t>
      </w:r>
      <w:r>
        <w:rPr>
          <w:color w:val="231F20"/>
          <w:w w:val="105"/>
        </w:rPr>
        <w:t>increasing</w:t>
      </w:r>
      <w:r>
        <w:rPr>
          <w:color w:val="231F20"/>
          <w:spacing w:val="23"/>
          <w:w w:val="105"/>
        </w:rPr>
        <w:t> </w:t>
      </w:r>
      <w:r>
        <w:rPr>
          <w:color w:val="231F20"/>
          <w:w w:val="105"/>
        </w:rPr>
        <w:t>transport</w:t>
      </w:r>
      <w:r>
        <w:rPr>
          <w:color w:val="231F20"/>
          <w:spacing w:val="23"/>
          <w:w w:val="105"/>
        </w:rPr>
        <w:t> </w:t>
      </w:r>
      <w:r>
        <w:rPr>
          <w:color w:val="231F20"/>
          <w:w w:val="105"/>
        </w:rPr>
        <w:t>of</w:t>
      </w:r>
      <w:r>
        <w:rPr>
          <w:color w:val="231F20"/>
          <w:spacing w:val="24"/>
          <w:w w:val="105"/>
        </w:rPr>
        <w:t> </w:t>
      </w:r>
      <w:r>
        <w:rPr>
          <w:color w:val="231F20"/>
          <w:w w:val="105"/>
        </w:rPr>
        <w:t>urea</w:t>
      </w:r>
      <w:r>
        <w:rPr>
          <w:color w:val="231F20"/>
          <w:spacing w:val="24"/>
          <w:w w:val="105"/>
        </w:rPr>
        <w:t> </w:t>
      </w:r>
      <w:r>
        <w:rPr>
          <w:color w:val="231F20"/>
          <w:w w:val="105"/>
        </w:rPr>
        <w:t>out</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4"/>
          <w:w w:val="105"/>
        </w:rPr>
        <w:t> </w:t>
      </w:r>
      <w:r>
        <w:rPr>
          <w:color w:val="231F20"/>
          <w:spacing w:val="-3"/>
          <w:w w:val="105"/>
        </w:rPr>
        <w:t>inner</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799"/>
          <w:pgSz w:w="12240" w:h="15660"/>
          <w:pgMar w:header="0" w:footer="567" w:top="0" w:bottom="760" w:left="0" w:right="0"/>
        </w:sectPr>
      </w:pPr>
    </w:p>
    <w:p>
      <w:pPr>
        <w:pStyle w:val="BodyText"/>
        <w:spacing w:line="249" w:lineRule="auto" w:before="100"/>
        <w:ind w:left="1440"/>
        <w:jc w:val="both"/>
      </w:pPr>
      <w:r>
        <w:rPr>
          <w:color w:val="231F20"/>
          <w:w w:val="105"/>
        </w:rPr>
        <w:t>medullary collecting duct even more when ADH </w:t>
      </w:r>
      <w:r>
        <w:rPr>
          <w:color w:val="231F20"/>
          <w:spacing w:val="-3"/>
          <w:w w:val="105"/>
        </w:rPr>
        <w:t>levels </w:t>
      </w:r>
      <w:r>
        <w:rPr>
          <w:color w:val="231F20"/>
          <w:w w:val="105"/>
        </w:rPr>
        <w:t>are elevated. The simultaneous movement of water </w:t>
      </w:r>
      <w:r>
        <w:rPr>
          <w:color w:val="231F20"/>
          <w:spacing w:val="-4"/>
          <w:w w:val="105"/>
        </w:rPr>
        <w:t>and </w:t>
      </w:r>
      <w:r>
        <w:rPr>
          <w:color w:val="231F20"/>
          <w:w w:val="105"/>
        </w:rPr>
        <w:t>urea</w:t>
      </w:r>
      <w:r>
        <w:rPr>
          <w:color w:val="231F20"/>
          <w:spacing w:val="-21"/>
          <w:w w:val="105"/>
        </w:rPr>
        <w:t> </w:t>
      </w:r>
      <w:r>
        <w:rPr>
          <w:color w:val="231F20"/>
          <w:w w:val="105"/>
        </w:rPr>
        <w:t>out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inner</w:t>
      </w:r>
      <w:r>
        <w:rPr>
          <w:color w:val="231F20"/>
          <w:spacing w:val="-20"/>
          <w:w w:val="105"/>
        </w:rPr>
        <w:t> </w:t>
      </w:r>
      <w:r>
        <w:rPr>
          <w:color w:val="231F20"/>
          <w:w w:val="105"/>
        </w:rPr>
        <w:t>medullary</w:t>
      </w:r>
      <w:r>
        <w:rPr>
          <w:color w:val="231F20"/>
          <w:spacing w:val="-20"/>
          <w:w w:val="105"/>
        </w:rPr>
        <w:t> </w:t>
      </w:r>
      <w:r>
        <w:rPr>
          <w:color w:val="231F20"/>
          <w:w w:val="105"/>
        </w:rPr>
        <w:t>collecting</w:t>
      </w:r>
      <w:r>
        <w:rPr>
          <w:color w:val="231F20"/>
          <w:spacing w:val="-21"/>
          <w:w w:val="105"/>
        </w:rPr>
        <w:t> </w:t>
      </w:r>
      <w:r>
        <w:rPr>
          <w:color w:val="231F20"/>
          <w:w w:val="105"/>
        </w:rPr>
        <w:t>ducts</w:t>
      </w:r>
      <w:r>
        <w:rPr>
          <w:color w:val="231F20"/>
          <w:spacing w:val="-20"/>
          <w:w w:val="105"/>
        </w:rPr>
        <w:t> </w:t>
      </w:r>
      <w:r>
        <w:rPr>
          <w:color w:val="231F20"/>
          <w:spacing w:val="-3"/>
          <w:w w:val="105"/>
        </w:rPr>
        <w:t>maintains </w:t>
      </w:r>
      <w:r>
        <w:rPr>
          <w:color w:val="231F20"/>
          <w:w w:val="105"/>
        </w:rPr>
        <w:t>a high concentration of urea in the tubular fluid </w:t>
      </w:r>
      <w:r>
        <w:rPr>
          <w:color w:val="231F20"/>
          <w:spacing w:val="-3"/>
          <w:w w:val="105"/>
        </w:rPr>
        <w:t>and, </w:t>
      </w:r>
      <w:r>
        <w:rPr>
          <w:color w:val="231F20"/>
          <w:w w:val="105"/>
        </w:rPr>
        <w:t>eventually, in the urine, even though urea is </w:t>
      </w:r>
      <w:r>
        <w:rPr>
          <w:color w:val="231F20"/>
          <w:spacing w:val="-3"/>
          <w:w w:val="105"/>
        </w:rPr>
        <w:t>being </w:t>
      </w:r>
      <w:r>
        <w:rPr>
          <w:color w:val="231F20"/>
          <w:w w:val="105"/>
        </w:rPr>
        <w:t>reabsorbed.</w:t>
      </w:r>
    </w:p>
    <w:p>
      <w:pPr>
        <w:pStyle w:val="BodyText"/>
        <w:rPr>
          <w:sz w:val="18"/>
        </w:rPr>
      </w:pPr>
      <w:r>
        <w:rPr/>
        <w:br w:type="column"/>
      </w:r>
      <w:r>
        <w:rPr>
          <w:sz w:val="18"/>
        </w:rPr>
      </w:r>
    </w:p>
    <w:p>
      <w:pPr>
        <w:pStyle w:val="BodyText"/>
        <w:rPr>
          <w:sz w:val="18"/>
        </w:rPr>
      </w:pPr>
    </w:p>
    <w:p>
      <w:pPr>
        <w:pStyle w:val="BodyText"/>
        <w:spacing w:before="10"/>
        <w:rPr>
          <w:sz w:val="22"/>
        </w:rPr>
      </w:pPr>
    </w:p>
    <w:p>
      <w:pPr>
        <w:spacing w:before="0"/>
        <w:ind w:left="345" w:right="407" w:firstLine="0"/>
        <w:jc w:val="center"/>
        <w:rPr>
          <w:rFonts w:ascii="Helvetica"/>
          <w:sz w:val="16"/>
        </w:rPr>
      </w:pPr>
      <w:r>
        <w:rPr>
          <w:rFonts w:ascii="Helvetica"/>
          <w:color w:val="231F20"/>
          <w:sz w:val="16"/>
        </w:rPr>
        <w:t>4.5</w:t>
      </w:r>
    </w:p>
    <w:p>
      <w:pPr>
        <w:pStyle w:val="BodyText"/>
        <w:rPr>
          <w:rFonts w:ascii="Helvetica"/>
          <w:sz w:val="18"/>
        </w:rPr>
      </w:pPr>
    </w:p>
    <w:p>
      <w:pPr>
        <w:pStyle w:val="BodyText"/>
        <w:spacing w:before="5"/>
        <w:rPr>
          <w:rFonts w:ascii="Helvetica"/>
          <w:sz w:val="14"/>
        </w:rPr>
      </w:pPr>
    </w:p>
    <w:p>
      <w:pPr>
        <w:spacing w:before="1"/>
        <w:ind w:left="543" w:right="0" w:firstLine="0"/>
        <w:jc w:val="left"/>
        <w:rPr>
          <w:rFonts w:ascii="Helvetica"/>
          <w:sz w:val="16"/>
        </w:rPr>
      </w:pPr>
      <w:r>
        <w:rPr>
          <w:rFonts w:ascii="Helvetica"/>
          <w:color w:val="231F20"/>
          <w:sz w:val="16"/>
        </w:rPr>
        <w:t>Cortex</w:t>
      </w:r>
    </w:p>
    <w:p>
      <w:pPr>
        <w:pStyle w:val="BodyText"/>
        <w:spacing w:before="5"/>
        <w:rPr>
          <w:rFonts w:ascii="Helvetica"/>
          <w:sz w:val="15"/>
        </w:rPr>
      </w:pPr>
      <w:r>
        <w:rPr/>
        <w:br w:type="column"/>
      </w:r>
      <w:r>
        <w:rPr>
          <w:rFonts w:ascii="Helvetica"/>
          <w:sz w:val="15"/>
        </w:rPr>
      </w:r>
    </w:p>
    <w:p>
      <w:pPr>
        <w:spacing w:before="1"/>
        <w:ind w:left="19" w:right="0" w:firstLine="0"/>
        <w:jc w:val="left"/>
        <w:rPr>
          <w:rFonts w:ascii="Helvetica"/>
          <w:sz w:val="16"/>
        </w:rPr>
      </w:pPr>
      <w:r>
        <w:rPr>
          <w:rFonts w:ascii="Helvetica"/>
          <w:color w:val="231F20"/>
          <w:sz w:val="16"/>
        </w:rPr>
        <w:t>100% remaining</w:t>
      </w:r>
    </w:p>
    <w:p>
      <w:pPr>
        <w:pStyle w:val="BodyText"/>
        <w:rPr>
          <w:rFonts w:ascii="Helvetica"/>
          <w:sz w:val="18"/>
        </w:rPr>
      </w:pPr>
    </w:p>
    <w:p>
      <w:pPr>
        <w:spacing w:before="113"/>
        <w:ind w:left="69" w:right="0" w:firstLine="0"/>
        <w:jc w:val="left"/>
        <w:rPr>
          <w:rFonts w:ascii="Helvetica"/>
          <w:sz w:val="16"/>
        </w:rPr>
      </w:pPr>
      <w:r>
        <w:rPr/>
        <w:pict>
          <v:group style="position:absolute;margin-left:324.851624pt;margin-top:-21.485193pt;width:231.25pt;height:228.8pt;mso-position-horizontal-relative:page;mso-position-vertical-relative:paragraph;z-index:-272971776" coordorigin="6497,-430" coordsize="4625,4576">
            <v:shape style="position:absolute;left:0;top:14150;width:4608;height:1004" coordorigin="0,14150" coordsize="4608,1004" path="m6513,883l11121,883m6513,1886l10133,1886e" filled="false" stroked="true" strokeweight=".75pt" strokecolor="#231f20">
              <v:path arrowok="t"/>
              <v:stroke dashstyle="shortdash"/>
            </v:shape>
            <v:shape style="position:absolute;left:6497;top:-430;width:4520;height:4576" type="#_x0000_t75" stroked="false">
              <v:imagedata r:id="rId800" o:title=""/>
            </v:shape>
            <w10:wrap type="none"/>
          </v:group>
        </w:pict>
      </w:r>
      <w:r>
        <w:rPr>
          <w:rFonts w:ascii="Helvetica"/>
          <w:color w:val="231F20"/>
          <w:sz w:val="16"/>
        </w:rPr>
        <w:t>Urea 4.5</w:t>
      </w:r>
    </w:p>
    <w:p>
      <w:pPr>
        <w:pStyle w:val="BodyText"/>
        <w:rPr>
          <w:rFonts w:ascii="Helvetica"/>
          <w:sz w:val="18"/>
        </w:rPr>
      </w:pPr>
    </w:p>
    <w:p>
      <w:pPr>
        <w:spacing w:before="159"/>
        <w:ind w:left="0" w:right="151" w:firstLine="0"/>
        <w:jc w:val="right"/>
        <w:rPr>
          <w:rFonts w:ascii="Helvetica"/>
          <w:sz w:val="16"/>
        </w:rPr>
      </w:pPr>
      <w:r>
        <w:rPr>
          <w:rFonts w:ascii="Helvetica"/>
          <w:color w:val="231F20"/>
          <w:w w:val="99"/>
          <w:sz w:val="16"/>
        </w:rPr>
        <w:t>7</w:t>
      </w:r>
    </w:p>
    <w:p>
      <w:pPr>
        <w:pStyle w:val="BodyText"/>
        <w:rPr>
          <w:rFonts w:ascii="Helvetica"/>
          <w:sz w:val="18"/>
        </w:rPr>
      </w:pPr>
      <w:r>
        <w:rPr/>
        <w:br w:type="column"/>
      </w:r>
      <w:r>
        <w:rPr>
          <w:rFonts w:ascii="Helvetica"/>
          <w:sz w:val="18"/>
        </w:rPr>
      </w:r>
    </w:p>
    <w:p>
      <w:pPr>
        <w:pStyle w:val="BodyText"/>
        <w:rPr>
          <w:rFonts w:ascii="Helvetica"/>
          <w:sz w:val="18"/>
        </w:rPr>
      </w:pPr>
    </w:p>
    <w:p>
      <w:pPr>
        <w:spacing w:before="158"/>
        <w:ind w:left="1071" w:right="0" w:firstLine="0"/>
        <w:jc w:val="left"/>
        <w:rPr>
          <w:rFonts w:ascii="Helvetica"/>
          <w:sz w:val="16"/>
        </w:rPr>
      </w:pPr>
      <w:r>
        <w:rPr>
          <w:rFonts w:ascii="Helvetica"/>
          <w:color w:val="231F20"/>
          <w:sz w:val="16"/>
        </w:rPr>
        <w:t>Urea</w:t>
      </w:r>
    </w:p>
    <w:p>
      <w:pPr>
        <w:pStyle w:val="BodyText"/>
        <w:rPr>
          <w:rFonts w:ascii="Helvetica"/>
          <w:sz w:val="18"/>
        </w:rPr>
      </w:pPr>
    </w:p>
    <w:p>
      <w:pPr>
        <w:pStyle w:val="BodyText"/>
        <w:rPr>
          <w:rFonts w:ascii="Helvetica"/>
          <w:sz w:val="18"/>
        </w:rPr>
      </w:pPr>
    </w:p>
    <w:p>
      <w:pPr>
        <w:pStyle w:val="BodyText"/>
        <w:spacing w:before="2"/>
        <w:rPr>
          <w:rFonts w:ascii="Helvetica"/>
          <w:sz w:val="25"/>
        </w:rPr>
      </w:pPr>
    </w:p>
    <w:p>
      <w:pPr>
        <w:spacing w:line="81" w:lineRule="exact" w:before="0"/>
        <w:ind w:left="817" w:right="0" w:firstLine="0"/>
        <w:jc w:val="left"/>
        <w:rPr>
          <w:rFonts w:ascii="Helvetica"/>
          <w:sz w:val="16"/>
        </w:rPr>
      </w:pPr>
      <w:r>
        <w:rPr/>
        <w:pict>
          <v:shape style="position:absolute;margin-left:578.900024pt;margin-top:-4.366870pt;width:15.9pt;height:53.35pt;mso-position-horizontal-relative:page;mso-position-vertical-relative:paragraph;z-index:25243443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100%</w:t>
      </w:r>
    </w:p>
    <w:p>
      <w:pPr>
        <w:spacing w:after="0" w:line="81" w:lineRule="exact"/>
        <w:jc w:val="left"/>
        <w:rPr>
          <w:rFonts w:ascii="Helvetica"/>
          <w:sz w:val="16"/>
        </w:rPr>
        <w:sectPr>
          <w:type w:val="continuous"/>
          <w:pgSz w:w="12240" w:h="15660"/>
          <w:pgMar w:top="0" w:bottom="760" w:left="0" w:right="0"/>
          <w:cols w:num="4" w:equalWidth="0">
            <w:col w:w="6121" w:space="40"/>
            <w:col w:w="1015" w:space="39"/>
            <w:col w:w="1176" w:space="39"/>
            <w:col w:w="3810"/>
          </w:cols>
        </w:sectPr>
      </w:pPr>
    </w:p>
    <w:p>
      <w:pPr>
        <w:pStyle w:val="BodyText"/>
        <w:spacing w:line="249" w:lineRule="auto"/>
        <w:ind w:left="1440" w:right="-10" w:firstLine="240"/>
      </w:pPr>
      <w:r>
        <w:rPr>
          <w:color w:val="231F20"/>
          <w:w w:val="105"/>
        </w:rPr>
        <w:t>The</w:t>
      </w:r>
      <w:r>
        <w:rPr>
          <w:color w:val="231F20"/>
          <w:spacing w:val="-11"/>
          <w:w w:val="105"/>
        </w:rPr>
        <w:t> </w:t>
      </w:r>
      <w:r>
        <w:rPr>
          <w:color w:val="231F20"/>
          <w:w w:val="105"/>
        </w:rPr>
        <w:t>fundamental</w:t>
      </w:r>
      <w:r>
        <w:rPr>
          <w:color w:val="231F20"/>
          <w:spacing w:val="-10"/>
          <w:w w:val="105"/>
        </w:rPr>
        <w:t> </w:t>
      </w:r>
      <w:r>
        <w:rPr>
          <w:color w:val="231F20"/>
          <w:w w:val="105"/>
        </w:rPr>
        <w:t>role</w:t>
      </w:r>
      <w:r>
        <w:rPr>
          <w:color w:val="231F20"/>
          <w:spacing w:val="-10"/>
          <w:w w:val="105"/>
        </w:rPr>
        <w:t> </w:t>
      </w:r>
      <w:r>
        <w:rPr>
          <w:color w:val="231F20"/>
          <w:w w:val="105"/>
        </w:rPr>
        <w:t>of</w:t>
      </w:r>
      <w:r>
        <w:rPr>
          <w:color w:val="231F20"/>
          <w:spacing w:val="-11"/>
          <w:w w:val="105"/>
        </w:rPr>
        <w:t> </w:t>
      </w:r>
      <w:r>
        <w:rPr>
          <w:color w:val="231F20"/>
          <w:w w:val="105"/>
        </w:rPr>
        <w:t>urea</w:t>
      </w:r>
      <w:r>
        <w:rPr>
          <w:color w:val="231F20"/>
          <w:spacing w:val="-10"/>
          <w:w w:val="105"/>
        </w:rPr>
        <w:t> </w:t>
      </w:r>
      <w:r>
        <w:rPr>
          <w:color w:val="231F20"/>
          <w:w w:val="105"/>
        </w:rPr>
        <w:t>in</w:t>
      </w:r>
      <w:r>
        <w:rPr>
          <w:color w:val="231F20"/>
          <w:spacing w:val="-10"/>
          <w:w w:val="105"/>
        </w:rPr>
        <w:t> </w:t>
      </w:r>
      <w:r>
        <w:rPr>
          <w:color w:val="231F20"/>
          <w:w w:val="105"/>
        </w:rPr>
        <w:t>contributing</w:t>
      </w:r>
      <w:r>
        <w:rPr>
          <w:color w:val="231F20"/>
          <w:spacing w:val="-11"/>
          <w:w w:val="105"/>
        </w:rPr>
        <w:t> </w:t>
      </w:r>
      <w:r>
        <w:rPr>
          <w:color w:val="231F20"/>
          <w:w w:val="105"/>
        </w:rPr>
        <w:t>to</w:t>
      </w:r>
      <w:r>
        <w:rPr>
          <w:color w:val="231F20"/>
          <w:spacing w:val="-10"/>
          <w:w w:val="105"/>
        </w:rPr>
        <w:t> </w:t>
      </w:r>
      <w:r>
        <w:rPr>
          <w:color w:val="231F20"/>
          <w:w w:val="105"/>
        </w:rPr>
        <w:t>urine­ concentrating</w:t>
      </w:r>
      <w:r>
        <w:rPr>
          <w:color w:val="231F20"/>
          <w:spacing w:val="-8"/>
          <w:w w:val="105"/>
        </w:rPr>
        <w:t> </w:t>
      </w:r>
      <w:r>
        <w:rPr>
          <w:color w:val="231F20"/>
          <w:w w:val="105"/>
        </w:rPr>
        <w:t>ability</w:t>
      </w:r>
      <w:r>
        <w:rPr>
          <w:color w:val="231F20"/>
          <w:spacing w:val="-8"/>
          <w:w w:val="105"/>
        </w:rPr>
        <w:t> </w:t>
      </w:r>
      <w:r>
        <w:rPr>
          <w:color w:val="231F20"/>
          <w:w w:val="105"/>
        </w:rPr>
        <w:t>is</w:t>
      </w:r>
      <w:r>
        <w:rPr>
          <w:color w:val="231F20"/>
          <w:spacing w:val="-8"/>
          <w:w w:val="105"/>
        </w:rPr>
        <w:t> </w:t>
      </w:r>
      <w:r>
        <w:rPr>
          <w:color w:val="231F20"/>
          <w:w w:val="105"/>
        </w:rPr>
        <w:t>evidenced</w:t>
      </w:r>
      <w:r>
        <w:rPr>
          <w:color w:val="231F20"/>
          <w:spacing w:val="-8"/>
          <w:w w:val="105"/>
        </w:rPr>
        <w:t> </w:t>
      </w:r>
      <w:r>
        <w:rPr>
          <w:color w:val="231F20"/>
          <w:w w:val="105"/>
        </w:rPr>
        <w:t>by</w:t>
      </w:r>
      <w:r>
        <w:rPr>
          <w:color w:val="231F20"/>
          <w:spacing w:val="-8"/>
          <w:w w:val="105"/>
        </w:rPr>
        <w:t> </w:t>
      </w:r>
      <w:r>
        <w:rPr>
          <w:color w:val="231F20"/>
          <w:w w:val="105"/>
        </w:rPr>
        <w:t>the</w:t>
      </w:r>
      <w:r>
        <w:rPr>
          <w:color w:val="231F20"/>
          <w:spacing w:val="-8"/>
          <w:w w:val="105"/>
        </w:rPr>
        <w:t> </w:t>
      </w:r>
      <w:r>
        <w:rPr>
          <w:color w:val="231F20"/>
          <w:w w:val="105"/>
        </w:rPr>
        <w:t>fact</w:t>
      </w:r>
      <w:r>
        <w:rPr>
          <w:color w:val="231F20"/>
          <w:spacing w:val="-8"/>
          <w:w w:val="105"/>
        </w:rPr>
        <w:t> </w:t>
      </w:r>
      <w:r>
        <w:rPr>
          <w:color w:val="231F20"/>
          <w:w w:val="105"/>
        </w:rPr>
        <w:t>that</w:t>
      </w:r>
      <w:r>
        <w:rPr>
          <w:color w:val="231F20"/>
          <w:spacing w:val="-8"/>
          <w:w w:val="105"/>
        </w:rPr>
        <w:t> </w:t>
      </w:r>
      <w:r>
        <w:rPr>
          <w:color w:val="231F20"/>
          <w:spacing w:val="-3"/>
          <w:w w:val="105"/>
        </w:rPr>
        <w:t>people</w:t>
      </w:r>
    </w:p>
    <w:p>
      <w:pPr>
        <w:spacing w:before="94"/>
        <w:ind w:left="580" w:right="0" w:firstLine="0"/>
        <w:jc w:val="left"/>
        <w:rPr>
          <w:rFonts w:ascii="Helvetica"/>
          <w:sz w:val="16"/>
        </w:rPr>
      </w:pPr>
      <w:r>
        <w:rPr/>
        <w:br w:type="column"/>
      </w:r>
      <w:r>
        <w:rPr>
          <w:rFonts w:ascii="Helvetica"/>
          <w:color w:val="231F20"/>
          <w:sz w:val="16"/>
        </w:rPr>
        <w:t>50% remaining</w:t>
      </w:r>
    </w:p>
    <w:p>
      <w:pPr>
        <w:tabs>
          <w:tab w:pos="1399" w:val="left" w:leader="none"/>
        </w:tabs>
        <w:spacing w:line="252" w:lineRule="exact" w:before="48"/>
        <w:ind w:left="1668" w:right="2288" w:hanging="1054"/>
        <w:jc w:val="left"/>
        <w:rPr>
          <w:rFonts w:ascii="Helvetica"/>
          <w:sz w:val="16"/>
        </w:rPr>
      </w:pPr>
      <w:r>
        <w:rPr/>
        <w:br w:type="column"/>
      </w:r>
      <w:r>
        <w:rPr>
          <w:rFonts w:ascii="Helvetica"/>
          <w:color w:val="231F20"/>
          <w:position w:val="-11"/>
          <w:sz w:val="16"/>
        </w:rPr>
        <w:t>30</w:t>
        <w:tab/>
      </w:r>
      <w:r>
        <w:rPr>
          <w:rFonts w:ascii="Helvetica"/>
          <w:color w:val="231F20"/>
          <w:sz w:val="16"/>
        </w:rPr>
        <w:t>remaining 30</w:t>
      </w:r>
    </w:p>
    <w:p>
      <w:pPr>
        <w:spacing w:after="0" w:line="252" w:lineRule="exact"/>
        <w:jc w:val="left"/>
        <w:rPr>
          <w:rFonts w:ascii="Helvetica"/>
          <w:sz w:val="16"/>
        </w:rPr>
        <w:sectPr>
          <w:type w:val="continuous"/>
          <w:pgSz w:w="12240" w:h="15660"/>
          <w:pgMar w:top="0" w:bottom="760" w:left="0" w:right="0"/>
          <w:cols w:num="3" w:equalWidth="0">
            <w:col w:w="6121" w:space="40"/>
            <w:col w:w="1648" w:space="39"/>
            <w:col w:w="4392"/>
          </w:cols>
        </w:sectPr>
      </w:pPr>
    </w:p>
    <w:p>
      <w:pPr>
        <w:pStyle w:val="BodyText"/>
        <w:spacing w:line="158" w:lineRule="exact"/>
        <w:ind w:left="1440"/>
        <w:jc w:val="both"/>
      </w:pPr>
      <w:r>
        <w:rPr>
          <w:color w:val="231F20"/>
          <w:w w:val="105"/>
        </w:rPr>
        <w:t>who</w:t>
      </w:r>
      <w:r>
        <w:rPr>
          <w:color w:val="231F20"/>
          <w:spacing w:val="-13"/>
          <w:w w:val="105"/>
        </w:rPr>
        <w:t> </w:t>
      </w:r>
      <w:r>
        <w:rPr>
          <w:color w:val="231F20"/>
          <w:w w:val="105"/>
        </w:rPr>
        <w:t>ingest</w:t>
      </w:r>
      <w:r>
        <w:rPr>
          <w:color w:val="231F20"/>
          <w:spacing w:val="-14"/>
          <w:w w:val="105"/>
        </w:rPr>
        <w:t> </w:t>
      </w:r>
      <w:r>
        <w:rPr>
          <w:color w:val="231F20"/>
          <w:w w:val="105"/>
        </w:rPr>
        <w:t>a</w:t>
      </w:r>
      <w:r>
        <w:rPr>
          <w:color w:val="231F20"/>
          <w:spacing w:val="-13"/>
          <w:w w:val="105"/>
        </w:rPr>
        <w:t> </w:t>
      </w:r>
      <w:r>
        <w:rPr>
          <w:color w:val="231F20"/>
          <w:w w:val="105"/>
        </w:rPr>
        <w:t>high­protein</w:t>
      </w:r>
      <w:r>
        <w:rPr>
          <w:color w:val="231F20"/>
          <w:spacing w:val="-13"/>
          <w:w w:val="105"/>
        </w:rPr>
        <w:t> </w:t>
      </w:r>
      <w:r>
        <w:rPr>
          <w:color w:val="231F20"/>
          <w:w w:val="105"/>
        </w:rPr>
        <w:t>diet,</w:t>
      </w:r>
      <w:r>
        <w:rPr>
          <w:color w:val="231F20"/>
          <w:spacing w:val="-13"/>
          <w:w w:val="105"/>
        </w:rPr>
        <w:t> </w:t>
      </w:r>
      <w:r>
        <w:rPr>
          <w:color w:val="231F20"/>
          <w:w w:val="105"/>
        </w:rPr>
        <w:t>yielding</w:t>
      </w:r>
      <w:r>
        <w:rPr>
          <w:color w:val="231F20"/>
          <w:spacing w:val="-13"/>
          <w:w w:val="105"/>
        </w:rPr>
        <w:t> </w:t>
      </w:r>
      <w:r>
        <w:rPr>
          <w:color w:val="231F20"/>
          <w:w w:val="105"/>
        </w:rPr>
        <w:t>large</w:t>
      </w:r>
      <w:r>
        <w:rPr>
          <w:color w:val="231F20"/>
          <w:spacing w:val="-13"/>
          <w:w w:val="105"/>
        </w:rPr>
        <w:t> </w:t>
      </w:r>
      <w:r>
        <w:rPr>
          <w:color w:val="231F20"/>
          <w:w w:val="105"/>
        </w:rPr>
        <w:t>amounts</w:t>
      </w:r>
      <w:r>
        <w:rPr>
          <w:color w:val="231F20"/>
          <w:spacing w:val="-13"/>
          <w:w w:val="105"/>
        </w:rPr>
        <w:t> </w:t>
      </w:r>
      <w:r>
        <w:rPr>
          <w:color w:val="231F20"/>
          <w:spacing w:val="-6"/>
          <w:w w:val="105"/>
        </w:rPr>
        <w:t>of</w:t>
      </w:r>
    </w:p>
    <w:p>
      <w:pPr>
        <w:pStyle w:val="BodyText"/>
        <w:spacing w:line="249" w:lineRule="auto" w:before="10"/>
        <w:ind w:left="1440"/>
        <w:jc w:val="both"/>
      </w:pPr>
      <w:r>
        <w:rPr>
          <w:color w:val="231F20"/>
          <w:w w:val="105"/>
        </w:rPr>
        <w:t>urea as a nitrogenous “waste” product, can </w:t>
      </w:r>
      <w:r>
        <w:rPr>
          <w:color w:val="231F20"/>
          <w:spacing w:val="-3"/>
          <w:w w:val="105"/>
        </w:rPr>
        <w:t>concentrate </w:t>
      </w:r>
      <w:r>
        <w:rPr>
          <w:color w:val="231F20"/>
          <w:w w:val="105"/>
        </w:rPr>
        <w:t>their</w:t>
      </w:r>
      <w:r>
        <w:rPr>
          <w:color w:val="231F20"/>
          <w:spacing w:val="-10"/>
          <w:w w:val="105"/>
        </w:rPr>
        <w:t> </w:t>
      </w:r>
      <w:r>
        <w:rPr>
          <w:color w:val="231F20"/>
          <w:w w:val="105"/>
        </w:rPr>
        <w:t>urine</w:t>
      </w:r>
      <w:r>
        <w:rPr>
          <w:color w:val="231F20"/>
          <w:spacing w:val="-10"/>
          <w:w w:val="105"/>
        </w:rPr>
        <w:t> </w:t>
      </w:r>
      <w:r>
        <w:rPr>
          <w:color w:val="231F20"/>
          <w:w w:val="105"/>
        </w:rPr>
        <w:t>much</w:t>
      </w:r>
      <w:r>
        <w:rPr>
          <w:color w:val="231F20"/>
          <w:spacing w:val="-9"/>
          <w:w w:val="105"/>
        </w:rPr>
        <w:t> </w:t>
      </w:r>
      <w:r>
        <w:rPr>
          <w:color w:val="231F20"/>
          <w:w w:val="105"/>
        </w:rPr>
        <w:t>better</w:t>
      </w:r>
      <w:r>
        <w:rPr>
          <w:color w:val="231F20"/>
          <w:spacing w:val="-10"/>
          <w:w w:val="105"/>
        </w:rPr>
        <w:t> </w:t>
      </w:r>
      <w:r>
        <w:rPr>
          <w:color w:val="231F20"/>
          <w:w w:val="105"/>
        </w:rPr>
        <w:t>than</w:t>
      </w:r>
      <w:r>
        <w:rPr>
          <w:color w:val="231F20"/>
          <w:spacing w:val="-9"/>
          <w:w w:val="105"/>
        </w:rPr>
        <w:t> </w:t>
      </w:r>
      <w:r>
        <w:rPr>
          <w:color w:val="231F20"/>
          <w:w w:val="105"/>
        </w:rPr>
        <w:t>people</w:t>
      </w:r>
      <w:r>
        <w:rPr>
          <w:color w:val="231F20"/>
          <w:spacing w:val="-10"/>
          <w:w w:val="105"/>
        </w:rPr>
        <w:t> </w:t>
      </w:r>
      <w:r>
        <w:rPr>
          <w:color w:val="231F20"/>
          <w:w w:val="105"/>
        </w:rPr>
        <w:t>whose</w:t>
      </w:r>
      <w:r>
        <w:rPr>
          <w:color w:val="231F20"/>
          <w:spacing w:val="-10"/>
          <w:w w:val="105"/>
        </w:rPr>
        <w:t> </w:t>
      </w:r>
      <w:r>
        <w:rPr>
          <w:color w:val="231F20"/>
          <w:w w:val="105"/>
        </w:rPr>
        <w:t>protein</w:t>
      </w:r>
      <w:r>
        <w:rPr>
          <w:color w:val="231F20"/>
          <w:spacing w:val="-9"/>
          <w:w w:val="105"/>
        </w:rPr>
        <w:t> </w:t>
      </w:r>
      <w:r>
        <w:rPr>
          <w:color w:val="231F20"/>
          <w:w w:val="105"/>
        </w:rPr>
        <w:t>intake and urea production are </w:t>
      </w:r>
      <w:r>
        <w:rPr>
          <w:color w:val="231F20"/>
          <w:spacing w:val="-3"/>
          <w:w w:val="105"/>
        </w:rPr>
        <w:t>low. </w:t>
      </w:r>
      <w:r>
        <w:rPr>
          <w:color w:val="231F20"/>
          <w:w w:val="105"/>
        </w:rPr>
        <w:t>Malnutrition is associated with a low urea concentration in the medullary</w:t>
      </w:r>
      <w:r>
        <w:rPr>
          <w:color w:val="231F20"/>
          <w:spacing w:val="38"/>
          <w:w w:val="105"/>
        </w:rPr>
        <w:t> </w:t>
      </w:r>
      <w:r>
        <w:rPr>
          <w:color w:val="231F20"/>
          <w:w w:val="105"/>
        </w:rPr>
        <w:t>intersti­</w:t>
      </w:r>
    </w:p>
    <w:p>
      <w:pPr>
        <w:spacing w:line="76" w:lineRule="exact" w:before="0"/>
        <w:ind w:left="578" w:right="0" w:firstLine="0"/>
        <w:jc w:val="left"/>
        <w:rPr>
          <w:rFonts w:ascii="Helvetica"/>
          <w:sz w:val="16"/>
        </w:rPr>
      </w:pPr>
      <w:r>
        <w:rPr/>
        <w:br w:type="column"/>
      </w:r>
      <w:r>
        <w:rPr>
          <w:rFonts w:ascii="Helvetica"/>
          <w:color w:val="231F20"/>
          <w:sz w:val="16"/>
        </w:rPr>
        <w:t>Outer</w:t>
      </w:r>
    </w:p>
    <w:p>
      <w:pPr>
        <w:spacing w:line="182" w:lineRule="exact" w:before="0"/>
        <w:ind w:left="498" w:right="0" w:firstLine="0"/>
        <w:jc w:val="left"/>
        <w:rPr>
          <w:rFonts w:ascii="Helvetica"/>
          <w:sz w:val="16"/>
        </w:rPr>
      </w:pPr>
      <w:r>
        <w:rPr>
          <w:rFonts w:ascii="Helvetica"/>
          <w:color w:val="231F20"/>
          <w:sz w:val="16"/>
        </w:rPr>
        <w:t>medulla</w:t>
      </w:r>
    </w:p>
    <w:p>
      <w:pPr>
        <w:pStyle w:val="BodyText"/>
        <w:rPr>
          <w:rFonts w:ascii="Helvetica"/>
          <w:sz w:val="18"/>
        </w:rPr>
      </w:pPr>
    </w:p>
    <w:p>
      <w:pPr>
        <w:spacing w:line="235" w:lineRule="auto" w:before="127"/>
        <w:ind w:left="498" w:right="-20" w:firstLine="97"/>
        <w:jc w:val="left"/>
        <w:rPr>
          <w:rFonts w:ascii="Helvetica"/>
          <w:sz w:val="16"/>
        </w:rPr>
      </w:pPr>
      <w:r>
        <w:rPr>
          <w:rFonts w:ascii="Helvetica"/>
          <w:color w:val="231F20"/>
          <w:sz w:val="16"/>
        </w:rPr>
        <w:t>Inner medulla</w:t>
      </w:r>
    </w:p>
    <w:p>
      <w:pPr>
        <w:spacing w:line="84" w:lineRule="exact" w:before="0"/>
        <w:ind w:left="14" w:right="0" w:firstLine="0"/>
        <w:jc w:val="left"/>
        <w:rPr>
          <w:rFonts w:ascii="Helvetica"/>
          <w:sz w:val="16"/>
        </w:rPr>
      </w:pPr>
      <w:r>
        <w:rPr/>
        <w:br w:type="column"/>
      </w:r>
      <w:r>
        <w:rPr>
          <w:rFonts w:ascii="Helvetica"/>
          <w:color w:val="231F20"/>
          <w:sz w:val="16"/>
        </w:rPr>
        <w:t>H</w:t>
      </w:r>
      <w:r>
        <w:rPr>
          <w:rFonts w:ascii="Helvetica"/>
          <w:color w:val="231F20"/>
          <w:sz w:val="16"/>
          <w:vertAlign w:val="subscript"/>
        </w:rPr>
        <w:t>2</w:t>
      </w:r>
      <w:r>
        <w:rPr>
          <w:rFonts w:ascii="Helvetica"/>
          <w:color w:val="231F20"/>
          <w:sz w:val="16"/>
          <w:vertAlign w:val="baseline"/>
        </w:rPr>
        <w:t>O</w:t>
      </w:r>
    </w:p>
    <w:p>
      <w:pPr>
        <w:tabs>
          <w:tab w:pos="2461" w:val="left" w:leader="none"/>
          <w:tab w:pos="3017" w:val="left" w:leader="none"/>
        </w:tabs>
        <w:spacing w:line="168" w:lineRule="exact" w:before="153"/>
        <w:ind w:left="0" w:right="634" w:firstLine="0"/>
        <w:jc w:val="center"/>
        <w:rPr>
          <w:rFonts w:ascii="Helvetica"/>
          <w:sz w:val="16"/>
        </w:rPr>
      </w:pPr>
      <w:r>
        <w:rPr/>
        <w:br w:type="column"/>
      </w:r>
      <w:r>
        <w:rPr>
          <w:rFonts w:ascii="Helvetica"/>
          <w:color w:val="231F20"/>
          <w:sz w:val="16"/>
        </w:rPr>
        <w:t>15</w:t>
        <w:tab/>
      </w:r>
      <w:r>
        <w:rPr>
          <w:rFonts w:ascii="Helvetica"/>
          <w:color w:val="231F20"/>
          <w:w w:val="100"/>
          <w:sz w:val="16"/>
          <w:u w:val="dotted" w:color="231F20"/>
        </w:rPr>
        <w:t> </w:t>
      </w:r>
      <w:r>
        <w:rPr>
          <w:rFonts w:ascii="Helvetica"/>
          <w:color w:val="231F20"/>
          <w:sz w:val="16"/>
          <w:u w:val="dotted" w:color="231F20"/>
        </w:rPr>
        <w:tab/>
      </w:r>
    </w:p>
    <w:p>
      <w:pPr>
        <w:spacing w:line="168" w:lineRule="exact" w:before="0"/>
        <w:ind w:left="1459" w:right="634" w:firstLine="0"/>
        <w:jc w:val="center"/>
        <w:rPr>
          <w:rFonts w:ascii="Helvetica"/>
          <w:sz w:val="16"/>
        </w:rPr>
      </w:pPr>
      <w:r>
        <w:rPr>
          <w:rFonts w:ascii="Helvetica"/>
          <w:color w:val="231F20"/>
          <w:sz w:val="16"/>
        </w:rPr>
        <w:t>Urea</w:t>
      </w:r>
    </w:p>
    <w:p>
      <w:pPr>
        <w:pStyle w:val="BodyText"/>
        <w:spacing w:before="7"/>
        <w:rPr>
          <w:rFonts w:ascii="Helvetica"/>
          <w:sz w:val="23"/>
        </w:rPr>
      </w:pPr>
    </w:p>
    <w:p>
      <w:pPr>
        <w:tabs>
          <w:tab w:pos="897" w:val="left" w:leader="none"/>
        </w:tabs>
        <w:spacing w:before="0"/>
        <w:ind w:left="149" w:right="0" w:firstLine="0"/>
        <w:jc w:val="center"/>
        <w:rPr>
          <w:rFonts w:ascii="Helvetica"/>
          <w:sz w:val="16"/>
        </w:rPr>
      </w:pPr>
      <w:r>
        <w:rPr/>
        <w:pict>
          <v:rect style="position:absolute;margin-left:576pt;margin-top:2.296814pt;width:36pt;height:24pt;mso-position-horizontal-relative:page;mso-position-vertical-relative:paragraph;z-index:252432384" filled="true" fillcolor="#e8dac8" stroked="false">
            <v:fill type="solid"/>
            <w10:wrap type="none"/>
          </v:rect>
        </w:pict>
      </w:r>
      <w:r>
        <w:rPr>
          <w:rFonts w:ascii="Helvetica"/>
          <w:color w:val="231F20"/>
          <w:sz w:val="16"/>
        </w:rPr>
        <w:t>300</w:t>
        <w:tab/>
        <w:t>300</w:t>
      </w:r>
    </w:p>
    <w:p>
      <w:pPr>
        <w:spacing w:after="0"/>
        <w:jc w:val="center"/>
        <w:rPr>
          <w:rFonts w:ascii="Helvetica"/>
          <w:sz w:val="16"/>
        </w:rPr>
        <w:sectPr>
          <w:type w:val="continuous"/>
          <w:pgSz w:w="12240" w:h="15660"/>
          <w:pgMar w:top="0" w:bottom="760" w:left="0" w:right="0"/>
          <w:cols w:num="4" w:equalWidth="0">
            <w:col w:w="6121" w:space="40"/>
            <w:col w:w="1059" w:space="39"/>
            <w:col w:w="322" w:space="40"/>
            <w:col w:w="4619"/>
          </w:cols>
        </w:sectPr>
      </w:pPr>
    </w:p>
    <w:p>
      <w:pPr>
        <w:pStyle w:val="BodyText"/>
        <w:spacing w:line="249" w:lineRule="auto" w:before="3"/>
        <w:ind w:left="1440" w:right="-6"/>
      </w:pPr>
      <w:r>
        <w:rPr>
          <w:color w:val="231F20"/>
          <w:w w:val="105"/>
        </w:rPr>
        <w:t>tium</w:t>
      </w:r>
      <w:r>
        <w:rPr>
          <w:color w:val="231F20"/>
          <w:spacing w:val="-27"/>
          <w:w w:val="105"/>
        </w:rPr>
        <w:t> </w:t>
      </w:r>
      <w:r>
        <w:rPr>
          <w:color w:val="231F20"/>
          <w:w w:val="105"/>
        </w:rPr>
        <w:t>and</w:t>
      </w:r>
      <w:r>
        <w:rPr>
          <w:color w:val="231F20"/>
          <w:spacing w:val="-27"/>
          <w:w w:val="105"/>
        </w:rPr>
        <w:t> </w:t>
      </w:r>
      <w:r>
        <w:rPr>
          <w:color w:val="231F20"/>
          <w:w w:val="105"/>
        </w:rPr>
        <w:t>considerable</w:t>
      </w:r>
      <w:r>
        <w:rPr>
          <w:color w:val="231F20"/>
          <w:spacing w:val="-26"/>
          <w:w w:val="105"/>
        </w:rPr>
        <w:t> </w:t>
      </w:r>
      <w:r>
        <w:rPr>
          <w:color w:val="231F20"/>
          <w:w w:val="105"/>
        </w:rPr>
        <w:t>impairment</w:t>
      </w:r>
      <w:r>
        <w:rPr>
          <w:color w:val="231F20"/>
          <w:spacing w:val="-27"/>
          <w:w w:val="105"/>
        </w:rPr>
        <w:t> </w:t>
      </w:r>
      <w:r>
        <w:rPr>
          <w:color w:val="231F20"/>
          <w:w w:val="105"/>
        </w:rPr>
        <w:t>of</w:t>
      </w:r>
      <w:r>
        <w:rPr>
          <w:color w:val="231F20"/>
          <w:spacing w:val="-26"/>
          <w:w w:val="105"/>
        </w:rPr>
        <w:t> </w:t>
      </w:r>
      <w:r>
        <w:rPr>
          <w:color w:val="231F20"/>
          <w:w w:val="105"/>
        </w:rPr>
        <w:t>urine­concentrating ability.</w:t>
      </w:r>
    </w:p>
    <w:p>
      <w:pPr>
        <w:spacing w:line="261" w:lineRule="auto" w:before="250"/>
        <w:ind w:left="1440" w:right="0" w:firstLine="0"/>
        <w:jc w:val="left"/>
        <w:rPr>
          <w:rFonts w:ascii="Trebuchet MS"/>
          <w:b/>
          <w:sz w:val="19"/>
        </w:rPr>
      </w:pPr>
      <w:r>
        <w:rPr>
          <w:rFonts w:ascii="Trebuchet MS"/>
          <w:b/>
          <w:color w:val="231F20"/>
          <w:sz w:val="19"/>
        </w:rPr>
        <w:t>Recirculation</w:t>
      </w:r>
      <w:r>
        <w:rPr>
          <w:rFonts w:ascii="Trebuchet MS"/>
          <w:b/>
          <w:color w:val="231F20"/>
          <w:spacing w:val="-6"/>
          <w:sz w:val="19"/>
        </w:rPr>
        <w:t> </w:t>
      </w:r>
      <w:r>
        <w:rPr>
          <w:rFonts w:ascii="Trebuchet MS"/>
          <w:b/>
          <w:color w:val="231F20"/>
          <w:sz w:val="19"/>
        </w:rPr>
        <w:t>of</w:t>
      </w:r>
      <w:r>
        <w:rPr>
          <w:rFonts w:ascii="Trebuchet MS"/>
          <w:b/>
          <w:color w:val="231F20"/>
          <w:spacing w:val="-6"/>
          <w:sz w:val="19"/>
        </w:rPr>
        <w:t> </w:t>
      </w:r>
      <w:r>
        <w:rPr>
          <w:rFonts w:ascii="Trebuchet MS"/>
          <w:b/>
          <w:color w:val="231F20"/>
          <w:sz w:val="19"/>
        </w:rPr>
        <w:t>Urea</w:t>
      </w:r>
      <w:r>
        <w:rPr>
          <w:rFonts w:ascii="Trebuchet MS"/>
          <w:b/>
          <w:color w:val="231F20"/>
          <w:spacing w:val="-6"/>
          <w:sz w:val="19"/>
        </w:rPr>
        <w:t> </w:t>
      </w:r>
      <w:r>
        <w:rPr>
          <w:rFonts w:ascii="Trebuchet MS"/>
          <w:b/>
          <w:color w:val="231F20"/>
          <w:sz w:val="19"/>
        </w:rPr>
        <w:t>from</w:t>
      </w:r>
      <w:r>
        <w:rPr>
          <w:rFonts w:ascii="Trebuchet MS"/>
          <w:b/>
          <w:color w:val="231F20"/>
          <w:spacing w:val="-6"/>
          <w:sz w:val="19"/>
        </w:rPr>
        <w:t> </w:t>
      </w:r>
      <w:r>
        <w:rPr>
          <w:rFonts w:ascii="Trebuchet MS"/>
          <w:b/>
          <w:color w:val="231F20"/>
          <w:sz w:val="19"/>
        </w:rPr>
        <w:t>the</w:t>
      </w:r>
      <w:r>
        <w:rPr>
          <w:rFonts w:ascii="Trebuchet MS"/>
          <w:b/>
          <w:color w:val="231F20"/>
          <w:spacing w:val="-6"/>
          <w:sz w:val="19"/>
        </w:rPr>
        <w:t> </w:t>
      </w:r>
      <w:r>
        <w:rPr>
          <w:rFonts w:ascii="Trebuchet MS"/>
          <w:b/>
          <w:color w:val="231F20"/>
          <w:sz w:val="19"/>
        </w:rPr>
        <w:t>Collecting</w:t>
      </w:r>
      <w:r>
        <w:rPr>
          <w:rFonts w:ascii="Trebuchet MS"/>
          <w:b/>
          <w:color w:val="231F20"/>
          <w:spacing w:val="-6"/>
          <w:sz w:val="19"/>
        </w:rPr>
        <w:t> </w:t>
      </w:r>
      <w:r>
        <w:rPr>
          <w:rFonts w:ascii="Trebuchet MS"/>
          <w:b/>
          <w:color w:val="231F20"/>
          <w:sz w:val="19"/>
        </w:rPr>
        <w:t>Duct</w:t>
      </w:r>
      <w:r>
        <w:rPr>
          <w:rFonts w:ascii="Trebuchet MS"/>
          <w:b/>
          <w:color w:val="231F20"/>
          <w:spacing w:val="-6"/>
          <w:sz w:val="19"/>
        </w:rPr>
        <w:t> </w:t>
      </w:r>
      <w:r>
        <w:rPr>
          <w:rFonts w:ascii="Trebuchet MS"/>
          <w:b/>
          <w:color w:val="231F20"/>
          <w:sz w:val="19"/>
        </w:rPr>
        <w:t>to</w:t>
      </w:r>
      <w:r>
        <w:rPr>
          <w:rFonts w:ascii="Trebuchet MS"/>
          <w:b/>
          <w:color w:val="231F20"/>
          <w:spacing w:val="-6"/>
          <w:sz w:val="19"/>
        </w:rPr>
        <w:t> </w:t>
      </w:r>
      <w:r>
        <w:rPr>
          <w:rFonts w:ascii="Trebuchet MS"/>
          <w:b/>
          <w:color w:val="231F20"/>
          <w:spacing w:val="-5"/>
          <w:sz w:val="19"/>
        </w:rPr>
        <w:t>the </w:t>
      </w:r>
      <w:r>
        <w:rPr>
          <w:rFonts w:ascii="Trebuchet MS"/>
          <w:b/>
          <w:color w:val="231F20"/>
          <w:sz w:val="19"/>
        </w:rPr>
        <w:t>Loop of Henle Contributes to Hyperosmotic</w:t>
      </w:r>
      <w:r>
        <w:rPr>
          <w:rFonts w:ascii="Trebuchet MS"/>
          <w:b/>
          <w:color w:val="231F20"/>
          <w:spacing w:val="-19"/>
          <w:sz w:val="19"/>
        </w:rPr>
        <w:t> </w:t>
      </w:r>
      <w:r>
        <w:rPr>
          <w:rFonts w:ascii="Trebuchet MS"/>
          <w:b/>
          <w:color w:val="231F20"/>
          <w:spacing w:val="-3"/>
          <w:sz w:val="19"/>
        </w:rPr>
        <w:t>Renal</w:t>
      </w:r>
    </w:p>
    <w:p>
      <w:pPr>
        <w:spacing w:before="108"/>
        <w:ind w:left="0" w:right="0" w:firstLine="0"/>
        <w:jc w:val="right"/>
        <w:rPr>
          <w:rFonts w:ascii="Helvetica"/>
          <w:sz w:val="16"/>
        </w:rPr>
      </w:pPr>
      <w:r>
        <w:rPr/>
        <w:br w:type="column"/>
      </w:r>
      <w:r>
        <w:rPr>
          <w:rFonts w:ascii="Helvetica"/>
          <w:color w:val="231F20"/>
          <w:w w:val="95"/>
          <w:sz w:val="16"/>
        </w:rPr>
        <w:t>UT-A2</w:t>
      </w:r>
    </w:p>
    <w:p>
      <w:pPr>
        <w:pStyle w:val="BodyText"/>
        <w:rPr>
          <w:rFonts w:ascii="Helvetica"/>
          <w:sz w:val="18"/>
        </w:rPr>
      </w:pPr>
      <w:r>
        <w:rPr/>
        <w:br w:type="column"/>
      </w:r>
      <w:r>
        <w:rPr>
          <w:rFonts w:ascii="Helvetica"/>
          <w:sz w:val="18"/>
        </w:rPr>
      </w:r>
    </w:p>
    <w:p>
      <w:pPr>
        <w:pStyle w:val="BodyText"/>
        <w:rPr>
          <w:rFonts w:ascii="Helvetica"/>
          <w:sz w:val="18"/>
        </w:rPr>
      </w:pPr>
    </w:p>
    <w:p>
      <w:pPr>
        <w:spacing w:before="134"/>
        <w:ind w:left="0" w:right="0" w:firstLine="0"/>
        <w:jc w:val="right"/>
        <w:rPr>
          <w:rFonts w:ascii="Helvetica"/>
          <w:sz w:val="16"/>
        </w:rPr>
      </w:pPr>
      <w:r>
        <w:rPr>
          <w:rFonts w:ascii="Helvetica"/>
          <w:color w:val="231F20"/>
          <w:w w:val="95"/>
          <w:sz w:val="16"/>
        </w:rPr>
        <w:t>Urea</w:t>
      </w:r>
    </w:p>
    <w:p>
      <w:pPr>
        <w:spacing w:before="148"/>
        <w:ind w:left="222" w:right="0" w:firstLine="0"/>
        <w:jc w:val="left"/>
        <w:rPr>
          <w:rFonts w:ascii="Helvetica"/>
          <w:sz w:val="16"/>
        </w:rPr>
      </w:pPr>
      <w:r>
        <w:rPr/>
        <w:br w:type="column"/>
      </w:r>
      <w:r>
        <w:rPr>
          <w:rFonts w:ascii="Helvetica"/>
          <w:color w:val="231F20"/>
          <w:sz w:val="16"/>
        </w:rPr>
        <w:t>500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spacing w:before="5"/>
        <w:rPr>
          <w:rFonts w:ascii="Helvetica"/>
          <w:sz w:val="16"/>
        </w:rPr>
      </w:pPr>
    </w:p>
    <w:p>
      <w:pPr>
        <w:spacing w:before="0"/>
        <w:ind w:left="440" w:right="0" w:firstLine="0"/>
        <w:jc w:val="left"/>
        <w:rPr>
          <w:rFonts w:ascii="Helvetica"/>
          <w:sz w:val="16"/>
        </w:rPr>
      </w:pPr>
      <w:r>
        <w:rPr>
          <w:rFonts w:ascii="Helvetica"/>
          <w:color w:val="231F20"/>
          <w:sz w:val="16"/>
        </w:rPr>
        <w:t>550</w:t>
      </w:r>
    </w:p>
    <w:p>
      <w:pPr>
        <w:spacing w:line="487" w:lineRule="auto" w:before="11"/>
        <w:ind w:left="129" w:right="1094" w:firstLine="0"/>
        <w:jc w:val="left"/>
        <w:rPr>
          <w:rFonts w:ascii="Helvetica"/>
          <w:sz w:val="16"/>
        </w:rPr>
      </w:pPr>
      <w:r>
        <w:rPr/>
        <w:br w:type="column"/>
      </w:r>
      <w:r>
        <w:rPr>
          <w:rFonts w:ascii="Helvetica"/>
          <w:color w:val="231F20"/>
          <w:sz w:val="16"/>
        </w:rPr>
        <w:t>UT-A1 UT-A3</w:t>
      </w:r>
    </w:p>
    <w:p>
      <w:pPr>
        <w:spacing w:after="0" w:line="487" w:lineRule="auto"/>
        <w:jc w:val="left"/>
        <w:rPr>
          <w:rFonts w:ascii="Helvetica"/>
          <w:sz w:val="16"/>
        </w:rPr>
        <w:sectPr>
          <w:type w:val="continuous"/>
          <w:pgSz w:w="12240" w:h="15660"/>
          <w:pgMar w:top="0" w:bottom="760" w:left="0" w:right="0"/>
          <w:cols w:num="6" w:equalWidth="0">
            <w:col w:w="6121" w:space="40"/>
            <w:col w:w="1419" w:space="39"/>
            <w:col w:w="1617" w:space="39"/>
            <w:col w:w="490" w:space="39"/>
            <w:col w:w="708" w:space="40"/>
            <w:col w:w="1688"/>
          </w:cols>
        </w:sectPr>
      </w:pPr>
    </w:p>
    <w:p>
      <w:pPr>
        <w:pStyle w:val="BodyText"/>
        <w:spacing w:line="249" w:lineRule="auto"/>
        <w:ind w:left="1440" w:hanging="1"/>
        <w:jc w:val="both"/>
      </w:pPr>
      <w:r>
        <w:rPr/>
        <w:pict>
          <v:group style="position:absolute;margin-left:0pt;margin-top:0pt;width:612pt;height:180pt;mso-position-horizontal-relative:page;mso-position-vertical-relative:page;z-index:-27297382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w10:wrap type="none"/>
          </v:group>
        </w:pict>
      </w:r>
      <w:r>
        <w:rPr>
          <w:rFonts w:ascii="Trebuchet MS" w:hAnsi="Trebuchet MS"/>
          <w:b/>
          <w:color w:val="231F20"/>
          <w:w w:val="105"/>
          <w:sz w:val="19"/>
        </w:rPr>
        <w:t>Medulla. </w:t>
      </w:r>
      <w:r>
        <w:rPr>
          <w:color w:val="231F20"/>
          <w:w w:val="105"/>
        </w:rPr>
        <w:t>A healthy person usually excretes about 20</w:t>
      </w:r>
      <w:r>
        <w:rPr>
          <w:color w:val="231F20"/>
          <w:spacing w:val="-15"/>
          <w:w w:val="105"/>
        </w:rPr>
        <w:t> </w:t>
      </w:r>
      <w:r>
        <w:rPr>
          <w:color w:val="231F20"/>
          <w:w w:val="105"/>
        </w:rPr>
        <w:t>to 50</w:t>
      </w:r>
      <w:r>
        <w:rPr>
          <w:color w:val="231F20"/>
          <w:spacing w:val="-13"/>
          <w:w w:val="105"/>
        </w:rPr>
        <w:t> </w:t>
      </w:r>
      <w:r>
        <w:rPr>
          <w:color w:val="231F20"/>
          <w:w w:val="105"/>
        </w:rPr>
        <w:t>percent</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filtered</w:t>
      </w:r>
      <w:r>
        <w:rPr>
          <w:color w:val="231F20"/>
          <w:spacing w:val="-13"/>
          <w:w w:val="105"/>
        </w:rPr>
        <w:t> </w:t>
      </w:r>
      <w:r>
        <w:rPr>
          <w:color w:val="231F20"/>
          <w:w w:val="105"/>
        </w:rPr>
        <w:t>load</w:t>
      </w:r>
      <w:r>
        <w:rPr>
          <w:color w:val="231F20"/>
          <w:spacing w:val="-13"/>
          <w:w w:val="105"/>
        </w:rPr>
        <w:t> </w:t>
      </w:r>
      <w:r>
        <w:rPr>
          <w:color w:val="231F20"/>
          <w:w w:val="105"/>
        </w:rPr>
        <w:t>of</w:t>
      </w:r>
      <w:r>
        <w:rPr>
          <w:color w:val="231F20"/>
          <w:spacing w:val="-13"/>
          <w:w w:val="105"/>
        </w:rPr>
        <w:t> </w:t>
      </w:r>
      <w:r>
        <w:rPr>
          <w:color w:val="231F20"/>
          <w:w w:val="105"/>
        </w:rPr>
        <w:t>urea.</w:t>
      </w:r>
      <w:r>
        <w:rPr>
          <w:color w:val="231F20"/>
          <w:spacing w:val="-13"/>
          <w:w w:val="105"/>
        </w:rPr>
        <w:t> </w:t>
      </w:r>
      <w:r>
        <w:rPr>
          <w:color w:val="231F20"/>
          <w:w w:val="105"/>
        </w:rPr>
        <w:t>In</w:t>
      </w:r>
      <w:r>
        <w:rPr>
          <w:color w:val="231F20"/>
          <w:spacing w:val="-13"/>
          <w:w w:val="105"/>
        </w:rPr>
        <w:t> </w:t>
      </w:r>
      <w:r>
        <w:rPr>
          <w:color w:val="231F20"/>
          <w:w w:val="105"/>
        </w:rPr>
        <w:t>general,</w:t>
      </w:r>
      <w:r>
        <w:rPr>
          <w:color w:val="231F20"/>
          <w:spacing w:val="-13"/>
          <w:w w:val="105"/>
        </w:rPr>
        <w:t> </w:t>
      </w:r>
      <w:r>
        <w:rPr>
          <w:color w:val="231F20"/>
          <w:w w:val="105"/>
        </w:rPr>
        <w:t>the</w:t>
      </w:r>
      <w:r>
        <w:rPr>
          <w:color w:val="231F20"/>
          <w:spacing w:val="-13"/>
          <w:w w:val="105"/>
        </w:rPr>
        <w:t> </w:t>
      </w:r>
      <w:r>
        <w:rPr>
          <w:color w:val="231F20"/>
          <w:w w:val="105"/>
        </w:rPr>
        <w:t>rate of</w:t>
      </w:r>
      <w:r>
        <w:rPr>
          <w:color w:val="231F20"/>
          <w:spacing w:val="-19"/>
          <w:w w:val="105"/>
        </w:rPr>
        <w:t> </w:t>
      </w:r>
      <w:r>
        <w:rPr>
          <w:color w:val="231F20"/>
          <w:w w:val="105"/>
        </w:rPr>
        <w:t>urea</w:t>
      </w:r>
      <w:r>
        <w:rPr>
          <w:color w:val="231F20"/>
          <w:spacing w:val="-18"/>
          <w:w w:val="105"/>
        </w:rPr>
        <w:t> </w:t>
      </w:r>
      <w:r>
        <w:rPr>
          <w:color w:val="231F20"/>
          <w:w w:val="105"/>
        </w:rPr>
        <w:t>excretion</w:t>
      </w:r>
      <w:r>
        <w:rPr>
          <w:color w:val="231F20"/>
          <w:spacing w:val="-18"/>
          <w:w w:val="105"/>
        </w:rPr>
        <w:t> </w:t>
      </w:r>
      <w:r>
        <w:rPr>
          <w:color w:val="231F20"/>
          <w:w w:val="105"/>
        </w:rPr>
        <w:t>is</w:t>
      </w:r>
      <w:r>
        <w:rPr>
          <w:color w:val="231F20"/>
          <w:spacing w:val="-18"/>
          <w:w w:val="105"/>
        </w:rPr>
        <w:t> </w:t>
      </w:r>
      <w:r>
        <w:rPr>
          <w:color w:val="231F20"/>
          <w:w w:val="105"/>
        </w:rPr>
        <w:t>determined</w:t>
      </w:r>
      <w:r>
        <w:rPr>
          <w:color w:val="231F20"/>
          <w:spacing w:val="-19"/>
          <w:w w:val="105"/>
        </w:rPr>
        <w:t> </w:t>
      </w:r>
      <w:r>
        <w:rPr>
          <w:color w:val="231F20"/>
          <w:w w:val="105"/>
        </w:rPr>
        <w:t>mainly</w:t>
      </w:r>
      <w:r>
        <w:rPr>
          <w:color w:val="231F20"/>
          <w:spacing w:val="-18"/>
          <w:w w:val="105"/>
        </w:rPr>
        <w:t> </w:t>
      </w:r>
      <w:r>
        <w:rPr>
          <w:color w:val="231F20"/>
          <w:w w:val="105"/>
        </w:rPr>
        <w:t>by</w:t>
      </w:r>
      <w:r>
        <w:rPr>
          <w:color w:val="231F20"/>
          <w:spacing w:val="-18"/>
          <w:w w:val="105"/>
        </w:rPr>
        <w:t> </w:t>
      </w:r>
      <w:r>
        <w:rPr>
          <w:color w:val="231F20"/>
          <w:w w:val="105"/>
        </w:rPr>
        <w:t>(1)</w:t>
      </w:r>
      <w:r>
        <w:rPr>
          <w:color w:val="231F20"/>
          <w:spacing w:val="-18"/>
          <w:w w:val="105"/>
        </w:rPr>
        <w:t> </w:t>
      </w:r>
      <w:r>
        <w:rPr>
          <w:color w:val="231F20"/>
          <w:w w:val="105"/>
        </w:rPr>
        <w:t>the</w:t>
      </w:r>
      <w:r>
        <w:rPr>
          <w:color w:val="231F20"/>
          <w:spacing w:val="-18"/>
          <w:w w:val="105"/>
        </w:rPr>
        <w:t> </w:t>
      </w:r>
      <w:r>
        <w:rPr>
          <w:color w:val="231F20"/>
          <w:w w:val="105"/>
        </w:rPr>
        <w:t>concen­ tration</w:t>
      </w:r>
      <w:r>
        <w:rPr>
          <w:color w:val="231F20"/>
          <w:spacing w:val="-10"/>
          <w:w w:val="105"/>
        </w:rPr>
        <w:t> </w:t>
      </w:r>
      <w:r>
        <w:rPr>
          <w:color w:val="231F20"/>
          <w:w w:val="105"/>
        </w:rPr>
        <w:t>of</w:t>
      </w:r>
      <w:r>
        <w:rPr>
          <w:color w:val="231F20"/>
          <w:spacing w:val="-10"/>
          <w:w w:val="105"/>
        </w:rPr>
        <w:t> </w:t>
      </w:r>
      <w:r>
        <w:rPr>
          <w:color w:val="231F20"/>
          <w:w w:val="105"/>
        </w:rPr>
        <w:t>urea</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plasma,</w:t>
      </w:r>
      <w:r>
        <w:rPr>
          <w:color w:val="231F20"/>
          <w:spacing w:val="-9"/>
          <w:w w:val="105"/>
        </w:rPr>
        <w:t> </w:t>
      </w:r>
      <w:r>
        <w:rPr>
          <w:color w:val="231F20"/>
          <w:w w:val="105"/>
        </w:rPr>
        <w:t>(2)</w:t>
      </w:r>
      <w:r>
        <w:rPr>
          <w:color w:val="231F20"/>
          <w:spacing w:val="-10"/>
          <w:w w:val="105"/>
        </w:rPr>
        <w:t> </w:t>
      </w:r>
      <w:r>
        <w:rPr>
          <w:color w:val="231F20"/>
          <w:w w:val="105"/>
        </w:rPr>
        <w:t>the</w:t>
      </w:r>
      <w:r>
        <w:rPr>
          <w:color w:val="231F20"/>
          <w:spacing w:val="-10"/>
          <w:w w:val="105"/>
        </w:rPr>
        <w:t> </w:t>
      </w:r>
      <w:r>
        <w:rPr>
          <w:color w:val="231F20"/>
          <w:w w:val="105"/>
        </w:rPr>
        <w:t>glomerular</w:t>
      </w:r>
      <w:r>
        <w:rPr>
          <w:color w:val="231F20"/>
          <w:spacing w:val="-10"/>
          <w:w w:val="105"/>
        </w:rPr>
        <w:t> </w:t>
      </w:r>
      <w:r>
        <w:rPr>
          <w:color w:val="231F20"/>
          <w:spacing w:val="-3"/>
          <w:w w:val="105"/>
        </w:rPr>
        <w:t>filtration </w:t>
      </w:r>
      <w:r>
        <w:rPr>
          <w:color w:val="231F20"/>
          <w:w w:val="105"/>
        </w:rPr>
        <w:t>rate (GFR), and (3) renal tubular urea reabsorption. </w:t>
      </w:r>
      <w:r>
        <w:rPr>
          <w:color w:val="231F20"/>
          <w:spacing w:val="-8"/>
          <w:w w:val="105"/>
        </w:rPr>
        <w:t>In </w:t>
      </w:r>
      <w:r>
        <w:rPr>
          <w:color w:val="231F20"/>
          <w:w w:val="105"/>
        </w:rPr>
        <w:t>patients with renal disease who have large reductions</w:t>
      </w:r>
      <w:r>
        <w:rPr>
          <w:color w:val="231F20"/>
          <w:spacing w:val="-23"/>
          <w:w w:val="105"/>
        </w:rPr>
        <w:t> </w:t>
      </w:r>
      <w:r>
        <w:rPr>
          <w:color w:val="231F20"/>
          <w:spacing w:val="-6"/>
          <w:w w:val="105"/>
        </w:rPr>
        <w:t>of </w:t>
      </w:r>
      <w:r>
        <w:rPr>
          <w:color w:val="231F20"/>
          <w:w w:val="105"/>
        </w:rPr>
        <w:t>GFR,</w:t>
      </w:r>
      <w:r>
        <w:rPr>
          <w:color w:val="231F20"/>
          <w:spacing w:val="-13"/>
          <w:w w:val="105"/>
        </w:rPr>
        <w:t> </w:t>
      </w:r>
      <w:r>
        <w:rPr>
          <w:color w:val="231F20"/>
          <w:w w:val="105"/>
        </w:rPr>
        <w:t>the</w:t>
      </w:r>
      <w:r>
        <w:rPr>
          <w:color w:val="231F20"/>
          <w:spacing w:val="-12"/>
          <w:w w:val="105"/>
        </w:rPr>
        <w:t> </w:t>
      </w:r>
      <w:r>
        <w:rPr>
          <w:color w:val="231F20"/>
          <w:w w:val="105"/>
        </w:rPr>
        <w:t>plasma</w:t>
      </w:r>
      <w:r>
        <w:rPr>
          <w:color w:val="231F20"/>
          <w:spacing w:val="-12"/>
          <w:w w:val="105"/>
        </w:rPr>
        <w:t> </w:t>
      </w:r>
      <w:r>
        <w:rPr>
          <w:color w:val="231F20"/>
          <w:w w:val="105"/>
        </w:rPr>
        <w:t>urea</w:t>
      </w:r>
      <w:r>
        <w:rPr>
          <w:color w:val="231F20"/>
          <w:spacing w:val="-12"/>
          <w:w w:val="105"/>
        </w:rPr>
        <w:t> </w:t>
      </w:r>
      <w:r>
        <w:rPr>
          <w:color w:val="231F20"/>
          <w:w w:val="105"/>
        </w:rPr>
        <w:t>concentration</w:t>
      </w:r>
      <w:r>
        <w:rPr>
          <w:color w:val="231F20"/>
          <w:spacing w:val="-12"/>
          <w:w w:val="105"/>
        </w:rPr>
        <w:t> </w:t>
      </w:r>
      <w:r>
        <w:rPr>
          <w:color w:val="231F20"/>
          <w:w w:val="105"/>
        </w:rPr>
        <w:t>increases</w:t>
      </w:r>
      <w:r>
        <w:rPr>
          <w:color w:val="231F20"/>
          <w:spacing w:val="-12"/>
          <w:w w:val="105"/>
        </w:rPr>
        <w:t> </w:t>
      </w:r>
      <w:r>
        <w:rPr>
          <w:color w:val="231F20"/>
          <w:w w:val="105"/>
        </w:rPr>
        <w:t>markedly, returning</w:t>
      </w:r>
      <w:r>
        <w:rPr>
          <w:color w:val="231F20"/>
          <w:spacing w:val="-10"/>
          <w:w w:val="105"/>
        </w:rPr>
        <w:t> </w:t>
      </w:r>
      <w:r>
        <w:rPr>
          <w:color w:val="231F20"/>
          <w:w w:val="105"/>
        </w:rPr>
        <w:t>the</w:t>
      </w:r>
      <w:r>
        <w:rPr>
          <w:color w:val="231F20"/>
          <w:spacing w:val="-9"/>
          <w:w w:val="105"/>
        </w:rPr>
        <w:t> </w:t>
      </w:r>
      <w:r>
        <w:rPr>
          <w:color w:val="231F20"/>
          <w:w w:val="105"/>
        </w:rPr>
        <w:t>filtered</w:t>
      </w:r>
      <w:r>
        <w:rPr>
          <w:color w:val="231F20"/>
          <w:spacing w:val="-10"/>
          <w:w w:val="105"/>
        </w:rPr>
        <w:t> </w:t>
      </w:r>
      <w:r>
        <w:rPr>
          <w:color w:val="231F20"/>
          <w:w w:val="105"/>
        </w:rPr>
        <w:t>urea</w:t>
      </w:r>
      <w:r>
        <w:rPr>
          <w:color w:val="231F20"/>
          <w:spacing w:val="-9"/>
          <w:w w:val="105"/>
        </w:rPr>
        <w:t> </w:t>
      </w:r>
      <w:r>
        <w:rPr>
          <w:color w:val="231F20"/>
          <w:w w:val="105"/>
        </w:rPr>
        <w:t>load</w:t>
      </w:r>
      <w:r>
        <w:rPr>
          <w:color w:val="231F20"/>
          <w:spacing w:val="-10"/>
          <w:w w:val="105"/>
        </w:rPr>
        <w:t> </w:t>
      </w:r>
      <w:r>
        <w:rPr>
          <w:color w:val="231F20"/>
          <w:w w:val="105"/>
        </w:rPr>
        <w:t>and</w:t>
      </w:r>
      <w:r>
        <w:rPr>
          <w:color w:val="231F20"/>
          <w:spacing w:val="-9"/>
          <w:w w:val="105"/>
        </w:rPr>
        <w:t> </w:t>
      </w:r>
      <w:r>
        <w:rPr>
          <w:color w:val="231F20"/>
          <w:w w:val="105"/>
        </w:rPr>
        <w:t>urea</w:t>
      </w:r>
      <w:r>
        <w:rPr>
          <w:color w:val="231F20"/>
          <w:spacing w:val="-10"/>
          <w:w w:val="105"/>
        </w:rPr>
        <w:t> </w:t>
      </w:r>
      <w:r>
        <w:rPr>
          <w:color w:val="231F20"/>
          <w:w w:val="105"/>
        </w:rPr>
        <w:t>excretion</w:t>
      </w:r>
      <w:r>
        <w:rPr>
          <w:color w:val="231F20"/>
          <w:spacing w:val="-9"/>
          <w:w w:val="105"/>
        </w:rPr>
        <w:t> </w:t>
      </w:r>
      <w:r>
        <w:rPr>
          <w:color w:val="231F20"/>
          <w:w w:val="105"/>
        </w:rPr>
        <w:t>rate</w:t>
      </w:r>
      <w:r>
        <w:rPr>
          <w:color w:val="231F20"/>
          <w:spacing w:val="-10"/>
          <w:w w:val="105"/>
        </w:rPr>
        <w:t> </w:t>
      </w:r>
      <w:r>
        <w:rPr>
          <w:color w:val="231F20"/>
          <w:w w:val="105"/>
        </w:rPr>
        <w:t>to the normal level (equal to the rate of urea production), despite the reduced</w:t>
      </w:r>
      <w:r>
        <w:rPr>
          <w:color w:val="231F20"/>
          <w:spacing w:val="7"/>
          <w:w w:val="105"/>
        </w:rPr>
        <w:t> </w:t>
      </w:r>
      <w:r>
        <w:rPr>
          <w:color w:val="231F20"/>
          <w:w w:val="105"/>
        </w:rPr>
        <w:t>GFR.</w:t>
      </w:r>
    </w:p>
    <w:p>
      <w:pPr>
        <w:pStyle w:val="BodyText"/>
        <w:spacing w:line="249" w:lineRule="auto"/>
        <w:ind w:left="1440" w:firstLine="240"/>
        <w:jc w:val="both"/>
        <w:rPr>
          <w:i/>
        </w:rPr>
      </w:pPr>
      <w:r>
        <w:rPr>
          <w:color w:val="231F20"/>
          <w:w w:val="105"/>
        </w:rPr>
        <w:t>In</w:t>
      </w:r>
      <w:r>
        <w:rPr>
          <w:color w:val="231F20"/>
          <w:spacing w:val="-9"/>
          <w:w w:val="105"/>
        </w:rPr>
        <w:t> </w:t>
      </w:r>
      <w:r>
        <w:rPr>
          <w:color w:val="231F20"/>
          <w:w w:val="105"/>
        </w:rPr>
        <w:t>the</w:t>
      </w:r>
      <w:r>
        <w:rPr>
          <w:color w:val="231F20"/>
          <w:spacing w:val="-8"/>
          <w:w w:val="105"/>
        </w:rPr>
        <w:t> </w:t>
      </w:r>
      <w:r>
        <w:rPr>
          <w:color w:val="231F20"/>
          <w:w w:val="105"/>
        </w:rPr>
        <w:t>proximal</w:t>
      </w:r>
      <w:r>
        <w:rPr>
          <w:color w:val="231F20"/>
          <w:spacing w:val="-8"/>
          <w:w w:val="105"/>
        </w:rPr>
        <w:t> </w:t>
      </w:r>
      <w:r>
        <w:rPr>
          <w:color w:val="231F20"/>
          <w:w w:val="105"/>
        </w:rPr>
        <w:t>tubule,</w:t>
      </w:r>
      <w:r>
        <w:rPr>
          <w:color w:val="231F20"/>
          <w:spacing w:val="-9"/>
          <w:w w:val="105"/>
        </w:rPr>
        <w:t> </w:t>
      </w:r>
      <w:r>
        <w:rPr>
          <w:color w:val="231F20"/>
          <w:w w:val="105"/>
        </w:rPr>
        <w:t>40</w:t>
      </w:r>
      <w:r>
        <w:rPr>
          <w:color w:val="231F20"/>
          <w:spacing w:val="-8"/>
          <w:w w:val="105"/>
        </w:rPr>
        <w:t> </w:t>
      </w:r>
      <w:r>
        <w:rPr>
          <w:color w:val="231F20"/>
          <w:w w:val="105"/>
        </w:rPr>
        <w:t>to</w:t>
      </w:r>
      <w:r>
        <w:rPr>
          <w:color w:val="231F20"/>
          <w:spacing w:val="-8"/>
          <w:w w:val="105"/>
        </w:rPr>
        <w:t> </w:t>
      </w:r>
      <w:r>
        <w:rPr>
          <w:color w:val="231F20"/>
          <w:w w:val="105"/>
        </w:rPr>
        <w:t>50</w:t>
      </w:r>
      <w:r>
        <w:rPr>
          <w:color w:val="231F20"/>
          <w:spacing w:val="-9"/>
          <w:w w:val="105"/>
        </w:rPr>
        <w:t> </w:t>
      </w:r>
      <w:r>
        <w:rPr>
          <w:color w:val="231F20"/>
          <w:w w:val="105"/>
        </w:rPr>
        <w:t>percent</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9"/>
          <w:w w:val="105"/>
        </w:rPr>
        <w:t> </w:t>
      </w:r>
      <w:r>
        <w:rPr>
          <w:color w:val="231F20"/>
          <w:spacing w:val="-3"/>
          <w:w w:val="105"/>
        </w:rPr>
        <w:t>filtered </w:t>
      </w:r>
      <w:r>
        <w:rPr>
          <w:color w:val="231F20"/>
          <w:w w:val="105"/>
        </w:rPr>
        <w:t>urea is reabsorbed, but even so, the tubular fluid </w:t>
      </w:r>
      <w:r>
        <w:rPr>
          <w:color w:val="231F20"/>
          <w:spacing w:val="-4"/>
          <w:w w:val="105"/>
        </w:rPr>
        <w:t>urea </w:t>
      </w:r>
      <w:r>
        <w:rPr>
          <w:color w:val="231F20"/>
          <w:w w:val="105"/>
        </w:rPr>
        <w:t>concentration</w:t>
      </w:r>
      <w:r>
        <w:rPr>
          <w:color w:val="231F20"/>
          <w:spacing w:val="-17"/>
          <w:w w:val="105"/>
        </w:rPr>
        <w:t> </w:t>
      </w:r>
      <w:r>
        <w:rPr>
          <w:color w:val="231F20"/>
          <w:w w:val="105"/>
        </w:rPr>
        <w:t>increases</w:t>
      </w:r>
      <w:r>
        <w:rPr>
          <w:color w:val="231F20"/>
          <w:spacing w:val="-17"/>
          <w:w w:val="105"/>
        </w:rPr>
        <w:t> </w:t>
      </w:r>
      <w:r>
        <w:rPr>
          <w:color w:val="231F20"/>
          <w:w w:val="105"/>
        </w:rPr>
        <w:t>because</w:t>
      </w:r>
      <w:r>
        <w:rPr>
          <w:color w:val="231F20"/>
          <w:spacing w:val="-17"/>
          <w:w w:val="105"/>
        </w:rPr>
        <w:t> </w:t>
      </w:r>
      <w:r>
        <w:rPr>
          <w:color w:val="231F20"/>
          <w:w w:val="105"/>
        </w:rPr>
        <w:t>urea</w:t>
      </w:r>
      <w:r>
        <w:rPr>
          <w:color w:val="231F20"/>
          <w:spacing w:val="-17"/>
          <w:w w:val="105"/>
        </w:rPr>
        <w:t> </w:t>
      </w:r>
      <w:r>
        <w:rPr>
          <w:color w:val="231F20"/>
          <w:w w:val="105"/>
        </w:rPr>
        <w:t>is</w:t>
      </w:r>
      <w:r>
        <w:rPr>
          <w:color w:val="231F20"/>
          <w:spacing w:val="-17"/>
          <w:w w:val="105"/>
        </w:rPr>
        <w:t> </w:t>
      </w:r>
      <w:r>
        <w:rPr>
          <w:color w:val="231F20"/>
          <w:w w:val="105"/>
        </w:rPr>
        <w:t>not</w:t>
      </w:r>
      <w:r>
        <w:rPr>
          <w:color w:val="231F20"/>
          <w:spacing w:val="-17"/>
          <w:w w:val="105"/>
        </w:rPr>
        <w:t> </w:t>
      </w:r>
      <w:r>
        <w:rPr>
          <w:color w:val="231F20"/>
          <w:w w:val="105"/>
        </w:rPr>
        <w:t>nearly</w:t>
      </w:r>
      <w:r>
        <w:rPr>
          <w:color w:val="231F20"/>
          <w:spacing w:val="-16"/>
          <w:w w:val="105"/>
        </w:rPr>
        <w:t> </w:t>
      </w:r>
      <w:r>
        <w:rPr>
          <w:color w:val="231F20"/>
          <w:w w:val="105"/>
        </w:rPr>
        <w:t>as</w:t>
      </w:r>
      <w:r>
        <w:rPr>
          <w:color w:val="231F20"/>
          <w:spacing w:val="-17"/>
          <w:w w:val="105"/>
        </w:rPr>
        <w:t> </w:t>
      </w:r>
      <w:r>
        <w:rPr>
          <w:color w:val="231F20"/>
          <w:w w:val="105"/>
        </w:rPr>
        <w:t>per­ meant as </w:t>
      </w:r>
      <w:r>
        <w:rPr>
          <w:color w:val="231F20"/>
          <w:spacing w:val="-3"/>
          <w:w w:val="105"/>
        </w:rPr>
        <w:t>water. </w:t>
      </w:r>
      <w:r>
        <w:rPr>
          <w:color w:val="231F20"/>
          <w:w w:val="105"/>
        </w:rPr>
        <w:t>The concentration of urea continues to rise as the tubular fluid flows into the thin segments of the loop of Henle, partly because of water reabsorption out of the descending loop of Henle but also because </w:t>
      </w:r>
      <w:r>
        <w:rPr>
          <w:color w:val="231F20"/>
          <w:spacing w:val="-6"/>
          <w:w w:val="105"/>
        </w:rPr>
        <w:t>of </w:t>
      </w:r>
      <w:r>
        <w:rPr>
          <w:color w:val="231F20"/>
          <w:w w:val="105"/>
        </w:rPr>
        <w:t>some </w:t>
      </w:r>
      <w:r>
        <w:rPr>
          <w:i/>
          <w:color w:val="231F20"/>
          <w:w w:val="105"/>
        </w:rPr>
        <w:t>secretion </w:t>
      </w:r>
      <w:r>
        <w:rPr>
          <w:color w:val="231F20"/>
          <w:w w:val="105"/>
        </w:rPr>
        <w:t>of urea into the thin loop of Henle from the medullary interstitium (</w:t>
      </w:r>
      <w:hyperlink w:history="true" w:anchor="_bookmark72">
        <w:r>
          <w:rPr>
            <w:b/>
            <w:color w:val="0080AC"/>
            <w:w w:val="105"/>
          </w:rPr>
          <w:t>Figure 29-6</w:t>
        </w:r>
      </w:hyperlink>
      <w:r>
        <w:rPr>
          <w:color w:val="231F20"/>
          <w:w w:val="105"/>
        </w:rPr>
        <w:t>). The </w:t>
      </w:r>
      <w:r>
        <w:rPr>
          <w:color w:val="231F20"/>
          <w:spacing w:val="-3"/>
          <w:w w:val="105"/>
        </w:rPr>
        <w:t>passive </w:t>
      </w:r>
      <w:r>
        <w:rPr>
          <w:color w:val="231F20"/>
          <w:w w:val="105"/>
        </w:rPr>
        <w:t>secretion</w:t>
      </w:r>
      <w:r>
        <w:rPr>
          <w:color w:val="231F20"/>
          <w:spacing w:val="-18"/>
          <w:w w:val="105"/>
        </w:rPr>
        <w:t> </w:t>
      </w:r>
      <w:r>
        <w:rPr>
          <w:color w:val="231F20"/>
          <w:w w:val="105"/>
        </w:rPr>
        <w:t>of</w:t>
      </w:r>
      <w:r>
        <w:rPr>
          <w:color w:val="231F20"/>
          <w:spacing w:val="-17"/>
          <w:w w:val="105"/>
        </w:rPr>
        <w:t> </w:t>
      </w:r>
      <w:r>
        <w:rPr>
          <w:color w:val="231F20"/>
          <w:w w:val="105"/>
        </w:rPr>
        <w:t>urea</w:t>
      </w:r>
      <w:r>
        <w:rPr>
          <w:color w:val="231F20"/>
          <w:spacing w:val="-18"/>
          <w:w w:val="105"/>
        </w:rPr>
        <w:t> </w:t>
      </w:r>
      <w:r>
        <w:rPr>
          <w:color w:val="231F20"/>
          <w:w w:val="105"/>
        </w:rPr>
        <w:t>into</w:t>
      </w:r>
      <w:r>
        <w:rPr>
          <w:color w:val="231F20"/>
          <w:spacing w:val="-17"/>
          <w:w w:val="105"/>
        </w:rPr>
        <w:t> </w:t>
      </w:r>
      <w:r>
        <w:rPr>
          <w:color w:val="231F20"/>
          <w:w w:val="105"/>
        </w:rPr>
        <w:t>the</w:t>
      </w:r>
      <w:r>
        <w:rPr>
          <w:color w:val="231F20"/>
          <w:spacing w:val="-18"/>
          <w:w w:val="105"/>
        </w:rPr>
        <w:t> </w:t>
      </w:r>
      <w:r>
        <w:rPr>
          <w:color w:val="231F20"/>
          <w:w w:val="105"/>
        </w:rPr>
        <w:t>thin</w:t>
      </w:r>
      <w:r>
        <w:rPr>
          <w:color w:val="231F20"/>
          <w:spacing w:val="-17"/>
          <w:w w:val="105"/>
        </w:rPr>
        <w:t> </w:t>
      </w:r>
      <w:r>
        <w:rPr>
          <w:color w:val="231F20"/>
          <w:w w:val="105"/>
        </w:rPr>
        <w:t>loops</w:t>
      </w:r>
      <w:r>
        <w:rPr>
          <w:color w:val="231F20"/>
          <w:spacing w:val="-18"/>
          <w:w w:val="105"/>
        </w:rPr>
        <w:t> </w:t>
      </w:r>
      <w:r>
        <w:rPr>
          <w:color w:val="231F20"/>
          <w:w w:val="105"/>
        </w:rPr>
        <w:t>of</w:t>
      </w:r>
      <w:r>
        <w:rPr>
          <w:color w:val="231F20"/>
          <w:spacing w:val="-17"/>
          <w:w w:val="105"/>
        </w:rPr>
        <w:t> </w:t>
      </w:r>
      <w:r>
        <w:rPr>
          <w:color w:val="231F20"/>
          <w:w w:val="105"/>
        </w:rPr>
        <w:t>Henle</w:t>
      </w:r>
      <w:r>
        <w:rPr>
          <w:color w:val="231F20"/>
          <w:spacing w:val="-18"/>
          <w:w w:val="105"/>
        </w:rPr>
        <w:t> </w:t>
      </w:r>
      <w:r>
        <w:rPr>
          <w:color w:val="231F20"/>
          <w:w w:val="105"/>
        </w:rPr>
        <w:t>is</w:t>
      </w:r>
      <w:r>
        <w:rPr>
          <w:color w:val="231F20"/>
          <w:spacing w:val="-17"/>
          <w:w w:val="105"/>
        </w:rPr>
        <w:t> </w:t>
      </w:r>
      <w:r>
        <w:rPr>
          <w:color w:val="231F20"/>
          <w:w w:val="105"/>
        </w:rPr>
        <w:t>facilitated by the urea transporter</w:t>
      </w:r>
      <w:r>
        <w:rPr>
          <w:color w:val="231F20"/>
          <w:spacing w:val="14"/>
          <w:w w:val="105"/>
        </w:rPr>
        <w:t> </w:t>
      </w:r>
      <w:r>
        <w:rPr>
          <w:i/>
          <w:color w:val="231F20"/>
          <w:w w:val="105"/>
        </w:rPr>
        <w:t>UT-A2.</w:t>
      </w:r>
    </w:p>
    <w:p>
      <w:pPr>
        <w:pStyle w:val="BodyText"/>
        <w:spacing w:line="249" w:lineRule="auto" w:before="8"/>
        <w:ind w:left="1440" w:firstLine="240"/>
        <w:jc w:val="both"/>
      </w:pPr>
      <w:r>
        <w:rPr>
          <w:color w:val="231F20"/>
          <w:w w:val="105"/>
        </w:rPr>
        <w:t>The thick limb of the loop of Henle, the distal</w:t>
      </w:r>
      <w:r>
        <w:rPr>
          <w:color w:val="231F20"/>
          <w:spacing w:val="-27"/>
          <w:w w:val="105"/>
        </w:rPr>
        <w:t> </w:t>
      </w:r>
      <w:r>
        <w:rPr>
          <w:color w:val="231F20"/>
          <w:spacing w:val="-4"/>
          <w:w w:val="105"/>
        </w:rPr>
        <w:t>tubule, </w:t>
      </w:r>
      <w:r>
        <w:rPr>
          <w:color w:val="231F20"/>
          <w:w w:val="105"/>
        </w:rPr>
        <w:t>and</w:t>
      </w:r>
      <w:r>
        <w:rPr>
          <w:color w:val="231F20"/>
          <w:spacing w:val="-13"/>
          <w:w w:val="105"/>
        </w:rPr>
        <w:t> </w:t>
      </w:r>
      <w:r>
        <w:rPr>
          <w:color w:val="231F20"/>
          <w:w w:val="105"/>
        </w:rPr>
        <w:t>the</w:t>
      </w:r>
      <w:r>
        <w:rPr>
          <w:color w:val="231F20"/>
          <w:spacing w:val="-12"/>
          <w:w w:val="105"/>
        </w:rPr>
        <w:t> </w:t>
      </w:r>
      <w:r>
        <w:rPr>
          <w:color w:val="231F20"/>
          <w:w w:val="105"/>
        </w:rPr>
        <w:t>cortical</w:t>
      </w:r>
      <w:r>
        <w:rPr>
          <w:color w:val="231F20"/>
          <w:spacing w:val="-12"/>
          <w:w w:val="105"/>
        </w:rPr>
        <w:t> </w:t>
      </w:r>
      <w:r>
        <w:rPr>
          <w:color w:val="231F20"/>
          <w:w w:val="105"/>
        </w:rPr>
        <w:t>collecting</w:t>
      </w:r>
      <w:r>
        <w:rPr>
          <w:color w:val="231F20"/>
          <w:spacing w:val="-12"/>
          <w:w w:val="105"/>
        </w:rPr>
        <w:t> </w:t>
      </w:r>
      <w:r>
        <w:rPr>
          <w:color w:val="231F20"/>
          <w:w w:val="105"/>
        </w:rPr>
        <w:t>tubule</w:t>
      </w:r>
      <w:r>
        <w:rPr>
          <w:color w:val="231F20"/>
          <w:spacing w:val="-12"/>
          <w:w w:val="105"/>
        </w:rPr>
        <w:t> </w:t>
      </w:r>
      <w:r>
        <w:rPr>
          <w:color w:val="231F20"/>
          <w:w w:val="105"/>
        </w:rPr>
        <w:t>are</w:t>
      </w:r>
      <w:r>
        <w:rPr>
          <w:color w:val="231F20"/>
          <w:spacing w:val="-12"/>
          <w:w w:val="105"/>
        </w:rPr>
        <w:t> </w:t>
      </w:r>
      <w:r>
        <w:rPr>
          <w:color w:val="231F20"/>
          <w:w w:val="105"/>
        </w:rPr>
        <w:t>all</w:t>
      </w:r>
      <w:r>
        <w:rPr>
          <w:color w:val="231F20"/>
          <w:spacing w:val="-12"/>
          <w:w w:val="105"/>
        </w:rPr>
        <w:t> </w:t>
      </w:r>
      <w:r>
        <w:rPr>
          <w:color w:val="231F20"/>
          <w:w w:val="105"/>
        </w:rPr>
        <w:t>relatively</w:t>
      </w:r>
      <w:r>
        <w:rPr>
          <w:color w:val="231F20"/>
          <w:spacing w:val="-12"/>
          <w:w w:val="105"/>
        </w:rPr>
        <w:t> </w:t>
      </w:r>
      <w:r>
        <w:rPr>
          <w:color w:val="231F20"/>
          <w:spacing w:val="-3"/>
          <w:w w:val="105"/>
        </w:rPr>
        <w:t>imper­ </w:t>
      </w:r>
      <w:r>
        <w:rPr>
          <w:color w:val="231F20"/>
          <w:w w:val="105"/>
        </w:rPr>
        <w:t>meable to urea, and very little urea reabsorption occurs in these tubular segments. When the kidney is forming concentrated urine and high levels of ADH are present, reabsorption of water from the distal tubule and</w:t>
      </w:r>
      <w:r>
        <w:rPr>
          <w:color w:val="231F20"/>
          <w:spacing w:val="-25"/>
          <w:w w:val="105"/>
        </w:rPr>
        <w:t> </w:t>
      </w:r>
      <w:r>
        <w:rPr>
          <w:color w:val="231F20"/>
          <w:w w:val="105"/>
        </w:rPr>
        <w:t>cortical collecting tubule further raises the tubular fluid </w:t>
      </w:r>
      <w:r>
        <w:rPr>
          <w:color w:val="231F20"/>
          <w:spacing w:val="-3"/>
          <w:w w:val="105"/>
        </w:rPr>
        <w:t>concen­ </w:t>
      </w:r>
      <w:r>
        <w:rPr>
          <w:color w:val="231F20"/>
          <w:w w:val="105"/>
        </w:rPr>
        <w:t>tration</w:t>
      </w:r>
      <w:r>
        <w:rPr>
          <w:color w:val="231F20"/>
          <w:spacing w:val="-23"/>
          <w:w w:val="105"/>
        </w:rPr>
        <w:t> </w:t>
      </w:r>
      <w:r>
        <w:rPr>
          <w:color w:val="231F20"/>
          <w:w w:val="105"/>
        </w:rPr>
        <w:t>of</w:t>
      </w:r>
      <w:r>
        <w:rPr>
          <w:color w:val="231F20"/>
          <w:spacing w:val="-22"/>
          <w:w w:val="105"/>
        </w:rPr>
        <w:t> </w:t>
      </w:r>
      <w:r>
        <w:rPr>
          <w:color w:val="231F20"/>
          <w:w w:val="105"/>
        </w:rPr>
        <w:t>urea.</w:t>
      </w:r>
      <w:r>
        <w:rPr>
          <w:color w:val="231F20"/>
          <w:spacing w:val="-22"/>
          <w:w w:val="105"/>
        </w:rPr>
        <w:t> </w:t>
      </w:r>
      <w:r>
        <w:rPr>
          <w:color w:val="231F20"/>
          <w:w w:val="105"/>
        </w:rPr>
        <w:t>As</w:t>
      </w:r>
      <w:r>
        <w:rPr>
          <w:color w:val="231F20"/>
          <w:spacing w:val="-23"/>
          <w:w w:val="105"/>
        </w:rPr>
        <w:t> </w:t>
      </w:r>
      <w:r>
        <w:rPr>
          <w:color w:val="231F20"/>
          <w:w w:val="105"/>
        </w:rPr>
        <w:t>this</w:t>
      </w:r>
      <w:r>
        <w:rPr>
          <w:color w:val="231F20"/>
          <w:spacing w:val="-22"/>
          <w:w w:val="105"/>
        </w:rPr>
        <w:t> </w:t>
      </w:r>
      <w:r>
        <w:rPr>
          <w:color w:val="231F20"/>
          <w:w w:val="105"/>
        </w:rPr>
        <w:t>urea</w:t>
      </w:r>
      <w:r>
        <w:rPr>
          <w:color w:val="231F20"/>
          <w:spacing w:val="-22"/>
          <w:w w:val="105"/>
        </w:rPr>
        <w:t> </w:t>
      </w:r>
      <w:r>
        <w:rPr>
          <w:color w:val="231F20"/>
          <w:w w:val="105"/>
        </w:rPr>
        <w:t>flows</w:t>
      </w:r>
      <w:r>
        <w:rPr>
          <w:color w:val="231F20"/>
          <w:spacing w:val="-23"/>
          <w:w w:val="105"/>
        </w:rPr>
        <w:t> </w:t>
      </w:r>
      <w:r>
        <w:rPr>
          <w:color w:val="231F20"/>
          <w:w w:val="105"/>
        </w:rPr>
        <w:t>into</w:t>
      </w:r>
      <w:r>
        <w:rPr>
          <w:color w:val="231F20"/>
          <w:spacing w:val="-22"/>
          <w:w w:val="105"/>
        </w:rPr>
        <w:t> </w:t>
      </w:r>
      <w:r>
        <w:rPr>
          <w:color w:val="231F20"/>
          <w:w w:val="105"/>
        </w:rPr>
        <w:t>the</w:t>
      </w:r>
      <w:r>
        <w:rPr>
          <w:color w:val="231F20"/>
          <w:spacing w:val="-22"/>
          <w:w w:val="105"/>
        </w:rPr>
        <w:t> </w:t>
      </w:r>
      <w:r>
        <w:rPr>
          <w:color w:val="231F20"/>
          <w:w w:val="105"/>
        </w:rPr>
        <w:t>inner</w:t>
      </w:r>
      <w:r>
        <w:rPr>
          <w:color w:val="231F20"/>
          <w:spacing w:val="-23"/>
          <w:w w:val="105"/>
        </w:rPr>
        <w:t> </w:t>
      </w:r>
      <w:r>
        <w:rPr>
          <w:color w:val="231F20"/>
          <w:w w:val="105"/>
        </w:rPr>
        <w:t>medullary collecting duct, the high tubular fluid concentration </w:t>
      </w:r>
      <w:r>
        <w:rPr>
          <w:color w:val="231F20"/>
          <w:spacing w:val="-8"/>
          <w:w w:val="105"/>
        </w:rPr>
        <w:t>of </w:t>
      </w:r>
      <w:r>
        <w:rPr>
          <w:color w:val="231F20"/>
          <w:w w:val="105"/>
        </w:rPr>
        <w:t>urea and the urea transporters UT­A1 and UT­A3 cause urea</w:t>
      </w:r>
      <w:r>
        <w:rPr>
          <w:color w:val="231F20"/>
          <w:spacing w:val="-8"/>
          <w:w w:val="105"/>
        </w:rPr>
        <w:t> </w:t>
      </w:r>
      <w:r>
        <w:rPr>
          <w:color w:val="231F20"/>
          <w:w w:val="105"/>
        </w:rPr>
        <w:t>to</w:t>
      </w:r>
      <w:r>
        <w:rPr>
          <w:color w:val="231F20"/>
          <w:spacing w:val="-7"/>
          <w:w w:val="105"/>
        </w:rPr>
        <w:t> </w:t>
      </w:r>
      <w:r>
        <w:rPr>
          <w:color w:val="231F20"/>
          <w:w w:val="105"/>
        </w:rPr>
        <w:t>diffuse</w:t>
      </w:r>
      <w:r>
        <w:rPr>
          <w:color w:val="231F20"/>
          <w:spacing w:val="-8"/>
          <w:w w:val="105"/>
        </w:rPr>
        <w:t> </w:t>
      </w:r>
      <w:r>
        <w:rPr>
          <w:color w:val="231F20"/>
          <w:w w:val="105"/>
        </w:rPr>
        <w:t>into</w:t>
      </w:r>
      <w:r>
        <w:rPr>
          <w:color w:val="231F20"/>
          <w:spacing w:val="-7"/>
          <w:w w:val="105"/>
        </w:rPr>
        <w:t> </w:t>
      </w:r>
      <w:r>
        <w:rPr>
          <w:color w:val="231F20"/>
          <w:w w:val="105"/>
        </w:rPr>
        <w:t>the</w:t>
      </w:r>
      <w:r>
        <w:rPr>
          <w:color w:val="231F20"/>
          <w:spacing w:val="-8"/>
          <w:w w:val="105"/>
        </w:rPr>
        <w:t> </w:t>
      </w:r>
      <w:r>
        <w:rPr>
          <w:color w:val="231F20"/>
          <w:w w:val="105"/>
        </w:rPr>
        <w:t>medullary</w:t>
      </w:r>
      <w:r>
        <w:rPr>
          <w:color w:val="231F20"/>
          <w:spacing w:val="-7"/>
          <w:w w:val="105"/>
        </w:rPr>
        <w:t> </w:t>
      </w:r>
      <w:r>
        <w:rPr>
          <w:color w:val="231F20"/>
          <w:w w:val="105"/>
        </w:rPr>
        <w:t>interstitium.</w:t>
      </w:r>
      <w:r>
        <w:rPr>
          <w:color w:val="231F20"/>
          <w:spacing w:val="-8"/>
          <w:w w:val="105"/>
        </w:rPr>
        <w:t> </w:t>
      </w:r>
      <w:r>
        <w:rPr>
          <w:color w:val="231F20"/>
          <w:w w:val="105"/>
        </w:rPr>
        <w:t>A</w:t>
      </w:r>
      <w:r>
        <w:rPr>
          <w:color w:val="231F20"/>
          <w:spacing w:val="-7"/>
          <w:w w:val="105"/>
        </w:rPr>
        <w:t> </w:t>
      </w:r>
      <w:r>
        <w:rPr>
          <w:color w:val="231F20"/>
          <w:spacing w:val="-3"/>
          <w:w w:val="105"/>
        </w:rPr>
        <w:t>moder­ </w:t>
      </w:r>
      <w:r>
        <w:rPr>
          <w:color w:val="231F20"/>
          <w:w w:val="105"/>
        </w:rPr>
        <w:t>ate</w:t>
      </w:r>
      <w:r>
        <w:rPr>
          <w:color w:val="231F20"/>
          <w:spacing w:val="-8"/>
          <w:w w:val="105"/>
        </w:rPr>
        <w:t> </w:t>
      </w:r>
      <w:r>
        <w:rPr>
          <w:color w:val="231F20"/>
          <w:w w:val="105"/>
        </w:rPr>
        <w:t>share</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urea</w:t>
      </w:r>
      <w:r>
        <w:rPr>
          <w:color w:val="231F20"/>
          <w:spacing w:val="-7"/>
          <w:w w:val="105"/>
        </w:rPr>
        <w:t> </w:t>
      </w:r>
      <w:r>
        <w:rPr>
          <w:color w:val="231F20"/>
          <w:w w:val="105"/>
        </w:rPr>
        <w:t>that</w:t>
      </w:r>
      <w:r>
        <w:rPr>
          <w:color w:val="231F20"/>
          <w:spacing w:val="-8"/>
          <w:w w:val="105"/>
        </w:rPr>
        <w:t> </w:t>
      </w:r>
      <w:r>
        <w:rPr>
          <w:color w:val="231F20"/>
          <w:w w:val="105"/>
        </w:rPr>
        <w:t>moves</w:t>
      </w:r>
      <w:r>
        <w:rPr>
          <w:color w:val="231F20"/>
          <w:spacing w:val="-7"/>
          <w:w w:val="105"/>
        </w:rPr>
        <w:t> </w:t>
      </w:r>
      <w:r>
        <w:rPr>
          <w:color w:val="231F20"/>
          <w:w w:val="105"/>
        </w:rPr>
        <w:t>into</w:t>
      </w:r>
      <w:r>
        <w:rPr>
          <w:color w:val="231F20"/>
          <w:spacing w:val="-7"/>
          <w:w w:val="105"/>
        </w:rPr>
        <w:t> </w:t>
      </w:r>
      <w:r>
        <w:rPr>
          <w:color w:val="231F20"/>
          <w:w w:val="105"/>
        </w:rPr>
        <w:t>the</w:t>
      </w:r>
      <w:r>
        <w:rPr>
          <w:color w:val="231F20"/>
          <w:spacing w:val="-7"/>
          <w:w w:val="105"/>
        </w:rPr>
        <w:t> </w:t>
      </w:r>
      <w:r>
        <w:rPr>
          <w:color w:val="231F20"/>
          <w:w w:val="105"/>
        </w:rPr>
        <w:t>medullary</w:t>
      </w:r>
      <w:r>
        <w:rPr>
          <w:color w:val="231F20"/>
          <w:spacing w:val="-7"/>
          <w:w w:val="105"/>
        </w:rPr>
        <w:t> </w:t>
      </w:r>
      <w:r>
        <w:rPr>
          <w:color w:val="231F20"/>
          <w:spacing w:val="-4"/>
          <w:w w:val="105"/>
        </w:rPr>
        <w:t>inter­ </w:t>
      </w:r>
      <w:r>
        <w:rPr>
          <w:color w:val="231F20"/>
          <w:w w:val="105"/>
        </w:rPr>
        <w:t>stitium</w:t>
      </w:r>
      <w:r>
        <w:rPr>
          <w:color w:val="231F20"/>
          <w:spacing w:val="-20"/>
          <w:w w:val="105"/>
        </w:rPr>
        <w:t> </w:t>
      </w:r>
      <w:r>
        <w:rPr>
          <w:color w:val="231F20"/>
          <w:w w:val="105"/>
        </w:rPr>
        <w:t>eventually</w:t>
      </w:r>
      <w:r>
        <w:rPr>
          <w:color w:val="231F20"/>
          <w:spacing w:val="-19"/>
          <w:w w:val="105"/>
        </w:rPr>
        <w:t> </w:t>
      </w:r>
      <w:r>
        <w:rPr>
          <w:color w:val="231F20"/>
          <w:w w:val="105"/>
        </w:rPr>
        <w:t>diffuses</w:t>
      </w:r>
      <w:r>
        <w:rPr>
          <w:color w:val="231F20"/>
          <w:spacing w:val="-20"/>
          <w:w w:val="105"/>
        </w:rPr>
        <w:t> </w:t>
      </w:r>
      <w:r>
        <w:rPr>
          <w:color w:val="231F20"/>
          <w:w w:val="105"/>
        </w:rPr>
        <w:t>into</w:t>
      </w:r>
      <w:r>
        <w:rPr>
          <w:color w:val="231F20"/>
          <w:spacing w:val="-19"/>
          <w:w w:val="105"/>
        </w:rPr>
        <w:t> </w:t>
      </w:r>
      <w:r>
        <w:rPr>
          <w:color w:val="231F20"/>
          <w:w w:val="105"/>
        </w:rPr>
        <w:t>the</w:t>
      </w:r>
      <w:r>
        <w:rPr>
          <w:color w:val="231F20"/>
          <w:spacing w:val="-19"/>
          <w:w w:val="105"/>
        </w:rPr>
        <w:t> </w:t>
      </w:r>
      <w:r>
        <w:rPr>
          <w:color w:val="231F20"/>
          <w:w w:val="105"/>
        </w:rPr>
        <w:t>thin</w:t>
      </w:r>
      <w:r>
        <w:rPr>
          <w:color w:val="231F20"/>
          <w:spacing w:val="-20"/>
          <w:w w:val="105"/>
        </w:rPr>
        <w:t> </w:t>
      </w:r>
      <w:r>
        <w:rPr>
          <w:color w:val="231F20"/>
          <w:w w:val="105"/>
        </w:rPr>
        <w:t>loop</w:t>
      </w:r>
      <w:r>
        <w:rPr>
          <w:color w:val="231F20"/>
          <w:spacing w:val="-19"/>
          <w:w w:val="105"/>
        </w:rPr>
        <w:t> </w:t>
      </w:r>
      <w:r>
        <w:rPr>
          <w:color w:val="231F20"/>
          <w:w w:val="105"/>
        </w:rPr>
        <w:t>of</w:t>
      </w:r>
      <w:r>
        <w:rPr>
          <w:color w:val="231F20"/>
          <w:spacing w:val="-20"/>
          <w:w w:val="105"/>
        </w:rPr>
        <w:t> </w:t>
      </w:r>
      <w:r>
        <w:rPr>
          <w:color w:val="231F20"/>
          <w:w w:val="105"/>
        </w:rPr>
        <w:t>Henle</w:t>
      </w:r>
      <w:r>
        <w:rPr>
          <w:color w:val="231F20"/>
          <w:spacing w:val="-19"/>
          <w:w w:val="105"/>
        </w:rPr>
        <w:t> </w:t>
      </w:r>
      <w:r>
        <w:rPr>
          <w:color w:val="231F20"/>
          <w:spacing w:val="-6"/>
          <w:w w:val="105"/>
        </w:rPr>
        <w:t>and </w:t>
      </w:r>
      <w:r>
        <w:rPr>
          <w:color w:val="231F20"/>
          <w:w w:val="105"/>
        </w:rPr>
        <w:t>then</w:t>
      </w:r>
      <w:r>
        <w:rPr>
          <w:color w:val="231F20"/>
          <w:spacing w:val="-14"/>
          <w:w w:val="105"/>
        </w:rPr>
        <w:t> </w:t>
      </w:r>
      <w:r>
        <w:rPr>
          <w:color w:val="231F20"/>
          <w:w w:val="105"/>
        </w:rPr>
        <w:t>passes</w:t>
      </w:r>
      <w:r>
        <w:rPr>
          <w:color w:val="231F20"/>
          <w:spacing w:val="-14"/>
          <w:w w:val="105"/>
        </w:rPr>
        <w:t> </w:t>
      </w:r>
      <w:r>
        <w:rPr>
          <w:color w:val="231F20"/>
          <w:w w:val="105"/>
        </w:rPr>
        <w:t>upward</w:t>
      </w:r>
      <w:r>
        <w:rPr>
          <w:color w:val="231F20"/>
          <w:spacing w:val="-14"/>
          <w:w w:val="105"/>
        </w:rPr>
        <w:t> </w:t>
      </w:r>
      <w:r>
        <w:rPr>
          <w:color w:val="231F20"/>
          <w:w w:val="105"/>
        </w:rPr>
        <w:t>through</w:t>
      </w:r>
      <w:r>
        <w:rPr>
          <w:color w:val="231F20"/>
          <w:spacing w:val="-14"/>
          <w:w w:val="105"/>
        </w:rPr>
        <w:t> </w:t>
      </w:r>
      <w:r>
        <w:rPr>
          <w:color w:val="231F20"/>
          <w:w w:val="105"/>
        </w:rPr>
        <w:t>the</w:t>
      </w:r>
      <w:r>
        <w:rPr>
          <w:color w:val="231F20"/>
          <w:spacing w:val="-14"/>
          <w:w w:val="105"/>
        </w:rPr>
        <w:t> </w:t>
      </w:r>
      <w:r>
        <w:rPr>
          <w:color w:val="231F20"/>
          <w:w w:val="105"/>
        </w:rPr>
        <w:t>ascending</w:t>
      </w:r>
      <w:r>
        <w:rPr>
          <w:color w:val="231F20"/>
          <w:spacing w:val="-14"/>
          <w:w w:val="105"/>
        </w:rPr>
        <w:t> </w:t>
      </w:r>
      <w:r>
        <w:rPr>
          <w:color w:val="231F20"/>
          <w:w w:val="105"/>
        </w:rPr>
        <w:t>loop</w:t>
      </w:r>
      <w:r>
        <w:rPr>
          <w:color w:val="231F20"/>
          <w:spacing w:val="-14"/>
          <w:w w:val="105"/>
        </w:rPr>
        <w:t> </w:t>
      </w:r>
      <w:r>
        <w:rPr>
          <w:color w:val="231F20"/>
          <w:w w:val="105"/>
        </w:rPr>
        <w:t>of</w:t>
      </w:r>
      <w:r>
        <w:rPr>
          <w:color w:val="231F20"/>
          <w:spacing w:val="-14"/>
          <w:w w:val="105"/>
        </w:rPr>
        <w:t> </w:t>
      </w:r>
      <w:r>
        <w:rPr>
          <w:color w:val="231F20"/>
          <w:spacing w:val="-4"/>
          <w:w w:val="105"/>
        </w:rPr>
        <w:t>Henle, </w:t>
      </w:r>
      <w:r>
        <w:rPr>
          <w:color w:val="231F20"/>
          <w:w w:val="105"/>
        </w:rPr>
        <w:t>the distal tubule, the cortical collecting tubule, and</w:t>
      </w:r>
      <w:r>
        <w:rPr>
          <w:color w:val="231F20"/>
          <w:spacing w:val="-16"/>
          <w:w w:val="105"/>
        </w:rPr>
        <w:t> </w:t>
      </w:r>
      <w:r>
        <w:rPr>
          <w:color w:val="231F20"/>
          <w:spacing w:val="-5"/>
          <w:w w:val="105"/>
        </w:rPr>
        <w:t>back </w:t>
      </w:r>
      <w:r>
        <w:rPr>
          <w:color w:val="231F20"/>
          <w:w w:val="105"/>
        </w:rPr>
        <w:t>down into the medullary collecting duct again. In </w:t>
      </w:r>
      <w:r>
        <w:rPr>
          <w:color w:val="231F20"/>
          <w:spacing w:val="-5"/>
          <w:w w:val="105"/>
        </w:rPr>
        <w:t>this </w:t>
      </w:r>
      <w:r>
        <w:rPr>
          <w:color w:val="231F20"/>
          <w:spacing w:val="-3"/>
          <w:w w:val="105"/>
        </w:rPr>
        <w:t>way,</w:t>
      </w:r>
      <w:r>
        <w:rPr>
          <w:color w:val="231F20"/>
          <w:spacing w:val="-6"/>
          <w:w w:val="105"/>
        </w:rPr>
        <w:t> </w:t>
      </w:r>
      <w:r>
        <w:rPr>
          <w:color w:val="231F20"/>
          <w:w w:val="105"/>
        </w:rPr>
        <w:t>urea</w:t>
      </w:r>
      <w:r>
        <w:rPr>
          <w:color w:val="231F20"/>
          <w:spacing w:val="-6"/>
          <w:w w:val="105"/>
        </w:rPr>
        <w:t> </w:t>
      </w:r>
      <w:r>
        <w:rPr>
          <w:color w:val="231F20"/>
          <w:w w:val="105"/>
        </w:rPr>
        <w:t>can</w:t>
      </w:r>
      <w:r>
        <w:rPr>
          <w:color w:val="231F20"/>
          <w:spacing w:val="-6"/>
          <w:w w:val="105"/>
        </w:rPr>
        <w:t> </w:t>
      </w:r>
      <w:r>
        <w:rPr>
          <w:color w:val="231F20"/>
          <w:w w:val="105"/>
        </w:rPr>
        <w:t>recirculate</w:t>
      </w:r>
      <w:r>
        <w:rPr>
          <w:color w:val="231F20"/>
          <w:spacing w:val="-6"/>
          <w:w w:val="105"/>
        </w:rPr>
        <w:t> </w:t>
      </w:r>
      <w:r>
        <w:rPr>
          <w:color w:val="231F20"/>
          <w:w w:val="105"/>
        </w:rPr>
        <w:t>through</w:t>
      </w:r>
      <w:r>
        <w:rPr>
          <w:color w:val="231F20"/>
          <w:spacing w:val="-6"/>
          <w:w w:val="105"/>
        </w:rPr>
        <w:t> </w:t>
      </w:r>
      <w:r>
        <w:rPr>
          <w:color w:val="231F20"/>
          <w:w w:val="105"/>
        </w:rPr>
        <w:t>these</w:t>
      </w:r>
      <w:r>
        <w:rPr>
          <w:color w:val="231F20"/>
          <w:spacing w:val="-6"/>
          <w:w w:val="105"/>
        </w:rPr>
        <w:t> </w:t>
      </w:r>
      <w:r>
        <w:rPr>
          <w:color w:val="231F20"/>
          <w:w w:val="105"/>
        </w:rPr>
        <w:t>terminal</w:t>
      </w:r>
      <w:r>
        <w:rPr>
          <w:color w:val="231F20"/>
          <w:spacing w:val="-6"/>
          <w:w w:val="105"/>
        </w:rPr>
        <w:t> </w:t>
      </w:r>
      <w:r>
        <w:rPr>
          <w:color w:val="231F20"/>
          <w:w w:val="105"/>
        </w:rPr>
        <w:t>parts</w:t>
      </w:r>
      <w:r>
        <w:rPr>
          <w:color w:val="231F20"/>
          <w:spacing w:val="-6"/>
          <w:w w:val="105"/>
        </w:rPr>
        <w:t> </w:t>
      </w:r>
      <w:r>
        <w:rPr>
          <w:color w:val="231F20"/>
          <w:w w:val="105"/>
        </w:rPr>
        <w:t>of the</w:t>
      </w:r>
      <w:r>
        <w:rPr>
          <w:color w:val="231F20"/>
          <w:spacing w:val="26"/>
          <w:w w:val="105"/>
        </w:rPr>
        <w:t> </w:t>
      </w:r>
      <w:r>
        <w:rPr>
          <w:color w:val="231F20"/>
          <w:w w:val="105"/>
        </w:rPr>
        <w:t>tubular</w:t>
      </w:r>
      <w:r>
        <w:rPr>
          <w:color w:val="231F20"/>
          <w:spacing w:val="26"/>
          <w:w w:val="105"/>
        </w:rPr>
        <w:t> </w:t>
      </w:r>
      <w:r>
        <w:rPr>
          <w:color w:val="231F20"/>
          <w:w w:val="105"/>
        </w:rPr>
        <w:t>system</w:t>
      </w:r>
      <w:r>
        <w:rPr>
          <w:color w:val="231F20"/>
          <w:spacing w:val="26"/>
          <w:w w:val="105"/>
        </w:rPr>
        <w:t> </w:t>
      </w:r>
      <w:r>
        <w:rPr>
          <w:color w:val="231F20"/>
          <w:w w:val="105"/>
        </w:rPr>
        <w:t>several</w:t>
      </w:r>
      <w:r>
        <w:rPr>
          <w:color w:val="231F20"/>
          <w:spacing w:val="27"/>
          <w:w w:val="105"/>
        </w:rPr>
        <w:t> </w:t>
      </w:r>
      <w:r>
        <w:rPr>
          <w:color w:val="231F20"/>
          <w:w w:val="105"/>
        </w:rPr>
        <w:t>times</w:t>
      </w:r>
      <w:r>
        <w:rPr>
          <w:color w:val="231F20"/>
          <w:spacing w:val="26"/>
          <w:w w:val="105"/>
        </w:rPr>
        <w:t> </w:t>
      </w:r>
      <w:r>
        <w:rPr>
          <w:color w:val="231F20"/>
          <w:w w:val="105"/>
        </w:rPr>
        <w:t>before</w:t>
      </w:r>
      <w:r>
        <w:rPr>
          <w:color w:val="231F20"/>
          <w:spacing w:val="26"/>
          <w:w w:val="105"/>
        </w:rPr>
        <w:t> </w:t>
      </w:r>
      <w:r>
        <w:rPr>
          <w:color w:val="231F20"/>
          <w:w w:val="105"/>
        </w:rPr>
        <w:t>it</w:t>
      </w:r>
      <w:r>
        <w:rPr>
          <w:color w:val="231F20"/>
          <w:spacing w:val="26"/>
          <w:w w:val="105"/>
        </w:rPr>
        <w:t> </w:t>
      </w:r>
      <w:r>
        <w:rPr>
          <w:color w:val="231F20"/>
          <w:w w:val="105"/>
        </w:rPr>
        <w:t>is</w:t>
      </w:r>
      <w:r>
        <w:rPr>
          <w:color w:val="231F20"/>
          <w:spacing w:val="27"/>
          <w:w w:val="105"/>
        </w:rPr>
        <w:t> </w:t>
      </w:r>
      <w:r>
        <w:rPr>
          <w:color w:val="231F20"/>
          <w:w w:val="105"/>
        </w:rPr>
        <w:t>excreted.</w:t>
      </w:r>
    </w:p>
    <w:p>
      <w:pPr>
        <w:spacing w:before="11"/>
        <w:ind w:left="3665" w:right="0" w:firstLine="0"/>
        <w:jc w:val="left"/>
        <w:rPr>
          <w:rFonts w:ascii="Helvetica"/>
          <w:sz w:val="16"/>
        </w:rPr>
      </w:pPr>
      <w:r>
        <w:rPr/>
        <w:br w:type="column"/>
      </w:r>
      <w:r>
        <w:rPr>
          <w:rFonts w:ascii="Helvetica"/>
          <w:color w:val="231F20"/>
          <w:sz w:val="16"/>
        </w:rPr>
        <w:t>20% remaining</w:t>
      </w:r>
    </w:p>
    <w:p>
      <w:pPr>
        <w:pStyle w:val="BodyText"/>
        <w:spacing w:before="8"/>
        <w:rPr>
          <w:rFonts w:ascii="Helvetica"/>
          <w:sz w:val="15"/>
        </w:rPr>
      </w:pPr>
    </w:p>
    <w:p>
      <w:pPr>
        <w:spacing w:line="261" w:lineRule="auto" w:before="0"/>
        <w:ind w:left="319" w:right="1077" w:firstLine="0"/>
        <w:jc w:val="both"/>
        <w:rPr>
          <w:rFonts w:ascii="Arial"/>
          <w:sz w:val="16"/>
        </w:rPr>
      </w:pPr>
      <w:bookmarkStart w:name="_bookmark72" w:id="73"/>
      <w:bookmarkEnd w:id="73"/>
      <w:r>
        <w:rPr/>
      </w:r>
      <w:r>
        <w:rPr>
          <w:rFonts w:ascii="Trebuchet MS"/>
          <w:b/>
          <w:color w:val="231F20"/>
          <w:sz w:val="16"/>
        </w:rPr>
        <w:t>Figure 29-6. </w:t>
      </w:r>
      <w:r>
        <w:rPr>
          <w:rFonts w:ascii="Arial"/>
          <w:color w:val="231F20"/>
          <w:sz w:val="16"/>
        </w:rPr>
        <w:t>Recirculation of urea absorbed from the medullary collecting duct into the interstitial fluid. This urea diffuses into </w:t>
      </w:r>
      <w:r>
        <w:rPr>
          <w:rFonts w:ascii="Arial"/>
          <w:color w:val="231F20"/>
          <w:spacing w:val="-4"/>
          <w:sz w:val="16"/>
        </w:rPr>
        <w:t>the </w:t>
      </w:r>
      <w:r>
        <w:rPr>
          <w:rFonts w:ascii="Arial"/>
          <w:color w:val="231F20"/>
          <w:sz w:val="16"/>
        </w:rPr>
        <w:t>thin loop of Henle and then passes through the distal tubules, </w:t>
      </w:r>
      <w:r>
        <w:rPr>
          <w:rFonts w:ascii="Arial"/>
          <w:color w:val="231F20"/>
          <w:spacing w:val="-5"/>
          <w:sz w:val="16"/>
        </w:rPr>
        <w:t>and </w:t>
      </w:r>
      <w:r>
        <w:rPr>
          <w:rFonts w:ascii="Arial"/>
          <w:color w:val="231F20"/>
          <w:sz w:val="16"/>
        </w:rPr>
        <w:t>it</w:t>
      </w:r>
      <w:r>
        <w:rPr>
          <w:rFonts w:ascii="Arial"/>
          <w:color w:val="231F20"/>
          <w:spacing w:val="-22"/>
          <w:sz w:val="16"/>
        </w:rPr>
        <w:t> </w:t>
      </w:r>
      <w:r>
        <w:rPr>
          <w:rFonts w:ascii="Arial"/>
          <w:color w:val="231F20"/>
          <w:sz w:val="16"/>
        </w:rPr>
        <w:t>finally</w:t>
      </w:r>
      <w:r>
        <w:rPr>
          <w:rFonts w:ascii="Arial"/>
          <w:color w:val="231F20"/>
          <w:spacing w:val="-21"/>
          <w:sz w:val="16"/>
        </w:rPr>
        <w:t> </w:t>
      </w:r>
      <w:r>
        <w:rPr>
          <w:rFonts w:ascii="Arial"/>
          <w:color w:val="231F20"/>
          <w:sz w:val="16"/>
        </w:rPr>
        <w:t>passes</w:t>
      </w:r>
      <w:r>
        <w:rPr>
          <w:rFonts w:ascii="Arial"/>
          <w:color w:val="231F20"/>
          <w:spacing w:val="-21"/>
          <w:sz w:val="16"/>
        </w:rPr>
        <w:t> </w:t>
      </w:r>
      <w:r>
        <w:rPr>
          <w:rFonts w:ascii="Arial"/>
          <w:color w:val="231F20"/>
          <w:sz w:val="16"/>
        </w:rPr>
        <w:t>back</w:t>
      </w:r>
      <w:r>
        <w:rPr>
          <w:rFonts w:ascii="Arial"/>
          <w:color w:val="231F20"/>
          <w:spacing w:val="-21"/>
          <w:sz w:val="16"/>
        </w:rPr>
        <w:t> </w:t>
      </w:r>
      <w:r>
        <w:rPr>
          <w:rFonts w:ascii="Arial"/>
          <w:color w:val="231F20"/>
          <w:sz w:val="16"/>
        </w:rPr>
        <w:t>into</w:t>
      </w:r>
      <w:r>
        <w:rPr>
          <w:rFonts w:ascii="Arial"/>
          <w:color w:val="231F20"/>
          <w:spacing w:val="-21"/>
          <w:sz w:val="16"/>
        </w:rPr>
        <w:t> </w:t>
      </w:r>
      <w:r>
        <w:rPr>
          <w:rFonts w:ascii="Arial"/>
          <w:color w:val="231F20"/>
          <w:sz w:val="16"/>
        </w:rPr>
        <w:t>the</w:t>
      </w:r>
      <w:r>
        <w:rPr>
          <w:rFonts w:ascii="Arial"/>
          <w:color w:val="231F20"/>
          <w:spacing w:val="-22"/>
          <w:sz w:val="16"/>
        </w:rPr>
        <w:t> </w:t>
      </w:r>
      <w:r>
        <w:rPr>
          <w:rFonts w:ascii="Arial"/>
          <w:color w:val="231F20"/>
          <w:sz w:val="16"/>
        </w:rPr>
        <w:t>collecting</w:t>
      </w:r>
      <w:r>
        <w:rPr>
          <w:rFonts w:ascii="Arial"/>
          <w:color w:val="231F20"/>
          <w:spacing w:val="-21"/>
          <w:sz w:val="16"/>
        </w:rPr>
        <w:t> </w:t>
      </w:r>
      <w:r>
        <w:rPr>
          <w:rFonts w:ascii="Arial"/>
          <w:color w:val="231F20"/>
          <w:sz w:val="16"/>
        </w:rPr>
        <w:t>duct.</w:t>
      </w:r>
      <w:r>
        <w:rPr>
          <w:rFonts w:ascii="Arial"/>
          <w:color w:val="231F20"/>
          <w:spacing w:val="-21"/>
          <w:sz w:val="16"/>
        </w:rPr>
        <w:t> </w:t>
      </w:r>
      <w:r>
        <w:rPr>
          <w:rFonts w:ascii="Arial"/>
          <w:color w:val="231F20"/>
          <w:sz w:val="16"/>
        </w:rPr>
        <w:t>The</w:t>
      </w:r>
      <w:r>
        <w:rPr>
          <w:rFonts w:ascii="Arial"/>
          <w:color w:val="231F20"/>
          <w:spacing w:val="-21"/>
          <w:sz w:val="16"/>
        </w:rPr>
        <w:t> </w:t>
      </w:r>
      <w:r>
        <w:rPr>
          <w:rFonts w:ascii="Arial"/>
          <w:color w:val="231F20"/>
          <w:sz w:val="16"/>
        </w:rPr>
        <w:t>recirculation</w:t>
      </w:r>
      <w:r>
        <w:rPr>
          <w:rFonts w:ascii="Arial"/>
          <w:color w:val="231F20"/>
          <w:spacing w:val="-21"/>
          <w:sz w:val="16"/>
        </w:rPr>
        <w:t> </w:t>
      </w:r>
      <w:r>
        <w:rPr>
          <w:rFonts w:ascii="Arial"/>
          <w:color w:val="231F20"/>
          <w:sz w:val="16"/>
        </w:rPr>
        <w:t>of</w:t>
      </w:r>
      <w:r>
        <w:rPr>
          <w:rFonts w:ascii="Arial"/>
          <w:color w:val="231F20"/>
          <w:spacing w:val="-22"/>
          <w:sz w:val="16"/>
        </w:rPr>
        <w:t> </w:t>
      </w:r>
      <w:r>
        <w:rPr>
          <w:rFonts w:ascii="Arial"/>
          <w:color w:val="231F20"/>
          <w:sz w:val="16"/>
        </w:rPr>
        <w:t>urea helps</w:t>
      </w:r>
      <w:r>
        <w:rPr>
          <w:rFonts w:ascii="Arial"/>
          <w:color w:val="231F20"/>
          <w:spacing w:val="-6"/>
          <w:sz w:val="16"/>
        </w:rPr>
        <w:t> </w:t>
      </w:r>
      <w:r>
        <w:rPr>
          <w:rFonts w:ascii="Arial"/>
          <w:color w:val="231F20"/>
          <w:sz w:val="16"/>
        </w:rPr>
        <w:t>to</w:t>
      </w:r>
      <w:r>
        <w:rPr>
          <w:rFonts w:ascii="Arial"/>
          <w:color w:val="231F20"/>
          <w:spacing w:val="-6"/>
          <w:sz w:val="16"/>
        </w:rPr>
        <w:t> </w:t>
      </w:r>
      <w:r>
        <w:rPr>
          <w:rFonts w:ascii="Arial"/>
          <w:color w:val="231F20"/>
          <w:sz w:val="16"/>
        </w:rPr>
        <w:t>trap</w:t>
      </w:r>
      <w:r>
        <w:rPr>
          <w:rFonts w:ascii="Arial"/>
          <w:color w:val="231F20"/>
          <w:spacing w:val="-6"/>
          <w:sz w:val="16"/>
        </w:rPr>
        <w:t> </w:t>
      </w:r>
      <w:r>
        <w:rPr>
          <w:rFonts w:ascii="Arial"/>
          <w:color w:val="231F20"/>
          <w:sz w:val="16"/>
        </w:rPr>
        <w:t>urea</w:t>
      </w:r>
      <w:r>
        <w:rPr>
          <w:rFonts w:ascii="Arial"/>
          <w:color w:val="231F20"/>
          <w:spacing w:val="-6"/>
          <w:sz w:val="16"/>
        </w:rPr>
        <w:t> </w:t>
      </w:r>
      <w:r>
        <w:rPr>
          <w:rFonts w:ascii="Arial"/>
          <w:color w:val="231F20"/>
          <w:sz w:val="16"/>
        </w:rPr>
        <w:t>in</w:t>
      </w:r>
      <w:r>
        <w:rPr>
          <w:rFonts w:ascii="Arial"/>
          <w:color w:val="231F20"/>
          <w:spacing w:val="-6"/>
          <w:sz w:val="16"/>
        </w:rPr>
        <w:t> </w:t>
      </w:r>
      <w:r>
        <w:rPr>
          <w:rFonts w:ascii="Arial"/>
          <w:color w:val="231F20"/>
          <w:sz w:val="16"/>
        </w:rPr>
        <w:t>the</w:t>
      </w:r>
      <w:r>
        <w:rPr>
          <w:rFonts w:ascii="Arial"/>
          <w:color w:val="231F20"/>
          <w:spacing w:val="-6"/>
          <w:sz w:val="16"/>
        </w:rPr>
        <w:t> </w:t>
      </w:r>
      <w:r>
        <w:rPr>
          <w:rFonts w:ascii="Arial"/>
          <w:color w:val="231F20"/>
          <w:sz w:val="16"/>
        </w:rPr>
        <w:t>renal</w:t>
      </w:r>
      <w:r>
        <w:rPr>
          <w:rFonts w:ascii="Arial"/>
          <w:color w:val="231F20"/>
          <w:spacing w:val="-6"/>
          <w:sz w:val="16"/>
        </w:rPr>
        <w:t> </w:t>
      </w:r>
      <w:r>
        <w:rPr>
          <w:rFonts w:ascii="Arial"/>
          <w:color w:val="231F20"/>
          <w:sz w:val="16"/>
        </w:rPr>
        <w:t>medulla</w:t>
      </w:r>
      <w:r>
        <w:rPr>
          <w:rFonts w:ascii="Arial"/>
          <w:color w:val="231F20"/>
          <w:spacing w:val="-5"/>
          <w:sz w:val="16"/>
        </w:rPr>
        <w:t> </w:t>
      </w:r>
      <w:r>
        <w:rPr>
          <w:rFonts w:ascii="Arial"/>
          <w:color w:val="231F20"/>
          <w:sz w:val="16"/>
        </w:rPr>
        <w:t>and</w:t>
      </w:r>
      <w:r>
        <w:rPr>
          <w:rFonts w:ascii="Arial"/>
          <w:color w:val="231F20"/>
          <w:spacing w:val="-6"/>
          <w:sz w:val="16"/>
        </w:rPr>
        <w:t> </w:t>
      </w:r>
      <w:r>
        <w:rPr>
          <w:rFonts w:ascii="Arial"/>
          <w:color w:val="231F20"/>
          <w:sz w:val="16"/>
        </w:rPr>
        <w:t>contributes</w:t>
      </w:r>
      <w:r>
        <w:rPr>
          <w:rFonts w:ascii="Arial"/>
          <w:color w:val="231F20"/>
          <w:spacing w:val="-6"/>
          <w:sz w:val="16"/>
        </w:rPr>
        <w:t> </w:t>
      </w:r>
      <w:r>
        <w:rPr>
          <w:rFonts w:ascii="Arial"/>
          <w:color w:val="231F20"/>
          <w:sz w:val="16"/>
        </w:rPr>
        <w:t>to</w:t>
      </w:r>
      <w:r>
        <w:rPr>
          <w:rFonts w:ascii="Arial"/>
          <w:color w:val="231F20"/>
          <w:spacing w:val="-6"/>
          <w:sz w:val="16"/>
        </w:rPr>
        <w:t> </w:t>
      </w:r>
      <w:r>
        <w:rPr>
          <w:rFonts w:ascii="Arial"/>
          <w:color w:val="231F20"/>
          <w:sz w:val="16"/>
        </w:rPr>
        <w:t>the</w:t>
      </w:r>
      <w:r>
        <w:rPr>
          <w:rFonts w:ascii="Arial"/>
          <w:color w:val="231F20"/>
          <w:spacing w:val="-6"/>
          <w:sz w:val="16"/>
        </w:rPr>
        <w:t> </w:t>
      </w:r>
      <w:r>
        <w:rPr>
          <w:rFonts w:ascii="Arial"/>
          <w:color w:val="231F20"/>
          <w:spacing w:val="-5"/>
          <w:sz w:val="16"/>
        </w:rPr>
        <w:t>hyper- </w:t>
      </w:r>
      <w:r>
        <w:rPr>
          <w:rFonts w:ascii="Arial"/>
          <w:color w:val="231F20"/>
          <w:sz w:val="16"/>
        </w:rPr>
        <w:t>osmolarity of the renal medulla. The heavy lines, from the thick ascending loop of Henle to the medullary collecting ducts, indicate that</w:t>
      </w:r>
      <w:r>
        <w:rPr>
          <w:rFonts w:ascii="Arial"/>
          <w:color w:val="231F20"/>
          <w:spacing w:val="-17"/>
          <w:sz w:val="16"/>
        </w:rPr>
        <w:t> </w:t>
      </w:r>
      <w:r>
        <w:rPr>
          <w:rFonts w:ascii="Arial"/>
          <w:color w:val="231F20"/>
          <w:sz w:val="16"/>
        </w:rPr>
        <w:t>these</w:t>
      </w:r>
      <w:r>
        <w:rPr>
          <w:rFonts w:ascii="Arial"/>
          <w:color w:val="231F20"/>
          <w:spacing w:val="-17"/>
          <w:sz w:val="16"/>
        </w:rPr>
        <w:t> </w:t>
      </w:r>
      <w:r>
        <w:rPr>
          <w:rFonts w:ascii="Arial"/>
          <w:color w:val="231F20"/>
          <w:sz w:val="16"/>
        </w:rPr>
        <w:t>segments</w:t>
      </w:r>
      <w:r>
        <w:rPr>
          <w:rFonts w:ascii="Arial"/>
          <w:color w:val="231F20"/>
          <w:spacing w:val="-16"/>
          <w:sz w:val="16"/>
        </w:rPr>
        <w:t> </w:t>
      </w:r>
      <w:r>
        <w:rPr>
          <w:rFonts w:ascii="Arial"/>
          <w:color w:val="231F20"/>
          <w:sz w:val="16"/>
        </w:rPr>
        <w:t>are</w:t>
      </w:r>
      <w:r>
        <w:rPr>
          <w:rFonts w:ascii="Arial"/>
          <w:color w:val="231F20"/>
          <w:spacing w:val="-17"/>
          <w:sz w:val="16"/>
        </w:rPr>
        <w:t> </w:t>
      </w:r>
      <w:r>
        <w:rPr>
          <w:rFonts w:ascii="Arial"/>
          <w:color w:val="231F20"/>
          <w:sz w:val="16"/>
        </w:rPr>
        <w:t>not</w:t>
      </w:r>
      <w:r>
        <w:rPr>
          <w:rFonts w:ascii="Arial"/>
          <w:color w:val="231F20"/>
          <w:spacing w:val="-17"/>
          <w:sz w:val="16"/>
        </w:rPr>
        <w:t> </w:t>
      </w:r>
      <w:r>
        <w:rPr>
          <w:rFonts w:ascii="Arial"/>
          <w:color w:val="231F20"/>
          <w:sz w:val="16"/>
        </w:rPr>
        <w:t>very</w:t>
      </w:r>
      <w:r>
        <w:rPr>
          <w:rFonts w:ascii="Arial"/>
          <w:color w:val="231F20"/>
          <w:spacing w:val="-16"/>
          <w:sz w:val="16"/>
        </w:rPr>
        <w:t> </w:t>
      </w:r>
      <w:r>
        <w:rPr>
          <w:rFonts w:ascii="Arial"/>
          <w:color w:val="231F20"/>
          <w:sz w:val="16"/>
        </w:rPr>
        <w:t>permeable</w:t>
      </w:r>
      <w:r>
        <w:rPr>
          <w:rFonts w:ascii="Arial"/>
          <w:color w:val="231F20"/>
          <w:spacing w:val="-17"/>
          <w:sz w:val="16"/>
        </w:rPr>
        <w:t> </w:t>
      </w:r>
      <w:r>
        <w:rPr>
          <w:rFonts w:ascii="Arial"/>
          <w:color w:val="231F20"/>
          <w:sz w:val="16"/>
        </w:rPr>
        <w:t>to</w:t>
      </w:r>
      <w:r>
        <w:rPr>
          <w:rFonts w:ascii="Arial"/>
          <w:color w:val="231F20"/>
          <w:spacing w:val="-17"/>
          <w:sz w:val="16"/>
        </w:rPr>
        <w:t> </w:t>
      </w:r>
      <w:r>
        <w:rPr>
          <w:rFonts w:ascii="Arial"/>
          <w:color w:val="231F20"/>
          <w:sz w:val="16"/>
        </w:rPr>
        <w:t>urea.</w:t>
      </w:r>
      <w:r>
        <w:rPr>
          <w:rFonts w:ascii="Arial"/>
          <w:color w:val="231F20"/>
          <w:spacing w:val="-16"/>
          <w:sz w:val="16"/>
        </w:rPr>
        <w:t> </w:t>
      </w:r>
      <w:r>
        <w:rPr>
          <w:rFonts w:ascii="Arial"/>
          <w:color w:val="231F20"/>
          <w:sz w:val="16"/>
        </w:rPr>
        <w:t>Urea</w:t>
      </w:r>
      <w:r>
        <w:rPr>
          <w:rFonts w:ascii="Arial"/>
          <w:color w:val="231F20"/>
          <w:spacing w:val="-17"/>
          <w:sz w:val="16"/>
        </w:rPr>
        <w:t> </w:t>
      </w:r>
      <w:r>
        <w:rPr>
          <w:rFonts w:ascii="Arial"/>
          <w:color w:val="231F20"/>
          <w:sz w:val="16"/>
        </w:rPr>
        <w:t>transport- ers</w:t>
      </w:r>
      <w:r>
        <w:rPr>
          <w:rFonts w:ascii="Arial"/>
          <w:color w:val="231F20"/>
          <w:spacing w:val="-9"/>
          <w:sz w:val="16"/>
        </w:rPr>
        <w:t> </w:t>
      </w:r>
      <w:r>
        <w:rPr>
          <w:rFonts w:ascii="Arial"/>
          <w:color w:val="231F20"/>
          <w:spacing w:val="-5"/>
          <w:sz w:val="16"/>
        </w:rPr>
        <w:t>UT-A1</w:t>
      </w:r>
      <w:r>
        <w:rPr>
          <w:rFonts w:ascii="Arial"/>
          <w:color w:val="231F20"/>
          <w:spacing w:val="-8"/>
          <w:sz w:val="16"/>
        </w:rPr>
        <w:t> </w:t>
      </w:r>
      <w:r>
        <w:rPr>
          <w:rFonts w:ascii="Arial"/>
          <w:color w:val="231F20"/>
          <w:sz w:val="16"/>
        </w:rPr>
        <w:t>and</w:t>
      </w:r>
      <w:r>
        <w:rPr>
          <w:rFonts w:ascii="Arial"/>
          <w:color w:val="231F20"/>
          <w:spacing w:val="-9"/>
          <w:sz w:val="16"/>
        </w:rPr>
        <w:t> </w:t>
      </w:r>
      <w:r>
        <w:rPr>
          <w:rFonts w:ascii="Arial"/>
          <w:color w:val="231F20"/>
          <w:spacing w:val="-5"/>
          <w:sz w:val="16"/>
        </w:rPr>
        <w:t>UT-A3</w:t>
      </w:r>
      <w:r>
        <w:rPr>
          <w:rFonts w:ascii="Arial"/>
          <w:color w:val="231F20"/>
          <w:spacing w:val="-8"/>
          <w:sz w:val="16"/>
        </w:rPr>
        <w:t> </w:t>
      </w:r>
      <w:r>
        <w:rPr>
          <w:rFonts w:ascii="Arial"/>
          <w:color w:val="231F20"/>
          <w:sz w:val="16"/>
        </w:rPr>
        <w:t>facilitate</w:t>
      </w:r>
      <w:r>
        <w:rPr>
          <w:rFonts w:ascii="Arial"/>
          <w:color w:val="231F20"/>
          <w:spacing w:val="-9"/>
          <w:sz w:val="16"/>
        </w:rPr>
        <w:t> </w:t>
      </w:r>
      <w:r>
        <w:rPr>
          <w:rFonts w:ascii="Arial"/>
          <w:color w:val="231F20"/>
          <w:sz w:val="16"/>
        </w:rPr>
        <w:t>diffusion</w:t>
      </w:r>
      <w:r>
        <w:rPr>
          <w:rFonts w:ascii="Arial"/>
          <w:color w:val="231F20"/>
          <w:spacing w:val="-8"/>
          <w:sz w:val="16"/>
        </w:rPr>
        <w:t> </w:t>
      </w:r>
      <w:r>
        <w:rPr>
          <w:rFonts w:ascii="Arial"/>
          <w:color w:val="231F20"/>
          <w:sz w:val="16"/>
        </w:rPr>
        <w:t>of</w:t>
      </w:r>
      <w:r>
        <w:rPr>
          <w:rFonts w:ascii="Arial"/>
          <w:color w:val="231F20"/>
          <w:spacing w:val="-9"/>
          <w:sz w:val="16"/>
        </w:rPr>
        <w:t> </w:t>
      </w:r>
      <w:r>
        <w:rPr>
          <w:rFonts w:ascii="Arial"/>
          <w:color w:val="231F20"/>
          <w:sz w:val="16"/>
        </w:rPr>
        <w:t>urea</w:t>
      </w:r>
      <w:r>
        <w:rPr>
          <w:rFonts w:ascii="Arial"/>
          <w:color w:val="231F20"/>
          <w:spacing w:val="-8"/>
          <w:sz w:val="16"/>
        </w:rPr>
        <w:t> </w:t>
      </w:r>
      <w:r>
        <w:rPr>
          <w:rFonts w:ascii="Arial"/>
          <w:color w:val="231F20"/>
          <w:sz w:val="16"/>
        </w:rPr>
        <w:t>out</w:t>
      </w:r>
      <w:r>
        <w:rPr>
          <w:rFonts w:ascii="Arial"/>
          <w:color w:val="231F20"/>
          <w:spacing w:val="-9"/>
          <w:sz w:val="16"/>
        </w:rPr>
        <w:t> </w:t>
      </w:r>
      <w:r>
        <w:rPr>
          <w:rFonts w:ascii="Arial"/>
          <w:color w:val="231F20"/>
          <w:sz w:val="16"/>
        </w:rPr>
        <w:t>of</w:t>
      </w:r>
      <w:r>
        <w:rPr>
          <w:rFonts w:ascii="Arial"/>
          <w:color w:val="231F20"/>
          <w:spacing w:val="-8"/>
          <w:sz w:val="16"/>
        </w:rPr>
        <w:t> </w:t>
      </w:r>
      <w:r>
        <w:rPr>
          <w:rFonts w:ascii="Arial"/>
          <w:color w:val="231F20"/>
          <w:sz w:val="16"/>
        </w:rPr>
        <w:t>the</w:t>
      </w:r>
      <w:r>
        <w:rPr>
          <w:rFonts w:ascii="Arial"/>
          <w:color w:val="231F20"/>
          <w:spacing w:val="-9"/>
          <w:sz w:val="16"/>
        </w:rPr>
        <w:t> </w:t>
      </w:r>
      <w:r>
        <w:rPr>
          <w:rFonts w:ascii="Arial"/>
          <w:color w:val="231F20"/>
          <w:sz w:val="16"/>
        </w:rPr>
        <w:t>medullary collecting ducts while </w:t>
      </w:r>
      <w:r>
        <w:rPr>
          <w:rFonts w:ascii="Arial"/>
          <w:color w:val="231F20"/>
          <w:spacing w:val="-5"/>
          <w:sz w:val="16"/>
        </w:rPr>
        <w:t>UT-A2 </w:t>
      </w:r>
      <w:r>
        <w:rPr>
          <w:rFonts w:ascii="Arial"/>
          <w:color w:val="231F20"/>
          <w:sz w:val="16"/>
        </w:rPr>
        <w:t>facilitates urea diffusion into the </w:t>
      </w:r>
      <w:r>
        <w:rPr>
          <w:rFonts w:ascii="Arial"/>
          <w:color w:val="231F20"/>
          <w:spacing w:val="-4"/>
          <w:sz w:val="16"/>
        </w:rPr>
        <w:t>thin </w:t>
      </w:r>
      <w:r>
        <w:rPr>
          <w:rFonts w:ascii="Arial"/>
          <w:color w:val="231F20"/>
          <w:sz w:val="16"/>
        </w:rPr>
        <w:t>descending</w:t>
      </w:r>
      <w:r>
        <w:rPr>
          <w:rFonts w:ascii="Arial"/>
          <w:color w:val="231F20"/>
          <w:spacing w:val="-15"/>
          <w:sz w:val="16"/>
        </w:rPr>
        <w:t> </w:t>
      </w:r>
      <w:r>
        <w:rPr>
          <w:rFonts w:ascii="Arial"/>
          <w:color w:val="231F20"/>
          <w:sz w:val="16"/>
        </w:rPr>
        <w:t>loop</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Henle.</w:t>
      </w:r>
      <w:r>
        <w:rPr>
          <w:rFonts w:ascii="Arial"/>
          <w:color w:val="231F20"/>
          <w:spacing w:val="-14"/>
          <w:sz w:val="16"/>
        </w:rPr>
        <w:t> </w:t>
      </w:r>
      <w:r>
        <w:rPr>
          <w:rFonts w:ascii="Arial"/>
          <w:color w:val="231F20"/>
          <w:sz w:val="16"/>
        </w:rPr>
        <w:t>(Numerical</w:t>
      </w:r>
      <w:r>
        <w:rPr>
          <w:rFonts w:ascii="Arial"/>
          <w:color w:val="231F20"/>
          <w:spacing w:val="-14"/>
          <w:sz w:val="16"/>
        </w:rPr>
        <w:t> </w:t>
      </w:r>
      <w:r>
        <w:rPr>
          <w:rFonts w:ascii="Arial"/>
          <w:color w:val="231F20"/>
          <w:sz w:val="16"/>
        </w:rPr>
        <w:t>values</w:t>
      </w:r>
      <w:r>
        <w:rPr>
          <w:rFonts w:ascii="Arial"/>
          <w:color w:val="231F20"/>
          <w:spacing w:val="-14"/>
          <w:sz w:val="16"/>
        </w:rPr>
        <w:t> </w:t>
      </w:r>
      <w:r>
        <w:rPr>
          <w:rFonts w:ascii="Arial"/>
          <w:color w:val="231F20"/>
          <w:sz w:val="16"/>
        </w:rPr>
        <w:t>are</w:t>
      </w:r>
      <w:r>
        <w:rPr>
          <w:rFonts w:ascii="Arial"/>
          <w:color w:val="231F20"/>
          <w:spacing w:val="-14"/>
          <w:sz w:val="16"/>
        </w:rPr>
        <w:t> </w:t>
      </w:r>
      <w:r>
        <w:rPr>
          <w:rFonts w:ascii="Arial"/>
          <w:color w:val="231F20"/>
          <w:sz w:val="16"/>
        </w:rPr>
        <w:t>in</w:t>
      </w:r>
      <w:r>
        <w:rPr>
          <w:rFonts w:ascii="Arial"/>
          <w:color w:val="231F20"/>
          <w:spacing w:val="-15"/>
          <w:sz w:val="16"/>
        </w:rPr>
        <w:t> </w:t>
      </w:r>
      <w:r>
        <w:rPr>
          <w:rFonts w:ascii="Arial"/>
          <w:color w:val="231F20"/>
          <w:sz w:val="16"/>
        </w:rPr>
        <w:t>milliosmoles</w:t>
      </w:r>
      <w:r>
        <w:rPr>
          <w:rFonts w:ascii="Arial"/>
          <w:color w:val="231F20"/>
          <w:spacing w:val="-14"/>
          <w:sz w:val="16"/>
        </w:rPr>
        <w:t> </w:t>
      </w:r>
      <w:r>
        <w:rPr>
          <w:rFonts w:ascii="Arial"/>
          <w:color w:val="231F20"/>
          <w:spacing w:val="-4"/>
          <w:sz w:val="16"/>
        </w:rPr>
        <w:t>per </w:t>
      </w:r>
      <w:r>
        <w:rPr>
          <w:rFonts w:ascii="Arial"/>
          <w:color w:val="231F20"/>
          <w:sz w:val="16"/>
        </w:rPr>
        <w:t>liter of urea during antidiuresis, when large amounts of </w:t>
      </w:r>
      <w:r>
        <w:rPr>
          <w:rFonts w:ascii="Arial"/>
          <w:color w:val="231F20"/>
          <w:spacing w:val="-3"/>
          <w:sz w:val="16"/>
        </w:rPr>
        <w:t>antidiuretic </w:t>
      </w:r>
      <w:r>
        <w:rPr>
          <w:rFonts w:ascii="Arial"/>
          <w:color w:val="231F20"/>
          <w:sz w:val="16"/>
        </w:rPr>
        <w:t>hormone are present. Percentages of the filtered load of urea that remain in the tubules are indicated in the</w:t>
      </w:r>
      <w:r>
        <w:rPr>
          <w:rFonts w:ascii="Arial"/>
          <w:color w:val="231F20"/>
          <w:spacing w:val="33"/>
          <w:sz w:val="16"/>
        </w:rPr>
        <w:t> </w:t>
      </w:r>
      <w:r>
        <w:rPr>
          <w:rFonts w:ascii="Arial"/>
          <w:color w:val="231F20"/>
          <w:sz w:val="16"/>
        </w:rPr>
        <w:t>boxes.)</w:t>
      </w:r>
    </w:p>
    <w:p>
      <w:pPr>
        <w:pStyle w:val="BodyText"/>
        <w:spacing w:before="4"/>
        <w:rPr>
          <w:rFonts w:ascii="Arial"/>
          <w:sz w:val="14"/>
        </w:rPr>
      </w:pPr>
    </w:p>
    <w:p>
      <w:pPr>
        <w:pStyle w:val="BodyText"/>
        <w:spacing w:line="249" w:lineRule="auto" w:before="1"/>
        <w:ind w:left="319" w:right="1079"/>
        <w:jc w:val="both"/>
      </w:pPr>
      <w:r>
        <w:rPr>
          <w:color w:val="231F20"/>
          <w:w w:val="105"/>
        </w:rPr>
        <w:t>Each</w:t>
      </w:r>
      <w:r>
        <w:rPr>
          <w:color w:val="231F20"/>
          <w:spacing w:val="-8"/>
          <w:w w:val="105"/>
        </w:rPr>
        <w:t> </w:t>
      </w:r>
      <w:r>
        <w:rPr>
          <w:color w:val="231F20"/>
          <w:w w:val="105"/>
        </w:rPr>
        <w:t>time</w:t>
      </w:r>
      <w:r>
        <w:rPr>
          <w:color w:val="231F20"/>
          <w:spacing w:val="-8"/>
          <w:w w:val="105"/>
        </w:rPr>
        <w:t> </w:t>
      </w:r>
      <w:r>
        <w:rPr>
          <w:color w:val="231F20"/>
          <w:w w:val="105"/>
        </w:rPr>
        <w:t>around</w:t>
      </w:r>
      <w:r>
        <w:rPr>
          <w:color w:val="231F20"/>
          <w:spacing w:val="-8"/>
          <w:w w:val="105"/>
        </w:rPr>
        <w:t> </w:t>
      </w:r>
      <w:r>
        <w:rPr>
          <w:color w:val="231F20"/>
          <w:w w:val="105"/>
        </w:rPr>
        <w:t>the</w:t>
      </w:r>
      <w:r>
        <w:rPr>
          <w:color w:val="231F20"/>
          <w:spacing w:val="-8"/>
          <w:w w:val="105"/>
        </w:rPr>
        <w:t> </w:t>
      </w:r>
      <w:r>
        <w:rPr>
          <w:color w:val="231F20"/>
          <w:w w:val="105"/>
        </w:rPr>
        <w:t>circuit</w:t>
      </w:r>
      <w:r>
        <w:rPr>
          <w:color w:val="231F20"/>
          <w:spacing w:val="-8"/>
          <w:w w:val="105"/>
        </w:rPr>
        <w:t> </w:t>
      </w:r>
      <w:r>
        <w:rPr>
          <w:color w:val="231F20"/>
          <w:w w:val="105"/>
        </w:rPr>
        <w:t>contributes</w:t>
      </w:r>
      <w:r>
        <w:rPr>
          <w:color w:val="231F20"/>
          <w:spacing w:val="-8"/>
          <w:w w:val="105"/>
        </w:rPr>
        <w:t> </w:t>
      </w:r>
      <w:r>
        <w:rPr>
          <w:color w:val="231F20"/>
          <w:w w:val="105"/>
        </w:rPr>
        <w:t>to</w:t>
      </w:r>
      <w:r>
        <w:rPr>
          <w:color w:val="231F20"/>
          <w:spacing w:val="-8"/>
          <w:w w:val="105"/>
        </w:rPr>
        <w:t> </w:t>
      </w:r>
      <w:r>
        <w:rPr>
          <w:color w:val="231F20"/>
          <w:w w:val="105"/>
        </w:rPr>
        <w:t>a</w:t>
      </w:r>
      <w:r>
        <w:rPr>
          <w:color w:val="231F20"/>
          <w:spacing w:val="-8"/>
          <w:w w:val="105"/>
        </w:rPr>
        <w:t> </w:t>
      </w:r>
      <w:r>
        <w:rPr>
          <w:color w:val="231F20"/>
          <w:w w:val="105"/>
        </w:rPr>
        <w:t>higher</w:t>
      </w:r>
      <w:r>
        <w:rPr>
          <w:color w:val="231F20"/>
          <w:spacing w:val="-7"/>
          <w:w w:val="105"/>
        </w:rPr>
        <w:t> </w:t>
      </w:r>
      <w:r>
        <w:rPr>
          <w:color w:val="231F20"/>
          <w:w w:val="105"/>
        </w:rPr>
        <w:t>con­ centration of</w:t>
      </w:r>
      <w:r>
        <w:rPr>
          <w:color w:val="231F20"/>
          <w:spacing w:val="6"/>
          <w:w w:val="105"/>
        </w:rPr>
        <w:t> </w:t>
      </w:r>
      <w:r>
        <w:rPr>
          <w:color w:val="231F20"/>
          <w:w w:val="105"/>
        </w:rPr>
        <w:t>urea.</w:t>
      </w:r>
    </w:p>
    <w:p>
      <w:pPr>
        <w:pStyle w:val="BodyText"/>
        <w:spacing w:line="249" w:lineRule="auto" w:before="1"/>
        <w:ind w:left="319" w:right="1077" w:firstLine="240"/>
        <w:jc w:val="right"/>
      </w:pPr>
      <w:r>
        <w:rPr>
          <w:color w:val="231F20"/>
          <w:w w:val="105"/>
        </w:rPr>
        <w:t>This</w:t>
      </w:r>
      <w:r>
        <w:rPr>
          <w:color w:val="231F20"/>
          <w:spacing w:val="-10"/>
          <w:w w:val="105"/>
        </w:rPr>
        <w:t> </w:t>
      </w:r>
      <w:r>
        <w:rPr>
          <w:color w:val="231F20"/>
          <w:w w:val="105"/>
        </w:rPr>
        <w:t>urea</w:t>
      </w:r>
      <w:r>
        <w:rPr>
          <w:color w:val="231F20"/>
          <w:spacing w:val="-10"/>
          <w:w w:val="105"/>
        </w:rPr>
        <w:t> </w:t>
      </w:r>
      <w:r>
        <w:rPr>
          <w:color w:val="231F20"/>
          <w:w w:val="105"/>
        </w:rPr>
        <w:t>recirculation</w:t>
      </w:r>
      <w:r>
        <w:rPr>
          <w:color w:val="231F20"/>
          <w:spacing w:val="-9"/>
          <w:w w:val="105"/>
        </w:rPr>
        <w:t> </w:t>
      </w:r>
      <w:r>
        <w:rPr>
          <w:color w:val="231F20"/>
          <w:w w:val="105"/>
        </w:rPr>
        <w:t>provides</w:t>
      </w:r>
      <w:r>
        <w:rPr>
          <w:color w:val="231F20"/>
          <w:spacing w:val="-10"/>
          <w:w w:val="105"/>
        </w:rPr>
        <w:t> </w:t>
      </w:r>
      <w:r>
        <w:rPr>
          <w:color w:val="231F20"/>
          <w:w w:val="105"/>
        </w:rPr>
        <w:t>an</w:t>
      </w:r>
      <w:r>
        <w:rPr>
          <w:color w:val="231F20"/>
          <w:spacing w:val="-9"/>
          <w:w w:val="105"/>
        </w:rPr>
        <w:t> </w:t>
      </w:r>
      <w:r>
        <w:rPr>
          <w:color w:val="231F20"/>
          <w:w w:val="105"/>
        </w:rPr>
        <w:t>additional</w:t>
      </w:r>
      <w:r>
        <w:rPr>
          <w:color w:val="231F20"/>
          <w:spacing w:val="-10"/>
          <w:w w:val="105"/>
        </w:rPr>
        <w:t> </w:t>
      </w:r>
      <w:r>
        <w:rPr>
          <w:color w:val="231F20"/>
          <w:w w:val="105"/>
        </w:rPr>
        <w:t>mecha­</w:t>
      </w:r>
      <w:r>
        <w:rPr>
          <w:color w:val="231F20"/>
          <w:w w:val="109"/>
        </w:rPr>
        <w:t> </w:t>
      </w:r>
      <w:r>
        <w:rPr>
          <w:color w:val="231F20"/>
          <w:w w:val="105"/>
        </w:rPr>
        <w:t>nism</w:t>
      </w:r>
      <w:r>
        <w:rPr>
          <w:color w:val="231F20"/>
          <w:spacing w:val="-17"/>
          <w:w w:val="105"/>
        </w:rPr>
        <w:t> </w:t>
      </w:r>
      <w:r>
        <w:rPr>
          <w:color w:val="231F20"/>
          <w:w w:val="105"/>
        </w:rPr>
        <w:t>for</w:t>
      </w:r>
      <w:r>
        <w:rPr>
          <w:color w:val="231F20"/>
          <w:spacing w:val="-17"/>
          <w:w w:val="105"/>
        </w:rPr>
        <w:t> </w:t>
      </w:r>
      <w:r>
        <w:rPr>
          <w:color w:val="231F20"/>
          <w:w w:val="105"/>
        </w:rPr>
        <w:t>forming</w:t>
      </w:r>
      <w:r>
        <w:rPr>
          <w:color w:val="231F20"/>
          <w:spacing w:val="-17"/>
          <w:w w:val="105"/>
        </w:rPr>
        <w:t> </w:t>
      </w:r>
      <w:r>
        <w:rPr>
          <w:color w:val="231F20"/>
          <w:w w:val="105"/>
        </w:rPr>
        <w:t>a</w:t>
      </w:r>
      <w:r>
        <w:rPr>
          <w:color w:val="231F20"/>
          <w:spacing w:val="-17"/>
          <w:w w:val="105"/>
        </w:rPr>
        <w:t> </w:t>
      </w:r>
      <w:r>
        <w:rPr>
          <w:color w:val="231F20"/>
          <w:w w:val="105"/>
        </w:rPr>
        <w:t>hyperosmotic</w:t>
      </w:r>
      <w:r>
        <w:rPr>
          <w:color w:val="231F20"/>
          <w:spacing w:val="-17"/>
          <w:w w:val="105"/>
        </w:rPr>
        <w:t> </w:t>
      </w:r>
      <w:r>
        <w:rPr>
          <w:color w:val="231F20"/>
          <w:w w:val="105"/>
        </w:rPr>
        <w:t>renal</w:t>
      </w:r>
      <w:r>
        <w:rPr>
          <w:color w:val="231F20"/>
          <w:spacing w:val="-17"/>
          <w:w w:val="105"/>
        </w:rPr>
        <w:t> </w:t>
      </w:r>
      <w:r>
        <w:rPr>
          <w:color w:val="231F20"/>
          <w:w w:val="105"/>
        </w:rPr>
        <w:t>medulla.</w:t>
      </w:r>
      <w:r>
        <w:rPr>
          <w:color w:val="231F20"/>
          <w:spacing w:val="-17"/>
          <w:w w:val="105"/>
        </w:rPr>
        <w:t> </w:t>
      </w:r>
      <w:r>
        <w:rPr>
          <w:color w:val="231F20"/>
          <w:w w:val="105"/>
        </w:rPr>
        <w:t>Because</w:t>
      </w:r>
      <w:r>
        <w:rPr>
          <w:color w:val="231F20"/>
          <w:w w:val="100"/>
        </w:rPr>
        <w:t> </w:t>
      </w:r>
      <w:r>
        <w:rPr>
          <w:color w:val="231F20"/>
          <w:w w:val="105"/>
        </w:rPr>
        <w:t>urea</w:t>
      </w:r>
      <w:r>
        <w:rPr>
          <w:color w:val="231F20"/>
          <w:spacing w:val="29"/>
          <w:w w:val="105"/>
        </w:rPr>
        <w:t> </w:t>
      </w:r>
      <w:r>
        <w:rPr>
          <w:color w:val="231F20"/>
          <w:w w:val="105"/>
        </w:rPr>
        <w:t>is</w:t>
      </w:r>
      <w:r>
        <w:rPr>
          <w:color w:val="231F20"/>
          <w:spacing w:val="30"/>
          <w:w w:val="105"/>
        </w:rPr>
        <w:t> </w:t>
      </w:r>
      <w:r>
        <w:rPr>
          <w:color w:val="231F20"/>
          <w:w w:val="105"/>
        </w:rPr>
        <w:t>one</w:t>
      </w:r>
      <w:r>
        <w:rPr>
          <w:color w:val="231F20"/>
          <w:spacing w:val="30"/>
          <w:w w:val="105"/>
        </w:rPr>
        <w:t> </w:t>
      </w:r>
      <w:r>
        <w:rPr>
          <w:color w:val="231F20"/>
          <w:w w:val="105"/>
        </w:rPr>
        <w:t>of</w:t>
      </w:r>
      <w:r>
        <w:rPr>
          <w:color w:val="231F20"/>
          <w:spacing w:val="30"/>
          <w:w w:val="105"/>
        </w:rPr>
        <w:t> </w:t>
      </w:r>
      <w:r>
        <w:rPr>
          <w:color w:val="231F20"/>
          <w:w w:val="105"/>
        </w:rPr>
        <w:t>the</w:t>
      </w:r>
      <w:r>
        <w:rPr>
          <w:color w:val="231F20"/>
          <w:spacing w:val="30"/>
          <w:w w:val="105"/>
        </w:rPr>
        <w:t> </w:t>
      </w:r>
      <w:r>
        <w:rPr>
          <w:color w:val="231F20"/>
          <w:w w:val="105"/>
        </w:rPr>
        <w:t>most</w:t>
      </w:r>
      <w:r>
        <w:rPr>
          <w:color w:val="231F20"/>
          <w:spacing w:val="30"/>
          <w:w w:val="105"/>
        </w:rPr>
        <w:t> </w:t>
      </w:r>
      <w:r>
        <w:rPr>
          <w:color w:val="231F20"/>
          <w:w w:val="105"/>
        </w:rPr>
        <w:t>abundant</w:t>
      </w:r>
      <w:r>
        <w:rPr>
          <w:color w:val="231F20"/>
          <w:spacing w:val="30"/>
          <w:w w:val="105"/>
        </w:rPr>
        <w:t> </w:t>
      </w:r>
      <w:r>
        <w:rPr>
          <w:color w:val="231F20"/>
          <w:w w:val="105"/>
        </w:rPr>
        <w:t>waste</w:t>
      </w:r>
      <w:r>
        <w:rPr>
          <w:color w:val="231F20"/>
          <w:spacing w:val="30"/>
          <w:w w:val="105"/>
        </w:rPr>
        <w:t> </w:t>
      </w:r>
      <w:r>
        <w:rPr>
          <w:color w:val="231F20"/>
          <w:w w:val="105"/>
        </w:rPr>
        <w:t>products</w:t>
      </w:r>
      <w:r>
        <w:rPr>
          <w:color w:val="231F20"/>
          <w:spacing w:val="30"/>
          <w:w w:val="105"/>
        </w:rPr>
        <w:t> </w:t>
      </w:r>
      <w:r>
        <w:rPr>
          <w:color w:val="231F20"/>
          <w:w w:val="105"/>
        </w:rPr>
        <w:t>that</w:t>
      </w:r>
      <w:r>
        <w:rPr>
          <w:color w:val="231F20"/>
          <w:w w:val="116"/>
        </w:rPr>
        <w:t> </w:t>
      </w:r>
      <w:r>
        <w:rPr>
          <w:color w:val="231F20"/>
          <w:w w:val="105"/>
        </w:rPr>
        <w:t>must</w:t>
      </w:r>
      <w:r>
        <w:rPr>
          <w:color w:val="231F20"/>
          <w:spacing w:val="-19"/>
          <w:w w:val="105"/>
        </w:rPr>
        <w:t> </w:t>
      </w:r>
      <w:r>
        <w:rPr>
          <w:color w:val="231F20"/>
          <w:w w:val="105"/>
        </w:rPr>
        <w:t>be</w:t>
      </w:r>
      <w:r>
        <w:rPr>
          <w:color w:val="231F20"/>
          <w:spacing w:val="-19"/>
          <w:w w:val="105"/>
        </w:rPr>
        <w:t> </w:t>
      </w:r>
      <w:r>
        <w:rPr>
          <w:color w:val="231F20"/>
          <w:w w:val="105"/>
        </w:rPr>
        <w:t>excreted</w:t>
      </w:r>
      <w:r>
        <w:rPr>
          <w:color w:val="231F20"/>
          <w:spacing w:val="-19"/>
          <w:w w:val="105"/>
        </w:rPr>
        <w:t> </w:t>
      </w:r>
      <w:r>
        <w:rPr>
          <w:color w:val="231F20"/>
          <w:w w:val="105"/>
        </w:rPr>
        <w:t>by</w:t>
      </w:r>
      <w:r>
        <w:rPr>
          <w:color w:val="231F20"/>
          <w:spacing w:val="-19"/>
          <w:w w:val="105"/>
        </w:rPr>
        <w:t> </w:t>
      </w:r>
      <w:r>
        <w:rPr>
          <w:color w:val="231F20"/>
          <w:w w:val="105"/>
        </w:rPr>
        <w:t>the</w:t>
      </w:r>
      <w:r>
        <w:rPr>
          <w:color w:val="231F20"/>
          <w:spacing w:val="-18"/>
          <w:w w:val="105"/>
        </w:rPr>
        <w:t> </w:t>
      </w:r>
      <w:r>
        <w:rPr>
          <w:color w:val="231F20"/>
          <w:w w:val="105"/>
        </w:rPr>
        <w:t>kidneys,</w:t>
      </w:r>
      <w:r>
        <w:rPr>
          <w:color w:val="231F20"/>
          <w:spacing w:val="-19"/>
          <w:w w:val="105"/>
        </w:rPr>
        <w:t> </w:t>
      </w:r>
      <w:r>
        <w:rPr>
          <w:color w:val="231F20"/>
          <w:w w:val="105"/>
        </w:rPr>
        <w:t>this</w:t>
      </w:r>
      <w:r>
        <w:rPr>
          <w:color w:val="231F20"/>
          <w:spacing w:val="-19"/>
          <w:w w:val="105"/>
        </w:rPr>
        <w:t> </w:t>
      </w:r>
      <w:r>
        <w:rPr>
          <w:color w:val="231F20"/>
          <w:w w:val="105"/>
        </w:rPr>
        <w:t>mechanism</w:t>
      </w:r>
      <w:r>
        <w:rPr>
          <w:color w:val="231F20"/>
          <w:spacing w:val="-19"/>
          <w:w w:val="105"/>
        </w:rPr>
        <w:t> </w:t>
      </w:r>
      <w:r>
        <w:rPr>
          <w:color w:val="231F20"/>
          <w:w w:val="105"/>
        </w:rPr>
        <w:t>for</w:t>
      </w:r>
      <w:r>
        <w:rPr>
          <w:color w:val="231F20"/>
          <w:spacing w:val="-18"/>
          <w:w w:val="105"/>
        </w:rPr>
        <w:t> </w:t>
      </w:r>
      <w:r>
        <w:rPr>
          <w:color w:val="231F20"/>
          <w:w w:val="105"/>
        </w:rPr>
        <w:t>con­</w:t>
      </w:r>
      <w:r>
        <w:rPr>
          <w:color w:val="231F20"/>
          <w:w w:val="109"/>
        </w:rPr>
        <w:t> </w:t>
      </w:r>
      <w:r>
        <w:rPr>
          <w:color w:val="231F20"/>
          <w:w w:val="105"/>
        </w:rPr>
        <w:t>centrating</w:t>
      </w:r>
      <w:r>
        <w:rPr>
          <w:color w:val="231F20"/>
          <w:spacing w:val="24"/>
          <w:w w:val="105"/>
        </w:rPr>
        <w:t> </w:t>
      </w:r>
      <w:r>
        <w:rPr>
          <w:color w:val="231F20"/>
          <w:w w:val="105"/>
        </w:rPr>
        <w:t>urea</w:t>
      </w:r>
      <w:r>
        <w:rPr>
          <w:color w:val="231F20"/>
          <w:spacing w:val="24"/>
          <w:w w:val="105"/>
        </w:rPr>
        <w:t> </w:t>
      </w:r>
      <w:r>
        <w:rPr>
          <w:color w:val="231F20"/>
          <w:w w:val="105"/>
        </w:rPr>
        <w:t>before</w:t>
      </w:r>
      <w:r>
        <w:rPr>
          <w:color w:val="231F20"/>
          <w:spacing w:val="24"/>
          <w:w w:val="105"/>
        </w:rPr>
        <w:t> </w:t>
      </w:r>
      <w:r>
        <w:rPr>
          <w:color w:val="231F20"/>
          <w:w w:val="105"/>
        </w:rPr>
        <w:t>it</w:t>
      </w:r>
      <w:r>
        <w:rPr>
          <w:color w:val="231F20"/>
          <w:spacing w:val="24"/>
          <w:w w:val="105"/>
        </w:rPr>
        <w:t> </w:t>
      </w:r>
      <w:r>
        <w:rPr>
          <w:color w:val="231F20"/>
          <w:w w:val="105"/>
        </w:rPr>
        <w:t>is</w:t>
      </w:r>
      <w:r>
        <w:rPr>
          <w:color w:val="231F20"/>
          <w:spacing w:val="24"/>
          <w:w w:val="105"/>
        </w:rPr>
        <w:t> </w:t>
      </w:r>
      <w:r>
        <w:rPr>
          <w:color w:val="231F20"/>
          <w:w w:val="105"/>
        </w:rPr>
        <w:t>excreted</w:t>
      </w:r>
      <w:r>
        <w:rPr>
          <w:color w:val="231F20"/>
          <w:spacing w:val="24"/>
          <w:w w:val="105"/>
        </w:rPr>
        <w:t> </w:t>
      </w:r>
      <w:r>
        <w:rPr>
          <w:color w:val="231F20"/>
          <w:w w:val="105"/>
        </w:rPr>
        <w:t>is</w:t>
      </w:r>
      <w:r>
        <w:rPr>
          <w:color w:val="231F20"/>
          <w:spacing w:val="25"/>
          <w:w w:val="105"/>
        </w:rPr>
        <w:t> </w:t>
      </w:r>
      <w:r>
        <w:rPr>
          <w:color w:val="231F20"/>
          <w:w w:val="105"/>
        </w:rPr>
        <w:t>essential</w:t>
      </w:r>
      <w:r>
        <w:rPr>
          <w:color w:val="231F20"/>
          <w:spacing w:val="24"/>
          <w:w w:val="105"/>
        </w:rPr>
        <w:t> </w:t>
      </w:r>
      <w:r>
        <w:rPr>
          <w:color w:val="231F20"/>
          <w:w w:val="105"/>
        </w:rPr>
        <w:t>to</w:t>
      </w:r>
      <w:r>
        <w:rPr>
          <w:color w:val="231F20"/>
          <w:spacing w:val="24"/>
          <w:w w:val="105"/>
        </w:rPr>
        <w:t> </w:t>
      </w:r>
      <w:r>
        <w:rPr>
          <w:color w:val="231F20"/>
          <w:spacing w:val="-5"/>
          <w:w w:val="105"/>
        </w:rPr>
        <w:t>the</w:t>
      </w:r>
      <w:r>
        <w:rPr>
          <w:color w:val="231F20"/>
          <w:w w:val="104"/>
        </w:rPr>
        <w:t> </w:t>
      </w:r>
      <w:r>
        <w:rPr>
          <w:color w:val="231F20"/>
          <w:w w:val="105"/>
        </w:rPr>
        <w:t>economy</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body</w:t>
      </w:r>
      <w:r>
        <w:rPr>
          <w:color w:val="231F20"/>
          <w:spacing w:val="-11"/>
          <w:w w:val="105"/>
        </w:rPr>
        <w:t> </w:t>
      </w:r>
      <w:r>
        <w:rPr>
          <w:color w:val="231F20"/>
          <w:w w:val="105"/>
        </w:rPr>
        <w:t>fluid</w:t>
      </w:r>
      <w:r>
        <w:rPr>
          <w:color w:val="231F20"/>
          <w:spacing w:val="-11"/>
          <w:w w:val="105"/>
        </w:rPr>
        <w:t> </w:t>
      </w:r>
      <w:r>
        <w:rPr>
          <w:color w:val="231F20"/>
          <w:w w:val="105"/>
        </w:rPr>
        <w:t>when</w:t>
      </w:r>
      <w:r>
        <w:rPr>
          <w:color w:val="231F20"/>
          <w:spacing w:val="-11"/>
          <w:w w:val="105"/>
        </w:rPr>
        <w:t> </w:t>
      </w:r>
      <w:r>
        <w:rPr>
          <w:color w:val="231F20"/>
          <w:w w:val="105"/>
        </w:rPr>
        <w:t>water</w:t>
      </w:r>
      <w:r>
        <w:rPr>
          <w:color w:val="231F20"/>
          <w:spacing w:val="-11"/>
          <w:w w:val="105"/>
        </w:rPr>
        <w:t> </w:t>
      </w:r>
      <w:r>
        <w:rPr>
          <w:color w:val="231F20"/>
          <w:w w:val="105"/>
        </w:rPr>
        <w:t>is</w:t>
      </w:r>
      <w:r>
        <w:rPr>
          <w:color w:val="231F20"/>
          <w:spacing w:val="-11"/>
          <w:w w:val="105"/>
        </w:rPr>
        <w:t> </w:t>
      </w:r>
      <w:r>
        <w:rPr>
          <w:color w:val="231F20"/>
          <w:w w:val="105"/>
        </w:rPr>
        <w:t>in</w:t>
      </w:r>
      <w:r>
        <w:rPr>
          <w:color w:val="231F20"/>
          <w:spacing w:val="-11"/>
          <w:w w:val="105"/>
        </w:rPr>
        <w:t> </w:t>
      </w:r>
      <w:r>
        <w:rPr>
          <w:color w:val="231F20"/>
          <w:w w:val="105"/>
        </w:rPr>
        <w:t>short</w:t>
      </w:r>
      <w:r>
        <w:rPr>
          <w:color w:val="231F20"/>
          <w:spacing w:val="-10"/>
          <w:w w:val="105"/>
        </w:rPr>
        <w:t> </w:t>
      </w:r>
      <w:r>
        <w:rPr>
          <w:color w:val="231F20"/>
          <w:spacing w:val="-4"/>
          <w:w w:val="105"/>
        </w:rPr>
        <w:t>supply.</w:t>
      </w:r>
    </w:p>
    <w:p>
      <w:pPr>
        <w:pStyle w:val="BodyText"/>
        <w:spacing w:line="249" w:lineRule="auto" w:before="5"/>
        <w:ind w:left="319" w:right="1077" w:firstLine="240"/>
        <w:jc w:val="both"/>
      </w:pPr>
      <w:r>
        <w:rPr>
          <w:color w:val="231F20"/>
          <w:w w:val="105"/>
        </w:rPr>
        <w:t>When</w:t>
      </w:r>
      <w:r>
        <w:rPr>
          <w:color w:val="231F20"/>
          <w:spacing w:val="-20"/>
          <w:w w:val="105"/>
        </w:rPr>
        <w:t> </w:t>
      </w:r>
      <w:r>
        <w:rPr>
          <w:color w:val="231F20"/>
          <w:w w:val="105"/>
        </w:rPr>
        <w:t>there</w:t>
      </w:r>
      <w:r>
        <w:rPr>
          <w:color w:val="231F20"/>
          <w:spacing w:val="-19"/>
          <w:w w:val="105"/>
        </w:rPr>
        <w:t> </w:t>
      </w:r>
      <w:r>
        <w:rPr>
          <w:color w:val="231F20"/>
          <w:w w:val="105"/>
        </w:rPr>
        <w:t>is</w:t>
      </w:r>
      <w:r>
        <w:rPr>
          <w:color w:val="231F20"/>
          <w:spacing w:val="-19"/>
          <w:w w:val="105"/>
        </w:rPr>
        <w:t> </w:t>
      </w:r>
      <w:r>
        <w:rPr>
          <w:color w:val="231F20"/>
          <w:w w:val="105"/>
        </w:rPr>
        <w:t>excess</w:t>
      </w:r>
      <w:r>
        <w:rPr>
          <w:color w:val="231F20"/>
          <w:spacing w:val="-19"/>
          <w:w w:val="105"/>
        </w:rPr>
        <w:t> </w:t>
      </w:r>
      <w:r>
        <w:rPr>
          <w:color w:val="231F20"/>
          <w:w w:val="105"/>
        </w:rPr>
        <w:t>water</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body,</w:t>
      </w:r>
      <w:r>
        <w:rPr>
          <w:color w:val="231F20"/>
          <w:spacing w:val="-19"/>
          <w:w w:val="105"/>
        </w:rPr>
        <w:t> </w:t>
      </w:r>
      <w:r>
        <w:rPr>
          <w:color w:val="231F20"/>
          <w:w w:val="105"/>
        </w:rPr>
        <w:t>urine</w:t>
      </w:r>
      <w:r>
        <w:rPr>
          <w:color w:val="231F20"/>
          <w:spacing w:val="-19"/>
          <w:w w:val="105"/>
        </w:rPr>
        <w:t> </w:t>
      </w:r>
      <w:r>
        <w:rPr>
          <w:color w:val="231F20"/>
          <w:w w:val="105"/>
        </w:rPr>
        <w:t>flow</w:t>
      </w:r>
      <w:r>
        <w:rPr>
          <w:color w:val="231F20"/>
          <w:spacing w:val="-19"/>
          <w:w w:val="105"/>
        </w:rPr>
        <w:t> </w:t>
      </w:r>
      <w:r>
        <w:rPr>
          <w:color w:val="231F20"/>
          <w:w w:val="105"/>
        </w:rPr>
        <w:t>rate is usually increased and therefore the concentration </w:t>
      </w:r>
      <w:r>
        <w:rPr>
          <w:color w:val="231F20"/>
          <w:spacing w:val="-6"/>
          <w:w w:val="105"/>
        </w:rPr>
        <w:t>of </w:t>
      </w:r>
      <w:r>
        <w:rPr>
          <w:color w:val="231F20"/>
          <w:w w:val="105"/>
        </w:rPr>
        <w:t>urea in the inner medullary collecting ducts is reduced, causing less diffusion of urea into the renal medullary interstitium. ADH levels are also reduced when there is excess body water and this reduction, in turn, decreases the permeability of the inner medullary collecting </w:t>
      </w:r>
      <w:r>
        <w:rPr>
          <w:color w:val="231F20"/>
          <w:spacing w:val="-3"/>
          <w:w w:val="105"/>
        </w:rPr>
        <w:t>ducts </w:t>
      </w:r>
      <w:r>
        <w:rPr>
          <w:color w:val="231F20"/>
          <w:w w:val="105"/>
        </w:rPr>
        <w:t>to both water and urea, and more urea is excreted in  the</w:t>
      </w:r>
      <w:r>
        <w:rPr>
          <w:color w:val="231F20"/>
          <w:spacing w:val="3"/>
          <w:w w:val="105"/>
        </w:rPr>
        <w:t> </w:t>
      </w:r>
      <w:r>
        <w:rPr>
          <w:color w:val="231F20"/>
          <w:w w:val="105"/>
        </w:rPr>
        <w:t>urine.</w:t>
      </w:r>
    </w:p>
    <w:p>
      <w:pPr>
        <w:pStyle w:val="BodyText"/>
        <w:spacing w:before="4"/>
        <w:rPr>
          <w:sz w:val="31"/>
        </w:rPr>
      </w:pPr>
    </w:p>
    <w:p>
      <w:pPr>
        <w:pStyle w:val="Heading2"/>
        <w:spacing w:line="225" w:lineRule="auto"/>
        <w:ind w:right="2300"/>
      </w:pPr>
      <w:r>
        <w:rPr>
          <w:color w:val="231F20"/>
          <w:w w:val="105"/>
        </w:rPr>
        <w:t>COUNTERCURRENT EXCHANGE IN THE </w:t>
      </w:r>
      <w:r>
        <w:rPr>
          <w:color w:val="231F20"/>
          <w:spacing w:val="-5"/>
          <w:w w:val="105"/>
        </w:rPr>
        <w:t>VASA </w:t>
      </w:r>
      <w:r>
        <w:rPr>
          <w:color w:val="231F20"/>
          <w:spacing w:val="-4"/>
          <w:w w:val="105"/>
        </w:rPr>
        <w:t>RECTA </w:t>
      </w:r>
      <w:r>
        <w:rPr>
          <w:color w:val="231F20"/>
          <w:spacing w:val="-3"/>
          <w:w w:val="105"/>
        </w:rPr>
        <w:t>PRESERVES </w:t>
      </w:r>
      <w:r>
        <w:rPr>
          <w:color w:val="231F20"/>
          <w:w w:val="105"/>
        </w:rPr>
        <w:t>HYPEROSMOLARITY OF</w:t>
      </w:r>
    </w:p>
    <w:p>
      <w:pPr>
        <w:spacing w:line="243" w:lineRule="exact" w:before="0"/>
        <w:ind w:left="319" w:right="0" w:firstLine="0"/>
        <w:jc w:val="left"/>
        <w:rPr>
          <w:rFonts w:ascii="Trebuchet MS"/>
          <w:b/>
          <w:sz w:val="22"/>
        </w:rPr>
      </w:pPr>
      <w:r>
        <w:rPr>
          <w:rFonts w:ascii="Trebuchet MS"/>
          <w:b/>
          <w:color w:val="231F20"/>
          <w:w w:val="105"/>
          <w:sz w:val="22"/>
        </w:rPr>
        <w:t>THE RENAL MEDULLA</w:t>
      </w:r>
    </w:p>
    <w:p>
      <w:pPr>
        <w:pStyle w:val="BodyText"/>
        <w:spacing w:line="249" w:lineRule="auto" w:before="124"/>
        <w:ind w:left="84" w:right="1077"/>
        <w:jc w:val="right"/>
      </w:pPr>
      <w:r>
        <w:rPr>
          <w:color w:val="231F20"/>
          <w:w w:val="105"/>
        </w:rPr>
        <w:t>Blood flow must be provided to the renal medulla to</w:t>
      </w:r>
      <w:r>
        <w:rPr>
          <w:color w:val="231F20"/>
          <w:w w:val="103"/>
        </w:rPr>
        <w:t> </w:t>
      </w:r>
      <w:r>
        <w:rPr>
          <w:color w:val="231F20"/>
          <w:w w:val="105"/>
        </w:rPr>
        <w:t>supply the metabolic needs of the cells in this part of the</w:t>
      </w:r>
    </w:p>
    <w:p>
      <w:pPr>
        <w:spacing w:after="0" w:line="249" w:lineRule="auto"/>
        <w:jc w:val="right"/>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801"/>
          <w:footerReference w:type="even" r:id="rId802"/>
          <w:footerReference w:type="default" r:id="rId803"/>
          <w:pgSz w:w="12240" w:h="15660"/>
          <w:pgMar w:header="0" w:footer="567" w:top="720" w:bottom="760" w:left="0" w:right="0"/>
          <w:pgNumType w:start="378"/>
        </w:sectPr>
      </w:pPr>
    </w:p>
    <w:p>
      <w:pPr>
        <w:spacing w:line="182" w:lineRule="exact" w:before="127"/>
        <w:ind w:left="2494" w:right="0" w:firstLine="0"/>
        <w:jc w:val="left"/>
        <w:rPr>
          <w:rFonts w:ascii="Helvetica"/>
          <w:b/>
          <w:sz w:val="16"/>
        </w:rPr>
      </w:pPr>
      <w:r>
        <w:rPr>
          <w:rFonts w:ascii="Helvetica"/>
          <w:b/>
          <w:color w:val="231F20"/>
          <w:sz w:val="16"/>
        </w:rPr>
        <w:t>Vasa </w:t>
      </w:r>
      <w:r>
        <w:rPr>
          <w:rFonts w:ascii="Helvetica"/>
          <w:b/>
          <w:color w:val="231F20"/>
          <w:spacing w:val="-4"/>
          <w:sz w:val="16"/>
        </w:rPr>
        <w:t>recta</w:t>
      </w:r>
    </w:p>
    <w:p>
      <w:pPr>
        <w:spacing w:line="182" w:lineRule="exact" w:before="0"/>
        <w:ind w:left="2592" w:right="0" w:firstLine="0"/>
        <w:jc w:val="left"/>
        <w:rPr>
          <w:rFonts w:ascii="Helvetica"/>
          <w:sz w:val="16"/>
        </w:rPr>
      </w:pPr>
      <w:r>
        <w:rPr>
          <w:rFonts w:ascii="Helvetica"/>
          <w:color w:val="231F20"/>
          <w:sz w:val="16"/>
        </w:rPr>
        <w:t>mOsm/L</w:t>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sz w:val="26"/>
        </w:rPr>
      </w:pPr>
      <w:r>
        <w:rPr/>
        <w:pict>
          <v:rect style="position:absolute;margin-left:0pt;margin-top:16.935375pt;width:36pt;height:24pt;mso-position-horizontal-relative:page;mso-position-vertical-relative:paragraph;z-index:-250881024;mso-wrap-distance-left:0;mso-wrap-distance-right:0" filled="true" fillcolor="#e8dac8" stroked="false">
            <v:fill type="solid"/>
            <w10:wrap type="topAndBottom"/>
          </v:rect>
        </w:pict>
      </w:r>
    </w:p>
    <w:p>
      <w:pPr>
        <w:spacing w:line="182" w:lineRule="exact" w:before="127"/>
        <w:ind w:left="1344" w:right="0" w:firstLine="0"/>
        <w:jc w:val="center"/>
        <w:rPr>
          <w:rFonts w:ascii="Helvetica"/>
          <w:b/>
          <w:sz w:val="16"/>
        </w:rPr>
      </w:pPr>
      <w:r>
        <w:rPr/>
        <w:br w:type="column"/>
      </w:r>
      <w:r>
        <w:rPr>
          <w:rFonts w:ascii="Helvetica"/>
          <w:b/>
          <w:color w:val="231F20"/>
          <w:sz w:val="16"/>
        </w:rPr>
        <w:t>Interstitium</w:t>
      </w:r>
    </w:p>
    <w:p>
      <w:pPr>
        <w:spacing w:line="444" w:lineRule="auto" w:before="0"/>
        <w:ind w:left="1477" w:right="131" w:firstLine="0"/>
        <w:jc w:val="center"/>
        <w:rPr>
          <w:rFonts w:ascii="Helvetica"/>
          <w:sz w:val="16"/>
        </w:rPr>
      </w:pPr>
      <w:r>
        <w:rPr/>
        <w:pict>
          <v:group style="position:absolute;margin-left:64.483101pt;margin-top:12.295001pt;width:164.7pt;height:156.8pt;mso-position-horizontal-relative:page;mso-position-vertical-relative:paragraph;z-index:252455936" coordorigin="1290,246" coordsize="3294,3136">
            <v:shape style="position:absolute;left:1431;top:253;width:2940;height:3121" coordorigin="1431,253" coordsize="2940,3121" path="m1885,253l1431,253,1431,633,1885,633,1938,644,1981,673,2011,717,2022,770,2022,2857,2027,2933,2043,3006,2070,3074,2105,3138,2148,3196,2199,3247,2257,3290,2321,3325,2389,3352,2462,3368,2538,3373,3212,3373,3288,3368,3361,3352,3429,3325,3493,3290,3550,3247,3601,3196,3645,3138,3680,3074,3706,3006,3709,2993,2538,2993,2485,2983,2442,2953,2412,2910,2402,2857,2402,770,2396,694,2380,621,2353,552,2318,489,2275,431,2224,380,2166,337,2102,302,2034,275,1961,259,1885,253xm4298,253l3865,253,3789,259,3716,275,3647,302,3584,337,3526,380,3475,431,3432,489,3396,552,3370,621,3354,694,3348,770,3348,2857,3337,2910,3308,2953,3265,2983,3212,2993,3709,2993,3723,2933,3728,2857,3728,770,3739,717,3768,673,3812,644,3865,633,4298,633,4323,619,4347,578,4364,518,4371,444,4364,370,4347,309,4323,268,4298,253xe" filled="true" fillcolor="#fabfba" stroked="false">
              <v:path arrowok="t"/>
              <v:fill type="solid"/>
            </v:shape>
            <v:shape style="position:absolute;left:-2867;top:14412;width:2940;height:3121" coordorigin="-2867,14413" coordsize="2940,3121" path="m4298,253l3865,253,3789,259,3716,275,3647,302,3584,337,3526,380,3475,431,3432,489,3396,552,3370,621,3354,694,3348,770,3348,2857,3337,2910,3308,2953,3265,2983,3212,2993,2538,2993,2485,2983,2442,2953,2412,2910,2402,2857,2402,770,2396,694,2380,621,2353,552,2318,489,2275,431,2224,380,2166,337,2102,302,2034,275,1961,259,1885,253,1431,253,1431,633,1885,633,1938,644,1981,673,2011,717,2022,770,2022,2857,2027,2933,2043,3006,2070,3074,2105,3138,2148,3196,2199,3247,2257,3290,2321,3325,2389,3352,2462,3368,2538,3373,3212,3373,3288,3368,3361,3352,3429,3325,3493,3290,3550,3247,3601,3196,3645,3138,3680,3074,3706,3006,3723,2933,3728,2857,3728,770,3739,717,3768,673,3812,644,3865,633,4298,633,4323,619,4347,578,4364,518,4371,444,4364,370,4347,309,4323,268,4298,253xm4298,253l3865,253,3789,259,3716,275,3647,302,3584,337,3526,380,3475,431,3432,489,3396,552,3370,621,3354,694,3348,770,3348,2857,3337,2910,3308,2953,3265,2983,3212,2993,2538,2993,2485,2983,2442,2953,2412,2910,2402,2857,2402,770,2396,694,2380,621,2353,552,2318,489,2275,431,2224,380,2166,337,2102,302,2034,275,1961,259,1885,253,1431,253,1431,633,1885,633,1938,644,1981,673,2011,717,2022,770,2022,2857,2027,2933,2043,3006,2070,3074,2105,3138,2148,3196,2199,3247,2257,3290,2321,3325,2389,3352,2462,3368,2538,3373,3212,3373,3288,3368,3361,3352,3429,3325,3493,3290,3550,3247,3601,3196,3645,3138,3680,3074,3706,3006,3723,2933,3728,2857,3728,770,3739,717,3768,673,3812,644,3865,633,4298,633,4323,619,4347,578,4364,518,4371,444,4364,370,4347,309,4323,268,4298,253xe" filled="false" stroked="true" strokeweight=".75pt" strokecolor="#c63231">
              <v:path arrowok="t"/>
              <v:stroke dashstyle="solid"/>
            </v:shape>
            <v:shape style="position:absolute;left:1361;top:253;width:140;height:380" type="#_x0000_t75" stroked="false">
              <v:imagedata r:id="rId804" o:title=""/>
            </v:shape>
            <v:shape style="position:absolute;left:1361;top:253;width:140;height:380" coordorigin="1362,253" coordsize="140,380" path="m1501,442l1496,516,1481,577,1459,618,1431,633,1404,618,1382,577,1367,516,1362,442,1367,369,1382,309,1404,268,1431,253,1459,268,1481,309,1496,369,1501,442xe" filled="false" stroked="true" strokeweight=".75pt" strokecolor="#c63231">
              <v:path arrowok="t"/>
              <v:stroke dashstyle="solid"/>
            </v:shape>
            <v:shape style="position:absolute;left:1386;top:319;width:91;height:247" type="#_x0000_t75" stroked="false">
              <v:imagedata r:id="rId805" o:title=""/>
            </v:shape>
            <v:shape style="position:absolute;left:1386;top:319;width:91;height:248" coordorigin="1386,320" coordsize="91,248" path="m1477,443l1473,491,1464,530,1449,557,1431,567,1414,557,1399,530,1390,491,1386,443,1390,395,1399,356,1414,330,1431,320,1449,330,1464,356,1473,395,1477,443xe" filled="false" stroked="true" strokeweight=".75pt" strokecolor="#c63231">
              <v:path arrowok="t"/>
              <v:stroke dashstyle="solid"/>
            </v:shape>
            <v:shape style="position:absolute;left:3887;top:847;width:189;height:120" type="#_x0000_t75" stroked="false">
              <v:imagedata r:id="rId806" o:title=""/>
            </v:shape>
            <v:shape style="position:absolute;left:2125;top:892;width:169;height:176" type="#_x0000_t75" stroked="false">
              <v:imagedata r:id="rId807" o:title=""/>
            </v:shape>
            <v:shape style="position:absolute;left:3887;top:1681;width:189;height:120" type="#_x0000_t75" stroked="false">
              <v:imagedata r:id="rId808" o:title=""/>
            </v:shape>
            <v:shape style="position:absolute;left:3441;top:2189;width:185;height:154" type="#_x0000_t75" stroked="false">
              <v:imagedata r:id="rId809" o:title=""/>
            </v:shape>
            <v:shape style="position:absolute;left:2489;top:2333;width:194;height:116" type="#_x0000_t75" stroked="false">
              <v:imagedata r:id="rId810" o:title=""/>
            </v:shape>
            <v:shape style="position:absolute;left:3887;top:2390;width:189;height:120" type="#_x0000_t75" stroked="false">
              <v:imagedata r:id="rId811" o:title=""/>
            </v:shape>
            <v:shape style="position:absolute;left:1784;top:783;width:407;height:174" coordorigin="1785,783" coordsize="407,174" path="m2191,957l2121,864,2056,815,1956,794,1785,783e" filled="false" stroked="true" strokeweight="1.5pt" strokecolor="#231f20">
              <v:path arrowok="t"/>
              <v:stroke dashstyle="solid"/>
            </v:shape>
            <v:shape style="position:absolute;left:2125;top:1722;width:169;height:176" type="#_x0000_t75" stroked="false">
              <v:imagedata r:id="rId812" o:title=""/>
            </v:shape>
            <v:shape style="position:absolute;left:1784;top:1613;width:407;height:174" coordorigin="1785,1613" coordsize="407,174" path="m2191,1787l2121,1694,2056,1645,1956,1624,1785,1613e" filled="false" stroked="true" strokeweight="1.5pt" strokecolor="#231f20">
              <v:path arrowok="t"/>
              <v:stroke dashstyle="solid"/>
            </v:shape>
            <v:shape style="position:absolute;left:2125;top:2435;width:169;height:176" type="#_x0000_t75" stroked="false">
              <v:imagedata r:id="rId813" o:title=""/>
            </v:shape>
            <v:shape style="position:absolute;left:-407;top:12815;width:2187;height:1717" coordorigin="-407,12816" coordsize="2187,1717" path="m2191,2500l2121,2407,2056,2358,1956,2337,1785,2327m3565,1077l3635,984,3701,935,3800,914,3971,903m3565,1907l3635,1814,3701,1765,3800,1744,3971,1733m3565,2620l3635,2527,3701,2478,3800,2457,3971,2447e" filled="false" stroked="true" strokeweight="1.5pt" strokecolor="#231f20">
              <v:path arrowok="t"/>
              <v:stroke dashstyle="solid"/>
            </v:shape>
            <v:shape style="position:absolute;left:-396;top:14227;width:1319;height:194" coordorigin="-395,14228" coordsize="1319,194" path="m2614,2422l2524,2402,2445,2376,2375,2347,2314,2313,2262,2276,2218,2237m3537,2250l3486,2288,3426,2325,3355,2358,3275,2388,3184,2412,3081,2430e" filled="false" stroked="true" strokeweight="1.5pt" strokecolor="#231f20">
              <v:path arrowok="t"/>
              <v:stroke dashstyle="shortdash"/>
            </v:shape>
            <v:shape style="position:absolute;left:2489;top:1573;width:194;height:116" type="#_x0000_t75" stroked="false">
              <v:imagedata r:id="rId814" o:title=""/>
            </v:shape>
            <v:shape style="position:absolute;left:3441;top:1429;width:185;height:154" type="#_x0000_t75" stroked="false">
              <v:imagedata r:id="rId815" o:title=""/>
            </v:shape>
            <v:shape style="position:absolute;left:-396;top:14227;width:1319;height:194" coordorigin="-395,14228" coordsize="1319,194" path="m2614,1662l2524,1642,2445,1616,2375,1587,2314,1553,2262,1516,2218,1477m3537,1490l3486,1528,3426,1565,3355,1598,3275,1628,3184,1652,3081,1670e" filled="false" stroked="true" strokeweight="1.5pt" strokecolor="#231f20">
              <v:path arrowok="t"/>
              <v:stroke dashstyle="shortdash"/>
            </v:shape>
            <v:shape style="position:absolute;left:3441;top:603;width:185;height:154" type="#_x0000_t75" stroked="false">
              <v:imagedata r:id="rId815" o:title=""/>
            </v:shape>
            <v:shape style="position:absolute;left:2489;top:747;width:194;height:116" type="#_x0000_t75" stroked="false">
              <v:imagedata r:id="rId816" o:title=""/>
            </v:shape>
            <v:shape style="position:absolute;left:-396;top:14227;width:1319;height:194" coordorigin="-395,14228" coordsize="1319,194" path="m2614,835l2524,815,2445,790,2375,760,2314,726,2262,689,2218,650m3537,663l3486,702,3426,738,3355,772,3275,801,3184,826,3081,844e" filled="false" stroked="true" strokeweight="1.5pt" strokecolor="#231f20">
              <v:path arrowok="t"/>
              <v:stroke dashstyle="shortdash"/>
            </v:shape>
            <v:shape style="position:absolute;left:1614;top:34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300</w:t>
                    </w:r>
                  </w:p>
                </w:txbxContent>
              </v:textbox>
              <w10:wrap type="none"/>
            </v:shape>
            <v:shape style="position:absolute;left:3954;top:34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350</w:t>
                    </w:r>
                  </w:p>
                </w:txbxContent>
              </v:textbox>
              <w10:wrap type="none"/>
            </v:shape>
            <v:shape style="position:absolute;left:1289;top:676;width:4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Solute</w:t>
                    </w:r>
                  </w:p>
                </w:txbxContent>
              </v:textbox>
              <w10:wrap type="none"/>
            </v:shape>
            <v:shape style="position:absolute;left:2718;top:754;width:327;height:365" type="#_x0000_t202" filled="false" stroked="false">
              <v:textbox inset="0,0,0,0">
                <w:txbxContent>
                  <w:p>
                    <w:pPr>
                      <w:spacing w:line="192" w:lineRule="auto" w:before="20"/>
                      <w:ind w:left="19" w:right="1" w:hanging="2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600</w:t>
                    </w:r>
                  </w:p>
                </w:txbxContent>
              </v:textbox>
              <w10:wrap type="none"/>
            </v:shape>
            <v:shape style="position:absolute;left:3404;top:80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4109;top:796;width:4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Solute</w:t>
                    </w:r>
                  </w:p>
                </w:txbxContent>
              </v:textbox>
              <w10:wrap type="none"/>
            </v:shape>
            <v:shape style="position:absolute;left:2074;top:108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600</w:t>
                    </w:r>
                  </w:p>
                </w:txbxContent>
              </v:textbox>
              <w10:wrap type="none"/>
            </v:shape>
            <v:shape style="position:absolute;left:1289;top:1506;width:4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Solute</w:t>
                    </w:r>
                  </w:p>
                </w:txbxContent>
              </v:textbox>
              <w10:wrap type="none"/>
            </v:shape>
            <v:shape style="position:absolute;left:2718;top:1581;width:327;height:365" type="#_x0000_t202" filled="false" stroked="false">
              <v:textbox inset="0,0,0,0">
                <w:txbxContent>
                  <w:p>
                    <w:pPr>
                      <w:spacing w:line="192" w:lineRule="auto" w:before="20"/>
                      <w:ind w:left="19" w:right="1" w:hanging="2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800</w:t>
                    </w:r>
                  </w:p>
                </w:txbxContent>
              </v:textbox>
              <w10:wrap type="none"/>
            </v:shape>
            <v:shape style="position:absolute;left:3394;top:162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800</w:t>
                    </w:r>
                  </w:p>
                </w:txbxContent>
              </v:textbox>
              <w10:wrap type="none"/>
            </v:shape>
            <v:shape style="position:absolute;left:4109;top:1626;width:4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Solute</w:t>
                    </w:r>
                  </w:p>
                </w:txbxContent>
              </v:textbox>
              <w10:wrap type="none"/>
            </v:shape>
            <v:shape style="position:absolute;left:2074;top:1901;width:2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800</w:t>
                    </w:r>
                  </w:p>
                </w:txbxContent>
              </v:textbox>
              <w10:wrap type="none"/>
            </v:shape>
            <v:shape style="position:absolute;left:1289;top:2219;width:4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Solute</w:t>
                    </w:r>
                  </w:p>
                </w:txbxContent>
              </v:textbox>
              <w10:wrap type="none"/>
            </v:shape>
            <v:shape style="position:absolute;left:2718;top:2341;width:1008;height:185" type="#_x0000_t202" filled="false" stroked="false">
              <v:textbox inset="0,0,0,0">
                <w:txbxContent>
                  <w:p>
                    <w:pPr>
                      <w:tabs>
                        <w:tab w:pos="987" w:val="right" w:leader="none"/>
                      </w:tabs>
                      <w:spacing w:line="183" w:lineRule="exact" w:before="0"/>
                      <w:ind w:left="0" w:right="0" w:firstLine="0"/>
                      <w:jc w:val="left"/>
                      <w:rPr>
                        <w:rFonts w:ascii="Helvetica"/>
                        <w:sz w:val="16"/>
                      </w:rPr>
                    </w:pPr>
                    <w:r>
                      <w:rPr>
                        <w:rFonts w:ascii="Helvetica"/>
                        <w:color w:val="231F20"/>
                        <w:sz w:val="16"/>
                      </w:rPr>
                      <w:t>H</w:t>
                    </w:r>
                    <w:r>
                      <w:rPr>
                        <w:rFonts w:ascii="Helvetica"/>
                        <w:color w:val="231F20"/>
                        <w:spacing w:val="21"/>
                        <w:sz w:val="16"/>
                      </w:rPr>
                      <w:t> </w:t>
                    </w:r>
                    <w:r>
                      <w:rPr>
                        <w:rFonts w:ascii="Helvetica"/>
                        <w:color w:val="231F20"/>
                        <w:sz w:val="16"/>
                      </w:rPr>
                      <w:t>O</w:t>
                      <w:tab/>
                      <w:t>1000</w:t>
                    </w:r>
                  </w:p>
                </w:txbxContent>
              </v:textbox>
              <w10:wrap type="none"/>
            </v:shape>
            <v:shape style="position:absolute;left:4109;top:2339;width:4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Solute</w:t>
                    </w:r>
                  </w:p>
                </w:txbxContent>
              </v:textbox>
              <w10:wrap type="none"/>
            </v:shape>
            <v:shape style="position:absolute;left:2030;top:2621;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1000</w:t>
                    </w:r>
                  </w:p>
                </w:txbxContent>
              </v:textbox>
              <w10:wrap type="none"/>
            </v:shape>
            <v:shape style="position:absolute;left:2693;top:2521;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1000</w:t>
                    </w:r>
                  </w:p>
                </w:txbxContent>
              </v:textbox>
              <w10:wrap type="none"/>
            </v:shape>
            <v:shape style="position:absolute;left:2833;top:2428;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2</w:t>
                    </w:r>
                  </w:p>
                </w:txbxContent>
              </v:textbox>
              <w10:wrap type="none"/>
            </v:shape>
            <v:shape style="position:absolute;left:2680;top:3091;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1200</w:t>
                    </w:r>
                  </w:p>
                </w:txbxContent>
              </v:textbox>
              <w10:wrap type="none"/>
            </v:shape>
            <w10:wrap type="none"/>
          </v:group>
        </w:pict>
      </w:r>
      <w:r>
        <w:rPr>
          <w:rFonts w:ascii="Helvetica"/>
          <w:color w:val="231F20"/>
          <w:sz w:val="16"/>
        </w:rPr>
        <w:t>mOsm/L</w:t>
      </w:r>
      <w:r>
        <w:rPr>
          <w:rFonts w:ascii="Helvetica"/>
          <w:color w:val="231F20"/>
          <w:w w:val="100"/>
          <w:sz w:val="16"/>
        </w:rPr>
        <w:t> </w:t>
      </w:r>
      <w:r>
        <w:rPr>
          <w:rFonts w:ascii="Helvetica"/>
          <w:color w:val="231F20"/>
          <w:sz w:val="16"/>
        </w:rPr>
        <w:t>300</w:t>
      </w:r>
    </w:p>
    <w:p>
      <w:pPr>
        <w:pStyle w:val="BodyText"/>
        <w:rPr>
          <w:rFonts w:ascii="Helvetica"/>
          <w:sz w:val="18"/>
        </w:rPr>
      </w:pPr>
    </w:p>
    <w:p>
      <w:pPr>
        <w:pStyle w:val="BodyText"/>
        <w:rPr>
          <w:rFonts w:ascii="Helvetica"/>
          <w:sz w:val="18"/>
        </w:rPr>
      </w:pPr>
    </w:p>
    <w:p>
      <w:pPr>
        <w:pStyle w:val="BodyText"/>
        <w:spacing w:before="7"/>
        <w:rPr>
          <w:rFonts w:ascii="Helvetica"/>
          <w:sz w:val="17"/>
        </w:rPr>
      </w:pPr>
    </w:p>
    <w:p>
      <w:pPr>
        <w:spacing w:before="0"/>
        <w:ind w:left="0" w:right="300" w:firstLine="0"/>
        <w:jc w:val="right"/>
        <w:rPr>
          <w:rFonts w:ascii="Helvetica"/>
          <w:sz w:val="16"/>
        </w:rPr>
      </w:pPr>
      <w:r>
        <w:rPr>
          <w:rFonts w:ascii="Helvetica"/>
          <w:color w:val="231F20"/>
          <w:w w:val="95"/>
          <w:sz w:val="16"/>
        </w:rPr>
        <w:t>600</w:t>
      </w:r>
    </w:p>
    <w:p>
      <w:pPr>
        <w:pStyle w:val="BodyText"/>
        <w:rPr>
          <w:rFonts w:ascii="Helvetica"/>
          <w:sz w:val="18"/>
        </w:rPr>
      </w:pPr>
    </w:p>
    <w:p>
      <w:pPr>
        <w:pStyle w:val="BodyText"/>
        <w:rPr>
          <w:rFonts w:ascii="Helvetica"/>
          <w:sz w:val="18"/>
        </w:rPr>
      </w:pPr>
    </w:p>
    <w:p>
      <w:pPr>
        <w:pStyle w:val="BodyText"/>
        <w:spacing w:before="11"/>
        <w:rPr>
          <w:rFonts w:ascii="Helvetica"/>
          <w:sz w:val="21"/>
        </w:rPr>
      </w:pPr>
    </w:p>
    <w:p>
      <w:pPr>
        <w:spacing w:before="0"/>
        <w:ind w:left="0" w:right="300" w:firstLine="0"/>
        <w:jc w:val="right"/>
        <w:rPr>
          <w:rFonts w:ascii="Helvetica"/>
          <w:sz w:val="16"/>
        </w:rPr>
      </w:pPr>
      <w:r>
        <w:rPr>
          <w:rFonts w:ascii="Helvetica"/>
          <w:color w:val="231F20"/>
          <w:w w:val="95"/>
          <w:sz w:val="16"/>
        </w:rPr>
        <w:t>900</w:t>
      </w:r>
    </w:p>
    <w:p>
      <w:pPr>
        <w:pStyle w:val="BodyText"/>
        <w:rPr>
          <w:rFonts w:ascii="Helvetica"/>
          <w:sz w:val="18"/>
        </w:rPr>
      </w:pPr>
    </w:p>
    <w:p>
      <w:pPr>
        <w:pStyle w:val="BodyText"/>
        <w:rPr>
          <w:rFonts w:ascii="Helvetica"/>
          <w:sz w:val="18"/>
        </w:rPr>
      </w:pPr>
    </w:p>
    <w:p>
      <w:pPr>
        <w:pStyle w:val="BodyText"/>
        <w:spacing w:before="3"/>
        <w:rPr>
          <w:rFonts w:ascii="Helvetica"/>
          <w:sz w:val="26"/>
        </w:rPr>
      </w:pPr>
    </w:p>
    <w:p>
      <w:pPr>
        <w:spacing w:before="0"/>
        <w:ind w:left="0" w:right="255" w:firstLine="0"/>
        <w:jc w:val="right"/>
        <w:rPr>
          <w:rFonts w:ascii="Helvetica"/>
          <w:sz w:val="16"/>
        </w:rPr>
      </w:pPr>
      <w:r>
        <w:rPr>
          <w:rFonts w:ascii="Helvetica"/>
          <w:color w:val="231F20"/>
          <w:w w:val="95"/>
          <w:sz w:val="16"/>
        </w:rPr>
        <w:t>1200</w:t>
      </w:r>
    </w:p>
    <w:p>
      <w:pPr>
        <w:spacing w:line="249" w:lineRule="auto" w:before="99"/>
        <w:ind w:left="529" w:right="1437" w:firstLine="0"/>
        <w:jc w:val="both"/>
        <w:rPr>
          <w:i/>
          <w:sz w:val="20"/>
        </w:rPr>
      </w:pPr>
      <w:r>
        <w:rPr/>
        <w:br w:type="column"/>
      </w:r>
      <w:r>
        <w:rPr>
          <w:color w:val="231F20"/>
          <w:sz w:val="20"/>
        </w:rPr>
        <w:t>of the renal medulla because of the U shape of the vasa recta capillaries, which act as countercurrent exchangers. </w:t>
      </w:r>
      <w:r>
        <w:rPr>
          <w:i/>
          <w:color w:val="231F20"/>
          <w:sz w:val="20"/>
        </w:rPr>
        <w:t>Thus</w:t>
      </w:r>
      <w:r>
        <w:rPr>
          <w:color w:val="231F20"/>
          <w:sz w:val="20"/>
        </w:rPr>
        <w:t>, </w:t>
      </w:r>
      <w:r>
        <w:rPr>
          <w:i/>
          <w:color w:val="231F20"/>
          <w:sz w:val="20"/>
        </w:rPr>
        <w:t>the vasa recta do not create the medullary hyperos- </w:t>
      </w:r>
      <w:r>
        <w:rPr>
          <w:i/>
          <w:color w:val="231F20"/>
          <w:sz w:val="20"/>
        </w:rPr>
        <w:t>molarity</w:t>
      </w:r>
      <w:r>
        <w:rPr>
          <w:color w:val="231F20"/>
          <w:sz w:val="20"/>
        </w:rPr>
        <w:t>, </w:t>
      </w:r>
      <w:r>
        <w:rPr>
          <w:i/>
          <w:color w:val="231F20"/>
          <w:sz w:val="20"/>
        </w:rPr>
        <w:t>but they do prevent it from being dissipated.</w:t>
      </w:r>
    </w:p>
    <w:p>
      <w:pPr>
        <w:pStyle w:val="BodyText"/>
        <w:spacing w:line="249" w:lineRule="auto" w:before="4"/>
        <w:ind w:left="529" w:right="1437" w:firstLine="240"/>
        <w:jc w:val="both"/>
      </w:pPr>
      <w:r>
        <w:rPr>
          <w:color w:val="231F20"/>
          <w:w w:val="105"/>
        </w:rPr>
        <w:t>The U­shaped structure of the vessels minimizes</w:t>
      </w:r>
      <w:r>
        <w:rPr>
          <w:color w:val="231F20"/>
          <w:spacing w:val="-18"/>
          <w:w w:val="105"/>
        </w:rPr>
        <w:t> </w:t>
      </w:r>
      <w:r>
        <w:rPr>
          <w:color w:val="231F20"/>
          <w:spacing w:val="-4"/>
          <w:w w:val="105"/>
        </w:rPr>
        <w:t>loss </w:t>
      </w:r>
      <w:r>
        <w:rPr>
          <w:color w:val="231F20"/>
          <w:w w:val="105"/>
        </w:rPr>
        <w:t>of solute from the interstitium but does not prevent the bulk</w:t>
      </w:r>
      <w:r>
        <w:rPr>
          <w:color w:val="231F20"/>
          <w:spacing w:val="-4"/>
          <w:w w:val="105"/>
        </w:rPr>
        <w:t> </w:t>
      </w:r>
      <w:r>
        <w:rPr>
          <w:color w:val="231F20"/>
          <w:w w:val="105"/>
        </w:rPr>
        <w:t>flow</w:t>
      </w:r>
      <w:r>
        <w:rPr>
          <w:color w:val="231F20"/>
          <w:spacing w:val="-4"/>
          <w:w w:val="105"/>
        </w:rPr>
        <w:t> </w:t>
      </w:r>
      <w:r>
        <w:rPr>
          <w:color w:val="231F20"/>
          <w:w w:val="105"/>
        </w:rPr>
        <w:t>of</w:t>
      </w:r>
      <w:r>
        <w:rPr>
          <w:color w:val="231F20"/>
          <w:spacing w:val="-4"/>
          <w:w w:val="105"/>
        </w:rPr>
        <w:t> </w:t>
      </w:r>
      <w:r>
        <w:rPr>
          <w:color w:val="231F20"/>
          <w:w w:val="105"/>
        </w:rPr>
        <w:t>fluid</w:t>
      </w:r>
      <w:r>
        <w:rPr>
          <w:color w:val="231F20"/>
          <w:spacing w:val="-4"/>
          <w:w w:val="105"/>
        </w:rPr>
        <w:t> </w:t>
      </w:r>
      <w:r>
        <w:rPr>
          <w:color w:val="231F20"/>
          <w:w w:val="105"/>
        </w:rPr>
        <w:t>and</w:t>
      </w:r>
      <w:r>
        <w:rPr>
          <w:color w:val="231F20"/>
          <w:spacing w:val="-4"/>
          <w:w w:val="105"/>
        </w:rPr>
        <w:t> </w:t>
      </w:r>
      <w:r>
        <w:rPr>
          <w:color w:val="231F20"/>
          <w:w w:val="105"/>
        </w:rPr>
        <w:t>solutes</w:t>
      </w:r>
      <w:r>
        <w:rPr>
          <w:color w:val="231F20"/>
          <w:spacing w:val="-4"/>
          <w:w w:val="105"/>
        </w:rPr>
        <w:t> </w:t>
      </w:r>
      <w:r>
        <w:rPr>
          <w:color w:val="231F20"/>
          <w:w w:val="105"/>
        </w:rPr>
        <w:t>into</w:t>
      </w:r>
      <w:r>
        <w:rPr>
          <w:color w:val="231F20"/>
          <w:spacing w:val="-3"/>
          <w:w w:val="105"/>
        </w:rPr>
        <w:t> </w:t>
      </w:r>
      <w:r>
        <w:rPr>
          <w:color w:val="231F20"/>
          <w:w w:val="105"/>
        </w:rPr>
        <w:t>the</w:t>
      </w:r>
      <w:r>
        <w:rPr>
          <w:color w:val="231F20"/>
          <w:spacing w:val="-4"/>
          <w:w w:val="105"/>
        </w:rPr>
        <w:t> </w:t>
      </w:r>
      <w:r>
        <w:rPr>
          <w:color w:val="231F20"/>
          <w:w w:val="105"/>
        </w:rPr>
        <w:t>blood</w:t>
      </w:r>
      <w:r>
        <w:rPr>
          <w:color w:val="231F20"/>
          <w:spacing w:val="-4"/>
          <w:w w:val="105"/>
        </w:rPr>
        <w:t> </w:t>
      </w:r>
      <w:r>
        <w:rPr>
          <w:color w:val="231F20"/>
          <w:w w:val="105"/>
        </w:rPr>
        <w:t>through</w:t>
      </w:r>
      <w:r>
        <w:rPr>
          <w:color w:val="231F20"/>
          <w:spacing w:val="-4"/>
          <w:w w:val="105"/>
        </w:rPr>
        <w:t> </w:t>
      </w:r>
      <w:r>
        <w:rPr>
          <w:color w:val="231F20"/>
          <w:w w:val="105"/>
        </w:rPr>
        <w:t>the usual</w:t>
      </w:r>
      <w:r>
        <w:rPr>
          <w:color w:val="231F20"/>
          <w:spacing w:val="-21"/>
          <w:w w:val="105"/>
        </w:rPr>
        <w:t> </w:t>
      </w:r>
      <w:r>
        <w:rPr>
          <w:color w:val="231F20"/>
          <w:w w:val="105"/>
        </w:rPr>
        <w:t>colloid</w:t>
      </w:r>
      <w:r>
        <w:rPr>
          <w:color w:val="231F20"/>
          <w:spacing w:val="-21"/>
          <w:w w:val="105"/>
        </w:rPr>
        <w:t> </w:t>
      </w:r>
      <w:r>
        <w:rPr>
          <w:color w:val="231F20"/>
          <w:w w:val="105"/>
        </w:rPr>
        <w:t>osmotic</w:t>
      </w:r>
      <w:r>
        <w:rPr>
          <w:color w:val="231F20"/>
          <w:spacing w:val="-21"/>
          <w:w w:val="105"/>
        </w:rPr>
        <w:t> </w:t>
      </w:r>
      <w:r>
        <w:rPr>
          <w:color w:val="231F20"/>
          <w:w w:val="105"/>
        </w:rPr>
        <w:t>and</w:t>
      </w:r>
      <w:r>
        <w:rPr>
          <w:color w:val="231F20"/>
          <w:spacing w:val="-21"/>
          <w:w w:val="105"/>
        </w:rPr>
        <w:t> </w:t>
      </w:r>
      <w:r>
        <w:rPr>
          <w:color w:val="231F20"/>
          <w:w w:val="105"/>
        </w:rPr>
        <w:t>hydrostatic</w:t>
      </w:r>
      <w:r>
        <w:rPr>
          <w:color w:val="231F20"/>
          <w:spacing w:val="-21"/>
          <w:w w:val="105"/>
        </w:rPr>
        <w:t> </w:t>
      </w:r>
      <w:r>
        <w:rPr>
          <w:color w:val="231F20"/>
          <w:w w:val="105"/>
        </w:rPr>
        <w:t>pressures</w:t>
      </w:r>
      <w:r>
        <w:rPr>
          <w:color w:val="231F20"/>
          <w:spacing w:val="-20"/>
          <w:w w:val="105"/>
        </w:rPr>
        <w:t> </w:t>
      </w:r>
      <w:r>
        <w:rPr>
          <w:color w:val="231F20"/>
          <w:w w:val="105"/>
        </w:rPr>
        <w:t>that</w:t>
      </w:r>
      <w:r>
        <w:rPr>
          <w:color w:val="231F20"/>
          <w:spacing w:val="-21"/>
          <w:w w:val="105"/>
        </w:rPr>
        <w:t> </w:t>
      </w:r>
      <w:r>
        <w:rPr>
          <w:color w:val="231F20"/>
          <w:spacing w:val="-4"/>
          <w:w w:val="105"/>
        </w:rPr>
        <w:t>favor </w:t>
      </w:r>
      <w:r>
        <w:rPr>
          <w:color w:val="231F20"/>
          <w:w w:val="105"/>
        </w:rPr>
        <w:t>reabsorption</w:t>
      </w:r>
      <w:r>
        <w:rPr>
          <w:color w:val="231F20"/>
          <w:spacing w:val="-16"/>
          <w:w w:val="105"/>
        </w:rPr>
        <w:t> </w:t>
      </w:r>
      <w:r>
        <w:rPr>
          <w:color w:val="231F20"/>
          <w:w w:val="105"/>
        </w:rPr>
        <w:t>in</w:t>
      </w:r>
      <w:r>
        <w:rPr>
          <w:color w:val="231F20"/>
          <w:spacing w:val="-15"/>
          <w:w w:val="105"/>
        </w:rPr>
        <w:t> </w:t>
      </w:r>
      <w:r>
        <w:rPr>
          <w:color w:val="231F20"/>
          <w:w w:val="105"/>
        </w:rPr>
        <w:t>these</w:t>
      </w:r>
      <w:r>
        <w:rPr>
          <w:color w:val="231F20"/>
          <w:spacing w:val="-15"/>
          <w:w w:val="105"/>
        </w:rPr>
        <w:t> </w:t>
      </w:r>
      <w:r>
        <w:rPr>
          <w:color w:val="231F20"/>
          <w:w w:val="105"/>
        </w:rPr>
        <w:t>capillaries.</w:t>
      </w:r>
      <w:r>
        <w:rPr>
          <w:color w:val="231F20"/>
          <w:spacing w:val="-15"/>
          <w:w w:val="105"/>
        </w:rPr>
        <w:t> </w:t>
      </w:r>
      <w:r>
        <w:rPr>
          <w:color w:val="231F20"/>
          <w:w w:val="105"/>
        </w:rPr>
        <w:t>Under</w:t>
      </w:r>
      <w:r>
        <w:rPr>
          <w:color w:val="231F20"/>
          <w:spacing w:val="-16"/>
          <w:w w:val="105"/>
        </w:rPr>
        <w:t> </w:t>
      </w:r>
      <w:r>
        <w:rPr>
          <w:color w:val="231F20"/>
          <w:w w:val="105"/>
        </w:rPr>
        <w:t>steady­state</w:t>
      </w:r>
      <w:r>
        <w:rPr>
          <w:color w:val="231F20"/>
          <w:spacing w:val="-15"/>
          <w:w w:val="105"/>
        </w:rPr>
        <w:t> </w:t>
      </w:r>
      <w:r>
        <w:rPr>
          <w:color w:val="231F20"/>
          <w:w w:val="105"/>
        </w:rPr>
        <w:t>con­ ditions,</w:t>
      </w:r>
      <w:r>
        <w:rPr>
          <w:color w:val="231F20"/>
          <w:spacing w:val="-21"/>
          <w:w w:val="105"/>
        </w:rPr>
        <w:t> </w:t>
      </w:r>
      <w:r>
        <w:rPr>
          <w:color w:val="231F20"/>
          <w:w w:val="105"/>
        </w:rPr>
        <w:t>the</w:t>
      </w:r>
      <w:r>
        <w:rPr>
          <w:color w:val="231F20"/>
          <w:spacing w:val="-21"/>
          <w:w w:val="105"/>
        </w:rPr>
        <w:t> </w:t>
      </w:r>
      <w:r>
        <w:rPr>
          <w:color w:val="231F20"/>
          <w:w w:val="105"/>
        </w:rPr>
        <w:t>vasa</w:t>
      </w:r>
      <w:r>
        <w:rPr>
          <w:color w:val="231F20"/>
          <w:spacing w:val="-21"/>
          <w:w w:val="105"/>
        </w:rPr>
        <w:t> </w:t>
      </w:r>
      <w:r>
        <w:rPr>
          <w:color w:val="231F20"/>
          <w:w w:val="105"/>
        </w:rPr>
        <w:t>recta</w:t>
      </w:r>
      <w:r>
        <w:rPr>
          <w:color w:val="231F20"/>
          <w:spacing w:val="-20"/>
          <w:w w:val="105"/>
        </w:rPr>
        <w:t> </w:t>
      </w:r>
      <w:r>
        <w:rPr>
          <w:color w:val="231F20"/>
          <w:w w:val="105"/>
        </w:rPr>
        <w:t>carry</w:t>
      </w:r>
      <w:r>
        <w:rPr>
          <w:color w:val="231F20"/>
          <w:spacing w:val="-21"/>
          <w:w w:val="105"/>
        </w:rPr>
        <w:t> </w:t>
      </w:r>
      <w:r>
        <w:rPr>
          <w:color w:val="231F20"/>
          <w:w w:val="105"/>
        </w:rPr>
        <w:t>away</w:t>
      </w:r>
      <w:r>
        <w:rPr>
          <w:color w:val="231F20"/>
          <w:spacing w:val="-21"/>
          <w:w w:val="105"/>
        </w:rPr>
        <w:t> </w:t>
      </w:r>
      <w:r>
        <w:rPr>
          <w:color w:val="231F20"/>
          <w:w w:val="105"/>
        </w:rPr>
        <w:t>only</w:t>
      </w:r>
      <w:r>
        <w:rPr>
          <w:color w:val="231F20"/>
          <w:spacing w:val="-21"/>
          <w:w w:val="105"/>
        </w:rPr>
        <w:t> </w:t>
      </w:r>
      <w:r>
        <w:rPr>
          <w:color w:val="231F20"/>
          <w:w w:val="105"/>
        </w:rPr>
        <w:t>as</w:t>
      </w:r>
      <w:r>
        <w:rPr>
          <w:color w:val="231F20"/>
          <w:spacing w:val="-20"/>
          <w:w w:val="105"/>
        </w:rPr>
        <w:t> </w:t>
      </w:r>
      <w:r>
        <w:rPr>
          <w:color w:val="231F20"/>
          <w:w w:val="105"/>
        </w:rPr>
        <w:t>much</w:t>
      </w:r>
      <w:r>
        <w:rPr>
          <w:color w:val="231F20"/>
          <w:spacing w:val="-21"/>
          <w:w w:val="105"/>
        </w:rPr>
        <w:t> </w:t>
      </w:r>
      <w:r>
        <w:rPr>
          <w:color w:val="231F20"/>
          <w:w w:val="105"/>
        </w:rPr>
        <w:t>solute</w:t>
      </w:r>
      <w:r>
        <w:rPr>
          <w:color w:val="231F20"/>
          <w:spacing w:val="-21"/>
          <w:w w:val="105"/>
        </w:rPr>
        <w:t> </w:t>
      </w:r>
      <w:r>
        <w:rPr>
          <w:color w:val="231F20"/>
          <w:w w:val="105"/>
        </w:rPr>
        <w:t>and water</w:t>
      </w:r>
      <w:r>
        <w:rPr>
          <w:color w:val="231F20"/>
          <w:spacing w:val="-9"/>
          <w:w w:val="105"/>
        </w:rPr>
        <w:t> </w:t>
      </w:r>
      <w:r>
        <w:rPr>
          <w:color w:val="231F20"/>
          <w:w w:val="105"/>
        </w:rPr>
        <w:t>as</w:t>
      </w:r>
      <w:r>
        <w:rPr>
          <w:color w:val="231F20"/>
          <w:spacing w:val="-9"/>
          <w:w w:val="105"/>
        </w:rPr>
        <w:t> </w:t>
      </w:r>
      <w:r>
        <w:rPr>
          <w:color w:val="231F20"/>
          <w:w w:val="105"/>
        </w:rPr>
        <w:t>is</w:t>
      </w:r>
      <w:r>
        <w:rPr>
          <w:color w:val="231F20"/>
          <w:spacing w:val="-8"/>
          <w:w w:val="105"/>
        </w:rPr>
        <w:t> </w:t>
      </w:r>
      <w:r>
        <w:rPr>
          <w:color w:val="231F20"/>
          <w:w w:val="105"/>
        </w:rPr>
        <w:t>absorbed</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8"/>
          <w:w w:val="105"/>
        </w:rPr>
        <w:t> </w:t>
      </w:r>
      <w:r>
        <w:rPr>
          <w:color w:val="231F20"/>
          <w:w w:val="105"/>
        </w:rPr>
        <w:t>medullary</w:t>
      </w:r>
      <w:r>
        <w:rPr>
          <w:color w:val="231F20"/>
          <w:spacing w:val="-9"/>
          <w:w w:val="105"/>
        </w:rPr>
        <w:t> </w:t>
      </w:r>
      <w:r>
        <w:rPr>
          <w:color w:val="231F20"/>
          <w:w w:val="105"/>
        </w:rPr>
        <w:t>tubules,</w:t>
      </w:r>
      <w:r>
        <w:rPr>
          <w:color w:val="231F20"/>
          <w:spacing w:val="-9"/>
          <w:w w:val="105"/>
        </w:rPr>
        <w:t> </w:t>
      </w:r>
      <w:r>
        <w:rPr>
          <w:color w:val="231F20"/>
          <w:w w:val="105"/>
        </w:rPr>
        <w:t>and</w:t>
      </w:r>
      <w:r>
        <w:rPr>
          <w:color w:val="231F20"/>
          <w:spacing w:val="-8"/>
          <w:w w:val="105"/>
        </w:rPr>
        <w:t> </w:t>
      </w:r>
      <w:r>
        <w:rPr>
          <w:color w:val="231F20"/>
          <w:w w:val="105"/>
        </w:rPr>
        <w:t>the high</w:t>
      </w:r>
      <w:r>
        <w:rPr>
          <w:color w:val="231F20"/>
          <w:spacing w:val="-10"/>
          <w:w w:val="105"/>
        </w:rPr>
        <w:t> </w:t>
      </w:r>
      <w:r>
        <w:rPr>
          <w:color w:val="231F20"/>
          <w:w w:val="105"/>
        </w:rPr>
        <w:t>concentration</w:t>
      </w:r>
      <w:r>
        <w:rPr>
          <w:color w:val="231F20"/>
          <w:spacing w:val="-9"/>
          <w:w w:val="105"/>
        </w:rPr>
        <w:t> </w:t>
      </w:r>
      <w:r>
        <w:rPr>
          <w:color w:val="231F20"/>
          <w:w w:val="105"/>
        </w:rPr>
        <w:t>of</w:t>
      </w:r>
      <w:r>
        <w:rPr>
          <w:color w:val="231F20"/>
          <w:spacing w:val="-10"/>
          <w:w w:val="105"/>
        </w:rPr>
        <w:t> </w:t>
      </w:r>
      <w:r>
        <w:rPr>
          <w:color w:val="231F20"/>
          <w:w w:val="105"/>
        </w:rPr>
        <w:t>solutes</w:t>
      </w:r>
      <w:r>
        <w:rPr>
          <w:color w:val="231F20"/>
          <w:spacing w:val="-9"/>
          <w:w w:val="105"/>
        </w:rPr>
        <w:t> </w:t>
      </w:r>
      <w:r>
        <w:rPr>
          <w:color w:val="231F20"/>
          <w:w w:val="105"/>
        </w:rPr>
        <w:t>established</w:t>
      </w:r>
      <w:r>
        <w:rPr>
          <w:color w:val="231F20"/>
          <w:spacing w:val="-10"/>
          <w:w w:val="105"/>
        </w:rPr>
        <w:t> </w:t>
      </w:r>
      <w:r>
        <w:rPr>
          <w:color w:val="231F20"/>
          <w:w w:val="105"/>
        </w:rPr>
        <w:t>by</w:t>
      </w:r>
      <w:r>
        <w:rPr>
          <w:color w:val="231F20"/>
          <w:spacing w:val="-9"/>
          <w:w w:val="105"/>
        </w:rPr>
        <w:t> </w:t>
      </w:r>
      <w:r>
        <w:rPr>
          <w:color w:val="231F20"/>
          <w:w w:val="105"/>
        </w:rPr>
        <w:t>the</w:t>
      </w:r>
      <w:r>
        <w:rPr>
          <w:color w:val="231F20"/>
          <w:spacing w:val="-10"/>
          <w:w w:val="105"/>
        </w:rPr>
        <w:t> </w:t>
      </w:r>
      <w:r>
        <w:rPr>
          <w:color w:val="231F20"/>
          <w:w w:val="105"/>
        </w:rPr>
        <w:t>counter­ current mechanism is</w:t>
      </w:r>
      <w:r>
        <w:rPr>
          <w:color w:val="231F20"/>
          <w:spacing w:val="8"/>
          <w:w w:val="105"/>
        </w:rPr>
        <w:t> </w:t>
      </w:r>
      <w:r>
        <w:rPr>
          <w:color w:val="231F20"/>
          <w:w w:val="105"/>
        </w:rPr>
        <w:t>preserved.</w:t>
      </w:r>
    </w:p>
    <w:p>
      <w:pPr>
        <w:pStyle w:val="BodyText"/>
        <w:spacing w:before="2"/>
        <w:rPr>
          <w:sz w:val="22"/>
        </w:rPr>
      </w:pPr>
    </w:p>
    <w:p>
      <w:pPr>
        <w:spacing w:before="1"/>
        <w:ind w:left="529" w:right="0" w:firstLine="0"/>
        <w:jc w:val="both"/>
        <w:rPr>
          <w:rFonts w:ascii="Trebuchet MS"/>
          <w:b/>
          <w:sz w:val="19"/>
        </w:rPr>
      </w:pPr>
      <w:r>
        <w:rPr>
          <w:rFonts w:ascii="Trebuchet MS"/>
          <w:b/>
          <w:color w:val="231F20"/>
          <w:sz w:val="19"/>
        </w:rPr>
        <w:t>Increased Medullary Blood Flow Reduces Urine-</w:t>
      </w:r>
    </w:p>
    <w:p>
      <w:pPr>
        <w:spacing w:after="0"/>
        <w:jc w:val="both"/>
        <w:rPr>
          <w:rFonts w:ascii="Trebuchet MS"/>
          <w:sz w:val="19"/>
        </w:rPr>
        <w:sectPr>
          <w:type w:val="continuous"/>
          <w:pgSz w:w="12240" w:h="15660"/>
          <w:pgMar w:top="0" w:bottom="760" w:left="0" w:right="0"/>
          <w:cols w:num="3" w:equalWidth="0">
            <w:col w:w="3296" w:space="40"/>
            <w:col w:w="2216" w:space="39"/>
            <w:col w:w="6649"/>
          </w:cols>
        </w:sectPr>
      </w:pPr>
    </w:p>
    <w:p>
      <w:pPr>
        <w:spacing w:line="261" w:lineRule="auto" w:before="88"/>
        <w:ind w:left="1080" w:right="0" w:firstLine="0"/>
        <w:jc w:val="both"/>
        <w:rPr>
          <w:rFonts w:ascii="Arial"/>
          <w:sz w:val="16"/>
        </w:rPr>
      </w:pPr>
      <w:bookmarkStart w:name="_bookmark73" w:id="74"/>
      <w:bookmarkEnd w:id="74"/>
      <w:r>
        <w:rPr/>
      </w:r>
      <w:r>
        <w:rPr>
          <w:rFonts w:ascii="Trebuchet MS"/>
          <w:b/>
          <w:color w:val="231F20"/>
          <w:sz w:val="16"/>
        </w:rPr>
        <w:t>Figure 29-7. </w:t>
      </w:r>
      <w:r>
        <w:rPr>
          <w:rFonts w:ascii="Arial"/>
          <w:color w:val="231F20"/>
          <w:sz w:val="16"/>
        </w:rPr>
        <w:t>Countercurrent exchange in the vasa recta. </w:t>
      </w:r>
      <w:r>
        <w:rPr>
          <w:rFonts w:ascii="Arial"/>
          <w:color w:val="231F20"/>
          <w:spacing w:val="-3"/>
          <w:sz w:val="16"/>
        </w:rPr>
        <w:t>Plasma </w:t>
      </w:r>
      <w:r>
        <w:rPr>
          <w:rFonts w:ascii="Arial"/>
          <w:color w:val="231F20"/>
          <w:sz w:val="16"/>
        </w:rPr>
        <w:t>flowing</w:t>
      </w:r>
      <w:r>
        <w:rPr>
          <w:rFonts w:ascii="Arial"/>
          <w:color w:val="231F20"/>
          <w:spacing w:val="-5"/>
          <w:sz w:val="16"/>
        </w:rPr>
        <w:t> </w:t>
      </w:r>
      <w:r>
        <w:rPr>
          <w:rFonts w:ascii="Arial"/>
          <w:color w:val="231F20"/>
          <w:sz w:val="16"/>
        </w:rPr>
        <w:t>down</w:t>
      </w:r>
      <w:r>
        <w:rPr>
          <w:rFonts w:ascii="Arial"/>
          <w:color w:val="231F20"/>
          <w:spacing w:val="-5"/>
          <w:sz w:val="16"/>
        </w:rPr>
        <w:t> </w:t>
      </w:r>
      <w:r>
        <w:rPr>
          <w:rFonts w:ascii="Arial"/>
          <w:color w:val="231F20"/>
          <w:sz w:val="16"/>
        </w:rPr>
        <w:t>the</w:t>
      </w:r>
      <w:r>
        <w:rPr>
          <w:rFonts w:ascii="Arial"/>
          <w:color w:val="231F20"/>
          <w:spacing w:val="-5"/>
          <w:sz w:val="16"/>
        </w:rPr>
        <w:t> </w:t>
      </w:r>
      <w:r>
        <w:rPr>
          <w:rFonts w:ascii="Arial"/>
          <w:color w:val="231F20"/>
          <w:sz w:val="16"/>
        </w:rPr>
        <w:t>descending</w:t>
      </w:r>
      <w:r>
        <w:rPr>
          <w:rFonts w:ascii="Arial"/>
          <w:color w:val="231F20"/>
          <w:spacing w:val="-5"/>
          <w:sz w:val="16"/>
        </w:rPr>
        <w:t> </w:t>
      </w:r>
      <w:r>
        <w:rPr>
          <w:rFonts w:ascii="Arial"/>
          <w:color w:val="231F20"/>
          <w:sz w:val="16"/>
        </w:rPr>
        <w:t>limb</w:t>
      </w:r>
      <w:r>
        <w:rPr>
          <w:rFonts w:ascii="Arial"/>
          <w:color w:val="231F20"/>
          <w:spacing w:val="-5"/>
          <w:sz w:val="16"/>
        </w:rPr>
        <w:t> </w:t>
      </w:r>
      <w:r>
        <w:rPr>
          <w:rFonts w:ascii="Arial"/>
          <w:color w:val="231F20"/>
          <w:sz w:val="16"/>
        </w:rPr>
        <w:t>of</w:t>
      </w:r>
      <w:r>
        <w:rPr>
          <w:rFonts w:ascii="Arial"/>
          <w:color w:val="231F20"/>
          <w:spacing w:val="-5"/>
          <w:sz w:val="16"/>
        </w:rPr>
        <w:t> </w:t>
      </w:r>
      <w:r>
        <w:rPr>
          <w:rFonts w:ascii="Arial"/>
          <w:color w:val="231F20"/>
          <w:sz w:val="16"/>
        </w:rPr>
        <w:t>the</w:t>
      </w:r>
      <w:r>
        <w:rPr>
          <w:rFonts w:ascii="Arial"/>
          <w:color w:val="231F20"/>
          <w:spacing w:val="-5"/>
          <w:sz w:val="16"/>
        </w:rPr>
        <w:t> </w:t>
      </w:r>
      <w:r>
        <w:rPr>
          <w:rFonts w:ascii="Arial"/>
          <w:color w:val="231F20"/>
          <w:sz w:val="16"/>
        </w:rPr>
        <w:t>vasa</w:t>
      </w:r>
      <w:r>
        <w:rPr>
          <w:rFonts w:ascii="Arial"/>
          <w:color w:val="231F20"/>
          <w:spacing w:val="-5"/>
          <w:sz w:val="16"/>
        </w:rPr>
        <w:t> </w:t>
      </w:r>
      <w:r>
        <w:rPr>
          <w:rFonts w:ascii="Arial"/>
          <w:color w:val="231F20"/>
          <w:sz w:val="16"/>
        </w:rPr>
        <w:t>recta</w:t>
      </w:r>
      <w:r>
        <w:rPr>
          <w:rFonts w:ascii="Arial"/>
          <w:color w:val="231F20"/>
          <w:spacing w:val="-5"/>
          <w:sz w:val="16"/>
        </w:rPr>
        <w:t> </w:t>
      </w:r>
      <w:r>
        <w:rPr>
          <w:rFonts w:ascii="Arial"/>
          <w:color w:val="231F20"/>
          <w:sz w:val="16"/>
        </w:rPr>
        <w:t>becomes</w:t>
      </w:r>
      <w:r>
        <w:rPr>
          <w:rFonts w:ascii="Arial"/>
          <w:color w:val="231F20"/>
          <w:spacing w:val="-5"/>
          <w:sz w:val="16"/>
        </w:rPr>
        <w:t> </w:t>
      </w:r>
      <w:r>
        <w:rPr>
          <w:rFonts w:ascii="Arial"/>
          <w:color w:val="231F20"/>
          <w:sz w:val="16"/>
        </w:rPr>
        <w:t>more hyperosmotic because of diffusion of water out of the blood </w:t>
      </w:r>
      <w:r>
        <w:rPr>
          <w:rFonts w:ascii="Arial"/>
          <w:color w:val="231F20"/>
          <w:spacing w:val="-6"/>
          <w:sz w:val="16"/>
        </w:rPr>
        <w:t>and </w:t>
      </w:r>
      <w:r>
        <w:rPr>
          <w:rFonts w:ascii="Arial"/>
          <w:color w:val="231F20"/>
          <w:sz w:val="16"/>
        </w:rPr>
        <w:t>diffusion of solutes from the renal interstitial fluid into the blood. </w:t>
      </w:r>
      <w:r>
        <w:rPr>
          <w:rFonts w:ascii="Arial"/>
          <w:color w:val="231F20"/>
          <w:spacing w:val="-7"/>
          <w:sz w:val="16"/>
        </w:rPr>
        <w:t>In </w:t>
      </w:r>
      <w:r>
        <w:rPr>
          <w:rFonts w:ascii="Arial"/>
          <w:color w:val="231F20"/>
          <w:sz w:val="16"/>
        </w:rPr>
        <w:t>the ascending limb of the vasa recta, solutes diffuse back into </w:t>
      </w:r>
      <w:r>
        <w:rPr>
          <w:rFonts w:ascii="Arial"/>
          <w:color w:val="231F20"/>
          <w:spacing w:val="-5"/>
          <w:sz w:val="16"/>
        </w:rPr>
        <w:t>the </w:t>
      </w:r>
      <w:r>
        <w:rPr>
          <w:rFonts w:ascii="Arial"/>
          <w:color w:val="231F20"/>
          <w:sz w:val="16"/>
        </w:rPr>
        <w:t>interstitial fluid and water diffuses back into the vasa recta. </w:t>
      </w:r>
      <w:r>
        <w:rPr>
          <w:rFonts w:ascii="Arial"/>
          <w:color w:val="231F20"/>
          <w:spacing w:val="-3"/>
          <w:sz w:val="16"/>
        </w:rPr>
        <w:t>Large </w:t>
      </w:r>
      <w:r>
        <w:rPr>
          <w:rFonts w:ascii="Arial"/>
          <w:color w:val="231F20"/>
          <w:sz w:val="16"/>
        </w:rPr>
        <w:t>amounts of solutes would be lost from the renal medulla without the U shape of the vasa recta capillaries. (Numerical values are </w:t>
      </w:r>
      <w:r>
        <w:rPr>
          <w:rFonts w:ascii="Arial"/>
          <w:color w:val="231F20"/>
          <w:spacing w:val="-7"/>
          <w:sz w:val="16"/>
        </w:rPr>
        <w:t>in </w:t>
      </w:r>
      <w:r>
        <w:rPr>
          <w:rFonts w:ascii="Arial"/>
          <w:color w:val="231F20"/>
          <w:sz w:val="16"/>
        </w:rPr>
        <w:t>milliosmoles per</w:t>
      </w:r>
      <w:r>
        <w:rPr>
          <w:rFonts w:ascii="Arial"/>
          <w:color w:val="231F20"/>
          <w:spacing w:val="14"/>
          <w:sz w:val="16"/>
        </w:rPr>
        <w:t> </w:t>
      </w:r>
      <w:r>
        <w:rPr>
          <w:rFonts w:ascii="Arial"/>
          <w:color w:val="231F20"/>
          <w:spacing w:val="-3"/>
          <w:sz w:val="16"/>
        </w:rPr>
        <w:t>liter.)</w:t>
      </w:r>
    </w:p>
    <w:p>
      <w:pPr>
        <w:pStyle w:val="BodyText"/>
        <w:rPr>
          <w:rFonts w:ascii="Arial"/>
          <w:sz w:val="24"/>
        </w:rPr>
      </w:pPr>
    </w:p>
    <w:p>
      <w:pPr>
        <w:pStyle w:val="BodyText"/>
        <w:spacing w:line="249" w:lineRule="auto"/>
        <w:ind w:left="1079"/>
        <w:jc w:val="both"/>
      </w:pPr>
      <w:r>
        <w:rPr>
          <w:color w:val="231F20"/>
          <w:w w:val="105"/>
        </w:rPr>
        <w:t>kidney. Without a special medullary blood flow</w:t>
      </w:r>
      <w:r>
        <w:rPr>
          <w:color w:val="231F20"/>
          <w:spacing w:val="-32"/>
          <w:w w:val="105"/>
        </w:rPr>
        <w:t> </w:t>
      </w:r>
      <w:r>
        <w:rPr>
          <w:color w:val="231F20"/>
          <w:w w:val="105"/>
        </w:rPr>
        <w:t>system, the solutes pumped into the renal medulla by the countercurrent multiplier system would be </w:t>
      </w:r>
      <w:r>
        <w:rPr>
          <w:color w:val="231F20"/>
          <w:spacing w:val="-3"/>
          <w:w w:val="105"/>
        </w:rPr>
        <w:t>rapidly </w:t>
      </w:r>
      <w:r>
        <w:rPr>
          <w:color w:val="231F20"/>
          <w:w w:val="105"/>
        </w:rPr>
        <w:t>dissipated.</w:t>
      </w:r>
    </w:p>
    <w:p>
      <w:pPr>
        <w:pStyle w:val="BodyText"/>
        <w:spacing w:line="249" w:lineRule="auto" w:before="3"/>
        <w:ind w:left="1079" w:firstLine="240"/>
        <w:jc w:val="both"/>
      </w:pPr>
      <w:r>
        <w:rPr>
          <w:color w:val="231F20"/>
          <w:w w:val="105"/>
        </w:rPr>
        <w:t>Two special features of the renal medullary blood flow contribute to the preservation of the high solute concentrations:</w:t>
      </w:r>
    </w:p>
    <w:p>
      <w:pPr>
        <w:pStyle w:val="ListParagraph"/>
        <w:numPr>
          <w:ilvl w:val="0"/>
          <w:numId w:val="20"/>
        </w:numPr>
        <w:tabs>
          <w:tab w:pos="1563" w:val="left" w:leader="none"/>
        </w:tabs>
        <w:spacing w:line="249" w:lineRule="auto" w:before="2" w:after="0"/>
        <w:ind w:left="1562" w:right="0" w:hanging="243"/>
        <w:jc w:val="both"/>
        <w:rPr>
          <w:sz w:val="20"/>
        </w:rPr>
      </w:pPr>
      <w:r>
        <w:rPr>
          <w:color w:val="231F20"/>
          <w:w w:val="105"/>
          <w:sz w:val="20"/>
        </w:rPr>
        <w:t>The</w:t>
      </w:r>
      <w:r>
        <w:rPr>
          <w:color w:val="231F20"/>
          <w:spacing w:val="-30"/>
          <w:w w:val="105"/>
          <w:sz w:val="20"/>
        </w:rPr>
        <w:t> </w:t>
      </w:r>
      <w:r>
        <w:rPr>
          <w:color w:val="231F20"/>
          <w:w w:val="105"/>
          <w:sz w:val="20"/>
        </w:rPr>
        <w:t>medullary</w:t>
      </w:r>
      <w:r>
        <w:rPr>
          <w:color w:val="231F20"/>
          <w:spacing w:val="-29"/>
          <w:w w:val="105"/>
          <w:sz w:val="20"/>
        </w:rPr>
        <w:t> </w:t>
      </w:r>
      <w:r>
        <w:rPr>
          <w:color w:val="231F20"/>
          <w:w w:val="105"/>
          <w:sz w:val="20"/>
        </w:rPr>
        <w:t>blood</w:t>
      </w:r>
      <w:r>
        <w:rPr>
          <w:color w:val="231F20"/>
          <w:spacing w:val="-29"/>
          <w:w w:val="105"/>
          <w:sz w:val="20"/>
        </w:rPr>
        <w:t> </w:t>
      </w:r>
      <w:r>
        <w:rPr>
          <w:color w:val="231F20"/>
          <w:w w:val="105"/>
          <w:sz w:val="20"/>
        </w:rPr>
        <w:t>flow</w:t>
      </w:r>
      <w:r>
        <w:rPr>
          <w:color w:val="231F20"/>
          <w:spacing w:val="-29"/>
          <w:w w:val="105"/>
          <w:sz w:val="20"/>
        </w:rPr>
        <w:t> </w:t>
      </w:r>
      <w:r>
        <w:rPr>
          <w:color w:val="231F20"/>
          <w:w w:val="105"/>
          <w:sz w:val="20"/>
        </w:rPr>
        <w:t>is</w:t>
      </w:r>
      <w:r>
        <w:rPr>
          <w:color w:val="231F20"/>
          <w:spacing w:val="-29"/>
          <w:w w:val="105"/>
          <w:sz w:val="20"/>
        </w:rPr>
        <w:t> </w:t>
      </w:r>
      <w:r>
        <w:rPr>
          <w:color w:val="231F20"/>
          <w:spacing w:val="-3"/>
          <w:w w:val="105"/>
          <w:sz w:val="20"/>
        </w:rPr>
        <w:t>low,</w:t>
      </w:r>
      <w:r>
        <w:rPr>
          <w:color w:val="231F20"/>
          <w:spacing w:val="-30"/>
          <w:w w:val="105"/>
          <w:sz w:val="20"/>
        </w:rPr>
        <w:t> </w:t>
      </w:r>
      <w:r>
        <w:rPr>
          <w:color w:val="231F20"/>
          <w:w w:val="105"/>
          <w:sz w:val="20"/>
        </w:rPr>
        <w:t>accounting</w:t>
      </w:r>
      <w:r>
        <w:rPr>
          <w:color w:val="231F20"/>
          <w:spacing w:val="-29"/>
          <w:w w:val="105"/>
          <w:sz w:val="20"/>
        </w:rPr>
        <w:t> </w:t>
      </w:r>
      <w:r>
        <w:rPr>
          <w:color w:val="231F20"/>
          <w:w w:val="105"/>
          <w:sz w:val="20"/>
        </w:rPr>
        <w:t>for</w:t>
      </w:r>
      <w:r>
        <w:rPr>
          <w:color w:val="231F20"/>
          <w:spacing w:val="-29"/>
          <w:w w:val="105"/>
          <w:sz w:val="20"/>
        </w:rPr>
        <w:t> </w:t>
      </w:r>
      <w:r>
        <w:rPr>
          <w:color w:val="231F20"/>
          <w:spacing w:val="-4"/>
          <w:w w:val="105"/>
          <w:sz w:val="20"/>
        </w:rPr>
        <w:t>less </w:t>
      </w:r>
      <w:r>
        <w:rPr>
          <w:color w:val="231F20"/>
          <w:w w:val="105"/>
          <w:sz w:val="20"/>
        </w:rPr>
        <w:t>than 5 percent of the total renal blood </w:t>
      </w:r>
      <w:r>
        <w:rPr>
          <w:color w:val="231F20"/>
          <w:spacing w:val="-3"/>
          <w:w w:val="105"/>
          <w:sz w:val="20"/>
        </w:rPr>
        <w:t>flow. </w:t>
      </w:r>
      <w:r>
        <w:rPr>
          <w:color w:val="231F20"/>
          <w:spacing w:val="-4"/>
          <w:w w:val="105"/>
          <w:sz w:val="20"/>
        </w:rPr>
        <w:t>This </w:t>
      </w:r>
      <w:r>
        <w:rPr>
          <w:color w:val="231F20"/>
          <w:w w:val="105"/>
          <w:sz w:val="20"/>
        </w:rPr>
        <w:t>sluggish</w:t>
      </w:r>
      <w:r>
        <w:rPr>
          <w:color w:val="231F20"/>
          <w:spacing w:val="-22"/>
          <w:w w:val="105"/>
          <w:sz w:val="20"/>
        </w:rPr>
        <w:t> </w:t>
      </w:r>
      <w:r>
        <w:rPr>
          <w:color w:val="231F20"/>
          <w:w w:val="105"/>
          <w:sz w:val="20"/>
        </w:rPr>
        <w:t>blood</w:t>
      </w:r>
      <w:r>
        <w:rPr>
          <w:color w:val="231F20"/>
          <w:spacing w:val="-22"/>
          <w:w w:val="105"/>
          <w:sz w:val="20"/>
        </w:rPr>
        <w:t> </w:t>
      </w:r>
      <w:r>
        <w:rPr>
          <w:color w:val="231F20"/>
          <w:w w:val="105"/>
          <w:sz w:val="20"/>
        </w:rPr>
        <w:t>flow</w:t>
      </w:r>
      <w:r>
        <w:rPr>
          <w:color w:val="231F20"/>
          <w:spacing w:val="-22"/>
          <w:w w:val="105"/>
          <w:sz w:val="20"/>
        </w:rPr>
        <w:t> </w:t>
      </w:r>
      <w:r>
        <w:rPr>
          <w:color w:val="231F20"/>
          <w:w w:val="105"/>
          <w:sz w:val="20"/>
        </w:rPr>
        <w:t>is</w:t>
      </w:r>
      <w:r>
        <w:rPr>
          <w:color w:val="231F20"/>
          <w:spacing w:val="-21"/>
          <w:w w:val="105"/>
          <w:sz w:val="20"/>
        </w:rPr>
        <w:t> </w:t>
      </w:r>
      <w:r>
        <w:rPr>
          <w:color w:val="231F20"/>
          <w:w w:val="105"/>
          <w:sz w:val="20"/>
        </w:rPr>
        <w:t>sufficient</w:t>
      </w:r>
      <w:r>
        <w:rPr>
          <w:color w:val="231F20"/>
          <w:spacing w:val="-22"/>
          <w:w w:val="105"/>
          <w:sz w:val="20"/>
        </w:rPr>
        <w:t> </w:t>
      </w:r>
      <w:r>
        <w:rPr>
          <w:color w:val="231F20"/>
          <w:w w:val="105"/>
          <w:sz w:val="20"/>
        </w:rPr>
        <w:t>to</w:t>
      </w:r>
      <w:r>
        <w:rPr>
          <w:color w:val="231F20"/>
          <w:spacing w:val="-22"/>
          <w:w w:val="105"/>
          <w:sz w:val="20"/>
        </w:rPr>
        <w:t> </w:t>
      </w:r>
      <w:r>
        <w:rPr>
          <w:color w:val="231F20"/>
          <w:w w:val="105"/>
          <w:sz w:val="20"/>
        </w:rPr>
        <w:t>supply</w:t>
      </w:r>
      <w:r>
        <w:rPr>
          <w:color w:val="231F20"/>
          <w:spacing w:val="-21"/>
          <w:w w:val="105"/>
          <w:sz w:val="20"/>
        </w:rPr>
        <w:t> </w:t>
      </w:r>
      <w:r>
        <w:rPr>
          <w:color w:val="231F20"/>
          <w:w w:val="105"/>
          <w:sz w:val="20"/>
        </w:rPr>
        <w:t>the</w:t>
      </w:r>
      <w:r>
        <w:rPr>
          <w:color w:val="231F20"/>
          <w:spacing w:val="-22"/>
          <w:w w:val="105"/>
          <w:sz w:val="20"/>
        </w:rPr>
        <w:t> </w:t>
      </w:r>
      <w:r>
        <w:rPr>
          <w:color w:val="231F20"/>
          <w:spacing w:val="-3"/>
          <w:w w:val="105"/>
          <w:sz w:val="20"/>
        </w:rPr>
        <w:t>meta­ </w:t>
      </w:r>
      <w:r>
        <w:rPr>
          <w:color w:val="231F20"/>
          <w:w w:val="105"/>
          <w:sz w:val="20"/>
        </w:rPr>
        <w:t>bolic needs of the tissues but helps to minimize solute loss from the medullary</w:t>
      </w:r>
      <w:r>
        <w:rPr>
          <w:color w:val="231F20"/>
          <w:spacing w:val="-2"/>
          <w:w w:val="105"/>
          <w:sz w:val="20"/>
        </w:rPr>
        <w:t> </w:t>
      </w:r>
      <w:r>
        <w:rPr>
          <w:color w:val="231F20"/>
          <w:w w:val="105"/>
          <w:sz w:val="20"/>
        </w:rPr>
        <w:t>interstitium.</w:t>
      </w:r>
    </w:p>
    <w:p>
      <w:pPr>
        <w:pStyle w:val="ListParagraph"/>
        <w:numPr>
          <w:ilvl w:val="0"/>
          <w:numId w:val="20"/>
        </w:numPr>
        <w:tabs>
          <w:tab w:pos="1563" w:val="left" w:leader="none"/>
        </w:tabs>
        <w:spacing w:line="249" w:lineRule="auto" w:before="5" w:after="0"/>
        <w:ind w:left="1562" w:right="0" w:hanging="243"/>
        <w:jc w:val="both"/>
        <w:rPr>
          <w:sz w:val="20"/>
        </w:rPr>
      </w:pPr>
      <w:r>
        <w:rPr>
          <w:color w:val="231F20"/>
          <w:w w:val="105"/>
          <w:sz w:val="20"/>
        </w:rPr>
        <w:t>The</w:t>
      </w:r>
      <w:r>
        <w:rPr>
          <w:color w:val="231F20"/>
          <w:spacing w:val="-13"/>
          <w:w w:val="105"/>
          <w:sz w:val="20"/>
        </w:rPr>
        <w:t> </w:t>
      </w:r>
      <w:r>
        <w:rPr>
          <w:color w:val="231F20"/>
          <w:w w:val="105"/>
          <w:sz w:val="20"/>
        </w:rPr>
        <w:t>vasa</w:t>
      </w:r>
      <w:r>
        <w:rPr>
          <w:color w:val="231F20"/>
          <w:spacing w:val="-12"/>
          <w:w w:val="105"/>
          <w:sz w:val="20"/>
        </w:rPr>
        <w:t> </w:t>
      </w:r>
      <w:r>
        <w:rPr>
          <w:color w:val="231F20"/>
          <w:w w:val="105"/>
          <w:sz w:val="20"/>
        </w:rPr>
        <w:t>recta</w:t>
      </w:r>
      <w:r>
        <w:rPr>
          <w:color w:val="231F20"/>
          <w:spacing w:val="-12"/>
          <w:w w:val="105"/>
          <w:sz w:val="20"/>
        </w:rPr>
        <w:t> </w:t>
      </w:r>
      <w:r>
        <w:rPr>
          <w:color w:val="231F20"/>
          <w:w w:val="105"/>
          <w:sz w:val="20"/>
        </w:rPr>
        <w:t>serve</w:t>
      </w:r>
      <w:r>
        <w:rPr>
          <w:color w:val="231F20"/>
          <w:spacing w:val="-12"/>
          <w:w w:val="105"/>
          <w:sz w:val="20"/>
        </w:rPr>
        <w:t> </w:t>
      </w:r>
      <w:r>
        <w:rPr>
          <w:color w:val="231F20"/>
          <w:w w:val="105"/>
          <w:sz w:val="20"/>
        </w:rPr>
        <w:t>as</w:t>
      </w:r>
      <w:r>
        <w:rPr>
          <w:color w:val="231F20"/>
          <w:spacing w:val="-12"/>
          <w:w w:val="105"/>
          <w:sz w:val="20"/>
        </w:rPr>
        <w:t> </w:t>
      </w:r>
      <w:r>
        <w:rPr>
          <w:color w:val="231F20"/>
          <w:w w:val="105"/>
          <w:sz w:val="20"/>
        </w:rPr>
        <w:t>countercurrent</w:t>
      </w:r>
      <w:r>
        <w:rPr>
          <w:color w:val="231F20"/>
          <w:spacing w:val="-12"/>
          <w:w w:val="105"/>
          <w:sz w:val="20"/>
        </w:rPr>
        <w:t> </w:t>
      </w:r>
      <w:r>
        <w:rPr>
          <w:color w:val="231F20"/>
          <w:w w:val="105"/>
          <w:sz w:val="20"/>
        </w:rPr>
        <w:t>exchangers, minimizing</w:t>
      </w:r>
      <w:r>
        <w:rPr>
          <w:color w:val="231F20"/>
          <w:spacing w:val="-13"/>
          <w:w w:val="105"/>
          <w:sz w:val="20"/>
        </w:rPr>
        <w:t> </w:t>
      </w:r>
      <w:r>
        <w:rPr>
          <w:color w:val="231F20"/>
          <w:w w:val="105"/>
          <w:sz w:val="20"/>
        </w:rPr>
        <w:t>washout</w:t>
      </w:r>
      <w:r>
        <w:rPr>
          <w:color w:val="231F20"/>
          <w:spacing w:val="-12"/>
          <w:w w:val="105"/>
          <w:sz w:val="20"/>
        </w:rPr>
        <w:t> </w:t>
      </w:r>
      <w:r>
        <w:rPr>
          <w:color w:val="231F20"/>
          <w:w w:val="105"/>
          <w:sz w:val="20"/>
        </w:rPr>
        <w:t>of</w:t>
      </w:r>
      <w:r>
        <w:rPr>
          <w:color w:val="231F20"/>
          <w:spacing w:val="-12"/>
          <w:w w:val="105"/>
          <w:sz w:val="20"/>
        </w:rPr>
        <w:t> </w:t>
      </w:r>
      <w:r>
        <w:rPr>
          <w:color w:val="231F20"/>
          <w:w w:val="105"/>
          <w:sz w:val="20"/>
        </w:rPr>
        <w:t>solutes</w:t>
      </w:r>
      <w:r>
        <w:rPr>
          <w:color w:val="231F20"/>
          <w:spacing w:val="-12"/>
          <w:w w:val="105"/>
          <w:sz w:val="20"/>
        </w:rPr>
        <w:t> </w:t>
      </w:r>
      <w:r>
        <w:rPr>
          <w:color w:val="231F20"/>
          <w:w w:val="105"/>
          <w:sz w:val="20"/>
        </w:rPr>
        <w:t>from</w:t>
      </w:r>
      <w:r>
        <w:rPr>
          <w:color w:val="231F20"/>
          <w:spacing w:val="-13"/>
          <w:w w:val="105"/>
          <w:sz w:val="20"/>
        </w:rPr>
        <w:t> </w:t>
      </w:r>
      <w:r>
        <w:rPr>
          <w:color w:val="231F20"/>
          <w:w w:val="105"/>
          <w:sz w:val="20"/>
        </w:rPr>
        <w:t>the</w:t>
      </w:r>
      <w:r>
        <w:rPr>
          <w:color w:val="231F20"/>
          <w:spacing w:val="-12"/>
          <w:w w:val="105"/>
          <w:sz w:val="20"/>
        </w:rPr>
        <w:t> </w:t>
      </w:r>
      <w:r>
        <w:rPr>
          <w:color w:val="231F20"/>
          <w:w w:val="105"/>
          <w:sz w:val="20"/>
        </w:rPr>
        <w:t>medullary interstitium.</w:t>
      </w:r>
    </w:p>
    <w:p>
      <w:pPr>
        <w:pStyle w:val="BodyText"/>
        <w:spacing w:line="249" w:lineRule="auto" w:before="2"/>
        <w:ind w:left="1080" w:firstLine="240"/>
        <w:jc w:val="both"/>
      </w:pPr>
      <w:r>
        <w:rPr>
          <w:color w:val="231F20"/>
          <w:w w:val="105"/>
        </w:rPr>
        <w:t>The countercurrent exchange mechanism operates </w:t>
      </w:r>
      <w:r>
        <w:rPr>
          <w:color w:val="231F20"/>
          <w:spacing w:val="-5"/>
          <w:w w:val="105"/>
        </w:rPr>
        <w:t>as </w:t>
      </w:r>
      <w:r>
        <w:rPr>
          <w:color w:val="231F20"/>
          <w:w w:val="105"/>
        </w:rPr>
        <w:t>follows</w:t>
      </w:r>
      <w:r>
        <w:rPr>
          <w:color w:val="231F20"/>
          <w:spacing w:val="-41"/>
          <w:w w:val="105"/>
        </w:rPr>
        <w:t> </w:t>
      </w:r>
      <w:r>
        <w:rPr>
          <w:color w:val="231F20"/>
          <w:w w:val="105"/>
        </w:rPr>
        <w:t>(</w:t>
      </w:r>
      <w:hyperlink w:history="true" w:anchor="_bookmark73">
        <w:r>
          <w:rPr>
            <w:b/>
            <w:color w:val="0080AC"/>
            <w:w w:val="105"/>
          </w:rPr>
          <w:t>Figure</w:t>
        </w:r>
        <w:r>
          <w:rPr>
            <w:b/>
            <w:color w:val="0080AC"/>
            <w:spacing w:val="-42"/>
            <w:w w:val="105"/>
          </w:rPr>
          <w:t> </w:t>
        </w:r>
        <w:r>
          <w:rPr>
            <w:b/>
            <w:color w:val="0080AC"/>
            <w:w w:val="105"/>
          </w:rPr>
          <w:t>29-7</w:t>
        </w:r>
      </w:hyperlink>
      <w:r>
        <w:rPr>
          <w:color w:val="231F20"/>
          <w:w w:val="105"/>
        </w:rPr>
        <w:t>):</w:t>
      </w:r>
      <w:r>
        <w:rPr>
          <w:color w:val="231F20"/>
          <w:spacing w:val="-40"/>
          <w:w w:val="105"/>
        </w:rPr>
        <w:t> </w:t>
      </w:r>
      <w:r>
        <w:rPr>
          <w:color w:val="231F20"/>
          <w:w w:val="105"/>
        </w:rPr>
        <w:t>Blood</w:t>
      </w:r>
      <w:r>
        <w:rPr>
          <w:color w:val="231F20"/>
          <w:spacing w:val="-41"/>
          <w:w w:val="105"/>
        </w:rPr>
        <w:t> </w:t>
      </w:r>
      <w:r>
        <w:rPr>
          <w:color w:val="231F20"/>
          <w:w w:val="105"/>
        </w:rPr>
        <w:t>enters</w:t>
      </w:r>
      <w:r>
        <w:rPr>
          <w:color w:val="231F20"/>
          <w:spacing w:val="-41"/>
          <w:w w:val="105"/>
        </w:rPr>
        <w:t> </w:t>
      </w:r>
      <w:r>
        <w:rPr>
          <w:color w:val="231F20"/>
          <w:w w:val="105"/>
        </w:rPr>
        <w:t>and</w:t>
      </w:r>
      <w:r>
        <w:rPr>
          <w:color w:val="231F20"/>
          <w:spacing w:val="-41"/>
          <w:w w:val="105"/>
        </w:rPr>
        <w:t> </w:t>
      </w:r>
      <w:r>
        <w:rPr>
          <w:color w:val="231F20"/>
          <w:w w:val="105"/>
        </w:rPr>
        <w:t>leaves</w:t>
      </w:r>
      <w:r>
        <w:rPr>
          <w:color w:val="231F20"/>
          <w:spacing w:val="-41"/>
          <w:w w:val="105"/>
        </w:rPr>
        <w:t> </w:t>
      </w:r>
      <w:r>
        <w:rPr>
          <w:color w:val="231F20"/>
          <w:w w:val="105"/>
        </w:rPr>
        <w:t>the</w:t>
      </w:r>
      <w:r>
        <w:rPr>
          <w:color w:val="231F20"/>
          <w:spacing w:val="-40"/>
          <w:w w:val="105"/>
        </w:rPr>
        <w:t> </w:t>
      </w:r>
      <w:r>
        <w:rPr>
          <w:color w:val="231F20"/>
          <w:w w:val="105"/>
        </w:rPr>
        <w:t>medulla by way of the vasa recta at the boundary of the </w:t>
      </w:r>
      <w:r>
        <w:rPr>
          <w:color w:val="231F20"/>
          <w:spacing w:val="-4"/>
          <w:w w:val="105"/>
        </w:rPr>
        <w:t>cortex </w:t>
      </w:r>
      <w:r>
        <w:rPr>
          <w:color w:val="231F20"/>
          <w:w w:val="105"/>
        </w:rPr>
        <w:t>and renal medulla. The vasa recta, like other</w:t>
      </w:r>
      <w:r>
        <w:rPr>
          <w:color w:val="231F20"/>
          <w:spacing w:val="-28"/>
          <w:w w:val="105"/>
        </w:rPr>
        <w:t> </w:t>
      </w:r>
      <w:r>
        <w:rPr>
          <w:color w:val="231F20"/>
          <w:w w:val="105"/>
        </w:rPr>
        <w:t>capillaries, are highly permeable to solutes in the blood, except for the</w:t>
      </w:r>
      <w:r>
        <w:rPr>
          <w:color w:val="231F20"/>
          <w:spacing w:val="-9"/>
          <w:w w:val="105"/>
        </w:rPr>
        <w:t> </w:t>
      </w:r>
      <w:r>
        <w:rPr>
          <w:color w:val="231F20"/>
          <w:w w:val="105"/>
        </w:rPr>
        <w:t>plasma</w:t>
      </w:r>
      <w:r>
        <w:rPr>
          <w:color w:val="231F20"/>
          <w:spacing w:val="-8"/>
          <w:w w:val="105"/>
        </w:rPr>
        <w:t> </w:t>
      </w:r>
      <w:r>
        <w:rPr>
          <w:color w:val="231F20"/>
          <w:w w:val="105"/>
        </w:rPr>
        <w:t>proteins.</w:t>
      </w:r>
      <w:r>
        <w:rPr>
          <w:color w:val="231F20"/>
          <w:spacing w:val="-8"/>
          <w:w w:val="105"/>
        </w:rPr>
        <w:t> </w:t>
      </w:r>
      <w:r>
        <w:rPr>
          <w:color w:val="231F20"/>
          <w:w w:val="105"/>
        </w:rPr>
        <w:t>As</w:t>
      </w:r>
      <w:r>
        <w:rPr>
          <w:color w:val="231F20"/>
          <w:spacing w:val="-8"/>
          <w:w w:val="105"/>
        </w:rPr>
        <w:t> </w:t>
      </w:r>
      <w:r>
        <w:rPr>
          <w:color w:val="231F20"/>
          <w:w w:val="105"/>
        </w:rPr>
        <w:t>blood</w:t>
      </w:r>
      <w:r>
        <w:rPr>
          <w:color w:val="231F20"/>
          <w:spacing w:val="-8"/>
          <w:w w:val="105"/>
        </w:rPr>
        <w:t> </w:t>
      </w:r>
      <w:r>
        <w:rPr>
          <w:color w:val="231F20"/>
          <w:w w:val="105"/>
        </w:rPr>
        <w:t>descends</w:t>
      </w:r>
      <w:r>
        <w:rPr>
          <w:color w:val="231F20"/>
          <w:spacing w:val="-9"/>
          <w:w w:val="105"/>
        </w:rPr>
        <w:t> </w:t>
      </w:r>
      <w:r>
        <w:rPr>
          <w:color w:val="231F20"/>
          <w:w w:val="105"/>
        </w:rPr>
        <w:t>into</w:t>
      </w:r>
      <w:r>
        <w:rPr>
          <w:color w:val="231F20"/>
          <w:spacing w:val="-8"/>
          <w:w w:val="105"/>
        </w:rPr>
        <w:t> </w:t>
      </w:r>
      <w:r>
        <w:rPr>
          <w:color w:val="231F20"/>
          <w:w w:val="105"/>
        </w:rPr>
        <w:t>the</w:t>
      </w:r>
      <w:r>
        <w:rPr>
          <w:color w:val="231F20"/>
          <w:spacing w:val="-8"/>
          <w:w w:val="105"/>
        </w:rPr>
        <w:t> </w:t>
      </w:r>
      <w:r>
        <w:rPr>
          <w:color w:val="231F20"/>
          <w:w w:val="105"/>
        </w:rPr>
        <w:t>medulla toward</w:t>
      </w:r>
      <w:r>
        <w:rPr>
          <w:color w:val="231F20"/>
          <w:spacing w:val="-6"/>
          <w:w w:val="105"/>
        </w:rPr>
        <w:t> </w:t>
      </w:r>
      <w:r>
        <w:rPr>
          <w:color w:val="231F20"/>
          <w:w w:val="105"/>
        </w:rPr>
        <w:t>the</w:t>
      </w:r>
      <w:r>
        <w:rPr>
          <w:color w:val="231F20"/>
          <w:spacing w:val="-6"/>
          <w:w w:val="105"/>
        </w:rPr>
        <w:t> </w:t>
      </w:r>
      <w:r>
        <w:rPr>
          <w:color w:val="231F20"/>
          <w:w w:val="105"/>
        </w:rPr>
        <w:t>papillae,</w:t>
      </w:r>
      <w:r>
        <w:rPr>
          <w:color w:val="231F20"/>
          <w:spacing w:val="-6"/>
          <w:w w:val="105"/>
        </w:rPr>
        <w:t> </w:t>
      </w:r>
      <w:r>
        <w:rPr>
          <w:color w:val="231F20"/>
          <w:w w:val="105"/>
        </w:rPr>
        <w:t>it</w:t>
      </w:r>
      <w:r>
        <w:rPr>
          <w:color w:val="231F20"/>
          <w:spacing w:val="-6"/>
          <w:w w:val="105"/>
        </w:rPr>
        <w:t> </w:t>
      </w:r>
      <w:r>
        <w:rPr>
          <w:color w:val="231F20"/>
          <w:w w:val="105"/>
        </w:rPr>
        <w:t>becomes</w:t>
      </w:r>
      <w:r>
        <w:rPr>
          <w:color w:val="231F20"/>
          <w:spacing w:val="-5"/>
          <w:w w:val="105"/>
        </w:rPr>
        <w:t> </w:t>
      </w:r>
      <w:r>
        <w:rPr>
          <w:color w:val="231F20"/>
          <w:w w:val="105"/>
        </w:rPr>
        <w:t>progressively</w:t>
      </w:r>
      <w:r>
        <w:rPr>
          <w:color w:val="231F20"/>
          <w:spacing w:val="-6"/>
          <w:w w:val="105"/>
        </w:rPr>
        <w:t> </w:t>
      </w:r>
      <w:r>
        <w:rPr>
          <w:color w:val="231F20"/>
          <w:w w:val="105"/>
        </w:rPr>
        <w:t>more</w:t>
      </w:r>
      <w:r>
        <w:rPr>
          <w:color w:val="231F20"/>
          <w:spacing w:val="-6"/>
          <w:w w:val="105"/>
        </w:rPr>
        <w:t> </w:t>
      </w:r>
      <w:r>
        <w:rPr>
          <w:color w:val="231F20"/>
          <w:w w:val="105"/>
        </w:rPr>
        <w:t>con­ centrated,</w:t>
      </w:r>
      <w:r>
        <w:rPr>
          <w:color w:val="231F20"/>
          <w:spacing w:val="-17"/>
          <w:w w:val="105"/>
        </w:rPr>
        <w:t> </w:t>
      </w:r>
      <w:r>
        <w:rPr>
          <w:color w:val="231F20"/>
          <w:w w:val="105"/>
        </w:rPr>
        <w:t>partly</w:t>
      </w:r>
      <w:r>
        <w:rPr>
          <w:color w:val="231F20"/>
          <w:spacing w:val="-17"/>
          <w:w w:val="105"/>
        </w:rPr>
        <w:t> </w:t>
      </w:r>
      <w:r>
        <w:rPr>
          <w:color w:val="231F20"/>
          <w:w w:val="105"/>
        </w:rPr>
        <w:t>by</w:t>
      </w:r>
      <w:r>
        <w:rPr>
          <w:color w:val="231F20"/>
          <w:spacing w:val="-16"/>
          <w:w w:val="105"/>
        </w:rPr>
        <w:t> </w:t>
      </w:r>
      <w:r>
        <w:rPr>
          <w:color w:val="231F20"/>
          <w:w w:val="105"/>
        </w:rPr>
        <w:t>solute</w:t>
      </w:r>
      <w:r>
        <w:rPr>
          <w:color w:val="231F20"/>
          <w:spacing w:val="-17"/>
          <w:w w:val="105"/>
        </w:rPr>
        <w:t> </w:t>
      </w:r>
      <w:r>
        <w:rPr>
          <w:color w:val="231F20"/>
          <w:w w:val="105"/>
        </w:rPr>
        <w:t>entry</w:t>
      </w:r>
      <w:r>
        <w:rPr>
          <w:color w:val="231F20"/>
          <w:spacing w:val="-17"/>
          <w:w w:val="105"/>
        </w:rPr>
        <w:t> </w:t>
      </w:r>
      <w:r>
        <w:rPr>
          <w:color w:val="231F20"/>
          <w:w w:val="105"/>
        </w:rPr>
        <w:t>from</w:t>
      </w:r>
      <w:r>
        <w:rPr>
          <w:color w:val="231F20"/>
          <w:spacing w:val="-16"/>
          <w:w w:val="105"/>
        </w:rPr>
        <w:t> </w:t>
      </w:r>
      <w:r>
        <w:rPr>
          <w:color w:val="231F20"/>
          <w:w w:val="105"/>
        </w:rPr>
        <w:t>the</w:t>
      </w:r>
      <w:r>
        <w:rPr>
          <w:color w:val="231F20"/>
          <w:spacing w:val="-17"/>
          <w:w w:val="105"/>
        </w:rPr>
        <w:t> </w:t>
      </w:r>
      <w:r>
        <w:rPr>
          <w:color w:val="231F20"/>
          <w:w w:val="105"/>
        </w:rPr>
        <w:t>interstitium</w:t>
      </w:r>
      <w:r>
        <w:rPr>
          <w:color w:val="231F20"/>
          <w:spacing w:val="-16"/>
          <w:w w:val="105"/>
        </w:rPr>
        <w:t> </w:t>
      </w:r>
      <w:r>
        <w:rPr>
          <w:color w:val="231F20"/>
          <w:spacing w:val="-5"/>
          <w:w w:val="105"/>
        </w:rPr>
        <w:t>and </w:t>
      </w:r>
      <w:r>
        <w:rPr>
          <w:color w:val="231F20"/>
          <w:w w:val="105"/>
        </w:rPr>
        <w:t>partly by loss of water into the interstitium. By the time the blood reaches the tips of the vasa recta, it has a</w:t>
      </w:r>
      <w:r>
        <w:rPr>
          <w:color w:val="231F20"/>
          <w:spacing w:val="-15"/>
          <w:w w:val="105"/>
        </w:rPr>
        <w:t> </w:t>
      </w:r>
      <w:r>
        <w:rPr>
          <w:color w:val="231F20"/>
          <w:w w:val="105"/>
        </w:rPr>
        <w:t>con­ centration</w:t>
      </w:r>
      <w:r>
        <w:rPr>
          <w:color w:val="231F20"/>
          <w:spacing w:val="-17"/>
          <w:w w:val="105"/>
        </w:rPr>
        <w:t> </w:t>
      </w:r>
      <w:r>
        <w:rPr>
          <w:color w:val="231F20"/>
          <w:w w:val="105"/>
        </w:rPr>
        <w:t>of</w:t>
      </w:r>
      <w:r>
        <w:rPr>
          <w:color w:val="231F20"/>
          <w:spacing w:val="-17"/>
          <w:w w:val="105"/>
        </w:rPr>
        <w:t> </w:t>
      </w:r>
      <w:r>
        <w:rPr>
          <w:color w:val="231F20"/>
          <w:w w:val="105"/>
        </w:rPr>
        <w:t>about</w:t>
      </w:r>
      <w:r>
        <w:rPr>
          <w:color w:val="231F20"/>
          <w:spacing w:val="-17"/>
          <w:w w:val="105"/>
        </w:rPr>
        <w:t> </w:t>
      </w:r>
      <w:r>
        <w:rPr>
          <w:color w:val="231F20"/>
          <w:w w:val="105"/>
        </w:rPr>
        <w:t>1200</w:t>
      </w:r>
      <w:r>
        <w:rPr>
          <w:color w:val="231F20"/>
          <w:spacing w:val="-2"/>
          <w:w w:val="105"/>
        </w:rPr>
        <w:t> </w:t>
      </w:r>
      <w:r>
        <w:rPr>
          <w:color w:val="231F20"/>
          <w:w w:val="105"/>
        </w:rPr>
        <w:t>mOsm/L,</w:t>
      </w:r>
      <w:r>
        <w:rPr>
          <w:color w:val="231F20"/>
          <w:spacing w:val="-17"/>
          <w:w w:val="105"/>
        </w:rPr>
        <w:t> </w:t>
      </w:r>
      <w:r>
        <w:rPr>
          <w:color w:val="231F20"/>
          <w:w w:val="105"/>
        </w:rPr>
        <w:t>the</w:t>
      </w:r>
      <w:r>
        <w:rPr>
          <w:color w:val="231F20"/>
          <w:spacing w:val="-17"/>
          <w:w w:val="105"/>
        </w:rPr>
        <w:t> </w:t>
      </w:r>
      <w:r>
        <w:rPr>
          <w:color w:val="231F20"/>
          <w:w w:val="105"/>
        </w:rPr>
        <w:t>same</w:t>
      </w:r>
      <w:r>
        <w:rPr>
          <w:color w:val="231F20"/>
          <w:spacing w:val="-17"/>
          <w:w w:val="105"/>
        </w:rPr>
        <w:t> </w:t>
      </w:r>
      <w:r>
        <w:rPr>
          <w:color w:val="231F20"/>
          <w:w w:val="105"/>
        </w:rPr>
        <w:t>as</w:t>
      </w:r>
      <w:r>
        <w:rPr>
          <w:color w:val="231F20"/>
          <w:spacing w:val="-17"/>
          <w:w w:val="105"/>
        </w:rPr>
        <w:t> </w:t>
      </w:r>
      <w:r>
        <w:rPr>
          <w:color w:val="231F20"/>
          <w:w w:val="105"/>
        </w:rPr>
        <w:t>that</w:t>
      </w:r>
      <w:r>
        <w:rPr>
          <w:color w:val="231F20"/>
          <w:spacing w:val="-16"/>
          <w:w w:val="105"/>
        </w:rPr>
        <w:t> </w:t>
      </w:r>
      <w:r>
        <w:rPr>
          <w:color w:val="231F20"/>
          <w:w w:val="105"/>
        </w:rPr>
        <w:t>of</w:t>
      </w:r>
      <w:r>
        <w:rPr>
          <w:color w:val="231F20"/>
          <w:spacing w:val="-17"/>
          <w:w w:val="105"/>
        </w:rPr>
        <w:t> </w:t>
      </w:r>
      <w:r>
        <w:rPr>
          <w:color w:val="231F20"/>
          <w:spacing w:val="-6"/>
          <w:w w:val="105"/>
        </w:rPr>
        <w:t>the </w:t>
      </w:r>
      <w:r>
        <w:rPr>
          <w:color w:val="231F20"/>
          <w:w w:val="105"/>
        </w:rPr>
        <w:t>medullary</w:t>
      </w:r>
      <w:r>
        <w:rPr>
          <w:color w:val="231F20"/>
          <w:spacing w:val="-23"/>
          <w:w w:val="105"/>
        </w:rPr>
        <w:t> </w:t>
      </w:r>
      <w:r>
        <w:rPr>
          <w:color w:val="231F20"/>
          <w:w w:val="105"/>
        </w:rPr>
        <w:t>interstitium.</w:t>
      </w:r>
      <w:r>
        <w:rPr>
          <w:color w:val="231F20"/>
          <w:spacing w:val="-22"/>
          <w:w w:val="105"/>
        </w:rPr>
        <w:t> </w:t>
      </w:r>
      <w:r>
        <w:rPr>
          <w:color w:val="231F20"/>
          <w:w w:val="105"/>
        </w:rPr>
        <w:t>As</w:t>
      </w:r>
      <w:r>
        <w:rPr>
          <w:color w:val="231F20"/>
          <w:spacing w:val="-23"/>
          <w:w w:val="105"/>
        </w:rPr>
        <w:t> </w:t>
      </w:r>
      <w:r>
        <w:rPr>
          <w:color w:val="231F20"/>
          <w:w w:val="105"/>
        </w:rPr>
        <w:t>blood</w:t>
      </w:r>
      <w:r>
        <w:rPr>
          <w:color w:val="231F20"/>
          <w:spacing w:val="-22"/>
          <w:w w:val="105"/>
        </w:rPr>
        <w:t> </w:t>
      </w:r>
      <w:r>
        <w:rPr>
          <w:color w:val="231F20"/>
          <w:w w:val="105"/>
        </w:rPr>
        <w:t>ascends</w:t>
      </w:r>
      <w:r>
        <w:rPr>
          <w:color w:val="231F20"/>
          <w:spacing w:val="-22"/>
          <w:w w:val="105"/>
        </w:rPr>
        <w:t> </w:t>
      </w:r>
      <w:r>
        <w:rPr>
          <w:color w:val="231F20"/>
          <w:w w:val="105"/>
        </w:rPr>
        <w:t>back</w:t>
      </w:r>
      <w:r>
        <w:rPr>
          <w:color w:val="231F20"/>
          <w:spacing w:val="-23"/>
          <w:w w:val="105"/>
        </w:rPr>
        <w:t> </w:t>
      </w:r>
      <w:r>
        <w:rPr>
          <w:color w:val="231F20"/>
          <w:w w:val="105"/>
        </w:rPr>
        <w:t>toward</w:t>
      </w:r>
      <w:r>
        <w:rPr>
          <w:color w:val="231F20"/>
          <w:spacing w:val="-22"/>
          <w:w w:val="105"/>
        </w:rPr>
        <w:t> </w:t>
      </w:r>
      <w:r>
        <w:rPr>
          <w:color w:val="231F20"/>
          <w:spacing w:val="-6"/>
          <w:w w:val="105"/>
        </w:rPr>
        <w:t>the </w:t>
      </w:r>
      <w:r>
        <w:rPr>
          <w:color w:val="231F20"/>
          <w:w w:val="105"/>
        </w:rPr>
        <w:t>cortex, it becomes progressively less concentrated as solutes diffuse back out into the medullary </w:t>
      </w:r>
      <w:r>
        <w:rPr>
          <w:color w:val="231F20"/>
          <w:spacing w:val="-3"/>
          <w:w w:val="105"/>
        </w:rPr>
        <w:t>interstitium </w:t>
      </w:r>
      <w:r>
        <w:rPr>
          <w:color w:val="231F20"/>
          <w:w w:val="105"/>
        </w:rPr>
        <w:t>and as water moves into the vasa</w:t>
      </w:r>
      <w:r>
        <w:rPr>
          <w:color w:val="231F20"/>
          <w:spacing w:val="12"/>
          <w:w w:val="105"/>
        </w:rPr>
        <w:t> </w:t>
      </w:r>
      <w:r>
        <w:rPr>
          <w:color w:val="231F20"/>
          <w:w w:val="105"/>
        </w:rPr>
        <w:t>recta.</w:t>
      </w:r>
    </w:p>
    <w:p>
      <w:pPr>
        <w:pStyle w:val="BodyText"/>
        <w:spacing w:line="249" w:lineRule="auto" w:before="12"/>
        <w:ind w:left="1080" w:firstLine="240"/>
        <w:jc w:val="both"/>
      </w:pPr>
      <w:r>
        <w:rPr>
          <w:color w:val="231F20"/>
          <w:w w:val="105"/>
        </w:rPr>
        <w:t>Although large amounts of fluid and solute </w:t>
      </w:r>
      <w:r>
        <w:rPr>
          <w:color w:val="231F20"/>
          <w:spacing w:val="-6"/>
          <w:w w:val="105"/>
        </w:rPr>
        <w:t>are </w:t>
      </w:r>
      <w:r>
        <w:rPr>
          <w:color w:val="231F20"/>
          <w:w w:val="105"/>
        </w:rPr>
        <w:t>exchanged</w:t>
      </w:r>
      <w:r>
        <w:rPr>
          <w:color w:val="231F20"/>
          <w:spacing w:val="-19"/>
          <w:w w:val="105"/>
        </w:rPr>
        <w:t> </w:t>
      </w:r>
      <w:r>
        <w:rPr>
          <w:color w:val="231F20"/>
          <w:w w:val="105"/>
        </w:rPr>
        <w:t>across</w:t>
      </w:r>
      <w:r>
        <w:rPr>
          <w:color w:val="231F20"/>
          <w:spacing w:val="-19"/>
          <w:w w:val="105"/>
        </w:rPr>
        <w:t> </w:t>
      </w:r>
      <w:r>
        <w:rPr>
          <w:color w:val="231F20"/>
          <w:w w:val="105"/>
        </w:rPr>
        <w:t>the</w:t>
      </w:r>
      <w:r>
        <w:rPr>
          <w:color w:val="231F20"/>
          <w:spacing w:val="-19"/>
          <w:w w:val="105"/>
        </w:rPr>
        <w:t> </w:t>
      </w:r>
      <w:r>
        <w:rPr>
          <w:color w:val="231F20"/>
          <w:w w:val="105"/>
        </w:rPr>
        <w:t>vasa</w:t>
      </w:r>
      <w:r>
        <w:rPr>
          <w:color w:val="231F20"/>
          <w:spacing w:val="-19"/>
          <w:w w:val="105"/>
        </w:rPr>
        <w:t> </w:t>
      </w:r>
      <w:r>
        <w:rPr>
          <w:color w:val="231F20"/>
          <w:w w:val="105"/>
        </w:rPr>
        <w:t>recta,</w:t>
      </w:r>
      <w:r>
        <w:rPr>
          <w:color w:val="231F20"/>
          <w:spacing w:val="-18"/>
          <w:w w:val="105"/>
        </w:rPr>
        <w:t> </w:t>
      </w:r>
      <w:r>
        <w:rPr>
          <w:color w:val="231F20"/>
          <w:w w:val="105"/>
        </w:rPr>
        <w:t>there</w:t>
      </w:r>
      <w:r>
        <w:rPr>
          <w:color w:val="231F20"/>
          <w:spacing w:val="-19"/>
          <w:w w:val="105"/>
        </w:rPr>
        <w:t> </w:t>
      </w:r>
      <w:r>
        <w:rPr>
          <w:color w:val="231F20"/>
          <w:w w:val="105"/>
        </w:rPr>
        <w:t>is</w:t>
      </w:r>
      <w:r>
        <w:rPr>
          <w:color w:val="231F20"/>
          <w:spacing w:val="-19"/>
          <w:w w:val="105"/>
        </w:rPr>
        <w:t> </w:t>
      </w:r>
      <w:r>
        <w:rPr>
          <w:color w:val="231F20"/>
          <w:w w:val="105"/>
        </w:rPr>
        <w:t>little</w:t>
      </w:r>
      <w:r>
        <w:rPr>
          <w:color w:val="231F20"/>
          <w:spacing w:val="-19"/>
          <w:w w:val="105"/>
        </w:rPr>
        <w:t> </w:t>
      </w:r>
      <w:r>
        <w:rPr>
          <w:color w:val="231F20"/>
          <w:w w:val="105"/>
        </w:rPr>
        <w:t>net</w:t>
      </w:r>
      <w:r>
        <w:rPr>
          <w:color w:val="231F20"/>
          <w:spacing w:val="-18"/>
          <w:w w:val="105"/>
        </w:rPr>
        <w:t> </w:t>
      </w:r>
      <w:r>
        <w:rPr>
          <w:color w:val="231F20"/>
          <w:w w:val="105"/>
        </w:rPr>
        <w:t>dilution of the concentration of the interstitial fluid at each</w:t>
      </w:r>
      <w:r>
        <w:rPr>
          <w:color w:val="231F20"/>
          <w:spacing w:val="8"/>
          <w:w w:val="105"/>
        </w:rPr>
        <w:t> </w:t>
      </w:r>
      <w:r>
        <w:rPr>
          <w:color w:val="231F20"/>
          <w:spacing w:val="-3"/>
          <w:w w:val="105"/>
        </w:rPr>
        <w:t>level</w:t>
      </w:r>
    </w:p>
    <w:p>
      <w:pPr>
        <w:pStyle w:val="BodyText"/>
        <w:spacing w:line="249" w:lineRule="auto" w:before="11"/>
        <w:ind w:left="319" w:right="1437"/>
        <w:jc w:val="both"/>
      </w:pPr>
      <w:r>
        <w:rPr/>
        <w:br w:type="column"/>
      </w:r>
      <w:r>
        <w:rPr>
          <w:rFonts w:ascii="Trebuchet MS" w:hAnsi="Trebuchet MS"/>
          <w:b/>
          <w:color w:val="231F20"/>
          <w:w w:val="105"/>
          <w:sz w:val="19"/>
        </w:rPr>
        <w:t>Concentrating </w:t>
      </w:r>
      <w:r>
        <w:rPr>
          <w:rFonts w:ascii="Trebuchet MS" w:hAnsi="Trebuchet MS"/>
          <w:b/>
          <w:color w:val="231F20"/>
          <w:spacing w:val="-3"/>
          <w:w w:val="105"/>
          <w:sz w:val="19"/>
        </w:rPr>
        <w:t>Ability. </w:t>
      </w:r>
      <w:r>
        <w:rPr>
          <w:color w:val="231F20"/>
          <w:w w:val="105"/>
        </w:rPr>
        <w:t>Certain vasodilators can </w:t>
      </w:r>
      <w:r>
        <w:rPr>
          <w:color w:val="231F20"/>
          <w:spacing w:val="-5"/>
          <w:w w:val="105"/>
        </w:rPr>
        <w:t>mark­ </w:t>
      </w:r>
      <w:r>
        <w:rPr>
          <w:color w:val="231F20"/>
        </w:rPr>
        <w:t>edly</w:t>
      </w:r>
      <w:r>
        <w:rPr>
          <w:color w:val="231F20"/>
          <w:spacing w:val="-15"/>
        </w:rPr>
        <w:t> </w:t>
      </w:r>
      <w:r>
        <w:rPr>
          <w:color w:val="231F20"/>
        </w:rPr>
        <w:t>increase</w:t>
      </w:r>
      <w:r>
        <w:rPr>
          <w:color w:val="231F20"/>
          <w:spacing w:val="-15"/>
        </w:rPr>
        <w:t> </w:t>
      </w:r>
      <w:r>
        <w:rPr>
          <w:color w:val="231F20"/>
        </w:rPr>
        <w:t>renal</w:t>
      </w:r>
      <w:r>
        <w:rPr>
          <w:color w:val="231F20"/>
          <w:spacing w:val="-15"/>
        </w:rPr>
        <w:t> </w:t>
      </w:r>
      <w:r>
        <w:rPr>
          <w:color w:val="231F20"/>
        </w:rPr>
        <w:t>medullary</w:t>
      </w:r>
      <w:r>
        <w:rPr>
          <w:color w:val="231F20"/>
          <w:spacing w:val="-15"/>
        </w:rPr>
        <w:t> </w:t>
      </w:r>
      <w:r>
        <w:rPr>
          <w:color w:val="231F20"/>
        </w:rPr>
        <w:t>blood</w:t>
      </w:r>
      <w:r>
        <w:rPr>
          <w:color w:val="231F20"/>
          <w:spacing w:val="-15"/>
        </w:rPr>
        <w:t> </w:t>
      </w:r>
      <w:r>
        <w:rPr>
          <w:color w:val="231F20"/>
          <w:spacing w:val="-3"/>
        </w:rPr>
        <w:t>flow,</w:t>
      </w:r>
      <w:r>
        <w:rPr>
          <w:color w:val="231F20"/>
          <w:spacing w:val="-15"/>
        </w:rPr>
        <w:t> </w:t>
      </w:r>
      <w:r>
        <w:rPr>
          <w:color w:val="231F20"/>
        </w:rPr>
        <w:t>thereby</w:t>
      </w:r>
      <w:r>
        <w:rPr>
          <w:color w:val="231F20"/>
          <w:spacing w:val="-15"/>
        </w:rPr>
        <w:t> </w:t>
      </w:r>
      <w:r>
        <w:rPr>
          <w:color w:val="231F20"/>
        </w:rPr>
        <w:t>“washing </w:t>
      </w:r>
      <w:r>
        <w:rPr>
          <w:color w:val="231F20"/>
          <w:w w:val="105"/>
        </w:rPr>
        <w:t>out” some of the solutes from the renal medulla </w:t>
      </w:r>
      <w:r>
        <w:rPr>
          <w:color w:val="231F20"/>
          <w:spacing w:val="-5"/>
          <w:w w:val="105"/>
        </w:rPr>
        <w:t>and </w:t>
      </w:r>
      <w:r>
        <w:rPr>
          <w:color w:val="231F20"/>
          <w:w w:val="105"/>
        </w:rPr>
        <w:t>reducing maximum urine­concentrating ability. </w:t>
      </w:r>
      <w:r>
        <w:rPr>
          <w:color w:val="231F20"/>
          <w:spacing w:val="-3"/>
          <w:w w:val="105"/>
        </w:rPr>
        <w:t>Large </w:t>
      </w:r>
      <w:r>
        <w:rPr>
          <w:color w:val="231F20"/>
          <w:w w:val="105"/>
        </w:rPr>
        <w:t>increases in arterial pressure can also increase the</w:t>
      </w:r>
      <w:r>
        <w:rPr>
          <w:color w:val="231F20"/>
          <w:spacing w:val="-31"/>
          <w:w w:val="105"/>
        </w:rPr>
        <w:t> </w:t>
      </w:r>
      <w:r>
        <w:rPr>
          <w:color w:val="231F20"/>
          <w:w w:val="105"/>
        </w:rPr>
        <w:t>blood flow</w:t>
      </w:r>
      <w:r>
        <w:rPr>
          <w:color w:val="231F20"/>
          <w:spacing w:val="-12"/>
          <w:w w:val="105"/>
        </w:rPr>
        <w:t> </w:t>
      </w:r>
      <w:r>
        <w:rPr>
          <w:color w:val="231F20"/>
          <w:w w:val="105"/>
        </w:rPr>
        <w:t>of</w:t>
      </w:r>
      <w:r>
        <w:rPr>
          <w:color w:val="231F20"/>
          <w:spacing w:val="-11"/>
          <w:w w:val="105"/>
        </w:rPr>
        <w:t> </w:t>
      </w:r>
      <w:r>
        <w:rPr>
          <w:color w:val="231F20"/>
          <w:w w:val="105"/>
        </w:rPr>
        <w:t>the</w:t>
      </w:r>
      <w:r>
        <w:rPr>
          <w:color w:val="231F20"/>
          <w:spacing w:val="-12"/>
          <w:w w:val="105"/>
        </w:rPr>
        <w:t> </w:t>
      </w:r>
      <w:r>
        <w:rPr>
          <w:color w:val="231F20"/>
          <w:w w:val="105"/>
        </w:rPr>
        <w:t>renal</w:t>
      </w:r>
      <w:r>
        <w:rPr>
          <w:color w:val="231F20"/>
          <w:spacing w:val="-11"/>
          <w:w w:val="105"/>
        </w:rPr>
        <w:t> </w:t>
      </w:r>
      <w:r>
        <w:rPr>
          <w:color w:val="231F20"/>
          <w:w w:val="105"/>
        </w:rPr>
        <w:t>medulla</w:t>
      </w:r>
      <w:r>
        <w:rPr>
          <w:color w:val="231F20"/>
          <w:spacing w:val="-12"/>
          <w:w w:val="105"/>
        </w:rPr>
        <w:t> </w:t>
      </w:r>
      <w:r>
        <w:rPr>
          <w:color w:val="231F20"/>
          <w:w w:val="105"/>
        </w:rPr>
        <w:t>to</w:t>
      </w:r>
      <w:r>
        <w:rPr>
          <w:color w:val="231F20"/>
          <w:spacing w:val="-11"/>
          <w:w w:val="105"/>
        </w:rPr>
        <w:t> </w:t>
      </w:r>
      <w:r>
        <w:rPr>
          <w:color w:val="231F20"/>
          <w:w w:val="105"/>
        </w:rPr>
        <w:t>a</w:t>
      </w:r>
      <w:r>
        <w:rPr>
          <w:color w:val="231F20"/>
          <w:spacing w:val="-12"/>
          <w:w w:val="105"/>
        </w:rPr>
        <w:t> </w:t>
      </w:r>
      <w:r>
        <w:rPr>
          <w:color w:val="231F20"/>
          <w:w w:val="105"/>
        </w:rPr>
        <w:t>greater</w:t>
      </w:r>
      <w:r>
        <w:rPr>
          <w:color w:val="231F20"/>
          <w:spacing w:val="-11"/>
          <w:w w:val="105"/>
        </w:rPr>
        <w:t> </w:t>
      </w:r>
      <w:r>
        <w:rPr>
          <w:color w:val="231F20"/>
          <w:w w:val="105"/>
        </w:rPr>
        <w:t>extent</w:t>
      </w:r>
      <w:r>
        <w:rPr>
          <w:color w:val="231F20"/>
          <w:spacing w:val="-12"/>
          <w:w w:val="105"/>
        </w:rPr>
        <w:t> </w:t>
      </w:r>
      <w:r>
        <w:rPr>
          <w:color w:val="231F20"/>
          <w:w w:val="105"/>
        </w:rPr>
        <w:t>than</w:t>
      </w:r>
      <w:r>
        <w:rPr>
          <w:color w:val="231F20"/>
          <w:spacing w:val="-11"/>
          <w:w w:val="105"/>
        </w:rPr>
        <w:t> </w:t>
      </w:r>
      <w:r>
        <w:rPr>
          <w:color w:val="231F20"/>
          <w:w w:val="105"/>
        </w:rPr>
        <w:t>in</w:t>
      </w:r>
      <w:r>
        <w:rPr>
          <w:color w:val="231F20"/>
          <w:spacing w:val="-12"/>
          <w:w w:val="105"/>
        </w:rPr>
        <w:t> </w:t>
      </w:r>
      <w:r>
        <w:rPr>
          <w:color w:val="231F20"/>
          <w:w w:val="105"/>
        </w:rPr>
        <w:t>other regions of the kidney and tend to wash out the hyperos­ motic</w:t>
      </w:r>
      <w:r>
        <w:rPr>
          <w:color w:val="231F20"/>
          <w:spacing w:val="-12"/>
          <w:w w:val="105"/>
        </w:rPr>
        <w:t> </w:t>
      </w:r>
      <w:r>
        <w:rPr>
          <w:color w:val="231F20"/>
          <w:w w:val="105"/>
        </w:rPr>
        <w:t>interstitium,</w:t>
      </w:r>
      <w:r>
        <w:rPr>
          <w:color w:val="231F20"/>
          <w:spacing w:val="-11"/>
          <w:w w:val="105"/>
        </w:rPr>
        <w:t> </w:t>
      </w:r>
      <w:r>
        <w:rPr>
          <w:color w:val="231F20"/>
          <w:w w:val="105"/>
        </w:rPr>
        <w:t>thereby</w:t>
      </w:r>
      <w:r>
        <w:rPr>
          <w:color w:val="231F20"/>
          <w:spacing w:val="-10"/>
          <w:w w:val="105"/>
        </w:rPr>
        <w:t> </w:t>
      </w:r>
      <w:r>
        <w:rPr>
          <w:color w:val="231F20"/>
          <w:w w:val="105"/>
        </w:rPr>
        <w:t>reducing</w:t>
      </w:r>
      <w:r>
        <w:rPr>
          <w:color w:val="231F20"/>
          <w:spacing w:val="-10"/>
          <w:w w:val="105"/>
        </w:rPr>
        <w:t> </w:t>
      </w:r>
      <w:r>
        <w:rPr>
          <w:color w:val="231F20"/>
          <w:w w:val="105"/>
        </w:rPr>
        <w:t>urine­concentrating ability. As discussed </w:t>
      </w:r>
      <w:r>
        <w:rPr>
          <w:color w:val="231F20"/>
          <w:spacing w:val="-3"/>
          <w:w w:val="105"/>
        </w:rPr>
        <w:t>earlier, </w:t>
      </w:r>
      <w:r>
        <w:rPr>
          <w:color w:val="231F20"/>
          <w:w w:val="105"/>
        </w:rPr>
        <w:t>maximum concentrating ability of the kidney is determined not only by the level of ADH but also by the osmolarity of the renal medulla interstitial</w:t>
      </w:r>
      <w:r>
        <w:rPr>
          <w:color w:val="231F20"/>
          <w:spacing w:val="-32"/>
          <w:w w:val="105"/>
        </w:rPr>
        <w:t> </w:t>
      </w:r>
      <w:r>
        <w:rPr>
          <w:color w:val="231F20"/>
          <w:w w:val="105"/>
        </w:rPr>
        <w:t>fluid.</w:t>
      </w:r>
      <w:r>
        <w:rPr>
          <w:color w:val="231F20"/>
          <w:spacing w:val="-32"/>
          <w:w w:val="105"/>
        </w:rPr>
        <w:t> </w:t>
      </w:r>
      <w:r>
        <w:rPr>
          <w:color w:val="231F20"/>
          <w:w w:val="105"/>
        </w:rPr>
        <w:t>Even</w:t>
      </w:r>
      <w:r>
        <w:rPr>
          <w:color w:val="231F20"/>
          <w:spacing w:val="-32"/>
          <w:w w:val="105"/>
        </w:rPr>
        <w:t> </w:t>
      </w:r>
      <w:r>
        <w:rPr>
          <w:color w:val="231F20"/>
          <w:w w:val="105"/>
        </w:rPr>
        <w:t>with</w:t>
      </w:r>
      <w:r>
        <w:rPr>
          <w:color w:val="231F20"/>
          <w:spacing w:val="-32"/>
          <w:w w:val="105"/>
        </w:rPr>
        <w:t> </w:t>
      </w:r>
      <w:r>
        <w:rPr>
          <w:color w:val="231F20"/>
          <w:w w:val="105"/>
        </w:rPr>
        <w:t>maximal</w:t>
      </w:r>
      <w:r>
        <w:rPr>
          <w:color w:val="231F20"/>
          <w:spacing w:val="-32"/>
          <w:w w:val="105"/>
        </w:rPr>
        <w:t> </w:t>
      </w:r>
      <w:r>
        <w:rPr>
          <w:color w:val="231F20"/>
          <w:w w:val="105"/>
        </w:rPr>
        <w:t>levels</w:t>
      </w:r>
      <w:r>
        <w:rPr>
          <w:color w:val="231F20"/>
          <w:spacing w:val="-32"/>
          <w:w w:val="105"/>
        </w:rPr>
        <w:t> </w:t>
      </w:r>
      <w:r>
        <w:rPr>
          <w:color w:val="231F20"/>
          <w:w w:val="105"/>
        </w:rPr>
        <w:t>of</w:t>
      </w:r>
      <w:r>
        <w:rPr>
          <w:color w:val="231F20"/>
          <w:spacing w:val="-32"/>
          <w:w w:val="105"/>
        </w:rPr>
        <w:t> </w:t>
      </w:r>
      <w:r>
        <w:rPr>
          <w:color w:val="231F20"/>
          <w:w w:val="105"/>
        </w:rPr>
        <w:t>ADH,</w:t>
      </w:r>
      <w:r>
        <w:rPr>
          <w:color w:val="231F20"/>
          <w:spacing w:val="-32"/>
          <w:w w:val="105"/>
        </w:rPr>
        <w:t> </w:t>
      </w:r>
      <w:r>
        <w:rPr>
          <w:color w:val="231F20"/>
          <w:w w:val="105"/>
        </w:rPr>
        <w:t>urine­ concentrating ability will be reduced if medullary</w:t>
      </w:r>
      <w:r>
        <w:rPr>
          <w:color w:val="231F20"/>
          <w:spacing w:val="-21"/>
          <w:w w:val="105"/>
        </w:rPr>
        <w:t> </w:t>
      </w:r>
      <w:r>
        <w:rPr>
          <w:color w:val="231F20"/>
          <w:w w:val="105"/>
        </w:rPr>
        <w:t>blood flow increases enough to reduce the hyperosmolarity in the renal</w:t>
      </w:r>
      <w:r>
        <w:rPr>
          <w:color w:val="231F20"/>
          <w:spacing w:val="6"/>
          <w:w w:val="105"/>
        </w:rPr>
        <w:t> </w:t>
      </w:r>
      <w:r>
        <w:rPr>
          <w:color w:val="231F20"/>
          <w:w w:val="105"/>
        </w:rPr>
        <w:t>medulla.</w:t>
      </w:r>
    </w:p>
    <w:p>
      <w:pPr>
        <w:pStyle w:val="BodyText"/>
        <w:spacing w:before="8"/>
        <w:rPr>
          <w:sz w:val="31"/>
        </w:rPr>
      </w:pPr>
    </w:p>
    <w:p>
      <w:pPr>
        <w:pStyle w:val="Heading2"/>
        <w:spacing w:line="225" w:lineRule="auto"/>
        <w:ind w:right="1734"/>
      </w:pPr>
      <w:r>
        <w:rPr>
          <w:color w:val="231F20"/>
          <w:w w:val="105"/>
        </w:rPr>
        <w:t>SUMMARY OF URINE-CONCENTRATING MECHANISM AND CHANGES IN OSMOLARITY IN DIFFERENT SEGMENTS OF THE TUBULES</w:t>
      </w:r>
    </w:p>
    <w:p>
      <w:pPr>
        <w:pStyle w:val="BodyText"/>
        <w:spacing w:line="249" w:lineRule="auto" w:before="127"/>
        <w:ind w:left="319" w:right="1437"/>
        <w:jc w:val="both"/>
      </w:pPr>
      <w:r>
        <w:rPr>
          <w:color w:val="231F20"/>
          <w:w w:val="105"/>
        </w:rPr>
        <w:t>The</w:t>
      </w:r>
      <w:r>
        <w:rPr>
          <w:color w:val="231F20"/>
          <w:spacing w:val="-25"/>
          <w:w w:val="105"/>
        </w:rPr>
        <w:t> </w:t>
      </w:r>
      <w:r>
        <w:rPr>
          <w:color w:val="231F20"/>
          <w:w w:val="105"/>
        </w:rPr>
        <w:t>changes</w:t>
      </w:r>
      <w:r>
        <w:rPr>
          <w:color w:val="231F20"/>
          <w:spacing w:val="-24"/>
          <w:w w:val="105"/>
        </w:rPr>
        <w:t> </w:t>
      </w:r>
      <w:r>
        <w:rPr>
          <w:color w:val="231F20"/>
          <w:w w:val="105"/>
        </w:rPr>
        <w:t>in</w:t>
      </w:r>
      <w:r>
        <w:rPr>
          <w:color w:val="231F20"/>
          <w:spacing w:val="-24"/>
          <w:w w:val="105"/>
        </w:rPr>
        <w:t> </w:t>
      </w:r>
      <w:r>
        <w:rPr>
          <w:color w:val="231F20"/>
          <w:w w:val="105"/>
        </w:rPr>
        <w:t>osmolarity</w:t>
      </w:r>
      <w:r>
        <w:rPr>
          <w:color w:val="231F20"/>
          <w:spacing w:val="-24"/>
          <w:w w:val="105"/>
        </w:rPr>
        <w:t> </w:t>
      </w:r>
      <w:r>
        <w:rPr>
          <w:color w:val="231F20"/>
          <w:w w:val="105"/>
        </w:rPr>
        <w:t>and</w:t>
      </w:r>
      <w:r>
        <w:rPr>
          <w:color w:val="231F20"/>
          <w:spacing w:val="-25"/>
          <w:w w:val="105"/>
        </w:rPr>
        <w:t> </w:t>
      </w:r>
      <w:r>
        <w:rPr>
          <w:color w:val="231F20"/>
          <w:w w:val="105"/>
        </w:rPr>
        <w:t>volume</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tubular</w:t>
      </w:r>
      <w:r>
        <w:rPr>
          <w:color w:val="231F20"/>
          <w:spacing w:val="-25"/>
          <w:w w:val="105"/>
        </w:rPr>
        <w:t> </w:t>
      </w:r>
      <w:r>
        <w:rPr>
          <w:color w:val="231F20"/>
          <w:w w:val="105"/>
        </w:rPr>
        <w:t>fluid as</w:t>
      </w:r>
      <w:r>
        <w:rPr>
          <w:color w:val="231F20"/>
          <w:spacing w:val="-10"/>
          <w:w w:val="105"/>
        </w:rPr>
        <w:t> </w:t>
      </w:r>
      <w:r>
        <w:rPr>
          <w:color w:val="231F20"/>
          <w:w w:val="105"/>
        </w:rPr>
        <w:t>it</w:t>
      </w:r>
      <w:r>
        <w:rPr>
          <w:color w:val="231F20"/>
          <w:spacing w:val="-9"/>
          <w:w w:val="105"/>
        </w:rPr>
        <w:t> </w:t>
      </w:r>
      <w:r>
        <w:rPr>
          <w:color w:val="231F20"/>
          <w:w w:val="105"/>
        </w:rPr>
        <w:t>passes</w:t>
      </w:r>
      <w:r>
        <w:rPr>
          <w:color w:val="231F20"/>
          <w:spacing w:val="-9"/>
          <w:w w:val="105"/>
        </w:rPr>
        <w:t> </w:t>
      </w:r>
      <w:r>
        <w:rPr>
          <w:color w:val="231F20"/>
          <w:w w:val="105"/>
        </w:rPr>
        <w:t>through</w:t>
      </w:r>
      <w:r>
        <w:rPr>
          <w:color w:val="231F20"/>
          <w:spacing w:val="-9"/>
          <w:w w:val="105"/>
        </w:rPr>
        <w:t> </w:t>
      </w:r>
      <w:r>
        <w:rPr>
          <w:color w:val="231F20"/>
          <w:w w:val="105"/>
        </w:rPr>
        <w:t>the</w:t>
      </w:r>
      <w:r>
        <w:rPr>
          <w:color w:val="231F20"/>
          <w:spacing w:val="-9"/>
          <w:w w:val="105"/>
        </w:rPr>
        <w:t> </w:t>
      </w:r>
      <w:r>
        <w:rPr>
          <w:color w:val="231F20"/>
          <w:w w:val="105"/>
        </w:rPr>
        <w:t>different</w:t>
      </w:r>
      <w:r>
        <w:rPr>
          <w:color w:val="231F20"/>
          <w:spacing w:val="-9"/>
          <w:w w:val="105"/>
        </w:rPr>
        <w:t> </w:t>
      </w:r>
      <w:r>
        <w:rPr>
          <w:color w:val="231F20"/>
          <w:w w:val="105"/>
        </w:rPr>
        <w:t>parts</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nephron</w:t>
      </w:r>
      <w:r>
        <w:rPr>
          <w:color w:val="231F20"/>
          <w:spacing w:val="-9"/>
          <w:w w:val="105"/>
        </w:rPr>
        <w:t> </w:t>
      </w:r>
      <w:r>
        <w:rPr>
          <w:color w:val="231F20"/>
          <w:spacing w:val="-5"/>
          <w:w w:val="105"/>
        </w:rPr>
        <w:t>are </w:t>
      </w:r>
      <w:r>
        <w:rPr>
          <w:color w:val="231F20"/>
          <w:w w:val="105"/>
        </w:rPr>
        <w:t>shown in </w:t>
      </w:r>
      <w:hyperlink w:history="true" w:anchor="_bookmark74">
        <w:r>
          <w:rPr>
            <w:b/>
            <w:color w:val="0080AC"/>
            <w:w w:val="105"/>
          </w:rPr>
          <w:t>Figure</w:t>
        </w:r>
        <w:r>
          <w:rPr>
            <w:b/>
            <w:color w:val="0080AC"/>
            <w:spacing w:val="8"/>
            <w:w w:val="105"/>
          </w:rPr>
          <w:t> </w:t>
        </w:r>
        <w:r>
          <w:rPr>
            <w:b/>
            <w:color w:val="0080AC"/>
            <w:w w:val="105"/>
          </w:rPr>
          <w:t>29-8</w:t>
        </w:r>
      </w:hyperlink>
      <w:r>
        <w:rPr>
          <w:color w:val="231F20"/>
          <w:w w:val="105"/>
        </w:rPr>
        <w:t>.</w:t>
      </w:r>
    </w:p>
    <w:p>
      <w:pPr>
        <w:pStyle w:val="BodyText"/>
        <w:spacing w:line="249" w:lineRule="auto" w:before="242"/>
        <w:ind w:left="319" w:right="1437"/>
        <w:jc w:val="both"/>
      </w:pPr>
      <w:r>
        <w:rPr>
          <w:rFonts w:ascii="Trebuchet MS" w:hAnsi="Trebuchet MS"/>
          <w:b/>
          <w:color w:val="231F20"/>
          <w:w w:val="105"/>
          <w:sz w:val="19"/>
        </w:rPr>
        <w:t>Proximal</w:t>
      </w:r>
      <w:r>
        <w:rPr>
          <w:rFonts w:ascii="Trebuchet MS" w:hAnsi="Trebuchet MS"/>
          <w:b/>
          <w:color w:val="231F20"/>
          <w:spacing w:val="-15"/>
          <w:w w:val="105"/>
          <w:sz w:val="19"/>
        </w:rPr>
        <w:t> </w:t>
      </w:r>
      <w:r>
        <w:rPr>
          <w:rFonts w:ascii="Trebuchet MS" w:hAnsi="Trebuchet MS"/>
          <w:b/>
          <w:color w:val="231F20"/>
          <w:spacing w:val="-3"/>
          <w:w w:val="105"/>
          <w:sz w:val="19"/>
        </w:rPr>
        <w:t>Tubule.</w:t>
      </w:r>
      <w:r>
        <w:rPr>
          <w:rFonts w:ascii="Trebuchet MS" w:hAnsi="Trebuchet MS"/>
          <w:b/>
          <w:color w:val="231F20"/>
          <w:spacing w:val="4"/>
          <w:w w:val="105"/>
          <w:sz w:val="19"/>
        </w:rPr>
        <w:t> </w:t>
      </w:r>
      <w:r>
        <w:rPr>
          <w:color w:val="231F20"/>
          <w:w w:val="105"/>
        </w:rPr>
        <w:t>About</w:t>
      </w:r>
      <w:r>
        <w:rPr>
          <w:color w:val="231F20"/>
          <w:spacing w:val="-11"/>
          <w:w w:val="105"/>
        </w:rPr>
        <w:t> </w:t>
      </w:r>
      <w:r>
        <w:rPr>
          <w:color w:val="231F20"/>
          <w:w w:val="105"/>
        </w:rPr>
        <w:t>65</w:t>
      </w:r>
      <w:r>
        <w:rPr>
          <w:color w:val="231F20"/>
          <w:spacing w:val="-12"/>
          <w:w w:val="105"/>
        </w:rPr>
        <w:t> </w:t>
      </w:r>
      <w:r>
        <w:rPr>
          <w:color w:val="231F20"/>
          <w:w w:val="105"/>
        </w:rPr>
        <w:t>percent</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filtered</w:t>
      </w:r>
      <w:r>
        <w:rPr>
          <w:color w:val="231F20"/>
          <w:spacing w:val="-12"/>
          <w:w w:val="105"/>
        </w:rPr>
        <w:t> </w:t>
      </w:r>
      <w:r>
        <w:rPr>
          <w:color w:val="231F20"/>
          <w:w w:val="105"/>
        </w:rPr>
        <w:t>elec­ trolytes is reabsorbed in the proximal tubule. However, the</w:t>
      </w:r>
      <w:r>
        <w:rPr>
          <w:color w:val="231F20"/>
          <w:spacing w:val="-15"/>
          <w:w w:val="105"/>
        </w:rPr>
        <w:t> </w:t>
      </w:r>
      <w:r>
        <w:rPr>
          <w:color w:val="231F20"/>
          <w:w w:val="105"/>
        </w:rPr>
        <w:t>proximal</w:t>
      </w:r>
      <w:r>
        <w:rPr>
          <w:color w:val="231F20"/>
          <w:spacing w:val="-14"/>
          <w:w w:val="105"/>
        </w:rPr>
        <w:t> </w:t>
      </w:r>
      <w:r>
        <w:rPr>
          <w:color w:val="231F20"/>
          <w:w w:val="105"/>
        </w:rPr>
        <w:t>tubular</w:t>
      </w:r>
      <w:r>
        <w:rPr>
          <w:color w:val="231F20"/>
          <w:spacing w:val="-15"/>
          <w:w w:val="105"/>
        </w:rPr>
        <w:t> </w:t>
      </w:r>
      <w:r>
        <w:rPr>
          <w:color w:val="231F20"/>
          <w:w w:val="105"/>
        </w:rPr>
        <w:t>membranes</w:t>
      </w:r>
      <w:r>
        <w:rPr>
          <w:color w:val="231F20"/>
          <w:spacing w:val="-14"/>
          <w:w w:val="105"/>
        </w:rPr>
        <w:t> </w:t>
      </w:r>
      <w:r>
        <w:rPr>
          <w:color w:val="231F20"/>
          <w:w w:val="105"/>
        </w:rPr>
        <w:t>are</w:t>
      </w:r>
      <w:r>
        <w:rPr>
          <w:color w:val="231F20"/>
          <w:spacing w:val="-15"/>
          <w:w w:val="105"/>
        </w:rPr>
        <w:t> </w:t>
      </w:r>
      <w:r>
        <w:rPr>
          <w:color w:val="231F20"/>
          <w:w w:val="105"/>
        </w:rPr>
        <w:t>highly</w:t>
      </w:r>
      <w:r>
        <w:rPr>
          <w:color w:val="231F20"/>
          <w:spacing w:val="-14"/>
          <w:w w:val="105"/>
        </w:rPr>
        <w:t> </w:t>
      </w:r>
      <w:r>
        <w:rPr>
          <w:color w:val="231F20"/>
          <w:w w:val="105"/>
        </w:rPr>
        <w:t>permeable</w:t>
      </w:r>
      <w:r>
        <w:rPr>
          <w:color w:val="231F20"/>
          <w:spacing w:val="-15"/>
          <w:w w:val="105"/>
        </w:rPr>
        <w:t> </w:t>
      </w:r>
      <w:r>
        <w:rPr>
          <w:color w:val="231F20"/>
          <w:w w:val="105"/>
        </w:rPr>
        <w:t>to </w:t>
      </w:r>
      <w:r>
        <w:rPr>
          <w:color w:val="231F20"/>
          <w:spacing w:val="-3"/>
          <w:w w:val="105"/>
        </w:rPr>
        <w:t>water,</w:t>
      </w:r>
      <w:r>
        <w:rPr>
          <w:color w:val="231F20"/>
          <w:spacing w:val="-22"/>
          <w:w w:val="105"/>
        </w:rPr>
        <w:t> </w:t>
      </w:r>
      <w:r>
        <w:rPr>
          <w:color w:val="231F20"/>
          <w:w w:val="105"/>
        </w:rPr>
        <w:t>so</w:t>
      </w:r>
      <w:r>
        <w:rPr>
          <w:color w:val="231F20"/>
          <w:spacing w:val="-21"/>
          <w:w w:val="105"/>
        </w:rPr>
        <w:t> </w:t>
      </w:r>
      <w:r>
        <w:rPr>
          <w:color w:val="231F20"/>
          <w:w w:val="105"/>
        </w:rPr>
        <w:t>whenever</w:t>
      </w:r>
      <w:r>
        <w:rPr>
          <w:color w:val="231F20"/>
          <w:spacing w:val="-21"/>
          <w:w w:val="105"/>
        </w:rPr>
        <w:t> </w:t>
      </w:r>
      <w:r>
        <w:rPr>
          <w:color w:val="231F20"/>
          <w:w w:val="105"/>
        </w:rPr>
        <w:t>solutes</w:t>
      </w:r>
      <w:r>
        <w:rPr>
          <w:color w:val="231F20"/>
          <w:spacing w:val="-21"/>
          <w:w w:val="105"/>
        </w:rPr>
        <w:t> </w:t>
      </w:r>
      <w:r>
        <w:rPr>
          <w:color w:val="231F20"/>
          <w:w w:val="105"/>
        </w:rPr>
        <w:t>are</w:t>
      </w:r>
      <w:r>
        <w:rPr>
          <w:color w:val="231F20"/>
          <w:spacing w:val="-21"/>
          <w:w w:val="105"/>
        </w:rPr>
        <w:t> </w:t>
      </w:r>
      <w:r>
        <w:rPr>
          <w:color w:val="231F20"/>
          <w:w w:val="105"/>
        </w:rPr>
        <w:t>reabsorbed,</w:t>
      </w:r>
      <w:r>
        <w:rPr>
          <w:color w:val="231F20"/>
          <w:spacing w:val="-21"/>
          <w:w w:val="105"/>
        </w:rPr>
        <w:t> </w:t>
      </w:r>
      <w:r>
        <w:rPr>
          <w:color w:val="231F20"/>
          <w:w w:val="105"/>
        </w:rPr>
        <w:t>water</w:t>
      </w:r>
      <w:r>
        <w:rPr>
          <w:color w:val="231F20"/>
          <w:spacing w:val="-22"/>
          <w:w w:val="105"/>
        </w:rPr>
        <w:t> </w:t>
      </w:r>
      <w:r>
        <w:rPr>
          <w:color w:val="231F20"/>
          <w:w w:val="105"/>
        </w:rPr>
        <w:t>also</w:t>
      </w:r>
      <w:r>
        <w:rPr>
          <w:color w:val="231F20"/>
          <w:spacing w:val="-21"/>
          <w:w w:val="105"/>
        </w:rPr>
        <w:t> </w:t>
      </w:r>
      <w:r>
        <w:rPr>
          <w:color w:val="231F20"/>
          <w:w w:val="105"/>
        </w:rPr>
        <w:t>dif­ fuses through the tubular membrane by osmosis. </w:t>
      </w:r>
      <w:r>
        <w:rPr>
          <w:color w:val="231F20"/>
          <w:spacing w:val="-4"/>
          <w:w w:val="105"/>
        </w:rPr>
        <w:t>Water </w:t>
      </w:r>
      <w:r>
        <w:rPr>
          <w:color w:val="231F20"/>
          <w:w w:val="105"/>
        </w:rPr>
        <w:t>diffusion</w:t>
      </w:r>
      <w:r>
        <w:rPr>
          <w:color w:val="231F20"/>
          <w:spacing w:val="-12"/>
          <w:w w:val="105"/>
        </w:rPr>
        <w:t> </w:t>
      </w:r>
      <w:r>
        <w:rPr>
          <w:color w:val="231F20"/>
          <w:w w:val="105"/>
        </w:rPr>
        <w:t>across</w:t>
      </w:r>
      <w:r>
        <w:rPr>
          <w:color w:val="231F20"/>
          <w:spacing w:val="-11"/>
          <w:w w:val="105"/>
        </w:rPr>
        <w:t> </w:t>
      </w:r>
      <w:r>
        <w:rPr>
          <w:color w:val="231F20"/>
          <w:w w:val="105"/>
        </w:rPr>
        <w:t>the</w:t>
      </w:r>
      <w:r>
        <w:rPr>
          <w:color w:val="231F20"/>
          <w:spacing w:val="-11"/>
          <w:w w:val="105"/>
        </w:rPr>
        <w:t> </w:t>
      </w:r>
      <w:r>
        <w:rPr>
          <w:color w:val="231F20"/>
          <w:w w:val="105"/>
        </w:rPr>
        <w:t>proximal</w:t>
      </w:r>
      <w:r>
        <w:rPr>
          <w:color w:val="231F20"/>
          <w:spacing w:val="-11"/>
          <w:w w:val="105"/>
        </w:rPr>
        <w:t> </w:t>
      </w:r>
      <w:r>
        <w:rPr>
          <w:color w:val="231F20"/>
          <w:w w:val="105"/>
        </w:rPr>
        <w:t>tubular</w:t>
      </w:r>
      <w:r>
        <w:rPr>
          <w:color w:val="231F20"/>
          <w:spacing w:val="-11"/>
          <w:w w:val="105"/>
        </w:rPr>
        <w:t> </w:t>
      </w:r>
      <w:r>
        <w:rPr>
          <w:color w:val="231F20"/>
          <w:w w:val="105"/>
        </w:rPr>
        <w:t>epithelium</w:t>
      </w:r>
      <w:r>
        <w:rPr>
          <w:color w:val="231F20"/>
          <w:spacing w:val="-11"/>
          <w:w w:val="105"/>
        </w:rPr>
        <w:t> </w:t>
      </w:r>
      <w:r>
        <w:rPr>
          <w:color w:val="231F20"/>
          <w:w w:val="105"/>
        </w:rPr>
        <w:t>is</w:t>
      </w:r>
      <w:r>
        <w:rPr>
          <w:color w:val="231F20"/>
          <w:spacing w:val="-11"/>
          <w:w w:val="105"/>
        </w:rPr>
        <w:t> </w:t>
      </w:r>
      <w:r>
        <w:rPr>
          <w:color w:val="231F20"/>
          <w:w w:val="105"/>
        </w:rPr>
        <w:t>aided by the water channel </w:t>
      </w:r>
      <w:r>
        <w:rPr>
          <w:i/>
          <w:color w:val="231F20"/>
          <w:w w:val="105"/>
        </w:rPr>
        <w:t>aquaporin 1 (AQP-1)</w:t>
      </w:r>
      <w:r>
        <w:rPr>
          <w:color w:val="231F20"/>
          <w:w w:val="105"/>
        </w:rPr>
        <w:t>. Therefore, the osmolarity of the fluid remains about the same </w:t>
      </w:r>
      <w:r>
        <w:rPr>
          <w:color w:val="231F20"/>
          <w:spacing w:val="-6"/>
          <w:w w:val="105"/>
        </w:rPr>
        <w:t>as </w:t>
      </w:r>
      <w:r>
        <w:rPr>
          <w:color w:val="231F20"/>
          <w:w w:val="105"/>
        </w:rPr>
        <w:t>the glomerular filtrate—300</w:t>
      </w:r>
      <w:r>
        <w:rPr>
          <w:color w:val="231F20"/>
          <w:spacing w:val="3"/>
          <w:w w:val="105"/>
        </w:rPr>
        <w:t> </w:t>
      </w:r>
      <w:r>
        <w:rPr>
          <w:color w:val="231F20"/>
          <w:w w:val="105"/>
        </w:rPr>
        <w:t>mOsm/L.</w:t>
      </w:r>
    </w:p>
    <w:p>
      <w:pPr>
        <w:pStyle w:val="BodyText"/>
        <w:spacing w:line="249" w:lineRule="auto" w:before="248"/>
        <w:ind w:left="319" w:right="1437"/>
        <w:jc w:val="both"/>
      </w:pPr>
      <w:r>
        <w:rPr>
          <w:rFonts w:ascii="Trebuchet MS" w:hAnsi="Trebuchet MS"/>
          <w:b/>
          <w:color w:val="231F20"/>
          <w:w w:val="105"/>
          <w:sz w:val="19"/>
        </w:rPr>
        <w:t>Descending Loop of Henle. </w:t>
      </w:r>
      <w:r>
        <w:rPr>
          <w:color w:val="231F20"/>
          <w:w w:val="105"/>
        </w:rPr>
        <w:t>As fluid flows down </w:t>
      </w:r>
      <w:r>
        <w:rPr>
          <w:color w:val="231F20"/>
          <w:spacing w:val="-6"/>
          <w:w w:val="105"/>
        </w:rPr>
        <w:t>the </w:t>
      </w:r>
      <w:r>
        <w:rPr>
          <w:color w:val="231F20"/>
          <w:w w:val="105"/>
        </w:rPr>
        <w:t>descending loop of Henle, water is absorbed into the medulla. The descending limb also contains AQP­1 </w:t>
      </w:r>
      <w:r>
        <w:rPr>
          <w:color w:val="231F20"/>
          <w:spacing w:val="-4"/>
          <w:w w:val="105"/>
        </w:rPr>
        <w:t>and </w:t>
      </w:r>
      <w:r>
        <w:rPr>
          <w:color w:val="231F20"/>
          <w:w w:val="105"/>
        </w:rPr>
        <w:t>is</w:t>
      </w:r>
      <w:r>
        <w:rPr>
          <w:color w:val="231F20"/>
          <w:spacing w:val="-8"/>
          <w:w w:val="105"/>
        </w:rPr>
        <w:t> </w:t>
      </w:r>
      <w:r>
        <w:rPr>
          <w:color w:val="231F20"/>
          <w:w w:val="105"/>
        </w:rPr>
        <w:t>highly</w:t>
      </w:r>
      <w:r>
        <w:rPr>
          <w:color w:val="231F20"/>
          <w:spacing w:val="-7"/>
          <w:w w:val="105"/>
        </w:rPr>
        <w:t> </w:t>
      </w:r>
      <w:r>
        <w:rPr>
          <w:color w:val="231F20"/>
          <w:w w:val="105"/>
        </w:rPr>
        <w:t>permeable</w:t>
      </w:r>
      <w:r>
        <w:rPr>
          <w:color w:val="231F20"/>
          <w:spacing w:val="-8"/>
          <w:w w:val="105"/>
        </w:rPr>
        <w:t> </w:t>
      </w:r>
      <w:r>
        <w:rPr>
          <w:color w:val="231F20"/>
          <w:w w:val="105"/>
        </w:rPr>
        <w:t>to</w:t>
      </w:r>
      <w:r>
        <w:rPr>
          <w:color w:val="231F20"/>
          <w:spacing w:val="-7"/>
          <w:w w:val="105"/>
        </w:rPr>
        <w:t> </w:t>
      </w:r>
      <w:r>
        <w:rPr>
          <w:color w:val="231F20"/>
          <w:w w:val="105"/>
        </w:rPr>
        <w:t>water</w:t>
      </w:r>
      <w:r>
        <w:rPr>
          <w:color w:val="231F20"/>
          <w:spacing w:val="-7"/>
          <w:w w:val="105"/>
        </w:rPr>
        <w:t> </w:t>
      </w:r>
      <w:r>
        <w:rPr>
          <w:color w:val="231F20"/>
          <w:w w:val="105"/>
        </w:rPr>
        <w:t>but</w:t>
      </w:r>
      <w:r>
        <w:rPr>
          <w:color w:val="231F20"/>
          <w:spacing w:val="-8"/>
          <w:w w:val="105"/>
        </w:rPr>
        <w:t> </w:t>
      </w:r>
      <w:r>
        <w:rPr>
          <w:color w:val="231F20"/>
          <w:w w:val="105"/>
        </w:rPr>
        <w:t>much</w:t>
      </w:r>
      <w:r>
        <w:rPr>
          <w:color w:val="231F20"/>
          <w:spacing w:val="-7"/>
          <w:w w:val="105"/>
        </w:rPr>
        <w:t> </w:t>
      </w:r>
      <w:r>
        <w:rPr>
          <w:color w:val="231F20"/>
          <w:w w:val="105"/>
        </w:rPr>
        <w:t>less</w:t>
      </w:r>
      <w:r>
        <w:rPr>
          <w:color w:val="231F20"/>
          <w:spacing w:val="-7"/>
          <w:w w:val="105"/>
        </w:rPr>
        <w:t> </w:t>
      </w:r>
      <w:r>
        <w:rPr>
          <w:color w:val="231F20"/>
          <w:w w:val="105"/>
        </w:rPr>
        <w:t>permeable</w:t>
      </w:r>
      <w:r>
        <w:rPr>
          <w:color w:val="231F20"/>
          <w:spacing w:val="-8"/>
          <w:w w:val="105"/>
        </w:rPr>
        <w:t> </w:t>
      </w:r>
      <w:r>
        <w:rPr>
          <w:color w:val="231F20"/>
          <w:w w:val="105"/>
        </w:rPr>
        <w:t>to sodium chloride and urea. Therefore, the osmolarity of the fluid flowing through the descending loop</w:t>
      </w:r>
      <w:r>
        <w:rPr>
          <w:color w:val="231F20"/>
          <w:spacing w:val="-26"/>
          <w:w w:val="105"/>
        </w:rPr>
        <w:t> </w:t>
      </w:r>
      <w:r>
        <w:rPr>
          <w:color w:val="231F20"/>
          <w:w w:val="105"/>
        </w:rPr>
        <w:t>gradually increases</w:t>
      </w:r>
      <w:r>
        <w:rPr>
          <w:color w:val="231F20"/>
          <w:spacing w:val="-17"/>
          <w:w w:val="105"/>
        </w:rPr>
        <w:t> </w:t>
      </w:r>
      <w:r>
        <w:rPr>
          <w:color w:val="231F20"/>
          <w:w w:val="105"/>
        </w:rPr>
        <w:t>until</w:t>
      </w:r>
      <w:r>
        <w:rPr>
          <w:color w:val="231F20"/>
          <w:spacing w:val="-17"/>
          <w:w w:val="105"/>
        </w:rPr>
        <w:t> </w:t>
      </w:r>
      <w:r>
        <w:rPr>
          <w:color w:val="231F20"/>
          <w:w w:val="105"/>
        </w:rPr>
        <w:t>it</w:t>
      </w:r>
      <w:r>
        <w:rPr>
          <w:color w:val="231F20"/>
          <w:spacing w:val="-17"/>
          <w:w w:val="105"/>
        </w:rPr>
        <w:t> </w:t>
      </w:r>
      <w:r>
        <w:rPr>
          <w:color w:val="231F20"/>
          <w:w w:val="105"/>
        </w:rPr>
        <w:t>is</w:t>
      </w:r>
      <w:r>
        <w:rPr>
          <w:color w:val="231F20"/>
          <w:spacing w:val="-17"/>
          <w:w w:val="105"/>
        </w:rPr>
        <w:t> </w:t>
      </w:r>
      <w:r>
        <w:rPr>
          <w:color w:val="231F20"/>
          <w:w w:val="105"/>
        </w:rPr>
        <w:t>nearly</w:t>
      </w:r>
      <w:r>
        <w:rPr>
          <w:color w:val="231F20"/>
          <w:spacing w:val="-17"/>
          <w:w w:val="105"/>
        </w:rPr>
        <w:t> </w:t>
      </w:r>
      <w:r>
        <w:rPr>
          <w:color w:val="231F20"/>
          <w:w w:val="105"/>
        </w:rPr>
        <w:t>equal</w:t>
      </w:r>
      <w:r>
        <w:rPr>
          <w:color w:val="231F20"/>
          <w:spacing w:val="-17"/>
          <w:w w:val="105"/>
        </w:rPr>
        <w:t> </w:t>
      </w:r>
      <w:r>
        <w:rPr>
          <w:color w:val="231F20"/>
          <w:w w:val="105"/>
        </w:rPr>
        <w:t>to</w:t>
      </w:r>
      <w:r>
        <w:rPr>
          <w:color w:val="231F20"/>
          <w:spacing w:val="-17"/>
          <w:w w:val="105"/>
        </w:rPr>
        <w:t> </w:t>
      </w:r>
      <w:r>
        <w:rPr>
          <w:color w:val="231F20"/>
          <w:w w:val="105"/>
        </w:rPr>
        <w:t>that</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surrounding</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pPr>
    </w:p>
    <w:p>
      <w:pPr>
        <w:spacing w:after="0"/>
        <w:sectPr>
          <w:headerReference w:type="even" r:id="rId817"/>
          <w:pgSz w:w="12240" w:h="15660"/>
          <w:pgMar w:header="0" w:footer="567" w:top="0" w:bottom="760" w:left="0" w:right="0"/>
        </w:sectPr>
      </w:pPr>
    </w:p>
    <w:p>
      <w:pPr>
        <w:pStyle w:val="BodyText"/>
        <w:rPr>
          <w:sz w:val="18"/>
        </w:rPr>
      </w:pPr>
    </w:p>
    <w:p>
      <w:pPr>
        <w:pStyle w:val="BodyText"/>
        <w:spacing w:before="9"/>
        <w:rPr>
          <w:sz w:val="19"/>
        </w:rPr>
      </w:pPr>
    </w:p>
    <w:p>
      <w:pPr>
        <w:spacing w:before="0"/>
        <w:ind w:left="0" w:right="0" w:firstLine="0"/>
        <w:jc w:val="right"/>
        <w:rPr>
          <w:rFonts w:ascii="Helvetica"/>
          <w:sz w:val="16"/>
        </w:rPr>
      </w:pPr>
      <w:r>
        <w:rPr/>
        <w:pict>
          <v:group style="position:absolute;margin-left:298.715607pt;margin-top:-25.750965pt;width:258.6pt;height:184pt;mso-position-horizontal-relative:page;mso-position-vertical-relative:paragraph;z-index:-272945152" coordorigin="5974,-515" coordsize="5172,3680">
            <v:shape style="position:absolute;left:6895;top:24;width:4011;height:2691" coordorigin="6896,25" coordsize="4011,2691" path="m7811,1276l7534,1276,7573,1294,7600,1332,7619,1383,7634,1439,7663,1550,7707,1720,7765,1946,7822,2143,7860,2253,7896,2316,7947,2371,7958,2384,7977,2405,8005,2433,8044,2464,8096,2498,8161,2532,8242,2564,8339,2590,8455,2610,8591,2621,9213,2651,9258,2652,9305,2653,9640,2662,10894,2715,10896,2337,8445,2337,8339,2336,8256,2323,8193,2300,8147,2271,8114,2241,8093,2212,8078,2190,8061,2153,8038,2090,8010,2008,7981,1915,7952,1816,7925,1720,7903,1633,7826,1332,7811,1276xm10906,25l10237,31,10160,43,10112,74,10087,117,10080,162,10077,206,10070,266,10063,332,10060,394,10059,430,10056,464,10045,517,10026,609,9993,763,9920,1065,9827,1418,9746,1711,9711,1833,9674,1925,9631,1996,9583,2048,9527,2084,9464,2108,9392,2123,9311,2133,9217,2146,9120,2164,9026,2187,8943,2209,8878,2230,8835,2246,8772,2268,8686,2293,8611,2313,8579,2321,8445,2337,10896,2337,10906,25xm7428,100l7387,120,7353,166,7330,211,7321,231,7191,709,7052,1359,6941,1931,6896,2177,7121,1822,7239,1636,7291,1558,7315,1526,7335,1497,7349,1466,7364,1434,7384,1401,7412,1362,7447,1320,7489,1287,7534,1276,7811,1276,7699,852,7580,408,7528,212,7502,147,7482,114,7461,102,7428,100xe" filled="true" fillcolor="#ffe098" stroked="false">
              <v:path arrowok="t"/>
              <v:fill type="solid"/>
            </v:shape>
            <v:shape style="position:absolute;left:-65;top:14074;width:65;height:2320" coordorigin="-65,14075" coordsize="65,2320" path="m6039,104l5974,104m6039,799l5974,799m6039,1495l5974,1495m6039,2191l5974,2191m6039,2423l5974,2423e" filled="false" stroked="true" strokeweight="1pt" strokecolor="#231f20">
              <v:path arrowok="t"/>
              <v:stroke dashstyle="solid"/>
            </v:shape>
            <v:shape style="position:absolute;left:0;top:11922;width:4874;height:2691" coordorigin="0,11923" coordsize="4874,2691" path="m6032,2177l6896,2177,7057,1284,7155,784,7230,494,7321,231,7351,155,7372,116,7394,102,7428,100,7467,117,7499,156,7520,195,7528,212,7720,928,7823,1314,7873,1505,7903,1633,7925,1720,7952,1816,7981,1915,8010,2008,8038,2090,8061,2153,8078,2190,8093,2212,8114,2241,8147,2271,8193,2300,8256,2323,8339,2336,8445,2337,8579,2321,8696,2292,8761,2274,8800,2261,8835,2246,8878,2230,8943,2209,9026,2187,9120,2164,9217,2146,9311,2133,9392,2123,9464,2108,9527,2084,9583,2048,9631,1996,9674,1925,9711,1833,9836,1394,9907,1136,9951,959,9993,763,10026,609,10045,517,10056,464,10059,430,10060,394,10063,332,10070,266,10077,206,10080,162,10087,117,10112,74,10160,43,10237,31,10378,30,10604,28,10814,26,10906,25m6896,2177l7121,1822,7239,1636,7291,1558,7315,1526,7335,1497,7349,1466,7364,1434,7384,1401,7412,1362,7447,1320,7489,1287,7534,1276,7573,1294,7600,1332,7619,1383,7634,1439,7663,1550,7707,1720,7748,1877,7765,1946,7822,2143,7860,2253,7896,2316,7947,2371,7958,2384,7977,2405,8005,2433,8044,2464,8096,2498,8161,2532,8242,2564,8339,2590,8455,2610,8591,2621,8740,2627,8862,2633,8961,2638,9042,2642,9109,2646,9164,2649,9213,2651,9258,2652,9305,2653,9640,2662,10177,2684,10675,2705,10894,2715e" filled="false" stroked="true" strokeweight="1.25pt" strokecolor="#f0535f">
              <v:path arrowok="t"/>
              <v:stroke dashstyle="solid"/>
            </v:shape>
            <v:shape style="position:absolute;left:-65;top:16626;width:4109;height:510" coordorigin="-65,16626" coordsize="4109,510" path="m6039,2655l5974,2655m6039,2887l5974,2887m6900,2888l6900,3165m8153,2888l8153,3165m9022,2888l9022,3165m10082,2888l10082,3165e" filled="false" stroked="true" strokeweight="1pt" strokecolor="#231f20">
              <v:path arrowok="t"/>
              <v:stroke dashstyle="solid"/>
            </v:shape>
            <v:shape style="position:absolute;left:0;top:14074;width:5097;height:3394" coordorigin="0,14075" coordsize="5097,3394" path="m6039,-505l6039,2887,11135,2887m6900,2347l6900,2888e" filled="false" stroked="true" strokeweight="1pt" strokecolor="#231f20">
              <v:path arrowok="t"/>
              <v:stroke dashstyle="solid"/>
            </v:shape>
            <v:line style="position:absolute" from="6900,-435" to="6900,2194" stroked="true" strokeweight=".75pt" strokecolor="#231f20">
              <v:stroke dashstyle="solid"/>
            </v:line>
            <v:line style="position:absolute" from="8153,2791" to="8153,2888" stroked="true" strokeweight="1pt" strokecolor="#231f20">
              <v:stroke dashstyle="solid"/>
            </v:line>
            <v:shape style="position:absolute;left:0;top:14074;width:870;height:3324" coordorigin="0,14075" coordsize="870,3324" path="m8153,-435l8153,2623m8597,-435l8597,2888m9022,-435l9022,2888e" filled="false" stroked="true" strokeweight=".75pt" strokecolor="#231f20">
              <v:path arrowok="t"/>
              <v:stroke dashstyle="solid"/>
            </v:shape>
            <v:line style="position:absolute" from="9523,1997" to="9523,2888" stroked="true" strokeweight="1pt" strokecolor="#231f20">
              <v:stroke dashstyle="solid"/>
            </v:line>
            <v:shape style="position:absolute;left:0;top:14074;width:560;height:3324" coordorigin="0,14075" coordsize="560,3324" path="m9523,-435l9523,1846m10082,-435l10082,2888e" filled="false" stroked="true" strokeweight=".75pt" strokecolor="#231f20">
              <v:path arrowok="t"/>
              <v:stroke dashstyle="solid"/>
            </v:shape>
            <v:line style="position:absolute" from="10388,2576" to="10388,244" stroked="true" strokeweight="1.5pt" strokecolor="#231f20">
              <v:stroke dashstyle="solid"/>
            </v:line>
            <v:shape style="position:absolute;left:10334;top:133;width:105;height:161" type="#_x0000_t75" stroked="false">
              <v:imagedata r:id="rId818" o:title=""/>
            </v:shape>
            <w10:wrap type="none"/>
          </v:group>
        </w:pict>
      </w:r>
      <w:r>
        <w:rPr>
          <w:rFonts w:ascii="Helvetica"/>
          <w:color w:val="231F20"/>
          <w:spacing w:val="-1"/>
          <w:sz w:val="16"/>
        </w:rPr>
        <w:t>1200</w:t>
      </w:r>
    </w:p>
    <w:p>
      <w:pPr>
        <w:pStyle w:val="BodyText"/>
        <w:rPr>
          <w:rFonts w:ascii="Helvetica"/>
          <w:sz w:val="18"/>
        </w:rPr>
      </w:pPr>
    </w:p>
    <w:p>
      <w:pPr>
        <w:pStyle w:val="BodyText"/>
        <w:rPr>
          <w:rFonts w:ascii="Helvetica"/>
          <w:sz w:val="18"/>
        </w:rPr>
      </w:pPr>
    </w:p>
    <w:p>
      <w:pPr>
        <w:spacing w:before="107"/>
        <w:ind w:left="0" w:right="0" w:firstLine="0"/>
        <w:jc w:val="right"/>
        <w:rPr>
          <w:rFonts w:ascii="Helvetica"/>
          <w:sz w:val="16"/>
        </w:rPr>
      </w:pPr>
      <w:r>
        <w:rPr/>
        <w:pict>
          <v:shape style="position:absolute;margin-left:266.674591pt;margin-top:-6.812972pt;width:11.55pt;height:85.6pt;mso-position-horizontal-relative:page;mso-position-vertical-relative:paragraph;z-index:25246208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Osmolarity (mOsm/L)</w:t>
                  </w:r>
                </w:p>
              </w:txbxContent>
            </v:textbox>
            <w10:wrap type="none"/>
          </v:shape>
        </w:pict>
      </w:r>
      <w:r>
        <w:rPr>
          <w:rFonts w:ascii="Helvetica"/>
          <w:color w:val="231F20"/>
          <w:w w:val="95"/>
          <w:sz w:val="16"/>
        </w:rPr>
        <w:t>900</w:t>
      </w:r>
    </w:p>
    <w:p>
      <w:pPr>
        <w:pStyle w:val="BodyText"/>
        <w:rPr>
          <w:rFonts w:ascii="Helvetica"/>
          <w:sz w:val="18"/>
        </w:rPr>
      </w:pPr>
    </w:p>
    <w:p>
      <w:pPr>
        <w:pStyle w:val="BodyText"/>
        <w:spacing w:before="5"/>
        <w:rPr>
          <w:rFonts w:ascii="Helvetica"/>
          <w:sz w:val="26"/>
        </w:rPr>
      </w:pPr>
    </w:p>
    <w:p>
      <w:pPr>
        <w:spacing w:before="0"/>
        <w:ind w:left="0" w:right="0" w:firstLine="0"/>
        <w:jc w:val="right"/>
        <w:rPr>
          <w:rFonts w:ascii="Helvetica"/>
          <w:sz w:val="16"/>
        </w:rPr>
      </w:pPr>
      <w:r>
        <w:rPr>
          <w:rFonts w:ascii="Helvetica"/>
          <w:color w:val="231F20"/>
          <w:w w:val="95"/>
          <w:sz w:val="16"/>
        </w:rPr>
        <w:t>600</w:t>
      </w:r>
    </w:p>
    <w:p>
      <w:pPr>
        <w:pStyle w:val="BodyText"/>
        <w:spacing w:before="4"/>
        <w:rPr>
          <w:rFonts w:ascii="Helvetica"/>
          <w:sz w:val="26"/>
        </w:rPr>
      </w:pPr>
      <w:r>
        <w:rPr/>
        <w:br w:type="column"/>
      </w:r>
      <w:r>
        <w:rPr>
          <w:rFonts w:ascii="Helvetica"/>
          <w:sz w:val="26"/>
        </w:rPr>
      </w:r>
    </w:p>
    <w:p>
      <w:pPr>
        <w:spacing w:before="0"/>
        <w:ind w:left="0" w:right="0" w:firstLine="0"/>
        <w:jc w:val="right"/>
        <w:rPr>
          <w:rFonts w:ascii="Helvetica"/>
          <w:sz w:val="16"/>
        </w:rPr>
      </w:pPr>
      <w:r>
        <w:rPr/>
        <w:pict>
          <v:shape style="position:absolute;margin-left:578.900024pt;margin-top:42.979626pt;width:15.9pt;height:53.35pt;mso-position-horizontal-relative:page;mso-position-vertical-relative:paragraph;z-index:25246105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412.267487pt;margin-top:22.495823pt;width:11.25pt;height:61.6pt;mso-position-horizontal-relative:page;mso-position-vertical-relative:paragraph;z-index:252463104"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Diluting segment</w:t>
                  </w:r>
                </w:p>
              </w:txbxContent>
            </v:textbox>
            <w10:wrap type="none"/>
          </v:shape>
        </w:pict>
      </w:r>
      <w:r>
        <w:rPr/>
        <w:pict>
          <v:shape style="position:absolute;margin-left:434.00351pt;margin-top:34.047825pt;width:11.25pt;height:38.5pt;mso-position-horizontal-relative:page;mso-position-vertical-relative:paragraph;z-index:252464128"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Late distal</w:t>
                  </w:r>
                </w:p>
              </w:txbxContent>
            </v:textbox>
            <w10:wrap type="none"/>
          </v:shape>
        </w:pict>
      </w:r>
      <w:r>
        <w:rPr/>
        <w:pict>
          <v:shape style="position:absolute;margin-left:457.083496pt;margin-top:38.719826pt;width:11.25pt;height:29.15pt;mso-position-horizontal-relative:page;mso-position-vertical-relative:paragraph;z-index:252465152"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Cortical</w:t>
                  </w:r>
                </w:p>
              </w:txbxContent>
            </v:textbox>
            <w10:wrap type="none"/>
          </v:shape>
        </w:pict>
      </w:r>
      <w:r>
        <w:rPr/>
        <w:pict>
          <v:shape style="position:absolute;margin-left:483.139496pt;margin-top:34.943825pt;width:11.25pt;height:36.7pt;mso-position-horizontal-relative:page;mso-position-vertical-relative:paragraph;z-index:252466176"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Medullary</w:t>
                  </w:r>
                </w:p>
              </w:txbxContent>
            </v:textbox>
            <w10:wrap type="none"/>
          </v:shape>
        </w:pict>
      </w:r>
      <w:r>
        <w:rPr>
          <w:rFonts w:ascii="Helvetica"/>
          <w:color w:val="231F20"/>
          <w:sz w:val="16"/>
        </w:rPr>
        <w:t>25 ml</w:t>
      </w:r>
    </w:p>
    <w:p>
      <w:pPr>
        <w:pStyle w:val="BodyText"/>
        <w:spacing w:before="4"/>
        <w:rPr>
          <w:rFonts w:ascii="Helvetica"/>
          <w:sz w:val="22"/>
        </w:rPr>
      </w:pPr>
      <w:r>
        <w:rPr/>
        <w:br w:type="column"/>
      </w:r>
      <w:r>
        <w:rPr>
          <w:rFonts w:ascii="Helvetica"/>
          <w:sz w:val="22"/>
        </w:rPr>
      </w:r>
    </w:p>
    <w:p>
      <w:pPr>
        <w:spacing w:before="0"/>
        <w:ind w:left="2645" w:right="0" w:firstLine="0"/>
        <w:jc w:val="left"/>
        <w:rPr>
          <w:rFonts w:ascii="Helvetica"/>
          <w:sz w:val="16"/>
        </w:rPr>
      </w:pPr>
      <w:r>
        <w:rPr>
          <w:rFonts w:ascii="Helvetica"/>
          <w:color w:val="231F20"/>
          <w:sz w:val="16"/>
        </w:rPr>
        <w:t>0.2 ml</w:t>
      </w:r>
    </w:p>
    <w:p>
      <w:pPr>
        <w:spacing w:after="0"/>
        <w:jc w:val="left"/>
        <w:rPr>
          <w:rFonts w:ascii="Helvetica"/>
          <w:sz w:val="16"/>
        </w:rPr>
        <w:sectPr>
          <w:type w:val="continuous"/>
          <w:pgSz w:w="12240" w:h="15660"/>
          <w:pgMar w:top="0" w:bottom="760" w:left="0" w:right="0"/>
          <w:cols w:num="3" w:equalWidth="0">
            <w:col w:w="5923" w:space="40"/>
            <w:col w:w="1667" w:space="39"/>
            <w:col w:w="4571"/>
          </w:cols>
        </w:sectPr>
      </w:pPr>
    </w:p>
    <w:p>
      <w:pPr>
        <w:pStyle w:val="BodyText"/>
        <w:rPr>
          <w:rFonts w:ascii="Helvetica"/>
          <w:sz w:val="12"/>
        </w:rPr>
      </w:pPr>
    </w:p>
    <w:p>
      <w:pPr>
        <w:spacing w:after="0"/>
        <w:rPr>
          <w:rFonts w:ascii="Helvetica"/>
          <w:sz w:val="12"/>
        </w:rPr>
        <w:sectPr>
          <w:type w:val="continuous"/>
          <w:pgSz w:w="12240" w:h="15660"/>
          <w:pgMar w:top="0" w:bottom="760" w:left="0" w:right="0"/>
        </w:sectPr>
      </w:pPr>
    </w:p>
    <w:p>
      <w:pPr>
        <w:pStyle w:val="BodyText"/>
        <w:spacing w:before="8"/>
        <w:rPr>
          <w:rFonts w:ascii="Helvetica"/>
          <w:sz w:val="19"/>
        </w:rPr>
      </w:pPr>
    </w:p>
    <w:p>
      <w:pPr>
        <w:spacing w:line="259" w:lineRule="auto" w:before="1"/>
        <w:ind w:left="1440" w:right="0" w:firstLine="0"/>
        <w:jc w:val="both"/>
        <w:rPr>
          <w:rFonts w:ascii="Arial"/>
          <w:sz w:val="16"/>
        </w:rPr>
      </w:pPr>
      <w:bookmarkStart w:name="_bookmark74" w:id="75"/>
      <w:bookmarkEnd w:id="75"/>
      <w:r>
        <w:rPr/>
      </w:r>
      <w:r>
        <w:rPr>
          <w:rFonts w:ascii="Trebuchet MS"/>
          <w:b/>
          <w:color w:val="231F20"/>
          <w:sz w:val="16"/>
        </w:rPr>
        <w:t>Figure 29-8. </w:t>
      </w:r>
      <w:r>
        <w:rPr>
          <w:rFonts w:ascii="Arial"/>
          <w:color w:val="231F20"/>
          <w:sz w:val="16"/>
        </w:rPr>
        <w:t>Changes in osmolarity of the </w:t>
      </w:r>
      <w:r>
        <w:rPr>
          <w:rFonts w:ascii="Arial"/>
          <w:color w:val="231F20"/>
          <w:spacing w:val="-3"/>
          <w:sz w:val="16"/>
        </w:rPr>
        <w:t>tubular </w:t>
      </w:r>
      <w:r>
        <w:rPr>
          <w:rFonts w:ascii="Arial"/>
          <w:color w:val="231F20"/>
          <w:sz w:val="16"/>
        </w:rPr>
        <w:t>fluid as it passes through the different tubular </w:t>
      </w:r>
      <w:r>
        <w:rPr>
          <w:rFonts w:ascii="Arial"/>
          <w:color w:val="231F20"/>
          <w:spacing w:val="-5"/>
          <w:sz w:val="16"/>
        </w:rPr>
        <w:t>seg- </w:t>
      </w:r>
      <w:r>
        <w:rPr>
          <w:rFonts w:ascii="Arial"/>
          <w:color w:val="231F20"/>
          <w:sz w:val="16"/>
        </w:rPr>
        <w:t>ments in the presence of high levels of </w:t>
      </w:r>
      <w:r>
        <w:rPr>
          <w:rFonts w:ascii="Arial"/>
          <w:color w:val="231F20"/>
          <w:spacing w:val="-3"/>
          <w:sz w:val="16"/>
        </w:rPr>
        <w:t>antidiuretic </w:t>
      </w:r>
      <w:r>
        <w:rPr>
          <w:rFonts w:ascii="Arial"/>
          <w:color w:val="231F20"/>
          <w:sz w:val="16"/>
        </w:rPr>
        <w:t>hormone</w:t>
      </w:r>
      <w:r>
        <w:rPr>
          <w:rFonts w:ascii="Arial"/>
          <w:color w:val="231F20"/>
          <w:spacing w:val="-33"/>
          <w:sz w:val="16"/>
        </w:rPr>
        <w:t> </w:t>
      </w:r>
      <w:r>
        <w:rPr>
          <w:rFonts w:ascii="Lucida Sans"/>
          <w:i/>
          <w:color w:val="231F20"/>
          <w:sz w:val="16"/>
        </w:rPr>
        <w:t>(ADH)</w:t>
      </w:r>
      <w:r>
        <w:rPr>
          <w:rFonts w:ascii="Lucida Sans"/>
          <w:i/>
          <w:color w:val="231F20"/>
          <w:spacing w:val="-39"/>
          <w:sz w:val="16"/>
        </w:rPr>
        <w:t> </w:t>
      </w:r>
      <w:r>
        <w:rPr>
          <w:rFonts w:ascii="Arial"/>
          <w:color w:val="231F20"/>
          <w:sz w:val="16"/>
        </w:rPr>
        <w:t>and</w:t>
      </w:r>
      <w:r>
        <w:rPr>
          <w:rFonts w:ascii="Arial"/>
          <w:color w:val="231F20"/>
          <w:spacing w:val="-33"/>
          <w:sz w:val="16"/>
        </w:rPr>
        <w:t> </w:t>
      </w:r>
      <w:r>
        <w:rPr>
          <w:rFonts w:ascii="Arial"/>
          <w:color w:val="231F20"/>
          <w:sz w:val="16"/>
        </w:rPr>
        <w:t>in</w:t>
      </w:r>
      <w:r>
        <w:rPr>
          <w:rFonts w:ascii="Arial"/>
          <w:color w:val="231F20"/>
          <w:spacing w:val="-33"/>
          <w:sz w:val="16"/>
        </w:rPr>
        <w:t> </w:t>
      </w:r>
      <w:r>
        <w:rPr>
          <w:rFonts w:ascii="Arial"/>
          <w:color w:val="231F20"/>
          <w:sz w:val="16"/>
        </w:rPr>
        <w:t>the</w:t>
      </w:r>
      <w:r>
        <w:rPr>
          <w:rFonts w:ascii="Arial"/>
          <w:color w:val="231F20"/>
          <w:spacing w:val="-32"/>
          <w:sz w:val="16"/>
        </w:rPr>
        <w:t> </w:t>
      </w:r>
      <w:r>
        <w:rPr>
          <w:rFonts w:ascii="Arial"/>
          <w:color w:val="231F20"/>
          <w:sz w:val="16"/>
        </w:rPr>
        <w:t>absence</w:t>
      </w:r>
      <w:r>
        <w:rPr>
          <w:rFonts w:ascii="Arial"/>
          <w:color w:val="231F20"/>
          <w:spacing w:val="-33"/>
          <w:sz w:val="16"/>
        </w:rPr>
        <w:t> </w:t>
      </w:r>
      <w:r>
        <w:rPr>
          <w:rFonts w:ascii="Arial"/>
          <w:color w:val="231F20"/>
          <w:sz w:val="16"/>
        </w:rPr>
        <w:t>of</w:t>
      </w:r>
      <w:r>
        <w:rPr>
          <w:rFonts w:ascii="Arial"/>
          <w:color w:val="231F20"/>
          <w:spacing w:val="-33"/>
          <w:sz w:val="16"/>
        </w:rPr>
        <w:t> </w:t>
      </w:r>
      <w:r>
        <w:rPr>
          <w:rFonts w:ascii="Arial"/>
          <w:color w:val="231F20"/>
          <w:sz w:val="16"/>
        </w:rPr>
        <w:t>ADH.</w:t>
      </w:r>
      <w:r>
        <w:rPr>
          <w:rFonts w:ascii="Arial"/>
          <w:color w:val="231F20"/>
          <w:spacing w:val="-32"/>
          <w:sz w:val="16"/>
        </w:rPr>
        <w:t> </w:t>
      </w:r>
      <w:r>
        <w:rPr>
          <w:rFonts w:ascii="Arial"/>
          <w:color w:val="231F20"/>
          <w:sz w:val="16"/>
        </w:rPr>
        <w:t>(Numerical values</w:t>
      </w:r>
      <w:r>
        <w:rPr>
          <w:rFonts w:ascii="Arial"/>
          <w:color w:val="231F20"/>
          <w:spacing w:val="-7"/>
          <w:sz w:val="16"/>
        </w:rPr>
        <w:t> </w:t>
      </w:r>
      <w:r>
        <w:rPr>
          <w:rFonts w:ascii="Arial"/>
          <w:color w:val="231F20"/>
          <w:sz w:val="16"/>
        </w:rPr>
        <w:t>indicate</w:t>
      </w:r>
      <w:r>
        <w:rPr>
          <w:rFonts w:ascii="Arial"/>
          <w:color w:val="231F20"/>
          <w:spacing w:val="-6"/>
          <w:sz w:val="16"/>
        </w:rPr>
        <w:t> </w:t>
      </w:r>
      <w:r>
        <w:rPr>
          <w:rFonts w:ascii="Arial"/>
          <w:color w:val="231F20"/>
          <w:sz w:val="16"/>
        </w:rPr>
        <w:t>the</w:t>
      </w:r>
      <w:r>
        <w:rPr>
          <w:rFonts w:ascii="Arial"/>
          <w:color w:val="231F20"/>
          <w:spacing w:val="-7"/>
          <w:sz w:val="16"/>
        </w:rPr>
        <w:t> </w:t>
      </w:r>
      <w:r>
        <w:rPr>
          <w:rFonts w:ascii="Arial"/>
          <w:color w:val="231F20"/>
          <w:sz w:val="16"/>
        </w:rPr>
        <w:t>approximate</w:t>
      </w:r>
      <w:r>
        <w:rPr>
          <w:rFonts w:ascii="Arial"/>
          <w:color w:val="231F20"/>
          <w:spacing w:val="-6"/>
          <w:sz w:val="16"/>
        </w:rPr>
        <w:t> </w:t>
      </w:r>
      <w:r>
        <w:rPr>
          <w:rFonts w:ascii="Arial"/>
          <w:color w:val="231F20"/>
          <w:sz w:val="16"/>
        </w:rPr>
        <w:t>volumes</w:t>
      </w:r>
      <w:r>
        <w:rPr>
          <w:rFonts w:ascii="Arial"/>
          <w:color w:val="231F20"/>
          <w:spacing w:val="-6"/>
          <w:sz w:val="16"/>
        </w:rPr>
        <w:t> </w:t>
      </w:r>
      <w:r>
        <w:rPr>
          <w:rFonts w:ascii="Arial"/>
          <w:color w:val="231F20"/>
          <w:sz w:val="16"/>
        </w:rPr>
        <w:t>in</w:t>
      </w:r>
      <w:r>
        <w:rPr>
          <w:rFonts w:ascii="Arial"/>
          <w:color w:val="231F20"/>
          <w:spacing w:val="-7"/>
          <w:sz w:val="16"/>
        </w:rPr>
        <w:t> </w:t>
      </w:r>
      <w:r>
        <w:rPr>
          <w:rFonts w:ascii="Arial"/>
          <w:color w:val="231F20"/>
          <w:sz w:val="16"/>
        </w:rPr>
        <w:t>milliliters</w:t>
      </w:r>
    </w:p>
    <w:p>
      <w:pPr>
        <w:pStyle w:val="BodyText"/>
        <w:rPr>
          <w:rFonts w:ascii="Arial"/>
          <w:sz w:val="18"/>
        </w:rPr>
      </w:pPr>
      <w:r>
        <w:rPr/>
        <w:br w:type="column"/>
      </w:r>
      <w:r>
        <w:rPr>
          <w:rFonts w:ascii="Arial"/>
          <w:sz w:val="18"/>
        </w:rPr>
      </w:r>
    </w:p>
    <w:p>
      <w:pPr>
        <w:pStyle w:val="BodyText"/>
        <w:spacing w:before="3"/>
        <w:rPr>
          <w:rFonts w:ascii="Arial"/>
          <w:sz w:val="14"/>
        </w:rPr>
      </w:pPr>
    </w:p>
    <w:p>
      <w:pPr>
        <w:spacing w:before="0"/>
        <w:ind w:left="0" w:right="0" w:firstLine="0"/>
        <w:jc w:val="right"/>
        <w:rPr>
          <w:rFonts w:ascii="Helvetica"/>
          <w:sz w:val="16"/>
        </w:rPr>
      </w:pPr>
      <w:r>
        <w:rPr>
          <w:rFonts w:ascii="Helvetica"/>
          <w:color w:val="231F20"/>
          <w:w w:val="95"/>
          <w:sz w:val="16"/>
        </w:rPr>
        <w:t>300</w:t>
      </w:r>
    </w:p>
    <w:p>
      <w:pPr>
        <w:spacing w:before="47"/>
        <w:ind w:left="0" w:right="0" w:firstLine="0"/>
        <w:jc w:val="right"/>
        <w:rPr>
          <w:rFonts w:ascii="Helvetica"/>
          <w:sz w:val="16"/>
        </w:rPr>
      </w:pPr>
      <w:r>
        <w:rPr>
          <w:rFonts w:ascii="Helvetica"/>
          <w:color w:val="231F20"/>
          <w:w w:val="95"/>
          <w:sz w:val="16"/>
        </w:rPr>
        <w:t>200</w:t>
      </w:r>
    </w:p>
    <w:p>
      <w:pPr>
        <w:spacing w:before="45"/>
        <w:ind w:left="0" w:right="0" w:firstLine="0"/>
        <w:jc w:val="right"/>
        <w:rPr>
          <w:rFonts w:ascii="Helvetica"/>
          <w:sz w:val="16"/>
        </w:rPr>
      </w:pPr>
      <w:r>
        <w:rPr>
          <w:rFonts w:ascii="Helvetica"/>
          <w:color w:val="231F20"/>
          <w:w w:val="95"/>
          <w:sz w:val="16"/>
        </w:rPr>
        <w:t>100</w:t>
      </w:r>
    </w:p>
    <w:p>
      <w:pPr>
        <w:spacing w:line="163" w:lineRule="exact" w:before="53"/>
        <w:ind w:left="0" w:right="0" w:firstLine="0"/>
        <w:jc w:val="righ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spacing w:before="9"/>
        <w:rPr>
          <w:rFonts w:ascii="Helvetica"/>
        </w:rPr>
      </w:pPr>
    </w:p>
    <w:p>
      <w:pPr>
        <w:spacing w:before="1"/>
        <w:ind w:left="187" w:right="0" w:firstLine="0"/>
        <w:jc w:val="left"/>
        <w:rPr>
          <w:rFonts w:ascii="Helvetica"/>
          <w:sz w:val="16"/>
        </w:rPr>
      </w:pPr>
      <w:r>
        <w:rPr/>
        <w:pict>
          <v:shape style="position:absolute;margin-left:518.259521pt;margin-top:-64.339989pt;width:11.25pt;height:50.5pt;mso-position-horizontal-relative:page;mso-position-vertical-relative:paragraph;z-index:252467200"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Effect of ADH</w:t>
                  </w:r>
                </w:p>
              </w:txbxContent>
            </v:textbox>
            <w10:wrap type="none"/>
          </v:shape>
        </w:pict>
      </w:r>
      <w:r>
        <w:rPr>
          <w:rFonts w:ascii="Helvetica"/>
          <w:color w:val="231F20"/>
          <w:sz w:val="16"/>
        </w:rPr>
        <w:t>125 ml 44 ml</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2"/>
        <w:rPr>
          <w:rFonts w:ascii="Helvetica"/>
          <w:sz w:val="23"/>
        </w:rPr>
      </w:pPr>
    </w:p>
    <w:p>
      <w:pPr>
        <w:spacing w:before="0"/>
        <w:ind w:left="0" w:right="0" w:firstLine="0"/>
        <w:jc w:val="right"/>
        <w:rPr>
          <w:rFonts w:ascii="Helvetica"/>
          <w:sz w:val="16"/>
        </w:rPr>
      </w:pPr>
      <w:r>
        <w:rPr>
          <w:rFonts w:ascii="Helvetica"/>
          <w:color w:val="231F20"/>
          <w:sz w:val="16"/>
        </w:rPr>
        <w:t>25 ml</w:t>
      </w:r>
    </w:p>
    <w:p>
      <w:pPr>
        <w:spacing w:before="99"/>
        <w:ind w:left="0" w:right="0" w:firstLine="0"/>
        <w:jc w:val="right"/>
        <w:rPr>
          <w:rFonts w:ascii="Helvetica"/>
          <w:sz w:val="16"/>
        </w:rPr>
      </w:pPr>
      <w:r>
        <w:rPr/>
        <w:br w:type="column"/>
      </w:r>
      <w:r>
        <w:rPr>
          <w:rFonts w:ascii="Helvetica"/>
          <w:color w:val="231F20"/>
          <w:sz w:val="16"/>
        </w:rPr>
        <w:t>8 ml</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spacing w:before="146"/>
        <w:ind w:left="1065" w:right="1060" w:firstLine="0"/>
        <w:jc w:val="center"/>
        <w:rPr>
          <w:rFonts w:ascii="Helvetica"/>
          <w:sz w:val="16"/>
        </w:rPr>
      </w:pPr>
      <w:r>
        <w:rPr/>
        <w:pict>
          <v:rect style="position:absolute;margin-left:576pt;margin-top:-14.74071pt;width:36pt;height:24pt;mso-position-horizontal-relative:page;mso-position-vertical-relative:paragraph;z-index:252459008" filled="true" fillcolor="#e8dac8" stroked="false">
            <v:fill type="solid"/>
            <w10:wrap type="none"/>
          </v:rect>
        </w:pict>
      </w:r>
      <w:r>
        <w:rPr>
          <w:rFonts w:ascii="Helvetica"/>
          <w:color w:val="231F20"/>
          <w:sz w:val="16"/>
        </w:rPr>
        <w:t>20 ml</w:t>
      </w:r>
    </w:p>
    <w:p>
      <w:pPr>
        <w:spacing w:after="0"/>
        <w:jc w:val="center"/>
        <w:rPr>
          <w:rFonts w:ascii="Helvetica"/>
          <w:sz w:val="16"/>
        </w:rPr>
        <w:sectPr>
          <w:type w:val="continuous"/>
          <w:pgSz w:w="12240" w:h="15660"/>
          <w:pgMar w:top="0" w:bottom="760" w:left="0" w:right="0"/>
          <w:cols w:num="6" w:equalWidth="0">
            <w:col w:w="5131" w:space="40"/>
            <w:col w:w="753" w:space="39"/>
            <w:col w:w="1137" w:space="39"/>
            <w:col w:w="1210" w:space="40"/>
            <w:col w:w="1255" w:space="39"/>
            <w:col w:w="2557"/>
          </w:cols>
        </w:sectPr>
      </w:pPr>
    </w:p>
    <w:p>
      <w:pPr>
        <w:spacing w:line="261" w:lineRule="auto" w:before="0"/>
        <w:ind w:left="1440" w:right="0" w:firstLine="0"/>
        <w:jc w:val="both"/>
        <w:rPr>
          <w:rFonts w:ascii="Arial"/>
          <w:sz w:val="16"/>
        </w:rPr>
      </w:pPr>
      <w:r>
        <w:rPr>
          <w:rFonts w:ascii="Arial"/>
          <w:color w:val="231F20"/>
          <w:sz w:val="16"/>
        </w:rPr>
        <w:t>per minute or in osmolarities in milliosmoles  </w:t>
      </w:r>
      <w:r>
        <w:rPr>
          <w:rFonts w:ascii="Arial"/>
          <w:color w:val="231F20"/>
          <w:spacing w:val="-6"/>
          <w:sz w:val="16"/>
        </w:rPr>
        <w:t>per </w:t>
      </w:r>
      <w:r>
        <w:rPr>
          <w:rFonts w:ascii="Arial"/>
          <w:color w:val="231F20"/>
          <w:sz w:val="16"/>
        </w:rPr>
        <w:t>liter of fluid flowing along the different </w:t>
      </w:r>
      <w:r>
        <w:rPr>
          <w:rFonts w:ascii="Arial"/>
          <w:color w:val="231F20"/>
          <w:spacing w:val="-3"/>
          <w:sz w:val="16"/>
        </w:rPr>
        <w:t>tubular </w:t>
      </w:r>
      <w:r>
        <w:rPr>
          <w:rFonts w:ascii="Arial"/>
          <w:color w:val="231F20"/>
          <w:sz w:val="16"/>
        </w:rPr>
        <w:t>segments.)</w:t>
      </w:r>
    </w:p>
    <w:p>
      <w:pPr>
        <w:spacing w:line="235" w:lineRule="auto" w:before="3"/>
        <w:ind w:left="1071" w:right="-19" w:hanging="94"/>
        <w:jc w:val="left"/>
        <w:rPr>
          <w:rFonts w:ascii="Helvetica"/>
          <w:sz w:val="16"/>
        </w:rPr>
      </w:pPr>
      <w:r>
        <w:rPr/>
        <w:br w:type="column"/>
      </w:r>
      <w:r>
        <w:rPr>
          <w:rFonts w:ascii="Helvetica"/>
          <w:color w:val="231F20"/>
          <w:sz w:val="16"/>
        </w:rPr>
        <w:t>Proximal</w:t>
      </w:r>
      <w:r>
        <w:rPr>
          <w:rFonts w:ascii="Helvetica"/>
          <w:color w:val="231F20"/>
          <w:w w:val="99"/>
          <w:sz w:val="16"/>
        </w:rPr>
        <w:t> </w:t>
      </w:r>
      <w:r>
        <w:rPr>
          <w:rFonts w:ascii="Helvetica"/>
          <w:color w:val="231F20"/>
          <w:sz w:val="16"/>
        </w:rPr>
        <w:t>tubule</w:t>
      </w:r>
    </w:p>
    <w:p>
      <w:pPr>
        <w:spacing w:before="0"/>
        <w:ind w:left="229" w:right="0" w:firstLine="0"/>
        <w:jc w:val="left"/>
        <w:rPr>
          <w:rFonts w:ascii="Helvetica"/>
          <w:sz w:val="16"/>
        </w:rPr>
      </w:pPr>
      <w:r>
        <w:rPr/>
        <w:br w:type="column"/>
      </w:r>
      <w:r>
        <w:rPr>
          <w:rFonts w:ascii="Helvetica"/>
          <w:color w:val="231F20"/>
          <w:sz w:val="16"/>
        </w:rPr>
        <w:t>Loop of Henle</w:t>
      </w:r>
    </w:p>
    <w:p>
      <w:pPr>
        <w:spacing w:line="235" w:lineRule="auto" w:before="3"/>
        <w:ind w:left="287" w:right="-19" w:firstLine="17"/>
        <w:jc w:val="left"/>
        <w:rPr>
          <w:rFonts w:ascii="Helvetica"/>
          <w:sz w:val="16"/>
        </w:rPr>
      </w:pPr>
      <w:r>
        <w:rPr/>
        <w:br w:type="column"/>
      </w:r>
      <w:r>
        <w:rPr>
          <w:rFonts w:ascii="Helvetica"/>
          <w:color w:val="231F20"/>
          <w:sz w:val="16"/>
        </w:rPr>
        <w:t>Distal tubule</w:t>
      </w:r>
    </w:p>
    <w:p>
      <w:pPr>
        <w:spacing w:line="235" w:lineRule="auto" w:before="3"/>
        <w:ind w:left="353" w:right="0" w:firstLine="0"/>
        <w:jc w:val="center"/>
        <w:rPr>
          <w:rFonts w:ascii="Helvetica"/>
          <w:sz w:val="16"/>
        </w:rPr>
      </w:pPr>
      <w:r>
        <w:rPr/>
        <w:br w:type="column"/>
      </w:r>
      <w:r>
        <w:rPr>
          <w:rFonts w:ascii="Helvetica"/>
          <w:color w:val="231F20"/>
          <w:sz w:val="16"/>
        </w:rPr>
        <w:t>Collecting</w:t>
      </w:r>
      <w:r>
        <w:rPr>
          <w:rFonts w:ascii="Helvetica"/>
          <w:color w:val="231F20"/>
          <w:w w:val="99"/>
          <w:sz w:val="16"/>
        </w:rPr>
        <w:t> </w:t>
      </w:r>
      <w:r>
        <w:rPr>
          <w:rFonts w:ascii="Helvetica"/>
          <w:color w:val="231F20"/>
          <w:sz w:val="16"/>
        </w:rPr>
        <w:t>tubule and</w:t>
      </w:r>
      <w:r>
        <w:rPr>
          <w:rFonts w:ascii="Helvetica"/>
          <w:color w:val="231F20"/>
          <w:spacing w:val="-1"/>
          <w:sz w:val="16"/>
        </w:rPr>
        <w:t> </w:t>
      </w:r>
      <w:r>
        <w:rPr>
          <w:rFonts w:ascii="Helvetica"/>
          <w:color w:val="231F20"/>
          <w:sz w:val="16"/>
        </w:rPr>
        <w:t>duct</w:t>
      </w:r>
    </w:p>
    <w:p>
      <w:pPr>
        <w:spacing w:before="0"/>
        <w:ind w:left="478" w:right="0" w:firstLine="0"/>
        <w:jc w:val="left"/>
        <w:rPr>
          <w:rFonts w:ascii="Helvetica"/>
          <w:sz w:val="16"/>
        </w:rPr>
      </w:pPr>
      <w:r>
        <w:rPr/>
        <w:br w:type="column"/>
      </w:r>
      <w:r>
        <w:rPr>
          <w:rFonts w:ascii="Helvetica"/>
          <w:color w:val="231F20"/>
          <w:sz w:val="16"/>
        </w:rPr>
        <w:t>Urine</w:t>
      </w:r>
    </w:p>
    <w:p>
      <w:pPr>
        <w:spacing w:after="0"/>
        <w:jc w:val="left"/>
        <w:rPr>
          <w:rFonts w:ascii="Helvetica"/>
          <w:sz w:val="16"/>
        </w:rPr>
        <w:sectPr>
          <w:type w:val="continuous"/>
          <w:pgSz w:w="12240" w:h="15660"/>
          <w:pgMar w:top="0" w:bottom="760" w:left="0" w:right="0"/>
          <w:cols w:num="6" w:equalWidth="0">
            <w:col w:w="5131" w:space="40"/>
            <w:col w:w="1601" w:space="39"/>
            <w:col w:w="1226" w:space="40"/>
            <w:col w:w="724" w:space="39"/>
            <w:col w:w="1056" w:space="39"/>
            <w:col w:w="2305"/>
          </w:cols>
        </w:sectPr>
      </w:pPr>
    </w:p>
    <w:p>
      <w:pPr>
        <w:pStyle w:val="BodyText"/>
        <w:rPr>
          <w:rFonts w:ascii="Helvetica"/>
        </w:rPr>
      </w:pPr>
    </w:p>
    <w:p>
      <w:pPr>
        <w:spacing w:after="0"/>
        <w:rPr>
          <w:rFonts w:ascii="Helvetica"/>
        </w:rPr>
        <w:sectPr>
          <w:type w:val="continuous"/>
          <w:pgSz w:w="12240" w:h="15660"/>
          <w:pgMar w:top="0" w:bottom="760" w:left="0" w:right="0"/>
        </w:sectPr>
      </w:pPr>
    </w:p>
    <w:p>
      <w:pPr>
        <w:pStyle w:val="BodyText"/>
        <w:spacing w:line="249" w:lineRule="auto" w:before="231"/>
        <w:ind w:left="1440" w:right="1"/>
        <w:jc w:val="both"/>
      </w:pPr>
      <w:r>
        <w:rPr/>
        <w:pict>
          <v:group style="position:absolute;margin-left:0pt;margin-top:0pt;width:612pt;height:180pt;mso-position-horizontal-relative:page;mso-position-vertical-relative:page;z-index:-27294720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w10:wrap type="none"/>
          </v:group>
        </w:pict>
      </w:r>
      <w:r>
        <w:rPr>
          <w:color w:val="231F20"/>
          <w:w w:val="105"/>
        </w:rPr>
        <w:t>interstitial fluid, which is about 1200 mOsm/L when</w:t>
      </w:r>
      <w:r>
        <w:rPr>
          <w:color w:val="231F20"/>
          <w:spacing w:val="-37"/>
          <w:w w:val="105"/>
        </w:rPr>
        <w:t> </w:t>
      </w:r>
      <w:r>
        <w:rPr>
          <w:color w:val="231F20"/>
          <w:spacing w:val="-6"/>
          <w:w w:val="105"/>
        </w:rPr>
        <w:t>the </w:t>
      </w:r>
      <w:r>
        <w:rPr>
          <w:color w:val="231F20"/>
          <w:w w:val="105"/>
        </w:rPr>
        <w:t>blood concentration of ADH is</w:t>
      </w:r>
      <w:r>
        <w:rPr>
          <w:color w:val="231F20"/>
          <w:spacing w:val="7"/>
          <w:w w:val="105"/>
        </w:rPr>
        <w:t> </w:t>
      </w:r>
      <w:r>
        <w:rPr>
          <w:color w:val="231F20"/>
          <w:w w:val="105"/>
        </w:rPr>
        <w:t>high.</w:t>
      </w:r>
    </w:p>
    <w:p>
      <w:pPr>
        <w:pStyle w:val="BodyText"/>
        <w:spacing w:line="249" w:lineRule="auto" w:before="1"/>
        <w:ind w:left="1440" w:firstLine="240"/>
        <w:jc w:val="both"/>
      </w:pPr>
      <w:r>
        <w:rPr>
          <w:color w:val="231F20"/>
          <w:w w:val="105"/>
        </w:rPr>
        <w:t>When dilute urine is being formed, as a result of low ADH concentrations, the medullary interstitial </w:t>
      </w:r>
      <w:r>
        <w:rPr>
          <w:color w:val="231F20"/>
          <w:spacing w:val="-3"/>
          <w:w w:val="105"/>
        </w:rPr>
        <w:t>osmolar­ </w:t>
      </w:r>
      <w:r>
        <w:rPr>
          <w:color w:val="231F20"/>
          <w:w w:val="105"/>
        </w:rPr>
        <w:t>ity</w:t>
      </w:r>
      <w:r>
        <w:rPr>
          <w:color w:val="231F20"/>
          <w:spacing w:val="-23"/>
          <w:w w:val="105"/>
        </w:rPr>
        <w:t> </w:t>
      </w:r>
      <w:r>
        <w:rPr>
          <w:color w:val="231F20"/>
          <w:w w:val="105"/>
        </w:rPr>
        <w:t>is</w:t>
      </w:r>
      <w:r>
        <w:rPr>
          <w:color w:val="231F20"/>
          <w:spacing w:val="-23"/>
          <w:w w:val="105"/>
        </w:rPr>
        <w:t> </w:t>
      </w:r>
      <w:r>
        <w:rPr>
          <w:color w:val="231F20"/>
          <w:w w:val="105"/>
        </w:rPr>
        <w:t>less</w:t>
      </w:r>
      <w:r>
        <w:rPr>
          <w:color w:val="231F20"/>
          <w:spacing w:val="-23"/>
          <w:w w:val="105"/>
        </w:rPr>
        <w:t> </w:t>
      </w:r>
      <w:r>
        <w:rPr>
          <w:color w:val="231F20"/>
          <w:w w:val="105"/>
        </w:rPr>
        <w:t>than</w:t>
      </w:r>
      <w:r>
        <w:rPr>
          <w:color w:val="231F20"/>
          <w:spacing w:val="-22"/>
          <w:w w:val="105"/>
        </w:rPr>
        <w:t> </w:t>
      </w:r>
      <w:r>
        <w:rPr>
          <w:color w:val="231F20"/>
          <w:w w:val="105"/>
        </w:rPr>
        <w:t>1200</w:t>
      </w:r>
      <w:r>
        <w:rPr>
          <w:color w:val="231F20"/>
          <w:spacing w:val="-15"/>
          <w:w w:val="105"/>
        </w:rPr>
        <w:t> </w:t>
      </w:r>
      <w:r>
        <w:rPr>
          <w:color w:val="231F20"/>
          <w:w w:val="105"/>
        </w:rPr>
        <w:t>mOsm/L;</w:t>
      </w:r>
      <w:r>
        <w:rPr>
          <w:color w:val="231F20"/>
          <w:spacing w:val="-23"/>
          <w:w w:val="105"/>
        </w:rPr>
        <w:t> </w:t>
      </w:r>
      <w:r>
        <w:rPr>
          <w:color w:val="231F20"/>
          <w:w w:val="105"/>
        </w:rPr>
        <w:t>consequently,</w:t>
      </w:r>
      <w:r>
        <w:rPr>
          <w:color w:val="231F20"/>
          <w:spacing w:val="-22"/>
          <w:w w:val="105"/>
        </w:rPr>
        <w:t> </w:t>
      </w:r>
      <w:r>
        <w:rPr>
          <w:color w:val="231F20"/>
          <w:w w:val="105"/>
        </w:rPr>
        <w:t>the</w:t>
      </w:r>
      <w:r>
        <w:rPr>
          <w:color w:val="231F20"/>
          <w:spacing w:val="-23"/>
          <w:w w:val="105"/>
        </w:rPr>
        <w:t> </w:t>
      </w:r>
      <w:r>
        <w:rPr>
          <w:color w:val="231F20"/>
          <w:w w:val="105"/>
        </w:rPr>
        <w:t>descend­ ing loop tubular fluid osmolarity also becomes </w:t>
      </w:r>
      <w:r>
        <w:rPr>
          <w:color w:val="231F20"/>
          <w:spacing w:val="-4"/>
          <w:w w:val="105"/>
        </w:rPr>
        <w:t>less </w:t>
      </w:r>
      <w:r>
        <w:rPr>
          <w:color w:val="231F20"/>
          <w:w w:val="105"/>
        </w:rPr>
        <w:t>concentrated.</w:t>
      </w:r>
      <w:r>
        <w:rPr>
          <w:color w:val="231F20"/>
          <w:spacing w:val="-23"/>
          <w:w w:val="105"/>
        </w:rPr>
        <w:t> </w:t>
      </w:r>
      <w:r>
        <w:rPr>
          <w:color w:val="231F20"/>
          <w:w w:val="105"/>
        </w:rPr>
        <w:t>This</w:t>
      </w:r>
      <w:r>
        <w:rPr>
          <w:color w:val="231F20"/>
          <w:spacing w:val="-22"/>
          <w:w w:val="105"/>
        </w:rPr>
        <w:t> </w:t>
      </w:r>
      <w:r>
        <w:rPr>
          <w:color w:val="231F20"/>
          <w:w w:val="105"/>
        </w:rPr>
        <w:t>decrease</w:t>
      </w:r>
      <w:r>
        <w:rPr>
          <w:color w:val="231F20"/>
          <w:spacing w:val="-23"/>
          <w:w w:val="105"/>
        </w:rPr>
        <w:t> </w:t>
      </w:r>
      <w:r>
        <w:rPr>
          <w:color w:val="231F20"/>
          <w:w w:val="105"/>
        </w:rPr>
        <w:t>in</w:t>
      </w:r>
      <w:r>
        <w:rPr>
          <w:color w:val="231F20"/>
          <w:spacing w:val="-22"/>
          <w:w w:val="105"/>
        </w:rPr>
        <w:t> </w:t>
      </w:r>
      <w:r>
        <w:rPr>
          <w:color w:val="231F20"/>
          <w:w w:val="105"/>
        </w:rPr>
        <w:t>concentration</w:t>
      </w:r>
      <w:r>
        <w:rPr>
          <w:color w:val="231F20"/>
          <w:spacing w:val="-22"/>
          <w:w w:val="105"/>
        </w:rPr>
        <w:t> </w:t>
      </w:r>
      <w:r>
        <w:rPr>
          <w:color w:val="231F20"/>
          <w:w w:val="105"/>
        </w:rPr>
        <w:t>is</w:t>
      </w:r>
      <w:r>
        <w:rPr>
          <w:color w:val="231F20"/>
          <w:spacing w:val="-23"/>
          <w:w w:val="105"/>
        </w:rPr>
        <w:t> </w:t>
      </w:r>
      <w:r>
        <w:rPr>
          <w:color w:val="231F20"/>
          <w:w w:val="105"/>
        </w:rPr>
        <w:t>due</w:t>
      </w:r>
      <w:r>
        <w:rPr>
          <w:color w:val="231F20"/>
          <w:spacing w:val="-22"/>
          <w:w w:val="105"/>
        </w:rPr>
        <w:t> </w:t>
      </w:r>
      <w:r>
        <w:rPr>
          <w:color w:val="231F20"/>
          <w:w w:val="105"/>
        </w:rPr>
        <w:t>partly to the fact that less urea is absorbed into the medullary interstitium from the collecting ducts when ADH levels are</w:t>
      </w:r>
      <w:r>
        <w:rPr>
          <w:color w:val="231F20"/>
          <w:spacing w:val="-19"/>
          <w:w w:val="105"/>
        </w:rPr>
        <w:t> </w:t>
      </w:r>
      <w:r>
        <w:rPr>
          <w:color w:val="231F20"/>
          <w:w w:val="105"/>
        </w:rPr>
        <w:t>low</w:t>
      </w:r>
      <w:r>
        <w:rPr>
          <w:color w:val="231F20"/>
          <w:spacing w:val="-18"/>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kidney</w:t>
      </w:r>
      <w:r>
        <w:rPr>
          <w:color w:val="231F20"/>
          <w:spacing w:val="-19"/>
          <w:w w:val="105"/>
        </w:rPr>
        <w:t> </w:t>
      </w:r>
      <w:r>
        <w:rPr>
          <w:color w:val="231F20"/>
          <w:w w:val="105"/>
        </w:rPr>
        <w:t>is</w:t>
      </w:r>
      <w:r>
        <w:rPr>
          <w:color w:val="231F20"/>
          <w:spacing w:val="-18"/>
          <w:w w:val="105"/>
        </w:rPr>
        <w:t> </w:t>
      </w:r>
      <w:r>
        <w:rPr>
          <w:color w:val="231F20"/>
          <w:w w:val="105"/>
        </w:rPr>
        <w:t>forming</w:t>
      </w:r>
      <w:r>
        <w:rPr>
          <w:color w:val="231F20"/>
          <w:spacing w:val="-19"/>
          <w:w w:val="105"/>
        </w:rPr>
        <w:t> </w:t>
      </w:r>
      <w:r>
        <w:rPr>
          <w:color w:val="231F20"/>
          <w:w w:val="105"/>
        </w:rPr>
        <w:t>a</w:t>
      </w:r>
      <w:r>
        <w:rPr>
          <w:color w:val="231F20"/>
          <w:spacing w:val="-18"/>
          <w:w w:val="105"/>
        </w:rPr>
        <w:t> </w:t>
      </w:r>
      <w:r>
        <w:rPr>
          <w:color w:val="231F20"/>
          <w:w w:val="105"/>
        </w:rPr>
        <w:t>large</w:t>
      </w:r>
      <w:r>
        <w:rPr>
          <w:color w:val="231F20"/>
          <w:spacing w:val="-18"/>
          <w:w w:val="105"/>
        </w:rPr>
        <w:t> </w:t>
      </w:r>
      <w:r>
        <w:rPr>
          <w:color w:val="231F20"/>
          <w:w w:val="105"/>
        </w:rPr>
        <w:t>volume</w:t>
      </w:r>
      <w:r>
        <w:rPr>
          <w:color w:val="231F20"/>
          <w:spacing w:val="-19"/>
          <w:w w:val="105"/>
        </w:rPr>
        <w:t> </w:t>
      </w:r>
      <w:r>
        <w:rPr>
          <w:color w:val="231F20"/>
          <w:w w:val="105"/>
        </w:rPr>
        <w:t>of</w:t>
      </w:r>
      <w:r>
        <w:rPr>
          <w:color w:val="231F20"/>
          <w:spacing w:val="-18"/>
          <w:w w:val="105"/>
        </w:rPr>
        <w:t> </w:t>
      </w:r>
      <w:r>
        <w:rPr>
          <w:color w:val="231F20"/>
          <w:spacing w:val="-4"/>
          <w:w w:val="105"/>
        </w:rPr>
        <w:t>dilute </w:t>
      </w:r>
      <w:r>
        <w:rPr>
          <w:color w:val="231F20"/>
          <w:w w:val="105"/>
        </w:rPr>
        <w:t>urine.</w:t>
      </w:r>
    </w:p>
    <w:p>
      <w:pPr>
        <w:pStyle w:val="BodyText"/>
        <w:spacing w:line="249" w:lineRule="auto" w:before="248"/>
        <w:ind w:left="1439"/>
        <w:jc w:val="both"/>
      </w:pPr>
      <w:r>
        <w:rPr>
          <w:rFonts w:ascii="Trebuchet MS" w:hAnsi="Trebuchet MS"/>
          <w:b/>
          <w:color w:val="231F20"/>
          <w:w w:val="105"/>
          <w:sz w:val="19"/>
        </w:rPr>
        <w:t>Thin Ascending Loop of Henle. </w:t>
      </w:r>
      <w:r>
        <w:rPr>
          <w:color w:val="231F20"/>
          <w:w w:val="105"/>
        </w:rPr>
        <w:t>The thin ascending limb is essentially impermeable to water but reabsorbs some</w:t>
      </w:r>
      <w:r>
        <w:rPr>
          <w:color w:val="231F20"/>
          <w:spacing w:val="-22"/>
          <w:w w:val="105"/>
        </w:rPr>
        <w:t> </w:t>
      </w:r>
      <w:r>
        <w:rPr>
          <w:color w:val="231F20"/>
          <w:w w:val="105"/>
        </w:rPr>
        <w:t>sodium</w:t>
      </w:r>
      <w:r>
        <w:rPr>
          <w:color w:val="231F20"/>
          <w:spacing w:val="-21"/>
          <w:w w:val="105"/>
        </w:rPr>
        <w:t> </w:t>
      </w:r>
      <w:r>
        <w:rPr>
          <w:color w:val="231F20"/>
          <w:w w:val="105"/>
        </w:rPr>
        <w:t>chloride.</w:t>
      </w:r>
      <w:r>
        <w:rPr>
          <w:color w:val="231F20"/>
          <w:spacing w:val="-21"/>
          <w:w w:val="105"/>
        </w:rPr>
        <w:t> </w:t>
      </w:r>
      <w:r>
        <w:rPr>
          <w:color w:val="231F20"/>
          <w:w w:val="105"/>
        </w:rPr>
        <w:t>Because</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high</w:t>
      </w:r>
      <w:r>
        <w:rPr>
          <w:color w:val="231F20"/>
          <w:spacing w:val="-21"/>
          <w:w w:val="105"/>
        </w:rPr>
        <w:t> </w:t>
      </w:r>
      <w:r>
        <w:rPr>
          <w:color w:val="231F20"/>
          <w:w w:val="105"/>
        </w:rPr>
        <w:t>concentration of</w:t>
      </w:r>
      <w:r>
        <w:rPr>
          <w:color w:val="231F20"/>
          <w:spacing w:val="-16"/>
          <w:w w:val="105"/>
        </w:rPr>
        <w:t> </w:t>
      </w:r>
      <w:r>
        <w:rPr>
          <w:color w:val="231F20"/>
          <w:w w:val="105"/>
        </w:rPr>
        <w:t>sodium</w:t>
      </w:r>
      <w:r>
        <w:rPr>
          <w:color w:val="231F20"/>
          <w:spacing w:val="-16"/>
          <w:w w:val="105"/>
        </w:rPr>
        <w:t> </w:t>
      </w:r>
      <w:r>
        <w:rPr>
          <w:color w:val="231F20"/>
          <w:w w:val="105"/>
        </w:rPr>
        <w:t>chloride</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tubular</w:t>
      </w:r>
      <w:r>
        <w:rPr>
          <w:color w:val="231F20"/>
          <w:spacing w:val="-15"/>
          <w:w w:val="105"/>
        </w:rPr>
        <w:t> </w:t>
      </w:r>
      <w:r>
        <w:rPr>
          <w:color w:val="231F20"/>
          <w:w w:val="105"/>
        </w:rPr>
        <w:t>fluid</w:t>
      </w:r>
      <w:r>
        <w:rPr>
          <w:color w:val="231F20"/>
          <w:spacing w:val="-16"/>
          <w:w w:val="105"/>
        </w:rPr>
        <w:t> </w:t>
      </w:r>
      <w:r>
        <w:rPr>
          <w:color w:val="231F20"/>
          <w:w w:val="105"/>
        </w:rPr>
        <w:t>as</w:t>
      </w:r>
      <w:r>
        <w:rPr>
          <w:color w:val="231F20"/>
          <w:spacing w:val="-16"/>
          <w:w w:val="105"/>
        </w:rPr>
        <w:t> </w:t>
      </w:r>
      <w:r>
        <w:rPr>
          <w:color w:val="231F20"/>
          <w:w w:val="105"/>
        </w:rPr>
        <w:t>a</w:t>
      </w:r>
      <w:r>
        <w:rPr>
          <w:color w:val="231F20"/>
          <w:spacing w:val="-16"/>
          <w:w w:val="105"/>
        </w:rPr>
        <w:t> </w:t>
      </w:r>
      <w:r>
        <w:rPr>
          <w:color w:val="231F20"/>
          <w:w w:val="105"/>
        </w:rPr>
        <w:t>result</w:t>
      </w:r>
      <w:r>
        <w:rPr>
          <w:color w:val="231F20"/>
          <w:spacing w:val="-16"/>
          <w:w w:val="105"/>
        </w:rPr>
        <w:t> </w:t>
      </w:r>
      <w:r>
        <w:rPr>
          <w:color w:val="231F20"/>
          <w:w w:val="105"/>
        </w:rPr>
        <w:t>of</w:t>
      </w:r>
      <w:r>
        <w:rPr>
          <w:color w:val="231F20"/>
          <w:spacing w:val="-15"/>
          <w:w w:val="105"/>
        </w:rPr>
        <w:t> </w:t>
      </w:r>
      <w:r>
        <w:rPr>
          <w:color w:val="231F20"/>
          <w:w w:val="105"/>
        </w:rPr>
        <w:t>water removal</w:t>
      </w:r>
      <w:r>
        <w:rPr>
          <w:color w:val="231F20"/>
          <w:spacing w:val="-22"/>
          <w:w w:val="105"/>
        </w:rPr>
        <w:t> </w:t>
      </w:r>
      <w:r>
        <w:rPr>
          <w:color w:val="231F20"/>
          <w:w w:val="105"/>
        </w:rPr>
        <w:t>from</w:t>
      </w:r>
      <w:r>
        <w:rPr>
          <w:color w:val="231F20"/>
          <w:spacing w:val="-21"/>
          <w:w w:val="105"/>
        </w:rPr>
        <w:t> </w:t>
      </w:r>
      <w:r>
        <w:rPr>
          <w:color w:val="231F20"/>
          <w:w w:val="105"/>
        </w:rPr>
        <w:t>the</w:t>
      </w:r>
      <w:r>
        <w:rPr>
          <w:color w:val="231F20"/>
          <w:spacing w:val="-22"/>
          <w:w w:val="105"/>
        </w:rPr>
        <w:t> </w:t>
      </w:r>
      <w:r>
        <w:rPr>
          <w:color w:val="231F20"/>
          <w:w w:val="105"/>
        </w:rPr>
        <w:t>descending</w:t>
      </w:r>
      <w:r>
        <w:rPr>
          <w:color w:val="231F20"/>
          <w:spacing w:val="-21"/>
          <w:w w:val="105"/>
        </w:rPr>
        <w:t> </w:t>
      </w:r>
      <w:r>
        <w:rPr>
          <w:color w:val="231F20"/>
          <w:w w:val="105"/>
        </w:rPr>
        <w:t>loop</w:t>
      </w:r>
      <w:r>
        <w:rPr>
          <w:color w:val="231F20"/>
          <w:spacing w:val="-21"/>
          <w:w w:val="105"/>
        </w:rPr>
        <w:t> </w:t>
      </w:r>
      <w:r>
        <w:rPr>
          <w:color w:val="231F20"/>
          <w:w w:val="105"/>
        </w:rPr>
        <w:t>of</w:t>
      </w:r>
      <w:r>
        <w:rPr>
          <w:color w:val="231F20"/>
          <w:spacing w:val="-22"/>
          <w:w w:val="105"/>
        </w:rPr>
        <w:t> </w:t>
      </w:r>
      <w:r>
        <w:rPr>
          <w:color w:val="231F20"/>
          <w:w w:val="105"/>
        </w:rPr>
        <w:t>Henle,</w:t>
      </w:r>
      <w:r>
        <w:rPr>
          <w:color w:val="231F20"/>
          <w:spacing w:val="-21"/>
          <w:w w:val="105"/>
        </w:rPr>
        <w:t> </w:t>
      </w:r>
      <w:r>
        <w:rPr>
          <w:color w:val="231F20"/>
          <w:w w:val="105"/>
        </w:rPr>
        <w:t>there</w:t>
      </w:r>
      <w:r>
        <w:rPr>
          <w:color w:val="231F20"/>
          <w:spacing w:val="-21"/>
          <w:w w:val="105"/>
        </w:rPr>
        <w:t> </w:t>
      </w:r>
      <w:r>
        <w:rPr>
          <w:color w:val="231F20"/>
          <w:w w:val="105"/>
        </w:rPr>
        <w:t>is</w:t>
      </w:r>
      <w:r>
        <w:rPr>
          <w:color w:val="231F20"/>
          <w:spacing w:val="-22"/>
          <w:w w:val="105"/>
        </w:rPr>
        <w:t> </w:t>
      </w:r>
      <w:r>
        <w:rPr>
          <w:color w:val="231F20"/>
          <w:spacing w:val="-4"/>
          <w:w w:val="105"/>
        </w:rPr>
        <w:t>some </w:t>
      </w:r>
      <w:r>
        <w:rPr>
          <w:color w:val="231F20"/>
          <w:w w:val="105"/>
        </w:rPr>
        <w:t>passive</w:t>
      </w:r>
      <w:r>
        <w:rPr>
          <w:color w:val="231F20"/>
          <w:spacing w:val="-30"/>
          <w:w w:val="105"/>
        </w:rPr>
        <w:t> </w:t>
      </w:r>
      <w:r>
        <w:rPr>
          <w:color w:val="231F20"/>
          <w:w w:val="105"/>
        </w:rPr>
        <w:t>diffusion</w:t>
      </w:r>
      <w:r>
        <w:rPr>
          <w:color w:val="231F20"/>
          <w:spacing w:val="-30"/>
          <w:w w:val="105"/>
        </w:rPr>
        <w:t> </w:t>
      </w:r>
      <w:r>
        <w:rPr>
          <w:color w:val="231F20"/>
          <w:w w:val="105"/>
        </w:rPr>
        <w:t>of</w:t>
      </w:r>
      <w:r>
        <w:rPr>
          <w:color w:val="231F20"/>
          <w:spacing w:val="-29"/>
          <w:w w:val="105"/>
        </w:rPr>
        <w:t> </w:t>
      </w:r>
      <w:r>
        <w:rPr>
          <w:color w:val="231F20"/>
          <w:w w:val="105"/>
        </w:rPr>
        <w:t>sodium</w:t>
      </w:r>
      <w:r>
        <w:rPr>
          <w:color w:val="231F20"/>
          <w:spacing w:val="-30"/>
          <w:w w:val="105"/>
        </w:rPr>
        <w:t> </w:t>
      </w:r>
      <w:r>
        <w:rPr>
          <w:color w:val="231F20"/>
          <w:w w:val="105"/>
        </w:rPr>
        <w:t>chloride</w:t>
      </w:r>
      <w:r>
        <w:rPr>
          <w:color w:val="231F20"/>
          <w:spacing w:val="-29"/>
          <w:w w:val="105"/>
        </w:rPr>
        <w:t> </w:t>
      </w:r>
      <w:r>
        <w:rPr>
          <w:color w:val="231F20"/>
          <w:w w:val="105"/>
        </w:rPr>
        <w:t>from</w:t>
      </w:r>
      <w:r>
        <w:rPr>
          <w:color w:val="231F20"/>
          <w:spacing w:val="-30"/>
          <w:w w:val="105"/>
        </w:rPr>
        <w:t> </w:t>
      </w:r>
      <w:r>
        <w:rPr>
          <w:color w:val="231F20"/>
          <w:w w:val="105"/>
        </w:rPr>
        <w:t>the</w:t>
      </w:r>
      <w:r>
        <w:rPr>
          <w:color w:val="231F20"/>
          <w:spacing w:val="-30"/>
          <w:w w:val="105"/>
        </w:rPr>
        <w:t> </w:t>
      </w:r>
      <w:r>
        <w:rPr>
          <w:color w:val="231F20"/>
          <w:w w:val="105"/>
        </w:rPr>
        <w:t>thin</w:t>
      </w:r>
      <w:r>
        <w:rPr>
          <w:color w:val="231F20"/>
          <w:spacing w:val="-29"/>
          <w:w w:val="105"/>
        </w:rPr>
        <w:t> </w:t>
      </w:r>
      <w:r>
        <w:rPr>
          <w:color w:val="231F20"/>
          <w:w w:val="105"/>
        </w:rPr>
        <w:t>ascend­ ing</w:t>
      </w:r>
      <w:r>
        <w:rPr>
          <w:color w:val="231F20"/>
          <w:spacing w:val="-23"/>
          <w:w w:val="105"/>
        </w:rPr>
        <w:t> </w:t>
      </w:r>
      <w:r>
        <w:rPr>
          <w:color w:val="231F20"/>
          <w:w w:val="105"/>
        </w:rPr>
        <w:t>limb</w:t>
      </w:r>
      <w:r>
        <w:rPr>
          <w:color w:val="231F20"/>
          <w:spacing w:val="-22"/>
          <w:w w:val="105"/>
        </w:rPr>
        <w:t> </w:t>
      </w:r>
      <w:r>
        <w:rPr>
          <w:color w:val="231F20"/>
          <w:w w:val="105"/>
        </w:rPr>
        <w:t>into</w:t>
      </w:r>
      <w:r>
        <w:rPr>
          <w:color w:val="231F20"/>
          <w:spacing w:val="-23"/>
          <w:w w:val="105"/>
        </w:rPr>
        <w:t> </w:t>
      </w:r>
      <w:r>
        <w:rPr>
          <w:color w:val="231F20"/>
          <w:w w:val="105"/>
        </w:rPr>
        <w:t>the</w:t>
      </w:r>
      <w:r>
        <w:rPr>
          <w:color w:val="231F20"/>
          <w:spacing w:val="-22"/>
          <w:w w:val="105"/>
        </w:rPr>
        <w:t> </w:t>
      </w:r>
      <w:r>
        <w:rPr>
          <w:color w:val="231F20"/>
          <w:w w:val="105"/>
        </w:rPr>
        <w:t>medullary</w:t>
      </w:r>
      <w:r>
        <w:rPr>
          <w:color w:val="231F20"/>
          <w:spacing w:val="-22"/>
          <w:w w:val="105"/>
        </w:rPr>
        <w:t> </w:t>
      </w:r>
      <w:r>
        <w:rPr>
          <w:color w:val="231F20"/>
          <w:w w:val="105"/>
        </w:rPr>
        <w:t>interstitium.</w:t>
      </w:r>
      <w:r>
        <w:rPr>
          <w:color w:val="231F20"/>
          <w:spacing w:val="-23"/>
          <w:w w:val="105"/>
        </w:rPr>
        <w:t> </w:t>
      </w:r>
      <w:r>
        <w:rPr>
          <w:color w:val="231F20"/>
          <w:w w:val="105"/>
        </w:rPr>
        <w:t>Thus,</w:t>
      </w:r>
      <w:r>
        <w:rPr>
          <w:color w:val="231F20"/>
          <w:spacing w:val="-22"/>
          <w:w w:val="105"/>
        </w:rPr>
        <w:t> </w:t>
      </w:r>
      <w:r>
        <w:rPr>
          <w:color w:val="231F20"/>
          <w:w w:val="105"/>
        </w:rPr>
        <w:t>the</w:t>
      </w:r>
      <w:r>
        <w:rPr>
          <w:color w:val="231F20"/>
          <w:spacing w:val="-23"/>
          <w:w w:val="105"/>
        </w:rPr>
        <w:t> </w:t>
      </w:r>
      <w:r>
        <w:rPr>
          <w:color w:val="231F20"/>
          <w:w w:val="105"/>
        </w:rPr>
        <w:t>tubular fluid</w:t>
      </w:r>
      <w:r>
        <w:rPr>
          <w:color w:val="231F20"/>
          <w:spacing w:val="-25"/>
          <w:w w:val="105"/>
        </w:rPr>
        <w:t> </w:t>
      </w:r>
      <w:r>
        <w:rPr>
          <w:color w:val="231F20"/>
          <w:w w:val="105"/>
        </w:rPr>
        <w:t>becomes</w:t>
      </w:r>
      <w:r>
        <w:rPr>
          <w:color w:val="231F20"/>
          <w:spacing w:val="-24"/>
          <w:w w:val="105"/>
        </w:rPr>
        <w:t> </w:t>
      </w:r>
      <w:r>
        <w:rPr>
          <w:color w:val="231F20"/>
          <w:w w:val="105"/>
        </w:rPr>
        <w:t>more</w:t>
      </w:r>
      <w:r>
        <w:rPr>
          <w:color w:val="231F20"/>
          <w:spacing w:val="-25"/>
          <w:w w:val="105"/>
        </w:rPr>
        <w:t> </w:t>
      </w:r>
      <w:r>
        <w:rPr>
          <w:color w:val="231F20"/>
          <w:w w:val="105"/>
        </w:rPr>
        <w:t>dilute</w:t>
      </w:r>
      <w:r>
        <w:rPr>
          <w:color w:val="231F20"/>
          <w:spacing w:val="-24"/>
          <w:w w:val="105"/>
        </w:rPr>
        <w:t> </w:t>
      </w:r>
      <w:r>
        <w:rPr>
          <w:color w:val="231F20"/>
          <w:w w:val="105"/>
        </w:rPr>
        <w:t>as</w:t>
      </w:r>
      <w:r>
        <w:rPr>
          <w:color w:val="231F20"/>
          <w:spacing w:val="-24"/>
          <w:w w:val="105"/>
        </w:rPr>
        <w:t> </w:t>
      </w:r>
      <w:r>
        <w:rPr>
          <w:color w:val="231F20"/>
          <w:w w:val="105"/>
        </w:rPr>
        <w:t>the</w:t>
      </w:r>
      <w:r>
        <w:rPr>
          <w:color w:val="231F20"/>
          <w:spacing w:val="-25"/>
          <w:w w:val="105"/>
        </w:rPr>
        <w:t> </w:t>
      </w:r>
      <w:r>
        <w:rPr>
          <w:color w:val="231F20"/>
          <w:w w:val="105"/>
        </w:rPr>
        <w:t>sodium</w:t>
      </w:r>
      <w:r>
        <w:rPr>
          <w:color w:val="231F20"/>
          <w:spacing w:val="-24"/>
          <w:w w:val="105"/>
        </w:rPr>
        <w:t> </w:t>
      </w:r>
      <w:r>
        <w:rPr>
          <w:color w:val="231F20"/>
          <w:w w:val="105"/>
        </w:rPr>
        <w:t>chloride</w:t>
      </w:r>
      <w:r>
        <w:rPr>
          <w:color w:val="231F20"/>
          <w:spacing w:val="-24"/>
          <w:w w:val="105"/>
        </w:rPr>
        <w:t> </w:t>
      </w:r>
      <w:r>
        <w:rPr>
          <w:color w:val="231F20"/>
          <w:w w:val="105"/>
        </w:rPr>
        <w:t>diffuses out of the tubule and water remains in the</w:t>
      </w:r>
      <w:r>
        <w:rPr>
          <w:color w:val="231F20"/>
          <w:spacing w:val="15"/>
          <w:w w:val="105"/>
        </w:rPr>
        <w:t> </w:t>
      </w:r>
      <w:r>
        <w:rPr>
          <w:color w:val="231F20"/>
          <w:w w:val="105"/>
        </w:rPr>
        <w:t>tubule.</w:t>
      </w:r>
    </w:p>
    <w:p>
      <w:pPr>
        <w:pStyle w:val="BodyText"/>
        <w:spacing w:line="249" w:lineRule="auto" w:before="7"/>
        <w:ind w:left="1439" w:firstLine="240"/>
        <w:jc w:val="both"/>
      </w:pPr>
      <w:r>
        <w:rPr>
          <w:color w:val="231F20"/>
          <w:w w:val="105"/>
        </w:rPr>
        <w:t>Some</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urea</w:t>
      </w:r>
      <w:r>
        <w:rPr>
          <w:color w:val="231F20"/>
          <w:spacing w:val="-13"/>
          <w:w w:val="105"/>
        </w:rPr>
        <w:t> </w:t>
      </w:r>
      <w:r>
        <w:rPr>
          <w:color w:val="231F20"/>
          <w:w w:val="105"/>
        </w:rPr>
        <w:t>absorbed</w:t>
      </w:r>
      <w:r>
        <w:rPr>
          <w:color w:val="231F20"/>
          <w:spacing w:val="-13"/>
          <w:w w:val="105"/>
        </w:rPr>
        <w:t> </w:t>
      </w:r>
      <w:r>
        <w:rPr>
          <w:color w:val="231F20"/>
          <w:w w:val="105"/>
        </w:rPr>
        <w:t>into</w:t>
      </w:r>
      <w:r>
        <w:rPr>
          <w:color w:val="231F20"/>
          <w:spacing w:val="-13"/>
          <w:w w:val="105"/>
        </w:rPr>
        <w:t> </w:t>
      </w:r>
      <w:r>
        <w:rPr>
          <w:color w:val="231F20"/>
          <w:w w:val="105"/>
        </w:rPr>
        <w:t>the</w:t>
      </w:r>
      <w:r>
        <w:rPr>
          <w:color w:val="231F20"/>
          <w:spacing w:val="-14"/>
          <w:w w:val="105"/>
        </w:rPr>
        <w:t> </w:t>
      </w:r>
      <w:r>
        <w:rPr>
          <w:color w:val="231F20"/>
          <w:w w:val="105"/>
        </w:rPr>
        <w:t>medullary</w:t>
      </w:r>
      <w:r>
        <w:rPr>
          <w:color w:val="231F20"/>
          <w:spacing w:val="-13"/>
          <w:w w:val="105"/>
        </w:rPr>
        <w:t> </w:t>
      </w:r>
      <w:r>
        <w:rPr>
          <w:color w:val="231F20"/>
          <w:w w:val="105"/>
        </w:rPr>
        <w:t>intersti­ tium from the collecting ducts also diffuses into the ascending</w:t>
      </w:r>
      <w:r>
        <w:rPr>
          <w:color w:val="231F20"/>
          <w:spacing w:val="-8"/>
          <w:w w:val="105"/>
        </w:rPr>
        <w:t> </w:t>
      </w:r>
      <w:r>
        <w:rPr>
          <w:color w:val="231F20"/>
          <w:w w:val="105"/>
        </w:rPr>
        <w:t>limb,</w:t>
      </w:r>
      <w:r>
        <w:rPr>
          <w:color w:val="231F20"/>
          <w:spacing w:val="-7"/>
          <w:w w:val="105"/>
        </w:rPr>
        <w:t> </w:t>
      </w:r>
      <w:r>
        <w:rPr>
          <w:color w:val="231F20"/>
          <w:w w:val="105"/>
        </w:rPr>
        <w:t>thereby</w:t>
      </w:r>
      <w:r>
        <w:rPr>
          <w:color w:val="231F20"/>
          <w:spacing w:val="-7"/>
          <w:w w:val="105"/>
        </w:rPr>
        <w:t> </w:t>
      </w:r>
      <w:r>
        <w:rPr>
          <w:color w:val="231F20"/>
          <w:w w:val="105"/>
        </w:rPr>
        <w:t>returning</w:t>
      </w:r>
      <w:r>
        <w:rPr>
          <w:color w:val="231F20"/>
          <w:spacing w:val="-7"/>
          <w:w w:val="105"/>
        </w:rPr>
        <w:t> </w:t>
      </w:r>
      <w:r>
        <w:rPr>
          <w:color w:val="231F20"/>
          <w:w w:val="105"/>
        </w:rPr>
        <w:t>the</w:t>
      </w:r>
      <w:r>
        <w:rPr>
          <w:color w:val="231F20"/>
          <w:spacing w:val="-7"/>
          <w:w w:val="105"/>
        </w:rPr>
        <w:t> </w:t>
      </w:r>
      <w:r>
        <w:rPr>
          <w:color w:val="231F20"/>
          <w:w w:val="105"/>
        </w:rPr>
        <w:t>urea</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tubular system</w:t>
      </w:r>
      <w:r>
        <w:rPr>
          <w:color w:val="231F20"/>
          <w:spacing w:val="-9"/>
          <w:w w:val="105"/>
        </w:rPr>
        <w:t> </w:t>
      </w:r>
      <w:r>
        <w:rPr>
          <w:color w:val="231F20"/>
          <w:w w:val="105"/>
        </w:rPr>
        <w:t>and</w:t>
      </w:r>
      <w:r>
        <w:rPr>
          <w:color w:val="231F20"/>
          <w:spacing w:val="-9"/>
          <w:w w:val="105"/>
        </w:rPr>
        <w:t> </w:t>
      </w:r>
      <w:r>
        <w:rPr>
          <w:color w:val="231F20"/>
          <w:w w:val="105"/>
        </w:rPr>
        <w:t>helping</w:t>
      </w:r>
      <w:r>
        <w:rPr>
          <w:color w:val="231F20"/>
          <w:spacing w:val="-9"/>
          <w:w w:val="105"/>
        </w:rPr>
        <w:t> </w:t>
      </w:r>
      <w:r>
        <w:rPr>
          <w:color w:val="231F20"/>
          <w:w w:val="105"/>
        </w:rPr>
        <w:t>to</w:t>
      </w:r>
      <w:r>
        <w:rPr>
          <w:color w:val="231F20"/>
          <w:spacing w:val="-9"/>
          <w:w w:val="105"/>
        </w:rPr>
        <w:t> </w:t>
      </w:r>
      <w:r>
        <w:rPr>
          <w:color w:val="231F20"/>
          <w:w w:val="105"/>
        </w:rPr>
        <w:t>prevent</w:t>
      </w:r>
      <w:r>
        <w:rPr>
          <w:color w:val="231F20"/>
          <w:spacing w:val="-9"/>
          <w:w w:val="105"/>
        </w:rPr>
        <w:t> </w:t>
      </w:r>
      <w:r>
        <w:rPr>
          <w:color w:val="231F20"/>
          <w:w w:val="105"/>
        </w:rPr>
        <w:t>its</w:t>
      </w:r>
      <w:r>
        <w:rPr>
          <w:color w:val="231F20"/>
          <w:spacing w:val="-9"/>
          <w:w w:val="105"/>
        </w:rPr>
        <w:t> </w:t>
      </w:r>
      <w:r>
        <w:rPr>
          <w:color w:val="231F20"/>
          <w:w w:val="105"/>
        </w:rPr>
        <w:t>washout</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spacing w:val="-4"/>
          <w:w w:val="105"/>
        </w:rPr>
        <w:t>renal </w:t>
      </w:r>
      <w:r>
        <w:rPr>
          <w:color w:val="231F20"/>
          <w:w w:val="105"/>
        </w:rPr>
        <w:t>medulla.</w:t>
      </w:r>
      <w:r>
        <w:rPr>
          <w:color w:val="231F20"/>
          <w:spacing w:val="-15"/>
          <w:w w:val="105"/>
        </w:rPr>
        <w:t> </w:t>
      </w:r>
      <w:r>
        <w:rPr>
          <w:color w:val="231F20"/>
          <w:w w:val="105"/>
        </w:rPr>
        <w:t>This</w:t>
      </w:r>
      <w:r>
        <w:rPr>
          <w:color w:val="231F20"/>
          <w:spacing w:val="-14"/>
          <w:w w:val="105"/>
        </w:rPr>
        <w:t> </w:t>
      </w:r>
      <w:r>
        <w:rPr>
          <w:i/>
          <w:color w:val="231F20"/>
          <w:w w:val="105"/>
        </w:rPr>
        <w:t>urea</w:t>
      </w:r>
      <w:r>
        <w:rPr>
          <w:i/>
          <w:color w:val="231F20"/>
          <w:spacing w:val="-15"/>
          <w:w w:val="105"/>
        </w:rPr>
        <w:t> </w:t>
      </w:r>
      <w:r>
        <w:rPr>
          <w:i/>
          <w:color w:val="231F20"/>
          <w:w w:val="105"/>
        </w:rPr>
        <w:t>recycling</w:t>
      </w:r>
      <w:r>
        <w:rPr>
          <w:i/>
          <w:color w:val="231F20"/>
          <w:spacing w:val="-14"/>
          <w:w w:val="105"/>
        </w:rPr>
        <w:t> </w:t>
      </w:r>
      <w:r>
        <w:rPr>
          <w:color w:val="231F20"/>
          <w:w w:val="105"/>
        </w:rPr>
        <w:t>is</w:t>
      </w:r>
      <w:r>
        <w:rPr>
          <w:color w:val="231F20"/>
          <w:spacing w:val="-14"/>
          <w:w w:val="105"/>
        </w:rPr>
        <w:t> </w:t>
      </w:r>
      <w:r>
        <w:rPr>
          <w:color w:val="231F20"/>
          <w:w w:val="105"/>
        </w:rPr>
        <w:t>an</w:t>
      </w:r>
      <w:r>
        <w:rPr>
          <w:color w:val="231F20"/>
          <w:spacing w:val="-15"/>
          <w:w w:val="105"/>
        </w:rPr>
        <w:t> </w:t>
      </w:r>
      <w:r>
        <w:rPr>
          <w:color w:val="231F20"/>
          <w:w w:val="105"/>
        </w:rPr>
        <w:t>additional</w:t>
      </w:r>
      <w:r>
        <w:rPr>
          <w:color w:val="231F20"/>
          <w:spacing w:val="-14"/>
          <w:w w:val="105"/>
        </w:rPr>
        <w:t> </w:t>
      </w:r>
      <w:r>
        <w:rPr>
          <w:color w:val="231F20"/>
          <w:w w:val="105"/>
        </w:rPr>
        <w:t>mechanism that contributes to the hyperosmotic renal</w:t>
      </w:r>
      <w:r>
        <w:rPr>
          <w:color w:val="231F20"/>
          <w:spacing w:val="6"/>
          <w:w w:val="105"/>
        </w:rPr>
        <w:t> </w:t>
      </w:r>
      <w:r>
        <w:rPr>
          <w:color w:val="231F20"/>
          <w:w w:val="105"/>
        </w:rPr>
        <w:t>medulla.</w:t>
      </w:r>
    </w:p>
    <w:p>
      <w:pPr>
        <w:pStyle w:val="BodyText"/>
        <w:spacing w:line="249" w:lineRule="auto" w:before="245"/>
        <w:ind w:left="1440"/>
        <w:jc w:val="both"/>
      </w:pPr>
      <w:r>
        <w:rPr>
          <w:rFonts w:ascii="Trebuchet MS"/>
          <w:b/>
          <w:color w:val="231F20"/>
          <w:w w:val="105"/>
          <w:sz w:val="19"/>
        </w:rPr>
        <w:t>Thick Ascending Loop of Henle. </w:t>
      </w:r>
      <w:r>
        <w:rPr>
          <w:color w:val="231F20"/>
          <w:w w:val="105"/>
        </w:rPr>
        <w:t>The thick part of</w:t>
      </w:r>
      <w:r>
        <w:rPr>
          <w:color w:val="231F20"/>
          <w:spacing w:val="-38"/>
          <w:w w:val="105"/>
        </w:rPr>
        <w:t> </w:t>
      </w:r>
      <w:r>
        <w:rPr>
          <w:color w:val="231F20"/>
          <w:spacing w:val="-6"/>
          <w:w w:val="105"/>
        </w:rPr>
        <w:t>the </w:t>
      </w:r>
      <w:r>
        <w:rPr>
          <w:color w:val="231F20"/>
          <w:w w:val="105"/>
        </w:rPr>
        <w:t>ascending</w:t>
      </w:r>
      <w:r>
        <w:rPr>
          <w:color w:val="231F20"/>
          <w:spacing w:val="-11"/>
          <w:w w:val="105"/>
        </w:rPr>
        <w:t> </w:t>
      </w:r>
      <w:r>
        <w:rPr>
          <w:color w:val="231F20"/>
          <w:w w:val="105"/>
        </w:rPr>
        <w:t>loop</w:t>
      </w:r>
      <w:r>
        <w:rPr>
          <w:color w:val="231F20"/>
          <w:spacing w:val="-11"/>
          <w:w w:val="105"/>
        </w:rPr>
        <w:t> </w:t>
      </w:r>
      <w:r>
        <w:rPr>
          <w:color w:val="231F20"/>
          <w:w w:val="105"/>
        </w:rPr>
        <w:t>of</w:t>
      </w:r>
      <w:r>
        <w:rPr>
          <w:color w:val="231F20"/>
          <w:spacing w:val="-11"/>
          <w:w w:val="105"/>
        </w:rPr>
        <w:t> </w:t>
      </w:r>
      <w:r>
        <w:rPr>
          <w:color w:val="231F20"/>
          <w:w w:val="105"/>
        </w:rPr>
        <w:t>Henle</w:t>
      </w:r>
      <w:r>
        <w:rPr>
          <w:color w:val="231F20"/>
          <w:spacing w:val="-11"/>
          <w:w w:val="105"/>
        </w:rPr>
        <w:t> </w:t>
      </w:r>
      <w:r>
        <w:rPr>
          <w:color w:val="231F20"/>
          <w:w w:val="105"/>
        </w:rPr>
        <w:t>is</w:t>
      </w:r>
      <w:r>
        <w:rPr>
          <w:color w:val="231F20"/>
          <w:spacing w:val="-11"/>
          <w:w w:val="105"/>
        </w:rPr>
        <w:t> </w:t>
      </w:r>
      <w:r>
        <w:rPr>
          <w:color w:val="231F20"/>
          <w:w w:val="105"/>
        </w:rPr>
        <w:t>also</w:t>
      </w:r>
      <w:r>
        <w:rPr>
          <w:color w:val="231F20"/>
          <w:spacing w:val="-11"/>
          <w:w w:val="105"/>
        </w:rPr>
        <w:t> </w:t>
      </w:r>
      <w:r>
        <w:rPr>
          <w:color w:val="231F20"/>
          <w:w w:val="105"/>
        </w:rPr>
        <w:t>virtually</w:t>
      </w:r>
      <w:r>
        <w:rPr>
          <w:color w:val="231F20"/>
          <w:spacing w:val="-11"/>
          <w:w w:val="105"/>
        </w:rPr>
        <w:t> </w:t>
      </w:r>
      <w:r>
        <w:rPr>
          <w:color w:val="231F20"/>
          <w:w w:val="105"/>
        </w:rPr>
        <w:t>impermeable</w:t>
      </w:r>
      <w:r>
        <w:rPr>
          <w:color w:val="231F20"/>
          <w:spacing w:val="-11"/>
          <w:w w:val="105"/>
        </w:rPr>
        <w:t> </w:t>
      </w:r>
      <w:r>
        <w:rPr>
          <w:color w:val="231F20"/>
          <w:w w:val="105"/>
        </w:rPr>
        <w:t>to </w:t>
      </w:r>
      <w:r>
        <w:rPr>
          <w:color w:val="231F20"/>
          <w:spacing w:val="-3"/>
          <w:w w:val="105"/>
        </w:rPr>
        <w:t>water,</w:t>
      </w:r>
      <w:r>
        <w:rPr>
          <w:color w:val="231F20"/>
          <w:spacing w:val="-13"/>
          <w:w w:val="105"/>
        </w:rPr>
        <w:t> </w:t>
      </w:r>
      <w:r>
        <w:rPr>
          <w:color w:val="231F20"/>
          <w:w w:val="105"/>
        </w:rPr>
        <w:t>but</w:t>
      </w:r>
      <w:r>
        <w:rPr>
          <w:color w:val="231F20"/>
          <w:spacing w:val="-12"/>
          <w:w w:val="105"/>
        </w:rPr>
        <w:t> </w:t>
      </w:r>
      <w:r>
        <w:rPr>
          <w:color w:val="231F20"/>
          <w:w w:val="105"/>
        </w:rPr>
        <w:t>large</w:t>
      </w:r>
      <w:r>
        <w:rPr>
          <w:color w:val="231F20"/>
          <w:spacing w:val="-12"/>
          <w:w w:val="105"/>
        </w:rPr>
        <w:t> </w:t>
      </w:r>
      <w:r>
        <w:rPr>
          <w:color w:val="231F20"/>
          <w:w w:val="105"/>
        </w:rPr>
        <w:t>amounts</w:t>
      </w:r>
      <w:r>
        <w:rPr>
          <w:color w:val="231F20"/>
          <w:spacing w:val="-13"/>
          <w:w w:val="105"/>
        </w:rPr>
        <w:t> </w:t>
      </w:r>
      <w:r>
        <w:rPr>
          <w:color w:val="231F20"/>
          <w:w w:val="105"/>
        </w:rPr>
        <w:t>of</w:t>
      </w:r>
      <w:r>
        <w:rPr>
          <w:color w:val="231F20"/>
          <w:spacing w:val="-12"/>
          <w:w w:val="105"/>
        </w:rPr>
        <w:t> </w:t>
      </w:r>
      <w:r>
        <w:rPr>
          <w:color w:val="231F20"/>
          <w:w w:val="105"/>
        </w:rPr>
        <w:t>sodium,</w:t>
      </w:r>
      <w:r>
        <w:rPr>
          <w:color w:val="231F20"/>
          <w:spacing w:val="-12"/>
          <w:w w:val="105"/>
        </w:rPr>
        <w:t> </w:t>
      </w:r>
      <w:r>
        <w:rPr>
          <w:color w:val="231F20"/>
          <w:w w:val="105"/>
        </w:rPr>
        <w:t>chloride,</w:t>
      </w:r>
      <w:r>
        <w:rPr>
          <w:color w:val="231F20"/>
          <w:spacing w:val="-13"/>
          <w:w w:val="105"/>
        </w:rPr>
        <w:t> </w:t>
      </w:r>
      <w:r>
        <w:rPr>
          <w:color w:val="231F20"/>
          <w:w w:val="105"/>
        </w:rPr>
        <w:t>potassium, and other ions are actively transported from the </w:t>
      </w:r>
      <w:r>
        <w:rPr>
          <w:color w:val="231F20"/>
          <w:spacing w:val="-4"/>
          <w:w w:val="105"/>
        </w:rPr>
        <w:t>tubule </w:t>
      </w:r>
      <w:r>
        <w:rPr>
          <w:color w:val="231F20"/>
          <w:w w:val="105"/>
        </w:rPr>
        <w:t>into the medullary interstitium. Therefore, fluid in </w:t>
      </w:r>
      <w:r>
        <w:rPr>
          <w:color w:val="231F20"/>
          <w:spacing w:val="-6"/>
          <w:w w:val="105"/>
        </w:rPr>
        <w:t>the </w:t>
      </w:r>
      <w:r>
        <w:rPr>
          <w:color w:val="231F20"/>
          <w:w w:val="105"/>
        </w:rPr>
        <w:t>thick</w:t>
      </w:r>
      <w:r>
        <w:rPr>
          <w:color w:val="231F20"/>
          <w:spacing w:val="-5"/>
          <w:w w:val="105"/>
        </w:rPr>
        <w:t> </w:t>
      </w:r>
      <w:r>
        <w:rPr>
          <w:color w:val="231F20"/>
          <w:w w:val="105"/>
        </w:rPr>
        <w:t>ascending</w:t>
      </w:r>
      <w:r>
        <w:rPr>
          <w:color w:val="231F20"/>
          <w:spacing w:val="-5"/>
          <w:w w:val="105"/>
        </w:rPr>
        <w:t> </w:t>
      </w:r>
      <w:r>
        <w:rPr>
          <w:color w:val="231F20"/>
          <w:w w:val="105"/>
        </w:rPr>
        <w:t>limb</w:t>
      </w:r>
      <w:r>
        <w:rPr>
          <w:color w:val="231F20"/>
          <w:spacing w:val="-4"/>
          <w:w w:val="105"/>
        </w:rPr>
        <w:t> </w:t>
      </w:r>
      <w:r>
        <w:rPr>
          <w:color w:val="231F20"/>
          <w:w w:val="105"/>
        </w:rPr>
        <w:t>of</w:t>
      </w:r>
      <w:r>
        <w:rPr>
          <w:color w:val="231F20"/>
          <w:spacing w:val="-5"/>
          <w:w w:val="105"/>
        </w:rPr>
        <w:t> </w:t>
      </w:r>
      <w:r>
        <w:rPr>
          <w:color w:val="231F20"/>
          <w:w w:val="105"/>
        </w:rPr>
        <w:t>the</w:t>
      </w:r>
      <w:r>
        <w:rPr>
          <w:color w:val="231F20"/>
          <w:spacing w:val="-4"/>
          <w:w w:val="105"/>
        </w:rPr>
        <w:t> </w:t>
      </w:r>
      <w:r>
        <w:rPr>
          <w:color w:val="231F20"/>
          <w:w w:val="105"/>
        </w:rPr>
        <w:t>loop</w:t>
      </w:r>
      <w:r>
        <w:rPr>
          <w:color w:val="231F20"/>
          <w:spacing w:val="-5"/>
          <w:w w:val="105"/>
        </w:rPr>
        <w:t> </w:t>
      </w:r>
      <w:r>
        <w:rPr>
          <w:color w:val="231F20"/>
          <w:w w:val="105"/>
        </w:rPr>
        <w:t>of</w:t>
      </w:r>
      <w:r>
        <w:rPr>
          <w:color w:val="231F20"/>
          <w:spacing w:val="-5"/>
          <w:w w:val="105"/>
        </w:rPr>
        <w:t> </w:t>
      </w:r>
      <w:r>
        <w:rPr>
          <w:color w:val="231F20"/>
          <w:w w:val="105"/>
        </w:rPr>
        <w:t>Henle</w:t>
      </w:r>
      <w:r>
        <w:rPr>
          <w:color w:val="231F20"/>
          <w:spacing w:val="-4"/>
          <w:w w:val="105"/>
        </w:rPr>
        <w:t> </w:t>
      </w:r>
      <w:r>
        <w:rPr>
          <w:color w:val="231F20"/>
          <w:w w:val="105"/>
        </w:rPr>
        <w:t>becomes</w:t>
      </w:r>
      <w:r>
        <w:rPr>
          <w:color w:val="231F20"/>
          <w:spacing w:val="-4"/>
          <w:w w:val="105"/>
        </w:rPr>
        <w:t> </w:t>
      </w:r>
      <w:r>
        <w:rPr>
          <w:color w:val="231F20"/>
          <w:w w:val="105"/>
        </w:rPr>
        <w:t>very dilute,</w:t>
      </w:r>
      <w:r>
        <w:rPr>
          <w:color w:val="231F20"/>
          <w:spacing w:val="-7"/>
          <w:w w:val="105"/>
        </w:rPr>
        <w:t> </w:t>
      </w:r>
      <w:r>
        <w:rPr>
          <w:color w:val="231F20"/>
          <w:w w:val="105"/>
        </w:rPr>
        <w:t>falling</w:t>
      </w:r>
      <w:r>
        <w:rPr>
          <w:color w:val="231F20"/>
          <w:spacing w:val="-7"/>
          <w:w w:val="105"/>
        </w:rPr>
        <w:t> </w:t>
      </w:r>
      <w:r>
        <w:rPr>
          <w:color w:val="231F20"/>
          <w:w w:val="105"/>
        </w:rPr>
        <w:t>to</w:t>
      </w:r>
      <w:r>
        <w:rPr>
          <w:color w:val="231F20"/>
          <w:spacing w:val="-6"/>
          <w:w w:val="105"/>
        </w:rPr>
        <w:t> </w:t>
      </w:r>
      <w:r>
        <w:rPr>
          <w:color w:val="231F20"/>
          <w:w w:val="105"/>
        </w:rPr>
        <w:t>a</w:t>
      </w:r>
      <w:r>
        <w:rPr>
          <w:color w:val="231F20"/>
          <w:spacing w:val="-7"/>
          <w:w w:val="105"/>
        </w:rPr>
        <w:t> </w:t>
      </w:r>
      <w:r>
        <w:rPr>
          <w:color w:val="231F20"/>
          <w:w w:val="105"/>
        </w:rPr>
        <w:t>concentration</w:t>
      </w:r>
      <w:r>
        <w:rPr>
          <w:color w:val="231F20"/>
          <w:spacing w:val="-6"/>
          <w:w w:val="105"/>
        </w:rPr>
        <w:t> </w:t>
      </w:r>
      <w:r>
        <w:rPr>
          <w:color w:val="231F20"/>
          <w:w w:val="105"/>
        </w:rPr>
        <w:t>of</w:t>
      </w:r>
      <w:r>
        <w:rPr>
          <w:color w:val="231F20"/>
          <w:spacing w:val="-7"/>
          <w:w w:val="105"/>
        </w:rPr>
        <w:t> </w:t>
      </w:r>
      <w:r>
        <w:rPr>
          <w:color w:val="231F20"/>
          <w:w w:val="105"/>
        </w:rPr>
        <w:t>about</w:t>
      </w:r>
      <w:r>
        <w:rPr>
          <w:color w:val="231F20"/>
          <w:spacing w:val="-6"/>
          <w:w w:val="105"/>
        </w:rPr>
        <w:t> </w:t>
      </w:r>
      <w:r>
        <w:rPr>
          <w:color w:val="231F20"/>
          <w:w w:val="105"/>
        </w:rPr>
        <w:t>100</w:t>
      </w:r>
      <w:r>
        <w:rPr>
          <w:color w:val="231F20"/>
          <w:spacing w:val="-6"/>
          <w:w w:val="105"/>
        </w:rPr>
        <w:t> </w:t>
      </w:r>
      <w:r>
        <w:rPr>
          <w:color w:val="231F20"/>
          <w:w w:val="105"/>
        </w:rPr>
        <w:t>mOsm/L.</w:t>
      </w:r>
    </w:p>
    <w:p>
      <w:pPr>
        <w:pStyle w:val="BodyText"/>
        <w:spacing w:line="249" w:lineRule="auto" w:before="246"/>
        <w:ind w:left="1440" w:hanging="1"/>
        <w:jc w:val="both"/>
      </w:pPr>
      <w:r>
        <w:rPr>
          <w:rFonts w:ascii="Trebuchet MS" w:hAnsi="Trebuchet MS"/>
          <w:b/>
          <w:color w:val="231F20"/>
          <w:sz w:val="19"/>
        </w:rPr>
        <w:t>Early Distal Tubule. </w:t>
      </w:r>
      <w:r>
        <w:rPr>
          <w:color w:val="231F20"/>
        </w:rPr>
        <w:t>The early distal tubule has proper­ ties similar to those of the thick ascending loop of Henle,</w:t>
      </w:r>
    </w:p>
    <w:p>
      <w:pPr>
        <w:pStyle w:val="BodyText"/>
        <w:spacing w:line="249" w:lineRule="auto" w:before="231"/>
        <w:ind w:left="319" w:right="1077"/>
        <w:jc w:val="both"/>
      </w:pPr>
      <w:r>
        <w:rPr/>
        <w:br w:type="column"/>
      </w:r>
      <w:r>
        <w:rPr>
          <w:color w:val="231F20"/>
          <w:w w:val="105"/>
        </w:rPr>
        <w:t>so</w:t>
      </w:r>
      <w:r>
        <w:rPr>
          <w:color w:val="231F20"/>
          <w:spacing w:val="-31"/>
          <w:w w:val="105"/>
        </w:rPr>
        <w:t> </w:t>
      </w:r>
      <w:r>
        <w:rPr>
          <w:color w:val="231F20"/>
          <w:w w:val="105"/>
        </w:rPr>
        <w:t>further</w:t>
      </w:r>
      <w:r>
        <w:rPr>
          <w:color w:val="231F20"/>
          <w:spacing w:val="-30"/>
          <w:w w:val="105"/>
        </w:rPr>
        <w:t> </w:t>
      </w:r>
      <w:r>
        <w:rPr>
          <w:color w:val="231F20"/>
          <w:w w:val="105"/>
        </w:rPr>
        <w:t>dilution</w:t>
      </w:r>
      <w:r>
        <w:rPr>
          <w:color w:val="231F20"/>
          <w:spacing w:val="-30"/>
          <w:w w:val="105"/>
        </w:rPr>
        <w:t> </w:t>
      </w:r>
      <w:r>
        <w:rPr>
          <w:color w:val="231F20"/>
          <w:w w:val="105"/>
        </w:rPr>
        <w:t>of</w:t>
      </w:r>
      <w:r>
        <w:rPr>
          <w:color w:val="231F20"/>
          <w:spacing w:val="-31"/>
          <w:w w:val="105"/>
        </w:rPr>
        <w:t> </w:t>
      </w:r>
      <w:r>
        <w:rPr>
          <w:color w:val="231F20"/>
          <w:w w:val="105"/>
        </w:rPr>
        <w:t>the</w:t>
      </w:r>
      <w:r>
        <w:rPr>
          <w:color w:val="231F20"/>
          <w:spacing w:val="-30"/>
          <w:w w:val="105"/>
        </w:rPr>
        <w:t> </w:t>
      </w:r>
      <w:r>
        <w:rPr>
          <w:color w:val="231F20"/>
          <w:w w:val="105"/>
        </w:rPr>
        <w:t>tubular</w:t>
      </w:r>
      <w:r>
        <w:rPr>
          <w:color w:val="231F20"/>
          <w:spacing w:val="-30"/>
          <w:w w:val="105"/>
        </w:rPr>
        <w:t> </w:t>
      </w:r>
      <w:r>
        <w:rPr>
          <w:color w:val="231F20"/>
          <w:w w:val="105"/>
        </w:rPr>
        <w:t>fluid</w:t>
      </w:r>
      <w:r>
        <w:rPr>
          <w:color w:val="231F20"/>
          <w:spacing w:val="-31"/>
          <w:w w:val="105"/>
        </w:rPr>
        <w:t> </w:t>
      </w:r>
      <w:r>
        <w:rPr>
          <w:color w:val="231F20"/>
          <w:w w:val="105"/>
        </w:rPr>
        <w:t>to</w:t>
      </w:r>
      <w:r>
        <w:rPr>
          <w:color w:val="231F20"/>
          <w:spacing w:val="-30"/>
          <w:w w:val="105"/>
        </w:rPr>
        <w:t> </w:t>
      </w:r>
      <w:r>
        <w:rPr>
          <w:color w:val="231F20"/>
          <w:w w:val="105"/>
        </w:rPr>
        <w:t>about</w:t>
      </w:r>
      <w:r>
        <w:rPr>
          <w:color w:val="231F20"/>
          <w:spacing w:val="-30"/>
          <w:w w:val="105"/>
        </w:rPr>
        <w:t> </w:t>
      </w:r>
      <w:r>
        <w:rPr>
          <w:color w:val="231F20"/>
          <w:w w:val="105"/>
        </w:rPr>
        <w:t>50</w:t>
      </w:r>
      <w:r>
        <w:rPr>
          <w:color w:val="231F20"/>
          <w:spacing w:val="-7"/>
          <w:w w:val="105"/>
        </w:rPr>
        <w:t> </w:t>
      </w:r>
      <w:r>
        <w:rPr>
          <w:color w:val="231F20"/>
          <w:w w:val="105"/>
        </w:rPr>
        <w:t>mOsm/L occurs as solutes are reabsorbed while water remains </w:t>
      </w:r>
      <w:r>
        <w:rPr>
          <w:color w:val="231F20"/>
          <w:spacing w:val="-6"/>
          <w:w w:val="105"/>
        </w:rPr>
        <w:t>in </w:t>
      </w:r>
      <w:r>
        <w:rPr>
          <w:color w:val="231F20"/>
          <w:w w:val="105"/>
        </w:rPr>
        <w:t>the</w:t>
      </w:r>
      <w:r>
        <w:rPr>
          <w:color w:val="231F20"/>
          <w:spacing w:val="3"/>
          <w:w w:val="105"/>
        </w:rPr>
        <w:t> </w:t>
      </w:r>
      <w:r>
        <w:rPr>
          <w:color w:val="231F20"/>
          <w:w w:val="105"/>
        </w:rPr>
        <w:t>tubule.</w:t>
      </w:r>
    </w:p>
    <w:p>
      <w:pPr>
        <w:pStyle w:val="BodyText"/>
        <w:spacing w:line="249" w:lineRule="auto" w:before="251"/>
        <w:ind w:left="319" w:right="1077"/>
        <w:jc w:val="both"/>
      </w:pPr>
      <w:r>
        <w:rPr>
          <w:rFonts w:ascii="Trebuchet MS" w:hAnsi="Trebuchet MS"/>
          <w:b/>
          <w:color w:val="231F20"/>
          <w:w w:val="105"/>
          <w:sz w:val="19"/>
        </w:rPr>
        <w:t>Late Distal </w:t>
      </w:r>
      <w:r>
        <w:rPr>
          <w:rFonts w:ascii="Trebuchet MS" w:hAnsi="Trebuchet MS"/>
          <w:b/>
          <w:color w:val="231F20"/>
          <w:spacing w:val="-3"/>
          <w:w w:val="105"/>
          <w:sz w:val="19"/>
        </w:rPr>
        <w:t>Tubule </w:t>
      </w:r>
      <w:r>
        <w:rPr>
          <w:rFonts w:ascii="Trebuchet MS" w:hAnsi="Trebuchet MS"/>
          <w:b/>
          <w:color w:val="231F20"/>
          <w:w w:val="105"/>
          <w:sz w:val="19"/>
        </w:rPr>
        <w:t>and Cortical Collecting </w:t>
      </w:r>
      <w:r>
        <w:rPr>
          <w:rFonts w:ascii="Trebuchet MS" w:hAnsi="Trebuchet MS"/>
          <w:b/>
          <w:color w:val="231F20"/>
          <w:spacing w:val="-5"/>
          <w:w w:val="105"/>
          <w:sz w:val="19"/>
        </w:rPr>
        <w:t>Tubules. </w:t>
      </w:r>
      <w:r>
        <w:rPr>
          <w:color w:val="231F20"/>
          <w:w w:val="105"/>
        </w:rPr>
        <w:t>In the late distal tubule and cortical collecting tubules, the osmolarity of the fluid depends on the level </w:t>
      </w:r>
      <w:r>
        <w:rPr>
          <w:color w:val="231F20"/>
          <w:spacing w:val="-7"/>
          <w:w w:val="105"/>
        </w:rPr>
        <w:t>of </w:t>
      </w:r>
      <w:r>
        <w:rPr>
          <w:color w:val="231F20"/>
          <w:w w:val="105"/>
        </w:rPr>
        <w:t>ADH.</w:t>
      </w:r>
      <w:r>
        <w:rPr>
          <w:color w:val="231F20"/>
          <w:spacing w:val="-11"/>
          <w:w w:val="105"/>
        </w:rPr>
        <w:t> </w:t>
      </w:r>
      <w:r>
        <w:rPr>
          <w:color w:val="231F20"/>
          <w:spacing w:val="-3"/>
          <w:w w:val="105"/>
        </w:rPr>
        <w:t>With</w:t>
      </w:r>
      <w:r>
        <w:rPr>
          <w:color w:val="231F20"/>
          <w:spacing w:val="-10"/>
          <w:w w:val="105"/>
        </w:rPr>
        <w:t> </w:t>
      </w:r>
      <w:r>
        <w:rPr>
          <w:color w:val="231F20"/>
          <w:w w:val="105"/>
        </w:rPr>
        <w:t>high</w:t>
      </w:r>
      <w:r>
        <w:rPr>
          <w:color w:val="231F20"/>
          <w:spacing w:val="-10"/>
          <w:w w:val="105"/>
        </w:rPr>
        <w:t> </w:t>
      </w:r>
      <w:r>
        <w:rPr>
          <w:color w:val="231F20"/>
          <w:w w:val="105"/>
        </w:rPr>
        <w:t>levels</w:t>
      </w:r>
      <w:r>
        <w:rPr>
          <w:color w:val="231F20"/>
          <w:spacing w:val="-10"/>
          <w:w w:val="105"/>
        </w:rPr>
        <w:t> </w:t>
      </w:r>
      <w:r>
        <w:rPr>
          <w:color w:val="231F20"/>
          <w:w w:val="105"/>
        </w:rPr>
        <w:t>of</w:t>
      </w:r>
      <w:r>
        <w:rPr>
          <w:color w:val="231F20"/>
          <w:spacing w:val="-10"/>
          <w:w w:val="105"/>
        </w:rPr>
        <w:t> </w:t>
      </w:r>
      <w:r>
        <w:rPr>
          <w:color w:val="231F20"/>
          <w:w w:val="105"/>
        </w:rPr>
        <w:t>ADH,</w:t>
      </w:r>
      <w:r>
        <w:rPr>
          <w:color w:val="231F20"/>
          <w:spacing w:val="-10"/>
          <w:w w:val="105"/>
        </w:rPr>
        <w:t> </w:t>
      </w:r>
      <w:r>
        <w:rPr>
          <w:color w:val="231F20"/>
          <w:w w:val="105"/>
        </w:rPr>
        <w:t>these</w:t>
      </w:r>
      <w:r>
        <w:rPr>
          <w:color w:val="231F20"/>
          <w:spacing w:val="-11"/>
          <w:w w:val="105"/>
        </w:rPr>
        <w:t> </w:t>
      </w:r>
      <w:r>
        <w:rPr>
          <w:color w:val="231F20"/>
          <w:w w:val="105"/>
        </w:rPr>
        <w:t>tubules</w:t>
      </w:r>
      <w:r>
        <w:rPr>
          <w:color w:val="231F20"/>
          <w:spacing w:val="-10"/>
          <w:w w:val="105"/>
        </w:rPr>
        <w:t> </w:t>
      </w:r>
      <w:r>
        <w:rPr>
          <w:color w:val="231F20"/>
          <w:w w:val="105"/>
        </w:rPr>
        <w:t>are</w:t>
      </w:r>
      <w:r>
        <w:rPr>
          <w:color w:val="231F20"/>
          <w:spacing w:val="-10"/>
          <w:w w:val="105"/>
        </w:rPr>
        <w:t> </w:t>
      </w:r>
      <w:r>
        <w:rPr>
          <w:color w:val="231F20"/>
          <w:w w:val="105"/>
        </w:rPr>
        <w:t>highly permeable to water and significant amounts of water are reabsorbed. Urea, however, is not very permeant in this part of the nephron, resulting in increased urea</w:t>
      </w:r>
      <w:r>
        <w:rPr>
          <w:color w:val="231F20"/>
          <w:spacing w:val="-20"/>
          <w:w w:val="105"/>
        </w:rPr>
        <w:t> </w:t>
      </w:r>
      <w:r>
        <w:rPr>
          <w:color w:val="231F20"/>
          <w:spacing w:val="-4"/>
          <w:w w:val="105"/>
        </w:rPr>
        <w:t>con­ </w:t>
      </w:r>
      <w:r>
        <w:rPr>
          <w:color w:val="231F20"/>
          <w:w w:val="105"/>
        </w:rPr>
        <w:t>centration as water is reabsorbed. This process allows most</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urea</w:t>
      </w:r>
      <w:r>
        <w:rPr>
          <w:color w:val="231F20"/>
          <w:spacing w:val="-14"/>
          <w:w w:val="105"/>
        </w:rPr>
        <w:t> </w:t>
      </w:r>
      <w:r>
        <w:rPr>
          <w:color w:val="231F20"/>
          <w:w w:val="105"/>
        </w:rPr>
        <w:t>delivered</w:t>
      </w:r>
      <w:r>
        <w:rPr>
          <w:color w:val="231F20"/>
          <w:spacing w:val="-15"/>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distal</w:t>
      </w:r>
      <w:r>
        <w:rPr>
          <w:color w:val="231F20"/>
          <w:spacing w:val="-14"/>
          <w:w w:val="105"/>
        </w:rPr>
        <w:t> </w:t>
      </w:r>
      <w:r>
        <w:rPr>
          <w:color w:val="231F20"/>
          <w:w w:val="105"/>
        </w:rPr>
        <w:t>tubule</w:t>
      </w:r>
      <w:r>
        <w:rPr>
          <w:color w:val="231F20"/>
          <w:spacing w:val="-15"/>
          <w:w w:val="105"/>
        </w:rPr>
        <w:t> </w:t>
      </w:r>
      <w:r>
        <w:rPr>
          <w:color w:val="231F20"/>
          <w:w w:val="105"/>
        </w:rPr>
        <w:t>and</w:t>
      </w:r>
      <w:r>
        <w:rPr>
          <w:color w:val="231F20"/>
          <w:spacing w:val="-14"/>
          <w:w w:val="105"/>
        </w:rPr>
        <w:t> </w:t>
      </w:r>
      <w:r>
        <w:rPr>
          <w:color w:val="231F20"/>
          <w:spacing w:val="-4"/>
          <w:w w:val="105"/>
        </w:rPr>
        <w:t>collect­ </w:t>
      </w:r>
      <w:r>
        <w:rPr>
          <w:color w:val="231F20"/>
          <w:w w:val="105"/>
        </w:rPr>
        <w:t>ing tubule to pass into the inner medullary </w:t>
      </w:r>
      <w:r>
        <w:rPr>
          <w:color w:val="231F20"/>
          <w:spacing w:val="-3"/>
          <w:w w:val="105"/>
        </w:rPr>
        <w:t>collecting </w:t>
      </w:r>
      <w:r>
        <w:rPr>
          <w:color w:val="231F20"/>
          <w:w w:val="105"/>
        </w:rPr>
        <w:t>ducts,</w:t>
      </w:r>
      <w:r>
        <w:rPr>
          <w:color w:val="231F20"/>
          <w:spacing w:val="-13"/>
          <w:w w:val="105"/>
        </w:rPr>
        <w:t> </w:t>
      </w:r>
      <w:r>
        <w:rPr>
          <w:color w:val="231F20"/>
          <w:w w:val="105"/>
        </w:rPr>
        <w:t>from</w:t>
      </w:r>
      <w:r>
        <w:rPr>
          <w:color w:val="231F20"/>
          <w:spacing w:val="-13"/>
          <w:w w:val="105"/>
        </w:rPr>
        <w:t> </w:t>
      </w:r>
      <w:r>
        <w:rPr>
          <w:color w:val="231F20"/>
          <w:w w:val="105"/>
        </w:rPr>
        <w:t>which</w:t>
      </w:r>
      <w:r>
        <w:rPr>
          <w:color w:val="231F20"/>
          <w:spacing w:val="-12"/>
          <w:w w:val="105"/>
        </w:rPr>
        <w:t> </w:t>
      </w:r>
      <w:r>
        <w:rPr>
          <w:color w:val="231F20"/>
          <w:w w:val="105"/>
        </w:rPr>
        <w:t>it</w:t>
      </w:r>
      <w:r>
        <w:rPr>
          <w:color w:val="231F20"/>
          <w:spacing w:val="-13"/>
          <w:w w:val="105"/>
        </w:rPr>
        <w:t> </w:t>
      </w:r>
      <w:r>
        <w:rPr>
          <w:color w:val="231F20"/>
          <w:w w:val="105"/>
        </w:rPr>
        <w:t>is</w:t>
      </w:r>
      <w:r>
        <w:rPr>
          <w:color w:val="231F20"/>
          <w:spacing w:val="-13"/>
          <w:w w:val="105"/>
        </w:rPr>
        <w:t> </w:t>
      </w:r>
      <w:r>
        <w:rPr>
          <w:color w:val="231F20"/>
          <w:w w:val="105"/>
        </w:rPr>
        <w:t>eventually</w:t>
      </w:r>
      <w:r>
        <w:rPr>
          <w:color w:val="231F20"/>
          <w:spacing w:val="-12"/>
          <w:w w:val="105"/>
        </w:rPr>
        <w:t> </w:t>
      </w:r>
      <w:r>
        <w:rPr>
          <w:color w:val="231F20"/>
          <w:w w:val="105"/>
        </w:rPr>
        <w:t>reabsorbed</w:t>
      </w:r>
      <w:r>
        <w:rPr>
          <w:color w:val="231F20"/>
          <w:spacing w:val="-13"/>
          <w:w w:val="105"/>
        </w:rPr>
        <w:t> </w:t>
      </w:r>
      <w:r>
        <w:rPr>
          <w:color w:val="231F20"/>
          <w:w w:val="105"/>
        </w:rPr>
        <w:t>or</w:t>
      </w:r>
      <w:r>
        <w:rPr>
          <w:color w:val="231F20"/>
          <w:spacing w:val="-12"/>
          <w:w w:val="105"/>
        </w:rPr>
        <w:t> </w:t>
      </w:r>
      <w:r>
        <w:rPr>
          <w:color w:val="231F20"/>
          <w:w w:val="105"/>
        </w:rPr>
        <w:t>excreted in the urine. In the absence of ADH, little water is </w:t>
      </w:r>
      <w:r>
        <w:rPr>
          <w:color w:val="231F20"/>
          <w:spacing w:val="-4"/>
          <w:w w:val="105"/>
        </w:rPr>
        <w:t>reab­ </w:t>
      </w:r>
      <w:r>
        <w:rPr>
          <w:color w:val="231F20"/>
          <w:w w:val="105"/>
        </w:rPr>
        <w:t>sorbed in the late distal tubule and cortical collecting tubule; therefore, osmolarity decreases even further because of continued active reabsorption of ions from these</w:t>
      </w:r>
      <w:r>
        <w:rPr>
          <w:color w:val="231F20"/>
          <w:spacing w:val="3"/>
          <w:w w:val="105"/>
        </w:rPr>
        <w:t> </w:t>
      </w:r>
      <w:r>
        <w:rPr>
          <w:color w:val="231F20"/>
          <w:w w:val="105"/>
        </w:rPr>
        <w:t>segments.</w:t>
      </w:r>
    </w:p>
    <w:p>
      <w:pPr>
        <w:pStyle w:val="BodyText"/>
        <w:spacing w:before="1"/>
        <w:rPr>
          <w:sz w:val="22"/>
        </w:rPr>
      </w:pPr>
    </w:p>
    <w:p>
      <w:pPr>
        <w:pStyle w:val="BodyText"/>
        <w:spacing w:line="249" w:lineRule="auto"/>
        <w:ind w:left="319" w:right="1077"/>
        <w:jc w:val="both"/>
      </w:pPr>
      <w:r>
        <w:rPr>
          <w:rFonts w:ascii="Trebuchet MS" w:hAnsi="Trebuchet MS"/>
          <w:b/>
          <w:color w:val="231F20"/>
          <w:w w:val="105"/>
          <w:sz w:val="19"/>
        </w:rPr>
        <w:t>Inner Medullary Collecting Ducts. </w:t>
      </w:r>
      <w:r>
        <w:rPr>
          <w:color w:val="231F20"/>
          <w:w w:val="105"/>
        </w:rPr>
        <w:t>The concentration of fluid in the inner medullary collecting ducts also depends on (1) ADH and (2) the surrounding</w:t>
      </w:r>
      <w:r>
        <w:rPr>
          <w:color w:val="231F20"/>
          <w:spacing w:val="-23"/>
          <w:w w:val="105"/>
        </w:rPr>
        <w:t> </w:t>
      </w:r>
      <w:r>
        <w:rPr>
          <w:color w:val="231F20"/>
          <w:w w:val="105"/>
        </w:rPr>
        <w:t>medullary interstitium</w:t>
      </w:r>
      <w:r>
        <w:rPr>
          <w:color w:val="231F20"/>
          <w:spacing w:val="-16"/>
          <w:w w:val="105"/>
        </w:rPr>
        <w:t> </w:t>
      </w:r>
      <w:r>
        <w:rPr>
          <w:color w:val="231F20"/>
          <w:w w:val="105"/>
        </w:rPr>
        <w:t>osmolarity</w:t>
      </w:r>
      <w:r>
        <w:rPr>
          <w:color w:val="231F20"/>
          <w:spacing w:val="-16"/>
          <w:w w:val="105"/>
        </w:rPr>
        <w:t> </w:t>
      </w:r>
      <w:r>
        <w:rPr>
          <w:color w:val="231F20"/>
          <w:w w:val="105"/>
        </w:rPr>
        <w:t>established</w:t>
      </w:r>
      <w:r>
        <w:rPr>
          <w:color w:val="231F20"/>
          <w:spacing w:val="-15"/>
          <w:w w:val="105"/>
        </w:rPr>
        <w:t> </w:t>
      </w:r>
      <w:r>
        <w:rPr>
          <w:color w:val="231F20"/>
          <w:w w:val="105"/>
        </w:rPr>
        <w:t>by</w:t>
      </w:r>
      <w:r>
        <w:rPr>
          <w:color w:val="231F20"/>
          <w:spacing w:val="-16"/>
          <w:w w:val="105"/>
        </w:rPr>
        <w:t> </w:t>
      </w:r>
      <w:r>
        <w:rPr>
          <w:color w:val="231F20"/>
          <w:w w:val="105"/>
        </w:rPr>
        <w:t>the</w:t>
      </w:r>
      <w:r>
        <w:rPr>
          <w:color w:val="231F20"/>
          <w:spacing w:val="-16"/>
          <w:w w:val="105"/>
        </w:rPr>
        <w:t> </w:t>
      </w:r>
      <w:r>
        <w:rPr>
          <w:color w:val="231F20"/>
          <w:w w:val="105"/>
        </w:rPr>
        <w:t>countercurrent mechanism. In the presence of large amounts of </w:t>
      </w:r>
      <w:r>
        <w:rPr>
          <w:color w:val="231F20"/>
          <w:spacing w:val="-3"/>
          <w:w w:val="105"/>
        </w:rPr>
        <w:t>ADH, </w:t>
      </w:r>
      <w:r>
        <w:rPr>
          <w:color w:val="231F20"/>
          <w:w w:val="105"/>
        </w:rPr>
        <w:t>these ducts are highly permeable to </w:t>
      </w:r>
      <w:r>
        <w:rPr>
          <w:color w:val="231F20"/>
          <w:spacing w:val="-3"/>
          <w:w w:val="105"/>
        </w:rPr>
        <w:t>water, </w:t>
      </w:r>
      <w:r>
        <w:rPr>
          <w:color w:val="231F20"/>
          <w:w w:val="105"/>
        </w:rPr>
        <w:t>and water diffuses from the tubule into the interstitial fluid until osmotic equilibrium is reached, with the tubular </w:t>
      </w:r>
      <w:r>
        <w:rPr>
          <w:color w:val="231F20"/>
          <w:spacing w:val="-3"/>
          <w:w w:val="105"/>
        </w:rPr>
        <w:t>fluid </w:t>
      </w:r>
      <w:r>
        <w:rPr>
          <w:color w:val="231F20"/>
          <w:w w:val="105"/>
        </w:rPr>
        <w:t>having</w:t>
      </w:r>
      <w:r>
        <w:rPr>
          <w:color w:val="231F20"/>
          <w:spacing w:val="-9"/>
          <w:w w:val="105"/>
        </w:rPr>
        <w:t> </w:t>
      </w:r>
      <w:r>
        <w:rPr>
          <w:color w:val="231F20"/>
          <w:w w:val="105"/>
        </w:rPr>
        <w:t>about</w:t>
      </w:r>
      <w:r>
        <w:rPr>
          <w:color w:val="231F20"/>
          <w:spacing w:val="-8"/>
          <w:w w:val="105"/>
        </w:rPr>
        <w:t> </w:t>
      </w:r>
      <w:r>
        <w:rPr>
          <w:color w:val="231F20"/>
          <w:w w:val="105"/>
        </w:rPr>
        <w:t>the</w:t>
      </w:r>
      <w:r>
        <w:rPr>
          <w:color w:val="231F20"/>
          <w:spacing w:val="-8"/>
          <w:w w:val="105"/>
        </w:rPr>
        <w:t> </w:t>
      </w:r>
      <w:r>
        <w:rPr>
          <w:color w:val="231F20"/>
          <w:w w:val="105"/>
        </w:rPr>
        <w:t>same</w:t>
      </w:r>
      <w:r>
        <w:rPr>
          <w:color w:val="231F20"/>
          <w:spacing w:val="-8"/>
          <w:w w:val="105"/>
        </w:rPr>
        <w:t> </w:t>
      </w:r>
      <w:r>
        <w:rPr>
          <w:color w:val="231F20"/>
          <w:w w:val="105"/>
        </w:rPr>
        <w:t>concentration</w:t>
      </w:r>
      <w:r>
        <w:rPr>
          <w:color w:val="231F20"/>
          <w:spacing w:val="-8"/>
          <w:w w:val="105"/>
        </w:rPr>
        <w:t> </w:t>
      </w:r>
      <w:r>
        <w:rPr>
          <w:color w:val="231F20"/>
          <w:w w:val="105"/>
        </w:rPr>
        <w:t>as</w:t>
      </w:r>
      <w:r>
        <w:rPr>
          <w:color w:val="231F20"/>
          <w:spacing w:val="-8"/>
          <w:w w:val="105"/>
        </w:rPr>
        <w:t> </w:t>
      </w:r>
      <w:r>
        <w:rPr>
          <w:color w:val="231F20"/>
          <w:w w:val="105"/>
        </w:rPr>
        <w:t>the</w:t>
      </w:r>
      <w:r>
        <w:rPr>
          <w:color w:val="231F20"/>
          <w:spacing w:val="-8"/>
          <w:w w:val="105"/>
        </w:rPr>
        <w:t> </w:t>
      </w:r>
      <w:r>
        <w:rPr>
          <w:color w:val="231F20"/>
          <w:w w:val="105"/>
        </w:rPr>
        <w:t>renal</w:t>
      </w:r>
      <w:r>
        <w:rPr>
          <w:color w:val="231F20"/>
          <w:spacing w:val="-8"/>
          <w:w w:val="105"/>
        </w:rPr>
        <w:t> </w:t>
      </w:r>
      <w:r>
        <w:rPr>
          <w:color w:val="231F20"/>
          <w:w w:val="105"/>
        </w:rPr>
        <w:t>medul­ lary interstitium (1200 to 1400 mOsm/L). Thus, a </w:t>
      </w:r>
      <w:r>
        <w:rPr>
          <w:color w:val="231F20"/>
          <w:spacing w:val="-3"/>
          <w:w w:val="105"/>
        </w:rPr>
        <w:t>small </w:t>
      </w:r>
      <w:r>
        <w:rPr>
          <w:color w:val="231F20"/>
          <w:w w:val="105"/>
        </w:rPr>
        <w:t>volume of concentrated urine is produced when </w:t>
      </w:r>
      <w:r>
        <w:rPr>
          <w:color w:val="231F20"/>
          <w:spacing w:val="-4"/>
          <w:w w:val="105"/>
        </w:rPr>
        <w:t>ADH </w:t>
      </w:r>
      <w:r>
        <w:rPr>
          <w:color w:val="231F20"/>
          <w:w w:val="105"/>
        </w:rPr>
        <w:t>levels</w:t>
      </w:r>
      <w:r>
        <w:rPr>
          <w:color w:val="231F20"/>
          <w:spacing w:val="-31"/>
          <w:w w:val="105"/>
        </w:rPr>
        <w:t> </w:t>
      </w:r>
      <w:r>
        <w:rPr>
          <w:color w:val="231F20"/>
          <w:w w:val="105"/>
        </w:rPr>
        <w:t>are</w:t>
      </w:r>
      <w:r>
        <w:rPr>
          <w:color w:val="231F20"/>
          <w:spacing w:val="-30"/>
          <w:w w:val="105"/>
        </w:rPr>
        <w:t> </w:t>
      </w:r>
      <w:r>
        <w:rPr>
          <w:color w:val="231F20"/>
          <w:w w:val="105"/>
        </w:rPr>
        <w:t>high.</w:t>
      </w:r>
      <w:r>
        <w:rPr>
          <w:color w:val="231F20"/>
          <w:spacing w:val="-30"/>
          <w:w w:val="105"/>
        </w:rPr>
        <w:t> </w:t>
      </w:r>
      <w:r>
        <w:rPr>
          <w:color w:val="231F20"/>
          <w:w w:val="105"/>
        </w:rPr>
        <w:t>Because</w:t>
      </w:r>
      <w:r>
        <w:rPr>
          <w:color w:val="231F20"/>
          <w:spacing w:val="-30"/>
          <w:w w:val="105"/>
        </w:rPr>
        <w:t> </w:t>
      </w:r>
      <w:r>
        <w:rPr>
          <w:color w:val="231F20"/>
          <w:w w:val="105"/>
        </w:rPr>
        <w:t>water</w:t>
      </w:r>
      <w:r>
        <w:rPr>
          <w:color w:val="231F20"/>
          <w:spacing w:val="-30"/>
          <w:w w:val="105"/>
        </w:rPr>
        <w:t> </w:t>
      </w:r>
      <w:r>
        <w:rPr>
          <w:color w:val="231F20"/>
          <w:w w:val="105"/>
        </w:rPr>
        <w:t>reabsorption</w:t>
      </w:r>
      <w:r>
        <w:rPr>
          <w:color w:val="231F20"/>
          <w:spacing w:val="-31"/>
          <w:w w:val="105"/>
        </w:rPr>
        <w:t> </w:t>
      </w:r>
      <w:r>
        <w:rPr>
          <w:color w:val="231F20"/>
          <w:w w:val="105"/>
        </w:rPr>
        <w:t>increases</w:t>
      </w:r>
      <w:r>
        <w:rPr>
          <w:color w:val="231F20"/>
          <w:spacing w:val="-30"/>
          <w:w w:val="105"/>
        </w:rPr>
        <w:t> </w:t>
      </w:r>
      <w:r>
        <w:rPr>
          <w:color w:val="231F20"/>
          <w:w w:val="105"/>
        </w:rPr>
        <w:t>urea concentration in the tubular fluid and because the </w:t>
      </w:r>
      <w:r>
        <w:rPr>
          <w:color w:val="231F20"/>
          <w:spacing w:val="-3"/>
          <w:w w:val="105"/>
        </w:rPr>
        <w:t>inner </w:t>
      </w:r>
      <w:r>
        <w:rPr>
          <w:color w:val="231F20"/>
          <w:w w:val="105"/>
        </w:rPr>
        <w:t>medullary</w:t>
      </w:r>
      <w:r>
        <w:rPr>
          <w:color w:val="231F20"/>
          <w:spacing w:val="-29"/>
          <w:w w:val="105"/>
        </w:rPr>
        <w:t> </w:t>
      </w:r>
      <w:r>
        <w:rPr>
          <w:color w:val="231F20"/>
          <w:w w:val="105"/>
        </w:rPr>
        <w:t>collecting</w:t>
      </w:r>
      <w:r>
        <w:rPr>
          <w:color w:val="231F20"/>
          <w:spacing w:val="-28"/>
          <w:w w:val="105"/>
        </w:rPr>
        <w:t> </w:t>
      </w:r>
      <w:r>
        <w:rPr>
          <w:color w:val="231F20"/>
          <w:w w:val="105"/>
        </w:rPr>
        <w:t>ducts</w:t>
      </w:r>
      <w:r>
        <w:rPr>
          <w:color w:val="231F20"/>
          <w:spacing w:val="-28"/>
          <w:w w:val="105"/>
        </w:rPr>
        <w:t> </w:t>
      </w:r>
      <w:r>
        <w:rPr>
          <w:color w:val="231F20"/>
          <w:w w:val="105"/>
        </w:rPr>
        <w:t>have</w:t>
      </w:r>
      <w:r>
        <w:rPr>
          <w:color w:val="231F20"/>
          <w:spacing w:val="-28"/>
          <w:w w:val="105"/>
        </w:rPr>
        <w:t> </w:t>
      </w:r>
      <w:r>
        <w:rPr>
          <w:color w:val="231F20"/>
          <w:w w:val="105"/>
        </w:rPr>
        <w:t>specific</w:t>
      </w:r>
      <w:r>
        <w:rPr>
          <w:color w:val="231F20"/>
          <w:spacing w:val="-28"/>
          <w:w w:val="105"/>
        </w:rPr>
        <w:t> </w:t>
      </w:r>
      <w:r>
        <w:rPr>
          <w:color w:val="231F20"/>
          <w:w w:val="105"/>
        </w:rPr>
        <w:t>urea</w:t>
      </w:r>
      <w:r>
        <w:rPr>
          <w:color w:val="231F20"/>
          <w:spacing w:val="-28"/>
          <w:w w:val="105"/>
        </w:rPr>
        <w:t> </w:t>
      </w:r>
      <w:r>
        <w:rPr>
          <w:color w:val="231F20"/>
          <w:w w:val="105"/>
        </w:rPr>
        <w:t>transporters that greatly facilitate diffusion, much of the highly con­ centrated urea in the ducts diffuses out of the tubular lumen</w:t>
      </w:r>
      <w:r>
        <w:rPr>
          <w:color w:val="231F20"/>
          <w:spacing w:val="-16"/>
          <w:w w:val="105"/>
        </w:rPr>
        <w:t> </w:t>
      </w:r>
      <w:r>
        <w:rPr>
          <w:color w:val="231F20"/>
          <w:w w:val="105"/>
        </w:rPr>
        <w:t>into</w:t>
      </w:r>
      <w:r>
        <w:rPr>
          <w:color w:val="231F20"/>
          <w:spacing w:val="-15"/>
          <w:w w:val="105"/>
        </w:rPr>
        <w:t> </w:t>
      </w:r>
      <w:r>
        <w:rPr>
          <w:color w:val="231F20"/>
          <w:w w:val="105"/>
        </w:rPr>
        <w:t>the</w:t>
      </w:r>
      <w:r>
        <w:rPr>
          <w:color w:val="231F20"/>
          <w:spacing w:val="-16"/>
          <w:w w:val="105"/>
        </w:rPr>
        <w:t> </w:t>
      </w:r>
      <w:r>
        <w:rPr>
          <w:color w:val="231F20"/>
          <w:w w:val="105"/>
        </w:rPr>
        <w:t>medullary</w:t>
      </w:r>
      <w:r>
        <w:rPr>
          <w:color w:val="231F20"/>
          <w:spacing w:val="-15"/>
          <w:w w:val="105"/>
        </w:rPr>
        <w:t> </w:t>
      </w:r>
      <w:r>
        <w:rPr>
          <w:color w:val="231F20"/>
          <w:w w:val="105"/>
        </w:rPr>
        <w:t>interstitium.</w:t>
      </w:r>
      <w:r>
        <w:rPr>
          <w:color w:val="231F20"/>
          <w:spacing w:val="-15"/>
          <w:w w:val="105"/>
        </w:rPr>
        <w:t> </w:t>
      </w:r>
      <w:r>
        <w:rPr>
          <w:color w:val="231F20"/>
          <w:w w:val="105"/>
        </w:rPr>
        <w:t>This</w:t>
      </w:r>
      <w:r>
        <w:rPr>
          <w:color w:val="231F20"/>
          <w:spacing w:val="-16"/>
          <w:w w:val="105"/>
        </w:rPr>
        <w:t> </w:t>
      </w:r>
      <w:r>
        <w:rPr>
          <w:color w:val="231F20"/>
          <w:w w:val="105"/>
        </w:rPr>
        <w:t>absorption</w:t>
      </w:r>
      <w:r>
        <w:rPr>
          <w:color w:val="231F20"/>
          <w:spacing w:val="-15"/>
          <w:w w:val="105"/>
        </w:rPr>
        <w:t> </w:t>
      </w:r>
      <w:r>
        <w:rPr>
          <w:color w:val="231F20"/>
          <w:w w:val="105"/>
        </w:rPr>
        <w:t>of</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819"/>
          <w:footerReference w:type="even" r:id="rId820"/>
          <w:footerReference w:type="default" r:id="rId821"/>
          <w:pgSz w:w="12240" w:h="15660"/>
          <w:pgMar w:header="0" w:footer="567" w:top="720" w:bottom="760" w:left="0" w:right="0"/>
          <w:pgNumType w:start="380"/>
        </w:sectPr>
      </w:pPr>
    </w:p>
    <w:p>
      <w:pPr>
        <w:pStyle w:val="BodyText"/>
        <w:spacing w:line="249" w:lineRule="auto" w:before="99"/>
        <w:ind w:left="1080"/>
        <w:jc w:val="both"/>
      </w:pPr>
      <w:r>
        <w:rPr>
          <w:color w:val="231F20"/>
          <w:w w:val="105"/>
        </w:rPr>
        <w:t>the urea into the renal medulla contributes to the high osmolarity of the medullary interstitium and the high concentrating ability of the kidney.</w:t>
      </w:r>
    </w:p>
    <w:p>
      <w:pPr>
        <w:pStyle w:val="BodyText"/>
        <w:spacing w:line="249" w:lineRule="auto" w:before="3"/>
        <w:ind w:left="1080" w:firstLine="240"/>
        <w:jc w:val="both"/>
      </w:pPr>
      <w:r>
        <w:rPr>
          <w:color w:val="231F20"/>
        </w:rPr>
        <w:t>Several important points to consider may not be obvious from this discussion. First, although sodium chloride is one of the principal solutes that contribute to</w:t>
      </w:r>
    </w:p>
    <w:p>
      <w:pPr>
        <w:pStyle w:val="BodyText"/>
        <w:spacing w:before="3"/>
        <w:rPr>
          <w:sz w:val="23"/>
        </w:rPr>
      </w:pPr>
      <w:r>
        <w:rPr/>
        <w:br w:type="column"/>
      </w:r>
      <w:r>
        <w:rPr>
          <w:sz w:val="23"/>
        </w:rPr>
      </w:r>
    </w:p>
    <w:p>
      <w:pPr>
        <w:spacing w:line="252" w:lineRule="auto" w:before="0"/>
        <w:ind w:left="499" w:right="1870" w:firstLine="0"/>
        <w:jc w:val="left"/>
        <w:rPr>
          <w:rFonts w:ascii="Trebuchet MS" w:hAnsi="Trebuchet MS"/>
          <w:b/>
          <w:sz w:val="18"/>
        </w:rPr>
      </w:pPr>
      <w:r>
        <w:rPr>
          <w:rFonts w:ascii="Trebuchet MS" w:hAnsi="Trebuchet MS"/>
          <w:b/>
          <w:color w:val="231F20"/>
          <w:sz w:val="18"/>
        </w:rPr>
        <w:t>Relative Rates at Which Solutes and Water Are Excreted Can Be Assessed Using the Concept of “Free-Water Clearance”</w:t>
      </w:r>
    </w:p>
    <w:p>
      <w:pPr>
        <w:spacing w:line="220" w:lineRule="atLeast" w:before="70"/>
        <w:ind w:left="499" w:right="1617" w:firstLine="0"/>
        <w:jc w:val="both"/>
        <w:rPr>
          <w:sz w:val="18"/>
        </w:rPr>
      </w:pPr>
      <w:r>
        <w:rPr>
          <w:i/>
          <w:color w:val="231F20"/>
          <w:sz w:val="18"/>
        </w:rPr>
        <w:t>Free-water clearance </w:t>
      </w:r>
      <w:r>
        <w:rPr>
          <w:color w:val="231F20"/>
          <w:sz w:val="18"/>
        </w:rPr>
        <w:t>(C</w:t>
      </w:r>
      <w:r>
        <w:rPr>
          <w:color w:val="231F20"/>
          <w:sz w:val="18"/>
          <w:vertAlign w:val="subscript"/>
        </w:rPr>
        <w:t>H2O</w:t>
      </w:r>
      <w:r>
        <w:rPr>
          <w:color w:val="231F20"/>
          <w:sz w:val="18"/>
          <w:vertAlign w:val="baseline"/>
        </w:rPr>
        <w:t>) is calculated as the difference between water excretion (urine flow rate) and osmolar clearance:</w:t>
      </w:r>
    </w:p>
    <w:p>
      <w:pPr>
        <w:spacing w:after="0" w:line="220" w:lineRule="atLeast"/>
        <w:jc w:val="both"/>
        <w:rPr>
          <w:sz w:val="18"/>
        </w:rPr>
        <w:sectPr>
          <w:type w:val="continuous"/>
          <w:pgSz w:w="12240" w:h="15660"/>
          <w:pgMar w:top="0" w:bottom="760" w:left="0" w:right="0"/>
          <w:cols w:num="2" w:equalWidth="0">
            <w:col w:w="5761" w:space="40"/>
            <w:col w:w="6439"/>
          </w:cols>
        </w:sectPr>
      </w:pPr>
    </w:p>
    <w:p>
      <w:pPr>
        <w:pStyle w:val="BodyText"/>
        <w:spacing w:line="114" w:lineRule="exact"/>
        <w:ind w:left="1080"/>
        <w:rPr>
          <w:i/>
        </w:rPr>
      </w:pPr>
      <w:r>
        <w:rPr>
          <w:color w:val="231F20"/>
          <w:w w:val="105"/>
        </w:rPr>
        <w:t>the</w:t>
      </w:r>
      <w:r>
        <w:rPr>
          <w:color w:val="231F20"/>
          <w:spacing w:val="27"/>
          <w:w w:val="105"/>
        </w:rPr>
        <w:t> </w:t>
      </w:r>
      <w:r>
        <w:rPr>
          <w:color w:val="231F20"/>
          <w:w w:val="105"/>
        </w:rPr>
        <w:t>hyperosmolarity</w:t>
      </w:r>
      <w:r>
        <w:rPr>
          <w:color w:val="231F20"/>
          <w:spacing w:val="27"/>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medullary</w:t>
      </w:r>
      <w:r>
        <w:rPr>
          <w:color w:val="231F20"/>
          <w:spacing w:val="28"/>
          <w:w w:val="105"/>
        </w:rPr>
        <w:t> </w:t>
      </w:r>
      <w:r>
        <w:rPr>
          <w:color w:val="231F20"/>
          <w:w w:val="105"/>
        </w:rPr>
        <w:t>interstitium,</w:t>
      </w:r>
      <w:r>
        <w:rPr>
          <w:color w:val="231F20"/>
          <w:spacing w:val="27"/>
          <w:w w:val="105"/>
        </w:rPr>
        <w:t> </w:t>
      </w:r>
      <w:r>
        <w:rPr>
          <w:i/>
          <w:color w:val="231F20"/>
          <w:w w:val="105"/>
        </w:rPr>
        <w:t>the</w:t>
      </w:r>
    </w:p>
    <w:p>
      <w:pPr>
        <w:spacing w:line="240" w:lineRule="atLeast" w:before="0"/>
        <w:ind w:left="1080" w:right="34" w:hanging="1"/>
        <w:jc w:val="left"/>
        <w:rPr>
          <w:sz w:val="20"/>
        </w:rPr>
      </w:pPr>
      <w:r>
        <w:rPr>
          <w:i/>
          <w:color w:val="231F20"/>
          <w:sz w:val="20"/>
        </w:rPr>
        <w:t>kidney can</w:t>
      </w:r>
      <w:r>
        <w:rPr>
          <w:color w:val="231F20"/>
          <w:sz w:val="20"/>
        </w:rPr>
        <w:t>, </w:t>
      </w:r>
      <w:r>
        <w:rPr>
          <w:i/>
          <w:color w:val="231F20"/>
          <w:sz w:val="20"/>
        </w:rPr>
        <w:t>when needed</w:t>
      </w:r>
      <w:r>
        <w:rPr>
          <w:color w:val="231F20"/>
          <w:sz w:val="20"/>
        </w:rPr>
        <w:t>, </w:t>
      </w:r>
      <w:r>
        <w:rPr>
          <w:i/>
          <w:color w:val="231F20"/>
          <w:sz w:val="20"/>
        </w:rPr>
        <w:t>excrete a highly concentrated </w:t>
      </w:r>
      <w:r>
        <w:rPr>
          <w:i/>
          <w:color w:val="231F20"/>
          <w:sz w:val="20"/>
        </w:rPr>
        <w:t>urine</w:t>
      </w:r>
      <w:r>
        <w:rPr>
          <w:i/>
          <w:color w:val="231F20"/>
          <w:spacing w:val="33"/>
          <w:sz w:val="20"/>
        </w:rPr>
        <w:t> </w:t>
      </w:r>
      <w:r>
        <w:rPr>
          <w:i/>
          <w:color w:val="231F20"/>
          <w:sz w:val="20"/>
        </w:rPr>
        <w:t>that</w:t>
      </w:r>
      <w:r>
        <w:rPr>
          <w:i/>
          <w:color w:val="231F20"/>
          <w:spacing w:val="34"/>
          <w:sz w:val="20"/>
        </w:rPr>
        <w:t> </w:t>
      </w:r>
      <w:r>
        <w:rPr>
          <w:i/>
          <w:color w:val="231F20"/>
          <w:sz w:val="20"/>
        </w:rPr>
        <w:t>contains</w:t>
      </w:r>
      <w:r>
        <w:rPr>
          <w:i/>
          <w:color w:val="231F20"/>
          <w:spacing w:val="33"/>
          <w:sz w:val="20"/>
        </w:rPr>
        <w:t> </w:t>
      </w:r>
      <w:r>
        <w:rPr>
          <w:i/>
          <w:color w:val="231F20"/>
          <w:sz w:val="20"/>
        </w:rPr>
        <w:t>little</w:t>
      </w:r>
      <w:r>
        <w:rPr>
          <w:i/>
          <w:color w:val="231F20"/>
          <w:spacing w:val="34"/>
          <w:sz w:val="20"/>
        </w:rPr>
        <w:t> </w:t>
      </w:r>
      <w:r>
        <w:rPr>
          <w:i/>
          <w:color w:val="231F20"/>
          <w:sz w:val="20"/>
        </w:rPr>
        <w:t>sodium</w:t>
      </w:r>
      <w:r>
        <w:rPr>
          <w:i/>
          <w:color w:val="231F20"/>
          <w:spacing w:val="33"/>
          <w:sz w:val="20"/>
        </w:rPr>
        <w:t> </w:t>
      </w:r>
      <w:r>
        <w:rPr>
          <w:i/>
          <w:color w:val="231F20"/>
          <w:sz w:val="20"/>
        </w:rPr>
        <w:t>chloride.</w:t>
      </w:r>
      <w:r>
        <w:rPr>
          <w:i/>
          <w:color w:val="231F20"/>
          <w:spacing w:val="34"/>
          <w:sz w:val="20"/>
        </w:rPr>
        <w:t> </w:t>
      </w:r>
      <w:r>
        <w:rPr>
          <w:color w:val="231F20"/>
          <w:sz w:val="20"/>
        </w:rPr>
        <w:t>The</w:t>
      </w:r>
      <w:r>
        <w:rPr>
          <w:color w:val="231F20"/>
          <w:spacing w:val="33"/>
          <w:sz w:val="20"/>
        </w:rPr>
        <w:t> </w:t>
      </w:r>
      <w:r>
        <w:rPr>
          <w:color w:val="231F20"/>
          <w:sz w:val="20"/>
        </w:rPr>
        <w:t>hyperos­</w:t>
      </w:r>
    </w:p>
    <w:p>
      <w:pPr>
        <w:pStyle w:val="BodyText"/>
        <w:spacing w:before="2"/>
      </w:pPr>
      <w:r>
        <w:rPr/>
        <w:br w:type="column"/>
      </w:r>
      <w:r>
        <w:rPr/>
      </w:r>
    </w:p>
    <w:p>
      <w:pPr>
        <w:spacing w:line="250" w:lineRule="exact" w:before="0"/>
        <w:ind w:left="1080" w:right="0" w:firstLine="0"/>
        <w:jc w:val="left"/>
        <w:rPr>
          <w:rFonts w:ascii="Symbol" w:hAnsi="Symbol"/>
          <w:sz w:val="18"/>
        </w:rPr>
      </w:pPr>
      <w:r>
        <w:rPr>
          <w:rFonts w:ascii="Trebuchet MS" w:hAnsi="Trebuchet MS"/>
          <w:w w:val="110"/>
          <w:sz w:val="18"/>
        </w:rPr>
        <w:t>C</w:t>
      </w:r>
      <w:r>
        <w:rPr>
          <w:rFonts w:ascii="Trebuchet MS" w:hAnsi="Trebuchet MS"/>
          <w:w w:val="110"/>
          <w:position w:val="-2"/>
          <w:sz w:val="10"/>
        </w:rPr>
        <w:t>H</w:t>
      </w:r>
      <w:r>
        <w:rPr>
          <w:rFonts w:ascii="Trebuchet MS" w:hAnsi="Trebuchet MS"/>
          <w:w w:val="110"/>
          <w:position w:val="-4"/>
          <w:sz w:val="9"/>
        </w:rPr>
        <w:t>2</w:t>
      </w:r>
      <w:r>
        <w:rPr>
          <w:rFonts w:ascii="Trebuchet MS" w:hAnsi="Trebuchet MS"/>
          <w:w w:val="110"/>
          <w:position w:val="-2"/>
          <w:sz w:val="10"/>
        </w:rPr>
        <w:t>O </w:t>
      </w:r>
      <w:r>
        <w:rPr>
          <w:rFonts w:ascii="Symbol" w:hAnsi="Symbol"/>
          <w:w w:val="110"/>
          <w:sz w:val="18"/>
        </w:rPr>
        <w:t></w:t>
      </w:r>
      <w:r>
        <w:rPr>
          <w:w w:val="110"/>
          <w:sz w:val="18"/>
        </w:rPr>
        <w:t> </w:t>
      </w:r>
      <w:r>
        <w:rPr>
          <w:rFonts w:ascii="Trebuchet MS" w:hAnsi="Trebuchet MS"/>
          <w:w w:val="110"/>
          <w:sz w:val="18"/>
        </w:rPr>
        <w:t>V </w:t>
      </w:r>
      <w:r>
        <w:rPr>
          <w:rFonts w:ascii="Symbol" w:hAnsi="Symbol"/>
          <w:w w:val="110"/>
          <w:sz w:val="18"/>
        </w:rPr>
        <w:t></w:t>
      </w:r>
      <w:r>
        <w:rPr>
          <w:w w:val="110"/>
          <w:sz w:val="18"/>
        </w:rPr>
        <w:t> </w:t>
      </w:r>
      <w:r>
        <w:rPr>
          <w:rFonts w:ascii="Trebuchet MS" w:hAnsi="Trebuchet MS"/>
          <w:w w:val="110"/>
          <w:sz w:val="18"/>
        </w:rPr>
        <w:t>C</w:t>
      </w:r>
      <w:r>
        <w:rPr>
          <w:rFonts w:ascii="Trebuchet MS" w:hAnsi="Trebuchet MS"/>
          <w:w w:val="110"/>
          <w:position w:val="-2"/>
          <w:sz w:val="10"/>
        </w:rPr>
        <w:t>osm </w:t>
      </w:r>
      <w:r>
        <w:rPr>
          <w:rFonts w:ascii="Symbol" w:hAnsi="Symbol"/>
          <w:w w:val="110"/>
          <w:sz w:val="18"/>
        </w:rPr>
        <w:t></w:t>
      </w:r>
      <w:r>
        <w:rPr>
          <w:w w:val="110"/>
          <w:sz w:val="18"/>
        </w:rPr>
        <w:t> </w:t>
      </w:r>
      <w:r>
        <w:rPr>
          <w:rFonts w:ascii="Trebuchet MS" w:hAnsi="Trebuchet MS"/>
          <w:w w:val="110"/>
          <w:sz w:val="18"/>
        </w:rPr>
        <w:t>V </w:t>
      </w:r>
      <w:r>
        <w:rPr>
          <w:rFonts w:ascii="Symbol" w:hAnsi="Symbol"/>
          <w:spacing w:val="-15"/>
          <w:w w:val="110"/>
          <w:sz w:val="18"/>
        </w:rPr>
        <w:t></w:t>
      </w:r>
    </w:p>
    <w:p>
      <w:pPr>
        <w:spacing w:line="240" w:lineRule="atLeast" w:before="108"/>
        <w:ind w:left="229" w:right="-19" w:hanging="225"/>
        <w:jc w:val="left"/>
        <w:rPr>
          <w:rFonts w:ascii="Trebuchet MS"/>
          <w:sz w:val="18"/>
        </w:rPr>
      </w:pPr>
      <w:r>
        <w:rPr/>
        <w:br w:type="column"/>
      </w:r>
      <w:r>
        <w:rPr>
          <w:rFonts w:ascii="Trebuchet MS"/>
          <w:w w:val="105"/>
          <w:position w:val="3"/>
          <w:sz w:val="18"/>
        </w:rPr>
        <w:t>(U</w:t>
      </w:r>
      <w:r>
        <w:rPr>
          <w:rFonts w:ascii="Trebuchet MS"/>
          <w:w w:val="105"/>
          <w:sz w:val="10"/>
        </w:rPr>
        <w:t>osm </w:t>
      </w:r>
      <w:r>
        <w:rPr>
          <w:rFonts w:ascii="Trebuchet MS"/>
          <w:w w:val="105"/>
          <w:sz w:val="18"/>
        </w:rPr>
        <w:t>P</w:t>
      </w:r>
    </w:p>
    <w:p>
      <w:pPr>
        <w:spacing w:before="64"/>
        <w:ind w:left="7" w:right="0" w:firstLine="0"/>
        <w:jc w:val="left"/>
        <w:rPr>
          <w:rFonts w:ascii="Trebuchet MS" w:hAnsi="Trebuchet MS"/>
          <w:sz w:val="18"/>
        </w:rPr>
      </w:pPr>
      <w:r>
        <w:rPr/>
        <w:br w:type="column"/>
      </w:r>
      <w:r>
        <w:rPr>
          <w:rFonts w:ascii="Symbol" w:hAnsi="Symbol"/>
          <w:w w:val="100"/>
          <w:sz w:val="18"/>
        </w:rPr>
        <w:t></w:t>
      </w:r>
      <w:r>
        <w:rPr>
          <w:spacing w:val="-4"/>
          <w:sz w:val="18"/>
        </w:rPr>
        <w:t> </w:t>
      </w:r>
      <w:r>
        <w:rPr>
          <w:rFonts w:ascii="Trebuchet MS" w:hAnsi="Trebuchet MS"/>
          <w:spacing w:val="-91"/>
          <w:w w:val="113"/>
          <w:sz w:val="18"/>
        </w:rPr>
        <w:t>V</w:t>
      </w:r>
      <w:r>
        <w:rPr>
          <w:rFonts w:ascii="Century Gothic" w:hAnsi="Century Gothic"/>
          <w:w w:val="100"/>
          <w:position w:val="5"/>
          <w:sz w:val="18"/>
        </w:rPr>
        <w:t>-</w:t>
      </w:r>
      <w:r>
        <w:rPr>
          <w:rFonts w:ascii="Century Gothic" w:hAnsi="Century Gothic"/>
          <w:spacing w:val="-10"/>
          <w:position w:val="5"/>
          <w:sz w:val="18"/>
        </w:rPr>
        <w:t> </w:t>
      </w:r>
      <w:r>
        <w:rPr>
          <w:rFonts w:ascii="Trebuchet MS" w:hAnsi="Trebuchet MS"/>
          <w:w w:val="90"/>
          <w:sz w:val="18"/>
        </w:rPr>
        <w:t>)</w:t>
      </w:r>
    </w:p>
    <w:p>
      <w:pPr>
        <w:spacing w:after="0"/>
        <w:jc w:val="left"/>
        <w:rPr>
          <w:rFonts w:ascii="Trebuchet MS" w:hAnsi="Trebuchet MS"/>
          <w:sz w:val="18"/>
        </w:rPr>
        <w:sectPr>
          <w:type w:val="continuous"/>
          <w:pgSz w:w="12240" w:h="15660"/>
          <w:pgMar w:top="0" w:bottom="760" w:left="0" w:right="0"/>
          <w:cols w:num="4" w:equalWidth="0">
            <w:col w:w="5801" w:space="351"/>
            <w:col w:w="2708" w:space="39"/>
            <w:col w:w="383" w:space="40"/>
            <w:col w:w="2918"/>
          </w:cols>
        </w:sectPr>
      </w:pPr>
    </w:p>
    <w:p>
      <w:pPr>
        <w:pStyle w:val="BodyText"/>
        <w:spacing w:line="249" w:lineRule="auto" w:before="10"/>
        <w:ind w:left="1080"/>
        <w:jc w:val="both"/>
      </w:pPr>
      <w:r>
        <w:rPr/>
        <w:pict>
          <v:rect style="position:absolute;margin-left:0pt;margin-top:32.485962pt;width:36pt;height:24pt;mso-position-horizontal-relative:page;mso-position-vertical-relative:paragraph;z-index:252468224" filled="true" fillcolor="#e8dac8" stroked="false">
            <v:fill type="solid"/>
            <w10:wrap type="none"/>
          </v:rect>
        </w:pict>
      </w:r>
      <w:r>
        <w:rPr/>
        <w:pict>
          <v:group style="position:absolute;margin-left:306pt;margin-top:54pt;width:234pt;height:679.35pt;mso-position-horizontal-relative:page;mso-position-vertical-relative:page;z-index:-272935936" coordorigin="6120,1080" coordsize="4680,13587">
            <v:rect style="position:absolute;left:6120;top:1080;width:4680;height:13587" filled="true" fillcolor="#f0eef6" stroked="false">
              <v:fill type="solid"/>
            </v:rect>
            <v:line style="position:absolute" from="8901,2962" to="9663,2962" stroked="true" strokeweight=".438pt" strokecolor="#000000">
              <v:stroke dashstyle="solid"/>
            </v:line>
            <w10:wrap type="none"/>
          </v:group>
        </w:pict>
      </w:r>
      <w:r>
        <w:rPr>
          <w:color w:val="231F20"/>
          <w:w w:val="105"/>
        </w:rPr>
        <w:t>molarity</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urine</w:t>
      </w:r>
      <w:r>
        <w:rPr>
          <w:color w:val="231F20"/>
          <w:spacing w:val="-18"/>
          <w:w w:val="105"/>
        </w:rPr>
        <w:t> </w:t>
      </w:r>
      <w:r>
        <w:rPr>
          <w:color w:val="231F20"/>
          <w:w w:val="105"/>
        </w:rPr>
        <w:t>in</w:t>
      </w:r>
      <w:r>
        <w:rPr>
          <w:color w:val="231F20"/>
          <w:spacing w:val="-19"/>
          <w:w w:val="105"/>
        </w:rPr>
        <w:t> </w:t>
      </w:r>
      <w:r>
        <w:rPr>
          <w:color w:val="231F20"/>
          <w:w w:val="105"/>
        </w:rPr>
        <w:t>these</w:t>
      </w:r>
      <w:r>
        <w:rPr>
          <w:color w:val="231F20"/>
          <w:spacing w:val="-19"/>
          <w:w w:val="105"/>
        </w:rPr>
        <w:t> </w:t>
      </w:r>
      <w:r>
        <w:rPr>
          <w:color w:val="231F20"/>
          <w:w w:val="105"/>
        </w:rPr>
        <w:t>circumstances</w:t>
      </w:r>
      <w:r>
        <w:rPr>
          <w:color w:val="231F20"/>
          <w:spacing w:val="-19"/>
          <w:w w:val="105"/>
        </w:rPr>
        <w:t> </w:t>
      </w:r>
      <w:r>
        <w:rPr>
          <w:color w:val="231F20"/>
          <w:w w:val="105"/>
        </w:rPr>
        <w:t>is</w:t>
      </w:r>
      <w:r>
        <w:rPr>
          <w:color w:val="231F20"/>
          <w:spacing w:val="-18"/>
          <w:w w:val="105"/>
        </w:rPr>
        <w:t> </w:t>
      </w:r>
      <w:r>
        <w:rPr>
          <w:color w:val="231F20"/>
          <w:w w:val="105"/>
        </w:rPr>
        <w:t>due</w:t>
      </w:r>
      <w:r>
        <w:rPr>
          <w:color w:val="231F20"/>
          <w:spacing w:val="-19"/>
          <w:w w:val="105"/>
        </w:rPr>
        <w:t> </w:t>
      </w:r>
      <w:r>
        <w:rPr>
          <w:color w:val="231F20"/>
          <w:w w:val="105"/>
        </w:rPr>
        <w:t>to</w:t>
      </w:r>
      <w:r>
        <w:rPr>
          <w:color w:val="231F20"/>
          <w:spacing w:val="-19"/>
          <w:w w:val="105"/>
        </w:rPr>
        <w:t> </w:t>
      </w:r>
      <w:r>
        <w:rPr>
          <w:color w:val="231F20"/>
          <w:spacing w:val="-3"/>
          <w:w w:val="105"/>
        </w:rPr>
        <w:t>high </w:t>
      </w:r>
      <w:r>
        <w:rPr>
          <w:color w:val="231F20"/>
          <w:w w:val="105"/>
        </w:rPr>
        <w:t>concentrations</w:t>
      </w:r>
      <w:r>
        <w:rPr>
          <w:color w:val="231F20"/>
          <w:spacing w:val="-14"/>
          <w:w w:val="105"/>
        </w:rPr>
        <w:t> </w:t>
      </w:r>
      <w:r>
        <w:rPr>
          <w:color w:val="231F20"/>
          <w:w w:val="105"/>
        </w:rPr>
        <w:t>of</w:t>
      </w:r>
      <w:r>
        <w:rPr>
          <w:color w:val="231F20"/>
          <w:spacing w:val="-14"/>
          <w:w w:val="105"/>
        </w:rPr>
        <w:t> </w:t>
      </w:r>
      <w:r>
        <w:rPr>
          <w:color w:val="231F20"/>
          <w:w w:val="105"/>
        </w:rPr>
        <w:t>other</w:t>
      </w:r>
      <w:r>
        <w:rPr>
          <w:color w:val="231F20"/>
          <w:spacing w:val="-13"/>
          <w:w w:val="105"/>
        </w:rPr>
        <w:t> </w:t>
      </w:r>
      <w:r>
        <w:rPr>
          <w:color w:val="231F20"/>
          <w:w w:val="105"/>
        </w:rPr>
        <w:t>solutes,</w:t>
      </w:r>
      <w:r>
        <w:rPr>
          <w:color w:val="231F20"/>
          <w:spacing w:val="-14"/>
          <w:w w:val="105"/>
        </w:rPr>
        <w:t> </w:t>
      </w:r>
      <w:r>
        <w:rPr>
          <w:color w:val="231F20"/>
          <w:w w:val="105"/>
        </w:rPr>
        <w:t>especially</w:t>
      </w:r>
      <w:r>
        <w:rPr>
          <w:color w:val="231F20"/>
          <w:spacing w:val="-14"/>
          <w:w w:val="105"/>
        </w:rPr>
        <w:t> </w:t>
      </w:r>
      <w:r>
        <w:rPr>
          <w:color w:val="231F20"/>
          <w:w w:val="105"/>
        </w:rPr>
        <w:t>of</w:t>
      </w:r>
      <w:r>
        <w:rPr>
          <w:color w:val="231F20"/>
          <w:spacing w:val="-13"/>
          <w:w w:val="105"/>
        </w:rPr>
        <w:t> </w:t>
      </w:r>
      <w:r>
        <w:rPr>
          <w:color w:val="231F20"/>
          <w:w w:val="105"/>
        </w:rPr>
        <w:t>waste</w:t>
      </w:r>
      <w:r>
        <w:rPr>
          <w:color w:val="231F20"/>
          <w:spacing w:val="-14"/>
          <w:w w:val="105"/>
        </w:rPr>
        <w:t> </w:t>
      </w:r>
      <w:r>
        <w:rPr>
          <w:color w:val="231F20"/>
          <w:spacing w:val="-4"/>
          <w:w w:val="105"/>
        </w:rPr>
        <w:t>prod­ </w:t>
      </w:r>
      <w:r>
        <w:rPr>
          <w:color w:val="231F20"/>
          <w:w w:val="105"/>
        </w:rPr>
        <w:t>ucts such as urea. One condition in which this occurs </w:t>
      </w:r>
      <w:r>
        <w:rPr>
          <w:color w:val="231F20"/>
          <w:spacing w:val="-7"/>
          <w:w w:val="105"/>
        </w:rPr>
        <w:t>is </w:t>
      </w:r>
      <w:r>
        <w:rPr>
          <w:color w:val="231F20"/>
          <w:w w:val="105"/>
        </w:rPr>
        <w:t>dehydration</w:t>
      </w:r>
      <w:r>
        <w:rPr>
          <w:color w:val="231F20"/>
          <w:spacing w:val="-9"/>
          <w:w w:val="105"/>
        </w:rPr>
        <w:t> </w:t>
      </w:r>
      <w:r>
        <w:rPr>
          <w:color w:val="231F20"/>
          <w:w w:val="105"/>
        </w:rPr>
        <w:t>accompanied</w:t>
      </w:r>
      <w:r>
        <w:rPr>
          <w:color w:val="231F20"/>
          <w:spacing w:val="-8"/>
          <w:w w:val="105"/>
        </w:rPr>
        <w:t> </w:t>
      </w:r>
      <w:r>
        <w:rPr>
          <w:color w:val="231F20"/>
          <w:w w:val="105"/>
        </w:rPr>
        <w:t>by</w:t>
      </w:r>
      <w:r>
        <w:rPr>
          <w:color w:val="231F20"/>
          <w:spacing w:val="-8"/>
          <w:w w:val="105"/>
        </w:rPr>
        <w:t> </w:t>
      </w:r>
      <w:r>
        <w:rPr>
          <w:color w:val="231F20"/>
          <w:w w:val="105"/>
        </w:rPr>
        <w:t>low</w:t>
      </w:r>
      <w:r>
        <w:rPr>
          <w:color w:val="231F20"/>
          <w:spacing w:val="-8"/>
          <w:w w:val="105"/>
        </w:rPr>
        <w:t> </w:t>
      </w:r>
      <w:r>
        <w:rPr>
          <w:color w:val="231F20"/>
          <w:w w:val="105"/>
        </w:rPr>
        <w:t>sodium</w:t>
      </w:r>
      <w:r>
        <w:rPr>
          <w:color w:val="231F20"/>
          <w:spacing w:val="-8"/>
          <w:w w:val="105"/>
        </w:rPr>
        <w:t> </w:t>
      </w:r>
      <w:r>
        <w:rPr>
          <w:color w:val="231F20"/>
          <w:w w:val="105"/>
        </w:rPr>
        <w:t>intake.</w:t>
      </w:r>
      <w:r>
        <w:rPr>
          <w:color w:val="231F20"/>
          <w:spacing w:val="-8"/>
          <w:w w:val="105"/>
        </w:rPr>
        <w:t> </w:t>
      </w:r>
      <w:r>
        <w:rPr>
          <w:color w:val="231F20"/>
          <w:w w:val="105"/>
        </w:rPr>
        <w:t>As</w:t>
      </w:r>
      <w:r>
        <w:rPr>
          <w:color w:val="231F20"/>
          <w:spacing w:val="-8"/>
          <w:w w:val="105"/>
        </w:rPr>
        <w:t> </w:t>
      </w:r>
      <w:r>
        <w:rPr>
          <w:color w:val="231F20"/>
          <w:spacing w:val="-3"/>
          <w:w w:val="105"/>
        </w:rPr>
        <w:t>dis­ </w:t>
      </w:r>
      <w:r>
        <w:rPr>
          <w:color w:val="231F20"/>
          <w:w w:val="105"/>
        </w:rPr>
        <w:t>cussed in Chapter 30, low sodium intake stimulates </w:t>
      </w:r>
      <w:r>
        <w:rPr>
          <w:color w:val="231F20"/>
          <w:spacing w:val="-7"/>
          <w:w w:val="105"/>
        </w:rPr>
        <w:t>for­ </w:t>
      </w:r>
      <w:r>
        <w:rPr>
          <w:color w:val="231F20"/>
          <w:w w:val="105"/>
        </w:rPr>
        <w:t>mation of the hormones angiotensin II and aldosterone, which</w:t>
      </w:r>
      <w:r>
        <w:rPr>
          <w:color w:val="231F20"/>
          <w:spacing w:val="-9"/>
          <w:w w:val="105"/>
        </w:rPr>
        <w:t> </w:t>
      </w:r>
      <w:r>
        <w:rPr>
          <w:color w:val="231F20"/>
          <w:w w:val="105"/>
        </w:rPr>
        <w:t>together</w:t>
      </w:r>
      <w:r>
        <w:rPr>
          <w:color w:val="231F20"/>
          <w:spacing w:val="-8"/>
          <w:w w:val="105"/>
        </w:rPr>
        <w:t> </w:t>
      </w:r>
      <w:r>
        <w:rPr>
          <w:color w:val="231F20"/>
          <w:w w:val="105"/>
        </w:rPr>
        <w:t>cause</w:t>
      </w:r>
      <w:r>
        <w:rPr>
          <w:color w:val="231F20"/>
          <w:spacing w:val="-8"/>
          <w:w w:val="105"/>
        </w:rPr>
        <w:t> </w:t>
      </w:r>
      <w:r>
        <w:rPr>
          <w:color w:val="231F20"/>
          <w:w w:val="105"/>
        </w:rPr>
        <w:t>avid</w:t>
      </w:r>
      <w:r>
        <w:rPr>
          <w:color w:val="231F20"/>
          <w:spacing w:val="-9"/>
          <w:w w:val="105"/>
        </w:rPr>
        <w:t> </w:t>
      </w:r>
      <w:r>
        <w:rPr>
          <w:color w:val="231F20"/>
          <w:w w:val="105"/>
        </w:rPr>
        <w:t>sodium</w:t>
      </w:r>
      <w:r>
        <w:rPr>
          <w:color w:val="231F20"/>
          <w:spacing w:val="-8"/>
          <w:w w:val="105"/>
        </w:rPr>
        <w:t> </w:t>
      </w:r>
      <w:r>
        <w:rPr>
          <w:color w:val="231F20"/>
          <w:w w:val="105"/>
        </w:rPr>
        <w:t>reabsorption</w:t>
      </w:r>
      <w:r>
        <w:rPr>
          <w:color w:val="231F20"/>
          <w:spacing w:val="-8"/>
          <w:w w:val="105"/>
        </w:rPr>
        <w:t> </w:t>
      </w:r>
      <w:r>
        <w:rPr>
          <w:color w:val="231F20"/>
          <w:w w:val="105"/>
        </w:rPr>
        <w:t>from</w:t>
      </w:r>
      <w:r>
        <w:rPr>
          <w:color w:val="231F20"/>
          <w:spacing w:val="-8"/>
          <w:w w:val="105"/>
        </w:rPr>
        <w:t> </w:t>
      </w:r>
      <w:r>
        <w:rPr>
          <w:color w:val="231F20"/>
          <w:w w:val="105"/>
        </w:rPr>
        <w:t>the tubules</w:t>
      </w:r>
      <w:r>
        <w:rPr>
          <w:color w:val="231F20"/>
          <w:spacing w:val="-9"/>
          <w:w w:val="105"/>
        </w:rPr>
        <w:t> </w:t>
      </w:r>
      <w:r>
        <w:rPr>
          <w:color w:val="231F20"/>
          <w:w w:val="105"/>
        </w:rPr>
        <w:t>while</w:t>
      </w:r>
      <w:r>
        <w:rPr>
          <w:color w:val="231F20"/>
          <w:spacing w:val="-8"/>
          <w:w w:val="105"/>
        </w:rPr>
        <w:t> </w:t>
      </w:r>
      <w:r>
        <w:rPr>
          <w:color w:val="231F20"/>
          <w:w w:val="105"/>
        </w:rPr>
        <w:t>leaving</w:t>
      </w:r>
      <w:r>
        <w:rPr>
          <w:color w:val="231F20"/>
          <w:spacing w:val="-8"/>
          <w:w w:val="105"/>
        </w:rPr>
        <w:t> </w:t>
      </w:r>
      <w:r>
        <w:rPr>
          <w:color w:val="231F20"/>
          <w:w w:val="105"/>
        </w:rPr>
        <w:t>the</w:t>
      </w:r>
      <w:r>
        <w:rPr>
          <w:color w:val="231F20"/>
          <w:spacing w:val="-8"/>
          <w:w w:val="105"/>
        </w:rPr>
        <w:t> </w:t>
      </w:r>
      <w:r>
        <w:rPr>
          <w:color w:val="231F20"/>
          <w:w w:val="105"/>
        </w:rPr>
        <w:t>urea</w:t>
      </w:r>
      <w:r>
        <w:rPr>
          <w:color w:val="231F20"/>
          <w:spacing w:val="-8"/>
          <w:w w:val="105"/>
        </w:rPr>
        <w:t> </w:t>
      </w:r>
      <w:r>
        <w:rPr>
          <w:color w:val="231F20"/>
          <w:w w:val="105"/>
        </w:rPr>
        <w:t>and</w:t>
      </w:r>
      <w:r>
        <w:rPr>
          <w:color w:val="231F20"/>
          <w:spacing w:val="-9"/>
          <w:w w:val="105"/>
        </w:rPr>
        <w:t> </w:t>
      </w:r>
      <w:r>
        <w:rPr>
          <w:color w:val="231F20"/>
          <w:w w:val="105"/>
        </w:rPr>
        <w:t>other</w:t>
      </w:r>
      <w:r>
        <w:rPr>
          <w:color w:val="231F20"/>
          <w:spacing w:val="-8"/>
          <w:w w:val="105"/>
        </w:rPr>
        <w:t> </w:t>
      </w:r>
      <w:r>
        <w:rPr>
          <w:color w:val="231F20"/>
          <w:w w:val="105"/>
        </w:rPr>
        <w:t>solutes</w:t>
      </w:r>
      <w:r>
        <w:rPr>
          <w:color w:val="231F20"/>
          <w:spacing w:val="-8"/>
          <w:w w:val="105"/>
        </w:rPr>
        <w:t> </w:t>
      </w:r>
      <w:r>
        <w:rPr>
          <w:color w:val="231F20"/>
          <w:w w:val="105"/>
        </w:rPr>
        <w:t>to</w:t>
      </w:r>
      <w:r>
        <w:rPr>
          <w:color w:val="231F20"/>
          <w:spacing w:val="-8"/>
          <w:w w:val="105"/>
        </w:rPr>
        <w:t> </w:t>
      </w:r>
      <w:r>
        <w:rPr>
          <w:color w:val="231F20"/>
          <w:spacing w:val="-3"/>
          <w:w w:val="105"/>
        </w:rPr>
        <w:t>main­ </w:t>
      </w:r>
      <w:r>
        <w:rPr>
          <w:color w:val="231F20"/>
          <w:w w:val="105"/>
        </w:rPr>
        <w:t>tain the highly concentrated</w:t>
      </w:r>
      <w:r>
        <w:rPr>
          <w:color w:val="231F20"/>
          <w:spacing w:val="10"/>
          <w:w w:val="105"/>
        </w:rPr>
        <w:t> </w:t>
      </w:r>
      <w:r>
        <w:rPr>
          <w:color w:val="231F20"/>
          <w:w w:val="105"/>
        </w:rPr>
        <w:t>urine.</w:t>
      </w:r>
    </w:p>
    <w:p>
      <w:pPr>
        <w:pStyle w:val="BodyText"/>
        <w:spacing w:line="249" w:lineRule="auto" w:before="7"/>
        <w:ind w:left="1012" w:firstLine="240"/>
        <w:jc w:val="right"/>
      </w:pPr>
      <w:r>
        <w:rPr>
          <w:color w:val="231F20"/>
        </w:rPr>
        <w:t>Second, </w:t>
      </w:r>
      <w:r>
        <w:rPr>
          <w:i/>
          <w:color w:val="231F20"/>
        </w:rPr>
        <w:t>large quantities of dilute urine can be excreted</w:t>
      </w:r>
      <w:r>
        <w:rPr>
          <w:i/>
          <w:color w:val="231F20"/>
          <w:w w:val="106"/>
        </w:rPr>
        <w:t> </w:t>
      </w:r>
      <w:r>
        <w:rPr>
          <w:i/>
          <w:color w:val="231F20"/>
        </w:rPr>
        <w:t>without increasing the excretion of sodium</w:t>
      </w:r>
      <w:r>
        <w:rPr>
          <w:color w:val="231F20"/>
        </w:rPr>
        <w:t>. This feat is</w:t>
      </w:r>
      <w:r>
        <w:rPr>
          <w:color w:val="231F20"/>
          <w:w w:val="95"/>
        </w:rPr>
        <w:t> </w:t>
      </w:r>
      <w:r>
        <w:rPr>
          <w:color w:val="231F20"/>
        </w:rPr>
        <w:t>accomplished by decreasing ADH secretion, which re­</w:t>
      </w:r>
      <w:r>
        <w:rPr>
          <w:color w:val="231F20"/>
          <w:w w:val="109"/>
        </w:rPr>
        <w:t> </w:t>
      </w:r>
      <w:r>
        <w:rPr>
          <w:color w:val="231F20"/>
        </w:rPr>
        <w:t>duces water reabsorption in the more distal tubular seg­</w:t>
      </w:r>
      <w:r>
        <w:rPr>
          <w:color w:val="231F20"/>
          <w:w w:val="109"/>
        </w:rPr>
        <w:t> </w:t>
      </w:r>
      <w:r>
        <w:rPr>
          <w:color w:val="231F20"/>
        </w:rPr>
        <w:t>ments without significantly altering sodium reabsorption.</w:t>
      </w:r>
      <w:r>
        <w:rPr>
          <w:color w:val="231F20"/>
          <w:w w:val="104"/>
        </w:rPr>
        <w:t> </w:t>
      </w:r>
      <w:r>
        <w:rPr>
          <w:color w:val="231F20"/>
        </w:rPr>
        <w:t>Finally, there is an </w:t>
      </w:r>
      <w:r>
        <w:rPr>
          <w:i/>
          <w:color w:val="231F20"/>
        </w:rPr>
        <w:t>obligatory urine volume </w:t>
      </w:r>
      <w:r>
        <w:rPr>
          <w:color w:val="231F20"/>
        </w:rPr>
        <w:t>that is dic­</w:t>
      </w:r>
      <w:r>
        <w:rPr>
          <w:color w:val="231F20"/>
          <w:w w:val="109"/>
        </w:rPr>
        <w:t> </w:t>
      </w:r>
      <w:r>
        <w:rPr>
          <w:color w:val="231F20"/>
        </w:rPr>
        <w:t>tated by the maximum concentrating ability of the kidney</w:t>
      </w:r>
      <w:r>
        <w:rPr>
          <w:color w:val="231F20"/>
          <w:w w:val="90"/>
        </w:rPr>
        <w:t> </w:t>
      </w:r>
      <w:r>
        <w:rPr>
          <w:color w:val="231F20"/>
        </w:rPr>
        <w:t>and the amount of solute that must be excreted. Therefore,</w:t>
      </w:r>
      <w:r>
        <w:rPr>
          <w:color w:val="231F20"/>
          <w:w w:val="95"/>
        </w:rPr>
        <w:t> </w:t>
      </w:r>
      <w:r>
        <w:rPr>
          <w:color w:val="231F20"/>
        </w:rPr>
        <w:t>if large amounts of solute must be excreted, they must be</w:t>
      </w:r>
      <w:r>
        <w:rPr>
          <w:color w:val="231F20"/>
          <w:w w:val="100"/>
        </w:rPr>
        <w:t> </w:t>
      </w:r>
      <w:r>
        <w:rPr>
          <w:color w:val="231F20"/>
        </w:rPr>
        <w:t>accompanied by the minimal amount of water necessary</w:t>
      </w:r>
      <w:r>
        <w:rPr>
          <w:color w:val="231F20"/>
          <w:w w:val="90"/>
        </w:rPr>
        <w:t> </w:t>
      </w:r>
      <w:r>
        <w:rPr>
          <w:color w:val="231F20"/>
        </w:rPr>
        <w:t>to excrete them. For example, if 600 milliosmoles of solute</w:t>
      </w:r>
      <w:r>
        <w:rPr>
          <w:color w:val="231F20"/>
          <w:w w:val="100"/>
        </w:rPr>
        <w:t> </w:t>
      </w:r>
      <w:r>
        <w:rPr>
          <w:color w:val="231F20"/>
        </w:rPr>
        <w:t>must be excreted each day, this requires </w:t>
      </w:r>
      <w:r>
        <w:rPr>
          <w:i/>
          <w:color w:val="231F20"/>
        </w:rPr>
        <w:t>at least </w:t>
      </w:r>
      <w:r>
        <w:rPr>
          <w:color w:val="231F20"/>
        </w:rPr>
        <w:t>0.5 liter</w:t>
      </w:r>
      <w:r>
        <w:rPr>
          <w:color w:val="231F20"/>
          <w:w w:val="105"/>
        </w:rPr>
        <w:t> </w:t>
      </w:r>
      <w:r>
        <w:rPr>
          <w:color w:val="231F20"/>
        </w:rPr>
        <w:t>of urine if maximal urine concentrating ability is</w:t>
      </w:r>
    </w:p>
    <w:p>
      <w:pPr>
        <w:pStyle w:val="BodyText"/>
        <w:spacing w:before="11"/>
        <w:ind w:left="1080"/>
        <w:jc w:val="both"/>
      </w:pPr>
      <w:r>
        <w:rPr/>
        <w:pict>
          <v:group style="position:absolute;margin-left:54pt;margin-top:37.185932pt;width:234pt;height:272.7pt;mso-position-horizontal-relative:page;mso-position-vertical-relative:paragraph;z-index:252476416" coordorigin="1080,744" coordsize="4680,5454">
            <v:rect style="position:absolute;left:1080;top:743;width:4680;height:5454" filled="true" fillcolor="#f0eef6" stroked="false">
              <v:fill type="solid"/>
            </v:rect>
            <v:line style="position:absolute" from="3348,3742" to="3991,3742" stroked="true" strokeweight=".438pt" strokecolor="#000000">
              <v:stroke dashstyle="solid"/>
            </v:line>
            <v:shape style="position:absolute;left:1260;top:4047;width:4341;height:2064" type="#_x0000_t202" filled="false" stroked="false">
              <v:textbox inset="0,0,0,0">
                <w:txbxContent>
                  <w:p>
                    <w:pPr>
                      <w:spacing w:line="254" w:lineRule="auto" w:before="0"/>
                      <w:ind w:left="0" w:right="18" w:firstLine="0"/>
                      <w:jc w:val="both"/>
                      <w:rPr>
                        <w:sz w:val="18"/>
                      </w:rPr>
                    </w:pPr>
                    <w:r>
                      <w:rPr>
                        <w:color w:val="231F20"/>
                        <w:sz w:val="18"/>
                      </w:rPr>
                      <w:t>where </w:t>
                    </w:r>
                    <w:r>
                      <w:rPr>
                        <w:i/>
                        <w:color w:val="231F20"/>
                        <w:sz w:val="18"/>
                      </w:rPr>
                      <w:t>U</w:t>
                    </w:r>
                    <w:r>
                      <w:rPr>
                        <w:i/>
                        <w:color w:val="231F20"/>
                        <w:sz w:val="18"/>
                        <w:vertAlign w:val="subscript"/>
                      </w:rPr>
                      <w:t>osm</w:t>
                    </w:r>
                    <w:r>
                      <w:rPr>
                        <w:i/>
                        <w:color w:val="231F20"/>
                        <w:sz w:val="18"/>
                        <w:vertAlign w:val="baseline"/>
                      </w:rPr>
                      <w:t> </w:t>
                    </w:r>
                    <w:r>
                      <w:rPr>
                        <w:color w:val="231F20"/>
                        <w:sz w:val="18"/>
                        <w:vertAlign w:val="baseline"/>
                      </w:rPr>
                      <w:t>is the urine osmolarity, </w:t>
                    </w:r>
                    <w:r>
                      <w:rPr>
                        <w:i/>
                        <w:spacing w:val="-28"/>
                        <w:sz w:val="18"/>
                        <w:vertAlign w:val="baseline"/>
                      </w:rPr>
                      <w:t>V</w:t>
                    </w:r>
                    <w:r>
                      <w:rPr>
                        <w:rFonts w:ascii="Century Gothic" w:hAnsi="Century Gothic"/>
                        <w:spacing w:val="-28"/>
                        <w:position w:val="4"/>
                        <w:sz w:val="18"/>
                        <w:vertAlign w:val="baseline"/>
                      </w:rPr>
                      <w:t>-  </w:t>
                    </w:r>
                    <w:r>
                      <w:rPr>
                        <w:color w:val="231F20"/>
                        <w:sz w:val="18"/>
                        <w:vertAlign w:val="baseline"/>
                      </w:rPr>
                      <w:t>is  the  urine  </w:t>
                    </w:r>
                    <w:r>
                      <w:rPr>
                        <w:color w:val="231F20"/>
                        <w:spacing w:val="-12"/>
                        <w:sz w:val="18"/>
                        <w:vertAlign w:val="baseline"/>
                      </w:rPr>
                      <w:t>flow </w:t>
                    </w:r>
                    <w:r>
                      <w:rPr>
                        <w:color w:val="231F20"/>
                        <w:sz w:val="18"/>
                        <w:vertAlign w:val="baseline"/>
                      </w:rPr>
                      <w:t>rate, and </w:t>
                    </w:r>
                    <w:r>
                      <w:rPr>
                        <w:i/>
                        <w:color w:val="231F20"/>
                        <w:sz w:val="18"/>
                        <w:vertAlign w:val="baseline"/>
                      </w:rPr>
                      <w:t>P</w:t>
                    </w:r>
                    <w:r>
                      <w:rPr>
                        <w:i/>
                        <w:color w:val="231F20"/>
                        <w:sz w:val="18"/>
                        <w:vertAlign w:val="subscript"/>
                      </w:rPr>
                      <w:t>osm</w:t>
                    </w:r>
                    <w:r>
                      <w:rPr>
                        <w:i/>
                        <w:color w:val="231F20"/>
                        <w:sz w:val="18"/>
                        <w:vertAlign w:val="baseline"/>
                      </w:rPr>
                      <w:t> </w:t>
                    </w:r>
                    <w:r>
                      <w:rPr>
                        <w:color w:val="231F20"/>
                        <w:sz w:val="18"/>
                        <w:vertAlign w:val="baseline"/>
                      </w:rPr>
                      <w:t>is the plasma osmolarity. </w:t>
                    </w:r>
                    <w:r>
                      <w:rPr>
                        <w:color w:val="231F20"/>
                        <w:spacing w:val="-3"/>
                        <w:sz w:val="18"/>
                        <w:vertAlign w:val="baseline"/>
                      </w:rPr>
                      <w:t>For </w:t>
                    </w:r>
                    <w:r>
                      <w:rPr>
                        <w:color w:val="231F20"/>
                        <w:sz w:val="18"/>
                        <w:vertAlign w:val="baseline"/>
                      </w:rPr>
                      <w:t>example, </w:t>
                    </w:r>
                    <w:r>
                      <w:rPr>
                        <w:color w:val="231F20"/>
                        <w:spacing w:val="-25"/>
                        <w:sz w:val="18"/>
                        <w:vertAlign w:val="baseline"/>
                      </w:rPr>
                      <w:t>if </w:t>
                    </w:r>
                    <w:r>
                      <w:rPr>
                        <w:color w:val="231F20"/>
                        <w:sz w:val="18"/>
                        <w:vertAlign w:val="baseline"/>
                      </w:rPr>
                      <w:t>plasma osmolarity is 300 mOsm/L, urine osmolarity  is  600 mOsm/L, and urine flow rate is 1 ml/min </w:t>
                    </w:r>
                    <w:r>
                      <w:rPr>
                        <w:color w:val="231F20"/>
                        <w:spacing w:val="-3"/>
                        <w:sz w:val="18"/>
                        <w:vertAlign w:val="baseline"/>
                      </w:rPr>
                      <w:t>(0.001 </w:t>
                    </w:r>
                    <w:r>
                      <w:rPr>
                        <w:color w:val="231F20"/>
                        <w:sz w:val="18"/>
                        <w:vertAlign w:val="baseline"/>
                      </w:rPr>
                      <w:t>L/min), the rate of osmolar excretion is 0.6  mOsm/min (600 mOsm/L </w:t>
                    </w:r>
                    <w:r>
                      <w:rPr>
                        <w:rFonts w:ascii="Consolas" w:hAnsi="Consolas"/>
                        <w:color w:val="231F20"/>
                        <w:sz w:val="18"/>
                        <w:vertAlign w:val="baseline"/>
                      </w:rPr>
                      <w:t>× </w:t>
                    </w:r>
                    <w:r>
                      <w:rPr>
                        <w:color w:val="231F20"/>
                        <w:sz w:val="18"/>
                        <w:vertAlign w:val="baseline"/>
                      </w:rPr>
                      <w:t>0.001</w:t>
                    </w:r>
                    <w:r>
                      <w:rPr>
                        <w:color w:val="231F20"/>
                        <w:spacing w:val="18"/>
                        <w:sz w:val="18"/>
                        <w:vertAlign w:val="baseline"/>
                      </w:rPr>
                      <w:t> </w:t>
                    </w:r>
                    <w:r>
                      <w:rPr>
                        <w:color w:val="231F20"/>
                        <w:sz w:val="18"/>
                        <w:vertAlign w:val="baseline"/>
                      </w:rPr>
                      <w:t>L/min) and osmolar clearance </w:t>
                    </w:r>
                    <w:r>
                      <w:rPr>
                        <w:color w:val="231F20"/>
                        <w:spacing w:val="-8"/>
                        <w:sz w:val="18"/>
                        <w:vertAlign w:val="baseline"/>
                      </w:rPr>
                      <w:t>is</w:t>
                    </w:r>
                  </w:p>
                  <w:p>
                    <w:pPr>
                      <w:spacing w:line="254" w:lineRule="auto" w:before="0"/>
                      <w:ind w:left="0" w:right="18" w:firstLine="0"/>
                      <w:jc w:val="both"/>
                      <w:rPr>
                        <w:sz w:val="18"/>
                      </w:rPr>
                    </w:pPr>
                    <w:r>
                      <w:rPr>
                        <w:color w:val="231F20"/>
                        <w:sz w:val="18"/>
                      </w:rPr>
                      <w:t>0.6 mOsm/min divided by 300 mOsm/L, or 0.002 L/min (2.0 ml/min). This means that 2 milliliters of plasma are being cleared of solute each minute.</w:t>
                    </w:r>
                  </w:p>
                </w:txbxContent>
              </v:textbox>
              <w10:wrap type="none"/>
            </v:shape>
            <v:shape style="position:absolute;left:3598;top:3857;width:223;height:125" type="#_x0000_t202" filled="false" stroked="false">
              <v:textbox inset="0,0,0,0">
                <w:txbxContent>
                  <w:p>
                    <w:pPr>
                      <w:spacing w:before="6"/>
                      <w:ind w:left="0" w:right="0" w:firstLine="0"/>
                      <w:jc w:val="left"/>
                      <w:rPr>
                        <w:rFonts w:ascii="Trebuchet MS"/>
                        <w:sz w:val="10"/>
                      </w:rPr>
                    </w:pPr>
                    <w:r>
                      <w:rPr>
                        <w:rFonts w:ascii="Trebuchet MS"/>
                        <w:w w:val="115"/>
                        <w:sz w:val="10"/>
                      </w:rPr>
                      <w:t>osm</w:t>
                    </w:r>
                  </w:p>
                </w:txbxContent>
              </v:textbox>
              <w10:wrap type="none"/>
            </v:shape>
            <v:shape style="position:absolute;left:3516;top:3759;width:121;height:209" type="#_x0000_t202" filled="false" stroked="false">
              <v:textbox inset="0,0,0,0">
                <w:txbxContent>
                  <w:p>
                    <w:pPr>
                      <w:spacing w:line="208" w:lineRule="exact" w:before="0"/>
                      <w:ind w:left="0" w:right="0" w:firstLine="0"/>
                      <w:jc w:val="left"/>
                      <w:rPr>
                        <w:rFonts w:ascii="Trebuchet MS"/>
                        <w:sz w:val="18"/>
                      </w:rPr>
                    </w:pPr>
                    <w:r>
                      <w:rPr>
                        <w:rFonts w:ascii="Trebuchet MS"/>
                        <w:w w:val="99"/>
                        <w:sz w:val="18"/>
                      </w:rPr>
                      <w:t>P</w:t>
                    </w:r>
                  </w:p>
                </w:txbxContent>
              </v:textbox>
              <w10:wrap type="none"/>
            </v:shape>
            <v:shape style="position:absolute;left:3196;top:3455;width:772;height:388" type="#_x0000_t202" filled="false" stroked="false">
              <v:textbox inset="0,0,0,0">
                <w:txbxContent>
                  <w:p>
                    <w:pPr>
                      <w:spacing w:line="240" w:lineRule="auto" w:before="0"/>
                      <w:ind w:left="0" w:right="0" w:firstLine="0"/>
                      <w:jc w:val="left"/>
                      <w:rPr>
                        <w:rFonts w:ascii="Century Gothic" w:hAnsi="Century Gothic"/>
                        <w:sz w:val="18"/>
                      </w:rPr>
                    </w:pPr>
                    <w:r>
                      <w:rPr>
                        <w:rFonts w:ascii="Symbol" w:hAnsi="Symbol"/>
                        <w:w w:val="100"/>
                        <w:position w:val="-11"/>
                        <w:sz w:val="18"/>
                      </w:rPr>
                      <w:t></w:t>
                    </w:r>
                    <w:r>
                      <w:rPr>
                        <w:spacing w:val="5"/>
                        <w:position w:val="-11"/>
                        <w:sz w:val="18"/>
                      </w:rPr>
                      <w:t> </w:t>
                    </w:r>
                    <w:r>
                      <w:rPr>
                        <w:rFonts w:ascii="Trebuchet MS" w:hAnsi="Trebuchet MS"/>
                        <w:spacing w:val="-9"/>
                        <w:w w:val="111"/>
                        <w:sz w:val="18"/>
                      </w:rPr>
                      <w:t>U</w:t>
                    </w:r>
                    <w:r>
                      <w:rPr>
                        <w:rFonts w:ascii="Trebuchet MS" w:hAnsi="Trebuchet MS"/>
                        <w:spacing w:val="-1"/>
                        <w:w w:val="122"/>
                        <w:position w:val="-2"/>
                        <w:sz w:val="10"/>
                      </w:rPr>
                      <w:t>o</w:t>
                    </w:r>
                    <w:r>
                      <w:rPr>
                        <w:rFonts w:ascii="Trebuchet MS" w:hAnsi="Trebuchet MS"/>
                        <w:w w:val="111"/>
                        <w:position w:val="-2"/>
                        <w:sz w:val="10"/>
                      </w:rPr>
                      <w:t>sm</w:t>
                    </w:r>
                    <w:r>
                      <w:rPr>
                        <w:rFonts w:ascii="Trebuchet MS" w:hAnsi="Trebuchet MS"/>
                        <w:position w:val="-2"/>
                        <w:sz w:val="10"/>
                      </w:rPr>
                      <w:t> </w:t>
                    </w:r>
                    <w:r>
                      <w:rPr>
                        <w:rFonts w:ascii="Trebuchet MS" w:hAnsi="Trebuchet MS"/>
                        <w:spacing w:val="-13"/>
                        <w:position w:val="-2"/>
                        <w:sz w:val="10"/>
                      </w:rPr>
                      <w:t> </w:t>
                    </w:r>
                    <w:r>
                      <w:rPr>
                        <w:rFonts w:ascii="Symbol" w:hAnsi="Symbol"/>
                        <w:w w:val="100"/>
                        <w:sz w:val="18"/>
                      </w:rPr>
                      <w:t></w:t>
                    </w:r>
                    <w:r>
                      <w:rPr>
                        <w:spacing w:val="-4"/>
                        <w:sz w:val="18"/>
                      </w:rPr>
                      <w:t> </w:t>
                    </w:r>
                    <w:r>
                      <w:rPr>
                        <w:rFonts w:ascii="Trebuchet MS" w:hAnsi="Trebuchet MS"/>
                        <w:spacing w:val="-91"/>
                        <w:w w:val="113"/>
                        <w:sz w:val="18"/>
                      </w:rPr>
                      <w:t>V</w:t>
                    </w:r>
                    <w:r>
                      <w:rPr>
                        <w:rFonts w:ascii="Century Gothic" w:hAnsi="Century Gothic"/>
                        <w:w w:val="100"/>
                        <w:position w:val="5"/>
                        <w:sz w:val="18"/>
                      </w:rPr>
                      <w:t>-</w:t>
                    </w:r>
                  </w:p>
                </w:txbxContent>
              </v:textbox>
              <w10:wrap type="none"/>
            </v:shape>
            <v:shape style="position:absolute;left:2821;top:3621;width:336;height:223" type="#_x0000_t202" filled="false" stroked="false">
              <v:textbox inset="0,0,0,0">
                <w:txbxContent>
                  <w:p>
                    <w:pPr>
                      <w:spacing w:line="221" w:lineRule="exact" w:before="0"/>
                      <w:ind w:left="0" w:right="0" w:firstLine="0"/>
                      <w:jc w:val="left"/>
                      <w:rPr>
                        <w:rFonts w:ascii="Trebuchet MS"/>
                        <w:sz w:val="10"/>
                      </w:rPr>
                    </w:pPr>
                    <w:r>
                      <w:rPr>
                        <w:rFonts w:ascii="Trebuchet MS"/>
                        <w:w w:val="110"/>
                        <w:position w:val="3"/>
                        <w:sz w:val="18"/>
                      </w:rPr>
                      <w:t>C</w:t>
                    </w:r>
                    <w:r>
                      <w:rPr>
                        <w:rFonts w:ascii="Trebuchet MS"/>
                        <w:w w:val="110"/>
                        <w:sz w:val="10"/>
                      </w:rPr>
                      <w:t>osm</w:t>
                    </w:r>
                  </w:p>
                </w:txbxContent>
              </v:textbox>
              <w10:wrap type="none"/>
            </v:shape>
            <v:shape style="position:absolute;left:1259;top:869;width:4341;height:2541" type="#_x0000_t202" filled="false" stroked="false">
              <v:textbox inset="0,0,0,0">
                <w:txbxContent>
                  <w:p>
                    <w:pPr>
                      <w:spacing w:line="252" w:lineRule="auto" w:before="0"/>
                      <w:ind w:left="0" w:right="0" w:firstLine="0"/>
                      <w:jc w:val="left"/>
                      <w:rPr>
                        <w:rFonts w:ascii="Trebuchet MS" w:hAnsi="Trebuchet MS"/>
                        <w:b/>
                        <w:sz w:val="18"/>
                      </w:rPr>
                    </w:pPr>
                    <w:r>
                      <w:rPr>
                        <w:rFonts w:ascii="Trebuchet MS" w:hAnsi="Trebuchet MS"/>
                        <w:b/>
                        <w:color w:val="231F20"/>
                        <w:sz w:val="18"/>
                      </w:rPr>
                      <w:t>Quantifying Renal Urine Concentration And Dilution: “Free Water” and Osmolar Clearances</w:t>
                    </w:r>
                  </w:p>
                  <w:p>
                    <w:pPr>
                      <w:spacing w:line="254" w:lineRule="auto" w:before="81"/>
                      <w:ind w:left="0" w:right="18" w:firstLine="0"/>
                      <w:jc w:val="both"/>
                      <w:rPr>
                        <w:sz w:val="18"/>
                      </w:rPr>
                    </w:pPr>
                    <w:r>
                      <w:rPr>
                        <w:color w:val="231F20"/>
                        <w:w w:val="105"/>
                        <w:sz w:val="18"/>
                      </w:rPr>
                      <w:t>The</w:t>
                    </w:r>
                    <w:r>
                      <w:rPr>
                        <w:color w:val="231F20"/>
                        <w:spacing w:val="-9"/>
                        <w:w w:val="105"/>
                        <w:sz w:val="18"/>
                      </w:rPr>
                      <w:t> </w:t>
                    </w:r>
                    <w:r>
                      <w:rPr>
                        <w:color w:val="231F20"/>
                        <w:w w:val="105"/>
                        <w:sz w:val="18"/>
                      </w:rPr>
                      <w:t>process</w:t>
                    </w:r>
                    <w:r>
                      <w:rPr>
                        <w:color w:val="231F20"/>
                        <w:spacing w:val="-9"/>
                        <w:w w:val="105"/>
                        <w:sz w:val="18"/>
                      </w:rPr>
                      <w:t> </w:t>
                    </w:r>
                    <w:r>
                      <w:rPr>
                        <w:color w:val="231F20"/>
                        <w:w w:val="105"/>
                        <w:sz w:val="18"/>
                      </w:rPr>
                      <w:t>of</w:t>
                    </w:r>
                    <w:r>
                      <w:rPr>
                        <w:color w:val="231F20"/>
                        <w:spacing w:val="-8"/>
                        <w:w w:val="105"/>
                        <w:sz w:val="18"/>
                      </w:rPr>
                      <w:t> </w:t>
                    </w:r>
                    <w:r>
                      <w:rPr>
                        <w:color w:val="231F20"/>
                        <w:w w:val="105"/>
                        <w:sz w:val="18"/>
                      </w:rPr>
                      <w:t>concentrating</w:t>
                    </w:r>
                    <w:r>
                      <w:rPr>
                        <w:color w:val="231F20"/>
                        <w:spacing w:val="-9"/>
                        <w:w w:val="105"/>
                        <w:sz w:val="18"/>
                      </w:rPr>
                      <w:t> </w:t>
                    </w:r>
                    <w:r>
                      <w:rPr>
                        <w:color w:val="231F20"/>
                        <w:w w:val="105"/>
                        <w:sz w:val="18"/>
                      </w:rPr>
                      <w:t>or</w:t>
                    </w:r>
                    <w:r>
                      <w:rPr>
                        <w:color w:val="231F20"/>
                        <w:spacing w:val="-9"/>
                        <w:w w:val="105"/>
                        <w:sz w:val="18"/>
                      </w:rPr>
                      <w:t> </w:t>
                    </w:r>
                    <w:r>
                      <w:rPr>
                        <w:color w:val="231F20"/>
                        <w:w w:val="105"/>
                        <w:sz w:val="18"/>
                      </w:rPr>
                      <w:t>diluting</w:t>
                    </w:r>
                    <w:r>
                      <w:rPr>
                        <w:color w:val="231F20"/>
                        <w:spacing w:val="-8"/>
                        <w:w w:val="105"/>
                        <w:sz w:val="18"/>
                      </w:rPr>
                      <w:t> </w:t>
                    </w:r>
                    <w:r>
                      <w:rPr>
                        <w:color w:val="231F20"/>
                        <w:w w:val="105"/>
                        <w:sz w:val="18"/>
                      </w:rPr>
                      <w:t>the</w:t>
                    </w:r>
                    <w:r>
                      <w:rPr>
                        <w:color w:val="231F20"/>
                        <w:spacing w:val="-9"/>
                        <w:w w:val="105"/>
                        <w:sz w:val="18"/>
                      </w:rPr>
                      <w:t> </w:t>
                    </w:r>
                    <w:r>
                      <w:rPr>
                        <w:color w:val="231F20"/>
                        <w:w w:val="105"/>
                        <w:sz w:val="18"/>
                      </w:rPr>
                      <w:t>urine</w:t>
                    </w:r>
                    <w:r>
                      <w:rPr>
                        <w:color w:val="231F20"/>
                        <w:spacing w:val="-8"/>
                        <w:w w:val="105"/>
                        <w:sz w:val="18"/>
                      </w:rPr>
                      <w:t> </w:t>
                    </w:r>
                    <w:r>
                      <w:rPr>
                        <w:color w:val="231F20"/>
                        <w:spacing w:val="-3"/>
                        <w:w w:val="105"/>
                        <w:sz w:val="18"/>
                      </w:rPr>
                      <w:t>requires </w:t>
                    </w:r>
                    <w:r>
                      <w:rPr>
                        <w:color w:val="231F20"/>
                        <w:w w:val="105"/>
                        <w:sz w:val="18"/>
                      </w:rPr>
                      <w:t>the kidneys to excrete water and solutes somewhat inde­ pendently. When the urine is dilute, water is excreted in excess of solutes. Conversely, when the urine is concen­ trated, solutes are excreted in excess of</w:t>
                    </w:r>
                    <w:r>
                      <w:rPr>
                        <w:color w:val="231F20"/>
                        <w:spacing w:val="-1"/>
                        <w:w w:val="105"/>
                        <w:sz w:val="18"/>
                      </w:rPr>
                      <w:t> </w:t>
                    </w:r>
                    <w:r>
                      <w:rPr>
                        <w:color w:val="231F20"/>
                        <w:spacing w:val="-3"/>
                        <w:w w:val="105"/>
                        <w:sz w:val="18"/>
                      </w:rPr>
                      <w:t>water.</w:t>
                    </w:r>
                  </w:p>
                  <w:p>
                    <w:pPr>
                      <w:spacing w:line="254" w:lineRule="auto" w:before="3"/>
                      <w:ind w:left="0" w:right="18" w:firstLine="239"/>
                      <w:jc w:val="both"/>
                      <w:rPr>
                        <w:sz w:val="18"/>
                      </w:rPr>
                    </w:pPr>
                    <w:r>
                      <w:rPr>
                        <w:color w:val="231F20"/>
                        <w:sz w:val="18"/>
                      </w:rPr>
                      <w:t>The total clearance of solutes from the blood can be expressed</w:t>
                    </w:r>
                    <w:r>
                      <w:rPr>
                        <w:color w:val="231F20"/>
                        <w:spacing w:val="-9"/>
                        <w:sz w:val="18"/>
                      </w:rPr>
                      <w:t> </w:t>
                    </w:r>
                    <w:r>
                      <w:rPr>
                        <w:color w:val="231F20"/>
                        <w:sz w:val="18"/>
                      </w:rPr>
                      <w:t>as</w:t>
                    </w:r>
                    <w:r>
                      <w:rPr>
                        <w:color w:val="231F20"/>
                        <w:spacing w:val="-9"/>
                        <w:sz w:val="18"/>
                      </w:rPr>
                      <w:t> </w:t>
                    </w:r>
                    <w:r>
                      <w:rPr>
                        <w:color w:val="231F20"/>
                        <w:sz w:val="18"/>
                      </w:rPr>
                      <w:t>the</w:t>
                    </w:r>
                    <w:r>
                      <w:rPr>
                        <w:color w:val="231F20"/>
                        <w:spacing w:val="-8"/>
                        <w:sz w:val="18"/>
                      </w:rPr>
                      <w:t> </w:t>
                    </w:r>
                    <w:r>
                      <w:rPr>
                        <w:i/>
                        <w:color w:val="231F20"/>
                        <w:sz w:val="18"/>
                      </w:rPr>
                      <w:t>osmolar</w:t>
                    </w:r>
                    <w:r>
                      <w:rPr>
                        <w:i/>
                        <w:color w:val="231F20"/>
                        <w:spacing w:val="-9"/>
                        <w:sz w:val="18"/>
                      </w:rPr>
                      <w:t> </w:t>
                    </w:r>
                    <w:r>
                      <w:rPr>
                        <w:i/>
                        <w:color w:val="231F20"/>
                        <w:sz w:val="18"/>
                      </w:rPr>
                      <w:t>clearance</w:t>
                    </w:r>
                    <w:r>
                      <w:rPr>
                        <w:i/>
                        <w:color w:val="231F20"/>
                        <w:spacing w:val="-9"/>
                        <w:sz w:val="18"/>
                      </w:rPr>
                      <w:t> </w:t>
                    </w:r>
                    <w:r>
                      <w:rPr>
                        <w:color w:val="231F20"/>
                        <w:sz w:val="18"/>
                      </w:rPr>
                      <w:t>(C</w:t>
                    </w:r>
                    <w:r>
                      <w:rPr>
                        <w:color w:val="231F20"/>
                        <w:sz w:val="18"/>
                        <w:vertAlign w:val="subscript"/>
                      </w:rPr>
                      <w:t>osm</w:t>
                    </w:r>
                    <w:r>
                      <w:rPr>
                        <w:color w:val="231F20"/>
                        <w:sz w:val="18"/>
                        <w:vertAlign w:val="baseline"/>
                      </w:rPr>
                      <w:t>);</w:t>
                    </w:r>
                    <w:r>
                      <w:rPr>
                        <w:color w:val="231F20"/>
                        <w:spacing w:val="-9"/>
                        <w:sz w:val="18"/>
                        <w:vertAlign w:val="baseline"/>
                      </w:rPr>
                      <w:t> </w:t>
                    </w:r>
                    <w:r>
                      <w:rPr>
                        <w:color w:val="231F20"/>
                        <w:sz w:val="18"/>
                        <w:vertAlign w:val="baseline"/>
                      </w:rPr>
                      <w:t>this</w:t>
                    </w:r>
                    <w:r>
                      <w:rPr>
                        <w:color w:val="231F20"/>
                        <w:spacing w:val="-9"/>
                        <w:sz w:val="18"/>
                        <w:vertAlign w:val="baseline"/>
                      </w:rPr>
                      <w:t> </w:t>
                    </w:r>
                    <w:r>
                      <w:rPr>
                        <w:color w:val="231F20"/>
                        <w:sz w:val="18"/>
                        <w:vertAlign w:val="baseline"/>
                      </w:rPr>
                      <w:t>is</w:t>
                    </w:r>
                    <w:r>
                      <w:rPr>
                        <w:color w:val="231F20"/>
                        <w:spacing w:val="-9"/>
                        <w:sz w:val="18"/>
                        <w:vertAlign w:val="baseline"/>
                      </w:rPr>
                      <w:t> </w:t>
                    </w:r>
                    <w:r>
                      <w:rPr>
                        <w:color w:val="231F20"/>
                        <w:sz w:val="18"/>
                        <w:vertAlign w:val="baseline"/>
                      </w:rPr>
                      <w:t>the</w:t>
                    </w:r>
                    <w:r>
                      <w:rPr>
                        <w:color w:val="231F20"/>
                        <w:spacing w:val="-9"/>
                        <w:sz w:val="18"/>
                        <w:vertAlign w:val="baseline"/>
                      </w:rPr>
                      <w:t> </w:t>
                    </w:r>
                    <w:r>
                      <w:rPr>
                        <w:color w:val="231F20"/>
                        <w:spacing w:val="-5"/>
                        <w:sz w:val="18"/>
                        <w:vertAlign w:val="baseline"/>
                      </w:rPr>
                      <w:t>volume </w:t>
                    </w:r>
                    <w:r>
                      <w:rPr>
                        <w:color w:val="231F20"/>
                        <w:sz w:val="18"/>
                        <w:vertAlign w:val="baseline"/>
                      </w:rPr>
                      <w:t>of plasma cleared of solutes each minute, in the same way that clearance of a single substance is</w:t>
                    </w:r>
                    <w:r>
                      <w:rPr>
                        <w:color w:val="231F20"/>
                        <w:spacing w:val="11"/>
                        <w:sz w:val="18"/>
                        <w:vertAlign w:val="baseline"/>
                      </w:rPr>
                      <w:t> </w:t>
                    </w:r>
                    <w:r>
                      <w:rPr>
                        <w:color w:val="231F20"/>
                        <w:sz w:val="18"/>
                        <w:vertAlign w:val="baseline"/>
                      </w:rPr>
                      <w:t>calculated:</w:t>
                    </w:r>
                  </w:p>
                </w:txbxContent>
              </v:textbox>
              <w10:wrap type="none"/>
            </v:shape>
            <w10:wrap type="none"/>
          </v:group>
        </w:pict>
      </w:r>
      <w:r>
        <w:rPr>
          <w:color w:val="231F20"/>
        </w:rPr>
        <w:t>1200 mOsm/L.</w:t>
      </w:r>
    </w:p>
    <w:p>
      <w:pPr>
        <w:spacing w:line="12" w:lineRule="exact" w:before="0"/>
        <w:ind w:left="3388" w:right="2805" w:firstLine="0"/>
        <w:jc w:val="center"/>
        <w:rPr>
          <w:rFonts w:ascii="Trebuchet MS"/>
          <w:sz w:val="10"/>
        </w:rPr>
      </w:pPr>
      <w:r>
        <w:rPr/>
        <w:br w:type="column"/>
      </w:r>
      <w:r>
        <w:rPr>
          <w:rFonts w:ascii="Trebuchet MS"/>
          <w:w w:val="115"/>
          <w:sz w:val="10"/>
        </w:rPr>
        <w:t>osm</w:t>
      </w:r>
    </w:p>
    <w:p>
      <w:pPr>
        <w:spacing w:line="254" w:lineRule="auto" w:before="87"/>
        <w:ind w:left="498" w:right="1619" w:firstLine="240"/>
        <w:jc w:val="both"/>
        <w:rPr>
          <w:sz w:val="18"/>
        </w:rPr>
      </w:pPr>
      <w:r>
        <w:rPr>
          <w:color w:val="231F20"/>
          <w:w w:val="105"/>
          <w:sz w:val="18"/>
        </w:rPr>
        <w:t>Thus, the rate of free­water clearance represents the rate</w:t>
      </w:r>
      <w:r>
        <w:rPr>
          <w:color w:val="231F20"/>
          <w:spacing w:val="-6"/>
          <w:w w:val="105"/>
          <w:sz w:val="18"/>
        </w:rPr>
        <w:t> </w:t>
      </w:r>
      <w:r>
        <w:rPr>
          <w:color w:val="231F20"/>
          <w:w w:val="105"/>
          <w:sz w:val="18"/>
        </w:rPr>
        <w:t>at</w:t>
      </w:r>
      <w:r>
        <w:rPr>
          <w:color w:val="231F20"/>
          <w:spacing w:val="-5"/>
          <w:w w:val="105"/>
          <w:sz w:val="18"/>
        </w:rPr>
        <w:t> </w:t>
      </w:r>
      <w:r>
        <w:rPr>
          <w:color w:val="231F20"/>
          <w:w w:val="105"/>
          <w:sz w:val="18"/>
        </w:rPr>
        <w:t>which</w:t>
      </w:r>
      <w:r>
        <w:rPr>
          <w:color w:val="231F20"/>
          <w:spacing w:val="-6"/>
          <w:w w:val="105"/>
          <w:sz w:val="18"/>
        </w:rPr>
        <w:t> </w:t>
      </w:r>
      <w:r>
        <w:rPr>
          <w:color w:val="231F20"/>
          <w:w w:val="105"/>
          <w:sz w:val="18"/>
        </w:rPr>
        <w:t>solute­free</w:t>
      </w:r>
      <w:r>
        <w:rPr>
          <w:color w:val="231F20"/>
          <w:spacing w:val="-5"/>
          <w:w w:val="105"/>
          <w:sz w:val="18"/>
        </w:rPr>
        <w:t> </w:t>
      </w:r>
      <w:r>
        <w:rPr>
          <w:color w:val="231F20"/>
          <w:w w:val="105"/>
          <w:sz w:val="18"/>
        </w:rPr>
        <w:t>water</w:t>
      </w:r>
      <w:r>
        <w:rPr>
          <w:color w:val="231F20"/>
          <w:spacing w:val="-5"/>
          <w:w w:val="105"/>
          <w:sz w:val="18"/>
        </w:rPr>
        <w:t> </w:t>
      </w:r>
      <w:r>
        <w:rPr>
          <w:color w:val="231F20"/>
          <w:w w:val="105"/>
          <w:sz w:val="18"/>
        </w:rPr>
        <w:t>is</w:t>
      </w:r>
      <w:r>
        <w:rPr>
          <w:color w:val="231F20"/>
          <w:spacing w:val="-6"/>
          <w:w w:val="105"/>
          <w:sz w:val="18"/>
        </w:rPr>
        <w:t> </w:t>
      </w:r>
      <w:r>
        <w:rPr>
          <w:color w:val="231F20"/>
          <w:w w:val="105"/>
          <w:sz w:val="18"/>
        </w:rPr>
        <w:t>excreted</w:t>
      </w:r>
      <w:r>
        <w:rPr>
          <w:color w:val="231F20"/>
          <w:spacing w:val="-5"/>
          <w:w w:val="105"/>
          <w:sz w:val="18"/>
        </w:rPr>
        <w:t> </w:t>
      </w:r>
      <w:r>
        <w:rPr>
          <w:color w:val="231F20"/>
          <w:w w:val="105"/>
          <w:sz w:val="18"/>
        </w:rPr>
        <w:t>by</w:t>
      </w:r>
      <w:r>
        <w:rPr>
          <w:color w:val="231F20"/>
          <w:spacing w:val="-5"/>
          <w:w w:val="105"/>
          <w:sz w:val="18"/>
        </w:rPr>
        <w:t> </w:t>
      </w:r>
      <w:r>
        <w:rPr>
          <w:color w:val="231F20"/>
          <w:w w:val="105"/>
          <w:sz w:val="18"/>
        </w:rPr>
        <w:t>the</w:t>
      </w:r>
      <w:r>
        <w:rPr>
          <w:color w:val="231F20"/>
          <w:spacing w:val="-6"/>
          <w:w w:val="105"/>
          <w:sz w:val="18"/>
        </w:rPr>
        <w:t> </w:t>
      </w:r>
      <w:r>
        <w:rPr>
          <w:color w:val="231F20"/>
          <w:w w:val="105"/>
          <w:sz w:val="18"/>
        </w:rPr>
        <w:t>kidneys. When</w:t>
      </w:r>
      <w:r>
        <w:rPr>
          <w:color w:val="231F20"/>
          <w:spacing w:val="-30"/>
          <w:w w:val="105"/>
          <w:sz w:val="18"/>
        </w:rPr>
        <w:t> </w:t>
      </w:r>
      <w:r>
        <w:rPr>
          <w:color w:val="231F20"/>
          <w:w w:val="105"/>
          <w:sz w:val="18"/>
        </w:rPr>
        <w:t>free­water</w:t>
      </w:r>
      <w:r>
        <w:rPr>
          <w:color w:val="231F20"/>
          <w:spacing w:val="-30"/>
          <w:w w:val="105"/>
          <w:sz w:val="18"/>
        </w:rPr>
        <w:t> </w:t>
      </w:r>
      <w:r>
        <w:rPr>
          <w:color w:val="231F20"/>
          <w:w w:val="105"/>
          <w:sz w:val="18"/>
        </w:rPr>
        <w:t>clearance</w:t>
      </w:r>
      <w:r>
        <w:rPr>
          <w:color w:val="231F20"/>
          <w:spacing w:val="-29"/>
          <w:w w:val="105"/>
          <w:sz w:val="18"/>
        </w:rPr>
        <w:t> </w:t>
      </w:r>
      <w:r>
        <w:rPr>
          <w:color w:val="231F20"/>
          <w:w w:val="105"/>
          <w:sz w:val="18"/>
        </w:rPr>
        <w:t>is</w:t>
      </w:r>
      <w:r>
        <w:rPr>
          <w:color w:val="231F20"/>
          <w:spacing w:val="-30"/>
          <w:w w:val="105"/>
          <w:sz w:val="18"/>
        </w:rPr>
        <w:t> </w:t>
      </w:r>
      <w:r>
        <w:rPr>
          <w:color w:val="231F20"/>
          <w:w w:val="105"/>
          <w:sz w:val="18"/>
        </w:rPr>
        <w:t>positive,</w:t>
      </w:r>
      <w:r>
        <w:rPr>
          <w:color w:val="231F20"/>
          <w:spacing w:val="-29"/>
          <w:w w:val="105"/>
          <w:sz w:val="18"/>
        </w:rPr>
        <w:t> </w:t>
      </w:r>
      <w:r>
        <w:rPr>
          <w:color w:val="231F20"/>
          <w:w w:val="105"/>
          <w:sz w:val="18"/>
        </w:rPr>
        <w:t>excess</w:t>
      </w:r>
      <w:r>
        <w:rPr>
          <w:color w:val="231F20"/>
          <w:spacing w:val="-30"/>
          <w:w w:val="105"/>
          <w:sz w:val="18"/>
        </w:rPr>
        <w:t> </w:t>
      </w:r>
      <w:r>
        <w:rPr>
          <w:color w:val="231F20"/>
          <w:w w:val="105"/>
          <w:sz w:val="18"/>
        </w:rPr>
        <w:t>water</w:t>
      </w:r>
      <w:r>
        <w:rPr>
          <w:color w:val="231F20"/>
          <w:spacing w:val="-29"/>
          <w:w w:val="105"/>
          <w:sz w:val="18"/>
        </w:rPr>
        <w:t> </w:t>
      </w:r>
      <w:r>
        <w:rPr>
          <w:color w:val="231F20"/>
          <w:w w:val="105"/>
          <w:sz w:val="18"/>
        </w:rPr>
        <w:t>is</w:t>
      </w:r>
      <w:r>
        <w:rPr>
          <w:color w:val="231F20"/>
          <w:spacing w:val="-30"/>
          <w:w w:val="105"/>
          <w:sz w:val="18"/>
        </w:rPr>
        <w:t> </w:t>
      </w:r>
      <w:r>
        <w:rPr>
          <w:color w:val="231F20"/>
          <w:w w:val="105"/>
          <w:sz w:val="18"/>
        </w:rPr>
        <w:t>being excreted</w:t>
      </w:r>
      <w:r>
        <w:rPr>
          <w:color w:val="231F20"/>
          <w:spacing w:val="-27"/>
          <w:w w:val="105"/>
          <w:sz w:val="18"/>
        </w:rPr>
        <w:t> </w:t>
      </w:r>
      <w:r>
        <w:rPr>
          <w:color w:val="231F20"/>
          <w:w w:val="105"/>
          <w:sz w:val="18"/>
        </w:rPr>
        <w:t>by</w:t>
      </w:r>
      <w:r>
        <w:rPr>
          <w:color w:val="231F20"/>
          <w:spacing w:val="-27"/>
          <w:w w:val="105"/>
          <w:sz w:val="18"/>
        </w:rPr>
        <w:t> </w:t>
      </w:r>
      <w:r>
        <w:rPr>
          <w:color w:val="231F20"/>
          <w:w w:val="105"/>
          <w:sz w:val="18"/>
        </w:rPr>
        <w:t>the</w:t>
      </w:r>
      <w:r>
        <w:rPr>
          <w:color w:val="231F20"/>
          <w:spacing w:val="-26"/>
          <w:w w:val="105"/>
          <w:sz w:val="18"/>
        </w:rPr>
        <w:t> </w:t>
      </w:r>
      <w:r>
        <w:rPr>
          <w:color w:val="231F20"/>
          <w:w w:val="105"/>
          <w:sz w:val="18"/>
        </w:rPr>
        <w:t>kidneys;</w:t>
      </w:r>
      <w:r>
        <w:rPr>
          <w:color w:val="231F20"/>
          <w:spacing w:val="-27"/>
          <w:w w:val="105"/>
          <w:sz w:val="18"/>
        </w:rPr>
        <w:t> </w:t>
      </w:r>
      <w:r>
        <w:rPr>
          <w:color w:val="231F20"/>
          <w:w w:val="105"/>
          <w:sz w:val="18"/>
        </w:rPr>
        <w:t>when</w:t>
      </w:r>
      <w:r>
        <w:rPr>
          <w:color w:val="231F20"/>
          <w:spacing w:val="-26"/>
          <w:w w:val="105"/>
          <w:sz w:val="18"/>
        </w:rPr>
        <w:t> </w:t>
      </w:r>
      <w:r>
        <w:rPr>
          <w:color w:val="231F20"/>
          <w:w w:val="105"/>
          <w:sz w:val="18"/>
        </w:rPr>
        <w:t>free­water</w:t>
      </w:r>
      <w:r>
        <w:rPr>
          <w:color w:val="231F20"/>
          <w:spacing w:val="-27"/>
          <w:w w:val="105"/>
          <w:sz w:val="18"/>
        </w:rPr>
        <w:t> </w:t>
      </w:r>
      <w:r>
        <w:rPr>
          <w:color w:val="231F20"/>
          <w:w w:val="105"/>
          <w:sz w:val="18"/>
        </w:rPr>
        <w:t>clearance</w:t>
      </w:r>
      <w:r>
        <w:rPr>
          <w:color w:val="231F20"/>
          <w:spacing w:val="-27"/>
          <w:w w:val="105"/>
          <w:sz w:val="18"/>
        </w:rPr>
        <w:t> </w:t>
      </w:r>
      <w:r>
        <w:rPr>
          <w:color w:val="231F20"/>
          <w:w w:val="105"/>
          <w:sz w:val="18"/>
        </w:rPr>
        <w:t>is</w:t>
      </w:r>
      <w:r>
        <w:rPr>
          <w:color w:val="231F20"/>
          <w:spacing w:val="-26"/>
          <w:w w:val="105"/>
          <w:sz w:val="18"/>
        </w:rPr>
        <w:t> </w:t>
      </w:r>
      <w:r>
        <w:rPr>
          <w:color w:val="231F20"/>
          <w:w w:val="105"/>
          <w:sz w:val="18"/>
        </w:rPr>
        <w:t>nega­ tive, excess solutes are being removed from the blood by the kidneys and water is being</w:t>
      </w:r>
      <w:r>
        <w:rPr>
          <w:color w:val="231F20"/>
          <w:spacing w:val="7"/>
          <w:w w:val="105"/>
          <w:sz w:val="18"/>
        </w:rPr>
        <w:t> </w:t>
      </w:r>
      <w:r>
        <w:rPr>
          <w:color w:val="231F20"/>
          <w:w w:val="105"/>
          <w:sz w:val="18"/>
        </w:rPr>
        <w:t>conserved.</w:t>
      </w:r>
    </w:p>
    <w:p>
      <w:pPr>
        <w:spacing w:line="254" w:lineRule="auto" w:before="4"/>
        <w:ind w:left="498" w:right="1617" w:firstLine="239"/>
        <w:jc w:val="right"/>
        <w:rPr>
          <w:sz w:val="18"/>
        </w:rPr>
      </w:pPr>
      <w:r>
        <w:rPr>
          <w:color w:val="231F20"/>
          <w:sz w:val="18"/>
        </w:rPr>
        <w:t>Using the example discussed earlier, if urine flow rate is</w:t>
      </w:r>
      <w:r>
        <w:rPr>
          <w:color w:val="231F20"/>
          <w:w w:val="95"/>
          <w:sz w:val="18"/>
        </w:rPr>
        <w:t> </w:t>
      </w:r>
      <w:r>
        <w:rPr>
          <w:color w:val="231F20"/>
          <w:sz w:val="18"/>
        </w:rPr>
        <w:t>1 ml/min and osmolar clearance is 2 ml/min, free­water</w:t>
      </w:r>
      <w:r>
        <w:rPr>
          <w:color w:val="231F20"/>
          <w:w w:val="105"/>
          <w:sz w:val="18"/>
        </w:rPr>
        <w:t> </w:t>
      </w:r>
      <w:r>
        <w:rPr>
          <w:color w:val="231F20"/>
          <w:sz w:val="18"/>
        </w:rPr>
        <w:t>clearance would be </w:t>
      </w:r>
      <w:r>
        <w:rPr>
          <w:rFonts w:ascii="Consolas" w:hAnsi="Consolas"/>
          <w:color w:val="231F20"/>
          <w:sz w:val="18"/>
        </w:rPr>
        <w:t>−</w:t>
      </w:r>
      <w:r>
        <w:rPr>
          <w:color w:val="231F20"/>
          <w:sz w:val="18"/>
        </w:rPr>
        <w:t>1 ml/min. This means that instead of</w:t>
      </w:r>
      <w:r>
        <w:rPr>
          <w:color w:val="231F20"/>
          <w:w w:val="97"/>
          <w:sz w:val="18"/>
        </w:rPr>
        <w:t> </w:t>
      </w:r>
      <w:r>
        <w:rPr>
          <w:color w:val="231F20"/>
          <w:sz w:val="18"/>
        </w:rPr>
        <w:t>water being cleared from the kidneys in excess of solutes,</w:t>
      </w:r>
      <w:r>
        <w:rPr>
          <w:color w:val="231F20"/>
          <w:w w:val="88"/>
          <w:sz w:val="18"/>
        </w:rPr>
        <w:t> </w:t>
      </w:r>
      <w:r>
        <w:rPr>
          <w:color w:val="231F20"/>
          <w:sz w:val="18"/>
        </w:rPr>
        <w:t>the kidneys are actually returning water to the systemic</w:t>
      </w:r>
      <w:r>
        <w:rPr>
          <w:color w:val="231F20"/>
          <w:w w:val="102"/>
          <w:sz w:val="18"/>
        </w:rPr>
        <w:t> </w:t>
      </w:r>
      <w:r>
        <w:rPr>
          <w:color w:val="231F20"/>
          <w:sz w:val="18"/>
        </w:rPr>
        <w:t>circulation, as occurs during water deficits. </w:t>
      </w:r>
      <w:r>
        <w:rPr>
          <w:i/>
          <w:color w:val="231F20"/>
          <w:sz w:val="18"/>
        </w:rPr>
        <w:t>Thus</w:t>
      </w:r>
      <w:r>
        <w:rPr>
          <w:color w:val="231F20"/>
          <w:sz w:val="18"/>
        </w:rPr>
        <w:t>, </w:t>
      </w:r>
      <w:r>
        <w:rPr>
          <w:i/>
          <w:color w:val="231F20"/>
          <w:sz w:val="18"/>
        </w:rPr>
        <w:t>whenever</w:t>
      </w:r>
      <w:r>
        <w:rPr>
          <w:i/>
          <w:color w:val="231F20"/>
          <w:w w:val="96"/>
          <w:sz w:val="18"/>
        </w:rPr>
        <w:t> </w:t>
      </w:r>
      <w:r>
        <w:rPr>
          <w:i/>
          <w:color w:val="231F20"/>
          <w:sz w:val="18"/>
        </w:rPr>
        <w:t>urine osmolarity is greater than plasma osmolarity</w:t>
      </w:r>
      <w:r>
        <w:rPr>
          <w:color w:val="231F20"/>
          <w:sz w:val="18"/>
        </w:rPr>
        <w:t>, </w:t>
      </w:r>
      <w:r>
        <w:rPr>
          <w:i/>
          <w:color w:val="231F20"/>
          <w:sz w:val="18"/>
        </w:rPr>
        <w:t>free-</w:t>
      </w:r>
      <w:r>
        <w:rPr>
          <w:i/>
          <w:color w:val="231F20"/>
          <w:w w:val="97"/>
          <w:sz w:val="18"/>
        </w:rPr>
        <w:t> </w:t>
      </w:r>
      <w:r>
        <w:rPr>
          <w:i/>
          <w:color w:val="231F20"/>
          <w:sz w:val="18"/>
        </w:rPr>
        <w:t>water clearance is negative</w:t>
      </w:r>
      <w:r>
        <w:rPr>
          <w:color w:val="231F20"/>
          <w:sz w:val="18"/>
        </w:rPr>
        <w:t>, </w:t>
      </w:r>
      <w:r>
        <w:rPr>
          <w:i/>
          <w:color w:val="231F20"/>
          <w:sz w:val="18"/>
        </w:rPr>
        <w:t>indicating water conservation.</w:t>
      </w:r>
      <w:r>
        <w:rPr>
          <w:i/>
          <w:color w:val="231F20"/>
          <w:w w:val="84"/>
          <w:sz w:val="18"/>
        </w:rPr>
        <w:t> </w:t>
      </w:r>
      <w:r>
        <w:rPr>
          <w:color w:val="231F20"/>
          <w:sz w:val="18"/>
        </w:rPr>
        <w:t>When the kidneys are forming a dilute urine (i.e., urine</w:t>
      </w:r>
      <w:r>
        <w:rPr>
          <w:color w:val="231F20"/>
          <w:w w:val="102"/>
          <w:sz w:val="18"/>
        </w:rPr>
        <w:t> </w:t>
      </w:r>
      <w:r>
        <w:rPr>
          <w:color w:val="231F20"/>
          <w:sz w:val="18"/>
        </w:rPr>
        <w:t>osmolarity is less than plasma osmolarity), free­water</w:t>
      </w:r>
      <w:r>
        <w:rPr>
          <w:color w:val="231F20"/>
          <w:w w:val="105"/>
          <w:sz w:val="18"/>
        </w:rPr>
        <w:t> </w:t>
      </w:r>
      <w:r>
        <w:rPr>
          <w:color w:val="231F20"/>
          <w:sz w:val="18"/>
        </w:rPr>
        <w:t>clearance will be a positive value, denoting that water is</w:t>
      </w:r>
      <w:r>
        <w:rPr>
          <w:color w:val="231F20"/>
          <w:w w:val="95"/>
          <w:sz w:val="18"/>
        </w:rPr>
        <w:t> </w:t>
      </w:r>
      <w:r>
        <w:rPr>
          <w:color w:val="231F20"/>
          <w:sz w:val="18"/>
        </w:rPr>
        <w:t>being removed from the plasma by the kidneys in excess of</w:t>
      </w:r>
      <w:r>
        <w:rPr>
          <w:color w:val="231F20"/>
          <w:w w:val="97"/>
          <w:sz w:val="18"/>
        </w:rPr>
        <w:t> </w:t>
      </w:r>
      <w:r>
        <w:rPr>
          <w:color w:val="231F20"/>
          <w:sz w:val="18"/>
        </w:rPr>
        <w:t>solutes. Thus, water free of solutes, called “free water,” is</w:t>
      </w:r>
      <w:r>
        <w:rPr>
          <w:color w:val="231F20"/>
          <w:w w:val="95"/>
          <w:sz w:val="18"/>
        </w:rPr>
        <w:t> </w:t>
      </w:r>
      <w:r>
        <w:rPr>
          <w:color w:val="231F20"/>
          <w:sz w:val="18"/>
        </w:rPr>
        <w:t>being lost from the body and the plasma is being concen­</w:t>
      </w:r>
    </w:p>
    <w:p>
      <w:pPr>
        <w:spacing w:before="2"/>
        <w:ind w:left="498" w:right="0" w:firstLine="0"/>
        <w:jc w:val="both"/>
        <w:rPr>
          <w:sz w:val="18"/>
        </w:rPr>
      </w:pPr>
      <w:r>
        <w:rPr>
          <w:color w:val="231F20"/>
          <w:sz w:val="18"/>
        </w:rPr>
        <w:t>trated when free­water clearance is positive.</w:t>
      </w:r>
    </w:p>
    <w:p>
      <w:pPr>
        <w:spacing w:before="182"/>
        <w:ind w:left="498" w:right="0" w:firstLine="0"/>
        <w:jc w:val="both"/>
        <w:rPr>
          <w:rFonts w:ascii="Trebuchet MS"/>
          <w:b/>
          <w:sz w:val="18"/>
        </w:rPr>
      </w:pPr>
      <w:r>
        <w:rPr>
          <w:rFonts w:ascii="Trebuchet MS"/>
          <w:b/>
          <w:color w:val="231F20"/>
          <w:sz w:val="18"/>
        </w:rPr>
        <w:t>Disorders of Urinary Concentrating Ability</w:t>
      </w:r>
    </w:p>
    <w:p>
      <w:pPr>
        <w:spacing w:line="254" w:lineRule="auto" w:before="92"/>
        <w:ind w:left="498" w:right="1618" w:firstLine="0"/>
        <w:jc w:val="both"/>
        <w:rPr>
          <w:sz w:val="18"/>
        </w:rPr>
      </w:pPr>
      <w:r>
        <w:rPr>
          <w:color w:val="231F20"/>
          <w:w w:val="105"/>
          <w:sz w:val="18"/>
        </w:rPr>
        <w:t>Impairment in the ability of the kidneys to concentrate or dilute the urine appropriately can occur with one or more of the following abnormalities:</w:t>
      </w:r>
    </w:p>
    <w:p>
      <w:pPr>
        <w:pStyle w:val="ListParagraph"/>
        <w:numPr>
          <w:ilvl w:val="0"/>
          <w:numId w:val="21"/>
        </w:numPr>
        <w:tabs>
          <w:tab w:pos="958" w:val="left" w:leader="none"/>
        </w:tabs>
        <w:spacing w:line="254" w:lineRule="auto" w:before="2" w:after="0"/>
        <w:ind w:left="957" w:right="1617" w:hanging="219"/>
        <w:jc w:val="both"/>
        <w:rPr>
          <w:sz w:val="18"/>
        </w:rPr>
      </w:pPr>
      <w:r>
        <w:rPr>
          <w:i/>
          <w:color w:val="231F20"/>
          <w:sz w:val="18"/>
        </w:rPr>
        <w:t>Inappropriate secretion of ADH. </w:t>
      </w:r>
      <w:r>
        <w:rPr>
          <w:color w:val="231F20"/>
          <w:sz w:val="18"/>
        </w:rPr>
        <w:t>Either too much or too little ADH secretion results in abnormal water excretion by the</w:t>
      </w:r>
      <w:r>
        <w:rPr>
          <w:color w:val="231F20"/>
          <w:spacing w:val="19"/>
          <w:sz w:val="18"/>
        </w:rPr>
        <w:t> </w:t>
      </w:r>
      <w:r>
        <w:rPr>
          <w:color w:val="231F20"/>
          <w:sz w:val="18"/>
        </w:rPr>
        <w:t>kidneys.</w:t>
      </w:r>
    </w:p>
    <w:p>
      <w:pPr>
        <w:pStyle w:val="ListParagraph"/>
        <w:numPr>
          <w:ilvl w:val="0"/>
          <w:numId w:val="21"/>
        </w:numPr>
        <w:tabs>
          <w:tab w:pos="958" w:val="left" w:leader="none"/>
        </w:tabs>
        <w:spacing w:line="254" w:lineRule="auto" w:before="2" w:after="0"/>
        <w:ind w:left="957" w:right="1617" w:hanging="219"/>
        <w:jc w:val="both"/>
        <w:rPr>
          <w:sz w:val="18"/>
        </w:rPr>
      </w:pPr>
      <w:r>
        <w:rPr>
          <w:i/>
          <w:color w:val="231F20"/>
          <w:sz w:val="18"/>
        </w:rPr>
        <w:t>Impairment of the countercurrent mechanism. </w:t>
      </w:r>
      <w:r>
        <w:rPr>
          <w:color w:val="231F20"/>
          <w:sz w:val="18"/>
        </w:rPr>
        <w:t>A hyperosmotic medullary interstitium is required for maximal urine concentrating ability. No matter how much ADH is present, maximal urine concentration is limited by the degree of hyperosmolarity of the medullary</w:t>
      </w:r>
      <w:r>
        <w:rPr>
          <w:color w:val="231F20"/>
          <w:spacing w:val="7"/>
          <w:sz w:val="18"/>
        </w:rPr>
        <w:t> </w:t>
      </w:r>
      <w:r>
        <w:rPr>
          <w:color w:val="231F20"/>
          <w:sz w:val="18"/>
        </w:rPr>
        <w:t>interstitium.</w:t>
      </w:r>
    </w:p>
    <w:p>
      <w:pPr>
        <w:pStyle w:val="ListParagraph"/>
        <w:numPr>
          <w:ilvl w:val="0"/>
          <w:numId w:val="21"/>
        </w:numPr>
        <w:tabs>
          <w:tab w:pos="958" w:val="left" w:leader="none"/>
        </w:tabs>
        <w:spacing w:line="254" w:lineRule="auto" w:before="3" w:after="0"/>
        <w:ind w:left="957" w:right="1617" w:hanging="219"/>
        <w:jc w:val="both"/>
        <w:rPr>
          <w:i/>
          <w:sz w:val="18"/>
        </w:rPr>
      </w:pPr>
      <w:r>
        <w:rPr>
          <w:i/>
          <w:color w:val="231F20"/>
          <w:sz w:val="18"/>
        </w:rPr>
        <w:t>Inability of the distal tubule</w:t>
      </w:r>
      <w:r>
        <w:rPr>
          <w:color w:val="231F20"/>
          <w:sz w:val="18"/>
        </w:rPr>
        <w:t>, </w:t>
      </w:r>
      <w:r>
        <w:rPr>
          <w:i/>
          <w:color w:val="231F20"/>
          <w:sz w:val="18"/>
        </w:rPr>
        <w:t>collecting tubule</w:t>
      </w:r>
      <w:r>
        <w:rPr>
          <w:color w:val="231F20"/>
          <w:sz w:val="18"/>
        </w:rPr>
        <w:t>, </w:t>
      </w:r>
      <w:r>
        <w:rPr>
          <w:i/>
          <w:color w:val="231F20"/>
          <w:sz w:val="18"/>
        </w:rPr>
        <w:t>and </w:t>
      </w:r>
      <w:r>
        <w:rPr>
          <w:i/>
          <w:color w:val="231F20"/>
          <w:sz w:val="18"/>
        </w:rPr>
        <w:t>collecting ducts to respond to</w:t>
      </w:r>
      <w:r>
        <w:rPr>
          <w:i/>
          <w:color w:val="231F20"/>
          <w:spacing w:val="26"/>
          <w:sz w:val="18"/>
        </w:rPr>
        <w:t> </w:t>
      </w:r>
      <w:r>
        <w:rPr>
          <w:i/>
          <w:color w:val="231F20"/>
          <w:sz w:val="18"/>
        </w:rPr>
        <w:t>ADH.</w:t>
      </w:r>
    </w:p>
    <w:p>
      <w:pPr>
        <w:spacing w:line="254" w:lineRule="auto" w:before="19"/>
        <w:ind w:left="498" w:right="1617" w:firstLine="240"/>
        <w:jc w:val="both"/>
        <w:rPr>
          <w:sz w:val="18"/>
        </w:rPr>
      </w:pPr>
      <w:r>
        <w:rPr>
          <w:rFonts w:ascii="Trebuchet MS" w:hAnsi="Trebuchet MS"/>
          <w:b/>
          <w:color w:val="231F20"/>
          <w:sz w:val="16"/>
        </w:rPr>
        <w:t>Failure to Produce ADH: “Central” Diabetes Insipidus. </w:t>
      </w:r>
      <w:r>
        <w:rPr>
          <w:color w:val="231F20"/>
          <w:sz w:val="18"/>
        </w:rPr>
        <w:t>An inability to produce or release ADH from the posterior pituitary can be caused by head injuries or infections or it can be congenital. Because the distal tubular segments cannot reabsorb water in the absence of ADH, this condi­ tion, called </w:t>
      </w:r>
      <w:r>
        <w:rPr>
          <w:i/>
          <w:color w:val="231F20"/>
          <w:sz w:val="18"/>
        </w:rPr>
        <w:t>“central” diabetes insipidus, </w:t>
      </w:r>
      <w:r>
        <w:rPr>
          <w:color w:val="231F20"/>
          <w:sz w:val="18"/>
        </w:rPr>
        <w:t>results in the for­ mation of a large volume of dilute urine with urine volumes that can exceed 15 L/day. The thirst mechanisms, discussed later in this chapter, are activated when excessive water is lost from the body; therefore, as long as the person drinks enough water, large decreases in body fluid water do not occur. The primary abnormality observed clinically in people with this condition is the large volume of dilute urine. However, if water intake is restricted, as can occur</w:t>
      </w:r>
    </w:p>
    <w:p>
      <w:pPr>
        <w:spacing w:after="0" w:line="254" w:lineRule="auto"/>
        <w:jc w:val="both"/>
        <w:rPr>
          <w:sz w:val="18"/>
        </w:rPr>
        <w:sectPr>
          <w:type w:val="continuous"/>
          <w:pgSz w:w="12240" w:h="15660"/>
          <w:pgMar w:top="0" w:bottom="760" w:left="0" w:right="0"/>
          <w:cols w:num="2" w:equalWidth="0">
            <w:col w:w="5762" w:space="40"/>
            <w:col w:w="6438"/>
          </w:cols>
        </w:sectPr>
      </w:pPr>
    </w:p>
    <w:p>
      <w:pPr>
        <w:pStyle w:val="BodyText"/>
      </w:pPr>
    </w:p>
    <w:p>
      <w:pPr>
        <w:pStyle w:val="BodyText"/>
      </w:pPr>
    </w:p>
    <w:p>
      <w:pPr>
        <w:pStyle w:val="BodyText"/>
      </w:pPr>
    </w:p>
    <w:p>
      <w:pPr>
        <w:pStyle w:val="BodyText"/>
        <w:spacing w:before="9"/>
        <w:rPr>
          <w:sz w:val="21"/>
        </w:rPr>
      </w:pPr>
    </w:p>
    <w:p>
      <w:pPr>
        <w:pStyle w:val="BodyText"/>
        <w:spacing w:line="249" w:lineRule="auto" w:before="100"/>
        <w:ind w:left="6480" w:right="1079"/>
        <w:jc w:val="both"/>
      </w:pPr>
      <w:r>
        <w:rPr>
          <w:color w:val="231F20"/>
          <w:w w:val="105"/>
        </w:rPr>
        <w:t>determine the distribution of fluid between the intracel­ lular and extracellular compartments.</w:t>
      </w:r>
    </w:p>
    <w:p>
      <w:pPr>
        <w:pStyle w:val="BodyText"/>
        <w:spacing w:before="9"/>
        <w:rPr>
          <w:sz w:val="30"/>
        </w:rPr>
      </w:pPr>
    </w:p>
    <w:p>
      <w:pPr>
        <w:pStyle w:val="Heading2"/>
        <w:spacing w:line="225" w:lineRule="auto"/>
        <w:ind w:left="6480" w:right="1526"/>
      </w:pPr>
      <w:r>
        <w:rPr/>
        <w:pict>
          <v:shape style="position:absolute;margin-left:578.900024pt;margin-top:22.01622pt;width:15.9pt;height:53.35pt;mso-position-horizontal-relative:page;mso-position-vertical-relative:paragraph;z-index:25248563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ESTIMATING PLASMA OSMOLARITY FROM PLASMA SODIUM CONCENTRATION</w:t>
      </w:r>
    </w:p>
    <w:p>
      <w:pPr>
        <w:pStyle w:val="BodyText"/>
        <w:spacing w:line="249" w:lineRule="auto" w:before="127"/>
        <w:ind w:left="6479" w:right="1077"/>
        <w:jc w:val="both"/>
      </w:pPr>
      <w:r>
        <w:rPr/>
        <w:pict>
          <v:rect style="position:absolute;margin-left:576pt;margin-top:62.33596pt;width:36pt;height:24pt;mso-position-horizontal-relative:page;mso-position-vertical-relative:paragraph;z-index:252483584" filled="true" fillcolor="#e8dac8" stroked="false">
            <v:fill type="solid"/>
            <w10:wrap type="none"/>
          </v:rect>
        </w:pict>
      </w:r>
      <w:r>
        <w:rPr>
          <w:color w:val="231F20"/>
          <w:w w:val="105"/>
        </w:rPr>
        <w:t>In most clinical laboratories, plasma osmolarity is not routinely measured. However, because sodium and its associated anions account for about 94 percent of the solute in the extracellular compartment, plasma osmo­ larity (P</w:t>
      </w:r>
      <w:r>
        <w:rPr>
          <w:color w:val="231F20"/>
          <w:w w:val="105"/>
          <w:vertAlign w:val="subscript"/>
        </w:rPr>
        <w:t>osm</w:t>
      </w:r>
      <w:r>
        <w:rPr>
          <w:color w:val="231F20"/>
          <w:w w:val="105"/>
          <w:vertAlign w:val="baseline"/>
        </w:rPr>
        <w:t>) can be roughly estimated from the plasma sodium concentration (P</w:t>
      </w:r>
      <w:r>
        <w:rPr>
          <w:color w:val="231F20"/>
          <w:w w:val="105"/>
          <w:vertAlign w:val="subscript"/>
        </w:rPr>
        <w:t>Na</w:t>
      </w:r>
      <w:r>
        <w:rPr>
          <w:rFonts w:ascii="Consolas" w:hAnsi="Consolas"/>
          <w:color w:val="231F20"/>
          <w:w w:val="105"/>
          <w:sz w:val="12"/>
          <w:vertAlign w:val="baseline"/>
        </w:rPr>
        <w:t>+</w:t>
      </w:r>
      <w:r>
        <w:rPr>
          <w:color w:val="231F20"/>
          <w:w w:val="105"/>
          <w:vertAlign w:val="baseline"/>
        </w:rPr>
        <w:t>) as</w:t>
      </w:r>
    </w:p>
    <w:p>
      <w:pPr>
        <w:spacing w:before="118"/>
        <w:ind w:left="6034" w:right="644" w:firstLine="0"/>
        <w:jc w:val="center"/>
        <w:rPr>
          <w:rFonts w:ascii="Symbol" w:hAnsi="Symbol"/>
          <w:sz w:val="21"/>
        </w:rPr>
      </w:pPr>
      <w:r>
        <w:rPr>
          <w:rFonts w:ascii="Trebuchet MS" w:hAnsi="Trebuchet MS"/>
          <w:spacing w:val="-18"/>
          <w:w w:val="99"/>
          <w:sz w:val="18"/>
        </w:rPr>
        <w:t>P</w:t>
      </w:r>
      <w:r>
        <w:rPr>
          <w:rFonts w:ascii="Trebuchet MS" w:hAnsi="Trebuchet MS"/>
          <w:spacing w:val="-1"/>
          <w:w w:val="122"/>
          <w:position w:val="-2"/>
          <w:sz w:val="10"/>
        </w:rPr>
        <w:t>o</w:t>
      </w:r>
      <w:r>
        <w:rPr>
          <w:rFonts w:ascii="Trebuchet MS" w:hAnsi="Trebuchet MS"/>
          <w:w w:val="111"/>
          <w:position w:val="-2"/>
          <w:sz w:val="10"/>
        </w:rPr>
        <w:t>sm</w:t>
      </w:r>
      <w:r>
        <w:rPr>
          <w:rFonts w:ascii="Trebuchet MS" w:hAnsi="Trebuchet MS"/>
          <w:position w:val="-2"/>
          <w:sz w:val="10"/>
        </w:rPr>
        <w:t> </w:t>
      </w:r>
      <w:r>
        <w:rPr>
          <w:rFonts w:ascii="Trebuchet MS" w:hAnsi="Trebuchet MS"/>
          <w:spacing w:val="-2"/>
          <w:position w:val="-2"/>
          <w:sz w:val="10"/>
        </w:rPr>
        <w:t> </w:t>
      </w:r>
      <w:r>
        <w:rPr>
          <w:rFonts w:ascii="Symbol" w:hAnsi="Symbol"/>
          <w:w w:val="100"/>
          <w:sz w:val="18"/>
        </w:rPr>
        <w:t></w:t>
      </w:r>
      <w:r>
        <w:rPr>
          <w:spacing w:val="-1"/>
          <w:sz w:val="18"/>
        </w:rPr>
        <w:t> </w:t>
      </w:r>
      <w:r>
        <w:rPr>
          <w:rFonts w:ascii="Trebuchet MS" w:hAnsi="Trebuchet MS"/>
          <w:spacing w:val="1"/>
          <w:w w:val="106"/>
          <w:sz w:val="18"/>
        </w:rPr>
        <w:t>2</w:t>
      </w:r>
      <w:r>
        <w:rPr>
          <w:rFonts w:ascii="Trebuchet MS" w:hAnsi="Trebuchet MS"/>
          <w:w w:val="75"/>
          <w:sz w:val="18"/>
        </w:rPr>
        <w:t>.</w:t>
      </w:r>
      <w:r>
        <w:rPr>
          <w:rFonts w:ascii="Trebuchet MS" w:hAnsi="Trebuchet MS"/>
          <w:spacing w:val="6"/>
          <w:w w:val="106"/>
          <w:sz w:val="18"/>
        </w:rPr>
        <w:t>1</w:t>
      </w:r>
      <w:r>
        <w:rPr>
          <w:rFonts w:ascii="Symbol" w:hAnsi="Symbol"/>
          <w:w w:val="100"/>
          <w:sz w:val="18"/>
        </w:rPr>
        <w:t></w:t>
      </w:r>
      <w:r>
        <w:rPr>
          <w:spacing w:val="-21"/>
          <w:sz w:val="18"/>
        </w:rPr>
        <w:t> </w:t>
      </w:r>
      <w:r>
        <w:rPr>
          <w:rFonts w:ascii="Trebuchet MS" w:hAnsi="Trebuchet MS"/>
          <w:spacing w:val="-23"/>
          <w:w w:val="99"/>
          <w:sz w:val="18"/>
        </w:rPr>
        <w:t>P</w:t>
      </w:r>
      <w:r>
        <w:rPr>
          <w:rFonts w:ascii="Trebuchet MS" w:hAnsi="Trebuchet MS"/>
          <w:spacing w:val="-1"/>
          <w:w w:val="121"/>
          <w:position w:val="-4"/>
          <w:sz w:val="10"/>
        </w:rPr>
        <w:t>N</w:t>
      </w:r>
      <w:r>
        <w:rPr>
          <w:rFonts w:ascii="Trebuchet MS" w:hAnsi="Trebuchet MS"/>
          <w:spacing w:val="-2"/>
          <w:w w:val="113"/>
          <w:position w:val="-4"/>
          <w:sz w:val="10"/>
        </w:rPr>
        <w:t>a</w:t>
      </w:r>
      <w:r>
        <w:rPr>
          <w:rFonts w:ascii="Symbol" w:hAnsi="Symbol"/>
          <w:w w:val="100"/>
          <w:position w:val="0"/>
          <w:sz w:val="9"/>
        </w:rPr>
        <w:t></w:t>
      </w:r>
      <w:r>
        <w:rPr>
          <w:position w:val="0"/>
          <w:sz w:val="9"/>
        </w:rPr>
        <w:t> </w:t>
      </w:r>
      <w:r>
        <w:rPr>
          <w:spacing w:val="3"/>
          <w:position w:val="0"/>
          <w:sz w:val="9"/>
        </w:rPr>
        <w:t> </w:t>
      </w:r>
      <w:r>
        <w:rPr>
          <w:rFonts w:ascii="Symbol" w:hAnsi="Symbol"/>
          <w:spacing w:val="-4"/>
          <w:w w:val="85"/>
          <w:sz w:val="21"/>
        </w:rPr>
        <w:t></w:t>
      </w:r>
      <w:r>
        <w:rPr>
          <w:rFonts w:ascii="Trebuchet MS" w:hAnsi="Trebuchet MS"/>
          <w:w w:val="107"/>
          <w:sz w:val="18"/>
        </w:rPr>
        <w:t>mm</w:t>
      </w:r>
      <w:r>
        <w:rPr>
          <w:rFonts w:ascii="Trebuchet MS" w:hAnsi="Trebuchet MS"/>
          <w:w w:val="113"/>
          <w:sz w:val="18"/>
        </w:rPr>
        <w:t>o</w:t>
      </w:r>
      <w:r>
        <w:rPr>
          <w:rFonts w:ascii="Trebuchet MS" w:hAnsi="Trebuchet MS"/>
          <w:w w:val="94"/>
          <w:sz w:val="18"/>
        </w:rPr>
        <w:t>l</w:t>
      </w:r>
      <w:r>
        <w:rPr>
          <w:rFonts w:ascii="Trebuchet MS" w:hAnsi="Trebuchet MS"/>
          <w:w w:val="53"/>
          <w:sz w:val="18"/>
        </w:rPr>
        <w:t>/</w:t>
      </w:r>
      <w:r>
        <w:rPr>
          <w:rFonts w:ascii="Trebuchet MS" w:hAnsi="Trebuchet MS"/>
          <w:spacing w:val="5"/>
          <w:w w:val="98"/>
          <w:sz w:val="18"/>
        </w:rPr>
        <w:t>L</w:t>
      </w:r>
      <w:r>
        <w:rPr>
          <w:rFonts w:ascii="Symbol" w:hAnsi="Symbol"/>
          <w:w w:val="85"/>
          <w:sz w:val="21"/>
        </w:rPr>
        <w:t></w:t>
      </w:r>
    </w:p>
    <w:p>
      <w:pPr>
        <w:pStyle w:val="BodyText"/>
        <w:spacing w:line="249" w:lineRule="auto" w:before="83"/>
        <w:ind w:left="6480" w:right="1077" w:firstLine="240"/>
        <w:jc w:val="both"/>
      </w:pPr>
      <w:r>
        <w:rPr>
          <w:color w:val="231F20"/>
          <w:spacing w:val="-3"/>
          <w:w w:val="105"/>
        </w:rPr>
        <w:t>For </w:t>
      </w:r>
      <w:r>
        <w:rPr>
          <w:color w:val="231F20"/>
          <w:w w:val="105"/>
        </w:rPr>
        <w:t>instance, with a plasma sodium concentration of 142 mEq/L, the plasma osmolarity would be estimated from this formula to be about 298 mOsm/L. </w:t>
      </w:r>
      <w:r>
        <w:rPr>
          <w:color w:val="231F20"/>
          <w:spacing w:val="-11"/>
          <w:w w:val="105"/>
        </w:rPr>
        <w:t>To </w:t>
      </w:r>
      <w:r>
        <w:rPr>
          <w:color w:val="231F20"/>
          <w:w w:val="105"/>
        </w:rPr>
        <w:t>be more exact, especially in conditions associated with </w:t>
      </w:r>
      <w:r>
        <w:rPr>
          <w:color w:val="231F20"/>
          <w:spacing w:val="-4"/>
          <w:w w:val="105"/>
        </w:rPr>
        <w:t>renal </w:t>
      </w:r>
      <w:r>
        <w:rPr>
          <w:color w:val="231F20"/>
          <w:w w:val="105"/>
        </w:rPr>
        <w:t>disease,</w:t>
      </w:r>
      <w:r>
        <w:rPr>
          <w:color w:val="231F20"/>
          <w:spacing w:val="-9"/>
          <w:w w:val="105"/>
        </w:rPr>
        <w:t> </w:t>
      </w:r>
      <w:r>
        <w:rPr>
          <w:color w:val="231F20"/>
          <w:w w:val="105"/>
        </w:rPr>
        <w:t>the</w:t>
      </w:r>
      <w:r>
        <w:rPr>
          <w:color w:val="231F20"/>
          <w:spacing w:val="-9"/>
          <w:w w:val="105"/>
        </w:rPr>
        <w:t> </w:t>
      </w:r>
      <w:r>
        <w:rPr>
          <w:color w:val="231F20"/>
          <w:w w:val="105"/>
        </w:rPr>
        <w:t>contribution</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plasma</w:t>
      </w:r>
      <w:r>
        <w:rPr>
          <w:color w:val="231F20"/>
          <w:spacing w:val="-9"/>
          <w:w w:val="105"/>
        </w:rPr>
        <w:t> </w:t>
      </w:r>
      <w:r>
        <w:rPr>
          <w:color w:val="231F20"/>
          <w:w w:val="105"/>
        </w:rPr>
        <w:t>concentrations</w:t>
      </w:r>
      <w:r>
        <w:rPr>
          <w:color w:val="231F20"/>
          <w:spacing w:val="-8"/>
          <w:w w:val="105"/>
        </w:rPr>
        <w:t> </w:t>
      </w:r>
      <w:r>
        <w:rPr>
          <w:color w:val="231F20"/>
          <w:w w:val="105"/>
        </w:rPr>
        <w:t>of two</w:t>
      </w:r>
      <w:r>
        <w:rPr>
          <w:color w:val="231F20"/>
          <w:spacing w:val="-9"/>
          <w:w w:val="105"/>
        </w:rPr>
        <w:t> </w:t>
      </w:r>
      <w:r>
        <w:rPr>
          <w:color w:val="231F20"/>
          <w:w w:val="105"/>
        </w:rPr>
        <w:t>other</w:t>
      </w:r>
      <w:r>
        <w:rPr>
          <w:color w:val="231F20"/>
          <w:spacing w:val="-8"/>
          <w:w w:val="105"/>
        </w:rPr>
        <w:t> </w:t>
      </w:r>
      <w:r>
        <w:rPr>
          <w:color w:val="231F20"/>
          <w:w w:val="105"/>
        </w:rPr>
        <w:t>solutes,</w:t>
      </w:r>
      <w:r>
        <w:rPr>
          <w:color w:val="231F20"/>
          <w:spacing w:val="-8"/>
          <w:w w:val="105"/>
        </w:rPr>
        <w:t> </w:t>
      </w:r>
      <w:r>
        <w:rPr>
          <w:color w:val="231F20"/>
          <w:w w:val="105"/>
        </w:rPr>
        <w:t>glucose</w:t>
      </w:r>
      <w:r>
        <w:rPr>
          <w:color w:val="231F20"/>
          <w:spacing w:val="-9"/>
          <w:w w:val="105"/>
        </w:rPr>
        <w:t> </w:t>
      </w:r>
      <w:r>
        <w:rPr>
          <w:color w:val="231F20"/>
          <w:w w:val="105"/>
        </w:rPr>
        <w:t>and</w:t>
      </w:r>
      <w:r>
        <w:rPr>
          <w:color w:val="231F20"/>
          <w:spacing w:val="-8"/>
          <w:w w:val="105"/>
        </w:rPr>
        <w:t> </w:t>
      </w:r>
      <w:r>
        <w:rPr>
          <w:color w:val="231F20"/>
          <w:w w:val="105"/>
        </w:rPr>
        <w:t>urea,</w:t>
      </w:r>
      <w:r>
        <w:rPr>
          <w:color w:val="231F20"/>
          <w:spacing w:val="-8"/>
          <w:w w:val="105"/>
        </w:rPr>
        <w:t> </w:t>
      </w:r>
      <w:r>
        <w:rPr>
          <w:color w:val="231F20"/>
          <w:w w:val="105"/>
        </w:rPr>
        <w:t>should</w:t>
      </w:r>
      <w:r>
        <w:rPr>
          <w:color w:val="231F20"/>
          <w:spacing w:val="-8"/>
          <w:w w:val="105"/>
        </w:rPr>
        <w:t> </w:t>
      </w:r>
      <w:r>
        <w:rPr>
          <w:color w:val="231F20"/>
          <w:w w:val="105"/>
        </w:rPr>
        <w:t>be</w:t>
      </w:r>
      <w:r>
        <w:rPr>
          <w:color w:val="231F20"/>
          <w:spacing w:val="-9"/>
          <w:w w:val="105"/>
        </w:rPr>
        <w:t> </w:t>
      </w:r>
      <w:r>
        <w:rPr>
          <w:color w:val="231F20"/>
          <w:w w:val="105"/>
        </w:rPr>
        <w:t>included:</w:t>
      </w:r>
    </w:p>
    <w:p>
      <w:pPr>
        <w:spacing w:before="140"/>
        <w:ind w:left="5425" w:right="28" w:firstLine="0"/>
        <w:jc w:val="center"/>
        <w:rPr>
          <w:rFonts w:ascii="Trebuchet MS" w:hAnsi="Trebuchet MS"/>
          <w:sz w:val="18"/>
        </w:rPr>
      </w:pPr>
      <w:r>
        <w:rPr>
          <w:rFonts w:ascii="Trebuchet MS" w:hAnsi="Trebuchet MS"/>
          <w:spacing w:val="-18"/>
          <w:w w:val="99"/>
          <w:sz w:val="18"/>
        </w:rPr>
        <w:t>P</w:t>
      </w:r>
      <w:r>
        <w:rPr>
          <w:rFonts w:ascii="Trebuchet MS" w:hAnsi="Trebuchet MS"/>
          <w:spacing w:val="-1"/>
          <w:w w:val="122"/>
          <w:position w:val="-2"/>
          <w:sz w:val="10"/>
        </w:rPr>
        <w:t>o</w:t>
      </w:r>
      <w:r>
        <w:rPr>
          <w:rFonts w:ascii="Trebuchet MS" w:hAnsi="Trebuchet MS"/>
          <w:w w:val="111"/>
          <w:position w:val="-2"/>
          <w:sz w:val="10"/>
        </w:rPr>
        <w:t>sm</w:t>
      </w:r>
      <w:r>
        <w:rPr>
          <w:rFonts w:ascii="Trebuchet MS" w:hAnsi="Trebuchet MS"/>
          <w:position w:val="-2"/>
          <w:sz w:val="10"/>
        </w:rPr>
        <w:t> </w:t>
      </w:r>
      <w:r>
        <w:rPr>
          <w:rFonts w:ascii="Trebuchet MS" w:hAnsi="Trebuchet MS"/>
          <w:spacing w:val="-2"/>
          <w:position w:val="-2"/>
          <w:sz w:val="10"/>
        </w:rPr>
        <w:t> </w:t>
      </w:r>
      <w:r>
        <w:rPr>
          <w:rFonts w:ascii="Symbol" w:hAnsi="Symbol"/>
          <w:w w:val="100"/>
          <w:sz w:val="18"/>
        </w:rPr>
        <w:t></w:t>
      </w:r>
      <w:r>
        <w:rPr>
          <w:spacing w:val="-1"/>
          <w:sz w:val="18"/>
        </w:rPr>
        <w:t> </w:t>
      </w:r>
      <w:r>
        <w:rPr>
          <w:rFonts w:ascii="Trebuchet MS" w:hAnsi="Trebuchet MS"/>
          <w:w w:val="106"/>
          <w:sz w:val="18"/>
        </w:rPr>
        <w:t>2</w:t>
      </w:r>
      <w:r>
        <w:rPr>
          <w:rFonts w:ascii="Trebuchet MS" w:hAnsi="Trebuchet MS"/>
          <w:spacing w:val="-22"/>
          <w:sz w:val="18"/>
        </w:rPr>
        <w:t> </w:t>
      </w:r>
      <w:r>
        <w:rPr>
          <w:rFonts w:ascii="Symbol" w:hAnsi="Symbol"/>
          <w:w w:val="100"/>
          <w:sz w:val="18"/>
        </w:rPr>
        <w:t></w:t>
      </w:r>
      <w:r>
        <w:rPr>
          <w:spacing w:val="-21"/>
          <w:sz w:val="18"/>
        </w:rPr>
        <w:t> </w:t>
      </w:r>
      <w:r>
        <w:rPr>
          <w:rFonts w:ascii="Trebuchet MS" w:hAnsi="Trebuchet MS"/>
          <w:spacing w:val="-12"/>
          <w:w w:val="90"/>
          <w:sz w:val="18"/>
        </w:rPr>
        <w:t>[</w:t>
      </w:r>
      <w:r>
        <w:rPr>
          <w:rFonts w:ascii="Trebuchet MS" w:hAnsi="Trebuchet MS"/>
          <w:spacing w:val="-23"/>
          <w:w w:val="99"/>
          <w:sz w:val="18"/>
        </w:rPr>
        <w:t>P</w:t>
      </w:r>
      <w:r>
        <w:rPr>
          <w:rFonts w:ascii="Trebuchet MS" w:hAnsi="Trebuchet MS"/>
          <w:spacing w:val="-1"/>
          <w:w w:val="121"/>
          <w:position w:val="-5"/>
          <w:sz w:val="10"/>
        </w:rPr>
        <w:t>N</w:t>
      </w:r>
      <w:r>
        <w:rPr>
          <w:rFonts w:ascii="Trebuchet MS" w:hAnsi="Trebuchet MS"/>
          <w:spacing w:val="-2"/>
          <w:w w:val="113"/>
          <w:position w:val="-5"/>
          <w:sz w:val="10"/>
        </w:rPr>
        <w:t>a</w:t>
      </w:r>
      <w:r>
        <w:rPr>
          <w:rFonts w:ascii="Symbol" w:hAnsi="Symbol"/>
          <w:w w:val="100"/>
          <w:position w:val="-1"/>
          <w:sz w:val="9"/>
        </w:rPr>
        <w:t></w:t>
      </w:r>
      <w:r>
        <w:rPr>
          <w:position w:val="-1"/>
          <w:sz w:val="9"/>
        </w:rPr>
        <w:t> </w:t>
      </w:r>
      <w:r>
        <w:rPr>
          <w:rFonts w:ascii="Trebuchet MS" w:hAnsi="Trebuchet MS"/>
          <w:w w:val="75"/>
          <w:sz w:val="18"/>
        </w:rPr>
        <w:t>,</w:t>
      </w:r>
      <w:r>
        <w:rPr>
          <w:rFonts w:ascii="Trebuchet MS" w:hAnsi="Trebuchet MS"/>
          <w:spacing w:val="-28"/>
          <w:sz w:val="18"/>
        </w:rPr>
        <w:t> </w:t>
      </w:r>
      <w:r>
        <w:rPr>
          <w:rFonts w:ascii="Trebuchet MS" w:hAnsi="Trebuchet MS"/>
          <w:w w:val="108"/>
          <w:sz w:val="18"/>
        </w:rPr>
        <w:t>mm</w:t>
      </w:r>
      <w:r>
        <w:rPr>
          <w:rFonts w:ascii="Trebuchet MS" w:hAnsi="Trebuchet MS"/>
          <w:spacing w:val="-1"/>
          <w:w w:val="108"/>
          <w:sz w:val="18"/>
        </w:rPr>
        <w:t>o</w:t>
      </w:r>
      <w:r>
        <w:rPr>
          <w:rFonts w:ascii="Trebuchet MS" w:hAnsi="Trebuchet MS"/>
          <w:spacing w:val="9"/>
          <w:w w:val="94"/>
          <w:sz w:val="18"/>
        </w:rPr>
        <w:t>l</w:t>
      </w:r>
      <w:r>
        <w:rPr>
          <w:rFonts w:ascii="Trebuchet MS" w:hAnsi="Trebuchet MS"/>
          <w:spacing w:val="6"/>
          <w:w w:val="53"/>
          <w:sz w:val="18"/>
        </w:rPr>
        <w:t>/</w:t>
      </w:r>
      <w:r>
        <w:rPr>
          <w:rFonts w:ascii="Trebuchet MS" w:hAnsi="Trebuchet MS"/>
          <w:spacing w:val="3"/>
          <w:w w:val="98"/>
          <w:sz w:val="18"/>
        </w:rPr>
        <w:t>L</w:t>
      </w:r>
      <w:r>
        <w:rPr>
          <w:rFonts w:ascii="Trebuchet MS" w:hAnsi="Trebuchet MS"/>
          <w:w w:val="90"/>
          <w:sz w:val="18"/>
        </w:rPr>
        <w:t>]</w:t>
      </w:r>
      <w:r>
        <w:rPr>
          <w:rFonts w:ascii="Trebuchet MS" w:hAnsi="Trebuchet MS"/>
          <w:spacing w:val="-30"/>
          <w:sz w:val="18"/>
        </w:rPr>
        <w:t> </w:t>
      </w:r>
      <w:r>
        <w:rPr>
          <w:rFonts w:ascii="Symbol" w:hAnsi="Symbol"/>
          <w:w w:val="100"/>
          <w:sz w:val="18"/>
        </w:rPr>
        <w:t></w:t>
      </w:r>
      <w:r>
        <w:rPr>
          <w:spacing w:val="-18"/>
          <w:sz w:val="18"/>
        </w:rPr>
        <w:t> </w:t>
      </w:r>
      <w:r>
        <w:rPr>
          <w:rFonts w:ascii="Trebuchet MS" w:hAnsi="Trebuchet MS"/>
          <w:spacing w:val="-12"/>
          <w:w w:val="90"/>
          <w:sz w:val="18"/>
        </w:rPr>
        <w:t>[</w:t>
      </w:r>
      <w:r>
        <w:rPr>
          <w:rFonts w:ascii="Trebuchet MS" w:hAnsi="Trebuchet MS"/>
          <w:spacing w:val="-18"/>
          <w:w w:val="99"/>
          <w:sz w:val="18"/>
        </w:rPr>
        <w:t>P</w:t>
      </w:r>
      <w:r>
        <w:rPr>
          <w:rFonts w:ascii="Trebuchet MS" w:hAnsi="Trebuchet MS"/>
          <w:spacing w:val="-1"/>
          <w:w w:val="130"/>
          <w:position w:val="-2"/>
          <w:sz w:val="10"/>
        </w:rPr>
        <w:t>g</w:t>
      </w:r>
      <w:r>
        <w:rPr>
          <w:rFonts w:ascii="Trebuchet MS" w:hAnsi="Trebuchet MS"/>
          <w:spacing w:val="-1"/>
          <w:w w:val="101"/>
          <w:position w:val="-2"/>
          <w:sz w:val="10"/>
        </w:rPr>
        <w:t>l</w:t>
      </w:r>
      <w:r>
        <w:rPr>
          <w:rFonts w:ascii="Trebuchet MS" w:hAnsi="Trebuchet MS"/>
          <w:spacing w:val="-1"/>
          <w:w w:val="120"/>
          <w:position w:val="-2"/>
          <w:sz w:val="10"/>
        </w:rPr>
        <w:t>u</w:t>
      </w:r>
      <w:r>
        <w:rPr>
          <w:rFonts w:ascii="Trebuchet MS" w:hAnsi="Trebuchet MS"/>
          <w:spacing w:val="-1"/>
          <w:w w:val="96"/>
          <w:position w:val="-2"/>
          <w:sz w:val="10"/>
        </w:rPr>
        <w:t>c</w:t>
      </w:r>
      <w:r>
        <w:rPr>
          <w:rFonts w:ascii="Trebuchet MS" w:hAnsi="Trebuchet MS"/>
          <w:spacing w:val="-1"/>
          <w:w w:val="122"/>
          <w:position w:val="-2"/>
          <w:sz w:val="10"/>
        </w:rPr>
        <w:t>o</w:t>
      </w:r>
      <w:r>
        <w:rPr>
          <w:rFonts w:ascii="Trebuchet MS" w:hAnsi="Trebuchet MS"/>
          <w:w w:val="103"/>
          <w:position w:val="-2"/>
          <w:sz w:val="10"/>
        </w:rPr>
        <w:t>s</w:t>
      </w:r>
      <w:r>
        <w:rPr>
          <w:rFonts w:ascii="Trebuchet MS" w:hAnsi="Trebuchet MS"/>
          <w:spacing w:val="6"/>
          <w:w w:val="109"/>
          <w:position w:val="-2"/>
          <w:sz w:val="10"/>
        </w:rPr>
        <w:t>e</w:t>
      </w:r>
      <w:r>
        <w:rPr>
          <w:rFonts w:ascii="Trebuchet MS" w:hAnsi="Trebuchet MS"/>
          <w:w w:val="75"/>
          <w:sz w:val="18"/>
        </w:rPr>
        <w:t>,</w:t>
      </w:r>
      <w:r>
        <w:rPr>
          <w:rFonts w:ascii="Trebuchet MS" w:hAnsi="Trebuchet MS"/>
          <w:spacing w:val="-29"/>
          <w:sz w:val="18"/>
        </w:rPr>
        <w:t> </w:t>
      </w:r>
      <w:r>
        <w:rPr>
          <w:rFonts w:ascii="Trebuchet MS" w:hAnsi="Trebuchet MS"/>
          <w:w w:val="108"/>
          <w:sz w:val="18"/>
        </w:rPr>
        <w:t>mm</w:t>
      </w:r>
      <w:r>
        <w:rPr>
          <w:rFonts w:ascii="Trebuchet MS" w:hAnsi="Trebuchet MS"/>
          <w:spacing w:val="-1"/>
          <w:w w:val="108"/>
          <w:sz w:val="18"/>
        </w:rPr>
        <w:t>o</w:t>
      </w:r>
      <w:r>
        <w:rPr>
          <w:rFonts w:ascii="Trebuchet MS" w:hAnsi="Trebuchet MS"/>
          <w:spacing w:val="9"/>
          <w:w w:val="94"/>
          <w:sz w:val="18"/>
        </w:rPr>
        <w:t>l</w:t>
      </w:r>
      <w:r>
        <w:rPr>
          <w:rFonts w:ascii="Trebuchet MS" w:hAnsi="Trebuchet MS"/>
          <w:spacing w:val="5"/>
          <w:w w:val="53"/>
          <w:sz w:val="18"/>
        </w:rPr>
        <w:t>/</w:t>
      </w:r>
      <w:r>
        <w:rPr>
          <w:rFonts w:ascii="Trebuchet MS" w:hAnsi="Trebuchet MS"/>
          <w:spacing w:val="3"/>
          <w:w w:val="98"/>
          <w:sz w:val="18"/>
        </w:rPr>
        <w:t>L</w:t>
      </w:r>
      <w:r>
        <w:rPr>
          <w:rFonts w:ascii="Trebuchet MS" w:hAnsi="Trebuchet MS"/>
          <w:w w:val="90"/>
          <w:sz w:val="18"/>
        </w:rPr>
        <w:t>]</w:t>
      </w:r>
      <w:r>
        <w:rPr>
          <w:rFonts w:ascii="Trebuchet MS" w:hAnsi="Trebuchet MS"/>
          <w:spacing w:val="-30"/>
          <w:sz w:val="18"/>
        </w:rPr>
        <w:t> </w:t>
      </w:r>
      <w:r>
        <w:rPr>
          <w:rFonts w:ascii="Symbol" w:hAnsi="Symbol"/>
          <w:w w:val="100"/>
          <w:sz w:val="18"/>
        </w:rPr>
        <w:t></w:t>
      </w:r>
      <w:r>
        <w:rPr>
          <w:spacing w:val="-18"/>
          <w:sz w:val="18"/>
        </w:rPr>
        <w:t> </w:t>
      </w:r>
      <w:r>
        <w:rPr>
          <w:rFonts w:ascii="Trebuchet MS" w:hAnsi="Trebuchet MS"/>
          <w:spacing w:val="-13"/>
          <w:w w:val="90"/>
          <w:sz w:val="18"/>
        </w:rPr>
        <w:t>[</w:t>
      </w:r>
      <w:r>
        <w:rPr>
          <w:rFonts w:ascii="Trebuchet MS" w:hAnsi="Trebuchet MS"/>
          <w:spacing w:val="-21"/>
          <w:w w:val="99"/>
          <w:sz w:val="18"/>
        </w:rPr>
        <w:t>P</w:t>
      </w:r>
      <w:r>
        <w:rPr>
          <w:rFonts w:ascii="Trebuchet MS" w:hAnsi="Trebuchet MS"/>
          <w:spacing w:val="-1"/>
          <w:w w:val="120"/>
          <w:position w:val="-2"/>
          <w:sz w:val="10"/>
        </w:rPr>
        <w:t>u</w:t>
      </w:r>
      <w:r>
        <w:rPr>
          <w:rFonts w:ascii="Trebuchet MS" w:hAnsi="Trebuchet MS"/>
          <w:w w:val="107"/>
          <w:position w:val="-2"/>
          <w:sz w:val="10"/>
        </w:rPr>
        <w:t>r</w:t>
      </w:r>
      <w:r>
        <w:rPr>
          <w:rFonts w:ascii="Trebuchet MS" w:hAnsi="Trebuchet MS"/>
          <w:w w:val="109"/>
          <w:position w:val="-2"/>
          <w:sz w:val="10"/>
        </w:rPr>
        <w:t>e</w:t>
      </w:r>
      <w:r>
        <w:rPr>
          <w:rFonts w:ascii="Trebuchet MS" w:hAnsi="Trebuchet MS"/>
          <w:spacing w:val="4"/>
          <w:w w:val="113"/>
          <w:position w:val="-2"/>
          <w:sz w:val="10"/>
        </w:rPr>
        <w:t>a</w:t>
      </w:r>
      <w:r>
        <w:rPr>
          <w:rFonts w:ascii="Trebuchet MS" w:hAnsi="Trebuchet MS"/>
          <w:w w:val="75"/>
          <w:sz w:val="18"/>
        </w:rPr>
        <w:t>,</w:t>
      </w:r>
      <w:r>
        <w:rPr>
          <w:rFonts w:ascii="Trebuchet MS" w:hAnsi="Trebuchet MS"/>
          <w:spacing w:val="-29"/>
          <w:sz w:val="18"/>
        </w:rPr>
        <w:t> </w:t>
      </w:r>
      <w:r>
        <w:rPr>
          <w:rFonts w:ascii="Trebuchet MS" w:hAnsi="Trebuchet MS"/>
          <w:w w:val="108"/>
          <w:sz w:val="18"/>
        </w:rPr>
        <w:t>mm</w:t>
      </w:r>
      <w:r>
        <w:rPr>
          <w:rFonts w:ascii="Trebuchet MS" w:hAnsi="Trebuchet MS"/>
          <w:spacing w:val="-1"/>
          <w:w w:val="108"/>
          <w:sz w:val="18"/>
        </w:rPr>
        <w:t>o</w:t>
      </w:r>
      <w:r>
        <w:rPr>
          <w:rFonts w:ascii="Trebuchet MS" w:hAnsi="Trebuchet MS"/>
          <w:spacing w:val="9"/>
          <w:w w:val="94"/>
          <w:sz w:val="18"/>
        </w:rPr>
        <w:t>l</w:t>
      </w:r>
      <w:r>
        <w:rPr>
          <w:rFonts w:ascii="Trebuchet MS" w:hAnsi="Trebuchet MS"/>
          <w:spacing w:val="5"/>
          <w:w w:val="53"/>
          <w:sz w:val="18"/>
        </w:rPr>
        <w:t>/</w:t>
      </w:r>
      <w:r>
        <w:rPr>
          <w:rFonts w:ascii="Trebuchet MS" w:hAnsi="Trebuchet MS"/>
          <w:spacing w:val="3"/>
          <w:w w:val="98"/>
          <w:sz w:val="18"/>
        </w:rPr>
        <w:t>L</w:t>
      </w:r>
      <w:r>
        <w:rPr>
          <w:rFonts w:ascii="Trebuchet MS" w:hAnsi="Trebuchet MS"/>
          <w:w w:val="90"/>
          <w:sz w:val="18"/>
        </w:rPr>
        <w:t>]</w:t>
      </w:r>
    </w:p>
    <w:p>
      <w:pPr>
        <w:pStyle w:val="BodyText"/>
        <w:spacing w:line="249" w:lineRule="auto" w:before="82"/>
        <w:ind w:left="6101" w:right="1077"/>
        <w:jc w:val="right"/>
      </w:pPr>
      <w:r>
        <w:rPr>
          <w:color w:val="231F20"/>
        </w:rPr>
        <w:t>Such estimates of plasma osmolarity are usually accurate</w:t>
      </w:r>
      <w:r>
        <w:rPr>
          <w:color w:val="231F20"/>
          <w:w w:val="100"/>
        </w:rPr>
        <w:t> </w:t>
      </w:r>
      <w:r>
        <w:rPr>
          <w:color w:val="231F20"/>
        </w:rPr>
        <w:t>within a few percentage points of those measured directly.</w:t>
      </w:r>
      <w:r>
        <w:rPr>
          <w:color w:val="231F20"/>
          <w:w w:val="88"/>
        </w:rPr>
        <w:t> </w:t>
      </w:r>
      <w:r>
        <w:rPr>
          <w:color w:val="231F20"/>
        </w:rPr>
        <w:t>Normally, sodium ions and associated anions (primar­</w:t>
      </w:r>
    </w:p>
    <w:p>
      <w:pPr>
        <w:pStyle w:val="BodyText"/>
        <w:spacing w:line="249" w:lineRule="auto" w:before="3"/>
        <w:ind w:left="6480" w:right="1077"/>
        <w:jc w:val="both"/>
      </w:pPr>
      <w:r>
        <w:rPr>
          <w:color w:val="231F20"/>
        </w:rPr>
        <w:t>ily bicarbonate and chloride) represent about 94 percent  of the extracellular osmoles, with glucose and </w:t>
      </w:r>
      <w:r>
        <w:rPr>
          <w:color w:val="231F20"/>
          <w:spacing w:val="-4"/>
        </w:rPr>
        <w:t>urea </w:t>
      </w:r>
      <w:r>
        <w:rPr>
          <w:color w:val="231F20"/>
        </w:rPr>
        <w:t>contributing about 3 to 5 percent of the total osmoles. However, because urea easily permeates most cell mem­ branes, it exerts little </w:t>
      </w:r>
      <w:r>
        <w:rPr>
          <w:i/>
          <w:color w:val="231F20"/>
        </w:rPr>
        <w:t>effective </w:t>
      </w:r>
      <w:r>
        <w:rPr>
          <w:color w:val="231F20"/>
        </w:rPr>
        <w:t>osmotic pressure </w:t>
      </w:r>
      <w:r>
        <w:rPr>
          <w:color w:val="231F20"/>
          <w:spacing w:val="-3"/>
        </w:rPr>
        <w:t>under </w:t>
      </w:r>
      <w:r>
        <w:rPr>
          <w:color w:val="231F20"/>
        </w:rPr>
        <w:t>steady­state conditions. Therefore, the sodium ions in the extracellular fluid and associated anions are the principal determinants of fluid movement across the cell </w:t>
      </w:r>
      <w:r>
        <w:rPr>
          <w:color w:val="231F20"/>
          <w:spacing w:val="-4"/>
        </w:rPr>
        <w:t>mem­ </w:t>
      </w:r>
      <w:r>
        <w:rPr>
          <w:color w:val="231F20"/>
        </w:rPr>
        <w:t>brane. Consequently, we can discuss the control of osmo­ larity and control of sodium ion concentration at the </w:t>
      </w:r>
      <w:r>
        <w:rPr>
          <w:color w:val="231F20"/>
          <w:spacing w:val="-4"/>
        </w:rPr>
        <w:t>same </w:t>
      </w:r>
      <w:r>
        <w:rPr>
          <w:color w:val="231F20"/>
        </w:rPr>
        <w:t>time.</w:t>
      </w:r>
    </w:p>
    <w:p>
      <w:pPr>
        <w:pStyle w:val="BodyText"/>
        <w:spacing w:line="249" w:lineRule="auto" w:before="9"/>
        <w:ind w:left="6480" w:right="1077" w:firstLine="240"/>
        <w:jc w:val="both"/>
      </w:pPr>
      <w:r>
        <w:rPr>
          <w:color w:val="231F20"/>
        </w:rPr>
        <w:t>Although multiple mechanisms control the </w:t>
      </w:r>
      <w:r>
        <w:rPr>
          <w:i/>
          <w:color w:val="231F20"/>
        </w:rPr>
        <w:t>amount </w:t>
      </w:r>
      <w:r>
        <w:rPr>
          <w:color w:val="231F20"/>
        </w:rPr>
        <w:t>of sodium and water excretion by the kidneys, two primary systems are especially involved in regulating the </w:t>
      </w:r>
      <w:r>
        <w:rPr>
          <w:i/>
          <w:color w:val="231F20"/>
        </w:rPr>
        <w:t>concen- </w:t>
      </w:r>
      <w:r>
        <w:rPr>
          <w:i/>
          <w:color w:val="231F20"/>
        </w:rPr>
        <w:t>tration </w:t>
      </w:r>
      <w:r>
        <w:rPr>
          <w:color w:val="231F20"/>
        </w:rPr>
        <w:t>of sodium and osmolarity of extracellular fluid:</w:t>
      </w:r>
    </w:p>
    <w:p>
      <w:pPr>
        <w:pStyle w:val="ListParagraph"/>
        <w:numPr>
          <w:ilvl w:val="1"/>
          <w:numId w:val="21"/>
        </w:numPr>
        <w:tabs>
          <w:tab w:pos="6815" w:val="left" w:leader="none"/>
        </w:tabs>
        <w:spacing w:line="249" w:lineRule="auto" w:before="3" w:after="61"/>
        <w:ind w:left="6480" w:right="1077" w:firstLine="0"/>
        <w:jc w:val="both"/>
        <w:rPr>
          <w:sz w:val="20"/>
        </w:rPr>
      </w:pPr>
      <w:r>
        <w:rPr>
          <w:color w:val="231F20"/>
          <w:w w:val="105"/>
          <w:sz w:val="20"/>
        </w:rPr>
        <w:t>the osmoreceptor­ADH system and (2) the thirst mechanism.</w:t>
      </w:r>
    </w:p>
    <w:p>
      <w:pPr>
        <w:pStyle w:val="BodyText"/>
        <w:tabs>
          <w:tab w:pos="6480" w:val="left" w:leader="none"/>
        </w:tabs>
        <w:ind w:left="1440"/>
      </w:pPr>
      <w:r>
        <w:rPr>
          <w:position w:val="1"/>
        </w:rPr>
        <w:pict>
          <v:shape style="width:234pt;height:40pt;mso-position-horizontal-relative:char;mso-position-vertical-relative:line" type="#_x0000_t202" filled="true" fillcolor="#e8dac8" stroked="false">
            <w10:anchorlock/>
            <v:textbox inset="0,0,0,0">
              <w:txbxContent>
                <w:p>
                  <w:pPr>
                    <w:spacing w:line="225" w:lineRule="auto" w:before="46"/>
                    <w:ind w:left="60" w:right="1179" w:firstLine="0"/>
                    <w:jc w:val="left"/>
                    <w:rPr>
                      <w:rFonts w:ascii="Trebuchet MS"/>
                      <w:b/>
                      <w:sz w:val="22"/>
                    </w:rPr>
                  </w:pPr>
                  <w:r>
                    <w:rPr>
                      <w:rFonts w:ascii="Trebuchet MS"/>
                      <w:b/>
                      <w:color w:val="231F20"/>
                      <w:w w:val="110"/>
                      <w:sz w:val="22"/>
                    </w:rPr>
                    <w:t>CONTROL OF EXTRACELLULAR FLUID OSMOLARITY AND SODIUM CONCENTRATION</w:t>
                  </w:r>
                </w:p>
              </w:txbxContent>
            </v:textbox>
            <v:fill type="solid"/>
          </v:shape>
        </w:pict>
      </w:r>
      <w:r>
        <w:rPr>
          <w:position w:val="1"/>
        </w:rPr>
      </w:r>
      <w:r>
        <w:rPr>
          <w:position w:val="1"/>
        </w:rPr>
        <w:tab/>
      </w:r>
      <w:r>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1479" w:firstLine="0"/>
                    <w:jc w:val="left"/>
                    <w:rPr>
                      <w:rFonts w:ascii="Trebuchet MS"/>
                      <w:b/>
                      <w:sz w:val="22"/>
                    </w:rPr>
                  </w:pPr>
                  <w:r>
                    <w:rPr>
                      <w:rFonts w:ascii="Trebuchet MS"/>
                      <w:b/>
                      <w:color w:val="231F20"/>
                      <w:w w:val="110"/>
                      <w:sz w:val="22"/>
                    </w:rPr>
                    <w:t>OSMORECEPTOR-ADH </w:t>
                  </w:r>
                  <w:r>
                    <w:rPr>
                      <w:rFonts w:ascii="Trebuchet MS"/>
                      <w:b/>
                      <w:color w:val="231F20"/>
                      <w:w w:val="115"/>
                      <w:sz w:val="22"/>
                    </w:rPr>
                    <w:t>FEEDBACK SYSTEM</w:t>
                  </w:r>
                </w:p>
              </w:txbxContent>
            </v:textbox>
            <v:fill type="solid"/>
          </v:shape>
        </w:pict>
      </w:r>
      <w:r>
        <w:rPr/>
      </w:r>
    </w:p>
    <w:p>
      <w:pPr>
        <w:spacing w:after="0"/>
        <w:sectPr>
          <w:headerReference w:type="even" r:id="rId822"/>
          <w:pgSz w:w="12240" w:h="15660"/>
          <w:pgMar w:header="0" w:footer="567" w:top="0" w:bottom="760" w:left="0" w:right="0"/>
        </w:sectPr>
      </w:pPr>
    </w:p>
    <w:p>
      <w:pPr>
        <w:pStyle w:val="BodyText"/>
        <w:spacing w:line="249" w:lineRule="auto" w:before="75"/>
        <w:ind w:left="1440"/>
        <w:jc w:val="both"/>
      </w:pPr>
      <w:r>
        <w:rPr/>
        <w:pict>
          <v:group style="position:absolute;margin-left:0pt;margin-top:0pt;width:612pt;height:540.25pt;mso-position-horizontal-relative:page;mso-position-vertical-relative:page;z-index:-272922624" coordorigin="0,0" coordsize="12240,10805">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v:shape style="position:absolute;left:1440;top:1080;width:4680;height:9725" type="#_x0000_t202" filled="true" fillcolor="#f0eef6" stroked="false">
              <v:textbox inset="0,0,0,0">
                <w:txbxContent>
                  <w:p>
                    <w:pPr>
                      <w:spacing w:line="254" w:lineRule="auto" w:before="131"/>
                      <w:ind w:left="180" w:right="177" w:firstLine="0"/>
                      <w:jc w:val="both"/>
                      <w:rPr>
                        <w:sz w:val="18"/>
                      </w:rPr>
                    </w:pPr>
                    <w:r>
                      <w:rPr>
                        <w:color w:val="231F20"/>
                        <w:w w:val="105"/>
                        <w:sz w:val="18"/>
                      </w:rPr>
                      <w:t>in a hospital setting when fluid intake is restricted or the patient is unconscious (e.g., because of a head injury), severe dehydration can rapidly occur.</w:t>
                    </w:r>
                  </w:p>
                  <w:p>
                    <w:pPr>
                      <w:spacing w:line="254" w:lineRule="auto" w:before="2"/>
                      <w:ind w:left="179" w:right="177" w:firstLine="239"/>
                      <w:jc w:val="both"/>
                      <w:rPr>
                        <w:sz w:val="18"/>
                      </w:rPr>
                    </w:pPr>
                    <w:r>
                      <w:rPr>
                        <w:color w:val="231F20"/>
                        <w:sz w:val="18"/>
                      </w:rPr>
                      <w:t>The treatment for central diabetes insipidus is adminis­ tration of a synthetic analog of ADH, </w:t>
                    </w:r>
                    <w:r>
                      <w:rPr>
                        <w:i/>
                        <w:color w:val="231F20"/>
                        <w:sz w:val="18"/>
                      </w:rPr>
                      <w:t>desmopressin, </w:t>
                    </w:r>
                    <w:r>
                      <w:rPr>
                        <w:color w:val="231F20"/>
                        <w:sz w:val="18"/>
                      </w:rPr>
                      <w:t>which acts selectively on V</w:t>
                    </w:r>
                    <w:r>
                      <w:rPr>
                        <w:color w:val="231F20"/>
                        <w:sz w:val="18"/>
                        <w:vertAlign w:val="subscript"/>
                      </w:rPr>
                      <w:t>2</w:t>
                    </w:r>
                    <w:r>
                      <w:rPr>
                        <w:color w:val="231F20"/>
                        <w:sz w:val="18"/>
                        <w:vertAlign w:val="baseline"/>
                      </w:rPr>
                      <w:t> receptors to increase water perme­ ability</w:t>
                    </w:r>
                    <w:r>
                      <w:rPr>
                        <w:color w:val="231F20"/>
                        <w:spacing w:val="-10"/>
                        <w:sz w:val="18"/>
                        <w:vertAlign w:val="baseline"/>
                      </w:rPr>
                      <w:t> </w:t>
                    </w:r>
                    <w:r>
                      <w:rPr>
                        <w:color w:val="231F20"/>
                        <w:sz w:val="18"/>
                        <w:vertAlign w:val="baseline"/>
                      </w:rPr>
                      <w:t>in</w:t>
                    </w:r>
                    <w:r>
                      <w:rPr>
                        <w:color w:val="231F20"/>
                        <w:spacing w:val="-10"/>
                        <w:sz w:val="18"/>
                        <w:vertAlign w:val="baseline"/>
                      </w:rPr>
                      <w:t> </w:t>
                    </w:r>
                    <w:r>
                      <w:rPr>
                        <w:color w:val="231F20"/>
                        <w:sz w:val="18"/>
                        <w:vertAlign w:val="baseline"/>
                      </w:rPr>
                      <w:t>the</w:t>
                    </w:r>
                    <w:r>
                      <w:rPr>
                        <w:color w:val="231F20"/>
                        <w:spacing w:val="-10"/>
                        <w:sz w:val="18"/>
                        <w:vertAlign w:val="baseline"/>
                      </w:rPr>
                      <w:t> </w:t>
                    </w:r>
                    <w:r>
                      <w:rPr>
                        <w:color w:val="231F20"/>
                        <w:sz w:val="18"/>
                        <w:vertAlign w:val="baseline"/>
                      </w:rPr>
                      <w:t>late</w:t>
                    </w:r>
                    <w:r>
                      <w:rPr>
                        <w:color w:val="231F20"/>
                        <w:spacing w:val="-9"/>
                        <w:sz w:val="18"/>
                        <w:vertAlign w:val="baseline"/>
                      </w:rPr>
                      <w:t> </w:t>
                    </w:r>
                    <w:r>
                      <w:rPr>
                        <w:color w:val="231F20"/>
                        <w:sz w:val="18"/>
                        <w:vertAlign w:val="baseline"/>
                      </w:rPr>
                      <w:t>distal</w:t>
                    </w:r>
                    <w:r>
                      <w:rPr>
                        <w:color w:val="231F20"/>
                        <w:spacing w:val="-10"/>
                        <w:sz w:val="18"/>
                        <w:vertAlign w:val="baseline"/>
                      </w:rPr>
                      <w:t> </w:t>
                    </w:r>
                    <w:r>
                      <w:rPr>
                        <w:color w:val="231F20"/>
                        <w:sz w:val="18"/>
                        <w:vertAlign w:val="baseline"/>
                      </w:rPr>
                      <w:t>and</w:t>
                    </w:r>
                    <w:r>
                      <w:rPr>
                        <w:color w:val="231F20"/>
                        <w:spacing w:val="-10"/>
                        <w:sz w:val="18"/>
                        <w:vertAlign w:val="baseline"/>
                      </w:rPr>
                      <w:t> </w:t>
                    </w:r>
                    <w:r>
                      <w:rPr>
                        <w:color w:val="231F20"/>
                        <w:sz w:val="18"/>
                        <w:vertAlign w:val="baseline"/>
                      </w:rPr>
                      <w:t>collecting</w:t>
                    </w:r>
                    <w:r>
                      <w:rPr>
                        <w:color w:val="231F20"/>
                        <w:spacing w:val="-9"/>
                        <w:sz w:val="18"/>
                        <w:vertAlign w:val="baseline"/>
                      </w:rPr>
                      <w:t> </w:t>
                    </w:r>
                    <w:r>
                      <w:rPr>
                        <w:color w:val="231F20"/>
                        <w:sz w:val="18"/>
                        <w:vertAlign w:val="baseline"/>
                      </w:rPr>
                      <w:t>tubules.</w:t>
                    </w:r>
                    <w:r>
                      <w:rPr>
                        <w:color w:val="231F20"/>
                        <w:spacing w:val="-10"/>
                        <w:sz w:val="18"/>
                        <w:vertAlign w:val="baseline"/>
                      </w:rPr>
                      <w:t> </w:t>
                    </w:r>
                    <w:r>
                      <w:rPr>
                        <w:color w:val="231F20"/>
                        <w:sz w:val="18"/>
                        <w:vertAlign w:val="baseline"/>
                      </w:rPr>
                      <w:t>Desmopressin can be given by injection, as a nasal </w:t>
                    </w:r>
                    <w:r>
                      <w:rPr>
                        <w:color w:val="231F20"/>
                        <w:spacing w:val="-3"/>
                        <w:sz w:val="18"/>
                        <w:vertAlign w:val="baseline"/>
                      </w:rPr>
                      <w:t>spray, </w:t>
                    </w:r>
                    <w:r>
                      <w:rPr>
                        <w:color w:val="231F20"/>
                        <w:sz w:val="18"/>
                        <w:vertAlign w:val="baseline"/>
                      </w:rPr>
                      <w:t>or orally, and it rapidly restores urine output toward</w:t>
                    </w:r>
                    <w:r>
                      <w:rPr>
                        <w:color w:val="231F20"/>
                        <w:spacing w:val="8"/>
                        <w:sz w:val="18"/>
                        <w:vertAlign w:val="baseline"/>
                      </w:rPr>
                      <w:t> </w:t>
                    </w:r>
                    <w:r>
                      <w:rPr>
                        <w:color w:val="231F20"/>
                        <w:sz w:val="18"/>
                        <w:vertAlign w:val="baseline"/>
                      </w:rPr>
                      <w:t>normal.</w:t>
                    </w:r>
                  </w:p>
                  <w:p>
                    <w:pPr>
                      <w:spacing w:line="254" w:lineRule="auto" w:before="22"/>
                      <w:ind w:left="180" w:right="177" w:firstLine="240"/>
                      <w:jc w:val="both"/>
                      <w:rPr>
                        <w:sz w:val="18"/>
                      </w:rPr>
                    </w:pPr>
                    <w:r>
                      <w:rPr>
                        <w:rFonts w:ascii="Trebuchet MS" w:hAnsi="Trebuchet MS"/>
                        <w:b/>
                        <w:color w:val="231F20"/>
                        <w:sz w:val="16"/>
                      </w:rPr>
                      <w:t>Inability of the Kidneys to Respond to ADH: “Neph- rogenic” Diabetes Insipidus. </w:t>
                    </w:r>
                    <w:r>
                      <w:rPr>
                        <w:color w:val="231F20"/>
                        <w:sz w:val="18"/>
                      </w:rPr>
                      <w:t>In some circumstances, normal or elevated levels of ADH are present but the renal tubular segments cannot respond appropriately. This con­ dition is referred to as </w:t>
                    </w:r>
                    <w:r>
                      <w:rPr>
                        <w:i/>
                        <w:color w:val="231F20"/>
                        <w:sz w:val="18"/>
                      </w:rPr>
                      <w:t>“nephrogenic” diabetes insipidus </w:t>
                    </w:r>
                    <w:r>
                      <w:rPr>
                        <w:color w:val="231F20"/>
                        <w:sz w:val="18"/>
                      </w:rPr>
                      <w:t>because the abnormality resides in the kidneys. This abnor­ mality can be due to either failure of the countercurrent mechanism to form a hyperosmotic renal medullary inter­ stitium or failure of the distal and collecting tubules and collecting ducts to respond to ADH. In either case, large volumes of dilute urine are formed, which tends to cause dehydration unless fluid intake is increased by the same amount as urine volume is increased.</w:t>
                    </w:r>
                  </w:p>
                  <w:p>
                    <w:pPr>
                      <w:spacing w:line="254" w:lineRule="auto" w:before="12"/>
                      <w:ind w:left="180" w:right="177" w:firstLine="239"/>
                      <w:jc w:val="both"/>
                      <w:rPr>
                        <w:sz w:val="18"/>
                      </w:rPr>
                    </w:pPr>
                    <w:r>
                      <w:rPr>
                        <w:color w:val="231F20"/>
                        <w:w w:val="105"/>
                        <w:sz w:val="18"/>
                      </w:rPr>
                      <w:t>Many types of renal diseases can impair the concen­ trating</w:t>
                    </w:r>
                    <w:r>
                      <w:rPr>
                        <w:color w:val="231F20"/>
                        <w:spacing w:val="-9"/>
                        <w:w w:val="105"/>
                        <w:sz w:val="18"/>
                      </w:rPr>
                      <w:t> </w:t>
                    </w:r>
                    <w:r>
                      <w:rPr>
                        <w:color w:val="231F20"/>
                        <w:w w:val="105"/>
                        <w:sz w:val="18"/>
                      </w:rPr>
                      <w:t>mechanism,</w:t>
                    </w:r>
                    <w:r>
                      <w:rPr>
                        <w:color w:val="231F20"/>
                        <w:spacing w:val="-8"/>
                        <w:w w:val="105"/>
                        <w:sz w:val="18"/>
                      </w:rPr>
                      <w:t> </w:t>
                    </w:r>
                    <w:r>
                      <w:rPr>
                        <w:color w:val="231F20"/>
                        <w:w w:val="105"/>
                        <w:sz w:val="18"/>
                      </w:rPr>
                      <w:t>especially</w:t>
                    </w:r>
                    <w:r>
                      <w:rPr>
                        <w:color w:val="231F20"/>
                        <w:spacing w:val="-8"/>
                        <w:w w:val="105"/>
                        <w:sz w:val="18"/>
                      </w:rPr>
                      <w:t> </w:t>
                    </w:r>
                    <w:r>
                      <w:rPr>
                        <w:color w:val="231F20"/>
                        <w:w w:val="105"/>
                        <w:sz w:val="18"/>
                      </w:rPr>
                      <w:t>those</w:t>
                    </w:r>
                    <w:r>
                      <w:rPr>
                        <w:color w:val="231F20"/>
                        <w:spacing w:val="-8"/>
                        <w:w w:val="105"/>
                        <w:sz w:val="18"/>
                      </w:rPr>
                      <w:t> </w:t>
                    </w:r>
                    <w:r>
                      <w:rPr>
                        <w:color w:val="231F20"/>
                        <w:w w:val="105"/>
                        <w:sz w:val="18"/>
                      </w:rPr>
                      <w:t>that</w:t>
                    </w:r>
                    <w:r>
                      <w:rPr>
                        <w:color w:val="231F20"/>
                        <w:spacing w:val="-8"/>
                        <w:w w:val="105"/>
                        <w:sz w:val="18"/>
                      </w:rPr>
                      <w:t> </w:t>
                    </w:r>
                    <w:r>
                      <w:rPr>
                        <w:color w:val="231F20"/>
                        <w:w w:val="105"/>
                        <w:sz w:val="18"/>
                      </w:rPr>
                      <w:t>damage</w:t>
                    </w:r>
                    <w:r>
                      <w:rPr>
                        <w:color w:val="231F20"/>
                        <w:spacing w:val="-8"/>
                        <w:w w:val="105"/>
                        <w:sz w:val="18"/>
                      </w:rPr>
                      <w:t> </w:t>
                    </w:r>
                    <w:r>
                      <w:rPr>
                        <w:color w:val="231F20"/>
                        <w:w w:val="105"/>
                        <w:sz w:val="18"/>
                      </w:rPr>
                      <w:t>the</w:t>
                    </w:r>
                    <w:r>
                      <w:rPr>
                        <w:color w:val="231F20"/>
                        <w:spacing w:val="-8"/>
                        <w:w w:val="105"/>
                        <w:sz w:val="18"/>
                      </w:rPr>
                      <w:t> </w:t>
                    </w:r>
                    <w:r>
                      <w:rPr>
                        <w:color w:val="231F20"/>
                        <w:w w:val="105"/>
                        <w:sz w:val="18"/>
                      </w:rPr>
                      <w:t>renal medulla (see Chapter 32 for further discussion). Also, impairment</w:t>
                    </w:r>
                    <w:r>
                      <w:rPr>
                        <w:color w:val="231F20"/>
                        <w:spacing w:val="-9"/>
                        <w:w w:val="105"/>
                        <w:sz w:val="18"/>
                      </w:rPr>
                      <w:t> </w:t>
                    </w:r>
                    <w:r>
                      <w:rPr>
                        <w:color w:val="231F20"/>
                        <w:w w:val="105"/>
                        <w:sz w:val="18"/>
                      </w:rPr>
                      <w:t>of</w:t>
                    </w:r>
                    <w:r>
                      <w:rPr>
                        <w:color w:val="231F20"/>
                        <w:spacing w:val="-8"/>
                        <w:w w:val="105"/>
                        <w:sz w:val="18"/>
                      </w:rPr>
                      <w:t> </w:t>
                    </w:r>
                    <w:r>
                      <w:rPr>
                        <w:color w:val="231F20"/>
                        <w:w w:val="105"/>
                        <w:sz w:val="18"/>
                      </w:rPr>
                      <w:t>the</w:t>
                    </w:r>
                    <w:r>
                      <w:rPr>
                        <w:color w:val="231F20"/>
                        <w:spacing w:val="-8"/>
                        <w:w w:val="105"/>
                        <w:sz w:val="18"/>
                      </w:rPr>
                      <w:t> </w:t>
                    </w:r>
                    <w:r>
                      <w:rPr>
                        <w:color w:val="231F20"/>
                        <w:w w:val="105"/>
                        <w:sz w:val="18"/>
                      </w:rPr>
                      <w:t>function</w:t>
                    </w:r>
                    <w:r>
                      <w:rPr>
                        <w:color w:val="231F20"/>
                        <w:spacing w:val="-8"/>
                        <w:w w:val="105"/>
                        <w:sz w:val="18"/>
                      </w:rPr>
                      <w:t> </w:t>
                    </w:r>
                    <w:r>
                      <w:rPr>
                        <w:color w:val="231F20"/>
                        <w:w w:val="105"/>
                        <w:sz w:val="18"/>
                      </w:rPr>
                      <w:t>of</w:t>
                    </w:r>
                    <w:r>
                      <w:rPr>
                        <w:color w:val="231F20"/>
                        <w:spacing w:val="-9"/>
                        <w:w w:val="105"/>
                        <w:sz w:val="18"/>
                      </w:rPr>
                      <w:t> </w:t>
                    </w:r>
                    <w:r>
                      <w:rPr>
                        <w:color w:val="231F20"/>
                        <w:w w:val="105"/>
                        <w:sz w:val="18"/>
                      </w:rPr>
                      <w:t>the</w:t>
                    </w:r>
                    <w:r>
                      <w:rPr>
                        <w:color w:val="231F20"/>
                        <w:spacing w:val="-8"/>
                        <w:w w:val="105"/>
                        <w:sz w:val="18"/>
                      </w:rPr>
                      <w:t> </w:t>
                    </w:r>
                    <w:r>
                      <w:rPr>
                        <w:color w:val="231F20"/>
                        <w:w w:val="105"/>
                        <w:sz w:val="18"/>
                      </w:rPr>
                      <w:t>loop</w:t>
                    </w:r>
                    <w:r>
                      <w:rPr>
                        <w:color w:val="231F20"/>
                        <w:spacing w:val="-8"/>
                        <w:w w:val="105"/>
                        <w:sz w:val="18"/>
                      </w:rPr>
                      <w:t> </w:t>
                    </w:r>
                    <w:r>
                      <w:rPr>
                        <w:color w:val="231F20"/>
                        <w:w w:val="105"/>
                        <w:sz w:val="18"/>
                      </w:rPr>
                      <w:t>of</w:t>
                    </w:r>
                    <w:r>
                      <w:rPr>
                        <w:color w:val="231F20"/>
                        <w:spacing w:val="-8"/>
                        <w:w w:val="105"/>
                        <w:sz w:val="18"/>
                      </w:rPr>
                      <w:t> </w:t>
                    </w:r>
                    <w:r>
                      <w:rPr>
                        <w:color w:val="231F20"/>
                        <w:w w:val="105"/>
                        <w:sz w:val="18"/>
                      </w:rPr>
                      <w:t>Henle,</w:t>
                    </w:r>
                    <w:r>
                      <w:rPr>
                        <w:color w:val="231F20"/>
                        <w:spacing w:val="-9"/>
                        <w:w w:val="105"/>
                        <w:sz w:val="18"/>
                      </w:rPr>
                      <w:t> </w:t>
                    </w:r>
                    <w:r>
                      <w:rPr>
                        <w:color w:val="231F20"/>
                        <w:w w:val="105"/>
                        <w:sz w:val="18"/>
                      </w:rPr>
                      <w:t>as</w:t>
                    </w:r>
                    <w:r>
                      <w:rPr>
                        <w:color w:val="231F20"/>
                        <w:spacing w:val="-8"/>
                        <w:w w:val="105"/>
                        <w:sz w:val="18"/>
                      </w:rPr>
                      <w:t> </w:t>
                    </w:r>
                    <w:r>
                      <w:rPr>
                        <w:color w:val="231F20"/>
                        <w:w w:val="105"/>
                        <w:sz w:val="18"/>
                      </w:rPr>
                      <w:t>occurs with diuretics that inhibit electrolyte reabsorption  by this segment, such as furosemide, can compromise</w:t>
                    </w:r>
                    <w:r>
                      <w:rPr>
                        <w:color w:val="231F20"/>
                        <w:spacing w:val="-18"/>
                        <w:w w:val="105"/>
                        <w:sz w:val="18"/>
                      </w:rPr>
                      <w:t> </w:t>
                    </w:r>
                    <w:r>
                      <w:rPr>
                        <w:color w:val="231F20"/>
                        <w:w w:val="105"/>
                        <w:sz w:val="18"/>
                      </w:rPr>
                      <w:t>urine­ concentrating ability. Furthermore, certain drugs such as lithium</w:t>
                    </w:r>
                    <w:r>
                      <w:rPr>
                        <w:color w:val="231F20"/>
                        <w:spacing w:val="-9"/>
                        <w:w w:val="105"/>
                        <w:sz w:val="18"/>
                      </w:rPr>
                      <w:t> </w:t>
                    </w:r>
                    <w:r>
                      <w:rPr>
                        <w:color w:val="231F20"/>
                        <w:w w:val="105"/>
                        <w:sz w:val="18"/>
                      </w:rPr>
                      <w:t>(used</w:t>
                    </w:r>
                    <w:r>
                      <w:rPr>
                        <w:color w:val="231F20"/>
                        <w:spacing w:val="-9"/>
                        <w:w w:val="105"/>
                        <w:sz w:val="18"/>
                      </w:rPr>
                      <w:t> </w:t>
                    </w:r>
                    <w:r>
                      <w:rPr>
                        <w:color w:val="231F20"/>
                        <w:w w:val="105"/>
                        <w:sz w:val="18"/>
                      </w:rPr>
                      <w:t>to</w:t>
                    </w:r>
                    <w:r>
                      <w:rPr>
                        <w:color w:val="231F20"/>
                        <w:spacing w:val="-9"/>
                        <w:w w:val="105"/>
                        <w:sz w:val="18"/>
                      </w:rPr>
                      <w:t> </w:t>
                    </w:r>
                    <w:r>
                      <w:rPr>
                        <w:color w:val="231F20"/>
                        <w:w w:val="105"/>
                        <w:sz w:val="18"/>
                      </w:rPr>
                      <w:t>treat</w:t>
                    </w:r>
                    <w:r>
                      <w:rPr>
                        <w:color w:val="231F20"/>
                        <w:spacing w:val="-9"/>
                        <w:w w:val="105"/>
                        <w:sz w:val="18"/>
                      </w:rPr>
                      <w:t> </w:t>
                    </w:r>
                    <w:r>
                      <w:rPr>
                        <w:color w:val="231F20"/>
                        <w:w w:val="105"/>
                        <w:sz w:val="18"/>
                      </w:rPr>
                      <w:t>manic­depressive</w:t>
                    </w:r>
                    <w:r>
                      <w:rPr>
                        <w:color w:val="231F20"/>
                        <w:spacing w:val="-8"/>
                        <w:w w:val="105"/>
                        <w:sz w:val="18"/>
                      </w:rPr>
                      <w:t> </w:t>
                    </w:r>
                    <w:r>
                      <w:rPr>
                        <w:color w:val="231F20"/>
                        <w:w w:val="105"/>
                        <w:sz w:val="18"/>
                      </w:rPr>
                      <w:t>disorders)</w:t>
                    </w:r>
                    <w:r>
                      <w:rPr>
                        <w:color w:val="231F20"/>
                        <w:spacing w:val="-9"/>
                        <w:w w:val="105"/>
                        <w:sz w:val="18"/>
                      </w:rPr>
                      <w:t> </w:t>
                    </w:r>
                    <w:r>
                      <w:rPr>
                        <w:color w:val="231F20"/>
                        <w:w w:val="105"/>
                        <w:sz w:val="18"/>
                      </w:rPr>
                      <w:t>and</w:t>
                    </w:r>
                    <w:r>
                      <w:rPr>
                        <w:color w:val="231F20"/>
                        <w:spacing w:val="-9"/>
                        <w:w w:val="105"/>
                        <w:sz w:val="18"/>
                      </w:rPr>
                      <w:t> </w:t>
                    </w:r>
                    <w:r>
                      <w:rPr>
                        <w:color w:val="231F20"/>
                        <w:w w:val="105"/>
                        <w:sz w:val="18"/>
                      </w:rPr>
                      <w:t>tet­ racyclines</w:t>
                    </w:r>
                    <w:r>
                      <w:rPr>
                        <w:color w:val="231F20"/>
                        <w:spacing w:val="-17"/>
                        <w:w w:val="105"/>
                        <w:sz w:val="18"/>
                      </w:rPr>
                      <w:t> </w:t>
                    </w:r>
                    <w:r>
                      <w:rPr>
                        <w:color w:val="231F20"/>
                        <w:w w:val="105"/>
                        <w:sz w:val="18"/>
                      </w:rPr>
                      <w:t>(used</w:t>
                    </w:r>
                    <w:r>
                      <w:rPr>
                        <w:color w:val="231F20"/>
                        <w:spacing w:val="-17"/>
                        <w:w w:val="105"/>
                        <w:sz w:val="18"/>
                      </w:rPr>
                      <w:t> </w:t>
                    </w:r>
                    <w:r>
                      <w:rPr>
                        <w:color w:val="231F20"/>
                        <w:w w:val="105"/>
                        <w:sz w:val="18"/>
                      </w:rPr>
                      <w:t>as</w:t>
                    </w:r>
                    <w:r>
                      <w:rPr>
                        <w:color w:val="231F20"/>
                        <w:spacing w:val="-17"/>
                        <w:w w:val="105"/>
                        <w:sz w:val="18"/>
                      </w:rPr>
                      <w:t> </w:t>
                    </w:r>
                    <w:r>
                      <w:rPr>
                        <w:color w:val="231F20"/>
                        <w:w w:val="105"/>
                        <w:sz w:val="18"/>
                      </w:rPr>
                      <w:t>antibiotics)</w:t>
                    </w:r>
                    <w:r>
                      <w:rPr>
                        <w:color w:val="231F20"/>
                        <w:spacing w:val="-17"/>
                        <w:w w:val="105"/>
                        <w:sz w:val="18"/>
                      </w:rPr>
                      <w:t> </w:t>
                    </w:r>
                    <w:r>
                      <w:rPr>
                        <w:color w:val="231F20"/>
                        <w:w w:val="105"/>
                        <w:sz w:val="18"/>
                      </w:rPr>
                      <w:t>can</w:t>
                    </w:r>
                    <w:r>
                      <w:rPr>
                        <w:color w:val="231F20"/>
                        <w:spacing w:val="-17"/>
                        <w:w w:val="105"/>
                        <w:sz w:val="18"/>
                      </w:rPr>
                      <w:t> </w:t>
                    </w:r>
                    <w:r>
                      <w:rPr>
                        <w:color w:val="231F20"/>
                        <w:w w:val="105"/>
                        <w:sz w:val="18"/>
                      </w:rPr>
                      <w:t>impair</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ability</w:t>
                    </w:r>
                    <w:r>
                      <w:rPr>
                        <w:color w:val="231F20"/>
                        <w:spacing w:val="-17"/>
                        <w:w w:val="105"/>
                        <w:sz w:val="18"/>
                      </w:rPr>
                      <w:t> </w:t>
                    </w:r>
                    <w:r>
                      <w:rPr>
                        <w:color w:val="231F20"/>
                        <w:w w:val="105"/>
                        <w:sz w:val="18"/>
                      </w:rPr>
                      <w:t>of</w:t>
                    </w:r>
                    <w:r>
                      <w:rPr>
                        <w:color w:val="231F20"/>
                        <w:spacing w:val="-17"/>
                        <w:w w:val="105"/>
                        <w:sz w:val="18"/>
                      </w:rPr>
                      <w:t> </w:t>
                    </w:r>
                    <w:r>
                      <w:rPr>
                        <w:color w:val="231F20"/>
                        <w:w w:val="105"/>
                        <w:sz w:val="18"/>
                      </w:rPr>
                      <w:t>the distal nephron segments to respond to</w:t>
                    </w:r>
                    <w:r>
                      <w:rPr>
                        <w:color w:val="231F20"/>
                        <w:spacing w:val="15"/>
                        <w:w w:val="105"/>
                        <w:sz w:val="18"/>
                      </w:rPr>
                      <w:t> </w:t>
                    </w:r>
                    <w:r>
                      <w:rPr>
                        <w:color w:val="231F20"/>
                        <w:w w:val="105"/>
                        <w:sz w:val="18"/>
                      </w:rPr>
                      <w:t>ADH.</w:t>
                    </w:r>
                  </w:p>
                  <w:p>
                    <w:pPr>
                      <w:spacing w:line="254" w:lineRule="auto" w:before="6"/>
                      <w:ind w:left="180" w:right="177" w:firstLine="239"/>
                      <w:jc w:val="both"/>
                      <w:rPr>
                        <w:sz w:val="18"/>
                      </w:rPr>
                    </w:pPr>
                    <w:r>
                      <w:rPr>
                        <w:color w:val="231F20"/>
                        <w:sz w:val="18"/>
                      </w:rPr>
                      <w:t>Nephrogenic diabetes insipidus can be distinguished from central diabetes insipidus by administration of </w:t>
                    </w:r>
                    <w:r>
                      <w:rPr>
                        <w:color w:val="231F20"/>
                        <w:spacing w:val="-3"/>
                        <w:sz w:val="18"/>
                      </w:rPr>
                      <w:t>des­ </w:t>
                    </w:r>
                    <w:r>
                      <w:rPr>
                        <w:color w:val="231F20"/>
                        <w:sz w:val="18"/>
                      </w:rPr>
                      <w:t>mopressin, the synthetic analog of ADH. Lack of a prompt decrease in urine volume and an increase in urine osmolar­ ity</w:t>
                    </w:r>
                    <w:r>
                      <w:rPr>
                        <w:color w:val="231F20"/>
                        <w:spacing w:val="-5"/>
                        <w:sz w:val="18"/>
                      </w:rPr>
                      <w:t> </w:t>
                    </w:r>
                    <w:r>
                      <w:rPr>
                        <w:color w:val="231F20"/>
                        <w:sz w:val="18"/>
                      </w:rPr>
                      <w:t>within</w:t>
                    </w:r>
                    <w:r>
                      <w:rPr>
                        <w:color w:val="231F20"/>
                        <w:spacing w:val="-5"/>
                        <w:sz w:val="18"/>
                      </w:rPr>
                      <w:t> </w:t>
                    </w:r>
                    <w:r>
                      <w:rPr>
                        <w:color w:val="231F20"/>
                        <w:sz w:val="18"/>
                      </w:rPr>
                      <w:t>2</w:t>
                    </w:r>
                    <w:r>
                      <w:rPr>
                        <w:color w:val="231F20"/>
                        <w:spacing w:val="-4"/>
                        <w:sz w:val="18"/>
                      </w:rPr>
                      <w:t> </w:t>
                    </w:r>
                    <w:r>
                      <w:rPr>
                        <w:color w:val="231F20"/>
                        <w:sz w:val="18"/>
                      </w:rPr>
                      <w:t>hours</w:t>
                    </w:r>
                    <w:r>
                      <w:rPr>
                        <w:color w:val="231F20"/>
                        <w:spacing w:val="-5"/>
                        <w:sz w:val="18"/>
                      </w:rPr>
                      <w:t> </w:t>
                    </w:r>
                    <w:r>
                      <w:rPr>
                        <w:color w:val="231F20"/>
                        <w:sz w:val="18"/>
                      </w:rPr>
                      <w:t>after</w:t>
                    </w:r>
                    <w:r>
                      <w:rPr>
                        <w:color w:val="231F20"/>
                        <w:spacing w:val="-4"/>
                        <w:sz w:val="18"/>
                      </w:rPr>
                      <w:t> </w:t>
                    </w:r>
                    <w:r>
                      <w:rPr>
                        <w:color w:val="231F20"/>
                        <w:sz w:val="18"/>
                      </w:rPr>
                      <w:t>injection</w:t>
                    </w:r>
                    <w:r>
                      <w:rPr>
                        <w:color w:val="231F20"/>
                        <w:spacing w:val="-5"/>
                        <w:sz w:val="18"/>
                      </w:rPr>
                      <w:t> </w:t>
                    </w:r>
                    <w:r>
                      <w:rPr>
                        <w:color w:val="231F20"/>
                        <w:sz w:val="18"/>
                      </w:rPr>
                      <w:t>of</w:t>
                    </w:r>
                    <w:r>
                      <w:rPr>
                        <w:color w:val="231F20"/>
                        <w:spacing w:val="-4"/>
                        <w:sz w:val="18"/>
                      </w:rPr>
                      <w:t> </w:t>
                    </w:r>
                    <w:r>
                      <w:rPr>
                        <w:color w:val="231F20"/>
                        <w:sz w:val="18"/>
                      </w:rPr>
                      <w:t>desmopressin</w:t>
                    </w:r>
                    <w:r>
                      <w:rPr>
                        <w:color w:val="231F20"/>
                        <w:spacing w:val="-5"/>
                        <w:sz w:val="18"/>
                      </w:rPr>
                      <w:t> </w:t>
                    </w:r>
                    <w:r>
                      <w:rPr>
                        <w:color w:val="231F20"/>
                        <w:sz w:val="18"/>
                      </w:rPr>
                      <w:t>is</w:t>
                    </w:r>
                    <w:r>
                      <w:rPr>
                        <w:color w:val="231F20"/>
                        <w:spacing w:val="-4"/>
                        <w:sz w:val="18"/>
                      </w:rPr>
                      <w:t> </w:t>
                    </w:r>
                    <w:r>
                      <w:rPr>
                        <w:color w:val="231F20"/>
                        <w:sz w:val="18"/>
                      </w:rPr>
                      <w:t>strongly suggestive of nephrogenic diabetes insipidus. The treat­ ment for nephrogenic diabetes insipidus is to correct, if possible, the underlying renal disorder. The hypernatremia can also be attenuated by a low­sodium diet and adminis­ tration of a diuretic that enhances renal sodium excretion, such as a thiazide</w:t>
                    </w:r>
                    <w:r>
                      <w:rPr>
                        <w:color w:val="231F20"/>
                        <w:spacing w:val="27"/>
                        <w:sz w:val="18"/>
                      </w:rPr>
                      <w:t> </w:t>
                    </w:r>
                    <w:r>
                      <w:rPr>
                        <w:color w:val="231F20"/>
                        <w:sz w:val="18"/>
                      </w:rPr>
                      <w:t>diuretic.</w:t>
                    </w:r>
                  </w:p>
                </w:txbxContent>
              </v:textbox>
              <v:fill type="solid"/>
              <w10:wrap type="none"/>
            </v:shape>
            <w10:wrap type="none"/>
          </v:group>
        </w:pict>
      </w:r>
      <w:r>
        <w:rPr/>
        <w:pict>
          <v:line style="position:absolute;mso-position-horizontal-relative:page;mso-position-vertical-relative:paragraph;z-index:252484608" from="72pt,-1.025162pt" to="306pt,-1.025162pt" stroked="true" strokeweight=".5pt" strokecolor="#231f20">
            <v:stroke dashstyle="solid"/>
            <w10:wrap type="none"/>
          </v:line>
        </w:pict>
      </w:r>
      <w:r>
        <w:rPr>
          <w:color w:val="231F20"/>
        </w:rPr>
        <w:t>Regulation of extracellular fluid osmolarity and </w:t>
      </w:r>
      <w:r>
        <w:rPr>
          <w:color w:val="231F20"/>
          <w:spacing w:val="-3"/>
        </w:rPr>
        <w:t>sodium </w:t>
      </w:r>
      <w:r>
        <w:rPr>
          <w:color w:val="231F20"/>
        </w:rPr>
        <w:t>concentration are closely linked because sodium is the most abundant ion in the extracellular </w:t>
      </w:r>
      <w:r>
        <w:rPr>
          <w:color w:val="231F20"/>
          <w:spacing w:val="-3"/>
        </w:rPr>
        <w:t>compartment. </w:t>
      </w:r>
      <w:r>
        <w:rPr>
          <w:color w:val="231F20"/>
        </w:rPr>
        <w:t>Plasma sodium concentration is normally </w:t>
      </w:r>
      <w:r>
        <w:rPr>
          <w:color w:val="231F20"/>
          <w:spacing w:val="-3"/>
        </w:rPr>
        <w:t>regulated  </w:t>
      </w:r>
      <w:r>
        <w:rPr>
          <w:color w:val="231F20"/>
        </w:rPr>
        <w:t>within close limits of 140 to 145 mEq/L, with an </w:t>
      </w:r>
      <w:r>
        <w:rPr>
          <w:color w:val="231F20"/>
          <w:spacing w:val="-3"/>
        </w:rPr>
        <w:t>average </w:t>
      </w:r>
      <w:r>
        <w:rPr>
          <w:color w:val="231F20"/>
        </w:rPr>
        <w:t>concentration of about 142 mEq/L. Osmolarity </w:t>
      </w:r>
      <w:r>
        <w:rPr>
          <w:color w:val="231F20"/>
          <w:spacing w:val="-3"/>
        </w:rPr>
        <w:t>averages </w:t>
      </w:r>
      <w:r>
        <w:rPr>
          <w:color w:val="231F20"/>
        </w:rPr>
        <w:t>about 300 mOsm/L (about 282 mOsm/L when corrected for  interionic  attraction)  and  seldom  changes  </w:t>
      </w:r>
      <w:r>
        <w:rPr>
          <w:color w:val="231F20"/>
          <w:spacing w:val="-5"/>
        </w:rPr>
        <w:t>more </w:t>
      </w:r>
      <w:r>
        <w:rPr>
          <w:color w:val="231F20"/>
        </w:rPr>
        <w:t>than </w:t>
      </w:r>
      <w:r>
        <w:rPr>
          <w:rFonts w:ascii="Consolas" w:hAnsi="Consolas"/>
          <w:color w:val="231F20"/>
        </w:rPr>
        <w:t>±</w:t>
      </w:r>
      <w:r>
        <w:rPr>
          <w:color w:val="231F20"/>
        </w:rPr>
        <w:t>2 to 3 percent. As discussed in Chapter 25, these variables must be precisely controlled because</w:t>
      </w:r>
      <w:r>
        <w:rPr>
          <w:color w:val="231F20"/>
          <w:spacing w:val="9"/>
        </w:rPr>
        <w:t> </w:t>
      </w:r>
      <w:r>
        <w:rPr>
          <w:color w:val="231F20"/>
        </w:rPr>
        <w:t>they</w:t>
      </w:r>
    </w:p>
    <w:p>
      <w:pPr>
        <w:pStyle w:val="BodyText"/>
        <w:spacing w:line="20" w:lineRule="exact"/>
        <w:ind w:left="314"/>
        <w:rPr>
          <w:sz w:val="2"/>
        </w:rPr>
      </w:pPr>
      <w:r>
        <w:rPr/>
        <w:br w:type="column"/>
      </w: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5"/>
        <w:ind w:left="319" w:right="1077"/>
        <w:jc w:val="both"/>
      </w:pPr>
      <w:hyperlink w:history="true" w:anchor="_bookmark75">
        <w:r>
          <w:rPr>
            <w:b/>
            <w:color w:val="0080AC"/>
            <w:w w:val="105"/>
          </w:rPr>
          <w:t>Figure 29-9</w:t>
        </w:r>
      </w:hyperlink>
      <w:r>
        <w:rPr>
          <w:b/>
          <w:color w:val="0080AC"/>
          <w:w w:val="105"/>
        </w:rPr>
        <w:t> </w:t>
      </w:r>
      <w:r>
        <w:rPr>
          <w:color w:val="231F20"/>
          <w:w w:val="105"/>
        </w:rPr>
        <w:t>shows the basic components of </w:t>
      </w:r>
      <w:r>
        <w:rPr>
          <w:color w:val="231F20"/>
          <w:spacing w:val="-5"/>
          <w:w w:val="105"/>
        </w:rPr>
        <w:t>the </w:t>
      </w:r>
      <w:r>
        <w:rPr>
          <w:color w:val="231F20"/>
          <w:w w:val="105"/>
        </w:rPr>
        <w:t>osmoreceptor­ADH</w:t>
      </w:r>
      <w:r>
        <w:rPr>
          <w:color w:val="231F20"/>
          <w:spacing w:val="-26"/>
          <w:w w:val="105"/>
        </w:rPr>
        <w:t> </w:t>
      </w:r>
      <w:r>
        <w:rPr>
          <w:color w:val="231F20"/>
          <w:w w:val="105"/>
        </w:rPr>
        <w:t>feedback</w:t>
      </w:r>
      <w:r>
        <w:rPr>
          <w:color w:val="231F20"/>
          <w:spacing w:val="-25"/>
          <w:w w:val="105"/>
        </w:rPr>
        <w:t> </w:t>
      </w:r>
      <w:r>
        <w:rPr>
          <w:color w:val="231F20"/>
          <w:w w:val="105"/>
        </w:rPr>
        <w:t>system</w:t>
      </w:r>
      <w:r>
        <w:rPr>
          <w:color w:val="231F20"/>
          <w:spacing w:val="-26"/>
          <w:w w:val="105"/>
        </w:rPr>
        <w:t> </w:t>
      </w:r>
      <w:r>
        <w:rPr>
          <w:color w:val="231F20"/>
          <w:w w:val="105"/>
        </w:rPr>
        <w:t>for</w:t>
      </w:r>
      <w:r>
        <w:rPr>
          <w:color w:val="231F20"/>
          <w:spacing w:val="-25"/>
          <w:w w:val="105"/>
        </w:rPr>
        <w:t> </w:t>
      </w:r>
      <w:r>
        <w:rPr>
          <w:color w:val="231F20"/>
          <w:w w:val="105"/>
        </w:rPr>
        <w:t>control</w:t>
      </w:r>
      <w:r>
        <w:rPr>
          <w:color w:val="231F20"/>
          <w:spacing w:val="-26"/>
          <w:w w:val="105"/>
        </w:rPr>
        <w:t> </w:t>
      </w:r>
      <w:r>
        <w:rPr>
          <w:color w:val="231F20"/>
          <w:w w:val="105"/>
        </w:rPr>
        <w:t>of</w:t>
      </w:r>
      <w:r>
        <w:rPr>
          <w:color w:val="231F20"/>
          <w:spacing w:val="-25"/>
          <w:w w:val="105"/>
        </w:rPr>
        <w:t> </w:t>
      </w:r>
      <w:r>
        <w:rPr>
          <w:color w:val="231F20"/>
          <w:w w:val="105"/>
        </w:rPr>
        <w:t>extra­ cellular</w:t>
      </w:r>
      <w:r>
        <w:rPr>
          <w:color w:val="231F20"/>
          <w:spacing w:val="-31"/>
          <w:w w:val="105"/>
        </w:rPr>
        <w:t> </w:t>
      </w:r>
      <w:r>
        <w:rPr>
          <w:color w:val="231F20"/>
          <w:w w:val="105"/>
        </w:rPr>
        <w:t>fluid</w:t>
      </w:r>
      <w:r>
        <w:rPr>
          <w:color w:val="231F20"/>
          <w:spacing w:val="-30"/>
          <w:w w:val="105"/>
        </w:rPr>
        <w:t> </w:t>
      </w:r>
      <w:r>
        <w:rPr>
          <w:color w:val="231F20"/>
          <w:w w:val="105"/>
        </w:rPr>
        <w:t>sodium</w:t>
      </w:r>
      <w:r>
        <w:rPr>
          <w:color w:val="231F20"/>
          <w:spacing w:val="-30"/>
          <w:w w:val="105"/>
        </w:rPr>
        <w:t> </w:t>
      </w:r>
      <w:r>
        <w:rPr>
          <w:color w:val="231F20"/>
          <w:w w:val="105"/>
        </w:rPr>
        <w:t>concentration</w:t>
      </w:r>
      <w:r>
        <w:rPr>
          <w:color w:val="231F20"/>
          <w:spacing w:val="-30"/>
          <w:w w:val="105"/>
        </w:rPr>
        <w:t> </w:t>
      </w:r>
      <w:r>
        <w:rPr>
          <w:color w:val="231F20"/>
          <w:w w:val="105"/>
        </w:rPr>
        <w:t>and</w:t>
      </w:r>
      <w:r>
        <w:rPr>
          <w:color w:val="231F20"/>
          <w:spacing w:val="-30"/>
          <w:w w:val="105"/>
        </w:rPr>
        <w:t> </w:t>
      </w:r>
      <w:r>
        <w:rPr>
          <w:color w:val="231F20"/>
          <w:w w:val="105"/>
        </w:rPr>
        <w:t>osmolarity.</w:t>
      </w:r>
      <w:r>
        <w:rPr>
          <w:color w:val="231F20"/>
          <w:spacing w:val="-31"/>
          <w:w w:val="105"/>
        </w:rPr>
        <w:t> </w:t>
      </w:r>
      <w:r>
        <w:rPr>
          <w:color w:val="231F20"/>
          <w:w w:val="105"/>
        </w:rPr>
        <w:t>When osmolarity (plasma sodium concentration) increases above</w:t>
      </w:r>
      <w:r>
        <w:rPr>
          <w:color w:val="231F20"/>
          <w:spacing w:val="-7"/>
          <w:w w:val="105"/>
        </w:rPr>
        <w:t> </w:t>
      </w:r>
      <w:r>
        <w:rPr>
          <w:color w:val="231F20"/>
          <w:w w:val="105"/>
        </w:rPr>
        <w:t>normal</w:t>
      </w:r>
      <w:r>
        <w:rPr>
          <w:color w:val="231F20"/>
          <w:spacing w:val="-6"/>
          <w:w w:val="105"/>
        </w:rPr>
        <w:t> </w:t>
      </w:r>
      <w:r>
        <w:rPr>
          <w:color w:val="231F20"/>
          <w:w w:val="105"/>
        </w:rPr>
        <w:t>because</w:t>
      </w:r>
      <w:r>
        <w:rPr>
          <w:color w:val="231F20"/>
          <w:spacing w:val="-6"/>
          <w:w w:val="105"/>
        </w:rPr>
        <w:t> </w:t>
      </w:r>
      <w:r>
        <w:rPr>
          <w:color w:val="231F20"/>
          <w:w w:val="105"/>
        </w:rPr>
        <w:t>of</w:t>
      </w:r>
      <w:r>
        <w:rPr>
          <w:color w:val="231F20"/>
          <w:spacing w:val="-6"/>
          <w:w w:val="105"/>
        </w:rPr>
        <w:t> </w:t>
      </w:r>
      <w:r>
        <w:rPr>
          <w:color w:val="231F20"/>
          <w:w w:val="105"/>
        </w:rPr>
        <w:t>water</w:t>
      </w:r>
      <w:r>
        <w:rPr>
          <w:color w:val="231F20"/>
          <w:spacing w:val="-6"/>
          <w:w w:val="105"/>
        </w:rPr>
        <w:t> </w:t>
      </w:r>
      <w:r>
        <w:rPr>
          <w:color w:val="231F20"/>
          <w:w w:val="105"/>
        </w:rPr>
        <w:t>deficit,</w:t>
      </w:r>
      <w:r>
        <w:rPr>
          <w:color w:val="231F20"/>
          <w:spacing w:val="-6"/>
          <w:w w:val="105"/>
        </w:rPr>
        <w:t> </w:t>
      </w:r>
      <w:r>
        <w:rPr>
          <w:color w:val="231F20"/>
          <w:w w:val="105"/>
        </w:rPr>
        <w:t>for</w:t>
      </w:r>
      <w:r>
        <w:rPr>
          <w:color w:val="231F20"/>
          <w:spacing w:val="-7"/>
          <w:w w:val="105"/>
        </w:rPr>
        <w:t> </w:t>
      </w:r>
      <w:r>
        <w:rPr>
          <w:color w:val="231F20"/>
          <w:w w:val="105"/>
        </w:rPr>
        <w:t>example,</w:t>
      </w:r>
      <w:r>
        <w:rPr>
          <w:color w:val="231F20"/>
          <w:spacing w:val="-6"/>
          <w:w w:val="105"/>
        </w:rPr>
        <w:t> </w:t>
      </w:r>
      <w:r>
        <w:rPr>
          <w:color w:val="231F20"/>
          <w:w w:val="105"/>
        </w:rPr>
        <w:t>this feedback system operates as</w:t>
      </w:r>
      <w:r>
        <w:rPr>
          <w:color w:val="231F20"/>
          <w:spacing w:val="-2"/>
          <w:w w:val="105"/>
        </w:rPr>
        <w:t> </w:t>
      </w:r>
      <w:r>
        <w:rPr>
          <w:color w:val="231F20"/>
          <w:w w:val="105"/>
        </w:rPr>
        <w:t>follows:</w:t>
      </w:r>
    </w:p>
    <w:p>
      <w:pPr>
        <w:pStyle w:val="ListParagraph"/>
        <w:numPr>
          <w:ilvl w:val="0"/>
          <w:numId w:val="22"/>
        </w:numPr>
        <w:tabs>
          <w:tab w:pos="802" w:val="left" w:leader="none"/>
        </w:tabs>
        <w:spacing w:line="249" w:lineRule="auto" w:before="5" w:after="0"/>
        <w:ind w:left="801" w:right="1077" w:hanging="243"/>
        <w:jc w:val="both"/>
        <w:rPr>
          <w:sz w:val="20"/>
        </w:rPr>
      </w:pPr>
      <w:r>
        <w:rPr>
          <w:color w:val="231F20"/>
          <w:sz w:val="20"/>
        </w:rPr>
        <w:t>An increase in extracellular fluid  osmolarity  (which in practical terms means an increase in plasma sodium concentration) causes the special nerve cells called </w:t>
      </w:r>
      <w:r>
        <w:rPr>
          <w:i/>
          <w:color w:val="231F20"/>
          <w:sz w:val="20"/>
        </w:rPr>
        <w:t>osmoreceptor cells, </w:t>
      </w:r>
      <w:r>
        <w:rPr>
          <w:color w:val="231F20"/>
          <w:sz w:val="20"/>
        </w:rPr>
        <w:t>located in</w:t>
      </w:r>
      <w:r>
        <w:rPr>
          <w:color w:val="231F20"/>
          <w:spacing w:val="8"/>
          <w:sz w:val="20"/>
        </w:rPr>
        <w:t> </w:t>
      </w:r>
      <w:r>
        <w:rPr>
          <w:color w:val="231F20"/>
          <w:sz w:val="20"/>
        </w:rPr>
        <w:t>the</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pPr>
    </w:p>
    <w:p>
      <w:pPr>
        <w:pStyle w:val="BodyText"/>
        <w:spacing w:before="4"/>
        <w:rPr>
          <w:sz w:val="10"/>
        </w:rPr>
      </w:pPr>
    </w:p>
    <w:p>
      <w:pPr>
        <w:pStyle w:val="BodyText"/>
        <w:tabs>
          <w:tab w:pos="2015" w:val="left" w:leader="none"/>
          <w:tab w:pos="6220" w:val="left" w:leader="none"/>
        </w:tabs>
      </w:pPr>
      <w:r>
        <w:rPr>
          <w:position w:val="280"/>
        </w:rPr>
        <w:drawing>
          <wp:inline distT="0" distB="0" distL="0" distR="0">
            <wp:extent cx="457200" cy="304800"/>
            <wp:effectExtent l="0" t="0" r="0" b="0"/>
            <wp:docPr id="11" name="image675.png"/>
            <wp:cNvGraphicFramePr>
              <a:graphicFrameLocks noChangeAspect="1"/>
            </wp:cNvGraphicFramePr>
            <a:graphic>
              <a:graphicData uri="http://schemas.openxmlformats.org/drawingml/2006/picture">
                <pic:pic>
                  <pic:nvPicPr>
                    <pic:cNvPr id="12" name="image675.png"/>
                    <pic:cNvPicPr/>
                  </pic:nvPicPr>
                  <pic:blipFill>
                    <a:blip r:embed="rId826" cstate="print"/>
                    <a:stretch>
                      <a:fillRect/>
                    </a:stretch>
                  </pic:blipFill>
                  <pic:spPr>
                    <a:xfrm>
                      <a:off x="0" y="0"/>
                      <a:ext cx="457200" cy="304800"/>
                    </a:xfrm>
                    <a:prstGeom prst="rect">
                      <a:avLst/>
                    </a:prstGeom>
                  </pic:spPr>
                </pic:pic>
              </a:graphicData>
            </a:graphic>
          </wp:inline>
        </w:drawing>
      </w:r>
      <w:r>
        <w:rPr>
          <w:position w:val="280"/>
        </w:rPr>
      </w:r>
      <w:r>
        <w:rPr>
          <w:position w:val="280"/>
        </w:rPr>
        <w:tab/>
      </w:r>
      <w:r>
        <w:rPr/>
        <w:pict>
          <v:group style="width:141.5pt;height:302.650pt;mso-position-horizontal-relative:char;mso-position-vertical-relative:line" coordorigin="0,0" coordsize="2830,6053">
            <v:shape style="position:absolute;left:0;top:10;width:2747;height:6042" type="#_x0000_t75" stroked="false">
              <v:imagedata r:id="rId827" o:title=""/>
            </v:shape>
            <v:shape style="position:absolute;left:128;top:0;width:108;height:209" type="#_x0000_t202" filled="false" stroked="false">
              <v:textbox inset="0,0,0,0">
                <w:txbxContent>
                  <w:p>
                    <w:pPr>
                      <w:spacing w:before="0"/>
                      <w:ind w:left="0" w:right="0" w:firstLine="0"/>
                      <w:jc w:val="left"/>
                      <w:rPr>
                        <w:rFonts w:ascii="Symbol" w:hAnsi="Symbol"/>
                        <w:sz w:val="16"/>
                      </w:rPr>
                    </w:pPr>
                    <w:r>
                      <w:rPr>
                        <w:rFonts w:ascii="Symbol" w:hAnsi="Symbol"/>
                        <w:color w:val="231F20"/>
                        <w:w w:val="100"/>
                        <w:sz w:val="16"/>
                      </w:rPr>
                      <w:t></w:t>
                    </w:r>
                  </w:p>
                </w:txbxContent>
              </v:textbox>
              <w10:wrap type="none"/>
            </v:shape>
            <v:shape style="position:absolute;left:1716;top:1494;width:111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Osmoreceptors</w:t>
                    </w:r>
                  </w:p>
                </w:txbxContent>
              </v:textbox>
              <w10:wrap type="none"/>
            </v:shape>
            <v:shape style="position:absolute;left:1180;top:5712;width:985;height:226" type="#_x0000_t202" filled="false" stroked="false">
              <v:textbox inset="0,0,0,0">
                <w:txbxContent>
                  <w:p>
                    <w:pPr>
                      <w:spacing w:line="237" w:lineRule="auto" w:before="0"/>
                      <w:ind w:left="0"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excreted</w:t>
                    </w:r>
                  </w:p>
                </w:txbxContent>
              </v:textbox>
              <w10:wrap type="none"/>
            </v:shape>
            <v:shape style="position:absolute;left:532;top:4833;width:2214;height:380" type="#_x0000_t202" filled="false" stroked="false">
              <v:textbox inset="0,0,0,0">
                <w:txbxContent>
                  <w:p>
                    <w:pPr>
                      <w:spacing w:before="38"/>
                      <w:ind w:left="510" w:right="0" w:firstLine="0"/>
                      <w:jc w:val="left"/>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reabsorption</w:t>
                    </w:r>
                  </w:p>
                </w:txbxContent>
              </v:textbox>
              <w10:wrap type="none"/>
            </v:shape>
            <v:shape style="position:absolute;left:532;top:3698;width:2214;height:680" type="#_x0000_t202" filled="false" stroked="false">
              <v:textbox inset="0,0,0,0">
                <w:txbxContent>
                  <w:p>
                    <w:pPr>
                      <w:spacing w:line="211" w:lineRule="auto" w:before="5"/>
                      <w:ind w:left="439" w:right="390" w:firstLine="0"/>
                      <w:jc w:val="center"/>
                      <w:rPr>
                        <w:rFonts w:ascii="Helvetica"/>
                        <w:sz w:val="16"/>
                      </w:rPr>
                    </w:pPr>
                    <w:r>
                      <w:rPr>
                        <w:rFonts w:ascii="Helvetica"/>
                        <w:color w:val="231F20"/>
                        <w:sz w:val="16"/>
                      </w:rPr>
                      <w:t>H</w:t>
                    </w:r>
                    <w:r>
                      <w:rPr>
                        <w:rFonts w:ascii="Helvetica"/>
                        <w:color w:val="231F20"/>
                        <w:position w:val="-4"/>
                        <w:sz w:val="12"/>
                      </w:rPr>
                      <w:t>2</w:t>
                    </w:r>
                    <w:r>
                      <w:rPr>
                        <w:rFonts w:ascii="Helvetica"/>
                        <w:color w:val="231F20"/>
                        <w:sz w:val="16"/>
                      </w:rPr>
                      <w:t>O permeability in distal tubules, collecting ducts</w:t>
                    </w:r>
                  </w:p>
                </w:txbxContent>
              </v:textbox>
              <w10:wrap type="none"/>
            </v:shape>
            <v:shape style="position:absolute;left:532;top:2846;width:2214;height:380" type="#_x0000_t202" filled="false" stroked="false">
              <v:textbox inset="0,0,0,0">
                <w:txbxContent>
                  <w:p>
                    <w:pPr>
                      <w:spacing w:before="52"/>
                      <w:ind w:left="672" w:right="0" w:firstLine="0"/>
                      <w:jc w:val="left"/>
                      <w:rPr>
                        <w:rFonts w:ascii="Helvetica"/>
                        <w:sz w:val="16"/>
                      </w:rPr>
                    </w:pPr>
                    <w:r>
                      <w:rPr>
                        <w:rFonts w:ascii="Helvetica"/>
                        <w:color w:val="231F20"/>
                        <w:sz w:val="16"/>
                      </w:rPr>
                      <w:t>Plasma ADH</w:t>
                    </w:r>
                  </w:p>
                </w:txbxContent>
              </v:textbox>
              <w10:wrap type="none"/>
            </v:shape>
            <v:shape style="position:absolute;left:532;top:1869;width:2214;height:500" type="#_x0000_t202" filled="false" stroked="false">
              <v:textbox inset="0,0,0,0">
                <w:txbxContent>
                  <w:p>
                    <w:pPr>
                      <w:spacing w:line="235" w:lineRule="auto" w:before="15"/>
                      <w:ind w:left="463" w:right="397" w:firstLine="151"/>
                      <w:jc w:val="left"/>
                      <w:rPr>
                        <w:rFonts w:ascii="Helvetica"/>
                        <w:sz w:val="16"/>
                      </w:rPr>
                    </w:pPr>
                    <w:r>
                      <w:rPr>
                        <w:rFonts w:ascii="Helvetica"/>
                        <w:color w:val="231F20"/>
                        <w:sz w:val="16"/>
                      </w:rPr>
                      <w:t>ADH secretion (posterior pituitary)</w:t>
                    </w:r>
                  </w:p>
                </w:txbxContent>
              </v:textbox>
              <w10:wrap type="none"/>
            </v:shape>
            <v:shape style="position:absolute;left:532;top:1014;width:2214;height:380" type="#_x0000_t202" filled="false" stroked="false">
              <v:textbox inset="0,0,0,0">
                <w:txbxContent>
                  <w:p>
                    <w:pPr>
                      <w:spacing w:before="52"/>
                      <w:ind w:left="303" w:right="0" w:firstLine="0"/>
                      <w:jc w:val="left"/>
                      <w:rPr>
                        <w:rFonts w:ascii="Helvetica"/>
                        <w:sz w:val="16"/>
                      </w:rPr>
                    </w:pPr>
                    <w:r>
                      <w:rPr>
                        <w:rFonts w:ascii="Helvetica"/>
                        <w:color w:val="231F20"/>
                        <w:sz w:val="16"/>
                      </w:rPr>
                      <w:t>Extracellular osmolarity</w:t>
                    </w:r>
                  </w:p>
                </w:txbxContent>
              </v:textbox>
              <w10:wrap type="none"/>
            </v:shape>
            <v:shape style="position:absolute;left:532;top:177;width:2214;height:380" type="#_x0000_t202" filled="false" stroked="false">
              <v:textbox inset="0,0,0,0">
                <w:txbxContent>
                  <w:p>
                    <w:pPr>
                      <w:spacing w:before="52"/>
                      <w:ind w:left="625" w:right="0" w:firstLine="0"/>
                      <w:jc w:val="left"/>
                      <w:rPr>
                        <w:rFonts w:ascii="Helvetica"/>
                        <w:sz w:val="16"/>
                      </w:rPr>
                    </w:pPr>
                    <w:r>
                      <w:rPr>
                        <w:rFonts w:ascii="Helvetica"/>
                        <w:color w:val="231F20"/>
                        <w:sz w:val="16"/>
                      </w:rPr>
                      <w:t>Water deficit</w:t>
                    </w:r>
                  </w:p>
                </w:txbxContent>
              </v:textbox>
              <w10:wrap type="none"/>
            </v:shape>
          </v:group>
        </w:pict>
      </w:r>
      <w:r>
        <w:rPr/>
      </w:r>
      <w:r>
        <w:rPr/>
        <w:tab/>
      </w:r>
      <w:r>
        <w:rPr>
          <w:position w:val="159"/>
        </w:rPr>
        <w:pict>
          <v:group style="width:225pt;height:222.4pt;mso-position-horizontal-relative:char;mso-position-vertical-relative:line" coordorigin="0,0" coordsize="4500,4448">
            <v:shape style="position:absolute;left:0;top:0;width:4183;height:4448" type="#_x0000_t75" stroked="false">
              <v:imagedata r:id="rId828" o:title=""/>
            </v:shape>
            <v:shape style="position:absolute;left:1507;top:1089;width:59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Pituitary</w:t>
                    </w:r>
                  </w:p>
                </w:txbxContent>
              </v:textbox>
              <w10:wrap type="none"/>
            </v:shape>
            <v:shape style="position:absolute;left:603;top:1692;width:111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Osmoreceptors</w:t>
                    </w:r>
                  </w:p>
                </w:txbxContent>
              </v:textbox>
              <w10:wrap type="none"/>
            </v:shape>
            <v:shape style="position:absolute;left:129;top:2448;width:785;height:365" type="#_x0000_t202" filled="false" stroked="false">
              <v:textbox inset="0,0,0,0">
                <w:txbxContent>
                  <w:p>
                    <w:pPr>
                      <w:spacing w:line="181" w:lineRule="exact" w:before="0"/>
                      <w:ind w:left="0" w:right="18" w:firstLine="0"/>
                      <w:jc w:val="right"/>
                      <w:rPr>
                        <w:rFonts w:ascii="Helvetica"/>
                        <w:sz w:val="16"/>
                      </w:rPr>
                    </w:pPr>
                    <w:r>
                      <w:rPr>
                        <w:rFonts w:ascii="Helvetica"/>
                        <w:color w:val="231F20"/>
                        <w:w w:val="95"/>
                        <w:sz w:val="16"/>
                      </w:rPr>
                      <w:t>Supraoptic</w:t>
                    </w:r>
                  </w:p>
                  <w:p>
                    <w:pPr>
                      <w:spacing w:line="182" w:lineRule="exact" w:before="0"/>
                      <w:ind w:left="0" w:right="18" w:firstLine="0"/>
                      <w:jc w:val="right"/>
                      <w:rPr>
                        <w:rFonts w:ascii="Helvetica"/>
                        <w:sz w:val="16"/>
                      </w:rPr>
                    </w:pPr>
                    <w:r>
                      <w:rPr>
                        <w:rFonts w:ascii="Helvetica"/>
                        <w:color w:val="231F20"/>
                        <w:w w:val="95"/>
                        <w:sz w:val="16"/>
                      </w:rPr>
                      <w:t>neuron</w:t>
                    </w:r>
                  </w:p>
                </w:txbxContent>
              </v:textbox>
              <w10:wrap type="none"/>
            </v:shape>
            <v:shape style="position:absolute;left:3261;top:2064;width:1239;height:54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Baroreceptors Cardiopulmonary receptors</w:t>
                    </w:r>
                  </w:p>
                </w:txbxContent>
              </v:textbox>
              <w10:wrap type="none"/>
            </v:shape>
            <v:shape style="position:absolute;left:455;top:3154;width:581;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Anterior lobe</w:t>
                    </w:r>
                  </w:p>
                </w:txbxContent>
              </v:textbox>
              <w10:wrap type="none"/>
            </v:shape>
            <v:shape style="position:absolute;left:3261;top:2909;width:1096;height:365" type="#_x0000_t202" filled="false" stroked="false">
              <v:textbox inset="0,0,0,0">
                <w:txbxContent>
                  <w:p>
                    <w:pPr>
                      <w:spacing w:line="235" w:lineRule="auto" w:before="2"/>
                      <w:ind w:left="0" w:right="-1" w:firstLine="0"/>
                      <w:jc w:val="left"/>
                      <w:rPr>
                        <w:rFonts w:ascii="Helvetica"/>
                        <w:sz w:val="16"/>
                      </w:rPr>
                    </w:pPr>
                    <w:r>
                      <w:rPr>
                        <w:rFonts w:ascii="Helvetica"/>
                        <w:color w:val="231F20"/>
                        <w:sz w:val="16"/>
                      </w:rPr>
                      <w:t>Paraventricular</w:t>
                    </w:r>
                    <w:r>
                      <w:rPr>
                        <w:rFonts w:ascii="Helvetica"/>
                        <w:color w:val="231F20"/>
                        <w:w w:val="99"/>
                        <w:sz w:val="16"/>
                      </w:rPr>
                      <w:t> </w:t>
                    </w:r>
                    <w:r>
                      <w:rPr>
                        <w:rFonts w:ascii="Helvetica"/>
                        <w:color w:val="231F20"/>
                        <w:sz w:val="16"/>
                      </w:rPr>
                      <w:t>neuron</w:t>
                    </w:r>
                  </w:p>
                </w:txbxContent>
              </v:textbox>
              <w10:wrap type="none"/>
            </v:shape>
            <v:shape style="position:absolute;left:2224;top:3655;width:661;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Posterior lobe</w:t>
                    </w:r>
                  </w:p>
                </w:txbxContent>
              </v:textbox>
              <w10:wrap type="none"/>
            </v:shape>
          </v:group>
        </w:pict>
      </w:r>
      <w:r>
        <w:rPr>
          <w:position w:val="159"/>
        </w:rPr>
      </w:r>
    </w:p>
    <w:p>
      <w:pPr>
        <w:spacing w:after="0"/>
        <w:sectPr>
          <w:headerReference w:type="even" r:id="rId823"/>
          <w:footerReference w:type="even" r:id="rId824"/>
          <w:footerReference w:type="default" r:id="rId825"/>
          <w:pgSz w:w="12240" w:h="15660"/>
          <w:pgMar w:header="0" w:footer="567" w:top="720" w:bottom="760" w:left="0" w:right="0"/>
          <w:pgNumType w:start="382"/>
        </w:sectPr>
      </w:pPr>
    </w:p>
    <w:p>
      <w:pPr>
        <w:spacing w:line="259" w:lineRule="auto" w:before="74"/>
        <w:ind w:left="1080" w:right="0" w:firstLine="0"/>
        <w:jc w:val="both"/>
        <w:rPr>
          <w:rFonts w:ascii="Arial"/>
          <w:sz w:val="16"/>
        </w:rPr>
      </w:pPr>
      <w:bookmarkStart w:name="_bookmark75" w:id="76"/>
      <w:bookmarkEnd w:id="76"/>
      <w:r>
        <w:rPr/>
      </w:r>
      <w:r>
        <w:rPr>
          <w:rFonts w:ascii="Trebuchet MS"/>
          <w:b/>
          <w:color w:val="231F20"/>
          <w:sz w:val="16"/>
        </w:rPr>
        <w:t>Figure 29-9. </w:t>
      </w:r>
      <w:r>
        <w:rPr>
          <w:rFonts w:ascii="Arial"/>
          <w:color w:val="231F20"/>
          <w:sz w:val="16"/>
        </w:rPr>
        <w:t>Osmoreceptor-antidiuretic hormone </w:t>
      </w:r>
      <w:r>
        <w:rPr>
          <w:rFonts w:ascii="Lucida Sans"/>
          <w:i/>
          <w:color w:val="231F20"/>
          <w:sz w:val="16"/>
        </w:rPr>
        <w:t>(ADH) </w:t>
      </w:r>
      <w:r>
        <w:rPr>
          <w:rFonts w:ascii="Arial"/>
          <w:color w:val="231F20"/>
          <w:spacing w:val="-3"/>
          <w:sz w:val="16"/>
        </w:rPr>
        <w:t>feedback </w:t>
      </w:r>
      <w:r>
        <w:rPr>
          <w:rFonts w:ascii="Arial"/>
          <w:color w:val="231F20"/>
          <w:sz w:val="16"/>
        </w:rPr>
        <w:t>mechanism for regulating extracellular fluid osmolarity in </w:t>
      </w:r>
      <w:r>
        <w:rPr>
          <w:rFonts w:ascii="Arial"/>
          <w:color w:val="231F20"/>
          <w:spacing w:val="-3"/>
          <w:sz w:val="16"/>
        </w:rPr>
        <w:t>response </w:t>
      </w:r>
      <w:r>
        <w:rPr>
          <w:rFonts w:ascii="Arial"/>
          <w:color w:val="231F20"/>
          <w:sz w:val="16"/>
        </w:rPr>
        <w:t>to a water deficit.</w:t>
      </w:r>
    </w:p>
    <w:p>
      <w:pPr>
        <w:pStyle w:val="BodyText"/>
        <w:rPr>
          <w:rFonts w:ascii="Arial"/>
          <w:sz w:val="18"/>
        </w:rPr>
      </w:pPr>
    </w:p>
    <w:p>
      <w:pPr>
        <w:pStyle w:val="BodyText"/>
        <w:spacing w:before="6"/>
        <w:rPr>
          <w:rFonts w:ascii="Arial"/>
          <w:sz w:val="19"/>
        </w:rPr>
      </w:pPr>
    </w:p>
    <w:p>
      <w:pPr>
        <w:spacing w:line="249" w:lineRule="auto" w:before="0"/>
        <w:ind w:left="1562" w:right="0" w:firstLine="0"/>
        <w:jc w:val="both"/>
        <w:rPr>
          <w:sz w:val="20"/>
        </w:rPr>
      </w:pPr>
      <w:r>
        <w:rPr>
          <w:i/>
          <w:color w:val="231F20"/>
          <w:w w:val="105"/>
          <w:sz w:val="20"/>
        </w:rPr>
        <w:t>anterior hypothalamus </w:t>
      </w:r>
      <w:r>
        <w:rPr>
          <w:color w:val="231F20"/>
          <w:w w:val="105"/>
          <w:sz w:val="20"/>
        </w:rPr>
        <w:t>near the supraoptic nuclei, to shrink.</w:t>
      </w:r>
    </w:p>
    <w:p>
      <w:pPr>
        <w:pStyle w:val="ListParagraph"/>
        <w:numPr>
          <w:ilvl w:val="0"/>
          <w:numId w:val="22"/>
        </w:numPr>
        <w:tabs>
          <w:tab w:pos="1563" w:val="left" w:leader="none"/>
        </w:tabs>
        <w:spacing w:line="249" w:lineRule="auto" w:before="1" w:after="0"/>
        <w:ind w:left="1562" w:right="0" w:hanging="243"/>
        <w:jc w:val="both"/>
        <w:rPr>
          <w:sz w:val="20"/>
        </w:rPr>
      </w:pPr>
      <w:r>
        <w:rPr>
          <w:color w:val="231F20"/>
          <w:w w:val="105"/>
          <w:sz w:val="20"/>
        </w:rPr>
        <w:t>Shrinkage</w:t>
      </w:r>
      <w:r>
        <w:rPr>
          <w:color w:val="231F20"/>
          <w:spacing w:val="-18"/>
          <w:w w:val="105"/>
          <w:sz w:val="20"/>
        </w:rPr>
        <w:t> </w:t>
      </w:r>
      <w:r>
        <w:rPr>
          <w:color w:val="231F20"/>
          <w:w w:val="105"/>
          <w:sz w:val="20"/>
        </w:rPr>
        <w:t>of</w:t>
      </w:r>
      <w:r>
        <w:rPr>
          <w:color w:val="231F20"/>
          <w:spacing w:val="-17"/>
          <w:w w:val="105"/>
          <w:sz w:val="20"/>
        </w:rPr>
        <w:t> </w:t>
      </w:r>
      <w:r>
        <w:rPr>
          <w:color w:val="231F20"/>
          <w:w w:val="105"/>
          <w:sz w:val="20"/>
        </w:rPr>
        <w:t>the</w:t>
      </w:r>
      <w:r>
        <w:rPr>
          <w:color w:val="231F20"/>
          <w:spacing w:val="-17"/>
          <w:w w:val="105"/>
          <w:sz w:val="20"/>
        </w:rPr>
        <w:t> </w:t>
      </w:r>
      <w:r>
        <w:rPr>
          <w:color w:val="231F20"/>
          <w:w w:val="105"/>
          <w:sz w:val="20"/>
        </w:rPr>
        <w:t>osmoreceptor</w:t>
      </w:r>
      <w:r>
        <w:rPr>
          <w:color w:val="231F20"/>
          <w:spacing w:val="-17"/>
          <w:w w:val="105"/>
          <w:sz w:val="20"/>
        </w:rPr>
        <w:t> </w:t>
      </w:r>
      <w:r>
        <w:rPr>
          <w:color w:val="231F20"/>
          <w:w w:val="105"/>
          <w:sz w:val="20"/>
        </w:rPr>
        <w:t>cells</w:t>
      </w:r>
      <w:r>
        <w:rPr>
          <w:color w:val="231F20"/>
          <w:spacing w:val="-17"/>
          <w:w w:val="105"/>
          <w:sz w:val="20"/>
        </w:rPr>
        <w:t> </w:t>
      </w:r>
      <w:r>
        <w:rPr>
          <w:color w:val="231F20"/>
          <w:w w:val="105"/>
          <w:sz w:val="20"/>
        </w:rPr>
        <w:t>causes</w:t>
      </w:r>
      <w:r>
        <w:rPr>
          <w:color w:val="231F20"/>
          <w:spacing w:val="-17"/>
          <w:w w:val="105"/>
          <w:sz w:val="20"/>
        </w:rPr>
        <w:t> </w:t>
      </w:r>
      <w:r>
        <w:rPr>
          <w:color w:val="231F20"/>
          <w:w w:val="105"/>
          <w:sz w:val="20"/>
        </w:rPr>
        <w:t>them</w:t>
      </w:r>
      <w:r>
        <w:rPr>
          <w:color w:val="231F20"/>
          <w:spacing w:val="-18"/>
          <w:w w:val="105"/>
          <w:sz w:val="20"/>
        </w:rPr>
        <w:t> </w:t>
      </w:r>
      <w:r>
        <w:rPr>
          <w:color w:val="231F20"/>
          <w:w w:val="105"/>
          <w:sz w:val="20"/>
        </w:rPr>
        <w:t>to fire,</w:t>
      </w:r>
      <w:r>
        <w:rPr>
          <w:color w:val="231F20"/>
          <w:spacing w:val="-10"/>
          <w:w w:val="105"/>
          <w:sz w:val="20"/>
        </w:rPr>
        <w:t> </w:t>
      </w:r>
      <w:r>
        <w:rPr>
          <w:color w:val="231F20"/>
          <w:w w:val="105"/>
          <w:sz w:val="20"/>
        </w:rPr>
        <w:t>sending</w:t>
      </w:r>
      <w:r>
        <w:rPr>
          <w:color w:val="231F20"/>
          <w:spacing w:val="-9"/>
          <w:w w:val="105"/>
          <w:sz w:val="20"/>
        </w:rPr>
        <w:t> </w:t>
      </w:r>
      <w:r>
        <w:rPr>
          <w:color w:val="231F20"/>
          <w:w w:val="105"/>
          <w:sz w:val="20"/>
        </w:rPr>
        <w:t>nerve</w:t>
      </w:r>
      <w:r>
        <w:rPr>
          <w:color w:val="231F20"/>
          <w:spacing w:val="-9"/>
          <w:w w:val="105"/>
          <w:sz w:val="20"/>
        </w:rPr>
        <w:t> </w:t>
      </w:r>
      <w:r>
        <w:rPr>
          <w:color w:val="231F20"/>
          <w:w w:val="105"/>
          <w:sz w:val="20"/>
        </w:rPr>
        <w:t>signals</w:t>
      </w:r>
      <w:r>
        <w:rPr>
          <w:color w:val="231F20"/>
          <w:spacing w:val="-9"/>
          <w:w w:val="105"/>
          <w:sz w:val="20"/>
        </w:rPr>
        <w:t> </w:t>
      </w:r>
      <w:r>
        <w:rPr>
          <w:color w:val="231F20"/>
          <w:w w:val="105"/>
          <w:sz w:val="20"/>
        </w:rPr>
        <w:t>to</w:t>
      </w:r>
      <w:r>
        <w:rPr>
          <w:color w:val="231F20"/>
          <w:spacing w:val="-9"/>
          <w:w w:val="105"/>
          <w:sz w:val="20"/>
        </w:rPr>
        <w:t> </w:t>
      </w:r>
      <w:r>
        <w:rPr>
          <w:color w:val="231F20"/>
          <w:w w:val="105"/>
          <w:sz w:val="20"/>
        </w:rPr>
        <w:t>additional</w:t>
      </w:r>
      <w:r>
        <w:rPr>
          <w:color w:val="231F20"/>
          <w:spacing w:val="-10"/>
          <w:w w:val="105"/>
          <w:sz w:val="20"/>
        </w:rPr>
        <w:t> </w:t>
      </w:r>
      <w:r>
        <w:rPr>
          <w:color w:val="231F20"/>
          <w:w w:val="105"/>
          <w:sz w:val="20"/>
        </w:rPr>
        <w:t>nerve</w:t>
      </w:r>
      <w:r>
        <w:rPr>
          <w:color w:val="231F20"/>
          <w:spacing w:val="-9"/>
          <w:w w:val="105"/>
          <w:sz w:val="20"/>
        </w:rPr>
        <w:t> </w:t>
      </w:r>
      <w:r>
        <w:rPr>
          <w:color w:val="231F20"/>
          <w:spacing w:val="-4"/>
          <w:w w:val="105"/>
          <w:sz w:val="20"/>
        </w:rPr>
        <w:t>cells </w:t>
      </w:r>
      <w:r>
        <w:rPr>
          <w:color w:val="231F20"/>
          <w:w w:val="105"/>
          <w:sz w:val="20"/>
        </w:rPr>
        <w:t>in the supraoptic nuclei, which then relay </w:t>
      </w:r>
      <w:r>
        <w:rPr>
          <w:color w:val="231F20"/>
          <w:spacing w:val="-3"/>
          <w:w w:val="105"/>
          <w:sz w:val="20"/>
        </w:rPr>
        <w:t>these </w:t>
      </w:r>
      <w:r>
        <w:rPr>
          <w:color w:val="231F20"/>
          <w:w w:val="105"/>
          <w:sz w:val="20"/>
        </w:rPr>
        <w:t>signals down the stalk of the pituitary gland to</w:t>
      </w:r>
      <w:r>
        <w:rPr>
          <w:color w:val="231F20"/>
          <w:spacing w:val="-16"/>
          <w:w w:val="105"/>
          <w:sz w:val="20"/>
        </w:rPr>
        <w:t> </w:t>
      </w:r>
      <w:r>
        <w:rPr>
          <w:color w:val="231F20"/>
          <w:w w:val="105"/>
          <w:sz w:val="20"/>
        </w:rPr>
        <w:t>the posterior</w:t>
      </w:r>
      <w:r>
        <w:rPr>
          <w:color w:val="231F20"/>
          <w:spacing w:val="3"/>
          <w:w w:val="105"/>
          <w:sz w:val="20"/>
        </w:rPr>
        <w:t> </w:t>
      </w:r>
      <w:r>
        <w:rPr>
          <w:color w:val="231F20"/>
          <w:w w:val="105"/>
          <w:sz w:val="20"/>
        </w:rPr>
        <w:t>pituitary.</w:t>
      </w:r>
    </w:p>
    <w:p>
      <w:pPr>
        <w:pStyle w:val="ListParagraph"/>
        <w:numPr>
          <w:ilvl w:val="0"/>
          <w:numId w:val="22"/>
        </w:numPr>
        <w:tabs>
          <w:tab w:pos="1563" w:val="left" w:leader="none"/>
        </w:tabs>
        <w:spacing w:line="249" w:lineRule="auto" w:before="4" w:after="0"/>
        <w:ind w:left="1562" w:right="0" w:hanging="243"/>
        <w:jc w:val="both"/>
        <w:rPr>
          <w:sz w:val="20"/>
        </w:rPr>
      </w:pPr>
      <w:r>
        <w:rPr>
          <w:color w:val="231F20"/>
          <w:w w:val="105"/>
          <w:sz w:val="20"/>
        </w:rPr>
        <w:t>These action potentials conducted to the posterior pituitary stimulate the release of ADH, which </w:t>
      </w:r>
      <w:r>
        <w:rPr>
          <w:color w:val="231F20"/>
          <w:spacing w:val="-8"/>
          <w:w w:val="105"/>
          <w:sz w:val="20"/>
        </w:rPr>
        <w:t>is </w:t>
      </w:r>
      <w:r>
        <w:rPr>
          <w:color w:val="231F20"/>
          <w:w w:val="105"/>
          <w:sz w:val="20"/>
        </w:rPr>
        <w:t>stored in secretory granules (or vesicles) in </w:t>
      </w:r>
      <w:r>
        <w:rPr>
          <w:color w:val="231F20"/>
          <w:spacing w:val="-5"/>
          <w:w w:val="105"/>
          <w:sz w:val="20"/>
        </w:rPr>
        <w:t>the </w:t>
      </w:r>
      <w:r>
        <w:rPr>
          <w:color w:val="231F20"/>
          <w:w w:val="105"/>
          <w:sz w:val="20"/>
        </w:rPr>
        <w:t>nerve</w:t>
      </w:r>
      <w:r>
        <w:rPr>
          <w:color w:val="231F20"/>
          <w:spacing w:val="3"/>
          <w:w w:val="105"/>
          <w:sz w:val="20"/>
        </w:rPr>
        <w:t> </w:t>
      </w:r>
      <w:r>
        <w:rPr>
          <w:color w:val="231F20"/>
          <w:w w:val="105"/>
          <w:sz w:val="20"/>
        </w:rPr>
        <w:t>endings.</w:t>
      </w:r>
    </w:p>
    <w:p>
      <w:pPr>
        <w:pStyle w:val="ListParagraph"/>
        <w:numPr>
          <w:ilvl w:val="0"/>
          <w:numId w:val="22"/>
        </w:numPr>
        <w:tabs>
          <w:tab w:pos="1563" w:val="left" w:leader="none"/>
        </w:tabs>
        <w:spacing w:line="249" w:lineRule="auto" w:before="4" w:after="0"/>
        <w:ind w:left="1562" w:right="0" w:hanging="243"/>
        <w:jc w:val="both"/>
        <w:rPr>
          <w:sz w:val="20"/>
        </w:rPr>
      </w:pPr>
      <w:r>
        <w:rPr>
          <w:color w:val="231F20"/>
          <w:w w:val="105"/>
          <w:sz w:val="20"/>
        </w:rPr>
        <w:t>ADH enters the blood stream and is transported</w:t>
      </w:r>
      <w:r>
        <w:rPr>
          <w:color w:val="231F20"/>
          <w:spacing w:val="-36"/>
          <w:w w:val="105"/>
          <w:sz w:val="20"/>
        </w:rPr>
        <w:t> </w:t>
      </w:r>
      <w:r>
        <w:rPr>
          <w:color w:val="231F20"/>
          <w:w w:val="105"/>
          <w:sz w:val="20"/>
        </w:rPr>
        <w:t>to the</w:t>
      </w:r>
      <w:r>
        <w:rPr>
          <w:color w:val="231F20"/>
          <w:spacing w:val="-26"/>
          <w:w w:val="105"/>
          <w:sz w:val="20"/>
        </w:rPr>
        <w:t> </w:t>
      </w:r>
      <w:r>
        <w:rPr>
          <w:color w:val="231F20"/>
          <w:w w:val="105"/>
          <w:sz w:val="20"/>
        </w:rPr>
        <w:t>kidneys,</w:t>
      </w:r>
      <w:r>
        <w:rPr>
          <w:color w:val="231F20"/>
          <w:spacing w:val="-25"/>
          <w:w w:val="105"/>
          <w:sz w:val="20"/>
        </w:rPr>
        <w:t> </w:t>
      </w:r>
      <w:r>
        <w:rPr>
          <w:color w:val="231F20"/>
          <w:w w:val="105"/>
          <w:sz w:val="20"/>
        </w:rPr>
        <w:t>where</w:t>
      </w:r>
      <w:r>
        <w:rPr>
          <w:color w:val="231F20"/>
          <w:spacing w:val="-25"/>
          <w:w w:val="105"/>
          <w:sz w:val="20"/>
        </w:rPr>
        <w:t> </w:t>
      </w:r>
      <w:r>
        <w:rPr>
          <w:color w:val="231F20"/>
          <w:w w:val="105"/>
          <w:sz w:val="20"/>
        </w:rPr>
        <w:t>it</w:t>
      </w:r>
      <w:r>
        <w:rPr>
          <w:color w:val="231F20"/>
          <w:spacing w:val="-26"/>
          <w:w w:val="105"/>
          <w:sz w:val="20"/>
        </w:rPr>
        <w:t> </w:t>
      </w:r>
      <w:r>
        <w:rPr>
          <w:color w:val="231F20"/>
          <w:w w:val="105"/>
          <w:sz w:val="20"/>
        </w:rPr>
        <w:t>increases</w:t>
      </w:r>
      <w:r>
        <w:rPr>
          <w:color w:val="231F20"/>
          <w:spacing w:val="-25"/>
          <w:w w:val="105"/>
          <w:sz w:val="20"/>
        </w:rPr>
        <w:t> </w:t>
      </w:r>
      <w:r>
        <w:rPr>
          <w:color w:val="231F20"/>
          <w:w w:val="105"/>
          <w:sz w:val="20"/>
        </w:rPr>
        <w:t>the</w:t>
      </w:r>
      <w:r>
        <w:rPr>
          <w:color w:val="231F20"/>
          <w:spacing w:val="-25"/>
          <w:w w:val="105"/>
          <w:sz w:val="20"/>
        </w:rPr>
        <w:t> </w:t>
      </w:r>
      <w:r>
        <w:rPr>
          <w:color w:val="231F20"/>
          <w:w w:val="105"/>
          <w:sz w:val="20"/>
        </w:rPr>
        <w:t>water</w:t>
      </w:r>
      <w:r>
        <w:rPr>
          <w:color w:val="231F20"/>
          <w:spacing w:val="-25"/>
          <w:w w:val="105"/>
          <w:sz w:val="20"/>
        </w:rPr>
        <w:t> </w:t>
      </w:r>
      <w:r>
        <w:rPr>
          <w:color w:val="231F20"/>
          <w:w w:val="105"/>
          <w:sz w:val="20"/>
        </w:rPr>
        <w:t>permeabil­ ity of the late distal tubules, cortical </w:t>
      </w:r>
      <w:r>
        <w:rPr>
          <w:color w:val="231F20"/>
          <w:spacing w:val="-3"/>
          <w:w w:val="105"/>
          <w:sz w:val="20"/>
        </w:rPr>
        <w:t>collecting  </w:t>
      </w:r>
      <w:r>
        <w:rPr>
          <w:color w:val="231F20"/>
          <w:w w:val="105"/>
          <w:sz w:val="20"/>
        </w:rPr>
        <w:t>tubules, and medullary collecting ducts.</w:t>
      </w:r>
    </w:p>
    <w:p>
      <w:pPr>
        <w:pStyle w:val="ListParagraph"/>
        <w:numPr>
          <w:ilvl w:val="0"/>
          <w:numId w:val="22"/>
        </w:numPr>
        <w:tabs>
          <w:tab w:pos="1563" w:val="left" w:leader="none"/>
        </w:tabs>
        <w:spacing w:line="249" w:lineRule="auto" w:before="3" w:after="0"/>
        <w:ind w:left="1562" w:right="0" w:hanging="243"/>
        <w:jc w:val="both"/>
        <w:rPr>
          <w:sz w:val="20"/>
        </w:rPr>
      </w:pPr>
      <w:r>
        <w:rPr>
          <w:color w:val="231F20"/>
          <w:sz w:val="20"/>
        </w:rPr>
        <w:t>The increased water permeability in the distal nephron segments causes increased water </w:t>
      </w:r>
      <w:r>
        <w:rPr>
          <w:color w:val="231F20"/>
          <w:spacing w:val="-4"/>
          <w:sz w:val="20"/>
        </w:rPr>
        <w:t>reab­ </w:t>
      </w:r>
      <w:r>
        <w:rPr>
          <w:color w:val="231F20"/>
          <w:sz w:val="20"/>
        </w:rPr>
        <w:t>sorption and excretion of a small volume of concen­ trated</w:t>
      </w:r>
      <w:r>
        <w:rPr>
          <w:color w:val="231F20"/>
          <w:spacing w:val="6"/>
          <w:sz w:val="20"/>
        </w:rPr>
        <w:t> </w:t>
      </w:r>
      <w:r>
        <w:rPr>
          <w:color w:val="231F20"/>
          <w:sz w:val="20"/>
        </w:rPr>
        <w:t>urine.</w:t>
      </w:r>
    </w:p>
    <w:p>
      <w:pPr>
        <w:pStyle w:val="BodyText"/>
        <w:spacing w:line="249" w:lineRule="auto" w:before="3"/>
        <w:ind w:left="1080" w:firstLine="240"/>
        <w:jc w:val="both"/>
      </w:pPr>
      <w:r>
        <w:rPr>
          <w:color w:val="231F20"/>
          <w:w w:val="105"/>
        </w:rPr>
        <w:t>Thus,</w:t>
      </w:r>
      <w:r>
        <w:rPr>
          <w:color w:val="231F20"/>
          <w:spacing w:val="-22"/>
          <w:w w:val="105"/>
        </w:rPr>
        <w:t> </w:t>
      </w:r>
      <w:r>
        <w:rPr>
          <w:color w:val="231F20"/>
          <w:w w:val="105"/>
        </w:rPr>
        <w:t>water</w:t>
      </w:r>
      <w:r>
        <w:rPr>
          <w:color w:val="231F20"/>
          <w:spacing w:val="-21"/>
          <w:w w:val="105"/>
        </w:rPr>
        <w:t> </w:t>
      </w:r>
      <w:r>
        <w:rPr>
          <w:color w:val="231F20"/>
          <w:w w:val="105"/>
        </w:rPr>
        <w:t>is</w:t>
      </w:r>
      <w:r>
        <w:rPr>
          <w:color w:val="231F20"/>
          <w:spacing w:val="-22"/>
          <w:w w:val="105"/>
        </w:rPr>
        <w:t> </w:t>
      </w:r>
      <w:r>
        <w:rPr>
          <w:color w:val="231F20"/>
          <w:w w:val="105"/>
        </w:rPr>
        <w:t>conserved</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body</w:t>
      </w:r>
      <w:r>
        <w:rPr>
          <w:color w:val="231F20"/>
          <w:spacing w:val="-22"/>
          <w:w w:val="105"/>
        </w:rPr>
        <w:t> </w:t>
      </w:r>
      <w:r>
        <w:rPr>
          <w:color w:val="231F20"/>
          <w:w w:val="105"/>
        </w:rPr>
        <w:t>while</w:t>
      </w:r>
      <w:r>
        <w:rPr>
          <w:color w:val="231F20"/>
          <w:spacing w:val="-21"/>
          <w:w w:val="105"/>
        </w:rPr>
        <w:t> </w:t>
      </w:r>
      <w:r>
        <w:rPr>
          <w:color w:val="231F20"/>
          <w:w w:val="105"/>
        </w:rPr>
        <w:t>sodium</w:t>
      </w:r>
      <w:r>
        <w:rPr>
          <w:color w:val="231F20"/>
          <w:spacing w:val="-22"/>
          <w:w w:val="105"/>
        </w:rPr>
        <w:t> </w:t>
      </w:r>
      <w:r>
        <w:rPr>
          <w:color w:val="231F20"/>
          <w:spacing w:val="-4"/>
          <w:w w:val="105"/>
        </w:rPr>
        <w:t>and </w:t>
      </w:r>
      <w:r>
        <w:rPr>
          <w:color w:val="231F20"/>
          <w:w w:val="105"/>
        </w:rPr>
        <w:t>other solutes continue to be excreted in the urine. This causes dilution of the solutes in the extracellular </w:t>
      </w:r>
      <w:r>
        <w:rPr>
          <w:color w:val="231F20"/>
          <w:spacing w:val="-3"/>
          <w:w w:val="105"/>
        </w:rPr>
        <w:t>fluid, </w:t>
      </w:r>
      <w:r>
        <w:rPr>
          <w:color w:val="231F20"/>
          <w:w w:val="105"/>
        </w:rPr>
        <w:t>thereby correcting the initial excessively concentrated extracellular</w:t>
      </w:r>
      <w:r>
        <w:rPr>
          <w:color w:val="231F20"/>
          <w:spacing w:val="2"/>
          <w:w w:val="105"/>
        </w:rPr>
        <w:t> </w:t>
      </w:r>
      <w:r>
        <w:rPr>
          <w:color w:val="231F20"/>
          <w:w w:val="105"/>
        </w:rPr>
        <w:t>fluid.</w:t>
      </w:r>
    </w:p>
    <w:p>
      <w:pPr>
        <w:pStyle w:val="BodyText"/>
        <w:spacing w:line="249" w:lineRule="auto" w:before="4"/>
        <w:ind w:left="1080" w:firstLine="240"/>
        <w:jc w:val="both"/>
      </w:pPr>
      <w:r>
        <w:rPr>
          <w:color w:val="231F20"/>
        </w:rPr>
        <w:t>The opposite sequence of events occurs when the extracellular fluid becomes too dilute (hypo­osmotic). For example, with excess water ingestion and a decrease in</w:t>
      </w:r>
    </w:p>
    <w:p>
      <w:pPr>
        <w:pStyle w:val="BodyText"/>
        <w:rPr>
          <w:sz w:val="18"/>
        </w:rPr>
      </w:pPr>
      <w:r>
        <w:rPr/>
        <w:br w:type="column"/>
      </w:r>
      <w:r>
        <w:rPr>
          <w:sz w:val="18"/>
        </w:rPr>
      </w:r>
    </w:p>
    <w:p>
      <w:pPr>
        <w:pStyle w:val="BodyText"/>
        <w:spacing w:before="3"/>
        <w:rPr>
          <w:sz w:val="24"/>
        </w:rPr>
      </w:pPr>
    </w:p>
    <w:p>
      <w:pPr>
        <w:spacing w:line="182" w:lineRule="exact" w:before="0"/>
        <w:ind w:left="2795" w:right="0" w:firstLine="0"/>
        <w:jc w:val="left"/>
        <w:rPr>
          <w:rFonts w:ascii="Helvetica"/>
          <w:sz w:val="16"/>
        </w:rPr>
      </w:pPr>
      <w:r>
        <w:rPr/>
        <w:pict>
          <v:group style="position:absolute;margin-left:388.444305pt;margin-top:-103.512108pt;width:93.25pt;height:102.3pt;mso-position-horizontal-relative:page;mso-position-vertical-relative:paragraph;z-index:252506112" coordorigin="7769,-2070" coordsize="1865,2046">
            <v:shape style="position:absolute;left:7954;top:-1991;width:1679;height:1966" type="#_x0000_t75" stroked="false">
              <v:imagedata r:id="rId829" o:title=""/>
            </v:shape>
            <v:shape style="position:absolute;left:7768;top:-2071;width:35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ADH</w:t>
                    </w:r>
                  </w:p>
                </w:txbxContent>
              </v:textbox>
              <w10:wrap type="none"/>
            </v:shape>
            <w10:wrap type="none"/>
          </v:group>
        </w:pict>
      </w:r>
      <w:r>
        <w:rPr>
          <w:rFonts w:ascii="Helvetica"/>
          <w:color w:val="231F20"/>
          <w:sz w:val="16"/>
        </w:rPr>
        <w:t>Urine:</w:t>
      </w:r>
    </w:p>
    <w:p>
      <w:pPr>
        <w:spacing w:line="235" w:lineRule="auto" w:before="1"/>
        <w:ind w:left="2928" w:right="2254" w:firstLine="0"/>
        <w:jc w:val="left"/>
        <w:rPr>
          <w:rFonts w:ascii="Helvetica"/>
          <w:sz w:val="16"/>
        </w:rPr>
      </w:pPr>
      <w:r>
        <w:rPr>
          <w:rFonts w:ascii="Helvetica"/>
          <w:color w:val="231F20"/>
          <w:sz w:val="16"/>
        </w:rPr>
        <w:t>decreased flow and concentrated</w:t>
      </w:r>
    </w:p>
    <w:p>
      <w:pPr>
        <w:spacing w:line="256" w:lineRule="auto" w:before="91"/>
        <w:ind w:left="319" w:right="1439" w:firstLine="0"/>
        <w:jc w:val="both"/>
        <w:rPr>
          <w:rFonts w:ascii="Arial"/>
          <w:sz w:val="16"/>
        </w:rPr>
      </w:pPr>
      <w:bookmarkStart w:name="_bookmark76" w:id="77"/>
      <w:bookmarkEnd w:id="77"/>
      <w:r>
        <w:rPr/>
      </w:r>
      <w:r>
        <w:rPr>
          <w:rFonts w:ascii="Trebuchet MS"/>
          <w:b/>
          <w:color w:val="231F20"/>
          <w:sz w:val="16"/>
        </w:rPr>
        <w:t>Figure 29-10. </w:t>
      </w:r>
      <w:r>
        <w:rPr>
          <w:rFonts w:ascii="Arial"/>
          <w:color w:val="231F20"/>
          <w:sz w:val="16"/>
        </w:rPr>
        <w:t>Neuroanatomy of the hypothalamus, where antidi- uretic hormone </w:t>
      </w:r>
      <w:r>
        <w:rPr>
          <w:rFonts w:ascii="Lucida Sans"/>
          <w:i/>
          <w:color w:val="231F20"/>
          <w:sz w:val="16"/>
        </w:rPr>
        <w:t>(ADH) </w:t>
      </w:r>
      <w:r>
        <w:rPr>
          <w:rFonts w:ascii="Arial"/>
          <w:color w:val="231F20"/>
          <w:sz w:val="16"/>
        </w:rPr>
        <w:t>is synthesized, and the posterior pituitary gland, where ADH is released.</w:t>
      </w:r>
    </w:p>
    <w:p>
      <w:pPr>
        <w:pStyle w:val="BodyText"/>
        <w:rPr>
          <w:rFonts w:ascii="Arial"/>
          <w:sz w:val="18"/>
        </w:rPr>
      </w:pPr>
    </w:p>
    <w:p>
      <w:pPr>
        <w:pStyle w:val="BodyText"/>
        <w:spacing w:line="249" w:lineRule="auto" w:before="143"/>
        <w:ind w:left="319" w:right="1437"/>
        <w:jc w:val="both"/>
      </w:pPr>
      <w:r>
        <w:rPr>
          <w:color w:val="231F20"/>
        </w:rPr>
        <w:t>extracellular fluid osmolarity, less ADH is formed, the renal tubules decrease their permeability for </w:t>
      </w:r>
      <w:r>
        <w:rPr>
          <w:color w:val="231F20"/>
          <w:spacing w:val="-3"/>
        </w:rPr>
        <w:t>water, </w:t>
      </w:r>
      <w:r>
        <w:rPr>
          <w:color w:val="231F20"/>
        </w:rPr>
        <w:t>less water is reabsorbed, and a large volume of dilute urine is formed. This in turn concentrates the body fluids and returns plasma osmolarity toward</w:t>
      </w:r>
      <w:r>
        <w:rPr>
          <w:color w:val="231F20"/>
          <w:spacing w:val="42"/>
        </w:rPr>
        <w:t> </w:t>
      </w:r>
      <w:r>
        <w:rPr>
          <w:color w:val="231F20"/>
        </w:rPr>
        <w:t>normal.</w:t>
      </w:r>
    </w:p>
    <w:p>
      <w:pPr>
        <w:pStyle w:val="BodyText"/>
        <w:rPr>
          <w:sz w:val="31"/>
        </w:rPr>
      </w:pPr>
    </w:p>
    <w:p>
      <w:pPr>
        <w:pStyle w:val="Heading2"/>
        <w:spacing w:line="225" w:lineRule="auto"/>
        <w:ind w:right="2063"/>
      </w:pPr>
      <w:r>
        <w:rPr>
          <w:color w:val="231F20"/>
          <w:w w:val="105"/>
        </w:rPr>
        <w:t>ADH SYNTHESIS IN SUPRAOPTIC </w:t>
      </w:r>
      <w:r>
        <w:rPr>
          <w:color w:val="231F20"/>
          <w:spacing w:val="-6"/>
          <w:w w:val="105"/>
        </w:rPr>
        <w:t>AND </w:t>
      </w:r>
      <w:r>
        <w:rPr>
          <w:color w:val="231F20"/>
          <w:w w:val="105"/>
        </w:rPr>
        <w:t>PARAVENTRICULAR NUCLEI OF THE HYPOTHALAMUS AND ADH RELEASE FROM THE POSTERIOR</w:t>
      </w:r>
      <w:r>
        <w:rPr>
          <w:color w:val="231F20"/>
          <w:spacing w:val="-22"/>
          <w:w w:val="105"/>
        </w:rPr>
        <w:t> </w:t>
      </w:r>
      <w:r>
        <w:rPr>
          <w:color w:val="231F20"/>
          <w:spacing w:val="-3"/>
          <w:w w:val="105"/>
        </w:rPr>
        <w:t>PITUITARY</w:t>
      </w:r>
    </w:p>
    <w:p>
      <w:pPr>
        <w:pStyle w:val="BodyText"/>
        <w:spacing w:line="249" w:lineRule="auto" w:before="127"/>
        <w:ind w:left="319" w:right="1437"/>
        <w:jc w:val="both"/>
      </w:pPr>
      <w:hyperlink w:history="true" w:anchor="_bookmark76">
        <w:r>
          <w:rPr>
            <w:b/>
            <w:color w:val="0080AC"/>
            <w:w w:val="105"/>
          </w:rPr>
          <w:t>Figure</w:t>
        </w:r>
        <w:r>
          <w:rPr>
            <w:b/>
            <w:color w:val="0080AC"/>
            <w:spacing w:val="-12"/>
            <w:w w:val="105"/>
          </w:rPr>
          <w:t> </w:t>
        </w:r>
        <w:r>
          <w:rPr>
            <w:b/>
            <w:color w:val="0080AC"/>
            <w:w w:val="105"/>
          </w:rPr>
          <w:t>29-10</w:t>
        </w:r>
        <w:r>
          <w:rPr>
            <w:b/>
            <w:color w:val="0080AC"/>
            <w:spacing w:val="-9"/>
            <w:w w:val="105"/>
          </w:rPr>
          <w:t> </w:t>
        </w:r>
      </w:hyperlink>
      <w:r>
        <w:rPr>
          <w:color w:val="231F20"/>
          <w:w w:val="105"/>
        </w:rPr>
        <w:t>shows</w:t>
      </w:r>
      <w:r>
        <w:rPr>
          <w:color w:val="231F20"/>
          <w:spacing w:val="-10"/>
          <w:w w:val="105"/>
        </w:rPr>
        <w:t> </w:t>
      </w:r>
      <w:r>
        <w:rPr>
          <w:color w:val="231F20"/>
          <w:w w:val="105"/>
        </w:rPr>
        <w:t>the</w:t>
      </w:r>
      <w:r>
        <w:rPr>
          <w:color w:val="231F20"/>
          <w:spacing w:val="-10"/>
          <w:w w:val="105"/>
        </w:rPr>
        <w:t> </w:t>
      </w:r>
      <w:r>
        <w:rPr>
          <w:color w:val="231F20"/>
          <w:w w:val="105"/>
        </w:rPr>
        <w:t>neuroanatomy</w:t>
      </w:r>
      <w:r>
        <w:rPr>
          <w:color w:val="231F20"/>
          <w:spacing w:val="-9"/>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spacing w:val="-3"/>
          <w:w w:val="105"/>
        </w:rPr>
        <w:t>hypothala­ </w:t>
      </w:r>
      <w:r>
        <w:rPr>
          <w:color w:val="231F20"/>
          <w:w w:val="105"/>
        </w:rPr>
        <w:t>mus and the pituitary gland, where ADH is synthesized and released. The hypothalamus contains two types of </w:t>
      </w:r>
      <w:r>
        <w:rPr>
          <w:i/>
          <w:color w:val="231F20"/>
          <w:w w:val="105"/>
        </w:rPr>
        <w:t>magnocellular</w:t>
      </w:r>
      <w:r>
        <w:rPr>
          <w:i/>
          <w:color w:val="231F20"/>
          <w:spacing w:val="-30"/>
          <w:w w:val="105"/>
        </w:rPr>
        <w:t> </w:t>
      </w:r>
      <w:r>
        <w:rPr>
          <w:i/>
          <w:color w:val="231F20"/>
          <w:w w:val="105"/>
        </w:rPr>
        <w:t>(large)</w:t>
      </w:r>
      <w:r>
        <w:rPr>
          <w:i/>
          <w:color w:val="231F20"/>
          <w:spacing w:val="-29"/>
          <w:w w:val="105"/>
        </w:rPr>
        <w:t> </w:t>
      </w:r>
      <w:r>
        <w:rPr>
          <w:i/>
          <w:color w:val="231F20"/>
          <w:w w:val="105"/>
        </w:rPr>
        <w:t>neurons</w:t>
      </w:r>
      <w:r>
        <w:rPr>
          <w:i/>
          <w:color w:val="231F20"/>
          <w:spacing w:val="-29"/>
          <w:w w:val="105"/>
        </w:rPr>
        <w:t> </w:t>
      </w:r>
      <w:r>
        <w:rPr>
          <w:i/>
          <w:color w:val="231F20"/>
          <w:w w:val="105"/>
        </w:rPr>
        <w:t>that</w:t>
      </w:r>
      <w:r>
        <w:rPr>
          <w:i/>
          <w:color w:val="231F20"/>
          <w:spacing w:val="-29"/>
          <w:w w:val="105"/>
        </w:rPr>
        <w:t> </w:t>
      </w:r>
      <w:r>
        <w:rPr>
          <w:i/>
          <w:color w:val="231F20"/>
          <w:w w:val="105"/>
        </w:rPr>
        <w:t>synthesize</w:t>
      </w:r>
      <w:r>
        <w:rPr>
          <w:i/>
          <w:color w:val="231F20"/>
          <w:spacing w:val="-30"/>
          <w:w w:val="105"/>
        </w:rPr>
        <w:t> </w:t>
      </w:r>
      <w:r>
        <w:rPr>
          <w:i/>
          <w:color w:val="231F20"/>
          <w:w w:val="105"/>
        </w:rPr>
        <w:t>ADH</w:t>
      </w:r>
      <w:r>
        <w:rPr>
          <w:i/>
          <w:color w:val="231F20"/>
          <w:spacing w:val="-29"/>
          <w:w w:val="105"/>
        </w:rPr>
        <w:t> </w:t>
      </w:r>
      <w:r>
        <w:rPr>
          <w:i/>
          <w:color w:val="231F20"/>
          <w:w w:val="105"/>
        </w:rPr>
        <w:t>in</w:t>
      </w:r>
      <w:r>
        <w:rPr>
          <w:i/>
          <w:color w:val="231F20"/>
          <w:spacing w:val="-29"/>
          <w:w w:val="105"/>
        </w:rPr>
        <w:t> </w:t>
      </w:r>
      <w:r>
        <w:rPr>
          <w:i/>
          <w:color w:val="231F20"/>
          <w:w w:val="105"/>
        </w:rPr>
        <w:t>the </w:t>
      </w:r>
      <w:r>
        <w:rPr>
          <w:i/>
          <w:color w:val="231F20"/>
          <w:w w:val="105"/>
        </w:rPr>
        <w:t>supraoptic and paraventricular nuclei of the</w:t>
      </w:r>
      <w:r>
        <w:rPr>
          <w:i/>
          <w:color w:val="231F20"/>
          <w:spacing w:val="-26"/>
          <w:w w:val="105"/>
        </w:rPr>
        <w:t> </w:t>
      </w:r>
      <w:r>
        <w:rPr>
          <w:i/>
          <w:color w:val="231F20"/>
          <w:w w:val="105"/>
        </w:rPr>
        <w:t>hypothala- mus,</w:t>
      </w:r>
      <w:r>
        <w:rPr>
          <w:i/>
          <w:color w:val="231F20"/>
          <w:spacing w:val="-6"/>
          <w:w w:val="105"/>
        </w:rPr>
        <w:t> </w:t>
      </w:r>
      <w:r>
        <w:rPr>
          <w:color w:val="231F20"/>
          <w:w w:val="105"/>
        </w:rPr>
        <w:t>about</w:t>
      </w:r>
      <w:r>
        <w:rPr>
          <w:color w:val="231F20"/>
          <w:spacing w:val="-6"/>
          <w:w w:val="105"/>
        </w:rPr>
        <w:t> </w:t>
      </w:r>
      <w:r>
        <w:rPr>
          <w:color w:val="231F20"/>
          <w:w w:val="105"/>
        </w:rPr>
        <w:t>five</w:t>
      </w:r>
      <w:r>
        <w:rPr>
          <w:color w:val="231F20"/>
          <w:spacing w:val="-5"/>
          <w:w w:val="105"/>
        </w:rPr>
        <w:t> </w:t>
      </w:r>
      <w:r>
        <w:rPr>
          <w:color w:val="231F20"/>
          <w:w w:val="105"/>
        </w:rPr>
        <w:t>sixths</w:t>
      </w:r>
      <w:r>
        <w:rPr>
          <w:color w:val="231F20"/>
          <w:spacing w:val="-6"/>
          <w:w w:val="105"/>
        </w:rPr>
        <w:t> </w:t>
      </w:r>
      <w:r>
        <w:rPr>
          <w:color w:val="231F20"/>
          <w:w w:val="105"/>
        </w:rPr>
        <w:t>in</w:t>
      </w:r>
      <w:r>
        <w:rPr>
          <w:color w:val="231F20"/>
          <w:spacing w:val="-5"/>
          <w:w w:val="105"/>
        </w:rPr>
        <w:t> </w:t>
      </w:r>
      <w:r>
        <w:rPr>
          <w:color w:val="231F20"/>
          <w:w w:val="105"/>
        </w:rPr>
        <w:t>the</w:t>
      </w:r>
      <w:r>
        <w:rPr>
          <w:color w:val="231F20"/>
          <w:spacing w:val="-6"/>
          <w:w w:val="105"/>
        </w:rPr>
        <w:t> </w:t>
      </w:r>
      <w:r>
        <w:rPr>
          <w:color w:val="231F20"/>
          <w:w w:val="105"/>
        </w:rPr>
        <w:t>supraoptic</w:t>
      </w:r>
      <w:r>
        <w:rPr>
          <w:color w:val="231F20"/>
          <w:spacing w:val="-6"/>
          <w:w w:val="105"/>
        </w:rPr>
        <w:t> </w:t>
      </w:r>
      <w:r>
        <w:rPr>
          <w:color w:val="231F20"/>
          <w:w w:val="105"/>
        </w:rPr>
        <w:t>nuclei</w:t>
      </w:r>
      <w:r>
        <w:rPr>
          <w:color w:val="231F20"/>
          <w:spacing w:val="-5"/>
          <w:w w:val="105"/>
        </w:rPr>
        <w:t> </w:t>
      </w:r>
      <w:r>
        <w:rPr>
          <w:color w:val="231F20"/>
          <w:w w:val="105"/>
        </w:rPr>
        <w:t>and</w:t>
      </w:r>
      <w:r>
        <w:rPr>
          <w:color w:val="231F20"/>
          <w:spacing w:val="-6"/>
          <w:w w:val="105"/>
        </w:rPr>
        <w:t> </w:t>
      </w:r>
      <w:r>
        <w:rPr>
          <w:color w:val="231F20"/>
          <w:w w:val="105"/>
        </w:rPr>
        <w:t>about one sixth in the paraventricular nuclei. Both of these nuclei have axonal extensions to the posterior pituitary. Once ADH is synthesized, it is transported down </w:t>
      </w:r>
      <w:r>
        <w:rPr>
          <w:color w:val="231F20"/>
          <w:spacing w:val="-5"/>
          <w:w w:val="105"/>
        </w:rPr>
        <w:t>the </w:t>
      </w:r>
      <w:r>
        <w:rPr>
          <w:color w:val="231F20"/>
          <w:w w:val="105"/>
        </w:rPr>
        <w:t>axons of the neurons to their tips, terminating in </w:t>
      </w:r>
      <w:r>
        <w:rPr>
          <w:color w:val="231F20"/>
          <w:spacing w:val="-5"/>
          <w:w w:val="105"/>
        </w:rPr>
        <w:t>the </w:t>
      </w:r>
      <w:r>
        <w:rPr>
          <w:color w:val="231F20"/>
          <w:w w:val="105"/>
        </w:rPr>
        <w:t>posterior</w:t>
      </w:r>
      <w:r>
        <w:rPr>
          <w:color w:val="231F20"/>
          <w:spacing w:val="-6"/>
          <w:w w:val="105"/>
        </w:rPr>
        <w:t> </w:t>
      </w:r>
      <w:r>
        <w:rPr>
          <w:color w:val="231F20"/>
          <w:w w:val="105"/>
        </w:rPr>
        <w:t>pituitary</w:t>
      </w:r>
      <w:r>
        <w:rPr>
          <w:color w:val="231F20"/>
          <w:spacing w:val="-6"/>
          <w:w w:val="105"/>
        </w:rPr>
        <w:t> </w:t>
      </w:r>
      <w:r>
        <w:rPr>
          <w:color w:val="231F20"/>
          <w:w w:val="105"/>
        </w:rPr>
        <w:t>gland.</w:t>
      </w:r>
      <w:r>
        <w:rPr>
          <w:color w:val="231F20"/>
          <w:spacing w:val="-5"/>
          <w:w w:val="105"/>
        </w:rPr>
        <w:t> </w:t>
      </w:r>
      <w:r>
        <w:rPr>
          <w:color w:val="231F20"/>
          <w:w w:val="105"/>
        </w:rPr>
        <w:t>When</w:t>
      </w:r>
      <w:r>
        <w:rPr>
          <w:color w:val="231F20"/>
          <w:spacing w:val="-6"/>
          <w:w w:val="105"/>
        </w:rPr>
        <w:t> </w:t>
      </w:r>
      <w:r>
        <w:rPr>
          <w:color w:val="231F20"/>
          <w:w w:val="105"/>
        </w:rPr>
        <w:t>the</w:t>
      </w:r>
      <w:r>
        <w:rPr>
          <w:color w:val="231F20"/>
          <w:spacing w:val="-5"/>
          <w:w w:val="105"/>
        </w:rPr>
        <w:t> </w:t>
      </w:r>
      <w:r>
        <w:rPr>
          <w:color w:val="231F20"/>
          <w:w w:val="105"/>
        </w:rPr>
        <w:t>supraoptic</w:t>
      </w:r>
      <w:r>
        <w:rPr>
          <w:color w:val="231F20"/>
          <w:spacing w:val="-6"/>
          <w:w w:val="105"/>
        </w:rPr>
        <w:t> </w:t>
      </w:r>
      <w:r>
        <w:rPr>
          <w:color w:val="231F20"/>
          <w:w w:val="105"/>
        </w:rPr>
        <w:t>and</w:t>
      </w:r>
      <w:r>
        <w:rPr>
          <w:color w:val="231F20"/>
          <w:spacing w:val="-5"/>
          <w:w w:val="105"/>
        </w:rPr>
        <w:t> </w:t>
      </w:r>
      <w:r>
        <w:rPr>
          <w:color w:val="231F20"/>
          <w:w w:val="105"/>
        </w:rPr>
        <w:t>para­ ventricular</w:t>
      </w:r>
      <w:r>
        <w:rPr>
          <w:color w:val="231F20"/>
          <w:spacing w:val="-16"/>
          <w:w w:val="105"/>
        </w:rPr>
        <w:t> </w:t>
      </w:r>
      <w:r>
        <w:rPr>
          <w:color w:val="231F20"/>
          <w:w w:val="105"/>
        </w:rPr>
        <w:t>nuclei</w:t>
      </w:r>
      <w:r>
        <w:rPr>
          <w:color w:val="231F20"/>
          <w:spacing w:val="-16"/>
          <w:w w:val="105"/>
        </w:rPr>
        <w:t> </w:t>
      </w:r>
      <w:r>
        <w:rPr>
          <w:color w:val="231F20"/>
          <w:w w:val="105"/>
        </w:rPr>
        <w:t>are</w:t>
      </w:r>
      <w:r>
        <w:rPr>
          <w:color w:val="231F20"/>
          <w:spacing w:val="-16"/>
          <w:w w:val="105"/>
        </w:rPr>
        <w:t> </w:t>
      </w:r>
      <w:r>
        <w:rPr>
          <w:color w:val="231F20"/>
          <w:w w:val="105"/>
        </w:rPr>
        <w:t>stimulated</w:t>
      </w:r>
      <w:r>
        <w:rPr>
          <w:color w:val="231F20"/>
          <w:spacing w:val="-15"/>
          <w:w w:val="105"/>
        </w:rPr>
        <w:t> </w:t>
      </w:r>
      <w:r>
        <w:rPr>
          <w:color w:val="231F20"/>
          <w:w w:val="105"/>
        </w:rPr>
        <w:t>by</w:t>
      </w:r>
      <w:r>
        <w:rPr>
          <w:color w:val="231F20"/>
          <w:spacing w:val="-16"/>
          <w:w w:val="105"/>
        </w:rPr>
        <w:t> </w:t>
      </w:r>
      <w:r>
        <w:rPr>
          <w:color w:val="231F20"/>
          <w:w w:val="105"/>
        </w:rPr>
        <w:t>increased</w:t>
      </w:r>
      <w:r>
        <w:rPr>
          <w:color w:val="231F20"/>
          <w:spacing w:val="-16"/>
          <w:w w:val="105"/>
        </w:rPr>
        <w:t> </w:t>
      </w:r>
      <w:r>
        <w:rPr>
          <w:color w:val="231F20"/>
          <w:w w:val="105"/>
        </w:rPr>
        <w:t>osmolarity</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830"/>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7289702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Lucida Sans"/>
                        <w:i/>
                        <w:sz w:val="20"/>
                      </w:rPr>
                    </w:pPr>
                  </w:p>
                  <w:p>
                    <w:pPr>
                      <w:spacing w:line="240" w:lineRule="auto" w:before="3"/>
                      <w:rPr>
                        <w:rFonts w:ascii="Lucida Sans"/>
                        <w:i/>
                        <w:sz w:val="18"/>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w10:wrap type="none"/>
          </v:group>
        </w:pict>
      </w:r>
      <w:r>
        <w:rPr>
          <w:color w:val="231F20"/>
          <w:w w:val="105"/>
        </w:rPr>
        <w:t>or other factors, nerve impulses pass down these </w:t>
      </w:r>
      <w:r>
        <w:rPr>
          <w:color w:val="231F20"/>
          <w:spacing w:val="-3"/>
          <w:w w:val="105"/>
        </w:rPr>
        <w:t>nerve </w:t>
      </w:r>
      <w:r>
        <w:rPr>
          <w:color w:val="231F20"/>
          <w:w w:val="105"/>
        </w:rPr>
        <w:t>endings, changing their membrane permeability </w:t>
      </w:r>
      <w:r>
        <w:rPr>
          <w:color w:val="231F20"/>
          <w:spacing w:val="-5"/>
          <w:w w:val="105"/>
        </w:rPr>
        <w:t>and </w:t>
      </w:r>
      <w:r>
        <w:rPr>
          <w:color w:val="231F20"/>
          <w:w w:val="105"/>
        </w:rPr>
        <w:t>increasing calcium entry. ADH stored in the secretory granules (also called vesicles) of the nerve endings </w:t>
      </w:r>
      <w:r>
        <w:rPr>
          <w:color w:val="231F20"/>
          <w:spacing w:val="-8"/>
          <w:w w:val="105"/>
        </w:rPr>
        <w:t>is </w:t>
      </w:r>
      <w:r>
        <w:rPr>
          <w:color w:val="231F20"/>
          <w:w w:val="105"/>
        </w:rPr>
        <w:t>released in response to increased calcium entry. The released</w:t>
      </w:r>
      <w:r>
        <w:rPr>
          <w:color w:val="231F20"/>
          <w:spacing w:val="-12"/>
          <w:w w:val="105"/>
        </w:rPr>
        <w:t> </w:t>
      </w:r>
      <w:r>
        <w:rPr>
          <w:color w:val="231F20"/>
          <w:w w:val="105"/>
        </w:rPr>
        <w:t>ADH</w:t>
      </w:r>
      <w:r>
        <w:rPr>
          <w:color w:val="231F20"/>
          <w:spacing w:val="-12"/>
          <w:w w:val="105"/>
        </w:rPr>
        <w:t> </w:t>
      </w:r>
      <w:r>
        <w:rPr>
          <w:color w:val="231F20"/>
          <w:w w:val="105"/>
        </w:rPr>
        <w:t>is</w:t>
      </w:r>
      <w:r>
        <w:rPr>
          <w:color w:val="231F20"/>
          <w:spacing w:val="-12"/>
          <w:w w:val="105"/>
        </w:rPr>
        <w:t> </w:t>
      </w:r>
      <w:r>
        <w:rPr>
          <w:color w:val="231F20"/>
          <w:w w:val="105"/>
        </w:rPr>
        <w:t>then</w:t>
      </w:r>
      <w:r>
        <w:rPr>
          <w:color w:val="231F20"/>
          <w:spacing w:val="-12"/>
          <w:w w:val="105"/>
        </w:rPr>
        <w:t> </w:t>
      </w:r>
      <w:r>
        <w:rPr>
          <w:color w:val="231F20"/>
          <w:w w:val="105"/>
        </w:rPr>
        <w:t>carried</w:t>
      </w:r>
      <w:r>
        <w:rPr>
          <w:color w:val="231F20"/>
          <w:spacing w:val="-12"/>
          <w:w w:val="105"/>
        </w:rPr>
        <w:t> </w:t>
      </w:r>
      <w:r>
        <w:rPr>
          <w:color w:val="231F20"/>
          <w:w w:val="105"/>
        </w:rPr>
        <w:t>away</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capillary</w:t>
      </w:r>
      <w:r>
        <w:rPr>
          <w:color w:val="231F20"/>
          <w:spacing w:val="-12"/>
          <w:w w:val="105"/>
        </w:rPr>
        <w:t> </w:t>
      </w:r>
      <w:r>
        <w:rPr>
          <w:color w:val="231F20"/>
          <w:w w:val="105"/>
        </w:rPr>
        <w:t>blood of the posterior pituitary into the systemic</w:t>
      </w:r>
      <w:r>
        <w:rPr>
          <w:color w:val="231F20"/>
          <w:spacing w:val="-21"/>
          <w:w w:val="105"/>
        </w:rPr>
        <w:t> </w:t>
      </w:r>
      <w:r>
        <w:rPr>
          <w:color w:val="231F20"/>
          <w:w w:val="105"/>
        </w:rPr>
        <w:t>circulation.</w:t>
      </w:r>
    </w:p>
    <w:p>
      <w:pPr>
        <w:pStyle w:val="BodyText"/>
        <w:spacing w:line="249" w:lineRule="auto" w:before="5"/>
        <w:ind w:left="1440" w:firstLine="240"/>
        <w:jc w:val="both"/>
      </w:pPr>
      <w:r>
        <w:rPr>
          <w:color w:val="231F20"/>
        </w:rPr>
        <w:t>Secretion of ADH in response to an osmotic </w:t>
      </w:r>
      <w:r>
        <w:rPr>
          <w:color w:val="231F20"/>
          <w:spacing w:val="-3"/>
        </w:rPr>
        <w:t>stimulus  </w:t>
      </w:r>
      <w:r>
        <w:rPr>
          <w:color w:val="231F20"/>
        </w:rPr>
        <w:t>is rapid, so plasma ADH levels can increase severalfold within minutes, thereby providing a rapid means for alter­ ing renal excretion of</w:t>
      </w:r>
      <w:r>
        <w:rPr>
          <w:color w:val="231F20"/>
          <w:spacing w:val="27"/>
        </w:rPr>
        <w:t> </w:t>
      </w:r>
      <w:r>
        <w:rPr>
          <w:color w:val="231F20"/>
          <w:spacing w:val="-3"/>
        </w:rPr>
        <w:t>water.</w:t>
      </w:r>
    </w:p>
    <w:p>
      <w:pPr>
        <w:pStyle w:val="BodyText"/>
        <w:spacing w:line="249" w:lineRule="auto" w:before="4"/>
        <w:ind w:left="1440" w:firstLine="240"/>
        <w:jc w:val="both"/>
      </w:pPr>
      <w:r>
        <w:rPr>
          <w:color w:val="231F20"/>
          <w:w w:val="105"/>
        </w:rPr>
        <w:t>A second neuronal area important in controlling osmolarity</w:t>
      </w:r>
      <w:r>
        <w:rPr>
          <w:color w:val="231F20"/>
          <w:spacing w:val="-30"/>
          <w:w w:val="105"/>
        </w:rPr>
        <w:t> </w:t>
      </w:r>
      <w:r>
        <w:rPr>
          <w:color w:val="231F20"/>
          <w:w w:val="105"/>
        </w:rPr>
        <w:t>and</w:t>
      </w:r>
      <w:r>
        <w:rPr>
          <w:color w:val="231F20"/>
          <w:spacing w:val="-29"/>
          <w:w w:val="105"/>
        </w:rPr>
        <w:t> </w:t>
      </w:r>
      <w:r>
        <w:rPr>
          <w:color w:val="231F20"/>
          <w:w w:val="105"/>
        </w:rPr>
        <w:t>ADH</w:t>
      </w:r>
      <w:r>
        <w:rPr>
          <w:color w:val="231F20"/>
          <w:spacing w:val="-29"/>
          <w:w w:val="105"/>
        </w:rPr>
        <w:t> </w:t>
      </w:r>
      <w:r>
        <w:rPr>
          <w:color w:val="231F20"/>
          <w:w w:val="105"/>
        </w:rPr>
        <w:t>secretion</w:t>
      </w:r>
      <w:r>
        <w:rPr>
          <w:color w:val="231F20"/>
          <w:spacing w:val="-29"/>
          <w:w w:val="105"/>
        </w:rPr>
        <w:t> </w:t>
      </w:r>
      <w:r>
        <w:rPr>
          <w:color w:val="231F20"/>
          <w:w w:val="105"/>
        </w:rPr>
        <w:t>is</w:t>
      </w:r>
      <w:r>
        <w:rPr>
          <w:color w:val="231F20"/>
          <w:spacing w:val="-30"/>
          <w:w w:val="105"/>
        </w:rPr>
        <w:t> </w:t>
      </w:r>
      <w:r>
        <w:rPr>
          <w:color w:val="231F20"/>
          <w:w w:val="105"/>
        </w:rPr>
        <w:t>located</w:t>
      </w:r>
      <w:r>
        <w:rPr>
          <w:color w:val="231F20"/>
          <w:spacing w:val="-29"/>
          <w:w w:val="105"/>
        </w:rPr>
        <w:t> </w:t>
      </w:r>
      <w:r>
        <w:rPr>
          <w:color w:val="231F20"/>
          <w:w w:val="105"/>
        </w:rPr>
        <w:t>along</w:t>
      </w:r>
      <w:r>
        <w:rPr>
          <w:color w:val="231F20"/>
          <w:spacing w:val="-29"/>
          <w:w w:val="105"/>
        </w:rPr>
        <w:t> </w:t>
      </w:r>
      <w:r>
        <w:rPr>
          <w:color w:val="231F20"/>
          <w:w w:val="105"/>
        </w:rPr>
        <w:t>the</w:t>
      </w:r>
      <w:r>
        <w:rPr>
          <w:color w:val="231F20"/>
          <w:spacing w:val="-29"/>
          <w:w w:val="105"/>
        </w:rPr>
        <w:t> </w:t>
      </w:r>
      <w:r>
        <w:rPr>
          <w:i/>
          <w:color w:val="231F20"/>
          <w:spacing w:val="-3"/>
          <w:w w:val="105"/>
        </w:rPr>
        <w:t>antero- </w:t>
      </w:r>
      <w:r>
        <w:rPr>
          <w:i/>
          <w:color w:val="231F20"/>
          <w:w w:val="105"/>
        </w:rPr>
        <w:t>ventral region of the third ventricle, </w:t>
      </w:r>
      <w:r>
        <w:rPr>
          <w:color w:val="231F20"/>
          <w:w w:val="105"/>
        </w:rPr>
        <w:t>called the </w:t>
      </w:r>
      <w:r>
        <w:rPr>
          <w:i/>
          <w:color w:val="231F20"/>
          <w:spacing w:val="-6"/>
          <w:w w:val="105"/>
        </w:rPr>
        <w:t>AV3V </w:t>
      </w:r>
      <w:r>
        <w:rPr>
          <w:i/>
          <w:color w:val="231F20"/>
          <w:w w:val="105"/>
        </w:rPr>
        <w:t>region.</w:t>
      </w:r>
      <w:r>
        <w:rPr>
          <w:i/>
          <w:color w:val="231F20"/>
          <w:spacing w:val="-24"/>
          <w:w w:val="105"/>
        </w:rPr>
        <w:t> </w:t>
      </w:r>
      <w:r>
        <w:rPr>
          <w:color w:val="231F20"/>
          <w:spacing w:val="-3"/>
          <w:w w:val="105"/>
        </w:rPr>
        <w:t>At</w:t>
      </w:r>
      <w:r>
        <w:rPr>
          <w:color w:val="231F20"/>
          <w:spacing w:val="-24"/>
          <w:w w:val="105"/>
        </w:rPr>
        <w:t> </w:t>
      </w:r>
      <w:r>
        <w:rPr>
          <w:color w:val="231F20"/>
          <w:w w:val="105"/>
        </w:rPr>
        <w:t>the</w:t>
      </w:r>
      <w:r>
        <w:rPr>
          <w:color w:val="231F20"/>
          <w:spacing w:val="-24"/>
          <w:w w:val="105"/>
        </w:rPr>
        <w:t> </w:t>
      </w:r>
      <w:r>
        <w:rPr>
          <w:color w:val="231F20"/>
          <w:w w:val="105"/>
        </w:rPr>
        <w:t>upper</w:t>
      </w:r>
      <w:r>
        <w:rPr>
          <w:color w:val="231F20"/>
          <w:spacing w:val="-24"/>
          <w:w w:val="105"/>
        </w:rPr>
        <w:t> </w:t>
      </w:r>
      <w:r>
        <w:rPr>
          <w:color w:val="231F20"/>
          <w:w w:val="105"/>
        </w:rPr>
        <w:t>part</w:t>
      </w:r>
      <w:r>
        <w:rPr>
          <w:color w:val="231F20"/>
          <w:spacing w:val="-24"/>
          <w:w w:val="105"/>
        </w:rPr>
        <w:t> </w:t>
      </w:r>
      <w:r>
        <w:rPr>
          <w:color w:val="231F20"/>
          <w:w w:val="105"/>
        </w:rPr>
        <w:t>of</w:t>
      </w:r>
      <w:r>
        <w:rPr>
          <w:color w:val="231F20"/>
          <w:spacing w:val="-23"/>
          <w:w w:val="105"/>
        </w:rPr>
        <w:t> </w:t>
      </w:r>
      <w:r>
        <w:rPr>
          <w:color w:val="231F20"/>
          <w:w w:val="105"/>
        </w:rPr>
        <w:t>this</w:t>
      </w:r>
      <w:r>
        <w:rPr>
          <w:color w:val="231F20"/>
          <w:spacing w:val="-24"/>
          <w:w w:val="105"/>
        </w:rPr>
        <w:t> </w:t>
      </w:r>
      <w:r>
        <w:rPr>
          <w:color w:val="231F20"/>
          <w:w w:val="105"/>
        </w:rPr>
        <w:t>region</w:t>
      </w:r>
      <w:r>
        <w:rPr>
          <w:color w:val="231F20"/>
          <w:spacing w:val="-24"/>
          <w:w w:val="105"/>
        </w:rPr>
        <w:t> </w:t>
      </w:r>
      <w:r>
        <w:rPr>
          <w:color w:val="231F20"/>
          <w:w w:val="105"/>
        </w:rPr>
        <w:t>is</w:t>
      </w:r>
      <w:r>
        <w:rPr>
          <w:color w:val="231F20"/>
          <w:spacing w:val="-24"/>
          <w:w w:val="105"/>
        </w:rPr>
        <w:t> </w:t>
      </w:r>
      <w:r>
        <w:rPr>
          <w:color w:val="231F20"/>
          <w:w w:val="105"/>
        </w:rPr>
        <w:t>a</w:t>
      </w:r>
      <w:r>
        <w:rPr>
          <w:color w:val="231F20"/>
          <w:spacing w:val="-24"/>
          <w:w w:val="105"/>
        </w:rPr>
        <w:t> </w:t>
      </w:r>
      <w:r>
        <w:rPr>
          <w:color w:val="231F20"/>
          <w:w w:val="105"/>
        </w:rPr>
        <w:t>structure</w:t>
      </w:r>
      <w:r>
        <w:rPr>
          <w:color w:val="231F20"/>
          <w:spacing w:val="-23"/>
          <w:w w:val="105"/>
        </w:rPr>
        <w:t> </w:t>
      </w:r>
      <w:r>
        <w:rPr>
          <w:color w:val="231F20"/>
          <w:w w:val="105"/>
        </w:rPr>
        <w:t>called the </w:t>
      </w:r>
      <w:r>
        <w:rPr>
          <w:i/>
          <w:color w:val="231F20"/>
          <w:w w:val="105"/>
        </w:rPr>
        <w:t>subfornical organ, </w:t>
      </w:r>
      <w:r>
        <w:rPr>
          <w:color w:val="231F20"/>
          <w:w w:val="105"/>
        </w:rPr>
        <w:t>and at the inferior part is </w:t>
      </w:r>
      <w:r>
        <w:rPr>
          <w:color w:val="231F20"/>
          <w:spacing w:val="-4"/>
          <w:w w:val="105"/>
        </w:rPr>
        <w:t>another </w:t>
      </w:r>
      <w:r>
        <w:rPr>
          <w:color w:val="231F20"/>
          <w:w w:val="105"/>
        </w:rPr>
        <w:t>structure called the </w:t>
      </w:r>
      <w:r>
        <w:rPr>
          <w:i/>
          <w:color w:val="231F20"/>
          <w:w w:val="105"/>
        </w:rPr>
        <w:t>organum vasculosum </w:t>
      </w:r>
      <w:r>
        <w:rPr>
          <w:color w:val="231F20"/>
          <w:w w:val="105"/>
        </w:rPr>
        <w:t>of the </w:t>
      </w:r>
      <w:r>
        <w:rPr>
          <w:i/>
          <w:color w:val="231F20"/>
          <w:spacing w:val="-3"/>
          <w:w w:val="105"/>
        </w:rPr>
        <w:t>lamina </w:t>
      </w:r>
      <w:r>
        <w:rPr>
          <w:i/>
          <w:color w:val="231F20"/>
          <w:w w:val="105"/>
        </w:rPr>
        <w:t>terminalis.</w:t>
      </w:r>
      <w:r>
        <w:rPr>
          <w:i/>
          <w:color w:val="231F20"/>
          <w:spacing w:val="-8"/>
          <w:w w:val="105"/>
        </w:rPr>
        <w:t> </w:t>
      </w:r>
      <w:r>
        <w:rPr>
          <w:color w:val="231F20"/>
          <w:w w:val="105"/>
        </w:rPr>
        <w:t>Between</w:t>
      </w:r>
      <w:r>
        <w:rPr>
          <w:color w:val="231F20"/>
          <w:spacing w:val="-7"/>
          <w:w w:val="105"/>
        </w:rPr>
        <w:t> </w:t>
      </w:r>
      <w:r>
        <w:rPr>
          <w:color w:val="231F20"/>
          <w:w w:val="105"/>
        </w:rPr>
        <w:t>these</w:t>
      </w:r>
      <w:r>
        <w:rPr>
          <w:color w:val="231F20"/>
          <w:spacing w:val="-8"/>
          <w:w w:val="105"/>
        </w:rPr>
        <w:t> </w:t>
      </w:r>
      <w:r>
        <w:rPr>
          <w:color w:val="231F20"/>
          <w:w w:val="105"/>
        </w:rPr>
        <w:t>two</w:t>
      </w:r>
      <w:r>
        <w:rPr>
          <w:color w:val="231F20"/>
          <w:spacing w:val="-7"/>
          <w:w w:val="105"/>
        </w:rPr>
        <w:t> </w:t>
      </w:r>
      <w:r>
        <w:rPr>
          <w:color w:val="231F20"/>
          <w:w w:val="105"/>
        </w:rPr>
        <w:t>organs</w:t>
      </w:r>
      <w:r>
        <w:rPr>
          <w:color w:val="231F20"/>
          <w:spacing w:val="-8"/>
          <w:w w:val="105"/>
        </w:rPr>
        <w:t> </w:t>
      </w:r>
      <w:r>
        <w:rPr>
          <w:color w:val="231F20"/>
          <w:w w:val="105"/>
        </w:rPr>
        <w:t>is</w:t>
      </w:r>
      <w:r>
        <w:rPr>
          <w:color w:val="231F20"/>
          <w:spacing w:val="-7"/>
          <w:w w:val="105"/>
        </w:rPr>
        <w:t> </w:t>
      </w:r>
      <w:r>
        <w:rPr>
          <w:color w:val="231F20"/>
          <w:w w:val="105"/>
        </w:rPr>
        <w:t>the</w:t>
      </w:r>
      <w:r>
        <w:rPr>
          <w:color w:val="231F20"/>
          <w:spacing w:val="-7"/>
          <w:w w:val="105"/>
        </w:rPr>
        <w:t> </w:t>
      </w:r>
      <w:r>
        <w:rPr>
          <w:i/>
          <w:color w:val="231F20"/>
          <w:w w:val="105"/>
        </w:rPr>
        <w:t>median</w:t>
      </w:r>
      <w:r>
        <w:rPr>
          <w:i/>
          <w:color w:val="231F20"/>
          <w:spacing w:val="-8"/>
          <w:w w:val="105"/>
        </w:rPr>
        <w:t> </w:t>
      </w:r>
      <w:r>
        <w:rPr>
          <w:i/>
          <w:color w:val="231F20"/>
          <w:w w:val="105"/>
        </w:rPr>
        <w:t>pre- </w:t>
      </w:r>
      <w:r>
        <w:rPr>
          <w:i/>
          <w:color w:val="231F20"/>
          <w:w w:val="105"/>
        </w:rPr>
        <w:t>optic</w:t>
      </w:r>
      <w:r>
        <w:rPr>
          <w:i/>
          <w:color w:val="231F20"/>
          <w:spacing w:val="-20"/>
          <w:w w:val="105"/>
        </w:rPr>
        <w:t> </w:t>
      </w:r>
      <w:r>
        <w:rPr>
          <w:i/>
          <w:color w:val="231F20"/>
          <w:w w:val="105"/>
        </w:rPr>
        <w:t>nucleus,</w:t>
      </w:r>
      <w:r>
        <w:rPr>
          <w:i/>
          <w:color w:val="231F20"/>
          <w:spacing w:val="-19"/>
          <w:w w:val="105"/>
        </w:rPr>
        <w:t> </w:t>
      </w:r>
      <w:r>
        <w:rPr>
          <w:color w:val="231F20"/>
          <w:w w:val="105"/>
        </w:rPr>
        <w:t>which</w:t>
      </w:r>
      <w:r>
        <w:rPr>
          <w:color w:val="231F20"/>
          <w:spacing w:val="-19"/>
          <w:w w:val="105"/>
        </w:rPr>
        <w:t> </w:t>
      </w:r>
      <w:r>
        <w:rPr>
          <w:color w:val="231F20"/>
          <w:w w:val="105"/>
        </w:rPr>
        <w:t>has</w:t>
      </w:r>
      <w:r>
        <w:rPr>
          <w:color w:val="231F20"/>
          <w:spacing w:val="-19"/>
          <w:w w:val="105"/>
        </w:rPr>
        <w:t> </w:t>
      </w:r>
      <w:r>
        <w:rPr>
          <w:color w:val="231F20"/>
          <w:w w:val="105"/>
        </w:rPr>
        <w:t>multiple</w:t>
      </w:r>
      <w:r>
        <w:rPr>
          <w:color w:val="231F20"/>
          <w:spacing w:val="-19"/>
          <w:w w:val="105"/>
        </w:rPr>
        <w:t> </w:t>
      </w:r>
      <w:r>
        <w:rPr>
          <w:color w:val="231F20"/>
          <w:w w:val="105"/>
        </w:rPr>
        <w:t>nerve</w:t>
      </w:r>
      <w:r>
        <w:rPr>
          <w:color w:val="231F20"/>
          <w:spacing w:val="-20"/>
          <w:w w:val="105"/>
        </w:rPr>
        <w:t> </w:t>
      </w:r>
      <w:r>
        <w:rPr>
          <w:color w:val="231F20"/>
          <w:w w:val="105"/>
        </w:rPr>
        <w:t>connections</w:t>
      </w:r>
      <w:r>
        <w:rPr>
          <w:color w:val="231F20"/>
          <w:spacing w:val="-19"/>
          <w:w w:val="105"/>
        </w:rPr>
        <w:t> </w:t>
      </w:r>
      <w:r>
        <w:rPr>
          <w:color w:val="231F20"/>
          <w:spacing w:val="-4"/>
          <w:w w:val="105"/>
        </w:rPr>
        <w:t>with </w:t>
      </w:r>
      <w:r>
        <w:rPr>
          <w:color w:val="231F20"/>
          <w:w w:val="105"/>
        </w:rPr>
        <w:t>the</w:t>
      </w:r>
      <w:r>
        <w:rPr>
          <w:color w:val="231F20"/>
          <w:spacing w:val="-7"/>
          <w:w w:val="105"/>
        </w:rPr>
        <w:t> </w:t>
      </w:r>
      <w:r>
        <w:rPr>
          <w:color w:val="231F20"/>
          <w:w w:val="105"/>
        </w:rPr>
        <w:t>two</w:t>
      </w:r>
      <w:r>
        <w:rPr>
          <w:color w:val="231F20"/>
          <w:spacing w:val="-6"/>
          <w:w w:val="105"/>
        </w:rPr>
        <w:t> </w:t>
      </w:r>
      <w:r>
        <w:rPr>
          <w:color w:val="231F20"/>
          <w:w w:val="105"/>
        </w:rPr>
        <w:t>organs,</w:t>
      </w:r>
      <w:r>
        <w:rPr>
          <w:color w:val="231F20"/>
          <w:spacing w:val="-6"/>
          <w:w w:val="105"/>
        </w:rPr>
        <w:t> </w:t>
      </w:r>
      <w:r>
        <w:rPr>
          <w:color w:val="231F20"/>
          <w:w w:val="105"/>
        </w:rPr>
        <w:t>as</w:t>
      </w:r>
      <w:r>
        <w:rPr>
          <w:color w:val="231F20"/>
          <w:spacing w:val="-6"/>
          <w:w w:val="105"/>
        </w:rPr>
        <w:t> </w:t>
      </w:r>
      <w:r>
        <w:rPr>
          <w:color w:val="231F20"/>
          <w:w w:val="105"/>
        </w:rPr>
        <w:t>well</w:t>
      </w:r>
      <w:r>
        <w:rPr>
          <w:color w:val="231F20"/>
          <w:spacing w:val="-7"/>
          <w:w w:val="105"/>
        </w:rPr>
        <w:t> </w:t>
      </w:r>
      <w:r>
        <w:rPr>
          <w:color w:val="231F20"/>
          <w:w w:val="105"/>
        </w:rPr>
        <w:t>as</w:t>
      </w:r>
      <w:r>
        <w:rPr>
          <w:color w:val="231F20"/>
          <w:spacing w:val="-6"/>
          <w:w w:val="105"/>
        </w:rPr>
        <w:t> </w:t>
      </w:r>
      <w:r>
        <w:rPr>
          <w:color w:val="231F20"/>
          <w:w w:val="105"/>
        </w:rPr>
        <w:t>with</w:t>
      </w:r>
      <w:r>
        <w:rPr>
          <w:color w:val="231F20"/>
          <w:spacing w:val="-6"/>
          <w:w w:val="105"/>
        </w:rPr>
        <w:t> </w:t>
      </w:r>
      <w:r>
        <w:rPr>
          <w:color w:val="231F20"/>
          <w:w w:val="105"/>
        </w:rPr>
        <w:t>the</w:t>
      </w:r>
      <w:r>
        <w:rPr>
          <w:color w:val="231F20"/>
          <w:spacing w:val="-6"/>
          <w:w w:val="105"/>
        </w:rPr>
        <w:t> </w:t>
      </w:r>
      <w:r>
        <w:rPr>
          <w:color w:val="231F20"/>
          <w:w w:val="105"/>
        </w:rPr>
        <w:t>supraoptic</w:t>
      </w:r>
      <w:r>
        <w:rPr>
          <w:color w:val="231F20"/>
          <w:spacing w:val="-7"/>
          <w:w w:val="105"/>
        </w:rPr>
        <w:t> </w:t>
      </w:r>
      <w:r>
        <w:rPr>
          <w:color w:val="231F20"/>
          <w:w w:val="105"/>
        </w:rPr>
        <w:t>nuclei</w:t>
      </w:r>
      <w:r>
        <w:rPr>
          <w:color w:val="231F20"/>
          <w:spacing w:val="-6"/>
          <w:w w:val="105"/>
        </w:rPr>
        <w:t> </w:t>
      </w:r>
      <w:r>
        <w:rPr>
          <w:color w:val="231F20"/>
          <w:spacing w:val="-5"/>
          <w:w w:val="105"/>
        </w:rPr>
        <w:t>and </w:t>
      </w:r>
      <w:r>
        <w:rPr>
          <w:color w:val="231F20"/>
          <w:w w:val="105"/>
        </w:rPr>
        <w:t>the blood pressure control centers in the medulla of </w:t>
      </w:r>
      <w:r>
        <w:rPr>
          <w:color w:val="231F20"/>
          <w:spacing w:val="-5"/>
          <w:w w:val="105"/>
        </w:rPr>
        <w:t>the </w:t>
      </w:r>
      <w:r>
        <w:rPr>
          <w:color w:val="231F20"/>
          <w:w w:val="105"/>
        </w:rPr>
        <w:t>brain.</w:t>
      </w:r>
      <w:r>
        <w:rPr>
          <w:color w:val="231F20"/>
          <w:spacing w:val="-24"/>
          <w:w w:val="105"/>
        </w:rPr>
        <w:t> </w:t>
      </w:r>
      <w:r>
        <w:rPr>
          <w:color w:val="231F20"/>
          <w:w w:val="105"/>
        </w:rPr>
        <w:t>Lesions</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spacing w:val="-4"/>
          <w:w w:val="105"/>
        </w:rPr>
        <w:t>AV3V</w:t>
      </w:r>
      <w:r>
        <w:rPr>
          <w:color w:val="231F20"/>
          <w:spacing w:val="-23"/>
          <w:w w:val="105"/>
        </w:rPr>
        <w:t> </w:t>
      </w:r>
      <w:r>
        <w:rPr>
          <w:color w:val="231F20"/>
          <w:w w:val="105"/>
        </w:rPr>
        <w:t>region</w:t>
      </w:r>
      <w:r>
        <w:rPr>
          <w:color w:val="231F20"/>
          <w:spacing w:val="-23"/>
          <w:w w:val="105"/>
        </w:rPr>
        <w:t> </w:t>
      </w:r>
      <w:r>
        <w:rPr>
          <w:color w:val="231F20"/>
          <w:w w:val="105"/>
        </w:rPr>
        <w:t>cause</w:t>
      </w:r>
      <w:r>
        <w:rPr>
          <w:color w:val="231F20"/>
          <w:spacing w:val="-23"/>
          <w:w w:val="105"/>
        </w:rPr>
        <w:t> </w:t>
      </w:r>
      <w:r>
        <w:rPr>
          <w:color w:val="231F20"/>
          <w:w w:val="105"/>
        </w:rPr>
        <w:t>multiple</w:t>
      </w:r>
      <w:r>
        <w:rPr>
          <w:color w:val="231F20"/>
          <w:spacing w:val="-23"/>
          <w:w w:val="105"/>
        </w:rPr>
        <w:t> </w:t>
      </w:r>
      <w:r>
        <w:rPr>
          <w:color w:val="231F20"/>
          <w:w w:val="105"/>
        </w:rPr>
        <w:t>deficits in the control of ADH secretion, thirst, sodium</w:t>
      </w:r>
      <w:r>
        <w:rPr>
          <w:color w:val="231F20"/>
          <w:spacing w:val="-24"/>
          <w:w w:val="105"/>
        </w:rPr>
        <w:t> </w:t>
      </w:r>
      <w:r>
        <w:rPr>
          <w:color w:val="231F20"/>
          <w:w w:val="105"/>
        </w:rPr>
        <w:t>appetite, and blood pressure. Electrical stimulation of this region or</w:t>
      </w:r>
      <w:r>
        <w:rPr>
          <w:color w:val="231F20"/>
          <w:spacing w:val="-14"/>
          <w:w w:val="105"/>
        </w:rPr>
        <w:t> </w:t>
      </w:r>
      <w:r>
        <w:rPr>
          <w:color w:val="231F20"/>
          <w:w w:val="105"/>
        </w:rPr>
        <w:t>stimulation</w:t>
      </w:r>
      <w:r>
        <w:rPr>
          <w:color w:val="231F20"/>
          <w:spacing w:val="-14"/>
          <w:w w:val="105"/>
        </w:rPr>
        <w:t> </w:t>
      </w:r>
      <w:r>
        <w:rPr>
          <w:color w:val="231F20"/>
          <w:w w:val="105"/>
        </w:rPr>
        <w:t>by</w:t>
      </w:r>
      <w:r>
        <w:rPr>
          <w:color w:val="231F20"/>
          <w:spacing w:val="-14"/>
          <w:w w:val="105"/>
        </w:rPr>
        <w:t> </w:t>
      </w:r>
      <w:r>
        <w:rPr>
          <w:color w:val="231F20"/>
          <w:w w:val="105"/>
        </w:rPr>
        <w:t>angiotensin</w:t>
      </w:r>
      <w:r>
        <w:rPr>
          <w:color w:val="231F20"/>
          <w:spacing w:val="-14"/>
          <w:w w:val="105"/>
        </w:rPr>
        <w:t> </w:t>
      </w:r>
      <w:r>
        <w:rPr>
          <w:color w:val="231F20"/>
          <w:w w:val="105"/>
        </w:rPr>
        <w:t>II</w:t>
      </w:r>
      <w:r>
        <w:rPr>
          <w:color w:val="231F20"/>
          <w:spacing w:val="-14"/>
          <w:w w:val="105"/>
        </w:rPr>
        <w:t> </w:t>
      </w:r>
      <w:r>
        <w:rPr>
          <w:color w:val="231F20"/>
          <w:w w:val="105"/>
        </w:rPr>
        <w:t>can</w:t>
      </w:r>
      <w:r>
        <w:rPr>
          <w:color w:val="231F20"/>
          <w:spacing w:val="-13"/>
          <w:w w:val="105"/>
        </w:rPr>
        <w:t> </w:t>
      </w:r>
      <w:r>
        <w:rPr>
          <w:color w:val="231F20"/>
          <w:w w:val="105"/>
        </w:rPr>
        <w:t>increase</w:t>
      </w:r>
      <w:r>
        <w:rPr>
          <w:color w:val="231F20"/>
          <w:spacing w:val="-14"/>
          <w:w w:val="105"/>
        </w:rPr>
        <w:t> </w:t>
      </w:r>
      <w:r>
        <w:rPr>
          <w:color w:val="231F20"/>
          <w:w w:val="105"/>
        </w:rPr>
        <w:t>ADH</w:t>
      </w:r>
      <w:r>
        <w:rPr>
          <w:color w:val="231F20"/>
          <w:spacing w:val="-14"/>
          <w:w w:val="105"/>
        </w:rPr>
        <w:t> </w:t>
      </w:r>
      <w:r>
        <w:rPr>
          <w:color w:val="231F20"/>
          <w:spacing w:val="-3"/>
          <w:w w:val="105"/>
        </w:rPr>
        <w:t>secre­ </w:t>
      </w:r>
      <w:r>
        <w:rPr>
          <w:color w:val="231F20"/>
          <w:w w:val="105"/>
        </w:rPr>
        <w:t>tion, thirst, and sodium</w:t>
      </w:r>
      <w:r>
        <w:rPr>
          <w:color w:val="231F20"/>
          <w:spacing w:val="12"/>
          <w:w w:val="105"/>
        </w:rPr>
        <w:t> </w:t>
      </w:r>
      <w:r>
        <w:rPr>
          <w:color w:val="231F20"/>
          <w:w w:val="105"/>
        </w:rPr>
        <w:t>appetite.</w:t>
      </w:r>
    </w:p>
    <w:p>
      <w:pPr>
        <w:pStyle w:val="BodyText"/>
        <w:spacing w:line="249" w:lineRule="auto" w:before="12"/>
        <w:ind w:left="1440" w:firstLine="240"/>
        <w:jc w:val="both"/>
      </w:pPr>
      <w:r>
        <w:rPr>
          <w:color w:val="231F20"/>
        </w:rPr>
        <w:t>In the vicinity of the </w:t>
      </w:r>
      <w:r>
        <w:rPr>
          <w:color w:val="231F20"/>
          <w:spacing w:val="-4"/>
        </w:rPr>
        <w:t>AV3V </w:t>
      </w:r>
      <w:r>
        <w:rPr>
          <w:color w:val="231F20"/>
        </w:rPr>
        <w:t>region and the supraoptic nuclei</w:t>
      </w:r>
      <w:r>
        <w:rPr>
          <w:color w:val="231F20"/>
          <w:spacing w:val="-8"/>
        </w:rPr>
        <w:t> </w:t>
      </w:r>
      <w:r>
        <w:rPr>
          <w:color w:val="231F20"/>
        </w:rPr>
        <w:t>are</w:t>
      </w:r>
      <w:r>
        <w:rPr>
          <w:color w:val="231F20"/>
          <w:spacing w:val="-8"/>
        </w:rPr>
        <w:t> </w:t>
      </w:r>
      <w:r>
        <w:rPr>
          <w:color w:val="231F20"/>
        </w:rPr>
        <w:t>neuronal</w:t>
      </w:r>
      <w:r>
        <w:rPr>
          <w:color w:val="231F20"/>
          <w:spacing w:val="-8"/>
        </w:rPr>
        <w:t> </w:t>
      </w:r>
      <w:r>
        <w:rPr>
          <w:color w:val="231F20"/>
        </w:rPr>
        <w:t>cells</w:t>
      </w:r>
      <w:r>
        <w:rPr>
          <w:color w:val="231F20"/>
          <w:spacing w:val="-8"/>
        </w:rPr>
        <w:t> </w:t>
      </w:r>
      <w:r>
        <w:rPr>
          <w:color w:val="231F20"/>
        </w:rPr>
        <w:t>that</w:t>
      </w:r>
      <w:r>
        <w:rPr>
          <w:color w:val="231F20"/>
          <w:spacing w:val="-8"/>
        </w:rPr>
        <w:t> </w:t>
      </w:r>
      <w:r>
        <w:rPr>
          <w:color w:val="231F20"/>
        </w:rPr>
        <w:t>are</w:t>
      </w:r>
      <w:r>
        <w:rPr>
          <w:color w:val="231F20"/>
          <w:spacing w:val="-8"/>
        </w:rPr>
        <w:t> </w:t>
      </w:r>
      <w:r>
        <w:rPr>
          <w:color w:val="231F20"/>
        </w:rPr>
        <w:t>excited</w:t>
      </w:r>
      <w:r>
        <w:rPr>
          <w:color w:val="231F20"/>
          <w:spacing w:val="-8"/>
        </w:rPr>
        <w:t> </w:t>
      </w:r>
      <w:r>
        <w:rPr>
          <w:color w:val="231F20"/>
        </w:rPr>
        <w:t>by</w:t>
      </w:r>
      <w:r>
        <w:rPr>
          <w:color w:val="231F20"/>
          <w:spacing w:val="-7"/>
        </w:rPr>
        <w:t> </w:t>
      </w:r>
      <w:r>
        <w:rPr>
          <w:color w:val="231F20"/>
        </w:rPr>
        <w:t>small</w:t>
      </w:r>
      <w:r>
        <w:rPr>
          <w:color w:val="231F20"/>
          <w:spacing w:val="-8"/>
        </w:rPr>
        <w:t> </w:t>
      </w:r>
      <w:r>
        <w:rPr>
          <w:color w:val="231F20"/>
        </w:rPr>
        <w:t>increases in extracellular fluid osmolarity; hence, the term </w:t>
      </w:r>
      <w:r>
        <w:rPr>
          <w:i/>
          <w:color w:val="231F20"/>
        </w:rPr>
        <w:t>osmore- </w:t>
      </w:r>
      <w:r>
        <w:rPr>
          <w:i/>
          <w:color w:val="231F20"/>
        </w:rPr>
        <w:t>ceptors </w:t>
      </w:r>
      <w:r>
        <w:rPr>
          <w:color w:val="231F20"/>
        </w:rPr>
        <w:t>has been used to describe these neurons. These cells send nerve signals to the supraoptic nuclei to control their firing and secretion of ADH. </w:t>
      </w:r>
      <w:r>
        <w:rPr>
          <w:color w:val="231F20"/>
          <w:spacing w:val="-3"/>
        </w:rPr>
        <w:t>It </w:t>
      </w:r>
      <w:r>
        <w:rPr>
          <w:color w:val="231F20"/>
        </w:rPr>
        <w:t>is also likely that</w:t>
      </w:r>
      <w:r>
        <w:rPr>
          <w:color w:val="231F20"/>
          <w:spacing w:val="-24"/>
        </w:rPr>
        <w:t> </w:t>
      </w:r>
      <w:r>
        <w:rPr>
          <w:color w:val="231F20"/>
        </w:rPr>
        <w:t>they induce thirst in response to increased extracellular fluid osmolarity.</w:t>
      </w:r>
    </w:p>
    <w:p>
      <w:pPr>
        <w:pStyle w:val="BodyText"/>
        <w:spacing w:line="249" w:lineRule="auto" w:before="6"/>
        <w:ind w:left="1440" w:firstLine="240"/>
        <w:jc w:val="both"/>
      </w:pPr>
      <w:r>
        <w:rPr>
          <w:color w:val="231F20"/>
          <w:w w:val="105"/>
        </w:rPr>
        <w:t>Both</w:t>
      </w:r>
      <w:r>
        <w:rPr>
          <w:color w:val="231F20"/>
          <w:spacing w:val="-7"/>
          <w:w w:val="105"/>
        </w:rPr>
        <w:t> </w:t>
      </w:r>
      <w:r>
        <w:rPr>
          <w:color w:val="231F20"/>
          <w:w w:val="105"/>
        </w:rPr>
        <w:t>the</w:t>
      </w:r>
      <w:r>
        <w:rPr>
          <w:color w:val="231F20"/>
          <w:spacing w:val="-7"/>
          <w:w w:val="105"/>
        </w:rPr>
        <w:t> </w:t>
      </w:r>
      <w:r>
        <w:rPr>
          <w:color w:val="231F20"/>
          <w:w w:val="105"/>
        </w:rPr>
        <w:t>subfornical</w:t>
      </w:r>
      <w:r>
        <w:rPr>
          <w:color w:val="231F20"/>
          <w:spacing w:val="-7"/>
          <w:w w:val="105"/>
        </w:rPr>
        <w:t> </w:t>
      </w:r>
      <w:r>
        <w:rPr>
          <w:color w:val="231F20"/>
          <w:w w:val="105"/>
        </w:rPr>
        <w:t>organ</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organum</w:t>
      </w:r>
      <w:r>
        <w:rPr>
          <w:color w:val="231F20"/>
          <w:spacing w:val="-7"/>
          <w:w w:val="105"/>
        </w:rPr>
        <w:t> </w:t>
      </w:r>
      <w:r>
        <w:rPr>
          <w:color w:val="231F20"/>
          <w:w w:val="105"/>
        </w:rPr>
        <w:t>vasculo­ sum of the lamina terminalis have vascular supplies</w:t>
      </w:r>
      <w:r>
        <w:rPr>
          <w:color w:val="231F20"/>
          <w:spacing w:val="-24"/>
          <w:w w:val="105"/>
        </w:rPr>
        <w:t> </w:t>
      </w:r>
      <w:r>
        <w:rPr>
          <w:color w:val="231F20"/>
          <w:spacing w:val="-6"/>
          <w:w w:val="105"/>
        </w:rPr>
        <w:t>that </w:t>
      </w:r>
      <w:r>
        <w:rPr>
          <w:color w:val="231F20"/>
          <w:w w:val="105"/>
        </w:rPr>
        <w:t>lack the typical blood­brain barrier that impedes the</w:t>
      </w:r>
      <w:r>
        <w:rPr>
          <w:color w:val="231F20"/>
          <w:spacing w:val="-33"/>
          <w:w w:val="105"/>
        </w:rPr>
        <w:t> </w:t>
      </w:r>
      <w:r>
        <w:rPr>
          <w:color w:val="231F20"/>
          <w:spacing w:val="-4"/>
          <w:w w:val="105"/>
        </w:rPr>
        <w:t>dif­ </w:t>
      </w:r>
      <w:r>
        <w:rPr>
          <w:color w:val="231F20"/>
          <w:w w:val="105"/>
        </w:rPr>
        <w:t>fusion of most ions from the blood into the brain tissue. This characteristic makes it possible for ions and </w:t>
      </w:r>
      <w:r>
        <w:rPr>
          <w:color w:val="231F20"/>
          <w:spacing w:val="-4"/>
          <w:w w:val="105"/>
        </w:rPr>
        <w:t>other </w:t>
      </w:r>
      <w:r>
        <w:rPr>
          <w:color w:val="231F20"/>
          <w:w w:val="105"/>
        </w:rPr>
        <w:t>solutes to cross between the blood and the local</w:t>
      </w:r>
      <w:r>
        <w:rPr>
          <w:color w:val="231F20"/>
          <w:spacing w:val="-38"/>
          <w:w w:val="105"/>
        </w:rPr>
        <w:t> </w:t>
      </w:r>
      <w:r>
        <w:rPr>
          <w:color w:val="231F20"/>
          <w:w w:val="105"/>
        </w:rPr>
        <w:t>intersti­ tial fluid in this region. As a result, the osmoreceptors rapidly</w:t>
      </w:r>
      <w:r>
        <w:rPr>
          <w:color w:val="231F20"/>
          <w:spacing w:val="-10"/>
          <w:w w:val="105"/>
        </w:rPr>
        <w:t> </w:t>
      </w:r>
      <w:r>
        <w:rPr>
          <w:color w:val="231F20"/>
          <w:w w:val="105"/>
        </w:rPr>
        <w:t>respond</w:t>
      </w:r>
      <w:r>
        <w:rPr>
          <w:color w:val="231F20"/>
          <w:spacing w:val="-10"/>
          <w:w w:val="105"/>
        </w:rPr>
        <w:t> </w:t>
      </w:r>
      <w:r>
        <w:rPr>
          <w:color w:val="231F20"/>
          <w:w w:val="105"/>
        </w:rPr>
        <w:t>to</w:t>
      </w:r>
      <w:r>
        <w:rPr>
          <w:color w:val="231F20"/>
          <w:spacing w:val="-9"/>
          <w:w w:val="105"/>
        </w:rPr>
        <w:t> </w:t>
      </w:r>
      <w:r>
        <w:rPr>
          <w:color w:val="231F20"/>
          <w:w w:val="105"/>
        </w:rPr>
        <w:t>changes</w:t>
      </w:r>
      <w:r>
        <w:rPr>
          <w:color w:val="231F20"/>
          <w:spacing w:val="-10"/>
          <w:w w:val="105"/>
        </w:rPr>
        <w:t> </w:t>
      </w:r>
      <w:r>
        <w:rPr>
          <w:color w:val="231F20"/>
          <w:w w:val="105"/>
        </w:rPr>
        <w:t>in</w:t>
      </w:r>
      <w:r>
        <w:rPr>
          <w:color w:val="231F20"/>
          <w:spacing w:val="-9"/>
          <w:w w:val="105"/>
        </w:rPr>
        <w:t> </w:t>
      </w:r>
      <w:r>
        <w:rPr>
          <w:color w:val="231F20"/>
          <w:w w:val="105"/>
        </w:rPr>
        <w:t>osmolarity</w:t>
      </w:r>
      <w:r>
        <w:rPr>
          <w:color w:val="231F20"/>
          <w:spacing w:val="-10"/>
          <w:w w:val="105"/>
        </w:rPr>
        <w:t> </w:t>
      </w:r>
      <w:r>
        <w:rPr>
          <w:color w:val="231F20"/>
          <w:w w:val="105"/>
        </w:rPr>
        <w:t>of</w:t>
      </w:r>
      <w:r>
        <w:rPr>
          <w:color w:val="231F20"/>
          <w:spacing w:val="-9"/>
          <w:w w:val="105"/>
        </w:rPr>
        <w:t> </w:t>
      </w:r>
      <w:r>
        <w:rPr>
          <w:color w:val="231F20"/>
          <w:w w:val="105"/>
        </w:rPr>
        <w:t>the</w:t>
      </w:r>
      <w:r>
        <w:rPr>
          <w:color w:val="231F20"/>
          <w:spacing w:val="-10"/>
          <w:w w:val="105"/>
        </w:rPr>
        <w:t> </w:t>
      </w:r>
      <w:r>
        <w:rPr>
          <w:color w:val="231F20"/>
          <w:w w:val="105"/>
        </w:rPr>
        <w:t>extracel­ lular</w:t>
      </w:r>
      <w:r>
        <w:rPr>
          <w:color w:val="231F20"/>
          <w:spacing w:val="-22"/>
          <w:w w:val="105"/>
        </w:rPr>
        <w:t> </w:t>
      </w:r>
      <w:r>
        <w:rPr>
          <w:color w:val="231F20"/>
          <w:w w:val="105"/>
        </w:rPr>
        <w:t>fluid,</w:t>
      </w:r>
      <w:r>
        <w:rPr>
          <w:color w:val="231F20"/>
          <w:spacing w:val="-22"/>
          <w:w w:val="105"/>
        </w:rPr>
        <w:t> </w:t>
      </w:r>
      <w:r>
        <w:rPr>
          <w:color w:val="231F20"/>
          <w:w w:val="105"/>
        </w:rPr>
        <w:t>exerting</w:t>
      </w:r>
      <w:r>
        <w:rPr>
          <w:color w:val="231F20"/>
          <w:spacing w:val="-22"/>
          <w:w w:val="105"/>
        </w:rPr>
        <w:t> </w:t>
      </w:r>
      <w:r>
        <w:rPr>
          <w:color w:val="231F20"/>
          <w:w w:val="105"/>
        </w:rPr>
        <w:t>powerful</w:t>
      </w:r>
      <w:r>
        <w:rPr>
          <w:color w:val="231F20"/>
          <w:spacing w:val="-22"/>
          <w:w w:val="105"/>
        </w:rPr>
        <w:t> </w:t>
      </w:r>
      <w:r>
        <w:rPr>
          <w:color w:val="231F20"/>
          <w:w w:val="105"/>
        </w:rPr>
        <w:t>control</w:t>
      </w:r>
      <w:r>
        <w:rPr>
          <w:color w:val="231F20"/>
          <w:spacing w:val="-21"/>
          <w:w w:val="105"/>
        </w:rPr>
        <w:t> </w:t>
      </w:r>
      <w:r>
        <w:rPr>
          <w:color w:val="231F20"/>
          <w:w w:val="105"/>
        </w:rPr>
        <w:t>over</w:t>
      </w:r>
      <w:r>
        <w:rPr>
          <w:color w:val="231F20"/>
          <w:spacing w:val="-22"/>
          <w:w w:val="105"/>
        </w:rPr>
        <w:t> </w:t>
      </w:r>
      <w:r>
        <w:rPr>
          <w:color w:val="231F20"/>
          <w:w w:val="105"/>
        </w:rPr>
        <w:t>the</w:t>
      </w:r>
      <w:r>
        <w:rPr>
          <w:color w:val="231F20"/>
          <w:spacing w:val="-22"/>
          <w:w w:val="105"/>
        </w:rPr>
        <w:t> </w:t>
      </w:r>
      <w:r>
        <w:rPr>
          <w:color w:val="231F20"/>
          <w:w w:val="105"/>
        </w:rPr>
        <w:t>secretion</w:t>
      </w:r>
      <w:r>
        <w:rPr>
          <w:color w:val="231F20"/>
          <w:spacing w:val="-22"/>
          <w:w w:val="105"/>
        </w:rPr>
        <w:t> </w:t>
      </w:r>
      <w:r>
        <w:rPr>
          <w:color w:val="231F20"/>
          <w:spacing w:val="-8"/>
          <w:w w:val="105"/>
        </w:rPr>
        <w:t>of </w:t>
      </w:r>
      <w:r>
        <w:rPr>
          <w:color w:val="231F20"/>
          <w:w w:val="105"/>
        </w:rPr>
        <w:t>ADH and over thirst, as discussed</w:t>
      </w:r>
      <w:r>
        <w:rPr>
          <w:color w:val="231F20"/>
          <w:spacing w:val="8"/>
          <w:w w:val="105"/>
        </w:rPr>
        <w:t> </w:t>
      </w:r>
      <w:r>
        <w:rPr>
          <w:color w:val="231F20"/>
          <w:spacing w:val="-4"/>
          <w:w w:val="105"/>
        </w:rPr>
        <w:t>later.</w:t>
      </w:r>
    </w:p>
    <w:p>
      <w:pPr>
        <w:pStyle w:val="BodyText"/>
        <w:spacing w:before="5"/>
        <w:rPr>
          <w:sz w:val="31"/>
        </w:rPr>
      </w:pPr>
    </w:p>
    <w:p>
      <w:pPr>
        <w:pStyle w:val="Heading2"/>
        <w:spacing w:line="225" w:lineRule="auto"/>
        <w:ind w:left="1440" w:right="455"/>
      </w:pPr>
      <w:r>
        <w:rPr>
          <w:color w:val="231F20"/>
          <w:w w:val="105"/>
        </w:rPr>
        <w:t>STIMULATION OF ADH RELEASE BY DECREASED ARTERIAL PRESSURE AND/OR DECREASED BLOOD</w:t>
      </w:r>
      <w:r>
        <w:rPr>
          <w:color w:val="231F20"/>
          <w:spacing w:val="59"/>
          <w:w w:val="105"/>
        </w:rPr>
        <w:t> </w:t>
      </w:r>
      <w:r>
        <w:rPr>
          <w:color w:val="231F20"/>
          <w:spacing w:val="-3"/>
          <w:w w:val="105"/>
        </w:rPr>
        <w:t>VOLUME</w:t>
      </w:r>
    </w:p>
    <w:p>
      <w:pPr>
        <w:pStyle w:val="BodyText"/>
        <w:spacing w:line="249" w:lineRule="auto" w:before="127"/>
        <w:ind w:left="1440"/>
        <w:jc w:val="both"/>
      </w:pPr>
      <w:r>
        <w:rPr>
          <w:color w:val="231F20"/>
        </w:rPr>
        <w:t>ADH release is also controlled by cardiovascular </w:t>
      </w:r>
      <w:r>
        <w:rPr>
          <w:color w:val="231F20"/>
          <w:spacing w:val="-3"/>
        </w:rPr>
        <w:t>reflexes </w:t>
      </w:r>
      <w:r>
        <w:rPr>
          <w:color w:val="231F20"/>
        </w:rPr>
        <w:t>that respond to decreases in blood pressure and/or blood volume, including (1) the </w:t>
      </w:r>
      <w:r>
        <w:rPr>
          <w:i/>
          <w:color w:val="231F20"/>
        </w:rPr>
        <w:t>arterial baroreceptor reflexes </w:t>
      </w:r>
      <w:r>
        <w:rPr>
          <w:color w:val="231F20"/>
        </w:rPr>
        <w:t>and (2) </w:t>
      </w:r>
      <w:r>
        <w:rPr>
          <w:i/>
          <w:color w:val="231F20"/>
        </w:rPr>
        <w:t>the cardiopulmonary reflexes, </w:t>
      </w:r>
      <w:r>
        <w:rPr>
          <w:color w:val="231F20"/>
        </w:rPr>
        <w:t>both of which are discussed in Chapter 18. These reflex pathways </w:t>
      </w:r>
      <w:r>
        <w:rPr>
          <w:color w:val="231F20"/>
          <w:spacing w:val="-3"/>
        </w:rPr>
        <w:t>originate </w:t>
      </w:r>
      <w:r>
        <w:rPr>
          <w:color w:val="231F20"/>
        </w:rPr>
        <w:t>in high­pressure regions of the circulation, such as </w:t>
      </w:r>
      <w:r>
        <w:rPr>
          <w:color w:val="231F20"/>
          <w:spacing w:val="-5"/>
        </w:rPr>
        <w:t>the </w:t>
      </w:r>
      <w:r>
        <w:rPr>
          <w:color w:val="231F20"/>
        </w:rPr>
        <w:t>aortic arch and carotid sinus, and in the low­pressure regions, especially in the cardiac atria. Afferent stimuli </w:t>
      </w:r>
      <w:r>
        <w:rPr>
          <w:color w:val="231F20"/>
          <w:spacing w:val="-6"/>
        </w:rPr>
        <w:t>are</w:t>
      </w:r>
    </w:p>
    <w:p>
      <w:pPr>
        <w:pStyle w:val="BodyText"/>
        <w:spacing w:line="249" w:lineRule="auto" w:before="100"/>
        <w:ind w:left="319" w:right="1077"/>
        <w:jc w:val="both"/>
      </w:pPr>
      <w:r>
        <w:rPr/>
        <w:br w:type="column"/>
      </w:r>
      <w:r>
        <w:rPr>
          <w:color w:val="231F20"/>
        </w:rPr>
        <w:t>carried by the vagus and glossopharyngeal nerves with synapses in the nuclei of the tractus solitarius. Projections from these nuclei relay signals to the hypothalamic nuclei that control ADH synthesis and secretion.</w:t>
      </w:r>
    </w:p>
    <w:p>
      <w:pPr>
        <w:pStyle w:val="BodyText"/>
        <w:spacing w:line="249" w:lineRule="auto" w:before="3"/>
        <w:ind w:left="319" w:right="1077" w:firstLine="240"/>
        <w:jc w:val="both"/>
      </w:pPr>
      <w:r>
        <w:rPr/>
        <w:pict>
          <v:rect style="position:absolute;margin-left:576pt;margin-top:92.135963pt;width:36pt;height:24pt;mso-position-horizontal-relative:page;mso-position-vertical-relative:paragraph;z-index:252509184" filled="true" fillcolor="#e8dac8" stroked="false">
            <v:fill type="solid"/>
            <w10:wrap type="none"/>
          </v:rect>
        </w:pict>
      </w:r>
      <w:r>
        <w:rPr/>
        <w:pict>
          <v:shape style="position:absolute;margin-left:578.900024pt;margin-top:15.793262pt;width:15.9pt;height:53.35pt;mso-position-horizontal-relative:page;mso-position-vertical-relative:paragraph;z-index:25251430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Thus, in addition to increased osmolarity, two other stimuli increase ADH secretion: (1) decreased arterial pressure and (2) decreased blood volume. Whenever blood pressure and blood volume are reduced, such as occurs during hemorrhage, increased ADH secretion causes increased fluid reabsorption by the kidneys, helping to restore blood pressure and blood volume toward normal.</w:t>
      </w:r>
    </w:p>
    <w:p>
      <w:pPr>
        <w:pStyle w:val="BodyText"/>
        <w:spacing w:before="2"/>
        <w:rPr>
          <w:sz w:val="31"/>
        </w:rPr>
      </w:pPr>
    </w:p>
    <w:p>
      <w:pPr>
        <w:pStyle w:val="Heading2"/>
        <w:spacing w:line="225" w:lineRule="auto"/>
        <w:ind w:right="1239"/>
      </w:pPr>
      <w:r>
        <w:rPr>
          <w:color w:val="231F20"/>
          <w:w w:val="105"/>
        </w:rPr>
        <w:t>QUANTITATIVE IMPORTANCE OF OSMOLARITY AND CARDIOVASCULAR REFLEXES IN STIMULATING</w:t>
      </w:r>
    </w:p>
    <w:p>
      <w:pPr>
        <w:spacing w:line="243" w:lineRule="exact" w:before="0"/>
        <w:ind w:left="319" w:right="0" w:firstLine="0"/>
        <w:jc w:val="left"/>
        <w:rPr>
          <w:rFonts w:ascii="Trebuchet MS"/>
          <w:b/>
          <w:sz w:val="22"/>
        </w:rPr>
      </w:pPr>
      <w:r>
        <w:rPr>
          <w:rFonts w:ascii="Trebuchet MS"/>
          <w:b/>
          <w:color w:val="231F20"/>
          <w:w w:val="105"/>
          <w:sz w:val="22"/>
        </w:rPr>
        <w:t>ADH SECRETION</w:t>
      </w:r>
    </w:p>
    <w:p>
      <w:pPr>
        <w:pStyle w:val="BodyText"/>
        <w:spacing w:line="249" w:lineRule="auto" w:before="125"/>
        <w:ind w:left="319" w:right="1077"/>
        <w:jc w:val="both"/>
      </w:pPr>
      <w:r>
        <w:rPr/>
        <w:pict>
          <v:group style="position:absolute;margin-left:375.331207pt;margin-top:165.123932pt;width:156.450pt;height:222.35pt;mso-position-horizontal-relative:page;mso-position-vertical-relative:paragraph;z-index:252513280" coordorigin="7507,3302" coordsize="3129,4447">
            <v:shape style="position:absolute;left:-371;top:6063;width:3119;height:4437" coordorigin="-370,6063" coordsize="3119,4437" path="m7877,7674l7877,7749m8503,7674l8503,7749m9128,7674l9128,7749m9754,7674l9754,7749m10380,7674l10380,7749m7581,7396l7507,7396m7581,7085l7507,7085m7581,6775l7507,6775m7581,6464l7507,6464m7581,6153l7507,6153m7581,5842l7507,5842m7581,5532l7507,5532m7581,5221l7507,5221m7581,4910l7507,4910m7581,4599l7507,4599m7581,4289l7507,4289m7581,3312l7581,7673,10625,7673e" filled="false" stroked="true" strokeweight="1pt" strokecolor="#231f20">
              <v:path arrowok="t"/>
              <v:stroke dashstyle="solid"/>
            </v:shape>
            <v:shape style="position:absolute;left:7797;top:4568;width:2589;height:2777" type="#_x0000_t75" stroked="false">
              <v:imagedata r:id="rId831" o:title=""/>
            </v:shape>
            <v:shape style="position:absolute;left:7867;top:3527;width:2033;height:895" coordorigin="7867,3527" coordsize="2033,895" path="m7967,3577l7963,3558,7953,3542,7937,3531,7917,3527,7898,3531,7882,3542,7871,3558,7867,3577,7871,3597,7882,3612,7898,3623,7917,3627,7937,3623,7953,3612,7963,3597,7967,3577m9900,4371l9896,4352,9885,4336,9869,4325,9850,4321,9830,4325,9814,4336,9804,4352,9800,4371,9804,4391,9814,4407,9830,4418,9850,4421,9869,4418,9885,4407,9896,4391,9900,4371e" filled="true" fillcolor="#231f20" stroked="false">
              <v:path arrowok="t"/>
              <v:fill type="solid"/>
            </v:shape>
            <v:shape style="position:absolute;left:7859;top:3735;width:115;height:115" type="#_x0000_t75" stroked="false">
              <v:imagedata r:id="rId832" o:title=""/>
            </v:shape>
            <v:shape style="position:absolute;left:9164;top:4097;width:1443;height:249" type="#_x0000_t202" filled="false" stroked="false">
              <v:textbox inset="0,0,0,0">
                <w:txbxContent>
                  <w:p>
                    <w:pPr>
                      <w:spacing w:line="194" w:lineRule="auto" w:before="10"/>
                      <w:ind w:left="0" w:right="0" w:firstLine="0"/>
                      <w:jc w:val="left"/>
                      <w:rPr>
                        <w:rFonts w:ascii="Helvetica" w:hAnsi="Helvetica"/>
                        <w:sz w:val="12"/>
                      </w:rPr>
                    </w:pPr>
                    <w:r>
                      <w:rPr>
                        <w:rFonts w:ascii="Helvetica" w:hAnsi="Helvetica"/>
                        <w:color w:val="231F20"/>
                        <w:position w:val="-4"/>
                        <w:sz w:val="16"/>
                      </w:rPr>
                      <w:t>P</w:t>
                    </w:r>
                    <w:r>
                      <w:rPr>
                        <w:rFonts w:ascii="Helvetica" w:hAnsi="Helvetica"/>
                        <w:color w:val="231F20"/>
                        <w:position w:val="-9"/>
                        <w:sz w:val="12"/>
                      </w:rPr>
                      <w:t>AVP </w:t>
                    </w:r>
                    <w:r>
                      <w:rPr>
                        <w:rFonts w:ascii="Helvetica" w:hAnsi="Helvetica"/>
                        <w:color w:val="231F20"/>
                        <w:position w:val="-4"/>
                        <w:sz w:val="16"/>
                      </w:rPr>
                      <w:t>= 1.3 e</w:t>
                    </w:r>
                    <w:r>
                      <w:rPr>
                        <w:rFonts w:ascii="Symbol" w:hAnsi="Symbol"/>
                        <w:color w:val="231F20"/>
                        <w:sz w:val="12"/>
                      </w:rPr>
                      <w:t></w:t>
                    </w:r>
                    <w:r>
                      <w:rPr>
                        <w:rFonts w:ascii="Helvetica" w:hAnsi="Helvetica"/>
                        <w:color w:val="231F20"/>
                        <w:sz w:val="12"/>
                      </w:rPr>
                      <w:t>0.17 </w:t>
                    </w:r>
                    <w:r>
                      <w:rPr>
                        <w:rFonts w:ascii="Helvetica" w:hAnsi="Helvetica"/>
                        <w:color w:val="231F20"/>
                        <w:position w:val="1"/>
                        <w:sz w:val="12"/>
                      </w:rPr>
                      <w:t>vol.</w:t>
                    </w:r>
                  </w:p>
                </w:txbxContent>
              </v:textbox>
              <w10:wrap type="none"/>
            </v:shape>
            <v:shape style="position:absolute;left:7839;top:5885;width:1648;height:226" type="#_x0000_t202" filled="false" stroked="false">
              <v:textbox inset="0,0,0,0">
                <w:txbxContent>
                  <w:p>
                    <w:pPr>
                      <w:spacing w:line="237" w:lineRule="auto" w:before="0"/>
                      <w:ind w:left="0" w:right="0" w:firstLine="0"/>
                      <w:jc w:val="left"/>
                      <w:rPr>
                        <w:rFonts w:ascii="Helvetica"/>
                        <w:sz w:val="16"/>
                      </w:rPr>
                    </w:pPr>
                    <w:r>
                      <w:rPr>
                        <w:rFonts w:ascii="Helvetica"/>
                        <w:color w:val="231F20"/>
                        <w:sz w:val="16"/>
                      </w:rPr>
                      <w:t>P</w:t>
                    </w:r>
                    <w:r>
                      <w:rPr>
                        <w:rFonts w:ascii="Helvetica"/>
                        <w:color w:val="231F20"/>
                        <w:position w:val="-4"/>
                        <w:sz w:val="12"/>
                      </w:rPr>
                      <w:t>AVP </w:t>
                    </w:r>
                    <w:r>
                      <w:rPr>
                        <w:rFonts w:ascii="Helvetica"/>
                        <w:color w:val="231F20"/>
                        <w:sz w:val="16"/>
                      </w:rPr>
                      <w:t>= 2.5 Osm + 2.0</w:t>
                    </w:r>
                  </w:p>
                </w:txbxContent>
              </v:textbox>
              <w10:wrap type="none"/>
            </v:shape>
            <v:shape style="position:absolute;left:7825;top:3411;width:2403;height:547" type="#_x0000_t202" filled="false" stroked="true" strokeweight=".5pt" strokecolor="#231f20">
              <v:textbox inset="0,0,0,0">
                <w:txbxContent>
                  <w:p>
                    <w:pPr>
                      <w:spacing w:line="280" w:lineRule="auto" w:before="62"/>
                      <w:ind w:left="185" w:right="9" w:firstLine="0"/>
                      <w:jc w:val="left"/>
                      <w:rPr>
                        <w:rFonts w:ascii="Helvetica"/>
                        <w:b/>
                        <w:sz w:val="16"/>
                      </w:rPr>
                    </w:pPr>
                    <w:r>
                      <w:rPr>
                        <w:rFonts w:ascii="Helvetica"/>
                        <w:b/>
                        <w:color w:val="231F20"/>
                        <w:sz w:val="16"/>
                      </w:rPr>
                      <w:t>Isotonic volume depletion Isovolemic osmotic increase</w:t>
                    </w:r>
                  </w:p>
                </w:txbxContent>
              </v:textbox>
              <v:stroke dashstyle="solid"/>
              <w10:wrap type="none"/>
            </v:shape>
            <w10:wrap type="none"/>
          </v:group>
        </w:pict>
      </w:r>
      <w:r>
        <w:rPr>
          <w:color w:val="231F20"/>
        </w:rPr>
        <w:t>As shown in </w:t>
      </w:r>
      <w:hyperlink w:history="true" w:anchor="_bookmark77">
        <w:r>
          <w:rPr>
            <w:b/>
            <w:color w:val="0080AC"/>
          </w:rPr>
          <w:t>Figure 29-11</w:t>
        </w:r>
      </w:hyperlink>
      <w:r>
        <w:rPr>
          <w:color w:val="231F20"/>
        </w:rPr>
        <w:t>, either a decrease in effective blood volume or an increase in extracellular fluid </w:t>
      </w:r>
      <w:r>
        <w:rPr>
          <w:color w:val="231F20"/>
          <w:spacing w:val="-3"/>
        </w:rPr>
        <w:t>osmo­ </w:t>
      </w:r>
      <w:r>
        <w:rPr>
          <w:color w:val="231F20"/>
        </w:rPr>
        <w:t>larity stimulates ADH secretion. However, ADH is con­ siderably more sensitive to small changes in osmolarity than to similar percentage changes in blood volume. </w:t>
      </w:r>
      <w:r>
        <w:rPr>
          <w:color w:val="231F20"/>
          <w:spacing w:val="-7"/>
        </w:rPr>
        <w:t>For </w:t>
      </w:r>
      <w:r>
        <w:rPr>
          <w:color w:val="231F20"/>
        </w:rPr>
        <w:t>example, a change in plasma osmolarity of only 1 percent is sufficient to increase ADH levels. By contrast, after blood loss, plasma ADH levels do not change appreciably until blood volume is reduced by about 10 percent. </w:t>
      </w:r>
      <w:r>
        <w:rPr>
          <w:color w:val="231F20"/>
          <w:spacing w:val="-3"/>
        </w:rPr>
        <w:t>With </w:t>
      </w:r>
      <w:r>
        <w:rPr>
          <w:color w:val="231F20"/>
        </w:rPr>
        <w:t>further decreases in blood volume, ADH levels rapidly increase. Thus, with severe decreases in blood volume, the</w:t>
      </w:r>
      <w:r>
        <w:rPr>
          <w:color w:val="231F20"/>
          <w:spacing w:val="-5"/>
        </w:rPr>
        <w:t> </w:t>
      </w:r>
      <w:r>
        <w:rPr>
          <w:color w:val="231F20"/>
        </w:rPr>
        <w:t>cardiovascular</w:t>
      </w:r>
      <w:r>
        <w:rPr>
          <w:color w:val="231F20"/>
          <w:spacing w:val="-5"/>
        </w:rPr>
        <w:t> </w:t>
      </w:r>
      <w:r>
        <w:rPr>
          <w:color w:val="231F20"/>
        </w:rPr>
        <w:t>reflexes</w:t>
      </w:r>
      <w:r>
        <w:rPr>
          <w:color w:val="231F20"/>
          <w:spacing w:val="-5"/>
        </w:rPr>
        <w:t> </w:t>
      </w:r>
      <w:r>
        <w:rPr>
          <w:color w:val="231F20"/>
        </w:rPr>
        <w:t>play</w:t>
      </w:r>
      <w:r>
        <w:rPr>
          <w:color w:val="231F20"/>
          <w:spacing w:val="-5"/>
        </w:rPr>
        <w:t> </w:t>
      </w:r>
      <w:r>
        <w:rPr>
          <w:color w:val="231F20"/>
        </w:rPr>
        <w:t>a</w:t>
      </w:r>
      <w:r>
        <w:rPr>
          <w:color w:val="231F20"/>
          <w:spacing w:val="-5"/>
        </w:rPr>
        <w:t> </w:t>
      </w:r>
      <w:r>
        <w:rPr>
          <w:color w:val="231F20"/>
        </w:rPr>
        <w:t>major</w:t>
      </w:r>
      <w:r>
        <w:rPr>
          <w:color w:val="231F20"/>
          <w:spacing w:val="-5"/>
        </w:rPr>
        <w:t> </w:t>
      </w:r>
      <w:r>
        <w:rPr>
          <w:color w:val="231F20"/>
        </w:rPr>
        <w:t>role</w:t>
      </w:r>
      <w:r>
        <w:rPr>
          <w:color w:val="231F20"/>
          <w:spacing w:val="-4"/>
        </w:rPr>
        <w:t> </w:t>
      </w:r>
      <w:r>
        <w:rPr>
          <w:color w:val="231F20"/>
        </w:rPr>
        <w:t>in</w:t>
      </w:r>
      <w:r>
        <w:rPr>
          <w:color w:val="231F20"/>
          <w:spacing w:val="-5"/>
        </w:rPr>
        <w:t> </w:t>
      </w:r>
      <w:r>
        <w:rPr>
          <w:color w:val="231F20"/>
        </w:rPr>
        <w:t>stimulating</w:t>
      </w:r>
    </w:p>
    <w:p>
      <w:pPr>
        <w:pStyle w:val="BodyText"/>
        <w:rPr>
          <w:sz w:val="28"/>
        </w:rPr>
      </w:pPr>
    </w:p>
    <w:p>
      <w:pPr>
        <w:pStyle w:val="BodyText"/>
        <w:rPr>
          <w:sz w:val="28"/>
        </w:rPr>
      </w:pPr>
    </w:p>
    <w:p>
      <w:pPr>
        <w:pStyle w:val="BodyText"/>
        <w:rPr>
          <w:sz w:val="28"/>
        </w:rPr>
      </w:pPr>
    </w:p>
    <w:p>
      <w:pPr>
        <w:spacing w:before="234"/>
        <w:ind w:left="1112" w:right="0" w:firstLine="0"/>
        <w:jc w:val="left"/>
        <w:rPr>
          <w:rFonts w:ascii="Helvetica"/>
          <w:sz w:val="16"/>
        </w:rPr>
      </w:pPr>
      <w:r>
        <w:rPr>
          <w:rFonts w:ascii="Helvetica"/>
          <w:color w:val="231F20"/>
          <w:sz w:val="16"/>
        </w:rPr>
        <w:t>50</w:t>
      </w:r>
    </w:p>
    <w:p>
      <w:pPr>
        <w:spacing w:before="126"/>
        <w:ind w:left="1112" w:right="0" w:firstLine="0"/>
        <w:jc w:val="left"/>
        <w:rPr>
          <w:rFonts w:ascii="Helvetica"/>
          <w:sz w:val="16"/>
        </w:rPr>
      </w:pPr>
      <w:r>
        <w:rPr>
          <w:rFonts w:ascii="Helvetica"/>
          <w:color w:val="231F20"/>
          <w:sz w:val="16"/>
        </w:rPr>
        <w:t>45</w:t>
      </w:r>
    </w:p>
    <w:p>
      <w:pPr>
        <w:spacing w:before="132"/>
        <w:ind w:left="1112" w:right="0" w:firstLine="0"/>
        <w:jc w:val="left"/>
        <w:rPr>
          <w:rFonts w:ascii="Helvetica"/>
          <w:sz w:val="16"/>
        </w:rPr>
      </w:pPr>
      <w:r>
        <w:rPr>
          <w:rFonts w:ascii="Helvetica"/>
          <w:color w:val="231F20"/>
          <w:sz w:val="16"/>
        </w:rPr>
        <w:t>40</w:t>
      </w:r>
    </w:p>
    <w:p>
      <w:pPr>
        <w:spacing w:before="114"/>
        <w:ind w:left="1112" w:right="0" w:firstLine="0"/>
        <w:jc w:val="left"/>
        <w:rPr>
          <w:rFonts w:ascii="Helvetica"/>
          <w:sz w:val="16"/>
        </w:rPr>
      </w:pPr>
      <w:r>
        <w:rPr/>
        <w:pict>
          <v:shape style="position:absolute;margin-left:348.926788pt;margin-top:3.87991pt;width:11.55pt;height:78.5pt;mso-position-horizontal-relative:page;mso-position-vertical-relative:paragraph;z-index:25251532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Plasma ADH (pg/ml)</w:t>
                  </w:r>
                </w:p>
              </w:txbxContent>
            </v:textbox>
            <w10:wrap type="none"/>
          </v:shape>
        </w:pict>
      </w:r>
      <w:r>
        <w:rPr>
          <w:rFonts w:ascii="Helvetica"/>
          <w:color w:val="231F20"/>
          <w:sz w:val="16"/>
        </w:rPr>
        <w:t>35</w:t>
      </w:r>
    </w:p>
    <w:p>
      <w:pPr>
        <w:spacing w:before="132"/>
        <w:ind w:left="1112" w:right="0" w:firstLine="0"/>
        <w:jc w:val="left"/>
        <w:rPr>
          <w:rFonts w:ascii="Helvetica"/>
          <w:sz w:val="16"/>
        </w:rPr>
      </w:pPr>
      <w:r>
        <w:rPr>
          <w:rFonts w:ascii="Helvetica"/>
          <w:color w:val="231F20"/>
          <w:sz w:val="16"/>
        </w:rPr>
        <w:t>30</w:t>
      </w:r>
    </w:p>
    <w:p>
      <w:pPr>
        <w:spacing w:before="129"/>
        <w:ind w:left="1112" w:right="0" w:firstLine="0"/>
        <w:jc w:val="left"/>
        <w:rPr>
          <w:rFonts w:ascii="Helvetica"/>
          <w:sz w:val="16"/>
        </w:rPr>
      </w:pPr>
      <w:r>
        <w:rPr>
          <w:rFonts w:ascii="Helvetica"/>
          <w:color w:val="231F20"/>
          <w:sz w:val="16"/>
        </w:rPr>
        <w:t>25</w:t>
      </w:r>
    </w:p>
    <w:p>
      <w:pPr>
        <w:spacing w:before="130"/>
        <w:ind w:left="1112" w:right="0" w:firstLine="0"/>
        <w:jc w:val="left"/>
        <w:rPr>
          <w:rFonts w:ascii="Helvetica"/>
          <w:sz w:val="16"/>
        </w:rPr>
      </w:pPr>
      <w:r>
        <w:rPr>
          <w:rFonts w:ascii="Helvetica"/>
          <w:color w:val="231F20"/>
          <w:sz w:val="16"/>
        </w:rPr>
        <w:t>20</w:t>
      </w:r>
    </w:p>
    <w:p>
      <w:pPr>
        <w:spacing w:before="132"/>
        <w:ind w:left="1112" w:right="0" w:firstLine="0"/>
        <w:jc w:val="left"/>
        <w:rPr>
          <w:rFonts w:ascii="Helvetica"/>
          <w:sz w:val="16"/>
        </w:rPr>
      </w:pPr>
      <w:r>
        <w:rPr>
          <w:rFonts w:ascii="Helvetica"/>
          <w:color w:val="231F20"/>
          <w:sz w:val="16"/>
        </w:rPr>
        <w:t>15</w:t>
      </w:r>
    </w:p>
    <w:p>
      <w:pPr>
        <w:spacing w:before="120"/>
        <w:ind w:left="1112" w:right="0" w:firstLine="0"/>
        <w:jc w:val="left"/>
        <w:rPr>
          <w:rFonts w:ascii="Helvetica"/>
          <w:sz w:val="16"/>
        </w:rPr>
      </w:pPr>
      <w:r>
        <w:rPr>
          <w:rFonts w:ascii="Helvetica"/>
          <w:color w:val="231F20"/>
          <w:sz w:val="16"/>
        </w:rPr>
        <w:t>10</w:t>
      </w:r>
    </w:p>
    <w:p>
      <w:pPr>
        <w:spacing w:before="126"/>
        <w:ind w:left="1201" w:right="0" w:firstLine="0"/>
        <w:jc w:val="left"/>
        <w:rPr>
          <w:rFonts w:ascii="Helvetica"/>
          <w:sz w:val="16"/>
        </w:rPr>
      </w:pPr>
      <w:r>
        <w:rPr>
          <w:rFonts w:ascii="Helvetica"/>
          <w:color w:val="231F20"/>
          <w:w w:val="99"/>
          <w:sz w:val="16"/>
        </w:rPr>
        <w:t>5</w:t>
      </w:r>
    </w:p>
    <w:p>
      <w:pPr>
        <w:spacing w:before="123"/>
        <w:ind w:left="1201" w:right="0" w:firstLine="0"/>
        <w:jc w:val="left"/>
        <w:rPr>
          <w:rFonts w:ascii="Helvetica"/>
          <w:sz w:val="16"/>
        </w:rPr>
      </w:pPr>
      <w:r>
        <w:rPr>
          <w:rFonts w:ascii="Helvetica"/>
          <w:color w:val="231F20"/>
          <w:w w:val="99"/>
          <w:sz w:val="16"/>
        </w:rPr>
        <w:t>0</w:t>
      </w:r>
    </w:p>
    <w:p>
      <w:pPr>
        <w:pStyle w:val="BodyText"/>
        <w:spacing w:before="5"/>
        <w:rPr>
          <w:rFonts w:ascii="Helvetica"/>
          <w:sz w:val="24"/>
        </w:rPr>
      </w:pPr>
    </w:p>
    <w:p>
      <w:pPr>
        <w:tabs>
          <w:tab w:pos="619" w:val="left" w:leader="none"/>
          <w:tab w:pos="1200" w:val="left" w:leader="none"/>
          <w:tab w:pos="1825" w:val="left" w:leader="none"/>
          <w:tab w:pos="2455" w:val="left" w:leader="none"/>
        </w:tabs>
        <w:spacing w:before="0"/>
        <w:ind w:left="0" w:right="90" w:firstLine="0"/>
        <w:jc w:val="center"/>
        <w:rPr>
          <w:rFonts w:ascii="Helvetica"/>
          <w:sz w:val="16"/>
        </w:rPr>
      </w:pPr>
      <w:r>
        <w:rPr>
          <w:rFonts w:ascii="Helvetica"/>
          <w:color w:val="231F20"/>
          <w:sz w:val="16"/>
        </w:rPr>
        <w:t>0</w:t>
        <w:tab/>
        <w:t>5</w:t>
        <w:tab/>
        <w:t>10</w:t>
        <w:tab/>
        <w:t>15</w:t>
        <w:tab/>
        <w:t>20</w:t>
      </w:r>
    </w:p>
    <w:p>
      <w:pPr>
        <w:spacing w:before="58"/>
        <w:ind w:left="295" w:right="403" w:firstLine="0"/>
        <w:jc w:val="center"/>
        <w:rPr>
          <w:rFonts w:ascii="Helvetica"/>
          <w:b/>
          <w:sz w:val="16"/>
        </w:rPr>
      </w:pPr>
      <w:r>
        <w:rPr>
          <w:rFonts w:ascii="Helvetica"/>
          <w:b/>
          <w:color w:val="231F20"/>
          <w:sz w:val="16"/>
        </w:rPr>
        <w:t>Percent change</w:t>
      </w:r>
    </w:p>
    <w:p>
      <w:pPr>
        <w:spacing w:line="254" w:lineRule="auto" w:before="91"/>
        <w:ind w:left="319" w:right="1077" w:firstLine="0"/>
        <w:jc w:val="both"/>
        <w:rPr>
          <w:rFonts w:ascii="Lucida Sans"/>
          <w:i/>
          <w:sz w:val="16"/>
        </w:rPr>
      </w:pPr>
      <w:bookmarkStart w:name="_bookmark77" w:id="78"/>
      <w:bookmarkEnd w:id="78"/>
      <w:r>
        <w:rPr/>
      </w:r>
      <w:r>
        <w:rPr>
          <w:rFonts w:ascii="Trebuchet MS"/>
          <w:b/>
          <w:color w:val="231F20"/>
          <w:w w:val="95"/>
          <w:sz w:val="16"/>
        </w:rPr>
        <w:t>Figure</w:t>
      </w:r>
      <w:r>
        <w:rPr>
          <w:rFonts w:ascii="Trebuchet MS"/>
          <w:b/>
          <w:color w:val="231F20"/>
          <w:spacing w:val="-16"/>
          <w:w w:val="95"/>
          <w:sz w:val="16"/>
        </w:rPr>
        <w:t> </w:t>
      </w:r>
      <w:r>
        <w:rPr>
          <w:rFonts w:ascii="Trebuchet MS"/>
          <w:b/>
          <w:color w:val="231F20"/>
          <w:w w:val="95"/>
          <w:sz w:val="16"/>
        </w:rPr>
        <w:t>29-11.</w:t>
      </w:r>
      <w:r>
        <w:rPr>
          <w:rFonts w:ascii="Trebuchet MS"/>
          <w:b/>
          <w:color w:val="231F20"/>
          <w:spacing w:val="32"/>
          <w:w w:val="95"/>
          <w:sz w:val="16"/>
        </w:rPr>
        <w:t> </w:t>
      </w:r>
      <w:r>
        <w:rPr>
          <w:rFonts w:ascii="Arial"/>
          <w:color w:val="231F20"/>
          <w:w w:val="95"/>
          <w:sz w:val="16"/>
        </w:rPr>
        <w:t>The</w:t>
      </w:r>
      <w:r>
        <w:rPr>
          <w:rFonts w:ascii="Arial"/>
          <w:color w:val="231F20"/>
          <w:spacing w:val="-11"/>
          <w:w w:val="95"/>
          <w:sz w:val="16"/>
        </w:rPr>
        <w:t> </w:t>
      </w:r>
      <w:r>
        <w:rPr>
          <w:rFonts w:ascii="Arial"/>
          <w:color w:val="231F20"/>
          <w:w w:val="95"/>
          <w:sz w:val="16"/>
        </w:rPr>
        <w:t>effect</w:t>
      </w:r>
      <w:r>
        <w:rPr>
          <w:rFonts w:ascii="Arial"/>
          <w:color w:val="231F20"/>
          <w:spacing w:val="-12"/>
          <w:w w:val="95"/>
          <w:sz w:val="16"/>
        </w:rPr>
        <w:t> </w:t>
      </w:r>
      <w:r>
        <w:rPr>
          <w:rFonts w:ascii="Arial"/>
          <w:color w:val="231F20"/>
          <w:w w:val="95"/>
          <w:sz w:val="16"/>
        </w:rPr>
        <w:t>of</w:t>
      </w:r>
      <w:r>
        <w:rPr>
          <w:rFonts w:ascii="Arial"/>
          <w:color w:val="231F20"/>
          <w:spacing w:val="-11"/>
          <w:w w:val="95"/>
          <w:sz w:val="16"/>
        </w:rPr>
        <w:t> </w:t>
      </w:r>
      <w:r>
        <w:rPr>
          <w:rFonts w:ascii="Arial"/>
          <w:color w:val="231F20"/>
          <w:w w:val="95"/>
          <w:sz w:val="16"/>
        </w:rPr>
        <w:t>increased</w:t>
      </w:r>
      <w:r>
        <w:rPr>
          <w:rFonts w:ascii="Arial"/>
          <w:color w:val="231F20"/>
          <w:spacing w:val="-12"/>
          <w:w w:val="95"/>
          <w:sz w:val="16"/>
        </w:rPr>
        <w:t> </w:t>
      </w:r>
      <w:r>
        <w:rPr>
          <w:rFonts w:ascii="Arial"/>
          <w:color w:val="231F20"/>
          <w:w w:val="95"/>
          <w:sz w:val="16"/>
        </w:rPr>
        <w:t>plasma</w:t>
      </w:r>
      <w:r>
        <w:rPr>
          <w:rFonts w:ascii="Arial"/>
          <w:color w:val="231F20"/>
          <w:spacing w:val="-11"/>
          <w:w w:val="95"/>
          <w:sz w:val="16"/>
        </w:rPr>
        <w:t> </w:t>
      </w:r>
      <w:r>
        <w:rPr>
          <w:rFonts w:ascii="Arial"/>
          <w:color w:val="231F20"/>
          <w:w w:val="95"/>
          <w:sz w:val="16"/>
        </w:rPr>
        <w:t>osmolarity</w:t>
      </w:r>
      <w:r>
        <w:rPr>
          <w:rFonts w:ascii="Arial"/>
          <w:color w:val="231F20"/>
          <w:spacing w:val="-12"/>
          <w:w w:val="95"/>
          <w:sz w:val="16"/>
        </w:rPr>
        <w:t> </w:t>
      </w:r>
      <w:r>
        <w:rPr>
          <w:rFonts w:ascii="Arial"/>
          <w:color w:val="231F20"/>
          <w:w w:val="95"/>
          <w:sz w:val="16"/>
        </w:rPr>
        <w:t>or</w:t>
      </w:r>
      <w:r>
        <w:rPr>
          <w:rFonts w:ascii="Arial"/>
          <w:color w:val="231F20"/>
          <w:spacing w:val="-11"/>
          <w:w w:val="95"/>
          <w:sz w:val="16"/>
        </w:rPr>
        <w:t> </w:t>
      </w:r>
      <w:r>
        <w:rPr>
          <w:rFonts w:ascii="Arial"/>
          <w:color w:val="231F20"/>
          <w:spacing w:val="-3"/>
          <w:w w:val="95"/>
          <w:sz w:val="16"/>
        </w:rPr>
        <w:t>decreased </w:t>
      </w:r>
      <w:r>
        <w:rPr>
          <w:rFonts w:ascii="Arial"/>
          <w:color w:val="231F20"/>
          <w:sz w:val="16"/>
        </w:rPr>
        <w:t>blood</w:t>
      </w:r>
      <w:r>
        <w:rPr>
          <w:rFonts w:ascii="Arial"/>
          <w:color w:val="231F20"/>
          <w:spacing w:val="-16"/>
          <w:sz w:val="16"/>
        </w:rPr>
        <w:t> </w:t>
      </w:r>
      <w:r>
        <w:rPr>
          <w:rFonts w:ascii="Arial"/>
          <w:color w:val="231F20"/>
          <w:sz w:val="16"/>
        </w:rPr>
        <w:t>volume</w:t>
      </w:r>
      <w:r>
        <w:rPr>
          <w:rFonts w:ascii="Arial"/>
          <w:color w:val="231F20"/>
          <w:spacing w:val="-16"/>
          <w:sz w:val="16"/>
        </w:rPr>
        <w:t> </w:t>
      </w:r>
      <w:r>
        <w:rPr>
          <w:rFonts w:ascii="Arial"/>
          <w:color w:val="231F20"/>
          <w:sz w:val="16"/>
        </w:rPr>
        <w:t>on</w:t>
      </w:r>
      <w:r>
        <w:rPr>
          <w:rFonts w:ascii="Arial"/>
          <w:color w:val="231F20"/>
          <w:spacing w:val="-15"/>
          <w:sz w:val="16"/>
        </w:rPr>
        <w:t> </w:t>
      </w:r>
      <w:r>
        <w:rPr>
          <w:rFonts w:ascii="Arial"/>
          <w:color w:val="231F20"/>
          <w:sz w:val="16"/>
        </w:rPr>
        <w:t>the</w:t>
      </w:r>
      <w:r>
        <w:rPr>
          <w:rFonts w:ascii="Arial"/>
          <w:color w:val="231F20"/>
          <w:spacing w:val="-16"/>
          <w:sz w:val="16"/>
        </w:rPr>
        <w:t> </w:t>
      </w:r>
      <w:r>
        <w:rPr>
          <w:rFonts w:ascii="Arial"/>
          <w:color w:val="231F20"/>
          <w:sz w:val="16"/>
        </w:rPr>
        <w:t>level</w:t>
      </w:r>
      <w:r>
        <w:rPr>
          <w:rFonts w:ascii="Arial"/>
          <w:color w:val="231F20"/>
          <w:spacing w:val="-16"/>
          <w:sz w:val="16"/>
        </w:rPr>
        <w:t> </w:t>
      </w:r>
      <w:r>
        <w:rPr>
          <w:rFonts w:ascii="Arial"/>
          <w:color w:val="231F20"/>
          <w:sz w:val="16"/>
        </w:rPr>
        <w:t>of</w:t>
      </w:r>
      <w:r>
        <w:rPr>
          <w:rFonts w:ascii="Arial"/>
          <w:color w:val="231F20"/>
          <w:spacing w:val="-15"/>
          <w:sz w:val="16"/>
        </w:rPr>
        <w:t> </w:t>
      </w:r>
      <w:r>
        <w:rPr>
          <w:rFonts w:ascii="Arial"/>
          <w:color w:val="231F20"/>
          <w:sz w:val="16"/>
        </w:rPr>
        <w:t>plasma</w:t>
      </w:r>
      <w:r>
        <w:rPr>
          <w:rFonts w:ascii="Arial"/>
          <w:color w:val="231F20"/>
          <w:spacing w:val="-16"/>
          <w:sz w:val="16"/>
        </w:rPr>
        <w:t> </w:t>
      </w:r>
      <w:r>
        <w:rPr>
          <w:rFonts w:ascii="Lucida Sans"/>
          <w:i/>
          <w:color w:val="231F20"/>
          <w:sz w:val="16"/>
        </w:rPr>
        <w:t>(P)</w:t>
      </w:r>
      <w:r>
        <w:rPr>
          <w:rFonts w:ascii="Lucida Sans"/>
          <w:i/>
          <w:color w:val="231F20"/>
          <w:spacing w:val="-21"/>
          <w:sz w:val="16"/>
        </w:rPr>
        <w:t> </w:t>
      </w:r>
      <w:r>
        <w:rPr>
          <w:rFonts w:ascii="Arial"/>
          <w:color w:val="231F20"/>
          <w:sz w:val="16"/>
        </w:rPr>
        <w:t>antidiuretic</w:t>
      </w:r>
      <w:r>
        <w:rPr>
          <w:rFonts w:ascii="Arial"/>
          <w:color w:val="231F20"/>
          <w:spacing w:val="-16"/>
          <w:sz w:val="16"/>
        </w:rPr>
        <w:t> </w:t>
      </w:r>
      <w:r>
        <w:rPr>
          <w:rFonts w:ascii="Arial"/>
          <w:color w:val="231F20"/>
          <w:sz w:val="16"/>
        </w:rPr>
        <w:t>hormone</w:t>
      </w:r>
      <w:r>
        <w:rPr>
          <w:rFonts w:ascii="Arial"/>
          <w:color w:val="231F20"/>
          <w:spacing w:val="-16"/>
          <w:sz w:val="16"/>
        </w:rPr>
        <w:t> </w:t>
      </w:r>
      <w:r>
        <w:rPr>
          <w:rFonts w:ascii="Lucida Sans"/>
          <w:i/>
          <w:color w:val="231F20"/>
          <w:sz w:val="16"/>
        </w:rPr>
        <w:t>(ADH)</w:t>
      </w:r>
      <w:r>
        <w:rPr>
          <w:rFonts w:ascii="Arial"/>
          <w:color w:val="231F20"/>
          <w:sz w:val="16"/>
        </w:rPr>
        <w:t>, </w:t>
      </w:r>
      <w:r>
        <w:rPr>
          <w:rFonts w:ascii="Arial"/>
          <w:color w:val="231F20"/>
          <w:w w:val="95"/>
          <w:sz w:val="16"/>
        </w:rPr>
        <w:t>also called </w:t>
      </w:r>
      <w:r>
        <w:rPr>
          <w:rFonts w:ascii="Lucida Sans"/>
          <w:i/>
          <w:color w:val="231F20"/>
          <w:w w:val="95"/>
          <w:sz w:val="16"/>
        </w:rPr>
        <w:t>arginine vasopressin (AVP)</w:t>
      </w:r>
      <w:r>
        <w:rPr>
          <w:rFonts w:ascii="Arial"/>
          <w:color w:val="231F20"/>
          <w:w w:val="95"/>
          <w:sz w:val="16"/>
        </w:rPr>
        <w:t>. </w:t>
      </w:r>
      <w:r>
        <w:rPr>
          <w:rFonts w:ascii="Lucida Sans"/>
          <w:i/>
          <w:color w:val="231F20"/>
          <w:w w:val="95"/>
          <w:sz w:val="16"/>
        </w:rPr>
        <w:t>(Modified from Dunn </w:t>
      </w:r>
      <w:r>
        <w:rPr>
          <w:rFonts w:ascii="Lucida Sans"/>
          <w:i/>
          <w:color w:val="231F20"/>
          <w:spacing w:val="-4"/>
          <w:w w:val="95"/>
          <w:sz w:val="16"/>
        </w:rPr>
        <w:t>FL, </w:t>
      </w:r>
      <w:r>
        <w:rPr>
          <w:rFonts w:ascii="Lucida Sans"/>
          <w:i/>
          <w:color w:val="231F20"/>
          <w:w w:val="90"/>
          <w:sz w:val="16"/>
        </w:rPr>
        <w:t>Brennan</w:t>
      </w:r>
      <w:r>
        <w:rPr>
          <w:rFonts w:ascii="Lucida Sans"/>
          <w:i/>
          <w:color w:val="231F20"/>
          <w:spacing w:val="-16"/>
          <w:w w:val="90"/>
          <w:sz w:val="16"/>
        </w:rPr>
        <w:t> </w:t>
      </w:r>
      <w:r>
        <w:rPr>
          <w:rFonts w:ascii="Lucida Sans"/>
          <w:i/>
          <w:color w:val="231F20"/>
          <w:w w:val="90"/>
          <w:sz w:val="16"/>
        </w:rPr>
        <w:t>TJ,</w:t>
      </w:r>
      <w:r>
        <w:rPr>
          <w:rFonts w:ascii="Lucida Sans"/>
          <w:i/>
          <w:color w:val="231F20"/>
          <w:spacing w:val="-15"/>
          <w:w w:val="90"/>
          <w:sz w:val="16"/>
        </w:rPr>
        <w:t> </w:t>
      </w:r>
      <w:r>
        <w:rPr>
          <w:rFonts w:ascii="Lucida Sans"/>
          <w:i/>
          <w:color w:val="231F20"/>
          <w:w w:val="90"/>
          <w:sz w:val="16"/>
        </w:rPr>
        <w:t>Nelson</w:t>
      </w:r>
      <w:r>
        <w:rPr>
          <w:rFonts w:ascii="Lucida Sans"/>
          <w:i/>
          <w:color w:val="231F20"/>
          <w:spacing w:val="-16"/>
          <w:w w:val="90"/>
          <w:sz w:val="16"/>
        </w:rPr>
        <w:t> </w:t>
      </w:r>
      <w:r>
        <w:rPr>
          <w:rFonts w:ascii="Lucida Sans"/>
          <w:i/>
          <w:color w:val="231F20"/>
          <w:w w:val="90"/>
          <w:sz w:val="16"/>
        </w:rPr>
        <w:t>AE,</w:t>
      </w:r>
      <w:r>
        <w:rPr>
          <w:rFonts w:ascii="Lucida Sans"/>
          <w:i/>
          <w:color w:val="231F20"/>
          <w:spacing w:val="-15"/>
          <w:w w:val="90"/>
          <w:sz w:val="16"/>
        </w:rPr>
        <w:t> </w:t>
      </w:r>
      <w:r>
        <w:rPr>
          <w:rFonts w:ascii="Lucida Sans"/>
          <w:i/>
          <w:color w:val="231F20"/>
          <w:w w:val="90"/>
          <w:sz w:val="16"/>
        </w:rPr>
        <w:t>et</w:t>
      </w:r>
      <w:r>
        <w:rPr>
          <w:rFonts w:ascii="Lucida Sans"/>
          <w:i/>
          <w:color w:val="231F20"/>
          <w:spacing w:val="-2"/>
          <w:w w:val="90"/>
          <w:sz w:val="16"/>
        </w:rPr>
        <w:t> </w:t>
      </w:r>
      <w:r>
        <w:rPr>
          <w:rFonts w:ascii="Lucida Sans"/>
          <w:i/>
          <w:color w:val="231F20"/>
          <w:w w:val="90"/>
          <w:sz w:val="16"/>
        </w:rPr>
        <w:t>al:</w:t>
      </w:r>
      <w:r>
        <w:rPr>
          <w:rFonts w:ascii="Lucida Sans"/>
          <w:i/>
          <w:color w:val="231F20"/>
          <w:spacing w:val="-15"/>
          <w:w w:val="90"/>
          <w:sz w:val="16"/>
        </w:rPr>
        <w:t> </w:t>
      </w:r>
      <w:r>
        <w:rPr>
          <w:rFonts w:ascii="Lucida Sans"/>
          <w:i/>
          <w:color w:val="231F20"/>
          <w:w w:val="90"/>
          <w:sz w:val="16"/>
        </w:rPr>
        <w:t>The</w:t>
      </w:r>
      <w:r>
        <w:rPr>
          <w:rFonts w:ascii="Lucida Sans"/>
          <w:i/>
          <w:color w:val="231F20"/>
          <w:spacing w:val="-16"/>
          <w:w w:val="90"/>
          <w:sz w:val="16"/>
        </w:rPr>
        <w:t> </w:t>
      </w:r>
      <w:r>
        <w:rPr>
          <w:rFonts w:ascii="Lucida Sans"/>
          <w:i/>
          <w:color w:val="231F20"/>
          <w:w w:val="90"/>
          <w:sz w:val="16"/>
        </w:rPr>
        <w:t>role</w:t>
      </w:r>
      <w:r>
        <w:rPr>
          <w:rFonts w:ascii="Lucida Sans"/>
          <w:i/>
          <w:color w:val="231F20"/>
          <w:spacing w:val="-15"/>
          <w:w w:val="90"/>
          <w:sz w:val="16"/>
        </w:rPr>
        <w:t> </w:t>
      </w:r>
      <w:r>
        <w:rPr>
          <w:rFonts w:ascii="Lucida Sans"/>
          <w:i/>
          <w:color w:val="231F20"/>
          <w:w w:val="90"/>
          <w:sz w:val="16"/>
        </w:rPr>
        <w:t>of</w:t>
      </w:r>
      <w:r>
        <w:rPr>
          <w:rFonts w:ascii="Lucida Sans"/>
          <w:i/>
          <w:color w:val="231F20"/>
          <w:spacing w:val="-15"/>
          <w:w w:val="90"/>
          <w:sz w:val="16"/>
        </w:rPr>
        <w:t> </w:t>
      </w:r>
      <w:r>
        <w:rPr>
          <w:rFonts w:ascii="Lucida Sans"/>
          <w:i/>
          <w:color w:val="231F20"/>
          <w:w w:val="90"/>
          <w:sz w:val="16"/>
        </w:rPr>
        <w:t>blood</w:t>
      </w:r>
      <w:r>
        <w:rPr>
          <w:rFonts w:ascii="Lucida Sans"/>
          <w:i/>
          <w:color w:val="231F20"/>
          <w:spacing w:val="-16"/>
          <w:w w:val="90"/>
          <w:sz w:val="16"/>
        </w:rPr>
        <w:t> </w:t>
      </w:r>
      <w:r>
        <w:rPr>
          <w:rFonts w:ascii="Lucida Sans"/>
          <w:i/>
          <w:color w:val="231F20"/>
          <w:w w:val="90"/>
          <w:sz w:val="16"/>
        </w:rPr>
        <w:t>osmolality</w:t>
      </w:r>
      <w:r>
        <w:rPr>
          <w:rFonts w:ascii="Lucida Sans"/>
          <w:i/>
          <w:color w:val="231F20"/>
          <w:spacing w:val="-15"/>
          <w:w w:val="90"/>
          <w:sz w:val="16"/>
        </w:rPr>
        <w:t> </w:t>
      </w:r>
      <w:r>
        <w:rPr>
          <w:rFonts w:ascii="Lucida Sans"/>
          <w:i/>
          <w:color w:val="231F20"/>
          <w:w w:val="90"/>
          <w:sz w:val="16"/>
        </w:rPr>
        <w:t>and</w:t>
      </w:r>
      <w:r>
        <w:rPr>
          <w:rFonts w:ascii="Lucida Sans"/>
          <w:i/>
          <w:color w:val="231F20"/>
          <w:spacing w:val="-15"/>
          <w:w w:val="90"/>
          <w:sz w:val="16"/>
        </w:rPr>
        <w:t> </w:t>
      </w:r>
      <w:r>
        <w:rPr>
          <w:rFonts w:ascii="Lucida Sans"/>
          <w:i/>
          <w:color w:val="231F20"/>
          <w:w w:val="90"/>
          <w:sz w:val="16"/>
        </w:rPr>
        <w:t>volume in</w:t>
      </w:r>
      <w:r>
        <w:rPr>
          <w:rFonts w:ascii="Lucida Sans"/>
          <w:i/>
          <w:color w:val="231F20"/>
          <w:spacing w:val="-35"/>
          <w:w w:val="90"/>
          <w:sz w:val="16"/>
        </w:rPr>
        <w:t> </w:t>
      </w:r>
      <w:r>
        <w:rPr>
          <w:rFonts w:ascii="Lucida Sans"/>
          <w:i/>
          <w:color w:val="231F20"/>
          <w:w w:val="90"/>
          <w:sz w:val="16"/>
        </w:rPr>
        <w:t>regulating</w:t>
      </w:r>
      <w:r>
        <w:rPr>
          <w:rFonts w:ascii="Lucida Sans"/>
          <w:i/>
          <w:color w:val="231F20"/>
          <w:spacing w:val="-35"/>
          <w:w w:val="90"/>
          <w:sz w:val="16"/>
        </w:rPr>
        <w:t> </w:t>
      </w:r>
      <w:r>
        <w:rPr>
          <w:rFonts w:ascii="Lucida Sans"/>
          <w:i/>
          <w:color w:val="231F20"/>
          <w:w w:val="90"/>
          <w:sz w:val="16"/>
        </w:rPr>
        <w:t>vasopressin</w:t>
      </w:r>
      <w:r>
        <w:rPr>
          <w:rFonts w:ascii="Lucida Sans"/>
          <w:i/>
          <w:color w:val="231F20"/>
          <w:spacing w:val="-35"/>
          <w:w w:val="90"/>
          <w:sz w:val="16"/>
        </w:rPr>
        <w:t> </w:t>
      </w:r>
      <w:r>
        <w:rPr>
          <w:rFonts w:ascii="Lucida Sans"/>
          <w:i/>
          <w:color w:val="231F20"/>
          <w:w w:val="90"/>
          <w:sz w:val="16"/>
        </w:rPr>
        <w:t>secretion</w:t>
      </w:r>
      <w:r>
        <w:rPr>
          <w:rFonts w:ascii="Lucida Sans"/>
          <w:i/>
          <w:color w:val="231F20"/>
          <w:spacing w:val="-35"/>
          <w:w w:val="90"/>
          <w:sz w:val="16"/>
        </w:rPr>
        <w:t> </w:t>
      </w:r>
      <w:r>
        <w:rPr>
          <w:rFonts w:ascii="Lucida Sans"/>
          <w:i/>
          <w:color w:val="231F20"/>
          <w:w w:val="90"/>
          <w:sz w:val="16"/>
        </w:rPr>
        <w:t>in</w:t>
      </w:r>
      <w:r>
        <w:rPr>
          <w:rFonts w:ascii="Lucida Sans"/>
          <w:i/>
          <w:color w:val="231F20"/>
          <w:spacing w:val="-35"/>
          <w:w w:val="90"/>
          <w:sz w:val="16"/>
        </w:rPr>
        <w:t> </w:t>
      </w:r>
      <w:r>
        <w:rPr>
          <w:rFonts w:ascii="Lucida Sans"/>
          <w:i/>
          <w:color w:val="231F20"/>
          <w:w w:val="90"/>
          <w:sz w:val="16"/>
        </w:rPr>
        <w:t>the</w:t>
      </w:r>
      <w:r>
        <w:rPr>
          <w:rFonts w:ascii="Lucida Sans"/>
          <w:i/>
          <w:color w:val="231F20"/>
          <w:spacing w:val="-35"/>
          <w:w w:val="90"/>
          <w:sz w:val="16"/>
        </w:rPr>
        <w:t> </w:t>
      </w:r>
      <w:r>
        <w:rPr>
          <w:rFonts w:ascii="Lucida Sans"/>
          <w:i/>
          <w:color w:val="231F20"/>
          <w:w w:val="90"/>
          <w:sz w:val="16"/>
        </w:rPr>
        <w:t>rat.</w:t>
      </w:r>
      <w:r>
        <w:rPr>
          <w:rFonts w:ascii="Lucida Sans"/>
          <w:i/>
          <w:color w:val="231F20"/>
          <w:spacing w:val="-34"/>
          <w:w w:val="90"/>
          <w:sz w:val="16"/>
        </w:rPr>
        <w:t> </w:t>
      </w:r>
      <w:r>
        <w:rPr>
          <w:rFonts w:ascii="Lucida Sans"/>
          <w:i/>
          <w:color w:val="231F20"/>
          <w:w w:val="90"/>
          <w:sz w:val="16"/>
        </w:rPr>
        <w:t>J</w:t>
      </w:r>
      <w:r>
        <w:rPr>
          <w:rFonts w:ascii="Lucida Sans"/>
          <w:i/>
          <w:color w:val="231F20"/>
          <w:spacing w:val="-35"/>
          <w:w w:val="90"/>
          <w:sz w:val="16"/>
        </w:rPr>
        <w:t> </w:t>
      </w:r>
      <w:r>
        <w:rPr>
          <w:rFonts w:ascii="Lucida Sans"/>
          <w:i/>
          <w:color w:val="231F20"/>
          <w:w w:val="90"/>
          <w:sz w:val="16"/>
        </w:rPr>
        <w:t>Clin</w:t>
      </w:r>
      <w:r>
        <w:rPr>
          <w:rFonts w:ascii="Lucida Sans"/>
          <w:i/>
          <w:color w:val="231F20"/>
          <w:spacing w:val="-35"/>
          <w:w w:val="90"/>
          <w:sz w:val="16"/>
        </w:rPr>
        <w:t> </w:t>
      </w:r>
      <w:r>
        <w:rPr>
          <w:rFonts w:ascii="Lucida Sans"/>
          <w:i/>
          <w:color w:val="231F20"/>
          <w:w w:val="90"/>
          <w:sz w:val="16"/>
        </w:rPr>
        <w:t>Invest</w:t>
      </w:r>
      <w:r>
        <w:rPr>
          <w:rFonts w:ascii="Lucida Sans"/>
          <w:i/>
          <w:color w:val="231F20"/>
          <w:spacing w:val="-35"/>
          <w:w w:val="90"/>
          <w:sz w:val="16"/>
        </w:rPr>
        <w:t> </w:t>
      </w:r>
      <w:r>
        <w:rPr>
          <w:rFonts w:ascii="Lucida Sans"/>
          <w:i/>
          <w:color w:val="231F20"/>
          <w:w w:val="90"/>
          <w:sz w:val="16"/>
        </w:rPr>
        <w:t>52[12]:3212, 1973.</w:t>
      </w:r>
      <w:r>
        <w:rPr>
          <w:rFonts w:ascii="Lucida Sans"/>
          <w:i/>
          <w:color w:val="231F20"/>
          <w:spacing w:val="-26"/>
          <w:w w:val="90"/>
          <w:sz w:val="16"/>
        </w:rPr>
        <w:t> </w:t>
      </w:r>
      <w:r>
        <w:rPr>
          <w:rFonts w:ascii="Lucida Sans"/>
          <w:i/>
          <w:color w:val="231F20"/>
          <w:w w:val="90"/>
          <w:sz w:val="16"/>
        </w:rPr>
        <w:t>By</w:t>
      </w:r>
      <w:r>
        <w:rPr>
          <w:rFonts w:ascii="Lucida Sans"/>
          <w:i/>
          <w:color w:val="231F20"/>
          <w:spacing w:val="-25"/>
          <w:w w:val="90"/>
          <w:sz w:val="16"/>
        </w:rPr>
        <w:t> </w:t>
      </w:r>
      <w:r>
        <w:rPr>
          <w:rFonts w:ascii="Lucida Sans"/>
          <w:i/>
          <w:color w:val="231F20"/>
          <w:w w:val="90"/>
          <w:sz w:val="16"/>
        </w:rPr>
        <w:t>permission</w:t>
      </w:r>
      <w:r>
        <w:rPr>
          <w:rFonts w:ascii="Lucida Sans"/>
          <w:i/>
          <w:color w:val="231F20"/>
          <w:spacing w:val="-25"/>
          <w:w w:val="90"/>
          <w:sz w:val="16"/>
        </w:rPr>
        <w:t> </w:t>
      </w:r>
      <w:r>
        <w:rPr>
          <w:rFonts w:ascii="Lucida Sans"/>
          <w:i/>
          <w:color w:val="231F20"/>
          <w:w w:val="90"/>
          <w:sz w:val="16"/>
        </w:rPr>
        <w:t>of</w:t>
      </w:r>
      <w:r>
        <w:rPr>
          <w:rFonts w:ascii="Lucida Sans"/>
          <w:i/>
          <w:color w:val="231F20"/>
          <w:spacing w:val="-25"/>
          <w:w w:val="90"/>
          <w:sz w:val="16"/>
        </w:rPr>
        <w:t> </w:t>
      </w:r>
      <w:r>
        <w:rPr>
          <w:rFonts w:ascii="Lucida Sans"/>
          <w:i/>
          <w:color w:val="231F20"/>
          <w:w w:val="90"/>
          <w:sz w:val="16"/>
        </w:rPr>
        <w:t>the</w:t>
      </w:r>
      <w:r>
        <w:rPr>
          <w:rFonts w:ascii="Lucida Sans"/>
          <w:i/>
          <w:color w:val="231F20"/>
          <w:spacing w:val="-25"/>
          <w:w w:val="90"/>
          <w:sz w:val="16"/>
        </w:rPr>
        <w:t> </w:t>
      </w:r>
      <w:r>
        <w:rPr>
          <w:rFonts w:ascii="Lucida Sans"/>
          <w:i/>
          <w:color w:val="231F20"/>
          <w:w w:val="90"/>
          <w:sz w:val="16"/>
        </w:rPr>
        <w:t>American</w:t>
      </w:r>
      <w:r>
        <w:rPr>
          <w:rFonts w:ascii="Lucida Sans"/>
          <w:i/>
          <w:color w:val="231F20"/>
          <w:spacing w:val="-25"/>
          <w:w w:val="90"/>
          <w:sz w:val="16"/>
        </w:rPr>
        <w:t> </w:t>
      </w:r>
      <w:r>
        <w:rPr>
          <w:rFonts w:ascii="Lucida Sans"/>
          <w:i/>
          <w:color w:val="231F20"/>
          <w:w w:val="90"/>
          <w:sz w:val="16"/>
        </w:rPr>
        <w:t>Society</w:t>
      </w:r>
      <w:r>
        <w:rPr>
          <w:rFonts w:ascii="Lucida Sans"/>
          <w:i/>
          <w:color w:val="231F20"/>
          <w:spacing w:val="-25"/>
          <w:w w:val="90"/>
          <w:sz w:val="16"/>
        </w:rPr>
        <w:t> </w:t>
      </w:r>
      <w:r>
        <w:rPr>
          <w:rFonts w:ascii="Lucida Sans"/>
          <w:i/>
          <w:color w:val="231F20"/>
          <w:w w:val="90"/>
          <w:sz w:val="16"/>
        </w:rPr>
        <w:t>of</w:t>
      </w:r>
      <w:r>
        <w:rPr>
          <w:rFonts w:ascii="Lucida Sans"/>
          <w:i/>
          <w:color w:val="231F20"/>
          <w:spacing w:val="-25"/>
          <w:w w:val="90"/>
          <w:sz w:val="16"/>
        </w:rPr>
        <w:t> </w:t>
      </w:r>
      <w:r>
        <w:rPr>
          <w:rFonts w:ascii="Lucida Sans"/>
          <w:i/>
          <w:color w:val="231F20"/>
          <w:w w:val="90"/>
          <w:sz w:val="16"/>
        </w:rPr>
        <w:t>Clinical</w:t>
      </w:r>
      <w:r>
        <w:rPr>
          <w:rFonts w:ascii="Lucida Sans"/>
          <w:i/>
          <w:color w:val="231F20"/>
          <w:spacing w:val="-25"/>
          <w:w w:val="90"/>
          <w:sz w:val="16"/>
        </w:rPr>
        <w:t> </w:t>
      </w:r>
      <w:r>
        <w:rPr>
          <w:rFonts w:ascii="Lucida Sans"/>
          <w:i/>
          <w:color w:val="231F20"/>
          <w:w w:val="90"/>
          <w:sz w:val="16"/>
        </w:rPr>
        <w:t>Investigation.)</w:t>
      </w:r>
    </w:p>
    <w:p>
      <w:pPr>
        <w:spacing w:after="0" w:line="254" w:lineRule="auto"/>
        <w:jc w:val="both"/>
        <w:rPr>
          <w:rFonts w:ascii="Lucida Sans"/>
          <w:sz w:val="16"/>
        </w:rPr>
        <w:sectPr>
          <w:type w:val="continuous"/>
          <w:pgSz w:w="12240" w:h="15660"/>
          <w:pgMar w:top="0" w:bottom="760" w:left="0" w:right="0"/>
          <w:cols w:num="2" w:equalWidth="0">
            <w:col w:w="6121" w:space="40"/>
            <w:col w:w="6079"/>
          </w:cols>
        </w:sectPr>
      </w:pPr>
    </w:p>
    <w:p>
      <w:pPr>
        <w:pStyle w:val="BodyText"/>
        <w:spacing w:before="7"/>
        <w:rPr>
          <w:rFonts w:ascii="Lucida Sans"/>
          <w:i/>
          <w:sz w:val="19"/>
        </w:rPr>
      </w:pPr>
    </w:p>
    <w:p>
      <w:pPr>
        <w:spacing w:after="0"/>
        <w:rPr>
          <w:rFonts w:ascii="Lucida Sans"/>
          <w:sz w:val="19"/>
        </w:rPr>
        <w:sectPr>
          <w:headerReference w:type="even" r:id="rId833"/>
          <w:footerReference w:type="even" r:id="rId834"/>
          <w:footerReference w:type="default" r:id="rId835"/>
          <w:pgSz w:w="12240" w:h="15660"/>
          <w:pgMar w:header="0" w:footer="567" w:top="720" w:bottom="760" w:left="0" w:right="0"/>
          <w:pgNumType w:start="384"/>
        </w:sectPr>
      </w:pPr>
    </w:p>
    <w:p>
      <w:pPr>
        <w:spacing w:before="100"/>
        <w:ind w:left="1080" w:right="0" w:firstLine="0"/>
        <w:jc w:val="both"/>
        <w:rPr>
          <w:rFonts w:ascii="Trebuchet MS"/>
          <w:sz w:val="18"/>
        </w:rPr>
      </w:pPr>
      <w:r>
        <w:rPr/>
        <w:pict>
          <v:rect style="position:absolute;margin-left:0pt;margin-top:144.448669pt;width:36pt;height:24pt;mso-position-horizontal-relative:page;mso-position-vertical-relative:paragraph;z-index:-250800128;mso-wrap-distance-left:0;mso-wrap-distance-right:0" filled="true" fillcolor="#e8dac8" stroked="false">
            <v:fill type="solid"/>
            <w10:wrap type="topAndBottom"/>
          </v:rect>
        </w:pict>
      </w:r>
      <w:r>
        <w:rPr/>
        <w:pict>
          <v:shape style="position:absolute;margin-left:54pt;margin-top:21.45067pt;width:234pt;height:136.75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5"/>
                    <w:gridCol w:w="2836"/>
                  </w:tblGrid>
                  <w:tr>
                    <w:trPr>
                      <w:trHeight w:val="264" w:hRule="atLeast"/>
                    </w:trPr>
                    <w:tc>
                      <w:tcPr>
                        <w:tcW w:w="1845" w:type="dxa"/>
                        <w:shd w:val="clear" w:color="auto" w:fill="D1DDF1"/>
                      </w:tcPr>
                      <w:p>
                        <w:pPr>
                          <w:pStyle w:val="TableParagraph"/>
                          <w:spacing w:before="34"/>
                          <w:ind w:left="120"/>
                          <w:rPr>
                            <w:b/>
                            <w:sz w:val="16"/>
                          </w:rPr>
                        </w:pPr>
                        <w:r>
                          <w:rPr>
                            <w:b/>
                            <w:color w:val="231F20"/>
                            <w:w w:val="105"/>
                            <w:sz w:val="16"/>
                          </w:rPr>
                          <w:t>Increase ADH</w:t>
                        </w:r>
                      </w:p>
                    </w:tc>
                    <w:tc>
                      <w:tcPr>
                        <w:tcW w:w="2836" w:type="dxa"/>
                        <w:shd w:val="clear" w:color="auto" w:fill="D1DDF1"/>
                      </w:tcPr>
                      <w:p>
                        <w:pPr>
                          <w:pStyle w:val="TableParagraph"/>
                          <w:spacing w:before="34"/>
                          <w:ind w:left="159"/>
                          <w:rPr>
                            <w:b/>
                            <w:sz w:val="16"/>
                          </w:rPr>
                        </w:pPr>
                        <w:r>
                          <w:rPr>
                            <w:b/>
                            <w:color w:val="231F20"/>
                            <w:w w:val="105"/>
                            <w:sz w:val="16"/>
                          </w:rPr>
                          <w:t>Decrease ADH</w:t>
                        </w:r>
                      </w:p>
                    </w:tc>
                  </w:tr>
                  <w:tr>
                    <w:trPr>
                      <w:trHeight w:val="259" w:hRule="atLeast"/>
                    </w:trPr>
                    <w:tc>
                      <w:tcPr>
                        <w:tcW w:w="1845" w:type="dxa"/>
                        <w:tcBorders>
                          <w:bottom w:val="single" w:sz="4" w:space="0" w:color="FFFFFF"/>
                        </w:tcBorders>
                        <w:shd w:val="clear" w:color="auto" w:fill="E6ECF7"/>
                      </w:tcPr>
                      <w:p>
                        <w:pPr>
                          <w:pStyle w:val="TableParagraph"/>
                          <w:spacing w:before="24"/>
                          <w:ind w:left="119"/>
                          <w:rPr>
                            <w:sz w:val="16"/>
                          </w:rPr>
                        </w:pPr>
                        <w:r>
                          <w:rPr>
                            <w:rFonts w:ascii="Consolas" w:hAnsi="Consolas"/>
                            <w:color w:val="231F20"/>
                            <w:w w:val="105"/>
                            <w:sz w:val="16"/>
                          </w:rPr>
                          <w:t>↑ </w:t>
                        </w:r>
                        <w:r>
                          <w:rPr>
                            <w:color w:val="231F20"/>
                            <w:w w:val="105"/>
                            <w:sz w:val="16"/>
                          </w:rPr>
                          <w:t>Plasma osmolarity</w:t>
                        </w:r>
                      </w:p>
                    </w:tc>
                    <w:tc>
                      <w:tcPr>
                        <w:tcW w:w="2836" w:type="dxa"/>
                        <w:tcBorders>
                          <w:bottom w:val="single" w:sz="4" w:space="0" w:color="FFFFFF"/>
                        </w:tcBorders>
                        <w:shd w:val="clear" w:color="auto" w:fill="E6ECF7"/>
                      </w:tcPr>
                      <w:p>
                        <w:pPr>
                          <w:pStyle w:val="TableParagraph"/>
                          <w:spacing w:before="24"/>
                          <w:ind w:left="160"/>
                          <w:rPr>
                            <w:sz w:val="16"/>
                          </w:rPr>
                        </w:pPr>
                        <w:r>
                          <w:rPr>
                            <w:rFonts w:ascii="Consolas" w:hAnsi="Consolas"/>
                            <w:color w:val="231F20"/>
                            <w:w w:val="105"/>
                            <w:sz w:val="16"/>
                          </w:rPr>
                          <w:t>↓ </w:t>
                        </w:r>
                        <w:r>
                          <w:rPr>
                            <w:color w:val="231F20"/>
                            <w:w w:val="105"/>
                            <w:sz w:val="16"/>
                          </w:rPr>
                          <w:t>Plasma osmolarity</w:t>
                        </w:r>
                      </w:p>
                    </w:tc>
                  </w:tr>
                  <w:tr>
                    <w:trPr>
                      <w:trHeight w:val="264" w:hRule="atLeast"/>
                    </w:trPr>
                    <w:tc>
                      <w:tcPr>
                        <w:tcW w:w="1845" w:type="dxa"/>
                        <w:tcBorders>
                          <w:top w:val="single" w:sz="4" w:space="0" w:color="FFFFFF"/>
                          <w:bottom w:val="single" w:sz="4" w:space="0" w:color="FFFFFF"/>
                        </w:tcBorders>
                        <w:shd w:val="clear" w:color="auto" w:fill="E6ECF7"/>
                      </w:tcPr>
                      <w:p>
                        <w:pPr>
                          <w:pStyle w:val="TableParagraph"/>
                          <w:ind w:left="120"/>
                          <w:rPr>
                            <w:sz w:val="16"/>
                          </w:rPr>
                        </w:pPr>
                        <w:r>
                          <w:rPr>
                            <w:rFonts w:ascii="Consolas" w:hAnsi="Consolas"/>
                            <w:color w:val="231F20"/>
                            <w:w w:val="110"/>
                            <w:sz w:val="16"/>
                          </w:rPr>
                          <w:t>↓ </w:t>
                        </w:r>
                        <w:r>
                          <w:rPr>
                            <w:color w:val="231F20"/>
                            <w:w w:val="110"/>
                            <w:sz w:val="16"/>
                          </w:rPr>
                          <w:t>Blood volume</w:t>
                        </w:r>
                      </w:p>
                    </w:tc>
                    <w:tc>
                      <w:tcPr>
                        <w:tcW w:w="2836" w:type="dxa"/>
                        <w:tcBorders>
                          <w:top w:val="single" w:sz="4" w:space="0" w:color="FFFFFF"/>
                          <w:bottom w:val="single" w:sz="4" w:space="0" w:color="FFFFFF"/>
                        </w:tcBorders>
                        <w:shd w:val="clear" w:color="auto" w:fill="E6ECF7"/>
                      </w:tcPr>
                      <w:p>
                        <w:pPr>
                          <w:pStyle w:val="TableParagraph"/>
                          <w:ind w:left="160"/>
                          <w:rPr>
                            <w:sz w:val="16"/>
                          </w:rPr>
                        </w:pPr>
                        <w:r>
                          <w:rPr>
                            <w:rFonts w:ascii="Consolas" w:hAnsi="Consolas"/>
                            <w:color w:val="231F20"/>
                            <w:w w:val="110"/>
                            <w:sz w:val="16"/>
                          </w:rPr>
                          <w:t>↑ </w:t>
                        </w:r>
                        <w:r>
                          <w:rPr>
                            <w:color w:val="231F20"/>
                            <w:w w:val="110"/>
                            <w:sz w:val="16"/>
                          </w:rPr>
                          <w:t>Blood volume</w:t>
                        </w:r>
                      </w:p>
                    </w:tc>
                  </w:tr>
                  <w:tr>
                    <w:trPr>
                      <w:trHeight w:val="264" w:hRule="atLeast"/>
                    </w:trPr>
                    <w:tc>
                      <w:tcPr>
                        <w:tcW w:w="1845" w:type="dxa"/>
                        <w:tcBorders>
                          <w:top w:val="single" w:sz="4" w:space="0" w:color="FFFFFF"/>
                          <w:bottom w:val="single" w:sz="4" w:space="0" w:color="FFFFFF"/>
                        </w:tcBorders>
                        <w:shd w:val="clear" w:color="auto" w:fill="E6ECF7"/>
                      </w:tcPr>
                      <w:p>
                        <w:pPr>
                          <w:pStyle w:val="TableParagraph"/>
                          <w:ind w:left="120"/>
                          <w:rPr>
                            <w:sz w:val="16"/>
                          </w:rPr>
                        </w:pPr>
                        <w:r>
                          <w:rPr>
                            <w:rFonts w:ascii="Consolas" w:hAnsi="Consolas"/>
                            <w:color w:val="231F20"/>
                            <w:w w:val="105"/>
                            <w:sz w:val="16"/>
                          </w:rPr>
                          <w:t>↓ </w:t>
                        </w:r>
                        <w:r>
                          <w:rPr>
                            <w:color w:val="231F20"/>
                            <w:w w:val="105"/>
                            <w:sz w:val="16"/>
                          </w:rPr>
                          <w:t>Blood pressure</w:t>
                        </w:r>
                      </w:p>
                    </w:tc>
                    <w:tc>
                      <w:tcPr>
                        <w:tcW w:w="2836" w:type="dxa"/>
                        <w:tcBorders>
                          <w:top w:val="single" w:sz="4" w:space="0" w:color="FFFFFF"/>
                          <w:bottom w:val="single" w:sz="4" w:space="0" w:color="FFFFFF"/>
                        </w:tcBorders>
                        <w:shd w:val="clear" w:color="auto" w:fill="E6ECF7"/>
                      </w:tcPr>
                      <w:p>
                        <w:pPr>
                          <w:pStyle w:val="TableParagraph"/>
                          <w:ind w:left="160"/>
                          <w:rPr>
                            <w:sz w:val="16"/>
                          </w:rPr>
                        </w:pPr>
                        <w:r>
                          <w:rPr>
                            <w:rFonts w:ascii="Consolas" w:hAnsi="Consolas"/>
                            <w:color w:val="231F20"/>
                            <w:w w:val="105"/>
                            <w:sz w:val="16"/>
                          </w:rPr>
                          <w:t>↑ </w:t>
                        </w:r>
                        <w:r>
                          <w:rPr>
                            <w:color w:val="231F20"/>
                            <w:w w:val="105"/>
                            <w:sz w:val="16"/>
                          </w:rPr>
                          <w:t>Blood pressure</w:t>
                        </w:r>
                      </w:p>
                    </w:tc>
                  </w:tr>
                  <w:tr>
                    <w:trPr>
                      <w:trHeight w:val="264" w:hRule="atLeast"/>
                    </w:trPr>
                    <w:tc>
                      <w:tcPr>
                        <w:tcW w:w="4681" w:type="dxa"/>
                        <w:gridSpan w:val="2"/>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Nausea</w:t>
                        </w:r>
                      </w:p>
                    </w:tc>
                  </w:tr>
                  <w:tr>
                    <w:trPr>
                      <w:trHeight w:val="264" w:hRule="atLeast"/>
                    </w:trPr>
                    <w:tc>
                      <w:tcPr>
                        <w:tcW w:w="4681" w:type="dxa"/>
                        <w:gridSpan w:val="2"/>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Hypoxia</w:t>
                        </w:r>
                      </w:p>
                    </w:tc>
                  </w:tr>
                  <w:tr>
                    <w:trPr>
                      <w:trHeight w:val="259" w:hRule="atLeast"/>
                    </w:trPr>
                    <w:tc>
                      <w:tcPr>
                        <w:tcW w:w="1845" w:type="dxa"/>
                        <w:tcBorders>
                          <w:top w:val="single" w:sz="4" w:space="0" w:color="FFFFFF"/>
                        </w:tcBorders>
                        <w:shd w:val="clear" w:color="auto" w:fill="E6ECF7"/>
                      </w:tcPr>
                      <w:p>
                        <w:pPr>
                          <w:pStyle w:val="TableParagraph"/>
                          <w:ind w:left="120"/>
                          <w:rPr>
                            <w:sz w:val="16"/>
                          </w:rPr>
                        </w:pPr>
                        <w:r>
                          <w:rPr>
                            <w:color w:val="231F20"/>
                            <w:w w:val="105"/>
                            <w:sz w:val="16"/>
                          </w:rPr>
                          <w:t>Drugs:</w:t>
                        </w:r>
                      </w:p>
                    </w:tc>
                    <w:tc>
                      <w:tcPr>
                        <w:tcW w:w="2836" w:type="dxa"/>
                        <w:tcBorders>
                          <w:top w:val="single" w:sz="4" w:space="0" w:color="FFFFFF"/>
                        </w:tcBorders>
                        <w:shd w:val="clear" w:color="auto" w:fill="E6ECF7"/>
                      </w:tcPr>
                      <w:p>
                        <w:pPr>
                          <w:pStyle w:val="TableParagraph"/>
                          <w:ind w:left="159"/>
                          <w:rPr>
                            <w:sz w:val="16"/>
                          </w:rPr>
                        </w:pPr>
                        <w:r>
                          <w:rPr>
                            <w:color w:val="231F20"/>
                            <w:w w:val="105"/>
                            <w:sz w:val="16"/>
                          </w:rPr>
                          <w:t>Drugs:</w:t>
                        </w:r>
                      </w:p>
                    </w:tc>
                  </w:tr>
                  <w:tr>
                    <w:trPr>
                      <w:trHeight w:val="274" w:hRule="atLeast"/>
                    </w:trPr>
                    <w:tc>
                      <w:tcPr>
                        <w:tcW w:w="1845" w:type="dxa"/>
                        <w:shd w:val="clear" w:color="auto" w:fill="E6ECF7"/>
                      </w:tcPr>
                      <w:p>
                        <w:pPr>
                          <w:pStyle w:val="TableParagraph"/>
                          <w:spacing w:before="44"/>
                          <w:ind w:left="280"/>
                          <w:rPr>
                            <w:sz w:val="16"/>
                          </w:rPr>
                        </w:pPr>
                        <w:r>
                          <w:rPr>
                            <w:color w:val="231F20"/>
                            <w:w w:val="110"/>
                            <w:sz w:val="16"/>
                          </w:rPr>
                          <w:t>Morphine</w:t>
                        </w:r>
                      </w:p>
                    </w:tc>
                    <w:tc>
                      <w:tcPr>
                        <w:tcW w:w="2836" w:type="dxa"/>
                        <w:shd w:val="clear" w:color="auto" w:fill="E6ECF7"/>
                      </w:tcPr>
                      <w:p>
                        <w:pPr>
                          <w:pStyle w:val="TableParagraph"/>
                          <w:spacing w:before="44"/>
                          <w:ind w:left="319"/>
                          <w:rPr>
                            <w:sz w:val="16"/>
                          </w:rPr>
                        </w:pPr>
                        <w:r>
                          <w:rPr>
                            <w:color w:val="231F20"/>
                            <w:w w:val="110"/>
                            <w:sz w:val="16"/>
                          </w:rPr>
                          <w:t>Alcohol</w:t>
                        </w:r>
                      </w:p>
                    </w:tc>
                  </w:tr>
                  <w:tr>
                    <w:trPr>
                      <w:trHeight w:val="274" w:hRule="atLeast"/>
                    </w:trPr>
                    <w:tc>
                      <w:tcPr>
                        <w:tcW w:w="1845" w:type="dxa"/>
                        <w:shd w:val="clear" w:color="auto" w:fill="E6ECF7"/>
                      </w:tcPr>
                      <w:p>
                        <w:pPr>
                          <w:pStyle w:val="TableParagraph"/>
                          <w:spacing w:before="44"/>
                          <w:ind w:left="280"/>
                          <w:rPr>
                            <w:sz w:val="16"/>
                          </w:rPr>
                        </w:pPr>
                        <w:r>
                          <w:rPr>
                            <w:color w:val="231F20"/>
                            <w:w w:val="105"/>
                            <w:sz w:val="16"/>
                          </w:rPr>
                          <w:t>Nicotine</w:t>
                        </w:r>
                      </w:p>
                    </w:tc>
                    <w:tc>
                      <w:tcPr>
                        <w:tcW w:w="2836" w:type="dxa"/>
                        <w:shd w:val="clear" w:color="auto" w:fill="E6ECF7"/>
                      </w:tcPr>
                      <w:p>
                        <w:pPr>
                          <w:pStyle w:val="TableParagraph"/>
                          <w:spacing w:before="44"/>
                          <w:ind w:left="320"/>
                          <w:rPr>
                            <w:sz w:val="16"/>
                          </w:rPr>
                        </w:pPr>
                        <w:r>
                          <w:rPr>
                            <w:color w:val="231F20"/>
                            <w:w w:val="105"/>
                            <w:sz w:val="16"/>
                          </w:rPr>
                          <w:t>Clonidine (antihypertensive)</w:t>
                        </w:r>
                      </w:p>
                    </w:tc>
                  </w:tr>
                  <w:tr>
                    <w:trPr>
                      <w:trHeight w:val="294" w:hRule="atLeast"/>
                    </w:trPr>
                    <w:tc>
                      <w:tcPr>
                        <w:tcW w:w="1845" w:type="dxa"/>
                        <w:shd w:val="clear" w:color="auto" w:fill="E6ECF7"/>
                      </w:tcPr>
                      <w:p>
                        <w:pPr>
                          <w:pStyle w:val="TableParagraph"/>
                          <w:spacing w:before="44"/>
                          <w:ind w:left="280"/>
                          <w:rPr>
                            <w:sz w:val="16"/>
                          </w:rPr>
                        </w:pPr>
                        <w:r>
                          <w:rPr>
                            <w:color w:val="231F20"/>
                            <w:w w:val="105"/>
                            <w:sz w:val="16"/>
                          </w:rPr>
                          <w:t>Cyclophosphamide</w:t>
                        </w:r>
                      </w:p>
                    </w:tc>
                    <w:tc>
                      <w:tcPr>
                        <w:tcW w:w="2836" w:type="dxa"/>
                        <w:shd w:val="clear" w:color="auto" w:fill="E6ECF7"/>
                      </w:tcPr>
                      <w:p>
                        <w:pPr>
                          <w:pStyle w:val="TableParagraph"/>
                          <w:spacing w:before="44"/>
                          <w:ind w:left="320"/>
                          <w:rPr>
                            <w:sz w:val="16"/>
                          </w:rPr>
                        </w:pPr>
                        <w:r>
                          <w:rPr>
                            <w:color w:val="231F20"/>
                            <w:w w:val="105"/>
                            <w:sz w:val="16"/>
                          </w:rPr>
                          <w:t>Haloperidol (dopamine blocker)</w:t>
                        </w:r>
                      </w:p>
                    </w:tc>
                  </w:tr>
                </w:tbl>
                <w:p>
                  <w:pPr>
                    <w:pStyle w:val="BodyText"/>
                  </w:pPr>
                </w:p>
              </w:txbxContent>
            </v:textbox>
            <w10:wrap type="topAndBottom"/>
          </v:shape>
        </w:pict>
      </w:r>
      <w:bookmarkStart w:name="_bookmark78" w:id="79"/>
      <w:bookmarkEnd w:id="79"/>
      <w:r>
        <w:rPr/>
      </w:r>
      <w:r>
        <w:rPr>
          <w:rFonts w:ascii="Trebuchet MS"/>
          <w:b/>
          <w:color w:val="231F20"/>
          <w:w w:val="105"/>
          <w:sz w:val="18"/>
        </w:rPr>
        <w:t>Table 29-2 </w:t>
      </w:r>
      <w:r>
        <w:rPr>
          <w:rFonts w:ascii="Trebuchet MS"/>
          <w:color w:val="231F20"/>
          <w:w w:val="105"/>
          <w:sz w:val="18"/>
        </w:rPr>
        <w:t>Control of ADH Secretion</w:t>
      </w:r>
    </w:p>
    <w:p>
      <w:pPr>
        <w:pStyle w:val="BodyText"/>
        <w:spacing w:before="1"/>
        <w:rPr>
          <w:rFonts w:ascii="Trebuchet MS"/>
          <w:sz w:val="25"/>
        </w:rPr>
      </w:pPr>
    </w:p>
    <w:p>
      <w:pPr>
        <w:pStyle w:val="BodyText"/>
        <w:spacing w:line="249" w:lineRule="auto"/>
        <w:ind w:left="1080"/>
        <w:jc w:val="both"/>
      </w:pPr>
      <w:r>
        <w:rPr>
          <w:color w:val="231F20"/>
          <w:w w:val="105"/>
        </w:rPr>
        <w:t>ADH</w:t>
      </w:r>
      <w:r>
        <w:rPr>
          <w:color w:val="231F20"/>
          <w:spacing w:val="-18"/>
          <w:w w:val="105"/>
        </w:rPr>
        <w:t> </w:t>
      </w:r>
      <w:r>
        <w:rPr>
          <w:color w:val="231F20"/>
          <w:w w:val="105"/>
        </w:rPr>
        <w:t>secretion.</w:t>
      </w:r>
      <w:r>
        <w:rPr>
          <w:color w:val="231F20"/>
          <w:spacing w:val="-17"/>
          <w:w w:val="105"/>
        </w:rPr>
        <w:t> </w:t>
      </w:r>
      <w:r>
        <w:rPr>
          <w:color w:val="231F20"/>
          <w:w w:val="105"/>
        </w:rPr>
        <w:t>The</w:t>
      </w:r>
      <w:r>
        <w:rPr>
          <w:color w:val="231F20"/>
          <w:spacing w:val="-17"/>
          <w:w w:val="105"/>
        </w:rPr>
        <w:t> </w:t>
      </w:r>
      <w:r>
        <w:rPr>
          <w:color w:val="231F20"/>
          <w:w w:val="105"/>
        </w:rPr>
        <w:t>usual</w:t>
      </w:r>
      <w:r>
        <w:rPr>
          <w:color w:val="231F20"/>
          <w:spacing w:val="-17"/>
          <w:w w:val="105"/>
        </w:rPr>
        <w:t> </w:t>
      </w:r>
      <w:r>
        <w:rPr>
          <w:color w:val="231F20"/>
          <w:w w:val="105"/>
        </w:rPr>
        <w:t>day­to­day</w:t>
      </w:r>
      <w:r>
        <w:rPr>
          <w:color w:val="231F20"/>
          <w:spacing w:val="-17"/>
          <w:w w:val="105"/>
        </w:rPr>
        <w:t> </w:t>
      </w:r>
      <w:r>
        <w:rPr>
          <w:color w:val="231F20"/>
          <w:w w:val="105"/>
        </w:rPr>
        <w:t>regulation</w:t>
      </w:r>
      <w:r>
        <w:rPr>
          <w:color w:val="231F20"/>
          <w:spacing w:val="-17"/>
          <w:w w:val="105"/>
        </w:rPr>
        <w:t> </w:t>
      </w:r>
      <w:r>
        <w:rPr>
          <w:color w:val="231F20"/>
          <w:w w:val="105"/>
        </w:rPr>
        <w:t>of</w:t>
      </w:r>
      <w:r>
        <w:rPr>
          <w:color w:val="231F20"/>
          <w:spacing w:val="-17"/>
          <w:w w:val="105"/>
        </w:rPr>
        <w:t> </w:t>
      </w:r>
      <w:r>
        <w:rPr>
          <w:color w:val="231F20"/>
          <w:w w:val="105"/>
        </w:rPr>
        <w:t>ADH secretion</w:t>
      </w:r>
      <w:r>
        <w:rPr>
          <w:color w:val="231F20"/>
          <w:spacing w:val="-24"/>
          <w:w w:val="105"/>
        </w:rPr>
        <w:t> </w:t>
      </w:r>
      <w:r>
        <w:rPr>
          <w:color w:val="231F20"/>
          <w:w w:val="105"/>
        </w:rPr>
        <w:t>during</w:t>
      </w:r>
      <w:r>
        <w:rPr>
          <w:color w:val="231F20"/>
          <w:spacing w:val="-24"/>
          <w:w w:val="105"/>
        </w:rPr>
        <w:t> </w:t>
      </w:r>
      <w:r>
        <w:rPr>
          <w:color w:val="231F20"/>
          <w:w w:val="105"/>
        </w:rPr>
        <w:t>simple</w:t>
      </w:r>
      <w:r>
        <w:rPr>
          <w:color w:val="231F20"/>
          <w:spacing w:val="-23"/>
          <w:w w:val="105"/>
        </w:rPr>
        <w:t> </w:t>
      </w:r>
      <w:r>
        <w:rPr>
          <w:color w:val="231F20"/>
          <w:w w:val="105"/>
        </w:rPr>
        <w:t>dehydration</w:t>
      </w:r>
      <w:r>
        <w:rPr>
          <w:color w:val="231F20"/>
          <w:spacing w:val="-24"/>
          <w:w w:val="105"/>
        </w:rPr>
        <w:t> </w:t>
      </w:r>
      <w:r>
        <w:rPr>
          <w:color w:val="231F20"/>
          <w:w w:val="105"/>
        </w:rPr>
        <w:t>is</w:t>
      </w:r>
      <w:r>
        <w:rPr>
          <w:color w:val="231F20"/>
          <w:spacing w:val="-24"/>
          <w:w w:val="105"/>
        </w:rPr>
        <w:t> </w:t>
      </w:r>
      <w:r>
        <w:rPr>
          <w:color w:val="231F20"/>
          <w:w w:val="105"/>
        </w:rPr>
        <w:t>effected</w:t>
      </w:r>
      <w:r>
        <w:rPr>
          <w:color w:val="231F20"/>
          <w:spacing w:val="-23"/>
          <w:w w:val="105"/>
        </w:rPr>
        <w:t> </w:t>
      </w:r>
      <w:r>
        <w:rPr>
          <w:color w:val="231F20"/>
          <w:w w:val="105"/>
        </w:rPr>
        <w:t>mainly</w:t>
      </w:r>
      <w:r>
        <w:rPr>
          <w:color w:val="231F20"/>
          <w:spacing w:val="-24"/>
          <w:w w:val="105"/>
        </w:rPr>
        <w:t> </w:t>
      </w:r>
      <w:r>
        <w:rPr>
          <w:color w:val="231F20"/>
          <w:spacing w:val="-6"/>
          <w:w w:val="105"/>
        </w:rPr>
        <w:t>by </w:t>
      </w:r>
      <w:r>
        <w:rPr>
          <w:color w:val="231F20"/>
          <w:w w:val="105"/>
        </w:rPr>
        <w:t>changes</w:t>
      </w:r>
      <w:r>
        <w:rPr>
          <w:color w:val="231F20"/>
          <w:spacing w:val="-12"/>
          <w:w w:val="105"/>
        </w:rPr>
        <w:t> </w:t>
      </w:r>
      <w:r>
        <w:rPr>
          <w:color w:val="231F20"/>
          <w:w w:val="105"/>
        </w:rPr>
        <w:t>in</w:t>
      </w:r>
      <w:r>
        <w:rPr>
          <w:color w:val="231F20"/>
          <w:spacing w:val="-11"/>
          <w:w w:val="105"/>
        </w:rPr>
        <w:t> </w:t>
      </w:r>
      <w:r>
        <w:rPr>
          <w:color w:val="231F20"/>
          <w:w w:val="105"/>
        </w:rPr>
        <w:t>plasma</w:t>
      </w:r>
      <w:r>
        <w:rPr>
          <w:color w:val="231F20"/>
          <w:spacing w:val="-11"/>
          <w:w w:val="105"/>
        </w:rPr>
        <w:t> </w:t>
      </w:r>
      <w:r>
        <w:rPr>
          <w:color w:val="231F20"/>
          <w:w w:val="105"/>
        </w:rPr>
        <w:t>osmolarity.</w:t>
      </w:r>
      <w:r>
        <w:rPr>
          <w:color w:val="231F20"/>
          <w:spacing w:val="-11"/>
          <w:w w:val="105"/>
        </w:rPr>
        <w:t> </w:t>
      </w:r>
      <w:r>
        <w:rPr>
          <w:color w:val="231F20"/>
          <w:w w:val="105"/>
        </w:rPr>
        <w:t>Decreased</w:t>
      </w:r>
      <w:r>
        <w:rPr>
          <w:color w:val="231F20"/>
          <w:spacing w:val="-12"/>
          <w:w w:val="105"/>
        </w:rPr>
        <w:t> </w:t>
      </w:r>
      <w:r>
        <w:rPr>
          <w:color w:val="231F20"/>
          <w:w w:val="105"/>
        </w:rPr>
        <w:t>blood</w:t>
      </w:r>
      <w:r>
        <w:rPr>
          <w:color w:val="231F20"/>
          <w:spacing w:val="-11"/>
          <w:w w:val="105"/>
        </w:rPr>
        <w:t> </w:t>
      </w:r>
      <w:r>
        <w:rPr>
          <w:color w:val="231F20"/>
          <w:w w:val="105"/>
        </w:rPr>
        <w:t>volume, however,</w:t>
      </w:r>
      <w:r>
        <w:rPr>
          <w:color w:val="231F20"/>
          <w:spacing w:val="-33"/>
          <w:w w:val="105"/>
        </w:rPr>
        <w:t> </w:t>
      </w:r>
      <w:r>
        <w:rPr>
          <w:color w:val="231F20"/>
          <w:w w:val="105"/>
        </w:rPr>
        <w:t>greatly</w:t>
      </w:r>
      <w:r>
        <w:rPr>
          <w:color w:val="231F20"/>
          <w:spacing w:val="-32"/>
          <w:w w:val="105"/>
        </w:rPr>
        <w:t> </w:t>
      </w:r>
      <w:r>
        <w:rPr>
          <w:color w:val="231F20"/>
          <w:w w:val="105"/>
        </w:rPr>
        <w:t>enhances</w:t>
      </w:r>
      <w:r>
        <w:rPr>
          <w:color w:val="231F20"/>
          <w:spacing w:val="-32"/>
          <w:w w:val="105"/>
        </w:rPr>
        <w:t> </w:t>
      </w:r>
      <w:r>
        <w:rPr>
          <w:color w:val="231F20"/>
          <w:w w:val="105"/>
        </w:rPr>
        <w:t>the</w:t>
      </w:r>
      <w:r>
        <w:rPr>
          <w:color w:val="231F20"/>
          <w:spacing w:val="-32"/>
          <w:w w:val="105"/>
        </w:rPr>
        <w:t> </w:t>
      </w:r>
      <w:r>
        <w:rPr>
          <w:color w:val="231F20"/>
          <w:w w:val="105"/>
        </w:rPr>
        <w:t>ADH</w:t>
      </w:r>
      <w:r>
        <w:rPr>
          <w:color w:val="231F20"/>
          <w:spacing w:val="-32"/>
          <w:w w:val="105"/>
        </w:rPr>
        <w:t> </w:t>
      </w:r>
      <w:r>
        <w:rPr>
          <w:color w:val="231F20"/>
          <w:w w:val="105"/>
        </w:rPr>
        <w:t>response</w:t>
      </w:r>
      <w:r>
        <w:rPr>
          <w:color w:val="231F20"/>
          <w:spacing w:val="-32"/>
          <w:w w:val="105"/>
        </w:rPr>
        <w:t> </w:t>
      </w:r>
      <w:r>
        <w:rPr>
          <w:color w:val="231F20"/>
          <w:w w:val="105"/>
        </w:rPr>
        <w:t>to</w:t>
      </w:r>
      <w:r>
        <w:rPr>
          <w:color w:val="231F20"/>
          <w:spacing w:val="-32"/>
          <w:w w:val="105"/>
        </w:rPr>
        <w:t> </w:t>
      </w:r>
      <w:r>
        <w:rPr>
          <w:color w:val="231F20"/>
          <w:w w:val="105"/>
        </w:rPr>
        <w:t>increased osmolarity.</w:t>
      </w:r>
    </w:p>
    <w:p>
      <w:pPr>
        <w:pStyle w:val="BodyText"/>
        <w:spacing w:before="10"/>
        <w:rPr>
          <w:sz w:val="29"/>
        </w:rPr>
      </w:pPr>
    </w:p>
    <w:p>
      <w:pPr>
        <w:pStyle w:val="Heading2"/>
        <w:ind w:left="1080"/>
        <w:jc w:val="both"/>
      </w:pPr>
      <w:r>
        <w:rPr>
          <w:color w:val="231F20"/>
          <w:w w:val="105"/>
        </w:rPr>
        <w:t>OTHER STIMULI FOR ADH SECRETION</w:t>
      </w:r>
    </w:p>
    <w:p>
      <w:pPr>
        <w:pStyle w:val="BodyText"/>
        <w:spacing w:line="249" w:lineRule="auto" w:before="125"/>
        <w:ind w:left="1080"/>
        <w:jc w:val="both"/>
      </w:pPr>
      <w:r>
        <w:rPr>
          <w:color w:val="231F20"/>
          <w:w w:val="105"/>
        </w:rPr>
        <w:t>ADH secretion can also be increased or decreased by other</w:t>
      </w:r>
      <w:r>
        <w:rPr>
          <w:color w:val="231F20"/>
          <w:spacing w:val="-9"/>
          <w:w w:val="105"/>
        </w:rPr>
        <w:t> </w:t>
      </w:r>
      <w:r>
        <w:rPr>
          <w:color w:val="231F20"/>
          <w:w w:val="105"/>
        </w:rPr>
        <w:t>stimuli</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central</w:t>
      </w:r>
      <w:r>
        <w:rPr>
          <w:color w:val="231F20"/>
          <w:spacing w:val="-9"/>
          <w:w w:val="105"/>
        </w:rPr>
        <w:t> </w:t>
      </w:r>
      <w:r>
        <w:rPr>
          <w:color w:val="231F20"/>
          <w:w w:val="105"/>
        </w:rPr>
        <w:t>nervous</w:t>
      </w:r>
      <w:r>
        <w:rPr>
          <w:color w:val="231F20"/>
          <w:spacing w:val="-8"/>
          <w:w w:val="105"/>
        </w:rPr>
        <w:t> </w:t>
      </w:r>
      <w:r>
        <w:rPr>
          <w:color w:val="231F20"/>
          <w:w w:val="105"/>
        </w:rPr>
        <w:t>system,</w:t>
      </w:r>
      <w:r>
        <w:rPr>
          <w:color w:val="231F20"/>
          <w:spacing w:val="-8"/>
          <w:w w:val="105"/>
        </w:rPr>
        <w:t> </w:t>
      </w:r>
      <w:r>
        <w:rPr>
          <w:color w:val="231F20"/>
          <w:w w:val="105"/>
        </w:rPr>
        <w:t>as</w:t>
      </w:r>
      <w:r>
        <w:rPr>
          <w:color w:val="231F20"/>
          <w:spacing w:val="-8"/>
          <w:w w:val="105"/>
        </w:rPr>
        <w:t> </w:t>
      </w:r>
      <w:r>
        <w:rPr>
          <w:color w:val="231F20"/>
          <w:w w:val="105"/>
        </w:rPr>
        <w:t>well</w:t>
      </w:r>
      <w:r>
        <w:rPr>
          <w:color w:val="231F20"/>
          <w:spacing w:val="-8"/>
          <w:w w:val="105"/>
        </w:rPr>
        <w:t> </w:t>
      </w:r>
      <w:r>
        <w:rPr>
          <w:color w:val="231F20"/>
          <w:w w:val="105"/>
        </w:rPr>
        <w:t>as</w:t>
      </w:r>
      <w:r>
        <w:rPr>
          <w:color w:val="231F20"/>
          <w:spacing w:val="-9"/>
          <w:w w:val="105"/>
        </w:rPr>
        <w:t> </w:t>
      </w:r>
      <w:r>
        <w:rPr>
          <w:color w:val="231F20"/>
          <w:w w:val="105"/>
        </w:rPr>
        <w:t>by various</w:t>
      </w:r>
      <w:r>
        <w:rPr>
          <w:color w:val="231F20"/>
          <w:spacing w:val="-19"/>
          <w:w w:val="105"/>
        </w:rPr>
        <w:t> </w:t>
      </w:r>
      <w:r>
        <w:rPr>
          <w:color w:val="231F20"/>
          <w:w w:val="105"/>
        </w:rPr>
        <w:t>drugs</w:t>
      </w:r>
      <w:r>
        <w:rPr>
          <w:color w:val="231F20"/>
          <w:spacing w:val="-18"/>
          <w:w w:val="105"/>
        </w:rPr>
        <w:t> </w:t>
      </w:r>
      <w:r>
        <w:rPr>
          <w:color w:val="231F20"/>
          <w:w w:val="105"/>
        </w:rPr>
        <w:t>and</w:t>
      </w:r>
      <w:r>
        <w:rPr>
          <w:color w:val="231F20"/>
          <w:spacing w:val="-18"/>
          <w:w w:val="105"/>
        </w:rPr>
        <w:t> </w:t>
      </w:r>
      <w:r>
        <w:rPr>
          <w:color w:val="231F20"/>
          <w:w w:val="105"/>
        </w:rPr>
        <w:t>hormones,</w:t>
      </w:r>
      <w:r>
        <w:rPr>
          <w:color w:val="231F20"/>
          <w:spacing w:val="-19"/>
          <w:w w:val="105"/>
        </w:rPr>
        <w:t> </w:t>
      </w:r>
      <w:r>
        <w:rPr>
          <w:color w:val="231F20"/>
          <w:w w:val="105"/>
        </w:rPr>
        <w:t>as</w:t>
      </w:r>
      <w:r>
        <w:rPr>
          <w:color w:val="231F20"/>
          <w:spacing w:val="-18"/>
          <w:w w:val="105"/>
        </w:rPr>
        <w:t> </w:t>
      </w:r>
      <w:r>
        <w:rPr>
          <w:color w:val="231F20"/>
          <w:w w:val="105"/>
        </w:rPr>
        <w:t>shown</w:t>
      </w:r>
      <w:r>
        <w:rPr>
          <w:color w:val="231F20"/>
          <w:spacing w:val="-18"/>
          <w:w w:val="105"/>
        </w:rPr>
        <w:t> </w:t>
      </w:r>
      <w:r>
        <w:rPr>
          <w:color w:val="231F20"/>
          <w:w w:val="105"/>
        </w:rPr>
        <w:t>in</w:t>
      </w:r>
      <w:r>
        <w:rPr>
          <w:color w:val="231F20"/>
          <w:spacing w:val="-19"/>
          <w:w w:val="105"/>
        </w:rPr>
        <w:t> </w:t>
      </w:r>
      <w:hyperlink w:history="true" w:anchor="_bookmark78">
        <w:r>
          <w:rPr>
            <w:b/>
            <w:color w:val="0080AC"/>
            <w:spacing w:val="-4"/>
            <w:w w:val="105"/>
          </w:rPr>
          <w:t>Table</w:t>
        </w:r>
        <w:r>
          <w:rPr>
            <w:b/>
            <w:color w:val="0080AC"/>
            <w:spacing w:val="-20"/>
            <w:w w:val="105"/>
          </w:rPr>
          <w:t> </w:t>
        </w:r>
        <w:r>
          <w:rPr>
            <w:b/>
            <w:color w:val="0080AC"/>
            <w:w w:val="105"/>
          </w:rPr>
          <w:t>29-2</w:t>
        </w:r>
      </w:hyperlink>
      <w:r>
        <w:rPr>
          <w:color w:val="231F20"/>
          <w:w w:val="105"/>
        </w:rPr>
        <w:t>.</w:t>
      </w:r>
      <w:r>
        <w:rPr>
          <w:color w:val="231F20"/>
          <w:spacing w:val="-18"/>
          <w:w w:val="105"/>
        </w:rPr>
        <w:t> </w:t>
      </w:r>
      <w:r>
        <w:rPr>
          <w:color w:val="231F20"/>
          <w:spacing w:val="-7"/>
          <w:w w:val="105"/>
        </w:rPr>
        <w:t>For </w:t>
      </w:r>
      <w:r>
        <w:rPr>
          <w:color w:val="231F20"/>
          <w:w w:val="105"/>
        </w:rPr>
        <w:t>example, </w:t>
      </w:r>
      <w:r>
        <w:rPr>
          <w:i/>
          <w:color w:val="231F20"/>
          <w:w w:val="105"/>
        </w:rPr>
        <w:t>nausea </w:t>
      </w:r>
      <w:r>
        <w:rPr>
          <w:color w:val="231F20"/>
          <w:w w:val="105"/>
        </w:rPr>
        <w:t>is a potent stimulus for ADH release, which</w:t>
      </w:r>
      <w:r>
        <w:rPr>
          <w:color w:val="231F20"/>
          <w:spacing w:val="-15"/>
          <w:w w:val="105"/>
        </w:rPr>
        <w:t> </w:t>
      </w:r>
      <w:r>
        <w:rPr>
          <w:color w:val="231F20"/>
          <w:w w:val="105"/>
        </w:rPr>
        <w:t>may</w:t>
      </w:r>
      <w:r>
        <w:rPr>
          <w:color w:val="231F20"/>
          <w:spacing w:val="-15"/>
          <w:w w:val="105"/>
        </w:rPr>
        <w:t> </w:t>
      </w:r>
      <w:r>
        <w:rPr>
          <w:color w:val="231F20"/>
          <w:w w:val="105"/>
        </w:rPr>
        <w:t>increase</w:t>
      </w:r>
      <w:r>
        <w:rPr>
          <w:color w:val="231F20"/>
          <w:spacing w:val="-14"/>
          <w:w w:val="105"/>
        </w:rPr>
        <w:t> </w:t>
      </w:r>
      <w:r>
        <w:rPr>
          <w:color w:val="231F20"/>
          <w:w w:val="105"/>
        </w:rPr>
        <w:t>to</w:t>
      </w:r>
      <w:r>
        <w:rPr>
          <w:color w:val="231F20"/>
          <w:spacing w:val="-15"/>
          <w:w w:val="105"/>
        </w:rPr>
        <w:t> </w:t>
      </w:r>
      <w:r>
        <w:rPr>
          <w:color w:val="231F20"/>
          <w:w w:val="105"/>
        </w:rPr>
        <w:t>as</w:t>
      </w:r>
      <w:r>
        <w:rPr>
          <w:color w:val="231F20"/>
          <w:spacing w:val="-14"/>
          <w:w w:val="105"/>
        </w:rPr>
        <w:t> </w:t>
      </w:r>
      <w:r>
        <w:rPr>
          <w:color w:val="231F20"/>
          <w:w w:val="105"/>
        </w:rPr>
        <w:t>much</w:t>
      </w:r>
      <w:r>
        <w:rPr>
          <w:color w:val="231F20"/>
          <w:spacing w:val="-15"/>
          <w:w w:val="105"/>
        </w:rPr>
        <w:t> </w:t>
      </w:r>
      <w:r>
        <w:rPr>
          <w:color w:val="231F20"/>
          <w:w w:val="105"/>
        </w:rPr>
        <w:t>as</w:t>
      </w:r>
      <w:r>
        <w:rPr>
          <w:color w:val="231F20"/>
          <w:spacing w:val="-14"/>
          <w:w w:val="105"/>
        </w:rPr>
        <w:t> </w:t>
      </w:r>
      <w:r>
        <w:rPr>
          <w:color w:val="231F20"/>
          <w:w w:val="105"/>
        </w:rPr>
        <w:t>100</w:t>
      </w:r>
      <w:r>
        <w:rPr>
          <w:color w:val="231F20"/>
          <w:spacing w:val="-15"/>
          <w:w w:val="105"/>
        </w:rPr>
        <w:t> </w:t>
      </w:r>
      <w:r>
        <w:rPr>
          <w:color w:val="231F20"/>
          <w:w w:val="105"/>
        </w:rPr>
        <w:t>times</w:t>
      </w:r>
      <w:r>
        <w:rPr>
          <w:color w:val="231F20"/>
          <w:spacing w:val="-14"/>
          <w:w w:val="105"/>
        </w:rPr>
        <w:t> </w:t>
      </w:r>
      <w:r>
        <w:rPr>
          <w:color w:val="231F20"/>
          <w:w w:val="105"/>
        </w:rPr>
        <w:t>normal</w:t>
      </w:r>
      <w:r>
        <w:rPr>
          <w:color w:val="231F20"/>
          <w:spacing w:val="-15"/>
          <w:w w:val="105"/>
        </w:rPr>
        <w:t> </w:t>
      </w:r>
      <w:r>
        <w:rPr>
          <w:color w:val="231F20"/>
          <w:w w:val="105"/>
        </w:rPr>
        <w:t>after vomiting. Also, drugs such as </w:t>
      </w:r>
      <w:r>
        <w:rPr>
          <w:i/>
          <w:color w:val="231F20"/>
          <w:w w:val="105"/>
        </w:rPr>
        <w:t>nicotine </w:t>
      </w:r>
      <w:r>
        <w:rPr>
          <w:color w:val="231F20"/>
          <w:w w:val="105"/>
        </w:rPr>
        <w:t>and </w:t>
      </w:r>
      <w:r>
        <w:rPr>
          <w:i/>
          <w:color w:val="231F20"/>
          <w:spacing w:val="-3"/>
          <w:w w:val="105"/>
        </w:rPr>
        <w:t>morphine </w:t>
      </w:r>
      <w:r>
        <w:rPr>
          <w:color w:val="231F20"/>
          <w:w w:val="105"/>
        </w:rPr>
        <w:t>stimulate ADH release, whereas some drugs, such </w:t>
      </w:r>
      <w:r>
        <w:rPr>
          <w:color w:val="231F20"/>
          <w:spacing w:val="-5"/>
          <w:w w:val="105"/>
        </w:rPr>
        <w:t>as </w:t>
      </w:r>
      <w:r>
        <w:rPr>
          <w:i/>
          <w:color w:val="231F20"/>
          <w:w w:val="105"/>
        </w:rPr>
        <w:t>alcohol</w:t>
      </w:r>
      <w:r>
        <w:rPr>
          <w:color w:val="231F20"/>
          <w:w w:val="105"/>
        </w:rPr>
        <w:t>, inhibit ADH release. The marked diuresis </w:t>
      </w:r>
      <w:r>
        <w:rPr>
          <w:color w:val="231F20"/>
          <w:spacing w:val="-5"/>
          <w:w w:val="105"/>
        </w:rPr>
        <w:t>that </w:t>
      </w:r>
      <w:r>
        <w:rPr>
          <w:color w:val="231F20"/>
          <w:w w:val="105"/>
        </w:rPr>
        <w:t>occurs after ingestion of alcohol is due in part to inhibi­ tion of ADH</w:t>
      </w:r>
      <w:r>
        <w:rPr>
          <w:color w:val="231F20"/>
          <w:spacing w:val="7"/>
          <w:w w:val="105"/>
        </w:rPr>
        <w:t> </w:t>
      </w:r>
      <w:r>
        <w:rPr>
          <w:color w:val="231F20"/>
          <w:w w:val="105"/>
        </w:rPr>
        <w:t>release.</w:t>
      </w:r>
    </w:p>
    <w:p>
      <w:pPr>
        <w:pStyle w:val="BodyText"/>
        <w:spacing w:before="3"/>
        <w:rPr>
          <w:sz w:val="25"/>
        </w:rPr>
      </w:pPr>
      <w:r>
        <w:rPr/>
        <w:pict>
          <v:shape style="position:absolute;margin-left:54pt;margin-top:15.755035pt;width:234pt;height:52pt;mso-position-horizontal-relative:page;mso-position-vertical-relative:paragraph;z-index:-250799104;mso-wrap-distance-left:0;mso-wrap-distance-right:0" type="#_x0000_t202" filled="true" fillcolor="#e8dac8" stroked="false">
            <v:textbox inset="0,0,0,0">
              <w:txbxContent>
                <w:p>
                  <w:pPr>
                    <w:spacing w:line="225" w:lineRule="auto" w:before="46"/>
                    <w:ind w:left="60" w:right="1038" w:firstLine="0"/>
                    <w:jc w:val="left"/>
                    <w:rPr>
                      <w:rFonts w:ascii="Trebuchet MS"/>
                      <w:b/>
                      <w:sz w:val="22"/>
                    </w:rPr>
                  </w:pPr>
                  <w:r>
                    <w:rPr>
                      <w:rFonts w:ascii="Trebuchet MS"/>
                      <w:b/>
                      <w:color w:val="231F20"/>
                      <w:w w:val="110"/>
                      <w:sz w:val="22"/>
                    </w:rPr>
                    <w:t>IMPORTANCE OF THIRST IN CONTROLLING EXTRACELLULAR FLUID OSMOLARITY AND SODIUM CONCENTRATION</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w w:val="105"/>
        </w:rPr>
        <w:t>The kidneys minimize fluid loss during water deficits through the osmoreceptor­ADH feedback system. Adequate fluid intake, however, is necessary to</w:t>
      </w:r>
      <w:r>
        <w:rPr>
          <w:color w:val="231F20"/>
          <w:spacing w:val="-32"/>
          <w:w w:val="105"/>
        </w:rPr>
        <w:t> </w:t>
      </w:r>
      <w:r>
        <w:rPr>
          <w:color w:val="231F20"/>
          <w:spacing w:val="-4"/>
          <w:w w:val="105"/>
        </w:rPr>
        <w:t>counter­ </w:t>
      </w:r>
      <w:r>
        <w:rPr>
          <w:color w:val="231F20"/>
          <w:w w:val="105"/>
        </w:rPr>
        <w:t>balance</w:t>
      </w:r>
      <w:r>
        <w:rPr>
          <w:color w:val="231F20"/>
          <w:spacing w:val="-13"/>
          <w:w w:val="105"/>
        </w:rPr>
        <w:t> </w:t>
      </w:r>
      <w:r>
        <w:rPr>
          <w:color w:val="231F20"/>
          <w:w w:val="105"/>
        </w:rPr>
        <w:t>whatever</w:t>
      </w:r>
      <w:r>
        <w:rPr>
          <w:color w:val="231F20"/>
          <w:spacing w:val="-12"/>
          <w:w w:val="105"/>
        </w:rPr>
        <w:t> </w:t>
      </w:r>
      <w:r>
        <w:rPr>
          <w:color w:val="231F20"/>
          <w:w w:val="105"/>
        </w:rPr>
        <w:t>fluid</w:t>
      </w:r>
      <w:r>
        <w:rPr>
          <w:color w:val="231F20"/>
          <w:spacing w:val="-12"/>
          <w:w w:val="105"/>
        </w:rPr>
        <w:t> </w:t>
      </w:r>
      <w:r>
        <w:rPr>
          <w:color w:val="231F20"/>
          <w:w w:val="105"/>
        </w:rPr>
        <w:t>loss</w:t>
      </w:r>
      <w:r>
        <w:rPr>
          <w:color w:val="231F20"/>
          <w:spacing w:val="-12"/>
          <w:w w:val="105"/>
        </w:rPr>
        <w:t> </w:t>
      </w:r>
      <w:r>
        <w:rPr>
          <w:color w:val="231F20"/>
          <w:w w:val="105"/>
        </w:rPr>
        <w:t>does</w:t>
      </w:r>
      <w:r>
        <w:rPr>
          <w:color w:val="231F20"/>
          <w:spacing w:val="-13"/>
          <w:w w:val="105"/>
        </w:rPr>
        <w:t> </w:t>
      </w:r>
      <w:r>
        <w:rPr>
          <w:color w:val="231F20"/>
          <w:w w:val="105"/>
        </w:rPr>
        <w:t>occur</w:t>
      </w:r>
      <w:r>
        <w:rPr>
          <w:color w:val="231F20"/>
          <w:spacing w:val="-12"/>
          <w:w w:val="105"/>
        </w:rPr>
        <w:t> </w:t>
      </w:r>
      <w:r>
        <w:rPr>
          <w:color w:val="231F20"/>
          <w:w w:val="105"/>
        </w:rPr>
        <w:t>through</w:t>
      </w:r>
      <w:r>
        <w:rPr>
          <w:color w:val="231F20"/>
          <w:spacing w:val="-12"/>
          <w:w w:val="105"/>
        </w:rPr>
        <w:t> </w:t>
      </w:r>
      <w:r>
        <w:rPr>
          <w:color w:val="231F20"/>
          <w:w w:val="105"/>
        </w:rPr>
        <w:t>sweating and breathing and through the gastrointestinal tract. Fluid</w:t>
      </w:r>
      <w:r>
        <w:rPr>
          <w:color w:val="231F20"/>
          <w:spacing w:val="-13"/>
          <w:w w:val="105"/>
        </w:rPr>
        <w:t> </w:t>
      </w:r>
      <w:r>
        <w:rPr>
          <w:color w:val="231F20"/>
          <w:w w:val="105"/>
        </w:rPr>
        <w:t>intake</w:t>
      </w:r>
      <w:r>
        <w:rPr>
          <w:color w:val="231F20"/>
          <w:spacing w:val="-12"/>
          <w:w w:val="105"/>
        </w:rPr>
        <w:t> </w:t>
      </w:r>
      <w:r>
        <w:rPr>
          <w:color w:val="231F20"/>
          <w:w w:val="105"/>
        </w:rPr>
        <w:t>is</w:t>
      </w:r>
      <w:r>
        <w:rPr>
          <w:color w:val="231F20"/>
          <w:spacing w:val="-13"/>
          <w:w w:val="105"/>
        </w:rPr>
        <w:t> </w:t>
      </w:r>
      <w:r>
        <w:rPr>
          <w:color w:val="231F20"/>
          <w:w w:val="105"/>
        </w:rPr>
        <w:t>regulated</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3"/>
          <w:w w:val="105"/>
        </w:rPr>
        <w:t> </w:t>
      </w:r>
      <w:r>
        <w:rPr>
          <w:color w:val="231F20"/>
          <w:w w:val="105"/>
        </w:rPr>
        <w:t>thirst</w:t>
      </w:r>
      <w:r>
        <w:rPr>
          <w:color w:val="231F20"/>
          <w:spacing w:val="-12"/>
          <w:w w:val="105"/>
        </w:rPr>
        <w:t> </w:t>
      </w:r>
      <w:r>
        <w:rPr>
          <w:color w:val="231F20"/>
          <w:w w:val="105"/>
        </w:rPr>
        <w:t>mechanism,</w:t>
      </w:r>
      <w:r>
        <w:rPr>
          <w:color w:val="231F20"/>
          <w:spacing w:val="-13"/>
          <w:w w:val="105"/>
        </w:rPr>
        <w:t> </w:t>
      </w:r>
      <w:r>
        <w:rPr>
          <w:color w:val="231F20"/>
          <w:w w:val="105"/>
        </w:rPr>
        <w:t>which, together</w:t>
      </w:r>
      <w:r>
        <w:rPr>
          <w:color w:val="231F20"/>
          <w:spacing w:val="-15"/>
          <w:w w:val="105"/>
        </w:rPr>
        <w:t> </w:t>
      </w:r>
      <w:r>
        <w:rPr>
          <w:color w:val="231F20"/>
          <w:w w:val="105"/>
        </w:rPr>
        <w:t>with</w:t>
      </w:r>
      <w:r>
        <w:rPr>
          <w:color w:val="231F20"/>
          <w:spacing w:val="-15"/>
          <w:w w:val="105"/>
        </w:rPr>
        <w:t> </w:t>
      </w:r>
      <w:r>
        <w:rPr>
          <w:color w:val="231F20"/>
          <w:w w:val="105"/>
        </w:rPr>
        <w:t>the</w:t>
      </w:r>
      <w:r>
        <w:rPr>
          <w:color w:val="231F20"/>
          <w:spacing w:val="-15"/>
          <w:w w:val="105"/>
        </w:rPr>
        <w:t> </w:t>
      </w:r>
      <w:r>
        <w:rPr>
          <w:color w:val="231F20"/>
          <w:w w:val="105"/>
        </w:rPr>
        <w:t>osmoreceptor­ADH</w:t>
      </w:r>
      <w:r>
        <w:rPr>
          <w:color w:val="231F20"/>
          <w:spacing w:val="-15"/>
          <w:w w:val="105"/>
        </w:rPr>
        <w:t> </w:t>
      </w:r>
      <w:r>
        <w:rPr>
          <w:color w:val="231F20"/>
          <w:w w:val="105"/>
        </w:rPr>
        <w:t>mechanism,</w:t>
      </w:r>
      <w:r>
        <w:rPr>
          <w:color w:val="231F20"/>
          <w:spacing w:val="-15"/>
          <w:w w:val="105"/>
        </w:rPr>
        <w:t> </w:t>
      </w:r>
      <w:r>
        <w:rPr>
          <w:color w:val="231F20"/>
          <w:w w:val="105"/>
        </w:rPr>
        <w:t>main­ tains</w:t>
      </w:r>
      <w:r>
        <w:rPr>
          <w:color w:val="231F20"/>
          <w:spacing w:val="-14"/>
          <w:w w:val="105"/>
        </w:rPr>
        <w:t> </w:t>
      </w:r>
      <w:r>
        <w:rPr>
          <w:color w:val="231F20"/>
          <w:w w:val="105"/>
        </w:rPr>
        <w:t>precise</w:t>
      </w:r>
      <w:r>
        <w:rPr>
          <w:color w:val="231F20"/>
          <w:spacing w:val="-13"/>
          <w:w w:val="105"/>
        </w:rPr>
        <w:t> </w:t>
      </w:r>
      <w:r>
        <w:rPr>
          <w:color w:val="231F20"/>
          <w:w w:val="105"/>
        </w:rPr>
        <w:t>control</w:t>
      </w:r>
      <w:r>
        <w:rPr>
          <w:color w:val="231F20"/>
          <w:spacing w:val="-14"/>
          <w:w w:val="105"/>
        </w:rPr>
        <w:t> </w:t>
      </w:r>
      <w:r>
        <w:rPr>
          <w:color w:val="231F20"/>
          <w:w w:val="105"/>
        </w:rPr>
        <w:t>of</w:t>
      </w:r>
      <w:r>
        <w:rPr>
          <w:color w:val="231F20"/>
          <w:spacing w:val="-13"/>
          <w:w w:val="105"/>
        </w:rPr>
        <w:t> </w:t>
      </w:r>
      <w:r>
        <w:rPr>
          <w:color w:val="231F20"/>
          <w:w w:val="105"/>
        </w:rPr>
        <w:t>extracellular</w:t>
      </w:r>
      <w:r>
        <w:rPr>
          <w:color w:val="231F20"/>
          <w:spacing w:val="-14"/>
          <w:w w:val="105"/>
        </w:rPr>
        <w:t> </w:t>
      </w:r>
      <w:r>
        <w:rPr>
          <w:color w:val="231F20"/>
          <w:w w:val="105"/>
        </w:rPr>
        <w:t>fluid</w:t>
      </w:r>
      <w:r>
        <w:rPr>
          <w:color w:val="231F20"/>
          <w:spacing w:val="-13"/>
          <w:w w:val="105"/>
        </w:rPr>
        <w:t> </w:t>
      </w:r>
      <w:r>
        <w:rPr>
          <w:color w:val="231F20"/>
          <w:w w:val="105"/>
        </w:rPr>
        <w:t>osmolarity</w:t>
      </w:r>
      <w:r>
        <w:rPr>
          <w:color w:val="231F20"/>
          <w:spacing w:val="-14"/>
          <w:w w:val="105"/>
        </w:rPr>
        <w:t> </w:t>
      </w:r>
      <w:r>
        <w:rPr>
          <w:color w:val="231F20"/>
          <w:spacing w:val="-5"/>
          <w:w w:val="105"/>
        </w:rPr>
        <w:t>and </w:t>
      </w:r>
      <w:r>
        <w:rPr>
          <w:color w:val="231F20"/>
          <w:w w:val="105"/>
        </w:rPr>
        <w:t>sodium</w:t>
      </w:r>
      <w:r>
        <w:rPr>
          <w:color w:val="231F20"/>
          <w:spacing w:val="3"/>
          <w:w w:val="105"/>
        </w:rPr>
        <w:t> </w:t>
      </w:r>
      <w:r>
        <w:rPr>
          <w:color w:val="231F20"/>
          <w:w w:val="105"/>
        </w:rPr>
        <w:t>concentration.</w:t>
      </w:r>
    </w:p>
    <w:p>
      <w:pPr>
        <w:pStyle w:val="BodyText"/>
        <w:spacing w:line="249" w:lineRule="auto" w:before="7"/>
        <w:ind w:left="1080" w:firstLine="240"/>
        <w:jc w:val="both"/>
      </w:pPr>
      <w:r>
        <w:rPr>
          <w:color w:val="231F20"/>
        </w:rPr>
        <w:t>Many of the same factors that stimulate ADH secre­ tion also increase thirst, which is defined as the conscious desire for water.</w:t>
      </w:r>
    </w:p>
    <w:p>
      <w:pPr>
        <w:pStyle w:val="BodyText"/>
        <w:spacing w:before="10"/>
        <w:rPr>
          <w:sz w:val="30"/>
        </w:rPr>
      </w:pPr>
    </w:p>
    <w:p>
      <w:pPr>
        <w:pStyle w:val="Heading2"/>
        <w:spacing w:line="225" w:lineRule="auto"/>
        <w:ind w:left="1080" w:right="800"/>
      </w:pPr>
      <w:r>
        <w:rPr>
          <w:color w:val="231F20"/>
        </w:rPr>
        <w:t>CENTRAL NERVOUS SYSTEM CENTERS FOR THIRST</w:t>
      </w:r>
    </w:p>
    <w:p>
      <w:pPr>
        <w:pStyle w:val="BodyText"/>
        <w:spacing w:line="249" w:lineRule="auto" w:before="128"/>
        <w:ind w:left="1080"/>
        <w:jc w:val="both"/>
      </w:pPr>
      <w:r>
        <w:rPr>
          <w:color w:val="231F20"/>
          <w:w w:val="105"/>
        </w:rPr>
        <w:t>Referring</w:t>
      </w:r>
      <w:r>
        <w:rPr>
          <w:color w:val="231F20"/>
          <w:spacing w:val="-14"/>
          <w:w w:val="105"/>
        </w:rPr>
        <w:t> </w:t>
      </w:r>
      <w:r>
        <w:rPr>
          <w:color w:val="231F20"/>
          <w:w w:val="105"/>
        </w:rPr>
        <w:t>again</w:t>
      </w:r>
      <w:r>
        <w:rPr>
          <w:color w:val="231F20"/>
          <w:spacing w:val="-13"/>
          <w:w w:val="105"/>
        </w:rPr>
        <w:t> </w:t>
      </w:r>
      <w:r>
        <w:rPr>
          <w:color w:val="231F20"/>
          <w:w w:val="105"/>
        </w:rPr>
        <w:t>to</w:t>
      </w:r>
      <w:r>
        <w:rPr>
          <w:color w:val="231F20"/>
          <w:spacing w:val="-14"/>
          <w:w w:val="105"/>
        </w:rPr>
        <w:t> </w:t>
      </w:r>
      <w:hyperlink w:history="true" w:anchor="_bookmark76">
        <w:r>
          <w:rPr>
            <w:b/>
            <w:color w:val="0080AC"/>
            <w:w w:val="105"/>
          </w:rPr>
          <w:t>Figure</w:t>
        </w:r>
        <w:r>
          <w:rPr>
            <w:b/>
            <w:color w:val="0080AC"/>
            <w:spacing w:val="-15"/>
            <w:w w:val="105"/>
          </w:rPr>
          <w:t> </w:t>
        </w:r>
        <w:r>
          <w:rPr>
            <w:b/>
            <w:color w:val="0080AC"/>
            <w:w w:val="105"/>
          </w:rPr>
          <w:t>29-10</w:t>
        </w:r>
      </w:hyperlink>
      <w:r>
        <w:rPr>
          <w:color w:val="231F20"/>
          <w:w w:val="105"/>
        </w:rPr>
        <w:t>,</w:t>
      </w:r>
      <w:r>
        <w:rPr>
          <w:color w:val="231F20"/>
          <w:spacing w:val="-13"/>
          <w:w w:val="105"/>
        </w:rPr>
        <w:t> </w:t>
      </w:r>
      <w:r>
        <w:rPr>
          <w:color w:val="231F20"/>
          <w:w w:val="105"/>
        </w:rPr>
        <w:t>the</w:t>
      </w:r>
      <w:r>
        <w:rPr>
          <w:color w:val="231F20"/>
          <w:spacing w:val="-14"/>
          <w:w w:val="105"/>
        </w:rPr>
        <w:t> </w:t>
      </w:r>
      <w:r>
        <w:rPr>
          <w:color w:val="231F20"/>
          <w:w w:val="105"/>
        </w:rPr>
        <w:t>same</w:t>
      </w:r>
      <w:r>
        <w:rPr>
          <w:color w:val="231F20"/>
          <w:spacing w:val="-13"/>
          <w:w w:val="105"/>
        </w:rPr>
        <w:t> </w:t>
      </w:r>
      <w:r>
        <w:rPr>
          <w:color w:val="231F20"/>
          <w:w w:val="105"/>
        </w:rPr>
        <w:t>area</w:t>
      </w:r>
      <w:r>
        <w:rPr>
          <w:color w:val="231F20"/>
          <w:spacing w:val="-13"/>
          <w:w w:val="105"/>
        </w:rPr>
        <w:t> </w:t>
      </w:r>
      <w:r>
        <w:rPr>
          <w:color w:val="231F20"/>
          <w:w w:val="105"/>
        </w:rPr>
        <w:t>along</w:t>
      </w:r>
      <w:r>
        <w:rPr>
          <w:color w:val="231F20"/>
          <w:spacing w:val="-14"/>
          <w:w w:val="105"/>
        </w:rPr>
        <w:t> </w:t>
      </w:r>
      <w:r>
        <w:rPr>
          <w:color w:val="231F20"/>
          <w:w w:val="105"/>
        </w:rPr>
        <w:t>the anteroventral wall of the third ventricle that</w:t>
      </w:r>
      <w:r>
        <w:rPr>
          <w:color w:val="231F20"/>
          <w:spacing w:val="-20"/>
          <w:w w:val="105"/>
        </w:rPr>
        <w:t> </w:t>
      </w:r>
      <w:r>
        <w:rPr>
          <w:color w:val="231F20"/>
          <w:spacing w:val="-3"/>
          <w:w w:val="105"/>
        </w:rPr>
        <w:t>promotes</w:t>
      </w:r>
    </w:p>
    <w:p>
      <w:pPr>
        <w:spacing w:before="100"/>
        <w:ind w:left="319" w:right="0" w:firstLine="0"/>
        <w:jc w:val="both"/>
        <w:rPr>
          <w:rFonts w:ascii="Trebuchet MS"/>
          <w:sz w:val="18"/>
        </w:rPr>
      </w:pPr>
      <w:r>
        <w:rPr/>
        <w:br w:type="column"/>
      </w:r>
      <w:bookmarkStart w:name="_bookmark79" w:id="80"/>
      <w:bookmarkEnd w:id="80"/>
      <w:r>
        <w:rPr/>
      </w:r>
      <w:r>
        <w:rPr>
          <w:rFonts w:ascii="Trebuchet MS"/>
          <w:b/>
          <w:color w:val="231F20"/>
          <w:sz w:val="18"/>
        </w:rPr>
        <w:t>Table 29-3 </w:t>
      </w:r>
      <w:r>
        <w:rPr>
          <w:rFonts w:ascii="Trebuchet MS"/>
          <w:color w:val="231F20"/>
          <w:sz w:val="18"/>
        </w:rPr>
        <w:t>Control of Thirst</w:t>
      </w:r>
    </w:p>
    <w:p>
      <w:pPr>
        <w:pStyle w:val="BodyText"/>
        <w:spacing w:before="4"/>
        <w:rPr>
          <w:rFonts w:ascii="Trebuchet MS"/>
          <w:sz w:val="10"/>
        </w:rPr>
      </w:pPr>
    </w:p>
    <w:tbl>
      <w:tblPr>
        <w:tblW w:w="0" w:type="auto"/>
        <w:jc w:val="left"/>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0"/>
      </w:tblGrid>
      <w:tr>
        <w:trPr>
          <w:trHeight w:val="264" w:hRule="atLeast"/>
        </w:trPr>
        <w:tc>
          <w:tcPr>
            <w:tcW w:w="4680" w:type="dxa"/>
            <w:shd w:val="clear" w:color="auto" w:fill="D1DDF1"/>
          </w:tcPr>
          <w:p>
            <w:pPr>
              <w:pStyle w:val="TableParagraph"/>
              <w:tabs>
                <w:tab w:pos="3011" w:val="left" w:leader="none"/>
              </w:tabs>
              <w:spacing w:before="34"/>
              <w:ind w:left="120"/>
              <w:rPr>
                <w:b/>
                <w:sz w:val="16"/>
              </w:rPr>
            </w:pPr>
            <w:r>
              <w:rPr>
                <w:b/>
                <w:color w:val="231F20"/>
                <w:sz w:val="16"/>
              </w:rPr>
              <w:t>Increase</w:t>
            </w:r>
            <w:r>
              <w:rPr>
                <w:b/>
                <w:color w:val="231F20"/>
                <w:spacing w:val="-7"/>
                <w:sz w:val="16"/>
              </w:rPr>
              <w:t> </w:t>
            </w:r>
            <w:r>
              <w:rPr>
                <w:b/>
                <w:color w:val="231F20"/>
                <w:sz w:val="16"/>
              </w:rPr>
              <w:t>Thirst</w:t>
              <w:tab/>
              <w:t>Decrease</w:t>
            </w:r>
            <w:r>
              <w:rPr>
                <w:b/>
                <w:color w:val="231F20"/>
                <w:spacing w:val="3"/>
                <w:sz w:val="16"/>
              </w:rPr>
              <w:t> </w:t>
            </w:r>
            <w:r>
              <w:rPr>
                <w:b/>
                <w:color w:val="231F20"/>
                <w:sz w:val="16"/>
              </w:rPr>
              <w:t>Thirst</w:t>
            </w:r>
          </w:p>
        </w:tc>
      </w:tr>
      <w:tr>
        <w:trPr>
          <w:trHeight w:val="259" w:hRule="atLeast"/>
        </w:trPr>
        <w:tc>
          <w:tcPr>
            <w:tcW w:w="4680" w:type="dxa"/>
            <w:tcBorders>
              <w:bottom w:val="single" w:sz="4" w:space="0" w:color="FFFFFF"/>
            </w:tcBorders>
            <w:shd w:val="clear" w:color="auto" w:fill="E6ECF7"/>
          </w:tcPr>
          <w:p>
            <w:pPr>
              <w:pStyle w:val="TableParagraph"/>
              <w:tabs>
                <w:tab w:pos="3011" w:val="left" w:leader="none"/>
              </w:tabs>
              <w:spacing w:before="24"/>
              <w:ind w:left="120"/>
              <w:rPr>
                <w:sz w:val="16"/>
              </w:rPr>
            </w:pPr>
            <w:r>
              <w:rPr>
                <w:rFonts w:ascii="Consolas" w:hAnsi="Consolas"/>
                <w:color w:val="231F20"/>
                <w:w w:val="105"/>
                <w:sz w:val="16"/>
              </w:rPr>
              <w:t>↑</w:t>
            </w:r>
            <w:r>
              <w:rPr>
                <w:rFonts w:ascii="Consolas" w:hAnsi="Consolas"/>
                <w:color w:val="231F20"/>
                <w:spacing w:val="-43"/>
                <w:w w:val="105"/>
                <w:sz w:val="16"/>
              </w:rPr>
              <w:t> </w:t>
            </w:r>
            <w:r>
              <w:rPr>
                <w:color w:val="231F20"/>
                <w:w w:val="105"/>
                <w:sz w:val="16"/>
              </w:rPr>
              <w:t>Plasma</w:t>
            </w:r>
            <w:r>
              <w:rPr>
                <w:color w:val="231F20"/>
                <w:spacing w:val="-1"/>
                <w:w w:val="105"/>
                <w:sz w:val="16"/>
              </w:rPr>
              <w:t> </w:t>
            </w:r>
            <w:r>
              <w:rPr>
                <w:color w:val="231F20"/>
                <w:w w:val="105"/>
                <w:sz w:val="16"/>
              </w:rPr>
              <w:t>osmolarity</w:t>
              <w:tab/>
            </w:r>
            <w:r>
              <w:rPr>
                <w:rFonts w:ascii="Consolas" w:hAnsi="Consolas"/>
                <w:color w:val="231F20"/>
                <w:w w:val="105"/>
                <w:sz w:val="16"/>
              </w:rPr>
              <w:t>↓</w:t>
            </w:r>
            <w:r>
              <w:rPr>
                <w:rFonts w:ascii="Consolas" w:hAnsi="Consolas"/>
                <w:color w:val="231F20"/>
                <w:spacing w:val="-42"/>
                <w:w w:val="105"/>
                <w:sz w:val="16"/>
              </w:rPr>
              <w:t> </w:t>
            </w:r>
            <w:r>
              <w:rPr>
                <w:color w:val="231F20"/>
                <w:w w:val="105"/>
                <w:sz w:val="16"/>
              </w:rPr>
              <w:t>Plasma osmolarity</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3011" w:val="left" w:leader="none"/>
              </w:tabs>
              <w:ind w:left="120"/>
              <w:rPr>
                <w:sz w:val="16"/>
              </w:rPr>
            </w:pPr>
            <w:r>
              <w:rPr>
                <w:rFonts w:ascii="Consolas" w:hAnsi="Consolas"/>
                <w:color w:val="231F20"/>
                <w:w w:val="110"/>
                <w:sz w:val="16"/>
              </w:rPr>
              <w:t>↓</w:t>
            </w:r>
            <w:r>
              <w:rPr>
                <w:rFonts w:ascii="Consolas" w:hAnsi="Consolas"/>
                <w:color w:val="231F20"/>
                <w:spacing w:val="-50"/>
                <w:w w:val="110"/>
                <w:sz w:val="16"/>
              </w:rPr>
              <w:t> </w:t>
            </w:r>
            <w:r>
              <w:rPr>
                <w:color w:val="231F20"/>
                <w:w w:val="110"/>
                <w:sz w:val="16"/>
              </w:rPr>
              <w:t>Blood</w:t>
            </w:r>
            <w:r>
              <w:rPr>
                <w:color w:val="231F20"/>
                <w:spacing w:val="-6"/>
                <w:w w:val="110"/>
                <w:sz w:val="16"/>
              </w:rPr>
              <w:t> </w:t>
            </w:r>
            <w:r>
              <w:rPr>
                <w:color w:val="231F20"/>
                <w:w w:val="110"/>
                <w:sz w:val="16"/>
              </w:rPr>
              <w:t>volume</w:t>
              <w:tab/>
            </w:r>
            <w:r>
              <w:rPr>
                <w:rFonts w:ascii="Consolas" w:hAnsi="Consolas"/>
                <w:color w:val="231F20"/>
                <w:w w:val="110"/>
                <w:sz w:val="16"/>
              </w:rPr>
              <w:t>↑</w:t>
            </w:r>
            <w:r>
              <w:rPr>
                <w:rFonts w:ascii="Consolas" w:hAnsi="Consolas"/>
                <w:color w:val="231F20"/>
                <w:spacing w:val="-48"/>
                <w:w w:val="110"/>
                <w:sz w:val="16"/>
              </w:rPr>
              <w:t> </w:t>
            </w:r>
            <w:r>
              <w:rPr>
                <w:color w:val="231F20"/>
                <w:w w:val="110"/>
                <w:sz w:val="16"/>
              </w:rPr>
              <w:t>Blood volume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3011" w:val="left" w:leader="none"/>
              </w:tabs>
              <w:ind w:left="120"/>
              <w:rPr>
                <w:sz w:val="16"/>
              </w:rPr>
            </w:pPr>
            <w:r>
              <w:rPr>
                <w:rFonts w:ascii="Consolas" w:hAnsi="Consolas"/>
                <w:color w:val="231F20"/>
                <w:w w:val="105"/>
                <w:sz w:val="16"/>
              </w:rPr>
              <w:t>↓</w:t>
            </w:r>
            <w:r>
              <w:rPr>
                <w:rFonts w:ascii="Consolas" w:hAnsi="Consolas"/>
                <w:color w:val="231F20"/>
                <w:spacing w:val="-38"/>
                <w:w w:val="105"/>
                <w:sz w:val="16"/>
              </w:rPr>
              <w:t> </w:t>
            </w:r>
            <w:r>
              <w:rPr>
                <w:color w:val="231F20"/>
                <w:w w:val="105"/>
                <w:sz w:val="16"/>
              </w:rPr>
              <w:t>Blood</w:t>
            </w:r>
            <w:r>
              <w:rPr>
                <w:color w:val="231F20"/>
                <w:spacing w:val="5"/>
                <w:w w:val="105"/>
                <w:sz w:val="16"/>
              </w:rPr>
              <w:t> </w:t>
            </w:r>
            <w:r>
              <w:rPr>
                <w:color w:val="231F20"/>
                <w:w w:val="105"/>
                <w:sz w:val="16"/>
              </w:rPr>
              <w:t>pressure</w:t>
              <w:tab/>
            </w:r>
            <w:r>
              <w:rPr>
                <w:rFonts w:ascii="Consolas" w:hAnsi="Consolas"/>
                <w:color w:val="231F20"/>
                <w:w w:val="105"/>
                <w:sz w:val="16"/>
              </w:rPr>
              <w:t>↑</w:t>
            </w:r>
            <w:r>
              <w:rPr>
                <w:rFonts w:ascii="Consolas" w:hAnsi="Consolas"/>
                <w:color w:val="231F20"/>
                <w:spacing w:val="-35"/>
                <w:w w:val="105"/>
                <w:sz w:val="16"/>
              </w:rPr>
              <w:t> </w:t>
            </w:r>
            <w:r>
              <w:rPr>
                <w:color w:val="231F20"/>
                <w:w w:val="105"/>
                <w:sz w:val="16"/>
              </w:rPr>
              <w:t>Blood pressure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3011" w:val="left" w:leader="none"/>
              </w:tabs>
              <w:ind w:left="120"/>
              <w:rPr>
                <w:sz w:val="16"/>
              </w:rPr>
            </w:pPr>
            <w:r>
              <w:rPr>
                <w:rFonts w:ascii="Consolas" w:hAnsi="Consolas"/>
                <w:color w:val="231F20"/>
                <w:w w:val="110"/>
                <w:sz w:val="16"/>
              </w:rPr>
              <w:t>↑</w:t>
            </w:r>
            <w:r>
              <w:rPr>
                <w:rFonts w:ascii="Consolas" w:hAnsi="Consolas"/>
                <w:color w:val="231F20"/>
                <w:spacing w:val="-48"/>
                <w:w w:val="110"/>
                <w:sz w:val="16"/>
              </w:rPr>
              <w:t> </w:t>
            </w:r>
            <w:r>
              <w:rPr>
                <w:color w:val="231F20"/>
                <w:w w:val="110"/>
                <w:sz w:val="16"/>
              </w:rPr>
              <w:t>Angiotensin</w:t>
            </w:r>
            <w:r>
              <w:rPr>
                <w:color w:val="231F20"/>
                <w:spacing w:val="-4"/>
                <w:w w:val="110"/>
                <w:sz w:val="16"/>
              </w:rPr>
              <w:t> </w:t>
            </w:r>
            <w:r>
              <w:rPr>
                <w:color w:val="231F20"/>
                <w:w w:val="110"/>
                <w:sz w:val="16"/>
              </w:rPr>
              <w:t>II</w:t>
              <w:tab/>
            </w:r>
            <w:r>
              <w:rPr>
                <w:rFonts w:ascii="Consolas" w:hAnsi="Consolas"/>
                <w:color w:val="231F20"/>
                <w:w w:val="110"/>
                <w:sz w:val="16"/>
              </w:rPr>
              <w:t>↓</w:t>
            </w:r>
            <w:r>
              <w:rPr>
                <w:rFonts w:ascii="Consolas" w:hAnsi="Consolas"/>
                <w:color w:val="231F20"/>
                <w:spacing w:val="-46"/>
                <w:w w:val="110"/>
                <w:sz w:val="16"/>
              </w:rPr>
              <w:t> </w:t>
            </w:r>
            <w:r>
              <w:rPr>
                <w:color w:val="231F20"/>
                <w:w w:val="110"/>
                <w:sz w:val="16"/>
              </w:rPr>
              <w:t>Angiotensin II</w:t>
            </w:r>
          </w:p>
        </w:tc>
      </w:tr>
      <w:tr>
        <w:trPr>
          <w:trHeight w:val="279" w:hRule="atLeast"/>
        </w:trPr>
        <w:tc>
          <w:tcPr>
            <w:tcW w:w="4680" w:type="dxa"/>
            <w:tcBorders>
              <w:top w:val="single" w:sz="4" w:space="0" w:color="FFFFFF"/>
            </w:tcBorders>
            <w:shd w:val="clear" w:color="auto" w:fill="E6ECF7"/>
          </w:tcPr>
          <w:p>
            <w:pPr>
              <w:pStyle w:val="TableParagraph"/>
              <w:tabs>
                <w:tab w:pos="3011" w:val="left" w:leader="none"/>
              </w:tabs>
              <w:ind w:left="120"/>
              <w:rPr>
                <w:sz w:val="16"/>
              </w:rPr>
            </w:pPr>
            <w:r>
              <w:rPr>
                <w:color w:val="231F20"/>
                <w:w w:val="105"/>
                <w:sz w:val="16"/>
              </w:rPr>
              <w:t>Dry</w:t>
            </w:r>
            <w:r>
              <w:rPr>
                <w:color w:val="231F20"/>
                <w:spacing w:val="11"/>
                <w:w w:val="105"/>
                <w:sz w:val="16"/>
              </w:rPr>
              <w:t> </w:t>
            </w:r>
            <w:r>
              <w:rPr>
                <w:color w:val="231F20"/>
                <w:w w:val="105"/>
                <w:sz w:val="16"/>
              </w:rPr>
              <w:t>mouth</w:t>
              <w:tab/>
              <w:t>Gastric</w:t>
            </w:r>
            <w:r>
              <w:rPr>
                <w:color w:val="231F20"/>
                <w:spacing w:val="-1"/>
                <w:w w:val="105"/>
                <w:sz w:val="16"/>
              </w:rPr>
              <w:t> </w:t>
            </w:r>
            <w:r>
              <w:rPr>
                <w:color w:val="231F20"/>
                <w:w w:val="105"/>
                <w:sz w:val="16"/>
              </w:rPr>
              <w:t>distention</w:t>
            </w:r>
          </w:p>
        </w:tc>
      </w:tr>
    </w:tbl>
    <w:p>
      <w:pPr>
        <w:pStyle w:val="BodyText"/>
        <w:rPr>
          <w:rFonts w:ascii="Trebuchet MS"/>
        </w:rPr>
      </w:pPr>
    </w:p>
    <w:p>
      <w:pPr>
        <w:pStyle w:val="BodyText"/>
        <w:spacing w:before="5"/>
        <w:rPr>
          <w:rFonts w:ascii="Trebuchet MS"/>
          <w:sz w:val="16"/>
        </w:rPr>
      </w:pPr>
    </w:p>
    <w:p>
      <w:pPr>
        <w:pStyle w:val="BodyText"/>
        <w:spacing w:line="249" w:lineRule="auto"/>
        <w:ind w:left="319" w:right="1437"/>
        <w:jc w:val="both"/>
        <w:rPr>
          <w:i/>
        </w:rPr>
      </w:pPr>
      <w:r>
        <w:rPr>
          <w:color w:val="231F20"/>
          <w:w w:val="105"/>
        </w:rPr>
        <w:t>ADH release also stimulates thirst. Located anterolater­ ally in the preoptic nucleus is another small area that, when</w:t>
      </w:r>
      <w:r>
        <w:rPr>
          <w:color w:val="231F20"/>
          <w:spacing w:val="-10"/>
          <w:w w:val="105"/>
        </w:rPr>
        <w:t> </w:t>
      </w:r>
      <w:r>
        <w:rPr>
          <w:color w:val="231F20"/>
          <w:w w:val="105"/>
        </w:rPr>
        <w:t>stimulated</w:t>
      </w:r>
      <w:r>
        <w:rPr>
          <w:color w:val="231F20"/>
          <w:spacing w:val="-10"/>
          <w:w w:val="105"/>
        </w:rPr>
        <w:t> </w:t>
      </w:r>
      <w:r>
        <w:rPr>
          <w:color w:val="231F20"/>
          <w:w w:val="105"/>
        </w:rPr>
        <w:t>electrically,</w:t>
      </w:r>
      <w:r>
        <w:rPr>
          <w:color w:val="231F20"/>
          <w:spacing w:val="-10"/>
          <w:w w:val="105"/>
        </w:rPr>
        <w:t> </w:t>
      </w:r>
      <w:r>
        <w:rPr>
          <w:color w:val="231F20"/>
          <w:w w:val="105"/>
        </w:rPr>
        <w:t>causes</w:t>
      </w:r>
      <w:r>
        <w:rPr>
          <w:color w:val="231F20"/>
          <w:spacing w:val="-10"/>
          <w:w w:val="105"/>
        </w:rPr>
        <w:t> </w:t>
      </w:r>
      <w:r>
        <w:rPr>
          <w:color w:val="231F20"/>
          <w:w w:val="105"/>
        </w:rPr>
        <w:t>immediate</w:t>
      </w:r>
      <w:r>
        <w:rPr>
          <w:color w:val="231F20"/>
          <w:spacing w:val="-9"/>
          <w:w w:val="105"/>
        </w:rPr>
        <w:t> </w:t>
      </w:r>
      <w:r>
        <w:rPr>
          <w:color w:val="231F20"/>
          <w:w w:val="105"/>
        </w:rPr>
        <w:t>drinking that continues as long as the stimulation lasts. All these areas together are called the </w:t>
      </w:r>
      <w:r>
        <w:rPr>
          <w:i/>
          <w:color w:val="231F20"/>
          <w:w w:val="105"/>
        </w:rPr>
        <w:t>thirst</w:t>
      </w:r>
      <w:r>
        <w:rPr>
          <w:i/>
          <w:color w:val="231F20"/>
          <w:spacing w:val="-1"/>
          <w:w w:val="105"/>
        </w:rPr>
        <w:t> </w:t>
      </w:r>
      <w:r>
        <w:rPr>
          <w:i/>
          <w:color w:val="231F20"/>
          <w:w w:val="105"/>
        </w:rPr>
        <w:t>center.</w:t>
      </w:r>
    </w:p>
    <w:p>
      <w:pPr>
        <w:pStyle w:val="BodyText"/>
        <w:spacing w:line="249" w:lineRule="auto" w:before="4"/>
        <w:ind w:left="319" w:right="1437" w:firstLine="240"/>
        <w:jc w:val="both"/>
      </w:pPr>
      <w:r>
        <w:rPr>
          <w:color w:val="231F20"/>
          <w:w w:val="105"/>
        </w:rPr>
        <w:t>The neurons of the thirst center respond to injections of hypertonic salt solutions by stimulating drinking behavior.</w:t>
      </w:r>
      <w:r>
        <w:rPr>
          <w:color w:val="231F20"/>
          <w:spacing w:val="-10"/>
          <w:w w:val="105"/>
        </w:rPr>
        <w:t> </w:t>
      </w:r>
      <w:r>
        <w:rPr>
          <w:color w:val="231F20"/>
          <w:w w:val="105"/>
        </w:rPr>
        <w:t>These</w:t>
      </w:r>
      <w:r>
        <w:rPr>
          <w:color w:val="231F20"/>
          <w:spacing w:val="-9"/>
          <w:w w:val="105"/>
        </w:rPr>
        <w:t> </w:t>
      </w:r>
      <w:r>
        <w:rPr>
          <w:color w:val="231F20"/>
          <w:w w:val="105"/>
        </w:rPr>
        <w:t>cells</w:t>
      </w:r>
      <w:r>
        <w:rPr>
          <w:color w:val="231F20"/>
          <w:spacing w:val="-9"/>
          <w:w w:val="105"/>
        </w:rPr>
        <w:t> </w:t>
      </w:r>
      <w:r>
        <w:rPr>
          <w:color w:val="231F20"/>
          <w:w w:val="105"/>
        </w:rPr>
        <w:t>almost</w:t>
      </w:r>
      <w:r>
        <w:rPr>
          <w:color w:val="231F20"/>
          <w:spacing w:val="-10"/>
          <w:w w:val="105"/>
        </w:rPr>
        <w:t> </w:t>
      </w:r>
      <w:r>
        <w:rPr>
          <w:color w:val="231F20"/>
          <w:w w:val="105"/>
        </w:rPr>
        <w:t>certainly</w:t>
      </w:r>
      <w:r>
        <w:rPr>
          <w:color w:val="231F20"/>
          <w:spacing w:val="-9"/>
          <w:w w:val="105"/>
        </w:rPr>
        <w:t> </w:t>
      </w:r>
      <w:r>
        <w:rPr>
          <w:color w:val="231F20"/>
          <w:w w:val="105"/>
        </w:rPr>
        <w:t>function</w:t>
      </w:r>
      <w:r>
        <w:rPr>
          <w:color w:val="231F20"/>
          <w:spacing w:val="-9"/>
          <w:w w:val="105"/>
        </w:rPr>
        <w:t> </w:t>
      </w:r>
      <w:r>
        <w:rPr>
          <w:color w:val="231F20"/>
          <w:w w:val="105"/>
        </w:rPr>
        <w:t>as</w:t>
      </w:r>
      <w:r>
        <w:rPr>
          <w:color w:val="231F20"/>
          <w:spacing w:val="-10"/>
          <w:w w:val="105"/>
        </w:rPr>
        <w:t> </w:t>
      </w:r>
      <w:r>
        <w:rPr>
          <w:color w:val="231F20"/>
          <w:w w:val="105"/>
        </w:rPr>
        <w:t>osmo­ receptors to activate the thirst mechanism, in the same way that the osmoreceptors stimulate ADH</w:t>
      </w:r>
      <w:r>
        <w:rPr>
          <w:color w:val="231F20"/>
          <w:spacing w:val="-19"/>
          <w:w w:val="105"/>
        </w:rPr>
        <w:t> </w:t>
      </w:r>
      <w:r>
        <w:rPr>
          <w:color w:val="231F20"/>
          <w:w w:val="105"/>
        </w:rPr>
        <w:t>release.</w:t>
      </w:r>
    </w:p>
    <w:p>
      <w:pPr>
        <w:pStyle w:val="BodyText"/>
        <w:spacing w:line="249" w:lineRule="auto" w:before="4"/>
        <w:ind w:left="319" w:right="1437" w:firstLine="240"/>
        <w:jc w:val="both"/>
      </w:pPr>
      <w:r>
        <w:rPr>
          <w:color w:val="231F20"/>
          <w:w w:val="105"/>
        </w:rPr>
        <w:t>Increased osmolarity of the cerebrospinal fluid in</w:t>
      </w:r>
      <w:r>
        <w:rPr>
          <w:color w:val="231F20"/>
          <w:spacing w:val="-16"/>
          <w:w w:val="105"/>
        </w:rPr>
        <w:t> </w:t>
      </w:r>
      <w:r>
        <w:rPr>
          <w:color w:val="231F20"/>
          <w:w w:val="105"/>
        </w:rPr>
        <w:t>the third</w:t>
      </w:r>
      <w:r>
        <w:rPr>
          <w:color w:val="231F20"/>
          <w:spacing w:val="-9"/>
          <w:w w:val="105"/>
        </w:rPr>
        <w:t> </w:t>
      </w:r>
      <w:r>
        <w:rPr>
          <w:color w:val="231F20"/>
          <w:w w:val="105"/>
        </w:rPr>
        <w:t>ventricle</w:t>
      </w:r>
      <w:r>
        <w:rPr>
          <w:color w:val="231F20"/>
          <w:spacing w:val="-9"/>
          <w:w w:val="105"/>
        </w:rPr>
        <w:t> </w:t>
      </w:r>
      <w:r>
        <w:rPr>
          <w:color w:val="231F20"/>
          <w:w w:val="105"/>
        </w:rPr>
        <w:t>has</w:t>
      </w:r>
      <w:r>
        <w:rPr>
          <w:color w:val="231F20"/>
          <w:spacing w:val="-9"/>
          <w:w w:val="105"/>
        </w:rPr>
        <w:t> </w:t>
      </w:r>
      <w:r>
        <w:rPr>
          <w:color w:val="231F20"/>
          <w:w w:val="105"/>
        </w:rPr>
        <w:t>essentially</w:t>
      </w:r>
      <w:r>
        <w:rPr>
          <w:color w:val="231F20"/>
          <w:spacing w:val="-9"/>
          <w:w w:val="105"/>
        </w:rPr>
        <w:t> </w:t>
      </w:r>
      <w:r>
        <w:rPr>
          <w:color w:val="231F20"/>
          <w:w w:val="105"/>
        </w:rPr>
        <w:t>the</w:t>
      </w:r>
      <w:r>
        <w:rPr>
          <w:color w:val="231F20"/>
          <w:spacing w:val="-9"/>
          <w:w w:val="105"/>
        </w:rPr>
        <w:t> </w:t>
      </w:r>
      <w:r>
        <w:rPr>
          <w:color w:val="231F20"/>
          <w:w w:val="105"/>
        </w:rPr>
        <w:t>same</w:t>
      </w:r>
      <w:r>
        <w:rPr>
          <w:color w:val="231F20"/>
          <w:spacing w:val="-9"/>
          <w:w w:val="105"/>
        </w:rPr>
        <w:t> </w:t>
      </w:r>
      <w:r>
        <w:rPr>
          <w:color w:val="231F20"/>
          <w:w w:val="105"/>
        </w:rPr>
        <w:t>effect</w:t>
      </w:r>
      <w:r>
        <w:rPr>
          <w:color w:val="231F20"/>
          <w:spacing w:val="-9"/>
          <w:w w:val="105"/>
        </w:rPr>
        <w:t> </w:t>
      </w:r>
      <w:r>
        <w:rPr>
          <w:color w:val="231F20"/>
          <w:w w:val="105"/>
        </w:rPr>
        <w:t>to</w:t>
      </w:r>
      <w:r>
        <w:rPr>
          <w:color w:val="231F20"/>
          <w:spacing w:val="-9"/>
          <w:w w:val="105"/>
        </w:rPr>
        <w:t> </w:t>
      </w:r>
      <w:r>
        <w:rPr>
          <w:color w:val="231F20"/>
          <w:w w:val="105"/>
        </w:rPr>
        <w:t>promote drinking. </w:t>
      </w:r>
      <w:r>
        <w:rPr>
          <w:color w:val="231F20"/>
          <w:spacing w:val="-3"/>
          <w:w w:val="105"/>
        </w:rPr>
        <w:t>It </w:t>
      </w:r>
      <w:r>
        <w:rPr>
          <w:color w:val="231F20"/>
          <w:w w:val="105"/>
        </w:rPr>
        <w:t>is likely that the </w:t>
      </w:r>
      <w:r>
        <w:rPr>
          <w:i/>
          <w:color w:val="231F20"/>
          <w:w w:val="105"/>
        </w:rPr>
        <w:t>organum vasculosum of</w:t>
      </w:r>
      <w:r>
        <w:rPr>
          <w:i/>
          <w:color w:val="231F20"/>
          <w:spacing w:val="-21"/>
          <w:w w:val="105"/>
        </w:rPr>
        <w:t> </w:t>
      </w:r>
      <w:r>
        <w:rPr>
          <w:i/>
          <w:color w:val="231F20"/>
          <w:spacing w:val="-5"/>
          <w:w w:val="105"/>
        </w:rPr>
        <w:t>the </w:t>
      </w:r>
      <w:r>
        <w:rPr>
          <w:i/>
          <w:color w:val="231F20"/>
          <w:w w:val="105"/>
        </w:rPr>
        <w:t>lamina terminalis, </w:t>
      </w:r>
      <w:r>
        <w:rPr>
          <w:color w:val="231F20"/>
          <w:w w:val="105"/>
        </w:rPr>
        <w:t>which lies immediately beneath the ventricular</w:t>
      </w:r>
      <w:r>
        <w:rPr>
          <w:color w:val="231F20"/>
          <w:spacing w:val="-25"/>
          <w:w w:val="105"/>
        </w:rPr>
        <w:t> </w:t>
      </w:r>
      <w:r>
        <w:rPr>
          <w:color w:val="231F20"/>
          <w:w w:val="105"/>
        </w:rPr>
        <w:t>surface</w:t>
      </w:r>
      <w:r>
        <w:rPr>
          <w:color w:val="231F20"/>
          <w:spacing w:val="-25"/>
          <w:w w:val="105"/>
        </w:rPr>
        <w:t> </w:t>
      </w:r>
      <w:r>
        <w:rPr>
          <w:color w:val="231F20"/>
          <w:w w:val="105"/>
        </w:rPr>
        <w:t>at</w:t>
      </w:r>
      <w:r>
        <w:rPr>
          <w:color w:val="231F20"/>
          <w:spacing w:val="-24"/>
          <w:w w:val="105"/>
        </w:rPr>
        <w:t> </w:t>
      </w:r>
      <w:r>
        <w:rPr>
          <w:color w:val="231F20"/>
          <w:w w:val="105"/>
        </w:rPr>
        <w:t>the</w:t>
      </w:r>
      <w:r>
        <w:rPr>
          <w:color w:val="231F20"/>
          <w:spacing w:val="-25"/>
          <w:w w:val="105"/>
        </w:rPr>
        <w:t> </w:t>
      </w:r>
      <w:r>
        <w:rPr>
          <w:color w:val="231F20"/>
          <w:w w:val="105"/>
        </w:rPr>
        <w:t>inferior</w:t>
      </w:r>
      <w:r>
        <w:rPr>
          <w:color w:val="231F20"/>
          <w:spacing w:val="-24"/>
          <w:w w:val="105"/>
        </w:rPr>
        <w:t> </w:t>
      </w:r>
      <w:r>
        <w:rPr>
          <w:color w:val="231F20"/>
          <w:w w:val="105"/>
        </w:rPr>
        <w:t>end</w:t>
      </w:r>
      <w:r>
        <w:rPr>
          <w:color w:val="231F20"/>
          <w:spacing w:val="-25"/>
          <w:w w:val="105"/>
        </w:rPr>
        <w:t> </w:t>
      </w:r>
      <w:r>
        <w:rPr>
          <w:color w:val="231F20"/>
          <w:w w:val="105"/>
        </w:rPr>
        <w:t>of</w:t>
      </w:r>
      <w:r>
        <w:rPr>
          <w:color w:val="231F20"/>
          <w:spacing w:val="-24"/>
          <w:w w:val="105"/>
        </w:rPr>
        <w:t> </w:t>
      </w:r>
      <w:r>
        <w:rPr>
          <w:color w:val="231F20"/>
          <w:w w:val="105"/>
        </w:rPr>
        <w:t>the</w:t>
      </w:r>
      <w:r>
        <w:rPr>
          <w:color w:val="231F20"/>
          <w:spacing w:val="-25"/>
          <w:w w:val="105"/>
        </w:rPr>
        <w:t> </w:t>
      </w:r>
      <w:r>
        <w:rPr>
          <w:color w:val="231F20"/>
          <w:spacing w:val="-4"/>
          <w:w w:val="105"/>
        </w:rPr>
        <w:t>AV3V</w:t>
      </w:r>
      <w:r>
        <w:rPr>
          <w:color w:val="231F20"/>
          <w:spacing w:val="-25"/>
          <w:w w:val="105"/>
        </w:rPr>
        <w:t> </w:t>
      </w:r>
      <w:r>
        <w:rPr>
          <w:color w:val="231F20"/>
          <w:w w:val="105"/>
        </w:rPr>
        <w:t>region, is intimately involved in mediating this</w:t>
      </w:r>
      <w:r>
        <w:rPr>
          <w:color w:val="231F20"/>
          <w:spacing w:val="-21"/>
          <w:w w:val="105"/>
        </w:rPr>
        <w:t> </w:t>
      </w:r>
      <w:r>
        <w:rPr>
          <w:color w:val="231F20"/>
          <w:w w:val="105"/>
        </w:rPr>
        <w:t>response.</w:t>
      </w:r>
    </w:p>
    <w:p>
      <w:pPr>
        <w:pStyle w:val="BodyText"/>
        <w:rPr>
          <w:sz w:val="30"/>
        </w:rPr>
      </w:pPr>
    </w:p>
    <w:p>
      <w:pPr>
        <w:pStyle w:val="Heading2"/>
        <w:jc w:val="both"/>
      </w:pPr>
      <w:r>
        <w:rPr>
          <w:color w:val="231F20"/>
        </w:rPr>
        <w:t>STIMULI FOR THIRST</w:t>
      </w:r>
    </w:p>
    <w:p>
      <w:pPr>
        <w:spacing w:line="249" w:lineRule="auto" w:before="125"/>
        <w:ind w:left="319" w:right="1437" w:firstLine="0"/>
        <w:jc w:val="both"/>
        <w:rPr>
          <w:sz w:val="20"/>
        </w:rPr>
      </w:pPr>
      <w:hyperlink w:history="true" w:anchor="_bookmark79">
        <w:r>
          <w:rPr>
            <w:b/>
            <w:color w:val="0080AC"/>
            <w:spacing w:val="-4"/>
            <w:sz w:val="20"/>
          </w:rPr>
          <w:t>Table </w:t>
        </w:r>
        <w:r>
          <w:rPr>
            <w:b/>
            <w:color w:val="0080AC"/>
            <w:sz w:val="20"/>
          </w:rPr>
          <w:t>29-3 </w:t>
        </w:r>
      </w:hyperlink>
      <w:r>
        <w:rPr>
          <w:color w:val="231F20"/>
          <w:sz w:val="20"/>
        </w:rPr>
        <w:t>summarizes some of the known stimuli </w:t>
      </w:r>
      <w:r>
        <w:rPr>
          <w:color w:val="231F20"/>
          <w:spacing w:val="-5"/>
          <w:sz w:val="20"/>
        </w:rPr>
        <w:t>for </w:t>
      </w:r>
      <w:r>
        <w:rPr>
          <w:color w:val="231F20"/>
          <w:sz w:val="20"/>
        </w:rPr>
        <w:t>thirst. One of the most important is </w:t>
      </w:r>
      <w:r>
        <w:rPr>
          <w:i/>
          <w:color w:val="231F20"/>
          <w:sz w:val="20"/>
        </w:rPr>
        <w:t>increased extracel- </w:t>
      </w:r>
      <w:r>
        <w:rPr>
          <w:i/>
          <w:color w:val="231F20"/>
          <w:sz w:val="20"/>
        </w:rPr>
        <w:t>lular</w:t>
      </w:r>
      <w:r>
        <w:rPr>
          <w:i/>
          <w:color w:val="231F20"/>
          <w:spacing w:val="-7"/>
          <w:sz w:val="20"/>
        </w:rPr>
        <w:t> </w:t>
      </w:r>
      <w:r>
        <w:rPr>
          <w:i/>
          <w:color w:val="231F20"/>
          <w:sz w:val="20"/>
        </w:rPr>
        <w:t>fluid</w:t>
      </w:r>
      <w:r>
        <w:rPr>
          <w:i/>
          <w:color w:val="231F20"/>
          <w:spacing w:val="-6"/>
          <w:sz w:val="20"/>
        </w:rPr>
        <w:t> </w:t>
      </w:r>
      <w:r>
        <w:rPr>
          <w:i/>
          <w:color w:val="231F20"/>
          <w:sz w:val="20"/>
        </w:rPr>
        <w:t>osmolarity,</w:t>
      </w:r>
      <w:r>
        <w:rPr>
          <w:i/>
          <w:color w:val="231F20"/>
          <w:spacing w:val="-7"/>
          <w:sz w:val="20"/>
        </w:rPr>
        <w:t> </w:t>
      </w:r>
      <w:r>
        <w:rPr>
          <w:i/>
          <w:color w:val="231F20"/>
          <w:sz w:val="20"/>
        </w:rPr>
        <w:t>which</w:t>
      </w:r>
      <w:r>
        <w:rPr>
          <w:i/>
          <w:color w:val="231F20"/>
          <w:spacing w:val="-6"/>
          <w:sz w:val="20"/>
        </w:rPr>
        <w:t> </w:t>
      </w:r>
      <w:r>
        <w:rPr>
          <w:i/>
          <w:color w:val="231F20"/>
          <w:sz w:val="20"/>
        </w:rPr>
        <w:t>causes</w:t>
      </w:r>
      <w:r>
        <w:rPr>
          <w:i/>
          <w:color w:val="231F20"/>
          <w:spacing w:val="-7"/>
          <w:sz w:val="20"/>
        </w:rPr>
        <w:t> </w:t>
      </w:r>
      <w:r>
        <w:rPr>
          <w:i/>
          <w:color w:val="231F20"/>
          <w:sz w:val="20"/>
        </w:rPr>
        <w:t>intracellular</w:t>
      </w:r>
      <w:r>
        <w:rPr>
          <w:i/>
          <w:color w:val="231F20"/>
          <w:spacing w:val="-6"/>
          <w:sz w:val="20"/>
        </w:rPr>
        <w:t> </w:t>
      </w:r>
      <w:r>
        <w:rPr>
          <w:i/>
          <w:color w:val="231F20"/>
          <w:sz w:val="20"/>
        </w:rPr>
        <w:t>dehydra- tion in the thirst centers, </w:t>
      </w:r>
      <w:r>
        <w:rPr>
          <w:color w:val="231F20"/>
          <w:sz w:val="20"/>
        </w:rPr>
        <w:t>thereby stimulating the </w:t>
      </w:r>
      <w:r>
        <w:rPr>
          <w:color w:val="231F20"/>
          <w:spacing w:val="-3"/>
          <w:sz w:val="20"/>
        </w:rPr>
        <w:t>sensation </w:t>
      </w:r>
      <w:r>
        <w:rPr>
          <w:color w:val="231F20"/>
          <w:sz w:val="20"/>
        </w:rPr>
        <w:t>of thirst. The value of this response is obvious: it helps to dilute extracellular fluids and returns osmolarity </w:t>
      </w:r>
      <w:r>
        <w:rPr>
          <w:color w:val="231F20"/>
          <w:spacing w:val="-3"/>
          <w:sz w:val="20"/>
        </w:rPr>
        <w:t>toward </w:t>
      </w:r>
      <w:r>
        <w:rPr>
          <w:color w:val="231F20"/>
          <w:sz w:val="20"/>
        </w:rPr>
        <w:t>normal.</w:t>
      </w:r>
    </w:p>
    <w:p>
      <w:pPr>
        <w:pStyle w:val="BodyText"/>
        <w:spacing w:line="249" w:lineRule="auto" w:before="6"/>
        <w:ind w:left="319" w:right="1437" w:firstLine="240"/>
        <w:jc w:val="both"/>
      </w:pPr>
      <w:r>
        <w:rPr>
          <w:i/>
          <w:color w:val="231F20"/>
          <w:w w:val="105"/>
        </w:rPr>
        <w:t>Decreases in extracellular fluid volume and arterial </w:t>
      </w:r>
      <w:r>
        <w:rPr>
          <w:i/>
          <w:color w:val="231F20"/>
          <w:w w:val="105"/>
        </w:rPr>
        <w:t>pressure also stimulate thirst </w:t>
      </w:r>
      <w:r>
        <w:rPr>
          <w:color w:val="231F20"/>
          <w:w w:val="105"/>
        </w:rPr>
        <w:t>by a pathway that is inde­ pendent</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one</w:t>
      </w:r>
      <w:r>
        <w:rPr>
          <w:color w:val="231F20"/>
          <w:spacing w:val="-17"/>
          <w:w w:val="105"/>
        </w:rPr>
        <w:t> </w:t>
      </w:r>
      <w:r>
        <w:rPr>
          <w:color w:val="231F20"/>
          <w:w w:val="105"/>
        </w:rPr>
        <w:t>stimulated</w:t>
      </w:r>
      <w:r>
        <w:rPr>
          <w:color w:val="231F20"/>
          <w:spacing w:val="-17"/>
          <w:w w:val="105"/>
        </w:rPr>
        <w:t> </w:t>
      </w:r>
      <w:r>
        <w:rPr>
          <w:color w:val="231F20"/>
          <w:w w:val="105"/>
        </w:rPr>
        <w:t>by</w:t>
      </w:r>
      <w:r>
        <w:rPr>
          <w:color w:val="231F20"/>
          <w:spacing w:val="-17"/>
          <w:w w:val="105"/>
        </w:rPr>
        <w:t> </w:t>
      </w:r>
      <w:r>
        <w:rPr>
          <w:color w:val="231F20"/>
          <w:w w:val="105"/>
        </w:rPr>
        <w:t>increased</w:t>
      </w:r>
      <w:r>
        <w:rPr>
          <w:color w:val="231F20"/>
          <w:spacing w:val="-17"/>
          <w:w w:val="105"/>
        </w:rPr>
        <w:t> </w:t>
      </w:r>
      <w:r>
        <w:rPr>
          <w:color w:val="231F20"/>
          <w:w w:val="105"/>
        </w:rPr>
        <w:t>plasma</w:t>
      </w:r>
      <w:r>
        <w:rPr>
          <w:color w:val="231F20"/>
          <w:spacing w:val="-17"/>
          <w:w w:val="105"/>
        </w:rPr>
        <w:t> </w:t>
      </w:r>
      <w:r>
        <w:rPr>
          <w:color w:val="231F20"/>
          <w:spacing w:val="-3"/>
          <w:w w:val="105"/>
        </w:rPr>
        <w:t>osmo­ </w:t>
      </w:r>
      <w:r>
        <w:rPr>
          <w:color w:val="231F20"/>
          <w:w w:val="105"/>
        </w:rPr>
        <w:t>larity.</w:t>
      </w:r>
      <w:r>
        <w:rPr>
          <w:color w:val="231F20"/>
          <w:spacing w:val="-23"/>
          <w:w w:val="105"/>
        </w:rPr>
        <w:t> </w:t>
      </w:r>
      <w:r>
        <w:rPr>
          <w:color w:val="231F20"/>
          <w:w w:val="105"/>
        </w:rPr>
        <w:t>Thus,</w:t>
      </w:r>
      <w:r>
        <w:rPr>
          <w:color w:val="231F20"/>
          <w:spacing w:val="-23"/>
          <w:w w:val="105"/>
        </w:rPr>
        <w:t> </w:t>
      </w:r>
      <w:r>
        <w:rPr>
          <w:color w:val="231F20"/>
          <w:w w:val="105"/>
        </w:rPr>
        <w:t>blood</w:t>
      </w:r>
      <w:r>
        <w:rPr>
          <w:color w:val="231F20"/>
          <w:spacing w:val="-23"/>
          <w:w w:val="105"/>
        </w:rPr>
        <w:t> </w:t>
      </w:r>
      <w:r>
        <w:rPr>
          <w:color w:val="231F20"/>
          <w:w w:val="105"/>
        </w:rPr>
        <w:t>volume</w:t>
      </w:r>
      <w:r>
        <w:rPr>
          <w:color w:val="231F20"/>
          <w:spacing w:val="-22"/>
          <w:w w:val="105"/>
        </w:rPr>
        <w:t> </w:t>
      </w:r>
      <w:r>
        <w:rPr>
          <w:color w:val="231F20"/>
          <w:w w:val="105"/>
        </w:rPr>
        <w:t>loss</w:t>
      </w:r>
      <w:r>
        <w:rPr>
          <w:color w:val="231F20"/>
          <w:spacing w:val="-23"/>
          <w:w w:val="105"/>
        </w:rPr>
        <w:t> </w:t>
      </w:r>
      <w:r>
        <w:rPr>
          <w:color w:val="231F20"/>
          <w:w w:val="105"/>
        </w:rPr>
        <w:t>by</w:t>
      </w:r>
      <w:r>
        <w:rPr>
          <w:color w:val="231F20"/>
          <w:spacing w:val="-23"/>
          <w:w w:val="105"/>
        </w:rPr>
        <w:t> </w:t>
      </w:r>
      <w:r>
        <w:rPr>
          <w:color w:val="231F20"/>
          <w:w w:val="105"/>
        </w:rPr>
        <w:t>hemorrhage</w:t>
      </w:r>
      <w:r>
        <w:rPr>
          <w:color w:val="231F20"/>
          <w:spacing w:val="-22"/>
          <w:w w:val="105"/>
        </w:rPr>
        <w:t> </w:t>
      </w:r>
      <w:r>
        <w:rPr>
          <w:color w:val="231F20"/>
          <w:w w:val="105"/>
        </w:rPr>
        <w:t>stimulates thirst even though there might be no change in plasma osmolarity. This stimulation probably occurs because</w:t>
      </w:r>
      <w:r>
        <w:rPr>
          <w:color w:val="231F20"/>
          <w:spacing w:val="-37"/>
          <w:w w:val="105"/>
        </w:rPr>
        <w:t> </w:t>
      </w:r>
      <w:r>
        <w:rPr>
          <w:color w:val="231F20"/>
          <w:spacing w:val="-6"/>
          <w:w w:val="105"/>
        </w:rPr>
        <w:t>of </w:t>
      </w:r>
      <w:r>
        <w:rPr>
          <w:color w:val="231F20"/>
          <w:w w:val="105"/>
        </w:rPr>
        <w:t>neural</w:t>
      </w:r>
      <w:r>
        <w:rPr>
          <w:color w:val="231F20"/>
          <w:spacing w:val="-13"/>
          <w:w w:val="105"/>
        </w:rPr>
        <w:t> </w:t>
      </w:r>
      <w:r>
        <w:rPr>
          <w:color w:val="231F20"/>
          <w:w w:val="105"/>
        </w:rPr>
        <w:t>input</w:t>
      </w:r>
      <w:r>
        <w:rPr>
          <w:color w:val="231F20"/>
          <w:spacing w:val="-12"/>
          <w:w w:val="105"/>
        </w:rPr>
        <w:t> </w:t>
      </w:r>
      <w:r>
        <w:rPr>
          <w:color w:val="231F20"/>
          <w:w w:val="105"/>
        </w:rPr>
        <w:t>from</w:t>
      </w:r>
      <w:r>
        <w:rPr>
          <w:color w:val="231F20"/>
          <w:spacing w:val="-12"/>
          <w:w w:val="105"/>
        </w:rPr>
        <w:t> </w:t>
      </w:r>
      <w:r>
        <w:rPr>
          <w:color w:val="231F20"/>
          <w:w w:val="105"/>
        </w:rPr>
        <w:t>cardiopulmonary</w:t>
      </w:r>
      <w:r>
        <w:rPr>
          <w:color w:val="231F20"/>
          <w:spacing w:val="-12"/>
          <w:w w:val="105"/>
        </w:rPr>
        <w:t> </w:t>
      </w:r>
      <w:r>
        <w:rPr>
          <w:color w:val="231F20"/>
          <w:w w:val="105"/>
        </w:rPr>
        <w:t>and</w:t>
      </w:r>
      <w:r>
        <w:rPr>
          <w:color w:val="231F20"/>
          <w:spacing w:val="-12"/>
          <w:w w:val="105"/>
        </w:rPr>
        <w:t> </w:t>
      </w:r>
      <w:r>
        <w:rPr>
          <w:color w:val="231F20"/>
          <w:w w:val="105"/>
        </w:rPr>
        <w:t>systemic</w:t>
      </w:r>
      <w:r>
        <w:rPr>
          <w:color w:val="231F20"/>
          <w:spacing w:val="-12"/>
          <w:w w:val="105"/>
        </w:rPr>
        <w:t> </w:t>
      </w:r>
      <w:r>
        <w:rPr>
          <w:color w:val="231F20"/>
          <w:w w:val="105"/>
        </w:rPr>
        <w:t>arterial baroreceptors in the</w:t>
      </w:r>
      <w:r>
        <w:rPr>
          <w:color w:val="231F20"/>
          <w:spacing w:val="8"/>
          <w:w w:val="105"/>
        </w:rPr>
        <w:t> </w:t>
      </w:r>
      <w:r>
        <w:rPr>
          <w:color w:val="231F20"/>
          <w:w w:val="105"/>
        </w:rPr>
        <w:t>circulation.</w:t>
      </w:r>
    </w:p>
    <w:p>
      <w:pPr>
        <w:pStyle w:val="BodyText"/>
        <w:spacing w:line="249" w:lineRule="auto" w:before="6"/>
        <w:ind w:left="319" w:right="1437" w:firstLine="240"/>
        <w:jc w:val="both"/>
      </w:pPr>
      <w:r>
        <w:rPr>
          <w:i/>
          <w:color w:val="231F20"/>
          <w:w w:val="105"/>
        </w:rPr>
        <w:t>A</w:t>
      </w:r>
      <w:r>
        <w:rPr>
          <w:i/>
          <w:color w:val="231F20"/>
          <w:spacing w:val="-7"/>
          <w:w w:val="105"/>
        </w:rPr>
        <w:t> </w:t>
      </w:r>
      <w:r>
        <w:rPr>
          <w:i/>
          <w:color w:val="231F20"/>
          <w:w w:val="105"/>
        </w:rPr>
        <w:t>third</w:t>
      </w:r>
      <w:r>
        <w:rPr>
          <w:i/>
          <w:color w:val="231F20"/>
          <w:spacing w:val="-6"/>
          <w:w w:val="105"/>
        </w:rPr>
        <w:t> </w:t>
      </w:r>
      <w:r>
        <w:rPr>
          <w:i/>
          <w:color w:val="231F20"/>
          <w:w w:val="105"/>
        </w:rPr>
        <w:t>important</w:t>
      </w:r>
      <w:r>
        <w:rPr>
          <w:i/>
          <w:color w:val="231F20"/>
          <w:spacing w:val="-7"/>
          <w:w w:val="105"/>
        </w:rPr>
        <w:t> </w:t>
      </w:r>
      <w:r>
        <w:rPr>
          <w:i/>
          <w:color w:val="231F20"/>
          <w:w w:val="105"/>
        </w:rPr>
        <w:t>stimulus</w:t>
      </w:r>
      <w:r>
        <w:rPr>
          <w:i/>
          <w:color w:val="231F20"/>
          <w:spacing w:val="-6"/>
          <w:w w:val="105"/>
        </w:rPr>
        <w:t> </w:t>
      </w:r>
      <w:r>
        <w:rPr>
          <w:i/>
          <w:color w:val="231F20"/>
          <w:w w:val="105"/>
        </w:rPr>
        <w:t>for</w:t>
      </w:r>
      <w:r>
        <w:rPr>
          <w:i/>
          <w:color w:val="231F20"/>
          <w:spacing w:val="-7"/>
          <w:w w:val="105"/>
        </w:rPr>
        <w:t> </w:t>
      </w:r>
      <w:r>
        <w:rPr>
          <w:i/>
          <w:color w:val="231F20"/>
          <w:w w:val="105"/>
        </w:rPr>
        <w:t>thirst</w:t>
      </w:r>
      <w:r>
        <w:rPr>
          <w:i/>
          <w:color w:val="231F20"/>
          <w:spacing w:val="-6"/>
          <w:w w:val="105"/>
        </w:rPr>
        <w:t> </w:t>
      </w:r>
      <w:r>
        <w:rPr>
          <w:i/>
          <w:color w:val="231F20"/>
          <w:w w:val="105"/>
        </w:rPr>
        <w:t>is</w:t>
      </w:r>
      <w:r>
        <w:rPr>
          <w:i/>
          <w:color w:val="231F20"/>
          <w:spacing w:val="-7"/>
          <w:w w:val="105"/>
        </w:rPr>
        <w:t> </w:t>
      </w:r>
      <w:r>
        <w:rPr>
          <w:i/>
          <w:color w:val="231F20"/>
          <w:w w:val="105"/>
        </w:rPr>
        <w:t>angiotensin</w:t>
      </w:r>
      <w:r>
        <w:rPr>
          <w:i/>
          <w:color w:val="231F20"/>
          <w:spacing w:val="-6"/>
          <w:w w:val="105"/>
        </w:rPr>
        <w:t> </w:t>
      </w:r>
      <w:r>
        <w:rPr>
          <w:i/>
          <w:color w:val="231F20"/>
          <w:w w:val="105"/>
        </w:rPr>
        <w:t>II</w:t>
      </w:r>
      <w:r>
        <w:rPr>
          <w:color w:val="231F20"/>
          <w:w w:val="105"/>
        </w:rPr>
        <w:t>. Studies in animals have shown that angiotensin II acts on</w:t>
      </w:r>
      <w:r>
        <w:rPr>
          <w:color w:val="231F20"/>
          <w:spacing w:val="-19"/>
          <w:w w:val="105"/>
        </w:rPr>
        <w:t> </w:t>
      </w:r>
      <w:r>
        <w:rPr>
          <w:color w:val="231F20"/>
          <w:w w:val="105"/>
        </w:rPr>
        <w:t>the</w:t>
      </w:r>
      <w:r>
        <w:rPr>
          <w:color w:val="231F20"/>
          <w:spacing w:val="-18"/>
          <w:w w:val="105"/>
        </w:rPr>
        <w:t> </w:t>
      </w:r>
      <w:r>
        <w:rPr>
          <w:color w:val="231F20"/>
          <w:w w:val="105"/>
        </w:rPr>
        <w:t>subfornical</w:t>
      </w:r>
      <w:r>
        <w:rPr>
          <w:color w:val="231F20"/>
          <w:spacing w:val="-18"/>
          <w:w w:val="105"/>
        </w:rPr>
        <w:t> </w:t>
      </w:r>
      <w:r>
        <w:rPr>
          <w:color w:val="231F20"/>
          <w:w w:val="105"/>
        </w:rPr>
        <w:t>organ</w:t>
      </w:r>
      <w:r>
        <w:rPr>
          <w:color w:val="231F20"/>
          <w:spacing w:val="-18"/>
          <w:w w:val="105"/>
        </w:rPr>
        <w:t> </w:t>
      </w:r>
      <w:r>
        <w:rPr>
          <w:color w:val="231F20"/>
          <w:w w:val="105"/>
        </w:rPr>
        <w:t>and</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organum</w:t>
      </w:r>
      <w:r>
        <w:rPr>
          <w:color w:val="231F20"/>
          <w:spacing w:val="-18"/>
          <w:w w:val="105"/>
        </w:rPr>
        <w:t> </w:t>
      </w:r>
      <w:r>
        <w:rPr>
          <w:color w:val="231F20"/>
          <w:w w:val="105"/>
        </w:rPr>
        <w:t>vasculosum of the lamina terminalis. These regions are outside </w:t>
      </w:r>
      <w:r>
        <w:rPr>
          <w:color w:val="231F20"/>
          <w:spacing w:val="-5"/>
          <w:w w:val="105"/>
        </w:rPr>
        <w:t>the </w:t>
      </w:r>
      <w:r>
        <w:rPr>
          <w:color w:val="231F20"/>
          <w:w w:val="105"/>
        </w:rPr>
        <w:t>blood­brain barrier, and peptides such as angiotensin II diffuse into the tissues. Because angiotensin II is also stimulated by factors associated with hypovolemia and low blood pressure, its effect on thirst helps to restore blood volume and blood pressure toward normal, along with</w:t>
      </w:r>
      <w:r>
        <w:rPr>
          <w:color w:val="231F20"/>
          <w:spacing w:val="-8"/>
          <w:w w:val="105"/>
        </w:rPr>
        <w:t> </w:t>
      </w:r>
      <w:r>
        <w:rPr>
          <w:color w:val="231F20"/>
          <w:w w:val="105"/>
        </w:rPr>
        <w:t>the</w:t>
      </w:r>
      <w:r>
        <w:rPr>
          <w:color w:val="231F20"/>
          <w:spacing w:val="-7"/>
          <w:w w:val="105"/>
        </w:rPr>
        <w:t> </w:t>
      </w:r>
      <w:r>
        <w:rPr>
          <w:color w:val="231F20"/>
          <w:w w:val="105"/>
        </w:rPr>
        <w:t>other</w:t>
      </w:r>
      <w:r>
        <w:rPr>
          <w:color w:val="231F20"/>
          <w:spacing w:val="-8"/>
          <w:w w:val="105"/>
        </w:rPr>
        <w:t> </w:t>
      </w:r>
      <w:r>
        <w:rPr>
          <w:color w:val="231F20"/>
          <w:w w:val="105"/>
        </w:rPr>
        <w:t>actions</w:t>
      </w:r>
      <w:r>
        <w:rPr>
          <w:color w:val="231F20"/>
          <w:spacing w:val="-7"/>
          <w:w w:val="105"/>
        </w:rPr>
        <w:t> </w:t>
      </w:r>
      <w:r>
        <w:rPr>
          <w:color w:val="231F20"/>
          <w:w w:val="105"/>
        </w:rPr>
        <w:t>of</w:t>
      </w:r>
      <w:r>
        <w:rPr>
          <w:color w:val="231F20"/>
          <w:spacing w:val="-8"/>
          <w:w w:val="105"/>
        </w:rPr>
        <w:t> </w:t>
      </w:r>
      <w:r>
        <w:rPr>
          <w:color w:val="231F20"/>
          <w:w w:val="105"/>
        </w:rPr>
        <w:t>angiotensin</w:t>
      </w:r>
      <w:r>
        <w:rPr>
          <w:color w:val="231F20"/>
          <w:spacing w:val="-7"/>
          <w:w w:val="105"/>
        </w:rPr>
        <w:t> </w:t>
      </w:r>
      <w:r>
        <w:rPr>
          <w:color w:val="231F20"/>
          <w:w w:val="105"/>
        </w:rPr>
        <w:t>II</w:t>
      </w:r>
      <w:r>
        <w:rPr>
          <w:color w:val="231F20"/>
          <w:spacing w:val="-8"/>
          <w:w w:val="105"/>
        </w:rPr>
        <w:t> </w:t>
      </w:r>
      <w:r>
        <w:rPr>
          <w:color w:val="231F20"/>
          <w:w w:val="105"/>
        </w:rPr>
        <w:t>on</w:t>
      </w:r>
      <w:r>
        <w:rPr>
          <w:color w:val="231F20"/>
          <w:spacing w:val="-7"/>
          <w:w w:val="105"/>
        </w:rPr>
        <w:t> </w:t>
      </w:r>
      <w:r>
        <w:rPr>
          <w:color w:val="231F20"/>
          <w:w w:val="105"/>
        </w:rPr>
        <w:t>the</w:t>
      </w:r>
      <w:r>
        <w:rPr>
          <w:color w:val="231F20"/>
          <w:spacing w:val="-8"/>
          <w:w w:val="105"/>
        </w:rPr>
        <w:t> </w:t>
      </w:r>
      <w:r>
        <w:rPr>
          <w:color w:val="231F20"/>
          <w:w w:val="105"/>
        </w:rPr>
        <w:t>kidneys</w:t>
      </w:r>
      <w:r>
        <w:rPr>
          <w:color w:val="231F20"/>
          <w:spacing w:val="-7"/>
          <w:w w:val="105"/>
        </w:rPr>
        <w:t> </w:t>
      </w:r>
      <w:r>
        <w:rPr>
          <w:color w:val="231F20"/>
          <w:w w:val="105"/>
        </w:rPr>
        <w:t>to decrease fluid</w:t>
      </w:r>
      <w:r>
        <w:rPr>
          <w:color w:val="231F20"/>
          <w:spacing w:val="4"/>
          <w:w w:val="105"/>
        </w:rPr>
        <w:t> </w:t>
      </w:r>
      <w:r>
        <w:rPr>
          <w:color w:val="231F20"/>
          <w:w w:val="105"/>
        </w:rPr>
        <w:t>excretion.</w:t>
      </w:r>
    </w:p>
    <w:p>
      <w:pPr>
        <w:spacing w:line="249" w:lineRule="auto" w:before="9"/>
        <w:ind w:left="319" w:right="1437" w:firstLine="240"/>
        <w:jc w:val="both"/>
        <w:rPr>
          <w:sz w:val="20"/>
        </w:rPr>
      </w:pPr>
      <w:r>
        <w:rPr>
          <w:i/>
          <w:color w:val="231F20"/>
          <w:sz w:val="20"/>
        </w:rPr>
        <w:t>Dryness of the mouth and mucous membranes of the </w:t>
      </w:r>
      <w:r>
        <w:rPr>
          <w:i/>
          <w:color w:val="231F20"/>
          <w:sz w:val="20"/>
        </w:rPr>
        <w:t>esophagus </w:t>
      </w:r>
      <w:r>
        <w:rPr>
          <w:color w:val="231F20"/>
          <w:sz w:val="20"/>
        </w:rPr>
        <w:t>can elicit the sensation of thirst. As a result, a</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836"/>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7288371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w10:wrap type="none"/>
          </v:group>
        </w:pict>
      </w:r>
      <w:r>
        <w:rPr>
          <w:color w:val="231F20"/>
          <w:w w:val="105"/>
        </w:rPr>
        <w:t>thirsty</w:t>
      </w:r>
      <w:r>
        <w:rPr>
          <w:color w:val="231F20"/>
          <w:spacing w:val="-26"/>
          <w:w w:val="105"/>
        </w:rPr>
        <w:t> </w:t>
      </w:r>
      <w:r>
        <w:rPr>
          <w:color w:val="231F20"/>
          <w:w w:val="105"/>
        </w:rPr>
        <w:t>person</w:t>
      </w:r>
      <w:r>
        <w:rPr>
          <w:color w:val="231F20"/>
          <w:spacing w:val="-25"/>
          <w:w w:val="105"/>
        </w:rPr>
        <w:t> </w:t>
      </w:r>
      <w:r>
        <w:rPr>
          <w:color w:val="231F20"/>
          <w:w w:val="105"/>
        </w:rPr>
        <w:t>may</w:t>
      </w:r>
      <w:r>
        <w:rPr>
          <w:color w:val="231F20"/>
          <w:spacing w:val="-25"/>
          <w:w w:val="105"/>
        </w:rPr>
        <w:t> </w:t>
      </w:r>
      <w:r>
        <w:rPr>
          <w:color w:val="231F20"/>
          <w:w w:val="105"/>
        </w:rPr>
        <w:t>receive</w:t>
      </w:r>
      <w:r>
        <w:rPr>
          <w:color w:val="231F20"/>
          <w:spacing w:val="-26"/>
          <w:w w:val="105"/>
        </w:rPr>
        <w:t> </w:t>
      </w:r>
      <w:r>
        <w:rPr>
          <w:color w:val="231F20"/>
          <w:w w:val="105"/>
        </w:rPr>
        <w:t>relief</w:t>
      </w:r>
      <w:r>
        <w:rPr>
          <w:color w:val="231F20"/>
          <w:spacing w:val="-25"/>
          <w:w w:val="105"/>
        </w:rPr>
        <w:t> </w:t>
      </w:r>
      <w:r>
        <w:rPr>
          <w:color w:val="231F20"/>
          <w:w w:val="105"/>
        </w:rPr>
        <w:t>from</w:t>
      </w:r>
      <w:r>
        <w:rPr>
          <w:color w:val="231F20"/>
          <w:spacing w:val="-25"/>
          <w:w w:val="105"/>
        </w:rPr>
        <w:t> </w:t>
      </w:r>
      <w:r>
        <w:rPr>
          <w:color w:val="231F20"/>
          <w:w w:val="105"/>
        </w:rPr>
        <w:t>thirst</w:t>
      </w:r>
      <w:r>
        <w:rPr>
          <w:color w:val="231F20"/>
          <w:spacing w:val="-26"/>
          <w:w w:val="105"/>
        </w:rPr>
        <w:t> </w:t>
      </w:r>
      <w:r>
        <w:rPr>
          <w:color w:val="231F20"/>
          <w:w w:val="105"/>
        </w:rPr>
        <w:t>almost</w:t>
      </w:r>
      <w:r>
        <w:rPr>
          <w:color w:val="231F20"/>
          <w:spacing w:val="-25"/>
          <w:w w:val="105"/>
        </w:rPr>
        <w:t> </w:t>
      </w:r>
      <w:r>
        <w:rPr>
          <w:color w:val="231F20"/>
          <w:w w:val="105"/>
        </w:rPr>
        <w:t>imme­ diately after drinking </w:t>
      </w:r>
      <w:r>
        <w:rPr>
          <w:color w:val="231F20"/>
          <w:spacing w:val="-3"/>
          <w:w w:val="105"/>
        </w:rPr>
        <w:t>water, </w:t>
      </w:r>
      <w:r>
        <w:rPr>
          <w:color w:val="231F20"/>
          <w:w w:val="105"/>
        </w:rPr>
        <w:t>even though the water </w:t>
      </w:r>
      <w:r>
        <w:rPr>
          <w:color w:val="231F20"/>
          <w:spacing w:val="-5"/>
          <w:w w:val="105"/>
        </w:rPr>
        <w:t>has </w:t>
      </w:r>
      <w:r>
        <w:rPr>
          <w:color w:val="231F20"/>
          <w:w w:val="105"/>
        </w:rPr>
        <w:t>not</w:t>
      </w:r>
      <w:r>
        <w:rPr>
          <w:color w:val="231F20"/>
          <w:spacing w:val="-10"/>
          <w:w w:val="105"/>
        </w:rPr>
        <w:t> </w:t>
      </w:r>
      <w:r>
        <w:rPr>
          <w:color w:val="231F20"/>
          <w:w w:val="105"/>
        </w:rPr>
        <w:t>been</w:t>
      </w:r>
      <w:r>
        <w:rPr>
          <w:color w:val="231F20"/>
          <w:spacing w:val="-10"/>
          <w:w w:val="105"/>
        </w:rPr>
        <w:t> </w:t>
      </w:r>
      <w:r>
        <w:rPr>
          <w:color w:val="231F20"/>
          <w:w w:val="105"/>
        </w:rPr>
        <w:t>absorbed</w:t>
      </w:r>
      <w:r>
        <w:rPr>
          <w:color w:val="231F20"/>
          <w:spacing w:val="-9"/>
          <w:w w:val="105"/>
        </w:rPr>
        <w:t> </w:t>
      </w:r>
      <w:r>
        <w:rPr>
          <w:color w:val="231F20"/>
          <w:w w:val="105"/>
        </w:rPr>
        <w:t>from</w:t>
      </w:r>
      <w:r>
        <w:rPr>
          <w:color w:val="231F20"/>
          <w:spacing w:val="-10"/>
          <w:w w:val="105"/>
        </w:rPr>
        <w:t> </w:t>
      </w:r>
      <w:r>
        <w:rPr>
          <w:color w:val="231F20"/>
          <w:w w:val="105"/>
        </w:rPr>
        <w:t>the</w:t>
      </w:r>
      <w:r>
        <w:rPr>
          <w:color w:val="231F20"/>
          <w:spacing w:val="-9"/>
          <w:w w:val="105"/>
        </w:rPr>
        <w:t> </w:t>
      </w:r>
      <w:r>
        <w:rPr>
          <w:color w:val="231F20"/>
          <w:w w:val="105"/>
        </w:rPr>
        <w:t>gastrointestinal</w:t>
      </w:r>
      <w:r>
        <w:rPr>
          <w:color w:val="231F20"/>
          <w:spacing w:val="-10"/>
          <w:w w:val="105"/>
        </w:rPr>
        <w:t> </w:t>
      </w:r>
      <w:r>
        <w:rPr>
          <w:color w:val="231F20"/>
          <w:w w:val="105"/>
        </w:rPr>
        <w:t>tract</w:t>
      </w:r>
      <w:r>
        <w:rPr>
          <w:color w:val="231F20"/>
          <w:spacing w:val="-10"/>
          <w:w w:val="105"/>
        </w:rPr>
        <w:t> </w:t>
      </w:r>
      <w:r>
        <w:rPr>
          <w:color w:val="231F20"/>
          <w:w w:val="105"/>
        </w:rPr>
        <w:t>and</w:t>
      </w:r>
      <w:r>
        <w:rPr>
          <w:color w:val="231F20"/>
          <w:spacing w:val="-9"/>
          <w:w w:val="105"/>
        </w:rPr>
        <w:t> </w:t>
      </w:r>
      <w:r>
        <w:rPr>
          <w:color w:val="231F20"/>
          <w:w w:val="105"/>
        </w:rPr>
        <w:t>has not</w:t>
      </w:r>
      <w:r>
        <w:rPr>
          <w:color w:val="231F20"/>
          <w:spacing w:val="-8"/>
          <w:w w:val="105"/>
        </w:rPr>
        <w:t> </w:t>
      </w:r>
      <w:r>
        <w:rPr>
          <w:color w:val="231F20"/>
          <w:w w:val="105"/>
        </w:rPr>
        <w:t>yet</w:t>
      </w:r>
      <w:r>
        <w:rPr>
          <w:color w:val="231F20"/>
          <w:spacing w:val="-7"/>
          <w:w w:val="105"/>
        </w:rPr>
        <w:t> </w:t>
      </w:r>
      <w:r>
        <w:rPr>
          <w:color w:val="231F20"/>
          <w:w w:val="105"/>
        </w:rPr>
        <w:t>had</w:t>
      </w:r>
      <w:r>
        <w:rPr>
          <w:color w:val="231F20"/>
          <w:spacing w:val="-8"/>
          <w:w w:val="105"/>
        </w:rPr>
        <w:t> </w:t>
      </w:r>
      <w:r>
        <w:rPr>
          <w:color w:val="231F20"/>
          <w:w w:val="105"/>
        </w:rPr>
        <w:t>an</w:t>
      </w:r>
      <w:r>
        <w:rPr>
          <w:color w:val="231F20"/>
          <w:spacing w:val="-7"/>
          <w:w w:val="105"/>
        </w:rPr>
        <w:t> </w:t>
      </w:r>
      <w:r>
        <w:rPr>
          <w:color w:val="231F20"/>
          <w:w w:val="105"/>
        </w:rPr>
        <w:t>effect</w:t>
      </w:r>
      <w:r>
        <w:rPr>
          <w:color w:val="231F20"/>
          <w:spacing w:val="-8"/>
          <w:w w:val="105"/>
        </w:rPr>
        <w:t> </w:t>
      </w:r>
      <w:r>
        <w:rPr>
          <w:color w:val="231F20"/>
          <w:w w:val="105"/>
        </w:rPr>
        <w:t>on</w:t>
      </w:r>
      <w:r>
        <w:rPr>
          <w:color w:val="231F20"/>
          <w:spacing w:val="-7"/>
          <w:w w:val="105"/>
        </w:rPr>
        <w:t> </w:t>
      </w:r>
      <w:r>
        <w:rPr>
          <w:color w:val="231F20"/>
          <w:w w:val="105"/>
        </w:rPr>
        <w:t>extracellular</w:t>
      </w:r>
      <w:r>
        <w:rPr>
          <w:color w:val="231F20"/>
          <w:spacing w:val="-8"/>
          <w:w w:val="105"/>
        </w:rPr>
        <w:t> </w:t>
      </w:r>
      <w:r>
        <w:rPr>
          <w:color w:val="231F20"/>
          <w:w w:val="105"/>
        </w:rPr>
        <w:t>fluid</w:t>
      </w:r>
      <w:r>
        <w:rPr>
          <w:color w:val="231F20"/>
          <w:spacing w:val="-7"/>
          <w:w w:val="105"/>
        </w:rPr>
        <w:t> </w:t>
      </w:r>
      <w:r>
        <w:rPr>
          <w:color w:val="231F20"/>
          <w:w w:val="105"/>
        </w:rPr>
        <w:t>osmolarity.</w:t>
      </w:r>
    </w:p>
    <w:p>
      <w:pPr>
        <w:pStyle w:val="BodyText"/>
        <w:spacing w:line="249" w:lineRule="auto" w:before="3"/>
        <w:ind w:left="1440" w:firstLine="240"/>
        <w:jc w:val="both"/>
      </w:pPr>
      <w:r>
        <w:rPr>
          <w:i/>
          <w:color w:val="231F20"/>
          <w:w w:val="105"/>
        </w:rPr>
        <w:t>Gastrointestinal and pharyngeal stimuli </w:t>
      </w:r>
      <w:r>
        <w:rPr>
          <w:i/>
          <w:color w:val="231F20"/>
          <w:spacing w:val="-3"/>
          <w:w w:val="105"/>
        </w:rPr>
        <w:t>influence </w:t>
      </w:r>
      <w:r>
        <w:rPr>
          <w:i/>
          <w:color w:val="231F20"/>
          <w:w w:val="105"/>
        </w:rPr>
        <w:t>thirst</w:t>
      </w:r>
      <w:r>
        <w:rPr>
          <w:color w:val="231F20"/>
          <w:w w:val="105"/>
        </w:rPr>
        <w:t>.</w:t>
      </w:r>
      <w:r>
        <w:rPr>
          <w:color w:val="231F20"/>
          <w:spacing w:val="-6"/>
          <w:w w:val="105"/>
        </w:rPr>
        <w:t> </w:t>
      </w:r>
      <w:r>
        <w:rPr>
          <w:color w:val="231F20"/>
          <w:w w:val="105"/>
        </w:rPr>
        <w:t>In</w:t>
      </w:r>
      <w:r>
        <w:rPr>
          <w:color w:val="231F20"/>
          <w:spacing w:val="-6"/>
          <w:w w:val="105"/>
        </w:rPr>
        <w:t> </w:t>
      </w:r>
      <w:r>
        <w:rPr>
          <w:color w:val="231F20"/>
          <w:w w:val="105"/>
        </w:rPr>
        <w:t>animals</w:t>
      </w:r>
      <w:r>
        <w:rPr>
          <w:color w:val="231F20"/>
          <w:spacing w:val="-6"/>
          <w:w w:val="105"/>
        </w:rPr>
        <w:t> </w:t>
      </w:r>
      <w:r>
        <w:rPr>
          <w:color w:val="231F20"/>
          <w:w w:val="105"/>
        </w:rPr>
        <w:t>that</w:t>
      </w:r>
      <w:r>
        <w:rPr>
          <w:color w:val="231F20"/>
          <w:spacing w:val="-6"/>
          <w:w w:val="105"/>
        </w:rPr>
        <w:t> </w:t>
      </w:r>
      <w:r>
        <w:rPr>
          <w:color w:val="231F20"/>
          <w:w w:val="105"/>
        </w:rPr>
        <w:t>have</w:t>
      </w:r>
      <w:r>
        <w:rPr>
          <w:color w:val="231F20"/>
          <w:spacing w:val="-6"/>
          <w:w w:val="105"/>
        </w:rPr>
        <w:t> </w:t>
      </w:r>
      <w:r>
        <w:rPr>
          <w:color w:val="231F20"/>
          <w:w w:val="105"/>
        </w:rPr>
        <w:t>an</w:t>
      </w:r>
      <w:r>
        <w:rPr>
          <w:color w:val="231F20"/>
          <w:spacing w:val="-6"/>
          <w:w w:val="105"/>
        </w:rPr>
        <w:t> </w:t>
      </w:r>
      <w:r>
        <w:rPr>
          <w:color w:val="231F20"/>
          <w:w w:val="105"/>
        </w:rPr>
        <w:t>esophageal</w:t>
      </w:r>
      <w:r>
        <w:rPr>
          <w:color w:val="231F20"/>
          <w:spacing w:val="-6"/>
          <w:w w:val="105"/>
        </w:rPr>
        <w:t> </w:t>
      </w:r>
      <w:r>
        <w:rPr>
          <w:color w:val="231F20"/>
          <w:w w:val="105"/>
        </w:rPr>
        <w:t>opening</w:t>
      </w:r>
      <w:r>
        <w:rPr>
          <w:color w:val="231F20"/>
          <w:spacing w:val="-6"/>
          <w:w w:val="105"/>
        </w:rPr>
        <w:t> </w:t>
      </w:r>
      <w:r>
        <w:rPr>
          <w:color w:val="231F20"/>
          <w:w w:val="105"/>
        </w:rPr>
        <w:t>to</w:t>
      </w:r>
      <w:r>
        <w:rPr>
          <w:color w:val="231F20"/>
          <w:spacing w:val="-6"/>
          <w:w w:val="105"/>
        </w:rPr>
        <w:t> the </w:t>
      </w:r>
      <w:r>
        <w:rPr>
          <w:color w:val="231F20"/>
          <w:w w:val="105"/>
        </w:rPr>
        <w:t>exterior so that water is never absorbed into the blood, partial relief of thirst occurs after drinking, although</w:t>
      </w:r>
      <w:r>
        <w:rPr>
          <w:color w:val="231F20"/>
          <w:spacing w:val="-24"/>
          <w:w w:val="105"/>
        </w:rPr>
        <w:t> </w:t>
      </w:r>
      <w:r>
        <w:rPr>
          <w:color w:val="231F20"/>
          <w:w w:val="105"/>
        </w:rPr>
        <w:t>the relief</w:t>
      </w:r>
      <w:r>
        <w:rPr>
          <w:color w:val="231F20"/>
          <w:spacing w:val="-9"/>
          <w:w w:val="105"/>
        </w:rPr>
        <w:t> </w:t>
      </w:r>
      <w:r>
        <w:rPr>
          <w:color w:val="231F20"/>
          <w:w w:val="105"/>
        </w:rPr>
        <w:t>is</w:t>
      </w:r>
      <w:r>
        <w:rPr>
          <w:color w:val="231F20"/>
          <w:spacing w:val="-8"/>
          <w:w w:val="105"/>
        </w:rPr>
        <w:t> </w:t>
      </w:r>
      <w:r>
        <w:rPr>
          <w:color w:val="231F20"/>
          <w:w w:val="105"/>
        </w:rPr>
        <w:t>only</w:t>
      </w:r>
      <w:r>
        <w:rPr>
          <w:color w:val="231F20"/>
          <w:spacing w:val="-9"/>
          <w:w w:val="105"/>
        </w:rPr>
        <w:t> </w:t>
      </w:r>
      <w:r>
        <w:rPr>
          <w:color w:val="231F20"/>
          <w:w w:val="105"/>
        </w:rPr>
        <w:t>temporary.</w:t>
      </w:r>
      <w:r>
        <w:rPr>
          <w:color w:val="231F20"/>
          <w:spacing w:val="-8"/>
          <w:w w:val="105"/>
        </w:rPr>
        <w:t> </w:t>
      </w:r>
      <w:r>
        <w:rPr>
          <w:color w:val="231F20"/>
          <w:w w:val="105"/>
        </w:rPr>
        <w:t>Also,</w:t>
      </w:r>
      <w:r>
        <w:rPr>
          <w:color w:val="231F20"/>
          <w:spacing w:val="-8"/>
          <w:w w:val="105"/>
        </w:rPr>
        <w:t> </w:t>
      </w:r>
      <w:r>
        <w:rPr>
          <w:color w:val="231F20"/>
          <w:w w:val="105"/>
        </w:rPr>
        <w:t>gastrointestinal</w:t>
      </w:r>
      <w:r>
        <w:rPr>
          <w:color w:val="231F20"/>
          <w:spacing w:val="-9"/>
          <w:w w:val="105"/>
        </w:rPr>
        <w:t> </w:t>
      </w:r>
      <w:r>
        <w:rPr>
          <w:color w:val="231F20"/>
          <w:spacing w:val="-3"/>
          <w:w w:val="105"/>
        </w:rPr>
        <w:t>distention </w:t>
      </w:r>
      <w:r>
        <w:rPr>
          <w:color w:val="231F20"/>
          <w:w w:val="105"/>
        </w:rPr>
        <w:t>may</w:t>
      </w:r>
      <w:r>
        <w:rPr>
          <w:color w:val="231F20"/>
          <w:spacing w:val="-28"/>
          <w:w w:val="105"/>
        </w:rPr>
        <w:t> </w:t>
      </w:r>
      <w:r>
        <w:rPr>
          <w:color w:val="231F20"/>
          <w:w w:val="105"/>
        </w:rPr>
        <w:t>partially</w:t>
      </w:r>
      <w:r>
        <w:rPr>
          <w:color w:val="231F20"/>
          <w:spacing w:val="-27"/>
          <w:w w:val="105"/>
        </w:rPr>
        <w:t> </w:t>
      </w:r>
      <w:r>
        <w:rPr>
          <w:color w:val="231F20"/>
          <w:w w:val="105"/>
        </w:rPr>
        <w:t>alleviate</w:t>
      </w:r>
      <w:r>
        <w:rPr>
          <w:color w:val="231F20"/>
          <w:spacing w:val="-27"/>
          <w:w w:val="105"/>
        </w:rPr>
        <w:t> </w:t>
      </w:r>
      <w:r>
        <w:rPr>
          <w:color w:val="231F20"/>
          <w:w w:val="105"/>
        </w:rPr>
        <w:t>thirst;</w:t>
      </w:r>
      <w:r>
        <w:rPr>
          <w:color w:val="231F20"/>
          <w:spacing w:val="-27"/>
          <w:w w:val="105"/>
        </w:rPr>
        <w:t> </w:t>
      </w:r>
      <w:r>
        <w:rPr>
          <w:color w:val="231F20"/>
          <w:w w:val="105"/>
        </w:rPr>
        <w:t>for</w:t>
      </w:r>
      <w:r>
        <w:rPr>
          <w:color w:val="231F20"/>
          <w:spacing w:val="-27"/>
          <w:w w:val="105"/>
        </w:rPr>
        <w:t> </w:t>
      </w:r>
      <w:r>
        <w:rPr>
          <w:color w:val="231F20"/>
          <w:w w:val="105"/>
        </w:rPr>
        <w:t>instance,</w:t>
      </w:r>
      <w:r>
        <w:rPr>
          <w:color w:val="231F20"/>
          <w:spacing w:val="-27"/>
          <w:w w:val="105"/>
        </w:rPr>
        <w:t> </w:t>
      </w:r>
      <w:r>
        <w:rPr>
          <w:color w:val="231F20"/>
          <w:w w:val="105"/>
        </w:rPr>
        <w:t>simple</w:t>
      </w:r>
      <w:r>
        <w:rPr>
          <w:color w:val="231F20"/>
          <w:spacing w:val="-28"/>
          <w:w w:val="105"/>
        </w:rPr>
        <w:t> </w:t>
      </w:r>
      <w:r>
        <w:rPr>
          <w:color w:val="231F20"/>
          <w:spacing w:val="-3"/>
          <w:w w:val="105"/>
        </w:rPr>
        <w:t>inflation </w:t>
      </w:r>
      <w:r>
        <w:rPr>
          <w:color w:val="231F20"/>
          <w:w w:val="105"/>
        </w:rPr>
        <w:t>of a balloon in the stomach can relieve thirst. However, relief</w:t>
      </w:r>
      <w:r>
        <w:rPr>
          <w:color w:val="231F20"/>
          <w:spacing w:val="-13"/>
          <w:w w:val="105"/>
        </w:rPr>
        <w:t> </w:t>
      </w:r>
      <w:r>
        <w:rPr>
          <w:color w:val="231F20"/>
          <w:w w:val="105"/>
        </w:rPr>
        <w:t>of</w:t>
      </w:r>
      <w:r>
        <w:rPr>
          <w:color w:val="231F20"/>
          <w:spacing w:val="-13"/>
          <w:w w:val="105"/>
        </w:rPr>
        <w:t> </w:t>
      </w:r>
      <w:r>
        <w:rPr>
          <w:color w:val="231F20"/>
          <w:w w:val="105"/>
        </w:rPr>
        <w:t>thirst</w:t>
      </w:r>
      <w:r>
        <w:rPr>
          <w:color w:val="231F20"/>
          <w:spacing w:val="-12"/>
          <w:w w:val="105"/>
        </w:rPr>
        <w:t> </w:t>
      </w:r>
      <w:r>
        <w:rPr>
          <w:color w:val="231F20"/>
          <w:w w:val="105"/>
        </w:rPr>
        <w:t>sensations</w:t>
      </w:r>
      <w:r>
        <w:rPr>
          <w:color w:val="231F20"/>
          <w:spacing w:val="-13"/>
          <w:w w:val="105"/>
        </w:rPr>
        <w:t> </w:t>
      </w:r>
      <w:r>
        <w:rPr>
          <w:color w:val="231F20"/>
          <w:w w:val="105"/>
        </w:rPr>
        <w:t>through</w:t>
      </w:r>
      <w:r>
        <w:rPr>
          <w:color w:val="231F20"/>
          <w:spacing w:val="-13"/>
          <w:w w:val="105"/>
        </w:rPr>
        <w:t> </w:t>
      </w:r>
      <w:r>
        <w:rPr>
          <w:color w:val="231F20"/>
          <w:w w:val="105"/>
        </w:rPr>
        <w:t>gastrointestinal</w:t>
      </w:r>
      <w:r>
        <w:rPr>
          <w:color w:val="231F20"/>
          <w:spacing w:val="-12"/>
          <w:w w:val="105"/>
        </w:rPr>
        <w:t> </w:t>
      </w:r>
      <w:r>
        <w:rPr>
          <w:color w:val="231F20"/>
          <w:w w:val="105"/>
        </w:rPr>
        <w:t>or</w:t>
      </w:r>
      <w:r>
        <w:rPr>
          <w:color w:val="231F20"/>
          <w:spacing w:val="-13"/>
          <w:w w:val="105"/>
        </w:rPr>
        <w:t> </w:t>
      </w:r>
      <w:r>
        <w:rPr>
          <w:color w:val="231F20"/>
          <w:spacing w:val="-3"/>
          <w:w w:val="105"/>
        </w:rPr>
        <w:t>pha­ </w:t>
      </w:r>
      <w:r>
        <w:rPr>
          <w:color w:val="231F20"/>
          <w:w w:val="105"/>
        </w:rPr>
        <w:t>ryngeal mechanisms is short­lived; the desire to drink</w:t>
      </w:r>
      <w:r>
        <w:rPr>
          <w:color w:val="231F20"/>
          <w:spacing w:val="-30"/>
          <w:w w:val="105"/>
        </w:rPr>
        <w:t> </w:t>
      </w:r>
      <w:r>
        <w:rPr>
          <w:color w:val="231F20"/>
          <w:w w:val="105"/>
        </w:rPr>
        <w:t>is completely</w:t>
      </w:r>
      <w:r>
        <w:rPr>
          <w:color w:val="231F20"/>
          <w:spacing w:val="-20"/>
          <w:w w:val="105"/>
        </w:rPr>
        <w:t> </w:t>
      </w:r>
      <w:r>
        <w:rPr>
          <w:color w:val="231F20"/>
          <w:w w:val="105"/>
        </w:rPr>
        <w:t>satisfied</w:t>
      </w:r>
      <w:r>
        <w:rPr>
          <w:color w:val="231F20"/>
          <w:spacing w:val="-20"/>
          <w:w w:val="105"/>
        </w:rPr>
        <w:t> </w:t>
      </w:r>
      <w:r>
        <w:rPr>
          <w:color w:val="231F20"/>
          <w:w w:val="105"/>
        </w:rPr>
        <w:t>only</w:t>
      </w:r>
      <w:r>
        <w:rPr>
          <w:color w:val="231F20"/>
          <w:spacing w:val="-20"/>
          <w:w w:val="105"/>
        </w:rPr>
        <w:t> </w:t>
      </w:r>
      <w:r>
        <w:rPr>
          <w:color w:val="231F20"/>
          <w:w w:val="105"/>
        </w:rPr>
        <w:t>when</w:t>
      </w:r>
      <w:r>
        <w:rPr>
          <w:color w:val="231F20"/>
          <w:spacing w:val="-20"/>
          <w:w w:val="105"/>
        </w:rPr>
        <w:t> </w:t>
      </w:r>
      <w:r>
        <w:rPr>
          <w:color w:val="231F20"/>
          <w:w w:val="105"/>
        </w:rPr>
        <w:t>plasma</w:t>
      </w:r>
      <w:r>
        <w:rPr>
          <w:color w:val="231F20"/>
          <w:spacing w:val="-20"/>
          <w:w w:val="105"/>
        </w:rPr>
        <w:t> </w:t>
      </w:r>
      <w:r>
        <w:rPr>
          <w:color w:val="231F20"/>
          <w:w w:val="105"/>
        </w:rPr>
        <w:t>osmolarity</w:t>
      </w:r>
      <w:r>
        <w:rPr>
          <w:color w:val="231F20"/>
          <w:spacing w:val="-20"/>
          <w:w w:val="105"/>
        </w:rPr>
        <w:t> </w:t>
      </w:r>
      <w:r>
        <w:rPr>
          <w:color w:val="231F20"/>
          <w:spacing w:val="-3"/>
          <w:w w:val="105"/>
        </w:rPr>
        <w:t>and/or </w:t>
      </w:r>
      <w:r>
        <w:rPr>
          <w:color w:val="231F20"/>
          <w:w w:val="105"/>
        </w:rPr>
        <w:t>blood volume returns to</w:t>
      </w:r>
      <w:r>
        <w:rPr>
          <w:color w:val="231F20"/>
          <w:spacing w:val="11"/>
          <w:w w:val="105"/>
        </w:rPr>
        <w:t> </w:t>
      </w:r>
      <w:r>
        <w:rPr>
          <w:color w:val="231F20"/>
          <w:w w:val="105"/>
        </w:rPr>
        <w:t>normal.</w:t>
      </w:r>
    </w:p>
    <w:p>
      <w:pPr>
        <w:pStyle w:val="BodyText"/>
        <w:spacing w:line="249" w:lineRule="auto" w:before="9"/>
        <w:ind w:left="1440" w:firstLine="240"/>
        <w:jc w:val="both"/>
      </w:pPr>
      <w:r>
        <w:rPr>
          <w:color w:val="231F20"/>
          <w:w w:val="105"/>
        </w:rPr>
        <w:t>The ability of animals and humans to “meter” </w:t>
      </w:r>
      <w:r>
        <w:rPr>
          <w:color w:val="231F20"/>
          <w:spacing w:val="-3"/>
          <w:w w:val="105"/>
        </w:rPr>
        <w:t>fluid </w:t>
      </w:r>
      <w:r>
        <w:rPr>
          <w:color w:val="231F20"/>
          <w:w w:val="105"/>
        </w:rPr>
        <w:t>intake is important because it prevents overhydration. After a person drinks </w:t>
      </w:r>
      <w:r>
        <w:rPr>
          <w:color w:val="231F20"/>
          <w:spacing w:val="-3"/>
          <w:w w:val="105"/>
        </w:rPr>
        <w:t>water, </w:t>
      </w:r>
      <w:r>
        <w:rPr>
          <w:color w:val="231F20"/>
          <w:w w:val="105"/>
        </w:rPr>
        <w:t>30 to 60 minutes may be required for the water to be reabsorbed and distributed throughout</w:t>
      </w:r>
      <w:r>
        <w:rPr>
          <w:color w:val="231F20"/>
          <w:spacing w:val="-14"/>
          <w:w w:val="105"/>
        </w:rPr>
        <w:t> </w:t>
      </w:r>
      <w:r>
        <w:rPr>
          <w:color w:val="231F20"/>
          <w:w w:val="105"/>
        </w:rPr>
        <w:t>the</w:t>
      </w:r>
      <w:r>
        <w:rPr>
          <w:color w:val="231F20"/>
          <w:spacing w:val="-14"/>
          <w:w w:val="105"/>
        </w:rPr>
        <w:t> </w:t>
      </w:r>
      <w:r>
        <w:rPr>
          <w:color w:val="231F20"/>
          <w:w w:val="105"/>
        </w:rPr>
        <w:t>body.</w:t>
      </w:r>
      <w:r>
        <w:rPr>
          <w:color w:val="231F20"/>
          <w:spacing w:val="-14"/>
          <w:w w:val="105"/>
        </w:rPr>
        <w:t> </w:t>
      </w:r>
      <w:r>
        <w:rPr>
          <w:color w:val="231F20"/>
          <w:w w:val="105"/>
        </w:rPr>
        <w:t>If</w:t>
      </w:r>
      <w:r>
        <w:rPr>
          <w:color w:val="231F20"/>
          <w:spacing w:val="-14"/>
          <w:w w:val="105"/>
        </w:rPr>
        <w:t> </w:t>
      </w:r>
      <w:r>
        <w:rPr>
          <w:color w:val="231F20"/>
          <w:w w:val="105"/>
        </w:rPr>
        <w:t>the</w:t>
      </w:r>
      <w:r>
        <w:rPr>
          <w:color w:val="231F20"/>
          <w:spacing w:val="-14"/>
          <w:w w:val="105"/>
        </w:rPr>
        <w:t> </w:t>
      </w:r>
      <w:r>
        <w:rPr>
          <w:color w:val="231F20"/>
          <w:w w:val="105"/>
        </w:rPr>
        <w:t>thirst</w:t>
      </w:r>
      <w:r>
        <w:rPr>
          <w:color w:val="231F20"/>
          <w:spacing w:val="-14"/>
          <w:w w:val="105"/>
        </w:rPr>
        <w:t> </w:t>
      </w:r>
      <w:r>
        <w:rPr>
          <w:color w:val="231F20"/>
          <w:w w:val="105"/>
        </w:rPr>
        <w:t>sensation</w:t>
      </w:r>
      <w:r>
        <w:rPr>
          <w:color w:val="231F20"/>
          <w:spacing w:val="-14"/>
          <w:w w:val="105"/>
        </w:rPr>
        <w:t> </w:t>
      </w:r>
      <w:r>
        <w:rPr>
          <w:color w:val="231F20"/>
          <w:w w:val="105"/>
        </w:rPr>
        <w:t>were</w:t>
      </w:r>
      <w:r>
        <w:rPr>
          <w:color w:val="231F20"/>
          <w:spacing w:val="-13"/>
          <w:w w:val="105"/>
        </w:rPr>
        <w:t> </w:t>
      </w:r>
      <w:r>
        <w:rPr>
          <w:color w:val="231F20"/>
          <w:w w:val="105"/>
        </w:rPr>
        <w:t>not</w:t>
      </w:r>
      <w:r>
        <w:rPr>
          <w:color w:val="231F20"/>
          <w:spacing w:val="-14"/>
          <w:w w:val="105"/>
        </w:rPr>
        <w:t> </w:t>
      </w:r>
      <w:r>
        <w:rPr>
          <w:color w:val="231F20"/>
          <w:w w:val="105"/>
        </w:rPr>
        <w:t>tem­ porarily relieved after drinking </w:t>
      </w:r>
      <w:r>
        <w:rPr>
          <w:color w:val="231F20"/>
          <w:spacing w:val="-3"/>
          <w:w w:val="105"/>
        </w:rPr>
        <w:t>water, </w:t>
      </w:r>
      <w:r>
        <w:rPr>
          <w:color w:val="231F20"/>
          <w:w w:val="105"/>
        </w:rPr>
        <w:t>the person would continue to drink more and more, eventually </w:t>
      </w:r>
      <w:r>
        <w:rPr>
          <w:color w:val="231F20"/>
          <w:spacing w:val="-3"/>
          <w:w w:val="105"/>
        </w:rPr>
        <w:t>leading   </w:t>
      </w:r>
      <w:r>
        <w:rPr>
          <w:color w:val="231F20"/>
          <w:w w:val="105"/>
        </w:rPr>
        <w:t>to overhydration and excess dilution of the body fluids. Experimental</w:t>
      </w:r>
      <w:r>
        <w:rPr>
          <w:color w:val="231F20"/>
          <w:spacing w:val="-24"/>
          <w:w w:val="105"/>
        </w:rPr>
        <w:t> </w:t>
      </w:r>
      <w:r>
        <w:rPr>
          <w:color w:val="231F20"/>
          <w:w w:val="105"/>
        </w:rPr>
        <w:t>studies</w:t>
      </w:r>
      <w:r>
        <w:rPr>
          <w:color w:val="231F20"/>
          <w:spacing w:val="-24"/>
          <w:w w:val="105"/>
        </w:rPr>
        <w:t> </w:t>
      </w:r>
      <w:r>
        <w:rPr>
          <w:color w:val="231F20"/>
          <w:w w:val="105"/>
        </w:rPr>
        <w:t>have</w:t>
      </w:r>
      <w:r>
        <w:rPr>
          <w:color w:val="231F20"/>
          <w:spacing w:val="-24"/>
          <w:w w:val="105"/>
        </w:rPr>
        <w:t> </w:t>
      </w:r>
      <w:r>
        <w:rPr>
          <w:color w:val="231F20"/>
          <w:w w:val="105"/>
        </w:rPr>
        <w:t>repeatedly</w:t>
      </w:r>
      <w:r>
        <w:rPr>
          <w:color w:val="231F20"/>
          <w:spacing w:val="-24"/>
          <w:w w:val="105"/>
        </w:rPr>
        <w:t> </w:t>
      </w:r>
      <w:r>
        <w:rPr>
          <w:color w:val="231F20"/>
          <w:w w:val="105"/>
        </w:rPr>
        <w:t>shown</w:t>
      </w:r>
      <w:r>
        <w:rPr>
          <w:color w:val="231F20"/>
          <w:spacing w:val="-23"/>
          <w:w w:val="105"/>
        </w:rPr>
        <w:t> </w:t>
      </w:r>
      <w:r>
        <w:rPr>
          <w:color w:val="231F20"/>
          <w:w w:val="105"/>
        </w:rPr>
        <w:t>that</w:t>
      </w:r>
      <w:r>
        <w:rPr>
          <w:color w:val="231F20"/>
          <w:spacing w:val="-24"/>
          <w:w w:val="105"/>
        </w:rPr>
        <w:t> </w:t>
      </w:r>
      <w:r>
        <w:rPr>
          <w:color w:val="231F20"/>
          <w:w w:val="105"/>
        </w:rPr>
        <w:t>animals drink almost exactly the amount necessary to return plasma osmolarity and volume to</w:t>
      </w:r>
      <w:r>
        <w:rPr>
          <w:color w:val="231F20"/>
          <w:spacing w:val="5"/>
          <w:w w:val="105"/>
        </w:rPr>
        <w:t> </w:t>
      </w:r>
      <w:r>
        <w:rPr>
          <w:color w:val="231F20"/>
          <w:w w:val="105"/>
        </w:rPr>
        <w:t>normal.</w:t>
      </w:r>
    </w:p>
    <w:p>
      <w:pPr>
        <w:pStyle w:val="BodyText"/>
        <w:spacing w:before="5"/>
        <w:rPr>
          <w:sz w:val="31"/>
        </w:rPr>
      </w:pPr>
    </w:p>
    <w:p>
      <w:pPr>
        <w:pStyle w:val="Heading2"/>
        <w:spacing w:line="225" w:lineRule="auto"/>
        <w:ind w:left="1440" w:right="642"/>
      </w:pPr>
      <w:r>
        <w:rPr>
          <w:color w:val="231F20"/>
          <w:w w:val="105"/>
        </w:rPr>
        <w:t>THRESHOLD FOR OSMOLAR STIMULUS OF DRINKING</w:t>
      </w:r>
    </w:p>
    <w:p>
      <w:pPr>
        <w:pStyle w:val="BodyText"/>
        <w:spacing w:line="249" w:lineRule="auto" w:before="127"/>
        <w:ind w:left="1440"/>
        <w:jc w:val="both"/>
      </w:pPr>
      <w:r>
        <w:rPr>
          <w:color w:val="231F20"/>
          <w:w w:val="105"/>
        </w:rPr>
        <w:t>The kidneys must continually excrete an obligatory amount of water even in a dehydrated person to rid </w:t>
      </w:r>
      <w:r>
        <w:rPr>
          <w:color w:val="231F20"/>
          <w:spacing w:val="-6"/>
          <w:w w:val="105"/>
        </w:rPr>
        <w:t>the </w:t>
      </w:r>
      <w:r>
        <w:rPr>
          <w:color w:val="231F20"/>
          <w:w w:val="105"/>
        </w:rPr>
        <w:t>body of excess solutes that are ingested or produced by metabolism. </w:t>
      </w:r>
      <w:r>
        <w:rPr>
          <w:color w:val="231F20"/>
          <w:spacing w:val="-4"/>
          <w:w w:val="105"/>
        </w:rPr>
        <w:t>Water </w:t>
      </w:r>
      <w:r>
        <w:rPr>
          <w:color w:val="231F20"/>
          <w:w w:val="105"/>
        </w:rPr>
        <w:t>is also lost by evaporation from </w:t>
      </w:r>
      <w:r>
        <w:rPr>
          <w:color w:val="231F20"/>
          <w:spacing w:val="-6"/>
          <w:w w:val="105"/>
        </w:rPr>
        <w:t>the </w:t>
      </w:r>
      <w:r>
        <w:rPr>
          <w:color w:val="231F20"/>
          <w:w w:val="105"/>
        </w:rPr>
        <w:t>lungs and the gastrointestinal tract and by evaporation and sweating from the skin. Therefore, there is always</w:t>
      </w:r>
      <w:r>
        <w:rPr>
          <w:color w:val="231F20"/>
          <w:spacing w:val="-29"/>
          <w:w w:val="105"/>
        </w:rPr>
        <w:t> </w:t>
      </w:r>
      <w:r>
        <w:rPr>
          <w:color w:val="231F20"/>
          <w:spacing w:val="-11"/>
          <w:w w:val="105"/>
        </w:rPr>
        <w:t>a </w:t>
      </w:r>
      <w:r>
        <w:rPr>
          <w:color w:val="231F20"/>
          <w:w w:val="105"/>
        </w:rPr>
        <w:t>tendency</w:t>
      </w:r>
      <w:r>
        <w:rPr>
          <w:color w:val="231F20"/>
          <w:spacing w:val="-12"/>
          <w:w w:val="105"/>
        </w:rPr>
        <w:t> </w:t>
      </w:r>
      <w:r>
        <w:rPr>
          <w:color w:val="231F20"/>
          <w:w w:val="105"/>
        </w:rPr>
        <w:t>for</w:t>
      </w:r>
      <w:r>
        <w:rPr>
          <w:color w:val="231F20"/>
          <w:spacing w:val="-12"/>
          <w:w w:val="105"/>
        </w:rPr>
        <w:t> </w:t>
      </w:r>
      <w:r>
        <w:rPr>
          <w:color w:val="231F20"/>
          <w:w w:val="105"/>
        </w:rPr>
        <w:t>dehydration,</w:t>
      </w:r>
      <w:r>
        <w:rPr>
          <w:color w:val="231F20"/>
          <w:spacing w:val="-11"/>
          <w:w w:val="105"/>
        </w:rPr>
        <w:t> </w:t>
      </w:r>
      <w:r>
        <w:rPr>
          <w:color w:val="231F20"/>
          <w:w w:val="105"/>
        </w:rPr>
        <w:t>with</w:t>
      </w:r>
      <w:r>
        <w:rPr>
          <w:color w:val="231F20"/>
          <w:spacing w:val="-12"/>
          <w:w w:val="105"/>
        </w:rPr>
        <w:t> </w:t>
      </w:r>
      <w:r>
        <w:rPr>
          <w:color w:val="231F20"/>
          <w:w w:val="105"/>
        </w:rPr>
        <w:t>resultant</w:t>
      </w:r>
      <w:r>
        <w:rPr>
          <w:color w:val="231F20"/>
          <w:spacing w:val="-12"/>
          <w:w w:val="105"/>
        </w:rPr>
        <w:t> </w:t>
      </w:r>
      <w:r>
        <w:rPr>
          <w:color w:val="231F20"/>
          <w:w w:val="105"/>
        </w:rPr>
        <w:t>increased</w:t>
      </w:r>
      <w:r>
        <w:rPr>
          <w:color w:val="231F20"/>
          <w:spacing w:val="-11"/>
          <w:w w:val="105"/>
        </w:rPr>
        <w:t> </w:t>
      </w:r>
      <w:r>
        <w:rPr>
          <w:color w:val="231F20"/>
          <w:spacing w:val="-3"/>
          <w:w w:val="105"/>
        </w:rPr>
        <w:t>extra­ </w:t>
      </w:r>
      <w:r>
        <w:rPr>
          <w:color w:val="231F20"/>
          <w:w w:val="105"/>
        </w:rPr>
        <w:t>cellular fluid sodium concentration and</w:t>
      </w:r>
      <w:r>
        <w:rPr>
          <w:color w:val="231F20"/>
          <w:spacing w:val="-23"/>
          <w:w w:val="105"/>
        </w:rPr>
        <w:t> </w:t>
      </w:r>
      <w:r>
        <w:rPr>
          <w:color w:val="231F20"/>
          <w:w w:val="105"/>
        </w:rPr>
        <w:t>osmolarity.</w:t>
      </w:r>
    </w:p>
    <w:p>
      <w:pPr>
        <w:pStyle w:val="BodyText"/>
        <w:spacing w:line="249" w:lineRule="auto" w:before="7"/>
        <w:ind w:left="1440" w:firstLine="240"/>
        <w:jc w:val="both"/>
      </w:pPr>
      <w:r>
        <w:rPr>
          <w:color w:val="231F20"/>
        </w:rPr>
        <w:t>When the sodium concentration increases only </w:t>
      </w:r>
      <w:r>
        <w:rPr>
          <w:color w:val="231F20"/>
          <w:spacing w:val="-3"/>
        </w:rPr>
        <w:t>about   </w:t>
      </w:r>
      <w:r>
        <w:rPr>
          <w:color w:val="231F20"/>
        </w:rPr>
        <w:t>2 mEq/L above normal, the thirst mechanism is activated, causing a desire to drink </w:t>
      </w:r>
      <w:r>
        <w:rPr>
          <w:color w:val="231F20"/>
          <w:spacing w:val="-3"/>
        </w:rPr>
        <w:t>water. </w:t>
      </w:r>
      <w:r>
        <w:rPr>
          <w:color w:val="231F20"/>
        </w:rPr>
        <w:t>This is called the </w:t>
      </w:r>
      <w:r>
        <w:rPr>
          <w:i/>
          <w:color w:val="231F20"/>
          <w:spacing w:val="-3"/>
        </w:rPr>
        <w:t>threshold </w:t>
      </w:r>
      <w:r>
        <w:rPr>
          <w:i/>
          <w:color w:val="231F20"/>
        </w:rPr>
        <w:t>for drinking. </w:t>
      </w:r>
      <w:r>
        <w:rPr>
          <w:color w:val="231F20"/>
        </w:rPr>
        <w:t>Thus, even small increases in plasma osmo­ larity are normally followed by water intake, </w:t>
      </w:r>
      <w:r>
        <w:rPr>
          <w:color w:val="231F20"/>
          <w:spacing w:val="-4"/>
        </w:rPr>
        <w:t>which </w:t>
      </w:r>
      <w:r>
        <w:rPr>
          <w:color w:val="231F20"/>
        </w:rPr>
        <w:t>restores extracellular fluid osmolarity and volume toward normal. In this </w:t>
      </w:r>
      <w:r>
        <w:rPr>
          <w:color w:val="231F20"/>
          <w:spacing w:val="-3"/>
        </w:rPr>
        <w:t>way, </w:t>
      </w:r>
      <w:r>
        <w:rPr>
          <w:color w:val="231F20"/>
        </w:rPr>
        <w:t>the extracellular fluid osmolarity </w:t>
      </w:r>
      <w:r>
        <w:rPr>
          <w:color w:val="231F20"/>
          <w:spacing w:val="-5"/>
        </w:rPr>
        <w:t>and </w:t>
      </w:r>
      <w:r>
        <w:rPr>
          <w:color w:val="231F20"/>
        </w:rPr>
        <w:t>sodium concentration are precisely</w:t>
      </w:r>
      <w:r>
        <w:rPr>
          <w:color w:val="231F20"/>
          <w:spacing w:val="45"/>
        </w:rPr>
        <w:t> </w:t>
      </w:r>
      <w:r>
        <w:rPr>
          <w:color w:val="231F20"/>
        </w:rPr>
        <w:t>controlled.</w:t>
      </w:r>
    </w:p>
    <w:p>
      <w:pPr>
        <w:pStyle w:val="BodyText"/>
        <w:spacing w:before="2"/>
        <w:rPr>
          <w:sz w:val="31"/>
        </w:rPr>
      </w:pPr>
    </w:p>
    <w:p>
      <w:pPr>
        <w:pStyle w:val="Heading2"/>
        <w:spacing w:line="225" w:lineRule="auto"/>
        <w:ind w:left="1440" w:right="728"/>
      </w:pPr>
      <w:r>
        <w:rPr>
          <w:color w:val="231F20"/>
          <w:w w:val="105"/>
        </w:rPr>
        <w:t>INTEGRATED RESPONSES OF OSMORECEPTOR-ADH AND THIRST MECHANISMS IN CONTROLLING EXTRACELLULAR FLUID OSMOLARITY AND SODIUM CONCENTRATION</w:t>
      </w:r>
    </w:p>
    <w:p>
      <w:pPr>
        <w:pStyle w:val="BodyText"/>
        <w:spacing w:line="249" w:lineRule="auto" w:before="127"/>
        <w:ind w:left="1440"/>
        <w:jc w:val="both"/>
      </w:pPr>
      <w:r>
        <w:rPr>
          <w:color w:val="231F20"/>
          <w:w w:val="105"/>
        </w:rPr>
        <w:t>In a healthy person, the osmoreceptor­ADH and </w:t>
      </w:r>
      <w:r>
        <w:rPr>
          <w:color w:val="231F20"/>
          <w:spacing w:val="-3"/>
          <w:w w:val="105"/>
        </w:rPr>
        <w:t>thirst </w:t>
      </w:r>
      <w:r>
        <w:rPr>
          <w:color w:val="231F20"/>
          <w:w w:val="105"/>
        </w:rPr>
        <w:t>mechanisms</w:t>
      </w:r>
      <w:r>
        <w:rPr>
          <w:color w:val="231F20"/>
          <w:spacing w:val="-7"/>
          <w:w w:val="105"/>
        </w:rPr>
        <w:t> </w:t>
      </w:r>
      <w:r>
        <w:rPr>
          <w:color w:val="231F20"/>
          <w:w w:val="105"/>
        </w:rPr>
        <w:t>work</w:t>
      </w:r>
      <w:r>
        <w:rPr>
          <w:color w:val="231F20"/>
          <w:spacing w:val="-7"/>
          <w:w w:val="105"/>
        </w:rPr>
        <w:t> </w:t>
      </w:r>
      <w:r>
        <w:rPr>
          <w:color w:val="231F20"/>
          <w:w w:val="105"/>
        </w:rPr>
        <w:t>in</w:t>
      </w:r>
      <w:r>
        <w:rPr>
          <w:color w:val="231F20"/>
          <w:spacing w:val="-6"/>
          <w:w w:val="105"/>
        </w:rPr>
        <w:t> </w:t>
      </w:r>
      <w:r>
        <w:rPr>
          <w:color w:val="231F20"/>
          <w:w w:val="105"/>
        </w:rPr>
        <w:t>parallel</w:t>
      </w:r>
      <w:r>
        <w:rPr>
          <w:color w:val="231F20"/>
          <w:spacing w:val="-7"/>
          <w:w w:val="105"/>
        </w:rPr>
        <w:t> </w:t>
      </w:r>
      <w:r>
        <w:rPr>
          <w:color w:val="231F20"/>
          <w:w w:val="105"/>
        </w:rPr>
        <w:t>to</w:t>
      </w:r>
      <w:r>
        <w:rPr>
          <w:color w:val="231F20"/>
          <w:spacing w:val="-6"/>
          <w:w w:val="105"/>
        </w:rPr>
        <w:t> </w:t>
      </w:r>
      <w:r>
        <w:rPr>
          <w:color w:val="231F20"/>
          <w:w w:val="105"/>
        </w:rPr>
        <w:t>precisely</w:t>
      </w:r>
      <w:r>
        <w:rPr>
          <w:color w:val="231F20"/>
          <w:spacing w:val="-7"/>
          <w:w w:val="105"/>
        </w:rPr>
        <w:t> </w:t>
      </w:r>
      <w:r>
        <w:rPr>
          <w:color w:val="231F20"/>
          <w:w w:val="105"/>
        </w:rPr>
        <w:t>regulate</w:t>
      </w:r>
      <w:r>
        <w:rPr>
          <w:color w:val="231F20"/>
          <w:spacing w:val="-7"/>
          <w:w w:val="105"/>
        </w:rPr>
        <w:t> </w:t>
      </w:r>
      <w:r>
        <w:rPr>
          <w:color w:val="231F20"/>
          <w:w w:val="105"/>
        </w:rPr>
        <w:t>extra­ cellular fluid osmolarity and sodium </w:t>
      </w:r>
      <w:r>
        <w:rPr>
          <w:color w:val="231F20"/>
          <w:spacing w:val="-3"/>
          <w:w w:val="105"/>
        </w:rPr>
        <w:t>concentration, </w:t>
      </w:r>
      <w:r>
        <w:rPr>
          <w:color w:val="231F20"/>
          <w:w w:val="105"/>
        </w:rPr>
        <w:t>despite</w:t>
      </w:r>
      <w:r>
        <w:rPr>
          <w:color w:val="231F20"/>
          <w:spacing w:val="-23"/>
          <w:w w:val="105"/>
        </w:rPr>
        <w:t> </w:t>
      </w:r>
      <w:r>
        <w:rPr>
          <w:color w:val="231F20"/>
          <w:w w:val="105"/>
        </w:rPr>
        <w:t>the</w:t>
      </w:r>
      <w:r>
        <w:rPr>
          <w:color w:val="231F20"/>
          <w:spacing w:val="-22"/>
          <w:w w:val="105"/>
        </w:rPr>
        <w:t> </w:t>
      </w:r>
      <w:r>
        <w:rPr>
          <w:color w:val="231F20"/>
          <w:w w:val="105"/>
        </w:rPr>
        <w:t>constant</w:t>
      </w:r>
      <w:r>
        <w:rPr>
          <w:color w:val="231F20"/>
          <w:spacing w:val="-22"/>
          <w:w w:val="105"/>
        </w:rPr>
        <w:t> </w:t>
      </w:r>
      <w:r>
        <w:rPr>
          <w:color w:val="231F20"/>
          <w:w w:val="105"/>
        </w:rPr>
        <w:t>challenges</w:t>
      </w:r>
      <w:r>
        <w:rPr>
          <w:color w:val="231F20"/>
          <w:spacing w:val="-23"/>
          <w:w w:val="105"/>
        </w:rPr>
        <w:t> </w:t>
      </w:r>
      <w:r>
        <w:rPr>
          <w:color w:val="231F20"/>
          <w:w w:val="105"/>
        </w:rPr>
        <w:t>of</w:t>
      </w:r>
      <w:r>
        <w:rPr>
          <w:color w:val="231F20"/>
          <w:spacing w:val="-22"/>
          <w:w w:val="105"/>
        </w:rPr>
        <w:t> </w:t>
      </w:r>
      <w:r>
        <w:rPr>
          <w:color w:val="231F20"/>
          <w:w w:val="105"/>
        </w:rPr>
        <w:t>dehydration.</w:t>
      </w:r>
      <w:r>
        <w:rPr>
          <w:color w:val="231F20"/>
          <w:spacing w:val="-22"/>
          <w:w w:val="105"/>
        </w:rPr>
        <w:t> </w:t>
      </w:r>
      <w:r>
        <w:rPr>
          <w:color w:val="231F20"/>
          <w:w w:val="105"/>
        </w:rPr>
        <w:t>Even</w:t>
      </w:r>
      <w:r>
        <w:rPr>
          <w:color w:val="231F20"/>
          <w:spacing w:val="-23"/>
          <w:w w:val="105"/>
        </w:rPr>
        <w:t> </w:t>
      </w:r>
      <w:r>
        <w:rPr>
          <w:color w:val="231F20"/>
          <w:spacing w:val="-4"/>
          <w:w w:val="105"/>
        </w:rPr>
        <w:t>with</w:t>
      </w:r>
    </w:p>
    <w:p>
      <w:pPr>
        <w:pStyle w:val="BodyText"/>
        <w:spacing w:before="1"/>
        <w:rPr>
          <w:sz w:val="22"/>
        </w:rPr>
      </w:pPr>
      <w:r>
        <w:rPr/>
        <w:br w:type="column"/>
      </w:r>
      <w:r>
        <w:rPr>
          <w:sz w:val="22"/>
        </w:rPr>
      </w:r>
    </w:p>
    <w:p>
      <w:pPr>
        <w:spacing w:before="0"/>
        <w:ind w:left="1042" w:right="0" w:firstLine="0"/>
        <w:jc w:val="left"/>
        <w:rPr>
          <w:rFonts w:ascii="Helvetica"/>
          <w:sz w:val="16"/>
        </w:rPr>
      </w:pPr>
      <w:r>
        <w:rPr>
          <w:rFonts w:ascii="Helvetica"/>
          <w:color w:val="231F20"/>
          <w:sz w:val="16"/>
        </w:rPr>
        <w:t>152</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7"/>
        <w:rPr>
          <w:rFonts w:ascii="Helvetica"/>
          <w:sz w:val="14"/>
        </w:rPr>
      </w:pPr>
    </w:p>
    <w:p>
      <w:pPr>
        <w:spacing w:before="1"/>
        <w:ind w:left="1042" w:right="0" w:firstLine="0"/>
        <w:jc w:val="left"/>
        <w:rPr>
          <w:rFonts w:ascii="Helvetica"/>
          <w:sz w:val="16"/>
        </w:rPr>
      </w:pPr>
      <w:r>
        <w:rPr/>
        <w:pict>
          <v:group style="position:absolute;margin-left:375.92572pt;margin-top:-54.860111pt;width:154.050pt;height:210.95pt;mso-position-horizontal-relative:page;mso-position-vertical-relative:paragraph;z-index:252525568" coordorigin="7519,-1097" coordsize="3081,4219">
            <v:shape style="position:absolute;left:-75;top:13492;width:3036;height:4209" coordorigin="-74,13493" coordsize="3036,4209" path="m7593,-1087l7593,3046,10554,3046m7593,3046l7519,3046m7593,2065l7519,2065m7593,1084l7519,1084m7593,103l7519,103m7593,-878l7519,-878m7593,3047l7593,3122m8085,3047l8085,3122m8577,3047l8577,3122m9069,3047l9069,3122m9561,3047l9561,3122m10053,3047l10053,3122m10545,3047l10545,3122e" filled="false" stroked="true" strokeweight="1pt" strokecolor="#231f20">
              <v:path arrowok="t"/>
              <v:stroke dashstyle="solid"/>
            </v:shape>
            <v:line style="position:absolute" from="8093,1539" to="10540,1286" stroked="true" strokeweight="2pt" strokecolor="#f0535f">
              <v:stroke dashstyle="solid"/>
            </v:line>
            <v:shape style="position:absolute;left:10479;top:1226;width:120;height:120" type="#_x0000_t75" stroked="false">
              <v:imagedata r:id="rId837" o:title=""/>
            </v:shape>
            <v:shape style="position:absolute;left:8033;top:1479;width:120;height:120" type="#_x0000_t75" stroked="false">
              <v:imagedata r:id="rId838" o:title=""/>
            </v:shape>
            <v:line style="position:absolute" from="8093,2746" to="10060,-674" stroked="true" strokeweight="2pt" strokecolor="#2062af">
              <v:stroke dashstyle="solid"/>
            </v:line>
            <v:shape style="position:absolute;left:9999;top:-734;width:120;height:120" type="#_x0000_t75" stroked="false">
              <v:imagedata r:id="rId839" o:title=""/>
            </v:shape>
            <v:shape style="position:absolute;left:8033;top:2686;width:120;height:120" type="#_x0000_t75" stroked="false">
              <v:imagedata r:id="rId840" o:title=""/>
            </v:shape>
            <v:shape style="position:absolute;left:8386;top:-95;width:696;height:731" type="#_x0000_t202" filled="false" stroked="false">
              <v:textbox inset="0,0,0,0">
                <w:txbxContent>
                  <w:p>
                    <w:pPr>
                      <w:spacing w:line="235" w:lineRule="auto" w:before="7"/>
                      <w:ind w:left="0" w:right="18" w:firstLine="0"/>
                      <w:jc w:val="center"/>
                      <w:rPr>
                        <w:rFonts w:ascii="Helvetica"/>
                        <w:b/>
                        <w:sz w:val="16"/>
                      </w:rPr>
                    </w:pPr>
                    <w:r>
                      <w:rPr>
                        <w:rFonts w:ascii="Helvetica"/>
                        <w:b/>
                        <w:color w:val="231F20"/>
                        <w:sz w:val="16"/>
                      </w:rPr>
                      <w:t>ADH and thirst systems blocked</w:t>
                    </w:r>
                  </w:p>
                </w:txbxContent>
              </v:textbox>
              <w10:wrap type="none"/>
            </v:shape>
            <v:shape style="position:absolute;left:9054;top:1452;width:572;height:191" type="#_x0000_t202" filled="false" stroked="false">
              <v:textbox inset="0,0,0,0">
                <w:txbxContent>
                  <w:p>
                    <w:pPr>
                      <w:spacing w:before="4"/>
                      <w:ind w:left="0" w:right="0" w:firstLine="0"/>
                      <w:jc w:val="left"/>
                      <w:rPr>
                        <w:rFonts w:ascii="Helvetica"/>
                        <w:b/>
                        <w:sz w:val="16"/>
                      </w:rPr>
                    </w:pPr>
                    <w:r>
                      <w:rPr>
                        <w:rFonts w:ascii="Helvetica"/>
                        <w:b/>
                        <w:color w:val="231F20"/>
                        <w:sz w:val="16"/>
                      </w:rPr>
                      <w:t>Normal</w:t>
                    </w:r>
                  </w:p>
                </w:txbxContent>
              </v:textbox>
              <w10:wrap type="none"/>
            </v:shape>
            <w10:wrap type="none"/>
          </v:group>
        </w:pict>
      </w:r>
      <w:r>
        <w:rPr/>
        <w:pict>
          <v:shape style="position:absolute;margin-left:578.900024pt;margin-top:7.297083pt;width:15.9pt;height:53.35pt;mso-position-horizontal-relative:page;mso-position-vertical-relative:paragraph;z-index:25252659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346.190002pt;margin-top:-23.214125pt;width:11.55pt;height:147.85pt;mso-position-horizontal-relative:page;mso-position-vertical-relative:paragraph;z-index:252527616"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Plasma sodium concentration (mEq/L)</w:t>
                  </w:r>
                </w:p>
              </w:txbxContent>
            </v:textbox>
            <w10:wrap type="none"/>
          </v:shape>
        </w:pict>
      </w:r>
      <w:r>
        <w:rPr>
          <w:rFonts w:ascii="Helvetica"/>
          <w:color w:val="231F20"/>
          <w:sz w:val="16"/>
        </w:rPr>
        <w:t>148</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sz w:val="15"/>
        </w:rPr>
      </w:pPr>
    </w:p>
    <w:p>
      <w:pPr>
        <w:spacing w:before="0"/>
        <w:ind w:left="1042" w:right="0" w:firstLine="0"/>
        <w:jc w:val="left"/>
        <w:rPr>
          <w:rFonts w:ascii="Helvetica"/>
          <w:sz w:val="16"/>
        </w:rPr>
      </w:pPr>
      <w:r>
        <w:rPr>
          <w:rFonts w:ascii="Helvetica"/>
          <w:color w:val="231F20"/>
          <w:sz w:val="16"/>
        </w:rPr>
        <w:t>144</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1"/>
        <w:rPr>
          <w:rFonts w:ascii="Helvetica"/>
          <w:sz w:val="15"/>
        </w:rPr>
      </w:pPr>
    </w:p>
    <w:p>
      <w:pPr>
        <w:spacing w:before="0"/>
        <w:ind w:left="1042" w:right="0" w:firstLine="0"/>
        <w:jc w:val="left"/>
        <w:rPr>
          <w:rFonts w:ascii="Helvetica"/>
          <w:sz w:val="16"/>
        </w:rPr>
      </w:pPr>
      <w:r>
        <w:rPr/>
        <w:pict>
          <v:rect style="position:absolute;margin-left:576pt;margin-top:-15.16217pt;width:36pt;height:24pt;mso-position-horizontal-relative:page;mso-position-vertical-relative:paragraph;z-index:252522496" filled="true" fillcolor="#e8dac8" stroked="false">
            <v:fill type="solid"/>
            <w10:wrap type="none"/>
          </v:rect>
        </w:pict>
      </w:r>
      <w:r>
        <w:rPr>
          <w:rFonts w:ascii="Helvetica"/>
          <w:color w:val="231F20"/>
          <w:sz w:val="16"/>
        </w:rPr>
        <w:t>140</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14"/>
        </w:rPr>
      </w:pPr>
    </w:p>
    <w:p>
      <w:pPr>
        <w:spacing w:line="180" w:lineRule="exact" w:before="0"/>
        <w:ind w:left="295" w:right="4020" w:firstLine="0"/>
        <w:jc w:val="center"/>
        <w:rPr>
          <w:rFonts w:ascii="Helvetica"/>
          <w:sz w:val="16"/>
        </w:rPr>
      </w:pPr>
      <w:r>
        <w:rPr>
          <w:rFonts w:ascii="Helvetica"/>
          <w:color w:val="231F20"/>
          <w:sz w:val="16"/>
        </w:rPr>
        <w:t>136</w:t>
      </w:r>
    </w:p>
    <w:p>
      <w:pPr>
        <w:tabs>
          <w:tab w:pos="445" w:val="left" w:leader="none"/>
          <w:tab w:pos="930" w:val="left" w:leader="none"/>
          <w:tab w:pos="1430" w:val="left" w:leader="none"/>
          <w:tab w:pos="1881" w:val="left" w:leader="none"/>
          <w:tab w:pos="2371" w:val="left" w:leader="none"/>
          <w:tab w:pos="2862" w:val="left" w:leader="none"/>
        </w:tabs>
        <w:spacing w:line="180" w:lineRule="exact" w:before="0"/>
        <w:ind w:left="0" w:right="168" w:firstLine="0"/>
        <w:jc w:val="center"/>
        <w:rPr>
          <w:rFonts w:ascii="Helvetica"/>
          <w:sz w:val="16"/>
        </w:rPr>
      </w:pPr>
      <w:r>
        <w:rPr>
          <w:rFonts w:ascii="Helvetica"/>
          <w:color w:val="231F20"/>
          <w:sz w:val="16"/>
        </w:rPr>
        <w:t>0</w:t>
        <w:tab/>
        <w:t>30</w:t>
        <w:tab/>
        <w:t>60</w:t>
        <w:tab/>
        <w:t>90</w:t>
        <w:tab/>
        <w:t>120</w:t>
        <w:tab/>
        <w:t>150</w:t>
        <w:tab/>
        <w:t>180</w:t>
      </w:r>
    </w:p>
    <w:p>
      <w:pPr>
        <w:spacing w:before="57"/>
        <w:ind w:left="295" w:right="540" w:firstLine="0"/>
        <w:jc w:val="center"/>
        <w:rPr>
          <w:rFonts w:ascii="Helvetica"/>
          <w:b/>
          <w:sz w:val="16"/>
        </w:rPr>
      </w:pPr>
      <w:r>
        <w:rPr>
          <w:rFonts w:ascii="Helvetica"/>
          <w:b/>
          <w:color w:val="231F20"/>
          <w:sz w:val="16"/>
        </w:rPr>
        <w:t>Sodium intake (mEq/day)</w:t>
      </w:r>
    </w:p>
    <w:p>
      <w:pPr>
        <w:spacing w:line="254" w:lineRule="auto" w:before="92"/>
        <w:ind w:left="319" w:right="1077" w:firstLine="0"/>
        <w:jc w:val="both"/>
        <w:rPr>
          <w:rFonts w:ascii="Lucida Sans"/>
          <w:i/>
          <w:sz w:val="16"/>
        </w:rPr>
      </w:pPr>
      <w:bookmarkStart w:name="_bookmark80" w:id="81"/>
      <w:bookmarkEnd w:id="81"/>
      <w:r>
        <w:rPr/>
      </w:r>
      <w:r>
        <w:rPr>
          <w:rFonts w:ascii="Trebuchet MS"/>
          <w:b/>
          <w:color w:val="231F20"/>
          <w:sz w:val="16"/>
        </w:rPr>
        <w:t>Figure</w:t>
      </w:r>
      <w:r>
        <w:rPr>
          <w:rFonts w:ascii="Trebuchet MS"/>
          <w:b/>
          <w:color w:val="231F20"/>
          <w:spacing w:val="-14"/>
          <w:sz w:val="16"/>
        </w:rPr>
        <w:t> </w:t>
      </w:r>
      <w:r>
        <w:rPr>
          <w:rFonts w:ascii="Trebuchet MS"/>
          <w:b/>
          <w:color w:val="231F20"/>
          <w:sz w:val="16"/>
        </w:rPr>
        <w:t>29-12.</w:t>
      </w:r>
      <w:r>
        <w:rPr>
          <w:rFonts w:ascii="Trebuchet MS"/>
          <w:b/>
          <w:color w:val="231F20"/>
          <w:spacing w:val="6"/>
          <w:sz w:val="16"/>
        </w:rPr>
        <w:t> </w:t>
      </w:r>
      <w:r>
        <w:rPr>
          <w:rFonts w:ascii="Arial"/>
          <w:color w:val="231F20"/>
          <w:sz w:val="16"/>
        </w:rPr>
        <w:t>Effect</w:t>
      </w:r>
      <w:r>
        <w:rPr>
          <w:rFonts w:ascii="Arial"/>
          <w:color w:val="231F20"/>
          <w:spacing w:val="-10"/>
          <w:sz w:val="16"/>
        </w:rPr>
        <w:t> </w:t>
      </w:r>
      <w:r>
        <w:rPr>
          <w:rFonts w:ascii="Arial"/>
          <w:color w:val="231F20"/>
          <w:sz w:val="16"/>
        </w:rPr>
        <w:t>of</w:t>
      </w:r>
      <w:r>
        <w:rPr>
          <w:rFonts w:ascii="Arial"/>
          <w:color w:val="231F20"/>
          <w:spacing w:val="-10"/>
          <w:sz w:val="16"/>
        </w:rPr>
        <w:t> </w:t>
      </w:r>
      <w:r>
        <w:rPr>
          <w:rFonts w:ascii="Arial"/>
          <w:color w:val="231F20"/>
          <w:sz w:val="16"/>
        </w:rPr>
        <w:t>large</w:t>
      </w:r>
      <w:r>
        <w:rPr>
          <w:rFonts w:ascii="Arial"/>
          <w:color w:val="231F20"/>
          <w:spacing w:val="-10"/>
          <w:sz w:val="16"/>
        </w:rPr>
        <w:t> </w:t>
      </w:r>
      <w:r>
        <w:rPr>
          <w:rFonts w:ascii="Arial"/>
          <w:color w:val="231F20"/>
          <w:sz w:val="16"/>
        </w:rPr>
        <w:t>changes</w:t>
      </w:r>
      <w:r>
        <w:rPr>
          <w:rFonts w:ascii="Arial"/>
          <w:color w:val="231F20"/>
          <w:spacing w:val="-9"/>
          <w:sz w:val="16"/>
        </w:rPr>
        <w:t> </w:t>
      </w:r>
      <w:r>
        <w:rPr>
          <w:rFonts w:ascii="Arial"/>
          <w:color w:val="231F20"/>
          <w:sz w:val="16"/>
        </w:rPr>
        <w:t>in</w:t>
      </w:r>
      <w:r>
        <w:rPr>
          <w:rFonts w:ascii="Arial"/>
          <w:color w:val="231F20"/>
          <w:spacing w:val="-10"/>
          <w:sz w:val="16"/>
        </w:rPr>
        <w:t> </w:t>
      </w:r>
      <w:r>
        <w:rPr>
          <w:rFonts w:ascii="Arial"/>
          <w:color w:val="231F20"/>
          <w:sz w:val="16"/>
        </w:rPr>
        <w:t>sodium</w:t>
      </w:r>
      <w:r>
        <w:rPr>
          <w:rFonts w:ascii="Arial"/>
          <w:color w:val="231F20"/>
          <w:spacing w:val="-10"/>
          <w:sz w:val="16"/>
        </w:rPr>
        <w:t> </w:t>
      </w:r>
      <w:r>
        <w:rPr>
          <w:rFonts w:ascii="Arial"/>
          <w:color w:val="231F20"/>
          <w:sz w:val="16"/>
        </w:rPr>
        <w:t>intake</w:t>
      </w:r>
      <w:r>
        <w:rPr>
          <w:rFonts w:ascii="Arial"/>
          <w:color w:val="231F20"/>
          <w:spacing w:val="-10"/>
          <w:sz w:val="16"/>
        </w:rPr>
        <w:t> </w:t>
      </w:r>
      <w:r>
        <w:rPr>
          <w:rFonts w:ascii="Arial"/>
          <w:color w:val="231F20"/>
          <w:sz w:val="16"/>
        </w:rPr>
        <w:t>on</w:t>
      </w:r>
      <w:r>
        <w:rPr>
          <w:rFonts w:ascii="Arial"/>
          <w:color w:val="231F20"/>
          <w:spacing w:val="-10"/>
          <w:sz w:val="16"/>
        </w:rPr>
        <w:t> </w:t>
      </w:r>
      <w:r>
        <w:rPr>
          <w:rFonts w:ascii="Arial"/>
          <w:color w:val="231F20"/>
          <w:spacing w:val="-3"/>
          <w:sz w:val="16"/>
        </w:rPr>
        <w:t>extracel- </w:t>
      </w:r>
      <w:r>
        <w:rPr>
          <w:rFonts w:ascii="Arial"/>
          <w:color w:val="231F20"/>
          <w:sz w:val="16"/>
        </w:rPr>
        <w:t>lular</w:t>
      </w:r>
      <w:r>
        <w:rPr>
          <w:rFonts w:ascii="Arial"/>
          <w:color w:val="231F20"/>
          <w:spacing w:val="-21"/>
          <w:sz w:val="16"/>
        </w:rPr>
        <w:t> </w:t>
      </w:r>
      <w:r>
        <w:rPr>
          <w:rFonts w:ascii="Arial"/>
          <w:color w:val="231F20"/>
          <w:sz w:val="16"/>
        </w:rPr>
        <w:t>fluid</w:t>
      </w:r>
      <w:r>
        <w:rPr>
          <w:rFonts w:ascii="Arial"/>
          <w:color w:val="231F20"/>
          <w:spacing w:val="-21"/>
          <w:sz w:val="16"/>
        </w:rPr>
        <w:t> </w:t>
      </w:r>
      <w:r>
        <w:rPr>
          <w:rFonts w:ascii="Arial"/>
          <w:color w:val="231F20"/>
          <w:sz w:val="16"/>
        </w:rPr>
        <w:t>sodium</w:t>
      </w:r>
      <w:r>
        <w:rPr>
          <w:rFonts w:ascii="Arial"/>
          <w:color w:val="231F20"/>
          <w:spacing w:val="-21"/>
          <w:sz w:val="16"/>
        </w:rPr>
        <w:t> </w:t>
      </w:r>
      <w:r>
        <w:rPr>
          <w:rFonts w:ascii="Arial"/>
          <w:color w:val="231F20"/>
          <w:sz w:val="16"/>
        </w:rPr>
        <w:t>concentration</w:t>
      </w:r>
      <w:r>
        <w:rPr>
          <w:rFonts w:ascii="Arial"/>
          <w:color w:val="231F20"/>
          <w:spacing w:val="-21"/>
          <w:sz w:val="16"/>
        </w:rPr>
        <w:t> </w:t>
      </w:r>
      <w:r>
        <w:rPr>
          <w:rFonts w:ascii="Arial"/>
          <w:color w:val="231F20"/>
          <w:sz w:val="16"/>
        </w:rPr>
        <w:t>in</w:t>
      </w:r>
      <w:r>
        <w:rPr>
          <w:rFonts w:ascii="Arial"/>
          <w:color w:val="231F20"/>
          <w:spacing w:val="-21"/>
          <w:sz w:val="16"/>
        </w:rPr>
        <w:t> </w:t>
      </w:r>
      <w:r>
        <w:rPr>
          <w:rFonts w:ascii="Arial"/>
          <w:color w:val="231F20"/>
          <w:sz w:val="16"/>
        </w:rPr>
        <w:t>dogs</w:t>
      </w:r>
      <w:r>
        <w:rPr>
          <w:rFonts w:ascii="Arial"/>
          <w:color w:val="231F20"/>
          <w:spacing w:val="-21"/>
          <w:sz w:val="16"/>
        </w:rPr>
        <w:t> </w:t>
      </w:r>
      <w:r>
        <w:rPr>
          <w:rFonts w:ascii="Arial"/>
          <w:color w:val="231F20"/>
          <w:sz w:val="16"/>
        </w:rPr>
        <w:t>under</w:t>
      </w:r>
      <w:r>
        <w:rPr>
          <w:rFonts w:ascii="Arial"/>
          <w:color w:val="231F20"/>
          <w:spacing w:val="-21"/>
          <w:sz w:val="16"/>
        </w:rPr>
        <w:t> </w:t>
      </w:r>
      <w:r>
        <w:rPr>
          <w:rFonts w:ascii="Arial"/>
          <w:color w:val="231F20"/>
          <w:sz w:val="16"/>
        </w:rPr>
        <w:t>normal</w:t>
      </w:r>
      <w:r>
        <w:rPr>
          <w:rFonts w:ascii="Arial"/>
          <w:color w:val="231F20"/>
          <w:spacing w:val="-20"/>
          <w:sz w:val="16"/>
        </w:rPr>
        <w:t> </w:t>
      </w:r>
      <w:r>
        <w:rPr>
          <w:rFonts w:ascii="Arial"/>
          <w:color w:val="231F20"/>
          <w:sz w:val="16"/>
        </w:rPr>
        <w:t>conditions</w:t>
      </w:r>
      <w:r>
        <w:rPr>
          <w:rFonts w:ascii="Arial"/>
          <w:color w:val="231F20"/>
          <w:spacing w:val="-21"/>
          <w:sz w:val="16"/>
        </w:rPr>
        <w:t> </w:t>
      </w:r>
      <w:r>
        <w:rPr>
          <w:rFonts w:ascii="Arial"/>
          <w:color w:val="231F20"/>
          <w:spacing w:val="-4"/>
          <w:sz w:val="16"/>
        </w:rPr>
        <w:t>(</w:t>
      </w:r>
      <w:r>
        <w:rPr>
          <w:rFonts w:ascii="Lucida Sans"/>
          <w:i/>
          <w:color w:val="231F20"/>
          <w:spacing w:val="-4"/>
          <w:sz w:val="16"/>
        </w:rPr>
        <w:t>red </w:t>
      </w:r>
      <w:r>
        <w:rPr>
          <w:rFonts w:ascii="Lucida Sans"/>
          <w:i/>
          <w:color w:val="231F20"/>
          <w:sz w:val="16"/>
        </w:rPr>
        <w:t>line</w:t>
      </w:r>
      <w:r>
        <w:rPr>
          <w:rFonts w:ascii="Arial"/>
          <w:color w:val="231F20"/>
          <w:sz w:val="16"/>
        </w:rPr>
        <w:t>) and after the antidiuretic hormone </w:t>
      </w:r>
      <w:r>
        <w:rPr>
          <w:rFonts w:ascii="Lucida Sans"/>
          <w:i/>
          <w:color w:val="231F20"/>
          <w:sz w:val="16"/>
        </w:rPr>
        <w:t>(ADH) </w:t>
      </w:r>
      <w:r>
        <w:rPr>
          <w:rFonts w:ascii="Arial"/>
          <w:color w:val="231F20"/>
          <w:sz w:val="16"/>
        </w:rPr>
        <w:t>and thirst feedback systems</w:t>
      </w:r>
      <w:r>
        <w:rPr>
          <w:rFonts w:ascii="Arial"/>
          <w:color w:val="231F20"/>
          <w:spacing w:val="-10"/>
          <w:sz w:val="16"/>
        </w:rPr>
        <w:t> </w:t>
      </w:r>
      <w:r>
        <w:rPr>
          <w:rFonts w:ascii="Arial"/>
          <w:color w:val="231F20"/>
          <w:sz w:val="16"/>
        </w:rPr>
        <w:t>had</w:t>
      </w:r>
      <w:r>
        <w:rPr>
          <w:rFonts w:ascii="Arial"/>
          <w:color w:val="231F20"/>
          <w:spacing w:val="-10"/>
          <w:sz w:val="16"/>
        </w:rPr>
        <w:t> </w:t>
      </w:r>
      <w:r>
        <w:rPr>
          <w:rFonts w:ascii="Arial"/>
          <w:color w:val="231F20"/>
          <w:sz w:val="16"/>
        </w:rPr>
        <w:t>been</w:t>
      </w:r>
      <w:r>
        <w:rPr>
          <w:rFonts w:ascii="Arial"/>
          <w:color w:val="231F20"/>
          <w:spacing w:val="-9"/>
          <w:sz w:val="16"/>
        </w:rPr>
        <w:t> </w:t>
      </w:r>
      <w:r>
        <w:rPr>
          <w:rFonts w:ascii="Arial"/>
          <w:color w:val="231F20"/>
          <w:sz w:val="16"/>
        </w:rPr>
        <w:t>blocked</w:t>
      </w:r>
      <w:r>
        <w:rPr>
          <w:rFonts w:ascii="Arial"/>
          <w:color w:val="231F20"/>
          <w:spacing w:val="-10"/>
          <w:sz w:val="16"/>
        </w:rPr>
        <w:t> </w:t>
      </w:r>
      <w:r>
        <w:rPr>
          <w:rFonts w:ascii="Arial"/>
          <w:color w:val="231F20"/>
          <w:sz w:val="16"/>
        </w:rPr>
        <w:t>(</w:t>
      </w:r>
      <w:r>
        <w:rPr>
          <w:rFonts w:ascii="Lucida Sans"/>
          <w:i/>
          <w:color w:val="231F20"/>
          <w:sz w:val="16"/>
        </w:rPr>
        <w:t>blue</w:t>
      </w:r>
      <w:r>
        <w:rPr>
          <w:rFonts w:ascii="Lucida Sans"/>
          <w:i/>
          <w:color w:val="231F20"/>
          <w:spacing w:val="-15"/>
          <w:sz w:val="16"/>
        </w:rPr>
        <w:t> </w:t>
      </w:r>
      <w:r>
        <w:rPr>
          <w:rFonts w:ascii="Lucida Sans"/>
          <w:i/>
          <w:color w:val="231F20"/>
          <w:sz w:val="16"/>
        </w:rPr>
        <w:t>line</w:t>
      </w:r>
      <w:r>
        <w:rPr>
          <w:rFonts w:ascii="Arial"/>
          <w:color w:val="231F20"/>
          <w:sz w:val="16"/>
        </w:rPr>
        <w:t>).</w:t>
      </w:r>
      <w:r>
        <w:rPr>
          <w:rFonts w:ascii="Arial"/>
          <w:color w:val="231F20"/>
          <w:spacing w:val="-10"/>
          <w:sz w:val="16"/>
        </w:rPr>
        <w:t> </w:t>
      </w:r>
      <w:r>
        <w:rPr>
          <w:rFonts w:ascii="Arial"/>
          <w:color w:val="231F20"/>
          <w:sz w:val="16"/>
        </w:rPr>
        <w:t>Note</w:t>
      </w:r>
      <w:r>
        <w:rPr>
          <w:rFonts w:ascii="Arial"/>
          <w:color w:val="231F20"/>
          <w:spacing w:val="-9"/>
          <w:sz w:val="16"/>
        </w:rPr>
        <w:t> </w:t>
      </w:r>
      <w:r>
        <w:rPr>
          <w:rFonts w:ascii="Arial"/>
          <w:color w:val="231F20"/>
          <w:sz w:val="16"/>
        </w:rPr>
        <w:t>that</w:t>
      </w:r>
      <w:r>
        <w:rPr>
          <w:rFonts w:ascii="Arial"/>
          <w:color w:val="231F20"/>
          <w:spacing w:val="-10"/>
          <w:sz w:val="16"/>
        </w:rPr>
        <w:t> </w:t>
      </w:r>
      <w:r>
        <w:rPr>
          <w:rFonts w:ascii="Arial"/>
          <w:color w:val="231F20"/>
          <w:sz w:val="16"/>
        </w:rPr>
        <w:t>control</w:t>
      </w:r>
      <w:r>
        <w:rPr>
          <w:rFonts w:ascii="Arial"/>
          <w:color w:val="231F20"/>
          <w:spacing w:val="-9"/>
          <w:sz w:val="16"/>
        </w:rPr>
        <w:t> </w:t>
      </w:r>
      <w:r>
        <w:rPr>
          <w:rFonts w:ascii="Arial"/>
          <w:color w:val="231F20"/>
          <w:sz w:val="16"/>
        </w:rPr>
        <w:t>of</w:t>
      </w:r>
      <w:r>
        <w:rPr>
          <w:rFonts w:ascii="Arial"/>
          <w:color w:val="231F20"/>
          <w:spacing w:val="-10"/>
          <w:sz w:val="16"/>
        </w:rPr>
        <w:t> </w:t>
      </w:r>
      <w:r>
        <w:rPr>
          <w:rFonts w:ascii="Arial"/>
          <w:color w:val="231F20"/>
          <w:spacing w:val="-3"/>
          <w:sz w:val="16"/>
        </w:rPr>
        <w:t>extracel- </w:t>
      </w:r>
      <w:r>
        <w:rPr>
          <w:rFonts w:ascii="Arial"/>
          <w:color w:val="231F20"/>
          <w:sz w:val="16"/>
        </w:rPr>
        <w:t>lular fluid sodium concentration is poor in the absence of </w:t>
      </w:r>
      <w:r>
        <w:rPr>
          <w:rFonts w:ascii="Arial"/>
          <w:color w:val="231F20"/>
          <w:spacing w:val="-3"/>
          <w:sz w:val="16"/>
        </w:rPr>
        <w:t>these </w:t>
      </w:r>
      <w:r>
        <w:rPr>
          <w:rFonts w:ascii="Arial"/>
          <w:color w:val="231F20"/>
          <w:sz w:val="16"/>
        </w:rPr>
        <w:t>feedback</w:t>
      </w:r>
      <w:r>
        <w:rPr>
          <w:rFonts w:ascii="Arial"/>
          <w:color w:val="231F20"/>
          <w:spacing w:val="-4"/>
          <w:sz w:val="16"/>
        </w:rPr>
        <w:t> </w:t>
      </w:r>
      <w:r>
        <w:rPr>
          <w:rFonts w:ascii="Arial"/>
          <w:color w:val="231F20"/>
          <w:sz w:val="16"/>
        </w:rPr>
        <w:t>systems.</w:t>
      </w:r>
      <w:r>
        <w:rPr>
          <w:rFonts w:ascii="Arial"/>
          <w:color w:val="231F20"/>
          <w:spacing w:val="-4"/>
          <w:sz w:val="16"/>
        </w:rPr>
        <w:t> </w:t>
      </w:r>
      <w:r>
        <w:rPr>
          <w:rFonts w:ascii="Lucida Sans"/>
          <w:i/>
          <w:color w:val="231F20"/>
          <w:sz w:val="16"/>
        </w:rPr>
        <w:t>(Courtesy</w:t>
      </w:r>
      <w:r>
        <w:rPr>
          <w:rFonts w:ascii="Lucida Sans"/>
          <w:i/>
          <w:color w:val="231F20"/>
          <w:spacing w:val="-10"/>
          <w:sz w:val="16"/>
        </w:rPr>
        <w:t> </w:t>
      </w:r>
      <w:r>
        <w:rPr>
          <w:rFonts w:ascii="Lucida Sans"/>
          <w:i/>
          <w:color w:val="231F20"/>
          <w:spacing w:val="-5"/>
          <w:sz w:val="16"/>
        </w:rPr>
        <w:t>Dr.</w:t>
      </w:r>
      <w:r>
        <w:rPr>
          <w:rFonts w:ascii="Lucida Sans"/>
          <w:i/>
          <w:color w:val="231F20"/>
          <w:spacing w:val="-10"/>
          <w:sz w:val="16"/>
        </w:rPr>
        <w:t> </w:t>
      </w:r>
      <w:r>
        <w:rPr>
          <w:rFonts w:ascii="Lucida Sans"/>
          <w:i/>
          <w:color w:val="231F20"/>
          <w:sz w:val="16"/>
        </w:rPr>
        <w:t>David</w:t>
      </w:r>
      <w:r>
        <w:rPr>
          <w:rFonts w:ascii="Lucida Sans"/>
          <w:i/>
          <w:color w:val="231F20"/>
          <w:spacing w:val="-10"/>
          <w:sz w:val="16"/>
        </w:rPr>
        <w:t> </w:t>
      </w:r>
      <w:r>
        <w:rPr>
          <w:rFonts w:ascii="Lucida Sans"/>
          <w:i/>
          <w:color w:val="231F20"/>
          <w:sz w:val="16"/>
        </w:rPr>
        <w:t>B.</w:t>
      </w:r>
      <w:r>
        <w:rPr>
          <w:rFonts w:ascii="Lucida Sans"/>
          <w:i/>
          <w:color w:val="231F20"/>
          <w:spacing w:val="-9"/>
          <w:sz w:val="16"/>
        </w:rPr>
        <w:t> </w:t>
      </w:r>
      <w:r>
        <w:rPr>
          <w:rFonts w:ascii="Lucida Sans"/>
          <w:i/>
          <w:color w:val="231F20"/>
          <w:sz w:val="16"/>
        </w:rPr>
        <w:t>Young.)</w:t>
      </w:r>
    </w:p>
    <w:p>
      <w:pPr>
        <w:pStyle w:val="BodyText"/>
        <w:spacing w:before="6"/>
        <w:rPr>
          <w:rFonts w:ascii="Lucida Sans"/>
          <w:i/>
          <w:sz w:val="23"/>
        </w:rPr>
      </w:pPr>
    </w:p>
    <w:p>
      <w:pPr>
        <w:pStyle w:val="BodyText"/>
        <w:spacing w:line="249" w:lineRule="auto"/>
        <w:ind w:left="319" w:right="1077"/>
        <w:jc w:val="both"/>
      </w:pPr>
      <w:r>
        <w:rPr>
          <w:color w:val="231F20"/>
          <w:w w:val="105"/>
        </w:rPr>
        <w:t>additional</w:t>
      </w:r>
      <w:r>
        <w:rPr>
          <w:color w:val="231F20"/>
          <w:spacing w:val="-23"/>
          <w:w w:val="105"/>
        </w:rPr>
        <w:t> </w:t>
      </w:r>
      <w:r>
        <w:rPr>
          <w:color w:val="231F20"/>
          <w:w w:val="105"/>
        </w:rPr>
        <w:t>challenges,</w:t>
      </w:r>
      <w:r>
        <w:rPr>
          <w:color w:val="231F20"/>
          <w:spacing w:val="-22"/>
          <w:w w:val="105"/>
        </w:rPr>
        <w:t> </w:t>
      </w:r>
      <w:r>
        <w:rPr>
          <w:color w:val="231F20"/>
          <w:w w:val="105"/>
        </w:rPr>
        <w:t>such</w:t>
      </w:r>
      <w:r>
        <w:rPr>
          <w:color w:val="231F20"/>
          <w:spacing w:val="-22"/>
          <w:w w:val="105"/>
        </w:rPr>
        <w:t> </w:t>
      </w:r>
      <w:r>
        <w:rPr>
          <w:color w:val="231F20"/>
          <w:w w:val="105"/>
        </w:rPr>
        <w:t>as</w:t>
      </w:r>
      <w:r>
        <w:rPr>
          <w:color w:val="231F20"/>
          <w:spacing w:val="-22"/>
          <w:w w:val="105"/>
        </w:rPr>
        <w:t> </w:t>
      </w:r>
      <w:r>
        <w:rPr>
          <w:color w:val="231F20"/>
          <w:w w:val="105"/>
        </w:rPr>
        <w:t>high</w:t>
      </w:r>
      <w:r>
        <w:rPr>
          <w:color w:val="231F20"/>
          <w:spacing w:val="-22"/>
          <w:w w:val="105"/>
        </w:rPr>
        <w:t> </w:t>
      </w:r>
      <w:r>
        <w:rPr>
          <w:color w:val="231F20"/>
          <w:w w:val="105"/>
        </w:rPr>
        <w:t>salt</w:t>
      </w:r>
      <w:r>
        <w:rPr>
          <w:color w:val="231F20"/>
          <w:spacing w:val="-22"/>
          <w:w w:val="105"/>
        </w:rPr>
        <w:t> </w:t>
      </w:r>
      <w:r>
        <w:rPr>
          <w:color w:val="231F20"/>
          <w:w w:val="105"/>
        </w:rPr>
        <w:t>intake,</w:t>
      </w:r>
      <w:r>
        <w:rPr>
          <w:color w:val="231F20"/>
          <w:spacing w:val="-22"/>
          <w:w w:val="105"/>
        </w:rPr>
        <w:t> </w:t>
      </w:r>
      <w:r>
        <w:rPr>
          <w:color w:val="231F20"/>
          <w:w w:val="105"/>
        </w:rPr>
        <w:t>these</w:t>
      </w:r>
      <w:r>
        <w:rPr>
          <w:color w:val="231F20"/>
          <w:spacing w:val="-23"/>
          <w:w w:val="105"/>
        </w:rPr>
        <w:t> </w:t>
      </w:r>
      <w:r>
        <w:rPr>
          <w:color w:val="231F20"/>
          <w:w w:val="105"/>
        </w:rPr>
        <w:t>feed­ back</w:t>
      </w:r>
      <w:r>
        <w:rPr>
          <w:color w:val="231F20"/>
          <w:spacing w:val="-12"/>
          <w:w w:val="105"/>
        </w:rPr>
        <w:t> </w:t>
      </w:r>
      <w:r>
        <w:rPr>
          <w:color w:val="231F20"/>
          <w:w w:val="105"/>
        </w:rPr>
        <w:t>systems</w:t>
      </w:r>
      <w:r>
        <w:rPr>
          <w:color w:val="231F20"/>
          <w:spacing w:val="-11"/>
          <w:w w:val="105"/>
        </w:rPr>
        <w:t> </w:t>
      </w:r>
      <w:r>
        <w:rPr>
          <w:color w:val="231F20"/>
          <w:w w:val="105"/>
        </w:rPr>
        <w:t>are</w:t>
      </w:r>
      <w:r>
        <w:rPr>
          <w:color w:val="231F20"/>
          <w:spacing w:val="-11"/>
          <w:w w:val="105"/>
        </w:rPr>
        <w:t> </w:t>
      </w:r>
      <w:r>
        <w:rPr>
          <w:color w:val="231F20"/>
          <w:w w:val="105"/>
        </w:rPr>
        <w:t>able</w:t>
      </w:r>
      <w:r>
        <w:rPr>
          <w:color w:val="231F20"/>
          <w:spacing w:val="-11"/>
          <w:w w:val="105"/>
        </w:rPr>
        <w:t> </w:t>
      </w:r>
      <w:r>
        <w:rPr>
          <w:color w:val="231F20"/>
          <w:w w:val="105"/>
        </w:rPr>
        <w:t>to</w:t>
      </w:r>
      <w:r>
        <w:rPr>
          <w:color w:val="231F20"/>
          <w:spacing w:val="-12"/>
          <w:w w:val="105"/>
        </w:rPr>
        <w:t> </w:t>
      </w:r>
      <w:r>
        <w:rPr>
          <w:color w:val="231F20"/>
          <w:w w:val="105"/>
        </w:rPr>
        <w:t>keep</w:t>
      </w:r>
      <w:r>
        <w:rPr>
          <w:color w:val="231F20"/>
          <w:spacing w:val="-11"/>
          <w:w w:val="105"/>
        </w:rPr>
        <w:t> </w:t>
      </w:r>
      <w:r>
        <w:rPr>
          <w:color w:val="231F20"/>
          <w:w w:val="105"/>
        </w:rPr>
        <w:t>plasma</w:t>
      </w:r>
      <w:r>
        <w:rPr>
          <w:color w:val="231F20"/>
          <w:spacing w:val="-11"/>
          <w:w w:val="105"/>
        </w:rPr>
        <w:t> </w:t>
      </w:r>
      <w:r>
        <w:rPr>
          <w:color w:val="231F20"/>
          <w:w w:val="105"/>
        </w:rPr>
        <w:t>osmolarity</w:t>
      </w:r>
      <w:r>
        <w:rPr>
          <w:color w:val="231F20"/>
          <w:spacing w:val="-11"/>
          <w:w w:val="105"/>
        </w:rPr>
        <w:t> </w:t>
      </w:r>
      <w:r>
        <w:rPr>
          <w:color w:val="231F20"/>
          <w:w w:val="105"/>
        </w:rPr>
        <w:t>reason­ ably constant. </w:t>
      </w:r>
      <w:hyperlink w:history="true" w:anchor="_bookmark80">
        <w:r>
          <w:rPr>
            <w:b/>
            <w:color w:val="0080AC"/>
            <w:w w:val="105"/>
          </w:rPr>
          <w:t>Figure 29-12</w:t>
        </w:r>
      </w:hyperlink>
      <w:r>
        <w:rPr>
          <w:b/>
          <w:color w:val="0080AC"/>
          <w:w w:val="105"/>
        </w:rPr>
        <w:t> </w:t>
      </w:r>
      <w:r>
        <w:rPr>
          <w:color w:val="231F20"/>
          <w:w w:val="105"/>
        </w:rPr>
        <w:t>shows that an increase in sodium intake to as high as six times normal has only a small effect on plasma sodium concentration as long as the ADH and thirst mechanisms are both functioning normally.</w:t>
      </w:r>
    </w:p>
    <w:p>
      <w:pPr>
        <w:pStyle w:val="BodyText"/>
        <w:spacing w:line="249" w:lineRule="auto" w:before="6"/>
        <w:ind w:left="319" w:right="1077" w:firstLine="240"/>
        <w:jc w:val="both"/>
      </w:pPr>
      <w:r>
        <w:rPr>
          <w:color w:val="231F20"/>
          <w:w w:val="105"/>
        </w:rPr>
        <w:t>When either the ADH or the thirst mechanism fails, the other ordinarily can still control extracellular </w:t>
      </w:r>
      <w:r>
        <w:rPr>
          <w:color w:val="231F20"/>
          <w:spacing w:val="-3"/>
          <w:w w:val="105"/>
        </w:rPr>
        <w:t>osmo­ </w:t>
      </w:r>
      <w:r>
        <w:rPr>
          <w:color w:val="231F20"/>
          <w:w w:val="105"/>
        </w:rPr>
        <w:t>larity and sodium concentration with reasonable </w:t>
      </w:r>
      <w:r>
        <w:rPr>
          <w:color w:val="231F20"/>
          <w:spacing w:val="-3"/>
          <w:w w:val="105"/>
        </w:rPr>
        <w:t>effec­ </w:t>
      </w:r>
      <w:r>
        <w:rPr>
          <w:color w:val="231F20"/>
          <w:w w:val="105"/>
        </w:rPr>
        <w:t>tiveness,</w:t>
      </w:r>
      <w:r>
        <w:rPr>
          <w:color w:val="231F20"/>
          <w:spacing w:val="-20"/>
          <w:w w:val="105"/>
        </w:rPr>
        <w:t> </w:t>
      </w:r>
      <w:r>
        <w:rPr>
          <w:color w:val="231F20"/>
          <w:w w:val="105"/>
        </w:rPr>
        <w:t>as</w:t>
      </w:r>
      <w:r>
        <w:rPr>
          <w:color w:val="231F20"/>
          <w:spacing w:val="-19"/>
          <w:w w:val="105"/>
        </w:rPr>
        <w:t> </w:t>
      </w:r>
      <w:r>
        <w:rPr>
          <w:color w:val="231F20"/>
          <w:w w:val="105"/>
        </w:rPr>
        <w:t>long</w:t>
      </w:r>
      <w:r>
        <w:rPr>
          <w:color w:val="231F20"/>
          <w:spacing w:val="-20"/>
          <w:w w:val="105"/>
        </w:rPr>
        <w:t> </w:t>
      </w:r>
      <w:r>
        <w:rPr>
          <w:color w:val="231F20"/>
          <w:w w:val="105"/>
        </w:rPr>
        <w:t>as</w:t>
      </w:r>
      <w:r>
        <w:rPr>
          <w:color w:val="231F20"/>
          <w:spacing w:val="-19"/>
          <w:w w:val="105"/>
        </w:rPr>
        <w:t> </w:t>
      </w:r>
      <w:r>
        <w:rPr>
          <w:color w:val="231F20"/>
          <w:w w:val="105"/>
        </w:rPr>
        <w:t>there</w:t>
      </w:r>
      <w:r>
        <w:rPr>
          <w:color w:val="231F20"/>
          <w:spacing w:val="-20"/>
          <w:w w:val="105"/>
        </w:rPr>
        <w:t> </w:t>
      </w:r>
      <w:r>
        <w:rPr>
          <w:color w:val="231F20"/>
          <w:w w:val="105"/>
        </w:rPr>
        <w:t>is</w:t>
      </w:r>
      <w:r>
        <w:rPr>
          <w:color w:val="231F20"/>
          <w:spacing w:val="-19"/>
          <w:w w:val="105"/>
        </w:rPr>
        <w:t> </w:t>
      </w:r>
      <w:r>
        <w:rPr>
          <w:color w:val="231F20"/>
          <w:w w:val="105"/>
        </w:rPr>
        <w:t>enough</w:t>
      </w:r>
      <w:r>
        <w:rPr>
          <w:color w:val="231F20"/>
          <w:spacing w:val="-20"/>
          <w:w w:val="105"/>
        </w:rPr>
        <w:t> </w:t>
      </w:r>
      <w:r>
        <w:rPr>
          <w:color w:val="231F20"/>
          <w:w w:val="105"/>
        </w:rPr>
        <w:t>fluid</w:t>
      </w:r>
      <w:r>
        <w:rPr>
          <w:color w:val="231F20"/>
          <w:spacing w:val="-19"/>
          <w:w w:val="105"/>
        </w:rPr>
        <w:t> </w:t>
      </w:r>
      <w:r>
        <w:rPr>
          <w:color w:val="231F20"/>
          <w:w w:val="105"/>
        </w:rPr>
        <w:t>intake</w:t>
      </w:r>
      <w:r>
        <w:rPr>
          <w:color w:val="231F20"/>
          <w:spacing w:val="-19"/>
          <w:w w:val="105"/>
        </w:rPr>
        <w:t> </w:t>
      </w:r>
      <w:r>
        <w:rPr>
          <w:color w:val="231F20"/>
          <w:w w:val="105"/>
        </w:rPr>
        <w:t>to</w:t>
      </w:r>
      <w:r>
        <w:rPr>
          <w:color w:val="231F20"/>
          <w:spacing w:val="-20"/>
          <w:w w:val="105"/>
        </w:rPr>
        <w:t> </w:t>
      </w:r>
      <w:r>
        <w:rPr>
          <w:color w:val="231F20"/>
          <w:w w:val="105"/>
        </w:rPr>
        <w:t>balance the</w:t>
      </w:r>
      <w:r>
        <w:rPr>
          <w:color w:val="231F20"/>
          <w:spacing w:val="-25"/>
          <w:w w:val="105"/>
        </w:rPr>
        <w:t> </w:t>
      </w:r>
      <w:r>
        <w:rPr>
          <w:color w:val="231F20"/>
          <w:w w:val="105"/>
        </w:rPr>
        <w:t>daily</w:t>
      </w:r>
      <w:r>
        <w:rPr>
          <w:color w:val="231F20"/>
          <w:spacing w:val="-24"/>
          <w:w w:val="105"/>
        </w:rPr>
        <w:t> </w:t>
      </w:r>
      <w:r>
        <w:rPr>
          <w:color w:val="231F20"/>
          <w:w w:val="105"/>
        </w:rPr>
        <w:t>obligatory</w:t>
      </w:r>
      <w:r>
        <w:rPr>
          <w:color w:val="231F20"/>
          <w:spacing w:val="-24"/>
          <w:w w:val="105"/>
        </w:rPr>
        <w:t> </w:t>
      </w:r>
      <w:r>
        <w:rPr>
          <w:color w:val="231F20"/>
          <w:w w:val="105"/>
        </w:rPr>
        <w:t>urine</w:t>
      </w:r>
      <w:r>
        <w:rPr>
          <w:color w:val="231F20"/>
          <w:spacing w:val="-24"/>
          <w:w w:val="105"/>
        </w:rPr>
        <w:t> </w:t>
      </w:r>
      <w:r>
        <w:rPr>
          <w:color w:val="231F20"/>
          <w:w w:val="105"/>
        </w:rPr>
        <w:t>volume</w:t>
      </w:r>
      <w:r>
        <w:rPr>
          <w:color w:val="231F20"/>
          <w:spacing w:val="-24"/>
          <w:w w:val="105"/>
        </w:rPr>
        <w:t> </w:t>
      </w:r>
      <w:r>
        <w:rPr>
          <w:color w:val="231F20"/>
          <w:w w:val="105"/>
        </w:rPr>
        <w:t>and</w:t>
      </w:r>
      <w:r>
        <w:rPr>
          <w:color w:val="231F20"/>
          <w:spacing w:val="-24"/>
          <w:w w:val="105"/>
        </w:rPr>
        <w:t> </w:t>
      </w:r>
      <w:r>
        <w:rPr>
          <w:color w:val="231F20"/>
          <w:w w:val="105"/>
        </w:rPr>
        <w:t>water</w:t>
      </w:r>
      <w:r>
        <w:rPr>
          <w:color w:val="231F20"/>
          <w:spacing w:val="-24"/>
          <w:w w:val="105"/>
        </w:rPr>
        <w:t> </w:t>
      </w:r>
      <w:r>
        <w:rPr>
          <w:color w:val="231F20"/>
          <w:w w:val="105"/>
        </w:rPr>
        <w:t>losses</w:t>
      </w:r>
      <w:r>
        <w:rPr>
          <w:color w:val="231F20"/>
          <w:spacing w:val="-25"/>
          <w:w w:val="105"/>
        </w:rPr>
        <w:t> </w:t>
      </w:r>
      <w:r>
        <w:rPr>
          <w:color w:val="231F20"/>
          <w:w w:val="105"/>
        </w:rPr>
        <w:t>caused by</w:t>
      </w:r>
      <w:r>
        <w:rPr>
          <w:color w:val="231F20"/>
          <w:spacing w:val="-15"/>
          <w:w w:val="105"/>
        </w:rPr>
        <w:t> </w:t>
      </w:r>
      <w:r>
        <w:rPr>
          <w:color w:val="231F20"/>
          <w:w w:val="105"/>
        </w:rPr>
        <w:t>respiration,</w:t>
      </w:r>
      <w:r>
        <w:rPr>
          <w:color w:val="231F20"/>
          <w:spacing w:val="-15"/>
          <w:w w:val="105"/>
        </w:rPr>
        <w:t> </w:t>
      </w:r>
      <w:r>
        <w:rPr>
          <w:color w:val="231F20"/>
          <w:w w:val="105"/>
        </w:rPr>
        <w:t>sweating,</w:t>
      </w:r>
      <w:r>
        <w:rPr>
          <w:color w:val="231F20"/>
          <w:spacing w:val="-15"/>
          <w:w w:val="105"/>
        </w:rPr>
        <w:t> </w:t>
      </w:r>
      <w:r>
        <w:rPr>
          <w:color w:val="231F20"/>
          <w:w w:val="105"/>
        </w:rPr>
        <w:t>or</w:t>
      </w:r>
      <w:r>
        <w:rPr>
          <w:color w:val="231F20"/>
          <w:spacing w:val="-15"/>
          <w:w w:val="105"/>
        </w:rPr>
        <w:t> </w:t>
      </w:r>
      <w:r>
        <w:rPr>
          <w:color w:val="231F20"/>
          <w:w w:val="105"/>
        </w:rPr>
        <w:t>gastrointestinal</w:t>
      </w:r>
      <w:r>
        <w:rPr>
          <w:color w:val="231F20"/>
          <w:spacing w:val="-15"/>
          <w:w w:val="105"/>
        </w:rPr>
        <w:t> </w:t>
      </w:r>
      <w:r>
        <w:rPr>
          <w:color w:val="231F20"/>
          <w:w w:val="105"/>
        </w:rPr>
        <w:t>losses.</w:t>
      </w:r>
      <w:r>
        <w:rPr>
          <w:color w:val="231F20"/>
          <w:spacing w:val="-15"/>
          <w:w w:val="105"/>
        </w:rPr>
        <w:t> </w:t>
      </w:r>
      <w:r>
        <w:rPr>
          <w:color w:val="231F20"/>
          <w:w w:val="105"/>
        </w:rPr>
        <w:t>How­ </w:t>
      </w:r>
      <w:r>
        <w:rPr>
          <w:color w:val="231F20"/>
          <w:spacing w:val="-3"/>
          <w:w w:val="105"/>
        </w:rPr>
        <w:t>ever, </w:t>
      </w:r>
      <w:r>
        <w:rPr>
          <w:color w:val="231F20"/>
          <w:w w:val="105"/>
        </w:rPr>
        <w:t>if both the ADH and thirst mechanisms fail simul­ taneously, plasma sodium concentration and osmolarity are poorly controlled; thus, when sodium intake is increased after blocking the total ADH­thirst system, relatively</w:t>
      </w:r>
      <w:r>
        <w:rPr>
          <w:color w:val="231F20"/>
          <w:spacing w:val="-9"/>
          <w:w w:val="105"/>
        </w:rPr>
        <w:t> </w:t>
      </w:r>
      <w:r>
        <w:rPr>
          <w:color w:val="231F20"/>
          <w:w w:val="105"/>
        </w:rPr>
        <w:t>large</w:t>
      </w:r>
      <w:r>
        <w:rPr>
          <w:color w:val="231F20"/>
          <w:spacing w:val="-9"/>
          <w:w w:val="105"/>
        </w:rPr>
        <w:t> </w:t>
      </w:r>
      <w:r>
        <w:rPr>
          <w:color w:val="231F20"/>
          <w:w w:val="105"/>
        </w:rPr>
        <w:t>changes</w:t>
      </w:r>
      <w:r>
        <w:rPr>
          <w:color w:val="231F20"/>
          <w:spacing w:val="-9"/>
          <w:w w:val="105"/>
        </w:rPr>
        <w:t> </w:t>
      </w:r>
      <w:r>
        <w:rPr>
          <w:color w:val="231F20"/>
          <w:w w:val="105"/>
        </w:rPr>
        <w:t>in</w:t>
      </w:r>
      <w:r>
        <w:rPr>
          <w:color w:val="231F20"/>
          <w:spacing w:val="-9"/>
          <w:w w:val="105"/>
        </w:rPr>
        <w:t> </w:t>
      </w:r>
      <w:r>
        <w:rPr>
          <w:color w:val="231F20"/>
          <w:w w:val="105"/>
        </w:rPr>
        <w:t>plasma</w:t>
      </w:r>
      <w:r>
        <w:rPr>
          <w:color w:val="231F20"/>
          <w:spacing w:val="-9"/>
          <w:w w:val="105"/>
        </w:rPr>
        <w:t> </w:t>
      </w:r>
      <w:r>
        <w:rPr>
          <w:color w:val="231F20"/>
          <w:w w:val="105"/>
        </w:rPr>
        <w:t>sodium</w:t>
      </w:r>
      <w:r>
        <w:rPr>
          <w:color w:val="231F20"/>
          <w:spacing w:val="-9"/>
          <w:w w:val="105"/>
        </w:rPr>
        <w:t> </w:t>
      </w:r>
      <w:r>
        <w:rPr>
          <w:color w:val="231F20"/>
          <w:w w:val="105"/>
        </w:rPr>
        <w:t>concentration </w:t>
      </w:r>
      <w:r>
        <w:rPr>
          <w:color w:val="231F20"/>
          <w:spacing w:val="-3"/>
          <w:w w:val="105"/>
        </w:rPr>
        <w:t>occur. </w:t>
      </w:r>
      <w:r>
        <w:rPr>
          <w:color w:val="231F20"/>
          <w:w w:val="105"/>
        </w:rPr>
        <w:t>In the absence of the ADH­thirst mechanisms,</w:t>
      </w:r>
      <w:r>
        <w:rPr>
          <w:color w:val="231F20"/>
          <w:spacing w:val="-33"/>
          <w:w w:val="105"/>
        </w:rPr>
        <w:t> </w:t>
      </w:r>
      <w:r>
        <w:rPr>
          <w:color w:val="231F20"/>
          <w:w w:val="105"/>
        </w:rPr>
        <w:t>no other</w:t>
      </w:r>
      <w:r>
        <w:rPr>
          <w:color w:val="231F20"/>
          <w:spacing w:val="-22"/>
          <w:w w:val="105"/>
        </w:rPr>
        <w:t> </w:t>
      </w:r>
      <w:r>
        <w:rPr>
          <w:color w:val="231F20"/>
          <w:w w:val="105"/>
        </w:rPr>
        <w:t>feedback</w:t>
      </w:r>
      <w:r>
        <w:rPr>
          <w:color w:val="231F20"/>
          <w:spacing w:val="-21"/>
          <w:w w:val="105"/>
        </w:rPr>
        <w:t> </w:t>
      </w:r>
      <w:r>
        <w:rPr>
          <w:color w:val="231F20"/>
          <w:w w:val="105"/>
        </w:rPr>
        <w:t>mechanism</w:t>
      </w:r>
      <w:r>
        <w:rPr>
          <w:color w:val="231F20"/>
          <w:spacing w:val="-21"/>
          <w:w w:val="105"/>
        </w:rPr>
        <w:t> </w:t>
      </w:r>
      <w:r>
        <w:rPr>
          <w:color w:val="231F20"/>
          <w:w w:val="105"/>
        </w:rPr>
        <w:t>is</w:t>
      </w:r>
      <w:r>
        <w:rPr>
          <w:color w:val="231F20"/>
          <w:spacing w:val="-21"/>
          <w:w w:val="105"/>
        </w:rPr>
        <w:t> </w:t>
      </w:r>
      <w:r>
        <w:rPr>
          <w:color w:val="231F20"/>
          <w:w w:val="105"/>
        </w:rPr>
        <w:t>capable</w:t>
      </w:r>
      <w:r>
        <w:rPr>
          <w:color w:val="231F20"/>
          <w:spacing w:val="-21"/>
          <w:w w:val="105"/>
        </w:rPr>
        <w:t> </w:t>
      </w:r>
      <w:r>
        <w:rPr>
          <w:color w:val="231F20"/>
          <w:w w:val="105"/>
        </w:rPr>
        <w:t>of</w:t>
      </w:r>
      <w:r>
        <w:rPr>
          <w:color w:val="231F20"/>
          <w:spacing w:val="-22"/>
          <w:w w:val="105"/>
        </w:rPr>
        <w:t> </w:t>
      </w:r>
      <w:r>
        <w:rPr>
          <w:color w:val="231F20"/>
          <w:w w:val="105"/>
        </w:rPr>
        <w:t>adequately</w:t>
      </w:r>
      <w:r>
        <w:rPr>
          <w:color w:val="231F20"/>
          <w:spacing w:val="-21"/>
          <w:w w:val="105"/>
        </w:rPr>
        <w:t> </w:t>
      </w:r>
      <w:r>
        <w:rPr>
          <w:color w:val="231F20"/>
          <w:w w:val="105"/>
        </w:rPr>
        <w:t>regu­ lating plasma sodium concentration and</w:t>
      </w:r>
      <w:r>
        <w:rPr>
          <w:color w:val="231F20"/>
          <w:spacing w:val="-18"/>
          <w:w w:val="105"/>
        </w:rPr>
        <w:t> </w:t>
      </w:r>
      <w:r>
        <w:rPr>
          <w:color w:val="231F20"/>
          <w:w w:val="105"/>
        </w:rPr>
        <w:t>osmolarity.</w:t>
      </w:r>
    </w:p>
    <w:p>
      <w:pPr>
        <w:pStyle w:val="BodyText"/>
        <w:spacing w:before="1"/>
        <w:rPr>
          <w:sz w:val="21"/>
        </w:rPr>
      </w:pPr>
      <w:r>
        <w:rPr/>
        <w:pict>
          <v:shape style="position:absolute;margin-left:324pt;margin-top:13.364922pt;width:234pt;height:104.6pt;mso-position-horizontal-relative:page;mso-position-vertical-relative:paragraph;z-index:-250797056;mso-wrap-distance-left:0;mso-wrap-distance-right:0" type="#_x0000_t202" filled="true" fillcolor="#f0eef6" stroked="false">
            <v:textbox inset="0,0,0,0">
              <w:txbxContent>
                <w:p>
                  <w:pPr>
                    <w:spacing w:line="252" w:lineRule="auto" w:before="122"/>
                    <w:ind w:left="180" w:right="940" w:firstLine="0"/>
                    <w:jc w:val="both"/>
                    <w:rPr>
                      <w:rFonts w:ascii="Trebuchet MS"/>
                      <w:b/>
                      <w:sz w:val="18"/>
                    </w:rPr>
                  </w:pPr>
                  <w:r>
                    <w:rPr>
                      <w:rFonts w:ascii="Trebuchet MS"/>
                      <w:b/>
                      <w:color w:val="231F20"/>
                      <w:sz w:val="18"/>
                    </w:rPr>
                    <w:t>Role of Angiotensin II and Aldosterone in Controlling Extracellular Fluid Osmolarity and Sodium Concentration</w:t>
                  </w:r>
                </w:p>
                <w:p>
                  <w:pPr>
                    <w:spacing w:line="254" w:lineRule="auto" w:before="83"/>
                    <w:ind w:left="180" w:right="177" w:firstLine="0"/>
                    <w:jc w:val="both"/>
                    <w:rPr>
                      <w:sz w:val="18"/>
                    </w:rPr>
                  </w:pPr>
                  <w:r>
                    <w:rPr>
                      <w:color w:val="231F20"/>
                      <w:w w:val="105"/>
                      <w:sz w:val="18"/>
                    </w:rPr>
                    <w:t>As discussed in Chapter 28, both angiotensin II </w:t>
                  </w:r>
                  <w:r>
                    <w:rPr>
                      <w:color w:val="231F20"/>
                      <w:spacing w:val="-5"/>
                      <w:w w:val="105"/>
                      <w:sz w:val="18"/>
                    </w:rPr>
                    <w:t>and </w:t>
                  </w:r>
                  <w:r>
                    <w:rPr>
                      <w:color w:val="231F20"/>
                      <w:w w:val="105"/>
                      <w:sz w:val="18"/>
                    </w:rPr>
                    <w:t>aldosterone play an important role in regulating sodium reabsorption by the renal tubules. When sodium intake</w:t>
                  </w:r>
                  <w:r>
                    <w:rPr>
                      <w:color w:val="231F20"/>
                      <w:spacing w:val="47"/>
                      <w:w w:val="105"/>
                      <w:sz w:val="18"/>
                    </w:rPr>
                    <w:t> </w:t>
                  </w:r>
                  <w:r>
                    <w:rPr>
                      <w:color w:val="231F20"/>
                      <w:w w:val="105"/>
                      <w:sz w:val="18"/>
                    </w:rPr>
                    <w:t>is </w:t>
                  </w:r>
                  <w:r>
                    <w:rPr>
                      <w:color w:val="231F20"/>
                      <w:spacing w:val="-3"/>
                      <w:w w:val="105"/>
                      <w:sz w:val="18"/>
                    </w:rPr>
                    <w:t>low, </w:t>
                  </w:r>
                  <w:r>
                    <w:rPr>
                      <w:color w:val="231F20"/>
                      <w:w w:val="105"/>
                      <w:sz w:val="18"/>
                    </w:rPr>
                    <w:t>increased levels of these hormones stimulate sodium</w:t>
                  </w:r>
                  <w:r>
                    <w:rPr>
                      <w:color w:val="231F20"/>
                      <w:spacing w:val="-21"/>
                      <w:w w:val="105"/>
                      <w:sz w:val="18"/>
                    </w:rPr>
                    <w:t> </w:t>
                  </w:r>
                  <w:r>
                    <w:rPr>
                      <w:color w:val="231F20"/>
                      <w:w w:val="105"/>
                      <w:sz w:val="18"/>
                    </w:rPr>
                    <w:t>reabsorption</w:t>
                  </w:r>
                  <w:r>
                    <w:rPr>
                      <w:color w:val="231F20"/>
                      <w:spacing w:val="-20"/>
                      <w:w w:val="105"/>
                      <w:sz w:val="18"/>
                    </w:rPr>
                    <w:t> </w:t>
                  </w:r>
                  <w:r>
                    <w:rPr>
                      <w:color w:val="231F20"/>
                      <w:w w:val="105"/>
                      <w:sz w:val="18"/>
                    </w:rPr>
                    <w:t>by</w:t>
                  </w:r>
                  <w:r>
                    <w:rPr>
                      <w:color w:val="231F20"/>
                      <w:spacing w:val="-21"/>
                      <w:w w:val="105"/>
                      <w:sz w:val="18"/>
                    </w:rPr>
                    <w:t> </w:t>
                  </w:r>
                  <w:r>
                    <w:rPr>
                      <w:color w:val="231F20"/>
                      <w:w w:val="105"/>
                      <w:sz w:val="18"/>
                    </w:rPr>
                    <w:t>the</w:t>
                  </w:r>
                  <w:r>
                    <w:rPr>
                      <w:color w:val="231F20"/>
                      <w:spacing w:val="-20"/>
                      <w:w w:val="105"/>
                      <w:sz w:val="18"/>
                    </w:rPr>
                    <w:t> </w:t>
                  </w:r>
                  <w:r>
                    <w:rPr>
                      <w:color w:val="231F20"/>
                      <w:w w:val="105"/>
                      <w:sz w:val="18"/>
                    </w:rPr>
                    <w:t>kidneys</w:t>
                  </w:r>
                  <w:r>
                    <w:rPr>
                      <w:color w:val="231F20"/>
                      <w:spacing w:val="-20"/>
                      <w:w w:val="105"/>
                      <w:sz w:val="18"/>
                    </w:rPr>
                    <w:t> </w:t>
                  </w:r>
                  <w:r>
                    <w:rPr>
                      <w:color w:val="231F20"/>
                      <w:w w:val="105"/>
                      <w:sz w:val="18"/>
                    </w:rPr>
                    <w:t>and,</w:t>
                  </w:r>
                  <w:r>
                    <w:rPr>
                      <w:color w:val="231F20"/>
                      <w:spacing w:val="-21"/>
                      <w:w w:val="105"/>
                      <w:sz w:val="18"/>
                    </w:rPr>
                    <w:t> </w:t>
                  </w:r>
                  <w:r>
                    <w:rPr>
                      <w:color w:val="231F20"/>
                      <w:w w:val="105"/>
                      <w:sz w:val="18"/>
                    </w:rPr>
                    <w:t>therefore,</w:t>
                  </w:r>
                  <w:r>
                    <w:rPr>
                      <w:color w:val="231F20"/>
                      <w:spacing w:val="-20"/>
                      <w:w w:val="105"/>
                      <w:sz w:val="18"/>
                    </w:rPr>
                    <w:t> </w:t>
                  </w:r>
                  <w:r>
                    <w:rPr>
                      <w:color w:val="231F20"/>
                      <w:w w:val="105"/>
                      <w:sz w:val="18"/>
                    </w:rPr>
                    <w:t>prevent</w:t>
                  </w:r>
                </w:p>
              </w:txbxContent>
            </v:textbox>
            <v:fill type="solid"/>
            <w10:wrap type="topAndBottom"/>
          </v:shape>
        </w:pict>
      </w:r>
    </w:p>
    <w:p>
      <w:pPr>
        <w:spacing w:after="0"/>
        <w:rPr>
          <w:sz w:val="21"/>
        </w:rPr>
        <w:sectPr>
          <w:type w:val="continuous"/>
          <w:pgSz w:w="12240" w:h="15660"/>
          <w:pgMar w:top="0" w:bottom="760" w:left="0" w:right="0"/>
          <w:cols w:num="2" w:equalWidth="0">
            <w:col w:w="6121" w:space="40"/>
            <w:col w:w="6079"/>
          </w:cols>
        </w:sectPr>
      </w:pPr>
    </w:p>
    <w:p>
      <w:pPr>
        <w:pStyle w:val="BodyText"/>
      </w:pPr>
    </w:p>
    <w:p>
      <w:pPr>
        <w:spacing w:after="0"/>
        <w:sectPr>
          <w:headerReference w:type="even" r:id="rId841"/>
          <w:footerReference w:type="even" r:id="rId842"/>
          <w:footerReference w:type="default" r:id="rId843"/>
          <w:pgSz w:w="12240" w:h="15660"/>
          <w:pgMar w:header="0" w:footer="567" w:top="720" w:bottom="760" w:left="0" w:right="0"/>
          <w:pgNumType w:start="386"/>
        </w:sectPr>
      </w:pPr>
    </w:p>
    <w:p>
      <w:pPr>
        <w:pStyle w:val="BodyText"/>
        <w:rPr>
          <w:sz w:val="18"/>
        </w:rPr>
      </w:pPr>
    </w:p>
    <w:p>
      <w:pPr>
        <w:pStyle w:val="BodyText"/>
        <w:spacing w:before="2"/>
        <w:rPr>
          <w:sz w:val="26"/>
        </w:rPr>
      </w:pPr>
    </w:p>
    <w:p>
      <w:pPr>
        <w:spacing w:before="0"/>
        <w:ind w:left="0" w:right="0" w:firstLine="0"/>
        <w:jc w:val="right"/>
        <w:rPr>
          <w:rFonts w:ascii="Helvetica"/>
          <w:sz w:val="16"/>
        </w:rPr>
      </w:pPr>
      <w:r>
        <w:rPr/>
        <w:pict>
          <v:shape style="position:absolute;margin-left:72.612297pt;margin-top:-13.436102pt;width:20.55pt;height:115.85pt;mso-position-horizontal-relative:page;mso-position-vertical-relative:paragraph;z-index:252533760" type="#_x0000_t202" filled="false" stroked="false">
            <v:textbox inset="0,0,0,0" style="layout-flow:vertical;mso-layout-flow-alt:bottom-to-top">
              <w:txbxContent>
                <w:p>
                  <w:pPr>
                    <w:spacing w:line="235" w:lineRule="auto" w:before="27"/>
                    <w:ind w:left="860" w:right="1" w:hanging="841"/>
                    <w:jc w:val="left"/>
                    <w:rPr>
                      <w:rFonts w:ascii="Helvetica"/>
                      <w:b/>
                      <w:sz w:val="16"/>
                    </w:rPr>
                  </w:pPr>
                  <w:r>
                    <w:rPr>
                      <w:rFonts w:ascii="Helvetica"/>
                      <w:b/>
                      <w:color w:val="231F20"/>
                      <w:sz w:val="16"/>
                    </w:rPr>
                    <w:t>Plasma sodium concentration (mEq/L)</w:t>
                  </w:r>
                </w:p>
              </w:txbxContent>
            </v:textbox>
            <w10:wrap type="none"/>
          </v:shape>
        </w:pict>
      </w:r>
      <w:r>
        <w:rPr>
          <w:rFonts w:ascii="Helvetica"/>
          <w:color w:val="231F20"/>
          <w:spacing w:val="-1"/>
          <w:sz w:val="16"/>
        </w:rPr>
        <w:t>150</w:t>
      </w:r>
    </w:p>
    <w:p>
      <w:pPr>
        <w:pStyle w:val="BodyText"/>
        <w:spacing w:before="7"/>
        <w:rPr>
          <w:rFonts w:ascii="Helvetica"/>
          <w:sz w:val="19"/>
        </w:rPr>
      </w:pPr>
    </w:p>
    <w:p>
      <w:pPr>
        <w:spacing w:before="1"/>
        <w:ind w:left="0" w:right="0" w:firstLine="0"/>
        <w:jc w:val="right"/>
        <w:rPr>
          <w:rFonts w:ascii="Helvetica"/>
          <w:sz w:val="16"/>
        </w:rPr>
      </w:pPr>
      <w:r>
        <w:rPr>
          <w:rFonts w:ascii="Helvetica"/>
          <w:color w:val="231F20"/>
          <w:spacing w:val="-1"/>
          <w:sz w:val="16"/>
        </w:rPr>
        <w:t>140</w:t>
      </w:r>
    </w:p>
    <w:p>
      <w:pPr>
        <w:pStyle w:val="BodyText"/>
        <w:spacing w:before="7"/>
        <w:rPr>
          <w:rFonts w:ascii="Helvetica"/>
          <w:sz w:val="19"/>
        </w:rPr>
      </w:pPr>
    </w:p>
    <w:p>
      <w:pPr>
        <w:spacing w:before="0"/>
        <w:ind w:left="0" w:right="0" w:firstLine="0"/>
        <w:jc w:val="right"/>
        <w:rPr>
          <w:rFonts w:ascii="Helvetica"/>
          <w:sz w:val="16"/>
        </w:rPr>
      </w:pPr>
      <w:r>
        <w:rPr>
          <w:rFonts w:ascii="Helvetica"/>
          <w:color w:val="231F20"/>
          <w:spacing w:val="-1"/>
          <w:sz w:val="16"/>
        </w:rPr>
        <w:t>130</w:t>
      </w:r>
    </w:p>
    <w:p>
      <w:pPr>
        <w:pStyle w:val="BodyText"/>
        <w:spacing w:before="2"/>
        <w:rPr>
          <w:rFonts w:ascii="Helvetica"/>
          <w:sz w:val="19"/>
        </w:rPr>
      </w:pPr>
    </w:p>
    <w:p>
      <w:pPr>
        <w:spacing w:before="1"/>
        <w:ind w:left="0" w:right="0" w:firstLine="0"/>
        <w:jc w:val="right"/>
        <w:rPr>
          <w:rFonts w:ascii="Helvetica"/>
          <w:sz w:val="16"/>
        </w:rPr>
      </w:pPr>
      <w:r>
        <w:rPr>
          <w:rFonts w:ascii="Helvetica"/>
          <w:color w:val="231F20"/>
          <w:spacing w:val="-1"/>
          <w:sz w:val="16"/>
        </w:rPr>
        <w:t>120</w:t>
      </w:r>
    </w:p>
    <w:p>
      <w:pPr>
        <w:pStyle w:val="BodyText"/>
        <w:rPr>
          <w:rFonts w:ascii="Helvetica"/>
        </w:rPr>
      </w:pPr>
    </w:p>
    <w:p>
      <w:pPr>
        <w:spacing w:before="1"/>
        <w:ind w:left="0" w:right="0" w:firstLine="0"/>
        <w:jc w:val="right"/>
        <w:rPr>
          <w:rFonts w:ascii="Helvetica"/>
          <w:sz w:val="16"/>
        </w:rPr>
      </w:pPr>
      <w:r>
        <w:rPr>
          <w:rFonts w:ascii="Helvetica"/>
          <w:color w:val="231F20"/>
          <w:spacing w:val="-1"/>
          <w:sz w:val="16"/>
        </w:rPr>
        <w:t>110</w:t>
      </w:r>
    </w:p>
    <w:p>
      <w:pPr>
        <w:pStyle w:val="BodyText"/>
        <w:spacing w:before="5"/>
        <w:rPr>
          <w:rFonts w:ascii="Helvetica"/>
          <w:sz w:val="19"/>
        </w:rPr>
      </w:pPr>
    </w:p>
    <w:p>
      <w:pPr>
        <w:spacing w:before="0"/>
        <w:ind w:left="0" w:right="0" w:firstLine="0"/>
        <w:jc w:val="right"/>
        <w:rPr>
          <w:rFonts w:ascii="Helvetica"/>
          <w:sz w:val="16"/>
        </w:rPr>
      </w:pPr>
      <w:r>
        <w:rPr>
          <w:rFonts w:ascii="Helvetica"/>
          <w:color w:val="231F20"/>
          <w:spacing w:val="-1"/>
          <w:sz w:val="16"/>
        </w:rPr>
        <w:t>100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21"/>
        </w:rPr>
      </w:pPr>
    </w:p>
    <w:p>
      <w:pPr>
        <w:tabs>
          <w:tab w:pos="417" w:val="left" w:leader="none"/>
          <w:tab w:pos="832" w:val="left" w:leader="none"/>
        </w:tabs>
        <w:spacing w:line="166" w:lineRule="exact" w:before="0"/>
        <w:ind w:left="49" w:right="0" w:firstLine="0"/>
        <w:jc w:val="left"/>
        <w:rPr>
          <w:rFonts w:ascii="Helvetica"/>
          <w:sz w:val="16"/>
        </w:rPr>
      </w:pPr>
      <w:r>
        <w:rPr/>
        <w:pict>
          <v:group style="position:absolute;margin-left:111.847107pt;margin-top:-130.550079pt;width:150.050pt;height:130.3pt;mso-position-horizontal-relative:page;mso-position-vertical-relative:paragraph;z-index:252531712" coordorigin="2237,-2611" coordsize="3001,2606">
            <v:shape style="position:absolute;left:-75;top:9458;width:2991;height:2596" coordorigin="-74,9458" coordsize="2991,2596" path="m2311,-80l2311,-6m2311,-81l2237,-81m2727,-80l2727,-6m3142,-80l3142,-6m3557,-80l3557,-6m3972,-80l3972,-6m4388,-80l4388,-6m4803,-80l4803,-6m5218,-80l5218,-6m2311,-2132l2237,-2132m2311,-1721l2237,-1721m2311,-1311l2237,-1311m2311,-901l2237,-901m2311,-491l2237,-491m2311,-2601l2311,-81,5228,-81e" filled="false" stroked="true" strokeweight="1pt" strokecolor="#231f20">
              <v:path arrowok="t"/>
              <v:stroke dashstyle="solid"/>
            </v:shape>
            <v:line style="position:absolute" from="2725,-1848" to="4918,-1908" stroked="true" strokeweight="2pt" strokecolor="#f0535f">
              <v:stroke dashstyle="solid"/>
            </v:line>
            <v:shape style="position:absolute;left:2679;top:-1953;width:2284;height:151" coordorigin="2680,-1953" coordsize="2284,151" path="m2770,-1849l2766,-1866,2756,-1880,2741,-1890,2723,-1893,2706,-1889,2692,-1879,2683,-1864,2680,-1846,2684,-1829,2694,-1815,2708,-1806,2726,-1803,2743,-1807,2757,-1817,2767,-1831,2770,-1849m4963,-1909l4959,-1926,4949,-1940,4934,-1950,4917,-1953,4899,-1949,4885,-1939,4876,-1924,4873,-1906,4877,-1889,4887,-1875,4902,-1866,4919,-1863,4937,-1867,4951,-1877,4960,-1891,4963,-1909e" filled="true" fillcolor="#f0535f" stroked="false">
              <v:path arrowok="t"/>
              <v:fill type="solid"/>
            </v:shape>
            <v:line style="position:absolute" from="2725,-1734" to="4911,-1881" stroked="true" strokeweight="2pt" strokecolor="#2062af">
              <v:stroke dashstyle="solid"/>
            </v:line>
            <v:shape style="position:absolute;left:2679;top:-1927;width:2277;height:237" coordorigin="2680,-1926" coordsize="2277,237" path="m2770,-1737l2765,-1755,2754,-1768,2739,-1777,2722,-1779,2704,-1775,2691,-1764,2682,-1749,2680,-1731,2684,-1714,2695,-1700,2710,-1692,2728,-1689,2745,-1694,2759,-1705,2767,-1720,2770,-1737m4956,-1884l4952,-1901,4941,-1915,4926,-1924,4908,-1926,4891,-1921,4877,-1911,4869,-1896,4866,-1878,4871,-1861,4882,-1847,4897,-1838,4914,-1836,4932,-1841,4945,-1851,4954,-1866,4956,-1884e" filled="true" fillcolor="#2062af" stroked="false">
              <v:path arrowok="t"/>
              <v:fill type="solid"/>
            </v:shape>
            <v:shape style="position:absolute;left:2236;top:-2611;width:3001;height:2606" type="#_x0000_t202" filled="false" stroked="false">
              <v:textbox inset="0,0,0,0">
                <w:txbxContent>
                  <w:p>
                    <w:pPr>
                      <w:spacing w:line="240" w:lineRule="auto" w:before="0"/>
                      <w:rPr>
                        <w:i/>
                        <w:sz w:val="18"/>
                      </w:rPr>
                    </w:pPr>
                  </w:p>
                  <w:p>
                    <w:pPr>
                      <w:spacing w:line="240" w:lineRule="auto" w:before="10"/>
                      <w:rPr>
                        <w:i/>
                        <w:sz w:val="24"/>
                      </w:rPr>
                    </w:pPr>
                  </w:p>
                  <w:p>
                    <w:pPr>
                      <w:spacing w:line="564" w:lineRule="auto" w:before="0"/>
                      <w:ind w:left="495" w:right="307" w:firstLine="776"/>
                      <w:jc w:val="left"/>
                      <w:rPr>
                        <w:rFonts w:ascii="Helvetica"/>
                        <w:b/>
                        <w:sz w:val="16"/>
                      </w:rPr>
                    </w:pPr>
                    <w:r>
                      <w:rPr>
                        <w:rFonts w:ascii="Helvetica"/>
                        <w:b/>
                        <w:color w:val="231F20"/>
                        <w:sz w:val="16"/>
                      </w:rPr>
                      <w:t>Normal Aldosterone system blocked</w:t>
                    </w:r>
                  </w:p>
                </w:txbxContent>
              </v:textbox>
              <w10:wrap type="none"/>
            </v:shape>
            <w10:wrap type="none"/>
          </v:group>
        </w:pict>
      </w:r>
      <w:r>
        <w:rPr>
          <w:rFonts w:ascii="Helvetica"/>
          <w:color w:val="231F20"/>
          <w:sz w:val="16"/>
        </w:rPr>
        <w:t>0</w:t>
        <w:tab/>
        <w:t>30</w:t>
        <w:tab/>
      </w:r>
      <w:r>
        <w:rPr>
          <w:rFonts w:ascii="Helvetica"/>
          <w:color w:val="231F20"/>
          <w:spacing w:val="-10"/>
          <w:sz w:val="16"/>
        </w:rPr>
        <w:t>60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21"/>
        </w:rPr>
      </w:pPr>
    </w:p>
    <w:p>
      <w:pPr>
        <w:spacing w:line="166" w:lineRule="exact" w:before="0"/>
        <w:ind w:left="197" w:right="0" w:firstLine="0"/>
        <w:jc w:val="left"/>
        <w:rPr>
          <w:rFonts w:ascii="Helvetica"/>
          <w:sz w:val="16"/>
        </w:rPr>
      </w:pPr>
      <w:r>
        <w:rPr>
          <w:rFonts w:ascii="Helvetica"/>
          <w:color w:val="231F20"/>
          <w:sz w:val="16"/>
        </w:rPr>
        <w:t>90 120 150 180 210</w:t>
      </w:r>
    </w:p>
    <w:p>
      <w:pPr>
        <w:pStyle w:val="BodyText"/>
        <w:spacing w:before="3"/>
        <w:rPr>
          <w:rFonts w:ascii="Helvetica"/>
          <w:sz w:val="22"/>
        </w:rPr>
      </w:pPr>
      <w:r>
        <w:rPr/>
        <w:br w:type="column"/>
      </w:r>
      <w:r>
        <w:rPr>
          <w:rFonts w:ascii="Helvetica"/>
          <w:sz w:val="22"/>
        </w:rPr>
      </w:r>
    </w:p>
    <w:p>
      <w:pPr>
        <w:spacing w:line="254" w:lineRule="auto" w:before="0"/>
        <w:ind w:left="908" w:right="1617" w:firstLine="0"/>
        <w:jc w:val="both"/>
        <w:rPr>
          <w:sz w:val="18"/>
        </w:rPr>
      </w:pPr>
      <w:r>
        <w:rPr>
          <w:color w:val="231F20"/>
          <w:w w:val="105"/>
          <w:sz w:val="18"/>
        </w:rPr>
        <w:t>increased plasma sodium concentration is compensated for by increased water intake or increased plasma ADH secretion, which tends to dilute the extracellular fluid back</w:t>
      </w:r>
      <w:r>
        <w:rPr>
          <w:color w:val="231F20"/>
          <w:spacing w:val="-17"/>
          <w:w w:val="105"/>
          <w:sz w:val="18"/>
        </w:rPr>
        <w:t> </w:t>
      </w:r>
      <w:r>
        <w:rPr>
          <w:color w:val="231F20"/>
          <w:w w:val="105"/>
          <w:sz w:val="18"/>
        </w:rPr>
        <w:t>toward</w:t>
      </w:r>
      <w:r>
        <w:rPr>
          <w:color w:val="231F20"/>
          <w:spacing w:val="-16"/>
          <w:w w:val="105"/>
          <w:sz w:val="18"/>
        </w:rPr>
        <w:t> </w:t>
      </w:r>
      <w:r>
        <w:rPr>
          <w:color w:val="231F20"/>
          <w:w w:val="105"/>
          <w:sz w:val="18"/>
        </w:rPr>
        <w:t>normal.</w:t>
      </w:r>
      <w:r>
        <w:rPr>
          <w:color w:val="231F20"/>
          <w:spacing w:val="-17"/>
          <w:w w:val="105"/>
          <w:sz w:val="18"/>
        </w:rPr>
        <w:t> </w:t>
      </w:r>
      <w:r>
        <w:rPr>
          <w:color w:val="231F20"/>
          <w:w w:val="105"/>
          <w:sz w:val="18"/>
        </w:rPr>
        <w:t>The</w:t>
      </w:r>
      <w:r>
        <w:rPr>
          <w:color w:val="231F20"/>
          <w:spacing w:val="-16"/>
          <w:w w:val="105"/>
          <w:sz w:val="18"/>
        </w:rPr>
        <w:t> </w:t>
      </w:r>
      <w:r>
        <w:rPr>
          <w:color w:val="231F20"/>
          <w:w w:val="105"/>
          <w:sz w:val="18"/>
        </w:rPr>
        <w:t>ADH­thirst</w:t>
      </w:r>
      <w:r>
        <w:rPr>
          <w:color w:val="231F20"/>
          <w:spacing w:val="-17"/>
          <w:w w:val="105"/>
          <w:sz w:val="18"/>
        </w:rPr>
        <w:t> </w:t>
      </w:r>
      <w:r>
        <w:rPr>
          <w:color w:val="231F20"/>
          <w:w w:val="105"/>
          <w:sz w:val="18"/>
        </w:rPr>
        <w:t>system</w:t>
      </w:r>
      <w:r>
        <w:rPr>
          <w:color w:val="231F20"/>
          <w:spacing w:val="-16"/>
          <w:w w:val="105"/>
          <w:sz w:val="18"/>
        </w:rPr>
        <w:t> </w:t>
      </w:r>
      <w:r>
        <w:rPr>
          <w:color w:val="231F20"/>
          <w:w w:val="105"/>
          <w:sz w:val="18"/>
        </w:rPr>
        <w:t>far</w:t>
      </w:r>
      <w:r>
        <w:rPr>
          <w:color w:val="231F20"/>
          <w:spacing w:val="-16"/>
          <w:w w:val="105"/>
          <w:sz w:val="18"/>
        </w:rPr>
        <w:t> </w:t>
      </w:r>
      <w:r>
        <w:rPr>
          <w:color w:val="231F20"/>
          <w:w w:val="105"/>
          <w:sz w:val="18"/>
        </w:rPr>
        <w:t>overshad­ ows the angiotensin II and aldosterone systems for regu­ lating sodium concentration under normal conditions. Even in patients with </w:t>
      </w:r>
      <w:r>
        <w:rPr>
          <w:i/>
          <w:color w:val="231F20"/>
          <w:w w:val="105"/>
          <w:sz w:val="18"/>
        </w:rPr>
        <w:t>primary aldosteronism, </w:t>
      </w:r>
      <w:r>
        <w:rPr>
          <w:color w:val="231F20"/>
          <w:w w:val="105"/>
          <w:sz w:val="18"/>
        </w:rPr>
        <w:t>who have extremely high levels of aldosterone, the plasma sodium concentration usually increases only about 3 to 5 mEq/L above</w:t>
      </w:r>
      <w:r>
        <w:rPr>
          <w:color w:val="231F20"/>
          <w:spacing w:val="3"/>
          <w:w w:val="105"/>
          <w:sz w:val="18"/>
        </w:rPr>
        <w:t> </w:t>
      </w:r>
      <w:r>
        <w:rPr>
          <w:color w:val="231F20"/>
          <w:w w:val="105"/>
          <w:sz w:val="18"/>
        </w:rPr>
        <w:t>normal.</w:t>
      </w:r>
    </w:p>
    <w:p>
      <w:pPr>
        <w:spacing w:line="254" w:lineRule="auto" w:before="6"/>
        <w:ind w:left="908" w:right="1618" w:firstLine="239"/>
        <w:jc w:val="both"/>
        <w:rPr>
          <w:sz w:val="18"/>
        </w:rPr>
      </w:pPr>
      <w:r>
        <w:rPr>
          <w:color w:val="231F20"/>
          <w:w w:val="105"/>
          <w:sz w:val="18"/>
        </w:rPr>
        <w:t>Under extreme conditions caused by complete loss of aldosterone secretion as a result of adrenalectomy or in</w:t>
      </w:r>
    </w:p>
    <w:p>
      <w:pPr>
        <w:spacing w:after="0" w:line="254" w:lineRule="auto"/>
        <w:jc w:val="both"/>
        <w:rPr>
          <w:sz w:val="18"/>
        </w:rPr>
        <w:sectPr>
          <w:type w:val="continuous"/>
          <w:pgSz w:w="12240" w:h="15660"/>
          <w:pgMar w:top="0" w:bottom="760" w:left="0" w:right="0"/>
          <w:cols w:num="4" w:equalWidth="0">
            <w:col w:w="2179" w:space="40"/>
            <w:col w:w="1011" w:space="39"/>
            <w:col w:w="2083" w:space="39"/>
            <w:col w:w="6849"/>
          </w:cols>
        </w:sectPr>
      </w:pPr>
    </w:p>
    <w:p>
      <w:pPr>
        <w:spacing w:before="66"/>
        <w:ind w:left="2908" w:right="0" w:firstLine="0"/>
        <w:jc w:val="left"/>
        <w:rPr>
          <w:rFonts w:ascii="Helvetica"/>
          <w:b/>
          <w:sz w:val="16"/>
        </w:rPr>
      </w:pPr>
      <w:r>
        <w:rPr/>
        <w:pict>
          <v:rect style="position:absolute;margin-left:0pt;margin-top:-.325671pt;width:36pt;height:24pt;mso-position-horizontal-relative:page;mso-position-vertical-relative:paragraph;z-index:252528640" filled="true" fillcolor="#e8dac8" stroked="false">
            <v:fill type="solid"/>
            <w10:wrap type="none"/>
          </v:rect>
        </w:pict>
      </w:r>
      <w:r>
        <w:rPr/>
        <w:pict>
          <v:rect style="position:absolute;margin-left:306pt;margin-top:54pt;width:234pt;height:679.35pt;mso-position-horizontal-relative:page;mso-position-vertical-relative:page;z-index:-272875520" filled="true" fillcolor="#f0eef6" stroked="false">
            <v:fill type="solid"/>
            <w10:wrap type="none"/>
          </v:rect>
        </w:pict>
      </w:r>
      <w:r>
        <w:rPr>
          <w:rFonts w:ascii="Helvetica"/>
          <w:b/>
          <w:color w:val="231F20"/>
          <w:sz w:val="16"/>
        </w:rPr>
        <w:t>Sodium intake (mEq/L)</w:t>
      </w:r>
    </w:p>
    <w:p>
      <w:pPr>
        <w:spacing w:line="254" w:lineRule="auto" w:before="92"/>
        <w:ind w:left="1080" w:right="0" w:firstLine="0"/>
        <w:jc w:val="both"/>
        <w:rPr>
          <w:rFonts w:ascii="Lucida Sans"/>
          <w:i/>
          <w:sz w:val="16"/>
        </w:rPr>
      </w:pPr>
      <w:r>
        <w:rPr/>
        <w:pict>
          <v:shape style="position:absolute;margin-left:54pt;margin-top:86.369141pt;width:234pt;height:442.2pt;mso-position-horizontal-relative:page;mso-position-vertical-relative:paragraph;z-index:252532736" type="#_x0000_t202" filled="true" fillcolor="#f0eef6" stroked="false">
            <v:textbox inset="0,0,0,0">
              <w:txbxContent>
                <w:p>
                  <w:pPr>
                    <w:spacing w:line="254" w:lineRule="auto" w:before="131"/>
                    <w:ind w:left="179" w:right="177" w:firstLine="0"/>
                    <w:jc w:val="both"/>
                    <w:rPr>
                      <w:sz w:val="18"/>
                    </w:rPr>
                  </w:pPr>
                  <w:r>
                    <w:rPr>
                      <w:color w:val="231F20"/>
                      <w:w w:val="105"/>
                      <w:sz w:val="18"/>
                    </w:rPr>
                    <w:t>large sodium losses, even though  sodium  intake  </w:t>
                  </w:r>
                  <w:r>
                    <w:rPr>
                      <w:color w:val="231F20"/>
                      <w:spacing w:val="-5"/>
                      <w:w w:val="105"/>
                      <w:sz w:val="18"/>
                    </w:rPr>
                    <w:t>may </w:t>
                  </w:r>
                  <w:r>
                    <w:rPr>
                      <w:color w:val="231F20"/>
                      <w:w w:val="105"/>
                      <w:sz w:val="18"/>
                    </w:rPr>
                    <w:t>be</w:t>
                  </w:r>
                  <w:r>
                    <w:rPr>
                      <w:color w:val="231F20"/>
                      <w:spacing w:val="-8"/>
                      <w:w w:val="105"/>
                      <w:sz w:val="18"/>
                    </w:rPr>
                    <w:t> </w:t>
                  </w:r>
                  <w:r>
                    <w:rPr>
                      <w:color w:val="231F20"/>
                      <w:w w:val="105"/>
                      <w:sz w:val="18"/>
                    </w:rPr>
                    <w:t>reduced</w:t>
                  </w:r>
                  <w:r>
                    <w:rPr>
                      <w:color w:val="231F20"/>
                      <w:spacing w:val="-8"/>
                      <w:w w:val="105"/>
                      <w:sz w:val="18"/>
                    </w:rPr>
                    <w:t> </w:t>
                  </w:r>
                  <w:r>
                    <w:rPr>
                      <w:color w:val="231F20"/>
                      <w:w w:val="105"/>
                      <w:sz w:val="18"/>
                    </w:rPr>
                    <w:t>to</w:t>
                  </w:r>
                  <w:r>
                    <w:rPr>
                      <w:color w:val="231F20"/>
                      <w:spacing w:val="-8"/>
                      <w:w w:val="105"/>
                      <w:sz w:val="18"/>
                    </w:rPr>
                    <w:t> </w:t>
                  </w:r>
                  <w:r>
                    <w:rPr>
                      <w:color w:val="231F20"/>
                      <w:w w:val="105"/>
                      <w:sz w:val="18"/>
                    </w:rPr>
                    <w:t>as</w:t>
                  </w:r>
                  <w:r>
                    <w:rPr>
                      <w:color w:val="231F20"/>
                      <w:spacing w:val="-7"/>
                      <w:w w:val="105"/>
                      <w:sz w:val="18"/>
                    </w:rPr>
                    <w:t> </w:t>
                  </w:r>
                  <w:r>
                    <w:rPr>
                      <w:color w:val="231F20"/>
                      <w:w w:val="105"/>
                      <w:sz w:val="18"/>
                    </w:rPr>
                    <w:t>low</w:t>
                  </w:r>
                  <w:r>
                    <w:rPr>
                      <w:color w:val="231F20"/>
                      <w:spacing w:val="-8"/>
                      <w:w w:val="105"/>
                      <w:sz w:val="18"/>
                    </w:rPr>
                    <w:t> </w:t>
                  </w:r>
                  <w:r>
                    <w:rPr>
                      <w:color w:val="231F20"/>
                      <w:w w:val="105"/>
                      <w:sz w:val="18"/>
                    </w:rPr>
                    <w:t>as</w:t>
                  </w:r>
                  <w:r>
                    <w:rPr>
                      <w:color w:val="231F20"/>
                      <w:spacing w:val="-8"/>
                      <w:w w:val="105"/>
                      <w:sz w:val="18"/>
                    </w:rPr>
                    <w:t> </w:t>
                  </w:r>
                  <w:r>
                    <w:rPr>
                      <w:color w:val="231F20"/>
                      <w:w w:val="105"/>
                      <w:sz w:val="18"/>
                    </w:rPr>
                    <w:t>10</w:t>
                  </w:r>
                  <w:r>
                    <w:rPr>
                      <w:color w:val="231F20"/>
                      <w:spacing w:val="-8"/>
                      <w:w w:val="105"/>
                      <w:sz w:val="18"/>
                    </w:rPr>
                    <w:t> </w:t>
                  </w:r>
                  <w:r>
                    <w:rPr>
                      <w:color w:val="231F20"/>
                      <w:w w:val="105"/>
                      <w:sz w:val="18"/>
                    </w:rPr>
                    <w:t>percent</w:t>
                  </w:r>
                  <w:r>
                    <w:rPr>
                      <w:color w:val="231F20"/>
                      <w:spacing w:val="-7"/>
                      <w:w w:val="105"/>
                      <w:sz w:val="18"/>
                    </w:rPr>
                    <w:t> </w:t>
                  </w:r>
                  <w:r>
                    <w:rPr>
                      <w:color w:val="231F20"/>
                      <w:w w:val="105"/>
                      <w:sz w:val="18"/>
                    </w:rPr>
                    <w:t>of</w:t>
                  </w:r>
                  <w:r>
                    <w:rPr>
                      <w:color w:val="231F20"/>
                      <w:spacing w:val="-8"/>
                      <w:w w:val="105"/>
                      <w:sz w:val="18"/>
                    </w:rPr>
                    <w:t> </w:t>
                  </w:r>
                  <w:r>
                    <w:rPr>
                      <w:color w:val="231F20"/>
                      <w:w w:val="105"/>
                      <w:sz w:val="18"/>
                    </w:rPr>
                    <w:t>normal.</w:t>
                  </w:r>
                  <w:r>
                    <w:rPr>
                      <w:color w:val="231F20"/>
                      <w:spacing w:val="-8"/>
                      <w:w w:val="105"/>
                      <w:sz w:val="18"/>
                    </w:rPr>
                    <w:t> </w:t>
                  </w:r>
                  <w:r>
                    <w:rPr>
                      <w:color w:val="231F20"/>
                      <w:w w:val="105"/>
                      <w:sz w:val="18"/>
                    </w:rPr>
                    <w:t>Conversely, with high sodium intake, decreased formation of these hormones permits the kidneys to excrete large amounts of</w:t>
                  </w:r>
                  <w:r>
                    <w:rPr>
                      <w:color w:val="231F20"/>
                      <w:spacing w:val="3"/>
                      <w:w w:val="105"/>
                      <w:sz w:val="18"/>
                    </w:rPr>
                    <w:t> </w:t>
                  </w:r>
                  <w:r>
                    <w:rPr>
                      <w:color w:val="231F20"/>
                      <w:w w:val="105"/>
                      <w:sz w:val="18"/>
                    </w:rPr>
                    <w:t>sodium.</w:t>
                  </w:r>
                </w:p>
                <w:p>
                  <w:pPr>
                    <w:spacing w:line="254" w:lineRule="auto" w:before="2"/>
                    <w:ind w:left="179" w:right="177" w:firstLine="239"/>
                    <w:jc w:val="both"/>
                    <w:rPr>
                      <w:i/>
                      <w:sz w:val="18"/>
                    </w:rPr>
                  </w:pPr>
                  <w:r>
                    <w:rPr>
                      <w:color w:val="231F20"/>
                      <w:w w:val="105"/>
                      <w:sz w:val="18"/>
                    </w:rPr>
                    <w:t>Because of the importance of angiotensin II and aldo­ sterone in regulating sodium excretion by the kidneys, one</w:t>
                  </w:r>
                  <w:r>
                    <w:rPr>
                      <w:color w:val="231F20"/>
                      <w:spacing w:val="-19"/>
                      <w:w w:val="105"/>
                      <w:sz w:val="18"/>
                    </w:rPr>
                    <w:t> </w:t>
                  </w:r>
                  <w:r>
                    <w:rPr>
                      <w:color w:val="231F20"/>
                      <w:w w:val="105"/>
                      <w:sz w:val="18"/>
                    </w:rPr>
                    <w:t>might</w:t>
                  </w:r>
                  <w:r>
                    <w:rPr>
                      <w:color w:val="231F20"/>
                      <w:spacing w:val="-19"/>
                      <w:w w:val="105"/>
                      <w:sz w:val="18"/>
                    </w:rPr>
                    <w:t> </w:t>
                  </w:r>
                  <w:r>
                    <w:rPr>
                      <w:color w:val="231F20"/>
                      <w:w w:val="105"/>
                      <w:sz w:val="18"/>
                    </w:rPr>
                    <w:t>mistakenly</w:t>
                  </w:r>
                  <w:r>
                    <w:rPr>
                      <w:color w:val="231F20"/>
                      <w:spacing w:val="-19"/>
                      <w:w w:val="105"/>
                      <w:sz w:val="18"/>
                    </w:rPr>
                    <w:t> </w:t>
                  </w:r>
                  <w:r>
                    <w:rPr>
                      <w:color w:val="231F20"/>
                      <w:w w:val="105"/>
                      <w:sz w:val="18"/>
                    </w:rPr>
                    <w:t>infer</w:t>
                  </w:r>
                  <w:r>
                    <w:rPr>
                      <w:color w:val="231F20"/>
                      <w:spacing w:val="-18"/>
                      <w:w w:val="105"/>
                      <w:sz w:val="18"/>
                    </w:rPr>
                    <w:t> </w:t>
                  </w:r>
                  <w:r>
                    <w:rPr>
                      <w:color w:val="231F20"/>
                      <w:w w:val="105"/>
                      <w:sz w:val="18"/>
                    </w:rPr>
                    <w:t>that</w:t>
                  </w:r>
                  <w:r>
                    <w:rPr>
                      <w:color w:val="231F20"/>
                      <w:spacing w:val="-19"/>
                      <w:w w:val="105"/>
                      <w:sz w:val="18"/>
                    </w:rPr>
                    <w:t> </w:t>
                  </w:r>
                  <w:r>
                    <w:rPr>
                      <w:color w:val="231F20"/>
                      <w:w w:val="105"/>
                      <w:sz w:val="18"/>
                    </w:rPr>
                    <w:t>they</w:t>
                  </w:r>
                  <w:r>
                    <w:rPr>
                      <w:color w:val="231F20"/>
                      <w:spacing w:val="-19"/>
                      <w:w w:val="105"/>
                      <w:sz w:val="18"/>
                    </w:rPr>
                    <w:t> </w:t>
                  </w:r>
                  <w:r>
                    <w:rPr>
                      <w:color w:val="231F20"/>
                      <w:w w:val="105"/>
                      <w:sz w:val="18"/>
                    </w:rPr>
                    <w:t>also</w:t>
                  </w:r>
                  <w:r>
                    <w:rPr>
                      <w:color w:val="231F20"/>
                      <w:spacing w:val="-18"/>
                      <w:w w:val="105"/>
                      <w:sz w:val="18"/>
                    </w:rPr>
                    <w:t> </w:t>
                  </w:r>
                  <w:r>
                    <w:rPr>
                      <w:color w:val="231F20"/>
                      <w:w w:val="105"/>
                      <w:sz w:val="18"/>
                    </w:rPr>
                    <w:t>play</w:t>
                  </w:r>
                  <w:r>
                    <w:rPr>
                      <w:color w:val="231F20"/>
                      <w:spacing w:val="-19"/>
                      <w:w w:val="105"/>
                      <w:sz w:val="18"/>
                    </w:rPr>
                    <w:t> </w:t>
                  </w:r>
                  <w:r>
                    <w:rPr>
                      <w:color w:val="231F20"/>
                      <w:w w:val="105"/>
                      <w:sz w:val="18"/>
                    </w:rPr>
                    <w:t>an</w:t>
                  </w:r>
                  <w:r>
                    <w:rPr>
                      <w:color w:val="231F20"/>
                      <w:spacing w:val="-19"/>
                      <w:w w:val="105"/>
                      <w:sz w:val="18"/>
                    </w:rPr>
                    <w:t> </w:t>
                  </w:r>
                  <w:r>
                    <w:rPr>
                      <w:color w:val="231F20"/>
                      <w:w w:val="105"/>
                      <w:sz w:val="18"/>
                    </w:rPr>
                    <w:t>important role</w:t>
                  </w:r>
                  <w:r>
                    <w:rPr>
                      <w:color w:val="231F20"/>
                      <w:spacing w:val="-18"/>
                      <w:w w:val="105"/>
                      <w:sz w:val="18"/>
                    </w:rPr>
                    <w:t> </w:t>
                  </w:r>
                  <w:r>
                    <w:rPr>
                      <w:color w:val="231F20"/>
                      <w:w w:val="105"/>
                      <w:sz w:val="18"/>
                    </w:rPr>
                    <w:t>in</w:t>
                  </w:r>
                  <w:r>
                    <w:rPr>
                      <w:color w:val="231F20"/>
                      <w:spacing w:val="-18"/>
                      <w:w w:val="105"/>
                      <w:sz w:val="18"/>
                    </w:rPr>
                    <w:t> </w:t>
                  </w:r>
                  <w:r>
                    <w:rPr>
                      <w:color w:val="231F20"/>
                      <w:w w:val="105"/>
                      <w:sz w:val="18"/>
                    </w:rPr>
                    <w:t>regulating</w:t>
                  </w:r>
                  <w:r>
                    <w:rPr>
                      <w:color w:val="231F20"/>
                      <w:spacing w:val="-18"/>
                      <w:w w:val="105"/>
                      <w:sz w:val="18"/>
                    </w:rPr>
                    <w:t> </w:t>
                  </w:r>
                  <w:r>
                    <w:rPr>
                      <w:color w:val="231F20"/>
                      <w:w w:val="105"/>
                      <w:sz w:val="18"/>
                    </w:rPr>
                    <w:t>extracellular</w:t>
                  </w:r>
                  <w:r>
                    <w:rPr>
                      <w:color w:val="231F20"/>
                      <w:spacing w:val="-18"/>
                      <w:w w:val="105"/>
                      <w:sz w:val="18"/>
                    </w:rPr>
                    <w:t> </w:t>
                  </w:r>
                  <w:r>
                    <w:rPr>
                      <w:color w:val="231F20"/>
                      <w:w w:val="105"/>
                      <w:sz w:val="18"/>
                    </w:rPr>
                    <w:t>fluid</w:t>
                  </w:r>
                  <w:r>
                    <w:rPr>
                      <w:color w:val="231F20"/>
                      <w:spacing w:val="-18"/>
                      <w:w w:val="105"/>
                      <w:sz w:val="18"/>
                    </w:rPr>
                    <w:t> </w:t>
                  </w:r>
                  <w:r>
                    <w:rPr>
                      <w:color w:val="231F20"/>
                      <w:w w:val="105"/>
                      <w:sz w:val="18"/>
                    </w:rPr>
                    <w:t>sodium</w:t>
                  </w:r>
                  <w:r>
                    <w:rPr>
                      <w:color w:val="231F20"/>
                      <w:spacing w:val="-18"/>
                      <w:w w:val="105"/>
                      <w:sz w:val="18"/>
                    </w:rPr>
                    <w:t> </w:t>
                  </w:r>
                  <w:r>
                    <w:rPr>
                      <w:color w:val="231F20"/>
                      <w:w w:val="105"/>
                      <w:sz w:val="18"/>
                    </w:rPr>
                    <w:t>concentration. Although these hormones increase the </w:t>
                  </w:r>
                  <w:r>
                    <w:rPr>
                      <w:i/>
                      <w:color w:val="231F20"/>
                      <w:w w:val="105"/>
                      <w:sz w:val="18"/>
                    </w:rPr>
                    <w:t>amount </w:t>
                  </w:r>
                  <w:r>
                    <w:rPr>
                      <w:color w:val="231F20"/>
                      <w:w w:val="105"/>
                      <w:sz w:val="18"/>
                    </w:rPr>
                    <w:t>of sodium in</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extracellular</w:t>
                  </w:r>
                  <w:r>
                    <w:rPr>
                      <w:color w:val="231F20"/>
                      <w:spacing w:val="-27"/>
                      <w:w w:val="105"/>
                      <w:sz w:val="18"/>
                    </w:rPr>
                    <w:t> </w:t>
                  </w:r>
                  <w:r>
                    <w:rPr>
                      <w:color w:val="231F20"/>
                      <w:w w:val="105"/>
                      <w:sz w:val="18"/>
                    </w:rPr>
                    <w:t>fluid,</w:t>
                  </w:r>
                  <w:r>
                    <w:rPr>
                      <w:color w:val="231F20"/>
                      <w:spacing w:val="-27"/>
                      <w:w w:val="105"/>
                      <w:sz w:val="18"/>
                    </w:rPr>
                    <w:t> </w:t>
                  </w:r>
                  <w:r>
                    <w:rPr>
                      <w:color w:val="231F20"/>
                      <w:w w:val="105"/>
                      <w:sz w:val="18"/>
                    </w:rPr>
                    <w:t>they</w:t>
                  </w:r>
                  <w:r>
                    <w:rPr>
                      <w:color w:val="231F20"/>
                      <w:spacing w:val="-26"/>
                      <w:w w:val="105"/>
                      <w:sz w:val="18"/>
                    </w:rPr>
                    <w:t> </w:t>
                  </w:r>
                  <w:r>
                    <w:rPr>
                      <w:color w:val="231F20"/>
                      <w:w w:val="105"/>
                      <w:sz w:val="18"/>
                    </w:rPr>
                    <w:t>also</w:t>
                  </w:r>
                  <w:r>
                    <w:rPr>
                      <w:color w:val="231F20"/>
                      <w:spacing w:val="-27"/>
                      <w:w w:val="105"/>
                      <w:sz w:val="18"/>
                    </w:rPr>
                    <w:t> </w:t>
                  </w:r>
                  <w:r>
                    <w:rPr>
                      <w:color w:val="231F20"/>
                      <w:w w:val="105"/>
                      <w:sz w:val="18"/>
                    </w:rPr>
                    <w:t>increase</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extracellular fluid volume by increasing reabsorption of water along with</w:t>
                  </w:r>
                  <w:r>
                    <w:rPr>
                      <w:color w:val="231F20"/>
                      <w:spacing w:val="-24"/>
                      <w:w w:val="105"/>
                      <w:sz w:val="18"/>
                    </w:rPr>
                    <w:t> </w:t>
                  </w:r>
                  <w:r>
                    <w:rPr>
                      <w:color w:val="231F20"/>
                      <w:w w:val="105"/>
                      <w:sz w:val="18"/>
                    </w:rPr>
                    <w:t>the</w:t>
                  </w:r>
                  <w:r>
                    <w:rPr>
                      <w:color w:val="231F20"/>
                      <w:spacing w:val="-23"/>
                      <w:w w:val="105"/>
                      <w:sz w:val="18"/>
                    </w:rPr>
                    <w:t> </w:t>
                  </w:r>
                  <w:r>
                    <w:rPr>
                      <w:color w:val="231F20"/>
                      <w:w w:val="105"/>
                      <w:sz w:val="18"/>
                    </w:rPr>
                    <w:t>sodium.</w:t>
                  </w:r>
                  <w:r>
                    <w:rPr>
                      <w:color w:val="231F20"/>
                      <w:spacing w:val="-24"/>
                      <w:w w:val="105"/>
                      <w:sz w:val="18"/>
                    </w:rPr>
                    <w:t> </w:t>
                  </w:r>
                  <w:r>
                    <w:rPr>
                      <w:color w:val="231F20"/>
                      <w:w w:val="105"/>
                      <w:sz w:val="18"/>
                    </w:rPr>
                    <w:t>Therefore,</w:t>
                  </w:r>
                  <w:r>
                    <w:rPr>
                      <w:color w:val="231F20"/>
                      <w:spacing w:val="-22"/>
                      <w:w w:val="105"/>
                      <w:sz w:val="18"/>
                    </w:rPr>
                    <w:t> </w:t>
                  </w:r>
                  <w:r>
                    <w:rPr>
                      <w:i/>
                      <w:color w:val="231F20"/>
                      <w:w w:val="105"/>
                      <w:sz w:val="18"/>
                    </w:rPr>
                    <w:t>angiotensin</w:t>
                  </w:r>
                  <w:r>
                    <w:rPr>
                      <w:i/>
                      <w:color w:val="231F20"/>
                      <w:spacing w:val="-24"/>
                      <w:w w:val="105"/>
                      <w:sz w:val="18"/>
                    </w:rPr>
                    <w:t> </w:t>
                  </w:r>
                  <w:r>
                    <w:rPr>
                      <w:i/>
                      <w:color w:val="231F20"/>
                      <w:w w:val="105"/>
                      <w:sz w:val="18"/>
                    </w:rPr>
                    <w:t>II</w:t>
                  </w:r>
                  <w:r>
                    <w:rPr>
                      <w:i/>
                      <w:color w:val="231F20"/>
                      <w:spacing w:val="-23"/>
                      <w:w w:val="105"/>
                      <w:sz w:val="18"/>
                    </w:rPr>
                    <w:t> </w:t>
                  </w:r>
                  <w:r>
                    <w:rPr>
                      <w:i/>
                      <w:color w:val="231F20"/>
                      <w:w w:val="105"/>
                      <w:sz w:val="18"/>
                    </w:rPr>
                    <w:t>and</w:t>
                  </w:r>
                  <w:r>
                    <w:rPr>
                      <w:i/>
                      <w:color w:val="231F20"/>
                      <w:spacing w:val="-23"/>
                      <w:w w:val="105"/>
                      <w:sz w:val="18"/>
                    </w:rPr>
                    <w:t> </w:t>
                  </w:r>
                  <w:r>
                    <w:rPr>
                      <w:i/>
                      <w:color w:val="231F20"/>
                      <w:w w:val="105"/>
                      <w:sz w:val="18"/>
                    </w:rPr>
                    <w:t>aldosterone </w:t>
                  </w:r>
                  <w:r>
                    <w:rPr>
                      <w:i/>
                      <w:color w:val="231F20"/>
                      <w:w w:val="105"/>
                      <w:sz w:val="18"/>
                    </w:rPr>
                    <w:t>have little effect on sodium </w:t>
                  </w:r>
                  <w:r>
                    <w:rPr>
                      <w:rFonts w:ascii="Cambria" w:hAnsi="Cambria"/>
                      <w:b/>
                      <w:i/>
                      <w:color w:val="231F20"/>
                      <w:w w:val="105"/>
                      <w:sz w:val="18"/>
                    </w:rPr>
                    <w:t>concentration, </w:t>
                  </w:r>
                  <w:r>
                    <w:rPr>
                      <w:i/>
                      <w:color w:val="231F20"/>
                      <w:w w:val="105"/>
                      <w:sz w:val="18"/>
                    </w:rPr>
                    <w:t>except</w:t>
                  </w:r>
                  <w:r>
                    <w:rPr>
                      <w:i/>
                      <w:color w:val="231F20"/>
                      <w:spacing w:val="-12"/>
                      <w:w w:val="105"/>
                      <w:sz w:val="18"/>
                    </w:rPr>
                    <w:t> </w:t>
                  </w:r>
                  <w:r>
                    <w:rPr>
                      <w:i/>
                      <w:color w:val="231F20"/>
                      <w:w w:val="105"/>
                      <w:sz w:val="18"/>
                    </w:rPr>
                    <w:t>under </w:t>
                  </w:r>
                  <w:r>
                    <w:rPr>
                      <w:i/>
                      <w:color w:val="231F20"/>
                      <w:w w:val="105"/>
                      <w:sz w:val="18"/>
                    </w:rPr>
                    <w:t>extreme</w:t>
                  </w:r>
                  <w:r>
                    <w:rPr>
                      <w:i/>
                      <w:color w:val="231F20"/>
                      <w:spacing w:val="2"/>
                      <w:w w:val="105"/>
                      <w:sz w:val="18"/>
                    </w:rPr>
                    <w:t> </w:t>
                  </w:r>
                  <w:r>
                    <w:rPr>
                      <w:i/>
                      <w:color w:val="231F20"/>
                      <w:w w:val="105"/>
                      <w:sz w:val="18"/>
                    </w:rPr>
                    <w:t>conditions.</w:t>
                  </w:r>
                </w:p>
                <w:p>
                  <w:pPr>
                    <w:spacing w:line="254" w:lineRule="auto" w:before="2"/>
                    <w:ind w:left="179" w:right="177" w:firstLine="239"/>
                    <w:jc w:val="both"/>
                    <w:rPr>
                      <w:sz w:val="18"/>
                    </w:rPr>
                  </w:pPr>
                  <w:r>
                    <w:rPr>
                      <w:color w:val="231F20"/>
                      <w:w w:val="105"/>
                      <w:sz w:val="18"/>
                    </w:rPr>
                    <w:t>This</w:t>
                  </w:r>
                  <w:r>
                    <w:rPr>
                      <w:color w:val="231F20"/>
                      <w:spacing w:val="-16"/>
                      <w:w w:val="105"/>
                      <w:sz w:val="18"/>
                    </w:rPr>
                    <w:t> </w:t>
                  </w:r>
                  <w:r>
                    <w:rPr>
                      <w:color w:val="231F20"/>
                      <w:w w:val="105"/>
                      <w:sz w:val="18"/>
                    </w:rPr>
                    <w:t>relative</w:t>
                  </w:r>
                  <w:r>
                    <w:rPr>
                      <w:color w:val="231F20"/>
                      <w:spacing w:val="-15"/>
                      <w:w w:val="105"/>
                      <w:sz w:val="18"/>
                    </w:rPr>
                    <w:t> </w:t>
                  </w:r>
                  <w:r>
                    <w:rPr>
                      <w:color w:val="231F20"/>
                      <w:w w:val="105"/>
                      <w:sz w:val="18"/>
                    </w:rPr>
                    <w:t>unimportance</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aldosterone</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regulating extracellular fluid sodium concentration is shown by the experiment of </w:t>
                  </w:r>
                  <w:hyperlink w:history="true" w:anchor="_bookmark81">
                    <w:r>
                      <w:rPr>
                        <w:b/>
                        <w:color w:val="0080AC"/>
                        <w:w w:val="105"/>
                        <w:sz w:val="18"/>
                      </w:rPr>
                      <w:t>Figure 29-13</w:t>
                    </w:r>
                  </w:hyperlink>
                  <w:r>
                    <w:rPr>
                      <w:color w:val="231F20"/>
                      <w:w w:val="105"/>
                      <w:sz w:val="18"/>
                    </w:rPr>
                    <w:t>. This figure shows the</w:t>
                  </w:r>
                  <w:r>
                    <w:rPr>
                      <w:color w:val="231F20"/>
                      <w:spacing w:val="-15"/>
                      <w:w w:val="105"/>
                      <w:sz w:val="18"/>
                    </w:rPr>
                    <w:t> </w:t>
                  </w:r>
                  <w:r>
                    <w:rPr>
                      <w:color w:val="231F20"/>
                      <w:w w:val="105"/>
                      <w:sz w:val="18"/>
                    </w:rPr>
                    <w:t>effect on plasma sodium concentration of changing sodium intake more than sixfold under two conditions: (1) under normal conditions and (2) after the aldosterone feedback system was blocked by removing the adrenal glands and infusing</w:t>
                  </w:r>
                  <w:r>
                    <w:rPr>
                      <w:color w:val="231F20"/>
                      <w:spacing w:val="-7"/>
                      <w:w w:val="105"/>
                      <w:sz w:val="18"/>
                    </w:rPr>
                    <w:t> </w:t>
                  </w:r>
                  <w:r>
                    <w:rPr>
                      <w:color w:val="231F20"/>
                      <w:w w:val="105"/>
                      <w:sz w:val="18"/>
                    </w:rPr>
                    <w:t>the</w:t>
                  </w:r>
                  <w:r>
                    <w:rPr>
                      <w:color w:val="231F20"/>
                      <w:spacing w:val="-6"/>
                      <w:w w:val="105"/>
                      <w:sz w:val="18"/>
                    </w:rPr>
                    <w:t> </w:t>
                  </w:r>
                  <w:r>
                    <w:rPr>
                      <w:color w:val="231F20"/>
                      <w:w w:val="105"/>
                      <w:sz w:val="18"/>
                    </w:rPr>
                    <w:t>animals</w:t>
                  </w:r>
                  <w:r>
                    <w:rPr>
                      <w:color w:val="231F20"/>
                      <w:spacing w:val="-7"/>
                      <w:w w:val="105"/>
                      <w:sz w:val="18"/>
                    </w:rPr>
                    <w:t> </w:t>
                  </w:r>
                  <w:r>
                    <w:rPr>
                      <w:color w:val="231F20"/>
                      <w:w w:val="105"/>
                      <w:sz w:val="18"/>
                    </w:rPr>
                    <w:t>with</w:t>
                  </w:r>
                  <w:r>
                    <w:rPr>
                      <w:color w:val="231F20"/>
                      <w:spacing w:val="-6"/>
                      <w:w w:val="105"/>
                      <w:sz w:val="18"/>
                    </w:rPr>
                    <w:t> </w:t>
                  </w:r>
                  <w:r>
                    <w:rPr>
                      <w:color w:val="231F20"/>
                      <w:w w:val="105"/>
                      <w:sz w:val="18"/>
                    </w:rPr>
                    <w:t>aldosterone</w:t>
                  </w:r>
                  <w:r>
                    <w:rPr>
                      <w:color w:val="231F20"/>
                      <w:spacing w:val="-6"/>
                      <w:w w:val="105"/>
                      <w:sz w:val="18"/>
                    </w:rPr>
                    <w:t> </w:t>
                  </w:r>
                  <w:r>
                    <w:rPr>
                      <w:color w:val="231F20"/>
                      <w:w w:val="105"/>
                      <w:sz w:val="18"/>
                    </w:rPr>
                    <w:t>at</w:t>
                  </w:r>
                  <w:r>
                    <w:rPr>
                      <w:color w:val="231F20"/>
                      <w:spacing w:val="-7"/>
                      <w:w w:val="105"/>
                      <w:sz w:val="18"/>
                    </w:rPr>
                    <w:t> </w:t>
                  </w:r>
                  <w:r>
                    <w:rPr>
                      <w:color w:val="231F20"/>
                      <w:w w:val="105"/>
                      <w:sz w:val="18"/>
                    </w:rPr>
                    <w:t>a</w:t>
                  </w:r>
                  <w:r>
                    <w:rPr>
                      <w:color w:val="231F20"/>
                      <w:spacing w:val="-6"/>
                      <w:w w:val="105"/>
                      <w:sz w:val="18"/>
                    </w:rPr>
                    <w:t> </w:t>
                  </w:r>
                  <w:r>
                    <w:rPr>
                      <w:color w:val="231F20"/>
                      <w:w w:val="105"/>
                      <w:sz w:val="18"/>
                    </w:rPr>
                    <w:t>constant</w:t>
                  </w:r>
                  <w:r>
                    <w:rPr>
                      <w:color w:val="231F20"/>
                      <w:spacing w:val="-7"/>
                      <w:w w:val="105"/>
                      <w:sz w:val="18"/>
                    </w:rPr>
                    <w:t> </w:t>
                  </w:r>
                  <w:r>
                    <w:rPr>
                      <w:color w:val="231F20"/>
                      <w:w w:val="105"/>
                      <w:sz w:val="18"/>
                    </w:rPr>
                    <w:t>rate</w:t>
                  </w:r>
                  <w:r>
                    <w:rPr>
                      <w:color w:val="231F20"/>
                      <w:spacing w:val="-6"/>
                      <w:w w:val="105"/>
                      <w:sz w:val="18"/>
                    </w:rPr>
                    <w:t> </w:t>
                  </w:r>
                  <w:r>
                    <w:rPr>
                      <w:color w:val="231F20"/>
                      <w:w w:val="105"/>
                      <w:sz w:val="18"/>
                    </w:rPr>
                    <w:t>so that</w:t>
                  </w:r>
                  <w:r>
                    <w:rPr>
                      <w:color w:val="231F20"/>
                      <w:spacing w:val="-18"/>
                      <w:w w:val="105"/>
                      <w:sz w:val="18"/>
                    </w:rPr>
                    <w:t> </w:t>
                  </w:r>
                  <w:r>
                    <w:rPr>
                      <w:color w:val="231F20"/>
                      <w:w w:val="105"/>
                      <w:sz w:val="18"/>
                    </w:rPr>
                    <w:t>plasma</w:t>
                  </w:r>
                  <w:r>
                    <w:rPr>
                      <w:color w:val="231F20"/>
                      <w:spacing w:val="-18"/>
                      <w:w w:val="105"/>
                      <w:sz w:val="18"/>
                    </w:rPr>
                    <w:t> </w:t>
                  </w:r>
                  <w:r>
                    <w:rPr>
                      <w:color w:val="231F20"/>
                      <w:w w:val="105"/>
                      <w:sz w:val="18"/>
                    </w:rPr>
                    <w:t>levels</w:t>
                  </w:r>
                  <w:r>
                    <w:rPr>
                      <w:color w:val="231F20"/>
                      <w:spacing w:val="-18"/>
                      <w:w w:val="105"/>
                      <w:sz w:val="18"/>
                    </w:rPr>
                    <w:t> </w:t>
                  </w:r>
                  <w:r>
                    <w:rPr>
                      <w:color w:val="231F20"/>
                      <w:w w:val="105"/>
                      <w:sz w:val="18"/>
                    </w:rPr>
                    <w:t>could</w:t>
                  </w:r>
                  <w:r>
                    <w:rPr>
                      <w:color w:val="231F20"/>
                      <w:spacing w:val="-18"/>
                      <w:w w:val="105"/>
                      <w:sz w:val="18"/>
                    </w:rPr>
                    <w:t> </w:t>
                  </w:r>
                  <w:r>
                    <w:rPr>
                      <w:color w:val="231F20"/>
                      <w:w w:val="105"/>
                      <w:sz w:val="18"/>
                    </w:rPr>
                    <w:t>not</w:t>
                  </w:r>
                  <w:r>
                    <w:rPr>
                      <w:color w:val="231F20"/>
                      <w:spacing w:val="-18"/>
                      <w:w w:val="105"/>
                      <w:sz w:val="18"/>
                    </w:rPr>
                    <w:t> </w:t>
                  </w:r>
                  <w:r>
                    <w:rPr>
                      <w:color w:val="231F20"/>
                      <w:w w:val="105"/>
                      <w:sz w:val="18"/>
                    </w:rPr>
                    <w:t>increase</w:t>
                  </w:r>
                  <w:r>
                    <w:rPr>
                      <w:color w:val="231F20"/>
                      <w:spacing w:val="-18"/>
                      <w:w w:val="105"/>
                      <w:sz w:val="18"/>
                    </w:rPr>
                    <w:t> </w:t>
                  </w:r>
                  <w:r>
                    <w:rPr>
                      <w:color w:val="231F20"/>
                      <w:w w:val="105"/>
                      <w:sz w:val="18"/>
                    </w:rPr>
                    <w:t>or</w:t>
                  </w:r>
                  <w:r>
                    <w:rPr>
                      <w:color w:val="231F20"/>
                      <w:spacing w:val="-18"/>
                      <w:w w:val="105"/>
                      <w:sz w:val="18"/>
                    </w:rPr>
                    <w:t> </w:t>
                  </w:r>
                  <w:r>
                    <w:rPr>
                      <w:color w:val="231F20"/>
                      <w:w w:val="105"/>
                      <w:sz w:val="18"/>
                    </w:rPr>
                    <w:t>decrease.</w:t>
                  </w:r>
                  <w:r>
                    <w:rPr>
                      <w:color w:val="231F20"/>
                      <w:spacing w:val="-18"/>
                      <w:w w:val="105"/>
                      <w:sz w:val="18"/>
                    </w:rPr>
                    <w:t> </w:t>
                  </w:r>
                  <w:r>
                    <w:rPr>
                      <w:color w:val="231F20"/>
                      <w:w w:val="105"/>
                      <w:sz w:val="18"/>
                    </w:rPr>
                    <w:t>Note</w:t>
                  </w:r>
                  <w:r>
                    <w:rPr>
                      <w:color w:val="231F20"/>
                      <w:spacing w:val="-18"/>
                      <w:w w:val="105"/>
                      <w:sz w:val="18"/>
                    </w:rPr>
                    <w:t> </w:t>
                  </w:r>
                  <w:r>
                    <w:rPr>
                      <w:color w:val="231F20"/>
                      <w:w w:val="105"/>
                      <w:sz w:val="18"/>
                    </w:rPr>
                    <w:t>that when</w:t>
                  </w:r>
                  <w:r>
                    <w:rPr>
                      <w:color w:val="231F20"/>
                      <w:spacing w:val="-23"/>
                      <w:w w:val="105"/>
                      <w:sz w:val="18"/>
                    </w:rPr>
                    <w:t> </w:t>
                  </w:r>
                  <w:r>
                    <w:rPr>
                      <w:color w:val="231F20"/>
                      <w:w w:val="105"/>
                      <w:sz w:val="18"/>
                    </w:rPr>
                    <w:t>sodium</w:t>
                  </w:r>
                  <w:r>
                    <w:rPr>
                      <w:color w:val="231F20"/>
                      <w:spacing w:val="-23"/>
                      <w:w w:val="105"/>
                      <w:sz w:val="18"/>
                    </w:rPr>
                    <w:t> </w:t>
                  </w:r>
                  <w:r>
                    <w:rPr>
                      <w:color w:val="231F20"/>
                      <w:w w:val="105"/>
                      <w:sz w:val="18"/>
                    </w:rPr>
                    <w:t>intake</w:t>
                  </w:r>
                  <w:r>
                    <w:rPr>
                      <w:color w:val="231F20"/>
                      <w:spacing w:val="-23"/>
                      <w:w w:val="105"/>
                      <w:sz w:val="18"/>
                    </w:rPr>
                    <w:t> </w:t>
                  </w:r>
                  <w:r>
                    <w:rPr>
                      <w:color w:val="231F20"/>
                      <w:w w:val="105"/>
                      <w:sz w:val="18"/>
                    </w:rPr>
                    <w:t>was</w:t>
                  </w:r>
                  <w:r>
                    <w:rPr>
                      <w:color w:val="231F20"/>
                      <w:spacing w:val="-23"/>
                      <w:w w:val="105"/>
                      <w:sz w:val="18"/>
                    </w:rPr>
                    <w:t> </w:t>
                  </w:r>
                  <w:r>
                    <w:rPr>
                      <w:color w:val="231F20"/>
                      <w:w w:val="105"/>
                      <w:sz w:val="18"/>
                    </w:rPr>
                    <w:t>increased</w:t>
                  </w:r>
                  <w:r>
                    <w:rPr>
                      <w:color w:val="231F20"/>
                      <w:spacing w:val="-23"/>
                      <w:w w:val="105"/>
                      <w:sz w:val="18"/>
                    </w:rPr>
                    <w:t> </w:t>
                  </w:r>
                  <w:r>
                    <w:rPr>
                      <w:color w:val="231F20"/>
                      <w:w w:val="105"/>
                      <w:sz w:val="18"/>
                    </w:rPr>
                    <w:t>sixfold,</w:t>
                  </w:r>
                  <w:r>
                    <w:rPr>
                      <w:color w:val="231F20"/>
                      <w:spacing w:val="-22"/>
                      <w:w w:val="105"/>
                      <w:sz w:val="18"/>
                    </w:rPr>
                    <w:t> </w:t>
                  </w:r>
                  <w:r>
                    <w:rPr>
                      <w:color w:val="231F20"/>
                      <w:w w:val="105"/>
                      <w:sz w:val="18"/>
                    </w:rPr>
                    <w:t>plasma</w:t>
                  </w:r>
                  <w:r>
                    <w:rPr>
                      <w:color w:val="231F20"/>
                      <w:spacing w:val="-23"/>
                      <w:w w:val="105"/>
                      <w:sz w:val="18"/>
                    </w:rPr>
                    <w:t> </w:t>
                  </w:r>
                  <w:r>
                    <w:rPr>
                      <w:color w:val="231F20"/>
                      <w:w w:val="105"/>
                      <w:sz w:val="18"/>
                    </w:rPr>
                    <w:t>concen­ tration changed only about 1 to 2 percent in either case. This</w:t>
                  </w:r>
                  <w:r>
                    <w:rPr>
                      <w:color w:val="231F20"/>
                      <w:spacing w:val="-9"/>
                      <w:w w:val="105"/>
                      <w:sz w:val="18"/>
                    </w:rPr>
                    <w:t> </w:t>
                  </w:r>
                  <w:r>
                    <w:rPr>
                      <w:color w:val="231F20"/>
                      <w:w w:val="105"/>
                      <w:sz w:val="18"/>
                    </w:rPr>
                    <w:t>finding</w:t>
                  </w:r>
                  <w:r>
                    <w:rPr>
                      <w:color w:val="231F20"/>
                      <w:spacing w:val="-8"/>
                      <w:w w:val="105"/>
                      <w:sz w:val="18"/>
                    </w:rPr>
                    <w:t> </w:t>
                  </w:r>
                  <w:r>
                    <w:rPr>
                      <w:color w:val="231F20"/>
                      <w:w w:val="105"/>
                      <w:sz w:val="18"/>
                    </w:rPr>
                    <w:t>indicates</w:t>
                  </w:r>
                  <w:r>
                    <w:rPr>
                      <w:color w:val="231F20"/>
                      <w:spacing w:val="-8"/>
                      <w:w w:val="105"/>
                      <w:sz w:val="18"/>
                    </w:rPr>
                    <w:t> </w:t>
                  </w:r>
                  <w:r>
                    <w:rPr>
                      <w:color w:val="231F20"/>
                      <w:w w:val="105"/>
                      <w:sz w:val="18"/>
                    </w:rPr>
                    <w:t>that</w:t>
                  </w:r>
                  <w:r>
                    <w:rPr>
                      <w:color w:val="231F20"/>
                      <w:spacing w:val="-8"/>
                      <w:w w:val="105"/>
                      <w:sz w:val="18"/>
                    </w:rPr>
                    <w:t> </w:t>
                  </w:r>
                  <w:r>
                    <w:rPr>
                      <w:color w:val="231F20"/>
                      <w:w w:val="105"/>
                      <w:sz w:val="18"/>
                    </w:rPr>
                    <w:t>even</w:t>
                  </w:r>
                  <w:r>
                    <w:rPr>
                      <w:color w:val="231F20"/>
                      <w:spacing w:val="-8"/>
                      <w:w w:val="105"/>
                      <w:sz w:val="18"/>
                    </w:rPr>
                    <w:t> </w:t>
                  </w:r>
                  <w:r>
                    <w:rPr>
                      <w:color w:val="231F20"/>
                      <w:w w:val="105"/>
                      <w:sz w:val="18"/>
                    </w:rPr>
                    <w:t>without</w:t>
                  </w:r>
                  <w:r>
                    <w:rPr>
                      <w:color w:val="231F20"/>
                      <w:spacing w:val="-8"/>
                      <w:w w:val="105"/>
                      <w:sz w:val="18"/>
                    </w:rPr>
                    <w:t> </w:t>
                  </w:r>
                  <w:r>
                    <w:rPr>
                      <w:color w:val="231F20"/>
                      <w:w w:val="105"/>
                      <w:sz w:val="18"/>
                    </w:rPr>
                    <w:t>a</w:t>
                  </w:r>
                  <w:r>
                    <w:rPr>
                      <w:color w:val="231F20"/>
                      <w:spacing w:val="-8"/>
                      <w:w w:val="105"/>
                      <w:sz w:val="18"/>
                    </w:rPr>
                    <w:t> </w:t>
                  </w:r>
                  <w:r>
                    <w:rPr>
                      <w:color w:val="231F20"/>
                      <w:w w:val="105"/>
                      <w:sz w:val="18"/>
                    </w:rPr>
                    <w:t>functional</w:t>
                  </w:r>
                  <w:r>
                    <w:rPr>
                      <w:color w:val="231F20"/>
                      <w:spacing w:val="-8"/>
                      <w:w w:val="105"/>
                      <w:sz w:val="18"/>
                    </w:rPr>
                    <w:t> </w:t>
                  </w:r>
                  <w:r>
                    <w:rPr>
                      <w:color w:val="231F20"/>
                      <w:spacing w:val="-3"/>
                      <w:w w:val="105"/>
                      <w:sz w:val="18"/>
                    </w:rPr>
                    <w:t>aldo­ </w:t>
                  </w:r>
                  <w:r>
                    <w:rPr>
                      <w:color w:val="231F20"/>
                      <w:w w:val="105"/>
                      <w:sz w:val="18"/>
                    </w:rPr>
                    <w:t>sterone</w:t>
                  </w:r>
                  <w:r>
                    <w:rPr>
                      <w:color w:val="231F20"/>
                      <w:spacing w:val="-26"/>
                      <w:w w:val="105"/>
                      <w:sz w:val="18"/>
                    </w:rPr>
                    <w:t> </w:t>
                  </w:r>
                  <w:r>
                    <w:rPr>
                      <w:color w:val="231F20"/>
                      <w:w w:val="105"/>
                      <w:sz w:val="18"/>
                    </w:rPr>
                    <w:t>feedback</w:t>
                  </w:r>
                  <w:r>
                    <w:rPr>
                      <w:color w:val="231F20"/>
                      <w:spacing w:val="-25"/>
                      <w:w w:val="105"/>
                      <w:sz w:val="18"/>
                    </w:rPr>
                    <w:t> </w:t>
                  </w:r>
                  <w:r>
                    <w:rPr>
                      <w:color w:val="231F20"/>
                      <w:w w:val="105"/>
                      <w:sz w:val="18"/>
                    </w:rPr>
                    <w:t>system,</w:t>
                  </w:r>
                  <w:r>
                    <w:rPr>
                      <w:color w:val="231F20"/>
                      <w:spacing w:val="-25"/>
                      <w:w w:val="105"/>
                      <w:sz w:val="18"/>
                    </w:rPr>
                    <w:t> </w:t>
                  </w:r>
                  <w:r>
                    <w:rPr>
                      <w:color w:val="231F20"/>
                      <w:w w:val="105"/>
                      <w:sz w:val="18"/>
                    </w:rPr>
                    <w:t>plasma</w:t>
                  </w:r>
                  <w:r>
                    <w:rPr>
                      <w:color w:val="231F20"/>
                      <w:spacing w:val="-26"/>
                      <w:w w:val="105"/>
                      <w:sz w:val="18"/>
                    </w:rPr>
                    <w:t> </w:t>
                  </w:r>
                  <w:r>
                    <w:rPr>
                      <w:color w:val="231F20"/>
                      <w:w w:val="105"/>
                      <w:sz w:val="18"/>
                    </w:rPr>
                    <w:t>sodium</w:t>
                  </w:r>
                  <w:r>
                    <w:rPr>
                      <w:color w:val="231F20"/>
                      <w:spacing w:val="-25"/>
                      <w:w w:val="105"/>
                      <w:sz w:val="18"/>
                    </w:rPr>
                    <w:t> </w:t>
                  </w:r>
                  <w:r>
                    <w:rPr>
                      <w:color w:val="231F20"/>
                      <w:w w:val="105"/>
                      <w:sz w:val="18"/>
                    </w:rPr>
                    <w:t>concentration</w:t>
                  </w:r>
                  <w:r>
                    <w:rPr>
                      <w:color w:val="231F20"/>
                      <w:spacing w:val="-25"/>
                      <w:w w:val="105"/>
                      <w:sz w:val="18"/>
                    </w:rPr>
                    <w:t> </w:t>
                  </w:r>
                  <w:r>
                    <w:rPr>
                      <w:color w:val="231F20"/>
                      <w:w w:val="105"/>
                      <w:sz w:val="18"/>
                    </w:rPr>
                    <w:t>can be well regulated. The same type of experiment has been conducted</w:t>
                  </w:r>
                  <w:r>
                    <w:rPr>
                      <w:color w:val="231F20"/>
                      <w:spacing w:val="-23"/>
                      <w:w w:val="105"/>
                      <w:sz w:val="18"/>
                    </w:rPr>
                    <w:t> </w:t>
                  </w:r>
                  <w:r>
                    <w:rPr>
                      <w:color w:val="231F20"/>
                      <w:w w:val="105"/>
                      <w:sz w:val="18"/>
                    </w:rPr>
                    <w:t>after</w:t>
                  </w:r>
                  <w:r>
                    <w:rPr>
                      <w:color w:val="231F20"/>
                      <w:spacing w:val="-22"/>
                      <w:w w:val="105"/>
                      <w:sz w:val="18"/>
                    </w:rPr>
                    <w:t> </w:t>
                  </w:r>
                  <w:r>
                    <w:rPr>
                      <w:color w:val="231F20"/>
                      <w:w w:val="105"/>
                      <w:sz w:val="18"/>
                    </w:rPr>
                    <w:t>blocking</w:t>
                  </w:r>
                  <w:r>
                    <w:rPr>
                      <w:color w:val="231F20"/>
                      <w:spacing w:val="-23"/>
                      <w:w w:val="105"/>
                      <w:sz w:val="18"/>
                    </w:rPr>
                    <w:t> </w:t>
                  </w:r>
                  <w:r>
                    <w:rPr>
                      <w:color w:val="231F20"/>
                      <w:w w:val="105"/>
                      <w:sz w:val="18"/>
                    </w:rPr>
                    <w:t>angiotensin</w:t>
                  </w:r>
                  <w:r>
                    <w:rPr>
                      <w:color w:val="231F20"/>
                      <w:spacing w:val="-22"/>
                      <w:w w:val="105"/>
                      <w:sz w:val="18"/>
                    </w:rPr>
                    <w:t> </w:t>
                  </w:r>
                  <w:r>
                    <w:rPr>
                      <w:color w:val="231F20"/>
                      <w:w w:val="105"/>
                      <w:sz w:val="18"/>
                    </w:rPr>
                    <w:t>II</w:t>
                  </w:r>
                  <w:r>
                    <w:rPr>
                      <w:color w:val="231F20"/>
                      <w:spacing w:val="-23"/>
                      <w:w w:val="105"/>
                      <w:sz w:val="18"/>
                    </w:rPr>
                    <w:t> </w:t>
                  </w:r>
                  <w:r>
                    <w:rPr>
                      <w:color w:val="231F20"/>
                      <w:w w:val="105"/>
                      <w:sz w:val="18"/>
                    </w:rPr>
                    <w:t>formation,</w:t>
                  </w:r>
                  <w:r>
                    <w:rPr>
                      <w:color w:val="231F20"/>
                      <w:spacing w:val="-22"/>
                      <w:w w:val="105"/>
                      <w:sz w:val="18"/>
                    </w:rPr>
                    <w:t> </w:t>
                  </w:r>
                  <w:r>
                    <w:rPr>
                      <w:color w:val="231F20"/>
                      <w:w w:val="105"/>
                      <w:sz w:val="18"/>
                    </w:rPr>
                    <w:t>with</w:t>
                  </w:r>
                  <w:r>
                    <w:rPr>
                      <w:color w:val="231F20"/>
                      <w:spacing w:val="-23"/>
                      <w:w w:val="105"/>
                      <w:sz w:val="18"/>
                    </w:rPr>
                    <w:t> </w:t>
                  </w:r>
                  <w:r>
                    <w:rPr>
                      <w:color w:val="231F20"/>
                      <w:w w:val="105"/>
                      <w:sz w:val="18"/>
                    </w:rPr>
                    <w:t>the same</w:t>
                  </w:r>
                  <w:r>
                    <w:rPr>
                      <w:color w:val="231F20"/>
                      <w:spacing w:val="3"/>
                      <w:w w:val="105"/>
                      <w:sz w:val="18"/>
                    </w:rPr>
                    <w:t> </w:t>
                  </w:r>
                  <w:r>
                    <w:rPr>
                      <w:color w:val="231F20"/>
                      <w:w w:val="105"/>
                      <w:sz w:val="18"/>
                    </w:rPr>
                    <w:t>result.</w:t>
                  </w:r>
                </w:p>
                <w:p>
                  <w:pPr>
                    <w:spacing w:line="254" w:lineRule="auto" w:before="9"/>
                    <w:ind w:left="180" w:right="177" w:firstLine="240"/>
                    <w:jc w:val="both"/>
                    <w:rPr>
                      <w:sz w:val="18"/>
                    </w:rPr>
                  </w:pPr>
                  <w:r>
                    <w:rPr>
                      <w:color w:val="231F20"/>
                      <w:w w:val="105"/>
                      <w:sz w:val="18"/>
                    </w:rPr>
                    <w:t>There are two primary reasons why changes in angio­ tensin II and aldosterone do not have a major effect </w:t>
                  </w:r>
                  <w:r>
                    <w:rPr>
                      <w:color w:val="231F20"/>
                      <w:spacing w:val="-6"/>
                      <w:w w:val="105"/>
                      <w:sz w:val="18"/>
                    </w:rPr>
                    <w:t>on </w:t>
                  </w:r>
                  <w:r>
                    <w:rPr>
                      <w:color w:val="231F20"/>
                      <w:w w:val="105"/>
                      <w:sz w:val="18"/>
                    </w:rPr>
                    <w:t>plasma sodium concentration. First, as discussed earlier, angiotensin II and aldosterone increase both sodium and water</w:t>
                  </w:r>
                  <w:r>
                    <w:rPr>
                      <w:color w:val="231F20"/>
                      <w:spacing w:val="-28"/>
                      <w:w w:val="105"/>
                      <w:sz w:val="18"/>
                    </w:rPr>
                    <w:t> </w:t>
                  </w:r>
                  <w:r>
                    <w:rPr>
                      <w:color w:val="231F20"/>
                      <w:w w:val="105"/>
                      <w:sz w:val="18"/>
                    </w:rPr>
                    <w:t>reabsorption</w:t>
                  </w:r>
                  <w:r>
                    <w:rPr>
                      <w:color w:val="231F20"/>
                      <w:spacing w:val="-27"/>
                      <w:w w:val="105"/>
                      <w:sz w:val="18"/>
                    </w:rPr>
                    <w:t> </w:t>
                  </w:r>
                  <w:r>
                    <w:rPr>
                      <w:color w:val="231F20"/>
                      <w:w w:val="105"/>
                      <w:sz w:val="18"/>
                    </w:rPr>
                    <w:t>by</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renal</w:t>
                  </w:r>
                  <w:r>
                    <w:rPr>
                      <w:color w:val="231F20"/>
                      <w:spacing w:val="-27"/>
                      <w:w w:val="105"/>
                      <w:sz w:val="18"/>
                    </w:rPr>
                    <w:t> </w:t>
                  </w:r>
                  <w:r>
                    <w:rPr>
                      <w:color w:val="231F20"/>
                      <w:w w:val="105"/>
                      <w:sz w:val="18"/>
                    </w:rPr>
                    <w:t>tubules,</w:t>
                  </w:r>
                  <w:r>
                    <w:rPr>
                      <w:color w:val="231F20"/>
                      <w:spacing w:val="-27"/>
                      <w:w w:val="105"/>
                      <w:sz w:val="18"/>
                    </w:rPr>
                    <w:t> </w:t>
                  </w:r>
                  <w:r>
                    <w:rPr>
                      <w:color w:val="231F20"/>
                      <w:w w:val="105"/>
                      <w:sz w:val="18"/>
                    </w:rPr>
                    <w:t>leading</w:t>
                  </w:r>
                  <w:r>
                    <w:rPr>
                      <w:color w:val="231F20"/>
                      <w:spacing w:val="-27"/>
                      <w:w w:val="105"/>
                      <w:sz w:val="18"/>
                    </w:rPr>
                    <w:t> </w:t>
                  </w:r>
                  <w:r>
                    <w:rPr>
                      <w:color w:val="231F20"/>
                      <w:w w:val="105"/>
                      <w:sz w:val="18"/>
                    </w:rPr>
                    <w:t>to</w:t>
                  </w:r>
                  <w:r>
                    <w:rPr>
                      <w:color w:val="231F20"/>
                      <w:spacing w:val="-27"/>
                      <w:w w:val="105"/>
                      <w:sz w:val="18"/>
                    </w:rPr>
                    <w:t> </w:t>
                  </w:r>
                  <w:r>
                    <w:rPr>
                      <w:color w:val="231F20"/>
                      <w:w w:val="105"/>
                      <w:sz w:val="18"/>
                    </w:rPr>
                    <w:t>increases in</w:t>
                  </w:r>
                  <w:r>
                    <w:rPr>
                      <w:color w:val="231F20"/>
                      <w:spacing w:val="-15"/>
                      <w:w w:val="105"/>
                      <w:sz w:val="18"/>
                    </w:rPr>
                    <w:t> </w:t>
                  </w:r>
                  <w:r>
                    <w:rPr>
                      <w:color w:val="231F20"/>
                      <w:w w:val="105"/>
                      <w:sz w:val="18"/>
                    </w:rPr>
                    <w:t>extracellular</w:t>
                  </w:r>
                  <w:r>
                    <w:rPr>
                      <w:color w:val="231F20"/>
                      <w:spacing w:val="-15"/>
                      <w:w w:val="105"/>
                      <w:sz w:val="18"/>
                    </w:rPr>
                    <w:t> </w:t>
                  </w:r>
                  <w:r>
                    <w:rPr>
                      <w:color w:val="231F20"/>
                      <w:w w:val="105"/>
                      <w:sz w:val="18"/>
                    </w:rPr>
                    <w:t>fluid</w:t>
                  </w:r>
                  <w:r>
                    <w:rPr>
                      <w:color w:val="231F20"/>
                      <w:spacing w:val="-15"/>
                      <w:w w:val="105"/>
                      <w:sz w:val="18"/>
                    </w:rPr>
                    <w:t> </w:t>
                  </w:r>
                  <w:r>
                    <w:rPr>
                      <w:color w:val="231F20"/>
                      <w:w w:val="105"/>
                      <w:sz w:val="18"/>
                    </w:rPr>
                    <w:t>volume</w:t>
                  </w:r>
                  <w:r>
                    <w:rPr>
                      <w:color w:val="231F20"/>
                      <w:spacing w:val="-15"/>
                      <w:w w:val="105"/>
                      <w:sz w:val="18"/>
                    </w:rPr>
                    <w:t> </w:t>
                  </w:r>
                  <w:r>
                    <w:rPr>
                      <w:color w:val="231F20"/>
                      <w:w w:val="105"/>
                      <w:sz w:val="18"/>
                    </w:rPr>
                    <w:t>and</w:t>
                  </w:r>
                  <w:r>
                    <w:rPr>
                      <w:color w:val="231F20"/>
                      <w:spacing w:val="-15"/>
                      <w:w w:val="105"/>
                      <w:sz w:val="18"/>
                    </w:rPr>
                    <w:t> </w:t>
                  </w:r>
                  <w:r>
                    <w:rPr>
                      <w:color w:val="231F20"/>
                      <w:w w:val="105"/>
                      <w:sz w:val="18"/>
                    </w:rPr>
                    <w:t>sodium</w:t>
                  </w:r>
                  <w:r>
                    <w:rPr>
                      <w:color w:val="231F20"/>
                      <w:spacing w:val="-15"/>
                      <w:w w:val="105"/>
                      <w:sz w:val="18"/>
                    </w:rPr>
                    <w:t> </w:t>
                  </w:r>
                  <w:r>
                    <w:rPr>
                      <w:i/>
                      <w:color w:val="231F20"/>
                      <w:w w:val="105"/>
                      <w:sz w:val="18"/>
                    </w:rPr>
                    <w:t>quantity</w:t>
                  </w:r>
                  <w:r>
                    <w:rPr>
                      <w:i/>
                      <w:color w:val="231F20"/>
                      <w:spacing w:val="-15"/>
                      <w:w w:val="105"/>
                      <w:sz w:val="18"/>
                    </w:rPr>
                    <w:t> </w:t>
                  </w:r>
                  <w:r>
                    <w:rPr>
                      <w:color w:val="231F20"/>
                      <w:w w:val="105"/>
                      <w:sz w:val="18"/>
                    </w:rPr>
                    <w:t>but</w:t>
                  </w:r>
                  <w:r>
                    <w:rPr>
                      <w:color w:val="231F20"/>
                      <w:spacing w:val="-15"/>
                      <w:w w:val="105"/>
                      <w:sz w:val="18"/>
                    </w:rPr>
                    <w:t> </w:t>
                  </w:r>
                  <w:r>
                    <w:rPr>
                      <w:color w:val="231F20"/>
                      <w:w w:val="105"/>
                      <w:sz w:val="18"/>
                    </w:rPr>
                    <w:t>little change in sodium </w:t>
                  </w:r>
                  <w:r>
                    <w:rPr>
                      <w:i/>
                      <w:color w:val="231F20"/>
                      <w:w w:val="105"/>
                      <w:sz w:val="18"/>
                    </w:rPr>
                    <w:t>concentration. </w:t>
                  </w:r>
                  <w:r>
                    <w:rPr>
                      <w:color w:val="231F20"/>
                      <w:w w:val="105"/>
                      <w:sz w:val="18"/>
                    </w:rPr>
                    <w:t>Second, as long as the ADH­thirst</w:t>
                  </w:r>
                  <w:r>
                    <w:rPr>
                      <w:color w:val="231F20"/>
                      <w:spacing w:val="-19"/>
                      <w:w w:val="105"/>
                      <w:sz w:val="18"/>
                    </w:rPr>
                    <w:t> </w:t>
                  </w:r>
                  <w:r>
                    <w:rPr>
                      <w:color w:val="231F20"/>
                      <w:w w:val="105"/>
                      <w:sz w:val="18"/>
                    </w:rPr>
                    <w:t>mechanism</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functional,</w:t>
                  </w:r>
                  <w:r>
                    <w:rPr>
                      <w:color w:val="231F20"/>
                      <w:spacing w:val="-19"/>
                      <w:w w:val="105"/>
                      <w:sz w:val="18"/>
                    </w:rPr>
                    <w:t> </w:t>
                  </w:r>
                  <w:r>
                    <w:rPr>
                      <w:color w:val="231F20"/>
                      <w:w w:val="105"/>
                      <w:sz w:val="18"/>
                    </w:rPr>
                    <w:t>any</w:t>
                  </w:r>
                  <w:r>
                    <w:rPr>
                      <w:color w:val="231F20"/>
                      <w:spacing w:val="-18"/>
                      <w:w w:val="105"/>
                      <w:sz w:val="18"/>
                    </w:rPr>
                    <w:t> </w:t>
                  </w:r>
                  <w:r>
                    <w:rPr>
                      <w:color w:val="231F20"/>
                      <w:w w:val="105"/>
                      <w:sz w:val="18"/>
                    </w:rPr>
                    <w:t>tendency</w:t>
                  </w:r>
                  <w:r>
                    <w:rPr>
                      <w:color w:val="231F20"/>
                      <w:spacing w:val="-18"/>
                      <w:w w:val="105"/>
                      <w:sz w:val="18"/>
                    </w:rPr>
                    <w:t> </w:t>
                  </w:r>
                  <w:r>
                    <w:rPr>
                      <w:color w:val="231F20"/>
                      <w:w w:val="105"/>
                      <w:sz w:val="18"/>
                    </w:rPr>
                    <w:t>toward</w:t>
                  </w:r>
                </w:p>
              </w:txbxContent>
            </v:textbox>
            <v:fill type="solid"/>
            <w10:wrap type="none"/>
          </v:shape>
        </w:pict>
      </w:r>
      <w:bookmarkStart w:name="_bookmark81" w:id="82"/>
      <w:bookmarkEnd w:id="82"/>
      <w:r>
        <w:rPr/>
      </w:r>
      <w:r>
        <w:rPr>
          <w:rFonts w:ascii="Trebuchet MS"/>
          <w:b/>
          <w:color w:val="231F20"/>
          <w:sz w:val="16"/>
        </w:rPr>
        <w:t>Figure</w:t>
      </w:r>
      <w:r>
        <w:rPr>
          <w:rFonts w:ascii="Trebuchet MS"/>
          <w:b/>
          <w:color w:val="231F20"/>
          <w:spacing w:val="-14"/>
          <w:sz w:val="16"/>
        </w:rPr>
        <w:t> </w:t>
      </w:r>
      <w:r>
        <w:rPr>
          <w:rFonts w:ascii="Trebuchet MS"/>
          <w:b/>
          <w:color w:val="231F20"/>
          <w:sz w:val="16"/>
        </w:rPr>
        <w:t>29-13.</w:t>
      </w:r>
      <w:r>
        <w:rPr>
          <w:rFonts w:ascii="Trebuchet MS"/>
          <w:b/>
          <w:color w:val="231F20"/>
          <w:spacing w:val="5"/>
          <w:sz w:val="16"/>
        </w:rPr>
        <w:t> </w:t>
      </w:r>
      <w:r>
        <w:rPr>
          <w:rFonts w:ascii="Arial"/>
          <w:color w:val="231F20"/>
          <w:sz w:val="16"/>
        </w:rPr>
        <w:t>Effect</w:t>
      </w:r>
      <w:r>
        <w:rPr>
          <w:rFonts w:ascii="Arial"/>
          <w:color w:val="231F20"/>
          <w:spacing w:val="-10"/>
          <w:sz w:val="16"/>
        </w:rPr>
        <w:t> </w:t>
      </w:r>
      <w:r>
        <w:rPr>
          <w:rFonts w:ascii="Arial"/>
          <w:color w:val="231F20"/>
          <w:sz w:val="16"/>
        </w:rPr>
        <w:t>of</w:t>
      </w:r>
      <w:r>
        <w:rPr>
          <w:rFonts w:ascii="Arial"/>
          <w:color w:val="231F20"/>
          <w:spacing w:val="-10"/>
          <w:sz w:val="16"/>
        </w:rPr>
        <w:t> </w:t>
      </w:r>
      <w:r>
        <w:rPr>
          <w:rFonts w:ascii="Arial"/>
          <w:color w:val="231F20"/>
          <w:sz w:val="16"/>
        </w:rPr>
        <w:t>large</w:t>
      </w:r>
      <w:r>
        <w:rPr>
          <w:rFonts w:ascii="Arial"/>
          <w:color w:val="231F20"/>
          <w:spacing w:val="-10"/>
          <w:sz w:val="16"/>
        </w:rPr>
        <w:t> </w:t>
      </w:r>
      <w:r>
        <w:rPr>
          <w:rFonts w:ascii="Arial"/>
          <w:color w:val="231F20"/>
          <w:sz w:val="16"/>
        </w:rPr>
        <w:t>changes</w:t>
      </w:r>
      <w:r>
        <w:rPr>
          <w:rFonts w:ascii="Arial"/>
          <w:color w:val="231F20"/>
          <w:spacing w:val="-10"/>
          <w:sz w:val="16"/>
        </w:rPr>
        <w:t> </w:t>
      </w:r>
      <w:r>
        <w:rPr>
          <w:rFonts w:ascii="Arial"/>
          <w:color w:val="231F20"/>
          <w:sz w:val="16"/>
        </w:rPr>
        <w:t>in</w:t>
      </w:r>
      <w:r>
        <w:rPr>
          <w:rFonts w:ascii="Arial"/>
          <w:color w:val="231F20"/>
          <w:spacing w:val="-10"/>
          <w:sz w:val="16"/>
        </w:rPr>
        <w:t> </w:t>
      </w:r>
      <w:r>
        <w:rPr>
          <w:rFonts w:ascii="Arial"/>
          <w:color w:val="231F20"/>
          <w:sz w:val="16"/>
        </w:rPr>
        <w:t>sodium</w:t>
      </w:r>
      <w:r>
        <w:rPr>
          <w:rFonts w:ascii="Arial"/>
          <w:color w:val="231F20"/>
          <w:spacing w:val="-10"/>
          <w:sz w:val="16"/>
        </w:rPr>
        <w:t> </w:t>
      </w:r>
      <w:r>
        <w:rPr>
          <w:rFonts w:ascii="Arial"/>
          <w:color w:val="231F20"/>
          <w:sz w:val="16"/>
        </w:rPr>
        <w:t>intake</w:t>
      </w:r>
      <w:r>
        <w:rPr>
          <w:rFonts w:ascii="Arial"/>
          <w:color w:val="231F20"/>
          <w:spacing w:val="-10"/>
          <w:sz w:val="16"/>
        </w:rPr>
        <w:t> </w:t>
      </w:r>
      <w:r>
        <w:rPr>
          <w:rFonts w:ascii="Arial"/>
          <w:color w:val="231F20"/>
          <w:sz w:val="16"/>
        </w:rPr>
        <w:t>on</w:t>
      </w:r>
      <w:r>
        <w:rPr>
          <w:rFonts w:ascii="Arial"/>
          <w:color w:val="231F20"/>
          <w:spacing w:val="-10"/>
          <w:sz w:val="16"/>
        </w:rPr>
        <w:t> </w:t>
      </w:r>
      <w:r>
        <w:rPr>
          <w:rFonts w:ascii="Arial"/>
          <w:color w:val="231F20"/>
          <w:spacing w:val="-3"/>
          <w:sz w:val="16"/>
        </w:rPr>
        <w:t>extracel- </w:t>
      </w:r>
      <w:r>
        <w:rPr>
          <w:rFonts w:ascii="Arial"/>
          <w:color w:val="231F20"/>
          <w:sz w:val="16"/>
        </w:rPr>
        <w:t>lular</w:t>
      </w:r>
      <w:r>
        <w:rPr>
          <w:rFonts w:ascii="Arial"/>
          <w:color w:val="231F20"/>
          <w:spacing w:val="-22"/>
          <w:sz w:val="16"/>
        </w:rPr>
        <w:t> </w:t>
      </w:r>
      <w:r>
        <w:rPr>
          <w:rFonts w:ascii="Arial"/>
          <w:color w:val="231F20"/>
          <w:sz w:val="16"/>
        </w:rPr>
        <w:t>fluid</w:t>
      </w:r>
      <w:r>
        <w:rPr>
          <w:rFonts w:ascii="Arial"/>
          <w:color w:val="231F20"/>
          <w:spacing w:val="-21"/>
          <w:sz w:val="16"/>
        </w:rPr>
        <w:t> </w:t>
      </w:r>
      <w:r>
        <w:rPr>
          <w:rFonts w:ascii="Arial"/>
          <w:color w:val="231F20"/>
          <w:sz w:val="16"/>
        </w:rPr>
        <w:t>sodium</w:t>
      </w:r>
      <w:r>
        <w:rPr>
          <w:rFonts w:ascii="Arial"/>
          <w:color w:val="231F20"/>
          <w:spacing w:val="-21"/>
          <w:sz w:val="16"/>
        </w:rPr>
        <w:t> </w:t>
      </w:r>
      <w:r>
        <w:rPr>
          <w:rFonts w:ascii="Arial"/>
          <w:color w:val="231F20"/>
          <w:sz w:val="16"/>
        </w:rPr>
        <w:t>concentration</w:t>
      </w:r>
      <w:r>
        <w:rPr>
          <w:rFonts w:ascii="Arial"/>
          <w:color w:val="231F20"/>
          <w:spacing w:val="-21"/>
          <w:sz w:val="16"/>
        </w:rPr>
        <w:t> </w:t>
      </w:r>
      <w:r>
        <w:rPr>
          <w:rFonts w:ascii="Arial"/>
          <w:color w:val="231F20"/>
          <w:sz w:val="16"/>
        </w:rPr>
        <w:t>in</w:t>
      </w:r>
      <w:r>
        <w:rPr>
          <w:rFonts w:ascii="Arial"/>
          <w:color w:val="231F20"/>
          <w:spacing w:val="-21"/>
          <w:sz w:val="16"/>
        </w:rPr>
        <w:t> </w:t>
      </w:r>
      <w:r>
        <w:rPr>
          <w:rFonts w:ascii="Arial"/>
          <w:color w:val="231F20"/>
          <w:sz w:val="16"/>
        </w:rPr>
        <w:t>dogs</w:t>
      </w:r>
      <w:r>
        <w:rPr>
          <w:rFonts w:ascii="Arial"/>
          <w:color w:val="231F20"/>
          <w:spacing w:val="-21"/>
          <w:sz w:val="16"/>
        </w:rPr>
        <w:t> </w:t>
      </w:r>
      <w:r>
        <w:rPr>
          <w:rFonts w:ascii="Arial"/>
          <w:color w:val="231F20"/>
          <w:sz w:val="16"/>
        </w:rPr>
        <w:t>under</w:t>
      </w:r>
      <w:r>
        <w:rPr>
          <w:rFonts w:ascii="Arial"/>
          <w:color w:val="231F20"/>
          <w:spacing w:val="-21"/>
          <w:sz w:val="16"/>
        </w:rPr>
        <w:t> </w:t>
      </w:r>
      <w:r>
        <w:rPr>
          <w:rFonts w:ascii="Arial"/>
          <w:color w:val="231F20"/>
          <w:sz w:val="16"/>
        </w:rPr>
        <w:t>normal</w:t>
      </w:r>
      <w:r>
        <w:rPr>
          <w:rFonts w:ascii="Arial"/>
          <w:color w:val="231F20"/>
          <w:spacing w:val="-22"/>
          <w:sz w:val="16"/>
        </w:rPr>
        <w:t> </w:t>
      </w:r>
      <w:r>
        <w:rPr>
          <w:rFonts w:ascii="Arial"/>
          <w:color w:val="231F20"/>
          <w:sz w:val="16"/>
        </w:rPr>
        <w:t>conditions</w:t>
      </w:r>
      <w:r>
        <w:rPr>
          <w:rFonts w:ascii="Arial"/>
          <w:color w:val="231F20"/>
          <w:spacing w:val="-21"/>
          <w:sz w:val="16"/>
        </w:rPr>
        <w:t> </w:t>
      </w:r>
      <w:r>
        <w:rPr>
          <w:rFonts w:ascii="Arial"/>
          <w:color w:val="231F20"/>
          <w:spacing w:val="-4"/>
          <w:sz w:val="16"/>
        </w:rPr>
        <w:t>(</w:t>
      </w:r>
      <w:r>
        <w:rPr>
          <w:rFonts w:ascii="Lucida Sans"/>
          <w:i/>
          <w:color w:val="231F20"/>
          <w:spacing w:val="-4"/>
          <w:sz w:val="16"/>
        </w:rPr>
        <w:t>red </w:t>
      </w:r>
      <w:r>
        <w:rPr>
          <w:rFonts w:ascii="Lucida Sans"/>
          <w:i/>
          <w:color w:val="231F20"/>
          <w:sz w:val="16"/>
        </w:rPr>
        <w:t>line</w:t>
      </w:r>
      <w:r>
        <w:rPr>
          <w:rFonts w:ascii="Arial"/>
          <w:color w:val="231F20"/>
          <w:sz w:val="16"/>
        </w:rPr>
        <w:t>) and after the aldosterone feedback system had been</w:t>
      </w:r>
      <w:r>
        <w:rPr>
          <w:rFonts w:ascii="Arial"/>
          <w:color w:val="231F20"/>
          <w:spacing w:val="-18"/>
          <w:sz w:val="16"/>
        </w:rPr>
        <w:t> </w:t>
      </w:r>
      <w:r>
        <w:rPr>
          <w:rFonts w:ascii="Arial"/>
          <w:color w:val="231F20"/>
          <w:spacing w:val="-3"/>
          <w:sz w:val="16"/>
        </w:rPr>
        <w:t>blocked </w:t>
      </w:r>
      <w:r>
        <w:rPr>
          <w:rFonts w:ascii="Arial"/>
          <w:color w:val="231F20"/>
          <w:sz w:val="16"/>
        </w:rPr>
        <w:t>(</w:t>
      </w:r>
      <w:r>
        <w:rPr>
          <w:rFonts w:ascii="Lucida Sans"/>
          <w:i/>
          <w:color w:val="231F20"/>
          <w:sz w:val="16"/>
        </w:rPr>
        <w:t>blue line</w:t>
      </w:r>
      <w:r>
        <w:rPr>
          <w:rFonts w:ascii="Arial"/>
          <w:color w:val="231F20"/>
          <w:sz w:val="16"/>
        </w:rPr>
        <w:t>). Note that sodium concentration is maintained</w:t>
      </w:r>
      <w:r>
        <w:rPr>
          <w:rFonts w:ascii="Arial"/>
          <w:color w:val="231F20"/>
          <w:spacing w:val="-31"/>
          <w:sz w:val="16"/>
        </w:rPr>
        <w:t> </w:t>
      </w:r>
      <w:r>
        <w:rPr>
          <w:rFonts w:ascii="Arial"/>
          <w:color w:val="231F20"/>
          <w:spacing w:val="-3"/>
          <w:sz w:val="16"/>
        </w:rPr>
        <w:t>relatively </w:t>
      </w:r>
      <w:r>
        <w:rPr>
          <w:rFonts w:ascii="Arial"/>
          <w:color w:val="231F20"/>
          <w:sz w:val="16"/>
        </w:rPr>
        <w:t>constant over this wide range of sodium intakes, with or without aldosterone</w:t>
      </w:r>
      <w:r>
        <w:rPr>
          <w:rFonts w:ascii="Arial"/>
          <w:color w:val="231F20"/>
          <w:spacing w:val="-13"/>
          <w:sz w:val="16"/>
        </w:rPr>
        <w:t> </w:t>
      </w:r>
      <w:r>
        <w:rPr>
          <w:rFonts w:ascii="Arial"/>
          <w:color w:val="231F20"/>
          <w:sz w:val="16"/>
        </w:rPr>
        <w:t>feedback</w:t>
      </w:r>
      <w:r>
        <w:rPr>
          <w:rFonts w:ascii="Arial"/>
          <w:color w:val="231F20"/>
          <w:spacing w:val="-13"/>
          <w:sz w:val="16"/>
        </w:rPr>
        <w:t> </w:t>
      </w:r>
      <w:r>
        <w:rPr>
          <w:rFonts w:ascii="Arial"/>
          <w:color w:val="231F20"/>
          <w:sz w:val="16"/>
        </w:rPr>
        <w:t>control.</w:t>
      </w:r>
      <w:r>
        <w:rPr>
          <w:rFonts w:ascii="Arial"/>
          <w:color w:val="231F20"/>
          <w:spacing w:val="-13"/>
          <w:sz w:val="16"/>
        </w:rPr>
        <w:t> </w:t>
      </w:r>
      <w:r>
        <w:rPr>
          <w:rFonts w:ascii="Lucida Sans"/>
          <w:i/>
          <w:color w:val="231F20"/>
          <w:sz w:val="16"/>
        </w:rPr>
        <w:t>(Courtesy</w:t>
      </w:r>
      <w:r>
        <w:rPr>
          <w:rFonts w:ascii="Lucida Sans"/>
          <w:i/>
          <w:color w:val="231F20"/>
          <w:spacing w:val="-19"/>
          <w:sz w:val="16"/>
        </w:rPr>
        <w:t> </w:t>
      </w:r>
      <w:r>
        <w:rPr>
          <w:rFonts w:ascii="Lucida Sans"/>
          <w:i/>
          <w:color w:val="231F20"/>
          <w:spacing w:val="-5"/>
          <w:sz w:val="16"/>
        </w:rPr>
        <w:t>Dr.</w:t>
      </w:r>
      <w:r>
        <w:rPr>
          <w:rFonts w:ascii="Lucida Sans"/>
          <w:i/>
          <w:color w:val="231F20"/>
          <w:spacing w:val="-19"/>
          <w:sz w:val="16"/>
        </w:rPr>
        <w:t> </w:t>
      </w:r>
      <w:r>
        <w:rPr>
          <w:rFonts w:ascii="Lucida Sans"/>
          <w:i/>
          <w:color w:val="231F20"/>
          <w:sz w:val="16"/>
        </w:rPr>
        <w:t>David</w:t>
      </w:r>
      <w:r>
        <w:rPr>
          <w:rFonts w:ascii="Lucida Sans"/>
          <w:i/>
          <w:color w:val="231F20"/>
          <w:spacing w:val="-19"/>
          <w:sz w:val="16"/>
        </w:rPr>
        <w:t> </w:t>
      </w:r>
      <w:r>
        <w:rPr>
          <w:rFonts w:ascii="Lucida Sans"/>
          <w:i/>
          <w:color w:val="231F20"/>
          <w:sz w:val="16"/>
        </w:rPr>
        <w:t>B.</w:t>
      </w:r>
      <w:r>
        <w:rPr>
          <w:rFonts w:ascii="Lucida Sans"/>
          <w:i/>
          <w:color w:val="231F20"/>
          <w:spacing w:val="-19"/>
          <w:sz w:val="16"/>
        </w:rPr>
        <w:t> </w:t>
      </w:r>
      <w:r>
        <w:rPr>
          <w:rFonts w:ascii="Lucida Sans"/>
          <w:i/>
          <w:color w:val="231F20"/>
          <w:sz w:val="16"/>
        </w:rPr>
        <w:t>Young.)</w:t>
      </w:r>
    </w:p>
    <w:p>
      <w:pPr>
        <w:spacing w:line="254" w:lineRule="auto" w:before="0"/>
        <w:ind w:left="499" w:right="1617" w:firstLine="0"/>
        <w:jc w:val="both"/>
        <w:rPr>
          <w:sz w:val="18"/>
        </w:rPr>
      </w:pPr>
      <w:r>
        <w:rPr/>
        <w:br w:type="column"/>
      </w:r>
      <w:r>
        <w:rPr>
          <w:color w:val="231F20"/>
          <w:sz w:val="18"/>
        </w:rPr>
        <w:t>patients with </w:t>
      </w:r>
      <w:r>
        <w:rPr>
          <w:color w:val="231F20"/>
          <w:spacing w:val="-3"/>
          <w:sz w:val="18"/>
        </w:rPr>
        <w:t>Addison’s </w:t>
      </w:r>
      <w:r>
        <w:rPr>
          <w:color w:val="231F20"/>
          <w:sz w:val="18"/>
        </w:rPr>
        <w:t>disease (severely impaired secre­ tion or total lack of aldosterone), there is tremendous loss of sodium by the kidneys, which can lead to reductions in plasma sodium concentration. One of the reasons for this   is that large losses of sodium eventually cause severe volume depletion and decreased blood pressure, which can activate the thirst mechanism through the cardiovascular reflexes. This activation leads to a further dilution of the plasma sodium concentration, even though the increased water intake helps to minimize the decrease in body fluid volumes under these</w:t>
      </w:r>
      <w:r>
        <w:rPr>
          <w:color w:val="231F20"/>
          <w:spacing w:val="23"/>
          <w:sz w:val="18"/>
        </w:rPr>
        <w:t> </w:t>
      </w:r>
      <w:r>
        <w:rPr>
          <w:color w:val="231F20"/>
          <w:sz w:val="18"/>
        </w:rPr>
        <w:t>conditions.</w:t>
      </w:r>
    </w:p>
    <w:p>
      <w:pPr>
        <w:spacing w:line="254" w:lineRule="auto" w:before="6"/>
        <w:ind w:left="499" w:right="1617" w:firstLine="239"/>
        <w:jc w:val="both"/>
        <w:rPr>
          <w:sz w:val="18"/>
        </w:rPr>
      </w:pPr>
      <w:r>
        <w:rPr>
          <w:color w:val="231F20"/>
          <w:w w:val="105"/>
          <w:sz w:val="18"/>
        </w:rPr>
        <w:t>Thus,</w:t>
      </w:r>
      <w:r>
        <w:rPr>
          <w:color w:val="231F20"/>
          <w:spacing w:val="-11"/>
          <w:w w:val="105"/>
          <w:sz w:val="18"/>
        </w:rPr>
        <w:t> </w:t>
      </w:r>
      <w:r>
        <w:rPr>
          <w:color w:val="231F20"/>
          <w:w w:val="105"/>
          <w:sz w:val="18"/>
        </w:rPr>
        <w:t>extreme</w:t>
      </w:r>
      <w:r>
        <w:rPr>
          <w:color w:val="231F20"/>
          <w:spacing w:val="-10"/>
          <w:w w:val="105"/>
          <w:sz w:val="18"/>
        </w:rPr>
        <w:t> </w:t>
      </w:r>
      <w:r>
        <w:rPr>
          <w:color w:val="231F20"/>
          <w:w w:val="105"/>
          <w:sz w:val="18"/>
        </w:rPr>
        <w:t>situations</w:t>
      </w:r>
      <w:r>
        <w:rPr>
          <w:color w:val="231F20"/>
          <w:spacing w:val="-11"/>
          <w:w w:val="105"/>
          <w:sz w:val="18"/>
        </w:rPr>
        <w:t> </w:t>
      </w:r>
      <w:r>
        <w:rPr>
          <w:color w:val="231F20"/>
          <w:w w:val="105"/>
          <w:sz w:val="18"/>
        </w:rPr>
        <w:t>exist</w:t>
      </w:r>
      <w:r>
        <w:rPr>
          <w:color w:val="231F20"/>
          <w:spacing w:val="-10"/>
          <w:w w:val="105"/>
          <w:sz w:val="18"/>
        </w:rPr>
        <w:t> </w:t>
      </w:r>
      <w:r>
        <w:rPr>
          <w:color w:val="231F20"/>
          <w:w w:val="105"/>
          <w:sz w:val="18"/>
        </w:rPr>
        <w:t>in</w:t>
      </w:r>
      <w:r>
        <w:rPr>
          <w:color w:val="231F20"/>
          <w:spacing w:val="-11"/>
          <w:w w:val="105"/>
          <w:sz w:val="18"/>
        </w:rPr>
        <w:t> </w:t>
      </w:r>
      <w:r>
        <w:rPr>
          <w:color w:val="231F20"/>
          <w:w w:val="105"/>
          <w:sz w:val="18"/>
        </w:rPr>
        <w:t>which</w:t>
      </w:r>
      <w:r>
        <w:rPr>
          <w:color w:val="231F20"/>
          <w:spacing w:val="-10"/>
          <w:w w:val="105"/>
          <w:sz w:val="18"/>
        </w:rPr>
        <w:t> </w:t>
      </w:r>
      <w:r>
        <w:rPr>
          <w:color w:val="231F20"/>
          <w:w w:val="105"/>
          <w:sz w:val="18"/>
        </w:rPr>
        <w:t>plasma</w:t>
      </w:r>
      <w:r>
        <w:rPr>
          <w:color w:val="231F20"/>
          <w:spacing w:val="-10"/>
          <w:w w:val="105"/>
          <w:sz w:val="18"/>
        </w:rPr>
        <w:t> </w:t>
      </w:r>
      <w:r>
        <w:rPr>
          <w:color w:val="231F20"/>
          <w:w w:val="105"/>
          <w:sz w:val="18"/>
        </w:rPr>
        <w:t>sodium concentration</w:t>
      </w:r>
      <w:r>
        <w:rPr>
          <w:color w:val="231F20"/>
          <w:spacing w:val="-11"/>
          <w:w w:val="105"/>
          <w:sz w:val="18"/>
        </w:rPr>
        <w:t> </w:t>
      </w:r>
      <w:r>
        <w:rPr>
          <w:color w:val="231F20"/>
          <w:w w:val="105"/>
          <w:sz w:val="18"/>
        </w:rPr>
        <w:t>may</w:t>
      </w:r>
      <w:r>
        <w:rPr>
          <w:color w:val="231F20"/>
          <w:spacing w:val="-11"/>
          <w:w w:val="105"/>
          <w:sz w:val="18"/>
        </w:rPr>
        <w:t> </w:t>
      </w:r>
      <w:r>
        <w:rPr>
          <w:color w:val="231F20"/>
          <w:w w:val="105"/>
          <w:sz w:val="18"/>
        </w:rPr>
        <w:t>change</w:t>
      </w:r>
      <w:r>
        <w:rPr>
          <w:color w:val="231F20"/>
          <w:spacing w:val="-10"/>
          <w:w w:val="105"/>
          <w:sz w:val="18"/>
        </w:rPr>
        <w:t> </w:t>
      </w:r>
      <w:r>
        <w:rPr>
          <w:color w:val="231F20"/>
          <w:w w:val="105"/>
          <w:sz w:val="18"/>
        </w:rPr>
        <w:t>significantly,</w:t>
      </w:r>
      <w:r>
        <w:rPr>
          <w:color w:val="231F20"/>
          <w:spacing w:val="-11"/>
          <w:w w:val="105"/>
          <w:sz w:val="18"/>
        </w:rPr>
        <w:t> </w:t>
      </w:r>
      <w:r>
        <w:rPr>
          <w:color w:val="231F20"/>
          <w:w w:val="105"/>
          <w:sz w:val="18"/>
        </w:rPr>
        <w:t>even</w:t>
      </w:r>
      <w:r>
        <w:rPr>
          <w:color w:val="231F20"/>
          <w:spacing w:val="-11"/>
          <w:w w:val="105"/>
          <w:sz w:val="18"/>
        </w:rPr>
        <w:t> </w:t>
      </w:r>
      <w:r>
        <w:rPr>
          <w:color w:val="231F20"/>
          <w:w w:val="105"/>
          <w:sz w:val="18"/>
        </w:rPr>
        <w:t>with</w:t>
      </w:r>
      <w:r>
        <w:rPr>
          <w:color w:val="231F20"/>
          <w:spacing w:val="-10"/>
          <w:w w:val="105"/>
          <w:sz w:val="18"/>
        </w:rPr>
        <w:t> </w:t>
      </w:r>
      <w:r>
        <w:rPr>
          <w:color w:val="231F20"/>
          <w:w w:val="105"/>
          <w:sz w:val="18"/>
        </w:rPr>
        <w:t>a</w:t>
      </w:r>
      <w:r>
        <w:rPr>
          <w:color w:val="231F20"/>
          <w:spacing w:val="-11"/>
          <w:w w:val="105"/>
          <w:sz w:val="18"/>
        </w:rPr>
        <w:t> </w:t>
      </w:r>
      <w:r>
        <w:rPr>
          <w:color w:val="231F20"/>
          <w:w w:val="105"/>
          <w:sz w:val="18"/>
        </w:rPr>
        <w:t>func­ tional ADH­thirst mechanism. Even so, the ADH­thirst mechanism</w:t>
      </w:r>
      <w:r>
        <w:rPr>
          <w:color w:val="231F20"/>
          <w:spacing w:val="-15"/>
          <w:w w:val="105"/>
          <w:sz w:val="18"/>
        </w:rPr>
        <w:t> </w:t>
      </w:r>
      <w:r>
        <w:rPr>
          <w:color w:val="231F20"/>
          <w:w w:val="105"/>
          <w:sz w:val="18"/>
        </w:rPr>
        <w:t>is</w:t>
      </w:r>
      <w:r>
        <w:rPr>
          <w:color w:val="231F20"/>
          <w:spacing w:val="-15"/>
          <w:w w:val="105"/>
          <w:sz w:val="18"/>
        </w:rPr>
        <w:t> </w:t>
      </w:r>
      <w:r>
        <w:rPr>
          <w:color w:val="231F20"/>
          <w:w w:val="105"/>
          <w:sz w:val="18"/>
        </w:rPr>
        <w:t>by</w:t>
      </w:r>
      <w:r>
        <w:rPr>
          <w:color w:val="231F20"/>
          <w:spacing w:val="-15"/>
          <w:w w:val="105"/>
          <w:sz w:val="18"/>
        </w:rPr>
        <w:t> </w:t>
      </w:r>
      <w:r>
        <w:rPr>
          <w:color w:val="231F20"/>
          <w:w w:val="105"/>
          <w:sz w:val="18"/>
        </w:rPr>
        <w:t>far</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most</w:t>
      </w:r>
      <w:r>
        <w:rPr>
          <w:color w:val="231F20"/>
          <w:spacing w:val="-15"/>
          <w:w w:val="105"/>
          <w:sz w:val="18"/>
        </w:rPr>
        <w:t> </w:t>
      </w:r>
      <w:r>
        <w:rPr>
          <w:color w:val="231F20"/>
          <w:w w:val="105"/>
          <w:sz w:val="18"/>
        </w:rPr>
        <w:t>powerful</w:t>
      </w:r>
      <w:r>
        <w:rPr>
          <w:color w:val="231F20"/>
          <w:spacing w:val="-15"/>
          <w:w w:val="105"/>
          <w:sz w:val="18"/>
        </w:rPr>
        <w:t> </w:t>
      </w:r>
      <w:r>
        <w:rPr>
          <w:color w:val="231F20"/>
          <w:w w:val="105"/>
          <w:sz w:val="18"/>
        </w:rPr>
        <w:t>feedback</w:t>
      </w:r>
      <w:r>
        <w:rPr>
          <w:color w:val="231F20"/>
          <w:spacing w:val="-15"/>
          <w:w w:val="105"/>
          <w:sz w:val="18"/>
        </w:rPr>
        <w:t> </w:t>
      </w:r>
      <w:r>
        <w:rPr>
          <w:color w:val="231F20"/>
          <w:w w:val="105"/>
          <w:sz w:val="18"/>
        </w:rPr>
        <w:t>system</w:t>
      </w:r>
      <w:r>
        <w:rPr>
          <w:color w:val="231F20"/>
          <w:spacing w:val="-15"/>
          <w:w w:val="105"/>
          <w:sz w:val="18"/>
        </w:rPr>
        <w:t> </w:t>
      </w:r>
      <w:r>
        <w:rPr>
          <w:color w:val="231F20"/>
          <w:w w:val="105"/>
          <w:sz w:val="18"/>
        </w:rPr>
        <w:t>in the</w:t>
      </w:r>
      <w:r>
        <w:rPr>
          <w:color w:val="231F20"/>
          <w:spacing w:val="-9"/>
          <w:w w:val="105"/>
          <w:sz w:val="18"/>
        </w:rPr>
        <w:t> </w:t>
      </w:r>
      <w:r>
        <w:rPr>
          <w:color w:val="231F20"/>
          <w:w w:val="105"/>
          <w:sz w:val="18"/>
        </w:rPr>
        <w:t>body</w:t>
      </w:r>
      <w:r>
        <w:rPr>
          <w:color w:val="231F20"/>
          <w:spacing w:val="-8"/>
          <w:w w:val="105"/>
          <w:sz w:val="18"/>
        </w:rPr>
        <w:t> </w:t>
      </w:r>
      <w:r>
        <w:rPr>
          <w:color w:val="231F20"/>
          <w:w w:val="105"/>
          <w:sz w:val="18"/>
        </w:rPr>
        <w:t>for</w:t>
      </w:r>
      <w:r>
        <w:rPr>
          <w:color w:val="231F20"/>
          <w:spacing w:val="-8"/>
          <w:w w:val="105"/>
          <w:sz w:val="18"/>
        </w:rPr>
        <w:t> </w:t>
      </w:r>
      <w:r>
        <w:rPr>
          <w:color w:val="231F20"/>
          <w:w w:val="105"/>
          <w:sz w:val="18"/>
        </w:rPr>
        <w:t>controlling</w:t>
      </w:r>
      <w:r>
        <w:rPr>
          <w:color w:val="231F20"/>
          <w:spacing w:val="-9"/>
          <w:w w:val="105"/>
          <w:sz w:val="18"/>
        </w:rPr>
        <w:t> </w:t>
      </w:r>
      <w:r>
        <w:rPr>
          <w:color w:val="231F20"/>
          <w:w w:val="105"/>
          <w:sz w:val="18"/>
        </w:rPr>
        <w:t>extracellular</w:t>
      </w:r>
      <w:r>
        <w:rPr>
          <w:color w:val="231F20"/>
          <w:spacing w:val="-8"/>
          <w:w w:val="105"/>
          <w:sz w:val="18"/>
        </w:rPr>
        <w:t> </w:t>
      </w:r>
      <w:r>
        <w:rPr>
          <w:color w:val="231F20"/>
          <w:w w:val="105"/>
          <w:sz w:val="18"/>
        </w:rPr>
        <w:t>fluid</w:t>
      </w:r>
      <w:r>
        <w:rPr>
          <w:color w:val="231F20"/>
          <w:spacing w:val="-8"/>
          <w:w w:val="105"/>
          <w:sz w:val="18"/>
        </w:rPr>
        <w:t> </w:t>
      </w:r>
      <w:r>
        <w:rPr>
          <w:color w:val="231F20"/>
          <w:w w:val="105"/>
          <w:sz w:val="18"/>
        </w:rPr>
        <w:t>osmolarity</w:t>
      </w:r>
      <w:r>
        <w:rPr>
          <w:color w:val="231F20"/>
          <w:spacing w:val="-9"/>
          <w:w w:val="105"/>
          <w:sz w:val="18"/>
        </w:rPr>
        <w:t> </w:t>
      </w:r>
      <w:r>
        <w:rPr>
          <w:color w:val="231F20"/>
          <w:w w:val="105"/>
          <w:sz w:val="18"/>
        </w:rPr>
        <w:t>and sodium</w:t>
      </w:r>
      <w:r>
        <w:rPr>
          <w:color w:val="231F20"/>
          <w:spacing w:val="3"/>
          <w:w w:val="105"/>
          <w:sz w:val="18"/>
        </w:rPr>
        <w:t> </w:t>
      </w:r>
      <w:r>
        <w:rPr>
          <w:color w:val="231F20"/>
          <w:w w:val="105"/>
          <w:sz w:val="18"/>
        </w:rPr>
        <w:t>concentration.</w:t>
      </w:r>
    </w:p>
    <w:p>
      <w:pPr>
        <w:pStyle w:val="BodyText"/>
        <w:spacing w:before="8"/>
        <w:rPr>
          <w:sz w:val="23"/>
        </w:rPr>
      </w:pPr>
    </w:p>
    <w:p>
      <w:pPr>
        <w:spacing w:line="252" w:lineRule="auto" w:before="0"/>
        <w:ind w:left="499" w:right="2457" w:firstLine="0"/>
        <w:jc w:val="both"/>
        <w:rPr>
          <w:rFonts w:ascii="Trebuchet MS"/>
          <w:b/>
          <w:sz w:val="18"/>
        </w:rPr>
      </w:pPr>
      <w:r>
        <w:rPr>
          <w:rFonts w:ascii="Trebuchet MS"/>
          <w:b/>
          <w:color w:val="231F20"/>
          <w:sz w:val="18"/>
        </w:rPr>
        <w:t>Salt-Appetite Mechanism for Controlling Extracellular Fluid Sodium Concentration and Volume</w:t>
      </w:r>
    </w:p>
    <w:p>
      <w:pPr>
        <w:spacing w:line="254" w:lineRule="auto" w:before="83"/>
        <w:ind w:left="499" w:right="1617" w:firstLine="0"/>
        <w:jc w:val="both"/>
        <w:rPr>
          <w:sz w:val="18"/>
        </w:rPr>
      </w:pPr>
      <w:r>
        <w:rPr>
          <w:color w:val="231F20"/>
          <w:w w:val="105"/>
          <w:sz w:val="18"/>
        </w:rPr>
        <w:t>Maintenance of normal extracellular fluid volume </w:t>
      </w:r>
      <w:r>
        <w:rPr>
          <w:color w:val="231F20"/>
          <w:spacing w:val="-4"/>
          <w:w w:val="105"/>
          <w:sz w:val="18"/>
        </w:rPr>
        <w:t>and </w:t>
      </w:r>
      <w:r>
        <w:rPr>
          <w:color w:val="231F20"/>
          <w:w w:val="105"/>
          <w:sz w:val="18"/>
        </w:rPr>
        <w:t>sodium concentration requires a balance between</w:t>
      </w:r>
      <w:r>
        <w:rPr>
          <w:color w:val="231F20"/>
          <w:spacing w:val="-18"/>
          <w:w w:val="105"/>
          <w:sz w:val="18"/>
        </w:rPr>
        <w:t> </w:t>
      </w:r>
      <w:r>
        <w:rPr>
          <w:color w:val="231F20"/>
          <w:w w:val="105"/>
          <w:sz w:val="18"/>
        </w:rPr>
        <w:t>sodium excretion and sodium intake. In modern civilizations, sodium</w:t>
      </w:r>
      <w:r>
        <w:rPr>
          <w:color w:val="231F20"/>
          <w:spacing w:val="-6"/>
          <w:w w:val="105"/>
          <w:sz w:val="18"/>
        </w:rPr>
        <w:t> </w:t>
      </w:r>
      <w:r>
        <w:rPr>
          <w:color w:val="231F20"/>
          <w:w w:val="105"/>
          <w:sz w:val="18"/>
        </w:rPr>
        <w:t>intake</w:t>
      </w:r>
      <w:r>
        <w:rPr>
          <w:color w:val="231F20"/>
          <w:spacing w:val="-6"/>
          <w:w w:val="105"/>
          <w:sz w:val="18"/>
        </w:rPr>
        <w:t> </w:t>
      </w:r>
      <w:r>
        <w:rPr>
          <w:color w:val="231F20"/>
          <w:w w:val="105"/>
          <w:sz w:val="18"/>
        </w:rPr>
        <w:t>is</w:t>
      </w:r>
      <w:r>
        <w:rPr>
          <w:color w:val="231F20"/>
          <w:spacing w:val="-6"/>
          <w:w w:val="105"/>
          <w:sz w:val="18"/>
        </w:rPr>
        <w:t> </w:t>
      </w:r>
      <w:r>
        <w:rPr>
          <w:color w:val="231F20"/>
          <w:w w:val="105"/>
          <w:sz w:val="18"/>
        </w:rPr>
        <w:t>almost</w:t>
      </w:r>
      <w:r>
        <w:rPr>
          <w:color w:val="231F20"/>
          <w:spacing w:val="-6"/>
          <w:w w:val="105"/>
          <w:sz w:val="18"/>
        </w:rPr>
        <w:t> </w:t>
      </w:r>
      <w:r>
        <w:rPr>
          <w:color w:val="231F20"/>
          <w:w w:val="105"/>
          <w:sz w:val="18"/>
        </w:rPr>
        <w:t>always</w:t>
      </w:r>
      <w:r>
        <w:rPr>
          <w:color w:val="231F20"/>
          <w:spacing w:val="-6"/>
          <w:w w:val="105"/>
          <w:sz w:val="18"/>
        </w:rPr>
        <w:t> </w:t>
      </w:r>
      <w:r>
        <w:rPr>
          <w:color w:val="231F20"/>
          <w:w w:val="105"/>
          <w:sz w:val="18"/>
        </w:rPr>
        <w:t>greater</w:t>
      </w:r>
      <w:r>
        <w:rPr>
          <w:color w:val="231F20"/>
          <w:spacing w:val="-6"/>
          <w:w w:val="105"/>
          <w:sz w:val="18"/>
        </w:rPr>
        <w:t> </w:t>
      </w:r>
      <w:r>
        <w:rPr>
          <w:color w:val="231F20"/>
          <w:w w:val="105"/>
          <w:sz w:val="18"/>
        </w:rPr>
        <w:t>than</w:t>
      </w:r>
      <w:r>
        <w:rPr>
          <w:color w:val="231F20"/>
          <w:spacing w:val="-6"/>
          <w:w w:val="105"/>
          <w:sz w:val="18"/>
        </w:rPr>
        <w:t> </w:t>
      </w:r>
      <w:r>
        <w:rPr>
          <w:color w:val="231F20"/>
          <w:w w:val="105"/>
          <w:sz w:val="18"/>
        </w:rPr>
        <w:t>necessary</w:t>
      </w:r>
      <w:r>
        <w:rPr>
          <w:color w:val="231F20"/>
          <w:spacing w:val="-6"/>
          <w:w w:val="105"/>
          <w:sz w:val="18"/>
        </w:rPr>
        <w:t> </w:t>
      </w:r>
      <w:r>
        <w:rPr>
          <w:color w:val="231F20"/>
          <w:w w:val="105"/>
          <w:sz w:val="18"/>
        </w:rPr>
        <w:t>for homeostasis.</w:t>
      </w:r>
      <w:r>
        <w:rPr>
          <w:color w:val="231F20"/>
          <w:spacing w:val="-20"/>
          <w:w w:val="105"/>
          <w:sz w:val="18"/>
        </w:rPr>
        <w:t> </w:t>
      </w:r>
      <w:r>
        <w:rPr>
          <w:color w:val="231F20"/>
          <w:w w:val="105"/>
          <w:sz w:val="18"/>
        </w:rPr>
        <w:t>In</w:t>
      </w:r>
      <w:r>
        <w:rPr>
          <w:color w:val="231F20"/>
          <w:spacing w:val="-20"/>
          <w:w w:val="105"/>
          <w:sz w:val="18"/>
        </w:rPr>
        <w:t> </w:t>
      </w:r>
      <w:r>
        <w:rPr>
          <w:color w:val="231F20"/>
          <w:w w:val="105"/>
          <w:sz w:val="18"/>
        </w:rPr>
        <w:t>fact,</w:t>
      </w:r>
      <w:r>
        <w:rPr>
          <w:color w:val="231F20"/>
          <w:spacing w:val="-19"/>
          <w:w w:val="105"/>
          <w:sz w:val="18"/>
        </w:rPr>
        <w:t> </w:t>
      </w:r>
      <w:r>
        <w:rPr>
          <w:color w:val="231F20"/>
          <w:w w:val="105"/>
          <w:sz w:val="18"/>
        </w:rPr>
        <w:t>the</w:t>
      </w:r>
      <w:r>
        <w:rPr>
          <w:color w:val="231F20"/>
          <w:spacing w:val="-20"/>
          <w:w w:val="105"/>
          <w:sz w:val="18"/>
        </w:rPr>
        <w:t> </w:t>
      </w:r>
      <w:r>
        <w:rPr>
          <w:color w:val="231F20"/>
          <w:w w:val="105"/>
          <w:sz w:val="18"/>
        </w:rPr>
        <w:t>average</w:t>
      </w:r>
      <w:r>
        <w:rPr>
          <w:color w:val="231F20"/>
          <w:spacing w:val="-19"/>
          <w:w w:val="105"/>
          <w:sz w:val="18"/>
        </w:rPr>
        <w:t> </w:t>
      </w:r>
      <w:r>
        <w:rPr>
          <w:color w:val="231F20"/>
          <w:w w:val="105"/>
          <w:sz w:val="18"/>
        </w:rPr>
        <w:t>sodium</w:t>
      </w:r>
      <w:r>
        <w:rPr>
          <w:color w:val="231F20"/>
          <w:spacing w:val="-20"/>
          <w:w w:val="105"/>
          <w:sz w:val="18"/>
        </w:rPr>
        <w:t> </w:t>
      </w:r>
      <w:r>
        <w:rPr>
          <w:color w:val="231F20"/>
          <w:w w:val="105"/>
          <w:sz w:val="18"/>
        </w:rPr>
        <w:t>intake</w:t>
      </w:r>
      <w:r>
        <w:rPr>
          <w:color w:val="231F20"/>
          <w:spacing w:val="-19"/>
          <w:w w:val="105"/>
          <w:sz w:val="18"/>
        </w:rPr>
        <w:t> </w:t>
      </w:r>
      <w:r>
        <w:rPr>
          <w:color w:val="231F20"/>
          <w:w w:val="105"/>
          <w:sz w:val="18"/>
        </w:rPr>
        <w:t>for</w:t>
      </w:r>
      <w:r>
        <w:rPr>
          <w:color w:val="231F20"/>
          <w:spacing w:val="-20"/>
          <w:w w:val="105"/>
          <w:sz w:val="18"/>
        </w:rPr>
        <w:t> </w:t>
      </w:r>
      <w:r>
        <w:rPr>
          <w:color w:val="231F20"/>
          <w:w w:val="105"/>
          <w:sz w:val="18"/>
        </w:rPr>
        <w:t>persons in</w:t>
      </w:r>
      <w:r>
        <w:rPr>
          <w:color w:val="231F20"/>
          <w:spacing w:val="-8"/>
          <w:w w:val="105"/>
          <w:sz w:val="18"/>
        </w:rPr>
        <w:t> </w:t>
      </w:r>
      <w:r>
        <w:rPr>
          <w:color w:val="231F20"/>
          <w:w w:val="105"/>
          <w:sz w:val="18"/>
        </w:rPr>
        <w:t>industrialized</w:t>
      </w:r>
      <w:r>
        <w:rPr>
          <w:color w:val="231F20"/>
          <w:spacing w:val="-7"/>
          <w:w w:val="105"/>
          <w:sz w:val="18"/>
        </w:rPr>
        <w:t> </w:t>
      </w:r>
      <w:r>
        <w:rPr>
          <w:color w:val="231F20"/>
          <w:w w:val="105"/>
          <w:sz w:val="18"/>
        </w:rPr>
        <w:t>cultures</w:t>
      </w:r>
      <w:r>
        <w:rPr>
          <w:color w:val="231F20"/>
          <w:spacing w:val="-7"/>
          <w:w w:val="105"/>
          <w:sz w:val="18"/>
        </w:rPr>
        <w:t> </w:t>
      </w:r>
      <w:r>
        <w:rPr>
          <w:color w:val="231F20"/>
          <w:w w:val="105"/>
          <w:sz w:val="18"/>
        </w:rPr>
        <w:t>who</w:t>
      </w:r>
      <w:r>
        <w:rPr>
          <w:color w:val="231F20"/>
          <w:spacing w:val="-7"/>
          <w:w w:val="105"/>
          <w:sz w:val="18"/>
        </w:rPr>
        <w:t> </w:t>
      </w:r>
      <w:r>
        <w:rPr>
          <w:color w:val="231F20"/>
          <w:w w:val="105"/>
          <w:sz w:val="18"/>
        </w:rPr>
        <w:t>eat</w:t>
      </w:r>
      <w:r>
        <w:rPr>
          <w:color w:val="231F20"/>
          <w:spacing w:val="-7"/>
          <w:w w:val="105"/>
          <w:sz w:val="18"/>
        </w:rPr>
        <w:t> </w:t>
      </w:r>
      <w:r>
        <w:rPr>
          <w:color w:val="231F20"/>
          <w:w w:val="105"/>
          <w:sz w:val="18"/>
        </w:rPr>
        <w:t>processed</w:t>
      </w:r>
      <w:r>
        <w:rPr>
          <w:color w:val="231F20"/>
          <w:spacing w:val="-8"/>
          <w:w w:val="105"/>
          <w:sz w:val="18"/>
        </w:rPr>
        <w:t> </w:t>
      </w:r>
      <w:r>
        <w:rPr>
          <w:color w:val="231F20"/>
          <w:w w:val="105"/>
          <w:sz w:val="18"/>
        </w:rPr>
        <w:t>foods</w:t>
      </w:r>
      <w:r>
        <w:rPr>
          <w:color w:val="231F20"/>
          <w:spacing w:val="-7"/>
          <w:w w:val="105"/>
          <w:sz w:val="18"/>
        </w:rPr>
        <w:t> </w:t>
      </w:r>
      <w:r>
        <w:rPr>
          <w:color w:val="231F20"/>
          <w:w w:val="105"/>
          <w:sz w:val="18"/>
        </w:rPr>
        <w:t>usually ranges</w:t>
      </w:r>
      <w:r>
        <w:rPr>
          <w:color w:val="231F20"/>
          <w:spacing w:val="-30"/>
          <w:w w:val="105"/>
          <w:sz w:val="18"/>
        </w:rPr>
        <w:t> </w:t>
      </w:r>
      <w:r>
        <w:rPr>
          <w:color w:val="231F20"/>
          <w:w w:val="105"/>
          <w:sz w:val="18"/>
        </w:rPr>
        <w:t>between</w:t>
      </w:r>
      <w:r>
        <w:rPr>
          <w:color w:val="231F20"/>
          <w:spacing w:val="-31"/>
          <w:w w:val="105"/>
          <w:sz w:val="18"/>
        </w:rPr>
        <w:t> </w:t>
      </w:r>
      <w:r>
        <w:rPr>
          <w:color w:val="231F20"/>
          <w:w w:val="105"/>
          <w:sz w:val="18"/>
        </w:rPr>
        <w:t>100</w:t>
      </w:r>
      <w:r>
        <w:rPr>
          <w:color w:val="231F20"/>
          <w:spacing w:val="-30"/>
          <w:w w:val="105"/>
          <w:sz w:val="18"/>
        </w:rPr>
        <w:t> </w:t>
      </w:r>
      <w:r>
        <w:rPr>
          <w:color w:val="231F20"/>
          <w:w w:val="105"/>
          <w:sz w:val="18"/>
        </w:rPr>
        <w:t>and</w:t>
      </w:r>
      <w:r>
        <w:rPr>
          <w:color w:val="231F20"/>
          <w:spacing w:val="-30"/>
          <w:w w:val="105"/>
          <w:sz w:val="18"/>
        </w:rPr>
        <w:t> </w:t>
      </w:r>
      <w:r>
        <w:rPr>
          <w:color w:val="231F20"/>
          <w:w w:val="105"/>
          <w:sz w:val="18"/>
        </w:rPr>
        <w:t>200</w:t>
      </w:r>
      <w:r>
        <w:rPr>
          <w:color w:val="231F20"/>
          <w:spacing w:val="-15"/>
          <w:w w:val="105"/>
          <w:sz w:val="18"/>
        </w:rPr>
        <w:t> </w:t>
      </w:r>
      <w:r>
        <w:rPr>
          <w:color w:val="231F20"/>
          <w:w w:val="105"/>
          <w:sz w:val="18"/>
        </w:rPr>
        <w:t>mEq/day,</w:t>
      </w:r>
      <w:r>
        <w:rPr>
          <w:color w:val="231F20"/>
          <w:spacing w:val="-30"/>
          <w:w w:val="105"/>
          <w:sz w:val="18"/>
        </w:rPr>
        <w:t> </w:t>
      </w:r>
      <w:r>
        <w:rPr>
          <w:color w:val="231F20"/>
          <w:w w:val="105"/>
          <w:sz w:val="18"/>
        </w:rPr>
        <w:t>even</w:t>
      </w:r>
      <w:r>
        <w:rPr>
          <w:color w:val="231F20"/>
          <w:spacing w:val="-30"/>
          <w:w w:val="105"/>
          <w:sz w:val="18"/>
        </w:rPr>
        <w:t> </w:t>
      </w:r>
      <w:r>
        <w:rPr>
          <w:color w:val="231F20"/>
          <w:w w:val="105"/>
          <w:sz w:val="18"/>
        </w:rPr>
        <w:t>though</w:t>
      </w:r>
      <w:r>
        <w:rPr>
          <w:color w:val="231F20"/>
          <w:spacing w:val="-30"/>
          <w:w w:val="105"/>
          <w:sz w:val="18"/>
        </w:rPr>
        <w:t> </w:t>
      </w:r>
      <w:r>
        <w:rPr>
          <w:color w:val="231F20"/>
          <w:w w:val="105"/>
          <w:sz w:val="18"/>
        </w:rPr>
        <w:t>humans can</w:t>
      </w:r>
      <w:r>
        <w:rPr>
          <w:color w:val="231F20"/>
          <w:spacing w:val="-13"/>
          <w:w w:val="105"/>
          <w:sz w:val="18"/>
        </w:rPr>
        <w:t> </w:t>
      </w:r>
      <w:r>
        <w:rPr>
          <w:color w:val="231F20"/>
          <w:w w:val="105"/>
          <w:sz w:val="18"/>
        </w:rPr>
        <w:t>survive</w:t>
      </w:r>
      <w:r>
        <w:rPr>
          <w:color w:val="231F20"/>
          <w:spacing w:val="-12"/>
          <w:w w:val="105"/>
          <w:sz w:val="18"/>
        </w:rPr>
        <w:t> </w:t>
      </w:r>
      <w:r>
        <w:rPr>
          <w:color w:val="231F20"/>
          <w:w w:val="105"/>
          <w:sz w:val="18"/>
        </w:rPr>
        <w:t>and</w:t>
      </w:r>
      <w:r>
        <w:rPr>
          <w:color w:val="231F20"/>
          <w:spacing w:val="-12"/>
          <w:w w:val="105"/>
          <w:sz w:val="18"/>
        </w:rPr>
        <w:t> </w:t>
      </w:r>
      <w:r>
        <w:rPr>
          <w:color w:val="231F20"/>
          <w:w w:val="105"/>
          <w:sz w:val="18"/>
        </w:rPr>
        <w:t>function</w:t>
      </w:r>
      <w:r>
        <w:rPr>
          <w:color w:val="231F20"/>
          <w:spacing w:val="-13"/>
          <w:w w:val="105"/>
          <w:sz w:val="18"/>
        </w:rPr>
        <w:t> </w:t>
      </w:r>
      <w:r>
        <w:rPr>
          <w:color w:val="231F20"/>
          <w:w w:val="105"/>
          <w:sz w:val="18"/>
        </w:rPr>
        <w:t>normally</w:t>
      </w:r>
      <w:r>
        <w:rPr>
          <w:color w:val="231F20"/>
          <w:spacing w:val="-12"/>
          <w:w w:val="105"/>
          <w:sz w:val="18"/>
        </w:rPr>
        <w:t> </w:t>
      </w:r>
      <w:r>
        <w:rPr>
          <w:color w:val="231F20"/>
          <w:w w:val="105"/>
          <w:sz w:val="18"/>
        </w:rPr>
        <w:t>while</w:t>
      </w:r>
      <w:r>
        <w:rPr>
          <w:color w:val="231F20"/>
          <w:spacing w:val="-12"/>
          <w:w w:val="105"/>
          <w:sz w:val="18"/>
        </w:rPr>
        <w:t> </w:t>
      </w:r>
      <w:r>
        <w:rPr>
          <w:color w:val="231F20"/>
          <w:w w:val="105"/>
          <w:sz w:val="18"/>
        </w:rPr>
        <w:t>ingesting</w:t>
      </w:r>
      <w:r>
        <w:rPr>
          <w:color w:val="231F20"/>
          <w:spacing w:val="-12"/>
          <w:w w:val="105"/>
          <w:sz w:val="18"/>
        </w:rPr>
        <w:t> </w:t>
      </w:r>
      <w:r>
        <w:rPr>
          <w:color w:val="231F20"/>
          <w:w w:val="105"/>
          <w:sz w:val="18"/>
        </w:rPr>
        <w:t>only</w:t>
      </w:r>
      <w:r>
        <w:rPr>
          <w:color w:val="231F20"/>
          <w:spacing w:val="-13"/>
          <w:w w:val="105"/>
          <w:sz w:val="18"/>
        </w:rPr>
        <w:t> </w:t>
      </w:r>
      <w:r>
        <w:rPr>
          <w:color w:val="231F20"/>
          <w:spacing w:val="-6"/>
          <w:w w:val="105"/>
          <w:sz w:val="18"/>
        </w:rPr>
        <w:t>10 </w:t>
      </w:r>
      <w:r>
        <w:rPr>
          <w:color w:val="231F20"/>
          <w:w w:val="105"/>
          <w:sz w:val="18"/>
        </w:rPr>
        <w:t>to 20 mEq/day. Thus, most people eat far more sodium than is necessary for homeostasis, and evidence</w:t>
      </w:r>
      <w:r>
        <w:rPr>
          <w:color w:val="231F20"/>
          <w:spacing w:val="-17"/>
          <w:w w:val="105"/>
          <w:sz w:val="18"/>
        </w:rPr>
        <w:t> </w:t>
      </w:r>
      <w:r>
        <w:rPr>
          <w:color w:val="231F20"/>
          <w:w w:val="105"/>
          <w:sz w:val="18"/>
        </w:rPr>
        <w:t>indicates that our usual high sodium intake may contribute to car­ diovascular disorders such as</w:t>
      </w:r>
      <w:r>
        <w:rPr>
          <w:color w:val="231F20"/>
          <w:spacing w:val="3"/>
          <w:w w:val="105"/>
          <w:sz w:val="18"/>
        </w:rPr>
        <w:t> </w:t>
      </w:r>
      <w:r>
        <w:rPr>
          <w:color w:val="231F20"/>
          <w:w w:val="105"/>
          <w:sz w:val="18"/>
        </w:rPr>
        <w:t>hypertension.</w:t>
      </w:r>
    </w:p>
    <w:p>
      <w:pPr>
        <w:spacing w:line="254" w:lineRule="auto" w:before="7"/>
        <w:ind w:left="499" w:right="1617" w:firstLine="239"/>
        <w:jc w:val="both"/>
        <w:rPr>
          <w:sz w:val="18"/>
        </w:rPr>
      </w:pPr>
      <w:r>
        <w:rPr>
          <w:color w:val="231F20"/>
          <w:w w:val="105"/>
          <w:sz w:val="18"/>
        </w:rPr>
        <w:t>Salt appetite is due in part to the fact that animals and humans like salt and eat it regardless of whether they are salt</w:t>
      </w:r>
      <w:r>
        <w:rPr>
          <w:color w:val="231F20"/>
          <w:spacing w:val="-23"/>
          <w:w w:val="105"/>
          <w:sz w:val="18"/>
        </w:rPr>
        <w:t> </w:t>
      </w:r>
      <w:r>
        <w:rPr>
          <w:color w:val="231F20"/>
          <w:w w:val="105"/>
          <w:sz w:val="18"/>
        </w:rPr>
        <w:t>deficient.</w:t>
      </w:r>
      <w:r>
        <w:rPr>
          <w:color w:val="231F20"/>
          <w:spacing w:val="-23"/>
          <w:w w:val="105"/>
          <w:sz w:val="18"/>
        </w:rPr>
        <w:t> </w:t>
      </w:r>
      <w:r>
        <w:rPr>
          <w:color w:val="231F20"/>
          <w:w w:val="105"/>
          <w:sz w:val="18"/>
        </w:rPr>
        <w:t>Salt</w:t>
      </w:r>
      <w:r>
        <w:rPr>
          <w:color w:val="231F20"/>
          <w:spacing w:val="-23"/>
          <w:w w:val="105"/>
          <w:sz w:val="18"/>
        </w:rPr>
        <w:t> </w:t>
      </w:r>
      <w:r>
        <w:rPr>
          <w:color w:val="231F20"/>
          <w:w w:val="105"/>
          <w:sz w:val="18"/>
        </w:rPr>
        <w:t>appetite</w:t>
      </w:r>
      <w:r>
        <w:rPr>
          <w:color w:val="231F20"/>
          <w:spacing w:val="-23"/>
          <w:w w:val="105"/>
          <w:sz w:val="18"/>
        </w:rPr>
        <w:t> </w:t>
      </w:r>
      <w:r>
        <w:rPr>
          <w:color w:val="231F20"/>
          <w:w w:val="105"/>
          <w:sz w:val="18"/>
        </w:rPr>
        <w:t>also</w:t>
      </w:r>
      <w:r>
        <w:rPr>
          <w:color w:val="231F20"/>
          <w:spacing w:val="-23"/>
          <w:w w:val="105"/>
          <w:sz w:val="18"/>
        </w:rPr>
        <w:t> </w:t>
      </w:r>
      <w:r>
        <w:rPr>
          <w:color w:val="231F20"/>
          <w:w w:val="105"/>
          <w:sz w:val="18"/>
        </w:rPr>
        <w:t>has</w:t>
      </w:r>
      <w:r>
        <w:rPr>
          <w:color w:val="231F20"/>
          <w:spacing w:val="-23"/>
          <w:w w:val="105"/>
          <w:sz w:val="18"/>
        </w:rPr>
        <w:t> </w:t>
      </w:r>
      <w:r>
        <w:rPr>
          <w:color w:val="231F20"/>
          <w:w w:val="105"/>
          <w:sz w:val="18"/>
        </w:rPr>
        <w:t>a</w:t>
      </w:r>
      <w:r>
        <w:rPr>
          <w:color w:val="231F20"/>
          <w:spacing w:val="-23"/>
          <w:w w:val="105"/>
          <w:sz w:val="18"/>
        </w:rPr>
        <w:t> </w:t>
      </w:r>
      <w:r>
        <w:rPr>
          <w:color w:val="231F20"/>
          <w:w w:val="105"/>
          <w:sz w:val="18"/>
        </w:rPr>
        <w:t>regulatory</w:t>
      </w:r>
      <w:r>
        <w:rPr>
          <w:color w:val="231F20"/>
          <w:spacing w:val="-23"/>
          <w:w w:val="105"/>
          <w:sz w:val="18"/>
        </w:rPr>
        <w:t> </w:t>
      </w:r>
      <w:r>
        <w:rPr>
          <w:color w:val="231F20"/>
          <w:w w:val="105"/>
          <w:sz w:val="18"/>
        </w:rPr>
        <w:t>component in which there is a behavioral drive to obtain salt when </w:t>
      </w:r>
      <w:r>
        <w:rPr>
          <w:color w:val="231F20"/>
          <w:spacing w:val="-11"/>
          <w:w w:val="105"/>
          <w:sz w:val="18"/>
        </w:rPr>
        <w:t>a </w:t>
      </w:r>
      <w:r>
        <w:rPr>
          <w:color w:val="231F20"/>
          <w:w w:val="105"/>
          <w:sz w:val="18"/>
        </w:rPr>
        <w:t>sodium</w:t>
      </w:r>
      <w:r>
        <w:rPr>
          <w:color w:val="231F20"/>
          <w:spacing w:val="-21"/>
          <w:w w:val="105"/>
          <w:sz w:val="18"/>
        </w:rPr>
        <w:t> </w:t>
      </w:r>
      <w:r>
        <w:rPr>
          <w:color w:val="231F20"/>
          <w:w w:val="105"/>
          <w:sz w:val="18"/>
        </w:rPr>
        <w:t>deficiency</w:t>
      </w:r>
      <w:r>
        <w:rPr>
          <w:color w:val="231F20"/>
          <w:spacing w:val="-20"/>
          <w:w w:val="105"/>
          <w:sz w:val="18"/>
        </w:rPr>
        <w:t> </w:t>
      </w:r>
      <w:r>
        <w:rPr>
          <w:color w:val="231F20"/>
          <w:w w:val="105"/>
          <w:sz w:val="18"/>
        </w:rPr>
        <w:t>exists</w:t>
      </w:r>
      <w:r>
        <w:rPr>
          <w:color w:val="231F20"/>
          <w:spacing w:val="-20"/>
          <w:w w:val="105"/>
          <w:sz w:val="18"/>
        </w:rPr>
        <w:t> </w:t>
      </w:r>
      <w:r>
        <w:rPr>
          <w:color w:val="231F20"/>
          <w:w w:val="105"/>
          <w:sz w:val="18"/>
        </w:rPr>
        <w:t>in</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body.</w:t>
      </w:r>
      <w:r>
        <w:rPr>
          <w:color w:val="231F20"/>
          <w:spacing w:val="-20"/>
          <w:w w:val="105"/>
          <w:sz w:val="18"/>
        </w:rPr>
        <w:t> </w:t>
      </w:r>
      <w:r>
        <w:rPr>
          <w:color w:val="231F20"/>
          <w:w w:val="105"/>
          <w:sz w:val="18"/>
        </w:rPr>
        <w:t>This</w:t>
      </w:r>
      <w:r>
        <w:rPr>
          <w:color w:val="231F20"/>
          <w:spacing w:val="-20"/>
          <w:w w:val="105"/>
          <w:sz w:val="18"/>
        </w:rPr>
        <w:t> </w:t>
      </w:r>
      <w:r>
        <w:rPr>
          <w:color w:val="231F20"/>
          <w:w w:val="105"/>
          <w:sz w:val="18"/>
        </w:rPr>
        <w:t>behavioral</w:t>
      </w:r>
      <w:r>
        <w:rPr>
          <w:color w:val="231F20"/>
          <w:spacing w:val="-20"/>
          <w:w w:val="105"/>
          <w:sz w:val="18"/>
        </w:rPr>
        <w:t> </w:t>
      </w:r>
      <w:r>
        <w:rPr>
          <w:color w:val="231F20"/>
          <w:w w:val="105"/>
          <w:sz w:val="18"/>
        </w:rPr>
        <w:t>drive is</w:t>
      </w:r>
      <w:r>
        <w:rPr>
          <w:color w:val="231F20"/>
          <w:spacing w:val="-14"/>
          <w:w w:val="105"/>
          <w:sz w:val="18"/>
        </w:rPr>
        <w:t> </w:t>
      </w:r>
      <w:r>
        <w:rPr>
          <w:color w:val="231F20"/>
          <w:w w:val="105"/>
          <w:sz w:val="18"/>
        </w:rPr>
        <w:t>particularly</w:t>
      </w:r>
      <w:r>
        <w:rPr>
          <w:color w:val="231F20"/>
          <w:spacing w:val="-14"/>
          <w:w w:val="105"/>
          <w:sz w:val="18"/>
        </w:rPr>
        <w:t> </w:t>
      </w:r>
      <w:r>
        <w:rPr>
          <w:color w:val="231F20"/>
          <w:w w:val="105"/>
          <w:sz w:val="18"/>
        </w:rPr>
        <w:t>important</w:t>
      </w:r>
      <w:r>
        <w:rPr>
          <w:color w:val="231F20"/>
          <w:spacing w:val="-14"/>
          <w:w w:val="105"/>
          <w:sz w:val="18"/>
        </w:rPr>
        <w:t> </w:t>
      </w:r>
      <w:r>
        <w:rPr>
          <w:color w:val="231F20"/>
          <w:w w:val="105"/>
          <w:sz w:val="18"/>
        </w:rPr>
        <w:t>in</w:t>
      </w:r>
      <w:r>
        <w:rPr>
          <w:color w:val="231F20"/>
          <w:spacing w:val="-13"/>
          <w:w w:val="105"/>
          <w:sz w:val="18"/>
        </w:rPr>
        <w:t> </w:t>
      </w:r>
      <w:r>
        <w:rPr>
          <w:color w:val="231F20"/>
          <w:w w:val="105"/>
          <w:sz w:val="18"/>
        </w:rPr>
        <w:t>herbivores,</w:t>
      </w:r>
      <w:r>
        <w:rPr>
          <w:color w:val="231F20"/>
          <w:spacing w:val="-14"/>
          <w:w w:val="105"/>
          <w:sz w:val="18"/>
        </w:rPr>
        <w:t> </w:t>
      </w:r>
      <w:r>
        <w:rPr>
          <w:color w:val="231F20"/>
          <w:w w:val="105"/>
          <w:sz w:val="18"/>
        </w:rPr>
        <w:t>which</w:t>
      </w:r>
      <w:r>
        <w:rPr>
          <w:color w:val="231F20"/>
          <w:spacing w:val="-14"/>
          <w:w w:val="105"/>
          <w:sz w:val="18"/>
        </w:rPr>
        <w:t> </w:t>
      </w:r>
      <w:r>
        <w:rPr>
          <w:color w:val="231F20"/>
          <w:w w:val="105"/>
          <w:sz w:val="18"/>
        </w:rPr>
        <w:t>naturally</w:t>
      </w:r>
      <w:r>
        <w:rPr>
          <w:color w:val="231F20"/>
          <w:spacing w:val="-13"/>
          <w:w w:val="105"/>
          <w:sz w:val="18"/>
        </w:rPr>
        <w:t> </w:t>
      </w:r>
      <w:r>
        <w:rPr>
          <w:color w:val="231F20"/>
          <w:w w:val="105"/>
          <w:sz w:val="18"/>
        </w:rPr>
        <w:t>eat a</w:t>
      </w:r>
      <w:r>
        <w:rPr>
          <w:color w:val="231F20"/>
          <w:spacing w:val="-5"/>
          <w:w w:val="105"/>
          <w:sz w:val="18"/>
        </w:rPr>
        <w:t> </w:t>
      </w:r>
      <w:r>
        <w:rPr>
          <w:color w:val="231F20"/>
          <w:w w:val="105"/>
          <w:sz w:val="18"/>
        </w:rPr>
        <w:t>low­sodium</w:t>
      </w:r>
      <w:r>
        <w:rPr>
          <w:color w:val="231F20"/>
          <w:spacing w:val="-5"/>
          <w:w w:val="105"/>
          <w:sz w:val="18"/>
        </w:rPr>
        <w:t> </w:t>
      </w:r>
      <w:r>
        <w:rPr>
          <w:color w:val="231F20"/>
          <w:w w:val="105"/>
          <w:sz w:val="18"/>
        </w:rPr>
        <w:t>diet,</w:t>
      </w:r>
      <w:r>
        <w:rPr>
          <w:color w:val="231F20"/>
          <w:spacing w:val="-5"/>
          <w:w w:val="105"/>
          <w:sz w:val="18"/>
        </w:rPr>
        <w:t> </w:t>
      </w:r>
      <w:r>
        <w:rPr>
          <w:color w:val="231F20"/>
          <w:w w:val="105"/>
          <w:sz w:val="18"/>
        </w:rPr>
        <w:t>but</w:t>
      </w:r>
      <w:r>
        <w:rPr>
          <w:color w:val="231F20"/>
          <w:spacing w:val="-5"/>
          <w:w w:val="105"/>
          <w:sz w:val="18"/>
        </w:rPr>
        <w:t> </w:t>
      </w:r>
      <w:r>
        <w:rPr>
          <w:color w:val="231F20"/>
          <w:w w:val="105"/>
          <w:sz w:val="18"/>
        </w:rPr>
        <w:t>salt</w:t>
      </w:r>
      <w:r>
        <w:rPr>
          <w:color w:val="231F20"/>
          <w:spacing w:val="-5"/>
          <w:w w:val="105"/>
          <w:sz w:val="18"/>
        </w:rPr>
        <w:t> </w:t>
      </w:r>
      <w:r>
        <w:rPr>
          <w:color w:val="231F20"/>
          <w:w w:val="105"/>
          <w:sz w:val="18"/>
        </w:rPr>
        <w:t>craving</w:t>
      </w:r>
      <w:r>
        <w:rPr>
          <w:color w:val="231F20"/>
          <w:spacing w:val="-5"/>
          <w:w w:val="105"/>
          <w:sz w:val="18"/>
        </w:rPr>
        <w:t> </w:t>
      </w:r>
      <w:r>
        <w:rPr>
          <w:color w:val="231F20"/>
          <w:w w:val="105"/>
          <w:sz w:val="18"/>
        </w:rPr>
        <w:t>may</w:t>
      </w:r>
      <w:r>
        <w:rPr>
          <w:color w:val="231F20"/>
          <w:spacing w:val="-5"/>
          <w:w w:val="105"/>
          <w:sz w:val="18"/>
        </w:rPr>
        <w:t> </w:t>
      </w:r>
      <w:r>
        <w:rPr>
          <w:color w:val="231F20"/>
          <w:w w:val="105"/>
          <w:sz w:val="18"/>
        </w:rPr>
        <w:t>also</w:t>
      </w:r>
      <w:r>
        <w:rPr>
          <w:color w:val="231F20"/>
          <w:spacing w:val="-5"/>
          <w:w w:val="105"/>
          <w:sz w:val="18"/>
        </w:rPr>
        <w:t> </w:t>
      </w:r>
      <w:r>
        <w:rPr>
          <w:color w:val="231F20"/>
          <w:w w:val="105"/>
          <w:sz w:val="18"/>
        </w:rPr>
        <w:t>be</w:t>
      </w:r>
      <w:r>
        <w:rPr>
          <w:color w:val="231F20"/>
          <w:spacing w:val="-5"/>
          <w:w w:val="105"/>
          <w:sz w:val="18"/>
        </w:rPr>
        <w:t> </w:t>
      </w:r>
      <w:r>
        <w:rPr>
          <w:color w:val="231F20"/>
          <w:w w:val="105"/>
          <w:sz w:val="18"/>
        </w:rPr>
        <w:t>important in</w:t>
      </w:r>
      <w:r>
        <w:rPr>
          <w:color w:val="231F20"/>
          <w:spacing w:val="-23"/>
          <w:w w:val="105"/>
          <w:sz w:val="18"/>
        </w:rPr>
        <w:t> </w:t>
      </w:r>
      <w:r>
        <w:rPr>
          <w:color w:val="231F20"/>
          <w:w w:val="105"/>
          <w:sz w:val="18"/>
        </w:rPr>
        <w:t>humans</w:t>
      </w:r>
      <w:r>
        <w:rPr>
          <w:color w:val="231F20"/>
          <w:spacing w:val="-24"/>
          <w:w w:val="105"/>
          <w:sz w:val="18"/>
        </w:rPr>
        <w:t> </w:t>
      </w:r>
      <w:r>
        <w:rPr>
          <w:color w:val="231F20"/>
          <w:w w:val="105"/>
          <w:sz w:val="18"/>
        </w:rPr>
        <w:t>who</w:t>
      </w:r>
      <w:r>
        <w:rPr>
          <w:color w:val="231F20"/>
          <w:spacing w:val="-23"/>
          <w:w w:val="105"/>
          <w:sz w:val="18"/>
        </w:rPr>
        <w:t> </w:t>
      </w:r>
      <w:r>
        <w:rPr>
          <w:color w:val="231F20"/>
          <w:w w:val="105"/>
          <w:sz w:val="18"/>
        </w:rPr>
        <w:t>have</w:t>
      </w:r>
      <w:r>
        <w:rPr>
          <w:color w:val="231F20"/>
          <w:spacing w:val="-23"/>
          <w:w w:val="105"/>
          <w:sz w:val="18"/>
        </w:rPr>
        <w:t> </w:t>
      </w:r>
      <w:r>
        <w:rPr>
          <w:color w:val="231F20"/>
          <w:w w:val="105"/>
          <w:sz w:val="18"/>
        </w:rPr>
        <w:t>an</w:t>
      </w:r>
      <w:r>
        <w:rPr>
          <w:color w:val="231F20"/>
          <w:spacing w:val="-23"/>
          <w:w w:val="105"/>
          <w:sz w:val="18"/>
        </w:rPr>
        <w:t> </w:t>
      </w:r>
      <w:r>
        <w:rPr>
          <w:color w:val="231F20"/>
          <w:w w:val="105"/>
          <w:sz w:val="18"/>
        </w:rPr>
        <w:t>extreme</w:t>
      </w:r>
      <w:r>
        <w:rPr>
          <w:color w:val="231F20"/>
          <w:spacing w:val="-23"/>
          <w:w w:val="105"/>
          <w:sz w:val="18"/>
        </w:rPr>
        <w:t> </w:t>
      </w:r>
      <w:r>
        <w:rPr>
          <w:color w:val="231F20"/>
          <w:w w:val="105"/>
          <w:sz w:val="18"/>
        </w:rPr>
        <w:t>deficiency</w:t>
      </w:r>
      <w:r>
        <w:rPr>
          <w:color w:val="231F20"/>
          <w:spacing w:val="-23"/>
          <w:w w:val="105"/>
          <w:sz w:val="18"/>
        </w:rPr>
        <w:t> </w:t>
      </w:r>
      <w:r>
        <w:rPr>
          <w:color w:val="231F20"/>
          <w:w w:val="105"/>
          <w:sz w:val="18"/>
        </w:rPr>
        <w:t>of</w:t>
      </w:r>
      <w:r>
        <w:rPr>
          <w:color w:val="231F20"/>
          <w:spacing w:val="-23"/>
          <w:w w:val="105"/>
          <w:sz w:val="18"/>
        </w:rPr>
        <w:t> </w:t>
      </w:r>
      <w:r>
        <w:rPr>
          <w:color w:val="231F20"/>
          <w:w w:val="105"/>
          <w:sz w:val="18"/>
        </w:rPr>
        <w:t>sodium,</w:t>
      </w:r>
      <w:r>
        <w:rPr>
          <w:color w:val="231F20"/>
          <w:spacing w:val="-24"/>
          <w:w w:val="105"/>
          <w:sz w:val="18"/>
        </w:rPr>
        <w:t> </w:t>
      </w:r>
      <w:r>
        <w:rPr>
          <w:color w:val="231F20"/>
          <w:w w:val="105"/>
          <w:sz w:val="18"/>
        </w:rPr>
        <w:t>such as occurs in </w:t>
      </w:r>
      <w:r>
        <w:rPr>
          <w:color w:val="231F20"/>
          <w:spacing w:val="-3"/>
          <w:w w:val="105"/>
          <w:sz w:val="18"/>
        </w:rPr>
        <w:t>Addison’s </w:t>
      </w:r>
      <w:r>
        <w:rPr>
          <w:color w:val="231F20"/>
          <w:w w:val="105"/>
          <w:sz w:val="18"/>
        </w:rPr>
        <w:t>disease. In this instance, there is a deficiency</w:t>
      </w:r>
      <w:r>
        <w:rPr>
          <w:color w:val="231F20"/>
          <w:spacing w:val="-32"/>
          <w:w w:val="105"/>
          <w:sz w:val="18"/>
        </w:rPr>
        <w:t> </w:t>
      </w:r>
      <w:r>
        <w:rPr>
          <w:color w:val="231F20"/>
          <w:w w:val="105"/>
          <w:sz w:val="18"/>
        </w:rPr>
        <w:t>of</w:t>
      </w:r>
      <w:r>
        <w:rPr>
          <w:color w:val="231F20"/>
          <w:spacing w:val="-32"/>
          <w:w w:val="105"/>
          <w:sz w:val="18"/>
        </w:rPr>
        <w:t> </w:t>
      </w:r>
      <w:r>
        <w:rPr>
          <w:color w:val="231F20"/>
          <w:w w:val="105"/>
          <w:sz w:val="18"/>
        </w:rPr>
        <w:t>aldosterone</w:t>
      </w:r>
      <w:r>
        <w:rPr>
          <w:color w:val="231F20"/>
          <w:spacing w:val="-32"/>
          <w:w w:val="105"/>
          <w:sz w:val="18"/>
        </w:rPr>
        <w:t> </w:t>
      </w:r>
      <w:r>
        <w:rPr>
          <w:color w:val="231F20"/>
          <w:w w:val="105"/>
          <w:sz w:val="18"/>
        </w:rPr>
        <w:t>secretion,</w:t>
      </w:r>
      <w:r>
        <w:rPr>
          <w:color w:val="231F20"/>
          <w:spacing w:val="-32"/>
          <w:w w:val="105"/>
          <w:sz w:val="18"/>
        </w:rPr>
        <w:t> </w:t>
      </w:r>
      <w:r>
        <w:rPr>
          <w:color w:val="231F20"/>
          <w:w w:val="105"/>
          <w:sz w:val="18"/>
        </w:rPr>
        <w:t>which</w:t>
      </w:r>
      <w:r>
        <w:rPr>
          <w:color w:val="231F20"/>
          <w:spacing w:val="-32"/>
          <w:w w:val="105"/>
          <w:sz w:val="18"/>
        </w:rPr>
        <w:t> </w:t>
      </w:r>
      <w:r>
        <w:rPr>
          <w:color w:val="231F20"/>
          <w:w w:val="105"/>
          <w:sz w:val="18"/>
        </w:rPr>
        <w:t>causes</w:t>
      </w:r>
      <w:r>
        <w:rPr>
          <w:color w:val="231F20"/>
          <w:spacing w:val="-31"/>
          <w:w w:val="105"/>
          <w:sz w:val="18"/>
        </w:rPr>
        <w:t> </w:t>
      </w:r>
      <w:r>
        <w:rPr>
          <w:color w:val="231F20"/>
          <w:w w:val="105"/>
          <w:sz w:val="18"/>
        </w:rPr>
        <w:t>excessive loss</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sodium</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urine</w:t>
      </w:r>
      <w:r>
        <w:rPr>
          <w:color w:val="231F20"/>
          <w:spacing w:val="-15"/>
          <w:w w:val="105"/>
          <w:sz w:val="18"/>
        </w:rPr>
        <w:t> </w:t>
      </w:r>
      <w:r>
        <w:rPr>
          <w:color w:val="231F20"/>
          <w:w w:val="105"/>
          <w:sz w:val="18"/>
        </w:rPr>
        <w:t>and</w:t>
      </w:r>
      <w:r>
        <w:rPr>
          <w:color w:val="231F20"/>
          <w:spacing w:val="-15"/>
          <w:w w:val="105"/>
          <w:sz w:val="18"/>
        </w:rPr>
        <w:t> </w:t>
      </w:r>
      <w:r>
        <w:rPr>
          <w:color w:val="231F20"/>
          <w:w w:val="105"/>
          <w:sz w:val="18"/>
        </w:rPr>
        <w:t>leads</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decreased</w:t>
      </w:r>
      <w:r>
        <w:rPr>
          <w:color w:val="231F20"/>
          <w:spacing w:val="-15"/>
          <w:w w:val="105"/>
          <w:sz w:val="18"/>
        </w:rPr>
        <w:t> </w:t>
      </w:r>
      <w:r>
        <w:rPr>
          <w:color w:val="231F20"/>
          <w:w w:val="105"/>
          <w:sz w:val="18"/>
        </w:rPr>
        <w:t>extracel­ lular fluid volume and decreased sodium concentration; both of these changes elicit the desire for</w:t>
      </w:r>
      <w:r>
        <w:rPr>
          <w:color w:val="231F20"/>
          <w:spacing w:val="4"/>
          <w:w w:val="105"/>
          <w:sz w:val="18"/>
        </w:rPr>
        <w:t> </w:t>
      </w:r>
      <w:r>
        <w:rPr>
          <w:color w:val="231F20"/>
          <w:w w:val="105"/>
          <w:sz w:val="18"/>
        </w:rPr>
        <w:t>salt.</w:t>
      </w:r>
    </w:p>
    <w:p>
      <w:pPr>
        <w:spacing w:line="254" w:lineRule="auto" w:before="8"/>
        <w:ind w:left="499" w:right="1618" w:firstLine="240"/>
        <w:jc w:val="both"/>
        <w:rPr>
          <w:i/>
          <w:sz w:val="18"/>
        </w:rPr>
      </w:pPr>
      <w:r>
        <w:rPr>
          <w:i/>
          <w:color w:val="231F20"/>
          <w:sz w:val="18"/>
        </w:rPr>
        <w:t>In</w:t>
      </w:r>
      <w:r>
        <w:rPr>
          <w:i/>
          <w:color w:val="231F20"/>
          <w:spacing w:val="-8"/>
          <w:sz w:val="18"/>
        </w:rPr>
        <w:t> </w:t>
      </w:r>
      <w:r>
        <w:rPr>
          <w:i/>
          <w:color w:val="231F20"/>
          <w:sz w:val="18"/>
        </w:rPr>
        <w:t>general</w:t>
      </w:r>
      <w:r>
        <w:rPr>
          <w:color w:val="231F20"/>
          <w:sz w:val="18"/>
        </w:rPr>
        <w:t>,</w:t>
      </w:r>
      <w:r>
        <w:rPr>
          <w:color w:val="231F20"/>
          <w:spacing w:val="-7"/>
          <w:sz w:val="18"/>
        </w:rPr>
        <w:t> </w:t>
      </w:r>
      <w:r>
        <w:rPr>
          <w:i/>
          <w:color w:val="231F20"/>
          <w:sz w:val="18"/>
        </w:rPr>
        <w:t>the</w:t>
      </w:r>
      <w:r>
        <w:rPr>
          <w:i/>
          <w:color w:val="231F20"/>
          <w:spacing w:val="-7"/>
          <w:sz w:val="18"/>
        </w:rPr>
        <w:t> </w:t>
      </w:r>
      <w:r>
        <w:rPr>
          <w:i/>
          <w:color w:val="231F20"/>
          <w:sz w:val="18"/>
        </w:rPr>
        <w:t>primary</w:t>
      </w:r>
      <w:r>
        <w:rPr>
          <w:i/>
          <w:color w:val="231F20"/>
          <w:spacing w:val="-7"/>
          <w:sz w:val="18"/>
        </w:rPr>
        <w:t> </w:t>
      </w:r>
      <w:r>
        <w:rPr>
          <w:i/>
          <w:color w:val="231F20"/>
          <w:sz w:val="18"/>
        </w:rPr>
        <w:t>stimuli</w:t>
      </w:r>
      <w:r>
        <w:rPr>
          <w:i/>
          <w:color w:val="231F20"/>
          <w:spacing w:val="-7"/>
          <w:sz w:val="18"/>
        </w:rPr>
        <w:t> </w:t>
      </w:r>
      <w:r>
        <w:rPr>
          <w:i/>
          <w:color w:val="231F20"/>
          <w:sz w:val="18"/>
        </w:rPr>
        <w:t>that</w:t>
      </w:r>
      <w:r>
        <w:rPr>
          <w:i/>
          <w:color w:val="231F20"/>
          <w:spacing w:val="-7"/>
          <w:sz w:val="18"/>
        </w:rPr>
        <w:t> </w:t>
      </w:r>
      <w:r>
        <w:rPr>
          <w:i/>
          <w:color w:val="231F20"/>
          <w:sz w:val="18"/>
        </w:rPr>
        <w:t>increase</w:t>
      </w:r>
      <w:r>
        <w:rPr>
          <w:i/>
          <w:color w:val="231F20"/>
          <w:spacing w:val="-7"/>
          <w:sz w:val="18"/>
        </w:rPr>
        <w:t> </w:t>
      </w:r>
      <w:r>
        <w:rPr>
          <w:i/>
          <w:color w:val="231F20"/>
          <w:sz w:val="18"/>
        </w:rPr>
        <w:t>salt</w:t>
      </w:r>
      <w:r>
        <w:rPr>
          <w:i/>
          <w:color w:val="231F20"/>
          <w:spacing w:val="-7"/>
          <w:sz w:val="18"/>
        </w:rPr>
        <w:t> </w:t>
      </w:r>
      <w:r>
        <w:rPr>
          <w:i/>
          <w:color w:val="231F20"/>
          <w:sz w:val="18"/>
        </w:rPr>
        <w:t>appetite </w:t>
      </w:r>
      <w:r>
        <w:rPr>
          <w:i/>
          <w:color w:val="231F20"/>
          <w:sz w:val="18"/>
        </w:rPr>
        <w:t>are those associated with sodium deficits and</w:t>
      </w:r>
      <w:r>
        <w:rPr>
          <w:i/>
          <w:color w:val="231F20"/>
          <w:spacing w:val="-3"/>
          <w:sz w:val="18"/>
        </w:rPr>
        <w:t> </w:t>
      </w:r>
      <w:r>
        <w:rPr>
          <w:i/>
          <w:color w:val="231F20"/>
          <w:sz w:val="18"/>
        </w:rPr>
        <w:t>decreased</w:t>
      </w:r>
    </w:p>
    <w:p>
      <w:pPr>
        <w:spacing w:after="0" w:line="254" w:lineRule="auto"/>
        <w:jc w:val="both"/>
        <w:rPr>
          <w:sz w:val="18"/>
        </w:rPr>
        <w:sectPr>
          <w:type w:val="continuous"/>
          <w:pgSz w:w="12240" w:h="15660"/>
          <w:pgMar w:top="0" w:bottom="760" w:left="0" w:right="0"/>
          <w:cols w:num="2" w:equalWidth="0">
            <w:col w:w="5761" w:space="40"/>
            <w:col w:w="6439"/>
          </w:cols>
        </w:sectPr>
      </w:pPr>
    </w:p>
    <w:p>
      <w:pPr>
        <w:pStyle w:val="BodyText"/>
        <w:rPr>
          <w:i/>
        </w:rPr>
      </w:pPr>
    </w:p>
    <w:p>
      <w:pPr>
        <w:pStyle w:val="BodyText"/>
        <w:rPr>
          <w:i/>
        </w:rPr>
      </w:pPr>
    </w:p>
    <w:p>
      <w:pPr>
        <w:pStyle w:val="BodyText"/>
        <w:rPr>
          <w:i/>
        </w:rPr>
      </w:pPr>
    </w:p>
    <w:p>
      <w:pPr>
        <w:pStyle w:val="BodyText"/>
        <w:spacing w:before="5"/>
        <w:rPr>
          <w:i/>
          <w:sz w:val="23"/>
        </w:rPr>
      </w:pPr>
    </w:p>
    <w:p>
      <w:pPr>
        <w:spacing w:after="0"/>
        <w:rPr>
          <w:sz w:val="23"/>
        </w:rPr>
        <w:sectPr>
          <w:headerReference w:type="even" r:id="rId844"/>
          <w:pgSz w:w="12240" w:h="15660"/>
          <w:pgMar w:header="0" w:footer="567" w:top="0" w:bottom="760" w:left="0" w:right="0"/>
        </w:sectPr>
      </w:pPr>
    </w:p>
    <w:p>
      <w:pPr>
        <w:pStyle w:val="BodyText"/>
        <w:rPr>
          <w:i/>
          <w:sz w:val="26"/>
        </w:rPr>
      </w:pPr>
      <w:r>
        <w:rPr/>
        <w:pict>
          <v:group style="position:absolute;margin-left:0pt;margin-top:0pt;width:612pt;height:180pt;mso-position-horizontal-relative:page;mso-position-vertical-relative:page;z-index:-27286835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7209" w:right="0" w:firstLine="0"/>
                      <w:jc w:val="left"/>
                      <w:rPr>
                        <w:rFonts w:ascii="Trebuchet MS"/>
                        <w:sz w:val="18"/>
                      </w:rPr>
                    </w:pPr>
                    <w:r>
                      <w:rPr>
                        <w:rFonts w:ascii="Trebuchet MS"/>
                        <w:b/>
                        <w:color w:val="231F20"/>
                        <w:w w:val="105"/>
                        <w:sz w:val="18"/>
                      </w:rPr>
                      <w:t>Chapter 29 </w:t>
                    </w:r>
                    <w:r>
                      <w:rPr>
                        <w:rFonts w:ascii="Trebuchet MS"/>
                        <w:color w:val="231F20"/>
                        <w:w w:val="105"/>
                        <w:sz w:val="18"/>
                      </w:rPr>
                      <w:t>Urine Concentration and Dilution</w:t>
                    </w:r>
                  </w:p>
                </w:txbxContent>
              </v:textbox>
              <v:fill type="solid"/>
              <w10:wrap type="none"/>
            </v:shape>
            <v:shape style="position:absolute;left:1440;top:1080;width:4680;height:2460" type="#_x0000_t202" filled="true" fillcolor="#f0eef6" stroked="false">
              <v:textbox inset="0,0,0,0">
                <w:txbxContent>
                  <w:p>
                    <w:pPr>
                      <w:spacing w:line="254" w:lineRule="auto" w:before="130"/>
                      <w:ind w:left="180" w:right="178" w:firstLine="0"/>
                      <w:jc w:val="both"/>
                      <w:rPr>
                        <w:i/>
                        <w:sz w:val="18"/>
                      </w:rPr>
                    </w:pPr>
                    <w:r>
                      <w:rPr>
                        <w:i/>
                        <w:color w:val="231F20"/>
                        <w:sz w:val="18"/>
                      </w:rPr>
                      <w:t>blood volume or decreased blood pressure associated with </w:t>
                    </w:r>
                    <w:r>
                      <w:rPr>
                        <w:i/>
                        <w:color w:val="231F20"/>
                        <w:sz w:val="18"/>
                      </w:rPr>
                      <w:t>circulatory insufficiency.</w:t>
                    </w:r>
                  </w:p>
                  <w:p>
                    <w:pPr>
                      <w:spacing w:line="254" w:lineRule="auto" w:before="1"/>
                      <w:ind w:left="180" w:right="177" w:firstLine="239"/>
                      <w:jc w:val="both"/>
                      <w:rPr>
                        <w:sz w:val="18"/>
                      </w:rPr>
                    </w:pPr>
                    <w:r>
                      <w:rPr>
                        <w:color w:val="231F20"/>
                        <w:sz w:val="18"/>
                      </w:rPr>
                      <w:t>The neuronal mechanism for salt appetite is analogous to that of the thirst mechanism. Some of the same neuronal centers in the </w:t>
                    </w:r>
                    <w:r>
                      <w:rPr>
                        <w:color w:val="231F20"/>
                        <w:spacing w:val="-4"/>
                        <w:sz w:val="18"/>
                      </w:rPr>
                      <w:t>AV3V </w:t>
                    </w:r>
                    <w:r>
                      <w:rPr>
                        <w:color w:val="231F20"/>
                        <w:sz w:val="18"/>
                      </w:rPr>
                      <w:t>region of the brain seem to be</w:t>
                    </w:r>
                    <w:r>
                      <w:rPr>
                        <w:color w:val="231F20"/>
                        <w:spacing w:val="-32"/>
                        <w:sz w:val="18"/>
                      </w:rPr>
                      <w:t> </w:t>
                    </w:r>
                    <w:r>
                      <w:rPr>
                        <w:color w:val="231F20"/>
                        <w:sz w:val="18"/>
                      </w:rPr>
                      <w:t>involved because lesions in this region frequently affect both thirst and salt appetite simultaneously in animals. Also, circula­ tory reflexes elicited by low blood pressure or decreased blood volume affect both thirst and salt appetite  at  </w:t>
                    </w:r>
                    <w:r>
                      <w:rPr>
                        <w:color w:val="231F20"/>
                        <w:spacing w:val="-6"/>
                        <w:sz w:val="18"/>
                      </w:rPr>
                      <w:t>the </w:t>
                    </w:r>
                    <w:r>
                      <w:rPr>
                        <w:color w:val="231F20"/>
                        <w:sz w:val="18"/>
                      </w:rPr>
                      <w:t>same</w:t>
                    </w:r>
                    <w:r>
                      <w:rPr>
                        <w:color w:val="231F20"/>
                        <w:spacing w:val="6"/>
                        <w:sz w:val="18"/>
                      </w:rPr>
                      <w:t> </w:t>
                    </w:r>
                    <w:r>
                      <w:rPr>
                        <w:color w:val="231F20"/>
                        <w:sz w:val="18"/>
                      </w:rPr>
                      <w:t>time.</w:t>
                    </w:r>
                  </w:p>
                </w:txbxContent>
              </v:textbox>
              <v:fill type="solid"/>
              <w10:wrap type="none"/>
            </v:shape>
            <w10:wrap type="none"/>
          </v:group>
        </w:pic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Heading1"/>
        <w:spacing w:before="233"/>
        <w:ind w:left="1440"/>
      </w:pPr>
      <w:r>
        <w:rPr>
          <w:color w:val="231F20"/>
        </w:rPr>
        <w:t>Bibliography</w:t>
      </w:r>
    </w:p>
    <w:p>
      <w:pPr>
        <w:spacing w:line="261" w:lineRule="auto" w:before="99"/>
        <w:ind w:left="1600" w:right="0" w:hanging="160"/>
        <w:jc w:val="both"/>
        <w:rPr>
          <w:rFonts w:ascii="Arial"/>
          <w:sz w:val="16"/>
        </w:rPr>
      </w:pPr>
      <w:r>
        <w:rPr>
          <w:rFonts w:ascii="Arial"/>
          <w:color w:val="231F20"/>
          <w:sz w:val="16"/>
        </w:rPr>
        <w:t>Agre P: The aquaporin water channels. Proc Am Thorac Soc 3:5, 2006.</w:t>
      </w:r>
    </w:p>
    <w:p>
      <w:pPr>
        <w:spacing w:line="261" w:lineRule="auto" w:before="0"/>
        <w:ind w:left="1600" w:right="0" w:hanging="160"/>
        <w:jc w:val="both"/>
        <w:rPr>
          <w:rFonts w:ascii="Arial"/>
          <w:sz w:val="16"/>
        </w:rPr>
      </w:pPr>
      <w:r>
        <w:rPr>
          <w:rFonts w:ascii="Arial"/>
          <w:color w:val="231F20"/>
          <w:sz w:val="16"/>
        </w:rPr>
        <w:t>Antunes-Rodrigues J, de Castro M, Elias LL, et al:</w:t>
      </w:r>
      <w:r>
        <w:rPr>
          <w:rFonts w:ascii="Arial"/>
          <w:color w:val="231F20"/>
          <w:spacing w:val="-21"/>
          <w:sz w:val="16"/>
        </w:rPr>
        <w:t> </w:t>
      </w:r>
      <w:r>
        <w:rPr>
          <w:rFonts w:ascii="Arial"/>
          <w:color w:val="231F20"/>
          <w:spacing w:val="-3"/>
          <w:sz w:val="16"/>
        </w:rPr>
        <w:t>Neuroendocrine </w:t>
      </w:r>
      <w:r>
        <w:rPr>
          <w:rFonts w:ascii="Arial"/>
          <w:color w:val="231F20"/>
          <w:sz w:val="16"/>
        </w:rPr>
        <w:t>control of body fluid metabolism. Physiol Rev 84:169, 2004.</w:t>
      </w:r>
    </w:p>
    <w:p>
      <w:pPr>
        <w:spacing w:line="261" w:lineRule="auto" w:before="0"/>
        <w:ind w:left="1600" w:right="0" w:hanging="160"/>
        <w:jc w:val="both"/>
        <w:rPr>
          <w:rFonts w:ascii="Arial"/>
          <w:sz w:val="16"/>
        </w:rPr>
      </w:pPr>
      <w:r>
        <w:rPr>
          <w:rFonts w:ascii="Arial"/>
          <w:color w:val="231F20"/>
          <w:sz w:val="16"/>
        </w:rPr>
        <w:t>Bourque</w:t>
      </w:r>
      <w:r>
        <w:rPr>
          <w:rFonts w:ascii="Arial"/>
          <w:color w:val="231F20"/>
          <w:spacing w:val="-7"/>
          <w:sz w:val="16"/>
        </w:rPr>
        <w:t> </w:t>
      </w:r>
      <w:r>
        <w:rPr>
          <w:rFonts w:ascii="Arial"/>
          <w:color w:val="231F20"/>
          <w:sz w:val="16"/>
        </w:rPr>
        <w:t>CW:</w:t>
      </w:r>
      <w:r>
        <w:rPr>
          <w:rFonts w:ascii="Arial"/>
          <w:color w:val="231F20"/>
          <w:spacing w:val="-7"/>
          <w:sz w:val="16"/>
        </w:rPr>
        <w:t> </w:t>
      </w:r>
      <w:r>
        <w:rPr>
          <w:rFonts w:ascii="Arial"/>
          <w:color w:val="231F20"/>
          <w:sz w:val="16"/>
        </w:rPr>
        <w:t>Central</w:t>
      </w:r>
      <w:r>
        <w:rPr>
          <w:rFonts w:ascii="Arial"/>
          <w:color w:val="231F20"/>
          <w:spacing w:val="-6"/>
          <w:sz w:val="16"/>
        </w:rPr>
        <w:t> </w:t>
      </w:r>
      <w:r>
        <w:rPr>
          <w:rFonts w:ascii="Arial"/>
          <w:color w:val="231F20"/>
          <w:sz w:val="16"/>
        </w:rPr>
        <w:t>mechanisms</w:t>
      </w:r>
      <w:r>
        <w:rPr>
          <w:rFonts w:ascii="Arial"/>
          <w:color w:val="231F20"/>
          <w:spacing w:val="-7"/>
          <w:sz w:val="16"/>
        </w:rPr>
        <w:t> </w:t>
      </w:r>
      <w:r>
        <w:rPr>
          <w:rFonts w:ascii="Arial"/>
          <w:color w:val="231F20"/>
          <w:sz w:val="16"/>
        </w:rPr>
        <w:t>of</w:t>
      </w:r>
      <w:r>
        <w:rPr>
          <w:rFonts w:ascii="Arial"/>
          <w:color w:val="231F20"/>
          <w:spacing w:val="-6"/>
          <w:sz w:val="16"/>
        </w:rPr>
        <w:t> </w:t>
      </w:r>
      <w:r>
        <w:rPr>
          <w:rFonts w:ascii="Arial"/>
          <w:color w:val="231F20"/>
          <w:sz w:val="16"/>
        </w:rPr>
        <w:t>osmosensation</w:t>
      </w:r>
      <w:r>
        <w:rPr>
          <w:rFonts w:ascii="Arial"/>
          <w:color w:val="231F20"/>
          <w:spacing w:val="-7"/>
          <w:sz w:val="16"/>
        </w:rPr>
        <w:t> </w:t>
      </w:r>
      <w:r>
        <w:rPr>
          <w:rFonts w:ascii="Arial"/>
          <w:color w:val="231F20"/>
          <w:sz w:val="16"/>
        </w:rPr>
        <w:t>and</w:t>
      </w:r>
      <w:r>
        <w:rPr>
          <w:rFonts w:ascii="Arial"/>
          <w:color w:val="231F20"/>
          <w:spacing w:val="-6"/>
          <w:sz w:val="16"/>
        </w:rPr>
        <w:t> </w:t>
      </w:r>
      <w:r>
        <w:rPr>
          <w:rFonts w:ascii="Arial"/>
          <w:color w:val="231F20"/>
          <w:spacing w:val="-3"/>
          <w:sz w:val="16"/>
        </w:rPr>
        <w:t>systemic </w:t>
      </w:r>
      <w:r>
        <w:rPr>
          <w:rFonts w:ascii="Arial"/>
          <w:color w:val="231F20"/>
          <w:sz w:val="16"/>
        </w:rPr>
        <w:t>osmoregulation. Nat Rev Neurosci 9:519,</w:t>
      </w:r>
      <w:r>
        <w:rPr>
          <w:rFonts w:ascii="Arial"/>
          <w:color w:val="231F20"/>
          <w:spacing w:val="17"/>
          <w:sz w:val="16"/>
        </w:rPr>
        <w:t> </w:t>
      </w:r>
      <w:r>
        <w:rPr>
          <w:rFonts w:ascii="Arial"/>
          <w:color w:val="231F20"/>
          <w:sz w:val="16"/>
        </w:rPr>
        <w:t>2008.</w:t>
      </w:r>
    </w:p>
    <w:p>
      <w:pPr>
        <w:spacing w:line="261" w:lineRule="auto" w:before="0"/>
        <w:ind w:left="1600" w:right="0" w:hanging="160"/>
        <w:jc w:val="both"/>
        <w:rPr>
          <w:rFonts w:ascii="Arial"/>
          <w:sz w:val="16"/>
        </w:rPr>
      </w:pPr>
      <w:r>
        <w:rPr>
          <w:rFonts w:ascii="Arial"/>
          <w:color w:val="231F20"/>
          <w:sz w:val="16"/>
        </w:rPr>
        <w:t>Cowen</w:t>
      </w:r>
      <w:r>
        <w:rPr>
          <w:rFonts w:ascii="Arial"/>
          <w:color w:val="231F20"/>
          <w:spacing w:val="-15"/>
          <w:sz w:val="16"/>
        </w:rPr>
        <w:t> </w:t>
      </w:r>
      <w:r>
        <w:rPr>
          <w:rFonts w:ascii="Arial"/>
          <w:color w:val="231F20"/>
          <w:sz w:val="16"/>
        </w:rPr>
        <w:t>LE,</w:t>
      </w:r>
      <w:r>
        <w:rPr>
          <w:rFonts w:ascii="Arial"/>
          <w:color w:val="231F20"/>
          <w:spacing w:val="-14"/>
          <w:sz w:val="16"/>
        </w:rPr>
        <w:t> </w:t>
      </w:r>
      <w:r>
        <w:rPr>
          <w:rFonts w:ascii="Arial"/>
          <w:color w:val="231F20"/>
          <w:sz w:val="16"/>
        </w:rPr>
        <w:t>Hodak</w:t>
      </w:r>
      <w:r>
        <w:rPr>
          <w:rFonts w:ascii="Arial"/>
          <w:color w:val="231F20"/>
          <w:spacing w:val="-14"/>
          <w:sz w:val="16"/>
        </w:rPr>
        <w:t> </w:t>
      </w:r>
      <w:r>
        <w:rPr>
          <w:rFonts w:ascii="Arial"/>
          <w:color w:val="231F20"/>
          <w:spacing w:val="-9"/>
          <w:sz w:val="16"/>
        </w:rPr>
        <w:t>SP,</w:t>
      </w:r>
      <w:r>
        <w:rPr>
          <w:rFonts w:ascii="Arial"/>
          <w:color w:val="231F20"/>
          <w:spacing w:val="-14"/>
          <w:sz w:val="16"/>
        </w:rPr>
        <w:t> </w:t>
      </w:r>
      <w:r>
        <w:rPr>
          <w:rFonts w:ascii="Arial"/>
          <w:color w:val="231F20"/>
          <w:sz w:val="16"/>
        </w:rPr>
        <w:t>Verbalis</w:t>
      </w:r>
      <w:r>
        <w:rPr>
          <w:rFonts w:ascii="Arial"/>
          <w:color w:val="231F20"/>
          <w:spacing w:val="-14"/>
          <w:sz w:val="16"/>
        </w:rPr>
        <w:t> </w:t>
      </w:r>
      <w:r>
        <w:rPr>
          <w:rFonts w:ascii="Arial"/>
          <w:color w:val="231F20"/>
          <w:sz w:val="16"/>
        </w:rPr>
        <w:t>JG:</w:t>
      </w:r>
      <w:r>
        <w:rPr>
          <w:rFonts w:ascii="Arial"/>
          <w:color w:val="231F20"/>
          <w:spacing w:val="-14"/>
          <w:sz w:val="16"/>
        </w:rPr>
        <w:t> </w:t>
      </w:r>
      <w:r>
        <w:rPr>
          <w:rFonts w:ascii="Arial"/>
          <w:color w:val="231F20"/>
          <w:sz w:val="16"/>
        </w:rPr>
        <w:t>Age-associated</w:t>
      </w:r>
      <w:r>
        <w:rPr>
          <w:rFonts w:ascii="Arial"/>
          <w:color w:val="231F20"/>
          <w:spacing w:val="-14"/>
          <w:sz w:val="16"/>
        </w:rPr>
        <w:t> </w:t>
      </w:r>
      <w:r>
        <w:rPr>
          <w:rFonts w:ascii="Arial"/>
          <w:color w:val="231F20"/>
          <w:sz w:val="16"/>
        </w:rPr>
        <w:t>abnormalities</w:t>
      </w:r>
      <w:r>
        <w:rPr>
          <w:rFonts w:ascii="Arial"/>
          <w:color w:val="231F20"/>
          <w:spacing w:val="-14"/>
          <w:sz w:val="16"/>
        </w:rPr>
        <w:t> </w:t>
      </w:r>
      <w:r>
        <w:rPr>
          <w:rFonts w:ascii="Arial"/>
          <w:color w:val="231F20"/>
          <w:spacing w:val="-9"/>
          <w:sz w:val="16"/>
        </w:rPr>
        <w:t>of </w:t>
      </w:r>
      <w:r>
        <w:rPr>
          <w:rFonts w:ascii="Arial"/>
          <w:color w:val="231F20"/>
          <w:sz w:val="16"/>
        </w:rPr>
        <w:t>water homeostasis. Endocrinol Metab Clin North Am </w:t>
      </w:r>
      <w:r>
        <w:rPr>
          <w:rFonts w:ascii="Arial"/>
          <w:color w:val="231F20"/>
          <w:spacing w:val="-3"/>
          <w:sz w:val="16"/>
        </w:rPr>
        <w:t>42:349, </w:t>
      </w:r>
      <w:r>
        <w:rPr>
          <w:rFonts w:ascii="Arial"/>
          <w:color w:val="231F20"/>
          <w:sz w:val="16"/>
        </w:rPr>
        <w:t>2013.</w:t>
      </w:r>
    </w:p>
    <w:p>
      <w:pPr>
        <w:spacing w:line="261" w:lineRule="auto" w:before="0"/>
        <w:ind w:left="1098" w:right="0" w:firstLine="0"/>
        <w:jc w:val="right"/>
        <w:rPr>
          <w:rFonts w:ascii="Arial"/>
          <w:sz w:val="16"/>
        </w:rPr>
      </w:pPr>
      <w:r>
        <w:rPr>
          <w:rFonts w:ascii="Arial"/>
          <w:color w:val="231F20"/>
          <w:sz w:val="16"/>
        </w:rPr>
        <w:t>Fenton RA: Essential role of vasopressin-regulated urea transport</w:t>
      </w:r>
      <w:r>
        <w:rPr>
          <w:rFonts w:ascii="Arial"/>
          <w:color w:val="231F20"/>
          <w:w w:val="98"/>
          <w:sz w:val="16"/>
        </w:rPr>
        <w:t> </w:t>
      </w:r>
      <w:r>
        <w:rPr>
          <w:rFonts w:ascii="Arial"/>
          <w:color w:val="231F20"/>
          <w:sz w:val="16"/>
        </w:rPr>
        <w:t>processes in the mammalian kidney. Pflugers Arch 458:169, 2009.</w:t>
      </w:r>
      <w:r>
        <w:rPr>
          <w:rFonts w:ascii="Arial"/>
          <w:color w:val="231F20"/>
          <w:w w:val="99"/>
          <w:sz w:val="16"/>
        </w:rPr>
        <w:t> </w:t>
      </w:r>
      <w:r>
        <w:rPr>
          <w:rFonts w:ascii="Arial"/>
          <w:color w:val="231F20"/>
          <w:sz w:val="16"/>
        </w:rPr>
        <w:t>Fenton RA, Knepper MA: Mouse models and the urinary concen-</w:t>
      </w:r>
      <w:r>
        <w:rPr>
          <w:rFonts w:ascii="Arial"/>
          <w:color w:val="231F20"/>
          <w:w w:val="99"/>
          <w:sz w:val="16"/>
        </w:rPr>
        <w:t> </w:t>
      </w:r>
      <w:r>
        <w:rPr>
          <w:rFonts w:ascii="Arial"/>
          <w:color w:val="231F20"/>
          <w:sz w:val="16"/>
        </w:rPr>
        <w:t>trating mechanism in the new millennium. Physiol Rev 87:1083,</w:t>
      </w:r>
    </w:p>
    <w:p>
      <w:pPr>
        <w:spacing w:line="182" w:lineRule="exact" w:before="0"/>
        <w:ind w:left="1600" w:right="0" w:firstLine="0"/>
        <w:jc w:val="left"/>
        <w:rPr>
          <w:rFonts w:ascii="Arial"/>
          <w:sz w:val="16"/>
        </w:rPr>
      </w:pPr>
      <w:r>
        <w:rPr>
          <w:rFonts w:ascii="Arial"/>
          <w:color w:val="231F20"/>
          <w:sz w:val="16"/>
        </w:rPr>
        <w:t>2007.</w:t>
      </w:r>
    </w:p>
    <w:p>
      <w:pPr>
        <w:spacing w:line="261" w:lineRule="auto" w:before="11"/>
        <w:ind w:left="1600" w:right="-7" w:hanging="160"/>
        <w:jc w:val="left"/>
        <w:rPr>
          <w:rFonts w:ascii="Arial"/>
          <w:sz w:val="16"/>
        </w:rPr>
      </w:pPr>
      <w:r>
        <w:rPr>
          <w:rFonts w:ascii="Arial"/>
          <w:color w:val="231F20"/>
          <w:sz w:val="16"/>
        </w:rPr>
        <w:t>Geerling</w:t>
      </w:r>
      <w:r>
        <w:rPr>
          <w:rFonts w:ascii="Arial"/>
          <w:color w:val="231F20"/>
          <w:spacing w:val="-6"/>
          <w:sz w:val="16"/>
        </w:rPr>
        <w:t> </w:t>
      </w:r>
      <w:r>
        <w:rPr>
          <w:rFonts w:ascii="Arial"/>
          <w:color w:val="231F20"/>
          <w:sz w:val="16"/>
        </w:rPr>
        <w:t>JC,</w:t>
      </w:r>
      <w:r>
        <w:rPr>
          <w:rFonts w:ascii="Arial"/>
          <w:color w:val="231F20"/>
          <w:spacing w:val="-5"/>
          <w:sz w:val="16"/>
        </w:rPr>
        <w:t> </w:t>
      </w:r>
      <w:r>
        <w:rPr>
          <w:rFonts w:ascii="Arial"/>
          <w:color w:val="231F20"/>
          <w:sz w:val="16"/>
        </w:rPr>
        <w:t>Loewy</w:t>
      </w:r>
      <w:r>
        <w:rPr>
          <w:rFonts w:ascii="Arial"/>
          <w:color w:val="231F20"/>
          <w:spacing w:val="-6"/>
          <w:sz w:val="16"/>
        </w:rPr>
        <w:t> </w:t>
      </w:r>
      <w:r>
        <w:rPr>
          <w:rFonts w:ascii="Arial"/>
          <w:color w:val="231F20"/>
          <w:sz w:val="16"/>
        </w:rPr>
        <w:t>AD:</w:t>
      </w:r>
      <w:r>
        <w:rPr>
          <w:rFonts w:ascii="Arial"/>
          <w:color w:val="231F20"/>
          <w:spacing w:val="-5"/>
          <w:sz w:val="16"/>
        </w:rPr>
        <w:t> </w:t>
      </w:r>
      <w:r>
        <w:rPr>
          <w:rFonts w:ascii="Arial"/>
          <w:color w:val="231F20"/>
          <w:sz w:val="16"/>
        </w:rPr>
        <w:t>Central</w:t>
      </w:r>
      <w:r>
        <w:rPr>
          <w:rFonts w:ascii="Arial"/>
          <w:color w:val="231F20"/>
          <w:spacing w:val="-6"/>
          <w:sz w:val="16"/>
        </w:rPr>
        <w:t> </w:t>
      </w:r>
      <w:r>
        <w:rPr>
          <w:rFonts w:ascii="Arial"/>
          <w:color w:val="231F20"/>
          <w:sz w:val="16"/>
        </w:rPr>
        <w:t>regulation</w:t>
      </w:r>
      <w:r>
        <w:rPr>
          <w:rFonts w:ascii="Arial"/>
          <w:color w:val="231F20"/>
          <w:spacing w:val="-5"/>
          <w:sz w:val="16"/>
        </w:rPr>
        <w:t> </w:t>
      </w:r>
      <w:r>
        <w:rPr>
          <w:rFonts w:ascii="Arial"/>
          <w:color w:val="231F20"/>
          <w:sz w:val="16"/>
        </w:rPr>
        <w:t>of</w:t>
      </w:r>
      <w:r>
        <w:rPr>
          <w:rFonts w:ascii="Arial"/>
          <w:color w:val="231F20"/>
          <w:spacing w:val="-6"/>
          <w:sz w:val="16"/>
        </w:rPr>
        <w:t> </w:t>
      </w:r>
      <w:r>
        <w:rPr>
          <w:rFonts w:ascii="Arial"/>
          <w:color w:val="231F20"/>
          <w:sz w:val="16"/>
        </w:rPr>
        <w:t>sodium</w:t>
      </w:r>
      <w:r>
        <w:rPr>
          <w:rFonts w:ascii="Arial"/>
          <w:color w:val="231F20"/>
          <w:spacing w:val="-5"/>
          <w:sz w:val="16"/>
        </w:rPr>
        <w:t> </w:t>
      </w:r>
      <w:r>
        <w:rPr>
          <w:rFonts w:ascii="Arial"/>
          <w:color w:val="231F20"/>
          <w:sz w:val="16"/>
        </w:rPr>
        <w:t>appetite.</w:t>
      </w:r>
      <w:r>
        <w:rPr>
          <w:rFonts w:ascii="Arial"/>
          <w:color w:val="231F20"/>
          <w:spacing w:val="-5"/>
          <w:sz w:val="16"/>
        </w:rPr>
        <w:t> Exp </w:t>
      </w:r>
      <w:r>
        <w:rPr>
          <w:rFonts w:ascii="Arial"/>
          <w:color w:val="231F20"/>
          <w:sz w:val="16"/>
        </w:rPr>
        <w:t>Physiol 93:177,</w:t>
      </w:r>
      <w:r>
        <w:rPr>
          <w:rFonts w:ascii="Arial"/>
          <w:color w:val="231F20"/>
          <w:spacing w:val="14"/>
          <w:sz w:val="16"/>
        </w:rPr>
        <w:t> </w:t>
      </w:r>
      <w:r>
        <w:rPr>
          <w:rFonts w:ascii="Arial"/>
          <w:color w:val="231F20"/>
          <w:sz w:val="16"/>
        </w:rPr>
        <w:t>2008.</w:t>
      </w:r>
    </w:p>
    <w:p>
      <w:pPr>
        <w:spacing w:line="261" w:lineRule="auto" w:before="0"/>
        <w:ind w:left="1600" w:right="-9" w:hanging="160"/>
        <w:jc w:val="left"/>
        <w:rPr>
          <w:rFonts w:ascii="Arial"/>
          <w:sz w:val="16"/>
        </w:rPr>
      </w:pPr>
      <w:r>
        <w:rPr>
          <w:rFonts w:ascii="Arial"/>
          <w:color w:val="231F20"/>
          <w:sz w:val="16"/>
        </w:rPr>
        <w:t>Jovanovich</w:t>
      </w:r>
      <w:r>
        <w:rPr>
          <w:rFonts w:ascii="Arial"/>
          <w:color w:val="231F20"/>
          <w:spacing w:val="-6"/>
          <w:sz w:val="16"/>
        </w:rPr>
        <w:t> </w:t>
      </w:r>
      <w:r>
        <w:rPr>
          <w:rFonts w:ascii="Arial"/>
          <w:color w:val="231F20"/>
          <w:sz w:val="16"/>
        </w:rPr>
        <w:t>AJ,</w:t>
      </w:r>
      <w:r>
        <w:rPr>
          <w:rFonts w:ascii="Arial"/>
          <w:color w:val="231F20"/>
          <w:spacing w:val="-5"/>
          <w:sz w:val="16"/>
        </w:rPr>
        <w:t> </w:t>
      </w:r>
      <w:r>
        <w:rPr>
          <w:rFonts w:ascii="Arial"/>
          <w:color w:val="231F20"/>
          <w:sz w:val="16"/>
        </w:rPr>
        <w:t>Berl</w:t>
      </w:r>
      <w:r>
        <w:rPr>
          <w:rFonts w:ascii="Arial"/>
          <w:color w:val="231F20"/>
          <w:spacing w:val="-6"/>
          <w:sz w:val="16"/>
        </w:rPr>
        <w:t> </w:t>
      </w:r>
      <w:r>
        <w:rPr>
          <w:rFonts w:ascii="Arial"/>
          <w:color w:val="231F20"/>
          <w:spacing w:val="-9"/>
          <w:sz w:val="16"/>
        </w:rPr>
        <w:t>T:</w:t>
      </w:r>
      <w:r>
        <w:rPr>
          <w:rFonts w:ascii="Arial"/>
          <w:color w:val="231F20"/>
          <w:spacing w:val="-5"/>
          <w:sz w:val="16"/>
        </w:rPr>
        <w:t> </w:t>
      </w:r>
      <w:r>
        <w:rPr>
          <w:rFonts w:ascii="Arial"/>
          <w:color w:val="231F20"/>
          <w:sz w:val="16"/>
        </w:rPr>
        <w:t>Where</w:t>
      </w:r>
      <w:r>
        <w:rPr>
          <w:rFonts w:ascii="Arial"/>
          <w:color w:val="231F20"/>
          <w:spacing w:val="-5"/>
          <w:sz w:val="16"/>
        </w:rPr>
        <w:t> </w:t>
      </w:r>
      <w:r>
        <w:rPr>
          <w:rFonts w:ascii="Arial"/>
          <w:color w:val="231F20"/>
          <w:sz w:val="16"/>
        </w:rPr>
        <w:t>vaptans</w:t>
      </w:r>
      <w:r>
        <w:rPr>
          <w:rFonts w:ascii="Arial"/>
          <w:color w:val="231F20"/>
          <w:spacing w:val="-6"/>
          <w:sz w:val="16"/>
        </w:rPr>
        <w:t> </w:t>
      </w:r>
      <w:r>
        <w:rPr>
          <w:rFonts w:ascii="Arial"/>
          <w:color w:val="231F20"/>
          <w:sz w:val="16"/>
        </w:rPr>
        <w:t>do</w:t>
      </w:r>
      <w:r>
        <w:rPr>
          <w:rFonts w:ascii="Arial"/>
          <w:color w:val="231F20"/>
          <w:spacing w:val="-5"/>
          <w:sz w:val="16"/>
        </w:rPr>
        <w:t> </w:t>
      </w:r>
      <w:r>
        <w:rPr>
          <w:rFonts w:ascii="Arial"/>
          <w:color w:val="231F20"/>
          <w:sz w:val="16"/>
        </w:rPr>
        <w:t>and</w:t>
      </w:r>
      <w:r>
        <w:rPr>
          <w:rFonts w:ascii="Arial"/>
          <w:color w:val="231F20"/>
          <w:spacing w:val="-6"/>
          <w:sz w:val="16"/>
        </w:rPr>
        <w:t> </w:t>
      </w:r>
      <w:r>
        <w:rPr>
          <w:rFonts w:ascii="Arial"/>
          <w:color w:val="231F20"/>
          <w:sz w:val="16"/>
        </w:rPr>
        <w:t>do</w:t>
      </w:r>
      <w:r>
        <w:rPr>
          <w:rFonts w:ascii="Arial"/>
          <w:color w:val="231F20"/>
          <w:spacing w:val="-5"/>
          <w:sz w:val="16"/>
        </w:rPr>
        <w:t> </w:t>
      </w:r>
      <w:r>
        <w:rPr>
          <w:rFonts w:ascii="Arial"/>
          <w:color w:val="231F20"/>
          <w:sz w:val="16"/>
        </w:rPr>
        <w:t>not</w:t>
      </w:r>
      <w:r>
        <w:rPr>
          <w:rFonts w:ascii="Arial"/>
          <w:color w:val="231F20"/>
          <w:spacing w:val="-5"/>
          <w:sz w:val="16"/>
        </w:rPr>
        <w:t> </w:t>
      </w:r>
      <w:r>
        <w:rPr>
          <w:rFonts w:ascii="Arial"/>
          <w:color w:val="231F20"/>
          <w:sz w:val="16"/>
        </w:rPr>
        <w:t>fit</w:t>
      </w:r>
      <w:r>
        <w:rPr>
          <w:rFonts w:ascii="Arial"/>
          <w:color w:val="231F20"/>
          <w:spacing w:val="-6"/>
          <w:sz w:val="16"/>
        </w:rPr>
        <w:t> </w:t>
      </w:r>
      <w:r>
        <w:rPr>
          <w:rFonts w:ascii="Arial"/>
          <w:color w:val="231F20"/>
          <w:sz w:val="16"/>
        </w:rPr>
        <w:t>in</w:t>
      </w:r>
      <w:r>
        <w:rPr>
          <w:rFonts w:ascii="Arial"/>
          <w:color w:val="231F20"/>
          <w:spacing w:val="-5"/>
          <w:sz w:val="16"/>
        </w:rPr>
        <w:t> </w:t>
      </w:r>
      <w:r>
        <w:rPr>
          <w:rFonts w:ascii="Arial"/>
          <w:color w:val="231F20"/>
          <w:sz w:val="16"/>
        </w:rPr>
        <w:t>the</w:t>
      </w:r>
      <w:r>
        <w:rPr>
          <w:rFonts w:ascii="Arial"/>
          <w:color w:val="231F20"/>
          <w:spacing w:val="-6"/>
          <w:sz w:val="16"/>
        </w:rPr>
        <w:t> </w:t>
      </w:r>
      <w:r>
        <w:rPr>
          <w:rFonts w:ascii="Arial"/>
          <w:color w:val="231F20"/>
          <w:sz w:val="16"/>
        </w:rPr>
        <w:t>treat- ment of hyponatremia. Kidney Int 83:563,</w:t>
      </w:r>
      <w:r>
        <w:rPr>
          <w:rFonts w:ascii="Arial"/>
          <w:color w:val="231F20"/>
          <w:spacing w:val="37"/>
          <w:sz w:val="16"/>
        </w:rPr>
        <w:t> </w:t>
      </w:r>
      <w:r>
        <w:rPr>
          <w:rFonts w:ascii="Arial"/>
          <w:color w:val="231F20"/>
          <w:sz w:val="16"/>
        </w:rPr>
        <w:t>2013.</w:t>
      </w:r>
    </w:p>
    <w:p>
      <w:pPr>
        <w:spacing w:line="261" w:lineRule="auto" w:before="96"/>
        <w:ind w:left="479" w:right="1078" w:hanging="160"/>
        <w:jc w:val="both"/>
        <w:rPr>
          <w:rFonts w:ascii="Arial"/>
          <w:sz w:val="16"/>
        </w:rPr>
      </w:pPr>
      <w:r>
        <w:rPr/>
        <w:br w:type="column"/>
      </w:r>
      <w:r>
        <w:rPr>
          <w:rFonts w:ascii="Arial"/>
          <w:color w:val="231F20"/>
          <w:sz w:val="16"/>
        </w:rPr>
        <w:t>Kennedy-Lydon TM, Crawford C, Wildman SS, Peppiatt-Wildman CM: Renal pericytes: regulators of medullary blood flow. Acta Physiol (Oxf) 207:212, 2013.</w:t>
      </w:r>
    </w:p>
    <w:p>
      <w:pPr>
        <w:spacing w:line="261" w:lineRule="auto" w:before="0"/>
        <w:ind w:left="479" w:right="1079" w:hanging="160"/>
        <w:jc w:val="both"/>
        <w:rPr>
          <w:rFonts w:ascii="Arial"/>
          <w:sz w:val="16"/>
        </w:rPr>
      </w:pPr>
      <w:r>
        <w:rPr>
          <w:rFonts w:ascii="Arial"/>
          <w:color w:val="231F20"/>
          <w:sz w:val="16"/>
        </w:rPr>
        <w:t>Klein</w:t>
      </w:r>
      <w:r>
        <w:rPr>
          <w:rFonts w:ascii="Arial"/>
          <w:color w:val="231F20"/>
          <w:spacing w:val="-25"/>
          <w:sz w:val="16"/>
        </w:rPr>
        <w:t> </w:t>
      </w:r>
      <w:r>
        <w:rPr>
          <w:rFonts w:ascii="Arial"/>
          <w:color w:val="231F20"/>
          <w:sz w:val="16"/>
        </w:rPr>
        <w:t>JD,</w:t>
      </w:r>
      <w:r>
        <w:rPr>
          <w:rFonts w:ascii="Arial"/>
          <w:color w:val="231F20"/>
          <w:spacing w:val="-25"/>
          <w:sz w:val="16"/>
        </w:rPr>
        <w:t> </w:t>
      </w:r>
      <w:r>
        <w:rPr>
          <w:rFonts w:ascii="Arial"/>
          <w:color w:val="231F20"/>
          <w:sz w:val="16"/>
        </w:rPr>
        <w:t>Blount</w:t>
      </w:r>
      <w:r>
        <w:rPr>
          <w:rFonts w:ascii="Arial"/>
          <w:color w:val="231F20"/>
          <w:spacing w:val="-25"/>
          <w:sz w:val="16"/>
        </w:rPr>
        <w:t> </w:t>
      </w:r>
      <w:r>
        <w:rPr>
          <w:rFonts w:ascii="Arial"/>
          <w:color w:val="231F20"/>
          <w:sz w:val="16"/>
        </w:rPr>
        <w:t>MA,</w:t>
      </w:r>
      <w:r>
        <w:rPr>
          <w:rFonts w:ascii="Arial"/>
          <w:color w:val="231F20"/>
          <w:spacing w:val="-25"/>
          <w:sz w:val="16"/>
        </w:rPr>
        <w:t> </w:t>
      </w:r>
      <w:r>
        <w:rPr>
          <w:rFonts w:ascii="Arial"/>
          <w:color w:val="231F20"/>
          <w:sz w:val="16"/>
        </w:rPr>
        <w:t>Sands</w:t>
      </w:r>
      <w:r>
        <w:rPr>
          <w:rFonts w:ascii="Arial"/>
          <w:color w:val="231F20"/>
          <w:spacing w:val="-25"/>
          <w:sz w:val="16"/>
        </w:rPr>
        <w:t> </w:t>
      </w:r>
      <w:r>
        <w:rPr>
          <w:rFonts w:ascii="Arial"/>
          <w:color w:val="231F20"/>
          <w:sz w:val="16"/>
        </w:rPr>
        <w:t>JM:</w:t>
      </w:r>
      <w:r>
        <w:rPr>
          <w:rFonts w:ascii="Arial"/>
          <w:color w:val="231F20"/>
          <w:spacing w:val="-25"/>
          <w:sz w:val="16"/>
        </w:rPr>
        <w:t> </w:t>
      </w:r>
      <w:r>
        <w:rPr>
          <w:rFonts w:ascii="Arial"/>
          <w:color w:val="231F20"/>
          <w:sz w:val="16"/>
        </w:rPr>
        <w:t>Molecular</w:t>
      </w:r>
      <w:r>
        <w:rPr>
          <w:rFonts w:ascii="Arial"/>
          <w:color w:val="231F20"/>
          <w:spacing w:val="-24"/>
          <w:sz w:val="16"/>
        </w:rPr>
        <w:t> </w:t>
      </w:r>
      <w:r>
        <w:rPr>
          <w:rFonts w:ascii="Arial"/>
          <w:color w:val="231F20"/>
          <w:sz w:val="16"/>
        </w:rPr>
        <w:t>mechanisms</w:t>
      </w:r>
      <w:r>
        <w:rPr>
          <w:rFonts w:ascii="Arial"/>
          <w:color w:val="231F20"/>
          <w:spacing w:val="-25"/>
          <w:sz w:val="16"/>
        </w:rPr>
        <w:t> </w:t>
      </w:r>
      <w:r>
        <w:rPr>
          <w:rFonts w:ascii="Arial"/>
          <w:color w:val="231F20"/>
          <w:sz w:val="16"/>
        </w:rPr>
        <w:t>of</w:t>
      </w:r>
      <w:r>
        <w:rPr>
          <w:rFonts w:ascii="Arial"/>
          <w:color w:val="231F20"/>
          <w:spacing w:val="-25"/>
          <w:sz w:val="16"/>
        </w:rPr>
        <w:t> </w:t>
      </w:r>
      <w:r>
        <w:rPr>
          <w:rFonts w:ascii="Arial"/>
          <w:color w:val="231F20"/>
          <w:sz w:val="16"/>
        </w:rPr>
        <w:t>urea</w:t>
      </w:r>
      <w:r>
        <w:rPr>
          <w:rFonts w:ascii="Arial"/>
          <w:color w:val="231F20"/>
          <w:spacing w:val="-25"/>
          <w:sz w:val="16"/>
        </w:rPr>
        <w:t> </w:t>
      </w:r>
      <w:r>
        <w:rPr>
          <w:rFonts w:ascii="Arial"/>
          <w:color w:val="231F20"/>
          <w:spacing w:val="-4"/>
          <w:sz w:val="16"/>
        </w:rPr>
        <w:t>trans- </w:t>
      </w:r>
      <w:r>
        <w:rPr>
          <w:rFonts w:ascii="Arial"/>
          <w:color w:val="231F20"/>
          <w:sz w:val="16"/>
        </w:rPr>
        <w:t>port in health and disease. Pflugers Arch 464:561,</w:t>
      </w:r>
      <w:r>
        <w:rPr>
          <w:rFonts w:ascii="Arial"/>
          <w:color w:val="231F20"/>
          <w:spacing w:val="10"/>
          <w:sz w:val="16"/>
        </w:rPr>
        <w:t> </w:t>
      </w:r>
      <w:r>
        <w:rPr>
          <w:rFonts w:ascii="Arial"/>
          <w:color w:val="231F20"/>
          <w:sz w:val="16"/>
        </w:rPr>
        <w:t>2012.</w:t>
      </w:r>
    </w:p>
    <w:p>
      <w:pPr>
        <w:spacing w:line="261" w:lineRule="auto" w:before="0"/>
        <w:ind w:left="479" w:right="1077" w:hanging="160"/>
        <w:jc w:val="both"/>
        <w:rPr>
          <w:rFonts w:ascii="Arial"/>
          <w:sz w:val="16"/>
        </w:rPr>
      </w:pPr>
      <w:r>
        <w:rPr/>
        <w:pict>
          <v:shape style="position:absolute;margin-left:578.900024pt;margin-top:12.889234pt;width:15.9pt;height:53.35pt;mso-position-horizontal-relative:page;mso-position-vertical-relative:paragraph;z-index:25253888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Arial"/>
          <w:color w:val="231F20"/>
          <w:sz w:val="16"/>
        </w:rPr>
        <w:t>Kortenoeven ML, Fenton RA: Renal aquaporins and water</w:t>
      </w:r>
      <w:r>
        <w:rPr>
          <w:rFonts w:ascii="Arial"/>
          <w:color w:val="231F20"/>
          <w:spacing w:val="-31"/>
          <w:sz w:val="16"/>
        </w:rPr>
        <w:t> </w:t>
      </w:r>
      <w:r>
        <w:rPr>
          <w:rFonts w:ascii="Arial"/>
          <w:color w:val="231F20"/>
          <w:spacing w:val="-3"/>
          <w:sz w:val="16"/>
        </w:rPr>
        <w:t>balance </w:t>
      </w:r>
      <w:r>
        <w:rPr>
          <w:rFonts w:ascii="Arial"/>
          <w:color w:val="231F20"/>
          <w:sz w:val="16"/>
        </w:rPr>
        <w:t>disorders. Biochim Biophys Acta 1840:1533,</w:t>
      </w:r>
      <w:r>
        <w:rPr>
          <w:rFonts w:ascii="Arial"/>
          <w:color w:val="231F20"/>
          <w:spacing w:val="13"/>
          <w:sz w:val="16"/>
        </w:rPr>
        <w:t> </w:t>
      </w:r>
      <w:r>
        <w:rPr>
          <w:rFonts w:ascii="Arial"/>
          <w:color w:val="231F20"/>
          <w:sz w:val="16"/>
        </w:rPr>
        <w:t>2014.</w:t>
      </w:r>
    </w:p>
    <w:p>
      <w:pPr>
        <w:spacing w:line="261" w:lineRule="auto" w:before="0"/>
        <w:ind w:left="479" w:right="1077" w:hanging="160"/>
        <w:jc w:val="both"/>
        <w:rPr>
          <w:rFonts w:ascii="Arial"/>
          <w:sz w:val="16"/>
        </w:rPr>
      </w:pPr>
      <w:r>
        <w:rPr>
          <w:rFonts w:ascii="Arial"/>
          <w:color w:val="231F20"/>
          <w:sz w:val="16"/>
        </w:rPr>
        <w:t>Koshimizu</w:t>
      </w:r>
      <w:r>
        <w:rPr>
          <w:rFonts w:ascii="Arial"/>
          <w:color w:val="231F20"/>
          <w:spacing w:val="-15"/>
          <w:sz w:val="16"/>
        </w:rPr>
        <w:t> </w:t>
      </w:r>
      <w:r>
        <w:rPr>
          <w:rFonts w:ascii="Arial"/>
          <w:color w:val="231F20"/>
          <w:spacing w:val="-4"/>
          <w:sz w:val="16"/>
        </w:rPr>
        <w:t>TA,</w:t>
      </w:r>
      <w:r>
        <w:rPr>
          <w:rFonts w:ascii="Arial"/>
          <w:color w:val="231F20"/>
          <w:spacing w:val="-15"/>
          <w:sz w:val="16"/>
        </w:rPr>
        <w:t> </w:t>
      </w:r>
      <w:r>
        <w:rPr>
          <w:rFonts w:ascii="Arial"/>
          <w:color w:val="231F20"/>
          <w:sz w:val="16"/>
        </w:rPr>
        <w:t>Nakamura</w:t>
      </w:r>
      <w:r>
        <w:rPr>
          <w:rFonts w:ascii="Arial"/>
          <w:color w:val="231F20"/>
          <w:spacing w:val="-15"/>
          <w:sz w:val="16"/>
        </w:rPr>
        <w:t> </w:t>
      </w:r>
      <w:r>
        <w:rPr>
          <w:rFonts w:ascii="Arial"/>
          <w:color w:val="231F20"/>
          <w:sz w:val="16"/>
        </w:rPr>
        <w:t>K,</w:t>
      </w:r>
      <w:r>
        <w:rPr>
          <w:rFonts w:ascii="Arial"/>
          <w:color w:val="231F20"/>
          <w:spacing w:val="-14"/>
          <w:sz w:val="16"/>
        </w:rPr>
        <w:t> </w:t>
      </w:r>
      <w:r>
        <w:rPr>
          <w:rFonts w:ascii="Arial"/>
          <w:color w:val="231F20"/>
          <w:sz w:val="16"/>
        </w:rPr>
        <w:t>Egashira</w:t>
      </w:r>
      <w:r>
        <w:rPr>
          <w:rFonts w:ascii="Arial"/>
          <w:color w:val="231F20"/>
          <w:spacing w:val="-15"/>
          <w:sz w:val="16"/>
        </w:rPr>
        <w:t> </w:t>
      </w:r>
      <w:r>
        <w:rPr>
          <w:rFonts w:ascii="Arial"/>
          <w:color w:val="231F20"/>
          <w:sz w:val="16"/>
        </w:rPr>
        <w:t>N,</w:t>
      </w:r>
      <w:r>
        <w:rPr>
          <w:rFonts w:ascii="Arial"/>
          <w:color w:val="231F20"/>
          <w:spacing w:val="-15"/>
          <w:sz w:val="16"/>
        </w:rPr>
        <w:t> </w:t>
      </w:r>
      <w:r>
        <w:rPr>
          <w:rFonts w:ascii="Arial"/>
          <w:color w:val="231F20"/>
          <w:sz w:val="16"/>
        </w:rPr>
        <w:t>et</w:t>
      </w:r>
      <w:r>
        <w:rPr>
          <w:rFonts w:ascii="Arial"/>
          <w:color w:val="231F20"/>
          <w:spacing w:val="-14"/>
          <w:sz w:val="16"/>
        </w:rPr>
        <w:t> </w:t>
      </w:r>
      <w:r>
        <w:rPr>
          <w:rFonts w:ascii="Arial"/>
          <w:color w:val="231F20"/>
          <w:sz w:val="16"/>
        </w:rPr>
        <w:t>al:</w:t>
      </w:r>
      <w:r>
        <w:rPr>
          <w:rFonts w:ascii="Arial"/>
          <w:color w:val="231F20"/>
          <w:spacing w:val="-15"/>
          <w:sz w:val="16"/>
        </w:rPr>
        <w:t> </w:t>
      </w:r>
      <w:r>
        <w:rPr>
          <w:rFonts w:ascii="Arial"/>
          <w:color w:val="231F20"/>
          <w:sz w:val="16"/>
        </w:rPr>
        <w:t>Vasopressin</w:t>
      </w:r>
      <w:r>
        <w:rPr>
          <w:rFonts w:ascii="Arial"/>
          <w:color w:val="231F20"/>
          <w:spacing w:val="-15"/>
          <w:sz w:val="16"/>
        </w:rPr>
        <w:t> </w:t>
      </w:r>
      <w:r>
        <w:rPr>
          <w:rFonts w:ascii="Arial"/>
          <w:color w:val="231F20"/>
          <w:sz w:val="16"/>
        </w:rPr>
        <w:t>V1a</w:t>
      </w:r>
      <w:r>
        <w:rPr>
          <w:rFonts w:ascii="Arial"/>
          <w:color w:val="231F20"/>
          <w:spacing w:val="-14"/>
          <w:sz w:val="16"/>
        </w:rPr>
        <w:t> </w:t>
      </w:r>
      <w:r>
        <w:rPr>
          <w:rFonts w:ascii="Arial"/>
          <w:color w:val="231F20"/>
          <w:spacing w:val="-5"/>
          <w:sz w:val="16"/>
        </w:rPr>
        <w:t>and </w:t>
      </w:r>
      <w:r>
        <w:rPr>
          <w:rFonts w:ascii="Arial"/>
          <w:color w:val="231F20"/>
          <w:sz w:val="16"/>
        </w:rPr>
        <w:t>V1b receptors: from molecules to physiological systems.</w:t>
      </w:r>
      <w:r>
        <w:rPr>
          <w:rFonts w:ascii="Arial"/>
          <w:color w:val="231F20"/>
          <w:spacing w:val="-12"/>
          <w:sz w:val="16"/>
        </w:rPr>
        <w:t> </w:t>
      </w:r>
      <w:r>
        <w:rPr>
          <w:rFonts w:ascii="Arial"/>
          <w:color w:val="231F20"/>
          <w:spacing w:val="-3"/>
          <w:sz w:val="16"/>
        </w:rPr>
        <w:t>Physiol </w:t>
      </w:r>
      <w:r>
        <w:rPr>
          <w:rFonts w:ascii="Arial"/>
          <w:color w:val="231F20"/>
          <w:sz w:val="16"/>
        </w:rPr>
        <w:t>Rev 92:1813,</w:t>
      </w:r>
      <w:r>
        <w:rPr>
          <w:rFonts w:ascii="Arial"/>
          <w:color w:val="231F20"/>
          <w:spacing w:val="14"/>
          <w:sz w:val="16"/>
        </w:rPr>
        <w:t> </w:t>
      </w:r>
      <w:r>
        <w:rPr>
          <w:rFonts w:ascii="Arial"/>
          <w:color w:val="231F20"/>
          <w:sz w:val="16"/>
        </w:rPr>
        <w:t>2012.</w:t>
      </w:r>
    </w:p>
    <w:p>
      <w:pPr>
        <w:spacing w:line="261" w:lineRule="auto" w:before="0"/>
        <w:ind w:left="479" w:right="1078" w:hanging="160"/>
        <w:jc w:val="both"/>
        <w:rPr>
          <w:rFonts w:ascii="Arial"/>
          <w:sz w:val="16"/>
        </w:rPr>
      </w:pPr>
      <w:r>
        <w:rPr>
          <w:rFonts w:ascii="Arial"/>
          <w:color w:val="231F20"/>
          <w:sz w:val="16"/>
        </w:rPr>
        <w:t>Lehrich</w:t>
      </w:r>
      <w:r>
        <w:rPr>
          <w:rFonts w:ascii="Arial"/>
          <w:color w:val="231F20"/>
          <w:spacing w:val="-13"/>
          <w:sz w:val="16"/>
        </w:rPr>
        <w:t> </w:t>
      </w:r>
      <w:r>
        <w:rPr>
          <w:rFonts w:ascii="Arial"/>
          <w:color w:val="231F20"/>
          <w:spacing w:val="-4"/>
          <w:sz w:val="16"/>
        </w:rPr>
        <w:t>RW,</w:t>
      </w:r>
      <w:r>
        <w:rPr>
          <w:rFonts w:ascii="Arial"/>
          <w:color w:val="231F20"/>
          <w:spacing w:val="-13"/>
          <w:sz w:val="16"/>
        </w:rPr>
        <w:t> </w:t>
      </w:r>
      <w:r>
        <w:rPr>
          <w:rFonts w:ascii="Arial"/>
          <w:color w:val="231F20"/>
          <w:sz w:val="16"/>
        </w:rPr>
        <w:t>Ortiz-Melo</w:t>
      </w:r>
      <w:r>
        <w:rPr>
          <w:rFonts w:ascii="Arial"/>
          <w:color w:val="231F20"/>
          <w:spacing w:val="-13"/>
          <w:sz w:val="16"/>
        </w:rPr>
        <w:t> </w:t>
      </w:r>
      <w:r>
        <w:rPr>
          <w:rFonts w:ascii="Arial"/>
          <w:color w:val="231F20"/>
          <w:sz w:val="16"/>
        </w:rPr>
        <w:t>DI,</w:t>
      </w:r>
      <w:r>
        <w:rPr>
          <w:rFonts w:ascii="Arial"/>
          <w:color w:val="231F20"/>
          <w:spacing w:val="-13"/>
          <w:sz w:val="16"/>
        </w:rPr>
        <w:t> </w:t>
      </w:r>
      <w:r>
        <w:rPr>
          <w:rFonts w:ascii="Arial"/>
          <w:color w:val="231F20"/>
          <w:sz w:val="16"/>
        </w:rPr>
        <w:t>Patel</w:t>
      </w:r>
      <w:r>
        <w:rPr>
          <w:rFonts w:ascii="Arial"/>
          <w:color w:val="231F20"/>
          <w:spacing w:val="-12"/>
          <w:sz w:val="16"/>
        </w:rPr>
        <w:t> </w:t>
      </w:r>
      <w:r>
        <w:rPr>
          <w:rFonts w:ascii="Arial"/>
          <w:color w:val="231F20"/>
          <w:sz w:val="16"/>
        </w:rPr>
        <w:t>MB,</w:t>
      </w:r>
      <w:r>
        <w:rPr>
          <w:rFonts w:ascii="Arial"/>
          <w:color w:val="231F20"/>
          <w:spacing w:val="-13"/>
          <w:sz w:val="16"/>
        </w:rPr>
        <w:t> </w:t>
      </w:r>
      <w:r>
        <w:rPr>
          <w:rFonts w:ascii="Arial"/>
          <w:color w:val="231F20"/>
          <w:sz w:val="16"/>
        </w:rPr>
        <w:t>Greenberg</w:t>
      </w:r>
      <w:r>
        <w:rPr>
          <w:rFonts w:ascii="Arial"/>
          <w:color w:val="231F20"/>
          <w:spacing w:val="-13"/>
          <w:sz w:val="16"/>
        </w:rPr>
        <w:t> </w:t>
      </w:r>
      <w:r>
        <w:rPr>
          <w:rFonts w:ascii="Arial"/>
          <w:color w:val="231F20"/>
          <w:sz w:val="16"/>
        </w:rPr>
        <w:t>A:</w:t>
      </w:r>
      <w:r>
        <w:rPr>
          <w:rFonts w:ascii="Arial"/>
          <w:color w:val="231F20"/>
          <w:spacing w:val="-13"/>
          <w:sz w:val="16"/>
        </w:rPr>
        <w:t> </w:t>
      </w:r>
      <w:r>
        <w:rPr>
          <w:rFonts w:ascii="Arial"/>
          <w:color w:val="231F20"/>
          <w:sz w:val="16"/>
        </w:rPr>
        <w:t>Role</w:t>
      </w:r>
      <w:r>
        <w:rPr>
          <w:rFonts w:ascii="Arial"/>
          <w:color w:val="231F20"/>
          <w:spacing w:val="-13"/>
          <w:sz w:val="16"/>
        </w:rPr>
        <w:t> </w:t>
      </w:r>
      <w:r>
        <w:rPr>
          <w:rFonts w:ascii="Arial"/>
          <w:color w:val="231F20"/>
          <w:sz w:val="16"/>
        </w:rPr>
        <w:t>of</w:t>
      </w:r>
      <w:r>
        <w:rPr>
          <w:rFonts w:ascii="Arial"/>
          <w:color w:val="231F20"/>
          <w:spacing w:val="-12"/>
          <w:sz w:val="16"/>
        </w:rPr>
        <w:t> </w:t>
      </w:r>
      <w:r>
        <w:rPr>
          <w:rFonts w:ascii="Arial"/>
          <w:color w:val="231F20"/>
          <w:sz w:val="16"/>
        </w:rPr>
        <w:t>vaptans in the management of hyponatremia. Am J Kidney Dis 62:364, 2013.</w:t>
      </w:r>
    </w:p>
    <w:p>
      <w:pPr>
        <w:spacing w:line="261" w:lineRule="auto" w:before="0"/>
        <w:ind w:left="479" w:right="1078" w:hanging="160"/>
        <w:jc w:val="both"/>
        <w:rPr>
          <w:rFonts w:ascii="Arial"/>
          <w:sz w:val="16"/>
        </w:rPr>
      </w:pPr>
      <w:r>
        <w:rPr/>
        <w:pict>
          <v:rect style="position:absolute;margin-left:576pt;margin-top:9.231934pt;width:36pt;height:24pt;mso-position-horizontal-relative:page;mso-position-vertical-relative:paragraph;z-index:252537856" filled="true" fillcolor="#e8dac8" stroked="false">
            <v:fill type="solid"/>
            <w10:wrap type="none"/>
          </v:rect>
        </w:pict>
      </w:r>
      <w:r>
        <w:rPr>
          <w:rFonts w:ascii="Arial"/>
          <w:color w:val="231F20"/>
          <w:sz w:val="16"/>
        </w:rPr>
        <w:t>McKinley</w:t>
      </w:r>
      <w:r>
        <w:rPr>
          <w:rFonts w:ascii="Arial"/>
          <w:color w:val="231F20"/>
          <w:spacing w:val="-15"/>
          <w:sz w:val="16"/>
        </w:rPr>
        <w:t> </w:t>
      </w:r>
      <w:r>
        <w:rPr>
          <w:rFonts w:ascii="Arial"/>
          <w:color w:val="231F20"/>
          <w:sz w:val="16"/>
        </w:rPr>
        <w:t>MJ,</w:t>
      </w:r>
      <w:r>
        <w:rPr>
          <w:rFonts w:ascii="Arial"/>
          <w:color w:val="231F20"/>
          <w:spacing w:val="-14"/>
          <w:sz w:val="16"/>
        </w:rPr>
        <w:t> </w:t>
      </w:r>
      <w:r>
        <w:rPr>
          <w:rFonts w:ascii="Arial"/>
          <w:color w:val="231F20"/>
          <w:sz w:val="16"/>
        </w:rPr>
        <w:t>Johnson</w:t>
      </w:r>
      <w:r>
        <w:rPr>
          <w:rFonts w:ascii="Arial"/>
          <w:color w:val="231F20"/>
          <w:spacing w:val="-15"/>
          <w:sz w:val="16"/>
        </w:rPr>
        <w:t> </w:t>
      </w:r>
      <w:r>
        <w:rPr>
          <w:rFonts w:ascii="Arial"/>
          <w:color w:val="231F20"/>
          <w:sz w:val="16"/>
        </w:rPr>
        <w:t>AK:</w:t>
      </w:r>
      <w:r>
        <w:rPr>
          <w:rFonts w:ascii="Arial"/>
          <w:color w:val="231F20"/>
          <w:spacing w:val="-14"/>
          <w:sz w:val="16"/>
        </w:rPr>
        <w:t> </w:t>
      </w:r>
      <w:r>
        <w:rPr>
          <w:rFonts w:ascii="Arial"/>
          <w:color w:val="231F20"/>
          <w:sz w:val="16"/>
        </w:rPr>
        <w:t>The</w:t>
      </w:r>
      <w:r>
        <w:rPr>
          <w:rFonts w:ascii="Arial"/>
          <w:color w:val="231F20"/>
          <w:spacing w:val="-14"/>
          <w:sz w:val="16"/>
        </w:rPr>
        <w:t> </w:t>
      </w:r>
      <w:r>
        <w:rPr>
          <w:rFonts w:ascii="Arial"/>
          <w:color w:val="231F20"/>
          <w:sz w:val="16"/>
        </w:rPr>
        <w:t>physiological</w:t>
      </w:r>
      <w:r>
        <w:rPr>
          <w:rFonts w:ascii="Arial"/>
          <w:color w:val="231F20"/>
          <w:spacing w:val="-15"/>
          <w:sz w:val="16"/>
        </w:rPr>
        <w:t> </w:t>
      </w:r>
      <w:r>
        <w:rPr>
          <w:rFonts w:ascii="Arial"/>
          <w:color w:val="231F20"/>
          <w:sz w:val="16"/>
        </w:rPr>
        <w:t>regulation</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thirst</w:t>
      </w:r>
      <w:r>
        <w:rPr>
          <w:rFonts w:ascii="Arial"/>
          <w:color w:val="231F20"/>
          <w:spacing w:val="-15"/>
          <w:sz w:val="16"/>
        </w:rPr>
        <w:t> </w:t>
      </w:r>
      <w:r>
        <w:rPr>
          <w:rFonts w:ascii="Arial"/>
          <w:color w:val="231F20"/>
          <w:spacing w:val="-4"/>
          <w:sz w:val="16"/>
        </w:rPr>
        <w:t>and </w:t>
      </w:r>
      <w:r>
        <w:rPr>
          <w:rFonts w:ascii="Arial"/>
          <w:color w:val="231F20"/>
          <w:sz w:val="16"/>
        </w:rPr>
        <w:t>fluid intake. News Physiol Sci 19:1,</w:t>
      </w:r>
      <w:r>
        <w:rPr>
          <w:rFonts w:ascii="Arial"/>
          <w:color w:val="231F20"/>
          <w:spacing w:val="29"/>
          <w:sz w:val="16"/>
        </w:rPr>
        <w:t> </w:t>
      </w:r>
      <w:r>
        <w:rPr>
          <w:rFonts w:ascii="Arial"/>
          <w:color w:val="231F20"/>
          <w:sz w:val="16"/>
        </w:rPr>
        <w:t>2004.</w:t>
      </w:r>
    </w:p>
    <w:p>
      <w:pPr>
        <w:spacing w:line="261" w:lineRule="auto" w:before="0"/>
        <w:ind w:left="479" w:right="1078" w:hanging="160"/>
        <w:jc w:val="both"/>
        <w:rPr>
          <w:rFonts w:ascii="Arial"/>
          <w:sz w:val="16"/>
        </w:rPr>
      </w:pPr>
      <w:r>
        <w:rPr>
          <w:rFonts w:ascii="Arial"/>
          <w:color w:val="231F20"/>
          <w:sz w:val="16"/>
        </w:rPr>
        <w:t>Pallone</w:t>
      </w:r>
      <w:r>
        <w:rPr>
          <w:rFonts w:ascii="Arial"/>
          <w:color w:val="231F20"/>
          <w:spacing w:val="-16"/>
          <w:sz w:val="16"/>
        </w:rPr>
        <w:t> </w:t>
      </w:r>
      <w:r>
        <w:rPr>
          <w:rFonts w:ascii="Arial"/>
          <w:color w:val="231F20"/>
          <w:sz w:val="16"/>
        </w:rPr>
        <w:t>TL,</w:t>
      </w:r>
      <w:r>
        <w:rPr>
          <w:rFonts w:ascii="Arial"/>
          <w:color w:val="231F20"/>
          <w:spacing w:val="-16"/>
          <w:sz w:val="16"/>
        </w:rPr>
        <w:t> </w:t>
      </w:r>
      <w:r>
        <w:rPr>
          <w:rFonts w:ascii="Arial"/>
          <w:color w:val="231F20"/>
          <w:sz w:val="16"/>
        </w:rPr>
        <w:t>Zhang</w:t>
      </w:r>
      <w:r>
        <w:rPr>
          <w:rFonts w:ascii="Arial"/>
          <w:color w:val="231F20"/>
          <w:spacing w:val="-16"/>
          <w:sz w:val="16"/>
        </w:rPr>
        <w:t> </w:t>
      </w:r>
      <w:r>
        <w:rPr>
          <w:rFonts w:ascii="Arial"/>
          <w:color w:val="231F20"/>
          <w:sz w:val="16"/>
        </w:rPr>
        <w:t>Z,</w:t>
      </w:r>
      <w:r>
        <w:rPr>
          <w:rFonts w:ascii="Arial"/>
          <w:color w:val="231F20"/>
          <w:spacing w:val="-15"/>
          <w:sz w:val="16"/>
        </w:rPr>
        <w:t> </w:t>
      </w:r>
      <w:r>
        <w:rPr>
          <w:rFonts w:ascii="Arial"/>
          <w:color w:val="231F20"/>
          <w:sz w:val="16"/>
        </w:rPr>
        <w:t>Rhinehart</w:t>
      </w:r>
      <w:r>
        <w:rPr>
          <w:rFonts w:ascii="Arial"/>
          <w:color w:val="231F20"/>
          <w:spacing w:val="-16"/>
          <w:sz w:val="16"/>
        </w:rPr>
        <w:t> </w:t>
      </w:r>
      <w:r>
        <w:rPr>
          <w:rFonts w:ascii="Arial"/>
          <w:color w:val="231F20"/>
          <w:sz w:val="16"/>
        </w:rPr>
        <w:t>K:</w:t>
      </w:r>
      <w:r>
        <w:rPr>
          <w:rFonts w:ascii="Arial"/>
          <w:color w:val="231F20"/>
          <w:spacing w:val="-16"/>
          <w:sz w:val="16"/>
        </w:rPr>
        <w:t> </w:t>
      </w:r>
      <w:r>
        <w:rPr>
          <w:rFonts w:ascii="Arial"/>
          <w:color w:val="231F20"/>
          <w:sz w:val="16"/>
        </w:rPr>
        <w:t>Physiology</w:t>
      </w:r>
      <w:r>
        <w:rPr>
          <w:rFonts w:ascii="Arial"/>
          <w:color w:val="231F20"/>
          <w:spacing w:val="-16"/>
          <w:sz w:val="16"/>
        </w:rPr>
        <w:t> </w:t>
      </w:r>
      <w:r>
        <w:rPr>
          <w:rFonts w:ascii="Arial"/>
          <w:color w:val="231F20"/>
          <w:sz w:val="16"/>
        </w:rPr>
        <w:t>of</w:t>
      </w:r>
      <w:r>
        <w:rPr>
          <w:rFonts w:ascii="Arial"/>
          <w:color w:val="231F20"/>
          <w:spacing w:val="-15"/>
          <w:sz w:val="16"/>
        </w:rPr>
        <w:t> </w:t>
      </w:r>
      <w:r>
        <w:rPr>
          <w:rFonts w:ascii="Arial"/>
          <w:color w:val="231F20"/>
          <w:sz w:val="16"/>
        </w:rPr>
        <w:t>the</w:t>
      </w:r>
      <w:r>
        <w:rPr>
          <w:rFonts w:ascii="Arial"/>
          <w:color w:val="231F20"/>
          <w:spacing w:val="-16"/>
          <w:sz w:val="16"/>
        </w:rPr>
        <w:t> </w:t>
      </w:r>
      <w:r>
        <w:rPr>
          <w:rFonts w:ascii="Arial"/>
          <w:color w:val="231F20"/>
          <w:sz w:val="16"/>
        </w:rPr>
        <w:t>renal</w:t>
      </w:r>
      <w:r>
        <w:rPr>
          <w:rFonts w:ascii="Arial"/>
          <w:color w:val="231F20"/>
          <w:spacing w:val="-16"/>
          <w:sz w:val="16"/>
        </w:rPr>
        <w:t> </w:t>
      </w:r>
      <w:r>
        <w:rPr>
          <w:rFonts w:ascii="Arial"/>
          <w:color w:val="231F20"/>
          <w:sz w:val="16"/>
        </w:rPr>
        <w:t>medullary microcirculation.</w:t>
      </w:r>
      <w:r>
        <w:rPr>
          <w:rFonts w:ascii="Arial"/>
          <w:color w:val="231F20"/>
          <w:spacing w:val="-10"/>
          <w:sz w:val="16"/>
        </w:rPr>
        <w:t> </w:t>
      </w:r>
      <w:r>
        <w:rPr>
          <w:rFonts w:ascii="Arial"/>
          <w:color w:val="231F20"/>
          <w:sz w:val="16"/>
        </w:rPr>
        <w:t>Am</w:t>
      </w:r>
      <w:r>
        <w:rPr>
          <w:rFonts w:ascii="Arial"/>
          <w:color w:val="231F20"/>
          <w:spacing w:val="-10"/>
          <w:sz w:val="16"/>
        </w:rPr>
        <w:t> </w:t>
      </w:r>
      <w:r>
        <w:rPr>
          <w:rFonts w:ascii="Arial"/>
          <w:color w:val="231F20"/>
          <w:sz w:val="16"/>
        </w:rPr>
        <w:t>J</w:t>
      </w:r>
      <w:r>
        <w:rPr>
          <w:rFonts w:ascii="Arial"/>
          <w:color w:val="231F20"/>
          <w:spacing w:val="-9"/>
          <w:sz w:val="16"/>
        </w:rPr>
        <w:t> </w:t>
      </w:r>
      <w:r>
        <w:rPr>
          <w:rFonts w:ascii="Arial"/>
          <w:color w:val="231F20"/>
          <w:sz w:val="16"/>
        </w:rPr>
        <w:t>Physiol</w:t>
      </w:r>
      <w:r>
        <w:rPr>
          <w:rFonts w:ascii="Arial"/>
          <w:color w:val="231F20"/>
          <w:spacing w:val="-10"/>
          <w:sz w:val="16"/>
        </w:rPr>
        <w:t> </w:t>
      </w:r>
      <w:r>
        <w:rPr>
          <w:rFonts w:ascii="Arial"/>
          <w:color w:val="231F20"/>
          <w:sz w:val="16"/>
        </w:rPr>
        <w:t>Renal</w:t>
      </w:r>
      <w:r>
        <w:rPr>
          <w:rFonts w:ascii="Arial"/>
          <w:color w:val="231F20"/>
          <w:spacing w:val="-9"/>
          <w:sz w:val="16"/>
        </w:rPr>
        <w:t> </w:t>
      </w:r>
      <w:r>
        <w:rPr>
          <w:rFonts w:ascii="Arial"/>
          <w:color w:val="231F20"/>
          <w:sz w:val="16"/>
        </w:rPr>
        <w:t>Physiol</w:t>
      </w:r>
      <w:r>
        <w:rPr>
          <w:rFonts w:ascii="Arial"/>
          <w:color w:val="231F20"/>
          <w:spacing w:val="-10"/>
          <w:sz w:val="16"/>
        </w:rPr>
        <w:t> </w:t>
      </w:r>
      <w:r>
        <w:rPr>
          <w:rFonts w:ascii="Arial"/>
          <w:color w:val="231F20"/>
          <w:sz w:val="16"/>
        </w:rPr>
        <w:t>284:F253,</w:t>
      </w:r>
      <w:r>
        <w:rPr>
          <w:rFonts w:ascii="Arial"/>
          <w:color w:val="231F20"/>
          <w:spacing w:val="-9"/>
          <w:sz w:val="16"/>
        </w:rPr>
        <w:t> </w:t>
      </w:r>
      <w:r>
        <w:rPr>
          <w:rFonts w:ascii="Arial"/>
          <w:color w:val="231F20"/>
          <w:sz w:val="16"/>
        </w:rPr>
        <w:t>2003.</w:t>
      </w:r>
    </w:p>
    <w:p>
      <w:pPr>
        <w:spacing w:line="261" w:lineRule="auto" w:before="0"/>
        <w:ind w:left="84" w:right="1079" w:firstLine="0"/>
        <w:jc w:val="right"/>
        <w:rPr>
          <w:rFonts w:ascii="Arial"/>
          <w:sz w:val="16"/>
        </w:rPr>
      </w:pPr>
      <w:r>
        <w:rPr>
          <w:rFonts w:ascii="Arial"/>
          <w:color w:val="231F20"/>
          <w:sz w:val="16"/>
        </w:rPr>
        <w:t>Pannabecker TL: Comparative physiology and architecture associ-</w:t>
      </w:r>
      <w:r>
        <w:rPr>
          <w:rFonts w:ascii="Arial"/>
          <w:color w:val="231F20"/>
          <w:w w:val="99"/>
          <w:sz w:val="16"/>
        </w:rPr>
        <w:t> </w:t>
      </w:r>
      <w:r>
        <w:rPr>
          <w:rFonts w:ascii="Arial"/>
          <w:color w:val="231F20"/>
          <w:sz w:val="16"/>
        </w:rPr>
        <w:t>ated with the mammalian urine concentrating mechanism: role of</w:t>
      </w:r>
      <w:r>
        <w:rPr>
          <w:rFonts w:ascii="Arial"/>
          <w:color w:val="231F20"/>
          <w:w w:val="106"/>
          <w:sz w:val="16"/>
        </w:rPr>
        <w:t> </w:t>
      </w:r>
      <w:r>
        <w:rPr>
          <w:rFonts w:ascii="Arial"/>
          <w:color w:val="231F20"/>
          <w:sz w:val="16"/>
        </w:rPr>
        <w:t>inner medullary water and urea transport pathways in the rodent</w:t>
      </w:r>
      <w:r>
        <w:rPr>
          <w:rFonts w:ascii="Arial"/>
          <w:color w:val="231F20"/>
          <w:w w:val="99"/>
          <w:sz w:val="16"/>
        </w:rPr>
        <w:t> </w:t>
      </w:r>
      <w:r>
        <w:rPr>
          <w:rFonts w:ascii="Arial"/>
          <w:color w:val="231F20"/>
          <w:sz w:val="16"/>
        </w:rPr>
        <w:t>medulla. Am J Physiol Regul Integr Comp Physiol 304:R488, 2013.</w:t>
      </w:r>
      <w:r>
        <w:rPr>
          <w:rFonts w:ascii="Arial"/>
          <w:color w:val="231F20"/>
          <w:w w:val="99"/>
          <w:sz w:val="16"/>
        </w:rPr>
        <w:t> </w:t>
      </w:r>
      <w:r>
        <w:rPr>
          <w:rFonts w:ascii="Arial"/>
          <w:color w:val="231F20"/>
          <w:sz w:val="16"/>
        </w:rPr>
        <w:t>Sands JM, Bichet DG: Nephrogenic diabetes insipidus. Ann Intern</w:t>
      </w:r>
    </w:p>
    <w:p>
      <w:pPr>
        <w:spacing w:line="181" w:lineRule="exact" w:before="0"/>
        <w:ind w:left="479" w:right="0" w:firstLine="0"/>
        <w:jc w:val="both"/>
        <w:rPr>
          <w:rFonts w:ascii="Arial"/>
          <w:sz w:val="16"/>
        </w:rPr>
      </w:pPr>
      <w:r>
        <w:rPr>
          <w:rFonts w:ascii="Arial"/>
          <w:color w:val="231F20"/>
          <w:sz w:val="16"/>
        </w:rPr>
        <w:t>Med 144:186, 2006.</w:t>
      </w:r>
    </w:p>
    <w:p>
      <w:pPr>
        <w:spacing w:line="261" w:lineRule="auto" w:before="6"/>
        <w:ind w:left="479" w:right="1077" w:hanging="160"/>
        <w:jc w:val="both"/>
        <w:rPr>
          <w:rFonts w:ascii="Arial"/>
          <w:sz w:val="16"/>
        </w:rPr>
      </w:pPr>
      <w:r>
        <w:rPr>
          <w:rFonts w:ascii="Arial"/>
          <w:color w:val="231F20"/>
          <w:sz w:val="16"/>
        </w:rPr>
        <w:t>Sands JM, Layton HE: The physiology of urinary concentration:</w:t>
      </w:r>
      <w:r>
        <w:rPr>
          <w:rFonts w:ascii="Arial"/>
          <w:color w:val="231F20"/>
          <w:spacing w:val="-14"/>
          <w:sz w:val="16"/>
        </w:rPr>
        <w:t> </w:t>
      </w:r>
      <w:r>
        <w:rPr>
          <w:rFonts w:ascii="Arial"/>
          <w:color w:val="231F20"/>
          <w:spacing w:val="-6"/>
          <w:sz w:val="16"/>
        </w:rPr>
        <w:t>an </w:t>
      </w:r>
      <w:r>
        <w:rPr>
          <w:rFonts w:ascii="Arial"/>
          <w:color w:val="231F20"/>
          <w:sz w:val="16"/>
        </w:rPr>
        <w:t>update. Semin Nephrol 29:178,</w:t>
      </w:r>
      <w:r>
        <w:rPr>
          <w:rFonts w:ascii="Arial"/>
          <w:color w:val="231F20"/>
          <w:spacing w:val="25"/>
          <w:sz w:val="16"/>
        </w:rPr>
        <w:t> </w:t>
      </w:r>
      <w:r>
        <w:rPr>
          <w:rFonts w:ascii="Arial"/>
          <w:color w:val="231F20"/>
          <w:sz w:val="16"/>
        </w:rPr>
        <w:t>2009.</w:t>
      </w:r>
    </w:p>
    <w:p>
      <w:pPr>
        <w:spacing w:line="261" w:lineRule="auto" w:before="0"/>
        <w:ind w:left="479" w:right="1077" w:hanging="160"/>
        <w:jc w:val="both"/>
        <w:rPr>
          <w:rFonts w:ascii="Arial"/>
          <w:sz w:val="16"/>
        </w:rPr>
      </w:pPr>
      <w:r>
        <w:rPr>
          <w:rFonts w:ascii="Arial"/>
          <w:color w:val="231F20"/>
          <w:sz w:val="16"/>
        </w:rPr>
        <w:t>Sharif-Naeini</w:t>
      </w:r>
      <w:r>
        <w:rPr>
          <w:rFonts w:ascii="Arial"/>
          <w:color w:val="231F20"/>
          <w:spacing w:val="-31"/>
          <w:sz w:val="16"/>
        </w:rPr>
        <w:t> </w:t>
      </w:r>
      <w:r>
        <w:rPr>
          <w:rFonts w:ascii="Arial"/>
          <w:color w:val="231F20"/>
          <w:sz w:val="16"/>
        </w:rPr>
        <w:t>R,</w:t>
      </w:r>
      <w:r>
        <w:rPr>
          <w:rFonts w:ascii="Arial"/>
          <w:color w:val="231F20"/>
          <w:spacing w:val="-31"/>
          <w:sz w:val="16"/>
        </w:rPr>
        <w:t> </w:t>
      </w:r>
      <w:r>
        <w:rPr>
          <w:rFonts w:ascii="Arial"/>
          <w:color w:val="231F20"/>
          <w:sz w:val="16"/>
        </w:rPr>
        <w:t>Ciura</w:t>
      </w:r>
      <w:r>
        <w:rPr>
          <w:rFonts w:ascii="Arial"/>
          <w:color w:val="231F20"/>
          <w:spacing w:val="-31"/>
          <w:sz w:val="16"/>
        </w:rPr>
        <w:t> </w:t>
      </w:r>
      <w:r>
        <w:rPr>
          <w:rFonts w:ascii="Arial"/>
          <w:color w:val="231F20"/>
          <w:sz w:val="16"/>
        </w:rPr>
        <w:t>S,</w:t>
      </w:r>
      <w:r>
        <w:rPr>
          <w:rFonts w:ascii="Arial"/>
          <w:color w:val="231F20"/>
          <w:spacing w:val="-31"/>
          <w:sz w:val="16"/>
        </w:rPr>
        <w:t> </w:t>
      </w:r>
      <w:r>
        <w:rPr>
          <w:rFonts w:ascii="Arial"/>
          <w:color w:val="231F20"/>
          <w:sz w:val="16"/>
        </w:rPr>
        <w:t>Zhang</w:t>
      </w:r>
      <w:r>
        <w:rPr>
          <w:rFonts w:ascii="Arial"/>
          <w:color w:val="231F20"/>
          <w:spacing w:val="-31"/>
          <w:sz w:val="16"/>
        </w:rPr>
        <w:t> </w:t>
      </w:r>
      <w:r>
        <w:rPr>
          <w:rFonts w:ascii="Arial"/>
          <w:color w:val="231F20"/>
          <w:sz w:val="16"/>
        </w:rPr>
        <w:t>Z,</w:t>
      </w:r>
      <w:r>
        <w:rPr>
          <w:rFonts w:ascii="Arial"/>
          <w:color w:val="231F20"/>
          <w:spacing w:val="-31"/>
          <w:sz w:val="16"/>
        </w:rPr>
        <w:t> </w:t>
      </w:r>
      <w:r>
        <w:rPr>
          <w:rFonts w:ascii="Arial"/>
          <w:color w:val="231F20"/>
          <w:sz w:val="16"/>
        </w:rPr>
        <w:t>Bourque</w:t>
      </w:r>
      <w:r>
        <w:rPr>
          <w:rFonts w:ascii="Arial"/>
          <w:color w:val="231F20"/>
          <w:spacing w:val="-31"/>
          <w:sz w:val="16"/>
        </w:rPr>
        <w:t> </w:t>
      </w:r>
      <w:r>
        <w:rPr>
          <w:rFonts w:ascii="Arial"/>
          <w:color w:val="231F20"/>
          <w:sz w:val="16"/>
        </w:rPr>
        <w:t>CW:</w:t>
      </w:r>
      <w:r>
        <w:rPr>
          <w:rFonts w:ascii="Arial"/>
          <w:color w:val="231F20"/>
          <w:spacing w:val="-31"/>
          <w:sz w:val="16"/>
        </w:rPr>
        <w:t> </w:t>
      </w:r>
      <w:r>
        <w:rPr>
          <w:rFonts w:ascii="Arial"/>
          <w:color w:val="231F20"/>
          <w:sz w:val="16"/>
        </w:rPr>
        <w:t>Contribution</w:t>
      </w:r>
      <w:r>
        <w:rPr>
          <w:rFonts w:ascii="Arial"/>
          <w:color w:val="231F20"/>
          <w:spacing w:val="-31"/>
          <w:sz w:val="16"/>
        </w:rPr>
        <w:t> </w:t>
      </w:r>
      <w:r>
        <w:rPr>
          <w:rFonts w:ascii="Arial"/>
          <w:color w:val="231F20"/>
          <w:sz w:val="16"/>
        </w:rPr>
        <w:t>of</w:t>
      </w:r>
      <w:r>
        <w:rPr>
          <w:rFonts w:ascii="Arial"/>
          <w:color w:val="231F20"/>
          <w:spacing w:val="-31"/>
          <w:sz w:val="16"/>
        </w:rPr>
        <w:t> </w:t>
      </w:r>
      <w:r>
        <w:rPr>
          <w:rFonts w:ascii="Arial"/>
          <w:color w:val="231F20"/>
          <w:spacing w:val="-3"/>
          <w:sz w:val="16"/>
        </w:rPr>
        <w:t>TRPV </w:t>
      </w:r>
      <w:r>
        <w:rPr>
          <w:rFonts w:ascii="Arial"/>
          <w:color w:val="231F20"/>
          <w:sz w:val="16"/>
        </w:rPr>
        <w:t>channels to osmosensory transduction, thirst, and </w:t>
      </w:r>
      <w:r>
        <w:rPr>
          <w:rFonts w:ascii="Arial"/>
          <w:color w:val="231F20"/>
          <w:spacing w:val="-3"/>
          <w:sz w:val="16"/>
        </w:rPr>
        <w:t>vasopressin </w:t>
      </w:r>
      <w:r>
        <w:rPr>
          <w:rFonts w:ascii="Arial"/>
          <w:color w:val="231F20"/>
          <w:sz w:val="16"/>
        </w:rPr>
        <w:t>release. Kidney Int 73:811,</w:t>
      </w:r>
      <w:r>
        <w:rPr>
          <w:rFonts w:ascii="Arial"/>
          <w:color w:val="231F20"/>
          <w:spacing w:val="24"/>
          <w:sz w:val="16"/>
        </w:rPr>
        <w:t> </w:t>
      </w:r>
      <w:r>
        <w:rPr>
          <w:rFonts w:ascii="Arial"/>
          <w:color w:val="231F20"/>
          <w:sz w:val="16"/>
        </w:rPr>
        <w:t>2008.</w:t>
      </w:r>
    </w:p>
    <w:p>
      <w:pPr>
        <w:spacing w:line="261" w:lineRule="auto" w:before="0"/>
        <w:ind w:left="479" w:right="1077" w:hanging="160"/>
        <w:jc w:val="both"/>
        <w:rPr>
          <w:rFonts w:ascii="Arial"/>
          <w:sz w:val="16"/>
        </w:rPr>
      </w:pPr>
      <w:r>
        <w:rPr>
          <w:rFonts w:ascii="Arial"/>
          <w:color w:val="231F20"/>
          <w:sz w:val="16"/>
        </w:rPr>
        <w:t>Sladek</w:t>
      </w:r>
      <w:r>
        <w:rPr>
          <w:rFonts w:ascii="Arial"/>
          <w:color w:val="231F20"/>
          <w:spacing w:val="-9"/>
          <w:sz w:val="16"/>
        </w:rPr>
        <w:t> </w:t>
      </w:r>
      <w:r>
        <w:rPr>
          <w:rFonts w:ascii="Arial"/>
          <w:color w:val="231F20"/>
          <w:sz w:val="16"/>
        </w:rPr>
        <w:t>CD,</w:t>
      </w:r>
      <w:r>
        <w:rPr>
          <w:rFonts w:ascii="Arial"/>
          <w:color w:val="231F20"/>
          <w:spacing w:val="-8"/>
          <w:sz w:val="16"/>
        </w:rPr>
        <w:t> </w:t>
      </w:r>
      <w:r>
        <w:rPr>
          <w:rFonts w:ascii="Arial"/>
          <w:color w:val="231F20"/>
          <w:sz w:val="16"/>
        </w:rPr>
        <w:t>Johnson</w:t>
      </w:r>
      <w:r>
        <w:rPr>
          <w:rFonts w:ascii="Arial"/>
          <w:color w:val="231F20"/>
          <w:spacing w:val="-9"/>
          <w:sz w:val="16"/>
        </w:rPr>
        <w:t> </w:t>
      </w:r>
      <w:r>
        <w:rPr>
          <w:rFonts w:ascii="Arial"/>
          <w:color w:val="231F20"/>
          <w:sz w:val="16"/>
        </w:rPr>
        <w:t>AK:</w:t>
      </w:r>
      <w:r>
        <w:rPr>
          <w:rFonts w:ascii="Arial"/>
          <w:color w:val="231F20"/>
          <w:spacing w:val="-8"/>
          <w:sz w:val="16"/>
        </w:rPr>
        <w:t> </w:t>
      </w:r>
      <w:r>
        <w:rPr>
          <w:rFonts w:ascii="Arial"/>
          <w:color w:val="231F20"/>
          <w:sz w:val="16"/>
        </w:rPr>
        <w:t>Integration</w:t>
      </w:r>
      <w:r>
        <w:rPr>
          <w:rFonts w:ascii="Arial"/>
          <w:color w:val="231F20"/>
          <w:spacing w:val="-9"/>
          <w:sz w:val="16"/>
        </w:rPr>
        <w:t> </w:t>
      </w:r>
      <w:r>
        <w:rPr>
          <w:rFonts w:ascii="Arial"/>
          <w:color w:val="231F20"/>
          <w:sz w:val="16"/>
        </w:rPr>
        <w:t>of</w:t>
      </w:r>
      <w:r>
        <w:rPr>
          <w:rFonts w:ascii="Arial"/>
          <w:color w:val="231F20"/>
          <w:spacing w:val="-8"/>
          <w:sz w:val="16"/>
        </w:rPr>
        <w:t> </w:t>
      </w:r>
      <w:r>
        <w:rPr>
          <w:rFonts w:ascii="Arial"/>
          <w:color w:val="231F20"/>
          <w:sz w:val="16"/>
        </w:rPr>
        <w:t>thermal</w:t>
      </w:r>
      <w:r>
        <w:rPr>
          <w:rFonts w:ascii="Arial"/>
          <w:color w:val="231F20"/>
          <w:spacing w:val="-9"/>
          <w:sz w:val="16"/>
        </w:rPr>
        <w:t> </w:t>
      </w:r>
      <w:r>
        <w:rPr>
          <w:rFonts w:ascii="Arial"/>
          <w:color w:val="231F20"/>
          <w:sz w:val="16"/>
        </w:rPr>
        <w:t>and</w:t>
      </w:r>
      <w:r>
        <w:rPr>
          <w:rFonts w:ascii="Arial"/>
          <w:color w:val="231F20"/>
          <w:spacing w:val="-8"/>
          <w:sz w:val="16"/>
        </w:rPr>
        <w:t> </w:t>
      </w:r>
      <w:r>
        <w:rPr>
          <w:rFonts w:ascii="Arial"/>
          <w:color w:val="231F20"/>
          <w:sz w:val="16"/>
        </w:rPr>
        <w:t>osmotic</w:t>
      </w:r>
      <w:r>
        <w:rPr>
          <w:rFonts w:ascii="Arial"/>
          <w:color w:val="231F20"/>
          <w:spacing w:val="-9"/>
          <w:sz w:val="16"/>
        </w:rPr>
        <w:t> </w:t>
      </w:r>
      <w:r>
        <w:rPr>
          <w:rFonts w:ascii="Arial"/>
          <w:color w:val="231F20"/>
          <w:spacing w:val="-3"/>
          <w:sz w:val="16"/>
        </w:rPr>
        <w:t>regula- </w:t>
      </w:r>
      <w:r>
        <w:rPr>
          <w:rFonts w:ascii="Arial"/>
          <w:color w:val="231F20"/>
          <w:sz w:val="16"/>
        </w:rPr>
        <w:t>tion</w:t>
      </w:r>
      <w:r>
        <w:rPr>
          <w:rFonts w:ascii="Arial"/>
          <w:color w:val="231F20"/>
          <w:spacing w:val="-23"/>
          <w:sz w:val="16"/>
        </w:rPr>
        <w:t> </w:t>
      </w:r>
      <w:r>
        <w:rPr>
          <w:rFonts w:ascii="Arial"/>
          <w:color w:val="231F20"/>
          <w:sz w:val="16"/>
        </w:rPr>
        <w:t>of</w:t>
      </w:r>
      <w:r>
        <w:rPr>
          <w:rFonts w:ascii="Arial"/>
          <w:color w:val="231F20"/>
          <w:spacing w:val="-23"/>
          <w:sz w:val="16"/>
        </w:rPr>
        <w:t> </w:t>
      </w:r>
      <w:r>
        <w:rPr>
          <w:rFonts w:ascii="Arial"/>
          <w:color w:val="231F20"/>
          <w:sz w:val="16"/>
        </w:rPr>
        <w:t>water</w:t>
      </w:r>
      <w:r>
        <w:rPr>
          <w:rFonts w:ascii="Arial"/>
          <w:color w:val="231F20"/>
          <w:spacing w:val="-23"/>
          <w:sz w:val="16"/>
        </w:rPr>
        <w:t> </w:t>
      </w:r>
      <w:r>
        <w:rPr>
          <w:rFonts w:ascii="Arial"/>
          <w:color w:val="231F20"/>
          <w:sz w:val="16"/>
        </w:rPr>
        <w:t>homeostasis:</w:t>
      </w:r>
      <w:r>
        <w:rPr>
          <w:rFonts w:ascii="Arial"/>
          <w:color w:val="231F20"/>
          <w:spacing w:val="-22"/>
          <w:sz w:val="16"/>
        </w:rPr>
        <w:t> </w:t>
      </w:r>
      <w:r>
        <w:rPr>
          <w:rFonts w:ascii="Arial"/>
          <w:color w:val="231F20"/>
          <w:sz w:val="16"/>
        </w:rPr>
        <w:t>the</w:t>
      </w:r>
      <w:r>
        <w:rPr>
          <w:rFonts w:ascii="Arial"/>
          <w:color w:val="231F20"/>
          <w:spacing w:val="-23"/>
          <w:sz w:val="16"/>
        </w:rPr>
        <w:t> </w:t>
      </w:r>
      <w:r>
        <w:rPr>
          <w:rFonts w:ascii="Arial"/>
          <w:color w:val="231F20"/>
          <w:sz w:val="16"/>
        </w:rPr>
        <w:t>role</w:t>
      </w:r>
      <w:r>
        <w:rPr>
          <w:rFonts w:ascii="Arial"/>
          <w:color w:val="231F20"/>
          <w:spacing w:val="-23"/>
          <w:sz w:val="16"/>
        </w:rPr>
        <w:t> </w:t>
      </w:r>
      <w:r>
        <w:rPr>
          <w:rFonts w:ascii="Arial"/>
          <w:color w:val="231F20"/>
          <w:sz w:val="16"/>
        </w:rPr>
        <w:t>of</w:t>
      </w:r>
      <w:r>
        <w:rPr>
          <w:rFonts w:ascii="Arial"/>
          <w:color w:val="231F20"/>
          <w:spacing w:val="-23"/>
          <w:sz w:val="16"/>
        </w:rPr>
        <w:t> </w:t>
      </w:r>
      <w:r>
        <w:rPr>
          <w:rFonts w:ascii="Arial"/>
          <w:color w:val="231F20"/>
          <w:sz w:val="16"/>
        </w:rPr>
        <w:t>TRPV</w:t>
      </w:r>
      <w:r>
        <w:rPr>
          <w:rFonts w:ascii="Arial"/>
          <w:color w:val="231F20"/>
          <w:spacing w:val="-22"/>
          <w:sz w:val="16"/>
        </w:rPr>
        <w:t> </w:t>
      </w:r>
      <w:r>
        <w:rPr>
          <w:rFonts w:ascii="Arial"/>
          <w:color w:val="231F20"/>
          <w:sz w:val="16"/>
        </w:rPr>
        <w:t>channels.</w:t>
      </w:r>
      <w:r>
        <w:rPr>
          <w:rFonts w:ascii="Arial"/>
          <w:color w:val="231F20"/>
          <w:spacing w:val="-23"/>
          <w:sz w:val="16"/>
        </w:rPr>
        <w:t> </w:t>
      </w:r>
      <w:r>
        <w:rPr>
          <w:rFonts w:ascii="Arial"/>
          <w:color w:val="231F20"/>
          <w:sz w:val="16"/>
        </w:rPr>
        <w:t>Am</w:t>
      </w:r>
      <w:r>
        <w:rPr>
          <w:rFonts w:ascii="Arial"/>
          <w:color w:val="231F20"/>
          <w:spacing w:val="-23"/>
          <w:sz w:val="16"/>
        </w:rPr>
        <w:t> </w:t>
      </w:r>
      <w:r>
        <w:rPr>
          <w:rFonts w:ascii="Arial"/>
          <w:color w:val="231F20"/>
          <w:sz w:val="16"/>
        </w:rPr>
        <w:t>J</w:t>
      </w:r>
      <w:r>
        <w:rPr>
          <w:rFonts w:ascii="Arial"/>
          <w:color w:val="231F20"/>
          <w:spacing w:val="-23"/>
          <w:sz w:val="16"/>
        </w:rPr>
        <w:t> </w:t>
      </w:r>
      <w:r>
        <w:rPr>
          <w:rFonts w:ascii="Arial"/>
          <w:color w:val="231F20"/>
          <w:spacing w:val="-3"/>
          <w:sz w:val="16"/>
        </w:rPr>
        <w:t>Physiol </w:t>
      </w:r>
      <w:r>
        <w:rPr>
          <w:rFonts w:ascii="Arial"/>
          <w:color w:val="231F20"/>
          <w:sz w:val="16"/>
        </w:rPr>
        <w:t>Regul Integr Comp Physiol 305(7):R669,</w:t>
      </w:r>
      <w:r>
        <w:rPr>
          <w:rFonts w:ascii="Arial"/>
          <w:color w:val="231F20"/>
          <w:spacing w:val="14"/>
          <w:sz w:val="16"/>
        </w:rPr>
        <w:t> </w:t>
      </w:r>
      <w:r>
        <w:rPr>
          <w:rFonts w:ascii="Arial"/>
          <w:color w:val="231F20"/>
          <w:sz w:val="16"/>
        </w:rPr>
        <w:t>2013.</w:t>
      </w:r>
    </w:p>
    <w:p>
      <w:pPr>
        <w:spacing w:line="261" w:lineRule="auto" w:before="0"/>
        <w:ind w:left="479" w:right="1077" w:hanging="160"/>
        <w:jc w:val="both"/>
        <w:rPr>
          <w:rFonts w:ascii="Arial"/>
          <w:sz w:val="16"/>
        </w:rPr>
      </w:pPr>
      <w:r>
        <w:rPr>
          <w:rFonts w:ascii="Arial"/>
          <w:color w:val="231F20"/>
          <w:w w:val="95"/>
          <w:sz w:val="16"/>
        </w:rPr>
        <w:t>Verbalis</w:t>
      </w:r>
      <w:r>
        <w:rPr>
          <w:rFonts w:ascii="Arial"/>
          <w:color w:val="231F20"/>
          <w:spacing w:val="-4"/>
          <w:w w:val="95"/>
          <w:sz w:val="16"/>
        </w:rPr>
        <w:t> </w:t>
      </w:r>
      <w:r>
        <w:rPr>
          <w:rFonts w:ascii="Arial"/>
          <w:color w:val="231F20"/>
          <w:w w:val="95"/>
          <w:sz w:val="16"/>
        </w:rPr>
        <w:t>JG,</w:t>
      </w:r>
      <w:r>
        <w:rPr>
          <w:rFonts w:ascii="Arial"/>
          <w:color w:val="231F20"/>
          <w:spacing w:val="-3"/>
          <w:w w:val="95"/>
          <w:sz w:val="16"/>
        </w:rPr>
        <w:t> </w:t>
      </w:r>
      <w:r>
        <w:rPr>
          <w:rFonts w:ascii="Arial"/>
          <w:color w:val="231F20"/>
          <w:w w:val="95"/>
          <w:sz w:val="16"/>
        </w:rPr>
        <w:t>Goldsmith</w:t>
      </w:r>
      <w:r>
        <w:rPr>
          <w:rFonts w:ascii="Arial"/>
          <w:color w:val="231F20"/>
          <w:spacing w:val="-4"/>
          <w:w w:val="95"/>
          <w:sz w:val="16"/>
        </w:rPr>
        <w:t> </w:t>
      </w:r>
      <w:r>
        <w:rPr>
          <w:rFonts w:ascii="Arial"/>
          <w:color w:val="231F20"/>
          <w:w w:val="95"/>
          <w:sz w:val="16"/>
        </w:rPr>
        <w:t>SR,</w:t>
      </w:r>
      <w:r>
        <w:rPr>
          <w:rFonts w:ascii="Arial"/>
          <w:color w:val="231F20"/>
          <w:spacing w:val="-3"/>
          <w:w w:val="95"/>
          <w:sz w:val="16"/>
        </w:rPr>
        <w:t> </w:t>
      </w:r>
      <w:r>
        <w:rPr>
          <w:rFonts w:ascii="Arial"/>
          <w:color w:val="231F20"/>
          <w:w w:val="95"/>
          <w:sz w:val="16"/>
        </w:rPr>
        <w:t>Greenberg</w:t>
      </w:r>
      <w:r>
        <w:rPr>
          <w:rFonts w:ascii="Arial"/>
          <w:color w:val="231F20"/>
          <w:spacing w:val="-4"/>
          <w:w w:val="95"/>
          <w:sz w:val="16"/>
        </w:rPr>
        <w:t> </w:t>
      </w:r>
      <w:r>
        <w:rPr>
          <w:rFonts w:ascii="Arial"/>
          <w:color w:val="231F20"/>
          <w:w w:val="95"/>
          <w:sz w:val="16"/>
        </w:rPr>
        <w:t>A,</w:t>
      </w:r>
      <w:r>
        <w:rPr>
          <w:rFonts w:ascii="Arial"/>
          <w:color w:val="231F20"/>
          <w:spacing w:val="-3"/>
          <w:w w:val="95"/>
          <w:sz w:val="16"/>
        </w:rPr>
        <w:t> </w:t>
      </w:r>
      <w:r>
        <w:rPr>
          <w:rFonts w:ascii="Arial"/>
          <w:color w:val="231F20"/>
          <w:w w:val="95"/>
          <w:sz w:val="16"/>
        </w:rPr>
        <w:t>et</w:t>
      </w:r>
      <w:r>
        <w:rPr>
          <w:rFonts w:ascii="Arial"/>
          <w:color w:val="231F20"/>
          <w:spacing w:val="-4"/>
          <w:w w:val="95"/>
          <w:sz w:val="16"/>
        </w:rPr>
        <w:t> </w:t>
      </w:r>
      <w:r>
        <w:rPr>
          <w:rFonts w:ascii="Arial"/>
          <w:color w:val="231F20"/>
          <w:w w:val="95"/>
          <w:sz w:val="16"/>
        </w:rPr>
        <w:t>al:</w:t>
      </w:r>
      <w:r>
        <w:rPr>
          <w:rFonts w:ascii="Arial"/>
          <w:color w:val="231F20"/>
          <w:spacing w:val="-3"/>
          <w:w w:val="95"/>
          <w:sz w:val="16"/>
        </w:rPr>
        <w:t> </w:t>
      </w:r>
      <w:r>
        <w:rPr>
          <w:rFonts w:ascii="Arial"/>
          <w:color w:val="231F20"/>
          <w:w w:val="95"/>
          <w:sz w:val="16"/>
        </w:rPr>
        <w:t>Diagnosis,</w:t>
      </w:r>
      <w:r>
        <w:rPr>
          <w:rFonts w:ascii="Arial"/>
          <w:color w:val="231F20"/>
          <w:spacing w:val="-4"/>
          <w:w w:val="95"/>
          <w:sz w:val="16"/>
        </w:rPr>
        <w:t> </w:t>
      </w:r>
      <w:r>
        <w:rPr>
          <w:rFonts w:ascii="Arial"/>
          <w:color w:val="231F20"/>
          <w:w w:val="95"/>
          <w:sz w:val="16"/>
        </w:rPr>
        <w:t>evaluation, </w:t>
      </w:r>
      <w:r>
        <w:rPr>
          <w:rFonts w:ascii="Arial"/>
          <w:color w:val="231F20"/>
          <w:sz w:val="16"/>
        </w:rPr>
        <w:t>and treatment of hyponatremia: expert panel recommendations. Am J Med 126(10 Suppl 1):S1,</w:t>
      </w:r>
      <w:r>
        <w:rPr>
          <w:rFonts w:ascii="Arial"/>
          <w:color w:val="231F20"/>
          <w:spacing w:val="34"/>
          <w:sz w:val="16"/>
        </w:rPr>
        <w:t> </w:t>
      </w:r>
      <w:r>
        <w:rPr>
          <w:rFonts w:ascii="Arial"/>
          <w:color w:val="231F20"/>
          <w:sz w:val="16"/>
        </w:rPr>
        <w:t>2013.</w:t>
      </w:r>
    </w:p>
    <w:p>
      <w:pPr>
        <w:spacing w:after="0" w:line="261" w:lineRule="auto"/>
        <w:jc w:val="both"/>
        <w:rPr>
          <w:rFonts w:ascii="Arial"/>
          <w:sz w:val="16"/>
        </w:rPr>
        <w:sectPr>
          <w:type w:val="continuous"/>
          <w:pgSz w:w="12240" w:h="15660"/>
          <w:pgMar w:top="0" w:bottom="760" w:left="0" w:right="0"/>
          <w:cols w:num="2" w:equalWidth="0">
            <w:col w:w="6121" w:space="40"/>
            <w:col w:w="607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845"/>
          <w:footerReference w:type="default" r:id="rId846"/>
          <w:footerReference w:type="even" r:id="rId847"/>
          <w:pgSz w:w="12240" w:h="15660"/>
          <w:pgMar w:header="0" w:footer="567" w:top="0" w:bottom="760" w:left="0" w:right="0"/>
          <w:pgNumType w:start="389"/>
        </w:sectPr>
      </w:pPr>
    </w:p>
    <w:p>
      <w:pPr>
        <w:pStyle w:val="BodyText"/>
        <w:spacing w:before="6"/>
        <w:rPr>
          <w:rFonts w:ascii="Arial"/>
          <w:sz w:val="27"/>
        </w:rPr>
      </w:pPr>
      <w:r>
        <w:rPr/>
        <w:pict>
          <v:group style="position:absolute;margin-left:0pt;margin-top:0pt;width:612pt;height:180pt;mso-position-horizontal-relative:page;mso-position-vertical-relative:page;z-index:252545024"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848" o:title=""/>
            </v:shape>
            <v:shape style="position:absolute;left:2622;top:2428;width:8558;height:620" type="#_x0000_t202" filled="false" stroked="false">
              <v:textbox inset="0,0,0,0">
                <w:txbxContent>
                  <w:p>
                    <w:pPr>
                      <w:spacing w:before="36"/>
                      <w:ind w:left="0" w:right="0" w:firstLine="0"/>
                      <w:jc w:val="left"/>
                      <w:rPr>
                        <w:b/>
                        <w:sz w:val="38"/>
                      </w:rPr>
                    </w:pPr>
                    <w:r>
                      <w:rPr>
                        <w:b/>
                        <w:color w:val="231F20"/>
                        <w:sz w:val="38"/>
                      </w:rPr>
                      <w:t>and</w:t>
                    </w:r>
                    <w:r>
                      <w:rPr>
                        <w:b/>
                        <w:color w:val="231F20"/>
                        <w:spacing w:val="-48"/>
                        <w:sz w:val="38"/>
                      </w:rPr>
                      <w:t> </w:t>
                    </w:r>
                    <w:r>
                      <w:rPr>
                        <w:b/>
                        <w:color w:val="231F20"/>
                        <w:sz w:val="38"/>
                      </w:rPr>
                      <w:t>Magnesium;</w:t>
                    </w:r>
                    <w:r>
                      <w:rPr>
                        <w:b/>
                        <w:color w:val="231F20"/>
                        <w:spacing w:val="-47"/>
                        <w:sz w:val="38"/>
                      </w:rPr>
                      <w:t> </w:t>
                    </w:r>
                    <w:r>
                      <w:rPr>
                        <w:b/>
                        <w:color w:val="231F20"/>
                        <w:sz w:val="38"/>
                      </w:rPr>
                      <w:t>Integration</w:t>
                    </w:r>
                    <w:r>
                      <w:rPr>
                        <w:b/>
                        <w:color w:val="231F20"/>
                        <w:spacing w:val="-47"/>
                        <w:sz w:val="38"/>
                      </w:rPr>
                      <w:t> </w:t>
                    </w:r>
                    <w:r>
                      <w:rPr>
                        <w:b/>
                        <w:color w:val="231F20"/>
                        <w:sz w:val="38"/>
                      </w:rPr>
                      <w:t>of</w:t>
                    </w:r>
                    <w:r>
                      <w:rPr>
                        <w:b/>
                        <w:color w:val="231F20"/>
                        <w:spacing w:val="-47"/>
                        <w:sz w:val="38"/>
                      </w:rPr>
                      <w:t> </w:t>
                    </w:r>
                    <w:r>
                      <w:rPr>
                        <w:b/>
                        <w:color w:val="231F20"/>
                        <w:sz w:val="38"/>
                      </w:rPr>
                      <w:t>Renal</w:t>
                    </w:r>
                    <w:r>
                      <w:rPr>
                        <w:b/>
                        <w:color w:val="231F20"/>
                        <w:spacing w:val="-48"/>
                        <w:sz w:val="38"/>
                      </w:rPr>
                      <w:t> </w:t>
                    </w:r>
                    <w:r>
                      <w:rPr>
                        <w:b/>
                        <w:color w:val="231F20"/>
                        <w:sz w:val="38"/>
                      </w:rPr>
                      <w:t>Mechanisms</w:t>
                    </w:r>
                    <w:r>
                      <w:rPr>
                        <w:b/>
                        <w:color w:val="231F20"/>
                        <w:spacing w:val="-47"/>
                        <w:sz w:val="38"/>
                      </w:rPr>
                      <w:t> </w:t>
                    </w:r>
                    <w:r>
                      <w:rPr>
                        <w:b/>
                        <w:color w:val="231F20"/>
                        <w:sz w:val="38"/>
                      </w:rPr>
                      <w:t>for</w:t>
                    </w:r>
                  </w:p>
                </w:txbxContent>
              </v:textbox>
              <w10:wrap type="none"/>
            </v:shape>
            <v:shape style="position:absolute;left:2156;top:2848;width:9024;height:620" type="#_x0000_t202" filled="false" stroked="false">
              <v:textbox inset="0,0,0,0">
                <w:txbxContent>
                  <w:p>
                    <w:pPr>
                      <w:spacing w:before="36"/>
                      <w:ind w:left="0" w:right="0" w:firstLine="0"/>
                      <w:jc w:val="left"/>
                      <w:rPr>
                        <w:b/>
                        <w:sz w:val="38"/>
                      </w:rPr>
                    </w:pPr>
                    <w:r>
                      <w:rPr>
                        <w:b/>
                        <w:color w:val="231F20"/>
                        <w:sz w:val="38"/>
                      </w:rPr>
                      <w:t>Control</w:t>
                    </w:r>
                    <w:r>
                      <w:rPr>
                        <w:b/>
                        <w:color w:val="231F20"/>
                        <w:spacing w:val="-42"/>
                        <w:sz w:val="38"/>
                      </w:rPr>
                      <w:t> </w:t>
                    </w:r>
                    <w:r>
                      <w:rPr>
                        <w:b/>
                        <w:color w:val="231F20"/>
                        <w:sz w:val="38"/>
                      </w:rPr>
                      <w:t>of</w:t>
                    </w:r>
                    <w:r>
                      <w:rPr>
                        <w:b/>
                        <w:color w:val="231F20"/>
                        <w:spacing w:val="-41"/>
                        <w:sz w:val="38"/>
                      </w:rPr>
                      <w:t> </w:t>
                    </w:r>
                    <w:r>
                      <w:rPr>
                        <w:b/>
                        <w:color w:val="231F20"/>
                        <w:sz w:val="38"/>
                      </w:rPr>
                      <w:t>Blood</w:t>
                    </w:r>
                    <w:r>
                      <w:rPr>
                        <w:b/>
                        <w:color w:val="231F20"/>
                        <w:spacing w:val="-41"/>
                        <w:sz w:val="38"/>
                      </w:rPr>
                      <w:t> </w:t>
                    </w:r>
                    <w:r>
                      <w:rPr>
                        <w:b/>
                        <w:color w:val="231F20"/>
                        <w:spacing w:val="-6"/>
                        <w:sz w:val="38"/>
                      </w:rPr>
                      <w:t>Volume</w:t>
                    </w:r>
                    <w:r>
                      <w:rPr>
                        <w:b/>
                        <w:color w:val="231F20"/>
                        <w:spacing w:val="-41"/>
                        <w:sz w:val="38"/>
                      </w:rPr>
                      <w:t> </w:t>
                    </w:r>
                    <w:r>
                      <w:rPr>
                        <w:b/>
                        <w:color w:val="231F20"/>
                        <w:sz w:val="38"/>
                      </w:rPr>
                      <w:t>and</w:t>
                    </w:r>
                    <w:r>
                      <w:rPr>
                        <w:b/>
                        <w:color w:val="231F20"/>
                        <w:spacing w:val="-41"/>
                        <w:sz w:val="38"/>
                      </w:rPr>
                      <w:t> </w:t>
                    </w:r>
                    <w:r>
                      <w:rPr>
                        <w:b/>
                        <w:color w:val="231F20"/>
                        <w:sz w:val="38"/>
                      </w:rPr>
                      <w:t>Extracellular</w:t>
                    </w:r>
                    <w:r>
                      <w:rPr>
                        <w:b/>
                        <w:color w:val="231F20"/>
                        <w:spacing w:val="-41"/>
                        <w:sz w:val="38"/>
                      </w:rPr>
                      <w:t> </w:t>
                    </w:r>
                    <w:r>
                      <w:rPr>
                        <w:b/>
                        <w:color w:val="231F20"/>
                        <w:sz w:val="38"/>
                      </w:rPr>
                      <w:t>Fluid</w:t>
                    </w:r>
                    <w:r>
                      <w:rPr>
                        <w:b/>
                        <w:color w:val="231F20"/>
                        <w:spacing w:val="-41"/>
                        <w:sz w:val="38"/>
                      </w:rPr>
                      <w:t> </w:t>
                    </w:r>
                    <w:r>
                      <w:rPr>
                        <w:b/>
                        <w:color w:val="231F20"/>
                        <w:spacing w:val="-6"/>
                        <w:sz w:val="38"/>
                      </w:rPr>
                      <w:t>Volume</w:t>
                    </w:r>
                  </w:p>
                </w:txbxContent>
              </v:textbox>
              <w10:wrap type="none"/>
            </v:shape>
            <v:shape style="position:absolute;left:2888;top:2008;width:8292;height:620" type="#_x0000_t202" filled="false" stroked="false">
              <v:textbox inset="0,0,0,0">
                <w:txbxContent>
                  <w:p>
                    <w:pPr>
                      <w:spacing w:before="36"/>
                      <w:ind w:left="0" w:right="0" w:firstLine="0"/>
                      <w:jc w:val="left"/>
                      <w:rPr>
                        <w:b/>
                        <w:sz w:val="38"/>
                      </w:rPr>
                    </w:pPr>
                    <w:r>
                      <w:rPr>
                        <w:b/>
                        <w:color w:val="231F20"/>
                        <w:sz w:val="38"/>
                      </w:rPr>
                      <w:t>Renal</w:t>
                    </w:r>
                    <w:r>
                      <w:rPr>
                        <w:b/>
                        <w:color w:val="231F20"/>
                        <w:spacing w:val="-51"/>
                        <w:sz w:val="38"/>
                      </w:rPr>
                      <w:t> </w:t>
                    </w:r>
                    <w:r>
                      <w:rPr>
                        <w:b/>
                        <w:color w:val="231F20"/>
                        <w:sz w:val="38"/>
                      </w:rPr>
                      <w:t>Regulation</w:t>
                    </w:r>
                    <w:r>
                      <w:rPr>
                        <w:b/>
                        <w:color w:val="231F20"/>
                        <w:spacing w:val="-51"/>
                        <w:sz w:val="38"/>
                      </w:rPr>
                      <w:t> </w:t>
                    </w:r>
                    <w:r>
                      <w:rPr>
                        <w:b/>
                        <w:color w:val="231F20"/>
                        <w:sz w:val="38"/>
                      </w:rPr>
                      <w:t>of</w:t>
                    </w:r>
                    <w:r>
                      <w:rPr>
                        <w:b/>
                        <w:color w:val="231F20"/>
                        <w:spacing w:val="-50"/>
                        <w:sz w:val="38"/>
                      </w:rPr>
                      <w:t> </w:t>
                    </w:r>
                    <w:r>
                      <w:rPr>
                        <w:b/>
                        <w:color w:val="231F20"/>
                        <w:sz w:val="38"/>
                      </w:rPr>
                      <w:t>Potassium,</w:t>
                    </w:r>
                    <w:r>
                      <w:rPr>
                        <w:b/>
                        <w:color w:val="231F20"/>
                        <w:spacing w:val="-51"/>
                        <w:sz w:val="38"/>
                      </w:rPr>
                      <w:t> </w:t>
                    </w:r>
                    <w:r>
                      <w:rPr>
                        <w:b/>
                        <w:color w:val="231F20"/>
                        <w:sz w:val="38"/>
                      </w:rPr>
                      <w:t>Calcium,</w:t>
                    </w:r>
                    <w:r>
                      <w:rPr>
                        <w:b/>
                        <w:color w:val="231F20"/>
                        <w:spacing w:val="-50"/>
                        <w:sz w:val="38"/>
                      </w:rPr>
                      <w:t> </w:t>
                    </w:r>
                    <w:r>
                      <w:rPr>
                        <w:b/>
                        <w:color w:val="231F20"/>
                        <w:sz w:val="38"/>
                      </w:rPr>
                      <w:t>Phosphate,</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3</w:t>
                    </w:r>
                    <w:r>
                      <w:rPr>
                        <w:rFonts w:ascii="Trebuchet MS"/>
                        <w:b/>
                        <w:color w:val="231F20"/>
                        <w:spacing w:val="-44"/>
                        <w:w w:val="105"/>
                        <w:sz w:val="36"/>
                      </w:rPr>
                      <w:t> </w:t>
                    </w:r>
                    <w:r>
                      <w:rPr>
                        <w:rFonts w:ascii="Trebuchet MS"/>
                        <w:b/>
                        <w:color w:val="231F20"/>
                        <w:w w:val="105"/>
                        <w:sz w:val="36"/>
                      </w:rPr>
                      <w:t>0</w:t>
                    </w:r>
                  </w:p>
                </w:txbxContent>
              </v:textbox>
              <w10:wrap type="none"/>
            </v:shape>
            <w10:wrap type="none"/>
          </v:group>
        </w:pict>
      </w:r>
    </w:p>
    <w:p>
      <w:pPr>
        <w:pStyle w:val="BodyText"/>
        <w:ind w:left="1440" w:right="-58"/>
        <w:rPr>
          <w:rFonts w:ascii="Arial"/>
        </w:rPr>
      </w:pPr>
      <w:r>
        <w:rPr>
          <w:rFonts w:ascii="Arial"/>
        </w:rPr>
        <w:pict>
          <v:shape style="width:234pt;height:40pt;mso-position-horizontal-relative:char;mso-position-vertical-relative:line" type="#_x0000_t202" filled="true" fillcolor="#e8dac8" stroked="false">
            <w10:anchorlock/>
            <v:textbox inset="0,0,0,0">
              <w:txbxContent>
                <w:p>
                  <w:pPr>
                    <w:spacing w:line="225" w:lineRule="auto" w:before="46"/>
                    <w:ind w:left="60" w:right="596" w:firstLine="0"/>
                    <w:jc w:val="left"/>
                    <w:rPr>
                      <w:rFonts w:ascii="Trebuchet MS"/>
                      <w:b/>
                      <w:sz w:val="22"/>
                    </w:rPr>
                  </w:pPr>
                  <w:r>
                    <w:rPr>
                      <w:rFonts w:ascii="Trebuchet MS"/>
                      <w:b/>
                      <w:color w:val="231F20"/>
                      <w:w w:val="110"/>
                      <w:sz w:val="22"/>
                    </w:rPr>
                    <w:t>REGULATION OF EXTRACELLULAR FLUID POTASSIUM CONCENTRATION AND POTASSIUM EXCRETION</w:t>
                  </w:r>
                </w:p>
              </w:txbxContent>
            </v:textbox>
            <v:fill type="solid"/>
          </v:shape>
        </w:pict>
      </w:r>
      <w:r>
        <w:rPr>
          <w:rFonts w:ascii="Arial"/>
        </w:rPr>
      </w:r>
    </w:p>
    <w:p>
      <w:pPr>
        <w:pStyle w:val="BodyText"/>
        <w:spacing w:line="249" w:lineRule="auto" w:before="69"/>
        <w:ind w:left="1440"/>
        <w:jc w:val="both"/>
      </w:pPr>
      <w:r>
        <w:rPr/>
        <w:pict>
          <v:line style="position:absolute;mso-position-horizontal-relative:page;mso-position-vertical-relative:paragraph;z-index:252547072" from="72pt,-1.003034pt" to="306pt,-1.003034pt" stroked="true" strokeweight=".5pt" strokecolor="#231f20">
            <v:stroke dashstyle="solid"/>
            <w10:wrap type="none"/>
          </v:line>
        </w:pict>
      </w:r>
      <w:r>
        <w:rPr/>
        <w:pict>
          <v:shape style="position:absolute;margin-left:578.900024pt;margin-top:-136.906738pt;width:15.9pt;height:53.35pt;mso-position-horizontal-relative:page;mso-position-vertical-relative:paragraph;z-index:25254809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Extracellular fluid potassium concentration normally </w:t>
      </w:r>
      <w:r>
        <w:rPr>
          <w:color w:val="231F20"/>
          <w:spacing w:val="-8"/>
        </w:rPr>
        <w:t>is </w:t>
      </w:r>
      <w:r>
        <w:rPr>
          <w:color w:val="231F20"/>
        </w:rPr>
        <w:t>regulated at about 4.2 mEq/L, seldom rising or falling more than </w:t>
      </w:r>
      <w:r>
        <w:rPr>
          <w:rFonts w:ascii="Consolas" w:hAnsi="Consolas"/>
          <w:color w:val="231F20"/>
        </w:rPr>
        <w:t>±</w:t>
      </w:r>
      <w:r>
        <w:rPr>
          <w:color w:val="231F20"/>
        </w:rPr>
        <w:t>0.3 mEq/L. This precise control is necessary because many cell functions are sensitive to changes in extracellular fluid potassium concentration. </w:t>
      </w:r>
      <w:r>
        <w:rPr>
          <w:color w:val="231F20"/>
          <w:spacing w:val="-3"/>
        </w:rPr>
        <w:t>For instance, </w:t>
      </w:r>
      <w:r>
        <w:rPr>
          <w:color w:val="231F20"/>
        </w:rPr>
        <w:t>an increase in plasma potassium concentration of only 3 to 4 mEq/L can cause cardiac arrhythmias, and </w:t>
      </w:r>
      <w:r>
        <w:rPr>
          <w:color w:val="231F20"/>
          <w:spacing w:val="-3"/>
        </w:rPr>
        <w:t>higher </w:t>
      </w:r>
      <w:r>
        <w:rPr>
          <w:color w:val="231F20"/>
        </w:rPr>
        <w:t>concentrations</w:t>
      </w:r>
      <w:r>
        <w:rPr>
          <w:color w:val="231F20"/>
          <w:spacing w:val="18"/>
        </w:rPr>
        <w:t> </w:t>
      </w:r>
      <w:r>
        <w:rPr>
          <w:color w:val="231F20"/>
        </w:rPr>
        <w:t>can</w:t>
      </w:r>
      <w:r>
        <w:rPr>
          <w:color w:val="231F20"/>
          <w:spacing w:val="19"/>
        </w:rPr>
        <w:t> </w:t>
      </w:r>
      <w:r>
        <w:rPr>
          <w:color w:val="231F20"/>
        </w:rPr>
        <w:t>lead</w:t>
      </w:r>
      <w:r>
        <w:rPr>
          <w:color w:val="231F20"/>
          <w:spacing w:val="19"/>
        </w:rPr>
        <w:t> </w:t>
      </w:r>
      <w:r>
        <w:rPr>
          <w:color w:val="231F20"/>
        </w:rPr>
        <w:t>to</w:t>
      </w:r>
      <w:r>
        <w:rPr>
          <w:color w:val="231F20"/>
          <w:spacing w:val="19"/>
        </w:rPr>
        <w:t> </w:t>
      </w:r>
      <w:r>
        <w:rPr>
          <w:color w:val="231F20"/>
        </w:rPr>
        <w:t>cardiac</w:t>
      </w:r>
      <w:r>
        <w:rPr>
          <w:color w:val="231F20"/>
          <w:spacing w:val="19"/>
        </w:rPr>
        <w:t> </w:t>
      </w:r>
      <w:r>
        <w:rPr>
          <w:color w:val="231F20"/>
        </w:rPr>
        <w:t>arrest</w:t>
      </w:r>
      <w:r>
        <w:rPr>
          <w:color w:val="231F20"/>
          <w:spacing w:val="18"/>
        </w:rPr>
        <w:t> </w:t>
      </w:r>
      <w:r>
        <w:rPr>
          <w:color w:val="231F20"/>
        </w:rPr>
        <w:t>or</w:t>
      </w:r>
      <w:r>
        <w:rPr>
          <w:color w:val="231F20"/>
          <w:spacing w:val="19"/>
        </w:rPr>
        <w:t> </w:t>
      </w:r>
      <w:r>
        <w:rPr>
          <w:color w:val="231F20"/>
        </w:rPr>
        <w:t>fibrillation.</w:t>
      </w:r>
    </w:p>
    <w:p>
      <w:pPr>
        <w:pStyle w:val="BodyText"/>
        <w:spacing w:line="249" w:lineRule="auto"/>
        <w:ind w:left="1440" w:firstLine="240"/>
        <w:jc w:val="both"/>
      </w:pPr>
      <w:r>
        <w:rPr>
          <w:color w:val="231F20"/>
          <w:w w:val="105"/>
        </w:rPr>
        <w:t>A special difficulty in regulating extracellular potas- sium concentration is the fact that more than 98 </w:t>
      </w:r>
      <w:r>
        <w:rPr>
          <w:color w:val="231F20"/>
          <w:spacing w:val="-3"/>
          <w:w w:val="105"/>
        </w:rPr>
        <w:t>percent </w:t>
      </w:r>
      <w:r>
        <w:rPr>
          <w:color w:val="231F20"/>
          <w:w w:val="105"/>
        </w:rPr>
        <w:t>of the total body potassium is contained in the cells  and only 2 percent is contained in the extracellular</w:t>
      </w:r>
      <w:r>
        <w:rPr>
          <w:color w:val="231F20"/>
          <w:spacing w:val="-15"/>
          <w:w w:val="105"/>
        </w:rPr>
        <w:t> </w:t>
      </w:r>
      <w:r>
        <w:rPr>
          <w:color w:val="231F20"/>
          <w:spacing w:val="-3"/>
          <w:w w:val="105"/>
        </w:rPr>
        <w:t>fluid </w:t>
      </w:r>
      <w:r>
        <w:rPr>
          <w:color w:val="231F20"/>
          <w:w w:val="105"/>
        </w:rPr>
        <w:t>(</w:t>
      </w:r>
      <w:hyperlink w:history="true" w:anchor="_bookmark82">
        <w:r>
          <w:rPr>
            <w:rFonts w:ascii="Cambria"/>
            <w:b/>
            <w:color w:val="0080AC"/>
            <w:w w:val="105"/>
          </w:rPr>
          <w:t>Figure</w:t>
        </w:r>
        <w:r>
          <w:rPr>
            <w:rFonts w:ascii="Cambria"/>
            <w:b/>
            <w:color w:val="0080AC"/>
            <w:spacing w:val="-24"/>
            <w:w w:val="105"/>
          </w:rPr>
          <w:t> </w:t>
        </w:r>
        <w:r>
          <w:rPr>
            <w:rFonts w:ascii="Cambria"/>
            <w:b/>
            <w:color w:val="0080AC"/>
            <w:w w:val="105"/>
          </w:rPr>
          <w:t>30-1</w:t>
        </w:r>
      </w:hyperlink>
      <w:r>
        <w:rPr>
          <w:color w:val="231F20"/>
          <w:w w:val="105"/>
        </w:rPr>
        <w:t>).</w:t>
      </w:r>
      <w:r>
        <w:rPr>
          <w:color w:val="231F20"/>
          <w:spacing w:val="-28"/>
          <w:w w:val="105"/>
        </w:rPr>
        <w:t> </w:t>
      </w:r>
      <w:r>
        <w:rPr>
          <w:color w:val="231F20"/>
          <w:spacing w:val="-3"/>
          <w:w w:val="105"/>
        </w:rPr>
        <w:t>For</w:t>
      </w:r>
      <w:r>
        <w:rPr>
          <w:color w:val="231F20"/>
          <w:spacing w:val="-28"/>
          <w:w w:val="105"/>
        </w:rPr>
        <w:t> </w:t>
      </w:r>
      <w:r>
        <w:rPr>
          <w:color w:val="231F20"/>
          <w:w w:val="105"/>
        </w:rPr>
        <w:t>a</w:t>
      </w:r>
      <w:r>
        <w:rPr>
          <w:color w:val="231F20"/>
          <w:spacing w:val="-29"/>
          <w:w w:val="105"/>
        </w:rPr>
        <w:t> </w:t>
      </w:r>
      <w:r>
        <w:rPr>
          <w:color w:val="231F20"/>
          <w:w w:val="105"/>
        </w:rPr>
        <w:t>70-kilogram</w:t>
      </w:r>
      <w:r>
        <w:rPr>
          <w:color w:val="231F20"/>
          <w:spacing w:val="-28"/>
          <w:w w:val="105"/>
        </w:rPr>
        <w:t> </w:t>
      </w:r>
      <w:r>
        <w:rPr>
          <w:color w:val="231F20"/>
          <w:w w:val="105"/>
        </w:rPr>
        <w:t>adult,</w:t>
      </w:r>
      <w:r>
        <w:rPr>
          <w:color w:val="231F20"/>
          <w:spacing w:val="-28"/>
          <w:w w:val="105"/>
        </w:rPr>
        <w:t> </w:t>
      </w:r>
      <w:r>
        <w:rPr>
          <w:color w:val="231F20"/>
          <w:w w:val="105"/>
        </w:rPr>
        <w:t>who</w:t>
      </w:r>
      <w:r>
        <w:rPr>
          <w:color w:val="231F20"/>
          <w:spacing w:val="-29"/>
          <w:w w:val="105"/>
        </w:rPr>
        <w:t> </w:t>
      </w:r>
      <w:r>
        <w:rPr>
          <w:color w:val="231F20"/>
          <w:w w:val="105"/>
        </w:rPr>
        <w:t>has</w:t>
      </w:r>
      <w:r>
        <w:rPr>
          <w:color w:val="231F20"/>
          <w:spacing w:val="-28"/>
          <w:w w:val="105"/>
        </w:rPr>
        <w:t> </w:t>
      </w:r>
      <w:r>
        <w:rPr>
          <w:color w:val="231F20"/>
          <w:w w:val="105"/>
        </w:rPr>
        <w:t>about</w:t>
      </w:r>
      <w:r>
        <w:rPr>
          <w:color w:val="231F20"/>
          <w:spacing w:val="-28"/>
          <w:w w:val="105"/>
        </w:rPr>
        <w:t> </w:t>
      </w:r>
      <w:r>
        <w:rPr>
          <w:color w:val="231F20"/>
          <w:spacing w:val="-6"/>
          <w:w w:val="105"/>
        </w:rPr>
        <w:t>28 </w:t>
      </w:r>
      <w:r>
        <w:rPr>
          <w:color w:val="231F20"/>
          <w:w w:val="105"/>
        </w:rPr>
        <w:t>liters</w:t>
      </w:r>
      <w:r>
        <w:rPr>
          <w:color w:val="231F20"/>
          <w:spacing w:val="-27"/>
          <w:w w:val="105"/>
        </w:rPr>
        <w:t> </w:t>
      </w:r>
      <w:r>
        <w:rPr>
          <w:color w:val="231F20"/>
          <w:w w:val="105"/>
        </w:rPr>
        <w:t>of</w:t>
      </w:r>
      <w:r>
        <w:rPr>
          <w:color w:val="231F20"/>
          <w:spacing w:val="-27"/>
          <w:w w:val="105"/>
        </w:rPr>
        <w:t> </w:t>
      </w:r>
      <w:r>
        <w:rPr>
          <w:color w:val="231F20"/>
          <w:w w:val="105"/>
        </w:rPr>
        <w:t>intracellular</w:t>
      </w:r>
      <w:r>
        <w:rPr>
          <w:color w:val="231F20"/>
          <w:spacing w:val="-27"/>
          <w:w w:val="105"/>
        </w:rPr>
        <w:t> </w:t>
      </w:r>
      <w:r>
        <w:rPr>
          <w:color w:val="231F20"/>
          <w:w w:val="105"/>
        </w:rPr>
        <w:t>fluid</w:t>
      </w:r>
      <w:r>
        <w:rPr>
          <w:color w:val="231F20"/>
          <w:spacing w:val="-27"/>
          <w:w w:val="105"/>
        </w:rPr>
        <w:t> </w:t>
      </w:r>
      <w:r>
        <w:rPr>
          <w:color w:val="231F20"/>
          <w:w w:val="105"/>
        </w:rPr>
        <w:t>(40</w:t>
      </w:r>
      <w:r>
        <w:rPr>
          <w:color w:val="231F20"/>
          <w:spacing w:val="-27"/>
          <w:w w:val="105"/>
        </w:rPr>
        <w:t> </w:t>
      </w:r>
      <w:r>
        <w:rPr>
          <w:color w:val="231F20"/>
          <w:w w:val="105"/>
        </w:rPr>
        <w:t>percent</w:t>
      </w:r>
      <w:r>
        <w:rPr>
          <w:color w:val="231F20"/>
          <w:spacing w:val="-27"/>
          <w:w w:val="105"/>
        </w:rPr>
        <w:t> </w:t>
      </w:r>
      <w:r>
        <w:rPr>
          <w:color w:val="231F20"/>
          <w:w w:val="105"/>
        </w:rPr>
        <w:t>of</w:t>
      </w:r>
      <w:r>
        <w:rPr>
          <w:color w:val="231F20"/>
          <w:spacing w:val="-27"/>
          <w:w w:val="105"/>
        </w:rPr>
        <w:t> </w:t>
      </w:r>
      <w:r>
        <w:rPr>
          <w:color w:val="231F20"/>
          <w:w w:val="105"/>
        </w:rPr>
        <w:t>body</w:t>
      </w:r>
      <w:r>
        <w:rPr>
          <w:color w:val="231F20"/>
          <w:spacing w:val="-27"/>
          <w:w w:val="105"/>
        </w:rPr>
        <w:t> </w:t>
      </w:r>
      <w:r>
        <w:rPr>
          <w:color w:val="231F20"/>
          <w:w w:val="105"/>
        </w:rPr>
        <w:t>weight)</w:t>
      </w:r>
      <w:r>
        <w:rPr>
          <w:color w:val="231F20"/>
          <w:spacing w:val="-27"/>
          <w:w w:val="105"/>
        </w:rPr>
        <w:t> </w:t>
      </w:r>
      <w:r>
        <w:rPr>
          <w:color w:val="231F20"/>
          <w:w w:val="105"/>
        </w:rPr>
        <w:t>and 14</w:t>
      </w:r>
      <w:r>
        <w:rPr>
          <w:color w:val="231F20"/>
          <w:spacing w:val="-25"/>
          <w:w w:val="105"/>
        </w:rPr>
        <w:t> </w:t>
      </w:r>
      <w:r>
        <w:rPr>
          <w:color w:val="231F20"/>
          <w:w w:val="105"/>
        </w:rPr>
        <w:t>liters</w:t>
      </w:r>
      <w:r>
        <w:rPr>
          <w:color w:val="231F20"/>
          <w:spacing w:val="-24"/>
          <w:w w:val="105"/>
        </w:rPr>
        <w:t> </w:t>
      </w:r>
      <w:r>
        <w:rPr>
          <w:color w:val="231F20"/>
          <w:w w:val="105"/>
        </w:rPr>
        <w:t>of</w:t>
      </w:r>
      <w:r>
        <w:rPr>
          <w:color w:val="231F20"/>
          <w:spacing w:val="-24"/>
          <w:w w:val="105"/>
        </w:rPr>
        <w:t> </w:t>
      </w:r>
      <w:r>
        <w:rPr>
          <w:color w:val="231F20"/>
          <w:w w:val="105"/>
        </w:rPr>
        <w:t>extracellular</w:t>
      </w:r>
      <w:r>
        <w:rPr>
          <w:color w:val="231F20"/>
          <w:spacing w:val="-24"/>
          <w:w w:val="105"/>
        </w:rPr>
        <w:t> </w:t>
      </w:r>
      <w:r>
        <w:rPr>
          <w:color w:val="231F20"/>
          <w:w w:val="105"/>
        </w:rPr>
        <w:t>fluid</w:t>
      </w:r>
      <w:r>
        <w:rPr>
          <w:color w:val="231F20"/>
          <w:spacing w:val="-24"/>
          <w:w w:val="105"/>
        </w:rPr>
        <w:t> </w:t>
      </w:r>
      <w:r>
        <w:rPr>
          <w:color w:val="231F20"/>
          <w:w w:val="105"/>
        </w:rPr>
        <w:t>(20</w:t>
      </w:r>
      <w:r>
        <w:rPr>
          <w:color w:val="231F20"/>
          <w:spacing w:val="-24"/>
          <w:w w:val="105"/>
        </w:rPr>
        <w:t> </w:t>
      </w:r>
      <w:r>
        <w:rPr>
          <w:color w:val="231F20"/>
          <w:w w:val="105"/>
        </w:rPr>
        <w:t>percent</w:t>
      </w:r>
      <w:r>
        <w:rPr>
          <w:color w:val="231F20"/>
          <w:spacing w:val="-24"/>
          <w:w w:val="105"/>
        </w:rPr>
        <w:t> </w:t>
      </w:r>
      <w:r>
        <w:rPr>
          <w:color w:val="231F20"/>
          <w:w w:val="105"/>
        </w:rPr>
        <w:t>of</w:t>
      </w:r>
      <w:r>
        <w:rPr>
          <w:color w:val="231F20"/>
          <w:spacing w:val="-25"/>
          <w:w w:val="105"/>
        </w:rPr>
        <w:t> </w:t>
      </w:r>
      <w:r>
        <w:rPr>
          <w:color w:val="231F20"/>
          <w:w w:val="105"/>
        </w:rPr>
        <w:t>body</w:t>
      </w:r>
      <w:r>
        <w:rPr>
          <w:color w:val="231F20"/>
          <w:spacing w:val="-24"/>
          <w:w w:val="105"/>
        </w:rPr>
        <w:t> </w:t>
      </w:r>
      <w:r>
        <w:rPr>
          <w:color w:val="231F20"/>
          <w:spacing w:val="-3"/>
          <w:w w:val="105"/>
        </w:rPr>
        <w:t>weight), </w:t>
      </w:r>
      <w:r>
        <w:rPr>
          <w:color w:val="231F20"/>
          <w:w w:val="105"/>
        </w:rPr>
        <w:t>about 3920 mEq of potassium are inside the cells </w:t>
      </w:r>
      <w:r>
        <w:rPr>
          <w:color w:val="231F20"/>
          <w:spacing w:val="-5"/>
          <w:w w:val="105"/>
        </w:rPr>
        <w:t>and </w:t>
      </w:r>
      <w:r>
        <w:rPr>
          <w:color w:val="231F20"/>
          <w:w w:val="105"/>
        </w:rPr>
        <w:t>only</w:t>
      </w:r>
      <w:r>
        <w:rPr>
          <w:color w:val="231F20"/>
          <w:spacing w:val="-18"/>
          <w:w w:val="105"/>
        </w:rPr>
        <w:t> </w:t>
      </w:r>
      <w:r>
        <w:rPr>
          <w:color w:val="231F20"/>
          <w:w w:val="105"/>
        </w:rPr>
        <w:t>about</w:t>
      </w:r>
      <w:r>
        <w:rPr>
          <w:color w:val="231F20"/>
          <w:spacing w:val="-18"/>
          <w:w w:val="105"/>
        </w:rPr>
        <w:t> </w:t>
      </w:r>
      <w:r>
        <w:rPr>
          <w:color w:val="231F20"/>
          <w:w w:val="105"/>
        </w:rPr>
        <w:t>59</w:t>
      </w:r>
      <w:r>
        <w:rPr>
          <w:color w:val="231F20"/>
          <w:spacing w:val="-12"/>
          <w:w w:val="105"/>
        </w:rPr>
        <w:t> </w:t>
      </w:r>
      <w:r>
        <w:rPr>
          <w:color w:val="231F20"/>
          <w:w w:val="105"/>
        </w:rPr>
        <w:t>mEq</w:t>
      </w:r>
      <w:r>
        <w:rPr>
          <w:color w:val="231F20"/>
          <w:spacing w:val="-18"/>
          <w:w w:val="105"/>
        </w:rPr>
        <w:t> </w:t>
      </w:r>
      <w:r>
        <w:rPr>
          <w:color w:val="231F20"/>
          <w:w w:val="105"/>
        </w:rPr>
        <w:t>are</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extracellular</w:t>
      </w:r>
      <w:r>
        <w:rPr>
          <w:color w:val="231F20"/>
          <w:spacing w:val="-18"/>
          <w:w w:val="105"/>
        </w:rPr>
        <w:t> </w:t>
      </w:r>
      <w:r>
        <w:rPr>
          <w:color w:val="231F20"/>
          <w:w w:val="105"/>
        </w:rPr>
        <w:t>fluid.</w:t>
      </w:r>
      <w:r>
        <w:rPr>
          <w:color w:val="231F20"/>
          <w:spacing w:val="-17"/>
          <w:w w:val="105"/>
        </w:rPr>
        <w:t> </w:t>
      </w:r>
      <w:r>
        <w:rPr>
          <w:color w:val="231F20"/>
          <w:w w:val="105"/>
        </w:rPr>
        <w:t>Also,</w:t>
      </w:r>
      <w:r>
        <w:rPr>
          <w:color w:val="231F20"/>
          <w:spacing w:val="-18"/>
          <w:w w:val="105"/>
        </w:rPr>
        <w:t> </w:t>
      </w:r>
      <w:r>
        <w:rPr>
          <w:color w:val="231F20"/>
          <w:spacing w:val="-5"/>
          <w:w w:val="105"/>
        </w:rPr>
        <w:t>the </w:t>
      </w:r>
      <w:r>
        <w:rPr>
          <w:color w:val="231F20"/>
          <w:w w:val="105"/>
        </w:rPr>
        <w:t>potassium contained in a single meal may be as high </w:t>
      </w:r>
      <w:r>
        <w:rPr>
          <w:color w:val="231F20"/>
          <w:spacing w:val="-5"/>
          <w:w w:val="105"/>
        </w:rPr>
        <w:t>as </w:t>
      </w:r>
      <w:r>
        <w:rPr>
          <w:color w:val="231F20"/>
          <w:w w:val="105"/>
        </w:rPr>
        <w:t>50 mEq, and the daily intake usually ranges between </w:t>
      </w:r>
      <w:r>
        <w:rPr>
          <w:color w:val="231F20"/>
          <w:spacing w:val="-7"/>
          <w:w w:val="105"/>
        </w:rPr>
        <w:t>50 </w:t>
      </w:r>
      <w:r>
        <w:rPr>
          <w:color w:val="231F20"/>
          <w:w w:val="105"/>
        </w:rPr>
        <w:t>and 200 mEq/day; therefore, failure to rapidly rid the extracellular</w:t>
      </w:r>
      <w:r>
        <w:rPr>
          <w:color w:val="231F20"/>
          <w:spacing w:val="-9"/>
          <w:w w:val="105"/>
        </w:rPr>
        <w:t> </w:t>
      </w:r>
      <w:r>
        <w:rPr>
          <w:color w:val="231F20"/>
          <w:w w:val="105"/>
        </w:rPr>
        <w:t>fluid</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9"/>
          <w:w w:val="105"/>
        </w:rPr>
        <w:t> </w:t>
      </w:r>
      <w:r>
        <w:rPr>
          <w:color w:val="231F20"/>
          <w:w w:val="105"/>
        </w:rPr>
        <w:t>ingested</w:t>
      </w:r>
      <w:r>
        <w:rPr>
          <w:color w:val="231F20"/>
          <w:spacing w:val="-8"/>
          <w:w w:val="105"/>
        </w:rPr>
        <w:t> </w:t>
      </w:r>
      <w:r>
        <w:rPr>
          <w:color w:val="231F20"/>
          <w:w w:val="105"/>
        </w:rPr>
        <w:t>potassium</w:t>
      </w:r>
      <w:r>
        <w:rPr>
          <w:color w:val="231F20"/>
          <w:spacing w:val="-8"/>
          <w:w w:val="105"/>
        </w:rPr>
        <w:t> </w:t>
      </w:r>
      <w:r>
        <w:rPr>
          <w:color w:val="231F20"/>
          <w:w w:val="105"/>
        </w:rPr>
        <w:t>could</w:t>
      </w:r>
      <w:r>
        <w:rPr>
          <w:color w:val="231F20"/>
          <w:spacing w:val="-9"/>
          <w:w w:val="105"/>
        </w:rPr>
        <w:t> </w:t>
      </w:r>
      <w:r>
        <w:rPr>
          <w:color w:val="231F20"/>
          <w:w w:val="105"/>
        </w:rPr>
        <w:t>cause life-threatening </w:t>
      </w:r>
      <w:r>
        <w:rPr>
          <w:i/>
          <w:color w:val="231F20"/>
          <w:w w:val="105"/>
        </w:rPr>
        <w:t>hyperkalemia </w:t>
      </w:r>
      <w:r>
        <w:rPr>
          <w:color w:val="231F20"/>
          <w:w w:val="105"/>
        </w:rPr>
        <w:t>(increased plasma potas- sium</w:t>
      </w:r>
      <w:r>
        <w:rPr>
          <w:color w:val="231F20"/>
          <w:spacing w:val="-14"/>
          <w:w w:val="105"/>
        </w:rPr>
        <w:t> </w:t>
      </w:r>
      <w:r>
        <w:rPr>
          <w:color w:val="231F20"/>
          <w:w w:val="105"/>
        </w:rPr>
        <w:t>concentration).</w:t>
      </w:r>
      <w:r>
        <w:rPr>
          <w:color w:val="231F20"/>
          <w:spacing w:val="-14"/>
          <w:w w:val="105"/>
        </w:rPr>
        <w:t> </w:t>
      </w:r>
      <w:r>
        <w:rPr>
          <w:color w:val="231F20"/>
          <w:w w:val="105"/>
        </w:rPr>
        <w:t>Likewise,</w:t>
      </w:r>
      <w:r>
        <w:rPr>
          <w:color w:val="231F20"/>
          <w:spacing w:val="-14"/>
          <w:w w:val="105"/>
        </w:rPr>
        <w:t> </w:t>
      </w:r>
      <w:r>
        <w:rPr>
          <w:color w:val="231F20"/>
          <w:w w:val="105"/>
        </w:rPr>
        <w:t>a</w:t>
      </w:r>
      <w:r>
        <w:rPr>
          <w:color w:val="231F20"/>
          <w:spacing w:val="-14"/>
          <w:w w:val="105"/>
        </w:rPr>
        <w:t> </w:t>
      </w:r>
      <w:r>
        <w:rPr>
          <w:color w:val="231F20"/>
          <w:w w:val="105"/>
        </w:rPr>
        <w:t>small</w:t>
      </w:r>
      <w:r>
        <w:rPr>
          <w:color w:val="231F20"/>
          <w:spacing w:val="-14"/>
          <w:w w:val="105"/>
        </w:rPr>
        <w:t> </w:t>
      </w:r>
      <w:r>
        <w:rPr>
          <w:color w:val="231F20"/>
          <w:w w:val="105"/>
        </w:rPr>
        <w:t>loss</w:t>
      </w:r>
      <w:r>
        <w:rPr>
          <w:color w:val="231F20"/>
          <w:spacing w:val="-13"/>
          <w:w w:val="105"/>
        </w:rPr>
        <w:t> </w:t>
      </w:r>
      <w:r>
        <w:rPr>
          <w:color w:val="231F20"/>
          <w:w w:val="105"/>
        </w:rPr>
        <w:t>of</w:t>
      </w:r>
      <w:r>
        <w:rPr>
          <w:color w:val="231F20"/>
          <w:spacing w:val="-14"/>
          <w:w w:val="105"/>
        </w:rPr>
        <w:t> </w:t>
      </w:r>
      <w:r>
        <w:rPr>
          <w:color w:val="231F20"/>
          <w:w w:val="105"/>
        </w:rPr>
        <w:t>potassium from</w:t>
      </w:r>
      <w:r>
        <w:rPr>
          <w:color w:val="231F20"/>
          <w:spacing w:val="-15"/>
          <w:w w:val="105"/>
        </w:rPr>
        <w:t> </w:t>
      </w:r>
      <w:r>
        <w:rPr>
          <w:color w:val="231F20"/>
          <w:w w:val="105"/>
        </w:rPr>
        <w:t>the</w:t>
      </w:r>
      <w:r>
        <w:rPr>
          <w:color w:val="231F20"/>
          <w:spacing w:val="-15"/>
          <w:w w:val="105"/>
        </w:rPr>
        <w:t> </w:t>
      </w:r>
      <w:r>
        <w:rPr>
          <w:color w:val="231F20"/>
          <w:w w:val="105"/>
        </w:rPr>
        <w:t>extracellular</w:t>
      </w:r>
      <w:r>
        <w:rPr>
          <w:color w:val="231F20"/>
          <w:spacing w:val="-14"/>
          <w:w w:val="105"/>
        </w:rPr>
        <w:t> </w:t>
      </w:r>
      <w:r>
        <w:rPr>
          <w:color w:val="231F20"/>
          <w:w w:val="105"/>
        </w:rPr>
        <w:t>fluid</w:t>
      </w:r>
      <w:r>
        <w:rPr>
          <w:color w:val="231F20"/>
          <w:spacing w:val="-15"/>
          <w:w w:val="105"/>
        </w:rPr>
        <w:t> </w:t>
      </w:r>
      <w:r>
        <w:rPr>
          <w:color w:val="231F20"/>
          <w:w w:val="105"/>
        </w:rPr>
        <w:t>could</w:t>
      </w:r>
      <w:r>
        <w:rPr>
          <w:color w:val="231F20"/>
          <w:spacing w:val="-15"/>
          <w:w w:val="105"/>
        </w:rPr>
        <w:t> </w:t>
      </w:r>
      <w:r>
        <w:rPr>
          <w:color w:val="231F20"/>
          <w:w w:val="105"/>
        </w:rPr>
        <w:t>cause</w:t>
      </w:r>
      <w:r>
        <w:rPr>
          <w:color w:val="231F20"/>
          <w:spacing w:val="-14"/>
          <w:w w:val="105"/>
        </w:rPr>
        <w:t> </w:t>
      </w:r>
      <w:r>
        <w:rPr>
          <w:color w:val="231F20"/>
          <w:w w:val="105"/>
        </w:rPr>
        <w:t>severe</w:t>
      </w:r>
      <w:r>
        <w:rPr>
          <w:color w:val="231F20"/>
          <w:spacing w:val="-15"/>
          <w:w w:val="105"/>
        </w:rPr>
        <w:t> </w:t>
      </w:r>
      <w:r>
        <w:rPr>
          <w:i/>
          <w:color w:val="231F20"/>
          <w:w w:val="105"/>
        </w:rPr>
        <w:t>hypokale- </w:t>
      </w:r>
      <w:r>
        <w:rPr>
          <w:i/>
          <w:color w:val="231F20"/>
          <w:w w:val="105"/>
        </w:rPr>
        <w:t>mia</w:t>
      </w:r>
      <w:r>
        <w:rPr>
          <w:i/>
          <w:color w:val="231F20"/>
          <w:spacing w:val="-18"/>
          <w:w w:val="105"/>
        </w:rPr>
        <w:t> </w:t>
      </w:r>
      <w:r>
        <w:rPr>
          <w:color w:val="231F20"/>
          <w:w w:val="105"/>
        </w:rPr>
        <w:t>(low</w:t>
      </w:r>
      <w:r>
        <w:rPr>
          <w:color w:val="231F20"/>
          <w:spacing w:val="-18"/>
          <w:w w:val="105"/>
        </w:rPr>
        <w:t> </w:t>
      </w:r>
      <w:r>
        <w:rPr>
          <w:color w:val="231F20"/>
          <w:w w:val="105"/>
        </w:rPr>
        <w:t>plasma</w:t>
      </w:r>
      <w:r>
        <w:rPr>
          <w:color w:val="231F20"/>
          <w:spacing w:val="-18"/>
          <w:w w:val="105"/>
        </w:rPr>
        <w:t> </w:t>
      </w:r>
      <w:r>
        <w:rPr>
          <w:color w:val="231F20"/>
          <w:w w:val="105"/>
        </w:rPr>
        <w:t>potassium</w:t>
      </w:r>
      <w:r>
        <w:rPr>
          <w:color w:val="231F20"/>
          <w:spacing w:val="-18"/>
          <w:w w:val="105"/>
        </w:rPr>
        <w:t> </w:t>
      </w:r>
      <w:r>
        <w:rPr>
          <w:color w:val="231F20"/>
          <w:w w:val="105"/>
        </w:rPr>
        <w:t>concentration)</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spacing w:val="-3"/>
          <w:w w:val="105"/>
        </w:rPr>
        <w:t>absence </w:t>
      </w:r>
      <w:r>
        <w:rPr>
          <w:color w:val="231F20"/>
          <w:w w:val="105"/>
        </w:rPr>
        <w:t>of rapid and appropriate compensatory</w:t>
      </w:r>
      <w:r>
        <w:rPr>
          <w:color w:val="231F20"/>
          <w:spacing w:val="-2"/>
          <w:w w:val="105"/>
        </w:rPr>
        <w:t> </w:t>
      </w:r>
      <w:r>
        <w:rPr>
          <w:color w:val="231F20"/>
          <w:w w:val="105"/>
        </w:rPr>
        <w:t>responses.</w:t>
      </w:r>
    </w:p>
    <w:p>
      <w:pPr>
        <w:pStyle w:val="BodyText"/>
        <w:spacing w:line="249" w:lineRule="auto" w:before="9"/>
        <w:ind w:left="1440" w:firstLine="240"/>
        <w:jc w:val="both"/>
      </w:pPr>
      <w:r>
        <w:rPr>
          <w:color w:val="231F20"/>
          <w:w w:val="105"/>
        </w:rPr>
        <w:t>Maintenance</w:t>
      </w:r>
      <w:r>
        <w:rPr>
          <w:color w:val="231F20"/>
          <w:spacing w:val="-9"/>
          <w:w w:val="105"/>
        </w:rPr>
        <w:t> </w:t>
      </w:r>
      <w:r>
        <w:rPr>
          <w:color w:val="231F20"/>
          <w:w w:val="105"/>
        </w:rPr>
        <w:t>of</w:t>
      </w:r>
      <w:r>
        <w:rPr>
          <w:color w:val="231F20"/>
          <w:spacing w:val="-8"/>
          <w:w w:val="105"/>
        </w:rPr>
        <w:t> </w:t>
      </w:r>
      <w:r>
        <w:rPr>
          <w:color w:val="231F20"/>
          <w:w w:val="105"/>
        </w:rPr>
        <w:t>balance</w:t>
      </w:r>
      <w:r>
        <w:rPr>
          <w:color w:val="231F20"/>
          <w:spacing w:val="-9"/>
          <w:w w:val="105"/>
        </w:rPr>
        <w:t> </w:t>
      </w:r>
      <w:r>
        <w:rPr>
          <w:color w:val="231F20"/>
          <w:w w:val="105"/>
        </w:rPr>
        <w:t>between</w:t>
      </w:r>
      <w:r>
        <w:rPr>
          <w:color w:val="231F20"/>
          <w:spacing w:val="-8"/>
          <w:w w:val="105"/>
        </w:rPr>
        <w:t> </w:t>
      </w:r>
      <w:r>
        <w:rPr>
          <w:color w:val="231F20"/>
          <w:w w:val="105"/>
        </w:rPr>
        <w:t>intake</w:t>
      </w:r>
      <w:r>
        <w:rPr>
          <w:color w:val="231F20"/>
          <w:spacing w:val="-9"/>
          <w:w w:val="105"/>
        </w:rPr>
        <w:t> </w:t>
      </w:r>
      <w:r>
        <w:rPr>
          <w:color w:val="231F20"/>
          <w:w w:val="105"/>
        </w:rPr>
        <w:t>and</w:t>
      </w:r>
      <w:r>
        <w:rPr>
          <w:color w:val="231F20"/>
          <w:spacing w:val="-8"/>
          <w:w w:val="105"/>
        </w:rPr>
        <w:t> </w:t>
      </w:r>
      <w:r>
        <w:rPr>
          <w:color w:val="231F20"/>
          <w:w w:val="105"/>
        </w:rPr>
        <w:t>output</w:t>
      </w:r>
      <w:r>
        <w:rPr>
          <w:color w:val="231F20"/>
          <w:spacing w:val="-9"/>
          <w:w w:val="105"/>
        </w:rPr>
        <w:t> </w:t>
      </w:r>
      <w:r>
        <w:rPr>
          <w:color w:val="231F20"/>
          <w:spacing w:val="-6"/>
          <w:w w:val="105"/>
        </w:rPr>
        <w:t>of </w:t>
      </w:r>
      <w:r>
        <w:rPr>
          <w:color w:val="231F20"/>
          <w:w w:val="105"/>
        </w:rPr>
        <w:t>potassium</w:t>
      </w:r>
      <w:r>
        <w:rPr>
          <w:color w:val="231F20"/>
          <w:spacing w:val="-17"/>
          <w:w w:val="105"/>
        </w:rPr>
        <w:t> </w:t>
      </w:r>
      <w:r>
        <w:rPr>
          <w:color w:val="231F20"/>
          <w:w w:val="105"/>
        </w:rPr>
        <w:t>depends</w:t>
      </w:r>
      <w:r>
        <w:rPr>
          <w:color w:val="231F20"/>
          <w:spacing w:val="-16"/>
          <w:w w:val="105"/>
        </w:rPr>
        <w:t> </w:t>
      </w:r>
      <w:r>
        <w:rPr>
          <w:color w:val="231F20"/>
          <w:w w:val="105"/>
        </w:rPr>
        <w:t>primarily</w:t>
      </w:r>
      <w:r>
        <w:rPr>
          <w:color w:val="231F20"/>
          <w:spacing w:val="-16"/>
          <w:w w:val="105"/>
        </w:rPr>
        <w:t> </w:t>
      </w:r>
      <w:r>
        <w:rPr>
          <w:color w:val="231F20"/>
          <w:w w:val="105"/>
        </w:rPr>
        <w:t>on</w:t>
      </w:r>
      <w:r>
        <w:rPr>
          <w:color w:val="231F20"/>
          <w:spacing w:val="-16"/>
          <w:w w:val="105"/>
        </w:rPr>
        <w:t> </w:t>
      </w:r>
      <w:r>
        <w:rPr>
          <w:color w:val="231F20"/>
          <w:w w:val="105"/>
        </w:rPr>
        <w:t>excretion</w:t>
      </w:r>
      <w:r>
        <w:rPr>
          <w:color w:val="231F20"/>
          <w:spacing w:val="-16"/>
          <w:w w:val="105"/>
        </w:rPr>
        <w:t> </w:t>
      </w:r>
      <w:r>
        <w:rPr>
          <w:color w:val="231F20"/>
          <w:w w:val="105"/>
        </w:rPr>
        <w:t>by</w:t>
      </w:r>
      <w:r>
        <w:rPr>
          <w:color w:val="231F20"/>
          <w:spacing w:val="-17"/>
          <w:w w:val="105"/>
        </w:rPr>
        <w:t> </w:t>
      </w:r>
      <w:r>
        <w:rPr>
          <w:color w:val="231F20"/>
          <w:w w:val="105"/>
        </w:rPr>
        <w:t>the</w:t>
      </w:r>
      <w:r>
        <w:rPr>
          <w:color w:val="231F20"/>
          <w:spacing w:val="-16"/>
          <w:w w:val="105"/>
        </w:rPr>
        <w:t> </w:t>
      </w:r>
      <w:r>
        <w:rPr>
          <w:color w:val="231F20"/>
          <w:spacing w:val="-3"/>
          <w:w w:val="105"/>
        </w:rPr>
        <w:t>kidneys </w:t>
      </w:r>
      <w:r>
        <w:rPr>
          <w:color w:val="231F20"/>
          <w:w w:val="105"/>
        </w:rPr>
        <w:t>because</w:t>
      </w:r>
      <w:r>
        <w:rPr>
          <w:color w:val="231F20"/>
          <w:spacing w:val="-6"/>
          <w:w w:val="105"/>
        </w:rPr>
        <w:t> </w:t>
      </w:r>
      <w:r>
        <w:rPr>
          <w:color w:val="231F20"/>
          <w:w w:val="105"/>
        </w:rPr>
        <w:t>the</w:t>
      </w:r>
      <w:r>
        <w:rPr>
          <w:color w:val="231F20"/>
          <w:spacing w:val="-6"/>
          <w:w w:val="105"/>
        </w:rPr>
        <w:t> </w:t>
      </w:r>
      <w:r>
        <w:rPr>
          <w:color w:val="231F20"/>
          <w:w w:val="105"/>
        </w:rPr>
        <w:t>amount</w:t>
      </w:r>
      <w:r>
        <w:rPr>
          <w:color w:val="231F20"/>
          <w:spacing w:val="-6"/>
          <w:w w:val="105"/>
        </w:rPr>
        <w:t> </w:t>
      </w:r>
      <w:r>
        <w:rPr>
          <w:color w:val="231F20"/>
          <w:w w:val="105"/>
        </w:rPr>
        <w:t>excreted</w:t>
      </w:r>
      <w:r>
        <w:rPr>
          <w:color w:val="231F20"/>
          <w:spacing w:val="-5"/>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feces</w:t>
      </w:r>
      <w:r>
        <w:rPr>
          <w:color w:val="231F20"/>
          <w:spacing w:val="-5"/>
          <w:w w:val="105"/>
        </w:rPr>
        <w:t> </w:t>
      </w:r>
      <w:r>
        <w:rPr>
          <w:color w:val="231F20"/>
          <w:w w:val="105"/>
        </w:rPr>
        <w:t>is</w:t>
      </w:r>
      <w:r>
        <w:rPr>
          <w:color w:val="231F20"/>
          <w:spacing w:val="-6"/>
          <w:w w:val="105"/>
        </w:rPr>
        <w:t> </w:t>
      </w:r>
      <w:r>
        <w:rPr>
          <w:color w:val="231F20"/>
          <w:w w:val="105"/>
        </w:rPr>
        <w:t>only</w:t>
      </w:r>
      <w:r>
        <w:rPr>
          <w:color w:val="231F20"/>
          <w:spacing w:val="-6"/>
          <w:w w:val="105"/>
        </w:rPr>
        <w:t> </w:t>
      </w:r>
      <w:r>
        <w:rPr>
          <w:color w:val="231F20"/>
          <w:w w:val="105"/>
        </w:rPr>
        <w:t>about</w:t>
      </w:r>
      <w:r>
        <w:rPr>
          <w:color w:val="231F20"/>
          <w:spacing w:val="-6"/>
          <w:w w:val="105"/>
        </w:rPr>
        <w:t> </w:t>
      </w:r>
      <w:r>
        <w:rPr>
          <w:color w:val="231F20"/>
          <w:w w:val="105"/>
        </w:rPr>
        <w:t>5 to 10 percent of the potassium intake. Thus, the</w:t>
      </w:r>
      <w:r>
        <w:rPr>
          <w:color w:val="231F20"/>
          <w:spacing w:val="-13"/>
          <w:w w:val="105"/>
        </w:rPr>
        <w:t> </w:t>
      </w:r>
      <w:r>
        <w:rPr>
          <w:color w:val="231F20"/>
          <w:w w:val="105"/>
        </w:rPr>
        <w:t>mainte- nance</w:t>
      </w:r>
      <w:r>
        <w:rPr>
          <w:color w:val="231F20"/>
          <w:spacing w:val="-6"/>
          <w:w w:val="105"/>
        </w:rPr>
        <w:t> </w:t>
      </w:r>
      <w:r>
        <w:rPr>
          <w:color w:val="231F20"/>
          <w:w w:val="105"/>
        </w:rPr>
        <w:t>of</w:t>
      </w:r>
      <w:r>
        <w:rPr>
          <w:color w:val="231F20"/>
          <w:spacing w:val="-6"/>
          <w:w w:val="105"/>
        </w:rPr>
        <w:t> </w:t>
      </w:r>
      <w:r>
        <w:rPr>
          <w:color w:val="231F20"/>
          <w:w w:val="105"/>
        </w:rPr>
        <w:t>normal</w:t>
      </w:r>
      <w:r>
        <w:rPr>
          <w:color w:val="231F20"/>
          <w:spacing w:val="-6"/>
          <w:w w:val="105"/>
        </w:rPr>
        <w:t> </w:t>
      </w:r>
      <w:r>
        <w:rPr>
          <w:color w:val="231F20"/>
          <w:w w:val="105"/>
        </w:rPr>
        <w:t>potassium</w:t>
      </w:r>
      <w:r>
        <w:rPr>
          <w:color w:val="231F20"/>
          <w:spacing w:val="-6"/>
          <w:w w:val="105"/>
        </w:rPr>
        <w:t> </w:t>
      </w:r>
      <w:r>
        <w:rPr>
          <w:color w:val="231F20"/>
          <w:w w:val="105"/>
        </w:rPr>
        <w:t>balance</w:t>
      </w:r>
      <w:r>
        <w:rPr>
          <w:color w:val="231F20"/>
          <w:spacing w:val="-6"/>
          <w:w w:val="105"/>
        </w:rPr>
        <w:t> </w:t>
      </w:r>
      <w:r>
        <w:rPr>
          <w:color w:val="231F20"/>
          <w:w w:val="105"/>
        </w:rPr>
        <w:t>requires</w:t>
      </w:r>
      <w:r>
        <w:rPr>
          <w:color w:val="231F20"/>
          <w:spacing w:val="-6"/>
          <w:w w:val="105"/>
        </w:rPr>
        <w:t> </w:t>
      </w:r>
      <w:r>
        <w:rPr>
          <w:color w:val="231F20"/>
          <w:w w:val="105"/>
        </w:rPr>
        <w:t>the</w:t>
      </w:r>
      <w:r>
        <w:rPr>
          <w:color w:val="231F20"/>
          <w:spacing w:val="-5"/>
          <w:w w:val="105"/>
        </w:rPr>
        <w:t> </w:t>
      </w:r>
      <w:r>
        <w:rPr>
          <w:color w:val="231F20"/>
          <w:w w:val="105"/>
        </w:rPr>
        <w:t>kidneys to adjust their potassium excretion rapidly and</w:t>
      </w:r>
      <w:r>
        <w:rPr>
          <w:color w:val="231F20"/>
          <w:spacing w:val="-34"/>
          <w:w w:val="105"/>
        </w:rPr>
        <w:t> </w:t>
      </w:r>
      <w:r>
        <w:rPr>
          <w:color w:val="231F20"/>
          <w:w w:val="105"/>
        </w:rPr>
        <w:t>precisely in</w:t>
      </w:r>
      <w:r>
        <w:rPr>
          <w:color w:val="231F20"/>
          <w:spacing w:val="-14"/>
          <w:w w:val="105"/>
        </w:rPr>
        <w:t> </w:t>
      </w:r>
      <w:r>
        <w:rPr>
          <w:color w:val="231F20"/>
          <w:w w:val="105"/>
        </w:rPr>
        <w:t>response</w:t>
      </w:r>
      <w:r>
        <w:rPr>
          <w:color w:val="231F20"/>
          <w:spacing w:val="-14"/>
          <w:w w:val="105"/>
        </w:rPr>
        <w:t> </w:t>
      </w:r>
      <w:r>
        <w:rPr>
          <w:color w:val="231F20"/>
          <w:w w:val="105"/>
        </w:rPr>
        <w:t>to</w:t>
      </w:r>
      <w:r>
        <w:rPr>
          <w:color w:val="231F20"/>
          <w:spacing w:val="-13"/>
          <w:w w:val="105"/>
        </w:rPr>
        <w:t> </w:t>
      </w:r>
      <w:r>
        <w:rPr>
          <w:color w:val="231F20"/>
          <w:w w:val="105"/>
        </w:rPr>
        <w:t>wide</w:t>
      </w:r>
      <w:r>
        <w:rPr>
          <w:color w:val="231F20"/>
          <w:spacing w:val="-14"/>
          <w:w w:val="105"/>
        </w:rPr>
        <w:t> </w:t>
      </w:r>
      <w:r>
        <w:rPr>
          <w:color w:val="231F20"/>
          <w:w w:val="105"/>
        </w:rPr>
        <w:t>variations</w:t>
      </w:r>
      <w:r>
        <w:rPr>
          <w:color w:val="231F20"/>
          <w:spacing w:val="-13"/>
          <w:w w:val="105"/>
        </w:rPr>
        <w:t> </w:t>
      </w:r>
      <w:r>
        <w:rPr>
          <w:color w:val="231F20"/>
          <w:w w:val="105"/>
        </w:rPr>
        <w:t>in</w:t>
      </w:r>
      <w:r>
        <w:rPr>
          <w:color w:val="231F20"/>
          <w:spacing w:val="-14"/>
          <w:w w:val="105"/>
        </w:rPr>
        <w:t> </w:t>
      </w:r>
      <w:r>
        <w:rPr>
          <w:color w:val="231F20"/>
          <w:w w:val="105"/>
        </w:rPr>
        <w:t>intake,</w:t>
      </w:r>
      <w:r>
        <w:rPr>
          <w:color w:val="231F20"/>
          <w:spacing w:val="-13"/>
          <w:w w:val="105"/>
        </w:rPr>
        <w:t> </w:t>
      </w:r>
      <w:r>
        <w:rPr>
          <w:color w:val="231F20"/>
          <w:w w:val="105"/>
        </w:rPr>
        <w:t>as</w:t>
      </w:r>
      <w:r>
        <w:rPr>
          <w:color w:val="231F20"/>
          <w:spacing w:val="-14"/>
          <w:w w:val="105"/>
        </w:rPr>
        <w:t> </w:t>
      </w:r>
      <w:r>
        <w:rPr>
          <w:color w:val="231F20"/>
          <w:w w:val="105"/>
        </w:rPr>
        <w:t>is</w:t>
      </w:r>
      <w:r>
        <w:rPr>
          <w:color w:val="231F20"/>
          <w:spacing w:val="-14"/>
          <w:w w:val="105"/>
        </w:rPr>
        <w:t> </w:t>
      </w:r>
      <w:r>
        <w:rPr>
          <w:color w:val="231F20"/>
          <w:w w:val="105"/>
        </w:rPr>
        <w:t>also</w:t>
      </w:r>
      <w:r>
        <w:rPr>
          <w:color w:val="231F20"/>
          <w:spacing w:val="-13"/>
          <w:w w:val="105"/>
        </w:rPr>
        <w:t> </w:t>
      </w:r>
      <w:r>
        <w:rPr>
          <w:color w:val="231F20"/>
          <w:w w:val="105"/>
        </w:rPr>
        <w:t>true</w:t>
      </w:r>
      <w:r>
        <w:rPr>
          <w:color w:val="231F20"/>
          <w:spacing w:val="-14"/>
          <w:w w:val="105"/>
        </w:rPr>
        <w:t> </w:t>
      </w:r>
      <w:r>
        <w:rPr>
          <w:color w:val="231F20"/>
          <w:spacing w:val="-5"/>
          <w:w w:val="105"/>
        </w:rPr>
        <w:t>for </w:t>
      </w:r>
      <w:r>
        <w:rPr>
          <w:color w:val="231F20"/>
          <w:w w:val="105"/>
        </w:rPr>
        <w:t>most other</w:t>
      </w:r>
      <w:r>
        <w:rPr>
          <w:color w:val="231F20"/>
          <w:spacing w:val="5"/>
          <w:w w:val="105"/>
        </w:rPr>
        <w:t> </w:t>
      </w:r>
      <w:r>
        <w:rPr>
          <w:color w:val="231F20"/>
          <w:w w:val="105"/>
        </w:rPr>
        <w:t>electrolytes.</w:t>
      </w:r>
    </w:p>
    <w:p>
      <w:pPr>
        <w:pStyle w:val="BodyText"/>
        <w:spacing w:line="249" w:lineRule="auto" w:before="7"/>
        <w:ind w:left="1440" w:firstLine="240"/>
        <w:jc w:val="both"/>
      </w:pPr>
      <w:r>
        <w:rPr>
          <w:color w:val="231F20"/>
        </w:rPr>
        <w:t>Control of potassium distribution between the extra- cellular and intracellular compartments also plays </w:t>
      </w:r>
      <w:r>
        <w:rPr>
          <w:color w:val="231F20"/>
          <w:spacing w:val="-6"/>
        </w:rPr>
        <w:t>an </w:t>
      </w:r>
      <w:r>
        <w:rPr>
          <w:color w:val="231F20"/>
        </w:rPr>
        <w:t>important role in potassium homeostasis. Because </w:t>
      </w:r>
      <w:r>
        <w:rPr>
          <w:color w:val="231F20"/>
          <w:spacing w:val="-5"/>
        </w:rPr>
        <w:t>more </w:t>
      </w:r>
      <w:r>
        <w:rPr>
          <w:color w:val="231F20"/>
        </w:rPr>
        <w:t>than 98 percent of the total body potassium is contained  in the cells, they can serve as an overflow site for excess extracellular fluid potassium during hyperkalemia</w:t>
      </w:r>
      <w:r>
        <w:rPr>
          <w:color w:val="231F20"/>
          <w:spacing w:val="4"/>
        </w:rPr>
        <w:t> </w:t>
      </w:r>
      <w:r>
        <w:rPr>
          <w:color w:val="231F20"/>
        </w:rPr>
        <w:t>or</w:t>
      </w:r>
    </w:p>
    <w:p>
      <w:pPr>
        <w:pStyle w:val="BodyText"/>
        <w:spacing w:line="249" w:lineRule="auto" w:before="250"/>
        <w:ind w:left="319" w:right="1079"/>
        <w:jc w:val="both"/>
      </w:pPr>
      <w:r>
        <w:rPr/>
        <w:br w:type="column"/>
      </w:r>
      <w:r>
        <w:rPr>
          <w:color w:val="231F20"/>
        </w:rPr>
        <w:t>as a source of potassium during hypokalemia. Thus, redis- tribution of potassium between the intracellular and extracellular fluid compartments provides a first line of defense against changes in extracellular fluid potassium concentration.</w:t>
      </w:r>
    </w:p>
    <w:p>
      <w:pPr>
        <w:pStyle w:val="BodyText"/>
        <w:rPr>
          <w:sz w:val="31"/>
        </w:rPr>
      </w:pPr>
    </w:p>
    <w:p>
      <w:pPr>
        <w:pStyle w:val="Heading2"/>
        <w:spacing w:line="225" w:lineRule="auto"/>
        <w:ind w:right="2951"/>
      </w:pPr>
      <w:r>
        <w:rPr/>
        <w:pict>
          <v:rect style="position:absolute;margin-left:576pt;margin-top:-93.641113pt;width:36pt;height:24pt;mso-position-horizontal-relative:page;mso-position-vertical-relative:paragraph;z-index:252546048" filled="true" fillcolor="#e8dac8" stroked="false">
            <v:fill type="solid"/>
            <w10:wrap type="none"/>
          </v:rect>
        </w:pict>
      </w:r>
      <w:r>
        <w:rPr>
          <w:color w:val="231F20"/>
          <w:w w:val="105"/>
        </w:rPr>
        <w:t>REGULATION</w:t>
      </w:r>
      <w:r>
        <w:rPr>
          <w:color w:val="231F20"/>
          <w:spacing w:val="-45"/>
          <w:w w:val="105"/>
        </w:rPr>
        <w:t> </w:t>
      </w:r>
      <w:r>
        <w:rPr>
          <w:color w:val="231F20"/>
          <w:w w:val="105"/>
        </w:rPr>
        <w:t>OF</w:t>
      </w:r>
      <w:r>
        <w:rPr>
          <w:color w:val="231F20"/>
          <w:spacing w:val="-44"/>
          <w:w w:val="105"/>
        </w:rPr>
        <w:t> </w:t>
      </w:r>
      <w:r>
        <w:rPr>
          <w:color w:val="231F20"/>
          <w:w w:val="105"/>
        </w:rPr>
        <w:t>INTERNAL POTASSIUM</w:t>
      </w:r>
      <w:r>
        <w:rPr>
          <w:color w:val="231F20"/>
          <w:spacing w:val="-6"/>
          <w:w w:val="105"/>
        </w:rPr>
        <w:t> </w:t>
      </w:r>
      <w:r>
        <w:rPr>
          <w:color w:val="231F20"/>
          <w:w w:val="105"/>
        </w:rPr>
        <w:t>DISTRIBUTION</w:t>
      </w:r>
    </w:p>
    <w:p>
      <w:pPr>
        <w:pStyle w:val="BodyText"/>
        <w:spacing w:line="249" w:lineRule="auto" w:before="128"/>
        <w:ind w:left="319" w:right="1077"/>
        <w:jc w:val="both"/>
      </w:pPr>
      <w:r>
        <w:rPr>
          <w:color w:val="231F20"/>
          <w:w w:val="105"/>
        </w:rPr>
        <w:t>After</w:t>
      </w:r>
      <w:r>
        <w:rPr>
          <w:color w:val="231F20"/>
          <w:spacing w:val="-31"/>
          <w:w w:val="105"/>
        </w:rPr>
        <w:t> </w:t>
      </w:r>
      <w:r>
        <w:rPr>
          <w:color w:val="231F20"/>
          <w:w w:val="105"/>
        </w:rPr>
        <w:t>ingestion</w:t>
      </w:r>
      <w:r>
        <w:rPr>
          <w:color w:val="231F20"/>
          <w:spacing w:val="-30"/>
          <w:w w:val="105"/>
        </w:rPr>
        <w:t> </w:t>
      </w:r>
      <w:r>
        <w:rPr>
          <w:color w:val="231F20"/>
          <w:w w:val="105"/>
        </w:rPr>
        <w:t>of</w:t>
      </w:r>
      <w:r>
        <w:rPr>
          <w:color w:val="231F20"/>
          <w:spacing w:val="-30"/>
          <w:w w:val="105"/>
        </w:rPr>
        <w:t> </w:t>
      </w:r>
      <w:r>
        <w:rPr>
          <w:color w:val="231F20"/>
          <w:w w:val="105"/>
        </w:rPr>
        <w:t>a</w:t>
      </w:r>
      <w:r>
        <w:rPr>
          <w:color w:val="231F20"/>
          <w:spacing w:val="-31"/>
          <w:w w:val="105"/>
        </w:rPr>
        <w:t> </w:t>
      </w:r>
      <w:r>
        <w:rPr>
          <w:color w:val="231F20"/>
          <w:w w:val="105"/>
        </w:rPr>
        <w:t>normal</w:t>
      </w:r>
      <w:r>
        <w:rPr>
          <w:color w:val="231F20"/>
          <w:spacing w:val="-30"/>
          <w:w w:val="105"/>
        </w:rPr>
        <w:t> </w:t>
      </w:r>
      <w:r>
        <w:rPr>
          <w:color w:val="231F20"/>
          <w:w w:val="105"/>
        </w:rPr>
        <w:t>meal,</w:t>
      </w:r>
      <w:r>
        <w:rPr>
          <w:color w:val="231F20"/>
          <w:spacing w:val="-30"/>
          <w:w w:val="105"/>
        </w:rPr>
        <w:t> </w:t>
      </w:r>
      <w:r>
        <w:rPr>
          <w:color w:val="231F20"/>
          <w:w w:val="105"/>
        </w:rPr>
        <w:t>extracellular</w:t>
      </w:r>
      <w:r>
        <w:rPr>
          <w:color w:val="231F20"/>
          <w:spacing w:val="-30"/>
          <w:w w:val="105"/>
        </w:rPr>
        <w:t> </w:t>
      </w:r>
      <w:r>
        <w:rPr>
          <w:color w:val="231F20"/>
          <w:w w:val="105"/>
        </w:rPr>
        <w:t>fluid</w:t>
      </w:r>
      <w:r>
        <w:rPr>
          <w:color w:val="231F20"/>
          <w:spacing w:val="-31"/>
          <w:w w:val="105"/>
        </w:rPr>
        <w:t> </w:t>
      </w:r>
      <w:r>
        <w:rPr>
          <w:color w:val="231F20"/>
          <w:w w:val="105"/>
        </w:rPr>
        <w:t>potas- sium concentration would rise to a lethal level if the ingested potassium did not rapidly move into the cells. </w:t>
      </w:r>
      <w:r>
        <w:rPr>
          <w:color w:val="231F20"/>
          <w:spacing w:val="-3"/>
          <w:w w:val="105"/>
        </w:rPr>
        <w:t>For </w:t>
      </w:r>
      <w:r>
        <w:rPr>
          <w:color w:val="231F20"/>
          <w:w w:val="105"/>
        </w:rPr>
        <w:t>example, absorption of 40 mEq of potassium </w:t>
      </w:r>
      <w:r>
        <w:rPr>
          <w:color w:val="231F20"/>
          <w:spacing w:val="-4"/>
          <w:w w:val="105"/>
        </w:rPr>
        <w:t>(the </w:t>
      </w:r>
      <w:r>
        <w:rPr>
          <w:color w:val="231F20"/>
          <w:w w:val="105"/>
        </w:rPr>
        <w:t>amount contained in a meal rich in vegetables and</w:t>
      </w:r>
      <w:r>
        <w:rPr>
          <w:color w:val="231F20"/>
          <w:spacing w:val="-29"/>
          <w:w w:val="105"/>
        </w:rPr>
        <w:t> </w:t>
      </w:r>
      <w:r>
        <w:rPr>
          <w:color w:val="231F20"/>
          <w:w w:val="105"/>
        </w:rPr>
        <w:t>fruit) into</w:t>
      </w:r>
      <w:r>
        <w:rPr>
          <w:color w:val="231F20"/>
          <w:spacing w:val="-14"/>
          <w:w w:val="105"/>
        </w:rPr>
        <w:t> </w:t>
      </w:r>
      <w:r>
        <w:rPr>
          <w:color w:val="231F20"/>
          <w:w w:val="105"/>
        </w:rPr>
        <w:t>an</w:t>
      </w:r>
      <w:r>
        <w:rPr>
          <w:color w:val="231F20"/>
          <w:spacing w:val="-14"/>
          <w:w w:val="105"/>
        </w:rPr>
        <w:t> </w:t>
      </w:r>
      <w:r>
        <w:rPr>
          <w:color w:val="231F20"/>
          <w:w w:val="105"/>
        </w:rPr>
        <w:t>extracellular</w:t>
      </w:r>
      <w:r>
        <w:rPr>
          <w:color w:val="231F20"/>
          <w:spacing w:val="-14"/>
          <w:w w:val="105"/>
        </w:rPr>
        <w:t> </w:t>
      </w:r>
      <w:r>
        <w:rPr>
          <w:color w:val="231F20"/>
          <w:w w:val="105"/>
        </w:rPr>
        <w:t>fluid</w:t>
      </w:r>
      <w:r>
        <w:rPr>
          <w:color w:val="231F20"/>
          <w:spacing w:val="-14"/>
          <w:w w:val="105"/>
        </w:rPr>
        <w:t> </w:t>
      </w:r>
      <w:r>
        <w:rPr>
          <w:color w:val="231F20"/>
          <w:w w:val="105"/>
        </w:rPr>
        <w:t>volume</w:t>
      </w:r>
      <w:r>
        <w:rPr>
          <w:color w:val="231F20"/>
          <w:spacing w:val="-14"/>
          <w:w w:val="105"/>
        </w:rPr>
        <w:t> </w:t>
      </w:r>
      <w:r>
        <w:rPr>
          <w:color w:val="231F20"/>
          <w:w w:val="105"/>
        </w:rPr>
        <w:t>of</w:t>
      </w:r>
      <w:r>
        <w:rPr>
          <w:color w:val="231F20"/>
          <w:spacing w:val="-14"/>
          <w:w w:val="105"/>
        </w:rPr>
        <w:t> </w:t>
      </w:r>
      <w:r>
        <w:rPr>
          <w:color w:val="231F20"/>
          <w:w w:val="105"/>
        </w:rPr>
        <w:t>14</w:t>
      </w:r>
      <w:r>
        <w:rPr>
          <w:color w:val="231F20"/>
          <w:spacing w:val="-14"/>
          <w:w w:val="105"/>
        </w:rPr>
        <w:t> </w:t>
      </w:r>
      <w:r>
        <w:rPr>
          <w:color w:val="231F20"/>
          <w:w w:val="105"/>
        </w:rPr>
        <w:t>liters</w:t>
      </w:r>
      <w:r>
        <w:rPr>
          <w:color w:val="231F20"/>
          <w:spacing w:val="-14"/>
          <w:w w:val="105"/>
        </w:rPr>
        <w:t> </w:t>
      </w:r>
      <w:r>
        <w:rPr>
          <w:color w:val="231F20"/>
          <w:w w:val="105"/>
        </w:rPr>
        <w:t>would</w:t>
      </w:r>
      <w:r>
        <w:rPr>
          <w:color w:val="231F20"/>
          <w:spacing w:val="-13"/>
          <w:w w:val="105"/>
        </w:rPr>
        <w:t> </w:t>
      </w:r>
      <w:r>
        <w:rPr>
          <w:color w:val="231F20"/>
          <w:w w:val="105"/>
        </w:rPr>
        <w:t>raise plasma</w:t>
      </w:r>
      <w:r>
        <w:rPr>
          <w:color w:val="231F20"/>
          <w:spacing w:val="-26"/>
          <w:w w:val="105"/>
        </w:rPr>
        <w:t> </w:t>
      </w:r>
      <w:r>
        <w:rPr>
          <w:color w:val="231F20"/>
          <w:w w:val="105"/>
        </w:rPr>
        <w:t>potassium</w:t>
      </w:r>
      <w:r>
        <w:rPr>
          <w:color w:val="231F20"/>
          <w:spacing w:val="-26"/>
          <w:w w:val="105"/>
        </w:rPr>
        <w:t> </w:t>
      </w:r>
      <w:r>
        <w:rPr>
          <w:color w:val="231F20"/>
          <w:w w:val="105"/>
        </w:rPr>
        <w:t>concentration</w:t>
      </w:r>
      <w:r>
        <w:rPr>
          <w:color w:val="231F20"/>
          <w:spacing w:val="-26"/>
          <w:w w:val="105"/>
        </w:rPr>
        <w:t> </w:t>
      </w:r>
      <w:r>
        <w:rPr>
          <w:color w:val="231F20"/>
          <w:w w:val="105"/>
        </w:rPr>
        <w:t>by</w:t>
      </w:r>
      <w:r>
        <w:rPr>
          <w:color w:val="231F20"/>
          <w:spacing w:val="-25"/>
          <w:w w:val="105"/>
        </w:rPr>
        <w:t> </w:t>
      </w:r>
      <w:r>
        <w:rPr>
          <w:color w:val="231F20"/>
          <w:w w:val="105"/>
        </w:rPr>
        <w:t>about</w:t>
      </w:r>
      <w:r>
        <w:rPr>
          <w:color w:val="231F20"/>
          <w:spacing w:val="-26"/>
          <w:w w:val="105"/>
        </w:rPr>
        <w:t> </w:t>
      </w:r>
      <w:r>
        <w:rPr>
          <w:color w:val="231F20"/>
          <w:w w:val="105"/>
        </w:rPr>
        <w:t>2.9</w:t>
      </w:r>
      <w:r>
        <w:rPr>
          <w:color w:val="231F20"/>
          <w:spacing w:val="-15"/>
          <w:w w:val="105"/>
        </w:rPr>
        <w:t> </w:t>
      </w:r>
      <w:r>
        <w:rPr>
          <w:color w:val="231F20"/>
          <w:w w:val="105"/>
        </w:rPr>
        <w:t>mEq/L</w:t>
      </w:r>
      <w:r>
        <w:rPr>
          <w:color w:val="231F20"/>
          <w:spacing w:val="-26"/>
          <w:w w:val="105"/>
        </w:rPr>
        <w:t> </w:t>
      </w:r>
      <w:r>
        <w:rPr>
          <w:color w:val="231F20"/>
          <w:w w:val="105"/>
        </w:rPr>
        <w:t>if</w:t>
      </w:r>
      <w:r>
        <w:rPr>
          <w:color w:val="231F20"/>
          <w:spacing w:val="-25"/>
          <w:w w:val="105"/>
        </w:rPr>
        <w:t> </w:t>
      </w:r>
      <w:r>
        <w:rPr>
          <w:color w:val="231F20"/>
          <w:w w:val="105"/>
        </w:rPr>
        <w:t>all the potassium remained in the extracellular compart- ment.</w:t>
      </w:r>
      <w:r>
        <w:rPr>
          <w:color w:val="231F20"/>
          <w:spacing w:val="-20"/>
          <w:w w:val="105"/>
        </w:rPr>
        <w:t> </w:t>
      </w:r>
      <w:r>
        <w:rPr>
          <w:color w:val="231F20"/>
          <w:spacing w:val="-3"/>
          <w:w w:val="105"/>
        </w:rPr>
        <w:t>Fortunately,</w:t>
      </w:r>
      <w:r>
        <w:rPr>
          <w:color w:val="231F20"/>
          <w:spacing w:val="-20"/>
          <w:w w:val="105"/>
        </w:rPr>
        <w:t> </w:t>
      </w:r>
      <w:r>
        <w:rPr>
          <w:color w:val="231F20"/>
          <w:w w:val="105"/>
        </w:rPr>
        <w:t>most</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ingested</w:t>
      </w:r>
      <w:r>
        <w:rPr>
          <w:color w:val="231F20"/>
          <w:spacing w:val="-20"/>
          <w:w w:val="105"/>
        </w:rPr>
        <w:t> </w:t>
      </w:r>
      <w:r>
        <w:rPr>
          <w:color w:val="231F20"/>
          <w:w w:val="105"/>
        </w:rPr>
        <w:t>potassium</w:t>
      </w:r>
      <w:r>
        <w:rPr>
          <w:color w:val="231F20"/>
          <w:spacing w:val="-19"/>
          <w:w w:val="105"/>
        </w:rPr>
        <w:t> </w:t>
      </w:r>
      <w:r>
        <w:rPr>
          <w:color w:val="231F20"/>
          <w:w w:val="105"/>
        </w:rPr>
        <w:t>rapidly moves into the cells until the kidneys can eliminate the excess.</w:t>
      </w:r>
      <w:r>
        <w:rPr>
          <w:color w:val="231F20"/>
          <w:spacing w:val="-9"/>
          <w:w w:val="105"/>
        </w:rPr>
        <w:t> </w:t>
      </w:r>
      <w:hyperlink w:history="true" w:anchor="_bookmark83">
        <w:r>
          <w:rPr>
            <w:rFonts w:ascii="Cambria"/>
            <w:b/>
            <w:color w:val="0080AC"/>
            <w:spacing w:val="-4"/>
            <w:w w:val="105"/>
          </w:rPr>
          <w:t>Table </w:t>
        </w:r>
        <w:r>
          <w:rPr>
            <w:rFonts w:ascii="Cambria"/>
            <w:b/>
            <w:color w:val="0080AC"/>
            <w:w w:val="105"/>
          </w:rPr>
          <w:t>30-1</w:t>
        </w:r>
        <w:r>
          <w:rPr>
            <w:rFonts w:ascii="Cambria"/>
            <w:b/>
            <w:color w:val="0080AC"/>
            <w:spacing w:val="-3"/>
            <w:w w:val="105"/>
          </w:rPr>
          <w:t> </w:t>
        </w:r>
      </w:hyperlink>
      <w:r>
        <w:rPr>
          <w:color w:val="231F20"/>
          <w:w w:val="105"/>
        </w:rPr>
        <w:t>summarizes</w:t>
      </w:r>
      <w:r>
        <w:rPr>
          <w:color w:val="231F20"/>
          <w:spacing w:val="-9"/>
          <w:w w:val="105"/>
        </w:rPr>
        <w:t> </w:t>
      </w:r>
      <w:r>
        <w:rPr>
          <w:color w:val="231F20"/>
          <w:w w:val="105"/>
        </w:rPr>
        <w:t>some</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9"/>
          <w:w w:val="105"/>
        </w:rPr>
        <w:t> </w:t>
      </w:r>
      <w:r>
        <w:rPr>
          <w:color w:val="231F20"/>
          <w:w w:val="105"/>
        </w:rPr>
        <w:t>factors</w:t>
      </w:r>
      <w:r>
        <w:rPr>
          <w:color w:val="231F20"/>
          <w:spacing w:val="-8"/>
          <w:w w:val="105"/>
        </w:rPr>
        <w:t> </w:t>
      </w:r>
      <w:r>
        <w:rPr>
          <w:color w:val="231F20"/>
          <w:spacing w:val="-4"/>
          <w:w w:val="105"/>
        </w:rPr>
        <w:t>that </w:t>
      </w:r>
      <w:r>
        <w:rPr>
          <w:color w:val="231F20"/>
          <w:w w:val="105"/>
        </w:rPr>
        <w:t>can influence the distribution of potassium between the intracellular and extracellular compartments.</w:t>
      </w:r>
    </w:p>
    <w:p>
      <w:pPr>
        <w:pStyle w:val="BodyText"/>
        <w:spacing w:before="1"/>
        <w:rPr>
          <w:sz w:val="22"/>
        </w:rPr>
      </w:pPr>
    </w:p>
    <w:p>
      <w:pPr>
        <w:pStyle w:val="BodyText"/>
        <w:spacing w:line="249" w:lineRule="auto"/>
        <w:ind w:left="319" w:right="1077"/>
        <w:jc w:val="both"/>
      </w:pPr>
      <w:r>
        <w:rPr>
          <w:rFonts w:ascii="Trebuchet MS"/>
          <w:b/>
          <w:color w:val="231F20"/>
          <w:sz w:val="19"/>
        </w:rPr>
        <w:t>Insulin Stimulates Potassium Uptake into Cells. </w:t>
      </w:r>
      <w:r>
        <w:rPr>
          <w:color w:val="231F20"/>
        </w:rPr>
        <w:t>Insulin is important for increasing cell potassium uptake after a meal. In people who have insulin deficiency owing to diabetes mellitus, the rise in plasma potassium concen- tration after eating a meal is much greater than normal. Injections of insulin, however, can help to correct the hyperkalemia.</w:t>
      </w:r>
    </w:p>
    <w:p>
      <w:pPr>
        <w:pStyle w:val="BodyText"/>
        <w:spacing w:before="2"/>
        <w:rPr>
          <w:sz w:val="22"/>
        </w:rPr>
      </w:pPr>
    </w:p>
    <w:p>
      <w:pPr>
        <w:pStyle w:val="BodyText"/>
        <w:spacing w:line="249" w:lineRule="auto" w:before="1"/>
        <w:ind w:left="319" w:right="1077"/>
        <w:jc w:val="both"/>
      </w:pPr>
      <w:r>
        <w:rPr>
          <w:rFonts w:ascii="Trebuchet MS" w:hAnsi="Trebuchet MS"/>
          <w:b/>
          <w:color w:val="231F20"/>
          <w:sz w:val="19"/>
        </w:rPr>
        <w:t>Aldosterone Increases Potassium Uptake into Cells. </w:t>
      </w:r>
      <w:r>
        <w:rPr>
          <w:color w:val="231F20"/>
        </w:rPr>
        <w:t>Increased potassium intake also stimulates secretion </w:t>
      </w:r>
      <w:r>
        <w:rPr>
          <w:color w:val="231F20"/>
          <w:spacing w:val="-6"/>
        </w:rPr>
        <w:t>of </w:t>
      </w:r>
      <w:r>
        <w:rPr>
          <w:color w:val="231F20"/>
        </w:rPr>
        <w:t>aldosterone,</w:t>
      </w:r>
      <w:r>
        <w:rPr>
          <w:color w:val="231F20"/>
          <w:spacing w:val="-11"/>
        </w:rPr>
        <w:t> </w:t>
      </w:r>
      <w:r>
        <w:rPr>
          <w:color w:val="231F20"/>
        </w:rPr>
        <w:t>which</w:t>
      </w:r>
      <w:r>
        <w:rPr>
          <w:color w:val="231F20"/>
          <w:spacing w:val="-11"/>
        </w:rPr>
        <w:t> </w:t>
      </w:r>
      <w:r>
        <w:rPr>
          <w:color w:val="231F20"/>
        </w:rPr>
        <w:t>increases</w:t>
      </w:r>
      <w:r>
        <w:rPr>
          <w:color w:val="231F20"/>
          <w:spacing w:val="-10"/>
        </w:rPr>
        <w:t> </w:t>
      </w:r>
      <w:r>
        <w:rPr>
          <w:color w:val="231F20"/>
        </w:rPr>
        <w:t>cell</w:t>
      </w:r>
      <w:r>
        <w:rPr>
          <w:color w:val="231F20"/>
          <w:spacing w:val="-11"/>
        </w:rPr>
        <w:t> </w:t>
      </w:r>
      <w:r>
        <w:rPr>
          <w:color w:val="231F20"/>
        </w:rPr>
        <w:t>potassium</w:t>
      </w:r>
      <w:r>
        <w:rPr>
          <w:color w:val="231F20"/>
          <w:spacing w:val="-10"/>
        </w:rPr>
        <w:t> </w:t>
      </w:r>
      <w:r>
        <w:rPr>
          <w:color w:val="231F20"/>
        </w:rPr>
        <w:t>uptake.</w:t>
      </w:r>
      <w:r>
        <w:rPr>
          <w:color w:val="231F20"/>
          <w:spacing w:val="-11"/>
        </w:rPr>
        <w:t> </w:t>
      </w:r>
      <w:r>
        <w:rPr>
          <w:color w:val="231F20"/>
        </w:rPr>
        <w:t>Excess aldosterone secretion </w:t>
      </w:r>
      <w:r>
        <w:rPr>
          <w:color w:val="231F20"/>
          <w:spacing w:val="-4"/>
        </w:rPr>
        <w:t>(Conn’s </w:t>
      </w:r>
      <w:r>
        <w:rPr>
          <w:color w:val="231F20"/>
        </w:rPr>
        <w:t>syndrome) is almost invari- ably associated with hypokalemia, due in part to move- ment of extracellular potassium into the cells. Conversely, patients with deficient aldosterone production </w:t>
      </w:r>
      <w:r>
        <w:rPr>
          <w:color w:val="231F20"/>
          <w:spacing w:val="-5"/>
        </w:rPr>
        <w:t>(Addison’s </w:t>
      </w:r>
      <w:r>
        <w:rPr>
          <w:color w:val="231F20"/>
        </w:rPr>
        <w:t>disease) often have clinically significant hyperkalemia</w:t>
      </w:r>
      <w:r>
        <w:rPr>
          <w:color w:val="231F20"/>
          <w:spacing w:val="-30"/>
        </w:rPr>
        <w:t> </w:t>
      </w:r>
      <w:r>
        <w:rPr>
          <w:color w:val="231F20"/>
        </w:rPr>
        <w:t>due to accumulation of potassium in the extracellular space,  as well as renal retention of</w:t>
      </w:r>
      <w:r>
        <w:rPr>
          <w:color w:val="231F20"/>
          <w:spacing w:val="35"/>
        </w:rPr>
        <w:t> </w:t>
      </w:r>
      <w:r>
        <w:rPr>
          <w:color w:val="231F20"/>
        </w:rPr>
        <w:t>potassium.</w:t>
      </w:r>
    </w:p>
    <w:p>
      <w:pPr>
        <w:pStyle w:val="BodyText"/>
        <w:spacing w:before="10"/>
        <w:rPr>
          <w:sz w:val="21"/>
        </w:rPr>
      </w:pPr>
    </w:p>
    <w:p>
      <w:pPr>
        <w:spacing w:line="242" w:lineRule="auto" w:before="0"/>
        <w:ind w:left="319" w:right="1140" w:firstLine="0"/>
        <w:jc w:val="left"/>
        <w:rPr>
          <w:sz w:val="20"/>
        </w:rPr>
      </w:pPr>
      <w:r>
        <w:rPr>
          <w:rFonts w:ascii="Consolas" w:hAnsi="Consolas"/>
          <w:b/>
          <w:color w:val="231F20"/>
          <w:sz w:val="20"/>
        </w:rPr>
        <w:t>β</w:t>
      </w:r>
      <w:r>
        <w:rPr>
          <w:rFonts w:ascii="Trebuchet MS" w:hAnsi="Trebuchet MS"/>
          <w:b/>
          <w:color w:val="231F20"/>
          <w:sz w:val="19"/>
        </w:rPr>
        <w:t>-Adrenergic Stimulation Increases Cellular Uptake of Potassium. </w:t>
      </w:r>
      <w:r>
        <w:rPr>
          <w:color w:val="231F20"/>
          <w:sz w:val="20"/>
        </w:rPr>
        <w:t>Increased secretion of catecholamines,</w:t>
      </w:r>
    </w:p>
    <w:p>
      <w:pPr>
        <w:spacing w:after="0" w:line="242" w:lineRule="auto"/>
        <w:jc w:val="left"/>
        <w:rPr>
          <w:sz w:val="20"/>
        </w:rPr>
        <w:sectPr>
          <w:type w:val="continuous"/>
          <w:pgSz w:w="12240" w:h="15660"/>
          <w:pgMar w:top="0" w:bottom="760" w:left="0" w:right="0"/>
          <w:cols w:num="2" w:equalWidth="0">
            <w:col w:w="6121" w:space="40"/>
            <w:col w:w="6079"/>
          </w:cols>
        </w:sectPr>
      </w:pPr>
    </w:p>
    <w:p>
      <w:pPr>
        <w:pStyle w:val="BodyText"/>
        <w:spacing w:before="10"/>
        <w:rPr>
          <w:sz w:val="19"/>
        </w:rPr>
      </w:pPr>
    </w:p>
    <w:p>
      <w:pPr>
        <w:spacing w:after="0"/>
        <w:rPr>
          <w:sz w:val="19"/>
        </w:rPr>
        <w:sectPr>
          <w:headerReference w:type="even" r:id="rId849"/>
          <w:pgSz w:w="12240" w:h="15660"/>
          <w:pgMar w:header="0" w:footer="567" w:top="720" w:bottom="760" w:left="0" w:right="0"/>
        </w:sectPr>
      </w:pPr>
    </w:p>
    <w:p>
      <w:pPr>
        <w:spacing w:line="203" w:lineRule="exact" w:before="148"/>
        <w:ind w:left="1080" w:right="0" w:firstLine="0"/>
        <w:jc w:val="left"/>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intake</w:t>
      </w:r>
    </w:p>
    <w:p>
      <w:pPr>
        <w:spacing w:line="182" w:lineRule="exact" w:before="0"/>
        <w:ind w:left="1079" w:right="0" w:firstLine="0"/>
        <w:jc w:val="left"/>
        <w:rPr>
          <w:rFonts w:ascii="Helvetica"/>
          <w:b/>
          <w:sz w:val="16"/>
        </w:rPr>
      </w:pPr>
      <w:r>
        <w:rPr>
          <w:rFonts w:ascii="Helvetica"/>
          <w:b/>
          <w:color w:val="231F20"/>
          <w:sz w:val="16"/>
        </w:rPr>
        <w:t>100 mEq/day</w:t>
      </w:r>
    </w:p>
    <w:p>
      <w:pPr>
        <w:pStyle w:val="BodyText"/>
        <w:rPr>
          <w:rFonts w:ascii="Helvetica"/>
          <w:b/>
        </w:rPr>
      </w:pPr>
      <w:r>
        <w:rPr/>
        <w:br w:type="column"/>
      </w:r>
      <w:r>
        <w:rPr>
          <w:rFonts w:ascii="Helvetica"/>
          <w:b/>
        </w:rPr>
      </w:r>
    </w:p>
    <w:p>
      <w:pPr>
        <w:pStyle w:val="BodyText"/>
        <w:rPr>
          <w:rFonts w:ascii="Helvetica"/>
          <w:b/>
        </w:rPr>
      </w:pPr>
    </w:p>
    <w:p>
      <w:pPr>
        <w:pStyle w:val="BodyText"/>
        <w:spacing w:before="6"/>
        <w:rPr>
          <w:rFonts w:ascii="Helvetica"/>
          <w:b/>
          <w:sz w:val="28"/>
        </w:rPr>
      </w:pPr>
    </w:p>
    <w:p>
      <w:pPr>
        <w:spacing w:line="220" w:lineRule="auto" w:before="0"/>
        <w:ind w:left="639" w:right="-20" w:hanging="183"/>
        <w:jc w:val="left"/>
        <w:rPr>
          <w:rFonts w:ascii="Helvetica"/>
          <w:sz w:val="12"/>
        </w:rPr>
      </w:pPr>
      <w:r>
        <w:rPr>
          <w:rFonts w:ascii="Helvetica"/>
          <w:color w:val="231F20"/>
          <w:sz w:val="16"/>
        </w:rPr>
        <w:t>Extracellular</w:t>
      </w:r>
      <w:r>
        <w:rPr>
          <w:rFonts w:ascii="Helvetica"/>
          <w:color w:val="231F20"/>
          <w:w w:val="99"/>
          <w:sz w:val="16"/>
        </w:rPr>
        <w:t> </w:t>
      </w:r>
      <w:r>
        <w:rPr>
          <w:rFonts w:ascii="Helvetica"/>
          <w:color w:val="231F20"/>
          <w:sz w:val="16"/>
        </w:rPr>
        <w:t>fluid K</w:t>
      </w:r>
      <w:r>
        <w:rPr>
          <w:rFonts w:ascii="Helvetica"/>
          <w:color w:val="231F20"/>
          <w:position w:val="5"/>
          <w:sz w:val="12"/>
        </w:rPr>
        <w:t>+</w:t>
      </w:r>
    </w:p>
    <w:p>
      <w:pPr>
        <w:pStyle w:val="BodyText"/>
        <w:spacing w:before="9"/>
        <w:rPr>
          <w:rFonts w:ascii="Helvetica"/>
          <w:sz w:val="23"/>
        </w:rPr>
      </w:pPr>
    </w:p>
    <w:p>
      <w:pPr>
        <w:spacing w:line="177" w:lineRule="exact" w:before="0"/>
        <w:ind w:left="531" w:right="0" w:firstLine="0"/>
        <w:jc w:val="left"/>
        <w:rPr>
          <w:rFonts w:ascii="Helvetica"/>
          <w:sz w:val="16"/>
        </w:rPr>
      </w:pPr>
      <w:r>
        <w:rPr>
          <w:rFonts w:ascii="Helvetica"/>
          <w:color w:val="231F20"/>
          <w:sz w:val="16"/>
        </w:rPr>
        <w:t>4.2 mEq/L</w:t>
      </w:r>
    </w:p>
    <w:p>
      <w:pPr>
        <w:spacing w:line="189" w:lineRule="exact" w:before="0"/>
        <w:ind w:left="674" w:right="0" w:firstLine="0"/>
        <w:jc w:val="left"/>
        <w:rPr>
          <w:rFonts w:ascii="Helvetica" w:hAnsi="Helvetica"/>
          <w:sz w:val="16"/>
        </w:rPr>
      </w:pPr>
      <w:r>
        <w:rPr>
          <w:rFonts w:ascii="Symbol" w:hAnsi="Symbol"/>
          <w:color w:val="231F20"/>
          <w:sz w:val="16"/>
        </w:rPr>
        <w:t></w:t>
      </w:r>
      <w:r>
        <w:rPr>
          <w:color w:val="231F20"/>
          <w:sz w:val="16"/>
        </w:rPr>
        <w:t> </w:t>
      </w:r>
      <w:r>
        <w:rPr>
          <w:rFonts w:ascii="Helvetica" w:hAnsi="Helvetica"/>
          <w:color w:val="231F20"/>
          <w:sz w:val="16"/>
        </w:rPr>
        <w:t>14 L</w:t>
      </w:r>
    </w:p>
    <w:p>
      <w:pPr>
        <w:pStyle w:val="BodyText"/>
        <w:rPr>
          <w:rFonts w:ascii="Helvetica"/>
        </w:rPr>
      </w:pPr>
      <w:r>
        <w:rPr/>
        <w:br w:type="column"/>
      </w:r>
      <w:r>
        <w:rPr>
          <w:rFonts w:ascii="Helvetica"/>
        </w:rPr>
      </w:r>
    </w:p>
    <w:p>
      <w:pPr>
        <w:pStyle w:val="BodyText"/>
        <w:rPr>
          <w:rFonts w:ascii="Helvetica"/>
        </w:rPr>
      </w:pPr>
    </w:p>
    <w:p>
      <w:pPr>
        <w:pStyle w:val="BodyText"/>
        <w:spacing w:before="6"/>
        <w:rPr>
          <w:rFonts w:ascii="Helvetica"/>
          <w:sz w:val="28"/>
        </w:rPr>
      </w:pPr>
    </w:p>
    <w:p>
      <w:pPr>
        <w:spacing w:line="220" w:lineRule="auto" w:before="0"/>
        <w:ind w:left="953" w:right="0" w:firstLine="0"/>
        <w:jc w:val="center"/>
        <w:rPr>
          <w:rFonts w:ascii="Helvetica"/>
          <w:sz w:val="12"/>
        </w:rPr>
      </w:pPr>
      <w:r>
        <w:rPr>
          <w:rFonts w:ascii="Helvetica"/>
          <w:color w:val="231F20"/>
          <w:w w:val="95"/>
          <w:sz w:val="16"/>
        </w:rPr>
        <w:t>Intracellular </w:t>
      </w:r>
      <w:r>
        <w:rPr>
          <w:rFonts w:ascii="Helvetica"/>
          <w:color w:val="231F20"/>
          <w:sz w:val="16"/>
        </w:rPr>
        <w:t>fluid K</w:t>
      </w:r>
      <w:r>
        <w:rPr>
          <w:rFonts w:ascii="Helvetica"/>
          <w:color w:val="231F20"/>
          <w:position w:val="5"/>
          <w:sz w:val="12"/>
        </w:rPr>
        <w:t>+</w:t>
      </w:r>
    </w:p>
    <w:p>
      <w:pPr>
        <w:pStyle w:val="BodyText"/>
        <w:spacing w:before="9"/>
        <w:rPr>
          <w:rFonts w:ascii="Helvetica"/>
          <w:sz w:val="23"/>
        </w:rPr>
      </w:pPr>
    </w:p>
    <w:p>
      <w:pPr>
        <w:spacing w:line="177" w:lineRule="exact" w:before="0"/>
        <w:ind w:left="879" w:right="0" w:firstLine="0"/>
        <w:jc w:val="center"/>
        <w:rPr>
          <w:rFonts w:ascii="Helvetica"/>
          <w:sz w:val="16"/>
        </w:rPr>
      </w:pPr>
      <w:r>
        <w:rPr>
          <w:rFonts w:ascii="Helvetica"/>
          <w:color w:val="231F20"/>
          <w:sz w:val="16"/>
        </w:rPr>
        <w:t>140 mEq/L</w:t>
      </w:r>
    </w:p>
    <w:p>
      <w:pPr>
        <w:spacing w:line="189" w:lineRule="exact" w:before="0"/>
        <w:ind w:left="880" w:right="0" w:firstLine="0"/>
        <w:jc w:val="center"/>
        <w:rPr>
          <w:rFonts w:ascii="Helvetica" w:hAnsi="Helvetica"/>
          <w:sz w:val="16"/>
        </w:rPr>
      </w:pPr>
      <w:r>
        <w:rPr>
          <w:rFonts w:ascii="Symbol" w:hAnsi="Symbol"/>
          <w:color w:val="231F20"/>
          <w:sz w:val="16"/>
        </w:rPr>
        <w:t></w:t>
      </w:r>
      <w:r>
        <w:rPr>
          <w:color w:val="231F20"/>
          <w:sz w:val="16"/>
        </w:rPr>
        <w:t> </w:t>
      </w:r>
      <w:r>
        <w:rPr>
          <w:rFonts w:ascii="Helvetica" w:hAnsi="Helvetica"/>
          <w:color w:val="231F20"/>
          <w:sz w:val="16"/>
        </w:rPr>
        <w:t>28 L</w:t>
      </w:r>
    </w:p>
    <w:p>
      <w:pPr>
        <w:pStyle w:val="BodyText"/>
        <w:spacing w:line="249" w:lineRule="auto" w:before="100"/>
        <w:ind w:left="825" w:right="1437"/>
        <w:jc w:val="both"/>
      </w:pPr>
      <w:r>
        <w:rPr/>
        <w:br w:type="column"/>
      </w:r>
      <w:r>
        <w:rPr>
          <w:rFonts w:ascii="Trebuchet MS"/>
          <w:b/>
          <w:color w:val="231F20"/>
          <w:sz w:val="19"/>
        </w:rPr>
        <w:t>Cell Lysis Causes Increased Extracellular Potassium Concentration. </w:t>
      </w:r>
      <w:r>
        <w:rPr>
          <w:color w:val="231F20"/>
        </w:rPr>
        <w:t>As cells are destroyed, the large amounts of potassium contained in the cells are released into the extracellular compartment. This release of potassium can cause significant hyperkalemia if large amounts of tissue are destroyed, as occurs with severe muscle injury or with red blood cell lysis.</w:t>
      </w:r>
    </w:p>
    <w:p>
      <w:pPr>
        <w:spacing w:after="0" w:line="249" w:lineRule="auto"/>
        <w:jc w:val="both"/>
        <w:sectPr>
          <w:type w:val="continuous"/>
          <w:pgSz w:w="12240" w:h="15660"/>
          <w:pgMar w:top="0" w:bottom="760" w:left="0" w:right="0"/>
          <w:cols w:num="4" w:equalWidth="0">
            <w:col w:w="2059" w:space="40"/>
            <w:col w:w="1337" w:space="39"/>
            <w:col w:w="1780" w:space="39"/>
            <w:col w:w="6946"/>
          </w:cols>
        </w:sectPr>
      </w:pPr>
    </w:p>
    <w:p>
      <w:pPr>
        <w:pStyle w:val="BodyText"/>
        <w:spacing w:before="5"/>
        <w:rPr>
          <w:sz w:val="12"/>
        </w:rPr>
      </w:pPr>
    </w:p>
    <w:p>
      <w:pPr>
        <w:spacing w:after="0"/>
        <w:rPr>
          <w:sz w:val="12"/>
        </w:rPr>
        <w:sectPr>
          <w:type w:val="continuous"/>
          <w:pgSz w:w="12240" w:h="15660"/>
          <w:pgMar w:top="0" w:bottom="760" w:left="0" w:right="0"/>
        </w:sectPr>
      </w:pPr>
    </w:p>
    <w:p>
      <w:pPr>
        <w:pStyle w:val="BodyText"/>
      </w:pPr>
    </w:p>
    <w:p>
      <w:pPr>
        <w:pStyle w:val="BodyText"/>
      </w:pPr>
    </w:p>
    <w:p>
      <w:pPr>
        <w:pStyle w:val="BodyText"/>
        <w:spacing w:before="3"/>
        <w:rPr>
          <w:sz w:val="23"/>
        </w:rPr>
      </w:pPr>
    </w:p>
    <w:p>
      <w:pPr>
        <w:spacing w:line="203" w:lineRule="exact" w:before="0"/>
        <w:ind w:left="1079" w:right="0" w:firstLine="0"/>
        <w:jc w:val="left"/>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output</w:t>
      </w:r>
    </w:p>
    <w:p>
      <w:pPr>
        <w:spacing w:line="235" w:lineRule="auto" w:before="1"/>
        <w:ind w:left="1056" w:right="0" w:firstLine="0"/>
        <w:jc w:val="right"/>
        <w:rPr>
          <w:rFonts w:ascii="Helvetica"/>
          <w:b/>
          <w:sz w:val="16"/>
        </w:rPr>
      </w:pPr>
      <w:r>
        <w:rPr/>
        <w:pict>
          <v:rect style="position:absolute;margin-left:0pt;margin-top:2.031514pt;width:36pt;height:24pt;mso-position-horizontal-relative:page;mso-position-vertical-relative:paragraph;z-index:252549120" filled="true" fillcolor="#e8dac8" stroked="false">
            <v:fill type="solid"/>
            <w10:wrap type="none"/>
          </v:rect>
        </w:pict>
      </w:r>
      <w:r>
        <w:rPr>
          <w:rFonts w:ascii="Helvetica"/>
          <w:color w:val="231F20"/>
          <w:sz w:val="16"/>
        </w:rPr>
        <w:t>Urine 92 mEq/day Fece</w:t>
      </w:r>
      <w:r>
        <w:rPr>
          <w:rFonts w:ascii="Helvetica"/>
          <w:color w:val="231F20"/>
          <w:sz w:val="16"/>
          <w:u w:val="single" w:color="231F20"/>
        </w:rPr>
        <w:t>s 8 mEq/day</w:t>
      </w:r>
      <w:r>
        <w:rPr>
          <w:rFonts w:ascii="Helvetica"/>
          <w:color w:val="231F20"/>
          <w:sz w:val="16"/>
        </w:rPr>
        <w:t> </w:t>
      </w:r>
      <w:r>
        <w:rPr>
          <w:rFonts w:ascii="Helvetica"/>
          <w:b/>
          <w:color w:val="231F20"/>
          <w:sz w:val="16"/>
        </w:rPr>
        <w:t>100 mEq/day</w:t>
      </w:r>
    </w:p>
    <w:p>
      <w:pPr>
        <w:pStyle w:val="BodyText"/>
        <w:spacing w:before="11"/>
        <w:rPr>
          <w:rFonts w:ascii="Helvetica"/>
          <w:b/>
          <w:sz w:val="19"/>
        </w:rPr>
      </w:pPr>
      <w:r>
        <w:rPr/>
        <w:br w:type="column"/>
      </w:r>
      <w:r>
        <w:rPr>
          <w:rFonts w:ascii="Helvetica"/>
          <w:b/>
          <w:sz w:val="19"/>
        </w:rPr>
      </w:r>
    </w:p>
    <w:p>
      <w:pPr>
        <w:spacing w:before="0"/>
        <w:ind w:left="155" w:right="0" w:firstLine="0"/>
        <w:jc w:val="left"/>
        <w:rPr>
          <w:rFonts w:ascii="Helvetica"/>
          <w:b/>
          <w:sz w:val="16"/>
        </w:rPr>
      </w:pPr>
      <w:r>
        <w:rPr>
          <w:rFonts w:ascii="Helvetica"/>
          <w:b/>
          <w:color w:val="231F20"/>
          <w:sz w:val="16"/>
        </w:rPr>
        <w:t>59 mEq</w:t>
      </w:r>
    </w:p>
    <w:p>
      <w:pPr>
        <w:pStyle w:val="BodyText"/>
        <w:rPr>
          <w:rFonts w:ascii="Helvetica"/>
          <w:b/>
        </w:rPr>
      </w:pPr>
      <w:r>
        <w:rPr/>
        <w:br w:type="column"/>
      </w:r>
      <w:r>
        <w:rPr>
          <w:rFonts w:ascii="Helvetica"/>
          <w:b/>
        </w:rPr>
      </w:r>
    </w:p>
    <w:p>
      <w:pPr>
        <w:spacing w:before="1"/>
        <w:ind w:left="1079" w:right="0" w:firstLine="0"/>
        <w:jc w:val="left"/>
        <w:rPr>
          <w:rFonts w:ascii="Helvetica"/>
          <w:b/>
          <w:sz w:val="16"/>
        </w:rPr>
      </w:pPr>
      <w:r>
        <w:rPr>
          <w:rFonts w:ascii="Helvetica"/>
          <w:b/>
          <w:color w:val="231F20"/>
          <w:sz w:val="16"/>
        </w:rPr>
        <w:t>3920 mEq</w:t>
      </w:r>
    </w:p>
    <w:p>
      <w:pPr>
        <w:spacing w:line="249" w:lineRule="auto" w:before="99"/>
        <w:ind w:left="842" w:right="1437" w:firstLine="0"/>
        <w:jc w:val="both"/>
        <w:rPr>
          <w:sz w:val="20"/>
        </w:rPr>
      </w:pPr>
      <w:r>
        <w:rPr/>
        <w:br w:type="column"/>
      </w:r>
      <w:r>
        <w:rPr>
          <w:rFonts w:ascii="Trebuchet MS" w:hAnsi="Trebuchet MS"/>
          <w:b/>
          <w:color w:val="231F20"/>
          <w:sz w:val="19"/>
        </w:rPr>
        <w:t>Strenuous Exercise Can Cause Hyperkalemia by Releasing Potassium from Skeletal Muscle. </w:t>
      </w:r>
      <w:r>
        <w:rPr>
          <w:color w:val="231F20"/>
          <w:sz w:val="20"/>
        </w:rPr>
        <w:t>During prolonged exercise, potassium is released from skeletal muscle into the extracellular fluid. Usually the hyperkale- mia is mild, but it may be clinically significant after heavy exercise, especially in patients treated with </w:t>
      </w:r>
      <w:r>
        <w:rPr>
          <w:rFonts w:ascii="Consolas" w:hAnsi="Consolas"/>
          <w:color w:val="231F20"/>
          <w:sz w:val="20"/>
        </w:rPr>
        <w:t>β</w:t>
      </w:r>
      <w:r>
        <w:rPr>
          <w:color w:val="231F20"/>
          <w:sz w:val="20"/>
        </w:rPr>
        <w:t>-adrenergic</w:t>
      </w:r>
    </w:p>
    <w:p>
      <w:pPr>
        <w:spacing w:after="0" w:line="249" w:lineRule="auto"/>
        <w:jc w:val="both"/>
        <w:rPr>
          <w:sz w:val="20"/>
        </w:rPr>
        <w:sectPr>
          <w:type w:val="continuous"/>
          <w:pgSz w:w="12240" w:h="15660"/>
          <w:pgMar w:top="0" w:bottom="760" w:left="0" w:right="0"/>
          <w:cols w:num="4" w:equalWidth="0">
            <w:col w:w="2548" w:space="40"/>
            <w:col w:w="765" w:space="57"/>
            <w:col w:w="1827" w:space="40"/>
            <w:col w:w="6963"/>
          </w:cols>
        </w:sectPr>
      </w:pPr>
    </w:p>
    <w:p>
      <w:pPr>
        <w:spacing w:line="259" w:lineRule="auto" w:before="32"/>
        <w:ind w:left="1087" w:right="-5" w:firstLine="0"/>
        <w:jc w:val="left"/>
        <w:rPr>
          <w:rFonts w:ascii="Arial"/>
          <w:sz w:val="16"/>
        </w:rPr>
      </w:pPr>
      <w:r>
        <w:rPr/>
        <w:pict>
          <v:group style="position:absolute;margin-left:91.918503pt;margin-top:-155.841949pt;width:196.9pt;height:126.7pt;mso-position-horizontal-relative:page;mso-position-vertical-relative:paragraph;z-index:-272855040" coordorigin="1838,-3117" coordsize="3938,2534">
            <v:shape style="position:absolute;left:1845;top:-3110;width:3923;height:2519" coordorigin="1846,-3109" coordsize="3923,2519" path="m2011,-3109l1846,-2896,2268,-2570,2268,-1131,1846,-805,2011,-591,2436,-919,5768,-919,5768,-2779,2437,-2779,2011,-3109xe" filled="true" fillcolor="#dee7d3" stroked="false">
              <v:path arrowok="t"/>
              <v:fill type="solid"/>
            </v:shape>
            <v:shape style="position:absolute;left:2716;top:-1307;width:2668;height:328" coordorigin="2716,-1306" coordsize="2668,328" path="m3459,-1306l2716,-1306,2716,-978,3459,-978,3459,-1306m5384,-1306l4464,-1306,4464,-978,5384,-978,5384,-1306e" filled="true" fillcolor="#c2caba" stroked="false">
              <v:path arrowok="t"/>
              <v:fill type="solid"/>
            </v:shape>
            <v:shape style="position:absolute;left:2656;top:-1367;width:2668;height:328" coordorigin="2656,-1366" coordsize="2668,328" path="m3399,-1366l2656,-1366,2656,-1038,3399,-1038,3399,-1366m5324,-1366l4404,-1366,4404,-1038,5324,-1038,5324,-1366e" filled="true" fillcolor="#ffffff" stroked="false">
              <v:path arrowok="t"/>
              <v:fill type="solid"/>
            </v:shape>
            <v:shape style="position:absolute;left:1962;top:-959;width:289;height:228" type="#_x0000_t75" stroked="false">
              <v:imagedata r:id="rId850" o:title=""/>
            </v:shape>
            <v:shape style="position:absolute;left:2032;top:-2937;width:290;height:227" type="#_x0000_t75" stroked="false">
              <v:imagedata r:id="rId851" o:title=""/>
            </v:shape>
            <v:shape style="position:absolute;left:0;top:11045;width:3923;height:2519" coordorigin="0,11045" coordsize="3923,2519" path="m1846,-2896l2268,-2570,2268,-1131,1846,-805m2011,-591l2436,-919,5768,-919,5768,-2779,2437,-2779,2011,-3109m3763,-2774l3763,-924e" filled="false" stroked="true" strokeweight=".75pt" strokecolor="#231f20">
              <v:path arrowok="t"/>
              <v:stroke dashstyle="solid"/>
            </v:shape>
            <w10:wrap type="none"/>
          </v:group>
        </w:pict>
      </w:r>
      <w:bookmarkStart w:name="_bookmark82" w:id="83"/>
      <w:bookmarkEnd w:id="83"/>
      <w:r>
        <w:rPr/>
      </w:r>
      <w:r>
        <w:rPr>
          <w:rFonts w:ascii="Trebuchet MS"/>
          <w:b/>
          <w:color w:val="231F20"/>
          <w:sz w:val="16"/>
        </w:rPr>
        <w:t>Figure</w:t>
      </w:r>
      <w:r>
        <w:rPr>
          <w:rFonts w:ascii="Trebuchet MS"/>
          <w:b/>
          <w:color w:val="231F20"/>
          <w:spacing w:val="-36"/>
          <w:sz w:val="16"/>
        </w:rPr>
        <w:t> </w:t>
      </w:r>
      <w:r>
        <w:rPr>
          <w:rFonts w:ascii="Trebuchet MS"/>
          <w:b/>
          <w:color w:val="231F20"/>
          <w:sz w:val="16"/>
        </w:rPr>
        <w:t>30-1. </w:t>
      </w:r>
      <w:r>
        <w:rPr>
          <w:rFonts w:ascii="Arial"/>
          <w:color w:val="231F20"/>
          <w:sz w:val="16"/>
        </w:rPr>
        <w:t>Normal potassium intake, distribution of potassium </w:t>
      </w:r>
      <w:r>
        <w:rPr>
          <w:rFonts w:ascii="Arial"/>
          <w:color w:val="231F20"/>
          <w:spacing w:val="-7"/>
          <w:sz w:val="16"/>
        </w:rPr>
        <w:t>in </w:t>
      </w:r>
      <w:r>
        <w:rPr>
          <w:rFonts w:ascii="Arial"/>
          <w:color w:val="231F20"/>
          <w:sz w:val="16"/>
        </w:rPr>
        <w:t>the body fluids, and potassium output from the</w:t>
      </w:r>
      <w:r>
        <w:rPr>
          <w:rFonts w:ascii="Arial"/>
          <w:color w:val="231F20"/>
          <w:spacing w:val="4"/>
          <w:sz w:val="16"/>
        </w:rPr>
        <w:t> </w:t>
      </w:r>
      <w:r>
        <w:rPr>
          <w:rFonts w:ascii="Arial"/>
          <w:color w:val="231F20"/>
          <w:spacing w:val="-3"/>
          <w:sz w:val="16"/>
        </w:rPr>
        <w:t>body.</w:t>
      </w:r>
    </w:p>
    <w:p>
      <w:pPr>
        <w:pStyle w:val="BodyText"/>
        <w:rPr>
          <w:rFonts w:ascii="Arial"/>
          <w:sz w:val="18"/>
        </w:rPr>
      </w:pPr>
    </w:p>
    <w:p>
      <w:pPr>
        <w:pStyle w:val="BodyText"/>
        <w:spacing w:before="1"/>
        <w:rPr>
          <w:rFonts w:ascii="Arial"/>
          <w:sz w:val="18"/>
        </w:rPr>
      </w:pPr>
    </w:p>
    <w:p>
      <w:pPr>
        <w:spacing w:line="252" w:lineRule="auto" w:before="0"/>
        <w:ind w:left="1080" w:right="260" w:firstLine="0"/>
        <w:jc w:val="left"/>
        <w:rPr>
          <w:rFonts w:ascii="Trebuchet MS"/>
          <w:sz w:val="18"/>
        </w:rPr>
      </w:pPr>
      <w:bookmarkStart w:name="_bookmark83" w:id="84"/>
      <w:bookmarkEnd w:id="84"/>
      <w:r>
        <w:rPr/>
      </w:r>
      <w:r>
        <w:rPr>
          <w:rFonts w:ascii="Trebuchet MS"/>
          <w:b/>
          <w:color w:val="231F20"/>
          <w:sz w:val="18"/>
        </w:rPr>
        <w:t>Table 30-1 </w:t>
      </w:r>
      <w:r>
        <w:rPr>
          <w:rFonts w:ascii="Trebuchet MS"/>
          <w:color w:val="231F20"/>
          <w:sz w:val="18"/>
        </w:rPr>
        <w:t>Factors That Can Alter Potassium Distribution Between the Intracellular and Extracellular Fluid</w:t>
      </w:r>
    </w:p>
    <w:p>
      <w:pPr>
        <w:pStyle w:val="BodyText"/>
        <w:spacing w:before="6"/>
        <w:rPr>
          <w:rFonts w:ascii="Trebuchet MS"/>
          <w:sz w:val="9"/>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0"/>
        <w:gridCol w:w="2471"/>
      </w:tblGrid>
      <w:tr>
        <w:trPr>
          <w:trHeight w:val="664" w:hRule="atLeast"/>
        </w:trPr>
        <w:tc>
          <w:tcPr>
            <w:tcW w:w="2210" w:type="dxa"/>
            <w:shd w:val="clear" w:color="auto" w:fill="D1DDF1"/>
          </w:tcPr>
          <w:p>
            <w:pPr>
              <w:pStyle w:val="TableParagraph"/>
              <w:spacing w:line="259" w:lineRule="auto" w:before="34"/>
              <w:ind w:left="120" w:right="538" w:hanging="1"/>
              <w:rPr>
                <w:b/>
                <w:sz w:val="16"/>
              </w:rPr>
            </w:pPr>
            <w:r>
              <w:rPr>
                <w:b/>
                <w:color w:val="231F20"/>
                <w:sz w:val="16"/>
              </w:rPr>
              <w:t>Factors That Shift K</w:t>
            </w:r>
            <w:r>
              <w:rPr>
                <w:rFonts w:ascii="Consolas"/>
                <w:b/>
                <w:color w:val="231F20"/>
                <w:position w:val="6"/>
                <w:sz w:val="9"/>
              </w:rPr>
              <w:t>+ </w:t>
            </w:r>
            <w:r>
              <w:rPr>
                <w:b/>
                <w:color w:val="231F20"/>
                <w:sz w:val="16"/>
              </w:rPr>
              <w:t>Into Cells (Decrease Extracellular [K</w:t>
            </w:r>
            <w:r>
              <w:rPr>
                <w:rFonts w:ascii="Consolas"/>
                <w:b/>
                <w:color w:val="231F20"/>
                <w:position w:val="6"/>
                <w:sz w:val="9"/>
              </w:rPr>
              <w:t>+</w:t>
            </w:r>
            <w:r>
              <w:rPr>
                <w:b/>
                <w:color w:val="231F20"/>
                <w:sz w:val="16"/>
              </w:rPr>
              <w:t>])</w:t>
            </w:r>
          </w:p>
        </w:tc>
        <w:tc>
          <w:tcPr>
            <w:tcW w:w="2471" w:type="dxa"/>
            <w:shd w:val="clear" w:color="auto" w:fill="D1DDF1"/>
          </w:tcPr>
          <w:p>
            <w:pPr>
              <w:pStyle w:val="TableParagraph"/>
              <w:spacing w:line="259" w:lineRule="auto" w:before="34"/>
              <w:ind w:left="250" w:right="597" w:hanging="1"/>
              <w:rPr>
                <w:b/>
                <w:sz w:val="16"/>
              </w:rPr>
            </w:pPr>
            <w:r>
              <w:rPr>
                <w:b/>
                <w:color w:val="231F20"/>
                <w:sz w:val="16"/>
              </w:rPr>
              <w:t>Factors That Shift K</w:t>
            </w:r>
            <w:r>
              <w:rPr>
                <w:rFonts w:ascii="Consolas"/>
                <w:b/>
                <w:color w:val="231F20"/>
                <w:position w:val="6"/>
                <w:sz w:val="9"/>
              </w:rPr>
              <w:t>+ </w:t>
            </w:r>
            <w:r>
              <w:rPr>
                <w:b/>
                <w:color w:val="231F20"/>
                <w:sz w:val="16"/>
              </w:rPr>
              <w:t>Out of Cells (Increase Extracellular [K</w:t>
            </w:r>
            <w:r>
              <w:rPr>
                <w:rFonts w:ascii="Consolas"/>
                <w:b/>
                <w:color w:val="231F20"/>
                <w:position w:val="6"/>
                <w:sz w:val="9"/>
              </w:rPr>
              <w:t>+</w:t>
            </w:r>
            <w:r>
              <w:rPr>
                <w:b/>
                <w:color w:val="231F20"/>
                <w:sz w:val="16"/>
              </w:rPr>
              <w:t>])</w:t>
            </w:r>
          </w:p>
        </w:tc>
      </w:tr>
      <w:tr>
        <w:trPr>
          <w:trHeight w:val="459" w:hRule="atLeast"/>
        </w:trPr>
        <w:tc>
          <w:tcPr>
            <w:tcW w:w="2210" w:type="dxa"/>
            <w:tcBorders>
              <w:bottom w:val="single" w:sz="4" w:space="0" w:color="FFFFFF"/>
            </w:tcBorders>
            <w:shd w:val="clear" w:color="auto" w:fill="E6ECF7"/>
          </w:tcPr>
          <w:p>
            <w:pPr>
              <w:pStyle w:val="TableParagraph"/>
              <w:spacing w:before="24"/>
              <w:ind w:left="119"/>
              <w:rPr>
                <w:sz w:val="16"/>
              </w:rPr>
            </w:pPr>
            <w:r>
              <w:rPr>
                <w:color w:val="231F20"/>
                <w:w w:val="105"/>
                <w:sz w:val="16"/>
              </w:rPr>
              <w:t>Insulin</w:t>
            </w:r>
          </w:p>
        </w:tc>
        <w:tc>
          <w:tcPr>
            <w:tcW w:w="2471" w:type="dxa"/>
            <w:tcBorders>
              <w:bottom w:val="single" w:sz="4" w:space="0" w:color="FFFFFF"/>
            </w:tcBorders>
            <w:shd w:val="clear" w:color="auto" w:fill="E6ECF7"/>
          </w:tcPr>
          <w:p>
            <w:pPr>
              <w:pStyle w:val="TableParagraph"/>
              <w:spacing w:line="259" w:lineRule="auto" w:before="24"/>
              <w:ind w:left="410" w:hanging="160"/>
              <w:rPr>
                <w:sz w:val="16"/>
              </w:rPr>
            </w:pPr>
            <w:r>
              <w:rPr>
                <w:color w:val="231F20"/>
                <w:sz w:val="16"/>
              </w:rPr>
              <w:t>Insulin deficiency (diabetes mellitus)</w:t>
            </w:r>
          </w:p>
        </w:tc>
      </w:tr>
      <w:tr>
        <w:trPr>
          <w:trHeight w:val="464" w:hRule="atLeast"/>
        </w:trPr>
        <w:tc>
          <w:tcPr>
            <w:tcW w:w="221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Aldosterone</w:t>
            </w:r>
          </w:p>
        </w:tc>
        <w:tc>
          <w:tcPr>
            <w:tcW w:w="2471" w:type="dxa"/>
            <w:tcBorders>
              <w:top w:val="single" w:sz="4" w:space="0" w:color="FFFFFF"/>
              <w:bottom w:val="single" w:sz="4" w:space="0" w:color="FFFFFF"/>
            </w:tcBorders>
            <w:shd w:val="clear" w:color="auto" w:fill="E6ECF7"/>
          </w:tcPr>
          <w:p>
            <w:pPr>
              <w:pStyle w:val="TableParagraph"/>
              <w:spacing w:line="259" w:lineRule="auto"/>
              <w:ind w:left="410" w:hanging="160"/>
              <w:rPr>
                <w:sz w:val="16"/>
              </w:rPr>
            </w:pPr>
            <w:r>
              <w:rPr>
                <w:color w:val="231F20"/>
                <w:w w:val="105"/>
                <w:sz w:val="16"/>
              </w:rPr>
              <w:t>Aldosterone deficiency (Addison’s disease)</w:t>
            </w:r>
          </w:p>
        </w:tc>
      </w:tr>
      <w:tr>
        <w:trPr>
          <w:trHeight w:val="264" w:hRule="atLeast"/>
        </w:trPr>
        <w:tc>
          <w:tcPr>
            <w:tcW w:w="2210" w:type="dxa"/>
            <w:tcBorders>
              <w:top w:val="single" w:sz="4" w:space="0" w:color="FFFFFF"/>
              <w:bottom w:val="single" w:sz="4" w:space="0" w:color="FFFFFF"/>
            </w:tcBorders>
            <w:shd w:val="clear" w:color="auto" w:fill="E6ECF7"/>
          </w:tcPr>
          <w:p>
            <w:pPr>
              <w:pStyle w:val="TableParagraph"/>
              <w:ind w:left="120"/>
              <w:rPr>
                <w:sz w:val="16"/>
              </w:rPr>
            </w:pPr>
            <w:r>
              <w:rPr>
                <w:rFonts w:ascii="Consolas" w:hAnsi="Consolas"/>
                <w:color w:val="231F20"/>
                <w:w w:val="105"/>
                <w:sz w:val="16"/>
              </w:rPr>
              <w:t>β</w:t>
            </w:r>
            <w:r>
              <w:rPr>
                <w:color w:val="231F20"/>
                <w:w w:val="105"/>
                <w:sz w:val="16"/>
              </w:rPr>
              <w:t>-adrenergic stimulation</w:t>
            </w:r>
          </w:p>
        </w:tc>
        <w:tc>
          <w:tcPr>
            <w:tcW w:w="2471" w:type="dxa"/>
            <w:tcBorders>
              <w:top w:val="single" w:sz="4" w:space="0" w:color="FFFFFF"/>
              <w:bottom w:val="single" w:sz="4" w:space="0" w:color="FFFFFF"/>
            </w:tcBorders>
            <w:shd w:val="clear" w:color="auto" w:fill="E6ECF7"/>
          </w:tcPr>
          <w:p>
            <w:pPr>
              <w:pStyle w:val="TableParagraph"/>
              <w:ind w:left="250"/>
              <w:rPr>
                <w:sz w:val="16"/>
              </w:rPr>
            </w:pPr>
            <w:r>
              <w:rPr>
                <w:rFonts w:ascii="Consolas" w:hAnsi="Consolas"/>
                <w:color w:val="231F20"/>
                <w:w w:val="105"/>
                <w:sz w:val="16"/>
              </w:rPr>
              <w:t>β</w:t>
            </w:r>
            <w:r>
              <w:rPr>
                <w:color w:val="231F20"/>
                <w:w w:val="105"/>
                <w:sz w:val="16"/>
              </w:rPr>
              <w:t>-adrenergic blockade</w:t>
            </w:r>
          </w:p>
        </w:tc>
      </w:tr>
      <w:tr>
        <w:trPr>
          <w:trHeight w:val="264" w:hRule="atLeast"/>
        </w:trPr>
        <w:tc>
          <w:tcPr>
            <w:tcW w:w="221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Alkalosis</w:t>
            </w:r>
          </w:p>
        </w:tc>
        <w:tc>
          <w:tcPr>
            <w:tcW w:w="2471" w:type="dxa"/>
            <w:tcBorders>
              <w:top w:val="single" w:sz="4" w:space="0" w:color="FFFFFF"/>
              <w:bottom w:val="single" w:sz="4" w:space="0" w:color="FFFFFF"/>
            </w:tcBorders>
            <w:shd w:val="clear" w:color="auto" w:fill="E6ECF7"/>
          </w:tcPr>
          <w:p>
            <w:pPr>
              <w:pStyle w:val="TableParagraph"/>
              <w:ind w:left="250"/>
              <w:rPr>
                <w:sz w:val="16"/>
              </w:rPr>
            </w:pPr>
            <w:r>
              <w:rPr>
                <w:color w:val="231F20"/>
                <w:w w:val="105"/>
                <w:sz w:val="16"/>
              </w:rPr>
              <w:t>Acidosis</w:t>
            </w:r>
          </w:p>
        </w:tc>
      </w:tr>
      <w:tr>
        <w:trPr>
          <w:trHeight w:val="264" w:hRule="atLeast"/>
        </w:trPr>
        <w:tc>
          <w:tcPr>
            <w:tcW w:w="4681" w:type="dxa"/>
            <w:gridSpan w:val="2"/>
            <w:tcBorders>
              <w:top w:val="single" w:sz="4" w:space="0" w:color="FFFFFF"/>
              <w:bottom w:val="single" w:sz="4" w:space="0" w:color="FFFFFF"/>
            </w:tcBorders>
            <w:shd w:val="clear" w:color="auto" w:fill="E6ECF7"/>
          </w:tcPr>
          <w:p>
            <w:pPr>
              <w:pStyle w:val="TableParagraph"/>
              <w:ind w:left="2437" w:right="1576"/>
              <w:jc w:val="center"/>
              <w:rPr>
                <w:sz w:val="16"/>
              </w:rPr>
            </w:pPr>
            <w:r>
              <w:rPr>
                <w:color w:val="231F20"/>
                <w:sz w:val="16"/>
              </w:rPr>
              <w:t>Cell lysis</w:t>
            </w:r>
          </w:p>
        </w:tc>
      </w:tr>
      <w:tr>
        <w:trPr>
          <w:trHeight w:val="264" w:hRule="atLeast"/>
        </w:trPr>
        <w:tc>
          <w:tcPr>
            <w:tcW w:w="4681" w:type="dxa"/>
            <w:gridSpan w:val="2"/>
            <w:tcBorders>
              <w:top w:val="single" w:sz="4" w:space="0" w:color="FFFFFF"/>
              <w:bottom w:val="single" w:sz="4" w:space="0" w:color="FFFFFF"/>
            </w:tcBorders>
            <w:shd w:val="clear" w:color="auto" w:fill="E6ECF7"/>
          </w:tcPr>
          <w:p>
            <w:pPr>
              <w:pStyle w:val="TableParagraph"/>
              <w:ind w:left="2460"/>
              <w:rPr>
                <w:sz w:val="16"/>
              </w:rPr>
            </w:pPr>
            <w:r>
              <w:rPr>
                <w:color w:val="231F20"/>
                <w:w w:val="105"/>
                <w:sz w:val="16"/>
              </w:rPr>
              <w:t>Strenuous exercise</w:t>
            </w:r>
          </w:p>
        </w:tc>
      </w:tr>
      <w:tr>
        <w:trPr>
          <w:trHeight w:val="479" w:hRule="atLeast"/>
        </w:trPr>
        <w:tc>
          <w:tcPr>
            <w:tcW w:w="4681" w:type="dxa"/>
            <w:gridSpan w:val="2"/>
            <w:tcBorders>
              <w:top w:val="single" w:sz="4" w:space="0" w:color="FFFFFF"/>
            </w:tcBorders>
            <w:shd w:val="clear" w:color="auto" w:fill="E6ECF7"/>
          </w:tcPr>
          <w:p>
            <w:pPr>
              <w:pStyle w:val="TableParagraph"/>
              <w:spacing w:line="259" w:lineRule="auto"/>
              <w:ind w:left="2620" w:right="69" w:hanging="160"/>
              <w:rPr>
                <w:sz w:val="16"/>
              </w:rPr>
            </w:pPr>
            <w:r>
              <w:rPr>
                <w:color w:val="231F20"/>
                <w:w w:val="105"/>
                <w:sz w:val="16"/>
              </w:rPr>
              <w:t>Increased extracellular fluid osmolarity</w:t>
            </w:r>
          </w:p>
        </w:tc>
      </w:tr>
    </w:tbl>
    <w:p>
      <w:pPr>
        <w:pStyle w:val="BodyText"/>
        <w:rPr>
          <w:rFonts w:ascii="Trebuchet MS"/>
        </w:rPr>
      </w:pPr>
    </w:p>
    <w:p>
      <w:pPr>
        <w:pStyle w:val="BodyText"/>
        <w:spacing w:before="1"/>
        <w:rPr>
          <w:rFonts w:ascii="Trebuchet MS"/>
          <w:sz w:val="21"/>
        </w:rPr>
      </w:pPr>
    </w:p>
    <w:p>
      <w:pPr>
        <w:pStyle w:val="BodyText"/>
        <w:spacing w:line="247" w:lineRule="auto" w:before="1"/>
        <w:ind w:left="1080" w:right="5"/>
        <w:jc w:val="both"/>
      </w:pPr>
      <w:r>
        <w:rPr>
          <w:color w:val="231F20"/>
          <w:w w:val="105"/>
        </w:rPr>
        <w:t>especially epinephrine, can cause movement of potas- sium from the extracellular to the intracellular fluid, mainly by activation of </w:t>
      </w:r>
      <w:r>
        <w:rPr>
          <w:rFonts w:ascii="Consolas" w:hAnsi="Consolas"/>
          <w:color w:val="231F20"/>
          <w:w w:val="105"/>
        </w:rPr>
        <w:t>β</w:t>
      </w:r>
      <w:r>
        <w:rPr>
          <w:color w:val="231F20"/>
          <w:w w:val="105"/>
          <w:vertAlign w:val="subscript"/>
        </w:rPr>
        <w:t>2</w:t>
      </w:r>
      <w:r>
        <w:rPr>
          <w:color w:val="231F20"/>
          <w:w w:val="105"/>
          <w:vertAlign w:val="baseline"/>
        </w:rPr>
        <w:t>-adrenergic receptors. </w:t>
      </w:r>
      <w:r>
        <w:rPr>
          <w:color w:val="231F20"/>
          <w:spacing w:val="-6"/>
          <w:w w:val="105"/>
          <w:vertAlign w:val="baseline"/>
        </w:rPr>
        <w:t>Con- </w:t>
      </w:r>
      <w:r>
        <w:rPr>
          <w:color w:val="231F20"/>
          <w:w w:val="105"/>
          <w:vertAlign w:val="baseline"/>
        </w:rPr>
        <w:t>versely, treatment of hypertension with</w:t>
      </w:r>
      <w:r>
        <w:rPr>
          <w:color w:val="231F20"/>
          <w:spacing w:val="44"/>
          <w:w w:val="105"/>
          <w:vertAlign w:val="baseline"/>
        </w:rPr>
        <w:t> </w:t>
      </w:r>
      <w:r>
        <w:rPr>
          <w:rFonts w:ascii="Consolas" w:hAnsi="Consolas"/>
          <w:color w:val="231F20"/>
          <w:w w:val="105"/>
          <w:vertAlign w:val="baseline"/>
        </w:rPr>
        <w:t>β</w:t>
      </w:r>
      <w:r>
        <w:rPr>
          <w:color w:val="231F20"/>
          <w:w w:val="105"/>
          <w:vertAlign w:val="baseline"/>
        </w:rPr>
        <w:t>-adrenergic receptor</w:t>
      </w:r>
      <w:r>
        <w:rPr>
          <w:color w:val="231F20"/>
          <w:spacing w:val="-15"/>
          <w:w w:val="105"/>
          <w:vertAlign w:val="baseline"/>
        </w:rPr>
        <w:t> </w:t>
      </w:r>
      <w:r>
        <w:rPr>
          <w:color w:val="231F20"/>
          <w:w w:val="105"/>
          <w:vertAlign w:val="baseline"/>
        </w:rPr>
        <w:t>blockers,</w:t>
      </w:r>
      <w:r>
        <w:rPr>
          <w:color w:val="231F20"/>
          <w:spacing w:val="-14"/>
          <w:w w:val="105"/>
          <w:vertAlign w:val="baseline"/>
        </w:rPr>
        <w:t> </w:t>
      </w:r>
      <w:r>
        <w:rPr>
          <w:color w:val="231F20"/>
          <w:w w:val="105"/>
          <w:vertAlign w:val="baseline"/>
        </w:rPr>
        <w:t>such</w:t>
      </w:r>
      <w:r>
        <w:rPr>
          <w:color w:val="231F20"/>
          <w:spacing w:val="-15"/>
          <w:w w:val="105"/>
          <w:vertAlign w:val="baseline"/>
        </w:rPr>
        <w:t> </w:t>
      </w:r>
      <w:r>
        <w:rPr>
          <w:color w:val="231F20"/>
          <w:w w:val="105"/>
          <w:vertAlign w:val="baseline"/>
        </w:rPr>
        <w:t>as</w:t>
      </w:r>
      <w:r>
        <w:rPr>
          <w:color w:val="231F20"/>
          <w:spacing w:val="-14"/>
          <w:w w:val="105"/>
          <w:vertAlign w:val="baseline"/>
        </w:rPr>
        <w:t> </w:t>
      </w:r>
      <w:r>
        <w:rPr>
          <w:color w:val="231F20"/>
          <w:w w:val="105"/>
          <w:vertAlign w:val="baseline"/>
        </w:rPr>
        <w:t>propranolol,</w:t>
      </w:r>
      <w:r>
        <w:rPr>
          <w:color w:val="231F20"/>
          <w:spacing w:val="-15"/>
          <w:w w:val="105"/>
          <w:vertAlign w:val="baseline"/>
        </w:rPr>
        <w:t> </w:t>
      </w:r>
      <w:r>
        <w:rPr>
          <w:color w:val="231F20"/>
          <w:w w:val="105"/>
          <w:vertAlign w:val="baseline"/>
        </w:rPr>
        <w:t>causes</w:t>
      </w:r>
      <w:r>
        <w:rPr>
          <w:color w:val="231F20"/>
          <w:spacing w:val="-14"/>
          <w:w w:val="105"/>
          <w:vertAlign w:val="baseline"/>
        </w:rPr>
        <w:t> </w:t>
      </w:r>
      <w:r>
        <w:rPr>
          <w:color w:val="231F20"/>
          <w:w w:val="105"/>
          <w:vertAlign w:val="baseline"/>
        </w:rPr>
        <w:t>potassium to move out of the cells and creates a tendency toward hyperkalemia.</w:t>
      </w:r>
    </w:p>
    <w:p>
      <w:pPr>
        <w:pStyle w:val="BodyText"/>
        <w:spacing w:before="3"/>
        <w:rPr>
          <w:sz w:val="22"/>
        </w:rPr>
      </w:pPr>
    </w:p>
    <w:p>
      <w:pPr>
        <w:pStyle w:val="BodyText"/>
        <w:spacing w:line="249" w:lineRule="auto"/>
        <w:ind w:left="1079" w:right="5"/>
        <w:jc w:val="both"/>
      </w:pPr>
      <w:r>
        <w:rPr>
          <w:rFonts w:ascii="Trebuchet MS"/>
          <w:b/>
          <w:color w:val="231F20"/>
          <w:w w:val="105"/>
          <w:sz w:val="19"/>
        </w:rPr>
        <w:t>Acid-Base Abnormalities Can Cause Changes </w:t>
      </w:r>
      <w:r>
        <w:rPr>
          <w:rFonts w:ascii="Trebuchet MS"/>
          <w:b/>
          <w:color w:val="231F20"/>
          <w:spacing w:val="-9"/>
          <w:w w:val="105"/>
          <w:sz w:val="19"/>
        </w:rPr>
        <w:t>in </w:t>
      </w:r>
      <w:r>
        <w:rPr>
          <w:rFonts w:ascii="Trebuchet MS"/>
          <w:b/>
          <w:color w:val="231F20"/>
          <w:w w:val="105"/>
          <w:sz w:val="19"/>
        </w:rPr>
        <w:t>Potassium Distribution. </w:t>
      </w:r>
      <w:r>
        <w:rPr>
          <w:color w:val="231F20"/>
          <w:w w:val="105"/>
        </w:rPr>
        <w:t>Metabolic acidosis increases extracellular</w:t>
      </w:r>
      <w:r>
        <w:rPr>
          <w:color w:val="231F20"/>
          <w:spacing w:val="-13"/>
          <w:w w:val="105"/>
        </w:rPr>
        <w:t> </w:t>
      </w:r>
      <w:r>
        <w:rPr>
          <w:color w:val="231F20"/>
          <w:w w:val="105"/>
        </w:rPr>
        <w:t>potassium</w:t>
      </w:r>
      <w:r>
        <w:rPr>
          <w:color w:val="231F20"/>
          <w:spacing w:val="-13"/>
          <w:w w:val="105"/>
        </w:rPr>
        <w:t> </w:t>
      </w:r>
      <w:r>
        <w:rPr>
          <w:color w:val="231F20"/>
          <w:w w:val="105"/>
        </w:rPr>
        <w:t>concentration,</w:t>
      </w:r>
      <w:r>
        <w:rPr>
          <w:color w:val="231F20"/>
          <w:spacing w:val="-13"/>
          <w:w w:val="105"/>
        </w:rPr>
        <w:t> </w:t>
      </w:r>
      <w:r>
        <w:rPr>
          <w:color w:val="231F20"/>
          <w:w w:val="105"/>
        </w:rPr>
        <w:t>in</w:t>
      </w:r>
      <w:r>
        <w:rPr>
          <w:color w:val="231F20"/>
          <w:spacing w:val="-13"/>
          <w:w w:val="105"/>
        </w:rPr>
        <w:t> </w:t>
      </w:r>
      <w:r>
        <w:rPr>
          <w:color w:val="231F20"/>
          <w:w w:val="105"/>
        </w:rPr>
        <w:t>part</w:t>
      </w:r>
      <w:r>
        <w:rPr>
          <w:color w:val="231F20"/>
          <w:spacing w:val="-13"/>
          <w:w w:val="105"/>
        </w:rPr>
        <w:t> </w:t>
      </w:r>
      <w:r>
        <w:rPr>
          <w:color w:val="231F20"/>
          <w:w w:val="105"/>
        </w:rPr>
        <w:t>by</w:t>
      </w:r>
      <w:r>
        <w:rPr>
          <w:color w:val="231F20"/>
          <w:spacing w:val="-13"/>
          <w:w w:val="105"/>
        </w:rPr>
        <w:t> </w:t>
      </w:r>
      <w:r>
        <w:rPr>
          <w:color w:val="231F20"/>
          <w:w w:val="105"/>
        </w:rPr>
        <w:t>causing loss</w:t>
      </w:r>
      <w:r>
        <w:rPr>
          <w:color w:val="231F20"/>
          <w:spacing w:val="-16"/>
          <w:w w:val="105"/>
        </w:rPr>
        <w:t> </w:t>
      </w:r>
      <w:r>
        <w:rPr>
          <w:color w:val="231F20"/>
          <w:w w:val="105"/>
        </w:rPr>
        <w:t>of</w:t>
      </w:r>
      <w:r>
        <w:rPr>
          <w:color w:val="231F20"/>
          <w:spacing w:val="-16"/>
          <w:w w:val="105"/>
        </w:rPr>
        <w:t> </w:t>
      </w:r>
      <w:r>
        <w:rPr>
          <w:color w:val="231F20"/>
          <w:w w:val="105"/>
        </w:rPr>
        <w:t>potassium</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cells,</w:t>
      </w:r>
      <w:r>
        <w:rPr>
          <w:color w:val="231F20"/>
          <w:spacing w:val="-15"/>
          <w:w w:val="105"/>
        </w:rPr>
        <w:t> </w:t>
      </w:r>
      <w:r>
        <w:rPr>
          <w:color w:val="231F20"/>
          <w:w w:val="105"/>
        </w:rPr>
        <w:t>whereas</w:t>
      </w:r>
      <w:r>
        <w:rPr>
          <w:color w:val="231F20"/>
          <w:spacing w:val="-16"/>
          <w:w w:val="105"/>
        </w:rPr>
        <w:t> </w:t>
      </w:r>
      <w:r>
        <w:rPr>
          <w:color w:val="231F20"/>
          <w:w w:val="105"/>
        </w:rPr>
        <w:t>metabolic</w:t>
      </w:r>
      <w:r>
        <w:rPr>
          <w:color w:val="231F20"/>
          <w:spacing w:val="-16"/>
          <w:w w:val="105"/>
        </w:rPr>
        <w:t> </w:t>
      </w:r>
      <w:r>
        <w:rPr>
          <w:color w:val="231F20"/>
          <w:spacing w:val="-3"/>
          <w:w w:val="105"/>
        </w:rPr>
        <w:t>alka- </w:t>
      </w:r>
      <w:r>
        <w:rPr>
          <w:color w:val="231F20"/>
          <w:w w:val="105"/>
        </w:rPr>
        <w:t>losis decreases extracellular fluid potassium concentra- tion.</w:t>
      </w:r>
      <w:r>
        <w:rPr>
          <w:color w:val="231F20"/>
          <w:spacing w:val="-14"/>
          <w:w w:val="105"/>
        </w:rPr>
        <w:t> </w:t>
      </w:r>
      <w:r>
        <w:rPr>
          <w:color w:val="231F20"/>
          <w:w w:val="105"/>
        </w:rPr>
        <w:t>Although</w:t>
      </w:r>
      <w:r>
        <w:rPr>
          <w:color w:val="231F20"/>
          <w:spacing w:val="-13"/>
          <w:w w:val="105"/>
        </w:rPr>
        <w:t> </w:t>
      </w:r>
      <w:r>
        <w:rPr>
          <w:color w:val="231F20"/>
          <w:w w:val="105"/>
        </w:rPr>
        <w:t>the</w:t>
      </w:r>
      <w:r>
        <w:rPr>
          <w:color w:val="231F20"/>
          <w:spacing w:val="-14"/>
          <w:w w:val="105"/>
        </w:rPr>
        <w:t> </w:t>
      </w:r>
      <w:r>
        <w:rPr>
          <w:color w:val="231F20"/>
          <w:w w:val="105"/>
        </w:rPr>
        <w:t>mechanisms</w:t>
      </w:r>
      <w:r>
        <w:rPr>
          <w:color w:val="231F20"/>
          <w:spacing w:val="-14"/>
          <w:w w:val="105"/>
        </w:rPr>
        <w:t> </w:t>
      </w:r>
      <w:r>
        <w:rPr>
          <w:color w:val="231F20"/>
          <w:w w:val="105"/>
        </w:rPr>
        <w:t>responsible</w:t>
      </w:r>
      <w:r>
        <w:rPr>
          <w:color w:val="231F20"/>
          <w:spacing w:val="-13"/>
          <w:w w:val="105"/>
        </w:rPr>
        <w:t> </w:t>
      </w:r>
      <w:r>
        <w:rPr>
          <w:color w:val="231F20"/>
          <w:w w:val="105"/>
        </w:rPr>
        <w:t>for</w:t>
      </w:r>
      <w:r>
        <w:rPr>
          <w:color w:val="231F20"/>
          <w:spacing w:val="-14"/>
          <w:w w:val="105"/>
        </w:rPr>
        <w:t> </w:t>
      </w:r>
      <w:r>
        <w:rPr>
          <w:color w:val="231F20"/>
          <w:w w:val="105"/>
        </w:rPr>
        <w:t>the</w:t>
      </w:r>
      <w:r>
        <w:rPr>
          <w:color w:val="231F20"/>
          <w:spacing w:val="-13"/>
          <w:w w:val="105"/>
        </w:rPr>
        <w:t> </w:t>
      </w:r>
      <w:r>
        <w:rPr>
          <w:color w:val="231F20"/>
          <w:w w:val="105"/>
        </w:rPr>
        <w:t>effect of</w:t>
      </w:r>
      <w:r>
        <w:rPr>
          <w:color w:val="231F20"/>
          <w:spacing w:val="-13"/>
          <w:w w:val="105"/>
        </w:rPr>
        <w:t> </w:t>
      </w:r>
      <w:r>
        <w:rPr>
          <w:color w:val="231F20"/>
          <w:w w:val="105"/>
        </w:rPr>
        <w:t>hydrogen</w:t>
      </w:r>
      <w:r>
        <w:rPr>
          <w:color w:val="231F20"/>
          <w:spacing w:val="-13"/>
          <w:w w:val="105"/>
        </w:rPr>
        <w:t> </w:t>
      </w:r>
      <w:r>
        <w:rPr>
          <w:color w:val="231F20"/>
          <w:w w:val="105"/>
        </w:rPr>
        <w:t>ion</w:t>
      </w:r>
      <w:r>
        <w:rPr>
          <w:color w:val="231F20"/>
          <w:spacing w:val="-13"/>
          <w:w w:val="105"/>
        </w:rPr>
        <w:t> </w:t>
      </w:r>
      <w:r>
        <w:rPr>
          <w:color w:val="231F20"/>
          <w:w w:val="105"/>
        </w:rPr>
        <w:t>concentration</w:t>
      </w:r>
      <w:r>
        <w:rPr>
          <w:color w:val="231F20"/>
          <w:spacing w:val="-13"/>
          <w:w w:val="105"/>
        </w:rPr>
        <w:t> </w:t>
      </w:r>
      <w:r>
        <w:rPr>
          <w:color w:val="231F20"/>
          <w:w w:val="105"/>
        </w:rPr>
        <w:t>on</w:t>
      </w:r>
      <w:r>
        <w:rPr>
          <w:color w:val="231F20"/>
          <w:spacing w:val="-13"/>
          <w:w w:val="105"/>
        </w:rPr>
        <w:t> </w:t>
      </w:r>
      <w:r>
        <w:rPr>
          <w:color w:val="231F20"/>
          <w:w w:val="105"/>
        </w:rPr>
        <w:t>potassium</w:t>
      </w:r>
      <w:r>
        <w:rPr>
          <w:color w:val="231F20"/>
          <w:spacing w:val="-12"/>
          <w:w w:val="105"/>
        </w:rPr>
        <w:t> </w:t>
      </w:r>
      <w:r>
        <w:rPr>
          <w:color w:val="231F20"/>
          <w:w w:val="105"/>
        </w:rPr>
        <w:t>internal</w:t>
      </w:r>
      <w:r>
        <w:rPr>
          <w:color w:val="231F20"/>
          <w:spacing w:val="-13"/>
          <w:w w:val="105"/>
        </w:rPr>
        <w:t> </w:t>
      </w:r>
      <w:r>
        <w:rPr>
          <w:color w:val="231F20"/>
          <w:w w:val="105"/>
        </w:rPr>
        <w:t>dis- tribution are not completely understood, one effect of increased hydrogen ion concentration is to reduce the activity of the sodium-potassium adenosine triphospha- tase (ATPase) pump. This reduction in turn decreases cellular uptake of potassium and raises extracellular potassium</w:t>
      </w:r>
      <w:r>
        <w:rPr>
          <w:color w:val="231F20"/>
          <w:spacing w:val="3"/>
          <w:w w:val="105"/>
        </w:rPr>
        <w:t> </w:t>
      </w:r>
      <w:r>
        <w:rPr>
          <w:color w:val="231F20"/>
          <w:w w:val="105"/>
        </w:rPr>
        <w:t>concentration.</w:t>
      </w:r>
    </w:p>
    <w:p>
      <w:pPr>
        <w:pStyle w:val="BodyText"/>
        <w:spacing w:line="249" w:lineRule="auto"/>
        <w:ind w:left="312" w:right="1437"/>
        <w:jc w:val="both"/>
      </w:pPr>
      <w:r>
        <w:rPr/>
        <w:br w:type="column"/>
      </w:r>
      <w:r>
        <w:rPr>
          <w:color w:val="231F20"/>
        </w:rPr>
        <w:t>blockers or in individuals with insulin deficiency. In rare instances, hyperkalemia after exercise may be severe enough to cause cardiac toxicity.</w:t>
      </w:r>
    </w:p>
    <w:p>
      <w:pPr>
        <w:spacing w:line="252" w:lineRule="auto" w:before="250"/>
        <w:ind w:left="312" w:right="1437" w:firstLine="0"/>
        <w:jc w:val="both"/>
        <w:rPr>
          <w:sz w:val="20"/>
        </w:rPr>
      </w:pPr>
      <w:r>
        <w:rPr>
          <w:rFonts w:ascii="Trebuchet MS"/>
          <w:b/>
          <w:color w:val="231F20"/>
          <w:sz w:val="19"/>
        </w:rPr>
        <w:t>Increased Extracellular Fluid Osmolarity Causes Redistribution of Potassium from the Cells to Extracellular Fluid. </w:t>
      </w:r>
      <w:r>
        <w:rPr>
          <w:color w:val="231F20"/>
          <w:sz w:val="20"/>
        </w:rPr>
        <w:t>Increased extracellular fluid osmo- larity causes osmotic flow of water out of the cells. The cellular dehydration increases intracellular potassium concentration, thereby promoting diffusion of potassium out of the cells and increasing extracellular fluid potas- sium concentration. Decreased extracellular fluid osmo- larity has the opposite effect.</w:t>
      </w:r>
    </w:p>
    <w:p>
      <w:pPr>
        <w:pStyle w:val="BodyText"/>
        <w:spacing w:before="5"/>
        <w:rPr>
          <w:sz w:val="29"/>
        </w:rPr>
      </w:pPr>
    </w:p>
    <w:p>
      <w:pPr>
        <w:pStyle w:val="Heading2"/>
        <w:ind w:left="312"/>
        <w:jc w:val="both"/>
      </w:pPr>
      <w:r>
        <w:rPr>
          <w:color w:val="231F20"/>
          <w:w w:val="105"/>
        </w:rPr>
        <w:t>OVERVIEW OF RENAL POTASSIUM EXCRETION</w:t>
      </w:r>
    </w:p>
    <w:p>
      <w:pPr>
        <w:pStyle w:val="BodyText"/>
        <w:spacing w:line="249" w:lineRule="auto" w:before="124"/>
        <w:ind w:left="312" w:right="1437"/>
        <w:jc w:val="both"/>
      </w:pPr>
      <w:r>
        <w:rPr>
          <w:color w:val="231F20"/>
          <w:w w:val="105"/>
        </w:rPr>
        <w:t>Renal potassium excretion is determined by the sum   of three processes: (1) the rate of potassium filtration (glomerular</w:t>
      </w:r>
      <w:r>
        <w:rPr>
          <w:color w:val="231F20"/>
          <w:spacing w:val="-30"/>
          <w:w w:val="105"/>
        </w:rPr>
        <w:t> </w:t>
      </w:r>
      <w:r>
        <w:rPr>
          <w:color w:val="231F20"/>
          <w:w w:val="105"/>
        </w:rPr>
        <w:t>filtration</w:t>
      </w:r>
      <w:r>
        <w:rPr>
          <w:color w:val="231F20"/>
          <w:spacing w:val="-29"/>
          <w:w w:val="105"/>
        </w:rPr>
        <w:t> </w:t>
      </w:r>
      <w:r>
        <w:rPr>
          <w:color w:val="231F20"/>
          <w:w w:val="105"/>
        </w:rPr>
        <w:t>rate</w:t>
      </w:r>
      <w:r>
        <w:rPr>
          <w:color w:val="231F20"/>
          <w:spacing w:val="-29"/>
          <w:w w:val="105"/>
        </w:rPr>
        <w:t> </w:t>
      </w:r>
      <w:r>
        <w:rPr>
          <w:color w:val="231F20"/>
          <w:w w:val="105"/>
        </w:rPr>
        <w:t>[GFR]</w:t>
      </w:r>
      <w:r>
        <w:rPr>
          <w:color w:val="231F20"/>
          <w:spacing w:val="-29"/>
          <w:w w:val="105"/>
        </w:rPr>
        <w:t> </w:t>
      </w:r>
      <w:r>
        <w:rPr>
          <w:color w:val="231F20"/>
          <w:w w:val="105"/>
        </w:rPr>
        <w:t>multiplied</w:t>
      </w:r>
      <w:r>
        <w:rPr>
          <w:color w:val="231F20"/>
          <w:spacing w:val="-29"/>
          <w:w w:val="105"/>
        </w:rPr>
        <w:t> </w:t>
      </w:r>
      <w:r>
        <w:rPr>
          <w:color w:val="231F20"/>
          <w:w w:val="105"/>
        </w:rPr>
        <w:t>by</w:t>
      </w:r>
      <w:r>
        <w:rPr>
          <w:color w:val="231F20"/>
          <w:spacing w:val="-30"/>
          <w:w w:val="105"/>
        </w:rPr>
        <w:t> </w:t>
      </w:r>
      <w:r>
        <w:rPr>
          <w:color w:val="231F20"/>
          <w:w w:val="105"/>
        </w:rPr>
        <w:t>the</w:t>
      </w:r>
      <w:r>
        <w:rPr>
          <w:color w:val="231F20"/>
          <w:spacing w:val="-29"/>
          <w:w w:val="105"/>
        </w:rPr>
        <w:t> </w:t>
      </w:r>
      <w:r>
        <w:rPr>
          <w:color w:val="231F20"/>
          <w:w w:val="105"/>
        </w:rPr>
        <w:t>plasma potassium</w:t>
      </w:r>
      <w:r>
        <w:rPr>
          <w:color w:val="231F20"/>
          <w:spacing w:val="-13"/>
          <w:w w:val="105"/>
        </w:rPr>
        <w:t> </w:t>
      </w:r>
      <w:r>
        <w:rPr>
          <w:color w:val="231F20"/>
          <w:w w:val="105"/>
        </w:rPr>
        <w:t>concentration),</w:t>
      </w:r>
      <w:r>
        <w:rPr>
          <w:color w:val="231F20"/>
          <w:spacing w:val="-12"/>
          <w:w w:val="105"/>
        </w:rPr>
        <w:t> </w:t>
      </w:r>
      <w:r>
        <w:rPr>
          <w:color w:val="231F20"/>
          <w:w w:val="105"/>
        </w:rPr>
        <w:t>(2)</w:t>
      </w:r>
      <w:r>
        <w:rPr>
          <w:color w:val="231F20"/>
          <w:spacing w:val="-12"/>
          <w:w w:val="105"/>
        </w:rPr>
        <w:t> </w:t>
      </w:r>
      <w:r>
        <w:rPr>
          <w:color w:val="231F20"/>
          <w:w w:val="105"/>
        </w:rPr>
        <w:t>the</w:t>
      </w:r>
      <w:r>
        <w:rPr>
          <w:color w:val="231F20"/>
          <w:spacing w:val="-13"/>
          <w:w w:val="105"/>
        </w:rPr>
        <w:t> </w:t>
      </w:r>
      <w:r>
        <w:rPr>
          <w:color w:val="231F20"/>
          <w:w w:val="105"/>
        </w:rPr>
        <w:t>rate</w:t>
      </w:r>
      <w:r>
        <w:rPr>
          <w:color w:val="231F20"/>
          <w:spacing w:val="-12"/>
          <w:w w:val="105"/>
        </w:rPr>
        <w:t> </w:t>
      </w:r>
      <w:r>
        <w:rPr>
          <w:color w:val="231F20"/>
          <w:w w:val="105"/>
        </w:rPr>
        <w:t>of</w:t>
      </w:r>
      <w:r>
        <w:rPr>
          <w:color w:val="231F20"/>
          <w:spacing w:val="-12"/>
          <w:w w:val="105"/>
        </w:rPr>
        <w:t> </w:t>
      </w:r>
      <w:r>
        <w:rPr>
          <w:color w:val="231F20"/>
          <w:w w:val="105"/>
        </w:rPr>
        <w:t>potassium</w:t>
      </w:r>
      <w:r>
        <w:rPr>
          <w:color w:val="231F20"/>
          <w:spacing w:val="-12"/>
          <w:w w:val="105"/>
        </w:rPr>
        <w:t> </w:t>
      </w:r>
      <w:r>
        <w:rPr>
          <w:color w:val="231F20"/>
          <w:w w:val="105"/>
        </w:rPr>
        <w:t>reab- sorption by the tubules, and (3) the rate of potassium secretion by the tubules. The normal rate of potassium filtration</w:t>
      </w:r>
      <w:r>
        <w:rPr>
          <w:color w:val="231F20"/>
          <w:spacing w:val="-14"/>
          <w:w w:val="105"/>
        </w:rPr>
        <w:t> </w:t>
      </w:r>
      <w:r>
        <w:rPr>
          <w:color w:val="231F20"/>
          <w:w w:val="105"/>
        </w:rPr>
        <w:t>by</w:t>
      </w:r>
      <w:r>
        <w:rPr>
          <w:color w:val="231F20"/>
          <w:spacing w:val="-14"/>
          <w:w w:val="105"/>
        </w:rPr>
        <w:t> </w:t>
      </w:r>
      <w:r>
        <w:rPr>
          <w:color w:val="231F20"/>
          <w:w w:val="105"/>
        </w:rPr>
        <w:t>the</w:t>
      </w:r>
      <w:r>
        <w:rPr>
          <w:color w:val="231F20"/>
          <w:spacing w:val="-13"/>
          <w:w w:val="105"/>
        </w:rPr>
        <w:t> </w:t>
      </w:r>
      <w:r>
        <w:rPr>
          <w:color w:val="231F20"/>
          <w:w w:val="105"/>
        </w:rPr>
        <w:t>glomerular</w:t>
      </w:r>
      <w:r>
        <w:rPr>
          <w:color w:val="231F20"/>
          <w:spacing w:val="-14"/>
          <w:w w:val="105"/>
        </w:rPr>
        <w:t> </w:t>
      </w:r>
      <w:r>
        <w:rPr>
          <w:color w:val="231F20"/>
          <w:w w:val="105"/>
        </w:rPr>
        <w:t>capillaries</w:t>
      </w:r>
      <w:r>
        <w:rPr>
          <w:color w:val="231F20"/>
          <w:spacing w:val="-14"/>
          <w:w w:val="105"/>
        </w:rPr>
        <w:t> </w:t>
      </w:r>
      <w:r>
        <w:rPr>
          <w:color w:val="231F20"/>
          <w:w w:val="105"/>
        </w:rPr>
        <w:t>is</w:t>
      </w:r>
      <w:r>
        <w:rPr>
          <w:color w:val="231F20"/>
          <w:spacing w:val="-13"/>
          <w:w w:val="105"/>
        </w:rPr>
        <w:t> </w:t>
      </w:r>
      <w:r>
        <w:rPr>
          <w:color w:val="231F20"/>
          <w:w w:val="105"/>
        </w:rPr>
        <w:t>about</w:t>
      </w:r>
      <w:r>
        <w:rPr>
          <w:color w:val="231F20"/>
          <w:spacing w:val="-14"/>
          <w:w w:val="105"/>
        </w:rPr>
        <w:t> </w:t>
      </w:r>
      <w:r>
        <w:rPr>
          <w:color w:val="231F20"/>
          <w:w w:val="105"/>
        </w:rPr>
        <w:t>756</w:t>
      </w:r>
      <w:r>
        <w:rPr>
          <w:color w:val="231F20"/>
          <w:spacing w:val="-12"/>
          <w:w w:val="105"/>
        </w:rPr>
        <w:t> </w:t>
      </w:r>
      <w:r>
        <w:rPr>
          <w:color w:val="231F20"/>
          <w:w w:val="105"/>
        </w:rPr>
        <w:t>mEq/ day (GFR, 180 L/day multiplied by plasma potassium concentration, 4.2 mEq/L). This rate of filtration is</w:t>
      </w:r>
      <w:r>
        <w:rPr>
          <w:color w:val="231F20"/>
          <w:spacing w:val="-18"/>
          <w:w w:val="105"/>
        </w:rPr>
        <w:t> </w:t>
      </w:r>
      <w:r>
        <w:rPr>
          <w:color w:val="231F20"/>
          <w:spacing w:val="-4"/>
          <w:w w:val="105"/>
        </w:rPr>
        <w:t>rela- </w:t>
      </w:r>
      <w:r>
        <w:rPr>
          <w:color w:val="231F20"/>
          <w:w w:val="105"/>
        </w:rPr>
        <w:t>tively constant in healthy persons because of the auto- regulatory</w:t>
      </w:r>
      <w:r>
        <w:rPr>
          <w:color w:val="231F20"/>
          <w:spacing w:val="-32"/>
          <w:w w:val="105"/>
        </w:rPr>
        <w:t> </w:t>
      </w:r>
      <w:r>
        <w:rPr>
          <w:color w:val="231F20"/>
          <w:w w:val="105"/>
        </w:rPr>
        <w:t>mechanisms</w:t>
      </w:r>
      <w:r>
        <w:rPr>
          <w:color w:val="231F20"/>
          <w:spacing w:val="-31"/>
          <w:w w:val="105"/>
        </w:rPr>
        <w:t> </w:t>
      </w:r>
      <w:r>
        <w:rPr>
          <w:color w:val="231F20"/>
          <w:w w:val="105"/>
        </w:rPr>
        <w:t>for</w:t>
      </w:r>
      <w:r>
        <w:rPr>
          <w:color w:val="231F20"/>
          <w:spacing w:val="-31"/>
          <w:w w:val="105"/>
        </w:rPr>
        <w:t> </w:t>
      </w:r>
      <w:r>
        <w:rPr>
          <w:color w:val="231F20"/>
          <w:w w:val="105"/>
        </w:rPr>
        <w:t>GFR</w:t>
      </w:r>
      <w:r>
        <w:rPr>
          <w:color w:val="231F20"/>
          <w:spacing w:val="-32"/>
          <w:w w:val="105"/>
        </w:rPr>
        <w:t> </w:t>
      </w:r>
      <w:r>
        <w:rPr>
          <w:color w:val="231F20"/>
          <w:w w:val="105"/>
        </w:rPr>
        <w:t>discussed</w:t>
      </w:r>
      <w:r>
        <w:rPr>
          <w:color w:val="231F20"/>
          <w:spacing w:val="-31"/>
          <w:w w:val="105"/>
        </w:rPr>
        <w:t> </w:t>
      </w:r>
      <w:r>
        <w:rPr>
          <w:color w:val="231F20"/>
          <w:w w:val="105"/>
        </w:rPr>
        <w:t>previously</w:t>
      </w:r>
      <w:r>
        <w:rPr>
          <w:color w:val="231F20"/>
          <w:spacing w:val="-31"/>
          <w:w w:val="105"/>
        </w:rPr>
        <w:t> </w:t>
      </w:r>
      <w:r>
        <w:rPr>
          <w:color w:val="231F20"/>
          <w:w w:val="105"/>
        </w:rPr>
        <w:t>and the</w:t>
      </w:r>
      <w:r>
        <w:rPr>
          <w:color w:val="231F20"/>
          <w:spacing w:val="-24"/>
          <w:w w:val="105"/>
        </w:rPr>
        <w:t> </w:t>
      </w:r>
      <w:r>
        <w:rPr>
          <w:color w:val="231F20"/>
          <w:w w:val="105"/>
        </w:rPr>
        <w:t>precision</w:t>
      </w:r>
      <w:r>
        <w:rPr>
          <w:color w:val="231F20"/>
          <w:spacing w:val="-24"/>
          <w:w w:val="105"/>
        </w:rPr>
        <w:t> </w:t>
      </w:r>
      <w:r>
        <w:rPr>
          <w:color w:val="231F20"/>
          <w:w w:val="105"/>
        </w:rPr>
        <w:t>with</w:t>
      </w:r>
      <w:r>
        <w:rPr>
          <w:color w:val="231F20"/>
          <w:spacing w:val="-23"/>
          <w:w w:val="105"/>
        </w:rPr>
        <w:t> </w:t>
      </w:r>
      <w:r>
        <w:rPr>
          <w:color w:val="231F20"/>
          <w:w w:val="105"/>
        </w:rPr>
        <w:t>which</w:t>
      </w:r>
      <w:r>
        <w:rPr>
          <w:color w:val="231F20"/>
          <w:spacing w:val="-24"/>
          <w:w w:val="105"/>
        </w:rPr>
        <w:t> </w:t>
      </w:r>
      <w:r>
        <w:rPr>
          <w:color w:val="231F20"/>
          <w:w w:val="105"/>
        </w:rPr>
        <w:t>plasma</w:t>
      </w:r>
      <w:r>
        <w:rPr>
          <w:color w:val="231F20"/>
          <w:spacing w:val="-24"/>
          <w:w w:val="105"/>
        </w:rPr>
        <w:t> </w:t>
      </w:r>
      <w:r>
        <w:rPr>
          <w:color w:val="231F20"/>
          <w:w w:val="105"/>
        </w:rPr>
        <w:t>potassium</w:t>
      </w:r>
      <w:r>
        <w:rPr>
          <w:color w:val="231F20"/>
          <w:spacing w:val="-23"/>
          <w:w w:val="105"/>
        </w:rPr>
        <w:t> </w:t>
      </w:r>
      <w:r>
        <w:rPr>
          <w:color w:val="231F20"/>
          <w:w w:val="105"/>
        </w:rPr>
        <w:t>concentration is regulated. Severe decreases in GFR in certain renal diseases,</w:t>
      </w:r>
      <w:r>
        <w:rPr>
          <w:color w:val="231F20"/>
          <w:spacing w:val="-14"/>
          <w:w w:val="105"/>
        </w:rPr>
        <w:t> </w:t>
      </w:r>
      <w:r>
        <w:rPr>
          <w:color w:val="231F20"/>
          <w:w w:val="105"/>
        </w:rPr>
        <w:t>however,</w:t>
      </w:r>
      <w:r>
        <w:rPr>
          <w:color w:val="231F20"/>
          <w:spacing w:val="-14"/>
          <w:w w:val="105"/>
        </w:rPr>
        <w:t> </w:t>
      </w:r>
      <w:r>
        <w:rPr>
          <w:color w:val="231F20"/>
          <w:w w:val="105"/>
        </w:rPr>
        <w:t>can</w:t>
      </w:r>
      <w:r>
        <w:rPr>
          <w:color w:val="231F20"/>
          <w:spacing w:val="-14"/>
          <w:w w:val="105"/>
        </w:rPr>
        <w:t> </w:t>
      </w:r>
      <w:r>
        <w:rPr>
          <w:color w:val="231F20"/>
          <w:w w:val="105"/>
        </w:rPr>
        <w:t>cause</w:t>
      </w:r>
      <w:r>
        <w:rPr>
          <w:color w:val="231F20"/>
          <w:spacing w:val="-13"/>
          <w:w w:val="105"/>
        </w:rPr>
        <w:t> </w:t>
      </w:r>
      <w:r>
        <w:rPr>
          <w:color w:val="231F20"/>
          <w:w w:val="105"/>
        </w:rPr>
        <w:t>serious</w:t>
      </w:r>
      <w:r>
        <w:rPr>
          <w:color w:val="231F20"/>
          <w:spacing w:val="-14"/>
          <w:w w:val="105"/>
        </w:rPr>
        <w:t> </w:t>
      </w:r>
      <w:r>
        <w:rPr>
          <w:color w:val="231F20"/>
          <w:w w:val="105"/>
        </w:rPr>
        <w:t>potassium</w:t>
      </w:r>
      <w:r>
        <w:rPr>
          <w:color w:val="231F20"/>
          <w:spacing w:val="-14"/>
          <w:w w:val="105"/>
        </w:rPr>
        <w:t> </w:t>
      </w:r>
      <w:r>
        <w:rPr>
          <w:color w:val="231F20"/>
          <w:w w:val="105"/>
        </w:rPr>
        <w:t>accumu- lation and</w:t>
      </w:r>
      <w:r>
        <w:rPr>
          <w:color w:val="231F20"/>
          <w:spacing w:val="4"/>
          <w:w w:val="105"/>
        </w:rPr>
        <w:t> </w:t>
      </w:r>
      <w:r>
        <w:rPr>
          <w:color w:val="231F20"/>
          <w:w w:val="105"/>
        </w:rPr>
        <w:t>hyperkalemia.</w:t>
      </w:r>
    </w:p>
    <w:p>
      <w:pPr>
        <w:pStyle w:val="BodyText"/>
        <w:spacing w:line="249" w:lineRule="auto" w:before="9"/>
        <w:ind w:left="312" w:right="1437" w:firstLine="240"/>
        <w:jc w:val="both"/>
      </w:pPr>
      <w:hyperlink w:history="true" w:anchor="_bookmark85">
        <w:r>
          <w:rPr>
            <w:rFonts w:ascii="Cambria"/>
            <w:b/>
            <w:color w:val="0080AC"/>
            <w:w w:val="105"/>
          </w:rPr>
          <w:t>Figure 30-2</w:t>
        </w:r>
      </w:hyperlink>
      <w:r>
        <w:rPr>
          <w:rFonts w:ascii="Cambria"/>
          <w:b/>
          <w:color w:val="0080AC"/>
          <w:w w:val="105"/>
        </w:rPr>
        <w:t> </w:t>
      </w:r>
      <w:r>
        <w:rPr>
          <w:color w:val="231F20"/>
          <w:w w:val="105"/>
        </w:rPr>
        <w:t>summarizes the tubular handling </w:t>
      </w:r>
      <w:r>
        <w:rPr>
          <w:color w:val="231F20"/>
          <w:spacing w:val="-7"/>
          <w:w w:val="105"/>
        </w:rPr>
        <w:t>of </w:t>
      </w:r>
      <w:r>
        <w:rPr>
          <w:color w:val="231F20"/>
          <w:w w:val="105"/>
        </w:rPr>
        <w:t>potassium</w:t>
      </w:r>
      <w:r>
        <w:rPr>
          <w:color w:val="231F20"/>
          <w:spacing w:val="-10"/>
          <w:w w:val="105"/>
        </w:rPr>
        <w:t> </w:t>
      </w:r>
      <w:r>
        <w:rPr>
          <w:color w:val="231F20"/>
          <w:w w:val="105"/>
        </w:rPr>
        <w:t>under</w:t>
      </w:r>
      <w:r>
        <w:rPr>
          <w:color w:val="231F20"/>
          <w:spacing w:val="-10"/>
          <w:w w:val="105"/>
        </w:rPr>
        <w:t> </w:t>
      </w:r>
      <w:r>
        <w:rPr>
          <w:color w:val="231F20"/>
          <w:w w:val="105"/>
        </w:rPr>
        <w:t>normal</w:t>
      </w:r>
      <w:r>
        <w:rPr>
          <w:color w:val="231F20"/>
          <w:spacing w:val="-10"/>
          <w:w w:val="105"/>
        </w:rPr>
        <w:t> </w:t>
      </w:r>
      <w:r>
        <w:rPr>
          <w:color w:val="231F20"/>
          <w:w w:val="105"/>
        </w:rPr>
        <w:t>conditions.</w:t>
      </w:r>
      <w:r>
        <w:rPr>
          <w:color w:val="231F20"/>
          <w:spacing w:val="-10"/>
          <w:w w:val="105"/>
        </w:rPr>
        <w:t> </w:t>
      </w:r>
      <w:r>
        <w:rPr>
          <w:color w:val="231F20"/>
          <w:w w:val="105"/>
        </w:rPr>
        <w:t>About</w:t>
      </w:r>
      <w:r>
        <w:rPr>
          <w:color w:val="231F20"/>
          <w:spacing w:val="-10"/>
          <w:w w:val="105"/>
        </w:rPr>
        <w:t> </w:t>
      </w:r>
      <w:r>
        <w:rPr>
          <w:color w:val="231F20"/>
          <w:w w:val="105"/>
        </w:rPr>
        <w:t>65</w:t>
      </w:r>
      <w:r>
        <w:rPr>
          <w:color w:val="231F20"/>
          <w:spacing w:val="-10"/>
          <w:w w:val="105"/>
        </w:rPr>
        <w:t> </w:t>
      </w:r>
      <w:r>
        <w:rPr>
          <w:color w:val="231F20"/>
          <w:w w:val="105"/>
        </w:rPr>
        <w:t>percent</w:t>
      </w:r>
      <w:r>
        <w:rPr>
          <w:color w:val="231F20"/>
          <w:spacing w:val="-10"/>
          <w:w w:val="105"/>
        </w:rPr>
        <w:t> </w:t>
      </w:r>
      <w:r>
        <w:rPr>
          <w:color w:val="231F20"/>
          <w:spacing w:val="-6"/>
          <w:w w:val="105"/>
        </w:rPr>
        <w:t>of </w:t>
      </w:r>
      <w:r>
        <w:rPr>
          <w:color w:val="231F20"/>
          <w:w w:val="105"/>
        </w:rPr>
        <w:t>the filtered potassium is reabsorbed in the</w:t>
      </w:r>
      <w:r>
        <w:rPr>
          <w:color w:val="231F20"/>
          <w:spacing w:val="36"/>
          <w:w w:val="105"/>
        </w:rPr>
        <w:t> </w:t>
      </w:r>
      <w:r>
        <w:rPr>
          <w:color w:val="231F20"/>
          <w:w w:val="105"/>
        </w:rPr>
        <w:t>proximal tubule.</w:t>
      </w:r>
      <w:r>
        <w:rPr>
          <w:color w:val="231F20"/>
          <w:spacing w:val="-18"/>
          <w:w w:val="105"/>
        </w:rPr>
        <w:t> </w:t>
      </w:r>
      <w:r>
        <w:rPr>
          <w:color w:val="231F20"/>
          <w:w w:val="105"/>
        </w:rPr>
        <w:t>Another</w:t>
      </w:r>
      <w:r>
        <w:rPr>
          <w:color w:val="231F20"/>
          <w:spacing w:val="-17"/>
          <w:w w:val="105"/>
        </w:rPr>
        <w:t> </w:t>
      </w:r>
      <w:r>
        <w:rPr>
          <w:color w:val="231F20"/>
          <w:w w:val="105"/>
        </w:rPr>
        <w:t>25</w:t>
      </w:r>
      <w:r>
        <w:rPr>
          <w:color w:val="231F20"/>
          <w:spacing w:val="-18"/>
          <w:w w:val="105"/>
        </w:rPr>
        <w:t> </w:t>
      </w:r>
      <w:r>
        <w:rPr>
          <w:color w:val="231F20"/>
          <w:w w:val="105"/>
        </w:rPr>
        <w:t>to</w:t>
      </w:r>
      <w:r>
        <w:rPr>
          <w:color w:val="231F20"/>
          <w:spacing w:val="-17"/>
          <w:w w:val="105"/>
        </w:rPr>
        <w:t> </w:t>
      </w:r>
      <w:r>
        <w:rPr>
          <w:color w:val="231F20"/>
          <w:w w:val="105"/>
        </w:rPr>
        <w:t>30</w:t>
      </w:r>
      <w:r>
        <w:rPr>
          <w:color w:val="231F20"/>
          <w:spacing w:val="-18"/>
          <w:w w:val="105"/>
        </w:rPr>
        <w:t> </w:t>
      </w:r>
      <w:r>
        <w:rPr>
          <w:color w:val="231F20"/>
          <w:w w:val="105"/>
        </w:rPr>
        <w:t>percent</w:t>
      </w:r>
      <w:r>
        <w:rPr>
          <w:color w:val="231F20"/>
          <w:spacing w:val="-17"/>
          <w:w w:val="105"/>
        </w:rPr>
        <w:t> </w:t>
      </w:r>
      <w:r>
        <w:rPr>
          <w:color w:val="231F20"/>
          <w:w w:val="105"/>
        </w:rPr>
        <w:t>of</w:t>
      </w:r>
      <w:r>
        <w:rPr>
          <w:color w:val="231F20"/>
          <w:spacing w:val="-18"/>
          <w:w w:val="105"/>
        </w:rPr>
        <w:t> </w:t>
      </w:r>
      <w:r>
        <w:rPr>
          <w:color w:val="231F20"/>
          <w:w w:val="105"/>
        </w:rPr>
        <w:t>the</w:t>
      </w:r>
      <w:r>
        <w:rPr>
          <w:color w:val="231F20"/>
          <w:spacing w:val="-17"/>
          <w:w w:val="105"/>
        </w:rPr>
        <w:t> </w:t>
      </w:r>
      <w:r>
        <w:rPr>
          <w:color w:val="231F20"/>
          <w:w w:val="105"/>
        </w:rPr>
        <w:t>filtered</w:t>
      </w:r>
      <w:r>
        <w:rPr>
          <w:color w:val="231F20"/>
          <w:spacing w:val="-18"/>
          <w:w w:val="105"/>
        </w:rPr>
        <w:t> </w:t>
      </w:r>
      <w:r>
        <w:rPr>
          <w:color w:val="231F20"/>
          <w:w w:val="105"/>
        </w:rPr>
        <w:t>potassium is</w:t>
      </w:r>
      <w:r>
        <w:rPr>
          <w:color w:val="231F20"/>
          <w:spacing w:val="-12"/>
          <w:w w:val="105"/>
        </w:rPr>
        <w:t> </w:t>
      </w:r>
      <w:r>
        <w:rPr>
          <w:color w:val="231F20"/>
          <w:w w:val="105"/>
        </w:rPr>
        <w:t>reabsorbed</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loop</w:t>
      </w:r>
      <w:r>
        <w:rPr>
          <w:color w:val="231F20"/>
          <w:spacing w:val="-11"/>
          <w:w w:val="105"/>
        </w:rPr>
        <w:t> </w:t>
      </w:r>
      <w:r>
        <w:rPr>
          <w:color w:val="231F20"/>
          <w:w w:val="105"/>
        </w:rPr>
        <w:t>of</w:t>
      </w:r>
      <w:r>
        <w:rPr>
          <w:color w:val="231F20"/>
          <w:spacing w:val="-12"/>
          <w:w w:val="105"/>
        </w:rPr>
        <w:t> </w:t>
      </w:r>
      <w:r>
        <w:rPr>
          <w:color w:val="231F20"/>
          <w:w w:val="105"/>
        </w:rPr>
        <w:t>Henle,</w:t>
      </w:r>
      <w:r>
        <w:rPr>
          <w:color w:val="231F20"/>
          <w:spacing w:val="-11"/>
          <w:w w:val="105"/>
        </w:rPr>
        <w:t> </w:t>
      </w:r>
      <w:r>
        <w:rPr>
          <w:color w:val="231F20"/>
          <w:w w:val="105"/>
        </w:rPr>
        <w:t>especially</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thick ascending</w:t>
      </w:r>
      <w:r>
        <w:rPr>
          <w:color w:val="231F20"/>
          <w:spacing w:val="-32"/>
          <w:w w:val="105"/>
        </w:rPr>
        <w:t> </w:t>
      </w:r>
      <w:r>
        <w:rPr>
          <w:color w:val="231F20"/>
          <w:w w:val="105"/>
        </w:rPr>
        <w:t>part</w:t>
      </w:r>
      <w:r>
        <w:rPr>
          <w:color w:val="231F20"/>
          <w:spacing w:val="-31"/>
          <w:w w:val="105"/>
        </w:rPr>
        <w:t> </w:t>
      </w:r>
      <w:r>
        <w:rPr>
          <w:color w:val="231F20"/>
          <w:w w:val="105"/>
        </w:rPr>
        <w:t>where</w:t>
      </w:r>
      <w:r>
        <w:rPr>
          <w:color w:val="231F20"/>
          <w:spacing w:val="-31"/>
          <w:w w:val="105"/>
        </w:rPr>
        <w:t> </w:t>
      </w:r>
      <w:r>
        <w:rPr>
          <w:color w:val="231F20"/>
          <w:w w:val="105"/>
        </w:rPr>
        <w:t>potassium</w:t>
      </w:r>
      <w:r>
        <w:rPr>
          <w:color w:val="231F20"/>
          <w:spacing w:val="-32"/>
          <w:w w:val="105"/>
        </w:rPr>
        <w:t> </w:t>
      </w:r>
      <w:r>
        <w:rPr>
          <w:color w:val="231F20"/>
          <w:w w:val="105"/>
        </w:rPr>
        <w:t>is</w:t>
      </w:r>
      <w:r>
        <w:rPr>
          <w:color w:val="231F20"/>
          <w:spacing w:val="-31"/>
          <w:w w:val="105"/>
        </w:rPr>
        <w:t> </w:t>
      </w:r>
      <w:r>
        <w:rPr>
          <w:color w:val="231F20"/>
          <w:w w:val="105"/>
        </w:rPr>
        <w:t>actively</w:t>
      </w:r>
      <w:r>
        <w:rPr>
          <w:color w:val="231F20"/>
          <w:spacing w:val="-31"/>
          <w:w w:val="105"/>
        </w:rPr>
        <w:t> </w:t>
      </w:r>
      <w:r>
        <w:rPr>
          <w:color w:val="231F20"/>
          <w:w w:val="105"/>
        </w:rPr>
        <w:t>co-transported along with sodium and chloride. In both the proximal tubule</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5"/>
          <w:w w:val="105"/>
        </w:rPr>
        <w:t> </w:t>
      </w:r>
      <w:r>
        <w:rPr>
          <w:color w:val="231F20"/>
          <w:w w:val="105"/>
        </w:rPr>
        <w:t>loop</w:t>
      </w:r>
      <w:r>
        <w:rPr>
          <w:color w:val="231F20"/>
          <w:spacing w:val="-26"/>
          <w:w w:val="105"/>
        </w:rPr>
        <w:t> </w:t>
      </w:r>
      <w:r>
        <w:rPr>
          <w:color w:val="231F20"/>
          <w:w w:val="105"/>
        </w:rPr>
        <w:t>of</w:t>
      </w:r>
      <w:r>
        <w:rPr>
          <w:color w:val="231F20"/>
          <w:spacing w:val="-25"/>
          <w:w w:val="105"/>
        </w:rPr>
        <w:t> </w:t>
      </w:r>
      <w:r>
        <w:rPr>
          <w:color w:val="231F20"/>
          <w:w w:val="105"/>
        </w:rPr>
        <w:t>Henle,</w:t>
      </w:r>
      <w:r>
        <w:rPr>
          <w:color w:val="231F20"/>
          <w:spacing w:val="-25"/>
          <w:w w:val="105"/>
        </w:rPr>
        <w:t> </w:t>
      </w:r>
      <w:r>
        <w:rPr>
          <w:color w:val="231F20"/>
          <w:w w:val="105"/>
        </w:rPr>
        <w:t>a</w:t>
      </w:r>
      <w:r>
        <w:rPr>
          <w:color w:val="231F20"/>
          <w:spacing w:val="-26"/>
          <w:w w:val="105"/>
        </w:rPr>
        <w:t> </w:t>
      </w:r>
      <w:r>
        <w:rPr>
          <w:color w:val="231F20"/>
          <w:w w:val="105"/>
        </w:rPr>
        <w:t>relatively</w:t>
      </w:r>
      <w:r>
        <w:rPr>
          <w:color w:val="231F20"/>
          <w:spacing w:val="-25"/>
          <w:w w:val="105"/>
        </w:rPr>
        <w:t> </w:t>
      </w:r>
      <w:r>
        <w:rPr>
          <w:color w:val="231F20"/>
          <w:w w:val="105"/>
        </w:rPr>
        <w:t>constant</w:t>
      </w:r>
      <w:r>
        <w:rPr>
          <w:color w:val="231F20"/>
          <w:spacing w:val="-25"/>
          <w:w w:val="105"/>
        </w:rPr>
        <w:t> </w:t>
      </w:r>
      <w:r>
        <w:rPr>
          <w:color w:val="231F20"/>
          <w:w w:val="105"/>
        </w:rPr>
        <w:t>fraction of the filtered potassium load is reabsorbed. Changes in potassium reabsorption in these segments can </w:t>
      </w:r>
      <w:r>
        <w:rPr>
          <w:color w:val="231F20"/>
          <w:spacing w:val="-3"/>
          <w:w w:val="105"/>
        </w:rPr>
        <w:t>influence </w:t>
      </w:r>
      <w:r>
        <w:rPr>
          <w:color w:val="231F20"/>
          <w:w w:val="105"/>
        </w:rPr>
        <w:t>potassium</w:t>
      </w:r>
      <w:r>
        <w:rPr>
          <w:color w:val="231F20"/>
          <w:spacing w:val="-21"/>
          <w:w w:val="105"/>
        </w:rPr>
        <w:t> </w:t>
      </w:r>
      <w:r>
        <w:rPr>
          <w:color w:val="231F20"/>
          <w:w w:val="105"/>
        </w:rPr>
        <w:t>excretion,</w:t>
      </w:r>
      <w:r>
        <w:rPr>
          <w:color w:val="231F20"/>
          <w:spacing w:val="-21"/>
          <w:w w:val="105"/>
        </w:rPr>
        <w:t> </w:t>
      </w:r>
      <w:r>
        <w:rPr>
          <w:color w:val="231F20"/>
          <w:w w:val="105"/>
        </w:rPr>
        <w:t>but</w:t>
      </w:r>
      <w:r>
        <w:rPr>
          <w:color w:val="231F20"/>
          <w:spacing w:val="-20"/>
          <w:w w:val="105"/>
        </w:rPr>
        <w:t> </w:t>
      </w:r>
      <w:r>
        <w:rPr>
          <w:color w:val="231F20"/>
          <w:w w:val="105"/>
        </w:rPr>
        <w:t>most</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0"/>
          <w:w w:val="105"/>
        </w:rPr>
        <w:t> </w:t>
      </w:r>
      <w:r>
        <w:rPr>
          <w:color w:val="231F20"/>
          <w:w w:val="105"/>
        </w:rPr>
        <w:t>day-to-day</w:t>
      </w:r>
      <w:r>
        <w:rPr>
          <w:color w:val="231F20"/>
          <w:spacing w:val="-21"/>
          <w:w w:val="105"/>
        </w:rPr>
        <w:t> </w:t>
      </w:r>
      <w:r>
        <w:rPr>
          <w:color w:val="231F20"/>
          <w:w w:val="105"/>
        </w:rPr>
        <w:t>variation of potassium excretion is not due to changes</w:t>
      </w:r>
      <w:r>
        <w:rPr>
          <w:color w:val="231F20"/>
          <w:spacing w:val="-6"/>
          <w:w w:val="105"/>
        </w:rPr>
        <w:t> </w:t>
      </w:r>
      <w:r>
        <w:rPr>
          <w:color w:val="231F20"/>
          <w:w w:val="105"/>
        </w:rPr>
        <w:t>in</w:t>
      </w:r>
    </w:p>
    <w:p>
      <w:pPr>
        <w:spacing w:after="0" w:line="249" w:lineRule="auto"/>
        <w:jc w:val="both"/>
        <w:sectPr>
          <w:type w:val="continuous"/>
          <w:pgSz w:w="12240" w:h="15660"/>
          <w:pgMar w:top="0" w:bottom="760" w:left="0" w:right="0"/>
          <w:cols w:num="2" w:equalWidth="0">
            <w:col w:w="5768" w:space="40"/>
            <w:col w:w="6432"/>
          </w:cols>
        </w:sectPr>
      </w:pPr>
    </w:p>
    <w:p>
      <w:pPr>
        <w:pStyle w:val="BodyText"/>
      </w:pPr>
    </w:p>
    <w:p>
      <w:pPr>
        <w:pStyle w:val="BodyText"/>
      </w:pPr>
    </w:p>
    <w:p>
      <w:pPr>
        <w:pStyle w:val="BodyText"/>
      </w:pPr>
    </w:p>
    <w:p>
      <w:pPr>
        <w:pStyle w:val="BodyText"/>
        <w:spacing w:before="2"/>
        <w:rPr>
          <w:sz w:val="24"/>
        </w:rPr>
      </w:pPr>
    </w:p>
    <w:p>
      <w:pPr>
        <w:spacing w:after="0"/>
        <w:rPr>
          <w:sz w:val="24"/>
        </w:rPr>
        <w:sectPr>
          <w:headerReference w:type="default" r:id="rId852"/>
          <w:pgSz w:w="12240" w:h="15660"/>
          <w:pgMar w:header="0" w:footer="567" w:top="0" w:bottom="760" w:left="0" w:right="0"/>
        </w:sectPr>
      </w:pPr>
    </w:p>
    <w:p>
      <w:pPr>
        <w:pStyle w:val="BodyText"/>
        <w:rPr>
          <w:sz w:val="18"/>
        </w:rPr>
      </w:pPr>
    </w:p>
    <w:p>
      <w:pPr>
        <w:pStyle w:val="BodyText"/>
        <w:spacing w:before="3"/>
        <w:rPr>
          <w:sz w:val="25"/>
        </w:rPr>
      </w:pPr>
    </w:p>
    <w:p>
      <w:pPr>
        <w:spacing w:line="177" w:lineRule="exact" w:before="0"/>
        <w:ind w:left="1466" w:right="0" w:firstLine="0"/>
        <w:jc w:val="left"/>
        <w:rPr>
          <w:rFonts w:ascii="Helvetica"/>
          <w:sz w:val="16"/>
        </w:rPr>
      </w:pPr>
      <w:r>
        <w:rPr>
          <w:rFonts w:ascii="Helvetica"/>
          <w:color w:val="231F20"/>
          <w:sz w:val="16"/>
        </w:rPr>
        <w:t>756</w:t>
      </w:r>
      <w:r>
        <w:rPr>
          <w:rFonts w:ascii="Helvetica"/>
          <w:color w:val="231F20"/>
          <w:spacing w:val="1"/>
          <w:sz w:val="16"/>
        </w:rPr>
        <w:t> </w:t>
      </w:r>
      <w:r>
        <w:rPr>
          <w:rFonts w:ascii="Helvetica"/>
          <w:color w:val="231F20"/>
          <w:spacing w:val="-3"/>
          <w:sz w:val="16"/>
        </w:rPr>
        <w:t>mEq/day</w:t>
      </w:r>
    </w:p>
    <w:p>
      <w:pPr>
        <w:spacing w:line="186" w:lineRule="exact" w:before="0"/>
        <w:ind w:left="1471" w:right="0" w:firstLine="0"/>
        <w:jc w:val="left"/>
        <w:rPr>
          <w:rFonts w:ascii="Symbol" w:hAnsi="Symbol"/>
          <w:sz w:val="16"/>
        </w:rPr>
      </w:pPr>
      <w:r>
        <w:rPr>
          <w:rFonts w:ascii="Helvetica" w:hAnsi="Helvetica"/>
          <w:color w:val="231F20"/>
          <w:sz w:val="16"/>
        </w:rPr>
        <w:t>(180 L/day</w:t>
      </w:r>
      <w:r>
        <w:rPr>
          <w:rFonts w:ascii="Helvetica" w:hAnsi="Helvetica"/>
          <w:color w:val="231F20"/>
          <w:spacing w:val="-1"/>
          <w:sz w:val="16"/>
        </w:rPr>
        <w:t> </w:t>
      </w:r>
      <w:r>
        <w:rPr>
          <w:rFonts w:ascii="Symbol" w:hAnsi="Symbol"/>
          <w:color w:val="231F20"/>
          <w:sz w:val="16"/>
        </w:rPr>
        <w:t></w:t>
      </w:r>
    </w:p>
    <w:p>
      <w:pPr>
        <w:spacing w:line="181" w:lineRule="exact" w:before="0"/>
        <w:ind w:left="1546" w:right="0" w:firstLine="0"/>
        <w:jc w:val="left"/>
        <w:rPr>
          <w:rFonts w:ascii="Helvetica"/>
          <w:sz w:val="16"/>
        </w:rPr>
      </w:pPr>
      <w:r>
        <w:rPr>
          <w:rFonts w:ascii="Helvetica"/>
          <w:color w:val="231F20"/>
          <w:sz w:val="16"/>
        </w:rPr>
        <w:t>4.2</w:t>
      </w:r>
      <w:r>
        <w:rPr>
          <w:rFonts w:ascii="Helvetica"/>
          <w:color w:val="231F20"/>
          <w:spacing w:val="-1"/>
          <w:sz w:val="16"/>
        </w:rPr>
        <w:t> </w:t>
      </w:r>
      <w:r>
        <w:rPr>
          <w:rFonts w:ascii="Helvetica"/>
          <w:color w:val="231F20"/>
          <w:sz w:val="16"/>
        </w:rPr>
        <w:t>mEq/L)</w:t>
      </w:r>
    </w:p>
    <w:p>
      <w:pPr>
        <w:spacing w:line="182" w:lineRule="exact" w:before="99"/>
        <w:ind w:left="913" w:right="0" w:firstLine="0"/>
        <w:jc w:val="center"/>
        <w:rPr>
          <w:rFonts w:ascii="Helvetica"/>
          <w:sz w:val="16"/>
        </w:rPr>
      </w:pPr>
      <w:r>
        <w:rPr/>
        <w:br w:type="column"/>
      </w:r>
      <w:r>
        <w:rPr>
          <w:rFonts w:ascii="Helvetica"/>
          <w:color w:val="231F20"/>
          <w:sz w:val="16"/>
        </w:rPr>
        <w:t>65%</w:t>
      </w:r>
    </w:p>
    <w:p>
      <w:pPr>
        <w:spacing w:line="182" w:lineRule="exact" w:before="0"/>
        <w:ind w:left="913" w:right="0" w:firstLine="0"/>
        <w:jc w:val="center"/>
        <w:rPr>
          <w:rFonts w:ascii="Helvetica"/>
          <w:sz w:val="16"/>
        </w:rPr>
      </w:pPr>
      <w:r>
        <w:rPr/>
        <w:drawing>
          <wp:anchor distT="0" distB="0" distL="0" distR="0" allowOverlap="1" layoutInCell="1" locked="0" behindDoc="1" simplePos="0" relativeHeight="230465536">
            <wp:simplePos x="0" y="0"/>
            <wp:positionH relativeFrom="page">
              <wp:posOffset>1545408</wp:posOffset>
            </wp:positionH>
            <wp:positionV relativeFrom="paragraph">
              <wp:posOffset>62942</wp:posOffset>
            </wp:positionV>
            <wp:extent cx="2248291" cy="2674772"/>
            <wp:effectExtent l="0" t="0" r="0" b="0"/>
            <wp:wrapNone/>
            <wp:docPr id="13" name="image688.png"/>
            <wp:cNvGraphicFramePr>
              <a:graphicFrameLocks noChangeAspect="1"/>
            </wp:cNvGraphicFramePr>
            <a:graphic>
              <a:graphicData uri="http://schemas.openxmlformats.org/drawingml/2006/picture">
                <pic:pic>
                  <pic:nvPicPr>
                    <pic:cNvPr id="14" name="image688.png"/>
                    <pic:cNvPicPr/>
                  </pic:nvPicPr>
                  <pic:blipFill>
                    <a:blip r:embed="rId853" cstate="print"/>
                    <a:stretch>
                      <a:fillRect/>
                    </a:stretch>
                  </pic:blipFill>
                  <pic:spPr>
                    <a:xfrm>
                      <a:off x="0" y="0"/>
                      <a:ext cx="2248291" cy="2674772"/>
                    </a:xfrm>
                    <a:prstGeom prst="rect">
                      <a:avLst/>
                    </a:prstGeom>
                  </pic:spPr>
                </pic:pic>
              </a:graphicData>
            </a:graphic>
          </wp:anchor>
        </w:drawing>
      </w:r>
      <w:r>
        <w:rPr>
          <w:rFonts w:ascii="Helvetica"/>
          <w:color w:val="231F20"/>
          <w:sz w:val="16"/>
        </w:rPr>
        <w:t>(491 mEq/day)</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142" w:lineRule="exact" w:before="116"/>
        <w:ind w:left="284" w:right="0" w:firstLine="0"/>
        <w:jc w:val="left"/>
        <w:rPr>
          <w:rFonts w:ascii="Helvetica"/>
          <w:sz w:val="16"/>
        </w:rPr>
      </w:pPr>
      <w:r>
        <w:rPr>
          <w:rFonts w:ascii="Helvetica"/>
          <w:color w:val="231F20"/>
          <w:sz w:val="16"/>
        </w:rPr>
        <w:t>27%</w:t>
      </w:r>
    </w:p>
    <w:p>
      <w:pPr>
        <w:spacing w:line="182" w:lineRule="exact" w:before="103"/>
        <w:ind w:left="341" w:right="343" w:firstLine="0"/>
        <w:jc w:val="center"/>
        <w:rPr>
          <w:rFonts w:ascii="Helvetica"/>
          <w:sz w:val="16"/>
        </w:rPr>
      </w:pPr>
      <w:r>
        <w:rPr/>
        <w:br w:type="column"/>
      </w:r>
      <w:r>
        <w:rPr>
          <w:rFonts w:ascii="Helvetica"/>
          <w:color w:val="231F20"/>
          <w:sz w:val="16"/>
        </w:rPr>
        <w:t>8%</w:t>
      </w:r>
    </w:p>
    <w:p>
      <w:pPr>
        <w:spacing w:line="182" w:lineRule="exact" w:before="0"/>
        <w:ind w:left="-5" w:right="0" w:firstLine="0"/>
        <w:jc w:val="center"/>
        <w:rPr>
          <w:rFonts w:ascii="Helvetica"/>
          <w:sz w:val="16"/>
        </w:rPr>
      </w:pPr>
      <w:r>
        <w:rPr>
          <w:rFonts w:ascii="Helvetica"/>
          <w:color w:val="231F20"/>
          <w:sz w:val="16"/>
        </w:rPr>
        <w:t>(60</w:t>
      </w:r>
      <w:r>
        <w:rPr>
          <w:rFonts w:ascii="Helvetica"/>
          <w:color w:val="231F20"/>
          <w:spacing w:val="3"/>
          <w:sz w:val="16"/>
        </w:rPr>
        <w:t> </w:t>
      </w:r>
      <w:r>
        <w:rPr>
          <w:rFonts w:ascii="Helvetica"/>
          <w:color w:val="231F20"/>
          <w:spacing w:val="-3"/>
          <w:sz w:val="16"/>
        </w:rPr>
        <w:t>mEq/day)</w:t>
      </w:r>
    </w:p>
    <w:p>
      <w:pPr>
        <w:spacing w:line="235" w:lineRule="auto" w:before="147"/>
        <w:ind w:left="504" w:right="633" w:hanging="1"/>
        <w:jc w:val="center"/>
        <w:rPr>
          <w:rFonts w:ascii="Helvetica"/>
          <w:sz w:val="16"/>
        </w:rPr>
      </w:pPr>
      <w:r>
        <w:rPr/>
        <w:br w:type="column"/>
      </w:r>
      <w:r>
        <w:rPr>
          <w:rFonts w:ascii="Helvetica"/>
          <w:color w:val="231F20"/>
          <w:sz w:val="16"/>
        </w:rPr>
        <w:t>Renal interstitial</w:t>
      </w:r>
      <w:r>
        <w:rPr>
          <w:rFonts w:ascii="Helvetica"/>
          <w:color w:val="231F20"/>
          <w:w w:val="99"/>
          <w:sz w:val="16"/>
        </w:rPr>
        <w:t> </w:t>
      </w:r>
      <w:r>
        <w:rPr>
          <w:rFonts w:ascii="Helvetica"/>
          <w:color w:val="231F20"/>
          <w:sz w:val="16"/>
        </w:rPr>
        <w:t>fluid</w:t>
      </w:r>
    </w:p>
    <w:p>
      <w:pPr>
        <w:pStyle w:val="BodyText"/>
        <w:rPr>
          <w:rFonts w:ascii="Helvetica"/>
          <w:sz w:val="18"/>
        </w:rPr>
      </w:pPr>
    </w:p>
    <w:p>
      <w:pPr>
        <w:pStyle w:val="BodyText"/>
        <w:rPr>
          <w:rFonts w:ascii="Helvetica"/>
          <w:sz w:val="18"/>
        </w:rPr>
      </w:pPr>
    </w:p>
    <w:p>
      <w:pPr>
        <w:pStyle w:val="BodyText"/>
        <w:spacing w:before="3"/>
        <w:rPr>
          <w:rFonts w:ascii="Helvetica"/>
          <w:sz w:val="25"/>
        </w:rPr>
      </w:pPr>
    </w:p>
    <w:p>
      <w:pPr>
        <w:tabs>
          <w:tab w:pos="1815" w:val="left" w:leader="none"/>
        </w:tabs>
        <w:spacing w:line="190" w:lineRule="exact" w:before="0"/>
        <w:ind w:left="783" w:right="0" w:firstLine="0"/>
        <w:jc w:val="left"/>
        <w:rPr>
          <w:rFonts w:ascii="Helvetica"/>
          <w:sz w:val="12"/>
        </w:rPr>
      </w:pPr>
      <w:r>
        <w:rPr/>
        <w:pict>
          <v:group style="position:absolute;margin-left:358.578796pt;margin-top:-64.024765pt;width:180.85pt;height:145.4pt;mso-position-horizontal-relative:page;mso-position-vertical-relative:paragraph;z-index:-272849920" coordorigin="7172,-1280" coordsize="3617,2908">
            <v:shape style="position:absolute;left:7569;top:-1273;width:2324;height:644" coordorigin="7570,-1273" coordsize="2324,644" path="m9893,-1273l7570,-1271,7570,-973,7582,-912,7616,-862,7666,-829,7727,-817,8976,-817,9004,-815,9076,-808,9170,-788,9266,-750,9326,-719,9402,-685,9485,-656,9568,-635,9646,-629,9717,-639,9782,-665,9836,-709,9874,-777,9893,-871,9893,-1273xe" filled="true" fillcolor="#fee7d9" stroked="false">
              <v:path arrowok="t"/>
              <v:fill type="solid"/>
            </v:shape>
            <v:shape style="position:absolute;left:7569;top:-1273;width:2324;height:644" coordorigin="7570,-1273" coordsize="2324,644" path="m9893,-1273l9893,-871,9874,-777,9836,-709,9782,-665,9717,-639,9646,-629,9568,-635,9485,-656,9402,-685,9326,-719,9266,-750,9170,-788,9076,-808,9004,-815,8976,-817,7727,-817,7666,-829,7616,-862,7582,-912,7570,-973,7570,-1271e" filled="false" stroked="true" strokeweight=".75pt" strokecolor="#b7705b">
              <v:path arrowok="t"/>
              <v:stroke dashstyle="solid"/>
            </v:shape>
            <v:shape style="position:absolute;left:7569;top:-592;width:2324;height:2212" coordorigin="7570,-591" coordsize="2324,2212" path="m9646,-591l9568,-586,9485,-565,9402,-535,9326,-502,9266,-471,9193,-432,9139,-413,9076,-405,8976,-404,7727,-404,7666,-392,7616,-359,7582,-309,7570,-248,7570,1296,7582,1354,7616,1397,7666,1423,7727,1433,8976,1433,9004,1434,9076,1441,9170,1461,9266,1499,9326,1530,9402,1564,9485,1594,9568,1614,9646,1620,9717,1610,9782,1584,9836,1540,9874,1473,9893,1379,9893,-350,9874,-444,9836,-512,9782,-556,9717,-581,9646,-591xe" filled="true" fillcolor="#fee7d9" stroked="false">
              <v:path arrowok="t"/>
              <v:fill type="solid"/>
            </v:shape>
            <v:shape style="position:absolute;left:7569;top:-592;width:2324;height:2212" coordorigin="7570,-591" coordsize="2324,2212" path="m9893,1379l9874,1473,9836,1540,9782,1584,9717,1610,9646,1620,9568,1614,9485,1594,9402,1564,9326,1530,9266,1499,9170,1461,9076,1441,9004,1434,8976,1433,7727,1433,7666,1423,7616,1397,7582,1354,7570,1296,7570,-248,7582,-309,7616,-359,7666,-392,7727,-404,8976,-404,9076,-405,9139,-413,9193,-432,9266,-471,9326,-502,9402,-535,9485,-565,9568,-586,9646,-591,9717,-581,9782,-556,9836,-512,9874,-444,9893,-350,9893,1379xe" filled="false" stroked="true" strokeweight=".75pt" strokecolor="#b7705b">
              <v:path arrowok="t"/>
              <v:stroke dashstyle="solid"/>
            </v:shape>
            <v:shape style="position:absolute;left:8982;top:-106;width:185;height:120" type="#_x0000_t75" stroked="false">
              <v:imagedata r:id="rId854" o:title=""/>
            </v:shape>
            <v:shape style="position:absolute;left:7735;top:379;width:185;height:120" type="#_x0000_t75" stroked="false">
              <v:imagedata r:id="rId855" o:title=""/>
            </v:shape>
            <v:shape style="position:absolute;left:7171;top:41;width:185;height:120" type="#_x0000_t75" stroked="false">
              <v:imagedata r:id="rId856" o:title=""/>
            </v:shape>
            <v:shape style="position:absolute;left:7383;top:86;width:367;height:367" type="#_x0000_t75" stroked="false">
              <v:imagedata r:id="rId857" o:title=""/>
            </v:shape>
            <v:shape style="position:absolute;left:8676;top:591;width:1100;height:555" coordorigin="8677,592" coordsize="1100,555" path="m8677,592l8844,850,8934,988,8975,1052,9030,1118,9115,1144,9160,1146,9193,1146,9234,1146,9285,1146,9348,1146,9426,1146,9522,1146,9638,1147,9776,1147e" filled="false" stroked="true" strokeweight="1.5pt" strokecolor="#f0535f">
              <v:path arrowok="t"/>
              <v:stroke dashstyle="shortdash"/>
            </v:shape>
            <v:shape style="position:absolute;left:9763;top:1073;width:213;height:150" coordorigin="9763,1073" coordsize="213,150" path="m9976,1073l9801,1073,9786,1079,9774,1095,9766,1119,9763,1148,9766,1177,9774,1201,9786,1217,9801,1223,9976,1223,9976,1073xe" filled="true" fillcolor="#dda6cc" stroked="false">
              <v:path arrowok="t"/>
              <v:fill type="solid"/>
            </v:shape>
            <v:shape style="position:absolute;left:9763;top:1073;width:213;height:150" coordorigin="9763,1073" coordsize="213,150" path="m9976,1223l9816,1223,9801,1223,9786,1217,9774,1201,9766,1177,9763,1148,9766,1119,9774,1095,9786,1079,9801,1073,9816,1073,9976,1073e" filled="false" stroked="true" strokeweight=".75pt" strokecolor="#a154a1">
              <v:path arrowok="t"/>
              <v:stroke dashstyle="solid"/>
            </v:shape>
            <v:shape style="position:absolute;left:10020;top:-306;width:689;height:262" coordorigin="10021,-305" coordsize="689,262" path="m10021,-46l10357,-46,10368,-44,10377,-45,10391,-53,10414,-68,10709,-305e" filled="false" stroked="true" strokeweight="1.5pt" strokecolor="#231f20">
              <v:path arrowok="t"/>
              <v:stroke dashstyle="shortdash"/>
            </v:shape>
            <v:shape style="position:absolute;left:9813;top:-127;width:228;height:165" type="#_x0000_t75" stroked="false">
              <v:imagedata r:id="rId858" o:title=""/>
            </v:shape>
            <v:shape style="position:absolute;left:9938;top:1073;width:76;height:150" coordorigin="9938,1073" coordsize="76,150" path="m9976,1073l9961,1079,9949,1095,9941,1119,9938,1148,9941,1177,9949,1201,9961,1217,9976,1223,9991,1217,10003,1201,10011,1177,10014,1148,10011,1119,10003,1095,9991,1079,9976,1073xe" filled="true" fillcolor="#ebd0e4" stroked="false">
              <v:path arrowok="t"/>
              <v:fill type="solid"/>
            </v:shape>
            <v:shape style="position:absolute;left:9938;top:1073;width:76;height:150" coordorigin="9938,1073" coordsize="76,150" path="m9938,1148l9941,1177,9949,1201,9961,1217,9976,1223,9991,1217,10003,1201,10011,1177,10014,1148,10011,1119,10003,1095,9991,1079,9976,1073,9961,1079,9949,1095,9941,1119,9938,1148xe" filled="false" stroked="true" strokeweight=".75pt" strokecolor="#a154a1">
              <v:path arrowok="t"/>
              <v:stroke dashstyle="solid"/>
            </v:shape>
            <v:shape style="position:absolute;left:10603;top:629;width:185;height:120" type="#_x0000_t75" stroked="false">
              <v:imagedata r:id="rId859" o:title=""/>
            </v:shape>
            <v:shape style="position:absolute;left:8776;top:531;width:1000;height:155" coordorigin="8777,532" coordsize="1000,155" path="m8777,532l8890,594,8953,629,9024,665,9099,686,9139,687,9186,686,9225,686,9275,686,9339,686,9420,686,9518,686,9636,687,9776,687e" filled="false" stroked="true" strokeweight="1.5pt" strokecolor="#f0535f">
              <v:path arrowok="t"/>
              <v:stroke dashstyle="shortdash"/>
            </v:shape>
            <v:shape style="position:absolute;left:9755;top:605;width:266;height:165" type="#_x0000_t75" stroked="false">
              <v:imagedata r:id="rId860" o:title=""/>
            </v:shape>
            <v:shape style="position:absolute;left:9783;top:-119;width:76;height:150" coordorigin="9783,-119" coordsize="76,150" path="m9821,-119l9806,-113,9794,-97,9786,-73,9783,-44,9786,-15,9794,9,9806,25,9821,31,9836,25,9848,9,9856,-15,9859,-44,9856,-73,9848,-97,9836,-113,9821,-119xe" filled="true" fillcolor="#d4e3f5" stroked="false">
              <v:path arrowok="t"/>
              <v:fill type="solid"/>
            </v:shape>
            <v:shape style="position:absolute;left:9783;top:-119;width:76;height:150" coordorigin="9783,-119" coordsize="76,150" path="m9859,-44l9856,-73,9848,-97,9836,-113,9821,-119,9806,-113,9794,-97,9786,-73,9783,-44,9786,-15,9794,9,9806,25,9821,31,9836,25,9848,9,9856,-15,9859,-44xe" filled="false" stroked="true" strokeweight=".75pt" strokecolor="#2384c6">
              <v:path arrowok="t"/>
              <v:stroke dashstyle="solid"/>
            </v:shape>
            <w10:wrap type="none"/>
          </v:group>
        </w:pict>
      </w:r>
      <w:r>
        <w:rPr>
          <w:rFonts w:ascii="Helvetica"/>
          <w:color w:val="231F20"/>
          <w:position w:val="-4"/>
          <w:sz w:val="16"/>
        </w:rPr>
        <w:t>Na</w:t>
      </w:r>
      <w:r>
        <w:rPr>
          <w:rFonts w:ascii="Helvetica"/>
          <w:color w:val="231F20"/>
          <w:sz w:val="12"/>
        </w:rPr>
        <w:t>+    </w:t>
      </w:r>
      <w:r>
        <w:rPr>
          <w:rFonts w:ascii="Helvetica"/>
          <w:color w:val="231F20"/>
          <w:spacing w:val="-10"/>
          <w:sz w:val="12"/>
        </w:rPr>
        <w:t> </w:t>
      </w:r>
      <w:r>
        <w:rPr>
          <w:rFonts w:ascii="Helvetica"/>
          <w:color w:val="231F20"/>
          <w:w w:val="100"/>
          <w:sz w:val="12"/>
          <w:u w:val="thick" w:color="231F20"/>
        </w:rPr>
        <w:t> </w:t>
      </w:r>
      <w:r>
        <w:rPr>
          <w:rFonts w:ascii="Helvetica"/>
          <w:color w:val="231F20"/>
          <w:sz w:val="12"/>
          <w:u w:val="thick" w:color="231F20"/>
        </w:rPr>
        <w:tab/>
      </w:r>
    </w:p>
    <w:p>
      <w:pPr>
        <w:spacing w:line="124" w:lineRule="exact" w:before="0"/>
        <w:ind w:left="0" w:right="175" w:firstLine="0"/>
        <w:jc w:val="right"/>
        <w:rPr>
          <w:rFonts w:ascii="Helvetica"/>
          <w:sz w:val="16"/>
        </w:rPr>
      </w:pPr>
      <w:r>
        <w:rPr>
          <w:rFonts w:ascii="Helvetica"/>
          <w:color w:val="231F20"/>
          <w:sz w:val="16"/>
        </w:rPr>
        <w:t>ATP</w:t>
      </w:r>
    </w:p>
    <w:p>
      <w:pPr>
        <w:spacing w:line="235" w:lineRule="auto" w:before="147"/>
        <w:ind w:left="586" w:right="831" w:hanging="147"/>
        <w:jc w:val="left"/>
        <w:rPr>
          <w:rFonts w:ascii="Helvetica"/>
          <w:sz w:val="16"/>
        </w:rPr>
      </w:pPr>
      <w:r>
        <w:rPr/>
        <w:br w:type="column"/>
      </w:r>
      <w:r>
        <w:rPr>
          <w:rFonts w:ascii="Helvetica"/>
          <w:color w:val="231F20"/>
          <w:sz w:val="16"/>
        </w:rPr>
        <w:t>Principal cells</w:t>
      </w:r>
    </w:p>
    <w:p>
      <w:pPr>
        <w:pStyle w:val="BodyText"/>
        <w:rPr>
          <w:rFonts w:ascii="Helvetica"/>
          <w:sz w:val="18"/>
        </w:rPr>
      </w:pPr>
    </w:p>
    <w:p>
      <w:pPr>
        <w:pStyle w:val="BodyText"/>
        <w:rPr>
          <w:rFonts w:ascii="Helvetica"/>
          <w:sz w:val="18"/>
        </w:rPr>
      </w:pPr>
    </w:p>
    <w:p>
      <w:pPr>
        <w:pStyle w:val="BodyText"/>
        <w:rPr>
          <w:rFonts w:ascii="Helvetica"/>
          <w:sz w:val="18"/>
        </w:rPr>
      </w:pPr>
    </w:p>
    <w:p>
      <w:pPr>
        <w:tabs>
          <w:tab w:pos="1903" w:val="left" w:leader="none"/>
        </w:tabs>
        <w:spacing w:before="106"/>
        <w:ind w:left="724" w:right="0" w:firstLine="0"/>
        <w:jc w:val="left"/>
        <w:rPr>
          <w:rFonts w:ascii="Helvetica"/>
          <w:sz w:val="12"/>
        </w:rPr>
      </w:pPr>
      <w:r>
        <w:rPr>
          <w:rFonts w:ascii="Helvetica"/>
          <w:color w:val="231F20"/>
          <w:position w:val="-4"/>
          <w:sz w:val="16"/>
        </w:rPr>
        <w:t>Na</w:t>
      </w:r>
      <w:r>
        <w:rPr>
          <w:rFonts w:ascii="Helvetica"/>
          <w:color w:val="231F20"/>
          <w:sz w:val="12"/>
        </w:rPr>
        <w:t>+   </w:t>
      </w:r>
      <w:r>
        <w:rPr>
          <w:rFonts w:ascii="Helvetica"/>
          <w:color w:val="231F20"/>
          <w:spacing w:val="10"/>
          <w:sz w:val="12"/>
        </w:rPr>
        <w:t> </w:t>
      </w:r>
      <w:r>
        <w:rPr>
          <w:rFonts w:ascii="Helvetica"/>
          <w:color w:val="231F20"/>
          <w:w w:val="100"/>
          <w:sz w:val="12"/>
          <w:u w:val="thick" w:color="231F20"/>
        </w:rPr>
        <w:t> </w:t>
      </w:r>
      <w:r>
        <w:rPr>
          <w:rFonts w:ascii="Helvetica"/>
          <w:color w:val="231F20"/>
          <w:sz w:val="12"/>
          <w:u w:val="thick" w:color="231F20"/>
        </w:rPr>
        <w:tab/>
      </w:r>
    </w:p>
    <w:p>
      <w:pPr>
        <w:spacing w:line="235" w:lineRule="auto" w:before="147"/>
        <w:ind w:left="465" w:right="1374" w:hanging="54"/>
        <w:jc w:val="left"/>
        <w:rPr>
          <w:rFonts w:ascii="Helvetica"/>
          <w:sz w:val="16"/>
        </w:rPr>
      </w:pPr>
      <w:r>
        <w:rPr/>
        <w:br w:type="column"/>
      </w:r>
      <w:r>
        <w:rPr>
          <w:rFonts w:ascii="Helvetica"/>
          <w:color w:val="231F20"/>
          <w:sz w:val="16"/>
        </w:rPr>
        <w:t>Tubular lumen</w:t>
      </w:r>
    </w:p>
    <w:p>
      <w:pPr>
        <w:pStyle w:val="BodyText"/>
        <w:rPr>
          <w:rFonts w:ascii="Helvetica"/>
          <w:sz w:val="18"/>
        </w:rPr>
      </w:pPr>
    </w:p>
    <w:p>
      <w:pPr>
        <w:pStyle w:val="BodyText"/>
        <w:spacing w:before="6"/>
        <w:rPr>
          <w:rFonts w:ascii="Helvetica"/>
          <w:sz w:val="19"/>
        </w:rPr>
      </w:pPr>
    </w:p>
    <w:p>
      <w:pPr>
        <w:spacing w:line="172" w:lineRule="exact" w:before="0"/>
        <w:ind w:left="55" w:right="371" w:firstLine="0"/>
        <w:jc w:val="center"/>
        <w:rPr>
          <w:rFonts w:ascii="Helvetica"/>
          <w:sz w:val="12"/>
        </w:rPr>
      </w:pPr>
      <w:r>
        <w:rPr>
          <w:rFonts w:ascii="Helvetica"/>
          <w:color w:val="231F20"/>
          <w:sz w:val="16"/>
        </w:rPr>
        <w:t>Na</w:t>
      </w:r>
      <w:r>
        <w:rPr>
          <w:rFonts w:ascii="Helvetica"/>
          <w:color w:val="231F20"/>
          <w:position w:val="5"/>
          <w:sz w:val="12"/>
        </w:rPr>
        <w:t>+</w:t>
      </w:r>
    </w:p>
    <w:p>
      <w:pPr>
        <w:spacing w:line="160" w:lineRule="exact" w:before="0"/>
        <w:ind w:left="55" w:right="1826" w:firstLine="0"/>
        <w:jc w:val="center"/>
        <w:rPr>
          <w:rFonts w:ascii="Helvetica"/>
          <w:b/>
          <w:sz w:val="16"/>
        </w:rPr>
      </w:pPr>
      <w:r>
        <w:rPr>
          <w:rFonts w:ascii="Helvetica"/>
          <w:b/>
          <w:color w:val="231F20"/>
          <w:sz w:val="16"/>
        </w:rPr>
        <w:t>ENaC</w:t>
      </w:r>
    </w:p>
    <w:p>
      <w:pPr>
        <w:spacing w:after="0" w:line="160" w:lineRule="exact"/>
        <w:jc w:val="center"/>
        <w:rPr>
          <w:rFonts w:ascii="Helvetica"/>
          <w:sz w:val="16"/>
        </w:rPr>
        <w:sectPr>
          <w:type w:val="continuous"/>
          <w:pgSz w:w="12240" w:h="15660"/>
          <w:pgMar w:top="0" w:bottom="760" w:left="0" w:right="0"/>
          <w:cols w:num="7" w:equalWidth="0">
            <w:col w:w="2410" w:space="40"/>
            <w:col w:w="1964" w:space="39"/>
            <w:col w:w="605" w:space="39"/>
            <w:col w:w="956" w:space="39"/>
            <w:col w:w="1816" w:space="40"/>
            <w:col w:w="1904" w:space="40"/>
            <w:col w:w="2348"/>
          </w:cols>
        </w:sectPr>
      </w:pPr>
    </w:p>
    <w:p>
      <w:pPr>
        <w:spacing w:before="38"/>
        <w:ind w:left="0" w:right="0" w:firstLine="0"/>
        <w:jc w:val="right"/>
        <w:rPr>
          <w:rFonts w:ascii="Helvetica"/>
          <w:sz w:val="16"/>
        </w:rPr>
      </w:pPr>
      <w:r>
        <w:rPr>
          <w:rFonts w:ascii="Helvetica"/>
          <w:color w:val="231F20"/>
          <w:sz w:val="16"/>
        </w:rPr>
        <w:t>(204 mEq/day)</w:t>
      </w:r>
    </w:p>
    <w:p>
      <w:pPr>
        <w:tabs>
          <w:tab w:pos="2338" w:val="left" w:leader="none"/>
          <w:tab w:pos="3091" w:val="left" w:leader="none"/>
        </w:tabs>
        <w:spacing w:before="2"/>
        <w:ind w:left="1516" w:right="0" w:firstLine="0"/>
        <w:jc w:val="left"/>
        <w:rPr>
          <w:rFonts w:ascii="Helvetica"/>
          <w:b/>
          <w:sz w:val="12"/>
        </w:rPr>
      </w:pPr>
      <w:r>
        <w:rPr/>
        <w:br w:type="column"/>
      </w:r>
      <w:r>
        <w:rPr>
          <w:rFonts w:ascii="Helvetica"/>
          <w:b/>
          <w:color w:val="231F20"/>
          <w:position w:val="-4"/>
          <w:sz w:val="16"/>
        </w:rPr>
        <w:t>K</w:t>
      </w:r>
      <w:r>
        <w:rPr>
          <w:rFonts w:ascii="Helvetica"/>
          <w:b/>
          <w:color w:val="231F20"/>
          <w:sz w:val="12"/>
        </w:rPr>
        <w:t>+</w:t>
      </w:r>
      <w:r>
        <w:rPr>
          <w:rFonts w:ascii="Helvetica"/>
          <w:b/>
          <w:color w:val="231F20"/>
          <w:sz w:val="12"/>
          <w:u w:val="thick" w:color="F15B66"/>
        </w:rPr>
        <w:t> </w:t>
        <w:tab/>
      </w:r>
      <w:r>
        <w:rPr>
          <w:rFonts w:ascii="Helvetica"/>
          <w:b/>
          <w:color w:val="231F20"/>
          <w:sz w:val="12"/>
        </w:rPr>
        <w:tab/>
      </w:r>
      <w:r>
        <w:rPr>
          <w:rFonts w:ascii="Helvetica"/>
          <w:b/>
          <w:color w:val="231F20"/>
          <w:spacing w:val="-10"/>
          <w:position w:val="-11"/>
          <w:sz w:val="16"/>
        </w:rPr>
        <w:t>K</w:t>
      </w:r>
      <w:r>
        <w:rPr>
          <w:rFonts w:ascii="Helvetica"/>
          <w:b/>
          <w:color w:val="231F20"/>
          <w:spacing w:val="-10"/>
          <w:position w:val="-6"/>
          <w:sz w:val="12"/>
        </w:rPr>
        <w:t>+</w:t>
      </w:r>
    </w:p>
    <w:p>
      <w:pPr>
        <w:spacing w:line="180" w:lineRule="exact" w:before="87"/>
        <w:ind w:left="1186" w:right="0" w:firstLine="0"/>
        <w:jc w:val="left"/>
        <w:rPr>
          <w:rFonts w:ascii="Helvetica"/>
          <w:b/>
          <w:sz w:val="16"/>
        </w:rPr>
      </w:pPr>
      <w:r>
        <w:rPr/>
        <w:br w:type="column"/>
      </w:r>
      <w:r>
        <w:rPr>
          <w:rFonts w:ascii="Helvetica"/>
          <w:b/>
          <w:color w:val="231F20"/>
          <w:sz w:val="16"/>
        </w:rPr>
        <w:t>BK</w:t>
      </w:r>
    </w:p>
    <w:p>
      <w:pPr>
        <w:tabs>
          <w:tab w:pos="1904" w:val="left" w:leader="none"/>
        </w:tabs>
        <w:spacing w:line="192" w:lineRule="exact" w:before="0"/>
        <w:ind w:left="1170" w:right="0" w:firstLine="0"/>
        <w:jc w:val="left"/>
        <w:rPr>
          <w:rFonts w:ascii="Helvetica"/>
          <w:b/>
          <w:sz w:val="12"/>
        </w:rPr>
      </w:pPr>
      <w:r>
        <w:rPr/>
        <w:pict>
          <v:shape style="position:absolute;margin-left:578.900024pt;margin-top:-31.416338pt;width:15.9pt;height:53.35pt;mso-position-horizontal-relative:page;mso-position-vertical-relative:paragraph;z-index:25255936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b/>
          <w:color w:val="231F20"/>
          <w:w w:val="100"/>
          <w:sz w:val="16"/>
          <w:u w:val="thick" w:color="F15B66"/>
        </w:rPr>
        <w:t> </w:t>
      </w:r>
      <w:r>
        <w:rPr>
          <w:rFonts w:ascii="Helvetica"/>
          <w:b/>
          <w:color w:val="231F20"/>
          <w:sz w:val="16"/>
          <w:u w:val="thick" w:color="F15B66"/>
        </w:rPr>
        <w:tab/>
      </w:r>
      <w:r>
        <w:rPr>
          <w:rFonts w:ascii="Helvetica"/>
          <w:b/>
          <w:color w:val="231F20"/>
          <w:sz w:val="16"/>
        </w:rPr>
        <w:t>  </w:t>
      </w:r>
      <w:r>
        <w:rPr>
          <w:rFonts w:ascii="Helvetica"/>
          <w:b/>
          <w:color w:val="231F20"/>
          <w:spacing w:val="6"/>
          <w:sz w:val="16"/>
        </w:rPr>
        <w:t> </w:t>
      </w:r>
      <w:r>
        <w:rPr>
          <w:rFonts w:ascii="Helvetica"/>
          <w:b/>
          <w:color w:val="231F20"/>
          <w:sz w:val="16"/>
        </w:rPr>
        <w:t>K</w:t>
      </w:r>
      <w:r>
        <w:rPr>
          <w:rFonts w:ascii="Helvetica"/>
          <w:b/>
          <w:color w:val="231F20"/>
          <w:position w:val="5"/>
          <w:sz w:val="12"/>
        </w:rPr>
        <w:t>+</w:t>
      </w:r>
    </w:p>
    <w:p>
      <w:pPr>
        <w:spacing w:after="0" w:line="192" w:lineRule="exact"/>
        <w:jc w:val="left"/>
        <w:rPr>
          <w:rFonts w:ascii="Helvetica"/>
          <w:sz w:val="12"/>
        </w:rPr>
        <w:sectPr>
          <w:type w:val="continuous"/>
          <w:pgSz w:w="12240" w:h="15660"/>
          <w:pgMar w:top="0" w:bottom="760" w:left="0" w:right="0"/>
          <w:cols w:num="3" w:equalWidth="0">
            <w:col w:w="5422" w:space="40"/>
            <w:col w:w="3278" w:space="39"/>
            <w:col w:w="3461"/>
          </w:cols>
        </w:sectPr>
      </w:pPr>
    </w:p>
    <w:p>
      <w:pPr>
        <w:pStyle w:val="BodyText"/>
        <w:spacing w:before="11"/>
        <w:rPr>
          <w:rFonts w:ascii="Helvetica"/>
          <w:b/>
          <w:sz w:val="13"/>
        </w:rPr>
      </w:pPr>
    </w:p>
    <w:p>
      <w:pPr>
        <w:tabs>
          <w:tab w:pos="10683" w:val="left" w:leader="none"/>
        </w:tabs>
        <w:spacing w:line="271" w:lineRule="auto" w:before="103"/>
        <w:ind w:left="9965" w:right="1229" w:hanging="17"/>
        <w:jc w:val="left"/>
        <w:rPr>
          <w:rFonts w:ascii="Helvetica"/>
          <w:b/>
          <w:sz w:val="16"/>
        </w:rPr>
      </w:pPr>
      <w:r>
        <w:rPr/>
        <w:pict>
          <v:rect style="position:absolute;margin-left:576pt;margin-top:27.281042pt;width:36pt;height:24pt;mso-position-horizontal-relative:page;mso-position-vertical-relative:paragraph;z-index:252553216" filled="true" fillcolor="#e8dac8" stroked="false">
            <v:fill type="solid"/>
            <w10:wrap type="none"/>
          </v:rect>
        </w:pict>
      </w:r>
      <w:r>
        <w:rPr/>
        <w:drawing>
          <wp:anchor distT="0" distB="0" distL="0" distR="0" allowOverlap="1" layoutInCell="1" locked="0" behindDoc="1" simplePos="0" relativeHeight="230469632">
            <wp:simplePos x="0" y="0"/>
            <wp:positionH relativeFrom="page">
              <wp:posOffset>6733244</wp:posOffset>
            </wp:positionH>
            <wp:positionV relativeFrom="paragraph">
              <wp:posOffset>98678</wp:posOffset>
            </wp:positionV>
            <wp:extent cx="117170" cy="75996"/>
            <wp:effectExtent l="0" t="0" r="0" b="0"/>
            <wp:wrapNone/>
            <wp:docPr id="15" name="image696.png"/>
            <wp:cNvGraphicFramePr>
              <a:graphicFrameLocks noChangeAspect="1"/>
            </wp:cNvGraphicFramePr>
            <a:graphic>
              <a:graphicData uri="http://schemas.openxmlformats.org/drawingml/2006/picture">
                <pic:pic>
                  <pic:nvPicPr>
                    <pic:cNvPr id="16" name="image696.png"/>
                    <pic:cNvPicPr/>
                  </pic:nvPicPr>
                  <pic:blipFill>
                    <a:blip r:embed="rId861" cstate="print"/>
                    <a:stretch>
                      <a:fillRect/>
                    </a:stretch>
                  </pic:blipFill>
                  <pic:spPr>
                    <a:xfrm>
                      <a:off x="0" y="0"/>
                      <a:ext cx="117170" cy="75996"/>
                    </a:xfrm>
                    <a:prstGeom prst="rect">
                      <a:avLst/>
                    </a:prstGeom>
                  </pic:spPr>
                </pic:pic>
              </a:graphicData>
            </a:graphic>
          </wp:anchor>
        </w:drawing>
      </w:r>
      <w:r>
        <w:rPr>
          <w:rFonts w:ascii="Helvetica"/>
          <w:b/>
          <w:color w:val="231F20"/>
          <w:w w:val="100"/>
          <w:sz w:val="16"/>
          <w:u w:val="thick" w:color="F15B66"/>
        </w:rPr>
        <w:t> </w:t>
      </w:r>
      <w:r>
        <w:rPr>
          <w:rFonts w:ascii="Helvetica"/>
          <w:b/>
          <w:color w:val="231F20"/>
          <w:sz w:val="16"/>
          <w:u w:val="thick" w:color="F15B66"/>
        </w:rPr>
        <w:tab/>
      </w:r>
      <w:r>
        <w:rPr>
          <w:rFonts w:ascii="Helvetica"/>
          <w:b/>
          <w:color w:val="231F20"/>
          <w:sz w:val="16"/>
        </w:rPr>
        <w:t>  </w:t>
      </w:r>
      <w:r>
        <w:rPr>
          <w:rFonts w:ascii="Helvetica"/>
          <w:b/>
          <w:color w:val="231F20"/>
          <w:spacing w:val="6"/>
          <w:sz w:val="16"/>
        </w:rPr>
        <w:t> </w:t>
      </w:r>
      <w:r>
        <w:rPr>
          <w:rFonts w:ascii="Helvetica"/>
          <w:b/>
          <w:color w:val="231F20"/>
          <w:spacing w:val="-9"/>
          <w:sz w:val="16"/>
        </w:rPr>
        <w:t>K</w:t>
      </w:r>
      <w:r>
        <w:rPr>
          <w:rFonts w:ascii="Helvetica"/>
          <w:b/>
          <w:color w:val="231F20"/>
          <w:spacing w:val="-9"/>
          <w:position w:val="5"/>
          <w:sz w:val="12"/>
        </w:rPr>
        <w:t>+ </w:t>
      </w:r>
      <w:r>
        <w:rPr>
          <w:rFonts w:ascii="Helvetica"/>
          <w:b/>
          <w:color w:val="231F20"/>
          <w:sz w:val="16"/>
        </w:rPr>
        <w:t>ROMK</w:t>
      </w:r>
    </w:p>
    <w:p>
      <w:pPr>
        <w:pStyle w:val="BodyText"/>
        <w:rPr>
          <w:rFonts w:ascii="Helvetica"/>
          <w:b/>
        </w:rPr>
      </w:pPr>
    </w:p>
    <w:p>
      <w:pPr>
        <w:pStyle w:val="BodyText"/>
        <w:rPr>
          <w:rFonts w:ascii="Helvetica"/>
          <w:b/>
          <w:sz w:val="16"/>
        </w:rPr>
      </w:pPr>
    </w:p>
    <w:p>
      <w:pPr>
        <w:spacing w:after="0"/>
        <w:rPr>
          <w:rFonts w:ascii="Helvetica"/>
          <w:sz w:val="16"/>
        </w:rPr>
        <w:sectPr>
          <w:type w:val="continuous"/>
          <w:pgSz w:w="12240" w:h="15660"/>
          <w:pgMar w:top="0" w:bottom="760" w:left="0" w:right="0"/>
        </w:sectPr>
      </w:pPr>
    </w:p>
    <w:p>
      <w:pPr>
        <w:spacing w:line="182" w:lineRule="exact" w:before="118"/>
        <w:ind w:left="4458" w:right="0" w:firstLine="0"/>
        <w:jc w:val="center"/>
        <w:rPr>
          <w:rFonts w:ascii="Helvetica"/>
          <w:sz w:val="16"/>
        </w:rPr>
      </w:pPr>
      <w:r>
        <w:rPr>
          <w:rFonts w:ascii="Helvetica"/>
          <w:color w:val="231F20"/>
          <w:sz w:val="16"/>
        </w:rPr>
        <w:t>4%</w:t>
      </w:r>
    </w:p>
    <w:p>
      <w:pPr>
        <w:spacing w:line="182" w:lineRule="exact" w:before="0"/>
        <w:ind w:left="4458" w:right="0" w:firstLine="0"/>
        <w:jc w:val="center"/>
        <w:rPr>
          <w:rFonts w:ascii="Helvetica"/>
          <w:sz w:val="16"/>
        </w:rPr>
      </w:pPr>
      <w:r>
        <w:rPr>
          <w:rFonts w:ascii="Helvetica"/>
          <w:color w:val="231F20"/>
          <w:sz w:val="16"/>
        </w:rPr>
        <w:t>(30 mEq/day)</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18"/>
        </w:rPr>
      </w:pPr>
    </w:p>
    <w:p>
      <w:pPr>
        <w:spacing w:line="181" w:lineRule="exact" w:before="1"/>
        <w:ind w:left="-6" w:right="0" w:firstLine="0"/>
        <w:jc w:val="left"/>
        <w:rPr>
          <w:rFonts w:ascii="Helvetica"/>
          <w:sz w:val="16"/>
        </w:rPr>
      </w:pPr>
      <w:r>
        <w:rPr>
          <w:rFonts w:ascii="Helvetica"/>
          <w:color w:val="231F20"/>
          <w:sz w:val="16"/>
        </w:rPr>
        <w:t>12%</w:t>
      </w:r>
    </w:p>
    <w:p>
      <w:pPr>
        <w:tabs>
          <w:tab w:pos="3487" w:val="left" w:leader="none"/>
        </w:tabs>
        <w:spacing w:before="99"/>
        <w:ind w:left="0" w:right="303" w:firstLine="0"/>
        <w:jc w:val="center"/>
        <w:rPr>
          <w:rFonts w:ascii="Helvetica" w:hAnsi="Helvetica"/>
          <w:sz w:val="16"/>
        </w:rPr>
      </w:pPr>
      <w:r>
        <w:rPr/>
        <w:br w:type="column"/>
      </w:r>
      <w:r>
        <w:rPr>
          <w:rFonts w:ascii="Helvetica" w:hAnsi="Helvetica"/>
          <w:color w:val="231F20"/>
          <w:sz w:val="16"/>
        </w:rPr>
        <w:t>0 mV</w:t>
        <w:tab/>
        <w:t>–50</w:t>
      </w:r>
      <w:r>
        <w:rPr>
          <w:rFonts w:ascii="Helvetica" w:hAnsi="Helvetica"/>
          <w:color w:val="231F20"/>
          <w:spacing w:val="-1"/>
          <w:sz w:val="16"/>
        </w:rPr>
        <w:t> </w:t>
      </w:r>
      <w:r>
        <w:rPr>
          <w:rFonts w:ascii="Helvetica" w:hAnsi="Helvetica"/>
          <w:color w:val="231F20"/>
          <w:sz w:val="16"/>
        </w:rPr>
        <w:t>mV</w:t>
      </w:r>
    </w:p>
    <w:p>
      <w:pPr>
        <w:spacing w:line="259" w:lineRule="auto" w:before="125"/>
        <w:ind w:left="666" w:right="1079" w:firstLine="0"/>
        <w:jc w:val="both"/>
        <w:rPr>
          <w:rFonts w:ascii="Arial" w:hAnsi="Arial"/>
          <w:sz w:val="16"/>
        </w:rPr>
      </w:pPr>
      <w:r>
        <w:rPr/>
        <w:pict>
          <v:group style="position:absolute;margin-left:378.115692pt;margin-top:-23.148251pt;width:116.95pt;height:24.95pt;mso-position-horizontal-relative:page;mso-position-vertical-relative:paragraph;z-index:-272847872" coordorigin="7562,-463" coordsize="2339,499">
            <v:shape style="position:absolute;left:7569;top:-456;width:2324;height:484" coordorigin="7570,-455" coordsize="2324,484" path="m9646,-455l9568,-450,9485,-429,9402,-399,9326,-366,9266,-335,9170,-296,9076,-277,9004,-269,8976,-268,7727,-268,7666,-256,7616,-222,7582,-172,7570,-111,7570,26,9893,28,9893,-214,9874,-308,9836,-376,9782,-420,9717,-445,9646,-455xe" filled="true" fillcolor="#fee7d9" stroked="false">
              <v:path arrowok="t"/>
              <v:fill type="solid"/>
            </v:shape>
            <v:shape style="position:absolute;left:7569;top:-456;width:2324;height:484" coordorigin="7570,-455" coordsize="2324,484" path="m9893,28l9893,-214,9874,-308,9836,-376,9782,-420,9717,-445,9646,-455,9568,-450,9485,-429,9402,-399,9326,-366,9266,-335,9170,-296,9076,-277,9004,-269,8976,-268,7727,-268,7666,-256,7616,-222,7582,-172,7570,-111,7570,26e" filled="false" stroked="true" strokeweight=".75pt" strokecolor="#b7705b">
              <v:path arrowok="t"/>
              <v:stroke dashstyle="solid"/>
            </v:shape>
            <v:shape style="position:absolute;left:7562;top:-463;width:2339;height:499" type="#_x0000_t202" filled="false" stroked="false">
              <v:textbox inset="0,0,0,0">
                <w:txbxContent>
                  <w:p>
                    <w:pPr>
                      <w:spacing w:line="240" w:lineRule="auto" w:before="3"/>
                      <w:rPr>
                        <w:sz w:val="24"/>
                      </w:rPr>
                    </w:pPr>
                  </w:p>
                  <w:p>
                    <w:pPr>
                      <w:spacing w:before="0"/>
                      <w:ind w:left="831" w:right="916" w:firstLine="0"/>
                      <w:jc w:val="center"/>
                      <w:rPr>
                        <w:rFonts w:ascii="Helvetica" w:hAnsi="Helvetica"/>
                        <w:sz w:val="16"/>
                      </w:rPr>
                    </w:pPr>
                    <w:r>
                      <w:rPr>
                        <w:rFonts w:ascii="Helvetica" w:hAnsi="Helvetica"/>
                        <w:color w:val="231F20"/>
                        <w:sz w:val="16"/>
                      </w:rPr>
                      <w:t>–70 mV</w:t>
                    </w:r>
                  </w:p>
                </w:txbxContent>
              </v:textbox>
              <w10:wrap type="none"/>
            </v:shape>
            <w10:wrap type="none"/>
          </v:group>
        </w:pict>
      </w:r>
      <w:bookmarkStart w:name="_bookmark84" w:id="85"/>
      <w:bookmarkEnd w:id="85"/>
      <w:r>
        <w:rPr/>
      </w:r>
      <w:r>
        <w:rPr>
          <w:rFonts w:ascii="Trebuchet MS" w:hAnsi="Trebuchet MS"/>
          <w:b/>
          <w:color w:val="231F20"/>
          <w:sz w:val="16"/>
        </w:rPr>
        <w:t>Figure</w:t>
      </w:r>
      <w:r>
        <w:rPr>
          <w:rFonts w:ascii="Trebuchet MS" w:hAnsi="Trebuchet MS"/>
          <w:b/>
          <w:color w:val="231F20"/>
          <w:spacing w:val="-19"/>
          <w:sz w:val="16"/>
        </w:rPr>
        <w:t> </w:t>
      </w:r>
      <w:r>
        <w:rPr>
          <w:rFonts w:ascii="Trebuchet MS" w:hAnsi="Trebuchet MS"/>
          <w:b/>
          <w:color w:val="231F20"/>
          <w:sz w:val="16"/>
        </w:rPr>
        <w:t>30-3.</w:t>
      </w:r>
      <w:r>
        <w:rPr>
          <w:rFonts w:ascii="Trebuchet MS" w:hAnsi="Trebuchet MS"/>
          <w:b/>
          <w:color w:val="231F20"/>
          <w:spacing w:val="-3"/>
          <w:sz w:val="16"/>
        </w:rPr>
        <w:t> </w:t>
      </w:r>
      <w:r>
        <w:rPr>
          <w:rFonts w:ascii="Arial" w:hAnsi="Arial"/>
          <w:color w:val="231F20"/>
          <w:sz w:val="16"/>
        </w:rPr>
        <w:t>Mechanisms</w:t>
      </w:r>
      <w:r>
        <w:rPr>
          <w:rFonts w:ascii="Arial" w:hAnsi="Arial"/>
          <w:color w:val="231F20"/>
          <w:spacing w:val="-15"/>
          <w:sz w:val="16"/>
        </w:rPr>
        <w:t> </w:t>
      </w:r>
      <w:r>
        <w:rPr>
          <w:rFonts w:ascii="Arial" w:hAnsi="Arial"/>
          <w:color w:val="231F20"/>
          <w:sz w:val="16"/>
        </w:rPr>
        <w:t>of</w:t>
      </w:r>
      <w:r>
        <w:rPr>
          <w:rFonts w:ascii="Arial" w:hAnsi="Arial"/>
          <w:color w:val="231F20"/>
          <w:spacing w:val="-14"/>
          <w:sz w:val="16"/>
        </w:rPr>
        <w:t> </w:t>
      </w:r>
      <w:r>
        <w:rPr>
          <w:rFonts w:ascii="Arial" w:hAnsi="Arial"/>
          <w:color w:val="231F20"/>
          <w:sz w:val="16"/>
        </w:rPr>
        <w:t>potassium</w:t>
      </w:r>
      <w:r>
        <w:rPr>
          <w:rFonts w:ascii="Arial" w:hAnsi="Arial"/>
          <w:color w:val="231F20"/>
          <w:spacing w:val="-15"/>
          <w:sz w:val="16"/>
        </w:rPr>
        <w:t> </w:t>
      </w:r>
      <w:r>
        <w:rPr>
          <w:rFonts w:ascii="Arial" w:hAnsi="Arial"/>
          <w:color w:val="231F20"/>
          <w:sz w:val="16"/>
        </w:rPr>
        <w:t>secretion</w:t>
      </w:r>
      <w:r>
        <w:rPr>
          <w:rFonts w:ascii="Arial" w:hAnsi="Arial"/>
          <w:color w:val="231F20"/>
          <w:spacing w:val="-15"/>
          <w:sz w:val="16"/>
        </w:rPr>
        <w:t> </w:t>
      </w:r>
      <w:r>
        <w:rPr>
          <w:rFonts w:ascii="Arial" w:hAnsi="Arial"/>
          <w:color w:val="231F20"/>
          <w:sz w:val="16"/>
        </w:rPr>
        <w:t>and</w:t>
      </w:r>
      <w:r>
        <w:rPr>
          <w:rFonts w:ascii="Arial" w:hAnsi="Arial"/>
          <w:color w:val="231F20"/>
          <w:spacing w:val="-14"/>
          <w:sz w:val="16"/>
        </w:rPr>
        <w:t> </w:t>
      </w:r>
      <w:r>
        <w:rPr>
          <w:rFonts w:ascii="Arial" w:hAnsi="Arial"/>
          <w:color w:val="231F20"/>
          <w:sz w:val="16"/>
        </w:rPr>
        <w:t>sodium</w:t>
      </w:r>
      <w:r>
        <w:rPr>
          <w:rFonts w:ascii="Arial" w:hAnsi="Arial"/>
          <w:color w:val="231F20"/>
          <w:spacing w:val="-15"/>
          <w:sz w:val="16"/>
        </w:rPr>
        <w:t> </w:t>
      </w:r>
      <w:r>
        <w:rPr>
          <w:rFonts w:ascii="Arial" w:hAnsi="Arial"/>
          <w:color w:val="231F20"/>
          <w:spacing w:val="-5"/>
          <w:sz w:val="16"/>
        </w:rPr>
        <w:t>reab­ </w:t>
      </w:r>
      <w:r>
        <w:rPr>
          <w:rFonts w:ascii="Arial" w:hAnsi="Arial"/>
          <w:color w:val="231F20"/>
          <w:sz w:val="16"/>
        </w:rPr>
        <w:t>sorption</w:t>
      </w:r>
      <w:r>
        <w:rPr>
          <w:rFonts w:ascii="Arial" w:hAnsi="Arial"/>
          <w:color w:val="231F20"/>
          <w:spacing w:val="-15"/>
          <w:sz w:val="16"/>
        </w:rPr>
        <w:t> </w:t>
      </w:r>
      <w:r>
        <w:rPr>
          <w:rFonts w:ascii="Arial" w:hAnsi="Arial"/>
          <w:color w:val="231F20"/>
          <w:sz w:val="16"/>
        </w:rPr>
        <w:t>by</w:t>
      </w:r>
      <w:r>
        <w:rPr>
          <w:rFonts w:ascii="Arial" w:hAnsi="Arial"/>
          <w:color w:val="231F20"/>
          <w:spacing w:val="-14"/>
          <w:sz w:val="16"/>
        </w:rPr>
        <w:t> </w:t>
      </w:r>
      <w:r>
        <w:rPr>
          <w:rFonts w:ascii="Arial" w:hAnsi="Arial"/>
          <w:color w:val="231F20"/>
          <w:sz w:val="16"/>
        </w:rPr>
        <w:t>the</w:t>
      </w:r>
      <w:r>
        <w:rPr>
          <w:rFonts w:ascii="Arial" w:hAnsi="Arial"/>
          <w:color w:val="231F20"/>
          <w:spacing w:val="-14"/>
          <w:sz w:val="16"/>
        </w:rPr>
        <w:t> </w:t>
      </w:r>
      <w:r>
        <w:rPr>
          <w:rFonts w:ascii="Arial" w:hAnsi="Arial"/>
          <w:color w:val="231F20"/>
          <w:sz w:val="16"/>
        </w:rPr>
        <w:t>principal</w:t>
      </w:r>
      <w:r>
        <w:rPr>
          <w:rFonts w:ascii="Arial" w:hAnsi="Arial"/>
          <w:color w:val="231F20"/>
          <w:spacing w:val="-14"/>
          <w:sz w:val="16"/>
        </w:rPr>
        <w:t> </w:t>
      </w:r>
      <w:r>
        <w:rPr>
          <w:rFonts w:ascii="Arial" w:hAnsi="Arial"/>
          <w:color w:val="231F20"/>
          <w:sz w:val="16"/>
        </w:rPr>
        <w:t>cells</w:t>
      </w:r>
      <w:r>
        <w:rPr>
          <w:rFonts w:ascii="Arial" w:hAnsi="Arial"/>
          <w:color w:val="231F20"/>
          <w:spacing w:val="-15"/>
          <w:sz w:val="16"/>
        </w:rPr>
        <w:t> </w:t>
      </w:r>
      <w:r>
        <w:rPr>
          <w:rFonts w:ascii="Arial" w:hAnsi="Arial"/>
          <w:color w:val="231F20"/>
          <w:sz w:val="16"/>
        </w:rPr>
        <w:t>of</w:t>
      </w:r>
      <w:r>
        <w:rPr>
          <w:rFonts w:ascii="Arial" w:hAnsi="Arial"/>
          <w:color w:val="231F20"/>
          <w:spacing w:val="-14"/>
          <w:sz w:val="16"/>
        </w:rPr>
        <w:t> </w:t>
      </w:r>
      <w:r>
        <w:rPr>
          <w:rFonts w:ascii="Arial" w:hAnsi="Arial"/>
          <w:color w:val="231F20"/>
          <w:sz w:val="16"/>
        </w:rPr>
        <w:t>the</w:t>
      </w:r>
      <w:r>
        <w:rPr>
          <w:rFonts w:ascii="Arial" w:hAnsi="Arial"/>
          <w:color w:val="231F20"/>
          <w:spacing w:val="-14"/>
          <w:sz w:val="16"/>
        </w:rPr>
        <w:t> </w:t>
      </w:r>
      <w:r>
        <w:rPr>
          <w:rFonts w:ascii="Arial" w:hAnsi="Arial"/>
          <w:color w:val="231F20"/>
          <w:sz w:val="16"/>
        </w:rPr>
        <w:t>late</w:t>
      </w:r>
      <w:r>
        <w:rPr>
          <w:rFonts w:ascii="Arial" w:hAnsi="Arial"/>
          <w:color w:val="231F20"/>
          <w:spacing w:val="-14"/>
          <w:sz w:val="16"/>
        </w:rPr>
        <w:t> </w:t>
      </w:r>
      <w:r>
        <w:rPr>
          <w:rFonts w:ascii="Arial" w:hAnsi="Arial"/>
          <w:color w:val="231F20"/>
          <w:sz w:val="16"/>
        </w:rPr>
        <w:t>distal</w:t>
      </w:r>
      <w:r>
        <w:rPr>
          <w:rFonts w:ascii="Arial" w:hAnsi="Arial"/>
          <w:color w:val="231F20"/>
          <w:spacing w:val="-15"/>
          <w:sz w:val="16"/>
        </w:rPr>
        <w:t> </w:t>
      </w:r>
      <w:r>
        <w:rPr>
          <w:rFonts w:ascii="Arial" w:hAnsi="Arial"/>
          <w:color w:val="231F20"/>
          <w:sz w:val="16"/>
        </w:rPr>
        <w:t>and</w:t>
      </w:r>
      <w:r>
        <w:rPr>
          <w:rFonts w:ascii="Arial" w:hAnsi="Arial"/>
          <w:color w:val="231F20"/>
          <w:spacing w:val="-14"/>
          <w:sz w:val="16"/>
        </w:rPr>
        <w:t> </w:t>
      </w:r>
      <w:r>
        <w:rPr>
          <w:rFonts w:ascii="Arial" w:hAnsi="Arial"/>
          <w:color w:val="231F20"/>
          <w:sz w:val="16"/>
        </w:rPr>
        <w:t>collecting</w:t>
      </w:r>
      <w:r>
        <w:rPr>
          <w:rFonts w:ascii="Arial" w:hAnsi="Arial"/>
          <w:color w:val="231F20"/>
          <w:spacing w:val="-14"/>
          <w:sz w:val="16"/>
        </w:rPr>
        <w:t> </w:t>
      </w:r>
      <w:r>
        <w:rPr>
          <w:rFonts w:ascii="Arial" w:hAnsi="Arial"/>
          <w:color w:val="231F20"/>
          <w:spacing w:val="-3"/>
          <w:sz w:val="16"/>
        </w:rPr>
        <w:t>tubules. </w:t>
      </w:r>
      <w:r>
        <w:rPr>
          <w:rFonts w:ascii="Arial" w:hAnsi="Arial"/>
          <w:color w:val="231F20"/>
          <w:sz w:val="16"/>
        </w:rPr>
        <w:t>BK, “big” potassium channel; ENaC, epithelial sodium </w:t>
      </w:r>
      <w:r>
        <w:rPr>
          <w:rFonts w:ascii="Arial" w:hAnsi="Arial"/>
          <w:color w:val="231F20"/>
          <w:spacing w:val="-3"/>
          <w:sz w:val="16"/>
        </w:rPr>
        <w:t>channel; </w:t>
      </w:r>
      <w:r>
        <w:rPr>
          <w:rFonts w:ascii="Arial" w:hAnsi="Arial"/>
          <w:color w:val="231F20"/>
          <w:sz w:val="16"/>
        </w:rPr>
        <w:t>ROMK, renal outer medullary potassium</w:t>
      </w:r>
      <w:r>
        <w:rPr>
          <w:rFonts w:ascii="Arial" w:hAnsi="Arial"/>
          <w:color w:val="231F20"/>
          <w:spacing w:val="15"/>
          <w:sz w:val="16"/>
        </w:rPr>
        <w:t> </w:t>
      </w:r>
      <w:r>
        <w:rPr>
          <w:rFonts w:ascii="Arial" w:hAnsi="Arial"/>
          <w:color w:val="231F20"/>
          <w:sz w:val="16"/>
        </w:rPr>
        <w:t>channel.</w:t>
      </w:r>
    </w:p>
    <w:p>
      <w:pPr>
        <w:spacing w:after="0" w:line="259" w:lineRule="auto"/>
        <w:jc w:val="both"/>
        <w:rPr>
          <w:rFonts w:ascii="Arial" w:hAnsi="Arial"/>
          <w:sz w:val="16"/>
        </w:rPr>
        <w:sectPr>
          <w:type w:val="continuous"/>
          <w:pgSz w:w="12240" w:h="15660"/>
          <w:pgMar w:top="0" w:bottom="760" w:left="0" w:right="0"/>
          <w:cols w:num="3" w:equalWidth="0">
            <w:col w:w="5420" w:space="40"/>
            <w:col w:w="315" w:space="39"/>
            <w:col w:w="6426"/>
          </w:cols>
        </w:sectPr>
      </w:pPr>
    </w:p>
    <w:p>
      <w:pPr>
        <w:spacing w:line="183" w:lineRule="exact" w:before="0"/>
        <w:ind w:left="1440" w:right="25" w:firstLine="0"/>
        <w:jc w:val="right"/>
        <w:rPr>
          <w:rFonts w:ascii="Helvetica"/>
          <w:sz w:val="16"/>
        </w:rPr>
      </w:pPr>
      <w:r>
        <w:rPr/>
        <w:pict>
          <v:group style="position:absolute;margin-left:0pt;margin-top:0pt;width:612pt;height:180pt;mso-position-horizontal-relative:page;mso-position-vertical-relative:page;z-index:-27285299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r>
        <w:rPr>
          <w:rFonts w:ascii="Helvetica"/>
          <w:color w:val="231F20"/>
          <w:sz w:val="16"/>
        </w:rPr>
        <w:t>(92 mEq/day)</w:t>
      </w:r>
    </w:p>
    <w:p>
      <w:pPr>
        <w:spacing w:line="261" w:lineRule="auto" w:before="91"/>
        <w:ind w:left="1440" w:right="0" w:firstLine="0"/>
        <w:jc w:val="both"/>
        <w:rPr>
          <w:rFonts w:ascii="Arial" w:hAnsi="Arial"/>
          <w:sz w:val="16"/>
        </w:rPr>
      </w:pPr>
      <w:bookmarkStart w:name="_bookmark85" w:id="86"/>
      <w:bookmarkEnd w:id="86"/>
      <w:r>
        <w:rPr/>
      </w:r>
      <w:r>
        <w:rPr>
          <w:rFonts w:ascii="Trebuchet MS" w:hAnsi="Trebuchet MS"/>
          <w:b/>
          <w:color w:val="231F20"/>
          <w:sz w:val="16"/>
        </w:rPr>
        <w:t>Figure 30-2. </w:t>
      </w:r>
      <w:r>
        <w:rPr>
          <w:rFonts w:ascii="Arial" w:hAnsi="Arial"/>
          <w:color w:val="231F20"/>
          <w:sz w:val="16"/>
        </w:rPr>
        <w:t>Renal tubular sites of potassium reabsorption </w:t>
      </w:r>
      <w:r>
        <w:rPr>
          <w:rFonts w:ascii="Arial" w:hAnsi="Arial"/>
          <w:color w:val="231F20"/>
          <w:spacing w:val="-6"/>
          <w:sz w:val="16"/>
        </w:rPr>
        <w:t>and </w:t>
      </w:r>
      <w:r>
        <w:rPr>
          <w:rFonts w:ascii="Arial" w:hAnsi="Arial"/>
          <w:color w:val="231F20"/>
          <w:sz w:val="16"/>
        </w:rPr>
        <w:t>secretion.</w:t>
      </w:r>
      <w:r>
        <w:rPr>
          <w:rFonts w:ascii="Arial" w:hAnsi="Arial"/>
          <w:color w:val="231F20"/>
          <w:spacing w:val="-13"/>
          <w:sz w:val="16"/>
        </w:rPr>
        <w:t> </w:t>
      </w:r>
      <w:r>
        <w:rPr>
          <w:rFonts w:ascii="Arial" w:hAnsi="Arial"/>
          <w:color w:val="231F20"/>
          <w:sz w:val="16"/>
        </w:rPr>
        <w:t>Potassium</w:t>
      </w:r>
      <w:r>
        <w:rPr>
          <w:rFonts w:ascii="Arial" w:hAnsi="Arial"/>
          <w:color w:val="231F20"/>
          <w:spacing w:val="-13"/>
          <w:sz w:val="16"/>
        </w:rPr>
        <w:t> </w:t>
      </w:r>
      <w:r>
        <w:rPr>
          <w:rFonts w:ascii="Arial" w:hAnsi="Arial"/>
          <w:color w:val="231F20"/>
          <w:sz w:val="16"/>
        </w:rPr>
        <w:t>is</w:t>
      </w:r>
      <w:r>
        <w:rPr>
          <w:rFonts w:ascii="Arial" w:hAnsi="Arial"/>
          <w:color w:val="231F20"/>
          <w:spacing w:val="-13"/>
          <w:sz w:val="16"/>
        </w:rPr>
        <w:t> </w:t>
      </w:r>
      <w:r>
        <w:rPr>
          <w:rFonts w:ascii="Arial" w:hAnsi="Arial"/>
          <w:color w:val="231F20"/>
          <w:sz w:val="16"/>
        </w:rPr>
        <w:t>reabsorbed</w:t>
      </w:r>
      <w:r>
        <w:rPr>
          <w:rFonts w:ascii="Arial" w:hAnsi="Arial"/>
          <w:color w:val="231F20"/>
          <w:spacing w:val="-13"/>
          <w:sz w:val="16"/>
        </w:rPr>
        <w:t> </w:t>
      </w:r>
      <w:r>
        <w:rPr>
          <w:rFonts w:ascii="Arial" w:hAnsi="Arial"/>
          <w:color w:val="231F20"/>
          <w:sz w:val="16"/>
        </w:rPr>
        <w:t>in</w:t>
      </w:r>
      <w:r>
        <w:rPr>
          <w:rFonts w:ascii="Arial" w:hAnsi="Arial"/>
          <w:color w:val="231F20"/>
          <w:spacing w:val="-13"/>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proximal</w:t>
      </w:r>
      <w:r>
        <w:rPr>
          <w:rFonts w:ascii="Arial" w:hAnsi="Arial"/>
          <w:color w:val="231F20"/>
          <w:spacing w:val="-13"/>
          <w:sz w:val="16"/>
        </w:rPr>
        <w:t> </w:t>
      </w:r>
      <w:r>
        <w:rPr>
          <w:rFonts w:ascii="Arial" w:hAnsi="Arial"/>
          <w:color w:val="231F20"/>
          <w:sz w:val="16"/>
        </w:rPr>
        <w:t>tubule</w:t>
      </w:r>
      <w:r>
        <w:rPr>
          <w:rFonts w:ascii="Arial" w:hAnsi="Arial"/>
          <w:color w:val="231F20"/>
          <w:spacing w:val="-13"/>
          <w:sz w:val="16"/>
        </w:rPr>
        <w:t> </w:t>
      </w:r>
      <w:r>
        <w:rPr>
          <w:rFonts w:ascii="Arial" w:hAnsi="Arial"/>
          <w:color w:val="231F20"/>
          <w:sz w:val="16"/>
        </w:rPr>
        <w:t>and</w:t>
      </w:r>
      <w:r>
        <w:rPr>
          <w:rFonts w:ascii="Arial" w:hAnsi="Arial"/>
          <w:color w:val="231F20"/>
          <w:spacing w:val="-13"/>
          <w:sz w:val="16"/>
        </w:rPr>
        <w:t> </w:t>
      </w:r>
      <w:r>
        <w:rPr>
          <w:rFonts w:ascii="Arial" w:hAnsi="Arial"/>
          <w:color w:val="231F20"/>
          <w:sz w:val="16"/>
        </w:rPr>
        <w:t>in</w:t>
      </w:r>
      <w:r>
        <w:rPr>
          <w:rFonts w:ascii="Arial" w:hAnsi="Arial"/>
          <w:color w:val="231F20"/>
          <w:spacing w:val="-13"/>
          <w:sz w:val="16"/>
        </w:rPr>
        <w:t> </w:t>
      </w:r>
      <w:r>
        <w:rPr>
          <w:rFonts w:ascii="Arial" w:hAnsi="Arial"/>
          <w:color w:val="231F20"/>
          <w:spacing w:val="-5"/>
          <w:sz w:val="16"/>
        </w:rPr>
        <w:t>the </w:t>
      </w:r>
      <w:r>
        <w:rPr>
          <w:rFonts w:ascii="Arial" w:hAnsi="Arial"/>
          <w:color w:val="231F20"/>
          <w:sz w:val="16"/>
        </w:rPr>
        <w:t>ascending</w:t>
      </w:r>
      <w:r>
        <w:rPr>
          <w:rFonts w:ascii="Arial" w:hAnsi="Arial"/>
          <w:color w:val="231F20"/>
          <w:spacing w:val="-10"/>
          <w:sz w:val="16"/>
        </w:rPr>
        <w:t> </w:t>
      </w:r>
      <w:r>
        <w:rPr>
          <w:rFonts w:ascii="Arial" w:hAnsi="Arial"/>
          <w:color w:val="231F20"/>
          <w:sz w:val="16"/>
        </w:rPr>
        <w:t>loop</w:t>
      </w:r>
      <w:r>
        <w:rPr>
          <w:rFonts w:ascii="Arial" w:hAnsi="Arial"/>
          <w:color w:val="231F20"/>
          <w:spacing w:val="-9"/>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Henle,</w:t>
      </w:r>
      <w:r>
        <w:rPr>
          <w:rFonts w:ascii="Arial" w:hAnsi="Arial"/>
          <w:color w:val="231F20"/>
          <w:spacing w:val="-9"/>
          <w:sz w:val="16"/>
        </w:rPr>
        <w:t> </w:t>
      </w:r>
      <w:r>
        <w:rPr>
          <w:rFonts w:ascii="Arial" w:hAnsi="Arial"/>
          <w:color w:val="231F20"/>
          <w:sz w:val="16"/>
        </w:rPr>
        <w:t>so</w:t>
      </w:r>
      <w:r>
        <w:rPr>
          <w:rFonts w:ascii="Arial" w:hAnsi="Arial"/>
          <w:color w:val="231F20"/>
          <w:spacing w:val="-9"/>
          <w:sz w:val="16"/>
        </w:rPr>
        <w:t> </w:t>
      </w:r>
      <w:r>
        <w:rPr>
          <w:rFonts w:ascii="Arial" w:hAnsi="Arial"/>
          <w:color w:val="231F20"/>
          <w:sz w:val="16"/>
        </w:rPr>
        <w:t>only</w:t>
      </w:r>
      <w:r>
        <w:rPr>
          <w:rFonts w:ascii="Arial" w:hAnsi="Arial"/>
          <w:color w:val="231F20"/>
          <w:spacing w:val="-10"/>
          <w:sz w:val="16"/>
        </w:rPr>
        <w:t> </w:t>
      </w:r>
      <w:r>
        <w:rPr>
          <w:rFonts w:ascii="Arial" w:hAnsi="Arial"/>
          <w:color w:val="231F20"/>
          <w:sz w:val="16"/>
        </w:rPr>
        <w:t>about</w:t>
      </w:r>
      <w:r>
        <w:rPr>
          <w:rFonts w:ascii="Arial" w:hAnsi="Arial"/>
          <w:color w:val="231F20"/>
          <w:spacing w:val="-9"/>
          <w:sz w:val="16"/>
        </w:rPr>
        <w:t> </w:t>
      </w:r>
      <w:r>
        <w:rPr>
          <w:rFonts w:ascii="Arial" w:hAnsi="Arial"/>
          <w:color w:val="231F20"/>
          <w:sz w:val="16"/>
        </w:rPr>
        <w:t>8</w:t>
      </w:r>
      <w:r>
        <w:rPr>
          <w:rFonts w:ascii="Arial" w:hAnsi="Arial"/>
          <w:color w:val="231F20"/>
          <w:spacing w:val="-10"/>
          <w:sz w:val="16"/>
        </w:rPr>
        <w:t> </w:t>
      </w:r>
      <w:r>
        <w:rPr>
          <w:rFonts w:ascii="Arial" w:hAnsi="Arial"/>
          <w:color w:val="231F20"/>
          <w:sz w:val="16"/>
        </w:rPr>
        <w:t>percent</w:t>
      </w:r>
      <w:r>
        <w:rPr>
          <w:rFonts w:ascii="Arial" w:hAnsi="Arial"/>
          <w:color w:val="231F20"/>
          <w:spacing w:val="-9"/>
          <w:sz w:val="16"/>
        </w:rPr>
        <w:t> </w:t>
      </w:r>
      <w:r>
        <w:rPr>
          <w:rFonts w:ascii="Arial" w:hAnsi="Arial"/>
          <w:color w:val="231F20"/>
          <w:sz w:val="16"/>
        </w:rPr>
        <w:t>of</w:t>
      </w:r>
      <w:r>
        <w:rPr>
          <w:rFonts w:ascii="Arial" w:hAnsi="Arial"/>
          <w:color w:val="231F20"/>
          <w:spacing w:val="-9"/>
          <w:sz w:val="16"/>
        </w:rPr>
        <w:t> </w:t>
      </w:r>
      <w:r>
        <w:rPr>
          <w:rFonts w:ascii="Arial" w:hAnsi="Arial"/>
          <w:color w:val="231F20"/>
          <w:sz w:val="16"/>
        </w:rPr>
        <w:t>the</w:t>
      </w:r>
      <w:r>
        <w:rPr>
          <w:rFonts w:ascii="Arial" w:hAnsi="Arial"/>
          <w:color w:val="231F20"/>
          <w:spacing w:val="-10"/>
          <w:sz w:val="16"/>
        </w:rPr>
        <w:t> </w:t>
      </w:r>
      <w:r>
        <w:rPr>
          <w:rFonts w:ascii="Arial" w:hAnsi="Arial"/>
          <w:color w:val="231F20"/>
          <w:sz w:val="16"/>
        </w:rPr>
        <w:t>filtered</w:t>
      </w:r>
      <w:r>
        <w:rPr>
          <w:rFonts w:ascii="Arial" w:hAnsi="Arial"/>
          <w:color w:val="231F20"/>
          <w:spacing w:val="-9"/>
          <w:sz w:val="16"/>
        </w:rPr>
        <w:t> </w:t>
      </w:r>
      <w:r>
        <w:rPr>
          <w:rFonts w:ascii="Arial" w:hAnsi="Arial"/>
          <w:color w:val="231F20"/>
          <w:sz w:val="16"/>
        </w:rPr>
        <w:t>load is</w:t>
      </w:r>
      <w:r>
        <w:rPr>
          <w:rFonts w:ascii="Arial" w:hAnsi="Arial"/>
          <w:color w:val="231F20"/>
          <w:spacing w:val="-3"/>
          <w:sz w:val="16"/>
        </w:rPr>
        <w:t> </w:t>
      </w:r>
      <w:r>
        <w:rPr>
          <w:rFonts w:ascii="Arial" w:hAnsi="Arial"/>
          <w:color w:val="231F20"/>
          <w:sz w:val="16"/>
        </w:rPr>
        <w:t>delivered</w:t>
      </w:r>
      <w:r>
        <w:rPr>
          <w:rFonts w:ascii="Arial" w:hAnsi="Arial"/>
          <w:color w:val="231F20"/>
          <w:spacing w:val="-3"/>
          <w:sz w:val="16"/>
        </w:rPr>
        <w:t> </w:t>
      </w:r>
      <w:r>
        <w:rPr>
          <w:rFonts w:ascii="Arial" w:hAnsi="Arial"/>
          <w:color w:val="231F20"/>
          <w:sz w:val="16"/>
        </w:rPr>
        <w:t>to</w:t>
      </w:r>
      <w:r>
        <w:rPr>
          <w:rFonts w:ascii="Arial" w:hAnsi="Arial"/>
          <w:color w:val="231F20"/>
          <w:spacing w:val="-3"/>
          <w:sz w:val="16"/>
        </w:rPr>
        <w:t> </w:t>
      </w:r>
      <w:r>
        <w:rPr>
          <w:rFonts w:ascii="Arial" w:hAnsi="Arial"/>
          <w:color w:val="231F20"/>
          <w:sz w:val="16"/>
        </w:rPr>
        <w:t>the</w:t>
      </w:r>
      <w:r>
        <w:rPr>
          <w:rFonts w:ascii="Arial" w:hAnsi="Arial"/>
          <w:color w:val="231F20"/>
          <w:spacing w:val="-3"/>
          <w:sz w:val="16"/>
        </w:rPr>
        <w:t> </w:t>
      </w:r>
      <w:r>
        <w:rPr>
          <w:rFonts w:ascii="Arial" w:hAnsi="Arial"/>
          <w:color w:val="231F20"/>
          <w:sz w:val="16"/>
        </w:rPr>
        <w:t>distal</w:t>
      </w:r>
      <w:r>
        <w:rPr>
          <w:rFonts w:ascii="Arial" w:hAnsi="Arial"/>
          <w:color w:val="231F20"/>
          <w:spacing w:val="-3"/>
          <w:sz w:val="16"/>
        </w:rPr>
        <w:t> </w:t>
      </w:r>
      <w:r>
        <w:rPr>
          <w:rFonts w:ascii="Arial" w:hAnsi="Arial"/>
          <w:color w:val="231F20"/>
          <w:sz w:val="16"/>
        </w:rPr>
        <w:t>tubule.</w:t>
      </w:r>
      <w:r>
        <w:rPr>
          <w:rFonts w:ascii="Arial" w:hAnsi="Arial"/>
          <w:color w:val="231F20"/>
          <w:spacing w:val="-3"/>
          <w:sz w:val="16"/>
        </w:rPr>
        <w:t> </w:t>
      </w:r>
      <w:r>
        <w:rPr>
          <w:rFonts w:ascii="Arial" w:hAnsi="Arial"/>
          <w:color w:val="231F20"/>
          <w:sz w:val="16"/>
        </w:rPr>
        <w:t>Secretion</w:t>
      </w:r>
      <w:r>
        <w:rPr>
          <w:rFonts w:ascii="Arial" w:hAnsi="Arial"/>
          <w:color w:val="231F20"/>
          <w:spacing w:val="-3"/>
          <w:sz w:val="16"/>
        </w:rPr>
        <w:t> </w:t>
      </w:r>
      <w:r>
        <w:rPr>
          <w:rFonts w:ascii="Arial" w:hAnsi="Arial"/>
          <w:color w:val="231F20"/>
          <w:sz w:val="16"/>
        </w:rPr>
        <w:t>of</w:t>
      </w:r>
      <w:r>
        <w:rPr>
          <w:rFonts w:ascii="Arial" w:hAnsi="Arial"/>
          <w:color w:val="231F20"/>
          <w:spacing w:val="-3"/>
          <w:sz w:val="16"/>
        </w:rPr>
        <w:t> </w:t>
      </w:r>
      <w:r>
        <w:rPr>
          <w:rFonts w:ascii="Arial" w:hAnsi="Arial"/>
          <w:color w:val="231F20"/>
          <w:sz w:val="16"/>
        </w:rPr>
        <w:t>potassium</w:t>
      </w:r>
      <w:r>
        <w:rPr>
          <w:rFonts w:ascii="Arial" w:hAnsi="Arial"/>
          <w:color w:val="231F20"/>
          <w:spacing w:val="-3"/>
          <w:sz w:val="16"/>
        </w:rPr>
        <w:t> </w:t>
      </w:r>
      <w:r>
        <w:rPr>
          <w:rFonts w:ascii="Arial" w:hAnsi="Arial"/>
          <w:color w:val="231F20"/>
          <w:sz w:val="16"/>
        </w:rPr>
        <w:t>by</w:t>
      </w:r>
      <w:r>
        <w:rPr>
          <w:rFonts w:ascii="Arial" w:hAnsi="Arial"/>
          <w:color w:val="231F20"/>
          <w:spacing w:val="-4"/>
          <w:sz w:val="16"/>
        </w:rPr>
        <w:t> </w:t>
      </w:r>
      <w:r>
        <w:rPr>
          <w:rFonts w:ascii="Arial" w:hAnsi="Arial"/>
          <w:color w:val="231F20"/>
          <w:sz w:val="16"/>
        </w:rPr>
        <w:t>the</w:t>
      </w:r>
      <w:r>
        <w:rPr>
          <w:rFonts w:ascii="Arial" w:hAnsi="Arial"/>
          <w:color w:val="231F20"/>
          <w:spacing w:val="-3"/>
          <w:sz w:val="16"/>
        </w:rPr>
        <w:t> prin­ </w:t>
      </w:r>
      <w:r>
        <w:rPr>
          <w:rFonts w:ascii="Arial" w:hAnsi="Arial"/>
          <w:color w:val="231F20"/>
          <w:sz w:val="16"/>
        </w:rPr>
        <w:t>cipal cells of the late distal tubules and collecting ducts adds to</w:t>
      </w:r>
      <w:r>
        <w:rPr>
          <w:rFonts w:ascii="Arial" w:hAnsi="Arial"/>
          <w:color w:val="231F20"/>
          <w:spacing w:val="-28"/>
          <w:sz w:val="16"/>
        </w:rPr>
        <w:t> </w:t>
      </w:r>
      <w:r>
        <w:rPr>
          <w:rFonts w:ascii="Arial" w:hAnsi="Arial"/>
          <w:color w:val="231F20"/>
          <w:spacing w:val="-4"/>
          <w:sz w:val="16"/>
        </w:rPr>
        <w:t>the </w:t>
      </w:r>
      <w:r>
        <w:rPr>
          <w:rFonts w:ascii="Arial" w:hAnsi="Arial"/>
          <w:color w:val="231F20"/>
          <w:sz w:val="16"/>
        </w:rPr>
        <w:t>amount delivered, but there is some additional reabsorption by </w:t>
      </w:r>
      <w:r>
        <w:rPr>
          <w:rFonts w:ascii="Arial" w:hAnsi="Arial"/>
          <w:color w:val="231F20"/>
          <w:spacing w:val="-6"/>
          <w:sz w:val="16"/>
        </w:rPr>
        <w:t>the </w:t>
      </w:r>
      <w:r>
        <w:rPr>
          <w:rFonts w:ascii="Arial" w:hAnsi="Arial"/>
          <w:color w:val="231F20"/>
          <w:sz w:val="16"/>
        </w:rPr>
        <w:t>intercalated cells; therefore, the daily excretion is about 12</w:t>
      </w:r>
      <w:r>
        <w:rPr>
          <w:rFonts w:ascii="Arial" w:hAnsi="Arial"/>
          <w:color w:val="231F20"/>
          <w:spacing w:val="-18"/>
          <w:sz w:val="16"/>
        </w:rPr>
        <w:t> </w:t>
      </w:r>
      <w:r>
        <w:rPr>
          <w:rFonts w:ascii="Arial" w:hAnsi="Arial"/>
          <w:color w:val="231F20"/>
          <w:spacing w:val="-3"/>
          <w:sz w:val="16"/>
        </w:rPr>
        <w:t>percent </w:t>
      </w:r>
      <w:r>
        <w:rPr>
          <w:rFonts w:ascii="Arial" w:hAnsi="Arial"/>
          <w:color w:val="231F20"/>
          <w:sz w:val="16"/>
        </w:rPr>
        <w:t>of the potassium filtered at the glomerular capillaries. The </w:t>
      </w:r>
      <w:r>
        <w:rPr>
          <w:rFonts w:ascii="Arial" w:hAnsi="Arial"/>
          <w:color w:val="231F20"/>
          <w:spacing w:val="-3"/>
          <w:sz w:val="16"/>
        </w:rPr>
        <w:t>percent­ </w:t>
      </w:r>
      <w:r>
        <w:rPr>
          <w:rFonts w:ascii="Arial" w:hAnsi="Arial"/>
          <w:color w:val="231F20"/>
          <w:sz w:val="16"/>
        </w:rPr>
        <w:t>ages</w:t>
      </w:r>
      <w:r>
        <w:rPr>
          <w:rFonts w:ascii="Arial" w:hAnsi="Arial"/>
          <w:color w:val="231F20"/>
          <w:spacing w:val="-19"/>
          <w:sz w:val="16"/>
        </w:rPr>
        <w:t> </w:t>
      </w:r>
      <w:r>
        <w:rPr>
          <w:rFonts w:ascii="Arial" w:hAnsi="Arial"/>
          <w:color w:val="231F20"/>
          <w:sz w:val="16"/>
        </w:rPr>
        <w:t>indicate</w:t>
      </w:r>
      <w:r>
        <w:rPr>
          <w:rFonts w:ascii="Arial" w:hAnsi="Arial"/>
          <w:color w:val="231F20"/>
          <w:spacing w:val="-18"/>
          <w:sz w:val="16"/>
        </w:rPr>
        <w:t> </w:t>
      </w:r>
      <w:r>
        <w:rPr>
          <w:rFonts w:ascii="Arial" w:hAnsi="Arial"/>
          <w:color w:val="231F20"/>
          <w:sz w:val="16"/>
        </w:rPr>
        <w:t>how</w:t>
      </w:r>
      <w:r>
        <w:rPr>
          <w:rFonts w:ascii="Arial" w:hAnsi="Arial"/>
          <w:color w:val="231F20"/>
          <w:spacing w:val="-18"/>
          <w:sz w:val="16"/>
        </w:rPr>
        <w:t> </w:t>
      </w:r>
      <w:r>
        <w:rPr>
          <w:rFonts w:ascii="Arial" w:hAnsi="Arial"/>
          <w:color w:val="231F20"/>
          <w:sz w:val="16"/>
        </w:rPr>
        <w:t>much</w:t>
      </w:r>
      <w:r>
        <w:rPr>
          <w:rFonts w:ascii="Arial" w:hAnsi="Arial"/>
          <w:color w:val="231F20"/>
          <w:spacing w:val="-18"/>
          <w:sz w:val="16"/>
        </w:rPr>
        <w:t> </w:t>
      </w:r>
      <w:r>
        <w:rPr>
          <w:rFonts w:ascii="Arial" w:hAnsi="Arial"/>
          <w:color w:val="231F20"/>
          <w:sz w:val="16"/>
        </w:rPr>
        <w:t>of</w:t>
      </w:r>
      <w:r>
        <w:rPr>
          <w:rFonts w:ascii="Arial" w:hAnsi="Arial"/>
          <w:color w:val="231F20"/>
          <w:spacing w:val="-18"/>
          <w:sz w:val="16"/>
        </w:rPr>
        <w:t> </w:t>
      </w:r>
      <w:r>
        <w:rPr>
          <w:rFonts w:ascii="Arial" w:hAnsi="Arial"/>
          <w:color w:val="231F20"/>
          <w:sz w:val="16"/>
        </w:rPr>
        <w:t>the</w:t>
      </w:r>
      <w:r>
        <w:rPr>
          <w:rFonts w:ascii="Arial" w:hAnsi="Arial"/>
          <w:color w:val="231F20"/>
          <w:spacing w:val="-19"/>
          <w:sz w:val="16"/>
        </w:rPr>
        <w:t> </w:t>
      </w:r>
      <w:r>
        <w:rPr>
          <w:rFonts w:ascii="Arial" w:hAnsi="Arial"/>
          <w:color w:val="231F20"/>
          <w:sz w:val="16"/>
        </w:rPr>
        <w:t>filtered</w:t>
      </w:r>
      <w:r>
        <w:rPr>
          <w:rFonts w:ascii="Arial" w:hAnsi="Arial"/>
          <w:color w:val="231F20"/>
          <w:spacing w:val="-18"/>
          <w:sz w:val="16"/>
        </w:rPr>
        <w:t> </w:t>
      </w:r>
      <w:r>
        <w:rPr>
          <w:rFonts w:ascii="Arial" w:hAnsi="Arial"/>
          <w:color w:val="231F20"/>
          <w:sz w:val="16"/>
        </w:rPr>
        <w:t>load</w:t>
      </w:r>
      <w:r>
        <w:rPr>
          <w:rFonts w:ascii="Arial" w:hAnsi="Arial"/>
          <w:color w:val="231F20"/>
          <w:spacing w:val="-18"/>
          <w:sz w:val="16"/>
        </w:rPr>
        <w:t> </w:t>
      </w:r>
      <w:r>
        <w:rPr>
          <w:rFonts w:ascii="Arial" w:hAnsi="Arial"/>
          <w:color w:val="231F20"/>
          <w:sz w:val="16"/>
        </w:rPr>
        <w:t>is</w:t>
      </w:r>
      <w:r>
        <w:rPr>
          <w:rFonts w:ascii="Arial" w:hAnsi="Arial"/>
          <w:color w:val="231F20"/>
          <w:spacing w:val="-18"/>
          <w:sz w:val="16"/>
        </w:rPr>
        <w:t> </w:t>
      </w:r>
      <w:r>
        <w:rPr>
          <w:rFonts w:ascii="Arial" w:hAnsi="Arial"/>
          <w:color w:val="231F20"/>
          <w:sz w:val="16"/>
        </w:rPr>
        <w:t>reabsorbed</w:t>
      </w:r>
      <w:r>
        <w:rPr>
          <w:rFonts w:ascii="Arial" w:hAnsi="Arial"/>
          <w:color w:val="231F20"/>
          <w:spacing w:val="-18"/>
          <w:sz w:val="16"/>
        </w:rPr>
        <w:t> </w:t>
      </w:r>
      <w:r>
        <w:rPr>
          <w:rFonts w:ascii="Arial" w:hAnsi="Arial"/>
          <w:color w:val="231F20"/>
          <w:sz w:val="16"/>
        </w:rPr>
        <w:t>or</w:t>
      </w:r>
      <w:r>
        <w:rPr>
          <w:rFonts w:ascii="Arial" w:hAnsi="Arial"/>
          <w:color w:val="231F20"/>
          <w:spacing w:val="-18"/>
          <w:sz w:val="16"/>
        </w:rPr>
        <w:t> </w:t>
      </w:r>
      <w:r>
        <w:rPr>
          <w:rFonts w:ascii="Arial" w:hAnsi="Arial"/>
          <w:color w:val="231F20"/>
          <w:spacing w:val="-3"/>
          <w:sz w:val="16"/>
        </w:rPr>
        <w:t>secreted </w:t>
      </w:r>
      <w:r>
        <w:rPr>
          <w:rFonts w:ascii="Arial" w:hAnsi="Arial"/>
          <w:color w:val="231F20"/>
          <w:sz w:val="16"/>
        </w:rPr>
        <w:t>into the different tubular</w:t>
      </w:r>
      <w:r>
        <w:rPr>
          <w:rFonts w:ascii="Arial" w:hAnsi="Arial"/>
          <w:color w:val="231F20"/>
          <w:spacing w:val="29"/>
          <w:sz w:val="16"/>
        </w:rPr>
        <w:t> </w:t>
      </w:r>
      <w:r>
        <w:rPr>
          <w:rFonts w:ascii="Arial" w:hAnsi="Arial"/>
          <w:color w:val="231F20"/>
          <w:sz w:val="16"/>
        </w:rPr>
        <w:t>segments.</w:t>
      </w:r>
    </w:p>
    <w:p>
      <w:pPr>
        <w:pStyle w:val="BodyText"/>
        <w:spacing w:before="3"/>
        <w:rPr>
          <w:rFonts w:ascii="Arial"/>
          <w:sz w:val="25"/>
        </w:rPr>
      </w:pPr>
    </w:p>
    <w:p>
      <w:pPr>
        <w:pStyle w:val="BodyText"/>
        <w:spacing w:line="249" w:lineRule="auto"/>
        <w:ind w:left="1440"/>
        <w:jc w:val="both"/>
      </w:pPr>
      <w:r>
        <w:rPr>
          <w:color w:val="231F20"/>
          <w:w w:val="105"/>
        </w:rPr>
        <w:t>reabsorption in the proximal tubule or loop of </w:t>
      </w:r>
      <w:r>
        <w:rPr>
          <w:color w:val="231F20"/>
          <w:spacing w:val="-4"/>
          <w:w w:val="105"/>
        </w:rPr>
        <w:t>Henle. </w:t>
      </w:r>
      <w:r>
        <w:rPr>
          <w:color w:val="231F20"/>
          <w:w w:val="105"/>
        </w:rPr>
        <w:t>There</w:t>
      </w:r>
      <w:r>
        <w:rPr>
          <w:color w:val="231F20"/>
          <w:spacing w:val="-14"/>
          <w:w w:val="105"/>
        </w:rPr>
        <w:t> </w:t>
      </w:r>
      <w:r>
        <w:rPr>
          <w:color w:val="231F20"/>
          <w:w w:val="105"/>
        </w:rPr>
        <w:t>is</w:t>
      </w:r>
      <w:r>
        <w:rPr>
          <w:color w:val="231F20"/>
          <w:spacing w:val="-14"/>
          <w:w w:val="105"/>
        </w:rPr>
        <w:t> </w:t>
      </w:r>
      <w:r>
        <w:rPr>
          <w:color w:val="231F20"/>
          <w:w w:val="105"/>
        </w:rPr>
        <w:t>also</w:t>
      </w:r>
      <w:r>
        <w:rPr>
          <w:color w:val="231F20"/>
          <w:spacing w:val="-14"/>
          <w:w w:val="105"/>
        </w:rPr>
        <w:t> </w:t>
      </w:r>
      <w:r>
        <w:rPr>
          <w:color w:val="231F20"/>
          <w:w w:val="105"/>
        </w:rPr>
        <w:t>some</w:t>
      </w:r>
      <w:r>
        <w:rPr>
          <w:color w:val="231F20"/>
          <w:spacing w:val="-14"/>
          <w:w w:val="105"/>
        </w:rPr>
        <w:t> </w:t>
      </w:r>
      <w:r>
        <w:rPr>
          <w:color w:val="231F20"/>
          <w:w w:val="105"/>
        </w:rPr>
        <w:t>potassium</w:t>
      </w:r>
      <w:r>
        <w:rPr>
          <w:color w:val="231F20"/>
          <w:spacing w:val="-14"/>
          <w:w w:val="105"/>
        </w:rPr>
        <w:t> </w:t>
      </w:r>
      <w:r>
        <w:rPr>
          <w:color w:val="231F20"/>
          <w:w w:val="105"/>
        </w:rPr>
        <w:t>reabsorption</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collect- ing tubules and collecting ducts; the amount</w:t>
      </w:r>
      <w:r>
        <w:rPr>
          <w:color w:val="231F20"/>
          <w:spacing w:val="-12"/>
          <w:w w:val="105"/>
        </w:rPr>
        <w:t> </w:t>
      </w:r>
      <w:r>
        <w:rPr>
          <w:color w:val="231F20"/>
          <w:w w:val="105"/>
        </w:rPr>
        <w:t>reabsorbed in these parts of the nephron varies depending on </w:t>
      </w:r>
      <w:r>
        <w:rPr>
          <w:color w:val="231F20"/>
          <w:spacing w:val="-6"/>
          <w:w w:val="105"/>
        </w:rPr>
        <w:t>the </w:t>
      </w:r>
      <w:r>
        <w:rPr>
          <w:color w:val="231F20"/>
          <w:w w:val="105"/>
        </w:rPr>
        <w:t>potassium</w:t>
      </w:r>
      <w:r>
        <w:rPr>
          <w:color w:val="231F20"/>
          <w:spacing w:val="3"/>
          <w:w w:val="105"/>
        </w:rPr>
        <w:t> </w:t>
      </w:r>
      <w:r>
        <w:rPr>
          <w:color w:val="231F20"/>
          <w:w w:val="105"/>
        </w:rPr>
        <w:t>intake.</w:t>
      </w:r>
    </w:p>
    <w:p>
      <w:pPr>
        <w:pStyle w:val="BodyText"/>
        <w:spacing w:before="10"/>
        <w:rPr>
          <w:sz w:val="21"/>
        </w:rPr>
      </w:pPr>
    </w:p>
    <w:p>
      <w:pPr>
        <w:pStyle w:val="BodyText"/>
        <w:spacing w:line="252" w:lineRule="auto" w:before="1"/>
        <w:ind w:left="1440"/>
        <w:jc w:val="both"/>
      </w:pPr>
      <w:r>
        <w:rPr>
          <w:rFonts w:ascii="Trebuchet MS"/>
          <w:b/>
          <w:color w:val="231F20"/>
          <w:w w:val="105"/>
          <w:sz w:val="19"/>
        </w:rPr>
        <w:t>Daily</w:t>
      </w:r>
      <w:r>
        <w:rPr>
          <w:rFonts w:ascii="Trebuchet MS"/>
          <w:b/>
          <w:color w:val="231F20"/>
          <w:spacing w:val="-12"/>
          <w:w w:val="105"/>
          <w:sz w:val="19"/>
        </w:rPr>
        <w:t> </w:t>
      </w:r>
      <w:r>
        <w:rPr>
          <w:rFonts w:ascii="Trebuchet MS"/>
          <w:b/>
          <w:color w:val="231F20"/>
          <w:w w:val="105"/>
          <w:sz w:val="19"/>
        </w:rPr>
        <w:t>Variations</w:t>
      </w:r>
      <w:r>
        <w:rPr>
          <w:rFonts w:ascii="Trebuchet MS"/>
          <w:b/>
          <w:color w:val="231F20"/>
          <w:spacing w:val="-11"/>
          <w:w w:val="105"/>
          <w:sz w:val="19"/>
        </w:rPr>
        <w:t> </w:t>
      </w:r>
      <w:r>
        <w:rPr>
          <w:rFonts w:ascii="Trebuchet MS"/>
          <w:b/>
          <w:color w:val="231F20"/>
          <w:w w:val="105"/>
          <w:sz w:val="19"/>
        </w:rPr>
        <w:t>in</w:t>
      </w:r>
      <w:r>
        <w:rPr>
          <w:rFonts w:ascii="Trebuchet MS"/>
          <w:b/>
          <w:color w:val="231F20"/>
          <w:spacing w:val="-11"/>
          <w:w w:val="105"/>
          <w:sz w:val="19"/>
        </w:rPr>
        <w:t> </w:t>
      </w:r>
      <w:r>
        <w:rPr>
          <w:rFonts w:ascii="Trebuchet MS"/>
          <w:b/>
          <w:color w:val="231F20"/>
          <w:w w:val="105"/>
          <w:sz w:val="19"/>
        </w:rPr>
        <w:t>Potassium</w:t>
      </w:r>
      <w:r>
        <w:rPr>
          <w:rFonts w:ascii="Trebuchet MS"/>
          <w:b/>
          <w:color w:val="231F20"/>
          <w:spacing w:val="-11"/>
          <w:w w:val="105"/>
          <w:sz w:val="19"/>
        </w:rPr>
        <w:t> </w:t>
      </w:r>
      <w:r>
        <w:rPr>
          <w:rFonts w:ascii="Trebuchet MS"/>
          <w:b/>
          <w:color w:val="231F20"/>
          <w:w w:val="105"/>
          <w:sz w:val="19"/>
        </w:rPr>
        <w:t>Excretion</w:t>
      </w:r>
      <w:r>
        <w:rPr>
          <w:rFonts w:ascii="Trebuchet MS"/>
          <w:b/>
          <w:color w:val="231F20"/>
          <w:spacing w:val="-12"/>
          <w:w w:val="105"/>
          <w:sz w:val="19"/>
        </w:rPr>
        <w:t> </w:t>
      </w:r>
      <w:r>
        <w:rPr>
          <w:rFonts w:ascii="Trebuchet MS"/>
          <w:b/>
          <w:color w:val="231F20"/>
          <w:w w:val="105"/>
          <w:sz w:val="19"/>
        </w:rPr>
        <w:t>Are</w:t>
      </w:r>
      <w:r>
        <w:rPr>
          <w:rFonts w:ascii="Trebuchet MS"/>
          <w:b/>
          <w:color w:val="231F20"/>
          <w:spacing w:val="-11"/>
          <w:w w:val="105"/>
          <w:sz w:val="19"/>
        </w:rPr>
        <w:t> </w:t>
      </w:r>
      <w:r>
        <w:rPr>
          <w:rFonts w:ascii="Trebuchet MS"/>
          <w:b/>
          <w:color w:val="231F20"/>
          <w:spacing w:val="-3"/>
          <w:w w:val="105"/>
          <w:sz w:val="19"/>
        </w:rPr>
        <w:t>Caused </w:t>
      </w:r>
      <w:r>
        <w:rPr>
          <w:rFonts w:ascii="Trebuchet MS"/>
          <w:b/>
          <w:color w:val="231F20"/>
          <w:w w:val="105"/>
          <w:sz w:val="19"/>
        </w:rPr>
        <w:t>Mainly by Changes in Potassium Secretion in</w:t>
      </w:r>
      <w:r>
        <w:rPr>
          <w:rFonts w:ascii="Trebuchet MS"/>
          <w:b/>
          <w:color w:val="231F20"/>
          <w:spacing w:val="-20"/>
          <w:w w:val="105"/>
          <w:sz w:val="19"/>
        </w:rPr>
        <w:t> </w:t>
      </w:r>
      <w:r>
        <w:rPr>
          <w:rFonts w:ascii="Trebuchet MS"/>
          <w:b/>
          <w:color w:val="231F20"/>
          <w:spacing w:val="-3"/>
          <w:w w:val="105"/>
          <w:sz w:val="19"/>
        </w:rPr>
        <w:t>Distal </w:t>
      </w:r>
      <w:r>
        <w:rPr>
          <w:rFonts w:ascii="Trebuchet MS"/>
          <w:b/>
          <w:color w:val="231F20"/>
          <w:w w:val="105"/>
          <w:sz w:val="19"/>
        </w:rPr>
        <w:t>and Collecting </w:t>
      </w:r>
      <w:r>
        <w:rPr>
          <w:rFonts w:ascii="Trebuchet MS"/>
          <w:b/>
          <w:color w:val="231F20"/>
          <w:spacing w:val="-3"/>
          <w:w w:val="105"/>
          <w:sz w:val="19"/>
        </w:rPr>
        <w:t>Tubules. </w:t>
      </w:r>
      <w:r>
        <w:rPr>
          <w:color w:val="231F20"/>
          <w:w w:val="105"/>
        </w:rPr>
        <w:t>The most important sites </w:t>
      </w:r>
      <w:r>
        <w:rPr>
          <w:color w:val="231F20"/>
          <w:spacing w:val="-5"/>
          <w:w w:val="105"/>
        </w:rPr>
        <w:t>for </w:t>
      </w:r>
      <w:r>
        <w:rPr>
          <w:color w:val="231F20"/>
          <w:w w:val="105"/>
        </w:rPr>
        <w:t>regulating potassium excretion are the principal cells  of the late distal tubules and cortical collecting tubules. In these tubular segments, potassium can at times be reabsorbed or at other times  be  secreted,</w:t>
      </w:r>
      <w:r>
        <w:rPr>
          <w:color w:val="231F20"/>
          <w:spacing w:val="37"/>
          <w:w w:val="105"/>
        </w:rPr>
        <w:t> </w:t>
      </w:r>
      <w:r>
        <w:rPr>
          <w:color w:val="231F20"/>
          <w:w w:val="105"/>
        </w:rPr>
        <w:t>depending on the needs of the body. </w:t>
      </w:r>
      <w:r>
        <w:rPr>
          <w:color w:val="231F20"/>
          <w:spacing w:val="-3"/>
          <w:w w:val="105"/>
        </w:rPr>
        <w:t>With </w:t>
      </w:r>
      <w:r>
        <w:rPr>
          <w:color w:val="231F20"/>
          <w:w w:val="105"/>
        </w:rPr>
        <w:t>a normal potassium intake of 100 mEq/day, the kidneys must excrete </w:t>
      </w:r>
      <w:r>
        <w:rPr>
          <w:color w:val="231F20"/>
          <w:spacing w:val="-3"/>
          <w:w w:val="105"/>
        </w:rPr>
        <w:t>about </w:t>
      </w:r>
      <w:r>
        <w:rPr>
          <w:color w:val="231F20"/>
          <w:w w:val="105"/>
        </w:rPr>
        <w:t>92 mEq/day (the remaining 8 mEq are lost in the</w:t>
      </w:r>
      <w:r>
        <w:rPr>
          <w:color w:val="231F20"/>
          <w:spacing w:val="-34"/>
          <w:w w:val="105"/>
        </w:rPr>
        <w:t> </w:t>
      </w:r>
      <w:r>
        <w:rPr>
          <w:color w:val="231F20"/>
          <w:w w:val="105"/>
        </w:rPr>
        <w:t>feces). About 60 mEq/day of potassium are secreted into the distal and collecting tubules, accounting for most of </w:t>
      </w:r>
      <w:r>
        <w:rPr>
          <w:color w:val="231F20"/>
          <w:spacing w:val="-6"/>
          <w:w w:val="105"/>
        </w:rPr>
        <w:t>the </w:t>
      </w:r>
      <w:r>
        <w:rPr>
          <w:color w:val="231F20"/>
          <w:w w:val="105"/>
        </w:rPr>
        <w:t>excreted</w:t>
      </w:r>
      <w:r>
        <w:rPr>
          <w:color w:val="231F20"/>
          <w:spacing w:val="2"/>
          <w:w w:val="105"/>
        </w:rPr>
        <w:t> </w:t>
      </w:r>
      <w:r>
        <w:rPr>
          <w:color w:val="231F20"/>
          <w:w w:val="105"/>
        </w:rPr>
        <w:t>potassium.</w:t>
      </w:r>
    </w:p>
    <w:p>
      <w:pPr>
        <w:pStyle w:val="BodyText"/>
        <w:spacing w:line="249" w:lineRule="auto"/>
        <w:ind w:left="1440" w:firstLine="240"/>
        <w:jc w:val="both"/>
      </w:pPr>
      <w:r>
        <w:rPr>
          <w:color w:val="231F20"/>
          <w:spacing w:val="-3"/>
          <w:w w:val="105"/>
        </w:rPr>
        <w:t>With </w:t>
      </w:r>
      <w:r>
        <w:rPr>
          <w:color w:val="231F20"/>
          <w:w w:val="105"/>
        </w:rPr>
        <w:t>high potassium intakes, the required extra excretion of potassium is achieved almost entirely </w:t>
      </w:r>
      <w:r>
        <w:rPr>
          <w:color w:val="231F20"/>
          <w:spacing w:val="-6"/>
          <w:w w:val="105"/>
        </w:rPr>
        <w:t>by </w:t>
      </w:r>
      <w:r>
        <w:rPr>
          <w:color w:val="231F20"/>
          <w:w w:val="105"/>
        </w:rPr>
        <w:t>increasing the secretion of potassium into the distal </w:t>
      </w:r>
      <w:r>
        <w:rPr>
          <w:color w:val="231F20"/>
          <w:spacing w:val="-4"/>
          <w:w w:val="105"/>
        </w:rPr>
        <w:t>and </w:t>
      </w:r>
      <w:r>
        <w:rPr>
          <w:color w:val="231F20"/>
          <w:w w:val="105"/>
        </w:rPr>
        <w:t>collecting tubules. In fact, in persons who </w:t>
      </w:r>
      <w:r>
        <w:rPr>
          <w:color w:val="231F20"/>
          <w:spacing w:val="-4"/>
          <w:w w:val="105"/>
        </w:rPr>
        <w:t>consume </w:t>
      </w:r>
      <w:r>
        <w:rPr>
          <w:color w:val="231F20"/>
          <w:w w:val="105"/>
        </w:rPr>
        <w:t>extremely high potassium diets, the rate of potassium excretion can exceed the amount of potassium in the glomerular</w:t>
      </w:r>
      <w:r>
        <w:rPr>
          <w:color w:val="231F20"/>
          <w:spacing w:val="-10"/>
          <w:w w:val="105"/>
        </w:rPr>
        <w:t> </w:t>
      </w:r>
      <w:r>
        <w:rPr>
          <w:color w:val="231F20"/>
          <w:w w:val="105"/>
        </w:rPr>
        <w:t>filtrate,</w:t>
      </w:r>
      <w:r>
        <w:rPr>
          <w:color w:val="231F20"/>
          <w:spacing w:val="-9"/>
          <w:w w:val="105"/>
        </w:rPr>
        <w:t> </w:t>
      </w:r>
      <w:r>
        <w:rPr>
          <w:color w:val="231F20"/>
          <w:w w:val="105"/>
        </w:rPr>
        <w:t>indicating</w:t>
      </w:r>
      <w:r>
        <w:rPr>
          <w:color w:val="231F20"/>
          <w:spacing w:val="-10"/>
          <w:w w:val="105"/>
        </w:rPr>
        <w:t> </w:t>
      </w:r>
      <w:r>
        <w:rPr>
          <w:color w:val="231F20"/>
          <w:w w:val="105"/>
        </w:rPr>
        <w:t>a</w:t>
      </w:r>
      <w:r>
        <w:rPr>
          <w:color w:val="231F20"/>
          <w:spacing w:val="-9"/>
          <w:w w:val="105"/>
        </w:rPr>
        <w:t> </w:t>
      </w:r>
      <w:r>
        <w:rPr>
          <w:color w:val="231F20"/>
          <w:w w:val="105"/>
        </w:rPr>
        <w:t>powerful</w:t>
      </w:r>
      <w:r>
        <w:rPr>
          <w:color w:val="231F20"/>
          <w:spacing w:val="-9"/>
          <w:w w:val="105"/>
        </w:rPr>
        <w:t> </w:t>
      </w:r>
      <w:r>
        <w:rPr>
          <w:color w:val="231F20"/>
          <w:w w:val="105"/>
        </w:rPr>
        <w:t>mechanism</w:t>
      </w:r>
      <w:r>
        <w:rPr>
          <w:color w:val="231F20"/>
          <w:spacing w:val="-10"/>
          <w:w w:val="105"/>
        </w:rPr>
        <w:t> </w:t>
      </w:r>
      <w:r>
        <w:rPr>
          <w:color w:val="231F20"/>
          <w:spacing w:val="-6"/>
          <w:w w:val="105"/>
        </w:rPr>
        <w:t>for </w:t>
      </w:r>
      <w:r>
        <w:rPr>
          <w:color w:val="231F20"/>
          <w:w w:val="105"/>
        </w:rPr>
        <w:t>secreting</w:t>
      </w:r>
      <w:r>
        <w:rPr>
          <w:color w:val="231F20"/>
          <w:spacing w:val="2"/>
          <w:w w:val="105"/>
        </w:rPr>
        <w:t> </w:t>
      </w:r>
      <w:r>
        <w:rPr>
          <w:color w:val="231F20"/>
          <w:w w:val="105"/>
        </w:rPr>
        <w:t>potassium.</w:t>
      </w:r>
    </w:p>
    <w:p>
      <w:pPr>
        <w:pStyle w:val="BodyText"/>
        <w:spacing w:line="249" w:lineRule="auto" w:before="171"/>
        <w:ind w:left="319" w:right="1077" w:firstLine="240"/>
        <w:jc w:val="both"/>
      </w:pPr>
      <w:r>
        <w:rPr/>
        <w:br w:type="column"/>
      </w:r>
      <w:r>
        <w:rPr>
          <w:color w:val="231F20"/>
          <w:w w:val="105"/>
        </w:rPr>
        <w:t>When</w:t>
      </w:r>
      <w:r>
        <w:rPr>
          <w:color w:val="231F20"/>
          <w:spacing w:val="-13"/>
          <w:w w:val="105"/>
        </w:rPr>
        <w:t> </w:t>
      </w:r>
      <w:r>
        <w:rPr>
          <w:color w:val="231F20"/>
          <w:w w:val="105"/>
        </w:rPr>
        <w:t>potassium</w:t>
      </w:r>
      <w:r>
        <w:rPr>
          <w:color w:val="231F20"/>
          <w:spacing w:val="-12"/>
          <w:w w:val="105"/>
        </w:rPr>
        <w:t> </w:t>
      </w:r>
      <w:r>
        <w:rPr>
          <w:color w:val="231F20"/>
          <w:w w:val="105"/>
        </w:rPr>
        <w:t>intake</w:t>
      </w:r>
      <w:r>
        <w:rPr>
          <w:color w:val="231F20"/>
          <w:spacing w:val="-12"/>
          <w:w w:val="105"/>
        </w:rPr>
        <w:t> </w:t>
      </w:r>
      <w:r>
        <w:rPr>
          <w:color w:val="231F20"/>
          <w:w w:val="105"/>
        </w:rPr>
        <w:t>is</w:t>
      </w:r>
      <w:r>
        <w:rPr>
          <w:color w:val="231F20"/>
          <w:spacing w:val="-13"/>
          <w:w w:val="105"/>
        </w:rPr>
        <w:t> </w:t>
      </w:r>
      <w:r>
        <w:rPr>
          <w:color w:val="231F20"/>
          <w:spacing w:val="-3"/>
          <w:w w:val="105"/>
        </w:rPr>
        <w:t>low,</w:t>
      </w:r>
      <w:r>
        <w:rPr>
          <w:color w:val="231F20"/>
          <w:spacing w:val="-12"/>
          <w:w w:val="105"/>
        </w:rPr>
        <w:t> </w:t>
      </w:r>
      <w:r>
        <w:rPr>
          <w:color w:val="231F20"/>
          <w:w w:val="105"/>
        </w:rPr>
        <w:t>secretion</w:t>
      </w:r>
      <w:r>
        <w:rPr>
          <w:color w:val="231F20"/>
          <w:spacing w:val="-12"/>
          <w:w w:val="105"/>
        </w:rPr>
        <w:t> </w:t>
      </w:r>
      <w:r>
        <w:rPr>
          <w:color w:val="231F20"/>
          <w:w w:val="105"/>
        </w:rPr>
        <w:t>of</w:t>
      </w:r>
      <w:r>
        <w:rPr>
          <w:color w:val="231F20"/>
          <w:spacing w:val="-13"/>
          <w:w w:val="105"/>
        </w:rPr>
        <w:t> </w:t>
      </w:r>
      <w:r>
        <w:rPr>
          <w:color w:val="231F20"/>
          <w:w w:val="105"/>
        </w:rPr>
        <w:t>potassium in the distal and collecting tubules decreases, causing </w:t>
      </w:r>
      <w:r>
        <w:rPr>
          <w:color w:val="231F20"/>
          <w:spacing w:val="-11"/>
          <w:w w:val="105"/>
        </w:rPr>
        <w:t>a </w:t>
      </w:r>
      <w:r>
        <w:rPr>
          <w:color w:val="231F20"/>
          <w:w w:val="105"/>
        </w:rPr>
        <w:t>reduction in urinary potassium excretion. There is also increased reabsorption of potassium by the intercalated cells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distal</w:t>
      </w:r>
      <w:r>
        <w:rPr>
          <w:color w:val="231F20"/>
          <w:spacing w:val="-18"/>
          <w:w w:val="105"/>
        </w:rPr>
        <w:t> </w:t>
      </w:r>
      <w:r>
        <w:rPr>
          <w:color w:val="231F20"/>
          <w:w w:val="105"/>
        </w:rPr>
        <w:t>segments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nephron,</w:t>
      </w:r>
      <w:r>
        <w:rPr>
          <w:color w:val="231F20"/>
          <w:spacing w:val="-18"/>
          <w:w w:val="105"/>
        </w:rPr>
        <w:t> </w:t>
      </w:r>
      <w:r>
        <w:rPr>
          <w:color w:val="231F20"/>
          <w:w w:val="105"/>
        </w:rPr>
        <w:t>and</w:t>
      </w:r>
      <w:r>
        <w:rPr>
          <w:color w:val="231F20"/>
          <w:spacing w:val="-19"/>
          <w:w w:val="105"/>
        </w:rPr>
        <w:t> </w:t>
      </w:r>
      <w:r>
        <w:rPr>
          <w:color w:val="231F20"/>
          <w:w w:val="105"/>
        </w:rPr>
        <w:t>potassium excretion</w:t>
      </w:r>
      <w:r>
        <w:rPr>
          <w:color w:val="231F20"/>
          <w:spacing w:val="-6"/>
          <w:w w:val="105"/>
        </w:rPr>
        <w:t> </w:t>
      </w:r>
      <w:r>
        <w:rPr>
          <w:color w:val="231F20"/>
          <w:w w:val="105"/>
        </w:rPr>
        <w:t>can</w:t>
      </w:r>
      <w:r>
        <w:rPr>
          <w:color w:val="231F20"/>
          <w:spacing w:val="-5"/>
          <w:w w:val="105"/>
        </w:rPr>
        <w:t> </w:t>
      </w:r>
      <w:r>
        <w:rPr>
          <w:color w:val="231F20"/>
          <w:w w:val="105"/>
        </w:rPr>
        <w:t>fall</w:t>
      </w:r>
      <w:r>
        <w:rPr>
          <w:color w:val="231F20"/>
          <w:spacing w:val="-5"/>
          <w:w w:val="105"/>
        </w:rPr>
        <w:t> </w:t>
      </w:r>
      <w:r>
        <w:rPr>
          <w:color w:val="231F20"/>
          <w:w w:val="105"/>
        </w:rPr>
        <w:t>to</w:t>
      </w:r>
      <w:r>
        <w:rPr>
          <w:color w:val="231F20"/>
          <w:spacing w:val="-6"/>
          <w:w w:val="105"/>
        </w:rPr>
        <w:t> </w:t>
      </w:r>
      <w:r>
        <w:rPr>
          <w:color w:val="231F20"/>
          <w:w w:val="105"/>
        </w:rPr>
        <w:t>less</w:t>
      </w:r>
      <w:r>
        <w:rPr>
          <w:color w:val="231F20"/>
          <w:spacing w:val="-5"/>
          <w:w w:val="105"/>
        </w:rPr>
        <w:t> </w:t>
      </w:r>
      <w:r>
        <w:rPr>
          <w:color w:val="231F20"/>
          <w:w w:val="105"/>
        </w:rPr>
        <w:t>than</w:t>
      </w:r>
      <w:r>
        <w:rPr>
          <w:color w:val="231F20"/>
          <w:spacing w:val="-5"/>
          <w:w w:val="105"/>
        </w:rPr>
        <w:t> </w:t>
      </w:r>
      <w:r>
        <w:rPr>
          <w:color w:val="231F20"/>
          <w:w w:val="105"/>
        </w:rPr>
        <w:t>1</w:t>
      </w:r>
      <w:r>
        <w:rPr>
          <w:color w:val="231F20"/>
          <w:spacing w:val="-5"/>
          <w:w w:val="105"/>
        </w:rPr>
        <w:t> </w:t>
      </w:r>
      <w:r>
        <w:rPr>
          <w:color w:val="231F20"/>
          <w:w w:val="105"/>
        </w:rPr>
        <w:t>percent</w:t>
      </w:r>
      <w:r>
        <w:rPr>
          <w:color w:val="231F20"/>
          <w:spacing w:val="-6"/>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potassium in the glomerular filtrate (to </w:t>
      </w:r>
      <w:r>
        <w:rPr>
          <w:rFonts w:ascii="Consolas"/>
          <w:color w:val="231F20"/>
          <w:w w:val="105"/>
        </w:rPr>
        <w:t>&lt;</w:t>
      </w:r>
      <w:r>
        <w:rPr>
          <w:color w:val="231F20"/>
          <w:w w:val="105"/>
        </w:rPr>
        <w:t>10 mEq/day). </w:t>
      </w:r>
      <w:r>
        <w:rPr>
          <w:color w:val="231F20"/>
          <w:spacing w:val="-3"/>
          <w:w w:val="105"/>
        </w:rPr>
        <w:t>With </w:t>
      </w:r>
      <w:r>
        <w:rPr>
          <w:color w:val="231F20"/>
          <w:w w:val="105"/>
        </w:rPr>
        <w:t>potas- sium intakes below this level, severe hypokalemia </w:t>
      </w:r>
      <w:r>
        <w:rPr>
          <w:color w:val="231F20"/>
          <w:spacing w:val="-4"/>
          <w:w w:val="105"/>
        </w:rPr>
        <w:t>can </w:t>
      </w:r>
      <w:r>
        <w:rPr>
          <w:color w:val="231F20"/>
          <w:w w:val="105"/>
        </w:rPr>
        <w:t>develop.</w:t>
      </w:r>
    </w:p>
    <w:p>
      <w:pPr>
        <w:pStyle w:val="BodyText"/>
        <w:spacing w:line="249" w:lineRule="auto" w:before="1"/>
        <w:ind w:left="319" w:right="1077" w:firstLine="240"/>
        <w:jc w:val="both"/>
      </w:pPr>
      <w:r>
        <w:rPr>
          <w:color w:val="231F20"/>
          <w:w w:val="105"/>
        </w:rPr>
        <w:t>Thus,</w:t>
      </w:r>
      <w:r>
        <w:rPr>
          <w:color w:val="231F20"/>
          <w:spacing w:val="-6"/>
          <w:w w:val="105"/>
        </w:rPr>
        <w:t> </w:t>
      </w:r>
      <w:r>
        <w:rPr>
          <w:color w:val="231F20"/>
          <w:w w:val="105"/>
        </w:rPr>
        <w:t>most</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5"/>
          <w:w w:val="105"/>
        </w:rPr>
        <w:t> </w:t>
      </w:r>
      <w:r>
        <w:rPr>
          <w:color w:val="231F20"/>
          <w:w w:val="105"/>
        </w:rPr>
        <w:t>day-to-day</w:t>
      </w:r>
      <w:r>
        <w:rPr>
          <w:color w:val="231F20"/>
          <w:spacing w:val="-6"/>
          <w:w w:val="105"/>
        </w:rPr>
        <w:t> </w:t>
      </w:r>
      <w:r>
        <w:rPr>
          <w:color w:val="231F20"/>
          <w:w w:val="105"/>
        </w:rPr>
        <w:t>regulation</w:t>
      </w:r>
      <w:r>
        <w:rPr>
          <w:color w:val="231F20"/>
          <w:spacing w:val="-6"/>
          <w:w w:val="105"/>
        </w:rPr>
        <w:t> </w:t>
      </w:r>
      <w:r>
        <w:rPr>
          <w:color w:val="231F20"/>
          <w:w w:val="105"/>
        </w:rPr>
        <w:t>of</w:t>
      </w:r>
      <w:r>
        <w:rPr>
          <w:color w:val="231F20"/>
          <w:spacing w:val="-5"/>
          <w:w w:val="105"/>
        </w:rPr>
        <w:t> </w:t>
      </w:r>
      <w:r>
        <w:rPr>
          <w:color w:val="231F20"/>
          <w:w w:val="105"/>
        </w:rPr>
        <w:t>potassium excretion occurs in the late distal and cortical</w:t>
      </w:r>
      <w:r>
        <w:rPr>
          <w:color w:val="231F20"/>
          <w:spacing w:val="-15"/>
          <w:w w:val="105"/>
        </w:rPr>
        <w:t> </w:t>
      </w:r>
      <w:r>
        <w:rPr>
          <w:color w:val="231F20"/>
          <w:w w:val="105"/>
        </w:rPr>
        <w:t>collecting tubules, where potassium can be either reabsorbed or secreted,</w:t>
      </w:r>
      <w:r>
        <w:rPr>
          <w:color w:val="231F20"/>
          <w:spacing w:val="-12"/>
          <w:w w:val="105"/>
        </w:rPr>
        <w:t> </w:t>
      </w:r>
      <w:r>
        <w:rPr>
          <w:color w:val="231F20"/>
          <w:w w:val="105"/>
        </w:rPr>
        <w:t>depending</w:t>
      </w:r>
      <w:r>
        <w:rPr>
          <w:color w:val="231F20"/>
          <w:spacing w:val="-11"/>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needs</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body.</w:t>
      </w:r>
      <w:r>
        <w:rPr>
          <w:color w:val="231F20"/>
          <w:spacing w:val="-12"/>
          <w:w w:val="105"/>
        </w:rPr>
        <w:t> </w:t>
      </w:r>
      <w:r>
        <w:rPr>
          <w:color w:val="231F20"/>
          <w:w w:val="105"/>
        </w:rPr>
        <w:t>In</w:t>
      </w:r>
      <w:r>
        <w:rPr>
          <w:color w:val="231F20"/>
          <w:spacing w:val="-11"/>
          <w:w w:val="105"/>
        </w:rPr>
        <w:t> </w:t>
      </w:r>
      <w:r>
        <w:rPr>
          <w:color w:val="231F20"/>
          <w:w w:val="105"/>
        </w:rPr>
        <w:t>the</w:t>
      </w:r>
      <w:r>
        <w:rPr>
          <w:color w:val="231F20"/>
          <w:spacing w:val="-12"/>
          <w:w w:val="105"/>
        </w:rPr>
        <w:t> </w:t>
      </w:r>
      <w:r>
        <w:rPr>
          <w:color w:val="231F20"/>
          <w:w w:val="105"/>
        </w:rPr>
        <w:t>next section,</w:t>
      </w:r>
      <w:r>
        <w:rPr>
          <w:color w:val="231F20"/>
          <w:spacing w:val="-8"/>
          <w:w w:val="105"/>
        </w:rPr>
        <w:t> </w:t>
      </w:r>
      <w:r>
        <w:rPr>
          <w:color w:val="231F20"/>
          <w:w w:val="105"/>
        </w:rPr>
        <w:t>we</w:t>
      </w:r>
      <w:r>
        <w:rPr>
          <w:color w:val="231F20"/>
          <w:spacing w:val="-7"/>
          <w:w w:val="105"/>
        </w:rPr>
        <w:t> </w:t>
      </w:r>
      <w:r>
        <w:rPr>
          <w:color w:val="231F20"/>
          <w:w w:val="105"/>
        </w:rPr>
        <w:t>consider</w:t>
      </w:r>
      <w:r>
        <w:rPr>
          <w:color w:val="231F20"/>
          <w:spacing w:val="-7"/>
          <w:w w:val="105"/>
        </w:rPr>
        <w:t> </w:t>
      </w:r>
      <w:r>
        <w:rPr>
          <w:color w:val="231F20"/>
          <w:w w:val="105"/>
        </w:rPr>
        <w:t>the</w:t>
      </w:r>
      <w:r>
        <w:rPr>
          <w:color w:val="231F20"/>
          <w:spacing w:val="-7"/>
          <w:w w:val="105"/>
        </w:rPr>
        <w:t> </w:t>
      </w:r>
      <w:r>
        <w:rPr>
          <w:color w:val="231F20"/>
          <w:w w:val="105"/>
        </w:rPr>
        <w:t>basic</w:t>
      </w:r>
      <w:r>
        <w:rPr>
          <w:color w:val="231F20"/>
          <w:spacing w:val="-7"/>
          <w:w w:val="105"/>
        </w:rPr>
        <w:t> </w:t>
      </w:r>
      <w:r>
        <w:rPr>
          <w:color w:val="231F20"/>
          <w:w w:val="105"/>
        </w:rPr>
        <w:t>mechanisms</w:t>
      </w:r>
      <w:r>
        <w:rPr>
          <w:color w:val="231F20"/>
          <w:spacing w:val="-7"/>
          <w:w w:val="105"/>
        </w:rPr>
        <w:t> </w:t>
      </w:r>
      <w:r>
        <w:rPr>
          <w:color w:val="231F20"/>
          <w:w w:val="105"/>
        </w:rPr>
        <w:t>of</w:t>
      </w:r>
      <w:r>
        <w:rPr>
          <w:color w:val="231F20"/>
          <w:spacing w:val="-7"/>
          <w:w w:val="105"/>
        </w:rPr>
        <w:t> </w:t>
      </w:r>
      <w:r>
        <w:rPr>
          <w:color w:val="231F20"/>
          <w:w w:val="105"/>
        </w:rPr>
        <w:t>potassium secretion and the factors that regulate this</w:t>
      </w:r>
      <w:r>
        <w:rPr>
          <w:color w:val="231F20"/>
          <w:spacing w:val="1"/>
          <w:w w:val="105"/>
        </w:rPr>
        <w:t> </w:t>
      </w:r>
      <w:r>
        <w:rPr>
          <w:color w:val="231F20"/>
          <w:w w:val="105"/>
        </w:rPr>
        <w:t>process.</w:t>
      </w:r>
    </w:p>
    <w:p>
      <w:pPr>
        <w:pStyle w:val="BodyText"/>
        <w:rPr>
          <w:sz w:val="31"/>
        </w:rPr>
      </w:pPr>
    </w:p>
    <w:p>
      <w:pPr>
        <w:pStyle w:val="Heading2"/>
        <w:spacing w:line="225" w:lineRule="auto" w:before="1"/>
        <w:ind w:right="1799"/>
        <w:jc w:val="both"/>
      </w:pPr>
      <w:r>
        <w:rPr>
          <w:color w:val="231F20"/>
        </w:rPr>
        <w:t>POTASSIUM SECRETION BY PRINCIPAL CELLS OF LATE DISTAL AND CORTICAL COLLECTING TUBULES</w:t>
      </w:r>
    </w:p>
    <w:p>
      <w:pPr>
        <w:pStyle w:val="BodyText"/>
        <w:spacing w:line="249" w:lineRule="auto" w:before="127"/>
        <w:ind w:left="319" w:right="1077"/>
        <w:jc w:val="both"/>
      </w:pPr>
      <w:r>
        <w:rPr>
          <w:color w:val="231F20"/>
          <w:w w:val="105"/>
        </w:rPr>
        <w:t>The</w:t>
      </w:r>
      <w:r>
        <w:rPr>
          <w:color w:val="231F20"/>
          <w:spacing w:val="-7"/>
          <w:w w:val="105"/>
        </w:rPr>
        <w:t> </w:t>
      </w:r>
      <w:r>
        <w:rPr>
          <w:color w:val="231F20"/>
          <w:w w:val="105"/>
        </w:rPr>
        <w:t>cells</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late</w:t>
      </w:r>
      <w:r>
        <w:rPr>
          <w:color w:val="231F20"/>
          <w:spacing w:val="-7"/>
          <w:w w:val="105"/>
        </w:rPr>
        <w:t> </w:t>
      </w:r>
      <w:r>
        <w:rPr>
          <w:color w:val="231F20"/>
          <w:w w:val="105"/>
        </w:rPr>
        <w:t>distal</w:t>
      </w:r>
      <w:r>
        <w:rPr>
          <w:color w:val="231F20"/>
          <w:spacing w:val="-6"/>
          <w:w w:val="105"/>
        </w:rPr>
        <w:t> </w:t>
      </w:r>
      <w:r>
        <w:rPr>
          <w:color w:val="231F20"/>
          <w:w w:val="105"/>
        </w:rPr>
        <w:t>and</w:t>
      </w:r>
      <w:r>
        <w:rPr>
          <w:color w:val="231F20"/>
          <w:spacing w:val="-6"/>
          <w:w w:val="105"/>
        </w:rPr>
        <w:t> </w:t>
      </w:r>
      <w:r>
        <w:rPr>
          <w:color w:val="231F20"/>
          <w:w w:val="105"/>
        </w:rPr>
        <w:t>cortical</w:t>
      </w:r>
      <w:r>
        <w:rPr>
          <w:color w:val="231F20"/>
          <w:spacing w:val="-6"/>
          <w:w w:val="105"/>
        </w:rPr>
        <w:t> </w:t>
      </w:r>
      <w:r>
        <w:rPr>
          <w:color w:val="231F20"/>
          <w:w w:val="105"/>
        </w:rPr>
        <w:t>collecting</w:t>
      </w:r>
      <w:r>
        <w:rPr>
          <w:color w:val="231F20"/>
          <w:spacing w:val="-6"/>
          <w:w w:val="105"/>
        </w:rPr>
        <w:t> </w:t>
      </w:r>
      <w:r>
        <w:rPr>
          <w:color w:val="231F20"/>
          <w:w w:val="105"/>
        </w:rPr>
        <w:t>tubules that secrete potassium are called </w:t>
      </w:r>
      <w:r>
        <w:rPr>
          <w:i/>
          <w:color w:val="231F20"/>
          <w:w w:val="105"/>
        </w:rPr>
        <w:t>principal cells </w:t>
      </w:r>
      <w:r>
        <w:rPr>
          <w:color w:val="231F20"/>
          <w:w w:val="105"/>
        </w:rPr>
        <w:t>and make</w:t>
      </w:r>
      <w:r>
        <w:rPr>
          <w:color w:val="231F20"/>
          <w:spacing w:val="-5"/>
          <w:w w:val="105"/>
        </w:rPr>
        <w:t> </w:t>
      </w:r>
      <w:r>
        <w:rPr>
          <w:color w:val="231F20"/>
          <w:w w:val="105"/>
        </w:rPr>
        <w:t>up</w:t>
      </w:r>
      <w:r>
        <w:rPr>
          <w:color w:val="231F20"/>
          <w:spacing w:val="-4"/>
          <w:w w:val="105"/>
        </w:rPr>
        <w:t> </w:t>
      </w:r>
      <w:r>
        <w:rPr>
          <w:color w:val="231F20"/>
          <w:w w:val="105"/>
        </w:rPr>
        <w:t>the</w:t>
      </w:r>
      <w:r>
        <w:rPr>
          <w:color w:val="231F20"/>
          <w:spacing w:val="-4"/>
          <w:w w:val="105"/>
        </w:rPr>
        <w:t> </w:t>
      </w:r>
      <w:r>
        <w:rPr>
          <w:color w:val="231F20"/>
          <w:w w:val="105"/>
        </w:rPr>
        <w:t>majority</w:t>
      </w:r>
      <w:r>
        <w:rPr>
          <w:color w:val="231F20"/>
          <w:spacing w:val="-5"/>
          <w:w w:val="105"/>
        </w:rPr>
        <w:t> </w:t>
      </w:r>
      <w:r>
        <w:rPr>
          <w:color w:val="231F20"/>
          <w:w w:val="105"/>
        </w:rPr>
        <w:t>of</w:t>
      </w:r>
      <w:r>
        <w:rPr>
          <w:color w:val="231F20"/>
          <w:spacing w:val="-4"/>
          <w:w w:val="105"/>
        </w:rPr>
        <w:t> </w:t>
      </w:r>
      <w:r>
        <w:rPr>
          <w:color w:val="231F20"/>
          <w:w w:val="105"/>
        </w:rPr>
        <w:t>epithelial</w:t>
      </w:r>
      <w:r>
        <w:rPr>
          <w:color w:val="231F20"/>
          <w:spacing w:val="-4"/>
          <w:w w:val="105"/>
        </w:rPr>
        <w:t> </w:t>
      </w:r>
      <w:r>
        <w:rPr>
          <w:color w:val="231F20"/>
          <w:w w:val="105"/>
        </w:rPr>
        <w:t>cells</w:t>
      </w:r>
      <w:r>
        <w:rPr>
          <w:color w:val="231F20"/>
          <w:spacing w:val="-4"/>
          <w:w w:val="105"/>
        </w:rPr>
        <w:t> </w:t>
      </w:r>
      <w:r>
        <w:rPr>
          <w:color w:val="231F20"/>
          <w:w w:val="105"/>
        </w:rPr>
        <w:t>in</w:t>
      </w:r>
      <w:r>
        <w:rPr>
          <w:color w:val="231F20"/>
          <w:spacing w:val="-5"/>
          <w:w w:val="105"/>
        </w:rPr>
        <w:t> </w:t>
      </w:r>
      <w:r>
        <w:rPr>
          <w:color w:val="231F20"/>
          <w:w w:val="105"/>
        </w:rPr>
        <w:t>these</w:t>
      </w:r>
      <w:r>
        <w:rPr>
          <w:color w:val="231F20"/>
          <w:spacing w:val="-4"/>
          <w:w w:val="105"/>
        </w:rPr>
        <w:t> </w:t>
      </w:r>
      <w:r>
        <w:rPr>
          <w:color w:val="231F20"/>
          <w:w w:val="105"/>
        </w:rPr>
        <w:t>regions. </w:t>
      </w:r>
      <w:hyperlink w:history="true" w:anchor="_bookmark84">
        <w:r>
          <w:rPr>
            <w:rFonts w:ascii="Cambria"/>
            <w:b/>
            <w:color w:val="0080AC"/>
            <w:w w:val="105"/>
          </w:rPr>
          <w:t>Figure 30-3</w:t>
        </w:r>
      </w:hyperlink>
      <w:r>
        <w:rPr>
          <w:rFonts w:ascii="Cambria"/>
          <w:b/>
          <w:color w:val="0080AC"/>
          <w:w w:val="105"/>
        </w:rPr>
        <w:t> </w:t>
      </w:r>
      <w:r>
        <w:rPr>
          <w:color w:val="231F20"/>
          <w:w w:val="105"/>
        </w:rPr>
        <w:t>shows the basic cellular mechanisms </w:t>
      </w:r>
      <w:r>
        <w:rPr>
          <w:color w:val="231F20"/>
          <w:spacing w:val="-6"/>
          <w:w w:val="105"/>
        </w:rPr>
        <w:t>of </w:t>
      </w:r>
      <w:r>
        <w:rPr>
          <w:color w:val="231F20"/>
          <w:w w:val="105"/>
        </w:rPr>
        <w:t>potassium secretion by the principal</w:t>
      </w:r>
      <w:r>
        <w:rPr>
          <w:color w:val="231F20"/>
          <w:spacing w:val="3"/>
          <w:w w:val="105"/>
        </w:rPr>
        <w:t> </w:t>
      </w:r>
      <w:r>
        <w:rPr>
          <w:color w:val="231F20"/>
          <w:w w:val="105"/>
        </w:rPr>
        <w:t>cells.</w:t>
      </w:r>
    </w:p>
    <w:p>
      <w:pPr>
        <w:pStyle w:val="BodyText"/>
        <w:spacing w:line="249" w:lineRule="auto"/>
        <w:ind w:left="319" w:right="1077" w:firstLine="240"/>
        <w:jc w:val="both"/>
      </w:pPr>
      <w:r>
        <w:rPr>
          <w:color w:val="231F20"/>
          <w:w w:val="105"/>
        </w:rPr>
        <w:t>Secretion</w:t>
      </w:r>
      <w:r>
        <w:rPr>
          <w:color w:val="231F20"/>
          <w:spacing w:val="-17"/>
          <w:w w:val="105"/>
        </w:rPr>
        <w:t> </w:t>
      </w:r>
      <w:r>
        <w:rPr>
          <w:color w:val="231F20"/>
          <w:w w:val="105"/>
        </w:rPr>
        <w:t>of</w:t>
      </w:r>
      <w:r>
        <w:rPr>
          <w:color w:val="231F20"/>
          <w:spacing w:val="-16"/>
          <w:w w:val="105"/>
        </w:rPr>
        <w:t> </w:t>
      </w:r>
      <w:r>
        <w:rPr>
          <w:color w:val="231F20"/>
          <w:w w:val="105"/>
        </w:rPr>
        <w:t>potassium</w:t>
      </w:r>
      <w:r>
        <w:rPr>
          <w:color w:val="231F20"/>
          <w:spacing w:val="-16"/>
          <w:w w:val="105"/>
        </w:rPr>
        <w:t> </w:t>
      </w:r>
      <w:r>
        <w:rPr>
          <w:color w:val="231F20"/>
          <w:w w:val="105"/>
        </w:rPr>
        <w:t>from</w:t>
      </w:r>
      <w:r>
        <w:rPr>
          <w:color w:val="231F20"/>
          <w:spacing w:val="-17"/>
          <w:w w:val="105"/>
        </w:rPr>
        <w:t> </w:t>
      </w:r>
      <w:r>
        <w:rPr>
          <w:color w:val="231F20"/>
          <w:w w:val="105"/>
        </w:rPr>
        <w:t>the</w:t>
      </w:r>
      <w:r>
        <w:rPr>
          <w:color w:val="231F20"/>
          <w:spacing w:val="-16"/>
          <w:w w:val="105"/>
        </w:rPr>
        <w:t> </w:t>
      </w:r>
      <w:r>
        <w:rPr>
          <w:color w:val="231F20"/>
          <w:w w:val="105"/>
        </w:rPr>
        <w:t>blood</w:t>
      </w:r>
      <w:r>
        <w:rPr>
          <w:color w:val="231F20"/>
          <w:spacing w:val="-16"/>
          <w:w w:val="105"/>
        </w:rPr>
        <w:t> </w:t>
      </w:r>
      <w:r>
        <w:rPr>
          <w:color w:val="231F20"/>
          <w:w w:val="105"/>
        </w:rPr>
        <w:t>into</w:t>
      </w:r>
      <w:r>
        <w:rPr>
          <w:color w:val="231F20"/>
          <w:spacing w:val="-17"/>
          <w:w w:val="105"/>
        </w:rPr>
        <w:t> </w:t>
      </w:r>
      <w:r>
        <w:rPr>
          <w:color w:val="231F20"/>
          <w:w w:val="105"/>
        </w:rPr>
        <w:t>the</w:t>
      </w:r>
      <w:r>
        <w:rPr>
          <w:color w:val="231F20"/>
          <w:spacing w:val="-16"/>
          <w:w w:val="105"/>
        </w:rPr>
        <w:t> </w:t>
      </w:r>
      <w:r>
        <w:rPr>
          <w:color w:val="231F20"/>
          <w:w w:val="105"/>
        </w:rPr>
        <w:t>tubular lumen</w:t>
      </w:r>
      <w:r>
        <w:rPr>
          <w:color w:val="231F20"/>
          <w:spacing w:val="-12"/>
          <w:w w:val="105"/>
        </w:rPr>
        <w:t> </w:t>
      </w:r>
      <w:r>
        <w:rPr>
          <w:color w:val="231F20"/>
          <w:w w:val="105"/>
        </w:rPr>
        <w:t>is</w:t>
      </w:r>
      <w:r>
        <w:rPr>
          <w:color w:val="231F20"/>
          <w:spacing w:val="-12"/>
          <w:w w:val="105"/>
        </w:rPr>
        <w:t> </w:t>
      </w:r>
      <w:r>
        <w:rPr>
          <w:color w:val="231F20"/>
          <w:w w:val="105"/>
        </w:rPr>
        <w:t>a</w:t>
      </w:r>
      <w:r>
        <w:rPr>
          <w:color w:val="231F20"/>
          <w:spacing w:val="-11"/>
          <w:w w:val="105"/>
        </w:rPr>
        <w:t> </w:t>
      </w:r>
      <w:r>
        <w:rPr>
          <w:color w:val="231F20"/>
          <w:w w:val="105"/>
        </w:rPr>
        <w:t>two-step</w:t>
      </w:r>
      <w:r>
        <w:rPr>
          <w:color w:val="231F20"/>
          <w:spacing w:val="-12"/>
          <w:w w:val="105"/>
        </w:rPr>
        <w:t> </w:t>
      </w:r>
      <w:r>
        <w:rPr>
          <w:color w:val="231F20"/>
          <w:w w:val="105"/>
        </w:rPr>
        <w:t>process,</w:t>
      </w:r>
      <w:r>
        <w:rPr>
          <w:color w:val="231F20"/>
          <w:spacing w:val="-11"/>
          <w:w w:val="105"/>
        </w:rPr>
        <w:t> </w:t>
      </w:r>
      <w:r>
        <w:rPr>
          <w:color w:val="231F20"/>
          <w:w w:val="105"/>
        </w:rPr>
        <w:t>beginning</w:t>
      </w:r>
      <w:r>
        <w:rPr>
          <w:color w:val="231F20"/>
          <w:spacing w:val="-12"/>
          <w:w w:val="105"/>
        </w:rPr>
        <w:t> </w:t>
      </w:r>
      <w:r>
        <w:rPr>
          <w:color w:val="231F20"/>
          <w:w w:val="105"/>
        </w:rPr>
        <w:t>with</w:t>
      </w:r>
      <w:r>
        <w:rPr>
          <w:color w:val="231F20"/>
          <w:spacing w:val="-11"/>
          <w:w w:val="105"/>
        </w:rPr>
        <w:t> </w:t>
      </w:r>
      <w:r>
        <w:rPr>
          <w:color w:val="231F20"/>
          <w:w w:val="105"/>
        </w:rPr>
        <w:t>uptake</w:t>
      </w:r>
      <w:r>
        <w:rPr>
          <w:color w:val="231F20"/>
          <w:spacing w:val="-12"/>
          <w:w w:val="105"/>
        </w:rPr>
        <w:t> </w:t>
      </w:r>
      <w:r>
        <w:rPr>
          <w:color w:val="231F20"/>
          <w:w w:val="105"/>
        </w:rPr>
        <w:t>from the interstitium into the cell by the sodium-potassium ATPase pump in the basolateral cell membrane; </w:t>
      </w:r>
      <w:r>
        <w:rPr>
          <w:color w:val="231F20"/>
          <w:spacing w:val="-5"/>
          <w:w w:val="105"/>
        </w:rPr>
        <w:t>this </w:t>
      </w:r>
      <w:r>
        <w:rPr>
          <w:color w:val="231F20"/>
          <w:w w:val="105"/>
        </w:rPr>
        <w:t>pump moves sodium out of the cell into the </w:t>
      </w:r>
      <w:r>
        <w:rPr>
          <w:color w:val="231F20"/>
          <w:spacing w:val="-3"/>
          <w:w w:val="105"/>
        </w:rPr>
        <w:t>interstitium </w:t>
      </w:r>
      <w:r>
        <w:rPr>
          <w:color w:val="231F20"/>
          <w:w w:val="105"/>
        </w:rPr>
        <w:t>and at the same time moves potassium to the interior </w:t>
      </w:r>
      <w:r>
        <w:rPr>
          <w:color w:val="231F20"/>
          <w:spacing w:val="-6"/>
          <w:w w:val="105"/>
        </w:rPr>
        <w:t>of </w:t>
      </w:r>
      <w:r>
        <w:rPr>
          <w:color w:val="231F20"/>
          <w:w w:val="105"/>
        </w:rPr>
        <w:t>the</w:t>
      </w:r>
      <w:r>
        <w:rPr>
          <w:color w:val="231F20"/>
          <w:spacing w:val="3"/>
          <w:w w:val="105"/>
        </w:rPr>
        <w:t> </w:t>
      </w:r>
      <w:r>
        <w:rPr>
          <w:color w:val="231F20"/>
          <w:w w:val="105"/>
        </w:rPr>
        <w:t>cell.</w:t>
      </w:r>
    </w:p>
    <w:p>
      <w:pPr>
        <w:pStyle w:val="BodyText"/>
        <w:spacing w:line="249" w:lineRule="auto" w:before="5"/>
        <w:ind w:left="319" w:right="1077" w:firstLine="240"/>
        <w:jc w:val="both"/>
      </w:pPr>
      <w:r>
        <w:rPr>
          <w:color w:val="231F20"/>
          <w:w w:val="105"/>
        </w:rPr>
        <w:t>The second step of the process is passive diffusion</w:t>
      </w:r>
      <w:r>
        <w:rPr>
          <w:color w:val="231F20"/>
          <w:spacing w:val="-32"/>
          <w:w w:val="105"/>
        </w:rPr>
        <w:t> </w:t>
      </w:r>
      <w:r>
        <w:rPr>
          <w:color w:val="231F20"/>
          <w:spacing w:val="-7"/>
          <w:w w:val="105"/>
        </w:rPr>
        <w:t>of </w:t>
      </w:r>
      <w:r>
        <w:rPr>
          <w:color w:val="231F20"/>
          <w:w w:val="105"/>
        </w:rPr>
        <w:t>potassium from the interior of the cell into the tubular fluid.</w:t>
      </w:r>
      <w:r>
        <w:rPr>
          <w:color w:val="231F20"/>
          <w:spacing w:val="-28"/>
          <w:w w:val="105"/>
        </w:rPr>
        <w:t> </w:t>
      </w:r>
      <w:r>
        <w:rPr>
          <w:color w:val="231F20"/>
          <w:w w:val="105"/>
        </w:rPr>
        <w:t>The</w:t>
      </w:r>
      <w:r>
        <w:rPr>
          <w:color w:val="231F20"/>
          <w:spacing w:val="-27"/>
          <w:w w:val="105"/>
        </w:rPr>
        <w:t> </w:t>
      </w:r>
      <w:r>
        <w:rPr>
          <w:color w:val="231F20"/>
          <w:w w:val="105"/>
        </w:rPr>
        <w:t>sodium-potassium</w:t>
      </w:r>
      <w:r>
        <w:rPr>
          <w:color w:val="231F20"/>
          <w:spacing w:val="-29"/>
          <w:w w:val="105"/>
        </w:rPr>
        <w:t> </w:t>
      </w:r>
      <w:r>
        <w:rPr>
          <w:color w:val="231F20"/>
          <w:w w:val="105"/>
        </w:rPr>
        <w:t>ATPase</w:t>
      </w:r>
      <w:r>
        <w:rPr>
          <w:color w:val="231F20"/>
          <w:spacing w:val="-27"/>
          <w:w w:val="105"/>
        </w:rPr>
        <w:t> </w:t>
      </w:r>
      <w:r>
        <w:rPr>
          <w:color w:val="231F20"/>
          <w:w w:val="105"/>
        </w:rPr>
        <w:t>pump</w:t>
      </w:r>
      <w:r>
        <w:rPr>
          <w:color w:val="231F20"/>
          <w:spacing w:val="-28"/>
          <w:w w:val="105"/>
        </w:rPr>
        <w:t> </w:t>
      </w:r>
      <w:r>
        <w:rPr>
          <w:color w:val="231F20"/>
          <w:w w:val="105"/>
        </w:rPr>
        <w:t>creates</w:t>
      </w:r>
      <w:r>
        <w:rPr>
          <w:color w:val="231F20"/>
          <w:spacing w:val="-27"/>
          <w:w w:val="105"/>
        </w:rPr>
        <w:t> </w:t>
      </w:r>
      <w:r>
        <w:rPr>
          <w:color w:val="231F20"/>
          <w:w w:val="105"/>
        </w:rPr>
        <w:t>a</w:t>
      </w:r>
      <w:r>
        <w:rPr>
          <w:color w:val="231F20"/>
          <w:spacing w:val="-28"/>
          <w:w w:val="105"/>
        </w:rPr>
        <w:t> </w:t>
      </w:r>
      <w:r>
        <w:rPr>
          <w:color w:val="231F20"/>
          <w:spacing w:val="-3"/>
          <w:w w:val="105"/>
        </w:rPr>
        <w:t>high </w:t>
      </w:r>
      <w:r>
        <w:rPr>
          <w:color w:val="231F20"/>
          <w:w w:val="105"/>
        </w:rPr>
        <w:t>intracellular</w:t>
      </w:r>
      <w:r>
        <w:rPr>
          <w:color w:val="231F20"/>
          <w:spacing w:val="-27"/>
          <w:w w:val="105"/>
        </w:rPr>
        <w:t> </w:t>
      </w:r>
      <w:r>
        <w:rPr>
          <w:color w:val="231F20"/>
          <w:w w:val="105"/>
        </w:rPr>
        <w:t>potassium</w:t>
      </w:r>
      <w:r>
        <w:rPr>
          <w:color w:val="231F20"/>
          <w:spacing w:val="-26"/>
          <w:w w:val="105"/>
        </w:rPr>
        <w:t> </w:t>
      </w:r>
      <w:r>
        <w:rPr>
          <w:color w:val="231F20"/>
          <w:w w:val="105"/>
        </w:rPr>
        <w:t>concentration,</w:t>
      </w:r>
      <w:r>
        <w:rPr>
          <w:color w:val="231F20"/>
          <w:spacing w:val="-27"/>
          <w:w w:val="105"/>
        </w:rPr>
        <w:t> </w:t>
      </w:r>
      <w:r>
        <w:rPr>
          <w:color w:val="231F20"/>
          <w:w w:val="105"/>
        </w:rPr>
        <w:t>which</w:t>
      </w:r>
      <w:r>
        <w:rPr>
          <w:color w:val="231F20"/>
          <w:spacing w:val="-26"/>
          <w:w w:val="105"/>
        </w:rPr>
        <w:t> </w:t>
      </w:r>
      <w:r>
        <w:rPr>
          <w:color w:val="231F20"/>
          <w:w w:val="105"/>
        </w:rPr>
        <w:t>provides</w:t>
      </w:r>
      <w:r>
        <w:rPr>
          <w:color w:val="231F20"/>
          <w:spacing w:val="-26"/>
          <w:w w:val="105"/>
        </w:rPr>
        <w:t> </w:t>
      </w:r>
      <w:r>
        <w:rPr>
          <w:color w:val="231F20"/>
          <w:spacing w:val="-5"/>
          <w:w w:val="105"/>
        </w:rPr>
        <w:t>the </w:t>
      </w:r>
      <w:r>
        <w:rPr>
          <w:color w:val="231F20"/>
          <w:w w:val="105"/>
        </w:rPr>
        <w:t>driving</w:t>
      </w:r>
      <w:r>
        <w:rPr>
          <w:color w:val="231F20"/>
          <w:spacing w:val="-11"/>
          <w:w w:val="105"/>
        </w:rPr>
        <w:t> </w:t>
      </w:r>
      <w:r>
        <w:rPr>
          <w:color w:val="231F20"/>
          <w:w w:val="105"/>
        </w:rPr>
        <w:t>force</w:t>
      </w:r>
      <w:r>
        <w:rPr>
          <w:color w:val="231F20"/>
          <w:spacing w:val="-11"/>
          <w:w w:val="105"/>
        </w:rPr>
        <w:t> </w:t>
      </w:r>
      <w:r>
        <w:rPr>
          <w:color w:val="231F20"/>
          <w:w w:val="105"/>
        </w:rPr>
        <w:t>for</w:t>
      </w:r>
      <w:r>
        <w:rPr>
          <w:color w:val="231F20"/>
          <w:spacing w:val="-11"/>
          <w:w w:val="105"/>
        </w:rPr>
        <w:t> </w:t>
      </w:r>
      <w:r>
        <w:rPr>
          <w:color w:val="231F20"/>
          <w:w w:val="105"/>
        </w:rPr>
        <w:t>passive</w:t>
      </w:r>
      <w:r>
        <w:rPr>
          <w:color w:val="231F20"/>
          <w:spacing w:val="-11"/>
          <w:w w:val="105"/>
        </w:rPr>
        <w:t> </w:t>
      </w:r>
      <w:r>
        <w:rPr>
          <w:color w:val="231F20"/>
          <w:w w:val="105"/>
        </w:rPr>
        <w:t>diffusion</w:t>
      </w:r>
      <w:r>
        <w:rPr>
          <w:color w:val="231F20"/>
          <w:spacing w:val="-11"/>
          <w:w w:val="105"/>
        </w:rPr>
        <w:t> </w:t>
      </w:r>
      <w:r>
        <w:rPr>
          <w:color w:val="231F20"/>
          <w:w w:val="105"/>
        </w:rPr>
        <w:t>of</w:t>
      </w:r>
      <w:r>
        <w:rPr>
          <w:color w:val="231F20"/>
          <w:spacing w:val="-10"/>
          <w:w w:val="105"/>
        </w:rPr>
        <w:t> </w:t>
      </w:r>
      <w:r>
        <w:rPr>
          <w:color w:val="231F20"/>
          <w:w w:val="105"/>
        </w:rPr>
        <w:t>potassium</w:t>
      </w:r>
      <w:r>
        <w:rPr>
          <w:color w:val="231F20"/>
          <w:spacing w:val="-11"/>
          <w:w w:val="105"/>
        </w:rPr>
        <w:t> </w:t>
      </w:r>
      <w:r>
        <w:rPr>
          <w:color w:val="231F20"/>
          <w:w w:val="105"/>
        </w:rPr>
        <w:t>from</w:t>
      </w:r>
      <w:r>
        <w:rPr>
          <w:color w:val="231F20"/>
          <w:spacing w:val="-11"/>
          <w:w w:val="105"/>
        </w:rPr>
        <w:t> </w:t>
      </w:r>
      <w:r>
        <w:rPr>
          <w:color w:val="231F20"/>
          <w:spacing w:val="-5"/>
          <w:w w:val="105"/>
        </w:rPr>
        <w:t>the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862"/>
          <w:footerReference w:type="even" r:id="rId863"/>
          <w:footerReference w:type="default" r:id="rId864"/>
          <w:pgSz w:w="12240" w:h="15660"/>
          <w:pgMar w:header="0" w:footer="567" w:top="720" w:bottom="760" w:left="0" w:right="0"/>
          <w:pgNumType w:start="392"/>
        </w:sectPr>
      </w:pPr>
    </w:p>
    <w:p>
      <w:pPr>
        <w:pStyle w:val="BodyText"/>
        <w:spacing w:line="249" w:lineRule="auto" w:before="99"/>
        <w:ind w:left="1080" w:right="38"/>
        <w:jc w:val="both"/>
      </w:pPr>
      <w:r>
        <w:rPr>
          <w:color w:val="231F20"/>
          <w:w w:val="105"/>
        </w:rPr>
        <w:t>cell</w:t>
      </w:r>
      <w:r>
        <w:rPr>
          <w:color w:val="231F20"/>
          <w:spacing w:val="-15"/>
          <w:w w:val="105"/>
        </w:rPr>
        <w:t> </w:t>
      </w:r>
      <w:r>
        <w:rPr>
          <w:color w:val="231F20"/>
          <w:w w:val="105"/>
        </w:rPr>
        <w:t>into</w:t>
      </w:r>
      <w:r>
        <w:rPr>
          <w:color w:val="231F20"/>
          <w:spacing w:val="-15"/>
          <w:w w:val="105"/>
        </w:rPr>
        <w:t> </w:t>
      </w:r>
      <w:r>
        <w:rPr>
          <w:color w:val="231F20"/>
          <w:w w:val="105"/>
        </w:rPr>
        <w:t>the</w:t>
      </w:r>
      <w:r>
        <w:rPr>
          <w:color w:val="231F20"/>
          <w:spacing w:val="-15"/>
          <w:w w:val="105"/>
        </w:rPr>
        <w:t> </w:t>
      </w:r>
      <w:r>
        <w:rPr>
          <w:color w:val="231F20"/>
          <w:w w:val="105"/>
        </w:rPr>
        <w:t>tubular</w:t>
      </w:r>
      <w:r>
        <w:rPr>
          <w:color w:val="231F20"/>
          <w:spacing w:val="-15"/>
          <w:w w:val="105"/>
        </w:rPr>
        <w:t> </w:t>
      </w:r>
      <w:r>
        <w:rPr>
          <w:color w:val="231F20"/>
          <w:w w:val="105"/>
        </w:rPr>
        <w:t>lumen.</w:t>
      </w:r>
      <w:r>
        <w:rPr>
          <w:color w:val="231F20"/>
          <w:spacing w:val="-15"/>
          <w:w w:val="105"/>
        </w:rPr>
        <w:t> </w:t>
      </w:r>
      <w:r>
        <w:rPr>
          <w:color w:val="231F20"/>
          <w:w w:val="105"/>
        </w:rPr>
        <w:t>The</w:t>
      </w:r>
      <w:r>
        <w:rPr>
          <w:color w:val="231F20"/>
          <w:spacing w:val="-14"/>
          <w:w w:val="105"/>
        </w:rPr>
        <w:t> </w:t>
      </w:r>
      <w:r>
        <w:rPr>
          <w:color w:val="231F20"/>
          <w:w w:val="105"/>
        </w:rPr>
        <w:t>luminal</w:t>
      </w:r>
      <w:r>
        <w:rPr>
          <w:color w:val="231F20"/>
          <w:spacing w:val="-15"/>
          <w:w w:val="105"/>
        </w:rPr>
        <w:t> </w:t>
      </w:r>
      <w:r>
        <w:rPr>
          <w:color w:val="231F20"/>
          <w:w w:val="105"/>
        </w:rPr>
        <w:t>membrane</w:t>
      </w:r>
      <w:r>
        <w:rPr>
          <w:color w:val="231F20"/>
          <w:spacing w:val="-15"/>
          <w:w w:val="105"/>
        </w:rPr>
        <w:t> </w:t>
      </w:r>
      <w:r>
        <w:rPr>
          <w:color w:val="231F20"/>
          <w:w w:val="105"/>
        </w:rPr>
        <w:t>of</w:t>
      </w:r>
      <w:r>
        <w:rPr>
          <w:color w:val="231F20"/>
          <w:spacing w:val="-15"/>
          <w:w w:val="105"/>
        </w:rPr>
        <w:t> </w:t>
      </w:r>
      <w:r>
        <w:rPr>
          <w:color w:val="231F20"/>
          <w:spacing w:val="-6"/>
          <w:w w:val="105"/>
        </w:rPr>
        <w:t>the </w:t>
      </w:r>
      <w:r>
        <w:rPr>
          <w:color w:val="231F20"/>
          <w:w w:val="105"/>
        </w:rPr>
        <w:t>principal</w:t>
      </w:r>
      <w:r>
        <w:rPr>
          <w:color w:val="231F20"/>
          <w:spacing w:val="-9"/>
          <w:w w:val="105"/>
        </w:rPr>
        <w:t> </w:t>
      </w:r>
      <w:r>
        <w:rPr>
          <w:color w:val="231F20"/>
          <w:w w:val="105"/>
        </w:rPr>
        <w:t>cells</w:t>
      </w:r>
      <w:r>
        <w:rPr>
          <w:color w:val="231F20"/>
          <w:spacing w:val="-8"/>
          <w:w w:val="105"/>
        </w:rPr>
        <w:t> </w:t>
      </w:r>
      <w:r>
        <w:rPr>
          <w:color w:val="231F20"/>
          <w:w w:val="105"/>
        </w:rPr>
        <w:t>is</w:t>
      </w:r>
      <w:r>
        <w:rPr>
          <w:color w:val="231F20"/>
          <w:spacing w:val="-8"/>
          <w:w w:val="105"/>
        </w:rPr>
        <w:t> </w:t>
      </w:r>
      <w:r>
        <w:rPr>
          <w:color w:val="231F20"/>
          <w:w w:val="105"/>
        </w:rPr>
        <w:t>highly</w:t>
      </w:r>
      <w:r>
        <w:rPr>
          <w:color w:val="231F20"/>
          <w:spacing w:val="-8"/>
          <w:w w:val="105"/>
        </w:rPr>
        <w:t> </w:t>
      </w:r>
      <w:r>
        <w:rPr>
          <w:color w:val="231F20"/>
          <w:w w:val="105"/>
        </w:rPr>
        <w:t>permeable</w:t>
      </w:r>
      <w:r>
        <w:rPr>
          <w:color w:val="231F20"/>
          <w:spacing w:val="-8"/>
          <w:w w:val="105"/>
        </w:rPr>
        <w:t> </w:t>
      </w:r>
      <w:r>
        <w:rPr>
          <w:color w:val="231F20"/>
          <w:w w:val="105"/>
        </w:rPr>
        <w:t>to</w:t>
      </w:r>
      <w:r>
        <w:rPr>
          <w:color w:val="231F20"/>
          <w:spacing w:val="-8"/>
          <w:w w:val="105"/>
        </w:rPr>
        <w:t> </w:t>
      </w:r>
      <w:r>
        <w:rPr>
          <w:color w:val="231F20"/>
          <w:w w:val="105"/>
        </w:rPr>
        <w:t>potassium</w:t>
      </w:r>
      <w:r>
        <w:rPr>
          <w:color w:val="231F20"/>
          <w:spacing w:val="-8"/>
          <w:w w:val="105"/>
        </w:rPr>
        <w:t> </w:t>
      </w:r>
      <w:r>
        <w:rPr>
          <w:color w:val="231F20"/>
          <w:w w:val="105"/>
        </w:rPr>
        <w:t>because there are two types of special channels that allow</w:t>
      </w:r>
      <w:r>
        <w:rPr>
          <w:color w:val="231F20"/>
          <w:spacing w:val="-22"/>
          <w:w w:val="105"/>
        </w:rPr>
        <w:t> </w:t>
      </w:r>
      <w:r>
        <w:rPr>
          <w:color w:val="231F20"/>
          <w:w w:val="105"/>
        </w:rPr>
        <w:t>potas- sium</w:t>
      </w:r>
      <w:r>
        <w:rPr>
          <w:color w:val="231F20"/>
          <w:spacing w:val="-14"/>
          <w:w w:val="105"/>
        </w:rPr>
        <w:t> </w:t>
      </w:r>
      <w:r>
        <w:rPr>
          <w:color w:val="231F20"/>
          <w:w w:val="105"/>
        </w:rPr>
        <w:t>ions</w:t>
      </w:r>
      <w:r>
        <w:rPr>
          <w:color w:val="231F20"/>
          <w:spacing w:val="-13"/>
          <w:w w:val="105"/>
        </w:rPr>
        <w:t> </w:t>
      </w:r>
      <w:r>
        <w:rPr>
          <w:color w:val="231F20"/>
          <w:w w:val="105"/>
        </w:rPr>
        <w:t>to</w:t>
      </w:r>
      <w:r>
        <w:rPr>
          <w:color w:val="231F20"/>
          <w:spacing w:val="-13"/>
          <w:w w:val="105"/>
        </w:rPr>
        <w:t> </w:t>
      </w:r>
      <w:r>
        <w:rPr>
          <w:color w:val="231F20"/>
          <w:w w:val="105"/>
        </w:rPr>
        <w:t>rapidly</w:t>
      </w:r>
      <w:r>
        <w:rPr>
          <w:color w:val="231F20"/>
          <w:spacing w:val="-13"/>
          <w:w w:val="105"/>
        </w:rPr>
        <w:t> </w:t>
      </w:r>
      <w:r>
        <w:rPr>
          <w:color w:val="231F20"/>
          <w:w w:val="105"/>
        </w:rPr>
        <w:t>diffuse</w:t>
      </w:r>
      <w:r>
        <w:rPr>
          <w:color w:val="231F20"/>
          <w:spacing w:val="-13"/>
          <w:w w:val="105"/>
        </w:rPr>
        <w:t> </w:t>
      </w:r>
      <w:r>
        <w:rPr>
          <w:color w:val="231F20"/>
          <w:w w:val="105"/>
        </w:rPr>
        <w:t>across</w:t>
      </w:r>
      <w:r>
        <w:rPr>
          <w:color w:val="231F20"/>
          <w:spacing w:val="-13"/>
          <w:w w:val="105"/>
        </w:rPr>
        <w:t> </w:t>
      </w:r>
      <w:r>
        <w:rPr>
          <w:color w:val="231F20"/>
          <w:w w:val="105"/>
        </w:rPr>
        <w:t>the</w:t>
      </w:r>
      <w:r>
        <w:rPr>
          <w:color w:val="231F20"/>
          <w:spacing w:val="-13"/>
          <w:w w:val="105"/>
        </w:rPr>
        <w:t> </w:t>
      </w:r>
      <w:r>
        <w:rPr>
          <w:color w:val="231F20"/>
          <w:w w:val="105"/>
        </w:rPr>
        <w:t>membrane:</w:t>
      </w:r>
      <w:r>
        <w:rPr>
          <w:color w:val="231F20"/>
          <w:spacing w:val="-13"/>
          <w:w w:val="105"/>
        </w:rPr>
        <w:t> </w:t>
      </w:r>
      <w:r>
        <w:rPr>
          <w:color w:val="231F20"/>
          <w:w w:val="105"/>
        </w:rPr>
        <w:t>(1)</w:t>
      </w:r>
      <w:r>
        <w:rPr>
          <w:color w:val="231F20"/>
          <w:spacing w:val="-13"/>
          <w:w w:val="105"/>
        </w:rPr>
        <w:t> </w:t>
      </w:r>
      <w:r>
        <w:rPr>
          <w:color w:val="231F20"/>
          <w:spacing w:val="-5"/>
          <w:w w:val="105"/>
        </w:rPr>
        <w:t>the </w:t>
      </w:r>
      <w:r>
        <w:rPr>
          <w:i/>
          <w:color w:val="231F20"/>
          <w:w w:val="105"/>
        </w:rPr>
        <w:t>renal</w:t>
      </w:r>
      <w:r>
        <w:rPr>
          <w:i/>
          <w:color w:val="231F20"/>
          <w:spacing w:val="-12"/>
          <w:w w:val="105"/>
        </w:rPr>
        <w:t> </w:t>
      </w:r>
      <w:r>
        <w:rPr>
          <w:i/>
          <w:color w:val="231F20"/>
          <w:w w:val="105"/>
        </w:rPr>
        <w:t>outer</w:t>
      </w:r>
      <w:r>
        <w:rPr>
          <w:i/>
          <w:color w:val="231F20"/>
          <w:spacing w:val="-11"/>
          <w:w w:val="105"/>
        </w:rPr>
        <w:t> </w:t>
      </w:r>
      <w:r>
        <w:rPr>
          <w:i/>
          <w:color w:val="231F20"/>
          <w:w w:val="105"/>
        </w:rPr>
        <w:t>medullary</w:t>
      </w:r>
      <w:r>
        <w:rPr>
          <w:i/>
          <w:color w:val="231F20"/>
          <w:spacing w:val="-12"/>
          <w:w w:val="105"/>
        </w:rPr>
        <w:t> </w:t>
      </w:r>
      <w:r>
        <w:rPr>
          <w:i/>
          <w:color w:val="231F20"/>
          <w:w w:val="105"/>
        </w:rPr>
        <w:t>potassium</w:t>
      </w:r>
      <w:r>
        <w:rPr>
          <w:i/>
          <w:color w:val="231F20"/>
          <w:spacing w:val="-11"/>
          <w:w w:val="105"/>
        </w:rPr>
        <w:t> </w:t>
      </w:r>
      <w:r>
        <w:rPr>
          <w:i/>
          <w:color w:val="231F20"/>
          <w:w w:val="105"/>
        </w:rPr>
        <w:t>(ROMK)</w:t>
      </w:r>
      <w:r>
        <w:rPr>
          <w:i/>
          <w:color w:val="231F20"/>
          <w:spacing w:val="-12"/>
          <w:w w:val="105"/>
        </w:rPr>
        <w:t> </w:t>
      </w:r>
      <w:r>
        <w:rPr>
          <w:i/>
          <w:color w:val="231F20"/>
          <w:w w:val="105"/>
        </w:rPr>
        <w:t>channels,</w:t>
      </w:r>
      <w:r>
        <w:rPr>
          <w:i/>
          <w:color w:val="231F20"/>
          <w:spacing w:val="-11"/>
          <w:w w:val="105"/>
        </w:rPr>
        <w:t> </w:t>
      </w:r>
      <w:r>
        <w:rPr>
          <w:color w:val="231F20"/>
          <w:w w:val="105"/>
        </w:rPr>
        <w:t>and</w:t>
      </w:r>
    </w:p>
    <w:p>
      <w:pPr>
        <w:pStyle w:val="ListParagraph"/>
        <w:numPr>
          <w:ilvl w:val="1"/>
          <w:numId w:val="21"/>
        </w:numPr>
        <w:tabs>
          <w:tab w:pos="1352" w:val="left" w:leader="none"/>
        </w:tabs>
        <w:spacing w:line="249" w:lineRule="auto" w:before="5" w:after="0"/>
        <w:ind w:left="1080" w:right="38" w:firstLine="0"/>
        <w:jc w:val="both"/>
        <w:rPr>
          <w:sz w:val="20"/>
        </w:rPr>
      </w:pPr>
      <w:r>
        <w:rPr>
          <w:color w:val="231F20"/>
          <w:sz w:val="20"/>
        </w:rPr>
        <w:t>high</w:t>
      </w:r>
      <w:r>
        <w:rPr>
          <w:color w:val="231F20"/>
          <w:spacing w:val="-14"/>
          <w:sz w:val="20"/>
        </w:rPr>
        <w:t> </w:t>
      </w:r>
      <w:r>
        <w:rPr>
          <w:color w:val="231F20"/>
          <w:sz w:val="20"/>
        </w:rPr>
        <w:t>conductance</w:t>
      </w:r>
      <w:r>
        <w:rPr>
          <w:color w:val="231F20"/>
          <w:spacing w:val="-14"/>
          <w:sz w:val="20"/>
        </w:rPr>
        <w:t> </w:t>
      </w:r>
      <w:r>
        <w:rPr>
          <w:i/>
          <w:color w:val="231F20"/>
          <w:sz w:val="20"/>
        </w:rPr>
        <w:t>“big”</w:t>
      </w:r>
      <w:r>
        <w:rPr>
          <w:i/>
          <w:color w:val="231F20"/>
          <w:spacing w:val="-14"/>
          <w:sz w:val="20"/>
        </w:rPr>
        <w:t> </w:t>
      </w:r>
      <w:r>
        <w:rPr>
          <w:i/>
          <w:color w:val="231F20"/>
          <w:sz w:val="20"/>
        </w:rPr>
        <w:t>potassium</w:t>
      </w:r>
      <w:r>
        <w:rPr>
          <w:i/>
          <w:color w:val="231F20"/>
          <w:spacing w:val="-13"/>
          <w:sz w:val="20"/>
        </w:rPr>
        <w:t> </w:t>
      </w:r>
      <w:r>
        <w:rPr>
          <w:i/>
          <w:color w:val="231F20"/>
          <w:sz w:val="20"/>
        </w:rPr>
        <w:t>(BK)</w:t>
      </w:r>
      <w:r>
        <w:rPr>
          <w:i/>
          <w:color w:val="231F20"/>
          <w:spacing w:val="-14"/>
          <w:sz w:val="20"/>
        </w:rPr>
        <w:t> </w:t>
      </w:r>
      <w:r>
        <w:rPr>
          <w:i/>
          <w:color w:val="231F20"/>
          <w:sz w:val="20"/>
        </w:rPr>
        <w:t>channels.</w:t>
      </w:r>
      <w:r>
        <w:rPr>
          <w:i/>
          <w:color w:val="231F20"/>
          <w:spacing w:val="-14"/>
          <w:sz w:val="20"/>
        </w:rPr>
        <w:t> </w:t>
      </w:r>
      <w:r>
        <w:rPr>
          <w:color w:val="231F20"/>
          <w:sz w:val="20"/>
        </w:rPr>
        <w:t>Both </w:t>
      </w:r>
      <w:r>
        <w:rPr>
          <w:color w:val="231F20"/>
          <w:w w:val="105"/>
          <w:sz w:val="20"/>
        </w:rPr>
        <w:t>types of potassium channels are required for efficient renal potassium excretion, and their abundance in the luminal membrane is increased during high potassium intake.</w:t>
      </w:r>
    </w:p>
    <w:p>
      <w:pPr>
        <w:pStyle w:val="BodyText"/>
        <w:spacing w:before="10"/>
        <w:rPr>
          <w:sz w:val="21"/>
        </w:rPr>
      </w:pPr>
    </w:p>
    <w:p>
      <w:pPr>
        <w:spacing w:before="1"/>
        <w:ind w:left="1080" w:right="0" w:firstLine="0"/>
        <w:jc w:val="both"/>
        <w:rPr>
          <w:rFonts w:ascii="Trebuchet MS"/>
          <w:b/>
          <w:sz w:val="19"/>
        </w:rPr>
      </w:pPr>
      <w:r>
        <w:rPr/>
        <w:pict>
          <v:rect style="position:absolute;margin-left:0pt;margin-top:7.620191pt;width:36pt;height:24pt;mso-position-horizontal-relative:page;mso-position-vertical-relative:paragraph;z-index:252565504" filled="true" fillcolor="#e8dac8" stroked="false">
            <v:fill type="solid"/>
            <w10:wrap type="none"/>
          </v:rect>
        </w:pict>
      </w:r>
      <w:r>
        <w:rPr>
          <w:rFonts w:ascii="Trebuchet MS"/>
          <w:b/>
          <w:color w:val="231F20"/>
          <w:sz w:val="19"/>
        </w:rPr>
        <w:t>Control  of  Potassium  Secretion  by  Principal</w:t>
      </w:r>
      <w:r>
        <w:rPr>
          <w:rFonts w:ascii="Trebuchet MS"/>
          <w:b/>
          <w:color w:val="231F20"/>
          <w:spacing w:val="-11"/>
          <w:sz w:val="19"/>
        </w:rPr>
        <w:t> </w:t>
      </w:r>
      <w:r>
        <w:rPr>
          <w:rFonts w:ascii="Trebuchet MS"/>
          <w:b/>
          <w:color w:val="231F20"/>
          <w:sz w:val="19"/>
        </w:rPr>
        <w:t>Cells.</w:t>
      </w:r>
    </w:p>
    <w:p>
      <w:pPr>
        <w:pStyle w:val="BodyText"/>
        <w:spacing w:before="11"/>
        <w:ind w:left="1080"/>
        <w:jc w:val="both"/>
      </w:pPr>
      <w:r>
        <w:rPr>
          <w:color w:val="231F20"/>
          <w:w w:val="105"/>
        </w:rPr>
        <w:t>The  primary  factors  that  control  potassium</w:t>
      </w:r>
      <w:r>
        <w:rPr>
          <w:color w:val="231F20"/>
          <w:spacing w:val="9"/>
          <w:w w:val="105"/>
        </w:rPr>
        <w:t> </w:t>
      </w:r>
      <w:r>
        <w:rPr>
          <w:color w:val="231F20"/>
          <w:w w:val="105"/>
        </w:rPr>
        <w:t>secretion</w:t>
      </w:r>
    </w:p>
    <w:p>
      <w:pPr>
        <w:spacing w:before="127"/>
        <w:ind w:left="1080" w:right="0" w:firstLine="0"/>
        <w:jc w:val="left"/>
        <w:rPr>
          <w:rFonts w:ascii="Helvetica"/>
          <w:sz w:val="16"/>
        </w:rPr>
      </w:pPr>
      <w:r>
        <w:rPr/>
        <w:br w:type="column"/>
      </w:r>
      <w:r>
        <w:rPr>
          <w:rFonts w:ascii="Helvetica"/>
          <w:color w:val="231F20"/>
          <w:sz w:val="16"/>
        </w:rPr>
        <w:t>4</w:t>
      </w:r>
    </w:p>
    <w:p>
      <w:pPr>
        <w:pStyle w:val="BodyText"/>
        <w:rPr>
          <w:rFonts w:ascii="Helvetica"/>
          <w:sz w:val="18"/>
        </w:rPr>
      </w:pPr>
    </w:p>
    <w:p>
      <w:pPr>
        <w:pStyle w:val="BodyText"/>
        <w:spacing w:before="1"/>
        <w:rPr>
          <w:rFonts w:ascii="Helvetica"/>
          <w:sz w:val="25"/>
        </w:rPr>
      </w:pPr>
    </w:p>
    <w:p>
      <w:pPr>
        <w:spacing w:before="0"/>
        <w:ind w:left="1080" w:right="0" w:firstLine="0"/>
        <w:jc w:val="left"/>
        <w:rPr>
          <w:rFonts w:ascii="Helvetica"/>
          <w:sz w:val="16"/>
        </w:rPr>
      </w:pPr>
      <w:r>
        <w:rPr/>
        <w:pict>
          <v:group style="position:absolute;margin-left:361.259491pt;margin-top:-30.053314pt;width:157.15pt;height:140.550pt;mso-position-horizontal-relative:page;mso-position-vertical-relative:paragraph;z-index:252568576" coordorigin="7225,-601" coordsize="3143,2811">
            <v:shape style="position:absolute;left:-77;top:13912;width:3133;height:2801" coordorigin="-77,13913" coordsize="3133,2801" path="m7302,-591l7302,2131,10358,2131m7302,-580l7225,-580m7302,98l7225,98m7302,776l7225,776m7302,1454l7225,1454m7302,2132l7225,2132m7302,2132l7302,2209m7817,2132l7817,2209m8332,2132l8332,2209m8847,2132l8847,2209m9362,2132l9362,2209m9877,2132l9877,2209e" filled="false" stroked="true" strokeweight="1pt" strokecolor="#231f20">
              <v:path arrowok="t"/>
              <v:stroke dashstyle="solid"/>
            </v:shape>
            <v:shape style="position:absolute;left:7470;top:-61;width:2370;height:1650" coordorigin="7470,-61" coordsize="2370,1650" path="m7470,1589l7812,1472,8059,1358,8332,1179,8750,869,9174,534,9520,235,9755,21,9840,-61e" filled="false" stroked="true" strokeweight="1.25pt" strokecolor="#f0535f">
              <v:path arrowok="t"/>
              <v:stroke dashstyle="solid"/>
            </v:shape>
            <v:shape style="position:absolute;left:7800;top:-531;width:2240;height:2330" coordorigin="7800,-531" coordsize="2240,2330" path="m7800,1799l8369,1695,8673,1638,8816,1609,8900,1589,8969,1572,9059,1540,9165,1485,9222,1446,9280,1397,9340,1338,9399,1267,9458,1182,9515,1083,9570,969,9749,494,9899,5,10002,-377,10040,-531e" filled="false" stroked="true" strokeweight="1.25pt" strokecolor="#231f20">
              <v:path arrowok="t"/>
              <v:stroke dashstyle="solid"/>
            </v:shape>
            <v:shape style="position:absolute;left:7846;top:224;width:1488;height:185" type="#_x0000_t202" filled="false" stroked="false">
              <v:textbox inset="0,0,0,0">
                <w:txbxContent>
                  <w:p>
                    <w:pPr>
                      <w:spacing w:line="183" w:lineRule="exact" w:before="0"/>
                      <w:ind w:left="0" w:right="0" w:firstLine="0"/>
                      <w:jc w:val="left"/>
                      <w:rPr>
                        <w:rFonts w:ascii="Helvetica"/>
                        <w:b/>
                        <w:sz w:val="16"/>
                      </w:rPr>
                    </w:pPr>
                    <w:r>
                      <w:rPr>
                        <w:rFonts w:ascii="Helvetica"/>
                        <w:b/>
                        <w:color w:val="231F20"/>
                        <w:w w:val="95"/>
                        <w:sz w:val="16"/>
                      </w:rPr>
                      <w:t>Effect</w:t>
                    </w:r>
                    <w:r>
                      <w:rPr>
                        <w:rFonts w:ascii="Helvetica"/>
                        <w:b/>
                        <w:color w:val="231F20"/>
                        <w:spacing w:val="-18"/>
                        <w:w w:val="95"/>
                        <w:sz w:val="16"/>
                      </w:rPr>
                      <w:t> </w:t>
                    </w:r>
                    <w:r>
                      <w:rPr>
                        <w:rFonts w:ascii="Helvetica"/>
                        <w:b/>
                        <w:color w:val="231F20"/>
                        <w:w w:val="95"/>
                        <w:sz w:val="16"/>
                      </w:rPr>
                      <w:t>of</w:t>
                    </w:r>
                    <w:r>
                      <w:rPr>
                        <w:rFonts w:ascii="Helvetica"/>
                        <w:b/>
                        <w:color w:val="231F20"/>
                        <w:spacing w:val="-18"/>
                        <w:w w:val="95"/>
                        <w:sz w:val="16"/>
                      </w:rPr>
                      <w:t> </w:t>
                    </w:r>
                    <w:r>
                      <w:rPr>
                        <w:rFonts w:ascii="Helvetica"/>
                        <w:b/>
                        <w:color w:val="231F20"/>
                        <w:w w:val="95"/>
                        <w:sz w:val="16"/>
                      </w:rPr>
                      <w:t>aldosterone</w:t>
                    </w:r>
                  </w:p>
                </w:txbxContent>
              </v:textbox>
              <w10:wrap type="none"/>
            </v:shape>
            <v:shape style="position:absolute;left:8851;top:1620;width:1514;height:365" type="#_x0000_t202" filled="false" stroked="false">
              <v:textbox inset="0,0,0,0">
                <w:txbxContent>
                  <w:p>
                    <w:pPr>
                      <w:spacing w:line="211" w:lineRule="auto" w:before="17"/>
                      <w:ind w:left="0" w:right="10" w:firstLine="0"/>
                      <w:jc w:val="left"/>
                      <w:rPr>
                        <w:rFonts w:ascii="Helvetica" w:hAnsi="Helvetica"/>
                        <w:sz w:val="16"/>
                      </w:rPr>
                    </w:pPr>
                    <w:r>
                      <w:rPr>
                        <w:rFonts w:ascii="Helvetica" w:hAnsi="Helvetica"/>
                        <w:b/>
                        <w:color w:val="231F20"/>
                        <w:w w:val="95"/>
                        <w:sz w:val="16"/>
                      </w:rPr>
                      <w:t>Effect</w:t>
                    </w:r>
                    <w:r>
                      <w:rPr>
                        <w:rFonts w:ascii="Helvetica" w:hAnsi="Helvetica"/>
                        <w:b/>
                        <w:color w:val="231F20"/>
                        <w:spacing w:val="-18"/>
                        <w:w w:val="95"/>
                        <w:sz w:val="16"/>
                      </w:rPr>
                      <w:t> </w:t>
                    </w:r>
                    <w:r>
                      <w:rPr>
                        <w:rFonts w:ascii="Helvetica" w:hAnsi="Helvetica"/>
                        <w:b/>
                        <w:color w:val="231F20"/>
                        <w:w w:val="95"/>
                        <w:sz w:val="16"/>
                      </w:rPr>
                      <w:t>of</w:t>
                    </w:r>
                    <w:r>
                      <w:rPr>
                        <w:rFonts w:ascii="Helvetica" w:hAnsi="Helvetica"/>
                        <w:b/>
                        <w:color w:val="231F20"/>
                        <w:spacing w:val="-18"/>
                        <w:w w:val="95"/>
                        <w:sz w:val="16"/>
                      </w:rPr>
                      <w:t> </w:t>
                    </w:r>
                    <w:r>
                      <w:rPr>
                        <w:rFonts w:ascii="Helvetica" w:hAnsi="Helvetica"/>
                        <w:b/>
                        <w:color w:val="231F20"/>
                        <w:spacing w:val="-2"/>
                        <w:w w:val="95"/>
                        <w:sz w:val="16"/>
                      </w:rPr>
                      <w:t>extracellular </w:t>
                    </w:r>
                    <w:r>
                      <w:rPr>
                        <w:rFonts w:ascii="Helvetica" w:hAnsi="Helvetica"/>
                        <w:color w:val="231F20"/>
                        <w:sz w:val="16"/>
                      </w:rPr>
                      <w:t>K</w:t>
                    </w:r>
                    <w:r>
                      <w:rPr>
                        <w:rFonts w:ascii="Symbol" w:hAnsi="Symbol"/>
                        <w:color w:val="231F20"/>
                        <w:position w:val="5"/>
                        <w:sz w:val="12"/>
                      </w:rPr>
                      <w:t></w:t>
                    </w:r>
                    <w:r>
                      <w:rPr>
                        <w:color w:val="231F20"/>
                        <w:spacing w:val="13"/>
                        <w:position w:val="5"/>
                        <w:sz w:val="12"/>
                      </w:rPr>
                      <w:t> </w:t>
                    </w:r>
                    <w:r>
                      <w:rPr>
                        <w:rFonts w:ascii="Helvetica" w:hAnsi="Helvetica"/>
                        <w:color w:val="231F20"/>
                        <w:sz w:val="16"/>
                      </w:rPr>
                      <w:t>concentration</w:t>
                    </w:r>
                  </w:p>
                </w:txbxContent>
              </v:textbox>
              <w10:wrap type="none"/>
            </v:shape>
            <w10:wrap type="none"/>
          </v:group>
        </w:pict>
      </w:r>
      <w:r>
        <w:rPr/>
        <w:pict>
          <v:shape style="position:absolute;margin-left:326.287598pt;margin-top:-15.642225pt;width:21.2pt;height:110.05pt;mso-position-horizontal-relative:page;mso-position-vertical-relative:paragraph;z-index:252569600" type="#_x0000_t202" filled="false" stroked="false">
            <v:textbox inset="0,0,0,0" style="layout-flow:vertical;mso-layout-flow-alt:bottom-to-top">
              <w:txbxContent>
                <w:p>
                  <w:pPr>
                    <w:spacing w:line="235" w:lineRule="auto" w:before="27"/>
                    <w:ind w:left="714" w:right="1" w:hanging="695"/>
                    <w:jc w:val="left"/>
                    <w:rPr>
                      <w:rFonts w:ascii="Helvetica" w:hAnsi="Helvetica"/>
                      <w:b/>
                      <w:sz w:val="16"/>
                    </w:rPr>
                  </w:pPr>
                  <w:r>
                    <w:rPr>
                      <w:rFonts w:ascii="Helvetica" w:hAnsi="Helvetica"/>
                      <w:b/>
                      <w:color w:val="231F20"/>
                      <w:sz w:val="16"/>
                    </w:rPr>
                    <w:t>Urinary potassium excretion (</w:t>
                  </w:r>
                  <w:r>
                    <w:rPr>
                      <w:rFonts w:ascii="Ink Free" w:hAnsi="Ink Free"/>
                      <w:color w:val="231F20"/>
                      <w:sz w:val="16"/>
                    </w:rPr>
                    <w:t>¥ </w:t>
                  </w:r>
                  <w:r>
                    <w:rPr>
                      <w:rFonts w:ascii="Helvetica" w:hAnsi="Helvetica"/>
                      <w:b/>
                      <w:color w:val="231F20"/>
                      <w:sz w:val="16"/>
                    </w:rPr>
                    <w:t>normal)</w:t>
                  </w:r>
                </w:p>
              </w:txbxContent>
            </v:textbox>
            <w10:wrap type="none"/>
          </v:shape>
        </w:pict>
      </w:r>
      <w:r>
        <w:rPr>
          <w:rFonts w:ascii="Helvetica"/>
          <w:color w:val="231F20"/>
          <w:w w:val="99"/>
          <w:sz w:val="16"/>
        </w:rPr>
        <w:t>3</w:t>
      </w:r>
    </w:p>
    <w:p>
      <w:pPr>
        <w:pStyle w:val="BodyText"/>
        <w:rPr>
          <w:rFonts w:ascii="Helvetica"/>
          <w:sz w:val="18"/>
        </w:rPr>
      </w:pPr>
    </w:p>
    <w:p>
      <w:pPr>
        <w:pStyle w:val="BodyText"/>
        <w:spacing w:before="4"/>
        <w:rPr>
          <w:rFonts w:ascii="Helvetica"/>
          <w:sz w:val="25"/>
        </w:rPr>
      </w:pPr>
    </w:p>
    <w:p>
      <w:pPr>
        <w:spacing w:before="0"/>
        <w:ind w:left="1080" w:right="0" w:firstLine="0"/>
        <w:jc w:val="left"/>
        <w:rPr>
          <w:rFonts w:ascii="Helvetica"/>
          <w:sz w:val="16"/>
        </w:rPr>
      </w:pPr>
      <w:r>
        <w:rPr>
          <w:rFonts w:ascii="Helvetica"/>
          <w:color w:val="231F20"/>
          <w:w w:val="99"/>
          <w:sz w:val="16"/>
        </w:rPr>
        <w:t>2</w:t>
      </w:r>
    </w:p>
    <w:p>
      <w:pPr>
        <w:pStyle w:val="BodyText"/>
        <w:rPr>
          <w:rFonts w:ascii="Helvetica"/>
          <w:sz w:val="18"/>
        </w:rPr>
      </w:pPr>
    </w:p>
    <w:p>
      <w:pPr>
        <w:pStyle w:val="BodyText"/>
        <w:spacing w:before="1"/>
        <w:rPr>
          <w:rFonts w:ascii="Helvetica"/>
          <w:sz w:val="25"/>
        </w:rPr>
      </w:pPr>
    </w:p>
    <w:p>
      <w:pPr>
        <w:spacing w:before="1"/>
        <w:ind w:left="1080" w:right="0" w:firstLine="0"/>
        <w:jc w:val="left"/>
        <w:rPr>
          <w:rFonts w:ascii="Helvetica"/>
          <w:sz w:val="16"/>
        </w:rPr>
      </w:pPr>
      <w:r>
        <w:rPr>
          <w:rFonts w:ascii="Helvetica"/>
          <w:color w:val="231F20"/>
          <w:w w:val="99"/>
          <w:sz w:val="16"/>
        </w:rPr>
        <w:t>1</w:t>
      </w:r>
    </w:p>
    <w:p>
      <w:pPr>
        <w:pStyle w:val="BodyText"/>
        <w:rPr>
          <w:rFonts w:ascii="Helvetica"/>
          <w:sz w:val="18"/>
        </w:rPr>
      </w:pPr>
    </w:p>
    <w:p>
      <w:pPr>
        <w:pStyle w:val="BodyText"/>
        <w:spacing w:before="3"/>
        <w:rPr>
          <w:rFonts w:ascii="Helvetica"/>
          <w:sz w:val="24"/>
        </w:rPr>
      </w:pPr>
    </w:p>
    <w:p>
      <w:pPr>
        <w:spacing w:before="0"/>
        <w:ind w:left="1080" w:right="0" w:firstLine="0"/>
        <w:jc w:val="left"/>
        <w:rPr>
          <w:rFonts w:ascii="Helvetica"/>
          <w:sz w:val="16"/>
        </w:rPr>
      </w:pPr>
      <w:r>
        <w:rPr>
          <w:rFonts w:ascii="Helvetica"/>
          <w:color w:val="231F20"/>
          <w:w w:val="99"/>
          <w:sz w:val="16"/>
        </w:rPr>
        <w:t>0</w:t>
      </w:r>
    </w:p>
    <w:p>
      <w:pPr>
        <w:tabs>
          <w:tab w:pos="1781" w:val="left" w:leader="none"/>
          <w:tab w:pos="2293" w:val="left" w:leader="none"/>
          <w:tab w:pos="2806" w:val="left" w:leader="none"/>
          <w:tab w:pos="3319" w:val="left" w:leader="none"/>
          <w:tab w:pos="3837" w:val="left" w:leader="none"/>
        </w:tabs>
        <w:spacing w:line="177" w:lineRule="exact" w:before="10"/>
        <w:ind w:left="1262" w:right="0" w:firstLine="0"/>
        <w:jc w:val="left"/>
        <w:rPr>
          <w:rFonts w:ascii="Helvetica"/>
          <w:sz w:val="16"/>
        </w:rPr>
      </w:pPr>
      <w:r>
        <w:rPr>
          <w:rFonts w:ascii="Helvetica"/>
          <w:color w:val="231F20"/>
          <w:sz w:val="16"/>
        </w:rPr>
        <w:t>0</w:t>
        <w:tab/>
        <w:t>1</w:t>
        <w:tab/>
        <w:t>2</w:t>
        <w:tab/>
        <w:t>3</w:t>
        <w:tab/>
        <w:t>4</w:t>
        <w:tab/>
        <w:t>5</w:t>
      </w:r>
    </w:p>
    <w:p>
      <w:pPr>
        <w:spacing w:after="0" w:line="177" w:lineRule="exact"/>
        <w:jc w:val="left"/>
        <w:rPr>
          <w:rFonts w:ascii="Helvetica"/>
          <w:sz w:val="16"/>
        </w:rPr>
        <w:sectPr>
          <w:type w:val="continuous"/>
          <w:pgSz w:w="12240" w:h="15660"/>
          <w:pgMar w:top="0" w:bottom="760" w:left="0" w:right="0"/>
          <w:cols w:num="2" w:equalWidth="0">
            <w:col w:w="5801" w:space="194"/>
            <w:col w:w="6245"/>
          </w:cols>
        </w:sectPr>
      </w:pPr>
    </w:p>
    <w:p>
      <w:pPr>
        <w:pStyle w:val="BodyText"/>
        <w:spacing w:before="9"/>
        <w:ind w:left="1080"/>
      </w:pPr>
      <w:r>
        <w:rPr>
          <w:color w:val="231F20"/>
        </w:rPr>
        <w:t>by the principal cells of the late distal and cortical</w:t>
      </w:r>
    </w:p>
    <w:p>
      <w:pPr>
        <w:spacing w:before="14"/>
        <w:ind w:left="1080" w:right="0" w:firstLine="0"/>
        <w:jc w:val="left"/>
        <w:rPr>
          <w:rFonts w:ascii="Helvetica" w:hAnsi="Helvetica"/>
          <w:b/>
          <w:sz w:val="16"/>
        </w:rPr>
      </w:pPr>
      <w:r>
        <w:rPr/>
        <w:br w:type="column"/>
      </w:r>
      <w:r>
        <w:rPr>
          <w:rFonts w:ascii="Helvetica" w:hAnsi="Helvetica"/>
          <w:b/>
          <w:color w:val="231F20"/>
          <w:sz w:val="16"/>
        </w:rPr>
        <w:t>Plasma aldosterone (</w:t>
      </w:r>
      <w:r>
        <w:rPr>
          <w:rFonts w:ascii="Ink Free" w:hAnsi="Ink Free"/>
          <w:color w:val="231F20"/>
          <w:sz w:val="16"/>
        </w:rPr>
        <w:t>¥ </w:t>
      </w:r>
      <w:r>
        <w:rPr>
          <w:rFonts w:ascii="Helvetica" w:hAnsi="Helvetica"/>
          <w:b/>
          <w:color w:val="231F20"/>
          <w:sz w:val="16"/>
        </w:rPr>
        <w:t>normal)</w:t>
      </w:r>
    </w:p>
    <w:p>
      <w:pPr>
        <w:tabs>
          <w:tab w:pos="1672" w:val="left" w:leader="none"/>
          <w:tab w:pos="2187" w:val="left" w:leader="none"/>
          <w:tab w:pos="2702" w:val="left" w:leader="none"/>
          <w:tab w:pos="3217" w:val="left" w:leader="none"/>
        </w:tabs>
        <w:spacing w:line="96" w:lineRule="exact"/>
        <w:ind w:left="1157" w:right="0" w:firstLine="0"/>
        <w:rPr>
          <w:rFonts w:ascii="Helvetica"/>
          <w:sz w:val="9"/>
        </w:rPr>
      </w:pPr>
      <w:r>
        <w:rPr>
          <w:rFonts w:ascii="Helvetica"/>
          <w:position w:val="-1"/>
          <w:sz w:val="9"/>
        </w:rPr>
        <w:pict>
          <v:group style="width:1pt;height:3.85pt;mso-position-horizontal-relative:char;mso-position-vertical-relative:line" coordorigin="0,0" coordsize="20,77">
            <v:line style="position:absolute" from="10,0" to="10,77" stroked="true" strokeweight="1pt" strokecolor="#231f20">
              <v:stroke dashstyle="solid"/>
            </v:line>
          </v:group>
        </w:pict>
      </w:r>
      <w:r>
        <w:rPr>
          <w:rFonts w:ascii="Helvetica"/>
          <w:position w:val="-1"/>
          <w:sz w:val="9"/>
        </w:rPr>
      </w:r>
      <w:r>
        <w:rPr>
          <w:rFonts w:ascii="Helvetica"/>
          <w:position w:val="-1"/>
          <w:sz w:val="9"/>
        </w:rPr>
        <w:tab/>
      </w:r>
      <w:r>
        <w:rPr>
          <w:rFonts w:ascii="Helvetica"/>
          <w:position w:val="-1"/>
          <w:sz w:val="9"/>
        </w:rPr>
        <w:pict>
          <v:group style="width:1pt;height:3.85pt;mso-position-horizontal-relative:char;mso-position-vertical-relative:line" coordorigin="0,0" coordsize="20,77">
            <v:line style="position:absolute" from="10,0" to="10,77" stroked="true" strokeweight="1pt" strokecolor="#231f20">
              <v:stroke dashstyle="solid"/>
            </v:line>
          </v:group>
        </w:pict>
      </w:r>
      <w:r>
        <w:rPr>
          <w:rFonts w:ascii="Helvetica"/>
          <w:position w:val="-1"/>
          <w:sz w:val="9"/>
        </w:rPr>
      </w:r>
      <w:r>
        <w:rPr>
          <w:rFonts w:ascii="Helvetica"/>
          <w:position w:val="-1"/>
          <w:sz w:val="9"/>
        </w:rPr>
        <w:tab/>
      </w:r>
      <w:r>
        <w:rPr>
          <w:rFonts w:ascii="Helvetica"/>
          <w:position w:val="-1"/>
          <w:sz w:val="9"/>
        </w:rPr>
        <w:pict>
          <v:group style="width:1pt;height:3.85pt;mso-position-horizontal-relative:char;mso-position-vertical-relative:line" coordorigin="0,0" coordsize="20,77">
            <v:line style="position:absolute" from="10,0" to="10,77" stroked="true" strokeweight="1pt" strokecolor="#231f20">
              <v:stroke dashstyle="solid"/>
            </v:line>
          </v:group>
        </w:pict>
      </w:r>
      <w:r>
        <w:rPr>
          <w:rFonts w:ascii="Helvetica"/>
          <w:position w:val="-1"/>
          <w:sz w:val="9"/>
        </w:rPr>
      </w:r>
      <w:r>
        <w:rPr>
          <w:rFonts w:ascii="Helvetica"/>
          <w:position w:val="-1"/>
          <w:sz w:val="9"/>
        </w:rPr>
        <w:tab/>
      </w:r>
      <w:r>
        <w:rPr>
          <w:rFonts w:ascii="Helvetica"/>
          <w:position w:val="-1"/>
          <w:sz w:val="9"/>
        </w:rPr>
        <w:pict>
          <v:group style="width:1pt;height:3.85pt;mso-position-horizontal-relative:char;mso-position-vertical-relative:line" coordorigin="0,0" coordsize="20,77">
            <v:line style="position:absolute" from="10,0" to="10,77" stroked="true" strokeweight="1pt" strokecolor="#231f20">
              <v:stroke dashstyle="solid"/>
            </v:line>
          </v:group>
        </w:pict>
      </w:r>
      <w:r>
        <w:rPr>
          <w:rFonts w:ascii="Helvetica"/>
          <w:position w:val="-1"/>
          <w:sz w:val="9"/>
        </w:rPr>
      </w:r>
      <w:r>
        <w:rPr>
          <w:rFonts w:ascii="Helvetica"/>
          <w:position w:val="-1"/>
          <w:sz w:val="9"/>
        </w:rPr>
        <w:tab/>
      </w:r>
      <w:r>
        <w:rPr>
          <w:rFonts w:ascii="Helvetica"/>
          <w:position w:val="-1"/>
          <w:sz w:val="9"/>
        </w:rPr>
        <w:pict>
          <v:group style="width:1pt;height:3.85pt;mso-position-horizontal-relative:char;mso-position-vertical-relative:line" coordorigin="0,0" coordsize="20,77">
            <v:line style="position:absolute" from="10,0" to="10,77" stroked="true" strokeweight="1pt" strokecolor="#231f20">
              <v:stroke dashstyle="solid"/>
            </v:line>
          </v:group>
        </w:pict>
      </w:r>
      <w:r>
        <w:rPr>
          <w:rFonts w:ascii="Helvetica"/>
          <w:position w:val="-1"/>
          <w:sz w:val="9"/>
        </w:rPr>
      </w:r>
    </w:p>
    <w:p>
      <w:pPr>
        <w:spacing w:after="0" w:line="96" w:lineRule="exact"/>
        <w:rPr>
          <w:rFonts w:ascii="Helvetica"/>
          <w:sz w:val="9"/>
        </w:rPr>
        <w:sectPr>
          <w:type w:val="continuous"/>
          <w:pgSz w:w="12240" w:h="15660"/>
          <w:pgMar w:top="0" w:bottom="760" w:left="0" w:right="0"/>
          <w:cols w:num="2" w:equalWidth="0">
            <w:col w:w="5801" w:space="849"/>
            <w:col w:w="5590"/>
          </w:cols>
        </w:sectPr>
      </w:pPr>
    </w:p>
    <w:p>
      <w:pPr>
        <w:pStyle w:val="BodyText"/>
        <w:spacing w:line="167" w:lineRule="exact"/>
        <w:ind w:left="1080"/>
      </w:pPr>
      <w:r>
        <w:rPr>
          <w:color w:val="231F20"/>
        </w:rPr>
        <w:t>collecting tubules are (1) the activity of the sodium-</w:t>
      </w:r>
    </w:p>
    <w:p>
      <w:pPr>
        <w:tabs>
          <w:tab w:pos="1592" w:val="left" w:leader="none"/>
          <w:tab w:pos="2105" w:val="left" w:leader="none"/>
          <w:tab w:pos="2618" w:val="left" w:leader="none"/>
          <w:tab w:pos="3136" w:val="left" w:leader="none"/>
        </w:tabs>
        <w:spacing w:line="167" w:lineRule="exact" w:before="11"/>
        <w:ind w:left="1080" w:right="0" w:firstLine="0"/>
        <w:jc w:val="left"/>
        <w:rPr>
          <w:rFonts w:ascii="Helvetica"/>
          <w:sz w:val="16"/>
        </w:rPr>
      </w:pPr>
      <w:r>
        <w:rPr/>
        <w:br w:type="column"/>
      </w:r>
      <w:r>
        <w:rPr>
          <w:rFonts w:ascii="Helvetica"/>
          <w:color w:val="231F20"/>
          <w:sz w:val="16"/>
        </w:rPr>
        <w:t>1</w:t>
        <w:tab/>
        <w:t>2</w:t>
        <w:tab/>
        <w:t>3</w:t>
        <w:tab/>
        <w:t>4</w:t>
        <w:tab/>
        <w:t>5</w:t>
      </w:r>
    </w:p>
    <w:p>
      <w:pPr>
        <w:spacing w:after="0" w:line="167" w:lineRule="exact"/>
        <w:jc w:val="left"/>
        <w:rPr>
          <w:rFonts w:ascii="Helvetica"/>
          <w:sz w:val="16"/>
        </w:rPr>
        <w:sectPr>
          <w:type w:val="continuous"/>
          <w:pgSz w:w="12240" w:h="15660"/>
          <w:pgMar w:top="0" w:bottom="760" w:left="0" w:right="0"/>
          <w:cols w:num="2" w:equalWidth="0">
            <w:col w:w="5801" w:space="895"/>
            <w:col w:w="5544"/>
          </w:cols>
        </w:sectPr>
      </w:pPr>
    </w:p>
    <w:p>
      <w:pPr>
        <w:pStyle w:val="BodyText"/>
        <w:spacing w:line="249" w:lineRule="auto"/>
        <w:ind w:left="1080"/>
        <w:jc w:val="both"/>
      </w:pPr>
      <w:r>
        <w:rPr>
          <w:color w:val="231F20"/>
          <w:w w:val="105"/>
        </w:rPr>
        <w:t>potassium ATPase pump, (2) the electrochemical </w:t>
      </w:r>
      <w:r>
        <w:rPr>
          <w:color w:val="231F20"/>
          <w:spacing w:val="-3"/>
          <w:w w:val="105"/>
        </w:rPr>
        <w:t>gradi- </w:t>
      </w:r>
      <w:r>
        <w:rPr>
          <w:color w:val="231F20"/>
          <w:w w:val="105"/>
        </w:rPr>
        <w:t>ent</w:t>
      </w:r>
      <w:r>
        <w:rPr>
          <w:color w:val="231F20"/>
          <w:spacing w:val="-9"/>
          <w:w w:val="105"/>
        </w:rPr>
        <w:t> </w:t>
      </w:r>
      <w:r>
        <w:rPr>
          <w:color w:val="231F20"/>
          <w:w w:val="105"/>
        </w:rPr>
        <w:t>for</w:t>
      </w:r>
      <w:r>
        <w:rPr>
          <w:color w:val="231F20"/>
          <w:spacing w:val="-8"/>
          <w:w w:val="105"/>
        </w:rPr>
        <w:t> </w:t>
      </w:r>
      <w:r>
        <w:rPr>
          <w:color w:val="231F20"/>
          <w:w w:val="105"/>
        </w:rPr>
        <w:t>potassium</w:t>
      </w:r>
      <w:r>
        <w:rPr>
          <w:color w:val="231F20"/>
          <w:spacing w:val="-8"/>
          <w:w w:val="105"/>
        </w:rPr>
        <w:t> </w:t>
      </w:r>
      <w:r>
        <w:rPr>
          <w:color w:val="231F20"/>
          <w:w w:val="105"/>
        </w:rPr>
        <w:t>secretion</w:t>
      </w:r>
      <w:r>
        <w:rPr>
          <w:color w:val="231F20"/>
          <w:spacing w:val="-9"/>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blood</w:t>
      </w:r>
      <w:r>
        <w:rPr>
          <w:color w:val="231F20"/>
          <w:spacing w:val="-9"/>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tubular lumen,</w:t>
      </w:r>
      <w:r>
        <w:rPr>
          <w:color w:val="231F20"/>
          <w:spacing w:val="-17"/>
          <w:w w:val="105"/>
        </w:rPr>
        <w:t> </w:t>
      </w:r>
      <w:r>
        <w:rPr>
          <w:color w:val="231F20"/>
          <w:w w:val="105"/>
        </w:rPr>
        <w:t>and</w:t>
      </w:r>
      <w:r>
        <w:rPr>
          <w:color w:val="231F20"/>
          <w:spacing w:val="-17"/>
          <w:w w:val="105"/>
        </w:rPr>
        <w:t> </w:t>
      </w:r>
      <w:r>
        <w:rPr>
          <w:color w:val="231F20"/>
          <w:w w:val="105"/>
        </w:rPr>
        <w:t>(3)</w:t>
      </w:r>
      <w:r>
        <w:rPr>
          <w:color w:val="231F20"/>
          <w:spacing w:val="-17"/>
          <w:w w:val="105"/>
        </w:rPr>
        <w:t> </w:t>
      </w:r>
      <w:r>
        <w:rPr>
          <w:color w:val="231F20"/>
          <w:w w:val="105"/>
        </w:rPr>
        <w:t>the</w:t>
      </w:r>
      <w:r>
        <w:rPr>
          <w:color w:val="231F20"/>
          <w:spacing w:val="-17"/>
          <w:w w:val="105"/>
        </w:rPr>
        <w:t> </w:t>
      </w:r>
      <w:r>
        <w:rPr>
          <w:color w:val="231F20"/>
          <w:w w:val="105"/>
        </w:rPr>
        <w:t>permeability</w:t>
      </w:r>
      <w:r>
        <w:rPr>
          <w:color w:val="231F20"/>
          <w:spacing w:val="-16"/>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luminal</w:t>
      </w:r>
      <w:r>
        <w:rPr>
          <w:color w:val="231F20"/>
          <w:spacing w:val="-17"/>
          <w:w w:val="105"/>
        </w:rPr>
        <w:t> </w:t>
      </w:r>
      <w:r>
        <w:rPr>
          <w:color w:val="231F20"/>
          <w:spacing w:val="-3"/>
          <w:w w:val="105"/>
        </w:rPr>
        <w:t>membrane </w:t>
      </w:r>
      <w:r>
        <w:rPr>
          <w:color w:val="231F20"/>
          <w:w w:val="105"/>
        </w:rPr>
        <w:t>for potassium. These three determinants of potassium secretion are in turn regulated by several factors dis- cussed</w:t>
      </w:r>
      <w:r>
        <w:rPr>
          <w:color w:val="231F20"/>
          <w:spacing w:val="3"/>
          <w:w w:val="105"/>
        </w:rPr>
        <w:t> </w:t>
      </w:r>
      <w:r>
        <w:rPr>
          <w:color w:val="231F20"/>
          <w:spacing w:val="-4"/>
          <w:w w:val="105"/>
        </w:rPr>
        <w:t>later.</w:t>
      </w:r>
    </w:p>
    <w:p>
      <w:pPr>
        <w:pStyle w:val="BodyText"/>
        <w:spacing w:before="10"/>
        <w:rPr>
          <w:sz w:val="21"/>
        </w:rPr>
      </w:pPr>
    </w:p>
    <w:p>
      <w:pPr>
        <w:pStyle w:val="BodyText"/>
        <w:spacing w:line="249" w:lineRule="auto" w:before="1"/>
        <w:ind w:left="1079"/>
        <w:jc w:val="both"/>
      </w:pPr>
      <w:r>
        <w:rPr>
          <w:rFonts w:ascii="Trebuchet MS"/>
          <w:b/>
          <w:color w:val="231F20"/>
          <w:sz w:val="19"/>
        </w:rPr>
        <w:t>Intercalated Cells Can Reabsorb or Secrete </w:t>
      </w:r>
      <w:r>
        <w:rPr>
          <w:rFonts w:ascii="Trebuchet MS"/>
          <w:b/>
          <w:color w:val="231F20"/>
          <w:spacing w:val="-3"/>
          <w:sz w:val="19"/>
        </w:rPr>
        <w:t>Potas- </w:t>
      </w:r>
      <w:r>
        <w:rPr>
          <w:rFonts w:ascii="Trebuchet MS"/>
          <w:b/>
          <w:color w:val="231F20"/>
          <w:sz w:val="19"/>
        </w:rPr>
        <w:t>sium. </w:t>
      </w:r>
      <w:r>
        <w:rPr>
          <w:color w:val="231F20"/>
        </w:rPr>
        <w:t>In circumstances associated with severe potas- sium depletion, there is a cessation of potassium secretion and a net reabsorption of potassium in the late distal </w:t>
      </w:r>
      <w:r>
        <w:rPr>
          <w:color w:val="231F20"/>
          <w:spacing w:val="-4"/>
        </w:rPr>
        <w:t>and </w:t>
      </w:r>
      <w:r>
        <w:rPr>
          <w:color w:val="231F20"/>
        </w:rPr>
        <w:t>collecting tubules. This reabsorption occurs through </w:t>
      </w:r>
      <w:r>
        <w:rPr>
          <w:color w:val="231F20"/>
          <w:spacing w:val="-6"/>
        </w:rPr>
        <w:t>the </w:t>
      </w:r>
      <w:r>
        <w:rPr>
          <w:i/>
          <w:color w:val="231F20"/>
        </w:rPr>
        <w:t>type A intercalated cells; </w:t>
      </w:r>
      <w:r>
        <w:rPr>
          <w:color w:val="231F20"/>
        </w:rPr>
        <w:t>although this reabsorptive process is not completely understood, one mechanism believed to contribute is a </w:t>
      </w:r>
      <w:r>
        <w:rPr>
          <w:i/>
          <w:color w:val="231F20"/>
        </w:rPr>
        <w:t>hydrogen-potassium </w:t>
      </w:r>
      <w:r>
        <w:rPr>
          <w:i/>
          <w:color w:val="231F20"/>
          <w:spacing w:val="-3"/>
        </w:rPr>
        <w:t>ATPase </w:t>
      </w:r>
      <w:r>
        <w:rPr>
          <w:color w:val="231F20"/>
        </w:rPr>
        <w:t>transport mechanism located in the luminal membrane (see Chapter 28, </w:t>
      </w:r>
      <w:r>
        <w:rPr>
          <w:rFonts w:ascii="Cambria"/>
          <w:b/>
          <w:color w:val="231F20"/>
        </w:rPr>
        <w:t>Figure 28-13</w:t>
      </w:r>
      <w:r>
        <w:rPr>
          <w:color w:val="231F20"/>
        </w:rPr>
        <w:t>). This transporter </w:t>
      </w:r>
      <w:r>
        <w:rPr>
          <w:color w:val="231F20"/>
          <w:spacing w:val="-4"/>
        </w:rPr>
        <w:t>reab- </w:t>
      </w:r>
      <w:r>
        <w:rPr>
          <w:color w:val="231F20"/>
        </w:rPr>
        <w:t>sorbs potassium in exchange for hydrogen ions secreted into the tubular lumen, and the potassium then diffuses through the basolateral membrane of the cell into </w:t>
      </w:r>
      <w:r>
        <w:rPr>
          <w:color w:val="231F20"/>
          <w:spacing w:val="-6"/>
        </w:rPr>
        <w:t>the </w:t>
      </w:r>
      <w:r>
        <w:rPr>
          <w:color w:val="231F20"/>
        </w:rPr>
        <w:t>blood. This transporter is necessary to allow potassium reabsorption during extracellular fluid potassium deple- tion, but under normal conditions it plays only a small role in controlling potassium</w:t>
      </w:r>
      <w:r>
        <w:rPr>
          <w:color w:val="231F20"/>
          <w:spacing w:val="34"/>
        </w:rPr>
        <w:t> </w:t>
      </w:r>
      <w:r>
        <w:rPr>
          <w:color w:val="231F20"/>
        </w:rPr>
        <w:t>excretion.</w:t>
      </w:r>
    </w:p>
    <w:p>
      <w:pPr>
        <w:pStyle w:val="BodyText"/>
        <w:spacing w:line="249" w:lineRule="auto" w:before="10"/>
        <w:ind w:left="1080" w:firstLine="240"/>
        <w:jc w:val="both"/>
      </w:pPr>
      <w:r>
        <w:rPr>
          <w:color w:val="231F20"/>
        </w:rPr>
        <w:t>When there is excess potassium in the body fluids,  </w:t>
      </w:r>
      <w:r>
        <w:rPr>
          <w:i/>
          <w:color w:val="231F20"/>
        </w:rPr>
        <w:t>type B intercalated cells </w:t>
      </w:r>
      <w:r>
        <w:rPr>
          <w:color w:val="231F20"/>
        </w:rPr>
        <w:t>in the late distal tubules </w:t>
      </w:r>
      <w:r>
        <w:rPr>
          <w:color w:val="231F20"/>
          <w:spacing w:val="-5"/>
        </w:rPr>
        <w:t>and </w:t>
      </w:r>
      <w:r>
        <w:rPr>
          <w:color w:val="231F20"/>
        </w:rPr>
        <w:t>collecting tubules actively secrete potassium into </w:t>
      </w:r>
      <w:r>
        <w:rPr>
          <w:color w:val="231F20"/>
          <w:spacing w:val="-6"/>
        </w:rPr>
        <w:t>the </w:t>
      </w:r>
      <w:r>
        <w:rPr>
          <w:color w:val="231F20"/>
        </w:rPr>
        <w:t>tubular lumen and have functions that are  opposite  </w:t>
      </w:r>
      <w:r>
        <w:rPr>
          <w:color w:val="231F20"/>
          <w:spacing w:val="-7"/>
        </w:rPr>
        <w:t>to </w:t>
      </w:r>
      <w:r>
        <w:rPr>
          <w:color w:val="231F20"/>
        </w:rPr>
        <w:t>type</w:t>
      </w:r>
      <w:r>
        <w:rPr>
          <w:color w:val="231F20"/>
          <w:spacing w:val="-5"/>
        </w:rPr>
        <w:t> </w:t>
      </w:r>
      <w:r>
        <w:rPr>
          <w:color w:val="231F20"/>
        </w:rPr>
        <w:t>A</w:t>
      </w:r>
      <w:r>
        <w:rPr>
          <w:color w:val="231F20"/>
          <w:spacing w:val="-5"/>
        </w:rPr>
        <w:t> </w:t>
      </w:r>
      <w:r>
        <w:rPr>
          <w:color w:val="231F20"/>
        </w:rPr>
        <w:t>cells</w:t>
      </w:r>
      <w:r>
        <w:rPr>
          <w:color w:val="231F20"/>
          <w:spacing w:val="-4"/>
        </w:rPr>
        <w:t> </w:t>
      </w:r>
      <w:r>
        <w:rPr>
          <w:color w:val="231F20"/>
        </w:rPr>
        <w:t>(see</w:t>
      </w:r>
      <w:r>
        <w:rPr>
          <w:color w:val="231F20"/>
          <w:spacing w:val="-5"/>
        </w:rPr>
        <w:t> </w:t>
      </w:r>
      <w:r>
        <w:rPr>
          <w:color w:val="231F20"/>
        </w:rPr>
        <w:t>Chapter</w:t>
      </w:r>
      <w:r>
        <w:rPr>
          <w:color w:val="231F20"/>
          <w:spacing w:val="-4"/>
        </w:rPr>
        <w:t> </w:t>
      </w:r>
      <w:r>
        <w:rPr>
          <w:color w:val="231F20"/>
        </w:rPr>
        <w:t>28,</w:t>
      </w:r>
      <w:r>
        <w:rPr>
          <w:color w:val="231F20"/>
          <w:spacing w:val="-5"/>
        </w:rPr>
        <w:t> </w:t>
      </w:r>
      <w:r>
        <w:rPr>
          <w:rFonts w:ascii="Cambria"/>
          <w:b/>
          <w:color w:val="231F20"/>
        </w:rPr>
        <w:t>Figure 28-13</w:t>
      </w:r>
      <w:r>
        <w:rPr>
          <w:color w:val="231F20"/>
        </w:rPr>
        <w:t>).</w:t>
      </w:r>
      <w:r>
        <w:rPr>
          <w:color w:val="231F20"/>
          <w:spacing w:val="-5"/>
        </w:rPr>
        <w:t> </w:t>
      </w:r>
      <w:r>
        <w:rPr>
          <w:color w:val="231F20"/>
        </w:rPr>
        <w:t>Potassium</w:t>
      </w:r>
      <w:r>
        <w:rPr>
          <w:color w:val="231F20"/>
          <w:spacing w:val="-4"/>
        </w:rPr>
        <w:t> </w:t>
      </w:r>
      <w:r>
        <w:rPr>
          <w:color w:val="231F20"/>
          <w:spacing w:val="-7"/>
        </w:rPr>
        <w:t>is </w:t>
      </w:r>
      <w:r>
        <w:rPr>
          <w:color w:val="231F20"/>
        </w:rPr>
        <w:t>pumped into the type B intercalated cell by a </w:t>
      </w:r>
      <w:r>
        <w:rPr>
          <w:color w:val="231F20"/>
          <w:spacing w:val="-3"/>
        </w:rPr>
        <w:t>hydrogen- </w:t>
      </w:r>
      <w:r>
        <w:rPr>
          <w:color w:val="231F20"/>
        </w:rPr>
        <w:t>potassium ATPase pump on the basolateral membrane, and it then diffuses into the tubular lumen through potas- sium</w:t>
      </w:r>
      <w:r>
        <w:rPr>
          <w:color w:val="231F20"/>
          <w:spacing w:val="6"/>
        </w:rPr>
        <w:t> </w:t>
      </w:r>
      <w:r>
        <w:rPr>
          <w:color w:val="231F20"/>
        </w:rPr>
        <w:t>channels.</w:t>
      </w:r>
    </w:p>
    <w:p>
      <w:pPr>
        <w:pStyle w:val="BodyText"/>
        <w:spacing w:before="10"/>
        <w:rPr>
          <w:sz w:val="30"/>
        </w:rPr>
      </w:pPr>
    </w:p>
    <w:p>
      <w:pPr>
        <w:pStyle w:val="Heading2"/>
        <w:spacing w:line="225" w:lineRule="auto" w:before="1"/>
        <w:ind w:left="1080" w:right="720"/>
      </w:pPr>
      <w:r>
        <w:rPr>
          <w:color w:val="231F20"/>
          <w:w w:val="105"/>
        </w:rPr>
        <w:t>SUMMARY OF MAJOR FACTORS THAT REGULATE POTASSIUM SECRETION</w:t>
      </w:r>
    </w:p>
    <w:p>
      <w:pPr>
        <w:pStyle w:val="BodyText"/>
        <w:spacing w:line="249" w:lineRule="auto" w:before="127"/>
        <w:ind w:left="1080"/>
        <w:jc w:val="both"/>
      </w:pPr>
      <w:r>
        <w:rPr>
          <w:color w:val="231F20"/>
          <w:w w:val="105"/>
        </w:rPr>
        <w:t>Because</w:t>
      </w:r>
      <w:r>
        <w:rPr>
          <w:color w:val="231F20"/>
          <w:spacing w:val="-24"/>
          <w:w w:val="105"/>
        </w:rPr>
        <w:t> </w:t>
      </w:r>
      <w:r>
        <w:rPr>
          <w:color w:val="231F20"/>
          <w:w w:val="105"/>
        </w:rPr>
        <w:t>normal</w:t>
      </w:r>
      <w:r>
        <w:rPr>
          <w:color w:val="231F20"/>
          <w:spacing w:val="-24"/>
          <w:w w:val="105"/>
        </w:rPr>
        <w:t> </w:t>
      </w:r>
      <w:r>
        <w:rPr>
          <w:color w:val="231F20"/>
          <w:w w:val="105"/>
        </w:rPr>
        <w:t>regulation</w:t>
      </w:r>
      <w:r>
        <w:rPr>
          <w:color w:val="231F20"/>
          <w:spacing w:val="-24"/>
          <w:w w:val="105"/>
        </w:rPr>
        <w:t> </w:t>
      </w:r>
      <w:r>
        <w:rPr>
          <w:color w:val="231F20"/>
          <w:w w:val="105"/>
        </w:rPr>
        <w:t>of</w:t>
      </w:r>
      <w:r>
        <w:rPr>
          <w:color w:val="231F20"/>
          <w:spacing w:val="-24"/>
          <w:w w:val="105"/>
        </w:rPr>
        <w:t> </w:t>
      </w:r>
      <w:r>
        <w:rPr>
          <w:color w:val="231F20"/>
          <w:w w:val="105"/>
        </w:rPr>
        <w:t>potassium</w:t>
      </w:r>
      <w:r>
        <w:rPr>
          <w:color w:val="231F20"/>
          <w:spacing w:val="-24"/>
          <w:w w:val="105"/>
        </w:rPr>
        <w:t> </w:t>
      </w:r>
      <w:r>
        <w:rPr>
          <w:color w:val="231F20"/>
          <w:w w:val="105"/>
        </w:rPr>
        <w:t>excretion</w:t>
      </w:r>
      <w:r>
        <w:rPr>
          <w:color w:val="231F20"/>
          <w:spacing w:val="-24"/>
          <w:w w:val="105"/>
        </w:rPr>
        <w:t> </w:t>
      </w:r>
      <w:r>
        <w:rPr>
          <w:color w:val="231F20"/>
          <w:w w:val="105"/>
        </w:rPr>
        <w:t>occurs mainly as a result of changes in potassium secretion </w:t>
      </w:r>
      <w:r>
        <w:rPr>
          <w:color w:val="231F20"/>
          <w:spacing w:val="-8"/>
          <w:w w:val="105"/>
        </w:rPr>
        <w:t>by </w:t>
      </w:r>
      <w:r>
        <w:rPr>
          <w:color w:val="231F20"/>
          <w:w w:val="105"/>
        </w:rPr>
        <w:t>the</w:t>
      </w:r>
      <w:r>
        <w:rPr>
          <w:color w:val="231F20"/>
          <w:spacing w:val="-19"/>
          <w:w w:val="105"/>
        </w:rPr>
        <w:t> </w:t>
      </w:r>
      <w:r>
        <w:rPr>
          <w:color w:val="231F20"/>
          <w:w w:val="105"/>
        </w:rPr>
        <w:t>principal</w:t>
      </w:r>
      <w:r>
        <w:rPr>
          <w:color w:val="231F20"/>
          <w:spacing w:val="-19"/>
          <w:w w:val="105"/>
        </w:rPr>
        <w:t> </w:t>
      </w:r>
      <w:r>
        <w:rPr>
          <w:color w:val="231F20"/>
          <w:w w:val="105"/>
        </w:rPr>
        <w:t>cells</w:t>
      </w:r>
      <w:r>
        <w:rPr>
          <w:color w:val="231F20"/>
          <w:spacing w:val="-18"/>
          <w:w w:val="105"/>
        </w:rPr>
        <w:t> </w:t>
      </w:r>
      <w:r>
        <w:rPr>
          <w:color w:val="231F20"/>
          <w:w w:val="105"/>
        </w:rPr>
        <w:t>of</w:t>
      </w:r>
      <w:r>
        <w:rPr>
          <w:color w:val="231F20"/>
          <w:spacing w:val="-19"/>
          <w:w w:val="105"/>
        </w:rPr>
        <w:t> </w:t>
      </w:r>
      <w:r>
        <w:rPr>
          <w:color w:val="231F20"/>
          <w:w w:val="105"/>
        </w:rPr>
        <w:t>the</w:t>
      </w:r>
      <w:r>
        <w:rPr>
          <w:color w:val="231F20"/>
          <w:spacing w:val="-18"/>
          <w:w w:val="105"/>
        </w:rPr>
        <w:t> </w:t>
      </w:r>
      <w:r>
        <w:rPr>
          <w:color w:val="231F20"/>
          <w:w w:val="105"/>
        </w:rPr>
        <w:t>late</w:t>
      </w:r>
      <w:r>
        <w:rPr>
          <w:color w:val="231F20"/>
          <w:spacing w:val="-19"/>
          <w:w w:val="105"/>
        </w:rPr>
        <w:t> </w:t>
      </w:r>
      <w:r>
        <w:rPr>
          <w:color w:val="231F20"/>
          <w:w w:val="105"/>
        </w:rPr>
        <w:t>distal</w:t>
      </w:r>
      <w:r>
        <w:rPr>
          <w:color w:val="231F20"/>
          <w:spacing w:val="-18"/>
          <w:w w:val="105"/>
        </w:rPr>
        <w:t> </w:t>
      </w:r>
      <w:r>
        <w:rPr>
          <w:color w:val="231F20"/>
          <w:w w:val="105"/>
        </w:rPr>
        <w:t>and</w:t>
      </w:r>
      <w:r>
        <w:rPr>
          <w:color w:val="231F20"/>
          <w:spacing w:val="-19"/>
          <w:w w:val="105"/>
        </w:rPr>
        <w:t> </w:t>
      </w:r>
      <w:r>
        <w:rPr>
          <w:color w:val="231F20"/>
          <w:w w:val="105"/>
        </w:rPr>
        <w:t>collecting</w:t>
      </w:r>
      <w:r>
        <w:rPr>
          <w:color w:val="231F20"/>
          <w:spacing w:val="-19"/>
          <w:w w:val="105"/>
        </w:rPr>
        <w:t> </w:t>
      </w:r>
      <w:r>
        <w:rPr>
          <w:color w:val="231F20"/>
          <w:w w:val="105"/>
        </w:rPr>
        <w:t>tubules, in this chapter we discuss the primary factors that </w:t>
      </w:r>
      <w:r>
        <w:rPr>
          <w:color w:val="231F20"/>
          <w:spacing w:val="-3"/>
          <w:w w:val="105"/>
        </w:rPr>
        <w:t>influ- </w:t>
      </w:r>
      <w:r>
        <w:rPr>
          <w:color w:val="231F20"/>
          <w:w w:val="105"/>
        </w:rPr>
        <w:t>ence</w:t>
      </w:r>
      <w:r>
        <w:rPr>
          <w:color w:val="231F20"/>
          <w:spacing w:val="-12"/>
          <w:w w:val="105"/>
        </w:rPr>
        <w:t> </w:t>
      </w:r>
      <w:r>
        <w:rPr>
          <w:color w:val="231F20"/>
          <w:w w:val="105"/>
        </w:rPr>
        <w:t>secretion</w:t>
      </w:r>
      <w:r>
        <w:rPr>
          <w:color w:val="231F20"/>
          <w:spacing w:val="-12"/>
          <w:w w:val="105"/>
        </w:rPr>
        <w:t> </w:t>
      </w:r>
      <w:r>
        <w:rPr>
          <w:color w:val="231F20"/>
          <w:w w:val="105"/>
        </w:rPr>
        <w:t>by</w:t>
      </w:r>
      <w:r>
        <w:rPr>
          <w:color w:val="231F20"/>
          <w:spacing w:val="-12"/>
          <w:w w:val="105"/>
        </w:rPr>
        <w:t> </w:t>
      </w:r>
      <w:r>
        <w:rPr>
          <w:color w:val="231F20"/>
          <w:w w:val="105"/>
        </w:rPr>
        <w:t>these</w:t>
      </w:r>
      <w:r>
        <w:rPr>
          <w:color w:val="231F20"/>
          <w:spacing w:val="-11"/>
          <w:w w:val="105"/>
        </w:rPr>
        <w:t> </w:t>
      </w:r>
      <w:r>
        <w:rPr>
          <w:color w:val="231F20"/>
          <w:w w:val="105"/>
        </w:rPr>
        <w:t>cells.</w:t>
      </w:r>
      <w:r>
        <w:rPr>
          <w:color w:val="231F20"/>
          <w:spacing w:val="-12"/>
          <w:w w:val="105"/>
        </w:rPr>
        <w:t> </w:t>
      </w:r>
      <w:r>
        <w:rPr>
          <w:color w:val="231F20"/>
          <w:w w:val="105"/>
        </w:rPr>
        <w:t>The</w:t>
      </w:r>
      <w:r>
        <w:rPr>
          <w:color w:val="231F20"/>
          <w:spacing w:val="-12"/>
          <w:w w:val="105"/>
        </w:rPr>
        <w:t> </w:t>
      </w:r>
      <w:r>
        <w:rPr>
          <w:color w:val="231F20"/>
          <w:w w:val="105"/>
        </w:rPr>
        <w:t>most</w:t>
      </w:r>
      <w:r>
        <w:rPr>
          <w:color w:val="231F20"/>
          <w:spacing w:val="-11"/>
          <w:w w:val="105"/>
        </w:rPr>
        <w:t> </w:t>
      </w:r>
      <w:r>
        <w:rPr>
          <w:color w:val="231F20"/>
          <w:w w:val="105"/>
        </w:rPr>
        <w:t>important</w:t>
      </w:r>
      <w:r>
        <w:rPr>
          <w:color w:val="231F20"/>
          <w:spacing w:val="-12"/>
          <w:w w:val="105"/>
        </w:rPr>
        <w:t> </w:t>
      </w:r>
      <w:r>
        <w:rPr>
          <w:color w:val="231F20"/>
          <w:w w:val="105"/>
        </w:rPr>
        <w:t>factors</w:t>
      </w:r>
    </w:p>
    <w:p>
      <w:pPr>
        <w:spacing w:line="235" w:lineRule="auto" w:before="7"/>
        <w:ind w:left="2795" w:right="1872" w:hanging="1156"/>
        <w:jc w:val="left"/>
        <w:rPr>
          <w:rFonts w:ascii="Helvetica"/>
          <w:b/>
          <w:sz w:val="16"/>
        </w:rPr>
      </w:pPr>
      <w:r>
        <w:rPr/>
        <w:br w:type="column"/>
      </w:r>
      <w:r>
        <w:rPr>
          <w:rFonts w:ascii="Helvetica"/>
          <w:b/>
          <w:color w:val="231F20"/>
          <w:sz w:val="16"/>
        </w:rPr>
        <w:t>Extracellular potassium concentration (mEq/L)</w:t>
      </w:r>
    </w:p>
    <w:p>
      <w:pPr>
        <w:spacing w:line="254" w:lineRule="auto" w:before="88"/>
        <w:ind w:left="319" w:right="1437" w:firstLine="0"/>
        <w:jc w:val="both"/>
        <w:rPr>
          <w:rFonts w:ascii="Lucida Sans"/>
          <w:i/>
          <w:sz w:val="16"/>
        </w:rPr>
      </w:pPr>
      <w:bookmarkStart w:name="_bookmark86" w:id="87"/>
      <w:bookmarkEnd w:id="87"/>
      <w:r>
        <w:rPr/>
      </w:r>
      <w:r>
        <w:rPr>
          <w:rFonts w:ascii="Trebuchet MS"/>
          <w:b/>
          <w:color w:val="231F20"/>
          <w:sz w:val="16"/>
        </w:rPr>
        <w:t>Figure</w:t>
      </w:r>
      <w:r>
        <w:rPr>
          <w:rFonts w:ascii="Trebuchet MS"/>
          <w:b/>
          <w:color w:val="231F20"/>
          <w:spacing w:val="-10"/>
          <w:sz w:val="16"/>
        </w:rPr>
        <w:t> </w:t>
      </w:r>
      <w:r>
        <w:rPr>
          <w:rFonts w:ascii="Trebuchet MS"/>
          <w:b/>
          <w:color w:val="231F20"/>
          <w:sz w:val="16"/>
        </w:rPr>
        <w:t>30-4.</w:t>
      </w:r>
      <w:r>
        <w:rPr>
          <w:rFonts w:ascii="Trebuchet MS"/>
          <w:b/>
          <w:color w:val="231F20"/>
          <w:spacing w:val="-2"/>
          <w:sz w:val="16"/>
        </w:rPr>
        <w:t> </w:t>
      </w:r>
      <w:r>
        <w:rPr>
          <w:rFonts w:ascii="Arial"/>
          <w:color w:val="231F20"/>
          <w:sz w:val="16"/>
        </w:rPr>
        <w:t>Effect</w:t>
      </w:r>
      <w:r>
        <w:rPr>
          <w:rFonts w:ascii="Arial"/>
          <w:color w:val="231F20"/>
          <w:spacing w:val="-6"/>
          <w:sz w:val="16"/>
        </w:rPr>
        <w:t> </w:t>
      </w:r>
      <w:r>
        <w:rPr>
          <w:rFonts w:ascii="Arial"/>
          <w:color w:val="231F20"/>
          <w:sz w:val="16"/>
        </w:rPr>
        <w:t>of</w:t>
      </w:r>
      <w:r>
        <w:rPr>
          <w:rFonts w:ascii="Arial"/>
          <w:color w:val="231F20"/>
          <w:spacing w:val="-6"/>
          <w:sz w:val="16"/>
        </w:rPr>
        <w:t> </w:t>
      </w:r>
      <w:r>
        <w:rPr>
          <w:rFonts w:ascii="Arial"/>
          <w:color w:val="231F20"/>
          <w:sz w:val="16"/>
        </w:rPr>
        <w:t>plasma</w:t>
      </w:r>
      <w:r>
        <w:rPr>
          <w:rFonts w:ascii="Arial"/>
          <w:color w:val="231F20"/>
          <w:spacing w:val="-6"/>
          <w:sz w:val="16"/>
        </w:rPr>
        <w:t> </w:t>
      </w:r>
      <w:r>
        <w:rPr>
          <w:rFonts w:ascii="Arial"/>
          <w:color w:val="231F20"/>
          <w:sz w:val="16"/>
        </w:rPr>
        <w:t>aldosterone</w:t>
      </w:r>
      <w:r>
        <w:rPr>
          <w:rFonts w:ascii="Arial"/>
          <w:color w:val="231F20"/>
          <w:spacing w:val="-6"/>
          <w:sz w:val="16"/>
        </w:rPr>
        <w:t> </w:t>
      </w:r>
      <w:r>
        <w:rPr>
          <w:rFonts w:ascii="Arial"/>
          <w:color w:val="231F20"/>
          <w:sz w:val="16"/>
        </w:rPr>
        <w:t>concentration</w:t>
      </w:r>
      <w:r>
        <w:rPr>
          <w:rFonts w:ascii="Arial"/>
          <w:color w:val="231F20"/>
          <w:spacing w:val="-6"/>
          <w:sz w:val="16"/>
        </w:rPr>
        <w:t> </w:t>
      </w:r>
      <w:r>
        <w:rPr>
          <w:rFonts w:ascii="Arial"/>
          <w:color w:val="231F20"/>
          <w:sz w:val="16"/>
        </w:rPr>
        <w:t>(</w:t>
      </w:r>
      <w:r>
        <w:rPr>
          <w:rFonts w:ascii="Lucida Sans"/>
          <w:i/>
          <w:color w:val="231F20"/>
          <w:sz w:val="16"/>
        </w:rPr>
        <w:t>red</w:t>
      </w:r>
      <w:r>
        <w:rPr>
          <w:rFonts w:ascii="Lucida Sans"/>
          <w:i/>
          <w:color w:val="231F20"/>
          <w:spacing w:val="-13"/>
          <w:sz w:val="16"/>
        </w:rPr>
        <w:t> </w:t>
      </w:r>
      <w:r>
        <w:rPr>
          <w:rFonts w:ascii="Lucida Sans"/>
          <w:i/>
          <w:color w:val="231F20"/>
          <w:spacing w:val="-3"/>
          <w:sz w:val="16"/>
        </w:rPr>
        <w:t>line</w:t>
      </w:r>
      <w:r>
        <w:rPr>
          <w:rFonts w:ascii="Arial"/>
          <w:color w:val="231F20"/>
          <w:spacing w:val="-3"/>
          <w:sz w:val="16"/>
        </w:rPr>
        <w:t>) </w:t>
      </w:r>
      <w:r>
        <w:rPr>
          <w:rFonts w:ascii="Arial"/>
          <w:color w:val="231F20"/>
          <w:sz w:val="16"/>
        </w:rPr>
        <w:t>and</w:t>
      </w:r>
      <w:r>
        <w:rPr>
          <w:rFonts w:ascii="Arial"/>
          <w:color w:val="231F20"/>
          <w:spacing w:val="-25"/>
          <w:sz w:val="16"/>
        </w:rPr>
        <w:t> </w:t>
      </w:r>
      <w:r>
        <w:rPr>
          <w:rFonts w:ascii="Arial"/>
          <w:color w:val="231F20"/>
          <w:sz w:val="16"/>
        </w:rPr>
        <w:t>extracellular</w:t>
      </w:r>
      <w:r>
        <w:rPr>
          <w:rFonts w:ascii="Arial"/>
          <w:color w:val="231F20"/>
          <w:spacing w:val="-24"/>
          <w:sz w:val="16"/>
        </w:rPr>
        <w:t> </w:t>
      </w:r>
      <w:r>
        <w:rPr>
          <w:rFonts w:ascii="Arial"/>
          <w:color w:val="231F20"/>
          <w:sz w:val="16"/>
        </w:rPr>
        <w:t>potassium</w:t>
      </w:r>
      <w:r>
        <w:rPr>
          <w:rFonts w:ascii="Arial"/>
          <w:color w:val="231F20"/>
          <w:spacing w:val="-25"/>
          <w:sz w:val="16"/>
        </w:rPr>
        <w:t> </w:t>
      </w:r>
      <w:r>
        <w:rPr>
          <w:rFonts w:ascii="Arial"/>
          <w:color w:val="231F20"/>
          <w:sz w:val="16"/>
        </w:rPr>
        <w:t>ion</w:t>
      </w:r>
      <w:r>
        <w:rPr>
          <w:rFonts w:ascii="Arial"/>
          <w:color w:val="231F20"/>
          <w:spacing w:val="-24"/>
          <w:sz w:val="16"/>
        </w:rPr>
        <w:t> </w:t>
      </w:r>
      <w:r>
        <w:rPr>
          <w:rFonts w:ascii="Arial"/>
          <w:color w:val="231F20"/>
          <w:sz w:val="16"/>
        </w:rPr>
        <w:t>concentration</w:t>
      </w:r>
      <w:r>
        <w:rPr>
          <w:rFonts w:ascii="Arial"/>
          <w:color w:val="231F20"/>
          <w:spacing w:val="-24"/>
          <w:sz w:val="16"/>
        </w:rPr>
        <w:t> </w:t>
      </w:r>
      <w:r>
        <w:rPr>
          <w:rFonts w:ascii="Arial"/>
          <w:color w:val="231F20"/>
          <w:sz w:val="16"/>
        </w:rPr>
        <w:t>(</w:t>
      </w:r>
      <w:r>
        <w:rPr>
          <w:rFonts w:ascii="Lucida Sans"/>
          <w:i/>
          <w:color w:val="231F20"/>
          <w:sz w:val="16"/>
        </w:rPr>
        <w:t>black</w:t>
      </w:r>
      <w:r>
        <w:rPr>
          <w:rFonts w:ascii="Lucida Sans"/>
          <w:i/>
          <w:color w:val="231F20"/>
          <w:spacing w:val="-31"/>
          <w:sz w:val="16"/>
        </w:rPr>
        <w:t> </w:t>
      </w:r>
      <w:r>
        <w:rPr>
          <w:rFonts w:ascii="Lucida Sans"/>
          <w:i/>
          <w:color w:val="231F20"/>
          <w:sz w:val="16"/>
        </w:rPr>
        <w:t>line</w:t>
      </w:r>
      <w:r>
        <w:rPr>
          <w:rFonts w:ascii="Arial"/>
          <w:color w:val="231F20"/>
          <w:sz w:val="16"/>
        </w:rPr>
        <w:t>)</w:t>
      </w:r>
      <w:r>
        <w:rPr>
          <w:rFonts w:ascii="Arial"/>
          <w:color w:val="231F20"/>
          <w:spacing w:val="-24"/>
          <w:sz w:val="16"/>
        </w:rPr>
        <w:t> </w:t>
      </w:r>
      <w:r>
        <w:rPr>
          <w:rFonts w:ascii="Arial"/>
          <w:color w:val="231F20"/>
          <w:sz w:val="16"/>
        </w:rPr>
        <w:t>on</w:t>
      </w:r>
      <w:r>
        <w:rPr>
          <w:rFonts w:ascii="Arial"/>
          <w:color w:val="231F20"/>
          <w:spacing w:val="-25"/>
          <w:sz w:val="16"/>
        </w:rPr>
        <w:t> </w:t>
      </w:r>
      <w:r>
        <w:rPr>
          <w:rFonts w:ascii="Arial"/>
          <w:color w:val="231F20"/>
          <w:sz w:val="16"/>
        </w:rPr>
        <w:t>the</w:t>
      </w:r>
      <w:r>
        <w:rPr>
          <w:rFonts w:ascii="Arial"/>
          <w:color w:val="231F20"/>
          <w:spacing w:val="-24"/>
          <w:sz w:val="16"/>
        </w:rPr>
        <w:t> </w:t>
      </w:r>
      <w:r>
        <w:rPr>
          <w:rFonts w:ascii="Arial"/>
          <w:color w:val="231F20"/>
          <w:spacing w:val="-3"/>
          <w:sz w:val="16"/>
        </w:rPr>
        <w:t>rate </w:t>
      </w:r>
      <w:r>
        <w:rPr>
          <w:rFonts w:ascii="Arial"/>
          <w:color w:val="231F20"/>
          <w:sz w:val="16"/>
        </w:rPr>
        <w:t>of urinary potassium excretion. These factors stimulate potassium secretion</w:t>
      </w:r>
      <w:r>
        <w:rPr>
          <w:rFonts w:ascii="Arial"/>
          <w:color w:val="231F20"/>
          <w:spacing w:val="-23"/>
          <w:sz w:val="16"/>
        </w:rPr>
        <w:t> </w:t>
      </w:r>
      <w:r>
        <w:rPr>
          <w:rFonts w:ascii="Arial"/>
          <w:color w:val="231F20"/>
          <w:sz w:val="16"/>
        </w:rPr>
        <w:t>by</w:t>
      </w:r>
      <w:r>
        <w:rPr>
          <w:rFonts w:ascii="Arial"/>
          <w:color w:val="231F20"/>
          <w:spacing w:val="-24"/>
          <w:sz w:val="16"/>
        </w:rPr>
        <w:t> </w:t>
      </w:r>
      <w:r>
        <w:rPr>
          <w:rFonts w:ascii="Arial"/>
          <w:color w:val="231F20"/>
          <w:sz w:val="16"/>
        </w:rPr>
        <w:t>the</w:t>
      </w:r>
      <w:r>
        <w:rPr>
          <w:rFonts w:ascii="Arial"/>
          <w:color w:val="231F20"/>
          <w:spacing w:val="-23"/>
          <w:sz w:val="16"/>
        </w:rPr>
        <w:t> </w:t>
      </w:r>
      <w:r>
        <w:rPr>
          <w:rFonts w:ascii="Arial"/>
          <w:color w:val="231F20"/>
          <w:sz w:val="16"/>
        </w:rPr>
        <w:t>principal</w:t>
      </w:r>
      <w:r>
        <w:rPr>
          <w:rFonts w:ascii="Arial"/>
          <w:color w:val="231F20"/>
          <w:spacing w:val="-23"/>
          <w:sz w:val="16"/>
        </w:rPr>
        <w:t> </w:t>
      </w:r>
      <w:r>
        <w:rPr>
          <w:rFonts w:ascii="Arial"/>
          <w:color w:val="231F20"/>
          <w:sz w:val="16"/>
        </w:rPr>
        <w:t>cells</w:t>
      </w:r>
      <w:r>
        <w:rPr>
          <w:rFonts w:ascii="Arial"/>
          <w:color w:val="231F20"/>
          <w:spacing w:val="-23"/>
          <w:sz w:val="16"/>
        </w:rPr>
        <w:t> </w:t>
      </w:r>
      <w:r>
        <w:rPr>
          <w:rFonts w:ascii="Arial"/>
          <w:color w:val="231F20"/>
          <w:sz w:val="16"/>
        </w:rPr>
        <w:t>of</w:t>
      </w:r>
      <w:r>
        <w:rPr>
          <w:rFonts w:ascii="Arial"/>
          <w:color w:val="231F20"/>
          <w:spacing w:val="-23"/>
          <w:sz w:val="16"/>
        </w:rPr>
        <w:t> </w:t>
      </w:r>
      <w:r>
        <w:rPr>
          <w:rFonts w:ascii="Arial"/>
          <w:color w:val="231F20"/>
          <w:sz w:val="16"/>
        </w:rPr>
        <w:t>the</w:t>
      </w:r>
      <w:r>
        <w:rPr>
          <w:rFonts w:ascii="Arial"/>
          <w:color w:val="231F20"/>
          <w:spacing w:val="-23"/>
          <w:sz w:val="16"/>
        </w:rPr>
        <w:t> </w:t>
      </w:r>
      <w:r>
        <w:rPr>
          <w:rFonts w:ascii="Arial"/>
          <w:color w:val="231F20"/>
          <w:sz w:val="16"/>
        </w:rPr>
        <w:t>cortical</w:t>
      </w:r>
      <w:r>
        <w:rPr>
          <w:rFonts w:ascii="Arial"/>
          <w:color w:val="231F20"/>
          <w:spacing w:val="-23"/>
          <w:sz w:val="16"/>
        </w:rPr>
        <w:t> </w:t>
      </w:r>
      <w:r>
        <w:rPr>
          <w:rFonts w:ascii="Arial"/>
          <w:color w:val="231F20"/>
          <w:sz w:val="16"/>
        </w:rPr>
        <w:t>collecting</w:t>
      </w:r>
      <w:r>
        <w:rPr>
          <w:rFonts w:ascii="Arial"/>
          <w:color w:val="231F20"/>
          <w:spacing w:val="-23"/>
          <w:sz w:val="16"/>
        </w:rPr>
        <w:t> </w:t>
      </w:r>
      <w:r>
        <w:rPr>
          <w:rFonts w:ascii="Arial"/>
          <w:color w:val="231F20"/>
          <w:sz w:val="16"/>
        </w:rPr>
        <w:t>tubules.</w:t>
      </w:r>
      <w:r>
        <w:rPr>
          <w:rFonts w:ascii="Arial"/>
          <w:color w:val="231F20"/>
          <w:spacing w:val="-23"/>
          <w:sz w:val="16"/>
        </w:rPr>
        <w:t> </w:t>
      </w:r>
      <w:r>
        <w:rPr>
          <w:rFonts w:ascii="Lucida Sans"/>
          <w:i/>
          <w:color w:val="231F20"/>
          <w:spacing w:val="-3"/>
          <w:sz w:val="16"/>
        </w:rPr>
        <w:t>(Data </w:t>
      </w:r>
      <w:r>
        <w:rPr>
          <w:rFonts w:ascii="Lucida Sans"/>
          <w:i/>
          <w:color w:val="231F20"/>
          <w:w w:val="95"/>
          <w:sz w:val="16"/>
        </w:rPr>
        <w:t>from</w:t>
      </w:r>
      <w:r>
        <w:rPr>
          <w:rFonts w:ascii="Lucida Sans"/>
          <w:i/>
          <w:color w:val="231F20"/>
          <w:spacing w:val="-33"/>
          <w:w w:val="95"/>
          <w:sz w:val="16"/>
        </w:rPr>
        <w:t> </w:t>
      </w:r>
      <w:r>
        <w:rPr>
          <w:rFonts w:ascii="Lucida Sans"/>
          <w:i/>
          <w:color w:val="231F20"/>
          <w:spacing w:val="-3"/>
          <w:w w:val="95"/>
          <w:sz w:val="16"/>
        </w:rPr>
        <w:t>Young</w:t>
      </w:r>
      <w:r>
        <w:rPr>
          <w:rFonts w:ascii="Lucida Sans"/>
          <w:i/>
          <w:color w:val="231F20"/>
          <w:spacing w:val="-32"/>
          <w:w w:val="95"/>
          <w:sz w:val="16"/>
        </w:rPr>
        <w:t> </w:t>
      </w:r>
      <w:r>
        <w:rPr>
          <w:rFonts w:ascii="Lucida Sans"/>
          <w:i/>
          <w:color w:val="231F20"/>
          <w:w w:val="95"/>
          <w:sz w:val="16"/>
        </w:rPr>
        <w:t>DB,</w:t>
      </w:r>
      <w:r>
        <w:rPr>
          <w:rFonts w:ascii="Lucida Sans"/>
          <w:i/>
          <w:color w:val="231F20"/>
          <w:spacing w:val="-33"/>
          <w:w w:val="95"/>
          <w:sz w:val="16"/>
        </w:rPr>
        <w:t> </w:t>
      </w:r>
      <w:r>
        <w:rPr>
          <w:rFonts w:ascii="Lucida Sans"/>
          <w:i/>
          <w:color w:val="231F20"/>
          <w:w w:val="95"/>
          <w:sz w:val="16"/>
        </w:rPr>
        <w:t>Paulsen</w:t>
      </w:r>
      <w:r>
        <w:rPr>
          <w:rFonts w:ascii="Lucida Sans"/>
          <w:i/>
          <w:color w:val="231F20"/>
          <w:spacing w:val="-32"/>
          <w:w w:val="95"/>
          <w:sz w:val="16"/>
        </w:rPr>
        <w:t> </w:t>
      </w:r>
      <w:r>
        <w:rPr>
          <w:rFonts w:ascii="Lucida Sans"/>
          <w:i/>
          <w:color w:val="231F20"/>
          <w:spacing w:val="-4"/>
          <w:w w:val="95"/>
          <w:sz w:val="16"/>
        </w:rPr>
        <w:t>AW:</w:t>
      </w:r>
      <w:r>
        <w:rPr>
          <w:rFonts w:ascii="Lucida Sans"/>
          <w:i/>
          <w:color w:val="231F20"/>
          <w:spacing w:val="-33"/>
          <w:w w:val="95"/>
          <w:sz w:val="16"/>
        </w:rPr>
        <w:t> </w:t>
      </w:r>
      <w:r>
        <w:rPr>
          <w:rFonts w:ascii="Lucida Sans"/>
          <w:i/>
          <w:color w:val="231F20"/>
          <w:w w:val="95"/>
          <w:sz w:val="16"/>
        </w:rPr>
        <w:t>Interrelated</w:t>
      </w:r>
      <w:r>
        <w:rPr>
          <w:rFonts w:ascii="Lucida Sans"/>
          <w:i/>
          <w:color w:val="231F20"/>
          <w:spacing w:val="-32"/>
          <w:w w:val="95"/>
          <w:sz w:val="16"/>
        </w:rPr>
        <w:t> </w:t>
      </w:r>
      <w:r>
        <w:rPr>
          <w:rFonts w:ascii="Lucida Sans"/>
          <w:i/>
          <w:color w:val="231F20"/>
          <w:w w:val="95"/>
          <w:sz w:val="16"/>
        </w:rPr>
        <w:t>effects</w:t>
      </w:r>
      <w:r>
        <w:rPr>
          <w:rFonts w:ascii="Lucida Sans"/>
          <w:i/>
          <w:color w:val="231F20"/>
          <w:spacing w:val="-32"/>
          <w:w w:val="95"/>
          <w:sz w:val="16"/>
        </w:rPr>
        <w:t> </w:t>
      </w:r>
      <w:r>
        <w:rPr>
          <w:rFonts w:ascii="Lucida Sans"/>
          <w:i/>
          <w:color w:val="231F20"/>
          <w:w w:val="95"/>
          <w:sz w:val="16"/>
        </w:rPr>
        <w:t>of</w:t>
      </w:r>
      <w:r>
        <w:rPr>
          <w:rFonts w:ascii="Lucida Sans"/>
          <w:i/>
          <w:color w:val="231F20"/>
          <w:spacing w:val="-33"/>
          <w:w w:val="95"/>
          <w:sz w:val="16"/>
        </w:rPr>
        <w:t> </w:t>
      </w:r>
      <w:r>
        <w:rPr>
          <w:rFonts w:ascii="Lucida Sans"/>
          <w:i/>
          <w:color w:val="231F20"/>
          <w:w w:val="95"/>
          <w:sz w:val="16"/>
        </w:rPr>
        <w:t>aldosterone</w:t>
      </w:r>
      <w:r>
        <w:rPr>
          <w:rFonts w:ascii="Lucida Sans"/>
          <w:i/>
          <w:color w:val="231F20"/>
          <w:spacing w:val="-32"/>
          <w:w w:val="95"/>
          <w:sz w:val="16"/>
        </w:rPr>
        <w:t> </w:t>
      </w:r>
      <w:r>
        <w:rPr>
          <w:rFonts w:ascii="Lucida Sans"/>
          <w:i/>
          <w:color w:val="231F20"/>
          <w:w w:val="95"/>
          <w:sz w:val="16"/>
        </w:rPr>
        <w:t>and plasma</w:t>
      </w:r>
      <w:r>
        <w:rPr>
          <w:rFonts w:ascii="Lucida Sans"/>
          <w:i/>
          <w:color w:val="231F20"/>
          <w:spacing w:val="-19"/>
          <w:w w:val="95"/>
          <w:sz w:val="16"/>
        </w:rPr>
        <w:t> </w:t>
      </w:r>
      <w:r>
        <w:rPr>
          <w:rFonts w:ascii="Lucida Sans"/>
          <w:i/>
          <w:color w:val="231F20"/>
          <w:w w:val="95"/>
          <w:sz w:val="16"/>
        </w:rPr>
        <w:t>potassium</w:t>
      </w:r>
      <w:r>
        <w:rPr>
          <w:rFonts w:ascii="Lucida Sans"/>
          <w:i/>
          <w:color w:val="231F20"/>
          <w:spacing w:val="-18"/>
          <w:w w:val="95"/>
          <w:sz w:val="16"/>
        </w:rPr>
        <w:t> </w:t>
      </w:r>
      <w:r>
        <w:rPr>
          <w:rFonts w:ascii="Lucida Sans"/>
          <w:i/>
          <w:color w:val="231F20"/>
          <w:w w:val="95"/>
          <w:sz w:val="16"/>
        </w:rPr>
        <w:t>on</w:t>
      </w:r>
      <w:r>
        <w:rPr>
          <w:rFonts w:ascii="Lucida Sans"/>
          <w:i/>
          <w:color w:val="231F20"/>
          <w:spacing w:val="-19"/>
          <w:w w:val="95"/>
          <w:sz w:val="16"/>
        </w:rPr>
        <w:t> </w:t>
      </w:r>
      <w:r>
        <w:rPr>
          <w:rFonts w:ascii="Lucida Sans"/>
          <w:i/>
          <w:color w:val="231F20"/>
          <w:w w:val="95"/>
          <w:sz w:val="16"/>
        </w:rPr>
        <w:t>potassium</w:t>
      </w:r>
      <w:r>
        <w:rPr>
          <w:rFonts w:ascii="Lucida Sans"/>
          <w:i/>
          <w:color w:val="231F20"/>
          <w:spacing w:val="-18"/>
          <w:w w:val="95"/>
          <w:sz w:val="16"/>
        </w:rPr>
        <w:t> </w:t>
      </w:r>
      <w:r>
        <w:rPr>
          <w:rFonts w:ascii="Lucida Sans"/>
          <w:i/>
          <w:color w:val="231F20"/>
          <w:w w:val="95"/>
          <w:sz w:val="16"/>
        </w:rPr>
        <w:t>excretion.</w:t>
      </w:r>
      <w:r>
        <w:rPr>
          <w:rFonts w:ascii="Lucida Sans"/>
          <w:i/>
          <w:color w:val="231F20"/>
          <w:spacing w:val="-18"/>
          <w:w w:val="95"/>
          <w:sz w:val="16"/>
        </w:rPr>
        <w:t> </w:t>
      </w:r>
      <w:r>
        <w:rPr>
          <w:rFonts w:ascii="Lucida Sans"/>
          <w:i/>
          <w:color w:val="231F20"/>
          <w:w w:val="95"/>
          <w:sz w:val="16"/>
        </w:rPr>
        <w:t>Am</w:t>
      </w:r>
      <w:r>
        <w:rPr>
          <w:rFonts w:ascii="Lucida Sans"/>
          <w:i/>
          <w:color w:val="231F20"/>
          <w:spacing w:val="-19"/>
          <w:w w:val="95"/>
          <w:sz w:val="16"/>
        </w:rPr>
        <w:t> </w:t>
      </w:r>
      <w:r>
        <w:rPr>
          <w:rFonts w:ascii="Lucida Sans"/>
          <w:i/>
          <w:color w:val="231F20"/>
          <w:w w:val="95"/>
          <w:sz w:val="16"/>
        </w:rPr>
        <w:t>J</w:t>
      </w:r>
      <w:r>
        <w:rPr>
          <w:rFonts w:ascii="Lucida Sans"/>
          <w:i/>
          <w:color w:val="231F20"/>
          <w:spacing w:val="-18"/>
          <w:w w:val="95"/>
          <w:sz w:val="16"/>
        </w:rPr>
        <w:t> </w:t>
      </w:r>
      <w:r>
        <w:rPr>
          <w:rFonts w:ascii="Lucida Sans"/>
          <w:i/>
          <w:color w:val="231F20"/>
          <w:w w:val="95"/>
          <w:sz w:val="16"/>
        </w:rPr>
        <w:t>Physiol</w:t>
      </w:r>
      <w:r>
        <w:rPr>
          <w:rFonts w:ascii="Lucida Sans"/>
          <w:i/>
          <w:color w:val="231F20"/>
          <w:spacing w:val="-18"/>
          <w:w w:val="95"/>
          <w:sz w:val="16"/>
        </w:rPr>
        <w:t> </w:t>
      </w:r>
      <w:r>
        <w:rPr>
          <w:rFonts w:ascii="Lucida Sans"/>
          <w:i/>
          <w:color w:val="231F20"/>
          <w:w w:val="95"/>
          <w:sz w:val="16"/>
        </w:rPr>
        <w:t>244:F28, </w:t>
      </w:r>
      <w:r>
        <w:rPr>
          <w:rFonts w:ascii="Lucida Sans"/>
          <w:i/>
          <w:color w:val="231F20"/>
          <w:sz w:val="16"/>
        </w:rPr>
        <w:t>1983.)</w:t>
      </w:r>
    </w:p>
    <w:p>
      <w:pPr>
        <w:pStyle w:val="BodyText"/>
        <w:spacing w:before="1"/>
        <w:rPr>
          <w:rFonts w:ascii="Lucida Sans"/>
          <w:i/>
          <w:sz w:val="26"/>
        </w:rPr>
      </w:pPr>
    </w:p>
    <w:p>
      <w:pPr>
        <w:pStyle w:val="BodyText"/>
        <w:spacing w:line="249" w:lineRule="auto"/>
        <w:ind w:left="319" w:right="1437"/>
        <w:jc w:val="both"/>
      </w:pPr>
      <w:r>
        <w:rPr>
          <w:color w:val="231F20"/>
        </w:rPr>
        <w:t>that </w:t>
      </w:r>
      <w:r>
        <w:rPr>
          <w:i/>
          <w:color w:val="231F20"/>
        </w:rPr>
        <w:t>stimulate </w:t>
      </w:r>
      <w:r>
        <w:rPr>
          <w:color w:val="231F20"/>
        </w:rPr>
        <w:t>potassium secretion by the principal cells include (1) increased extracellular fluid potassium con- centration, (2) increased aldosterone, and (3) increased tubular flow rate.</w:t>
      </w:r>
    </w:p>
    <w:p>
      <w:pPr>
        <w:pStyle w:val="BodyText"/>
        <w:spacing w:line="249" w:lineRule="auto" w:before="4"/>
        <w:ind w:left="319" w:right="1439" w:firstLine="240"/>
        <w:jc w:val="both"/>
      </w:pPr>
      <w:r>
        <w:rPr>
          <w:color w:val="231F20"/>
          <w:w w:val="105"/>
        </w:rPr>
        <w:t>One factor that </w:t>
      </w:r>
      <w:r>
        <w:rPr>
          <w:i/>
          <w:color w:val="231F20"/>
          <w:w w:val="105"/>
        </w:rPr>
        <w:t>decreases </w:t>
      </w:r>
      <w:r>
        <w:rPr>
          <w:color w:val="231F20"/>
          <w:w w:val="105"/>
        </w:rPr>
        <w:t>potassium secretion is increased hydrogen ion concentration (acidosis).</w:t>
      </w:r>
    </w:p>
    <w:p>
      <w:pPr>
        <w:pStyle w:val="BodyText"/>
        <w:spacing w:line="249" w:lineRule="auto" w:before="250"/>
        <w:ind w:left="319" w:right="1437"/>
        <w:jc w:val="both"/>
      </w:pPr>
      <w:r>
        <w:rPr>
          <w:rFonts w:ascii="Trebuchet MS"/>
          <w:b/>
          <w:color w:val="231F20"/>
          <w:sz w:val="19"/>
        </w:rPr>
        <w:t>Increased</w:t>
      </w:r>
      <w:r>
        <w:rPr>
          <w:rFonts w:ascii="Trebuchet MS"/>
          <w:b/>
          <w:color w:val="231F20"/>
          <w:spacing w:val="-34"/>
          <w:sz w:val="19"/>
        </w:rPr>
        <w:t> </w:t>
      </w:r>
      <w:r>
        <w:rPr>
          <w:rFonts w:ascii="Trebuchet MS"/>
          <w:b/>
          <w:color w:val="231F20"/>
          <w:sz w:val="19"/>
        </w:rPr>
        <w:t>Extracellular</w:t>
      </w:r>
      <w:r>
        <w:rPr>
          <w:rFonts w:ascii="Trebuchet MS"/>
          <w:b/>
          <w:color w:val="231F20"/>
          <w:spacing w:val="-33"/>
          <w:sz w:val="19"/>
        </w:rPr>
        <w:t> </w:t>
      </w:r>
      <w:r>
        <w:rPr>
          <w:rFonts w:ascii="Trebuchet MS"/>
          <w:b/>
          <w:color w:val="231F20"/>
          <w:sz w:val="19"/>
        </w:rPr>
        <w:t>Fluid</w:t>
      </w:r>
      <w:r>
        <w:rPr>
          <w:rFonts w:ascii="Trebuchet MS"/>
          <w:b/>
          <w:color w:val="231F20"/>
          <w:spacing w:val="-33"/>
          <w:sz w:val="19"/>
        </w:rPr>
        <w:t> </w:t>
      </w:r>
      <w:r>
        <w:rPr>
          <w:rFonts w:ascii="Trebuchet MS"/>
          <w:b/>
          <w:color w:val="231F20"/>
          <w:sz w:val="19"/>
        </w:rPr>
        <w:t>Potassium</w:t>
      </w:r>
      <w:r>
        <w:rPr>
          <w:rFonts w:ascii="Trebuchet MS"/>
          <w:b/>
          <w:color w:val="231F20"/>
          <w:spacing w:val="-33"/>
          <w:sz w:val="19"/>
        </w:rPr>
        <w:t> </w:t>
      </w:r>
      <w:r>
        <w:rPr>
          <w:rFonts w:ascii="Trebuchet MS"/>
          <w:b/>
          <w:color w:val="231F20"/>
          <w:spacing w:val="-2"/>
          <w:sz w:val="19"/>
        </w:rPr>
        <w:t>Concentration </w:t>
      </w:r>
      <w:r>
        <w:rPr>
          <w:rFonts w:ascii="Trebuchet MS"/>
          <w:b/>
          <w:color w:val="231F20"/>
          <w:sz w:val="19"/>
        </w:rPr>
        <w:t>Stimulates Potassium Secretion. </w:t>
      </w:r>
      <w:r>
        <w:rPr>
          <w:color w:val="231F20"/>
        </w:rPr>
        <w:t>The rate of potassium secretion in the late distal and cortical collecting tubules  is directly stimulated by increased extracellular fluid potassium concentration, leading to increases in potas- sium excretion, as shown in </w:t>
      </w:r>
      <w:hyperlink w:history="true" w:anchor="_bookmark86">
        <w:r>
          <w:rPr>
            <w:rFonts w:ascii="Cambria"/>
            <w:b/>
            <w:color w:val="0080AC"/>
          </w:rPr>
          <w:t>Figure 30-4</w:t>
        </w:r>
      </w:hyperlink>
      <w:r>
        <w:rPr>
          <w:color w:val="231F20"/>
        </w:rPr>
        <w:t>. This effect is especially pronounced when extracellular fluid potassium concentration rises above about 4.1 mEq/L, slightly less than the normal concentration. Increased plasma potas- sium concentration, therefore, serves as one of the </w:t>
      </w:r>
      <w:r>
        <w:rPr>
          <w:color w:val="231F20"/>
          <w:spacing w:val="-3"/>
        </w:rPr>
        <w:t>most </w:t>
      </w:r>
      <w:r>
        <w:rPr>
          <w:color w:val="231F20"/>
        </w:rPr>
        <w:t>important mechanisms for increasing potassium secre- tion and regulating extracellular fluid potassium </w:t>
      </w:r>
      <w:r>
        <w:rPr>
          <w:color w:val="231F20"/>
          <w:spacing w:val="-4"/>
        </w:rPr>
        <w:t>ion </w:t>
      </w:r>
      <w:r>
        <w:rPr>
          <w:color w:val="231F20"/>
        </w:rPr>
        <w:t>concentration.</w:t>
      </w:r>
    </w:p>
    <w:p>
      <w:pPr>
        <w:pStyle w:val="BodyText"/>
        <w:spacing w:line="249" w:lineRule="auto" w:before="7"/>
        <w:ind w:left="319" w:right="1437" w:firstLine="240"/>
        <w:jc w:val="both"/>
      </w:pPr>
      <w:r>
        <w:rPr>
          <w:color w:val="231F20"/>
          <w:w w:val="105"/>
        </w:rPr>
        <w:t>Increased dietary potassium intake and increased extracellular fluid potassium concentration stimulate potassium secretion by four mechanisms:</w:t>
      </w:r>
    </w:p>
    <w:p>
      <w:pPr>
        <w:pStyle w:val="ListParagraph"/>
        <w:numPr>
          <w:ilvl w:val="0"/>
          <w:numId w:val="23"/>
        </w:numPr>
        <w:tabs>
          <w:tab w:pos="802" w:val="left" w:leader="none"/>
        </w:tabs>
        <w:spacing w:line="249" w:lineRule="auto" w:before="3" w:after="0"/>
        <w:ind w:left="801" w:right="1437" w:hanging="243"/>
        <w:jc w:val="both"/>
        <w:rPr>
          <w:sz w:val="20"/>
        </w:rPr>
      </w:pPr>
      <w:r>
        <w:rPr>
          <w:color w:val="231F20"/>
          <w:w w:val="105"/>
          <w:sz w:val="20"/>
        </w:rPr>
        <w:t>Increased extracellular fluid potassium concen- tration stimulates the sodium-potassium </w:t>
      </w:r>
      <w:r>
        <w:rPr>
          <w:color w:val="231F20"/>
          <w:spacing w:val="-4"/>
          <w:w w:val="105"/>
          <w:sz w:val="20"/>
        </w:rPr>
        <w:t>ATPase </w:t>
      </w:r>
      <w:r>
        <w:rPr>
          <w:color w:val="231F20"/>
          <w:w w:val="105"/>
          <w:sz w:val="20"/>
        </w:rPr>
        <w:t>pump, thereby increasing potassium uptake</w:t>
      </w:r>
      <w:r>
        <w:rPr>
          <w:color w:val="231F20"/>
          <w:spacing w:val="-31"/>
          <w:w w:val="105"/>
          <w:sz w:val="20"/>
        </w:rPr>
        <w:t> </w:t>
      </w:r>
      <w:r>
        <w:rPr>
          <w:color w:val="231F20"/>
          <w:w w:val="105"/>
          <w:sz w:val="20"/>
        </w:rPr>
        <w:t>across the basolateral membrane. This increased potas- sium uptake in turn increases intracellular potas- sium ion concentration, causing potassium </w:t>
      </w:r>
      <w:r>
        <w:rPr>
          <w:color w:val="231F20"/>
          <w:spacing w:val="-7"/>
          <w:w w:val="105"/>
          <w:sz w:val="20"/>
        </w:rPr>
        <w:t>to </w:t>
      </w:r>
      <w:r>
        <w:rPr>
          <w:color w:val="231F20"/>
          <w:w w:val="105"/>
          <w:sz w:val="20"/>
        </w:rPr>
        <w:t>diffuse across the luminal membrane into </w:t>
      </w:r>
      <w:r>
        <w:rPr>
          <w:color w:val="231F20"/>
          <w:spacing w:val="-5"/>
          <w:w w:val="105"/>
          <w:sz w:val="20"/>
        </w:rPr>
        <w:t>the </w:t>
      </w:r>
      <w:r>
        <w:rPr>
          <w:color w:val="231F20"/>
          <w:w w:val="105"/>
          <w:sz w:val="20"/>
        </w:rPr>
        <w:t>tubule.</w:t>
      </w:r>
    </w:p>
    <w:p>
      <w:pPr>
        <w:pStyle w:val="ListParagraph"/>
        <w:numPr>
          <w:ilvl w:val="0"/>
          <w:numId w:val="23"/>
        </w:numPr>
        <w:tabs>
          <w:tab w:pos="802" w:val="left" w:leader="none"/>
        </w:tabs>
        <w:spacing w:line="249" w:lineRule="auto" w:before="6" w:after="0"/>
        <w:ind w:left="801" w:right="1438" w:hanging="243"/>
        <w:jc w:val="both"/>
        <w:rPr>
          <w:sz w:val="20"/>
        </w:rPr>
      </w:pPr>
      <w:r>
        <w:rPr>
          <w:color w:val="231F20"/>
          <w:w w:val="105"/>
          <w:sz w:val="20"/>
        </w:rPr>
        <w:t>Increased extracellular potassium concentration increases</w:t>
      </w:r>
      <w:r>
        <w:rPr>
          <w:color w:val="231F20"/>
          <w:spacing w:val="37"/>
          <w:w w:val="105"/>
          <w:sz w:val="20"/>
        </w:rPr>
        <w:t> </w:t>
      </w:r>
      <w:r>
        <w:rPr>
          <w:color w:val="231F20"/>
          <w:w w:val="105"/>
          <w:sz w:val="20"/>
        </w:rPr>
        <w:t>the</w:t>
      </w:r>
      <w:r>
        <w:rPr>
          <w:color w:val="231F20"/>
          <w:spacing w:val="37"/>
          <w:w w:val="105"/>
          <w:sz w:val="20"/>
        </w:rPr>
        <w:t> </w:t>
      </w:r>
      <w:r>
        <w:rPr>
          <w:color w:val="231F20"/>
          <w:w w:val="105"/>
          <w:sz w:val="20"/>
        </w:rPr>
        <w:t>potassium</w:t>
      </w:r>
      <w:r>
        <w:rPr>
          <w:color w:val="231F20"/>
          <w:spacing w:val="37"/>
          <w:w w:val="105"/>
          <w:sz w:val="20"/>
        </w:rPr>
        <w:t> </w:t>
      </w:r>
      <w:r>
        <w:rPr>
          <w:color w:val="231F20"/>
          <w:w w:val="105"/>
          <w:sz w:val="20"/>
        </w:rPr>
        <w:t>gradient</w:t>
      </w:r>
      <w:r>
        <w:rPr>
          <w:color w:val="231F20"/>
          <w:spacing w:val="38"/>
          <w:w w:val="105"/>
          <w:sz w:val="20"/>
        </w:rPr>
        <w:t> </w:t>
      </w:r>
      <w:r>
        <w:rPr>
          <w:color w:val="231F20"/>
          <w:w w:val="105"/>
          <w:sz w:val="20"/>
        </w:rPr>
        <w:t>from</w:t>
      </w:r>
      <w:r>
        <w:rPr>
          <w:color w:val="231F20"/>
          <w:spacing w:val="37"/>
          <w:w w:val="105"/>
          <w:sz w:val="20"/>
        </w:rPr>
        <w:t> </w:t>
      </w:r>
      <w:r>
        <w:rPr>
          <w:color w:val="231F20"/>
          <w:w w:val="105"/>
          <w:sz w:val="20"/>
        </w:rPr>
        <w:t>the</w:t>
      </w:r>
      <w:r>
        <w:rPr>
          <w:color w:val="231F20"/>
          <w:spacing w:val="37"/>
          <w:w w:val="105"/>
          <w:sz w:val="20"/>
        </w:rPr>
        <w:t> </w:t>
      </w:r>
      <w:r>
        <w:rPr>
          <w:color w:val="231F20"/>
          <w:w w:val="105"/>
          <w:sz w:val="20"/>
        </w:rPr>
        <w:t>renal</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tabs>
          <w:tab w:pos="7474" w:val="left" w:leader="none"/>
        </w:tabs>
        <w:spacing w:before="99"/>
        <w:ind w:left="0" w:right="28" w:firstLine="0"/>
        <w:jc w:val="center"/>
        <w:rPr>
          <w:rFonts w:ascii="Helvetica"/>
          <w:sz w:val="16"/>
        </w:rPr>
      </w:pPr>
      <w:r>
        <w:rPr/>
        <w:pict>
          <v:group style="position:absolute;margin-left:127.680702pt;margin-top:8.694079pt;width:155.15pt;height:134.450pt;mso-position-horizontal-relative:page;mso-position-vertical-relative:paragraph;z-index:-272828416" coordorigin="2554,174" coordsize="3103,2689">
            <v:shape style="position:absolute;left:-77;top:12098;width:2744;height:2670" coordorigin="-77,12098" coordsize="2744,2670" path="m2630,2786l2554,2786m2630,2786l2630,2862m2630,2415l2554,2415m2630,2045l2554,2045m2630,1674l2554,1674m2630,1304l2554,1304m2630,933l2554,933m2630,563l2554,563m2630,192l2554,192m3011,2786l3011,2862m3392,2786l3392,2862m3773,2786l3773,2862m4154,2786l4154,2862m4535,2786l4535,2862m4916,2786l4916,2862m5297,2786l5297,2862e" filled="false" stroked="true" strokeweight="1pt" strokecolor="#231f20">
              <v:path arrowok="t"/>
              <v:stroke dashstyle="solid"/>
            </v:shape>
            <v:shape style="position:absolute;left:2983;top:305;width:2247;height:2467" coordorigin="2984,306" coordsize="2247,2467" path="m2984,2772l3471,2710,3780,2596,4045,2347,4397,1879,4775,1293,5034,790,5183,438,5230,306e" filled="false" stroked="true" strokeweight="2pt" strokecolor="#f0535f">
              <v:path arrowok="t"/>
              <v:stroke dashstyle="solid"/>
            </v:shape>
            <v:shape style="position:absolute;left:2630;top:183;width:3016;height:2601" coordorigin="2630,184" coordsize="3016,2601" path="m2630,184l2630,2785,5646,2785e" filled="false" stroked="true" strokeweight="1pt" strokecolor="#231f20">
              <v:path arrowok="t"/>
              <v:stroke dashstyle="solid"/>
            </v:shape>
            <w10:wrap type="none"/>
          </v:group>
        </w:pict>
      </w:r>
      <w:r>
        <w:rPr/>
        <w:pict>
          <v:shape style="position:absolute;margin-left:92.208801pt;margin-top:8.977780pt;width:20.55pt;height:129.15pt;mso-position-horizontal-relative:page;mso-position-vertical-relative:paragraph;z-index:252580864" type="#_x0000_t202" filled="false" stroked="false">
            <v:textbox inset="0,0,0,0" style="layout-flow:vertical;mso-layout-flow-alt:bottom-to-top">
              <w:txbxContent>
                <w:p>
                  <w:pPr>
                    <w:spacing w:line="235" w:lineRule="auto" w:before="27"/>
                    <w:ind w:left="20" w:right="0" w:firstLine="8"/>
                    <w:jc w:val="left"/>
                    <w:rPr>
                      <w:rFonts w:ascii="Helvetica"/>
                      <w:b/>
                      <w:sz w:val="16"/>
                    </w:rPr>
                  </w:pPr>
                  <w:r>
                    <w:rPr>
                      <w:rFonts w:ascii="Helvetica"/>
                      <w:b/>
                      <w:color w:val="231F20"/>
                      <w:sz w:val="16"/>
                    </w:rPr>
                    <w:t>Approximate plasma aldosterone concentration (ng/100 ml plasma)</w:t>
                  </w:r>
                </w:p>
              </w:txbxContent>
            </v:textbox>
            <w10:wrap type="none"/>
          </v:shape>
        </w:pict>
      </w:r>
      <w:r>
        <w:rPr>
          <w:rFonts w:ascii="Helvetica"/>
          <w:color w:val="231F20"/>
          <w:sz w:val="16"/>
        </w:rPr>
        <w:t>70</w:t>
        <w:tab/>
        <w:t>1</w:t>
      </w:r>
    </w:p>
    <w:p>
      <w:pPr>
        <w:spacing w:after="0"/>
        <w:jc w:val="center"/>
        <w:rPr>
          <w:rFonts w:ascii="Helvetica"/>
          <w:sz w:val="16"/>
        </w:rPr>
        <w:sectPr>
          <w:headerReference w:type="default" r:id="rId865"/>
          <w:pgSz w:w="12240" w:h="15660"/>
          <w:pgMar w:header="0" w:footer="567" w:top="0" w:bottom="760" w:left="0" w:right="0"/>
        </w:sectPr>
      </w:pPr>
    </w:p>
    <w:p>
      <w:pPr>
        <w:pStyle w:val="BodyText"/>
        <w:spacing w:before="9"/>
        <w:rPr>
          <w:rFonts w:ascii="Helvetica"/>
          <w:sz w:val="16"/>
        </w:rPr>
      </w:pPr>
    </w:p>
    <w:p>
      <w:pPr>
        <w:spacing w:before="0"/>
        <w:ind w:left="2322" w:right="0" w:firstLine="0"/>
        <w:jc w:val="left"/>
        <w:rPr>
          <w:rFonts w:ascii="Helvetica"/>
          <w:sz w:val="16"/>
        </w:rPr>
      </w:pPr>
      <w:r>
        <w:rPr/>
        <w:pict>
          <v:group style="position:absolute;margin-left:348.783997pt;margin-top:-9.334482pt;width:166.6pt;height:138.35pt;mso-position-horizontal-relative:page;mso-position-vertical-relative:paragraph;z-index:-272827392" coordorigin="6976,-187" coordsize="3332,2767">
            <v:rect style="position:absolute;left:8677;top:-177;width:1080;height:1050" filled="false" stroked="true" strokeweight="1pt" strokecolor="#231f20">
              <v:stroke dashstyle="solid"/>
            </v:rect>
            <v:shape style="position:absolute;left:8889;top:-64;width:660;height:802" coordorigin="8889,-63" coordsize="660,802" path="m8889,733l9010,738,9080,724,9128,676,9179,580,9224,488,9266,395,9304,308,9335,234,9369,150,9395,91,9437,21,9489,-38,9549,-63e" filled="false" stroked="true" strokeweight="1.25pt" strokecolor="#f0535f">
              <v:path arrowok="t"/>
              <v:stroke dashstyle="solid"/>
            </v:shape>
            <v:shape style="position:absolute;left:8822;top:59;width:677;height:677" coordorigin="8822,60" coordsize="677,677" path="m8822,60l8822,737,9499,737e" filled="false" stroked="true" strokeweight="1pt" strokecolor="#231f20">
              <v:path arrowok="t"/>
              <v:stroke dashstyle="solid"/>
            </v:shape>
            <v:shape style="position:absolute;left:0;top:14125;width:157;height:151" coordorigin="0,14126" coordsize="157,151" path="m9072,637l9229,600m9122,546l9180,696e" filled="false" stroked="true" strokeweight="1.25pt" strokecolor="#f0535f">
              <v:path arrowok="t"/>
              <v:stroke dashstyle="solid"/>
            </v:shape>
            <v:rect style="position:absolute;left:6985;top:856;width:416;height:404" filled="false" stroked="true" strokeweight="1pt" strokecolor="#231f20">
              <v:stroke dashstyle="solid"/>
            </v:rect>
            <v:shape style="position:absolute;left:7084;top:916;width:222;height:287" type="#_x0000_t75" stroked="false">
              <v:imagedata r:id="rId866" o:title=""/>
            </v:shape>
            <v:shape style="position:absolute;left:7193;top:346;width:1345;height:512" coordorigin="7193,347" coordsize="1345,512" path="m8538,347l7193,347,7193,858e" filled="false" stroked="true" strokeweight="1.5pt" strokecolor="#231f20">
              <v:path arrowok="t"/>
              <v:stroke dashstyle="solid"/>
            </v:shape>
            <v:shape style="position:absolute;left:8480;top:287;width:185;height:120" type="#_x0000_t75" stroked="false">
              <v:imagedata r:id="rId867" o:title=""/>
            </v:shape>
            <v:shape style="position:absolute;left:7132;top:1265;width:120;height:185" type="#_x0000_t75" stroked="false">
              <v:imagedata r:id="rId868" o:title=""/>
            </v:shape>
            <v:shape style="position:absolute;left:7031;top:1912;width:322;height:322" type="#_x0000_t75" stroked="false">
              <v:imagedata r:id="rId869" o:title=""/>
            </v:shape>
            <v:line style="position:absolute" from="7192,1353" to="7192,1920" stroked="true" strokeweight="1.5pt" strokecolor="#231f20">
              <v:stroke dashstyle="solid"/>
            </v:line>
            <v:shape style="position:absolute;left:7132;top:2240;width:120;height:185" coordorigin="7132,2240" coordsize="120,185" path="m7238,2391l7192,2391,7251,2424,7252,2423,7238,2391xm7192,2240l7170,2333,7132,2422,7133,2424,7192,2391,7238,2391,7214,2333,7192,2240xe" filled="true" fillcolor="#231f20" stroked="false">
              <v:path arrowok="t"/>
              <v:fill type="solid"/>
            </v:shape>
            <v:line style="position:absolute" from="7192,2328" to="7192,2493" stroked="true" strokeweight="1.5pt" strokecolor="#231f20">
              <v:stroke dashstyle="solid"/>
            </v:line>
            <v:shape style="position:absolute;left:7352;top:2013;width:185;height:120" type="#_x0000_t75" stroked="false">
              <v:imagedata r:id="rId870" o:title=""/>
            </v:shape>
            <v:rect style="position:absolute;left:8677;top:1520;width:1080;height:1050" filled="false" stroked="true" strokeweight="1pt" strokecolor="#231f20">
              <v:stroke dashstyle="solid"/>
            </v:rect>
            <v:shape style="position:absolute;left:-86;top:13718;width:620;height:609" coordorigin="-85,13719" coordsize="620,609" path="m8993,2341l9150,2305m9043,2251l9101,2401m8908,2452l8976,2444,9020,2420,9060,2358,9113,2240,9155,2138,9176,2078,9194,2035,9227,1983,9275,1931,9343,1886,9427,1856,9527,1844e" filled="false" stroked="true" strokeweight="1.25pt" strokecolor="#f0535f">
              <v:path arrowok="t"/>
              <v:stroke dashstyle="solid"/>
            </v:shape>
            <v:shape style="position:absolute;left:8812;top:1779;width:797;height:677" coordorigin="8813,1779" coordsize="797,677" path="m8813,1779l8813,2456,9609,2456e" filled="false" stroked="true" strokeweight="1pt" strokecolor="#231f20">
              <v:path arrowok="t"/>
              <v:stroke dashstyle="solid"/>
            </v:shape>
            <v:line style="position:absolute" from="7440,2073" to="8672,2073" stroked="true" strokeweight="1.5pt" strokecolor="#231f20">
              <v:stroke dashstyle="solid"/>
            </v:line>
            <v:shape style="position:absolute;left:9767;top:2013;width:185;height:120" type="#_x0000_t75" stroked="false">
              <v:imagedata r:id="rId871" o:title=""/>
            </v:shape>
            <v:shape style="position:absolute;left:-535;top:13555;width:535;height:1727" coordorigin="-535,13555" coordsize="535,1727" path="m10292,1008l10292,347,9757,347m9855,2073l10292,2073,10292,1410e" filled="false" stroked="true" strokeweight="1.5pt" strokecolor="#231f20">
              <v:path arrowok="t"/>
              <v:stroke dashstyle="solid"/>
            </v:shape>
            <w10:wrap type="none"/>
          </v:group>
        </w:pict>
      </w:r>
      <w:r>
        <w:rPr>
          <w:rFonts w:ascii="Helvetica"/>
          <w:color w:val="231F20"/>
          <w:sz w:val="16"/>
        </w:rPr>
        <w:t>60</w:t>
      </w:r>
    </w:p>
    <w:p>
      <w:pPr>
        <w:pStyle w:val="BodyText"/>
        <w:spacing w:before="8"/>
        <w:rPr>
          <w:rFonts w:ascii="Helvetica"/>
          <w:sz w:val="15"/>
        </w:rPr>
      </w:pPr>
    </w:p>
    <w:p>
      <w:pPr>
        <w:spacing w:before="0"/>
        <w:ind w:left="2322" w:right="0" w:firstLine="0"/>
        <w:jc w:val="left"/>
        <w:rPr>
          <w:rFonts w:ascii="Helvetica"/>
          <w:sz w:val="16"/>
        </w:rPr>
      </w:pPr>
      <w:r>
        <w:rPr>
          <w:rFonts w:ascii="Helvetica"/>
          <w:color w:val="231F20"/>
          <w:sz w:val="16"/>
        </w:rPr>
        <w:t>50</w:t>
      </w:r>
    </w:p>
    <w:p>
      <w:pPr>
        <w:pStyle w:val="BodyText"/>
        <w:spacing w:before="8"/>
        <w:rPr>
          <w:rFonts w:ascii="Helvetica"/>
          <w:sz w:val="16"/>
        </w:rPr>
      </w:pPr>
    </w:p>
    <w:p>
      <w:pPr>
        <w:spacing w:before="1"/>
        <w:ind w:left="2322" w:right="0" w:firstLine="0"/>
        <w:jc w:val="left"/>
        <w:rPr>
          <w:rFonts w:ascii="Helvetica"/>
          <w:sz w:val="16"/>
        </w:rPr>
      </w:pPr>
      <w:r>
        <w:rPr>
          <w:rFonts w:ascii="Helvetica"/>
          <w:color w:val="231F20"/>
          <w:sz w:val="16"/>
        </w:rPr>
        <w:t>40</w:t>
      </w:r>
    </w:p>
    <w:p>
      <w:pPr>
        <w:pStyle w:val="BodyText"/>
        <w:spacing w:before="7"/>
        <w:rPr>
          <w:rFonts w:ascii="Helvetica"/>
          <w:sz w:val="15"/>
        </w:rPr>
      </w:pPr>
    </w:p>
    <w:p>
      <w:pPr>
        <w:spacing w:before="0"/>
        <w:ind w:left="2322" w:right="0" w:firstLine="0"/>
        <w:jc w:val="left"/>
        <w:rPr>
          <w:rFonts w:ascii="Helvetica"/>
          <w:sz w:val="16"/>
        </w:rPr>
      </w:pPr>
      <w:r>
        <w:rPr>
          <w:rFonts w:ascii="Helvetica"/>
          <w:color w:val="231F20"/>
          <w:sz w:val="16"/>
        </w:rPr>
        <w:t>30</w:t>
      </w:r>
    </w:p>
    <w:p>
      <w:pPr>
        <w:pStyle w:val="BodyText"/>
        <w:spacing w:before="3"/>
        <w:rPr>
          <w:rFonts w:ascii="Helvetica"/>
          <w:sz w:val="16"/>
        </w:rPr>
      </w:pPr>
    </w:p>
    <w:p>
      <w:pPr>
        <w:spacing w:before="0"/>
        <w:ind w:left="2322" w:right="0" w:firstLine="0"/>
        <w:jc w:val="left"/>
        <w:rPr>
          <w:rFonts w:ascii="Helvetica"/>
          <w:sz w:val="16"/>
        </w:rPr>
      </w:pPr>
      <w:r>
        <w:rPr>
          <w:rFonts w:ascii="Helvetica"/>
          <w:color w:val="231F20"/>
          <w:sz w:val="16"/>
        </w:rPr>
        <w:t>20</w:t>
      </w:r>
    </w:p>
    <w:p>
      <w:pPr>
        <w:tabs>
          <w:tab w:pos="6996" w:val="left" w:leader="none"/>
        </w:tabs>
        <w:spacing w:before="93"/>
        <w:ind w:left="2322" w:right="0" w:firstLine="0"/>
        <w:jc w:val="left"/>
        <w:rPr>
          <w:rFonts w:ascii="Helvetica"/>
          <w:sz w:val="16"/>
        </w:rPr>
      </w:pPr>
      <w:r>
        <w:rPr>
          <w:rFonts w:ascii="Helvetica"/>
          <w:color w:val="231F20"/>
          <w:sz w:val="16"/>
        </w:rPr>
        <w:t>10</w:t>
        <w:tab/>
      </w:r>
      <w:r>
        <w:rPr>
          <w:rFonts w:ascii="Helvetica"/>
          <w:color w:val="231F20"/>
          <w:position w:val="10"/>
          <w:sz w:val="16"/>
        </w:rPr>
        <w:t>3</w:t>
      </w:r>
    </w:p>
    <w:p>
      <w:pPr>
        <w:tabs>
          <w:tab w:pos="7018" w:val="left" w:leader="none"/>
        </w:tabs>
        <w:spacing w:line="224" w:lineRule="exact" w:before="135"/>
        <w:ind w:left="2411" w:right="0" w:firstLine="0"/>
        <w:jc w:val="left"/>
        <w:rPr>
          <w:rFonts w:ascii="Symbol" w:hAnsi="Symbol"/>
          <w:sz w:val="16"/>
        </w:rPr>
      </w:pPr>
      <w:r>
        <w:rPr/>
        <w:pict>
          <v:shape style="position:absolute;margin-left:578.900024pt;margin-top:-58.417652pt;width:15.9pt;height:53.35pt;mso-position-horizontal-relative:page;mso-position-vertical-relative:paragraph;z-index:25257984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hAnsi="Helvetica"/>
          <w:color w:val="231F20"/>
          <w:position w:val="-2"/>
          <w:sz w:val="16"/>
        </w:rPr>
        <w:t>0</w:t>
        <w:tab/>
      </w:r>
      <w:r>
        <w:rPr>
          <w:rFonts w:ascii="Symbol" w:hAnsi="Symbol"/>
          <w:color w:val="F0535F"/>
          <w:sz w:val="16"/>
        </w:rPr>
        <w:t></w:t>
      </w:r>
      <w:r>
        <w:rPr>
          <w:color w:val="F0535F"/>
          <w:spacing w:val="17"/>
          <w:sz w:val="16"/>
        </w:rPr>
        <w:t> </w:t>
      </w:r>
      <w:r>
        <w:rPr>
          <w:rFonts w:ascii="Symbol" w:hAnsi="Symbol"/>
          <w:color w:val="F0535F"/>
          <w:spacing w:val="-20"/>
          <w:sz w:val="16"/>
        </w:rPr>
        <w:t></w:t>
      </w:r>
    </w:p>
    <w:p>
      <w:pPr>
        <w:pStyle w:val="BodyText"/>
        <w:spacing w:before="9"/>
        <w:rPr>
          <w:rFonts w:ascii="Symbol" w:hAnsi="Symbol"/>
          <w:sz w:val="26"/>
        </w:rPr>
      </w:pPr>
      <w:r>
        <w:rPr/>
        <w:br w:type="column"/>
      </w:r>
      <w:r>
        <w:rPr>
          <w:rFonts w:ascii="Symbol" w:hAnsi="Symbol"/>
          <w:sz w:val="26"/>
        </w:rPr>
      </w:r>
    </w:p>
    <w:p>
      <w:pPr>
        <w:spacing w:line="235" w:lineRule="auto" w:before="0"/>
        <w:ind w:left="-20" w:right="25" w:firstLine="393"/>
        <w:jc w:val="left"/>
        <w:rPr>
          <w:rFonts w:ascii="Helvetica" w:hAnsi="Helvetica"/>
          <w:sz w:val="16"/>
        </w:rPr>
      </w:pPr>
      <w:r>
        <w:rPr>
          <w:rFonts w:ascii="Helvetica" w:hAnsi="Helvetica"/>
          <w:color w:val="231F20"/>
          <w:position w:val="-4"/>
          <w:sz w:val="16"/>
        </w:rPr>
        <w:t>K</w:t>
      </w:r>
      <w:r>
        <w:rPr>
          <w:rFonts w:ascii="Symbol" w:hAnsi="Symbol"/>
          <w:color w:val="231F20"/>
          <w:sz w:val="12"/>
        </w:rPr>
        <w:t></w:t>
      </w:r>
      <w:r>
        <w:rPr>
          <w:color w:val="231F20"/>
          <w:sz w:val="12"/>
        </w:rPr>
        <w:t> </w:t>
      </w:r>
      <w:r>
        <w:rPr>
          <w:rFonts w:ascii="Helvetica" w:hAnsi="Helvetica"/>
          <w:color w:val="231F20"/>
          <w:sz w:val="16"/>
        </w:rPr>
        <w:t>concentration</w:t>
      </w:r>
    </w:p>
    <w:p>
      <w:pPr>
        <w:pStyle w:val="BodyText"/>
        <w:spacing w:before="6"/>
        <w:rPr>
          <w:rFonts w:ascii="Helvetica"/>
        </w:rPr>
      </w:pPr>
    </w:p>
    <w:p>
      <w:pPr>
        <w:spacing w:before="0"/>
        <w:ind w:left="35" w:right="0" w:firstLine="0"/>
        <w:jc w:val="left"/>
        <w:rPr>
          <w:rFonts w:ascii="Helvetica"/>
          <w:sz w:val="16"/>
        </w:rPr>
      </w:pPr>
      <w:r>
        <w:rPr>
          <w:rFonts w:ascii="Helvetica"/>
          <w:color w:val="231F20"/>
          <w:w w:val="99"/>
          <w:sz w:val="16"/>
        </w:rPr>
        <w:t>4</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sz w:val="26"/>
        </w:rPr>
      </w:pPr>
    </w:p>
    <w:p>
      <w:pPr>
        <w:spacing w:line="235" w:lineRule="auto" w:before="0"/>
        <w:ind w:left="336" w:right="-20" w:firstLine="238"/>
        <w:jc w:val="left"/>
        <w:rPr>
          <w:rFonts w:ascii="Helvetica" w:hAnsi="Helvetica"/>
          <w:sz w:val="16"/>
        </w:rPr>
      </w:pPr>
      <w:r>
        <w:rPr>
          <w:rFonts w:ascii="Helvetica" w:hAnsi="Helvetica"/>
          <w:color w:val="231F20"/>
          <w:position w:val="-4"/>
          <w:sz w:val="16"/>
        </w:rPr>
        <w:t>K</w:t>
      </w:r>
      <w:r>
        <w:rPr>
          <w:rFonts w:ascii="Symbol" w:hAnsi="Symbol"/>
          <w:color w:val="231F20"/>
          <w:sz w:val="12"/>
        </w:rPr>
        <w:t></w:t>
      </w:r>
      <w:r>
        <w:rPr>
          <w:color w:val="231F20"/>
          <w:sz w:val="12"/>
        </w:rPr>
        <w:t> </w:t>
      </w:r>
      <w:r>
        <w:rPr>
          <w:rFonts w:ascii="Helvetica" w:hAnsi="Helvetica"/>
          <w:color w:val="231F20"/>
          <w:sz w:val="16"/>
        </w:rPr>
        <w:t>excretion</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8"/>
        <w:rPr>
          <w:rFonts w:ascii="Helvetica"/>
          <w:sz w:val="16"/>
        </w:rPr>
      </w:pPr>
    </w:p>
    <w:p>
      <w:pPr>
        <w:spacing w:line="235" w:lineRule="auto" w:before="0"/>
        <w:ind w:left="1370" w:right="1470" w:hanging="1"/>
        <w:jc w:val="center"/>
        <w:rPr>
          <w:rFonts w:ascii="Helvetica"/>
          <w:sz w:val="16"/>
        </w:rPr>
      </w:pPr>
      <w:r>
        <w:rPr>
          <w:rFonts w:ascii="Helvetica"/>
          <w:color w:val="231F20"/>
          <w:sz w:val="16"/>
        </w:rPr>
        <w:t>Aldosterone concentration</w:t>
      </w:r>
    </w:p>
    <w:p>
      <w:pPr>
        <w:spacing w:after="0" w:line="235" w:lineRule="auto"/>
        <w:jc w:val="center"/>
        <w:rPr>
          <w:rFonts w:ascii="Helvetica"/>
          <w:sz w:val="16"/>
        </w:rPr>
        <w:sectPr>
          <w:type w:val="continuous"/>
          <w:pgSz w:w="12240" w:h="15660"/>
          <w:pgMar w:top="0" w:bottom="760" w:left="0" w:right="0"/>
          <w:cols w:num="3" w:equalWidth="0">
            <w:col w:w="7372" w:space="40"/>
            <w:col w:w="986" w:space="39"/>
            <w:col w:w="3803"/>
          </w:cols>
        </w:sectPr>
      </w:pPr>
    </w:p>
    <w:p>
      <w:pPr>
        <w:spacing w:line="184" w:lineRule="exact" w:before="0"/>
        <w:ind w:left="2518" w:right="0" w:firstLine="0"/>
        <w:jc w:val="left"/>
        <w:rPr>
          <w:rFonts w:ascii="Helvetica"/>
          <w:sz w:val="16"/>
        </w:rPr>
      </w:pPr>
      <w:r>
        <w:rPr>
          <w:rFonts w:ascii="Helvetica"/>
          <w:color w:val="231F20"/>
          <w:sz w:val="16"/>
        </w:rPr>
        <w:t>3.0 3.5 4.0 4.5 5.0 5.5 6.0 6.5</w:t>
      </w:r>
    </w:p>
    <w:p>
      <w:pPr>
        <w:tabs>
          <w:tab w:pos="4437" w:val="right" w:leader="none"/>
        </w:tabs>
        <w:spacing w:line="211" w:lineRule="exact" w:before="28"/>
        <w:ind w:left="1424" w:right="0" w:firstLine="0"/>
        <w:jc w:val="left"/>
        <w:rPr>
          <w:rFonts w:ascii="Helvetica" w:hAnsi="Helvetica"/>
          <w:sz w:val="16"/>
        </w:rPr>
      </w:pPr>
      <w:r>
        <w:rPr/>
        <w:br w:type="column"/>
      </w:r>
      <w:r>
        <w:rPr>
          <w:rFonts w:ascii="Helvetica" w:hAnsi="Helvetica"/>
          <w:color w:val="231F20"/>
          <w:sz w:val="16"/>
        </w:rPr>
        <w:t>K</w:t>
      </w:r>
      <w:r>
        <w:rPr>
          <w:rFonts w:ascii="Symbol" w:hAnsi="Symbol"/>
          <w:color w:val="231F20"/>
          <w:position w:val="5"/>
          <w:sz w:val="12"/>
        </w:rPr>
        <w:t></w:t>
      </w:r>
      <w:r>
        <w:rPr>
          <w:color w:val="231F20"/>
          <w:spacing w:val="-1"/>
          <w:position w:val="5"/>
          <w:sz w:val="12"/>
        </w:rPr>
        <w:t> </w:t>
      </w:r>
      <w:r>
        <w:rPr>
          <w:rFonts w:ascii="Helvetica" w:hAnsi="Helvetica"/>
          <w:color w:val="231F20"/>
          <w:sz w:val="16"/>
        </w:rPr>
        <w:t>intake</w:t>
        <w:tab/>
      </w:r>
      <w:r>
        <w:rPr>
          <w:rFonts w:ascii="Helvetica" w:hAnsi="Helvetica"/>
          <w:color w:val="231F20"/>
          <w:position w:val="10"/>
          <w:sz w:val="16"/>
        </w:rPr>
        <w:t>2</w:t>
      </w:r>
    </w:p>
    <w:p>
      <w:pPr>
        <w:spacing w:after="0" w:line="211" w:lineRule="exact"/>
        <w:jc w:val="left"/>
        <w:rPr>
          <w:rFonts w:ascii="Helvetica" w:hAnsi="Helvetica"/>
          <w:sz w:val="16"/>
        </w:rPr>
        <w:sectPr>
          <w:type w:val="continuous"/>
          <w:pgSz w:w="12240" w:h="15660"/>
          <w:pgMar w:top="0" w:bottom="760" w:left="0" w:right="0"/>
          <w:cols w:num="2" w:equalWidth="0">
            <w:col w:w="5409" w:space="40"/>
            <w:col w:w="6791"/>
          </w:cols>
        </w:sectPr>
      </w:pPr>
    </w:p>
    <w:p>
      <w:pPr>
        <w:spacing w:before="3"/>
        <w:ind w:left="2594" w:right="0" w:firstLine="0"/>
        <w:jc w:val="left"/>
        <w:rPr>
          <w:rFonts w:ascii="Helvetica"/>
          <w:b/>
          <w:sz w:val="16"/>
        </w:rPr>
      </w:pPr>
      <w:r>
        <w:rPr/>
        <w:pict>
          <v:group style="position:absolute;margin-left:0pt;margin-top:0pt;width:612pt;height:180pt;mso-position-horizontal-relative:page;mso-position-vertical-relative:page;z-index:-27283046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v:shape style="position:absolute;left:8773;top:2993;width:887;height:208" type="#_x0000_t202" filled="false" stroked="false">
              <v:textbox inset="0,0,0,0">
                <w:txbxContent>
                  <w:p>
                    <w:pPr>
                      <w:spacing w:before="0"/>
                      <w:ind w:left="0" w:right="0" w:firstLine="0"/>
                      <w:jc w:val="left"/>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excretion</w:t>
                    </w:r>
                  </w:p>
                </w:txbxContent>
              </v:textbox>
              <w10:wrap type="none"/>
            </v:shape>
            <v:shape style="position:absolute;left:9537;top:2067;width:197;height:198" type="#_x0000_t202" filled="false" stroked="false">
              <v:textbox inset="0,0,0,0">
                <w:txbxContent>
                  <w:p>
                    <w:pPr>
                      <w:spacing w:line="196" w:lineRule="exact" w:before="0"/>
                      <w:ind w:left="0" w:right="0" w:firstLine="0"/>
                      <w:jc w:val="left"/>
                      <w:rPr>
                        <w:rFonts w:ascii="Helvetica"/>
                        <w:sz w:val="12"/>
                      </w:rPr>
                    </w:pPr>
                    <w:r>
                      <w:rPr>
                        <w:rFonts w:ascii="Helvetica"/>
                        <w:color w:val="231F20"/>
                        <w:position w:val="-4"/>
                        <w:sz w:val="16"/>
                      </w:rPr>
                      <w:t>K</w:t>
                    </w:r>
                    <w:r>
                      <w:rPr>
                        <w:rFonts w:ascii="Helvetica"/>
                        <w:color w:val="231F20"/>
                        <w:sz w:val="12"/>
                      </w:rPr>
                      <w:t>+</w:t>
                    </w:r>
                  </w:p>
                </w:txbxContent>
              </v:textbox>
              <w10:wrap type="none"/>
            </v:shape>
            <v:shape style="position:absolute;left:8718;top:1314;width:25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Ald</w:t>
                    </w:r>
                  </w:p>
                </w:txbxContent>
              </v:textbox>
              <w10:wrap type="none"/>
            </v:shape>
            <w10:wrap type="none"/>
          </v:group>
        </w:pict>
      </w:r>
      <w:r>
        <w:rPr/>
        <w:pict>
          <v:rect style="position:absolute;margin-left:576pt;margin-top:-11.984522pt;width:36pt;height:24pt;mso-position-horizontal-relative:page;mso-position-vertical-relative:paragraph;z-index:252575744" filled="true" fillcolor="#e8dac8" stroked="false">
            <v:fill type="solid"/>
            <w10:wrap type="none"/>
          </v:rect>
        </w:pict>
      </w:r>
      <w:r>
        <w:rPr/>
        <w:pict>
          <v:shape style="position:absolute;margin-left:467.121307pt;margin-top:-18.794821pt;width:14.8pt;height:9.25pt;mso-position-horizontal-relative:page;mso-position-vertical-relative:paragraph;z-index:25257881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Ald.</w:t>
                  </w:r>
                </w:p>
              </w:txbxContent>
            </v:textbox>
            <w10:wrap type="none"/>
          </v:shape>
        </w:pict>
      </w:r>
      <w:r>
        <w:rPr>
          <w:rFonts w:ascii="Helvetica"/>
          <w:b/>
          <w:color w:val="231F20"/>
          <w:sz w:val="16"/>
        </w:rPr>
        <w:t>Serum potassium concentration (mEq/L)</w:t>
      </w:r>
    </w:p>
    <w:p>
      <w:pPr>
        <w:spacing w:line="259" w:lineRule="auto" w:before="92"/>
        <w:ind w:left="1440" w:right="0" w:firstLine="0"/>
        <w:jc w:val="both"/>
        <w:rPr>
          <w:rFonts w:ascii="Arial" w:hAnsi="Arial"/>
          <w:sz w:val="16"/>
        </w:rPr>
      </w:pPr>
      <w:bookmarkStart w:name="_bookmark87" w:id="88"/>
      <w:bookmarkEnd w:id="88"/>
      <w:r>
        <w:rPr/>
      </w:r>
      <w:r>
        <w:rPr>
          <w:rFonts w:ascii="Trebuchet MS" w:hAnsi="Trebuchet MS"/>
          <w:b/>
          <w:color w:val="231F20"/>
          <w:sz w:val="16"/>
        </w:rPr>
        <w:t>Figure 30-5. </w:t>
      </w:r>
      <w:r>
        <w:rPr>
          <w:rFonts w:ascii="Arial" w:hAnsi="Arial"/>
          <w:color w:val="231F20"/>
          <w:sz w:val="16"/>
        </w:rPr>
        <w:t>Effect of extracellular fluid potassium ion concentra­ tion</w:t>
      </w:r>
      <w:r>
        <w:rPr>
          <w:rFonts w:ascii="Arial" w:hAnsi="Arial"/>
          <w:color w:val="231F20"/>
          <w:spacing w:val="-6"/>
          <w:sz w:val="16"/>
        </w:rPr>
        <w:t> </w:t>
      </w:r>
      <w:r>
        <w:rPr>
          <w:rFonts w:ascii="Arial" w:hAnsi="Arial"/>
          <w:color w:val="231F20"/>
          <w:sz w:val="16"/>
        </w:rPr>
        <w:t>on</w:t>
      </w:r>
      <w:r>
        <w:rPr>
          <w:rFonts w:ascii="Arial" w:hAnsi="Arial"/>
          <w:color w:val="231F20"/>
          <w:spacing w:val="-5"/>
          <w:sz w:val="16"/>
        </w:rPr>
        <w:t> </w:t>
      </w:r>
      <w:r>
        <w:rPr>
          <w:rFonts w:ascii="Arial" w:hAnsi="Arial"/>
          <w:color w:val="231F20"/>
          <w:sz w:val="16"/>
        </w:rPr>
        <w:t>plasma</w:t>
      </w:r>
      <w:r>
        <w:rPr>
          <w:rFonts w:ascii="Arial" w:hAnsi="Arial"/>
          <w:color w:val="231F20"/>
          <w:spacing w:val="-5"/>
          <w:sz w:val="16"/>
        </w:rPr>
        <w:t> </w:t>
      </w:r>
      <w:r>
        <w:rPr>
          <w:rFonts w:ascii="Arial" w:hAnsi="Arial"/>
          <w:color w:val="231F20"/>
          <w:sz w:val="16"/>
        </w:rPr>
        <w:t>aldosterone</w:t>
      </w:r>
      <w:r>
        <w:rPr>
          <w:rFonts w:ascii="Arial" w:hAnsi="Arial"/>
          <w:color w:val="231F20"/>
          <w:spacing w:val="-6"/>
          <w:sz w:val="16"/>
        </w:rPr>
        <w:t> </w:t>
      </w:r>
      <w:r>
        <w:rPr>
          <w:rFonts w:ascii="Arial" w:hAnsi="Arial"/>
          <w:color w:val="231F20"/>
          <w:sz w:val="16"/>
        </w:rPr>
        <w:t>concentration.</w:t>
      </w:r>
      <w:r>
        <w:rPr>
          <w:rFonts w:ascii="Arial" w:hAnsi="Arial"/>
          <w:color w:val="231F20"/>
          <w:spacing w:val="-6"/>
          <w:sz w:val="16"/>
        </w:rPr>
        <w:t> </w:t>
      </w:r>
      <w:r>
        <w:rPr>
          <w:rFonts w:ascii="Arial" w:hAnsi="Arial"/>
          <w:color w:val="231F20"/>
          <w:sz w:val="16"/>
        </w:rPr>
        <w:t>Note</w:t>
      </w:r>
      <w:r>
        <w:rPr>
          <w:rFonts w:ascii="Arial" w:hAnsi="Arial"/>
          <w:color w:val="231F20"/>
          <w:spacing w:val="-5"/>
          <w:sz w:val="16"/>
        </w:rPr>
        <w:t> </w:t>
      </w:r>
      <w:r>
        <w:rPr>
          <w:rFonts w:ascii="Arial" w:hAnsi="Arial"/>
          <w:color w:val="231F20"/>
          <w:sz w:val="16"/>
        </w:rPr>
        <w:t>that</w:t>
      </w:r>
      <w:r>
        <w:rPr>
          <w:rFonts w:ascii="Arial" w:hAnsi="Arial"/>
          <w:color w:val="231F20"/>
          <w:spacing w:val="-5"/>
          <w:sz w:val="16"/>
        </w:rPr>
        <w:t> </w:t>
      </w:r>
      <w:r>
        <w:rPr>
          <w:rFonts w:ascii="Arial" w:hAnsi="Arial"/>
          <w:color w:val="231F20"/>
          <w:sz w:val="16"/>
        </w:rPr>
        <w:t>small</w:t>
      </w:r>
      <w:r>
        <w:rPr>
          <w:rFonts w:ascii="Arial" w:hAnsi="Arial"/>
          <w:color w:val="231F20"/>
          <w:spacing w:val="-6"/>
          <w:sz w:val="16"/>
        </w:rPr>
        <w:t> </w:t>
      </w:r>
      <w:r>
        <w:rPr>
          <w:rFonts w:ascii="Arial" w:hAnsi="Arial"/>
          <w:color w:val="231F20"/>
          <w:spacing w:val="-3"/>
          <w:sz w:val="16"/>
        </w:rPr>
        <w:t>changes </w:t>
      </w:r>
      <w:r>
        <w:rPr>
          <w:rFonts w:ascii="Arial" w:hAnsi="Arial"/>
          <w:color w:val="231F20"/>
          <w:sz w:val="16"/>
        </w:rPr>
        <w:t>in potassium concentration cause large changes in </w:t>
      </w:r>
      <w:r>
        <w:rPr>
          <w:rFonts w:ascii="Arial" w:hAnsi="Arial"/>
          <w:color w:val="231F20"/>
          <w:spacing w:val="-3"/>
          <w:sz w:val="16"/>
        </w:rPr>
        <w:t>aldosterone </w:t>
      </w:r>
      <w:r>
        <w:rPr>
          <w:rFonts w:ascii="Arial" w:hAnsi="Arial"/>
          <w:color w:val="231F20"/>
          <w:sz w:val="16"/>
        </w:rPr>
        <w:t>concentration.</w:t>
      </w:r>
    </w:p>
    <w:p>
      <w:pPr>
        <w:pStyle w:val="BodyText"/>
        <w:spacing w:before="10"/>
        <w:rPr>
          <w:rFonts w:ascii="Arial"/>
          <w:sz w:val="17"/>
        </w:rPr>
      </w:pPr>
    </w:p>
    <w:p>
      <w:pPr>
        <w:pStyle w:val="BodyText"/>
        <w:spacing w:line="249" w:lineRule="auto"/>
        <w:ind w:left="1922" w:right="1"/>
        <w:jc w:val="both"/>
      </w:pPr>
      <w:r>
        <w:rPr>
          <w:color w:val="231F20"/>
          <w:w w:val="105"/>
        </w:rPr>
        <w:t>interstitial</w:t>
      </w:r>
      <w:r>
        <w:rPr>
          <w:color w:val="231F20"/>
          <w:spacing w:val="-10"/>
          <w:w w:val="105"/>
        </w:rPr>
        <w:t> </w:t>
      </w:r>
      <w:r>
        <w:rPr>
          <w:color w:val="231F20"/>
          <w:w w:val="105"/>
        </w:rPr>
        <w:t>fluid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interior</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epithelial</w:t>
      </w:r>
      <w:r>
        <w:rPr>
          <w:color w:val="231F20"/>
          <w:spacing w:val="-9"/>
          <w:w w:val="105"/>
        </w:rPr>
        <w:t> </w:t>
      </w:r>
      <w:r>
        <w:rPr>
          <w:color w:val="231F20"/>
          <w:spacing w:val="-4"/>
          <w:w w:val="105"/>
        </w:rPr>
        <w:t>cell, </w:t>
      </w:r>
      <w:r>
        <w:rPr>
          <w:color w:val="231F20"/>
          <w:w w:val="105"/>
        </w:rPr>
        <w:t>which</w:t>
      </w:r>
      <w:r>
        <w:rPr>
          <w:color w:val="231F20"/>
          <w:spacing w:val="-17"/>
          <w:w w:val="105"/>
        </w:rPr>
        <w:t> </w:t>
      </w:r>
      <w:r>
        <w:rPr>
          <w:color w:val="231F20"/>
          <w:w w:val="105"/>
        </w:rPr>
        <w:t>reduces</w:t>
      </w:r>
      <w:r>
        <w:rPr>
          <w:color w:val="231F20"/>
          <w:spacing w:val="-17"/>
          <w:w w:val="105"/>
        </w:rPr>
        <w:t> </w:t>
      </w:r>
      <w:r>
        <w:rPr>
          <w:color w:val="231F20"/>
          <w:w w:val="105"/>
        </w:rPr>
        <w:t>backleakage</w:t>
      </w:r>
      <w:r>
        <w:rPr>
          <w:color w:val="231F20"/>
          <w:spacing w:val="-17"/>
          <w:w w:val="105"/>
        </w:rPr>
        <w:t> </w:t>
      </w:r>
      <w:r>
        <w:rPr>
          <w:color w:val="231F20"/>
          <w:w w:val="105"/>
        </w:rPr>
        <w:t>of</w:t>
      </w:r>
      <w:r>
        <w:rPr>
          <w:color w:val="231F20"/>
          <w:spacing w:val="-17"/>
          <w:w w:val="105"/>
        </w:rPr>
        <w:t> </w:t>
      </w:r>
      <w:r>
        <w:rPr>
          <w:color w:val="231F20"/>
          <w:w w:val="105"/>
        </w:rPr>
        <w:t>potassium</w:t>
      </w:r>
      <w:r>
        <w:rPr>
          <w:color w:val="231F20"/>
          <w:spacing w:val="-17"/>
          <w:w w:val="105"/>
        </w:rPr>
        <w:t> </w:t>
      </w:r>
      <w:r>
        <w:rPr>
          <w:color w:val="231F20"/>
          <w:w w:val="105"/>
        </w:rPr>
        <w:t>ions</w:t>
      </w:r>
      <w:r>
        <w:rPr>
          <w:color w:val="231F20"/>
          <w:spacing w:val="-17"/>
          <w:w w:val="105"/>
        </w:rPr>
        <w:t> </w:t>
      </w:r>
      <w:r>
        <w:rPr>
          <w:color w:val="231F20"/>
          <w:w w:val="105"/>
        </w:rPr>
        <w:t>from inside</w:t>
      </w:r>
      <w:r>
        <w:rPr>
          <w:color w:val="231F20"/>
          <w:spacing w:val="-8"/>
          <w:w w:val="105"/>
        </w:rPr>
        <w:t> </w:t>
      </w:r>
      <w:r>
        <w:rPr>
          <w:color w:val="231F20"/>
          <w:w w:val="105"/>
        </w:rPr>
        <w:t>the</w:t>
      </w:r>
      <w:r>
        <w:rPr>
          <w:color w:val="231F20"/>
          <w:spacing w:val="-8"/>
          <w:w w:val="105"/>
        </w:rPr>
        <w:t> </w:t>
      </w:r>
      <w:r>
        <w:rPr>
          <w:color w:val="231F20"/>
          <w:w w:val="105"/>
        </w:rPr>
        <w:t>cells</w:t>
      </w:r>
      <w:r>
        <w:rPr>
          <w:color w:val="231F20"/>
          <w:spacing w:val="-7"/>
          <w:w w:val="105"/>
        </w:rPr>
        <w:t> </w:t>
      </w:r>
      <w:r>
        <w:rPr>
          <w:color w:val="231F20"/>
          <w:w w:val="105"/>
        </w:rPr>
        <w:t>through</w:t>
      </w:r>
      <w:r>
        <w:rPr>
          <w:color w:val="231F20"/>
          <w:spacing w:val="-8"/>
          <w:w w:val="105"/>
        </w:rPr>
        <w:t> </w:t>
      </w:r>
      <w:r>
        <w:rPr>
          <w:color w:val="231F20"/>
          <w:w w:val="105"/>
        </w:rPr>
        <w:t>the</w:t>
      </w:r>
      <w:r>
        <w:rPr>
          <w:color w:val="231F20"/>
          <w:spacing w:val="-8"/>
          <w:w w:val="105"/>
        </w:rPr>
        <w:t> </w:t>
      </w:r>
      <w:r>
        <w:rPr>
          <w:color w:val="231F20"/>
          <w:w w:val="105"/>
        </w:rPr>
        <w:t>basolateral</w:t>
      </w:r>
      <w:r>
        <w:rPr>
          <w:color w:val="231F20"/>
          <w:spacing w:val="-7"/>
          <w:w w:val="105"/>
        </w:rPr>
        <w:t> </w:t>
      </w:r>
      <w:r>
        <w:rPr>
          <w:color w:val="231F20"/>
          <w:w w:val="105"/>
        </w:rPr>
        <w:t>membrane.</w:t>
      </w:r>
    </w:p>
    <w:p>
      <w:pPr>
        <w:pStyle w:val="ListParagraph"/>
        <w:numPr>
          <w:ilvl w:val="0"/>
          <w:numId w:val="23"/>
        </w:numPr>
        <w:tabs>
          <w:tab w:pos="1923" w:val="left" w:leader="none"/>
        </w:tabs>
        <w:spacing w:line="249" w:lineRule="auto" w:before="2" w:after="0"/>
        <w:ind w:left="1922" w:right="0" w:hanging="243"/>
        <w:jc w:val="both"/>
        <w:rPr>
          <w:sz w:val="20"/>
        </w:rPr>
      </w:pPr>
      <w:r>
        <w:rPr>
          <w:color w:val="231F20"/>
          <w:w w:val="105"/>
          <w:sz w:val="20"/>
        </w:rPr>
        <w:t>Increased potassium intake stimulates synthesis</w:t>
      </w:r>
      <w:r>
        <w:rPr>
          <w:color w:val="231F20"/>
          <w:spacing w:val="-32"/>
          <w:w w:val="105"/>
          <w:sz w:val="20"/>
        </w:rPr>
        <w:t> </w:t>
      </w:r>
      <w:r>
        <w:rPr>
          <w:color w:val="231F20"/>
          <w:spacing w:val="-6"/>
          <w:w w:val="105"/>
          <w:sz w:val="20"/>
        </w:rPr>
        <w:t>of </w:t>
      </w:r>
      <w:r>
        <w:rPr>
          <w:color w:val="231F20"/>
          <w:w w:val="105"/>
          <w:sz w:val="20"/>
        </w:rPr>
        <w:t>potassium channels and their translocation </w:t>
      </w:r>
      <w:r>
        <w:rPr>
          <w:color w:val="231F20"/>
          <w:spacing w:val="-5"/>
          <w:w w:val="105"/>
          <w:sz w:val="20"/>
        </w:rPr>
        <w:t>from </w:t>
      </w:r>
      <w:r>
        <w:rPr>
          <w:color w:val="231F20"/>
          <w:w w:val="105"/>
          <w:sz w:val="20"/>
        </w:rPr>
        <w:t>the cytosol to the luminal membrane, which, </w:t>
      </w:r>
      <w:r>
        <w:rPr>
          <w:color w:val="231F20"/>
          <w:spacing w:val="-7"/>
          <w:w w:val="105"/>
          <w:sz w:val="20"/>
        </w:rPr>
        <w:t>in </w:t>
      </w:r>
      <w:r>
        <w:rPr>
          <w:color w:val="231F20"/>
          <w:w w:val="105"/>
          <w:sz w:val="20"/>
        </w:rPr>
        <w:t>turn, increases the ease of potassium diffusion through the</w:t>
      </w:r>
      <w:r>
        <w:rPr>
          <w:color w:val="231F20"/>
          <w:spacing w:val="7"/>
          <w:w w:val="105"/>
          <w:sz w:val="20"/>
        </w:rPr>
        <w:t> </w:t>
      </w:r>
      <w:r>
        <w:rPr>
          <w:color w:val="231F20"/>
          <w:w w:val="105"/>
          <w:sz w:val="20"/>
        </w:rPr>
        <w:t>membrane.</w:t>
      </w:r>
    </w:p>
    <w:p>
      <w:pPr>
        <w:pStyle w:val="ListParagraph"/>
        <w:numPr>
          <w:ilvl w:val="0"/>
          <w:numId w:val="23"/>
        </w:numPr>
        <w:tabs>
          <w:tab w:pos="1923" w:val="left" w:leader="none"/>
        </w:tabs>
        <w:spacing w:line="249" w:lineRule="auto" w:before="4" w:after="0"/>
        <w:ind w:left="1922" w:right="0" w:hanging="243"/>
        <w:jc w:val="both"/>
        <w:rPr>
          <w:sz w:val="20"/>
        </w:rPr>
      </w:pPr>
      <w:r>
        <w:rPr>
          <w:color w:val="231F20"/>
          <w:w w:val="105"/>
          <w:sz w:val="20"/>
        </w:rPr>
        <w:t>Increased</w:t>
      </w:r>
      <w:r>
        <w:rPr>
          <w:color w:val="231F20"/>
          <w:spacing w:val="-24"/>
          <w:w w:val="105"/>
          <w:sz w:val="20"/>
        </w:rPr>
        <w:t> </w:t>
      </w:r>
      <w:r>
        <w:rPr>
          <w:color w:val="231F20"/>
          <w:w w:val="105"/>
          <w:sz w:val="20"/>
        </w:rPr>
        <w:t>potassium</w:t>
      </w:r>
      <w:r>
        <w:rPr>
          <w:color w:val="231F20"/>
          <w:spacing w:val="-23"/>
          <w:w w:val="105"/>
          <w:sz w:val="20"/>
        </w:rPr>
        <w:t> </w:t>
      </w:r>
      <w:r>
        <w:rPr>
          <w:color w:val="231F20"/>
          <w:w w:val="105"/>
          <w:sz w:val="20"/>
        </w:rPr>
        <w:t>concentration</w:t>
      </w:r>
      <w:r>
        <w:rPr>
          <w:color w:val="231F20"/>
          <w:spacing w:val="-23"/>
          <w:w w:val="105"/>
          <w:sz w:val="20"/>
        </w:rPr>
        <w:t> </w:t>
      </w:r>
      <w:r>
        <w:rPr>
          <w:color w:val="231F20"/>
          <w:w w:val="105"/>
          <w:sz w:val="20"/>
        </w:rPr>
        <w:t>stimulates</w:t>
      </w:r>
      <w:r>
        <w:rPr>
          <w:color w:val="231F20"/>
          <w:spacing w:val="-23"/>
          <w:w w:val="105"/>
          <w:sz w:val="20"/>
        </w:rPr>
        <w:t> </w:t>
      </w:r>
      <w:r>
        <w:rPr>
          <w:color w:val="231F20"/>
          <w:spacing w:val="-3"/>
          <w:w w:val="105"/>
          <w:sz w:val="20"/>
        </w:rPr>
        <w:t>aldo- </w:t>
      </w:r>
      <w:r>
        <w:rPr>
          <w:color w:val="231F20"/>
          <w:w w:val="105"/>
          <w:sz w:val="20"/>
        </w:rPr>
        <w:t>sterone secretion by the adrenal cortex, </w:t>
      </w:r>
      <w:r>
        <w:rPr>
          <w:color w:val="231F20"/>
          <w:spacing w:val="-4"/>
          <w:w w:val="105"/>
          <w:sz w:val="20"/>
        </w:rPr>
        <w:t>which </w:t>
      </w:r>
      <w:r>
        <w:rPr>
          <w:color w:val="231F20"/>
          <w:w w:val="105"/>
          <w:sz w:val="20"/>
        </w:rPr>
        <w:t>further</w:t>
      </w:r>
      <w:r>
        <w:rPr>
          <w:color w:val="231F20"/>
          <w:spacing w:val="-28"/>
          <w:w w:val="105"/>
          <w:sz w:val="20"/>
        </w:rPr>
        <w:t> </w:t>
      </w:r>
      <w:r>
        <w:rPr>
          <w:color w:val="231F20"/>
          <w:w w:val="105"/>
          <w:sz w:val="20"/>
        </w:rPr>
        <w:t>stimulates</w:t>
      </w:r>
      <w:r>
        <w:rPr>
          <w:color w:val="231F20"/>
          <w:spacing w:val="-27"/>
          <w:w w:val="105"/>
          <w:sz w:val="20"/>
        </w:rPr>
        <w:t> </w:t>
      </w:r>
      <w:r>
        <w:rPr>
          <w:color w:val="231F20"/>
          <w:w w:val="105"/>
          <w:sz w:val="20"/>
        </w:rPr>
        <w:t>potassium</w:t>
      </w:r>
      <w:r>
        <w:rPr>
          <w:color w:val="231F20"/>
          <w:spacing w:val="-27"/>
          <w:w w:val="105"/>
          <w:sz w:val="20"/>
        </w:rPr>
        <w:t> </w:t>
      </w:r>
      <w:r>
        <w:rPr>
          <w:color w:val="231F20"/>
          <w:w w:val="105"/>
          <w:sz w:val="20"/>
        </w:rPr>
        <w:t>secretion,</w:t>
      </w:r>
      <w:r>
        <w:rPr>
          <w:color w:val="231F20"/>
          <w:spacing w:val="-27"/>
          <w:w w:val="105"/>
          <w:sz w:val="20"/>
        </w:rPr>
        <w:t> </w:t>
      </w:r>
      <w:r>
        <w:rPr>
          <w:color w:val="231F20"/>
          <w:w w:val="105"/>
          <w:sz w:val="20"/>
        </w:rPr>
        <w:t>as</w:t>
      </w:r>
      <w:r>
        <w:rPr>
          <w:color w:val="231F20"/>
          <w:spacing w:val="-27"/>
          <w:w w:val="105"/>
          <w:sz w:val="20"/>
        </w:rPr>
        <w:t> </w:t>
      </w:r>
      <w:r>
        <w:rPr>
          <w:color w:val="231F20"/>
          <w:w w:val="105"/>
          <w:sz w:val="20"/>
        </w:rPr>
        <w:t>discussed next.</w:t>
      </w:r>
    </w:p>
    <w:p>
      <w:pPr>
        <w:pStyle w:val="BodyText"/>
        <w:spacing w:line="249" w:lineRule="auto" w:before="244"/>
        <w:ind w:left="1440"/>
        <w:jc w:val="both"/>
      </w:pPr>
      <w:r>
        <w:rPr>
          <w:rFonts w:ascii="Trebuchet MS"/>
          <w:b/>
          <w:color w:val="231F20"/>
          <w:w w:val="105"/>
          <w:sz w:val="19"/>
        </w:rPr>
        <w:t>Aldosterone Stimulates Potassium Secretion.</w:t>
      </w:r>
      <w:r>
        <w:rPr>
          <w:rFonts w:ascii="Trebuchet MS"/>
          <w:b/>
          <w:color w:val="231F20"/>
          <w:spacing w:val="-37"/>
          <w:w w:val="105"/>
          <w:sz w:val="19"/>
        </w:rPr>
        <w:t> </w:t>
      </w:r>
      <w:r>
        <w:rPr>
          <w:color w:val="231F20"/>
          <w:spacing w:val="-4"/>
          <w:w w:val="105"/>
        </w:rPr>
        <w:t>Aldo- </w:t>
      </w:r>
      <w:r>
        <w:rPr>
          <w:color w:val="231F20"/>
          <w:w w:val="105"/>
        </w:rPr>
        <w:t>sterone</w:t>
      </w:r>
      <w:r>
        <w:rPr>
          <w:color w:val="231F20"/>
          <w:spacing w:val="-8"/>
          <w:w w:val="105"/>
        </w:rPr>
        <w:t> </w:t>
      </w:r>
      <w:r>
        <w:rPr>
          <w:color w:val="231F20"/>
          <w:w w:val="105"/>
        </w:rPr>
        <w:t>stimulates</w:t>
      </w:r>
      <w:r>
        <w:rPr>
          <w:color w:val="231F20"/>
          <w:spacing w:val="-8"/>
          <w:w w:val="105"/>
        </w:rPr>
        <w:t> </w:t>
      </w:r>
      <w:r>
        <w:rPr>
          <w:color w:val="231F20"/>
          <w:w w:val="105"/>
        </w:rPr>
        <w:t>active</w:t>
      </w:r>
      <w:r>
        <w:rPr>
          <w:color w:val="231F20"/>
          <w:spacing w:val="-7"/>
          <w:w w:val="105"/>
        </w:rPr>
        <w:t> </w:t>
      </w:r>
      <w:r>
        <w:rPr>
          <w:color w:val="231F20"/>
          <w:w w:val="105"/>
        </w:rPr>
        <w:t>reabsorption</w:t>
      </w:r>
      <w:r>
        <w:rPr>
          <w:color w:val="231F20"/>
          <w:spacing w:val="-8"/>
          <w:w w:val="105"/>
        </w:rPr>
        <w:t> </w:t>
      </w:r>
      <w:r>
        <w:rPr>
          <w:color w:val="231F20"/>
          <w:w w:val="105"/>
        </w:rPr>
        <w:t>of</w:t>
      </w:r>
      <w:r>
        <w:rPr>
          <w:color w:val="231F20"/>
          <w:spacing w:val="-7"/>
          <w:w w:val="105"/>
        </w:rPr>
        <w:t> </w:t>
      </w:r>
      <w:r>
        <w:rPr>
          <w:color w:val="231F20"/>
          <w:w w:val="105"/>
        </w:rPr>
        <w:t>sodium</w:t>
      </w:r>
      <w:r>
        <w:rPr>
          <w:color w:val="231F20"/>
          <w:spacing w:val="-8"/>
          <w:w w:val="105"/>
        </w:rPr>
        <w:t> </w:t>
      </w:r>
      <w:r>
        <w:rPr>
          <w:color w:val="231F20"/>
          <w:w w:val="105"/>
        </w:rPr>
        <w:t>ions</w:t>
      </w:r>
      <w:r>
        <w:rPr>
          <w:color w:val="231F20"/>
          <w:spacing w:val="-7"/>
          <w:w w:val="105"/>
        </w:rPr>
        <w:t> </w:t>
      </w:r>
      <w:r>
        <w:rPr>
          <w:color w:val="231F20"/>
          <w:spacing w:val="-6"/>
          <w:w w:val="105"/>
        </w:rPr>
        <w:t>by </w:t>
      </w:r>
      <w:r>
        <w:rPr>
          <w:color w:val="231F20"/>
          <w:w w:val="105"/>
        </w:rPr>
        <w:t>the</w:t>
      </w:r>
      <w:r>
        <w:rPr>
          <w:color w:val="231F20"/>
          <w:spacing w:val="-11"/>
          <w:w w:val="105"/>
        </w:rPr>
        <w:t> </w:t>
      </w:r>
      <w:r>
        <w:rPr>
          <w:color w:val="231F20"/>
          <w:w w:val="105"/>
        </w:rPr>
        <w:t>principal</w:t>
      </w:r>
      <w:r>
        <w:rPr>
          <w:color w:val="231F20"/>
          <w:spacing w:val="-10"/>
          <w:w w:val="105"/>
        </w:rPr>
        <w:t> </w:t>
      </w:r>
      <w:r>
        <w:rPr>
          <w:color w:val="231F20"/>
          <w:w w:val="105"/>
        </w:rPr>
        <w:t>cells</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late</w:t>
      </w:r>
      <w:r>
        <w:rPr>
          <w:color w:val="231F20"/>
          <w:spacing w:val="-10"/>
          <w:w w:val="105"/>
        </w:rPr>
        <w:t> </w:t>
      </w:r>
      <w:r>
        <w:rPr>
          <w:color w:val="231F20"/>
          <w:w w:val="105"/>
        </w:rPr>
        <w:t>distal</w:t>
      </w:r>
      <w:r>
        <w:rPr>
          <w:color w:val="231F20"/>
          <w:spacing w:val="-10"/>
          <w:w w:val="105"/>
        </w:rPr>
        <w:t> </w:t>
      </w:r>
      <w:r>
        <w:rPr>
          <w:color w:val="231F20"/>
          <w:w w:val="105"/>
        </w:rPr>
        <w:t>tubules</w:t>
      </w:r>
      <w:r>
        <w:rPr>
          <w:color w:val="231F20"/>
          <w:spacing w:val="-11"/>
          <w:w w:val="105"/>
        </w:rPr>
        <w:t> </w:t>
      </w:r>
      <w:r>
        <w:rPr>
          <w:color w:val="231F20"/>
          <w:w w:val="105"/>
        </w:rPr>
        <w:t>and</w:t>
      </w:r>
      <w:r>
        <w:rPr>
          <w:color w:val="231F20"/>
          <w:spacing w:val="-10"/>
          <w:w w:val="105"/>
        </w:rPr>
        <w:t> </w:t>
      </w:r>
      <w:r>
        <w:rPr>
          <w:color w:val="231F20"/>
          <w:spacing w:val="-3"/>
          <w:w w:val="105"/>
        </w:rPr>
        <w:t>collecting </w:t>
      </w:r>
      <w:r>
        <w:rPr>
          <w:color w:val="231F20"/>
          <w:w w:val="105"/>
        </w:rPr>
        <w:t>ducts</w:t>
      </w:r>
      <w:r>
        <w:rPr>
          <w:color w:val="231F20"/>
          <w:spacing w:val="-10"/>
          <w:w w:val="105"/>
        </w:rPr>
        <w:t> </w:t>
      </w:r>
      <w:r>
        <w:rPr>
          <w:color w:val="231F20"/>
          <w:w w:val="105"/>
        </w:rPr>
        <w:t>(see</w:t>
      </w:r>
      <w:r>
        <w:rPr>
          <w:color w:val="231F20"/>
          <w:spacing w:val="-10"/>
          <w:w w:val="105"/>
        </w:rPr>
        <w:t> </w:t>
      </w:r>
      <w:r>
        <w:rPr>
          <w:color w:val="231F20"/>
          <w:w w:val="105"/>
        </w:rPr>
        <w:t>Chapter</w:t>
      </w:r>
      <w:r>
        <w:rPr>
          <w:color w:val="231F20"/>
          <w:spacing w:val="-10"/>
          <w:w w:val="105"/>
        </w:rPr>
        <w:t> </w:t>
      </w:r>
      <w:r>
        <w:rPr>
          <w:color w:val="231F20"/>
          <w:w w:val="105"/>
        </w:rPr>
        <w:t>28).</w:t>
      </w:r>
      <w:r>
        <w:rPr>
          <w:color w:val="231F20"/>
          <w:spacing w:val="-9"/>
          <w:w w:val="105"/>
        </w:rPr>
        <w:t> </w:t>
      </w:r>
      <w:r>
        <w:rPr>
          <w:color w:val="231F20"/>
          <w:w w:val="105"/>
        </w:rPr>
        <w:t>This</w:t>
      </w:r>
      <w:r>
        <w:rPr>
          <w:color w:val="231F20"/>
          <w:spacing w:val="-10"/>
          <w:w w:val="105"/>
        </w:rPr>
        <w:t> </w:t>
      </w:r>
      <w:r>
        <w:rPr>
          <w:color w:val="231F20"/>
          <w:w w:val="105"/>
        </w:rPr>
        <w:t>effect</w:t>
      </w:r>
      <w:r>
        <w:rPr>
          <w:color w:val="231F20"/>
          <w:spacing w:val="-10"/>
          <w:w w:val="105"/>
        </w:rPr>
        <w:t> </w:t>
      </w:r>
      <w:r>
        <w:rPr>
          <w:color w:val="231F20"/>
          <w:w w:val="105"/>
        </w:rPr>
        <w:t>is</w:t>
      </w:r>
      <w:r>
        <w:rPr>
          <w:color w:val="231F20"/>
          <w:spacing w:val="-10"/>
          <w:w w:val="105"/>
        </w:rPr>
        <w:t> </w:t>
      </w:r>
      <w:r>
        <w:rPr>
          <w:color w:val="231F20"/>
          <w:w w:val="105"/>
        </w:rPr>
        <w:t>mediated</w:t>
      </w:r>
      <w:r>
        <w:rPr>
          <w:color w:val="231F20"/>
          <w:spacing w:val="-9"/>
          <w:w w:val="105"/>
        </w:rPr>
        <w:t> </w:t>
      </w:r>
      <w:r>
        <w:rPr>
          <w:color w:val="231F20"/>
          <w:w w:val="105"/>
        </w:rPr>
        <w:t>through</w:t>
      </w:r>
      <w:r>
        <w:rPr>
          <w:color w:val="231F20"/>
          <w:spacing w:val="-10"/>
          <w:w w:val="105"/>
        </w:rPr>
        <w:t> </w:t>
      </w:r>
      <w:r>
        <w:rPr>
          <w:color w:val="231F20"/>
          <w:w w:val="105"/>
        </w:rPr>
        <w:t>a sodium-potassium</w:t>
      </w:r>
      <w:r>
        <w:rPr>
          <w:color w:val="231F20"/>
          <w:spacing w:val="-9"/>
          <w:w w:val="105"/>
        </w:rPr>
        <w:t> </w:t>
      </w:r>
      <w:r>
        <w:rPr>
          <w:color w:val="231F20"/>
          <w:w w:val="105"/>
        </w:rPr>
        <w:t>ATPase</w:t>
      </w:r>
      <w:r>
        <w:rPr>
          <w:color w:val="231F20"/>
          <w:spacing w:val="-9"/>
          <w:w w:val="105"/>
        </w:rPr>
        <w:t> </w:t>
      </w:r>
      <w:r>
        <w:rPr>
          <w:color w:val="231F20"/>
          <w:w w:val="105"/>
        </w:rPr>
        <w:t>pump</w:t>
      </w:r>
      <w:r>
        <w:rPr>
          <w:color w:val="231F20"/>
          <w:spacing w:val="-9"/>
          <w:w w:val="105"/>
        </w:rPr>
        <w:t> </w:t>
      </w:r>
      <w:r>
        <w:rPr>
          <w:color w:val="231F20"/>
          <w:w w:val="105"/>
        </w:rPr>
        <w:t>that</w:t>
      </w:r>
      <w:r>
        <w:rPr>
          <w:color w:val="231F20"/>
          <w:spacing w:val="-9"/>
          <w:w w:val="105"/>
        </w:rPr>
        <w:t> </w:t>
      </w:r>
      <w:r>
        <w:rPr>
          <w:color w:val="231F20"/>
          <w:w w:val="105"/>
        </w:rPr>
        <w:t>transports</w:t>
      </w:r>
      <w:r>
        <w:rPr>
          <w:color w:val="231F20"/>
          <w:spacing w:val="-9"/>
          <w:w w:val="105"/>
        </w:rPr>
        <w:t> </w:t>
      </w:r>
      <w:r>
        <w:rPr>
          <w:color w:val="231F20"/>
          <w:w w:val="105"/>
        </w:rPr>
        <w:t>sodium outward through the basolateral membrane of the </w:t>
      </w:r>
      <w:r>
        <w:rPr>
          <w:color w:val="231F20"/>
          <w:spacing w:val="-6"/>
          <w:w w:val="105"/>
        </w:rPr>
        <w:t>cell </w:t>
      </w:r>
      <w:r>
        <w:rPr>
          <w:color w:val="231F20"/>
          <w:w w:val="105"/>
        </w:rPr>
        <w:t>and into the renal interstitial fluid at the same time </w:t>
      </w:r>
      <w:r>
        <w:rPr>
          <w:color w:val="231F20"/>
          <w:spacing w:val="-4"/>
          <w:w w:val="105"/>
        </w:rPr>
        <w:t>that </w:t>
      </w:r>
      <w:r>
        <w:rPr>
          <w:color w:val="231F20"/>
          <w:w w:val="105"/>
        </w:rPr>
        <w:t>it pumps potassium into the cell. Thus, aldosterone </w:t>
      </w:r>
      <w:r>
        <w:rPr>
          <w:color w:val="231F20"/>
          <w:spacing w:val="-4"/>
          <w:w w:val="105"/>
        </w:rPr>
        <w:t>also </w:t>
      </w:r>
      <w:r>
        <w:rPr>
          <w:color w:val="231F20"/>
          <w:w w:val="105"/>
        </w:rPr>
        <w:t>has a powerful effect to control the rate at which the principal cells secrete</w:t>
      </w:r>
      <w:r>
        <w:rPr>
          <w:color w:val="231F20"/>
          <w:spacing w:val="4"/>
          <w:w w:val="105"/>
        </w:rPr>
        <w:t> </w:t>
      </w:r>
      <w:r>
        <w:rPr>
          <w:color w:val="231F20"/>
          <w:w w:val="105"/>
        </w:rPr>
        <w:t>potassium.</w:t>
      </w:r>
    </w:p>
    <w:p>
      <w:pPr>
        <w:pStyle w:val="BodyText"/>
        <w:spacing w:line="249" w:lineRule="auto" w:before="8"/>
        <w:ind w:left="1440" w:firstLine="240"/>
        <w:jc w:val="both"/>
        <w:rPr>
          <w:rFonts w:ascii="Cambria"/>
          <w:b/>
        </w:rPr>
      </w:pPr>
      <w:r>
        <w:rPr>
          <w:color w:val="231F20"/>
        </w:rPr>
        <w:t>A second effect of aldosterone is to increase the number of potassium channels in the luminal membrane and therefore its permeability for potassium, further adding to the effectiveness of aldosterone in stimulating potassium secretion. Therefore, aldosterone has a power- ful effect to increase potassium excretion, as shown in</w:t>
      </w:r>
      <w:hyperlink w:history="true" w:anchor="_bookmark86">
        <w:r>
          <w:rPr>
            <w:color w:val="0080AC"/>
          </w:rPr>
          <w:t> </w:t>
        </w:r>
        <w:r>
          <w:rPr>
            <w:rFonts w:ascii="Cambria"/>
            <w:b/>
            <w:color w:val="0080AC"/>
          </w:rPr>
          <w:t>Figure 30-4</w:t>
        </w:r>
      </w:hyperlink>
      <w:r>
        <w:rPr>
          <w:rFonts w:ascii="Cambria"/>
          <w:b/>
          <w:color w:val="231F20"/>
        </w:rPr>
        <w:t>.</w:t>
      </w:r>
    </w:p>
    <w:p>
      <w:pPr>
        <w:spacing w:line="249" w:lineRule="auto" w:before="249"/>
        <w:ind w:left="1439" w:right="0" w:firstLine="0"/>
        <w:jc w:val="both"/>
        <w:rPr>
          <w:sz w:val="20"/>
        </w:rPr>
      </w:pPr>
      <w:r>
        <w:rPr>
          <w:rFonts w:ascii="Trebuchet MS"/>
          <w:b/>
          <w:color w:val="231F20"/>
          <w:sz w:val="19"/>
        </w:rPr>
        <w:t>Increased Extracellular Potassium Ion </w:t>
      </w:r>
      <w:r>
        <w:rPr>
          <w:rFonts w:ascii="Trebuchet MS"/>
          <w:b/>
          <w:color w:val="231F20"/>
          <w:spacing w:val="-2"/>
          <w:sz w:val="19"/>
        </w:rPr>
        <w:t>Concentration </w:t>
      </w:r>
      <w:r>
        <w:rPr>
          <w:rFonts w:ascii="Trebuchet MS"/>
          <w:b/>
          <w:color w:val="231F20"/>
          <w:w w:val="105"/>
          <w:sz w:val="19"/>
        </w:rPr>
        <w:t>Stimulates Aldosterone Secretion. </w:t>
      </w:r>
      <w:r>
        <w:rPr>
          <w:color w:val="231F20"/>
          <w:w w:val="105"/>
          <w:sz w:val="20"/>
        </w:rPr>
        <w:t>In negative </w:t>
      </w:r>
      <w:r>
        <w:rPr>
          <w:color w:val="231F20"/>
          <w:spacing w:val="-3"/>
          <w:w w:val="105"/>
          <w:sz w:val="20"/>
        </w:rPr>
        <w:t>feed- </w:t>
      </w:r>
      <w:r>
        <w:rPr>
          <w:color w:val="231F20"/>
          <w:w w:val="105"/>
          <w:sz w:val="20"/>
        </w:rPr>
        <w:t>back</w:t>
      </w:r>
      <w:r>
        <w:rPr>
          <w:color w:val="231F20"/>
          <w:spacing w:val="-15"/>
          <w:w w:val="105"/>
          <w:sz w:val="20"/>
        </w:rPr>
        <w:t> </w:t>
      </w:r>
      <w:r>
        <w:rPr>
          <w:color w:val="231F20"/>
          <w:w w:val="105"/>
          <w:sz w:val="20"/>
        </w:rPr>
        <w:t>control</w:t>
      </w:r>
      <w:r>
        <w:rPr>
          <w:color w:val="231F20"/>
          <w:spacing w:val="-14"/>
          <w:w w:val="105"/>
          <w:sz w:val="20"/>
        </w:rPr>
        <w:t> </w:t>
      </w:r>
      <w:r>
        <w:rPr>
          <w:color w:val="231F20"/>
          <w:w w:val="105"/>
          <w:sz w:val="20"/>
        </w:rPr>
        <w:t>systems,</w:t>
      </w:r>
      <w:r>
        <w:rPr>
          <w:color w:val="231F20"/>
          <w:spacing w:val="-14"/>
          <w:w w:val="105"/>
          <w:sz w:val="20"/>
        </w:rPr>
        <w:t> </w:t>
      </w:r>
      <w:r>
        <w:rPr>
          <w:color w:val="231F20"/>
          <w:w w:val="105"/>
          <w:sz w:val="20"/>
        </w:rPr>
        <w:t>the</w:t>
      </w:r>
      <w:r>
        <w:rPr>
          <w:color w:val="231F20"/>
          <w:spacing w:val="-15"/>
          <w:w w:val="105"/>
          <w:sz w:val="20"/>
        </w:rPr>
        <w:t> </w:t>
      </w:r>
      <w:r>
        <w:rPr>
          <w:color w:val="231F20"/>
          <w:w w:val="105"/>
          <w:sz w:val="20"/>
        </w:rPr>
        <w:t>factor</w:t>
      </w:r>
      <w:r>
        <w:rPr>
          <w:color w:val="231F20"/>
          <w:spacing w:val="-14"/>
          <w:w w:val="105"/>
          <w:sz w:val="20"/>
        </w:rPr>
        <w:t> </w:t>
      </w:r>
      <w:r>
        <w:rPr>
          <w:color w:val="231F20"/>
          <w:w w:val="105"/>
          <w:sz w:val="20"/>
        </w:rPr>
        <w:t>that</w:t>
      </w:r>
      <w:r>
        <w:rPr>
          <w:color w:val="231F20"/>
          <w:spacing w:val="-14"/>
          <w:w w:val="105"/>
          <w:sz w:val="20"/>
        </w:rPr>
        <w:t> </w:t>
      </w:r>
      <w:r>
        <w:rPr>
          <w:color w:val="231F20"/>
          <w:w w:val="105"/>
          <w:sz w:val="20"/>
        </w:rPr>
        <w:t>is</w:t>
      </w:r>
      <w:r>
        <w:rPr>
          <w:color w:val="231F20"/>
          <w:spacing w:val="-14"/>
          <w:w w:val="105"/>
          <w:sz w:val="20"/>
        </w:rPr>
        <w:t> </w:t>
      </w:r>
      <w:r>
        <w:rPr>
          <w:color w:val="231F20"/>
          <w:w w:val="105"/>
          <w:sz w:val="20"/>
        </w:rPr>
        <w:t>controlled</w:t>
      </w:r>
      <w:r>
        <w:rPr>
          <w:color w:val="231F20"/>
          <w:spacing w:val="-15"/>
          <w:w w:val="105"/>
          <w:sz w:val="20"/>
        </w:rPr>
        <w:t> </w:t>
      </w:r>
      <w:r>
        <w:rPr>
          <w:color w:val="231F20"/>
          <w:w w:val="105"/>
          <w:sz w:val="20"/>
        </w:rPr>
        <w:t>usually has</w:t>
      </w:r>
      <w:r>
        <w:rPr>
          <w:color w:val="231F20"/>
          <w:spacing w:val="-5"/>
          <w:w w:val="105"/>
          <w:sz w:val="20"/>
        </w:rPr>
        <w:t> </w:t>
      </w:r>
      <w:r>
        <w:rPr>
          <w:color w:val="231F20"/>
          <w:w w:val="105"/>
          <w:sz w:val="20"/>
        </w:rPr>
        <w:t>a</w:t>
      </w:r>
      <w:r>
        <w:rPr>
          <w:color w:val="231F20"/>
          <w:spacing w:val="-4"/>
          <w:w w:val="105"/>
          <w:sz w:val="20"/>
        </w:rPr>
        <w:t> </w:t>
      </w:r>
      <w:r>
        <w:rPr>
          <w:color w:val="231F20"/>
          <w:w w:val="105"/>
          <w:sz w:val="20"/>
        </w:rPr>
        <w:t>feedback</w:t>
      </w:r>
      <w:r>
        <w:rPr>
          <w:color w:val="231F20"/>
          <w:spacing w:val="-4"/>
          <w:w w:val="105"/>
          <w:sz w:val="20"/>
        </w:rPr>
        <w:t> </w:t>
      </w:r>
      <w:r>
        <w:rPr>
          <w:color w:val="231F20"/>
          <w:w w:val="105"/>
          <w:sz w:val="20"/>
        </w:rPr>
        <w:t>effect</w:t>
      </w:r>
      <w:r>
        <w:rPr>
          <w:color w:val="231F20"/>
          <w:spacing w:val="-4"/>
          <w:w w:val="105"/>
          <w:sz w:val="20"/>
        </w:rPr>
        <w:t> </w:t>
      </w:r>
      <w:r>
        <w:rPr>
          <w:color w:val="231F20"/>
          <w:w w:val="105"/>
          <w:sz w:val="20"/>
        </w:rPr>
        <w:t>on</w:t>
      </w:r>
      <w:r>
        <w:rPr>
          <w:color w:val="231F20"/>
          <w:spacing w:val="-5"/>
          <w:w w:val="105"/>
          <w:sz w:val="20"/>
        </w:rPr>
        <w:t> </w:t>
      </w:r>
      <w:r>
        <w:rPr>
          <w:color w:val="231F20"/>
          <w:w w:val="105"/>
          <w:sz w:val="20"/>
        </w:rPr>
        <w:t>the</w:t>
      </w:r>
      <w:r>
        <w:rPr>
          <w:color w:val="231F20"/>
          <w:spacing w:val="-4"/>
          <w:w w:val="105"/>
          <w:sz w:val="20"/>
        </w:rPr>
        <w:t> </w:t>
      </w:r>
      <w:r>
        <w:rPr>
          <w:color w:val="231F20"/>
          <w:spacing w:val="-3"/>
          <w:w w:val="105"/>
          <w:sz w:val="20"/>
        </w:rPr>
        <w:t>controller.</w:t>
      </w:r>
      <w:r>
        <w:rPr>
          <w:color w:val="231F20"/>
          <w:spacing w:val="-4"/>
          <w:w w:val="105"/>
          <w:sz w:val="20"/>
        </w:rPr>
        <w:t> </w:t>
      </w:r>
      <w:r>
        <w:rPr>
          <w:color w:val="231F20"/>
          <w:w w:val="105"/>
          <w:sz w:val="20"/>
        </w:rPr>
        <w:t>In</w:t>
      </w:r>
      <w:r>
        <w:rPr>
          <w:color w:val="231F20"/>
          <w:spacing w:val="-5"/>
          <w:w w:val="105"/>
          <w:sz w:val="20"/>
        </w:rPr>
        <w:t> </w:t>
      </w:r>
      <w:r>
        <w:rPr>
          <w:color w:val="231F20"/>
          <w:w w:val="105"/>
          <w:sz w:val="20"/>
        </w:rPr>
        <w:t>the</w:t>
      </w:r>
      <w:r>
        <w:rPr>
          <w:color w:val="231F20"/>
          <w:spacing w:val="-4"/>
          <w:w w:val="105"/>
          <w:sz w:val="20"/>
        </w:rPr>
        <w:t> </w:t>
      </w:r>
      <w:r>
        <w:rPr>
          <w:color w:val="231F20"/>
          <w:w w:val="105"/>
          <w:sz w:val="20"/>
        </w:rPr>
        <w:t>case</w:t>
      </w:r>
      <w:r>
        <w:rPr>
          <w:color w:val="231F20"/>
          <w:spacing w:val="-4"/>
          <w:w w:val="105"/>
          <w:sz w:val="20"/>
        </w:rPr>
        <w:t> </w:t>
      </w:r>
      <w:r>
        <w:rPr>
          <w:color w:val="231F20"/>
          <w:w w:val="105"/>
          <w:sz w:val="20"/>
        </w:rPr>
        <w:t>of</w:t>
      </w:r>
      <w:r>
        <w:rPr>
          <w:color w:val="231F20"/>
          <w:spacing w:val="-4"/>
          <w:w w:val="105"/>
          <w:sz w:val="20"/>
        </w:rPr>
        <w:t> </w:t>
      </w:r>
      <w:r>
        <w:rPr>
          <w:color w:val="231F20"/>
          <w:w w:val="105"/>
          <w:sz w:val="20"/>
        </w:rPr>
        <w:t>the aldosterone-potassium control system, the rate of </w:t>
      </w:r>
      <w:r>
        <w:rPr>
          <w:color w:val="231F20"/>
          <w:spacing w:val="-4"/>
          <w:w w:val="105"/>
          <w:sz w:val="20"/>
        </w:rPr>
        <w:t>aldo- </w:t>
      </w:r>
      <w:r>
        <w:rPr>
          <w:color w:val="231F20"/>
          <w:w w:val="105"/>
          <w:sz w:val="20"/>
        </w:rPr>
        <w:t>sterone secretion by the adrenal gland is </w:t>
      </w:r>
      <w:r>
        <w:rPr>
          <w:color w:val="231F20"/>
          <w:spacing w:val="-3"/>
          <w:w w:val="105"/>
          <w:sz w:val="20"/>
        </w:rPr>
        <w:t>controlled </w:t>
      </w:r>
      <w:r>
        <w:rPr>
          <w:color w:val="231F20"/>
          <w:w w:val="105"/>
          <w:sz w:val="20"/>
        </w:rPr>
        <w:t>strongly by extracellular fluid potassium ion concentra- tion. </w:t>
      </w:r>
      <w:hyperlink w:history="true" w:anchor="_bookmark87">
        <w:r>
          <w:rPr>
            <w:rFonts w:ascii="Cambria"/>
            <w:b/>
            <w:color w:val="0080AC"/>
            <w:w w:val="105"/>
            <w:sz w:val="20"/>
          </w:rPr>
          <w:t>Figure 30-5</w:t>
        </w:r>
      </w:hyperlink>
      <w:r>
        <w:rPr>
          <w:rFonts w:ascii="Cambria"/>
          <w:b/>
          <w:color w:val="0080AC"/>
          <w:w w:val="105"/>
          <w:sz w:val="20"/>
        </w:rPr>
        <w:t> </w:t>
      </w:r>
      <w:r>
        <w:rPr>
          <w:color w:val="231F20"/>
          <w:w w:val="105"/>
          <w:sz w:val="20"/>
        </w:rPr>
        <w:t>shows that an increase in</w:t>
      </w:r>
      <w:r>
        <w:rPr>
          <w:color w:val="231F20"/>
          <w:spacing w:val="-22"/>
          <w:w w:val="105"/>
          <w:sz w:val="20"/>
        </w:rPr>
        <w:t> </w:t>
      </w:r>
      <w:r>
        <w:rPr>
          <w:color w:val="231F20"/>
          <w:w w:val="105"/>
          <w:sz w:val="20"/>
        </w:rPr>
        <w:t>plasma</w:t>
      </w:r>
    </w:p>
    <w:p>
      <w:pPr>
        <w:pStyle w:val="BodyText"/>
        <w:spacing w:before="2"/>
        <w:rPr>
          <w:sz w:val="14"/>
        </w:rPr>
      </w:pPr>
      <w:r>
        <w:rPr/>
        <w:br w:type="column"/>
      </w:r>
      <w:r>
        <w:rPr>
          <w:sz w:val="14"/>
        </w:rPr>
      </w:r>
    </w:p>
    <w:p>
      <w:pPr>
        <w:spacing w:line="252" w:lineRule="auto" w:before="0"/>
        <w:ind w:left="319" w:right="1078" w:firstLine="0"/>
        <w:jc w:val="both"/>
        <w:rPr>
          <w:rFonts w:ascii="Arial"/>
          <w:sz w:val="16"/>
        </w:rPr>
      </w:pPr>
      <w:bookmarkStart w:name="_bookmark88" w:id="89"/>
      <w:bookmarkEnd w:id="89"/>
      <w:r>
        <w:rPr/>
      </w:r>
      <w:r>
        <w:rPr>
          <w:rFonts w:ascii="Trebuchet MS"/>
          <w:b/>
          <w:color w:val="231F20"/>
          <w:sz w:val="16"/>
        </w:rPr>
        <w:t>Figure</w:t>
      </w:r>
      <w:r>
        <w:rPr>
          <w:rFonts w:ascii="Trebuchet MS"/>
          <w:b/>
          <w:color w:val="231F20"/>
          <w:spacing w:val="-16"/>
          <w:sz w:val="16"/>
        </w:rPr>
        <w:t> </w:t>
      </w:r>
      <w:r>
        <w:rPr>
          <w:rFonts w:ascii="Trebuchet MS"/>
          <w:b/>
          <w:color w:val="231F20"/>
          <w:sz w:val="16"/>
        </w:rPr>
        <w:t>30-6.</w:t>
      </w:r>
      <w:r>
        <w:rPr>
          <w:rFonts w:ascii="Trebuchet MS"/>
          <w:b/>
          <w:color w:val="231F20"/>
          <w:spacing w:val="-2"/>
          <w:sz w:val="16"/>
        </w:rPr>
        <w:t> </w:t>
      </w:r>
      <w:r>
        <w:rPr>
          <w:rFonts w:ascii="Arial"/>
          <w:color w:val="231F20"/>
          <w:sz w:val="16"/>
        </w:rPr>
        <w:t>Basic</w:t>
      </w:r>
      <w:r>
        <w:rPr>
          <w:rFonts w:ascii="Arial"/>
          <w:color w:val="231F20"/>
          <w:spacing w:val="-12"/>
          <w:sz w:val="16"/>
        </w:rPr>
        <w:t> </w:t>
      </w:r>
      <w:r>
        <w:rPr>
          <w:rFonts w:ascii="Arial"/>
          <w:color w:val="231F20"/>
          <w:sz w:val="16"/>
        </w:rPr>
        <w:t>feedback</w:t>
      </w:r>
      <w:r>
        <w:rPr>
          <w:rFonts w:ascii="Arial"/>
          <w:color w:val="231F20"/>
          <w:spacing w:val="-12"/>
          <w:sz w:val="16"/>
        </w:rPr>
        <w:t> </w:t>
      </w:r>
      <w:r>
        <w:rPr>
          <w:rFonts w:ascii="Arial"/>
          <w:color w:val="231F20"/>
          <w:sz w:val="16"/>
        </w:rPr>
        <w:t>mechanism</w:t>
      </w:r>
      <w:r>
        <w:rPr>
          <w:rFonts w:ascii="Arial"/>
          <w:color w:val="231F20"/>
          <w:spacing w:val="-12"/>
          <w:sz w:val="16"/>
        </w:rPr>
        <w:t> </w:t>
      </w:r>
      <w:r>
        <w:rPr>
          <w:rFonts w:ascii="Arial"/>
          <w:color w:val="231F20"/>
          <w:sz w:val="16"/>
        </w:rPr>
        <w:t>for</w:t>
      </w:r>
      <w:r>
        <w:rPr>
          <w:rFonts w:ascii="Arial"/>
          <w:color w:val="231F20"/>
          <w:spacing w:val="-12"/>
          <w:sz w:val="16"/>
        </w:rPr>
        <w:t> </w:t>
      </w:r>
      <w:r>
        <w:rPr>
          <w:rFonts w:ascii="Arial"/>
          <w:color w:val="231F20"/>
          <w:sz w:val="16"/>
        </w:rPr>
        <w:t>control</w:t>
      </w:r>
      <w:r>
        <w:rPr>
          <w:rFonts w:ascii="Arial"/>
          <w:color w:val="231F20"/>
          <w:spacing w:val="-12"/>
          <w:sz w:val="16"/>
        </w:rPr>
        <w:t> </w:t>
      </w:r>
      <w:r>
        <w:rPr>
          <w:rFonts w:ascii="Arial"/>
          <w:color w:val="231F20"/>
          <w:sz w:val="16"/>
        </w:rPr>
        <w:t>of</w:t>
      </w:r>
      <w:r>
        <w:rPr>
          <w:rFonts w:ascii="Arial"/>
          <w:color w:val="231F20"/>
          <w:spacing w:val="-12"/>
          <w:sz w:val="16"/>
        </w:rPr>
        <w:t> </w:t>
      </w:r>
      <w:r>
        <w:rPr>
          <w:rFonts w:ascii="Arial"/>
          <w:color w:val="231F20"/>
          <w:sz w:val="16"/>
        </w:rPr>
        <w:t>extracellular fluid potassium concentration by aldosterone</w:t>
      </w:r>
      <w:r>
        <w:rPr>
          <w:rFonts w:ascii="Arial"/>
          <w:color w:val="231F20"/>
          <w:spacing w:val="15"/>
          <w:sz w:val="16"/>
        </w:rPr>
        <w:t> </w:t>
      </w:r>
      <w:r>
        <w:rPr>
          <w:rFonts w:ascii="Lucida Sans"/>
          <w:i/>
          <w:color w:val="231F20"/>
          <w:sz w:val="16"/>
        </w:rPr>
        <w:t>(Ald)</w:t>
      </w:r>
      <w:r>
        <w:rPr>
          <w:rFonts w:ascii="Arial"/>
          <w:color w:val="231F20"/>
          <w:sz w:val="16"/>
        </w:rPr>
        <w:t>.</w:t>
      </w:r>
    </w:p>
    <w:p>
      <w:pPr>
        <w:pStyle w:val="BodyText"/>
        <w:spacing w:before="3"/>
        <w:rPr>
          <w:rFonts w:ascii="Arial"/>
          <w:sz w:val="21"/>
        </w:rPr>
      </w:pPr>
    </w:p>
    <w:p>
      <w:pPr>
        <w:pStyle w:val="BodyText"/>
        <w:spacing w:line="249" w:lineRule="auto"/>
        <w:ind w:left="319" w:right="1077"/>
        <w:jc w:val="both"/>
      </w:pPr>
      <w:r>
        <w:rPr>
          <w:color w:val="231F20"/>
          <w:w w:val="105"/>
        </w:rPr>
        <w:t>potassium concentration of about 3 mEq/L can increase plasma aldosterone concentration from nearly 0 to as high as 60 ng/100 ml, a concentration almost 10 times normal.</w:t>
      </w:r>
    </w:p>
    <w:p>
      <w:pPr>
        <w:pStyle w:val="BodyText"/>
        <w:spacing w:line="249" w:lineRule="auto" w:before="4"/>
        <w:ind w:left="319" w:right="1077" w:firstLine="240"/>
        <w:jc w:val="both"/>
      </w:pPr>
      <w:r>
        <w:rPr>
          <w:color w:val="231F20"/>
        </w:rPr>
        <w:t>The effect of potassium ion concentration to </w:t>
      </w:r>
      <w:r>
        <w:rPr>
          <w:color w:val="231F20"/>
          <w:spacing w:val="-3"/>
        </w:rPr>
        <w:t>stimulate </w:t>
      </w:r>
      <w:r>
        <w:rPr>
          <w:color w:val="231F20"/>
        </w:rPr>
        <w:t>aldosterone secretion is part of a powerful feedback system for regulating potassium excretion, as shown in </w:t>
      </w:r>
      <w:hyperlink w:history="true" w:anchor="_bookmark88">
        <w:r>
          <w:rPr>
            <w:rFonts w:ascii="Cambria"/>
            <w:b/>
            <w:color w:val="0080AC"/>
          </w:rPr>
          <w:t>Figure 30-6</w:t>
        </w:r>
      </w:hyperlink>
      <w:r>
        <w:rPr>
          <w:color w:val="231F20"/>
        </w:rPr>
        <w:t>. In this feedback system, an increase in plasma potassium concentration stimulates </w:t>
      </w:r>
      <w:r>
        <w:rPr>
          <w:color w:val="231F20"/>
          <w:spacing w:val="-3"/>
        </w:rPr>
        <w:t>aldosterone </w:t>
      </w:r>
      <w:r>
        <w:rPr>
          <w:color w:val="231F20"/>
        </w:rPr>
        <w:t>secretion and, therefore, increases the blood level of aldo- sterone (block 1). The increase in blood aldosterone then causes a marked increase in potassium excretion by the kidneys (block 2). The increased potassium excretion  then reduces the extracellular fluid potassium concentra- tion back toward normal (circle 3 and block 4). Thus, this feedback mechanism acts synergistically with the direct effect of increased extracellular potassium concentration to elevate potassium excretion when potassium intake is raised (</w:t>
      </w:r>
      <w:hyperlink w:history="true" w:anchor="_bookmark89">
        <w:r>
          <w:rPr>
            <w:rFonts w:ascii="Cambria"/>
            <w:b/>
            <w:color w:val="0080AC"/>
          </w:rPr>
          <w:t>Figure</w:t>
        </w:r>
        <w:r>
          <w:rPr>
            <w:rFonts w:ascii="Cambria"/>
            <w:b/>
            <w:color w:val="0080AC"/>
            <w:spacing w:val="14"/>
          </w:rPr>
          <w:t> </w:t>
        </w:r>
        <w:r>
          <w:rPr>
            <w:rFonts w:ascii="Cambria"/>
            <w:b/>
            <w:color w:val="0080AC"/>
          </w:rPr>
          <w:t>30-7</w:t>
        </w:r>
      </w:hyperlink>
      <w:r>
        <w:rPr>
          <w:color w:val="231F20"/>
        </w:rPr>
        <w:t>).</w:t>
      </w:r>
    </w:p>
    <w:p>
      <w:pPr>
        <w:pStyle w:val="BodyText"/>
        <w:spacing w:line="252" w:lineRule="auto" w:before="251"/>
        <w:ind w:left="319" w:right="1077"/>
        <w:jc w:val="both"/>
      </w:pPr>
      <w:r>
        <w:rPr>
          <w:rFonts w:ascii="Trebuchet MS" w:hAnsi="Trebuchet MS"/>
          <w:b/>
          <w:color w:val="231F20"/>
          <w:w w:val="105"/>
          <w:sz w:val="19"/>
        </w:rPr>
        <w:t>Blockade of the Aldosterone Feedback </w:t>
      </w:r>
      <w:r>
        <w:rPr>
          <w:rFonts w:ascii="Trebuchet MS" w:hAnsi="Trebuchet MS"/>
          <w:b/>
          <w:color w:val="231F20"/>
          <w:spacing w:val="-3"/>
          <w:w w:val="105"/>
          <w:sz w:val="19"/>
        </w:rPr>
        <w:t>System </w:t>
      </w:r>
      <w:r>
        <w:rPr>
          <w:rFonts w:ascii="Trebuchet MS" w:hAnsi="Trebuchet MS"/>
          <w:b/>
          <w:color w:val="231F20"/>
          <w:w w:val="105"/>
          <w:sz w:val="19"/>
        </w:rPr>
        <w:t>Greatly Impairs Control of Potassium Concentra- tion. </w:t>
      </w:r>
      <w:r>
        <w:rPr>
          <w:color w:val="231F20"/>
          <w:w w:val="105"/>
        </w:rPr>
        <w:t>In the absence of aldosterone secretion, as </w:t>
      </w:r>
      <w:r>
        <w:rPr>
          <w:color w:val="231F20"/>
          <w:spacing w:val="-3"/>
          <w:w w:val="105"/>
        </w:rPr>
        <w:t>occurs </w:t>
      </w:r>
      <w:r>
        <w:rPr>
          <w:color w:val="231F20"/>
          <w:w w:val="105"/>
        </w:rPr>
        <w:t>in patients with </w:t>
      </w:r>
      <w:r>
        <w:rPr>
          <w:color w:val="231F20"/>
          <w:spacing w:val="-3"/>
          <w:w w:val="105"/>
        </w:rPr>
        <w:t>Addison’s </w:t>
      </w:r>
      <w:r>
        <w:rPr>
          <w:color w:val="231F20"/>
          <w:w w:val="105"/>
        </w:rPr>
        <w:t>disease, renal secretion of potassium is impaired, thus causing extracellular fluid potassium concentration to rise to dangerously high levels. Conversely, with excess aldosterone secretion (primary aldosteronism), potassium secretion becomes greatly</w:t>
      </w:r>
      <w:r>
        <w:rPr>
          <w:color w:val="231F20"/>
          <w:spacing w:val="-10"/>
          <w:w w:val="105"/>
        </w:rPr>
        <w:t> </w:t>
      </w:r>
      <w:r>
        <w:rPr>
          <w:color w:val="231F20"/>
          <w:w w:val="105"/>
        </w:rPr>
        <w:t>increased,</w:t>
      </w:r>
      <w:r>
        <w:rPr>
          <w:color w:val="231F20"/>
          <w:spacing w:val="-9"/>
          <w:w w:val="105"/>
        </w:rPr>
        <w:t> </w:t>
      </w:r>
      <w:r>
        <w:rPr>
          <w:color w:val="231F20"/>
          <w:w w:val="105"/>
        </w:rPr>
        <w:t>causing</w:t>
      </w:r>
      <w:r>
        <w:rPr>
          <w:color w:val="231F20"/>
          <w:spacing w:val="-10"/>
          <w:w w:val="105"/>
        </w:rPr>
        <w:t> </w:t>
      </w:r>
      <w:r>
        <w:rPr>
          <w:color w:val="231F20"/>
          <w:w w:val="105"/>
        </w:rPr>
        <w:t>potassium</w:t>
      </w:r>
      <w:r>
        <w:rPr>
          <w:color w:val="231F20"/>
          <w:spacing w:val="-9"/>
          <w:w w:val="105"/>
        </w:rPr>
        <w:t> </w:t>
      </w:r>
      <w:r>
        <w:rPr>
          <w:color w:val="231F20"/>
          <w:w w:val="105"/>
        </w:rPr>
        <w:t>loss</w:t>
      </w:r>
      <w:r>
        <w:rPr>
          <w:color w:val="231F20"/>
          <w:spacing w:val="-10"/>
          <w:w w:val="105"/>
        </w:rPr>
        <w:t> </w:t>
      </w:r>
      <w:r>
        <w:rPr>
          <w:color w:val="231F20"/>
          <w:w w:val="105"/>
        </w:rPr>
        <w:t>by</w:t>
      </w:r>
      <w:r>
        <w:rPr>
          <w:color w:val="231F20"/>
          <w:spacing w:val="-9"/>
          <w:w w:val="105"/>
        </w:rPr>
        <w:t> </w:t>
      </w:r>
      <w:r>
        <w:rPr>
          <w:color w:val="231F20"/>
          <w:w w:val="105"/>
        </w:rPr>
        <w:t>the</w:t>
      </w:r>
      <w:r>
        <w:rPr>
          <w:color w:val="231F20"/>
          <w:spacing w:val="-9"/>
          <w:w w:val="105"/>
        </w:rPr>
        <w:t> </w:t>
      </w:r>
      <w:r>
        <w:rPr>
          <w:color w:val="231F20"/>
          <w:w w:val="105"/>
        </w:rPr>
        <w:t>kidneys and thus leading to</w:t>
      </w:r>
      <w:r>
        <w:rPr>
          <w:color w:val="231F20"/>
          <w:spacing w:val="7"/>
          <w:w w:val="105"/>
        </w:rPr>
        <w:t> </w:t>
      </w:r>
      <w:r>
        <w:rPr>
          <w:color w:val="231F20"/>
          <w:w w:val="105"/>
        </w:rPr>
        <w:t>hypokalemia.</w:t>
      </w:r>
    </w:p>
    <w:p>
      <w:pPr>
        <w:pStyle w:val="BodyText"/>
        <w:spacing w:line="249" w:lineRule="auto"/>
        <w:ind w:left="319" w:right="1078" w:firstLine="240"/>
        <w:jc w:val="both"/>
      </w:pPr>
      <w:r>
        <w:rPr>
          <w:color w:val="231F20"/>
          <w:w w:val="105"/>
        </w:rPr>
        <w:t>In addition to its stimulatory effect on renal</w:t>
      </w:r>
      <w:r>
        <w:rPr>
          <w:color w:val="231F20"/>
          <w:spacing w:val="-35"/>
          <w:w w:val="105"/>
        </w:rPr>
        <w:t> </w:t>
      </w:r>
      <w:r>
        <w:rPr>
          <w:color w:val="231F20"/>
          <w:w w:val="105"/>
        </w:rPr>
        <w:t>secretion of potassium, aldosterone also increases cellular </w:t>
      </w:r>
      <w:r>
        <w:rPr>
          <w:color w:val="231F20"/>
          <w:spacing w:val="-4"/>
          <w:w w:val="105"/>
        </w:rPr>
        <w:t>uptake </w:t>
      </w:r>
      <w:r>
        <w:rPr>
          <w:color w:val="231F20"/>
          <w:w w:val="105"/>
        </w:rPr>
        <w:t>of potassium, which contributes to the powerful aldosterone-potassium feedback system, as</w:t>
      </w:r>
      <w:r>
        <w:rPr>
          <w:color w:val="231F20"/>
          <w:spacing w:val="41"/>
          <w:w w:val="105"/>
        </w:rPr>
        <w:t> </w:t>
      </w:r>
      <w:r>
        <w:rPr>
          <w:color w:val="231F20"/>
          <w:w w:val="105"/>
        </w:rPr>
        <w:t>discussed previously.</w:t>
      </w:r>
    </w:p>
    <w:p>
      <w:pPr>
        <w:pStyle w:val="BodyText"/>
        <w:spacing w:line="249" w:lineRule="auto" w:before="1"/>
        <w:ind w:left="319" w:right="1077" w:firstLine="240"/>
        <w:jc w:val="both"/>
      </w:pPr>
      <w:r>
        <w:rPr>
          <w:color w:val="231F20"/>
          <w:w w:val="105"/>
        </w:rPr>
        <w:t>The</w:t>
      </w:r>
      <w:r>
        <w:rPr>
          <w:color w:val="231F20"/>
          <w:spacing w:val="-17"/>
          <w:w w:val="105"/>
        </w:rPr>
        <w:t> </w:t>
      </w:r>
      <w:r>
        <w:rPr>
          <w:color w:val="231F20"/>
          <w:w w:val="105"/>
        </w:rPr>
        <w:t>special</w:t>
      </w:r>
      <w:r>
        <w:rPr>
          <w:color w:val="231F20"/>
          <w:spacing w:val="-17"/>
          <w:w w:val="105"/>
        </w:rPr>
        <w:t> </w:t>
      </w:r>
      <w:r>
        <w:rPr>
          <w:color w:val="231F20"/>
          <w:w w:val="105"/>
        </w:rPr>
        <w:t>quantitative</w:t>
      </w:r>
      <w:r>
        <w:rPr>
          <w:color w:val="231F20"/>
          <w:spacing w:val="-16"/>
          <w:w w:val="105"/>
        </w:rPr>
        <w:t> </w:t>
      </w:r>
      <w:r>
        <w:rPr>
          <w:color w:val="231F20"/>
          <w:w w:val="105"/>
        </w:rPr>
        <w:t>importance</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6"/>
          <w:w w:val="105"/>
        </w:rPr>
        <w:t> </w:t>
      </w:r>
      <w:r>
        <w:rPr>
          <w:color w:val="231F20"/>
          <w:spacing w:val="-3"/>
          <w:w w:val="105"/>
        </w:rPr>
        <w:t>aldosterone </w:t>
      </w:r>
      <w:r>
        <w:rPr>
          <w:color w:val="231F20"/>
          <w:w w:val="105"/>
        </w:rPr>
        <w:t>feedback system in controlling potassium</w:t>
      </w:r>
      <w:r>
        <w:rPr>
          <w:color w:val="231F20"/>
          <w:spacing w:val="-10"/>
          <w:w w:val="105"/>
        </w:rPr>
        <w:t> </w:t>
      </w:r>
      <w:r>
        <w:rPr>
          <w:color w:val="231F20"/>
          <w:w w:val="105"/>
        </w:rPr>
        <w:t>concentration is</w:t>
      </w:r>
      <w:r>
        <w:rPr>
          <w:color w:val="231F20"/>
          <w:spacing w:val="-7"/>
          <w:w w:val="105"/>
        </w:rPr>
        <w:t> </w:t>
      </w:r>
      <w:r>
        <w:rPr>
          <w:color w:val="231F20"/>
          <w:w w:val="105"/>
        </w:rPr>
        <w:t>shown</w:t>
      </w:r>
      <w:r>
        <w:rPr>
          <w:color w:val="231F20"/>
          <w:spacing w:val="-6"/>
          <w:w w:val="105"/>
        </w:rPr>
        <w:t> </w:t>
      </w:r>
      <w:r>
        <w:rPr>
          <w:color w:val="231F20"/>
          <w:w w:val="105"/>
        </w:rPr>
        <w:t>in</w:t>
      </w:r>
      <w:r>
        <w:rPr>
          <w:color w:val="231F20"/>
          <w:spacing w:val="-6"/>
          <w:w w:val="105"/>
        </w:rPr>
        <w:t> </w:t>
      </w:r>
      <w:hyperlink w:history="true" w:anchor="_bookmark91">
        <w:r>
          <w:rPr>
            <w:rFonts w:ascii="Cambria"/>
            <w:b/>
            <w:color w:val="0080AC"/>
            <w:w w:val="105"/>
          </w:rPr>
          <w:t>Figure</w:t>
        </w:r>
        <w:r>
          <w:rPr>
            <w:rFonts w:ascii="Cambria"/>
            <w:b/>
            <w:color w:val="0080AC"/>
            <w:spacing w:val="-2"/>
            <w:w w:val="105"/>
          </w:rPr>
          <w:t> </w:t>
        </w:r>
        <w:r>
          <w:rPr>
            <w:rFonts w:ascii="Cambria"/>
            <w:b/>
            <w:color w:val="0080AC"/>
            <w:w w:val="105"/>
          </w:rPr>
          <w:t>30-8</w:t>
        </w:r>
      </w:hyperlink>
      <w:r>
        <w:rPr>
          <w:color w:val="231F20"/>
          <w:w w:val="105"/>
        </w:rPr>
        <w:t>.</w:t>
      </w:r>
      <w:r>
        <w:rPr>
          <w:color w:val="231F20"/>
          <w:spacing w:val="-6"/>
          <w:w w:val="105"/>
        </w:rPr>
        <w:t> </w:t>
      </w:r>
      <w:r>
        <w:rPr>
          <w:color w:val="231F20"/>
          <w:w w:val="105"/>
        </w:rPr>
        <w:t>In</w:t>
      </w:r>
      <w:r>
        <w:rPr>
          <w:color w:val="231F20"/>
          <w:spacing w:val="-6"/>
          <w:w w:val="105"/>
        </w:rPr>
        <w:t> </w:t>
      </w:r>
      <w:r>
        <w:rPr>
          <w:color w:val="231F20"/>
          <w:w w:val="105"/>
        </w:rPr>
        <w:t>this</w:t>
      </w:r>
      <w:r>
        <w:rPr>
          <w:color w:val="231F20"/>
          <w:spacing w:val="-6"/>
          <w:w w:val="105"/>
        </w:rPr>
        <w:t> </w:t>
      </w:r>
      <w:r>
        <w:rPr>
          <w:color w:val="231F20"/>
          <w:w w:val="105"/>
        </w:rPr>
        <w:t>experiment,</w:t>
      </w:r>
      <w:r>
        <w:rPr>
          <w:color w:val="231F20"/>
          <w:spacing w:val="-6"/>
          <w:w w:val="105"/>
        </w:rPr>
        <w:t> </w:t>
      </w:r>
      <w:r>
        <w:rPr>
          <w:color w:val="231F20"/>
          <w:w w:val="105"/>
        </w:rPr>
        <w:t>potassium intake was increased almost sevenfold in dogs under two</w:t>
      </w:r>
      <w:r>
        <w:rPr>
          <w:color w:val="231F20"/>
          <w:spacing w:val="-15"/>
          <w:w w:val="105"/>
        </w:rPr>
        <w:t> </w:t>
      </w:r>
      <w:r>
        <w:rPr>
          <w:color w:val="231F20"/>
          <w:w w:val="105"/>
        </w:rPr>
        <w:t>conditions:</w:t>
      </w:r>
      <w:r>
        <w:rPr>
          <w:color w:val="231F20"/>
          <w:spacing w:val="-15"/>
          <w:w w:val="105"/>
        </w:rPr>
        <w:t> </w:t>
      </w:r>
      <w:r>
        <w:rPr>
          <w:color w:val="231F20"/>
          <w:w w:val="105"/>
        </w:rPr>
        <w:t>(1)</w:t>
      </w:r>
      <w:r>
        <w:rPr>
          <w:color w:val="231F20"/>
          <w:spacing w:val="-15"/>
          <w:w w:val="105"/>
        </w:rPr>
        <w:t> </w:t>
      </w:r>
      <w:r>
        <w:rPr>
          <w:color w:val="231F20"/>
          <w:w w:val="105"/>
        </w:rPr>
        <w:t>under</w:t>
      </w:r>
      <w:r>
        <w:rPr>
          <w:color w:val="231F20"/>
          <w:spacing w:val="-15"/>
          <w:w w:val="105"/>
        </w:rPr>
        <w:t> </w:t>
      </w:r>
      <w:r>
        <w:rPr>
          <w:color w:val="231F20"/>
          <w:w w:val="105"/>
        </w:rPr>
        <w:t>normal</w:t>
      </w:r>
      <w:r>
        <w:rPr>
          <w:color w:val="231F20"/>
          <w:spacing w:val="-15"/>
          <w:w w:val="105"/>
        </w:rPr>
        <w:t> </w:t>
      </w:r>
      <w:r>
        <w:rPr>
          <w:color w:val="231F20"/>
          <w:w w:val="105"/>
        </w:rPr>
        <w:t>conditions</w:t>
      </w:r>
      <w:r>
        <w:rPr>
          <w:color w:val="231F20"/>
          <w:spacing w:val="-15"/>
          <w:w w:val="105"/>
        </w:rPr>
        <w:t> </w:t>
      </w:r>
      <w:r>
        <w:rPr>
          <w:color w:val="231F20"/>
          <w:w w:val="105"/>
        </w:rPr>
        <w:t>and</w:t>
      </w:r>
      <w:r>
        <w:rPr>
          <w:color w:val="231F20"/>
          <w:spacing w:val="-15"/>
          <w:w w:val="105"/>
        </w:rPr>
        <w:t> </w:t>
      </w:r>
      <w:r>
        <w:rPr>
          <w:color w:val="231F20"/>
          <w:w w:val="105"/>
        </w:rPr>
        <w:t>(2)</w:t>
      </w:r>
      <w:r>
        <w:rPr>
          <w:color w:val="231F20"/>
          <w:spacing w:val="-15"/>
          <w:w w:val="105"/>
        </w:rPr>
        <w:t> </w:t>
      </w:r>
      <w:r>
        <w:rPr>
          <w:color w:val="231F20"/>
          <w:w w:val="105"/>
        </w:rPr>
        <w:t>after the</w:t>
      </w:r>
      <w:r>
        <w:rPr>
          <w:color w:val="231F20"/>
          <w:spacing w:val="23"/>
          <w:w w:val="105"/>
        </w:rPr>
        <w:t> </w:t>
      </w:r>
      <w:r>
        <w:rPr>
          <w:color w:val="231F20"/>
          <w:w w:val="105"/>
        </w:rPr>
        <w:t>aldosterone</w:t>
      </w:r>
      <w:r>
        <w:rPr>
          <w:color w:val="231F20"/>
          <w:spacing w:val="23"/>
          <w:w w:val="105"/>
        </w:rPr>
        <w:t> </w:t>
      </w:r>
      <w:r>
        <w:rPr>
          <w:color w:val="231F20"/>
          <w:w w:val="105"/>
        </w:rPr>
        <w:t>feedback</w:t>
      </w:r>
      <w:r>
        <w:rPr>
          <w:color w:val="231F20"/>
          <w:spacing w:val="24"/>
          <w:w w:val="105"/>
        </w:rPr>
        <w:t> </w:t>
      </w:r>
      <w:r>
        <w:rPr>
          <w:color w:val="231F20"/>
          <w:w w:val="105"/>
        </w:rPr>
        <w:t>system</w:t>
      </w:r>
      <w:r>
        <w:rPr>
          <w:color w:val="231F20"/>
          <w:spacing w:val="23"/>
          <w:w w:val="105"/>
        </w:rPr>
        <w:t> </w:t>
      </w:r>
      <w:r>
        <w:rPr>
          <w:color w:val="231F20"/>
          <w:w w:val="105"/>
        </w:rPr>
        <w:t>had</w:t>
      </w:r>
      <w:r>
        <w:rPr>
          <w:color w:val="231F20"/>
          <w:spacing w:val="24"/>
          <w:w w:val="105"/>
        </w:rPr>
        <w:t> </w:t>
      </w:r>
      <w:r>
        <w:rPr>
          <w:color w:val="231F20"/>
          <w:w w:val="105"/>
        </w:rPr>
        <w:t>been</w:t>
      </w:r>
      <w:r>
        <w:rPr>
          <w:color w:val="231F20"/>
          <w:spacing w:val="23"/>
          <w:w w:val="105"/>
        </w:rPr>
        <w:t> </w:t>
      </w:r>
      <w:r>
        <w:rPr>
          <w:color w:val="231F20"/>
          <w:w w:val="105"/>
        </w:rPr>
        <w:t>blocked</w:t>
      </w:r>
      <w:r>
        <w:rPr>
          <w:color w:val="231F20"/>
          <w:spacing w:val="23"/>
          <w:w w:val="105"/>
        </w:rPr>
        <w:t> </w:t>
      </w:r>
      <w:r>
        <w:rPr>
          <w:color w:val="231F20"/>
          <w:w w:val="105"/>
        </w:rPr>
        <w:t>by</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7"/>
        <w:rPr>
          <w:sz w:val="21"/>
        </w:rPr>
      </w:pPr>
    </w:p>
    <w:p>
      <w:pPr>
        <w:spacing w:before="99"/>
        <w:ind w:left="3110" w:right="849" w:firstLine="0"/>
        <w:jc w:val="center"/>
        <w:rPr>
          <w:rFonts w:ascii="Helvetica"/>
          <w:sz w:val="16"/>
        </w:rPr>
      </w:pPr>
      <w:r>
        <w:rPr/>
        <w:pict>
          <v:group style="position:absolute;margin-left:59.146999pt;margin-top:5.582531pt;width:223.75pt;height:170.75pt;mso-position-horizontal-relative:page;mso-position-vertical-relative:paragraph;z-index:252588032" coordorigin="1183,112" coordsize="4475,3415">
            <v:shape style="position:absolute;left:2110;top:2899;width:120;height:185" type="#_x0000_t75" stroked="false">
              <v:imagedata r:id="rId875" o:title=""/>
            </v:shape>
            <v:rect style="position:absolute;left:1242;top:1994;width:1974;height:680" filled="true" fillcolor="#90acc6" stroked="false">
              <v:fill type="solid"/>
            </v:rect>
            <v:rect style="position:absolute;left:1182;top:1934;width:1974;height:680" filled="true" fillcolor="#d4e3f5" stroked="false">
              <v:fill type="solid"/>
            </v:rect>
            <v:line style="position:absolute" from="2170,2615" to="2170,3005" stroked="true" strokeweight="1.5pt" strokecolor="#f0535f">
              <v:stroke dashstyle="solid"/>
            </v:line>
            <v:shape style="position:absolute;left:1441;top:2171;width:90;height:139" coordorigin="1442,2172" coordsize="90,139" path="m1486,2172l1470,2242,1442,2309,1443,2310,1487,2285,1522,2285,1503,2242,1491,2189,1486,2172xm1522,2285l1487,2285,1531,2310,1532,2309,1522,2285xe" filled="true" fillcolor="#231f20" stroked="false">
              <v:path arrowok="t"/>
              <v:fill type="solid"/>
            </v:shape>
            <v:line style="position:absolute" from="1486,2430" to="1486,2238" stroked="true" strokeweight=".75pt" strokecolor="#231f20">
              <v:stroke dashstyle="solid"/>
            </v:line>
            <v:rect style="position:absolute;left:1242;top:3147;width:1974;height:380" filled="true" fillcolor="#90acc6" stroked="false">
              <v:fill type="solid"/>
            </v:rect>
            <v:rect style="position:absolute;left:1182;top:3087;width:1974;height:380" filled="true" fillcolor="#d4e3f5" stroked="false">
              <v:fill type="solid"/>
            </v:rect>
            <v:shape style="position:absolute;left:1652;top:3157;width:90;height:139" coordorigin="1652,3158" coordsize="90,139" path="m1697,3158l1681,3228,1652,3295,1653,3296,1697,3271,1732,3271,1713,3228,1701,3175,1697,3158xm1732,3271l1697,3271,1741,3296,1742,3295,1732,3271xe" filled="true" fillcolor="#231f20" stroked="false">
              <v:path arrowok="t"/>
              <v:fill type="solid"/>
            </v:shape>
            <v:shape style="position:absolute;left:3158;top:2212;width:185;height:120" type="#_x0000_t75" stroked="false">
              <v:imagedata r:id="rId876" o:title=""/>
            </v:shape>
            <v:shape style="position:absolute;left:2110;top:1750;width:120;height:185" type="#_x0000_t75" stroked="false">
              <v:imagedata r:id="rId877" o:title=""/>
            </v:shape>
            <v:shape style="position:absolute;left:2110;top:776;width:120;height:185" type="#_x0000_t75" stroked="false">
              <v:imagedata r:id="rId877" o:title=""/>
            </v:shape>
            <v:rect style="position:absolute;left:1242;top:171;width:1974;height:380" filled="true" fillcolor="#90acc6" stroked="false">
              <v:fill type="solid"/>
            </v:rect>
            <v:rect style="position:absolute;left:1182;top:111;width:1974;height:380" filled="true" fillcolor="#d4e3f5" stroked="false">
              <v:fill type="solid"/>
            </v:rect>
            <v:line style="position:absolute" from="2170,492" to="2170,883" stroked="true" strokeweight="1.5pt" strokecolor="#f0535f">
              <v:stroke dashstyle="solid"/>
            </v:line>
            <v:shape style="position:absolute;left:1705;top:182;width:90;height:139" coordorigin="1706,183" coordsize="90,139" path="m1750,183l1734,253,1706,320,1706,321,1750,296,1785,296,1767,252,1750,183xm1785,296l1750,296,1794,321,1795,319,1785,296xe" filled="true" fillcolor="#231f20" stroked="false">
              <v:path arrowok="t"/>
              <v:fill type="solid"/>
            </v:shape>
            <v:line style="position:absolute" from="1750,441" to="1750,249" stroked="true" strokeweight=".75pt" strokecolor="#231f20">
              <v:stroke dashstyle="solid"/>
            </v:line>
            <v:rect style="position:absolute;left:1242;top:1025;width:1974;height:500" filled="true" fillcolor="#90acc6" stroked="false">
              <v:fill type="solid"/>
            </v:rect>
            <v:rect style="position:absolute;left:1182;top:965;width:1974;height:500" filled="true" fillcolor="#d4e3f5" stroked="false">
              <v:fill type="solid"/>
            </v:rect>
            <v:line style="position:absolute" from="2170,1466" to="2170,1857" stroked="true" strokeweight="1.5pt" strokecolor="#f0535f">
              <v:stroke dashstyle="solid"/>
            </v:line>
            <v:shape style="position:absolute;left:1648;top:1096;width:90;height:139" coordorigin="1649,1096" coordsize="90,139" path="m1693,1096l1677,1166,1649,1233,1649,1235,1694,1210,1728,1210,1710,1166,1693,1096xm1728,1210l1694,1210,1738,1235,1739,1233,1728,1210xe" filled="true" fillcolor="#231f20" stroked="false">
              <v:path arrowok="t"/>
              <v:fill type="solid"/>
            </v:shape>
            <v:shape style="position:absolute;left:4570;top:1367;width:120;height:185" type="#_x0000_t75" stroked="false">
              <v:imagedata r:id="rId878" o:title=""/>
            </v:shape>
            <v:rect style="position:absolute;left:3723;top:1614;width:1934;height:380" filled="true" fillcolor="#90acc6" stroked="false">
              <v:fill type="solid"/>
            </v:rect>
            <v:rect style="position:absolute;left:3663;top:1554;width:1934;height:380" filled="true" fillcolor="#d4e3f5" stroked="false">
              <v:fill type="solid"/>
            </v:rect>
            <v:shape style="position:absolute;left:4112;top:1625;width:90;height:139" coordorigin="4113,1626" coordsize="90,139" path="m4157,1626l4141,1696,4113,1763,4113,1764,4158,1739,4192,1739,4174,1696,4161,1643,4157,1626xm4192,1739l4158,1739,4201,1764,4202,1762,4192,1739xe" filled="true" fillcolor="#231f20" stroked="false">
              <v:path arrowok="t"/>
              <v:fill type="solid"/>
            </v:shape>
            <v:line style="position:absolute" from="4157,1884" to="4157,1692" stroked="true" strokeweight=".75pt" strokecolor="#231f20">
              <v:stroke dashstyle="solid"/>
            </v:line>
            <v:shape style="position:absolute;left:0;top:14691;width:1465;height:1059" coordorigin="0,14692" coordsize="1465,1059" path="m3166,1215l4630,1215,4630,1473m4630,1936l4630,2274,3283,2274e" filled="false" stroked="true" strokeweight="1.5pt" strokecolor="#f0535f">
              <v:path arrowok="t"/>
              <v:stroke dashstyle="solid"/>
            </v:shape>
            <v:shape style="position:absolute;left:4313;top:1666;width:8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Aldosterone</w:t>
                    </w:r>
                  </w:p>
                </w:txbxContent>
              </v:textbox>
              <w10:wrap type="none"/>
            </v:shape>
            <v:shape style="position:absolute;left:1242;top:1994;width:1974;height:680" type="#_x0000_t202" filled="false" stroked="false">
              <v:textbox inset="0,0,0,0">
                <w:txbxContent>
                  <w:p>
                    <w:pPr>
                      <w:spacing w:line="235" w:lineRule="auto" w:before="0"/>
                      <w:ind w:left="383" w:right="334" w:firstLine="0"/>
                      <w:jc w:val="center"/>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secretion Cortical collecting tubules</w:t>
                    </w:r>
                  </w:p>
                </w:txbxContent>
              </v:textbox>
              <w10:wrap type="none"/>
            </v:shape>
            <v:shape style="position:absolute;left:1242;top:1025;width:1974;height:500" type="#_x0000_t202" filled="false" stroked="false">
              <v:textbox inset="0,0,0,0">
                <w:txbxContent>
                  <w:p>
                    <w:pPr>
                      <w:spacing w:line="235" w:lineRule="auto" w:before="0"/>
                      <w:ind w:left="550" w:right="443" w:firstLine="104"/>
                      <w:jc w:val="left"/>
                      <w:rPr>
                        <w:rFonts w:ascii="Helvetica" w:hAnsi="Helvetica"/>
                        <w:sz w:val="16"/>
                      </w:rPr>
                    </w:pPr>
                    <w:r>
                      <w:rPr>
                        <w:rFonts w:ascii="Helvetica" w:hAnsi="Helvetica"/>
                        <w:color w:val="231F20"/>
                        <w:sz w:val="16"/>
                      </w:rPr>
                      <w:t>Plasma K</w:t>
                    </w:r>
                    <w:r>
                      <w:rPr>
                        <w:rFonts w:ascii="Symbol" w:hAnsi="Symbol"/>
                        <w:color w:val="231F20"/>
                        <w:position w:val="5"/>
                        <w:sz w:val="12"/>
                      </w:rPr>
                      <w:t></w:t>
                    </w:r>
                    <w:r>
                      <w:rPr>
                        <w:color w:val="231F20"/>
                        <w:position w:val="5"/>
                        <w:sz w:val="12"/>
                      </w:rPr>
                      <w:t> </w:t>
                    </w:r>
                    <w:r>
                      <w:rPr>
                        <w:rFonts w:ascii="Helvetica" w:hAnsi="Helvetica"/>
                        <w:color w:val="231F20"/>
                        <w:sz w:val="16"/>
                      </w:rPr>
                      <w:t>concentration</w:t>
                    </w:r>
                  </w:p>
                </w:txbxContent>
              </v:textbox>
              <w10:wrap type="none"/>
            </v:shape>
            <v:shape style="position:absolute;left:1242;top:171;width:1974;height:380" type="#_x0000_t202" filled="false" stroked="false">
              <v:textbox inset="0,0,0,0">
                <w:txbxContent>
                  <w:p>
                    <w:pPr>
                      <w:spacing w:before="31"/>
                      <w:ind w:left="648" w:right="0" w:firstLine="0"/>
                      <w:jc w:val="left"/>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intake</w:t>
                    </w:r>
                  </w:p>
                </w:txbxContent>
              </v:textbox>
              <w10:wrap type="none"/>
            </v:shape>
            <v:shape style="position:absolute;left:1242;top:3147;width:1974;height:380" type="#_x0000_t202" filled="false" stroked="false">
              <v:textbox inset="0,0,0,0">
                <w:txbxContent>
                  <w:p>
                    <w:pPr>
                      <w:spacing w:before="32"/>
                      <w:ind w:left="603" w:right="0" w:firstLine="0"/>
                      <w:jc w:val="left"/>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excretion</w:t>
                    </w:r>
                  </w:p>
                </w:txbxContent>
              </v:textbox>
              <w10:wrap type="none"/>
            </v:shape>
            <w10:wrap type="none"/>
          </v:group>
        </w:pict>
      </w:r>
      <w:r>
        <w:rPr/>
        <w:pict>
          <v:group style="position:absolute;margin-left:369.62381pt;margin-top:8.615933pt;width:140.9pt;height:168.95pt;mso-position-horizontal-relative:page;mso-position-vertical-relative:paragraph;z-index:252595200" coordorigin="7392,172" coordsize="2818,3379">
            <v:rect style="position:absolute;left:7992;top:192;width:240;height:3271" filled="true" fillcolor="#d1d3d4" stroked="false">
              <v:fill type="solid"/>
            </v:rect>
            <v:shape style="position:absolute;left:-77;top:11788;width:2540;height:3359" coordorigin="-77,11789" coordsize="2540,3359" path="m8290,3464l8290,3541m7469,3085l7392,3085m7469,2603l7392,2603m7469,2121l7392,2121m7469,1639l7392,1639m7469,1157l7392,1157m7469,675l7392,675m7469,192l7392,192m7469,3464l7469,3541m7880,3464l7880,3541m8701,3464l8701,3541m9111,3464l9111,3541m9522,3464l9522,3541m9932,3541l9932,3463,9879,3463,7469,3463,7469,182e" filled="false" stroked="true" strokeweight="1pt" strokecolor="#231f20">
              <v:path arrowok="t"/>
              <v:stroke dashstyle="solid"/>
            </v:shape>
            <v:shape style="position:absolute;left:7469;top:192;width:1220;height:3271" coordorigin="7469,192" coordsize="1220,3271" path="m7469,3463l7497,3330,7525,3200,7554,3073,7582,2950,7611,2830,7640,2713,7670,2599,7699,2488,7729,2380,7758,2275,7788,2173,7818,2074,7848,1977,7878,1884,7908,1793,7937,1705,7967,1620,7997,1537,8027,1457,8057,1379,8086,1304,8116,1232,8145,1162,8174,1094,8203,1029,8232,966,8260,906,8288,847,8316,791,8344,738,8398,636,8451,543,8503,458,8552,381,8600,311,8646,248,8668,220,8689,192e" filled="false" stroked="true" strokeweight="2pt" strokecolor="#f0535f">
              <v:path arrowok="t"/>
              <v:stroke dashstyle="solid"/>
            </v:shape>
            <v:shape style="position:absolute;left:7469;top:1597;width:2463;height:1866" coordorigin="7469,1597" coordsize="2463,1866" path="m7469,3463l7520,3385,7579,3298,7647,3203,7683,3152,7722,3101,7762,3048,7805,2993,7849,2938,7894,2882,7942,2825,7991,2767,8042,2709,8094,2651,8147,2593,8203,2535,8259,2477,8317,2420,8377,2363,8437,2307,8499,2252,8562,2198,8626,2145,8692,2094,8758,2044,8826,1996,8894,1950,8963,1906,9034,1865,9105,1825,9177,1788,9250,1754,9323,1723,9397,1695,9472,1670,9547,1649,9623,1631,9700,1616,9777,1606,9854,1600,9932,1597e" filled="false" stroked="true" strokeweight="2pt" strokecolor="#2062af">
              <v:path arrowok="t"/>
              <v:stroke dashstyle="solid"/>
            </v:shape>
            <v:shape style="position:absolute;left:8412;top:648;width:1550;height:191" type="#_x0000_t202" filled="false" stroked="false">
              <v:textbox inset="0,0,0,0">
                <w:txbxContent>
                  <w:p>
                    <w:pPr>
                      <w:spacing w:before="4"/>
                      <w:ind w:left="0" w:right="0" w:firstLine="0"/>
                      <w:jc w:val="left"/>
                      <w:rPr>
                        <w:rFonts w:ascii="Helvetica"/>
                        <w:b/>
                        <w:sz w:val="16"/>
                      </w:rPr>
                    </w:pPr>
                    <w:r>
                      <w:rPr>
                        <w:rFonts w:ascii="Helvetica"/>
                        <w:b/>
                        <w:color w:val="231F20"/>
                        <w:sz w:val="16"/>
                      </w:rPr>
                      <w:t>High potassium diet</w:t>
                    </w:r>
                  </w:p>
                </w:txbxContent>
              </v:textbox>
              <w10:wrap type="none"/>
            </v:shape>
            <v:shape style="position:absolute;left:8465;top:2281;width:1745;height:191" type="#_x0000_t202" filled="false" stroked="false">
              <v:textbox inset="0,0,0,0">
                <w:txbxContent>
                  <w:p>
                    <w:pPr>
                      <w:spacing w:before="4"/>
                      <w:ind w:left="0" w:right="0" w:firstLine="0"/>
                      <w:jc w:val="left"/>
                      <w:rPr>
                        <w:rFonts w:ascii="Helvetica"/>
                        <w:b/>
                        <w:sz w:val="16"/>
                      </w:rPr>
                    </w:pPr>
                    <w:r>
                      <w:rPr>
                        <w:rFonts w:ascii="Helvetica"/>
                        <w:b/>
                        <w:color w:val="231F20"/>
                        <w:sz w:val="16"/>
                      </w:rPr>
                      <w:t>Normal potassium diet</w:t>
                    </w:r>
                  </w:p>
                </w:txbxContent>
              </v:textbox>
              <w10:wrap type="none"/>
            </v:shape>
            <v:shape style="position:absolute;left:8465;top:2902;width:1514;height:191" type="#_x0000_t202" filled="false" stroked="false">
              <v:textbox inset="0,0,0,0">
                <w:txbxContent>
                  <w:p>
                    <w:pPr>
                      <w:spacing w:before="4"/>
                      <w:ind w:left="0" w:right="0" w:firstLine="0"/>
                      <w:jc w:val="left"/>
                      <w:rPr>
                        <w:rFonts w:ascii="Helvetica"/>
                        <w:b/>
                        <w:sz w:val="16"/>
                      </w:rPr>
                    </w:pPr>
                    <w:r>
                      <w:rPr>
                        <w:rFonts w:ascii="Helvetica"/>
                        <w:b/>
                        <w:color w:val="231F20"/>
                        <w:sz w:val="16"/>
                      </w:rPr>
                      <w:t>Lo</w:t>
                    </w:r>
                    <w:r>
                      <w:rPr>
                        <w:rFonts w:ascii="Helvetica"/>
                        <w:b/>
                        <w:color w:val="231F20"/>
                        <w:sz w:val="16"/>
                        <w:u w:val="thick" w:color="498C8D"/>
                      </w:rPr>
                      <w:t>w potassium die</w:t>
                    </w:r>
                    <w:r>
                      <w:rPr>
                        <w:rFonts w:ascii="Helvetica"/>
                        <w:b/>
                        <w:color w:val="231F20"/>
                        <w:sz w:val="16"/>
                      </w:rPr>
                      <w:t>t</w:t>
                    </w:r>
                  </w:p>
                </w:txbxContent>
              </v:textbox>
              <w10:wrap type="none"/>
            </v:shape>
            <w10:wrap type="none"/>
          </v:group>
        </w:pict>
      </w:r>
      <w:r>
        <w:rPr>
          <w:rFonts w:ascii="Helvetica"/>
          <w:color w:val="231F20"/>
          <w:sz w:val="16"/>
        </w:rPr>
        <w:t>70</w:t>
      </w:r>
    </w:p>
    <w:p>
      <w:pPr>
        <w:pStyle w:val="BodyText"/>
        <w:spacing w:before="6"/>
        <w:rPr>
          <w:rFonts w:ascii="Helvetica"/>
          <w:sz w:val="26"/>
        </w:rPr>
      </w:pPr>
    </w:p>
    <w:p>
      <w:pPr>
        <w:spacing w:before="0"/>
        <w:ind w:left="3110" w:right="849" w:firstLine="0"/>
        <w:jc w:val="center"/>
        <w:rPr>
          <w:rFonts w:ascii="Helvetica"/>
          <w:sz w:val="16"/>
        </w:rPr>
      </w:pPr>
      <w:r>
        <w:rPr/>
        <w:pict>
          <v:shape style="position:absolute;margin-left:334.651886pt;margin-top:14.606607pt;width:20.55pt;height:97.15pt;mso-position-horizontal-relative:page;mso-position-vertical-relative:paragraph;z-index:252599296" type="#_x0000_t202" filled="false" stroked="false">
            <v:textbox inset="0,0,0,0" style="layout-flow:vertical;mso-layout-flow-alt:bottom-to-top">
              <w:txbxContent>
                <w:p>
                  <w:pPr>
                    <w:spacing w:line="235" w:lineRule="auto" w:before="27"/>
                    <w:ind w:left="562" w:right="1" w:hanging="543"/>
                    <w:jc w:val="left"/>
                    <w:rPr>
                      <w:rFonts w:ascii="Helvetica"/>
                      <w:b/>
                      <w:sz w:val="16"/>
                    </w:rPr>
                  </w:pPr>
                  <w:r>
                    <w:rPr>
                      <w:rFonts w:ascii="Helvetica"/>
                      <w:b/>
                      <w:color w:val="231F20"/>
                      <w:sz w:val="16"/>
                    </w:rPr>
                    <w:t>Potassium secretion rate (pmol/min)</w:t>
                  </w:r>
                </w:p>
              </w:txbxContent>
            </v:textbox>
            <w10:wrap type="none"/>
          </v:shape>
        </w:pict>
      </w:r>
      <w:r>
        <w:rPr>
          <w:rFonts w:ascii="Helvetica"/>
          <w:color w:val="231F20"/>
          <w:sz w:val="16"/>
        </w:rPr>
        <w:t>60</w:t>
      </w:r>
    </w:p>
    <w:p>
      <w:pPr>
        <w:pStyle w:val="BodyText"/>
        <w:spacing w:before="10"/>
        <w:rPr>
          <w:rFonts w:ascii="Helvetica"/>
          <w:sz w:val="24"/>
        </w:rPr>
      </w:pPr>
    </w:p>
    <w:p>
      <w:pPr>
        <w:spacing w:before="0"/>
        <w:ind w:left="3110" w:right="849" w:firstLine="0"/>
        <w:jc w:val="center"/>
        <w:rPr>
          <w:rFonts w:ascii="Helvetica"/>
          <w:sz w:val="16"/>
        </w:rPr>
      </w:pPr>
      <w:r>
        <w:rPr/>
        <w:pict>
          <v:shape style="position:absolute;margin-left:74.141403pt;margin-top:4.202781pt;width:11.55pt;height:11.6pt;mso-position-horizontal-relative:page;mso-position-vertical-relative:paragraph;z-index:252598272"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w w:val="100"/>
                      <w:sz w:val="16"/>
                      <w:u w:val="single" w:color="231F20"/>
                    </w:rPr>
                    <w:t> </w:t>
                  </w:r>
                  <w:r>
                    <w:rPr>
                      <w:rFonts w:ascii="Helvetica"/>
                      <w:b/>
                      <w:color w:val="231F20"/>
                      <w:spacing w:val="13"/>
                      <w:sz w:val="16"/>
                      <w:u w:val="single" w:color="231F20"/>
                    </w:rPr>
                    <w:t> </w:t>
                  </w:r>
                </w:p>
              </w:txbxContent>
            </v:textbox>
            <w10:wrap type="none"/>
          </v:shape>
        </w:pict>
      </w:r>
      <w:r>
        <w:rPr>
          <w:rFonts w:ascii="Helvetica"/>
          <w:color w:val="231F20"/>
          <w:sz w:val="16"/>
        </w:rPr>
        <w:t>50</w:t>
      </w:r>
    </w:p>
    <w:p>
      <w:pPr>
        <w:pStyle w:val="BodyText"/>
        <w:spacing w:before="2"/>
        <w:rPr>
          <w:rFonts w:ascii="Helvetica"/>
          <w:sz w:val="18"/>
        </w:rPr>
      </w:pPr>
    </w:p>
    <w:p>
      <w:pPr>
        <w:spacing w:before="99"/>
        <w:ind w:left="3110" w:right="849" w:firstLine="0"/>
        <w:jc w:val="center"/>
        <w:rPr>
          <w:rFonts w:ascii="Helvetica"/>
          <w:sz w:val="16"/>
        </w:rPr>
      </w:pPr>
      <w:r>
        <w:rPr>
          <w:rFonts w:ascii="Helvetica"/>
          <w:color w:val="231F20"/>
          <w:sz w:val="16"/>
        </w:rPr>
        <w:t>40</w:t>
      </w:r>
    </w:p>
    <w:p>
      <w:pPr>
        <w:pStyle w:val="BodyText"/>
        <w:spacing w:before="5"/>
        <w:rPr>
          <w:rFonts w:ascii="Helvetica"/>
          <w:sz w:val="24"/>
        </w:rPr>
      </w:pPr>
    </w:p>
    <w:p>
      <w:pPr>
        <w:spacing w:before="0"/>
        <w:ind w:left="3110" w:right="849" w:firstLine="0"/>
        <w:jc w:val="center"/>
        <w:rPr>
          <w:rFonts w:ascii="Helvetica"/>
          <w:sz w:val="16"/>
        </w:rPr>
      </w:pPr>
      <w:r>
        <w:rPr>
          <w:rFonts w:ascii="Helvetica"/>
          <w:color w:val="231F20"/>
          <w:sz w:val="16"/>
        </w:rPr>
        <w:t>30</w:t>
      </w:r>
    </w:p>
    <w:p>
      <w:pPr>
        <w:pStyle w:val="BodyText"/>
        <w:spacing w:before="5"/>
        <w:rPr>
          <w:rFonts w:ascii="Helvetica"/>
          <w:sz w:val="18"/>
        </w:rPr>
      </w:pPr>
    </w:p>
    <w:p>
      <w:pPr>
        <w:spacing w:before="99"/>
        <w:ind w:left="3110" w:right="849" w:firstLine="0"/>
        <w:jc w:val="center"/>
        <w:rPr>
          <w:rFonts w:ascii="Helvetica"/>
          <w:sz w:val="16"/>
        </w:rPr>
      </w:pPr>
      <w:r>
        <w:rPr>
          <w:rFonts w:ascii="Helvetica"/>
          <w:color w:val="231F20"/>
          <w:sz w:val="16"/>
        </w:rPr>
        <w:t>20</w:t>
      </w:r>
    </w:p>
    <w:p>
      <w:pPr>
        <w:pStyle w:val="BodyText"/>
        <w:spacing w:before="3"/>
        <w:rPr>
          <w:rFonts w:ascii="Helvetica"/>
          <w:sz w:val="25"/>
        </w:rPr>
      </w:pPr>
    </w:p>
    <w:p>
      <w:pPr>
        <w:spacing w:before="1"/>
        <w:ind w:left="3110" w:right="849" w:firstLine="0"/>
        <w:jc w:val="center"/>
        <w:rPr>
          <w:rFonts w:ascii="Helvetica"/>
          <w:sz w:val="16"/>
        </w:rPr>
      </w:pPr>
      <w:r>
        <w:rPr/>
        <w:pict>
          <v:rect style="position:absolute;margin-left:0pt;margin-top:-5.630481pt;width:36pt;height:24pt;mso-position-horizontal-relative:page;mso-position-vertical-relative:paragraph;z-index:252581888" filled="true" fillcolor="#e8dac8" stroked="false">
            <v:fill type="solid"/>
            <w10:wrap type="none"/>
          </v:rect>
        </w:pict>
      </w:r>
      <w:r>
        <w:rPr/>
        <w:pict>
          <v:shape style="position:absolute;margin-left:74.141403pt;margin-top:11.001926pt;width:11.55pt;height:11.6pt;mso-position-horizontal-relative:page;mso-position-vertical-relative:paragraph;z-index:25259724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w w:val="100"/>
                      <w:sz w:val="16"/>
                      <w:u w:val="single" w:color="231F20"/>
                    </w:rPr>
                    <w:t> </w:t>
                  </w:r>
                  <w:r>
                    <w:rPr>
                      <w:rFonts w:ascii="Helvetica"/>
                      <w:b/>
                      <w:color w:val="231F20"/>
                      <w:spacing w:val="13"/>
                      <w:sz w:val="16"/>
                      <w:u w:val="single" w:color="231F20"/>
                    </w:rPr>
                    <w:t> </w:t>
                  </w:r>
                </w:p>
              </w:txbxContent>
            </v:textbox>
            <w10:wrap type="none"/>
          </v:shape>
        </w:pict>
      </w:r>
      <w:r>
        <w:rPr>
          <w:rFonts w:ascii="Helvetica"/>
          <w:color w:val="231F20"/>
          <w:sz w:val="16"/>
        </w:rPr>
        <w:t>10</w:t>
      </w:r>
    </w:p>
    <w:p>
      <w:pPr>
        <w:pStyle w:val="BodyText"/>
        <w:spacing w:before="4"/>
        <w:rPr>
          <w:rFonts w:ascii="Helvetica"/>
          <w:sz w:val="24"/>
        </w:rPr>
      </w:pPr>
    </w:p>
    <w:p>
      <w:pPr>
        <w:spacing w:after="0"/>
        <w:rPr>
          <w:rFonts w:ascii="Helvetica"/>
          <w:sz w:val="24"/>
        </w:rPr>
        <w:sectPr>
          <w:headerReference w:type="even" r:id="rId872"/>
          <w:footerReference w:type="even" r:id="rId873"/>
          <w:footerReference w:type="default" r:id="rId874"/>
          <w:pgSz w:w="12240" w:h="15660"/>
          <w:pgMar w:header="0" w:footer="567" w:top="720" w:bottom="760" w:left="0" w:right="0"/>
          <w:pgNumType w:start="394"/>
        </w:sectPr>
      </w:pPr>
    </w:p>
    <w:p>
      <w:pPr>
        <w:pStyle w:val="BodyText"/>
        <w:spacing w:before="5"/>
        <w:rPr>
          <w:rFonts w:ascii="Helvetica"/>
          <w:sz w:val="14"/>
        </w:rPr>
      </w:pPr>
    </w:p>
    <w:p>
      <w:pPr>
        <w:spacing w:line="259" w:lineRule="auto" w:before="0"/>
        <w:ind w:left="1080" w:right="0" w:firstLine="0"/>
        <w:jc w:val="both"/>
        <w:rPr>
          <w:rFonts w:ascii="Arial" w:hAnsi="Arial"/>
          <w:sz w:val="16"/>
        </w:rPr>
      </w:pPr>
      <w:bookmarkStart w:name="_bookmark89" w:id="90"/>
      <w:bookmarkEnd w:id="90"/>
      <w:r>
        <w:rPr/>
      </w:r>
      <w:r>
        <w:rPr>
          <w:rFonts w:ascii="Trebuchet MS" w:hAnsi="Trebuchet MS"/>
          <w:b/>
          <w:color w:val="231F20"/>
          <w:sz w:val="16"/>
        </w:rPr>
        <w:t>Figure</w:t>
      </w:r>
      <w:r>
        <w:rPr>
          <w:rFonts w:ascii="Trebuchet MS" w:hAnsi="Trebuchet MS"/>
          <w:b/>
          <w:color w:val="231F20"/>
          <w:spacing w:val="-9"/>
          <w:sz w:val="16"/>
        </w:rPr>
        <w:t> </w:t>
      </w:r>
      <w:r>
        <w:rPr>
          <w:rFonts w:ascii="Trebuchet MS" w:hAnsi="Trebuchet MS"/>
          <w:b/>
          <w:color w:val="231F20"/>
          <w:sz w:val="16"/>
        </w:rPr>
        <w:t>30-7.</w:t>
      </w:r>
      <w:r>
        <w:rPr>
          <w:rFonts w:ascii="Trebuchet MS" w:hAnsi="Trebuchet MS"/>
          <w:b/>
          <w:color w:val="231F20"/>
          <w:spacing w:val="2"/>
          <w:sz w:val="16"/>
        </w:rPr>
        <w:t> </w:t>
      </w:r>
      <w:r>
        <w:rPr>
          <w:rFonts w:ascii="Arial" w:hAnsi="Arial"/>
          <w:color w:val="231F20"/>
          <w:sz w:val="16"/>
        </w:rPr>
        <w:t>Primary</w:t>
      </w:r>
      <w:r>
        <w:rPr>
          <w:rFonts w:ascii="Arial" w:hAnsi="Arial"/>
          <w:color w:val="231F20"/>
          <w:spacing w:val="-6"/>
          <w:sz w:val="16"/>
        </w:rPr>
        <w:t> </w:t>
      </w:r>
      <w:r>
        <w:rPr>
          <w:rFonts w:ascii="Arial" w:hAnsi="Arial"/>
          <w:color w:val="231F20"/>
          <w:sz w:val="16"/>
        </w:rPr>
        <w:t>mechanisms</w:t>
      </w:r>
      <w:r>
        <w:rPr>
          <w:rFonts w:ascii="Arial" w:hAnsi="Arial"/>
          <w:color w:val="231F20"/>
          <w:spacing w:val="-5"/>
          <w:sz w:val="16"/>
        </w:rPr>
        <w:t> </w:t>
      </w:r>
      <w:r>
        <w:rPr>
          <w:rFonts w:ascii="Arial" w:hAnsi="Arial"/>
          <w:color w:val="231F20"/>
          <w:sz w:val="16"/>
        </w:rPr>
        <w:t>by</w:t>
      </w:r>
      <w:r>
        <w:rPr>
          <w:rFonts w:ascii="Arial" w:hAnsi="Arial"/>
          <w:color w:val="231F20"/>
          <w:spacing w:val="-5"/>
          <w:sz w:val="16"/>
        </w:rPr>
        <w:t> </w:t>
      </w:r>
      <w:r>
        <w:rPr>
          <w:rFonts w:ascii="Arial" w:hAnsi="Arial"/>
          <w:color w:val="231F20"/>
          <w:sz w:val="16"/>
        </w:rPr>
        <w:t>which</w:t>
      </w:r>
      <w:r>
        <w:rPr>
          <w:rFonts w:ascii="Arial" w:hAnsi="Arial"/>
          <w:color w:val="231F20"/>
          <w:spacing w:val="-5"/>
          <w:sz w:val="16"/>
        </w:rPr>
        <w:t> </w:t>
      </w:r>
      <w:r>
        <w:rPr>
          <w:rFonts w:ascii="Arial" w:hAnsi="Arial"/>
          <w:color w:val="231F20"/>
          <w:sz w:val="16"/>
        </w:rPr>
        <w:t>high</w:t>
      </w:r>
      <w:r>
        <w:rPr>
          <w:rFonts w:ascii="Arial" w:hAnsi="Arial"/>
          <w:color w:val="231F20"/>
          <w:spacing w:val="-5"/>
          <w:sz w:val="16"/>
        </w:rPr>
        <w:t> </w:t>
      </w:r>
      <w:r>
        <w:rPr>
          <w:rFonts w:ascii="Arial" w:hAnsi="Arial"/>
          <w:color w:val="231F20"/>
          <w:sz w:val="16"/>
        </w:rPr>
        <w:t>potassium</w:t>
      </w:r>
      <w:r>
        <w:rPr>
          <w:rFonts w:ascii="Arial" w:hAnsi="Arial"/>
          <w:color w:val="231F20"/>
          <w:spacing w:val="-6"/>
          <w:sz w:val="16"/>
        </w:rPr>
        <w:t> </w:t>
      </w:r>
      <w:r>
        <w:rPr>
          <w:rFonts w:ascii="Arial" w:hAnsi="Arial"/>
          <w:color w:val="231F20"/>
          <w:spacing w:val="-3"/>
          <w:sz w:val="16"/>
        </w:rPr>
        <w:t>intake </w:t>
      </w:r>
      <w:r>
        <w:rPr>
          <w:rFonts w:ascii="Arial" w:hAnsi="Arial"/>
          <w:color w:val="231F20"/>
          <w:sz w:val="16"/>
        </w:rPr>
        <w:t>raises</w:t>
      </w:r>
      <w:r>
        <w:rPr>
          <w:rFonts w:ascii="Arial" w:hAnsi="Arial"/>
          <w:color w:val="231F20"/>
          <w:spacing w:val="-5"/>
          <w:sz w:val="16"/>
        </w:rPr>
        <w:t> </w:t>
      </w:r>
      <w:r>
        <w:rPr>
          <w:rFonts w:ascii="Arial" w:hAnsi="Arial"/>
          <w:color w:val="231F20"/>
          <w:sz w:val="16"/>
        </w:rPr>
        <w:t>potassium</w:t>
      </w:r>
      <w:r>
        <w:rPr>
          <w:rFonts w:ascii="Arial" w:hAnsi="Arial"/>
          <w:color w:val="231F20"/>
          <w:spacing w:val="-5"/>
          <w:sz w:val="16"/>
        </w:rPr>
        <w:t> </w:t>
      </w:r>
      <w:r>
        <w:rPr>
          <w:rFonts w:ascii="Arial" w:hAnsi="Arial"/>
          <w:color w:val="231F20"/>
          <w:sz w:val="16"/>
        </w:rPr>
        <w:t>excretion.</w:t>
      </w:r>
      <w:r>
        <w:rPr>
          <w:rFonts w:ascii="Arial" w:hAnsi="Arial"/>
          <w:color w:val="231F20"/>
          <w:spacing w:val="-5"/>
          <w:sz w:val="16"/>
        </w:rPr>
        <w:t> </w:t>
      </w:r>
      <w:r>
        <w:rPr>
          <w:rFonts w:ascii="Arial" w:hAnsi="Arial"/>
          <w:color w:val="231F20"/>
          <w:sz w:val="16"/>
        </w:rPr>
        <w:t>Note</w:t>
      </w:r>
      <w:r>
        <w:rPr>
          <w:rFonts w:ascii="Arial" w:hAnsi="Arial"/>
          <w:color w:val="231F20"/>
          <w:spacing w:val="-5"/>
          <w:sz w:val="16"/>
        </w:rPr>
        <w:t> </w:t>
      </w:r>
      <w:r>
        <w:rPr>
          <w:rFonts w:ascii="Arial" w:hAnsi="Arial"/>
          <w:color w:val="231F20"/>
          <w:sz w:val="16"/>
        </w:rPr>
        <w:t>that</w:t>
      </w:r>
      <w:r>
        <w:rPr>
          <w:rFonts w:ascii="Arial" w:hAnsi="Arial"/>
          <w:color w:val="231F20"/>
          <w:spacing w:val="-5"/>
          <w:sz w:val="16"/>
        </w:rPr>
        <w:t> </w:t>
      </w:r>
      <w:r>
        <w:rPr>
          <w:rFonts w:ascii="Arial" w:hAnsi="Arial"/>
          <w:color w:val="231F20"/>
          <w:sz w:val="16"/>
        </w:rPr>
        <w:t>increased</w:t>
      </w:r>
      <w:r>
        <w:rPr>
          <w:rFonts w:ascii="Arial" w:hAnsi="Arial"/>
          <w:color w:val="231F20"/>
          <w:spacing w:val="-5"/>
          <w:sz w:val="16"/>
        </w:rPr>
        <w:t> </w:t>
      </w:r>
      <w:r>
        <w:rPr>
          <w:rFonts w:ascii="Arial" w:hAnsi="Arial"/>
          <w:color w:val="231F20"/>
          <w:sz w:val="16"/>
        </w:rPr>
        <w:t>plasma</w:t>
      </w:r>
      <w:r>
        <w:rPr>
          <w:rFonts w:ascii="Arial" w:hAnsi="Arial"/>
          <w:color w:val="231F20"/>
          <w:spacing w:val="-5"/>
          <w:sz w:val="16"/>
        </w:rPr>
        <w:t> </w:t>
      </w:r>
      <w:r>
        <w:rPr>
          <w:rFonts w:ascii="Arial" w:hAnsi="Arial"/>
          <w:color w:val="231F20"/>
          <w:sz w:val="16"/>
        </w:rPr>
        <w:t>potassium concentration</w:t>
      </w:r>
      <w:r>
        <w:rPr>
          <w:rFonts w:ascii="Arial" w:hAnsi="Arial"/>
          <w:color w:val="231F20"/>
          <w:spacing w:val="-12"/>
          <w:sz w:val="16"/>
        </w:rPr>
        <w:t> </w:t>
      </w:r>
      <w:r>
        <w:rPr>
          <w:rFonts w:ascii="Arial" w:hAnsi="Arial"/>
          <w:color w:val="231F20"/>
          <w:sz w:val="16"/>
        </w:rPr>
        <w:t>directly</w:t>
      </w:r>
      <w:r>
        <w:rPr>
          <w:rFonts w:ascii="Arial" w:hAnsi="Arial"/>
          <w:color w:val="231F20"/>
          <w:spacing w:val="-12"/>
          <w:sz w:val="16"/>
        </w:rPr>
        <w:t> </w:t>
      </w:r>
      <w:r>
        <w:rPr>
          <w:rFonts w:ascii="Arial" w:hAnsi="Arial"/>
          <w:color w:val="231F20"/>
          <w:sz w:val="16"/>
        </w:rPr>
        <w:t>raises</w:t>
      </w:r>
      <w:r>
        <w:rPr>
          <w:rFonts w:ascii="Arial" w:hAnsi="Arial"/>
          <w:color w:val="231F20"/>
          <w:spacing w:val="-12"/>
          <w:sz w:val="16"/>
        </w:rPr>
        <w:t> </w:t>
      </w:r>
      <w:r>
        <w:rPr>
          <w:rFonts w:ascii="Arial" w:hAnsi="Arial"/>
          <w:color w:val="231F20"/>
          <w:sz w:val="16"/>
        </w:rPr>
        <w:t>potassium</w:t>
      </w:r>
      <w:r>
        <w:rPr>
          <w:rFonts w:ascii="Arial" w:hAnsi="Arial"/>
          <w:color w:val="231F20"/>
          <w:spacing w:val="-12"/>
          <w:sz w:val="16"/>
        </w:rPr>
        <w:t> </w:t>
      </w:r>
      <w:r>
        <w:rPr>
          <w:rFonts w:ascii="Arial" w:hAnsi="Arial"/>
          <w:color w:val="231F20"/>
          <w:sz w:val="16"/>
        </w:rPr>
        <w:t>secretion</w:t>
      </w:r>
      <w:r>
        <w:rPr>
          <w:rFonts w:ascii="Arial" w:hAnsi="Arial"/>
          <w:color w:val="231F20"/>
          <w:spacing w:val="-12"/>
          <w:sz w:val="16"/>
        </w:rPr>
        <w:t> </w:t>
      </w:r>
      <w:r>
        <w:rPr>
          <w:rFonts w:ascii="Arial" w:hAnsi="Arial"/>
          <w:color w:val="231F20"/>
          <w:sz w:val="16"/>
        </w:rPr>
        <w:t>by</w:t>
      </w:r>
      <w:r>
        <w:rPr>
          <w:rFonts w:ascii="Arial" w:hAnsi="Arial"/>
          <w:color w:val="231F20"/>
          <w:spacing w:val="-12"/>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cortical</w:t>
      </w:r>
      <w:r>
        <w:rPr>
          <w:rFonts w:ascii="Arial" w:hAnsi="Arial"/>
          <w:color w:val="231F20"/>
          <w:spacing w:val="-12"/>
          <w:sz w:val="16"/>
        </w:rPr>
        <w:t> </w:t>
      </w:r>
      <w:r>
        <w:rPr>
          <w:rFonts w:ascii="Arial" w:hAnsi="Arial"/>
          <w:color w:val="231F20"/>
          <w:spacing w:val="-5"/>
          <w:sz w:val="16"/>
        </w:rPr>
        <w:t>col­ </w:t>
      </w:r>
      <w:r>
        <w:rPr>
          <w:rFonts w:ascii="Arial" w:hAnsi="Arial"/>
          <w:color w:val="231F20"/>
          <w:sz w:val="16"/>
        </w:rPr>
        <w:t>lecting</w:t>
      </w:r>
      <w:r>
        <w:rPr>
          <w:rFonts w:ascii="Arial" w:hAnsi="Arial"/>
          <w:color w:val="231F20"/>
          <w:spacing w:val="-31"/>
          <w:sz w:val="16"/>
        </w:rPr>
        <w:t> </w:t>
      </w:r>
      <w:r>
        <w:rPr>
          <w:rFonts w:ascii="Arial" w:hAnsi="Arial"/>
          <w:color w:val="231F20"/>
          <w:sz w:val="16"/>
        </w:rPr>
        <w:t>tubules</w:t>
      </w:r>
      <w:r>
        <w:rPr>
          <w:rFonts w:ascii="Arial" w:hAnsi="Arial"/>
          <w:color w:val="231F20"/>
          <w:spacing w:val="-30"/>
          <w:sz w:val="16"/>
        </w:rPr>
        <w:t> </w:t>
      </w:r>
      <w:r>
        <w:rPr>
          <w:rFonts w:ascii="Arial" w:hAnsi="Arial"/>
          <w:color w:val="231F20"/>
          <w:sz w:val="16"/>
        </w:rPr>
        <w:t>and</w:t>
      </w:r>
      <w:r>
        <w:rPr>
          <w:rFonts w:ascii="Arial" w:hAnsi="Arial"/>
          <w:color w:val="231F20"/>
          <w:spacing w:val="-30"/>
          <w:sz w:val="16"/>
        </w:rPr>
        <w:t> </w:t>
      </w:r>
      <w:r>
        <w:rPr>
          <w:rFonts w:ascii="Arial" w:hAnsi="Arial"/>
          <w:color w:val="231F20"/>
          <w:sz w:val="16"/>
        </w:rPr>
        <w:t>indirectly</w:t>
      </w:r>
      <w:r>
        <w:rPr>
          <w:rFonts w:ascii="Arial" w:hAnsi="Arial"/>
          <w:color w:val="231F20"/>
          <w:spacing w:val="-30"/>
          <w:sz w:val="16"/>
        </w:rPr>
        <w:t> </w:t>
      </w:r>
      <w:r>
        <w:rPr>
          <w:rFonts w:ascii="Arial" w:hAnsi="Arial"/>
          <w:color w:val="231F20"/>
          <w:sz w:val="16"/>
        </w:rPr>
        <w:t>increases</w:t>
      </w:r>
      <w:r>
        <w:rPr>
          <w:rFonts w:ascii="Arial" w:hAnsi="Arial"/>
          <w:color w:val="231F20"/>
          <w:spacing w:val="-30"/>
          <w:sz w:val="16"/>
        </w:rPr>
        <w:t> </w:t>
      </w:r>
      <w:r>
        <w:rPr>
          <w:rFonts w:ascii="Arial" w:hAnsi="Arial"/>
          <w:color w:val="231F20"/>
          <w:sz w:val="16"/>
        </w:rPr>
        <w:t>potassium</w:t>
      </w:r>
      <w:r>
        <w:rPr>
          <w:rFonts w:ascii="Arial" w:hAnsi="Arial"/>
          <w:color w:val="231F20"/>
          <w:spacing w:val="-30"/>
          <w:sz w:val="16"/>
        </w:rPr>
        <w:t> </w:t>
      </w:r>
      <w:r>
        <w:rPr>
          <w:rFonts w:ascii="Arial" w:hAnsi="Arial"/>
          <w:color w:val="231F20"/>
          <w:sz w:val="16"/>
        </w:rPr>
        <w:t>secretion</w:t>
      </w:r>
      <w:r>
        <w:rPr>
          <w:rFonts w:ascii="Arial" w:hAnsi="Arial"/>
          <w:color w:val="231F20"/>
          <w:spacing w:val="-30"/>
          <w:sz w:val="16"/>
        </w:rPr>
        <w:t> </w:t>
      </w:r>
      <w:r>
        <w:rPr>
          <w:rFonts w:ascii="Arial" w:hAnsi="Arial"/>
          <w:color w:val="231F20"/>
          <w:sz w:val="16"/>
        </w:rPr>
        <w:t>by</w:t>
      </w:r>
      <w:r>
        <w:rPr>
          <w:rFonts w:ascii="Arial" w:hAnsi="Arial"/>
          <w:color w:val="231F20"/>
          <w:spacing w:val="-30"/>
          <w:sz w:val="16"/>
        </w:rPr>
        <w:t> </w:t>
      </w:r>
      <w:r>
        <w:rPr>
          <w:rFonts w:ascii="Arial" w:hAnsi="Arial"/>
          <w:color w:val="231F20"/>
          <w:spacing w:val="-3"/>
          <w:sz w:val="16"/>
        </w:rPr>
        <w:t>raising </w:t>
      </w:r>
      <w:r>
        <w:rPr>
          <w:rFonts w:ascii="Arial" w:hAnsi="Arial"/>
          <w:color w:val="231F20"/>
          <w:sz w:val="16"/>
        </w:rPr>
        <w:t>plasma aldosterone</w:t>
      </w:r>
      <w:r>
        <w:rPr>
          <w:rFonts w:ascii="Arial" w:hAnsi="Arial"/>
          <w:color w:val="231F20"/>
          <w:spacing w:val="11"/>
          <w:sz w:val="16"/>
        </w:rPr>
        <w:t> </w:t>
      </w:r>
      <w:r>
        <w:rPr>
          <w:rFonts w:ascii="Arial" w:hAnsi="Arial"/>
          <w:color w:val="231F20"/>
          <w:sz w:val="16"/>
        </w:rPr>
        <w:t>concentration.</w:t>
      </w:r>
    </w:p>
    <w:p>
      <w:pPr>
        <w:pStyle w:val="BodyText"/>
        <w:spacing w:before="9"/>
        <w:rPr>
          <w:rFonts w:ascii="Arial"/>
          <w:sz w:val="23"/>
        </w:rPr>
      </w:pPr>
    </w:p>
    <w:p>
      <w:pPr>
        <w:spacing w:before="0"/>
        <w:ind w:left="1289" w:right="2910" w:firstLine="0"/>
        <w:jc w:val="center"/>
        <w:rPr>
          <w:rFonts w:ascii="Helvetica"/>
          <w:sz w:val="16"/>
        </w:rPr>
      </w:pPr>
      <w:r>
        <w:rPr/>
        <w:pict>
          <v:group style="position:absolute;margin-left:111.612801pt;margin-top:3.743823pt;width:148.550pt;height:168.35pt;mso-position-horizontal-relative:page;mso-position-vertical-relative:paragraph;z-index:252591104" coordorigin="2232,75" coordsize="2971,3367">
            <v:shape style="position:absolute;left:-77;top:6745;width:2961;height:3357" coordorigin="-77,6746" coordsize="2961,3357" path="m2309,3146l2232,3146m2309,2536l2232,2536m2309,1925l2232,1925m2309,1315l2232,1315m2309,704l2232,704m2309,93l2232,93m2309,3365l2309,3442m2719,3365l2719,3442m3130,3365l3130,3442m3540,3365l3540,3442m3951,3365l3951,3442m4361,3365l4361,3442m4772,3365l4772,3442m5182,3365l5182,3442m2309,85l2309,3364,5193,3364e" filled="false" stroked="true" strokeweight="1pt" strokecolor="#231f20">
              <v:path arrowok="t"/>
              <v:stroke dashstyle="solid"/>
            </v:shape>
            <v:line style="position:absolute" from="2782,1885" to="5076,1678" stroked="true" strokeweight="2pt" strokecolor="#f0535f">
              <v:stroke dashstyle="solid"/>
            </v:line>
            <v:shape style="position:absolute;left:2737;top:1633;width:2384;height:297" coordorigin="2737,1633" coordsize="2384,297" path="m2827,1881l2822,1864,2811,1850,2796,1842,2778,1840,2761,1845,2748,1856,2739,1871,2737,1889,2742,1906,2753,1920,2769,1928,2786,1930,2803,1925,2817,1914,2825,1899,2827,1881m5121,1674l5115,1657,5105,1644,5089,1635,5072,1633,5054,1638,5041,1649,5033,1664,5031,1682,5036,1699,5047,1713,5062,1721,5080,1723,5097,1718,5110,1707,5119,1692,5121,1674e" filled="true" fillcolor="#f0535f" stroked="false">
              <v:path arrowok="t"/>
              <v:fill type="solid"/>
            </v:shape>
            <v:line style="position:absolute" from="2709,3098" to="5142,472" stroked="true" strokeweight="2pt" strokecolor="#2062af">
              <v:stroke dashstyle="solid"/>
            </v:line>
            <v:shape style="position:absolute;left:2663;top:426;width:2524;height:2717" coordorigin="2664,426" coordsize="2524,2717" path="m2754,3097l2750,3080,2740,3065,2724,3056,2707,3053,2690,3057,2676,3068,2666,3083,2664,3100,2668,3117,2678,3131,2694,3141,2711,3143,2727,3139,2742,3129,2751,3114,2754,3097m5187,470l5183,453,5173,438,5158,429,5141,426,5124,430,5109,441,5100,456,5097,473,5101,490,5112,505,5127,514,5144,517,5161,513,5175,502,5185,487,5187,470e" filled="true" fillcolor="#2062af" stroked="false">
              <v:path arrowok="t"/>
              <v:fill type="solid"/>
            </v:shape>
            <v:shape style="position:absolute;left:2978;top:1589;width:572;height:191" type="#_x0000_t202" filled="false" stroked="false">
              <v:textbox inset="0,0,0,0">
                <w:txbxContent>
                  <w:p>
                    <w:pPr>
                      <w:spacing w:before="4"/>
                      <w:ind w:left="0" w:right="0" w:firstLine="0"/>
                      <w:jc w:val="left"/>
                      <w:rPr>
                        <w:rFonts w:ascii="Helvetica"/>
                        <w:b/>
                        <w:sz w:val="16"/>
                      </w:rPr>
                    </w:pPr>
                    <w:r>
                      <w:rPr>
                        <w:rFonts w:ascii="Helvetica"/>
                        <w:b/>
                        <w:color w:val="231F20"/>
                        <w:sz w:val="16"/>
                      </w:rPr>
                      <w:t>Normal</w:t>
                    </w:r>
                  </w:p>
                </w:txbxContent>
              </v:textbox>
              <w10:wrap type="none"/>
            </v:shape>
            <v:shape style="position:absolute;left:3525;top:2242;width:954;height:551" type="#_x0000_t202" filled="false" stroked="false">
              <v:textbox inset="0,0,0,0">
                <w:txbxContent>
                  <w:p>
                    <w:pPr>
                      <w:spacing w:line="235" w:lineRule="auto" w:before="7"/>
                      <w:ind w:left="0" w:right="0" w:firstLine="0"/>
                      <w:jc w:val="left"/>
                      <w:rPr>
                        <w:rFonts w:ascii="Helvetica"/>
                        <w:b/>
                        <w:sz w:val="16"/>
                      </w:rPr>
                    </w:pPr>
                    <w:r>
                      <w:rPr>
                        <w:rFonts w:ascii="Helvetica"/>
                        <w:b/>
                        <w:color w:val="231F20"/>
                        <w:sz w:val="16"/>
                      </w:rPr>
                      <w:t>Aldosterone system blocked</w:t>
                    </w:r>
                  </w:p>
                </w:txbxContent>
              </v:textbox>
              <w10:wrap type="none"/>
            </v:shape>
            <w10:wrap type="none"/>
          </v:group>
        </w:pict>
      </w:r>
      <w:r>
        <w:rPr>
          <w:rFonts w:ascii="Helvetica"/>
          <w:color w:val="231F20"/>
          <w:sz w:val="16"/>
        </w:rPr>
        <w:t>4.8</w:t>
      </w:r>
    </w:p>
    <w:p>
      <w:pPr>
        <w:pStyle w:val="BodyText"/>
        <w:rPr>
          <w:rFonts w:ascii="Helvetica"/>
          <w:sz w:val="18"/>
        </w:rPr>
      </w:pPr>
    </w:p>
    <w:p>
      <w:pPr>
        <w:pStyle w:val="BodyText"/>
        <w:spacing w:before="9"/>
        <w:rPr>
          <w:rFonts w:ascii="Helvetica"/>
          <w:sz w:val="18"/>
        </w:rPr>
      </w:pPr>
    </w:p>
    <w:p>
      <w:pPr>
        <w:spacing w:before="0"/>
        <w:ind w:left="1289" w:right="2910" w:firstLine="0"/>
        <w:jc w:val="center"/>
        <w:rPr>
          <w:rFonts w:ascii="Helvetica"/>
          <w:sz w:val="16"/>
        </w:rPr>
      </w:pPr>
      <w:r>
        <w:rPr/>
        <w:pict>
          <v:shape style="position:absolute;margin-left:74.141403pt;margin-top:-8.349714pt;width:20.55pt;height:127.4pt;mso-position-horizontal-relative:page;mso-position-vertical-relative:paragraph;z-index:252596224" type="#_x0000_t202" filled="false" stroked="false">
            <v:textbox inset="0,0,0,0" style="layout-flow:vertical;mso-layout-flow-alt:bottom-to-top">
              <w:txbxContent>
                <w:p>
                  <w:pPr>
                    <w:spacing w:line="235" w:lineRule="auto" w:before="27"/>
                    <w:ind w:left="975" w:right="1" w:hanging="956"/>
                    <w:jc w:val="left"/>
                    <w:rPr>
                      <w:rFonts w:ascii="Helvetica"/>
                      <w:b/>
                      <w:sz w:val="16"/>
                    </w:rPr>
                  </w:pPr>
                  <w:r>
                    <w:rPr>
                      <w:rFonts w:ascii="Helvetica"/>
                      <w:b/>
                      <w:color w:val="231F20"/>
                      <w:sz w:val="16"/>
                    </w:rPr>
                    <w:t>Plasma potassium concentration (mEq/L)</w:t>
                  </w:r>
                </w:p>
              </w:txbxContent>
            </v:textbox>
            <w10:wrap type="none"/>
          </v:shape>
        </w:pict>
      </w:r>
      <w:r>
        <w:rPr>
          <w:rFonts w:ascii="Helvetica"/>
          <w:color w:val="231F20"/>
          <w:sz w:val="16"/>
        </w:rPr>
        <w:t>4.6</w:t>
      </w:r>
    </w:p>
    <w:p>
      <w:pPr>
        <w:tabs>
          <w:tab w:pos="426" w:val="left" w:leader="none"/>
          <w:tab w:pos="777" w:val="left" w:leader="none"/>
          <w:tab w:pos="1182" w:val="left" w:leader="none"/>
          <w:tab w:pos="1598" w:val="left" w:leader="none"/>
          <w:tab w:pos="2003" w:val="left" w:leader="none"/>
          <w:tab w:pos="2418" w:val="left" w:leader="none"/>
        </w:tabs>
        <w:spacing w:before="99"/>
        <w:ind w:left="0" w:right="592" w:firstLine="0"/>
        <w:jc w:val="center"/>
        <w:rPr>
          <w:rFonts w:ascii="Helvetica"/>
          <w:sz w:val="16"/>
        </w:rPr>
      </w:pPr>
      <w:r>
        <w:rPr/>
        <w:br w:type="column"/>
      </w:r>
      <w:r>
        <w:rPr>
          <w:rFonts w:ascii="Helvetica"/>
          <w:color w:val="231F20"/>
          <w:sz w:val="16"/>
        </w:rPr>
        <w:t>0</w:t>
        <w:tab/>
        <w:t>5</w:t>
        <w:tab/>
        <w:t>10</w:t>
        <w:tab/>
        <w:t>15</w:t>
        <w:tab/>
        <w:t>20</w:t>
        <w:tab/>
        <w:t>25</w:t>
        <w:tab/>
        <w:t>30</w:t>
      </w:r>
    </w:p>
    <w:p>
      <w:pPr>
        <w:spacing w:before="50"/>
        <w:ind w:left="0" w:right="627" w:firstLine="0"/>
        <w:jc w:val="center"/>
        <w:rPr>
          <w:rFonts w:ascii="Helvetica"/>
          <w:b/>
          <w:sz w:val="16"/>
        </w:rPr>
      </w:pPr>
      <w:r>
        <w:rPr>
          <w:rFonts w:ascii="Helvetica"/>
          <w:b/>
          <w:color w:val="231F20"/>
          <w:sz w:val="16"/>
        </w:rPr>
        <w:t>Tubular flow rate (nl/min)</w:t>
      </w:r>
    </w:p>
    <w:p>
      <w:pPr>
        <w:spacing w:line="256" w:lineRule="auto" w:before="91"/>
        <w:ind w:left="319" w:right="1437" w:firstLine="0"/>
        <w:jc w:val="both"/>
        <w:rPr>
          <w:rFonts w:ascii="Lucida Sans" w:hAnsi="Lucida Sans"/>
          <w:i/>
          <w:sz w:val="16"/>
        </w:rPr>
      </w:pPr>
      <w:bookmarkStart w:name="_bookmark90" w:id="91"/>
      <w:bookmarkEnd w:id="91"/>
      <w:r>
        <w:rPr/>
      </w:r>
      <w:r>
        <w:rPr>
          <w:rFonts w:ascii="Trebuchet MS" w:hAnsi="Trebuchet MS"/>
          <w:b/>
          <w:color w:val="231F20"/>
          <w:sz w:val="16"/>
        </w:rPr>
        <w:t>Figure</w:t>
      </w:r>
      <w:r>
        <w:rPr>
          <w:rFonts w:ascii="Trebuchet MS" w:hAnsi="Trebuchet MS"/>
          <w:b/>
          <w:color w:val="231F20"/>
          <w:spacing w:val="-26"/>
          <w:sz w:val="16"/>
        </w:rPr>
        <w:t> </w:t>
      </w:r>
      <w:r>
        <w:rPr>
          <w:rFonts w:ascii="Trebuchet MS" w:hAnsi="Trebuchet MS"/>
          <w:b/>
          <w:color w:val="231F20"/>
          <w:sz w:val="16"/>
        </w:rPr>
        <w:t>30-9.</w:t>
      </w:r>
      <w:r>
        <w:rPr>
          <w:rFonts w:ascii="Trebuchet MS" w:hAnsi="Trebuchet MS"/>
          <w:b/>
          <w:color w:val="231F20"/>
          <w:spacing w:val="1"/>
          <w:sz w:val="16"/>
        </w:rPr>
        <w:t> </w:t>
      </w:r>
      <w:r>
        <w:rPr>
          <w:rFonts w:ascii="Arial" w:hAnsi="Arial"/>
          <w:color w:val="231F20"/>
          <w:sz w:val="16"/>
        </w:rPr>
        <w:t>Relationship</w:t>
      </w:r>
      <w:r>
        <w:rPr>
          <w:rFonts w:ascii="Arial" w:hAnsi="Arial"/>
          <w:color w:val="231F20"/>
          <w:spacing w:val="-22"/>
          <w:sz w:val="16"/>
        </w:rPr>
        <w:t> </w:t>
      </w:r>
      <w:r>
        <w:rPr>
          <w:rFonts w:ascii="Arial" w:hAnsi="Arial"/>
          <w:color w:val="231F20"/>
          <w:sz w:val="16"/>
        </w:rPr>
        <w:t>between</w:t>
      </w:r>
      <w:r>
        <w:rPr>
          <w:rFonts w:ascii="Arial" w:hAnsi="Arial"/>
          <w:color w:val="231F20"/>
          <w:spacing w:val="-22"/>
          <w:sz w:val="16"/>
        </w:rPr>
        <w:t> </w:t>
      </w:r>
      <w:r>
        <w:rPr>
          <w:rFonts w:ascii="Arial" w:hAnsi="Arial"/>
          <w:color w:val="231F20"/>
          <w:sz w:val="16"/>
        </w:rPr>
        <w:t>flow</w:t>
      </w:r>
      <w:r>
        <w:rPr>
          <w:rFonts w:ascii="Arial" w:hAnsi="Arial"/>
          <w:color w:val="231F20"/>
          <w:spacing w:val="-22"/>
          <w:sz w:val="16"/>
        </w:rPr>
        <w:t> </w:t>
      </w:r>
      <w:r>
        <w:rPr>
          <w:rFonts w:ascii="Arial" w:hAnsi="Arial"/>
          <w:color w:val="231F20"/>
          <w:sz w:val="16"/>
        </w:rPr>
        <w:t>rate</w:t>
      </w:r>
      <w:r>
        <w:rPr>
          <w:rFonts w:ascii="Arial" w:hAnsi="Arial"/>
          <w:color w:val="231F20"/>
          <w:spacing w:val="-22"/>
          <w:sz w:val="16"/>
        </w:rPr>
        <w:t> </w:t>
      </w:r>
      <w:r>
        <w:rPr>
          <w:rFonts w:ascii="Arial" w:hAnsi="Arial"/>
          <w:color w:val="231F20"/>
          <w:sz w:val="16"/>
        </w:rPr>
        <w:t>in</w:t>
      </w:r>
      <w:r>
        <w:rPr>
          <w:rFonts w:ascii="Arial" w:hAnsi="Arial"/>
          <w:color w:val="231F20"/>
          <w:spacing w:val="-22"/>
          <w:sz w:val="16"/>
        </w:rPr>
        <w:t> </w:t>
      </w:r>
      <w:r>
        <w:rPr>
          <w:rFonts w:ascii="Arial" w:hAnsi="Arial"/>
          <w:color w:val="231F20"/>
          <w:sz w:val="16"/>
        </w:rPr>
        <w:t>the</w:t>
      </w:r>
      <w:r>
        <w:rPr>
          <w:rFonts w:ascii="Arial" w:hAnsi="Arial"/>
          <w:color w:val="231F20"/>
          <w:spacing w:val="-22"/>
          <w:sz w:val="16"/>
        </w:rPr>
        <w:t> </w:t>
      </w:r>
      <w:r>
        <w:rPr>
          <w:rFonts w:ascii="Arial" w:hAnsi="Arial"/>
          <w:color w:val="231F20"/>
          <w:sz w:val="16"/>
        </w:rPr>
        <w:t>cortical</w:t>
      </w:r>
      <w:r>
        <w:rPr>
          <w:rFonts w:ascii="Arial" w:hAnsi="Arial"/>
          <w:color w:val="231F20"/>
          <w:spacing w:val="-21"/>
          <w:sz w:val="16"/>
        </w:rPr>
        <w:t> </w:t>
      </w:r>
      <w:r>
        <w:rPr>
          <w:rFonts w:ascii="Arial" w:hAnsi="Arial"/>
          <w:color w:val="231F20"/>
          <w:sz w:val="16"/>
        </w:rPr>
        <w:t>collecting tubules</w:t>
      </w:r>
      <w:r>
        <w:rPr>
          <w:rFonts w:ascii="Arial" w:hAnsi="Arial"/>
          <w:color w:val="231F20"/>
          <w:spacing w:val="-11"/>
          <w:sz w:val="16"/>
        </w:rPr>
        <w:t> </w:t>
      </w:r>
      <w:r>
        <w:rPr>
          <w:rFonts w:ascii="Arial" w:hAnsi="Arial"/>
          <w:color w:val="231F20"/>
          <w:sz w:val="16"/>
        </w:rPr>
        <w:t>and</w:t>
      </w:r>
      <w:r>
        <w:rPr>
          <w:rFonts w:ascii="Arial" w:hAnsi="Arial"/>
          <w:color w:val="231F20"/>
          <w:spacing w:val="-11"/>
          <w:sz w:val="16"/>
        </w:rPr>
        <w:t> </w:t>
      </w:r>
      <w:r>
        <w:rPr>
          <w:rFonts w:ascii="Arial" w:hAnsi="Arial"/>
          <w:color w:val="231F20"/>
          <w:sz w:val="16"/>
        </w:rPr>
        <w:t>potassium</w:t>
      </w:r>
      <w:r>
        <w:rPr>
          <w:rFonts w:ascii="Arial" w:hAnsi="Arial"/>
          <w:color w:val="231F20"/>
          <w:spacing w:val="-10"/>
          <w:sz w:val="16"/>
        </w:rPr>
        <w:t> </w:t>
      </w:r>
      <w:r>
        <w:rPr>
          <w:rFonts w:ascii="Arial" w:hAnsi="Arial"/>
          <w:color w:val="231F20"/>
          <w:sz w:val="16"/>
        </w:rPr>
        <w:t>secretion</w:t>
      </w:r>
      <w:r>
        <w:rPr>
          <w:rFonts w:ascii="Arial" w:hAnsi="Arial"/>
          <w:color w:val="231F20"/>
          <w:spacing w:val="-11"/>
          <w:sz w:val="16"/>
        </w:rPr>
        <w:t> </w:t>
      </w:r>
      <w:r>
        <w:rPr>
          <w:rFonts w:ascii="Arial" w:hAnsi="Arial"/>
          <w:color w:val="231F20"/>
          <w:sz w:val="16"/>
        </w:rPr>
        <w:t>and</w:t>
      </w:r>
      <w:r>
        <w:rPr>
          <w:rFonts w:ascii="Arial" w:hAnsi="Arial"/>
          <w:color w:val="231F20"/>
          <w:spacing w:val="-11"/>
          <w:sz w:val="16"/>
        </w:rPr>
        <w:t> </w:t>
      </w:r>
      <w:r>
        <w:rPr>
          <w:rFonts w:ascii="Arial" w:hAnsi="Arial"/>
          <w:color w:val="231F20"/>
          <w:sz w:val="16"/>
        </w:rPr>
        <w:t>the</w:t>
      </w:r>
      <w:r>
        <w:rPr>
          <w:rFonts w:ascii="Arial" w:hAnsi="Arial"/>
          <w:color w:val="231F20"/>
          <w:spacing w:val="-10"/>
          <w:sz w:val="16"/>
        </w:rPr>
        <w:t> </w:t>
      </w:r>
      <w:r>
        <w:rPr>
          <w:rFonts w:ascii="Arial" w:hAnsi="Arial"/>
          <w:color w:val="231F20"/>
          <w:sz w:val="16"/>
        </w:rPr>
        <w:t>effect</w:t>
      </w:r>
      <w:r>
        <w:rPr>
          <w:rFonts w:ascii="Arial" w:hAnsi="Arial"/>
          <w:color w:val="231F20"/>
          <w:spacing w:val="-11"/>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changes</w:t>
      </w:r>
      <w:r>
        <w:rPr>
          <w:rFonts w:ascii="Arial" w:hAnsi="Arial"/>
          <w:color w:val="231F20"/>
          <w:spacing w:val="-11"/>
          <w:sz w:val="16"/>
        </w:rPr>
        <w:t> </w:t>
      </w:r>
      <w:r>
        <w:rPr>
          <w:rFonts w:ascii="Arial" w:hAnsi="Arial"/>
          <w:color w:val="231F20"/>
          <w:sz w:val="16"/>
        </w:rPr>
        <w:t>in</w:t>
      </w:r>
      <w:r>
        <w:rPr>
          <w:rFonts w:ascii="Arial" w:hAnsi="Arial"/>
          <w:color w:val="231F20"/>
          <w:spacing w:val="-11"/>
          <w:sz w:val="16"/>
        </w:rPr>
        <w:t> </w:t>
      </w:r>
      <w:r>
        <w:rPr>
          <w:rFonts w:ascii="Arial" w:hAnsi="Arial"/>
          <w:color w:val="231F20"/>
          <w:spacing w:val="-3"/>
          <w:sz w:val="16"/>
        </w:rPr>
        <w:t>potas­ </w:t>
      </w:r>
      <w:r>
        <w:rPr>
          <w:rFonts w:ascii="Arial" w:hAnsi="Arial"/>
          <w:color w:val="231F20"/>
          <w:sz w:val="16"/>
        </w:rPr>
        <w:t>sium intake. Note that a high dietary potassium intake greatly enhances</w:t>
      </w:r>
      <w:r>
        <w:rPr>
          <w:rFonts w:ascii="Arial" w:hAnsi="Arial"/>
          <w:color w:val="231F20"/>
          <w:spacing w:val="-13"/>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effect</w:t>
      </w:r>
      <w:r>
        <w:rPr>
          <w:rFonts w:ascii="Arial" w:hAnsi="Arial"/>
          <w:color w:val="231F20"/>
          <w:spacing w:val="-13"/>
          <w:sz w:val="16"/>
        </w:rPr>
        <w:t> </w:t>
      </w:r>
      <w:r>
        <w:rPr>
          <w:rFonts w:ascii="Arial" w:hAnsi="Arial"/>
          <w:color w:val="231F20"/>
          <w:sz w:val="16"/>
        </w:rPr>
        <w:t>of</w:t>
      </w:r>
      <w:r>
        <w:rPr>
          <w:rFonts w:ascii="Arial" w:hAnsi="Arial"/>
          <w:color w:val="231F20"/>
          <w:spacing w:val="-12"/>
          <w:sz w:val="16"/>
        </w:rPr>
        <w:t> </w:t>
      </w:r>
      <w:r>
        <w:rPr>
          <w:rFonts w:ascii="Arial" w:hAnsi="Arial"/>
          <w:color w:val="231F20"/>
          <w:sz w:val="16"/>
        </w:rPr>
        <w:t>increased</w:t>
      </w:r>
      <w:r>
        <w:rPr>
          <w:rFonts w:ascii="Arial" w:hAnsi="Arial"/>
          <w:color w:val="231F20"/>
          <w:spacing w:val="-12"/>
          <w:sz w:val="16"/>
        </w:rPr>
        <w:t> </w:t>
      </w:r>
      <w:r>
        <w:rPr>
          <w:rFonts w:ascii="Arial" w:hAnsi="Arial"/>
          <w:color w:val="231F20"/>
          <w:sz w:val="16"/>
        </w:rPr>
        <w:t>tubular</w:t>
      </w:r>
      <w:r>
        <w:rPr>
          <w:rFonts w:ascii="Arial" w:hAnsi="Arial"/>
          <w:color w:val="231F20"/>
          <w:spacing w:val="-13"/>
          <w:sz w:val="16"/>
        </w:rPr>
        <w:t> </w:t>
      </w:r>
      <w:r>
        <w:rPr>
          <w:rFonts w:ascii="Arial" w:hAnsi="Arial"/>
          <w:color w:val="231F20"/>
          <w:sz w:val="16"/>
        </w:rPr>
        <w:t>flow</w:t>
      </w:r>
      <w:r>
        <w:rPr>
          <w:rFonts w:ascii="Arial" w:hAnsi="Arial"/>
          <w:color w:val="231F20"/>
          <w:spacing w:val="-12"/>
          <w:sz w:val="16"/>
        </w:rPr>
        <w:t> </w:t>
      </w:r>
      <w:r>
        <w:rPr>
          <w:rFonts w:ascii="Arial" w:hAnsi="Arial"/>
          <w:color w:val="231F20"/>
          <w:sz w:val="16"/>
        </w:rPr>
        <w:t>rate</w:t>
      </w:r>
      <w:r>
        <w:rPr>
          <w:rFonts w:ascii="Arial" w:hAnsi="Arial"/>
          <w:color w:val="231F20"/>
          <w:spacing w:val="-12"/>
          <w:sz w:val="16"/>
        </w:rPr>
        <w:t> </w:t>
      </w:r>
      <w:r>
        <w:rPr>
          <w:rFonts w:ascii="Arial" w:hAnsi="Arial"/>
          <w:color w:val="231F20"/>
          <w:sz w:val="16"/>
        </w:rPr>
        <w:t>to</w:t>
      </w:r>
      <w:r>
        <w:rPr>
          <w:rFonts w:ascii="Arial" w:hAnsi="Arial"/>
          <w:color w:val="231F20"/>
          <w:spacing w:val="-13"/>
          <w:sz w:val="16"/>
        </w:rPr>
        <w:t> </w:t>
      </w:r>
      <w:r>
        <w:rPr>
          <w:rFonts w:ascii="Arial" w:hAnsi="Arial"/>
          <w:color w:val="231F20"/>
          <w:sz w:val="16"/>
        </w:rPr>
        <w:t>increase</w:t>
      </w:r>
      <w:r>
        <w:rPr>
          <w:rFonts w:ascii="Arial" w:hAnsi="Arial"/>
          <w:color w:val="231F20"/>
          <w:spacing w:val="-12"/>
          <w:sz w:val="16"/>
        </w:rPr>
        <w:t> </w:t>
      </w:r>
      <w:r>
        <w:rPr>
          <w:rFonts w:ascii="Arial" w:hAnsi="Arial"/>
          <w:color w:val="231F20"/>
          <w:spacing w:val="-3"/>
          <w:sz w:val="16"/>
        </w:rPr>
        <w:t>potas­ </w:t>
      </w:r>
      <w:r>
        <w:rPr>
          <w:rFonts w:ascii="Arial" w:hAnsi="Arial"/>
          <w:color w:val="231F20"/>
          <w:sz w:val="16"/>
        </w:rPr>
        <w:t>sium secretion. The shaded bar shows the approximate normal tubular flow rate under most physiological conditions. </w:t>
      </w:r>
      <w:r>
        <w:rPr>
          <w:rFonts w:ascii="Lucida Sans" w:hAnsi="Lucida Sans"/>
          <w:i/>
          <w:color w:val="231F20"/>
          <w:sz w:val="16"/>
        </w:rPr>
        <w:t>(Data </w:t>
      </w:r>
      <w:r>
        <w:rPr>
          <w:rFonts w:ascii="Lucida Sans" w:hAnsi="Lucida Sans"/>
          <w:i/>
          <w:color w:val="231F20"/>
          <w:spacing w:val="-3"/>
          <w:sz w:val="16"/>
        </w:rPr>
        <w:t>from </w:t>
      </w:r>
      <w:r>
        <w:rPr>
          <w:rFonts w:ascii="Lucida Sans" w:hAnsi="Lucida Sans"/>
          <w:i/>
          <w:color w:val="231F20"/>
          <w:w w:val="95"/>
          <w:sz w:val="16"/>
        </w:rPr>
        <w:t>Malnic</w:t>
      </w:r>
      <w:r>
        <w:rPr>
          <w:rFonts w:ascii="Lucida Sans" w:hAnsi="Lucida Sans"/>
          <w:i/>
          <w:color w:val="231F20"/>
          <w:spacing w:val="-24"/>
          <w:w w:val="95"/>
          <w:sz w:val="16"/>
        </w:rPr>
        <w:t> </w:t>
      </w:r>
      <w:r>
        <w:rPr>
          <w:rFonts w:ascii="Lucida Sans" w:hAnsi="Lucida Sans"/>
          <w:i/>
          <w:color w:val="231F20"/>
          <w:w w:val="95"/>
          <w:sz w:val="16"/>
        </w:rPr>
        <w:t>G,</w:t>
      </w:r>
      <w:r>
        <w:rPr>
          <w:rFonts w:ascii="Lucida Sans" w:hAnsi="Lucida Sans"/>
          <w:i/>
          <w:color w:val="231F20"/>
          <w:spacing w:val="-23"/>
          <w:w w:val="95"/>
          <w:sz w:val="16"/>
        </w:rPr>
        <w:t> </w:t>
      </w:r>
      <w:r>
        <w:rPr>
          <w:rFonts w:ascii="Lucida Sans" w:hAnsi="Lucida Sans"/>
          <w:i/>
          <w:color w:val="231F20"/>
          <w:w w:val="95"/>
          <w:sz w:val="16"/>
        </w:rPr>
        <w:t>Berliner</w:t>
      </w:r>
      <w:r>
        <w:rPr>
          <w:rFonts w:ascii="Lucida Sans" w:hAnsi="Lucida Sans"/>
          <w:i/>
          <w:color w:val="231F20"/>
          <w:spacing w:val="-24"/>
          <w:w w:val="95"/>
          <w:sz w:val="16"/>
        </w:rPr>
        <w:t> </w:t>
      </w:r>
      <w:r>
        <w:rPr>
          <w:rFonts w:ascii="Lucida Sans" w:hAnsi="Lucida Sans"/>
          <w:i/>
          <w:color w:val="231F20"/>
          <w:spacing w:val="-4"/>
          <w:w w:val="95"/>
          <w:sz w:val="16"/>
        </w:rPr>
        <w:t>RW,</w:t>
      </w:r>
      <w:r>
        <w:rPr>
          <w:rFonts w:ascii="Lucida Sans" w:hAnsi="Lucida Sans"/>
          <w:i/>
          <w:color w:val="231F20"/>
          <w:spacing w:val="-23"/>
          <w:w w:val="95"/>
          <w:sz w:val="16"/>
        </w:rPr>
        <w:t> </w:t>
      </w:r>
      <w:r>
        <w:rPr>
          <w:rFonts w:ascii="Lucida Sans" w:hAnsi="Lucida Sans"/>
          <w:i/>
          <w:color w:val="231F20"/>
          <w:w w:val="95"/>
          <w:sz w:val="16"/>
        </w:rPr>
        <w:t>Giebisch</w:t>
      </w:r>
      <w:r>
        <w:rPr>
          <w:rFonts w:ascii="Lucida Sans" w:hAnsi="Lucida Sans"/>
          <w:i/>
          <w:color w:val="231F20"/>
          <w:spacing w:val="-24"/>
          <w:w w:val="95"/>
          <w:sz w:val="16"/>
        </w:rPr>
        <w:t> </w:t>
      </w:r>
      <w:r>
        <w:rPr>
          <w:rFonts w:ascii="Lucida Sans" w:hAnsi="Lucida Sans"/>
          <w:i/>
          <w:color w:val="231F20"/>
          <w:w w:val="95"/>
          <w:sz w:val="16"/>
        </w:rPr>
        <w:t>G:</w:t>
      </w:r>
      <w:r>
        <w:rPr>
          <w:rFonts w:ascii="Lucida Sans" w:hAnsi="Lucida Sans"/>
          <w:i/>
          <w:color w:val="231F20"/>
          <w:spacing w:val="-23"/>
          <w:w w:val="95"/>
          <w:sz w:val="16"/>
        </w:rPr>
        <w:t> </w:t>
      </w:r>
      <w:r>
        <w:rPr>
          <w:rFonts w:ascii="Lucida Sans" w:hAnsi="Lucida Sans"/>
          <w:i/>
          <w:color w:val="231F20"/>
          <w:w w:val="95"/>
          <w:sz w:val="16"/>
        </w:rPr>
        <w:t>Flow</w:t>
      </w:r>
      <w:r>
        <w:rPr>
          <w:rFonts w:ascii="Lucida Sans" w:hAnsi="Lucida Sans"/>
          <w:i/>
          <w:color w:val="231F20"/>
          <w:spacing w:val="-24"/>
          <w:w w:val="95"/>
          <w:sz w:val="16"/>
        </w:rPr>
        <w:t> </w:t>
      </w:r>
      <w:r>
        <w:rPr>
          <w:rFonts w:ascii="Lucida Sans" w:hAnsi="Lucida Sans"/>
          <w:i/>
          <w:color w:val="231F20"/>
          <w:w w:val="95"/>
          <w:sz w:val="16"/>
        </w:rPr>
        <w:t>dependence</w:t>
      </w:r>
      <w:r>
        <w:rPr>
          <w:rFonts w:ascii="Lucida Sans" w:hAnsi="Lucida Sans"/>
          <w:i/>
          <w:color w:val="231F20"/>
          <w:spacing w:val="-23"/>
          <w:w w:val="95"/>
          <w:sz w:val="16"/>
        </w:rPr>
        <w:t> </w:t>
      </w:r>
      <w:r>
        <w:rPr>
          <w:rFonts w:ascii="Lucida Sans" w:hAnsi="Lucida Sans"/>
          <w:i/>
          <w:color w:val="231F20"/>
          <w:w w:val="95"/>
          <w:sz w:val="16"/>
        </w:rPr>
        <w:t>of</w:t>
      </w:r>
      <w:r>
        <w:rPr>
          <w:rFonts w:ascii="Lucida Sans" w:hAnsi="Lucida Sans"/>
          <w:i/>
          <w:color w:val="231F20"/>
          <w:spacing w:val="-24"/>
          <w:w w:val="95"/>
          <w:sz w:val="16"/>
        </w:rPr>
        <w:t> </w:t>
      </w:r>
      <w:r>
        <w:rPr>
          <w:rFonts w:ascii="Lucida Sans" w:hAnsi="Lucida Sans"/>
          <w:i/>
          <w:color w:val="231F20"/>
          <w:w w:val="95"/>
          <w:sz w:val="16"/>
        </w:rPr>
        <w:t>K</w:t>
      </w:r>
      <w:r>
        <w:rPr>
          <w:rFonts w:ascii="Consolas" w:hAnsi="Consolas"/>
          <w:color w:val="231F20"/>
          <w:w w:val="95"/>
          <w:sz w:val="16"/>
        </w:rPr>
        <w:t>+</w:t>
      </w:r>
      <w:r>
        <w:rPr>
          <w:rFonts w:ascii="Consolas" w:hAnsi="Consolas"/>
          <w:color w:val="231F20"/>
          <w:spacing w:val="-58"/>
          <w:w w:val="95"/>
          <w:sz w:val="16"/>
        </w:rPr>
        <w:t> </w:t>
      </w:r>
      <w:r>
        <w:rPr>
          <w:rFonts w:ascii="Lucida Sans" w:hAnsi="Lucida Sans"/>
          <w:i/>
          <w:color w:val="231F20"/>
          <w:w w:val="95"/>
          <w:sz w:val="16"/>
        </w:rPr>
        <w:t>secretion </w:t>
      </w:r>
      <w:r>
        <w:rPr>
          <w:rFonts w:ascii="Lucida Sans" w:hAnsi="Lucida Sans"/>
          <w:i/>
          <w:color w:val="231F20"/>
          <w:w w:val="95"/>
          <w:sz w:val="16"/>
        </w:rPr>
        <w:t>in</w:t>
      </w:r>
      <w:r>
        <w:rPr>
          <w:rFonts w:ascii="Lucida Sans" w:hAnsi="Lucida Sans"/>
          <w:i/>
          <w:color w:val="231F20"/>
          <w:spacing w:val="-19"/>
          <w:w w:val="95"/>
          <w:sz w:val="16"/>
        </w:rPr>
        <w:t> </w:t>
      </w:r>
      <w:r>
        <w:rPr>
          <w:rFonts w:ascii="Lucida Sans" w:hAnsi="Lucida Sans"/>
          <w:i/>
          <w:color w:val="231F20"/>
          <w:w w:val="95"/>
          <w:sz w:val="16"/>
        </w:rPr>
        <w:t>cortical</w:t>
      </w:r>
      <w:r>
        <w:rPr>
          <w:rFonts w:ascii="Lucida Sans" w:hAnsi="Lucida Sans"/>
          <w:i/>
          <w:color w:val="231F20"/>
          <w:spacing w:val="-18"/>
          <w:w w:val="95"/>
          <w:sz w:val="16"/>
        </w:rPr>
        <w:t> </w:t>
      </w:r>
      <w:r>
        <w:rPr>
          <w:rFonts w:ascii="Lucida Sans" w:hAnsi="Lucida Sans"/>
          <w:i/>
          <w:color w:val="231F20"/>
          <w:w w:val="95"/>
          <w:sz w:val="16"/>
        </w:rPr>
        <w:t>distal</w:t>
      </w:r>
      <w:r>
        <w:rPr>
          <w:rFonts w:ascii="Lucida Sans" w:hAnsi="Lucida Sans"/>
          <w:i/>
          <w:color w:val="231F20"/>
          <w:spacing w:val="-18"/>
          <w:w w:val="95"/>
          <w:sz w:val="16"/>
        </w:rPr>
        <w:t> </w:t>
      </w:r>
      <w:r>
        <w:rPr>
          <w:rFonts w:ascii="Lucida Sans" w:hAnsi="Lucida Sans"/>
          <w:i/>
          <w:color w:val="231F20"/>
          <w:w w:val="95"/>
          <w:sz w:val="16"/>
        </w:rPr>
        <w:t>tubes</w:t>
      </w:r>
      <w:r>
        <w:rPr>
          <w:rFonts w:ascii="Lucida Sans" w:hAnsi="Lucida Sans"/>
          <w:i/>
          <w:color w:val="231F20"/>
          <w:spacing w:val="-19"/>
          <w:w w:val="95"/>
          <w:sz w:val="16"/>
        </w:rPr>
        <w:t> </w:t>
      </w:r>
      <w:r>
        <w:rPr>
          <w:rFonts w:ascii="Lucida Sans" w:hAnsi="Lucida Sans"/>
          <w:i/>
          <w:color w:val="231F20"/>
          <w:w w:val="95"/>
          <w:sz w:val="16"/>
        </w:rPr>
        <w:t>of</w:t>
      </w:r>
      <w:r>
        <w:rPr>
          <w:rFonts w:ascii="Lucida Sans" w:hAnsi="Lucida Sans"/>
          <w:i/>
          <w:color w:val="231F20"/>
          <w:spacing w:val="-18"/>
          <w:w w:val="95"/>
          <w:sz w:val="16"/>
        </w:rPr>
        <w:t> </w:t>
      </w:r>
      <w:r>
        <w:rPr>
          <w:rFonts w:ascii="Lucida Sans" w:hAnsi="Lucida Sans"/>
          <w:i/>
          <w:color w:val="231F20"/>
          <w:w w:val="95"/>
          <w:sz w:val="16"/>
        </w:rPr>
        <w:t>the</w:t>
      </w:r>
      <w:r>
        <w:rPr>
          <w:rFonts w:ascii="Lucida Sans" w:hAnsi="Lucida Sans"/>
          <w:i/>
          <w:color w:val="231F20"/>
          <w:spacing w:val="-18"/>
          <w:w w:val="95"/>
          <w:sz w:val="16"/>
        </w:rPr>
        <w:t> </w:t>
      </w:r>
      <w:r>
        <w:rPr>
          <w:rFonts w:ascii="Lucida Sans" w:hAnsi="Lucida Sans"/>
          <w:i/>
          <w:color w:val="231F20"/>
          <w:w w:val="95"/>
          <w:sz w:val="16"/>
        </w:rPr>
        <w:t>rat.</w:t>
      </w:r>
      <w:r>
        <w:rPr>
          <w:rFonts w:ascii="Lucida Sans" w:hAnsi="Lucida Sans"/>
          <w:i/>
          <w:color w:val="231F20"/>
          <w:spacing w:val="-18"/>
          <w:w w:val="95"/>
          <w:sz w:val="16"/>
        </w:rPr>
        <w:t> </w:t>
      </w:r>
      <w:r>
        <w:rPr>
          <w:rFonts w:ascii="Lucida Sans" w:hAnsi="Lucida Sans"/>
          <w:i/>
          <w:color w:val="231F20"/>
          <w:w w:val="95"/>
          <w:sz w:val="16"/>
        </w:rPr>
        <w:t>Am</w:t>
      </w:r>
      <w:r>
        <w:rPr>
          <w:rFonts w:ascii="Lucida Sans" w:hAnsi="Lucida Sans"/>
          <w:i/>
          <w:color w:val="231F20"/>
          <w:spacing w:val="-19"/>
          <w:w w:val="95"/>
          <w:sz w:val="16"/>
        </w:rPr>
        <w:t> </w:t>
      </w:r>
      <w:r>
        <w:rPr>
          <w:rFonts w:ascii="Lucida Sans" w:hAnsi="Lucida Sans"/>
          <w:i/>
          <w:color w:val="231F20"/>
          <w:w w:val="95"/>
          <w:sz w:val="16"/>
        </w:rPr>
        <w:t>J</w:t>
      </w:r>
      <w:r>
        <w:rPr>
          <w:rFonts w:ascii="Lucida Sans" w:hAnsi="Lucida Sans"/>
          <w:i/>
          <w:color w:val="231F20"/>
          <w:spacing w:val="-18"/>
          <w:w w:val="95"/>
          <w:sz w:val="16"/>
        </w:rPr>
        <w:t> </w:t>
      </w:r>
      <w:r>
        <w:rPr>
          <w:rFonts w:ascii="Lucida Sans" w:hAnsi="Lucida Sans"/>
          <w:i/>
          <w:color w:val="231F20"/>
          <w:w w:val="95"/>
          <w:sz w:val="16"/>
        </w:rPr>
        <w:t>Physiol</w:t>
      </w:r>
      <w:r>
        <w:rPr>
          <w:rFonts w:ascii="Lucida Sans" w:hAnsi="Lucida Sans"/>
          <w:i/>
          <w:color w:val="231F20"/>
          <w:spacing w:val="-18"/>
          <w:w w:val="95"/>
          <w:sz w:val="16"/>
        </w:rPr>
        <w:t> </w:t>
      </w:r>
      <w:r>
        <w:rPr>
          <w:rFonts w:ascii="Lucida Sans" w:hAnsi="Lucida Sans"/>
          <w:i/>
          <w:color w:val="231F20"/>
          <w:w w:val="95"/>
          <w:sz w:val="16"/>
        </w:rPr>
        <w:t>256:F932,</w:t>
      </w:r>
      <w:r>
        <w:rPr>
          <w:rFonts w:ascii="Lucida Sans" w:hAnsi="Lucida Sans"/>
          <w:i/>
          <w:color w:val="231F20"/>
          <w:spacing w:val="-18"/>
          <w:w w:val="95"/>
          <w:sz w:val="16"/>
        </w:rPr>
        <w:t> </w:t>
      </w:r>
      <w:r>
        <w:rPr>
          <w:rFonts w:ascii="Lucida Sans" w:hAnsi="Lucida Sans"/>
          <w:i/>
          <w:color w:val="231F20"/>
          <w:w w:val="95"/>
          <w:sz w:val="16"/>
        </w:rPr>
        <w:t>1989.)</w:t>
      </w:r>
    </w:p>
    <w:p>
      <w:pPr>
        <w:spacing w:after="0" w:line="256" w:lineRule="auto"/>
        <w:jc w:val="both"/>
        <w:rPr>
          <w:rFonts w:ascii="Lucida Sans" w:hAnsi="Lucida Sans"/>
          <w:sz w:val="16"/>
        </w:rPr>
        <w:sectPr>
          <w:type w:val="continuous"/>
          <w:pgSz w:w="12240" w:h="15660"/>
          <w:pgMar w:top="0" w:bottom="760" w:left="0" w:right="0"/>
          <w:cols w:num="2" w:equalWidth="0">
            <w:col w:w="5761" w:space="40"/>
            <w:col w:w="6439"/>
          </w:cols>
        </w:sectPr>
      </w:pPr>
    </w:p>
    <w:p>
      <w:pPr>
        <w:pStyle w:val="BodyText"/>
        <w:spacing w:before="3"/>
        <w:rPr>
          <w:rFonts w:ascii="Lucida Sans"/>
          <w:i/>
          <w:sz w:val="25"/>
        </w:rPr>
      </w:pPr>
    </w:p>
    <w:p>
      <w:pPr>
        <w:spacing w:after="0"/>
        <w:rPr>
          <w:rFonts w:ascii="Lucida Sans"/>
          <w:sz w:val="25"/>
        </w:rPr>
        <w:sectPr>
          <w:type w:val="continuous"/>
          <w:pgSz w:w="12240" w:h="15660"/>
          <w:pgMar w:top="0" w:bottom="760" w:left="0" w:right="0"/>
        </w:sectPr>
      </w:pPr>
    </w:p>
    <w:p>
      <w:pPr>
        <w:spacing w:before="127"/>
        <w:ind w:left="0" w:right="0" w:firstLine="0"/>
        <w:jc w:val="right"/>
        <w:rPr>
          <w:rFonts w:ascii="Helvetica"/>
          <w:sz w:val="16"/>
        </w:rPr>
      </w:pPr>
      <w:r>
        <w:rPr>
          <w:rFonts w:ascii="Helvetica"/>
          <w:color w:val="231F20"/>
          <w:w w:val="95"/>
          <w:sz w:val="16"/>
        </w:rPr>
        <w:t>4.4</w:t>
      </w:r>
    </w:p>
    <w:p>
      <w:pPr>
        <w:pStyle w:val="BodyText"/>
        <w:rPr>
          <w:rFonts w:ascii="Helvetica"/>
          <w:sz w:val="18"/>
        </w:rPr>
      </w:pPr>
    </w:p>
    <w:p>
      <w:pPr>
        <w:pStyle w:val="BodyText"/>
        <w:spacing w:before="3"/>
        <w:rPr>
          <w:rFonts w:ascii="Helvetica"/>
          <w:sz w:val="19"/>
        </w:rPr>
      </w:pPr>
    </w:p>
    <w:p>
      <w:pPr>
        <w:spacing w:before="1"/>
        <w:ind w:left="0" w:right="0" w:firstLine="0"/>
        <w:jc w:val="right"/>
        <w:rPr>
          <w:rFonts w:ascii="Helvetica"/>
          <w:sz w:val="16"/>
        </w:rPr>
      </w:pPr>
      <w:r>
        <w:rPr>
          <w:rFonts w:ascii="Helvetica"/>
          <w:color w:val="231F20"/>
          <w:w w:val="95"/>
          <w:sz w:val="16"/>
        </w:rPr>
        <w:t>4.2</w:t>
      </w:r>
    </w:p>
    <w:p>
      <w:pPr>
        <w:pStyle w:val="BodyText"/>
        <w:rPr>
          <w:rFonts w:ascii="Helvetica"/>
          <w:sz w:val="18"/>
        </w:rPr>
      </w:pPr>
    </w:p>
    <w:p>
      <w:pPr>
        <w:pStyle w:val="BodyText"/>
        <w:spacing w:before="8"/>
        <w:rPr>
          <w:rFonts w:ascii="Helvetica"/>
          <w:sz w:val="18"/>
        </w:rPr>
      </w:pPr>
    </w:p>
    <w:p>
      <w:pPr>
        <w:spacing w:before="0"/>
        <w:ind w:left="0" w:right="0" w:firstLine="0"/>
        <w:jc w:val="right"/>
        <w:rPr>
          <w:rFonts w:ascii="Helvetica"/>
          <w:sz w:val="16"/>
        </w:rPr>
      </w:pPr>
      <w:r>
        <w:rPr>
          <w:rFonts w:ascii="Helvetica"/>
          <w:color w:val="231F20"/>
          <w:w w:val="95"/>
          <w:sz w:val="16"/>
        </w:rPr>
        <w:t>4.0</w:t>
      </w:r>
    </w:p>
    <w:p>
      <w:pPr>
        <w:pStyle w:val="BodyText"/>
        <w:rPr>
          <w:rFonts w:ascii="Helvetica"/>
          <w:sz w:val="18"/>
        </w:rPr>
      </w:pPr>
    </w:p>
    <w:p>
      <w:pPr>
        <w:pStyle w:val="BodyText"/>
        <w:spacing w:before="2"/>
        <w:rPr>
          <w:rFonts w:ascii="Helvetica"/>
          <w:sz w:val="19"/>
        </w:rPr>
      </w:pPr>
    </w:p>
    <w:p>
      <w:pPr>
        <w:spacing w:before="0"/>
        <w:ind w:left="0" w:right="0" w:firstLine="0"/>
        <w:jc w:val="right"/>
        <w:rPr>
          <w:rFonts w:ascii="Helvetica"/>
          <w:sz w:val="16"/>
        </w:rPr>
      </w:pPr>
      <w:r>
        <w:rPr>
          <w:rFonts w:ascii="Helvetica"/>
          <w:color w:val="231F20"/>
          <w:w w:val="95"/>
          <w:sz w:val="16"/>
        </w:rPr>
        <w:t>3.8</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4"/>
        <w:rPr>
          <w:rFonts w:ascii="Helvetica"/>
          <w:sz w:val="25"/>
        </w:rPr>
      </w:pPr>
    </w:p>
    <w:p>
      <w:pPr>
        <w:tabs>
          <w:tab w:pos="426" w:val="left" w:leader="none"/>
          <w:tab w:pos="821" w:val="left" w:leader="none"/>
          <w:tab w:pos="1226" w:val="left" w:leader="none"/>
        </w:tabs>
        <w:spacing w:before="0"/>
        <w:ind w:left="44" w:right="0" w:firstLine="0"/>
        <w:jc w:val="center"/>
        <w:rPr>
          <w:rFonts w:ascii="Helvetica"/>
          <w:sz w:val="16"/>
        </w:rPr>
      </w:pPr>
      <w:r>
        <w:rPr>
          <w:rFonts w:ascii="Helvetica"/>
          <w:color w:val="231F20"/>
          <w:sz w:val="16"/>
        </w:rPr>
        <w:t>0</w:t>
        <w:tab/>
        <w:t>30</w:t>
        <w:tab/>
        <w:t>60</w:t>
        <w:tab/>
        <w:t>90 120 150 180</w:t>
      </w:r>
      <w:r>
        <w:rPr>
          <w:rFonts w:ascii="Helvetica"/>
          <w:color w:val="231F20"/>
          <w:spacing w:val="4"/>
          <w:sz w:val="16"/>
        </w:rPr>
        <w:t> </w:t>
      </w:r>
      <w:r>
        <w:rPr>
          <w:rFonts w:ascii="Helvetica"/>
          <w:color w:val="231F20"/>
          <w:spacing w:val="-6"/>
          <w:sz w:val="16"/>
        </w:rPr>
        <w:t>210</w:t>
      </w:r>
    </w:p>
    <w:p>
      <w:pPr>
        <w:spacing w:line="145" w:lineRule="exact" w:before="50"/>
        <w:ind w:left="44" w:right="71" w:firstLine="0"/>
        <w:jc w:val="center"/>
        <w:rPr>
          <w:rFonts w:ascii="Helvetica"/>
          <w:b/>
          <w:sz w:val="16"/>
        </w:rPr>
      </w:pPr>
      <w:r>
        <w:rPr>
          <w:rFonts w:ascii="Helvetica"/>
          <w:b/>
          <w:color w:val="231F20"/>
          <w:sz w:val="16"/>
        </w:rPr>
        <w:t>Potassium intake (mEq/day)</w:t>
      </w:r>
    </w:p>
    <w:p>
      <w:pPr>
        <w:pStyle w:val="BodyText"/>
        <w:spacing w:line="249" w:lineRule="auto" w:before="99"/>
        <w:ind w:left="759" w:right="1437"/>
        <w:jc w:val="both"/>
      </w:pPr>
      <w:r>
        <w:rPr/>
        <w:br w:type="column"/>
      </w:r>
      <w:r>
        <w:rPr>
          <w:color w:val="231F20"/>
          <w:w w:val="105"/>
        </w:rPr>
        <w:t>3.8</w:t>
      </w:r>
      <w:r>
        <w:rPr>
          <w:color w:val="231F20"/>
          <w:spacing w:val="-18"/>
          <w:w w:val="105"/>
        </w:rPr>
        <w:t> </w:t>
      </w:r>
      <w:r>
        <w:rPr>
          <w:color w:val="231F20"/>
          <w:w w:val="105"/>
        </w:rPr>
        <w:t>to</w:t>
      </w:r>
      <w:r>
        <w:rPr>
          <w:color w:val="231F20"/>
          <w:spacing w:val="-18"/>
          <w:w w:val="105"/>
        </w:rPr>
        <w:t> </w:t>
      </w:r>
      <w:r>
        <w:rPr>
          <w:color w:val="231F20"/>
          <w:w w:val="105"/>
        </w:rPr>
        <w:t>almost</w:t>
      </w:r>
      <w:r>
        <w:rPr>
          <w:color w:val="231F20"/>
          <w:spacing w:val="-17"/>
          <w:w w:val="105"/>
        </w:rPr>
        <w:t> </w:t>
      </w:r>
      <w:r>
        <w:rPr>
          <w:color w:val="231F20"/>
          <w:w w:val="105"/>
        </w:rPr>
        <w:t>4.7</w:t>
      </w:r>
      <w:r>
        <w:rPr>
          <w:color w:val="231F20"/>
          <w:spacing w:val="-10"/>
          <w:w w:val="105"/>
        </w:rPr>
        <w:t> </w:t>
      </w:r>
      <w:r>
        <w:rPr>
          <w:color w:val="231F20"/>
          <w:w w:val="105"/>
        </w:rPr>
        <w:t>mEq/L.</w:t>
      </w:r>
      <w:r>
        <w:rPr>
          <w:color w:val="231F20"/>
          <w:spacing w:val="-18"/>
          <w:w w:val="105"/>
        </w:rPr>
        <w:t> </w:t>
      </w:r>
      <w:r>
        <w:rPr>
          <w:color w:val="231F20"/>
          <w:w w:val="105"/>
        </w:rPr>
        <w:t>Thus,</w:t>
      </w:r>
      <w:r>
        <w:rPr>
          <w:color w:val="231F20"/>
          <w:spacing w:val="-17"/>
          <w:w w:val="105"/>
        </w:rPr>
        <w:t> </w:t>
      </w:r>
      <w:r>
        <w:rPr>
          <w:color w:val="231F20"/>
          <w:w w:val="105"/>
        </w:rPr>
        <w:t>control</w:t>
      </w:r>
      <w:r>
        <w:rPr>
          <w:color w:val="231F20"/>
          <w:spacing w:val="-18"/>
          <w:w w:val="105"/>
        </w:rPr>
        <w:t> </w:t>
      </w:r>
      <w:r>
        <w:rPr>
          <w:color w:val="231F20"/>
          <w:w w:val="105"/>
        </w:rPr>
        <w:t>of</w:t>
      </w:r>
      <w:r>
        <w:rPr>
          <w:color w:val="231F20"/>
          <w:spacing w:val="-17"/>
          <w:w w:val="105"/>
        </w:rPr>
        <w:t> </w:t>
      </w:r>
      <w:r>
        <w:rPr>
          <w:color w:val="231F20"/>
          <w:w w:val="105"/>
        </w:rPr>
        <w:t>potassium</w:t>
      </w:r>
      <w:r>
        <w:rPr>
          <w:color w:val="231F20"/>
          <w:spacing w:val="-18"/>
          <w:w w:val="105"/>
        </w:rPr>
        <w:t> </w:t>
      </w:r>
      <w:r>
        <w:rPr>
          <w:color w:val="231F20"/>
          <w:w w:val="105"/>
        </w:rPr>
        <w:t>con- centration</w:t>
      </w:r>
      <w:r>
        <w:rPr>
          <w:color w:val="231F20"/>
          <w:spacing w:val="-17"/>
          <w:w w:val="105"/>
        </w:rPr>
        <w:t> </w:t>
      </w:r>
      <w:r>
        <w:rPr>
          <w:color w:val="231F20"/>
          <w:w w:val="105"/>
        </w:rPr>
        <w:t>is</w:t>
      </w:r>
      <w:r>
        <w:rPr>
          <w:color w:val="231F20"/>
          <w:spacing w:val="-16"/>
          <w:w w:val="105"/>
        </w:rPr>
        <w:t> </w:t>
      </w:r>
      <w:r>
        <w:rPr>
          <w:color w:val="231F20"/>
          <w:w w:val="105"/>
        </w:rPr>
        <w:t>greatly</w:t>
      </w:r>
      <w:r>
        <w:rPr>
          <w:color w:val="231F20"/>
          <w:spacing w:val="-17"/>
          <w:w w:val="105"/>
        </w:rPr>
        <w:t> </w:t>
      </w:r>
      <w:r>
        <w:rPr>
          <w:color w:val="231F20"/>
          <w:w w:val="105"/>
        </w:rPr>
        <w:t>impaired</w:t>
      </w:r>
      <w:r>
        <w:rPr>
          <w:color w:val="231F20"/>
          <w:spacing w:val="-16"/>
          <w:w w:val="105"/>
        </w:rPr>
        <w:t> </w:t>
      </w:r>
      <w:r>
        <w:rPr>
          <w:color w:val="231F20"/>
          <w:w w:val="105"/>
        </w:rPr>
        <w:t>when</w:t>
      </w:r>
      <w:r>
        <w:rPr>
          <w:color w:val="231F20"/>
          <w:spacing w:val="-17"/>
          <w:w w:val="105"/>
        </w:rPr>
        <w:t> </w:t>
      </w:r>
      <w:r>
        <w:rPr>
          <w:color w:val="231F20"/>
          <w:w w:val="105"/>
        </w:rPr>
        <w:t>the</w:t>
      </w:r>
      <w:r>
        <w:rPr>
          <w:color w:val="231F20"/>
          <w:spacing w:val="-16"/>
          <w:w w:val="105"/>
        </w:rPr>
        <w:t> </w:t>
      </w:r>
      <w:r>
        <w:rPr>
          <w:color w:val="231F20"/>
          <w:w w:val="105"/>
        </w:rPr>
        <w:t>aldosterone</w:t>
      </w:r>
      <w:r>
        <w:rPr>
          <w:color w:val="231F20"/>
          <w:spacing w:val="-16"/>
          <w:w w:val="105"/>
        </w:rPr>
        <w:t> </w:t>
      </w:r>
      <w:r>
        <w:rPr>
          <w:color w:val="231F20"/>
          <w:w w:val="105"/>
        </w:rPr>
        <w:t>feed- back</w:t>
      </w:r>
      <w:r>
        <w:rPr>
          <w:color w:val="231F20"/>
          <w:spacing w:val="-39"/>
          <w:w w:val="105"/>
        </w:rPr>
        <w:t> </w:t>
      </w:r>
      <w:r>
        <w:rPr>
          <w:color w:val="231F20"/>
          <w:w w:val="105"/>
        </w:rPr>
        <w:t>system</w:t>
      </w:r>
      <w:r>
        <w:rPr>
          <w:color w:val="231F20"/>
          <w:spacing w:val="-39"/>
          <w:w w:val="105"/>
        </w:rPr>
        <w:t> </w:t>
      </w:r>
      <w:r>
        <w:rPr>
          <w:color w:val="231F20"/>
          <w:w w:val="105"/>
        </w:rPr>
        <w:t>is</w:t>
      </w:r>
      <w:r>
        <w:rPr>
          <w:color w:val="231F20"/>
          <w:spacing w:val="-39"/>
          <w:w w:val="105"/>
        </w:rPr>
        <w:t> </w:t>
      </w:r>
      <w:r>
        <w:rPr>
          <w:color w:val="231F20"/>
          <w:w w:val="105"/>
        </w:rPr>
        <w:t>blocked.</w:t>
      </w:r>
      <w:r>
        <w:rPr>
          <w:color w:val="231F20"/>
          <w:spacing w:val="-39"/>
          <w:w w:val="105"/>
        </w:rPr>
        <w:t> </w:t>
      </w:r>
      <w:r>
        <w:rPr>
          <w:color w:val="231F20"/>
          <w:w w:val="105"/>
        </w:rPr>
        <w:t>A</w:t>
      </w:r>
      <w:r>
        <w:rPr>
          <w:color w:val="231F20"/>
          <w:spacing w:val="-38"/>
          <w:w w:val="105"/>
        </w:rPr>
        <w:t> </w:t>
      </w:r>
      <w:r>
        <w:rPr>
          <w:color w:val="231F20"/>
          <w:w w:val="105"/>
        </w:rPr>
        <w:t>similar</w:t>
      </w:r>
      <w:r>
        <w:rPr>
          <w:color w:val="231F20"/>
          <w:spacing w:val="-39"/>
          <w:w w:val="105"/>
        </w:rPr>
        <w:t> </w:t>
      </w:r>
      <w:r>
        <w:rPr>
          <w:color w:val="231F20"/>
          <w:w w:val="105"/>
        </w:rPr>
        <w:t>impairment</w:t>
      </w:r>
      <w:r>
        <w:rPr>
          <w:color w:val="231F20"/>
          <w:spacing w:val="-39"/>
          <w:w w:val="105"/>
        </w:rPr>
        <w:t> </w:t>
      </w:r>
      <w:r>
        <w:rPr>
          <w:color w:val="231F20"/>
          <w:w w:val="105"/>
        </w:rPr>
        <w:t>of</w:t>
      </w:r>
      <w:r>
        <w:rPr>
          <w:color w:val="231F20"/>
          <w:spacing w:val="-39"/>
          <w:w w:val="105"/>
        </w:rPr>
        <w:t> </w:t>
      </w:r>
      <w:r>
        <w:rPr>
          <w:color w:val="231F20"/>
          <w:w w:val="105"/>
        </w:rPr>
        <w:t>potassium regulation</w:t>
      </w:r>
      <w:r>
        <w:rPr>
          <w:color w:val="231F20"/>
          <w:spacing w:val="-23"/>
          <w:w w:val="105"/>
        </w:rPr>
        <w:t> </w:t>
      </w:r>
      <w:r>
        <w:rPr>
          <w:color w:val="231F20"/>
          <w:w w:val="105"/>
        </w:rPr>
        <w:t>is</w:t>
      </w:r>
      <w:r>
        <w:rPr>
          <w:color w:val="231F20"/>
          <w:spacing w:val="-22"/>
          <w:w w:val="105"/>
        </w:rPr>
        <w:t> </w:t>
      </w:r>
      <w:r>
        <w:rPr>
          <w:color w:val="231F20"/>
          <w:w w:val="105"/>
        </w:rPr>
        <w:t>observed</w:t>
      </w:r>
      <w:r>
        <w:rPr>
          <w:color w:val="231F20"/>
          <w:spacing w:val="-22"/>
          <w:w w:val="105"/>
        </w:rPr>
        <w:t> </w:t>
      </w:r>
      <w:r>
        <w:rPr>
          <w:color w:val="231F20"/>
          <w:w w:val="105"/>
        </w:rPr>
        <w:t>in</w:t>
      </w:r>
      <w:r>
        <w:rPr>
          <w:color w:val="231F20"/>
          <w:spacing w:val="-22"/>
          <w:w w:val="105"/>
        </w:rPr>
        <w:t> </w:t>
      </w:r>
      <w:r>
        <w:rPr>
          <w:color w:val="231F20"/>
          <w:w w:val="105"/>
        </w:rPr>
        <w:t>humans</w:t>
      </w:r>
      <w:r>
        <w:rPr>
          <w:color w:val="231F20"/>
          <w:spacing w:val="-22"/>
          <w:w w:val="105"/>
        </w:rPr>
        <w:t> </w:t>
      </w:r>
      <w:r>
        <w:rPr>
          <w:color w:val="231F20"/>
          <w:w w:val="105"/>
        </w:rPr>
        <w:t>with</w:t>
      </w:r>
      <w:r>
        <w:rPr>
          <w:color w:val="231F20"/>
          <w:spacing w:val="-22"/>
          <w:w w:val="105"/>
        </w:rPr>
        <w:t> </w:t>
      </w:r>
      <w:r>
        <w:rPr>
          <w:color w:val="231F20"/>
          <w:w w:val="105"/>
        </w:rPr>
        <w:t>poorly</w:t>
      </w:r>
      <w:r>
        <w:rPr>
          <w:color w:val="231F20"/>
          <w:spacing w:val="-22"/>
          <w:w w:val="105"/>
        </w:rPr>
        <w:t> </w:t>
      </w:r>
      <w:r>
        <w:rPr>
          <w:color w:val="231F20"/>
          <w:w w:val="105"/>
        </w:rPr>
        <w:t>functioning aldosterone</w:t>
      </w:r>
      <w:r>
        <w:rPr>
          <w:color w:val="231F20"/>
          <w:spacing w:val="-9"/>
          <w:w w:val="105"/>
        </w:rPr>
        <w:t> </w:t>
      </w:r>
      <w:r>
        <w:rPr>
          <w:color w:val="231F20"/>
          <w:w w:val="105"/>
        </w:rPr>
        <w:t>feedback</w:t>
      </w:r>
      <w:r>
        <w:rPr>
          <w:color w:val="231F20"/>
          <w:spacing w:val="-10"/>
          <w:w w:val="105"/>
        </w:rPr>
        <w:t> </w:t>
      </w:r>
      <w:r>
        <w:rPr>
          <w:color w:val="231F20"/>
          <w:w w:val="105"/>
        </w:rPr>
        <w:t>systems,</w:t>
      </w:r>
      <w:r>
        <w:rPr>
          <w:color w:val="231F20"/>
          <w:spacing w:val="-9"/>
          <w:w w:val="105"/>
        </w:rPr>
        <w:t> </w:t>
      </w:r>
      <w:r>
        <w:rPr>
          <w:color w:val="231F20"/>
          <w:w w:val="105"/>
        </w:rPr>
        <w:t>such</w:t>
      </w:r>
      <w:r>
        <w:rPr>
          <w:color w:val="231F20"/>
          <w:spacing w:val="-9"/>
          <w:w w:val="105"/>
        </w:rPr>
        <w:t> </w:t>
      </w:r>
      <w:r>
        <w:rPr>
          <w:color w:val="231F20"/>
          <w:w w:val="105"/>
        </w:rPr>
        <w:t>as</w:t>
      </w:r>
      <w:r>
        <w:rPr>
          <w:color w:val="231F20"/>
          <w:spacing w:val="-9"/>
          <w:w w:val="105"/>
        </w:rPr>
        <w:t> </w:t>
      </w:r>
      <w:r>
        <w:rPr>
          <w:color w:val="231F20"/>
          <w:w w:val="105"/>
        </w:rPr>
        <w:t>occurs</w:t>
      </w:r>
      <w:r>
        <w:rPr>
          <w:color w:val="231F20"/>
          <w:spacing w:val="-9"/>
          <w:w w:val="105"/>
        </w:rPr>
        <w:t> </w:t>
      </w:r>
      <w:r>
        <w:rPr>
          <w:color w:val="231F20"/>
          <w:w w:val="105"/>
        </w:rPr>
        <w:t>in</w:t>
      </w:r>
      <w:r>
        <w:rPr>
          <w:color w:val="231F20"/>
          <w:spacing w:val="-9"/>
          <w:w w:val="105"/>
        </w:rPr>
        <w:t> </w:t>
      </w:r>
      <w:r>
        <w:rPr>
          <w:color w:val="231F20"/>
          <w:w w:val="105"/>
        </w:rPr>
        <w:t>patients with either primary aldosteronism (too much aldoste- rone) or </w:t>
      </w:r>
      <w:r>
        <w:rPr>
          <w:color w:val="231F20"/>
          <w:spacing w:val="-3"/>
          <w:w w:val="105"/>
        </w:rPr>
        <w:t>Addison’s </w:t>
      </w:r>
      <w:r>
        <w:rPr>
          <w:color w:val="231F20"/>
          <w:w w:val="105"/>
        </w:rPr>
        <w:t>disease (too little</w:t>
      </w:r>
      <w:r>
        <w:rPr>
          <w:color w:val="231F20"/>
          <w:spacing w:val="-20"/>
          <w:w w:val="105"/>
        </w:rPr>
        <w:t> </w:t>
      </w:r>
      <w:r>
        <w:rPr>
          <w:color w:val="231F20"/>
          <w:w w:val="105"/>
        </w:rPr>
        <w:t>aldosterone).</w:t>
      </w:r>
    </w:p>
    <w:p>
      <w:pPr>
        <w:pStyle w:val="BodyText"/>
        <w:spacing w:before="1"/>
        <w:rPr>
          <w:sz w:val="22"/>
        </w:rPr>
      </w:pPr>
    </w:p>
    <w:p>
      <w:pPr>
        <w:spacing w:line="252" w:lineRule="auto" w:before="0"/>
        <w:ind w:left="759" w:right="1437" w:firstLine="0"/>
        <w:jc w:val="both"/>
        <w:rPr>
          <w:sz w:val="20"/>
        </w:rPr>
      </w:pPr>
      <w:r>
        <w:rPr>
          <w:rFonts w:ascii="Trebuchet MS"/>
          <w:b/>
          <w:color w:val="231F20"/>
          <w:sz w:val="19"/>
        </w:rPr>
        <w:t>Increased Distal Tubular Flow Rate Stimulates Potas- sium Secretion. </w:t>
      </w:r>
      <w:r>
        <w:rPr>
          <w:color w:val="231F20"/>
          <w:sz w:val="20"/>
        </w:rPr>
        <w:t>A rise in distal tubular flow rate, as occurs with volume expansion, high sodium intake, or</w:t>
      </w:r>
    </w:p>
    <w:p>
      <w:pPr>
        <w:spacing w:after="0" w:line="252" w:lineRule="auto"/>
        <w:jc w:val="both"/>
        <w:rPr>
          <w:sz w:val="20"/>
        </w:rPr>
        <w:sectPr>
          <w:type w:val="continuous"/>
          <w:pgSz w:w="12240" w:h="15660"/>
          <w:pgMar w:top="0" w:bottom="760" w:left="0" w:right="0"/>
          <w:cols w:num="3" w:equalWidth="0">
            <w:col w:w="2180" w:space="40"/>
            <w:col w:w="3102" w:space="39"/>
            <w:col w:w="6879"/>
          </w:cols>
        </w:sectPr>
      </w:pPr>
    </w:p>
    <w:p>
      <w:pPr>
        <w:spacing w:line="254" w:lineRule="auto" w:before="129"/>
        <w:ind w:left="1080" w:right="0" w:firstLine="0"/>
        <w:jc w:val="both"/>
        <w:rPr>
          <w:rFonts w:ascii="Lucida Sans"/>
          <w:i/>
          <w:sz w:val="16"/>
        </w:rPr>
      </w:pPr>
      <w:bookmarkStart w:name="_bookmark91" w:id="92"/>
      <w:bookmarkEnd w:id="92"/>
      <w:r>
        <w:rPr/>
      </w:r>
      <w:r>
        <w:rPr>
          <w:rFonts w:ascii="Trebuchet MS"/>
          <w:b/>
          <w:color w:val="231F20"/>
          <w:sz w:val="16"/>
        </w:rPr>
        <w:t>Figure</w:t>
      </w:r>
      <w:r>
        <w:rPr>
          <w:rFonts w:ascii="Trebuchet MS"/>
          <w:b/>
          <w:color w:val="231F20"/>
          <w:spacing w:val="-19"/>
          <w:sz w:val="16"/>
        </w:rPr>
        <w:t> </w:t>
      </w:r>
      <w:r>
        <w:rPr>
          <w:rFonts w:ascii="Trebuchet MS"/>
          <w:b/>
          <w:color w:val="231F20"/>
          <w:sz w:val="16"/>
        </w:rPr>
        <w:t>30-8.</w:t>
      </w:r>
      <w:r>
        <w:rPr>
          <w:rFonts w:ascii="Trebuchet MS"/>
          <w:b/>
          <w:color w:val="231F20"/>
          <w:spacing w:val="1"/>
          <w:sz w:val="16"/>
        </w:rPr>
        <w:t> </w:t>
      </w:r>
      <w:r>
        <w:rPr>
          <w:rFonts w:ascii="Arial"/>
          <w:color w:val="231F20"/>
          <w:sz w:val="16"/>
        </w:rPr>
        <w:t>Effect</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large</w:t>
      </w:r>
      <w:r>
        <w:rPr>
          <w:rFonts w:ascii="Arial"/>
          <w:color w:val="231F20"/>
          <w:spacing w:val="-15"/>
          <w:sz w:val="16"/>
        </w:rPr>
        <w:t> </w:t>
      </w:r>
      <w:r>
        <w:rPr>
          <w:rFonts w:ascii="Arial"/>
          <w:color w:val="231F20"/>
          <w:sz w:val="16"/>
        </w:rPr>
        <w:t>changes</w:t>
      </w:r>
      <w:r>
        <w:rPr>
          <w:rFonts w:ascii="Arial"/>
          <w:color w:val="231F20"/>
          <w:spacing w:val="-14"/>
          <w:sz w:val="16"/>
        </w:rPr>
        <w:t> </w:t>
      </w:r>
      <w:r>
        <w:rPr>
          <w:rFonts w:ascii="Arial"/>
          <w:color w:val="231F20"/>
          <w:sz w:val="16"/>
        </w:rPr>
        <w:t>in</w:t>
      </w:r>
      <w:r>
        <w:rPr>
          <w:rFonts w:ascii="Arial"/>
          <w:color w:val="231F20"/>
          <w:spacing w:val="-15"/>
          <w:sz w:val="16"/>
        </w:rPr>
        <w:t> </w:t>
      </w:r>
      <w:r>
        <w:rPr>
          <w:rFonts w:ascii="Arial"/>
          <w:color w:val="231F20"/>
          <w:sz w:val="16"/>
        </w:rPr>
        <w:t>potassium</w:t>
      </w:r>
      <w:r>
        <w:rPr>
          <w:rFonts w:ascii="Arial"/>
          <w:color w:val="231F20"/>
          <w:spacing w:val="-15"/>
          <w:sz w:val="16"/>
        </w:rPr>
        <w:t> </w:t>
      </w:r>
      <w:r>
        <w:rPr>
          <w:rFonts w:ascii="Arial"/>
          <w:color w:val="231F20"/>
          <w:sz w:val="16"/>
        </w:rPr>
        <w:t>intake</w:t>
      </w:r>
      <w:r>
        <w:rPr>
          <w:rFonts w:ascii="Arial"/>
          <w:color w:val="231F20"/>
          <w:spacing w:val="-15"/>
          <w:sz w:val="16"/>
        </w:rPr>
        <w:t> </w:t>
      </w:r>
      <w:r>
        <w:rPr>
          <w:rFonts w:ascii="Arial"/>
          <w:color w:val="231F20"/>
          <w:sz w:val="16"/>
        </w:rPr>
        <w:t>on</w:t>
      </w:r>
      <w:r>
        <w:rPr>
          <w:rFonts w:ascii="Arial"/>
          <w:color w:val="231F20"/>
          <w:spacing w:val="-15"/>
          <w:sz w:val="16"/>
        </w:rPr>
        <w:t> </w:t>
      </w:r>
      <w:r>
        <w:rPr>
          <w:rFonts w:ascii="Arial"/>
          <w:color w:val="231F20"/>
          <w:sz w:val="16"/>
        </w:rPr>
        <w:t>plasma potassium</w:t>
      </w:r>
      <w:r>
        <w:rPr>
          <w:rFonts w:ascii="Arial"/>
          <w:color w:val="231F20"/>
          <w:spacing w:val="-26"/>
          <w:sz w:val="16"/>
        </w:rPr>
        <w:t> </w:t>
      </w:r>
      <w:r>
        <w:rPr>
          <w:rFonts w:ascii="Arial"/>
          <w:color w:val="231F20"/>
          <w:sz w:val="16"/>
        </w:rPr>
        <w:t>concentration</w:t>
      </w:r>
      <w:r>
        <w:rPr>
          <w:rFonts w:ascii="Arial"/>
          <w:color w:val="231F20"/>
          <w:spacing w:val="-25"/>
          <w:sz w:val="16"/>
        </w:rPr>
        <w:t> </w:t>
      </w:r>
      <w:r>
        <w:rPr>
          <w:rFonts w:ascii="Arial"/>
          <w:color w:val="231F20"/>
          <w:sz w:val="16"/>
        </w:rPr>
        <w:t>under</w:t>
      </w:r>
      <w:r>
        <w:rPr>
          <w:rFonts w:ascii="Arial"/>
          <w:color w:val="231F20"/>
          <w:spacing w:val="-25"/>
          <w:sz w:val="16"/>
        </w:rPr>
        <w:t> </w:t>
      </w:r>
      <w:r>
        <w:rPr>
          <w:rFonts w:ascii="Arial"/>
          <w:color w:val="231F20"/>
          <w:sz w:val="16"/>
        </w:rPr>
        <w:t>normal</w:t>
      </w:r>
      <w:r>
        <w:rPr>
          <w:rFonts w:ascii="Arial"/>
          <w:color w:val="231F20"/>
          <w:spacing w:val="-25"/>
          <w:sz w:val="16"/>
        </w:rPr>
        <w:t> </w:t>
      </w:r>
      <w:r>
        <w:rPr>
          <w:rFonts w:ascii="Arial"/>
          <w:color w:val="231F20"/>
          <w:sz w:val="16"/>
        </w:rPr>
        <w:t>conditions</w:t>
      </w:r>
      <w:r>
        <w:rPr>
          <w:rFonts w:ascii="Arial"/>
          <w:color w:val="231F20"/>
          <w:spacing w:val="-25"/>
          <w:sz w:val="16"/>
        </w:rPr>
        <w:t> </w:t>
      </w:r>
      <w:r>
        <w:rPr>
          <w:rFonts w:ascii="Arial"/>
          <w:color w:val="231F20"/>
          <w:sz w:val="16"/>
        </w:rPr>
        <w:t>(</w:t>
      </w:r>
      <w:r>
        <w:rPr>
          <w:rFonts w:ascii="Lucida Sans"/>
          <w:i/>
          <w:color w:val="231F20"/>
          <w:sz w:val="16"/>
        </w:rPr>
        <w:t>red</w:t>
      </w:r>
      <w:r>
        <w:rPr>
          <w:rFonts w:ascii="Lucida Sans"/>
          <w:i/>
          <w:color w:val="231F20"/>
          <w:spacing w:val="-32"/>
          <w:sz w:val="16"/>
        </w:rPr>
        <w:t> </w:t>
      </w:r>
      <w:r>
        <w:rPr>
          <w:rFonts w:ascii="Lucida Sans"/>
          <w:i/>
          <w:color w:val="231F20"/>
          <w:sz w:val="16"/>
        </w:rPr>
        <w:t>line</w:t>
      </w:r>
      <w:r>
        <w:rPr>
          <w:rFonts w:ascii="Arial"/>
          <w:color w:val="231F20"/>
          <w:sz w:val="16"/>
        </w:rPr>
        <w:t>)</w:t>
      </w:r>
      <w:r>
        <w:rPr>
          <w:rFonts w:ascii="Arial"/>
          <w:color w:val="231F20"/>
          <w:spacing w:val="-25"/>
          <w:sz w:val="16"/>
        </w:rPr>
        <w:t> </w:t>
      </w:r>
      <w:r>
        <w:rPr>
          <w:rFonts w:ascii="Arial"/>
          <w:color w:val="231F20"/>
          <w:sz w:val="16"/>
        </w:rPr>
        <w:t>and</w:t>
      </w:r>
      <w:r>
        <w:rPr>
          <w:rFonts w:ascii="Arial"/>
          <w:color w:val="231F20"/>
          <w:spacing w:val="-25"/>
          <w:sz w:val="16"/>
        </w:rPr>
        <w:t> </w:t>
      </w:r>
      <w:r>
        <w:rPr>
          <w:rFonts w:ascii="Arial"/>
          <w:color w:val="231F20"/>
          <w:spacing w:val="-4"/>
          <w:sz w:val="16"/>
        </w:rPr>
        <w:t>after </w:t>
      </w:r>
      <w:r>
        <w:rPr>
          <w:rFonts w:ascii="Arial"/>
          <w:color w:val="231F20"/>
          <w:sz w:val="16"/>
        </w:rPr>
        <w:t>the aldosterone feedback had been blocked (</w:t>
      </w:r>
      <w:r>
        <w:rPr>
          <w:rFonts w:ascii="Lucida Sans"/>
          <w:i/>
          <w:color w:val="231F20"/>
          <w:sz w:val="16"/>
        </w:rPr>
        <w:t>blue line</w:t>
      </w:r>
      <w:r>
        <w:rPr>
          <w:rFonts w:ascii="Arial"/>
          <w:color w:val="231F20"/>
          <w:sz w:val="16"/>
        </w:rPr>
        <w:t>). Note that after blockade of the aldosterone system, regulation of </w:t>
      </w:r>
      <w:r>
        <w:rPr>
          <w:rFonts w:ascii="Arial"/>
          <w:color w:val="231F20"/>
          <w:spacing w:val="-3"/>
          <w:sz w:val="16"/>
        </w:rPr>
        <w:t>potassium </w:t>
      </w:r>
      <w:r>
        <w:rPr>
          <w:rFonts w:ascii="Arial"/>
          <w:color w:val="231F20"/>
          <w:w w:val="95"/>
          <w:sz w:val="16"/>
        </w:rPr>
        <w:t>concentration</w:t>
      </w:r>
      <w:r>
        <w:rPr>
          <w:rFonts w:ascii="Arial"/>
          <w:color w:val="231F20"/>
          <w:spacing w:val="-3"/>
          <w:w w:val="95"/>
          <w:sz w:val="16"/>
        </w:rPr>
        <w:t> </w:t>
      </w:r>
      <w:r>
        <w:rPr>
          <w:rFonts w:ascii="Arial"/>
          <w:color w:val="231F20"/>
          <w:w w:val="95"/>
          <w:sz w:val="16"/>
        </w:rPr>
        <w:t>was</w:t>
      </w:r>
      <w:r>
        <w:rPr>
          <w:rFonts w:ascii="Arial"/>
          <w:color w:val="231F20"/>
          <w:spacing w:val="-3"/>
          <w:w w:val="95"/>
          <w:sz w:val="16"/>
        </w:rPr>
        <w:t> </w:t>
      </w:r>
      <w:r>
        <w:rPr>
          <w:rFonts w:ascii="Arial"/>
          <w:color w:val="231F20"/>
          <w:w w:val="95"/>
          <w:sz w:val="16"/>
        </w:rPr>
        <w:t>greatly</w:t>
      </w:r>
      <w:r>
        <w:rPr>
          <w:rFonts w:ascii="Arial"/>
          <w:color w:val="231F20"/>
          <w:spacing w:val="-3"/>
          <w:w w:val="95"/>
          <w:sz w:val="16"/>
        </w:rPr>
        <w:t> </w:t>
      </w:r>
      <w:r>
        <w:rPr>
          <w:rFonts w:ascii="Arial"/>
          <w:color w:val="231F20"/>
          <w:w w:val="95"/>
          <w:sz w:val="16"/>
        </w:rPr>
        <w:t>impaired.</w:t>
      </w:r>
      <w:r>
        <w:rPr>
          <w:rFonts w:ascii="Arial"/>
          <w:color w:val="231F20"/>
          <w:spacing w:val="-3"/>
          <w:w w:val="95"/>
          <w:sz w:val="16"/>
        </w:rPr>
        <w:t> </w:t>
      </w:r>
      <w:r>
        <w:rPr>
          <w:rFonts w:ascii="Lucida Sans"/>
          <w:i/>
          <w:color w:val="231F20"/>
          <w:w w:val="95"/>
          <w:sz w:val="16"/>
        </w:rPr>
        <w:t>(Courtesy</w:t>
      </w:r>
      <w:r>
        <w:rPr>
          <w:rFonts w:ascii="Lucida Sans"/>
          <w:i/>
          <w:color w:val="231F20"/>
          <w:spacing w:val="-9"/>
          <w:w w:val="95"/>
          <w:sz w:val="16"/>
        </w:rPr>
        <w:t> </w:t>
      </w:r>
      <w:r>
        <w:rPr>
          <w:rFonts w:ascii="Lucida Sans"/>
          <w:i/>
          <w:color w:val="231F20"/>
          <w:spacing w:val="-5"/>
          <w:w w:val="95"/>
          <w:sz w:val="16"/>
        </w:rPr>
        <w:t>Dr.</w:t>
      </w:r>
      <w:r>
        <w:rPr>
          <w:rFonts w:ascii="Lucida Sans"/>
          <w:i/>
          <w:color w:val="231F20"/>
          <w:spacing w:val="-8"/>
          <w:w w:val="95"/>
          <w:sz w:val="16"/>
        </w:rPr>
        <w:t> </w:t>
      </w:r>
      <w:r>
        <w:rPr>
          <w:rFonts w:ascii="Lucida Sans"/>
          <w:i/>
          <w:color w:val="231F20"/>
          <w:w w:val="95"/>
          <w:sz w:val="16"/>
        </w:rPr>
        <w:t>David</w:t>
      </w:r>
      <w:r>
        <w:rPr>
          <w:rFonts w:ascii="Lucida Sans"/>
          <w:i/>
          <w:color w:val="231F20"/>
          <w:spacing w:val="-9"/>
          <w:w w:val="95"/>
          <w:sz w:val="16"/>
        </w:rPr>
        <w:t> </w:t>
      </w:r>
      <w:r>
        <w:rPr>
          <w:rFonts w:ascii="Lucida Sans"/>
          <w:i/>
          <w:color w:val="231F20"/>
          <w:w w:val="95"/>
          <w:sz w:val="16"/>
        </w:rPr>
        <w:t>B.</w:t>
      </w:r>
      <w:r>
        <w:rPr>
          <w:rFonts w:ascii="Lucida Sans"/>
          <w:i/>
          <w:color w:val="231F20"/>
          <w:spacing w:val="-9"/>
          <w:w w:val="95"/>
          <w:sz w:val="16"/>
        </w:rPr>
        <w:t> </w:t>
      </w:r>
      <w:r>
        <w:rPr>
          <w:rFonts w:ascii="Lucida Sans"/>
          <w:i/>
          <w:color w:val="231F20"/>
          <w:w w:val="95"/>
          <w:sz w:val="16"/>
        </w:rPr>
        <w:t>Young.)</w:t>
      </w:r>
    </w:p>
    <w:p>
      <w:pPr>
        <w:pStyle w:val="BodyText"/>
        <w:spacing w:before="10"/>
        <w:rPr>
          <w:rFonts w:ascii="Lucida Sans"/>
          <w:i/>
          <w:sz w:val="26"/>
        </w:rPr>
      </w:pPr>
    </w:p>
    <w:p>
      <w:pPr>
        <w:pStyle w:val="BodyText"/>
        <w:spacing w:line="249" w:lineRule="auto"/>
        <w:ind w:left="1080"/>
        <w:jc w:val="both"/>
      </w:pPr>
      <w:r>
        <w:rPr>
          <w:color w:val="231F20"/>
          <w:w w:val="105"/>
        </w:rPr>
        <w:t>removing the adrenal glands and placing the animals </w:t>
      </w:r>
      <w:r>
        <w:rPr>
          <w:color w:val="231F20"/>
          <w:spacing w:val="-8"/>
          <w:w w:val="105"/>
        </w:rPr>
        <w:t>on </w:t>
      </w:r>
      <w:r>
        <w:rPr>
          <w:color w:val="231F20"/>
          <w:w w:val="105"/>
        </w:rPr>
        <w:t>a fixed rate of aldosterone infusion so that plasma aldo- sterone concentration was maintained at a normal level but could neither increase nor decrease as potassium intake was altered.</w:t>
      </w:r>
    </w:p>
    <w:p>
      <w:pPr>
        <w:pStyle w:val="BodyText"/>
        <w:spacing w:line="249" w:lineRule="auto" w:before="4"/>
        <w:ind w:left="1080" w:firstLine="240"/>
        <w:jc w:val="both"/>
      </w:pPr>
      <w:r>
        <w:rPr>
          <w:color w:val="231F20"/>
          <w:w w:val="105"/>
        </w:rPr>
        <w:t>Note that in the normal animals, a sevenfold</w:t>
      </w:r>
      <w:r>
        <w:rPr>
          <w:color w:val="231F20"/>
          <w:spacing w:val="-37"/>
          <w:w w:val="105"/>
        </w:rPr>
        <w:t> </w:t>
      </w:r>
      <w:r>
        <w:rPr>
          <w:color w:val="231F20"/>
          <w:w w:val="105"/>
        </w:rPr>
        <w:t>increase in potassium intake caused only a slight increase in plasma</w:t>
      </w:r>
      <w:r>
        <w:rPr>
          <w:color w:val="231F20"/>
          <w:spacing w:val="-9"/>
          <w:w w:val="105"/>
        </w:rPr>
        <w:t> </w:t>
      </w:r>
      <w:r>
        <w:rPr>
          <w:color w:val="231F20"/>
          <w:w w:val="105"/>
        </w:rPr>
        <w:t>potassium</w:t>
      </w:r>
      <w:r>
        <w:rPr>
          <w:color w:val="231F20"/>
          <w:spacing w:val="-8"/>
          <w:w w:val="105"/>
        </w:rPr>
        <w:t> </w:t>
      </w:r>
      <w:r>
        <w:rPr>
          <w:color w:val="231F20"/>
          <w:w w:val="105"/>
        </w:rPr>
        <w:t>concentration,</w:t>
      </w:r>
      <w:r>
        <w:rPr>
          <w:color w:val="231F20"/>
          <w:spacing w:val="-8"/>
          <w:w w:val="105"/>
        </w:rPr>
        <w:t> </w:t>
      </w:r>
      <w:r>
        <w:rPr>
          <w:color w:val="231F20"/>
          <w:w w:val="105"/>
        </w:rPr>
        <w:t>from</w:t>
      </w:r>
      <w:r>
        <w:rPr>
          <w:color w:val="231F20"/>
          <w:spacing w:val="-8"/>
          <w:w w:val="105"/>
        </w:rPr>
        <w:t> </w:t>
      </w:r>
      <w:r>
        <w:rPr>
          <w:color w:val="231F20"/>
          <w:w w:val="105"/>
        </w:rPr>
        <w:t>4.2</w:t>
      </w:r>
      <w:r>
        <w:rPr>
          <w:color w:val="231F20"/>
          <w:spacing w:val="-9"/>
          <w:w w:val="105"/>
        </w:rPr>
        <w:t> </w:t>
      </w:r>
      <w:r>
        <w:rPr>
          <w:color w:val="231F20"/>
          <w:w w:val="105"/>
        </w:rPr>
        <w:t>to</w:t>
      </w:r>
      <w:r>
        <w:rPr>
          <w:color w:val="231F20"/>
          <w:spacing w:val="-8"/>
          <w:w w:val="105"/>
        </w:rPr>
        <w:t> </w:t>
      </w:r>
      <w:r>
        <w:rPr>
          <w:color w:val="231F20"/>
          <w:w w:val="105"/>
        </w:rPr>
        <w:t>4.3</w:t>
      </w:r>
      <w:r>
        <w:rPr>
          <w:color w:val="231F20"/>
          <w:spacing w:val="-9"/>
          <w:w w:val="105"/>
        </w:rPr>
        <w:t> </w:t>
      </w:r>
      <w:r>
        <w:rPr>
          <w:color w:val="231F20"/>
          <w:spacing w:val="-3"/>
          <w:w w:val="105"/>
        </w:rPr>
        <w:t>mEq/L. </w:t>
      </w:r>
      <w:r>
        <w:rPr>
          <w:color w:val="231F20"/>
          <w:w w:val="105"/>
        </w:rPr>
        <w:t>Thus,</w:t>
      </w:r>
      <w:r>
        <w:rPr>
          <w:color w:val="231F20"/>
          <w:spacing w:val="-15"/>
          <w:w w:val="105"/>
        </w:rPr>
        <w:t> </w:t>
      </w:r>
      <w:r>
        <w:rPr>
          <w:color w:val="231F20"/>
          <w:w w:val="105"/>
        </w:rPr>
        <w:t>when</w:t>
      </w:r>
      <w:r>
        <w:rPr>
          <w:color w:val="231F20"/>
          <w:spacing w:val="-15"/>
          <w:w w:val="105"/>
        </w:rPr>
        <w:t> </w:t>
      </w:r>
      <w:r>
        <w:rPr>
          <w:color w:val="231F20"/>
          <w:w w:val="105"/>
        </w:rPr>
        <w:t>the</w:t>
      </w:r>
      <w:r>
        <w:rPr>
          <w:color w:val="231F20"/>
          <w:spacing w:val="-15"/>
          <w:w w:val="105"/>
        </w:rPr>
        <w:t> </w:t>
      </w:r>
      <w:r>
        <w:rPr>
          <w:color w:val="231F20"/>
          <w:w w:val="105"/>
        </w:rPr>
        <w:t>aldosterone</w:t>
      </w:r>
      <w:r>
        <w:rPr>
          <w:color w:val="231F20"/>
          <w:spacing w:val="-15"/>
          <w:w w:val="105"/>
        </w:rPr>
        <w:t> </w:t>
      </w:r>
      <w:r>
        <w:rPr>
          <w:color w:val="231F20"/>
          <w:w w:val="105"/>
        </w:rPr>
        <w:t>feedback</w:t>
      </w:r>
      <w:r>
        <w:rPr>
          <w:color w:val="231F20"/>
          <w:spacing w:val="-14"/>
          <w:w w:val="105"/>
        </w:rPr>
        <w:t> </w:t>
      </w:r>
      <w:r>
        <w:rPr>
          <w:color w:val="231F20"/>
          <w:w w:val="105"/>
        </w:rPr>
        <w:t>system</w:t>
      </w:r>
      <w:r>
        <w:rPr>
          <w:color w:val="231F20"/>
          <w:spacing w:val="-15"/>
          <w:w w:val="105"/>
        </w:rPr>
        <w:t> </w:t>
      </w:r>
      <w:r>
        <w:rPr>
          <w:color w:val="231F20"/>
          <w:w w:val="105"/>
        </w:rPr>
        <w:t>is</w:t>
      </w:r>
      <w:r>
        <w:rPr>
          <w:color w:val="231F20"/>
          <w:spacing w:val="-15"/>
          <w:w w:val="105"/>
        </w:rPr>
        <w:t> </w:t>
      </w:r>
      <w:r>
        <w:rPr>
          <w:color w:val="231F20"/>
          <w:w w:val="105"/>
        </w:rPr>
        <w:t>function- ing normally, potassium concentration is precisely </w:t>
      </w:r>
      <w:r>
        <w:rPr>
          <w:color w:val="231F20"/>
          <w:spacing w:val="-5"/>
          <w:w w:val="105"/>
        </w:rPr>
        <w:t>con- </w:t>
      </w:r>
      <w:r>
        <w:rPr>
          <w:color w:val="231F20"/>
          <w:w w:val="105"/>
        </w:rPr>
        <w:t>trolled, despite large changes in potassium</w:t>
      </w:r>
      <w:r>
        <w:rPr>
          <w:color w:val="231F20"/>
          <w:spacing w:val="-19"/>
          <w:w w:val="105"/>
        </w:rPr>
        <w:t> </w:t>
      </w:r>
      <w:r>
        <w:rPr>
          <w:color w:val="231F20"/>
          <w:w w:val="105"/>
        </w:rPr>
        <w:t>intake.</w:t>
      </w:r>
    </w:p>
    <w:p>
      <w:pPr>
        <w:pStyle w:val="BodyText"/>
        <w:spacing w:line="249" w:lineRule="auto" w:before="5"/>
        <w:ind w:left="1080" w:firstLine="240"/>
        <w:jc w:val="both"/>
      </w:pPr>
      <w:r>
        <w:rPr>
          <w:color w:val="231F20"/>
          <w:w w:val="105"/>
        </w:rPr>
        <w:t>When the aldosterone feedback system was blocked, the same increases in potassium intake caused a </w:t>
      </w:r>
      <w:r>
        <w:rPr>
          <w:color w:val="231F20"/>
          <w:spacing w:val="-4"/>
          <w:w w:val="105"/>
        </w:rPr>
        <w:t>much </w:t>
      </w:r>
      <w:r>
        <w:rPr>
          <w:color w:val="231F20"/>
          <w:w w:val="105"/>
        </w:rPr>
        <w:t>larger increase in plasma potassium concentration,</w:t>
      </w:r>
      <w:r>
        <w:rPr>
          <w:color w:val="231F20"/>
          <w:spacing w:val="-34"/>
          <w:w w:val="105"/>
        </w:rPr>
        <w:t> </w:t>
      </w:r>
      <w:r>
        <w:rPr>
          <w:color w:val="231F20"/>
          <w:w w:val="105"/>
        </w:rPr>
        <w:t>from</w:t>
      </w:r>
    </w:p>
    <w:p>
      <w:pPr>
        <w:pStyle w:val="BodyText"/>
        <w:spacing w:line="249" w:lineRule="auto"/>
        <w:ind w:left="319" w:right="1437"/>
        <w:jc w:val="both"/>
      </w:pPr>
      <w:r>
        <w:rPr/>
        <w:br w:type="column"/>
      </w:r>
      <w:r>
        <w:rPr>
          <w:color w:val="231F20"/>
        </w:rPr>
        <w:t>treatment with some diuretics, stimulates potassium secretion (</w:t>
      </w:r>
      <w:hyperlink w:history="true" w:anchor="_bookmark90">
        <w:r>
          <w:rPr>
            <w:rFonts w:ascii="Cambria"/>
            <w:b/>
            <w:color w:val="0080AC"/>
          </w:rPr>
          <w:t>Figure 30-9</w:t>
        </w:r>
      </w:hyperlink>
      <w:r>
        <w:rPr>
          <w:color w:val="231F20"/>
        </w:rPr>
        <w:t>). Conversely, a decrease in distal tubular flow rate, as caused by sodium depletion, reduces potassium secretion.</w:t>
      </w:r>
    </w:p>
    <w:p>
      <w:pPr>
        <w:pStyle w:val="BodyText"/>
        <w:spacing w:line="249" w:lineRule="auto"/>
        <w:ind w:left="319" w:right="1437" w:firstLine="240"/>
        <w:jc w:val="both"/>
      </w:pPr>
      <w:r>
        <w:rPr>
          <w:color w:val="231F20"/>
        </w:rPr>
        <w:t>The effect of tubular flow rate on potassium secretion in the distal and collecting tubules is strongly influenced by potassium intake. When potassium intake is </w:t>
      </w:r>
      <w:r>
        <w:rPr>
          <w:color w:val="231F20"/>
          <w:spacing w:val="-3"/>
        </w:rPr>
        <w:t>high, </w:t>
      </w:r>
      <w:r>
        <w:rPr>
          <w:color w:val="231F20"/>
        </w:rPr>
        <w:t>increased tubular flow rate has a much greater effect to stimulate potassium secretion than when potassium  intake is low (see </w:t>
      </w:r>
      <w:hyperlink w:history="true" w:anchor="_bookmark90">
        <w:r>
          <w:rPr>
            <w:rFonts w:ascii="Cambria"/>
            <w:b/>
            <w:color w:val="0080AC"/>
          </w:rPr>
          <w:t>Figure</w:t>
        </w:r>
        <w:r>
          <w:rPr>
            <w:rFonts w:ascii="Cambria"/>
            <w:b/>
            <w:color w:val="0080AC"/>
            <w:spacing w:val="28"/>
          </w:rPr>
          <w:t> </w:t>
        </w:r>
        <w:r>
          <w:rPr>
            <w:rFonts w:ascii="Cambria"/>
            <w:b/>
            <w:color w:val="0080AC"/>
          </w:rPr>
          <w:t>30-9</w:t>
        </w:r>
      </w:hyperlink>
      <w:r>
        <w:rPr>
          <w:color w:val="231F20"/>
        </w:rPr>
        <w:t>).</w:t>
      </w:r>
    </w:p>
    <w:p>
      <w:pPr>
        <w:pStyle w:val="BodyText"/>
        <w:spacing w:line="249" w:lineRule="auto"/>
        <w:ind w:left="319" w:right="1437" w:firstLine="240"/>
        <w:jc w:val="both"/>
      </w:pPr>
      <w:r>
        <w:rPr>
          <w:color w:val="231F20"/>
        </w:rPr>
        <w:t>There are two effects of high-volume flow rate that increase potassium secretion:</w:t>
      </w:r>
    </w:p>
    <w:p>
      <w:pPr>
        <w:pStyle w:val="ListParagraph"/>
        <w:numPr>
          <w:ilvl w:val="0"/>
          <w:numId w:val="24"/>
        </w:numPr>
        <w:tabs>
          <w:tab w:pos="802" w:val="left" w:leader="none"/>
        </w:tabs>
        <w:spacing w:line="249" w:lineRule="auto" w:before="0" w:after="0"/>
        <w:ind w:left="801" w:right="1437" w:hanging="243"/>
        <w:jc w:val="both"/>
        <w:rPr>
          <w:sz w:val="20"/>
        </w:rPr>
      </w:pPr>
      <w:r>
        <w:rPr>
          <w:color w:val="231F20"/>
          <w:w w:val="105"/>
          <w:sz w:val="20"/>
        </w:rPr>
        <w:t>When potassium is secreted into the tubular fluid, the luminal concentration of potassium increases, thereby reducing the driving force for potassium diffusion across the luminal membrane. </w:t>
      </w:r>
      <w:r>
        <w:rPr>
          <w:color w:val="231F20"/>
          <w:spacing w:val="-3"/>
          <w:w w:val="105"/>
          <w:sz w:val="20"/>
        </w:rPr>
        <w:t>With </w:t>
      </w:r>
      <w:r>
        <w:rPr>
          <w:color w:val="231F20"/>
          <w:spacing w:val="-5"/>
          <w:w w:val="105"/>
          <w:sz w:val="20"/>
        </w:rPr>
        <w:t>in- </w:t>
      </w:r>
      <w:r>
        <w:rPr>
          <w:color w:val="231F20"/>
          <w:w w:val="105"/>
          <w:sz w:val="20"/>
        </w:rPr>
        <w:t>creased</w:t>
      </w:r>
      <w:r>
        <w:rPr>
          <w:color w:val="231F20"/>
          <w:spacing w:val="-14"/>
          <w:w w:val="105"/>
          <w:sz w:val="20"/>
        </w:rPr>
        <w:t> </w:t>
      </w:r>
      <w:r>
        <w:rPr>
          <w:color w:val="231F20"/>
          <w:w w:val="105"/>
          <w:sz w:val="20"/>
        </w:rPr>
        <w:t>tubular</w:t>
      </w:r>
      <w:r>
        <w:rPr>
          <w:color w:val="231F20"/>
          <w:spacing w:val="-13"/>
          <w:w w:val="105"/>
          <w:sz w:val="20"/>
        </w:rPr>
        <w:t> </w:t>
      </w:r>
      <w:r>
        <w:rPr>
          <w:color w:val="231F20"/>
          <w:w w:val="105"/>
          <w:sz w:val="20"/>
        </w:rPr>
        <w:t>flow</w:t>
      </w:r>
      <w:r>
        <w:rPr>
          <w:color w:val="231F20"/>
          <w:spacing w:val="-13"/>
          <w:w w:val="105"/>
          <w:sz w:val="20"/>
        </w:rPr>
        <w:t> </w:t>
      </w:r>
      <w:r>
        <w:rPr>
          <w:color w:val="231F20"/>
          <w:w w:val="105"/>
          <w:sz w:val="20"/>
        </w:rPr>
        <w:t>rate,</w:t>
      </w:r>
      <w:r>
        <w:rPr>
          <w:color w:val="231F20"/>
          <w:spacing w:val="-13"/>
          <w:w w:val="105"/>
          <w:sz w:val="20"/>
        </w:rPr>
        <w:t> </w:t>
      </w:r>
      <w:r>
        <w:rPr>
          <w:color w:val="231F20"/>
          <w:w w:val="105"/>
          <w:sz w:val="20"/>
        </w:rPr>
        <w:t>the</w:t>
      </w:r>
      <w:r>
        <w:rPr>
          <w:color w:val="231F20"/>
          <w:spacing w:val="-13"/>
          <w:w w:val="105"/>
          <w:sz w:val="20"/>
        </w:rPr>
        <w:t> </w:t>
      </w:r>
      <w:r>
        <w:rPr>
          <w:color w:val="231F20"/>
          <w:w w:val="105"/>
          <w:sz w:val="20"/>
        </w:rPr>
        <w:t>secreted</w:t>
      </w:r>
      <w:r>
        <w:rPr>
          <w:color w:val="231F20"/>
          <w:spacing w:val="-13"/>
          <w:w w:val="105"/>
          <w:sz w:val="20"/>
        </w:rPr>
        <w:t> </w:t>
      </w:r>
      <w:r>
        <w:rPr>
          <w:color w:val="231F20"/>
          <w:w w:val="105"/>
          <w:sz w:val="20"/>
        </w:rPr>
        <w:t>potassium</w:t>
      </w:r>
      <w:r>
        <w:rPr>
          <w:color w:val="231F20"/>
          <w:spacing w:val="-13"/>
          <w:w w:val="105"/>
          <w:sz w:val="20"/>
        </w:rPr>
        <w:t> </w:t>
      </w:r>
      <w:r>
        <w:rPr>
          <w:color w:val="231F20"/>
          <w:w w:val="105"/>
          <w:sz w:val="20"/>
        </w:rPr>
        <w:t>is continuously</w:t>
      </w:r>
      <w:r>
        <w:rPr>
          <w:color w:val="231F20"/>
          <w:spacing w:val="-18"/>
          <w:w w:val="105"/>
          <w:sz w:val="20"/>
        </w:rPr>
        <w:t> </w:t>
      </w:r>
      <w:r>
        <w:rPr>
          <w:color w:val="231F20"/>
          <w:w w:val="105"/>
          <w:sz w:val="20"/>
        </w:rPr>
        <w:t>flushed</w:t>
      </w:r>
      <w:r>
        <w:rPr>
          <w:color w:val="231F20"/>
          <w:spacing w:val="-18"/>
          <w:w w:val="105"/>
          <w:sz w:val="20"/>
        </w:rPr>
        <w:t> </w:t>
      </w:r>
      <w:r>
        <w:rPr>
          <w:color w:val="231F20"/>
          <w:w w:val="105"/>
          <w:sz w:val="20"/>
        </w:rPr>
        <w:t>down</w:t>
      </w:r>
      <w:r>
        <w:rPr>
          <w:color w:val="231F20"/>
          <w:spacing w:val="-18"/>
          <w:w w:val="105"/>
          <w:sz w:val="20"/>
        </w:rPr>
        <w:t> </w:t>
      </w:r>
      <w:r>
        <w:rPr>
          <w:color w:val="231F20"/>
          <w:w w:val="105"/>
          <w:sz w:val="20"/>
        </w:rPr>
        <w:t>the</w:t>
      </w:r>
      <w:r>
        <w:rPr>
          <w:color w:val="231F20"/>
          <w:spacing w:val="-17"/>
          <w:w w:val="105"/>
          <w:sz w:val="20"/>
        </w:rPr>
        <w:t> </w:t>
      </w:r>
      <w:r>
        <w:rPr>
          <w:color w:val="231F20"/>
          <w:w w:val="105"/>
          <w:sz w:val="20"/>
        </w:rPr>
        <w:t>tubule,</w:t>
      </w:r>
      <w:r>
        <w:rPr>
          <w:color w:val="231F20"/>
          <w:spacing w:val="-18"/>
          <w:w w:val="105"/>
          <w:sz w:val="20"/>
        </w:rPr>
        <w:t> </w:t>
      </w:r>
      <w:r>
        <w:rPr>
          <w:color w:val="231F20"/>
          <w:w w:val="105"/>
          <w:sz w:val="20"/>
        </w:rPr>
        <w:t>so</w:t>
      </w:r>
      <w:r>
        <w:rPr>
          <w:color w:val="231F20"/>
          <w:spacing w:val="-18"/>
          <w:w w:val="105"/>
          <w:sz w:val="20"/>
        </w:rPr>
        <w:t> </w:t>
      </w:r>
      <w:r>
        <w:rPr>
          <w:color w:val="231F20"/>
          <w:w w:val="105"/>
          <w:sz w:val="20"/>
        </w:rPr>
        <w:t>the</w:t>
      </w:r>
      <w:r>
        <w:rPr>
          <w:color w:val="231F20"/>
          <w:spacing w:val="-18"/>
          <w:w w:val="105"/>
          <w:sz w:val="20"/>
        </w:rPr>
        <w:t> </w:t>
      </w:r>
      <w:r>
        <w:rPr>
          <w:color w:val="231F20"/>
          <w:w w:val="105"/>
          <w:sz w:val="20"/>
        </w:rPr>
        <w:t>rise</w:t>
      </w:r>
      <w:r>
        <w:rPr>
          <w:color w:val="231F20"/>
          <w:spacing w:val="-17"/>
          <w:w w:val="105"/>
          <w:sz w:val="20"/>
        </w:rPr>
        <w:t> </w:t>
      </w:r>
      <w:r>
        <w:rPr>
          <w:color w:val="231F20"/>
          <w:w w:val="105"/>
          <w:sz w:val="20"/>
        </w:rPr>
        <w:t>in tubular potassium concentration becomes mini- mized and net potassium secretion is</w:t>
      </w:r>
      <w:r>
        <w:rPr>
          <w:color w:val="231F20"/>
          <w:spacing w:val="-3"/>
          <w:w w:val="105"/>
          <w:sz w:val="20"/>
        </w:rPr>
        <w:t> </w:t>
      </w:r>
      <w:r>
        <w:rPr>
          <w:color w:val="231F20"/>
          <w:w w:val="105"/>
          <w:sz w:val="20"/>
        </w:rPr>
        <w:t>increased.</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879"/>
          <w:pgSz w:w="12240" w:h="15660"/>
          <w:pgMar w:header="0" w:footer="567" w:top="0" w:bottom="760" w:left="0" w:right="0"/>
        </w:sectPr>
      </w:pPr>
    </w:p>
    <w:p>
      <w:pPr>
        <w:pStyle w:val="BodyText"/>
        <w:spacing w:before="1"/>
        <w:rPr>
          <w:sz w:val="12"/>
        </w:rPr>
      </w:pPr>
    </w:p>
    <w:p>
      <w:pPr>
        <w:pStyle w:val="BodyText"/>
        <w:ind w:left="1440" w:right="-58"/>
      </w:pPr>
      <w:r>
        <w:rPr/>
        <w:pict>
          <v:group style="width:234.2pt;height:197.5pt;mso-position-horizontal-relative:char;mso-position-vertical-relative:line" coordorigin="0,0" coordsize="4684,3950">
            <v:rect style="position:absolute;left:1461;top:2861;width:2054;height:680" filled="true" fillcolor="#95aac4" stroked="false">
              <v:fill type="solid"/>
            </v:rect>
            <v:rect style="position:absolute;left:1401;top:2801;width:2054;height:680" filled="true" fillcolor="#d4e5f3" stroked="false">
              <v:fill type="solid"/>
            </v:rect>
            <v:shape style="position:absolute;left:1217;top:3079;width:185;height:120" type="#_x0000_t75" stroked="false">
              <v:imagedata r:id="rId880" o:title=""/>
            </v:shape>
            <v:shape style="position:absolute;left:2016;top:727;width:120;height:185" type="#_x0000_t75" stroked="false">
              <v:imagedata r:id="rId881" o:title=""/>
            </v:shape>
            <v:rect style="position:absolute;left:1208;top:60;width:1854;height:380" filled="true" fillcolor="#95aac4" stroked="false">
              <v:fill type="solid"/>
            </v:rect>
            <v:rect style="position:absolute;left:1148;top:0;width:1854;height:380" filled="true" fillcolor="#d4e5f3" stroked="false">
              <v:fill type="solid"/>
            </v:rect>
            <v:line style="position:absolute" from="2075,380" to="2075,833" stroked="true" strokeweight="1.5pt" strokecolor="#ed1c24">
              <v:stroke dashstyle="solid"/>
            </v:line>
            <v:shape style="position:absolute;left:1611;top:70;width:90;height:139" coordorigin="1611,71" coordsize="90,139" path="m1656,71l1640,141,1611,208,1612,209,1656,184,1691,184,1672,141,1656,71xm1691,184l1656,184,1700,209,1701,208,1691,184xe" filled="true" fillcolor="#231f20" stroked="false">
              <v:path arrowok="t"/>
              <v:fill type="solid"/>
            </v:shape>
            <v:line style="position:absolute" from="1656,329" to="1656,137" stroked="true" strokeweight=".75pt" strokecolor="#231f20">
              <v:stroke dashstyle="solid"/>
            </v:line>
            <v:shape style="position:absolute;left:687;top:727;width:120;height:185" type="#_x0000_t75" stroked="false">
              <v:imagedata r:id="rId882" o:title=""/>
            </v:shape>
            <v:rect style="position:absolute;left:60;top:974;width:1494;height:380" filled="true" fillcolor="#95aac4" stroked="false">
              <v:fill type="solid"/>
            </v:rect>
            <v:rect style="position:absolute;left:0;top:914;width:1494;height:380" filled="true" fillcolor="#d4e5f3" stroked="false">
              <v:fill type="solid"/>
            </v:rect>
            <v:shape style="position:absolute;left:262;top:1093;width:90;height:139" coordorigin="263,1094" coordsize="90,139" path="m263,1094l263,1095,291,1162,307,1232,324,1162,342,1119,308,1119,263,1094xm352,1094l308,1119,342,1119,352,1095,352,1094xe" filled="true" fillcolor="#231f20" stroked="false">
              <v:path arrowok="t"/>
              <v:fill type="solid"/>
            </v:shape>
            <v:line style="position:absolute" from="307,974" to="307,1166" stroked="true" strokeweight=".75pt" strokecolor="#231f20">
              <v:stroke dashstyle="solid"/>
            </v:line>
            <v:shape style="position:absolute;left:746;top:1353;width:522;height:1789" coordorigin="747,1353" coordsize="522,1789" path="m747,1353l747,3142,1268,3142e" filled="false" stroked="true" strokeweight="1.5pt" strokecolor="#ed1c24">
              <v:path arrowok="t"/>
              <v:stroke dashstyle="solid"/>
            </v:shape>
            <v:rect style="position:absolute;left:1800;top:974;width:674;height:380" filled="true" fillcolor="#95aac4" stroked="false">
              <v:fill type="solid"/>
            </v:rect>
            <v:rect style="position:absolute;left:1740;top:914;width:674;height:380" filled="true" fillcolor="#d4e5f3" stroked="false">
              <v:fill type="solid"/>
            </v:rect>
            <v:shape style="position:absolute;left:1822;top:985;width:90;height:139" coordorigin="1823,985" coordsize="90,139" path="m1867,985l1851,1055,1823,1122,1824,1124,1868,1099,1903,1099,1884,1055,1867,985xm1903,1099l1868,1099,1912,1123,1913,1122,1903,1099xe" filled="true" fillcolor="#231f20" stroked="false">
              <v:path arrowok="t"/>
              <v:fill type="solid"/>
            </v:shape>
            <v:line style="position:absolute" from="1867,1243" to="1867,1052" stroked="true" strokeweight=".75pt" strokecolor="#231f20">
              <v:stroke dashstyle="solid"/>
            </v:line>
            <v:shape style="position:absolute;left:2301;top:2016;width:185;height:120" type="#_x0000_t75" stroked="false">
              <v:imagedata r:id="rId883" o:title=""/>
            </v:shape>
            <v:shape style="position:absolute;left:2071;top:1294;width:302;height:782" coordorigin="2072,1294" coordsize="302,782" path="m2072,1294l2072,2076,2374,2076e" filled="false" stroked="true" strokeweight="1.5pt" strokecolor="#ed1c24">
              <v:path arrowok="t"/>
              <v:stroke dashstyle="solid"/>
            </v:shape>
            <v:shape style="position:absolute;left:2368;top:3765;width:120;height:185" coordorigin="2369,3765" coordsize="120,185" path="m2370,3765l2369,3767,2407,3856,2428,3950,2450,3856,2475,3799,2429,3799,2370,3765xm2487,3765l2429,3799,2475,3799,2489,3767,2487,3765xe" filled="true" fillcolor="#f0535f" stroked="false">
              <v:path arrowok="t"/>
              <v:fill type="solid"/>
            </v:shape>
            <v:line style="position:absolute" from="2428,3480" to="2428,3871" stroked="true" strokeweight="1.5pt" strokecolor="#ed1c24">
              <v:stroke dashstyle="solid"/>
            </v:line>
            <v:rect style="position:absolute;left:2544;top:1886;width:1614;height:500" filled="true" fillcolor="#95aac4" stroked="false">
              <v:fill type="solid"/>
            </v:rect>
            <v:shape style="position:absolute;left:4095;top:2016;width:185;height:120" type="#_x0000_t75" stroked="false">
              <v:imagedata r:id="rId884" o:title=""/>
            </v:shape>
            <v:shape style="position:absolute;left:4208;top:1353;width:302;height:723" coordorigin="4208,1353" coordsize="302,723" path="m4510,1353l4510,2076,4208,2076e" filled="false" stroked="true" strokeweight="1.5pt" strokecolor="#ed1c24">
              <v:path arrowok="t"/>
              <v:stroke dashstyle="solid"/>
            </v:shape>
            <v:shape style="position:absolute;left:3467;top:3081;width:185;height:120" type="#_x0000_t75" stroked="false">
              <v:imagedata r:id="rId885" o:title=""/>
            </v:shape>
            <v:shape style="position:absolute;left:3580;top:2326;width:302;height:815" coordorigin="3580,2327" coordsize="302,815" path="m3882,2327l3882,3141,3580,3141e" filled="false" stroked="true" strokeweight="1.5pt" strokecolor="#ed1c24">
              <v:path arrowok="t"/>
              <v:stroke dashstyle="solid"/>
            </v:shape>
            <v:rect style="position:absolute;left:2484;top:1826;width:1614;height:500" filled="true" fillcolor="#d4e5f3" stroked="false">
              <v:fill type="solid"/>
            </v:rect>
            <v:shape style="position:absolute;left:2729;top:1935;width:90;height:139" coordorigin="2730,1935" coordsize="90,139" path="m2774,1935l2758,2005,2730,2072,2731,2073,2775,2048,2810,2048,2791,2005,2774,1935xm2810,2048l2775,2048,2819,2073,2820,2072,2810,2048xe" filled="true" fillcolor="#231f20" stroked="false">
              <v:path arrowok="t"/>
              <v:fill type="solid"/>
            </v:shape>
            <v:line style="position:absolute" from="2774,2193" to="2774,2001" stroked="true" strokeweight=".75pt" strokecolor="#231f20">
              <v:stroke dashstyle="solid"/>
            </v:line>
            <v:shape style="position:absolute;left:3571;top:582;width:120;height:185" type="#_x0000_t75" stroked="false">
              <v:imagedata r:id="rId877" o:title=""/>
            </v:shape>
            <v:rect style="position:absolute;left:2726;top:823;width:1958;height:680" filled="true" fillcolor="#95aac4" stroked="false">
              <v:fill type="solid"/>
            </v:rect>
            <v:rect style="position:absolute;left:2666;top:763;width:1958;height:680" filled="true" fillcolor="#d4e5f3" stroked="false">
              <v:fill type="solid"/>
            </v:rect>
            <v:shape style="position:absolute;left:3113;top:1134;width:90;height:139" coordorigin="3113,1134" coordsize="90,139" path="m3114,1134l3113,1136,3142,1203,3158,1273,3175,1203,3193,1160,3158,1160,3114,1134xm3202,1135l3158,1160,3193,1160,3203,1136,3202,1135xe" filled="true" fillcolor="#231f20" stroked="false">
              <v:path arrowok="t"/>
              <v:fill type="solid"/>
            </v:shape>
            <v:line style="position:absolute" from="3158,1015" to="3158,1207" stroked="true" strokeweight=".75pt" strokecolor="#231f20">
              <v:stroke dashstyle="solid"/>
            </v:line>
            <v:shape style="position:absolute;left:746;top:189;width:402;height:641" coordorigin="747,190" coordsize="402,641" path="m747,830l747,190,1148,190e" filled="false" stroked="true" strokeweight="1.5pt" strokecolor="#ed1c24">
              <v:path arrowok="t"/>
              <v:stroke dashstyle="solid"/>
            </v:shape>
            <v:shape style="position:absolute;left:3002;top:189;width:629;height:443" coordorigin="3002,190" coordsize="629,443" path="m3002,190l3631,190,3631,632e" filled="false" stroked="true" strokeweight="1.5pt" strokecolor="#ed1c24">
              <v:path arrowok="t"/>
              <v:stroke dashstyle="solid"/>
            </v:shape>
            <v:shape style="position:absolute;left:936;top:2849;width:223;height:223" type="#_x0000_t75" stroked="false">
              <v:imagedata r:id="rId886" o:title=""/>
            </v:shape>
            <v:shape style="position:absolute;left:3609;top:2849;width:223;height:223" type="#_x0000_t75" stroked="false">
              <v:imagedata r:id="rId887" o:title=""/>
            </v:shape>
            <v:shape style="position:absolute;left:403;top:1027;width:8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Aldosterone</w:t>
                    </w:r>
                  </w:p>
                </w:txbxContent>
              </v:textbox>
              <w10:wrap type="none"/>
            </v:shape>
            <v:shape style="position:absolute;left:1961;top:1027;width:35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GFR</w:t>
                    </w:r>
                  </w:p>
                </w:txbxContent>
              </v:textbox>
              <w10:wrap type="none"/>
            </v:shape>
            <v:shape style="position:absolute;left:2927;top:1899;width:954;height:365" type="#_x0000_t202" filled="false" stroked="false">
              <v:textbox inset="0,0,0,0">
                <w:txbxContent>
                  <w:p>
                    <w:pPr>
                      <w:spacing w:line="235" w:lineRule="auto" w:before="2"/>
                      <w:ind w:left="164" w:right="1" w:hanging="165"/>
                      <w:jc w:val="left"/>
                      <w:rPr>
                        <w:rFonts w:ascii="Helvetica"/>
                        <w:sz w:val="16"/>
                      </w:rPr>
                    </w:pPr>
                    <w:r>
                      <w:rPr>
                        <w:rFonts w:ascii="Helvetica"/>
                        <w:color w:val="231F20"/>
                        <w:sz w:val="16"/>
                      </w:rPr>
                      <w:t>Distal tubular flow rate</w:t>
                    </w:r>
                  </w:p>
                </w:txbxContent>
              </v:textbox>
              <w10:wrap type="none"/>
            </v:shape>
            <v:shape style="position:absolute;left:994;top:2795;width:130;height:261" type="#_x0000_t202" filled="false" stroked="false">
              <v:textbox inset="0,0,0,0">
                <w:txbxContent>
                  <w:p>
                    <w:pPr>
                      <w:spacing w:before="1"/>
                      <w:ind w:left="0" w:right="0" w:firstLine="0"/>
                      <w:jc w:val="left"/>
                      <w:rPr>
                        <w:rFonts w:ascii="Symbol" w:hAnsi="Symbol"/>
                        <w:sz w:val="20"/>
                      </w:rPr>
                    </w:pPr>
                    <w:r>
                      <w:rPr>
                        <w:rFonts w:ascii="Symbol" w:hAnsi="Symbol"/>
                        <w:color w:val="231F20"/>
                        <w:w w:val="100"/>
                        <w:sz w:val="20"/>
                      </w:rPr>
                      <w:t></w:t>
                    </w:r>
                  </w:p>
                </w:txbxContent>
              </v:textbox>
              <w10:wrap type="none"/>
            </v:shape>
            <v:shape style="position:absolute;left:3657;top:2775;width:152;height:313" type="#_x0000_t202" filled="false" stroked="false">
              <v:textbox inset="0,0,0,0">
                <w:txbxContent>
                  <w:p>
                    <w:pPr>
                      <w:spacing w:before="1"/>
                      <w:ind w:left="0" w:right="0" w:firstLine="0"/>
                      <w:jc w:val="left"/>
                      <w:rPr>
                        <w:rFonts w:ascii="Symbol" w:hAnsi="Symbol"/>
                        <w:sz w:val="24"/>
                      </w:rPr>
                    </w:pPr>
                    <w:r>
                      <w:rPr>
                        <w:rFonts w:ascii="Symbol" w:hAnsi="Symbol"/>
                        <w:color w:val="231F20"/>
                        <w:w w:val="100"/>
                        <w:sz w:val="24"/>
                      </w:rPr>
                      <w:t></w:t>
                    </w:r>
                  </w:p>
                </w:txbxContent>
              </v:textbox>
              <w10:wrap type="none"/>
            </v:shape>
            <v:shape style="position:absolute;left:1461;top:2861;width:2054;height:680" type="#_x0000_t202" filled="false" stroked="false">
              <v:textbox inset="0,0,0,0">
                <w:txbxContent>
                  <w:p>
                    <w:pPr>
                      <w:spacing w:line="235" w:lineRule="auto" w:before="0"/>
                      <w:ind w:left="343" w:right="454" w:firstLine="0"/>
                      <w:jc w:val="center"/>
                      <w:rPr>
                        <w:rFonts w:ascii="Helvetica" w:hAnsi="Helvetica"/>
                        <w:sz w:val="16"/>
                      </w:rPr>
                    </w:pPr>
                    <w:r>
                      <w:rPr>
                        <w:rFonts w:ascii="Helvetica" w:hAnsi="Helvetica"/>
                        <w:color w:val="231F20"/>
                        <w:sz w:val="16"/>
                      </w:rPr>
                      <w:t>K</w:t>
                    </w:r>
                    <w:r>
                      <w:rPr>
                        <w:rFonts w:ascii="Symbol" w:hAnsi="Symbol"/>
                        <w:color w:val="231F20"/>
                        <w:position w:val="5"/>
                        <w:sz w:val="12"/>
                      </w:rPr>
                      <w:t></w:t>
                    </w:r>
                    <w:r>
                      <w:rPr>
                        <w:color w:val="231F20"/>
                        <w:position w:val="5"/>
                        <w:sz w:val="12"/>
                      </w:rPr>
                      <w:t> </w:t>
                    </w:r>
                    <w:r>
                      <w:rPr>
                        <w:rFonts w:ascii="Helvetica" w:hAnsi="Helvetica"/>
                        <w:color w:val="231F20"/>
                        <w:sz w:val="16"/>
                      </w:rPr>
                      <w:t>secretion Cortical collecting ducts</w:t>
                    </w:r>
                  </w:p>
                </w:txbxContent>
              </v:textbox>
              <w10:wrap type="none"/>
            </v:shape>
          </v:group>
        </w:pict>
      </w:r>
      <w:r>
        <w:rPr/>
      </w:r>
    </w:p>
    <w:p>
      <w:pPr>
        <w:pStyle w:val="BodyText"/>
        <w:rPr>
          <w:sz w:val="3"/>
        </w:rPr>
      </w:pPr>
    </w:p>
    <w:p>
      <w:pPr>
        <w:pStyle w:val="BodyText"/>
        <w:ind w:left="3101"/>
      </w:pPr>
      <w:r>
        <w:rPr/>
        <w:pict>
          <v:shape style="width:82.7pt;height:25pt;mso-position-horizontal-relative:char;mso-position-vertical-relative:line" type="#_x0000_t202" filled="true" fillcolor="#d4e5f3" stroked="false">
            <w10:anchorlock/>
            <v:textbox inset="0,0,0,0">
              <w:txbxContent>
                <w:p>
                  <w:pPr>
                    <w:spacing w:line="235" w:lineRule="auto" w:before="0"/>
                    <w:ind w:left="445" w:right="347" w:hanging="194"/>
                    <w:jc w:val="left"/>
                    <w:rPr>
                      <w:rFonts w:ascii="Helvetica" w:hAnsi="Helvetica"/>
                      <w:sz w:val="16"/>
                    </w:rPr>
                  </w:pPr>
                  <w:r>
                    <w:rPr>
                      <w:rFonts w:ascii="Helvetica" w:hAnsi="Helvetica"/>
                      <w:color w:val="231F20"/>
                      <w:sz w:val="16"/>
                    </w:rPr>
                    <w:t>Unchanged K</w:t>
                  </w:r>
                  <w:r>
                    <w:rPr>
                      <w:rFonts w:ascii="Symbol" w:hAnsi="Symbol"/>
                      <w:color w:val="231F20"/>
                      <w:position w:val="5"/>
                      <w:sz w:val="12"/>
                    </w:rPr>
                    <w:t></w:t>
                  </w:r>
                  <w:r>
                    <w:rPr>
                      <w:color w:val="231F20"/>
                      <w:position w:val="5"/>
                      <w:sz w:val="12"/>
                    </w:rPr>
                    <w:t> </w:t>
                  </w:r>
                  <w:r>
                    <w:rPr>
                      <w:rFonts w:ascii="Helvetica" w:hAnsi="Helvetica"/>
                      <w:color w:val="231F20"/>
                      <w:sz w:val="16"/>
                    </w:rPr>
                    <w:t>excretion</w:t>
                  </w:r>
                </w:p>
              </w:txbxContent>
            </v:textbox>
            <v:fill type="solid"/>
          </v:shape>
        </w:pict>
      </w:r>
      <w:r>
        <w:rPr/>
      </w:r>
    </w:p>
    <w:p>
      <w:pPr>
        <w:spacing w:line="261" w:lineRule="auto" w:before="64"/>
        <w:ind w:left="1441" w:right="0" w:firstLine="0"/>
        <w:jc w:val="both"/>
        <w:rPr>
          <w:rFonts w:ascii="Arial" w:hAnsi="Arial"/>
          <w:sz w:val="16"/>
        </w:rPr>
      </w:pPr>
      <w:bookmarkStart w:name="_bookmark92" w:id="93"/>
      <w:bookmarkEnd w:id="93"/>
      <w:r>
        <w:rPr/>
      </w:r>
      <w:r>
        <w:rPr>
          <w:rFonts w:ascii="Trebuchet MS" w:hAnsi="Trebuchet MS"/>
          <w:b/>
          <w:color w:val="231F20"/>
          <w:sz w:val="16"/>
        </w:rPr>
        <w:t>Figure 30-10. </w:t>
      </w:r>
      <w:r>
        <w:rPr>
          <w:rFonts w:ascii="Arial" w:hAnsi="Arial"/>
          <w:color w:val="231F20"/>
          <w:sz w:val="16"/>
        </w:rPr>
        <w:t>Effect of high sodium intake on renal excretion </w:t>
      </w:r>
      <w:r>
        <w:rPr>
          <w:rFonts w:ascii="Arial" w:hAnsi="Arial"/>
          <w:color w:val="231F20"/>
          <w:spacing w:val="-6"/>
          <w:sz w:val="16"/>
        </w:rPr>
        <w:t>of </w:t>
      </w:r>
      <w:r>
        <w:rPr>
          <w:rFonts w:ascii="Arial" w:hAnsi="Arial"/>
          <w:color w:val="231F20"/>
          <w:sz w:val="16"/>
        </w:rPr>
        <w:t>potassium.</w:t>
      </w:r>
      <w:r>
        <w:rPr>
          <w:rFonts w:ascii="Arial" w:hAnsi="Arial"/>
          <w:color w:val="231F20"/>
          <w:spacing w:val="-11"/>
          <w:sz w:val="16"/>
        </w:rPr>
        <w:t> </w:t>
      </w:r>
      <w:r>
        <w:rPr>
          <w:rFonts w:ascii="Arial" w:hAnsi="Arial"/>
          <w:color w:val="231F20"/>
          <w:sz w:val="16"/>
        </w:rPr>
        <w:t>Note</w:t>
      </w:r>
      <w:r>
        <w:rPr>
          <w:rFonts w:ascii="Arial" w:hAnsi="Arial"/>
          <w:color w:val="231F20"/>
          <w:spacing w:val="-10"/>
          <w:sz w:val="16"/>
        </w:rPr>
        <w:t> </w:t>
      </w:r>
      <w:r>
        <w:rPr>
          <w:rFonts w:ascii="Arial" w:hAnsi="Arial"/>
          <w:color w:val="231F20"/>
          <w:sz w:val="16"/>
        </w:rPr>
        <w:t>that</w:t>
      </w:r>
      <w:r>
        <w:rPr>
          <w:rFonts w:ascii="Arial" w:hAnsi="Arial"/>
          <w:color w:val="231F20"/>
          <w:spacing w:val="-11"/>
          <w:sz w:val="16"/>
        </w:rPr>
        <w:t> </w:t>
      </w:r>
      <w:r>
        <w:rPr>
          <w:rFonts w:ascii="Arial" w:hAnsi="Arial"/>
          <w:color w:val="231F20"/>
          <w:sz w:val="16"/>
        </w:rPr>
        <w:t>a</w:t>
      </w:r>
      <w:r>
        <w:rPr>
          <w:rFonts w:ascii="Arial" w:hAnsi="Arial"/>
          <w:color w:val="231F20"/>
          <w:spacing w:val="-10"/>
          <w:sz w:val="16"/>
        </w:rPr>
        <w:t> </w:t>
      </w:r>
      <w:r>
        <w:rPr>
          <w:rFonts w:ascii="Arial" w:hAnsi="Arial"/>
          <w:color w:val="231F20"/>
          <w:sz w:val="16"/>
        </w:rPr>
        <w:t>high­sodium</w:t>
      </w:r>
      <w:r>
        <w:rPr>
          <w:rFonts w:ascii="Arial" w:hAnsi="Arial"/>
          <w:color w:val="231F20"/>
          <w:spacing w:val="-10"/>
          <w:sz w:val="16"/>
        </w:rPr>
        <w:t> </w:t>
      </w:r>
      <w:r>
        <w:rPr>
          <w:rFonts w:ascii="Arial" w:hAnsi="Arial"/>
          <w:color w:val="231F20"/>
          <w:sz w:val="16"/>
        </w:rPr>
        <w:t>diet</w:t>
      </w:r>
      <w:r>
        <w:rPr>
          <w:rFonts w:ascii="Arial" w:hAnsi="Arial"/>
          <w:color w:val="231F20"/>
          <w:spacing w:val="-11"/>
          <w:sz w:val="16"/>
        </w:rPr>
        <w:t> </w:t>
      </w:r>
      <w:r>
        <w:rPr>
          <w:rFonts w:ascii="Arial" w:hAnsi="Arial"/>
          <w:color w:val="231F20"/>
          <w:sz w:val="16"/>
        </w:rPr>
        <w:t>decreases</w:t>
      </w:r>
      <w:r>
        <w:rPr>
          <w:rFonts w:ascii="Arial" w:hAnsi="Arial"/>
          <w:color w:val="231F20"/>
          <w:spacing w:val="-10"/>
          <w:sz w:val="16"/>
        </w:rPr>
        <w:t> </w:t>
      </w:r>
      <w:r>
        <w:rPr>
          <w:rFonts w:ascii="Arial" w:hAnsi="Arial"/>
          <w:color w:val="231F20"/>
          <w:sz w:val="16"/>
        </w:rPr>
        <w:t>plasma</w:t>
      </w:r>
      <w:r>
        <w:rPr>
          <w:rFonts w:ascii="Arial" w:hAnsi="Arial"/>
          <w:color w:val="231F20"/>
          <w:spacing w:val="-10"/>
          <w:sz w:val="16"/>
        </w:rPr>
        <w:t> </w:t>
      </w:r>
      <w:r>
        <w:rPr>
          <w:rFonts w:ascii="Arial" w:hAnsi="Arial"/>
          <w:color w:val="231F20"/>
          <w:spacing w:val="-3"/>
          <w:sz w:val="16"/>
        </w:rPr>
        <w:t>aldoste­ </w:t>
      </w:r>
      <w:r>
        <w:rPr>
          <w:rFonts w:ascii="Arial" w:hAnsi="Arial"/>
          <w:color w:val="231F20"/>
          <w:sz w:val="16"/>
        </w:rPr>
        <w:t>rone, which tends to decrease potassium secretion by the cortical collecting tubules. However, the high­sodium diet simultaneously increases</w:t>
      </w:r>
      <w:r>
        <w:rPr>
          <w:rFonts w:ascii="Arial" w:hAnsi="Arial"/>
          <w:color w:val="231F20"/>
          <w:spacing w:val="-11"/>
          <w:sz w:val="16"/>
        </w:rPr>
        <w:t> </w:t>
      </w:r>
      <w:r>
        <w:rPr>
          <w:rFonts w:ascii="Arial" w:hAnsi="Arial"/>
          <w:color w:val="231F20"/>
          <w:sz w:val="16"/>
        </w:rPr>
        <w:t>fluid</w:t>
      </w:r>
      <w:r>
        <w:rPr>
          <w:rFonts w:ascii="Arial" w:hAnsi="Arial"/>
          <w:color w:val="231F20"/>
          <w:spacing w:val="-10"/>
          <w:sz w:val="16"/>
        </w:rPr>
        <w:t> </w:t>
      </w:r>
      <w:r>
        <w:rPr>
          <w:rFonts w:ascii="Arial" w:hAnsi="Arial"/>
          <w:color w:val="231F20"/>
          <w:sz w:val="16"/>
        </w:rPr>
        <w:t>delivery</w:t>
      </w:r>
      <w:r>
        <w:rPr>
          <w:rFonts w:ascii="Arial" w:hAnsi="Arial"/>
          <w:color w:val="231F20"/>
          <w:spacing w:val="-10"/>
          <w:sz w:val="16"/>
        </w:rPr>
        <w:t> </w:t>
      </w:r>
      <w:r>
        <w:rPr>
          <w:rFonts w:ascii="Arial" w:hAnsi="Arial"/>
          <w:color w:val="231F20"/>
          <w:sz w:val="16"/>
        </w:rPr>
        <w:t>to</w:t>
      </w:r>
      <w:r>
        <w:rPr>
          <w:rFonts w:ascii="Arial" w:hAnsi="Arial"/>
          <w:color w:val="231F20"/>
          <w:spacing w:val="-10"/>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cortical</w:t>
      </w:r>
      <w:r>
        <w:rPr>
          <w:rFonts w:ascii="Arial" w:hAnsi="Arial"/>
          <w:color w:val="231F20"/>
          <w:spacing w:val="-10"/>
          <w:sz w:val="16"/>
        </w:rPr>
        <w:t> </w:t>
      </w:r>
      <w:r>
        <w:rPr>
          <w:rFonts w:ascii="Arial" w:hAnsi="Arial"/>
          <w:color w:val="231F20"/>
          <w:sz w:val="16"/>
        </w:rPr>
        <w:t>collecting</w:t>
      </w:r>
      <w:r>
        <w:rPr>
          <w:rFonts w:ascii="Arial" w:hAnsi="Arial"/>
          <w:color w:val="231F20"/>
          <w:spacing w:val="-10"/>
          <w:sz w:val="16"/>
        </w:rPr>
        <w:t> </w:t>
      </w:r>
      <w:r>
        <w:rPr>
          <w:rFonts w:ascii="Arial" w:hAnsi="Arial"/>
          <w:color w:val="231F20"/>
          <w:sz w:val="16"/>
        </w:rPr>
        <w:t>duct,</w:t>
      </w:r>
      <w:r>
        <w:rPr>
          <w:rFonts w:ascii="Arial" w:hAnsi="Arial"/>
          <w:color w:val="231F20"/>
          <w:spacing w:val="-10"/>
          <w:sz w:val="16"/>
        </w:rPr>
        <w:t> </w:t>
      </w:r>
      <w:r>
        <w:rPr>
          <w:rFonts w:ascii="Arial" w:hAnsi="Arial"/>
          <w:color w:val="231F20"/>
          <w:sz w:val="16"/>
        </w:rPr>
        <w:t>which</w:t>
      </w:r>
      <w:r>
        <w:rPr>
          <w:rFonts w:ascii="Arial" w:hAnsi="Arial"/>
          <w:color w:val="231F20"/>
          <w:spacing w:val="-11"/>
          <w:sz w:val="16"/>
        </w:rPr>
        <w:t> </w:t>
      </w:r>
      <w:r>
        <w:rPr>
          <w:rFonts w:ascii="Arial" w:hAnsi="Arial"/>
          <w:color w:val="231F20"/>
          <w:sz w:val="16"/>
        </w:rPr>
        <w:t>tends</w:t>
      </w:r>
      <w:r>
        <w:rPr>
          <w:rFonts w:ascii="Arial" w:hAnsi="Arial"/>
          <w:color w:val="231F20"/>
          <w:spacing w:val="-10"/>
          <w:sz w:val="16"/>
        </w:rPr>
        <w:t> </w:t>
      </w:r>
      <w:r>
        <w:rPr>
          <w:rFonts w:ascii="Arial" w:hAnsi="Arial"/>
          <w:color w:val="231F20"/>
          <w:spacing w:val="-8"/>
          <w:sz w:val="16"/>
        </w:rPr>
        <w:t>to </w:t>
      </w:r>
      <w:r>
        <w:rPr>
          <w:rFonts w:ascii="Arial" w:hAnsi="Arial"/>
          <w:color w:val="231F20"/>
          <w:sz w:val="16"/>
        </w:rPr>
        <w:t>increase</w:t>
      </w:r>
      <w:r>
        <w:rPr>
          <w:rFonts w:ascii="Arial" w:hAnsi="Arial"/>
          <w:color w:val="231F20"/>
          <w:spacing w:val="-26"/>
          <w:sz w:val="16"/>
        </w:rPr>
        <w:t> </w:t>
      </w:r>
      <w:r>
        <w:rPr>
          <w:rFonts w:ascii="Arial" w:hAnsi="Arial"/>
          <w:color w:val="231F20"/>
          <w:sz w:val="16"/>
        </w:rPr>
        <w:t>potassium</w:t>
      </w:r>
      <w:r>
        <w:rPr>
          <w:rFonts w:ascii="Arial" w:hAnsi="Arial"/>
          <w:color w:val="231F20"/>
          <w:spacing w:val="-25"/>
          <w:sz w:val="16"/>
        </w:rPr>
        <w:t> </w:t>
      </w:r>
      <w:r>
        <w:rPr>
          <w:rFonts w:ascii="Arial" w:hAnsi="Arial"/>
          <w:color w:val="231F20"/>
          <w:sz w:val="16"/>
        </w:rPr>
        <w:t>secretion.</w:t>
      </w:r>
      <w:r>
        <w:rPr>
          <w:rFonts w:ascii="Arial" w:hAnsi="Arial"/>
          <w:color w:val="231F20"/>
          <w:spacing w:val="-25"/>
          <w:sz w:val="16"/>
        </w:rPr>
        <w:t> </w:t>
      </w:r>
      <w:r>
        <w:rPr>
          <w:rFonts w:ascii="Arial" w:hAnsi="Arial"/>
          <w:color w:val="231F20"/>
          <w:sz w:val="16"/>
        </w:rPr>
        <w:t>The</w:t>
      </w:r>
      <w:r>
        <w:rPr>
          <w:rFonts w:ascii="Arial" w:hAnsi="Arial"/>
          <w:color w:val="231F20"/>
          <w:spacing w:val="-25"/>
          <w:sz w:val="16"/>
        </w:rPr>
        <w:t> </w:t>
      </w:r>
      <w:r>
        <w:rPr>
          <w:rFonts w:ascii="Arial" w:hAnsi="Arial"/>
          <w:color w:val="231F20"/>
          <w:sz w:val="16"/>
        </w:rPr>
        <w:t>opposing</w:t>
      </w:r>
      <w:r>
        <w:rPr>
          <w:rFonts w:ascii="Arial" w:hAnsi="Arial"/>
          <w:color w:val="231F20"/>
          <w:spacing w:val="-25"/>
          <w:sz w:val="16"/>
        </w:rPr>
        <w:t> </w:t>
      </w:r>
      <w:r>
        <w:rPr>
          <w:rFonts w:ascii="Arial" w:hAnsi="Arial"/>
          <w:color w:val="231F20"/>
          <w:sz w:val="16"/>
        </w:rPr>
        <w:t>effects</w:t>
      </w:r>
      <w:r>
        <w:rPr>
          <w:rFonts w:ascii="Arial" w:hAnsi="Arial"/>
          <w:color w:val="231F20"/>
          <w:spacing w:val="-25"/>
          <w:sz w:val="16"/>
        </w:rPr>
        <w:t> </w:t>
      </w:r>
      <w:r>
        <w:rPr>
          <w:rFonts w:ascii="Arial" w:hAnsi="Arial"/>
          <w:color w:val="231F20"/>
          <w:sz w:val="16"/>
        </w:rPr>
        <w:t>of</w:t>
      </w:r>
      <w:r>
        <w:rPr>
          <w:rFonts w:ascii="Arial" w:hAnsi="Arial"/>
          <w:color w:val="231F20"/>
          <w:spacing w:val="-26"/>
          <w:sz w:val="16"/>
        </w:rPr>
        <w:t> </w:t>
      </w:r>
      <w:r>
        <w:rPr>
          <w:rFonts w:ascii="Arial" w:hAnsi="Arial"/>
          <w:color w:val="231F20"/>
          <w:sz w:val="16"/>
        </w:rPr>
        <w:t>a</w:t>
      </w:r>
      <w:r>
        <w:rPr>
          <w:rFonts w:ascii="Arial" w:hAnsi="Arial"/>
          <w:color w:val="231F20"/>
          <w:spacing w:val="-25"/>
          <w:sz w:val="16"/>
        </w:rPr>
        <w:t> </w:t>
      </w:r>
      <w:r>
        <w:rPr>
          <w:rFonts w:ascii="Arial" w:hAnsi="Arial"/>
          <w:color w:val="231F20"/>
          <w:sz w:val="16"/>
        </w:rPr>
        <w:t>high­sodium diet</w:t>
      </w:r>
      <w:r>
        <w:rPr>
          <w:rFonts w:ascii="Arial" w:hAnsi="Arial"/>
          <w:color w:val="231F20"/>
          <w:spacing w:val="-18"/>
          <w:sz w:val="16"/>
        </w:rPr>
        <w:t> </w:t>
      </w:r>
      <w:r>
        <w:rPr>
          <w:rFonts w:ascii="Arial" w:hAnsi="Arial"/>
          <w:color w:val="231F20"/>
          <w:sz w:val="16"/>
        </w:rPr>
        <w:t>counterbalance</w:t>
      </w:r>
      <w:r>
        <w:rPr>
          <w:rFonts w:ascii="Arial" w:hAnsi="Arial"/>
          <w:color w:val="231F20"/>
          <w:spacing w:val="-18"/>
          <w:sz w:val="16"/>
        </w:rPr>
        <w:t> </w:t>
      </w:r>
      <w:r>
        <w:rPr>
          <w:rFonts w:ascii="Arial" w:hAnsi="Arial"/>
          <w:color w:val="231F20"/>
          <w:sz w:val="16"/>
        </w:rPr>
        <w:t>each</w:t>
      </w:r>
      <w:r>
        <w:rPr>
          <w:rFonts w:ascii="Arial" w:hAnsi="Arial"/>
          <w:color w:val="231F20"/>
          <w:spacing w:val="-18"/>
          <w:sz w:val="16"/>
        </w:rPr>
        <w:t> </w:t>
      </w:r>
      <w:r>
        <w:rPr>
          <w:rFonts w:ascii="Arial" w:hAnsi="Arial"/>
          <w:color w:val="231F20"/>
          <w:spacing w:val="-3"/>
          <w:sz w:val="16"/>
        </w:rPr>
        <w:t>other,</w:t>
      </w:r>
      <w:r>
        <w:rPr>
          <w:rFonts w:ascii="Arial" w:hAnsi="Arial"/>
          <w:color w:val="231F20"/>
          <w:spacing w:val="-18"/>
          <w:sz w:val="16"/>
        </w:rPr>
        <w:t> </w:t>
      </w:r>
      <w:r>
        <w:rPr>
          <w:rFonts w:ascii="Arial" w:hAnsi="Arial"/>
          <w:color w:val="231F20"/>
          <w:sz w:val="16"/>
        </w:rPr>
        <w:t>so</w:t>
      </w:r>
      <w:r>
        <w:rPr>
          <w:rFonts w:ascii="Arial" w:hAnsi="Arial"/>
          <w:color w:val="231F20"/>
          <w:spacing w:val="-18"/>
          <w:sz w:val="16"/>
        </w:rPr>
        <w:t> </w:t>
      </w:r>
      <w:r>
        <w:rPr>
          <w:rFonts w:ascii="Arial" w:hAnsi="Arial"/>
          <w:color w:val="231F20"/>
          <w:sz w:val="16"/>
        </w:rPr>
        <w:t>there</w:t>
      </w:r>
      <w:r>
        <w:rPr>
          <w:rFonts w:ascii="Arial" w:hAnsi="Arial"/>
          <w:color w:val="231F20"/>
          <w:spacing w:val="-17"/>
          <w:sz w:val="16"/>
        </w:rPr>
        <w:t> </w:t>
      </w:r>
      <w:r>
        <w:rPr>
          <w:rFonts w:ascii="Arial" w:hAnsi="Arial"/>
          <w:color w:val="231F20"/>
          <w:sz w:val="16"/>
        </w:rPr>
        <w:t>is</w:t>
      </w:r>
      <w:r>
        <w:rPr>
          <w:rFonts w:ascii="Arial" w:hAnsi="Arial"/>
          <w:color w:val="231F20"/>
          <w:spacing w:val="-18"/>
          <w:sz w:val="16"/>
        </w:rPr>
        <w:t> </w:t>
      </w:r>
      <w:r>
        <w:rPr>
          <w:rFonts w:ascii="Arial" w:hAnsi="Arial"/>
          <w:color w:val="231F20"/>
          <w:sz w:val="16"/>
        </w:rPr>
        <w:t>little</w:t>
      </w:r>
      <w:r>
        <w:rPr>
          <w:rFonts w:ascii="Arial" w:hAnsi="Arial"/>
          <w:color w:val="231F20"/>
          <w:spacing w:val="-18"/>
          <w:sz w:val="16"/>
        </w:rPr>
        <w:t> </w:t>
      </w:r>
      <w:r>
        <w:rPr>
          <w:rFonts w:ascii="Arial" w:hAnsi="Arial"/>
          <w:color w:val="231F20"/>
          <w:sz w:val="16"/>
        </w:rPr>
        <w:t>change</w:t>
      </w:r>
      <w:r>
        <w:rPr>
          <w:rFonts w:ascii="Arial" w:hAnsi="Arial"/>
          <w:color w:val="231F20"/>
          <w:spacing w:val="-18"/>
          <w:sz w:val="16"/>
        </w:rPr>
        <w:t> </w:t>
      </w:r>
      <w:r>
        <w:rPr>
          <w:rFonts w:ascii="Arial" w:hAnsi="Arial"/>
          <w:color w:val="231F20"/>
          <w:sz w:val="16"/>
        </w:rPr>
        <w:t>in</w:t>
      </w:r>
      <w:r>
        <w:rPr>
          <w:rFonts w:ascii="Arial" w:hAnsi="Arial"/>
          <w:color w:val="231F20"/>
          <w:spacing w:val="-18"/>
          <w:sz w:val="16"/>
        </w:rPr>
        <w:t> </w:t>
      </w:r>
      <w:r>
        <w:rPr>
          <w:rFonts w:ascii="Arial" w:hAnsi="Arial"/>
          <w:color w:val="231F20"/>
          <w:sz w:val="16"/>
        </w:rPr>
        <w:t>potassium excretion.</w:t>
      </w:r>
    </w:p>
    <w:p>
      <w:pPr>
        <w:pStyle w:val="BodyText"/>
        <w:spacing w:line="249" w:lineRule="auto" w:before="100"/>
        <w:ind w:left="318" w:right="1077"/>
        <w:jc w:val="both"/>
      </w:pPr>
      <w:r>
        <w:rPr/>
        <w:br w:type="column"/>
      </w:r>
      <w:r>
        <w:rPr>
          <w:color w:val="231F20"/>
          <w:w w:val="105"/>
        </w:rPr>
        <w:t>whereas</w:t>
      </w:r>
      <w:r>
        <w:rPr>
          <w:color w:val="231F20"/>
          <w:spacing w:val="-36"/>
          <w:w w:val="105"/>
        </w:rPr>
        <w:t> </w:t>
      </w:r>
      <w:r>
        <w:rPr>
          <w:color w:val="231F20"/>
          <w:w w:val="105"/>
        </w:rPr>
        <w:t>decreased</w:t>
      </w:r>
      <w:r>
        <w:rPr>
          <w:color w:val="231F20"/>
          <w:spacing w:val="-36"/>
          <w:w w:val="105"/>
        </w:rPr>
        <w:t> </w:t>
      </w:r>
      <w:r>
        <w:rPr>
          <w:color w:val="231F20"/>
          <w:w w:val="105"/>
        </w:rPr>
        <w:t>hydrogen</w:t>
      </w:r>
      <w:r>
        <w:rPr>
          <w:color w:val="231F20"/>
          <w:spacing w:val="-36"/>
          <w:w w:val="105"/>
        </w:rPr>
        <w:t> </w:t>
      </w:r>
      <w:r>
        <w:rPr>
          <w:color w:val="231F20"/>
          <w:w w:val="105"/>
        </w:rPr>
        <w:t>ion</w:t>
      </w:r>
      <w:r>
        <w:rPr>
          <w:color w:val="231F20"/>
          <w:spacing w:val="-35"/>
          <w:w w:val="105"/>
        </w:rPr>
        <w:t> </w:t>
      </w:r>
      <w:r>
        <w:rPr>
          <w:color w:val="231F20"/>
          <w:w w:val="105"/>
        </w:rPr>
        <w:t>concentration</w:t>
      </w:r>
      <w:r>
        <w:rPr>
          <w:color w:val="231F20"/>
          <w:spacing w:val="-36"/>
          <w:w w:val="105"/>
        </w:rPr>
        <w:t> </w:t>
      </w:r>
      <w:r>
        <w:rPr>
          <w:color w:val="231F20"/>
          <w:w w:val="105"/>
        </w:rPr>
        <w:t>(alkalosis) increases potassium secretion. The primary mechanism by which increased hydrogen ion concentration inhibits potassium secretion is by reducing the activity of the sodium-potassium</w:t>
      </w:r>
      <w:r>
        <w:rPr>
          <w:color w:val="231F20"/>
          <w:spacing w:val="-8"/>
          <w:w w:val="105"/>
        </w:rPr>
        <w:t> </w:t>
      </w:r>
      <w:r>
        <w:rPr>
          <w:color w:val="231F20"/>
          <w:w w:val="105"/>
        </w:rPr>
        <w:t>ATPase</w:t>
      </w:r>
      <w:r>
        <w:rPr>
          <w:color w:val="231F20"/>
          <w:spacing w:val="-7"/>
          <w:w w:val="105"/>
        </w:rPr>
        <w:t> </w:t>
      </w:r>
      <w:r>
        <w:rPr>
          <w:color w:val="231F20"/>
          <w:w w:val="105"/>
        </w:rPr>
        <w:t>pump.</w:t>
      </w:r>
      <w:r>
        <w:rPr>
          <w:color w:val="231F20"/>
          <w:spacing w:val="-8"/>
          <w:w w:val="105"/>
        </w:rPr>
        <w:t> </w:t>
      </w:r>
      <w:r>
        <w:rPr>
          <w:color w:val="231F20"/>
          <w:w w:val="105"/>
        </w:rPr>
        <w:t>This</w:t>
      </w:r>
      <w:r>
        <w:rPr>
          <w:color w:val="231F20"/>
          <w:spacing w:val="-7"/>
          <w:w w:val="105"/>
        </w:rPr>
        <w:t> </w:t>
      </w:r>
      <w:r>
        <w:rPr>
          <w:color w:val="231F20"/>
          <w:w w:val="105"/>
        </w:rPr>
        <w:t>reduction</w:t>
      </w:r>
      <w:r>
        <w:rPr>
          <w:color w:val="231F20"/>
          <w:spacing w:val="-8"/>
          <w:w w:val="105"/>
        </w:rPr>
        <w:t> </w:t>
      </w:r>
      <w:r>
        <w:rPr>
          <w:color w:val="231F20"/>
          <w:w w:val="105"/>
        </w:rPr>
        <w:t>in</w:t>
      </w:r>
      <w:r>
        <w:rPr>
          <w:color w:val="231F20"/>
          <w:spacing w:val="-7"/>
          <w:w w:val="105"/>
        </w:rPr>
        <w:t> </w:t>
      </w:r>
      <w:r>
        <w:rPr>
          <w:color w:val="231F20"/>
          <w:w w:val="105"/>
        </w:rPr>
        <w:t>turn decreases intracellular potassium concentration </w:t>
      </w:r>
      <w:r>
        <w:rPr>
          <w:color w:val="231F20"/>
          <w:spacing w:val="-4"/>
          <w:w w:val="105"/>
        </w:rPr>
        <w:t>and </w:t>
      </w:r>
      <w:r>
        <w:rPr>
          <w:color w:val="231F20"/>
          <w:w w:val="105"/>
        </w:rPr>
        <w:t>subsequent passive diffusion of potassium across the luminal membrane into the tubule. Acidosis may </w:t>
      </w:r>
      <w:r>
        <w:rPr>
          <w:color w:val="231F20"/>
          <w:spacing w:val="-3"/>
          <w:w w:val="105"/>
        </w:rPr>
        <w:t>also </w:t>
      </w:r>
      <w:r>
        <w:rPr>
          <w:color w:val="231F20"/>
          <w:w w:val="105"/>
        </w:rPr>
        <w:t>reduce the number of potassium channels in the</w:t>
      </w:r>
      <w:r>
        <w:rPr>
          <w:color w:val="231F20"/>
          <w:spacing w:val="-29"/>
          <w:w w:val="105"/>
        </w:rPr>
        <w:t> </w:t>
      </w:r>
      <w:r>
        <w:rPr>
          <w:color w:val="231F20"/>
          <w:w w:val="105"/>
        </w:rPr>
        <w:t>luminal membrane.</w:t>
      </w:r>
    </w:p>
    <w:p>
      <w:pPr>
        <w:spacing w:line="249" w:lineRule="auto" w:before="8"/>
        <w:ind w:left="318" w:right="1077" w:firstLine="240"/>
        <w:jc w:val="both"/>
        <w:rPr>
          <w:i/>
          <w:sz w:val="20"/>
        </w:rPr>
      </w:pPr>
      <w:r>
        <w:rPr/>
        <w:pict>
          <v:rect style="position:absolute;margin-left:576pt;margin-top:20.385962pt;width:36pt;height:24pt;mso-position-horizontal-relative:page;mso-position-vertical-relative:paragraph;z-index:252612608" filled="true" fillcolor="#e8dac8" stroked="false">
            <v:fill type="solid"/>
            <w10:wrap type="none"/>
          </v:rect>
        </w:pict>
      </w:r>
      <w:r>
        <w:rPr/>
        <w:pict>
          <v:shape style="position:absolute;margin-left:578.900024pt;margin-top:-55.956738pt;width:15.9pt;height:53.35pt;mso-position-horizontal-relative:page;mso-position-vertical-relative:paragraph;z-index:25261465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spacing w:val="-3"/>
          <w:w w:val="105"/>
          <w:sz w:val="20"/>
        </w:rPr>
        <w:t>With</w:t>
      </w:r>
      <w:r>
        <w:rPr>
          <w:color w:val="231F20"/>
          <w:spacing w:val="-18"/>
          <w:w w:val="105"/>
          <w:sz w:val="20"/>
        </w:rPr>
        <w:t> </w:t>
      </w:r>
      <w:r>
        <w:rPr>
          <w:color w:val="231F20"/>
          <w:w w:val="105"/>
          <w:sz w:val="20"/>
        </w:rPr>
        <w:t>more</w:t>
      </w:r>
      <w:r>
        <w:rPr>
          <w:color w:val="231F20"/>
          <w:spacing w:val="-17"/>
          <w:w w:val="105"/>
          <w:sz w:val="20"/>
        </w:rPr>
        <w:t> </w:t>
      </w:r>
      <w:r>
        <w:rPr>
          <w:color w:val="231F20"/>
          <w:w w:val="105"/>
          <w:sz w:val="20"/>
        </w:rPr>
        <w:t>prolonged</w:t>
      </w:r>
      <w:r>
        <w:rPr>
          <w:color w:val="231F20"/>
          <w:spacing w:val="-17"/>
          <w:w w:val="105"/>
          <w:sz w:val="20"/>
        </w:rPr>
        <w:t> </w:t>
      </w:r>
      <w:r>
        <w:rPr>
          <w:color w:val="231F20"/>
          <w:w w:val="105"/>
          <w:sz w:val="20"/>
        </w:rPr>
        <w:t>acidosis,</w:t>
      </w:r>
      <w:r>
        <w:rPr>
          <w:color w:val="231F20"/>
          <w:spacing w:val="-17"/>
          <w:w w:val="105"/>
          <w:sz w:val="20"/>
        </w:rPr>
        <w:t> </w:t>
      </w:r>
      <w:r>
        <w:rPr>
          <w:color w:val="231F20"/>
          <w:w w:val="105"/>
          <w:sz w:val="20"/>
        </w:rPr>
        <w:t>lasting</w:t>
      </w:r>
      <w:r>
        <w:rPr>
          <w:color w:val="231F20"/>
          <w:spacing w:val="-18"/>
          <w:w w:val="105"/>
          <w:sz w:val="20"/>
        </w:rPr>
        <w:t> </w:t>
      </w:r>
      <w:r>
        <w:rPr>
          <w:color w:val="231F20"/>
          <w:w w:val="105"/>
          <w:sz w:val="20"/>
        </w:rPr>
        <w:t>over</w:t>
      </w:r>
      <w:r>
        <w:rPr>
          <w:color w:val="231F20"/>
          <w:spacing w:val="-17"/>
          <w:w w:val="105"/>
          <w:sz w:val="20"/>
        </w:rPr>
        <w:t> </w:t>
      </w:r>
      <w:r>
        <w:rPr>
          <w:color w:val="231F20"/>
          <w:w w:val="105"/>
          <w:sz w:val="20"/>
        </w:rPr>
        <w:t>a</w:t>
      </w:r>
      <w:r>
        <w:rPr>
          <w:color w:val="231F20"/>
          <w:spacing w:val="-17"/>
          <w:w w:val="105"/>
          <w:sz w:val="20"/>
        </w:rPr>
        <w:t> </w:t>
      </w:r>
      <w:r>
        <w:rPr>
          <w:color w:val="231F20"/>
          <w:w w:val="105"/>
          <w:sz w:val="20"/>
        </w:rPr>
        <w:t>period</w:t>
      </w:r>
      <w:r>
        <w:rPr>
          <w:color w:val="231F20"/>
          <w:spacing w:val="-17"/>
          <w:w w:val="105"/>
          <w:sz w:val="20"/>
        </w:rPr>
        <w:t> </w:t>
      </w:r>
      <w:r>
        <w:rPr>
          <w:color w:val="231F20"/>
          <w:spacing w:val="-6"/>
          <w:w w:val="105"/>
          <w:sz w:val="20"/>
        </w:rPr>
        <w:t>of </w:t>
      </w:r>
      <w:r>
        <w:rPr>
          <w:color w:val="231F20"/>
          <w:w w:val="105"/>
          <w:sz w:val="20"/>
        </w:rPr>
        <w:t>several days, there is an increase in urinary potassium excretion.</w:t>
      </w:r>
      <w:r>
        <w:rPr>
          <w:color w:val="231F20"/>
          <w:spacing w:val="-9"/>
          <w:w w:val="105"/>
          <w:sz w:val="20"/>
        </w:rPr>
        <w:t> </w:t>
      </w:r>
      <w:r>
        <w:rPr>
          <w:color w:val="231F20"/>
          <w:w w:val="105"/>
          <w:sz w:val="20"/>
        </w:rPr>
        <w:t>The</w:t>
      </w:r>
      <w:r>
        <w:rPr>
          <w:color w:val="231F20"/>
          <w:spacing w:val="-9"/>
          <w:w w:val="105"/>
          <w:sz w:val="20"/>
        </w:rPr>
        <w:t> </w:t>
      </w:r>
      <w:r>
        <w:rPr>
          <w:color w:val="231F20"/>
          <w:w w:val="105"/>
          <w:sz w:val="20"/>
        </w:rPr>
        <w:t>mechanism</w:t>
      </w:r>
      <w:r>
        <w:rPr>
          <w:color w:val="231F20"/>
          <w:spacing w:val="-9"/>
          <w:w w:val="105"/>
          <w:sz w:val="20"/>
        </w:rPr>
        <w:t> </w:t>
      </w:r>
      <w:r>
        <w:rPr>
          <w:color w:val="231F20"/>
          <w:w w:val="105"/>
          <w:sz w:val="20"/>
        </w:rPr>
        <w:t>for</w:t>
      </w:r>
      <w:r>
        <w:rPr>
          <w:color w:val="231F20"/>
          <w:spacing w:val="-9"/>
          <w:w w:val="105"/>
          <w:sz w:val="20"/>
        </w:rPr>
        <w:t> </w:t>
      </w:r>
      <w:r>
        <w:rPr>
          <w:color w:val="231F20"/>
          <w:w w:val="105"/>
          <w:sz w:val="20"/>
        </w:rPr>
        <w:t>this</w:t>
      </w:r>
      <w:r>
        <w:rPr>
          <w:color w:val="231F20"/>
          <w:spacing w:val="-9"/>
          <w:w w:val="105"/>
          <w:sz w:val="20"/>
        </w:rPr>
        <w:t> </w:t>
      </w:r>
      <w:r>
        <w:rPr>
          <w:color w:val="231F20"/>
          <w:w w:val="105"/>
          <w:sz w:val="20"/>
        </w:rPr>
        <w:t>effect</w:t>
      </w:r>
      <w:r>
        <w:rPr>
          <w:color w:val="231F20"/>
          <w:spacing w:val="-9"/>
          <w:w w:val="105"/>
          <w:sz w:val="20"/>
        </w:rPr>
        <w:t> </w:t>
      </w:r>
      <w:r>
        <w:rPr>
          <w:color w:val="231F20"/>
          <w:w w:val="105"/>
          <w:sz w:val="20"/>
        </w:rPr>
        <w:t>is</w:t>
      </w:r>
      <w:r>
        <w:rPr>
          <w:color w:val="231F20"/>
          <w:spacing w:val="-9"/>
          <w:w w:val="105"/>
          <w:sz w:val="20"/>
        </w:rPr>
        <w:t> </w:t>
      </w:r>
      <w:r>
        <w:rPr>
          <w:color w:val="231F20"/>
          <w:w w:val="105"/>
          <w:sz w:val="20"/>
        </w:rPr>
        <w:t>due</w:t>
      </w:r>
      <w:r>
        <w:rPr>
          <w:color w:val="231F20"/>
          <w:spacing w:val="-9"/>
          <w:w w:val="105"/>
          <w:sz w:val="20"/>
        </w:rPr>
        <w:t> </w:t>
      </w:r>
      <w:r>
        <w:rPr>
          <w:color w:val="231F20"/>
          <w:w w:val="105"/>
          <w:sz w:val="20"/>
        </w:rPr>
        <w:t>in</w:t>
      </w:r>
      <w:r>
        <w:rPr>
          <w:color w:val="231F20"/>
          <w:spacing w:val="-9"/>
          <w:w w:val="105"/>
          <w:sz w:val="20"/>
        </w:rPr>
        <w:t> </w:t>
      </w:r>
      <w:r>
        <w:rPr>
          <w:color w:val="231F20"/>
          <w:w w:val="105"/>
          <w:sz w:val="20"/>
        </w:rPr>
        <w:t>part</w:t>
      </w:r>
      <w:r>
        <w:rPr>
          <w:color w:val="231F20"/>
          <w:spacing w:val="-9"/>
          <w:w w:val="105"/>
          <w:sz w:val="20"/>
        </w:rPr>
        <w:t> </w:t>
      </w:r>
      <w:r>
        <w:rPr>
          <w:color w:val="231F20"/>
          <w:w w:val="105"/>
          <w:sz w:val="20"/>
        </w:rPr>
        <w:t>to an effect of chronic acidosis to inhibit proximal </w:t>
      </w:r>
      <w:r>
        <w:rPr>
          <w:color w:val="231F20"/>
          <w:spacing w:val="-3"/>
          <w:w w:val="105"/>
          <w:sz w:val="20"/>
        </w:rPr>
        <w:t>tubular </w:t>
      </w:r>
      <w:r>
        <w:rPr>
          <w:color w:val="231F20"/>
          <w:w w:val="105"/>
          <w:sz w:val="20"/>
        </w:rPr>
        <w:t>sodium</w:t>
      </w:r>
      <w:r>
        <w:rPr>
          <w:color w:val="231F20"/>
          <w:spacing w:val="-17"/>
          <w:w w:val="105"/>
          <w:sz w:val="20"/>
        </w:rPr>
        <w:t> </w:t>
      </w:r>
      <w:r>
        <w:rPr>
          <w:color w:val="231F20"/>
          <w:w w:val="105"/>
          <w:sz w:val="20"/>
        </w:rPr>
        <w:t>chloride</w:t>
      </w:r>
      <w:r>
        <w:rPr>
          <w:color w:val="231F20"/>
          <w:spacing w:val="-17"/>
          <w:w w:val="105"/>
          <w:sz w:val="20"/>
        </w:rPr>
        <w:t> </w:t>
      </w:r>
      <w:r>
        <w:rPr>
          <w:color w:val="231F20"/>
          <w:w w:val="105"/>
          <w:sz w:val="20"/>
        </w:rPr>
        <w:t>and</w:t>
      </w:r>
      <w:r>
        <w:rPr>
          <w:color w:val="231F20"/>
          <w:spacing w:val="-17"/>
          <w:w w:val="105"/>
          <w:sz w:val="20"/>
        </w:rPr>
        <w:t> </w:t>
      </w:r>
      <w:r>
        <w:rPr>
          <w:color w:val="231F20"/>
          <w:w w:val="105"/>
          <w:sz w:val="20"/>
        </w:rPr>
        <w:t>water</w:t>
      </w:r>
      <w:r>
        <w:rPr>
          <w:color w:val="231F20"/>
          <w:spacing w:val="-17"/>
          <w:w w:val="105"/>
          <w:sz w:val="20"/>
        </w:rPr>
        <w:t> </w:t>
      </w:r>
      <w:r>
        <w:rPr>
          <w:color w:val="231F20"/>
          <w:w w:val="105"/>
          <w:sz w:val="20"/>
        </w:rPr>
        <w:t>reabsorption,</w:t>
      </w:r>
      <w:r>
        <w:rPr>
          <w:color w:val="231F20"/>
          <w:spacing w:val="-17"/>
          <w:w w:val="105"/>
          <w:sz w:val="20"/>
        </w:rPr>
        <w:t> </w:t>
      </w:r>
      <w:r>
        <w:rPr>
          <w:color w:val="231F20"/>
          <w:w w:val="105"/>
          <w:sz w:val="20"/>
        </w:rPr>
        <w:t>which</w:t>
      </w:r>
      <w:r>
        <w:rPr>
          <w:color w:val="231F20"/>
          <w:spacing w:val="-17"/>
          <w:w w:val="105"/>
          <w:sz w:val="20"/>
        </w:rPr>
        <w:t> </w:t>
      </w:r>
      <w:r>
        <w:rPr>
          <w:color w:val="231F20"/>
          <w:w w:val="105"/>
          <w:sz w:val="20"/>
        </w:rPr>
        <w:t>increases distal volume delivery, thereby stimulating potassium secretion. This effect overrides the inhibitory effect of hydrogen ions on the sodium-potassium ATPase pump. </w:t>
      </w:r>
      <w:r>
        <w:rPr>
          <w:i/>
          <w:color w:val="231F20"/>
          <w:sz w:val="20"/>
        </w:rPr>
        <w:t>Thus,</w:t>
      </w:r>
      <w:r>
        <w:rPr>
          <w:i/>
          <w:color w:val="231F20"/>
          <w:spacing w:val="-18"/>
          <w:sz w:val="20"/>
        </w:rPr>
        <w:t> </w:t>
      </w:r>
      <w:r>
        <w:rPr>
          <w:i/>
          <w:color w:val="231F20"/>
          <w:sz w:val="20"/>
        </w:rPr>
        <w:t>chronic</w:t>
      </w:r>
      <w:r>
        <w:rPr>
          <w:i/>
          <w:color w:val="231F20"/>
          <w:spacing w:val="-18"/>
          <w:sz w:val="20"/>
        </w:rPr>
        <w:t> </w:t>
      </w:r>
      <w:r>
        <w:rPr>
          <w:i/>
          <w:color w:val="231F20"/>
          <w:sz w:val="20"/>
        </w:rPr>
        <w:t>acidosis</w:t>
      </w:r>
      <w:r>
        <w:rPr>
          <w:i/>
          <w:color w:val="231F20"/>
          <w:spacing w:val="-18"/>
          <w:sz w:val="20"/>
        </w:rPr>
        <w:t> </w:t>
      </w:r>
      <w:r>
        <w:rPr>
          <w:i/>
          <w:color w:val="231F20"/>
          <w:sz w:val="20"/>
        </w:rPr>
        <w:t>leads</w:t>
      </w:r>
      <w:r>
        <w:rPr>
          <w:i/>
          <w:color w:val="231F20"/>
          <w:spacing w:val="-18"/>
          <w:sz w:val="20"/>
        </w:rPr>
        <w:t> </w:t>
      </w:r>
      <w:r>
        <w:rPr>
          <w:i/>
          <w:color w:val="231F20"/>
          <w:sz w:val="20"/>
        </w:rPr>
        <w:t>to</w:t>
      </w:r>
      <w:r>
        <w:rPr>
          <w:i/>
          <w:color w:val="231F20"/>
          <w:spacing w:val="-18"/>
          <w:sz w:val="20"/>
        </w:rPr>
        <w:t> </w:t>
      </w:r>
      <w:r>
        <w:rPr>
          <w:i/>
          <w:color w:val="231F20"/>
          <w:sz w:val="20"/>
        </w:rPr>
        <w:t>a</w:t>
      </w:r>
      <w:r>
        <w:rPr>
          <w:i/>
          <w:color w:val="231F20"/>
          <w:spacing w:val="-18"/>
          <w:sz w:val="20"/>
        </w:rPr>
        <w:t> </w:t>
      </w:r>
      <w:r>
        <w:rPr>
          <w:i/>
          <w:color w:val="231F20"/>
          <w:sz w:val="20"/>
        </w:rPr>
        <w:t>loss</w:t>
      </w:r>
      <w:r>
        <w:rPr>
          <w:i/>
          <w:color w:val="231F20"/>
          <w:spacing w:val="-18"/>
          <w:sz w:val="20"/>
        </w:rPr>
        <w:t> </w:t>
      </w:r>
      <w:r>
        <w:rPr>
          <w:i/>
          <w:color w:val="231F20"/>
          <w:sz w:val="20"/>
        </w:rPr>
        <w:t>of</w:t>
      </w:r>
      <w:r>
        <w:rPr>
          <w:i/>
          <w:color w:val="231F20"/>
          <w:spacing w:val="-18"/>
          <w:sz w:val="20"/>
        </w:rPr>
        <w:t> </w:t>
      </w:r>
      <w:r>
        <w:rPr>
          <w:i/>
          <w:color w:val="231F20"/>
          <w:sz w:val="20"/>
        </w:rPr>
        <w:t>potassium</w:t>
      </w:r>
      <w:r>
        <w:rPr>
          <w:color w:val="231F20"/>
          <w:sz w:val="20"/>
        </w:rPr>
        <w:t>,</w:t>
      </w:r>
      <w:r>
        <w:rPr>
          <w:color w:val="231F20"/>
          <w:spacing w:val="-18"/>
          <w:sz w:val="20"/>
        </w:rPr>
        <w:t> </w:t>
      </w:r>
      <w:r>
        <w:rPr>
          <w:i/>
          <w:color w:val="231F20"/>
          <w:sz w:val="20"/>
        </w:rPr>
        <w:t>whereas </w:t>
      </w:r>
      <w:r>
        <w:rPr>
          <w:i/>
          <w:color w:val="231F20"/>
          <w:w w:val="105"/>
          <w:sz w:val="20"/>
        </w:rPr>
        <w:t>acute</w:t>
      </w:r>
      <w:r>
        <w:rPr>
          <w:i/>
          <w:color w:val="231F20"/>
          <w:spacing w:val="-16"/>
          <w:w w:val="105"/>
          <w:sz w:val="20"/>
        </w:rPr>
        <w:t> </w:t>
      </w:r>
      <w:r>
        <w:rPr>
          <w:i/>
          <w:color w:val="231F20"/>
          <w:w w:val="105"/>
          <w:sz w:val="20"/>
        </w:rPr>
        <w:t>acidosis</w:t>
      </w:r>
      <w:r>
        <w:rPr>
          <w:i/>
          <w:color w:val="231F20"/>
          <w:spacing w:val="-16"/>
          <w:w w:val="105"/>
          <w:sz w:val="20"/>
        </w:rPr>
        <w:t> </w:t>
      </w:r>
      <w:r>
        <w:rPr>
          <w:i/>
          <w:color w:val="231F20"/>
          <w:w w:val="105"/>
          <w:sz w:val="20"/>
        </w:rPr>
        <w:t>leads</w:t>
      </w:r>
      <w:r>
        <w:rPr>
          <w:i/>
          <w:color w:val="231F20"/>
          <w:spacing w:val="-16"/>
          <w:w w:val="105"/>
          <w:sz w:val="20"/>
        </w:rPr>
        <w:t> </w:t>
      </w:r>
      <w:r>
        <w:rPr>
          <w:i/>
          <w:color w:val="231F20"/>
          <w:w w:val="105"/>
          <w:sz w:val="20"/>
        </w:rPr>
        <w:t>to</w:t>
      </w:r>
      <w:r>
        <w:rPr>
          <w:i/>
          <w:color w:val="231F20"/>
          <w:spacing w:val="-16"/>
          <w:w w:val="105"/>
          <w:sz w:val="20"/>
        </w:rPr>
        <w:t> </w:t>
      </w:r>
      <w:r>
        <w:rPr>
          <w:i/>
          <w:color w:val="231F20"/>
          <w:w w:val="105"/>
          <w:sz w:val="20"/>
        </w:rPr>
        <w:t>decreased</w:t>
      </w:r>
      <w:r>
        <w:rPr>
          <w:i/>
          <w:color w:val="231F20"/>
          <w:spacing w:val="-16"/>
          <w:w w:val="105"/>
          <w:sz w:val="20"/>
        </w:rPr>
        <w:t> </w:t>
      </w:r>
      <w:r>
        <w:rPr>
          <w:i/>
          <w:color w:val="231F20"/>
          <w:w w:val="105"/>
          <w:sz w:val="20"/>
        </w:rPr>
        <w:t>potassium</w:t>
      </w:r>
      <w:r>
        <w:rPr>
          <w:i/>
          <w:color w:val="231F20"/>
          <w:spacing w:val="-16"/>
          <w:w w:val="105"/>
          <w:sz w:val="20"/>
        </w:rPr>
        <w:t> </w:t>
      </w:r>
      <w:r>
        <w:rPr>
          <w:i/>
          <w:color w:val="231F20"/>
          <w:w w:val="105"/>
          <w:sz w:val="20"/>
        </w:rPr>
        <w:t>excretion.</w:t>
      </w:r>
    </w:p>
    <w:p>
      <w:pPr>
        <w:spacing w:after="0" w:line="249" w:lineRule="auto"/>
        <w:jc w:val="both"/>
        <w:rPr>
          <w:sz w:val="20"/>
        </w:rPr>
        <w:sectPr>
          <w:type w:val="continuous"/>
          <w:pgSz w:w="12240" w:h="15660"/>
          <w:pgMar w:top="0" w:bottom="760" w:left="0" w:right="0"/>
          <w:cols w:num="2" w:equalWidth="0">
            <w:col w:w="6122" w:space="40"/>
            <w:col w:w="6078"/>
          </w:cols>
        </w:sectPr>
      </w:pPr>
    </w:p>
    <w:p>
      <w:pPr>
        <w:pStyle w:val="BodyText"/>
        <w:spacing w:before="5"/>
        <w:rPr>
          <w:i/>
          <w:sz w:val="26"/>
        </w:rPr>
      </w:pPr>
      <w:r>
        <w:rPr/>
        <w:pict>
          <v:group style="position:absolute;margin-left:0pt;margin-top:0pt;width:612pt;height:180pt;mso-position-horizontal-relative:page;mso-position-vertical-relative:page;z-index:-27279360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v:shape style="position:absolute;left:2648;top:1140;width:1854;height:380" type="#_x0000_t202" filled="false" stroked="false">
              <v:textbox inset="0,0,0,0">
                <w:txbxContent>
                  <w:p>
                    <w:pPr>
                      <w:spacing w:before="31"/>
                      <w:ind w:left="559" w:right="0" w:firstLine="0"/>
                      <w:jc w:val="left"/>
                      <w:rPr>
                        <w:rFonts w:ascii="Helvetica" w:hAnsi="Helvetica"/>
                        <w:sz w:val="16"/>
                      </w:rPr>
                    </w:pPr>
                    <w:r>
                      <w:rPr>
                        <w:rFonts w:ascii="Helvetica" w:hAnsi="Helvetica"/>
                        <w:color w:val="231F20"/>
                        <w:sz w:val="16"/>
                      </w:rPr>
                      <w:t>Na</w:t>
                    </w:r>
                    <w:r>
                      <w:rPr>
                        <w:rFonts w:ascii="Symbol" w:hAnsi="Symbol"/>
                        <w:color w:val="231F20"/>
                        <w:position w:val="5"/>
                        <w:sz w:val="12"/>
                      </w:rPr>
                      <w:t></w:t>
                    </w:r>
                    <w:r>
                      <w:rPr>
                        <w:color w:val="231F20"/>
                        <w:position w:val="5"/>
                        <w:sz w:val="12"/>
                      </w:rPr>
                      <w:t> </w:t>
                    </w:r>
                    <w:r>
                      <w:rPr>
                        <w:rFonts w:ascii="Helvetica" w:hAnsi="Helvetica"/>
                        <w:color w:val="231F20"/>
                        <w:sz w:val="16"/>
                      </w:rPr>
                      <w:t>intake</w:t>
                    </w:r>
                  </w:p>
                </w:txbxContent>
              </v:textbox>
              <w10:wrap type="none"/>
            </v:shape>
            <v:shape style="position:absolute;left:4166;top:1903;width:1958;height:680" type="#_x0000_t202" filled="false" stroked="false">
              <v:textbox inset="0,0,0,0">
                <w:txbxContent>
                  <w:p>
                    <w:pPr>
                      <w:spacing w:line="223" w:lineRule="auto" w:before="22"/>
                      <w:ind w:left="509" w:right="556" w:hanging="1"/>
                      <w:jc w:val="center"/>
                      <w:rPr>
                        <w:rFonts w:ascii="Helvetica" w:hAnsi="Helvetica"/>
                        <w:sz w:val="16"/>
                      </w:rPr>
                    </w:pPr>
                    <w:r>
                      <w:rPr>
                        <w:rFonts w:ascii="Helvetica" w:hAnsi="Helvetica"/>
                        <w:color w:val="231F20"/>
                        <w:sz w:val="16"/>
                      </w:rPr>
                      <w:t>Proximal tubular Na</w:t>
                    </w:r>
                    <w:r>
                      <w:rPr>
                        <w:rFonts w:ascii="Symbol" w:hAnsi="Symbol"/>
                        <w:color w:val="231F20"/>
                        <w:position w:val="5"/>
                        <w:sz w:val="12"/>
                      </w:rPr>
                      <w:t></w:t>
                    </w:r>
                    <w:r>
                      <w:rPr>
                        <w:color w:val="231F20"/>
                        <w:position w:val="5"/>
                        <w:sz w:val="12"/>
                      </w:rPr>
                      <w:t> </w:t>
                    </w:r>
                    <w:r>
                      <w:rPr>
                        <w:rFonts w:ascii="Helvetica" w:hAnsi="Helvetica"/>
                        <w:color w:val="231F20"/>
                        <w:sz w:val="16"/>
                      </w:rPr>
                      <w:t>reabsorption</w:t>
                    </w:r>
                  </w:p>
                </w:txbxContent>
              </v:textbox>
              <w10:wrap type="none"/>
            </v:shape>
            <w10:wrap type="none"/>
          </v:group>
        </w:pict>
      </w:r>
    </w:p>
    <w:p>
      <w:pPr>
        <w:pStyle w:val="ListParagraph"/>
        <w:numPr>
          <w:ilvl w:val="0"/>
          <w:numId w:val="24"/>
        </w:numPr>
        <w:tabs>
          <w:tab w:pos="1923" w:val="left" w:leader="none"/>
        </w:tabs>
        <w:spacing w:line="249" w:lineRule="auto" w:before="171" w:after="0"/>
        <w:ind w:left="1922" w:right="6117" w:hanging="243"/>
        <w:jc w:val="both"/>
        <w:rPr>
          <w:sz w:val="20"/>
        </w:rPr>
      </w:pPr>
      <w:r>
        <w:rPr/>
        <w:pict>
          <v:shape style="position:absolute;margin-left:324pt;margin-top:-71.090065pt;width:234pt;height:413pt;mso-position-horizontal-relative:page;mso-position-vertical-relative:paragraph;z-index:252613632" type="#_x0000_t202" filled="true" fillcolor="#f0eef6" stroked="false">
            <v:textbox inset="0,0,0,0">
              <w:txbxContent>
                <w:p>
                  <w:pPr>
                    <w:spacing w:line="252" w:lineRule="auto" w:before="120"/>
                    <w:ind w:left="179" w:right="259" w:firstLine="0"/>
                    <w:jc w:val="both"/>
                    <w:rPr>
                      <w:rFonts w:ascii="Trebuchet MS"/>
                      <w:b/>
                      <w:sz w:val="18"/>
                    </w:rPr>
                  </w:pPr>
                  <w:r>
                    <w:rPr>
                      <w:rFonts w:ascii="Trebuchet MS"/>
                      <w:b/>
                      <w:color w:val="231F20"/>
                      <w:sz w:val="18"/>
                    </w:rPr>
                    <w:t>Beneficial Effects of a Diet High in Potassium and Low in Sodium Content</w:t>
                  </w:r>
                </w:p>
                <w:p>
                  <w:pPr>
                    <w:spacing w:line="254" w:lineRule="auto" w:before="82"/>
                    <w:ind w:left="179" w:right="177" w:firstLine="0"/>
                    <w:jc w:val="both"/>
                    <w:rPr>
                      <w:sz w:val="18"/>
                    </w:rPr>
                  </w:pPr>
                  <w:r>
                    <w:rPr>
                      <w:color w:val="231F20"/>
                      <w:spacing w:val="-3"/>
                      <w:w w:val="105"/>
                      <w:sz w:val="18"/>
                    </w:rPr>
                    <w:t>For </w:t>
                  </w:r>
                  <w:r>
                    <w:rPr>
                      <w:color w:val="231F20"/>
                      <w:w w:val="105"/>
                      <w:sz w:val="18"/>
                    </w:rPr>
                    <w:t>most of human history, the typical diet has been one that</w:t>
                  </w:r>
                  <w:r>
                    <w:rPr>
                      <w:color w:val="231F20"/>
                      <w:spacing w:val="-8"/>
                      <w:w w:val="105"/>
                      <w:sz w:val="18"/>
                    </w:rPr>
                    <w:t> </w:t>
                  </w:r>
                  <w:r>
                    <w:rPr>
                      <w:color w:val="231F20"/>
                      <w:w w:val="105"/>
                      <w:sz w:val="18"/>
                    </w:rPr>
                    <w:t>is</w:t>
                  </w:r>
                  <w:r>
                    <w:rPr>
                      <w:color w:val="231F20"/>
                      <w:spacing w:val="-8"/>
                      <w:w w:val="105"/>
                      <w:sz w:val="18"/>
                    </w:rPr>
                    <w:t> </w:t>
                  </w:r>
                  <w:r>
                    <w:rPr>
                      <w:color w:val="231F20"/>
                      <w:w w:val="105"/>
                      <w:sz w:val="18"/>
                    </w:rPr>
                    <w:t>low</w:t>
                  </w:r>
                  <w:r>
                    <w:rPr>
                      <w:color w:val="231F20"/>
                      <w:spacing w:val="-7"/>
                      <w:w w:val="105"/>
                      <w:sz w:val="18"/>
                    </w:rPr>
                    <w:t> </w:t>
                  </w:r>
                  <w:r>
                    <w:rPr>
                      <w:color w:val="231F20"/>
                      <w:w w:val="105"/>
                      <w:sz w:val="18"/>
                    </w:rPr>
                    <w:t>in</w:t>
                  </w:r>
                  <w:r>
                    <w:rPr>
                      <w:color w:val="231F20"/>
                      <w:spacing w:val="-8"/>
                      <w:w w:val="105"/>
                      <w:sz w:val="18"/>
                    </w:rPr>
                    <w:t> </w:t>
                  </w:r>
                  <w:r>
                    <w:rPr>
                      <w:color w:val="231F20"/>
                      <w:w w:val="105"/>
                      <w:sz w:val="18"/>
                    </w:rPr>
                    <w:t>sodium</w:t>
                  </w:r>
                  <w:r>
                    <w:rPr>
                      <w:color w:val="231F20"/>
                      <w:spacing w:val="-7"/>
                      <w:w w:val="105"/>
                      <w:sz w:val="18"/>
                    </w:rPr>
                    <w:t> </w:t>
                  </w:r>
                  <w:r>
                    <w:rPr>
                      <w:color w:val="231F20"/>
                      <w:w w:val="105"/>
                      <w:sz w:val="18"/>
                    </w:rPr>
                    <w:t>and</w:t>
                  </w:r>
                  <w:r>
                    <w:rPr>
                      <w:color w:val="231F20"/>
                      <w:spacing w:val="-8"/>
                      <w:w w:val="105"/>
                      <w:sz w:val="18"/>
                    </w:rPr>
                    <w:t> </w:t>
                  </w:r>
                  <w:r>
                    <w:rPr>
                      <w:color w:val="231F20"/>
                      <w:w w:val="105"/>
                      <w:sz w:val="18"/>
                    </w:rPr>
                    <w:t>high</w:t>
                  </w:r>
                  <w:r>
                    <w:rPr>
                      <w:color w:val="231F20"/>
                      <w:spacing w:val="-7"/>
                      <w:w w:val="105"/>
                      <w:sz w:val="18"/>
                    </w:rPr>
                    <w:t> </w:t>
                  </w:r>
                  <w:r>
                    <w:rPr>
                      <w:color w:val="231F20"/>
                      <w:w w:val="105"/>
                      <w:sz w:val="18"/>
                    </w:rPr>
                    <w:t>in</w:t>
                  </w:r>
                  <w:r>
                    <w:rPr>
                      <w:color w:val="231F20"/>
                      <w:spacing w:val="-8"/>
                      <w:w w:val="105"/>
                      <w:sz w:val="18"/>
                    </w:rPr>
                    <w:t> </w:t>
                  </w:r>
                  <w:r>
                    <w:rPr>
                      <w:color w:val="231F20"/>
                      <w:w w:val="105"/>
                      <w:sz w:val="18"/>
                    </w:rPr>
                    <w:t>potassium</w:t>
                  </w:r>
                  <w:r>
                    <w:rPr>
                      <w:color w:val="231F20"/>
                      <w:spacing w:val="-7"/>
                      <w:w w:val="105"/>
                      <w:sz w:val="18"/>
                    </w:rPr>
                    <w:t> </w:t>
                  </w:r>
                  <w:r>
                    <w:rPr>
                      <w:color w:val="231F20"/>
                      <w:w w:val="105"/>
                      <w:sz w:val="18"/>
                    </w:rPr>
                    <w:t>content,</w:t>
                  </w:r>
                  <w:r>
                    <w:rPr>
                      <w:color w:val="231F20"/>
                      <w:spacing w:val="-8"/>
                      <w:w w:val="105"/>
                      <w:sz w:val="18"/>
                    </w:rPr>
                    <w:t> </w:t>
                  </w:r>
                  <w:r>
                    <w:rPr>
                      <w:color w:val="231F20"/>
                      <w:w w:val="105"/>
                      <w:sz w:val="18"/>
                    </w:rPr>
                    <w:t>com- pared</w:t>
                  </w:r>
                  <w:r>
                    <w:rPr>
                      <w:color w:val="231F20"/>
                      <w:spacing w:val="-13"/>
                      <w:w w:val="105"/>
                      <w:sz w:val="18"/>
                    </w:rPr>
                    <w:t> </w:t>
                  </w:r>
                  <w:r>
                    <w:rPr>
                      <w:color w:val="231F20"/>
                      <w:w w:val="105"/>
                      <w:sz w:val="18"/>
                    </w:rPr>
                    <w:t>with</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typical</w:t>
                  </w:r>
                  <w:r>
                    <w:rPr>
                      <w:color w:val="231F20"/>
                      <w:spacing w:val="-13"/>
                      <w:w w:val="105"/>
                      <w:sz w:val="18"/>
                    </w:rPr>
                    <w:t> </w:t>
                  </w:r>
                  <w:r>
                    <w:rPr>
                      <w:color w:val="231F20"/>
                      <w:w w:val="105"/>
                      <w:sz w:val="18"/>
                    </w:rPr>
                    <w:t>modern</w:t>
                  </w:r>
                  <w:r>
                    <w:rPr>
                      <w:color w:val="231F20"/>
                      <w:spacing w:val="-13"/>
                      <w:w w:val="105"/>
                      <w:sz w:val="18"/>
                    </w:rPr>
                    <w:t> </w:t>
                  </w:r>
                  <w:r>
                    <w:rPr>
                      <w:color w:val="231F20"/>
                      <w:w w:val="105"/>
                      <w:sz w:val="18"/>
                    </w:rPr>
                    <w:t>diet.</w:t>
                  </w:r>
                  <w:r>
                    <w:rPr>
                      <w:color w:val="231F20"/>
                      <w:spacing w:val="-13"/>
                      <w:w w:val="105"/>
                      <w:sz w:val="18"/>
                    </w:rPr>
                    <w:t> </w:t>
                  </w:r>
                  <w:r>
                    <w:rPr>
                      <w:color w:val="231F20"/>
                      <w:w w:val="105"/>
                      <w:sz w:val="18"/>
                    </w:rPr>
                    <w:t>In</w:t>
                  </w:r>
                  <w:r>
                    <w:rPr>
                      <w:color w:val="231F20"/>
                      <w:spacing w:val="-13"/>
                      <w:w w:val="105"/>
                      <w:sz w:val="18"/>
                    </w:rPr>
                    <w:t> </w:t>
                  </w:r>
                  <w:r>
                    <w:rPr>
                      <w:color w:val="231F20"/>
                      <w:w w:val="105"/>
                      <w:sz w:val="18"/>
                    </w:rPr>
                    <w:t>isolated</w:t>
                  </w:r>
                  <w:r>
                    <w:rPr>
                      <w:color w:val="231F20"/>
                      <w:spacing w:val="-13"/>
                      <w:w w:val="105"/>
                      <w:sz w:val="18"/>
                    </w:rPr>
                    <w:t> </w:t>
                  </w:r>
                  <w:r>
                    <w:rPr>
                      <w:color w:val="231F20"/>
                      <w:w w:val="105"/>
                      <w:sz w:val="18"/>
                    </w:rPr>
                    <w:t>populations that have not experienced industrialization, such as the Yanomamo</w:t>
                  </w:r>
                  <w:r>
                    <w:rPr>
                      <w:color w:val="231F20"/>
                      <w:spacing w:val="-13"/>
                      <w:w w:val="105"/>
                      <w:sz w:val="18"/>
                    </w:rPr>
                    <w:t> </w:t>
                  </w:r>
                  <w:r>
                    <w:rPr>
                      <w:color w:val="231F20"/>
                      <w:w w:val="105"/>
                      <w:sz w:val="18"/>
                    </w:rPr>
                    <w:t>tribe</w:t>
                  </w:r>
                  <w:r>
                    <w:rPr>
                      <w:color w:val="231F20"/>
                      <w:spacing w:val="-12"/>
                      <w:w w:val="105"/>
                      <w:sz w:val="18"/>
                    </w:rPr>
                    <w:t> </w:t>
                  </w:r>
                  <w:r>
                    <w:rPr>
                      <w:color w:val="231F20"/>
                      <w:w w:val="105"/>
                      <w:sz w:val="18"/>
                    </w:rPr>
                    <w:t>living</w:t>
                  </w:r>
                  <w:r>
                    <w:rPr>
                      <w:color w:val="231F20"/>
                      <w:spacing w:val="-13"/>
                      <w:w w:val="105"/>
                      <w:sz w:val="18"/>
                    </w:rPr>
                    <w:t> </w:t>
                  </w:r>
                  <w:r>
                    <w:rPr>
                      <w:color w:val="231F20"/>
                      <w:w w:val="105"/>
                      <w:sz w:val="18"/>
                    </w:rPr>
                    <w:t>in</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Amazon</w:t>
                  </w:r>
                  <w:r>
                    <w:rPr>
                      <w:color w:val="231F20"/>
                      <w:spacing w:val="-13"/>
                      <w:w w:val="105"/>
                      <w:sz w:val="18"/>
                    </w:rPr>
                    <w:t> </w:t>
                  </w:r>
                  <w:r>
                    <w:rPr>
                      <w:color w:val="231F20"/>
                      <w:w w:val="105"/>
                      <w:sz w:val="18"/>
                    </w:rPr>
                    <w:t>of</w:t>
                  </w:r>
                  <w:r>
                    <w:rPr>
                      <w:color w:val="231F20"/>
                      <w:spacing w:val="-12"/>
                      <w:w w:val="105"/>
                      <w:sz w:val="18"/>
                    </w:rPr>
                    <w:t> </w:t>
                  </w:r>
                  <w:r>
                    <w:rPr>
                      <w:color w:val="231F20"/>
                      <w:w w:val="105"/>
                      <w:sz w:val="18"/>
                    </w:rPr>
                    <w:t>Northern</w:t>
                  </w:r>
                  <w:r>
                    <w:rPr>
                      <w:color w:val="231F20"/>
                      <w:spacing w:val="-13"/>
                      <w:w w:val="105"/>
                      <w:sz w:val="18"/>
                    </w:rPr>
                    <w:t> </w:t>
                  </w:r>
                  <w:r>
                    <w:rPr>
                      <w:color w:val="231F20"/>
                      <w:w w:val="105"/>
                      <w:sz w:val="18"/>
                    </w:rPr>
                    <w:t>Brazil, sodium</w:t>
                  </w:r>
                  <w:r>
                    <w:rPr>
                      <w:color w:val="231F20"/>
                      <w:spacing w:val="-4"/>
                      <w:w w:val="105"/>
                      <w:sz w:val="18"/>
                    </w:rPr>
                    <w:t> </w:t>
                  </w:r>
                  <w:r>
                    <w:rPr>
                      <w:color w:val="231F20"/>
                      <w:w w:val="105"/>
                      <w:sz w:val="18"/>
                    </w:rPr>
                    <w:t>intake</w:t>
                  </w:r>
                  <w:r>
                    <w:rPr>
                      <w:color w:val="231F20"/>
                      <w:spacing w:val="-3"/>
                      <w:w w:val="105"/>
                      <w:sz w:val="18"/>
                    </w:rPr>
                    <w:t> </w:t>
                  </w:r>
                  <w:r>
                    <w:rPr>
                      <w:color w:val="231F20"/>
                      <w:w w:val="105"/>
                      <w:sz w:val="18"/>
                    </w:rPr>
                    <w:t>may</w:t>
                  </w:r>
                  <w:r>
                    <w:rPr>
                      <w:color w:val="231F20"/>
                      <w:spacing w:val="-3"/>
                      <w:w w:val="105"/>
                      <w:sz w:val="18"/>
                    </w:rPr>
                    <w:t> </w:t>
                  </w:r>
                  <w:r>
                    <w:rPr>
                      <w:color w:val="231F20"/>
                      <w:w w:val="105"/>
                      <w:sz w:val="18"/>
                    </w:rPr>
                    <w:t>be</w:t>
                  </w:r>
                  <w:r>
                    <w:rPr>
                      <w:color w:val="231F20"/>
                      <w:spacing w:val="-4"/>
                      <w:w w:val="105"/>
                      <w:sz w:val="18"/>
                    </w:rPr>
                    <w:t> </w:t>
                  </w:r>
                  <w:r>
                    <w:rPr>
                      <w:color w:val="231F20"/>
                      <w:w w:val="105"/>
                      <w:sz w:val="18"/>
                    </w:rPr>
                    <w:t>as</w:t>
                  </w:r>
                  <w:r>
                    <w:rPr>
                      <w:color w:val="231F20"/>
                      <w:spacing w:val="-3"/>
                      <w:w w:val="105"/>
                      <w:sz w:val="18"/>
                    </w:rPr>
                    <w:t> </w:t>
                  </w:r>
                  <w:r>
                    <w:rPr>
                      <w:color w:val="231F20"/>
                      <w:w w:val="105"/>
                      <w:sz w:val="18"/>
                    </w:rPr>
                    <w:t>low</w:t>
                  </w:r>
                  <w:r>
                    <w:rPr>
                      <w:color w:val="231F20"/>
                      <w:spacing w:val="-3"/>
                      <w:w w:val="105"/>
                      <w:sz w:val="18"/>
                    </w:rPr>
                    <w:t> </w:t>
                  </w:r>
                  <w:r>
                    <w:rPr>
                      <w:color w:val="231F20"/>
                      <w:w w:val="105"/>
                      <w:sz w:val="18"/>
                    </w:rPr>
                    <w:t>as</w:t>
                  </w:r>
                  <w:r>
                    <w:rPr>
                      <w:color w:val="231F20"/>
                      <w:spacing w:val="-4"/>
                      <w:w w:val="105"/>
                      <w:sz w:val="18"/>
                    </w:rPr>
                    <w:t> </w:t>
                  </w:r>
                  <w:r>
                    <w:rPr>
                      <w:color w:val="231F20"/>
                      <w:w w:val="105"/>
                      <w:sz w:val="18"/>
                    </w:rPr>
                    <w:t>10</w:t>
                  </w:r>
                  <w:r>
                    <w:rPr>
                      <w:color w:val="231F20"/>
                      <w:spacing w:val="-3"/>
                      <w:w w:val="105"/>
                      <w:sz w:val="18"/>
                    </w:rPr>
                    <w:t> </w:t>
                  </w:r>
                  <w:r>
                    <w:rPr>
                      <w:color w:val="231F20"/>
                      <w:w w:val="105"/>
                      <w:sz w:val="18"/>
                    </w:rPr>
                    <w:t>to</w:t>
                  </w:r>
                  <w:r>
                    <w:rPr>
                      <w:color w:val="231F20"/>
                      <w:spacing w:val="-3"/>
                      <w:w w:val="105"/>
                      <w:sz w:val="18"/>
                    </w:rPr>
                    <w:t> </w:t>
                  </w:r>
                  <w:r>
                    <w:rPr>
                      <w:color w:val="231F20"/>
                      <w:w w:val="105"/>
                      <w:sz w:val="18"/>
                    </w:rPr>
                    <w:t>20</w:t>
                  </w:r>
                  <w:r>
                    <w:rPr>
                      <w:color w:val="231F20"/>
                      <w:spacing w:val="-8"/>
                      <w:w w:val="105"/>
                      <w:sz w:val="18"/>
                    </w:rPr>
                    <w:t> </w:t>
                  </w:r>
                  <w:r>
                    <w:rPr>
                      <w:color w:val="231F20"/>
                      <w:w w:val="105"/>
                      <w:sz w:val="18"/>
                    </w:rPr>
                    <w:t>mmol/day</w:t>
                  </w:r>
                  <w:r>
                    <w:rPr>
                      <w:color w:val="231F20"/>
                      <w:spacing w:val="-3"/>
                      <w:w w:val="105"/>
                      <w:sz w:val="18"/>
                    </w:rPr>
                    <w:t> </w:t>
                  </w:r>
                  <w:r>
                    <w:rPr>
                      <w:color w:val="231F20"/>
                      <w:w w:val="105"/>
                      <w:sz w:val="18"/>
                    </w:rPr>
                    <w:t>while potassium intake may be as high as 200 mmol/day. This intake</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due</w:t>
                  </w:r>
                  <w:r>
                    <w:rPr>
                      <w:color w:val="231F20"/>
                      <w:spacing w:val="-17"/>
                      <w:w w:val="105"/>
                      <w:sz w:val="18"/>
                    </w:rPr>
                    <w:t> </w:t>
                  </w:r>
                  <w:r>
                    <w:rPr>
                      <w:color w:val="231F20"/>
                      <w:w w:val="105"/>
                      <w:sz w:val="18"/>
                    </w:rPr>
                    <w:t>to</w:t>
                  </w:r>
                  <w:r>
                    <w:rPr>
                      <w:color w:val="231F20"/>
                      <w:spacing w:val="-18"/>
                      <w:w w:val="105"/>
                      <w:sz w:val="18"/>
                    </w:rPr>
                    <w:t> </w:t>
                  </w:r>
                  <w:r>
                    <w:rPr>
                      <w:color w:val="231F20"/>
                      <w:w w:val="105"/>
                      <w:sz w:val="18"/>
                    </w:rPr>
                    <w:t>their</w:t>
                  </w:r>
                  <w:r>
                    <w:rPr>
                      <w:color w:val="231F20"/>
                      <w:spacing w:val="-17"/>
                      <w:w w:val="105"/>
                      <w:sz w:val="18"/>
                    </w:rPr>
                    <w:t> </w:t>
                  </w:r>
                  <w:r>
                    <w:rPr>
                      <w:color w:val="231F20"/>
                      <w:w w:val="105"/>
                      <w:sz w:val="18"/>
                    </w:rPr>
                    <w:t>consumption</w:t>
                  </w:r>
                  <w:r>
                    <w:rPr>
                      <w:color w:val="231F20"/>
                      <w:spacing w:val="-18"/>
                      <w:w w:val="105"/>
                      <w:sz w:val="18"/>
                    </w:rPr>
                    <w:t> </w:t>
                  </w:r>
                  <w:r>
                    <w:rPr>
                      <w:color w:val="231F20"/>
                      <w:w w:val="105"/>
                      <w:sz w:val="18"/>
                    </w:rPr>
                    <w:t>of</w:t>
                  </w:r>
                  <w:r>
                    <w:rPr>
                      <w:color w:val="231F20"/>
                      <w:spacing w:val="-18"/>
                      <w:w w:val="105"/>
                      <w:sz w:val="18"/>
                    </w:rPr>
                    <w:t> </w:t>
                  </w:r>
                  <w:r>
                    <w:rPr>
                      <w:color w:val="231F20"/>
                      <w:w w:val="105"/>
                      <w:sz w:val="18"/>
                    </w:rPr>
                    <w:t>a</w:t>
                  </w:r>
                  <w:r>
                    <w:rPr>
                      <w:color w:val="231F20"/>
                      <w:spacing w:val="-17"/>
                      <w:w w:val="105"/>
                      <w:sz w:val="18"/>
                    </w:rPr>
                    <w:t> </w:t>
                  </w:r>
                  <w:r>
                    <w:rPr>
                      <w:color w:val="231F20"/>
                      <w:w w:val="105"/>
                      <w:sz w:val="18"/>
                    </w:rPr>
                    <w:t>diet</w:t>
                  </w:r>
                  <w:r>
                    <w:rPr>
                      <w:color w:val="231F20"/>
                      <w:spacing w:val="-18"/>
                      <w:w w:val="105"/>
                      <w:sz w:val="18"/>
                    </w:rPr>
                    <w:t> </w:t>
                  </w:r>
                  <w:r>
                    <w:rPr>
                      <w:color w:val="231F20"/>
                      <w:w w:val="105"/>
                      <w:sz w:val="18"/>
                    </w:rPr>
                    <w:t>containing</w:t>
                  </w:r>
                  <w:r>
                    <w:rPr>
                      <w:color w:val="231F20"/>
                      <w:spacing w:val="-17"/>
                      <w:w w:val="105"/>
                      <w:sz w:val="18"/>
                    </w:rPr>
                    <w:t> </w:t>
                  </w:r>
                  <w:r>
                    <w:rPr>
                      <w:color w:val="231F20"/>
                      <w:spacing w:val="-4"/>
                      <w:w w:val="105"/>
                      <w:sz w:val="18"/>
                    </w:rPr>
                    <w:t>large </w:t>
                  </w:r>
                  <w:r>
                    <w:rPr>
                      <w:color w:val="231F20"/>
                      <w:w w:val="105"/>
                      <w:sz w:val="18"/>
                    </w:rPr>
                    <w:t>amounts of fruits and vegetables and no processed foods. Populations consuming this type of diet typically do </w:t>
                  </w:r>
                  <w:r>
                    <w:rPr>
                      <w:color w:val="231F20"/>
                      <w:spacing w:val="-4"/>
                      <w:w w:val="105"/>
                      <w:sz w:val="18"/>
                    </w:rPr>
                    <w:t>not </w:t>
                  </w:r>
                  <w:r>
                    <w:rPr>
                      <w:color w:val="231F20"/>
                      <w:w w:val="105"/>
                      <w:sz w:val="18"/>
                    </w:rPr>
                    <w:t>experience</w:t>
                  </w:r>
                  <w:r>
                    <w:rPr>
                      <w:color w:val="231F20"/>
                      <w:spacing w:val="-21"/>
                      <w:w w:val="105"/>
                      <w:sz w:val="18"/>
                    </w:rPr>
                    <w:t> </w:t>
                  </w:r>
                  <w:r>
                    <w:rPr>
                      <w:color w:val="231F20"/>
                      <w:w w:val="105"/>
                      <w:sz w:val="18"/>
                    </w:rPr>
                    <w:t>age-related</w:t>
                  </w:r>
                  <w:r>
                    <w:rPr>
                      <w:color w:val="231F20"/>
                      <w:spacing w:val="-20"/>
                      <w:w w:val="105"/>
                      <w:sz w:val="18"/>
                    </w:rPr>
                    <w:t> </w:t>
                  </w:r>
                  <w:r>
                    <w:rPr>
                      <w:color w:val="231F20"/>
                      <w:w w:val="105"/>
                      <w:sz w:val="18"/>
                    </w:rPr>
                    <w:t>increases</w:t>
                  </w:r>
                  <w:r>
                    <w:rPr>
                      <w:color w:val="231F20"/>
                      <w:spacing w:val="-21"/>
                      <w:w w:val="105"/>
                      <w:sz w:val="18"/>
                    </w:rPr>
                    <w:t> </w:t>
                  </w:r>
                  <w:r>
                    <w:rPr>
                      <w:color w:val="231F20"/>
                      <w:w w:val="105"/>
                      <w:sz w:val="18"/>
                    </w:rPr>
                    <w:t>in</w:t>
                  </w:r>
                  <w:r>
                    <w:rPr>
                      <w:color w:val="231F20"/>
                      <w:spacing w:val="-20"/>
                      <w:w w:val="105"/>
                      <w:sz w:val="18"/>
                    </w:rPr>
                    <w:t> </w:t>
                  </w:r>
                  <w:r>
                    <w:rPr>
                      <w:color w:val="231F20"/>
                      <w:w w:val="105"/>
                      <w:sz w:val="18"/>
                    </w:rPr>
                    <w:t>blood</w:t>
                  </w:r>
                  <w:r>
                    <w:rPr>
                      <w:color w:val="231F20"/>
                      <w:spacing w:val="-21"/>
                      <w:w w:val="105"/>
                      <w:sz w:val="18"/>
                    </w:rPr>
                    <w:t> </w:t>
                  </w:r>
                  <w:r>
                    <w:rPr>
                      <w:color w:val="231F20"/>
                      <w:w w:val="105"/>
                      <w:sz w:val="18"/>
                    </w:rPr>
                    <w:t>pressure</w:t>
                  </w:r>
                  <w:r>
                    <w:rPr>
                      <w:color w:val="231F20"/>
                      <w:spacing w:val="-20"/>
                      <w:w w:val="105"/>
                      <w:sz w:val="18"/>
                    </w:rPr>
                    <w:t> </w:t>
                  </w:r>
                  <w:r>
                    <w:rPr>
                      <w:color w:val="231F20"/>
                      <w:w w:val="105"/>
                      <w:sz w:val="18"/>
                    </w:rPr>
                    <w:t>and</w:t>
                  </w:r>
                  <w:r>
                    <w:rPr>
                      <w:color w:val="231F20"/>
                      <w:spacing w:val="-21"/>
                      <w:w w:val="105"/>
                      <w:sz w:val="18"/>
                    </w:rPr>
                    <w:t> </w:t>
                  </w:r>
                  <w:r>
                    <w:rPr>
                      <w:color w:val="231F20"/>
                      <w:w w:val="105"/>
                      <w:sz w:val="18"/>
                    </w:rPr>
                    <w:t>car- diovascular</w:t>
                  </w:r>
                  <w:r>
                    <w:rPr>
                      <w:color w:val="231F20"/>
                      <w:spacing w:val="2"/>
                      <w:w w:val="105"/>
                      <w:sz w:val="18"/>
                    </w:rPr>
                    <w:t> </w:t>
                  </w:r>
                  <w:r>
                    <w:rPr>
                      <w:color w:val="231F20"/>
                      <w:w w:val="105"/>
                      <w:sz w:val="18"/>
                    </w:rPr>
                    <w:t>diseases.</w:t>
                  </w:r>
                </w:p>
                <w:p>
                  <w:pPr>
                    <w:spacing w:line="254" w:lineRule="auto" w:before="7"/>
                    <w:ind w:left="179" w:right="177" w:firstLine="239"/>
                    <w:jc w:val="both"/>
                    <w:rPr>
                      <w:sz w:val="18"/>
                    </w:rPr>
                  </w:pPr>
                  <w:r>
                    <w:rPr>
                      <w:color w:val="231F20"/>
                      <w:spacing w:val="-3"/>
                      <w:w w:val="105"/>
                      <w:sz w:val="18"/>
                    </w:rPr>
                    <w:t>With </w:t>
                  </w:r>
                  <w:r>
                    <w:rPr>
                      <w:color w:val="231F20"/>
                      <w:w w:val="105"/>
                      <w:sz w:val="18"/>
                    </w:rPr>
                    <w:t>industrialization and increased consumption of processed foods, which often have high sodium and low potassium content, there have been dramatic increases in sodium intake and decreases in potassium intake. In</w:t>
                  </w:r>
                  <w:r>
                    <w:rPr>
                      <w:color w:val="231F20"/>
                      <w:spacing w:val="-34"/>
                      <w:w w:val="105"/>
                      <w:sz w:val="18"/>
                    </w:rPr>
                    <w:t> </w:t>
                  </w:r>
                  <w:r>
                    <w:rPr>
                      <w:color w:val="231F20"/>
                      <w:w w:val="105"/>
                      <w:sz w:val="18"/>
                    </w:rPr>
                    <w:t>most industrialized</w:t>
                  </w:r>
                  <w:r>
                    <w:rPr>
                      <w:color w:val="231F20"/>
                      <w:spacing w:val="-12"/>
                      <w:w w:val="105"/>
                      <w:sz w:val="18"/>
                    </w:rPr>
                    <w:t> </w:t>
                  </w:r>
                  <w:r>
                    <w:rPr>
                      <w:color w:val="231F20"/>
                      <w:w w:val="105"/>
                      <w:sz w:val="18"/>
                    </w:rPr>
                    <w:t>countries,</w:t>
                  </w:r>
                  <w:r>
                    <w:rPr>
                      <w:color w:val="231F20"/>
                      <w:spacing w:val="-12"/>
                      <w:w w:val="105"/>
                      <w:sz w:val="18"/>
                    </w:rPr>
                    <w:t> </w:t>
                  </w:r>
                  <w:r>
                    <w:rPr>
                      <w:color w:val="231F20"/>
                      <w:w w:val="105"/>
                      <w:sz w:val="18"/>
                    </w:rPr>
                    <w:t>potassium</w:t>
                  </w:r>
                  <w:r>
                    <w:rPr>
                      <w:color w:val="231F20"/>
                      <w:spacing w:val="-12"/>
                      <w:w w:val="105"/>
                      <w:sz w:val="18"/>
                    </w:rPr>
                    <w:t> </w:t>
                  </w:r>
                  <w:r>
                    <w:rPr>
                      <w:color w:val="231F20"/>
                      <w:w w:val="105"/>
                      <w:sz w:val="18"/>
                    </w:rPr>
                    <w:t>consumption</w:t>
                  </w:r>
                  <w:r>
                    <w:rPr>
                      <w:color w:val="231F20"/>
                      <w:spacing w:val="-12"/>
                      <w:w w:val="105"/>
                      <w:sz w:val="18"/>
                    </w:rPr>
                    <w:t> </w:t>
                  </w:r>
                  <w:r>
                    <w:rPr>
                      <w:color w:val="231F20"/>
                      <w:w w:val="105"/>
                      <w:sz w:val="18"/>
                    </w:rPr>
                    <w:t>averages only</w:t>
                  </w:r>
                  <w:r>
                    <w:rPr>
                      <w:color w:val="231F20"/>
                      <w:spacing w:val="-19"/>
                      <w:w w:val="105"/>
                      <w:sz w:val="18"/>
                    </w:rPr>
                    <w:t> </w:t>
                  </w:r>
                  <w:r>
                    <w:rPr>
                      <w:color w:val="231F20"/>
                      <w:w w:val="105"/>
                      <w:sz w:val="18"/>
                    </w:rPr>
                    <w:t>30</w:t>
                  </w:r>
                  <w:r>
                    <w:rPr>
                      <w:color w:val="231F20"/>
                      <w:spacing w:val="-19"/>
                      <w:w w:val="105"/>
                      <w:sz w:val="18"/>
                    </w:rPr>
                    <w:t> </w:t>
                  </w:r>
                  <w:r>
                    <w:rPr>
                      <w:color w:val="231F20"/>
                      <w:w w:val="105"/>
                      <w:sz w:val="18"/>
                    </w:rPr>
                    <w:t>to</w:t>
                  </w:r>
                  <w:r>
                    <w:rPr>
                      <w:color w:val="231F20"/>
                      <w:spacing w:val="-19"/>
                      <w:w w:val="105"/>
                      <w:sz w:val="18"/>
                    </w:rPr>
                    <w:t> </w:t>
                  </w:r>
                  <w:r>
                    <w:rPr>
                      <w:color w:val="231F20"/>
                      <w:w w:val="105"/>
                      <w:sz w:val="18"/>
                    </w:rPr>
                    <w:t>70</w:t>
                  </w:r>
                  <w:r>
                    <w:rPr>
                      <w:color w:val="231F20"/>
                      <w:spacing w:val="-15"/>
                      <w:w w:val="105"/>
                      <w:sz w:val="18"/>
                    </w:rPr>
                    <w:t> </w:t>
                  </w:r>
                  <w:r>
                    <w:rPr>
                      <w:color w:val="231F20"/>
                      <w:w w:val="105"/>
                      <w:sz w:val="18"/>
                    </w:rPr>
                    <w:t>mmol/day,</w:t>
                  </w:r>
                  <w:r>
                    <w:rPr>
                      <w:color w:val="231F20"/>
                      <w:spacing w:val="-19"/>
                      <w:w w:val="105"/>
                      <w:sz w:val="18"/>
                    </w:rPr>
                    <w:t> </w:t>
                  </w:r>
                  <w:r>
                    <w:rPr>
                      <w:color w:val="231F20"/>
                      <w:w w:val="105"/>
                      <w:sz w:val="18"/>
                    </w:rPr>
                    <w:t>while</w:t>
                  </w:r>
                  <w:r>
                    <w:rPr>
                      <w:color w:val="231F20"/>
                      <w:spacing w:val="-19"/>
                      <w:w w:val="105"/>
                      <w:sz w:val="18"/>
                    </w:rPr>
                    <w:t> </w:t>
                  </w:r>
                  <w:r>
                    <w:rPr>
                      <w:color w:val="231F20"/>
                      <w:w w:val="105"/>
                      <w:sz w:val="18"/>
                    </w:rPr>
                    <w:t>sodium</w:t>
                  </w:r>
                  <w:r>
                    <w:rPr>
                      <w:color w:val="231F20"/>
                      <w:spacing w:val="-19"/>
                      <w:w w:val="105"/>
                      <w:sz w:val="18"/>
                    </w:rPr>
                    <w:t> </w:t>
                  </w:r>
                  <w:r>
                    <w:rPr>
                      <w:color w:val="231F20"/>
                      <w:w w:val="105"/>
                      <w:sz w:val="18"/>
                    </w:rPr>
                    <w:t>intake</w:t>
                  </w:r>
                  <w:r>
                    <w:rPr>
                      <w:color w:val="231F20"/>
                      <w:spacing w:val="-18"/>
                      <w:w w:val="105"/>
                      <w:sz w:val="18"/>
                    </w:rPr>
                    <w:t> </w:t>
                  </w:r>
                  <w:r>
                    <w:rPr>
                      <w:color w:val="231F20"/>
                      <w:w w:val="105"/>
                      <w:sz w:val="18"/>
                    </w:rPr>
                    <w:t>averages</w:t>
                  </w:r>
                  <w:r>
                    <w:rPr>
                      <w:color w:val="231F20"/>
                      <w:spacing w:val="-19"/>
                      <w:w w:val="105"/>
                      <w:sz w:val="18"/>
                    </w:rPr>
                    <w:t> </w:t>
                  </w:r>
                  <w:r>
                    <w:rPr>
                      <w:color w:val="231F20"/>
                      <w:w w:val="105"/>
                      <w:sz w:val="18"/>
                    </w:rPr>
                    <w:t>140 to 180</w:t>
                  </w:r>
                  <w:r>
                    <w:rPr>
                      <w:color w:val="231F20"/>
                      <w:spacing w:val="6"/>
                      <w:w w:val="105"/>
                      <w:sz w:val="18"/>
                    </w:rPr>
                    <w:t> </w:t>
                  </w:r>
                  <w:r>
                    <w:rPr>
                      <w:color w:val="231F20"/>
                      <w:w w:val="105"/>
                      <w:sz w:val="18"/>
                    </w:rPr>
                    <w:t>mmol/day.</w:t>
                  </w:r>
                </w:p>
                <w:p>
                  <w:pPr>
                    <w:spacing w:line="254" w:lineRule="auto" w:before="5"/>
                    <w:ind w:left="180" w:right="177" w:firstLine="239"/>
                    <w:jc w:val="both"/>
                    <w:rPr>
                      <w:sz w:val="18"/>
                    </w:rPr>
                  </w:pPr>
                  <w:r>
                    <w:rPr>
                      <w:color w:val="231F20"/>
                      <w:w w:val="105"/>
                      <w:sz w:val="18"/>
                    </w:rPr>
                    <w:t>Experimental and clinical studies have shown that the combination of high sodium and low potassium intake increases the risk for hypertension and associated cardio- vascular and kidney diseases. A diet rich in potassium, however, seems to protect against the adverse effects of a high-sodium diet, reducing blood pressure and the risk for</w:t>
                  </w:r>
                  <w:r>
                    <w:rPr>
                      <w:color w:val="231F20"/>
                      <w:spacing w:val="-22"/>
                      <w:w w:val="105"/>
                      <w:sz w:val="18"/>
                    </w:rPr>
                    <w:t> </w:t>
                  </w:r>
                  <w:r>
                    <w:rPr>
                      <w:color w:val="231F20"/>
                      <w:w w:val="105"/>
                      <w:sz w:val="18"/>
                    </w:rPr>
                    <w:t>stroke,</w:t>
                  </w:r>
                  <w:r>
                    <w:rPr>
                      <w:color w:val="231F20"/>
                      <w:spacing w:val="-22"/>
                      <w:w w:val="105"/>
                      <w:sz w:val="18"/>
                    </w:rPr>
                    <w:t> </w:t>
                  </w:r>
                  <w:r>
                    <w:rPr>
                      <w:color w:val="231F20"/>
                      <w:w w:val="105"/>
                      <w:sz w:val="18"/>
                    </w:rPr>
                    <w:t>coronary</w:t>
                  </w:r>
                  <w:r>
                    <w:rPr>
                      <w:color w:val="231F20"/>
                      <w:spacing w:val="-22"/>
                      <w:w w:val="105"/>
                      <w:sz w:val="18"/>
                    </w:rPr>
                    <w:t> </w:t>
                  </w:r>
                  <w:r>
                    <w:rPr>
                      <w:color w:val="231F20"/>
                      <w:w w:val="105"/>
                      <w:sz w:val="18"/>
                    </w:rPr>
                    <w:t>artery</w:t>
                  </w:r>
                  <w:r>
                    <w:rPr>
                      <w:color w:val="231F20"/>
                      <w:spacing w:val="-22"/>
                      <w:w w:val="105"/>
                      <w:sz w:val="18"/>
                    </w:rPr>
                    <w:t> </w:t>
                  </w:r>
                  <w:r>
                    <w:rPr>
                      <w:color w:val="231F20"/>
                      <w:w w:val="105"/>
                      <w:sz w:val="18"/>
                    </w:rPr>
                    <w:t>disease,</w:t>
                  </w:r>
                  <w:r>
                    <w:rPr>
                      <w:color w:val="231F20"/>
                      <w:spacing w:val="-22"/>
                      <w:w w:val="105"/>
                      <w:sz w:val="18"/>
                    </w:rPr>
                    <w:t> </w:t>
                  </w:r>
                  <w:r>
                    <w:rPr>
                      <w:color w:val="231F20"/>
                      <w:w w:val="105"/>
                      <w:sz w:val="18"/>
                    </w:rPr>
                    <w:t>and</w:t>
                  </w:r>
                  <w:r>
                    <w:rPr>
                      <w:color w:val="231F20"/>
                      <w:spacing w:val="-22"/>
                      <w:w w:val="105"/>
                      <w:sz w:val="18"/>
                    </w:rPr>
                    <w:t> </w:t>
                  </w:r>
                  <w:r>
                    <w:rPr>
                      <w:color w:val="231F20"/>
                      <w:w w:val="105"/>
                      <w:sz w:val="18"/>
                    </w:rPr>
                    <w:t>kidney</w:t>
                  </w:r>
                  <w:r>
                    <w:rPr>
                      <w:color w:val="231F20"/>
                      <w:spacing w:val="-21"/>
                      <w:w w:val="105"/>
                      <w:sz w:val="18"/>
                    </w:rPr>
                    <w:t> </w:t>
                  </w:r>
                  <w:r>
                    <w:rPr>
                      <w:color w:val="231F20"/>
                      <w:w w:val="105"/>
                      <w:sz w:val="18"/>
                    </w:rPr>
                    <w:t>disease.</w:t>
                  </w:r>
                  <w:r>
                    <w:rPr>
                      <w:color w:val="231F20"/>
                      <w:spacing w:val="-22"/>
                      <w:w w:val="105"/>
                      <w:sz w:val="18"/>
                    </w:rPr>
                    <w:t> </w:t>
                  </w:r>
                  <w:r>
                    <w:rPr>
                      <w:color w:val="231F20"/>
                      <w:w w:val="105"/>
                      <w:sz w:val="18"/>
                    </w:rPr>
                    <w:t>The beneficial</w:t>
                  </w:r>
                  <w:r>
                    <w:rPr>
                      <w:color w:val="231F20"/>
                      <w:spacing w:val="-9"/>
                      <w:w w:val="105"/>
                      <w:sz w:val="18"/>
                    </w:rPr>
                    <w:t> </w:t>
                  </w:r>
                  <w:r>
                    <w:rPr>
                      <w:color w:val="231F20"/>
                      <w:w w:val="105"/>
                      <w:sz w:val="18"/>
                    </w:rPr>
                    <w:t>effects</w:t>
                  </w:r>
                  <w:r>
                    <w:rPr>
                      <w:color w:val="231F20"/>
                      <w:spacing w:val="-9"/>
                      <w:w w:val="105"/>
                      <w:sz w:val="18"/>
                    </w:rPr>
                    <w:t> </w:t>
                  </w:r>
                  <w:r>
                    <w:rPr>
                      <w:color w:val="231F20"/>
                      <w:w w:val="105"/>
                      <w:sz w:val="18"/>
                    </w:rPr>
                    <w:t>of</w:t>
                  </w:r>
                  <w:r>
                    <w:rPr>
                      <w:color w:val="231F20"/>
                      <w:spacing w:val="-9"/>
                      <w:w w:val="105"/>
                      <w:sz w:val="18"/>
                    </w:rPr>
                    <w:t> </w:t>
                  </w:r>
                  <w:r>
                    <w:rPr>
                      <w:color w:val="231F20"/>
                      <w:w w:val="105"/>
                      <w:sz w:val="18"/>
                    </w:rPr>
                    <w:t>increasing</w:t>
                  </w:r>
                  <w:r>
                    <w:rPr>
                      <w:color w:val="231F20"/>
                      <w:spacing w:val="-8"/>
                      <w:w w:val="105"/>
                      <w:sz w:val="18"/>
                    </w:rPr>
                    <w:t> </w:t>
                  </w:r>
                  <w:r>
                    <w:rPr>
                      <w:color w:val="231F20"/>
                      <w:w w:val="105"/>
                      <w:sz w:val="18"/>
                    </w:rPr>
                    <w:t>potassium</w:t>
                  </w:r>
                  <w:r>
                    <w:rPr>
                      <w:color w:val="231F20"/>
                      <w:spacing w:val="-9"/>
                      <w:w w:val="105"/>
                      <w:sz w:val="18"/>
                    </w:rPr>
                    <w:t> </w:t>
                  </w:r>
                  <w:r>
                    <w:rPr>
                      <w:color w:val="231F20"/>
                      <w:w w:val="105"/>
                      <w:sz w:val="18"/>
                    </w:rPr>
                    <w:t>intake</w:t>
                  </w:r>
                  <w:r>
                    <w:rPr>
                      <w:color w:val="231F20"/>
                      <w:spacing w:val="-9"/>
                      <w:w w:val="105"/>
                      <w:sz w:val="18"/>
                    </w:rPr>
                    <w:t> </w:t>
                  </w:r>
                  <w:r>
                    <w:rPr>
                      <w:color w:val="231F20"/>
                      <w:w w:val="105"/>
                      <w:sz w:val="18"/>
                    </w:rPr>
                    <w:t>are</w:t>
                  </w:r>
                  <w:r>
                    <w:rPr>
                      <w:color w:val="231F20"/>
                      <w:spacing w:val="-8"/>
                      <w:w w:val="105"/>
                      <w:sz w:val="18"/>
                    </w:rPr>
                    <w:t> </w:t>
                  </w:r>
                  <w:r>
                    <w:rPr>
                      <w:color w:val="231F20"/>
                      <w:w w:val="105"/>
                      <w:sz w:val="18"/>
                    </w:rPr>
                    <w:t>espe- cially apparent when combined with a low-sodium</w:t>
                  </w:r>
                  <w:r>
                    <w:rPr>
                      <w:color w:val="231F20"/>
                      <w:spacing w:val="-34"/>
                      <w:w w:val="105"/>
                      <w:sz w:val="18"/>
                    </w:rPr>
                    <w:t> </w:t>
                  </w:r>
                  <w:r>
                    <w:rPr>
                      <w:color w:val="231F20"/>
                      <w:w w:val="105"/>
                      <w:sz w:val="18"/>
                    </w:rPr>
                    <w:t>diet.</w:t>
                  </w:r>
                </w:p>
                <w:p>
                  <w:pPr>
                    <w:spacing w:line="254" w:lineRule="auto" w:before="5"/>
                    <w:ind w:left="179" w:right="177" w:firstLine="240"/>
                    <w:jc w:val="both"/>
                    <w:rPr>
                      <w:sz w:val="18"/>
                    </w:rPr>
                  </w:pPr>
                  <w:r>
                    <w:rPr>
                      <w:color w:val="231F20"/>
                      <w:w w:val="105"/>
                      <w:sz w:val="18"/>
                    </w:rPr>
                    <w:t>Dietary guidelines published by various international organizations recommend reducing dietary intake of sodium</w:t>
                  </w:r>
                  <w:r>
                    <w:rPr>
                      <w:color w:val="231F20"/>
                      <w:spacing w:val="-18"/>
                      <w:w w:val="105"/>
                      <w:sz w:val="18"/>
                    </w:rPr>
                    <w:t> </w:t>
                  </w:r>
                  <w:r>
                    <w:rPr>
                      <w:color w:val="231F20"/>
                      <w:w w:val="105"/>
                      <w:sz w:val="18"/>
                    </w:rPr>
                    <w:t>chloride</w:t>
                  </w:r>
                  <w:r>
                    <w:rPr>
                      <w:color w:val="231F20"/>
                      <w:spacing w:val="-18"/>
                      <w:w w:val="105"/>
                      <w:sz w:val="18"/>
                    </w:rPr>
                    <w:t> </w:t>
                  </w:r>
                  <w:r>
                    <w:rPr>
                      <w:color w:val="231F20"/>
                      <w:w w:val="105"/>
                      <w:sz w:val="18"/>
                    </w:rPr>
                    <w:t>to</w:t>
                  </w:r>
                  <w:r>
                    <w:rPr>
                      <w:color w:val="231F20"/>
                      <w:spacing w:val="-17"/>
                      <w:w w:val="105"/>
                      <w:sz w:val="18"/>
                    </w:rPr>
                    <w:t> </w:t>
                  </w:r>
                  <w:r>
                    <w:rPr>
                      <w:color w:val="231F20"/>
                      <w:w w:val="105"/>
                      <w:sz w:val="18"/>
                    </w:rPr>
                    <w:t>around</w:t>
                  </w:r>
                  <w:r>
                    <w:rPr>
                      <w:color w:val="231F20"/>
                      <w:spacing w:val="-18"/>
                      <w:w w:val="105"/>
                      <w:sz w:val="18"/>
                    </w:rPr>
                    <w:t> </w:t>
                  </w:r>
                  <w:r>
                    <w:rPr>
                      <w:color w:val="231F20"/>
                      <w:w w:val="105"/>
                      <w:sz w:val="18"/>
                    </w:rPr>
                    <w:t>65</w:t>
                  </w:r>
                  <w:r>
                    <w:rPr>
                      <w:color w:val="231F20"/>
                      <w:spacing w:val="-5"/>
                      <w:w w:val="105"/>
                      <w:sz w:val="18"/>
                    </w:rPr>
                    <w:t> </w:t>
                  </w:r>
                  <w:r>
                    <w:rPr>
                      <w:color w:val="231F20"/>
                      <w:w w:val="105"/>
                      <w:sz w:val="18"/>
                    </w:rPr>
                    <w:t>mmol/day</w:t>
                  </w:r>
                  <w:r>
                    <w:rPr>
                      <w:color w:val="231F20"/>
                      <w:spacing w:val="-18"/>
                      <w:w w:val="105"/>
                      <w:sz w:val="18"/>
                    </w:rPr>
                    <w:t> </w:t>
                  </w:r>
                  <w:r>
                    <w:rPr>
                      <w:color w:val="231F20"/>
                      <w:w w:val="105"/>
                      <w:sz w:val="18"/>
                    </w:rPr>
                    <w:t>(corresponding</w:t>
                  </w:r>
                  <w:r>
                    <w:rPr>
                      <w:color w:val="231F20"/>
                      <w:spacing w:val="-17"/>
                      <w:w w:val="105"/>
                      <w:sz w:val="18"/>
                    </w:rPr>
                    <w:t> </w:t>
                  </w:r>
                  <w:r>
                    <w:rPr>
                      <w:color w:val="231F20"/>
                      <w:w w:val="105"/>
                      <w:sz w:val="18"/>
                    </w:rPr>
                    <w:t>to</w:t>
                  </w:r>
                </w:p>
                <w:p>
                  <w:pPr>
                    <w:spacing w:line="254" w:lineRule="auto" w:before="2"/>
                    <w:ind w:left="179" w:right="178" w:firstLine="0"/>
                    <w:jc w:val="both"/>
                    <w:rPr>
                      <w:sz w:val="18"/>
                    </w:rPr>
                  </w:pPr>
                  <w:r>
                    <w:rPr>
                      <w:color w:val="231F20"/>
                      <w:sz w:val="18"/>
                    </w:rPr>
                    <w:t>1.5 g/day of sodium or 3.8 g/day sodium chloride), </w:t>
                  </w:r>
                  <w:r>
                    <w:rPr>
                      <w:color w:val="231F20"/>
                      <w:spacing w:val="-3"/>
                      <w:sz w:val="18"/>
                    </w:rPr>
                    <w:t>while </w:t>
                  </w:r>
                  <w:r>
                    <w:rPr>
                      <w:color w:val="231F20"/>
                      <w:sz w:val="18"/>
                    </w:rPr>
                    <w:t>increasing potassium intake to 120 mmol/day (4.7 g/day) for healthy</w:t>
                  </w:r>
                  <w:r>
                    <w:rPr>
                      <w:color w:val="231F20"/>
                      <w:spacing w:val="12"/>
                      <w:sz w:val="18"/>
                    </w:rPr>
                    <w:t> </w:t>
                  </w:r>
                  <w:r>
                    <w:rPr>
                      <w:color w:val="231F20"/>
                      <w:sz w:val="18"/>
                    </w:rPr>
                    <w:t>adults.</w:t>
                  </w:r>
                </w:p>
              </w:txbxContent>
            </v:textbox>
            <v:fill type="solid"/>
            <w10:wrap type="none"/>
          </v:shape>
        </w:pict>
      </w:r>
      <w:r>
        <w:rPr>
          <w:color w:val="231F20"/>
          <w:w w:val="105"/>
          <w:sz w:val="20"/>
        </w:rPr>
        <w:t>A</w:t>
      </w:r>
      <w:r>
        <w:rPr>
          <w:color w:val="231F20"/>
          <w:spacing w:val="-7"/>
          <w:w w:val="105"/>
          <w:sz w:val="20"/>
        </w:rPr>
        <w:t> </w:t>
      </w:r>
      <w:r>
        <w:rPr>
          <w:color w:val="231F20"/>
          <w:w w:val="105"/>
          <w:sz w:val="20"/>
        </w:rPr>
        <w:t>high</w:t>
      </w:r>
      <w:r>
        <w:rPr>
          <w:color w:val="231F20"/>
          <w:spacing w:val="-7"/>
          <w:w w:val="105"/>
          <w:sz w:val="20"/>
        </w:rPr>
        <w:t> </w:t>
      </w:r>
      <w:r>
        <w:rPr>
          <w:color w:val="231F20"/>
          <w:w w:val="105"/>
          <w:sz w:val="20"/>
        </w:rPr>
        <w:t>tubular</w:t>
      </w:r>
      <w:r>
        <w:rPr>
          <w:color w:val="231F20"/>
          <w:spacing w:val="-7"/>
          <w:w w:val="105"/>
          <w:sz w:val="20"/>
        </w:rPr>
        <w:t> </w:t>
      </w:r>
      <w:r>
        <w:rPr>
          <w:color w:val="231F20"/>
          <w:w w:val="105"/>
          <w:sz w:val="20"/>
        </w:rPr>
        <w:t>flow</w:t>
      </w:r>
      <w:r>
        <w:rPr>
          <w:color w:val="231F20"/>
          <w:spacing w:val="-7"/>
          <w:w w:val="105"/>
          <w:sz w:val="20"/>
        </w:rPr>
        <w:t> </w:t>
      </w:r>
      <w:r>
        <w:rPr>
          <w:color w:val="231F20"/>
          <w:w w:val="105"/>
          <w:sz w:val="20"/>
        </w:rPr>
        <w:t>rate</w:t>
      </w:r>
      <w:r>
        <w:rPr>
          <w:color w:val="231F20"/>
          <w:spacing w:val="-7"/>
          <w:w w:val="105"/>
          <w:sz w:val="20"/>
        </w:rPr>
        <w:t> </w:t>
      </w:r>
      <w:r>
        <w:rPr>
          <w:color w:val="231F20"/>
          <w:w w:val="105"/>
          <w:sz w:val="20"/>
        </w:rPr>
        <w:t>also</w:t>
      </w:r>
      <w:r>
        <w:rPr>
          <w:color w:val="231F20"/>
          <w:spacing w:val="-7"/>
          <w:w w:val="105"/>
          <w:sz w:val="20"/>
        </w:rPr>
        <w:t> </w:t>
      </w:r>
      <w:r>
        <w:rPr>
          <w:color w:val="231F20"/>
          <w:w w:val="105"/>
          <w:sz w:val="20"/>
        </w:rPr>
        <w:t>increases</w:t>
      </w:r>
      <w:r>
        <w:rPr>
          <w:color w:val="231F20"/>
          <w:spacing w:val="-7"/>
          <w:w w:val="105"/>
          <w:sz w:val="20"/>
        </w:rPr>
        <w:t> </w:t>
      </w:r>
      <w:r>
        <w:rPr>
          <w:color w:val="231F20"/>
          <w:w w:val="105"/>
          <w:sz w:val="20"/>
        </w:rPr>
        <w:t>the</w:t>
      </w:r>
      <w:r>
        <w:rPr>
          <w:color w:val="231F20"/>
          <w:spacing w:val="-7"/>
          <w:w w:val="105"/>
          <w:sz w:val="20"/>
        </w:rPr>
        <w:t> </w:t>
      </w:r>
      <w:r>
        <w:rPr>
          <w:color w:val="231F20"/>
          <w:w w:val="105"/>
          <w:sz w:val="20"/>
        </w:rPr>
        <w:t>number of high conductance BK channels in the luminal membrane.</w:t>
      </w:r>
      <w:r>
        <w:rPr>
          <w:color w:val="231F20"/>
          <w:spacing w:val="-26"/>
          <w:w w:val="105"/>
          <w:sz w:val="20"/>
        </w:rPr>
        <w:t> </w:t>
      </w:r>
      <w:r>
        <w:rPr>
          <w:color w:val="231F20"/>
          <w:w w:val="105"/>
          <w:sz w:val="20"/>
        </w:rPr>
        <w:t>Although</w:t>
      </w:r>
      <w:r>
        <w:rPr>
          <w:color w:val="231F20"/>
          <w:spacing w:val="-25"/>
          <w:w w:val="105"/>
          <w:sz w:val="20"/>
        </w:rPr>
        <w:t> </w:t>
      </w:r>
      <w:r>
        <w:rPr>
          <w:color w:val="231F20"/>
          <w:w w:val="105"/>
          <w:sz w:val="20"/>
        </w:rPr>
        <w:t>the</w:t>
      </w:r>
      <w:r>
        <w:rPr>
          <w:color w:val="231F20"/>
          <w:spacing w:val="-25"/>
          <w:w w:val="105"/>
          <w:sz w:val="20"/>
        </w:rPr>
        <w:t> </w:t>
      </w:r>
      <w:r>
        <w:rPr>
          <w:color w:val="231F20"/>
          <w:w w:val="105"/>
          <w:sz w:val="20"/>
        </w:rPr>
        <w:t>BK</w:t>
      </w:r>
      <w:r>
        <w:rPr>
          <w:color w:val="231F20"/>
          <w:spacing w:val="-25"/>
          <w:w w:val="105"/>
          <w:sz w:val="20"/>
        </w:rPr>
        <w:t> </w:t>
      </w:r>
      <w:r>
        <w:rPr>
          <w:color w:val="231F20"/>
          <w:w w:val="105"/>
          <w:sz w:val="20"/>
        </w:rPr>
        <w:t>channels</w:t>
      </w:r>
      <w:r>
        <w:rPr>
          <w:color w:val="231F20"/>
          <w:spacing w:val="-25"/>
          <w:w w:val="105"/>
          <w:sz w:val="20"/>
        </w:rPr>
        <w:t> </w:t>
      </w:r>
      <w:r>
        <w:rPr>
          <w:color w:val="231F20"/>
          <w:w w:val="105"/>
          <w:sz w:val="20"/>
        </w:rPr>
        <w:t>are</w:t>
      </w:r>
      <w:r>
        <w:rPr>
          <w:color w:val="231F20"/>
          <w:spacing w:val="-25"/>
          <w:w w:val="105"/>
          <w:sz w:val="20"/>
        </w:rPr>
        <w:t> </w:t>
      </w:r>
      <w:r>
        <w:rPr>
          <w:color w:val="231F20"/>
          <w:w w:val="105"/>
          <w:sz w:val="20"/>
        </w:rPr>
        <w:t>normally quiescent, they become active in response to increases in flow rate, thereby greatly increasing conductance of potassium across the luminal membrane.</w:t>
      </w:r>
    </w:p>
    <w:p>
      <w:pPr>
        <w:pStyle w:val="BodyText"/>
        <w:spacing w:line="249" w:lineRule="auto" w:before="6"/>
        <w:ind w:left="1440" w:right="6117" w:firstLine="240"/>
        <w:jc w:val="both"/>
      </w:pPr>
      <w:r>
        <w:rPr>
          <w:color w:val="231F20"/>
          <w:w w:val="105"/>
        </w:rPr>
        <w:t>The effect of increased tubular flow rate is</w:t>
      </w:r>
      <w:r>
        <w:rPr>
          <w:color w:val="231F20"/>
          <w:spacing w:val="-33"/>
          <w:w w:val="105"/>
        </w:rPr>
        <w:t> </w:t>
      </w:r>
      <w:r>
        <w:rPr>
          <w:color w:val="231F20"/>
          <w:w w:val="105"/>
        </w:rPr>
        <w:t>especially important</w:t>
      </w:r>
      <w:r>
        <w:rPr>
          <w:color w:val="231F20"/>
          <w:spacing w:val="-22"/>
          <w:w w:val="105"/>
        </w:rPr>
        <w:t> </w:t>
      </w:r>
      <w:r>
        <w:rPr>
          <w:color w:val="231F20"/>
          <w:w w:val="105"/>
        </w:rPr>
        <w:t>in</w:t>
      </w:r>
      <w:r>
        <w:rPr>
          <w:color w:val="231F20"/>
          <w:spacing w:val="-21"/>
          <w:w w:val="105"/>
        </w:rPr>
        <w:t> </w:t>
      </w:r>
      <w:r>
        <w:rPr>
          <w:color w:val="231F20"/>
          <w:w w:val="105"/>
        </w:rPr>
        <w:t>helping</w:t>
      </w:r>
      <w:r>
        <w:rPr>
          <w:color w:val="231F20"/>
          <w:spacing w:val="-21"/>
          <w:w w:val="105"/>
        </w:rPr>
        <w:t> </w:t>
      </w:r>
      <w:r>
        <w:rPr>
          <w:color w:val="231F20"/>
          <w:w w:val="105"/>
        </w:rPr>
        <w:t>to</w:t>
      </w:r>
      <w:r>
        <w:rPr>
          <w:color w:val="231F20"/>
          <w:spacing w:val="-21"/>
          <w:w w:val="105"/>
        </w:rPr>
        <w:t> </w:t>
      </w:r>
      <w:r>
        <w:rPr>
          <w:color w:val="231F20"/>
          <w:w w:val="105"/>
        </w:rPr>
        <w:t>preserve</w:t>
      </w:r>
      <w:r>
        <w:rPr>
          <w:color w:val="231F20"/>
          <w:spacing w:val="-22"/>
          <w:w w:val="105"/>
        </w:rPr>
        <w:t> </w:t>
      </w:r>
      <w:r>
        <w:rPr>
          <w:color w:val="231F20"/>
          <w:w w:val="105"/>
        </w:rPr>
        <w:t>normal</w:t>
      </w:r>
      <w:r>
        <w:rPr>
          <w:color w:val="231F20"/>
          <w:spacing w:val="-21"/>
          <w:w w:val="105"/>
        </w:rPr>
        <w:t> </w:t>
      </w:r>
      <w:r>
        <w:rPr>
          <w:color w:val="231F20"/>
          <w:w w:val="105"/>
        </w:rPr>
        <w:t>potassium</w:t>
      </w:r>
      <w:r>
        <w:rPr>
          <w:color w:val="231F20"/>
          <w:spacing w:val="-21"/>
          <w:w w:val="105"/>
        </w:rPr>
        <w:t> </w:t>
      </w:r>
      <w:r>
        <w:rPr>
          <w:color w:val="231F20"/>
          <w:w w:val="105"/>
        </w:rPr>
        <w:t>excre- tion</w:t>
      </w:r>
      <w:r>
        <w:rPr>
          <w:color w:val="231F20"/>
          <w:spacing w:val="-9"/>
          <w:w w:val="105"/>
        </w:rPr>
        <w:t> </w:t>
      </w:r>
      <w:r>
        <w:rPr>
          <w:color w:val="231F20"/>
          <w:w w:val="105"/>
        </w:rPr>
        <w:t>during</w:t>
      </w:r>
      <w:r>
        <w:rPr>
          <w:color w:val="231F20"/>
          <w:spacing w:val="-8"/>
          <w:w w:val="105"/>
        </w:rPr>
        <w:t> </w:t>
      </w:r>
      <w:r>
        <w:rPr>
          <w:color w:val="231F20"/>
          <w:w w:val="105"/>
        </w:rPr>
        <w:t>changes</w:t>
      </w:r>
      <w:r>
        <w:rPr>
          <w:color w:val="231F20"/>
          <w:spacing w:val="-8"/>
          <w:w w:val="105"/>
        </w:rPr>
        <w:t> </w:t>
      </w:r>
      <w:r>
        <w:rPr>
          <w:color w:val="231F20"/>
          <w:w w:val="105"/>
        </w:rPr>
        <w:t>in</w:t>
      </w:r>
      <w:r>
        <w:rPr>
          <w:color w:val="231F20"/>
          <w:spacing w:val="-8"/>
          <w:w w:val="105"/>
        </w:rPr>
        <w:t> </w:t>
      </w:r>
      <w:r>
        <w:rPr>
          <w:color w:val="231F20"/>
          <w:w w:val="105"/>
        </w:rPr>
        <w:t>sodium</w:t>
      </w:r>
      <w:r>
        <w:rPr>
          <w:color w:val="231F20"/>
          <w:spacing w:val="-8"/>
          <w:w w:val="105"/>
        </w:rPr>
        <w:t> </w:t>
      </w:r>
      <w:r>
        <w:rPr>
          <w:color w:val="231F20"/>
          <w:w w:val="105"/>
        </w:rPr>
        <w:t>intake.</w:t>
      </w:r>
      <w:r>
        <w:rPr>
          <w:color w:val="231F20"/>
          <w:spacing w:val="-8"/>
          <w:w w:val="105"/>
        </w:rPr>
        <w:t> </w:t>
      </w:r>
      <w:r>
        <w:rPr>
          <w:color w:val="231F20"/>
          <w:spacing w:val="-3"/>
          <w:w w:val="105"/>
        </w:rPr>
        <w:t>For</w:t>
      </w:r>
      <w:r>
        <w:rPr>
          <w:color w:val="231F20"/>
          <w:spacing w:val="-8"/>
          <w:w w:val="105"/>
        </w:rPr>
        <w:t> </w:t>
      </w:r>
      <w:r>
        <w:rPr>
          <w:color w:val="231F20"/>
          <w:w w:val="105"/>
        </w:rPr>
        <w:t>example,</w:t>
      </w:r>
      <w:r>
        <w:rPr>
          <w:color w:val="231F20"/>
          <w:spacing w:val="-8"/>
          <w:w w:val="105"/>
        </w:rPr>
        <w:t> </w:t>
      </w:r>
      <w:r>
        <w:rPr>
          <w:color w:val="231F20"/>
          <w:w w:val="105"/>
        </w:rPr>
        <w:t>with a high sodium intake, there is decreased aldosterone secretion,</w:t>
      </w:r>
      <w:r>
        <w:rPr>
          <w:color w:val="231F20"/>
          <w:spacing w:val="-10"/>
          <w:w w:val="105"/>
        </w:rPr>
        <w:t> </w:t>
      </w:r>
      <w:r>
        <w:rPr>
          <w:color w:val="231F20"/>
          <w:w w:val="105"/>
        </w:rPr>
        <w:t>which</w:t>
      </w:r>
      <w:r>
        <w:rPr>
          <w:color w:val="231F20"/>
          <w:spacing w:val="-10"/>
          <w:w w:val="105"/>
        </w:rPr>
        <w:t> </w:t>
      </w:r>
      <w:r>
        <w:rPr>
          <w:color w:val="231F20"/>
          <w:w w:val="105"/>
        </w:rPr>
        <w:t>by</w:t>
      </w:r>
      <w:r>
        <w:rPr>
          <w:color w:val="231F20"/>
          <w:spacing w:val="-10"/>
          <w:w w:val="105"/>
        </w:rPr>
        <w:t> </w:t>
      </w:r>
      <w:r>
        <w:rPr>
          <w:color w:val="231F20"/>
          <w:w w:val="105"/>
        </w:rPr>
        <w:t>itself</w:t>
      </w:r>
      <w:r>
        <w:rPr>
          <w:color w:val="231F20"/>
          <w:spacing w:val="-9"/>
          <w:w w:val="105"/>
        </w:rPr>
        <w:t> </w:t>
      </w:r>
      <w:r>
        <w:rPr>
          <w:color w:val="231F20"/>
          <w:w w:val="105"/>
        </w:rPr>
        <w:t>would</w:t>
      </w:r>
      <w:r>
        <w:rPr>
          <w:color w:val="231F20"/>
          <w:spacing w:val="-10"/>
          <w:w w:val="105"/>
        </w:rPr>
        <w:t> </w:t>
      </w:r>
      <w:r>
        <w:rPr>
          <w:color w:val="231F20"/>
          <w:w w:val="105"/>
        </w:rPr>
        <w:t>tend</w:t>
      </w:r>
      <w:r>
        <w:rPr>
          <w:color w:val="231F20"/>
          <w:spacing w:val="-10"/>
          <w:w w:val="105"/>
        </w:rPr>
        <w:t> </w:t>
      </w:r>
      <w:r>
        <w:rPr>
          <w:color w:val="231F20"/>
          <w:w w:val="105"/>
        </w:rPr>
        <w:t>to</w:t>
      </w:r>
      <w:r>
        <w:rPr>
          <w:color w:val="231F20"/>
          <w:spacing w:val="-9"/>
          <w:w w:val="105"/>
        </w:rPr>
        <w:t> </w:t>
      </w:r>
      <w:r>
        <w:rPr>
          <w:color w:val="231F20"/>
          <w:w w:val="105"/>
        </w:rPr>
        <w:t>decrease</w:t>
      </w:r>
      <w:r>
        <w:rPr>
          <w:color w:val="231F20"/>
          <w:spacing w:val="-10"/>
          <w:w w:val="105"/>
        </w:rPr>
        <w:t> </w:t>
      </w:r>
      <w:r>
        <w:rPr>
          <w:color w:val="231F20"/>
          <w:w w:val="105"/>
        </w:rPr>
        <w:t>the</w:t>
      </w:r>
      <w:r>
        <w:rPr>
          <w:color w:val="231F20"/>
          <w:spacing w:val="-10"/>
          <w:w w:val="105"/>
        </w:rPr>
        <w:t> </w:t>
      </w:r>
      <w:r>
        <w:rPr>
          <w:color w:val="231F20"/>
          <w:spacing w:val="-4"/>
          <w:w w:val="105"/>
        </w:rPr>
        <w:t>rate </w:t>
      </w:r>
      <w:r>
        <w:rPr>
          <w:color w:val="231F20"/>
          <w:w w:val="105"/>
        </w:rPr>
        <w:t>of potassium secretion and, therefore, reduce urinary excretion</w:t>
      </w:r>
      <w:r>
        <w:rPr>
          <w:color w:val="231F20"/>
          <w:spacing w:val="-6"/>
          <w:w w:val="105"/>
        </w:rPr>
        <w:t> </w:t>
      </w:r>
      <w:r>
        <w:rPr>
          <w:color w:val="231F20"/>
          <w:w w:val="105"/>
        </w:rPr>
        <w:t>of</w:t>
      </w:r>
      <w:r>
        <w:rPr>
          <w:color w:val="231F20"/>
          <w:spacing w:val="-6"/>
          <w:w w:val="105"/>
        </w:rPr>
        <w:t> </w:t>
      </w:r>
      <w:r>
        <w:rPr>
          <w:color w:val="231F20"/>
          <w:w w:val="105"/>
        </w:rPr>
        <w:t>potassium.</w:t>
      </w:r>
      <w:r>
        <w:rPr>
          <w:color w:val="231F20"/>
          <w:spacing w:val="-6"/>
          <w:w w:val="105"/>
        </w:rPr>
        <w:t> </w:t>
      </w:r>
      <w:r>
        <w:rPr>
          <w:color w:val="231F20"/>
          <w:w w:val="105"/>
        </w:rPr>
        <w:t>However,</w:t>
      </w:r>
      <w:r>
        <w:rPr>
          <w:color w:val="231F20"/>
          <w:spacing w:val="-6"/>
          <w:w w:val="105"/>
        </w:rPr>
        <w:t> </w:t>
      </w:r>
      <w:r>
        <w:rPr>
          <w:color w:val="231F20"/>
          <w:w w:val="105"/>
        </w:rPr>
        <w:t>the</w:t>
      </w:r>
      <w:r>
        <w:rPr>
          <w:color w:val="231F20"/>
          <w:spacing w:val="-6"/>
          <w:w w:val="105"/>
        </w:rPr>
        <w:t> </w:t>
      </w:r>
      <w:r>
        <w:rPr>
          <w:color w:val="231F20"/>
          <w:w w:val="105"/>
        </w:rPr>
        <w:t>high</w:t>
      </w:r>
      <w:r>
        <w:rPr>
          <w:color w:val="231F20"/>
          <w:spacing w:val="-6"/>
          <w:w w:val="105"/>
        </w:rPr>
        <w:t> </w:t>
      </w:r>
      <w:r>
        <w:rPr>
          <w:color w:val="231F20"/>
          <w:w w:val="105"/>
        </w:rPr>
        <w:t>distal</w:t>
      </w:r>
      <w:r>
        <w:rPr>
          <w:color w:val="231F20"/>
          <w:spacing w:val="-5"/>
          <w:w w:val="105"/>
        </w:rPr>
        <w:t> </w:t>
      </w:r>
      <w:r>
        <w:rPr>
          <w:color w:val="231F20"/>
          <w:spacing w:val="-3"/>
          <w:w w:val="105"/>
        </w:rPr>
        <w:t>tubular </w:t>
      </w:r>
      <w:r>
        <w:rPr>
          <w:color w:val="231F20"/>
          <w:w w:val="105"/>
        </w:rPr>
        <w:t>flow rate that occurs with a high sodium intake tends to increase potassium secretion (</w:t>
      </w:r>
      <w:hyperlink w:history="true" w:anchor="_bookmark92">
        <w:r>
          <w:rPr>
            <w:rFonts w:ascii="Cambria" w:hAnsi="Cambria"/>
            <w:b/>
            <w:color w:val="0080AC"/>
            <w:w w:val="105"/>
          </w:rPr>
          <w:t>Figure 30-10</w:t>
        </w:r>
      </w:hyperlink>
      <w:r>
        <w:rPr>
          <w:color w:val="231F20"/>
          <w:w w:val="105"/>
        </w:rPr>
        <w:t>), as </w:t>
      </w:r>
      <w:r>
        <w:rPr>
          <w:color w:val="231F20"/>
          <w:spacing w:val="-3"/>
          <w:w w:val="105"/>
        </w:rPr>
        <w:t>dis- </w:t>
      </w:r>
      <w:r>
        <w:rPr>
          <w:color w:val="231F20"/>
          <w:w w:val="105"/>
        </w:rPr>
        <w:t>cussed in the previous paragraph. Therefore, the </w:t>
      </w:r>
      <w:r>
        <w:rPr>
          <w:color w:val="231F20"/>
          <w:spacing w:val="-4"/>
          <w:w w:val="105"/>
        </w:rPr>
        <w:t>two </w:t>
      </w:r>
      <w:r>
        <w:rPr>
          <w:color w:val="231F20"/>
          <w:w w:val="105"/>
        </w:rPr>
        <w:t>effects of a high sodium intake—decreased aldosterone secretion</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8"/>
          <w:w w:val="105"/>
        </w:rPr>
        <w:t> </w:t>
      </w:r>
      <w:r>
        <w:rPr>
          <w:color w:val="231F20"/>
          <w:w w:val="105"/>
        </w:rPr>
        <w:t>high</w:t>
      </w:r>
      <w:r>
        <w:rPr>
          <w:color w:val="231F20"/>
          <w:spacing w:val="-17"/>
          <w:w w:val="105"/>
        </w:rPr>
        <w:t> </w:t>
      </w:r>
      <w:r>
        <w:rPr>
          <w:color w:val="231F20"/>
          <w:w w:val="105"/>
        </w:rPr>
        <w:t>tubular</w:t>
      </w:r>
      <w:r>
        <w:rPr>
          <w:color w:val="231F20"/>
          <w:spacing w:val="-18"/>
          <w:w w:val="105"/>
        </w:rPr>
        <w:t> </w:t>
      </w:r>
      <w:r>
        <w:rPr>
          <w:color w:val="231F20"/>
          <w:w w:val="105"/>
        </w:rPr>
        <w:t>flow</w:t>
      </w:r>
      <w:r>
        <w:rPr>
          <w:color w:val="231F20"/>
          <w:spacing w:val="-18"/>
          <w:w w:val="105"/>
        </w:rPr>
        <w:t> </w:t>
      </w:r>
      <w:r>
        <w:rPr>
          <w:color w:val="231F20"/>
          <w:w w:val="105"/>
        </w:rPr>
        <w:t>rate—counterbalance each </w:t>
      </w:r>
      <w:r>
        <w:rPr>
          <w:color w:val="231F20"/>
          <w:spacing w:val="-3"/>
          <w:w w:val="105"/>
        </w:rPr>
        <w:t>other, </w:t>
      </w:r>
      <w:r>
        <w:rPr>
          <w:color w:val="231F20"/>
          <w:w w:val="105"/>
        </w:rPr>
        <w:t>so there is little change in potassium excre- tion. Likewise, with a low sodium intake, there is little change</w:t>
      </w:r>
      <w:r>
        <w:rPr>
          <w:color w:val="231F20"/>
          <w:spacing w:val="-20"/>
          <w:w w:val="105"/>
        </w:rPr>
        <w:t> </w:t>
      </w:r>
      <w:r>
        <w:rPr>
          <w:color w:val="231F20"/>
          <w:w w:val="105"/>
        </w:rPr>
        <w:t>in</w:t>
      </w:r>
      <w:r>
        <w:rPr>
          <w:color w:val="231F20"/>
          <w:spacing w:val="-20"/>
          <w:w w:val="105"/>
        </w:rPr>
        <w:t> </w:t>
      </w:r>
      <w:r>
        <w:rPr>
          <w:color w:val="231F20"/>
          <w:w w:val="105"/>
        </w:rPr>
        <w:t>potassium</w:t>
      </w:r>
      <w:r>
        <w:rPr>
          <w:color w:val="231F20"/>
          <w:spacing w:val="-20"/>
          <w:w w:val="105"/>
        </w:rPr>
        <w:t> </w:t>
      </w:r>
      <w:r>
        <w:rPr>
          <w:color w:val="231F20"/>
          <w:w w:val="105"/>
        </w:rPr>
        <w:t>excretion</w:t>
      </w:r>
      <w:r>
        <w:rPr>
          <w:color w:val="231F20"/>
          <w:spacing w:val="-20"/>
          <w:w w:val="105"/>
        </w:rPr>
        <w:t> </w:t>
      </w:r>
      <w:r>
        <w:rPr>
          <w:color w:val="231F20"/>
          <w:w w:val="105"/>
        </w:rPr>
        <w:t>because</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counterbal- ancing effects of increased aldosterone secretion and decreased tubular flow rate on potassium</w:t>
      </w:r>
      <w:r>
        <w:rPr>
          <w:color w:val="231F20"/>
          <w:spacing w:val="-7"/>
          <w:w w:val="105"/>
        </w:rPr>
        <w:t> </w:t>
      </w:r>
      <w:r>
        <w:rPr>
          <w:color w:val="231F20"/>
          <w:w w:val="105"/>
        </w:rPr>
        <w:t>secretion.</w:t>
      </w:r>
    </w:p>
    <w:p>
      <w:pPr>
        <w:spacing w:line="249" w:lineRule="auto" w:before="249"/>
        <w:ind w:left="1440" w:right="6117" w:firstLine="0"/>
        <w:jc w:val="both"/>
        <w:rPr>
          <w:sz w:val="20"/>
        </w:rPr>
      </w:pPr>
      <w:r>
        <w:rPr>
          <w:rFonts w:ascii="Trebuchet MS"/>
          <w:b/>
          <w:color w:val="231F20"/>
          <w:sz w:val="19"/>
        </w:rPr>
        <w:t>Acute Acidosis Decreases Potassium Secretion. </w:t>
      </w:r>
      <w:r>
        <w:rPr>
          <w:color w:val="231F20"/>
          <w:spacing w:val="-4"/>
          <w:sz w:val="20"/>
        </w:rPr>
        <w:t>Acute </w:t>
      </w:r>
      <w:r>
        <w:rPr>
          <w:color w:val="231F20"/>
          <w:w w:val="105"/>
          <w:sz w:val="20"/>
        </w:rPr>
        <w:t>increases in hydrogen ion concentration of the extra- cellular fluid (acidosis) reduce potassium secretion,</w:t>
      </w:r>
    </w:p>
    <w:p>
      <w:pPr>
        <w:spacing w:after="0" w:line="249" w:lineRule="auto"/>
        <w:jc w:val="both"/>
        <w:rPr>
          <w:sz w:val="20"/>
        </w:rPr>
        <w:sectPr>
          <w:type w:val="continuous"/>
          <w:pgSz w:w="12240" w:h="15660"/>
          <w:pgMar w:top="0" w:bottom="760" w:left="0" w:right="0"/>
        </w:sectPr>
      </w:pPr>
    </w:p>
    <w:p>
      <w:pPr>
        <w:pStyle w:val="BodyText"/>
      </w:pPr>
    </w:p>
    <w:p>
      <w:pPr>
        <w:pStyle w:val="BodyText"/>
        <w:spacing w:before="6"/>
        <w:rPr>
          <w:sz w:val="13"/>
        </w:rPr>
      </w:pPr>
    </w:p>
    <w:p>
      <w:pPr>
        <w:pStyle w:val="BodyText"/>
        <w:ind w:left="1080"/>
      </w:pPr>
      <w:r>
        <w:rPr/>
        <w:pict>
          <v:shape style="width:234pt;height:40pt;mso-position-horizontal-relative:char;mso-position-vertical-relative:line" type="#_x0000_t202" filled="true" fillcolor="#e8dac8" stroked="false">
            <w10:anchorlock/>
            <v:textbox inset="0,0,0,0">
              <w:txbxContent>
                <w:p>
                  <w:pPr>
                    <w:spacing w:line="225" w:lineRule="auto" w:before="46"/>
                    <w:ind w:left="60" w:right="633" w:firstLine="0"/>
                    <w:jc w:val="left"/>
                    <w:rPr>
                      <w:rFonts w:ascii="Trebuchet MS"/>
                      <w:b/>
                      <w:sz w:val="22"/>
                    </w:rPr>
                  </w:pPr>
                  <w:r>
                    <w:rPr>
                      <w:rFonts w:ascii="Trebuchet MS"/>
                      <w:b/>
                      <w:color w:val="231F20"/>
                      <w:w w:val="110"/>
                      <w:sz w:val="22"/>
                    </w:rPr>
                    <w:t>CONTROL OF RENAL CALCIUM EXCRETION AND EXTRACELLULAR CALCIUM ION CONCENTRATION</w:t>
                  </w:r>
                </w:p>
              </w:txbxContent>
            </v:textbox>
            <v:fill type="solid"/>
          </v:shape>
        </w:pict>
      </w:r>
      <w:r>
        <w:rPr/>
      </w:r>
    </w:p>
    <w:p>
      <w:pPr>
        <w:spacing w:after="0"/>
        <w:sectPr>
          <w:headerReference w:type="even" r:id="rId888"/>
          <w:footerReference w:type="even" r:id="rId889"/>
          <w:footerReference w:type="default" r:id="rId890"/>
          <w:pgSz w:w="12240" w:h="15660"/>
          <w:pgMar w:header="0" w:footer="567" w:top="720" w:bottom="760" w:left="0" w:right="0"/>
          <w:pgNumType w:start="396"/>
        </w:sectPr>
      </w:pPr>
    </w:p>
    <w:p>
      <w:pPr>
        <w:pStyle w:val="BodyText"/>
        <w:spacing w:line="249" w:lineRule="auto" w:before="69"/>
        <w:ind w:left="1080"/>
        <w:jc w:val="both"/>
      </w:pPr>
      <w:r>
        <w:rPr/>
        <w:pict>
          <v:line style="position:absolute;mso-position-horizontal-relative:page;mso-position-vertical-relative:paragraph;z-index:252618752" from="54pt,-1.023740pt" to="288pt,-1.023740pt" stroked="true" strokeweight=".5pt" strokecolor="#231f20">
            <v:stroke dashstyle="solid"/>
            <w10:wrap type="none"/>
          </v:line>
        </w:pict>
      </w:r>
      <w:r>
        <w:rPr>
          <w:color w:val="231F20"/>
        </w:rPr>
        <w:t>The mechanisms for regulating calcium ion concentration are discussed in detail in Chapter 80, along with the endo- crinology of the calcium-regulating hormones, parathy- roid hormone (PTH), and calcitonin. Therefore, calcium ion regulation is discussed only briefly in this chapter.</w:t>
      </w:r>
    </w:p>
    <w:p>
      <w:pPr>
        <w:pStyle w:val="BodyText"/>
        <w:spacing w:line="249" w:lineRule="auto" w:before="4"/>
        <w:ind w:left="1080" w:firstLine="240"/>
        <w:jc w:val="both"/>
      </w:pPr>
      <w:r>
        <w:rPr/>
        <w:pict>
          <v:rect style="position:absolute;margin-left:0pt;margin-top:32.185963pt;width:36pt;height:24pt;mso-position-horizontal-relative:page;mso-position-vertical-relative:paragraph;z-index:252617728" filled="true" fillcolor="#e8dac8" stroked="false">
            <v:fill type="solid"/>
            <w10:wrap type="none"/>
          </v:rect>
        </w:pict>
      </w:r>
      <w:r>
        <w:rPr>
          <w:color w:val="231F20"/>
        </w:rPr>
        <w:t>Extracellular fluid calcium ion concentration normally remains tightly controlled within a few percentage points of its normal level, 2.4 mEq/L. When calcium ion concen- tration falls to low levels </w:t>
      </w:r>
      <w:r>
        <w:rPr>
          <w:i/>
          <w:color w:val="231F20"/>
        </w:rPr>
        <w:t>(hypocalcemia), </w:t>
      </w:r>
      <w:r>
        <w:rPr>
          <w:color w:val="231F20"/>
        </w:rPr>
        <w:t>the excitability of nerve and muscle cells increases markedly and can in extreme cases result in </w:t>
      </w:r>
      <w:r>
        <w:rPr>
          <w:i/>
          <w:color w:val="231F20"/>
        </w:rPr>
        <w:t>hypocalcemic tetany. </w:t>
      </w:r>
      <w:r>
        <w:rPr>
          <w:color w:val="231F20"/>
        </w:rPr>
        <w:t>This condi- tion is characterized by spastic skeletal muscle contrac- tions. </w:t>
      </w:r>
      <w:r>
        <w:rPr>
          <w:i/>
          <w:color w:val="231F20"/>
        </w:rPr>
        <w:t>Hypercalcemia </w:t>
      </w:r>
      <w:r>
        <w:rPr>
          <w:color w:val="231F20"/>
        </w:rPr>
        <w:t>(increased calcium concentration) depresses neuromuscular excitability and can lead to cardiac arrhythmias.</w:t>
      </w:r>
    </w:p>
    <w:p>
      <w:pPr>
        <w:pStyle w:val="BodyText"/>
        <w:spacing w:before="3"/>
        <w:rPr>
          <w:sz w:val="19"/>
        </w:rPr>
      </w:pPr>
      <w:r>
        <w:rPr/>
        <w:br w:type="column"/>
      </w:r>
      <w:r>
        <w:rPr>
          <w:sz w:val="19"/>
        </w:rPr>
      </w:r>
    </w:p>
    <w:p>
      <w:pPr>
        <w:tabs>
          <w:tab w:pos="1991" w:val="left" w:leader="none"/>
        </w:tabs>
        <w:spacing w:before="0"/>
        <w:ind w:left="1689" w:right="0" w:firstLine="0"/>
        <w:jc w:val="left"/>
        <w:rPr>
          <w:rFonts w:ascii="Helvetica"/>
          <w:sz w:val="12"/>
        </w:rPr>
      </w:pPr>
      <w:r>
        <w:rPr>
          <w:rFonts w:ascii="Helvetica"/>
          <w:color w:val="231F20"/>
          <w:w w:val="100"/>
          <w:sz w:val="12"/>
          <w:u w:val="thick" w:color="ED1C24"/>
        </w:rPr>
        <w:t> </w:t>
      </w:r>
      <w:r>
        <w:rPr>
          <w:rFonts w:ascii="Helvetica"/>
          <w:color w:val="231F20"/>
          <w:sz w:val="12"/>
          <w:u w:val="thick" w:color="ED1C24"/>
        </w:rPr>
        <w:tab/>
      </w:r>
    </w:p>
    <w:p>
      <w:pPr>
        <w:pStyle w:val="BodyText"/>
        <w:rPr>
          <w:rFonts w:ascii="Helvetica"/>
        </w:rPr>
      </w:pPr>
    </w:p>
    <w:p>
      <w:pPr>
        <w:pStyle w:val="BodyText"/>
        <w:rPr>
          <w:rFonts w:ascii="Helvetica"/>
        </w:rPr>
      </w:pPr>
    </w:p>
    <w:p>
      <w:pPr>
        <w:pStyle w:val="BodyText"/>
        <w:spacing w:before="10"/>
        <w:rPr>
          <w:rFonts w:ascii="Helvetica"/>
          <w:sz w:val="26"/>
        </w:rPr>
      </w:pPr>
      <w:r>
        <w:rPr/>
        <w:pict>
          <v:shape style="position:absolute;margin-left:312.085388pt;margin-top:16.676168pt;width:59.7pt;height:25pt;mso-position-horizontal-relative:page;mso-position-vertical-relative:paragraph;z-index:-250699776;mso-wrap-distance-left:0;mso-wrap-distance-right:0" type="#_x0000_t202" filled="false" stroked="false">
            <v:textbox inset="0,0,0,0">
              <w:txbxContent>
                <w:p>
                  <w:pPr>
                    <w:spacing w:line="235" w:lineRule="auto" w:before="0"/>
                    <w:ind w:left="145" w:right="73" w:hanging="66"/>
                    <w:jc w:val="left"/>
                    <w:rPr>
                      <w:rFonts w:ascii="Helvetica" w:hAnsi="Helvetica"/>
                      <w:sz w:val="16"/>
                    </w:rPr>
                  </w:pPr>
                  <w:r>
                    <w:rPr>
                      <w:rFonts w:ascii="Helvetica" w:hAnsi="Helvetica"/>
                      <w:color w:val="231F20"/>
                      <w:sz w:val="16"/>
                    </w:rPr>
                    <w:t>Intestinal Ca</w:t>
                  </w:r>
                  <w:r>
                    <w:rPr>
                      <w:rFonts w:ascii="Symbol" w:hAnsi="Symbol"/>
                      <w:color w:val="231F20"/>
                      <w:position w:val="5"/>
                      <w:sz w:val="12"/>
                    </w:rPr>
                    <w:t></w:t>
                  </w:r>
                  <w:r>
                    <w:rPr>
                      <w:color w:val="231F20"/>
                      <w:position w:val="5"/>
                      <w:sz w:val="12"/>
                    </w:rPr>
                    <w:t> </w:t>
                  </w:r>
                  <w:r>
                    <w:rPr>
                      <w:rFonts w:ascii="Helvetica" w:hAnsi="Helvetica"/>
                      <w:color w:val="231F20"/>
                      <w:sz w:val="16"/>
                    </w:rPr>
                    <w:t>reabsorption</w:t>
                  </w:r>
                </w:p>
              </w:txbxContent>
            </v:textbox>
            <w10:wrap type="topAndBottom"/>
          </v:shape>
        </w:pict>
      </w:r>
    </w:p>
    <w:p>
      <w:pPr>
        <w:spacing w:line="256" w:lineRule="auto" w:before="74"/>
        <w:ind w:left="319" w:right="1439" w:firstLine="0"/>
        <w:jc w:val="both"/>
        <w:rPr>
          <w:rFonts w:ascii="Arial"/>
          <w:sz w:val="16"/>
        </w:rPr>
      </w:pPr>
      <w:bookmarkStart w:name="_bookmark93" w:id="94"/>
      <w:bookmarkEnd w:id="94"/>
      <w:r>
        <w:rPr/>
      </w:r>
      <w:r>
        <w:rPr>
          <w:rFonts w:ascii="Trebuchet MS"/>
          <w:b/>
          <w:color w:val="231F20"/>
          <w:w w:val="95"/>
          <w:sz w:val="16"/>
        </w:rPr>
        <w:t>Figure</w:t>
      </w:r>
      <w:r>
        <w:rPr>
          <w:rFonts w:ascii="Trebuchet MS"/>
          <w:b/>
          <w:color w:val="231F20"/>
          <w:spacing w:val="-36"/>
          <w:w w:val="95"/>
          <w:sz w:val="16"/>
        </w:rPr>
        <w:t> </w:t>
      </w:r>
      <w:r>
        <w:rPr>
          <w:rFonts w:ascii="Trebuchet MS"/>
          <w:b/>
          <w:color w:val="231F20"/>
          <w:w w:val="95"/>
          <w:sz w:val="16"/>
        </w:rPr>
        <w:t>30-11. </w:t>
      </w:r>
      <w:r>
        <w:rPr>
          <w:rFonts w:ascii="Arial"/>
          <w:color w:val="231F20"/>
          <w:w w:val="95"/>
          <w:sz w:val="16"/>
        </w:rPr>
        <w:t>Compensatory responses to decreased plasma </w:t>
      </w:r>
      <w:r>
        <w:rPr>
          <w:rFonts w:ascii="Arial"/>
          <w:color w:val="231F20"/>
          <w:spacing w:val="-3"/>
          <w:w w:val="95"/>
          <w:sz w:val="16"/>
        </w:rPr>
        <w:t>ionized </w:t>
      </w:r>
      <w:r>
        <w:rPr>
          <w:rFonts w:ascii="Arial"/>
          <w:color w:val="231F20"/>
          <w:sz w:val="16"/>
        </w:rPr>
        <w:t>calcium</w:t>
      </w:r>
      <w:r>
        <w:rPr>
          <w:rFonts w:ascii="Arial"/>
          <w:color w:val="231F20"/>
          <w:spacing w:val="-10"/>
          <w:sz w:val="16"/>
        </w:rPr>
        <w:t> </w:t>
      </w:r>
      <w:r>
        <w:rPr>
          <w:rFonts w:ascii="Arial"/>
          <w:color w:val="231F20"/>
          <w:sz w:val="16"/>
        </w:rPr>
        <w:t>concentration</w:t>
      </w:r>
      <w:r>
        <w:rPr>
          <w:rFonts w:ascii="Arial"/>
          <w:color w:val="231F20"/>
          <w:spacing w:val="-10"/>
          <w:sz w:val="16"/>
        </w:rPr>
        <w:t> </w:t>
      </w:r>
      <w:r>
        <w:rPr>
          <w:rFonts w:ascii="Arial"/>
          <w:color w:val="231F20"/>
          <w:sz w:val="16"/>
        </w:rPr>
        <w:t>mediated</w:t>
      </w:r>
      <w:r>
        <w:rPr>
          <w:rFonts w:ascii="Arial"/>
          <w:color w:val="231F20"/>
          <w:spacing w:val="-10"/>
          <w:sz w:val="16"/>
        </w:rPr>
        <w:t> </w:t>
      </w:r>
      <w:r>
        <w:rPr>
          <w:rFonts w:ascii="Arial"/>
          <w:color w:val="231F20"/>
          <w:sz w:val="16"/>
        </w:rPr>
        <w:t>by</w:t>
      </w:r>
      <w:r>
        <w:rPr>
          <w:rFonts w:ascii="Arial"/>
          <w:color w:val="231F20"/>
          <w:spacing w:val="-10"/>
          <w:sz w:val="16"/>
        </w:rPr>
        <w:t> </w:t>
      </w:r>
      <w:r>
        <w:rPr>
          <w:rFonts w:ascii="Arial"/>
          <w:color w:val="231F20"/>
          <w:sz w:val="16"/>
        </w:rPr>
        <w:t>parathyroid</w:t>
      </w:r>
      <w:r>
        <w:rPr>
          <w:rFonts w:ascii="Arial"/>
          <w:color w:val="231F20"/>
          <w:spacing w:val="-10"/>
          <w:sz w:val="16"/>
        </w:rPr>
        <w:t> </w:t>
      </w:r>
      <w:r>
        <w:rPr>
          <w:rFonts w:ascii="Arial"/>
          <w:color w:val="231F20"/>
          <w:sz w:val="16"/>
        </w:rPr>
        <w:t>hormone</w:t>
      </w:r>
      <w:r>
        <w:rPr>
          <w:rFonts w:ascii="Arial"/>
          <w:color w:val="231F20"/>
          <w:spacing w:val="-10"/>
          <w:sz w:val="16"/>
        </w:rPr>
        <w:t> </w:t>
      </w:r>
      <w:r>
        <w:rPr>
          <w:rFonts w:ascii="Lucida Sans"/>
          <w:i/>
          <w:color w:val="231F20"/>
          <w:sz w:val="16"/>
        </w:rPr>
        <w:t>(PTH)</w:t>
      </w:r>
      <w:r>
        <w:rPr>
          <w:rFonts w:ascii="Lucida Sans"/>
          <w:i/>
          <w:color w:val="231F20"/>
          <w:spacing w:val="-16"/>
          <w:sz w:val="16"/>
        </w:rPr>
        <w:t> </w:t>
      </w:r>
      <w:r>
        <w:rPr>
          <w:rFonts w:ascii="Arial"/>
          <w:color w:val="231F20"/>
          <w:spacing w:val="-5"/>
          <w:sz w:val="16"/>
        </w:rPr>
        <w:t>and </w:t>
      </w:r>
      <w:r>
        <w:rPr>
          <w:rFonts w:ascii="Arial"/>
          <w:color w:val="231F20"/>
          <w:sz w:val="16"/>
        </w:rPr>
        <w:t>vitamin</w:t>
      </w:r>
      <w:r>
        <w:rPr>
          <w:rFonts w:ascii="Arial"/>
          <w:color w:val="231F20"/>
          <w:spacing w:val="7"/>
          <w:sz w:val="16"/>
        </w:rPr>
        <w:t> </w:t>
      </w:r>
      <w:r>
        <w:rPr>
          <w:rFonts w:ascii="Arial"/>
          <w:color w:val="231F20"/>
          <w:sz w:val="16"/>
        </w:rPr>
        <w:t>D.</w:t>
      </w:r>
    </w:p>
    <w:p>
      <w:pPr>
        <w:pStyle w:val="BodyText"/>
        <w:rPr>
          <w:rFonts w:ascii="Arial"/>
          <w:sz w:val="18"/>
        </w:rPr>
      </w:pPr>
    </w:p>
    <w:p>
      <w:pPr>
        <w:pStyle w:val="BodyText"/>
        <w:spacing w:before="2"/>
        <w:rPr>
          <w:rFonts w:ascii="Arial"/>
          <w:sz w:val="14"/>
        </w:rPr>
      </w:pPr>
    </w:p>
    <w:p>
      <w:pPr>
        <w:pStyle w:val="BodyText"/>
        <w:spacing w:line="249" w:lineRule="auto" w:before="1"/>
        <w:ind w:left="319" w:right="1437"/>
        <w:jc w:val="both"/>
      </w:pPr>
      <w:r>
        <w:rPr/>
        <w:pict>
          <v:group style="position:absolute;margin-left:306.075012pt;margin-top:-132.302032pt;width:72.05pt;height:79.5pt;mso-position-horizontal-relative:page;mso-position-vertical-relative:paragraph;z-index:-272785408" coordorigin="6122,-2646" coordsize="1441,1590">
            <v:rect style="position:absolute;left:6181;top:-2587;width:1254;height:500" filled="true" fillcolor="#95aac4" stroked="false">
              <v:fill type="solid"/>
            </v:rect>
            <v:rect style="position:absolute;left:6121;top:-2647;width:1254;height:500" filled="true" fillcolor="#d4e5f3" stroked="false">
              <v:fill type="solid"/>
            </v:rect>
            <v:shape style="position:absolute;left:6689;top:-1801;width:120;height:185" type="#_x0000_t75" stroked="false">
              <v:imagedata r:id="rId877" o:title=""/>
            </v:shape>
            <v:line style="position:absolute" from="6748,-2147" to="6748,-1694" stroked="true" strokeweight="1.5pt" strokecolor="#ed1c24">
              <v:stroke dashstyle="solid"/>
            </v:line>
            <v:shape style="position:absolute;left:7377;top:-2457;width:185;height:120" coordorigin="7377,-2456" coordsize="185,120" path="m7560,-2456l7471,-2418,7377,-2396,7471,-2374,7560,-2337,7562,-2338,7528,-2396,7562,-2455,7560,-2456xe" filled="true" fillcolor="#f0535f" stroked="false">
              <v:path arrowok="t"/>
              <v:fill type="solid"/>
            </v:shape>
            <v:rect style="position:absolute;left:6181;top:-1556;width:1254;height:500" filled="true" fillcolor="#95aac4" stroked="false">
              <v:fill type="solid"/>
            </v:rect>
            <v:rect style="position:absolute;left:6121;top:-1616;width:1254;height:500" filled="true" fillcolor="#d4e5f3" stroked="false">
              <v:fill type="solid"/>
            </v:rect>
            <v:shape style="position:absolute;left:6189;top:-1485;width:90;height:139" coordorigin="6190,-1485" coordsize="90,139" path="m6234,-1485l6218,-1415,6190,-1348,6190,-1346,6235,-1371,6269,-1371,6251,-1415,6234,-1485xm6269,-1371l6235,-1371,6279,-1346,6279,-1348,6269,-1371xe" filled="true" fillcolor="#231f20" stroked="false">
              <v:path arrowok="t"/>
              <v:fill type="solid"/>
            </v:shape>
            <v:line style="position:absolute" from="6234,-1227" to="6234,-1418" stroked="true" strokeweight=".75pt" strokecolor="#231f20">
              <v:stroke dashstyle="solid"/>
            </v:line>
            <v:shape style="position:absolute;left:6269;top:-2516;width:90;height:139" coordorigin="6270,-2515" coordsize="90,139" path="m6314,-2515l6298,-2445,6270,-2378,6270,-2377,6315,-2402,6349,-2402,6331,-2445,6318,-2498,6314,-2515xm6349,-2402l6315,-2402,6359,-2377,6359,-2378,6349,-2402xe" filled="true" fillcolor="#231f20" stroked="false">
              <v:path arrowok="t"/>
              <v:fill type="solid"/>
            </v:shape>
            <v:line style="position:absolute" from="6314,-2257" to="6314,-2449" stroked="true" strokeweight=".75pt" strokecolor="#231f20">
              <v:stroke dashstyle="solid"/>
            </v:line>
            <w10:wrap type="none"/>
          </v:group>
        </w:pict>
      </w:r>
      <w:r>
        <w:rPr/>
        <w:pict>
          <v:group style="position:absolute;margin-left:390.156006pt;margin-top:-177.964035pt;width:149.8pt;height:125.15pt;mso-position-horizontal-relative:page;mso-position-vertical-relative:paragraph;z-index:252624896" coordorigin="7803,-3559" coordsize="2996,2503">
            <v:rect style="position:absolute;left:7863;top:-2587;width:1254;height:500" filled="true" fillcolor="#95aac4" stroked="false">
              <v:fill type="solid"/>
            </v:rect>
            <v:rect style="position:absolute;left:7803;top:-2647;width:1254;height:500" filled="true" fillcolor="#d4e5f3" stroked="false">
              <v:fill type="solid"/>
            </v:rect>
            <v:shape style="position:absolute;left:8196;top:-2516;width:90;height:139" coordorigin="8196,-2515" coordsize="90,139" path="m8241,-2515l8225,-2445,8196,-2378,8197,-2377,8241,-2402,8276,-2402,8257,-2445,8241,-2515xm8276,-2402l8241,-2402,8285,-2377,8286,-2378,8276,-2402xe" filled="true" fillcolor="#231f20" stroked="false">
              <v:path arrowok="t"/>
              <v:fill type="solid"/>
            </v:shape>
            <v:line style="position:absolute" from="8241,-2257" to="8241,-2449" stroked="true" strokeweight=".75pt" strokecolor="#231f20">
              <v:stroke dashstyle="solid"/>
            </v:line>
            <v:shape style="position:absolute;left:8369;top:-1801;width:120;height:185" type="#_x0000_t75" stroked="false">
              <v:imagedata r:id="rId877" o:title=""/>
            </v:shape>
            <v:line style="position:absolute" from="8429,-2147" to="8429,-1694" stroked="true" strokeweight="1.5pt" strokecolor="#ed1c24">
              <v:stroke dashstyle="solid"/>
            </v:line>
            <v:shape style="position:absolute;left:8369;top:-2831;width:120;height:185" type="#_x0000_t75" stroked="false">
              <v:imagedata r:id="rId891" o:title=""/>
            </v:shape>
            <v:rect style="position:absolute;left:7866;top:-3500;width:1253;height:380" filled="true" fillcolor="#95aac4" stroked="false">
              <v:fill type="solid"/>
            </v:rect>
            <v:rect style="position:absolute;left:7806;top:-3560;width:1253;height:380" filled="true" fillcolor="#d4e5f3" stroked="false">
              <v:fill type="solid"/>
            </v:rect>
            <v:shape style="position:absolute;left:8111;top:-3373;width:90;height:139" coordorigin="8111,-3373" coordsize="90,139" path="m8112,-3373l8111,-3371,8140,-3304,8156,-3234,8172,-3304,8191,-3348,8156,-3348,8112,-3373xm8200,-3373l8156,-3348,8191,-3348,8201,-3371,8200,-3373xe" filled="true" fillcolor="#231f20" stroked="false">
              <v:path arrowok="t"/>
              <v:fill type="solid"/>
            </v:shape>
            <v:line style="position:absolute" from="8156,-3492" to="8156,-3301" stroked="true" strokeweight=".75pt" strokecolor="#231f20">
              <v:stroke dashstyle="solid"/>
            </v:line>
            <v:line style="position:absolute" from="8429,-3177" to="8429,-2725" stroked="true" strokeweight="1.5pt" strokecolor="#ed1c24">
              <v:stroke dashstyle="solid"/>
            </v:line>
            <v:shape style="position:absolute;left:10052;top:-1802;width:120;height:185" type="#_x0000_t75" stroked="false">
              <v:imagedata r:id="rId892" o:title=""/>
            </v:shape>
            <v:shape style="position:absolute;left:9057;top:-2397;width:1055;height:645" coordorigin="9057,-2396" coordsize="1055,645" path="m9057,-2396l10112,-2396,10112,-1752e" filled="false" stroked="true" strokeweight="1.5pt" strokecolor="#ed1c24">
              <v:path arrowok="t"/>
              <v:stroke dashstyle="solid"/>
            </v:shape>
            <v:rect style="position:absolute;left:7863;top:-1556;width:1254;height:500" filled="true" fillcolor="#95aac4" stroked="false">
              <v:fill type="solid"/>
            </v:rect>
            <v:rect style="position:absolute;left:7803;top:-1616;width:1254;height:500" filled="true" fillcolor="#d4e5f3" stroked="false">
              <v:fill type="solid"/>
            </v:rect>
            <v:shape style="position:absolute;left:7911;top:-1497;width:90;height:139" coordorigin="7911,-1497" coordsize="90,139" path="m7956,-1497l7940,-1427,7911,-1360,7912,-1358,7956,-1384,7991,-1384,7972,-1427,7960,-1479,7956,-1497xm7991,-1384l7956,-1384,8000,-1359,8001,-1360,7991,-1384xe" filled="true" fillcolor="#231f20" stroked="false">
              <v:path arrowok="t"/>
              <v:fill type="solid"/>
            </v:shape>
            <v:line style="position:absolute" from="7956,-1239" to="7956,-1431" stroked="true" strokeweight=".75pt" strokecolor="#231f20">
              <v:stroke dashstyle="solid"/>
            </v:line>
            <v:rect style="position:absolute;left:9544;top:-1556;width:1254;height:500" filled="true" fillcolor="#95aac4" stroked="false">
              <v:fill type="solid"/>
            </v:rect>
            <v:rect style="position:absolute;left:9484;top:-1616;width:1254;height:500" filled="true" fillcolor="#d4e5f3" stroked="false">
              <v:fill type="solid"/>
            </v:rect>
            <v:shape style="position:absolute;left:9592;top:-1497;width:90;height:139" coordorigin="9593,-1497" coordsize="90,139" path="m9637,-1497l9621,-1427,9593,-1360,9594,-1358,9638,-1384,9673,-1384,9654,-1427,9637,-1497xm9673,-1384l9638,-1384,9682,-1359,9683,-1360,9673,-1384xe" filled="true" fillcolor="#231f20" stroked="false">
              <v:path arrowok="t"/>
              <v:fill type="solid"/>
            </v:shape>
            <v:line style="position:absolute" from="9637,-1239" to="9637,-1431" stroked="true" strokeweight=".75pt" strokecolor="#231f20">
              <v:stroke dashstyle="solid"/>
            </v:line>
            <v:shape style="position:absolute;left:8305;top:-3492;width:446;height:208" type="#_x0000_t202" filled="false" stroked="false">
              <v:textbox inset="0,0,0,0">
                <w:txbxContent>
                  <w:p>
                    <w:pPr>
                      <w:spacing w:before="0"/>
                      <w:ind w:left="0" w:right="0" w:firstLine="0"/>
                      <w:jc w:val="left"/>
                      <w:rPr>
                        <w:rFonts w:ascii="Helvetica" w:hAnsi="Helvetica"/>
                        <w:sz w:val="16"/>
                      </w:rPr>
                    </w:pPr>
                    <w:r>
                      <w:rPr>
                        <w:rFonts w:ascii="Helvetica" w:hAnsi="Helvetica"/>
                        <w:color w:val="231F20"/>
                        <w:sz w:val="16"/>
                      </w:rPr>
                      <w:t>[Ca</w:t>
                    </w:r>
                    <w:r>
                      <w:rPr>
                        <w:rFonts w:ascii="Symbol" w:hAnsi="Symbol"/>
                        <w:color w:val="231F20"/>
                        <w:position w:val="5"/>
                        <w:sz w:val="12"/>
                      </w:rPr>
                      <w:t></w:t>
                    </w:r>
                    <w:r>
                      <w:rPr>
                        <w:rFonts w:ascii="Helvetica" w:hAnsi="Helvetica"/>
                        <w:color w:val="231F20"/>
                        <w:sz w:val="16"/>
                      </w:rPr>
                      <w:t>]</w:t>
                    </w:r>
                  </w:p>
                </w:txbxContent>
              </v:textbox>
              <w10:wrap type="none"/>
            </v:shape>
            <v:shape style="position:absolute;left:7863;top:-2587;width:1254;height:500" type="#_x0000_t202" filled="false" stroked="false">
              <v:textbox inset="0,0,0,0">
                <w:txbxContent>
                  <w:p>
                    <w:pPr>
                      <w:spacing w:before="111"/>
                      <w:ind w:left="470" w:right="424" w:firstLine="0"/>
                      <w:jc w:val="center"/>
                      <w:rPr>
                        <w:rFonts w:ascii="Helvetica"/>
                        <w:sz w:val="16"/>
                      </w:rPr>
                    </w:pPr>
                    <w:r>
                      <w:rPr>
                        <w:rFonts w:ascii="Helvetica"/>
                        <w:color w:val="231F20"/>
                        <w:sz w:val="16"/>
                      </w:rPr>
                      <w:t>PTH</w:t>
                    </w:r>
                  </w:p>
                </w:txbxContent>
              </v:textbox>
              <w10:wrap type="none"/>
            </v:shape>
            <v:shape style="position:absolute;left:9544;top:-1556;width:1254;height:500" type="#_x0000_t202" filled="false" stroked="false">
              <v:textbox inset="0,0,0,0">
                <w:txbxContent>
                  <w:p>
                    <w:pPr>
                      <w:spacing w:line="235" w:lineRule="auto" w:before="0"/>
                      <w:ind w:left="250" w:right="138" w:hanging="46"/>
                      <w:jc w:val="left"/>
                      <w:rPr>
                        <w:rFonts w:ascii="Helvetica" w:hAnsi="Helvetica"/>
                        <w:sz w:val="16"/>
                      </w:rPr>
                    </w:pPr>
                    <w:r>
                      <w:rPr>
                        <w:rFonts w:ascii="Helvetica" w:hAnsi="Helvetica"/>
                        <w:color w:val="231F20"/>
                        <w:sz w:val="16"/>
                      </w:rPr>
                      <w:t>Ca</w:t>
                    </w:r>
                    <w:r>
                      <w:rPr>
                        <w:rFonts w:ascii="Symbol" w:hAnsi="Symbol"/>
                        <w:color w:val="231F20"/>
                        <w:position w:val="5"/>
                        <w:sz w:val="12"/>
                      </w:rPr>
                      <w:t></w:t>
                    </w:r>
                    <w:r>
                      <w:rPr>
                        <w:color w:val="231F20"/>
                        <w:position w:val="5"/>
                        <w:sz w:val="12"/>
                      </w:rPr>
                      <w:t> </w:t>
                    </w:r>
                    <w:r>
                      <w:rPr>
                        <w:rFonts w:ascii="Helvetica" w:hAnsi="Helvetica"/>
                        <w:color w:val="231F20"/>
                        <w:sz w:val="16"/>
                      </w:rPr>
                      <w:t>release from bones</w:t>
                    </w:r>
                  </w:p>
                </w:txbxContent>
              </v:textbox>
              <w10:wrap type="none"/>
            </v:shape>
            <v:shape style="position:absolute;left:7863;top:-1556;width:1254;height:500" type="#_x0000_t202" filled="false" stroked="false">
              <v:textbox inset="0,0,0,0">
                <w:txbxContent>
                  <w:p>
                    <w:pPr>
                      <w:spacing w:line="235" w:lineRule="auto" w:before="0"/>
                      <w:ind w:left="205" w:right="139" w:firstLine="45"/>
                      <w:jc w:val="left"/>
                      <w:rPr>
                        <w:rFonts w:ascii="Helvetica" w:hAnsi="Helvetica"/>
                        <w:sz w:val="16"/>
                      </w:rPr>
                    </w:pPr>
                    <w:r>
                      <w:rPr>
                        <w:rFonts w:ascii="Helvetica" w:hAnsi="Helvetica"/>
                        <w:color w:val="231F20"/>
                        <w:sz w:val="16"/>
                      </w:rPr>
                      <w:t>Renal Ca</w:t>
                    </w:r>
                    <w:r>
                      <w:rPr>
                        <w:rFonts w:ascii="Symbol" w:hAnsi="Symbol"/>
                        <w:color w:val="231F20"/>
                        <w:position w:val="5"/>
                        <w:sz w:val="12"/>
                      </w:rPr>
                      <w:t></w:t>
                    </w:r>
                    <w:r>
                      <w:rPr>
                        <w:color w:val="231F20"/>
                        <w:position w:val="5"/>
                        <w:sz w:val="12"/>
                      </w:rPr>
                      <w:t> </w:t>
                    </w:r>
                    <w:r>
                      <w:rPr>
                        <w:rFonts w:ascii="Helvetica" w:hAnsi="Helvetica"/>
                        <w:color w:val="231F20"/>
                        <w:sz w:val="16"/>
                      </w:rPr>
                      <w:t>reabsorption</w:t>
                    </w:r>
                  </w:p>
                </w:txbxContent>
              </v:textbox>
              <w10:wrap type="none"/>
            </v:shape>
            <w10:wrap type="none"/>
          </v:group>
        </w:pict>
      </w:r>
      <w:r>
        <w:rPr/>
        <w:pict>
          <v:shape style="position:absolute;margin-left:309.075012pt;margin-top:-129.303040pt;width:62.7pt;height:25pt;mso-position-horizontal-relative:page;mso-position-vertical-relative:paragraph;z-index:252625920" type="#_x0000_t202" filled="false" stroked="false">
            <v:textbox inset="0,0,0,0">
              <w:txbxContent>
                <w:p>
                  <w:pPr>
                    <w:spacing w:line="192" w:lineRule="auto" w:before="34"/>
                    <w:ind w:left="312" w:right="204" w:hanging="43"/>
                    <w:jc w:val="left"/>
                    <w:rPr>
                      <w:rFonts w:ascii="Helvetica"/>
                      <w:sz w:val="16"/>
                    </w:rPr>
                  </w:pPr>
                  <w:r>
                    <w:rPr>
                      <w:rFonts w:ascii="Helvetica"/>
                      <w:color w:val="231F20"/>
                      <w:sz w:val="16"/>
                    </w:rPr>
                    <w:t>Vitamin D</w:t>
                  </w:r>
                  <w:r>
                    <w:rPr>
                      <w:rFonts w:ascii="Helvetica"/>
                      <w:color w:val="231F20"/>
                      <w:position w:val="-4"/>
                      <w:sz w:val="12"/>
                    </w:rPr>
                    <w:t>3 </w:t>
                  </w:r>
                  <w:r>
                    <w:rPr>
                      <w:rFonts w:ascii="Helvetica"/>
                      <w:color w:val="231F20"/>
                      <w:sz w:val="16"/>
                    </w:rPr>
                    <w:t>activation</w:t>
                  </w:r>
                </w:p>
              </w:txbxContent>
            </v:textbox>
            <w10:wrap type="none"/>
          </v:shape>
        </w:pict>
      </w:r>
      <w:r>
        <w:rPr>
          <w:color w:val="231F20"/>
          <w:w w:val="105"/>
        </w:rPr>
        <w:t>hormone then acts directly on the bones to increase </w:t>
      </w:r>
      <w:r>
        <w:rPr>
          <w:color w:val="231F20"/>
          <w:spacing w:val="-5"/>
          <w:w w:val="105"/>
        </w:rPr>
        <w:t>the </w:t>
      </w:r>
      <w:r>
        <w:rPr>
          <w:color w:val="231F20"/>
          <w:w w:val="105"/>
        </w:rPr>
        <w:t>resorption of bone salts (release of salts from the</w:t>
      </w:r>
      <w:r>
        <w:rPr>
          <w:color w:val="231F20"/>
          <w:spacing w:val="-32"/>
          <w:w w:val="105"/>
        </w:rPr>
        <w:t> </w:t>
      </w:r>
      <w:r>
        <w:rPr>
          <w:color w:val="231F20"/>
          <w:w w:val="105"/>
        </w:rPr>
        <w:t>bones) and</w:t>
      </w:r>
      <w:r>
        <w:rPr>
          <w:color w:val="231F20"/>
          <w:spacing w:val="-16"/>
          <w:w w:val="105"/>
        </w:rPr>
        <w:t> </w:t>
      </w:r>
      <w:r>
        <w:rPr>
          <w:color w:val="231F20"/>
          <w:w w:val="105"/>
        </w:rPr>
        <w:t>to</w:t>
      </w:r>
      <w:r>
        <w:rPr>
          <w:color w:val="231F20"/>
          <w:spacing w:val="-16"/>
          <w:w w:val="105"/>
        </w:rPr>
        <w:t> </w:t>
      </w:r>
      <w:r>
        <w:rPr>
          <w:color w:val="231F20"/>
          <w:w w:val="105"/>
        </w:rPr>
        <w:t>release</w:t>
      </w:r>
      <w:r>
        <w:rPr>
          <w:color w:val="231F20"/>
          <w:spacing w:val="-15"/>
          <w:w w:val="105"/>
        </w:rPr>
        <w:t> </w:t>
      </w:r>
      <w:r>
        <w:rPr>
          <w:color w:val="231F20"/>
          <w:w w:val="105"/>
        </w:rPr>
        <w:t>large</w:t>
      </w:r>
      <w:r>
        <w:rPr>
          <w:color w:val="231F20"/>
          <w:spacing w:val="-16"/>
          <w:w w:val="105"/>
        </w:rPr>
        <w:t> </w:t>
      </w:r>
      <w:r>
        <w:rPr>
          <w:color w:val="231F20"/>
          <w:w w:val="105"/>
        </w:rPr>
        <w:t>amounts</w:t>
      </w:r>
      <w:r>
        <w:rPr>
          <w:color w:val="231F20"/>
          <w:spacing w:val="-15"/>
          <w:w w:val="105"/>
        </w:rPr>
        <w:t> </w:t>
      </w:r>
      <w:r>
        <w:rPr>
          <w:color w:val="231F20"/>
          <w:w w:val="105"/>
        </w:rPr>
        <w:t>of</w:t>
      </w:r>
      <w:r>
        <w:rPr>
          <w:color w:val="231F20"/>
          <w:spacing w:val="-16"/>
          <w:w w:val="105"/>
        </w:rPr>
        <w:t> </w:t>
      </w:r>
      <w:r>
        <w:rPr>
          <w:color w:val="231F20"/>
          <w:w w:val="105"/>
        </w:rPr>
        <w:t>calcium</w:t>
      </w:r>
      <w:r>
        <w:rPr>
          <w:color w:val="231F20"/>
          <w:spacing w:val="-15"/>
          <w:w w:val="105"/>
        </w:rPr>
        <w:t> </w:t>
      </w:r>
      <w:r>
        <w:rPr>
          <w:color w:val="231F20"/>
          <w:w w:val="105"/>
        </w:rPr>
        <w:t>into</w:t>
      </w:r>
      <w:r>
        <w:rPr>
          <w:color w:val="231F20"/>
          <w:spacing w:val="-16"/>
          <w:w w:val="105"/>
        </w:rPr>
        <w:t> </w:t>
      </w:r>
      <w:r>
        <w:rPr>
          <w:color w:val="231F20"/>
          <w:w w:val="105"/>
        </w:rPr>
        <w:t>the</w:t>
      </w:r>
      <w:r>
        <w:rPr>
          <w:color w:val="231F20"/>
          <w:spacing w:val="-15"/>
          <w:w w:val="105"/>
        </w:rPr>
        <w:t> </w:t>
      </w:r>
      <w:r>
        <w:rPr>
          <w:color w:val="231F20"/>
          <w:w w:val="105"/>
        </w:rPr>
        <w:t>extracel- lular</w:t>
      </w:r>
      <w:r>
        <w:rPr>
          <w:color w:val="231F20"/>
          <w:spacing w:val="-9"/>
          <w:w w:val="105"/>
        </w:rPr>
        <w:t> </w:t>
      </w:r>
      <w:r>
        <w:rPr>
          <w:color w:val="231F20"/>
          <w:w w:val="105"/>
        </w:rPr>
        <w:t>fluid,</w:t>
      </w:r>
      <w:r>
        <w:rPr>
          <w:color w:val="231F20"/>
          <w:spacing w:val="-9"/>
          <w:w w:val="105"/>
        </w:rPr>
        <w:t> </w:t>
      </w:r>
      <w:r>
        <w:rPr>
          <w:color w:val="231F20"/>
          <w:w w:val="105"/>
        </w:rPr>
        <w:t>thereby</w:t>
      </w:r>
      <w:r>
        <w:rPr>
          <w:color w:val="231F20"/>
          <w:spacing w:val="-8"/>
          <w:w w:val="105"/>
        </w:rPr>
        <w:t> </w:t>
      </w:r>
      <w:r>
        <w:rPr>
          <w:color w:val="231F20"/>
          <w:w w:val="105"/>
        </w:rPr>
        <w:t>returning</w:t>
      </w:r>
      <w:r>
        <w:rPr>
          <w:color w:val="231F20"/>
          <w:spacing w:val="-8"/>
          <w:w w:val="105"/>
        </w:rPr>
        <w:t> </w:t>
      </w:r>
      <w:r>
        <w:rPr>
          <w:color w:val="231F20"/>
          <w:w w:val="105"/>
        </w:rPr>
        <w:t>calcium</w:t>
      </w:r>
      <w:r>
        <w:rPr>
          <w:color w:val="231F20"/>
          <w:spacing w:val="-9"/>
          <w:w w:val="105"/>
        </w:rPr>
        <w:t> </w:t>
      </w:r>
      <w:r>
        <w:rPr>
          <w:color w:val="231F20"/>
          <w:w w:val="105"/>
        </w:rPr>
        <w:t>levels</w:t>
      </w:r>
      <w:r>
        <w:rPr>
          <w:color w:val="231F20"/>
          <w:spacing w:val="-8"/>
          <w:w w:val="105"/>
        </w:rPr>
        <w:t> </w:t>
      </w:r>
      <w:r>
        <w:rPr>
          <w:color w:val="231F20"/>
          <w:w w:val="105"/>
        </w:rPr>
        <w:t>back</w:t>
      </w:r>
      <w:r>
        <w:rPr>
          <w:color w:val="231F20"/>
          <w:spacing w:val="-8"/>
          <w:w w:val="105"/>
        </w:rPr>
        <w:t> </w:t>
      </w:r>
      <w:r>
        <w:rPr>
          <w:color w:val="231F20"/>
          <w:w w:val="105"/>
        </w:rPr>
        <w:t>toward</w:t>
      </w:r>
    </w:p>
    <w:p>
      <w:pPr>
        <w:spacing w:after="0" w:line="249" w:lineRule="auto"/>
        <w:jc w:val="both"/>
        <w:sectPr>
          <w:type w:val="continuous"/>
          <w:pgSz w:w="12240" w:h="15660"/>
          <w:pgMar w:top="0" w:bottom="760" w:left="0" w:right="0"/>
          <w:cols w:num="2" w:equalWidth="0">
            <w:col w:w="5761" w:space="40"/>
            <w:col w:w="6439"/>
          </w:cols>
        </w:sectPr>
      </w:pPr>
    </w:p>
    <w:p>
      <w:pPr>
        <w:pStyle w:val="BodyText"/>
        <w:spacing w:line="249" w:lineRule="auto" w:before="3"/>
        <w:ind w:left="1080" w:firstLine="240"/>
        <w:jc w:val="right"/>
        <w:rPr>
          <w:i/>
        </w:rPr>
      </w:pPr>
      <w:r>
        <w:rPr>
          <w:color w:val="231F20"/>
          <w:w w:val="105"/>
        </w:rPr>
        <w:t>About</w:t>
      </w:r>
      <w:r>
        <w:rPr>
          <w:color w:val="231F20"/>
          <w:spacing w:val="13"/>
          <w:w w:val="105"/>
        </w:rPr>
        <w:t> </w:t>
      </w:r>
      <w:r>
        <w:rPr>
          <w:color w:val="231F20"/>
          <w:w w:val="105"/>
        </w:rPr>
        <w:t>50</w:t>
      </w:r>
      <w:r>
        <w:rPr>
          <w:color w:val="231F20"/>
          <w:spacing w:val="13"/>
          <w:w w:val="105"/>
        </w:rPr>
        <w:t> </w:t>
      </w:r>
      <w:r>
        <w:rPr>
          <w:color w:val="231F20"/>
          <w:w w:val="105"/>
        </w:rPr>
        <w:t>percent</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i/>
          <w:color w:val="231F20"/>
          <w:w w:val="105"/>
        </w:rPr>
        <w:t>total</w:t>
      </w:r>
      <w:r>
        <w:rPr>
          <w:i/>
          <w:color w:val="231F20"/>
          <w:spacing w:val="13"/>
          <w:w w:val="105"/>
        </w:rPr>
        <w:t> </w:t>
      </w:r>
      <w:r>
        <w:rPr>
          <w:color w:val="231F20"/>
          <w:w w:val="105"/>
        </w:rPr>
        <w:t>calcium</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spacing w:val="-3"/>
          <w:w w:val="105"/>
        </w:rPr>
        <w:t>plasma</w:t>
      </w:r>
      <w:r>
        <w:rPr>
          <w:color w:val="231F20"/>
          <w:w w:val="102"/>
        </w:rPr>
        <w:t> </w:t>
      </w:r>
      <w:r>
        <w:rPr>
          <w:color w:val="231F20"/>
          <w:w w:val="105"/>
        </w:rPr>
        <w:t>(5 mEq/L) exists in the ionized form, which is</w:t>
      </w:r>
      <w:r>
        <w:rPr>
          <w:color w:val="231F20"/>
          <w:spacing w:val="17"/>
          <w:w w:val="105"/>
        </w:rPr>
        <w:t> </w:t>
      </w:r>
      <w:r>
        <w:rPr>
          <w:color w:val="231F20"/>
          <w:w w:val="105"/>
        </w:rPr>
        <w:t>the</w:t>
      </w:r>
      <w:r>
        <w:rPr>
          <w:color w:val="231F20"/>
          <w:spacing w:val="4"/>
          <w:w w:val="105"/>
        </w:rPr>
        <w:t> </w:t>
      </w:r>
      <w:r>
        <w:rPr>
          <w:color w:val="231F20"/>
          <w:w w:val="105"/>
        </w:rPr>
        <w:t>form</w:t>
      </w:r>
      <w:r>
        <w:rPr>
          <w:color w:val="231F20"/>
          <w:w w:val="106"/>
        </w:rPr>
        <w:t> </w:t>
      </w:r>
      <w:r>
        <w:rPr>
          <w:color w:val="231F20"/>
          <w:w w:val="105"/>
        </w:rPr>
        <w:t>that</w:t>
      </w:r>
      <w:r>
        <w:rPr>
          <w:color w:val="231F20"/>
          <w:spacing w:val="-33"/>
          <w:w w:val="105"/>
        </w:rPr>
        <w:t> </w:t>
      </w:r>
      <w:r>
        <w:rPr>
          <w:color w:val="231F20"/>
          <w:w w:val="105"/>
        </w:rPr>
        <w:t>has</w:t>
      </w:r>
      <w:r>
        <w:rPr>
          <w:color w:val="231F20"/>
          <w:spacing w:val="-32"/>
          <w:w w:val="105"/>
        </w:rPr>
        <w:t> </w:t>
      </w:r>
      <w:r>
        <w:rPr>
          <w:color w:val="231F20"/>
          <w:w w:val="105"/>
        </w:rPr>
        <w:t>biological</w:t>
      </w:r>
      <w:r>
        <w:rPr>
          <w:color w:val="231F20"/>
          <w:spacing w:val="-32"/>
          <w:w w:val="105"/>
        </w:rPr>
        <w:t> </w:t>
      </w:r>
      <w:r>
        <w:rPr>
          <w:color w:val="231F20"/>
          <w:w w:val="105"/>
        </w:rPr>
        <w:t>activity</w:t>
      </w:r>
      <w:r>
        <w:rPr>
          <w:color w:val="231F20"/>
          <w:spacing w:val="-32"/>
          <w:w w:val="105"/>
        </w:rPr>
        <w:t> </w:t>
      </w:r>
      <w:r>
        <w:rPr>
          <w:color w:val="231F20"/>
          <w:w w:val="105"/>
        </w:rPr>
        <w:t>at</w:t>
      </w:r>
      <w:r>
        <w:rPr>
          <w:color w:val="231F20"/>
          <w:spacing w:val="-32"/>
          <w:w w:val="105"/>
        </w:rPr>
        <w:t> </w:t>
      </w:r>
      <w:r>
        <w:rPr>
          <w:color w:val="231F20"/>
          <w:w w:val="105"/>
        </w:rPr>
        <w:t>cell</w:t>
      </w:r>
      <w:r>
        <w:rPr>
          <w:color w:val="231F20"/>
          <w:spacing w:val="-33"/>
          <w:w w:val="105"/>
        </w:rPr>
        <w:t> </w:t>
      </w:r>
      <w:r>
        <w:rPr>
          <w:color w:val="231F20"/>
          <w:w w:val="105"/>
        </w:rPr>
        <w:t>membranes.</w:t>
      </w:r>
      <w:r>
        <w:rPr>
          <w:color w:val="231F20"/>
          <w:spacing w:val="-32"/>
          <w:w w:val="105"/>
        </w:rPr>
        <w:t> </w:t>
      </w:r>
      <w:r>
        <w:rPr>
          <w:color w:val="231F20"/>
          <w:w w:val="105"/>
        </w:rPr>
        <w:t>The</w:t>
      </w:r>
      <w:r>
        <w:rPr>
          <w:color w:val="231F20"/>
          <w:spacing w:val="-32"/>
          <w:w w:val="105"/>
        </w:rPr>
        <w:t> </w:t>
      </w:r>
      <w:r>
        <w:rPr>
          <w:color w:val="231F20"/>
          <w:spacing w:val="-3"/>
          <w:w w:val="105"/>
        </w:rPr>
        <w:t>remain-</w:t>
      </w:r>
      <w:r>
        <w:rPr>
          <w:color w:val="231F20"/>
          <w:w w:val="109"/>
        </w:rPr>
        <w:t> </w:t>
      </w:r>
      <w:r>
        <w:rPr>
          <w:color w:val="231F20"/>
          <w:w w:val="105"/>
        </w:rPr>
        <w:t>der</w:t>
      </w:r>
      <w:r>
        <w:rPr>
          <w:color w:val="231F20"/>
          <w:spacing w:val="38"/>
          <w:w w:val="105"/>
        </w:rPr>
        <w:t> </w:t>
      </w:r>
      <w:r>
        <w:rPr>
          <w:color w:val="231F20"/>
          <w:w w:val="105"/>
        </w:rPr>
        <w:t>is</w:t>
      </w:r>
      <w:r>
        <w:rPr>
          <w:color w:val="231F20"/>
          <w:spacing w:val="39"/>
          <w:w w:val="105"/>
        </w:rPr>
        <w:t> </w:t>
      </w:r>
      <w:r>
        <w:rPr>
          <w:color w:val="231F20"/>
          <w:w w:val="105"/>
        </w:rPr>
        <w:t>either</w:t>
      </w:r>
      <w:r>
        <w:rPr>
          <w:color w:val="231F20"/>
          <w:spacing w:val="39"/>
          <w:w w:val="105"/>
        </w:rPr>
        <w:t> </w:t>
      </w:r>
      <w:r>
        <w:rPr>
          <w:color w:val="231F20"/>
          <w:w w:val="105"/>
        </w:rPr>
        <w:t>bound</w:t>
      </w:r>
      <w:r>
        <w:rPr>
          <w:color w:val="231F20"/>
          <w:spacing w:val="38"/>
          <w:w w:val="105"/>
        </w:rPr>
        <w:t> </w:t>
      </w:r>
      <w:r>
        <w:rPr>
          <w:color w:val="231F20"/>
          <w:w w:val="105"/>
        </w:rPr>
        <w:t>to</w:t>
      </w:r>
      <w:r>
        <w:rPr>
          <w:color w:val="231F20"/>
          <w:spacing w:val="39"/>
          <w:w w:val="105"/>
        </w:rPr>
        <w:t> </w:t>
      </w:r>
      <w:r>
        <w:rPr>
          <w:color w:val="231F20"/>
          <w:w w:val="105"/>
        </w:rPr>
        <w:t>the</w:t>
      </w:r>
      <w:r>
        <w:rPr>
          <w:color w:val="231F20"/>
          <w:spacing w:val="39"/>
          <w:w w:val="105"/>
        </w:rPr>
        <w:t> </w:t>
      </w:r>
      <w:r>
        <w:rPr>
          <w:color w:val="231F20"/>
          <w:w w:val="105"/>
        </w:rPr>
        <w:t>plasma</w:t>
      </w:r>
      <w:r>
        <w:rPr>
          <w:color w:val="231F20"/>
          <w:spacing w:val="39"/>
          <w:w w:val="105"/>
        </w:rPr>
        <w:t> </w:t>
      </w:r>
      <w:r>
        <w:rPr>
          <w:color w:val="231F20"/>
          <w:w w:val="105"/>
        </w:rPr>
        <w:t>proteins</w:t>
      </w:r>
      <w:r>
        <w:rPr>
          <w:color w:val="231F20"/>
          <w:spacing w:val="38"/>
          <w:w w:val="105"/>
        </w:rPr>
        <w:t> </w:t>
      </w:r>
      <w:r>
        <w:rPr>
          <w:color w:val="231F20"/>
          <w:w w:val="105"/>
        </w:rPr>
        <w:t>(about</w:t>
      </w:r>
      <w:r>
        <w:rPr>
          <w:color w:val="231F20"/>
          <w:spacing w:val="39"/>
          <w:w w:val="105"/>
        </w:rPr>
        <w:t> </w:t>
      </w:r>
      <w:r>
        <w:rPr>
          <w:color w:val="231F20"/>
          <w:w w:val="105"/>
        </w:rPr>
        <w:t>40</w:t>
      </w:r>
      <w:r>
        <w:rPr>
          <w:color w:val="231F20"/>
          <w:w w:val="98"/>
        </w:rPr>
        <w:t> </w:t>
      </w:r>
      <w:r>
        <w:rPr>
          <w:color w:val="231F20"/>
          <w:w w:val="105"/>
        </w:rPr>
        <w:t>percent) or complexed in the non-ionized</w:t>
      </w:r>
      <w:r>
        <w:rPr>
          <w:color w:val="231F20"/>
          <w:spacing w:val="6"/>
          <w:w w:val="105"/>
        </w:rPr>
        <w:t> </w:t>
      </w:r>
      <w:r>
        <w:rPr>
          <w:color w:val="231F20"/>
          <w:w w:val="105"/>
        </w:rPr>
        <w:t>form</w:t>
      </w:r>
      <w:r>
        <w:rPr>
          <w:color w:val="231F20"/>
          <w:spacing w:val="44"/>
          <w:w w:val="105"/>
        </w:rPr>
        <w:t> </w:t>
      </w:r>
      <w:r>
        <w:rPr>
          <w:color w:val="231F20"/>
          <w:w w:val="105"/>
        </w:rPr>
        <w:t>with</w:t>
      </w:r>
      <w:r>
        <w:rPr>
          <w:color w:val="231F20"/>
          <w:w w:val="108"/>
        </w:rPr>
        <w:t> </w:t>
      </w:r>
      <w:r>
        <w:rPr>
          <w:color w:val="231F20"/>
          <w:w w:val="105"/>
        </w:rPr>
        <w:t>anions such as phosphate and citrate (about</w:t>
      </w:r>
      <w:r>
        <w:rPr>
          <w:color w:val="231F20"/>
          <w:spacing w:val="-23"/>
          <w:w w:val="105"/>
        </w:rPr>
        <w:t> </w:t>
      </w:r>
      <w:r>
        <w:rPr>
          <w:color w:val="231F20"/>
          <w:w w:val="105"/>
        </w:rPr>
        <w:t>10</w:t>
      </w:r>
      <w:r>
        <w:rPr>
          <w:color w:val="231F20"/>
          <w:spacing w:val="-3"/>
          <w:w w:val="105"/>
        </w:rPr>
        <w:t> </w:t>
      </w:r>
      <w:r>
        <w:rPr>
          <w:color w:val="231F20"/>
          <w:w w:val="105"/>
        </w:rPr>
        <w:t>percent).</w:t>
      </w:r>
      <w:r>
        <w:rPr>
          <w:color w:val="231F20"/>
          <w:w w:val="100"/>
        </w:rPr>
        <w:t> </w:t>
      </w:r>
      <w:r>
        <w:rPr>
          <w:color w:val="231F20"/>
          <w:w w:val="105"/>
        </w:rPr>
        <w:t>Changes</w:t>
      </w:r>
      <w:r>
        <w:rPr>
          <w:color w:val="231F20"/>
          <w:spacing w:val="23"/>
          <w:w w:val="105"/>
        </w:rPr>
        <w:t> </w:t>
      </w:r>
      <w:r>
        <w:rPr>
          <w:color w:val="231F20"/>
          <w:w w:val="105"/>
        </w:rPr>
        <w:t>in</w:t>
      </w:r>
      <w:r>
        <w:rPr>
          <w:color w:val="231F20"/>
          <w:spacing w:val="23"/>
          <w:w w:val="105"/>
        </w:rPr>
        <w:t> </w:t>
      </w:r>
      <w:r>
        <w:rPr>
          <w:color w:val="231F20"/>
          <w:w w:val="105"/>
        </w:rPr>
        <w:t>plasma</w:t>
      </w:r>
      <w:r>
        <w:rPr>
          <w:color w:val="231F20"/>
          <w:spacing w:val="24"/>
          <w:w w:val="105"/>
        </w:rPr>
        <w:t> </w:t>
      </w:r>
      <w:r>
        <w:rPr>
          <w:color w:val="231F20"/>
          <w:w w:val="105"/>
        </w:rPr>
        <w:t>hydrogen</w:t>
      </w:r>
      <w:r>
        <w:rPr>
          <w:color w:val="231F20"/>
          <w:spacing w:val="23"/>
          <w:w w:val="105"/>
        </w:rPr>
        <w:t> </w:t>
      </w:r>
      <w:r>
        <w:rPr>
          <w:color w:val="231F20"/>
          <w:w w:val="105"/>
        </w:rPr>
        <w:t>ion</w:t>
      </w:r>
      <w:r>
        <w:rPr>
          <w:color w:val="231F20"/>
          <w:spacing w:val="24"/>
          <w:w w:val="105"/>
        </w:rPr>
        <w:t> </w:t>
      </w:r>
      <w:r>
        <w:rPr>
          <w:color w:val="231F20"/>
          <w:w w:val="105"/>
        </w:rPr>
        <w:t>concentration</w:t>
      </w:r>
      <w:r>
        <w:rPr>
          <w:color w:val="231F20"/>
          <w:spacing w:val="23"/>
          <w:w w:val="105"/>
        </w:rPr>
        <w:t> </w:t>
      </w:r>
      <w:r>
        <w:rPr>
          <w:color w:val="231F20"/>
          <w:w w:val="105"/>
        </w:rPr>
        <w:t>can</w:t>
      </w:r>
      <w:r>
        <w:rPr>
          <w:color w:val="231F20"/>
          <w:w w:val="105"/>
        </w:rPr>
        <w:t> </w:t>
      </w:r>
      <w:r>
        <w:rPr>
          <w:color w:val="231F20"/>
          <w:w w:val="105"/>
        </w:rPr>
        <w:t>influence the degree of calcium binding to</w:t>
      </w:r>
      <w:r>
        <w:rPr>
          <w:color w:val="231F20"/>
          <w:spacing w:val="1"/>
          <w:w w:val="105"/>
        </w:rPr>
        <w:t> </w:t>
      </w:r>
      <w:r>
        <w:rPr>
          <w:color w:val="231F20"/>
          <w:w w:val="105"/>
        </w:rPr>
        <w:t>plasma</w:t>
      </w:r>
      <w:r>
        <w:rPr>
          <w:color w:val="231F20"/>
          <w:spacing w:val="8"/>
          <w:w w:val="105"/>
        </w:rPr>
        <w:t> </w:t>
      </w:r>
      <w:r>
        <w:rPr>
          <w:color w:val="231F20"/>
          <w:w w:val="105"/>
        </w:rPr>
        <w:t>pro-</w:t>
      </w:r>
      <w:r>
        <w:rPr>
          <w:color w:val="231F20"/>
          <w:w w:val="109"/>
        </w:rPr>
        <w:t> </w:t>
      </w:r>
      <w:r>
        <w:rPr>
          <w:color w:val="231F20"/>
          <w:w w:val="105"/>
        </w:rPr>
        <w:t>teins.</w:t>
      </w:r>
      <w:r>
        <w:rPr>
          <w:color w:val="231F20"/>
          <w:spacing w:val="-6"/>
          <w:w w:val="105"/>
        </w:rPr>
        <w:t> </w:t>
      </w:r>
      <w:r>
        <w:rPr>
          <w:color w:val="231F20"/>
          <w:spacing w:val="-3"/>
          <w:w w:val="105"/>
        </w:rPr>
        <w:t>With</w:t>
      </w:r>
      <w:r>
        <w:rPr>
          <w:color w:val="231F20"/>
          <w:spacing w:val="-5"/>
          <w:w w:val="105"/>
        </w:rPr>
        <w:t> </w:t>
      </w:r>
      <w:r>
        <w:rPr>
          <w:color w:val="231F20"/>
          <w:w w:val="105"/>
        </w:rPr>
        <w:t>acidosis,</w:t>
      </w:r>
      <w:r>
        <w:rPr>
          <w:color w:val="231F20"/>
          <w:spacing w:val="-6"/>
          <w:w w:val="105"/>
        </w:rPr>
        <w:t> </w:t>
      </w:r>
      <w:r>
        <w:rPr>
          <w:color w:val="231F20"/>
          <w:w w:val="105"/>
        </w:rPr>
        <w:t>less</w:t>
      </w:r>
      <w:r>
        <w:rPr>
          <w:color w:val="231F20"/>
          <w:spacing w:val="-5"/>
          <w:w w:val="105"/>
        </w:rPr>
        <w:t> </w:t>
      </w:r>
      <w:r>
        <w:rPr>
          <w:color w:val="231F20"/>
          <w:w w:val="105"/>
        </w:rPr>
        <w:t>calcium</w:t>
      </w:r>
      <w:r>
        <w:rPr>
          <w:color w:val="231F20"/>
          <w:spacing w:val="-5"/>
          <w:w w:val="105"/>
        </w:rPr>
        <w:t> </w:t>
      </w:r>
      <w:r>
        <w:rPr>
          <w:color w:val="231F20"/>
          <w:w w:val="105"/>
        </w:rPr>
        <w:t>is</w:t>
      </w:r>
      <w:r>
        <w:rPr>
          <w:color w:val="231F20"/>
          <w:spacing w:val="-6"/>
          <w:w w:val="105"/>
        </w:rPr>
        <w:t> </w:t>
      </w:r>
      <w:r>
        <w:rPr>
          <w:color w:val="231F20"/>
          <w:w w:val="105"/>
        </w:rPr>
        <w:t>bound</w:t>
      </w:r>
      <w:r>
        <w:rPr>
          <w:color w:val="231F20"/>
          <w:spacing w:val="-5"/>
          <w:w w:val="105"/>
        </w:rPr>
        <w:t> </w:t>
      </w:r>
      <w:r>
        <w:rPr>
          <w:color w:val="231F20"/>
          <w:w w:val="105"/>
        </w:rPr>
        <w:t>to</w:t>
      </w:r>
      <w:r>
        <w:rPr>
          <w:color w:val="231F20"/>
          <w:spacing w:val="-6"/>
          <w:w w:val="105"/>
        </w:rPr>
        <w:t> </w:t>
      </w:r>
      <w:r>
        <w:rPr>
          <w:color w:val="231F20"/>
          <w:w w:val="105"/>
        </w:rPr>
        <w:t>the</w:t>
      </w:r>
      <w:r>
        <w:rPr>
          <w:color w:val="231F20"/>
          <w:spacing w:val="-5"/>
          <w:w w:val="105"/>
        </w:rPr>
        <w:t> </w:t>
      </w:r>
      <w:r>
        <w:rPr>
          <w:color w:val="231F20"/>
          <w:w w:val="105"/>
        </w:rPr>
        <w:t>plasma</w:t>
      </w:r>
      <w:r>
        <w:rPr>
          <w:color w:val="231F20"/>
          <w:w w:val="102"/>
        </w:rPr>
        <w:t> </w:t>
      </w:r>
      <w:r>
        <w:rPr>
          <w:color w:val="231F20"/>
          <w:w w:val="105"/>
        </w:rPr>
        <w:t>proteins.</w:t>
      </w:r>
      <w:r>
        <w:rPr>
          <w:color w:val="231F20"/>
          <w:spacing w:val="26"/>
          <w:w w:val="105"/>
        </w:rPr>
        <w:t> </w:t>
      </w:r>
      <w:r>
        <w:rPr>
          <w:color w:val="231F20"/>
          <w:w w:val="105"/>
        </w:rPr>
        <w:t>Conversely,</w:t>
      </w:r>
      <w:r>
        <w:rPr>
          <w:color w:val="231F20"/>
          <w:spacing w:val="26"/>
          <w:w w:val="105"/>
        </w:rPr>
        <w:t> </w:t>
      </w:r>
      <w:r>
        <w:rPr>
          <w:color w:val="231F20"/>
          <w:w w:val="105"/>
        </w:rPr>
        <w:t>with</w:t>
      </w:r>
      <w:r>
        <w:rPr>
          <w:color w:val="231F20"/>
          <w:spacing w:val="27"/>
          <w:w w:val="105"/>
        </w:rPr>
        <w:t> </w:t>
      </w:r>
      <w:r>
        <w:rPr>
          <w:color w:val="231F20"/>
          <w:w w:val="105"/>
        </w:rPr>
        <w:t>alkalosis,</w:t>
      </w:r>
      <w:r>
        <w:rPr>
          <w:color w:val="231F20"/>
          <w:spacing w:val="26"/>
          <w:w w:val="105"/>
        </w:rPr>
        <w:t> </w:t>
      </w:r>
      <w:r>
        <w:rPr>
          <w:color w:val="231F20"/>
          <w:w w:val="105"/>
        </w:rPr>
        <w:t>a</w:t>
      </w:r>
      <w:r>
        <w:rPr>
          <w:color w:val="231F20"/>
          <w:spacing w:val="27"/>
          <w:w w:val="105"/>
        </w:rPr>
        <w:t> </w:t>
      </w:r>
      <w:r>
        <w:rPr>
          <w:color w:val="231F20"/>
          <w:w w:val="105"/>
        </w:rPr>
        <w:t>greater</w:t>
      </w:r>
      <w:r>
        <w:rPr>
          <w:color w:val="231F20"/>
          <w:spacing w:val="26"/>
          <w:w w:val="105"/>
        </w:rPr>
        <w:t> </w:t>
      </w:r>
      <w:r>
        <w:rPr>
          <w:color w:val="231F20"/>
          <w:spacing w:val="-3"/>
          <w:w w:val="105"/>
        </w:rPr>
        <w:t>amount</w:t>
      </w:r>
      <w:r>
        <w:rPr>
          <w:color w:val="231F20"/>
          <w:w w:val="116"/>
        </w:rPr>
        <w:t> </w:t>
      </w:r>
      <w:r>
        <w:rPr>
          <w:color w:val="231F20"/>
          <w:w w:val="105"/>
        </w:rPr>
        <w:t>of</w:t>
      </w:r>
      <w:r>
        <w:rPr>
          <w:color w:val="231F20"/>
          <w:spacing w:val="17"/>
          <w:w w:val="105"/>
        </w:rPr>
        <w:t> </w:t>
      </w:r>
      <w:r>
        <w:rPr>
          <w:color w:val="231F20"/>
          <w:w w:val="105"/>
        </w:rPr>
        <w:t>calcium</w:t>
      </w:r>
      <w:r>
        <w:rPr>
          <w:color w:val="231F20"/>
          <w:spacing w:val="18"/>
          <w:w w:val="105"/>
        </w:rPr>
        <w:t> </w:t>
      </w:r>
      <w:r>
        <w:rPr>
          <w:color w:val="231F20"/>
          <w:w w:val="105"/>
        </w:rPr>
        <w:t>is</w:t>
      </w:r>
      <w:r>
        <w:rPr>
          <w:color w:val="231F20"/>
          <w:spacing w:val="18"/>
          <w:w w:val="105"/>
        </w:rPr>
        <w:t> </w:t>
      </w:r>
      <w:r>
        <w:rPr>
          <w:color w:val="231F20"/>
          <w:w w:val="105"/>
        </w:rPr>
        <w:t>bound</w:t>
      </w:r>
      <w:r>
        <w:rPr>
          <w:color w:val="231F20"/>
          <w:spacing w:val="17"/>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plasma</w:t>
      </w:r>
      <w:r>
        <w:rPr>
          <w:color w:val="231F20"/>
          <w:spacing w:val="18"/>
          <w:w w:val="105"/>
        </w:rPr>
        <w:t> </w:t>
      </w:r>
      <w:r>
        <w:rPr>
          <w:color w:val="231F20"/>
          <w:w w:val="105"/>
        </w:rPr>
        <w:t>proteins.</w:t>
      </w:r>
      <w:r>
        <w:rPr>
          <w:color w:val="231F20"/>
          <w:spacing w:val="17"/>
          <w:w w:val="105"/>
        </w:rPr>
        <w:t> </w:t>
      </w:r>
      <w:r>
        <w:rPr>
          <w:color w:val="231F20"/>
          <w:spacing w:val="-3"/>
          <w:w w:val="105"/>
        </w:rPr>
        <w:t>Therefore,</w:t>
      </w:r>
      <w:r>
        <w:rPr>
          <w:color w:val="231F20"/>
          <w:w w:val="95"/>
        </w:rPr>
        <w:t> </w:t>
      </w:r>
      <w:r>
        <w:rPr>
          <w:i/>
          <w:color w:val="231F20"/>
          <w:w w:val="105"/>
        </w:rPr>
        <w:t>patients</w:t>
      </w:r>
      <w:r>
        <w:rPr>
          <w:i/>
          <w:color w:val="231F20"/>
          <w:spacing w:val="-29"/>
          <w:w w:val="105"/>
        </w:rPr>
        <w:t> </w:t>
      </w:r>
      <w:r>
        <w:rPr>
          <w:i/>
          <w:color w:val="231F20"/>
          <w:w w:val="105"/>
        </w:rPr>
        <w:t>with</w:t>
      </w:r>
      <w:r>
        <w:rPr>
          <w:i/>
          <w:color w:val="231F20"/>
          <w:spacing w:val="-29"/>
          <w:w w:val="105"/>
        </w:rPr>
        <w:t> </w:t>
      </w:r>
      <w:r>
        <w:rPr>
          <w:i/>
          <w:color w:val="231F20"/>
          <w:w w:val="105"/>
        </w:rPr>
        <w:t>alkalosis</w:t>
      </w:r>
      <w:r>
        <w:rPr>
          <w:i/>
          <w:color w:val="231F20"/>
          <w:spacing w:val="-28"/>
          <w:w w:val="105"/>
        </w:rPr>
        <w:t> </w:t>
      </w:r>
      <w:r>
        <w:rPr>
          <w:i/>
          <w:color w:val="231F20"/>
          <w:w w:val="105"/>
        </w:rPr>
        <w:t>are</w:t>
      </w:r>
      <w:r>
        <w:rPr>
          <w:i/>
          <w:color w:val="231F20"/>
          <w:spacing w:val="-29"/>
          <w:w w:val="105"/>
        </w:rPr>
        <w:t> </w:t>
      </w:r>
      <w:r>
        <w:rPr>
          <w:i/>
          <w:color w:val="231F20"/>
          <w:w w:val="105"/>
        </w:rPr>
        <w:t>more</w:t>
      </w:r>
      <w:r>
        <w:rPr>
          <w:i/>
          <w:color w:val="231F20"/>
          <w:spacing w:val="-29"/>
          <w:w w:val="105"/>
        </w:rPr>
        <w:t> </w:t>
      </w:r>
      <w:r>
        <w:rPr>
          <w:i/>
          <w:color w:val="231F20"/>
          <w:w w:val="105"/>
        </w:rPr>
        <w:t>susceptible</w:t>
      </w:r>
      <w:r>
        <w:rPr>
          <w:i/>
          <w:color w:val="231F20"/>
          <w:spacing w:val="-28"/>
          <w:w w:val="105"/>
        </w:rPr>
        <w:t> </w:t>
      </w:r>
      <w:r>
        <w:rPr>
          <w:i/>
          <w:color w:val="231F20"/>
          <w:w w:val="105"/>
        </w:rPr>
        <w:t>to</w:t>
      </w:r>
      <w:r>
        <w:rPr>
          <w:i/>
          <w:color w:val="231F20"/>
          <w:spacing w:val="-29"/>
          <w:w w:val="105"/>
        </w:rPr>
        <w:t> </w:t>
      </w:r>
      <w:r>
        <w:rPr>
          <w:i/>
          <w:color w:val="231F20"/>
          <w:w w:val="105"/>
        </w:rPr>
        <w:t>hypocalce-</w:t>
      </w:r>
    </w:p>
    <w:p>
      <w:pPr>
        <w:spacing w:before="10"/>
        <w:ind w:left="1080" w:right="0" w:firstLine="0"/>
        <w:jc w:val="both"/>
        <w:rPr>
          <w:i/>
          <w:sz w:val="20"/>
        </w:rPr>
      </w:pPr>
      <w:r>
        <w:rPr>
          <w:i/>
          <w:color w:val="231F20"/>
          <w:sz w:val="20"/>
        </w:rPr>
        <w:t>mic tetany.</w:t>
      </w:r>
    </w:p>
    <w:p>
      <w:pPr>
        <w:pStyle w:val="BodyText"/>
        <w:spacing w:line="249" w:lineRule="auto" w:before="10"/>
        <w:ind w:left="1080" w:firstLine="240"/>
        <w:jc w:val="both"/>
      </w:pPr>
      <w:r>
        <w:rPr>
          <w:color w:val="231F20"/>
          <w:w w:val="105"/>
        </w:rPr>
        <w:t>As with other substances in the body, the intake of calcium must be balanced with the net loss of calcium over</w:t>
      </w:r>
      <w:r>
        <w:rPr>
          <w:color w:val="231F20"/>
          <w:spacing w:val="-14"/>
          <w:w w:val="105"/>
        </w:rPr>
        <w:t> </w:t>
      </w:r>
      <w:r>
        <w:rPr>
          <w:color w:val="231F20"/>
          <w:w w:val="105"/>
        </w:rPr>
        <w:t>the</w:t>
      </w:r>
      <w:r>
        <w:rPr>
          <w:color w:val="231F20"/>
          <w:spacing w:val="-13"/>
          <w:w w:val="105"/>
        </w:rPr>
        <w:t> </w:t>
      </w:r>
      <w:r>
        <w:rPr>
          <w:color w:val="231F20"/>
          <w:w w:val="105"/>
        </w:rPr>
        <w:t>long</w:t>
      </w:r>
      <w:r>
        <w:rPr>
          <w:color w:val="231F20"/>
          <w:spacing w:val="-13"/>
          <w:w w:val="105"/>
        </w:rPr>
        <w:t> </w:t>
      </w:r>
      <w:r>
        <w:rPr>
          <w:color w:val="231F20"/>
          <w:w w:val="105"/>
        </w:rPr>
        <w:t>term.</w:t>
      </w:r>
      <w:r>
        <w:rPr>
          <w:color w:val="231F20"/>
          <w:spacing w:val="-13"/>
          <w:w w:val="105"/>
        </w:rPr>
        <w:t> </w:t>
      </w:r>
      <w:r>
        <w:rPr>
          <w:color w:val="231F20"/>
          <w:w w:val="105"/>
        </w:rPr>
        <w:t>Unlike</w:t>
      </w:r>
      <w:r>
        <w:rPr>
          <w:color w:val="231F20"/>
          <w:spacing w:val="-13"/>
          <w:w w:val="105"/>
        </w:rPr>
        <w:t> </w:t>
      </w:r>
      <w:r>
        <w:rPr>
          <w:color w:val="231F20"/>
          <w:w w:val="105"/>
        </w:rPr>
        <w:t>ions</w:t>
      </w:r>
      <w:r>
        <w:rPr>
          <w:color w:val="231F20"/>
          <w:spacing w:val="-13"/>
          <w:w w:val="105"/>
        </w:rPr>
        <w:t> </w:t>
      </w:r>
      <w:r>
        <w:rPr>
          <w:color w:val="231F20"/>
          <w:w w:val="105"/>
        </w:rPr>
        <w:t>such</w:t>
      </w:r>
      <w:r>
        <w:rPr>
          <w:color w:val="231F20"/>
          <w:spacing w:val="-13"/>
          <w:w w:val="105"/>
        </w:rPr>
        <w:t> </w:t>
      </w:r>
      <w:r>
        <w:rPr>
          <w:color w:val="231F20"/>
          <w:w w:val="105"/>
        </w:rPr>
        <w:t>as</w:t>
      </w:r>
      <w:r>
        <w:rPr>
          <w:color w:val="231F20"/>
          <w:spacing w:val="-13"/>
          <w:w w:val="105"/>
        </w:rPr>
        <w:t> </w:t>
      </w:r>
      <w:r>
        <w:rPr>
          <w:color w:val="231F20"/>
          <w:w w:val="105"/>
        </w:rPr>
        <w:t>sodium</w:t>
      </w:r>
      <w:r>
        <w:rPr>
          <w:color w:val="231F20"/>
          <w:spacing w:val="-13"/>
          <w:w w:val="105"/>
        </w:rPr>
        <w:t> </w:t>
      </w:r>
      <w:r>
        <w:rPr>
          <w:color w:val="231F20"/>
          <w:w w:val="105"/>
        </w:rPr>
        <w:t>and</w:t>
      </w:r>
      <w:r>
        <w:rPr>
          <w:color w:val="231F20"/>
          <w:spacing w:val="-13"/>
          <w:w w:val="105"/>
        </w:rPr>
        <w:t> </w:t>
      </w:r>
      <w:r>
        <w:rPr>
          <w:color w:val="231F20"/>
          <w:w w:val="105"/>
        </w:rPr>
        <w:t>chlo- ride, however, a large share of calcium excretion </w:t>
      </w:r>
      <w:r>
        <w:rPr>
          <w:color w:val="231F20"/>
          <w:spacing w:val="-4"/>
          <w:w w:val="105"/>
        </w:rPr>
        <w:t>occurs </w:t>
      </w:r>
      <w:r>
        <w:rPr>
          <w:color w:val="231F20"/>
          <w:w w:val="105"/>
        </w:rPr>
        <w:t>in the feces. The usual rate of dietary calcium intake is about 1000 mg/day, with about 900 mg/day of </w:t>
      </w:r>
      <w:r>
        <w:rPr>
          <w:color w:val="231F20"/>
          <w:spacing w:val="-3"/>
          <w:w w:val="105"/>
        </w:rPr>
        <w:t>calcium </w:t>
      </w:r>
      <w:r>
        <w:rPr>
          <w:color w:val="231F20"/>
          <w:w w:val="105"/>
        </w:rPr>
        <w:t>excreted in the feces. Under certain conditions, </w:t>
      </w:r>
      <w:r>
        <w:rPr>
          <w:color w:val="231F20"/>
          <w:spacing w:val="-3"/>
          <w:w w:val="105"/>
        </w:rPr>
        <w:t>fecal </w:t>
      </w:r>
      <w:r>
        <w:rPr>
          <w:color w:val="231F20"/>
          <w:w w:val="105"/>
        </w:rPr>
        <w:t>calcium</w:t>
      </w:r>
      <w:r>
        <w:rPr>
          <w:color w:val="231F20"/>
          <w:spacing w:val="-11"/>
          <w:w w:val="105"/>
        </w:rPr>
        <w:t> </w:t>
      </w:r>
      <w:r>
        <w:rPr>
          <w:color w:val="231F20"/>
          <w:w w:val="105"/>
        </w:rPr>
        <w:t>excretion</w:t>
      </w:r>
      <w:r>
        <w:rPr>
          <w:color w:val="231F20"/>
          <w:spacing w:val="-11"/>
          <w:w w:val="105"/>
        </w:rPr>
        <w:t> </w:t>
      </w:r>
      <w:r>
        <w:rPr>
          <w:color w:val="231F20"/>
          <w:w w:val="105"/>
        </w:rPr>
        <w:t>can</w:t>
      </w:r>
      <w:r>
        <w:rPr>
          <w:color w:val="231F20"/>
          <w:spacing w:val="-10"/>
          <w:w w:val="105"/>
        </w:rPr>
        <w:t> </w:t>
      </w:r>
      <w:r>
        <w:rPr>
          <w:color w:val="231F20"/>
          <w:w w:val="105"/>
        </w:rPr>
        <w:t>exceed</w:t>
      </w:r>
      <w:r>
        <w:rPr>
          <w:color w:val="231F20"/>
          <w:spacing w:val="-11"/>
          <w:w w:val="105"/>
        </w:rPr>
        <w:t> </w:t>
      </w:r>
      <w:r>
        <w:rPr>
          <w:color w:val="231F20"/>
          <w:w w:val="105"/>
        </w:rPr>
        <w:t>calcium</w:t>
      </w:r>
      <w:r>
        <w:rPr>
          <w:color w:val="231F20"/>
          <w:spacing w:val="-10"/>
          <w:w w:val="105"/>
        </w:rPr>
        <w:t> </w:t>
      </w:r>
      <w:r>
        <w:rPr>
          <w:color w:val="231F20"/>
          <w:w w:val="105"/>
        </w:rPr>
        <w:t>ingestion</w:t>
      </w:r>
      <w:r>
        <w:rPr>
          <w:color w:val="231F20"/>
          <w:spacing w:val="-11"/>
          <w:w w:val="105"/>
        </w:rPr>
        <w:t> </w:t>
      </w:r>
      <w:r>
        <w:rPr>
          <w:color w:val="231F20"/>
          <w:w w:val="105"/>
        </w:rPr>
        <w:t>because calcium can also be secreted into the intestinal </w:t>
      </w:r>
      <w:r>
        <w:rPr>
          <w:color w:val="231F20"/>
          <w:spacing w:val="-3"/>
          <w:w w:val="105"/>
        </w:rPr>
        <w:t>lumen. </w:t>
      </w:r>
      <w:r>
        <w:rPr>
          <w:color w:val="231F20"/>
          <w:w w:val="105"/>
        </w:rPr>
        <w:t>Therefore, the gastrointestinal tract and the regulatory mechanisms</w:t>
      </w:r>
      <w:r>
        <w:rPr>
          <w:color w:val="231F20"/>
          <w:spacing w:val="-11"/>
          <w:w w:val="105"/>
        </w:rPr>
        <w:t> </w:t>
      </w:r>
      <w:r>
        <w:rPr>
          <w:color w:val="231F20"/>
          <w:w w:val="105"/>
        </w:rPr>
        <w:t>that</w:t>
      </w:r>
      <w:r>
        <w:rPr>
          <w:color w:val="231F20"/>
          <w:spacing w:val="-10"/>
          <w:w w:val="105"/>
        </w:rPr>
        <w:t> </w:t>
      </w:r>
      <w:r>
        <w:rPr>
          <w:color w:val="231F20"/>
          <w:w w:val="105"/>
        </w:rPr>
        <w:t>influence</w:t>
      </w:r>
      <w:r>
        <w:rPr>
          <w:color w:val="231F20"/>
          <w:spacing w:val="-10"/>
          <w:w w:val="105"/>
        </w:rPr>
        <w:t> </w:t>
      </w:r>
      <w:r>
        <w:rPr>
          <w:color w:val="231F20"/>
          <w:w w:val="105"/>
        </w:rPr>
        <w:t>intestinal</w:t>
      </w:r>
      <w:r>
        <w:rPr>
          <w:color w:val="231F20"/>
          <w:spacing w:val="-11"/>
          <w:w w:val="105"/>
        </w:rPr>
        <w:t> </w:t>
      </w:r>
      <w:r>
        <w:rPr>
          <w:color w:val="231F20"/>
          <w:w w:val="105"/>
        </w:rPr>
        <w:t>calcium</w:t>
      </w:r>
      <w:r>
        <w:rPr>
          <w:color w:val="231F20"/>
          <w:spacing w:val="-10"/>
          <w:w w:val="105"/>
        </w:rPr>
        <w:t> </w:t>
      </w:r>
      <w:r>
        <w:rPr>
          <w:color w:val="231F20"/>
          <w:w w:val="105"/>
        </w:rPr>
        <w:t>absorption and secretion play a major role in calcium homeostasis, as discussed in Chapter</w:t>
      </w:r>
      <w:r>
        <w:rPr>
          <w:color w:val="231F20"/>
          <w:spacing w:val="9"/>
          <w:w w:val="105"/>
        </w:rPr>
        <w:t> </w:t>
      </w:r>
      <w:r>
        <w:rPr>
          <w:color w:val="231F20"/>
          <w:w w:val="105"/>
        </w:rPr>
        <w:t>80.</w:t>
      </w:r>
    </w:p>
    <w:p>
      <w:pPr>
        <w:pStyle w:val="BodyText"/>
        <w:spacing w:line="249" w:lineRule="auto" w:before="10"/>
        <w:ind w:left="1080" w:firstLine="240"/>
        <w:jc w:val="both"/>
      </w:pPr>
      <w:r>
        <w:rPr>
          <w:color w:val="231F20"/>
        </w:rPr>
        <w:t>Almost all the calcium in the body (99 percent) is stored in the bone, with only about 0.1 percent in the extracellular fluid and 1.0 percent in the intracellular fluid and cell organelles. The bone, therefore, acts as a large reservoir for storing calcium and as a source of calcium when extracellular fluid calcium concentration tends to decrease.</w:t>
      </w:r>
    </w:p>
    <w:p>
      <w:pPr>
        <w:spacing w:line="249" w:lineRule="auto" w:before="6"/>
        <w:ind w:left="1079" w:right="0" w:firstLine="240"/>
        <w:jc w:val="both"/>
        <w:rPr>
          <w:sz w:val="20"/>
        </w:rPr>
      </w:pPr>
      <w:r>
        <w:rPr>
          <w:i/>
          <w:color w:val="231F20"/>
          <w:sz w:val="20"/>
        </w:rPr>
        <w:t>One of the most important regulators of bone uptake </w:t>
      </w:r>
      <w:r>
        <w:rPr>
          <w:i/>
          <w:color w:val="231F20"/>
          <w:sz w:val="20"/>
        </w:rPr>
        <w:t>and release of calcium is PTH</w:t>
      </w:r>
      <w:r>
        <w:rPr>
          <w:color w:val="231F20"/>
          <w:sz w:val="20"/>
        </w:rPr>
        <w:t>. When extracellular fluid calcium concentration falls below normal, the parathy- roid glands are directly stimulated by the low calcium levels to promote increased secretion of PTH. This</w:t>
      </w:r>
    </w:p>
    <w:p>
      <w:pPr>
        <w:pStyle w:val="BodyText"/>
        <w:spacing w:line="249" w:lineRule="auto" w:before="3"/>
        <w:ind w:left="319" w:right="1437"/>
        <w:jc w:val="both"/>
      </w:pPr>
      <w:r>
        <w:rPr/>
        <w:br w:type="column"/>
      </w:r>
      <w:r>
        <w:rPr>
          <w:color w:val="231F20"/>
          <w:w w:val="105"/>
        </w:rPr>
        <w:t>normal. When calcium ion concentration is elevated, PTH secretion decreases, so almost no bone resorption occurs;</w:t>
      </w:r>
      <w:r>
        <w:rPr>
          <w:color w:val="231F20"/>
          <w:spacing w:val="-15"/>
          <w:w w:val="105"/>
        </w:rPr>
        <w:t> </w:t>
      </w:r>
      <w:r>
        <w:rPr>
          <w:color w:val="231F20"/>
          <w:w w:val="105"/>
        </w:rPr>
        <w:t>instead,</w:t>
      </w:r>
      <w:r>
        <w:rPr>
          <w:color w:val="231F20"/>
          <w:spacing w:val="-15"/>
          <w:w w:val="105"/>
        </w:rPr>
        <w:t> </w:t>
      </w:r>
      <w:r>
        <w:rPr>
          <w:color w:val="231F20"/>
          <w:w w:val="105"/>
        </w:rPr>
        <w:t>excess</w:t>
      </w:r>
      <w:r>
        <w:rPr>
          <w:color w:val="231F20"/>
          <w:spacing w:val="-15"/>
          <w:w w:val="105"/>
        </w:rPr>
        <w:t> </w:t>
      </w:r>
      <w:r>
        <w:rPr>
          <w:color w:val="231F20"/>
          <w:w w:val="105"/>
        </w:rPr>
        <w:t>calcium</w:t>
      </w:r>
      <w:r>
        <w:rPr>
          <w:color w:val="231F20"/>
          <w:spacing w:val="-15"/>
          <w:w w:val="105"/>
        </w:rPr>
        <w:t> </w:t>
      </w:r>
      <w:r>
        <w:rPr>
          <w:color w:val="231F20"/>
          <w:w w:val="105"/>
        </w:rPr>
        <w:t>is</w:t>
      </w:r>
      <w:r>
        <w:rPr>
          <w:color w:val="231F20"/>
          <w:spacing w:val="-15"/>
          <w:w w:val="105"/>
        </w:rPr>
        <w:t> </w:t>
      </w:r>
      <w:r>
        <w:rPr>
          <w:color w:val="231F20"/>
          <w:w w:val="105"/>
        </w:rPr>
        <w:t>deposited</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5"/>
          <w:w w:val="105"/>
        </w:rPr>
        <w:t> </w:t>
      </w:r>
      <w:r>
        <w:rPr>
          <w:color w:val="231F20"/>
          <w:w w:val="105"/>
        </w:rPr>
        <w:t>bones. Thus,</w:t>
      </w:r>
      <w:r>
        <w:rPr>
          <w:color w:val="231F20"/>
          <w:spacing w:val="-26"/>
          <w:w w:val="105"/>
        </w:rPr>
        <w:t> </w:t>
      </w:r>
      <w:r>
        <w:rPr>
          <w:color w:val="231F20"/>
          <w:w w:val="105"/>
        </w:rPr>
        <w:t>the</w:t>
      </w:r>
      <w:r>
        <w:rPr>
          <w:color w:val="231F20"/>
          <w:spacing w:val="-25"/>
          <w:w w:val="105"/>
        </w:rPr>
        <w:t> </w:t>
      </w:r>
      <w:r>
        <w:rPr>
          <w:color w:val="231F20"/>
          <w:w w:val="105"/>
        </w:rPr>
        <w:t>day-to-day</w:t>
      </w:r>
      <w:r>
        <w:rPr>
          <w:color w:val="231F20"/>
          <w:spacing w:val="-25"/>
          <w:w w:val="105"/>
        </w:rPr>
        <w:t> </w:t>
      </w:r>
      <w:r>
        <w:rPr>
          <w:color w:val="231F20"/>
          <w:w w:val="105"/>
        </w:rPr>
        <w:t>regulation</w:t>
      </w:r>
      <w:r>
        <w:rPr>
          <w:color w:val="231F20"/>
          <w:spacing w:val="-25"/>
          <w:w w:val="105"/>
        </w:rPr>
        <w:t> </w:t>
      </w:r>
      <w:r>
        <w:rPr>
          <w:color w:val="231F20"/>
          <w:w w:val="105"/>
        </w:rPr>
        <w:t>of</w:t>
      </w:r>
      <w:r>
        <w:rPr>
          <w:color w:val="231F20"/>
          <w:spacing w:val="-25"/>
          <w:w w:val="105"/>
        </w:rPr>
        <w:t> </w:t>
      </w:r>
      <w:r>
        <w:rPr>
          <w:color w:val="231F20"/>
          <w:w w:val="105"/>
        </w:rPr>
        <w:t>calcium</w:t>
      </w:r>
      <w:r>
        <w:rPr>
          <w:color w:val="231F20"/>
          <w:spacing w:val="-25"/>
          <w:w w:val="105"/>
        </w:rPr>
        <w:t> </w:t>
      </w:r>
      <w:r>
        <w:rPr>
          <w:color w:val="231F20"/>
          <w:w w:val="105"/>
        </w:rPr>
        <w:t>ion</w:t>
      </w:r>
      <w:r>
        <w:rPr>
          <w:color w:val="231F20"/>
          <w:spacing w:val="-25"/>
          <w:w w:val="105"/>
        </w:rPr>
        <w:t> </w:t>
      </w:r>
      <w:r>
        <w:rPr>
          <w:color w:val="231F20"/>
          <w:w w:val="105"/>
        </w:rPr>
        <w:t>concentra- tion</w:t>
      </w:r>
      <w:r>
        <w:rPr>
          <w:color w:val="231F20"/>
          <w:spacing w:val="-21"/>
          <w:w w:val="105"/>
        </w:rPr>
        <w:t> </w:t>
      </w:r>
      <w:r>
        <w:rPr>
          <w:color w:val="231F20"/>
          <w:w w:val="105"/>
        </w:rPr>
        <w:t>is</w:t>
      </w:r>
      <w:r>
        <w:rPr>
          <w:color w:val="231F20"/>
          <w:spacing w:val="-20"/>
          <w:w w:val="105"/>
        </w:rPr>
        <w:t> </w:t>
      </w:r>
      <w:r>
        <w:rPr>
          <w:color w:val="231F20"/>
          <w:w w:val="105"/>
        </w:rPr>
        <w:t>mediated</w:t>
      </w:r>
      <w:r>
        <w:rPr>
          <w:color w:val="231F20"/>
          <w:spacing w:val="-20"/>
          <w:w w:val="105"/>
        </w:rPr>
        <w:t> </w:t>
      </w:r>
      <w:r>
        <w:rPr>
          <w:color w:val="231F20"/>
          <w:w w:val="105"/>
        </w:rPr>
        <w:t>in</w:t>
      </w:r>
      <w:r>
        <w:rPr>
          <w:color w:val="231F20"/>
          <w:spacing w:val="-20"/>
          <w:w w:val="105"/>
        </w:rPr>
        <w:t> </w:t>
      </w:r>
      <w:r>
        <w:rPr>
          <w:color w:val="231F20"/>
          <w:w w:val="105"/>
        </w:rPr>
        <w:t>large</w:t>
      </w:r>
      <w:r>
        <w:rPr>
          <w:color w:val="231F20"/>
          <w:spacing w:val="-20"/>
          <w:w w:val="105"/>
        </w:rPr>
        <w:t> </w:t>
      </w:r>
      <w:r>
        <w:rPr>
          <w:color w:val="231F20"/>
          <w:w w:val="105"/>
        </w:rPr>
        <w:t>part</w:t>
      </w:r>
      <w:r>
        <w:rPr>
          <w:color w:val="231F20"/>
          <w:spacing w:val="-20"/>
          <w:w w:val="105"/>
        </w:rPr>
        <w:t> </w:t>
      </w:r>
      <w:r>
        <w:rPr>
          <w:color w:val="231F20"/>
          <w:w w:val="105"/>
        </w:rPr>
        <w:t>by</w:t>
      </w:r>
      <w:r>
        <w:rPr>
          <w:color w:val="231F20"/>
          <w:spacing w:val="-21"/>
          <w:w w:val="105"/>
        </w:rPr>
        <w:t> </w:t>
      </w:r>
      <w:r>
        <w:rPr>
          <w:color w:val="231F20"/>
          <w:w w:val="105"/>
        </w:rPr>
        <w:t>the</w:t>
      </w:r>
      <w:r>
        <w:rPr>
          <w:color w:val="231F20"/>
          <w:spacing w:val="-20"/>
          <w:w w:val="105"/>
        </w:rPr>
        <w:t> </w:t>
      </w:r>
      <w:r>
        <w:rPr>
          <w:color w:val="231F20"/>
          <w:w w:val="105"/>
        </w:rPr>
        <w:t>effect</w:t>
      </w:r>
      <w:r>
        <w:rPr>
          <w:color w:val="231F20"/>
          <w:spacing w:val="-20"/>
          <w:w w:val="105"/>
        </w:rPr>
        <w:t> </w:t>
      </w:r>
      <w:r>
        <w:rPr>
          <w:color w:val="231F20"/>
          <w:w w:val="105"/>
        </w:rPr>
        <w:t>of</w:t>
      </w:r>
      <w:r>
        <w:rPr>
          <w:color w:val="231F20"/>
          <w:spacing w:val="-20"/>
          <w:w w:val="105"/>
        </w:rPr>
        <w:t> </w:t>
      </w:r>
      <w:r>
        <w:rPr>
          <w:color w:val="231F20"/>
          <w:w w:val="105"/>
        </w:rPr>
        <w:t>PTH</w:t>
      </w:r>
      <w:r>
        <w:rPr>
          <w:color w:val="231F20"/>
          <w:spacing w:val="-20"/>
          <w:w w:val="105"/>
        </w:rPr>
        <w:t> </w:t>
      </w:r>
      <w:r>
        <w:rPr>
          <w:color w:val="231F20"/>
          <w:w w:val="105"/>
        </w:rPr>
        <w:t>on</w:t>
      </w:r>
      <w:r>
        <w:rPr>
          <w:color w:val="231F20"/>
          <w:spacing w:val="-20"/>
          <w:w w:val="105"/>
        </w:rPr>
        <w:t> </w:t>
      </w:r>
      <w:r>
        <w:rPr>
          <w:color w:val="231F20"/>
          <w:w w:val="105"/>
        </w:rPr>
        <w:t>bone resorption.</w:t>
      </w:r>
    </w:p>
    <w:p>
      <w:pPr>
        <w:spacing w:line="249" w:lineRule="auto" w:before="5"/>
        <w:ind w:left="319" w:right="1437" w:firstLine="240"/>
        <w:jc w:val="both"/>
        <w:rPr>
          <w:sz w:val="20"/>
        </w:rPr>
      </w:pPr>
      <w:r>
        <w:rPr>
          <w:color w:val="231F20"/>
          <w:w w:val="105"/>
          <w:sz w:val="20"/>
        </w:rPr>
        <w:t>The bones, however, do not have an </w:t>
      </w:r>
      <w:r>
        <w:rPr>
          <w:color w:val="231F20"/>
          <w:spacing w:val="-3"/>
          <w:w w:val="105"/>
          <w:sz w:val="20"/>
        </w:rPr>
        <w:t>inexhaustible </w:t>
      </w:r>
      <w:r>
        <w:rPr>
          <w:color w:val="231F20"/>
          <w:w w:val="105"/>
          <w:sz w:val="20"/>
        </w:rPr>
        <w:t>supply of calcium. Therefore, over the long term, the intake of calcium must be balanced with calcium</w:t>
      </w:r>
      <w:r>
        <w:rPr>
          <w:color w:val="231F20"/>
          <w:spacing w:val="-15"/>
          <w:w w:val="105"/>
          <w:sz w:val="20"/>
        </w:rPr>
        <w:t> </w:t>
      </w:r>
      <w:r>
        <w:rPr>
          <w:color w:val="231F20"/>
          <w:w w:val="105"/>
          <w:sz w:val="20"/>
        </w:rPr>
        <w:t>excre- tion by the gastrointestinal tract and the kidneys. </w:t>
      </w:r>
      <w:r>
        <w:rPr>
          <w:color w:val="231F20"/>
          <w:spacing w:val="-4"/>
          <w:w w:val="105"/>
          <w:sz w:val="20"/>
        </w:rPr>
        <w:t>The </w:t>
      </w:r>
      <w:r>
        <w:rPr>
          <w:color w:val="231F20"/>
          <w:w w:val="105"/>
          <w:sz w:val="20"/>
        </w:rPr>
        <w:t>most</w:t>
      </w:r>
      <w:r>
        <w:rPr>
          <w:color w:val="231F20"/>
          <w:spacing w:val="-13"/>
          <w:w w:val="105"/>
          <w:sz w:val="20"/>
        </w:rPr>
        <w:t> </w:t>
      </w:r>
      <w:r>
        <w:rPr>
          <w:color w:val="231F20"/>
          <w:w w:val="105"/>
          <w:sz w:val="20"/>
        </w:rPr>
        <w:t>important</w:t>
      </w:r>
      <w:r>
        <w:rPr>
          <w:color w:val="231F20"/>
          <w:spacing w:val="-13"/>
          <w:w w:val="105"/>
          <w:sz w:val="20"/>
        </w:rPr>
        <w:t> </w:t>
      </w:r>
      <w:r>
        <w:rPr>
          <w:color w:val="231F20"/>
          <w:w w:val="105"/>
          <w:sz w:val="20"/>
        </w:rPr>
        <w:t>regulator</w:t>
      </w:r>
      <w:r>
        <w:rPr>
          <w:color w:val="231F20"/>
          <w:spacing w:val="-13"/>
          <w:w w:val="105"/>
          <w:sz w:val="20"/>
        </w:rPr>
        <w:t> </w:t>
      </w:r>
      <w:r>
        <w:rPr>
          <w:color w:val="231F20"/>
          <w:w w:val="105"/>
          <w:sz w:val="20"/>
        </w:rPr>
        <w:t>of</w:t>
      </w:r>
      <w:r>
        <w:rPr>
          <w:color w:val="231F20"/>
          <w:spacing w:val="-13"/>
          <w:w w:val="105"/>
          <w:sz w:val="20"/>
        </w:rPr>
        <w:t> </w:t>
      </w:r>
      <w:r>
        <w:rPr>
          <w:color w:val="231F20"/>
          <w:w w:val="105"/>
          <w:sz w:val="20"/>
        </w:rPr>
        <w:t>calcium</w:t>
      </w:r>
      <w:r>
        <w:rPr>
          <w:color w:val="231F20"/>
          <w:spacing w:val="-13"/>
          <w:w w:val="105"/>
          <w:sz w:val="20"/>
        </w:rPr>
        <w:t> </w:t>
      </w:r>
      <w:r>
        <w:rPr>
          <w:color w:val="231F20"/>
          <w:w w:val="105"/>
          <w:sz w:val="20"/>
        </w:rPr>
        <w:t>reabsorption</w:t>
      </w:r>
      <w:r>
        <w:rPr>
          <w:color w:val="231F20"/>
          <w:spacing w:val="-13"/>
          <w:w w:val="105"/>
          <w:sz w:val="20"/>
        </w:rPr>
        <w:t> </w:t>
      </w:r>
      <w:r>
        <w:rPr>
          <w:color w:val="231F20"/>
          <w:w w:val="105"/>
          <w:sz w:val="20"/>
        </w:rPr>
        <w:t>at</w:t>
      </w:r>
      <w:r>
        <w:rPr>
          <w:color w:val="231F20"/>
          <w:spacing w:val="-13"/>
          <w:w w:val="105"/>
          <w:sz w:val="20"/>
        </w:rPr>
        <w:t> </w:t>
      </w:r>
      <w:r>
        <w:rPr>
          <w:color w:val="231F20"/>
          <w:w w:val="105"/>
          <w:sz w:val="20"/>
        </w:rPr>
        <w:t>both of</w:t>
      </w:r>
      <w:r>
        <w:rPr>
          <w:color w:val="231F20"/>
          <w:spacing w:val="-31"/>
          <w:w w:val="105"/>
          <w:sz w:val="20"/>
        </w:rPr>
        <w:t> </w:t>
      </w:r>
      <w:r>
        <w:rPr>
          <w:color w:val="231F20"/>
          <w:w w:val="105"/>
          <w:sz w:val="20"/>
        </w:rPr>
        <w:t>these</w:t>
      </w:r>
      <w:r>
        <w:rPr>
          <w:color w:val="231F20"/>
          <w:spacing w:val="-31"/>
          <w:w w:val="105"/>
          <w:sz w:val="20"/>
        </w:rPr>
        <w:t> </w:t>
      </w:r>
      <w:r>
        <w:rPr>
          <w:color w:val="231F20"/>
          <w:w w:val="105"/>
          <w:sz w:val="20"/>
        </w:rPr>
        <w:t>sites</w:t>
      </w:r>
      <w:r>
        <w:rPr>
          <w:color w:val="231F20"/>
          <w:spacing w:val="-30"/>
          <w:w w:val="105"/>
          <w:sz w:val="20"/>
        </w:rPr>
        <w:t> </w:t>
      </w:r>
      <w:r>
        <w:rPr>
          <w:color w:val="231F20"/>
          <w:w w:val="105"/>
          <w:sz w:val="20"/>
        </w:rPr>
        <w:t>is</w:t>
      </w:r>
      <w:r>
        <w:rPr>
          <w:color w:val="231F20"/>
          <w:spacing w:val="-31"/>
          <w:w w:val="105"/>
          <w:sz w:val="20"/>
        </w:rPr>
        <w:t> </w:t>
      </w:r>
      <w:r>
        <w:rPr>
          <w:color w:val="231F20"/>
          <w:w w:val="105"/>
          <w:sz w:val="20"/>
        </w:rPr>
        <w:t>PTH.</w:t>
      </w:r>
      <w:r>
        <w:rPr>
          <w:color w:val="231F20"/>
          <w:spacing w:val="-30"/>
          <w:w w:val="105"/>
          <w:sz w:val="20"/>
        </w:rPr>
        <w:t> </w:t>
      </w:r>
      <w:r>
        <w:rPr>
          <w:i/>
          <w:color w:val="231F20"/>
          <w:w w:val="105"/>
          <w:sz w:val="20"/>
        </w:rPr>
        <w:t>Thus,</w:t>
      </w:r>
      <w:r>
        <w:rPr>
          <w:i/>
          <w:color w:val="231F20"/>
          <w:spacing w:val="-31"/>
          <w:w w:val="105"/>
          <w:sz w:val="20"/>
        </w:rPr>
        <w:t> </w:t>
      </w:r>
      <w:r>
        <w:rPr>
          <w:i/>
          <w:color w:val="231F20"/>
          <w:w w:val="105"/>
          <w:sz w:val="20"/>
        </w:rPr>
        <w:t>PTH</w:t>
      </w:r>
      <w:r>
        <w:rPr>
          <w:i/>
          <w:color w:val="231F20"/>
          <w:spacing w:val="-31"/>
          <w:w w:val="105"/>
          <w:sz w:val="20"/>
        </w:rPr>
        <w:t> </w:t>
      </w:r>
      <w:r>
        <w:rPr>
          <w:i/>
          <w:color w:val="231F20"/>
          <w:w w:val="105"/>
          <w:sz w:val="20"/>
        </w:rPr>
        <w:t>regulates</w:t>
      </w:r>
      <w:r>
        <w:rPr>
          <w:i/>
          <w:color w:val="231F20"/>
          <w:spacing w:val="-30"/>
          <w:w w:val="105"/>
          <w:sz w:val="20"/>
        </w:rPr>
        <w:t> </w:t>
      </w:r>
      <w:r>
        <w:rPr>
          <w:i/>
          <w:color w:val="231F20"/>
          <w:w w:val="105"/>
          <w:sz w:val="20"/>
        </w:rPr>
        <w:t>plasma</w:t>
      </w:r>
      <w:r>
        <w:rPr>
          <w:i/>
          <w:color w:val="231F20"/>
          <w:spacing w:val="-31"/>
          <w:w w:val="105"/>
          <w:sz w:val="20"/>
        </w:rPr>
        <w:t> </w:t>
      </w:r>
      <w:r>
        <w:rPr>
          <w:i/>
          <w:color w:val="231F20"/>
          <w:w w:val="105"/>
          <w:sz w:val="20"/>
        </w:rPr>
        <w:t>calcium </w:t>
      </w:r>
      <w:r>
        <w:rPr>
          <w:i/>
          <w:color w:val="231F20"/>
          <w:w w:val="105"/>
          <w:sz w:val="20"/>
        </w:rPr>
        <w:t>concentration</w:t>
      </w:r>
      <w:r>
        <w:rPr>
          <w:i/>
          <w:color w:val="231F20"/>
          <w:spacing w:val="-25"/>
          <w:w w:val="105"/>
          <w:sz w:val="20"/>
        </w:rPr>
        <w:t> </w:t>
      </w:r>
      <w:r>
        <w:rPr>
          <w:i/>
          <w:color w:val="231F20"/>
          <w:w w:val="105"/>
          <w:sz w:val="20"/>
        </w:rPr>
        <w:t>through</w:t>
      </w:r>
      <w:r>
        <w:rPr>
          <w:i/>
          <w:color w:val="231F20"/>
          <w:spacing w:val="-24"/>
          <w:w w:val="105"/>
          <w:sz w:val="20"/>
        </w:rPr>
        <w:t> </w:t>
      </w:r>
      <w:r>
        <w:rPr>
          <w:i/>
          <w:color w:val="231F20"/>
          <w:w w:val="105"/>
          <w:sz w:val="20"/>
        </w:rPr>
        <w:t>three</w:t>
      </w:r>
      <w:r>
        <w:rPr>
          <w:i/>
          <w:color w:val="231F20"/>
          <w:spacing w:val="-24"/>
          <w:w w:val="105"/>
          <w:sz w:val="20"/>
        </w:rPr>
        <w:t> </w:t>
      </w:r>
      <w:r>
        <w:rPr>
          <w:i/>
          <w:color w:val="231F20"/>
          <w:w w:val="105"/>
          <w:sz w:val="20"/>
        </w:rPr>
        <w:t>main</w:t>
      </w:r>
      <w:r>
        <w:rPr>
          <w:i/>
          <w:color w:val="231F20"/>
          <w:spacing w:val="-25"/>
          <w:w w:val="105"/>
          <w:sz w:val="20"/>
        </w:rPr>
        <w:t> </w:t>
      </w:r>
      <w:r>
        <w:rPr>
          <w:i/>
          <w:color w:val="231F20"/>
          <w:w w:val="105"/>
          <w:sz w:val="20"/>
        </w:rPr>
        <w:t>effects:</w:t>
      </w:r>
      <w:r>
        <w:rPr>
          <w:i/>
          <w:color w:val="231F20"/>
          <w:spacing w:val="-24"/>
          <w:w w:val="105"/>
          <w:sz w:val="20"/>
        </w:rPr>
        <w:t> </w:t>
      </w:r>
      <w:r>
        <w:rPr>
          <w:i/>
          <w:color w:val="231F20"/>
          <w:w w:val="105"/>
          <w:sz w:val="20"/>
        </w:rPr>
        <w:t>(1)</w:t>
      </w:r>
      <w:r>
        <w:rPr>
          <w:i/>
          <w:color w:val="231F20"/>
          <w:spacing w:val="-24"/>
          <w:w w:val="105"/>
          <w:sz w:val="20"/>
        </w:rPr>
        <w:t> </w:t>
      </w:r>
      <w:r>
        <w:rPr>
          <w:i/>
          <w:color w:val="231F20"/>
          <w:w w:val="105"/>
          <w:sz w:val="20"/>
        </w:rPr>
        <w:t>by</w:t>
      </w:r>
      <w:r>
        <w:rPr>
          <w:i/>
          <w:color w:val="231F20"/>
          <w:spacing w:val="-25"/>
          <w:w w:val="105"/>
          <w:sz w:val="20"/>
        </w:rPr>
        <w:t> </w:t>
      </w:r>
      <w:r>
        <w:rPr>
          <w:i/>
          <w:color w:val="231F20"/>
          <w:w w:val="105"/>
          <w:sz w:val="20"/>
        </w:rPr>
        <w:t>stimulat- ing bone resorption; (2) by stimulating activation of vitamin</w:t>
      </w:r>
      <w:r>
        <w:rPr>
          <w:i/>
          <w:color w:val="231F20"/>
          <w:spacing w:val="-29"/>
          <w:w w:val="105"/>
          <w:sz w:val="20"/>
        </w:rPr>
        <w:t> </w:t>
      </w:r>
      <w:r>
        <w:rPr>
          <w:i/>
          <w:color w:val="231F20"/>
          <w:w w:val="105"/>
          <w:sz w:val="20"/>
        </w:rPr>
        <w:t>D,</w:t>
      </w:r>
      <w:r>
        <w:rPr>
          <w:i/>
          <w:color w:val="231F20"/>
          <w:spacing w:val="-29"/>
          <w:w w:val="105"/>
          <w:sz w:val="20"/>
        </w:rPr>
        <w:t> </w:t>
      </w:r>
      <w:r>
        <w:rPr>
          <w:i/>
          <w:color w:val="231F20"/>
          <w:w w:val="105"/>
          <w:sz w:val="20"/>
        </w:rPr>
        <w:t>which</w:t>
      </w:r>
      <w:r>
        <w:rPr>
          <w:i/>
          <w:color w:val="231F20"/>
          <w:spacing w:val="-29"/>
          <w:w w:val="105"/>
          <w:sz w:val="20"/>
        </w:rPr>
        <w:t> </w:t>
      </w:r>
      <w:r>
        <w:rPr>
          <w:i/>
          <w:color w:val="231F20"/>
          <w:w w:val="105"/>
          <w:sz w:val="20"/>
        </w:rPr>
        <w:t>then</w:t>
      </w:r>
      <w:r>
        <w:rPr>
          <w:i/>
          <w:color w:val="231F20"/>
          <w:spacing w:val="-29"/>
          <w:w w:val="105"/>
          <w:sz w:val="20"/>
        </w:rPr>
        <w:t> </w:t>
      </w:r>
      <w:r>
        <w:rPr>
          <w:i/>
          <w:color w:val="231F20"/>
          <w:w w:val="105"/>
          <w:sz w:val="20"/>
        </w:rPr>
        <w:t>increases</w:t>
      </w:r>
      <w:r>
        <w:rPr>
          <w:i/>
          <w:color w:val="231F20"/>
          <w:spacing w:val="-29"/>
          <w:w w:val="105"/>
          <w:sz w:val="20"/>
        </w:rPr>
        <w:t> </w:t>
      </w:r>
      <w:r>
        <w:rPr>
          <w:i/>
          <w:color w:val="231F20"/>
          <w:w w:val="105"/>
          <w:sz w:val="20"/>
        </w:rPr>
        <w:t>intestinal</w:t>
      </w:r>
      <w:r>
        <w:rPr>
          <w:i/>
          <w:color w:val="231F20"/>
          <w:spacing w:val="-29"/>
          <w:w w:val="105"/>
          <w:sz w:val="20"/>
        </w:rPr>
        <w:t> </w:t>
      </w:r>
      <w:r>
        <w:rPr>
          <w:i/>
          <w:color w:val="231F20"/>
          <w:w w:val="105"/>
          <w:sz w:val="20"/>
        </w:rPr>
        <w:t>reabsorption</w:t>
      </w:r>
      <w:r>
        <w:rPr>
          <w:i/>
          <w:color w:val="231F20"/>
          <w:spacing w:val="-29"/>
          <w:w w:val="105"/>
          <w:sz w:val="20"/>
        </w:rPr>
        <w:t> </w:t>
      </w:r>
      <w:r>
        <w:rPr>
          <w:i/>
          <w:color w:val="231F20"/>
          <w:spacing w:val="-6"/>
          <w:w w:val="105"/>
          <w:sz w:val="20"/>
        </w:rPr>
        <w:t>of </w:t>
      </w:r>
      <w:r>
        <w:rPr>
          <w:i/>
          <w:color w:val="231F20"/>
          <w:w w:val="105"/>
          <w:sz w:val="20"/>
        </w:rPr>
        <w:t>calcium; and (3) by directly increasing renal tubular </w:t>
      </w:r>
      <w:r>
        <w:rPr>
          <w:i/>
          <w:color w:val="231F20"/>
          <w:sz w:val="20"/>
        </w:rPr>
        <w:t>calcium reabsorption </w:t>
      </w:r>
      <w:r>
        <w:rPr>
          <w:color w:val="231F20"/>
          <w:sz w:val="20"/>
        </w:rPr>
        <w:t>(</w:t>
      </w:r>
      <w:hyperlink w:history="true" w:anchor="_bookmark93">
        <w:r>
          <w:rPr>
            <w:rFonts w:ascii="Cambria"/>
            <w:b/>
            <w:color w:val="0080AC"/>
            <w:sz w:val="20"/>
          </w:rPr>
          <w:t>Figure 30-11</w:t>
        </w:r>
      </w:hyperlink>
      <w:r>
        <w:rPr>
          <w:color w:val="231F20"/>
          <w:sz w:val="20"/>
        </w:rPr>
        <w:t>). The control of</w:t>
      </w:r>
      <w:r>
        <w:rPr>
          <w:color w:val="231F20"/>
          <w:spacing w:val="-34"/>
          <w:sz w:val="20"/>
        </w:rPr>
        <w:t> </w:t>
      </w:r>
      <w:r>
        <w:rPr>
          <w:color w:val="231F20"/>
          <w:sz w:val="20"/>
        </w:rPr>
        <w:t>gas- </w:t>
      </w:r>
      <w:r>
        <w:rPr>
          <w:color w:val="231F20"/>
          <w:w w:val="105"/>
          <w:sz w:val="20"/>
        </w:rPr>
        <w:t>trointestinal</w:t>
      </w:r>
      <w:r>
        <w:rPr>
          <w:color w:val="231F20"/>
          <w:spacing w:val="-14"/>
          <w:w w:val="105"/>
          <w:sz w:val="20"/>
        </w:rPr>
        <w:t> </w:t>
      </w:r>
      <w:r>
        <w:rPr>
          <w:color w:val="231F20"/>
          <w:w w:val="105"/>
          <w:sz w:val="20"/>
        </w:rPr>
        <w:t>calcium</w:t>
      </w:r>
      <w:r>
        <w:rPr>
          <w:color w:val="231F20"/>
          <w:spacing w:val="-13"/>
          <w:w w:val="105"/>
          <w:sz w:val="20"/>
        </w:rPr>
        <w:t> </w:t>
      </w:r>
      <w:r>
        <w:rPr>
          <w:color w:val="231F20"/>
          <w:w w:val="105"/>
          <w:sz w:val="20"/>
        </w:rPr>
        <w:t>reabsorption</w:t>
      </w:r>
      <w:r>
        <w:rPr>
          <w:color w:val="231F20"/>
          <w:spacing w:val="-14"/>
          <w:w w:val="105"/>
          <w:sz w:val="20"/>
        </w:rPr>
        <w:t> </w:t>
      </w:r>
      <w:r>
        <w:rPr>
          <w:color w:val="231F20"/>
          <w:w w:val="105"/>
          <w:sz w:val="20"/>
        </w:rPr>
        <w:t>and</w:t>
      </w:r>
      <w:r>
        <w:rPr>
          <w:color w:val="231F20"/>
          <w:spacing w:val="-13"/>
          <w:w w:val="105"/>
          <w:sz w:val="20"/>
        </w:rPr>
        <w:t> </w:t>
      </w:r>
      <w:r>
        <w:rPr>
          <w:color w:val="231F20"/>
          <w:w w:val="105"/>
          <w:sz w:val="20"/>
        </w:rPr>
        <w:t>calcium</w:t>
      </w:r>
      <w:r>
        <w:rPr>
          <w:color w:val="231F20"/>
          <w:spacing w:val="-14"/>
          <w:w w:val="105"/>
          <w:sz w:val="20"/>
        </w:rPr>
        <w:t> </w:t>
      </w:r>
      <w:r>
        <w:rPr>
          <w:color w:val="231F20"/>
          <w:w w:val="105"/>
          <w:sz w:val="20"/>
        </w:rPr>
        <w:t>exchange in</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bones</w:t>
      </w:r>
      <w:r>
        <w:rPr>
          <w:color w:val="231F20"/>
          <w:spacing w:val="-15"/>
          <w:w w:val="105"/>
          <w:sz w:val="20"/>
        </w:rPr>
        <w:t> </w:t>
      </w:r>
      <w:r>
        <w:rPr>
          <w:color w:val="231F20"/>
          <w:w w:val="105"/>
          <w:sz w:val="20"/>
        </w:rPr>
        <w:t>is</w:t>
      </w:r>
      <w:r>
        <w:rPr>
          <w:color w:val="231F20"/>
          <w:spacing w:val="-14"/>
          <w:w w:val="105"/>
          <w:sz w:val="20"/>
        </w:rPr>
        <w:t> </w:t>
      </w:r>
      <w:r>
        <w:rPr>
          <w:color w:val="231F20"/>
          <w:w w:val="105"/>
          <w:sz w:val="20"/>
        </w:rPr>
        <w:t>discussed</w:t>
      </w:r>
      <w:r>
        <w:rPr>
          <w:color w:val="231F20"/>
          <w:spacing w:val="-15"/>
          <w:w w:val="105"/>
          <w:sz w:val="20"/>
        </w:rPr>
        <w:t> </w:t>
      </w:r>
      <w:r>
        <w:rPr>
          <w:color w:val="231F20"/>
          <w:w w:val="105"/>
          <w:sz w:val="20"/>
        </w:rPr>
        <w:t>elsewhere,</w:t>
      </w:r>
      <w:r>
        <w:rPr>
          <w:color w:val="231F20"/>
          <w:spacing w:val="-15"/>
          <w:w w:val="105"/>
          <w:sz w:val="20"/>
        </w:rPr>
        <w:t> </w:t>
      </w:r>
      <w:r>
        <w:rPr>
          <w:color w:val="231F20"/>
          <w:w w:val="105"/>
          <w:sz w:val="20"/>
        </w:rPr>
        <w:t>and</w:t>
      </w:r>
      <w:r>
        <w:rPr>
          <w:color w:val="231F20"/>
          <w:spacing w:val="-15"/>
          <w:w w:val="105"/>
          <w:sz w:val="20"/>
        </w:rPr>
        <w:t> </w:t>
      </w:r>
      <w:r>
        <w:rPr>
          <w:color w:val="231F20"/>
          <w:w w:val="105"/>
          <w:sz w:val="20"/>
        </w:rPr>
        <w:t>the</w:t>
      </w:r>
      <w:r>
        <w:rPr>
          <w:color w:val="231F20"/>
          <w:spacing w:val="-14"/>
          <w:w w:val="105"/>
          <w:sz w:val="20"/>
        </w:rPr>
        <w:t> </w:t>
      </w:r>
      <w:r>
        <w:rPr>
          <w:color w:val="231F20"/>
          <w:w w:val="105"/>
          <w:sz w:val="20"/>
        </w:rPr>
        <w:t>remainder</w:t>
      </w:r>
      <w:r>
        <w:rPr>
          <w:color w:val="231F20"/>
          <w:spacing w:val="-15"/>
          <w:w w:val="105"/>
          <w:sz w:val="20"/>
        </w:rPr>
        <w:t> </w:t>
      </w:r>
      <w:r>
        <w:rPr>
          <w:color w:val="231F20"/>
          <w:w w:val="105"/>
          <w:sz w:val="20"/>
        </w:rPr>
        <w:t>of this</w:t>
      </w:r>
      <w:r>
        <w:rPr>
          <w:color w:val="231F20"/>
          <w:spacing w:val="-14"/>
          <w:w w:val="105"/>
          <w:sz w:val="20"/>
        </w:rPr>
        <w:t> </w:t>
      </w:r>
      <w:r>
        <w:rPr>
          <w:color w:val="231F20"/>
          <w:w w:val="105"/>
          <w:sz w:val="20"/>
        </w:rPr>
        <w:t>section</w:t>
      </w:r>
      <w:r>
        <w:rPr>
          <w:color w:val="231F20"/>
          <w:spacing w:val="-13"/>
          <w:w w:val="105"/>
          <w:sz w:val="20"/>
        </w:rPr>
        <w:t> </w:t>
      </w:r>
      <w:r>
        <w:rPr>
          <w:color w:val="231F20"/>
          <w:w w:val="105"/>
          <w:sz w:val="20"/>
        </w:rPr>
        <w:t>focuses</w:t>
      </w:r>
      <w:r>
        <w:rPr>
          <w:color w:val="231F20"/>
          <w:spacing w:val="-14"/>
          <w:w w:val="105"/>
          <w:sz w:val="20"/>
        </w:rPr>
        <w:t> </w:t>
      </w:r>
      <w:r>
        <w:rPr>
          <w:color w:val="231F20"/>
          <w:w w:val="105"/>
          <w:sz w:val="20"/>
        </w:rPr>
        <w:t>on</w:t>
      </w:r>
      <w:r>
        <w:rPr>
          <w:color w:val="231F20"/>
          <w:spacing w:val="-13"/>
          <w:w w:val="105"/>
          <w:sz w:val="20"/>
        </w:rPr>
        <w:t> </w:t>
      </w:r>
      <w:r>
        <w:rPr>
          <w:color w:val="231F20"/>
          <w:w w:val="105"/>
          <w:sz w:val="20"/>
        </w:rPr>
        <w:t>the</w:t>
      </w:r>
      <w:r>
        <w:rPr>
          <w:color w:val="231F20"/>
          <w:spacing w:val="-14"/>
          <w:w w:val="105"/>
          <w:sz w:val="20"/>
        </w:rPr>
        <w:t> </w:t>
      </w:r>
      <w:r>
        <w:rPr>
          <w:color w:val="231F20"/>
          <w:w w:val="105"/>
          <w:sz w:val="20"/>
        </w:rPr>
        <w:t>mechanisms</w:t>
      </w:r>
      <w:r>
        <w:rPr>
          <w:color w:val="231F20"/>
          <w:spacing w:val="-13"/>
          <w:w w:val="105"/>
          <w:sz w:val="20"/>
        </w:rPr>
        <w:t> </w:t>
      </w:r>
      <w:r>
        <w:rPr>
          <w:color w:val="231F20"/>
          <w:w w:val="105"/>
          <w:sz w:val="20"/>
        </w:rPr>
        <w:t>that</w:t>
      </w:r>
      <w:r>
        <w:rPr>
          <w:color w:val="231F20"/>
          <w:spacing w:val="-14"/>
          <w:w w:val="105"/>
          <w:sz w:val="20"/>
        </w:rPr>
        <w:t> </w:t>
      </w:r>
      <w:r>
        <w:rPr>
          <w:color w:val="231F20"/>
          <w:w w:val="105"/>
          <w:sz w:val="20"/>
        </w:rPr>
        <w:t>control</w:t>
      </w:r>
      <w:r>
        <w:rPr>
          <w:color w:val="231F20"/>
          <w:spacing w:val="-13"/>
          <w:w w:val="105"/>
          <w:sz w:val="20"/>
        </w:rPr>
        <w:t> </w:t>
      </w:r>
      <w:r>
        <w:rPr>
          <w:color w:val="231F20"/>
          <w:w w:val="105"/>
          <w:sz w:val="20"/>
        </w:rPr>
        <w:t>renal calcium</w:t>
      </w:r>
      <w:r>
        <w:rPr>
          <w:color w:val="231F20"/>
          <w:spacing w:val="2"/>
          <w:w w:val="105"/>
          <w:sz w:val="20"/>
        </w:rPr>
        <w:t> </w:t>
      </w:r>
      <w:r>
        <w:rPr>
          <w:color w:val="231F20"/>
          <w:w w:val="105"/>
          <w:sz w:val="20"/>
        </w:rPr>
        <w:t>excretion.</w:t>
      </w:r>
    </w:p>
    <w:p>
      <w:pPr>
        <w:pStyle w:val="BodyText"/>
        <w:spacing w:before="3"/>
        <w:rPr>
          <w:sz w:val="31"/>
        </w:rPr>
      </w:pPr>
    </w:p>
    <w:p>
      <w:pPr>
        <w:pStyle w:val="Heading2"/>
        <w:spacing w:line="225" w:lineRule="auto" w:before="1"/>
        <w:ind w:right="2407"/>
      </w:pPr>
      <w:r>
        <w:rPr>
          <w:color w:val="231F20"/>
          <w:w w:val="105"/>
        </w:rPr>
        <w:t>CONTROL OF CALCIUM EXCRETION BY THE KIDNEYS</w:t>
      </w:r>
    </w:p>
    <w:p>
      <w:pPr>
        <w:pStyle w:val="BodyText"/>
        <w:spacing w:line="249" w:lineRule="auto" w:before="127"/>
        <w:ind w:left="319" w:right="1439"/>
        <w:jc w:val="both"/>
      </w:pPr>
      <w:r>
        <w:rPr>
          <w:color w:val="231F20"/>
          <w:w w:val="105"/>
        </w:rPr>
        <w:t>Calcium</w:t>
      </w:r>
      <w:r>
        <w:rPr>
          <w:color w:val="231F20"/>
          <w:spacing w:val="-22"/>
          <w:w w:val="105"/>
        </w:rPr>
        <w:t> </w:t>
      </w:r>
      <w:r>
        <w:rPr>
          <w:color w:val="231F20"/>
          <w:w w:val="105"/>
        </w:rPr>
        <w:t>is</w:t>
      </w:r>
      <w:r>
        <w:rPr>
          <w:color w:val="231F20"/>
          <w:spacing w:val="-21"/>
          <w:w w:val="105"/>
        </w:rPr>
        <w:t> </w:t>
      </w:r>
      <w:r>
        <w:rPr>
          <w:color w:val="231F20"/>
          <w:w w:val="105"/>
        </w:rPr>
        <w:t>both</w:t>
      </w:r>
      <w:r>
        <w:rPr>
          <w:color w:val="231F20"/>
          <w:spacing w:val="-21"/>
          <w:w w:val="105"/>
        </w:rPr>
        <w:t> </w:t>
      </w:r>
      <w:r>
        <w:rPr>
          <w:color w:val="231F20"/>
          <w:w w:val="105"/>
        </w:rPr>
        <w:t>filtered</w:t>
      </w:r>
      <w:r>
        <w:rPr>
          <w:color w:val="231F20"/>
          <w:spacing w:val="-21"/>
          <w:w w:val="105"/>
        </w:rPr>
        <w:t> </w:t>
      </w:r>
      <w:r>
        <w:rPr>
          <w:color w:val="231F20"/>
          <w:w w:val="105"/>
        </w:rPr>
        <w:t>and</w:t>
      </w:r>
      <w:r>
        <w:rPr>
          <w:color w:val="231F20"/>
          <w:spacing w:val="-21"/>
          <w:w w:val="105"/>
        </w:rPr>
        <w:t> </w:t>
      </w:r>
      <w:r>
        <w:rPr>
          <w:color w:val="231F20"/>
          <w:w w:val="105"/>
        </w:rPr>
        <w:t>reabsorbed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kidneys</w:t>
      </w:r>
      <w:r>
        <w:rPr>
          <w:color w:val="231F20"/>
          <w:spacing w:val="-21"/>
          <w:w w:val="105"/>
        </w:rPr>
        <w:t> </w:t>
      </w:r>
      <w:r>
        <w:rPr>
          <w:color w:val="231F20"/>
          <w:spacing w:val="-5"/>
          <w:w w:val="105"/>
        </w:rPr>
        <w:t>but </w:t>
      </w:r>
      <w:r>
        <w:rPr>
          <w:color w:val="231F20"/>
          <w:w w:val="105"/>
        </w:rPr>
        <w:t>not secreted. Therefore, the rate of renal calcium </w:t>
      </w:r>
      <w:r>
        <w:rPr>
          <w:color w:val="231F20"/>
          <w:spacing w:val="-4"/>
          <w:w w:val="105"/>
        </w:rPr>
        <w:t>excre- </w:t>
      </w:r>
      <w:r>
        <w:rPr>
          <w:color w:val="231F20"/>
          <w:w w:val="105"/>
        </w:rPr>
        <w:t>tion is calculated</w:t>
      </w:r>
      <w:r>
        <w:rPr>
          <w:color w:val="231F20"/>
          <w:spacing w:val="8"/>
          <w:w w:val="105"/>
        </w:rPr>
        <w:t> </w:t>
      </w:r>
      <w:r>
        <w:rPr>
          <w:color w:val="231F20"/>
          <w:w w:val="105"/>
        </w:rPr>
        <w:t>as</w:t>
      </w:r>
    </w:p>
    <w:p>
      <w:pPr>
        <w:spacing w:before="128"/>
        <w:ind w:left="992" w:right="0" w:firstLine="0"/>
        <w:jc w:val="left"/>
        <w:rPr>
          <w:rFonts w:ascii="Symbol" w:hAnsi="Symbol"/>
          <w:sz w:val="18"/>
        </w:rPr>
      </w:pPr>
      <w:r>
        <w:rPr>
          <w:rFonts w:ascii="Trebuchet MS" w:hAnsi="Trebuchet MS"/>
          <w:sz w:val="18"/>
        </w:rPr>
        <w:t>Renal calcium excretion </w:t>
      </w:r>
      <w:r>
        <w:rPr>
          <w:rFonts w:ascii="Symbol" w:hAnsi="Symbol"/>
          <w:sz w:val="18"/>
        </w:rPr>
        <w:t></w:t>
      </w:r>
    </w:p>
    <w:p>
      <w:pPr>
        <w:spacing w:before="19"/>
        <w:ind w:left="1203" w:right="0" w:firstLine="0"/>
        <w:jc w:val="left"/>
        <w:rPr>
          <w:rFonts w:ascii="Trebuchet MS" w:hAnsi="Trebuchet MS"/>
          <w:sz w:val="18"/>
        </w:rPr>
      </w:pPr>
      <w:r>
        <w:rPr>
          <w:rFonts w:ascii="Trebuchet MS" w:hAnsi="Trebuchet MS"/>
          <w:sz w:val="18"/>
        </w:rPr>
        <w:t>Calcium filtered </w:t>
      </w:r>
      <w:r>
        <w:rPr>
          <w:rFonts w:ascii="Symbol" w:hAnsi="Symbol"/>
          <w:sz w:val="18"/>
        </w:rPr>
        <w:t></w:t>
      </w:r>
      <w:r>
        <w:rPr>
          <w:sz w:val="18"/>
        </w:rPr>
        <w:t> </w:t>
      </w:r>
      <w:r>
        <w:rPr>
          <w:rFonts w:ascii="Trebuchet MS" w:hAnsi="Trebuchet MS"/>
          <w:sz w:val="18"/>
        </w:rPr>
        <w:t>Calcium reabsorbed</w:t>
      </w:r>
    </w:p>
    <w:p>
      <w:pPr>
        <w:pStyle w:val="BodyText"/>
        <w:spacing w:line="249" w:lineRule="auto" w:before="133"/>
        <w:ind w:left="319" w:right="1437" w:firstLine="240"/>
        <w:jc w:val="both"/>
      </w:pPr>
      <w:r>
        <w:rPr>
          <w:color w:val="231F20"/>
        </w:rPr>
        <w:t>Only</w:t>
      </w:r>
      <w:r>
        <w:rPr>
          <w:color w:val="231F20"/>
          <w:spacing w:val="-5"/>
        </w:rPr>
        <w:t> </w:t>
      </w:r>
      <w:r>
        <w:rPr>
          <w:color w:val="231F20"/>
        </w:rPr>
        <w:t>about</w:t>
      </w:r>
      <w:r>
        <w:rPr>
          <w:color w:val="231F20"/>
          <w:spacing w:val="-4"/>
        </w:rPr>
        <w:t> </w:t>
      </w:r>
      <w:r>
        <w:rPr>
          <w:color w:val="231F20"/>
        </w:rPr>
        <w:t>60</w:t>
      </w:r>
      <w:r>
        <w:rPr>
          <w:color w:val="231F20"/>
          <w:spacing w:val="-5"/>
        </w:rPr>
        <w:t> </w:t>
      </w:r>
      <w:r>
        <w:rPr>
          <w:color w:val="231F20"/>
        </w:rPr>
        <w:t>percent</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plasma</w:t>
      </w:r>
      <w:r>
        <w:rPr>
          <w:color w:val="231F20"/>
          <w:spacing w:val="-4"/>
        </w:rPr>
        <w:t> </w:t>
      </w:r>
      <w:r>
        <w:rPr>
          <w:color w:val="231F20"/>
        </w:rPr>
        <w:t>calcium</w:t>
      </w:r>
      <w:r>
        <w:rPr>
          <w:color w:val="231F20"/>
          <w:spacing w:val="-5"/>
        </w:rPr>
        <w:t> </w:t>
      </w:r>
      <w:r>
        <w:rPr>
          <w:color w:val="231F20"/>
        </w:rPr>
        <w:t>is</w:t>
      </w:r>
      <w:r>
        <w:rPr>
          <w:color w:val="231F20"/>
          <w:spacing w:val="-4"/>
        </w:rPr>
        <w:t> </w:t>
      </w:r>
      <w:r>
        <w:rPr>
          <w:color w:val="231F20"/>
        </w:rPr>
        <w:t>ionized, with 40 percent being bound to the plasma proteins and 10 percent complexed with anions such as phosphate. Therefore, only about 60 percent of the plasma calcium can be filtered at the glomerulus. Normally, about 99 percent of the filtered calcium is reabsorbed by the tubules,</w:t>
      </w:r>
      <w:r>
        <w:rPr>
          <w:color w:val="231F20"/>
          <w:spacing w:val="13"/>
        </w:rPr>
        <w:t> </w:t>
      </w:r>
      <w:r>
        <w:rPr>
          <w:color w:val="231F20"/>
        </w:rPr>
        <w:t>with</w:t>
      </w:r>
      <w:r>
        <w:rPr>
          <w:color w:val="231F20"/>
          <w:spacing w:val="14"/>
        </w:rPr>
        <w:t> </w:t>
      </w:r>
      <w:r>
        <w:rPr>
          <w:color w:val="231F20"/>
        </w:rPr>
        <w:t>only</w:t>
      </w:r>
      <w:r>
        <w:rPr>
          <w:color w:val="231F20"/>
          <w:spacing w:val="13"/>
        </w:rPr>
        <w:t> </w:t>
      </w:r>
      <w:r>
        <w:rPr>
          <w:color w:val="231F20"/>
        </w:rPr>
        <w:t>about</w:t>
      </w:r>
      <w:r>
        <w:rPr>
          <w:color w:val="231F20"/>
          <w:spacing w:val="14"/>
        </w:rPr>
        <w:t> </w:t>
      </w:r>
      <w:r>
        <w:rPr>
          <w:color w:val="231F20"/>
        </w:rPr>
        <w:t>1</w:t>
      </w:r>
      <w:r>
        <w:rPr>
          <w:color w:val="231F20"/>
          <w:spacing w:val="13"/>
        </w:rPr>
        <w:t> </w:t>
      </w:r>
      <w:r>
        <w:rPr>
          <w:color w:val="231F20"/>
        </w:rPr>
        <w:t>percent</w:t>
      </w:r>
      <w:r>
        <w:rPr>
          <w:color w:val="231F20"/>
          <w:spacing w:val="14"/>
        </w:rPr>
        <w:t> </w:t>
      </w:r>
      <w:r>
        <w:rPr>
          <w:color w:val="231F20"/>
        </w:rPr>
        <w:t>of</w:t>
      </w:r>
      <w:r>
        <w:rPr>
          <w:color w:val="231F20"/>
          <w:spacing w:val="13"/>
        </w:rPr>
        <w:t> </w:t>
      </w:r>
      <w:r>
        <w:rPr>
          <w:color w:val="231F20"/>
        </w:rPr>
        <w:t>the</w:t>
      </w:r>
      <w:r>
        <w:rPr>
          <w:color w:val="231F20"/>
          <w:spacing w:val="14"/>
        </w:rPr>
        <w:t> </w:t>
      </w:r>
      <w:r>
        <w:rPr>
          <w:color w:val="231F20"/>
        </w:rPr>
        <w:t>filtered</w:t>
      </w:r>
      <w:r>
        <w:rPr>
          <w:color w:val="231F20"/>
          <w:spacing w:val="14"/>
        </w:rPr>
        <w:t> </w:t>
      </w:r>
      <w:r>
        <w:rPr>
          <w:color w:val="231F20"/>
        </w:rPr>
        <w:t>calcium</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893"/>
          <w:pgSz w:w="12240" w:h="15660"/>
          <w:pgMar w:header="0" w:footer="567" w:top="0" w:bottom="760" w:left="0" w:right="0"/>
        </w:sectPr>
      </w:pPr>
    </w:p>
    <w:p>
      <w:pPr>
        <w:pStyle w:val="BodyText"/>
        <w:spacing w:line="249" w:lineRule="auto" w:before="100"/>
        <w:ind w:left="1440"/>
        <w:jc w:val="both"/>
      </w:pPr>
      <w:r>
        <w:rPr>
          <w:color w:val="231F20"/>
          <w:w w:val="105"/>
        </w:rPr>
        <w:t>being excreted. About 65 percent of the filtered</w:t>
      </w:r>
      <w:r>
        <w:rPr>
          <w:color w:val="231F20"/>
          <w:spacing w:val="-34"/>
          <w:w w:val="105"/>
        </w:rPr>
        <w:t> </w:t>
      </w:r>
      <w:r>
        <w:rPr>
          <w:color w:val="231F20"/>
          <w:w w:val="105"/>
        </w:rPr>
        <w:t>calcium is reabsorbed in the proximal tubule, 25 to 30 percent</w:t>
      </w:r>
      <w:r>
        <w:rPr>
          <w:color w:val="231F20"/>
          <w:spacing w:val="-15"/>
          <w:w w:val="105"/>
        </w:rPr>
        <w:t> </w:t>
      </w:r>
      <w:r>
        <w:rPr>
          <w:color w:val="231F20"/>
          <w:w w:val="105"/>
        </w:rPr>
        <w:t>is reabsorbed in the loop of Henle, and 4 to 9 percent is reabsorbed in the distal and collecting tubules.</w:t>
      </w:r>
      <w:r>
        <w:rPr>
          <w:color w:val="231F20"/>
          <w:spacing w:val="32"/>
          <w:w w:val="105"/>
        </w:rPr>
        <w:t> </w:t>
      </w:r>
      <w:r>
        <w:rPr>
          <w:color w:val="231F20"/>
          <w:spacing w:val="-3"/>
          <w:w w:val="105"/>
        </w:rPr>
        <w:t>This </w:t>
      </w:r>
      <w:r>
        <w:rPr>
          <w:color w:val="231F20"/>
          <w:w w:val="105"/>
        </w:rPr>
        <w:t>pattern of reabsorption is similar to that for sodium.</w:t>
      </w:r>
    </w:p>
    <w:p>
      <w:pPr>
        <w:pStyle w:val="BodyText"/>
        <w:spacing w:line="249" w:lineRule="auto" w:before="4"/>
        <w:ind w:left="1440" w:firstLine="240"/>
        <w:jc w:val="both"/>
      </w:pPr>
      <w:r>
        <w:rPr>
          <w:color w:val="231F20"/>
          <w:w w:val="105"/>
        </w:rPr>
        <w:t>As is true with the other ions, calcium excretion </w:t>
      </w:r>
      <w:r>
        <w:rPr>
          <w:color w:val="231F20"/>
          <w:spacing w:val="-8"/>
          <w:w w:val="105"/>
        </w:rPr>
        <w:t>is </w:t>
      </w:r>
      <w:r>
        <w:rPr>
          <w:color w:val="231F20"/>
          <w:w w:val="105"/>
        </w:rPr>
        <w:t>adjusted to meet the body’s needs. </w:t>
      </w:r>
      <w:r>
        <w:rPr>
          <w:color w:val="231F20"/>
          <w:spacing w:val="-3"/>
          <w:w w:val="105"/>
        </w:rPr>
        <w:t>With </w:t>
      </w:r>
      <w:r>
        <w:rPr>
          <w:color w:val="231F20"/>
          <w:w w:val="105"/>
        </w:rPr>
        <w:t>an increase in calcium intake, there is also increased renal calcium excretion, although much of the increase of calcium intake</w:t>
      </w:r>
      <w:r>
        <w:rPr>
          <w:color w:val="231F20"/>
          <w:spacing w:val="-13"/>
          <w:w w:val="105"/>
        </w:rPr>
        <w:t> </w:t>
      </w:r>
      <w:r>
        <w:rPr>
          <w:color w:val="231F20"/>
          <w:w w:val="105"/>
        </w:rPr>
        <w:t>is</w:t>
      </w:r>
      <w:r>
        <w:rPr>
          <w:color w:val="231F20"/>
          <w:spacing w:val="-12"/>
          <w:w w:val="105"/>
        </w:rPr>
        <w:t> </w:t>
      </w:r>
      <w:r>
        <w:rPr>
          <w:color w:val="231F20"/>
          <w:w w:val="105"/>
        </w:rPr>
        <w:t>eliminated</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feces.</w:t>
      </w:r>
      <w:r>
        <w:rPr>
          <w:color w:val="231F20"/>
          <w:spacing w:val="-13"/>
          <w:w w:val="105"/>
        </w:rPr>
        <w:t> </w:t>
      </w:r>
      <w:r>
        <w:rPr>
          <w:color w:val="231F20"/>
          <w:spacing w:val="-3"/>
          <w:w w:val="105"/>
        </w:rPr>
        <w:t>With</w:t>
      </w:r>
      <w:r>
        <w:rPr>
          <w:color w:val="231F20"/>
          <w:spacing w:val="-12"/>
          <w:w w:val="105"/>
        </w:rPr>
        <w:t> </w:t>
      </w:r>
      <w:r>
        <w:rPr>
          <w:color w:val="231F20"/>
          <w:w w:val="105"/>
        </w:rPr>
        <w:t>calcium</w:t>
      </w:r>
      <w:r>
        <w:rPr>
          <w:color w:val="231F20"/>
          <w:spacing w:val="-12"/>
          <w:w w:val="105"/>
        </w:rPr>
        <w:t> </w:t>
      </w:r>
      <w:r>
        <w:rPr>
          <w:color w:val="231F20"/>
          <w:w w:val="105"/>
        </w:rPr>
        <w:t>depletion, calcium</w:t>
      </w:r>
      <w:r>
        <w:rPr>
          <w:color w:val="231F20"/>
          <w:spacing w:val="-9"/>
          <w:w w:val="105"/>
        </w:rPr>
        <w:t> </w:t>
      </w:r>
      <w:r>
        <w:rPr>
          <w:color w:val="231F20"/>
          <w:w w:val="105"/>
        </w:rPr>
        <w:t>excretion</w:t>
      </w:r>
      <w:r>
        <w:rPr>
          <w:color w:val="231F20"/>
          <w:spacing w:val="-9"/>
          <w:w w:val="105"/>
        </w:rPr>
        <w:t> </w:t>
      </w:r>
      <w:r>
        <w:rPr>
          <w:color w:val="231F20"/>
          <w:w w:val="105"/>
        </w:rPr>
        <w:t>by</w:t>
      </w:r>
      <w:r>
        <w:rPr>
          <w:color w:val="231F20"/>
          <w:spacing w:val="-9"/>
          <w:w w:val="105"/>
        </w:rPr>
        <w:t> </w:t>
      </w:r>
      <w:r>
        <w:rPr>
          <w:color w:val="231F20"/>
          <w:w w:val="105"/>
        </w:rPr>
        <w:t>the</w:t>
      </w:r>
      <w:r>
        <w:rPr>
          <w:color w:val="231F20"/>
          <w:spacing w:val="-9"/>
          <w:w w:val="105"/>
        </w:rPr>
        <w:t> </w:t>
      </w:r>
      <w:r>
        <w:rPr>
          <w:color w:val="231F20"/>
          <w:w w:val="105"/>
        </w:rPr>
        <w:t>kidneys</w:t>
      </w:r>
      <w:r>
        <w:rPr>
          <w:color w:val="231F20"/>
          <w:spacing w:val="-9"/>
          <w:w w:val="105"/>
        </w:rPr>
        <w:t> </w:t>
      </w:r>
      <w:r>
        <w:rPr>
          <w:color w:val="231F20"/>
          <w:w w:val="105"/>
        </w:rPr>
        <w:t>decreases</w:t>
      </w:r>
      <w:r>
        <w:rPr>
          <w:color w:val="231F20"/>
          <w:spacing w:val="-9"/>
          <w:w w:val="105"/>
        </w:rPr>
        <w:t> </w:t>
      </w:r>
      <w:r>
        <w:rPr>
          <w:color w:val="231F20"/>
          <w:w w:val="105"/>
        </w:rPr>
        <w:t>as</w:t>
      </w:r>
      <w:r>
        <w:rPr>
          <w:color w:val="231F20"/>
          <w:spacing w:val="-9"/>
          <w:w w:val="105"/>
        </w:rPr>
        <w:t> </w:t>
      </w:r>
      <w:r>
        <w:rPr>
          <w:color w:val="231F20"/>
          <w:w w:val="105"/>
        </w:rPr>
        <w:t>a</w:t>
      </w:r>
      <w:r>
        <w:rPr>
          <w:color w:val="231F20"/>
          <w:spacing w:val="-9"/>
          <w:w w:val="105"/>
        </w:rPr>
        <w:t> </w:t>
      </w:r>
      <w:r>
        <w:rPr>
          <w:color w:val="231F20"/>
          <w:w w:val="105"/>
        </w:rPr>
        <w:t>result</w:t>
      </w:r>
      <w:r>
        <w:rPr>
          <w:color w:val="231F20"/>
          <w:spacing w:val="-9"/>
          <w:w w:val="105"/>
        </w:rPr>
        <w:t> </w:t>
      </w:r>
      <w:r>
        <w:rPr>
          <w:color w:val="231F20"/>
          <w:w w:val="105"/>
        </w:rPr>
        <w:t>of enhanced tubular</w:t>
      </w:r>
      <w:r>
        <w:rPr>
          <w:color w:val="231F20"/>
          <w:spacing w:val="6"/>
          <w:w w:val="105"/>
        </w:rPr>
        <w:t> </w:t>
      </w:r>
      <w:r>
        <w:rPr>
          <w:color w:val="231F20"/>
          <w:w w:val="105"/>
        </w:rPr>
        <w:t>reabsorption.</w:t>
      </w:r>
    </w:p>
    <w:p>
      <w:pPr>
        <w:pStyle w:val="BodyText"/>
        <w:spacing w:line="249" w:lineRule="auto" w:before="245"/>
        <w:ind w:left="1440" w:hanging="1"/>
        <w:jc w:val="both"/>
      </w:pPr>
      <w:r>
        <w:rPr>
          <w:rFonts w:ascii="Trebuchet MS"/>
          <w:b/>
          <w:color w:val="231F20"/>
          <w:w w:val="105"/>
          <w:sz w:val="19"/>
        </w:rPr>
        <w:t>Proximal</w:t>
      </w:r>
      <w:r>
        <w:rPr>
          <w:rFonts w:ascii="Trebuchet MS"/>
          <w:b/>
          <w:color w:val="231F20"/>
          <w:spacing w:val="-18"/>
          <w:w w:val="105"/>
          <w:sz w:val="19"/>
        </w:rPr>
        <w:t> </w:t>
      </w:r>
      <w:r>
        <w:rPr>
          <w:rFonts w:ascii="Trebuchet MS"/>
          <w:b/>
          <w:color w:val="231F20"/>
          <w:spacing w:val="-3"/>
          <w:w w:val="105"/>
          <w:sz w:val="19"/>
        </w:rPr>
        <w:t>Tubular</w:t>
      </w:r>
      <w:r>
        <w:rPr>
          <w:rFonts w:ascii="Trebuchet MS"/>
          <w:b/>
          <w:color w:val="231F20"/>
          <w:spacing w:val="-17"/>
          <w:w w:val="105"/>
          <w:sz w:val="19"/>
        </w:rPr>
        <w:t> </w:t>
      </w:r>
      <w:r>
        <w:rPr>
          <w:rFonts w:ascii="Trebuchet MS"/>
          <w:b/>
          <w:color w:val="231F20"/>
          <w:w w:val="105"/>
          <w:sz w:val="19"/>
        </w:rPr>
        <w:t>Calcium</w:t>
      </w:r>
      <w:r>
        <w:rPr>
          <w:rFonts w:ascii="Trebuchet MS"/>
          <w:b/>
          <w:color w:val="231F20"/>
          <w:spacing w:val="-17"/>
          <w:w w:val="105"/>
          <w:sz w:val="19"/>
        </w:rPr>
        <w:t> </w:t>
      </w:r>
      <w:r>
        <w:rPr>
          <w:rFonts w:ascii="Trebuchet MS"/>
          <w:b/>
          <w:color w:val="231F20"/>
          <w:w w:val="105"/>
          <w:sz w:val="19"/>
        </w:rPr>
        <w:t>Reabsorption.</w:t>
      </w:r>
      <w:r>
        <w:rPr>
          <w:rFonts w:ascii="Trebuchet MS"/>
          <w:b/>
          <w:color w:val="231F20"/>
          <w:spacing w:val="-3"/>
          <w:w w:val="105"/>
          <w:sz w:val="19"/>
        </w:rPr>
        <w:t> </w:t>
      </w:r>
      <w:r>
        <w:rPr>
          <w:color w:val="231F20"/>
          <w:w w:val="105"/>
        </w:rPr>
        <w:t>Most</w:t>
      </w:r>
      <w:r>
        <w:rPr>
          <w:color w:val="231F20"/>
          <w:spacing w:val="-14"/>
          <w:w w:val="105"/>
        </w:rPr>
        <w:t> </w:t>
      </w:r>
      <w:r>
        <w:rPr>
          <w:color w:val="231F20"/>
          <w:w w:val="105"/>
        </w:rPr>
        <w:t>of</w:t>
      </w:r>
      <w:r>
        <w:rPr>
          <w:color w:val="231F20"/>
          <w:spacing w:val="-14"/>
          <w:w w:val="105"/>
        </w:rPr>
        <w:t> </w:t>
      </w:r>
      <w:r>
        <w:rPr>
          <w:color w:val="231F20"/>
          <w:spacing w:val="-7"/>
          <w:w w:val="105"/>
        </w:rPr>
        <w:t>the </w:t>
      </w:r>
      <w:r>
        <w:rPr>
          <w:color w:val="231F20"/>
          <w:w w:val="105"/>
        </w:rPr>
        <w:t>calcium reabsorption in the proximal tubule </w:t>
      </w:r>
      <w:r>
        <w:rPr>
          <w:color w:val="231F20"/>
          <w:spacing w:val="-3"/>
          <w:w w:val="105"/>
        </w:rPr>
        <w:t>occurs </w:t>
      </w:r>
      <w:r>
        <w:rPr>
          <w:color w:val="231F20"/>
          <w:w w:val="105"/>
        </w:rPr>
        <w:t>through</w:t>
      </w:r>
      <w:r>
        <w:rPr>
          <w:color w:val="231F20"/>
          <w:spacing w:val="-13"/>
          <w:w w:val="105"/>
        </w:rPr>
        <w:t> </w:t>
      </w:r>
      <w:r>
        <w:rPr>
          <w:color w:val="231F20"/>
          <w:w w:val="105"/>
        </w:rPr>
        <w:t>the</w:t>
      </w:r>
      <w:r>
        <w:rPr>
          <w:color w:val="231F20"/>
          <w:spacing w:val="-12"/>
          <w:w w:val="105"/>
        </w:rPr>
        <w:t> </w:t>
      </w:r>
      <w:r>
        <w:rPr>
          <w:color w:val="231F20"/>
          <w:w w:val="105"/>
        </w:rPr>
        <w:t>paracellular</w:t>
      </w:r>
      <w:r>
        <w:rPr>
          <w:color w:val="231F20"/>
          <w:spacing w:val="-12"/>
          <w:w w:val="105"/>
        </w:rPr>
        <w:t> </w:t>
      </w:r>
      <w:r>
        <w:rPr>
          <w:color w:val="231F20"/>
          <w:w w:val="105"/>
        </w:rPr>
        <w:t>pathway;</w:t>
      </w:r>
      <w:r>
        <w:rPr>
          <w:color w:val="231F20"/>
          <w:spacing w:val="-12"/>
          <w:w w:val="105"/>
        </w:rPr>
        <w:t> </w:t>
      </w:r>
      <w:r>
        <w:rPr>
          <w:color w:val="231F20"/>
          <w:w w:val="105"/>
        </w:rPr>
        <w:t>it</w:t>
      </w:r>
      <w:r>
        <w:rPr>
          <w:color w:val="231F20"/>
          <w:spacing w:val="-13"/>
          <w:w w:val="105"/>
        </w:rPr>
        <w:t> </w:t>
      </w:r>
      <w:r>
        <w:rPr>
          <w:color w:val="231F20"/>
          <w:w w:val="105"/>
        </w:rPr>
        <w:t>is</w:t>
      </w:r>
      <w:r>
        <w:rPr>
          <w:color w:val="231F20"/>
          <w:spacing w:val="-12"/>
          <w:w w:val="105"/>
        </w:rPr>
        <w:t> </w:t>
      </w:r>
      <w:r>
        <w:rPr>
          <w:color w:val="231F20"/>
          <w:w w:val="105"/>
        </w:rPr>
        <w:t>dissolved</w:t>
      </w:r>
      <w:r>
        <w:rPr>
          <w:color w:val="231F20"/>
          <w:spacing w:val="-12"/>
          <w:w w:val="105"/>
        </w:rPr>
        <w:t> </w:t>
      </w:r>
      <w:r>
        <w:rPr>
          <w:color w:val="231F20"/>
          <w:w w:val="105"/>
        </w:rPr>
        <w:t>in</w:t>
      </w:r>
      <w:r>
        <w:rPr>
          <w:color w:val="231F20"/>
          <w:spacing w:val="-12"/>
          <w:w w:val="105"/>
        </w:rPr>
        <w:t> </w:t>
      </w:r>
      <w:r>
        <w:rPr>
          <w:color w:val="231F20"/>
          <w:w w:val="105"/>
        </w:rPr>
        <w:t>water and</w:t>
      </w:r>
      <w:r>
        <w:rPr>
          <w:color w:val="231F20"/>
          <w:spacing w:val="-11"/>
          <w:w w:val="105"/>
        </w:rPr>
        <w:t> </w:t>
      </w:r>
      <w:r>
        <w:rPr>
          <w:color w:val="231F20"/>
          <w:w w:val="105"/>
        </w:rPr>
        <w:t>carried</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1"/>
          <w:w w:val="105"/>
        </w:rPr>
        <w:t> </w:t>
      </w:r>
      <w:r>
        <w:rPr>
          <w:color w:val="231F20"/>
          <w:w w:val="105"/>
        </w:rPr>
        <w:t>reabsorbed</w:t>
      </w:r>
      <w:r>
        <w:rPr>
          <w:color w:val="231F20"/>
          <w:spacing w:val="-10"/>
          <w:w w:val="105"/>
        </w:rPr>
        <w:t> </w:t>
      </w:r>
      <w:r>
        <w:rPr>
          <w:color w:val="231F20"/>
          <w:w w:val="105"/>
        </w:rPr>
        <w:t>fluid</w:t>
      </w:r>
      <w:r>
        <w:rPr>
          <w:color w:val="231F20"/>
          <w:spacing w:val="-10"/>
          <w:w w:val="105"/>
        </w:rPr>
        <w:t> </w:t>
      </w:r>
      <w:r>
        <w:rPr>
          <w:color w:val="231F20"/>
          <w:w w:val="105"/>
        </w:rPr>
        <w:t>as</w:t>
      </w:r>
      <w:r>
        <w:rPr>
          <w:color w:val="231F20"/>
          <w:spacing w:val="-11"/>
          <w:w w:val="105"/>
        </w:rPr>
        <w:t> </w:t>
      </w:r>
      <w:r>
        <w:rPr>
          <w:color w:val="231F20"/>
          <w:w w:val="105"/>
        </w:rPr>
        <w:t>it</w:t>
      </w:r>
      <w:r>
        <w:rPr>
          <w:color w:val="231F20"/>
          <w:spacing w:val="-10"/>
          <w:w w:val="105"/>
        </w:rPr>
        <w:t> </w:t>
      </w:r>
      <w:r>
        <w:rPr>
          <w:color w:val="231F20"/>
          <w:w w:val="105"/>
        </w:rPr>
        <w:t>flows</w:t>
      </w:r>
      <w:r>
        <w:rPr>
          <w:color w:val="231F20"/>
          <w:spacing w:val="-10"/>
          <w:w w:val="105"/>
        </w:rPr>
        <w:t> </w:t>
      </w:r>
      <w:r>
        <w:rPr>
          <w:color w:val="231F20"/>
          <w:w w:val="105"/>
        </w:rPr>
        <w:t>between the cells. Only about 20% of proximal tubular </w:t>
      </w:r>
      <w:r>
        <w:rPr>
          <w:color w:val="231F20"/>
          <w:spacing w:val="-3"/>
          <w:w w:val="105"/>
        </w:rPr>
        <w:t>calcium </w:t>
      </w:r>
      <w:r>
        <w:rPr>
          <w:color w:val="231F20"/>
          <w:w w:val="105"/>
        </w:rPr>
        <w:t>reabsorption occurs through the transcellular </w:t>
      </w:r>
      <w:r>
        <w:rPr>
          <w:color w:val="231F20"/>
          <w:spacing w:val="-4"/>
          <w:w w:val="105"/>
        </w:rPr>
        <w:t>pathway </w:t>
      </w:r>
      <w:r>
        <w:rPr>
          <w:color w:val="231F20"/>
          <w:w w:val="105"/>
        </w:rPr>
        <w:t>in two steps. (1) Calcium diffuses from the </w:t>
      </w:r>
      <w:r>
        <w:rPr>
          <w:color w:val="231F20"/>
          <w:spacing w:val="-3"/>
          <w:w w:val="105"/>
        </w:rPr>
        <w:t>tubular </w:t>
      </w:r>
      <w:r>
        <w:rPr>
          <w:color w:val="231F20"/>
          <w:w w:val="105"/>
        </w:rPr>
        <w:t>lumen</w:t>
      </w:r>
      <w:r>
        <w:rPr>
          <w:color w:val="231F20"/>
          <w:spacing w:val="-18"/>
          <w:w w:val="105"/>
        </w:rPr>
        <w:t> </w:t>
      </w:r>
      <w:r>
        <w:rPr>
          <w:color w:val="231F20"/>
          <w:w w:val="105"/>
        </w:rPr>
        <w:t>into</w:t>
      </w:r>
      <w:r>
        <w:rPr>
          <w:color w:val="231F20"/>
          <w:spacing w:val="-17"/>
          <w:w w:val="105"/>
        </w:rPr>
        <w:t> </w:t>
      </w:r>
      <w:r>
        <w:rPr>
          <w:color w:val="231F20"/>
          <w:w w:val="105"/>
        </w:rPr>
        <w:t>the</w:t>
      </w:r>
      <w:r>
        <w:rPr>
          <w:color w:val="231F20"/>
          <w:spacing w:val="-17"/>
          <w:w w:val="105"/>
        </w:rPr>
        <w:t> </w:t>
      </w:r>
      <w:r>
        <w:rPr>
          <w:color w:val="231F20"/>
          <w:w w:val="105"/>
        </w:rPr>
        <w:t>cell</w:t>
      </w:r>
      <w:r>
        <w:rPr>
          <w:color w:val="231F20"/>
          <w:spacing w:val="-17"/>
          <w:w w:val="105"/>
        </w:rPr>
        <w:t> </w:t>
      </w:r>
      <w:r>
        <w:rPr>
          <w:color w:val="231F20"/>
          <w:w w:val="105"/>
        </w:rPr>
        <w:t>down</w:t>
      </w:r>
      <w:r>
        <w:rPr>
          <w:color w:val="231F20"/>
          <w:spacing w:val="-17"/>
          <w:w w:val="105"/>
        </w:rPr>
        <w:t> </w:t>
      </w:r>
      <w:r>
        <w:rPr>
          <w:color w:val="231F20"/>
          <w:w w:val="105"/>
        </w:rPr>
        <w:t>an</w:t>
      </w:r>
      <w:r>
        <w:rPr>
          <w:color w:val="231F20"/>
          <w:spacing w:val="-17"/>
          <w:w w:val="105"/>
        </w:rPr>
        <w:t> </w:t>
      </w:r>
      <w:r>
        <w:rPr>
          <w:color w:val="231F20"/>
          <w:w w:val="105"/>
        </w:rPr>
        <w:t>electrochemical</w:t>
      </w:r>
      <w:r>
        <w:rPr>
          <w:color w:val="231F20"/>
          <w:spacing w:val="-17"/>
          <w:w w:val="105"/>
        </w:rPr>
        <w:t> </w:t>
      </w:r>
      <w:r>
        <w:rPr>
          <w:color w:val="231F20"/>
          <w:w w:val="105"/>
        </w:rPr>
        <w:t>gradient</w:t>
      </w:r>
      <w:r>
        <w:rPr>
          <w:color w:val="231F20"/>
          <w:spacing w:val="-17"/>
          <w:w w:val="105"/>
        </w:rPr>
        <w:t> </w:t>
      </w:r>
      <w:r>
        <w:rPr>
          <w:color w:val="231F20"/>
          <w:spacing w:val="-5"/>
          <w:w w:val="105"/>
        </w:rPr>
        <w:t>due </w:t>
      </w:r>
      <w:r>
        <w:rPr>
          <w:color w:val="231F20"/>
          <w:w w:val="105"/>
        </w:rPr>
        <w:t>to the much higher concentration of calcium in </w:t>
      </w:r>
      <w:r>
        <w:rPr>
          <w:color w:val="231F20"/>
          <w:spacing w:val="-6"/>
          <w:w w:val="105"/>
        </w:rPr>
        <w:t>the </w:t>
      </w:r>
      <w:r>
        <w:rPr>
          <w:color w:val="231F20"/>
          <w:w w:val="105"/>
        </w:rPr>
        <w:t>tubular lumen, compared with the epithelial cell </w:t>
      </w:r>
      <w:r>
        <w:rPr>
          <w:color w:val="231F20"/>
          <w:spacing w:val="-3"/>
          <w:w w:val="105"/>
        </w:rPr>
        <w:t>cyto- </w:t>
      </w:r>
      <w:r>
        <w:rPr>
          <w:color w:val="231F20"/>
          <w:w w:val="105"/>
        </w:rPr>
        <w:t>plasm,</w:t>
      </w:r>
      <w:r>
        <w:rPr>
          <w:color w:val="231F20"/>
          <w:spacing w:val="-17"/>
          <w:w w:val="105"/>
        </w:rPr>
        <w:t> </w:t>
      </w:r>
      <w:r>
        <w:rPr>
          <w:color w:val="231F20"/>
          <w:w w:val="105"/>
        </w:rPr>
        <w:t>and</w:t>
      </w:r>
      <w:r>
        <w:rPr>
          <w:color w:val="231F20"/>
          <w:spacing w:val="-16"/>
          <w:w w:val="105"/>
        </w:rPr>
        <w:t> </w:t>
      </w:r>
      <w:r>
        <w:rPr>
          <w:color w:val="231F20"/>
          <w:w w:val="105"/>
        </w:rPr>
        <w:t>because</w:t>
      </w:r>
      <w:r>
        <w:rPr>
          <w:color w:val="231F20"/>
          <w:spacing w:val="-16"/>
          <w:w w:val="105"/>
        </w:rPr>
        <w:t> </w:t>
      </w:r>
      <w:r>
        <w:rPr>
          <w:color w:val="231F20"/>
          <w:w w:val="105"/>
        </w:rPr>
        <w:t>the</w:t>
      </w:r>
      <w:r>
        <w:rPr>
          <w:color w:val="231F20"/>
          <w:spacing w:val="-16"/>
          <w:w w:val="105"/>
        </w:rPr>
        <w:t> </w:t>
      </w:r>
      <w:r>
        <w:rPr>
          <w:color w:val="231F20"/>
          <w:w w:val="105"/>
        </w:rPr>
        <w:t>cell</w:t>
      </w:r>
      <w:r>
        <w:rPr>
          <w:color w:val="231F20"/>
          <w:spacing w:val="-17"/>
          <w:w w:val="105"/>
        </w:rPr>
        <w:t> </w:t>
      </w:r>
      <w:r>
        <w:rPr>
          <w:color w:val="231F20"/>
          <w:w w:val="105"/>
        </w:rPr>
        <w:t>interior</w:t>
      </w:r>
      <w:r>
        <w:rPr>
          <w:color w:val="231F20"/>
          <w:spacing w:val="-16"/>
          <w:w w:val="105"/>
        </w:rPr>
        <w:t> </w:t>
      </w:r>
      <w:r>
        <w:rPr>
          <w:color w:val="231F20"/>
          <w:w w:val="105"/>
        </w:rPr>
        <w:t>has</w:t>
      </w:r>
      <w:r>
        <w:rPr>
          <w:color w:val="231F20"/>
          <w:spacing w:val="-16"/>
          <w:w w:val="105"/>
        </w:rPr>
        <w:t> </w:t>
      </w:r>
      <w:r>
        <w:rPr>
          <w:color w:val="231F20"/>
          <w:w w:val="105"/>
        </w:rPr>
        <w:t>a</w:t>
      </w:r>
      <w:r>
        <w:rPr>
          <w:color w:val="231F20"/>
          <w:spacing w:val="-16"/>
          <w:w w:val="105"/>
        </w:rPr>
        <w:t> </w:t>
      </w:r>
      <w:r>
        <w:rPr>
          <w:color w:val="231F20"/>
          <w:w w:val="105"/>
        </w:rPr>
        <w:t>negative</w:t>
      </w:r>
      <w:r>
        <w:rPr>
          <w:color w:val="231F20"/>
          <w:spacing w:val="-16"/>
          <w:w w:val="105"/>
        </w:rPr>
        <w:t> </w:t>
      </w:r>
      <w:r>
        <w:rPr>
          <w:color w:val="231F20"/>
          <w:w w:val="105"/>
        </w:rPr>
        <w:t>charge relative to the tubular lumen. (2) Calcium exits the cell across the basolateral membrane by a calcium-ATPase pump and by sodium-calcium counter-transporter (</w:t>
      </w:r>
      <w:hyperlink w:history="true" w:anchor="_bookmark94">
        <w:r>
          <w:rPr>
            <w:rFonts w:ascii="Cambria"/>
            <w:b/>
            <w:color w:val="0080AC"/>
            <w:w w:val="105"/>
          </w:rPr>
          <w:t>Figure</w:t>
        </w:r>
        <w:r>
          <w:rPr>
            <w:rFonts w:ascii="Cambria"/>
            <w:b/>
            <w:color w:val="0080AC"/>
            <w:spacing w:val="5"/>
            <w:w w:val="105"/>
          </w:rPr>
          <w:t> </w:t>
        </w:r>
        <w:r>
          <w:rPr>
            <w:rFonts w:ascii="Cambria"/>
            <w:b/>
            <w:color w:val="0080AC"/>
            <w:w w:val="105"/>
          </w:rPr>
          <w:t>30-12</w:t>
        </w:r>
      </w:hyperlink>
      <w:r>
        <w:rPr>
          <w:color w:val="231F20"/>
          <w:w w:val="105"/>
        </w:rPr>
        <w:t>).</w:t>
      </w:r>
    </w:p>
    <w:p>
      <w:pPr>
        <w:pStyle w:val="BodyText"/>
        <w:spacing w:line="249" w:lineRule="auto" w:before="256"/>
        <w:ind w:left="1439"/>
        <w:jc w:val="both"/>
      </w:pPr>
      <w:r>
        <w:rPr>
          <w:rFonts w:ascii="Trebuchet MS"/>
          <w:b/>
          <w:color w:val="231F20"/>
          <w:sz w:val="19"/>
        </w:rPr>
        <w:t>Loop of Henle and Distal </w:t>
      </w:r>
      <w:r>
        <w:rPr>
          <w:rFonts w:ascii="Trebuchet MS"/>
          <w:b/>
          <w:color w:val="231F20"/>
          <w:spacing w:val="-3"/>
          <w:sz w:val="19"/>
        </w:rPr>
        <w:t>Tubule </w:t>
      </w:r>
      <w:r>
        <w:rPr>
          <w:rFonts w:ascii="Trebuchet MS"/>
          <w:b/>
          <w:color w:val="231F20"/>
          <w:sz w:val="19"/>
        </w:rPr>
        <w:t>Calcium </w:t>
      </w:r>
      <w:r>
        <w:rPr>
          <w:rFonts w:ascii="Trebuchet MS"/>
          <w:b/>
          <w:color w:val="231F20"/>
          <w:spacing w:val="-4"/>
          <w:sz w:val="19"/>
        </w:rPr>
        <w:t>Reab- </w:t>
      </w:r>
      <w:r>
        <w:rPr>
          <w:rFonts w:ascii="Trebuchet MS"/>
          <w:b/>
          <w:color w:val="231F20"/>
          <w:sz w:val="19"/>
        </w:rPr>
        <w:t>sorption. </w:t>
      </w:r>
      <w:r>
        <w:rPr>
          <w:color w:val="231F20"/>
        </w:rPr>
        <w:t>In the loop of Henle, calcium reabsorption is restricted to the thick ascending limb. Approximately</w:t>
      </w:r>
      <w:r>
        <w:rPr>
          <w:color w:val="231F20"/>
          <w:spacing w:val="-24"/>
        </w:rPr>
        <w:t> </w:t>
      </w:r>
      <w:r>
        <w:rPr>
          <w:color w:val="231F20"/>
        </w:rPr>
        <w:t>50% of calcium reabsorption in the thick ascending </w:t>
      </w:r>
      <w:r>
        <w:rPr>
          <w:color w:val="231F20"/>
          <w:spacing w:val="-3"/>
        </w:rPr>
        <w:t>limb  </w:t>
      </w:r>
      <w:r>
        <w:rPr>
          <w:color w:val="231F20"/>
        </w:rPr>
        <w:t>occurs through the paracellular route by passive diffusion due to the slight positive charge of the tubular lumen </w:t>
      </w:r>
      <w:r>
        <w:rPr>
          <w:color w:val="231F20"/>
          <w:spacing w:val="-4"/>
        </w:rPr>
        <w:t>rela- </w:t>
      </w:r>
      <w:r>
        <w:rPr>
          <w:color w:val="231F20"/>
        </w:rPr>
        <w:t>tive to the interstitial fluid. The remaining 50% of </w:t>
      </w:r>
      <w:r>
        <w:rPr>
          <w:color w:val="231F20"/>
          <w:spacing w:val="-3"/>
        </w:rPr>
        <w:t>calcium </w:t>
      </w:r>
      <w:r>
        <w:rPr>
          <w:color w:val="231F20"/>
        </w:rPr>
        <w:t>reabsorption</w:t>
      </w:r>
      <w:r>
        <w:rPr>
          <w:color w:val="231F20"/>
          <w:spacing w:val="30"/>
        </w:rPr>
        <w:t> </w:t>
      </w:r>
      <w:r>
        <w:rPr>
          <w:color w:val="231F20"/>
        </w:rPr>
        <w:t>in</w:t>
      </w:r>
      <w:r>
        <w:rPr>
          <w:color w:val="231F20"/>
          <w:spacing w:val="31"/>
        </w:rPr>
        <w:t> </w:t>
      </w:r>
      <w:r>
        <w:rPr>
          <w:color w:val="231F20"/>
        </w:rPr>
        <w:t>the</w:t>
      </w:r>
      <w:r>
        <w:rPr>
          <w:color w:val="231F20"/>
          <w:spacing w:val="31"/>
        </w:rPr>
        <w:t> </w:t>
      </w:r>
      <w:r>
        <w:rPr>
          <w:color w:val="231F20"/>
        </w:rPr>
        <w:t>thick</w:t>
      </w:r>
      <w:r>
        <w:rPr>
          <w:color w:val="231F20"/>
          <w:spacing w:val="30"/>
        </w:rPr>
        <w:t> </w:t>
      </w:r>
      <w:r>
        <w:rPr>
          <w:color w:val="231F20"/>
        </w:rPr>
        <w:t>ascending</w:t>
      </w:r>
      <w:r>
        <w:rPr>
          <w:color w:val="231F20"/>
          <w:spacing w:val="31"/>
        </w:rPr>
        <w:t> </w:t>
      </w:r>
      <w:r>
        <w:rPr>
          <w:color w:val="231F20"/>
        </w:rPr>
        <w:t>limb</w:t>
      </w:r>
      <w:r>
        <w:rPr>
          <w:color w:val="231F20"/>
          <w:spacing w:val="31"/>
        </w:rPr>
        <w:t> </w:t>
      </w:r>
      <w:r>
        <w:rPr>
          <w:color w:val="231F20"/>
        </w:rPr>
        <w:t>occurs</w:t>
      </w:r>
      <w:r>
        <w:rPr>
          <w:color w:val="231F20"/>
          <w:spacing w:val="30"/>
        </w:rPr>
        <w:t> </w:t>
      </w:r>
      <w:r>
        <w:rPr>
          <w:color w:val="231F20"/>
          <w:spacing w:val="-3"/>
        </w:rPr>
        <w:t>through</w:t>
      </w:r>
    </w:p>
    <w:p>
      <w:pPr>
        <w:pStyle w:val="BodyText"/>
        <w:spacing w:line="249" w:lineRule="auto" w:before="100"/>
        <w:ind w:left="319" w:right="1077"/>
        <w:jc w:val="both"/>
      </w:pPr>
      <w:r>
        <w:rPr/>
        <w:br w:type="column"/>
      </w:r>
      <w:r>
        <w:rPr>
          <w:color w:val="231F20"/>
          <w:w w:val="105"/>
        </w:rPr>
        <w:t>the transcellular </w:t>
      </w:r>
      <w:r>
        <w:rPr>
          <w:color w:val="231F20"/>
          <w:spacing w:val="-3"/>
          <w:w w:val="105"/>
        </w:rPr>
        <w:t>pathway, </w:t>
      </w:r>
      <w:r>
        <w:rPr>
          <w:color w:val="231F20"/>
          <w:w w:val="105"/>
        </w:rPr>
        <w:t>a process that is stimulated by</w:t>
      </w:r>
      <w:r>
        <w:rPr>
          <w:color w:val="231F20"/>
          <w:spacing w:val="3"/>
          <w:w w:val="105"/>
        </w:rPr>
        <w:t> </w:t>
      </w:r>
      <w:r>
        <w:rPr>
          <w:color w:val="231F20"/>
          <w:w w:val="105"/>
        </w:rPr>
        <w:t>PTH.</w:t>
      </w:r>
    </w:p>
    <w:p>
      <w:pPr>
        <w:pStyle w:val="BodyText"/>
        <w:spacing w:line="249" w:lineRule="auto" w:before="1"/>
        <w:ind w:left="319" w:right="1077" w:firstLine="240"/>
        <w:jc w:val="both"/>
      </w:pPr>
      <w:r>
        <w:rPr/>
        <w:pict>
          <v:rect style="position:absolute;margin-left:576pt;margin-top:116.035965pt;width:36pt;height:24pt;mso-position-horizontal-relative:page;mso-position-vertical-relative:paragraph;z-index:252628992" filled="true" fillcolor="#e8dac8" stroked="false">
            <v:fill type="solid"/>
            <w10:wrap type="none"/>
          </v:rect>
        </w:pict>
      </w:r>
      <w:r>
        <w:rPr/>
        <w:pict>
          <v:shape style="position:absolute;margin-left:578.900024pt;margin-top:39.69326pt;width:15.9pt;height:53.35pt;mso-position-horizontal-relative:page;mso-position-vertical-relative:paragraph;z-index:25263104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In the distal tubule, calcium reabsorption </w:t>
      </w:r>
      <w:r>
        <w:rPr>
          <w:color w:val="231F20"/>
          <w:spacing w:val="-4"/>
          <w:w w:val="105"/>
        </w:rPr>
        <w:t>occurs </w:t>
      </w:r>
      <w:r>
        <w:rPr>
          <w:color w:val="231F20"/>
          <w:w w:val="105"/>
        </w:rPr>
        <w:t>almost</w:t>
      </w:r>
      <w:r>
        <w:rPr>
          <w:color w:val="231F20"/>
          <w:spacing w:val="-14"/>
          <w:w w:val="105"/>
        </w:rPr>
        <w:t> </w:t>
      </w:r>
      <w:r>
        <w:rPr>
          <w:color w:val="231F20"/>
          <w:w w:val="105"/>
        </w:rPr>
        <w:t>entirely</w:t>
      </w:r>
      <w:r>
        <w:rPr>
          <w:color w:val="231F20"/>
          <w:spacing w:val="-14"/>
          <w:w w:val="105"/>
        </w:rPr>
        <w:t> </w:t>
      </w:r>
      <w:r>
        <w:rPr>
          <w:color w:val="231F20"/>
          <w:w w:val="105"/>
        </w:rPr>
        <w:t>by</w:t>
      </w:r>
      <w:r>
        <w:rPr>
          <w:color w:val="231F20"/>
          <w:spacing w:val="-14"/>
          <w:w w:val="105"/>
        </w:rPr>
        <w:t> </w:t>
      </w:r>
      <w:r>
        <w:rPr>
          <w:color w:val="231F20"/>
          <w:w w:val="105"/>
        </w:rPr>
        <w:t>active</w:t>
      </w:r>
      <w:r>
        <w:rPr>
          <w:color w:val="231F20"/>
          <w:spacing w:val="-13"/>
          <w:w w:val="105"/>
        </w:rPr>
        <w:t> </w:t>
      </w:r>
      <w:r>
        <w:rPr>
          <w:color w:val="231F20"/>
          <w:w w:val="105"/>
        </w:rPr>
        <w:t>transport</w:t>
      </w:r>
      <w:r>
        <w:rPr>
          <w:color w:val="231F20"/>
          <w:spacing w:val="-14"/>
          <w:w w:val="105"/>
        </w:rPr>
        <w:t> </w:t>
      </w:r>
      <w:r>
        <w:rPr>
          <w:color w:val="231F20"/>
          <w:w w:val="105"/>
        </w:rPr>
        <w:t>through</w:t>
      </w:r>
      <w:r>
        <w:rPr>
          <w:color w:val="231F20"/>
          <w:spacing w:val="-14"/>
          <w:w w:val="105"/>
        </w:rPr>
        <w:t> </w:t>
      </w:r>
      <w:r>
        <w:rPr>
          <w:color w:val="231F20"/>
          <w:w w:val="105"/>
        </w:rPr>
        <w:t>the</w:t>
      </w:r>
      <w:r>
        <w:rPr>
          <w:color w:val="231F20"/>
          <w:spacing w:val="-13"/>
          <w:w w:val="105"/>
        </w:rPr>
        <w:t> </w:t>
      </w:r>
      <w:r>
        <w:rPr>
          <w:color w:val="231F20"/>
          <w:w w:val="105"/>
        </w:rPr>
        <w:t>cell</w:t>
      </w:r>
      <w:r>
        <w:rPr>
          <w:color w:val="231F20"/>
          <w:spacing w:val="-14"/>
          <w:w w:val="105"/>
        </w:rPr>
        <w:t> </w:t>
      </w:r>
      <w:r>
        <w:rPr>
          <w:color w:val="231F20"/>
          <w:w w:val="105"/>
        </w:rPr>
        <w:t>mem- brane.</w:t>
      </w:r>
      <w:r>
        <w:rPr>
          <w:color w:val="231F20"/>
          <w:spacing w:val="-10"/>
          <w:w w:val="105"/>
        </w:rPr>
        <w:t> </w:t>
      </w:r>
      <w:r>
        <w:rPr>
          <w:color w:val="231F20"/>
          <w:w w:val="105"/>
        </w:rPr>
        <w:t>The</w:t>
      </w:r>
      <w:r>
        <w:rPr>
          <w:color w:val="231F20"/>
          <w:spacing w:val="-9"/>
          <w:w w:val="105"/>
        </w:rPr>
        <w:t> </w:t>
      </w:r>
      <w:r>
        <w:rPr>
          <w:color w:val="231F20"/>
          <w:w w:val="105"/>
        </w:rPr>
        <w:t>mechanism</w:t>
      </w:r>
      <w:r>
        <w:rPr>
          <w:color w:val="231F20"/>
          <w:spacing w:val="-9"/>
          <w:w w:val="105"/>
        </w:rPr>
        <w:t> </w:t>
      </w:r>
      <w:r>
        <w:rPr>
          <w:color w:val="231F20"/>
          <w:w w:val="105"/>
        </w:rPr>
        <w:t>for</w:t>
      </w:r>
      <w:r>
        <w:rPr>
          <w:color w:val="231F20"/>
          <w:spacing w:val="-9"/>
          <w:w w:val="105"/>
        </w:rPr>
        <w:t> </w:t>
      </w:r>
      <w:r>
        <w:rPr>
          <w:color w:val="231F20"/>
          <w:w w:val="105"/>
        </w:rPr>
        <w:t>this</w:t>
      </w:r>
      <w:r>
        <w:rPr>
          <w:color w:val="231F20"/>
          <w:spacing w:val="-10"/>
          <w:w w:val="105"/>
        </w:rPr>
        <w:t> </w:t>
      </w:r>
      <w:r>
        <w:rPr>
          <w:color w:val="231F20"/>
          <w:w w:val="105"/>
        </w:rPr>
        <w:t>active</w:t>
      </w:r>
      <w:r>
        <w:rPr>
          <w:color w:val="231F20"/>
          <w:spacing w:val="-9"/>
          <w:w w:val="105"/>
        </w:rPr>
        <w:t> </w:t>
      </w:r>
      <w:r>
        <w:rPr>
          <w:color w:val="231F20"/>
          <w:w w:val="105"/>
        </w:rPr>
        <w:t>transport</w:t>
      </w:r>
      <w:r>
        <w:rPr>
          <w:color w:val="231F20"/>
          <w:spacing w:val="-9"/>
          <w:w w:val="105"/>
        </w:rPr>
        <w:t> </w:t>
      </w:r>
      <w:r>
        <w:rPr>
          <w:color w:val="231F20"/>
          <w:w w:val="105"/>
        </w:rPr>
        <w:t>is</w:t>
      </w:r>
      <w:r>
        <w:rPr>
          <w:color w:val="231F20"/>
          <w:spacing w:val="-9"/>
          <w:w w:val="105"/>
        </w:rPr>
        <w:t> </w:t>
      </w:r>
      <w:r>
        <w:rPr>
          <w:color w:val="231F20"/>
          <w:w w:val="105"/>
        </w:rPr>
        <w:t>similar to that in the proximal tubule and thick ascending limb and involves diffusion across the luminal membrane through</w:t>
      </w:r>
      <w:r>
        <w:rPr>
          <w:color w:val="231F20"/>
          <w:spacing w:val="-8"/>
          <w:w w:val="105"/>
        </w:rPr>
        <w:t> </w:t>
      </w:r>
      <w:r>
        <w:rPr>
          <w:color w:val="231F20"/>
          <w:w w:val="105"/>
        </w:rPr>
        <w:t>calcium</w:t>
      </w:r>
      <w:r>
        <w:rPr>
          <w:color w:val="231F20"/>
          <w:spacing w:val="-8"/>
          <w:w w:val="105"/>
        </w:rPr>
        <w:t> </w:t>
      </w:r>
      <w:r>
        <w:rPr>
          <w:color w:val="231F20"/>
          <w:w w:val="105"/>
        </w:rPr>
        <w:t>channels</w:t>
      </w:r>
      <w:r>
        <w:rPr>
          <w:color w:val="231F20"/>
          <w:spacing w:val="-8"/>
          <w:w w:val="105"/>
        </w:rPr>
        <w:t> </w:t>
      </w:r>
      <w:r>
        <w:rPr>
          <w:color w:val="231F20"/>
          <w:w w:val="105"/>
        </w:rPr>
        <w:t>and</w:t>
      </w:r>
      <w:r>
        <w:rPr>
          <w:color w:val="231F20"/>
          <w:spacing w:val="-8"/>
          <w:w w:val="105"/>
        </w:rPr>
        <w:t> </w:t>
      </w:r>
      <w:r>
        <w:rPr>
          <w:color w:val="231F20"/>
          <w:w w:val="105"/>
        </w:rPr>
        <w:t>exit</w:t>
      </w:r>
      <w:r>
        <w:rPr>
          <w:color w:val="231F20"/>
          <w:spacing w:val="-8"/>
          <w:w w:val="105"/>
        </w:rPr>
        <w:t> </w:t>
      </w:r>
      <w:r>
        <w:rPr>
          <w:color w:val="231F20"/>
          <w:w w:val="105"/>
        </w:rPr>
        <w:t>across</w:t>
      </w:r>
      <w:r>
        <w:rPr>
          <w:color w:val="231F20"/>
          <w:spacing w:val="-8"/>
          <w:w w:val="105"/>
        </w:rPr>
        <w:t> </w:t>
      </w:r>
      <w:r>
        <w:rPr>
          <w:color w:val="231F20"/>
          <w:w w:val="105"/>
        </w:rPr>
        <w:t>the</w:t>
      </w:r>
      <w:r>
        <w:rPr>
          <w:color w:val="231F20"/>
          <w:spacing w:val="-8"/>
          <w:w w:val="105"/>
        </w:rPr>
        <w:t> </w:t>
      </w:r>
      <w:r>
        <w:rPr>
          <w:color w:val="231F20"/>
          <w:w w:val="105"/>
        </w:rPr>
        <w:t>basolateral membrane by a calcium-ATPase pump, as well as </w:t>
      </w:r>
      <w:r>
        <w:rPr>
          <w:color w:val="231F20"/>
          <w:spacing w:val="-15"/>
          <w:w w:val="105"/>
        </w:rPr>
        <w:t>a </w:t>
      </w:r>
      <w:r>
        <w:rPr>
          <w:color w:val="231F20"/>
          <w:w w:val="105"/>
        </w:rPr>
        <w:t>sodium-calcium counter-transport mechanism. In </w:t>
      </w:r>
      <w:r>
        <w:rPr>
          <w:color w:val="231F20"/>
          <w:spacing w:val="-4"/>
          <w:w w:val="105"/>
        </w:rPr>
        <w:t>this </w:t>
      </w:r>
      <w:r>
        <w:rPr>
          <w:color w:val="231F20"/>
          <w:w w:val="105"/>
        </w:rPr>
        <w:t>segment,</w:t>
      </w:r>
      <w:r>
        <w:rPr>
          <w:color w:val="231F20"/>
          <w:spacing w:val="-17"/>
          <w:w w:val="105"/>
        </w:rPr>
        <w:t> </w:t>
      </w:r>
      <w:r>
        <w:rPr>
          <w:color w:val="231F20"/>
          <w:w w:val="105"/>
        </w:rPr>
        <w:t>as</w:t>
      </w:r>
      <w:r>
        <w:rPr>
          <w:color w:val="231F20"/>
          <w:spacing w:val="-17"/>
          <w:w w:val="105"/>
        </w:rPr>
        <w:t> </w:t>
      </w:r>
      <w:r>
        <w:rPr>
          <w:color w:val="231F20"/>
          <w:w w:val="105"/>
        </w:rPr>
        <w:t>well</w:t>
      </w:r>
      <w:r>
        <w:rPr>
          <w:color w:val="231F20"/>
          <w:spacing w:val="-16"/>
          <w:w w:val="105"/>
        </w:rPr>
        <w:t> </w:t>
      </w:r>
      <w:r>
        <w:rPr>
          <w:color w:val="231F20"/>
          <w:w w:val="105"/>
        </w:rPr>
        <w:t>as</w:t>
      </w:r>
      <w:r>
        <w:rPr>
          <w:color w:val="231F20"/>
          <w:spacing w:val="-17"/>
          <w:w w:val="105"/>
        </w:rPr>
        <w:t> </w:t>
      </w:r>
      <w:r>
        <w:rPr>
          <w:color w:val="231F20"/>
          <w:w w:val="105"/>
        </w:rPr>
        <w:t>in</w:t>
      </w:r>
      <w:r>
        <w:rPr>
          <w:color w:val="231F20"/>
          <w:spacing w:val="-16"/>
          <w:w w:val="105"/>
        </w:rPr>
        <w:t> </w:t>
      </w:r>
      <w:r>
        <w:rPr>
          <w:color w:val="231F20"/>
          <w:w w:val="105"/>
        </w:rPr>
        <w:t>the</w:t>
      </w:r>
      <w:r>
        <w:rPr>
          <w:color w:val="231F20"/>
          <w:spacing w:val="-17"/>
          <w:w w:val="105"/>
        </w:rPr>
        <w:t> </w:t>
      </w:r>
      <w:r>
        <w:rPr>
          <w:color w:val="231F20"/>
          <w:w w:val="105"/>
        </w:rPr>
        <w:t>loops</w:t>
      </w:r>
      <w:r>
        <w:rPr>
          <w:color w:val="231F20"/>
          <w:spacing w:val="-17"/>
          <w:w w:val="105"/>
        </w:rPr>
        <w:t> </w:t>
      </w:r>
      <w:r>
        <w:rPr>
          <w:color w:val="231F20"/>
          <w:w w:val="105"/>
        </w:rPr>
        <w:t>of</w:t>
      </w:r>
      <w:r>
        <w:rPr>
          <w:color w:val="231F20"/>
          <w:spacing w:val="-16"/>
          <w:w w:val="105"/>
        </w:rPr>
        <w:t> </w:t>
      </w:r>
      <w:r>
        <w:rPr>
          <w:color w:val="231F20"/>
          <w:w w:val="105"/>
        </w:rPr>
        <w:t>Henle,</w:t>
      </w:r>
      <w:r>
        <w:rPr>
          <w:color w:val="231F20"/>
          <w:spacing w:val="-17"/>
          <w:w w:val="105"/>
        </w:rPr>
        <w:t> </w:t>
      </w:r>
      <w:r>
        <w:rPr>
          <w:color w:val="231F20"/>
          <w:w w:val="105"/>
        </w:rPr>
        <w:t>PTH</w:t>
      </w:r>
      <w:r>
        <w:rPr>
          <w:color w:val="231F20"/>
          <w:spacing w:val="-16"/>
          <w:w w:val="105"/>
        </w:rPr>
        <w:t> </w:t>
      </w:r>
      <w:r>
        <w:rPr>
          <w:color w:val="231F20"/>
          <w:w w:val="105"/>
        </w:rPr>
        <w:t>stimulates calcium</w:t>
      </w:r>
      <w:r>
        <w:rPr>
          <w:color w:val="231F20"/>
          <w:spacing w:val="-12"/>
          <w:w w:val="105"/>
        </w:rPr>
        <w:t> </w:t>
      </w:r>
      <w:r>
        <w:rPr>
          <w:color w:val="231F20"/>
          <w:w w:val="105"/>
        </w:rPr>
        <w:t>reabsorption.</w:t>
      </w:r>
      <w:r>
        <w:rPr>
          <w:color w:val="231F20"/>
          <w:spacing w:val="-11"/>
          <w:w w:val="105"/>
        </w:rPr>
        <w:t> </w:t>
      </w:r>
      <w:r>
        <w:rPr>
          <w:color w:val="231F20"/>
          <w:w w:val="105"/>
        </w:rPr>
        <w:t>Vitamin</w:t>
      </w:r>
      <w:r>
        <w:rPr>
          <w:color w:val="231F20"/>
          <w:spacing w:val="-11"/>
          <w:w w:val="105"/>
        </w:rPr>
        <w:t> </w:t>
      </w:r>
      <w:r>
        <w:rPr>
          <w:color w:val="231F20"/>
          <w:w w:val="105"/>
        </w:rPr>
        <w:t>D</w:t>
      </w:r>
      <w:r>
        <w:rPr>
          <w:color w:val="231F20"/>
          <w:spacing w:val="-11"/>
          <w:w w:val="105"/>
        </w:rPr>
        <w:t> </w:t>
      </w:r>
      <w:r>
        <w:rPr>
          <w:color w:val="231F20"/>
          <w:w w:val="105"/>
        </w:rPr>
        <w:t>(calcitriol)</w:t>
      </w:r>
      <w:r>
        <w:rPr>
          <w:color w:val="231F20"/>
          <w:spacing w:val="-11"/>
          <w:w w:val="105"/>
        </w:rPr>
        <w:t> </w:t>
      </w:r>
      <w:r>
        <w:rPr>
          <w:color w:val="231F20"/>
          <w:w w:val="105"/>
        </w:rPr>
        <w:t>and</w:t>
      </w:r>
      <w:r>
        <w:rPr>
          <w:color w:val="231F20"/>
          <w:spacing w:val="-11"/>
          <w:w w:val="105"/>
        </w:rPr>
        <w:t> </w:t>
      </w:r>
      <w:r>
        <w:rPr>
          <w:color w:val="231F20"/>
          <w:w w:val="105"/>
        </w:rPr>
        <w:t>calcito- nin also stimulate calcium reabsorption in the thick ascending limb of </w:t>
      </w:r>
      <w:r>
        <w:rPr>
          <w:color w:val="231F20"/>
          <w:spacing w:val="-3"/>
          <w:w w:val="105"/>
        </w:rPr>
        <w:t>Henle’s </w:t>
      </w:r>
      <w:r>
        <w:rPr>
          <w:color w:val="231F20"/>
          <w:w w:val="105"/>
        </w:rPr>
        <w:t>loop and in the distal </w:t>
      </w:r>
      <w:r>
        <w:rPr>
          <w:color w:val="231F20"/>
          <w:spacing w:val="-3"/>
          <w:w w:val="105"/>
        </w:rPr>
        <w:t>tubule, </w:t>
      </w:r>
      <w:r>
        <w:rPr>
          <w:color w:val="231F20"/>
          <w:w w:val="105"/>
        </w:rPr>
        <w:t>although these hormones are not as important </w:t>
      </w:r>
      <w:r>
        <w:rPr>
          <w:color w:val="231F20"/>
          <w:spacing w:val="-3"/>
          <w:w w:val="105"/>
        </w:rPr>
        <w:t>quantita- </w:t>
      </w:r>
      <w:r>
        <w:rPr>
          <w:color w:val="231F20"/>
          <w:w w:val="105"/>
        </w:rPr>
        <w:t>tively as PTH in reducing renal calcium</w:t>
      </w:r>
      <w:r>
        <w:rPr>
          <w:color w:val="231F20"/>
          <w:spacing w:val="-23"/>
          <w:w w:val="105"/>
        </w:rPr>
        <w:t> </w:t>
      </w:r>
      <w:r>
        <w:rPr>
          <w:color w:val="231F20"/>
          <w:w w:val="105"/>
        </w:rPr>
        <w:t>excretion.</w:t>
      </w:r>
    </w:p>
    <w:p>
      <w:pPr>
        <w:pStyle w:val="BodyText"/>
        <w:spacing w:before="7"/>
        <w:rPr>
          <w:sz w:val="22"/>
        </w:rPr>
      </w:pPr>
    </w:p>
    <w:p>
      <w:pPr>
        <w:pStyle w:val="BodyText"/>
        <w:spacing w:line="249" w:lineRule="auto"/>
        <w:ind w:left="319" w:right="1077"/>
        <w:jc w:val="both"/>
      </w:pPr>
      <w:r>
        <w:rPr>
          <w:rFonts w:ascii="Trebuchet MS"/>
          <w:b/>
          <w:color w:val="231F20"/>
          <w:sz w:val="19"/>
        </w:rPr>
        <w:t>Factors That Regulate </w:t>
      </w:r>
      <w:r>
        <w:rPr>
          <w:rFonts w:ascii="Trebuchet MS"/>
          <w:b/>
          <w:color w:val="231F20"/>
          <w:spacing w:val="-3"/>
          <w:sz w:val="19"/>
        </w:rPr>
        <w:t>Tubular </w:t>
      </w:r>
      <w:r>
        <w:rPr>
          <w:rFonts w:ascii="Trebuchet MS"/>
          <w:b/>
          <w:color w:val="231F20"/>
          <w:sz w:val="19"/>
        </w:rPr>
        <w:t>Calcium Reabsorp- tion. </w:t>
      </w:r>
      <w:r>
        <w:rPr>
          <w:color w:val="231F20"/>
        </w:rPr>
        <w:t>One of the primary controllers of renal tubular calcium reabsorption is PTH. Increased levels of PTH stimulate calcium reabsorption in the thick ascending loops of Henle and distal tubules, which reduces urinary excretion of calcium. Conversely, reduction of PTH pro- motes calcium excretion by decreasing reabsorption  in the loops of Henle and distal</w:t>
      </w:r>
      <w:r>
        <w:rPr>
          <w:color w:val="231F20"/>
          <w:spacing w:val="48"/>
        </w:rPr>
        <w:t> </w:t>
      </w:r>
      <w:r>
        <w:rPr>
          <w:color w:val="231F20"/>
        </w:rPr>
        <w:t>tubules.</w:t>
      </w:r>
    </w:p>
    <w:p>
      <w:pPr>
        <w:pStyle w:val="BodyText"/>
        <w:spacing w:line="249" w:lineRule="auto" w:before="8"/>
        <w:ind w:left="319" w:right="1077" w:firstLine="240"/>
        <w:jc w:val="both"/>
      </w:pPr>
      <w:r>
        <w:rPr>
          <w:color w:val="231F20"/>
          <w:w w:val="105"/>
        </w:rPr>
        <w:t>In the proximal tubule, calcium reabsorption usually parallels sodium and water reabsorption and is</w:t>
      </w:r>
      <w:r>
        <w:rPr>
          <w:color w:val="231F20"/>
          <w:spacing w:val="-20"/>
          <w:w w:val="105"/>
        </w:rPr>
        <w:t> </w:t>
      </w:r>
      <w:r>
        <w:rPr>
          <w:color w:val="231F20"/>
          <w:w w:val="105"/>
        </w:rPr>
        <w:t>indepen- dent of PTH. Therefore, in instances of extracellular volume expansion or increased arterial pressure—  both of which decrease proximal sodium and water reabsorption—there is also reduction in calcium </w:t>
      </w:r>
      <w:r>
        <w:rPr>
          <w:color w:val="231F20"/>
          <w:spacing w:val="-3"/>
          <w:w w:val="105"/>
        </w:rPr>
        <w:t>reab- </w:t>
      </w:r>
      <w:r>
        <w:rPr>
          <w:color w:val="231F20"/>
          <w:w w:val="105"/>
        </w:rPr>
        <w:t>sorption and, consequently, increased urinary excretion of calcium. Conversely, with extracellular volume con- traction or decreased blood pressure, calcium excretion decreases</w:t>
      </w:r>
      <w:r>
        <w:rPr>
          <w:color w:val="231F20"/>
          <w:spacing w:val="-36"/>
          <w:w w:val="105"/>
        </w:rPr>
        <w:t> </w:t>
      </w:r>
      <w:r>
        <w:rPr>
          <w:color w:val="231F20"/>
          <w:w w:val="105"/>
        </w:rPr>
        <w:t>primarily</w:t>
      </w:r>
      <w:r>
        <w:rPr>
          <w:color w:val="231F20"/>
          <w:spacing w:val="-35"/>
          <w:w w:val="105"/>
        </w:rPr>
        <w:t> </w:t>
      </w:r>
      <w:r>
        <w:rPr>
          <w:color w:val="231F20"/>
          <w:w w:val="105"/>
        </w:rPr>
        <w:t>because</w:t>
      </w:r>
      <w:r>
        <w:rPr>
          <w:color w:val="231F20"/>
          <w:spacing w:val="-35"/>
          <w:w w:val="105"/>
        </w:rPr>
        <w:t> </w:t>
      </w:r>
      <w:r>
        <w:rPr>
          <w:color w:val="231F20"/>
          <w:w w:val="105"/>
        </w:rPr>
        <w:t>of</w:t>
      </w:r>
      <w:r>
        <w:rPr>
          <w:color w:val="231F20"/>
          <w:spacing w:val="-36"/>
          <w:w w:val="105"/>
        </w:rPr>
        <w:t> </w:t>
      </w:r>
      <w:r>
        <w:rPr>
          <w:color w:val="231F20"/>
          <w:w w:val="105"/>
        </w:rPr>
        <w:t>increased</w:t>
      </w:r>
      <w:r>
        <w:rPr>
          <w:color w:val="231F20"/>
          <w:spacing w:val="-35"/>
          <w:w w:val="105"/>
        </w:rPr>
        <w:t> </w:t>
      </w:r>
      <w:r>
        <w:rPr>
          <w:color w:val="231F20"/>
          <w:w w:val="105"/>
        </w:rPr>
        <w:t>proximal</w:t>
      </w:r>
      <w:r>
        <w:rPr>
          <w:color w:val="231F20"/>
          <w:spacing w:val="-35"/>
          <w:w w:val="105"/>
        </w:rPr>
        <w:t> </w:t>
      </w:r>
      <w:r>
        <w:rPr>
          <w:color w:val="231F20"/>
          <w:w w:val="105"/>
        </w:rPr>
        <w:t>tubular reabsorption.</w:t>
      </w:r>
    </w:p>
    <w:p>
      <w:pPr>
        <w:pStyle w:val="BodyText"/>
        <w:spacing w:line="249" w:lineRule="auto" w:before="9"/>
        <w:ind w:left="319" w:right="1077" w:firstLine="240"/>
        <w:jc w:val="both"/>
      </w:pPr>
      <w:r>
        <w:rPr>
          <w:color w:val="231F20"/>
          <w:w w:val="105"/>
        </w:rPr>
        <w:t>Another</w:t>
      </w:r>
      <w:r>
        <w:rPr>
          <w:color w:val="231F20"/>
          <w:spacing w:val="-15"/>
          <w:w w:val="105"/>
        </w:rPr>
        <w:t> </w:t>
      </w:r>
      <w:r>
        <w:rPr>
          <w:color w:val="231F20"/>
          <w:w w:val="105"/>
        </w:rPr>
        <w:t>factor</w:t>
      </w:r>
      <w:r>
        <w:rPr>
          <w:color w:val="231F20"/>
          <w:spacing w:val="-15"/>
          <w:w w:val="105"/>
        </w:rPr>
        <w:t> </w:t>
      </w:r>
      <w:r>
        <w:rPr>
          <w:color w:val="231F20"/>
          <w:w w:val="105"/>
        </w:rPr>
        <w:t>that</w:t>
      </w:r>
      <w:r>
        <w:rPr>
          <w:color w:val="231F20"/>
          <w:spacing w:val="-15"/>
          <w:w w:val="105"/>
        </w:rPr>
        <w:t> </w:t>
      </w:r>
      <w:r>
        <w:rPr>
          <w:color w:val="231F20"/>
          <w:w w:val="105"/>
        </w:rPr>
        <w:t>influences</w:t>
      </w:r>
      <w:r>
        <w:rPr>
          <w:color w:val="231F20"/>
          <w:spacing w:val="-15"/>
          <w:w w:val="105"/>
        </w:rPr>
        <w:t> </w:t>
      </w:r>
      <w:r>
        <w:rPr>
          <w:color w:val="231F20"/>
          <w:w w:val="105"/>
        </w:rPr>
        <w:t>calcium</w:t>
      </w:r>
      <w:r>
        <w:rPr>
          <w:color w:val="231F20"/>
          <w:spacing w:val="-15"/>
          <w:w w:val="105"/>
        </w:rPr>
        <w:t> </w:t>
      </w:r>
      <w:r>
        <w:rPr>
          <w:color w:val="231F20"/>
          <w:w w:val="105"/>
        </w:rPr>
        <w:t>reabsorption</w:t>
      </w:r>
      <w:r>
        <w:rPr>
          <w:color w:val="231F20"/>
          <w:spacing w:val="-15"/>
          <w:w w:val="105"/>
        </w:rPr>
        <w:t> </w:t>
      </w:r>
      <w:r>
        <w:rPr>
          <w:color w:val="231F20"/>
          <w:w w:val="105"/>
        </w:rPr>
        <w:t>is the</w:t>
      </w:r>
      <w:r>
        <w:rPr>
          <w:color w:val="231F20"/>
          <w:spacing w:val="-19"/>
          <w:w w:val="105"/>
        </w:rPr>
        <w:t> </w:t>
      </w:r>
      <w:r>
        <w:rPr>
          <w:color w:val="231F20"/>
          <w:w w:val="105"/>
        </w:rPr>
        <w:t>plasma</w:t>
      </w:r>
      <w:r>
        <w:rPr>
          <w:color w:val="231F20"/>
          <w:spacing w:val="-19"/>
          <w:w w:val="105"/>
        </w:rPr>
        <w:t> </w:t>
      </w:r>
      <w:r>
        <w:rPr>
          <w:color w:val="231F20"/>
          <w:w w:val="105"/>
        </w:rPr>
        <w:t>concentration</w:t>
      </w:r>
      <w:r>
        <w:rPr>
          <w:color w:val="231F20"/>
          <w:spacing w:val="-19"/>
          <w:w w:val="105"/>
        </w:rPr>
        <w:t> </w:t>
      </w:r>
      <w:r>
        <w:rPr>
          <w:color w:val="231F20"/>
          <w:w w:val="105"/>
        </w:rPr>
        <w:t>of</w:t>
      </w:r>
      <w:r>
        <w:rPr>
          <w:color w:val="231F20"/>
          <w:spacing w:val="-18"/>
          <w:w w:val="105"/>
        </w:rPr>
        <w:t> </w:t>
      </w:r>
      <w:r>
        <w:rPr>
          <w:color w:val="231F20"/>
          <w:w w:val="105"/>
        </w:rPr>
        <w:t>phosphate.</w:t>
      </w:r>
      <w:r>
        <w:rPr>
          <w:color w:val="231F20"/>
          <w:spacing w:val="-19"/>
          <w:w w:val="105"/>
        </w:rPr>
        <w:t> </w:t>
      </w:r>
      <w:r>
        <w:rPr>
          <w:color w:val="231F20"/>
          <w:w w:val="105"/>
        </w:rPr>
        <w:t>Increased</w:t>
      </w:r>
      <w:r>
        <w:rPr>
          <w:color w:val="231F20"/>
          <w:spacing w:val="-19"/>
          <w:w w:val="105"/>
        </w:rPr>
        <w:t> </w:t>
      </w:r>
      <w:r>
        <w:rPr>
          <w:color w:val="231F20"/>
          <w:w w:val="105"/>
        </w:rPr>
        <w:t>plasma</w:t>
      </w:r>
    </w:p>
    <w:p>
      <w:pPr>
        <w:spacing w:after="0" w:line="249" w:lineRule="auto"/>
        <w:jc w:val="both"/>
        <w:sectPr>
          <w:type w:val="continuous"/>
          <w:pgSz w:w="12240" w:h="15660"/>
          <w:pgMar w:top="0" w:bottom="760" w:left="0" w:right="0"/>
          <w:cols w:num="2" w:equalWidth="0">
            <w:col w:w="6121" w:space="40"/>
            <w:col w:w="6079"/>
          </w:cols>
        </w:sectPr>
      </w:pPr>
    </w:p>
    <w:p>
      <w:pPr>
        <w:spacing w:line="235" w:lineRule="auto" w:before="146"/>
        <w:ind w:left="1655" w:right="0" w:hanging="1"/>
        <w:jc w:val="center"/>
        <w:rPr>
          <w:rFonts w:ascii="Helvetica"/>
          <w:sz w:val="16"/>
        </w:rPr>
      </w:pPr>
      <w:r>
        <w:rPr/>
        <w:pict>
          <v:group style="position:absolute;margin-left:111.529198pt;margin-top:7.608922pt;width:157.9pt;height:195.85pt;mso-position-horizontal-relative:page;mso-position-vertical-relative:paragraph;z-index:-272775168" coordorigin="2231,152" coordsize="3158,3917">
            <v:shape style="position:absolute;left:2628;top:178;width:2324;height:584" coordorigin="2629,178" coordsize="2324,584" path="m4952,178l2629,180,2629,418,2641,479,2675,529,2725,562,2786,575,4035,575,4064,576,4135,583,4229,603,4325,641,4385,672,4461,706,4544,735,4627,756,4705,762,4776,752,4841,726,4895,682,4933,614,4952,520,4952,178xe" filled="true" fillcolor="#feede3" stroked="false">
              <v:path arrowok="t"/>
              <v:fill type="solid"/>
            </v:shape>
            <v:shape style="position:absolute;left:2628;top:178;width:2324;height:584" coordorigin="2629,178" coordsize="2324,584" path="m4952,520l4933,614,4895,682,4841,726,4776,752,4705,762,4627,756,4544,735,4461,706,4385,672,4325,641,4229,603,4135,583,4064,576,4035,575,2786,575,2725,562,2675,529,2641,479,2629,418,2629,180,4952,178,4952,520xe" filled="false" stroked="true" strokeweight=".75pt" strokecolor="#e2874a">
              <v:path arrowok="t"/>
              <v:stroke dashstyle="solid"/>
            </v:shape>
            <v:line style="position:absolute" from="2565,182" to="5045,182" stroked="true" strokeweight="3pt" strokecolor="#ffffff">
              <v:stroke dashstyle="solid"/>
            </v:line>
            <v:shape style="position:absolute;left:2628;top:3457;width:2324;height:584" coordorigin="2629,3458" coordsize="2324,584" path="m4705,3458l4627,3464,4544,3484,4461,3514,4385,3547,4325,3579,4229,3617,4135,3637,4064,3644,4035,3645,2786,3645,2725,3657,2675,3691,2641,3741,2629,3802,2629,4039,4952,4042,4952,3699,4933,3605,4895,3538,4841,3493,4776,3468,4705,3458xe" filled="true" fillcolor="#feede3" stroked="false">
              <v:path arrowok="t"/>
              <v:fill type="solid"/>
            </v:shape>
            <v:shape style="position:absolute;left:2628;top:3457;width:2324;height:584" coordorigin="2629,3458" coordsize="2324,584" path="m4952,3699l4933,3605,4895,3538,4841,3493,4776,3468,4705,3458,4627,3464,4544,3484,4461,3514,4385,3547,4325,3579,4229,3617,4135,3637,4064,3644,4035,3645,2786,3645,2725,3657,2675,3691,2641,3741,2629,3802,2629,4039,4952,4042,4952,3699xe" filled="false" stroked="true" strokeweight=".75pt" strokecolor="#e2874a">
              <v:path arrowok="t"/>
              <v:stroke dashstyle="solid"/>
            </v:shape>
            <v:line style="position:absolute" from="2565,4038" to="5045,4038" stroked="true" strokeweight="3pt" strokecolor="#ffffff">
              <v:stroke dashstyle="solid"/>
            </v:line>
            <v:shape style="position:absolute;left:2628;top:919;width:2324;height:2372" coordorigin="2629,920" coordsize="2324,2372" path="m4705,920l4627,925,4544,946,4461,976,4385,1009,4325,1040,4252,1079,4198,1098,4135,1106,4035,1107,2786,1107,2725,1119,2675,1153,2641,1202,2629,1263,2629,2947,2641,3008,2675,3058,2725,3091,2786,3104,4035,3104,4064,3105,4135,3112,4229,3132,4325,3170,4385,3201,4461,3235,4544,3265,4627,3285,4705,3291,4776,3281,4841,3256,4895,3211,4933,3144,4952,3050,4952,1161,4933,1067,4895,1000,4841,955,4776,930,4705,920xe" filled="true" fillcolor="#feede3" stroked="false">
              <v:path arrowok="t"/>
              <v:fill type="solid"/>
            </v:shape>
            <v:shape style="position:absolute;left:2628;top:919;width:2324;height:2372" coordorigin="2629,920" coordsize="2324,2372" path="m4952,3050l4933,3144,4895,3211,4841,3256,4776,3281,4705,3291,4627,3285,4544,3265,4461,3235,4385,3201,4325,3170,4229,3132,4135,3112,4064,3105,4035,3104,2786,3104,2725,3091,2675,3058,2641,3008,2629,2947,2629,1263,2641,1202,2675,1153,2725,1119,2786,1107,4035,1107,4135,1106,4198,1098,4252,1079,4325,1040,4385,1009,4461,976,4544,946,4627,925,4705,920,4776,930,4841,955,4895,1000,4933,1067,4952,1161,4952,3050xe" filled="false" stroked="true" strokeweight=".75pt" strokecolor="#e2874a">
              <v:path arrowok="t"/>
              <v:stroke dashstyle="solid"/>
            </v:shape>
            <v:shape style="position:absolute;left:4875;top:1532;width:218;height:150" coordorigin="4875,1532" coordsize="218,150" path="m5055,1532l4875,1532,4875,1682,5055,1682,5070,1676,5082,1660,5090,1637,5093,1607,5090,1578,5082,1554,5070,1538,5055,1532xe" filled="true" fillcolor="#95aac4" stroked="false">
              <v:path arrowok="t"/>
              <v:fill type="solid"/>
            </v:shape>
            <v:shape style="position:absolute;left:4875;top:1532;width:218;height:150" coordorigin="4875,1532" coordsize="218,150" path="m4875,1532l5035,1532,5055,1532,5070,1538,5082,1554,5090,1578,5093,1607,5090,1637,5082,1660,5070,1676,5055,1682,5035,1682,4875,1682e" filled="false" stroked="true" strokeweight=".75pt" strokecolor="#2384c6">
              <v:path arrowok="t"/>
              <v:stroke dashstyle="solid"/>
            </v:shape>
            <v:shape style="position:absolute;left:2442;top:2538;width:367;height:367" type="#_x0000_t75" stroked="false">
              <v:imagedata r:id="rId894" o:title=""/>
            </v:shape>
            <v:shape style="position:absolute;left:2442;top:1463;width:367;height:367" type="#_x0000_t75" stroked="false">
              <v:imagedata r:id="rId895" o:title=""/>
            </v:shape>
            <v:shape style="position:absolute;left:4842;top:1532;width:76;height:150" coordorigin="4842,1532" coordsize="76,150" path="m4880,1532l4865,1538,4853,1554,4845,1578,4842,1607,4845,1637,4853,1660,4865,1676,4880,1682,4895,1676,4907,1660,4915,1637,4918,1607,4915,1578,4907,1554,4895,1538,4880,1532xe" filled="true" fillcolor="#d4e5f3" stroked="false">
              <v:path arrowok="t"/>
              <v:fill type="solid"/>
            </v:shape>
            <v:shape style="position:absolute;left:4842;top:1532;width:76;height:150" coordorigin="4842,1532" coordsize="76,150" path="m4918,1607l4915,1578,4907,1554,4895,1538,4880,1532,4865,1538,4853,1554,4845,1578,4842,1607,4845,1637,4853,1660,4865,1676,4880,1682,4895,1676,4907,1660,4915,1637,4918,1607xe" filled="false" stroked="true" strokeweight=".75pt" strokecolor="#2384c6">
              <v:path arrowok="t"/>
              <v:stroke dashstyle="solid"/>
            </v:shape>
            <v:shape style="position:absolute;left:4041;top:1545;width:185;height:120" type="#_x0000_t75" stroked="false">
              <v:imagedata r:id="rId896" o:title=""/>
            </v:shape>
            <v:shape style="position:absolute;left:4274;top:3286;width:185;height:120" type="#_x0000_t75" stroked="false">
              <v:imagedata r:id="rId897" o:title=""/>
            </v:shape>
            <v:shape style="position:absolute;left:4274;top:753;width:185;height:120" type="#_x0000_t75" stroked="false">
              <v:imagedata r:id="rId897" o:title=""/>
            </v:shape>
            <v:shape style="position:absolute;left:2230;top:2830;width:185;height:120" type="#_x0000_t75" stroked="false">
              <v:imagedata r:id="rId898" o:title=""/>
            </v:shape>
            <v:line style="position:absolute" from="2967,2891" to="2366,2891" stroked="true" strokeweight="1.5pt" strokecolor="#231f20">
              <v:stroke dashstyle="solid"/>
            </v:line>
            <v:shape style="position:absolute;left:2794;top:2492;width:185;height:120" type="#_x0000_t75" stroked="false">
              <v:imagedata r:id="rId899" o:title=""/>
            </v:shape>
            <v:shape style="position:absolute;left:2230;top:1411;width:185;height:120" type="#_x0000_t75" stroked="false">
              <v:imagedata r:id="rId900" o:title=""/>
            </v:shape>
            <v:line style="position:absolute" from="2967,1471" to="2366,1471" stroked="true" strokeweight="1.5pt" strokecolor="#231f20">
              <v:stroke dashstyle="solid"/>
            </v:line>
            <v:shape style="position:absolute;left:4827;top:3403;width:194;height:117" type="#_x0000_t75" stroked="false">
              <v:imagedata r:id="rId901" o:title=""/>
            </v:shape>
            <v:shape style="position:absolute;left:4959;top:3450;width:415;height:250" coordorigin="4959,3451" coordsize="415,250" path="m5373,3701l5246,3587,5111,3510,5003,3465,4959,3451e" filled="false" stroked="true" strokeweight="1.5pt" strokecolor="#231f20">
              <v:path arrowok="t"/>
              <v:stroke dashstyle="shortdash"/>
            </v:shape>
            <v:shape style="position:absolute;left:4827;top:865;width:194;height:117" type="#_x0000_t75" stroked="false">
              <v:imagedata r:id="rId902" o:title=""/>
            </v:shape>
            <v:shape style="position:absolute;left:4959;top:913;width:415;height:250" coordorigin="4959,913" coordsize="415,250" path="m5373,1163l5246,1050,5111,972,5003,927,4959,913e" filled="false" stroked="true" strokeweight="1.5pt" strokecolor="#231f20">
              <v:path arrowok="t"/>
              <v:stroke dashstyle="shortdash"/>
            </v:shape>
            <w10:wrap type="none"/>
          </v:group>
        </w:pict>
      </w:r>
      <w:r>
        <w:rPr>
          <w:rFonts w:ascii="Helvetica"/>
          <w:color w:val="231F20"/>
          <w:sz w:val="16"/>
        </w:rPr>
        <w:t>Renal interstitial</w:t>
      </w:r>
      <w:r>
        <w:rPr>
          <w:rFonts w:ascii="Helvetica"/>
          <w:color w:val="231F20"/>
          <w:w w:val="99"/>
          <w:sz w:val="16"/>
        </w:rPr>
        <w:t> </w:t>
      </w:r>
      <w:r>
        <w:rPr>
          <w:rFonts w:ascii="Helvetica"/>
          <w:color w:val="231F20"/>
          <w:sz w:val="16"/>
        </w:rPr>
        <w:t>fluid</w:t>
      </w:r>
    </w:p>
    <w:p>
      <w:pPr>
        <w:pStyle w:val="BodyText"/>
        <w:spacing w:before="8"/>
        <w:rPr>
          <w:rFonts w:ascii="Helvetica"/>
          <w:sz w:val="24"/>
        </w:rPr>
      </w:pPr>
      <w:r>
        <w:rPr/>
        <w:br w:type="column"/>
      </w:r>
      <w:r>
        <w:rPr>
          <w:rFonts w:ascii="Helvetica"/>
          <w:sz w:val="24"/>
        </w:rPr>
      </w:r>
    </w:p>
    <w:p>
      <w:pPr>
        <w:spacing w:before="0"/>
        <w:ind w:left="621" w:right="0" w:firstLine="0"/>
        <w:jc w:val="left"/>
        <w:rPr>
          <w:rFonts w:ascii="Helvetica"/>
          <w:b/>
          <w:sz w:val="16"/>
        </w:rPr>
      </w:pPr>
      <w:r>
        <w:rPr>
          <w:rFonts w:ascii="Helvetica"/>
          <w:b/>
          <w:color w:val="231F20"/>
          <w:w w:val="95"/>
          <w:sz w:val="16"/>
        </w:rPr>
        <w:t>Proximal</w:t>
      </w:r>
      <w:r>
        <w:rPr>
          <w:rFonts w:ascii="Helvetica"/>
          <w:b/>
          <w:color w:val="231F20"/>
          <w:spacing w:val="-24"/>
          <w:w w:val="95"/>
          <w:sz w:val="16"/>
        </w:rPr>
        <w:t> </w:t>
      </w:r>
      <w:r>
        <w:rPr>
          <w:rFonts w:ascii="Helvetica"/>
          <w:b/>
          <w:color w:val="231F20"/>
          <w:w w:val="95"/>
          <w:sz w:val="16"/>
        </w:rPr>
        <w:t>tubular</w:t>
      </w:r>
      <w:r>
        <w:rPr>
          <w:rFonts w:ascii="Helvetica"/>
          <w:b/>
          <w:color w:val="231F20"/>
          <w:spacing w:val="-23"/>
          <w:w w:val="95"/>
          <w:sz w:val="16"/>
        </w:rPr>
        <w:t> </w:t>
      </w:r>
      <w:r>
        <w:rPr>
          <w:rFonts w:ascii="Helvetica"/>
          <w:b/>
          <w:color w:val="231F20"/>
          <w:spacing w:val="-4"/>
          <w:w w:val="95"/>
          <w:sz w:val="16"/>
        </w:rPr>
        <w:t>cells</w:t>
      </w:r>
    </w:p>
    <w:p>
      <w:pPr>
        <w:spacing w:line="235" w:lineRule="auto" w:before="146"/>
        <w:ind w:left="862" w:right="-19" w:hanging="54"/>
        <w:jc w:val="left"/>
        <w:rPr>
          <w:rFonts w:ascii="Helvetica"/>
          <w:sz w:val="16"/>
        </w:rPr>
      </w:pPr>
      <w:r>
        <w:rPr/>
        <w:br w:type="column"/>
      </w:r>
      <w:r>
        <w:rPr>
          <w:rFonts w:ascii="Helvetica"/>
          <w:color w:val="231F20"/>
          <w:sz w:val="16"/>
        </w:rPr>
        <w:t>Tubular</w:t>
      </w:r>
      <w:r>
        <w:rPr>
          <w:rFonts w:ascii="Helvetica"/>
          <w:color w:val="231F20"/>
          <w:w w:val="99"/>
          <w:sz w:val="16"/>
        </w:rPr>
        <w:t> </w:t>
      </w:r>
      <w:r>
        <w:rPr>
          <w:rFonts w:ascii="Helvetica"/>
          <w:color w:val="231F20"/>
          <w:sz w:val="16"/>
        </w:rPr>
        <w:t>lumen</w:t>
      </w:r>
    </w:p>
    <w:p>
      <w:pPr>
        <w:pStyle w:val="BodyText"/>
        <w:spacing w:line="249" w:lineRule="auto" w:before="2"/>
        <w:ind w:left="535" w:right="1077"/>
        <w:jc w:val="both"/>
      </w:pPr>
      <w:r>
        <w:rPr/>
        <w:br w:type="column"/>
      </w:r>
      <w:r>
        <w:rPr>
          <w:color w:val="231F20"/>
          <w:w w:val="105"/>
        </w:rPr>
        <w:t>phosphate</w:t>
      </w:r>
      <w:r>
        <w:rPr>
          <w:color w:val="231F20"/>
          <w:spacing w:val="-29"/>
          <w:w w:val="105"/>
        </w:rPr>
        <w:t> </w:t>
      </w:r>
      <w:r>
        <w:rPr>
          <w:color w:val="231F20"/>
          <w:w w:val="105"/>
        </w:rPr>
        <w:t>stimulates</w:t>
      </w:r>
      <w:r>
        <w:rPr>
          <w:color w:val="231F20"/>
          <w:spacing w:val="-28"/>
          <w:w w:val="105"/>
        </w:rPr>
        <w:t> </w:t>
      </w:r>
      <w:r>
        <w:rPr>
          <w:color w:val="231F20"/>
          <w:w w:val="105"/>
        </w:rPr>
        <w:t>PTH,</w:t>
      </w:r>
      <w:r>
        <w:rPr>
          <w:color w:val="231F20"/>
          <w:spacing w:val="-29"/>
          <w:w w:val="105"/>
        </w:rPr>
        <w:t> </w:t>
      </w:r>
      <w:r>
        <w:rPr>
          <w:color w:val="231F20"/>
          <w:w w:val="105"/>
        </w:rPr>
        <w:t>which</w:t>
      </w:r>
      <w:r>
        <w:rPr>
          <w:color w:val="231F20"/>
          <w:spacing w:val="-28"/>
          <w:w w:val="105"/>
        </w:rPr>
        <w:t> </w:t>
      </w:r>
      <w:r>
        <w:rPr>
          <w:color w:val="231F20"/>
          <w:w w:val="105"/>
        </w:rPr>
        <w:t>increases</w:t>
      </w:r>
      <w:r>
        <w:rPr>
          <w:color w:val="231F20"/>
          <w:spacing w:val="-28"/>
          <w:w w:val="105"/>
        </w:rPr>
        <w:t> </w:t>
      </w:r>
      <w:r>
        <w:rPr>
          <w:color w:val="231F20"/>
          <w:w w:val="105"/>
        </w:rPr>
        <w:t>calcium</w:t>
      </w:r>
      <w:r>
        <w:rPr>
          <w:color w:val="231F20"/>
          <w:spacing w:val="-29"/>
          <w:w w:val="105"/>
        </w:rPr>
        <w:t> </w:t>
      </w:r>
      <w:r>
        <w:rPr>
          <w:color w:val="231F20"/>
          <w:w w:val="105"/>
        </w:rPr>
        <w:t>reab- sorption by the renal tubules, thereby reducing calcium excretion.</w:t>
      </w:r>
      <w:r>
        <w:rPr>
          <w:color w:val="231F20"/>
          <w:spacing w:val="-6"/>
          <w:w w:val="105"/>
        </w:rPr>
        <w:t> </w:t>
      </w:r>
      <w:r>
        <w:rPr>
          <w:color w:val="231F20"/>
          <w:w w:val="105"/>
        </w:rPr>
        <w:t>The</w:t>
      </w:r>
      <w:r>
        <w:rPr>
          <w:color w:val="231F20"/>
          <w:spacing w:val="-6"/>
          <w:w w:val="105"/>
        </w:rPr>
        <w:t> </w:t>
      </w:r>
      <w:r>
        <w:rPr>
          <w:color w:val="231F20"/>
          <w:w w:val="105"/>
        </w:rPr>
        <w:t>opposite</w:t>
      </w:r>
      <w:r>
        <w:rPr>
          <w:color w:val="231F20"/>
          <w:spacing w:val="-5"/>
          <w:w w:val="105"/>
        </w:rPr>
        <w:t> </w:t>
      </w:r>
      <w:r>
        <w:rPr>
          <w:color w:val="231F20"/>
          <w:w w:val="105"/>
        </w:rPr>
        <w:t>occurs</w:t>
      </w:r>
      <w:r>
        <w:rPr>
          <w:color w:val="231F20"/>
          <w:spacing w:val="-6"/>
          <w:w w:val="105"/>
        </w:rPr>
        <w:t> </w:t>
      </w:r>
      <w:r>
        <w:rPr>
          <w:color w:val="231F20"/>
          <w:w w:val="105"/>
        </w:rPr>
        <w:t>with</w:t>
      </w:r>
      <w:r>
        <w:rPr>
          <w:color w:val="231F20"/>
          <w:spacing w:val="-5"/>
          <w:w w:val="105"/>
        </w:rPr>
        <w:t> </w:t>
      </w:r>
      <w:r>
        <w:rPr>
          <w:color w:val="231F20"/>
          <w:w w:val="105"/>
        </w:rPr>
        <w:t>reduction</w:t>
      </w:r>
      <w:r>
        <w:rPr>
          <w:color w:val="231F20"/>
          <w:spacing w:val="-6"/>
          <w:w w:val="105"/>
        </w:rPr>
        <w:t> </w:t>
      </w:r>
      <w:r>
        <w:rPr>
          <w:color w:val="231F20"/>
          <w:w w:val="105"/>
        </w:rPr>
        <w:t>in</w:t>
      </w:r>
      <w:r>
        <w:rPr>
          <w:color w:val="231F20"/>
          <w:spacing w:val="-5"/>
          <w:w w:val="105"/>
        </w:rPr>
        <w:t> </w:t>
      </w:r>
      <w:r>
        <w:rPr>
          <w:color w:val="231F20"/>
          <w:w w:val="105"/>
        </w:rPr>
        <w:t>plasma</w:t>
      </w:r>
    </w:p>
    <w:p>
      <w:pPr>
        <w:spacing w:after="0" w:line="249" w:lineRule="auto"/>
        <w:jc w:val="both"/>
        <w:sectPr>
          <w:type w:val="continuous"/>
          <w:pgSz w:w="12240" w:h="15660"/>
          <w:pgMar w:top="0" w:bottom="760" w:left="0" w:right="0"/>
          <w:cols w:num="4" w:equalWidth="0">
            <w:col w:w="2332" w:space="40"/>
            <w:col w:w="2143" w:space="39"/>
            <w:col w:w="1352" w:space="39"/>
            <w:col w:w="6295"/>
          </w:cols>
        </w:sectPr>
      </w:pPr>
    </w:p>
    <w:p>
      <w:pPr>
        <w:pStyle w:val="BodyText"/>
        <w:rPr>
          <w:sz w:val="18"/>
        </w:rPr>
      </w:pPr>
    </w:p>
    <w:p>
      <w:pPr>
        <w:pStyle w:val="BodyText"/>
        <w:rPr>
          <w:sz w:val="18"/>
        </w:rPr>
      </w:pPr>
    </w:p>
    <w:p>
      <w:pPr>
        <w:pStyle w:val="BodyText"/>
        <w:rPr>
          <w:sz w:val="18"/>
        </w:rPr>
      </w:pPr>
    </w:p>
    <w:p>
      <w:pPr>
        <w:pStyle w:val="BodyText"/>
        <w:rPr>
          <w:sz w:val="19"/>
        </w:rPr>
      </w:pPr>
    </w:p>
    <w:p>
      <w:pPr>
        <w:spacing w:before="1"/>
        <w:ind w:left="0" w:right="66" w:firstLine="0"/>
        <w:jc w:val="right"/>
        <w:rPr>
          <w:rFonts w:ascii="Helvetica"/>
          <w:sz w:val="16"/>
        </w:rPr>
      </w:pPr>
      <w:r>
        <w:rPr>
          <w:rFonts w:ascii="Helvetica"/>
          <w:color w:val="231F20"/>
          <w:sz w:val="16"/>
        </w:rPr>
        <w:t>ATP</w:t>
      </w:r>
    </w:p>
    <w:p>
      <w:pPr>
        <w:pStyle w:val="BodyText"/>
        <w:rPr>
          <w:rFonts w:ascii="Helvetica"/>
          <w:sz w:val="18"/>
        </w:rPr>
      </w:pPr>
    </w:p>
    <w:p>
      <w:pPr>
        <w:pStyle w:val="BodyText"/>
        <w:rPr>
          <w:rFonts w:ascii="Helvetica"/>
          <w:sz w:val="18"/>
        </w:rPr>
      </w:pPr>
    </w:p>
    <w:p>
      <w:pPr>
        <w:pStyle w:val="BodyText"/>
        <w:spacing w:before="7"/>
        <w:rPr>
          <w:rFonts w:ascii="Helvetica"/>
          <w:sz w:val="25"/>
        </w:rPr>
      </w:pPr>
    </w:p>
    <w:p>
      <w:pPr>
        <w:tabs>
          <w:tab w:pos="2858" w:val="left" w:leader="none"/>
        </w:tabs>
        <w:spacing w:before="0"/>
        <w:ind w:left="1801" w:right="0" w:firstLine="0"/>
        <w:jc w:val="left"/>
        <w:rPr>
          <w:rFonts w:ascii="Helvetica"/>
          <w:b/>
          <w:sz w:val="12"/>
        </w:rPr>
      </w:pPr>
      <w:r>
        <w:rPr>
          <w:rFonts w:ascii="Helvetica"/>
          <w:b/>
          <w:color w:val="231F20"/>
          <w:sz w:val="16"/>
        </w:rPr>
        <w:t>3</w:t>
      </w:r>
      <w:r>
        <w:rPr>
          <w:rFonts w:ascii="Helvetica"/>
          <w:b/>
          <w:color w:val="231F20"/>
          <w:spacing w:val="-1"/>
          <w:sz w:val="16"/>
        </w:rPr>
        <w:t> </w:t>
      </w:r>
      <w:r>
        <w:rPr>
          <w:rFonts w:ascii="Helvetica"/>
          <w:b/>
          <w:color w:val="231F20"/>
          <w:sz w:val="16"/>
        </w:rPr>
        <w:t>Na</w:t>
      </w:r>
      <w:r>
        <w:rPr>
          <w:rFonts w:ascii="Helvetica"/>
          <w:b/>
          <w:color w:val="231F20"/>
          <w:position w:val="5"/>
          <w:sz w:val="12"/>
        </w:rPr>
        <w:t>+</w:t>
      </w:r>
      <w:r>
        <w:rPr>
          <w:rFonts w:ascii="Helvetica"/>
          <w:b/>
          <w:color w:val="231F20"/>
          <w:spacing w:val="13"/>
          <w:position w:val="5"/>
          <w:sz w:val="12"/>
        </w:rPr>
        <w:t> </w:t>
      </w:r>
      <w:r>
        <w:rPr>
          <w:rFonts w:ascii="Helvetica"/>
          <w:b/>
          <w:color w:val="231F20"/>
          <w:w w:val="100"/>
          <w:position w:val="5"/>
          <w:sz w:val="12"/>
          <w:u w:val="thick" w:color="F0535F"/>
        </w:rPr>
        <w:t> </w:t>
      </w:r>
      <w:r>
        <w:rPr>
          <w:rFonts w:ascii="Helvetica"/>
          <w:b/>
          <w:color w:val="231F20"/>
          <w:position w:val="5"/>
          <w:sz w:val="12"/>
          <w:u w:val="thick" w:color="F0535F"/>
        </w:rPr>
        <w:tab/>
      </w:r>
    </w:p>
    <w:p>
      <w:pPr>
        <w:tabs>
          <w:tab w:pos="2245" w:val="left" w:leader="none"/>
        </w:tabs>
        <w:spacing w:line="186" w:lineRule="exact" w:before="0"/>
        <w:ind w:left="1484" w:right="0" w:firstLine="0"/>
        <w:jc w:val="left"/>
        <w:rPr>
          <w:rFonts w:ascii="Helvetica"/>
          <w:b/>
          <w:sz w:val="12"/>
        </w:rPr>
      </w:pPr>
      <w:r>
        <w:rPr/>
        <w:br w:type="column"/>
      </w:r>
      <w:r>
        <w:rPr>
          <w:rFonts w:ascii="Helvetica"/>
          <w:b/>
          <w:color w:val="231F20"/>
          <w:w w:val="100"/>
          <w:sz w:val="16"/>
          <w:u w:val="thick" w:color="231F20"/>
        </w:rPr>
        <w:t> </w:t>
      </w:r>
      <w:r>
        <w:rPr>
          <w:rFonts w:ascii="Helvetica"/>
          <w:b/>
          <w:color w:val="231F20"/>
          <w:sz w:val="16"/>
          <w:u w:val="thick" w:color="231F20"/>
        </w:rPr>
        <w:tab/>
      </w:r>
      <w:r>
        <w:rPr>
          <w:rFonts w:ascii="Helvetica"/>
          <w:b/>
          <w:color w:val="231F20"/>
          <w:spacing w:val="-18"/>
          <w:sz w:val="16"/>
        </w:rPr>
        <w:t> </w:t>
      </w:r>
      <w:r>
        <w:rPr>
          <w:rFonts w:ascii="Helvetica"/>
          <w:b/>
          <w:color w:val="231F20"/>
          <w:sz w:val="16"/>
        </w:rPr>
        <w:t>Ca</w:t>
      </w:r>
      <w:r>
        <w:rPr>
          <w:rFonts w:ascii="Helvetica"/>
          <w:b/>
          <w:color w:val="231F20"/>
          <w:position w:val="5"/>
          <w:sz w:val="12"/>
        </w:rPr>
        <w:t>++</w:t>
      </w:r>
    </w:p>
    <w:p>
      <w:pPr>
        <w:spacing w:before="177"/>
        <w:ind w:left="2493" w:right="0" w:firstLine="0"/>
        <w:jc w:val="left"/>
        <w:rPr>
          <w:rFonts w:ascii="Helvetica"/>
          <w:b/>
          <w:sz w:val="16"/>
        </w:rPr>
      </w:pPr>
      <w:r>
        <w:rPr>
          <w:rFonts w:ascii="Helvetica"/>
          <w:b/>
          <w:color w:val="231F20"/>
          <w:sz w:val="16"/>
        </w:rPr>
        <w:t>H</w:t>
      </w:r>
      <w:r>
        <w:rPr>
          <w:rFonts w:ascii="Helvetica"/>
          <w:b/>
          <w:color w:val="231F20"/>
          <w:position w:val="-4"/>
          <w:sz w:val="12"/>
        </w:rPr>
        <w:t>2</w:t>
      </w:r>
      <w:r>
        <w:rPr>
          <w:rFonts w:ascii="Helvetica"/>
          <w:b/>
          <w:color w:val="231F20"/>
          <w:sz w:val="16"/>
        </w:rPr>
        <w:t>O</w:t>
      </w:r>
    </w:p>
    <w:p>
      <w:pPr>
        <w:tabs>
          <w:tab w:pos="1251" w:val="left" w:leader="none"/>
          <w:tab w:pos="2011" w:val="left" w:leader="none"/>
        </w:tabs>
        <w:spacing w:before="61"/>
        <w:ind w:left="99" w:right="0" w:firstLine="0"/>
        <w:jc w:val="left"/>
        <w:rPr>
          <w:rFonts w:ascii="Helvetica"/>
          <w:b/>
          <w:sz w:val="12"/>
        </w:rPr>
      </w:pPr>
      <w:r>
        <w:rPr>
          <w:rFonts w:ascii="Helvetica"/>
          <w:b/>
          <w:color w:val="231F20"/>
          <w:position w:val="-4"/>
          <w:sz w:val="16"/>
        </w:rPr>
        <w:t>Ca</w:t>
      </w:r>
      <w:r>
        <w:rPr>
          <w:rFonts w:ascii="Helvetica"/>
          <w:b/>
          <w:color w:val="231F20"/>
          <w:sz w:val="12"/>
        </w:rPr>
        <w:t>++</w:t>
        <w:tab/>
      </w:r>
      <w:r>
        <w:rPr>
          <w:rFonts w:ascii="Helvetica"/>
          <w:b/>
          <w:color w:val="231F20"/>
          <w:sz w:val="12"/>
          <w:u w:val="thick" w:color="231F20"/>
        </w:rPr>
        <w:t> </w:t>
        <w:tab/>
        <w:t> </w:t>
      </w:r>
      <w:r>
        <w:rPr>
          <w:rFonts w:ascii="Helvetica"/>
          <w:b/>
          <w:color w:val="231F20"/>
          <w:position w:val="-17"/>
          <w:sz w:val="16"/>
        </w:rPr>
        <w:t>Ca</w:t>
      </w:r>
      <w:r>
        <w:rPr>
          <w:rFonts w:ascii="Helvetica"/>
          <w:b/>
          <w:color w:val="231F20"/>
          <w:position w:val="-12"/>
          <w:sz w:val="12"/>
        </w:rPr>
        <w:t>++</w:t>
      </w:r>
    </w:p>
    <w:p>
      <w:pPr>
        <w:pStyle w:val="BodyText"/>
        <w:rPr>
          <w:rFonts w:ascii="Helvetica"/>
          <w:b/>
          <w:sz w:val="32"/>
        </w:rPr>
      </w:pPr>
    </w:p>
    <w:p>
      <w:pPr>
        <w:pStyle w:val="BodyText"/>
        <w:rPr>
          <w:rFonts w:ascii="Helvetica"/>
          <w:b/>
          <w:sz w:val="32"/>
        </w:rPr>
      </w:pPr>
    </w:p>
    <w:p>
      <w:pPr>
        <w:pStyle w:val="BodyText"/>
        <w:spacing w:before="4"/>
        <w:rPr>
          <w:rFonts w:ascii="Helvetica"/>
          <w:b/>
          <w:sz w:val="29"/>
        </w:rPr>
      </w:pPr>
    </w:p>
    <w:p>
      <w:pPr>
        <w:spacing w:before="0"/>
        <w:ind w:left="99" w:right="0" w:firstLine="0"/>
        <w:jc w:val="left"/>
        <w:rPr>
          <w:rFonts w:ascii="Helvetica"/>
          <w:b/>
          <w:sz w:val="12"/>
        </w:rPr>
      </w:pPr>
      <w:r>
        <w:rPr>
          <w:rFonts w:ascii="Helvetica"/>
          <w:b/>
          <w:color w:val="231F20"/>
          <w:position w:val="-4"/>
          <w:sz w:val="16"/>
        </w:rPr>
        <w:t>Ca</w:t>
      </w:r>
      <w:r>
        <w:rPr>
          <w:rFonts w:ascii="Helvetica"/>
          <w:b/>
          <w:color w:val="231F20"/>
          <w:sz w:val="12"/>
        </w:rPr>
        <w:t>++</w:t>
      </w:r>
    </w:p>
    <w:p>
      <w:pPr>
        <w:pStyle w:val="BodyText"/>
        <w:spacing w:before="1"/>
        <w:rPr>
          <w:rFonts w:ascii="Helvetica"/>
          <w:b/>
          <w:sz w:val="24"/>
        </w:rPr>
      </w:pPr>
    </w:p>
    <w:p>
      <w:pPr>
        <w:tabs>
          <w:tab w:pos="2245" w:val="left" w:leader="none"/>
        </w:tabs>
        <w:spacing w:before="0"/>
        <w:ind w:left="1484" w:right="0" w:firstLine="0"/>
        <w:jc w:val="left"/>
        <w:rPr>
          <w:rFonts w:ascii="Helvetica"/>
          <w:b/>
          <w:sz w:val="12"/>
        </w:rPr>
      </w:pPr>
      <w:r>
        <w:rPr>
          <w:rFonts w:ascii="Helvetica"/>
          <w:b/>
          <w:color w:val="231F20"/>
          <w:w w:val="100"/>
          <w:sz w:val="16"/>
          <w:u w:val="thick" w:color="231F20"/>
        </w:rPr>
        <w:t> </w:t>
      </w:r>
      <w:r>
        <w:rPr>
          <w:rFonts w:ascii="Helvetica"/>
          <w:b/>
          <w:color w:val="231F20"/>
          <w:sz w:val="16"/>
          <w:u w:val="thick" w:color="231F20"/>
        </w:rPr>
        <w:tab/>
      </w:r>
      <w:r>
        <w:rPr>
          <w:rFonts w:ascii="Helvetica"/>
          <w:b/>
          <w:color w:val="231F20"/>
          <w:spacing w:val="-18"/>
          <w:sz w:val="16"/>
        </w:rPr>
        <w:t> </w:t>
      </w:r>
      <w:r>
        <w:rPr>
          <w:rFonts w:ascii="Helvetica"/>
          <w:b/>
          <w:color w:val="231F20"/>
          <w:sz w:val="16"/>
        </w:rPr>
        <w:t>Ca</w:t>
      </w:r>
      <w:r>
        <w:rPr>
          <w:rFonts w:ascii="Helvetica"/>
          <w:b/>
          <w:color w:val="231F20"/>
          <w:position w:val="5"/>
          <w:sz w:val="12"/>
        </w:rPr>
        <w:t>++</w:t>
      </w:r>
    </w:p>
    <w:p>
      <w:pPr>
        <w:spacing w:before="174"/>
        <w:ind w:left="2493" w:right="0" w:firstLine="0"/>
        <w:jc w:val="left"/>
        <w:rPr>
          <w:rFonts w:ascii="Helvetica"/>
          <w:b/>
          <w:sz w:val="16"/>
        </w:rPr>
      </w:pPr>
      <w:r>
        <w:rPr>
          <w:rFonts w:ascii="Helvetica"/>
          <w:b/>
          <w:color w:val="231F20"/>
          <w:sz w:val="16"/>
        </w:rPr>
        <w:t>H</w:t>
      </w:r>
      <w:r>
        <w:rPr>
          <w:rFonts w:ascii="Helvetica"/>
          <w:b/>
          <w:color w:val="231F20"/>
          <w:position w:val="-4"/>
          <w:sz w:val="12"/>
        </w:rPr>
        <w:t>2</w:t>
      </w:r>
      <w:r>
        <w:rPr>
          <w:rFonts w:ascii="Helvetica"/>
          <w:b/>
          <w:color w:val="231F20"/>
          <w:sz w:val="16"/>
        </w:rPr>
        <w:t>O</w:t>
      </w:r>
    </w:p>
    <w:p>
      <w:pPr>
        <w:pStyle w:val="BodyText"/>
        <w:spacing w:before="2"/>
        <w:ind w:left="740"/>
      </w:pPr>
      <w:r>
        <w:rPr/>
        <w:br w:type="column"/>
      </w:r>
      <w:r>
        <w:rPr>
          <w:color w:val="231F20"/>
          <w:w w:val="105"/>
        </w:rPr>
        <w:t>phosphate concentration.</w:t>
      </w:r>
    </w:p>
    <w:p>
      <w:pPr>
        <w:pStyle w:val="BodyText"/>
        <w:spacing w:line="249" w:lineRule="auto" w:before="10"/>
        <w:ind w:left="740" w:right="1077" w:firstLine="240"/>
        <w:jc w:val="right"/>
      </w:pPr>
      <w:r>
        <w:rPr>
          <w:color w:val="231F20"/>
          <w:w w:val="105"/>
        </w:rPr>
        <w:t>Calcium reabsorption is also stimulated</w:t>
      </w:r>
      <w:r>
        <w:rPr>
          <w:color w:val="231F20"/>
          <w:spacing w:val="-37"/>
          <w:w w:val="105"/>
        </w:rPr>
        <w:t> </w:t>
      </w:r>
      <w:r>
        <w:rPr>
          <w:color w:val="231F20"/>
          <w:w w:val="105"/>
        </w:rPr>
        <w:t>by</w:t>
      </w:r>
      <w:r>
        <w:rPr>
          <w:color w:val="231F20"/>
          <w:spacing w:val="-7"/>
          <w:w w:val="105"/>
        </w:rPr>
        <w:t> </w:t>
      </w:r>
      <w:r>
        <w:rPr>
          <w:color w:val="231F20"/>
          <w:w w:val="105"/>
        </w:rPr>
        <w:t>metabolic</w:t>
      </w:r>
      <w:r>
        <w:rPr>
          <w:color w:val="231F20"/>
          <w:w w:val="98"/>
        </w:rPr>
        <w:t> </w:t>
      </w:r>
      <w:r>
        <w:rPr>
          <w:color w:val="231F20"/>
          <w:w w:val="105"/>
        </w:rPr>
        <w:t>alkalosis</w:t>
      </w:r>
      <w:r>
        <w:rPr>
          <w:color w:val="231F20"/>
          <w:spacing w:val="-35"/>
          <w:w w:val="105"/>
        </w:rPr>
        <w:t> </w:t>
      </w:r>
      <w:r>
        <w:rPr>
          <w:color w:val="231F20"/>
          <w:w w:val="105"/>
        </w:rPr>
        <w:t>and</w:t>
      </w:r>
      <w:r>
        <w:rPr>
          <w:color w:val="231F20"/>
          <w:spacing w:val="-35"/>
          <w:w w:val="105"/>
        </w:rPr>
        <w:t> </w:t>
      </w:r>
      <w:r>
        <w:rPr>
          <w:color w:val="231F20"/>
          <w:w w:val="105"/>
        </w:rPr>
        <w:t>inhibited</w:t>
      </w:r>
      <w:r>
        <w:rPr>
          <w:color w:val="231F20"/>
          <w:spacing w:val="-35"/>
          <w:w w:val="105"/>
        </w:rPr>
        <w:t> </w:t>
      </w:r>
      <w:r>
        <w:rPr>
          <w:color w:val="231F20"/>
          <w:w w:val="105"/>
        </w:rPr>
        <w:t>by</w:t>
      </w:r>
      <w:r>
        <w:rPr>
          <w:color w:val="231F20"/>
          <w:spacing w:val="-35"/>
          <w:w w:val="105"/>
        </w:rPr>
        <w:t> </w:t>
      </w:r>
      <w:r>
        <w:rPr>
          <w:color w:val="231F20"/>
          <w:w w:val="105"/>
        </w:rPr>
        <w:t>metabolic</w:t>
      </w:r>
      <w:r>
        <w:rPr>
          <w:color w:val="231F20"/>
          <w:spacing w:val="-35"/>
          <w:w w:val="105"/>
        </w:rPr>
        <w:t> </w:t>
      </w:r>
      <w:r>
        <w:rPr>
          <w:color w:val="231F20"/>
          <w:w w:val="105"/>
        </w:rPr>
        <w:t>acidosis.</w:t>
      </w:r>
      <w:r>
        <w:rPr>
          <w:color w:val="231F20"/>
          <w:spacing w:val="-34"/>
          <w:w w:val="105"/>
        </w:rPr>
        <w:t> </w:t>
      </w:r>
      <w:r>
        <w:rPr>
          <w:color w:val="231F20"/>
          <w:w w:val="105"/>
        </w:rPr>
        <w:t>Thus,</w:t>
      </w:r>
      <w:r>
        <w:rPr>
          <w:color w:val="231F20"/>
          <w:spacing w:val="-35"/>
          <w:w w:val="105"/>
        </w:rPr>
        <w:t> </w:t>
      </w:r>
      <w:r>
        <w:rPr>
          <w:color w:val="231F20"/>
          <w:w w:val="105"/>
        </w:rPr>
        <w:t>acido-</w:t>
      </w:r>
      <w:r>
        <w:rPr>
          <w:color w:val="231F20"/>
          <w:w w:val="109"/>
        </w:rPr>
        <w:t> </w:t>
      </w:r>
      <w:r>
        <w:rPr>
          <w:color w:val="231F20"/>
          <w:w w:val="105"/>
        </w:rPr>
        <w:t>sis</w:t>
      </w:r>
      <w:r>
        <w:rPr>
          <w:color w:val="231F20"/>
          <w:spacing w:val="-20"/>
          <w:w w:val="105"/>
        </w:rPr>
        <w:t> </w:t>
      </w:r>
      <w:r>
        <w:rPr>
          <w:color w:val="231F20"/>
          <w:w w:val="105"/>
        </w:rPr>
        <w:t>tends</w:t>
      </w:r>
      <w:r>
        <w:rPr>
          <w:color w:val="231F20"/>
          <w:spacing w:val="-19"/>
          <w:w w:val="105"/>
        </w:rPr>
        <w:t> </w:t>
      </w:r>
      <w:r>
        <w:rPr>
          <w:color w:val="231F20"/>
          <w:w w:val="105"/>
        </w:rPr>
        <w:t>to</w:t>
      </w:r>
      <w:r>
        <w:rPr>
          <w:color w:val="231F20"/>
          <w:spacing w:val="-20"/>
          <w:w w:val="105"/>
        </w:rPr>
        <w:t> </w:t>
      </w:r>
      <w:r>
        <w:rPr>
          <w:color w:val="231F20"/>
          <w:w w:val="105"/>
        </w:rPr>
        <w:t>increase</w:t>
      </w:r>
      <w:r>
        <w:rPr>
          <w:color w:val="231F20"/>
          <w:spacing w:val="-19"/>
          <w:w w:val="105"/>
        </w:rPr>
        <w:t> </w:t>
      </w:r>
      <w:r>
        <w:rPr>
          <w:color w:val="231F20"/>
          <w:w w:val="105"/>
        </w:rPr>
        <w:t>calcium</w:t>
      </w:r>
      <w:r>
        <w:rPr>
          <w:color w:val="231F20"/>
          <w:spacing w:val="-20"/>
          <w:w w:val="105"/>
        </w:rPr>
        <w:t> </w:t>
      </w:r>
      <w:r>
        <w:rPr>
          <w:color w:val="231F20"/>
          <w:w w:val="105"/>
        </w:rPr>
        <w:t>excretion,</w:t>
      </w:r>
      <w:r>
        <w:rPr>
          <w:color w:val="231F20"/>
          <w:spacing w:val="-19"/>
          <w:w w:val="105"/>
        </w:rPr>
        <w:t> </w:t>
      </w:r>
      <w:r>
        <w:rPr>
          <w:color w:val="231F20"/>
          <w:w w:val="105"/>
        </w:rPr>
        <w:t>whereas</w:t>
      </w:r>
      <w:r>
        <w:rPr>
          <w:color w:val="231F20"/>
          <w:spacing w:val="-20"/>
          <w:w w:val="105"/>
        </w:rPr>
        <w:t> </w:t>
      </w:r>
      <w:r>
        <w:rPr>
          <w:color w:val="231F20"/>
          <w:w w:val="105"/>
        </w:rPr>
        <w:t>alkalosis</w:t>
      </w:r>
      <w:r>
        <w:rPr>
          <w:color w:val="231F20"/>
          <w:w w:val="96"/>
        </w:rPr>
        <w:t> </w:t>
      </w:r>
      <w:r>
        <w:rPr>
          <w:color w:val="231F20"/>
          <w:w w:val="105"/>
        </w:rPr>
        <w:t>tends to reduce calcium excretion. Most of the</w:t>
      </w:r>
      <w:r>
        <w:rPr>
          <w:color w:val="231F20"/>
          <w:spacing w:val="10"/>
          <w:w w:val="105"/>
        </w:rPr>
        <w:t> </w:t>
      </w:r>
      <w:r>
        <w:rPr>
          <w:color w:val="231F20"/>
          <w:w w:val="105"/>
        </w:rPr>
        <w:t>effect</w:t>
      </w:r>
      <w:r>
        <w:rPr>
          <w:color w:val="231F20"/>
          <w:spacing w:val="2"/>
          <w:w w:val="105"/>
        </w:rPr>
        <w:t> </w:t>
      </w:r>
      <w:r>
        <w:rPr>
          <w:color w:val="231F20"/>
          <w:w w:val="105"/>
        </w:rPr>
        <w:t>of</w:t>
      </w:r>
      <w:r>
        <w:rPr>
          <w:color w:val="231F20"/>
          <w:w w:val="97"/>
        </w:rPr>
        <w:t> </w:t>
      </w:r>
      <w:r>
        <w:rPr>
          <w:color w:val="231F20"/>
          <w:w w:val="105"/>
        </w:rPr>
        <w:t>hydrogen</w:t>
      </w:r>
      <w:r>
        <w:rPr>
          <w:color w:val="231F20"/>
          <w:spacing w:val="-9"/>
          <w:w w:val="105"/>
        </w:rPr>
        <w:t> </w:t>
      </w:r>
      <w:r>
        <w:rPr>
          <w:color w:val="231F20"/>
          <w:w w:val="105"/>
        </w:rPr>
        <w:t>ion</w:t>
      </w:r>
      <w:r>
        <w:rPr>
          <w:color w:val="231F20"/>
          <w:spacing w:val="-9"/>
          <w:w w:val="105"/>
        </w:rPr>
        <w:t> </w:t>
      </w:r>
      <w:r>
        <w:rPr>
          <w:color w:val="231F20"/>
          <w:w w:val="105"/>
        </w:rPr>
        <w:t>concentration</w:t>
      </w:r>
      <w:r>
        <w:rPr>
          <w:color w:val="231F20"/>
          <w:spacing w:val="-9"/>
          <w:w w:val="105"/>
        </w:rPr>
        <w:t> </w:t>
      </w:r>
      <w:r>
        <w:rPr>
          <w:color w:val="231F20"/>
          <w:w w:val="105"/>
        </w:rPr>
        <w:t>on</w:t>
      </w:r>
      <w:r>
        <w:rPr>
          <w:color w:val="231F20"/>
          <w:spacing w:val="-9"/>
          <w:w w:val="105"/>
        </w:rPr>
        <w:t> </w:t>
      </w:r>
      <w:r>
        <w:rPr>
          <w:color w:val="231F20"/>
          <w:w w:val="105"/>
        </w:rPr>
        <w:t>calcium</w:t>
      </w:r>
      <w:r>
        <w:rPr>
          <w:color w:val="231F20"/>
          <w:spacing w:val="-8"/>
          <w:w w:val="105"/>
        </w:rPr>
        <w:t> </w:t>
      </w:r>
      <w:r>
        <w:rPr>
          <w:color w:val="231F20"/>
          <w:w w:val="105"/>
        </w:rPr>
        <w:t>excretion</w:t>
      </w:r>
      <w:r>
        <w:rPr>
          <w:color w:val="231F20"/>
          <w:spacing w:val="-9"/>
          <w:w w:val="105"/>
        </w:rPr>
        <w:t> </w:t>
      </w:r>
      <w:r>
        <w:rPr>
          <w:color w:val="231F20"/>
          <w:w w:val="105"/>
        </w:rPr>
        <w:t>results</w:t>
      </w:r>
      <w:r>
        <w:rPr>
          <w:color w:val="231F20"/>
          <w:w w:val="97"/>
        </w:rPr>
        <w:t> </w:t>
      </w:r>
      <w:r>
        <w:rPr>
          <w:color w:val="231F20"/>
          <w:w w:val="105"/>
        </w:rPr>
        <w:t>from</w:t>
      </w:r>
      <w:r>
        <w:rPr>
          <w:color w:val="231F20"/>
          <w:spacing w:val="-19"/>
          <w:w w:val="105"/>
        </w:rPr>
        <w:t> </w:t>
      </w:r>
      <w:r>
        <w:rPr>
          <w:color w:val="231F20"/>
          <w:w w:val="105"/>
        </w:rPr>
        <w:t>changes</w:t>
      </w:r>
      <w:r>
        <w:rPr>
          <w:color w:val="231F20"/>
          <w:spacing w:val="-19"/>
          <w:w w:val="105"/>
        </w:rPr>
        <w:t> </w:t>
      </w:r>
      <w:r>
        <w:rPr>
          <w:color w:val="231F20"/>
          <w:w w:val="105"/>
        </w:rPr>
        <w:t>in</w:t>
      </w:r>
      <w:r>
        <w:rPr>
          <w:color w:val="231F20"/>
          <w:spacing w:val="-19"/>
          <w:w w:val="105"/>
        </w:rPr>
        <w:t> </w:t>
      </w:r>
      <w:r>
        <w:rPr>
          <w:color w:val="231F20"/>
          <w:w w:val="105"/>
        </w:rPr>
        <w:t>calcium</w:t>
      </w:r>
      <w:r>
        <w:rPr>
          <w:color w:val="231F20"/>
          <w:spacing w:val="-18"/>
          <w:w w:val="105"/>
        </w:rPr>
        <w:t> </w:t>
      </w:r>
      <w:r>
        <w:rPr>
          <w:color w:val="231F20"/>
          <w:w w:val="105"/>
        </w:rPr>
        <w:t>reabsorption</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distal</w:t>
      </w:r>
      <w:r>
        <w:rPr>
          <w:color w:val="231F20"/>
          <w:spacing w:val="-19"/>
          <w:w w:val="105"/>
        </w:rPr>
        <w:t> </w:t>
      </w:r>
      <w:r>
        <w:rPr>
          <w:color w:val="231F20"/>
          <w:spacing w:val="-3"/>
          <w:w w:val="105"/>
        </w:rPr>
        <w:t>tubule.</w:t>
      </w:r>
      <w:r>
        <w:rPr>
          <w:color w:val="231F20"/>
          <w:w w:val="101"/>
        </w:rPr>
        <w:t> </w:t>
      </w:r>
      <w:r>
        <w:rPr>
          <w:color w:val="231F20"/>
          <w:w w:val="105"/>
        </w:rPr>
        <w:t>A</w:t>
      </w:r>
      <w:r>
        <w:rPr>
          <w:color w:val="231F20"/>
          <w:spacing w:val="-8"/>
          <w:w w:val="105"/>
        </w:rPr>
        <w:t> </w:t>
      </w:r>
      <w:r>
        <w:rPr>
          <w:color w:val="231F20"/>
          <w:w w:val="105"/>
        </w:rPr>
        <w:t>summary</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8"/>
          <w:w w:val="105"/>
        </w:rPr>
        <w:t> </w:t>
      </w:r>
      <w:r>
        <w:rPr>
          <w:color w:val="231F20"/>
          <w:w w:val="105"/>
        </w:rPr>
        <w:t>factors</w:t>
      </w:r>
      <w:r>
        <w:rPr>
          <w:color w:val="231F20"/>
          <w:spacing w:val="-7"/>
          <w:w w:val="105"/>
        </w:rPr>
        <w:t> </w:t>
      </w:r>
      <w:r>
        <w:rPr>
          <w:color w:val="231F20"/>
          <w:w w:val="105"/>
        </w:rPr>
        <w:t>that</w:t>
      </w:r>
      <w:r>
        <w:rPr>
          <w:color w:val="231F20"/>
          <w:spacing w:val="-7"/>
          <w:w w:val="105"/>
        </w:rPr>
        <w:t> </w:t>
      </w:r>
      <w:r>
        <w:rPr>
          <w:color w:val="231F20"/>
          <w:w w:val="105"/>
        </w:rPr>
        <w:t>are</w:t>
      </w:r>
      <w:r>
        <w:rPr>
          <w:color w:val="231F20"/>
          <w:spacing w:val="-8"/>
          <w:w w:val="105"/>
        </w:rPr>
        <w:t> </w:t>
      </w:r>
      <w:r>
        <w:rPr>
          <w:color w:val="231F20"/>
          <w:w w:val="105"/>
        </w:rPr>
        <w:t>known</w:t>
      </w:r>
      <w:r>
        <w:rPr>
          <w:color w:val="231F20"/>
          <w:spacing w:val="-7"/>
          <w:w w:val="105"/>
        </w:rPr>
        <w:t> </w:t>
      </w:r>
      <w:r>
        <w:rPr>
          <w:color w:val="231F20"/>
          <w:w w:val="105"/>
        </w:rPr>
        <w:t>to</w:t>
      </w:r>
      <w:r>
        <w:rPr>
          <w:color w:val="231F20"/>
          <w:spacing w:val="-7"/>
          <w:w w:val="105"/>
        </w:rPr>
        <w:t> </w:t>
      </w:r>
      <w:r>
        <w:rPr>
          <w:color w:val="231F20"/>
          <w:w w:val="105"/>
        </w:rPr>
        <w:t>influence</w:t>
      </w:r>
      <w:r>
        <w:rPr>
          <w:color w:val="231F20"/>
          <w:w w:val="100"/>
        </w:rPr>
        <w:t> </w:t>
      </w:r>
      <w:r>
        <w:rPr>
          <w:color w:val="231F20"/>
          <w:w w:val="105"/>
        </w:rPr>
        <w:t>calcium excretion by the renal tubules is shown</w:t>
      </w:r>
      <w:r>
        <w:rPr>
          <w:color w:val="231F20"/>
          <w:spacing w:val="41"/>
          <w:w w:val="105"/>
        </w:rPr>
        <w:t> </w:t>
      </w:r>
      <w:r>
        <w:rPr>
          <w:color w:val="231F20"/>
          <w:w w:val="105"/>
        </w:rPr>
        <w:t>in</w:t>
      </w:r>
    </w:p>
    <w:p>
      <w:pPr>
        <w:spacing w:before="3"/>
        <w:ind w:left="740" w:right="0" w:firstLine="0"/>
        <w:jc w:val="left"/>
        <w:rPr>
          <w:sz w:val="20"/>
        </w:rPr>
      </w:pPr>
      <w:hyperlink w:history="true" w:anchor="_bookmark95">
        <w:r>
          <w:rPr>
            <w:rFonts w:ascii="Cambria"/>
            <w:b/>
            <w:color w:val="0080AC"/>
            <w:sz w:val="20"/>
          </w:rPr>
          <w:t>Table 30-2</w:t>
        </w:r>
      </w:hyperlink>
      <w:r>
        <w:rPr>
          <w:color w:val="231F20"/>
          <w:sz w:val="20"/>
        </w:rPr>
        <w:t>.</w:t>
      </w:r>
    </w:p>
    <w:p>
      <w:pPr>
        <w:pStyle w:val="BodyText"/>
        <w:spacing w:before="5"/>
        <w:rPr>
          <w:sz w:val="31"/>
        </w:rPr>
      </w:pPr>
    </w:p>
    <w:p>
      <w:pPr>
        <w:spacing w:line="225" w:lineRule="auto" w:before="0"/>
        <w:ind w:left="740" w:right="2158" w:firstLine="0"/>
        <w:jc w:val="left"/>
        <w:rPr>
          <w:rFonts w:ascii="Trebuchet MS"/>
          <w:b/>
          <w:sz w:val="22"/>
        </w:rPr>
      </w:pPr>
      <w:r>
        <w:rPr>
          <w:rFonts w:ascii="Trebuchet MS"/>
          <w:b/>
          <w:color w:val="231F20"/>
          <w:sz w:val="22"/>
        </w:rPr>
        <w:t>REGULATION OF RENAL PHOSPHATE EXCRETION</w:t>
      </w:r>
    </w:p>
    <w:p>
      <w:pPr>
        <w:spacing w:after="0" w:line="225" w:lineRule="auto"/>
        <w:jc w:val="left"/>
        <w:rPr>
          <w:rFonts w:ascii="Trebuchet MS"/>
          <w:sz w:val="22"/>
        </w:rPr>
        <w:sectPr>
          <w:type w:val="continuous"/>
          <w:pgSz w:w="12240" w:h="15660"/>
          <w:pgMar w:top="0" w:bottom="760" w:left="0" w:right="0"/>
          <w:cols w:num="3" w:equalWidth="0">
            <w:col w:w="2859" w:space="40"/>
            <w:col w:w="2801" w:space="39"/>
            <w:col w:w="6501"/>
          </w:cols>
        </w:sectPr>
      </w:pPr>
    </w:p>
    <w:p>
      <w:pPr>
        <w:pStyle w:val="BodyText"/>
        <w:spacing w:before="6"/>
        <w:rPr>
          <w:rFonts w:ascii="Trebuchet MS"/>
          <w:b/>
          <w:sz w:val="17"/>
        </w:rPr>
      </w:pPr>
      <w:r>
        <w:rPr/>
        <w:pict>
          <v:group style="position:absolute;margin-left:0pt;margin-top:0pt;width:612pt;height:180pt;mso-position-horizontal-relative:page;mso-position-vertical-relative:page;z-index:-27277721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p>
    <w:p>
      <w:pPr>
        <w:spacing w:line="259" w:lineRule="auto" w:before="1"/>
        <w:ind w:left="1440" w:right="-7" w:firstLine="0"/>
        <w:jc w:val="left"/>
        <w:rPr>
          <w:rFonts w:ascii="Arial"/>
          <w:sz w:val="16"/>
        </w:rPr>
      </w:pPr>
      <w:bookmarkStart w:name="_bookmark94" w:id="95"/>
      <w:bookmarkEnd w:id="95"/>
      <w:r>
        <w:rPr/>
      </w:r>
      <w:r>
        <w:rPr>
          <w:rFonts w:ascii="Trebuchet MS"/>
          <w:b/>
          <w:color w:val="231F20"/>
          <w:sz w:val="16"/>
        </w:rPr>
        <w:t>Figure</w:t>
      </w:r>
      <w:r>
        <w:rPr>
          <w:rFonts w:ascii="Trebuchet MS"/>
          <w:b/>
          <w:color w:val="231F20"/>
          <w:spacing w:val="-12"/>
          <w:sz w:val="16"/>
        </w:rPr>
        <w:t> </w:t>
      </w:r>
      <w:r>
        <w:rPr>
          <w:rFonts w:ascii="Trebuchet MS"/>
          <w:b/>
          <w:color w:val="231F20"/>
          <w:sz w:val="16"/>
        </w:rPr>
        <w:t>30-12.</w:t>
      </w:r>
      <w:r>
        <w:rPr>
          <w:rFonts w:ascii="Trebuchet MS"/>
          <w:b/>
          <w:color w:val="231F20"/>
          <w:spacing w:val="-1"/>
          <w:sz w:val="16"/>
        </w:rPr>
        <w:t> </w:t>
      </w:r>
      <w:r>
        <w:rPr>
          <w:rFonts w:ascii="Arial"/>
          <w:color w:val="231F20"/>
          <w:sz w:val="16"/>
        </w:rPr>
        <w:t>Mechanisms</w:t>
      </w:r>
      <w:r>
        <w:rPr>
          <w:rFonts w:ascii="Arial"/>
          <w:color w:val="231F20"/>
          <w:spacing w:val="-9"/>
          <w:sz w:val="16"/>
        </w:rPr>
        <w:t> </w:t>
      </w:r>
      <w:r>
        <w:rPr>
          <w:rFonts w:ascii="Arial"/>
          <w:color w:val="231F20"/>
          <w:sz w:val="16"/>
        </w:rPr>
        <w:t>of</w:t>
      </w:r>
      <w:r>
        <w:rPr>
          <w:rFonts w:ascii="Arial"/>
          <w:color w:val="231F20"/>
          <w:spacing w:val="-8"/>
          <w:sz w:val="16"/>
        </w:rPr>
        <w:t> </w:t>
      </w:r>
      <w:r>
        <w:rPr>
          <w:rFonts w:ascii="Arial"/>
          <w:color w:val="231F20"/>
          <w:sz w:val="16"/>
        </w:rPr>
        <w:t>calcium</w:t>
      </w:r>
      <w:r>
        <w:rPr>
          <w:rFonts w:ascii="Arial"/>
          <w:color w:val="231F20"/>
          <w:spacing w:val="-8"/>
          <w:sz w:val="16"/>
        </w:rPr>
        <w:t> </w:t>
      </w:r>
      <w:r>
        <w:rPr>
          <w:rFonts w:ascii="Arial"/>
          <w:color w:val="231F20"/>
          <w:sz w:val="16"/>
        </w:rPr>
        <w:t>reabsorption</w:t>
      </w:r>
      <w:r>
        <w:rPr>
          <w:rFonts w:ascii="Arial"/>
          <w:color w:val="231F20"/>
          <w:spacing w:val="-8"/>
          <w:sz w:val="16"/>
        </w:rPr>
        <w:t> </w:t>
      </w:r>
      <w:r>
        <w:rPr>
          <w:rFonts w:ascii="Arial"/>
          <w:color w:val="231F20"/>
          <w:sz w:val="16"/>
        </w:rPr>
        <w:t>by</w:t>
      </w:r>
      <w:r>
        <w:rPr>
          <w:rFonts w:ascii="Arial"/>
          <w:color w:val="231F20"/>
          <w:spacing w:val="-9"/>
          <w:sz w:val="16"/>
        </w:rPr>
        <w:t> </w:t>
      </w:r>
      <w:r>
        <w:rPr>
          <w:rFonts w:ascii="Arial"/>
          <w:color w:val="231F20"/>
          <w:spacing w:val="-2"/>
          <w:sz w:val="16"/>
        </w:rPr>
        <w:t>paracellular </w:t>
      </w:r>
      <w:r>
        <w:rPr>
          <w:rFonts w:ascii="Arial"/>
          <w:color w:val="231F20"/>
          <w:sz w:val="16"/>
        </w:rPr>
        <w:t>and transcellular pathways in the proximal tubular</w:t>
      </w:r>
      <w:r>
        <w:rPr>
          <w:rFonts w:ascii="Arial"/>
          <w:color w:val="231F20"/>
          <w:spacing w:val="14"/>
          <w:sz w:val="16"/>
        </w:rPr>
        <w:t> </w:t>
      </w:r>
      <w:r>
        <w:rPr>
          <w:rFonts w:ascii="Arial"/>
          <w:color w:val="231F20"/>
          <w:sz w:val="16"/>
        </w:rPr>
        <w:t>cells.</w:t>
      </w:r>
    </w:p>
    <w:p>
      <w:pPr>
        <w:pStyle w:val="BodyText"/>
        <w:spacing w:line="249" w:lineRule="auto" w:before="128"/>
        <w:ind w:left="319" w:right="987"/>
      </w:pPr>
      <w:r>
        <w:rPr/>
        <w:br w:type="column"/>
      </w:r>
      <w:r>
        <w:rPr>
          <w:color w:val="231F20"/>
          <w:w w:val="105"/>
        </w:rPr>
        <w:t>Phosphate excretion by the kidneys is controlled primar- ily by an overflow mechanism that can be explained as</w:t>
      </w:r>
    </w:p>
    <w:p>
      <w:pPr>
        <w:spacing w:after="0" w:line="249" w:lineRule="auto"/>
        <w:sectPr>
          <w:type w:val="continuous"/>
          <w:pgSz w:w="12240" w:h="15660"/>
          <w:pgMar w:top="0" w:bottom="760" w:left="0" w:right="0"/>
          <w:cols w:num="2" w:equalWidth="0">
            <w:col w:w="6121" w:space="40"/>
            <w:col w:w="6079"/>
          </w:cols>
        </w:sectPr>
      </w:pPr>
    </w:p>
    <w:p>
      <w:pPr>
        <w:pStyle w:val="BodyText"/>
        <w:spacing w:before="1"/>
      </w:pPr>
    </w:p>
    <w:p>
      <w:pPr>
        <w:spacing w:line="252" w:lineRule="auto" w:before="100"/>
        <w:ind w:left="1080" w:right="7840" w:firstLine="0"/>
        <w:jc w:val="left"/>
        <w:rPr>
          <w:rFonts w:ascii="Trebuchet MS"/>
          <w:sz w:val="18"/>
        </w:rPr>
      </w:pPr>
      <w:r>
        <w:rPr/>
        <w:pict>
          <v:shape style="position:absolute;margin-left:306pt;margin-top:7.75467pt;width:234pt;height:40pt;mso-position-horizontal-relative:page;mso-position-vertical-relative:paragraph;z-index:252636160" type="#_x0000_t202" filled="true" fillcolor="#e8dac8" stroked="false">
            <v:textbox inset="0,0,0,0">
              <w:txbxContent>
                <w:p>
                  <w:pPr>
                    <w:spacing w:line="225" w:lineRule="auto" w:before="46"/>
                    <w:ind w:left="60" w:right="0" w:firstLine="0"/>
                    <w:jc w:val="left"/>
                    <w:rPr>
                      <w:rFonts w:ascii="Trebuchet MS"/>
                      <w:b/>
                      <w:sz w:val="22"/>
                    </w:rPr>
                  </w:pPr>
                  <w:r>
                    <w:rPr>
                      <w:rFonts w:ascii="Trebuchet MS"/>
                      <w:b/>
                      <w:color w:val="231F20"/>
                      <w:w w:val="110"/>
                      <w:sz w:val="22"/>
                    </w:rPr>
                    <w:t>CONTROL OF RENAL MAGNESIUM EXCRETION AND EXTRACELLULAR MAGNESIUM ION CONCENTRATION</w:t>
                  </w:r>
                </w:p>
              </w:txbxContent>
            </v:textbox>
            <v:fill type="solid"/>
            <w10:wrap type="none"/>
          </v:shape>
        </w:pict>
      </w:r>
      <w:r>
        <w:rPr/>
        <w:pict>
          <v:shape style="position:absolute;margin-left:54pt;margin-top:32.450668pt;width:234pt;height:95.6pt;mso-position-horizontal-relative:page;mso-position-vertical-relative:paragraph;z-index:2526371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0"/>
                  </w:tblGrid>
                  <w:tr>
                    <w:trPr>
                      <w:trHeight w:val="264" w:hRule="atLeast"/>
                    </w:trPr>
                    <w:tc>
                      <w:tcPr>
                        <w:tcW w:w="4680" w:type="dxa"/>
                        <w:shd w:val="clear" w:color="auto" w:fill="D1DDF1"/>
                      </w:tcPr>
                      <w:p>
                        <w:pPr>
                          <w:pStyle w:val="TableParagraph"/>
                          <w:tabs>
                            <w:tab w:pos="2459" w:val="left" w:leader="none"/>
                          </w:tabs>
                          <w:spacing w:before="34"/>
                          <w:ind w:left="120"/>
                          <w:rPr>
                            <w:b/>
                            <w:sz w:val="16"/>
                          </w:rPr>
                        </w:pPr>
                        <w:r>
                          <w:rPr>
                            <w:rFonts w:ascii="Consolas" w:hAnsi="Consolas"/>
                            <w:b/>
                            <w:color w:val="231F20"/>
                            <w:sz w:val="16"/>
                          </w:rPr>
                          <w:t>↓</w:t>
                        </w:r>
                        <w:r>
                          <w:rPr>
                            <w:rFonts w:ascii="Consolas" w:hAnsi="Consolas"/>
                            <w:b/>
                            <w:color w:val="231F20"/>
                            <w:spacing w:val="-39"/>
                            <w:sz w:val="16"/>
                          </w:rPr>
                          <w:t> </w:t>
                        </w:r>
                        <w:r>
                          <w:rPr>
                            <w:b/>
                            <w:color w:val="231F20"/>
                            <w:sz w:val="16"/>
                          </w:rPr>
                          <w:t>Calcium</w:t>
                        </w:r>
                        <w:r>
                          <w:rPr>
                            <w:b/>
                            <w:color w:val="231F20"/>
                            <w:spacing w:val="1"/>
                            <w:sz w:val="16"/>
                          </w:rPr>
                          <w:t> </w:t>
                        </w:r>
                        <w:r>
                          <w:rPr>
                            <w:b/>
                            <w:color w:val="231F20"/>
                            <w:sz w:val="16"/>
                          </w:rPr>
                          <w:t>Excretion</w:t>
                          <w:tab/>
                        </w:r>
                        <w:r>
                          <w:rPr>
                            <w:rFonts w:ascii="Consolas" w:hAnsi="Consolas"/>
                            <w:b/>
                            <w:color w:val="231F20"/>
                            <w:sz w:val="16"/>
                          </w:rPr>
                          <w:t>↑ </w:t>
                        </w:r>
                        <w:r>
                          <w:rPr>
                            <w:b/>
                            <w:color w:val="231F20"/>
                            <w:sz w:val="16"/>
                          </w:rPr>
                          <w:t>Calcium</w:t>
                        </w:r>
                        <w:r>
                          <w:rPr>
                            <w:b/>
                            <w:color w:val="231F20"/>
                            <w:spacing w:val="-32"/>
                            <w:sz w:val="16"/>
                          </w:rPr>
                          <w:t> </w:t>
                        </w:r>
                        <w:r>
                          <w:rPr>
                            <w:b/>
                            <w:color w:val="231F20"/>
                            <w:sz w:val="16"/>
                          </w:rPr>
                          <w:t>Excretion</w:t>
                        </w:r>
                      </w:p>
                    </w:tc>
                  </w:tr>
                  <w:tr>
                    <w:trPr>
                      <w:trHeight w:val="259" w:hRule="atLeast"/>
                    </w:trPr>
                    <w:tc>
                      <w:tcPr>
                        <w:tcW w:w="4680" w:type="dxa"/>
                        <w:tcBorders>
                          <w:bottom w:val="single" w:sz="4" w:space="0" w:color="FFFFFF"/>
                        </w:tcBorders>
                        <w:shd w:val="clear" w:color="auto" w:fill="E6ECF7"/>
                      </w:tcPr>
                      <w:p>
                        <w:pPr>
                          <w:pStyle w:val="TableParagraph"/>
                          <w:tabs>
                            <w:tab w:pos="2459" w:val="left" w:leader="none"/>
                          </w:tabs>
                          <w:spacing w:before="24"/>
                          <w:ind w:left="120"/>
                          <w:rPr>
                            <w:sz w:val="16"/>
                          </w:rPr>
                        </w:pPr>
                        <w:r>
                          <w:rPr>
                            <w:rFonts w:ascii="Consolas" w:hAnsi="Consolas"/>
                            <w:color w:val="231F20"/>
                            <w:w w:val="110"/>
                            <w:sz w:val="16"/>
                          </w:rPr>
                          <w:t>↑</w:t>
                        </w:r>
                        <w:r>
                          <w:rPr>
                            <w:rFonts w:ascii="Consolas" w:hAnsi="Consolas"/>
                            <w:color w:val="231F20"/>
                            <w:spacing w:val="-58"/>
                            <w:w w:val="110"/>
                            <w:sz w:val="16"/>
                          </w:rPr>
                          <w:t> </w:t>
                        </w:r>
                        <w:r>
                          <w:rPr>
                            <w:color w:val="231F20"/>
                            <w:w w:val="110"/>
                            <w:sz w:val="16"/>
                          </w:rPr>
                          <w:t>Parathyroid</w:t>
                        </w:r>
                        <w:r>
                          <w:rPr>
                            <w:color w:val="231F20"/>
                            <w:spacing w:val="-13"/>
                            <w:w w:val="110"/>
                            <w:sz w:val="16"/>
                          </w:rPr>
                          <w:t> </w:t>
                        </w:r>
                        <w:r>
                          <w:rPr>
                            <w:color w:val="231F20"/>
                            <w:w w:val="110"/>
                            <w:sz w:val="16"/>
                          </w:rPr>
                          <w:t>hormone</w:t>
                          <w:tab/>
                        </w:r>
                        <w:r>
                          <w:rPr>
                            <w:rFonts w:ascii="Consolas" w:hAnsi="Consolas"/>
                            <w:color w:val="231F20"/>
                            <w:w w:val="110"/>
                            <w:sz w:val="16"/>
                          </w:rPr>
                          <w:t>↓</w:t>
                        </w:r>
                        <w:r>
                          <w:rPr>
                            <w:rFonts w:ascii="Consolas" w:hAnsi="Consolas"/>
                            <w:color w:val="231F20"/>
                            <w:spacing w:val="-54"/>
                            <w:w w:val="110"/>
                            <w:sz w:val="16"/>
                          </w:rPr>
                          <w:t> </w:t>
                        </w:r>
                        <w:r>
                          <w:rPr>
                            <w:color w:val="231F20"/>
                            <w:w w:val="110"/>
                            <w:sz w:val="16"/>
                          </w:rPr>
                          <w:t>Parathyroid hormone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2459" w:val="left" w:leader="none"/>
                          </w:tabs>
                          <w:ind w:left="120"/>
                          <w:rPr>
                            <w:sz w:val="16"/>
                          </w:rPr>
                        </w:pPr>
                        <w:r>
                          <w:rPr>
                            <w:rFonts w:ascii="Consolas" w:hAnsi="Consolas"/>
                            <w:color w:val="231F20"/>
                            <w:w w:val="105"/>
                            <w:sz w:val="16"/>
                          </w:rPr>
                          <w:t>↓</w:t>
                        </w:r>
                        <w:r>
                          <w:rPr>
                            <w:rFonts w:ascii="Consolas" w:hAnsi="Consolas"/>
                            <w:color w:val="231F20"/>
                            <w:spacing w:val="-48"/>
                            <w:w w:val="105"/>
                            <w:sz w:val="16"/>
                          </w:rPr>
                          <w:t> </w:t>
                        </w:r>
                        <w:r>
                          <w:rPr>
                            <w:color w:val="231F20"/>
                            <w:w w:val="105"/>
                            <w:sz w:val="16"/>
                          </w:rPr>
                          <w:t>Extracellular fluid</w:t>
                        </w:r>
                        <w:r>
                          <w:rPr>
                            <w:color w:val="231F20"/>
                            <w:spacing w:val="-3"/>
                            <w:w w:val="105"/>
                            <w:sz w:val="16"/>
                          </w:rPr>
                          <w:t> </w:t>
                        </w:r>
                        <w:r>
                          <w:rPr>
                            <w:color w:val="231F20"/>
                            <w:w w:val="105"/>
                            <w:sz w:val="16"/>
                          </w:rPr>
                          <w:t>volume</w:t>
                          <w:tab/>
                        </w:r>
                        <w:r>
                          <w:rPr>
                            <w:rFonts w:ascii="Consolas" w:hAnsi="Consolas"/>
                            <w:color w:val="231F20"/>
                            <w:w w:val="105"/>
                            <w:sz w:val="16"/>
                          </w:rPr>
                          <w:t>↑</w:t>
                        </w:r>
                        <w:r>
                          <w:rPr>
                            <w:rFonts w:ascii="Consolas" w:hAnsi="Consolas"/>
                            <w:color w:val="231F20"/>
                            <w:spacing w:val="-48"/>
                            <w:w w:val="105"/>
                            <w:sz w:val="16"/>
                          </w:rPr>
                          <w:t> </w:t>
                        </w:r>
                        <w:r>
                          <w:rPr>
                            <w:color w:val="231F20"/>
                            <w:w w:val="105"/>
                            <w:sz w:val="16"/>
                          </w:rPr>
                          <w:t>Extracellular fluid volume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2459" w:val="left" w:leader="none"/>
                          </w:tabs>
                          <w:ind w:left="120"/>
                          <w:rPr>
                            <w:sz w:val="16"/>
                          </w:rPr>
                        </w:pPr>
                        <w:r>
                          <w:rPr>
                            <w:rFonts w:ascii="Consolas" w:hAnsi="Consolas"/>
                            <w:color w:val="231F20"/>
                            <w:w w:val="105"/>
                            <w:sz w:val="16"/>
                          </w:rPr>
                          <w:t>↓</w:t>
                        </w:r>
                        <w:r>
                          <w:rPr>
                            <w:rFonts w:ascii="Consolas" w:hAnsi="Consolas"/>
                            <w:color w:val="231F20"/>
                            <w:spacing w:val="-38"/>
                            <w:w w:val="105"/>
                            <w:sz w:val="16"/>
                          </w:rPr>
                          <w:t> </w:t>
                        </w:r>
                        <w:r>
                          <w:rPr>
                            <w:color w:val="231F20"/>
                            <w:w w:val="105"/>
                            <w:sz w:val="16"/>
                          </w:rPr>
                          <w:t>Blood</w:t>
                        </w:r>
                        <w:r>
                          <w:rPr>
                            <w:color w:val="231F20"/>
                            <w:spacing w:val="5"/>
                            <w:w w:val="105"/>
                            <w:sz w:val="16"/>
                          </w:rPr>
                          <w:t> </w:t>
                        </w:r>
                        <w:r>
                          <w:rPr>
                            <w:color w:val="231F20"/>
                            <w:w w:val="105"/>
                            <w:sz w:val="16"/>
                          </w:rPr>
                          <w:t>pressure</w:t>
                          <w:tab/>
                        </w:r>
                        <w:r>
                          <w:rPr>
                            <w:rFonts w:ascii="Consolas" w:hAnsi="Consolas"/>
                            <w:color w:val="231F20"/>
                            <w:w w:val="105"/>
                            <w:sz w:val="16"/>
                          </w:rPr>
                          <w:t>↑</w:t>
                        </w:r>
                        <w:r>
                          <w:rPr>
                            <w:rFonts w:ascii="Consolas" w:hAnsi="Consolas"/>
                            <w:color w:val="231F20"/>
                            <w:spacing w:val="-36"/>
                            <w:w w:val="105"/>
                            <w:sz w:val="16"/>
                          </w:rPr>
                          <w:t> </w:t>
                        </w:r>
                        <w:r>
                          <w:rPr>
                            <w:color w:val="231F20"/>
                            <w:w w:val="105"/>
                            <w:sz w:val="16"/>
                          </w:rPr>
                          <w:t>Blood pressure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2459" w:val="left" w:leader="none"/>
                          </w:tabs>
                          <w:ind w:left="120"/>
                          <w:rPr>
                            <w:sz w:val="16"/>
                          </w:rPr>
                        </w:pPr>
                        <w:r>
                          <w:rPr>
                            <w:rFonts w:ascii="Consolas" w:hAnsi="Consolas"/>
                            <w:color w:val="231F20"/>
                            <w:w w:val="105"/>
                            <w:sz w:val="16"/>
                          </w:rPr>
                          <w:t>↑</w:t>
                        </w:r>
                        <w:r>
                          <w:rPr>
                            <w:rFonts w:ascii="Consolas" w:hAnsi="Consolas"/>
                            <w:color w:val="231F20"/>
                            <w:spacing w:val="-38"/>
                            <w:w w:val="105"/>
                            <w:sz w:val="16"/>
                          </w:rPr>
                          <w:t> </w:t>
                        </w:r>
                        <w:r>
                          <w:rPr>
                            <w:color w:val="231F20"/>
                            <w:w w:val="105"/>
                            <w:sz w:val="16"/>
                          </w:rPr>
                          <w:t>Plasma</w:t>
                        </w:r>
                        <w:r>
                          <w:rPr>
                            <w:color w:val="231F20"/>
                            <w:spacing w:val="5"/>
                            <w:w w:val="105"/>
                            <w:sz w:val="16"/>
                          </w:rPr>
                          <w:t> </w:t>
                        </w:r>
                        <w:r>
                          <w:rPr>
                            <w:color w:val="231F20"/>
                            <w:w w:val="105"/>
                            <w:sz w:val="16"/>
                          </w:rPr>
                          <w:t>phosphate</w:t>
                          <w:tab/>
                        </w:r>
                        <w:r>
                          <w:rPr>
                            <w:rFonts w:ascii="Consolas" w:hAnsi="Consolas"/>
                            <w:color w:val="231F20"/>
                            <w:w w:val="105"/>
                            <w:sz w:val="16"/>
                          </w:rPr>
                          <w:t>↓</w:t>
                        </w:r>
                        <w:r>
                          <w:rPr>
                            <w:rFonts w:ascii="Consolas" w:hAnsi="Consolas"/>
                            <w:color w:val="231F20"/>
                            <w:spacing w:val="-36"/>
                            <w:w w:val="105"/>
                            <w:sz w:val="16"/>
                          </w:rPr>
                          <w:t> </w:t>
                        </w:r>
                        <w:r>
                          <w:rPr>
                            <w:color w:val="231F20"/>
                            <w:w w:val="105"/>
                            <w:sz w:val="16"/>
                          </w:rPr>
                          <w:t>Plasma phosphate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tabs>
                            <w:tab w:pos="2459" w:val="left" w:leader="none"/>
                          </w:tabs>
                          <w:ind w:left="120"/>
                          <w:rPr>
                            <w:sz w:val="16"/>
                          </w:rPr>
                        </w:pPr>
                        <w:r>
                          <w:rPr>
                            <w:color w:val="231F20"/>
                            <w:w w:val="105"/>
                            <w:sz w:val="16"/>
                          </w:rPr>
                          <w:t>Metabolic</w:t>
                        </w:r>
                        <w:r>
                          <w:rPr>
                            <w:color w:val="231F20"/>
                            <w:spacing w:val="4"/>
                            <w:w w:val="105"/>
                            <w:sz w:val="16"/>
                          </w:rPr>
                          <w:t> </w:t>
                        </w:r>
                        <w:r>
                          <w:rPr>
                            <w:color w:val="231F20"/>
                            <w:w w:val="105"/>
                            <w:sz w:val="16"/>
                          </w:rPr>
                          <w:t>alkalosis</w:t>
                          <w:tab/>
                          <w:t>Metabolic</w:t>
                        </w:r>
                        <w:r>
                          <w:rPr>
                            <w:color w:val="231F20"/>
                            <w:spacing w:val="2"/>
                            <w:w w:val="105"/>
                            <w:sz w:val="16"/>
                          </w:rPr>
                          <w:t> </w:t>
                        </w:r>
                        <w:r>
                          <w:rPr>
                            <w:color w:val="231F20"/>
                            <w:w w:val="105"/>
                            <w:sz w:val="16"/>
                          </w:rPr>
                          <w:t>acidosis</w:t>
                        </w:r>
                      </w:p>
                    </w:tc>
                  </w:tr>
                  <w:tr>
                    <w:trPr>
                      <w:trHeight w:val="279" w:hRule="atLeast"/>
                    </w:trPr>
                    <w:tc>
                      <w:tcPr>
                        <w:tcW w:w="4680" w:type="dxa"/>
                        <w:tcBorders>
                          <w:top w:val="single" w:sz="4" w:space="0" w:color="FFFFFF"/>
                        </w:tcBorders>
                        <w:shd w:val="clear" w:color="auto" w:fill="E6ECF7"/>
                      </w:tcPr>
                      <w:p>
                        <w:pPr>
                          <w:pStyle w:val="TableParagraph"/>
                          <w:ind w:left="120"/>
                          <w:rPr>
                            <w:sz w:val="9"/>
                          </w:rPr>
                        </w:pPr>
                        <w:r>
                          <w:rPr>
                            <w:color w:val="231F20"/>
                            <w:w w:val="110"/>
                            <w:sz w:val="16"/>
                          </w:rPr>
                          <w:t>Vitamin D</w:t>
                        </w:r>
                        <w:r>
                          <w:rPr>
                            <w:color w:val="231F20"/>
                            <w:w w:val="110"/>
                            <w:position w:val="-1"/>
                            <w:sz w:val="9"/>
                          </w:rPr>
                          <w:t>3</w:t>
                        </w:r>
                      </w:p>
                    </w:tc>
                  </w:tr>
                </w:tbl>
                <w:p>
                  <w:pPr>
                    <w:pStyle w:val="BodyText"/>
                  </w:pPr>
                </w:p>
              </w:txbxContent>
            </v:textbox>
            <w10:wrap type="none"/>
          </v:shape>
        </w:pict>
      </w:r>
      <w:bookmarkStart w:name="_bookmark95" w:id="96"/>
      <w:bookmarkEnd w:id="96"/>
      <w:r>
        <w:rPr/>
      </w:r>
      <w:r>
        <w:rPr>
          <w:rFonts w:ascii="Trebuchet MS"/>
          <w:b/>
          <w:color w:val="231F20"/>
          <w:sz w:val="18"/>
        </w:rPr>
        <w:t>Table 30-2 </w:t>
      </w:r>
      <w:r>
        <w:rPr>
          <w:rFonts w:ascii="Trebuchet MS"/>
          <w:color w:val="231F20"/>
          <w:sz w:val="18"/>
        </w:rPr>
        <w:t>Factors That Alter Renal Calcium Excretion</w:t>
      </w:r>
    </w:p>
    <w:p>
      <w:pPr>
        <w:pStyle w:val="BodyText"/>
        <w:rPr>
          <w:rFonts w:ascii="Trebuchet MS"/>
        </w:rPr>
      </w:pPr>
    </w:p>
    <w:p>
      <w:pPr>
        <w:pStyle w:val="BodyText"/>
        <w:spacing w:before="9" w:after="1"/>
        <w:rPr>
          <w:rFonts w:ascii="Trebuchet MS"/>
          <w:sz w:val="15"/>
        </w:rPr>
      </w:pPr>
    </w:p>
    <w:p>
      <w:pPr>
        <w:pStyle w:val="BodyText"/>
        <w:spacing w:line="20" w:lineRule="exact"/>
        <w:ind w:left="6115"/>
        <w:rPr>
          <w:rFonts w:ascii="Trebuchet MS"/>
          <w:sz w:val="2"/>
        </w:rPr>
      </w:pPr>
      <w:r>
        <w:rPr>
          <w:rFonts w:ascii="Trebuchet MS"/>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rFonts w:ascii="Trebuchet MS"/>
          <w:sz w:val="2"/>
        </w:rPr>
      </w:r>
    </w:p>
    <w:p>
      <w:pPr>
        <w:spacing w:after="0" w:line="20" w:lineRule="exact"/>
        <w:rPr>
          <w:rFonts w:ascii="Trebuchet MS"/>
          <w:sz w:val="2"/>
        </w:rPr>
        <w:sectPr>
          <w:headerReference w:type="even" r:id="rId903"/>
          <w:footerReference w:type="even" r:id="rId904"/>
          <w:footerReference w:type="default" r:id="rId905"/>
          <w:pgSz w:w="12240" w:h="15660"/>
          <w:pgMar w:header="0" w:footer="567" w:top="720" w:bottom="760" w:left="0" w:right="0"/>
          <w:pgNumType w:start="398"/>
        </w:sect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spacing w:before="8"/>
        <w:rPr>
          <w:rFonts w:ascii="Trebuchet MS"/>
          <w:sz w:val="31"/>
        </w:rPr>
      </w:pPr>
    </w:p>
    <w:p>
      <w:pPr>
        <w:pStyle w:val="BodyText"/>
        <w:spacing w:line="249" w:lineRule="auto"/>
        <w:ind w:left="1080"/>
        <w:jc w:val="both"/>
      </w:pPr>
      <w:r>
        <w:rPr/>
        <w:pict>
          <v:rect style="position:absolute;margin-left:0pt;margin-top:-4.014038pt;width:36pt;height:24pt;mso-position-horizontal-relative:page;mso-position-vertical-relative:paragraph;z-index:252635136" filled="true" fillcolor="#e8dac8" stroked="false">
            <v:fill type="solid"/>
            <w10:wrap type="none"/>
          </v:rect>
        </w:pict>
      </w:r>
      <w:r>
        <w:rPr>
          <w:color w:val="231F20"/>
        </w:rPr>
        <w:t>follows: The renal tubules have a normal transport maximum for reabsorbing phosphate of about </w:t>
      </w:r>
      <w:r>
        <w:rPr>
          <w:color w:val="231F20"/>
          <w:spacing w:val="-5"/>
        </w:rPr>
        <w:t>0.1 </w:t>
      </w:r>
      <w:r>
        <w:rPr>
          <w:color w:val="231F20"/>
        </w:rPr>
        <w:t>mmol/min. When less than this amount of phosphate </w:t>
      </w:r>
      <w:r>
        <w:rPr>
          <w:color w:val="231F20"/>
          <w:spacing w:val="-9"/>
        </w:rPr>
        <w:t>is </w:t>
      </w:r>
      <w:r>
        <w:rPr>
          <w:color w:val="231F20"/>
        </w:rPr>
        <w:t>present in the glomerular filtrate, essentially </w:t>
      </w:r>
      <w:r>
        <w:rPr>
          <w:i/>
          <w:color w:val="231F20"/>
        </w:rPr>
        <w:t>all </w:t>
      </w:r>
      <w:r>
        <w:rPr>
          <w:color w:val="231F20"/>
        </w:rPr>
        <w:t>the </w:t>
      </w:r>
      <w:r>
        <w:rPr>
          <w:color w:val="231F20"/>
          <w:spacing w:val="-4"/>
        </w:rPr>
        <w:t>fil- </w:t>
      </w:r>
      <w:r>
        <w:rPr>
          <w:color w:val="231F20"/>
        </w:rPr>
        <w:t>tered phosphate is reabsorbed. When more than this amount is present, the </w:t>
      </w:r>
      <w:r>
        <w:rPr>
          <w:i/>
          <w:color w:val="231F20"/>
        </w:rPr>
        <w:t>excess </w:t>
      </w:r>
      <w:r>
        <w:rPr>
          <w:color w:val="231F20"/>
        </w:rPr>
        <w:t>is excreted. Therefore, </w:t>
      </w:r>
      <w:r>
        <w:rPr>
          <w:color w:val="231F20"/>
          <w:spacing w:val="-3"/>
        </w:rPr>
        <w:t>phos- </w:t>
      </w:r>
      <w:r>
        <w:rPr>
          <w:color w:val="231F20"/>
        </w:rPr>
        <w:t>phate normally begins to spill into the urine when its concentration in the extracellular fluid rises above </w:t>
      </w:r>
      <w:r>
        <w:rPr>
          <w:color w:val="231F20"/>
          <w:spacing w:val="-12"/>
        </w:rPr>
        <w:t>a </w:t>
      </w:r>
      <w:r>
        <w:rPr>
          <w:color w:val="231F20"/>
        </w:rPr>
        <w:t>threshold of about 0.8 mM/L, which gives a tubular load of phosphate of about 0.1 mmol/min, assuming a GFR </w:t>
      </w:r>
      <w:r>
        <w:rPr>
          <w:color w:val="231F20"/>
          <w:spacing w:val="-7"/>
        </w:rPr>
        <w:t>of </w:t>
      </w:r>
      <w:r>
        <w:rPr>
          <w:color w:val="231F20"/>
        </w:rPr>
        <w:t>125 ml/min. Because most people ingest large </w:t>
      </w:r>
      <w:r>
        <w:rPr>
          <w:color w:val="231F20"/>
          <w:spacing w:val="-3"/>
        </w:rPr>
        <w:t>quantities </w:t>
      </w:r>
      <w:r>
        <w:rPr>
          <w:color w:val="231F20"/>
        </w:rPr>
        <w:t>of phosphate in milk products and meat, the </w:t>
      </w:r>
      <w:r>
        <w:rPr>
          <w:color w:val="231F20"/>
          <w:spacing w:val="-3"/>
        </w:rPr>
        <w:t>concentra- </w:t>
      </w:r>
      <w:r>
        <w:rPr>
          <w:color w:val="231F20"/>
        </w:rPr>
        <w:t>tion of phosphate is usually maintained above 1 mM/L, </w:t>
      </w:r>
      <w:r>
        <w:rPr>
          <w:color w:val="231F20"/>
          <w:spacing w:val="-14"/>
        </w:rPr>
        <w:t>a </w:t>
      </w:r>
      <w:r>
        <w:rPr>
          <w:color w:val="231F20"/>
        </w:rPr>
        <w:t>level at which there is continual excretion of phosphate into the</w:t>
      </w:r>
      <w:r>
        <w:rPr>
          <w:color w:val="231F20"/>
          <w:spacing w:val="13"/>
        </w:rPr>
        <w:t> </w:t>
      </w:r>
      <w:r>
        <w:rPr>
          <w:color w:val="231F20"/>
        </w:rPr>
        <w:t>urine.</w:t>
      </w:r>
    </w:p>
    <w:p>
      <w:pPr>
        <w:pStyle w:val="BodyText"/>
        <w:spacing w:line="249" w:lineRule="auto" w:before="13"/>
        <w:ind w:left="1004" w:firstLine="240"/>
        <w:jc w:val="right"/>
      </w:pPr>
      <w:r>
        <w:rPr>
          <w:color w:val="231F20"/>
          <w:w w:val="105"/>
        </w:rPr>
        <w:t>The proximal tubule normally reabsorbs 75 to </w:t>
      </w:r>
      <w:r>
        <w:rPr>
          <w:color w:val="231F20"/>
          <w:spacing w:val="-7"/>
          <w:w w:val="105"/>
        </w:rPr>
        <w:t>80</w:t>
      </w:r>
      <w:r>
        <w:rPr>
          <w:color w:val="231F20"/>
          <w:w w:val="98"/>
        </w:rPr>
        <w:t> </w:t>
      </w:r>
      <w:r>
        <w:rPr>
          <w:color w:val="231F20"/>
          <w:w w:val="105"/>
        </w:rPr>
        <w:t>percent of the filtered phosphate. The distal tubule</w:t>
      </w:r>
      <w:r>
        <w:rPr>
          <w:color w:val="231F20"/>
          <w:spacing w:val="-4"/>
          <w:w w:val="105"/>
        </w:rPr>
        <w:t> reab-</w:t>
      </w:r>
      <w:r>
        <w:rPr>
          <w:color w:val="231F20"/>
          <w:w w:val="109"/>
        </w:rPr>
        <w:t> </w:t>
      </w:r>
      <w:r>
        <w:rPr>
          <w:color w:val="231F20"/>
          <w:w w:val="105"/>
        </w:rPr>
        <w:t>sorbs about 10 percent of the filtered load, and only </w:t>
      </w:r>
      <w:r>
        <w:rPr>
          <w:color w:val="231F20"/>
          <w:spacing w:val="-3"/>
          <w:w w:val="105"/>
        </w:rPr>
        <w:t>very</w:t>
      </w:r>
      <w:r>
        <w:rPr>
          <w:color w:val="231F20"/>
          <w:w w:val="90"/>
        </w:rPr>
        <w:t> </w:t>
      </w:r>
      <w:r>
        <w:rPr>
          <w:color w:val="231F20"/>
          <w:w w:val="105"/>
        </w:rPr>
        <w:t>small amounts are reabsorbed in the loop of Henle, col-</w:t>
      </w:r>
      <w:r>
        <w:rPr>
          <w:color w:val="231F20"/>
          <w:w w:val="109"/>
        </w:rPr>
        <w:t> </w:t>
      </w:r>
      <w:r>
        <w:rPr>
          <w:color w:val="231F20"/>
          <w:w w:val="105"/>
        </w:rPr>
        <w:t>lecting tubules, and collecting ducts. Approximately </w:t>
      </w:r>
      <w:r>
        <w:rPr>
          <w:color w:val="231F20"/>
          <w:spacing w:val="-7"/>
          <w:w w:val="105"/>
        </w:rPr>
        <w:t>10</w:t>
      </w:r>
      <w:r>
        <w:rPr>
          <w:color w:val="231F20"/>
          <w:w w:val="98"/>
        </w:rPr>
        <w:t> </w:t>
      </w:r>
      <w:r>
        <w:rPr>
          <w:color w:val="231F20"/>
          <w:w w:val="105"/>
        </w:rPr>
        <w:t>percent of the filtered phosphate is excreted in the urine.</w:t>
      </w:r>
      <w:r>
        <w:rPr>
          <w:color w:val="231F20"/>
          <w:w w:val="100"/>
        </w:rPr>
        <w:t> </w:t>
      </w:r>
      <w:r>
        <w:rPr>
          <w:color w:val="231F20"/>
          <w:w w:val="105"/>
        </w:rPr>
        <w:t>In the proximal tubule, phosphate reabsorption occurs</w:t>
      </w:r>
      <w:r>
        <w:rPr>
          <w:color w:val="231F20"/>
          <w:w w:val="104"/>
        </w:rPr>
        <w:t> </w:t>
      </w:r>
      <w:r>
        <w:rPr>
          <w:color w:val="231F20"/>
          <w:w w:val="105"/>
        </w:rPr>
        <w:t>mainly through the transcellular </w:t>
      </w:r>
      <w:r>
        <w:rPr>
          <w:color w:val="231F20"/>
          <w:spacing w:val="-3"/>
          <w:w w:val="105"/>
        </w:rPr>
        <w:t>pathway. Phosphate</w:t>
      </w:r>
      <w:r>
        <w:rPr>
          <w:color w:val="231F20"/>
          <w:w w:val="100"/>
        </w:rPr>
        <w:t> </w:t>
      </w:r>
      <w:r>
        <w:rPr>
          <w:color w:val="231F20"/>
          <w:w w:val="105"/>
        </w:rPr>
        <w:t>enters the cell from the lumen by a sodium-phosphate</w:t>
      </w:r>
      <w:r>
        <w:rPr>
          <w:color w:val="231F20"/>
          <w:w w:val="100"/>
        </w:rPr>
        <w:t> </w:t>
      </w:r>
      <w:r>
        <w:rPr>
          <w:color w:val="231F20"/>
          <w:w w:val="105"/>
        </w:rPr>
        <w:t>co-transporter and exits the cell across the basolateral</w:t>
      </w:r>
      <w:r>
        <w:rPr>
          <w:color w:val="231F20"/>
          <w:w w:val="101"/>
        </w:rPr>
        <w:t> </w:t>
      </w:r>
      <w:r>
        <w:rPr>
          <w:color w:val="231F20"/>
          <w:w w:val="105"/>
        </w:rPr>
        <w:t>membrane by a process that is not well understood </w:t>
      </w:r>
      <w:r>
        <w:rPr>
          <w:color w:val="231F20"/>
          <w:spacing w:val="-5"/>
          <w:w w:val="105"/>
        </w:rPr>
        <w:t>but</w:t>
      </w:r>
      <w:r>
        <w:rPr>
          <w:color w:val="231F20"/>
          <w:w w:val="107"/>
        </w:rPr>
        <w:t> </w:t>
      </w:r>
      <w:r>
        <w:rPr>
          <w:color w:val="231F20"/>
          <w:w w:val="105"/>
        </w:rPr>
        <w:t>may involve a counter-transport mechanism in </w:t>
      </w:r>
      <w:r>
        <w:rPr>
          <w:color w:val="231F20"/>
          <w:spacing w:val="-4"/>
          <w:w w:val="105"/>
        </w:rPr>
        <w:t>which</w:t>
      </w:r>
    </w:p>
    <w:p>
      <w:pPr>
        <w:pStyle w:val="BodyText"/>
        <w:spacing w:before="9"/>
        <w:ind w:left="1080"/>
        <w:jc w:val="both"/>
      </w:pPr>
      <w:r>
        <w:rPr>
          <w:color w:val="231F20"/>
        </w:rPr>
        <w:t>phosphate is exchanged for an anion.</w:t>
      </w:r>
    </w:p>
    <w:p>
      <w:pPr>
        <w:pStyle w:val="BodyText"/>
        <w:spacing w:line="249" w:lineRule="auto" w:before="10"/>
        <w:ind w:left="1080" w:firstLine="240"/>
        <w:jc w:val="both"/>
      </w:pPr>
      <w:r>
        <w:rPr>
          <w:color w:val="231F20"/>
          <w:w w:val="105"/>
        </w:rPr>
        <w:t>Changes in tubular phosphate reabsorptive capacity can</w:t>
      </w:r>
      <w:r>
        <w:rPr>
          <w:color w:val="231F20"/>
          <w:spacing w:val="-21"/>
          <w:w w:val="105"/>
        </w:rPr>
        <w:t> </w:t>
      </w:r>
      <w:r>
        <w:rPr>
          <w:color w:val="231F20"/>
          <w:w w:val="105"/>
        </w:rPr>
        <w:t>also</w:t>
      </w:r>
      <w:r>
        <w:rPr>
          <w:color w:val="231F20"/>
          <w:spacing w:val="-20"/>
          <w:w w:val="105"/>
        </w:rPr>
        <w:t> </w:t>
      </w:r>
      <w:r>
        <w:rPr>
          <w:color w:val="231F20"/>
          <w:w w:val="105"/>
        </w:rPr>
        <w:t>occur</w:t>
      </w:r>
      <w:r>
        <w:rPr>
          <w:color w:val="231F20"/>
          <w:spacing w:val="-20"/>
          <w:w w:val="105"/>
        </w:rPr>
        <w:t> </w:t>
      </w:r>
      <w:r>
        <w:rPr>
          <w:color w:val="231F20"/>
          <w:w w:val="105"/>
        </w:rPr>
        <w:t>in</w:t>
      </w:r>
      <w:r>
        <w:rPr>
          <w:color w:val="231F20"/>
          <w:spacing w:val="-21"/>
          <w:w w:val="105"/>
        </w:rPr>
        <w:t> </w:t>
      </w:r>
      <w:r>
        <w:rPr>
          <w:color w:val="231F20"/>
          <w:w w:val="105"/>
        </w:rPr>
        <w:t>different</w:t>
      </w:r>
      <w:r>
        <w:rPr>
          <w:color w:val="231F20"/>
          <w:spacing w:val="-20"/>
          <w:w w:val="105"/>
        </w:rPr>
        <w:t> </w:t>
      </w:r>
      <w:r>
        <w:rPr>
          <w:color w:val="231F20"/>
          <w:w w:val="105"/>
        </w:rPr>
        <w:t>conditions</w:t>
      </w:r>
      <w:r>
        <w:rPr>
          <w:color w:val="231F20"/>
          <w:spacing w:val="-20"/>
          <w:w w:val="105"/>
        </w:rPr>
        <w:t> </w:t>
      </w:r>
      <w:r>
        <w:rPr>
          <w:color w:val="231F20"/>
          <w:w w:val="105"/>
        </w:rPr>
        <w:t>and</w:t>
      </w:r>
      <w:r>
        <w:rPr>
          <w:color w:val="231F20"/>
          <w:spacing w:val="-20"/>
          <w:w w:val="105"/>
        </w:rPr>
        <w:t> </w:t>
      </w:r>
      <w:r>
        <w:rPr>
          <w:color w:val="231F20"/>
          <w:w w:val="105"/>
        </w:rPr>
        <w:t>influence</w:t>
      </w:r>
      <w:r>
        <w:rPr>
          <w:color w:val="231F20"/>
          <w:spacing w:val="-21"/>
          <w:w w:val="105"/>
        </w:rPr>
        <w:t> </w:t>
      </w:r>
      <w:r>
        <w:rPr>
          <w:color w:val="231F20"/>
          <w:w w:val="105"/>
        </w:rPr>
        <w:t>phos- phate</w:t>
      </w:r>
      <w:r>
        <w:rPr>
          <w:color w:val="231F20"/>
          <w:spacing w:val="-22"/>
          <w:w w:val="105"/>
        </w:rPr>
        <w:t> </w:t>
      </w:r>
      <w:r>
        <w:rPr>
          <w:color w:val="231F20"/>
          <w:w w:val="105"/>
        </w:rPr>
        <w:t>excretion.</w:t>
      </w:r>
      <w:r>
        <w:rPr>
          <w:color w:val="231F20"/>
          <w:spacing w:val="-22"/>
          <w:w w:val="105"/>
        </w:rPr>
        <w:t> </w:t>
      </w:r>
      <w:r>
        <w:rPr>
          <w:color w:val="231F20"/>
          <w:spacing w:val="-3"/>
          <w:w w:val="105"/>
        </w:rPr>
        <w:t>For</w:t>
      </w:r>
      <w:r>
        <w:rPr>
          <w:color w:val="231F20"/>
          <w:spacing w:val="-21"/>
          <w:w w:val="105"/>
        </w:rPr>
        <w:t> </w:t>
      </w:r>
      <w:r>
        <w:rPr>
          <w:color w:val="231F20"/>
          <w:w w:val="105"/>
        </w:rPr>
        <w:t>instance,</w:t>
      </w:r>
      <w:r>
        <w:rPr>
          <w:color w:val="231F20"/>
          <w:spacing w:val="-22"/>
          <w:w w:val="105"/>
        </w:rPr>
        <w:t> </w:t>
      </w:r>
      <w:r>
        <w:rPr>
          <w:color w:val="231F20"/>
          <w:w w:val="105"/>
        </w:rPr>
        <w:t>a</w:t>
      </w:r>
      <w:r>
        <w:rPr>
          <w:color w:val="231F20"/>
          <w:spacing w:val="-21"/>
          <w:w w:val="105"/>
        </w:rPr>
        <w:t> </w:t>
      </w:r>
      <w:r>
        <w:rPr>
          <w:color w:val="231F20"/>
          <w:w w:val="105"/>
        </w:rPr>
        <w:t>diet</w:t>
      </w:r>
      <w:r>
        <w:rPr>
          <w:color w:val="231F20"/>
          <w:spacing w:val="-22"/>
          <w:w w:val="105"/>
        </w:rPr>
        <w:t> </w:t>
      </w:r>
      <w:r>
        <w:rPr>
          <w:color w:val="231F20"/>
          <w:w w:val="105"/>
        </w:rPr>
        <w:t>low</w:t>
      </w:r>
      <w:r>
        <w:rPr>
          <w:color w:val="231F20"/>
          <w:spacing w:val="-21"/>
          <w:w w:val="105"/>
        </w:rPr>
        <w:t> </w:t>
      </w:r>
      <w:r>
        <w:rPr>
          <w:color w:val="231F20"/>
          <w:w w:val="105"/>
        </w:rPr>
        <w:t>in</w:t>
      </w:r>
      <w:r>
        <w:rPr>
          <w:color w:val="231F20"/>
          <w:spacing w:val="-22"/>
          <w:w w:val="105"/>
        </w:rPr>
        <w:t> </w:t>
      </w:r>
      <w:r>
        <w:rPr>
          <w:color w:val="231F20"/>
          <w:w w:val="105"/>
        </w:rPr>
        <w:t>phosphate</w:t>
      </w:r>
      <w:r>
        <w:rPr>
          <w:color w:val="231F20"/>
          <w:spacing w:val="-21"/>
          <w:w w:val="105"/>
        </w:rPr>
        <w:t> </w:t>
      </w:r>
      <w:r>
        <w:rPr>
          <w:color w:val="231F20"/>
          <w:w w:val="105"/>
        </w:rPr>
        <w:t>can, over time, increase the reabsorptive transport</w:t>
      </w:r>
      <w:r>
        <w:rPr>
          <w:color w:val="231F20"/>
          <w:spacing w:val="-31"/>
          <w:w w:val="105"/>
        </w:rPr>
        <w:t> </w:t>
      </w:r>
      <w:r>
        <w:rPr>
          <w:color w:val="231F20"/>
          <w:w w:val="105"/>
        </w:rPr>
        <w:t>maximum for phosphate, thereby reducing the tendency for </w:t>
      </w:r>
      <w:r>
        <w:rPr>
          <w:color w:val="231F20"/>
          <w:spacing w:val="-3"/>
          <w:w w:val="105"/>
        </w:rPr>
        <w:t>phos- </w:t>
      </w:r>
      <w:r>
        <w:rPr>
          <w:color w:val="231F20"/>
          <w:w w:val="105"/>
        </w:rPr>
        <w:t>phate to spill over into the</w:t>
      </w:r>
      <w:r>
        <w:rPr>
          <w:color w:val="231F20"/>
          <w:spacing w:val="15"/>
          <w:w w:val="105"/>
        </w:rPr>
        <w:t> </w:t>
      </w:r>
      <w:r>
        <w:rPr>
          <w:color w:val="231F20"/>
          <w:w w:val="105"/>
        </w:rPr>
        <w:t>urine.</w:t>
      </w:r>
    </w:p>
    <w:p>
      <w:pPr>
        <w:pStyle w:val="BodyText"/>
        <w:spacing w:line="249" w:lineRule="auto" w:before="5"/>
        <w:ind w:left="1080" w:firstLine="240"/>
        <w:jc w:val="both"/>
      </w:pPr>
      <w:r>
        <w:rPr>
          <w:color w:val="231F20"/>
          <w:w w:val="105"/>
        </w:rPr>
        <w:t>PTH</w:t>
      </w:r>
      <w:r>
        <w:rPr>
          <w:color w:val="231F20"/>
          <w:spacing w:val="-24"/>
          <w:w w:val="105"/>
        </w:rPr>
        <w:t> </w:t>
      </w:r>
      <w:r>
        <w:rPr>
          <w:color w:val="231F20"/>
          <w:w w:val="105"/>
        </w:rPr>
        <w:t>can</w:t>
      </w:r>
      <w:r>
        <w:rPr>
          <w:color w:val="231F20"/>
          <w:spacing w:val="-24"/>
          <w:w w:val="105"/>
        </w:rPr>
        <w:t> </w:t>
      </w:r>
      <w:r>
        <w:rPr>
          <w:color w:val="231F20"/>
          <w:w w:val="105"/>
        </w:rPr>
        <w:t>play</w:t>
      </w:r>
      <w:r>
        <w:rPr>
          <w:color w:val="231F20"/>
          <w:spacing w:val="-23"/>
          <w:w w:val="105"/>
        </w:rPr>
        <w:t> </w:t>
      </w:r>
      <w:r>
        <w:rPr>
          <w:color w:val="231F20"/>
          <w:w w:val="105"/>
        </w:rPr>
        <w:t>a</w:t>
      </w:r>
      <w:r>
        <w:rPr>
          <w:color w:val="231F20"/>
          <w:spacing w:val="-24"/>
          <w:w w:val="105"/>
        </w:rPr>
        <w:t> </w:t>
      </w:r>
      <w:r>
        <w:rPr>
          <w:color w:val="231F20"/>
          <w:w w:val="105"/>
        </w:rPr>
        <w:t>significant</w:t>
      </w:r>
      <w:r>
        <w:rPr>
          <w:color w:val="231F20"/>
          <w:spacing w:val="-23"/>
          <w:w w:val="105"/>
        </w:rPr>
        <w:t> </w:t>
      </w:r>
      <w:r>
        <w:rPr>
          <w:color w:val="231F20"/>
          <w:w w:val="105"/>
        </w:rPr>
        <w:t>role</w:t>
      </w:r>
      <w:r>
        <w:rPr>
          <w:color w:val="231F20"/>
          <w:spacing w:val="-24"/>
          <w:w w:val="105"/>
        </w:rPr>
        <w:t> </w:t>
      </w:r>
      <w:r>
        <w:rPr>
          <w:color w:val="231F20"/>
          <w:w w:val="105"/>
        </w:rPr>
        <w:t>in</w:t>
      </w:r>
      <w:r>
        <w:rPr>
          <w:color w:val="231F20"/>
          <w:spacing w:val="-23"/>
          <w:w w:val="105"/>
        </w:rPr>
        <w:t> </w:t>
      </w:r>
      <w:r>
        <w:rPr>
          <w:color w:val="231F20"/>
          <w:w w:val="105"/>
        </w:rPr>
        <w:t>regulating</w:t>
      </w:r>
      <w:r>
        <w:rPr>
          <w:color w:val="231F20"/>
          <w:spacing w:val="-24"/>
          <w:w w:val="105"/>
        </w:rPr>
        <w:t> </w:t>
      </w:r>
      <w:r>
        <w:rPr>
          <w:color w:val="231F20"/>
          <w:spacing w:val="-3"/>
          <w:w w:val="105"/>
        </w:rPr>
        <w:t>phosphate </w:t>
      </w:r>
      <w:r>
        <w:rPr>
          <w:color w:val="231F20"/>
          <w:w w:val="105"/>
        </w:rPr>
        <w:t>concentration through two effects: (1) PTH </w:t>
      </w:r>
      <w:r>
        <w:rPr>
          <w:color w:val="231F20"/>
          <w:spacing w:val="-3"/>
          <w:w w:val="105"/>
        </w:rPr>
        <w:t>promotes </w:t>
      </w:r>
      <w:r>
        <w:rPr>
          <w:color w:val="231F20"/>
          <w:w w:val="105"/>
        </w:rPr>
        <w:t>bone</w:t>
      </w:r>
      <w:r>
        <w:rPr>
          <w:color w:val="231F20"/>
          <w:spacing w:val="-22"/>
          <w:w w:val="105"/>
        </w:rPr>
        <w:t> </w:t>
      </w:r>
      <w:r>
        <w:rPr>
          <w:color w:val="231F20"/>
          <w:w w:val="105"/>
        </w:rPr>
        <w:t>resorption,</w:t>
      </w:r>
      <w:r>
        <w:rPr>
          <w:color w:val="231F20"/>
          <w:spacing w:val="-21"/>
          <w:w w:val="105"/>
        </w:rPr>
        <w:t> </w:t>
      </w:r>
      <w:r>
        <w:rPr>
          <w:color w:val="231F20"/>
          <w:w w:val="105"/>
        </w:rPr>
        <w:t>thereby</w:t>
      </w:r>
      <w:r>
        <w:rPr>
          <w:color w:val="231F20"/>
          <w:spacing w:val="-22"/>
          <w:w w:val="105"/>
        </w:rPr>
        <w:t> </w:t>
      </w:r>
      <w:r>
        <w:rPr>
          <w:color w:val="231F20"/>
          <w:w w:val="105"/>
        </w:rPr>
        <w:t>dumping</w:t>
      </w:r>
      <w:r>
        <w:rPr>
          <w:color w:val="231F20"/>
          <w:spacing w:val="-21"/>
          <w:w w:val="105"/>
        </w:rPr>
        <w:t> </w:t>
      </w:r>
      <w:r>
        <w:rPr>
          <w:color w:val="231F20"/>
          <w:w w:val="105"/>
        </w:rPr>
        <w:t>large</w:t>
      </w:r>
      <w:r>
        <w:rPr>
          <w:color w:val="231F20"/>
          <w:spacing w:val="-21"/>
          <w:w w:val="105"/>
        </w:rPr>
        <w:t> </w:t>
      </w:r>
      <w:r>
        <w:rPr>
          <w:color w:val="231F20"/>
          <w:w w:val="105"/>
        </w:rPr>
        <w:t>amounts</w:t>
      </w:r>
      <w:r>
        <w:rPr>
          <w:color w:val="231F20"/>
          <w:spacing w:val="-22"/>
          <w:w w:val="105"/>
        </w:rPr>
        <w:t> </w:t>
      </w:r>
      <w:r>
        <w:rPr>
          <w:color w:val="231F20"/>
          <w:w w:val="105"/>
        </w:rPr>
        <w:t>of</w:t>
      </w:r>
      <w:r>
        <w:rPr>
          <w:color w:val="231F20"/>
          <w:spacing w:val="-21"/>
          <w:w w:val="105"/>
        </w:rPr>
        <w:t> </w:t>
      </w:r>
      <w:r>
        <w:rPr>
          <w:color w:val="231F20"/>
          <w:spacing w:val="-3"/>
          <w:w w:val="105"/>
        </w:rPr>
        <w:t>phos- </w:t>
      </w:r>
      <w:r>
        <w:rPr>
          <w:color w:val="231F20"/>
          <w:w w:val="105"/>
        </w:rPr>
        <w:t>phate</w:t>
      </w:r>
      <w:r>
        <w:rPr>
          <w:color w:val="231F20"/>
          <w:spacing w:val="-16"/>
          <w:w w:val="105"/>
        </w:rPr>
        <w:t> </w:t>
      </w:r>
      <w:r>
        <w:rPr>
          <w:color w:val="231F20"/>
          <w:w w:val="105"/>
        </w:rPr>
        <w:t>ions</w:t>
      </w:r>
      <w:r>
        <w:rPr>
          <w:color w:val="231F20"/>
          <w:spacing w:val="-16"/>
          <w:w w:val="105"/>
        </w:rPr>
        <w:t> </w:t>
      </w:r>
      <w:r>
        <w:rPr>
          <w:color w:val="231F20"/>
          <w:w w:val="105"/>
        </w:rPr>
        <w:t>into</w:t>
      </w:r>
      <w:r>
        <w:rPr>
          <w:color w:val="231F20"/>
          <w:spacing w:val="-15"/>
          <w:w w:val="105"/>
        </w:rPr>
        <w:t> </w:t>
      </w:r>
      <w:r>
        <w:rPr>
          <w:color w:val="231F20"/>
          <w:w w:val="105"/>
        </w:rPr>
        <w:t>the</w:t>
      </w:r>
      <w:r>
        <w:rPr>
          <w:color w:val="231F20"/>
          <w:spacing w:val="-16"/>
          <w:w w:val="105"/>
        </w:rPr>
        <w:t> </w:t>
      </w:r>
      <w:r>
        <w:rPr>
          <w:color w:val="231F20"/>
          <w:w w:val="105"/>
        </w:rPr>
        <w:t>extracellular</w:t>
      </w:r>
      <w:r>
        <w:rPr>
          <w:color w:val="231F20"/>
          <w:spacing w:val="-15"/>
          <w:w w:val="105"/>
        </w:rPr>
        <w:t> </w:t>
      </w:r>
      <w:r>
        <w:rPr>
          <w:color w:val="231F20"/>
          <w:w w:val="105"/>
        </w:rPr>
        <w:t>fluid</w:t>
      </w:r>
      <w:r>
        <w:rPr>
          <w:color w:val="231F20"/>
          <w:spacing w:val="-16"/>
          <w:w w:val="105"/>
        </w:rPr>
        <w:t> </w:t>
      </w:r>
      <w:r>
        <w:rPr>
          <w:color w:val="231F20"/>
          <w:w w:val="105"/>
        </w:rPr>
        <w:t>from</w:t>
      </w:r>
      <w:r>
        <w:rPr>
          <w:color w:val="231F20"/>
          <w:spacing w:val="-15"/>
          <w:w w:val="105"/>
        </w:rPr>
        <w:t> </w:t>
      </w:r>
      <w:r>
        <w:rPr>
          <w:color w:val="231F20"/>
          <w:w w:val="105"/>
        </w:rPr>
        <w:t>the</w:t>
      </w:r>
      <w:r>
        <w:rPr>
          <w:color w:val="231F20"/>
          <w:spacing w:val="-16"/>
          <w:w w:val="105"/>
        </w:rPr>
        <w:t> </w:t>
      </w:r>
      <w:r>
        <w:rPr>
          <w:color w:val="231F20"/>
          <w:w w:val="105"/>
        </w:rPr>
        <w:t>bone</w:t>
      </w:r>
      <w:r>
        <w:rPr>
          <w:color w:val="231F20"/>
          <w:spacing w:val="-16"/>
          <w:w w:val="105"/>
        </w:rPr>
        <w:t> </w:t>
      </w:r>
      <w:r>
        <w:rPr>
          <w:color w:val="231F20"/>
          <w:w w:val="105"/>
        </w:rPr>
        <w:t>salts, and</w:t>
      </w:r>
      <w:r>
        <w:rPr>
          <w:color w:val="231F20"/>
          <w:spacing w:val="-8"/>
          <w:w w:val="105"/>
        </w:rPr>
        <w:t> </w:t>
      </w:r>
      <w:r>
        <w:rPr>
          <w:color w:val="231F20"/>
          <w:w w:val="105"/>
        </w:rPr>
        <w:t>(2)</w:t>
      </w:r>
      <w:r>
        <w:rPr>
          <w:color w:val="231F20"/>
          <w:spacing w:val="-7"/>
          <w:w w:val="105"/>
        </w:rPr>
        <w:t> </w:t>
      </w:r>
      <w:r>
        <w:rPr>
          <w:color w:val="231F20"/>
          <w:w w:val="105"/>
        </w:rPr>
        <w:t>PTH</w:t>
      </w:r>
      <w:r>
        <w:rPr>
          <w:color w:val="231F20"/>
          <w:spacing w:val="-8"/>
          <w:w w:val="105"/>
        </w:rPr>
        <w:t> </w:t>
      </w:r>
      <w:r>
        <w:rPr>
          <w:color w:val="231F20"/>
          <w:w w:val="105"/>
        </w:rPr>
        <w:t>decreases</w:t>
      </w:r>
      <w:r>
        <w:rPr>
          <w:color w:val="231F20"/>
          <w:spacing w:val="-7"/>
          <w:w w:val="105"/>
        </w:rPr>
        <w:t> </w:t>
      </w:r>
      <w:r>
        <w:rPr>
          <w:color w:val="231F20"/>
          <w:w w:val="105"/>
        </w:rPr>
        <w:t>the</w:t>
      </w:r>
      <w:r>
        <w:rPr>
          <w:color w:val="231F20"/>
          <w:spacing w:val="-7"/>
          <w:w w:val="105"/>
        </w:rPr>
        <w:t> </w:t>
      </w:r>
      <w:r>
        <w:rPr>
          <w:color w:val="231F20"/>
          <w:w w:val="105"/>
        </w:rPr>
        <w:t>transport</w:t>
      </w:r>
      <w:r>
        <w:rPr>
          <w:color w:val="231F20"/>
          <w:spacing w:val="-8"/>
          <w:w w:val="105"/>
        </w:rPr>
        <w:t> </w:t>
      </w:r>
      <w:r>
        <w:rPr>
          <w:color w:val="231F20"/>
          <w:w w:val="105"/>
        </w:rPr>
        <w:t>maximum</w:t>
      </w:r>
      <w:r>
        <w:rPr>
          <w:color w:val="231F20"/>
          <w:spacing w:val="-7"/>
          <w:w w:val="105"/>
        </w:rPr>
        <w:t> </w:t>
      </w:r>
      <w:r>
        <w:rPr>
          <w:color w:val="231F20"/>
          <w:w w:val="105"/>
        </w:rPr>
        <w:t>for</w:t>
      </w:r>
      <w:r>
        <w:rPr>
          <w:color w:val="231F20"/>
          <w:spacing w:val="-7"/>
          <w:w w:val="105"/>
        </w:rPr>
        <w:t> </w:t>
      </w:r>
      <w:r>
        <w:rPr>
          <w:color w:val="231F20"/>
          <w:spacing w:val="-3"/>
          <w:w w:val="105"/>
        </w:rPr>
        <w:t>phos- </w:t>
      </w:r>
      <w:r>
        <w:rPr>
          <w:color w:val="231F20"/>
          <w:w w:val="105"/>
        </w:rPr>
        <w:t>phate by the renal tubules, so a greater proportion of</w:t>
      </w:r>
      <w:r>
        <w:rPr>
          <w:color w:val="231F20"/>
          <w:spacing w:val="-26"/>
          <w:w w:val="105"/>
        </w:rPr>
        <w:t> </w:t>
      </w:r>
      <w:r>
        <w:rPr>
          <w:color w:val="231F20"/>
          <w:spacing w:val="-6"/>
          <w:w w:val="105"/>
        </w:rPr>
        <w:t>the </w:t>
      </w:r>
      <w:r>
        <w:rPr>
          <w:color w:val="231F20"/>
          <w:w w:val="105"/>
        </w:rPr>
        <w:t>tubular phosphate is lost in the urine. </w:t>
      </w:r>
      <w:r>
        <w:rPr>
          <w:i/>
          <w:color w:val="231F20"/>
          <w:w w:val="105"/>
        </w:rPr>
        <w:t>Thus</w:t>
      </w:r>
      <w:r>
        <w:rPr>
          <w:color w:val="231F20"/>
          <w:w w:val="105"/>
        </w:rPr>
        <w:t>, </w:t>
      </w:r>
      <w:r>
        <w:rPr>
          <w:i/>
          <w:color w:val="231F20"/>
          <w:w w:val="105"/>
        </w:rPr>
        <w:t>whenever </w:t>
      </w:r>
      <w:r>
        <w:rPr>
          <w:i/>
          <w:color w:val="231F20"/>
          <w:w w:val="105"/>
        </w:rPr>
        <w:t>plasma</w:t>
      </w:r>
      <w:r>
        <w:rPr>
          <w:i/>
          <w:color w:val="231F20"/>
          <w:spacing w:val="-37"/>
          <w:w w:val="105"/>
        </w:rPr>
        <w:t> </w:t>
      </w:r>
      <w:r>
        <w:rPr>
          <w:i/>
          <w:color w:val="231F20"/>
          <w:w w:val="105"/>
        </w:rPr>
        <w:t>PTH</w:t>
      </w:r>
      <w:r>
        <w:rPr>
          <w:i/>
          <w:color w:val="231F20"/>
          <w:spacing w:val="-37"/>
          <w:w w:val="105"/>
        </w:rPr>
        <w:t> </w:t>
      </w:r>
      <w:r>
        <w:rPr>
          <w:i/>
          <w:color w:val="231F20"/>
          <w:w w:val="105"/>
        </w:rPr>
        <w:t>is</w:t>
      </w:r>
      <w:r>
        <w:rPr>
          <w:i/>
          <w:color w:val="231F20"/>
          <w:spacing w:val="-37"/>
          <w:w w:val="105"/>
        </w:rPr>
        <w:t> </w:t>
      </w:r>
      <w:r>
        <w:rPr>
          <w:i/>
          <w:color w:val="231F20"/>
          <w:w w:val="105"/>
        </w:rPr>
        <w:t>increased</w:t>
      </w:r>
      <w:r>
        <w:rPr>
          <w:color w:val="231F20"/>
          <w:w w:val="105"/>
        </w:rPr>
        <w:t>,</w:t>
      </w:r>
      <w:r>
        <w:rPr>
          <w:color w:val="231F20"/>
          <w:spacing w:val="-36"/>
          <w:w w:val="105"/>
        </w:rPr>
        <w:t> </w:t>
      </w:r>
      <w:r>
        <w:rPr>
          <w:i/>
          <w:color w:val="231F20"/>
          <w:w w:val="105"/>
        </w:rPr>
        <w:t>tubular</w:t>
      </w:r>
      <w:r>
        <w:rPr>
          <w:i/>
          <w:color w:val="231F20"/>
          <w:spacing w:val="-37"/>
          <w:w w:val="105"/>
        </w:rPr>
        <w:t> </w:t>
      </w:r>
      <w:r>
        <w:rPr>
          <w:i/>
          <w:color w:val="231F20"/>
          <w:w w:val="105"/>
        </w:rPr>
        <w:t>phosphate</w:t>
      </w:r>
      <w:r>
        <w:rPr>
          <w:i/>
          <w:color w:val="231F20"/>
          <w:spacing w:val="-37"/>
          <w:w w:val="105"/>
        </w:rPr>
        <w:t> </w:t>
      </w:r>
      <w:r>
        <w:rPr>
          <w:i/>
          <w:color w:val="231F20"/>
          <w:w w:val="105"/>
        </w:rPr>
        <w:t>reabsorption </w:t>
      </w:r>
      <w:r>
        <w:rPr>
          <w:i/>
          <w:color w:val="231F20"/>
          <w:w w:val="105"/>
        </w:rPr>
        <w:t>is</w:t>
      </w:r>
      <w:r>
        <w:rPr>
          <w:i/>
          <w:color w:val="231F20"/>
          <w:spacing w:val="-26"/>
          <w:w w:val="105"/>
        </w:rPr>
        <w:t> </w:t>
      </w:r>
      <w:r>
        <w:rPr>
          <w:i/>
          <w:color w:val="231F20"/>
          <w:w w:val="105"/>
        </w:rPr>
        <w:t>decreased</w:t>
      </w:r>
      <w:r>
        <w:rPr>
          <w:i/>
          <w:color w:val="231F20"/>
          <w:spacing w:val="-26"/>
          <w:w w:val="105"/>
        </w:rPr>
        <w:t> </w:t>
      </w:r>
      <w:r>
        <w:rPr>
          <w:i/>
          <w:color w:val="231F20"/>
          <w:w w:val="105"/>
        </w:rPr>
        <w:t>and</w:t>
      </w:r>
      <w:r>
        <w:rPr>
          <w:i/>
          <w:color w:val="231F20"/>
          <w:spacing w:val="-26"/>
          <w:w w:val="105"/>
        </w:rPr>
        <w:t> </w:t>
      </w:r>
      <w:r>
        <w:rPr>
          <w:i/>
          <w:color w:val="231F20"/>
          <w:w w:val="105"/>
        </w:rPr>
        <w:t>more</w:t>
      </w:r>
      <w:r>
        <w:rPr>
          <w:i/>
          <w:color w:val="231F20"/>
          <w:spacing w:val="-26"/>
          <w:w w:val="105"/>
        </w:rPr>
        <w:t> </w:t>
      </w:r>
      <w:r>
        <w:rPr>
          <w:i/>
          <w:color w:val="231F20"/>
          <w:w w:val="105"/>
        </w:rPr>
        <w:t>phosphate</w:t>
      </w:r>
      <w:r>
        <w:rPr>
          <w:i/>
          <w:color w:val="231F20"/>
          <w:spacing w:val="-26"/>
          <w:w w:val="105"/>
        </w:rPr>
        <w:t> </w:t>
      </w:r>
      <w:r>
        <w:rPr>
          <w:i/>
          <w:color w:val="231F20"/>
          <w:w w:val="105"/>
        </w:rPr>
        <w:t>is</w:t>
      </w:r>
      <w:r>
        <w:rPr>
          <w:i/>
          <w:color w:val="231F20"/>
          <w:spacing w:val="-25"/>
          <w:w w:val="105"/>
        </w:rPr>
        <w:t> </w:t>
      </w:r>
      <w:r>
        <w:rPr>
          <w:i/>
          <w:color w:val="231F20"/>
          <w:w w:val="105"/>
        </w:rPr>
        <w:t>excreted</w:t>
      </w:r>
      <w:r>
        <w:rPr>
          <w:color w:val="231F20"/>
          <w:w w:val="105"/>
        </w:rPr>
        <w:t>.</w:t>
      </w:r>
      <w:r>
        <w:rPr>
          <w:color w:val="231F20"/>
          <w:spacing w:val="-26"/>
          <w:w w:val="105"/>
        </w:rPr>
        <w:t> </w:t>
      </w:r>
      <w:r>
        <w:rPr>
          <w:color w:val="231F20"/>
          <w:w w:val="105"/>
        </w:rPr>
        <w:t>These</w:t>
      </w:r>
      <w:r>
        <w:rPr>
          <w:color w:val="231F20"/>
          <w:spacing w:val="-26"/>
          <w:w w:val="105"/>
        </w:rPr>
        <w:t> </w:t>
      </w:r>
      <w:r>
        <w:rPr>
          <w:color w:val="231F20"/>
          <w:w w:val="105"/>
        </w:rPr>
        <w:t>inter- relations among phosphate, PTH, and calcium are </w:t>
      </w:r>
      <w:r>
        <w:rPr>
          <w:color w:val="231F20"/>
          <w:spacing w:val="-4"/>
          <w:w w:val="105"/>
        </w:rPr>
        <w:t>dis- </w:t>
      </w:r>
      <w:r>
        <w:rPr>
          <w:color w:val="231F20"/>
          <w:w w:val="105"/>
        </w:rPr>
        <w:t>cussed in more detail in Chapter</w:t>
      </w:r>
      <w:r>
        <w:rPr>
          <w:color w:val="231F20"/>
          <w:spacing w:val="12"/>
          <w:w w:val="105"/>
        </w:rPr>
        <w:t> </w:t>
      </w:r>
      <w:r>
        <w:rPr>
          <w:color w:val="231F20"/>
          <w:w w:val="105"/>
        </w:rPr>
        <w:t>80.</w:t>
      </w:r>
    </w:p>
    <w:p>
      <w:pPr>
        <w:pStyle w:val="BodyText"/>
        <w:spacing w:line="249" w:lineRule="auto" w:before="74"/>
        <w:ind w:left="319" w:right="1437"/>
        <w:jc w:val="both"/>
      </w:pPr>
      <w:r>
        <w:rPr/>
        <w:br w:type="column"/>
      </w:r>
      <w:r>
        <w:rPr>
          <w:color w:val="231F20"/>
        </w:rPr>
        <w:t>More than one half of the body’s magnesium is stored in the bones. Most of the rest resides within the cells, with less than 1 percent located in the extracellular fluid. Although the total plasma magnesium concentration is about 1.8 mEq/L, more than one half of this is bound to plasma proteins. Therefore, the free ionized concentra- tion of magnesium is only about 0.8 mEq/L.</w:t>
      </w:r>
    </w:p>
    <w:p>
      <w:pPr>
        <w:pStyle w:val="BodyText"/>
        <w:spacing w:line="249" w:lineRule="auto" w:before="6"/>
        <w:ind w:left="319" w:right="1439" w:firstLine="240"/>
        <w:jc w:val="both"/>
      </w:pPr>
      <w:r>
        <w:rPr>
          <w:color w:val="231F20"/>
          <w:w w:val="105"/>
        </w:rPr>
        <w:t>The normal daily intake of magnesium is about 250 to 300 mg/day, but only about one half of this intake </w:t>
      </w:r>
      <w:r>
        <w:rPr>
          <w:color w:val="231F20"/>
          <w:spacing w:val="-6"/>
          <w:w w:val="105"/>
        </w:rPr>
        <w:t>is </w:t>
      </w:r>
      <w:r>
        <w:rPr>
          <w:color w:val="231F20"/>
          <w:w w:val="105"/>
        </w:rPr>
        <w:t>absorbed by the gastrointestinal tract. </w:t>
      </w:r>
      <w:r>
        <w:rPr>
          <w:color w:val="231F20"/>
          <w:spacing w:val="-11"/>
          <w:w w:val="105"/>
        </w:rPr>
        <w:t>To </w:t>
      </w:r>
      <w:r>
        <w:rPr>
          <w:color w:val="231F20"/>
          <w:w w:val="105"/>
        </w:rPr>
        <w:t>maintain mag- nesium balance, the kidneys must excrete this absorbed magnesium, about one half the daily intake of magne- sium,</w:t>
      </w:r>
      <w:r>
        <w:rPr>
          <w:color w:val="231F20"/>
          <w:spacing w:val="-30"/>
          <w:w w:val="105"/>
        </w:rPr>
        <w:t> </w:t>
      </w:r>
      <w:r>
        <w:rPr>
          <w:color w:val="231F20"/>
          <w:w w:val="105"/>
        </w:rPr>
        <w:t>or</w:t>
      </w:r>
      <w:r>
        <w:rPr>
          <w:color w:val="231F20"/>
          <w:spacing w:val="-29"/>
          <w:w w:val="105"/>
        </w:rPr>
        <w:t> </w:t>
      </w:r>
      <w:r>
        <w:rPr>
          <w:color w:val="231F20"/>
          <w:w w:val="105"/>
        </w:rPr>
        <w:t>125</w:t>
      </w:r>
      <w:r>
        <w:rPr>
          <w:color w:val="231F20"/>
          <w:spacing w:val="-29"/>
          <w:w w:val="105"/>
        </w:rPr>
        <w:t> </w:t>
      </w:r>
      <w:r>
        <w:rPr>
          <w:color w:val="231F20"/>
          <w:w w:val="105"/>
        </w:rPr>
        <w:t>to</w:t>
      </w:r>
      <w:r>
        <w:rPr>
          <w:color w:val="231F20"/>
          <w:spacing w:val="-29"/>
          <w:w w:val="105"/>
        </w:rPr>
        <w:t> </w:t>
      </w:r>
      <w:r>
        <w:rPr>
          <w:color w:val="231F20"/>
          <w:w w:val="105"/>
        </w:rPr>
        <w:t>150</w:t>
      </w:r>
      <w:r>
        <w:rPr>
          <w:color w:val="231F20"/>
          <w:spacing w:val="-20"/>
          <w:w w:val="105"/>
        </w:rPr>
        <w:t> </w:t>
      </w:r>
      <w:r>
        <w:rPr>
          <w:color w:val="231F20"/>
          <w:w w:val="105"/>
        </w:rPr>
        <w:t>mg/day.</w:t>
      </w:r>
      <w:r>
        <w:rPr>
          <w:color w:val="231F20"/>
          <w:spacing w:val="-29"/>
          <w:w w:val="105"/>
        </w:rPr>
        <w:t> </w:t>
      </w:r>
      <w:r>
        <w:rPr>
          <w:color w:val="231F20"/>
          <w:w w:val="105"/>
        </w:rPr>
        <w:t>The</w:t>
      </w:r>
      <w:r>
        <w:rPr>
          <w:color w:val="231F20"/>
          <w:spacing w:val="-29"/>
          <w:w w:val="105"/>
        </w:rPr>
        <w:t> </w:t>
      </w:r>
      <w:r>
        <w:rPr>
          <w:color w:val="231F20"/>
          <w:w w:val="105"/>
        </w:rPr>
        <w:t>kidneys</w:t>
      </w:r>
      <w:r>
        <w:rPr>
          <w:color w:val="231F20"/>
          <w:spacing w:val="-29"/>
          <w:w w:val="105"/>
        </w:rPr>
        <w:t> </w:t>
      </w:r>
      <w:r>
        <w:rPr>
          <w:color w:val="231F20"/>
          <w:w w:val="105"/>
        </w:rPr>
        <w:t>normally</w:t>
      </w:r>
      <w:r>
        <w:rPr>
          <w:color w:val="231F20"/>
          <w:spacing w:val="-29"/>
          <w:w w:val="105"/>
        </w:rPr>
        <w:t> </w:t>
      </w:r>
      <w:r>
        <w:rPr>
          <w:color w:val="231F20"/>
          <w:w w:val="105"/>
        </w:rPr>
        <w:t>excrete about</w:t>
      </w:r>
      <w:r>
        <w:rPr>
          <w:color w:val="231F20"/>
          <w:spacing w:val="-12"/>
          <w:w w:val="105"/>
        </w:rPr>
        <w:t> </w:t>
      </w:r>
      <w:r>
        <w:rPr>
          <w:color w:val="231F20"/>
          <w:w w:val="105"/>
        </w:rPr>
        <w:t>10</w:t>
      </w:r>
      <w:r>
        <w:rPr>
          <w:color w:val="231F20"/>
          <w:spacing w:val="-12"/>
          <w:w w:val="105"/>
        </w:rPr>
        <w:t> </w:t>
      </w:r>
      <w:r>
        <w:rPr>
          <w:color w:val="231F20"/>
          <w:w w:val="105"/>
        </w:rPr>
        <w:t>to</w:t>
      </w:r>
      <w:r>
        <w:rPr>
          <w:color w:val="231F20"/>
          <w:spacing w:val="-12"/>
          <w:w w:val="105"/>
        </w:rPr>
        <w:t> </w:t>
      </w:r>
      <w:r>
        <w:rPr>
          <w:color w:val="231F20"/>
          <w:w w:val="105"/>
        </w:rPr>
        <w:t>15</w:t>
      </w:r>
      <w:r>
        <w:rPr>
          <w:color w:val="231F20"/>
          <w:spacing w:val="-12"/>
          <w:w w:val="105"/>
        </w:rPr>
        <w:t> </w:t>
      </w:r>
      <w:r>
        <w:rPr>
          <w:color w:val="231F20"/>
          <w:w w:val="105"/>
        </w:rPr>
        <w:t>percent</w:t>
      </w:r>
      <w:r>
        <w:rPr>
          <w:color w:val="231F20"/>
          <w:spacing w:val="-12"/>
          <w:w w:val="105"/>
        </w:rPr>
        <w:t> </w:t>
      </w:r>
      <w:r>
        <w:rPr>
          <w:color w:val="231F20"/>
          <w:w w:val="105"/>
        </w:rPr>
        <w:t>of</w:t>
      </w:r>
      <w:r>
        <w:rPr>
          <w:color w:val="231F20"/>
          <w:spacing w:val="-11"/>
          <w:w w:val="105"/>
        </w:rPr>
        <w:t> </w:t>
      </w:r>
      <w:r>
        <w:rPr>
          <w:color w:val="231F20"/>
          <w:w w:val="105"/>
        </w:rPr>
        <w:t>the</w:t>
      </w:r>
      <w:r>
        <w:rPr>
          <w:color w:val="231F20"/>
          <w:spacing w:val="-12"/>
          <w:w w:val="105"/>
        </w:rPr>
        <w:t> </w:t>
      </w:r>
      <w:r>
        <w:rPr>
          <w:color w:val="231F20"/>
          <w:w w:val="105"/>
        </w:rPr>
        <w:t>magnesium</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glomeru- lar</w:t>
      </w:r>
      <w:r>
        <w:rPr>
          <w:color w:val="231F20"/>
          <w:spacing w:val="2"/>
          <w:w w:val="105"/>
        </w:rPr>
        <w:t> </w:t>
      </w:r>
      <w:r>
        <w:rPr>
          <w:color w:val="231F20"/>
          <w:w w:val="105"/>
        </w:rPr>
        <w:t>filtrate.</w:t>
      </w:r>
    </w:p>
    <w:p>
      <w:pPr>
        <w:pStyle w:val="BodyText"/>
        <w:spacing w:line="249" w:lineRule="auto" w:before="6"/>
        <w:ind w:left="319" w:right="1437" w:firstLine="240"/>
        <w:jc w:val="both"/>
      </w:pPr>
      <w:r>
        <w:rPr>
          <w:color w:val="231F20"/>
        </w:rPr>
        <w:t>Renal excretion of magnesium can increase markedly during magnesium excess or decrease to almost nil during magnesium depletion. Because magnesium is involved in many biochemical processes in the body, including acti- vation of many enzymes, its concentration must be closely regulated.</w:t>
      </w:r>
    </w:p>
    <w:p>
      <w:pPr>
        <w:pStyle w:val="BodyText"/>
        <w:spacing w:line="249" w:lineRule="auto" w:before="5"/>
        <w:ind w:left="319" w:right="1437" w:firstLine="240"/>
        <w:jc w:val="both"/>
      </w:pPr>
      <w:r>
        <w:rPr>
          <w:color w:val="231F20"/>
          <w:w w:val="105"/>
        </w:rPr>
        <w:t>Regulation</w:t>
      </w:r>
      <w:r>
        <w:rPr>
          <w:color w:val="231F20"/>
          <w:spacing w:val="-30"/>
          <w:w w:val="105"/>
        </w:rPr>
        <w:t> </w:t>
      </w:r>
      <w:r>
        <w:rPr>
          <w:color w:val="231F20"/>
          <w:w w:val="105"/>
        </w:rPr>
        <w:t>of</w:t>
      </w:r>
      <w:r>
        <w:rPr>
          <w:color w:val="231F20"/>
          <w:spacing w:val="-30"/>
          <w:w w:val="105"/>
        </w:rPr>
        <w:t> </w:t>
      </w:r>
      <w:r>
        <w:rPr>
          <w:color w:val="231F20"/>
          <w:w w:val="105"/>
        </w:rPr>
        <w:t>magnesium</w:t>
      </w:r>
      <w:r>
        <w:rPr>
          <w:color w:val="231F20"/>
          <w:spacing w:val="-30"/>
          <w:w w:val="105"/>
        </w:rPr>
        <w:t> </w:t>
      </w:r>
      <w:r>
        <w:rPr>
          <w:color w:val="231F20"/>
          <w:w w:val="105"/>
        </w:rPr>
        <w:t>excretion</w:t>
      </w:r>
      <w:r>
        <w:rPr>
          <w:color w:val="231F20"/>
          <w:spacing w:val="-30"/>
          <w:w w:val="105"/>
        </w:rPr>
        <w:t> </w:t>
      </w:r>
      <w:r>
        <w:rPr>
          <w:color w:val="231F20"/>
          <w:w w:val="105"/>
        </w:rPr>
        <w:t>is</w:t>
      </w:r>
      <w:r>
        <w:rPr>
          <w:color w:val="231F20"/>
          <w:spacing w:val="-30"/>
          <w:w w:val="105"/>
        </w:rPr>
        <w:t> </w:t>
      </w:r>
      <w:r>
        <w:rPr>
          <w:color w:val="231F20"/>
          <w:w w:val="105"/>
        </w:rPr>
        <w:t>achieved</w:t>
      </w:r>
      <w:r>
        <w:rPr>
          <w:color w:val="231F20"/>
          <w:spacing w:val="-30"/>
          <w:w w:val="105"/>
        </w:rPr>
        <w:t> </w:t>
      </w:r>
      <w:r>
        <w:rPr>
          <w:color w:val="231F20"/>
          <w:spacing w:val="-3"/>
          <w:w w:val="105"/>
        </w:rPr>
        <w:t>mainly </w:t>
      </w:r>
      <w:r>
        <w:rPr>
          <w:color w:val="231F20"/>
          <w:w w:val="105"/>
        </w:rPr>
        <w:t>by changing tubular reabsorption. The proximal tubule usually reabsorbs only about 25 percent of the filtered magnesium.</w:t>
      </w:r>
      <w:r>
        <w:rPr>
          <w:color w:val="231F20"/>
          <w:spacing w:val="-6"/>
          <w:w w:val="105"/>
        </w:rPr>
        <w:t> </w:t>
      </w:r>
      <w:r>
        <w:rPr>
          <w:color w:val="231F20"/>
          <w:w w:val="105"/>
        </w:rPr>
        <w:t>The</w:t>
      </w:r>
      <w:r>
        <w:rPr>
          <w:color w:val="231F20"/>
          <w:spacing w:val="-5"/>
          <w:w w:val="105"/>
        </w:rPr>
        <w:t> </w:t>
      </w:r>
      <w:r>
        <w:rPr>
          <w:color w:val="231F20"/>
          <w:w w:val="105"/>
        </w:rPr>
        <w:t>primary</w:t>
      </w:r>
      <w:r>
        <w:rPr>
          <w:color w:val="231F20"/>
          <w:spacing w:val="-5"/>
          <w:w w:val="105"/>
        </w:rPr>
        <w:t> </w:t>
      </w:r>
      <w:r>
        <w:rPr>
          <w:color w:val="231F20"/>
          <w:w w:val="105"/>
        </w:rPr>
        <w:t>site</w:t>
      </w:r>
      <w:r>
        <w:rPr>
          <w:color w:val="231F20"/>
          <w:spacing w:val="-6"/>
          <w:w w:val="105"/>
        </w:rPr>
        <w:t> </w:t>
      </w:r>
      <w:r>
        <w:rPr>
          <w:color w:val="231F20"/>
          <w:w w:val="105"/>
        </w:rPr>
        <w:t>of</w:t>
      </w:r>
      <w:r>
        <w:rPr>
          <w:color w:val="231F20"/>
          <w:spacing w:val="-6"/>
          <w:w w:val="105"/>
        </w:rPr>
        <w:t> </w:t>
      </w:r>
      <w:r>
        <w:rPr>
          <w:color w:val="231F20"/>
          <w:w w:val="105"/>
        </w:rPr>
        <w:t>reabsorption</w:t>
      </w:r>
      <w:r>
        <w:rPr>
          <w:color w:val="231F20"/>
          <w:spacing w:val="-6"/>
          <w:w w:val="105"/>
        </w:rPr>
        <w:t> </w:t>
      </w:r>
      <w:r>
        <w:rPr>
          <w:color w:val="231F20"/>
          <w:w w:val="105"/>
        </w:rPr>
        <w:t>is</w:t>
      </w:r>
      <w:r>
        <w:rPr>
          <w:color w:val="231F20"/>
          <w:spacing w:val="-6"/>
          <w:w w:val="105"/>
        </w:rPr>
        <w:t> </w:t>
      </w:r>
      <w:r>
        <w:rPr>
          <w:color w:val="231F20"/>
          <w:w w:val="105"/>
        </w:rPr>
        <w:t>the</w:t>
      </w:r>
      <w:r>
        <w:rPr>
          <w:color w:val="231F20"/>
          <w:spacing w:val="-5"/>
          <w:w w:val="105"/>
        </w:rPr>
        <w:t> </w:t>
      </w:r>
      <w:r>
        <w:rPr>
          <w:color w:val="231F20"/>
          <w:w w:val="105"/>
        </w:rPr>
        <w:t>loop of Henle, where about 65 percent of the filtered load of magnesium</w:t>
      </w:r>
      <w:r>
        <w:rPr>
          <w:color w:val="231F20"/>
          <w:spacing w:val="-7"/>
          <w:w w:val="105"/>
        </w:rPr>
        <w:t> </w:t>
      </w:r>
      <w:r>
        <w:rPr>
          <w:color w:val="231F20"/>
          <w:w w:val="105"/>
        </w:rPr>
        <w:t>is</w:t>
      </w:r>
      <w:r>
        <w:rPr>
          <w:color w:val="231F20"/>
          <w:spacing w:val="-7"/>
          <w:w w:val="105"/>
        </w:rPr>
        <w:t> </w:t>
      </w:r>
      <w:r>
        <w:rPr>
          <w:color w:val="231F20"/>
          <w:w w:val="105"/>
        </w:rPr>
        <w:t>reabsorbed.</w:t>
      </w:r>
      <w:r>
        <w:rPr>
          <w:color w:val="231F20"/>
          <w:spacing w:val="-7"/>
          <w:w w:val="105"/>
        </w:rPr>
        <w:t> </w:t>
      </w:r>
      <w:r>
        <w:rPr>
          <w:color w:val="231F20"/>
          <w:w w:val="105"/>
        </w:rPr>
        <w:t>Only</w:t>
      </w:r>
      <w:r>
        <w:rPr>
          <w:color w:val="231F20"/>
          <w:spacing w:val="-7"/>
          <w:w w:val="105"/>
        </w:rPr>
        <w:t> </w:t>
      </w:r>
      <w:r>
        <w:rPr>
          <w:color w:val="231F20"/>
          <w:w w:val="105"/>
        </w:rPr>
        <w:t>a</w:t>
      </w:r>
      <w:r>
        <w:rPr>
          <w:color w:val="231F20"/>
          <w:spacing w:val="-7"/>
          <w:w w:val="105"/>
        </w:rPr>
        <w:t> </w:t>
      </w:r>
      <w:r>
        <w:rPr>
          <w:color w:val="231F20"/>
          <w:w w:val="105"/>
        </w:rPr>
        <w:t>small</w:t>
      </w:r>
      <w:r>
        <w:rPr>
          <w:color w:val="231F20"/>
          <w:spacing w:val="-7"/>
          <w:w w:val="105"/>
        </w:rPr>
        <w:t> </w:t>
      </w:r>
      <w:r>
        <w:rPr>
          <w:color w:val="231F20"/>
          <w:w w:val="105"/>
        </w:rPr>
        <w:t>amount</w:t>
      </w:r>
      <w:r>
        <w:rPr>
          <w:color w:val="231F20"/>
          <w:spacing w:val="-7"/>
          <w:w w:val="105"/>
        </w:rPr>
        <w:t> </w:t>
      </w:r>
      <w:r>
        <w:rPr>
          <w:color w:val="231F20"/>
          <w:w w:val="105"/>
        </w:rPr>
        <w:t>(usually</w:t>
      </w:r>
    </w:p>
    <w:p>
      <w:pPr>
        <w:pStyle w:val="BodyText"/>
        <w:spacing w:line="242" w:lineRule="auto" w:before="5"/>
        <w:ind w:left="319" w:right="1439"/>
        <w:jc w:val="both"/>
      </w:pPr>
      <w:r>
        <w:rPr>
          <w:rFonts w:ascii="Consolas"/>
          <w:color w:val="231F20"/>
          <w:w w:val="105"/>
        </w:rPr>
        <w:t>&lt;</w:t>
      </w:r>
      <w:r>
        <w:rPr>
          <w:color w:val="231F20"/>
          <w:w w:val="105"/>
        </w:rPr>
        <w:t>5</w:t>
      </w:r>
      <w:r>
        <w:rPr>
          <w:color w:val="231F20"/>
          <w:spacing w:val="-22"/>
          <w:w w:val="105"/>
        </w:rPr>
        <w:t> </w:t>
      </w:r>
      <w:r>
        <w:rPr>
          <w:color w:val="231F20"/>
          <w:w w:val="105"/>
        </w:rPr>
        <w:t>percent)</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1"/>
          <w:w w:val="105"/>
        </w:rPr>
        <w:t> </w:t>
      </w:r>
      <w:r>
        <w:rPr>
          <w:color w:val="231F20"/>
          <w:w w:val="105"/>
        </w:rPr>
        <w:t>filtered</w:t>
      </w:r>
      <w:r>
        <w:rPr>
          <w:color w:val="231F20"/>
          <w:spacing w:val="-22"/>
          <w:w w:val="105"/>
        </w:rPr>
        <w:t> </w:t>
      </w:r>
      <w:r>
        <w:rPr>
          <w:color w:val="231F20"/>
          <w:w w:val="105"/>
        </w:rPr>
        <w:t>magnesium</w:t>
      </w:r>
      <w:r>
        <w:rPr>
          <w:color w:val="231F20"/>
          <w:spacing w:val="-22"/>
          <w:w w:val="105"/>
        </w:rPr>
        <w:t> </w:t>
      </w:r>
      <w:r>
        <w:rPr>
          <w:color w:val="231F20"/>
          <w:w w:val="105"/>
        </w:rPr>
        <w:t>is</w:t>
      </w:r>
      <w:r>
        <w:rPr>
          <w:color w:val="231F20"/>
          <w:spacing w:val="-21"/>
          <w:w w:val="105"/>
        </w:rPr>
        <w:t> </w:t>
      </w:r>
      <w:r>
        <w:rPr>
          <w:color w:val="231F20"/>
          <w:w w:val="105"/>
        </w:rPr>
        <w:t>reabsorbed</w:t>
      </w:r>
      <w:r>
        <w:rPr>
          <w:color w:val="231F20"/>
          <w:spacing w:val="-22"/>
          <w:w w:val="105"/>
        </w:rPr>
        <w:t> </w:t>
      </w:r>
      <w:r>
        <w:rPr>
          <w:color w:val="231F20"/>
          <w:w w:val="105"/>
        </w:rPr>
        <w:t>in</w:t>
      </w:r>
      <w:r>
        <w:rPr>
          <w:color w:val="231F20"/>
          <w:spacing w:val="-22"/>
          <w:w w:val="105"/>
        </w:rPr>
        <w:t> </w:t>
      </w:r>
      <w:r>
        <w:rPr>
          <w:color w:val="231F20"/>
          <w:w w:val="105"/>
        </w:rPr>
        <w:t>the distal and collecting</w:t>
      </w:r>
      <w:r>
        <w:rPr>
          <w:color w:val="231F20"/>
          <w:spacing w:val="6"/>
          <w:w w:val="105"/>
        </w:rPr>
        <w:t> </w:t>
      </w:r>
      <w:r>
        <w:rPr>
          <w:color w:val="231F20"/>
          <w:w w:val="105"/>
        </w:rPr>
        <w:t>tubules.</w:t>
      </w:r>
    </w:p>
    <w:p>
      <w:pPr>
        <w:pStyle w:val="BodyText"/>
        <w:spacing w:line="249" w:lineRule="auto" w:before="8"/>
        <w:ind w:left="319" w:right="1437" w:firstLine="240"/>
        <w:jc w:val="both"/>
      </w:pPr>
      <w:r>
        <w:rPr>
          <w:color w:val="231F20"/>
          <w:w w:val="105"/>
        </w:rPr>
        <w:t>The mechanisms that regulate magnesium excretion are not well understood, but the following disturbances lead to increased magnesium excretion: (1) increased extracellular</w:t>
      </w:r>
      <w:r>
        <w:rPr>
          <w:color w:val="231F20"/>
          <w:spacing w:val="-35"/>
          <w:w w:val="105"/>
        </w:rPr>
        <w:t> </w:t>
      </w:r>
      <w:r>
        <w:rPr>
          <w:color w:val="231F20"/>
          <w:w w:val="105"/>
        </w:rPr>
        <w:t>fluid</w:t>
      </w:r>
      <w:r>
        <w:rPr>
          <w:color w:val="231F20"/>
          <w:spacing w:val="-34"/>
          <w:w w:val="105"/>
        </w:rPr>
        <w:t> </w:t>
      </w:r>
      <w:r>
        <w:rPr>
          <w:color w:val="231F20"/>
          <w:w w:val="105"/>
        </w:rPr>
        <w:t>magnesium</w:t>
      </w:r>
      <w:r>
        <w:rPr>
          <w:color w:val="231F20"/>
          <w:spacing w:val="-35"/>
          <w:w w:val="105"/>
        </w:rPr>
        <w:t> </w:t>
      </w:r>
      <w:r>
        <w:rPr>
          <w:color w:val="231F20"/>
          <w:w w:val="105"/>
        </w:rPr>
        <w:t>concentration,</w:t>
      </w:r>
      <w:r>
        <w:rPr>
          <w:color w:val="231F20"/>
          <w:spacing w:val="-34"/>
          <w:w w:val="105"/>
        </w:rPr>
        <w:t> </w:t>
      </w:r>
      <w:r>
        <w:rPr>
          <w:color w:val="231F20"/>
          <w:w w:val="105"/>
        </w:rPr>
        <w:t>(2)</w:t>
      </w:r>
      <w:r>
        <w:rPr>
          <w:color w:val="231F20"/>
          <w:spacing w:val="-35"/>
          <w:w w:val="105"/>
        </w:rPr>
        <w:t> </w:t>
      </w:r>
      <w:r>
        <w:rPr>
          <w:color w:val="231F20"/>
          <w:w w:val="105"/>
        </w:rPr>
        <w:t>extracel- lular volume expansion, and (3) increased extracellular fluid calcium</w:t>
      </w:r>
      <w:r>
        <w:rPr>
          <w:color w:val="231F20"/>
          <w:spacing w:val="4"/>
          <w:w w:val="105"/>
        </w:rPr>
        <w:t> </w:t>
      </w:r>
      <w:r>
        <w:rPr>
          <w:color w:val="231F20"/>
          <w:w w:val="105"/>
        </w:rPr>
        <w:t>concentration.</w:t>
      </w:r>
    </w:p>
    <w:p>
      <w:pPr>
        <w:pStyle w:val="BodyText"/>
        <w:rPr>
          <w:sz w:val="25"/>
        </w:rPr>
      </w:pPr>
      <w:r>
        <w:rPr/>
        <w:pict>
          <v:shape style="position:absolute;margin-left:306pt;margin-top:15.620709pt;width:234pt;height:40pt;mso-position-horizontal-relative:page;mso-position-vertical-relative:paragraph;z-index:-250683392;mso-wrap-distance-left:0;mso-wrap-distance-right:0" type="#_x0000_t202" filled="true" fillcolor="#e8dac8" stroked="false">
            <v:textbox inset="0,0,0,0">
              <w:txbxContent>
                <w:p>
                  <w:pPr>
                    <w:spacing w:line="225" w:lineRule="auto" w:before="46"/>
                    <w:ind w:left="60" w:right="1403" w:firstLine="0"/>
                    <w:jc w:val="left"/>
                    <w:rPr>
                      <w:rFonts w:ascii="Trebuchet MS"/>
                      <w:b/>
                      <w:sz w:val="22"/>
                    </w:rPr>
                  </w:pPr>
                  <w:r>
                    <w:rPr>
                      <w:rFonts w:ascii="Trebuchet MS"/>
                      <w:b/>
                      <w:color w:val="231F20"/>
                      <w:w w:val="110"/>
                      <w:sz w:val="22"/>
                    </w:rPr>
                    <w:t>INTEGRATION OF RENAL MECHANISMS FOR CONTROL OF EXTRACELLULAR FLUID</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437"/>
        <w:jc w:val="both"/>
      </w:pPr>
      <w:r>
        <w:rPr>
          <w:color w:val="231F20"/>
        </w:rPr>
        <w:t>Extracellular fluid volume is determined mainly by the balance between intake and output of water and salt. In many instances, salt and fluid intakes are dictated by a person’s habits rather than by physiological control mech- anisms. Therefore, the burden of extracellular volume regulation is often placed on the kidneys, which must adapt their excretion of salt and water to match intake of salt and water under steady-state conditions.</w:t>
      </w:r>
    </w:p>
    <w:p>
      <w:pPr>
        <w:pStyle w:val="BodyText"/>
        <w:spacing w:line="249" w:lineRule="auto" w:before="7"/>
        <w:ind w:left="319" w:right="1437" w:firstLine="240"/>
        <w:jc w:val="both"/>
      </w:pPr>
      <w:r>
        <w:rPr>
          <w:color w:val="231F20"/>
        </w:rPr>
        <w:t>In discussing the regulation of extracellular </w:t>
      </w:r>
      <w:r>
        <w:rPr>
          <w:color w:val="231F20"/>
          <w:spacing w:val="-3"/>
        </w:rPr>
        <w:t>fluid </w:t>
      </w:r>
      <w:r>
        <w:rPr>
          <w:color w:val="231F20"/>
        </w:rPr>
        <w:t>volume, we consider the factors that regulate the amount of sodium chloride in the extracellular fluid because changes in extracellular fluid sodium chloride content usually</w:t>
      </w:r>
      <w:r>
        <w:rPr>
          <w:color w:val="231F20"/>
          <w:spacing w:val="-20"/>
        </w:rPr>
        <w:t> </w:t>
      </w:r>
      <w:r>
        <w:rPr>
          <w:color w:val="231F20"/>
        </w:rPr>
        <w:t>cause</w:t>
      </w:r>
      <w:r>
        <w:rPr>
          <w:color w:val="231F20"/>
          <w:spacing w:val="-19"/>
        </w:rPr>
        <w:t> </w:t>
      </w:r>
      <w:r>
        <w:rPr>
          <w:color w:val="231F20"/>
        </w:rPr>
        <w:t>parallel</w:t>
      </w:r>
      <w:r>
        <w:rPr>
          <w:color w:val="231F20"/>
          <w:spacing w:val="-19"/>
        </w:rPr>
        <w:t> </w:t>
      </w:r>
      <w:r>
        <w:rPr>
          <w:color w:val="231F20"/>
        </w:rPr>
        <w:t>changes</w:t>
      </w:r>
      <w:r>
        <w:rPr>
          <w:color w:val="231F20"/>
          <w:spacing w:val="-20"/>
        </w:rPr>
        <w:t> </w:t>
      </w:r>
      <w:r>
        <w:rPr>
          <w:color w:val="231F20"/>
        </w:rPr>
        <w:t>in</w:t>
      </w:r>
      <w:r>
        <w:rPr>
          <w:color w:val="231F20"/>
          <w:spacing w:val="-19"/>
        </w:rPr>
        <w:t> </w:t>
      </w:r>
      <w:r>
        <w:rPr>
          <w:color w:val="231F20"/>
        </w:rPr>
        <w:t>extracellular</w:t>
      </w:r>
      <w:r>
        <w:rPr>
          <w:color w:val="231F20"/>
          <w:spacing w:val="-19"/>
        </w:rPr>
        <w:t> </w:t>
      </w:r>
      <w:r>
        <w:rPr>
          <w:color w:val="231F20"/>
        </w:rPr>
        <w:t>fluid</w:t>
      </w:r>
      <w:r>
        <w:rPr>
          <w:color w:val="231F20"/>
          <w:spacing w:val="-20"/>
        </w:rPr>
        <w:t> </w:t>
      </w:r>
      <w:r>
        <w:rPr>
          <w:color w:val="231F20"/>
        </w:rPr>
        <w:t>volume,</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906"/>
          <w:pgSz w:w="12240" w:h="15660"/>
          <w:pgMar w:header="0" w:footer="567" w:top="0" w:bottom="760" w:left="0" w:right="0"/>
        </w:sectPr>
      </w:pPr>
    </w:p>
    <w:p>
      <w:pPr>
        <w:pStyle w:val="BodyText"/>
        <w:spacing w:line="249" w:lineRule="auto" w:before="100"/>
        <w:ind w:left="1439"/>
        <w:jc w:val="both"/>
      </w:pPr>
      <w:r>
        <w:rPr/>
        <w:pict>
          <v:group style="position:absolute;margin-left:0pt;margin-top:0pt;width:612pt;height:180pt;mso-position-horizontal-relative:page;mso-position-vertical-relative:page;z-index:-27276390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r>
        <w:rPr>
          <w:color w:val="231F20"/>
          <w:w w:val="105"/>
        </w:rPr>
        <w:t>provided the antidiuretic hormone (ADH)-thirst </w:t>
      </w:r>
      <w:r>
        <w:rPr>
          <w:color w:val="231F20"/>
          <w:spacing w:val="-3"/>
          <w:w w:val="105"/>
        </w:rPr>
        <w:t>mecha- </w:t>
      </w:r>
      <w:r>
        <w:rPr>
          <w:color w:val="231F20"/>
          <w:w w:val="105"/>
        </w:rPr>
        <w:t>nisms are operative. When the ADH-thirst </w:t>
      </w:r>
      <w:r>
        <w:rPr>
          <w:color w:val="231F20"/>
          <w:spacing w:val="-2"/>
          <w:w w:val="105"/>
        </w:rPr>
        <w:t>mechanisms </w:t>
      </w:r>
      <w:r>
        <w:rPr>
          <w:color w:val="231F20"/>
          <w:w w:val="105"/>
        </w:rPr>
        <w:t>are functioning normally, a change in the amount of sodium</w:t>
      </w:r>
      <w:r>
        <w:rPr>
          <w:color w:val="231F20"/>
          <w:spacing w:val="-15"/>
          <w:w w:val="105"/>
        </w:rPr>
        <w:t> </w:t>
      </w:r>
      <w:r>
        <w:rPr>
          <w:color w:val="231F20"/>
          <w:w w:val="105"/>
        </w:rPr>
        <w:t>chloride</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extracellular</w:t>
      </w:r>
      <w:r>
        <w:rPr>
          <w:color w:val="231F20"/>
          <w:spacing w:val="-14"/>
          <w:w w:val="105"/>
        </w:rPr>
        <w:t> </w:t>
      </w:r>
      <w:r>
        <w:rPr>
          <w:color w:val="231F20"/>
          <w:w w:val="105"/>
        </w:rPr>
        <w:t>fluid</w:t>
      </w:r>
      <w:r>
        <w:rPr>
          <w:color w:val="231F20"/>
          <w:spacing w:val="-15"/>
          <w:w w:val="105"/>
        </w:rPr>
        <w:t> </w:t>
      </w:r>
      <w:r>
        <w:rPr>
          <w:color w:val="231F20"/>
          <w:w w:val="105"/>
        </w:rPr>
        <w:t>is</w:t>
      </w:r>
      <w:r>
        <w:rPr>
          <w:color w:val="231F20"/>
          <w:spacing w:val="-14"/>
          <w:w w:val="105"/>
        </w:rPr>
        <w:t> </w:t>
      </w:r>
      <w:r>
        <w:rPr>
          <w:color w:val="231F20"/>
          <w:w w:val="105"/>
        </w:rPr>
        <w:t>matched</w:t>
      </w:r>
      <w:r>
        <w:rPr>
          <w:color w:val="231F20"/>
          <w:spacing w:val="-14"/>
          <w:w w:val="105"/>
        </w:rPr>
        <w:t> </w:t>
      </w:r>
      <w:r>
        <w:rPr>
          <w:color w:val="231F20"/>
          <w:w w:val="105"/>
        </w:rPr>
        <w:t>by</w:t>
      </w:r>
      <w:r>
        <w:rPr>
          <w:color w:val="231F20"/>
          <w:spacing w:val="-14"/>
          <w:w w:val="105"/>
        </w:rPr>
        <w:t> </w:t>
      </w:r>
      <w:r>
        <w:rPr>
          <w:color w:val="231F20"/>
          <w:w w:val="105"/>
        </w:rPr>
        <w:t>a similar change in the amount of extracellular </w:t>
      </w:r>
      <w:r>
        <w:rPr>
          <w:color w:val="231F20"/>
          <w:spacing w:val="-3"/>
          <w:w w:val="105"/>
        </w:rPr>
        <w:t>water, </w:t>
      </w:r>
      <w:r>
        <w:rPr>
          <w:color w:val="231F20"/>
          <w:w w:val="105"/>
        </w:rPr>
        <w:t>and thus maintenance of osmolality and sodium </w:t>
      </w:r>
      <w:r>
        <w:rPr>
          <w:color w:val="231F20"/>
          <w:spacing w:val="-3"/>
          <w:w w:val="105"/>
        </w:rPr>
        <w:t>concentra- </w:t>
      </w:r>
      <w:r>
        <w:rPr>
          <w:color w:val="231F20"/>
          <w:w w:val="105"/>
        </w:rPr>
        <w:t>tion is relatively</w:t>
      </w:r>
      <w:r>
        <w:rPr>
          <w:color w:val="231F20"/>
          <w:spacing w:val="6"/>
          <w:w w:val="105"/>
        </w:rPr>
        <w:t> </w:t>
      </w:r>
      <w:r>
        <w:rPr>
          <w:color w:val="231F20"/>
          <w:w w:val="105"/>
        </w:rPr>
        <w:t>constant.</w:t>
      </w:r>
    </w:p>
    <w:p>
      <w:pPr>
        <w:pStyle w:val="BodyText"/>
        <w:spacing w:before="1"/>
        <w:rPr>
          <w:sz w:val="31"/>
        </w:rPr>
      </w:pPr>
    </w:p>
    <w:p>
      <w:pPr>
        <w:pStyle w:val="Heading2"/>
        <w:spacing w:line="225" w:lineRule="auto"/>
        <w:ind w:left="1440" w:right="1040"/>
      </w:pPr>
      <w:r>
        <w:rPr>
          <w:color w:val="231F20"/>
          <w:w w:val="105"/>
        </w:rPr>
        <w:t>SODIUM INTAKE AND EXCRETION ARE BALANCED UNDER</w:t>
      </w:r>
    </w:p>
    <w:p>
      <w:pPr>
        <w:spacing w:line="243" w:lineRule="exact" w:before="0"/>
        <w:ind w:left="1440" w:right="0" w:firstLine="0"/>
        <w:jc w:val="left"/>
        <w:rPr>
          <w:rFonts w:ascii="Trebuchet MS"/>
          <w:b/>
          <w:sz w:val="22"/>
        </w:rPr>
      </w:pPr>
      <w:r>
        <w:rPr>
          <w:rFonts w:ascii="Trebuchet MS"/>
          <w:b/>
          <w:color w:val="231F20"/>
          <w:w w:val="105"/>
          <w:sz w:val="22"/>
        </w:rPr>
        <w:t>STEADY-STATE CONDITIONS</w:t>
      </w:r>
    </w:p>
    <w:p>
      <w:pPr>
        <w:pStyle w:val="BodyText"/>
        <w:spacing w:line="249" w:lineRule="auto" w:before="125"/>
        <w:ind w:left="1440"/>
        <w:jc w:val="both"/>
      </w:pPr>
      <w:r>
        <w:rPr>
          <w:color w:val="231F20"/>
          <w:w w:val="105"/>
        </w:rPr>
        <w:t>An important consideration in overall control of</w:t>
      </w:r>
      <w:r>
        <w:rPr>
          <w:color w:val="231F20"/>
          <w:spacing w:val="-26"/>
          <w:w w:val="105"/>
        </w:rPr>
        <w:t> </w:t>
      </w:r>
      <w:r>
        <w:rPr>
          <w:color w:val="231F20"/>
          <w:spacing w:val="-3"/>
          <w:w w:val="105"/>
        </w:rPr>
        <w:t>sodium </w:t>
      </w:r>
      <w:r>
        <w:rPr>
          <w:color w:val="231F20"/>
          <w:w w:val="105"/>
        </w:rPr>
        <w:t>excretion—or excretion of most electrolytes, for </w:t>
      </w:r>
      <w:r>
        <w:rPr>
          <w:color w:val="231F20"/>
          <w:spacing w:val="-4"/>
          <w:w w:val="105"/>
        </w:rPr>
        <w:t>that </w:t>
      </w:r>
      <w:r>
        <w:rPr>
          <w:color w:val="231F20"/>
          <w:w w:val="105"/>
        </w:rPr>
        <w:t>matter—is that under steady-state conditions, </w:t>
      </w:r>
      <w:r>
        <w:rPr>
          <w:color w:val="231F20"/>
          <w:spacing w:val="-3"/>
          <w:w w:val="105"/>
        </w:rPr>
        <w:t>excretion </w:t>
      </w:r>
      <w:r>
        <w:rPr>
          <w:color w:val="231F20"/>
          <w:w w:val="105"/>
        </w:rPr>
        <w:t>by the kidneys is determined by intake. </w:t>
      </w:r>
      <w:r>
        <w:rPr>
          <w:color w:val="231F20"/>
          <w:spacing w:val="-11"/>
          <w:w w:val="105"/>
        </w:rPr>
        <w:t>To </w:t>
      </w:r>
      <w:r>
        <w:rPr>
          <w:color w:val="231F20"/>
          <w:w w:val="105"/>
        </w:rPr>
        <w:t>maintain</w:t>
      </w:r>
      <w:r>
        <w:rPr>
          <w:color w:val="231F20"/>
          <w:spacing w:val="-36"/>
          <w:w w:val="105"/>
        </w:rPr>
        <w:t> </w:t>
      </w:r>
      <w:r>
        <w:rPr>
          <w:color w:val="231F20"/>
          <w:spacing w:val="-4"/>
          <w:w w:val="105"/>
        </w:rPr>
        <w:t>life, </w:t>
      </w:r>
      <w:r>
        <w:rPr>
          <w:color w:val="231F20"/>
          <w:w w:val="105"/>
        </w:rPr>
        <w:t>a person must, over the long term, excrete almost </w:t>
      </w:r>
      <w:r>
        <w:rPr>
          <w:color w:val="231F20"/>
          <w:spacing w:val="-4"/>
          <w:w w:val="105"/>
        </w:rPr>
        <w:t>pre- </w:t>
      </w:r>
      <w:r>
        <w:rPr>
          <w:color w:val="231F20"/>
          <w:w w:val="105"/>
        </w:rPr>
        <w:t>cisely the amount of sodium ingested. Therefore, even with disturbances that cause major changes in </w:t>
      </w:r>
      <w:r>
        <w:rPr>
          <w:color w:val="231F20"/>
          <w:spacing w:val="-3"/>
          <w:w w:val="105"/>
        </w:rPr>
        <w:t>kidney </w:t>
      </w:r>
      <w:r>
        <w:rPr>
          <w:color w:val="231F20"/>
          <w:w w:val="105"/>
        </w:rPr>
        <w:t>function, balance between intake and output of sodium usually is restored within a few</w:t>
      </w:r>
      <w:r>
        <w:rPr>
          <w:color w:val="231F20"/>
          <w:spacing w:val="1"/>
          <w:w w:val="105"/>
        </w:rPr>
        <w:t> </w:t>
      </w:r>
      <w:r>
        <w:rPr>
          <w:color w:val="231F20"/>
          <w:w w:val="105"/>
        </w:rPr>
        <w:t>days.</w:t>
      </w:r>
    </w:p>
    <w:p>
      <w:pPr>
        <w:pStyle w:val="BodyText"/>
        <w:spacing w:line="249" w:lineRule="auto" w:before="7"/>
        <w:ind w:left="1440" w:firstLine="240"/>
        <w:jc w:val="both"/>
      </w:pPr>
      <w:r>
        <w:rPr>
          <w:color w:val="231F20"/>
          <w:w w:val="105"/>
        </w:rPr>
        <w:t>If disturbances of kidney function are not too </w:t>
      </w:r>
      <w:r>
        <w:rPr>
          <w:color w:val="231F20"/>
          <w:spacing w:val="-3"/>
          <w:w w:val="105"/>
        </w:rPr>
        <w:t>severe, </w:t>
      </w:r>
      <w:r>
        <w:rPr>
          <w:color w:val="231F20"/>
          <w:w w:val="105"/>
        </w:rPr>
        <w:t>sodium balance may be achieved mainly by </w:t>
      </w:r>
      <w:r>
        <w:rPr>
          <w:color w:val="231F20"/>
          <w:spacing w:val="-3"/>
          <w:w w:val="105"/>
        </w:rPr>
        <w:t>intrarenal </w:t>
      </w:r>
      <w:r>
        <w:rPr>
          <w:color w:val="231F20"/>
          <w:w w:val="105"/>
        </w:rPr>
        <w:t>adjustments with minimal changes in extracellular </w:t>
      </w:r>
      <w:r>
        <w:rPr>
          <w:color w:val="231F20"/>
          <w:spacing w:val="-4"/>
          <w:w w:val="105"/>
        </w:rPr>
        <w:t>fluid </w:t>
      </w:r>
      <w:r>
        <w:rPr>
          <w:color w:val="231F20"/>
          <w:w w:val="105"/>
        </w:rPr>
        <w:t>volume or other systemic adjustments. However, </w:t>
      </w:r>
      <w:r>
        <w:rPr>
          <w:color w:val="231F20"/>
          <w:spacing w:val="-3"/>
          <w:w w:val="105"/>
        </w:rPr>
        <w:t>when </w:t>
      </w:r>
      <w:r>
        <w:rPr>
          <w:color w:val="231F20"/>
          <w:w w:val="105"/>
        </w:rPr>
        <w:t>perturbations to the kidneys are severe and </w:t>
      </w:r>
      <w:r>
        <w:rPr>
          <w:color w:val="231F20"/>
          <w:spacing w:val="-3"/>
          <w:w w:val="105"/>
        </w:rPr>
        <w:t>intrarenal </w:t>
      </w:r>
      <w:r>
        <w:rPr>
          <w:color w:val="231F20"/>
          <w:w w:val="105"/>
        </w:rPr>
        <w:t>compensations</w:t>
      </w:r>
      <w:r>
        <w:rPr>
          <w:color w:val="231F20"/>
          <w:spacing w:val="-24"/>
          <w:w w:val="105"/>
        </w:rPr>
        <w:t> </w:t>
      </w:r>
      <w:r>
        <w:rPr>
          <w:color w:val="231F20"/>
          <w:w w:val="105"/>
        </w:rPr>
        <w:t>are</w:t>
      </w:r>
      <w:r>
        <w:rPr>
          <w:color w:val="231F20"/>
          <w:spacing w:val="-24"/>
          <w:w w:val="105"/>
        </w:rPr>
        <w:t> </w:t>
      </w:r>
      <w:r>
        <w:rPr>
          <w:color w:val="231F20"/>
          <w:w w:val="105"/>
        </w:rPr>
        <w:t>exhausted,</w:t>
      </w:r>
      <w:r>
        <w:rPr>
          <w:color w:val="231F20"/>
          <w:spacing w:val="-24"/>
          <w:w w:val="105"/>
        </w:rPr>
        <w:t> </w:t>
      </w:r>
      <w:r>
        <w:rPr>
          <w:color w:val="231F20"/>
          <w:w w:val="105"/>
        </w:rPr>
        <w:t>systemic</w:t>
      </w:r>
      <w:r>
        <w:rPr>
          <w:color w:val="231F20"/>
          <w:spacing w:val="-23"/>
          <w:w w:val="105"/>
        </w:rPr>
        <w:t> </w:t>
      </w:r>
      <w:r>
        <w:rPr>
          <w:color w:val="231F20"/>
          <w:w w:val="105"/>
        </w:rPr>
        <w:t>adjustments</w:t>
      </w:r>
      <w:r>
        <w:rPr>
          <w:color w:val="231F20"/>
          <w:spacing w:val="-24"/>
          <w:w w:val="105"/>
        </w:rPr>
        <w:t> </w:t>
      </w:r>
      <w:r>
        <w:rPr>
          <w:color w:val="231F20"/>
          <w:spacing w:val="-5"/>
          <w:w w:val="105"/>
        </w:rPr>
        <w:t>must </w:t>
      </w:r>
      <w:r>
        <w:rPr>
          <w:color w:val="231F20"/>
          <w:w w:val="105"/>
        </w:rPr>
        <w:t>be invoked, such as changes in blood pressure, changes in circulating hormones, and alterations of </w:t>
      </w:r>
      <w:r>
        <w:rPr>
          <w:color w:val="231F20"/>
          <w:spacing w:val="-3"/>
          <w:w w:val="105"/>
        </w:rPr>
        <w:t>sympathetic </w:t>
      </w:r>
      <w:r>
        <w:rPr>
          <w:color w:val="231F20"/>
          <w:w w:val="105"/>
        </w:rPr>
        <w:t>nervous system</w:t>
      </w:r>
      <w:r>
        <w:rPr>
          <w:color w:val="231F20"/>
          <w:spacing w:val="3"/>
          <w:w w:val="105"/>
        </w:rPr>
        <w:t> </w:t>
      </w:r>
      <w:r>
        <w:rPr>
          <w:color w:val="231F20"/>
          <w:w w:val="105"/>
        </w:rPr>
        <w:t>activity.</w:t>
      </w:r>
    </w:p>
    <w:p>
      <w:pPr>
        <w:pStyle w:val="BodyText"/>
        <w:spacing w:line="249" w:lineRule="auto" w:before="8"/>
        <w:ind w:left="1440" w:firstLine="240"/>
        <w:jc w:val="both"/>
      </w:pPr>
      <w:r>
        <w:rPr>
          <w:color w:val="231F20"/>
          <w:w w:val="105"/>
        </w:rPr>
        <w:t>These adjustments can be costly in terms of overall homeostasis because they cause other changes through- out</w:t>
      </w:r>
      <w:r>
        <w:rPr>
          <w:color w:val="231F20"/>
          <w:spacing w:val="-6"/>
          <w:w w:val="105"/>
        </w:rPr>
        <w:t> </w:t>
      </w:r>
      <w:r>
        <w:rPr>
          <w:color w:val="231F20"/>
          <w:w w:val="105"/>
        </w:rPr>
        <w:t>the</w:t>
      </w:r>
      <w:r>
        <w:rPr>
          <w:color w:val="231F20"/>
          <w:spacing w:val="-5"/>
          <w:w w:val="105"/>
        </w:rPr>
        <w:t> </w:t>
      </w:r>
      <w:r>
        <w:rPr>
          <w:color w:val="231F20"/>
          <w:w w:val="105"/>
        </w:rPr>
        <w:t>body</w:t>
      </w:r>
      <w:r>
        <w:rPr>
          <w:color w:val="231F20"/>
          <w:spacing w:val="-5"/>
          <w:w w:val="105"/>
        </w:rPr>
        <w:t> </w:t>
      </w:r>
      <w:r>
        <w:rPr>
          <w:color w:val="231F20"/>
          <w:w w:val="105"/>
        </w:rPr>
        <w:t>that</w:t>
      </w:r>
      <w:r>
        <w:rPr>
          <w:color w:val="231F20"/>
          <w:spacing w:val="-5"/>
          <w:w w:val="105"/>
        </w:rPr>
        <w:t> </w:t>
      </w:r>
      <w:r>
        <w:rPr>
          <w:color w:val="231F20"/>
          <w:spacing w:val="-4"/>
          <w:w w:val="105"/>
        </w:rPr>
        <w:t>may,</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long</w:t>
      </w:r>
      <w:r>
        <w:rPr>
          <w:color w:val="231F20"/>
          <w:spacing w:val="-5"/>
          <w:w w:val="105"/>
        </w:rPr>
        <w:t> </w:t>
      </w:r>
      <w:r>
        <w:rPr>
          <w:color w:val="231F20"/>
          <w:w w:val="105"/>
        </w:rPr>
        <w:t>run,</w:t>
      </w:r>
      <w:r>
        <w:rPr>
          <w:color w:val="231F20"/>
          <w:spacing w:val="-5"/>
          <w:w w:val="105"/>
        </w:rPr>
        <w:t> </w:t>
      </w:r>
      <w:r>
        <w:rPr>
          <w:color w:val="231F20"/>
          <w:w w:val="105"/>
        </w:rPr>
        <w:t>be</w:t>
      </w:r>
      <w:r>
        <w:rPr>
          <w:color w:val="231F20"/>
          <w:spacing w:val="-5"/>
          <w:w w:val="105"/>
        </w:rPr>
        <w:t> </w:t>
      </w:r>
      <w:r>
        <w:rPr>
          <w:color w:val="231F20"/>
          <w:w w:val="105"/>
        </w:rPr>
        <w:t>damaging.</w:t>
      </w:r>
      <w:r>
        <w:rPr>
          <w:color w:val="231F20"/>
          <w:spacing w:val="-5"/>
          <w:w w:val="105"/>
        </w:rPr>
        <w:t> </w:t>
      </w:r>
      <w:r>
        <w:rPr>
          <w:color w:val="231F20"/>
          <w:spacing w:val="-3"/>
          <w:w w:val="105"/>
        </w:rPr>
        <w:t>For </w:t>
      </w:r>
      <w:r>
        <w:rPr>
          <w:color w:val="231F20"/>
          <w:w w:val="105"/>
        </w:rPr>
        <w:t>example,</w:t>
      </w:r>
      <w:r>
        <w:rPr>
          <w:color w:val="231F20"/>
          <w:spacing w:val="-22"/>
          <w:w w:val="105"/>
        </w:rPr>
        <w:t> </w:t>
      </w:r>
      <w:r>
        <w:rPr>
          <w:color w:val="231F20"/>
          <w:w w:val="105"/>
        </w:rPr>
        <w:t>impaired</w:t>
      </w:r>
      <w:r>
        <w:rPr>
          <w:color w:val="231F20"/>
          <w:spacing w:val="-21"/>
          <w:w w:val="105"/>
        </w:rPr>
        <w:t> </w:t>
      </w:r>
      <w:r>
        <w:rPr>
          <w:color w:val="231F20"/>
          <w:w w:val="105"/>
        </w:rPr>
        <w:t>kidney</w:t>
      </w:r>
      <w:r>
        <w:rPr>
          <w:color w:val="231F20"/>
          <w:spacing w:val="-21"/>
          <w:w w:val="105"/>
        </w:rPr>
        <w:t> </w:t>
      </w:r>
      <w:r>
        <w:rPr>
          <w:color w:val="231F20"/>
          <w:w w:val="105"/>
        </w:rPr>
        <w:t>function</w:t>
      </w:r>
      <w:r>
        <w:rPr>
          <w:color w:val="231F20"/>
          <w:spacing w:val="-21"/>
          <w:w w:val="105"/>
        </w:rPr>
        <w:t> </w:t>
      </w:r>
      <w:r>
        <w:rPr>
          <w:color w:val="231F20"/>
          <w:w w:val="105"/>
        </w:rPr>
        <w:t>may</w:t>
      </w:r>
      <w:r>
        <w:rPr>
          <w:color w:val="231F20"/>
          <w:spacing w:val="-22"/>
          <w:w w:val="105"/>
        </w:rPr>
        <w:t> </w:t>
      </w:r>
      <w:r>
        <w:rPr>
          <w:color w:val="231F20"/>
          <w:w w:val="105"/>
        </w:rPr>
        <w:t>lead</w:t>
      </w:r>
      <w:r>
        <w:rPr>
          <w:color w:val="231F20"/>
          <w:spacing w:val="-21"/>
          <w:w w:val="105"/>
        </w:rPr>
        <w:t> </w:t>
      </w:r>
      <w:r>
        <w:rPr>
          <w:color w:val="231F20"/>
          <w:w w:val="105"/>
        </w:rPr>
        <w:t>to</w:t>
      </w:r>
      <w:r>
        <w:rPr>
          <w:color w:val="231F20"/>
          <w:spacing w:val="-21"/>
          <w:w w:val="105"/>
        </w:rPr>
        <w:t> </w:t>
      </w:r>
      <w:r>
        <w:rPr>
          <w:color w:val="231F20"/>
          <w:w w:val="105"/>
        </w:rPr>
        <w:t>increased blood pressure that, in turn, helps to maintain normal sodium excretion. Over the long term the high </w:t>
      </w:r>
      <w:r>
        <w:rPr>
          <w:color w:val="231F20"/>
          <w:spacing w:val="-3"/>
          <w:w w:val="105"/>
        </w:rPr>
        <w:t>blood </w:t>
      </w:r>
      <w:r>
        <w:rPr>
          <w:color w:val="231F20"/>
          <w:w w:val="105"/>
        </w:rPr>
        <w:t>pressure</w:t>
      </w:r>
      <w:r>
        <w:rPr>
          <w:color w:val="231F20"/>
          <w:spacing w:val="-17"/>
          <w:w w:val="105"/>
        </w:rPr>
        <w:t> </w:t>
      </w:r>
      <w:r>
        <w:rPr>
          <w:color w:val="231F20"/>
          <w:w w:val="105"/>
        </w:rPr>
        <w:t>may</w:t>
      </w:r>
      <w:r>
        <w:rPr>
          <w:color w:val="231F20"/>
          <w:spacing w:val="-16"/>
          <w:w w:val="105"/>
        </w:rPr>
        <w:t> </w:t>
      </w:r>
      <w:r>
        <w:rPr>
          <w:color w:val="231F20"/>
          <w:w w:val="105"/>
        </w:rPr>
        <w:t>cause</w:t>
      </w:r>
      <w:r>
        <w:rPr>
          <w:color w:val="231F20"/>
          <w:spacing w:val="-16"/>
          <w:w w:val="105"/>
        </w:rPr>
        <w:t> </w:t>
      </w:r>
      <w:r>
        <w:rPr>
          <w:color w:val="231F20"/>
          <w:w w:val="105"/>
        </w:rPr>
        <w:t>injury</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7"/>
          <w:w w:val="105"/>
        </w:rPr>
        <w:t> </w:t>
      </w:r>
      <w:r>
        <w:rPr>
          <w:color w:val="231F20"/>
          <w:w w:val="105"/>
        </w:rPr>
        <w:t>blood</w:t>
      </w:r>
      <w:r>
        <w:rPr>
          <w:color w:val="231F20"/>
          <w:spacing w:val="-16"/>
          <w:w w:val="105"/>
        </w:rPr>
        <w:t> </w:t>
      </w:r>
      <w:r>
        <w:rPr>
          <w:color w:val="231F20"/>
          <w:w w:val="105"/>
        </w:rPr>
        <w:t>vessels,</w:t>
      </w:r>
      <w:r>
        <w:rPr>
          <w:color w:val="231F20"/>
          <w:spacing w:val="-16"/>
          <w:w w:val="105"/>
        </w:rPr>
        <w:t> </w:t>
      </w:r>
      <w:r>
        <w:rPr>
          <w:color w:val="231F20"/>
          <w:w w:val="105"/>
        </w:rPr>
        <w:t>heart,</w:t>
      </w:r>
      <w:r>
        <w:rPr>
          <w:color w:val="231F20"/>
          <w:spacing w:val="-16"/>
          <w:w w:val="105"/>
        </w:rPr>
        <w:t> </w:t>
      </w:r>
      <w:r>
        <w:rPr>
          <w:color w:val="231F20"/>
          <w:spacing w:val="-4"/>
          <w:w w:val="105"/>
        </w:rPr>
        <w:t>and </w:t>
      </w:r>
      <w:r>
        <w:rPr>
          <w:color w:val="231F20"/>
          <w:w w:val="105"/>
        </w:rPr>
        <w:t>other</w:t>
      </w:r>
      <w:r>
        <w:rPr>
          <w:color w:val="231F20"/>
          <w:spacing w:val="-11"/>
          <w:w w:val="105"/>
        </w:rPr>
        <w:t> </w:t>
      </w:r>
      <w:r>
        <w:rPr>
          <w:color w:val="231F20"/>
          <w:w w:val="105"/>
        </w:rPr>
        <w:t>organs.</w:t>
      </w:r>
      <w:r>
        <w:rPr>
          <w:color w:val="231F20"/>
          <w:spacing w:val="-10"/>
          <w:w w:val="105"/>
        </w:rPr>
        <w:t> </w:t>
      </w:r>
      <w:r>
        <w:rPr>
          <w:color w:val="231F20"/>
          <w:w w:val="105"/>
        </w:rPr>
        <w:t>These</w:t>
      </w:r>
      <w:r>
        <w:rPr>
          <w:color w:val="231F20"/>
          <w:spacing w:val="-10"/>
          <w:w w:val="105"/>
        </w:rPr>
        <w:t> </w:t>
      </w:r>
      <w:r>
        <w:rPr>
          <w:color w:val="231F20"/>
          <w:w w:val="105"/>
        </w:rPr>
        <w:t>compensations,</w:t>
      </w:r>
      <w:r>
        <w:rPr>
          <w:color w:val="231F20"/>
          <w:spacing w:val="-11"/>
          <w:w w:val="105"/>
        </w:rPr>
        <w:t> </w:t>
      </w:r>
      <w:r>
        <w:rPr>
          <w:color w:val="231F20"/>
          <w:w w:val="105"/>
        </w:rPr>
        <w:t>however,</w:t>
      </w:r>
      <w:r>
        <w:rPr>
          <w:color w:val="231F20"/>
          <w:spacing w:val="-10"/>
          <w:w w:val="105"/>
        </w:rPr>
        <w:t> </w:t>
      </w:r>
      <w:r>
        <w:rPr>
          <w:color w:val="231F20"/>
          <w:w w:val="105"/>
        </w:rPr>
        <w:t>are</w:t>
      </w:r>
      <w:r>
        <w:rPr>
          <w:color w:val="231F20"/>
          <w:spacing w:val="-11"/>
          <w:w w:val="105"/>
        </w:rPr>
        <w:t> </w:t>
      </w:r>
      <w:r>
        <w:rPr>
          <w:color w:val="231F20"/>
          <w:w w:val="105"/>
        </w:rPr>
        <w:t>neces- sary because a sustained imbalance between fluid </w:t>
      </w:r>
      <w:r>
        <w:rPr>
          <w:color w:val="231F20"/>
          <w:spacing w:val="-5"/>
          <w:w w:val="105"/>
        </w:rPr>
        <w:t>and </w:t>
      </w:r>
      <w:r>
        <w:rPr>
          <w:color w:val="231F20"/>
          <w:w w:val="105"/>
        </w:rPr>
        <w:t>electrolyte intake and excretion would quickly lead </w:t>
      </w:r>
      <w:r>
        <w:rPr>
          <w:color w:val="231F20"/>
          <w:spacing w:val="-7"/>
          <w:w w:val="105"/>
        </w:rPr>
        <w:t>to </w:t>
      </w:r>
      <w:r>
        <w:rPr>
          <w:color w:val="231F20"/>
          <w:w w:val="105"/>
        </w:rPr>
        <w:t>accumulation or loss of electrolytes and fluid, </w:t>
      </w:r>
      <w:r>
        <w:rPr>
          <w:color w:val="231F20"/>
          <w:spacing w:val="-3"/>
          <w:w w:val="105"/>
        </w:rPr>
        <w:t>causing </w:t>
      </w:r>
      <w:r>
        <w:rPr>
          <w:color w:val="231F20"/>
          <w:w w:val="105"/>
        </w:rPr>
        <w:t>cardiovascular</w:t>
      </w:r>
      <w:r>
        <w:rPr>
          <w:color w:val="231F20"/>
          <w:spacing w:val="-14"/>
          <w:w w:val="105"/>
        </w:rPr>
        <w:t> </w:t>
      </w:r>
      <w:r>
        <w:rPr>
          <w:color w:val="231F20"/>
          <w:w w:val="105"/>
        </w:rPr>
        <w:t>collapse</w:t>
      </w:r>
      <w:r>
        <w:rPr>
          <w:color w:val="231F20"/>
          <w:spacing w:val="-14"/>
          <w:w w:val="105"/>
        </w:rPr>
        <w:t> </w:t>
      </w:r>
      <w:r>
        <w:rPr>
          <w:color w:val="231F20"/>
          <w:w w:val="105"/>
        </w:rPr>
        <w:t>within</w:t>
      </w:r>
      <w:r>
        <w:rPr>
          <w:color w:val="231F20"/>
          <w:spacing w:val="-13"/>
          <w:w w:val="105"/>
        </w:rPr>
        <w:t> </w:t>
      </w:r>
      <w:r>
        <w:rPr>
          <w:color w:val="231F20"/>
          <w:w w:val="105"/>
        </w:rPr>
        <w:t>a</w:t>
      </w:r>
      <w:r>
        <w:rPr>
          <w:color w:val="231F20"/>
          <w:spacing w:val="-14"/>
          <w:w w:val="105"/>
        </w:rPr>
        <w:t> </w:t>
      </w:r>
      <w:r>
        <w:rPr>
          <w:color w:val="231F20"/>
          <w:w w:val="105"/>
        </w:rPr>
        <w:t>few</w:t>
      </w:r>
      <w:r>
        <w:rPr>
          <w:color w:val="231F20"/>
          <w:spacing w:val="-13"/>
          <w:w w:val="105"/>
        </w:rPr>
        <w:t> </w:t>
      </w:r>
      <w:r>
        <w:rPr>
          <w:color w:val="231F20"/>
          <w:w w:val="105"/>
        </w:rPr>
        <w:t>days.</w:t>
      </w:r>
      <w:r>
        <w:rPr>
          <w:color w:val="231F20"/>
          <w:spacing w:val="-14"/>
          <w:w w:val="105"/>
        </w:rPr>
        <w:t> </w:t>
      </w:r>
      <w:r>
        <w:rPr>
          <w:color w:val="231F20"/>
          <w:w w:val="105"/>
        </w:rPr>
        <w:t>Thus,</w:t>
      </w:r>
      <w:r>
        <w:rPr>
          <w:color w:val="231F20"/>
          <w:spacing w:val="-13"/>
          <w:w w:val="105"/>
        </w:rPr>
        <w:t> </w:t>
      </w:r>
      <w:r>
        <w:rPr>
          <w:color w:val="231F20"/>
          <w:w w:val="105"/>
        </w:rPr>
        <w:t>one</w:t>
      </w:r>
      <w:r>
        <w:rPr>
          <w:color w:val="231F20"/>
          <w:spacing w:val="-14"/>
          <w:w w:val="105"/>
        </w:rPr>
        <w:t> </w:t>
      </w:r>
      <w:r>
        <w:rPr>
          <w:color w:val="231F20"/>
          <w:w w:val="105"/>
        </w:rPr>
        <w:t>can view the systemic adjustments that occur in response </w:t>
      </w:r>
      <w:r>
        <w:rPr>
          <w:color w:val="231F20"/>
          <w:spacing w:val="-8"/>
          <w:w w:val="105"/>
        </w:rPr>
        <w:t>to </w:t>
      </w:r>
      <w:r>
        <w:rPr>
          <w:color w:val="231F20"/>
          <w:w w:val="105"/>
        </w:rPr>
        <w:t>abnormalities</w:t>
      </w:r>
      <w:r>
        <w:rPr>
          <w:color w:val="231F20"/>
          <w:spacing w:val="-16"/>
          <w:w w:val="105"/>
        </w:rPr>
        <w:t> </w:t>
      </w:r>
      <w:r>
        <w:rPr>
          <w:color w:val="231F20"/>
          <w:w w:val="105"/>
        </w:rPr>
        <w:t>of</w:t>
      </w:r>
      <w:r>
        <w:rPr>
          <w:color w:val="231F20"/>
          <w:spacing w:val="-15"/>
          <w:w w:val="105"/>
        </w:rPr>
        <w:t> </w:t>
      </w:r>
      <w:r>
        <w:rPr>
          <w:color w:val="231F20"/>
          <w:w w:val="105"/>
        </w:rPr>
        <w:t>kidney</w:t>
      </w:r>
      <w:r>
        <w:rPr>
          <w:color w:val="231F20"/>
          <w:spacing w:val="-16"/>
          <w:w w:val="105"/>
        </w:rPr>
        <w:t> </w:t>
      </w:r>
      <w:r>
        <w:rPr>
          <w:color w:val="231F20"/>
          <w:w w:val="105"/>
        </w:rPr>
        <w:t>function</w:t>
      </w:r>
      <w:r>
        <w:rPr>
          <w:color w:val="231F20"/>
          <w:spacing w:val="-15"/>
          <w:w w:val="105"/>
        </w:rPr>
        <w:t> </w:t>
      </w:r>
      <w:r>
        <w:rPr>
          <w:color w:val="231F20"/>
          <w:w w:val="105"/>
        </w:rPr>
        <w:t>as</w:t>
      </w:r>
      <w:r>
        <w:rPr>
          <w:color w:val="231F20"/>
          <w:spacing w:val="-16"/>
          <w:w w:val="105"/>
        </w:rPr>
        <w:t> </w:t>
      </w:r>
      <w:r>
        <w:rPr>
          <w:color w:val="231F20"/>
          <w:w w:val="105"/>
        </w:rPr>
        <w:t>a</w:t>
      </w:r>
      <w:r>
        <w:rPr>
          <w:color w:val="231F20"/>
          <w:spacing w:val="-15"/>
          <w:w w:val="105"/>
        </w:rPr>
        <w:t> </w:t>
      </w:r>
      <w:r>
        <w:rPr>
          <w:color w:val="231F20"/>
          <w:w w:val="105"/>
        </w:rPr>
        <w:t>necessary</w:t>
      </w:r>
      <w:r>
        <w:rPr>
          <w:color w:val="231F20"/>
          <w:spacing w:val="-16"/>
          <w:w w:val="105"/>
        </w:rPr>
        <w:t> </w:t>
      </w:r>
      <w:r>
        <w:rPr>
          <w:color w:val="231F20"/>
          <w:w w:val="105"/>
        </w:rPr>
        <w:t>trade-off that</w:t>
      </w:r>
      <w:r>
        <w:rPr>
          <w:color w:val="231F20"/>
          <w:spacing w:val="-18"/>
          <w:w w:val="105"/>
        </w:rPr>
        <w:t> </w:t>
      </w:r>
      <w:r>
        <w:rPr>
          <w:color w:val="231F20"/>
          <w:w w:val="105"/>
        </w:rPr>
        <w:t>brings</w:t>
      </w:r>
      <w:r>
        <w:rPr>
          <w:color w:val="231F20"/>
          <w:spacing w:val="-18"/>
          <w:w w:val="105"/>
        </w:rPr>
        <w:t> </w:t>
      </w:r>
      <w:r>
        <w:rPr>
          <w:color w:val="231F20"/>
          <w:w w:val="105"/>
        </w:rPr>
        <w:t>electrolyte</w:t>
      </w:r>
      <w:r>
        <w:rPr>
          <w:color w:val="231F20"/>
          <w:spacing w:val="-17"/>
          <w:w w:val="105"/>
        </w:rPr>
        <w:t> </w:t>
      </w:r>
      <w:r>
        <w:rPr>
          <w:color w:val="231F20"/>
          <w:w w:val="105"/>
        </w:rPr>
        <w:t>and</w:t>
      </w:r>
      <w:r>
        <w:rPr>
          <w:color w:val="231F20"/>
          <w:spacing w:val="-18"/>
          <w:w w:val="105"/>
        </w:rPr>
        <w:t> </w:t>
      </w:r>
      <w:r>
        <w:rPr>
          <w:color w:val="231F20"/>
          <w:w w:val="105"/>
        </w:rPr>
        <w:t>fluid</w:t>
      </w:r>
      <w:r>
        <w:rPr>
          <w:color w:val="231F20"/>
          <w:spacing w:val="-18"/>
          <w:w w:val="105"/>
        </w:rPr>
        <w:t> </w:t>
      </w:r>
      <w:r>
        <w:rPr>
          <w:color w:val="231F20"/>
          <w:w w:val="105"/>
        </w:rPr>
        <w:t>excretion</w:t>
      </w:r>
      <w:r>
        <w:rPr>
          <w:color w:val="231F20"/>
          <w:spacing w:val="-17"/>
          <w:w w:val="105"/>
        </w:rPr>
        <w:t> </w:t>
      </w:r>
      <w:r>
        <w:rPr>
          <w:color w:val="231F20"/>
          <w:w w:val="105"/>
        </w:rPr>
        <w:t>back</w:t>
      </w:r>
      <w:r>
        <w:rPr>
          <w:color w:val="231F20"/>
          <w:spacing w:val="-18"/>
          <w:w w:val="105"/>
        </w:rPr>
        <w:t> </w:t>
      </w:r>
      <w:r>
        <w:rPr>
          <w:color w:val="231F20"/>
          <w:w w:val="105"/>
        </w:rPr>
        <w:t>in</w:t>
      </w:r>
      <w:r>
        <w:rPr>
          <w:color w:val="231F20"/>
          <w:spacing w:val="-17"/>
          <w:w w:val="105"/>
        </w:rPr>
        <w:t> </w:t>
      </w:r>
      <w:r>
        <w:rPr>
          <w:color w:val="231F20"/>
          <w:spacing w:val="-3"/>
          <w:w w:val="105"/>
        </w:rPr>
        <w:t>balance </w:t>
      </w:r>
      <w:r>
        <w:rPr>
          <w:color w:val="231F20"/>
          <w:w w:val="105"/>
        </w:rPr>
        <w:t>with</w:t>
      </w:r>
      <w:r>
        <w:rPr>
          <w:color w:val="231F20"/>
          <w:spacing w:val="3"/>
          <w:w w:val="105"/>
        </w:rPr>
        <w:t> </w:t>
      </w:r>
      <w:r>
        <w:rPr>
          <w:color w:val="231F20"/>
          <w:w w:val="105"/>
        </w:rPr>
        <w:t>intake.</w:t>
      </w:r>
    </w:p>
    <w:p>
      <w:pPr>
        <w:pStyle w:val="BodyText"/>
        <w:spacing w:before="9"/>
        <w:rPr>
          <w:sz w:val="31"/>
        </w:rPr>
      </w:pPr>
    </w:p>
    <w:p>
      <w:pPr>
        <w:pStyle w:val="Heading2"/>
        <w:spacing w:line="225" w:lineRule="auto"/>
        <w:ind w:left="1440" w:right="642"/>
      </w:pPr>
      <w:r>
        <w:rPr>
          <w:color w:val="231F20"/>
          <w:w w:val="105"/>
        </w:rPr>
        <w:t>SODIUM EXCRETION IS CONTROLLED BY ALTERING GLOMERULAR FILTRATION OR TUBULAR SODIUM REABSORPTION RATES</w:t>
      </w:r>
    </w:p>
    <w:p>
      <w:pPr>
        <w:pStyle w:val="BodyText"/>
        <w:spacing w:line="249" w:lineRule="auto" w:before="127"/>
        <w:ind w:left="1440"/>
        <w:jc w:val="both"/>
      </w:pPr>
      <w:r>
        <w:rPr>
          <w:color w:val="231F20"/>
          <w:w w:val="105"/>
        </w:rPr>
        <w:t>The</w:t>
      </w:r>
      <w:r>
        <w:rPr>
          <w:color w:val="231F20"/>
          <w:spacing w:val="-20"/>
          <w:w w:val="105"/>
        </w:rPr>
        <w:t> </w:t>
      </w:r>
      <w:r>
        <w:rPr>
          <w:color w:val="231F20"/>
          <w:w w:val="105"/>
        </w:rPr>
        <w:t>two</w:t>
      </w:r>
      <w:r>
        <w:rPr>
          <w:color w:val="231F20"/>
          <w:spacing w:val="-19"/>
          <w:w w:val="105"/>
        </w:rPr>
        <w:t> </w:t>
      </w:r>
      <w:r>
        <w:rPr>
          <w:color w:val="231F20"/>
          <w:w w:val="105"/>
        </w:rPr>
        <w:t>variables</w:t>
      </w:r>
      <w:r>
        <w:rPr>
          <w:color w:val="231F20"/>
          <w:spacing w:val="-20"/>
          <w:w w:val="105"/>
        </w:rPr>
        <w:t> </w:t>
      </w:r>
      <w:r>
        <w:rPr>
          <w:color w:val="231F20"/>
          <w:w w:val="105"/>
        </w:rPr>
        <w:t>that</w:t>
      </w:r>
      <w:r>
        <w:rPr>
          <w:color w:val="231F20"/>
          <w:spacing w:val="-19"/>
          <w:w w:val="105"/>
        </w:rPr>
        <w:t> </w:t>
      </w:r>
      <w:r>
        <w:rPr>
          <w:color w:val="231F20"/>
          <w:w w:val="105"/>
        </w:rPr>
        <w:t>influence</w:t>
      </w:r>
      <w:r>
        <w:rPr>
          <w:color w:val="231F20"/>
          <w:spacing w:val="-19"/>
          <w:w w:val="105"/>
        </w:rPr>
        <w:t> </w:t>
      </w:r>
      <w:r>
        <w:rPr>
          <w:color w:val="231F20"/>
          <w:w w:val="105"/>
        </w:rPr>
        <w:t>sodium</w:t>
      </w:r>
      <w:r>
        <w:rPr>
          <w:color w:val="231F20"/>
          <w:spacing w:val="-20"/>
          <w:w w:val="105"/>
        </w:rPr>
        <w:t> </w:t>
      </w:r>
      <w:r>
        <w:rPr>
          <w:color w:val="231F20"/>
          <w:w w:val="105"/>
        </w:rPr>
        <w:t>and</w:t>
      </w:r>
      <w:r>
        <w:rPr>
          <w:color w:val="231F20"/>
          <w:spacing w:val="-19"/>
          <w:w w:val="105"/>
        </w:rPr>
        <w:t> </w:t>
      </w:r>
      <w:r>
        <w:rPr>
          <w:color w:val="231F20"/>
          <w:w w:val="105"/>
        </w:rPr>
        <w:t>water</w:t>
      </w:r>
      <w:r>
        <w:rPr>
          <w:color w:val="231F20"/>
          <w:spacing w:val="-19"/>
          <w:w w:val="105"/>
        </w:rPr>
        <w:t> </w:t>
      </w:r>
      <w:r>
        <w:rPr>
          <w:color w:val="231F20"/>
          <w:w w:val="105"/>
        </w:rPr>
        <w:t>excre- tion are the rates of glomerular filtration and </w:t>
      </w:r>
      <w:r>
        <w:rPr>
          <w:color w:val="231F20"/>
          <w:spacing w:val="-3"/>
          <w:w w:val="105"/>
        </w:rPr>
        <w:t>tubular  </w:t>
      </w:r>
      <w:r>
        <w:rPr>
          <w:color w:val="231F20"/>
          <w:w w:val="105"/>
        </w:rPr>
        <w:t>reabsorption:</w:t>
      </w:r>
    </w:p>
    <w:p>
      <w:pPr>
        <w:spacing w:before="8"/>
        <w:ind w:left="2343" w:right="0" w:firstLine="0"/>
        <w:jc w:val="left"/>
        <w:rPr>
          <w:rFonts w:ascii="Trebuchet MS" w:hAnsi="Trebuchet MS"/>
          <w:sz w:val="18"/>
        </w:rPr>
      </w:pPr>
      <w:r>
        <w:rPr>
          <w:rFonts w:ascii="Trebuchet MS" w:hAnsi="Trebuchet MS"/>
          <w:sz w:val="18"/>
        </w:rPr>
        <w:t>Excretion </w:t>
      </w:r>
      <w:r>
        <w:rPr>
          <w:rFonts w:ascii="Symbol" w:hAnsi="Symbol"/>
          <w:sz w:val="18"/>
        </w:rPr>
        <w:t></w:t>
      </w:r>
      <w:r>
        <w:rPr>
          <w:sz w:val="18"/>
        </w:rPr>
        <w:t> </w:t>
      </w:r>
      <w:r>
        <w:rPr>
          <w:rFonts w:ascii="Trebuchet MS" w:hAnsi="Trebuchet MS"/>
          <w:sz w:val="18"/>
        </w:rPr>
        <w:t>Glomerular filtration</w:t>
      </w:r>
    </w:p>
    <w:p>
      <w:pPr>
        <w:pStyle w:val="ListParagraph"/>
        <w:numPr>
          <w:ilvl w:val="0"/>
          <w:numId w:val="25"/>
        </w:numPr>
        <w:tabs>
          <w:tab w:pos="3474" w:val="left" w:leader="none"/>
        </w:tabs>
        <w:spacing w:line="240" w:lineRule="auto" w:before="19" w:after="0"/>
        <w:ind w:left="3473" w:right="0" w:hanging="154"/>
        <w:jc w:val="left"/>
        <w:rPr>
          <w:rFonts w:ascii="Trebuchet MS" w:hAnsi="Trebuchet MS"/>
          <w:sz w:val="18"/>
        </w:rPr>
      </w:pPr>
      <w:r>
        <w:rPr>
          <w:rFonts w:ascii="Trebuchet MS" w:hAnsi="Trebuchet MS"/>
          <w:w w:val="105"/>
          <w:sz w:val="18"/>
        </w:rPr>
        <w:t>Tubular</w:t>
      </w:r>
      <w:r>
        <w:rPr>
          <w:rFonts w:ascii="Trebuchet MS" w:hAnsi="Trebuchet MS"/>
          <w:spacing w:val="-12"/>
          <w:w w:val="105"/>
          <w:sz w:val="18"/>
        </w:rPr>
        <w:t> </w:t>
      </w:r>
      <w:r>
        <w:rPr>
          <w:rFonts w:ascii="Trebuchet MS" w:hAnsi="Trebuchet MS"/>
          <w:w w:val="105"/>
          <w:sz w:val="18"/>
        </w:rPr>
        <w:t>reabsorption</w:t>
      </w:r>
    </w:p>
    <w:p>
      <w:pPr>
        <w:pStyle w:val="BodyText"/>
        <w:spacing w:line="249" w:lineRule="auto" w:before="100"/>
        <w:ind w:left="319" w:right="1077" w:firstLine="240"/>
        <w:jc w:val="both"/>
      </w:pPr>
      <w:r>
        <w:rPr/>
        <w:br w:type="column"/>
      </w:r>
      <w:r>
        <w:rPr>
          <w:color w:val="231F20"/>
          <w:w w:val="105"/>
        </w:rPr>
        <w:t>GFR</w:t>
      </w:r>
      <w:r>
        <w:rPr>
          <w:color w:val="231F20"/>
          <w:spacing w:val="-30"/>
          <w:w w:val="105"/>
        </w:rPr>
        <w:t> </w:t>
      </w:r>
      <w:r>
        <w:rPr>
          <w:color w:val="231F20"/>
          <w:w w:val="105"/>
        </w:rPr>
        <w:t>normally</w:t>
      </w:r>
      <w:r>
        <w:rPr>
          <w:color w:val="231F20"/>
          <w:spacing w:val="-29"/>
          <w:w w:val="105"/>
        </w:rPr>
        <w:t> </w:t>
      </w:r>
      <w:r>
        <w:rPr>
          <w:color w:val="231F20"/>
          <w:w w:val="105"/>
        </w:rPr>
        <w:t>is</w:t>
      </w:r>
      <w:r>
        <w:rPr>
          <w:color w:val="231F20"/>
          <w:spacing w:val="-29"/>
          <w:w w:val="105"/>
        </w:rPr>
        <w:t> </w:t>
      </w:r>
      <w:r>
        <w:rPr>
          <w:color w:val="231F20"/>
          <w:w w:val="105"/>
        </w:rPr>
        <w:t>about</w:t>
      </w:r>
      <w:r>
        <w:rPr>
          <w:color w:val="231F20"/>
          <w:spacing w:val="-29"/>
          <w:w w:val="105"/>
        </w:rPr>
        <w:t> </w:t>
      </w:r>
      <w:r>
        <w:rPr>
          <w:color w:val="231F20"/>
          <w:w w:val="105"/>
        </w:rPr>
        <w:t>180</w:t>
      </w:r>
      <w:r>
        <w:rPr>
          <w:color w:val="231F20"/>
          <w:spacing w:val="-19"/>
          <w:w w:val="105"/>
        </w:rPr>
        <w:t> </w:t>
      </w:r>
      <w:r>
        <w:rPr>
          <w:color w:val="231F20"/>
          <w:spacing w:val="-3"/>
          <w:w w:val="105"/>
        </w:rPr>
        <w:t>L/day,</w:t>
      </w:r>
      <w:r>
        <w:rPr>
          <w:color w:val="231F20"/>
          <w:spacing w:val="-29"/>
          <w:w w:val="105"/>
        </w:rPr>
        <w:t> </w:t>
      </w:r>
      <w:r>
        <w:rPr>
          <w:color w:val="231F20"/>
          <w:w w:val="105"/>
        </w:rPr>
        <w:t>tubular</w:t>
      </w:r>
      <w:r>
        <w:rPr>
          <w:color w:val="231F20"/>
          <w:spacing w:val="-29"/>
          <w:w w:val="105"/>
        </w:rPr>
        <w:t> </w:t>
      </w:r>
      <w:r>
        <w:rPr>
          <w:color w:val="231F20"/>
          <w:w w:val="105"/>
        </w:rPr>
        <w:t>reabsorption is 178.5 </w:t>
      </w:r>
      <w:r>
        <w:rPr>
          <w:color w:val="231F20"/>
          <w:spacing w:val="-3"/>
          <w:w w:val="105"/>
        </w:rPr>
        <w:t>L/day, </w:t>
      </w:r>
      <w:r>
        <w:rPr>
          <w:color w:val="231F20"/>
          <w:w w:val="105"/>
        </w:rPr>
        <w:t>and urine excretion is 1.5 </w:t>
      </w:r>
      <w:r>
        <w:rPr>
          <w:color w:val="231F20"/>
          <w:spacing w:val="-3"/>
          <w:w w:val="105"/>
        </w:rPr>
        <w:t>L/day. </w:t>
      </w:r>
      <w:r>
        <w:rPr>
          <w:color w:val="231F20"/>
          <w:w w:val="105"/>
        </w:rPr>
        <w:t>Thus, small</w:t>
      </w:r>
      <w:r>
        <w:rPr>
          <w:color w:val="231F20"/>
          <w:spacing w:val="-13"/>
          <w:w w:val="105"/>
        </w:rPr>
        <w:t> </w:t>
      </w:r>
      <w:r>
        <w:rPr>
          <w:color w:val="231F20"/>
          <w:w w:val="105"/>
        </w:rPr>
        <w:t>changes</w:t>
      </w:r>
      <w:r>
        <w:rPr>
          <w:color w:val="231F20"/>
          <w:spacing w:val="-12"/>
          <w:w w:val="105"/>
        </w:rPr>
        <w:t> </w:t>
      </w:r>
      <w:r>
        <w:rPr>
          <w:color w:val="231F20"/>
          <w:w w:val="105"/>
        </w:rPr>
        <w:t>in</w:t>
      </w:r>
      <w:r>
        <w:rPr>
          <w:color w:val="231F20"/>
          <w:spacing w:val="-13"/>
          <w:w w:val="105"/>
        </w:rPr>
        <w:t> </w:t>
      </w:r>
      <w:r>
        <w:rPr>
          <w:color w:val="231F20"/>
          <w:w w:val="105"/>
        </w:rPr>
        <w:t>GFR</w:t>
      </w:r>
      <w:r>
        <w:rPr>
          <w:color w:val="231F20"/>
          <w:spacing w:val="-12"/>
          <w:w w:val="105"/>
        </w:rPr>
        <w:t> </w:t>
      </w:r>
      <w:r>
        <w:rPr>
          <w:color w:val="231F20"/>
          <w:w w:val="105"/>
        </w:rPr>
        <w:t>or</w:t>
      </w:r>
      <w:r>
        <w:rPr>
          <w:color w:val="231F20"/>
          <w:spacing w:val="-13"/>
          <w:w w:val="105"/>
        </w:rPr>
        <w:t> </w:t>
      </w:r>
      <w:r>
        <w:rPr>
          <w:color w:val="231F20"/>
          <w:w w:val="105"/>
        </w:rPr>
        <w:t>tubular</w:t>
      </w:r>
      <w:r>
        <w:rPr>
          <w:color w:val="231F20"/>
          <w:spacing w:val="-12"/>
          <w:w w:val="105"/>
        </w:rPr>
        <w:t> </w:t>
      </w:r>
      <w:r>
        <w:rPr>
          <w:color w:val="231F20"/>
          <w:w w:val="105"/>
        </w:rPr>
        <w:t>reabsorption</w:t>
      </w:r>
      <w:r>
        <w:rPr>
          <w:color w:val="231F20"/>
          <w:spacing w:val="-13"/>
          <w:w w:val="105"/>
        </w:rPr>
        <w:t> </w:t>
      </w:r>
      <w:r>
        <w:rPr>
          <w:color w:val="231F20"/>
          <w:spacing w:val="-3"/>
          <w:w w:val="105"/>
        </w:rPr>
        <w:t>potentially </w:t>
      </w:r>
      <w:r>
        <w:rPr>
          <w:color w:val="231F20"/>
          <w:w w:val="105"/>
        </w:rPr>
        <w:t>can</w:t>
      </w:r>
      <w:r>
        <w:rPr>
          <w:color w:val="231F20"/>
          <w:spacing w:val="-9"/>
          <w:w w:val="105"/>
        </w:rPr>
        <w:t> </w:t>
      </w:r>
      <w:r>
        <w:rPr>
          <w:color w:val="231F20"/>
          <w:w w:val="105"/>
        </w:rPr>
        <w:t>cause</w:t>
      </w:r>
      <w:r>
        <w:rPr>
          <w:color w:val="231F20"/>
          <w:spacing w:val="-8"/>
          <w:w w:val="105"/>
        </w:rPr>
        <w:t> </w:t>
      </w:r>
      <w:r>
        <w:rPr>
          <w:color w:val="231F20"/>
          <w:w w:val="105"/>
        </w:rPr>
        <w:t>large</w:t>
      </w:r>
      <w:r>
        <w:rPr>
          <w:color w:val="231F20"/>
          <w:spacing w:val="-8"/>
          <w:w w:val="105"/>
        </w:rPr>
        <w:t> </w:t>
      </w:r>
      <w:r>
        <w:rPr>
          <w:color w:val="231F20"/>
          <w:w w:val="105"/>
        </w:rPr>
        <w:t>changes</w:t>
      </w:r>
      <w:r>
        <w:rPr>
          <w:color w:val="231F20"/>
          <w:spacing w:val="-8"/>
          <w:w w:val="105"/>
        </w:rPr>
        <w:t> </w:t>
      </w:r>
      <w:r>
        <w:rPr>
          <w:color w:val="231F20"/>
          <w:w w:val="105"/>
        </w:rPr>
        <w:t>in</w:t>
      </w:r>
      <w:r>
        <w:rPr>
          <w:color w:val="231F20"/>
          <w:spacing w:val="-8"/>
          <w:w w:val="105"/>
        </w:rPr>
        <w:t> </w:t>
      </w:r>
      <w:r>
        <w:rPr>
          <w:color w:val="231F20"/>
          <w:w w:val="105"/>
        </w:rPr>
        <w:t>renal</w:t>
      </w:r>
      <w:r>
        <w:rPr>
          <w:color w:val="231F20"/>
          <w:spacing w:val="-8"/>
          <w:w w:val="105"/>
        </w:rPr>
        <w:t> </w:t>
      </w:r>
      <w:r>
        <w:rPr>
          <w:color w:val="231F20"/>
          <w:w w:val="105"/>
        </w:rPr>
        <w:t>excretion.</w:t>
      </w:r>
      <w:r>
        <w:rPr>
          <w:color w:val="231F20"/>
          <w:spacing w:val="-8"/>
          <w:w w:val="105"/>
        </w:rPr>
        <w:t> </w:t>
      </w:r>
      <w:r>
        <w:rPr>
          <w:color w:val="231F20"/>
          <w:spacing w:val="-3"/>
          <w:w w:val="105"/>
        </w:rPr>
        <w:t>For</w:t>
      </w:r>
      <w:r>
        <w:rPr>
          <w:color w:val="231F20"/>
          <w:spacing w:val="-8"/>
          <w:w w:val="105"/>
        </w:rPr>
        <w:t> </w:t>
      </w:r>
      <w:r>
        <w:rPr>
          <w:color w:val="231F20"/>
          <w:w w:val="105"/>
        </w:rPr>
        <w:t>example, a</w:t>
      </w:r>
      <w:r>
        <w:rPr>
          <w:color w:val="231F20"/>
          <w:spacing w:val="-17"/>
          <w:w w:val="105"/>
        </w:rPr>
        <w:t> </w:t>
      </w:r>
      <w:r>
        <w:rPr>
          <w:color w:val="231F20"/>
          <w:w w:val="105"/>
        </w:rPr>
        <w:t>5</w:t>
      </w:r>
      <w:r>
        <w:rPr>
          <w:color w:val="231F20"/>
          <w:spacing w:val="-16"/>
          <w:w w:val="105"/>
        </w:rPr>
        <w:t> </w:t>
      </w:r>
      <w:r>
        <w:rPr>
          <w:color w:val="231F20"/>
          <w:w w:val="105"/>
        </w:rPr>
        <w:t>percent</w:t>
      </w:r>
      <w:r>
        <w:rPr>
          <w:color w:val="231F20"/>
          <w:spacing w:val="-17"/>
          <w:w w:val="105"/>
        </w:rPr>
        <w:t> </w:t>
      </w:r>
      <w:r>
        <w:rPr>
          <w:color w:val="231F20"/>
          <w:w w:val="105"/>
        </w:rPr>
        <w:t>increase</w:t>
      </w:r>
      <w:r>
        <w:rPr>
          <w:color w:val="231F20"/>
          <w:spacing w:val="-16"/>
          <w:w w:val="105"/>
        </w:rPr>
        <w:t> </w:t>
      </w:r>
      <w:r>
        <w:rPr>
          <w:color w:val="231F20"/>
          <w:w w:val="105"/>
        </w:rPr>
        <w:t>in</w:t>
      </w:r>
      <w:r>
        <w:rPr>
          <w:color w:val="231F20"/>
          <w:spacing w:val="-17"/>
          <w:w w:val="105"/>
        </w:rPr>
        <w:t> </w:t>
      </w:r>
      <w:r>
        <w:rPr>
          <w:color w:val="231F20"/>
          <w:w w:val="105"/>
        </w:rPr>
        <w:t>GFR</w:t>
      </w:r>
      <w:r>
        <w:rPr>
          <w:color w:val="231F20"/>
          <w:spacing w:val="-16"/>
          <w:w w:val="105"/>
        </w:rPr>
        <w:t> </w:t>
      </w:r>
      <w:r>
        <w:rPr>
          <w:color w:val="231F20"/>
          <w:w w:val="105"/>
        </w:rPr>
        <w:t>(to</w:t>
      </w:r>
      <w:r>
        <w:rPr>
          <w:color w:val="231F20"/>
          <w:spacing w:val="-16"/>
          <w:w w:val="105"/>
        </w:rPr>
        <w:t> </w:t>
      </w:r>
      <w:r>
        <w:rPr>
          <w:color w:val="231F20"/>
          <w:w w:val="105"/>
        </w:rPr>
        <w:t>189</w:t>
      </w:r>
      <w:r>
        <w:rPr>
          <w:color w:val="231F20"/>
          <w:spacing w:val="-11"/>
          <w:w w:val="105"/>
        </w:rPr>
        <w:t> </w:t>
      </w:r>
      <w:r>
        <w:rPr>
          <w:color w:val="231F20"/>
          <w:w w:val="105"/>
        </w:rPr>
        <w:t>L/day)</w:t>
      </w:r>
      <w:r>
        <w:rPr>
          <w:color w:val="231F20"/>
          <w:spacing w:val="-16"/>
          <w:w w:val="105"/>
        </w:rPr>
        <w:t> </w:t>
      </w:r>
      <w:r>
        <w:rPr>
          <w:color w:val="231F20"/>
          <w:w w:val="105"/>
        </w:rPr>
        <w:t>would</w:t>
      </w:r>
      <w:r>
        <w:rPr>
          <w:color w:val="231F20"/>
          <w:spacing w:val="-17"/>
          <w:w w:val="105"/>
        </w:rPr>
        <w:t> </w:t>
      </w:r>
      <w:r>
        <w:rPr>
          <w:color w:val="231F20"/>
          <w:w w:val="105"/>
        </w:rPr>
        <w:t>cause</w:t>
      </w:r>
      <w:r>
        <w:rPr>
          <w:color w:val="231F20"/>
          <w:spacing w:val="-16"/>
          <w:w w:val="105"/>
        </w:rPr>
        <w:t> </w:t>
      </w:r>
      <w:r>
        <w:rPr>
          <w:color w:val="231F20"/>
          <w:w w:val="105"/>
        </w:rPr>
        <w:t>a 9 L/day increase in urine volume, if tubular compensa- tions did not occur; this increase would quickly </w:t>
      </w:r>
      <w:r>
        <w:rPr>
          <w:color w:val="231F20"/>
          <w:spacing w:val="-3"/>
          <w:w w:val="105"/>
        </w:rPr>
        <w:t>cause </w:t>
      </w:r>
      <w:r>
        <w:rPr>
          <w:color w:val="231F20"/>
          <w:w w:val="105"/>
        </w:rPr>
        <w:t>catastrophic changes in body fluid volumes. Similarly, small changes in tubular reabsorption, in the absence </w:t>
      </w:r>
      <w:r>
        <w:rPr>
          <w:color w:val="231F20"/>
          <w:spacing w:val="-7"/>
          <w:w w:val="105"/>
        </w:rPr>
        <w:t>of </w:t>
      </w:r>
      <w:r>
        <w:rPr>
          <w:color w:val="231F20"/>
          <w:w w:val="105"/>
        </w:rPr>
        <w:t>compensatory adjustments of GFR, would also lead to dramatic</w:t>
      </w:r>
      <w:r>
        <w:rPr>
          <w:color w:val="231F20"/>
          <w:spacing w:val="-13"/>
          <w:w w:val="105"/>
        </w:rPr>
        <w:t> </w:t>
      </w:r>
      <w:r>
        <w:rPr>
          <w:color w:val="231F20"/>
          <w:w w:val="105"/>
        </w:rPr>
        <w:t>changes</w:t>
      </w:r>
      <w:r>
        <w:rPr>
          <w:color w:val="231F20"/>
          <w:spacing w:val="-12"/>
          <w:w w:val="105"/>
        </w:rPr>
        <w:t> </w:t>
      </w:r>
      <w:r>
        <w:rPr>
          <w:color w:val="231F20"/>
          <w:w w:val="105"/>
        </w:rPr>
        <w:t>in</w:t>
      </w:r>
      <w:r>
        <w:rPr>
          <w:color w:val="231F20"/>
          <w:spacing w:val="-12"/>
          <w:w w:val="105"/>
        </w:rPr>
        <w:t> </w:t>
      </w:r>
      <w:r>
        <w:rPr>
          <w:color w:val="231F20"/>
          <w:w w:val="105"/>
        </w:rPr>
        <w:t>urine</w:t>
      </w:r>
      <w:r>
        <w:rPr>
          <w:color w:val="231F20"/>
          <w:spacing w:val="-12"/>
          <w:w w:val="105"/>
        </w:rPr>
        <w:t> </w:t>
      </w:r>
      <w:r>
        <w:rPr>
          <w:color w:val="231F20"/>
          <w:w w:val="105"/>
        </w:rPr>
        <w:t>volume</w:t>
      </w:r>
      <w:r>
        <w:rPr>
          <w:color w:val="231F20"/>
          <w:spacing w:val="-12"/>
          <w:w w:val="105"/>
        </w:rPr>
        <w:t> </w:t>
      </w:r>
      <w:r>
        <w:rPr>
          <w:color w:val="231F20"/>
          <w:w w:val="105"/>
        </w:rPr>
        <w:t>and</w:t>
      </w:r>
      <w:r>
        <w:rPr>
          <w:color w:val="231F20"/>
          <w:spacing w:val="-12"/>
          <w:w w:val="105"/>
        </w:rPr>
        <w:t> </w:t>
      </w:r>
      <w:r>
        <w:rPr>
          <w:color w:val="231F20"/>
          <w:w w:val="105"/>
        </w:rPr>
        <w:t>sodium</w:t>
      </w:r>
      <w:r>
        <w:rPr>
          <w:color w:val="231F20"/>
          <w:spacing w:val="-12"/>
          <w:w w:val="105"/>
        </w:rPr>
        <w:t> </w:t>
      </w:r>
      <w:r>
        <w:rPr>
          <w:color w:val="231F20"/>
          <w:w w:val="105"/>
        </w:rPr>
        <w:t>excretion. </w:t>
      </w:r>
      <w:r>
        <w:rPr>
          <w:color w:val="231F20"/>
          <w:spacing w:val="-4"/>
          <w:w w:val="105"/>
        </w:rPr>
        <w:t>Tubular</w:t>
      </w:r>
      <w:r>
        <w:rPr>
          <w:color w:val="231F20"/>
          <w:spacing w:val="-10"/>
          <w:w w:val="105"/>
        </w:rPr>
        <w:t> </w:t>
      </w:r>
      <w:r>
        <w:rPr>
          <w:color w:val="231F20"/>
          <w:w w:val="105"/>
        </w:rPr>
        <w:t>reabsorption</w:t>
      </w:r>
      <w:r>
        <w:rPr>
          <w:color w:val="231F20"/>
          <w:spacing w:val="-9"/>
          <w:w w:val="105"/>
        </w:rPr>
        <w:t> </w:t>
      </w:r>
      <w:r>
        <w:rPr>
          <w:color w:val="231F20"/>
          <w:w w:val="105"/>
        </w:rPr>
        <w:t>and</w:t>
      </w:r>
      <w:r>
        <w:rPr>
          <w:color w:val="231F20"/>
          <w:spacing w:val="-9"/>
          <w:w w:val="105"/>
        </w:rPr>
        <w:t> </w:t>
      </w:r>
      <w:r>
        <w:rPr>
          <w:color w:val="231F20"/>
          <w:w w:val="105"/>
        </w:rPr>
        <w:t>GFR</w:t>
      </w:r>
      <w:r>
        <w:rPr>
          <w:color w:val="231F20"/>
          <w:spacing w:val="-9"/>
          <w:w w:val="105"/>
        </w:rPr>
        <w:t> </w:t>
      </w:r>
      <w:r>
        <w:rPr>
          <w:color w:val="231F20"/>
          <w:w w:val="105"/>
        </w:rPr>
        <w:t>usually</w:t>
      </w:r>
      <w:r>
        <w:rPr>
          <w:color w:val="231F20"/>
          <w:spacing w:val="-10"/>
          <w:w w:val="105"/>
        </w:rPr>
        <w:t> </w:t>
      </w:r>
      <w:r>
        <w:rPr>
          <w:color w:val="231F20"/>
          <w:w w:val="105"/>
        </w:rPr>
        <w:t>are</w:t>
      </w:r>
      <w:r>
        <w:rPr>
          <w:color w:val="231F20"/>
          <w:spacing w:val="-9"/>
          <w:w w:val="105"/>
        </w:rPr>
        <w:t> </w:t>
      </w:r>
      <w:r>
        <w:rPr>
          <w:color w:val="231F20"/>
          <w:w w:val="105"/>
        </w:rPr>
        <w:t>regulated</w:t>
      </w:r>
      <w:r>
        <w:rPr>
          <w:color w:val="231F20"/>
          <w:spacing w:val="-9"/>
          <w:w w:val="105"/>
        </w:rPr>
        <w:t> </w:t>
      </w:r>
      <w:r>
        <w:rPr>
          <w:color w:val="231F20"/>
          <w:spacing w:val="-4"/>
          <w:w w:val="105"/>
        </w:rPr>
        <w:t>pre- </w:t>
      </w:r>
      <w:r>
        <w:rPr>
          <w:color w:val="231F20"/>
          <w:w w:val="105"/>
        </w:rPr>
        <w:t>cisely,</w:t>
      </w:r>
      <w:r>
        <w:rPr>
          <w:color w:val="231F20"/>
          <w:spacing w:val="-26"/>
          <w:w w:val="105"/>
        </w:rPr>
        <w:t> </w:t>
      </w:r>
      <w:r>
        <w:rPr>
          <w:color w:val="231F20"/>
          <w:w w:val="105"/>
        </w:rPr>
        <w:t>so</w:t>
      </w:r>
      <w:r>
        <w:rPr>
          <w:color w:val="231F20"/>
          <w:spacing w:val="-26"/>
          <w:w w:val="105"/>
        </w:rPr>
        <w:t> </w:t>
      </w:r>
      <w:r>
        <w:rPr>
          <w:color w:val="231F20"/>
          <w:w w:val="105"/>
        </w:rPr>
        <w:t>excretion</w:t>
      </w:r>
      <w:r>
        <w:rPr>
          <w:color w:val="231F20"/>
          <w:spacing w:val="-26"/>
          <w:w w:val="105"/>
        </w:rPr>
        <w:t> </w:t>
      </w:r>
      <w:r>
        <w:rPr>
          <w:color w:val="231F20"/>
          <w:w w:val="105"/>
        </w:rPr>
        <w:t>by</w:t>
      </w:r>
      <w:r>
        <w:rPr>
          <w:color w:val="231F20"/>
          <w:spacing w:val="-26"/>
          <w:w w:val="105"/>
        </w:rPr>
        <w:t> </w:t>
      </w:r>
      <w:r>
        <w:rPr>
          <w:color w:val="231F20"/>
          <w:w w:val="105"/>
        </w:rPr>
        <w:t>the</w:t>
      </w:r>
      <w:r>
        <w:rPr>
          <w:color w:val="231F20"/>
          <w:spacing w:val="-26"/>
          <w:w w:val="105"/>
        </w:rPr>
        <w:t> </w:t>
      </w:r>
      <w:r>
        <w:rPr>
          <w:color w:val="231F20"/>
          <w:w w:val="105"/>
        </w:rPr>
        <w:t>kidneys</w:t>
      </w:r>
      <w:r>
        <w:rPr>
          <w:color w:val="231F20"/>
          <w:spacing w:val="-26"/>
          <w:w w:val="105"/>
        </w:rPr>
        <w:t> </w:t>
      </w:r>
      <w:r>
        <w:rPr>
          <w:color w:val="231F20"/>
          <w:w w:val="105"/>
        </w:rPr>
        <w:t>can</w:t>
      </w:r>
      <w:r>
        <w:rPr>
          <w:color w:val="231F20"/>
          <w:spacing w:val="-26"/>
          <w:w w:val="105"/>
        </w:rPr>
        <w:t> </w:t>
      </w:r>
      <w:r>
        <w:rPr>
          <w:color w:val="231F20"/>
          <w:w w:val="105"/>
        </w:rPr>
        <w:t>be</w:t>
      </w:r>
      <w:r>
        <w:rPr>
          <w:color w:val="231F20"/>
          <w:spacing w:val="-26"/>
          <w:w w:val="105"/>
        </w:rPr>
        <w:t> </w:t>
      </w:r>
      <w:r>
        <w:rPr>
          <w:color w:val="231F20"/>
          <w:w w:val="105"/>
        </w:rPr>
        <w:t>exactly</w:t>
      </w:r>
      <w:r>
        <w:rPr>
          <w:color w:val="231F20"/>
          <w:spacing w:val="-26"/>
          <w:w w:val="105"/>
        </w:rPr>
        <w:t> </w:t>
      </w:r>
      <w:r>
        <w:rPr>
          <w:color w:val="231F20"/>
          <w:w w:val="105"/>
        </w:rPr>
        <w:t>matched to intake of water and</w:t>
      </w:r>
      <w:r>
        <w:rPr>
          <w:color w:val="231F20"/>
          <w:spacing w:val="8"/>
          <w:w w:val="105"/>
        </w:rPr>
        <w:t> </w:t>
      </w:r>
      <w:r>
        <w:rPr>
          <w:color w:val="231F20"/>
          <w:w w:val="105"/>
        </w:rPr>
        <w:t>electrolytes.</w:t>
      </w:r>
    </w:p>
    <w:p>
      <w:pPr>
        <w:pStyle w:val="BodyText"/>
        <w:spacing w:line="249" w:lineRule="auto" w:before="11"/>
        <w:ind w:left="319" w:right="1077" w:firstLine="240"/>
        <w:jc w:val="both"/>
      </w:pPr>
      <w:r>
        <w:rPr/>
        <w:pict>
          <v:rect style="position:absolute;margin-left:576pt;margin-top:-27.464039pt;width:36pt;height:24pt;mso-position-horizontal-relative:page;mso-position-vertical-relative:paragraph;z-index:252642304" filled="true" fillcolor="#e8dac8" stroked="false">
            <v:fill type="solid"/>
            <w10:wrap type="none"/>
          </v:rect>
        </w:pict>
      </w:r>
      <w:r>
        <w:rPr/>
        <w:pict>
          <v:shape style="position:absolute;margin-left:578.900024pt;margin-top:-103.80674pt;width:15.9pt;height:53.35pt;mso-position-horizontal-relative:page;mso-position-vertical-relative:paragraph;z-index:25264332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Even with disturbances that alter GFR or tubular reab- sorption, changes in  urinary  excretion  are  minimized  by various buffering mechanisms. </w:t>
      </w:r>
      <w:r>
        <w:rPr>
          <w:color w:val="231F20"/>
          <w:spacing w:val="-3"/>
        </w:rPr>
        <w:t>For </w:t>
      </w:r>
      <w:r>
        <w:rPr>
          <w:color w:val="231F20"/>
        </w:rPr>
        <w:t>example, if the kidneys</w:t>
      </w:r>
      <w:r>
        <w:rPr>
          <w:color w:val="231F20"/>
          <w:spacing w:val="-6"/>
        </w:rPr>
        <w:t> </w:t>
      </w:r>
      <w:r>
        <w:rPr>
          <w:color w:val="231F20"/>
        </w:rPr>
        <w:t>become</w:t>
      </w:r>
      <w:r>
        <w:rPr>
          <w:color w:val="231F20"/>
          <w:spacing w:val="-5"/>
        </w:rPr>
        <w:t> </w:t>
      </w:r>
      <w:r>
        <w:rPr>
          <w:color w:val="231F20"/>
        </w:rPr>
        <w:t>greatly</w:t>
      </w:r>
      <w:r>
        <w:rPr>
          <w:color w:val="231F20"/>
          <w:spacing w:val="-6"/>
        </w:rPr>
        <w:t> </w:t>
      </w:r>
      <w:r>
        <w:rPr>
          <w:color w:val="231F20"/>
        </w:rPr>
        <w:t>vasodilated</w:t>
      </w:r>
      <w:r>
        <w:rPr>
          <w:color w:val="231F20"/>
          <w:spacing w:val="-5"/>
        </w:rPr>
        <w:t> </w:t>
      </w:r>
      <w:r>
        <w:rPr>
          <w:color w:val="231F20"/>
        </w:rPr>
        <w:t>and</w:t>
      </w:r>
      <w:r>
        <w:rPr>
          <w:color w:val="231F20"/>
          <w:spacing w:val="-6"/>
        </w:rPr>
        <w:t> </w:t>
      </w:r>
      <w:r>
        <w:rPr>
          <w:color w:val="231F20"/>
        </w:rPr>
        <w:t>GFR</w:t>
      </w:r>
      <w:r>
        <w:rPr>
          <w:color w:val="231F20"/>
          <w:spacing w:val="-5"/>
        </w:rPr>
        <w:t> </w:t>
      </w:r>
      <w:r>
        <w:rPr>
          <w:color w:val="231F20"/>
        </w:rPr>
        <w:t>increases</w:t>
      </w:r>
      <w:r>
        <w:rPr>
          <w:color w:val="231F20"/>
          <w:spacing w:val="-5"/>
        </w:rPr>
        <w:t> </w:t>
      </w:r>
      <w:r>
        <w:rPr>
          <w:color w:val="231F20"/>
        </w:rPr>
        <w:t>(as can occur with certain drugs or high fever), this condi- tion raises sodium chloride delivery to the tubules, which in turn leads to at least two intrarenal</w:t>
      </w:r>
      <w:r>
        <w:rPr>
          <w:color w:val="231F20"/>
          <w:spacing w:val="44"/>
        </w:rPr>
        <w:t> </w:t>
      </w:r>
      <w:r>
        <w:rPr>
          <w:color w:val="231F20"/>
        </w:rPr>
        <w:t>compensations:</w:t>
      </w:r>
    </w:p>
    <w:p>
      <w:pPr>
        <w:pStyle w:val="ListParagraph"/>
        <w:numPr>
          <w:ilvl w:val="0"/>
          <w:numId w:val="26"/>
        </w:numPr>
        <w:tabs>
          <w:tab w:pos="617" w:val="left" w:leader="none"/>
        </w:tabs>
        <w:spacing w:line="249" w:lineRule="auto" w:before="6" w:after="0"/>
        <w:ind w:left="319" w:right="1077" w:firstLine="0"/>
        <w:jc w:val="both"/>
        <w:rPr>
          <w:sz w:val="20"/>
        </w:rPr>
      </w:pPr>
      <w:r>
        <w:rPr>
          <w:color w:val="231F20"/>
          <w:sz w:val="20"/>
        </w:rPr>
        <w:t>increased tubular reabsorption of much of the extra sodium chloride filtered, called </w:t>
      </w:r>
      <w:r>
        <w:rPr>
          <w:i/>
          <w:color w:val="231F20"/>
          <w:sz w:val="20"/>
        </w:rPr>
        <w:t>glomerulotubular</w:t>
      </w:r>
      <w:r>
        <w:rPr>
          <w:i/>
          <w:color w:val="231F20"/>
          <w:spacing w:val="-30"/>
          <w:sz w:val="20"/>
        </w:rPr>
        <w:t> </w:t>
      </w:r>
      <w:r>
        <w:rPr>
          <w:i/>
          <w:color w:val="231F20"/>
          <w:sz w:val="20"/>
        </w:rPr>
        <w:t>balance, </w:t>
      </w:r>
      <w:r>
        <w:rPr>
          <w:color w:val="231F20"/>
          <w:sz w:val="20"/>
        </w:rPr>
        <w:t>and (2) </w:t>
      </w:r>
      <w:r>
        <w:rPr>
          <w:i/>
          <w:color w:val="231F20"/>
          <w:sz w:val="20"/>
        </w:rPr>
        <w:t>macula densa feedback, </w:t>
      </w:r>
      <w:r>
        <w:rPr>
          <w:color w:val="231F20"/>
          <w:sz w:val="20"/>
        </w:rPr>
        <w:t>in which increased sodium chloride delivery to the distal tubule causes affer- ent arteriolar constriction and return of GFR toward normal. Likewise, abnormalities of tubular reabsorption  in the proximal tubule or loop of Henle are partially com- pensated for by these same intrarenal feedbacks, as dis- cussed in Chapter</w:t>
      </w:r>
      <w:r>
        <w:rPr>
          <w:color w:val="231F20"/>
          <w:spacing w:val="20"/>
          <w:sz w:val="20"/>
        </w:rPr>
        <w:t> </w:t>
      </w:r>
      <w:r>
        <w:rPr>
          <w:color w:val="231F20"/>
          <w:sz w:val="20"/>
        </w:rPr>
        <w:t>27.</w:t>
      </w:r>
    </w:p>
    <w:p>
      <w:pPr>
        <w:pStyle w:val="BodyText"/>
        <w:spacing w:line="249" w:lineRule="auto" w:before="7"/>
        <w:ind w:left="319" w:right="1077" w:firstLine="240"/>
        <w:jc w:val="both"/>
      </w:pPr>
      <w:r>
        <w:rPr>
          <w:color w:val="231F20"/>
          <w:w w:val="105"/>
        </w:rPr>
        <w:t>Because neither of these two mechanisms operates perfectly</w:t>
      </w:r>
      <w:r>
        <w:rPr>
          <w:color w:val="231F20"/>
          <w:spacing w:val="-18"/>
          <w:w w:val="105"/>
        </w:rPr>
        <w:t> </w:t>
      </w:r>
      <w:r>
        <w:rPr>
          <w:color w:val="231F20"/>
          <w:w w:val="105"/>
        </w:rPr>
        <w:t>to</w:t>
      </w:r>
      <w:r>
        <w:rPr>
          <w:color w:val="231F20"/>
          <w:spacing w:val="-18"/>
          <w:w w:val="105"/>
        </w:rPr>
        <w:t> </w:t>
      </w:r>
      <w:r>
        <w:rPr>
          <w:color w:val="231F20"/>
          <w:w w:val="105"/>
        </w:rPr>
        <w:t>restore</w:t>
      </w:r>
      <w:r>
        <w:rPr>
          <w:color w:val="231F20"/>
          <w:spacing w:val="-17"/>
          <w:w w:val="105"/>
        </w:rPr>
        <w:t> </w:t>
      </w:r>
      <w:r>
        <w:rPr>
          <w:color w:val="231F20"/>
          <w:w w:val="105"/>
        </w:rPr>
        <w:t>distal</w:t>
      </w:r>
      <w:r>
        <w:rPr>
          <w:color w:val="231F20"/>
          <w:spacing w:val="-18"/>
          <w:w w:val="105"/>
        </w:rPr>
        <w:t> </w:t>
      </w:r>
      <w:r>
        <w:rPr>
          <w:color w:val="231F20"/>
          <w:w w:val="105"/>
        </w:rPr>
        <w:t>sodium</w:t>
      </w:r>
      <w:r>
        <w:rPr>
          <w:color w:val="231F20"/>
          <w:spacing w:val="-18"/>
          <w:w w:val="105"/>
        </w:rPr>
        <w:t> </w:t>
      </w:r>
      <w:r>
        <w:rPr>
          <w:color w:val="231F20"/>
          <w:w w:val="105"/>
        </w:rPr>
        <w:t>chloride</w:t>
      </w:r>
      <w:r>
        <w:rPr>
          <w:color w:val="231F20"/>
          <w:spacing w:val="-17"/>
          <w:w w:val="105"/>
        </w:rPr>
        <w:t> </w:t>
      </w:r>
      <w:r>
        <w:rPr>
          <w:color w:val="231F20"/>
          <w:w w:val="105"/>
        </w:rPr>
        <w:t>delivery</w:t>
      </w:r>
      <w:r>
        <w:rPr>
          <w:color w:val="231F20"/>
          <w:spacing w:val="-18"/>
          <w:w w:val="105"/>
        </w:rPr>
        <w:t> </w:t>
      </w:r>
      <w:r>
        <w:rPr>
          <w:color w:val="231F20"/>
          <w:w w:val="105"/>
        </w:rPr>
        <w:t>all</w:t>
      </w:r>
      <w:r>
        <w:rPr>
          <w:color w:val="231F20"/>
          <w:spacing w:val="-18"/>
          <w:w w:val="105"/>
        </w:rPr>
        <w:t> </w:t>
      </w:r>
      <w:r>
        <w:rPr>
          <w:color w:val="231F20"/>
          <w:w w:val="105"/>
        </w:rPr>
        <w:t>the way back to normal, changes in either GFR or tubular reabsorption can lead to significant changes in urine sodium and water excretion. When this occurs, </w:t>
      </w:r>
      <w:r>
        <w:rPr>
          <w:color w:val="231F20"/>
          <w:spacing w:val="-4"/>
          <w:w w:val="105"/>
        </w:rPr>
        <w:t>other </w:t>
      </w:r>
      <w:r>
        <w:rPr>
          <w:color w:val="231F20"/>
          <w:w w:val="105"/>
        </w:rPr>
        <w:t>feedback mechanisms may come into </w:t>
      </w:r>
      <w:r>
        <w:rPr>
          <w:color w:val="231F20"/>
          <w:spacing w:val="-3"/>
          <w:w w:val="105"/>
        </w:rPr>
        <w:t>play, </w:t>
      </w:r>
      <w:r>
        <w:rPr>
          <w:color w:val="231F20"/>
          <w:w w:val="105"/>
        </w:rPr>
        <w:t>such as changes in blood pressure and changes in various </w:t>
      </w:r>
      <w:r>
        <w:rPr>
          <w:color w:val="231F20"/>
          <w:spacing w:val="-5"/>
          <w:w w:val="105"/>
        </w:rPr>
        <w:t>hor- </w:t>
      </w:r>
      <w:r>
        <w:rPr>
          <w:color w:val="231F20"/>
          <w:w w:val="105"/>
        </w:rPr>
        <w:t>mones, and they eventually return sodium excretion </w:t>
      </w:r>
      <w:r>
        <w:rPr>
          <w:color w:val="231F20"/>
          <w:spacing w:val="-8"/>
          <w:w w:val="105"/>
        </w:rPr>
        <w:t>to </w:t>
      </w:r>
      <w:r>
        <w:rPr>
          <w:color w:val="231F20"/>
          <w:w w:val="105"/>
        </w:rPr>
        <w:t>equal</w:t>
      </w:r>
      <w:r>
        <w:rPr>
          <w:color w:val="231F20"/>
          <w:spacing w:val="-11"/>
          <w:w w:val="105"/>
        </w:rPr>
        <w:t> </w:t>
      </w:r>
      <w:r>
        <w:rPr>
          <w:color w:val="231F20"/>
          <w:w w:val="105"/>
        </w:rPr>
        <w:t>sodium</w:t>
      </w:r>
      <w:r>
        <w:rPr>
          <w:color w:val="231F20"/>
          <w:spacing w:val="-11"/>
          <w:w w:val="105"/>
        </w:rPr>
        <w:t> </w:t>
      </w:r>
      <w:r>
        <w:rPr>
          <w:color w:val="231F20"/>
          <w:w w:val="105"/>
        </w:rPr>
        <w:t>intake.</w:t>
      </w:r>
      <w:r>
        <w:rPr>
          <w:color w:val="231F20"/>
          <w:spacing w:val="-10"/>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next</w:t>
      </w:r>
      <w:r>
        <w:rPr>
          <w:color w:val="231F20"/>
          <w:spacing w:val="-10"/>
          <w:w w:val="105"/>
        </w:rPr>
        <w:t> </w:t>
      </w:r>
      <w:r>
        <w:rPr>
          <w:color w:val="231F20"/>
          <w:w w:val="105"/>
        </w:rPr>
        <w:t>few</w:t>
      </w:r>
      <w:r>
        <w:rPr>
          <w:color w:val="231F20"/>
          <w:spacing w:val="-11"/>
          <w:w w:val="105"/>
        </w:rPr>
        <w:t> </w:t>
      </w:r>
      <w:r>
        <w:rPr>
          <w:color w:val="231F20"/>
          <w:w w:val="105"/>
        </w:rPr>
        <w:t>sections,</w:t>
      </w:r>
      <w:r>
        <w:rPr>
          <w:color w:val="231F20"/>
          <w:spacing w:val="-11"/>
          <w:w w:val="105"/>
        </w:rPr>
        <w:t> </w:t>
      </w:r>
      <w:r>
        <w:rPr>
          <w:color w:val="231F20"/>
          <w:w w:val="105"/>
        </w:rPr>
        <w:t>we</w:t>
      </w:r>
      <w:r>
        <w:rPr>
          <w:color w:val="231F20"/>
          <w:spacing w:val="-10"/>
          <w:w w:val="105"/>
        </w:rPr>
        <w:t> </w:t>
      </w:r>
      <w:r>
        <w:rPr>
          <w:color w:val="231F20"/>
          <w:w w:val="105"/>
        </w:rPr>
        <w:t>review how these mechanisms operate together to control sodium and water balance and in so doing also act </w:t>
      </w:r>
      <w:r>
        <w:rPr>
          <w:color w:val="231F20"/>
          <w:spacing w:val="-8"/>
          <w:w w:val="105"/>
        </w:rPr>
        <w:t>to </w:t>
      </w:r>
      <w:r>
        <w:rPr>
          <w:color w:val="231F20"/>
          <w:w w:val="105"/>
        </w:rPr>
        <w:t>control extracellular fluid volume. All these feedback mechanisms</w:t>
      </w:r>
      <w:r>
        <w:rPr>
          <w:color w:val="231F20"/>
          <w:spacing w:val="-14"/>
          <w:w w:val="105"/>
        </w:rPr>
        <w:t> </w:t>
      </w:r>
      <w:r>
        <w:rPr>
          <w:color w:val="231F20"/>
          <w:w w:val="105"/>
        </w:rPr>
        <w:t>control</w:t>
      </w:r>
      <w:r>
        <w:rPr>
          <w:color w:val="231F20"/>
          <w:spacing w:val="-13"/>
          <w:w w:val="105"/>
        </w:rPr>
        <w:t> </w:t>
      </w:r>
      <w:r>
        <w:rPr>
          <w:color w:val="231F20"/>
          <w:w w:val="105"/>
        </w:rPr>
        <w:t>renal</w:t>
      </w:r>
      <w:r>
        <w:rPr>
          <w:color w:val="231F20"/>
          <w:spacing w:val="-13"/>
          <w:w w:val="105"/>
        </w:rPr>
        <w:t> </w:t>
      </w:r>
      <w:r>
        <w:rPr>
          <w:color w:val="231F20"/>
          <w:w w:val="105"/>
        </w:rPr>
        <w:t>excretion</w:t>
      </w:r>
      <w:r>
        <w:rPr>
          <w:color w:val="231F20"/>
          <w:spacing w:val="-13"/>
          <w:w w:val="105"/>
        </w:rPr>
        <w:t> </w:t>
      </w:r>
      <w:r>
        <w:rPr>
          <w:color w:val="231F20"/>
          <w:w w:val="105"/>
        </w:rPr>
        <w:t>of</w:t>
      </w:r>
      <w:r>
        <w:rPr>
          <w:color w:val="231F20"/>
          <w:spacing w:val="-13"/>
          <w:w w:val="105"/>
        </w:rPr>
        <w:t> </w:t>
      </w:r>
      <w:r>
        <w:rPr>
          <w:color w:val="231F20"/>
          <w:w w:val="105"/>
        </w:rPr>
        <w:t>sodium</w:t>
      </w:r>
      <w:r>
        <w:rPr>
          <w:color w:val="231F20"/>
          <w:spacing w:val="-13"/>
          <w:w w:val="105"/>
        </w:rPr>
        <w:t> </w:t>
      </w:r>
      <w:r>
        <w:rPr>
          <w:color w:val="231F20"/>
          <w:w w:val="105"/>
        </w:rPr>
        <w:t>and</w:t>
      </w:r>
      <w:r>
        <w:rPr>
          <w:color w:val="231F20"/>
          <w:spacing w:val="-13"/>
          <w:w w:val="105"/>
        </w:rPr>
        <w:t> </w:t>
      </w:r>
      <w:r>
        <w:rPr>
          <w:color w:val="231F20"/>
          <w:w w:val="105"/>
        </w:rPr>
        <w:t>water by altering either GFR or tubular</w:t>
      </w:r>
      <w:r>
        <w:rPr>
          <w:color w:val="231F20"/>
          <w:spacing w:val="-2"/>
          <w:w w:val="105"/>
        </w:rPr>
        <w:t> </w:t>
      </w:r>
      <w:r>
        <w:rPr>
          <w:color w:val="231F20"/>
          <w:w w:val="105"/>
        </w:rPr>
        <w:t>reabsorption.</w:t>
      </w:r>
    </w:p>
    <w:p>
      <w:pPr>
        <w:pStyle w:val="BodyText"/>
      </w:pPr>
    </w:p>
    <w:p>
      <w:pPr>
        <w:pStyle w:val="BodyText"/>
        <w:spacing w:before="5"/>
        <w:rPr>
          <w:sz w:val="26"/>
        </w:rPr>
      </w:pPr>
      <w:r>
        <w:rPr/>
        <w:pict>
          <v:shape style="position:absolute;margin-left:324pt;margin-top:16.43462pt;width:234pt;height:52pt;mso-position-horizontal-relative:page;mso-position-vertical-relative:paragraph;z-index:-250678272;mso-wrap-distance-left:0;mso-wrap-distance-right:0" type="#_x0000_t202" filled="true" fillcolor="#e8dac8" stroked="false">
            <v:textbox inset="0,0,0,0">
              <w:txbxContent>
                <w:p>
                  <w:pPr>
                    <w:spacing w:line="225" w:lineRule="auto" w:before="46"/>
                    <w:ind w:left="60" w:right="633" w:firstLine="0"/>
                    <w:jc w:val="left"/>
                    <w:rPr>
                      <w:rFonts w:ascii="Trebuchet MS"/>
                      <w:b/>
                      <w:sz w:val="22"/>
                    </w:rPr>
                  </w:pPr>
                  <w:r>
                    <w:rPr>
                      <w:rFonts w:ascii="Trebuchet MS"/>
                      <w:b/>
                      <w:color w:val="231F20"/>
                      <w:w w:val="110"/>
                      <w:sz w:val="22"/>
                    </w:rPr>
                    <w:t>IMPORTANCE OF PRESSURE NATRIURESIS AND PRESSURE DIURESIS IN MAINTAINING BODY SODIUM AND FLUID BALANCE</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077"/>
        <w:jc w:val="both"/>
      </w:pPr>
      <w:r>
        <w:rPr>
          <w:color w:val="231F20"/>
        </w:rPr>
        <w:t>One of the most basic and powerful mechanisms for </w:t>
      </w:r>
      <w:r>
        <w:rPr>
          <w:color w:val="231F20"/>
          <w:spacing w:val="-5"/>
        </w:rPr>
        <w:t>the </w:t>
      </w:r>
      <w:r>
        <w:rPr>
          <w:color w:val="231F20"/>
        </w:rPr>
        <w:t>maintenance of sodium and fluid balance, as well as </w:t>
      </w:r>
      <w:r>
        <w:rPr>
          <w:color w:val="231F20"/>
          <w:spacing w:val="-6"/>
        </w:rPr>
        <w:t>for </w:t>
      </w:r>
      <w:r>
        <w:rPr>
          <w:color w:val="231F20"/>
        </w:rPr>
        <w:t>controlling blood volume and extracellular fluid volume, is the effect of blood pressure on sodium and </w:t>
      </w:r>
      <w:r>
        <w:rPr>
          <w:color w:val="231F20"/>
          <w:spacing w:val="-4"/>
        </w:rPr>
        <w:t>water </w:t>
      </w:r>
      <w:r>
        <w:rPr>
          <w:color w:val="231F20"/>
        </w:rPr>
        <w:t>excretion—called the </w:t>
      </w:r>
      <w:r>
        <w:rPr>
          <w:i/>
          <w:color w:val="231F20"/>
        </w:rPr>
        <w:t>pressure natriuresis </w:t>
      </w:r>
      <w:r>
        <w:rPr>
          <w:color w:val="231F20"/>
        </w:rPr>
        <w:t>and </w:t>
      </w:r>
      <w:r>
        <w:rPr>
          <w:i/>
          <w:color w:val="231F20"/>
        </w:rPr>
        <w:t>pressure </w:t>
      </w:r>
      <w:r>
        <w:rPr>
          <w:i/>
          <w:color w:val="231F20"/>
        </w:rPr>
        <w:t>diuresis</w:t>
      </w:r>
      <w:r>
        <w:rPr>
          <w:i/>
          <w:color w:val="231F20"/>
          <w:spacing w:val="17"/>
        </w:rPr>
        <w:t> </w:t>
      </w:r>
      <w:r>
        <w:rPr>
          <w:color w:val="231F20"/>
        </w:rPr>
        <w:t>mechanisms,</w:t>
      </w:r>
      <w:r>
        <w:rPr>
          <w:color w:val="231F20"/>
          <w:spacing w:val="18"/>
        </w:rPr>
        <w:t> </w:t>
      </w:r>
      <w:r>
        <w:rPr>
          <w:color w:val="231F20"/>
        </w:rPr>
        <w:t>respectively.</w:t>
      </w:r>
      <w:r>
        <w:rPr>
          <w:color w:val="231F20"/>
          <w:spacing w:val="17"/>
        </w:rPr>
        <w:t> </w:t>
      </w:r>
      <w:r>
        <w:rPr>
          <w:color w:val="231F20"/>
        </w:rPr>
        <w:t>As</w:t>
      </w:r>
      <w:r>
        <w:rPr>
          <w:color w:val="231F20"/>
          <w:spacing w:val="18"/>
        </w:rPr>
        <w:t> </w:t>
      </w:r>
      <w:r>
        <w:rPr>
          <w:color w:val="231F20"/>
        </w:rPr>
        <w:t>discussed</w:t>
      </w:r>
      <w:r>
        <w:rPr>
          <w:color w:val="231F20"/>
          <w:spacing w:val="17"/>
        </w:rPr>
        <w:t> </w:t>
      </w:r>
      <w:r>
        <w:rPr>
          <w:color w:val="231F20"/>
        </w:rPr>
        <w:t>in</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907"/>
          <w:footerReference w:type="even" r:id="rId908"/>
          <w:footerReference w:type="default" r:id="rId909"/>
          <w:pgSz w:w="12240" w:h="15660"/>
          <w:pgMar w:header="0" w:footer="567" w:top="720" w:bottom="760" w:left="0" w:right="0"/>
          <w:pgNumType w:start="400"/>
        </w:sectPr>
      </w:pPr>
    </w:p>
    <w:p>
      <w:pPr>
        <w:pStyle w:val="BodyText"/>
        <w:spacing w:line="249" w:lineRule="auto" w:before="99"/>
        <w:ind w:left="1080"/>
        <w:jc w:val="both"/>
      </w:pPr>
      <w:r>
        <w:rPr>
          <w:color w:val="231F20"/>
          <w:w w:val="105"/>
        </w:rPr>
        <w:t>Chapter 19, this feedback also plays a dominant role in long-term blood pressure regulation.</w:t>
      </w:r>
    </w:p>
    <w:p>
      <w:pPr>
        <w:pStyle w:val="BodyText"/>
        <w:spacing w:line="249" w:lineRule="auto" w:before="2"/>
        <w:ind w:left="1080" w:firstLine="240"/>
        <w:jc w:val="both"/>
      </w:pPr>
      <w:r>
        <w:rPr>
          <w:color w:val="231F20"/>
          <w:w w:val="105"/>
        </w:rPr>
        <w:t>Pressure</w:t>
      </w:r>
      <w:r>
        <w:rPr>
          <w:color w:val="231F20"/>
          <w:spacing w:val="-23"/>
          <w:w w:val="105"/>
        </w:rPr>
        <w:t> </w:t>
      </w:r>
      <w:r>
        <w:rPr>
          <w:color w:val="231F20"/>
          <w:w w:val="105"/>
        </w:rPr>
        <w:t>diuresis</w:t>
      </w:r>
      <w:r>
        <w:rPr>
          <w:color w:val="231F20"/>
          <w:spacing w:val="-22"/>
          <w:w w:val="105"/>
        </w:rPr>
        <w:t> </w:t>
      </w:r>
      <w:r>
        <w:rPr>
          <w:color w:val="231F20"/>
          <w:w w:val="105"/>
        </w:rPr>
        <w:t>refers</w:t>
      </w:r>
      <w:r>
        <w:rPr>
          <w:color w:val="231F20"/>
          <w:spacing w:val="-22"/>
          <w:w w:val="105"/>
        </w:rPr>
        <w:t> </w:t>
      </w:r>
      <w:r>
        <w:rPr>
          <w:color w:val="231F20"/>
          <w:w w:val="105"/>
        </w:rPr>
        <w:t>to</w:t>
      </w:r>
      <w:r>
        <w:rPr>
          <w:color w:val="231F20"/>
          <w:spacing w:val="-22"/>
          <w:w w:val="105"/>
        </w:rPr>
        <w:t> </w:t>
      </w:r>
      <w:r>
        <w:rPr>
          <w:color w:val="231F20"/>
          <w:w w:val="105"/>
        </w:rPr>
        <w:t>the</w:t>
      </w:r>
      <w:r>
        <w:rPr>
          <w:color w:val="231F20"/>
          <w:spacing w:val="-22"/>
          <w:w w:val="105"/>
        </w:rPr>
        <w:t> </w:t>
      </w:r>
      <w:r>
        <w:rPr>
          <w:color w:val="231F20"/>
          <w:w w:val="105"/>
        </w:rPr>
        <w:t>effect</w:t>
      </w:r>
      <w:r>
        <w:rPr>
          <w:color w:val="231F20"/>
          <w:spacing w:val="-22"/>
          <w:w w:val="105"/>
        </w:rPr>
        <w:t> </w:t>
      </w:r>
      <w:r>
        <w:rPr>
          <w:color w:val="231F20"/>
          <w:w w:val="105"/>
        </w:rPr>
        <w:t>of</w:t>
      </w:r>
      <w:r>
        <w:rPr>
          <w:color w:val="231F20"/>
          <w:spacing w:val="-22"/>
          <w:w w:val="105"/>
        </w:rPr>
        <w:t> </w:t>
      </w:r>
      <w:r>
        <w:rPr>
          <w:color w:val="231F20"/>
          <w:w w:val="105"/>
        </w:rPr>
        <w:t>increased</w:t>
      </w:r>
      <w:r>
        <w:rPr>
          <w:color w:val="231F20"/>
          <w:spacing w:val="-22"/>
          <w:w w:val="105"/>
        </w:rPr>
        <w:t> </w:t>
      </w:r>
      <w:r>
        <w:rPr>
          <w:color w:val="231F20"/>
          <w:w w:val="105"/>
        </w:rPr>
        <w:t>blood pressure</w:t>
      </w:r>
      <w:r>
        <w:rPr>
          <w:color w:val="231F20"/>
          <w:spacing w:val="-18"/>
          <w:w w:val="105"/>
        </w:rPr>
        <w:t> </w:t>
      </w:r>
      <w:r>
        <w:rPr>
          <w:color w:val="231F20"/>
          <w:w w:val="105"/>
        </w:rPr>
        <w:t>to</w:t>
      </w:r>
      <w:r>
        <w:rPr>
          <w:color w:val="231F20"/>
          <w:spacing w:val="-18"/>
          <w:w w:val="105"/>
        </w:rPr>
        <w:t> </w:t>
      </w:r>
      <w:r>
        <w:rPr>
          <w:color w:val="231F20"/>
          <w:w w:val="105"/>
        </w:rPr>
        <w:t>raise</w:t>
      </w:r>
      <w:r>
        <w:rPr>
          <w:color w:val="231F20"/>
          <w:spacing w:val="-18"/>
          <w:w w:val="105"/>
        </w:rPr>
        <w:t> </w:t>
      </w:r>
      <w:r>
        <w:rPr>
          <w:color w:val="231F20"/>
          <w:w w:val="105"/>
        </w:rPr>
        <w:t>urinary</w:t>
      </w:r>
      <w:r>
        <w:rPr>
          <w:color w:val="231F20"/>
          <w:spacing w:val="-18"/>
          <w:w w:val="105"/>
        </w:rPr>
        <w:t> </w:t>
      </w:r>
      <w:r>
        <w:rPr>
          <w:color w:val="231F20"/>
          <w:w w:val="105"/>
        </w:rPr>
        <w:t>volume</w:t>
      </w:r>
      <w:r>
        <w:rPr>
          <w:color w:val="231F20"/>
          <w:spacing w:val="-17"/>
          <w:w w:val="105"/>
        </w:rPr>
        <w:t> </w:t>
      </w:r>
      <w:r>
        <w:rPr>
          <w:color w:val="231F20"/>
          <w:w w:val="105"/>
        </w:rPr>
        <w:t>excretion,</w:t>
      </w:r>
      <w:r>
        <w:rPr>
          <w:color w:val="231F20"/>
          <w:spacing w:val="-18"/>
          <w:w w:val="105"/>
        </w:rPr>
        <w:t> </w:t>
      </w:r>
      <w:r>
        <w:rPr>
          <w:color w:val="231F20"/>
          <w:w w:val="105"/>
        </w:rPr>
        <w:t>whereas</w:t>
      </w:r>
      <w:r>
        <w:rPr>
          <w:color w:val="231F20"/>
          <w:spacing w:val="-18"/>
          <w:w w:val="105"/>
        </w:rPr>
        <w:t> </w:t>
      </w:r>
      <w:r>
        <w:rPr>
          <w:color w:val="231F20"/>
          <w:spacing w:val="-3"/>
          <w:w w:val="105"/>
        </w:rPr>
        <w:t>pres- </w:t>
      </w:r>
      <w:r>
        <w:rPr>
          <w:color w:val="231F20"/>
          <w:w w:val="105"/>
        </w:rPr>
        <w:t>sure</w:t>
      </w:r>
      <w:r>
        <w:rPr>
          <w:color w:val="231F20"/>
          <w:spacing w:val="-12"/>
          <w:w w:val="105"/>
        </w:rPr>
        <w:t> </w:t>
      </w:r>
      <w:r>
        <w:rPr>
          <w:color w:val="231F20"/>
          <w:w w:val="105"/>
        </w:rPr>
        <w:t>natriuresis</w:t>
      </w:r>
      <w:r>
        <w:rPr>
          <w:color w:val="231F20"/>
          <w:spacing w:val="-12"/>
          <w:w w:val="105"/>
        </w:rPr>
        <w:t> </w:t>
      </w:r>
      <w:r>
        <w:rPr>
          <w:color w:val="231F20"/>
          <w:w w:val="105"/>
        </w:rPr>
        <w:t>refers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rise</w:t>
      </w:r>
      <w:r>
        <w:rPr>
          <w:color w:val="231F20"/>
          <w:spacing w:val="-12"/>
          <w:w w:val="105"/>
        </w:rPr>
        <w:t> </w:t>
      </w:r>
      <w:r>
        <w:rPr>
          <w:color w:val="231F20"/>
          <w:w w:val="105"/>
        </w:rPr>
        <w:t>in</w:t>
      </w:r>
      <w:r>
        <w:rPr>
          <w:color w:val="231F20"/>
          <w:spacing w:val="-12"/>
          <w:w w:val="105"/>
        </w:rPr>
        <w:t> </w:t>
      </w:r>
      <w:r>
        <w:rPr>
          <w:color w:val="231F20"/>
          <w:w w:val="105"/>
        </w:rPr>
        <w:t>sodium</w:t>
      </w:r>
      <w:r>
        <w:rPr>
          <w:color w:val="231F20"/>
          <w:spacing w:val="-12"/>
          <w:w w:val="105"/>
        </w:rPr>
        <w:t> </w:t>
      </w:r>
      <w:r>
        <w:rPr>
          <w:color w:val="231F20"/>
          <w:w w:val="105"/>
        </w:rPr>
        <w:t>excretion</w:t>
      </w:r>
      <w:r>
        <w:rPr>
          <w:color w:val="231F20"/>
          <w:spacing w:val="-12"/>
          <w:w w:val="105"/>
        </w:rPr>
        <w:t> </w:t>
      </w:r>
      <w:r>
        <w:rPr>
          <w:color w:val="231F20"/>
          <w:w w:val="105"/>
        </w:rPr>
        <w:t>that occurs with elevated blood pressure. Because pressure diuresis</w:t>
      </w:r>
      <w:r>
        <w:rPr>
          <w:color w:val="231F20"/>
          <w:spacing w:val="-16"/>
          <w:w w:val="105"/>
        </w:rPr>
        <w:t> </w:t>
      </w:r>
      <w:r>
        <w:rPr>
          <w:color w:val="231F20"/>
          <w:w w:val="105"/>
        </w:rPr>
        <w:t>and</w:t>
      </w:r>
      <w:r>
        <w:rPr>
          <w:color w:val="231F20"/>
          <w:spacing w:val="-16"/>
          <w:w w:val="105"/>
        </w:rPr>
        <w:t> </w:t>
      </w:r>
      <w:r>
        <w:rPr>
          <w:color w:val="231F20"/>
          <w:w w:val="105"/>
        </w:rPr>
        <w:t>natriuresis</w:t>
      </w:r>
      <w:r>
        <w:rPr>
          <w:color w:val="231F20"/>
          <w:spacing w:val="-15"/>
          <w:w w:val="105"/>
        </w:rPr>
        <w:t> </w:t>
      </w:r>
      <w:r>
        <w:rPr>
          <w:color w:val="231F20"/>
          <w:w w:val="105"/>
        </w:rPr>
        <w:t>usually</w:t>
      </w:r>
      <w:r>
        <w:rPr>
          <w:color w:val="231F20"/>
          <w:spacing w:val="-16"/>
          <w:w w:val="105"/>
        </w:rPr>
        <w:t> </w:t>
      </w:r>
      <w:r>
        <w:rPr>
          <w:color w:val="231F20"/>
          <w:w w:val="105"/>
        </w:rPr>
        <w:t>occur</w:t>
      </w:r>
      <w:r>
        <w:rPr>
          <w:color w:val="231F20"/>
          <w:spacing w:val="-15"/>
          <w:w w:val="105"/>
        </w:rPr>
        <w:t> </w:t>
      </w:r>
      <w:r>
        <w:rPr>
          <w:color w:val="231F20"/>
          <w:w w:val="105"/>
        </w:rPr>
        <w:t>in</w:t>
      </w:r>
      <w:r>
        <w:rPr>
          <w:color w:val="231F20"/>
          <w:spacing w:val="-16"/>
          <w:w w:val="105"/>
        </w:rPr>
        <w:t> </w:t>
      </w:r>
      <w:r>
        <w:rPr>
          <w:color w:val="231F20"/>
          <w:w w:val="105"/>
        </w:rPr>
        <w:t>parallel,</w:t>
      </w:r>
      <w:r>
        <w:rPr>
          <w:color w:val="231F20"/>
          <w:spacing w:val="-15"/>
          <w:w w:val="105"/>
        </w:rPr>
        <w:t> </w:t>
      </w:r>
      <w:r>
        <w:rPr>
          <w:color w:val="231F20"/>
          <w:w w:val="105"/>
        </w:rPr>
        <w:t>we</w:t>
      </w:r>
      <w:r>
        <w:rPr>
          <w:color w:val="231F20"/>
          <w:spacing w:val="-16"/>
          <w:w w:val="105"/>
        </w:rPr>
        <w:t> </w:t>
      </w:r>
      <w:r>
        <w:rPr>
          <w:color w:val="231F20"/>
          <w:spacing w:val="-4"/>
          <w:w w:val="105"/>
        </w:rPr>
        <w:t>refer </w:t>
      </w:r>
      <w:r>
        <w:rPr>
          <w:color w:val="231F20"/>
          <w:w w:val="105"/>
        </w:rPr>
        <w:t>to these mechanisms simply as “pressure natriuresis” in the following</w:t>
      </w:r>
      <w:r>
        <w:rPr>
          <w:color w:val="231F20"/>
          <w:spacing w:val="3"/>
          <w:w w:val="105"/>
        </w:rPr>
        <w:t> </w:t>
      </w:r>
      <w:r>
        <w:rPr>
          <w:color w:val="231F20"/>
          <w:w w:val="105"/>
        </w:rPr>
        <w:t>discussion.</w:t>
      </w:r>
    </w:p>
    <w:p>
      <w:pPr>
        <w:pStyle w:val="BodyText"/>
        <w:spacing w:line="249" w:lineRule="auto" w:before="3"/>
        <w:ind w:left="1080" w:firstLine="240"/>
        <w:jc w:val="both"/>
      </w:pPr>
      <w:r>
        <w:rPr/>
        <w:pict>
          <v:rect style="position:absolute;margin-left:0pt;margin-top:32.301979pt;width:36pt;height:24pt;mso-position-horizontal-relative:page;mso-position-vertical-relative:paragraph;z-index:252645376" filled="true" fillcolor="#e8dac8" stroked="false">
            <v:fill type="solid"/>
            <w10:wrap type="none"/>
          </v:rect>
        </w:pict>
      </w:r>
      <w:hyperlink w:history="true" w:anchor="_bookmark96">
        <w:r>
          <w:rPr>
            <w:rFonts w:ascii="Cambria"/>
            <w:b/>
            <w:color w:val="0080AC"/>
            <w:w w:val="105"/>
          </w:rPr>
          <w:t>Figure</w:t>
        </w:r>
        <w:r>
          <w:rPr>
            <w:rFonts w:ascii="Cambria"/>
            <w:b/>
            <w:color w:val="0080AC"/>
            <w:spacing w:val="-11"/>
            <w:w w:val="105"/>
          </w:rPr>
          <w:t> </w:t>
        </w:r>
        <w:r>
          <w:rPr>
            <w:rFonts w:ascii="Cambria"/>
            <w:b/>
            <w:color w:val="0080AC"/>
            <w:w w:val="105"/>
          </w:rPr>
          <w:t>30-13</w:t>
        </w:r>
        <w:r>
          <w:rPr>
            <w:rFonts w:ascii="Cambria"/>
            <w:b/>
            <w:color w:val="0080AC"/>
            <w:spacing w:val="-8"/>
            <w:w w:val="105"/>
          </w:rPr>
          <w:t> </w:t>
        </w:r>
      </w:hyperlink>
      <w:r>
        <w:rPr>
          <w:color w:val="231F20"/>
          <w:w w:val="105"/>
        </w:rPr>
        <w:t>shows</w:t>
      </w:r>
      <w:r>
        <w:rPr>
          <w:color w:val="231F20"/>
          <w:spacing w:val="-14"/>
          <w:w w:val="105"/>
        </w:rPr>
        <w:t> </w:t>
      </w:r>
      <w:r>
        <w:rPr>
          <w:color w:val="231F20"/>
          <w:w w:val="105"/>
        </w:rPr>
        <w:t>the</w:t>
      </w:r>
      <w:r>
        <w:rPr>
          <w:color w:val="231F20"/>
          <w:spacing w:val="-15"/>
          <w:w w:val="105"/>
        </w:rPr>
        <w:t> </w:t>
      </w:r>
      <w:r>
        <w:rPr>
          <w:color w:val="231F20"/>
          <w:w w:val="105"/>
        </w:rPr>
        <w:t>effect</w:t>
      </w:r>
      <w:r>
        <w:rPr>
          <w:color w:val="231F20"/>
          <w:spacing w:val="-14"/>
          <w:w w:val="105"/>
        </w:rPr>
        <w:t> </w:t>
      </w:r>
      <w:r>
        <w:rPr>
          <w:color w:val="231F20"/>
          <w:w w:val="105"/>
        </w:rPr>
        <w:t>of</w:t>
      </w:r>
      <w:r>
        <w:rPr>
          <w:color w:val="231F20"/>
          <w:spacing w:val="-15"/>
          <w:w w:val="105"/>
        </w:rPr>
        <w:t> </w:t>
      </w:r>
      <w:r>
        <w:rPr>
          <w:color w:val="231F20"/>
          <w:w w:val="105"/>
        </w:rPr>
        <w:t>arterial</w:t>
      </w:r>
      <w:r>
        <w:rPr>
          <w:color w:val="231F20"/>
          <w:spacing w:val="-14"/>
          <w:w w:val="105"/>
        </w:rPr>
        <w:t> </w:t>
      </w:r>
      <w:r>
        <w:rPr>
          <w:color w:val="231F20"/>
          <w:w w:val="105"/>
        </w:rPr>
        <w:t>pressure</w:t>
      </w:r>
      <w:r>
        <w:rPr>
          <w:color w:val="231F20"/>
          <w:spacing w:val="-15"/>
          <w:w w:val="105"/>
        </w:rPr>
        <w:t> </w:t>
      </w:r>
      <w:r>
        <w:rPr>
          <w:color w:val="231F20"/>
          <w:w w:val="105"/>
        </w:rPr>
        <w:t>on urinary</w:t>
      </w:r>
      <w:r>
        <w:rPr>
          <w:color w:val="231F20"/>
          <w:spacing w:val="-18"/>
          <w:w w:val="105"/>
        </w:rPr>
        <w:t> </w:t>
      </w:r>
      <w:r>
        <w:rPr>
          <w:color w:val="231F20"/>
          <w:w w:val="105"/>
        </w:rPr>
        <w:t>sodium</w:t>
      </w:r>
      <w:r>
        <w:rPr>
          <w:color w:val="231F20"/>
          <w:spacing w:val="-18"/>
          <w:w w:val="105"/>
        </w:rPr>
        <w:t> </w:t>
      </w:r>
      <w:r>
        <w:rPr>
          <w:color w:val="231F20"/>
          <w:w w:val="105"/>
        </w:rPr>
        <w:t>output.</w:t>
      </w:r>
      <w:r>
        <w:rPr>
          <w:color w:val="231F20"/>
          <w:spacing w:val="-18"/>
          <w:w w:val="105"/>
        </w:rPr>
        <w:t> </w:t>
      </w:r>
      <w:r>
        <w:rPr>
          <w:color w:val="231F20"/>
          <w:w w:val="105"/>
        </w:rPr>
        <w:t>Note</w:t>
      </w:r>
      <w:r>
        <w:rPr>
          <w:color w:val="231F20"/>
          <w:spacing w:val="-17"/>
          <w:w w:val="105"/>
        </w:rPr>
        <w:t> </w:t>
      </w:r>
      <w:r>
        <w:rPr>
          <w:color w:val="231F20"/>
          <w:w w:val="105"/>
        </w:rPr>
        <w:t>that</w:t>
      </w:r>
      <w:r>
        <w:rPr>
          <w:color w:val="231F20"/>
          <w:spacing w:val="-18"/>
          <w:w w:val="105"/>
        </w:rPr>
        <w:t> </w:t>
      </w:r>
      <w:r>
        <w:rPr>
          <w:color w:val="231F20"/>
          <w:w w:val="105"/>
        </w:rPr>
        <w:t>acute</w:t>
      </w:r>
      <w:r>
        <w:rPr>
          <w:color w:val="231F20"/>
          <w:spacing w:val="-17"/>
          <w:w w:val="105"/>
        </w:rPr>
        <w:t> </w:t>
      </w:r>
      <w:r>
        <w:rPr>
          <w:color w:val="231F20"/>
          <w:w w:val="105"/>
        </w:rPr>
        <w:t>increases</w:t>
      </w:r>
      <w:r>
        <w:rPr>
          <w:color w:val="231F20"/>
          <w:spacing w:val="-18"/>
          <w:w w:val="105"/>
        </w:rPr>
        <w:t> </w:t>
      </w:r>
      <w:r>
        <w:rPr>
          <w:color w:val="231F20"/>
          <w:w w:val="105"/>
        </w:rPr>
        <w:t>in</w:t>
      </w:r>
      <w:r>
        <w:rPr>
          <w:color w:val="231F20"/>
          <w:spacing w:val="-17"/>
          <w:w w:val="105"/>
        </w:rPr>
        <w:t> </w:t>
      </w:r>
      <w:r>
        <w:rPr>
          <w:color w:val="231F20"/>
          <w:w w:val="105"/>
        </w:rPr>
        <w:t>blood pressure</w:t>
      </w:r>
      <w:r>
        <w:rPr>
          <w:color w:val="231F20"/>
          <w:spacing w:val="-6"/>
          <w:w w:val="105"/>
        </w:rPr>
        <w:t> </w:t>
      </w:r>
      <w:r>
        <w:rPr>
          <w:color w:val="231F20"/>
          <w:w w:val="105"/>
        </w:rPr>
        <w:t>of</w:t>
      </w:r>
      <w:r>
        <w:rPr>
          <w:color w:val="231F20"/>
          <w:spacing w:val="-6"/>
          <w:w w:val="105"/>
        </w:rPr>
        <w:t> </w:t>
      </w:r>
      <w:r>
        <w:rPr>
          <w:color w:val="231F20"/>
          <w:w w:val="105"/>
        </w:rPr>
        <w:t>30</w:t>
      </w:r>
      <w:r>
        <w:rPr>
          <w:color w:val="231F20"/>
          <w:spacing w:val="-6"/>
          <w:w w:val="105"/>
        </w:rPr>
        <w:t> </w:t>
      </w:r>
      <w:r>
        <w:rPr>
          <w:color w:val="231F20"/>
          <w:w w:val="105"/>
        </w:rPr>
        <w:t>to</w:t>
      </w:r>
      <w:r>
        <w:rPr>
          <w:color w:val="231F20"/>
          <w:spacing w:val="-6"/>
          <w:w w:val="105"/>
        </w:rPr>
        <w:t> </w:t>
      </w:r>
      <w:r>
        <w:rPr>
          <w:color w:val="231F20"/>
          <w:w w:val="105"/>
        </w:rPr>
        <w:t>50</w:t>
      </w:r>
      <w:r>
        <w:rPr>
          <w:color w:val="231F20"/>
          <w:spacing w:val="-5"/>
          <w:w w:val="105"/>
        </w:rPr>
        <w:t> </w:t>
      </w:r>
      <w:r>
        <w:rPr>
          <w:color w:val="231F20"/>
          <w:w w:val="105"/>
        </w:rPr>
        <w:t>mm</w:t>
      </w:r>
      <w:r>
        <w:rPr>
          <w:color w:val="231F20"/>
          <w:spacing w:val="-5"/>
          <w:w w:val="105"/>
        </w:rPr>
        <w:t> </w:t>
      </w:r>
      <w:r>
        <w:rPr>
          <w:color w:val="231F20"/>
          <w:w w:val="105"/>
        </w:rPr>
        <w:t>Hg</w:t>
      </w:r>
      <w:r>
        <w:rPr>
          <w:color w:val="231F20"/>
          <w:spacing w:val="-6"/>
          <w:w w:val="105"/>
        </w:rPr>
        <w:t> </w:t>
      </w:r>
      <w:r>
        <w:rPr>
          <w:color w:val="231F20"/>
          <w:w w:val="105"/>
        </w:rPr>
        <w:t>cause</w:t>
      </w:r>
      <w:r>
        <w:rPr>
          <w:color w:val="231F20"/>
          <w:spacing w:val="-5"/>
          <w:w w:val="105"/>
        </w:rPr>
        <w:t> </w:t>
      </w:r>
      <w:r>
        <w:rPr>
          <w:color w:val="231F20"/>
          <w:w w:val="105"/>
        </w:rPr>
        <w:t>a</w:t>
      </w:r>
      <w:r>
        <w:rPr>
          <w:color w:val="231F20"/>
          <w:spacing w:val="-6"/>
          <w:w w:val="105"/>
        </w:rPr>
        <w:t> </w:t>
      </w:r>
      <w:r>
        <w:rPr>
          <w:color w:val="231F20"/>
          <w:w w:val="105"/>
        </w:rPr>
        <w:t>twofold</w:t>
      </w:r>
      <w:r>
        <w:rPr>
          <w:color w:val="231F20"/>
          <w:spacing w:val="-6"/>
          <w:w w:val="105"/>
        </w:rPr>
        <w:t> </w:t>
      </w:r>
      <w:r>
        <w:rPr>
          <w:color w:val="231F20"/>
          <w:w w:val="105"/>
        </w:rPr>
        <w:t>to</w:t>
      </w:r>
      <w:r>
        <w:rPr>
          <w:color w:val="231F20"/>
          <w:spacing w:val="-6"/>
          <w:w w:val="105"/>
        </w:rPr>
        <w:t> </w:t>
      </w:r>
      <w:r>
        <w:rPr>
          <w:color w:val="231F20"/>
          <w:spacing w:val="-3"/>
          <w:w w:val="105"/>
        </w:rPr>
        <w:t>threefold </w:t>
      </w:r>
      <w:r>
        <w:rPr>
          <w:color w:val="231F20"/>
          <w:w w:val="105"/>
        </w:rPr>
        <w:t>increase</w:t>
      </w:r>
      <w:r>
        <w:rPr>
          <w:color w:val="231F20"/>
          <w:spacing w:val="-19"/>
          <w:w w:val="105"/>
        </w:rPr>
        <w:t> </w:t>
      </w:r>
      <w:r>
        <w:rPr>
          <w:color w:val="231F20"/>
          <w:w w:val="105"/>
        </w:rPr>
        <w:t>in</w:t>
      </w:r>
      <w:r>
        <w:rPr>
          <w:color w:val="231F20"/>
          <w:spacing w:val="-18"/>
          <w:w w:val="105"/>
        </w:rPr>
        <w:t> </w:t>
      </w:r>
      <w:r>
        <w:rPr>
          <w:color w:val="231F20"/>
          <w:w w:val="105"/>
        </w:rPr>
        <w:t>urinary</w:t>
      </w:r>
      <w:r>
        <w:rPr>
          <w:color w:val="231F20"/>
          <w:spacing w:val="-18"/>
          <w:w w:val="105"/>
        </w:rPr>
        <w:t> </w:t>
      </w:r>
      <w:r>
        <w:rPr>
          <w:color w:val="231F20"/>
          <w:w w:val="105"/>
        </w:rPr>
        <w:t>sodium</w:t>
      </w:r>
      <w:r>
        <w:rPr>
          <w:color w:val="231F20"/>
          <w:spacing w:val="-18"/>
          <w:w w:val="105"/>
        </w:rPr>
        <w:t> </w:t>
      </w:r>
      <w:r>
        <w:rPr>
          <w:color w:val="231F20"/>
          <w:w w:val="105"/>
        </w:rPr>
        <w:t>output.</w:t>
      </w:r>
      <w:r>
        <w:rPr>
          <w:color w:val="231F20"/>
          <w:spacing w:val="-19"/>
          <w:w w:val="105"/>
        </w:rPr>
        <w:t> </w:t>
      </w:r>
      <w:r>
        <w:rPr>
          <w:color w:val="231F20"/>
          <w:w w:val="105"/>
        </w:rPr>
        <w:t>This</w:t>
      </w:r>
      <w:r>
        <w:rPr>
          <w:color w:val="231F20"/>
          <w:spacing w:val="-18"/>
          <w:w w:val="105"/>
        </w:rPr>
        <w:t> </w:t>
      </w:r>
      <w:r>
        <w:rPr>
          <w:color w:val="231F20"/>
          <w:w w:val="105"/>
        </w:rPr>
        <w:t>effect</w:t>
      </w:r>
      <w:r>
        <w:rPr>
          <w:color w:val="231F20"/>
          <w:spacing w:val="-18"/>
          <w:w w:val="105"/>
        </w:rPr>
        <w:t> </w:t>
      </w:r>
      <w:r>
        <w:rPr>
          <w:color w:val="231F20"/>
          <w:w w:val="105"/>
        </w:rPr>
        <w:t>is</w:t>
      </w:r>
      <w:r>
        <w:rPr>
          <w:color w:val="231F20"/>
          <w:spacing w:val="-18"/>
          <w:w w:val="105"/>
        </w:rPr>
        <w:t> </w:t>
      </w:r>
      <w:r>
        <w:rPr>
          <w:color w:val="231F20"/>
          <w:w w:val="105"/>
        </w:rPr>
        <w:t>indepen- dent of changes in activity of the sympathetic </w:t>
      </w:r>
      <w:r>
        <w:rPr>
          <w:color w:val="231F20"/>
          <w:spacing w:val="-3"/>
          <w:w w:val="105"/>
        </w:rPr>
        <w:t>nervous </w:t>
      </w:r>
      <w:r>
        <w:rPr>
          <w:color w:val="231F20"/>
          <w:w w:val="105"/>
        </w:rPr>
        <w:t>system</w:t>
      </w:r>
      <w:r>
        <w:rPr>
          <w:color w:val="231F20"/>
          <w:spacing w:val="19"/>
          <w:w w:val="105"/>
        </w:rPr>
        <w:t> </w:t>
      </w:r>
      <w:r>
        <w:rPr>
          <w:color w:val="231F20"/>
          <w:w w:val="105"/>
        </w:rPr>
        <w:t>or</w:t>
      </w:r>
      <w:r>
        <w:rPr>
          <w:color w:val="231F20"/>
          <w:spacing w:val="20"/>
          <w:w w:val="105"/>
        </w:rPr>
        <w:t> </w:t>
      </w:r>
      <w:r>
        <w:rPr>
          <w:color w:val="231F20"/>
          <w:w w:val="105"/>
        </w:rPr>
        <w:t>of</w:t>
      </w:r>
      <w:r>
        <w:rPr>
          <w:color w:val="231F20"/>
          <w:spacing w:val="20"/>
          <w:w w:val="105"/>
        </w:rPr>
        <w:t> </w:t>
      </w:r>
      <w:r>
        <w:rPr>
          <w:color w:val="231F20"/>
          <w:w w:val="105"/>
        </w:rPr>
        <w:t>various</w:t>
      </w:r>
      <w:r>
        <w:rPr>
          <w:color w:val="231F20"/>
          <w:spacing w:val="20"/>
          <w:w w:val="105"/>
        </w:rPr>
        <w:t> </w:t>
      </w:r>
      <w:r>
        <w:rPr>
          <w:color w:val="231F20"/>
          <w:w w:val="105"/>
        </w:rPr>
        <w:t>hormones,</w:t>
      </w:r>
      <w:r>
        <w:rPr>
          <w:color w:val="231F20"/>
          <w:spacing w:val="20"/>
          <w:w w:val="105"/>
        </w:rPr>
        <w:t> </w:t>
      </w:r>
      <w:r>
        <w:rPr>
          <w:color w:val="231F20"/>
          <w:w w:val="105"/>
        </w:rPr>
        <w:t>such</w:t>
      </w:r>
      <w:r>
        <w:rPr>
          <w:color w:val="231F20"/>
          <w:spacing w:val="20"/>
          <w:w w:val="105"/>
        </w:rPr>
        <w:t> </w:t>
      </w:r>
      <w:r>
        <w:rPr>
          <w:color w:val="231F20"/>
          <w:w w:val="105"/>
        </w:rPr>
        <w:t>as</w:t>
      </w:r>
      <w:r>
        <w:rPr>
          <w:color w:val="231F20"/>
          <w:spacing w:val="20"/>
          <w:w w:val="105"/>
        </w:rPr>
        <w:t> </w:t>
      </w:r>
      <w:r>
        <w:rPr>
          <w:color w:val="231F20"/>
          <w:w w:val="105"/>
        </w:rPr>
        <w:t>angiotensin</w:t>
      </w:r>
      <w:r>
        <w:rPr>
          <w:color w:val="231F20"/>
          <w:spacing w:val="20"/>
          <w:w w:val="105"/>
        </w:rPr>
        <w:t> </w:t>
      </w:r>
      <w:r>
        <w:rPr>
          <w:color w:val="231F20"/>
          <w:spacing w:val="-8"/>
          <w:w w:val="105"/>
        </w:rPr>
        <w:t>II</w:t>
      </w:r>
    </w:p>
    <w:p>
      <w:pPr>
        <w:pStyle w:val="BodyText"/>
        <w:rPr>
          <w:sz w:val="28"/>
        </w:rPr>
      </w:pPr>
    </w:p>
    <w:p>
      <w:pPr>
        <w:spacing w:before="215"/>
        <w:ind w:left="1582" w:right="0" w:firstLine="0"/>
        <w:jc w:val="left"/>
        <w:rPr>
          <w:rFonts w:ascii="Helvetica"/>
          <w:sz w:val="16"/>
        </w:rPr>
      </w:pPr>
      <w:r>
        <w:rPr/>
        <w:pict>
          <v:group style="position:absolute;margin-left:85.738594pt;margin-top:11.622917pt;width:193.2pt;height:124.9pt;mso-position-horizontal-relative:page;mso-position-vertical-relative:paragraph;z-index:252648448" coordorigin="1715,232" coordsize="3864,2498">
            <v:shape style="position:absolute;left:-92;top:8360;width:1968;height:2433" coordorigin="-92,8360" coordsize="1968,2433" path="m1806,2639l1715,2639m1807,2639l1807,2730m1806,2053l1715,2053m1806,1468l1715,1468m1806,883l1715,883m1806,298l1715,298m2182,2639l2182,2730m2557,2639l2557,2730m2932,2639l2932,2730m3307,2639l3307,2730m3682,2639l3682,2730e" filled="false" stroked="true" strokeweight="1pt" strokecolor="#231f20">
              <v:path arrowok="t"/>
              <v:stroke dashstyle="solid"/>
            </v:shape>
            <v:shape style="position:absolute;left:3391;top:252;width:406;height:2373" coordorigin="3392,252" coordsize="406,2373" path="m3392,2625l3591,2625,3650,2618,3696,2560,3702,2481,3713,2095,3729,1376,3743,682,3750,372,3759,312,3768,279,3779,263,3798,252e" filled="false" stroked="true" strokeweight="2pt" strokecolor="#f0535f">
              <v:path arrowok="t"/>
              <v:stroke dashstyle="solid"/>
            </v:shape>
            <v:shape style="position:absolute;left:2250;top:10701;width:1125;height:92" coordorigin="2251,10701" coordsize="1125,92" path="m4057,2639l4057,2730m4432,2639l4432,2730m4807,2639l4807,2730m5182,2639l5182,2730e" filled="false" stroked="true" strokeweight="1pt" strokecolor="#231f20">
              <v:path arrowok="t"/>
              <v:stroke dashstyle="solid"/>
            </v:shape>
            <v:shape style="position:absolute;left:2583;top:344;width:2860;height:2281" coordorigin="2584,344" coordsize="2860,2281" path="m2584,2625l2955,2623,3226,2559,3530,2378,3998,2022,4099,1942,4196,1862,4288,1783,4376,1704,4460,1626,4540,1549,4615,1472,4688,1397,4756,1323,4820,1251,4881,1179,4939,1110,4993,1042,5043,977,5091,913,5135,852,5176,793,5214,737,5249,683,5281,632,5336,540,5382,460,5417,394,5431,367,5443,344e" filled="false" stroked="true" strokeweight="2pt" strokecolor="#2062af">
              <v:path arrowok="t"/>
              <v:stroke dashstyle="solid"/>
            </v:shape>
            <v:line style="position:absolute" from="5557,2639" to="5557,2730" stroked="true" strokeweight="1pt" strokecolor="#231f20">
              <v:stroke dashstyle="solid"/>
            </v:line>
            <v:shape style="position:absolute;left:1806;top:287;width:3763;height:2350" coordorigin="1806,287" coordsize="3763,2350" path="m1806,287l1806,2637,5568,2637e" filled="false" stroked="true" strokeweight="1pt" strokecolor="#231f20">
              <v:path arrowok="t"/>
              <v:stroke dashstyle="solid"/>
            </v:shape>
            <v:shape style="position:absolute;left:3798;top:673;width:625;height:191" type="#_x0000_t202" filled="false" stroked="false">
              <v:textbox inset="0,0,0,0">
                <w:txbxContent>
                  <w:p>
                    <w:pPr>
                      <w:spacing w:before="4"/>
                      <w:ind w:left="0" w:right="0" w:firstLine="0"/>
                      <w:jc w:val="left"/>
                      <w:rPr>
                        <w:rFonts w:ascii="Helvetica"/>
                        <w:b/>
                        <w:sz w:val="16"/>
                      </w:rPr>
                    </w:pPr>
                    <w:r>
                      <w:rPr>
                        <w:rFonts w:ascii="Helvetica"/>
                        <w:b/>
                        <w:color w:val="231F20"/>
                        <w:sz w:val="16"/>
                      </w:rPr>
                      <w:t>Chronic</w:t>
                    </w:r>
                  </w:p>
                </w:txbxContent>
              </v:textbox>
              <w10:wrap type="none"/>
            </v:shape>
            <v:shape style="position:absolute;left:4620;top:1458;width:465;height:191" type="#_x0000_t202" filled="false" stroked="false">
              <v:textbox inset="0,0,0,0">
                <w:txbxContent>
                  <w:p>
                    <w:pPr>
                      <w:spacing w:before="4"/>
                      <w:ind w:left="0" w:right="0" w:firstLine="0"/>
                      <w:jc w:val="left"/>
                      <w:rPr>
                        <w:rFonts w:ascii="Helvetica"/>
                        <w:b/>
                        <w:sz w:val="16"/>
                      </w:rPr>
                    </w:pPr>
                    <w:r>
                      <w:rPr>
                        <w:rFonts w:ascii="Helvetica"/>
                        <w:b/>
                        <w:color w:val="231F20"/>
                        <w:sz w:val="16"/>
                      </w:rPr>
                      <w:t>Acute</w:t>
                    </w:r>
                  </w:p>
                </w:txbxContent>
              </v:textbox>
              <w10:wrap type="none"/>
            </v:shape>
            <w10:wrap type="none"/>
          </v:group>
        </w:pict>
      </w:r>
      <w:r>
        <w:rPr/>
        <w:pict>
          <v:shape style="position:absolute;margin-left:55.366199pt;margin-top:23.755913pt;width:21.2pt;height:101.15pt;mso-position-horizontal-relative:page;mso-position-vertical-relative:paragraph;z-index:252662784" type="#_x0000_t202" filled="false" stroked="false">
            <v:textbox inset="0,0,0,0" style="layout-flow:vertical;mso-layout-flow-alt:bottom-to-top">
              <w:txbxContent>
                <w:p>
                  <w:pPr>
                    <w:spacing w:line="235" w:lineRule="auto" w:before="27"/>
                    <w:ind w:left="354" w:right="1" w:hanging="335"/>
                    <w:jc w:val="left"/>
                    <w:rPr>
                      <w:rFonts w:ascii="Helvetica" w:hAnsi="Helvetica"/>
                      <w:b/>
                      <w:sz w:val="16"/>
                    </w:rPr>
                  </w:pPr>
                  <w:r>
                    <w:rPr>
                      <w:rFonts w:ascii="Helvetica" w:hAnsi="Helvetica"/>
                      <w:b/>
                      <w:color w:val="231F20"/>
                      <w:sz w:val="16"/>
                    </w:rPr>
                    <w:t>Urinary sodium or volume output (</w:t>
                  </w:r>
                  <w:r>
                    <w:rPr>
                      <w:rFonts w:ascii="Ink Free" w:hAnsi="Ink Free"/>
                      <w:color w:val="231F20"/>
                      <w:sz w:val="16"/>
                    </w:rPr>
                    <w:t>¥ </w:t>
                  </w:r>
                  <w:r>
                    <w:rPr>
                      <w:rFonts w:ascii="Helvetica" w:hAnsi="Helvetica"/>
                      <w:b/>
                      <w:color w:val="231F20"/>
                      <w:sz w:val="16"/>
                    </w:rPr>
                    <w:t>normal)</w:t>
                  </w:r>
                </w:p>
              </w:txbxContent>
            </v:textbox>
            <w10:wrap type="none"/>
          </v:shape>
        </w:pict>
      </w:r>
      <w:r>
        <w:rPr>
          <w:rFonts w:ascii="Helvetica"/>
          <w:color w:val="231F20"/>
          <w:w w:val="99"/>
          <w:sz w:val="16"/>
        </w:rPr>
        <w:t>8</w:t>
      </w:r>
    </w:p>
    <w:p>
      <w:pPr>
        <w:pStyle w:val="BodyText"/>
        <w:rPr>
          <w:rFonts w:ascii="Helvetica"/>
          <w:sz w:val="18"/>
        </w:rPr>
      </w:pPr>
    </w:p>
    <w:p>
      <w:pPr>
        <w:pStyle w:val="BodyText"/>
        <w:spacing w:before="4"/>
        <w:rPr>
          <w:rFonts w:ascii="Helvetica"/>
          <w:sz w:val="16"/>
        </w:rPr>
      </w:pPr>
    </w:p>
    <w:p>
      <w:pPr>
        <w:spacing w:before="0"/>
        <w:ind w:left="1582" w:right="0" w:firstLine="0"/>
        <w:jc w:val="left"/>
        <w:rPr>
          <w:rFonts w:ascii="Helvetica"/>
          <w:sz w:val="16"/>
        </w:rPr>
      </w:pPr>
      <w:r>
        <w:rPr>
          <w:rFonts w:ascii="Helvetica"/>
          <w:color w:val="231F20"/>
          <w:w w:val="99"/>
          <w:sz w:val="16"/>
        </w:rPr>
        <w:t>6</w:t>
      </w:r>
    </w:p>
    <w:p>
      <w:pPr>
        <w:pStyle w:val="BodyText"/>
        <w:rPr>
          <w:rFonts w:ascii="Helvetica"/>
          <w:sz w:val="18"/>
        </w:rPr>
      </w:pPr>
    </w:p>
    <w:p>
      <w:pPr>
        <w:pStyle w:val="BodyText"/>
        <w:spacing w:before="10"/>
        <w:rPr>
          <w:rFonts w:ascii="Helvetica"/>
          <w:sz w:val="16"/>
        </w:rPr>
      </w:pPr>
    </w:p>
    <w:p>
      <w:pPr>
        <w:spacing w:before="0"/>
        <w:ind w:left="1582" w:right="0" w:firstLine="0"/>
        <w:jc w:val="left"/>
        <w:rPr>
          <w:rFonts w:ascii="Helvetica"/>
          <w:sz w:val="16"/>
        </w:rPr>
      </w:pPr>
      <w:r>
        <w:rPr>
          <w:rFonts w:ascii="Helvetica"/>
          <w:color w:val="231F20"/>
          <w:w w:val="99"/>
          <w:sz w:val="16"/>
        </w:rPr>
        <w:t>4</w:t>
      </w:r>
    </w:p>
    <w:p>
      <w:pPr>
        <w:pStyle w:val="BodyText"/>
        <w:rPr>
          <w:rFonts w:ascii="Helvetica"/>
          <w:sz w:val="18"/>
        </w:rPr>
      </w:pPr>
    </w:p>
    <w:p>
      <w:pPr>
        <w:pStyle w:val="BodyText"/>
        <w:spacing w:before="4"/>
        <w:rPr>
          <w:rFonts w:ascii="Helvetica"/>
          <w:sz w:val="17"/>
        </w:rPr>
      </w:pPr>
    </w:p>
    <w:p>
      <w:pPr>
        <w:spacing w:before="1"/>
        <w:ind w:left="1582" w:right="0" w:firstLine="0"/>
        <w:jc w:val="left"/>
        <w:rPr>
          <w:rFonts w:ascii="Helvetica"/>
          <w:sz w:val="16"/>
        </w:rPr>
      </w:pPr>
      <w:r>
        <w:rPr>
          <w:rFonts w:ascii="Helvetica"/>
          <w:color w:val="231F20"/>
          <w:w w:val="99"/>
          <w:sz w:val="16"/>
        </w:rPr>
        <w:t>2</w:t>
      </w:r>
    </w:p>
    <w:p>
      <w:pPr>
        <w:pStyle w:val="BodyText"/>
        <w:spacing w:line="249" w:lineRule="auto" w:before="99"/>
        <w:ind w:left="319" w:right="1437"/>
        <w:jc w:val="both"/>
      </w:pPr>
      <w:r>
        <w:rPr/>
        <w:br w:type="column"/>
      </w:r>
      <w:r>
        <w:rPr>
          <w:color w:val="231F20"/>
          <w:w w:val="105"/>
        </w:rPr>
        <w:t>(Ang</w:t>
      </w:r>
      <w:r>
        <w:rPr>
          <w:color w:val="231F20"/>
          <w:spacing w:val="-26"/>
          <w:w w:val="105"/>
        </w:rPr>
        <w:t> </w:t>
      </w:r>
      <w:r>
        <w:rPr>
          <w:color w:val="231F20"/>
          <w:w w:val="105"/>
        </w:rPr>
        <w:t>II),</w:t>
      </w:r>
      <w:r>
        <w:rPr>
          <w:color w:val="231F20"/>
          <w:spacing w:val="-25"/>
          <w:w w:val="105"/>
        </w:rPr>
        <w:t> </w:t>
      </w:r>
      <w:r>
        <w:rPr>
          <w:color w:val="231F20"/>
          <w:w w:val="105"/>
        </w:rPr>
        <w:t>ADH,</w:t>
      </w:r>
      <w:r>
        <w:rPr>
          <w:color w:val="231F20"/>
          <w:spacing w:val="-25"/>
          <w:w w:val="105"/>
        </w:rPr>
        <w:t> </w:t>
      </w:r>
      <w:r>
        <w:rPr>
          <w:color w:val="231F20"/>
          <w:w w:val="105"/>
        </w:rPr>
        <w:t>or</w:t>
      </w:r>
      <w:r>
        <w:rPr>
          <w:color w:val="231F20"/>
          <w:spacing w:val="-25"/>
          <w:w w:val="105"/>
        </w:rPr>
        <w:t> </w:t>
      </w:r>
      <w:r>
        <w:rPr>
          <w:color w:val="231F20"/>
          <w:w w:val="105"/>
        </w:rPr>
        <w:t>aldosterone,</w:t>
      </w:r>
      <w:r>
        <w:rPr>
          <w:color w:val="231F20"/>
          <w:spacing w:val="-25"/>
          <w:w w:val="105"/>
        </w:rPr>
        <w:t> </w:t>
      </w:r>
      <w:r>
        <w:rPr>
          <w:color w:val="231F20"/>
          <w:w w:val="105"/>
        </w:rPr>
        <w:t>because</w:t>
      </w:r>
      <w:r>
        <w:rPr>
          <w:color w:val="231F20"/>
          <w:spacing w:val="-25"/>
          <w:w w:val="105"/>
        </w:rPr>
        <w:t> </w:t>
      </w:r>
      <w:r>
        <w:rPr>
          <w:color w:val="231F20"/>
          <w:w w:val="105"/>
        </w:rPr>
        <w:t>pressure</w:t>
      </w:r>
      <w:r>
        <w:rPr>
          <w:color w:val="231F20"/>
          <w:spacing w:val="-25"/>
          <w:w w:val="105"/>
        </w:rPr>
        <w:t> </w:t>
      </w:r>
      <w:r>
        <w:rPr>
          <w:color w:val="231F20"/>
          <w:w w:val="105"/>
        </w:rPr>
        <w:t>natriure- sis can be demonstrated in an isolated kidney that has been removed from the influence of these factors. </w:t>
      </w:r>
      <w:r>
        <w:rPr>
          <w:color w:val="231F20"/>
          <w:spacing w:val="-3"/>
          <w:w w:val="105"/>
        </w:rPr>
        <w:t>With </w:t>
      </w:r>
      <w:r>
        <w:rPr>
          <w:color w:val="231F20"/>
          <w:w w:val="105"/>
        </w:rPr>
        <w:t>chronic increases in blood pressure, the effectiveness  of pressure natriuresis is greatly enhanced because the increased blood pressure also, after a short time </w:t>
      </w:r>
      <w:r>
        <w:rPr>
          <w:color w:val="231F20"/>
          <w:spacing w:val="-3"/>
          <w:w w:val="105"/>
        </w:rPr>
        <w:t>delay, </w:t>
      </w:r>
      <w:r>
        <w:rPr>
          <w:color w:val="231F20"/>
          <w:w w:val="105"/>
        </w:rPr>
        <w:t>suppresses</w:t>
      </w:r>
      <w:r>
        <w:rPr>
          <w:color w:val="231F20"/>
          <w:spacing w:val="-17"/>
          <w:w w:val="105"/>
        </w:rPr>
        <w:t> </w:t>
      </w:r>
      <w:r>
        <w:rPr>
          <w:color w:val="231F20"/>
          <w:w w:val="105"/>
        </w:rPr>
        <w:t>renin</w:t>
      </w:r>
      <w:r>
        <w:rPr>
          <w:color w:val="231F20"/>
          <w:spacing w:val="-16"/>
          <w:w w:val="105"/>
        </w:rPr>
        <w:t> </w:t>
      </w:r>
      <w:r>
        <w:rPr>
          <w:color w:val="231F20"/>
          <w:w w:val="105"/>
        </w:rPr>
        <w:t>release</w:t>
      </w:r>
      <w:r>
        <w:rPr>
          <w:color w:val="231F20"/>
          <w:spacing w:val="-16"/>
          <w:w w:val="105"/>
        </w:rPr>
        <w:t> </w:t>
      </w:r>
      <w:r>
        <w:rPr>
          <w:color w:val="231F20"/>
          <w:w w:val="105"/>
        </w:rPr>
        <w:t>and,</w:t>
      </w:r>
      <w:r>
        <w:rPr>
          <w:color w:val="231F20"/>
          <w:spacing w:val="-16"/>
          <w:w w:val="105"/>
        </w:rPr>
        <w:t> </w:t>
      </w:r>
      <w:r>
        <w:rPr>
          <w:color w:val="231F20"/>
          <w:w w:val="105"/>
        </w:rPr>
        <w:t>therefore,</w:t>
      </w:r>
      <w:r>
        <w:rPr>
          <w:color w:val="231F20"/>
          <w:spacing w:val="-16"/>
          <w:w w:val="105"/>
        </w:rPr>
        <w:t> </w:t>
      </w:r>
      <w:r>
        <w:rPr>
          <w:color w:val="231F20"/>
          <w:w w:val="105"/>
        </w:rPr>
        <w:t>decreases</w:t>
      </w:r>
      <w:r>
        <w:rPr>
          <w:color w:val="231F20"/>
          <w:spacing w:val="-16"/>
          <w:w w:val="105"/>
        </w:rPr>
        <w:t> </w:t>
      </w:r>
      <w:r>
        <w:rPr>
          <w:color w:val="231F20"/>
          <w:w w:val="105"/>
        </w:rPr>
        <w:t>forma- tion</w:t>
      </w:r>
      <w:r>
        <w:rPr>
          <w:color w:val="231F20"/>
          <w:spacing w:val="-7"/>
          <w:w w:val="105"/>
        </w:rPr>
        <w:t> </w:t>
      </w:r>
      <w:r>
        <w:rPr>
          <w:color w:val="231F20"/>
          <w:w w:val="105"/>
        </w:rPr>
        <w:t>of</w:t>
      </w:r>
      <w:r>
        <w:rPr>
          <w:color w:val="231F20"/>
          <w:spacing w:val="-6"/>
          <w:w w:val="105"/>
        </w:rPr>
        <w:t> </w:t>
      </w:r>
      <w:r>
        <w:rPr>
          <w:color w:val="231F20"/>
          <w:w w:val="105"/>
        </w:rPr>
        <w:t>Ang</w:t>
      </w:r>
      <w:r>
        <w:rPr>
          <w:color w:val="231F20"/>
          <w:spacing w:val="-6"/>
          <w:w w:val="105"/>
        </w:rPr>
        <w:t> </w:t>
      </w:r>
      <w:r>
        <w:rPr>
          <w:color w:val="231F20"/>
          <w:w w:val="105"/>
        </w:rPr>
        <w:t>II</w:t>
      </w:r>
      <w:r>
        <w:rPr>
          <w:color w:val="231F20"/>
          <w:spacing w:val="-7"/>
          <w:w w:val="105"/>
        </w:rPr>
        <w:t> </w:t>
      </w:r>
      <w:r>
        <w:rPr>
          <w:color w:val="231F20"/>
          <w:w w:val="105"/>
        </w:rPr>
        <w:t>and</w:t>
      </w:r>
      <w:r>
        <w:rPr>
          <w:color w:val="231F20"/>
          <w:spacing w:val="-6"/>
          <w:w w:val="105"/>
        </w:rPr>
        <w:t> </w:t>
      </w:r>
      <w:r>
        <w:rPr>
          <w:color w:val="231F20"/>
          <w:w w:val="105"/>
        </w:rPr>
        <w:t>aldosterone.</w:t>
      </w:r>
      <w:r>
        <w:rPr>
          <w:color w:val="231F20"/>
          <w:spacing w:val="-6"/>
          <w:w w:val="105"/>
        </w:rPr>
        <w:t> </w:t>
      </w:r>
      <w:r>
        <w:rPr>
          <w:color w:val="231F20"/>
          <w:w w:val="105"/>
        </w:rPr>
        <w:t>As</w:t>
      </w:r>
      <w:r>
        <w:rPr>
          <w:color w:val="231F20"/>
          <w:spacing w:val="-7"/>
          <w:w w:val="105"/>
        </w:rPr>
        <w:t> </w:t>
      </w:r>
      <w:r>
        <w:rPr>
          <w:color w:val="231F20"/>
          <w:w w:val="105"/>
        </w:rPr>
        <w:t>discussed</w:t>
      </w:r>
      <w:r>
        <w:rPr>
          <w:color w:val="231F20"/>
          <w:spacing w:val="-6"/>
          <w:w w:val="105"/>
        </w:rPr>
        <w:t> </w:t>
      </w:r>
      <w:r>
        <w:rPr>
          <w:color w:val="231F20"/>
          <w:w w:val="105"/>
        </w:rPr>
        <w:t>previously, decreased levels of Ang II and aldosterone inhibit </w:t>
      </w:r>
      <w:r>
        <w:rPr>
          <w:color w:val="231F20"/>
          <w:spacing w:val="-4"/>
          <w:w w:val="105"/>
        </w:rPr>
        <w:t>renal </w:t>
      </w:r>
      <w:r>
        <w:rPr>
          <w:color w:val="231F20"/>
          <w:w w:val="105"/>
        </w:rPr>
        <w:t>tubular reabsorption of sodium, thereby amplifying the direct</w:t>
      </w:r>
      <w:r>
        <w:rPr>
          <w:color w:val="231F20"/>
          <w:spacing w:val="-14"/>
          <w:w w:val="105"/>
        </w:rPr>
        <w:t> </w:t>
      </w:r>
      <w:r>
        <w:rPr>
          <w:color w:val="231F20"/>
          <w:w w:val="105"/>
        </w:rPr>
        <w:t>effects</w:t>
      </w:r>
      <w:r>
        <w:rPr>
          <w:color w:val="231F20"/>
          <w:spacing w:val="-14"/>
          <w:w w:val="105"/>
        </w:rPr>
        <w:t> </w:t>
      </w:r>
      <w:r>
        <w:rPr>
          <w:color w:val="231F20"/>
          <w:w w:val="105"/>
        </w:rPr>
        <w:t>of</w:t>
      </w:r>
      <w:r>
        <w:rPr>
          <w:color w:val="231F20"/>
          <w:spacing w:val="-14"/>
          <w:w w:val="105"/>
        </w:rPr>
        <w:t> </w:t>
      </w:r>
      <w:r>
        <w:rPr>
          <w:color w:val="231F20"/>
          <w:w w:val="105"/>
        </w:rPr>
        <w:t>increased</w:t>
      </w:r>
      <w:r>
        <w:rPr>
          <w:color w:val="231F20"/>
          <w:spacing w:val="-13"/>
          <w:w w:val="105"/>
        </w:rPr>
        <w:t> </w:t>
      </w:r>
      <w:r>
        <w:rPr>
          <w:color w:val="231F20"/>
          <w:w w:val="105"/>
        </w:rPr>
        <w:t>blood</w:t>
      </w:r>
      <w:r>
        <w:rPr>
          <w:color w:val="231F20"/>
          <w:spacing w:val="-14"/>
          <w:w w:val="105"/>
        </w:rPr>
        <w:t> </w:t>
      </w:r>
      <w:r>
        <w:rPr>
          <w:color w:val="231F20"/>
          <w:w w:val="105"/>
        </w:rPr>
        <w:t>pressure</w:t>
      </w:r>
      <w:r>
        <w:rPr>
          <w:color w:val="231F20"/>
          <w:spacing w:val="-14"/>
          <w:w w:val="105"/>
        </w:rPr>
        <w:t> </w:t>
      </w:r>
      <w:r>
        <w:rPr>
          <w:color w:val="231F20"/>
          <w:w w:val="105"/>
        </w:rPr>
        <w:t>to</w:t>
      </w:r>
      <w:r>
        <w:rPr>
          <w:color w:val="231F20"/>
          <w:spacing w:val="-13"/>
          <w:w w:val="105"/>
        </w:rPr>
        <w:t> </w:t>
      </w:r>
      <w:r>
        <w:rPr>
          <w:color w:val="231F20"/>
          <w:w w:val="105"/>
        </w:rPr>
        <w:t>raise</w:t>
      </w:r>
      <w:r>
        <w:rPr>
          <w:color w:val="231F20"/>
          <w:spacing w:val="-14"/>
          <w:w w:val="105"/>
        </w:rPr>
        <w:t> </w:t>
      </w:r>
      <w:r>
        <w:rPr>
          <w:color w:val="231F20"/>
          <w:w w:val="105"/>
        </w:rPr>
        <w:t>sodium and water</w:t>
      </w:r>
      <w:r>
        <w:rPr>
          <w:color w:val="231F20"/>
          <w:spacing w:val="5"/>
          <w:w w:val="105"/>
        </w:rPr>
        <w:t> </w:t>
      </w:r>
      <w:r>
        <w:rPr>
          <w:color w:val="231F20"/>
          <w:w w:val="105"/>
        </w:rPr>
        <w:t>excretion.</w:t>
      </w:r>
    </w:p>
    <w:p>
      <w:pPr>
        <w:pStyle w:val="BodyText"/>
        <w:spacing w:before="6"/>
        <w:rPr>
          <w:sz w:val="31"/>
        </w:rPr>
      </w:pPr>
    </w:p>
    <w:p>
      <w:pPr>
        <w:pStyle w:val="Heading2"/>
        <w:spacing w:line="225" w:lineRule="auto"/>
        <w:ind w:right="2148"/>
      </w:pPr>
      <w:r>
        <w:rPr>
          <w:color w:val="231F20"/>
          <w:w w:val="105"/>
        </w:rPr>
        <w:t>PRESSURE NATRIURESIS AND DIURESIS ARE KEY COMPONENTS OF A RENAL–BODY FLUID FEEDBACK </w:t>
      </w:r>
      <w:r>
        <w:rPr>
          <w:color w:val="231F20"/>
          <w:spacing w:val="-6"/>
          <w:w w:val="105"/>
        </w:rPr>
        <w:t>FOR </w:t>
      </w:r>
      <w:r>
        <w:rPr>
          <w:color w:val="231F20"/>
          <w:w w:val="105"/>
        </w:rPr>
        <w:t>REGULATING BODY FLUID VOLUMES AND ARTERIAL PRESSURE</w:t>
      </w:r>
    </w:p>
    <w:p>
      <w:pPr>
        <w:pStyle w:val="BodyText"/>
        <w:spacing w:line="249" w:lineRule="auto" w:before="127"/>
        <w:ind w:left="319" w:right="1437"/>
        <w:jc w:val="both"/>
      </w:pPr>
      <w:r>
        <w:rPr>
          <w:color w:val="231F20"/>
        </w:rPr>
        <w:t>The effect of increased blood pressure to raise urine output is part of a powerful feedback system that operates to maintain balance between fluid intake and output, as shown in </w:t>
      </w:r>
      <w:hyperlink w:history="true" w:anchor="_bookmark97">
        <w:r>
          <w:rPr>
            <w:rFonts w:ascii="Cambria"/>
            <w:b/>
            <w:color w:val="0080AC"/>
          </w:rPr>
          <w:t>Figure 30-14</w:t>
        </w:r>
      </w:hyperlink>
      <w:r>
        <w:rPr>
          <w:color w:val="231F20"/>
        </w:rPr>
        <w:t>. This mechanism is the same mechanism that is discussed in Chapter 19 for</w:t>
      </w:r>
      <w:r>
        <w:rPr>
          <w:color w:val="231F20"/>
          <w:spacing w:val="22"/>
        </w:rPr>
        <w:t> </w:t>
      </w:r>
      <w:r>
        <w:rPr>
          <w:color w:val="231F20"/>
        </w:rPr>
        <w:t>arterial pressure control. The extracellular fluid volume, blood volume, cardiac output, arterial pressure,  and  urine output are all controlled at the same time as separate</w:t>
      </w:r>
      <w:r>
        <w:rPr>
          <w:color w:val="231F20"/>
          <w:spacing w:val="38"/>
        </w:rPr>
        <w:t> </w:t>
      </w:r>
      <w:r>
        <w:rPr>
          <w:color w:val="231F20"/>
          <w:spacing w:val="-3"/>
        </w:rPr>
        <w:t>parts</w:t>
      </w:r>
    </w:p>
    <w:p>
      <w:pPr>
        <w:spacing w:after="0" w:line="249" w:lineRule="auto"/>
        <w:jc w:val="both"/>
        <w:sectPr>
          <w:type w:val="continuous"/>
          <w:pgSz w:w="12240" w:h="15660"/>
          <w:pgMar w:top="0" w:bottom="760" w:left="0" w:right="0"/>
          <w:cols w:num="2" w:equalWidth="0">
            <w:col w:w="5761" w:space="40"/>
            <w:col w:w="6439"/>
          </w:cols>
        </w:sectPr>
      </w:pPr>
    </w:p>
    <w:p>
      <w:pPr>
        <w:spacing w:line="173" w:lineRule="exact" w:before="0"/>
        <w:ind w:left="1582" w:right="0" w:firstLine="0"/>
        <w:jc w:val="left"/>
        <w:rPr>
          <w:rFonts w:ascii="Helvetica"/>
          <w:sz w:val="16"/>
        </w:rPr>
      </w:pPr>
      <w:r>
        <w:rPr>
          <w:rFonts w:ascii="Helvetica"/>
          <w:color w:val="231F20"/>
          <w:w w:val="99"/>
          <w:sz w:val="16"/>
        </w:rPr>
        <w:t>0</w:t>
      </w:r>
    </w:p>
    <w:p>
      <w:pPr>
        <w:tabs>
          <w:tab w:pos="2100" w:val="left" w:leader="none"/>
          <w:tab w:pos="2846" w:val="left" w:leader="none"/>
        </w:tabs>
        <w:spacing w:line="71" w:lineRule="exact" w:before="0"/>
        <w:ind w:left="1761" w:right="0" w:firstLine="0"/>
        <w:jc w:val="left"/>
        <w:rPr>
          <w:rFonts w:ascii="Helvetica"/>
          <w:sz w:val="16"/>
        </w:rPr>
      </w:pPr>
      <w:r>
        <w:rPr>
          <w:rFonts w:ascii="Helvetica"/>
          <w:color w:val="231F20"/>
          <w:sz w:val="16"/>
        </w:rPr>
        <w:t>0</w:t>
        <w:tab/>
        <w:t>20   </w:t>
      </w:r>
      <w:r>
        <w:rPr>
          <w:rFonts w:ascii="Helvetica"/>
          <w:color w:val="231F20"/>
          <w:spacing w:val="7"/>
          <w:sz w:val="16"/>
        </w:rPr>
        <w:t> </w:t>
      </w:r>
      <w:r>
        <w:rPr>
          <w:rFonts w:ascii="Helvetica"/>
          <w:color w:val="231F20"/>
          <w:sz w:val="16"/>
        </w:rPr>
        <w:t>40</w:t>
        <w:tab/>
        <w:t>60 80 100 120 140 160 180</w:t>
      </w:r>
      <w:r>
        <w:rPr>
          <w:rFonts w:ascii="Helvetica"/>
          <w:color w:val="231F20"/>
          <w:spacing w:val="2"/>
          <w:sz w:val="16"/>
        </w:rPr>
        <w:t> </w:t>
      </w:r>
      <w:r>
        <w:rPr>
          <w:rFonts w:ascii="Helvetica"/>
          <w:color w:val="231F20"/>
          <w:spacing w:val="-6"/>
          <w:sz w:val="16"/>
        </w:rPr>
        <w:t>200</w:t>
      </w:r>
    </w:p>
    <w:p>
      <w:pPr>
        <w:pStyle w:val="BodyText"/>
        <w:spacing w:before="2"/>
        <w:ind w:left="383"/>
      </w:pPr>
      <w:r>
        <w:rPr/>
        <w:br w:type="column"/>
      </w:r>
      <w:r>
        <w:rPr>
          <w:color w:val="231F20"/>
        </w:rPr>
        <w:t>of this basic feedback mechanism.</w:t>
      </w:r>
    </w:p>
    <w:p>
      <w:pPr>
        <w:spacing w:after="0"/>
        <w:sectPr>
          <w:type w:val="continuous"/>
          <w:pgSz w:w="12240" w:h="15660"/>
          <w:pgMar w:top="0" w:bottom="760" w:left="0" w:right="0"/>
          <w:cols w:num="2" w:equalWidth="0">
            <w:col w:w="5697" w:space="40"/>
            <w:col w:w="6503"/>
          </w:cols>
        </w:sectPr>
      </w:pPr>
    </w:p>
    <w:p>
      <w:pPr>
        <w:spacing w:before="160"/>
        <w:ind w:left="2606" w:right="0" w:firstLine="0"/>
        <w:jc w:val="left"/>
        <w:rPr>
          <w:rFonts w:ascii="Helvetica"/>
          <w:b/>
          <w:sz w:val="16"/>
        </w:rPr>
      </w:pPr>
      <w:r>
        <w:rPr>
          <w:rFonts w:ascii="Helvetica"/>
          <w:b/>
          <w:color w:val="231F20"/>
          <w:sz w:val="16"/>
        </w:rPr>
        <w:t>Arterial pressure (mm Hg)</w:t>
      </w:r>
    </w:p>
    <w:p>
      <w:pPr>
        <w:spacing w:line="259" w:lineRule="auto" w:before="91"/>
        <w:ind w:left="1080" w:right="0" w:firstLine="0"/>
        <w:jc w:val="both"/>
        <w:rPr>
          <w:rFonts w:ascii="Arial"/>
          <w:sz w:val="16"/>
        </w:rPr>
      </w:pPr>
      <w:bookmarkStart w:name="_bookmark96" w:id="97"/>
      <w:bookmarkEnd w:id="97"/>
      <w:r>
        <w:rPr/>
      </w:r>
      <w:r>
        <w:rPr>
          <w:rFonts w:ascii="Trebuchet MS"/>
          <w:b/>
          <w:color w:val="231F20"/>
          <w:sz w:val="16"/>
        </w:rPr>
        <w:t>Figure 30-13. </w:t>
      </w:r>
      <w:r>
        <w:rPr>
          <w:rFonts w:ascii="Arial"/>
          <w:color w:val="231F20"/>
          <w:sz w:val="16"/>
        </w:rPr>
        <w:t>Acute and chronic effects of arterial pressure </w:t>
      </w:r>
      <w:r>
        <w:rPr>
          <w:rFonts w:ascii="Arial"/>
          <w:color w:val="231F20"/>
          <w:spacing w:val="-9"/>
          <w:sz w:val="16"/>
        </w:rPr>
        <w:t>on </w:t>
      </w:r>
      <w:r>
        <w:rPr>
          <w:rFonts w:ascii="Arial"/>
          <w:color w:val="231F20"/>
          <w:sz w:val="16"/>
        </w:rPr>
        <w:t>sodium</w:t>
      </w:r>
      <w:r>
        <w:rPr>
          <w:rFonts w:ascii="Arial"/>
          <w:color w:val="231F20"/>
          <w:spacing w:val="-27"/>
          <w:sz w:val="16"/>
        </w:rPr>
        <w:t> </w:t>
      </w:r>
      <w:r>
        <w:rPr>
          <w:rFonts w:ascii="Arial"/>
          <w:color w:val="231F20"/>
          <w:sz w:val="16"/>
        </w:rPr>
        <w:t>output</w:t>
      </w:r>
      <w:r>
        <w:rPr>
          <w:rFonts w:ascii="Arial"/>
          <w:color w:val="231F20"/>
          <w:spacing w:val="-26"/>
          <w:sz w:val="16"/>
        </w:rPr>
        <w:t> </w:t>
      </w:r>
      <w:r>
        <w:rPr>
          <w:rFonts w:ascii="Arial"/>
          <w:color w:val="231F20"/>
          <w:sz w:val="16"/>
        </w:rPr>
        <w:t>by</w:t>
      </w:r>
      <w:r>
        <w:rPr>
          <w:rFonts w:ascii="Arial"/>
          <w:color w:val="231F20"/>
          <w:spacing w:val="-26"/>
          <w:sz w:val="16"/>
        </w:rPr>
        <w:t> </w:t>
      </w:r>
      <w:r>
        <w:rPr>
          <w:rFonts w:ascii="Arial"/>
          <w:color w:val="231F20"/>
          <w:sz w:val="16"/>
        </w:rPr>
        <w:t>the</w:t>
      </w:r>
      <w:r>
        <w:rPr>
          <w:rFonts w:ascii="Arial"/>
          <w:color w:val="231F20"/>
          <w:spacing w:val="-26"/>
          <w:sz w:val="16"/>
        </w:rPr>
        <w:t> </w:t>
      </w:r>
      <w:r>
        <w:rPr>
          <w:rFonts w:ascii="Arial"/>
          <w:color w:val="231F20"/>
          <w:sz w:val="16"/>
        </w:rPr>
        <w:t>kidneys</w:t>
      </w:r>
      <w:r>
        <w:rPr>
          <w:rFonts w:ascii="Arial"/>
          <w:color w:val="231F20"/>
          <w:spacing w:val="-26"/>
          <w:sz w:val="16"/>
        </w:rPr>
        <w:t> </w:t>
      </w:r>
      <w:r>
        <w:rPr>
          <w:rFonts w:ascii="Arial"/>
          <w:color w:val="231F20"/>
          <w:sz w:val="16"/>
        </w:rPr>
        <w:t>(pressure</w:t>
      </w:r>
      <w:r>
        <w:rPr>
          <w:rFonts w:ascii="Arial"/>
          <w:color w:val="231F20"/>
          <w:spacing w:val="-26"/>
          <w:sz w:val="16"/>
        </w:rPr>
        <w:t> </w:t>
      </w:r>
      <w:r>
        <w:rPr>
          <w:rFonts w:ascii="Arial"/>
          <w:color w:val="231F20"/>
          <w:sz w:val="16"/>
        </w:rPr>
        <w:t>natriuresis).</w:t>
      </w:r>
      <w:r>
        <w:rPr>
          <w:rFonts w:ascii="Arial"/>
          <w:color w:val="231F20"/>
          <w:spacing w:val="-26"/>
          <w:sz w:val="16"/>
        </w:rPr>
        <w:t> </w:t>
      </w:r>
      <w:r>
        <w:rPr>
          <w:rFonts w:ascii="Arial"/>
          <w:color w:val="231F20"/>
          <w:sz w:val="16"/>
        </w:rPr>
        <w:t>Note</w:t>
      </w:r>
      <w:r>
        <w:rPr>
          <w:rFonts w:ascii="Arial"/>
          <w:color w:val="231F20"/>
          <w:spacing w:val="-26"/>
          <w:sz w:val="16"/>
        </w:rPr>
        <w:t> </w:t>
      </w:r>
      <w:r>
        <w:rPr>
          <w:rFonts w:ascii="Arial"/>
          <w:color w:val="231F20"/>
          <w:sz w:val="16"/>
        </w:rPr>
        <w:t>that</w:t>
      </w:r>
      <w:r>
        <w:rPr>
          <w:rFonts w:ascii="Arial"/>
          <w:color w:val="231F20"/>
          <w:spacing w:val="-26"/>
          <w:sz w:val="16"/>
        </w:rPr>
        <w:t> </w:t>
      </w:r>
      <w:r>
        <w:rPr>
          <w:rFonts w:ascii="Arial"/>
          <w:color w:val="231F20"/>
          <w:spacing w:val="-3"/>
          <w:sz w:val="16"/>
        </w:rPr>
        <w:t>chronic </w:t>
      </w:r>
      <w:r>
        <w:rPr>
          <w:rFonts w:ascii="Arial"/>
          <w:color w:val="231F20"/>
          <w:w w:val="95"/>
          <w:sz w:val="16"/>
        </w:rPr>
        <w:t>increases</w:t>
      </w:r>
      <w:r>
        <w:rPr>
          <w:rFonts w:ascii="Arial"/>
          <w:color w:val="231F20"/>
          <w:spacing w:val="-4"/>
          <w:w w:val="95"/>
          <w:sz w:val="16"/>
        </w:rPr>
        <w:t> </w:t>
      </w:r>
      <w:r>
        <w:rPr>
          <w:rFonts w:ascii="Arial"/>
          <w:color w:val="231F20"/>
          <w:w w:val="95"/>
          <w:sz w:val="16"/>
        </w:rPr>
        <w:t>in</w:t>
      </w:r>
      <w:r>
        <w:rPr>
          <w:rFonts w:ascii="Arial"/>
          <w:color w:val="231F20"/>
          <w:spacing w:val="-4"/>
          <w:w w:val="95"/>
          <w:sz w:val="16"/>
        </w:rPr>
        <w:t> </w:t>
      </w:r>
      <w:r>
        <w:rPr>
          <w:rFonts w:ascii="Arial"/>
          <w:color w:val="231F20"/>
          <w:w w:val="95"/>
          <w:sz w:val="16"/>
        </w:rPr>
        <w:t>arterial</w:t>
      </w:r>
      <w:r>
        <w:rPr>
          <w:rFonts w:ascii="Arial"/>
          <w:color w:val="231F20"/>
          <w:spacing w:val="-4"/>
          <w:w w:val="95"/>
          <w:sz w:val="16"/>
        </w:rPr>
        <w:t> </w:t>
      </w:r>
      <w:r>
        <w:rPr>
          <w:rFonts w:ascii="Arial"/>
          <w:color w:val="231F20"/>
          <w:w w:val="95"/>
          <w:sz w:val="16"/>
        </w:rPr>
        <w:t>pressure</w:t>
      </w:r>
      <w:r>
        <w:rPr>
          <w:rFonts w:ascii="Arial"/>
          <w:color w:val="231F20"/>
          <w:spacing w:val="-4"/>
          <w:w w:val="95"/>
          <w:sz w:val="16"/>
        </w:rPr>
        <w:t> </w:t>
      </w:r>
      <w:r>
        <w:rPr>
          <w:rFonts w:ascii="Arial"/>
          <w:color w:val="231F20"/>
          <w:w w:val="95"/>
          <w:sz w:val="16"/>
        </w:rPr>
        <w:t>cause</w:t>
      </w:r>
      <w:r>
        <w:rPr>
          <w:rFonts w:ascii="Arial"/>
          <w:color w:val="231F20"/>
          <w:spacing w:val="-3"/>
          <w:w w:val="95"/>
          <w:sz w:val="16"/>
        </w:rPr>
        <w:t> </w:t>
      </w:r>
      <w:r>
        <w:rPr>
          <w:rFonts w:ascii="Arial"/>
          <w:color w:val="231F20"/>
          <w:w w:val="95"/>
          <w:sz w:val="16"/>
        </w:rPr>
        <w:t>much</w:t>
      </w:r>
      <w:r>
        <w:rPr>
          <w:rFonts w:ascii="Arial"/>
          <w:color w:val="231F20"/>
          <w:spacing w:val="-4"/>
          <w:w w:val="95"/>
          <w:sz w:val="16"/>
        </w:rPr>
        <w:t> </w:t>
      </w:r>
      <w:r>
        <w:rPr>
          <w:rFonts w:ascii="Arial"/>
          <w:color w:val="231F20"/>
          <w:w w:val="95"/>
          <w:sz w:val="16"/>
        </w:rPr>
        <w:t>greater</w:t>
      </w:r>
      <w:r>
        <w:rPr>
          <w:rFonts w:ascii="Arial"/>
          <w:color w:val="231F20"/>
          <w:spacing w:val="-4"/>
          <w:w w:val="95"/>
          <w:sz w:val="16"/>
        </w:rPr>
        <w:t> </w:t>
      </w:r>
      <w:r>
        <w:rPr>
          <w:rFonts w:ascii="Arial"/>
          <w:color w:val="231F20"/>
          <w:w w:val="95"/>
          <w:sz w:val="16"/>
        </w:rPr>
        <w:t>increases</w:t>
      </w:r>
      <w:r>
        <w:rPr>
          <w:rFonts w:ascii="Arial"/>
          <w:color w:val="231F20"/>
          <w:spacing w:val="-4"/>
          <w:w w:val="95"/>
          <w:sz w:val="16"/>
        </w:rPr>
        <w:t> </w:t>
      </w:r>
      <w:r>
        <w:rPr>
          <w:rFonts w:ascii="Arial"/>
          <w:color w:val="231F20"/>
          <w:w w:val="95"/>
          <w:sz w:val="16"/>
        </w:rPr>
        <w:t>in</w:t>
      </w:r>
      <w:r>
        <w:rPr>
          <w:rFonts w:ascii="Arial"/>
          <w:color w:val="231F20"/>
          <w:spacing w:val="-4"/>
          <w:w w:val="95"/>
          <w:sz w:val="16"/>
        </w:rPr>
        <w:t> sodium </w:t>
      </w:r>
      <w:r>
        <w:rPr>
          <w:rFonts w:ascii="Arial"/>
          <w:color w:val="231F20"/>
          <w:sz w:val="16"/>
        </w:rPr>
        <w:t>output than those measured during acute increases in arterial pressure.</w:t>
      </w:r>
    </w:p>
    <w:p>
      <w:pPr>
        <w:pStyle w:val="BodyText"/>
        <w:spacing w:line="249" w:lineRule="auto"/>
        <w:ind w:left="319" w:right="1437" w:firstLine="240"/>
        <w:jc w:val="both"/>
      </w:pPr>
      <w:r>
        <w:rPr/>
        <w:br w:type="column"/>
      </w:r>
      <w:r>
        <w:rPr>
          <w:color w:val="231F20"/>
        </w:rPr>
        <w:t>During changes in sodium and fluid intake, this feed- back mechanism helps to maintain fluid balance and to minimize changes in blood volume, extracellular fluid volume, and arterial pressure as follows:</w:t>
      </w:r>
    </w:p>
    <w:p>
      <w:pPr>
        <w:pStyle w:val="ListParagraph"/>
        <w:numPr>
          <w:ilvl w:val="1"/>
          <w:numId w:val="26"/>
        </w:numPr>
        <w:tabs>
          <w:tab w:pos="802" w:val="left" w:leader="none"/>
        </w:tabs>
        <w:spacing w:line="249" w:lineRule="auto" w:before="2" w:after="0"/>
        <w:ind w:left="801" w:right="1439" w:hanging="243"/>
        <w:jc w:val="both"/>
        <w:rPr>
          <w:sz w:val="20"/>
        </w:rPr>
      </w:pPr>
      <w:r>
        <w:rPr>
          <w:color w:val="231F20"/>
          <w:sz w:val="20"/>
        </w:rPr>
        <w:t>An increase in fluid intake (assuming that </w:t>
      </w:r>
      <w:r>
        <w:rPr>
          <w:color w:val="231F20"/>
          <w:spacing w:val="-3"/>
          <w:sz w:val="20"/>
        </w:rPr>
        <w:t>sodium </w:t>
      </w:r>
      <w:r>
        <w:rPr>
          <w:color w:val="231F20"/>
          <w:sz w:val="20"/>
        </w:rPr>
        <w:t>accompanies the fluid intake) above the level</w:t>
      </w:r>
      <w:r>
        <w:rPr>
          <w:color w:val="231F20"/>
          <w:spacing w:val="1"/>
          <w:sz w:val="20"/>
        </w:rPr>
        <w:t> </w:t>
      </w:r>
      <w:r>
        <w:rPr>
          <w:color w:val="231F20"/>
          <w:sz w:val="20"/>
        </w:rPr>
        <w:t>of</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pPr>
    </w:p>
    <w:p>
      <w:pPr>
        <w:pStyle w:val="BodyText"/>
        <w:spacing w:before="3"/>
        <w:rPr>
          <w:sz w:val="24"/>
        </w:rPr>
      </w:pPr>
    </w:p>
    <w:p>
      <w:pPr>
        <w:spacing w:line="235" w:lineRule="auto" w:before="102"/>
        <w:ind w:left="3363" w:right="8234" w:firstLine="57"/>
        <w:jc w:val="left"/>
        <w:rPr>
          <w:rFonts w:ascii="Helvetica"/>
          <w:sz w:val="16"/>
        </w:rPr>
      </w:pPr>
      <w:r>
        <w:rPr/>
        <w:pict>
          <v:group style="position:absolute;margin-left:117.101997pt;margin-top:1.335128pt;width:102.8pt;height:161pt;mso-position-horizontal-relative:page;mso-position-vertical-relative:paragraph;z-index:-272755712" coordorigin="2342,27" coordsize="2056,3220">
            <v:shape style="position:absolute;left:4213;top:216;width:185;height:120" type="#_x0000_t75" stroked="false">
              <v:imagedata r:id="rId910" o:title=""/>
            </v:shape>
            <v:rect style="position:absolute;left:3264;top:86;width:914;height:500" filled="true" fillcolor="#95aac4" stroked="false">
              <v:fill type="solid"/>
            </v:rect>
            <v:shape style="position:absolute;left:3794;top:529;width:120;height:185" type="#_x0000_t75" stroked="false">
              <v:imagedata r:id="rId911" o:title=""/>
            </v:shape>
            <v:shape style="position:absolute;left:3946;top:529;width:120;height:185" type="#_x0000_t75" stroked="false">
              <v:imagedata r:id="rId911" o:title=""/>
            </v:shape>
            <v:rect style="position:absolute;left:3204;top:26;width:914;height:500" filled="true" fillcolor="#d4e5f3" stroked="false">
              <v:fill type="solid"/>
            </v:rect>
            <v:line style="position:absolute" from="4122,276" to="4332,276" stroked="true" strokeweight="1.5pt" strokecolor="#ed1c24">
              <v:stroke dashstyle="solid"/>
            </v:line>
            <v:rect style="position:absolute;left:3264;top:2413;width:914;height:500" filled="true" fillcolor="#95aac4" stroked="false">
              <v:fill type="solid"/>
            </v:rect>
            <v:rect style="position:absolute;left:3204;top:2353;width:914;height:500" filled="true" fillcolor="#d4e5f3" stroked="false">
              <v:fill type="solid"/>
            </v:rect>
            <v:shape style="position:absolute;left:3601;top:2854;width:120;height:185" coordorigin="3602,2855" coordsize="120,185" path="m3661,2855l3639,2948,3602,3037,3603,3039,3662,3006,3708,3006,3683,2948,3661,2855xm3708,3006l3662,3006,3720,3039,3721,3037,3708,3006xe" filled="true" fillcolor="#f0535f" stroked="false">
              <v:path arrowok="t"/>
              <v:fill type="solid"/>
            </v:shape>
            <v:line style="position:absolute" from="3661,3246" to="3661,2941" stroked="true" strokeweight="1.5pt" strokecolor="#ed1c24">
              <v:stroke dashstyle="solid"/>
            </v:line>
            <v:line style="position:absolute" from="4007,662" to="4007,2354" stroked="true" strokeweight="1.5pt" strokecolor="#ed1c24">
              <v:stroke dashstyle="solid"/>
            </v:line>
            <v:rect style="position:absolute;left:2402;top:1242;width:1300;height:500" filled="true" fillcolor="#95aac4" stroked="false">
              <v:fill type="solid"/>
            </v:rect>
            <v:rect style="position:absolute;left:2342;top:1182;width:1300;height:500" filled="true" fillcolor="#d4e5f3" stroked="false">
              <v:fill type="solid"/>
            </v:rect>
            <v:shape style="position:absolute;left:3643;top:661;width:212;height:771" coordorigin="3643,662" coordsize="212,771" path="m3643,1432l3855,1432,3855,662e" filled="false" stroked="true" strokeweight="1.5pt" strokecolor="#ed1c24">
              <v:path arrowok="t"/>
              <v:stroke dashstyle="solid"/>
            </v:shape>
            <v:shape style="position:absolute;left:4117;top:2545;width:185;height:120" type="#_x0000_t75" stroked="false">
              <v:imagedata r:id="rId912" o:title=""/>
            </v:shape>
            <w10:wrap type="none"/>
          </v:group>
        </w:pict>
      </w:r>
      <w:r>
        <w:rPr/>
        <w:pict>
          <v:group style="position:absolute;margin-left:273.230011pt;margin-top:-50.910873pt;width:203.7pt;height:213.65pt;mso-position-horizontal-relative:page;mso-position-vertical-relative:paragraph;z-index:252658688" coordorigin="5465,-1018" coordsize="4074,4273">
            <v:shape style="position:absolute;left:6441;top:216;width:185;height:120" type="#_x0000_t75" stroked="false">
              <v:imagedata r:id="rId910" o:title=""/>
            </v:shape>
            <v:shape style="position:absolute;left:8083;top:216;width:185;height:120" type="#_x0000_t75" stroked="false">
              <v:imagedata r:id="rId913" o:title=""/>
            </v:shape>
            <v:rect style="position:absolute;left:8324;top:86;width:1094;height:500" filled="true" fillcolor="#95aac4" stroked="false">
              <v:fill type="solid"/>
            </v:rect>
            <v:rect style="position:absolute;left:8264;top:26;width:1094;height:500" filled="true" fillcolor="#d4e5f3" stroked="false">
              <v:fill type="solid"/>
            </v:rect>
            <v:shape style="position:absolute;left:6854;top:-159;width:120;height:185" type="#_x0000_t75" stroked="false">
              <v:imagedata r:id="rId914" o:title=""/>
            </v:shape>
            <v:shape style="position:absolute;left:7618;top:-159;width:120;height:185" type="#_x0000_t75" stroked="false">
              <v:imagedata r:id="rId915" o:title=""/>
            </v:shape>
            <v:rect style="position:absolute;left:6680;top:86;width:1374;height:650" filled="true" fillcolor="#95aac4" stroked="false">
              <v:fill type="solid"/>
            </v:rect>
            <v:rect style="position:absolute;left:6620;top:26;width:1374;height:650" filled="true" fillcolor="#d4e5f3" stroked="false">
              <v:fill type="solid"/>
            </v:rect>
            <v:line style="position:absolute" from="6340,276" to="6550,276" stroked="true" strokeweight="1.5pt" strokecolor="#ed1c24">
              <v:stroke dashstyle="dash"/>
            </v:line>
            <v:line style="position:absolute" from="7996,276" to="8206,276" stroked="true" strokeweight="1.5pt" strokecolor="#ed1c24">
              <v:stroke dashstyle="solid"/>
            </v:line>
            <v:rect style="position:absolute;left:6270;top:-959;width:914;height:500" filled="true" fillcolor="#95aac4" stroked="false">
              <v:fill type="solid"/>
            </v:rect>
            <v:rect style="position:absolute;left:6210;top:-1019;width:914;height:500" filled="true" fillcolor="#d4e5f3" stroked="false">
              <v:fill type="solid"/>
            </v:rect>
            <v:line style="position:absolute" from="6914,-516" to="6914,-36" stroked="true" strokeweight="1.5pt" strokecolor="#ed1c24">
              <v:stroke dashstyle="dash"/>
            </v:line>
            <v:rect style="position:absolute;left:7528;top:-959;width:914;height:500" filled="true" fillcolor="#95aac4" stroked="false">
              <v:fill type="solid"/>
            </v:rect>
            <v:rect style="position:absolute;left:7468;top:-1019;width:914;height:500" filled="true" fillcolor="#d4e5f3" stroked="false">
              <v:fill type="solid"/>
            </v:rect>
            <v:line style="position:absolute" from="7678,-516" to="7678,-36" stroked="true" strokeweight="1.5pt" strokecolor="#ed1c24">
              <v:stroke dashstyle="solid"/>
            </v:line>
            <v:shape style="position:absolute;left:8751;top:1003;width:120;height:185" type="#_x0000_t75" stroked="false">
              <v:imagedata r:id="rId877" o:title=""/>
            </v:shape>
            <v:rect style="position:absolute;left:8324;top:1246;width:1094;height:500" filled="true" fillcolor="#95aac4" stroked="false">
              <v:fill type="solid"/>
            </v:rect>
            <v:rect style="position:absolute;left:8264;top:1186;width:1094;height:500" filled="true" fillcolor="#d4e5f3" stroked="false">
              <v:fill type="solid"/>
            </v:rect>
            <v:line style="position:absolute" from="8811,532" to="8811,1112" stroked="true" strokeweight="1.5pt" strokecolor="#ed1c24">
              <v:stroke dashstyle="solid"/>
            </v:line>
            <v:shape style="position:absolute;left:8751;top:2173;width:120;height:185" type="#_x0000_t75" stroked="false">
              <v:imagedata r:id="rId877" o:title=""/>
            </v:shape>
            <v:rect style="position:absolute;left:8204;top:2414;width:1334;height:500" filled="true" fillcolor="#95aac4" stroked="false">
              <v:fill type="solid"/>
            </v:rect>
            <v:rect style="position:absolute;left:8144;top:2354;width:1334;height:500" filled="true" fillcolor="#d4e5f3" stroked="false">
              <v:fill type="solid"/>
            </v:rect>
            <v:line style="position:absolute" from="8811,1692" to="8811,2272" stroked="true" strokeweight="1.5pt" strokecolor="#ed1c24">
              <v:stroke dashstyle="solid"/>
            </v:line>
            <v:shape style="position:absolute;left:8753;top:2862;width:120;height:185" coordorigin="8753,2862" coordsize="120,185" path="m8812,2862l8791,2956,8753,3045,8754,3047,8813,3013,8859,3013,8835,2955,8812,2862xm8859,3013l8813,3013,8872,3046,8873,3044,8859,3013xe" filled="true" fillcolor="#f0535f" stroked="false">
              <v:path arrowok="t"/>
              <v:fill type="solid"/>
            </v:shape>
            <v:line style="position:absolute" from="8812,3254" to="8812,2949" stroked="true" strokeweight="1.5pt" strokecolor="#ed1c24">
              <v:stroke dashstyle="solid"/>
            </v:line>
            <v:rect style="position:absolute;left:5524;top:2414;width:1334;height:500" filled="true" fillcolor="#95aac4" stroked="false">
              <v:fill type="solid"/>
            </v:rect>
            <v:rect style="position:absolute;left:5464;top:2354;width:1334;height:500" filled="true" fillcolor="#d4e5f3" stroked="false">
              <v:fill type="solid"/>
            </v:rect>
            <v:shape style="position:absolute;left:6798;top:2545;width:185;height:120" type="#_x0000_t75" stroked="false">
              <v:imagedata r:id="rId916" o:title=""/>
            </v:shape>
            <v:shape style="position:absolute;left:6904;top:2428;width:1254;height:185" type="#_x0000_t202" filled="false" stroked="false">
              <v:textbox inset="0,0,0,0">
                <w:txbxContent>
                  <w:p>
                    <w:pPr>
                      <w:tabs>
                        <w:tab w:pos="1233" w:val="left" w:leader="none"/>
                      </w:tabs>
                      <w:spacing w:line="183" w:lineRule="exact" w:before="0"/>
                      <w:ind w:left="0" w:right="0" w:firstLine="0"/>
                      <w:jc w:val="left"/>
                      <w:rPr>
                        <w:rFonts w:ascii="Helvetica"/>
                        <w:sz w:val="16"/>
                      </w:rPr>
                    </w:pPr>
                    <w:r>
                      <w:rPr>
                        <w:rFonts w:ascii="Helvetica"/>
                        <w:color w:val="231F20"/>
                        <w:w w:val="100"/>
                        <w:sz w:val="16"/>
                        <w:u w:val="thick" w:color="ED1C24"/>
                      </w:rPr>
                      <w:t> </w:t>
                    </w:r>
                    <w:r>
                      <w:rPr>
                        <w:rFonts w:ascii="Helvetica"/>
                        <w:color w:val="231F20"/>
                        <w:sz w:val="16"/>
                        <w:u w:val="thick" w:color="ED1C24"/>
                      </w:rPr>
                      <w:tab/>
                    </w:r>
                  </w:p>
                </w:txbxContent>
              </v:textbox>
              <w10:wrap type="none"/>
            </v:shape>
            <v:shape style="position:absolute;left:8204;top:2414;width:1334;height:500" type="#_x0000_t202" filled="false" stroked="false">
              <v:textbox inset="0,0,0,0">
                <w:txbxContent>
                  <w:p>
                    <w:pPr>
                      <w:spacing w:line="235" w:lineRule="auto" w:before="15"/>
                      <w:ind w:left="94" w:right="118" w:hanging="72"/>
                      <w:jc w:val="left"/>
                      <w:rPr>
                        <w:rFonts w:ascii="Helvetica"/>
                        <w:sz w:val="16"/>
                      </w:rPr>
                    </w:pPr>
                    <w:r>
                      <w:rPr>
                        <w:rFonts w:ascii="Helvetica"/>
                        <w:color w:val="231F20"/>
                        <w:sz w:val="16"/>
                      </w:rPr>
                      <w:t>Mean circulatory filling pressure</w:t>
                    </w:r>
                  </w:p>
                </w:txbxContent>
              </v:textbox>
              <w10:wrap type="none"/>
            </v:shape>
            <v:shape style="position:absolute;left:8324;top:1246;width:1094;height:500" type="#_x0000_t202" filled="false" stroked="false">
              <v:textbox inset="0,0,0,0">
                <w:txbxContent>
                  <w:p>
                    <w:pPr>
                      <w:spacing w:line="235" w:lineRule="auto" w:before="15"/>
                      <w:ind w:left="232" w:right="326" w:firstLine="53"/>
                      <w:jc w:val="left"/>
                      <w:rPr>
                        <w:rFonts w:ascii="Helvetica"/>
                        <w:sz w:val="16"/>
                      </w:rPr>
                    </w:pPr>
                    <w:r>
                      <w:rPr>
                        <w:rFonts w:ascii="Helvetica"/>
                        <w:color w:val="231F20"/>
                        <w:sz w:val="16"/>
                      </w:rPr>
                      <w:t>Blood volume</w:t>
                    </w:r>
                  </w:p>
                </w:txbxContent>
              </v:textbox>
              <w10:wrap type="none"/>
            </v:shape>
            <v:shape style="position:absolute;left:8324;top:86;width:1094;height:500" type="#_x0000_t202" filled="false" stroked="false">
              <v:textbox inset="0,0,0,0">
                <w:txbxContent>
                  <w:p>
                    <w:pPr>
                      <w:spacing w:line="235" w:lineRule="auto" w:before="15"/>
                      <w:ind w:left="63" w:right="144" w:hanging="14"/>
                      <w:jc w:val="left"/>
                      <w:rPr>
                        <w:rFonts w:ascii="Helvetica"/>
                        <w:sz w:val="16"/>
                      </w:rPr>
                    </w:pPr>
                    <w:r>
                      <w:rPr>
                        <w:rFonts w:ascii="Helvetica"/>
                        <w:color w:val="231F20"/>
                        <w:sz w:val="16"/>
                      </w:rPr>
                      <w:t>Extracellular fluid volume</w:t>
                    </w:r>
                  </w:p>
                </w:txbxContent>
              </v:textbox>
              <w10:wrap type="none"/>
            </v:shape>
            <v:shape style="position:absolute;left:7528;top:-959;width:914;height:500" type="#_x0000_t202" filled="false" stroked="false">
              <v:textbox inset="0,0,0,0">
                <w:txbxContent>
                  <w:p>
                    <w:pPr>
                      <w:spacing w:line="235" w:lineRule="auto" w:before="15"/>
                      <w:ind w:left="197" w:right="270" w:firstLine="40"/>
                      <w:jc w:val="left"/>
                      <w:rPr>
                        <w:rFonts w:ascii="Helvetica"/>
                        <w:sz w:val="16"/>
                      </w:rPr>
                    </w:pPr>
                    <w:r>
                      <w:rPr>
                        <w:rFonts w:ascii="Helvetica"/>
                        <w:color w:val="231F20"/>
                        <w:sz w:val="16"/>
                      </w:rPr>
                      <w:t>Fluid intake</w:t>
                    </w:r>
                  </w:p>
                </w:txbxContent>
              </v:textbox>
              <w10:wrap type="none"/>
            </v:shape>
            <v:shape style="position:absolute;left:6270;top:-959;width:914;height:500" type="#_x0000_t202" filled="false" stroked="false">
              <v:textbox inset="0,0,0,0">
                <w:txbxContent>
                  <w:p>
                    <w:pPr>
                      <w:spacing w:line="235" w:lineRule="auto" w:before="15"/>
                      <w:ind w:left="99" w:right="159" w:hanging="14"/>
                      <w:jc w:val="left"/>
                      <w:rPr>
                        <w:rFonts w:ascii="Helvetica"/>
                        <w:sz w:val="16"/>
                      </w:rPr>
                    </w:pPr>
                    <w:r>
                      <w:rPr>
                        <w:rFonts w:ascii="Helvetica"/>
                        <w:color w:val="231F20"/>
                        <w:sz w:val="16"/>
                      </w:rPr>
                      <w:t>Nonrenal fluid loss</w:t>
                    </w:r>
                  </w:p>
                </w:txbxContent>
              </v:textbox>
              <w10:wrap type="none"/>
            </v:shape>
            <v:shape style="position:absolute;left:5524;top:2414;width:1334;height:500" type="#_x0000_t202" filled="false" stroked="false">
              <v:textbox inset="0,0,0,0">
                <w:txbxContent>
                  <w:p>
                    <w:pPr>
                      <w:spacing w:line="235" w:lineRule="auto" w:before="15"/>
                      <w:ind w:left="401" w:right="433" w:hanging="63"/>
                      <w:jc w:val="left"/>
                      <w:rPr>
                        <w:rFonts w:ascii="Helvetica"/>
                        <w:sz w:val="16"/>
                      </w:rPr>
                    </w:pPr>
                    <w:r>
                      <w:rPr>
                        <w:rFonts w:ascii="Helvetica"/>
                        <w:color w:val="231F20"/>
                        <w:sz w:val="16"/>
                      </w:rPr>
                      <w:t>Venous return</w:t>
                    </w:r>
                  </w:p>
                </w:txbxContent>
              </v:textbox>
              <w10:wrap type="none"/>
            </v:shape>
            <v:shape style="position:absolute;left:6680;top:86;width:1374;height:650" type="#_x0000_t202" filled="false" stroked="false">
              <v:textbox inset="0,0,0,0">
                <w:txbxContent>
                  <w:p>
                    <w:pPr>
                      <w:spacing w:line="235" w:lineRule="auto" w:before="0"/>
                      <w:ind w:left="199" w:right="92" w:hanging="201"/>
                      <w:jc w:val="left"/>
                      <w:rPr>
                        <w:rFonts w:ascii="Helvetica"/>
                        <w:sz w:val="16"/>
                      </w:rPr>
                    </w:pPr>
                    <w:r>
                      <w:rPr>
                        <w:rFonts w:ascii="Helvetica"/>
                        <w:color w:val="231F20"/>
                        <w:sz w:val="16"/>
                      </w:rPr>
                      <w:t>Rate of change of extracellular fluid volume</w:t>
                    </w:r>
                  </w:p>
                </w:txbxContent>
              </v:textbox>
              <w10:wrap type="none"/>
            </v:shape>
            <w10:wrap type="none"/>
          </v:group>
        </w:pict>
      </w:r>
      <w:r>
        <w:rPr/>
        <w:pict>
          <v:group style="position:absolute;margin-left:219.199997pt;margin-top:1.144128pt;width:98.35pt;height:79.25pt;mso-position-horizontal-relative:page;mso-position-vertical-relative:paragraph;z-index:252660736" coordorigin="4384,23" coordsize="1967,1585">
            <v:shape style="position:absolute;left:5439;top:268;width:221;height:916" coordorigin="5440,268" coordsize="221,916" path="m5660,268l5604,332,5574,396,5560,499,5550,681,5543,844,5539,939,5538,996,5525,1077,5510,1123,5485,1153,5440,1184e" filled="false" stroked="true" strokeweight="1.25pt" strokecolor="#f0535f">
              <v:path arrowok="t"/>
              <v:stroke dashstyle="solid"/>
            </v:shape>
            <v:line style="position:absolute" from="5019,963" to="6020,963" stroked="true" strokeweight="1.25pt" strokecolor="#f0535f">
              <v:stroke dashstyle="shortdash"/>
            </v:line>
            <v:shape style="position:absolute;left:5487;top:899;width:100;height:100" coordorigin="5488,899" coordsize="100,100" path="m5538,899l5518,903,5502,914,5492,930,5488,949,5492,968,5502,984,5518,995,5538,999,5557,995,5573,984,5584,968,5588,949,5584,930,5573,914,5557,903,5538,899xe" filled="true" fillcolor="#f0535f" stroked="false">
              <v:path arrowok="t"/>
              <v:fill type="solid"/>
            </v:shape>
            <v:shape style="position:absolute;left:5014;top:219;width:1080;height:969" coordorigin="5014,219" coordsize="1080,969" path="m5014,219l5014,1188,6093,1188e" filled="false" stroked="true" strokeweight="1pt" strokecolor="#231f20">
              <v:path arrowok="t"/>
              <v:stroke dashstyle="solid"/>
            </v:shape>
            <v:shape style="position:absolute;left:4394;top:32;width:1947;height:1565" type="#_x0000_t202" filled="false" stroked="true" strokeweight="1pt" strokecolor="#2384c6">
              <v:textbox inset="0,0,0,0">
                <w:txbxContent>
                  <w:p>
                    <w:pPr>
                      <w:spacing w:line="240" w:lineRule="auto" w:before="0"/>
                      <w:rPr>
                        <w:rFonts w:ascii="Arial"/>
                        <w:sz w:val="18"/>
                      </w:rPr>
                    </w:pPr>
                  </w:p>
                  <w:p>
                    <w:pPr>
                      <w:spacing w:line="240" w:lineRule="auto" w:before="0"/>
                      <w:rPr>
                        <w:rFonts w:ascii="Arial"/>
                        <w:sz w:val="18"/>
                      </w:rPr>
                    </w:pPr>
                  </w:p>
                  <w:p>
                    <w:pPr>
                      <w:spacing w:line="240" w:lineRule="auto" w:before="0"/>
                      <w:rPr>
                        <w:rFonts w:ascii="Arial"/>
                        <w:sz w:val="18"/>
                      </w:rPr>
                    </w:pPr>
                  </w:p>
                  <w:p>
                    <w:pPr>
                      <w:spacing w:line="240" w:lineRule="auto" w:before="0"/>
                      <w:rPr>
                        <w:rFonts w:ascii="Arial"/>
                        <w:sz w:val="18"/>
                      </w:rPr>
                    </w:pPr>
                  </w:p>
                  <w:p>
                    <w:pPr>
                      <w:spacing w:line="240" w:lineRule="auto" w:before="0"/>
                      <w:rPr>
                        <w:rFonts w:ascii="Arial"/>
                        <w:sz w:val="18"/>
                      </w:rPr>
                    </w:pPr>
                  </w:p>
                  <w:p>
                    <w:pPr>
                      <w:spacing w:before="154"/>
                      <w:ind w:left="557" w:right="0" w:firstLine="0"/>
                      <w:jc w:val="left"/>
                      <w:rPr>
                        <w:rFonts w:ascii="Helvetica"/>
                        <w:sz w:val="16"/>
                      </w:rPr>
                    </w:pPr>
                    <w:r>
                      <w:rPr>
                        <w:rFonts w:ascii="Helvetica"/>
                        <w:color w:val="231F20"/>
                        <w:sz w:val="16"/>
                      </w:rPr>
                      <w:t>Arterial pressure</w:t>
                    </w:r>
                  </w:p>
                </w:txbxContent>
              </v:textbox>
              <v:stroke dashstyle="solid"/>
              <w10:wrap type="none"/>
            </v:shape>
            <w10:wrap type="none"/>
          </v:group>
        </w:pict>
      </w:r>
      <w:r>
        <w:rPr/>
        <w:pict>
          <v:shape style="position:absolute;margin-left:228.128204pt;margin-top:16.685125pt;width:20.25pt;height:39.8pt;mso-position-horizontal-relative:page;mso-position-vertical-relative:paragraph;z-index:252663808" type="#_x0000_t202" filled="false" stroked="false">
            <v:textbox inset="0,0,0,0" style="layout-flow:vertical;mso-layout-flow-alt:bottom-to-top">
              <w:txbxContent>
                <w:p>
                  <w:pPr>
                    <w:spacing w:line="235" w:lineRule="auto" w:before="22"/>
                    <w:ind w:left="73" w:right="0" w:hanging="54"/>
                    <w:jc w:val="left"/>
                    <w:rPr>
                      <w:rFonts w:ascii="Helvetica"/>
                      <w:sz w:val="16"/>
                    </w:rPr>
                  </w:pPr>
                  <w:r>
                    <w:rPr>
                      <w:rFonts w:ascii="Helvetica"/>
                      <w:color w:val="231F20"/>
                      <w:sz w:val="16"/>
                    </w:rPr>
                    <w:t>Renal fluid excretion</w:t>
                  </w:r>
                </w:p>
              </w:txbxContent>
            </v:textbox>
            <w10:wrap type="none"/>
          </v:shape>
        </w:pict>
      </w:r>
      <w:r>
        <w:rPr>
          <w:rFonts w:ascii="Helvetica"/>
          <w:color w:val="231F20"/>
          <w:sz w:val="16"/>
        </w:rPr>
        <w:t>Arterial pressure</w:t>
      </w:r>
    </w:p>
    <w:p>
      <w:pPr>
        <w:pStyle w:val="BodyText"/>
        <w:rPr>
          <w:rFonts w:ascii="Helvetica"/>
        </w:rPr>
      </w:pPr>
    </w:p>
    <w:p>
      <w:pPr>
        <w:pStyle w:val="BodyText"/>
        <w:rPr>
          <w:rFonts w:ascii="Helvetica"/>
        </w:rPr>
      </w:pPr>
    </w:p>
    <w:p>
      <w:pPr>
        <w:pStyle w:val="BodyText"/>
        <w:spacing w:before="8"/>
        <w:rPr>
          <w:rFonts w:ascii="Helvetica"/>
          <w:sz w:val="25"/>
        </w:rPr>
      </w:pPr>
      <w:r>
        <w:rPr/>
        <w:pict>
          <v:shape style="position:absolute;margin-left:120.101997pt;margin-top:16.003633pt;width:65pt;height:25pt;mso-position-horizontal-relative:page;mso-position-vertical-relative:paragraph;z-index:-250672128;mso-wrap-distance-left:0;mso-wrap-distance-right:0" type="#_x0000_t202" filled="false" stroked="false">
            <v:textbox inset="0,0,0,0">
              <w:txbxContent>
                <w:p>
                  <w:pPr>
                    <w:spacing w:line="235" w:lineRule="auto" w:before="15"/>
                    <w:ind w:left="221" w:right="139" w:hanging="192"/>
                    <w:jc w:val="left"/>
                    <w:rPr>
                      <w:rFonts w:ascii="Helvetica"/>
                      <w:sz w:val="16"/>
                    </w:rPr>
                  </w:pPr>
                  <w:r>
                    <w:rPr>
                      <w:rFonts w:ascii="Helvetica"/>
                      <w:color w:val="231F20"/>
                      <w:sz w:val="16"/>
                    </w:rPr>
                    <w:t>Total peripheral resistance</w:t>
                  </w:r>
                </w:p>
              </w:txbxContent>
            </v:textbox>
            <w10:wrap type="topAndBottom"/>
          </v:shape>
        </w:pict>
      </w:r>
    </w:p>
    <w:p>
      <w:pPr>
        <w:pStyle w:val="BodyText"/>
        <w:rPr>
          <w:rFonts w:ascii="Helvetica"/>
        </w:rPr>
      </w:pPr>
    </w:p>
    <w:p>
      <w:pPr>
        <w:pStyle w:val="BodyText"/>
        <w:spacing w:before="7"/>
        <w:rPr>
          <w:rFonts w:ascii="Helvetica"/>
          <w:sz w:val="29"/>
        </w:rPr>
      </w:pPr>
    </w:p>
    <w:p>
      <w:pPr>
        <w:tabs>
          <w:tab w:pos="1233" w:val="left" w:leader="none"/>
        </w:tabs>
        <w:spacing w:before="99"/>
        <w:ind w:left="0" w:right="2554" w:firstLine="0"/>
        <w:jc w:val="center"/>
        <w:rPr>
          <w:rFonts w:ascii="Helvetica"/>
          <w:sz w:val="16"/>
        </w:rPr>
      </w:pPr>
      <w:r>
        <w:rPr/>
        <w:pict>
          <v:shape style="position:absolute;margin-left:163.209pt;margin-top:4.331809pt;width:45.7pt;height:25pt;mso-position-horizontal-relative:page;mso-position-vertical-relative:paragraph;z-index:252661760" type="#_x0000_t202" filled="false" stroked="false">
            <v:textbox inset="0,0,0,0">
              <w:txbxContent>
                <w:p>
                  <w:pPr>
                    <w:spacing w:line="235" w:lineRule="auto" w:before="15"/>
                    <w:ind w:left="187" w:right="209" w:hanging="54"/>
                    <w:jc w:val="left"/>
                    <w:rPr>
                      <w:rFonts w:ascii="Helvetica"/>
                      <w:sz w:val="16"/>
                    </w:rPr>
                  </w:pPr>
                  <w:r>
                    <w:rPr>
                      <w:rFonts w:ascii="Helvetica"/>
                      <w:color w:val="231F20"/>
                      <w:sz w:val="16"/>
                    </w:rPr>
                    <w:t>Cardiac output</w:t>
                  </w:r>
                </w:p>
              </w:txbxContent>
            </v:textbox>
            <w10:wrap type="none"/>
          </v:shape>
        </w:pict>
      </w:r>
      <w:r>
        <w:rPr>
          <w:rFonts w:ascii="Helvetica"/>
          <w:color w:val="231F20"/>
          <w:w w:val="100"/>
          <w:sz w:val="16"/>
          <w:u w:val="thick" w:color="ED1C24"/>
        </w:rPr>
        <w:t> </w:t>
      </w:r>
      <w:r>
        <w:rPr>
          <w:rFonts w:ascii="Helvetica"/>
          <w:color w:val="231F20"/>
          <w:sz w:val="16"/>
          <w:u w:val="thick" w:color="ED1C24"/>
        </w:rPr>
        <w:tab/>
      </w:r>
    </w:p>
    <w:p>
      <w:pPr>
        <w:pStyle w:val="BodyText"/>
        <w:rPr>
          <w:rFonts w:ascii="Helvetica"/>
        </w:rPr>
      </w:pPr>
    </w:p>
    <w:p>
      <w:pPr>
        <w:pStyle w:val="BodyText"/>
        <w:spacing w:before="7"/>
        <w:rPr>
          <w:rFonts w:ascii="Helvetica"/>
          <w:sz w:val="25"/>
        </w:rPr>
      </w:pPr>
    </w:p>
    <w:p>
      <w:pPr>
        <w:spacing w:after="0"/>
        <w:rPr>
          <w:rFonts w:ascii="Helvetica"/>
          <w:sz w:val="25"/>
        </w:rPr>
        <w:sectPr>
          <w:type w:val="continuous"/>
          <w:pgSz w:w="12240" w:h="15660"/>
          <w:pgMar w:top="0" w:bottom="760" w:left="0" w:right="0"/>
        </w:sectPr>
      </w:pPr>
    </w:p>
    <w:p>
      <w:pPr>
        <w:spacing w:before="110"/>
        <w:ind w:left="0" w:right="38" w:firstLine="0"/>
        <w:jc w:val="right"/>
        <w:rPr>
          <w:rFonts w:ascii="Helvetica"/>
          <w:sz w:val="16"/>
        </w:rPr>
      </w:pPr>
      <w:r>
        <w:rPr>
          <w:rFonts w:ascii="Helvetica"/>
          <w:color w:val="231F20"/>
          <w:sz w:val="16"/>
        </w:rPr>
        <w:t>Heart strength</w:t>
      </w:r>
    </w:p>
    <w:p>
      <w:pPr>
        <w:spacing w:line="235" w:lineRule="auto" w:before="102"/>
        <w:ind w:left="3167" w:right="3112" w:firstLine="0"/>
        <w:jc w:val="center"/>
        <w:rPr>
          <w:rFonts w:ascii="Helvetica"/>
          <w:sz w:val="16"/>
        </w:rPr>
      </w:pPr>
      <w:r>
        <w:rPr/>
        <w:br w:type="column"/>
      </w:r>
      <w:r>
        <w:rPr>
          <w:rFonts w:ascii="Helvetica"/>
          <w:color w:val="231F20"/>
          <w:sz w:val="16"/>
        </w:rPr>
        <w:t>Vascular</w:t>
      </w:r>
      <w:r>
        <w:rPr>
          <w:rFonts w:ascii="Helvetica"/>
          <w:color w:val="231F20"/>
          <w:w w:val="99"/>
          <w:sz w:val="16"/>
        </w:rPr>
        <w:t> </w:t>
      </w:r>
      <w:r>
        <w:rPr>
          <w:rFonts w:ascii="Helvetica"/>
          <w:color w:val="231F20"/>
          <w:sz w:val="16"/>
        </w:rPr>
        <w:t>capacity</w:t>
      </w:r>
    </w:p>
    <w:p>
      <w:pPr>
        <w:spacing w:after="0" w:line="235" w:lineRule="auto"/>
        <w:jc w:val="center"/>
        <w:rPr>
          <w:rFonts w:ascii="Helvetica"/>
          <w:sz w:val="16"/>
        </w:rPr>
        <w:sectPr>
          <w:type w:val="continuous"/>
          <w:pgSz w:w="12240" w:h="15660"/>
          <w:pgMar w:top="0" w:bottom="760" w:left="0" w:right="0"/>
          <w:cols w:num="2" w:equalWidth="0">
            <w:col w:w="4222" w:space="1114"/>
            <w:col w:w="6904"/>
          </w:cols>
        </w:sectPr>
      </w:pPr>
    </w:p>
    <w:p>
      <w:pPr>
        <w:spacing w:line="259" w:lineRule="auto" w:before="92"/>
        <w:ind w:left="1080" w:right="1426" w:firstLine="0"/>
        <w:jc w:val="left"/>
        <w:rPr>
          <w:rFonts w:ascii="Arial" w:hAnsi="Arial"/>
          <w:sz w:val="16"/>
        </w:rPr>
      </w:pPr>
      <w:bookmarkStart w:name="_bookmark97" w:id="98"/>
      <w:bookmarkEnd w:id="98"/>
      <w:r>
        <w:rPr/>
      </w:r>
      <w:r>
        <w:rPr>
          <w:rFonts w:ascii="Trebuchet MS" w:hAnsi="Trebuchet MS"/>
          <w:b/>
          <w:color w:val="231F20"/>
          <w:sz w:val="16"/>
        </w:rPr>
        <w:t>Figure</w:t>
      </w:r>
      <w:r>
        <w:rPr>
          <w:rFonts w:ascii="Trebuchet MS" w:hAnsi="Trebuchet MS"/>
          <w:b/>
          <w:color w:val="231F20"/>
          <w:spacing w:val="-13"/>
          <w:sz w:val="16"/>
        </w:rPr>
        <w:t> </w:t>
      </w:r>
      <w:r>
        <w:rPr>
          <w:rFonts w:ascii="Trebuchet MS" w:hAnsi="Trebuchet MS"/>
          <w:b/>
          <w:color w:val="231F20"/>
          <w:sz w:val="16"/>
        </w:rPr>
        <w:t>30-14.</w:t>
      </w:r>
      <w:r>
        <w:rPr>
          <w:rFonts w:ascii="Trebuchet MS" w:hAnsi="Trebuchet MS"/>
          <w:b/>
          <w:color w:val="231F20"/>
          <w:spacing w:val="3"/>
          <w:sz w:val="16"/>
        </w:rPr>
        <w:t> </w:t>
      </w:r>
      <w:r>
        <w:rPr>
          <w:rFonts w:ascii="Arial" w:hAnsi="Arial"/>
          <w:color w:val="231F20"/>
          <w:sz w:val="16"/>
        </w:rPr>
        <w:t>The</w:t>
      </w:r>
      <w:r>
        <w:rPr>
          <w:rFonts w:ascii="Arial" w:hAnsi="Arial"/>
          <w:color w:val="231F20"/>
          <w:spacing w:val="-9"/>
          <w:sz w:val="16"/>
        </w:rPr>
        <w:t> </w:t>
      </w:r>
      <w:r>
        <w:rPr>
          <w:rFonts w:ascii="Arial" w:hAnsi="Arial"/>
          <w:color w:val="231F20"/>
          <w:sz w:val="16"/>
        </w:rPr>
        <w:t>basic</w:t>
      </w:r>
      <w:r>
        <w:rPr>
          <w:rFonts w:ascii="Arial" w:hAnsi="Arial"/>
          <w:color w:val="231F20"/>
          <w:spacing w:val="-9"/>
          <w:sz w:val="16"/>
        </w:rPr>
        <w:t> </w:t>
      </w:r>
      <w:r>
        <w:rPr>
          <w:rFonts w:ascii="Arial" w:hAnsi="Arial"/>
          <w:color w:val="231F20"/>
          <w:sz w:val="16"/>
        </w:rPr>
        <w:t>renal–body</w:t>
      </w:r>
      <w:r>
        <w:rPr>
          <w:rFonts w:ascii="Arial" w:hAnsi="Arial"/>
          <w:color w:val="231F20"/>
          <w:spacing w:val="-9"/>
          <w:sz w:val="16"/>
        </w:rPr>
        <w:t> </w:t>
      </w:r>
      <w:r>
        <w:rPr>
          <w:rFonts w:ascii="Arial" w:hAnsi="Arial"/>
          <w:color w:val="231F20"/>
          <w:sz w:val="16"/>
        </w:rPr>
        <w:t>fluid</w:t>
      </w:r>
      <w:r>
        <w:rPr>
          <w:rFonts w:ascii="Arial" w:hAnsi="Arial"/>
          <w:color w:val="231F20"/>
          <w:spacing w:val="-9"/>
          <w:sz w:val="16"/>
        </w:rPr>
        <w:t> </w:t>
      </w:r>
      <w:r>
        <w:rPr>
          <w:rFonts w:ascii="Arial" w:hAnsi="Arial"/>
          <w:color w:val="231F20"/>
          <w:sz w:val="16"/>
        </w:rPr>
        <w:t>feedback</w:t>
      </w:r>
      <w:r>
        <w:rPr>
          <w:rFonts w:ascii="Arial" w:hAnsi="Arial"/>
          <w:color w:val="231F20"/>
          <w:spacing w:val="-10"/>
          <w:sz w:val="16"/>
        </w:rPr>
        <w:t> </w:t>
      </w:r>
      <w:r>
        <w:rPr>
          <w:rFonts w:ascii="Arial" w:hAnsi="Arial"/>
          <w:color w:val="231F20"/>
          <w:sz w:val="16"/>
        </w:rPr>
        <w:t>mechanism</w:t>
      </w:r>
      <w:r>
        <w:rPr>
          <w:rFonts w:ascii="Arial" w:hAnsi="Arial"/>
          <w:color w:val="231F20"/>
          <w:spacing w:val="-9"/>
          <w:sz w:val="16"/>
        </w:rPr>
        <w:t> </w:t>
      </w:r>
      <w:r>
        <w:rPr>
          <w:rFonts w:ascii="Arial" w:hAnsi="Arial"/>
          <w:color w:val="231F20"/>
          <w:sz w:val="16"/>
        </w:rPr>
        <w:t>for</w:t>
      </w:r>
      <w:r>
        <w:rPr>
          <w:rFonts w:ascii="Arial" w:hAnsi="Arial"/>
          <w:color w:val="231F20"/>
          <w:spacing w:val="-9"/>
          <w:sz w:val="16"/>
        </w:rPr>
        <w:t> </w:t>
      </w:r>
      <w:r>
        <w:rPr>
          <w:rFonts w:ascii="Arial" w:hAnsi="Arial"/>
          <w:color w:val="231F20"/>
          <w:sz w:val="16"/>
        </w:rPr>
        <w:t>control</w:t>
      </w:r>
      <w:r>
        <w:rPr>
          <w:rFonts w:ascii="Arial" w:hAnsi="Arial"/>
          <w:color w:val="231F20"/>
          <w:spacing w:val="-9"/>
          <w:sz w:val="16"/>
        </w:rPr>
        <w:t> </w:t>
      </w:r>
      <w:r>
        <w:rPr>
          <w:rFonts w:ascii="Arial" w:hAnsi="Arial"/>
          <w:color w:val="231F20"/>
          <w:sz w:val="16"/>
        </w:rPr>
        <w:t>of</w:t>
      </w:r>
      <w:r>
        <w:rPr>
          <w:rFonts w:ascii="Arial" w:hAnsi="Arial"/>
          <w:color w:val="231F20"/>
          <w:spacing w:val="-9"/>
          <w:sz w:val="16"/>
        </w:rPr>
        <w:t> </w:t>
      </w:r>
      <w:r>
        <w:rPr>
          <w:rFonts w:ascii="Arial" w:hAnsi="Arial"/>
          <w:color w:val="231F20"/>
          <w:sz w:val="16"/>
        </w:rPr>
        <w:t>blood</w:t>
      </w:r>
      <w:r>
        <w:rPr>
          <w:rFonts w:ascii="Arial" w:hAnsi="Arial"/>
          <w:color w:val="231F20"/>
          <w:spacing w:val="-9"/>
          <w:sz w:val="16"/>
        </w:rPr>
        <w:t> </w:t>
      </w:r>
      <w:r>
        <w:rPr>
          <w:rFonts w:ascii="Arial" w:hAnsi="Arial"/>
          <w:color w:val="231F20"/>
          <w:sz w:val="16"/>
        </w:rPr>
        <w:t>volume,</w:t>
      </w:r>
      <w:r>
        <w:rPr>
          <w:rFonts w:ascii="Arial" w:hAnsi="Arial"/>
          <w:color w:val="231F20"/>
          <w:spacing w:val="-9"/>
          <w:sz w:val="16"/>
        </w:rPr>
        <w:t> </w:t>
      </w:r>
      <w:r>
        <w:rPr>
          <w:rFonts w:ascii="Arial" w:hAnsi="Arial"/>
          <w:color w:val="231F20"/>
          <w:sz w:val="16"/>
        </w:rPr>
        <w:t>extracellular</w:t>
      </w:r>
      <w:r>
        <w:rPr>
          <w:rFonts w:ascii="Arial" w:hAnsi="Arial"/>
          <w:color w:val="231F20"/>
          <w:spacing w:val="-9"/>
          <w:sz w:val="16"/>
        </w:rPr>
        <w:t> </w:t>
      </w:r>
      <w:r>
        <w:rPr>
          <w:rFonts w:ascii="Arial" w:hAnsi="Arial"/>
          <w:color w:val="231F20"/>
          <w:sz w:val="16"/>
        </w:rPr>
        <w:t>fluid</w:t>
      </w:r>
      <w:r>
        <w:rPr>
          <w:rFonts w:ascii="Arial" w:hAnsi="Arial"/>
          <w:color w:val="231F20"/>
          <w:spacing w:val="-9"/>
          <w:sz w:val="16"/>
        </w:rPr>
        <w:t> </w:t>
      </w:r>
      <w:r>
        <w:rPr>
          <w:rFonts w:ascii="Arial" w:hAnsi="Arial"/>
          <w:color w:val="231F20"/>
          <w:sz w:val="16"/>
        </w:rPr>
        <w:t>volume,</w:t>
      </w:r>
      <w:r>
        <w:rPr>
          <w:rFonts w:ascii="Arial" w:hAnsi="Arial"/>
          <w:color w:val="231F20"/>
          <w:spacing w:val="-9"/>
          <w:sz w:val="16"/>
        </w:rPr>
        <w:t> </w:t>
      </w:r>
      <w:r>
        <w:rPr>
          <w:rFonts w:ascii="Arial" w:hAnsi="Arial"/>
          <w:color w:val="231F20"/>
          <w:sz w:val="16"/>
        </w:rPr>
        <w:t>and</w:t>
      </w:r>
      <w:r>
        <w:rPr>
          <w:rFonts w:ascii="Arial" w:hAnsi="Arial"/>
          <w:color w:val="231F20"/>
          <w:spacing w:val="-9"/>
          <w:sz w:val="16"/>
        </w:rPr>
        <w:t> </w:t>
      </w:r>
      <w:r>
        <w:rPr>
          <w:rFonts w:ascii="Arial" w:hAnsi="Arial"/>
          <w:color w:val="231F20"/>
          <w:sz w:val="16"/>
        </w:rPr>
        <w:t>arterial</w:t>
      </w:r>
      <w:r>
        <w:rPr>
          <w:rFonts w:ascii="Arial" w:hAnsi="Arial"/>
          <w:color w:val="231F20"/>
          <w:spacing w:val="-10"/>
          <w:sz w:val="16"/>
        </w:rPr>
        <w:t> </w:t>
      </w:r>
      <w:r>
        <w:rPr>
          <w:rFonts w:ascii="Arial" w:hAnsi="Arial"/>
          <w:color w:val="231F20"/>
          <w:sz w:val="16"/>
        </w:rPr>
        <w:t>pressure. Solid lines indicate positive effects, and dashed lines indicate negative</w:t>
      </w:r>
      <w:r>
        <w:rPr>
          <w:rFonts w:ascii="Arial" w:hAnsi="Arial"/>
          <w:color w:val="231F20"/>
          <w:spacing w:val="7"/>
          <w:sz w:val="16"/>
        </w:rPr>
        <w:t> </w:t>
      </w:r>
      <w:r>
        <w:rPr>
          <w:rFonts w:ascii="Arial" w:hAnsi="Arial"/>
          <w:color w:val="231F20"/>
          <w:sz w:val="16"/>
        </w:rPr>
        <w:t>effects.</w:t>
      </w:r>
    </w:p>
    <w:p>
      <w:pPr>
        <w:spacing w:after="0" w:line="259" w:lineRule="auto"/>
        <w:jc w:val="left"/>
        <w:rPr>
          <w:rFonts w:ascii="Arial" w:hAnsi="Arial"/>
          <w:sz w:val="16"/>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21"/>
        </w:rPr>
      </w:pPr>
    </w:p>
    <w:p>
      <w:pPr>
        <w:spacing w:after="0"/>
        <w:rPr>
          <w:rFonts w:ascii="Arial"/>
          <w:sz w:val="21"/>
        </w:rPr>
        <w:sectPr>
          <w:headerReference w:type="default" r:id="rId917"/>
          <w:pgSz w:w="12240" w:h="15660"/>
          <w:pgMar w:header="0" w:footer="567" w:top="0" w:bottom="760" w:left="0" w:right="0"/>
        </w:sectPr>
      </w:pPr>
    </w:p>
    <w:p>
      <w:pPr>
        <w:pStyle w:val="BodyText"/>
        <w:spacing w:line="249" w:lineRule="auto" w:before="100"/>
        <w:ind w:left="1922" w:right="1"/>
        <w:jc w:val="both"/>
      </w:pPr>
      <w:r>
        <w:rPr/>
        <w:pict>
          <v:group style="position:absolute;margin-left:0pt;margin-top:0pt;width:612pt;height:180pt;mso-position-horizontal-relative:page;mso-position-vertical-relative:page;z-index:-27273728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r>
        <w:rPr>
          <w:color w:val="231F20"/>
          <w:w w:val="105"/>
        </w:rPr>
        <w:t>urine output causes a temporary accumulation of fluid in the body.</w:t>
      </w:r>
    </w:p>
    <w:p>
      <w:pPr>
        <w:pStyle w:val="ListParagraph"/>
        <w:numPr>
          <w:ilvl w:val="1"/>
          <w:numId w:val="26"/>
        </w:numPr>
        <w:tabs>
          <w:tab w:pos="1923" w:val="left" w:leader="none"/>
        </w:tabs>
        <w:spacing w:line="249" w:lineRule="auto" w:before="1" w:after="0"/>
        <w:ind w:left="1922" w:right="0" w:hanging="243"/>
        <w:jc w:val="both"/>
        <w:rPr>
          <w:sz w:val="20"/>
        </w:rPr>
      </w:pPr>
      <w:r>
        <w:rPr>
          <w:color w:val="231F20"/>
          <w:sz w:val="20"/>
        </w:rPr>
        <w:t>As long as fluid intake exceeds urine output, fluid accumulates in the blood and interstitial spaces, causing parallel increases in blood volume </w:t>
      </w:r>
      <w:r>
        <w:rPr>
          <w:color w:val="231F20"/>
          <w:spacing w:val="-6"/>
          <w:sz w:val="20"/>
        </w:rPr>
        <w:t>and </w:t>
      </w:r>
      <w:r>
        <w:rPr>
          <w:color w:val="231F20"/>
          <w:sz w:val="20"/>
        </w:rPr>
        <w:t>extracellular fluid volume. As discussed </w:t>
      </w:r>
      <w:r>
        <w:rPr>
          <w:color w:val="231F20"/>
          <w:spacing w:val="-4"/>
          <w:sz w:val="20"/>
        </w:rPr>
        <w:t>later, </w:t>
      </w:r>
      <w:r>
        <w:rPr>
          <w:color w:val="231F20"/>
          <w:spacing w:val="-5"/>
          <w:sz w:val="20"/>
        </w:rPr>
        <w:t>the </w:t>
      </w:r>
      <w:r>
        <w:rPr>
          <w:color w:val="231F20"/>
          <w:sz w:val="20"/>
        </w:rPr>
        <w:t>actual increases in these variables are usually </w:t>
      </w:r>
      <w:r>
        <w:rPr>
          <w:color w:val="231F20"/>
          <w:spacing w:val="-3"/>
          <w:sz w:val="20"/>
        </w:rPr>
        <w:t>small </w:t>
      </w:r>
      <w:r>
        <w:rPr>
          <w:color w:val="231F20"/>
          <w:sz w:val="20"/>
        </w:rPr>
        <w:t>because of the effectiveness of this</w:t>
      </w:r>
      <w:r>
        <w:rPr>
          <w:color w:val="231F20"/>
          <w:spacing w:val="45"/>
          <w:sz w:val="20"/>
        </w:rPr>
        <w:t> </w:t>
      </w:r>
      <w:r>
        <w:rPr>
          <w:color w:val="231F20"/>
          <w:sz w:val="20"/>
        </w:rPr>
        <w:t>feedback.</w:t>
      </w:r>
    </w:p>
    <w:p>
      <w:pPr>
        <w:pStyle w:val="ListParagraph"/>
        <w:numPr>
          <w:ilvl w:val="1"/>
          <w:numId w:val="26"/>
        </w:numPr>
        <w:tabs>
          <w:tab w:pos="1923" w:val="left" w:leader="none"/>
        </w:tabs>
        <w:spacing w:line="249" w:lineRule="auto" w:before="5" w:after="0"/>
        <w:ind w:left="1922" w:right="0" w:hanging="243"/>
        <w:jc w:val="both"/>
        <w:rPr>
          <w:sz w:val="20"/>
        </w:rPr>
      </w:pPr>
      <w:r>
        <w:rPr>
          <w:color w:val="231F20"/>
          <w:sz w:val="20"/>
        </w:rPr>
        <w:t>An increase in blood volume raises mean circula- tory filling</w:t>
      </w:r>
      <w:r>
        <w:rPr>
          <w:color w:val="231F20"/>
          <w:spacing w:val="12"/>
          <w:sz w:val="20"/>
        </w:rPr>
        <w:t> </w:t>
      </w:r>
      <w:r>
        <w:rPr>
          <w:color w:val="231F20"/>
          <w:sz w:val="20"/>
        </w:rPr>
        <w:t>pressure.</w:t>
      </w:r>
    </w:p>
    <w:p>
      <w:pPr>
        <w:pStyle w:val="ListParagraph"/>
        <w:numPr>
          <w:ilvl w:val="1"/>
          <w:numId w:val="26"/>
        </w:numPr>
        <w:tabs>
          <w:tab w:pos="1923" w:val="left" w:leader="none"/>
        </w:tabs>
        <w:spacing w:line="249" w:lineRule="auto" w:before="2" w:after="0"/>
        <w:ind w:left="1922" w:right="1" w:hanging="243"/>
        <w:jc w:val="both"/>
        <w:rPr>
          <w:sz w:val="20"/>
        </w:rPr>
      </w:pPr>
      <w:r>
        <w:rPr>
          <w:color w:val="231F20"/>
          <w:w w:val="105"/>
          <w:sz w:val="20"/>
        </w:rPr>
        <w:t>An increase in mean circulatory filling </w:t>
      </w:r>
      <w:r>
        <w:rPr>
          <w:color w:val="231F20"/>
          <w:spacing w:val="-3"/>
          <w:w w:val="105"/>
          <w:sz w:val="20"/>
        </w:rPr>
        <w:t>pressure </w:t>
      </w:r>
      <w:r>
        <w:rPr>
          <w:color w:val="231F20"/>
          <w:w w:val="105"/>
          <w:sz w:val="20"/>
        </w:rPr>
        <w:t>raises the pressure gradient for venous</w:t>
      </w:r>
      <w:r>
        <w:rPr>
          <w:color w:val="231F20"/>
          <w:spacing w:val="-2"/>
          <w:w w:val="105"/>
          <w:sz w:val="20"/>
        </w:rPr>
        <w:t> </w:t>
      </w:r>
      <w:r>
        <w:rPr>
          <w:color w:val="231F20"/>
          <w:w w:val="105"/>
          <w:sz w:val="20"/>
        </w:rPr>
        <w:t>return.</w:t>
      </w:r>
    </w:p>
    <w:p>
      <w:pPr>
        <w:pStyle w:val="ListParagraph"/>
        <w:numPr>
          <w:ilvl w:val="1"/>
          <w:numId w:val="26"/>
        </w:numPr>
        <w:tabs>
          <w:tab w:pos="1923" w:val="left" w:leader="none"/>
        </w:tabs>
        <w:spacing w:line="249" w:lineRule="auto" w:before="1" w:after="0"/>
        <w:ind w:left="1922" w:right="0" w:hanging="243"/>
        <w:jc w:val="both"/>
        <w:rPr>
          <w:sz w:val="20"/>
        </w:rPr>
      </w:pPr>
      <w:r>
        <w:rPr>
          <w:color w:val="231F20"/>
          <w:w w:val="105"/>
          <w:sz w:val="20"/>
        </w:rPr>
        <w:t>An increased pressure gradient for venous </w:t>
      </w:r>
      <w:r>
        <w:rPr>
          <w:color w:val="231F20"/>
          <w:spacing w:val="-3"/>
          <w:w w:val="105"/>
          <w:sz w:val="20"/>
        </w:rPr>
        <w:t>return </w:t>
      </w:r>
      <w:r>
        <w:rPr>
          <w:color w:val="231F20"/>
          <w:w w:val="105"/>
          <w:sz w:val="20"/>
        </w:rPr>
        <w:t>elevates cardiac</w:t>
      </w:r>
      <w:r>
        <w:rPr>
          <w:color w:val="231F20"/>
          <w:spacing w:val="5"/>
          <w:w w:val="105"/>
          <w:sz w:val="20"/>
        </w:rPr>
        <w:t> </w:t>
      </w:r>
      <w:r>
        <w:rPr>
          <w:color w:val="231F20"/>
          <w:w w:val="105"/>
          <w:sz w:val="20"/>
        </w:rPr>
        <w:t>output.</w:t>
      </w:r>
    </w:p>
    <w:p>
      <w:pPr>
        <w:pStyle w:val="ListParagraph"/>
        <w:numPr>
          <w:ilvl w:val="1"/>
          <w:numId w:val="26"/>
        </w:numPr>
        <w:tabs>
          <w:tab w:pos="1923" w:val="left" w:leader="none"/>
        </w:tabs>
        <w:spacing w:line="249" w:lineRule="auto" w:before="2" w:after="0"/>
        <w:ind w:left="1922" w:right="0" w:hanging="243"/>
        <w:jc w:val="both"/>
        <w:rPr>
          <w:sz w:val="20"/>
        </w:rPr>
      </w:pPr>
      <w:r>
        <w:rPr>
          <w:color w:val="231F20"/>
          <w:w w:val="105"/>
          <w:sz w:val="20"/>
        </w:rPr>
        <w:t>An increased cardiac output raises arterial pressure.</w:t>
      </w:r>
    </w:p>
    <w:p>
      <w:pPr>
        <w:pStyle w:val="ListParagraph"/>
        <w:numPr>
          <w:ilvl w:val="1"/>
          <w:numId w:val="26"/>
        </w:numPr>
        <w:tabs>
          <w:tab w:pos="1923" w:val="left" w:leader="none"/>
        </w:tabs>
        <w:spacing w:line="249" w:lineRule="auto" w:before="2" w:after="0"/>
        <w:ind w:left="1922" w:right="0" w:hanging="243"/>
        <w:jc w:val="both"/>
        <w:rPr>
          <w:sz w:val="20"/>
        </w:rPr>
      </w:pPr>
      <w:r>
        <w:rPr>
          <w:color w:val="231F20"/>
          <w:w w:val="105"/>
          <w:sz w:val="20"/>
        </w:rPr>
        <w:t>An increased arterial pressure increases urine output by way of pressure diuresis. The steepness of the normal pressure natriuresis relation </w:t>
      </w:r>
      <w:r>
        <w:rPr>
          <w:color w:val="231F20"/>
          <w:spacing w:val="-3"/>
          <w:w w:val="105"/>
          <w:sz w:val="20"/>
        </w:rPr>
        <w:t>indi- </w:t>
      </w:r>
      <w:r>
        <w:rPr>
          <w:color w:val="231F20"/>
          <w:w w:val="105"/>
          <w:sz w:val="20"/>
        </w:rPr>
        <w:t>cates</w:t>
      </w:r>
      <w:r>
        <w:rPr>
          <w:color w:val="231F20"/>
          <w:spacing w:val="-13"/>
          <w:w w:val="105"/>
          <w:sz w:val="20"/>
        </w:rPr>
        <w:t> </w:t>
      </w:r>
      <w:r>
        <w:rPr>
          <w:color w:val="231F20"/>
          <w:w w:val="105"/>
          <w:sz w:val="20"/>
        </w:rPr>
        <w:t>that</w:t>
      </w:r>
      <w:r>
        <w:rPr>
          <w:color w:val="231F20"/>
          <w:spacing w:val="-13"/>
          <w:w w:val="105"/>
          <w:sz w:val="20"/>
        </w:rPr>
        <w:t> </w:t>
      </w:r>
      <w:r>
        <w:rPr>
          <w:color w:val="231F20"/>
          <w:w w:val="105"/>
          <w:sz w:val="20"/>
        </w:rPr>
        <w:t>only</w:t>
      </w:r>
      <w:r>
        <w:rPr>
          <w:color w:val="231F20"/>
          <w:spacing w:val="-12"/>
          <w:w w:val="105"/>
          <w:sz w:val="20"/>
        </w:rPr>
        <w:t> </w:t>
      </w:r>
      <w:r>
        <w:rPr>
          <w:color w:val="231F20"/>
          <w:w w:val="105"/>
          <w:sz w:val="20"/>
        </w:rPr>
        <w:t>a</w:t>
      </w:r>
      <w:r>
        <w:rPr>
          <w:color w:val="231F20"/>
          <w:spacing w:val="-13"/>
          <w:w w:val="105"/>
          <w:sz w:val="20"/>
        </w:rPr>
        <w:t> </w:t>
      </w:r>
      <w:r>
        <w:rPr>
          <w:color w:val="231F20"/>
          <w:w w:val="105"/>
          <w:sz w:val="20"/>
        </w:rPr>
        <w:t>slight</w:t>
      </w:r>
      <w:r>
        <w:rPr>
          <w:color w:val="231F20"/>
          <w:spacing w:val="-12"/>
          <w:w w:val="105"/>
          <w:sz w:val="20"/>
        </w:rPr>
        <w:t> </w:t>
      </w:r>
      <w:r>
        <w:rPr>
          <w:color w:val="231F20"/>
          <w:w w:val="105"/>
          <w:sz w:val="20"/>
        </w:rPr>
        <w:t>increase</w:t>
      </w:r>
      <w:r>
        <w:rPr>
          <w:color w:val="231F20"/>
          <w:spacing w:val="-13"/>
          <w:w w:val="105"/>
          <w:sz w:val="20"/>
        </w:rPr>
        <w:t> </w:t>
      </w:r>
      <w:r>
        <w:rPr>
          <w:color w:val="231F20"/>
          <w:w w:val="105"/>
          <w:sz w:val="20"/>
        </w:rPr>
        <w:t>in</w:t>
      </w:r>
      <w:r>
        <w:rPr>
          <w:color w:val="231F20"/>
          <w:spacing w:val="-12"/>
          <w:w w:val="105"/>
          <w:sz w:val="20"/>
        </w:rPr>
        <w:t> </w:t>
      </w:r>
      <w:r>
        <w:rPr>
          <w:color w:val="231F20"/>
          <w:w w:val="105"/>
          <w:sz w:val="20"/>
        </w:rPr>
        <w:t>blood</w:t>
      </w:r>
      <w:r>
        <w:rPr>
          <w:color w:val="231F20"/>
          <w:spacing w:val="-13"/>
          <w:w w:val="105"/>
          <w:sz w:val="20"/>
        </w:rPr>
        <w:t> </w:t>
      </w:r>
      <w:r>
        <w:rPr>
          <w:color w:val="231F20"/>
          <w:w w:val="105"/>
          <w:sz w:val="20"/>
        </w:rPr>
        <w:t>pressure</w:t>
      </w:r>
      <w:r>
        <w:rPr>
          <w:color w:val="231F20"/>
          <w:spacing w:val="-12"/>
          <w:w w:val="105"/>
          <w:sz w:val="20"/>
        </w:rPr>
        <w:t> </w:t>
      </w:r>
      <w:r>
        <w:rPr>
          <w:color w:val="231F20"/>
          <w:spacing w:val="-7"/>
          <w:w w:val="105"/>
          <w:sz w:val="20"/>
        </w:rPr>
        <w:t>is </w:t>
      </w:r>
      <w:r>
        <w:rPr>
          <w:color w:val="231F20"/>
          <w:w w:val="105"/>
          <w:sz w:val="20"/>
        </w:rPr>
        <w:t>required to raise urinary excretion</w:t>
      </w:r>
      <w:r>
        <w:rPr>
          <w:color w:val="231F20"/>
          <w:spacing w:val="-22"/>
          <w:w w:val="105"/>
          <w:sz w:val="20"/>
        </w:rPr>
        <w:t> </w:t>
      </w:r>
      <w:r>
        <w:rPr>
          <w:color w:val="231F20"/>
          <w:w w:val="105"/>
          <w:sz w:val="20"/>
        </w:rPr>
        <w:t>severalfold.</w:t>
      </w:r>
    </w:p>
    <w:p>
      <w:pPr>
        <w:pStyle w:val="ListParagraph"/>
        <w:numPr>
          <w:ilvl w:val="1"/>
          <w:numId w:val="26"/>
        </w:numPr>
        <w:tabs>
          <w:tab w:pos="1923" w:val="left" w:leader="none"/>
        </w:tabs>
        <w:spacing w:line="249" w:lineRule="auto" w:before="4" w:after="0"/>
        <w:ind w:left="1922" w:right="0" w:hanging="243"/>
        <w:jc w:val="both"/>
        <w:rPr>
          <w:sz w:val="20"/>
        </w:rPr>
      </w:pPr>
      <w:r>
        <w:rPr>
          <w:color w:val="231F20"/>
          <w:w w:val="105"/>
          <w:sz w:val="20"/>
        </w:rPr>
        <w:t>The increased fluid excretion balances the </w:t>
      </w:r>
      <w:r>
        <w:rPr>
          <w:color w:val="231F20"/>
          <w:spacing w:val="-5"/>
          <w:w w:val="105"/>
          <w:sz w:val="20"/>
        </w:rPr>
        <w:t>in- </w:t>
      </w:r>
      <w:r>
        <w:rPr>
          <w:color w:val="231F20"/>
          <w:w w:val="105"/>
          <w:sz w:val="20"/>
        </w:rPr>
        <w:t>creased</w:t>
      </w:r>
      <w:r>
        <w:rPr>
          <w:color w:val="231F20"/>
          <w:spacing w:val="-12"/>
          <w:w w:val="105"/>
          <w:sz w:val="20"/>
        </w:rPr>
        <w:t> </w:t>
      </w:r>
      <w:r>
        <w:rPr>
          <w:color w:val="231F20"/>
          <w:w w:val="105"/>
          <w:sz w:val="20"/>
        </w:rPr>
        <w:t>intake,</w:t>
      </w:r>
      <w:r>
        <w:rPr>
          <w:color w:val="231F20"/>
          <w:spacing w:val="-12"/>
          <w:w w:val="105"/>
          <w:sz w:val="20"/>
        </w:rPr>
        <w:t> </w:t>
      </w:r>
      <w:r>
        <w:rPr>
          <w:color w:val="231F20"/>
          <w:w w:val="105"/>
          <w:sz w:val="20"/>
        </w:rPr>
        <w:t>and</w:t>
      </w:r>
      <w:r>
        <w:rPr>
          <w:color w:val="231F20"/>
          <w:spacing w:val="-12"/>
          <w:w w:val="105"/>
          <w:sz w:val="20"/>
        </w:rPr>
        <w:t> </w:t>
      </w:r>
      <w:r>
        <w:rPr>
          <w:color w:val="231F20"/>
          <w:w w:val="105"/>
          <w:sz w:val="20"/>
        </w:rPr>
        <w:t>further</w:t>
      </w:r>
      <w:r>
        <w:rPr>
          <w:color w:val="231F20"/>
          <w:spacing w:val="-12"/>
          <w:w w:val="105"/>
          <w:sz w:val="20"/>
        </w:rPr>
        <w:t> </w:t>
      </w:r>
      <w:r>
        <w:rPr>
          <w:color w:val="231F20"/>
          <w:w w:val="105"/>
          <w:sz w:val="20"/>
        </w:rPr>
        <w:t>accumulation</w:t>
      </w:r>
      <w:r>
        <w:rPr>
          <w:color w:val="231F20"/>
          <w:spacing w:val="-11"/>
          <w:w w:val="105"/>
          <w:sz w:val="20"/>
        </w:rPr>
        <w:t> </w:t>
      </w:r>
      <w:r>
        <w:rPr>
          <w:color w:val="231F20"/>
          <w:w w:val="105"/>
          <w:sz w:val="20"/>
        </w:rPr>
        <w:t>of</w:t>
      </w:r>
      <w:r>
        <w:rPr>
          <w:color w:val="231F20"/>
          <w:spacing w:val="-12"/>
          <w:w w:val="105"/>
          <w:sz w:val="20"/>
        </w:rPr>
        <w:t> </w:t>
      </w:r>
      <w:r>
        <w:rPr>
          <w:color w:val="231F20"/>
          <w:w w:val="105"/>
          <w:sz w:val="20"/>
        </w:rPr>
        <w:t>fluid</w:t>
      </w:r>
      <w:r>
        <w:rPr>
          <w:color w:val="231F20"/>
          <w:spacing w:val="-12"/>
          <w:w w:val="105"/>
          <w:sz w:val="20"/>
        </w:rPr>
        <w:t> </w:t>
      </w:r>
      <w:r>
        <w:rPr>
          <w:color w:val="231F20"/>
          <w:spacing w:val="-7"/>
          <w:w w:val="105"/>
          <w:sz w:val="20"/>
        </w:rPr>
        <w:t>is </w:t>
      </w:r>
      <w:r>
        <w:rPr>
          <w:color w:val="231F20"/>
          <w:w w:val="105"/>
          <w:sz w:val="20"/>
        </w:rPr>
        <w:t>prevented.</w:t>
      </w:r>
    </w:p>
    <w:p>
      <w:pPr>
        <w:pStyle w:val="BodyText"/>
        <w:spacing w:line="249" w:lineRule="auto" w:before="2"/>
        <w:ind w:left="1440" w:firstLine="240"/>
        <w:jc w:val="both"/>
      </w:pPr>
      <w:r>
        <w:rPr>
          <w:color w:val="231F20"/>
          <w:w w:val="105"/>
        </w:rPr>
        <w:t>Thus,</w:t>
      </w:r>
      <w:r>
        <w:rPr>
          <w:color w:val="231F20"/>
          <w:spacing w:val="-19"/>
          <w:w w:val="105"/>
        </w:rPr>
        <w:t> </w:t>
      </w:r>
      <w:r>
        <w:rPr>
          <w:color w:val="231F20"/>
          <w:w w:val="105"/>
        </w:rPr>
        <w:t>the</w:t>
      </w:r>
      <w:r>
        <w:rPr>
          <w:color w:val="231F20"/>
          <w:spacing w:val="-18"/>
          <w:w w:val="105"/>
        </w:rPr>
        <w:t> </w:t>
      </w:r>
      <w:r>
        <w:rPr>
          <w:color w:val="231F20"/>
          <w:w w:val="105"/>
        </w:rPr>
        <w:t>renal–body</w:t>
      </w:r>
      <w:r>
        <w:rPr>
          <w:color w:val="231F20"/>
          <w:spacing w:val="-18"/>
          <w:w w:val="105"/>
        </w:rPr>
        <w:t> </w:t>
      </w:r>
      <w:r>
        <w:rPr>
          <w:color w:val="231F20"/>
          <w:w w:val="105"/>
        </w:rPr>
        <w:t>fluid</w:t>
      </w:r>
      <w:r>
        <w:rPr>
          <w:color w:val="231F20"/>
          <w:spacing w:val="-18"/>
          <w:w w:val="105"/>
        </w:rPr>
        <w:t> </w:t>
      </w:r>
      <w:r>
        <w:rPr>
          <w:color w:val="231F20"/>
          <w:w w:val="105"/>
        </w:rPr>
        <w:t>feedback</w:t>
      </w:r>
      <w:r>
        <w:rPr>
          <w:color w:val="231F20"/>
          <w:spacing w:val="-19"/>
          <w:w w:val="105"/>
        </w:rPr>
        <w:t> </w:t>
      </w:r>
      <w:r>
        <w:rPr>
          <w:color w:val="231F20"/>
          <w:w w:val="105"/>
        </w:rPr>
        <w:t>mechanism</w:t>
      </w:r>
      <w:r>
        <w:rPr>
          <w:color w:val="231F20"/>
          <w:spacing w:val="-18"/>
          <w:w w:val="105"/>
        </w:rPr>
        <w:t> </w:t>
      </w:r>
      <w:r>
        <w:rPr>
          <w:color w:val="231F20"/>
          <w:w w:val="105"/>
        </w:rPr>
        <w:t>oper- ates</w:t>
      </w:r>
      <w:r>
        <w:rPr>
          <w:color w:val="231F20"/>
          <w:spacing w:val="-20"/>
          <w:w w:val="105"/>
        </w:rPr>
        <w:t> </w:t>
      </w:r>
      <w:r>
        <w:rPr>
          <w:color w:val="231F20"/>
          <w:w w:val="105"/>
        </w:rPr>
        <w:t>to</w:t>
      </w:r>
      <w:r>
        <w:rPr>
          <w:color w:val="231F20"/>
          <w:spacing w:val="-20"/>
          <w:w w:val="105"/>
        </w:rPr>
        <w:t> </w:t>
      </w:r>
      <w:r>
        <w:rPr>
          <w:color w:val="231F20"/>
          <w:w w:val="105"/>
        </w:rPr>
        <w:t>prevent</w:t>
      </w:r>
      <w:r>
        <w:rPr>
          <w:color w:val="231F20"/>
          <w:spacing w:val="-19"/>
          <w:w w:val="105"/>
        </w:rPr>
        <w:t> </w:t>
      </w:r>
      <w:r>
        <w:rPr>
          <w:color w:val="231F20"/>
          <w:w w:val="105"/>
        </w:rPr>
        <w:t>continuous</w:t>
      </w:r>
      <w:r>
        <w:rPr>
          <w:color w:val="231F20"/>
          <w:spacing w:val="-20"/>
          <w:w w:val="105"/>
        </w:rPr>
        <w:t> </w:t>
      </w:r>
      <w:r>
        <w:rPr>
          <w:color w:val="231F20"/>
          <w:w w:val="105"/>
        </w:rPr>
        <w:t>accumulation</w:t>
      </w:r>
      <w:r>
        <w:rPr>
          <w:color w:val="231F20"/>
          <w:spacing w:val="-19"/>
          <w:w w:val="105"/>
        </w:rPr>
        <w:t> </w:t>
      </w:r>
      <w:r>
        <w:rPr>
          <w:color w:val="231F20"/>
          <w:w w:val="105"/>
        </w:rPr>
        <w:t>of</w:t>
      </w:r>
      <w:r>
        <w:rPr>
          <w:color w:val="231F20"/>
          <w:spacing w:val="-20"/>
          <w:w w:val="105"/>
        </w:rPr>
        <w:t> </w:t>
      </w:r>
      <w:r>
        <w:rPr>
          <w:color w:val="231F20"/>
          <w:w w:val="105"/>
        </w:rPr>
        <w:t>salt</w:t>
      </w:r>
      <w:r>
        <w:rPr>
          <w:color w:val="231F20"/>
          <w:spacing w:val="-19"/>
          <w:w w:val="105"/>
        </w:rPr>
        <w:t> </w:t>
      </w:r>
      <w:r>
        <w:rPr>
          <w:color w:val="231F20"/>
          <w:w w:val="105"/>
        </w:rPr>
        <w:t>and</w:t>
      </w:r>
      <w:r>
        <w:rPr>
          <w:color w:val="231F20"/>
          <w:spacing w:val="-20"/>
          <w:w w:val="105"/>
        </w:rPr>
        <w:t> </w:t>
      </w:r>
      <w:r>
        <w:rPr>
          <w:color w:val="231F20"/>
          <w:w w:val="105"/>
        </w:rPr>
        <w:t>water in the body during increased salt and water intake. </w:t>
      </w:r>
      <w:r>
        <w:rPr>
          <w:color w:val="231F20"/>
          <w:spacing w:val="-5"/>
          <w:w w:val="105"/>
        </w:rPr>
        <w:t>As </w:t>
      </w:r>
      <w:r>
        <w:rPr>
          <w:color w:val="231F20"/>
          <w:w w:val="105"/>
        </w:rPr>
        <w:t>long</w:t>
      </w:r>
      <w:r>
        <w:rPr>
          <w:color w:val="231F20"/>
          <w:spacing w:val="-12"/>
          <w:w w:val="105"/>
        </w:rPr>
        <w:t> </w:t>
      </w:r>
      <w:r>
        <w:rPr>
          <w:color w:val="231F20"/>
          <w:w w:val="105"/>
        </w:rPr>
        <w:t>as</w:t>
      </w:r>
      <w:r>
        <w:rPr>
          <w:color w:val="231F20"/>
          <w:spacing w:val="-12"/>
          <w:w w:val="105"/>
        </w:rPr>
        <w:t> </w:t>
      </w:r>
      <w:r>
        <w:rPr>
          <w:color w:val="231F20"/>
          <w:w w:val="105"/>
        </w:rPr>
        <w:t>kidney</w:t>
      </w:r>
      <w:r>
        <w:rPr>
          <w:color w:val="231F20"/>
          <w:spacing w:val="-12"/>
          <w:w w:val="105"/>
        </w:rPr>
        <w:t> </w:t>
      </w:r>
      <w:r>
        <w:rPr>
          <w:color w:val="231F20"/>
          <w:w w:val="105"/>
        </w:rPr>
        <w:t>function</w:t>
      </w:r>
      <w:r>
        <w:rPr>
          <w:color w:val="231F20"/>
          <w:spacing w:val="-12"/>
          <w:w w:val="105"/>
        </w:rPr>
        <w:t> </w:t>
      </w:r>
      <w:r>
        <w:rPr>
          <w:color w:val="231F20"/>
          <w:w w:val="105"/>
        </w:rPr>
        <w:t>is</w:t>
      </w:r>
      <w:r>
        <w:rPr>
          <w:color w:val="231F20"/>
          <w:spacing w:val="-12"/>
          <w:w w:val="105"/>
        </w:rPr>
        <w:t> </w:t>
      </w:r>
      <w:r>
        <w:rPr>
          <w:color w:val="231F20"/>
          <w:w w:val="105"/>
        </w:rPr>
        <w:t>normal</w:t>
      </w:r>
      <w:r>
        <w:rPr>
          <w:color w:val="231F20"/>
          <w:spacing w:val="-11"/>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pressure</w:t>
      </w:r>
      <w:r>
        <w:rPr>
          <w:color w:val="231F20"/>
          <w:spacing w:val="-12"/>
          <w:w w:val="105"/>
        </w:rPr>
        <w:t> </w:t>
      </w:r>
      <w:r>
        <w:rPr>
          <w:color w:val="231F20"/>
          <w:spacing w:val="-3"/>
          <w:w w:val="105"/>
        </w:rPr>
        <w:t>diure- </w:t>
      </w:r>
      <w:r>
        <w:rPr>
          <w:color w:val="231F20"/>
          <w:w w:val="105"/>
        </w:rPr>
        <w:t>sis mechanism is operating effectively, large changes</w:t>
      </w:r>
      <w:r>
        <w:rPr>
          <w:color w:val="231F20"/>
          <w:spacing w:val="-14"/>
          <w:w w:val="105"/>
        </w:rPr>
        <w:t> </w:t>
      </w:r>
      <w:r>
        <w:rPr>
          <w:color w:val="231F20"/>
          <w:w w:val="105"/>
        </w:rPr>
        <w:t>in salt and water intake can be accommodated with only </w:t>
      </w:r>
      <w:r>
        <w:rPr>
          <w:color w:val="231F20"/>
        </w:rPr>
        <w:t>slight</w:t>
      </w:r>
      <w:r>
        <w:rPr>
          <w:color w:val="231F20"/>
          <w:spacing w:val="-10"/>
        </w:rPr>
        <w:t> </w:t>
      </w:r>
      <w:r>
        <w:rPr>
          <w:color w:val="231F20"/>
        </w:rPr>
        <w:t>changes</w:t>
      </w:r>
      <w:r>
        <w:rPr>
          <w:color w:val="231F20"/>
          <w:spacing w:val="-10"/>
        </w:rPr>
        <w:t> </w:t>
      </w:r>
      <w:r>
        <w:rPr>
          <w:color w:val="231F20"/>
        </w:rPr>
        <w:t>in</w:t>
      </w:r>
      <w:r>
        <w:rPr>
          <w:color w:val="231F20"/>
          <w:spacing w:val="-9"/>
        </w:rPr>
        <w:t> </w:t>
      </w:r>
      <w:r>
        <w:rPr>
          <w:color w:val="231F20"/>
        </w:rPr>
        <w:t>blood</w:t>
      </w:r>
      <w:r>
        <w:rPr>
          <w:color w:val="231F20"/>
          <w:spacing w:val="-10"/>
        </w:rPr>
        <w:t> </w:t>
      </w:r>
      <w:r>
        <w:rPr>
          <w:color w:val="231F20"/>
        </w:rPr>
        <w:t>volume,</w:t>
      </w:r>
      <w:r>
        <w:rPr>
          <w:color w:val="231F20"/>
          <w:spacing w:val="-10"/>
        </w:rPr>
        <w:t> </w:t>
      </w:r>
      <w:r>
        <w:rPr>
          <w:color w:val="231F20"/>
        </w:rPr>
        <w:t>extracellular</w:t>
      </w:r>
      <w:r>
        <w:rPr>
          <w:color w:val="231F20"/>
          <w:spacing w:val="-9"/>
        </w:rPr>
        <w:t> </w:t>
      </w:r>
      <w:r>
        <w:rPr>
          <w:color w:val="231F20"/>
        </w:rPr>
        <w:t>fluid</w:t>
      </w:r>
      <w:r>
        <w:rPr>
          <w:color w:val="231F20"/>
          <w:spacing w:val="-10"/>
        </w:rPr>
        <w:t> </w:t>
      </w:r>
      <w:r>
        <w:rPr>
          <w:color w:val="231F20"/>
        </w:rPr>
        <w:t>volume, </w:t>
      </w:r>
      <w:r>
        <w:rPr>
          <w:color w:val="231F20"/>
          <w:w w:val="105"/>
        </w:rPr>
        <w:t>cardiac output, and arterial</w:t>
      </w:r>
      <w:r>
        <w:rPr>
          <w:color w:val="231F20"/>
          <w:spacing w:val="10"/>
          <w:w w:val="105"/>
        </w:rPr>
        <w:t> </w:t>
      </w:r>
      <w:r>
        <w:rPr>
          <w:color w:val="231F20"/>
          <w:w w:val="105"/>
        </w:rPr>
        <w:t>pressure.</w:t>
      </w:r>
    </w:p>
    <w:p>
      <w:pPr>
        <w:pStyle w:val="BodyText"/>
        <w:spacing w:line="249" w:lineRule="auto" w:before="7"/>
        <w:ind w:left="1440" w:firstLine="240"/>
        <w:jc w:val="both"/>
      </w:pPr>
      <w:r>
        <w:rPr>
          <w:color w:val="231F20"/>
          <w:w w:val="105"/>
        </w:rPr>
        <w:t>The opposite sequence of events occurs when fluid intake</w:t>
      </w:r>
      <w:r>
        <w:rPr>
          <w:color w:val="231F20"/>
          <w:spacing w:val="-20"/>
          <w:w w:val="105"/>
        </w:rPr>
        <w:t> </w:t>
      </w:r>
      <w:r>
        <w:rPr>
          <w:color w:val="231F20"/>
          <w:w w:val="105"/>
        </w:rPr>
        <w:t>falls</w:t>
      </w:r>
      <w:r>
        <w:rPr>
          <w:color w:val="231F20"/>
          <w:spacing w:val="-19"/>
          <w:w w:val="105"/>
        </w:rPr>
        <w:t> </w:t>
      </w:r>
      <w:r>
        <w:rPr>
          <w:color w:val="231F20"/>
          <w:w w:val="105"/>
        </w:rPr>
        <w:t>below</w:t>
      </w:r>
      <w:r>
        <w:rPr>
          <w:color w:val="231F20"/>
          <w:spacing w:val="-19"/>
          <w:w w:val="105"/>
        </w:rPr>
        <w:t> </w:t>
      </w:r>
      <w:r>
        <w:rPr>
          <w:color w:val="231F20"/>
          <w:w w:val="105"/>
        </w:rPr>
        <w:t>normal.</w:t>
      </w:r>
      <w:r>
        <w:rPr>
          <w:color w:val="231F20"/>
          <w:spacing w:val="-19"/>
          <w:w w:val="105"/>
        </w:rPr>
        <w:t> </w:t>
      </w:r>
      <w:r>
        <w:rPr>
          <w:color w:val="231F20"/>
          <w:w w:val="105"/>
        </w:rPr>
        <w:t>In</w:t>
      </w:r>
      <w:r>
        <w:rPr>
          <w:color w:val="231F20"/>
          <w:spacing w:val="-19"/>
          <w:w w:val="105"/>
        </w:rPr>
        <w:t> </w:t>
      </w:r>
      <w:r>
        <w:rPr>
          <w:color w:val="231F20"/>
          <w:w w:val="105"/>
        </w:rPr>
        <w:t>this</w:t>
      </w:r>
      <w:r>
        <w:rPr>
          <w:color w:val="231F20"/>
          <w:spacing w:val="-19"/>
          <w:w w:val="105"/>
        </w:rPr>
        <w:t> </w:t>
      </w:r>
      <w:r>
        <w:rPr>
          <w:color w:val="231F20"/>
          <w:w w:val="105"/>
        </w:rPr>
        <w:t>case,</w:t>
      </w:r>
      <w:r>
        <w:rPr>
          <w:color w:val="231F20"/>
          <w:spacing w:val="-19"/>
          <w:w w:val="105"/>
        </w:rPr>
        <w:t> </w:t>
      </w:r>
      <w:r>
        <w:rPr>
          <w:color w:val="231F20"/>
          <w:w w:val="105"/>
        </w:rPr>
        <w:t>there</w:t>
      </w:r>
      <w:r>
        <w:rPr>
          <w:color w:val="231F20"/>
          <w:spacing w:val="-20"/>
          <w:w w:val="105"/>
        </w:rPr>
        <w:t> </w:t>
      </w:r>
      <w:r>
        <w:rPr>
          <w:color w:val="231F20"/>
          <w:w w:val="105"/>
        </w:rPr>
        <w:t>is</w:t>
      </w:r>
      <w:r>
        <w:rPr>
          <w:color w:val="231F20"/>
          <w:spacing w:val="-19"/>
          <w:w w:val="105"/>
        </w:rPr>
        <w:t> </w:t>
      </w:r>
      <w:r>
        <w:rPr>
          <w:color w:val="231F20"/>
          <w:w w:val="105"/>
        </w:rPr>
        <w:t>a</w:t>
      </w:r>
      <w:r>
        <w:rPr>
          <w:color w:val="231F20"/>
          <w:spacing w:val="-19"/>
          <w:w w:val="105"/>
        </w:rPr>
        <w:t> </w:t>
      </w:r>
      <w:r>
        <w:rPr>
          <w:color w:val="231F20"/>
          <w:w w:val="105"/>
        </w:rPr>
        <w:t>tendency toward decreased blood volume and extracellular </w:t>
      </w:r>
      <w:r>
        <w:rPr>
          <w:color w:val="231F20"/>
          <w:spacing w:val="-3"/>
          <w:w w:val="105"/>
        </w:rPr>
        <w:t>fluid </w:t>
      </w:r>
      <w:r>
        <w:rPr>
          <w:color w:val="231F20"/>
          <w:w w:val="105"/>
        </w:rPr>
        <w:t>volume,</w:t>
      </w:r>
      <w:r>
        <w:rPr>
          <w:color w:val="231F20"/>
          <w:spacing w:val="-20"/>
          <w:w w:val="105"/>
        </w:rPr>
        <w:t> </w:t>
      </w:r>
      <w:r>
        <w:rPr>
          <w:color w:val="231F20"/>
          <w:w w:val="105"/>
        </w:rPr>
        <w:t>as</w:t>
      </w:r>
      <w:r>
        <w:rPr>
          <w:color w:val="231F20"/>
          <w:spacing w:val="-19"/>
          <w:w w:val="105"/>
        </w:rPr>
        <w:t> </w:t>
      </w:r>
      <w:r>
        <w:rPr>
          <w:color w:val="231F20"/>
          <w:w w:val="105"/>
        </w:rPr>
        <w:t>well</w:t>
      </w:r>
      <w:r>
        <w:rPr>
          <w:color w:val="231F20"/>
          <w:spacing w:val="-20"/>
          <w:w w:val="105"/>
        </w:rPr>
        <w:t> </w:t>
      </w:r>
      <w:r>
        <w:rPr>
          <w:color w:val="231F20"/>
          <w:w w:val="105"/>
        </w:rPr>
        <w:t>as</w:t>
      </w:r>
      <w:r>
        <w:rPr>
          <w:color w:val="231F20"/>
          <w:spacing w:val="-19"/>
          <w:w w:val="105"/>
        </w:rPr>
        <w:t> </w:t>
      </w:r>
      <w:r>
        <w:rPr>
          <w:color w:val="231F20"/>
          <w:w w:val="105"/>
        </w:rPr>
        <w:t>reduced</w:t>
      </w:r>
      <w:r>
        <w:rPr>
          <w:color w:val="231F20"/>
          <w:spacing w:val="-19"/>
          <w:w w:val="105"/>
        </w:rPr>
        <w:t> </w:t>
      </w:r>
      <w:r>
        <w:rPr>
          <w:color w:val="231F20"/>
          <w:w w:val="105"/>
        </w:rPr>
        <w:t>arterial</w:t>
      </w:r>
      <w:r>
        <w:rPr>
          <w:color w:val="231F20"/>
          <w:spacing w:val="-20"/>
          <w:w w:val="105"/>
        </w:rPr>
        <w:t> </w:t>
      </w:r>
      <w:r>
        <w:rPr>
          <w:color w:val="231F20"/>
          <w:w w:val="105"/>
        </w:rPr>
        <w:t>pressure.</w:t>
      </w:r>
      <w:r>
        <w:rPr>
          <w:color w:val="231F20"/>
          <w:spacing w:val="-19"/>
          <w:w w:val="105"/>
        </w:rPr>
        <w:t> </w:t>
      </w:r>
      <w:r>
        <w:rPr>
          <w:color w:val="231F20"/>
          <w:w w:val="105"/>
        </w:rPr>
        <w:t>Even</w:t>
      </w:r>
      <w:r>
        <w:rPr>
          <w:color w:val="231F20"/>
          <w:spacing w:val="-20"/>
          <w:w w:val="105"/>
        </w:rPr>
        <w:t> </w:t>
      </w:r>
      <w:r>
        <w:rPr>
          <w:color w:val="231F20"/>
          <w:w w:val="105"/>
        </w:rPr>
        <w:t>a</w:t>
      </w:r>
      <w:r>
        <w:rPr>
          <w:color w:val="231F20"/>
          <w:spacing w:val="-19"/>
          <w:w w:val="105"/>
        </w:rPr>
        <w:t> </w:t>
      </w:r>
      <w:r>
        <w:rPr>
          <w:color w:val="231F20"/>
          <w:spacing w:val="-3"/>
          <w:w w:val="105"/>
        </w:rPr>
        <w:t>small </w:t>
      </w:r>
      <w:r>
        <w:rPr>
          <w:color w:val="231F20"/>
          <w:w w:val="105"/>
        </w:rPr>
        <w:t>decrease in blood pressure causes a large decrease in urine output, thereby allowing fluid balance to be </w:t>
      </w:r>
      <w:r>
        <w:rPr>
          <w:color w:val="231F20"/>
          <w:spacing w:val="-4"/>
          <w:w w:val="105"/>
        </w:rPr>
        <w:t>main- </w:t>
      </w:r>
      <w:r>
        <w:rPr>
          <w:color w:val="231F20"/>
          <w:w w:val="105"/>
        </w:rPr>
        <w:t>tained with minimal changes in blood pressure, </w:t>
      </w:r>
      <w:r>
        <w:rPr>
          <w:color w:val="231F20"/>
          <w:spacing w:val="-3"/>
          <w:w w:val="105"/>
        </w:rPr>
        <w:t>blood </w:t>
      </w:r>
      <w:r>
        <w:rPr>
          <w:color w:val="231F20"/>
          <w:w w:val="105"/>
        </w:rPr>
        <w:t>volume,</w:t>
      </w:r>
      <w:r>
        <w:rPr>
          <w:color w:val="231F20"/>
          <w:spacing w:val="-9"/>
          <w:w w:val="105"/>
        </w:rPr>
        <w:t> </w:t>
      </w:r>
      <w:r>
        <w:rPr>
          <w:color w:val="231F20"/>
          <w:w w:val="105"/>
        </w:rPr>
        <w:t>or</w:t>
      </w:r>
      <w:r>
        <w:rPr>
          <w:color w:val="231F20"/>
          <w:spacing w:val="-9"/>
          <w:w w:val="105"/>
        </w:rPr>
        <w:t> </w:t>
      </w:r>
      <w:r>
        <w:rPr>
          <w:color w:val="231F20"/>
          <w:w w:val="105"/>
        </w:rPr>
        <w:t>extracellular</w:t>
      </w:r>
      <w:r>
        <w:rPr>
          <w:color w:val="231F20"/>
          <w:spacing w:val="-9"/>
          <w:w w:val="105"/>
        </w:rPr>
        <w:t> </w:t>
      </w:r>
      <w:r>
        <w:rPr>
          <w:color w:val="231F20"/>
          <w:w w:val="105"/>
        </w:rPr>
        <w:t>fluid</w:t>
      </w:r>
      <w:r>
        <w:rPr>
          <w:color w:val="231F20"/>
          <w:spacing w:val="-9"/>
          <w:w w:val="105"/>
        </w:rPr>
        <w:t> </w:t>
      </w:r>
      <w:r>
        <w:rPr>
          <w:color w:val="231F20"/>
          <w:w w:val="105"/>
        </w:rPr>
        <w:t>volume.</w:t>
      </w:r>
      <w:r>
        <w:rPr>
          <w:color w:val="231F20"/>
          <w:spacing w:val="-9"/>
          <w:w w:val="105"/>
        </w:rPr>
        <w:t> </w:t>
      </w:r>
      <w:r>
        <w:rPr>
          <w:color w:val="231F20"/>
          <w:w w:val="105"/>
        </w:rPr>
        <w:t>The</w:t>
      </w:r>
      <w:r>
        <w:rPr>
          <w:color w:val="231F20"/>
          <w:spacing w:val="-9"/>
          <w:w w:val="105"/>
        </w:rPr>
        <w:t> </w:t>
      </w:r>
      <w:r>
        <w:rPr>
          <w:color w:val="231F20"/>
          <w:w w:val="105"/>
        </w:rPr>
        <w:t>effectiveness of this mechanism in preventing large changes in blood volume is demonstrated in </w:t>
      </w:r>
      <w:hyperlink w:history="true" w:anchor="_bookmark98">
        <w:r>
          <w:rPr>
            <w:rFonts w:ascii="Cambria"/>
            <w:b/>
            <w:color w:val="0080AC"/>
            <w:w w:val="105"/>
          </w:rPr>
          <w:t>Figure 30-15</w:t>
        </w:r>
      </w:hyperlink>
      <w:r>
        <w:rPr>
          <w:color w:val="231F20"/>
          <w:w w:val="105"/>
        </w:rPr>
        <w:t>, which</w:t>
      </w:r>
      <w:r>
        <w:rPr>
          <w:color w:val="231F20"/>
          <w:spacing w:val="-27"/>
          <w:w w:val="105"/>
        </w:rPr>
        <w:t> </w:t>
      </w:r>
      <w:r>
        <w:rPr>
          <w:color w:val="231F20"/>
          <w:spacing w:val="-3"/>
          <w:w w:val="105"/>
        </w:rPr>
        <w:t>shows </w:t>
      </w:r>
      <w:r>
        <w:rPr>
          <w:color w:val="231F20"/>
          <w:w w:val="105"/>
        </w:rPr>
        <w:t>that changes in blood volume are almost </w:t>
      </w:r>
      <w:r>
        <w:rPr>
          <w:color w:val="231F20"/>
          <w:spacing w:val="-3"/>
          <w:w w:val="105"/>
        </w:rPr>
        <w:t>imperceptible </w:t>
      </w:r>
      <w:r>
        <w:rPr>
          <w:color w:val="231F20"/>
          <w:w w:val="105"/>
        </w:rPr>
        <w:t>despite</w:t>
      </w:r>
      <w:r>
        <w:rPr>
          <w:color w:val="231F20"/>
          <w:spacing w:val="-9"/>
          <w:w w:val="105"/>
        </w:rPr>
        <w:t> </w:t>
      </w:r>
      <w:r>
        <w:rPr>
          <w:color w:val="231F20"/>
          <w:w w:val="105"/>
        </w:rPr>
        <w:t>large</w:t>
      </w:r>
      <w:r>
        <w:rPr>
          <w:color w:val="231F20"/>
          <w:spacing w:val="-9"/>
          <w:w w:val="105"/>
        </w:rPr>
        <w:t> </w:t>
      </w:r>
      <w:r>
        <w:rPr>
          <w:color w:val="231F20"/>
          <w:w w:val="105"/>
        </w:rPr>
        <w:t>variations</w:t>
      </w:r>
      <w:r>
        <w:rPr>
          <w:color w:val="231F20"/>
          <w:spacing w:val="-8"/>
          <w:w w:val="105"/>
        </w:rPr>
        <w:t> </w:t>
      </w:r>
      <w:r>
        <w:rPr>
          <w:color w:val="231F20"/>
          <w:w w:val="105"/>
        </w:rPr>
        <w:t>in</w:t>
      </w:r>
      <w:r>
        <w:rPr>
          <w:color w:val="231F20"/>
          <w:spacing w:val="-9"/>
          <w:w w:val="105"/>
        </w:rPr>
        <w:t> </w:t>
      </w:r>
      <w:r>
        <w:rPr>
          <w:color w:val="231F20"/>
          <w:w w:val="105"/>
        </w:rPr>
        <w:t>daily</w:t>
      </w:r>
      <w:r>
        <w:rPr>
          <w:color w:val="231F20"/>
          <w:spacing w:val="-9"/>
          <w:w w:val="105"/>
        </w:rPr>
        <w:t> </w:t>
      </w:r>
      <w:r>
        <w:rPr>
          <w:color w:val="231F20"/>
          <w:w w:val="105"/>
        </w:rPr>
        <w:t>intake</w:t>
      </w:r>
      <w:r>
        <w:rPr>
          <w:color w:val="231F20"/>
          <w:spacing w:val="-8"/>
          <w:w w:val="105"/>
        </w:rPr>
        <w:t> </w:t>
      </w:r>
      <w:r>
        <w:rPr>
          <w:color w:val="231F20"/>
          <w:w w:val="105"/>
        </w:rPr>
        <w:t>of</w:t>
      </w:r>
      <w:r>
        <w:rPr>
          <w:color w:val="231F20"/>
          <w:spacing w:val="-9"/>
          <w:w w:val="105"/>
        </w:rPr>
        <w:t> </w:t>
      </w:r>
      <w:r>
        <w:rPr>
          <w:color w:val="231F20"/>
          <w:w w:val="105"/>
        </w:rPr>
        <w:t>water</w:t>
      </w:r>
      <w:r>
        <w:rPr>
          <w:color w:val="231F20"/>
          <w:spacing w:val="-9"/>
          <w:w w:val="105"/>
        </w:rPr>
        <w:t> </w:t>
      </w:r>
      <w:r>
        <w:rPr>
          <w:color w:val="231F20"/>
          <w:w w:val="105"/>
        </w:rPr>
        <w:t>and</w:t>
      </w:r>
      <w:r>
        <w:rPr>
          <w:color w:val="231F20"/>
          <w:spacing w:val="-8"/>
          <w:w w:val="105"/>
        </w:rPr>
        <w:t> </w:t>
      </w:r>
      <w:r>
        <w:rPr>
          <w:color w:val="231F20"/>
          <w:spacing w:val="-4"/>
          <w:w w:val="105"/>
        </w:rPr>
        <w:t>elec- </w:t>
      </w:r>
      <w:r>
        <w:rPr>
          <w:color w:val="231F20"/>
          <w:w w:val="105"/>
        </w:rPr>
        <w:t>trolytes,</w:t>
      </w:r>
      <w:r>
        <w:rPr>
          <w:color w:val="231F20"/>
          <w:spacing w:val="-13"/>
          <w:w w:val="105"/>
        </w:rPr>
        <w:t> </w:t>
      </w:r>
      <w:r>
        <w:rPr>
          <w:color w:val="231F20"/>
          <w:w w:val="105"/>
        </w:rPr>
        <w:t>except</w:t>
      </w:r>
      <w:r>
        <w:rPr>
          <w:color w:val="231F20"/>
          <w:spacing w:val="-13"/>
          <w:w w:val="105"/>
        </w:rPr>
        <w:t> </w:t>
      </w:r>
      <w:r>
        <w:rPr>
          <w:color w:val="231F20"/>
          <w:w w:val="105"/>
        </w:rPr>
        <w:t>when</w:t>
      </w:r>
      <w:r>
        <w:rPr>
          <w:color w:val="231F20"/>
          <w:spacing w:val="-13"/>
          <w:w w:val="105"/>
        </w:rPr>
        <w:t> </w:t>
      </w:r>
      <w:r>
        <w:rPr>
          <w:color w:val="231F20"/>
          <w:w w:val="105"/>
        </w:rPr>
        <w:t>intake</w:t>
      </w:r>
      <w:r>
        <w:rPr>
          <w:color w:val="231F20"/>
          <w:spacing w:val="-12"/>
          <w:w w:val="105"/>
        </w:rPr>
        <w:t> </w:t>
      </w:r>
      <w:r>
        <w:rPr>
          <w:color w:val="231F20"/>
          <w:w w:val="105"/>
        </w:rPr>
        <w:t>becomes</w:t>
      </w:r>
      <w:r>
        <w:rPr>
          <w:color w:val="231F20"/>
          <w:spacing w:val="-13"/>
          <w:w w:val="105"/>
        </w:rPr>
        <w:t> </w:t>
      </w:r>
      <w:r>
        <w:rPr>
          <w:color w:val="231F20"/>
          <w:w w:val="105"/>
        </w:rPr>
        <w:t>so</w:t>
      </w:r>
      <w:r>
        <w:rPr>
          <w:color w:val="231F20"/>
          <w:spacing w:val="-13"/>
          <w:w w:val="105"/>
        </w:rPr>
        <w:t> </w:t>
      </w:r>
      <w:r>
        <w:rPr>
          <w:color w:val="231F20"/>
          <w:w w:val="105"/>
        </w:rPr>
        <w:t>low</w:t>
      </w:r>
      <w:r>
        <w:rPr>
          <w:color w:val="231F20"/>
          <w:spacing w:val="-13"/>
          <w:w w:val="105"/>
        </w:rPr>
        <w:t> </w:t>
      </w:r>
      <w:r>
        <w:rPr>
          <w:color w:val="231F20"/>
          <w:w w:val="105"/>
        </w:rPr>
        <w:t>that</w:t>
      </w:r>
      <w:r>
        <w:rPr>
          <w:color w:val="231F20"/>
          <w:spacing w:val="-12"/>
          <w:w w:val="105"/>
        </w:rPr>
        <w:t> </w:t>
      </w:r>
      <w:r>
        <w:rPr>
          <w:color w:val="231F20"/>
          <w:w w:val="105"/>
        </w:rPr>
        <w:t>it</w:t>
      </w:r>
      <w:r>
        <w:rPr>
          <w:color w:val="231F20"/>
          <w:spacing w:val="-13"/>
          <w:w w:val="105"/>
        </w:rPr>
        <w:t> </w:t>
      </w:r>
      <w:r>
        <w:rPr>
          <w:color w:val="231F20"/>
          <w:w w:val="105"/>
        </w:rPr>
        <w:t>is</w:t>
      </w:r>
      <w:r>
        <w:rPr>
          <w:color w:val="231F20"/>
          <w:spacing w:val="-13"/>
          <w:w w:val="105"/>
        </w:rPr>
        <w:t> </w:t>
      </w:r>
      <w:r>
        <w:rPr>
          <w:color w:val="231F20"/>
          <w:w w:val="105"/>
        </w:rPr>
        <w:t>not sufficient</w:t>
      </w:r>
      <w:r>
        <w:rPr>
          <w:color w:val="231F20"/>
          <w:spacing w:val="-10"/>
          <w:w w:val="105"/>
        </w:rPr>
        <w:t> </w:t>
      </w:r>
      <w:r>
        <w:rPr>
          <w:color w:val="231F20"/>
          <w:w w:val="105"/>
        </w:rPr>
        <w:t>to</w:t>
      </w:r>
      <w:r>
        <w:rPr>
          <w:color w:val="231F20"/>
          <w:spacing w:val="-9"/>
          <w:w w:val="105"/>
        </w:rPr>
        <w:t> </w:t>
      </w:r>
      <w:r>
        <w:rPr>
          <w:color w:val="231F20"/>
          <w:w w:val="105"/>
        </w:rPr>
        <w:t>make</w:t>
      </w:r>
      <w:r>
        <w:rPr>
          <w:color w:val="231F20"/>
          <w:spacing w:val="-10"/>
          <w:w w:val="105"/>
        </w:rPr>
        <w:t> </w:t>
      </w:r>
      <w:r>
        <w:rPr>
          <w:color w:val="231F20"/>
          <w:w w:val="105"/>
        </w:rPr>
        <w:t>up</w:t>
      </w:r>
      <w:r>
        <w:rPr>
          <w:color w:val="231F20"/>
          <w:spacing w:val="-9"/>
          <w:w w:val="105"/>
        </w:rPr>
        <w:t> </w:t>
      </w:r>
      <w:r>
        <w:rPr>
          <w:color w:val="231F20"/>
          <w:w w:val="105"/>
        </w:rPr>
        <w:t>for</w:t>
      </w:r>
      <w:r>
        <w:rPr>
          <w:color w:val="231F20"/>
          <w:spacing w:val="-9"/>
          <w:w w:val="105"/>
        </w:rPr>
        <w:t> </w:t>
      </w:r>
      <w:r>
        <w:rPr>
          <w:color w:val="231F20"/>
          <w:w w:val="105"/>
        </w:rPr>
        <w:t>fluid</w:t>
      </w:r>
      <w:r>
        <w:rPr>
          <w:color w:val="231F20"/>
          <w:spacing w:val="-11"/>
          <w:w w:val="105"/>
        </w:rPr>
        <w:t> </w:t>
      </w:r>
      <w:r>
        <w:rPr>
          <w:color w:val="231F20"/>
          <w:w w:val="105"/>
        </w:rPr>
        <w:t>losses</w:t>
      </w:r>
      <w:r>
        <w:rPr>
          <w:color w:val="231F20"/>
          <w:spacing w:val="-10"/>
          <w:w w:val="105"/>
        </w:rPr>
        <w:t> </w:t>
      </w:r>
      <w:r>
        <w:rPr>
          <w:color w:val="231F20"/>
          <w:w w:val="105"/>
        </w:rPr>
        <w:t>caused</w:t>
      </w:r>
      <w:r>
        <w:rPr>
          <w:color w:val="231F20"/>
          <w:spacing w:val="-9"/>
          <w:w w:val="105"/>
        </w:rPr>
        <w:t> </w:t>
      </w:r>
      <w:r>
        <w:rPr>
          <w:color w:val="231F20"/>
          <w:w w:val="105"/>
        </w:rPr>
        <w:t>by</w:t>
      </w:r>
      <w:r>
        <w:rPr>
          <w:color w:val="231F20"/>
          <w:spacing w:val="-9"/>
          <w:w w:val="105"/>
        </w:rPr>
        <w:t> </w:t>
      </w:r>
      <w:r>
        <w:rPr>
          <w:color w:val="231F20"/>
          <w:w w:val="105"/>
        </w:rPr>
        <w:t>evapora- tion or other inescapable</w:t>
      </w:r>
      <w:r>
        <w:rPr>
          <w:color w:val="231F20"/>
          <w:spacing w:val="8"/>
          <w:w w:val="105"/>
        </w:rPr>
        <w:t> </w:t>
      </w:r>
      <w:r>
        <w:rPr>
          <w:color w:val="231F20"/>
          <w:w w:val="105"/>
        </w:rPr>
        <w:t>losses.</w:t>
      </w:r>
    </w:p>
    <w:p>
      <w:pPr>
        <w:pStyle w:val="BodyText"/>
        <w:spacing w:line="249" w:lineRule="auto" w:before="7"/>
        <w:ind w:left="1440" w:firstLine="240"/>
        <w:jc w:val="both"/>
      </w:pPr>
      <w:r>
        <w:rPr>
          <w:color w:val="231F20"/>
          <w:w w:val="105"/>
        </w:rPr>
        <w:t>As discussed </w:t>
      </w:r>
      <w:r>
        <w:rPr>
          <w:color w:val="231F20"/>
          <w:spacing w:val="-4"/>
          <w:w w:val="105"/>
        </w:rPr>
        <w:t>later, </w:t>
      </w:r>
      <w:r>
        <w:rPr>
          <w:color w:val="231F20"/>
          <w:w w:val="105"/>
        </w:rPr>
        <w:t>there are nervous and hormonal systems, in addition to intrarenal mechanisms, that </w:t>
      </w:r>
      <w:r>
        <w:rPr>
          <w:color w:val="231F20"/>
          <w:spacing w:val="-5"/>
          <w:w w:val="105"/>
        </w:rPr>
        <w:t>can </w:t>
      </w:r>
      <w:r>
        <w:rPr>
          <w:color w:val="231F20"/>
          <w:w w:val="105"/>
        </w:rPr>
        <w:t>raise</w:t>
      </w:r>
      <w:r>
        <w:rPr>
          <w:color w:val="231F20"/>
          <w:spacing w:val="-14"/>
          <w:w w:val="105"/>
        </w:rPr>
        <w:t> </w:t>
      </w:r>
      <w:r>
        <w:rPr>
          <w:color w:val="231F20"/>
          <w:w w:val="105"/>
        </w:rPr>
        <w:t>sodium</w:t>
      </w:r>
      <w:r>
        <w:rPr>
          <w:color w:val="231F20"/>
          <w:spacing w:val="-13"/>
          <w:w w:val="105"/>
        </w:rPr>
        <w:t> </w:t>
      </w:r>
      <w:r>
        <w:rPr>
          <w:color w:val="231F20"/>
          <w:w w:val="105"/>
        </w:rPr>
        <w:t>excretion</w:t>
      </w:r>
      <w:r>
        <w:rPr>
          <w:color w:val="231F20"/>
          <w:spacing w:val="-13"/>
          <w:w w:val="105"/>
        </w:rPr>
        <w:t> </w:t>
      </w:r>
      <w:r>
        <w:rPr>
          <w:color w:val="231F20"/>
          <w:w w:val="105"/>
        </w:rPr>
        <w:t>to</w:t>
      </w:r>
      <w:r>
        <w:rPr>
          <w:color w:val="231F20"/>
          <w:spacing w:val="-13"/>
          <w:w w:val="105"/>
        </w:rPr>
        <w:t> </w:t>
      </w:r>
      <w:r>
        <w:rPr>
          <w:color w:val="231F20"/>
          <w:w w:val="105"/>
        </w:rPr>
        <w:t>match</w:t>
      </w:r>
      <w:r>
        <w:rPr>
          <w:color w:val="231F20"/>
          <w:spacing w:val="-13"/>
          <w:w w:val="105"/>
        </w:rPr>
        <w:t> </w:t>
      </w:r>
      <w:r>
        <w:rPr>
          <w:color w:val="231F20"/>
          <w:w w:val="105"/>
        </w:rPr>
        <w:t>increased</w:t>
      </w:r>
      <w:r>
        <w:rPr>
          <w:color w:val="231F20"/>
          <w:spacing w:val="-14"/>
          <w:w w:val="105"/>
        </w:rPr>
        <w:t> </w:t>
      </w:r>
      <w:r>
        <w:rPr>
          <w:color w:val="231F20"/>
          <w:w w:val="105"/>
        </w:rPr>
        <w:t>sodium</w:t>
      </w:r>
      <w:r>
        <w:rPr>
          <w:color w:val="231F20"/>
          <w:spacing w:val="-13"/>
          <w:w w:val="105"/>
        </w:rPr>
        <w:t> </w:t>
      </w:r>
      <w:r>
        <w:rPr>
          <w:color w:val="231F20"/>
          <w:w w:val="105"/>
        </w:rPr>
        <w:t>intake even without measurable increases in cardiac output or arterial</w:t>
      </w:r>
      <w:r>
        <w:rPr>
          <w:color w:val="231F20"/>
          <w:spacing w:val="-12"/>
          <w:w w:val="105"/>
        </w:rPr>
        <w:t> </w:t>
      </w:r>
      <w:r>
        <w:rPr>
          <w:color w:val="231F20"/>
          <w:w w:val="105"/>
        </w:rPr>
        <w:t>pressure</w:t>
      </w:r>
      <w:r>
        <w:rPr>
          <w:color w:val="231F20"/>
          <w:spacing w:val="-11"/>
          <w:w w:val="105"/>
        </w:rPr>
        <w:t> </w:t>
      </w:r>
      <w:r>
        <w:rPr>
          <w:color w:val="231F20"/>
          <w:w w:val="105"/>
        </w:rPr>
        <w:t>in</w:t>
      </w:r>
      <w:r>
        <w:rPr>
          <w:color w:val="231F20"/>
          <w:spacing w:val="-11"/>
          <w:w w:val="105"/>
        </w:rPr>
        <w:t> </w:t>
      </w:r>
      <w:r>
        <w:rPr>
          <w:color w:val="231F20"/>
          <w:w w:val="105"/>
        </w:rPr>
        <w:t>many</w:t>
      </w:r>
      <w:r>
        <w:rPr>
          <w:color w:val="231F20"/>
          <w:spacing w:val="-12"/>
          <w:w w:val="105"/>
        </w:rPr>
        <w:t> </w:t>
      </w:r>
      <w:r>
        <w:rPr>
          <w:color w:val="231F20"/>
          <w:w w:val="105"/>
        </w:rPr>
        <w:t>persons.</w:t>
      </w:r>
      <w:r>
        <w:rPr>
          <w:color w:val="231F20"/>
          <w:spacing w:val="-11"/>
          <w:w w:val="105"/>
        </w:rPr>
        <w:t> </w:t>
      </w:r>
      <w:r>
        <w:rPr>
          <w:color w:val="231F20"/>
          <w:w w:val="105"/>
        </w:rPr>
        <w:t>Other</w:t>
      </w:r>
      <w:r>
        <w:rPr>
          <w:color w:val="231F20"/>
          <w:spacing w:val="-11"/>
          <w:w w:val="105"/>
        </w:rPr>
        <w:t> </w:t>
      </w:r>
      <w:r>
        <w:rPr>
          <w:color w:val="231F20"/>
          <w:w w:val="105"/>
        </w:rPr>
        <w:t>individuals</w:t>
      </w:r>
      <w:r>
        <w:rPr>
          <w:color w:val="231F20"/>
          <w:spacing w:val="-12"/>
          <w:w w:val="105"/>
        </w:rPr>
        <w:t> </w:t>
      </w:r>
      <w:r>
        <w:rPr>
          <w:color w:val="231F20"/>
          <w:spacing w:val="-5"/>
          <w:w w:val="105"/>
        </w:rPr>
        <w:t>who </w:t>
      </w:r>
      <w:r>
        <w:rPr>
          <w:color w:val="231F20"/>
          <w:w w:val="105"/>
        </w:rPr>
        <w:t>are</w:t>
      </w:r>
      <w:r>
        <w:rPr>
          <w:color w:val="231F20"/>
          <w:spacing w:val="-29"/>
          <w:w w:val="105"/>
        </w:rPr>
        <w:t> </w:t>
      </w:r>
      <w:r>
        <w:rPr>
          <w:color w:val="231F20"/>
          <w:w w:val="105"/>
        </w:rPr>
        <w:t>more</w:t>
      </w:r>
      <w:r>
        <w:rPr>
          <w:color w:val="231F20"/>
          <w:spacing w:val="-29"/>
          <w:w w:val="105"/>
        </w:rPr>
        <w:t> </w:t>
      </w:r>
      <w:r>
        <w:rPr>
          <w:color w:val="231F20"/>
          <w:w w:val="105"/>
        </w:rPr>
        <w:t>“salt</w:t>
      </w:r>
      <w:r>
        <w:rPr>
          <w:color w:val="231F20"/>
          <w:spacing w:val="-29"/>
          <w:w w:val="105"/>
        </w:rPr>
        <w:t> </w:t>
      </w:r>
      <w:r>
        <w:rPr>
          <w:color w:val="231F20"/>
          <w:w w:val="105"/>
        </w:rPr>
        <w:t>sensitive”</w:t>
      </w:r>
      <w:r>
        <w:rPr>
          <w:color w:val="231F20"/>
          <w:spacing w:val="-29"/>
          <w:w w:val="105"/>
        </w:rPr>
        <w:t> </w:t>
      </w:r>
      <w:r>
        <w:rPr>
          <w:color w:val="231F20"/>
          <w:w w:val="105"/>
        </w:rPr>
        <w:t>have</w:t>
      </w:r>
      <w:r>
        <w:rPr>
          <w:color w:val="231F20"/>
          <w:spacing w:val="-29"/>
          <w:w w:val="105"/>
        </w:rPr>
        <w:t> </w:t>
      </w:r>
      <w:r>
        <w:rPr>
          <w:color w:val="231F20"/>
          <w:w w:val="105"/>
        </w:rPr>
        <w:t>significant</w:t>
      </w:r>
      <w:r>
        <w:rPr>
          <w:color w:val="231F20"/>
          <w:spacing w:val="-29"/>
          <w:w w:val="105"/>
        </w:rPr>
        <w:t> </w:t>
      </w:r>
      <w:r>
        <w:rPr>
          <w:color w:val="231F20"/>
          <w:w w:val="105"/>
        </w:rPr>
        <w:t>increases</w:t>
      </w:r>
      <w:r>
        <w:rPr>
          <w:color w:val="231F20"/>
          <w:spacing w:val="-29"/>
          <w:w w:val="105"/>
        </w:rPr>
        <w:t> </w:t>
      </w:r>
      <w:r>
        <w:rPr>
          <w:color w:val="231F20"/>
          <w:w w:val="105"/>
        </w:rPr>
        <w:t>in</w:t>
      </w:r>
      <w:r>
        <w:rPr>
          <w:color w:val="231F20"/>
          <w:spacing w:val="-28"/>
          <w:w w:val="105"/>
        </w:rPr>
        <w:t> </w:t>
      </w:r>
      <w:r>
        <w:rPr>
          <w:color w:val="231F20"/>
          <w:spacing w:val="-4"/>
          <w:w w:val="105"/>
        </w:rPr>
        <w:t>arte- </w:t>
      </w:r>
      <w:r>
        <w:rPr>
          <w:color w:val="231F20"/>
          <w:w w:val="105"/>
        </w:rPr>
        <w:t>rial pressure with even moderate increases in </w:t>
      </w:r>
      <w:r>
        <w:rPr>
          <w:color w:val="231F20"/>
          <w:spacing w:val="-3"/>
          <w:w w:val="105"/>
        </w:rPr>
        <w:t>sodium </w:t>
      </w:r>
      <w:r>
        <w:rPr>
          <w:color w:val="231F20"/>
          <w:w w:val="105"/>
        </w:rPr>
        <w:t>intake. </w:t>
      </w:r>
      <w:r>
        <w:rPr>
          <w:color w:val="231F20"/>
          <w:spacing w:val="-3"/>
          <w:w w:val="105"/>
        </w:rPr>
        <w:t>With </w:t>
      </w:r>
      <w:r>
        <w:rPr>
          <w:color w:val="231F20"/>
          <w:w w:val="105"/>
        </w:rPr>
        <w:t>prolonged high-sodium intake, lasting</w:t>
      </w:r>
      <w:r>
        <w:rPr>
          <w:color w:val="231F20"/>
          <w:spacing w:val="-16"/>
          <w:w w:val="105"/>
        </w:rPr>
        <w:t> </w:t>
      </w:r>
      <w:r>
        <w:rPr>
          <w:color w:val="231F20"/>
          <w:spacing w:val="-4"/>
          <w:w w:val="105"/>
        </w:rPr>
        <w:t>over </w:t>
      </w:r>
      <w:r>
        <w:rPr>
          <w:color w:val="231F20"/>
          <w:w w:val="105"/>
        </w:rPr>
        <w:t>several years, high blood pressure may occur even </w:t>
      </w:r>
      <w:r>
        <w:rPr>
          <w:color w:val="231F20"/>
          <w:spacing w:val="-7"/>
          <w:w w:val="105"/>
        </w:rPr>
        <w:t>in </w:t>
      </w:r>
      <w:r>
        <w:rPr>
          <w:color w:val="231F20"/>
          <w:w w:val="105"/>
        </w:rPr>
        <w:t>persons who are not initially salt sensitive. When</w:t>
      </w:r>
      <w:r>
        <w:rPr>
          <w:color w:val="231F20"/>
          <w:spacing w:val="19"/>
          <w:w w:val="105"/>
        </w:rPr>
        <w:t> </w:t>
      </w:r>
      <w:r>
        <w:rPr>
          <w:color w:val="231F20"/>
          <w:spacing w:val="-3"/>
          <w:w w:val="105"/>
        </w:rPr>
        <w:t>blood</w:t>
      </w:r>
    </w:p>
    <w:p>
      <w:pPr>
        <w:spacing w:before="127"/>
        <w:ind w:left="295" w:right="4139" w:firstLine="0"/>
        <w:jc w:val="center"/>
        <w:rPr>
          <w:rFonts w:ascii="Helvetica"/>
          <w:sz w:val="16"/>
        </w:rPr>
      </w:pPr>
      <w:r>
        <w:rPr/>
        <w:br w:type="column"/>
      </w:r>
      <w:r>
        <w:rPr>
          <w:rFonts w:ascii="Helvetica"/>
          <w:color w:val="231F20"/>
          <w:sz w:val="16"/>
        </w:rPr>
        <w:t>6</w:t>
      </w:r>
    </w:p>
    <w:p>
      <w:pPr>
        <w:pStyle w:val="BodyText"/>
        <w:spacing w:before="1"/>
        <w:rPr>
          <w:rFonts w:ascii="Helvetica"/>
          <w:sz w:val="17"/>
        </w:rPr>
      </w:pPr>
    </w:p>
    <w:p>
      <w:pPr>
        <w:spacing w:before="0"/>
        <w:ind w:left="0" w:right="3844" w:firstLine="0"/>
        <w:jc w:val="center"/>
        <w:rPr>
          <w:rFonts w:ascii="Helvetica"/>
          <w:sz w:val="16"/>
        </w:rPr>
      </w:pPr>
      <w:r>
        <w:rPr/>
        <w:pict>
          <v:group style="position:absolute;margin-left:368.214508pt;margin-top:-15.300207pt;width:163.9pt;height:120.4pt;mso-position-horizontal-relative:page;mso-position-vertical-relative:paragraph;z-index:252670976" coordorigin="7364,-306" coordsize="3278,2408">
            <v:shape style="position:absolute;left:-77;top:11890;width:3268;height:2398" coordorigin="-77,11890" coordsize="3268,2398" path="m7441,2025l7364,2025m7442,2025l7442,2102m7441,1640l7364,1640m7441,1254l7364,1254m7441,869l7364,869m7441,484l7364,484m7441,98l7364,98m7441,-287l7364,-287m7839,2025l7839,2102m8237,2025l8237,2102m8634,2025l8634,2102m9032,2025l9032,2102m9429,2025l9429,2102m9827,2025l9827,2102m10224,2025l10224,2102m10622,2025l10622,2102m7441,-296l7441,2024,10632,2024e" filled="false" stroked="true" strokeweight="1pt" strokecolor="#231f20">
              <v:path arrowok="t"/>
              <v:stroke dashstyle="solid"/>
            </v:shape>
            <v:shape style="position:absolute;left:7474;top:19;width:3091;height:655" coordorigin="7474,19" coordsize="3091,655" path="m7474,674l7481,221,7489,109,7524,51,7615,29,7791,22,8353,19,9292,20,10174,21,10565,22e" filled="false" stroked="true" strokeweight="2pt" strokecolor="#f0535f">
              <v:path arrowok="t"/>
              <v:stroke dashstyle="solid"/>
            </v:shape>
            <v:shape style="position:absolute;left:7817;top:79;width:1128;height:120" coordorigin="7818,80" coordsize="1128,120" path="m8945,80l8940,103,8928,122,8908,135,8885,140,8441,140,8418,145,8399,157,8386,176,8381,200,8377,176,8364,157,8345,145,8321,140,7878,140,7854,135,7835,122,7822,103,7818,80e" filled="false" stroked="true" strokeweight=".75pt" strokecolor="#231f20">
              <v:path arrowok="t"/>
              <v:stroke dashstyle="solid"/>
            </v:shape>
            <v:shape style="position:absolute;left:7364;top:-306;width:3278;height:2408" type="#_x0000_t202" filled="false" stroked="false">
              <v:textbox inset="0,0,0,0">
                <w:txbxContent>
                  <w:p>
                    <w:pPr>
                      <w:spacing w:line="487" w:lineRule="auto" w:before="123"/>
                      <w:ind w:left="546" w:right="1189" w:firstLine="553"/>
                      <w:jc w:val="left"/>
                      <w:rPr>
                        <w:rFonts w:ascii="Helvetica"/>
                        <w:sz w:val="16"/>
                      </w:rPr>
                    </w:pPr>
                    <w:r>
                      <w:rPr>
                        <w:rFonts w:ascii="Helvetica"/>
                        <w:color w:val="231F20"/>
                        <w:sz w:val="16"/>
                      </w:rPr>
                      <w:t>Blood volume Normal range</w:t>
                    </w:r>
                  </w:p>
                  <w:p>
                    <w:pPr>
                      <w:spacing w:before="53"/>
                      <w:ind w:left="164" w:right="0" w:firstLine="0"/>
                      <w:jc w:val="left"/>
                      <w:rPr>
                        <w:rFonts w:ascii="Helvetica"/>
                        <w:sz w:val="16"/>
                      </w:rPr>
                    </w:pPr>
                    <w:r>
                      <w:rPr>
                        <w:rFonts w:ascii="Helvetica"/>
                        <w:color w:val="231F20"/>
                        <w:sz w:val="16"/>
                      </w:rPr>
                      <w:t>Death</w:t>
                    </w:r>
                  </w:p>
                </w:txbxContent>
              </v:textbox>
              <w10:wrap type="none"/>
            </v:shape>
            <w10:wrap type="none"/>
          </v:group>
        </w:pict>
      </w:r>
      <w:r>
        <w:rPr/>
        <w:pict>
          <v:shape style="position:absolute;margin-left:346.608887pt;margin-top:3.239782pt;width:11.55pt;height:81.6pt;mso-position-horizontal-relative:page;mso-position-vertical-relative:paragraph;z-index:25267302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Blood volume (liters)</w:t>
                  </w:r>
                </w:p>
              </w:txbxContent>
            </v:textbox>
            <w10:wrap type="none"/>
          </v:shape>
        </w:pict>
      </w:r>
      <w:r>
        <w:rPr>
          <w:rFonts w:ascii="Helvetica"/>
          <w:color w:val="231F20"/>
          <w:w w:val="99"/>
          <w:sz w:val="16"/>
        </w:rPr>
        <w:t>5</w:t>
      </w:r>
    </w:p>
    <w:p>
      <w:pPr>
        <w:pStyle w:val="BodyText"/>
        <w:spacing w:before="2"/>
        <w:rPr>
          <w:rFonts w:ascii="Helvetica"/>
          <w:sz w:val="18"/>
        </w:rPr>
      </w:pPr>
    </w:p>
    <w:p>
      <w:pPr>
        <w:spacing w:before="1"/>
        <w:ind w:left="0" w:right="3844" w:firstLine="0"/>
        <w:jc w:val="center"/>
        <w:rPr>
          <w:rFonts w:ascii="Helvetica"/>
          <w:sz w:val="16"/>
        </w:rPr>
      </w:pPr>
      <w:r>
        <w:rPr>
          <w:rFonts w:ascii="Helvetica"/>
          <w:color w:val="231F20"/>
          <w:w w:val="99"/>
          <w:sz w:val="16"/>
        </w:rPr>
        <w:t>4</w:t>
      </w:r>
    </w:p>
    <w:p>
      <w:pPr>
        <w:pStyle w:val="BodyText"/>
        <w:spacing w:before="1"/>
        <w:rPr>
          <w:rFonts w:ascii="Helvetica"/>
          <w:sz w:val="17"/>
        </w:rPr>
      </w:pPr>
    </w:p>
    <w:p>
      <w:pPr>
        <w:spacing w:before="0"/>
        <w:ind w:left="0" w:right="3844" w:firstLine="0"/>
        <w:jc w:val="center"/>
        <w:rPr>
          <w:rFonts w:ascii="Helvetica"/>
          <w:sz w:val="16"/>
        </w:rPr>
      </w:pPr>
      <w:r>
        <w:rPr/>
        <w:pict>
          <v:shape style="position:absolute;margin-left:578.900024pt;margin-top:4.53291pt;width:15.9pt;height:53.35pt;mso-position-horizontal-relative:page;mso-position-vertical-relative:paragraph;z-index:25267200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w w:val="99"/>
          <w:sz w:val="16"/>
        </w:rPr>
        <w:t>3</w:t>
      </w:r>
    </w:p>
    <w:p>
      <w:pPr>
        <w:pStyle w:val="BodyText"/>
        <w:spacing w:before="6"/>
        <w:rPr>
          <w:rFonts w:ascii="Helvetica"/>
          <w:sz w:val="17"/>
        </w:rPr>
      </w:pPr>
    </w:p>
    <w:p>
      <w:pPr>
        <w:spacing w:before="1"/>
        <w:ind w:left="0" w:right="3844" w:firstLine="0"/>
        <w:jc w:val="center"/>
        <w:rPr>
          <w:rFonts w:ascii="Helvetica"/>
          <w:sz w:val="16"/>
        </w:rPr>
      </w:pPr>
      <w:r>
        <w:rPr>
          <w:rFonts w:ascii="Helvetica"/>
          <w:color w:val="231F20"/>
          <w:w w:val="99"/>
          <w:sz w:val="16"/>
        </w:rPr>
        <w:t>2</w:t>
      </w:r>
    </w:p>
    <w:p>
      <w:pPr>
        <w:pStyle w:val="BodyText"/>
        <w:spacing w:before="1"/>
        <w:rPr>
          <w:rFonts w:ascii="Helvetica"/>
          <w:sz w:val="17"/>
        </w:rPr>
      </w:pPr>
    </w:p>
    <w:p>
      <w:pPr>
        <w:spacing w:before="0"/>
        <w:ind w:left="0" w:right="3844" w:firstLine="0"/>
        <w:jc w:val="center"/>
        <w:rPr>
          <w:rFonts w:ascii="Helvetica"/>
          <w:sz w:val="16"/>
        </w:rPr>
      </w:pPr>
      <w:r>
        <w:rPr>
          <w:rFonts w:ascii="Helvetica"/>
          <w:color w:val="231F20"/>
          <w:w w:val="99"/>
          <w:sz w:val="16"/>
        </w:rPr>
        <w:t>1</w:t>
      </w:r>
    </w:p>
    <w:p>
      <w:pPr>
        <w:pStyle w:val="BodyText"/>
        <w:spacing w:before="5"/>
        <w:rPr>
          <w:rFonts w:ascii="Helvetica"/>
          <w:sz w:val="17"/>
        </w:rPr>
      </w:pPr>
    </w:p>
    <w:p>
      <w:pPr>
        <w:spacing w:before="0"/>
        <w:ind w:left="0" w:right="3844" w:firstLine="0"/>
        <w:jc w:val="center"/>
        <w:rPr>
          <w:rFonts w:ascii="Helvetica"/>
          <w:sz w:val="16"/>
        </w:rPr>
      </w:pPr>
      <w:r>
        <w:rPr>
          <w:rFonts w:ascii="Helvetica"/>
          <w:color w:val="231F20"/>
          <w:w w:val="99"/>
          <w:sz w:val="16"/>
        </w:rPr>
        <w:t>0</w:t>
      </w:r>
    </w:p>
    <w:p>
      <w:pPr>
        <w:tabs>
          <w:tab w:pos="401" w:val="left" w:leader="none"/>
          <w:tab w:pos="800" w:val="left" w:leader="none"/>
          <w:tab w:pos="1195" w:val="left" w:leader="none"/>
          <w:tab w:pos="1595" w:val="left" w:leader="none"/>
          <w:tab w:pos="1985" w:val="left" w:leader="none"/>
          <w:tab w:pos="2390" w:val="left" w:leader="none"/>
          <w:tab w:pos="2785" w:val="left" w:leader="none"/>
          <w:tab w:pos="3185" w:val="left" w:leader="none"/>
        </w:tabs>
        <w:spacing w:before="0"/>
        <w:ind w:left="0" w:right="331" w:firstLine="0"/>
        <w:jc w:val="center"/>
        <w:rPr>
          <w:rFonts w:ascii="Helvetica"/>
          <w:sz w:val="16"/>
        </w:rPr>
      </w:pPr>
      <w:r>
        <w:rPr>
          <w:rFonts w:ascii="Helvetica"/>
          <w:color w:val="231F20"/>
          <w:sz w:val="16"/>
        </w:rPr>
        <w:t>0</w:t>
        <w:tab/>
        <w:t>1</w:t>
        <w:tab/>
        <w:t>2</w:t>
        <w:tab/>
        <w:t>3</w:t>
        <w:tab/>
        <w:t>4</w:t>
        <w:tab/>
        <w:t>5</w:t>
        <w:tab/>
        <w:t>6</w:t>
        <w:tab/>
        <w:t>7</w:t>
        <w:tab/>
        <w:t>8</w:t>
      </w:r>
    </w:p>
    <w:p>
      <w:pPr>
        <w:spacing w:line="182" w:lineRule="exact" w:before="50"/>
        <w:ind w:left="295" w:right="618" w:firstLine="0"/>
        <w:jc w:val="center"/>
        <w:rPr>
          <w:rFonts w:ascii="Helvetica"/>
          <w:b/>
          <w:sz w:val="16"/>
        </w:rPr>
      </w:pPr>
      <w:r>
        <w:rPr/>
        <w:pict>
          <v:rect style="position:absolute;margin-left:576pt;margin-top:4.903625pt;width:36pt;height:24pt;mso-position-horizontal-relative:page;mso-position-vertical-relative:paragraph;z-index:252668928" filled="true" fillcolor="#e8dac8" stroked="false">
            <v:fill type="solid"/>
            <w10:wrap type="none"/>
          </v:rect>
        </w:pict>
      </w:r>
      <w:r>
        <w:rPr>
          <w:rFonts w:ascii="Helvetica"/>
          <w:b/>
          <w:color w:val="231F20"/>
          <w:sz w:val="16"/>
        </w:rPr>
        <w:t>Daily fluid intake</w:t>
      </w:r>
    </w:p>
    <w:p>
      <w:pPr>
        <w:spacing w:line="182" w:lineRule="exact" w:before="0"/>
        <w:ind w:left="295" w:right="618" w:firstLine="0"/>
        <w:jc w:val="center"/>
        <w:rPr>
          <w:rFonts w:ascii="Helvetica"/>
          <w:b/>
          <w:sz w:val="16"/>
        </w:rPr>
      </w:pPr>
      <w:r>
        <w:rPr>
          <w:rFonts w:ascii="Helvetica"/>
          <w:b/>
          <w:color w:val="231F20"/>
          <w:sz w:val="16"/>
        </w:rPr>
        <w:t>(water and electrolytes) (L/day)</w:t>
      </w:r>
    </w:p>
    <w:p>
      <w:pPr>
        <w:spacing w:line="259" w:lineRule="auto" w:before="92"/>
        <w:ind w:left="319" w:right="1077" w:firstLine="0"/>
        <w:jc w:val="both"/>
        <w:rPr>
          <w:rFonts w:ascii="Arial"/>
          <w:sz w:val="16"/>
        </w:rPr>
      </w:pPr>
      <w:bookmarkStart w:name="_bookmark98" w:id="99"/>
      <w:bookmarkEnd w:id="99"/>
      <w:r>
        <w:rPr/>
      </w:r>
      <w:r>
        <w:rPr>
          <w:rFonts w:ascii="Trebuchet MS"/>
          <w:b/>
          <w:color w:val="231F20"/>
          <w:sz w:val="16"/>
        </w:rPr>
        <w:t>Figure</w:t>
      </w:r>
      <w:r>
        <w:rPr>
          <w:rFonts w:ascii="Trebuchet MS"/>
          <w:b/>
          <w:color w:val="231F20"/>
          <w:spacing w:val="-18"/>
          <w:sz w:val="16"/>
        </w:rPr>
        <w:t> </w:t>
      </w:r>
      <w:r>
        <w:rPr>
          <w:rFonts w:ascii="Trebuchet MS"/>
          <w:b/>
          <w:color w:val="231F20"/>
          <w:sz w:val="16"/>
        </w:rPr>
        <w:t>30-15.</w:t>
      </w:r>
      <w:r>
        <w:rPr>
          <w:rFonts w:ascii="Trebuchet MS"/>
          <w:b/>
          <w:color w:val="231F20"/>
          <w:spacing w:val="10"/>
          <w:sz w:val="16"/>
        </w:rPr>
        <w:t> </w:t>
      </w:r>
      <w:r>
        <w:rPr>
          <w:rFonts w:ascii="Arial"/>
          <w:color w:val="231F20"/>
          <w:sz w:val="16"/>
        </w:rPr>
        <w:t>Approximate</w:t>
      </w:r>
      <w:r>
        <w:rPr>
          <w:rFonts w:ascii="Arial"/>
          <w:color w:val="231F20"/>
          <w:spacing w:val="-14"/>
          <w:sz w:val="16"/>
        </w:rPr>
        <w:t> </w:t>
      </w:r>
      <w:r>
        <w:rPr>
          <w:rFonts w:ascii="Arial"/>
          <w:color w:val="231F20"/>
          <w:sz w:val="16"/>
        </w:rPr>
        <w:t>effect</w:t>
      </w:r>
      <w:r>
        <w:rPr>
          <w:rFonts w:ascii="Arial"/>
          <w:color w:val="231F20"/>
          <w:spacing w:val="-14"/>
          <w:sz w:val="16"/>
        </w:rPr>
        <w:t> </w:t>
      </w:r>
      <w:r>
        <w:rPr>
          <w:rFonts w:ascii="Arial"/>
          <w:color w:val="231F20"/>
          <w:sz w:val="16"/>
        </w:rPr>
        <w:t>of</w:t>
      </w:r>
      <w:r>
        <w:rPr>
          <w:rFonts w:ascii="Arial"/>
          <w:color w:val="231F20"/>
          <w:spacing w:val="-15"/>
          <w:sz w:val="16"/>
        </w:rPr>
        <w:t> </w:t>
      </w:r>
      <w:r>
        <w:rPr>
          <w:rFonts w:ascii="Arial"/>
          <w:color w:val="231F20"/>
          <w:sz w:val="16"/>
        </w:rPr>
        <w:t>changes</w:t>
      </w:r>
      <w:r>
        <w:rPr>
          <w:rFonts w:ascii="Arial"/>
          <w:color w:val="231F20"/>
          <w:spacing w:val="-14"/>
          <w:sz w:val="16"/>
        </w:rPr>
        <w:t> </w:t>
      </w:r>
      <w:r>
        <w:rPr>
          <w:rFonts w:ascii="Arial"/>
          <w:color w:val="231F20"/>
          <w:sz w:val="16"/>
        </w:rPr>
        <w:t>in</w:t>
      </w:r>
      <w:r>
        <w:rPr>
          <w:rFonts w:ascii="Arial"/>
          <w:color w:val="231F20"/>
          <w:spacing w:val="-14"/>
          <w:sz w:val="16"/>
        </w:rPr>
        <w:t> </w:t>
      </w:r>
      <w:r>
        <w:rPr>
          <w:rFonts w:ascii="Arial"/>
          <w:color w:val="231F20"/>
          <w:sz w:val="16"/>
        </w:rPr>
        <w:t>daily</w:t>
      </w:r>
      <w:r>
        <w:rPr>
          <w:rFonts w:ascii="Arial"/>
          <w:color w:val="231F20"/>
          <w:spacing w:val="-14"/>
          <w:sz w:val="16"/>
        </w:rPr>
        <w:t> </w:t>
      </w:r>
      <w:r>
        <w:rPr>
          <w:rFonts w:ascii="Arial"/>
          <w:color w:val="231F20"/>
          <w:sz w:val="16"/>
        </w:rPr>
        <w:t>fluid</w:t>
      </w:r>
      <w:r>
        <w:rPr>
          <w:rFonts w:ascii="Arial"/>
          <w:color w:val="231F20"/>
          <w:spacing w:val="-14"/>
          <w:sz w:val="16"/>
        </w:rPr>
        <w:t> </w:t>
      </w:r>
      <w:r>
        <w:rPr>
          <w:rFonts w:ascii="Arial"/>
          <w:color w:val="231F20"/>
          <w:sz w:val="16"/>
        </w:rPr>
        <w:t>intake</w:t>
      </w:r>
      <w:r>
        <w:rPr>
          <w:rFonts w:ascii="Arial"/>
          <w:color w:val="231F20"/>
          <w:spacing w:val="-14"/>
          <w:sz w:val="16"/>
        </w:rPr>
        <w:t> </w:t>
      </w:r>
      <w:r>
        <w:rPr>
          <w:rFonts w:ascii="Arial"/>
          <w:color w:val="231F20"/>
          <w:spacing w:val="-6"/>
          <w:sz w:val="16"/>
        </w:rPr>
        <w:t>on </w:t>
      </w:r>
      <w:r>
        <w:rPr>
          <w:rFonts w:ascii="Arial"/>
          <w:color w:val="231F20"/>
          <w:sz w:val="16"/>
        </w:rPr>
        <w:t>blood</w:t>
      </w:r>
      <w:r>
        <w:rPr>
          <w:rFonts w:ascii="Arial"/>
          <w:color w:val="231F20"/>
          <w:spacing w:val="-13"/>
          <w:sz w:val="16"/>
        </w:rPr>
        <w:t> </w:t>
      </w:r>
      <w:r>
        <w:rPr>
          <w:rFonts w:ascii="Arial"/>
          <w:color w:val="231F20"/>
          <w:sz w:val="16"/>
        </w:rPr>
        <w:t>volume.</w:t>
      </w:r>
      <w:r>
        <w:rPr>
          <w:rFonts w:ascii="Arial"/>
          <w:color w:val="231F20"/>
          <w:spacing w:val="-12"/>
          <w:sz w:val="16"/>
        </w:rPr>
        <w:t> </w:t>
      </w:r>
      <w:r>
        <w:rPr>
          <w:rFonts w:ascii="Arial"/>
          <w:color w:val="231F20"/>
          <w:sz w:val="16"/>
        </w:rPr>
        <w:t>Note</w:t>
      </w:r>
      <w:r>
        <w:rPr>
          <w:rFonts w:ascii="Arial"/>
          <w:color w:val="231F20"/>
          <w:spacing w:val="-12"/>
          <w:sz w:val="16"/>
        </w:rPr>
        <w:t> </w:t>
      </w:r>
      <w:r>
        <w:rPr>
          <w:rFonts w:ascii="Arial"/>
          <w:color w:val="231F20"/>
          <w:sz w:val="16"/>
        </w:rPr>
        <w:t>that</w:t>
      </w:r>
      <w:r>
        <w:rPr>
          <w:rFonts w:ascii="Arial"/>
          <w:color w:val="231F20"/>
          <w:spacing w:val="-12"/>
          <w:sz w:val="16"/>
        </w:rPr>
        <w:t> </w:t>
      </w:r>
      <w:r>
        <w:rPr>
          <w:rFonts w:ascii="Arial"/>
          <w:color w:val="231F20"/>
          <w:sz w:val="16"/>
        </w:rPr>
        <w:t>blood</w:t>
      </w:r>
      <w:r>
        <w:rPr>
          <w:rFonts w:ascii="Arial"/>
          <w:color w:val="231F20"/>
          <w:spacing w:val="-12"/>
          <w:sz w:val="16"/>
        </w:rPr>
        <w:t> </w:t>
      </w:r>
      <w:r>
        <w:rPr>
          <w:rFonts w:ascii="Arial"/>
          <w:color w:val="231F20"/>
          <w:sz w:val="16"/>
        </w:rPr>
        <w:t>volume</w:t>
      </w:r>
      <w:r>
        <w:rPr>
          <w:rFonts w:ascii="Arial"/>
          <w:color w:val="231F20"/>
          <w:spacing w:val="-12"/>
          <w:sz w:val="16"/>
        </w:rPr>
        <w:t> </w:t>
      </w:r>
      <w:r>
        <w:rPr>
          <w:rFonts w:ascii="Arial"/>
          <w:color w:val="231F20"/>
          <w:sz w:val="16"/>
        </w:rPr>
        <w:t>remains</w:t>
      </w:r>
      <w:r>
        <w:rPr>
          <w:rFonts w:ascii="Arial"/>
          <w:color w:val="231F20"/>
          <w:spacing w:val="-12"/>
          <w:sz w:val="16"/>
        </w:rPr>
        <w:t> </w:t>
      </w:r>
      <w:r>
        <w:rPr>
          <w:rFonts w:ascii="Arial"/>
          <w:color w:val="231F20"/>
          <w:sz w:val="16"/>
        </w:rPr>
        <w:t>relatively</w:t>
      </w:r>
      <w:r>
        <w:rPr>
          <w:rFonts w:ascii="Arial"/>
          <w:color w:val="231F20"/>
          <w:spacing w:val="-12"/>
          <w:sz w:val="16"/>
        </w:rPr>
        <w:t> </w:t>
      </w:r>
      <w:r>
        <w:rPr>
          <w:rFonts w:ascii="Arial"/>
          <w:color w:val="231F20"/>
          <w:sz w:val="16"/>
        </w:rPr>
        <w:t>constant</w:t>
      </w:r>
      <w:r>
        <w:rPr>
          <w:rFonts w:ascii="Arial"/>
          <w:color w:val="231F20"/>
          <w:spacing w:val="-12"/>
          <w:sz w:val="16"/>
        </w:rPr>
        <w:t> </w:t>
      </w:r>
      <w:r>
        <w:rPr>
          <w:rFonts w:ascii="Arial"/>
          <w:color w:val="231F20"/>
          <w:spacing w:val="-8"/>
          <w:sz w:val="16"/>
        </w:rPr>
        <w:t>in </w:t>
      </w:r>
      <w:r>
        <w:rPr>
          <w:rFonts w:ascii="Arial"/>
          <w:color w:val="231F20"/>
          <w:sz w:val="16"/>
        </w:rPr>
        <w:t>the normal range of daily fluid</w:t>
      </w:r>
      <w:r>
        <w:rPr>
          <w:rFonts w:ascii="Arial"/>
          <w:color w:val="231F20"/>
          <w:spacing w:val="40"/>
          <w:sz w:val="16"/>
        </w:rPr>
        <w:t> </w:t>
      </w:r>
      <w:r>
        <w:rPr>
          <w:rFonts w:ascii="Arial"/>
          <w:color w:val="231F20"/>
          <w:sz w:val="16"/>
        </w:rPr>
        <w:t>intakes.</w:t>
      </w:r>
    </w:p>
    <w:p>
      <w:pPr>
        <w:pStyle w:val="BodyText"/>
        <w:spacing w:before="10"/>
        <w:rPr>
          <w:rFonts w:ascii="Arial"/>
          <w:sz w:val="23"/>
        </w:rPr>
      </w:pPr>
    </w:p>
    <w:p>
      <w:pPr>
        <w:pStyle w:val="BodyText"/>
        <w:spacing w:line="249" w:lineRule="auto"/>
        <w:ind w:left="319" w:right="1077"/>
        <w:jc w:val="both"/>
      </w:pPr>
      <w:r>
        <w:rPr>
          <w:color w:val="231F20"/>
          <w:w w:val="105"/>
        </w:rPr>
        <w:t>pressure</w:t>
      </w:r>
      <w:r>
        <w:rPr>
          <w:color w:val="231F20"/>
          <w:spacing w:val="-17"/>
          <w:w w:val="105"/>
        </w:rPr>
        <w:t> </w:t>
      </w:r>
      <w:r>
        <w:rPr>
          <w:color w:val="231F20"/>
          <w:w w:val="105"/>
        </w:rPr>
        <w:t>does</w:t>
      </w:r>
      <w:r>
        <w:rPr>
          <w:color w:val="231F20"/>
          <w:spacing w:val="-16"/>
          <w:w w:val="105"/>
        </w:rPr>
        <w:t> </w:t>
      </w:r>
      <w:r>
        <w:rPr>
          <w:color w:val="231F20"/>
          <w:w w:val="105"/>
        </w:rPr>
        <w:t>rise,</w:t>
      </w:r>
      <w:r>
        <w:rPr>
          <w:color w:val="231F20"/>
          <w:spacing w:val="-16"/>
          <w:w w:val="105"/>
        </w:rPr>
        <w:t> </w:t>
      </w:r>
      <w:r>
        <w:rPr>
          <w:color w:val="231F20"/>
          <w:w w:val="105"/>
        </w:rPr>
        <w:t>pressure</w:t>
      </w:r>
      <w:r>
        <w:rPr>
          <w:color w:val="231F20"/>
          <w:spacing w:val="-16"/>
          <w:w w:val="105"/>
        </w:rPr>
        <w:t> </w:t>
      </w:r>
      <w:r>
        <w:rPr>
          <w:color w:val="231F20"/>
          <w:w w:val="105"/>
        </w:rPr>
        <w:t>natriuresis</w:t>
      </w:r>
      <w:r>
        <w:rPr>
          <w:color w:val="231F20"/>
          <w:spacing w:val="-16"/>
          <w:w w:val="105"/>
        </w:rPr>
        <w:t> </w:t>
      </w:r>
      <w:r>
        <w:rPr>
          <w:color w:val="231F20"/>
          <w:w w:val="105"/>
        </w:rPr>
        <w:t>provides</w:t>
      </w:r>
      <w:r>
        <w:rPr>
          <w:color w:val="231F20"/>
          <w:spacing w:val="-16"/>
          <w:w w:val="105"/>
        </w:rPr>
        <w:t> </w:t>
      </w:r>
      <w:r>
        <w:rPr>
          <w:color w:val="231F20"/>
          <w:w w:val="105"/>
        </w:rPr>
        <w:t>a</w:t>
      </w:r>
      <w:r>
        <w:rPr>
          <w:color w:val="231F20"/>
          <w:spacing w:val="-16"/>
          <w:w w:val="105"/>
        </w:rPr>
        <w:t> </w:t>
      </w:r>
      <w:r>
        <w:rPr>
          <w:color w:val="231F20"/>
          <w:w w:val="105"/>
        </w:rPr>
        <w:t>critical means</w:t>
      </w:r>
      <w:r>
        <w:rPr>
          <w:color w:val="231F20"/>
          <w:spacing w:val="-25"/>
          <w:w w:val="105"/>
        </w:rPr>
        <w:t> </w:t>
      </w:r>
      <w:r>
        <w:rPr>
          <w:color w:val="231F20"/>
          <w:w w:val="105"/>
        </w:rPr>
        <w:t>of</w:t>
      </w:r>
      <w:r>
        <w:rPr>
          <w:color w:val="231F20"/>
          <w:spacing w:val="-25"/>
          <w:w w:val="105"/>
        </w:rPr>
        <w:t> </w:t>
      </w:r>
      <w:r>
        <w:rPr>
          <w:color w:val="231F20"/>
          <w:w w:val="105"/>
        </w:rPr>
        <w:t>maintaining</w:t>
      </w:r>
      <w:r>
        <w:rPr>
          <w:color w:val="231F20"/>
          <w:spacing w:val="-25"/>
          <w:w w:val="105"/>
        </w:rPr>
        <w:t> </w:t>
      </w:r>
      <w:r>
        <w:rPr>
          <w:color w:val="231F20"/>
          <w:w w:val="105"/>
        </w:rPr>
        <w:t>balance</w:t>
      </w:r>
      <w:r>
        <w:rPr>
          <w:color w:val="231F20"/>
          <w:spacing w:val="-25"/>
          <w:w w:val="105"/>
        </w:rPr>
        <w:t> </w:t>
      </w:r>
      <w:r>
        <w:rPr>
          <w:color w:val="231F20"/>
          <w:w w:val="105"/>
        </w:rPr>
        <w:t>between</w:t>
      </w:r>
      <w:r>
        <w:rPr>
          <w:color w:val="231F20"/>
          <w:spacing w:val="-25"/>
          <w:w w:val="105"/>
        </w:rPr>
        <w:t> </w:t>
      </w:r>
      <w:r>
        <w:rPr>
          <w:color w:val="231F20"/>
          <w:w w:val="105"/>
        </w:rPr>
        <w:t>sodium</w:t>
      </w:r>
      <w:r>
        <w:rPr>
          <w:color w:val="231F20"/>
          <w:spacing w:val="-25"/>
          <w:w w:val="105"/>
        </w:rPr>
        <w:t> </w:t>
      </w:r>
      <w:r>
        <w:rPr>
          <w:color w:val="231F20"/>
          <w:w w:val="105"/>
        </w:rPr>
        <w:t>intake</w:t>
      </w:r>
      <w:r>
        <w:rPr>
          <w:color w:val="231F20"/>
          <w:spacing w:val="-24"/>
          <w:w w:val="105"/>
        </w:rPr>
        <w:t> </w:t>
      </w:r>
      <w:r>
        <w:rPr>
          <w:color w:val="231F20"/>
          <w:spacing w:val="-5"/>
          <w:w w:val="105"/>
        </w:rPr>
        <w:t>and </w:t>
      </w:r>
      <w:r>
        <w:rPr>
          <w:color w:val="231F20"/>
          <w:w w:val="105"/>
        </w:rPr>
        <w:t>urinary sodium</w:t>
      </w:r>
      <w:r>
        <w:rPr>
          <w:color w:val="231F20"/>
          <w:spacing w:val="5"/>
          <w:w w:val="105"/>
        </w:rPr>
        <w:t> </w:t>
      </w:r>
      <w:r>
        <w:rPr>
          <w:color w:val="231F20"/>
          <w:w w:val="105"/>
        </w:rPr>
        <w:t>excretion.</w:t>
      </w:r>
    </w:p>
    <w:p>
      <w:pPr>
        <w:pStyle w:val="BodyText"/>
        <w:spacing w:before="10"/>
        <w:rPr>
          <w:sz w:val="30"/>
        </w:rPr>
      </w:pPr>
    </w:p>
    <w:p>
      <w:pPr>
        <w:pStyle w:val="Heading2"/>
        <w:spacing w:line="225" w:lineRule="auto"/>
        <w:ind w:right="2300"/>
      </w:pPr>
      <w:r>
        <w:rPr>
          <w:color w:val="231F20"/>
        </w:rPr>
        <w:t>PRECISION OF BLOOD VOLUME AND EXTRACELLULAR FLUID VOLUME REGULATION</w:t>
      </w:r>
    </w:p>
    <w:p>
      <w:pPr>
        <w:pStyle w:val="BodyText"/>
        <w:spacing w:line="249" w:lineRule="auto" w:before="124"/>
        <w:ind w:left="319" w:right="1077"/>
        <w:jc w:val="both"/>
      </w:pPr>
      <w:r>
        <w:rPr>
          <w:color w:val="231F20"/>
          <w:w w:val="105"/>
        </w:rPr>
        <w:t>By studying </w:t>
      </w:r>
      <w:hyperlink w:history="true" w:anchor="_bookmark97">
        <w:r>
          <w:rPr>
            <w:rFonts w:ascii="Cambria"/>
            <w:b/>
            <w:color w:val="0080AC"/>
            <w:w w:val="105"/>
          </w:rPr>
          <w:t>Figure 30-14</w:t>
        </w:r>
        <w:r>
          <w:rPr>
            <w:color w:val="0080AC"/>
            <w:w w:val="105"/>
          </w:rPr>
          <w:t>, one</w:t>
        </w:r>
      </w:hyperlink>
      <w:r>
        <w:rPr>
          <w:color w:val="0080AC"/>
          <w:w w:val="105"/>
        </w:rPr>
        <w:t> </w:t>
      </w:r>
      <w:r>
        <w:rPr>
          <w:color w:val="231F20"/>
          <w:w w:val="105"/>
        </w:rPr>
        <w:t>can see why  the  blood volume remains almost exactly constant </w:t>
      </w:r>
      <w:r>
        <w:rPr>
          <w:color w:val="231F20"/>
          <w:spacing w:val="-3"/>
          <w:w w:val="105"/>
        </w:rPr>
        <w:t>despite </w:t>
      </w:r>
      <w:r>
        <w:rPr>
          <w:color w:val="231F20"/>
          <w:w w:val="105"/>
        </w:rPr>
        <w:t>extreme</w:t>
      </w:r>
      <w:r>
        <w:rPr>
          <w:color w:val="231F20"/>
          <w:spacing w:val="-14"/>
          <w:w w:val="105"/>
        </w:rPr>
        <w:t> </w:t>
      </w:r>
      <w:r>
        <w:rPr>
          <w:color w:val="231F20"/>
          <w:w w:val="105"/>
        </w:rPr>
        <w:t>changes</w:t>
      </w:r>
      <w:r>
        <w:rPr>
          <w:color w:val="231F20"/>
          <w:spacing w:val="-13"/>
          <w:w w:val="105"/>
        </w:rPr>
        <w:t> </w:t>
      </w:r>
      <w:r>
        <w:rPr>
          <w:color w:val="231F20"/>
          <w:w w:val="105"/>
        </w:rPr>
        <w:t>in</w:t>
      </w:r>
      <w:r>
        <w:rPr>
          <w:color w:val="231F20"/>
          <w:spacing w:val="-14"/>
          <w:w w:val="105"/>
        </w:rPr>
        <w:t> </w:t>
      </w:r>
      <w:r>
        <w:rPr>
          <w:color w:val="231F20"/>
          <w:w w:val="105"/>
        </w:rPr>
        <w:t>daily</w:t>
      </w:r>
      <w:r>
        <w:rPr>
          <w:color w:val="231F20"/>
          <w:spacing w:val="-13"/>
          <w:w w:val="105"/>
        </w:rPr>
        <w:t> </w:t>
      </w:r>
      <w:r>
        <w:rPr>
          <w:color w:val="231F20"/>
          <w:w w:val="105"/>
        </w:rPr>
        <w:t>fluid</w:t>
      </w:r>
      <w:r>
        <w:rPr>
          <w:color w:val="231F20"/>
          <w:spacing w:val="-14"/>
          <w:w w:val="105"/>
        </w:rPr>
        <w:t> </w:t>
      </w:r>
      <w:r>
        <w:rPr>
          <w:color w:val="231F20"/>
          <w:w w:val="105"/>
        </w:rPr>
        <w:t>intake.</w:t>
      </w:r>
      <w:r>
        <w:rPr>
          <w:color w:val="231F20"/>
          <w:spacing w:val="-13"/>
          <w:w w:val="105"/>
        </w:rPr>
        <w:t> </w:t>
      </w:r>
      <w:r>
        <w:rPr>
          <w:color w:val="231F20"/>
          <w:w w:val="105"/>
        </w:rPr>
        <w:t>The</w:t>
      </w:r>
      <w:r>
        <w:rPr>
          <w:color w:val="231F20"/>
          <w:spacing w:val="-14"/>
          <w:w w:val="105"/>
        </w:rPr>
        <w:t> </w:t>
      </w:r>
      <w:r>
        <w:rPr>
          <w:color w:val="231F20"/>
          <w:w w:val="105"/>
        </w:rPr>
        <w:t>reason</w:t>
      </w:r>
      <w:r>
        <w:rPr>
          <w:color w:val="231F20"/>
          <w:spacing w:val="-13"/>
          <w:w w:val="105"/>
        </w:rPr>
        <w:t> </w:t>
      </w:r>
      <w:r>
        <w:rPr>
          <w:color w:val="231F20"/>
          <w:w w:val="105"/>
        </w:rPr>
        <w:t>for</w:t>
      </w:r>
      <w:r>
        <w:rPr>
          <w:color w:val="231F20"/>
          <w:spacing w:val="-14"/>
          <w:w w:val="105"/>
        </w:rPr>
        <w:t> </w:t>
      </w:r>
      <w:r>
        <w:rPr>
          <w:color w:val="231F20"/>
          <w:w w:val="105"/>
        </w:rPr>
        <w:t>this phenomenon</w:t>
      </w:r>
      <w:r>
        <w:rPr>
          <w:color w:val="231F20"/>
          <w:spacing w:val="-27"/>
          <w:w w:val="105"/>
        </w:rPr>
        <w:t> </w:t>
      </w:r>
      <w:r>
        <w:rPr>
          <w:color w:val="231F20"/>
          <w:w w:val="105"/>
        </w:rPr>
        <w:t>is</w:t>
      </w:r>
      <w:r>
        <w:rPr>
          <w:color w:val="231F20"/>
          <w:spacing w:val="-28"/>
          <w:w w:val="105"/>
        </w:rPr>
        <w:t> </w:t>
      </w:r>
      <w:r>
        <w:rPr>
          <w:color w:val="231F20"/>
          <w:w w:val="105"/>
        </w:rPr>
        <w:t>the</w:t>
      </w:r>
      <w:r>
        <w:rPr>
          <w:color w:val="231F20"/>
          <w:spacing w:val="-27"/>
          <w:w w:val="105"/>
        </w:rPr>
        <w:t> </w:t>
      </w:r>
      <w:r>
        <w:rPr>
          <w:color w:val="231F20"/>
          <w:w w:val="105"/>
        </w:rPr>
        <w:t>following:</w:t>
      </w:r>
      <w:r>
        <w:rPr>
          <w:color w:val="231F20"/>
          <w:spacing w:val="-27"/>
          <w:w w:val="105"/>
        </w:rPr>
        <w:t> </w:t>
      </w:r>
      <w:r>
        <w:rPr>
          <w:color w:val="231F20"/>
          <w:w w:val="105"/>
        </w:rPr>
        <w:t>(1)</w:t>
      </w:r>
      <w:r>
        <w:rPr>
          <w:color w:val="231F20"/>
          <w:spacing w:val="-27"/>
          <w:w w:val="105"/>
        </w:rPr>
        <w:t> </w:t>
      </w:r>
      <w:r>
        <w:rPr>
          <w:color w:val="231F20"/>
          <w:w w:val="105"/>
        </w:rPr>
        <w:t>A</w:t>
      </w:r>
      <w:r>
        <w:rPr>
          <w:color w:val="231F20"/>
          <w:spacing w:val="-27"/>
          <w:w w:val="105"/>
        </w:rPr>
        <w:t> </w:t>
      </w:r>
      <w:r>
        <w:rPr>
          <w:color w:val="231F20"/>
          <w:w w:val="105"/>
        </w:rPr>
        <w:t>slight</w:t>
      </w:r>
      <w:r>
        <w:rPr>
          <w:color w:val="231F20"/>
          <w:spacing w:val="-27"/>
          <w:w w:val="105"/>
        </w:rPr>
        <w:t> </w:t>
      </w:r>
      <w:r>
        <w:rPr>
          <w:color w:val="231F20"/>
          <w:w w:val="105"/>
        </w:rPr>
        <w:t>change</w:t>
      </w:r>
      <w:r>
        <w:rPr>
          <w:color w:val="231F20"/>
          <w:spacing w:val="-27"/>
          <w:w w:val="105"/>
        </w:rPr>
        <w:t> </w:t>
      </w:r>
      <w:r>
        <w:rPr>
          <w:color w:val="231F20"/>
          <w:w w:val="105"/>
        </w:rPr>
        <w:t>in</w:t>
      </w:r>
      <w:r>
        <w:rPr>
          <w:color w:val="231F20"/>
          <w:spacing w:val="-27"/>
          <w:w w:val="105"/>
        </w:rPr>
        <w:t> </w:t>
      </w:r>
      <w:r>
        <w:rPr>
          <w:color w:val="231F20"/>
          <w:spacing w:val="-3"/>
          <w:w w:val="105"/>
        </w:rPr>
        <w:t>blood </w:t>
      </w:r>
      <w:r>
        <w:rPr>
          <w:color w:val="231F20"/>
          <w:w w:val="105"/>
        </w:rPr>
        <w:t>volume causes a marked change in cardiac output, (2) a slight change in cardiac output causes a large change in blood</w:t>
      </w:r>
      <w:r>
        <w:rPr>
          <w:color w:val="231F20"/>
          <w:spacing w:val="-7"/>
          <w:w w:val="105"/>
        </w:rPr>
        <w:t> </w:t>
      </w:r>
      <w:r>
        <w:rPr>
          <w:color w:val="231F20"/>
          <w:w w:val="105"/>
        </w:rPr>
        <w:t>pressure,</w:t>
      </w:r>
      <w:r>
        <w:rPr>
          <w:color w:val="231F20"/>
          <w:spacing w:val="-6"/>
          <w:w w:val="105"/>
        </w:rPr>
        <w:t> </w:t>
      </w:r>
      <w:r>
        <w:rPr>
          <w:color w:val="231F20"/>
          <w:w w:val="105"/>
        </w:rPr>
        <w:t>and</w:t>
      </w:r>
      <w:r>
        <w:rPr>
          <w:color w:val="231F20"/>
          <w:spacing w:val="-6"/>
          <w:w w:val="105"/>
        </w:rPr>
        <w:t> </w:t>
      </w:r>
      <w:r>
        <w:rPr>
          <w:color w:val="231F20"/>
          <w:w w:val="105"/>
        </w:rPr>
        <w:t>(3)</w:t>
      </w:r>
      <w:r>
        <w:rPr>
          <w:color w:val="231F20"/>
          <w:spacing w:val="-7"/>
          <w:w w:val="105"/>
        </w:rPr>
        <w:t> </w:t>
      </w:r>
      <w:r>
        <w:rPr>
          <w:color w:val="231F20"/>
          <w:w w:val="105"/>
        </w:rPr>
        <w:t>a</w:t>
      </w:r>
      <w:r>
        <w:rPr>
          <w:color w:val="231F20"/>
          <w:spacing w:val="-6"/>
          <w:w w:val="105"/>
        </w:rPr>
        <w:t> </w:t>
      </w:r>
      <w:r>
        <w:rPr>
          <w:color w:val="231F20"/>
          <w:w w:val="105"/>
        </w:rPr>
        <w:t>slight</w:t>
      </w:r>
      <w:r>
        <w:rPr>
          <w:color w:val="231F20"/>
          <w:spacing w:val="-6"/>
          <w:w w:val="105"/>
        </w:rPr>
        <w:t> </w:t>
      </w:r>
      <w:r>
        <w:rPr>
          <w:color w:val="231F20"/>
          <w:w w:val="105"/>
        </w:rPr>
        <w:t>change</w:t>
      </w:r>
      <w:r>
        <w:rPr>
          <w:color w:val="231F20"/>
          <w:spacing w:val="-6"/>
          <w:w w:val="105"/>
        </w:rPr>
        <w:t> </w:t>
      </w:r>
      <w:r>
        <w:rPr>
          <w:color w:val="231F20"/>
          <w:w w:val="105"/>
        </w:rPr>
        <w:t>in</w:t>
      </w:r>
      <w:r>
        <w:rPr>
          <w:color w:val="231F20"/>
          <w:spacing w:val="-7"/>
          <w:w w:val="105"/>
        </w:rPr>
        <w:t> </w:t>
      </w:r>
      <w:r>
        <w:rPr>
          <w:color w:val="231F20"/>
          <w:w w:val="105"/>
        </w:rPr>
        <w:t>blood</w:t>
      </w:r>
      <w:r>
        <w:rPr>
          <w:color w:val="231F20"/>
          <w:spacing w:val="-6"/>
          <w:w w:val="105"/>
        </w:rPr>
        <w:t> </w:t>
      </w:r>
      <w:r>
        <w:rPr>
          <w:color w:val="231F20"/>
          <w:spacing w:val="-3"/>
          <w:w w:val="105"/>
        </w:rPr>
        <w:t>pressure </w:t>
      </w:r>
      <w:r>
        <w:rPr>
          <w:color w:val="231F20"/>
          <w:w w:val="105"/>
        </w:rPr>
        <w:t>causes</w:t>
      </w:r>
      <w:r>
        <w:rPr>
          <w:color w:val="231F20"/>
          <w:spacing w:val="-16"/>
          <w:w w:val="105"/>
        </w:rPr>
        <w:t> </w:t>
      </w:r>
      <w:r>
        <w:rPr>
          <w:color w:val="231F20"/>
          <w:w w:val="105"/>
        </w:rPr>
        <w:t>a</w:t>
      </w:r>
      <w:r>
        <w:rPr>
          <w:color w:val="231F20"/>
          <w:spacing w:val="-16"/>
          <w:w w:val="105"/>
        </w:rPr>
        <w:t> </w:t>
      </w:r>
      <w:r>
        <w:rPr>
          <w:color w:val="231F20"/>
          <w:w w:val="105"/>
        </w:rPr>
        <w:t>large</w:t>
      </w:r>
      <w:r>
        <w:rPr>
          <w:color w:val="231F20"/>
          <w:spacing w:val="-16"/>
          <w:w w:val="105"/>
        </w:rPr>
        <w:t> </w:t>
      </w:r>
      <w:r>
        <w:rPr>
          <w:color w:val="231F20"/>
          <w:w w:val="105"/>
        </w:rPr>
        <w:t>change</w:t>
      </w:r>
      <w:r>
        <w:rPr>
          <w:color w:val="231F20"/>
          <w:spacing w:val="-15"/>
          <w:w w:val="105"/>
        </w:rPr>
        <w:t> </w:t>
      </w:r>
      <w:r>
        <w:rPr>
          <w:color w:val="231F20"/>
          <w:w w:val="105"/>
        </w:rPr>
        <w:t>in</w:t>
      </w:r>
      <w:r>
        <w:rPr>
          <w:color w:val="231F20"/>
          <w:spacing w:val="-16"/>
          <w:w w:val="105"/>
        </w:rPr>
        <w:t> </w:t>
      </w:r>
      <w:r>
        <w:rPr>
          <w:color w:val="231F20"/>
          <w:w w:val="105"/>
        </w:rPr>
        <w:t>urine</w:t>
      </w:r>
      <w:r>
        <w:rPr>
          <w:color w:val="231F20"/>
          <w:spacing w:val="-16"/>
          <w:w w:val="105"/>
        </w:rPr>
        <w:t> </w:t>
      </w:r>
      <w:r>
        <w:rPr>
          <w:color w:val="231F20"/>
          <w:w w:val="105"/>
        </w:rPr>
        <w:t>output.</w:t>
      </w:r>
      <w:r>
        <w:rPr>
          <w:color w:val="231F20"/>
          <w:spacing w:val="-16"/>
          <w:w w:val="105"/>
        </w:rPr>
        <w:t> </w:t>
      </w:r>
      <w:r>
        <w:rPr>
          <w:color w:val="231F20"/>
          <w:w w:val="105"/>
        </w:rPr>
        <w:t>These</w:t>
      </w:r>
      <w:r>
        <w:rPr>
          <w:color w:val="231F20"/>
          <w:spacing w:val="-15"/>
          <w:w w:val="105"/>
        </w:rPr>
        <w:t> </w:t>
      </w:r>
      <w:r>
        <w:rPr>
          <w:color w:val="231F20"/>
          <w:w w:val="105"/>
        </w:rPr>
        <w:t>factors</w:t>
      </w:r>
      <w:r>
        <w:rPr>
          <w:color w:val="231F20"/>
          <w:spacing w:val="-16"/>
          <w:w w:val="105"/>
        </w:rPr>
        <w:t> </w:t>
      </w:r>
      <w:r>
        <w:rPr>
          <w:color w:val="231F20"/>
          <w:w w:val="105"/>
        </w:rPr>
        <w:t>work together to provide effective feedback control of blood volume.</w:t>
      </w:r>
    </w:p>
    <w:p>
      <w:pPr>
        <w:pStyle w:val="BodyText"/>
        <w:spacing w:line="249" w:lineRule="auto" w:before="6"/>
        <w:ind w:left="319" w:right="1077" w:firstLine="240"/>
        <w:jc w:val="both"/>
      </w:pPr>
      <w:r>
        <w:rPr>
          <w:color w:val="231F20"/>
          <w:w w:val="105"/>
        </w:rPr>
        <w:t>The</w:t>
      </w:r>
      <w:r>
        <w:rPr>
          <w:color w:val="231F20"/>
          <w:spacing w:val="-21"/>
          <w:w w:val="105"/>
        </w:rPr>
        <w:t> </w:t>
      </w:r>
      <w:r>
        <w:rPr>
          <w:color w:val="231F20"/>
          <w:w w:val="105"/>
        </w:rPr>
        <w:t>same</w:t>
      </w:r>
      <w:r>
        <w:rPr>
          <w:color w:val="231F20"/>
          <w:spacing w:val="-21"/>
          <w:w w:val="105"/>
        </w:rPr>
        <w:t> </w:t>
      </w:r>
      <w:r>
        <w:rPr>
          <w:color w:val="231F20"/>
          <w:w w:val="105"/>
        </w:rPr>
        <w:t>control</w:t>
      </w:r>
      <w:r>
        <w:rPr>
          <w:color w:val="231F20"/>
          <w:spacing w:val="-21"/>
          <w:w w:val="105"/>
        </w:rPr>
        <w:t> </w:t>
      </w:r>
      <w:r>
        <w:rPr>
          <w:color w:val="231F20"/>
          <w:w w:val="105"/>
        </w:rPr>
        <w:t>mechanisms</w:t>
      </w:r>
      <w:r>
        <w:rPr>
          <w:color w:val="231F20"/>
          <w:spacing w:val="-20"/>
          <w:w w:val="105"/>
        </w:rPr>
        <w:t> </w:t>
      </w:r>
      <w:r>
        <w:rPr>
          <w:color w:val="231F20"/>
          <w:w w:val="105"/>
        </w:rPr>
        <w:t>operate</w:t>
      </w:r>
      <w:r>
        <w:rPr>
          <w:color w:val="231F20"/>
          <w:spacing w:val="-21"/>
          <w:w w:val="105"/>
        </w:rPr>
        <w:t> </w:t>
      </w:r>
      <w:r>
        <w:rPr>
          <w:color w:val="231F20"/>
          <w:w w:val="105"/>
        </w:rPr>
        <w:t>whenever</w:t>
      </w:r>
      <w:r>
        <w:rPr>
          <w:color w:val="231F20"/>
          <w:spacing w:val="-21"/>
          <w:w w:val="105"/>
        </w:rPr>
        <w:t> </w:t>
      </w:r>
      <w:r>
        <w:rPr>
          <w:color w:val="231F20"/>
          <w:w w:val="105"/>
        </w:rPr>
        <w:t>there is</w:t>
      </w:r>
      <w:r>
        <w:rPr>
          <w:color w:val="231F20"/>
          <w:spacing w:val="-10"/>
          <w:w w:val="105"/>
        </w:rPr>
        <w:t> </w:t>
      </w:r>
      <w:r>
        <w:rPr>
          <w:color w:val="231F20"/>
          <w:w w:val="105"/>
        </w:rPr>
        <w:t>a</w:t>
      </w:r>
      <w:r>
        <w:rPr>
          <w:color w:val="231F20"/>
          <w:spacing w:val="-10"/>
          <w:w w:val="105"/>
        </w:rPr>
        <w:t> </w:t>
      </w:r>
      <w:r>
        <w:rPr>
          <w:color w:val="231F20"/>
          <w:w w:val="105"/>
        </w:rPr>
        <w:t>blood</w:t>
      </w:r>
      <w:r>
        <w:rPr>
          <w:color w:val="231F20"/>
          <w:spacing w:val="-9"/>
          <w:w w:val="105"/>
        </w:rPr>
        <w:t> </w:t>
      </w:r>
      <w:r>
        <w:rPr>
          <w:color w:val="231F20"/>
          <w:w w:val="105"/>
        </w:rPr>
        <w:t>loss</w:t>
      </w:r>
      <w:r>
        <w:rPr>
          <w:color w:val="231F20"/>
          <w:spacing w:val="-10"/>
          <w:w w:val="105"/>
        </w:rPr>
        <w:t> </w:t>
      </w:r>
      <w:r>
        <w:rPr>
          <w:color w:val="231F20"/>
          <w:w w:val="105"/>
        </w:rPr>
        <w:t>because</w:t>
      </w:r>
      <w:r>
        <w:rPr>
          <w:color w:val="231F20"/>
          <w:spacing w:val="-10"/>
          <w:w w:val="105"/>
        </w:rPr>
        <w:t> </w:t>
      </w:r>
      <w:r>
        <w:rPr>
          <w:color w:val="231F20"/>
          <w:w w:val="105"/>
        </w:rPr>
        <w:t>of</w:t>
      </w:r>
      <w:r>
        <w:rPr>
          <w:color w:val="231F20"/>
          <w:spacing w:val="-9"/>
          <w:w w:val="105"/>
        </w:rPr>
        <w:t> </w:t>
      </w:r>
      <w:r>
        <w:rPr>
          <w:color w:val="231F20"/>
          <w:w w:val="105"/>
        </w:rPr>
        <w:t>hemorrhage.</w:t>
      </w:r>
      <w:r>
        <w:rPr>
          <w:color w:val="231F20"/>
          <w:spacing w:val="-10"/>
          <w:w w:val="105"/>
        </w:rPr>
        <w:t> </w:t>
      </w:r>
      <w:r>
        <w:rPr>
          <w:color w:val="231F20"/>
          <w:w w:val="105"/>
        </w:rPr>
        <w:t>In</w:t>
      </w:r>
      <w:r>
        <w:rPr>
          <w:color w:val="231F20"/>
          <w:spacing w:val="-10"/>
          <w:w w:val="105"/>
        </w:rPr>
        <w:t> </w:t>
      </w:r>
      <w:r>
        <w:rPr>
          <w:color w:val="231F20"/>
          <w:w w:val="105"/>
        </w:rPr>
        <w:t>this</w:t>
      </w:r>
      <w:r>
        <w:rPr>
          <w:color w:val="231F20"/>
          <w:spacing w:val="-9"/>
          <w:w w:val="105"/>
        </w:rPr>
        <w:t> </w:t>
      </w:r>
      <w:r>
        <w:rPr>
          <w:color w:val="231F20"/>
          <w:w w:val="105"/>
        </w:rPr>
        <w:t>case,</w:t>
      </w:r>
      <w:r>
        <w:rPr>
          <w:color w:val="231F20"/>
          <w:spacing w:val="-10"/>
          <w:w w:val="105"/>
        </w:rPr>
        <w:t> </w:t>
      </w:r>
      <w:r>
        <w:rPr>
          <w:color w:val="231F20"/>
          <w:w w:val="105"/>
        </w:rPr>
        <w:t>a</w:t>
      </w:r>
      <w:r>
        <w:rPr>
          <w:color w:val="231F20"/>
          <w:spacing w:val="-9"/>
          <w:w w:val="105"/>
        </w:rPr>
        <w:t> </w:t>
      </w:r>
      <w:r>
        <w:rPr>
          <w:color w:val="231F20"/>
          <w:w w:val="105"/>
        </w:rPr>
        <w:t>fall in blood pressure along with nervous and</w:t>
      </w:r>
      <w:r>
        <w:rPr>
          <w:color w:val="231F20"/>
          <w:spacing w:val="34"/>
          <w:w w:val="105"/>
        </w:rPr>
        <w:t> </w:t>
      </w:r>
      <w:r>
        <w:rPr>
          <w:color w:val="231F20"/>
          <w:w w:val="105"/>
        </w:rPr>
        <w:t>hormonal factors</w:t>
      </w:r>
      <w:r>
        <w:rPr>
          <w:color w:val="231F20"/>
          <w:spacing w:val="-35"/>
          <w:w w:val="105"/>
        </w:rPr>
        <w:t> </w:t>
      </w:r>
      <w:r>
        <w:rPr>
          <w:color w:val="231F20"/>
          <w:w w:val="105"/>
        </w:rPr>
        <w:t>discussed</w:t>
      </w:r>
      <w:r>
        <w:rPr>
          <w:color w:val="231F20"/>
          <w:spacing w:val="-34"/>
          <w:w w:val="105"/>
        </w:rPr>
        <w:t> </w:t>
      </w:r>
      <w:r>
        <w:rPr>
          <w:color w:val="231F20"/>
          <w:w w:val="105"/>
        </w:rPr>
        <w:t>later</w:t>
      </w:r>
      <w:r>
        <w:rPr>
          <w:color w:val="231F20"/>
          <w:spacing w:val="-34"/>
          <w:w w:val="105"/>
        </w:rPr>
        <w:t> </w:t>
      </w:r>
      <w:r>
        <w:rPr>
          <w:color w:val="231F20"/>
          <w:w w:val="105"/>
        </w:rPr>
        <w:t>cause</w:t>
      </w:r>
      <w:r>
        <w:rPr>
          <w:color w:val="231F20"/>
          <w:spacing w:val="-34"/>
          <w:w w:val="105"/>
        </w:rPr>
        <w:t> </w:t>
      </w:r>
      <w:r>
        <w:rPr>
          <w:color w:val="231F20"/>
          <w:w w:val="105"/>
        </w:rPr>
        <w:t>fluid</w:t>
      </w:r>
      <w:r>
        <w:rPr>
          <w:color w:val="231F20"/>
          <w:spacing w:val="-35"/>
          <w:w w:val="105"/>
        </w:rPr>
        <w:t> </w:t>
      </w:r>
      <w:r>
        <w:rPr>
          <w:color w:val="231F20"/>
          <w:w w:val="105"/>
        </w:rPr>
        <w:t>retention</w:t>
      </w:r>
      <w:r>
        <w:rPr>
          <w:color w:val="231F20"/>
          <w:spacing w:val="-34"/>
          <w:w w:val="105"/>
        </w:rPr>
        <w:t> </w:t>
      </w:r>
      <w:r>
        <w:rPr>
          <w:color w:val="231F20"/>
          <w:w w:val="105"/>
        </w:rPr>
        <w:t>by</w:t>
      </w:r>
      <w:r>
        <w:rPr>
          <w:color w:val="231F20"/>
          <w:spacing w:val="-34"/>
          <w:w w:val="105"/>
        </w:rPr>
        <w:t> </w:t>
      </w:r>
      <w:r>
        <w:rPr>
          <w:color w:val="231F20"/>
          <w:w w:val="105"/>
        </w:rPr>
        <w:t>the</w:t>
      </w:r>
      <w:r>
        <w:rPr>
          <w:color w:val="231F20"/>
          <w:spacing w:val="-34"/>
          <w:w w:val="105"/>
        </w:rPr>
        <w:t> </w:t>
      </w:r>
      <w:r>
        <w:rPr>
          <w:color w:val="231F20"/>
          <w:w w:val="105"/>
        </w:rPr>
        <w:t>kidneys. Other parallel processes occur to reconstitute the red blood cells and plasma proteins in the blood. If abnor- malities</w:t>
      </w:r>
      <w:r>
        <w:rPr>
          <w:color w:val="231F20"/>
          <w:spacing w:val="-8"/>
          <w:w w:val="105"/>
        </w:rPr>
        <w:t> </w:t>
      </w:r>
      <w:r>
        <w:rPr>
          <w:color w:val="231F20"/>
          <w:w w:val="105"/>
        </w:rPr>
        <w:t>of</w:t>
      </w:r>
      <w:r>
        <w:rPr>
          <w:color w:val="231F20"/>
          <w:spacing w:val="-7"/>
          <w:w w:val="105"/>
        </w:rPr>
        <w:t> </w:t>
      </w:r>
      <w:r>
        <w:rPr>
          <w:color w:val="231F20"/>
          <w:w w:val="105"/>
        </w:rPr>
        <w:t>red</w:t>
      </w:r>
      <w:r>
        <w:rPr>
          <w:color w:val="231F20"/>
          <w:spacing w:val="-7"/>
          <w:w w:val="105"/>
        </w:rPr>
        <w:t> </w:t>
      </w:r>
      <w:r>
        <w:rPr>
          <w:color w:val="231F20"/>
          <w:w w:val="105"/>
        </w:rPr>
        <w:t>blood</w:t>
      </w:r>
      <w:r>
        <w:rPr>
          <w:color w:val="231F20"/>
          <w:spacing w:val="-7"/>
          <w:w w:val="105"/>
        </w:rPr>
        <w:t> </w:t>
      </w:r>
      <w:r>
        <w:rPr>
          <w:color w:val="231F20"/>
          <w:w w:val="105"/>
        </w:rPr>
        <w:t>cell</w:t>
      </w:r>
      <w:r>
        <w:rPr>
          <w:color w:val="231F20"/>
          <w:spacing w:val="-7"/>
          <w:w w:val="105"/>
        </w:rPr>
        <w:t> </w:t>
      </w:r>
      <w:r>
        <w:rPr>
          <w:color w:val="231F20"/>
          <w:w w:val="105"/>
        </w:rPr>
        <w:t>volume</w:t>
      </w:r>
      <w:r>
        <w:rPr>
          <w:color w:val="231F20"/>
          <w:spacing w:val="-7"/>
          <w:w w:val="105"/>
        </w:rPr>
        <w:t> </w:t>
      </w:r>
      <w:r>
        <w:rPr>
          <w:color w:val="231F20"/>
          <w:w w:val="105"/>
        </w:rPr>
        <w:t>remain,</w:t>
      </w:r>
      <w:r>
        <w:rPr>
          <w:color w:val="231F20"/>
          <w:spacing w:val="-7"/>
          <w:w w:val="105"/>
        </w:rPr>
        <w:t> </w:t>
      </w:r>
      <w:r>
        <w:rPr>
          <w:color w:val="231F20"/>
          <w:w w:val="105"/>
        </w:rPr>
        <w:t>such</w:t>
      </w:r>
      <w:r>
        <w:rPr>
          <w:color w:val="231F20"/>
          <w:spacing w:val="-7"/>
          <w:w w:val="105"/>
        </w:rPr>
        <w:t> </w:t>
      </w:r>
      <w:r>
        <w:rPr>
          <w:color w:val="231F20"/>
          <w:w w:val="105"/>
        </w:rPr>
        <w:t>as</w:t>
      </w:r>
      <w:r>
        <w:rPr>
          <w:color w:val="231F20"/>
          <w:spacing w:val="-7"/>
          <w:w w:val="105"/>
        </w:rPr>
        <w:t> </w:t>
      </w:r>
      <w:r>
        <w:rPr>
          <w:color w:val="231F20"/>
          <w:w w:val="105"/>
        </w:rPr>
        <w:t>occurs when</w:t>
      </w:r>
      <w:r>
        <w:rPr>
          <w:color w:val="231F20"/>
          <w:spacing w:val="-21"/>
          <w:w w:val="105"/>
        </w:rPr>
        <w:t> </w:t>
      </w:r>
      <w:r>
        <w:rPr>
          <w:color w:val="231F20"/>
          <w:w w:val="105"/>
        </w:rPr>
        <w:t>there</w:t>
      </w:r>
      <w:r>
        <w:rPr>
          <w:color w:val="231F20"/>
          <w:spacing w:val="-20"/>
          <w:w w:val="105"/>
        </w:rPr>
        <w:t> </w:t>
      </w:r>
      <w:r>
        <w:rPr>
          <w:color w:val="231F20"/>
          <w:w w:val="105"/>
        </w:rPr>
        <w:t>is</w:t>
      </w:r>
      <w:r>
        <w:rPr>
          <w:color w:val="231F20"/>
          <w:spacing w:val="-21"/>
          <w:w w:val="105"/>
        </w:rPr>
        <w:t> </w:t>
      </w:r>
      <w:r>
        <w:rPr>
          <w:color w:val="231F20"/>
          <w:w w:val="105"/>
        </w:rPr>
        <w:t>deficiency</w:t>
      </w:r>
      <w:r>
        <w:rPr>
          <w:color w:val="231F20"/>
          <w:spacing w:val="-20"/>
          <w:w w:val="105"/>
        </w:rPr>
        <w:t> </w:t>
      </w:r>
      <w:r>
        <w:rPr>
          <w:color w:val="231F20"/>
          <w:w w:val="105"/>
        </w:rPr>
        <w:t>of</w:t>
      </w:r>
      <w:r>
        <w:rPr>
          <w:color w:val="231F20"/>
          <w:spacing w:val="-21"/>
          <w:w w:val="105"/>
        </w:rPr>
        <w:t> </w:t>
      </w:r>
      <w:r>
        <w:rPr>
          <w:color w:val="231F20"/>
          <w:w w:val="105"/>
        </w:rPr>
        <w:t>erythropoietin</w:t>
      </w:r>
      <w:r>
        <w:rPr>
          <w:color w:val="231F20"/>
          <w:spacing w:val="-20"/>
          <w:w w:val="105"/>
        </w:rPr>
        <w:t> </w:t>
      </w:r>
      <w:r>
        <w:rPr>
          <w:color w:val="231F20"/>
          <w:w w:val="105"/>
        </w:rPr>
        <w:t>or</w:t>
      </w:r>
      <w:r>
        <w:rPr>
          <w:color w:val="231F20"/>
          <w:spacing w:val="-20"/>
          <w:w w:val="105"/>
        </w:rPr>
        <w:t> </w:t>
      </w:r>
      <w:r>
        <w:rPr>
          <w:color w:val="231F20"/>
          <w:w w:val="105"/>
        </w:rPr>
        <w:t>other</w:t>
      </w:r>
      <w:r>
        <w:rPr>
          <w:color w:val="231F20"/>
          <w:spacing w:val="-21"/>
          <w:w w:val="105"/>
        </w:rPr>
        <w:t> </w:t>
      </w:r>
      <w:r>
        <w:rPr>
          <w:color w:val="231F20"/>
          <w:spacing w:val="-3"/>
          <w:w w:val="105"/>
        </w:rPr>
        <w:t>factors </w:t>
      </w:r>
      <w:r>
        <w:rPr>
          <w:color w:val="231F20"/>
          <w:w w:val="105"/>
        </w:rPr>
        <w:t>needed</w:t>
      </w:r>
      <w:r>
        <w:rPr>
          <w:color w:val="231F20"/>
          <w:spacing w:val="-18"/>
          <w:w w:val="105"/>
        </w:rPr>
        <w:t> </w:t>
      </w:r>
      <w:r>
        <w:rPr>
          <w:color w:val="231F20"/>
          <w:w w:val="105"/>
        </w:rPr>
        <w:t>to</w:t>
      </w:r>
      <w:r>
        <w:rPr>
          <w:color w:val="231F20"/>
          <w:spacing w:val="-18"/>
          <w:w w:val="105"/>
        </w:rPr>
        <w:t> </w:t>
      </w:r>
      <w:r>
        <w:rPr>
          <w:color w:val="231F20"/>
          <w:w w:val="105"/>
        </w:rPr>
        <w:t>stimulate</w:t>
      </w:r>
      <w:r>
        <w:rPr>
          <w:color w:val="231F20"/>
          <w:spacing w:val="-17"/>
          <w:w w:val="105"/>
        </w:rPr>
        <w:t> </w:t>
      </w:r>
      <w:r>
        <w:rPr>
          <w:color w:val="231F20"/>
          <w:w w:val="105"/>
        </w:rPr>
        <w:t>red</w:t>
      </w:r>
      <w:r>
        <w:rPr>
          <w:color w:val="231F20"/>
          <w:spacing w:val="-18"/>
          <w:w w:val="105"/>
        </w:rPr>
        <w:t> </w:t>
      </w:r>
      <w:r>
        <w:rPr>
          <w:color w:val="231F20"/>
          <w:w w:val="105"/>
        </w:rPr>
        <w:t>blood</w:t>
      </w:r>
      <w:r>
        <w:rPr>
          <w:color w:val="231F20"/>
          <w:spacing w:val="-17"/>
          <w:w w:val="105"/>
        </w:rPr>
        <w:t> </w:t>
      </w:r>
      <w:r>
        <w:rPr>
          <w:color w:val="231F20"/>
          <w:w w:val="105"/>
        </w:rPr>
        <w:t>cell</w:t>
      </w:r>
      <w:r>
        <w:rPr>
          <w:color w:val="231F20"/>
          <w:spacing w:val="-18"/>
          <w:w w:val="105"/>
        </w:rPr>
        <w:t> </w:t>
      </w:r>
      <w:r>
        <w:rPr>
          <w:color w:val="231F20"/>
          <w:w w:val="105"/>
        </w:rPr>
        <w:t>production,</w:t>
      </w:r>
      <w:r>
        <w:rPr>
          <w:color w:val="231F20"/>
          <w:spacing w:val="-18"/>
          <w:w w:val="105"/>
        </w:rPr>
        <w:t> </w:t>
      </w:r>
      <w:r>
        <w:rPr>
          <w:color w:val="231F20"/>
          <w:w w:val="105"/>
        </w:rPr>
        <w:t>the</w:t>
      </w:r>
      <w:r>
        <w:rPr>
          <w:color w:val="231F20"/>
          <w:spacing w:val="-17"/>
          <w:w w:val="105"/>
        </w:rPr>
        <w:t> </w:t>
      </w:r>
      <w:r>
        <w:rPr>
          <w:color w:val="231F20"/>
          <w:w w:val="105"/>
        </w:rPr>
        <w:t>plasma volume</w:t>
      </w:r>
      <w:r>
        <w:rPr>
          <w:color w:val="231F20"/>
          <w:spacing w:val="-33"/>
          <w:w w:val="105"/>
        </w:rPr>
        <w:t> </w:t>
      </w:r>
      <w:r>
        <w:rPr>
          <w:color w:val="231F20"/>
          <w:w w:val="105"/>
        </w:rPr>
        <w:t>will</w:t>
      </w:r>
      <w:r>
        <w:rPr>
          <w:color w:val="231F20"/>
          <w:spacing w:val="-32"/>
          <w:w w:val="105"/>
        </w:rPr>
        <w:t> </w:t>
      </w:r>
      <w:r>
        <w:rPr>
          <w:color w:val="231F20"/>
          <w:w w:val="105"/>
        </w:rPr>
        <w:t>simply</w:t>
      </w:r>
      <w:r>
        <w:rPr>
          <w:color w:val="231F20"/>
          <w:spacing w:val="-32"/>
          <w:w w:val="105"/>
        </w:rPr>
        <w:t> </w:t>
      </w:r>
      <w:r>
        <w:rPr>
          <w:color w:val="231F20"/>
          <w:w w:val="105"/>
        </w:rPr>
        <w:t>make</w:t>
      </w:r>
      <w:r>
        <w:rPr>
          <w:color w:val="231F20"/>
          <w:spacing w:val="-33"/>
          <w:w w:val="105"/>
        </w:rPr>
        <w:t> </w:t>
      </w:r>
      <w:r>
        <w:rPr>
          <w:color w:val="231F20"/>
          <w:w w:val="105"/>
        </w:rPr>
        <w:t>up</w:t>
      </w:r>
      <w:r>
        <w:rPr>
          <w:color w:val="231F20"/>
          <w:spacing w:val="-32"/>
          <w:w w:val="105"/>
        </w:rPr>
        <w:t> </w:t>
      </w:r>
      <w:r>
        <w:rPr>
          <w:color w:val="231F20"/>
          <w:w w:val="105"/>
        </w:rPr>
        <w:t>the</w:t>
      </w:r>
      <w:r>
        <w:rPr>
          <w:color w:val="231F20"/>
          <w:spacing w:val="-32"/>
          <w:w w:val="105"/>
        </w:rPr>
        <w:t> </w:t>
      </w:r>
      <w:r>
        <w:rPr>
          <w:color w:val="231F20"/>
          <w:w w:val="105"/>
        </w:rPr>
        <w:t>difference,</w:t>
      </w:r>
      <w:r>
        <w:rPr>
          <w:color w:val="231F20"/>
          <w:spacing w:val="-33"/>
          <w:w w:val="105"/>
        </w:rPr>
        <w:t> </w:t>
      </w:r>
      <w:r>
        <w:rPr>
          <w:color w:val="231F20"/>
          <w:w w:val="105"/>
        </w:rPr>
        <w:t>and</w:t>
      </w:r>
      <w:r>
        <w:rPr>
          <w:color w:val="231F20"/>
          <w:spacing w:val="-32"/>
          <w:w w:val="105"/>
        </w:rPr>
        <w:t> </w:t>
      </w:r>
      <w:r>
        <w:rPr>
          <w:color w:val="231F20"/>
          <w:w w:val="105"/>
        </w:rPr>
        <w:t>the</w:t>
      </w:r>
      <w:r>
        <w:rPr>
          <w:color w:val="231F20"/>
          <w:spacing w:val="-32"/>
          <w:w w:val="105"/>
        </w:rPr>
        <w:t> </w:t>
      </w:r>
      <w:r>
        <w:rPr>
          <w:color w:val="231F20"/>
          <w:w w:val="105"/>
        </w:rPr>
        <w:t>overall blood</w:t>
      </w:r>
      <w:r>
        <w:rPr>
          <w:color w:val="231F20"/>
          <w:spacing w:val="-23"/>
          <w:w w:val="105"/>
        </w:rPr>
        <w:t> </w:t>
      </w:r>
      <w:r>
        <w:rPr>
          <w:color w:val="231F20"/>
          <w:w w:val="105"/>
        </w:rPr>
        <w:t>volume</w:t>
      </w:r>
      <w:r>
        <w:rPr>
          <w:color w:val="231F20"/>
          <w:spacing w:val="-22"/>
          <w:w w:val="105"/>
        </w:rPr>
        <w:t> </w:t>
      </w:r>
      <w:r>
        <w:rPr>
          <w:color w:val="231F20"/>
          <w:w w:val="105"/>
        </w:rPr>
        <w:t>will</w:t>
      </w:r>
      <w:r>
        <w:rPr>
          <w:color w:val="231F20"/>
          <w:spacing w:val="-22"/>
          <w:w w:val="105"/>
        </w:rPr>
        <w:t> </w:t>
      </w:r>
      <w:r>
        <w:rPr>
          <w:color w:val="231F20"/>
          <w:w w:val="105"/>
        </w:rPr>
        <w:t>return</w:t>
      </w:r>
      <w:r>
        <w:rPr>
          <w:color w:val="231F20"/>
          <w:spacing w:val="-22"/>
          <w:w w:val="105"/>
        </w:rPr>
        <w:t> </w:t>
      </w:r>
      <w:r>
        <w:rPr>
          <w:color w:val="231F20"/>
          <w:w w:val="105"/>
        </w:rPr>
        <w:t>essentially</w:t>
      </w:r>
      <w:r>
        <w:rPr>
          <w:color w:val="231F20"/>
          <w:spacing w:val="-23"/>
          <w:w w:val="105"/>
        </w:rPr>
        <w:t> </w:t>
      </w:r>
      <w:r>
        <w:rPr>
          <w:color w:val="231F20"/>
          <w:w w:val="105"/>
        </w:rPr>
        <w:t>to</w:t>
      </w:r>
      <w:r>
        <w:rPr>
          <w:color w:val="231F20"/>
          <w:spacing w:val="-22"/>
          <w:w w:val="105"/>
        </w:rPr>
        <w:t> </w:t>
      </w:r>
      <w:r>
        <w:rPr>
          <w:color w:val="231F20"/>
          <w:w w:val="105"/>
        </w:rPr>
        <w:t>normal</w:t>
      </w:r>
      <w:r>
        <w:rPr>
          <w:color w:val="231F20"/>
          <w:spacing w:val="-22"/>
          <w:w w:val="105"/>
        </w:rPr>
        <w:t> </w:t>
      </w:r>
      <w:r>
        <w:rPr>
          <w:color w:val="231F20"/>
          <w:w w:val="105"/>
        </w:rPr>
        <w:t>despite</w:t>
      </w:r>
      <w:r>
        <w:rPr>
          <w:color w:val="231F20"/>
          <w:spacing w:val="-22"/>
          <w:w w:val="105"/>
        </w:rPr>
        <w:t> </w:t>
      </w:r>
      <w:r>
        <w:rPr>
          <w:color w:val="231F20"/>
          <w:w w:val="105"/>
        </w:rPr>
        <w:t>the low red blood cell</w:t>
      </w:r>
      <w:r>
        <w:rPr>
          <w:color w:val="231F20"/>
          <w:spacing w:val="8"/>
          <w:w w:val="105"/>
        </w:rPr>
        <w:t> </w:t>
      </w:r>
      <w:r>
        <w:rPr>
          <w:color w:val="231F20"/>
          <w:w w:val="105"/>
        </w:rPr>
        <w:t>mass.</w:t>
      </w:r>
    </w:p>
    <w:p>
      <w:pPr>
        <w:pStyle w:val="BodyText"/>
        <w:spacing w:before="5"/>
        <w:rPr>
          <w:sz w:val="25"/>
        </w:rPr>
      </w:pPr>
      <w:r>
        <w:rPr/>
        <w:pict>
          <v:shape style="position:absolute;margin-left:324pt;margin-top:15.864567pt;width:234pt;height:40pt;mso-position-horizontal-relative:page;mso-position-vertical-relative:paragraph;z-index:-250651648;mso-wrap-distance-left:0;mso-wrap-distance-right:0" type="#_x0000_t202" filled="true" fillcolor="#e8dac8" stroked="false">
            <v:textbox inset="0,0,0,0">
              <w:txbxContent>
                <w:p>
                  <w:pPr>
                    <w:spacing w:line="225" w:lineRule="auto" w:before="46"/>
                    <w:ind w:left="60" w:right="739" w:firstLine="0"/>
                    <w:jc w:val="both"/>
                    <w:rPr>
                      <w:rFonts w:ascii="Trebuchet MS"/>
                      <w:b/>
                      <w:sz w:val="22"/>
                    </w:rPr>
                  </w:pPr>
                  <w:r>
                    <w:rPr>
                      <w:rFonts w:ascii="Trebuchet MS"/>
                      <w:b/>
                      <w:color w:val="231F20"/>
                      <w:w w:val="110"/>
                      <w:sz w:val="22"/>
                    </w:rPr>
                    <w:t>DISTRIBUTION OF</w:t>
                  </w:r>
                  <w:r>
                    <w:rPr>
                      <w:rFonts w:ascii="Trebuchet MS"/>
                      <w:b/>
                      <w:color w:val="231F20"/>
                      <w:spacing w:val="-16"/>
                      <w:w w:val="110"/>
                      <w:sz w:val="22"/>
                    </w:rPr>
                    <w:t> </w:t>
                  </w:r>
                  <w:r>
                    <w:rPr>
                      <w:rFonts w:ascii="Trebuchet MS"/>
                      <w:b/>
                      <w:color w:val="231F20"/>
                      <w:spacing w:val="-2"/>
                      <w:w w:val="110"/>
                      <w:sz w:val="22"/>
                    </w:rPr>
                    <w:t>EXTRACELLULAR </w:t>
                  </w:r>
                  <w:r>
                    <w:rPr>
                      <w:rFonts w:ascii="Trebuchet MS"/>
                      <w:b/>
                      <w:color w:val="231F20"/>
                      <w:w w:val="110"/>
                      <w:sz w:val="22"/>
                    </w:rPr>
                    <w:t>FLUID</w:t>
                  </w:r>
                  <w:r>
                    <w:rPr>
                      <w:rFonts w:ascii="Trebuchet MS"/>
                      <w:b/>
                      <w:color w:val="231F20"/>
                      <w:spacing w:val="-22"/>
                      <w:w w:val="110"/>
                      <w:sz w:val="22"/>
                    </w:rPr>
                    <w:t> </w:t>
                  </w:r>
                  <w:r>
                    <w:rPr>
                      <w:rFonts w:ascii="Trebuchet MS"/>
                      <w:b/>
                      <w:color w:val="231F20"/>
                      <w:w w:val="110"/>
                      <w:sz w:val="22"/>
                    </w:rPr>
                    <w:t>BETWEEN</w:t>
                  </w:r>
                  <w:r>
                    <w:rPr>
                      <w:rFonts w:ascii="Trebuchet MS"/>
                      <w:b/>
                      <w:color w:val="231F20"/>
                      <w:spacing w:val="-21"/>
                      <w:w w:val="110"/>
                      <w:sz w:val="22"/>
                    </w:rPr>
                    <w:t> </w:t>
                  </w:r>
                  <w:r>
                    <w:rPr>
                      <w:rFonts w:ascii="Trebuchet MS"/>
                      <w:b/>
                      <w:color w:val="231F20"/>
                      <w:w w:val="110"/>
                      <w:sz w:val="22"/>
                    </w:rPr>
                    <w:t>THE</w:t>
                  </w:r>
                  <w:r>
                    <w:rPr>
                      <w:rFonts w:ascii="Trebuchet MS"/>
                      <w:b/>
                      <w:color w:val="231F20"/>
                      <w:spacing w:val="-22"/>
                      <w:w w:val="110"/>
                      <w:sz w:val="22"/>
                    </w:rPr>
                    <w:t> </w:t>
                  </w:r>
                  <w:r>
                    <w:rPr>
                      <w:rFonts w:ascii="Trebuchet MS"/>
                      <w:b/>
                      <w:color w:val="231F20"/>
                      <w:w w:val="110"/>
                      <w:sz w:val="22"/>
                    </w:rPr>
                    <w:t>INTERSTITIAL </w:t>
                  </w:r>
                  <w:r>
                    <w:rPr>
                      <w:rFonts w:ascii="Trebuchet MS"/>
                      <w:b/>
                      <w:color w:val="231F20"/>
                      <w:spacing w:val="-3"/>
                      <w:w w:val="110"/>
                      <w:sz w:val="22"/>
                    </w:rPr>
                    <w:t>SPACES </w:t>
                  </w:r>
                  <w:r>
                    <w:rPr>
                      <w:rFonts w:ascii="Trebuchet MS"/>
                      <w:b/>
                      <w:color w:val="231F20"/>
                      <w:w w:val="110"/>
                      <w:sz w:val="22"/>
                    </w:rPr>
                    <w:t>AND VASCULAR</w:t>
                  </w:r>
                  <w:r>
                    <w:rPr>
                      <w:rFonts w:ascii="Trebuchet MS"/>
                      <w:b/>
                      <w:color w:val="231F20"/>
                      <w:spacing w:val="-41"/>
                      <w:w w:val="110"/>
                      <w:sz w:val="22"/>
                    </w:rPr>
                    <w:t> </w:t>
                  </w:r>
                  <w:r>
                    <w:rPr>
                      <w:rFonts w:ascii="Trebuchet MS"/>
                      <w:b/>
                      <w:color w:val="231F20"/>
                      <w:w w:val="110"/>
                      <w:sz w:val="22"/>
                    </w:rPr>
                    <w:t>SYSTEM</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5"/>
        <w:ind w:left="319" w:right="1077"/>
        <w:jc w:val="both"/>
      </w:pPr>
      <w:r>
        <w:rPr>
          <w:color w:val="231F20"/>
        </w:rPr>
        <w:t>From </w:t>
      </w:r>
      <w:hyperlink w:history="true" w:anchor="_bookmark97">
        <w:r>
          <w:rPr>
            <w:rFonts w:ascii="Cambria"/>
            <w:b/>
            <w:color w:val="0080AC"/>
          </w:rPr>
          <w:t>Figure 30-14 </w:t>
        </w:r>
      </w:hyperlink>
      <w:r>
        <w:rPr>
          <w:color w:val="231F20"/>
        </w:rPr>
        <w:t>it is apparent that blood volume and extracellular</w:t>
      </w:r>
      <w:r>
        <w:rPr>
          <w:color w:val="231F20"/>
          <w:spacing w:val="-7"/>
        </w:rPr>
        <w:t> </w:t>
      </w:r>
      <w:r>
        <w:rPr>
          <w:color w:val="231F20"/>
        </w:rPr>
        <w:t>fluid</w:t>
      </w:r>
      <w:r>
        <w:rPr>
          <w:color w:val="231F20"/>
          <w:spacing w:val="-7"/>
        </w:rPr>
        <w:t> </w:t>
      </w:r>
      <w:r>
        <w:rPr>
          <w:color w:val="231F20"/>
        </w:rPr>
        <w:t>volume</w:t>
      </w:r>
      <w:r>
        <w:rPr>
          <w:color w:val="231F20"/>
          <w:spacing w:val="-6"/>
        </w:rPr>
        <w:t> </w:t>
      </w:r>
      <w:r>
        <w:rPr>
          <w:color w:val="231F20"/>
        </w:rPr>
        <w:t>are</w:t>
      </w:r>
      <w:r>
        <w:rPr>
          <w:color w:val="231F20"/>
          <w:spacing w:val="-7"/>
        </w:rPr>
        <w:t> </w:t>
      </w:r>
      <w:r>
        <w:rPr>
          <w:color w:val="231F20"/>
        </w:rPr>
        <w:t>usually</w:t>
      </w:r>
      <w:r>
        <w:rPr>
          <w:color w:val="231F20"/>
          <w:spacing w:val="-6"/>
        </w:rPr>
        <w:t> </w:t>
      </w:r>
      <w:r>
        <w:rPr>
          <w:color w:val="231F20"/>
        </w:rPr>
        <w:t>controlled</w:t>
      </w:r>
      <w:r>
        <w:rPr>
          <w:color w:val="231F20"/>
          <w:spacing w:val="-7"/>
        </w:rPr>
        <w:t> </w:t>
      </w:r>
      <w:r>
        <w:rPr>
          <w:color w:val="231F20"/>
        </w:rPr>
        <w:t>in</w:t>
      </w:r>
      <w:r>
        <w:rPr>
          <w:color w:val="231F20"/>
          <w:spacing w:val="-6"/>
        </w:rPr>
        <w:t> </w:t>
      </w:r>
      <w:r>
        <w:rPr>
          <w:color w:val="231F20"/>
        </w:rPr>
        <w:t>parallel with each </w:t>
      </w:r>
      <w:r>
        <w:rPr>
          <w:color w:val="231F20"/>
          <w:spacing w:val="-3"/>
        </w:rPr>
        <w:t>other. </w:t>
      </w:r>
      <w:r>
        <w:rPr>
          <w:color w:val="231F20"/>
        </w:rPr>
        <w:t>Ingested fluid initially goes into the blood, but it rapidly becomes distributed between the interstitial spaces and the plasma. Therefore,</w:t>
      </w:r>
      <w:r>
        <w:rPr>
          <w:color w:val="231F20"/>
          <w:spacing w:val="44"/>
        </w:rPr>
        <w:t> </w:t>
      </w:r>
      <w:r>
        <w:rPr>
          <w:color w:val="231F20"/>
        </w:rPr>
        <w:t>blood</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918"/>
          <w:footerReference w:type="even" r:id="rId919"/>
          <w:footerReference w:type="default" r:id="rId920"/>
          <w:pgSz w:w="12240" w:h="15660"/>
          <w:pgMar w:header="0" w:footer="567" w:top="720" w:bottom="760" w:left="0" w:right="0"/>
          <w:pgNumType w:start="402"/>
        </w:sectPr>
      </w:pPr>
    </w:p>
    <w:p>
      <w:pPr>
        <w:spacing w:before="127"/>
        <w:ind w:left="0" w:right="1695" w:firstLine="0"/>
        <w:jc w:val="center"/>
        <w:rPr>
          <w:rFonts w:ascii="Helvetica"/>
          <w:sz w:val="16"/>
        </w:rPr>
      </w:pPr>
      <w:r>
        <w:rPr/>
        <w:pict>
          <v:group style="position:absolute;margin-left:94.448296pt;margin-top:7.360792pt;width:174.1pt;height:128.15pt;mso-position-horizontal-relative:page;mso-position-vertical-relative:paragraph;z-index:252679168" coordorigin="1889,147" coordsize="3482,2563">
            <v:shape style="position:absolute;left:-77;top:12298;width:3308;height:2498" coordorigin="-77,12298" coordsize="3308,2498" path="m1966,2633l1889,2633m1967,2633l1967,2710m1966,2332l1889,2332m1966,2030l1889,2030m1966,1728l1889,1728m1966,1427l1889,1427m1966,1125l1889,1125m1966,824l1889,824m1966,522l1889,522m1966,220l1889,220m2369,2633l2369,2710m2772,2633l2772,2710m3174,2633l3174,2710m3577,2633l3577,2710m3979,2633l3979,2710m4382,2633l4382,2710m4784,2633l4784,2710m5187,2633l5187,2710m1966,212l1966,2632,5196,2632e" filled="false" stroked="true" strokeweight="1pt" strokecolor="#231f20">
              <v:path arrowok="t"/>
              <v:stroke dashstyle="solid"/>
            </v:shape>
            <v:shape style="position:absolute;left:3828;top:336;width:1488;height:120" coordorigin="3829,336" coordsize="1488,120" path="m5316,456l5312,433,5299,414,5280,401,5256,396,4633,396,4609,392,4590,379,4577,360,4573,336,4568,360,4555,379,4536,392,4513,396,3889,396,3866,401,3847,414,3834,433,3829,456e" filled="false" stroked="true" strokeweight=".75pt" strokecolor="#231f20">
              <v:path arrowok="t"/>
              <v:stroke dashstyle="solid"/>
            </v:shape>
            <v:shape style="position:absolute;left:2751;top:1565;width:217;height:253" type="#_x0000_t75" stroked="false">
              <v:imagedata r:id="rId921" o:title=""/>
            </v:shape>
            <v:shape style="position:absolute;left:2920;top:531;width:2430;height:1005" coordorigin="2921,532" coordsize="2430,1005" path="m2921,1536l3491,844,3624,655,3781,560,4063,532,4570,542,5350,542e" filled="false" stroked="true" strokeweight="2pt" strokecolor="#f0535f">
              <v:path arrowok="t"/>
              <v:stroke dashstyle="solid"/>
            </v:shape>
            <v:line style="position:absolute" from="2723,1775" to="2909,1551" stroked="true" strokeweight="2pt" strokecolor="#f0535f">
              <v:stroke dashstyle="shortdash"/>
            </v:line>
            <v:line style="position:absolute" from="3173,1117" to="3315,1182" stroked="true" strokeweight="1.25pt" strokecolor="#f0535f">
              <v:stroke dashstyle="solid"/>
            </v:line>
            <v:line style="position:absolute" from="3242,1062" to="3242,1244" stroked="true" strokeweight="1.295pt" strokecolor="#f0535f">
              <v:stroke dashstyle="solid"/>
            </v:line>
            <v:line style="position:absolute" from="3262,1141" to="3595,1141" stroked="true" strokeweight="1pt" strokecolor="#231f20">
              <v:stroke dashstyle="solid"/>
            </v:line>
            <v:shape style="position:absolute;left:4319;top:147;width:52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Edema</w:t>
                    </w:r>
                  </w:p>
                </w:txbxContent>
              </v:textbox>
              <w10:wrap type="none"/>
            </v:shape>
            <v:shape style="position:absolute;left:3625;top:1046;width:963;height:185" type="#_x0000_t202" filled="false" stroked="false">
              <v:textbox inset="0,0,0,0">
                <w:txbxContent>
                  <w:p>
                    <w:pPr>
                      <w:spacing w:line="183" w:lineRule="exact" w:before="0"/>
                      <w:ind w:left="0" w:right="0" w:firstLine="0"/>
                      <w:jc w:val="left"/>
                      <w:rPr>
                        <w:rFonts w:ascii="Helvetica"/>
                        <w:b/>
                        <w:sz w:val="16"/>
                      </w:rPr>
                    </w:pPr>
                    <w:r>
                      <w:rPr>
                        <w:rFonts w:ascii="Helvetica"/>
                        <w:b/>
                        <w:color w:val="231F20"/>
                        <w:w w:val="95"/>
                        <w:sz w:val="16"/>
                      </w:rPr>
                      <w:t>Normal value</w:t>
                    </w:r>
                  </w:p>
                </w:txbxContent>
              </v:textbox>
              <w10:wrap type="none"/>
            </v:shape>
            <v:shape style="position:absolute;left:2980;top:1677;width:44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Death</w:t>
                    </w:r>
                  </w:p>
                </w:txbxContent>
              </v:textbox>
              <w10:wrap type="none"/>
            </v:shape>
            <w10:wrap type="none"/>
          </v:group>
        </w:pict>
      </w:r>
      <w:r>
        <w:rPr>
          <w:rFonts w:ascii="Helvetica"/>
          <w:color w:val="231F20"/>
          <w:w w:val="99"/>
          <w:sz w:val="16"/>
        </w:rPr>
        <w:t>8</w:t>
      </w:r>
    </w:p>
    <w:p>
      <w:pPr>
        <w:spacing w:before="117"/>
        <w:ind w:left="0" w:right="1695" w:firstLine="0"/>
        <w:jc w:val="center"/>
        <w:rPr>
          <w:rFonts w:ascii="Helvetica"/>
          <w:sz w:val="16"/>
        </w:rPr>
      </w:pPr>
      <w:r>
        <w:rPr/>
        <w:pict>
          <v:shape style="position:absolute;margin-left:72.676102pt;margin-top:15.082885pt;width:11.55pt;height:81.6pt;mso-position-horizontal-relative:page;mso-position-vertical-relative:paragraph;z-index:252681216"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Blood volume (liters)</w:t>
                  </w:r>
                </w:p>
              </w:txbxContent>
            </v:textbox>
            <w10:wrap type="none"/>
          </v:shape>
        </w:pict>
      </w:r>
      <w:r>
        <w:rPr>
          <w:rFonts w:ascii="Helvetica"/>
          <w:color w:val="231F20"/>
          <w:w w:val="99"/>
          <w:sz w:val="16"/>
        </w:rPr>
        <w:t>7</w:t>
      </w:r>
    </w:p>
    <w:p>
      <w:pPr>
        <w:spacing w:before="113"/>
        <w:ind w:left="0" w:right="1695" w:firstLine="0"/>
        <w:jc w:val="center"/>
        <w:rPr>
          <w:rFonts w:ascii="Helvetica"/>
          <w:sz w:val="16"/>
        </w:rPr>
      </w:pPr>
      <w:r>
        <w:rPr>
          <w:rFonts w:ascii="Helvetica"/>
          <w:color w:val="231F20"/>
          <w:w w:val="99"/>
          <w:sz w:val="16"/>
        </w:rPr>
        <w:t>6</w:t>
      </w:r>
    </w:p>
    <w:p>
      <w:pPr>
        <w:spacing w:before="117"/>
        <w:ind w:left="0" w:right="1695" w:firstLine="0"/>
        <w:jc w:val="center"/>
        <w:rPr>
          <w:rFonts w:ascii="Helvetica"/>
          <w:sz w:val="16"/>
        </w:rPr>
      </w:pPr>
      <w:r>
        <w:rPr>
          <w:rFonts w:ascii="Helvetica"/>
          <w:color w:val="231F20"/>
          <w:w w:val="99"/>
          <w:sz w:val="16"/>
        </w:rPr>
        <w:t>5</w:t>
      </w:r>
    </w:p>
    <w:p>
      <w:pPr>
        <w:spacing w:before="123"/>
        <w:ind w:left="0" w:right="1695" w:firstLine="0"/>
        <w:jc w:val="center"/>
        <w:rPr>
          <w:rFonts w:ascii="Helvetica"/>
          <w:sz w:val="16"/>
        </w:rPr>
      </w:pPr>
      <w:r>
        <w:rPr>
          <w:rFonts w:ascii="Helvetica"/>
          <w:color w:val="231F20"/>
          <w:w w:val="99"/>
          <w:sz w:val="16"/>
        </w:rPr>
        <w:t>4</w:t>
      </w:r>
    </w:p>
    <w:p>
      <w:pPr>
        <w:spacing w:before="117"/>
        <w:ind w:left="0" w:right="1695" w:firstLine="0"/>
        <w:jc w:val="center"/>
        <w:rPr>
          <w:rFonts w:ascii="Helvetica"/>
          <w:sz w:val="16"/>
        </w:rPr>
      </w:pPr>
      <w:r>
        <w:rPr>
          <w:rFonts w:ascii="Helvetica"/>
          <w:color w:val="231F20"/>
          <w:w w:val="99"/>
          <w:sz w:val="16"/>
        </w:rPr>
        <w:t>3</w:t>
      </w:r>
    </w:p>
    <w:p>
      <w:pPr>
        <w:spacing w:before="117"/>
        <w:ind w:left="0" w:right="1695" w:firstLine="0"/>
        <w:jc w:val="center"/>
        <w:rPr>
          <w:rFonts w:ascii="Helvetica"/>
          <w:sz w:val="16"/>
        </w:rPr>
      </w:pPr>
      <w:r>
        <w:rPr>
          <w:rFonts w:ascii="Helvetica"/>
          <w:color w:val="231F20"/>
          <w:w w:val="99"/>
          <w:sz w:val="16"/>
        </w:rPr>
        <w:t>2</w:t>
      </w:r>
    </w:p>
    <w:p>
      <w:pPr>
        <w:spacing w:before="111"/>
        <w:ind w:left="0" w:right="1695" w:firstLine="0"/>
        <w:jc w:val="center"/>
        <w:rPr>
          <w:rFonts w:ascii="Helvetica"/>
          <w:sz w:val="16"/>
        </w:rPr>
      </w:pPr>
      <w:r>
        <w:rPr>
          <w:rFonts w:ascii="Helvetica"/>
          <w:color w:val="231F20"/>
          <w:w w:val="99"/>
          <w:sz w:val="16"/>
        </w:rPr>
        <w:t>1</w:t>
      </w:r>
    </w:p>
    <w:p>
      <w:pPr>
        <w:spacing w:before="119"/>
        <w:ind w:left="0" w:right="1695" w:firstLine="0"/>
        <w:jc w:val="center"/>
        <w:rPr>
          <w:rFonts w:ascii="Helvetica"/>
          <w:sz w:val="16"/>
        </w:rPr>
      </w:pPr>
      <w:r>
        <w:rPr>
          <w:rFonts w:ascii="Helvetica"/>
          <w:color w:val="231F20"/>
          <w:w w:val="99"/>
          <w:sz w:val="16"/>
        </w:rPr>
        <w:t>0</w:t>
      </w:r>
    </w:p>
    <w:p>
      <w:pPr>
        <w:tabs>
          <w:tab w:pos="2325" w:val="left" w:leader="none"/>
          <w:tab w:pos="2684" w:val="left" w:leader="none"/>
          <w:tab w:pos="3084" w:val="left" w:leader="none"/>
          <w:tab w:pos="3480" w:val="left" w:leader="none"/>
          <w:tab w:pos="3891" w:val="left" w:leader="none"/>
          <w:tab w:pos="4291" w:val="left" w:leader="none"/>
          <w:tab w:pos="4697" w:val="left" w:leader="none"/>
          <w:tab w:pos="5102" w:val="left" w:leader="none"/>
        </w:tabs>
        <w:spacing w:before="1"/>
        <w:ind w:left="1921" w:right="0" w:firstLine="0"/>
        <w:jc w:val="center"/>
        <w:rPr>
          <w:rFonts w:ascii="Helvetica"/>
          <w:sz w:val="16"/>
        </w:rPr>
      </w:pPr>
      <w:r>
        <w:rPr/>
        <w:pict>
          <v:rect style="position:absolute;margin-left:0pt;margin-top:9.142713pt;width:36pt;height:24pt;mso-position-horizontal-relative:page;mso-position-vertical-relative:paragraph;z-index:252675072" filled="true" fillcolor="#e8dac8" stroked="false">
            <v:fill type="solid"/>
            <w10:wrap type="none"/>
          </v:rect>
        </w:pict>
      </w:r>
      <w:r>
        <w:rPr>
          <w:rFonts w:ascii="Helvetica"/>
          <w:color w:val="231F20"/>
          <w:sz w:val="16"/>
        </w:rPr>
        <w:t>0</w:t>
        <w:tab/>
        <w:t>5</w:t>
        <w:tab/>
        <w:t>10</w:t>
        <w:tab/>
        <w:t>15</w:t>
        <w:tab/>
        <w:t>20</w:t>
        <w:tab/>
        <w:t>25</w:t>
        <w:tab/>
        <w:t>30</w:t>
        <w:tab/>
        <w:t>35</w:t>
        <w:tab/>
      </w:r>
      <w:r>
        <w:rPr>
          <w:rFonts w:ascii="Helvetica"/>
          <w:color w:val="231F20"/>
          <w:spacing w:val="-10"/>
          <w:sz w:val="16"/>
        </w:rPr>
        <w:t>40</w:t>
      </w:r>
    </w:p>
    <w:p>
      <w:pPr>
        <w:spacing w:before="49"/>
        <w:ind w:left="1883" w:right="0" w:firstLine="0"/>
        <w:jc w:val="center"/>
        <w:rPr>
          <w:rFonts w:ascii="Helvetica"/>
          <w:b/>
          <w:sz w:val="16"/>
        </w:rPr>
      </w:pPr>
      <w:r>
        <w:rPr>
          <w:rFonts w:ascii="Helvetica"/>
          <w:b/>
          <w:color w:val="231F20"/>
          <w:sz w:val="16"/>
        </w:rPr>
        <w:t>Extracellular fluid volume (liters)</w:t>
      </w:r>
    </w:p>
    <w:p>
      <w:pPr>
        <w:pStyle w:val="BodyText"/>
        <w:spacing w:line="249" w:lineRule="auto" w:before="99"/>
        <w:ind w:left="799" w:right="1439"/>
        <w:jc w:val="both"/>
      </w:pPr>
      <w:r>
        <w:rPr/>
        <w:br w:type="column"/>
      </w:r>
      <w:r>
        <w:rPr>
          <w:color w:val="231F20"/>
          <w:w w:val="105"/>
        </w:rPr>
        <w:t>protecting the cardiovascular system against dangerous overload</w:t>
      </w:r>
      <w:r>
        <w:rPr>
          <w:color w:val="231F20"/>
          <w:spacing w:val="-19"/>
          <w:w w:val="105"/>
        </w:rPr>
        <w:t> </w:t>
      </w:r>
      <w:r>
        <w:rPr>
          <w:color w:val="231F20"/>
          <w:w w:val="105"/>
        </w:rPr>
        <w:t>that</w:t>
      </w:r>
      <w:r>
        <w:rPr>
          <w:color w:val="231F20"/>
          <w:spacing w:val="-18"/>
          <w:w w:val="105"/>
        </w:rPr>
        <w:t> </w:t>
      </w:r>
      <w:r>
        <w:rPr>
          <w:color w:val="231F20"/>
          <w:w w:val="105"/>
        </w:rPr>
        <w:t>could</w:t>
      </w:r>
      <w:r>
        <w:rPr>
          <w:color w:val="231F20"/>
          <w:spacing w:val="-18"/>
          <w:w w:val="105"/>
        </w:rPr>
        <w:t> </w:t>
      </w:r>
      <w:r>
        <w:rPr>
          <w:color w:val="231F20"/>
          <w:w w:val="105"/>
        </w:rPr>
        <w:t>lead</w:t>
      </w:r>
      <w:r>
        <w:rPr>
          <w:color w:val="231F20"/>
          <w:spacing w:val="-18"/>
          <w:w w:val="105"/>
        </w:rPr>
        <w:t> </w:t>
      </w:r>
      <w:r>
        <w:rPr>
          <w:color w:val="231F20"/>
          <w:w w:val="105"/>
        </w:rPr>
        <w:t>to</w:t>
      </w:r>
      <w:r>
        <w:rPr>
          <w:color w:val="231F20"/>
          <w:spacing w:val="-18"/>
          <w:w w:val="105"/>
        </w:rPr>
        <w:t> </w:t>
      </w:r>
      <w:r>
        <w:rPr>
          <w:color w:val="231F20"/>
          <w:w w:val="105"/>
        </w:rPr>
        <w:t>pulmonary</w:t>
      </w:r>
      <w:r>
        <w:rPr>
          <w:color w:val="231F20"/>
          <w:spacing w:val="-18"/>
          <w:w w:val="105"/>
        </w:rPr>
        <w:t> </w:t>
      </w:r>
      <w:r>
        <w:rPr>
          <w:color w:val="231F20"/>
          <w:w w:val="105"/>
        </w:rPr>
        <w:t>edema</w:t>
      </w:r>
      <w:r>
        <w:rPr>
          <w:color w:val="231F20"/>
          <w:spacing w:val="-18"/>
          <w:w w:val="105"/>
        </w:rPr>
        <w:t> </w:t>
      </w:r>
      <w:r>
        <w:rPr>
          <w:color w:val="231F20"/>
          <w:w w:val="105"/>
        </w:rPr>
        <w:t>and</w:t>
      </w:r>
      <w:r>
        <w:rPr>
          <w:color w:val="231F20"/>
          <w:spacing w:val="-18"/>
          <w:w w:val="105"/>
        </w:rPr>
        <w:t> </w:t>
      </w:r>
      <w:r>
        <w:rPr>
          <w:color w:val="231F20"/>
          <w:w w:val="105"/>
        </w:rPr>
        <w:t>cardiac failure.</w:t>
      </w:r>
    </w:p>
    <w:p>
      <w:pPr>
        <w:pStyle w:val="BodyText"/>
        <w:spacing w:line="249" w:lineRule="auto" w:before="3"/>
        <w:ind w:left="799" w:right="1439" w:firstLine="240"/>
        <w:jc w:val="both"/>
      </w:pPr>
      <w:r>
        <w:rPr/>
        <w:pict>
          <v:shape style="position:absolute;margin-left:306pt;margin-top:99.48597pt;width:234pt;height:52pt;mso-position-horizontal-relative:page;mso-position-vertical-relative:paragraph;z-index:252680192" type="#_x0000_t202" filled="true" fillcolor="#e8dac8" stroked="false">
            <v:textbox inset="0,0,0,0">
              <w:txbxContent>
                <w:p>
                  <w:pPr>
                    <w:spacing w:line="225" w:lineRule="auto" w:before="46"/>
                    <w:ind w:left="60" w:right="0" w:firstLine="0"/>
                    <w:jc w:val="left"/>
                    <w:rPr>
                      <w:rFonts w:ascii="Trebuchet MS"/>
                      <w:b/>
                      <w:sz w:val="22"/>
                    </w:rPr>
                  </w:pPr>
                  <w:r>
                    <w:rPr>
                      <w:rFonts w:ascii="Trebuchet MS"/>
                      <w:b/>
                      <w:color w:val="231F20"/>
                      <w:w w:val="110"/>
                      <w:sz w:val="22"/>
                    </w:rPr>
                    <w:t>NERVOUS AND HORMONAL FACTORS INCREASE THE EFFECTIVENESS</w:t>
                  </w:r>
                </w:p>
                <w:p>
                  <w:pPr>
                    <w:spacing w:line="225" w:lineRule="auto" w:before="0"/>
                    <w:ind w:left="60" w:right="1479" w:firstLine="0"/>
                    <w:jc w:val="left"/>
                    <w:rPr>
                      <w:rFonts w:ascii="Trebuchet MS" w:hAnsi="Trebuchet MS"/>
                      <w:b/>
                      <w:sz w:val="22"/>
                    </w:rPr>
                  </w:pPr>
                  <w:r>
                    <w:rPr>
                      <w:rFonts w:ascii="Trebuchet MS" w:hAnsi="Trebuchet MS"/>
                      <w:b/>
                      <w:color w:val="231F20"/>
                      <w:w w:val="110"/>
                      <w:sz w:val="22"/>
                    </w:rPr>
                    <w:t>OF RENAL–BODY FLUID FEEDBACK CONTROL</w:t>
                  </w:r>
                </w:p>
              </w:txbxContent>
            </v:textbox>
            <v:fill type="solid"/>
            <w10:wrap type="none"/>
          </v:shape>
        </w:pict>
      </w:r>
      <w:r>
        <w:rPr>
          <w:color w:val="231F20"/>
          <w:spacing w:val="-11"/>
        </w:rPr>
        <w:t>To </w:t>
      </w:r>
      <w:r>
        <w:rPr>
          <w:color w:val="231F20"/>
        </w:rPr>
        <w:t>summarize, extracellular fluid volume and </w:t>
      </w:r>
      <w:r>
        <w:rPr>
          <w:color w:val="231F20"/>
          <w:spacing w:val="-3"/>
        </w:rPr>
        <w:t>blood </w:t>
      </w:r>
      <w:r>
        <w:rPr>
          <w:color w:val="231F20"/>
        </w:rPr>
        <w:t>volume are often controlled simultaneously, but the </w:t>
      </w:r>
      <w:r>
        <w:rPr>
          <w:color w:val="231F20"/>
          <w:spacing w:val="-4"/>
        </w:rPr>
        <w:t>quan- </w:t>
      </w:r>
      <w:r>
        <w:rPr>
          <w:color w:val="231F20"/>
        </w:rPr>
        <w:t>titative amounts of fluid distribution between the </w:t>
      </w:r>
      <w:r>
        <w:rPr>
          <w:color w:val="231F20"/>
          <w:spacing w:val="-5"/>
        </w:rPr>
        <w:t>inter- </w:t>
      </w:r>
      <w:r>
        <w:rPr>
          <w:color w:val="231F20"/>
        </w:rPr>
        <w:t>stitium and the blood depend on the physical properties  of the circulation and the interstitial spaces, as well as </w:t>
      </w:r>
      <w:r>
        <w:rPr>
          <w:color w:val="231F20"/>
          <w:spacing w:val="-7"/>
        </w:rPr>
        <w:t>on </w:t>
      </w:r>
      <w:r>
        <w:rPr>
          <w:color w:val="231F20"/>
        </w:rPr>
        <w:t>the dynamics of fluid exchange through the capillary membranes.</w:t>
      </w:r>
    </w:p>
    <w:p>
      <w:pPr>
        <w:spacing w:after="0" w:line="249" w:lineRule="auto"/>
        <w:jc w:val="both"/>
        <w:sectPr>
          <w:type w:val="continuous"/>
          <w:pgSz w:w="12240" w:h="15660"/>
          <w:pgMar w:top="0" w:bottom="760" w:left="0" w:right="0"/>
          <w:cols w:num="2" w:equalWidth="0">
            <w:col w:w="5281" w:space="40"/>
            <w:col w:w="6919"/>
          </w:cols>
        </w:sectPr>
      </w:pPr>
    </w:p>
    <w:p>
      <w:pPr>
        <w:spacing w:line="261" w:lineRule="auto" w:before="92"/>
        <w:ind w:left="1080" w:right="0" w:firstLine="0"/>
        <w:jc w:val="both"/>
        <w:rPr>
          <w:rFonts w:ascii="Arial" w:hAnsi="Arial"/>
          <w:sz w:val="16"/>
        </w:rPr>
      </w:pPr>
      <w:bookmarkStart w:name="_bookmark99" w:id="100"/>
      <w:bookmarkEnd w:id="100"/>
      <w:r>
        <w:rPr/>
      </w:r>
      <w:r>
        <w:rPr>
          <w:rFonts w:ascii="Trebuchet MS" w:hAnsi="Trebuchet MS"/>
          <w:b/>
          <w:color w:val="231F20"/>
          <w:sz w:val="16"/>
        </w:rPr>
        <w:t>Figure 30-16. </w:t>
      </w:r>
      <w:r>
        <w:rPr>
          <w:rFonts w:ascii="Arial" w:hAnsi="Arial"/>
          <w:color w:val="231F20"/>
          <w:sz w:val="16"/>
        </w:rPr>
        <w:t>Approximate relation between extracellular </w:t>
      </w:r>
      <w:r>
        <w:rPr>
          <w:rFonts w:ascii="Arial" w:hAnsi="Arial"/>
          <w:color w:val="231F20"/>
          <w:spacing w:val="-4"/>
          <w:sz w:val="16"/>
        </w:rPr>
        <w:t>fluid </w:t>
      </w:r>
      <w:r>
        <w:rPr>
          <w:rFonts w:ascii="Arial" w:hAnsi="Arial"/>
          <w:color w:val="231F20"/>
          <w:sz w:val="16"/>
        </w:rPr>
        <w:t>volume and blood volume, showing a nearly linear relation in </w:t>
      </w:r>
      <w:r>
        <w:rPr>
          <w:rFonts w:ascii="Arial" w:hAnsi="Arial"/>
          <w:color w:val="231F20"/>
          <w:spacing w:val="-6"/>
          <w:sz w:val="16"/>
        </w:rPr>
        <w:t>the </w:t>
      </w:r>
      <w:r>
        <w:rPr>
          <w:rFonts w:ascii="Arial" w:hAnsi="Arial"/>
          <w:color w:val="231F20"/>
          <w:sz w:val="16"/>
        </w:rPr>
        <w:t>normal range but also showing the failure of blood volume to </w:t>
      </w:r>
      <w:r>
        <w:rPr>
          <w:rFonts w:ascii="Arial" w:hAnsi="Arial"/>
          <w:color w:val="231F20"/>
          <w:spacing w:val="-5"/>
          <w:sz w:val="16"/>
        </w:rPr>
        <w:t>con­ </w:t>
      </w:r>
      <w:r>
        <w:rPr>
          <w:rFonts w:ascii="Arial" w:hAnsi="Arial"/>
          <w:color w:val="231F20"/>
          <w:sz w:val="16"/>
        </w:rPr>
        <w:t>tinue</w:t>
      </w:r>
      <w:r>
        <w:rPr>
          <w:rFonts w:ascii="Arial" w:hAnsi="Arial"/>
          <w:color w:val="231F20"/>
          <w:spacing w:val="-11"/>
          <w:sz w:val="16"/>
        </w:rPr>
        <w:t> </w:t>
      </w:r>
      <w:r>
        <w:rPr>
          <w:rFonts w:ascii="Arial" w:hAnsi="Arial"/>
          <w:color w:val="231F20"/>
          <w:sz w:val="16"/>
        </w:rPr>
        <w:t>rising</w:t>
      </w:r>
      <w:r>
        <w:rPr>
          <w:rFonts w:ascii="Arial" w:hAnsi="Arial"/>
          <w:color w:val="231F20"/>
          <w:spacing w:val="-11"/>
          <w:sz w:val="16"/>
        </w:rPr>
        <w:t> </w:t>
      </w:r>
      <w:r>
        <w:rPr>
          <w:rFonts w:ascii="Arial" w:hAnsi="Arial"/>
          <w:color w:val="231F20"/>
          <w:sz w:val="16"/>
        </w:rPr>
        <w:t>when</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extracellular</w:t>
      </w:r>
      <w:r>
        <w:rPr>
          <w:rFonts w:ascii="Arial" w:hAnsi="Arial"/>
          <w:color w:val="231F20"/>
          <w:spacing w:val="-11"/>
          <w:sz w:val="16"/>
        </w:rPr>
        <w:t> </w:t>
      </w:r>
      <w:r>
        <w:rPr>
          <w:rFonts w:ascii="Arial" w:hAnsi="Arial"/>
          <w:color w:val="231F20"/>
          <w:sz w:val="16"/>
        </w:rPr>
        <w:t>fluid</w:t>
      </w:r>
      <w:r>
        <w:rPr>
          <w:rFonts w:ascii="Arial" w:hAnsi="Arial"/>
          <w:color w:val="231F20"/>
          <w:spacing w:val="-11"/>
          <w:sz w:val="16"/>
        </w:rPr>
        <w:t> </w:t>
      </w:r>
      <w:r>
        <w:rPr>
          <w:rFonts w:ascii="Arial" w:hAnsi="Arial"/>
          <w:color w:val="231F20"/>
          <w:sz w:val="16"/>
        </w:rPr>
        <w:t>volume</w:t>
      </w:r>
      <w:r>
        <w:rPr>
          <w:rFonts w:ascii="Arial" w:hAnsi="Arial"/>
          <w:color w:val="231F20"/>
          <w:spacing w:val="-11"/>
          <w:sz w:val="16"/>
        </w:rPr>
        <w:t> </w:t>
      </w:r>
      <w:r>
        <w:rPr>
          <w:rFonts w:ascii="Arial" w:hAnsi="Arial"/>
          <w:color w:val="231F20"/>
          <w:sz w:val="16"/>
        </w:rPr>
        <w:t>becomes</w:t>
      </w:r>
      <w:r>
        <w:rPr>
          <w:rFonts w:ascii="Arial" w:hAnsi="Arial"/>
          <w:color w:val="231F20"/>
          <w:spacing w:val="-11"/>
          <w:sz w:val="16"/>
        </w:rPr>
        <w:t> </w:t>
      </w:r>
      <w:r>
        <w:rPr>
          <w:rFonts w:ascii="Arial" w:hAnsi="Arial"/>
          <w:color w:val="231F20"/>
          <w:sz w:val="16"/>
        </w:rPr>
        <w:t>excessive. When</w:t>
      </w:r>
      <w:r>
        <w:rPr>
          <w:rFonts w:ascii="Arial" w:hAnsi="Arial"/>
          <w:color w:val="231F20"/>
          <w:spacing w:val="-12"/>
          <w:sz w:val="16"/>
        </w:rPr>
        <w:t> </w:t>
      </w:r>
      <w:r>
        <w:rPr>
          <w:rFonts w:ascii="Arial" w:hAnsi="Arial"/>
          <w:color w:val="231F20"/>
          <w:sz w:val="16"/>
        </w:rPr>
        <w:t>this</w:t>
      </w:r>
      <w:r>
        <w:rPr>
          <w:rFonts w:ascii="Arial" w:hAnsi="Arial"/>
          <w:color w:val="231F20"/>
          <w:spacing w:val="-11"/>
          <w:sz w:val="16"/>
        </w:rPr>
        <w:t> </w:t>
      </w:r>
      <w:r>
        <w:rPr>
          <w:rFonts w:ascii="Arial" w:hAnsi="Arial"/>
          <w:color w:val="231F20"/>
          <w:sz w:val="16"/>
        </w:rPr>
        <w:t>condition</w:t>
      </w:r>
      <w:r>
        <w:rPr>
          <w:rFonts w:ascii="Arial" w:hAnsi="Arial"/>
          <w:color w:val="231F20"/>
          <w:spacing w:val="-11"/>
          <w:sz w:val="16"/>
        </w:rPr>
        <w:t> </w:t>
      </w:r>
      <w:r>
        <w:rPr>
          <w:rFonts w:ascii="Arial" w:hAnsi="Arial"/>
          <w:color w:val="231F20"/>
          <w:sz w:val="16"/>
        </w:rPr>
        <w:t>occurs,</w:t>
      </w:r>
      <w:r>
        <w:rPr>
          <w:rFonts w:ascii="Arial" w:hAnsi="Arial"/>
          <w:color w:val="231F20"/>
          <w:spacing w:val="-12"/>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additional</w:t>
      </w:r>
      <w:r>
        <w:rPr>
          <w:rFonts w:ascii="Arial" w:hAnsi="Arial"/>
          <w:color w:val="231F20"/>
          <w:spacing w:val="-11"/>
          <w:sz w:val="16"/>
        </w:rPr>
        <w:t> </w:t>
      </w:r>
      <w:r>
        <w:rPr>
          <w:rFonts w:ascii="Arial" w:hAnsi="Arial"/>
          <w:color w:val="231F20"/>
          <w:sz w:val="16"/>
        </w:rPr>
        <w:t>extracellular</w:t>
      </w:r>
      <w:r>
        <w:rPr>
          <w:rFonts w:ascii="Arial" w:hAnsi="Arial"/>
          <w:color w:val="231F20"/>
          <w:spacing w:val="-12"/>
          <w:sz w:val="16"/>
        </w:rPr>
        <w:t> </w:t>
      </w:r>
      <w:r>
        <w:rPr>
          <w:rFonts w:ascii="Arial" w:hAnsi="Arial"/>
          <w:color w:val="231F20"/>
          <w:sz w:val="16"/>
        </w:rPr>
        <w:t>fluid</w:t>
      </w:r>
      <w:r>
        <w:rPr>
          <w:rFonts w:ascii="Arial" w:hAnsi="Arial"/>
          <w:color w:val="231F20"/>
          <w:spacing w:val="-11"/>
          <w:sz w:val="16"/>
        </w:rPr>
        <w:t> </w:t>
      </w:r>
      <w:r>
        <w:rPr>
          <w:rFonts w:ascii="Arial" w:hAnsi="Arial"/>
          <w:color w:val="231F20"/>
          <w:sz w:val="16"/>
        </w:rPr>
        <w:t>volume resides in the interstitial spaces and edema</w:t>
      </w:r>
      <w:r>
        <w:rPr>
          <w:rFonts w:ascii="Arial" w:hAnsi="Arial"/>
          <w:color w:val="231F20"/>
          <w:spacing w:val="8"/>
          <w:sz w:val="16"/>
        </w:rPr>
        <w:t> </w:t>
      </w:r>
      <w:r>
        <w:rPr>
          <w:rFonts w:ascii="Arial" w:hAnsi="Arial"/>
          <w:color w:val="231F20"/>
          <w:sz w:val="16"/>
        </w:rPr>
        <w:t>results.</w:t>
      </w:r>
    </w:p>
    <w:p>
      <w:pPr>
        <w:pStyle w:val="BodyText"/>
        <w:spacing w:before="9"/>
        <w:rPr>
          <w:rFonts w:ascii="Arial"/>
          <w:sz w:val="19"/>
        </w:rPr>
      </w:pPr>
    </w:p>
    <w:p>
      <w:pPr>
        <w:pStyle w:val="BodyText"/>
        <w:spacing w:line="249" w:lineRule="auto"/>
        <w:ind w:left="1080" w:right="1"/>
        <w:jc w:val="both"/>
      </w:pPr>
      <w:r>
        <w:rPr>
          <w:color w:val="231F20"/>
        </w:rPr>
        <w:t>volume and extracellular fluid volume usually are con- trolled simultaneously.</w:t>
      </w:r>
    </w:p>
    <w:p>
      <w:pPr>
        <w:spacing w:line="249" w:lineRule="auto" w:before="2"/>
        <w:ind w:left="1080" w:right="0" w:firstLine="240"/>
        <w:jc w:val="both"/>
        <w:rPr>
          <w:sz w:val="20"/>
        </w:rPr>
      </w:pPr>
      <w:r>
        <w:rPr>
          <w:color w:val="231F20"/>
          <w:sz w:val="20"/>
        </w:rPr>
        <w:t>There are circumstances, however, in which the dis- tribution of extracellular fluid between the </w:t>
      </w:r>
      <w:r>
        <w:rPr>
          <w:color w:val="231F20"/>
          <w:spacing w:val="-3"/>
          <w:sz w:val="20"/>
        </w:rPr>
        <w:t>interstitial </w:t>
      </w:r>
      <w:r>
        <w:rPr>
          <w:color w:val="231F20"/>
          <w:sz w:val="20"/>
        </w:rPr>
        <w:t>spaces</w:t>
      </w:r>
      <w:r>
        <w:rPr>
          <w:color w:val="231F20"/>
          <w:spacing w:val="-8"/>
          <w:sz w:val="20"/>
        </w:rPr>
        <w:t> </w:t>
      </w:r>
      <w:r>
        <w:rPr>
          <w:color w:val="231F20"/>
          <w:sz w:val="20"/>
        </w:rPr>
        <w:t>and</w:t>
      </w:r>
      <w:r>
        <w:rPr>
          <w:color w:val="231F20"/>
          <w:spacing w:val="-7"/>
          <w:sz w:val="20"/>
        </w:rPr>
        <w:t> </w:t>
      </w:r>
      <w:r>
        <w:rPr>
          <w:color w:val="231F20"/>
          <w:sz w:val="20"/>
        </w:rPr>
        <w:t>blood</w:t>
      </w:r>
      <w:r>
        <w:rPr>
          <w:color w:val="231F20"/>
          <w:spacing w:val="-7"/>
          <w:sz w:val="20"/>
        </w:rPr>
        <w:t> </w:t>
      </w:r>
      <w:r>
        <w:rPr>
          <w:color w:val="231F20"/>
          <w:sz w:val="20"/>
        </w:rPr>
        <w:t>can</w:t>
      </w:r>
      <w:r>
        <w:rPr>
          <w:color w:val="231F20"/>
          <w:spacing w:val="-7"/>
          <w:sz w:val="20"/>
        </w:rPr>
        <w:t> </w:t>
      </w:r>
      <w:r>
        <w:rPr>
          <w:color w:val="231F20"/>
          <w:sz w:val="20"/>
        </w:rPr>
        <w:t>vary</w:t>
      </w:r>
      <w:r>
        <w:rPr>
          <w:color w:val="231F20"/>
          <w:spacing w:val="-7"/>
          <w:sz w:val="20"/>
        </w:rPr>
        <w:t> </w:t>
      </w:r>
      <w:r>
        <w:rPr>
          <w:color w:val="231F20"/>
          <w:sz w:val="20"/>
        </w:rPr>
        <w:t>greatly.</w:t>
      </w:r>
      <w:r>
        <w:rPr>
          <w:color w:val="231F20"/>
          <w:spacing w:val="-7"/>
          <w:sz w:val="20"/>
        </w:rPr>
        <w:t> </w:t>
      </w:r>
      <w:r>
        <w:rPr>
          <w:color w:val="231F20"/>
          <w:sz w:val="20"/>
        </w:rPr>
        <w:t>As</w:t>
      </w:r>
      <w:r>
        <w:rPr>
          <w:color w:val="231F20"/>
          <w:spacing w:val="-7"/>
          <w:sz w:val="20"/>
        </w:rPr>
        <w:t> </w:t>
      </w:r>
      <w:r>
        <w:rPr>
          <w:color w:val="231F20"/>
          <w:sz w:val="20"/>
        </w:rPr>
        <w:t>discussed</w:t>
      </w:r>
      <w:r>
        <w:rPr>
          <w:color w:val="231F20"/>
          <w:spacing w:val="-7"/>
          <w:sz w:val="20"/>
        </w:rPr>
        <w:t> </w:t>
      </w:r>
      <w:r>
        <w:rPr>
          <w:color w:val="231F20"/>
          <w:sz w:val="20"/>
        </w:rPr>
        <w:t>in</w:t>
      </w:r>
      <w:r>
        <w:rPr>
          <w:color w:val="231F20"/>
          <w:spacing w:val="-7"/>
          <w:sz w:val="20"/>
        </w:rPr>
        <w:t> </w:t>
      </w:r>
      <w:r>
        <w:rPr>
          <w:color w:val="231F20"/>
          <w:sz w:val="20"/>
        </w:rPr>
        <w:t>Chapter 25, </w:t>
      </w:r>
      <w:r>
        <w:rPr>
          <w:i/>
          <w:color w:val="231F20"/>
          <w:sz w:val="20"/>
        </w:rPr>
        <w:t>the principal  factors  that  can  cause  accumulation </w:t>
      </w:r>
      <w:r>
        <w:rPr>
          <w:i/>
          <w:color w:val="231F20"/>
          <w:sz w:val="20"/>
        </w:rPr>
        <w:t>of fluid in the interstitial spaces include (1)</w:t>
      </w:r>
      <w:r>
        <w:rPr>
          <w:i/>
          <w:color w:val="231F20"/>
          <w:spacing w:val="23"/>
          <w:sz w:val="20"/>
        </w:rPr>
        <w:t> </w:t>
      </w:r>
      <w:r>
        <w:rPr>
          <w:i/>
          <w:color w:val="231F20"/>
          <w:sz w:val="20"/>
        </w:rPr>
        <w:t>increased capillary hydrostatic pressure</w:t>
      </w:r>
      <w:r>
        <w:rPr>
          <w:color w:val="231F20"/>
          <w:sz w:val="20"/>
        </w:rPr>
        <w:t>, </w:t>
      </w:r>
      <w:r>
        <w:rPr>
          <w:i/>
          <w:color w:val="231F20"/>
          <w:sz w:val="20"/>
        </w:rPr>
        <w:t>(2) decreased plasma </w:t>
      </w:r>
      <w:r>
        <w:rPr>
          <w:i/>
          <w:color w:val="231F20"/>
          <w:sz w:val="20"/>
        </w:rPr>
        <w:t>colloid osmotic pressure</w:t>
      </w:r>
      <w:r>
        <w:rPr>
          <w:color w:val="231F20"/>
          <w:sz w:val="20"/>
        </w:rPr>
        <w:t>, </w:t>
      </w:r>
      <w:r>
        <w:rPr>
          <w:i/>
          <w:color w:val="231F20"/>
          <w:sz w:val="20"/>
        </w:rPr>
        <w:t>(3) increased permeability of </w:t>
      </w:r>
      <w:r>
        <w:rPr>
          <w:i/>
          <w:color w:val="231F20"/>
          <w:spacing w:val="-6"/>
          <w:sz w:val="20"/>
        </w:rPr>
        <w:t>the </w:t>
      </w:r>
      <w:r>
        <w:rPr>
          <w:i/>
          <w:color w:val="231F20"/>
          <w:sz w:val="20"/>
        </w:rPr>
        <w:t>capillaries</w:t>
      </w:r>
      <w:r>
        <w:rPr>
          <w:color w:val="231F20"/>
          <w:sz w:val="20"/>
        </w:rPr>
        <w:t>, </w:t>
      </w:r>
      <w:r>
        <w:rPr>
          <w:i/>
          <w:color w:val="231F20"/>
          <w:sz w:val="20"/>
        </w:rPr>
        <w:t>and (4) obstruction of lymphatic vessels</w:t>
      </w:r>
      <w:r>
        <w:rPr>
          <w:color w:val="231F20"/>
          <w:sz w:val="20"/>
        </w:rPr>
        <w:t>. In </w:t>
      </w:r>
      <w:r>
        <w:rPr>
          <w:color w:val="231F20"/>
          <w:spacing w:val="-5"/>
          <w:sz w:val="20"/>
        </w:rPr>
        <w:t>all </w:t>
      </w:r>
      <w:r>
        <w:rPr>
          <w:color w:val="231F20"/>
          <w:sz w:val="20"/>
        </w:rPr>
        <w:t>these conditions, an unusually high proportion of </w:t>
      </w:r>
      <w:r>
        <w:rPr>
          <w:color w:val="231F20"/>
          <w:spacing w:val="-7"/>
          <w:sz w:val="20"/>
        </w:rPr>
        <w:t>the </w:t>
      </w:r>
      <w:r>
        <w:rPr>
          <w:color w:val="231F20"/>
          <w:sz w:val="20"/>
        </w:rPr>
        <w:t>extracellular fluid becomes distributed to the interstitial spaces.</w:t>
      </w:r>
    </w:p>
    <w:p>
      <w:pPr>
        <w:pStyle w:val="BodyText"/>
        <w:spacing w:line="249" w:lineRule="auto" w:before="5"/>
        <w:ind w:left="1080" w:firstLine="240"/>
        <w:jc w:val="both"/>
      </w:pPr>
      <w:hyperlink w:history="true" w:anchor="_bookmark99">
        <w:r>
          <w:rPr>
            <w:rFonts w:ascii="Cambria"/>
            <w:b/>
            <w:color w:val="0080AC"/>
            <w:w w:val="105"/>
          </w:rPr>
          <w:t>Figure 30-16</w:t>
        </w:r>
      </w:hyperlink>
      <w:r>
        <w:rPr>
          <w:rFonts w:ascii="Cambria"/>
          <w:b/>
          <w:color w:val="0080AC"/>
          <w:w w:val="105"/>
        </w:rPr>
        <w:t> </w:t>
      </w:r>
      <w:r>
        <w:rPr>
          <w:color w:val="231F20"/>
          <w:w w:val="105"/>
        </w:rPr>
        <w:t>shows the normal distribution of</w:t>
      </w:r>
      <w:r>
        <w:rPr>
          <w:color w:val="231F20"/>
          <w:spacing w:val="-17"/>
          <w:w w:val="105"/>
        </w:rPr>
        <w:t> </w:t>
      </w:r>
      <w:r>
        <w:rPr>
          <w:color w:val="231F20"/>
          <w:spacing w:val="-4"/>
          <w:w w:val="105"/>
        </w:rPr>
        <w:t>fluid </w:t>
      </w:r>
      <w:r>
        <w:rPr>
          <w:color w:val="231F20"/>
          <w:w w:val="105"/>
        </w:rPr>
        <w:t>between the interstitial spaces and the vascular </w:t>
      </w:r>
      <w:r>
        <w:rPr>
          <w:color w:val="231F20"/>
          <w:spacing w:val="-4"/>
          <w:w w:val="105"/>
        </w:rPr>
        <w:t>system </w:t>
      </w:r>
      <w:r>
        <w:rPr>
          <w:color w:val="231F20"/>
          <w:w w:val="105"/>
        </w:rPr>
        <w:t>and the distribution that occurs in edema states. When small</w:t>
      </w:r>
      <w:r>
        <w:rPr>
          <w:color w:val="231F20"/>
          <w:spacing w:val="-19"/>
          <w:w w:val="105"/>
        </w:rPr>
        <w:t> </w:t>
      </w:r>
      <w:r>
        <w:rPr>
          <w:color w:val="231F20"/>
          <w:w w:val="105"/>
        </w:rPr>
        <w:t>amounts</w:t>
      </w:r>
      <w:r>
        <w:rPr>
          <w:color w:val="231F20"/>
          <w:spacing w:val="-18"/>
          <w:w w:val="105"/>
        </w:rPr>
        <w:t> </w:t>
      </w:r>
      <w:r>
        <w:rPr>
          <w:color w:val="231F20"/>
          <w:w w:val="105"/>
        </w:rPr>
        <w:t>of</w:t>
      </w:r>
      <w:r>
        <w:rPr>
          <w:color w:val="231F20"/>
          <w:spacing w:val="-18"/>
          <w:w w:val="105"/>
        </w:rPr>
        <w:t> </w:t>
      </w:r>
      <w:r>
        <w:rPr>
          <w:color w:val="231F20"/>
          <w:w w:val="105"/>
        </w:rPr>
        <w:t>fluid</w:t>
      </w:r>
      <w:r>
        <w:rPr>
          <w:color w:val="231F20"/>
          <w:spacing w:val="-18"/>
          <w:w w:val="105"/>
        </w:rPr>
        <w:t> </w:t>
      </w:r>
      <w:r>
        <w:rPr>
          <w:color w:val="231F20"/>
          <w:w w:val="105"/>
        </w:rPr>
        <w:t>accumulate</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blood</w:t>
      </w:r>
      <w:r>
        <w:rPr>
          <w:color w:val="231F20"/>
          <w:spacing w:val="-18"/>
          <w:w w:val="105"/>
        </w:rPr>
        <w:t> </w:t>
      </w:r>
      <w:r>
        <w:rPr>
          <w:color w:val="231F20"/>
          <w:w w:val="105"/>
        </w:rPr>
        <w:t>as</w:t>
      </w:r>
      <w:r>
        <w:rPr>
          <w:color w:val="231F20"/>
          <w:spacing w:val="-18"/>
          <w:w w:val="105"/>
        </w:rPr>
        <w:t> </w:t>
      </w:r>
      <w:r>
        <w:rPr>
          <w:color w:val="231F20"/>
          <w:w w:val="105"/>
        </w:rPr>
        <w:t>a</w:t>
      </w:r>
      <w:r>
        <w:rPr>
          <w:color w:val="231F20"/>
          <w:spacing w:val="-18"/>
          <w:w w:val="105"/>
        </w:rPr>
        <w:t> </w:t>
      </w:r>
      <w:r>
        <w:rPr>
          <w:color w:val="231F20"/>
          <w:w w:val="105"/>
        </w:rPr>
        <w:t>result of either too much fluid intake or a decrease in renal output of fluid, about 20 to 30 percent of it stays in </w:t>
      </w:r>
      <w:r>
        <w:rPr>
          <w:color w:val="231F20"/>
          <w:spacing w:val="-7"/>
          <w:w w:val="105"/>
        </w:rPr>
        <w:t>the </w:t>
      </w:r>
      <w:r>
        <w:rPr>
          <w:color w:val="231F20"/>
          <w:w w:val="105"/>
        </w:rPr>
        <w:t>blood and increases the blood volume. The remainder</w:t>
      </w:r>
      <w:r>
        <w:rPr>
          <w:color w:val="231F20"/>
          <w:spacing w:val="-35"/>
          <w:w w:val="105"/>
        </w:rPr>
        <w:t> </w:t>
      </w:r>
      <w:r>
        <w:rPr>
          <w:color w:val="231F20"/>
          <w:w w:val="105"/>
        </w:rPr>
        <w:t>is distributed to the interstitial spaces. When the extracel- lular</w:t>
      </w:r>
      <w:r>
        <w:rPr>
          <w:color w:val="231F20"/>
          <w:spacing w:val="-14"/>
          <w:w w:val="105"/>
        </w:rPr>
        <w:t> </w:t>
      </w:r>
      <w:r>
        <w:rPr>
          <w:color w:val="231F20"/>
          <w:w w:val="105"/>
        </w:rPr>
        <w:t>fluid</w:t>
      </w:r>
      <w:r>
        <w:rPr>
          <w:color w:val="231F20"/>
          <w:spacing w:val="-14"/>
          <w:w w:val="105"/>
        </w:rPr>
        <w:t> </w:t>
      </w:r>
      <w:r>
        <w:rPr>
          <w:color w:val="231F20"/>
          <w:w w:val="105"/>
        </w:rPr>
        <w:t>volume</w:t>
      </w:r>
      <w:r>
        <w:rPr>
          <w:color w:val="231F20"/>
          <w:spacing w:val="-13"/>
          <w:w w:val="105"/>
        </w:rPr>
        <w:t> </w:t>
      </w:r>
      <w:r>
        <w:rPr>
          <w:color w:val="231F20"/>
          <w:w w:val="105"/>
        </w:rPr>
        <w:t>rises</w:t>
      </w:r>
      <w:r>
        <w:rPr>
          <w:color w:val="231F20"/>
          <w:spacing w:val="-14"/>
          <w:w w:val="105"/>
        </w:rPr>
        <w:t> </w:t>
      </w:r>
      <w:r>
        <w:rPr>
          <w:color w:val="231F20"/>
          <w:w w:val="105"/>
        </w:rPr>
        <w:t>more</w:t>
      </w:r>
      <w:r>
        <w:rPr>
          <w:color w:val="231F20"/>
          <w:spacing w:val="-14"/>
          <w:w w:val="105"/>
        </w:rPr>
        <w:t> </w:t>
      </w:r>
      <w:r>
        <w:rPr>
          <w:color w:val="231F20"/>
          <w:w w:val="105"/>
        </w:rPr>
        <w:t>than</w:t>
      </w:r>
      <w:r>
        <w:rPr>
          <w:color w:val="231F20"/>
          <w:spacing w:val="-13"/>
          <w:w w:val="105"/>
        </w:rPr>
        <w:t> </w:t>
      </w:r>
      <w:r>
        <w:rPr>
          <w:color w:val="231F20"/>
          <w:w w:val="105"/>
        </w:rPr>
        <w:t>30</w:t>
      </w:r>
      <w:r>
        <w:rPr>
          <w:color w:val="231F20"/>
          <w:spacing w:val="-14"/>
          <w:w w:val="105"/>
        </w:rPr>
        <w:t> </w:t>
      </w:r>
      <w:r>
        <w:rPr>
          <w:color w:val="231F20"/>
          <w:w w:val="105"/>
        </w:rPr>
        <w:t>to</w:t>
      </w:r>
      <w:r>
        <w:rPr>
          <w:color w:val="231F20"/>
          <w:spacing w:val="-14"/>
          <w:w w:val="105"/>
        </w:rPr>
        <w:t> </w:t>
      </w:r>
      <w:r>
        <w:rPr>
          <w:color w:val="231F20"/>
          <w:w w:val="105"/>
        </w:rPr>
        <w:t>50</w:t>
      </w:r>
      <w:r>
        <w:rPr>
          <w:color w:val="231F20"/>
          <w:spacing w:val="-13"/>
          <w:w w:val="105"/>
        </w:rPr>
        <w:t> </w:t>
      </w:r>
      <w:r>
        <w:rPr>
          <w:color w:val="231F20"/>
          <w:w w:val="105"/>
        </w:rPr>
        <w:t>percent</w:t>
      </w:r>
      <w:r>
        <w:rPr>
          <w:color w:val="231F20"/>
          <w:spacing w:val="-14"/>
          <w:w w:val="105"/>
        </w:rPr>
        <w:t> </w:t>
      </w:r>
      <w:r>
        <w:rPr>
          <w:color w:val="231F20"/>
          <w:spacing w:val="-3"/>
          <w:w w:val="105"/>
        </w:rPr>
        <w:t>above </w:t>
      </w:r>
      <w:r>
        <w:rPr>
          <w:color w:val="231F20"/>
          <w:w w:val="105"/>
        </w:rPr>
        <w:t>normal,</w:t>
      </w:r>
      <w:r>
        <w:rPr>
          <w:color w:val="231F20"/>
          <w:spacing w:val="-13"/>
          <w:w w:val="105"/>
        </w:rPr>
        <w:t> </w:t>
      </w:r>
      <w:r>
        <w:rPr>
          <w:color w:val="231F20"/>
          <w:w w:val="105"/>
        </w:rPr>
        <w:t>almost</w:t>
      </w:r>
      <w:r>
        <w:rPr>
          <w:color w:val="231F20"/>
          <w:spacing w:val="-13"/>
          <w:w w:val="105"/>
        </w:rPr>
        <w:t> </w:t>
      </w:r>
      <w:r>
        <w:rPr>
          <w:color w:val="231F20"/>
          <w:w w:val="105"/>
        </w:rPr>
        <w:t>all</w:t>
      </w:r>
      <w:r>
        <w:rPr>
          <w:color w:val="231F20"/>
          <w:spacing w:val="-13"/>
          <w:w w:val="105"/>
        </w:rPr>
        <w:t> </w:t>
      </w:r>
      <w:r>
        <w:rPr>
          <w:color w:val="231F20"/>
          <w:w w:val="105"/>
        </w:rPr>
        <w:t>the</w:t>
      </w:r>
      <w:r>
        <w:rPr>
          <w:color w:val="231F20"/>
          <w:spacing w:val="-13"/>
          <w:w w:val="105"/>
        </w:rPr>
        <w:t> </w:t>
      </w:r>
      <w:r>
        <w:rPr>
          <w:color w:val="231F20"/>
          <w:w w:val="105"/>
        </w:rPr>
        <w:t>additional</w:t>
      </w:r>
      <w:r>
        <w:rPr>
          <w:color w:val="231F20"/>
          <w:spacing w:val="-13"/>
          <w:w w:val="105"/>
        </w:rPr>
        <w:t> </w:t>
      </w:r>
      <w:r>
        <w:rPr>
          <w:color w:val="231F20"/>
          <w:w w:val="105"/>
        </w:rPr>
        <w:t>fluid</w:t>
      </w:r>
      <w:r>
        <w:rPr>
          <w:color w:val="231F20"/>
          <w:spacing w:val="-13"/>
          <w:w w:val="105"/>
        </w:rPr>
        <w:t> </w:t>
      </w:r>
      <w:r>
        <w:rPr>
          <w:color w:val="231F20"/>
          <w:w w:val="105"/>
        </w:rPr>
        <w:t>goes</w:t>
      </w:r>
      <w:r>
        <w:rPr>
          <w:color w:val="231F20"/>
          <w:spacing w:val="-13"/>
          <w:w w:val="105"/>
        </w:rPr>
        <w:t> </w:t>
      </w:r>
      <w:r>
        <w:rPr>
          <w:color w:val="231F20"/>
          <w:w w:val="105"/>
        </w:rPr>
        <w:t>into</w:t>
      </w:r>
      <w:r>
        <w:rPr>
          <w:color w:val="231F20"/>
          <w:spacing w:val="-13"/>
          <w:w w:val="105"/>
        </w:rPr>
        <w:t> </w:t>
      </w:r>
      <w:r>
        <w:rPr>
          <w:color w:val="231F20"/>
          <w:w w:val="105"/>
        </w:rPr>
        <w:t>the</w:t>
      </w:r>
      <w:r>
        <w:rPr>
          <w:color w:val="231F20"/>
          <w:spacing w:val="-13"/>
          <w:w w:val="105"/>
        </w:rPr>
        <w:t> </w:t>
      </w:r>
      <w:r>
        <w:rPr>
          <w:color w:val="231F20"/>
          <w:spacing w:val="-4"/>
          <w:w w:val="105"/>
        </w:rPr>
        <w:t>inter- </w:t>
      </w:r>
      <w:r>
        <w:rPr>
          <w:color w:val="231F20"/>
          <w:w w:val="105"/>
        </w:rPr>
        <w:t>stitial</w:t>
      </w:r>
      <w:r>
        <w:rPr>
          <w:color w:val="231F20"/>
          <w:spacing w:val="-24"/>
          <w:w w:val="105"/>
        </w:rPr>
        <w:t> </w:t>
      </w:r>
      <w:r>
        <w:rPr>
          <w:color w:val="231F20"/>
          <w:w w:val="105"/>
        </w:rPr>
        <w:t>spaces</w:t>
      </w:r>
      <w:r>
        <w:rPr>
          <w:color w:val="231F20"/>
          <w:spacing w:val="-23"/>
          <w:w w:val="105"/>
        </w:rPr>
        <w:t> </w:t>
      </w:r>
      <w:r>
        <w:rPr>
          <w:color w:val="231F20"/>
          <w:w w:val="105"/>
        </w:rPr>
        <w:t>and</w:t>
      </w:r>
      <w:r>
        <w:rPr>
          <w:color w:val="231F20"/>
          <w:spacing w:val="-23"/>
          <w:w w:val="105"/>
        </w:rPr>
        <w:t> </w:t>
      </w:r>
      <w:r>
        <w:rPr>
          <w:color w:val="231F20"/>
          <w:w w:val="105"/>
        </w:rPr>
        <w:t>little</w:t>
      </w:r>
      <w:r>
        <w:rPr>
          <w:color w:val="231F20"/>
          <w:spacing w:val="-23"/>
          <w:w w:val="105"/>
        </w:rPr>
        <w:t> </w:t>
      </w:r>
      <w:r>
        <w:rPr>
          <w:color w:val="231F20"/>
          <w:w w:val="105"/>
        </w:rPr>
        <w:t>remains</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4"/>
          <w:w w:val="105"/>
        </w:rPr>
        <w:t> </w:t>
      </w:r>
      <w:r>
        <w:rPr>
          <w:color w:val="231F20"/>
          <w:w w:val="105"/>
        </w:rPr>
        <w:t>blood.</w:t>
      </w:r>
      <w:r>
        <w:rPr>
          <w:color w:val="231F20"/>
          <w:spacing w:val="-23"/>
          <w:w w:val="105"/>
        </w:rPr>
        <w:t> </w:t>
      </w:r>
      <w:r>
        <w:rPr>
          <w:color w:val="231F20"/>
          <w:w w:val="105"/>
        </w:rPr>
        <w:t>This</w:t>
      </w:r>
      <w:r>
        <w:rPr>
          <w:color w:val="231F20"/>
          <w:spacing w:val="-23"/>
          <w:w w:val="105"/>
        </w:rPr>
        <w:t> </w:t>
      </w:r>
      <w:r>
        <w:rPr>
          <w:color w:val="231F20"/>
          <w:w w:val="105"/>
        </w:rPr>
        <w:t>distribu- tion occurs because once the interstitial fluid pressure rises</w:t>
      </w:r>
      <w:r>
        <w:rPr>
          <w:color w:val="231F20"/>
          <w:spacing w:val="-26"/>
          <w:w w:val="105"/>
        </w:rPr>
        <w:t> </w:t>
      </w:r>
      <w:r>
        <w:rPr>
          <w:color w:val="231F20"/>
          <w:w w:val="105"/>
        </w:rPr>
        <w:t>from</w:t>
      </w:r>
      <w:r>
        <w:rPr>
          <w:color w:val="231F20"/>
          <w:spacing w:val="-25"/>
          <w:w w:val="105"/>
        </w:rPr>
        <w:t> </w:t>
      </w:r>
      <w:r>
        <w:rPr>
          <w:color w:val="231F20"/>
          <w:w w:val="105"/>
        </w:rPr>
        <w:t>its</w:t>
      </w:r>
      <w:r>
        <w:rPr>
          <w:color w:val="231F20"/>
          <w:spacing w:val="-25"/>
          <w:w w:val="105"/>
        </w:rPr>
        <w:t> </w:t>
      </w:r>
      <w:r>
        <w:rPr>
          <w:color w:val="231F20"/>
          <w:w w:val="105"/>
        </w:rPr>
        <w:t>normally</w:t>
      </w:r>
      <w:r>
        <w:rPr>
          <w:color w:val="231F20"/>
          <w:spacing w:val="-25"/>
          <w:w w:val="105"/>
        </w:rPr>
        <w:t> </w:t>
      </w:r>
      <w:r>
        <w:rPr>
          <w:color w:val="231F20"/>
          <w:w w:val="105"/>
        </w:rPr>
        <w:t>negative</w:t>
      </w:r>
      <w:r>
        <w:rPr>
          <w:color w:val="231F20"/>
          <w:spacing w:val="-25"/>
          <w:w w:val="105"/>
        </w:rPr>
        <w:t> </w:t>
      </w:r>
      <w:r>
        <w:rPr>
          <w:color w:val="231F20"/>
          <w:w w:val="105"/>
        </w:rPr>
        <w:t>value</w:t>
      </w:r>
      <w:r>
        <w:rPr>
          <w:color w:val="231F20"/>
          <w:spacing w:val="-25"/>
          <w:w w:val="105"/>
        </w:rPr>
        <w:t> </w:t>
      </w:r>
      <w:r>
        <w:rPr>
          <w:color w:val="231F20"/>
          <w:w w:val="105"/>
        </w:rPr>
        <w:t>to</w:t>
      </w:r>
      <w:r>
        <w:rPr>
          <w:color w:val="231F20"/>
          <w:spacing w:val="-25"/>
          <w:w w:val="105"/>
        </w:rPr>
        <w:t> </w:t>
      </w:r>
      <w:r>
        <w:rPr>
          <w:color w:val="231F20"/>
          <w:w w:val="105"/>
        </w:rPr>
        <w:t>become</w:t>
      </w:r>
      <w:r>
        <w:rPr>
          <w:color w:val="231F20"/>
          <w:spacing w:val="-25"/>
          <w:w w:val="105"/>
        </w:rPr>
        <w:t> </w:t>
      </w:r>
      <w:r>
        <w:rPr>
          <w:color w:val="231F20"/>
          <w:w w:val="105"/>
        </w:rPr>
        <w:t>positive, the tissue interstitial spaces become compliant and</w:t>
      </w:r>
      <w:r>
        <w:rPr>
          <w:color w:val="231F20"/>
          <w:spacing w:val="-33"/>
          <w:w w:val="105"/>
        </w:rPr>
        <w:t> </w:t>
      </w:r>
      <w:r>
        <w:rPr>
          <w:color w:val="231F20"/>
          <w:spacing w:val="-4"/>
          <w:w w:val="105"/>
        </w:rPr>
        <w:t>large </w:t>
      </w:r>
      <w:r>
        <w:rPr>
          <w:color w:val="231F20"/>
          <w:w w:val="105"/>
        </w:rPr>
        <w:t>amounts</w:t>
      </w:r>
      <w:r>
        <w:rPr>
          <w:color w:val="231F20"/>
          <w:spacing w:val="-7"/>
          <w:w w:val="105"/>
        </w:rPr>
        <w:t> </w:t>
      </w:r>
      <w:r>
        <w:rPr>
          <w:color w:val="231F20"/>
          <w:w w:val="105"/>
        </w:rPr>
        <w:t>of</w:t>
      </w:r>
      <w:r>
        <w:rPr>
          <w:color w:val="231F20"/>
          <w:spacing w:val="-6"/>
          <w:w w:val="105"/>
        </w:rPr>
        <w:t> </w:t>
      </w:r>
      <w:r>
        <w:rPr>
          <w:color w:val="231F20"/>
          <w:w w:val="105"/>
        </w:rPr>
        <w:t>fluid</w:t>
      </w:r>
      <w:r>
        <w:rPr>
          <w:color w:val="231F20"/>
          <w:spacing w:val="-6"/>
          <w:w w:val="105"/>
        </w:rPr>
        <w:t> </w:t>
      </w:r>
      <w:r>
        <w:rPr>
          <w:color w:val="231F20"/>
          <w:w w:val="105"/>
        </w:rPr>
        <w:t>then</w:t>
      </w:r>
      <w:r>
        <w:rPr>
          <w:color w:val="231F20"/>
          <w:spacing w:val="-6"/>
          <w:w w:val="105"/>
        </w:rPr>
        <w:t> </w:t>
      </w:r>
      <w:r>
        <w:rPr>
          <w:color w:val="231F20"/>
          <w:w w:val="105"/>
        </w:rPr>
        <w:t>pour</w:t>
      </w:r>
      <w:r>
        <w:rPr>
          <w:color w:val="231F20"/>
          <w:spacing w:val="-7"/>
          <w:w w:val="105"/>
        </w:rPr>
        <w:t> </w:t>
      </w:r>
      <w:r>
        <w:rPr>
          <w:color w:val="231F20"/>
          <w:w w:val="105"/>
        </w:rPr>
        <w:t>into</w:t>
      </w:r>
      <w:r>
        <w:rPr>
          <w:color w:val="231F20"/>
          <w:spacing w:val="-6"/>
          <w:w w:val="105"/>
        </w:rPr>
        <w:t> </w:t>
      </w:r>
      <w:r>
        <w:rPr>
          <w:color w:val="231F20"/>
          <w:w w:val="105"/>
        </w:rPr>
        <w:t>the</w:t>
      </w:r>
      <w:r>
        <w:rPr>
          <w:color w:val="231F20"/>
          <w:spacing w:val="-6"/>
          <w:w w:val="105"/>
        </w:rPr>
        <w:t> </w:t>
      </w:r>
      <w:r>
        <w:rPr>
          <w:color w:val="231F20"/>
          <w:w w:val="105"/>
        </w:rPr>
        <w:t>tissues</w:t>
      </w:r>
      <w:r>
        <w:rPr>
          <w:color w:val="231F20"/>
          <w:spacing w:val="-6"/>
          <w:w w:val="105"/>
        </w:rPr>
        <w:t> </w:t>
      </w:r>
      <w:r>
        <w:rPr>
          <w:color w:val="231F20"/>
          <w:w w:val="105"/>
        </w:rPr>
        <w:t>without</w:t>
      </w:r>
      <w:r>
        <w:rPr>
          <w:color w:val="231F20"/>
          <w:spacing w:val="-7"/>
          <w:w w:val="105"/>
        </w:rPr>
        <w:t> </w:t>
      </w:r>
      <w:r>
        <w:rPr>
          <w:color w:val="231F20"/>
          <w:spacing w:val="-4"/>
          <w:w w:val="105"/>
        </w:rPr>
        <w:t>inter- </w:t>
      </w:r>
      <w:r>
        <w:rPr>
          <w:color w:val="231F20"/>
          <w:w w:val="105"/>
        </w:rPr>
        <w:t>stitial fluid pressure rising much more. In other words, the</w:t>
      </w:r>
      <w:r>
        <w:rPr>
          <w:color w:val="231F20"/>
          <w:spacing w:val="-18"/>
          <w:w w:val="105"/>
        </w:rPr>
        <w:t> </w:t>
      </w:r>
      <w:r>
        <w:rPr>
          <w:color w:val="231F20"/>
          <w:w w:val="105"/>
        </w:rPr>
        <w:t>safety</w:t>
      </w:r>
      <w:r>
        <w:rPr>
          <w:color w:val="231F20"/>
          <w:spacing w:val="-18"/>
          <w:w w:val="105"/>
        </w:rPr>
        <w:t> </w:t>
      </w:r>
      <w:r>
        <w:rPr>
          <w:color w:val="231F20"/>
          <w:w w:val="105"/>
        </w:rPr>
        <w:t>factor</w:t>
      </w:r>
      <w:r>
        <w:rPr>
          <w:color w:val="231F20"/>
          <w:spacing w:val="-17"/>
          <w:w w:val="105"/>
        </w:rPr>
        <w:t> </w:t>
      </w:r>
      <w:r>
        <w:rPr>
          <w:color w:val="231F20"/>
          <w:w w:val="105"/>
        </w:rPr>
        <w:t>against</w:t>
      </w:r>
      <w:r>
        <w:rPr>
          <w:color w:val="231F20"/>
          <w:spacing w:val="-18"/>
          <w:w w:val="105"/>
        </w:rPr>
        <w:t> </w:t>
      </w:r>
      <w:r>
        <w:rPr>
          <w:color w:val="231F20"/>
          <w:w w:val="105"/>
        </w:rPr>
        <w:t>edema,</w:t>
      </w:r>
      <w:r>
        <w:rPr>
          <w:color w:val="231F20"/>
          <w:spacing w:val="-17"/>
          <w:w w:val="105"/>
        </w:rPr>
        <w:t> </w:t>
      </w:r>
      <w:r>
        <w:rPr>
          <w:color w:val="231F20"/>
          <w:w w:val="105"/>
        </w:rPr>
        <w:t>owing</w:t>
      </w:r>
      <w:r>
        <w:rPr>
          <w:color w:val="231F20"/>
          <w:spacing w:val="-18"/>
          <w:w w:val="105"/>
        </w:rPr>
        <w:t> </w:t>
      </w:r>
      <w:r>
        <w:rPr>
          <w:color w:val="231F20"/>
          <w:w w:val="105"/>
        </w:rPr>
        <w:t>to</w:t>
      </w:r>
      <w:r>
        <w:rPr>
          <w:color w:val="231F20"/>
          <w:spacing w:val="-17"/>
          <w:w w:val="105"/>
        </w:rPr>
        <w:t> </w:t>
      </w:r>
      <w:r>
        <w:rPr>
          <w:color w:val="231F20"/>
          <w:w w:val="105"/>
        </w:rPr>
        <w:t>a</w:t>
      </w:r>
      <w:r>
        <w:rPr>
          <w:color w:val="231F20"/>
          <w:spacing w:val="-18"/>
          <w:w w:val="105"/>
        </w:rPr>
        <w:t> </w:t>
      </w:r>
      <w:r>
        <w:rPr>
          <w:color w:val="231F20"/>
          <w:w w:val="105"/>
        </w:rPr>
        <w:t>rising</w:t>
      </w:r>
      <w:r>
        <w:rPr>
          <w:color w:val="231F20"/>
          <w:spacing w:val="-17"/>
          <w:w w:val="105"/>
        </w:rPr>
        <w:t> </w:t>
      </w:r>
      <w:r>
        <w:rPr>
          <w:color w:val="231F20"/>
          <w:w w:val="105"/>
        </w:rPr>
        <w:t>intersti- tial fluid pressure that counteracts fluid accumulation </w:t>
      </w:r>
      <w:r>
        <w:rPr>
          <w:color w:val="231F20"/>
          <w:spacing w:val="-8"/>
          <w:w w:val="105"/>
        </w:rPr>
        <w:t>in </w:t>
      </w:r>
      <w:r>
        <w:rPr>
          <w:color w:val="231F20"/>
          <w:w w:val="105"/>
        </w:rPr>
        <w:t>the tissues, is lost once the tissues become highly compliant.</w:t>
      </w:r>
    </w:p>
    <w:p>
      <w:pPr>
        <w:pStyle w:val="BodyText"/>
        <w:spacing w:line="249" w:lineRule="auto" w:before="15"/>
        <w:ind w:left="1080" w:firstLine="240"/>
        <w:jc w:val="both"/>
      </w:pPr>
      <w:r>
        <w:rPr>
          <w:color w:val="231F20"/>
        </w:rPr>
        <w:t>Thus, under normal conditions, the interstitial </w:t>
      </w:r>
      <w:r>
        <w:rPr>
          <w:color w:val="231F20"/>
          <w:spacing w:val="-4"/>
        </w:rPr>
        <w:t>spaces </w:t>
      </w:r>
      <w:r>
        <w:rPr>
          <w:color w:val="231F20"/>
        </w:rPr>
        <w:t>act as an “overflow” reservoir for excess fluid, sometimes increasing in volume 10 to 30 liters. This situation </w:t>
      </w:r>
      <w:r>
        <w:rPr>
          <w:color w:val="231F20"/>
          <w:spacing w:val="-3"/>
        </w:rPr>
        <w:t>causes </w:t>
      </w:r>
      <w:r>
        <w:rPr>
          <w:color w:val="231F20"/>
        </w:rPr>
        <w:t>edema, as explained in Chapter 25, but it also acts as </w:t>
      </w:r>
      <w:r>
        <w:rPr>
          <w:color w:val="231F20"/>
          <w:spacing w:val="-6"/>
        </w:rPr>
        <w:t>an </w:t>
      </w:r>
      <w:r>
        <w:rPr>
          <w:color w:val="231F20"/>
        </w:rPr>
        <w:t>important overflow release valve for the</w:t>
      </w:r>
      <w:r>
        <w:rPr>
          <w:color w:val="231F20"/>
          <w:spacing w:val="-2"/>
        </w:rPr>
        <w:t> </w:t>
      </w:r>
      <w:r>
        <w:rPr>
          <w:color w:val="231F20"/>
        </w:rPr>
        <w:t>circulation,</w:t>
      </w:r>
    </w:p>
    <w:p>
      <w:pPr>
        <w:pStyle w:val="BodyText"/>
      </w:pPr>
      <w:r>
        <w:rPr/>
        <w:br w:type="column"/>
      </w:r>
      <w:r>
        <w:rPr/>
      </w:r>
    </w:p>
    <w:p>
      <w:pPr>
        <w:pStyle w:val="BodyText"/>
      </w:pPr>
    </w:p>
    <w:p>
      <w:pPr>
        <w:pStyle w:val="BodyText"/>
        <w:spacing w:before="5"/>
        <w:rPr>
          <w:sz w:val="18"/>
        </w:rPr>
      </w:pPr>
      <w:r>
        <w:rPr/>
        <w:pict>
          <v:shape style="position:absolute;margin-left:306pt;margin-top:12.836481pt;width:234pt;height:.1pt;mso-position-horizontal-relative:page;mso-position-vertical-relative:paragraph;z-index:-250642432;mso-wrap-distance-left:0;mso-wrap-distance-right:0" coordorigin="6120,257" coordsize="4680,0" path="m6120,257l10800,257e" filled="false" stroked="true" strokeweight=".5pt" strokecolor="#231f20">
            <v:path arrowok="t"/>
            <v:stroke dashstyle="solid"/>
            <w10:wrap type="topAndBottom"/>
          </v:shape>
        </w:pict>
      </w:r>
    </w:p>
    <w:p>
      <w:pPr>
        <w:pStyle w:val="BodyText"/>
        <w:spacing w:line="249" w:lineRule="auto" w:before="54"/>
        <w:ind w:left="318" w:right="1437"/>
        <w:jc w:val="both"/>
      </w:pPr>
      <w:r>
        <w:rPr>
          <w:color w:val="231F20"/>
          <w:w w:val="105"/>
        </w:rPr>
        <w:t>In Chapters 27 and 28, we discuss the nervous and hor- monal factors that influence GFR and tubular reabsorp- tion and, therefore, renal excretion of salt and </w:t>
      </w:r>
      <w:r>
        <w:rPr>
          <w:color w:val="231F20"/>
          <w:spacing w:val="-3"/>
          <w:w w:val="105"/>
        </w:rPr>
        <w:t>water. </w:t>
      </w:r>
      <w:r>
        <w:rPr>
          <w:color w:val="231F20"/>
          <w:w w:val="105"/>
        </w:rPr>
        <w:t>These nervous and hormonal mechanisms usually </w:t>
      </w:r>
      <w:r>
        <w:rPr>
          <w:color w:val="231F20"/>
          <w:spacing w:val="-4"/>
          <w:w w:val="105"/>
        </w:rPr>
        <w:t>act  </w:t>
      </w:r>
      <w:r>
        <w:rPr>
          <w:color w:val="231F20"/>
          <w:w w:val="105"/>
        </w:rPr>
        <w:t>in concert with the pressure natriuresis and pressure diuresis mechanisms, making them more effective </w:t>
      </w:r>
      <w:r>
        <w:rPr>
          <w:color w:val="231F20"/>
          <w:spacing w:val="-6"/>
          <w:w w:val="105"/>
        </w:rPr>
        <w:t>in </w:t>
      </w:r>
      <w:r>
        <w:rPr>
          <w:color w:val="231F20"/>
          <w:w w:val="105"/>
        </w:rPr>
        <w:t>minimizing the changes in blood volume, extracellular fluid</w:t>
      </w:r>
      <w:r>
        <w:rPr>
          <w:color w:val="231F20"/>
          <w:spacing w:val="-14"/>
          <w:w w:val="105"/>
        </w:rPr>
        <w:t> </w:t>
      </w:r>
      <w:r>
        <w:rPr>
          <w:color w:val="231F20"/>
          <w:w w:val="105"/>
        </w:rPr>
        <w:t>volume,</w:t>
      </w:r>
      <w:r>
        <w:rPr>
          <w:color w:val="231F20"/>
          <w:spacing w:val="-13"/>
          <w:w w:val="105"/>
        </w:rPr>
        <w:t> </w:t>
      </w:r>
      <w:r>
        <w:rPr>
          <w:color w:val="231F20"/>
          <w:w w:val="105"/>
        </w:rPr>
        <w:t>and</w:t>
      </w:r>
      <w:r>
        <w:rPr>
          <w:color w:val="231F20"/>
          <w:spacing w:val="-14"/>
          <w:w w:val="105"/>
        </w:rPr>
        <w:t> </w:t>
      </w:r>
      <w:r>
        <w:rPr>
          <w:color w:val="231F20"/>
          <w:w w:val="105"/>
        </w:rPr>
        <w:t>arterial</w:t>
      </w:r>
      <w:r>
        <w:rPr>
          <w:color w:val="231F20"/>
          <w:spacing w:val="-13"/>
          <w:w w:val="105"/>
        </w:rPr>
        <w:t> </w:t>
      </w:r>
      <w:r>
        <w:rPr>
          <w:color w:val="231F20"/>
          <w:w w:val="105"/>
        </w:rPr>
        <w:t>pressure</w:t>
      </w:r>
      <w:r>
        <w:rPr>
          <w:color w:val="231F20"/>
          <w:spacing w:val="-14"/>
          <w:w w:val="105"/>
        </w:rPr>
        <w:t> </w:t>
      </w:r>
      <w:r>
        <w:rPr>
          <w:color w:val="231F20"/>
          <w:w w:val="105"/>
        </w:rPr>
        <w:t>that</w:t>
      </w:r>
      <w:r>
        <w:rPr>
          <w:color w:val="231F20"/>
          <w:spacing w:val="-14"/>
          <w:w w:val="105"/>
        </w:rPr>
        <w:t> </w:t>
      </w:r>
      <w:r>
        <w:rPr>
          <w:color w:val="231F20"/>
          <w:w w:val="105"/>
        </w:rPr>
        <w:t>occur</w:t>
      </w:r>
      <w:r>
        <w:rPr>
          <w:color w:val="231F20"/>
          <w:spacing w:val="-13"/>
          <w:w w:val="105"/>
        </w:rPr>
        <w:t> </w:t>
      </w:r>
      <w:r>
        <w:rPr>
          <w:color w:val="231F20"/>
          <w:w w:val="105"/>
        </w:rPr>
        <w:t>in</w:t>
      </w:r>
      <w:r>
        <w:rPr>
          <w:color w:val="231F20"/>
          <w:spacing w:val="-14"/>
          <w:w w:val="105"/>
        </w:rPr>
        <w:t> </w:t>
      </w:r>
      <w:r>
        <w:rPr>
          <w:color w:val="231F20"/>
          <w:w w:val="105"/>
        </w:rPr>
        <w:t>response to day-to-day challenges. However, abnormalities of kidney function or of the various nervous and</w:t>
      </w:r>
      <w:r>
        <w:rPr>
          <w:color w:val="231F20"/>
          <w:spacing w:val="-16"/>
          <w:w w:val="105"/>
        </w:rPr>
        <w:t> </w:t>
      </w:r>
      <w:r>
        <w:rPr>
          <w:color w:val="231F20"/>
          <w:w w:val="105"/>
        </w:rPr>
        <w:t>hormonal factors that influence the kidneys can lead to serious changes in blood pressure and body fluid volumes, </w:t>
      </w:r>
      <w:r>
        <w:rPr>
          <w:color w:val="231F20"/>
          <w:spacing w:val="-5"/>
          <w:w w:val="105"/>
        </w:rPr>
        <w:t>as </w:t>
      </w:r>
      <w:r>
        <w:rPr>
          <w:color w:val="231F20"/>
          <w:w w:val="105"/>
        </w:rPr>
        <w:t>discussed</w:t>
      </w:r>
      <w:r>
        <w:rPr>
          <w:color w:val="231F20"/>
          <w:spacing w:val="3"/>
          <w:w w:val="105"/>
        </w:rPr>
        <w:t> </w:t>
      </w:r>
      <w:r>
        <w:rPr>
          <w:color w:val="231F20"/>
          <w:spacing w:val="-4"/>
          <w:w w:val="105"/>
        </w:rPr>
        <w:t>later.</w:t>
      </w:r>
    </w:p>
    <w:p>
      <w:pPr>
        <w:pStyle w:val="BodyText"/>
        <w:spacing w:before="7"/>
        <w:rPr>
          <w:sz w:val="31"/>
        </w:rPr>
      </w:pPr>
    </w:p>
    <w:p>
      <w:pPr>
        <w:pStyle w:val="Heading2"/>
        <w:spacing w:line="225" w:lineRule="auto"/>
        <w:ind w:left="318" w:right="2671"/>
      </w:pPr>
      <w:r>
        <w:rPr>
          <w:color w:val="231F20"/>
          <w:spacing w:val="-4"/>
        </w:rPr>
        <w:t>SYMPATHETIC</w:t>
      </w:r>
      <w:r>
        <w:rPr>
          <w:color w:val="231F20"/>
          <w:spacing w:val="58"/>
        </w:rPr>
        <w:t> </w:t>
      </w:r>
      <w:r>
        <w:rPr>
          <w:color w:val="231F20"/>
        </w:rPr>
        <w:t>NERVOUS </w:t>
      </w:r>
      <w:r>
        <w:rPr>
          <w:color w:val="231F20"/>
          <w:spacing w:val="-3"/>
        </w:rPr>
        <w:t>SYSTEM </w:t>
      </w:r>
      <w:r>
        <w:rPr>
          <w:color w:val="231F20"/>
        </w:rPr>
        <w:t>CONTROL OF RENAL EXCRETION: ARTERIAL BARORECEPTOR AND LOW-PRESSURE STRETCH RECEPTOR REFLEXES</w:t>
      </w:r>
    </w:p>
    <w:p>
      <w:pPr>
        <w:pStyle w:val="BodyText"/>
        <w:spacing w:line="249" w:lineRule="auto" w:before="127"/>
        <w:ind w:left="318" w:right="1437"/>
        <w:jc w:val="both"/>
      </w:pPr>
      <w:r>
        <w:rPr>
          <w:color w:val="231F20"/>
          <w:w w:val="105"/>
        </w:rPr>
        <w:t>Because</w:t>
      </w:r>
      <w:r>
        <w:rPr>
          <w:color w:val="231F20"/>
          <w:spacing w:val="-28"/>
          <w:w w:val="105"/>
        </w:rPr>
        <w:t> </w:t>
      </w:r>
      <w:r>
        <w:rPr>
          <w:color w:val="231F20"/>
          <w:w w:val="105"/>
        </w:rPr>
        <w:t>the</w:t>
      </w:r>
      <w:r>
        <w:rPr>
          <w:color w:val="231F20"/>
          <w:spacing w:val="-27"/>
          <w:w w:val="105"/>
        </w:rPr>
        <w:t> </w:t>
      </w:r>
      <w:r>
        <w:rPr>
          <w:color w:val="231F20"/>
          <w:w w:val="105"/>
        </w:rPr>
        <w:t>kidneys</w:t>
      </w:r>
      <w:r>
        <w:rPr>
          <w:color w:val="231F20"/>
          <w:spacing w:val="-27"/>
          <w:w w:val="105"/>
        </w:rPr>
        <w:t> </w:t>
      </w:r>
      <w:r>
        <w:rPr>
          <w:color w:val="231F20"/>
          <w:w w:val="105"/>
        </w:rPr>
        <w:t>receive</w:t>
      </w:r>
      <w:r>
        <w:rPr>
          <w:color w:val="231F20"/>
          <w:spacing w:val="-28"/>
          <w:w w:val="105"/>
        </w:rPr>
        <w:t> </w:t>
      </w:r>
      <w:r>
        <w:rPr>
          <w:color w:val="231F20"/>
          <w:w w:val="105"/>
        </w:rPr>
        <w:t>extensive</w:t>
      </w:r>
      <w:r>
        <w:rPr>
          <w:color w:val="231F20"/>
          <w:spacing w:val="-27"/>
          <w:w w:val="105"/>
        </w:rPr>
        <w:t> </w:t>
      </w:r>
      <w:r>
        <w:rPr>
          <w:color w:val="231F20"/>
          <w:w w:val="105"/>
        </w:rPr>
        <w:t>sympathetic</w:t>
      </w:r>
      <w:r>
        <w:rPr>
          <w:color w:val="231F20"/>
          <w:spacing w:val="-27"/>
          <w:w w:val="105"/>
        </w:rPr>
        <w:t> </w:t>
      </w:r>
      <w:r>
        <w:rPr>
          <w:color w:val="231F20"/>
          <w:w w:val="105"/>
        </w:rPr>
        <w:t>inner- vation, changes in sympathetic activity can alter </w:t>
      </w:r>
      <w:r>
        <w:rPr>
          <w:color w:val="231F20"/>
          <w:spacing w:val="-4"/>
          <w:w w:val="105"/>
        </w:rPr>
        <w:t>renal </w:t>
      </w:r>
      <w:r>
        <w:rPr>
          <w:color w:val="231F20"/>
          <w:w w:val="105"/>
        </w:rPr>
        <w:t>sodium</w:t>
      </w:r>
      <w:r>
        <w:rPr>
          <w:color w:val="231F20"/>
          <w:spacing w:val="-28"/>
          <w:w w:val="105"/>
        </w:rPr>
        <w:t> </w:t>
      </w:r>
      <w:r>
        <w:rPr>
          <w:color w:val="231F20"/>
          <w:w w:val="105"/>
        </w:rPr>
        <w:t>and</w:t>
      </w:r>
      <w:r>
        <w:rPr>
          <w:color w:val="231F20"/>
          <w:spacing w:val="-28"/>
          <w:w w:val="105"/>
        </w:rPr>
        <w:t> </w:t>
      </w:r>
      <w:r>
        <w:rPr>
          <w:color w:val="231F20"/>
          <w:w w:val="105"/>
        </w:rPr>
        <w:t>water</w:t>
      </w:r>
      <w:r>
        <w:rPr>
          <w:color w:val="231F20"/>
          <w:spacing w:val="-27"/>
          <w:w w:val="105"/>
        </w:rPr>
        <w:t> </w:t>
      </w:r>
      <w:r>
        <w:rPr>
          <w:color w:val="231F20"/>
          <w:w w:val="105"/>
        </w:rPr>
        <w:t>excretion,</w:t>
      </w:r>
      <w:r>
        <w:rPr>
          <w:color w:val="231F20"/>
          <w:spacing w:val="-28"/>
          <w:w w:val="105"/>
        </w:rPr>
        <w:t> </w:t>
      </w:r>
      <w:r>
        <w:rPr>
          <w:color w:val="231F20"/>
          <w:w w:val="105"/>
        </w:rPr>
        <w:t>as</w:t>
      </w:r>
      <w:r>
        <w:rPr>
          <w:color w:val="231F20"/>
          <w:spacing w:val="-27"/>
          <w:w w:val="105"/>
        </w:rPr>
        <w:t> </w:t>
      </w:r>
      <w:r>
        <w:rPr>
          <w:color w:val="231F20"/>
          <w:w w:val="105"/>
        </w:rPr>
        <w:t>well</w:t>
      </w:r>
      <w:r>
        <w:rPr>
          <w:color w:val="231F20"/>
          <w:spacing w:val="-28"/>
          <w:w w:val="105"/>
        </w:rPr>
        <w:t> </w:t>
      </w:r>
      <w:r>
        <w:rPr>
          <w:color w:val="231F20"/>
          <w:w w:val="105"/>
        </w:rPr>
        <w:t>as</w:t>
      </w:r>
      <w:r>
        <w:rPr>
          <w:color w:val="231F20"/>
          <w:spacing w:val="-27"/>
          <w:w w:val="105"/>
        </w:rPr>
        <w:t> </w:t>
      </w:r>
      <w:r>
        <w:rPr>
          <w:color w:val="231F20"/>
          <w:w w:val="105"/>
        </w:rPr>
        <w:t>regulation</w:t>
      </w:r>
      <w:r>
        <w:rPr>
          <w:color w:val="231F20"/>
          <w:spacing w:val="-28"/>
          <w:w w:val="105"/>
        </w:rPr>
        <w:t> </w:t>
      </w:r>
      <w:r>
        <w:rPr>
          <w:color w:val="231F20"/>
          <w:w w:val="105"/>
        </w:rPr>
        <w:t>of</w:t>
      </w:r>
      <w:r>
        <w:rPr>
          <w:color w:val="231F20"/>
          <w:spacing w:val="-28"/>
          <w:w w:val="105"/>
        </w:rPr>
        <w:t> </w:t>
      </w:r>
      <w:r>
        <w:rPr>
          <w:color w:val="231F20"/>
          <w:w w:val="105"/>
        </w:rPr>
        <w:t>extra- cellular</w:t>
      </w:r>
      <w:r>
        <w:rPr>
          <w:color w:val="231F20"/>
          <w:spacing w:val="-35"/>
          <w:w w:val="105"/>
        </w:rPr>
        <w:t> </w:t>
      </w:r>
      <w:r>
        <w:rPr>
          <w:color w:val="231F20"/>
          <w:w w:val="105"/>
        </w:rPr>
        <w:t>fluid</w:t>
      </w:r>
      <w:r>
        <w:rPr>
          <w:color w:val="231F20"/>
          <w:spacing w:val="-34"/>
          <w:w w:val="105"/>
        </w:rPr>
        <w:t> </w:t>
      </w:r>
      <w:r>
        <w:rPr>
          <w:color w:val="231F20"/>
          <w:w w:val="105"/>
        </w:rPr>
        <w:t>volume</w:t>
      </w:r>
      <w:r>
        <w:rPr>
          <w:color w:val="231F20"/>
          <w:spacing w:val="-35"/>
          <w:w w:val="105"/>
        </w:rPr>
        <w:t> </w:t>
      </w:r>
      <w:r>
        <w:rPr>
          <w:color w:val="231F20"/>
          <w:w w:val="105"/>
        </w:rPr>
        <w:t>under</w:t>
      </w:r>
      <w:r>
        <w:rPr>
          <w:color w:val="231F20"/>
          <w:spacing w:val="-34"/>
          <w:w w:val="105"/>
        </w:rPr>
        <w:t> </w:t>
      </w:r>
      <w:r>
        <w:rPr>
          <w:color w:val="231F20"/>
          <w:w w:val="105"/>
        </w:rPr>
        <w:t>some</w:t>
      </w:r>
      <w:r>
        <w:rPr>
          <w:color w:val="231F20"/>
          <w:spacing w:val="-35"/>
          <w:w w:val="105"/>
        </w:rPr>
        <w:t> </w:t>
      </w:r>
      <w:r>
        <w:rPr>
          <w:color w:val="231F20"/>
          <w:w w:val="105"/>
        </w:rPr>
        <w:t>conditions.</w:t>
      </w:r>
      <w:r>
        <w:rPr>
          <w:color w:val="231F20"/>
          <w:spacing w:val="-34"/>
          <w:w w:val="105"/>
        </w:rPr>
        <w:t> </w:t>
      </w:r>
      <w:r>
        <w:rPr>
          <w:color w:val="231F20"/>
          <w:spacing w:val="-3"/>
          <w:w w:val="105"/>
        </w:rPr>
        <w:t>For</w:t>
      </w:r>
      <w:r>
        <w:rPr>
          <w:color w:val="231F20"/>
          <w:spacing w:val="-34"/>
          <w:w w:val="105"/>
        </w:rPr>
        <w:t> </w:t>
      </w:r>
      <w:r>
        <w:rPr>
          <w:color w:val="231F20"/>
          <w:w w:val="105"/>
        </w:rPr>
        <w:t>example, when</w:t>
      </w:r>
      <w:r>
        <w:rPr>
          <w:color w:val="231F20"/>
          <w:spacing w:val="-16"/>
          <w:w w:val="105"/>
        </w:rPr>
        <w:t> </w:t>
      </w:r>
      <w:r>
        <w:rPr>
          <w:color w:val="231F20"/>
          <w:w w:val="105"/>
        </w:rPr>
        <w:t>blood</w:t>
      </w:r>
      <w:r>
        <w:rPr>
          <w:color w:val="231F20"/>
          <w:spacing w:val="-16"/>
          <w:w w:val="105"/>
        </w:rPr>
        <w:t> </w:t>
      </w:r>
      <w:r>
        <w:rPr>
          <w:color w:val="231F20"/>
          <w:w w:val="105"/>
        </w:rPr>
        <w:t>volume</w:t>
      </w:r>
      <w:r>
        <w:rPr>
          <w:color w:val="231F20"/>
          <w:spacing w:val="-16"/>
          <w:w w:val="105"/>
        </w:rPr>
        <w:t> </w:t>
      </w:r>
      <w:r>
        <w:rPr>
          <w:color w:val="231F20"/>
          <w:w w:val="105"/>
        </w:rPr>
        <w:t>is</w:t>
      </w:r>
      <w:r>
        <w:rPr>
          <w:color w:val="231F20"/>
          <w:spacing w:val="-15"/>
          <w:w w:val="105"/>
        </w:rPr>
        <w:t> </w:t>
      </w:r>
      <w:r>
        <w:rPr>
          <w:color w:val="231F20"/>
          <w:w w:val="105"/>
        </w:rPr>
        <w:t>reduced</w:t>
      </w:r>
      <w:r>
        <w:rPr>
          <w:color w:val="231F20"/>
          <w:spacing w:val="-16"/>
          <w:w w:val="105"/>
        </w:rPr>
        <w:t> </w:t>
      </w:r>
      <w:r>
        <w:rPr>
          <w:color w:val="231F20"/>
          <w:w w:val="105"/>
        </w:rPr>
        <w:t>by</w:t>
      </w:r>
      <w:r>
        <w:rPr>
          <w:color w:val="231F20"/>
          <w:spacing w:val="-16"/>
          <w:w w:val="105"/>
        </w:rPr>
        <w:t> </w:t>
      </w:r>
      <w:r>
        <w:rPr>
          <w:color w:val="231F20"/>
          <w:w w:val="105"/>
        </w:rPr>
        <w:t>hemorrhage,</w:t>
      </w:r>
      <w:r>
        <w:rPr>
          <w:color w:val="231F20"/>
          <w:spacing w:val="-15"/>
          <w:w w:val="105"/>
        </w:rPr>
        <w:t> </w:t>
      </w:r>
      <w:r>
        <w:rPr>
          <w:color w:val="231F20"/>
          <w:w w:val="105"/>
        </w:rPr>
        <w:t>pressures in the pulmonary blood vessels and other low-pressure regions of the thorax decrease, causing reflex</w:t>
      </w:r>
      <w:r>
        <w:rPr>
          <w:color w:val="231F20"/>
          <w:spacing w:val="-15"/>
          <w:w w:val="105"/>
        </w:rPr>
        <w:t> </w:t>
      </w:r>
      <w:r>
        <w:rPr>
          <w:color w:val="231F20"/>
          <w:w w:val="105"/>
        </w:rPr>
        <w:t>activation of</w:t>
      </w:r>
      <w:r>
        <w:rPr>
          <w:color w:val="231F20"/>
          <w:spacing w:val="-18"/>
          <w:w w:val="105"/>
        </w:rPr>
        <w:t> </w:t>
      </w:r>
      <w:r>
        <w:rPr>
          <w:color w:val="231F20"/>
          <w:w w:val="105"/>
        </w:rPr>
        <w:t>the</w:t>
      </w:r>
      <w:r>
        <w:rPr>
          <w:color w:val="231F20"/>
          <w:spacing w:val="-17"/>
          <w:w w:val="105"/>
        </w:rPr>
        <w:t> </w:t>
      </w:r>
      <w:r>
        <w:rPr>
          <w:color w:val="231F20"/>
          <w:w w:val="105"/>
        </w:rPr>
        <w:t>sympathetic</w:t>
      </w:r>
      <w:r>
        <w:rPr>
          <w:color w:val="231F20"/>
          <w:spacing w:val="-18"/>
          <w:w w:val="105"/>
        </w:rPr>
        <w:t> </w:t>
      </w:r>
      <w:r>
        <w:rPr>
          <w:color w:val="231F20"/>
          <w:w w:val="105"/>
        </w:rPr>
        <w:t>nervous</w:t>
      </w:r>
      <w:r>
        <w:rPr>
          <w:color w:val="231F20"/>
          <w:spacing w:val="-17"/>
          <w:w w:val="105"/>
        </w:rPr>
        <w:t> </w:t>
      </w:r>
      <w:r>
        <w:rPr>
          <w:color w:val="231F20"/>
          <w:w w:val="105"/>
        </w:rPr>
        <w:t>system.</w:t>
      </w:r>
      <w:r>
        <w:rPr>
          <w:color w:val="231F20"/>
          <w:spacing w:val="-18"/>
          <w:w w:val="105"/>
        </w:rPr>
        <w:t> </w:t>
      </w:r>
      <w:r>
        <w:rPr>
          <w:color w:val="231F20"/>
          <w:w w:val="105"/>
        </w:rPr>
        <w:t>This</w:t>
      </w:r>
      <w:r>
        <w:rPr>
          <w:color w:val="231F20"/>
          <w:spacing w:val="-17"/>
          <w:w w:val="105"/>
        </w:rPr>
        <w:t> </w:t>
      </w:r>
      <w:r>
        <w:rPr>
          <w:color w:val="231F20"/>
          <w:w w:val="105"/>
        </w:rPr>
        <w:t>in</w:t>
      </w:r>
      <w:r>
        <w:rPr>
          <w:color w:val="231F20"/>
          <w:spacing w:val="-18"/>
          <w:w w:val="105"/>
        </w:rPr>
        <w:t> </w:t>
      </w:r>
      <w:r>
        <w:rPr>
          <w:color w:val="231F20"/>
          <w:w w:val="105"/>
        </w:rPr>
        <w:t>turn</w:t>
      </w:r>
      <w:r>
        <w:rPr>
          <w:color w:val="231F20"/>
          <w:spacing w:val="-17"/>
          <w:w w:val="105"/>
        </w:rPr>
        <w:t> </w:t>
      </w:r>
      <w:r>
        <w:rPr>
          <w:color w:val="231F20"/>
          <w:w w:val="105"/>
        </w:rPr>
        <w:t>increases renal</w:t>
      </w:r>
      <w:r>
        <w:rPr>
          <w:color w:val="231F20"/>
          <w:spacing w:val="-32"/>
          <w:w w:val="105"/>
        </w:rPr>
        <w:t> </w:t>
      </w:r>
      <w:r>
        <w:rPr>
          <w:color w:val="231F20"/>
          <w:w w:val="105"/>
        </w:rPr>
        <w:t>sympathetic</w:t>
      </w:r>
      <w:r>
        <w:rPr>
          <w:color w:val="231F20"/>
          <w:spacing w:val="-32"/>
          <w:w w:val="105"/>
        </w:rPr>
        <w:t> </w:t>
      </w:r>
      <w:r>
        <w:rPr>
          <w:color w:val="231F20"/>
          <w:w w:val="105"/>
        </w:rPr>
        <w:t>nerve</w:t>
      </w:r>
      <w:r>
        <w:rPr>
          <w:color w:val="231F20"/>
          <w:spacing w:val="-31"/>
          <w:w w:val="105"/>
        </w:rPr>
        <w:t> </w:t>
      </w:r>
      <w:r>
        <w:rPr>
          <w:color w:val="231F20"/>
          <w:w w:val="105"/>
        </w:rPr>
        <w:t>activity,</w:t>
      </w:r>
      <w:r>
        <w:rPr>
          <w:color w:val="231F20"/>
          <w:spacing w:val="-32"/>
          <w:w w:val="105"/>
        </w:rPr>
        <w:t> </w:t>
      </w:r>
      <w:r>
        <w:rPr>
          <w:color w:val="231F20"/>
          <w:w w:val="105"/>
        </w:rPr>
        <w:t>which</w:t>
      </w:r>
      <w:r>
        <w:rPr>
          <w:color w:val="231F20"/>
          <w:spacing w:val="-31"/>
          <w:w w:val="105"/>
        </w:rPr>
        <w:t> </w:t>
      </w:r>
      <w:r>
        <w:rPr>
          <w:color w:val="231F20"/>
          <w:w w:val="105"/>
        </w:rPr>
        <w:t>has</w:t>
      </w:r>
      <w:r>
        <w:rPr>
          <w:color w:val="231F20"/>
          <w:spacing w:val="-32"/>
          <w:w w:val="105"/>
        </w:rPr>
        <w:t> </w:t>
      </w:r>
      <w:r>
        <w:rPr>
          <w:color w:val="231F20"/>
          <w:w w:val="105"/>
        </w:rPr>
        <w:t>several</w:t>
      </w:r>
      <w:r>
        <w:rPr>
          <w:color w:val="231F20"/>
          <w:spacing w:val="-31"/>
          <w:w w:val="105"/>
        </w:rPr>
        <w:t> </w:t>
      </w:r>
      <w:r>
        <w:rPr>
          <w:color w:val="231F20"/>
          <w:w w:val="105"/>
        </w:rPr>
        <w:t>effects to</w:t>
      </w:r>
      <w:r>
        <w:rPr>
          <w:color w:val="231F20"/>
          <w:spacing w:val="-7"/>
          <w:w w:val="105"/>
        </w:rPr>
        <w:t> </w:t>
      </w:r>
      <w:r>
        <w:rPr>
          <w:color w:val="231F20"/>
          <w:w w:val="105"/>
        </w:rPr>
        <w:t>decrease</w:t>
      </w:r>
      <w:r>
        <w:rPr>
          <w:color w:val="231F20"/>
          <w:spacing w:val="-7"/>
          <w:w w:val="105"/>
        </w:rPr>
        <w:t> </w:t>
      </w:r>
      <w:r>
        <w:rPr>
          <w:color w:val="231F20"/>
          <w:w w:val="105"/>
        </w:rPr>
        <w:t>sodium</w:t>
      </w:r>
      <w:r>
        <w:rPr>
          <w:color w:val="231F20"/>
          <w:spacing w:val="-6"/>
          <w:w w:val="105"/>
        </w:rPr>
        <w:t> </w:t>
      </w:r>
      <w:r>
        <w:rPr>
          <w:color w:val="231F20"/>
          <w:w w:val="105"/>
        </w:rPr>
        <w:t>and</w:t>
      </w:r>
      <w:r>
        <w:rPr>
          <w:color w:val="231F20"/>
          <w:spacing w:val="-7"/>
          <w:w w:val="105"/>
        </w:rPr>
        <w:t> </w:t>
      </w:r>
      <w:r>
        <w:rPr>
          <w:color w:val="231F20"/>
          <w:w w:val="105"/>
        </w:rPr>
        <w:t>water</w:t>
      </w:r>
      <w:r>
        <w:rPr>
          <w:color w:val="231F20"/>
          <w:spacing w:val="-7"/>
          <w:w w:val="105"/>
        </w:rPr>
        <w:t> </w:t>
      </w:r>
      <w:r>
        <w:rPr>
          <w:color w:val="231F20"/>
          <w:w w:val="105"/>
        </w:rPr>
        <w:t>excretion:</w:t>
      </w:r>
      <w:r>
        <w:rPr>
          <w:color w:val="231F20"/>
          <w:spacing w:val="-6"/>
          <w:w w:val="105"/>
        </w:rPr>
        <w:t> </w:t>
      </w:r>
      <w:r>
        <w:rPr>
          <w:color w:val="231F20"/>
          <w:w w:val="105"/>
        </w:rPr>
        <w:t>(1)</w:t>
      </w:r>
      <w:r>
        <w:rPr>
          <w:color w:val="231F20"/>
          <w:spacing w:val="-7"/>
          <w:w w:val="105"/>
        </w:rPr>
        <w:t> </w:t>
      </w:r>
      <w:r>
        <w:rPr>
          <w:color w:val="231F20"/>
          <w:w w:val="105"/>
        </w:rPr>
        <w:t>constriction of the renal arterioles, which decreases GFR if the</w:t>
      </w:r>
      <w:r>
        <w:rPr>
          <w:color w:val="231F20"/>
          <w:spacing w:val="-15"/>
          <w:w w:val="105"/>
        </w:rPr>
        <w:t> </w:t>
      </w:r>
      <w:r>
        <w:rPr>
          <w:color w:val="231F20"/>
          <w:w w:val="105"/>
        </w:rPr>
        <w:t>sym- pathetic activation is severe; (2) increased tubular </w:t>
      </w:r>
      <w:r>
        <w:rPr>
          <w:color w:val="231F20"/>
          <w:spacing w:val="-4"/>
          <w:w w:val="105"/>
        </w:rPr>
        <w:t>reab- </w:t>
      </w:r>
      <w:r>
        <w:rPr>
          <w:color w:val="231F20"/>
          <w:w w:val="105"/>
        </w:rPr>
        <w:t>sorption of salt and water; and (3) stimulation of renin release and increased Ang II and aldosterone</w:t>
      </w:r>
      <w:r>
        <w:rPr>
          <w:color w:val="231F20"/>
          <w:spacing w:val="-28"/>
          <w:w w:val="105"/>
        </w:rPr>
        <w:t> </w:t>
      </w:r>
      <w:r>
        <w:rPr>
          <w:color w:val="231F20"/>
          <w:w w:val="105"/>
        </w:rPr>
        <w:t>formation, both</w:t>
      </w:r>
      <w:r>
        <w:rPr>
          <w:color w:val="231F20"/>
          <w:spacing w:val="-21"/>
          <w:w w:val="105"/>
        </w:rPr>
        <w:t> </w:t>
      </w:r>
      <w:r>
        <w:rPr>
          <w:color w:val="231F20"/>
          <w:w w:val="105"/>
        </w:rPr>
        <w:t>of</w:t>
      </w:r>
      <w:r>
        <w:rPr>
          <w:color w:val="231F20"/>
          <w:spacing w:val="-20"/>
          <w:w w:val="105"/>
        </w:rPr>
        <w:t> </w:t>
      </w:r>
      <w:r>
        <w:rPr>
          <w:color w:val="231F20"/>
          <w:w w:val="105"/>
        </w:rPr>
        <w:t>which</w:t>
      </w:r>
      <w:r>
        <w:rPr>
          <w:color w:val="231F20"/>
          <w:spacing w:val="-21"/>
          <w:w w:val="105"/>
        </w:rPr>
        <w:t> </w:t>
      </w:r>
      <w:r>
        <w:rPr>
          <w:color w:val="231F20"/>
          <w:w w:val="105"/>
        </w:rPr>
        <w:t>further</w:t>
      </w:r>
      <w:r>
        <w:rPr>
          <w:color w:val="231F20"/>
          <w:spacing w:val="-20"/>
          <w:w w:val="105"/>
        </w:rPr>
        <w:t> </w:t>
      </w:r>
      <w:r>
        <w:rPr>
          <w:color w:val="231F20"/>
          <w:w w:val="105"/>
        </w:rPr>
        <w:t>increase</w:t>
      </w:r>
      <w:r>
        <w:rPr>
          <w:color w:val="231F20"/>
          <w:spacing w:val="-20"/>
          <w:w w:val="105"/>
        </w:rPr>
        <w:t> </w:t>
      </w:r>
      <w:r>
        <w:rPr>
          <w:color w:val="231F20"/>
          <w:w w:val="105"/>
        </w:rPr>
        <w:t>tubular</w:t>
      </w:r>
      <w:r>
        <w:rPr>
          <w:color w:val="231F20"/>
          <w:spacing w:val="-21"/>
          <w:w w:val="105"/>
        </w:rPr>
        <w:t> </w:t>
      </w:r>
      <w:r>
        <w:rPr>
          <w:color w:val="231F20"/>
          <w:w w:val="105"/>
        </w:rPr>
        <w:t>reabsorption.</w:t>
      </w:r>
      <w:r>
        <w:rPr>
          <w:color w:val="231F20"/>
          <w:spacing w:val="-20"/>
          <w:w w:val="105"/>
        </w:rPr>
        <w:t> </w:t>
      </w:r>
      <w:r>
        <w:rPr>
          <w:color w:val="231F20"/>
          <w:w w:val="105"/>
        </w:rPr>
        <w:t>If</w:t>
      </w:r>
      <w:r>
        <w:rPr>
          <w:color w:val="231F20"/>
          <w:spacing w:val="-20"/>
          <w:w w:val="105"/>
        </w:rPr>
        <w:t> </w:t>
      </w:r>
      <w:r>
        <w:rPr>
          <w:color w:val="231F20"/>
          <w:w w:val="105"/>
        </w:rPr>
        <w:t>the reduction in blood volume is great enough to lower</w:t>
      </w:r>
      <w:r>
        <w:rPr>
          <w:color w:val="231F20"/>
          <w:spacing w:val="-20"/>
          <w:w w:val="105"/>
        </w:rPr>
        <w:t> </w:t>
      </w:r>
      <w:r>
        <w:rPr>
          <w:color w:val="231F20"/>
          <w:w w:val="105"/>
        </w:rPr>
        <w:t>sys- temic arterial pressure, further activation of the sympa- thetic</w:t>
      </w:r>
      <w:r>
        <w:rPr>
          <w:color w:val="231F20"/>
          <w:spacing w:val="-27"/>
          <w:w w:val="105"/>
        </w:rPr>
        <w:t> </w:t>
      </w:r>
      <w:r>
        <w:rPr>
          <w:color w:val="231F20"/>
          <w:w w:val="105"/>
        </w:rPr>
        <w:t>nervous</w:t>
      </w:r>
      <w:r>
        <w:rPr>
          <w:color w:val="231F20"/>
          <w:spacing w:val="-27"/>
          <w:w w:val="105"/>
        </w:rPr>
        <w:t> </w:t>
      </w:r>
      <w:r>
        <w:rPr>
          <w:color w:val="231F20"/>
          <w:w w:val="105"/>
        </w:rPr>
        <w:t>system</w:t>
      </w:r>
      <w:r>
        <w:rPr>
          <w:color w:val="231F20"/>
          <w:spacing w:val="-27"/>
          <w:w w:val="105"/>
        </w:rPr>
        <w:t> </w:t>
      </w:r>
      <w:r>
        <w:rPr>
          <w:color w:val="231F20"/>
          <w:w w:val="105"/>
        </w:rPr>
        <w:t>occurs</w:t>
      </w:r>
      <w:r>
        <w:rPr>
          <w:color w:val="231F20"/>
          <w:spacing w:val="-26"/>
          <w:w w:val="105"/>
        </w:rPr>
        <w:t> </w:t>
      </w:r>
      <w:r>
        <w:rPr>
          <w:color w:val="231F20"/>
          <w:w w:val="105"/>
        </w:rPr>
        <w:t>because</w:t>
      </w:r>
      <w:r>
        <w:rPr>
          <w:color w:val="231F20"/>
          <w:spacing w:val="-27"/>
          <w:w w:val="105"/>
        </w:rPr>
        <w:t> </w:t>
      </w:r>
      <w:r>
        <w:rPr>
          <w:color w:val="231F20"/>
          <w:w w:val="105"/>
        </w:rPr>
        <w:t>of</w:t>
      </w:r>
      <w:r>
        <w:rPr>
          <w:color w:val="231F20"/>
          <w:spacing w:val="-27"/>
          <w:w w:val="105"/>
        </w:rPr>
        <w:t> </w:t>
      </w:r>
      <w:r>
        <w:rPr>
          <w:color w:val="231F20"/>
          <w:w w:val="105"/>
        </w:rPr>
        <w:t>decreased</w:t>
      </w:r>
      <w:r>
        <w:rPr>
          <w:color w:val="231F20"/>
          <w:spacing w:val="-27"/>
          <w:w w:val="105"/>
        </w:rPr>
        <w:t> </w:t>
      </w:r>
      <w:r>
        <w:rPr>
          <w:color w:val="231F20"/>
          <w:w w:val="105"/>
        </w:rPr>
        <w:t>stretch of the arterial baroreceptors located in the carotid sinus and</w:t>
      </w:r>
      <w:r>
        <w:rPr>
          <w:color w:val="231F20"/>
          <w:spacing w:val="-20"/>
          <w:w w:val="105"/>
        </w:rPr>
        <w:t> </w:t>
      </w:r>
      <w:r>
        <w:rPr>
          <w:color w:val="231F20"/>
          <w:w w:val="105"/>
        </w:rPr>
        <w:t>aortic</w:t>
      </w:r>
      <w:r>
        <w:rPr>
          <w:color w:val="231F20"/>
          <w:spacing w:val="-20"/>
          <w:w w:val="105"/>
        </w:rPr>
        <w:t> </w:t>
      </w:r>
      <w:r>
        <w:rPr>
          <w:color w:val="231F20"/>
          <w:w w:val="105"/>
        </w:rPr>
        <w:t>arch.</w:t>
      </w:r>
      <w:r>
        <w:rPr>
          <w:color w:val="231F20"/>
          <w:spacing w:val="-20"/>
          <w:w w:val="105"/>
        </w:rPr>
        <w:t> </w:t>
      </w:r>
      <w:r>
        <w:rPr>
          <w:color w:val="231F20"/>
          <w:w w:val="105"/>
        </w:rPr>
        <w:t>All</w:t>
      </w:r>
      <w:r>
        <w:rPr>
          <w:color w:val="231F20"/>
          <w:spacing w:val="-19"/>
          <w:w w:val="105"/>
        </w:rPr>
        <w:t> </w:t>
      </w:r>
      <w:r>
        <w:rPr>
          <w:color w:val="231F20"/>
          <w:w w:val="105"/>
        </w:rPr>
        <w:t>these</w:t>
      </w:r>
      <w:r>
        <w:rPr>
          <w:color w:val="231F20"/>
          <w:spacing w:val="-20"/>
          <w:w w:val="105"/>
        </w:rPr>
        <w:t> </w:t>
      </w:r>
      <w:r>
        <w:rPr>
          <w:color w:val="231F20"/>
          <w:w w:val="105"/>
        </w:rPr>
        <w:t>reflexes</w:t>
      </w:r>
      <w:r>
        <w:rPr>
          <w:color w:val="231F20"/>
          <w:spacing w:val="-20"/>
          <w:w w:val="105"/>
        </w:rPr>
        <w:t> </w:t>
      </w:r>
      <w:r>
        <w:rPr>
          <w:color w:val="231F20"/>
          <w:w w:val="105"/>
        </w:rPr>
        <w:t>together</w:t>
      </w:r>
      <w:r>
        <w:rPr>
          <w:color w:val="231F20"/>
          <w:spacing w:val="-19"/>
          <w:w w:val="105"/>
        </w:rPr>
        <w:t> </w:t>
      </w:r>
      <w:r>
        <w:rPr>
          <w:color w:val="231F20"/>
          <w:w w:val="105"/>
        </w:rPr>
        <w:t>play</w:t>
      </w:r>
      <w:r>
        <w:rPr>
          <w:color w:val="231F20"/>
          <w:spacing w:val="-20"/>
          <w:w w:val="105"/>
        </w:rPr>
        <w:t> </w:t>
      </w:r>
      <w:r>
        <w:rPr>
          <w:color w:val="231F20"/>
          <w:w w:val="105"/>
        </w:rPr>
        <w:t>an</w:t>
      </w:r>
      <w:r>
        <w:rPr>
          <w:color w:val="231F20"/>
          <w:spacing w:val="-20"/>
          <w:w w:val="105"/>
        </w:rPr>
        <w:t> </w:t>
      </w:r>
      <w:r>
        <w:rPr>
          <w:color w:val="231F20"/>
          <w:w w:val="105"/>
        </w:rPr>
        <w:t>impor- tant</w:t>
      </w:r>
      <w:r>
        <w:rPr>
          <w:color w:val="231F20"/>
          <w:spacing w:val="28"/>
          <w:w w:val="105"/>
        </w:rPr>
        <w:t> </w:t>
      </w:r>
      <w:r>
        <w:rPr>
          <w:color w:val="231F20"/>
          <w:w w:val="105"/>
        </w:rPr>
        <w:t>role</w:t>
      </w:r>
      <w:r>
        <w:rPr>
          <w:color w:val="231F20"/>
          <w:spacing w:val="28"/>
          <w:w w:val="105"/>
        </w:rPr>
        <w:t> </w:t>
      </w:r>
      <w:r>
        <w:rPr>
          <w:color w:val="231F20"/>
          <w:w w:val="105"/>
        </w:rPr>
        <w:t>in</w:t>
      </w:r>
      <w:r>
        <w:rPr>
          <w:color w:val="231F20"/>
          <w:spacing w:val="29"/>
          <w:w w:val="105"/>
        </w:rPr>
        <w:t> </w:t>
      </w:r>
      <w:r>
        <w:rPr>
          <w:color w:val="231F20"/>
          <w:w w:val="105"/>
        </w:rPr>
        <w:t>the</w:t>
      </w:r>
      <w:r>
        <w:rPr>
          <w:color w:val="231F20"/>
          <w:spacing w:val="28"/>
          <w:w w:val="105"/>
        </w:rPr>
        <w:t> </w:t>
      </w:r>
      <w:r>
        <w:rPr>
          <w:color w:val="231F20"/>
          <w:w w:val="105"/>
        </w:rPr>
        <w:t>rapid</w:t>
      </w:r>
      <w:r>
        <w:rPr>
          <w:color w:val="231F20"/>
          <w:spacing w:val="28"/>
          <w:w w:val="105"/>
        </w:rPr>
        <w:t> </w:t>
      </w:r>
      <w:r>
        <w:rPr>
          <w:color w:val="231F20"/>
          <w:w w:val="105"/>
        </w:rPr>
        <w:t>restitution</w:t>
      </w:r>
      <w:r>
        <w:rPr>
          <w:color w:val="231F20"/>
          <w:spacing w:val="29"/>
          <w:w w:val="105"/>
        </w:rPr>
        <w:t> </w:t>
      </w:r>
      <w:r>
        <w:rPr>
          <w:color w:val="231F20"/>
          <w:w w:val="105"/>
        </w:rPr>
        <w:t>of</w:t>
      </w:r>
      <w:r>
        <w:rPr>
          <w:color w:val="231F20"/>
          <w:spacing w:val="28"/>
          <w:w w:val="105"/>
        </w:rPr>
        <w:t> </w:t>
      </w:r>
      <w:r>
        <w:rPr>
          <w:color w:val="231F20"/>
          <w:w w:val="105"/>
        </w:rPr>
        <w:t>blood</w:t>
      </w:r>
      <w:r>
        <w:rPr>
          <w:color w:val="231F20"/>
          <w:spacing w:val="28"/>
          <w:w w:val="105"/>
        </w:rPr>
        <w:t> </w:t>
      </w:r>
      <w:r>
        <w:rPr>
          <w:color w:val="231F20"/>
          <w:w w:val="105"/>
        </w:rPr>
        <w:t>volume</w:t>
      </w:r>
      <w:r>
        <w:rPr>
          <w:color w:val="231F20"/>
          <w:spacing w:val="28"/>
          <w:w w:val="105"/>
        </w:rPr>
        <w:t> </w:t>
      </w:r>
      <w:r>
        <w:rPr>
          <w:color w:val="231F20"/>
          <w:w w:val="105"/>
        </w:rPr>
        <w:t>that</w:t>
      </w:r>
    </w:p>
    <w:p>
      <w:pPr>
        <w:spacing w:after="0" w:line="249" w:lineRule="auto"/>
        <w:jc w:val="both"/>
        <w:sectPr>
          <w:type w:val="continuous"/>
          <w:pgSz w:w="12240" w:h="15660"/>
          <w:pgMar w:top="0" w:bottom="760" w:left="0" w:right="0"/>
          <w:cols w:num="2" w:equalWidth="0">
            <w:col w:w="5762" w:space="40"/>
            <w:col w:w="6438"/>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922"/>
          <w:pgSz w:w="12240" w:h="15660"/>
          <w:pgMar w:header="0" w:footer="567" w:top="0" w:bottom="760" w:left="0" w:right="0"/>
        </w:sectPr>
      </w:pPr>
    </w:p>
    <w:p>
      <w:pPr>
        <w:pStyle w:val="BodyText"/>
        <w:spacing w:line="249" w:lineRule="auto" w:before="100"/>
        <w:ind w:left="1440"/>
        <w:jc w:val="both"/>
      </w:pPr>
      <w:r>
        <w:rPr>
          <w:color w:val="231F20"/>
          <w:w w:val="105"/>
        </w:rPr>
        <w:t>occurs in acute conditions such as hemorrhage. </w:t>
      </w:r>
      <w:r>
        <w:rPr>
          <w:color w:val="231F20"/>
          <w:spacing w:val="-3"/>
          <w:w w:val="105"/>
        </w:rPr>
        <w:t>Also, </w:t>
      </w:r>
      <w:r>
        <w:rPr>
          <w:color w:val="231F20"/>
          <w:w w:val="105"/>
        </w:rPr>
        <w:t>reflex inhibition of renal sympathetic activity may </w:t>
      </w:r>
      <w:r>
        <w:rPr>
          <w:color w:val="231F20"/>
          <w:spacing w:val="-5"/>
          <w:w w:val="105"/>
        </w:rPr>
        <w:t>con- </w:t>
      </w:r>
      <w:r>
        <w:rPr>
          <w:color w:val="231F20"/>
          <w:w w:val="105"/>
        </w:rPr>
        <w:t>tribute to the rapid elimination of excess fluid in the</w:t>
      </w:r>
      <w:r>
        <w:rPr>
          <w:color w:val="231F20"/>
          <w:spacing w:val="-25"/>
          <w:w w:val="105"/>
        </w:rPr>
        <w:t> </w:t>
      </w:r>
      <w:r>
        <w:rPr>
          <w:color w:val="231F20"/>
          <w:spacing w:val="-6"/>
          <w:w w:val="105"/>
        </w:rPr>
        <w:t>cir- </w:t>
      </w:r>
      <w:r>
        <w:rPr>
          <w:color w:val="231F20"/>
          <w:w w:val="105"/>
        </w:rPr>
        <w:t>culation</w:t>
      </w:r>
      <w:r>
        <w:rPr>
          <w:color w:val="231F20"/>
          <w:spacing w:val="-20"/>
          <w:w w:val="105"/>
        </w:rPr>
        <w:t> </w:t>
      </w:r>
      <w:r>
        <w:rPr>
          <w:color w:val="231F20"/>
          <w:w w:val="105"/>
        </w:rPr>
        <w:t>that</w:t>
      </w:r>
      <w:r>
        <w:rPr>
          <w:color w:val="231F20"/>
          <w:spacing w:val="-20"/>
          <w:w w:val="105"/>
        </w:rPr>
        <w:t> </w:t>
      </w:r>
      <w:r>
        <w:rPr>
          <w:color w:val="231F20"/>
          <w:w w:val="105"/>
        </w:rPr>
        <w:t>occurs</w:t>
      </w:r>
      <w:r>
        <w:rPr>
          <w:color w:val="231F20"/>
          <w:spacing w:val="-19"/>
          <w:w w:val="105"/>
        </w:rPr>
        <w:t> </w:t>
      </w:r>
      <w:r>
        <w:rPr>
          <w:color w:val="231F20"/>
          <w:w w:val="105"/>
        </w:rPr>
        <w:t>after</w:t>
      </w:r>
      <w:r>
        <w:rPr>
          <w:color w:val="231F20"/>
          <w:spacing w:val="-20"/>
          <w:w w:val="105"/>
        </w:rPr>
        <w:t> </w:t>
      </w:r>
      <w:r>
        <w:rPr>
          <w:color w:val="231F20"/>
          <w:w w:val="105"/>
        </w:rPr>
        <w:t>eating</w:t>
      </w:r>
      <w:r>
        <w:rPr>
          <w:color w:val="231F20"/>
          <w:spacing w:val="-19"/>
          <w:w w:val="105"/>
        </w:rPr>
        <w:t> </w:t>
      </w:r>
      <w:r>
        <w:rPr>
          <w:color w:val="231F20"/>
          <w:w w:val="105"/>
        </w:rPr>
        <w:t>a</w:t>
      </w:r>
      <w:r>
        <w:rPr>
          <w:color w:val="231F20"/>
          <w:spacing w:val="-20"/>
          <w:w w:val="105"/>
        </w:rPr>
        <w:t> </w:t>
      </w:r>
      <w:r>
        <w:rPr>
          <w:color w:val="231F20"/>
          <w:w w:val="105"/>
        </w:rPr>
        <w:t>meal</w:t>
      </w:r>
      <w:r>
        <w:rPr>
          <w:color w:val="231F20"/>
          <w:spacing w:val="-19"/>
          <w:w w:val="105"/>
        </w:rPr>
        <w:t> </w:t>
      </w:r>
      <w:r>
        <w:rPr>
          <w:color w:val="231F20"/>
          <w:w w:val="105"/>
        </w:rPr>
        <w:t>that</w:t>
      </w:r>
      <w:r>
        <w:rPr>
          <w:color w:val="231F20"/>
          <w:spacing w:val="-20"/>
          <w:w w:val="105"/>
        </w:rPr>
        <w:t> </w:t>
      </w:r>
      <w:r>
        <w:rPr>
          <w:color w:val="231F20"/>
          <w:w w:val="105"/>
        </w:rPr>
        <w:t>contains</w:t>
      </w:r>
      <w:r>
        <w:rPr>
          <w:color w:val="231F20"/>
          <w:spacing w:val="-19"/>
          <w:w w:val="105"/>
        </w:rPr>
        <w:t> </w:t>
      </w:r>
      <w:r>
        <w:rPr>
          <w:color w:val="231F20"/>
          <w:w w:val="105"/>
        </w:rPr>
        <w:t>large amounts of salt and</w:t>
      </w:r>
      <w:r>
        <w:rPr>
          <w:color w:val="231F20"/>
          <w:spacing w:val="11"/>
          <w:w w:val="105"/>
        </w:rPr>
        <w:t> </w:t>
      </w:r>
      <w:r>
        <w:rPr>
          <w:color w:val="231F20"/>
          <w:spacing w:val="-3"/>
          <w:w w:val="105"/>
        </w:rPr>
        <w:t>water.</w:t>
      </w:r>
    </w:p>
    <w:p>
      <w:pPr>
        <w:pStyle w:val="BodyText"/>
        <w:rPr>
          <w:sz w:val="31"/>
        </w:rPr>
      </w:pPr>
    </w:p>
    <w:p>
      <w:pPr>
        <w:pStyle w:val="Heading2"/>
        <w:spacing w:line="225" w:lineRule="auto"/>
        <w:ind w:left="1440" w:right="1040"/>
      </w:pPr>
      <w:r>
        <w:rPr>
          <w:color w:val="231F20"/>
        </w:rPr>
        <w:t>ROLE OF ANG II IN CONTROLLING RENAL EXCRETION</w:t>
      </w:r>
    </w:p>
    <w:p>
      <w:pPr>
        <w:pStyle w:val="BodyText"/>
        <w:spacing w:line="249" w:lineRule="auto" w:before="127"/>
        <w:ind w:left="1440"/>
        <w:jc w:val="both"/>
      </w:pPr>
      <w:r>
        <w:rPr>
          <w:color w:val="231F20"/>
        </w:rPr>
        <w:t>One of the body’s most powerful controllers of </w:t>
      </w:r>
      <w:r>
        <w:rPr>
          <w:color w:val="231F20"/>
          <w:spacing w:val="-3"/>
        </w:rPr>
        <w:t>sodium </w:t>
      </w:r>
      <w:r>
        <w:rPr>
          <w:color w:val="231F20"/>
        </w:rPr>
        <w:t>excretion is Ang II. Changes in sodium and fluid intake are associated with reciprocal changes in Ang II </w:t>
      </w:r>
      <w:r>
        <w:rPr>
          <w:color w:val="231F20"/>
          <w:spacing w:val="-3"/>
        </w:rPr>
        <w:t>forma- </w:t>
      </w:r>
      <w:r>
        <w:rPr>
          <w:color w:val="231F20"/>
        </w:rPr>
        <w:t>tion, and this in turn contributes greatly to the mainte- nance of body sodium and fluid balances. That is, </w:t>
      </w:r>
      <w:r>
        <w:rPr>
          <w:color w:val="231F20"/>
          <w:spacing w:val="-3"/>
        </w:rPr>
        <w:t>when </w:t>
      </w:r>
      <w:r>
        <w:rPr>
          <w:color w:val="231F20"/>
        </w:rPr>
        <w:t>sodium intake is elevated above normal, renin secretion  is decreased, causing</w:t>
      </w:r>
      <w:r>
        <w:rPr>
          <w:color w:val="231F20"/>
          <w:spacing w:val="-37"/>
        </w:rPr>
        <w:t> </w:t>
      </w:r>
      <w:r>
        <w:rPr>
          <w:color w:val="231F20"/>
        </w:rPr>
        <w:t>decreased Ang II formation. Because Ang II has several important effects to increase tubular reabsorption of sodium, as explained in Chapter 28, </w:t>
      </w:r>
      <w:r>
        <w:rPr>
          <w:color w:val="231F20"/>
          <w:spacing w:val="-15"/>
        </w:rPr>
        <w:t>a </w:t>
      </w:r>
      <w:r>
        <w:rPr>
          <w:color w:val="231F20"/>
        </w:rPr>
        <w:t>reduced level of Ang II decreases tubular reabsorption </w:t>
      </w:r>
      <w:r>
        <w:rPr>
          <w:color w:val="231F20"/>
          <w:spacing w:val="-6"/>
        </w:rPr>
        <w:t>of </w:t>
      </w:r>
      <w:r>
        <w:rPr>
          <w:color w:val="231F20"/>
        </w:rPr>
        <w:t>sodium and </w:t>
      </w:r>
      <w:r>
        <w:rPr>
          <w:color w:val="231F20"/>
          <w:spacing w:val="-3"/>
        </w:rPr>
        <w:t>water, </w:t>
      </w:r>
      <w:r>
        <w:rPr>
          <w:color w:val="231F20"/>
        </w:rPr>
        <w:t>thus increasing the kidneys’ excretion of sodium and </w:t>
      </w:r>
      <w:r>
        <w:rPr>
          <w:color w:val="231F20"/>
          <w:spacing w:val="-3"/>
        </w:rPr>
        <w:t>water.  </w:t>
      </w:r>
      <w:r>
        <w:rPr>
          <w:color w:val="231F20"/>
        </w:rPr>
        <w:t>The net result is to minimize </w:t>
      </w:r>
      <w:r>
        <w:rPr>
          <w:color w:val="231F20"/>
          <w:spacing w:val="-6"/>
        </w:rPr>
        <w:t>the  </w:t>
      </w:r>
      <w:r>
        <w:rPr>
          <w:color w:val="231F20"/>
        </w:rPr>
        <w:t>rise in extracellular fluid volume and arterial pressure that would</w:t>
      </w:r>
      <w:r>
        <w:rPr>
          <w:color w:val="231F20"/>
          <w:spacing w:val="18"/>
        </w:rPr>
        <w:t> </w:t>
      </w:r>
      <w:r>
        <w:rPr>
          <w:color w:val="231F20"/>
        </w:rPr>
        <w:t>otherwise</w:t>
      </w:r>
      <w:r>
        <w:rPr>
          <w:color w:val="231F20"/>
          <w:spacing w:val="19"/>
        </w:rPr>
        <w:t> </w:t>
      </w:r>
      <w:r>
        <w:rPr>
          <w:color w:val="231F20"/>
        </w:rPr>
        <w:t>occur</w:t>
      </w:r>
      <w:r>
        <w:rPr>
          <w:color w:val="231F20"/>
          <w:spacing w:val="19"/>
        </w:rPr>
        <w:t> </w:t>
      </w:r>
      <w:r>
        <w:rPr>
          <w:color w:val="231F20"/>
        </w:rPr>
        <w:t>when</w:t>
      </w:r>
      <w:r>
        <w:rPr>
          <w:color w:val="231F20"/>
          <w:spacing w:val="19"/>
        </w:rPr>
        <w:t> </w:t>
      </w:r>
      <w:r>
        <w:rPr>
          <w:color w:val="231F20"/>
        </w:rPr>
        <w:t>sodium</w:t>
      </w:r>
      <w:r>
        <w:rPr>
          <w:color w:val="231F20"/>
          <w:spacing w:val="18"/>
        </w:rPr>
        <w:t> </w:t>
      </w:r>
      <w:r>
        <w:rPr>
          <w:color w:val="231F20"/>
        </w:rPr>
        <w:t>intake</w:t>
      </w:r>
      <w:r>
        <w:rPr>
          <w:color w:val="231F20"/>
          <w:spacing w:val="19"/>
        </w:rPr>
        <w:t> </w:t>
      </w:r>
      <w:r>
        <w:rPr>
          <w:color w:val="231F20"/>
        </w:rPr>
        <w:t>increases.</w:t>
      </w:r>
    </w:p>
    <w:p>
      <w:pPr>
        <w:pStyle w:val="BodyText"/>
        <w:spacing w:line="249" w:lineRule="auto" w:before="11"/>
        <w:ind w:left="1440" w:firstLine="240"/>
        <w:jc w:val="both"/>
      </w:pPr>
      <w:r>
        <w:rPr>
          <w:color w:val="231F20"/>
          <w:w w:val="105"/>
        </w:rPr>
        <w:t>Conversely, when sodium intake is reduced </w:t>
      </w:r>
      <w:r>
        <w:rPr>
          <w:color w:val="231F20"/>
          <w:spacing w:val="-3"/>
          <w:w w:val="105"/>
        </w:rPr>
        <w:t>below </w:t>
      </w:r>
      <w:r>
        <w:rPr>
          <w:color w:val="231F20"/>
          <w:w w:val="105"/>
        </w:rPr>
        <w:t>normal, increased levels of Ang II cause sodium and water retention and oppose reductions in arterial </w:t>
      </w:r>
      <w:r>
        <w:rPr>
          <w:color w:val="231F20"/>
          <w:spacing w:val="-3"/>
          <w:w w:val="105"/>
        </w:rPr>
        <w:t>blood </w:t>
      </w:r>
      <w:r>
        <w:rPr>
          <w:color w:val="231F20"/>
          <w:w w:val="105"/>
        </w:rPr>
        <w:t>pressure that would otherwise </w:t>
      </w:r>
      <w:r>
        <w:rPr>
          <w:color w:val="231F20"/>
          <w:spacing w:val="-3"/>
          <w:w w:val="105"/>
        </w:rPr>
        <w:t>occur. </w:t>
      </w:r>
      <w:r>
        <w:rPr>
          <w:color w:val="231F20"/>
          <w:w w:val="105"/>
        </w:rPr>
        <w:t>Thus, changes in activity</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renin-angiotensin</w:t>
      </w:r>
      <w:r>
        <w:rPr>
          <w:color w:val="231F20"/>
          <w:spacing w:val="-18"/>
          <w:w w:val="105"/>
        </w:rPr>
        <w:t> </w:t>
      </w:r>
      <w:r>
        <w:rPr>
          <w:color w:val="231F20"/>
          <w:w w:val="105"/>
        </w:rPr>
        <w:t>system</w:t>
      </w:r>
      <w:r>
        <w:rPr>
          <w:color w:val="231F20"/>
          <w:spacing w:val="-17"/>
          <w:w w:val="105"/>
        </w:rPr>
        <w:t> </w:t>
      </w:r>
      <w:r>
        <w:rPr>
          <w:color w:val="231F20"/>
          <w:w w:val="105"/>
        </w:rPr>
        <w:t>act</w:t>
      </w:r>
      <w:r>
        <w:rPr>
          <w:color w:val="231F20"/>
          <w:spacing w:val="-17"/>
          <w:w w:val="105"/>
        </w:rPr>
        <w:t> </w:t>
      </w:r>
      <w:r>
        <w:rPr>
          <w:color w:val="231F20"/>
          <w:w w:val="105"/>
        </w:rPr>
        <w:t>as</w:t>
      </w:r>
      <w:r>
        <w:rPr>
          <w:color w:val="231F20"/>
          <w:spacing w:val="-18"/>
          <w:w w:val="105"/>
        </w:rPr>
        <w:t> </w:t>
      </w:r>
      <w:r>
        <w:rPr>
          <w:color w:val="231F20"/>
          <w:w w:val="105"/>
        </w:rPr>
        <w:t>a</w:t>
      </w:r>
      <w:r>
        <w:rPr>
          <w:color w:val="231F20"/>
          <w:spacing w:val="-17"/>
          <w:w w:val="105"/>
        </w:rPr>
        <w:t> </w:t>
      </w:r>
      <w:r>
        <w:rPr>
          <w:color w:val="231F20"/>
          <w:w w:val="105"/>
        </w:rPr>
        <w:t>powerful amplifier</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pressure</w:t>
      </w:r>
      <w:r>
        <w:rPr>
          <w:color w:val="231F20"/>
          <w:spacing w:val="-23"/>
          <w:w w:val="105"/>
        </w:rPr>
        <w:t> </w:t>
      </w:r>
      <w:r>
        <w:rPr>
          <w:color w:val="231F20"/>
          <w:w w:val="105"/>
        </w:rPr>
        <w:t>natriuresis</w:t>
      </w:r>
      <w:r>
        <w:rPr>
          <w:color w:val="231F20"/>
          <w:spacing w:val="-23"/>
          <w:w w:val="105"/>
        </w:rPr>
        <w:t> </w:t>
      </w:r>
      <w:r>
        <w:rPr>
          <w:color w:val="231F20"/>
          <w:w w:val="105"/>
        </w:rPr>
        <w:t>mechanism</w:t>
      </w:r>
      <w:r>
        <w:rPr>
          <w:color w:val="231F20"/>
          <w:spacing w:val="-23"/>
          <w:w w:val="105"/>
        </w:rPr>
        <w:t> </w:t>
      </w:r>
      <w:r>
        <w:rPr>
          <w:color w:val="231F20"/>
          <w:w w:val="105"/>
        </w:rPr>
        <w:t>for</w:t>
      </w:r>
      <w:r>
        <w:rPr>
          <w:color w:val="231F20"/>
          <w:spacing w:val="-23"/>
          <w:w w:val="105"/>
        </w:rPr>
        <w:t> </w:t>
      </w:r>
      <w:r>
        <w:rPr>
          <w:color w:val="231F20"/>
          <w:w w:val="105"/>
        </w:rPr>
        <w:t>main- taining</w:t>
      </w:r>
      <w:r>
        <w:rPr>
          <w:color w:val="231F20"/>
          <w:spacing w:val="-8"/>
          <w:w w:val="105"/>
        </w:rPr>
        <w:t> </w:t>
      </w:r>
      <w:r>
        <w:rPr>
          <w:color w:val="231F20"/>
          <w:w w:val="105"/>
        </w:rPr>
        <w:t>stable</w:t>
      </w:r>
      <w:r>
        <w:rPr>
          <w:color w:val="231F20"/>
          <w:spacing w:val="-8"/>
          <w:w w:val="105"/>
        </w:rPr>
        <w:t> </w:t>
      </w:r>
      <w:r>
        <w:rPr>
          <w:color w:val="231F20"/>
          <w:w w:val="105"/>
        </w:rPr>
        <w:t>blood</w:t>
      </w:r>
      <w:r>
        <w:rPr>
          <w:color w:val="231F20"/>
          <w:spacing w:val="-7"/>
          <w:w w:val="105"/>
        </w:rPr>
        <w:t> </w:t>
      </w:r>
      <w:r>
        <w:rPr>
          <w:color w:val="231F20"/>
          <w:w w:val="105"/>
        </w:rPr>
        <w:t>pressures</w:t>
      </w:r>
      <w:r>
        <w:rPr>
          <w:color w:val="231F20"/>
          <w:spacing w:val="-8"/>
          <w:w w:val="105"/>
        </w:rPr>
        <w:t> </w:t>
      </w:r>
      <w:r>
        <w:rPr>
          <w:color w:val="231F20"/>
          <w:w w:val="105"/>
        </w:rPr>
        <w:t>and</w:t>
      </w:r>
      <w:r>
        <w:rPr>
          <w:color w:val="231F20"/>
          <w:spacing w:val="-7"/>
          <w:w w:val="105"/>
        </w:rPr>
        <w:t> </w:t>
      </w:r>
      <w:r>
        <w:rPr>
          <w:color w:val="231F20"/>
          <w:w w:val="105"/>
        </w:rPr>
        <w:t>body</w:t>
      </w:r>
      <w:r>
        <w:rPr>
          <w:color w:val="231F20"/>
          <w:spacing w:val="-8"/>
          <w:w w:val="105"/>
        </w:rPr>
        <w:t> </w:t>
      </w:r>
      <w:r>
        <w:rPr>
          <w:color w:val="231F20"/>
          <w:w w:val="105"/>
        </w:rPr>
        <w:t>fluid</w:t>
      </w:r>
      <w:r>
        <w:rPr>
          <w:color w:val="231F20"/>
          <w:spacing w:val="-7"/>
          <w:w w:val="105"/>
        </w:rPr>
        <w:t> </w:t>
      </w:r>
      <w:r>
        <w:rPr>
          <w:color w:val="231F20"/>
          <w:w w:val="105"/>
        </w:rPr>
        <w:t>volumes.</w:t>
      </w:r>
    </w:p>
    <w:p>
      <w:pPr>
        <w:pStyle w:val="BodyText"/>
        <w:spacing w:before="1"/>
        <w:rPr>
          <w:sz w:val="22"/>
        </w:rPr>
      </w:pPr>
    </w:p>
    <w:p>
      <w:pPr>
        <w:pStyle w:val="BodyText"/>
        <w:spacing w:line="249" w:lineRule="auto" w:before="1"/>
        <w:ind w:left="1440"/>
        <w:jc w:val="both"/>
      </w:pPr>
      <w:r>
        <w:rPr>
          <w:rFonts w:ascii="Trebuchet MS"/>
          <w:b/>
          <w:color w:val="231F20"/>
          <w:sz w:val="19"/>
        </w:rPr>
        <w:t>Importance of Changes in Ang II in Altering </w:t>
      </w:r>
      <w:r>
        <w:rPr>
          <w:rFonts w:ascii="Trebuchet MS"/>
          <w:b/>
          <w:color w:val="231F20"/>
          <w:spacing w:val="-3"/>
          <w:sz w:val="19"/>
        </w:rPr>
        <w:t>Pressure </w:t>
      </w:r>
      <w:r>
        <w:rPr>
          <w:rFonts w:ascii="Trebuchet MS"/>
          <w:b/>
          <w:color w:val="231F20"/>
          <w:sz w:val="19"/>
        </w:rPr>
        <w:t>Natriuresis. </w:t>
      </w:r>
      <w:r>
        <w:rPr>
          <w:color w:val="231F20"/>
        </w:rPr>
        <w:t>The importance of Ang II in making </w:t>
      </w:r>
      <w:r>
        <w:rPr>
          <w:color w:val="231F20"/>
          <w:spacing w:val="-6"/>
        </w:rPr>
        <w:t>the </w:t>
      </w:r>
      <w:r>
        <w:rPr>
          <w:color w:val="231F20"/>
        </w:rPr>
        <w:t>pressure natriuresis mechanism more effective is </w:t>
      </w:r>
      <w:r>
        <w:rPr>
          <w:color w:val="231F20"/>
          <w:spacing w:val="-3"/>
        </w:rPr>
        <w:t>shown  </w:t>
      </w:r>
      <w:r>
        <w:rPr>
          <w:color w:val="231F20"/>
        </w:rPr>
        <w:t>in </w:t>
      </w:r>
      <w:hyperlink w:history="true" w:anchor="_bookmark100">
        <w:r>
          <w:rPr>
            <w:rFonts w:ascii="Cambria"/>
            <w:b/>
            <w:color w:val="0080AC"/>
          </w:rPr>
          <w:t>Figure 30-17</w:t>
        </w:r>
      </w:hyperlink>
      <w:r>
        <w:rPr>
          <w:color w:val="231F20"/>
        </w:rPr>
        <w:t>. Note that when the angiotensin </w:t>
      </w:r>
      <w:r>
        <w:rPr>
          <w:color w:val="231F20"/>
          <w:spacing w:val="-3"/>
        </w:rPr>
        <w:t>control </w:t>
      </w:r>
      <w:r>
        <w:rPr>
          <w:color w:val="231F20"/>
        </w:rPr>
        <w:t>of natriuresis is fully functional, the pressure natriuresis curve is steep (normal curve), indicating that only </w:t>
      </w:r>
      <w:r>
        <w:rPr>
          <w:color w:val="231F20"/>
          <w:spacing w:val="-4"/>
        </w:rPr>
        <w:t>minor </w:t>
      </w:r>
      <w:r>
        <w:rPr>
          <w:color w:val="231F20"/>
        </w:rPr>
        <w:t>changes in blood pressure are necessary to increase sodium excretion when sodium intake is</w:t>
      </w:r>
      <w:r>
        <w:rPr>
          <w:color w:val="231F20"/>
          <w:spacing w:val="16"/>
        </w:rPr>
        <w:t> </w:t>
      </w:r>
      <w:r>
        <w:rPr>
          <w:color w:val="231F20"/>
        </w:rPr>
        <w:t>raised.</w:t>
      </w:r>
    </w:p>
    <w:p>
      <w:pPr>
        <w:pStyle w:val="BodyText"/>
        <w:spacing w:line="249" w:lineRule="auto" w:before="100"/>
        <w:ind w:left="319" w:right="1077" w:firstLine="240"/>
        <w:jc w:val="both"/>
      </w:pPr>
      <w:r>
        <w:rPr/>
        <w:br w:type="column"/>
      </w:r>
      <w:r>
        <w:rPr>
          <w:color w:val="231F20"/>
          <w:w w:val="105"/>
        </w:rPr>
        <w:t>In contrast, when angiotensin levels cannot </w:t>
      </w:r>
      <w:r>
        <w:rPr>
          <w:color w:val="231F20"/>
          <w:spacing w:val="-5"/>
          <w:w w:val="105"/>
        </w:rPr>
        <w:t>be </w:t>
      </w:r>
      <w:r>
        <w:rPr>
          <w:color w:val="231F20"/>
          <w:w w:val="105"/>
        </w:rPr>
        <w:t>decreased in response to increased sodium intake (high angiotensin II curve), as occurs in some hypertensive patients who have impaired ability to decrease renin secretion and Ang II formation, the pressure natriuresis curve is not nearly as steep. Therefore, when sodium intake is raised, much greater increases in arterial pres- sure are necessary to increase sodium excretion and maintain</w:t>
      </w:r>
      <w:r>
        <w:rPr>
          <w:color w:val="231F20"/>
          <w:spacing w:val="-15"/>
          <w:w w:val="105"/>
        </w:rPr>
        <w:t> </w:t>
      </w:r>
      <w:r>
        <w:rPr>
          <w:color w:val="231F20"/>
          <w:w w:val="105"/>
        </w:rPr>
        <w:t>sodium</w:t>
      </w:r>
      <w:r>
        <w:rPr>
          <w:color w:val="231F20"/>
          <w:spacing w:val="-14"/>
          <w:w w:val="105"/>
        </w:rPr>
        <w:t> </w:t>
      </w:r>
      <w:r>
        <w:rPr>
          <w:color w:val="231F20"/>
          <w:w w:val="105"/>
        </w:rPr>
        <w:t>balance.</w:t>
      </w:r>
      <w:r>
        <w:rPr>
          <w:color w:val="231F20"/>
          <w:spacing w:val="-15"/>
          <w:w w:val="105"/>
        </w:rPr>
        <w:t> </w:t>
      </w:r>
      <w:r>
        <w:rPr>
          <w:color w:val="231F20"/>
          <w:spacing w:val="-3"/>
          <w:w w:val="105"/>
        </w:rPr>
        <w:t>For</w:t>
      </w:r>
      <w:r>
        <w:rPr>
          <w:color w:val="231F20"/>
          <w:spacing w:val="-14"/>
          <w:w w:val="105"/>
        </w:rPr>
        <w:t> </w:t>
      </w:r>
      <w:r>
        <w:rPr>
          <w:color w:val="231F20"/>
          <w:w w:val="105"/>
        </w:rPr>
        <w:t>example,</w:t>
      </w:r>
      <w:r>
        <w:rPr>
          <w:color w:val="231F20"/>
          <w:spacing w:val="-15"/>
          <w:w w:val="105"/>
        </w:rPr>
        <w:t> </w:t>
      </w:r>
      <w:r>
        <w:rPr>
          <w:color w:val="231F20"/>
          <w:w w:val="105"/>
        </w:rPr>
        <w:t>in</w:t>
      </w:r>
      <w:r>
        <w:rPr>
          <w:color w:val="231F20"/>
          <w:spacing w:val="-14"/>
          <w:w w:val="105"/>
        </w:rPr>
        <w:t> </w:t>
      </w:r>
      <w:r>
        <w:rPr>
          <w:color w:val="231F20"/>
          <w:w w:val="105"/>
        </w:rPr>
        <w:t>most</w:t>
      </w:r>
      <w:r>
        <w:rPr>
          <w:color w:val="231F20"/>
          <w:spacing w:val="-15"/>
          <w:w w:val="105"/>
        </w:rPr>
        <w:t> </w:t>
      </w:r>
      <w:r>
        <w:rPr>
          <w:color w:val="231F20"/>
          <w:w w:val="105"/>
        </w:rPr>
        <w:t>people,</w:t>
      </w:r>
      <w:r>
        <w:rPr>
          <w:color w:val="231F20"/>
          <w:spacing w:val="-14"/>
          <w:w w:val="105"/>
        </w:rPr>
        <w:t> </w:t>
      </w:r>
      <w:r>
        <w:rPr>
          <w:color w:val="231F20"/>
          <w:w w:val="105"/>
        </w:rPr>
        <w:t>a 10-fold increase in sodium intake causes an increase of only a few millimeters of mercury in arterial </w:t>
      </w:r>
      <w:r>
        <w:rPr>
          <w:color w:val="231F20"/>
          <w:spacing w:val="-3"/>
          <w:w w:val="105"/>
        </w:rPr>
        <w:t>pressure, </w:t>
      </w:r>
      <w:r>
        <w:rPr>
          <w:color w:val="231F20"/>
          <w:w w:val="105"/>
        </w:rPr>
        <w:t>whereas in subjects who cannot suppress Ang II </w:t>
      </w:r>
      <w:r>
        <w:rPr>
          <w:color w:val="231F20"/>
          <w:spacing w:val="-3"/>
          <w:w w:val="105"/>
        </w:rPr>
        <w:t>forma- </w:t>
      </w:r>
      <w:r>
        <w:rPr>
          <w:color w:val="231F20"/>
          <w:w w:val="105"/>
        </w:rPr>
        <w:t>tion</w:t>
      </w:r>
      <w:r>
        <w:rPr>
          <w:color w:val="231F20"/>
          <w:spacing w:val="-20"/>
          <w:w w:val="105"/>
        </w:rPr>
        <w:t> </w:t>
      </w:r>
      <w:r>
        <w:rPr>
          <w:color w:val="231F20"/>
          <w:w w:val="105"/>
        </w:rPr>
        <w:t>appropriately</w:t>
      </w:r>
      <w:r>
        <w:rPr>
          <w:color w:val="231F20"/>
          <w:spacing w:val="-20"/>
          <w:w w:val="105"/>
        </w:rPr>
        <w:t> </w:t>
      </w:r>
      <w:r>
        <w:rPr>
          <w:color w:val="231F20"/>
          <w:w w:val="105"/>
        </w:rPr>
        <w:t>in</w:t>
      </w:r>
      <w:r>
        <w:rPr>
          <w:color w:val="231F20"/>
          <w:spacing w:val="-20"/>
          <w:w w:val="105"/>
        </w:rPr>
        <w:t> </w:t>
      </w:r>
      <w:r>
        <w:rPr>
          <w:color w:val="231F20"/>
          <w:w w:val="105"/>
        </w:rPr>
        <w:t>response</w:t>
      </w:r>
      <w:r>
        <w:rPr>
          <w:color w:val="231F20"/>
          <w:spacing w:val="-20"/>
          <w:w w:val="105"/>
        </w:rPr>
        <w:t> </w:t>
      </w:r>
      <w:r>
        <w:rPr>
          <w:color w:val="231F20"/>
          <w:w w:val="105"/>
        </w:rPr>
        <w:t>to</w:t>
      </w:r>
      <w:r>
        <w:rPr>
          <w:color w:val="231F20"/>
          <w:spacing w:val="-20"/>
          <w:w w:val="105"/>
        </w:rPr>
        <w:t> </w:t>
      </w:r>
      <w:r>
        <w:rPr>
          <w:color w:val="231F20"/>
          <w:w w:val="105"/>
        </w:rPr>
        <w:t>excess</w:t>
      </w:r>
      <w:r>
        <w:rPr>
          <w:color w:val="231F20"/>
          <w:spacing w:val="-20"/>
          <w:w w:val="105"/>
        </w:rPr>
        <w:t> </w:t>
      </w:r>
      <w:r>
        <w:rPr>
          <w:color w:val="231F20"/>
          <w:w w:val="105"/>
        </w:rPr>
        <w:t>sodium,</w:t>
      </w:r>
      <w:r>
        <w:rPr>
          <w:color w:val="231F20"/>
          <w:spacing w:val="-20"/>
          <w:w w:val="105"/>
        </w:rPr>
        <w:t> </w:t>
      </w:r>
      <w:r>
        <w:rPr>
          <w:color w:val="231F20"/>
          <w:w w:val="105"/>
        </w:rPr>
        <w:t>the</w:t>
      </w:r>
      <w:r>
        <w:rPr>
          <w:color w:val="231F20"/>
          <w:spacing w:val="-19"/>
          <w:w w:val="105"/>
        </w:rPr>
        <w:t> </w:t>
      </w:r>
      <w:r>
        <w:rPr>
          <w:color w:val="231F20"/>
          <w:w w:val="105"/>
        </w:rPr>
        <w:t>same rise in sodium intake causes blood pressure to rise as much as 50 mm Hg. Thus, the inability to suppress</w:t>
      </w:r>
      <w:r>
        <w:rPr>
          <w:color w:val="231F20"/>
          <w:spacing w:val="-16"/>
          <w:w w:val="105"/>
        </w:rPr>
        <w:t> </w:t>
      </w:r>
      <w:r>
        <w:rPr>
          <w:color w:val="231F20"/>
          <w:w w:val="105"/>
        </w:rPr>
        <w:t>Ang II formation when there is excess sodium reduces the slope of pressure natriuresis and makes arterial</w:t>
      </w:r>
      <w:r>
        <w:rPr>
          <w:color w:val="231F20"/>
          <w:spacing w:val="-23"/>
          <w:w w:val="105"/>
        </w:rPr>
        <w:t> </w:t>
      </w:r>
      <w:r>
        <w:rPr>
          <w:color w:val="231F20"/>
          <w:w w:val="105"/>
        </w:rPr>
        <w:t>pressure very salt sensitive, as discussed in Chapter</w:t>
      </w:r>
      <w:r>
        <w:rPr>
          <w:color w:val="231F20"/>
          <w:spacing w:val="-14"/>
          <w:w w:val="105"/>
        </w:rPr>
        <w:t> </w:t>
      </w:r>
      <w:r>
        <w:rPr>
          <w:color w:val="231F20"/>
          <w:w w:val="105"/>
        </w:rPr>
        <w:t>19.</w:t>
      </w:r>
    </w:p>
    <w:p>
      <w:pPr>
        <w:pStyle w:val="BodyText"/>
        <w:spacing w:line="249" w:lineRule="auto" w:before="14"/>
        <w:ind w:left="319" w:right="1077" w:firstLine="240"/>
        <w:jc w:val="both"/>
      </w:pPr>
      <w:r>
        <w:rPr/>
        <w:pict>
          <v:rect style="position:absolute;margin-left:576pt;margin-top:-75.314072pt;width:36pt;height:24pt;mso-position-horizontal-relative:page;mso-position-vertical-relative:paragraph;z-index:252684288" filled="true" fillcolor="#e8dac8" stroked="false">
            <v:fill type="solid"/>
            <w10:wrap type="none"/>
          </v:rect>
        </w:pict>
      </w:r>
      <w:r>
        <w:rPr/>
        <w:pict>
          <v:shape style="position:absolute;margin-left:578.900024pt;margin-top:-151.656769pt;width:15.9pt;height:53.35pt;mso-position-horizontal-relative:page;mso-position-vertical-relative:paragraph;z-index:25269145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The use of drugs to block the effects of Ang II has proved to be important clinically for improving the kidneys’ ability to excrete salt and </w:t>
      </w:r>
      <w:r>
        <w:rPr>
          <w:color w:val="231F20"/>
          <w:spacing w:val="-3"/>
          <w:w w:val="105"/>
        </w:rPr>
        <w:t>water.  </w:t>
      </w:r>
      <w:r>
        <w:rPr>
          <w:color w:val="231F20"/>
          <w:w w:val="105"/>
        </w:rPr>
        <w:t>When </w:t>
      </w:r>
      <w:r>
        <w:rPr>
          <w:color w:val="231F20"/>
          <w:spacing w:val="-4"/>
          <w:w w:val="105"/>
        </w:rPr>
        <w:t>Ang </w:t>
      </w:r>
      <w:r>
        <w:rPr>
          <w:color w:val="231F20"/>
          <w:spacing w:val="44"/>
          <w:w w:val="105"/>
        </w:rPr>
        <w:t> </w:t>
      </w:r>
      <w:r>
        <w:rPr>
          <w:color w:val="231F20"/>
          <w:w w:val="105"/>
        </w:rPr>
        <w:t>II formation is blocked with an angiotensin-converting enzyme</w:t>
      </w:r>
      <w:r>
        <w:rPr>
          <w:color w:val="231F20"/>
          <w:spacing w:val="-20"/>
          <w:w w:val="105"/>
        </w:rPr>
        <w:t> </w:t>
      </w:r>
      <w:r>
        <w:rPr>
          <w:color w:val="231F20"/>
          <w:w w:val="105"/>
        </w:rPr>
        <w:t>inhibitor</w:t>
      </w:r>
      <w:r>
        <w:rPr>
          <w:color w:val="231F20"/>
          <w:spacing w:val="-19"/>
          <w:w w:val="105"/>
        </w:rPr>
        <w:t> </w:t>
      </w:r>
      <w:r>
        <w:rPr>
          <w:color w:val="231F20"/>
          <w:w w:val="105"/>
        </w:rPr>
        <w:t>(see</w:t>
      </w:r>
      <w:r>
        <w:rPr>
          <w:color w:val="231F20"/>
          <w:spacing w:val="-19"/>
          <w:w w:val="105"/>
        </w:rPr>
        <w:t> </w:t>
      </w:r>
      <w:hyperlink w:history="true" w:anchor="_bookmark100">
        <w:r>
          <w:rPr>
            <w:rFonts w:ascii="Cambria" w:hAnsi="Cambria"/>
            <w:b/>
            <w:color w:val="0080AC"/>
            <w:w w:val="105"/>
          </w:rPr>
          <w:t>Figure</w:t>
        </w:r>
        <w:r>
          <w:rPr>
            <w:rFonts w:ascii="Cambria" w:hAnsi="Cambria"/>
            <w:b/>
            <w:color w:val="0080AC"/>
            <w:spacing w:val="-14"/>
            <w:w w:val="105"/>
          </w:rPr>
          <w:t> </w:t>
        </w:r>
        <w:r>
          <w:rPr>
            <w:rFonts w:ascii="Cambria" w:hAnsi="Cambria"/>
            <w:b/>
            <w:color w:val="0080AC"/>
            <w:w w:val="105"/>
          </w:rPr>
          <w:t>30-17</w:t>
        </w:r>
      </w:hyperlink>
      <w:r>
        <w:rPr>
          <w:color w:val="231F20"/>
          <w:w w:val="105"/>
        </w:rPr>
        <w:t>)</w:t>
      </w:r>
      <w:r>
        <w:rPr>
          <w:color w:val="231F20"/>
          <w:spacing w:val="-19"/>
          <w:w w:val="105"/>
        </w:rPr>
        <w:t> </w:t>
      </w:r>
      <w:r>
        <w:rPr>
          <w:color w:val="231F20"/>
          <w:w w:val="105"/>
        </w:rPr>
        <w:t>or</w:t>
      </w:r>
      <w:r>
        <w:rPr>
          <w:color w:val="231F20"/>
          <w:spacing w:val="-19"/>
          <w:w w:val="105"/>
        </w:rPr>
        <w:t> </w:t>
      </w:r>
      <w:r>
        <w:rPr>
          <w:color w:val="231F20"/>
          <w:w w:val="105"/>
        </w:rPr>
        <w:t>an</w:t>
      </w:r>
      <w:r>
        <w:rPr>
          <w:color w:val="231F20"/>
          <w:spacing w:val="-19"/>
          <w:w w:val="105"/>
        </w:rPr>
        <w:t> </w:t>
      </w:r>
      <w:r>
        <w:rPr>
          <w:color w:val="231F20"/>
          <w:w w:val="105"/>
        </w:rPr>
        <w:t>Ang</w:t>
      </w:r>
      <w:r>
        <w:rPr>
          <w:color w:val="231F20"/>
          <w:spacing w:val="-19"/>
          <w:w w:val="105"/>
        </w:rPr>
        <w:t> </w:t>
      </w:r>
      <w:r>
        <w:rPr>
          <w:color w:val="231F20"/>
          <w:w w:val="105"/>
        </w:rPr>
        <w:t>II</w:t>
      </w:r>
      <w:r>
        <w:rPr>
          <w:color w:val="231F20"/>
          <w:spacing w:val="-20"/>
          <w:w w:val="105"/>
        </w:rPr>
        <w:t> </w:t>
      </w:r>
      <w:r>
        <w:rPr>
          <w:color w:val="231F20"/>
          <w:w w:val="105"/>
        </w:rPr>
        <w:t>recep- tor antagonist, the renal-pressure natriuresis curve is shifted to lower pressures, which indicates an enhanced ability of the kidneys to excrete sodium because</w:t>
      </w:r>
      <w:r>
        <w:rPr>
          <w:color w:val="231F20"/>
          <w:spacing w:val="-17"/>
          <w:w w:val="105"/>
        </w:rPr>
        <w:t> </w:t>
      </w:r>
      <w:r>
        <w:rPr>
          <w:color w:val="231F20"/>
          <w:w w:val="105"/>
        </w:rPr>
        <w:t>normal levels of sodium excretion can now be maintained at reduced</w:t>
      </w:r>
      <w:r>
        <w:rPr>
          <w:color w:val="231F20"/>
          <w:spacing w:val="-20"/>
          <w:w w:val="105"/>
        </w:rPr>
        <w:t> </w:t>
      </w:r>
      <w:r>
        <w:rPr>
          <w:color w:val="231F20"/>
          <w:w w:val="105"/>
        </w:rPr>
        <w:t>arterial</w:t>
      </w:r>
      <w:r>
        <w:rPr>
          <w:color w:val="231F20"/>
          <w:spacing w:val="-19"/>
          <w:w w:val="105"/>
        </w:rPr>
        <w:t> </w:t>
      </w:r>
      <w:r>
        <w:rPr>
          <w:color w:val="231F20"/>
          <w:w w:val="105"/>
        </w:rPr>
        <w:t>pressures.</w:t>
      </w:r>
      <w:r>
        <w:rPr>
          <w:color w:val="231F20"/>
          <w:spacing w:val="-19"/>
          <w:w w:val="105"/>
        </w:rPr>
        <w:t> </w:t>
      </w:r>
      <w:r>
        <w:rPr>
          <w:color w:val="231F20"/>
          <w:w w:val="105"/>
        </w:rPr>
        <w:t>This</w:t>
      </w:r>
      <w:r>
        <w:rPr>
          <w:color w:val="231F20"/>
          <w:spacing w:val="-19"/>
          <w:w w:val="105"/>
        </w:rPr>
        <w:t> </w:t>
      </w:r>
      <w:r>
        <w:rPr>
          <w:color w:val="231F20"/>
          <w:w w:val="105"/>
        </w:rPr>
        <w:t>shift</w:t>
      </w:r>
      <w:r>
        <w:rPr>
          <w:color w:val="231F20"/>
          <w:spacing w:val="-19"/>
          <w:w w:val="105"/>
        </w:rPr>
        <w:t> </w:t>
      </w:r>
      <w:r>
        <w:rPr>
          <w:color w:val="231F20"/>
          <w:w w:val="105"/>
        </w:rPr>
        <w:t>of</w:t>
      </w:r>
      <w:r>
        <w:rPr>
          <w:color w:val="231F20"/>
          <w:spacing w:val="-20"/>
          <w:w w:val="105"/>
        </w:rPr>
        <w:t> </w:t>
      </w:r>
      <w:r>
        <w:rPr>
          <w:color w:val="231F20"/>
          <w:w w:val="105"/>
        </w:rPr>
        <w:t>pressure</w:t>
      </w:r>
      <w:r>
        <w:rPr>
          <w:color w:val="231F20"/>
          <w:spacing w:val="-19"/>
          <w:w w:val="105"/>
        </w:rPr>
        <w:t> </w:t>
      </w:r>
      <w:r>
        <w:rPr>
          <w:color w:val="231F20"/>
          <w:w w:val="105"/>
        </w:rPr>
        <w:t>natriure- sis provides the basis for the chronic blood pressure– lowering effects of the angiotensin-converting enzyme inhibitors</w:t>
      </w:r>
      <w:r>
        <w:rPr>
          <w:color w:val="231F20"/>
          <w:spacing w:val="-25"/>
          <w:w w:val="105"/>
        </w:rPr>
        <w:t> </w:t>
      </w:r>
      <w:r>
        <w:rPr>
          <w:color w:val="231F20"/>
          <w:w w:val="105"/>
        </w:rPr>
        <w:t>and</w:t>
      </w:r>
      <w:r>
        <w:rPr>
          <w:color w:val="231F20"/>
          <w:spacing w:val="-25"/>
          <w:w w:val="105"/>
        </w:rPr>
        <w:t> </w:t>
      </w:r>
      <w:r>
        <w:rPr>
          <w:color w:val="231F20"/>
          <w:w w:val="105"/>
        </w:rPr>
        <w:t>Ang</w:t>
      </w:r>
      <w:r>
        <w:rPr>
          <w:color w:val="231F20"/>
          <w:spacing w:val="-24"/>
          <w:w w:val="105"/>
        </w:rPr>
        <w:t> </w:t>
      </w:r>
      <w:r>
        <w:rPr>
          <w:color w:val="231F20"/>
          <w:w w:val="105"/>
        </w:rPr>
        <w:t>II</w:t>
      </w:r>
      <w:r>
        <w:rPr>
          <w:color w:val="231F20"/>
          <w:spacing w:val="-25"/>
          <w:w w:val="105"/>
        </w:rPr>
        <w:t> </w:t>
      </w:r>
      <w:r>
        <w:rPr>
          <w:color w:val="231F20"/>
          <w:w w:val="105"/>
        </w:rPr>
        <w:t>receptor</w:t>
      </w:r>
      <w:r>
        <w:rPr>
          <w:color w:val="231F20"/>
          <w:spacing w:val="-24"/>
          <w:w w:val="105"/>
        </w:rPr>
        <w:t> </w:t>
      </w:r>
      <w:r>
        <w:rPr>
          <w:color w:val="231F20"/>
          <w:w w:val="105"/>
        </w:rPr>
        <w:t>antagonists</w:t>
      </w:r>
      <w:r>
        <w:rPr>
          <w:color w:val="231F20"/>
          <w:spacing w:val="-25"/>
          <w:w w:val="105"/>
        </w:rPr>
        <w:t> </w:t>
      </w:r>
      <w:r>
        <w:rPr>
          <w:color w:val="231F20"/>
          <w:w w:val="105"/>
        </w:rPr>
        <w:t>in</w:t>
      </w:r>
      <w:r>
        <w:rPr>
          <w:color w:val="231F20"/>
          <w:spacing w:val="-24"/>
          <w:w w:val="105"/>
        </w:rPr>
        <w:t> </w:t>
      </w:r>
      <w:r>
        <w:rPr>
          <w:color w:val="231F20"/>
          <w:w w:val="105"/>
        </w:rPr>
        <w:t>hypertensive patients.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3"/>
        <w:rPr>
          <w:sz w:val="25"/>
        </w:rPr>
      </w:pPr>
    </w:p>
    <w:p>
      <w:pPr>
        <w:spacing w:before="99"/>
        <w:ind w:left="1904" w:right="0" w:firstLine="0"/>
        <w:jc w:val="left"/>
        <w:rPr>
          <w:rFonts w:ascii="Helvetica"/>
          <w:sz w:val="16"/>
        </w:rPr>
      </w:pPr>
      <w:r>
        <w:rPr/>
        <w:pict>
          <v:group style="position:absolute;margin-left:99.662598pt;margin-top:5.005913pt;width:204.1pt;height:110.05pt;mso-position-horizontal-relative:page;mso-position-vertical-relative:paragraph;z-index:252689408" coordorigin="1993,100" coordsize="4082,2201">
            <v:shape style="position:absolute;left:-61;top:4962;width:2011;height:2100" coordorigin="-60,4962" coordsize="2011,2100" path="m2208,201l2148,201m2208,539l2148,539m2208,877l2148,877m2208,1215l2148,1215m2208,1552l2148,1552m2208,1890l2148,1890m2208,191l2208,2228,2413,2228m2455,2171l2371,2291m2535,2171l2451,2291m2963,2229l2963,2286m3561,2229l3561,2286m4158,2286l4158,2229e" filled="false" stroked="true" strokeweight="1pt" strokecolor="#231f20">
              <v:path arrowok="t"/>
              <v:stroke dashstyle="solid"/>
            </v:shape>
            <v:shape style="position:absolute;left:2739;top:236;width:1375;height:2002" coordorigin="2739,237" coordsize="1375,2002" path="m2739,2227l2937,2239,3085,2174,3258,1972,3529,1570,3819,1062,3998,637,4088,345,4113,237e" filled="false" stroked="true" strokeweight="2.0pt" strokecolor="#f0535f">
              <v:path arrowok="t"/>
              <v:stroke dashstyle="solid"/>
            </v:shape>
            <v:shape style="position:absolute;left:2546;top:6999;width:598;height:57" coordorigin="2547,7000" coordsize="598,57" path="m4755,2229l4755,2286m5352,2229l5352,2286e" filled="false" stroked="true" strokeweight="1pt" strokecolor="#231f20">
              <v:path arrowok="t"/>
              <v:stroke dashstyle="solid"/>
            </v:shape>
            <v:shape style="position:absolute;left:4160;top:295;width:1204;height:1938" coordorigin="4161,295" coordsize="1204,1938" path="m4161,2233l4227,2198,4316,2143,4367,2107,4422,2065,4480,2015,4541,1959,4603,1896,4666,1824,4730,1745,4794,1656,4858,1559,4920,1453,5138,1000,5275,633,5344,386,5364,295e" filled="false" stroked="true" strokeweight="2pt" strokecolor="#2384c6">
              <v:path arrowok="t"/>
              <v:stroke dashstyle="shortdash"/>
            </v:shape>
            <v:shape style="position:absolute;left:4052;top:230;width:172;height:1992" coordorigin="4052,230" coordsize="172,1992" path="m4052,2221l4133,2201,4175,2179,4190,2144,4192,2082,4192,279,4190,253,4192,239,4203,233,4224,230e" filled="false" stroked="true" strokeweight="2pt" strokecolor="#231f20">
              <v:path arrowok="t"/>
              <v:stroke dashstyle="solid"/>
            </v:shape>
            <v:line style="position:absolute" from="5949,2229" to="5949,2286" stroked="true" strokeweight="1pt" strokecolor="#231f20">
              <v:stroke dashstyle="solid"/>
            </v:line>
            <v:line style="position:absolute" from="2496,2228" to="5961,2228" stroked="true" strokeweight="1pt" strokecolor="#231f20">
              <v:stroke dashstyle="solid"/>
            </v:line>
            <v:shape style="position:absolute;left:1993;top:100;width:112;height:1877" type="#_x0000_t202" filled="false" stroked="false">
              <v:textbox inset="0,0,0,0">
                <w:txbxContent>
                  <w:p>
                    <w:pPr>
                      <w:spacing w:line="183" w:lineRule="exact" w:before="0"/>
                      <w:ind w:left="0" w:right="0" w:firstLine="0"/>
                      <w:jc w:val="left"/>
                      <w:rPr>
                        <w:rFonts w:ascii="Helvetica"/>
                        <w:sz w:val="16"/>
                      </w:rPr>
                    </w:pPr>
                    <w:r>
                      <w:rPr>
                        <w:rFonts w:ascii="Helvetica"/>
                        <w:color w:val="231F20"/>
                        <w:w w:val="99"/>
                        <w:sz w:val="16"/>
                      </w:rPr>
                      <w:t>2</w:t>
                    </w:r>
                  </w:p>
                  <w:p>
                    <w:pPr>
                      <w:spacing w:before="158"/>
                      <w:ind w:left="3" w:right="0" w:firstLine="0"/>
                      <w:jc w:val="left"/>
                      <w:rPr>
                        <w:rFonts w:ascii="Helvetica"/>
                        <w:sz w:val="16"/>
                      </w:rPr>
                    </w:pPr>
                    <w:r>
                      <w:rPr>
                        <w:rFonts w:ascii="Helvetica"/>
                        <w:color w:val="231F20"/>
                        <w:w w:val="99"/>
                        <w:sz w:val="16"/>
                      </w:rPr>
                      <w:t>0</w:t>
                    </w:r>
                  </w:p>
                  <w:p>
                    <w:pPr>
                      <w:spacing w:before="148"/>
                      <w:ind w:left="0" w:right="0" w:firstLine="0"/>
                      <w:jc w:val="left"/>
                      <w:rPr>
                        <w:rFonts w:ascii="Helvetica"/>
                        <w:sz w:val="16"/>
                      </w:rPr>
                    </w:pPr>
                    <w:r>
                      <w:rPr>
                        <w:rFonts w:ascii="Helvetica"/>
                        <w:color w:val="231F20"/>
                        <w:w w:val="99"/>
                        <w:sz w:val="16"/>
                      </w:rPr>
                      <w:t>8</w:t>
                    </w:r>
                  </w:p>
                  <w:p>
                    <w:pPr>
                      <w:spacing w:before="159"/>
                      <w:ind w:left="0" w:right="0" w:firstLine="0"/>
                      <w:jc w:val="left"/>
                      <w:rPr>
                        <w:rFonts w:ascii="Helvetica"/>
                        <w:sz w:val="16"/>
                      </w:rPr>
                    </w:pPr>
                    <w:r>
                      <w:rPr>
                        <w:rFonts w:ascii="Helvetica"/>
                        <w:color w:val="231F20"/>
                        <w:w w:val="99"/>
                        <w:sz w:val="16"/>
                      </w:rPr>
                      <w:t>6</w:t>
                    </w:r>
                  </w:p>
                  <w:p>
                    <w:pPr>
                      <w:spacing w:before="154"/>
                      <w:ind w:left="0" w:right="0" w:firstLine="0"/>
                      <w:jc w:val="left"/>
                      <w:rPr>
                        <w:rFonts w:ascii="Helvetica"/>
                        <w:sz w:val="16"/>
                      </w:rPr>
                    </w:pPr>
                    <w:r>
                      <w:rPr>
                        <w:rFonts w:ascii="Helvetica"/>
                        <w:color w:val="231F20"/>
                        <w:w w:val="99"/>
                        <w:sz w:val="16"/>
                      </w:rPr>
                      <w:t>4</w:t>
                    </w:r>
                  </w:p>
                  <w:p>
                    <w:pPr>
                      <w:spacing w:before="153"/>
                      <w:ind w:left="0" w:right="0" w:firstLine="0"/>
                      <w:jc w:val="left"/>
                      <w:rPr>
                        <w:rFonts w:ascii="Helvetica"/>
                        <w:sz w:val="16"/>
                      </w:rPr>
                    </w:pPr>
                    <w:r>
                      <w:rPr>
                        <w:rFonts w:ascii="Helvetica"/>
                        <w:color w:val="231F20"/>
                        <w:w w:val="99"/>
                        <w:sz w:val="16"/>
                      </w:rPr>
                      <w:t>2</w:t>
                    </w:r>
                  </w:p>
                </w:txbxContent>
              </v:textbox>
              <w10:wrap type="none"/>
            </v:shape>
            <v:shape style="position:absolute;left:2334;top:691;width:154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Angiotensin blockade</w:t>
                    </w:r>
                  </w:p>
                </w:txbxContent>
              </v:textbox>
              <w10:wrap type="none"/>
            </v:shape>
            <v:shape style="position:absolute;left:4226;top:1031;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4729;top:1830;width:134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High angiotensin II</w:t>
                    </w:r>
                  </w:p>
                </w:txbxContent>
              </v:textbox>
              <w10:wrap type="none"/>
            </v:shape>
            <w10:wrap type="none"/>
          </v:group>
        </w:pict>
      </w:r>
      <w:r>
        <w:rPr/>
        <w:pict>
          <v:shape style="position:absolute;margin-left:324pt;margin-top:-77.648186pt;width:234pt;height:276.650pt;mso-position-horizontal-relative:page;mso-position-vertical-relative:paragraph;z-index:252690432" type="#_x0000_t202" filled="true" fillcolor="#f0eef6" stroked="false">
            <v:textbox inset="0,0,0,0">
              <w:txbxContent>
                <w:p>
                  <w:pPr>
                    <w:spacing w:line="220" w:lineRule="exact" w:before="116"/>
                    <w:ind w:left="180" w:right="177" w:firstLine="240"/>
                    <w:jc w:val="both"/>
                    <w:rPr>
                      <w:sz w:val="18"/>
                    </w:rPr>
                  </w:pPr>
                  <w:r>
                    <w:rPr>
                      <w:rFonts w:ascii="Trebuchet MS" w:hAnsi="Trebuchet MS"/>
                      <w:b/>
                      <w:color w:val="231F20"/>
                      <w:w w:val="105"/>
                      <w:sz w:val="16"/>
                    </w:rPr>
                    <w:t>Excessive</w:t>
                  </w:r>
                  <w:r>
                    <w:rPr>
                      <w:rFonts w:ascii="Trebuchet MS" w:hAnsi="Trebuchet MS"/>
                      <w:b/>
                      <w:color w:val="231F20"/>
                      <w:spacing w:val="-38"/>
                      <w:w w:val="105"/>
                      <w:sz w:val="16"/>
                    </w:rPr>
                    <w:t> </w:t>
                  </w:r>
                  <w:r>
                    <w:rPr>
                      <w:rFonts w:ascii="Trebuchet MS" w:hAnsi="Trebuchet MS"/>
                      <w:b/>
                      <w:color w:val="231F20"/>
                      <w:w w:val="105"/>
                      <w:sz w:val="16"/>
                    </w:rPr>
                    <w:t>Ang</w:t>
                  </w:r>
                  <w:r>
                    <w:rPr>
                      <w:rFonts w:ascii="Trebuchet MS" w:hAnsi="Trebuchet MS"/>
                      <w:b/>
                      <w:color w:val="231F20"/>
                      <w:spacing w:val="-37"/>
                      <w:w w:val="105"/>
                      <w:sz w:val="16"/>
                    </w:rPr>
                    <w:t> </w:t>
                  </w:r>
                  <w:r>
                    <w:rPr>
                      <w:rFonts w:ascii="Trebuchet MS" w:hAnsi="Trebuchet MS"/>
                      <w:b/>
                      <w:color w:val="231F20"/>
                      <w:w w:val="105"/>
                      <w:sz w:val="16"/>
                    </w:rPr>
                    <w:t>II</w:t>
                  </w:r>
                  <w:r>
                    <w:rPr>
                      <w:rFonts w:ascii="Trebuchet MS" w:hAnsi="Trebuchet MS"/>
                      <w:b/>
                      <w:color w:val="231F20"/>
                      <w:spacing w:val="-37"/>
                      <w:w w:val="105"/>
                      <w:sz w:val="16"/>
                    </w:rPr>
                    <w:t> </w:t>
                  </w:r>
                  <w:r>
                    <w:rPr>
                      <w:rFonts w:ascii="Trebuchet MS" w:hAnsi="Trebuchet MS"/>
                      <w:b/>
                      <w:color w:val="231F20"/>
                      <w:w w:val="105"/>
                      <w:sz w:val="16"/>
                    </w:rPr>
                    <w:t>Does</w:t>
                  </w:r>
                  <w:r>
                    <w:rPr>
                      <w:rFonts w:ascii="Trebuchet MS" w:hAnsi="Trebuchet MS"/>
                      <w:b/>
                      <w:color w:val="231F20"/>
                      <w:spacing w:val="-37"/>
                      <w:w w:val="105"/>
                      <w:sz w:val="16"/>
                    </w:rPr>
                    <w:t> </w:t>
                  </w:r>
                  <w:r>
                    <w:rPr>
                      <w:rFonts w:ascii="Trebuchet MS" w:hAnsi="Trebuchet MS"/>
                      <w:b/>
                      <w:color w:val="231F20"/>
                      <w:w w:val="105"/>
                      <w:sz w:val="16"/>
                    </w:rPr>
                    <w:t>Not</w:t>
                  </w:r>
                  <w:r>
                    <w:rPr>
                      <w:rFonts w:ascii="Trebuchet MS" w:hAnsi="Trebuchet MS"/>
                      <w:b/>
                      <w:color w:val="231F20"/>
                      <w:spacing w:val="-37"/>
                      <w:w w:val="105"/>
                      <w:sz w:val="16"/>
                    </w:rPr>
                    <w:t> </w:t>
                  </w:r>
                  <w:r>
                    <w:rPr>
                      <w:rFonts w:ascii="Trebuchet MS" w:hAnsi="Trebuchet MS"/>
                      <w:b/>
                      <w:color w:val="231F20"/>
                      <w:w w:val="105"/>
                      <w:sz w:val="16"/>
                    </w:rPr>
                    <w:t>Usually</w:t>
                  </w:r>
                  <w:r>
                    <w:rPr>
                      <w:rFonts w:ascii="Trebuchet MS" w:hAnsi="Trebuchet MS"/>
                      <w:b/>
                      <w:color w:val="231F20"/>
                      <w:spacing w:val="-37"/>
                      <w:w w:val="105"/>
                      <w:sz w:val="16"/>
                    </w:rPr>
                    <w:t> </w:t>
                  </w:r>
                  <w:r>
                    <w:rPr>
                      <w:rFonts w:ascii="Trebuchet MS" w:hAnsi="Trebuchet MS"/>
                      <w:b/>
                      <w:color w:val="231F20"/>
                      <w:w w:val="105"/>
                      <w:sz w:val="16"/>
                    </w:rPr>
                    <w:t>Cause</w:t>
                  </w:r>
                  <w:r>
                    <w:rPr>
                      <w:rFonts w:ascii="Trebuchet MS" w:hAnsi="Trebuchet MS"/>
                      <w:b/>
                      <w:color w:val="231F20"/>
                      <w:spacing w:val="-38"/>
                      <w:w w:val="105"/>
                      <w:sz w:val="16"/>
                    </w:rPr>
                    <w:t> </w:t>
                  </w:r>
                  <w:r>
                    <w:rPr>
                      <w:rFonts w:ascii="Trebuchet MS" w:hAnsi="Trebuchet MS"/>
                      <w:b/>
                      <w:color w:val="231F20"/>
                      <w:w w:val="105"/>
                      <w:sz w:val="16"/>
                    </w:rPr>
                    <w:t>Large</w:t>
                  </w:r>
                  <w:r>
                    <w:rPr>
                      <w:rFonts w:ascii="Trebuchet MS" w:hAnsi="Trebuchet MS"/>
                      <w:b/>
                      <w:color w:val="231F20"/>
                      <w:spacing w:val="-36"/>
                      <w:w w:val="105"/>
                      <w:sz w:val="16"/>
                    </w:rPr>
                    <w:t> </w:t>
                  </w:r>
                  <w:r>
                    <w:rPr>
                      <w:rFonts w:ascii="Trebuchet MS" w:hAnsi="Trebuchet MS"/>
                      <w:b/>
                      <w:color w:val="231F20"/>
                      <w:w w:val="105"/>
                      <w:sz w:val="16"/>
                    </w:rPr>
                    <w:t>Increases in</w:t>
                  </w:r>
                  <w:r>
                    <w:rPr>
                      <w:rFonts w:ascii="Trebuchet MS" w:hAnsi="Trebuchet MS"/>
                      <w:b/>
                      <w:color w:val="231F20"/>
                      <w:spacing w:val="-22"/>
                      <w:w w:val="105"/>
                      <w:sz w:val="16"/>
                    </w:rPr>
                    <w:t> </w:t>
                  </w:r>
                  <w:r>
                    <w:rPr>
                      <w:rFonts w:ascii="Trebuchet MS" w:hAnsi="Trebuchet MS"/>
                      <w:b/>
                      <w:color w:val="231F20"/>
                      <w:w w:val="105"/>
                      <w:sz w:val="16"/>
                    </w:rPr>
                    <w:t>Extracellular</w:t>
                  </w:r>
                  <w:r>
                    <w:rPr>
                      <w:rFonts w:ascii="Trebuchet MS" w:hAnsi="Trebuchet MS"/>
                      <w:b/>
                      <w:color w:val="231F20"/>
                      <w:spacing w:val="-21"/>
                      <w:w w:val="105"/>
                      <w:sz w:val="16"/>
                    </w:rPr>
                    <w:t> </w:t>
                  </w:r>
                  <w:r>
                    <w:rPr>
                      <w:rFonts w:ascii="Trebuchet MS" w:hAnsi="Trebuchet MS"/>
                      <w:b/>
                      <w:color w:val="231F20"/>
                      <w:w w:val="105"/>
                      <w:sz w:val="16"/>
                    </w:rPr>
                    <w:t>Fluid</w:t>
                  </w:r>
                  <w:r>
                    <w:rPr>
                      <w:rFonts w:ascii="Trebuchet MS" w:hAnsi="Trebuchet MS"/>
                      <w:b/>
                      <w:color w:val="231F20"/>
                      <w:spacing w:val="-22"/>
                      <w:w w:val="105"/>
                      <w:sz w:val="16"/>
                    </w:rPr>
                    <w:t> </w:t>
                  </w:r>
                  <w:r>
                    <w:rPr>
                      <w:rFonts w:ascii="Trebuchet MS" w:hAnsi="Trebuchet MS"/>
                      <w:b/>
                      <w:color w:val="231F20"/>
                      <w:w w:val="105"/>
                      <w:sz w:val="16"/>
                    </w:rPr>
                    <w:t>Volume</w:t>
                  </w:r>
                  <w:r>
                    <w:rPr>
                      <w:rFonts w:ascii="Trebuchet MS" w:hAnsi="Trebuchet MS"/>
                      <w:b/>
                      <w:color w:val="231F20"/>
                      <w:spacing w:val="-21"/>
                      <w:w w:val="105"/>
                      <w:sz w:val="16"/>
                    </w:rPr>
                    <w:t> </w:t>
                  </w:r>
                  <w:r>
                    <w:rPr>
                      <w:rFonts w:ascii="Trebuchet MS" w:hAnsi="Trebuchet MS"/>
                      <w:b/>
                      <w:color w:val="231F20"/>
                      <w:w w:val="105"/>
                      <w:sz w:val="16"/>
                    </w:rPr>
                    <w:t>Because</w:t>
                  </w:r>
                  <w:r>
                    <w:rPr>
                      <w:rFonts w:ascii="Trebuchet MS" w:hAnsi="Trebuchet MS"/>
                      <w:b/>
                      <w:color w:val="231F20"/>
                      <w:spacing w:val="-21"/>
                      <w:w w:val="105"/>
                      <w:sz w:val="16"/>
                    </w:rPr>
                    <w:t> </w:t>
                  </w:r>
                  <w:r>
                    <w:rPr>
                      <w:rFonts w:ascii="Trebuchet MS" w:hAnsi="Trebuchet MS"/>
                      <w:b/>
                      <w:color w:val="231F20"/>
                      <w:w w:val="105"/>
                      <w:sz w:val="16"/>
                    </w:rPr>
                    <w:t>Increased</w:t>
                  </w:r>
                  <w:r>
                    <w:rPr>
                      <w:rFonts w:ascii="Trebuchet MS" w:hAnsi="Trebuchet MS"/>
                      <w:b/>
                      <w:color w:val="231F20"/>
                      <w:spacing w:val="-22"/>
                      <w:w w:val="105"/>
                      <w:sz w:val="16"/>
                    </w:rPr>
                    <w:t> </w:t>
                  </w:r>
                  <w:r>
                    <w:rPr>
                      <w:rFonts w:ascii="Trebuchet MS" w:hAnsi="Trebuchet MS"/>
                      <w:b/>
                      <w:color w:val="231F20"/>
                      <w:w w:val="105"/>
                      <w:sz w:val="16"/>
                    </w:rPr>
                    <w:t>Arterial Pressure Counterbalances Ang II–Mediated </w:t>
                  </w:r>
                  <w:r>
                    <w:rPr>
                      <w:rFonts w:ascii="Trebuchet MS" w:hAnsi="Trebuchet MS"/>
                      <w:b/>
                      <w:color w:val="231F20"/>
                      <w:spacing w:val="-3"/>
                      <w:w w:val="105"/>
                      <w:sz w:val="16"/>
                    </w:rPr>
                    <w:t>Sodium </w:t>
                  </w:r>
                  <w:r>
                    <w:rPr>
                      <w:rFonts w:ascii="Trebuchet MS" w:hAnsi="Trebuchet MS"/>
                      <w:b/>
                      <w:color w:val="231F20"/>
                      <w:w w:val="105"/>
                      <w:sz w:val="16"/>
                    </w:rPr>
                    <w:t>Retention. </w:t>
                  </w:r>
                  <w:r>
                    <w:rPr>
                      <w:color w:val="231F20"/>
                      <w:w w:val="105"/>
                      <w:sz w:val="18"/>
                    </w:rPr>
                    <w:t>Although Ang II is one of the most powerful sodium-</w:t>
                  </w:r>
                  <w:r>
                    <w:rPr>
                      <w:color w:val="231F20"/>
                      <w:spacing w:val="-20"/>
                      <w:w w:val="105"/>
                      <w:sz w:val="18"/>
                    </w:rPr>
                    <w:t> </w:t>
                  </w:r>
                  <w:r>
                    <w:rPr>
                      <w:color w:val="231F20"/>
                      <w:w w:val="105"/>
                      <w:sz w:val="18"/>
                    </w:rPr>
                    <w:t>and</w:t>
                  </w:r>
                  <w:r>
                    <w:rPr>
                      <w:color w:val="231F20"/>
                      <w:spacing w:val="-20"/>
                      <w:w w:val="105"/>
                      <w:sz w:val="18"/>
                    </w:rPr>
                    <w:t> </w:t>
                  </w:r>
                  <w:r>
                    <w:rPr>
                      <w:color w:val="231F20"/>
                      <w:w w:val="105"/>
                      <w:sz w:val="18"/>
                    </w:rPr>
                    <w:t>water-retaining</w:t>
                  </w:r>
                  <w:r>
                    <w:rPr>
                      <w:color w:val="231F20"/>
                      <w:spacing w:val="-19"/>
                      <w:w w:val="105"/>
                      <w:sz w:val="18"/>
                    </w:rPr>
                    <w:t> </w:t>
                  </w:r>
                  <w:r>
                    <w:rPr>
                      <w:color w:val="231F20"/>
                      <w:w w:val="105"/>
                      <w:sz w:val="18"/>
                    </w:rPr>
                    <w:t>hormones</w:t>
                  </w:r>
                  <w:r>
                    <w:rPr>
                      <w:color w:val="231F20"/>
                      <w:spacing w:val="-20"/>
                      <w:w w:val="105"/>
                      <w:sz w:val="18"/>
                    </w:rPr>
                    <w:t> </w:t>
                  </w:r>
                  <w:r>
                    <w:rPr>
                      <w:color w:val="231F20"/>
                      <w:w w:val="105"/>
                      <w:sz w:val="18"/>
                    </w:rPr>
                    <w:t>in</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body,</w:t>
                  </w:r>
                  <w:r>
                    <w:rPr>
                      <w:color w:val="231F20"/>
                      <w:spacing w:val="-20"/>
                      <w:w w:val="105"/>
                      <w:sz w:val="18"/>
                    </w:rPr>
                    <w:t> </w:t>
                  </w:r>
                  <w:r>
                    <w:rPr>
                      <w:color w:val="231F20"/>
                      <w:w w:val="105"/>
                      <w:sz w:val="18"/>
                    </w:rPr>
                    <w:t>neither a</w:t>
                  </w:r>
                  <w:r>
                    <w:rPr>
                      <w:color w:val="231F20"/>
                      <w:spacing w:val="-11"/>
                      <w:w w:val="105"/>
                      <w:sz w:val="18"/>
                    </w:rPr>
                    <w:t> </w:t>
                  </w:r>
                  <w:r>
                    <w:rPr>
                      <w:color w:val="231F20"/>
                      <w:w w:val="105"/>
                      <w:sz w:val="18"/>
                    </w:rPr>
                    <w:t>decrease</w:t>
                  </w:r>
                  <w:r>
                    <w:rPr>
                      <w:color w:val="231F20"/>
                      <w:spacing w:val="-11"/>
                      <w:w w:val="105"/>
                      <w:sz w:val="18"/>
                    </w:rPr>
                    <w:t> </w:t>
                  </w:r>
                  <w:r>
                    <w:rPr>
                      <w:color w:val="231F20"/>
                      <w:w w:val="105"/>
                      <w:sz w:val="18"/>
                    </w:rPr>
                    <w:t>nor</w:t>
                  </w:r>
                  <w:r>
                    <w:rPr>
                      <w:color w:val="231F20"/>
                      <w:spacing w:val="-10"/>
                      <w:w w:val="105"/>
                      <w:sz w:val="18"/>
                    </w:rPr>
                    <w:t> </w:t>
                  </w:r>
                  <w:r>
                    <w:rPr>
                      <w:color w:val="231F20"/>
                      <w:w w:val="105"/>
                      <w:sz w:val="18"/>
                    </w:rPr>
                    <w:t>an</w:t>
                  </w:r>
                  <w:r>
                    <w:rPr>
                      <w:color w:val="231F20"/>
                      <w:spacing w:val="-11"/>
                      <w:w w:val="105"/>
                      <w:sz w:val="18"/>
                    </w:rPr>
                    <w:t> </w:t>
                  </w:r>
                  <w:r>
                    <w:rPr>
                      <w:color w:val="231F20"/>
                      <w:w w:val="105"/>
                      <w:sz w:val="18"/>
                    </w:rPr>
                    <w:t>increase</w:t>
                  </w:r>
                  <w:r>
                    <w:rPr>
                      <w:color w:val="231F20"/>
                      <w:spacing w:val="-10"/>
                      <w:w w:val="105"/>
                      <w:sz w:val="18"/>
                    </w:rPr>
                    <w:t> </w:t>
                  </w:r>
                  <w:r>
                    <w:rPr>
                      <w:color w:val="231F20"/>
                      <w:w w:val="105"/>
                      <w:sz w:val="18"/>
                    </w:rPr>
                    <w:t>in</w:t>
                  </w:r>
                  <w:r>
                    <w:rPr>
                      <w:color w:val="231F20"/>
                      <w:spacing w:val="-11"/>
                      <w:w w:val="105"/>
                      <w:sz w:val="18"/>
                    </w:rPr>
                    <w:t> </w:t>
                  </w:r>
                  <w:r>
                    <w:rPr>
                      <w:color w:val="231F20"/>
                      <w:w w:val="105"/>
                      <w:sz w:val="18"/>
                    </w:rPr>
                    <w:t>circulating</w:t>
                  </w:r>
                  <w:r>
                    <w:rPr>
                      <w:color w:val="231F20"/>
                      <w:spacing w:val="-10"/>
                      <w:w w:val="105"/>
                      <w:sz w:val="18"/>
                    </w:rPr>
                    <w:t> </w:t>
                  </w:r>
                  <w:r>
                    <w:rPr>
                      <w:color w:val="231F20"/>
                      <w:w w:val="105"/>
                      <w:sz w:val="18"/>
                    </w:rPr>
                    <w:t>Ang</w:t>
                  </w:r>
                  <w:r>
                    <w:rPr>
                      <w:color w:val="231F20"/>
                      <w:spacing w:val="-11"/>
                      <w:w w:val="105"/>
                      <w:sz w:val="18"/>
                    </w:rPr>
                    <w:t> </w:t>
                  </w:r>
                  <w:r>
                    <w:rPr>
                      <w:color w:val="231F20"/>
                      <w:w w:val="105"/>
                      <w:sz w:val="18"/>
                    </w:rPr>
                    <w:t>II</w:t>
                  </w:r>
                  <w:r>
                    <w:rPr>
                      <w:color w:val="231F20"/>
                      <w:spacing w:val="-10"/>
                      <w:w w:val="105"/>
                      <w:sz w:val="18"/>
                    </w:rPr>
                    <w:t> </w:t>
                  </w:r>
                  <w:r>
                    <w:rPr>
                      <w:color w:val="231F20"/>
                      <w:w w:val="105"/>
                      <w:sz w:val="18"/>
                    </w:rPr>
                    <w:t>has</w:t>
                  </w:r>
                  <w:r>
                    <w:rPr>
                      <w:color w:val="231F20"/>
                      <w:spacing w:val="-11"/>
                      <w:w w:val="105"/>
                      <w:sz w:val="18"/>
                    </w:rPr>
                    <w:t> </w:t>
                  </w:r>
                  <w:r>
                    <w:rPr>
                      <w:color w:val="231F20"/>
                      <w:w w:val="105"/>
                      <w:sz w:val="18"/>
                    </w:rPr>
                    <w:t>a</w:t>
                  </w:r>
                  <w:r>
                    <w:rPr>
                      <w:color w:val="231F20"/>
                      <w:spacing w:val="-10"/>
                      <w:w w:val="105"/>
                      <w:sz w:val="18"/>
                    </w:rPr>
                    <w:t> </w:t>
                  </w:r>
                  <w:r>
                    <w:rPr>
                      <w:color w:val="231F20"/>
                      <w:w w:val="105"/>
                      <w:sz w:val="18"/>
                    </w:rPr>
                    <w:t>large effect</w:t>
                  </w:r>
                  <w:r>
                    <w:rPr>
                      <w:color w:val="231F20"/>
                      <w:spacing w:val="-28"/>
                      <w:w w:val="105"/>
                      <w:sz w:val="18"/>
                    </w:rPr>
                    <w:t> </w:t>
                  </w:r>
                  <w:r>
                    <w:rPr>
                      <w:color w:val="231F20"/>
                      <w:w w:val="105"/>
                      <w:sz w:val="18"/>
                    </w:rPr>
                    <w:t>on</w:t>
                  </w:r>
                  <w:r>
                    <w:rPr>
                      <w:color w:val="231F20"/>
                      <w:spacing w:val="-27"/>
                      <w:w w:val="105"/>
                      <w:sz w:val="18"/>
                    </w:rPr>
                    <w:t> </w:t>
                  </w:r>
                  <w:r>
                    <w:rPr>
                      <w:color w:val="231F20"/>
                      <w:w w:val="105"/>
                      <w:sz w:val="18"/>
                    </w:rPr>
                    <w:t>extracellular</w:t>
                  </w:r>
                  <w:r>
                    <w:rPr>
                      <w:color w:val="231F20"/>
                      <w:spacing w:val="-27"/>
                      <w:w w:val="105"/>
                      <w:sz w:val="18"/>
                    </w:rPr>
                    <w:t> </w:t>
                  </w:r>
                  <w:r>
                    <w:rPr>
                      <w:color w:val="231F20"/>
                      <w:w w:val="105"/>
                      <w:sz w:val="18"/>
                    </w:rPr>
                    <w:t>fluid</w:t>
                  </w:r>
                  <w:r>
                    <w:rPr>
                      <w:color w:val="231F20"/>
                      <w:spacing w:val="-27"/>
                      <w:w w:val="105"/>
                      <w:sz w:val="18"/>
                    </w:rPr>
                    <w:t> </w:t>
                  </w:r>
                  <w:r>
                    <w:rPr>
                      <w:color w:val="231F20"/>
                      <w:w w:val="105"/>
                      <w:sz w:val="18"/>
                    </w:rPr>
                    <w:t>volume</w:t>
                  </w:r>
                  <w:r>
                    <w:rPr>
                      <w:color w:val="231F20"/>
                      <w:spacing w:val="-27"/>
                      <w:w w:val="105"/>
                      <w:sz w:val="18"/>
                    </w:rPr>
                    <w:t> </w:t>
                  </w:r>
                  <w:r>
                    <w:rPr>
                      <w:color w:val="231F20"/>
                      <w:w w:val="105"/>
                      <w:sz w:val="18"/>
                    </w:rPr>
                    <w:t>or</w:t>
                  </w:r>
                  <w:r>
                    <w:rPr>
                      <w:color w:val="231F20"/>
                      <w:spacing w:val="-28"/>
                      <w:w w:val="105"/>
                      <w:sz w:val="18"/>
                    </w:rPr>
                    <w:t> </w:t>
                  </w:r>
                  <w:r>
                    <w:rPr>
                      <w:color w:val="231F20"/>
                      <w:w w:val="105"/>
                      <w:sz w:val="18"/>
                    </w:rPr>
                    <w:t>blood</w:t>
                  </w:r>
                  <w:r>
                    <w:rPr>
                      <w:color w:val="231F20"/>
                      <w:spacing w:val="-27"/>
                      <w:w w:val="105"/>
                      <w:sz w:val="18"/>
                    </w:rPr>
                    <w:t> </w:t>
                  </w:r>
                  <w:r>
                    <w:rPr>
                      <w:color w:val="231F20"/>
                      <w:w w:val="105"/>
                      <w:sz w:val="18"/>
                    </w:rPr>
                    <w:t>volume</w:t>
                  </w:r>
                  <w:r>
                    <w:rPr>
                      <w:color w:val="231F20"/>
                      <w:spacing w:val="-27"/>
                      <w:w w:val="105"/>
                      <w:sz w:val="18"/>
                    </w:rPr>
                    <w:t> </w:t>
                  </w:r>
                  <w:r>
                    <w:rPr>
                      <w:color w:val="231F20"/>
                      <w:w w:val="105"/>
                      <w:sz w:val="18"/>
                    </w:rPr>
                    <w:t>as</w:t>
                  </w:r>
                  <w:r>
                    <w:rPr>
                      <w:color w:val="231F20"/>
                      <w:spacing w:val="-27"/>
                      <w:w w:val="105"/>
                      <w:sz w:val="18"/>
                    </w:rPr>
                    <w:t> </w:t>
                  </w:r>
                  <w:r>
                    <w:rPr>
                      <w:color w:val="231F20"/>
                      <w:w w:val="105"/>
                      <w:sz w:val="18"/>
                    </w:rPr>
                    <w:t>long as</w:t>
                  </w:r>
                  <w:r>
                    <w:rPr>
                      <w:color w:val="231F20"/>
                      <w:spacing w:val="-18"/>
                      <w:w w:val="105"/>
                      <w:sz w:val="18"/>
                    </w:rPr>
                    <w:t> </w:t>
                  </w:r>
                  <w:r>
                    <w:rPr>
                      <w:color w:val="231F20"/>
                      <w:w w:val="105"/>
                      <w:sz w:val="18"/>
                    </w:rPr>
                    <w:t>heart</w:t>
                  </w:r>
                  <w:r>
                    <w:rPr>
                      <w:color w:val="231F20"/>
                      <w:spacing w:val="-18"/>
                      <w:w w:val="105"/>
                      <w:sz w:val="18"/>
                    </w:rPr>
                    <w:t> </w:t>
                  </w:r>
                  <w:r>
                    <w:rPr>
                      <w:color w:val="231F20"/>
                      <w:w w:val="105"/>
                      <w:sz w:val="18"/>
                    </w:rPr>
                    <w:t>failure</w:t>
                  </w:r>
                  <w:r>
                    <w:rPr>
                      <w:color w:val="231F20"/>
                      <w:spacing w:val="-18"/>
                      <w:w w:val="105"/>
                      <w:sz w:val="18"/>
                    </w:rPr>
                    <w:t> </w:t>
                  </w:r>
                  <w:r>
                    <w:rPr>
                      <w:color w:val="231F20"/>
                      <w:w w:val="105"/>
                      <w:sz w:val="18"/>
                    </w:rPr>
                    <w:t>or</w:t>
                  </w:r>
                  <w:r>
                    <w:rPr>
                      <w:color w:val="231F20"/>
                      <w:spacing w:val="-18"/>
                      <w:w w:val="105"/>
                      <w:sz w:val="18"/>
                    </w:rPr>
                    <w:t> </w:t>
                  </w:r>
                  <w:r>
                    <w:rPr>
                      <w:color w:val="231F20"/>
                      <w:w w:val="105"/>
                      <w:sz w:val="18"/>
                    </w:rPr>
                    <w:t>kidney</w:t>
                  </w:r>
                  <w:r>
                    <w:rPr>
                      <w:color w:val="231F20"/>
                      <w:spacing w:val="-18"/>
                      <w:w w:val="105"/>
                      <w:sz w:val="18"/>
                    </w:rPr>
                    <w:t> </w:t>
                  </w:r>
                  <w:r>
                    <w:rPr>
                      <w:color w:val="231F20"/>
                      <w:w w:val="105"/>
                      <w:sz w:val="18"/>
                    </w:rPr>
                    <w:t>failure</w:t>
                  </w:r>
                  <w:r>
                    <w:rPr>
                      <w:color w:val="231F20"/>
                      <w:spacing w:val="-18"/>
                      <w:w w:val="105"/>
                      <w:sz w:val="18"/>
                    </w:rPr>
                    <w:t> </w:t>
                  </w:r>
                  <w:r>
                    <w:rPr>
                      <w:color w:val="231F20"/>
                      <w:w w:val="105"/>
                      <w:sz w:val="18"/>
                    </w:rPr>
                    <w:t>does</w:t>
                  </w:r>
                  <w:r>
                    <w:rPr>
                      <w:color w:val="231F20"/>
                      <w:spacing w:val="-18"/>
                      <w:w w:val="105"/>
                      <w:sz w:val="18"/>
                    </w:rPr>
                    <w:t> </w:t>
                  </w:r>
                  <w:r>
                    <w:rPr>
                      <w:color w:val="231F20"/>
                      <w:w w:val="105"/>
                      <w:sz w:val="18"/>
                    </w:rPr>
                    <w:t>not</w:t>
                  </w:r>
                  <w:r>
                    <w:rPr>
                      <w:color w:val="231F20"/>
                      <w:spacing w:val="-17"/>
                      <w:w w:val="105"/>
                      <w:sz w:val="18"/>
                    </w:rPr>
                    <w:t> </w:t>
                  </w:r>
                  <w:r>
                    <w:rPr>
                      <w:color w:val="231F20"/>
                      <w:spacing w:val="-3"/>
                      <w:w w:val="105"/>
                      <w:sz w:val="18"/>
                    </w:rPr>
                    <w:t>occur.</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reason for</w:t>
                  </w:r>
                  <w:r>
                    <w:rPr>
                      <w:color w:val="231F20"/>
                      <w:spacing w:val="-5"/>
                      <w:w w:val="105"/>
                      <w:sz w:val="18"/>
                    </w:rPr>
                    <w:t> </w:t>
                  </w:r>
                  <w:r>
                    <w:rPr>
                      <w:color w:val="231F20"/>
                      <w:w w:val="105"/>
                      <w:sz w:val="18"/>
                    </w:rPr>
                    <w:t>this</w:t>
                  </w:r>
                  <w:r>
                    <w:rPr>
                      <w:color w:val="231F20"/>
                      <w:spacing w:val="-6"/>
                      <w:w w:val="105"/>
                      <w:sz w:val="18"/>
                    </w:rPr>
                    <w:t> </w:t>
                  </w:r>
                  <w:r>
                    <w:rPr>
                      <w:color w:val="231F20"/>
                      <w:w w:val="105"/>
                      <w:sz w:val="18"/>
                    </w:rPr>
                    <w:t>phenomenon</w:t>
                  </w:r>
                  <w:r>
                    <w:rPr>
                      <w:color w:val="231F20"/>
                      <w:spacing w:val="-5"/>
                      <w:w w:val="105"/>
                      <w:sz w:val="18"/>
                    </w:rPr>
                    <w:t> </w:t>
                  </w:r>
                  <w:r>
                    <w:rPr>
                      <w:color w:val="231F20"/>
                      <w:w w:val="105"/>
                      <w:sz w:val="18"/>
                    </w:rPr>
                    <w:t>is</w:t>
                  </w:r>
                  <w:r>
                    <w:rPr>
                      <w:color w:val="231F20"/>
                      <w:spacing w:val="-5"/>
                      <w:w w:val="105"/>
                      <w:sz w:val="18"/>
                    </w:rPr>
                    <w:t> </w:t>
                  </w:r>
                  <w:r>
                    <w:rPr>
                      <w:color w:val="231F20"/>
                      <w:w w:val="105"/>
                      <w:sz w:val="18"/>
                    </w:rPr>
                    <w:t>that</w:t>
                  </w:r>
                  <w:r>
                    <w:rPr>
                      <w:color w:val="231F20"/>
                      <w:spacing w:val="-5"/>
                      <w:w w:val="105"/>
                      <w:sz w:val="18"/>
                    </w:rPr>
                    <w:t> </w:t>
                  </w:r>
                  <w:r>
                    <w:rPr>
                      <w:color w:val="231F20"/>
                      <w:w w:val="105"/>
                      <w:sz w:val="18"/>
                    </w:rPr>
                    <w:t>with</w:t>
                  </w:r>
                  <w:r>
                    <w:rPr>
                      <w:color w:val="231F20"/>
                      <w:spacing w:val="-5"/>
                      <w:w w:val="105"/>
                      <w:sz w:val="18"/>
                    </w:rPr>
                    <w:t> </w:t>
                  </w:r>
                  <w:r>
                    <w:rPr>
                      <w:color w:val="231F20"/>
                      <w:w w:val="105"/>
                      <w:sz w:val="18"/>
                    </w:rPr>
                    <w:t>large</w:t>
                  </w:r>
                  <w:r>
                    <w:rPr>
                      <w:color w:val="231F20"/>
                      <w:spacing w:val="-5"/>
                      <w:w w:val="105"/>
                      <w:sz w:val="18"/>
                    </w:rPr>
                    <w:t> </w:t>
                  </w:r>
                  <w:r>
                    <w:rPr>
                      <w:color w:val="231F20"/>
                      <w:w w:val="105"/>
                      <w:sz w:val="18"/>
                    </w:rPr>
                    <w:t>increases</w:t>
                  </w:r>
                  <w:r>
                    <w:rPr>
                      <w:color w:val="231F20"/>
                      <w:spacing w:val="-5"/>
                      <w:w w:val="105"/>
                      <w:sz w:val="18"/>
                    </w:rPr>
                    <w:t> </w:t>
                  </w:r>
                  <w:r>
                    <w:rPr>
                      <w:color w:val="231F20"/>
                      <w:w w:val="105"/>
                      <w:sz w:val="18"/>
                    </w:rPr>
                    <w:t>in</w:t>
                  </w:r>
                  <w:r>
                    <w:rPr>
                      <w:color w:val="231F20"/>
                      <w:spacing w:val="-5"/>
                      <w:w w:val="105"/>
                      <w:sz w:val="18"/>
                    </w:rPr>
                    <w:t> </w:t>
                  </w:r>
                  <w:r>
                    <w:rPr>
                      <w:color w:val="231F20"/>
                      <w:w w:val="105"/>
                      <w:sz w:val="18"/>
                    </w:rPr>
                    <w:t>Ang</w:t>
                  </w:r>
                  <w:r>
                    <w:rPr>
                      <w:color w:val="231F20"/>
                      <w:spacing w:val="-5"/>
                      <w:w w:val="105"/>
                      <w:sz w:val="18"/>
                    </w:rPr>
                    <w:t> </w:t>
                  </w:r>
                  <w:r>
                    <w:rPr>
                      <w:color w:val="231F20"/>
                      <w:w w:val="105"/>
                      <w:sz w:val="18"/>
                    </w:rPr>
                    <w:t>II levels,</w:t>
                  </w:r>
                  <w:r>
                    <w:rPr>
                      <w:color w:val="231F20"/>
                      <w:spacing w:val="-23"/>
                      <w:w w:val="105"/>
                      <w:sz w:val="18"/>
                    </w:rPr>
                    <w:t> </w:t>
                  </w:r>
                  <w:r>
                    <w:rPr>
                      <w:color w:val="231F20"/>
                      <w:w w:val="105"/>
                      <w:sz w:val="18"/>
                    </w:rPr>
                    <w:t>as</w:t>
                  </w:r>
                  <w:r>
                    <w:rPr>
                      <w:color w:val="231F20"/>
                      <w:spacing w:val="-23"/>
                      <w:w w:val="105"/>
                      <w:sz w:val="18"/>
                    </w:rPr>
                    <w:t> </w:t>
                  </w:r>
                  <w:r>
                    <w:rPr>
                      <w:color w:val="231F20"/>
                      <w:w w:val="105"/>
                      <w:sz w:val="18"/>
                    </w:rPr>
                    <w:t>occurs</w:t>
                  </w:r>
                  <w:r>
                    <w:rPr>
                      <w:color w:val="231F20"/>
                      <w:spacing w:val="-23"/>
                      <w:w w:val="105"/>
                      <w:sz w:val="18"/>
                    </w:rPr>
                    <w:t> </w:t>
                  </w:r>
                  <w:r>
                    <w:rPr>
                      <w:color w:val="231F20"/>
                      <w:w w:val="105"/>
                      <w:sz w:val="18"/>
                    </w:rPr>
                    <w:t>with</w:t>
                  </w:r>
                  <w:r>
                    <w:rPr>
                      <w:color w:val="231F20"/>
                      <w:spacing w:val="-23"/>
                      <w:w w:val="105"/>
                      <w:sz w:val="18"/>
                    </w:rPr>
                    <w:t> </w:t>
                  </w:r>
                  <w:r>
                    <w:rPr>
                      <w:color w:val="231F20"/>
                      <w:w w:val="105"/>
                      <w:sz w:val="18"/>
                    </w:rPr>
                    <w:t>a</w:t>
                  </w:r>
                  <w:r>
                    <w:rPr>
                      <w:color w:val="231F20"/>
                      <w:spacing w:val="-23"/>
                      <w:w w:val="105"/>
                      <w:sz w:val="18"/>
                    </w:rPr>
                    <w:t> </w:t>
                  </w:r>
                  <w:r>
                    <w:rPr>
                      <w:color w:val="231F20"/>
                      <w:w w:val="105"/>
                      <w:sz w:val="18"/>
                    </w:rPr>
                    <w:t>renin-secreting</w:t>
                  </w:r>
                  <w:r>
                    <w:rPr>
                      <w:color w:val="231F20"/>
                      <w:spacing w:val="-23"/>
                      <w:w w:val="105"/>
                      <w:sz w:val="18"/>
                    </w:rPr>
                    <w:t> </w:t>
                  </w:r>
                  <w:r>
                    <w:rPr>
                      <w:color w:val="231F20"/>
                      <w:w w:val="105"/>
                      <w:sz w:val="18"/>
                    </w:rPr>
                    <w:t>tumor</w:t>
                  </w:r>
                  <w:r>
                    <w:rPr>
                      <w:color w:val="231F20"/>
                      <w:spacing w:val="-23"/>
                      <w:w w:val="105"/>
                      <w:sz w:val="18"/>
                    </w:rPr>
                    <w:t> </w:t>
                  </w:r>
                  <w:r>
                    <w:rPr>
                      <w:color w:val="231F20"/>
                      <w:w w:val="105"/>
                      <w:sz w:val="18"/>
                    </w:rPr>
                    <w:t>of</w:t>
                  </w:r>
                  <w:r>
                    <w:rPr>
                      <w:color w:val="231F20"/>
                      <w:spacing w:val="-23"/>
                      <w:w w:val="105"/>
                      <w:sz w:val="18"/>
                    </w:rPr>
                    <w:t> </w:t>
                  </w:r>
                  <w:r>
                    <w:rPr>
                      <w:color w:val="231F20"/>
                      <w:w w:val="105"/>
                      <w:sz w:val="18"/>
                    </w:rPr>
                    <w:t>the</w:t>
                  </w:r>
                  <w:r>
                    <w:rPr>
                      <w:color w:val="231F20"/>
                      <w:spacing w:val="-23"/>
                      <w:w w:val="105"/>
                      <w:sz w:val="18"/>
                    </w:rPr>
                    <w:t> </w:t>
                  </w:r>
                  <w:r>
                    <w:rPr>
                      <w:color w:val="231F20"/>
                      <w:w w:val="105"/>
                      <w:sz w:val="18"/>
                    </w:rPr>
                    <w:t>kidney, the high Ang II levels initially cause sodium and </w:t>
                  </w:r>
                  <w:r>
                    <w:rPr>
                      <w:color w:val="231F20"/>
                      <w:spacing w:val="-4"/>
                      <w:w w:val="105"/>
                      <w:sz w:val="18"/>
                    </w:rPr>
                    <w:t>water </w:t>
                  </w:r>
                  <w:r>
                    <w:rPr>
                      <w:color w:val="231F20"/>
                      <w:w w:val="105"/>
                      <w:sz w:val="18"/>
                    </w:rPr>
                    <w:t>retention by the kidneys and a small increase in extracel- lular</w:t>
                  </w:r>
                  <w:r>
                    <w:rPr>
                      <w:color w:val="231F20"/>
                      <w:spacing w:val="-14"/>
                      <w:w w:val="105"/>
                      <w:sz w:val="18"/>
                    </w:rPr>
                    <w:t> </w:t>
                  </w:r>
                  <w:r>
                    <w:rPr>
                      <w:color w:val="231F20"/>
                      <w:w w:val="105"/>
                      <w:sz w:val="18"/>
                    </w:rPr>
                    <w:t>fluid</w:t>
                  </w:r>
                  <w:r>
                    <w:rPr>
                      <w:color w:val="231F20"/>
                      <w:spacing w:val="-13"/>
                      <w:w w:val="105"/>
                      <w:sz w:val="18"/>
                    </w:rPr>
                    <w:t> </w:t>
                  </w:r>
                  <w:r>
                    <w:rPr>
                      <w:color w:val="231F20"/>
                      <w:w w:val="105"/>
                      <w:sz w:val="18"/>
                    </w:rPr>
                    <w:t>volume.</w:t>
                  </w:r>
                  <w:r>
                    <w:rPr>
                      <w:color w:val="231F20"/>
                      <w:spacing w:val="-14"/>
                      <w:w w:val="105"/>
                      <w:sz w:val="18"/>
                    </w:rPr>
                    <w:t> </w:t>
                  </w:r>
                  <w:r>
                    <w:rPr>
                      <w:color w:val="231F20"/>
                      <w:w w:val="105"/>
                      <w:sz w:val="18"/>
                    </w:rPr>
                    <w:t>This</w:t>
                  </w:r>
                  <w:r>
                    <w:rPr>
                      <w:color w:val="231F20"/>
                      <w:spacing w:val="-13"/>
                      <w:w w:val="105"/>
                      <w:sz w:val="18"/>
                    </w:rPr>
                    <w:t> </w:t>
                  </w:r>
                  <w:r>
                    <w:rPr>
                      <w:color w:val="231F20"/>
                      <w:w w:val="105"/>
                      <w:sz w:val="18"/>
                    </w:rPr>
                    <w:t>also</w:t>
                  </w:r>
                  <w:r>
                    <w:rPr>
                      <w:color w:val="231F20"/>
                      <w:spacing w:val="-14"/>
                      <w:w w:val="105"/>
                      <w:sz w:val="18"/>
                    </w:rPr>
                    <w:t> </w:t>
                  </w:r>
                  <w:r>
                    <w:rPr>
                      <w:color w:val="231F20"/>
                      <w:w w:val="105"/>
                      <w:sz w:val="18"/>
                    </w:rPr>
                    <w:t>initiates</w:t>
                  </w:r>
                  <w:r>
                    <w:rPr>
                      <w:color w:val="231F20"/>
                      <w:spacing w:val="-13"/>
                      <w:w w:val="105"/>
                      <w:sz w:val="18"/>
                    </w:rPr>
                    <w:t> </w:t>
                  </w:r>
                  <w:r>
                    <w:rPr>
                      <w:color w:val="231F20"/>
                      <w:w w:val="105"/>
                      <w:sz w:val="18"/>
                    </w:rPr>
                    <w:t>a</w:t>
                  </w:r>
                  <w:r>
                    <w:rPr>
                      <w:color w:val="231F20"/>
                      <w:spacing w:val="-14"/>
                      <w:w w:val="105"/>
                      <w:sz w:val="18"/>
                    </w:rPr>
                    <w:t> </w:t>
                  </w:r>
                  <w:r>
                    <w:rPr>
                      <w:color w:val="231F20"/>
                      <w:w w:val="105"/>
                      <w:sz w:val="18"/>
                    </w:rPr>
                    <w:t>rise</w:t>
                  </w:r>
                  <w:r>
                    <w:rPr>
                      <w:color w:val="231F20"/>
                      <w:spacing w:val="-13"/>
                      <w:w w:val="105"/>
                      <w:sz w:val="18"/>
                    </w:rPr>
                    <w:t> </w:t>
                  </w:r>
                  <w:r>
                    <w:rPr>
                      <w:color w:val="231F20"/>
                      <w:w w:val="105"/>
                      <w:sz w:val="18"/>
                    </w:rPr>
                    <w:t>in</w:t>
                  </w:r>
                  <w:r>
                    <w:rPr>
                      <w:color w:val="231F20"/>
                      <w:spacing w:val="-14"/>
                      <w:w w:val="105"/>
                      <w:sz w:val="18"/>
                    </w:rPr>
                    <w:t> </w:t>
                  </w:r>
                  <w:r>
                    <w:rPr>
                      <w:color w:val="231F20"/>
                      <w:w w:val="105"/>
                      <w:sz w:val="18"/>
                    </w:rPr>
                    <w:t>arterial</w:t>
                  </w:r>
                  <w:r>
                    <w:rPr>
                      <w:color w:val="231F20"/>
                      <w:spacing w:val="-13"/>
                      <w:w w:val="105"/>
                      <w:sz w:val="18"/>
                    </w:rPr>
                    <w:t> </w:t>
                  </w:r>
                  <w:r>
                    <w:rPr>
                      <w:color w:val="231F20"/>
                      <w:w w:val="105"/>
                      <w:sz w:val="18"/>
                    </w:rPr>
                    <w:t>pres- sure that quickly increases kidney output of sodium and </w:t>
                  </w:r>
                  <w:r>
                    <w:rPr>
                      <w:color w:val="231F20"/>
                      <w:spacing w:val="-3"/>
                      <w:w w:val="105"/>
                      <w:sz w:val="18"/>
                    </w:rPr>
                    <w:t>water,</w:t>
                  </w:r>
                  <w:r>
                    <w:rPr>
                      <w:color w:val="231F20"/>
                      <w:spacing w:val="-28"/>
                      <w:w w:val="105"/>
                      <w:sz w:val="18"/>
                    </w:rPr>
                    <w:t> </w:t>
                  </w:r>
                  <w:r>
                    <w:rPr>
                      <w:color w:val="231F20"/>
                      <w:w w:val="105"/>
                      <w:sz w:val="18"/>
                    </w:rPr>
                    <w:t>thereby</w:t>
                  </w:r>
                  <w:r>
                    <w:rPr>
                      <w:color w:val="231F20"/>
                      <w:spacing w:val="-28"/>
                      <w:w w:val="105"/>
                      <w:sz w:val="18"/>
                    </w:rPr>
                    <w:t> </w:t>
                  </w:r>
                  <w:r>
                    <w:rPr>
                      <w:color w:val="231F20"/>
                      <w:w w:val="105"/>
                      <w:sz w:val="18"/>
                    </w:rPr>
                    <w:t>overcoming</w:t>
                  </w:r>
                  <w:r>
                    <w:rPr>
                      <w:color w:val="231F20"/>
                      <w:spacing w:val="-28"/>
                      <w:w w:val="105"/>
                      <w:sz w:val="18"/>
                    </w:rPr>
                    <w:t> </w:t>
                  </w:r>
                  <w:r>
                    <w:rPr>
                      <w:color w:val="231F20"/>
                      <w:w w:val="105"/>
                      <w:sz w:val="18"/>
                    </w:rPr>
                    <w:t>the</w:t>
                  </w:r>
                  <w:r>
                    <w:rPr>
                      <w:color w:val="231F20"/>
                      <w:spacing w:val="-27"/>
                      <w:w w:val="105"/>
                      <w:sz w:val="18"/>
                    </w:rPr>
                    <w:t> </w:t>
                  </w:r>
                  <w:r>
                    <w:rPr>
                      <w:color w:val="231F20"/>
                      <w:w w:val="105"/>
                      <w:sz w:val="18"/>
                    </w:rPr>
                    <w:t>sodium-</w:t>
                  </w:r>
                  <w:r>
                    <w:rPr>
                      <w:color w:val="231F20"/>
                      <w:spacing w:val="-28"/>
                      <w:w w:val="105"/>
                      <w:sz w:val="18"/>
                    </w:rPr>
                    <w:t> </w:t>
                  </w:r>
                  <w:r>
                    <w:rPr>
                      <w:color w:val="231F20"/>
                      <w:w w:val="105"/>
                      <w:sz w:val="18"/>
                    </w:rPr>
                    <w:t>and</w:t>
                  </w:r>
                  <w:r>
                    <w:rPr>
                      <w:color w:val="231F20"/>
                      <w:spacing w:val="-28"/>
                      <w:w w:val="105"/>
                      <w:sz w:val="18"/>
                    </w:rPr>
                    <w:t> </w:t>
                  </w:r>
                  <w:r>
                    <w:rPr>
                      <w:color w:val="231F20"/>
                      <w:w w:val="105"/>
                      <w:sz w:val="18"/>
                    </w:rPr>
                    <w:t>water-retaining effects</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the</w:t>
                  </w:r>
                  <w:r>
                    <w:rPr>
                      <w:color w:val="231F20"/>
                      <w:spacing w:val="-14"/>
                      <w:w w:val="105"/>
                      <w:sz w:val="18"/>
                    </w:rPr>
                    <w:t> </w:t>
                  </w:r>
                  <w:r>
                    <w:rPr>
                      <w:color w:val="231F20"/>
                      <w:w w:val="105"/>
                      <w:sz w:val="18"/>
                    </w:rPr>
                    <w:t>Ang</w:t>
                  </w:r>
                  <w:r>
                    <w:rPr>
                      <w:color w:val="231F20"/>
                      <w:spacing w:val="-15"/>
                      <w:w w:val="105"/>
                      <w:sz w:val="18"/>
                    </w:rPr>
                    <w:t> </w:t>
                  </w:r>
                  <w:r>
                    <w:rPr>
                      <w:color w:val="231F20"/>
                      <w:w w:val="105"/>
                      <w:sz w:val="18"/>
                    </w:rPr>
                    <w:t>II</w:t>
                  </w:r>
                  <w:r>
                    <w:rPr>
                      <w:color w:val="231F20"/>
                      <w:spacing w:val="-14"/>
                      <w:w w:val="105"/>
                      <w:sz w:val="18"/>
                    </w:rPr>
                    <w:t> </w:t>
                  </w:r>
                  <w:r>
                    <w:rPr>
                      <w:color w:val="231F20"/>
                      <w:w w:val="105"/>
                      <w:sz w:val="18"/>
                    </w:rPr>
                    <w:t>and</w:t>
                  </w:r>
                  <w:r>
                    <w:rPr>
                      <w:color w:val="231F20"/>
                      <w:spacing w:val="-15"/>
                      <w:w w:val="105"/>
                      <w:sz w:val="18"/>
                    </w:rPr>
                    <w:t> </w:t>
                  </w:r>
                  <w:r>
                    <w:rPr>
                      <w:color w:val="231F20"/>
                      <w:w w:val="105"/>
                      <w:sz w:val="18"/>
                    </w:rPr>
                    <w:t>re-establishing</w:t>
                  </w:r>
                  <w:r>
                    <w:rPr>
                      <w:color w:val="231F20"/>
                      <w:spacing w:val="-14"/>
                      <w:w w:val="105"/>
                      <w:sz w:val="18"/>
                    </w:rPr>
                    <w:t> </w:t>
                  </w:r>
                  <w:r>
                    <w:rPr>
                      <w:color w:val="231F20"/>
                      <w:w w:val="105"/>
                      <w:sz w:val="18"/>
                    </w:rPr>
                    <w:t>a</w:t>
                  </w:r>
                  <w:r>
                    <w:rPr>
                      <w:color w:val="231F20"/>
                      <w:spacing w:val="-15"/>
                      <w:w w:val="105"/>
                      <w:sz w:val="18"/>
                    </w:rPr>
                    <w:t> </w:t>
                  </w:r>
                  <w:r>
                    <w:rPr>
                      <w:color w:val="231F20"/>
                      <w:w w:val="105"/>
                      <w:sz w:val="18"/>
                    </w:rPr>
                    <w:t>balance</w:t>
                  </w:r>
                  <w:r>
                    <w:rPr>
                      <w:color w:val="231F20"/>
                      <w:spacing w:val="-15"/>
                      <w:w w:val="105"/>
                      <w:sz w:val="18"/>
                    </w:rPr>
                    <w:t> </w:t>
                  </w:r>
                  <w:r>
                    <w:rPr>
                      <w:color w:val="231F20"/>
                      <w:w w:val="105"/>
                      <w:sz w:val="18"/>
                    </w:rPr>
                    <w:t>between intake and output of sodium at a higher blood </w:t>
                  </w:r>
                  <w:r>
                    <w:rPr>
                      <w:color w:val="231F20"/>
                      <w:spacing w:val="-3"/>
                      <w:w w:val="105"/>
                      <w:sz w:val="18"/>
                    </w:rPr>
                    <w:t>pressure. </w:t>
                  </w:r>
                  <w:r>
                    <w:rPr>
                      <w:color w:val="231F20"/>
                      <w:w w:val="105"/>
                      <w:sz w:val="18"/>
                    </w:rPr>
                    <w:t>Conversely,</w:t>
                  </w:r>
                  <w:r>
                    <w:rPr>
                      <w:color w:val="231F20"/>
                      <w:spacing w:val="-7"/>
                      <w:w w:val="105"/>
                      <w:sz w:val="18"/>
                    </w:rPr>
                    <w:t> </w:t>
                  </w:r>
                  <w:r>
                    <w:rPr>
                      <w:color w:val="231F20"/>
                      <w:w w:val="105"/>
                      <w:sz w:val="18"/>
                    </w:rPr>
                    <w:t>after</w:t>
                  </w:r>
                  <w:r>
                    <w:rPr>
                      <w:color w:val="231F20"/>
                      <w:spacing w:val="-7"/>
                      <w:w w:val="105"/>
                      <w:sz w:val="18"/>
                    </w:rPr>
                    <w:t> </w:t>
                  </w:r>
                  <w:r>
                    <w:rPr>
                      <w:color w:val="231F20"/>
                      <w:w w:val="105"/>
                      <w:sz w:val="18"/>
                    </w:rPr>
                    <w:t>blockade</w:t>
                  </w:r>
                  <w:r>
                    <w:rPr>
                      <w:color w:val="231F20"/>
                      <w:spacing w:val="-6"/>
                      <w:w w:val="105"/>
                      <w:sz w:val="18"/>
                    </w:rPr>
                    <w:t> </w:t>
                  </w:r>
                  <w:r>
                    <w:rPr>
                      <w:color w:val="231F20"/>
                      <w:w w:val="105"/>
                      <w:sz w:val="18"/>
                    </w:rPr>
                    <w:t>of</w:t>
                  </w:r>
                  <w:r>
                    <w:rPr>
                      <w:color w:val="231F20"/>
                      <w:spacing w:val="-7"/>
                      <w:w w:val="105"/>
                      <w:sz w:val="18"/>
                    </w:rPr>
                    <w:t> </w:t>
                  </w:r>
                  <w:r>
                    <w:rPr>
                      <w:color w:val="231F20"/>
                      <w:w w:val="105"/>
                      <w:sz w:val="18"/>
                    </w:rPr>
                    <w:t>Ang</w:t>
                  </w:r>
                  <w:r>
                    <w:rPr>
                      <w:color w:val="231F20"/>
                      <w:spacing w:val="-6"/>
                      <w:w w:val="105"/>
                      <w:sz w:val="18"/>
                    </w:rPr>
                    <w:t> </w:t>
                  </w:r>
                  <w:r>
                    <w:rPr>
                      <w:color w:val="231F20"/>
                      <w:w w:val="105"/>
                      <w:sz w:val="18"/>
                    </w:rPr>
                    <w:t>II</w:t>
                  </w:r>
                  <w:r>
                    <w:rPr>
                      <w:color w:val="231F20"/>
                      <w:spacing w:val="-7"/>
                      <w:w w:val="105"/>
                      <w:sz w:val="18"/>
                    </w:rPr>
                    <w:t> </w:t>
                  </w:r>
                  <w:r>
                    <w:rPr>
                      <w:color w:val="231F20"/>
                      <w:w w:val="105"/>
                      <w:sz w:val="18"/>
                    </w:rPr>
                    <w:t>formation,</w:t>
                  </w:r>
                  <w:r>
                    <w:rPr>
                      <w:color w:val="231F20"/>
                      <w:spacing w:val="-6"/>
                      <w:w w:val="105"/>
                      <w:sz w:val="18"/>
                    </w:rPr>
                    <w:t> </w:t>
                  </w:r>
                  <w:r>
                    <w:rPr>
                      <w:color w:val="231F20"/>
                      <w:w w:val="105"/>
                      <w:sz w:val="18"/>
                    </w:rPr>
                    <w:t>as</w:t>
                  </w:r>
                  <w:r>
                    <w:rPr>
                      <w:color w:val="231F20"/>
                      <w:spacing w:val="-7"/>
                      <w:w w:val="105"/>
                      <w:sz w:val="18"/>
                    </w:rPr>
                    <w:t> </w:t>
                  </w:r>
                  <w:r>
                    <w:rPr>
                      <w:color w:val="231F20"/>
                      <w:w w:val="105"/>
                      <w:sz w:val="18"/>
                    </w:rPr>
                    <w:t>occurs when an angiotensin-converting enzyme inhibitor is administered,</w:t>
                  </w:r>
                  <w:r>
                    <w:rPr>
                      <w:color w:val="231F20"/>
                      <w:spacing w:val="-7"/>
                      <w:w w:val="105"/>
                      <w:sz w:val="18"/>
                    </w:rPr>
                    <w:t> </w:t>
                  </w:r>
                  <w:r>
                    <w:rPr>
                      <w:color w:val="231F20"/>
                      <w:w w:val="105"/>
                      <w:sz w:val="18"/>
                    </w:rPr>
                    <w:t>there</w:t>
                  </w:r>
                  <w:r>
                    <w:rPr>
                      <w:color w:val="231F20"/>
                      <w:spacing w:val="-6"/>
                      <w:w w:val="105"/>
                      <w:sz w:val="18"/>
                    </w:rPr>
                    <w:t> </w:t>
                  </w:r>
                  <w:r>
                    <w:rPr>
                      <w:color w:val="231F20"/>
                      <w:w w:val="105"/>
                      <w:sz w:val="18"/>
                    </w:rPr>
                    <w:t>is</w:t>
                  </w:r>
                  <w:r>
                    <w:rPr>
                      <w:color w:val="231F20"/>
                      <w:spacing w:val="-6"/>
                      <w:w w:val="105"/>
                      <w:sz w:val="18"/>
                    </w:rPr>
                    <w:t> </w:t>
                  </w:r>
                  <w:r>
                    <w:rPr>
                      <w:color w:val="231F20"/>
                      <w:w w:val="105"/>
                      <w:sz w:val="18"/>
                    </w:rPr>
                    <w:t>initial</w:t>
                  </w:r>
                  <w:r>
                    <w:rPr>
                      <w:color w:val="231F20"/>
                      <w:spacing w:val="-6"/>
                      <w:w w:val="105"/>
                      <w:sz w:val="18"/>
                    </w:rPr>
                    <w:t> </w:t>
                  </w:r>
                  <w:r>
                    <w:rPr>
                      <w:color w:val="231F20"/>
                      <w:w w:val="105"/>
                      <w:sz w:val="18"/>
                    </w:rPr>
                    <w:t>loss</w:t>
                  </w:r>
                  <w:r>
                    <w:rPr>
                      <w:color w:val="231F20"/>
                      <w:spacing w:val="-7"/>
                      <w:w w:val="105"/>
                      <w:sz w:val="18"/>
                    </w:rPr>
                    <w:t> </w:t>
                  </w:r>
                  <w:r>
                    <w:rPr>
                      <w:color w:val="231F20"/>
                      <w:w w:val="105"/>
                      <w:sz w:val="18"/>
                    </w:rPr>
                    <w:t>of</w:t>
                  </w:r>
                  <w:r>
                    <w:rPr>
                      <w:color w:val="231F20"/>
                      <w:spacing w:val="-6"/>
                      <w:w w:val="105"/>
                      <w:sz w:val="18"/>
                    </w:rPr>
                    <w:t> </w:t>
                  </w:r>
                  <w:r>
                    <w:rPr>
                      <w:color w:val="231F20"/>
                      <w:w w:val="105"/>
                      <w:sz w:val="18"/>
                    </w:rPr>
                    <w:t>sodium</w:t>
                  </w:r>
                  <w:r>
                    <w:rPr>
                      <w:color w:val="231F20"/>
                      <w:spacing w:val="-6"/>
                      <w:w w:val="105"/>
                      <w:sz w:val="18"/>
                    </w:rPr>
                    <w:t> </w:t>
                  </w:r>
                  <w:r>
                    <w:rPr>
                      <w:color w:val="231F20"/>
                      <w:w w:val="105"/>
                      <w:sz w:val="18"/>
                    </w:rPr>
                    <w:t>and</w:t>
                  </w:r>
                  <w:r>
                    <w:rPr>
                      <w:color w:val="231F20"/>
                      <w:spacing w:val="-6"/>
                      <w:w w:val="105"/>
                      <w:sz w:val="18"/>
                    </w:rPr>
                    <w:t> </w:t>
                  </w:r>
                  <w:r>
                    <w:rPr>
                      <w:color w:val="231F20"/>
                      <w:spacing w:val="-3"/>
                      <w:w w:val="105"/>
                      <w:sz w:val="18"/>
                    </w:rPr>
                    <w:t>water,</w:t>
                  </w:r>
                  <w:r>
                    <w:rPr>
                      <w:color w:val="231F20"/>
                      <w:spacing w:val="-7"/>
                      <w:w w:val="105"/>
                      <w:sz w:val="18"/>
                    </w:rPr>
                    <w:t> </w:t>
                  </w:r>
                  <w:r>
                    <w:rPr>
                      <w:color w:val="231F20"/>
                      <w:w w:val="105"/>
                      <w:sz w:val="18"/>
                    </w:rPr>
                    <w:t>but the fall in blood pressure rapidly offsets this effect and sodium excretion is once again restored to</w:t>
                  </w:r>
                  <w:r>
                    <w:rPr>
                      <w:color w:val="231F20"/>
                      <w:spacing w:val="1"/>
                      <w:w w:val="105"/>
                      <w:sz w:val="18"/>
                    </w:rPr>
                    <w:t> </w:t>
                  </w:r>
                  <w:r>
                    <w:rPr>
                      <w:color w:val="231F20"/>
                      <w:w w:val="105"/>
                      <w:sz w:val="18"/>
                    </w:rPr>
                    <w:t>normal.</w:t>
                  </w:r>
                </w:p>
                <w:p>
                  <w:pPr>
                    <w:spacing w:line="254" w:lineRule="auto" w:before="7"/>
                    <w:ind w:left="180" w:right="177" w:firstLine="239"/>
                    <w:jc w:val="both"/>
                    <w:rPr>
                      <w:sz w:val="18"/>
                    </w:rPr>
                  </w:pPr>
                  <w:r>
                    <w:rPr>
                      <w:color w:val="231F20"/>
                      <w:sz w:val="18"/>
                    </w:rPr>
                    <w:t>If the heart is weakened or there is underlying heart disease, cardiac pumping ability may not be great enough</w:t>
                  </w:r>
                </w:p>
              </w:txbxContent>
            </v:textbox>
            <v:fill type="solid"/>
            <w10:wrap type="none"/>
          </v:shape>
        </w:pict>
      </w:r>
      <w:r>
        <w:rPr/>
        <w:pict>
          <v:shape style="position:absolute;margin-left:72.243698pt;margin-top:10.783036pt;width:21.2pt;height:100.25pt;mso-position-horizontal-relative:page;mso-position-vertical-relative:paragraph;z-index:252692480" type="#_x0000_t202" filled="false" stroked="false">
            <v:textbox inset="0,0,0,0" style="layout-flow:vertical;mso-layout-flow-alt:bottom-to-top">
              <w:txbxContent>
                <w:p>
                  <w:pPr>
                    <w:spacing w:line="235" w:lineRule="auto" w:before="27"/>
                    <w:ind w:left="616" w:right="1" w:hanging="597"/>
                    <w:jc w:val="left"/>
                    <w:rPr>
                      <w:rFonts w:ascii="Helvetica" w:hAnsi="Helvetica"/>
                      <w:b/>
                      <w:sz w:val="16"/>
                    </w:rPr>
                  </w:pPr>
                  <w:r>
                    <w:rPr>
                      <w:rFonts w:ascii="Helvetica" w:hAnsi="Helvetica"/>
                      <w:b/>
                      <w:color w:val="231F20"/>
                      <w:sz w:val="16"/>
                    </w:rPr>
                    <w:t>Sodium intake and output (</w:t>
                  </w:r>
                  <w:r>
                    <w:rPr>
                      <w:rFonts w:ascii="Ink Free" w:hAnsi="Ink Free"/>
                      <w:color w:val="231F20"/>
                      <w:sz w:val="16"/>
                    </w:rPr>
                    <w:t>¥ </w:t>
                  </w:r>
                  <w:r>
                    <w:rPr>
                      <w:rFonts w:ascii="Helvetica" w:hAnsi="Helvetica"/>
                      <w:b/>
                      <w:color w:val="231F20"/>
                      <w:sz w:val="16"/>
                    </w:rPr>
                    <w:t>normal)</w:t>
                  </w:r>
                </w:p>
              </w:txbxContent>
            </v:textbox>
            <w10:wrap type="none"/>
          </v:shape>
        </w:pict>
      </w:r>
      <w:r>
        <w:rPr>
          <w:rFonts w:ascii="Helvetica"/>
          <w:color w:val="231F20"/>
          <w:w w:val="99"/>
          <w:sz w:val="16"/>
        </w:rPr>
        <w:t>1</w:t>
      </w:r>
    </w:p>
    <w:p>
      <w:pPr>
        <w:spacing w:before="158"/>
        <w:ind w:left="1907" w:right="0" w:firstLine="0"/>
        <w:jc w:val="left"/>
        <w:rPr>
          <w:rFonts w:ascii="Helvetica"/>
          <w:sz w:val="16"/>
        </w:rPr>
      </w:pPr>
      <w:r>
        <w:rPr>
          <w:rFonts w:ascii="Helvetica"/>
          <w:color w:val="231F20"/>
          <w:w w:val="99"/>
          <w:sz w:val="16"/>
        </w:rPr>
        <w:t>1</w:t>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3"/>
        <w:rPr>
          <w:rFonts w:ascii="Helvetica"/>
          <w:sz w:val="18"/>
        </w:rPr>
      </w:pPr>
    </w:p>
    <w:p>
      <w:pPr>
        <w:spacing w:after="0"/>
        <w:rPr>
          <w:rFonts w:ascii="Helvetica"/>
          <w:sz w:val="18"/>
        </w:rPr>
        <w:sectPr>
          <w:type w:val="continuous"/>
          <w:pgSz w:w="12240" w:h="15660"/>
          <w:pgMar w:top="0" w:bottom="760" w:left="0" w:right="0"/>
        </w:sectPr>
      </w:pPr>
    </w:p>
    <w:p>
      <w:pPr>
        <w:tabs>
          <w:tab w:pos="726" w:val="left" w:leader="none"/>
        </w:tabs>
        <w:spacing w:before="99"/>
        <w:ind w:left="0" w:right="0" w:firstLine="0"/>
        <w:jc w:val="right"/>
        <w:rPr>
          <w:rFonts w:ascii="Helvetica"/>
          <w:sz w:val="16"/>
        </w:rPr>
      </w:pPr>
      <w:r>
        <w:rPr>
          <w:rFonts w:ascii="Helvetica"/>
          <w:color w:val="231F20"/>
          <w:sz w:val="16"/>
        </w:rPr>
        <w:t>0</w:t>
        <w:tab/>
      </w:r>
      <w:r>
        <w:rPr>
          <w:rFonts w:ascii="Helvetica"/>
          <w:color w:val="231F20"/>
          <w:w w:val="95"/>
          <w:sz w:val="16"/>
        </w:rPr>
        <w:t>60</w:t>
      </w:r>
    </w:p>
    <w:p>
      <w:pPr>
        <w:tabs>
          <w:tab w:pos="937" w:val="left" w:leader="none"/>
          <w:tab w:pos="1526" w:val="left" w:leader="none"/>
          <w:tab w:pos="2126" w:val="left" w:leader="none"/>
          <w:tab w:pos="2726" w:val="left" w:leader="none"/>
        </w:tabs>
        <w:spacing w:before="99"/>
        <w:ind w:left="382" w:right="0" w:firstLine="0"/>
        <w:jc w:val="left"/>
        <w:rPr>
          <w:rFonts w:ascii="Helvetica"/>
          <w:sz w:val="16"/>
        </w:rPr>
      </w:pPr>
      <w:r>
        <w:rPr/>
        <w:br w:type="column"/>
      </w:r>
      <w:r>
        <w:rPr>
          <w:rFonts w:ascii="Helvetica"/>
          <w:color w:val="231F20"/>
          <w:sz w:val="16"/>
        </w:rPr>
        <w:t>80</w:t>
        <w:tab/>
        <w:t>100</w:t>
        <w:tab/>
        <w:t>120</w:t>
        <w:tab/>
        <w:t>140</w:t>
        <w:tab/>
        <w:t>160</w:t>
      </w:r>
    </w:p>
    <w:p>
      <w:pPr>
        <w:spacing w:before="55"/>
        <w:ind w:left="25" w:right="0" w:firstLine="0"/>
        <w:jc w:val="left"/>
        <w:rPr>
          <w:rFonts w:ascii="Helvetica"/>
          <w:b/>
          <w:sz w:val="16"/>
        </w:rPr>
      </w:pPr>
      <w:r>
        <w:rPr>
          <w:rFonts w:ascii="Helvetica"/>
          <w:b/>
          <w:color w:val="231F20"/>
          <w:sz w:val="16"/>
        </w:rPr>
        <w:t>Arterial pressure (mm Hg)</w:t>
      </w:r>
    </w:p>
    <w:p>
      <w:pPr>
        <w:spacing w:after="0"/>
        <w:jc w:val="left"/>
        <w:rPr>
          <w:rFonts w:ascii="Helvetica"/>
          <w:sz w:val="16"/>
        </w:rPr>
        <w:sectPr>
          <w:type w:val="continuous"/>
          <w:pgSz w:w="12240" w:h="15660"/>
          <w:pgMar w:top="0" w:bottom="760" w:left="0" w:right="0"/>
          <w:cols w:num="2" w:equalWidth="0">
            <w:col w:w="3046" w:space="40"/>
            <w:col w:w="9154"/>
          </w:cols>
        </w:sectPr>
      </w:pPr>
    </w:p>
    <w:p>
      <w:pPr>
        <w:spacing w:line="261" w:lineRule="auto" w:before="92"/>
        <w:ind w:left="1440" w:right="6117" w:firstLine="0"/>
        <w:jc w:val="both"/>
        <w:rPr>
          <w:rFonts w:ascii="Arial" w:hAnsi="Arial"/>
          <w:sz w:val="16"/>
        </w:rPr>
      </w:pPr>
      <w:r>
        <w:rPr/>
        <w:pict>
          <v:group style="position:absolute;margin-left:0pt;margin-top:0pt;width:612pt;height:180pt;mso-position-horizontal-relative:page;mso-position-vertical-relative:page;z-index:-27272192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bookmarkStart w:name="_bookmark100" w:id="101"/>
      <w:bookmarkEnd w:id="101"/>
      <w:r>
        <w:rPr/>
      </w:r>
      <w:r>
        <w:rPr>
          <w:rFonts w:ascii="Trebuchet MS" w:hAnsi="Trebuchet MS"/>
          <w:b/>
          <w:color w:val="231F20"/>
          <w:sz w:val="16"/>
        </w:rPr>
        <w:t>Figure</w:t>
      </w:r>
      <w:r>
        <w:rPr>
          <w:rFonts w:ascii="Trebuchet MS" w:hAnsi="Trebuchet MS"/>
          <w:b/>
          <w:color w:val="231F20"/>
          <w:spacing w:val="-14"/>
          <w:sz w:val="16"/>
        </w:rPr>
        <w:t> </w:t>
      </w:r>
      <w:r>
        <w:rPr>
          <w:rFonts w:ascii="Trebuchet MS" w:hAnsi="Trebuchet MS"/>
          <w:b/>
          <w:color w:val="231F20"/>
          <w:sz w:val="16"/>
        </w:rPr>
        <w:t>30-17.</w:t>
      </w:r>
      <w:r>
        <w:rPr>
          <w:rFonts w:ascii="Trebuchet MS" w:hAnsi="Trebuchet MS"/>
          <w:b/>
          <w:color w:val="231F20"/>
          <w:spacing w:val="-2"/>
          <w:sz w:val="16"/>
        </w:rPr>
        <w:t> </w:t>
      </w:r>
      <w:r>
        <w:rPr>
          <w:rFonts w:ascii="Arial" w:hAnsi="Arial"/>
          <w:color w:val="231F20"/>
          <w:sz w:val="16"/>
        </w:rPr>
        <w:t>Effects</w:t>
      </w:r>
      <w:r>
        <w:rPr>
          <w:rFonts w:ascii="Arial" w:hAnsi="Arial"/>
          <w:color w:val="231F20"/>
          <w:spacing w:val="-10"/>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excessive</w:t>
      </w:r>
      <w:r>
        <w:rPr>
          <w:rFonts w:ascii="Arial" w:hAnsi="Arial"/>
          <w:color w:val="231F20"/>
          <w:spacing w:val="-10"/>
          <w:sz w:val="16"/>
        </w:rPr>
        <w:t> </w:t>
      </w:r>
      <w:r>
        <w:rPr>
          <w:rFonts w:ascii="Arial" w:hAnsi="Arial"/>
          <w:color w:val="231F20"/>
          <w:sz w:val="16"/>
        </w:rPr>
        <w:t>angiotensin</w:t>
      </w:r>
      <w:r>
        <w:rPr>
          <w:rFonts w:ascii="Arial" w:hAnsi="Arial"/>
          <w:color w:val="231F20"/>
          <w:spacing w:val="-9"/>
          <w:sz w:val="16"/>
        </w:rPr>
        <w:t> </w:t>
      </w:r>
      <w:r>
        <w:rPr>
          <w:rFonts w:ascii="Arial" w:hAnsi="Arial"/>
          <w:color w:val="231F20"/>
          <w:sz w:val="16"/>
        </w:rPr>
        <w:t>II</w:t>
      </w:r>
      <w:r>
        <w:rPr>
          <w:rFonts w:ascii="Arial" w:hAnsi="Arial"/>
          <w:color w:val="231F20"/>
          <w:spacing w:val="-10"/>
          <w:sz w:val="16"/>
        </w:rPr>
        <w:t> </w:t>
      </w:r>
      <w:r>
        <w:rPr>
          <w:rFonts w:ascii="Arial" w:hAnsi="Arial"/>
          <w:color w:val="231F20"/>
          <w:sz w:val="16"/>
        </w:rPr>
        <w:t>(Ang</w:t>
      </w:r>
      <w:r>
        <w:rPr>
          <w:rFonts w:ascii="Arial" w:hAnsi="Arial"/>
          <w:color w:val="231F20"/>
          <w:spacing w:val="-10"/>
          <w:sz w:val="16"/>
        </w:rPr>
        <w:t> </w:t>
      </w:r>
      <w:r>
        <w:rPr>
          <w:rFonts w:ascii="Arial" w:hAnsi="Arial"/>
          <w:color w:val="231F20"/>
          <w:sz w:val="16"/>
        </w:rPr>
        <w:t>II)</w:t>
      </w:r>
      <w:r>
        <w:rPr>
          <w:rFonts w:ascii="Arial" w:hAnsi="Arial"/>
          <w:color w:val="231F20"/>
          <w:spacing w:val="-10"/>
          <w:sz w:val="16"/>
        </w:rPr>
        <w:t> </w:t>
      </w:r>
      <w:r>
        <w:rPr>
          <w:rFonts w:ascii="Arial" w:hAnsi="Arial"/>
          <w:color w:val="231F20"/>
          <w:sz w:val="16"/>
        </w:rPr>
        <w:t>formation or</w:t>
      </w:r>
      <w:r>
        <w:rPr>
          <w:rFonts w:ascii="Arial" w:hAnsi="Arial"/>
          <w:color w:val="231F20"/>
          <w:spacing w:val="-12"/>
          <w:sz w:val="16"/>
        </w:rPr>
        <w:t> </w:t>
      </w:r>
      <w:r>
        <w:rPr>
          <w:rFonts w:ascii="Arial" w:hAnsi="Arial"/>
          <w:color w:val="231F20"/>
          <w:sz w:val="16"/>
        </w:rPr>
        <w:t>blocking</w:t>
      </w:r>
      <w:r>
        <w:rPr>
          <w:rFonts w:ascii="Arial" w:hAnsi="Arial"/>
          <w:color w:val="231F20"/>
          <w:spacing w:val="-12"/>
          <w:sz w:val="16"/>
        </w:rPr>
        <w:t> </w:t>
      </w:r>
      <w:r>
        <w:rPr>
          <w:rFonts w:ascii="Arial" w:hAnsi="Arial"/>
          <w:color w:val="231F20"/>
          <w:sz w:val="16"/>
        </w:rPr>
        <w:t>Ang</w:t>
      </w:r>
      <w:r>
        <w:rPr>
          <w:rFonts w:ascii="Arial" w:hAnsi="Arial"/>
          <w:color w:val="231F20"/>
          <w:spacing w:val="-12"/>
          <w:sz w:val="16"/>
        </w:rPr>
        <w:t> </w:t>
      </w:r>
      <w:r>
        <w:rPr>
          <w:rFonts w:ascii="Arial" w:hAnsi="Arial"/>
          <w:color w:val="231F20"/>
          <w:sz w:val="16"/>
        </w:rPr>
        <w:t>II</w:t>
      </w:r>
      <w:r>
        <w:rPr>
          <w:rFonts w:ascii="Arial" w:hAnsi="Arial"/>
          <w:color w:val="231F20"/>
          <w:spacing w:val="-11"/>
          <w:sz w:val="16"/>
        </w:rPr>
        <w:t> </w:t>
      </w:r>
      <w:r>
        <w:rPr>
          <w:rFonts w:ascii="Arial" w:hAnsi="Arial"/>
          <w:color w:val="231F20"/>
          <w:sz w:val="16"/>
        </w:rPr>
        <w:t>formation</w:t>
      </w:r>
      <w:r>
        <w:rPr>
          <w:rFonts w:ascii="Arial" w:hAnsi="Arial"/>
          <w:color w:val="231F20"/>
          <w:spacing w:val="-12"/>
          <w:sz w:val="16"/>
        </w:rPr>
        <w:t> </w:t>
      </w:r>
      <w:r>
        <w:rPr>
          <w:rFonts w:ascii="Arial" w:hAnsi="Arial"/>
          <w:color w:val="231F20"/>
          <w:sz w:val="16"/>
        </w:rPr>
        <w:t>on</w:t>
      </w:r>
      <w:r>
        <w:rPr>
          <w:rFonts w:ascii="Arial" w:hAnsi="Arial"/>
          <w:color w:val="231F20"/>
          <w:spacing w:val="-12"/>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renal­pressure</w:t>
      </w:r>
      <w:r>
        <w:rPr>
          <w:rFonts w:ascii="Arial" w:hAnsi="Arial"/>
          <w:color w:val="231F20"/>
          <w:spacing w:val="-12"/>
          <w:sz w:val="16"/>
        </w:rPr>
        <w:t> </w:t>
      </w:r>
      <w:r>
        <w:rPr>
          <w:rFonts w:ascii="Arial" w:hAnsi="Arial"/>
          <w:color w:val="231F20"/>
          <w:sz w:val="16"/>
        </w:rPr>
        <w:t>natriuresis</w:t>
      </w:r>
      <w:r>
        <w:rPr>
          <w:rFonts w:ascii="Arial" w:hAnsi="Arial"/>
          <w:color w:val="231F20"/>
          <w:spacing w:val="-12"/>
          <w:sz w:val="16"/>
        </w:rPr>
        <w:t> </w:t>
      </w:r>
      <w:r>
        <w:rPr>
          <w:rFonts w:ascii="Arial" w:hAnsi="Arial"/>
          <w:color w:val="231F20"/>
          <w:sz w:val="16"/>
        </w:rPr>
        <w:t>curve. Note</w:t>
      </w:r>
      <w:r>
        <w:rPr>
          <w:rFonts w:ascii="Arial" w:hAnsi="Arial"/>
          <w:color w:val="231F20"/>
          <w:spacing w:val="-9"/>
          <w:sz w:val="16"/>
        </w:rPr>
        <w:t> </w:t>
      </w:r>
      <w:r>
        <w:rPr>
          <w:rFonts w:ascii="Arial" w:hAnsi="Arial"/>
          <w:color w:val="231F20"/>
          <w:sz w:val="16"/>
        </w:rPr>
        <w:t>that</w:t>
      </w:r>
      <w:r>
        <w:rPr>
          <w:rFonts w:ascii="Arial" w:hAnsi="Arial"/>
          <w:color w:val="231F20"/>
          <w:spacing w:val="-8"/>
          <w:sz w:val="16"/>
        </w:rPr>
        <w:t> </w:t>
      </w:r>
      <w:r>
        <w:rPr>
          <w:rFonts w:ascii="Arial" w:hAnsi="Arial"/>
          <w:color w:val="231F20"/>
          <w:sz w:val="16"/>
        </w:rPr>
        <w:t>high</w:t>
      </w:r>
      <w:r>
        <w:rPr>
          <w:rFonts w:ascii="Arial" w:hAnsi="Arial"/>
          <w:color w:val="231F20"/>
          <w:spacing w:val="-8"/>
          <w:sz w:val="16"/>
        </w:rPr>
        <w:t> </w:t>
      </w:r>
      <w:r>
        <w:rPr>
          <w:rFonts w:ascii="Arial" w:hAnsi="Arial"/>
          <w:color w:val="231F20"/>
          <w:sz w:val="16"/>
        </w:rPr>
        <w:t>levels</w:t>
      </w:r>
      <w:r>
        <w:rPr>
          <w:rFonts w:ascii="Arial" w:hAnsi="Arial"/>
          <w:color w:val="231F20"/>
          <w:spacing w:val="-8"/>
          <w:sz w:val="16"/>
        </w:rPr>
        <w:t> </w:t>
      </w:r>
      <w:r>
        <w:rPr>
          <w:rFonts w:ascii="Arial" w:hAnsi="Arial"/>
          <w:color w:val="231F20"/>
          <w:sz w:val="16"/>
        </w:rPr>
        <w:t>of</w:t>
      </w:r>
      <w:r>
        <w:rPr>
          <w:rFonts w:ascii="Arial" w:hAnsi="Arial"/>
          <w:color w:val="231F20"/>
          <w:spacing w:val="-8"/>
          <w:sz w:val="16"/>
        </w:rPr>
        <w:t> </w:t>
      </w:r>
      <w:r>
        <w:rPr>
          <w:rFonts w:ascii="Arial" w:hAnsi="Arial"/>
          <w:color w:val="231F20"/>
          <w:sz w:val="16"/>
        </w:rPr>
        <w:t>Ang</w:t>
      </w:r>
      <w:r>
        <w:rPr>
          <w:rFonts w:ascii="Arial" w:hAnsi="Arial"/>
          <w:color w:val="231F20"/>
          <w:spacing w:val="-8"/>
          <w:sz w:val="16"/>
        </w:rPr>
        <w:t> </w:t>
      </w:r>
      <w:r>
        <w:rPr>
          <w:rFonts w:ascii="Arial" w:hAnsi="Arial"/>
          <w:color w:val="231F20"/>
          <w:sz w:val="16"/>
        </w:rPr>
        <w:t>II</w:t>
      </w:r>
      <w:r>
        <w:rPr>
          <w:rFonts w:ascii="Arial" w:hAnsi="Arial"/>
          <w:color w:val="231F20"/>
          <w:spacing w:val="-8"/>
          <w:sz w:val="16"/>
        </w:rPr>
        <w:t> </w:t>
      </w:r>
      <w:r>
        <w:rPr>
          <w:rFonts w:ascii="Arial" w:hAnsi="Arial"/>
          <w:color w:val="231F20"/>
          <w:sz w:val="16"/>
        </w:rPr>
        <w:t>formation</w:t>
      </w:r>
      <w:r>
        <w:rPr>
          <w:rFonts w:ascii="Arial" w:hAnsi="Arial"/>
          <w:color w:val="231F20"/>
          <w:spacing w:val="-8"/>
          <w:sz w:val="16"/>
        </w:rPr>
        <w:t> </w:t>
      </w:r>
      <w:r>
        <w:rPr>
          <w:rFonts w:ascii="Arial" w:hAnsi="Arial"/>
          <w:color w:val="231F20"/>
          <w:sz w:val="16"/>
        </w:rPr>
        <w:t>decrease</w:t>
      </w:r>
      <w:r>
        <w:rPr>
          <w:rFonts w:ascii="Arial" w:hAnsi="Arial"/>
          <w:color w:val="231F20"/>
          <w:spacing w:val="-8"/>
          <w:sz w:val="16"/>
        </w:rPr>
        <w:t> </w:t>
      </w:r>
      <w:r>
        <w:rPr>
          <w:rFonts w:ascii="Arial" w:hAnsi="Arial"/>
          <w:color w:val="231F20"/>
          <w:sz w:val="16"/>
        </w:rPr>
        <w:t>the</w:t>
      </w:r>
      <w:r>
        <w:rPr>
          <w:rFonts w:ascii="Arial" w:hAnsi="Arial"/>
          <w:color w:val="231F20"/>
          <w:spacing w:val="-8"/>
          <w:sz w:val="16"/>
        </w:rPr>
        <w:t> </w:t>
      </w:r>
      <w:r>
        <w:rPr>
          <w:rFonts w:ascii="Arial" w:hAnsi="Arial"/>
          <w:color w:val="231F20"/>
          <w:sz w:val="16"/>
        </w:rPr>
        <w:t>slope</w:t>
      </w:r>
      <w:r>
        <w:rPr>
          <w:rFonts w:ascii="Arial" w:hAnsi="Arial"/>
          <w:color w:val="231F20"/>
          <w:spacing w:val="-8"/>
          <w:sz w:val="16"/>
        </w:rPr>
        <w:t> </w:t>
      </w:r>
      <w:r>
        <w:rPr>
          <w:rFonts w:ascii="Arial" w:hAnsi="Arial"/>
          <w:color w:val="231F20"/>
          <w:sz w:val="16"/>
        </w:rPr>
        <w:t>of</w:t>
      </w:r>
      <w:r>
        <w:rPr>
          <w:rFonts w:ascii="Arial" w:hAnsi="Arial"/>
          <w:color w:val="231F20"/>
          <w:spacing w:val="-8"/>
          <w:sz w:val="16"/>
        </w:rPr>
        <w:t> </w:t>
      </w:r>
      <w:r>
        <w:rPr>
          <w:rFonts w:ascii="Arial" w:hAnsi="Arial"/>
          <w:color w:val="231F20"/>
          <w:spacing w:val="-4"/>
          <w:sz w:val="16"/>
        </w:rPr>
        <w:t>pres­ </w:t>
      </w:r>
      <w:r>
        <w:rPr>
          <w:rFonts w:ascii="Arial" w:hAnsi="Arial"/>
          <w:color w:val="231F20"/>
          <w:sz w:val="16"/>
        </w:rPr>
        <w:t>sure</w:t>
      </w:r>
      <w:r>
        <w:rPr>
          <w:rFonts w:ascii="Arial" w:hAnsi="Arial"/>
          <w:color w:val="231F20"/>
          <w:spacing w:val="-15"/>
          <w:sz w:val="16"/>
        </w:rPr>
        <w:t> </w:t>
      </w:r>
      <w:r>
        <w:rPr>
          <w:rFonts w:ascii="Arial" w:hAnsi="Arial"/>
          <w:color w:val="231F20"/>
          <w:sz w:val="16"/>
        </w:rPr>
        <w:t>natriuresis,</w:t>
      </w:r>
      <w:r>
        <w:rPr>
          <w:rFonts w:ascii="Arial" w:hAnsi="Arial"/>
          <w:color w:val="231F20"/>
          <w:spacing w:val="-14"/>
          <w:sz w:val="16"/>
        </w:rPr>
        <w:t> </w:t>
      </w:r>
      <w:r>
        <w:rPr>
          <w:rFonts w:ascii="Arial" w:hAnsi="Arial"/>
          <w:color w:val="231F20"/>
          <w:sz w:val="16"/>
        </w:rPr>
        <w:t>making</w:t>
      </w:r>
      <w:r>
        <w:rPr>
          <w:rFonts w:ascii="Arial" w:hAnsi="Arial"/>
          <w:color w:val="231F20"/>
          <w:spacing w:val="-14"/>
          <w:sz w:val="16"/>
        </w:rPr>
        <w:t> </w:t>
      </w:r>
      <w:r>
        <w:rPr>
          <w:rFonts w:ascii="Arial" w:hAnsi="Arial"/>
          <w:color w:val="231F20"/>
          <w:sz w:val="16"/>
        </w:rPr>
        <w:t>blood</w:t>
      </w:r>
      <w:r>
        <w:rPr>
          <w:rFonts w:ascii="Arial" w:hAnsi="Arial"/>
          <w:color w:val="231F20"/>
          <w:spacing w:val="-14"/>
          <w:sz w:val="16"/>
        </w:rPr>
        <w:t> </w:t>
      </w:r>
      <w:r>
        <w:rPr>
          <w:rFonts w:ascii="Arial" w:hAnsi="Arial"/>
          <w:color w:val="231F20"/>
          <w:sz w:val="16"/>
        </w:rPr>
        <w:t>pressure</w:t>
      </w:r>
      <w:r>
        <w:rPr>
          <w:rFonts w:ascii="Arial" w:hAnsi="Arial"/>
          <w:color w:val="231F20"/>
          <w:spacing w:val="-14"/>
          <w:sz w:val="16"/>
        </w:rPr>
        <w:t> </w:t>
      </w:r>
      <w:r>
        <w:rPr>
          <w:rFonts w:ascii="Arial" w:hAnsi="Arial"/>
          <w:color w:val="231F20"/>
          <w:sz w:val="16"/>
        </w:rPr>
        <w:t>very</w:t>
      </w:r>
      <w:r>
        <w:rPr>
          <w:rFonts w:ascii="Arial" w:hAnsi="Arial"/>
          <w:color w:val="231F20"/>
          <w:spacing w:val="-14"/>
          <w:sz w:val="16"/>
        </w:rPr>
        <w:t> </w:t>
      </w:r>
      <w:r>
        <w:rPr>
          <w:rFonts w:ascii="Arial" w:hAnsi="Arial"/>
          <w:color w:val="231F20"/>
          <w:sz w:val="16"/>
        </w:rPr>
        <w:t>sensitive</w:t>
      </w:r>
      <w:r>
        <w:rPr>
          <w:rFonts w:ascii="Arial" w:hAnsi="Arial"/>
          <w:color w:val="231F20"/>
          <w:spacing w:val="-14"/>
          <w:sz w:val="16"/>
        </w:rPr>
        <w:t> </w:t>
      </w:r>
      <w:r>
        <w:rPr>
          <w:rFonts w:ascii="Arial" w:hAnsi="Arial"/>
          <w:color w:val="231F20"/>
          <w:sz w:val="16"/>
        </w:rPr>
        <w:t>to</w:t>
      </w:r>
      <w:r>
        <w:rPr>
          <w:rFonts w:ascii="Arial" w:hAnsi="Arial"/>
          <w:color w:val="231F20"/>
          <w:spacing w:val="-14"/>
          <w:sz w:val="16"/>
        </w:rPr>
        <w:t> </w:t>
      </w:r>
      <w:r>
        <w:rPr>
          <w:rFonts w:ascii="Arial" w:hAnsi="Arial"/>
          <w:color w:val="231F20"/>
          <w:sz w:val="16"/>
        </w:rPr>
        <w:t>changes</w:t>
      </w:r>
      <w:r>
        <w:rPr>
          <w:rFonts w:ascii="Arial" w:hAnsi="Arial"/>
          <w:color w:val="231F20"/>
          <w:spacing w:val="-14"/>
          <w:sz w:val="16"/>
        </w:rPr>
        <w:t> </w:t>
      </w:r>
      <w:r>
        <w:rPr>
          <w:rFonts w:ascii="Arial" w:hAnsi="Arial"/>
          <w:color w:val="231F20"/>
          <w:spacing w:val="-6"/>
          <w:sz w:val="16"/>
        </w:rPr>
        <w:t>in </w:t>
      </w:r>
      <w:r>
        <w:rPr>
          <w:rFonts w:ascii="Arial" w:hAnsi="Arial"/>
          <w:color w:val="231F20"/>
          <w:sz w:val="16"/>
        </w:rPr>
        <w:t>sodium</w:t>
      </w:r>
      <w:r>
        <w:rPr>
          <w:rFonts w:ascii="Arial" w:hAnsi="Arial"/>
          <w:color w:val="231F20"/>
          <w:spacing w:val="-13"/>
          <w:sz w:val="16"/>
        </w:rPr>
        <w:t> </w:t>
      </w:r>
      <w:r>
        <w:rPr>
          <w:rFonts w:ascii="Arial" w:hAnsi="Arial"/>
          <w:color w:val="231F20"/>
          <w:sz w:val="16"/>
        </w:rPr>
        <w:t>intake.</w:t>
      </w:r>
      <w:r>
        <w:rPr>
          <w:rFonts w:ascii="Arial" w:hAnsi="Arial"/>
          <w:color w:val="231F20"/>
          <w:spacing w:val="-13"/>
          <w:sz w:val="16"/>
        </w:rPr>
        <w:t> </w:t>
      </w:r>
      <w:r>
        <w:rPr>
          <w:rFonts w:ascii="Arial" w:hAnsi="Arial"/>
          <w:color w:val="231F20"/>
          <w:sz w:val="16"/>
        </w:rPr>
        <w:t>Blockade</w:t>
      </w:r>
      <w:r>
        <w:rPr>
          <w:rFonts w:ascii="Arial" w:hAnsi="Arial"/>
          <w:color w:val="231F20"/>
          <w:spacing w:val="-13"/>
          <w:sz w:val="16"/>
        </w:rPr>
        <w:t> </w:t>
      </w:r>
      <w:r>
        <w:rPr>
          <w:rFonts w:ascii="Arial" w:hAnsi="Arial"/>
          <w:color w:val="231F20"/>
          <w:sz w:val="16"/>
        </w:rPr>
        <w:t>of</w:t>
      </w:r>
      <w:r>
        <w:rPr>
          <w:rFonts w:ascii="Arial" w:hAnsi="Arial"/>
          <w:color w:val="231F20"/>
          <w:spacing w:val="-12"/>
          <w:sz w:val="16"/>
        </w:rPr>
        <w:t> </w:t>
      </w:r>
      <w:r>
        <w:rPr>
          <w:rFonts w:ascii="Arial" w:hAnsi="Arial"/>
          <w:color w:val="231F20"/>
          <w:sz w:val="16"/>
        </w:rPr>
        <w:t>Ang</w:t>
      </w:r>
      <w:r>
        <w:rPr>
          <w:rFonts w:ascii="Arial" w:hAnsi="Arial"/>
          <w:color w:val="231F20"/>
          <w:spacing w:val="-13"/>
          <w:sz w:val="16"/>
        </w:rPr>
        <w:t> </w:t>
      </w:r>
      <w:r>
        <w:rPr>
          <w:rFonts w:ascii="Arial" w:hAnsi="Arial"/>
          <w:color w:val="231F20"/>
          <w:sz w:val="16"/>
        </w:rPr>
        <w:t>II</w:t>
      </w:r>
      <w:r>
        <w:rPr>
          <w:rFonts w:ascii="Arial" w:hAnsi="Arial"/>
          <w:color w:val="231F20"/>
          <w:spacing w:val="-13"/>
          <w:sz w:val="16"/>
        </w:rPr>
        <w:t> </w:t>
      </w:r>
      <w:r>
        <w:rPr>
          <w:rFonts w:ascii="Arial" w:hAnsi="Arial"/>
          <w:color w:val="231F20"/>
          <w:sz w:val="16"/>
        </w:rPr>
        <w:t>formation</w:t>
      </w:r>
      <w:r>
        <w:rPr>
          <w:rFonts w:ascii="Arial" w:hAnsi="Arial"/>
          <w:color w:val="231F20"/>
          <w:spacing w:val="-13"/>
          <w:sz w:val="16"/>
        </w:rPr>
        <w:t> </w:t>
      </w:r>
      <w:r>
        <w:rPr>
          <w:rFonts w:ascii="Arial" w:hAnsi="Arial"/>
          <w:color w:val="231F20"/>
          <w:sz w:val="16"/>
        </w:rPr>
        <w:t>shifts</w:t>
      </w:r>
      <w:r>
        <w:rPr>
          <w:rFonts w:ascii="Arial" w:hAnsi="Arial"/>
          <w:color w:val="231F20"/>
          <w:spacing w:val="-12"/>
          <w:sz w:val="16"/>
        </w:rPr>
        <w:t> </w:t>
      </w:r>
      <w:r>
        <w:rPr>
          <w:rFonts w:ascii="Arial" w:hAnsi="Arial"/>
          <w:color w:val="231F20"/>
          <w:sz w:val="16"/>
        </w:rPr>
        <w:t>pressure</w:t>
      </w:r>
      <w:r>
        <w:rPr>
          <w:rFonts w:ascii="Arial" w:hAnsi="Arial"/>
          <w:color w:val="231F20"/>
          <w:spacing w:val="-13"/>
          <w:sz w:val="16"/>
        </w:rPr>
        <w:t> </w:t>
      </w:r>
      <w:r>
        <w:rPr>
          <w:rFonts w:ascii="Arial" w:hAnsi="Arial"/>
          <w:color w:val="231F20"/>
          <w:spacing w:val="-3"/>
          <w:sz w:val="16"/>
        </w:rPr>
        <w:t>natriure­ </w:t>
      </w:r>
      <w:r>
        <w:rPr>
          <w:rFonts w:ascii="Arial" w:hAnsi="Arial"/>
          <w:color w:val="231F20"/>
          <w:sz w:val="16"/>
        </w:rPr>
        <w:t>sis to lower blood</w:t>
      </w:r>
      <w:r>
        <w:rPr>
          <w:rFonts w:ascii="Arial" w:hAnsi="Arial"/>
          <w:color w:val="231F20"/>
          <w:spacing w:val="24"/>
          <w:sz w:val="16"/>
        </w:rPr>
        <w:t> </w:t>
      </w:r>
      <w:r>
        <w:rPr>
          <w:rFonts w:ascii="Arial" w:hAnsi="Arial"/>
          <w:color w:val="231F20"/>
          <w:sz w:val="16"/>
        </w:rPr>
        <w:t>pressures.</w:t>
      </w:r>
    </w:p>
    <w:p>
      <w:pPr>
        <w:spacing w:after="0" w:line="261" w:lineRule="auto"/>
        <w:jc w:val="both"/>
        <w:rPr>
          <w:rFonts w:ascii="Arial" w:hAnsi="Arial"/>
          <w:sz w:val="16"/>
        </w:rPr>
        <w:sectPr>
          <w:type w:val="continuous"/>
          <w:pgSz w:w="12240" w:h="15660"/>
          <w:pgMar w:top="0" w:bottom="760" w:left="0" w:right="0"/>
        </w:sectPr>
      </w:pPr>
    </w:p>
    <w:p>
      <w:pPr>
        <w:pStyle w:val="BodyText"/>
        <w:spacing w:before="9"/>
        <w:rPr>
          <w:rFonts w:ascii="Arial"/>
          <w:sz w:val="27"/>
        </w:rPr>
      </w:pPr>
    </w:p>
    <w:p>
      <w:pPr>
        <w:spacing w:after="0"/>
        <w:rPr>
          <w:rFonts w:ascii="Arial"/>
          <w:sz w:val="27"/>
        </w:rPr>
        <w:sectPr>
          <w:headerReference w:type="even" r:id="rId923"/>
          <w:footerReference w:type="even" r:id="rId924"/>
          <w:footerReference w:type="default" r:id="rId925"/>
          <w:pgSz w:w="12240" w:h="15660"/>
          <w:pgMar w:header="0" w:footer="567" w:top="720" w:bottom="760" w:left="0" w:right="0"/>
          <w:pgNumType w:start="404"/>
        </w:sectPr>
      </w:pPr>
    </w:p>
    <w:p>
      <w:pPr>
        <w:pStyle w:val="BodyText"/>
        <w:spacing w:before="6"/>
        <w:rPr>
          <w:rFonts w:ascii="Arial"/>
          <w:sz w:val="3"/>
        </w:rPr>
      </w:pPr>
    </w:p>
    <w:p>
      <w:pPr>
        <w:pStyle w:val="BodyText"/>
        <w:ind w:left="1080" w:right="-58"/>
        <w:rPr>
          <w:rFonts w:ascii="Arial"/>
        </w:rPr>
      </w:pPr>
      <w:r>
        <w:rPr>
          <w:rFonts w:ascii="Arial"/>
        </w:rPr>
        <w:pict>
          <v:shape style="width:234pt;height:101pt;mso-position-horizontal-relative:char;mso-position-vertical-relative:line" type="#_x0000_t202" filled="true" fillcolor="#f0eef6" stroked="false">
            <w10:anchorlock/>
            <v:textbox inset="0,0,0,0">
              <w:txbxContent>
                <w:p>
                  <w:pPr>
                    <w:spacing w:line="254" w:lineRule="auto" w:before="130"/>
                    <w:ind w:left="180" w:right="177" w:firstLine="0"/>
                    <w:jc w:val="both"/>
                    <w:rPr>
                      <w:sz w:val="18"/>
                    </w:rPr>
                  </w:pPr>
                  <w:r>
                    <w:rPr>
                      <w:color w:val="231F20"/>
                      <w:sz w:val="18"/>
                    </w:rPr>
                    <w:t>to raise arterial pressure enough to overcome the sodium retaining effects of high levels of Ang II; in these instances, Ang II may cause large amounts of sodium and water reten- tion that may progress to </w:t>
                  </w:r>
                  <w:r>
                    <w:rPr>
                      <w:i/>
                      <w:color w:val="231F20"/>
                      <w:sz w:val="18"/>
                    </w:rPr>
                    <w:t>congestive heart failure. </w:t>
                  </w:r>
                  <w:r>
                    <w:rPr>
                      <w:color w:val="231F20"/>
                      <w:sz w:val="18"/>
                    </w:rPr>
                    <w:t>Blockade of Ang II formation may, in these cases, relieve some of the sodium and water retention and attenuate the large expan- sion of extracellular fluid volume associated with heart failure.</w:t>
                  </w:r>
                </w:p>
              </w:txbxContent>
            </v:textbox>
            <v:fill type="solid"/>
          </v:shape>
        </w:pict>
      </w:r>
      <w:r>
        <w:rPr>
          <w:rFonts w:ascii="Arial"/>
        </w:rPr>
      </w:r>
    </w:p>
    <w:p>
      <w:pPr>
        <w:pStyle w:val="Heading2"/>
        <w:spacing w:line="225" w:lineRule="auto" w:before="183"/>
        <w:ind w:left="1080" w:right="800"/>
      </w:pPr>
      <w:r>
        <w:rPr/>
        <w:pict>
          <v:rect style="position:absolute;margin-left:0pt;margin-top:35.964489pt;width:36pt;height:24pt;mso-position-horizontal-relative:page;mso-position-vertical-relative:paragraph;z-index:252695552" filled="true" fillcolor="#e8dac8" stroked="false">
            <v:fill type="solid"/>
            <w10:wrap type="none"/>
          </v:rect>
        </w:pict>
      </w:r>
      <w:r>
        <w:rPr>
          <w:color w:val="231F20"/>
        </w:rPr>
        <w:t>ROLE OF ALDOSTERONE IN CONTROLLING RENAL EXCRETION</w:t>
      </w:r>
    </w:p>
    <w:p>
      <w:pPr>
        <w:pStyle w:val="BodyText"/>
        <w:spacing w:line="249" w:lineRule="auto" w:before="137"/>
        <w:ind w:left="1080"/>
        <w:jc w:val="both"/>
      </w:pPr>
      <w:r>
        <w:rPr>
          <w:color w:val="231F20"/>
          <w:w w:val="105"/>
        </w:rPr>
        <w:t>Aldosterone</w:t>
      </w:r>
      <w:r>
        <w:rPr>
          <w:color w:val="231F20"/>
          <w:spacing w:val="-21"/>
          <w:w w:val="105"/>
        </w:rPr>
        <w:t> </w:t>
      </w:r>
      <w:r>
        <w:rPr>
          <w:color w:val="231F20"/>
          <w:w w:val="105"/>
        </w:rPr>
        <w:t>increases</w:t>
      </w:r>
      <w:r>
        <w:rPr>
          <w:color w:val="231F20"/>
          <w:spacing w:val="-20"/>
          <w:w w:val="105"/>
        </w:rPr>
        <w:t> </w:t>
      </w:r>
      <w:r>
        <w:rPr>
          <w:color w:val="231F20"/>
          <w:w w:val="105"/>
        </w:rPr>
        <w:t>sodium</w:t>
      </w:r>
      <w:r>
        <w:rPr>
          <w:color w:val="231F20"/>
          <w:spacing w:val="-20"/>
          <w:w w:val="105"/>
        </w:rPr>
        <w:t> </w:t>
      </w:r>
      <w:r>
        <w:rPr>
          <w:color w:val="231F20"/>
          <w:w w:val="105"/>
        </w:rPr>
        <w:t>reabsorption,</w:t>
      </w:r>
      <w:r>
        <w:rPr>
          <w:color w:val="231F20"/>
          <w:spacing w:val="-21"/>
          <w:w w:val="105"/>
        </w:rPr>
        <w:t> </w:t>
      </w:r>
      <w:r>
        <w:rPr>
          <w:color w:val="231F20"/>
          <w:w w:val="105"/>
        </w:rPr>
        <w:t>especially</w:t>
      </w:r>
      <w:r>
        <w:rPr>
          <w:color w:val="231F20"/>
          <w:spacing w:val="-20"/>
          <w:w w:val="105"/>
        </w:rPr>
        <w:t> </w:t>
      </w:r>
      <w:r>
        <w:rPr>
          <w:color w:val="231F20"/>
          <w:spacing w:val="-6"/>
          <w:w w:val="105"/>
        </w:rPr>
        <w:t>in </w:t>
      </w:r>
      <w:r>
        <w:rPr>
          <w:color w:val="231F20"/>
          <w:w w:val="105"/>
        </w:rPr>
        <w:t>the cortical collecting tubules. The increased </w:t>
      </w:r>
      <w:r>
        <w:rPr>
          <w:color w:val="231F20"/>
          <w:spacing w:val="-3"/>
          <w:w w:val="105"/>
        </w:rPr>
        <w:t>sodium </w:t>
      </w:r>
      <w:r>
        <w:rPr>
          <w:color w:val="231F20"/>
          <w:w w:val="105"/>
        </w:rPr>
        <w:t>reabsorption</w:t>
      </w:r>
      <w:r>
        <w:rPr>
          <w:color w:val="231F20"/>
          <w:spacing w:val="-22"/>
          <w:w w:val="105"/>
        </w:rPr>
        <w:t> </w:t>
      </w:r>
      <w:r>
        <w:rPr>
          <w:color w:val="231F20"/>
          <w:w w:val="105"/>
        </w:rPr>
        <w:t>is</w:t>
      </w:r>
      <w:r>
        <w:rPr>
          <w:color w:val="231F20"/>
          <w:spacing w:val="-21"/>
          <w:w w:val="105"/>
        </w:rPr>
        <w:t> </w:t>
      </w:r>
      <w:r>
        <w:rPr>
          <w:color w:val="231F20"/>
          <w:w w:val="105"/>
        </w:rPr>
        <w:t>also</w:t>
      </w:r>
      <w:r>
        <w:rPr>
          <w:color w:val="231F20"/>
          <w:spacing w:val="-22"/>
          <w:w w:val="105"/>
        </w:rPr>
        <w:t> </w:t>
      </w:r>
      <w:r>
        <w:rPr>
          <w:color w:val="231F20"/>
          <w:w w:val="105"/>
        </w:rPr>
        <w:t>associated</w:t>
      </w:r>
      <w:r>
        <w:rPr>
          <w:color w:val="231F20"/>
          <w:spacing w:val="-21"/>
          <w:w w:val="105"/>
        </w:rPr>
        <w:t> </w:t>
      </w:r>
      <w:r>
        <w:rPr>
          <w:color w:val="231F20"/>
          <w:w w:val="105"/>
        </w:rPr>
        <w:t>with</w:t>
      </w:r>
      <w:r>
        <w:rPr>
          <w:color w:val="231F20"/>
          <w:spacing w:val="-21"/>
          <w:w w:val="105"/>
        </w:rPr>
        <w:t> </w:t>
      </w:r>
      <w:r>
        <w:rPr>
          <w:color w:val="231F20"/>
          <w:w w:val="105"/>
        </w:rPr>
        <w:t>increased</w:t>
      </w:r>
      <w:r>
        <w:rPr>
          <w:color w:val="231F20"/>
          <w:spacing w:val="-22"/>
          <w:w w:val="105"/>
        </w:rPr>
        <w:t> </w:t>
      </w:r>
      <w:r>
        <w:rPr>
          <w:color w:val="231F20"/>
          <w:w w:val="105"/>
        </w:rPr>
        <w:t>water</w:t>
      </w:r>
      <w:r>
        <w:rPr>
          <w:color w:val="231F20"/>
          <w:spacing w:val="-21"/>
          <w:w w:val="105"/>
        </w:rPr>
        <w:t> </w:t>
      </w:r>
      <w:r>
        <w:rPr>
          <w:color w:val="231F20"/>
          <w:w w:val="105"/>
        </w:rPr>
        <w:t>reab- sorption and potassium secretion. Therefore, the </w:t>
      </w:r>
      <w:r>
        <w:rPr>
          <w:color w:val="231F20"/>
          <w:spacing w:val="-4"/>
          <w:w w:val="105"/>
        </w:rPr>
        <w:t>net </w:t>
      </w:r>
      <w:r>
        <w:rPr>
          <w:color w:val="231F20"/>
          <w:w w:val="105"/>
        </w:rPr>
        <w:t>effect</w:t>
      </w:r>
      <w:r>
        <w:rPr>
          <w:color w:val="231F20"/>
          <w:spacing w:val="-20"/>
          <w:w w:val="105"/>
        </w:rPr>
        <w:t> </w:t>
      </w:r>
      <w:r>
        <w:rPr>
          <w:color w:val="231F20"/>
          <w:w w:val="105"/>
        </w:rPr>
        <w:t>of</w:t>
      </w:r>
      <w:r>
        <w:rPr>
          <w:color w:val="231F20"/>
          <w:spacing w:val="-19"/>
          <w:w w:val="105"/>
        </w:rPr>
        <w:t> </w:t>
      </w:r>
      <w:r>
        <w:rPr>
          <w:color w:val="231F20"/>
          <w:w w:val="105"/>
        </w:rPr>
        <w:t>aldosterone</w:t>
      </w:r>
      <w:r>
        <w:rPr>
          <w:color w:val="231F20"/>
          <w:spacing w:val="-20"/>
          <w:w w:val="105"/>
        </w:rPr>
        <w:t> </w:t>
      </w:r>
      <w:r>
        <w:rPr>
          <w:color w:val="231F20"/>
          <w:w w:val="105"/>
        </w:rPr>
        <w:t>is</w:t>
      </w:r>
      <w:r>
        <w:rPr>
          <w:color w:val="231F20"/>
          <w:spacing w:val="-19"/>
          <w:w w:val="105"/>
        </w:rPr>
        <w:t> </w:t>
      </w:r>
      <w:r>
        <w:rPr>
          <w:color w:val="231F20"/>
          <w:w w:val="105"/>
        </w:rPr>
        <w:t>to</w:t>
      </w:r>
      <w:r>
        <w:rPr>
          <w:color w:val="231F20"/>
          <w:spacing w:val="-19"/>
          <w:w w:val="105"/>
        </w:rPr>
        <w:t> </w:t>
      </w:r>
      <w:r>
        <w:rPr>
          <w:color w:val="231F20"/>
          <w:w w:val="105"/>
        </w:rPr>
        <w:t>make</w:t>
      </w:r>
      <w:r>
        <w:rPr>
          <w:color w:val="231F20"/>
          <w:spacing w:val="-20"/>
          <w:w w:val="105"/>
        </w:rPr>
        <w:t> </w:t>
      </w:r>
      <w:r>
        <w:rPr>
          <w:color w:val="231F20"/>
          <w:w w:val="105"/>
        </w:rPr>
        <w:t>the</w:t>
      </w:r>
      <w:r>
        <w:rPr>
          <w:color w:val="231F20"/>
          <w:spacing w:val="-19"/>
          <w:w w:val="105"/>
        </w:rPr>
        <w:t> </w:t>
      </w:r>
      <w:r>
        <w:rPr>
          <w:color w:val="231F20"/>
          <w:w w:val="105"/>
        </w:rPr>
        <w:t>kidneys</w:t>
      </w:r>
      <w:r>
        <w:rPr>
          <w:color w:val="231F20"/>
          <w:spacing w:val="-19"/>
          <w:w w:val="105"/>
        </w:rPr>
        <w:t> </w:t>
      </w:r>
      <w:r>
        <w:rPr>
          <w:color w:val="231F20"/>
          <w:w w:val="105"/>
        </w:rPr>
        <w:t>retain</w:t>
      </w:r>
      <w:r>
        <w:rPr>
          <w:color w:val="231F20"/>
          <w:spacing w:val="-20"/>
          <w:w w:val="105"/>
        </w:rPr>
        <w:t> </w:t>
      </w:r>
      <w:r>
        <w:rPr>
          <w:color w:val="231F20"/>
          <w:spacing w:val="-3"/>
          <w:w w:val="105"/>
        </w:rPr>
        <w:t>sodium </w:t>
      </w:r>
      <w:r>
        <w:rPr>
          <w:color w:val="231F20"/>
          <w:w w:val="105"/>
        </w:rPr>
        <w:t>and</w:t>
      </w:r>
      <w:r>
        <w:rPr>
          <w:color w:val="231F20"/>
          <w:spacing w:val="-9"/>
          <w:w w:val="105"/>
        </w:rPr>
        <w:t> </w:t>
      </w:r>
      <w:r>
        <w:rPr>
          <w:color w:val="231F20"/>
          <w:w w:val="105"/>
        </w:rPr>
        <w:t>water</w:t>
      </w:r>
      <w:r>
        <w:rPr>
          <w:color w:val="231F20"/>
          <w:spacing w:val="-8"/>
          <w:w w:val="105"/>
        </w:rPr>
        <w:t> </w:t>
      </w:r>
      <w:r>
        <w:rPr>
          <w:color w:val="231F20"/>
          <w:w w:val="105"/>
        </w:rPr>
        <w:t>but</w:t>
      </w:r>
      <w:r>
        <w:rPr>
          <w:color w:val="231F20"/>
          <w:spacing w:val="-9"/>
          <w:w w:val="105"/>
        </w:rPr>
        <w:t> </w:t>
      </w:r>
      <w:r>
        <w:rPr>
          <w:color w:val="231F20"/>
          <w:w w:val="105"/>
        </w:rPr>
        <w:t>also</w:t>
      </w:r>
      <w:r>
        <w:rPr>
          <w:color w:val="231F20"/>
          <w:spacing w:val="-8"/>
          <w:w w:val="105"/>
        </w:rPr>
        <w:t> </w:t>
      </w:r>
      <w:r>
        <w:rPr>
          <w:color w:val="231F20"/>
          <w:w w:val="105"/>
        </w:rPr>
        <w:t>to</w:t>
      </w:r>
      <w:r>
        <w:rPr>
          <w:color w:val="231F20"/>
          <w:spacing w:val="-8"/>
          <w:w w:val="105"/>
        </w:rPr>
        <w:t> </w:t>
      </w:r>
      <w:r>
        <w:rPr>
          <w:color w:val="231F20"/>
          <w:w w:val="105"/>
        </w:rPr>
        <w:t>increase</w:t>
      </w:r>
      <w:r>
        <w:rPr>
          <w:color w:val="231F20"/>
          <w:spacing w:val="-9"/>
          <w:w w:val="105"/>
        </w:rPr>
        <w:t> </w:t>
      </w:r>
      <w:r>
        <w:rPr>
          <w:color w:val="231F20"/>
          <w:w w:val="105"/>
        </w:rPr>
        <w:t>potassium</w:t>
      </w:r>
      <w:r>
        <w:rPr>
          <w:color w:val="231F20"/>
          <w:spacing w:val="-8"/>
          <w:w w:val="105"/>
        </w:rPr>
        <w:t> </w:t>
      </w:r>
      <w:r>
        <w:rPr>
          <w:color w:val="231F20"/>
          <w:w w:val="105"/>
        </w:rPr>
        <w:t>excretion</w:t>
      </w:r>
      <w:r>
        <w:rPr>
          <w:color w:val="231F20"/>
          <w:spacing w:val="-8"/>
          <w:w w:val="105"/>
        </w:rPr>
        <w:t> </w:t>
      </w:r>
      <w:r>
        <w:rPr>
          <w:color w:val="231F20"/>
          <w:w w:val="105"/>
        </w:rPr>
        <w:t>in</w:t>
      </w:r>
      <w:r>
        <w:rPr>
          <w:color w:val="231F20"/>
          <w:spacing w:val="-9"/>
          <w:w w:val="105"/>
        </w:rPr>
        <w:t> </w:t>
      </w:r>
      <w:r>
        <w:rPr>
          <w:color w:val="231F20"/>
          <w:spacing w:val="-5"/>
          <w:w w:val="105"/>
        </w:rPr>
        <w:t>the </w:t>
      </w:r>
      <w:r>
        <w:rPr>
          <w:color w:val="231F20"/>
          <w:w w:val="105"/>
        </w:rPr>
        <w:t>urine.</w:t>
      </w:r>
    </w:p>
    <w:p>
      <w:pPr>
        <w:pStyle w:val="BodyText"/>
        <w:spacing w:line="249" w:lineRule="auto" w:before="6"/>
        <w:ind w:left="1080" w:firstLine="240"/>
        <w:jc w:val="both"/>
      </w:pPr>
      <w:r>
        <w:rPr/>
        <w:pict>
          <v:shape style="position:absolute;margin-left:306pt;margin-top:55.79393pt;width:234pt;height:397.85pt;mso-position-horizontal-relative:page;mso-position-vertical-relative:paragraph;z-index:252696576" type="#_x0000_t202" filled="true" fillcolor="#f0eef6" stroked="false">
            <v:textbox inset="0,0,0,0">
              <w:txbxContent>
                <w:p>
                  <w:pPr>
                    <w:spacing w:line="220" w:lineRule="exact" w:before="121"/>
                    <w:ind w:left="179" w:right="177" w:firstLine="240"/>
                    <w:jc w:val="both"/>
                    <w:rPr>
                      <w:sz w:val="18"/>
                    </w:rPr>
                  </w:pPr>
                  <w:r>
                    <w:rPr>
                      <w:rFonts w:ascii="Trebuchet MS"/>
                      <w:b/>
                      <w:color w:val="231F20"/>
                      <w:sz w:val="16"/>
                    </w:rPr>
                    <w:t>Excess ADH Secretion Usually Causes Only Small In- creases in Extracellular Fluid Volume but Large</w:t>
                  </w:r>
                  <w:r>
                    <w:rPr>
                      <w:rFonts w:ascii="Trebuchet MS"/>
                      <w:b/>
                      <w:color w:val="231F20"/>
                      <w:spacing w:val="-19"/>
                      <w:sz w:val="16"/>
                    </w:rPr>
                    <w:t> </w:t>
                  </w:r>
                  <w:r>
                    <w:rPr>
                      <w:rFonts w:ascii="Trebuchet MS"/>
                      <w:b/>
                      <w:color w:val="231F20"/>
                      <w:spacing w:val="-3"/>
                      <w:sz w:val="16"/>
                    </w:rPr>
                    <w:t>Decreases </w:t>
                  </w:r>
                  <w:r>
                    <w:rPr>
                      <w:rFonts w:ascii="Trebuchet MS"/>
                      <w:b/>
                      <w:color w:val="231F20"/>
                      <w:sz w:val="16"/>
                    </w:rPr>
                    <w:t>in Sodium Concentration. </w:t>
                  </w:r>
                  <w:r>
                    <w:rPr>
                      <w:color w:val="231F20"/>
                      <w:sz w:val="18"/>
                    </w:rPr>
                    <w:t>Although ADH is important </w:t>
                  </w:r>
                  <w:r>
                    <w:rPr>
                      <w:color w:val="231F20"/>
                      <w:spacing w:val="-6"/>
                      <w:sz w:val="18"/>
                    </w:rPr>
                    <w:t>in </w:t>
                  </w:r>
                  <w:r>
                    <w:rPr>
                      <w:color w:val="231F20"/>
                      <w:sz w:val="18"/>
                    </w:rPr>
                    <w:t>regulating extracellular fluid volume, excessive levels of ADH seldom cause  large  increases  in  arterial  pressure  or extracellular fluid volume. Infusion of large amounts of ADH into animals initially causes renal retention of water and</w:t>
                  </w:r>
                  <w:r>
                    <w:rPr>
                      <w:color w:val="231F20"/>
                      <w:spacing w:val="-7"/>
                      <w:sz w:val="18"/>
                    </w:rPr>
                    <w:t> </w:t>
                  </w:r>
                  <w:r>
                    <w:rPr>
                      <w:color w:val="231F20"/>
                      <w:sz w:val="18"/>
                    </w:rPr>
                    <w:t>a</w:t>
                  </w:r>
                  <w:r>
                    <w:rPr>
                      <w:color w:val="231F20"/>
                      <w:spacing w:val="-6"/>
                      <w:sz w:val="18"/>
                    </w:rPr>
                    <w:t> </w:t>
                  </w:r>
                  <w:r>
                    <w:rPr>
                      <w:color w:val="231F20"/>
                      <w:sz w:val="18"/>
                    </w:rPr>
                    <w:t>10</w:t>
                  </w:r>
                  <w:r>
                    <w:rPr>
                      <w:color w:val="231F20"/>
                      <w:spacing w:val="-7"/>
                      <w:sz w:val="18"/>
                    </w:rPr>
                    <w:t> </w:t>
                  </w:r>
                  <w:r>
                    <w:rPr>
                      <w:color w:val="231F20"/>
                      <w:sz w:val="18"/>
                    </w:rPr>
                    <w:t>to</w:t>
                  </w:r>
                  <w:r>
                    <w:rPr>
                      <w:color w:val="231F20"/>
                      <w:spacing w:val="-6"/>
                      <w:sz w:val="18"/>
                    </w:rPr>
                    <w:t> </w:t>
                  </w:r>
                  <w:r>
                    <w:rPr>
                      <w:color w:val="231F20"/>
                      <w:sz w:val="18"/>
                    </w:rPr>
                    <w:t>15</w:t>
                  </w:r>
                  <w:r>
                    <w:rPr>
                      <w:color w:val="231F20"/>
                      <w:spacing w:val="-6"/>
                      <w:sz w:val="18"/>
                    </w:rPr>
                    <w:t> </w:t>
                  </w:r>
                  <w:r>
                    <w:rPr>
                      <w:color w:val="231F20"/>
                      <w:sz w:val="18"/>
                    </w:rPr>
                    <w:t>percent</w:t>
                  </w:r>
                  <w:r>
                    <w:rPr>
                      <w:color w:val="231F20"/>
                      <w:spacing w:val="-7"/>
                      <w:sz w:val="18"/>
                    </w:rPr>
                    <w:t> </w:t>
                  </w:r>
                  <w:r>
                    <w:rPr>
                      <w:color w:val="231F20"/>
                      <w:sz w:val="18"/>
                    </w:rPr>
                    <w:t>increase</w:t>
                  </w:r>
                  <w:r>
                    <w:rPr>
                      <w:color w:val="231F20"/>
                      <w:spacing w:val="-6"/>
                      <w:sz w:val="18"/>
                    </w:rPr>
                    <w:t> </w:t>
                  </w:r>
                  <w:r>
                    <w:rPr>
                      <w:color w:val="231F20"/>
                      <w:sz w:val="18"/>
                    </w:rPr>
                    <w:t>in</w:t>
                  </w:r>
                  <w:r>
                    <w:rPr>
                      <w:color w:val="231F20"/>
                      <w:spacing w:val="-6"/>
                      <w:sz w:val="18"/>
                    </w:rPr>
                    <w:t> </w:t>
                  </w:r>
                  <w:r>
                    <w:rPr>
                      <w:color w:val="231F20"/>
                      <w:sz w:val="18"/>
                    </w:rPr>
                    <w:t>extracellular</w:t>
                  </w:r>
                  <w:r>
                    <w:rPr>
                      <w:color w:val="231F20"/>
                      <w:spacing w:val="-7"/>
                      <w:sz w:val="18"/>
                    </w:rPr>
                    <w:t> </w:t>
                  </w:r>
                  <w:r>
                    <w:rPr>
                      <w:color w:val="231F20"/>
                      <w:sz w:val="18"/>
                    </w:rPr>
                    <w:t>fluid</w:t>
                  </w:r>
                  <w:r>
                    <w:rPr>
                      <w:color w:val="231F20"/>
                      <w:spacing w:val="-6"/>
                      <w:sz w:val="18"/>
                    </w:rPr>
                    <w:t> </w:t>
                  </w:r>
                  <w:r>
                    <w:rPr>
                      <w:color w:val="231F20"/>
                      <w:sz w:val="18"/>
                    </w:rPr>
                    <w:t>volume. As the arterial pressure rises in response to this increased volume, much of the excess volume is excreted because of the pressure diuresis mechanism. Also, the rise in blood pressure causes pressure natriuresis and loss of sodium from</w:t>
                  </w:r>
                  <w:r>
                    <w:rPr>
                      <w:color w:val="231F20"/>
                      <w:spacing w:val="-7"/>
                      <w:sz w:val="18"/>
                    </w:rPr>
                    <w:t> </w:t>
                  </w:r>
                  <w:r>
                    <w:rPr>
                      <w:color w:val="231F20"/>
                      <w:sz w:val="18"/>
                    </w:rPr>
                    <w:t>the</w:t>
                  </w:r>
                  <w:r>
                    <w:rPr>
                      <w:color w:val="231F20"/>
                      <w:spacing w:val="-7"/>
                      <w:sz w:val="18"/>
                    </w:rPr>
                    <w:t> </w:t>
                  </w:r>
                  <w:r>
                    <w:rPr>
                      <w:color w:val="231F20"/>
                      <w:sz w:val="18"/>
                    </w:rPr>
                    <w:t>extracellular</w:t>
                  </w:r>
                  <w:r>
                    <w:rPr>
                      <w:color w:val="231F20"/>
                      <w:spacing w:val="-6"/>
                      <w:sz w:val="18"/>
                    </w:rPr>
                    <w:t> </w:t>
                  </w:r>
                  <w:r>
                    <w:rPr>
                      <w:color w:val="231F20"/>
                      <w:sz w:val="18"/>
                    </w:rPr>
                    <w:t>fluid.</w:t>
                  </w:r>
                  <w:r>
                    <w:rPr>
                      <w:color w:val="231F20"/>
                      <w:spacing w:val="-7"/>
                      <w:sz w:val="18"/>
                    </w:rPr>
                    <w:t> </w:t>
                  </w:r>
                  <w:r>
                    <w:rPr>
                      <w:color w:val="231F20"/>
                      <w:sz w:val="18"/>
                    </w:rPr>
                    <w:t>After</w:t>
                  </w:r>
                  <w:r>
                    <w:rPr>
                      <w:color w:val="231F20"/>
                      <w:spacing w:val="-6"/>
                      <w:sz w:val="18"/>
                    </w:rPr>
                    <w:t> </w:t>
                  </w:r>
                  <w:r>
                    <w:rPr>
                      <w:color w:val="231F20"/>
                      <w:sz w:val="18"/>
                    </w:rPr>
                    <w:t>several</w:t>
                  </w:r>
                  <w:r>
                    <w:rPr>
                      <w:color w:val="231F20"/>
                      <w:spacing w:val="-7"/>
                      <w:sz w:val="18"/>
                    </w:rPr>
                    <w:t> </w:t>
                  </w:r>
                  <w:r>
                    <w:rPr>
                      <w:color w:val="231F20"/>
                      <w:sz w:val="18"/>
                    </w:rPr>
                    <w:t>days</w:t>
                  </w:r>
                  <w:r>
                    <w:rPr>
                      <w:color w:val="231F20"/>
                      <w:spacing w:val="-6"/>
                      <w:sz w:val="18"/>
                    </w:rPr>
                    <w:t> </w:t>
                  </w:r>
                  <w:r>
                    <w:rPr>
                      <w:color w:val="231F20"/>
                      <w:sz w:val="18"/>
                    </w:rPr>
                    <w:t>of</w:t>
                  </w:r>
                  <w:r>
                    <w:rPr>
                      <w:color w:val="231F20"/>
                      <w:spacing w:val="-7"/>
                      <w:sz w:val="18"/>
                    </w:rPr>
                    <w:t> </w:t>
                  </w:r>
                  <w:r>
                    <w:rPr>
                      <w:color w:val="231F20"/>
                      <w:sz w:val="18"/>
                    </w:rPr>
                    <w:t>ADH</w:t>
                  </w:r>
                  <w:r>
                    <w:rPr>
                      <w:color w:val="231F20"/>
                      <w:spacing w:val="-6"/>
                      <w:sz w:val="18"/>
                    </w:rPr>
                    <w:t> </w:t>
                  </w:r>
                  <w:r>
                    <w:rPr>
                      <w:color w:val="231F20"/>
                      <w:sz w:val="18"/>
                    </w:rPr>
                    <w:t>infu- sion, the blood volume and extracellular fluid volume are elevated no more than 5 to 10 percent and the</w:t>
                  </w:r>
                  <w:r>
                    <w:rPr>
                      <w:color w:val="231F20"/>
                      <w:spacing w:val="12"/>
                      <w:sz w:val="18"/>
                    </w:rPr>
                    <w:t> </w:t>
                  </w:r>
                  <w:r>
                    <w:rPr>
                      <w:color w:val="231F20"/>
                      <w:sz w:val="18"/>
                    </w:rPr>
                    <w:t>arterial</w:t>
                  </w:r>
                </w:p>
                <w:p>
                  <w:pPr>
                    <w:spacing w:line="254" w:lineRule="auto" w:before="7"/>
                    <w:ind w:left="180" w:right="179" w:firstLine="0"/>
                    <w:jc w:val="both"/>
                    <w:rPr>
                      <w:sz w:val="18"/>
                    </w:rPr>
                  </w:pPr>
                  <w:r>
                    <w:rPr>
                      <w:color w:val="231F20"/>
                      <w:sz w:val="18"/>
                    </w:rPr>
                    <w:t>pressure is also elevated by less than 10 mm Hg. The same is true for patients with </w:t>
                  </w:r>
                  <w:r>
                    <w:rPr>
                      <w:i/>
                      <w:color w:val="231F20"/>
                      <w:sz w:val="18"/>
                    </w:rPr>
                    <w:t>inappropriate ADH syndrome, </w:t>
                  </w:r>
                  <w:r>
                    <w:rPr>
                      <w:color w:val="231F20"/>
                      <w:sz w:val="18"/>
                    </w:rPr>
                    <w:t>in which ADH levels may be elevated severalfold.</w:t>
                  </w:r>
                </w:p>
                <w:p>
                  <w:pPr>
                    <w:spacing w:line="254" w:lineRule="auto" w:before="2"/>
                    <w:ind w:left="180" w:right="177" w:firstLine="239"/>
                    <w:jc w:val="both"/>
                    <w:rPr>
                      <w:sz w:val="18"/>
                    </w:rPr>
                  </w:pPr>
                  <w:r>
                    <w:rPr>
                      <w:color w:val="231F20"/>
                      <w:sz w:val="18"/>
                    </w:rPr>
                    <w:t>Thus, high levels of ADH do not cause major increases of either body fluid volume or arterial pressure, although </w:t>
                  </w:r>
                  <w:r>
                    <w:rPr>
                      <w:i/>
                      <w:color w:val="231F20"/>
                      <w:sz w:val="18"/>
                    </w:rPr>
                    <w:t>high</w:t>
                  </w:r>
                  <w:r>
                    <w:rPr>
                      <w:i/>
                      <w:color w:val="231F20"/>
                      <w:spacing w:val="-14"/>
                      <w:sz w:val="18"/>
                    </w:rPr>
                    <w:t> </w:t>
                  </w:r>
                  <w:r>
                    <w:rPr>
                      <w:i/>
                      <w:color w:val="231F20"/>
                      <w:sz w:val="18"/>
                    </w:rPr>
                    <w:t>ADH</w:t>
                  </w:r>
                  <w:r>
                    <w:rPr>
                      <w:i/>
                      <w:color w:val="231F20"/>
                      <w:spacing w:val="-15"/>
                      <w:sz w:val="18"/>
                    </w:rPr>
                    <w:t> </w:t>
                  </w:r>
                  <w:r>
                    <w:rPr>
                      <w:i/>
                      <w:color w:val="231F20"/>
                      <w:sz w:val="18"/>
                    </w:rPr>
                    <w:t>levels</w:t>
                  </w:r>
                  <w:r>
                    <w:rPr>
                      <w:i/>
                      <w:color w:val="231F20"/>
                      <w:spacing w:val="-14"/>
                      <w:sz w:val="18"/>
                    </w:rPr>
                    <w:t> </w:t>
                  </w:r>
                  <w:r>
                    <w:rPr>
                      <w:i/>
                      <w:color w:val="231F20"/>
                      <w:sz w:val="18"/>
                    </w:rPr>
                    <w:t>can</w:t>
                  </w:r>
                  <w:r>
                    <w:rPr>
                      <w:i/>
                      <w:color w:val="231F20"/>
                      <w:spacing w:val="-14"/>
                      <w:sz w:val="18"/>
                    </w:rPr>
                    <w:t> </w:t>
                  </w:r>
                  <w:r>
                    <w:rPr>
                      <w:i/>
                      <w:color w:val="231F20"/>
                      <w:sz w:val="18"/>
                    </w:rPr>
                    <w:t>cause</w:t>
                  </w:r>
                  <w:r>
                    <w:rPr>
                      <w:i/>
                      <w:color w:val="231F20"/>
                      <w:spacing w:val="-14"/>
                      <w:sz w:val="18"/>
                    </w:rPr>
                    <w:t> </w:t>
                  </w:r>
                  <w:r>
                    <w:rPr>
                      <w:i/>
                      <w:color w:val="231F20"/>
                      <w:sz w:val="18"/>
                    </w:rPr>
                    <w:t>severe</w:t>
                  </w:r>
                  <w:r>
                    <w:rPr>
                      <w:i/>
                      <w:color w:val="231F20"/>
                      <w:spacing w:val="-14"/>
                      <w:sz w:val="18"/>
                    </w:rPr>
                    <w:t> </w:t>
                  </w:r>
                  <w:r>
                    <w:rPr>
                      <w:i/>
                      <w:color w:val="231F20"/>
                      <w:sz w:val="18"/>
                    </w:rPr>
                    <w:t>reductions</w:t>
                  </w:r>
                  <w:r>
                    <w:rPr>
                      <w:i/>
                      <w:color w:val="231F20"/>
                      <w:spacing w:val="-14"/>
                      <w:sz w:val="18"/>
                    </w:rPr>
                    <w:t> </w:t>
                  </w:r>
                  <w:r>
                    <w:rPr>
                      <w:i/>
                      <w:color w:val="231F20"/>
                      <w:sz w:val="18"/>
                    </w:rPr>
                    <w:t>in</w:t>
                  </w:r>
                  <w:r>
                    <w:rPr>
                      <w:i/>
                      <w:color w:val="231F20"/>
                      <w:spacing w:val="-14"/>
                      <w:sz w:val="18"/>
                    </w:rPr>
                    <w:t> </w:t>
                  </w:r>
                  <w:r>
                    <w:rPr>
                      <w:i/>
                      <w:color w:val="231F20"/>
                      <w:sz w:val="18"/>
                    </w:rPr>
                    <w:t>extracellular </w:t>
                  </w:r>
                  <w:r>
                    <w:rPr>
                      <w:i/>
                      <w:color w:val="231F20"/>
                      <w:sz w:val="18"/>
                    </w:rPr>
                    <w:t>sodium ion concentration</w:t>
                  </w:r>
                  <w:r>
                    <w:rPr>
                      <w:color w:val="231F20"/>
                      <w:sz w:val="18"/>
                    </w:rPr>
                    <w:t>. The reason for this is that increased water reabsorption by the kidneys dilutes the extracellular sodium, and at the same time, the small increase in blood pressure that does occur causes loss of sodium from the extracellular fluid in the urine through pressure</w:t>
                  </w:r>
                  <w:r>
                    <w:rPr>
                      <w:color w:val="231F20"/>
                      <w:spacing w:val="6"/>
                      <w:sz w:val="18"/>
                    </w:rPr>
                    <w:t> </w:t>
                  </w:r>
                  <w:r>
                    <w:rPr>
                      <w:color w:val="231F20"/>
                      <w:sz w:val="18"/>
                    </w:rPr>
                    <w:t>natriuresis.</w:t>
                  </w:r>
                </w:p>
                <w:p>
                  <w:pPr>
                    <w:spacing w:line="254" w:lineRule="auto" w:before="5"/>
                    <w:ind w:left="180" w:right="177" w:firstLine="239"/>
                    <w:jc w:val="both"/>
                    <w:rPr>
                      <w:sz w:val="18"/>
                    </w:rPr>
                  </w:pPr>
                  <w:r>
                    <w:rPr>
                      <w:color w:val="231F20"/>
                      <w:w w:val="105"/>
                      <w:sz w:val="18"/>
                    </w:rPr>
                    <w:t>In patients who have lost their ability to secrete ADH because of destruction of the supraoptic nuclei, the urine volume may become 5 to 10 times normal. This increase in volume is almost always compensated for by</w:t>
                  </w:r>
                  <w:r>
                    <w:rPr>
                      <w:color w:val="231F20"/>
                      <w:spacing w:val="-23"/>
                      <w:w w:val="105"/>
                      <w:sz w:val="18"/>
                    </w:rPr>
                    <w:t> </w:t>
                  </w:r>
                  <w:r>
                    <w:rPr>
                      <w:color w:val="231F20"/>
                      <w:w w:val="105"/>
                      <w:sz w:val="18"/>
                    </w:rPr>
                    <w:t>ingestion of enough water to maintain fluid balance. If free access to water is prevented, the inability to secrete ADH may lead to marked reductions in blood volume and arterial pressure.</w:t>
                  </w:r>
                </w:p>
              </w:txbxContent>
            </v:textbox>
            <v:fill type="solid"/>
            <w10:wrap type="none"/>
          </v:shape>
        </w:pict>
      </w:r>
      <w:r>
        <w:rPr>
          <w:color w:val="231F20"/>
          <w:w w:val="105"/>
        </w:rPr>
        <w:t>The function of aldosterone in regulating </w:t>
      </w:r>
      <w:r>
        <w:rPr>
          <w:color w:val="231F20"/>
          <w:spacing w:val="-3"/>
          <w:w w:val="105"/>
        </w:rPr>
        <w:t>sodium </w:t>
      </w:r>
      <w:r>
        <w:rPr>
          <w:color w:val="231F20"/>
          <w:w w:val="105"/>
        </w:rPr>
        <w:t>balance</w:t>
      </w:r>
      <w:r>
        <w:rPr>
          <w:color w:val="231F20"/>
          <w:spacing w:val="-27"/>
          <w:w w:val="105"/>
        </w:rPr>
        <w:t> </w:t>
      </w:r>
      <w:r>
        <w:rPr>
          <w:color w:val="231F20"/>
          <w:w w:val="105"/>
        </w:rPr>
        <w:t>is</w:t>
      </w:r>
      <w:r>
        <w:rPr>
          <w:color w:val="231F20"/>
          <w:spacing w:val="-27"/>
          <w:w w:val="105"/>
        </w:rPr>
        <w:t> </w:t>
      </w:r>
      <w:r>
        <w:rPr>
          <w:color w:val="231F20"/>
          <w:w w:val="105"/>
        </w:rPr>
        <w:t>closely</w:t>
      </w:r>
      <w:r>
        <w:rPr>
          <w:color w:val="231F20"/>
          <w:spacing w:val="-27"/>
          <w:w w:val="105"/>
        </w:rPr>
        <w:t> </w:t>
      </w:r>
      <w:r>
        <w:rPr>
          <w:color w:val="231F20"/>
          <w:w w:val="105"/>
        </w:rPr>
        <w:t>related</w:t>
      </w:r>
      <w:r>
        <w:rPr>
          <w:color w:val="231F20"/>
          <w:spacing w:val="-27"/>
          <w:w w:val="105"/>
        </w:rPr>
        <w:t> </w:t>
      </w:r>
      <w:r>
        <w:rPr>
          <w:color w:val="231F20"/>
          <w:w w:val="105"/>
        </w:rPr>
        <w:t>to</w:t>
      </w:r>
      <w:r>
        <w:rPr>
          <w:color w:val="231F20"/>
          <w:spacing w:val="-27"/>
          <w:w w:val="105"/>
        </w:rPr>
        <w:t> </w:t>
      </w:r>
      <w:r>
        <w:rPr>
          <w:color w:val="231F20"/>
          <w:w w:val="105"/>
        </w:rPr>
        <w:t>that</w:t>
      </w:r>
      <w:r>
        <w:rPr>
          <w:color w:val="231F20"/>
          <w:spacing w:val="-27"/>
          <w:w w:val="105"/>
        </w:rPr>
        <w:t> </w:t>
      </w:r>
      <w:r>
        <w:rPr>
          <w:color w:val="231F20"/>
          <w:w w:val="105"/>
        </w:rPr>
        <w:t>described</w:t>
      </w:r>
      <w:r>
        <w:rPr>
          <w:color w:val="231F20"/>
          <w:spacing w:val="-27"/>
          <w:w w:val="105"/>
        </w:rPr>
        <w:t> </w:t>
      </w:r>
      <w:r>
        <w:rPr>
          <w:color w:val="231F20"/>
          <w:w w:val="105"/>
        </w:rPr>
        <w:t>for</w:t>
      </w:r>
      <w:r>
        <w:rPr>
          <w:color w:val="231F20"/>
          <w:spacing w:val="-27"/>
          <w:w w:val="105"/>
        </w:rPr>
        <w:t> </w:t>
      </w:r>
      <w:r>
        <w:rPr>
          <w:color w:val="231F20"/>
          <w:w w:val="105"/>
        </w:rPr>
        <w:t>Ang</w:t>
      </w:r>
      <w:r>
        <w:rPr>
          <w:color w:val="231F20"/>
          <w:spacing w:val="-27"/>
          <w:w w:val="105"/>
        </w:rPr>
        <w:t> </w:t>
      </w:r>
      <w:r>
        <w:rPr>
          <w:color w:val="231F20"/>
          <w:w w:val="105"/>
        </w:rPr>
        <w:t>II.</w:t>
      </w:r>
      <w:r>
        <w:rPr>
          <w:color w:val="231F20"/>
          <w:spacing w:val="-27"/>
          <w:w w:val="105"/>
        </w:rPr>
        <w:t> </w:t>
      </w:r>
      <w:r>
        <w:rPr>
          <w:color w:val="231F20"/>
          <w:w w:val="105"/>
        </w:rPr>
        <w:t>That is,</w:t>
      </w:r>
      <w:r>
        <w:rPr>
          <w:color w:val="231F20"/>
          <w:spacing w:val="-6"/>
          <w:w w:val="105"/>
        </w:rPr>
        <w:t> </w:t>
      </w:r>
      <w:r>
        <w:rPr>
          <w:color w:val="231F20"/>
          <w:w w:val="105"/>
        </w:rPr>
        <w:t>with</w:t>
      </w:r>
      <w:r>
        <w:rPr>
          <w:color w:val="231F20"/>
          <w:spacing w:val="-6"/>
          <w:w w:val="105"/>
        </w:rPr>
        <w:t> </w:t>
      </w:r>
      <w:r>
        <w:rPr>
          <w:color w:val="231F20"/>
          <w:w w:val="105"/>
        </w:rPr>
        <w:t>reduction</w:t>
      </w:r>
      <w:r>
        <w:rPr>
          <w:color w:val="231F20"/>
          <w:spacing w:val="-6"/>
          <w:w w:val="105"/>
        </w:rPr>
        <w:t> </w:t>
      </w:r>
      <w:r>
        <w:rPr>
          <w:color w:val="231F20"/>
          <w:w w:val="105"/>
        </w:rPr>
        <w:t>in</w:t>
      </w:r>
      <w:r>
        <w:rPr>
          <w:color w:val="231F20"/>
          <w:spacing w:val="-6"/>
          <w:w w:val="105"/>
        </w:rPr>
        <w:t> </w:t>
      </w:r>
      <w:r>
        <w:rPr>
          <w:color w:val="231F20"/>
          <w:w w:val="105"/>
        </w:rPr>
        <w:t>sodium</w:t>
      </w:r>
      <w:r>
        <w:rPr>
          <w:color w:val="231F20"/>
          <w:spacing w:val="-6"/>
          <w:w w:val="105"/>
        </w:rPr>
        <w:t> </w:t>
      </w:r>
      <w:r>
        <w:rPr>
          <w:color w:val="231F20"/>
          <w:w w:val="105"/>
        </w:rPr>
        <w:t>intake,</w:t>
      </w:r>
      <w:r>
        <w:rPr>
          <w:color w:val="231F20"/>
          <w:spacing w:val="-6"/>
          <w:w w:val="105"/>
        </w:rPr>
        <w:t> </w:t>
      </w:r>
      <w:r>
        <w:rPr>
          <w:color w:val="231F20"/>
          <w:w w:val="105"/>
        </w:rPr>
        <w:t>the</w:t>
      </w:r>
      <w:r>
        <w:rPr>
          <w:color w:val="231F20"/>
          <w:spacing w:val="-6"/>
          <w:w w:val="105"/>
        </w:rPr>
        <w:t> </w:t>
      </w:r>
      <w:r>
        <w:rPr>
          <w:color w:val="231F20"/>
          <w:w w:val="105"/>
        </w:rPr>
        <w:t>increased</w:t>
      </w:r>
      <w:r>
        <w:rPr>
          <w:color w:val="231F20"/>
          <w:spacing w:val="-6"/>
          <w:w w:val="105"/>
        </w:rPr>
        <w:t> </w:t>
      </w:r>
      <w:r>
        <w:rPr>
          <w:color w:val="231F20"/>
          <w:w w:val="105"/>
        </w:rPr>
        <w:t>Ang</w:t>
      </w:r>
      <w:r>
        <w:rPr>
          <w:color w:val="231F20"/>
          <w:spacing w:val="-6"/>
          <w:w w:val="105"/>
        </w:rPr>
        <w:t> II </w:t>
      </w:r>
      <w:r>
        <w:rPr>
          <w:color w:val="231F20"/>
          <w:w w:val="105"/>
        </w:rPr>
        <w:t>levels that occur stimulate aldosterone secretion, </w:t>
      </w:r>
      <w:r>
        <w:rPr>
          <w:color w:val="231F20"/>
          <w:spacing w:val="-4"/>
          <w:w w:val="105"/>
        </w:rPr>
        <w:t>which </w:t>
      </w:r>
      <w:r>
        <w:rPr>
          <w:color w:val="231F20"/>
          <w:w w:val="105"/>
        </w:rPr>
        <w:t>in turn contributes to the reduction in urinary sodium excretion and, therefore, to the maintenance of sodium balance. Conversely, with high sodium intake, </w:t>
      </w:r>
      <w:r>
        <w:rPr>
          <w:color w:val="231F20"/>
          <w:spacing w:val="-2"/>
          <w:w w:val="105"/>
        </w:rPr>
        <w:t>suppres- </w:t>
      </w:r>
      <w:r>
        <w:rPr>
          <w:color w:val="231F20"/>
          <w:w w:val="105"/>
        </w:rPr>
        <w:t>sion of aldosterone formation decreases tubular </w:t>
      </w:r>
      <w:r>
        <w:rPr>
          <w:color w:val="231F20"/>
          <w:spacing w:val="-4"/>
          <w:w w:val="105"/>
        </w:rPr>
        <w:t>reab- </w:t>
      </w:r>
      <w:r>
        <w:rPr>
          <w:color w:val="231F20"/>
          <w:w w:val="105"/>
        </w:rPr>
        <w:t>sorption, allowing the kidneys to excrete larger</w:t>
      </w:r>
      <w:r>
        <w:rPr>
          <w:color w:val="231F20"/>
          <w:spacing w:val="-38"/>
          <w:w w:val="105"/>
        </w:rPr>
        <w:t> </w:t>
      </w:r>
      <w:r>
        <w:rPr>
          <w:color w:val="231F20"/>
          <w:spacing w:val="-3"/>
          <w:w w:val="105"/>
        </w:rPr>
        <w:t>amounts </w:t>
      </w:r>
      <w:r>
        <w:rPr>
          <w:color w:val="231F20"/>
          <w:w w:val="105"/>
        </w:rPr>
        <w:t>of sodium. Thus, changes in aldosterone formation also aid the pressure natriuresis mechanism in </w:t>
      </w:r>
      <w:r>
        <w:rPr>
          <w:color w:val="231F20"/>
          <w:spacing w:val="-3"/>
          <w:w w:val="105"/>
        </w:rPr>
        <w:t>maintaining </w:t>
      </w:r>
      <w:r>
        <w:rPr>
          <w:color w:val="231F20"/>
          <w:w w:val="105"/>
        </w:rPr>
        <w:t>sodium balance during variations in salt</w:t>
      </w:r>
      <w:r>
        <w:rPr>
          <w:color w:val="231F20"/>
          <w:spacing w:val="-6"/>
          <w:w w:val="105"/>
        </w:rPr>
        <w:t> </w:t>
      </w:r>
      <w:r>
        <w:rPr>
          <w:color w:val="231F20"/>
          <w:w w:val="105"/>
        </w:rPr>
        <w:t>intake.</w:t>
      </w:r>
    </w:p>
    <w:p>
      <w:pPr>
        <w:pStyle w:val="Heading2"/>
        <w:spacing w:line="225" w:lineRule="auto" w:before="112"/>
        <w:ind w:right="1988"/>
      </w:pPr>
      <w:r>
        <w:rPr>
          <w:b w:val="0"/>
        </w:rPr>
        <w:br w:type="column"/>
      </w:r>
      <w:r>
        <w:rPr>
          <w:color w:val="231F20"/>
          <w:w w:val="105"/>
        </w:rPr>
        <w:t>ROLE OF ADH IN CONTROLLING RENAL WATER EXCRETION</w:t>
      </w:r>
    </w:p>
    <w:p>
      <w:pPr>
        <w:pStyle w:val="BodyText"/>
        <w:spacing w:line="249" w:lineRule="auto" w:before="128"/>
        <w:ind w:left="319" w:right="1437"/>
        <w:jc w:val="both"/>
      </w:pPr>
      <w:r>
        <w:rPr>
          <w:color w:val="231F20"/>
        </w:rPr>
        <w:t>As discussed in Chapter 29, ADH plays an important role in allowing the kidneys to form a small volume of con- centrated urine while excreting normal amounts of salt. This effect is especially important during water depriva- tion, which strongly elevates plasma levels of ADH that in turn increase water reabsorption by the kidneys and help to minimize the decreases in extracellular </w:t>
      </w:r>
      <w:r>
        <w:rPr>
          <w:color w:val="231F20"/>
          <w:spacing w:val="-3"/>
        </w:rPr>
        <w:t>fluid </w:t>
      </w:r>
      <w:r>
        <w:rPr>
          <w:color w:val="231F20"/>
        </w:rPr>
        <w:t>volume and arterial pressure that would otherwise </w:t>
      </w:r>
      <w:r>
        <w:rPr>
          <w:color w:val="231F20"/>
          <w:spacing w:val="-3"/>
        </w:rPr>
        <w:t>occur. </w:t>
      </w:r>
      <w:r>
        <w:rPr>
          <w:color w:val="231F20"/>
          <w:spacing w:val="-4"/>
        </w:rPr>
        <w:t>Water </w:t>
      </w:r>
      <w:r>
        <w:rPr>
          <w:color w:val="231F20"/>
        </w:rPr>
        <w:t>deprivation for 24 to 48 hours normally causes only a small decrease in extracellular fluid volume and arterial pressure. However, if the effects of ADH are blocked</w:t>
      </w:r>
      <w:r>
        <w:rPr>
          <w:color w:val="231F20"/>
          <w:spacing w:val="-17"/>
        </w:rPr>
        <w:t> </w:t>
      </w:r>
      <w:r>
        <w:rPr>
          <w:color w:val="231F20"/>
        </w:rPr>
        <w:t>with a drug that antagonizes the action of ADH to promote water reabsorption in the distal and  collecting</w:t>
      </w:r>
      <w:r>
        <w:rPr>
          <w:color w:val="231F20"/>
          <w:spacing w:val="36"/>
        </w:rPr>
        <w:t> </w:t>
      </w:r>
      <w:r>
        <w:rPr>
          <w:color w:val="231F20"/>
        </w:rPr>
        <w:t>tubules, the same period of water deprivation causes a substantial fall in both extracellular fluid volume and arterial pres- sure. Conversely, when there is excess extracellular volume, </w:t>
      </w:r>
      <w:r>
        <w:rPr>
          <w:i/>
          <w:color w:val="231F20"/>
        </w:rPr>
        <w:t>decreased </w:t>
      </w:r>
      <w:r>
        <w:rPr>
          <w:color w:val="231F20"/>
        </w:rPr>
        <w:t>ADH levels reduce reabsorption of water by the kidneys, thus helping to rid the body of </w:t>
      </w:r>
      <w:r>
        <w:rPr>
          <w:color w:val="231F20"/>
          <w:spacing w:val="-6"/>
        </w:rPr>
        <w:t>the </w:t>
      </w:r>
      <w:r>
        <w:rPr>
          <w:color w:val="231F20"/>
        </w:rPr>
        <w:t>excess</w:t>
      </w:r>
      <w:r>
        <w:rPr>
          <w:color w:val="231F20"/>
          <w:spacing w:val="5"/>
        </w:rPr>
        <w:t> </w:t>
      </w:r>
      <w:r>
        <w:rPr>
          <w:color w:val="231F20"/>
        </w:rPr>
        <w:t>volume.</w:t>
      </w:r>
    </w:p>
    <w:p>
      <w:pPr>
        <w:spacing w:after="0" w:line="249" w:lineRule="auto"/>
        <w:jc w:val="both"/>
        <w:sectPr>
          <w:type w:val="continuous"/>
          <w:pgSz w:w="12240" w:h="15660"/>
          <w:pgMar w:top="0" w:bottom="760" w:left="0" w:right="0"/>
          <w:cols w:num="2" w:equalWidth="0">
            <w:col w:w="5761" w:space="40"/>
            <w:col w:w="6439"/>
          </w:cols>
        </w:sectPr>
      </w:pPr>
    </w:p>
    <w:p>
      <w:pPr>
        <w:pStyle w:val="BodyText"/>
        <w:spacing w:before="2"/>
        <w:rPr>
          <w:sz w:val="19"/>
        </w:rPr>
      </w:pPr>
    </w:p>
    <w:p>
      <w:pPr>
        <w:pStyle w:val="BodyText"/>
        <w:ind w:left="1080"/>
      </w:pPr>
      <w:r>
        <w:rPr/>
        <w:pict>
          <v:shape style="width:234pt;height:298.8pt;mso-position-horizontal-relative:char;mso-position-vertical-relative:line" type="#_x0000_t202" filled="true" fillcolor="#f0eef6" stroked="false">
            <w10:anchorlock/>
            <v:textbox inset="0,0,0,0">
              <w:txbxContent>
                <w:p>
                  <w:pPr>
                    <w:spacing w:line="220" w:lineRule="exact" w:before="119"/>
                    <w:ind w:left="179" w:right="177" w:firstLine="240"/>
                    <w:jc w:val="both"/>
                    <w:rPr>
                      <w:sz w:val="18"/>
                    </w:rPr>
                  </w:pPr>
                  <w:r>
                    <w:rPr>
                      <w:rFonts w:ascii="Trebuchet MS" w:hAnsi="Trebuchet MS"/>
                      <w:b/>
                      <w:color w:val="231F20"/>
                      <w:w w:val="105"/>
                      <w:sz w:val="16"/>
                    </w:rPr>
                    <w:t>During Chronic Oversecretion of Aldosterone, </w:t>
                  </w:r>
                  <w:r>
                    <w:rPr>
                      <w:rFonts w:ascii="Trebuchet MS" w:hAnsi="Trebuchet MS"/>
                      <w:b/>
                      <w:color w:val="231F20"/>
                      <w:spacing w:val="-6"/>
                      <w:w w:val="105"/>
                      <w:sz w:val="16"/>
                    </w:rPr>
                    <w:t>the </w:t>
                  </w:r>
                  <w:r>
                    <w:rPr>
                      <w:rFonts w:ascii="Trebuchet MS" w:hAnsi="Trebuchet MS"/>
                      <w:b/>
                      <w:color w:val="231F20"/>
                      <w:w w:val="105"/>
                      <w:sz w:val="16"/>
                    </w:rPr>
                    <w:t>Kidneys “Escape” from Sodium Retention as Arterial Pressure</w:t>
                  </w:r>
                  <w:r>
                    <w:rPr>
                      <w:rFonts w:ascii="Trebuchet MS" w:hAnsi="Trebuchet MS"/>
                      <w:b/>
                      <w:color w:val="231F20"/>
                      <w:spacing w:val="-26"/>
                      <w:w w:val="105"/>
                      <w:sz w:val="16"/>
                    </w:rPr>
                    <w:t> </w:t>
                  </w:r>
                  <w:r>
                    <w:rPr>
                      <w:rFonts w:ascii="Trebuchet MS" w:hAnsi="Trebuchet MS"/>
                      <w:b/>
                      <w:color w:val="231F20"/>
                      <w:w w:val="105"/>
                      <w:sz w:val="16"/>
                    </w:rPr>
                    <w:t>Rises.</w:t>
                  </w:r>
                  <w:r>
                    <w:rPr>
                      <w:rFonts w:ascii="Trebuchet MS" w:hAnsi="Trebuchet MS"/>
                      <w:b/>
                      <w:color w:val="231F20"/>
                      <w:spacing w:val="-12"/>
                      <w:w w:val="105"/>
                      <w:sz w:val="16"/>
                    </w:rPr>
                    <w:t> </w:t>
                  </w:r>
                  <w:r>
                    <w:rPr>
                      <w:color w:val="231F20"/>
                      <w:w w:val="105"/>
                      <w:sz w:val="18"/>
                    </w:rPr>
                    <w:t>Although</w:t>
                  </w:r>
                  <w:r>
                    <w:rPr>
                      <w:color w:val="231F20"/>
                      <w:spacing w:val="-23"/>
                      <w:w w:val="105"/>
                      <w:sz w:val="18"/>
                    </w:rPr>
                    <w:t> </w:t>
                  </w:r>
                  <w:r>
                    <w:rPr>
                      <w:color w:val="231F20"/>
                      <w:w w:val="105"/>
                      <w:sz w:val="18"/>
                    </w:rPr>
                    <w:t>aldosterone</w:t>
                  </w:r>
                  <w:r>
                    <w:rPr>
                      <w:color w:val="231F20"/>
                      <w:spacing w:val="-23"/>
                      <w:w w:val="105"/>
                      <w:sz w:val="18"/>
                    </w:rPr>
                    <w:t> </w:t>
                  </w:r>
                  <w:r>
                    <w:rPr>
                      <w:color w:val="231F20"/>
                      <w:w w:val="105"/>
                      <w:sz w:val="18"/>
                    </w:rPr>
                    <w:t>has</w:t>
                  </w:r>
                  <w:r>
                    <w:rPr>
                      <w:color w:val="231F20"/>
                      <w:spacing w:val="-23"/>
                      <w:w w:val="105"/>
                      <w:sz w:val="18"/>
                    </w:rPr>
                    <w:t> </w:t>
                  </w:r>
                  <w:r>
                    <w:rPr>
                      <w:color w:val="231F20"/>
                      <w:w w:val="105"/>
                      <w:sz w:val="18"/>
                    </w:rPr>
                    <w:t>powerful</w:t>
                  </w:r>
                  <w:r>
                    <w:rPr>
                      <w:color w:val="231F20"/>
                      <w:spacing w:val="-23"/>
                      <w:w w:val="105"/>
                      <w:sz w:val="18"/>
                    </w:rPr>
                    <w:t> </w:t>
                  </w:r>
                  <w:r>
                    <w:rPr>
                      <w:color w:val="231F20"/>
                      <w:w w:val="105"/>
                      <w:sz w:val="18"/>
                    </w:rPr>
                    <w:t>effects on sodium reabsorption, when there is excessive</w:t>
                  </w:r>
                  <w:r>
                    <w:rPr>
                      <w:color w:val="231F20"/>
                      <w:spacing w:val="-13"/>
                      <w:w w:val="105"/>
                      <w:sz w:val="18"/>
                    </w:rPr>
                    <w:t> </w:t>
                  </w:r>
                  <w:r>
                    <w:rPr>
                      <w:color w:val="231F20"/>
                      <w:w w:val="105"/>
                      <w:sz w:val="18"/>
                    </w:rPr>
                    <w:t>infusion of aldosterone or excessive  formation  of  aldosterone, as occurs in patients with tumors of the adrenal gland </w:t>
                  </w:r>
                  <w:r>
                    <w:rPr>
                      <w:color w:val="231F20"/>
                      <w:spacing w:val="-3"/>
                      <w:w w:val="105"/>
                      <w:sz w:val="18"/>
                    </w:rPr>
                    <w:t>(Conn’s</w:t>
                  </w:r>
                  <w:r>
                    <w:rPr>
                      <w:color w:val="231F20"/>
                      <w:spacing w:val="-22"/>
                      <w:w w:val="105"/>
                      <w:sz w:val="18"/>
                    </w:rPr>
                    <w:t> </w:t>
                  </w:r>
                  <w:r>
                    <w:rPr>
                      <w:color w:val="231F20"/>
                      <w:w w:val="105"/>
                      <w:sz w:val="18"/>
                    </w:rPr>
                    <w:t>syndrome),</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increased</w:t>
                  </w:r>
                  <w:r>
                    <w:rPr>
                      <w:color w:val="231F20"/>
                      <w:spacing w:val="-22"/>
                      <w:w w:val="105"/>
                      <w:sz w:val="18"/>
                    </w:rPr>
                    <w:t> </w:t>
                  </w:r>
                  <w:r>
                    <w:rPr>
                      <w:color w:val="231F20"/>
                      <w:w w:val="105"/>
                      <w:sz w:val="18"/>
                    </w:rPr>
                    <w:t>sodium</w:t>
                  </w:r>
                  <w:r>
                    <w:rPr>
                      <w:color w:val="231F20"/>
                      <w:spacing w:val="-22"/>
                      <w:w w:val="105"/>
                      <w:sz w:val="18"/>
                    </w:rPr>
                    <w:t> </w:t>
                  </w:r>
                  <w:r>
                    <w:rPr>
                      <w:color w:val="231F20"/>
                      <w:w w:val="105"/>
                      <w:sz w:val="18"/>
                    </w:rPr>
                    <w:t>reabsorption</w:t>
                  </w:r>
                  <w:r>
                    <w:rPr>
                      <w:color w:val="231F20"/>
                      <w:spacing w:val="-22"/>
                      <w:w w:val="105"/>
                      <w:sz w:val="18"/>
                    </w:rPr>
                    <w:t> </w:t>
                  </w:r>
                  <w:r>
                    <w:rPr>
                      <w:color w:val="231F20"/>
                      <w:w w:val="105"/>
                      <w:sz w:val="18"/>
                    </w:rPr>
                    <w:t>and decreased sodium excretion by the kidneys are transient. After</w:t>
                  </w:r>
                  <w:r>
                    <w:rPr>
                      <w:color w:val="231F20"/>
                      <w:spacing w:val="-8"/>
                      <w:w w:val="105"/>
                      <w:sz w:val="18"/>
                    </w:rPr>
                    <w:t> </w:t>
                  </w:r>
                  <w:r>
                    <w:rPr>
                      <w:color w:val="231F20"/>
                      <w:w w:val="105"/>
                      <w:sz w:val="18"/>
                    </w:rPr>
                    <w:t>1</w:t>
                  </w:r>
                  <w:r>
                    <w:rPr>
                      <w:color w:val="231F20"/>
                      <w:spacing w:val="-8"/>
                      <w:w w:val="105"/>
                      <w:sz w:val="18"/>
                    </w:rPr>
                    <w:t> </w:t>
                  </w:r>
                  <w:r>
                    <w:rPr>
                      <w:color w:val="231F20"/>
                      <w:w w:val="105"/>
                      <w:sz w:val="18"/>
                    </w:rPr>
                    <w:t>to</w:t>
                  </w:r>
                  <w:r>
                    <w:rPr>
                      <w:color w:val="231F20"/>
                      <w:spacing w:val="-8"/>
                      <w:w w:val="105"/>
                      <w:sz w:val="18"/>
                    </w:rPr>
                    <w:t> </w:t>
                  </w:r>
                  <w:r>
                    <w:rPr>
                      <w:color w:val="231F20"/>
                      <w:w w:val="105"/>
                      <w:sz w:val="18"/>
                    </w:rPr>
                    <w:t>3</w:t>
                  </w:r>
                  <w:r>
                    <w:rPr>
                      <w:color w:val="231F20"/>
                      <w:spacing w:val="-8"/>
                      <w:w w:val="105"/>
                      <w:sz w:val="18"/>
                    </w:rPr>
                    <w:t> </w:t>
                  </w:r>
                  <w:r>
                    <w:rPr>
                      <w:color w:val="231F20"/>
                      <w:w w:val="105"/>
                      <w:sz w:val="18"/>
                    </w:rPr>
                    <w:t>days</w:t>
                  </w:r>
                  <w:r>
                    <w:rPr>
                      <w:color w:val="231F20"/>
                      <w:spacing w:val="-7"/>
                      <w:w w:val="105"/>
                      <w:sz w:val="18"/>
                    </w:rPr>
                    <w:t> </w:t>
                  </w:r>
                  <w:r>
                    <w:rPr>
                      <w:color w:val="231F20"/>
                      <w:w w:val="105"/>
                      <w:sz w:val="18"/>
                    </w:rPr>
                    <w:t>of</w:t>
                  </w:r>
                  <w:r>
                    <w:rPr>
                      <w:color w:val="231F20"/>
                      <w:spacing w:val="-8"/>
                      <w:w w:val="105"/>
                      <w:sz w:val="18"/>
                    </w:rPr>
                    <w:t> </w:t>
                  </w:r>
                  <w:r>
                    <w:rPr>
                      <w:color w:val="231F20"/>
                      <w:w w:val="105"/>
                      <w:sz w:val="18"/>
                    </w:rPr>
                    <w:t>sodium</w:t>
                  </w:r>
                  <w:r>
                    <w:rPr>
                      <w:color w:val="231F20"/>
                      <w:spacing w:val="-8"/>
                      <w:w w:val="105"/>
                      <w:sz w:val="18"/>
                    </w:rPr>
                    <w:t> </w:t>
                  </w:r>
                  <w:r>
                    <w:rPr>
                      <w:color w:val="231F20"/>
                      <w:w w:val="105"/>
                      <w:sz w:val="18"/>
                    </w:rPr>
                    <w:t>and</w:t>
                  </w:r>
                  <w:r>
                    <w:rPr>
                      <w:color w:val="231F20"/>
                      <w:spacing w:val="-8"/>
                      <w:w w:val="105"/>
                      <w:sz w:val="18"/>
                    </w:rPr>
                    <w:t> </w:t>
                  </w:r>
                  <w:r>
                    <w:rPr>
                      <w:color w:val="231F20"/>
                      <w:w w:val="105"/>
                      <w:sz w:val="18"/>
                    </w:rPr>
                    <w:t>water</w:t>
                  </w:r>
                  <w:r>
                    <w:rPr>
                      <w:color w:val="231F20"/>
                      <w:spacing w:val="-7"/>
                      <w:w w:val="105"/>
                      <w:sz w:val="18"/>
                    </w:rPr>
                    <w:t> </w:t>
                  </w:r>
                  <w:r>
                    <w:rPr>
                      <w:color w:val="231F20"/>
                      <w:w w:val="105"/>
                      <w:sz w:val="18"/>
                    </w:rPr>
                    <w:t>retention,</w:t>
                  </w:r>
                  <w:r>
                    <w:rPr>
                      <w:color w:val="231F20"/>
                      <w:spacing w:val="-8"/>
                      <w:w w:val="105"/>
                      <w:sz w:val="18"/>
                    </w:rPr>
                    <w:t> </w:t>
                  </w:r>
                  <w:r>
                    <w:rPr>
                      <w:color w:val="231F20"/>
                      <w:w w:val="105"/>
                      <w:sz w:val="18"/>
                    </w:rPr>
                    <w:t>the</w:t>
                  </w:r>
                  <w:r>
                    <w:rPr>
                      <w:color w:val="231F20"/>
                      <w:spacing w:val="-8"/>
                      <w:w w:val="105"/>
                      <w:sz w:val="18"/>
                    </w:rPr>
                    <w:t> </w:t>
                  </w:r>
                  <w:r>
                    <w:rPr>
                      <w:color w:val="231F20"/>
                      <w:w w:val="105"/>
                      <w:sz w:val="18"/>
                    </w:rPr>
                    <w:t>extra- cellular fluid volume rises by about 10 to 15 percent and there</w:t>
                  </w:r>
                  <w:r>
                    <w:rPr>
                      <w:color w:val="231F20"/>
                      <w:spacing w:val="-9"/>
                      <w:w w:val="105"/>
                      <w:sz w:val="18"/>
                    </w:rPr>
                    <w:t> </w:t>
                  </w:r>
                  <w:r>
                    <w:rPr>
                      <w:color w:val="231F20"/>
                      <w:w w:val="105"/>
                      <w:sz w:val="18"/>
                    </w:rPr>
                    <w:t>is</w:t>
                  </w:r>
                  <w:r>
                    <w:rPr>
                      <w:color w:val="231F20"/>
                      <w:spacing w:val="-8"/>
                      <w:w w:val="105"/>
                      <w:sz w:val="18"/>
                    </w:rPr>
                    <w:t> </w:t>
                  </w:r>
                  <w:r>
                    <w:rPr>
                      <w:color w:val="231F20"/>
                      <w:w w:val="105"/>
                      <w:sz w:val="18"/>
                    </w:rPr>
                    <w:t>a</w:t>
                  </w:r>
                  <w:r>
                    <w:rPr>
                      <w:color w:val="231F20"/>
                      <w:spacing w:val="-8"/>
                      <w:w w:val="105"/>
                      <w:sz w:val="18"/>
                    </w:rPr>
                    <w:t> </w:t>
                  </w:r>
                  <w:r>
                    <w:rPr>
                      <w:color w:val="231F20"/>
                      <w:w w:val="105"/>
                      <w:sz w:val="18"/>
                    </w:rPr>
                    <w:t>simultaneous</w:t>
                  </w:r>
                  <w:r>
                    <w:rPr>
                      <w:color w:val="231F20"/>
                      <w:spacing w:val="-8"/>
                      <w:w w:val="105"/>
                      <w:sz w:val="18"/>
                    </w:rPr>
                    <w:t> </w:t>
                  </w:r>
                  <w:r>
                    <w:rPr>
                      <w:color w:val="231F20"/>
                      <w:w w:val="105"/>
                      <w:sz w:val="18"/>
                    </w:rPr>
                    <w:t>increase</w:t>
                  </w:r>
                  <w:r>
                    <w:rPr>
                      <w:color w:val="231F20"/>
                      <w:spacing w:val="-8"/>
                      <w:w w:val="105"/>
                      <w:sz w:val="18"/>
                    </w:rPr>
                    <w:t> </w:t>
                  </w:r>
                  <w:r>
                    <w:rPr>
                      <w:color w:val="231F20"/>
                      <w:w w:val="105"/>
                      <w:sz w:val="18"/>
                    </w:rPr>
                    <w:t>in</w:t>
                  </w:r>
                  <w:r>
                    <w:rPr>
                      <w:color w:val="231F20"/>
                      <w:spacing w:val="-8"/>
                      <w:w w:val="105"/>
                      <w:sz w:val="18"/>
                    </w:rPr>
                    <w:t> </w:t>
                  </w:r>
                  <w:r>
                    <w:rPr>
                      <w:color w:val="231F20"/>
                      <w:w w:val="105"/>
                      <w:sz w:val="18"/>
                    </w:rPr>
                    <w:t>arterial</w:t>
                  </w:r>
                  <w:r>
                    <w:rPr>
                      <w:color w:val="231F20"/>
                      <w:spacing w:val="-8"/>
                      <w:w w:val="105"/>
                      <w:sz w:val="18"/>
                    </w:rPr>
                    <w:t> </w:t>
                  </w:r>
                  <w:r>
                    <w:rPr>
                      <w:color w:val="231F20"/>
                      <w:w w:val="105"/>
                      <w:sz w:val="18"/>
                    </w:rPr>
                    <w:t>blood</w:t>
                  </w:r>
                  <w:r>
                    <w:rPr>
                      <w:color w:val="231F20"/>
                      <w:spacing w:val="-8"/>
                      <w:w w:val="105"/>
                      <w:sz w:val="18"/>
                    </w:rPr>
                    <w:t> </w:t>
                  </w:r>
                  <w:r>
                    <w:rPr>
                      <w:color w:val="231F20"/>
                      <w:w w:val="105"/>
                      <w:sz w:val="18"/>
                    </w:rPr>
                    <w:t>pressure. When the arterial pressure rises sufficiently, the kidneys “escape”</w:t>
                  </w:r>
                  <w:r>
                    <w:rPr>
                      <w:color w:val="231F20"/>
                      <w:spacing w:val="-15"/>
                      <w:w w:val="105"/>
                      <w:sz w:val="18"/>
                    </w:rPr>
                    <w:t> </w:t>
                  </w:r>
                  <w:r>
                    <w:rPr>
                      <w:color w:val="231F20"/>
                      <w:w w:val="105"/>
                      <w:sz w:val="18"/>
                    </w:rPr>
                    <w:t>from</w:t>
                  </w:r>
                  <w:r>
                    <w:rPr>
                      <w:color w:val="231F20"/>
                      <w:spacing w:val="-14"/>
                      <w:w w:val="105"/>
                      <w:sz w:val="18"/>
                    </w:rPr>
                    <w:t> </w:t>
                  </w:r>
                  <w:r>
                    <w:rPr>
                      <w:color w:val="231F20"/>
                      <w:w w:val="105"/>
                      <w:sz w:val="18"/>
                    </w:rPr>
                    <w:t>the</w:t>
                  </w:r>
                  <w:r>
                    <w:rPr>
                      <w:color w:val="231F20"/>
                      <w:spacing w:val="-15"/>
                      <w:w w:val="105"/>
                      <w:sz w:val="18"/>
                    </w:rPr>
                    <w:t> </w:t>
                  </w:r>
                  <w:r>
                    <w:rPr>
                      <w:color w:val="231F20"/>
                      <w:w w:val="105"/>
                      <w:sz w:val="18"/>
                    </w:rPr>
                    <w:t>sodium</w:t>
                  </w:r>
                  <w:r>
                    <w:rPr>
                      <w:color w:val="231F20"/>
                      <w:spacing w:val="-14"/>
                      <w:w w:val="105"/>
                      <w:sz w:val="18"/>
                    </w:rPr>
                    <w:t> </w:t>
                  </w:r>
                  <w:r>
                    <w:rPr>
                      <w:color w:val="231F20"/>
                      <w:w w:val="105"/>
                      <w:sz w:val="18"/>
                    </w:rPr>
                    <w:t>and</w:t>
                  </w:r>
                  <w:r>
                    <w:rPr>
                      <w:color w:val="231F20"/>
                      <w:spacing w:val="-14"/>
                      <w:w w:val="105"/>
                      <w:sz w:val="18"/>
                    </w:rPr>
                    <w:t> </w:t>
                  </w:r>
                  <w:r>
                    <w:rPr>
                      <w:color w:val="231F20"/>
                      <w:w w:val="105"/>
                      <w:sz w:val="18"/>
                    </w:rPr>
                    <w:t>water</w:t>
                  </w:r>
                  <w:r>
                    <w:rPr>
                      <w:color w:val="231F20"/>
                      <w:spacing w:val="-15"/>
                      <w:w w:val="105"/>
                      <w:sz w:val="18"/>
                    </w:rPr>
                    <w:t> </w:t>
                  </w:r>
                  <w:r>
                    <w:rPr>
                      <w:color w:val="231F20"/>
                      <w:w w:val="105"/>
                      <w:sz w:val="18"/>
                    </w:rPr>
                    <w:t>retention</w:t>
                  </w:r>
                  <w:r>
                    <w:rPr>
                      <w:color w:val="231F20"/>
                      <w:spacing w:val="-14"/>
                      <w:w w:val="105"/>
                      <w:sz w:val="18"/>
                    </w:rPr>
                    <w:t> </w:t>
                  </w:r>
                  <w:r>
                    <w:rPr>
                      <w:color w:val="231F20"/>
                      <w:w w:val="105"/>
                      <w:sz w:val="18"/>
                    </w:rPr>
                    <w:t>and</w:t>
                  </w:r>
                  <w:r>
                    <w:rPr>
                      <w:color w:val="231F20"/>
                      <w:spacing w:val="-14"/>
                      <w:w w:val="105"/>
                      <w:sz w:val="18"/>
                    </w:rPr>
                    <w:t> </w:t>
                  </w:r>
                  <w:r>
                    <w:rPr>
                      <w:color w:val="231F20"/>
                      <w:w w:val="105"/>
                      <w:sz w:val="18"/>
                    </w:rPr>
                    <w:t>thereaf- ter excrete amounts of sodium equal to the daily intake, despite the continued presence of high levels of aldoste- rone. The primary reason for the escape is the pressure natriuresis and diuresis that occur when the arterial pres- sure</w:t>
                  </w:r>
                  <w:r>
                    <w:rPr>
                      <w:color w:val="231F20"/>
                      <w:spacing w:val="3"/>
                      <w:w w:val="105"/>
                      <w:sz w:val="18"/>
                    </w:rPr>
                    <w:t> </w:t>
                  </w:r>
                  <w:r>
                    <w:rPr>
                      <w:color w:val="231F20"/>
                      <w:w w:val="105"/>
                      <w:sz w:val="18"/>
                    </w:rPr>
                    <w:t>rises.</w:t>
                  </w:r>
                </w:p>
                <w:p>
                  <w:pPr>
                    <w:spacing w:line="254" w:lineRule="auto" w:before="7"/>
                    <w:ind w:left="179" w:right="177" w:firstLine="239"/>
                    <w:jc w:val="both"/>
                    <w:rPr>
                      <w:sz w:val="18"/>
                    </w:rPr>
                  </w:pPr>
                  <w:r>
                    <w:rPr>
                      <w:color w:val="231F20"/>
                      <w:w w:val="105"/>
                      <w:sz w:val="18"/>
                    </w:rPr>
                    <w:t>In</w:t>
                  </w:r>
                  <w:r>
                    <w:rPr>
                      <w:color w:val="231F20"/>
                      <w:spacing w:val="-27"/>
                      <w:w w:val="105"/>
                      <w:sz w:val="18"/>
                    </w:rPr>
                    <w:t> </w:t>
                  </w:r>
                  <w:r>
                    <w:rPr>
                      <w:color w:val="231F20"/>
                      <w:w w:val="105"/>
                      <w:sz w:val="18"/>
                    </w:rPr>
                    <w:t>patients</w:t>
                  </w:r>
                  <w:r>
                    <w:rPr>
                      <w:color w:val="231F20"/>
                      <w:spacing w:val="-26"/>
                      <w:w w:val="105"/>
                      <w:sz w:val="18"/>
                    </w:rPr>
                    <w:t> </w:t>
                  </w:r>
                  <w:r>
                    <w:rPr>
                      <w:color w:val="231F20"/>
                      <w:w w:val="105"/>
                      <w:sz w:val="18"/>
                    </w:rPr>
                    <w:t>with</w:t>
                  </w:r>
                  <w:r>
                    <w:rPr>
                      <w:color w:val="231F20"/>
                      <w:spacing w:val="-26"/>
                      <w:w w:val="105"/>
                      <w:sz w:val="18"/>
                    </w:rPr>
                    <w:t> </w:t>
                  </w:r>
                  <w:r>
                    <w:rPr>
                      <w:color w:val="231F20"/>
                      <w:w w:val="105"/>
                      <w:sz w:val="18"/>
                    </w:rPr>
                    <w:t>adrenal</w:t>
                  </w:r>
                  <w:r>
                    <w:rPr>
                      <w:color w:val="231F20"/>
                      <w:spacing w:val="-27"/>
                      <w:w w:val="105"/>
                      <w:sz w:val="18"/>
                    </w:rPr>
                    <w:t> </w:t>
                  </w:r>
                  <w:r>
                    <w:rPr>
                      <w:color w:val="231F20"/>
                      <w:w w:val="105"/>
                      <w:sz w:val="18"/>
                    </w:rPr>
                    <w:t>insufficiency</w:t>
                  </w:r>
                  <w:r>
                    <w:rPr>
                      <w:color w:val="231F20"/>
                      <w:spacing w:val="-26"/>
                      <w:w w:val="105"/>
                      <w:sz w:val="18"/>
                    </w:rPr>
                    <w:t> </w:t>
                  </w:r>
                  <w:r>
                    <w:rPr>
                      <w:color w:val="231F20"/>
                      <w:w w:val="105"/>
                      <w:sz w:val="18"/>
                    </w:rPr>
                    <w:t>who</w:t>
                  </w:r>
                  <w:r>
                    <w:rPr>
                      <w:color w:val="231F20"/>
                      <w:spacing w:val="-26"/>
                      <w:w w:val="105"/>
                      <w:sz w:val="18"/>
                    </w:rPr>
                    <w:t> </w:t>
                  </w:r>
                  <w:r>
                    <w:rPr>
                      <w:color w:val="231F20"/>
                      <w:w w:val="105"/>
                      <w:sz w:val="18"/>
                    </w:rPr>
                    <w:t>do</w:t>
                  </w:r>
                  <w:r>
                    <w:rPr>
                      <w:color w:val="231F20"/>
                      <w:spacing w:val="-27"/>
                      <w:w w:val="105"/>
                      <w:sz w:val="18"/>
                    </w:rPr>
                    <w:t> </w:t>
                  </w:r>
                  <w:r>
                    <w:rPr>
                      <w:color w:val="231F20"/>
                      <w:w w:val="105"/>
                      <w:sz w:val="18"/>
                    </w:rPr>
                    <w:t>not</w:t>
                  </w:r>
                  <w:r>
                    <w:rPr>
                      <w:color w:val="231F20"/>
                      <w:spacing w:val="-26"/>
                      <w:w w:val="105"/>
                      <w:sz w:val="18"/>
                    </w:rPr>
                    <w:t> </w:t>
                  </w:r>
                  <w:r>
                    <w:rPr>
                      <w:color w:val="231F20"/>
                      <w:w w:val="105"/>
                      <w:sz w:val="18"/>
                    </w:rPr>
                    <w:t>secrete enough</w:t>
                  </w:r>
                  <w:r>
                    <w:rPr>
                      <w:color w:val="231F20"/>
                      <w:spacing w:val="-14"/>
                      <w:w w:val="105"/>
                      <w:sz w:val="18"/>
                    </w:rPr>
                    <w:t> </w:t>
                  </w:r>
                  <w:r>
                    <w:rPr>
                      <w:color w:val="231F20"/>
                      <w:w w:val="105"/>
                      <w:sz w:val="18"/>
                    </w:rPr>
                    <w:t>aldosterone</w:t>
                  </w:r>
                  <w:r>
                    <w:rPr>
                      <w:color w:val="231F20"/>
                      <w:spacing w:val="-14"/>
                      <w:w w:val="105"/>
                      <w:sz w:val="18"/>
                    </w:rPr>
                    <w:t> </w:t>
                  </w:r>
                  <w:r>
                    <w:rPr>
                      <w:color w:val="231F20"/>
                      <w:spacing w:val="-3"/>
                      <w:w w:val="105"/>
                      <w:sz w:val="18"/>
                    </w:rPr>
                    <w:t>(Addison’s</w:t>
                  </w:r>
                  <w:r>
                    <w:rPr>
                      <w:color w:val="231F20"/>
                      <w:spacing w:val="-14"/>
                      <w:w w:val="105"/>
                      <w:sz w:val="18"/>
                    </w:rPr>
                    <w:t> </w:t>
                  </w:r>
                  <w:r>
                    <w:rPr>
                      <w:color w:val="231F20"/>
                      <w:w w:val="105"/>
                      <w:sz w:val="18"/>
                    </w:rPr>
                    <w:t>disease),</w:t>
                  </w:r>
                  <w:r>
                    <w:rPr>
                      <w:color w:val="231F20"/>
                      <w:spacing w:val="-14"/>
                      <w:w w:val="105"/>
                      <w:sz w:val="18"/>
                    </w:rPr>
                    <w:t> </w:t>
                  </w:r>
                  <w:r>
                    <w:rPr>
                      <w:color w:val="231F20"/>
                      <w:w w:val="105"/>
                      <w:sz w:val="18"/>
                    </w:rPr>
                    <w:t>there</w:t>
                  </w:r>
                  <w:r>
                    <w:rPr>
                      <w:color w:val="231F20"/>
                      <w:spacing w:val="-14"/>
                      <w:w w:val="105"/>
                      <w:sz w:val="18"/>
                    </w:rPr>
                    <w:t> </w:t>
                  </w:r>
                  <w:r>
                    <w:rPr>
                      <w:color w:val="231F20"/>
                      <w:w w:val="105"/>
                      <w:sz w:val="18"/>
                    </w:rPr>
                    <w:t>is</w:t>
                  </w:r>
                  <w:r>
                    <w:rPr>
                      <w:color w:val="231F20"/>
                      <w:spacing w:val="-13"/>
                      <w:w w:val="105"/>
                      <w:sz w:val="18"/>
                    </w:rPr>
                    <w:t> </w:t>
                  </w:r>
                  <w:r>
                    <w:rPr>
                      <w:color w:val="231F20"/>
                      <w:w w:val="105"/>
                      <w:sz w:val="18"/>
                    </w:rPr>
                    <w:t>increased excretion of sodium and </w:t>
                  </w:r>
                  <w:r>
                    <w:rPr>
                      <w:color w:val="231F20"/>
                      <w:spacing w:val="-3"/>
                      <w:w w:val="105"/>
                      <w:sz w:val="18"/>
                    </w:rPr>
                    <w:t>water, </w:t>
                  </w:r>
                  <w:r>
                    <w:rPr>
                      <w:color w:val="231F20"/>
                      <w:w w:val="105"/>
                      <w:sz w:val="18"/>
                    </w:rPr>
                    <w:t>reduction in extracellular fluid volume, and a tendency toward low blood pressure. In</w:t>
                  </w:r>
                  <w:r>
                    <w:rPr>
                      <w:color w:val="231F20"/>
                      <w:spacing w:val="-12"/>
                      <w:w w:val="105"/>
                      <w:sz w:val="18"/>
                    </w:rPr>
                    <w:t> </w:t>
                  </w:r>
                  <w:r>
                    <w:rPr>
                      <w:color w:val="231F20"/>
                      <w:w w:val="105"/>
                      <w:sz w:val="18"/>
                    </w:rPr>
                    <w:t>the</w:t>
                  </w:r>
                  <w:r>
                    <w:rPr>
                      <w:color w:val="231F20"/>
                      <w:spacing w:val="-11"/>
                      <w:w w:val="105"/>
                      <w:sz w:val="18"/>
                    </w:rPr>
                    <w:t> </w:t>
                  </w:r>
                  <w:r>
                    <w:rPr>
                      <w:color w:val="231F20"/>
                      <w:w w:val="105"/>
                      <w:sz w:val="18"/>
                    </w:rPr>
                    <w:t>complete</w:t>
                  </w:r>
                  <w:r>
                    <w:rPr>
                      <w:color w:val="231F20"/>
                      <w:spacing w:val="-11"/>
                      <w:w w:val="105"/>
                      <w:sz w:val="18"/>
                    </w:rPr>
                    <w:t> </w:t>
                  </w:r>
                  <w:r>
                    <w:rPr>
                      <w:color w:val="231F20"/>
                      <w:w w:val="105"/>
                      <w:sz w:val="18"/>
                    </w:rPr>
                    <w:t>absence</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aldosterone,</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volume</w:t>
                  </w:r>
                  <w:r>
                    <w:rPr>
                      <w:color w:val="231F20"/>
                      <w:spacing w:val="-11"/>
                      <w:w w:val="105"/>
                      <w:sz w:val="18"/>
                    </w:rPr>
                    <w:t> </w:t>
                  </w:r>
                  <w:r>
                    <w:rPr>
                      <w:color w:val="231F20"/>
                      <w:w w:val="105"/>
                      <w:sz w:val="18"/>
                    </w:rPr>
                    <w:t>deple- tion</w:t>
                  </w:r>
                  <w:r>
                    <w:rPr>
                      <w:color w:val="231F20"/>
                      <w:spacing w:val="-15"/>
                      <w:w w:val="105"/>
                      <w:sz w:val="18"/>
                    </w:rPr>
                    <w:t> </w:t>
                  </w:r>
                  <w:r>
                    <w:rPr>
                      <w:color w:val="231F20"/>
                      <w:w w:val="105"/>
                      <w:sz w:val="18"/>
                    </w:rPr>
                    <w:t>may</w:t>
                  </w:r>
                  <w:r>
                    <w:rPr>
                      <w:color w:val="231F20"/>
                      <w:spacing w:val="-15"/>
                      <w:w w:val="105"/>
                      <w:sz w:val="18"/>
                    </w:rPr>
                    <w:t> </w:t>
                  </w:r>
                  <w:r>
                    <w:rPr>
                      <w:color w:val="231F20"/>
                      <w:w w:val="105"/>
                      <w:sz w:val="18"/>
                    </w:rPr>
                    <w:t>be</w:t>
                  </w:r>
                  <w:r>
                    <w:rPr>
                      <w:color w:val="231F20"/>
                      <w:spacing w:val="-15"/>
                      <w:w w:val="105"/>
                      <w:sz w:val="18"/>
                    </w:rPr>
                    <w:t> </w:t>
                  </w:r>
                  <w:r>
                    <w:rPr>
                      <w:color w:val="231F20"/>
                      <w:w w:val="105"/>
                      <w:sz w:val="18"/>
                    </w:rPr>
                    <w:t>severe</w:t>
                  </w:r>
                  <w:r>
                    <w:rPr>
                      <w:color w:val="231F20"/>
                      <w:spacing w:val="-15"/>
                      <w:w w:val="105"/>
                      <w:sz w:val="18"/>
                    </w:rPr>
                    <w:t> </w:t>
                  </w:r>
                  <w:r>
                    <w:rPr>
                      <w:color w:val="231F20"/>
                      <w:w w:val="105"/>
                      <w:sz w:val="18"/>
                    </w:rPr>
                    <w:t>unless</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person</w:t>
                  </w:r>
                  <w:r>
                    <w:rPr>
                      <w:color w:val="231F20"/>
                      <w:spacing w:val="-15"/>
                      <w:w w:val="105"/>
                      <w:sz w:val="18"/>
                    </w:rPr>
                    <w:t> </w:t>
                  </w:r>
                  <w:r>
                    <w:rPr>
                      <w:color w:val="231F20"/>
                      <w:w w:val="105"/>
                      <w:sz w:val="18"/>
                    </w:rPr>
                    <w:t>is</w:t>
                  </w:r>
                  <w:r>
                    <w:rPr>
                      <w:color w:val="231F20"/>
                      <w:spacing w:val="-14"/>
                      <w:w w:val="105"/>
                      <w:sz w:val="18"/>
                    </w:rPr>
                    <w:t> </w:t>
                  </w:r>
                  <w:r>
                    <w:rPr>
                      <w:color w:val="231F20"/>
                      <w:w w:val="105"/>
                      <w:sz w:val="18"/>
                    </w:rPr>
                    <w:t>allowed</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eat</w:t>
                  </w:r>
                  <w:r>
                    <w:rPr>
                      <w:color w:val="231F20"/>
                      <w:spacing w:val="-15"/>
                      <w:w w:val="105"/>
                      <w:sz w:val="18"/>
                    </w:rPr>
                    <w:t> </w:t>
                  </w:r>
                  <w:r>
                    <w:rPr>
                      <w:color w:val="231F20"/>
                      <w:w w:val="105"/>
                      <w:sz w:val="18"/>
                    </w:rPr>
                    <w:t>large amounts</w:t>
                  </w:r>
                  <w:r>
                    <w:rPr>
                      <w:color w:val="231F20"/>
                      <w:spacing w:val="-22"/>
                      <w:w w:val="105"/>
                      <w:sz w:val="18"/>
                    </w:rPr>
                    <w:t> </w:t>
                  </w:r>
                  <w:r>
                    <w:rPr>
                      <w:color w:val="231F20"/>
                      <w:w w:val="105"/>
                      <w:sz w:val="18"/>
                    </w:rPr>
                    <w:t>of</w:t>
                  </w:r>
                  <w:r>
                    <w:rPr>
                      <w:color w:val="231F20"/>
                      <w:spacing w:val="-21"/>
                      <w:w w:val="105"/>
                      <w:sz w:val="18"/>
                    </w:rPr>
                    <w:t> </w:t>
                  </w:r>
                  <w:r>
                    <w:rPr>
                      <w:color w:val="231F20"/>
                      <w:w w:val="105"/>
                      <w:sz w:val="18"/>
                    </w:rPr>
                    <w:t>salt</w:t>
                  </w:r>
                  <w:r>
                    <w:rPr>
                      <w:color w:val="231F20"/>
                      <w:spacing w:val="-22"/>
                      <w:w w:val="105"/>
                      <w:sz w:val="18"/>
                    </w:rPr>
                    <w:t> </w:t>
                  </w:r>
                  <w:r>
                    <w:rPr>
                      <w:color w:val="231F20"/>
                      <w:w w:val="105"/>
                      <w:sz w:val="18"/>
                    </w:rPr>
                    <w:t>and</w:t>
                  </w:r>
                  <w:r>
                    <w:rPr>
                      <w:color w:val="231F20"/>
                      <w:spacing w:val="-21"/>
                      <w:w w:val="105"/>
                      <w:sz w:val="18"/>
                    </w:rPr>
                    <w:t> </w:t>
                  </w:r>
                  <w:r>
                    <w:rPr>
                      <w:color w:val="231F20"/>
                      <w:w w:val="105"/>
                      <w:sz w:val="18"/>
                    </w:rPr>
                    <w:t>drink</w:t>
                  </w:r>
                  <w:r>
                    <w:rPr>
                      <w:color w:val="231F20"/>
                      <w:spacing w:val="-22"/>
                      <w:w w:val="105"/>
                      <w:sz w:val="18"/>
                    </w:rPr>
                    <w:t> </w:t>
                  </w:r>
                  <w:r>
                    <w:rPr>
                      <w:color w:val="231F20"/>
                      <w:w w:val="105"/>
                      <w:sz w:val="18"/>
                    </w:rPr>
                    <w:t>large</w:t>
                  </w:r>
                  <w:r>
                    <w:rPr>
                      <w:color w:val="231F20"/>
                      <w:spacing w:val="-21"/>
                      <w:w w:val="105"/>
                      <w:sz w:val="18"/>
                    </w:rPr>
                    <w:t> </w:t>
                  </w:r>
                  <w:r>
                    <w:rPr>
                      <w:color w:val="231F20"/>
                      <w:w w:val="105"/>
                      <w:sz w:val="18"/>
                    </w:rPr>
                    <w:t>amounts</w:t>
                  </w:r>
                  <w:r>
                    <w:rPr>
                      <w:color w:val="231F20"/>
                      <w:spacing w:val="-21"/>
                      <w:w w:val="105"/>
                      <w:sz w:val="18"/>
                    </w:rPr>
                    <w:t> </w:t>
                  </w:r>
                  <w:r>
                    <w:rPr>
                      <w:color w:val="231F20"/>
                      <w:w w:val="105"/>
                      <w:sz w:val="18"/>
                    </w:rPr>
                    <w:t>of</w:t>
                  </w:r>
                  <w:r>
                    <w:rPr>
                      <w:color w:val="231F20"/>
                      <w:spacing w:val="-22"/>
                      <w:w w:val="105"/>
                      <w:sz w:val="18"/>
                    </w:rPr>
                    <w:t> </w:t>
                  </w:r>
                  <w:r>
                    <w:rPr>
                      <w:color w:val="231F20"/>
                      <w:w w:val="105"/>
                      <w:sz w:val="18"/>
                    </w:rPr>
                    <w:t>water</w:t>
                  </w:r>
                  <w:r>
                    <w:rPr>
                      <w:color w:val="231F20"/>
                      <w:spacing w:val="-21"/>
                      <w:w w:val="105"/>
                      <w:sz w:val="18"/>
                    </w:rPr>
                    <w:t> </w:t>
                  </w:r>
                  <w:r>
                    <w:rPr>
                      <w:color w:val="231F20"/>
                      <w:w w:val="105"/>
                      <w:sz w:val="18"/>
                    </w:rPr>
                    <w:t>to</w:t>
                  </w:r>
                  <w:r>
                    <w:rPr>
                      <w:color w:val="231F20"/>
                      <w:spacing w:val="-22"/>
                      <w:w w:val="105"/>
                      <w:sz w:val="18"/>
                    </w:rPr>
                    <w:t> </w:t>
                  </w:r>
                  <w:r>
                    <w:rPr>
                      <w:color w:val="231F20"/>
                      <w:w w:val="105"/>
                      <w:sz w:val="18"/>
                    </w:rPr>
                    <w:t>balance the increased urine output of salt and</w:t>
                  </w:r>
                  <w:r>
                    <w:rPr>
                      <w:color w:val="231F20"/>
                      <w:spacing w:val="19"/>
                      <w:w w:val="105"/>
                      <w:sz w:val="18"/>
                    </w:rPr>
                    <w:t> </w:t>
                  </w:r>
                  <w:r>
                    <w:rPr>
                      <w:color w:val="231F20"/>
                      <w:spacing w:val="-3"/>
                      <w:w w:val="105"/>
                      <w:sz w:val="18"/>
                    </w:rPr>
                    <w:t>water.</w:t>
                  </w:r>
                </w:p>
              </w:txbxContent>
            </v:textbox>
            <v:fill type="solid"/>
          </v:shape>
        </w:pict>
      </w:r>
      <w:r>
        <w:rPr/>
      </w:r>
    </w:p>
    <w:p>
      <w:pPr>
        <w:spacing w:after="0"/>
        <w:sectPr>
          <w:type w:val="continuous"/>
          <w:pgSz w:w="12240" w:h="15660"/>
          <w:pgMar w:top="0" w:bottom="760" w:left="0" w:right="0"/>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926"/>
          <w:pgSz w:w="12240" w:h="15660"/>
          <w:pgMar w:header="0" w:footer="567" w:top="0" w:bottom="760" w:left="0" w:right="0"/>
        </w:sectPr>
      </w:pPr>
    </w:p>
    <w:p>
      <w:pPr>
        <w:pStyle w:val="Heading2"/>
        <w:spacing w:line="225" w:lineRule="auto" w:before="211"/>
        <w:ind w:left="1440" w:right="645"/>
      </w:pPr>
      <w:r>
        <w:rPr/>
        <w:pict>
          <v:group style="position:absolute;margin-left:0pt;margin-top:0pt;width:612pt;height:180pt;mso-position-horizontal-relative:page;mso-position-vertical-relative:page;z-index:-27270246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r>
        <w:rPr>
          <w:color w:val="231F20"/>
        </w:rPr>
        <w:t>ROLE OF ATRIAL NATRIURETIC PEPTIDE IN CONTROLLING RENAL EXCRETION</w:t>
      </w:r>
    </w:p>
    <w:p>
      <w:pPr>
        <w:pStyle w:val="BodyText"/>
        <w:spacing w:line="249" w:lineRule="auto" w:before="128"/>
        <w:ind w:left="1440"/>
        <w:jc w:val="both"/>
      </w:pPr>
      <w:r>
        <w:rPr>
          <w:color w:val="231F20"/>
          <w:w w:val="105"/>
        </w:rPr>
        <w:t>Thus </w:t>
      </w:r>
      <w:r>
        <w:rPr>
          <w:color w:val="231F20"/>
          <w:spacing w:val="-4"/>
          <w:w w:val="105"/>
        </w:rPr>
        <w:t>far, </w:t>
      </w:r>
      <w:r>
        <w:rPr>
          <w:color w:val="231F20"/>
          <w:w w:val="105"/>
        </w:rPr>
        <w:t>we have discussed mainly the role of sodium- and</w:t>
      </w:r>
      <w:r>
        <w:rPr>
          <w:color w:val="231F20"/>
          <w:spacing w:val="-22"/>
          <w:w w:val="105"/>
        </w:rPr>
        <w:t> </w:t>
      </w:r>
      <w:r>
        <w:rPr>
          <w:color w:val="231F20"/>
          <w:w w:val="105"/>
        </w:rPr>
        <w:t>water-retaining</w:t>
      </w:r>
      <w:r>
        <w:rPr>
          <w:color w:val="231F20"/>
          <w:spacing w:val="-21"/>
          <w:w w:val="105"/>
        </w:rPr>
        <w:t> </w:t>
      </w:r>
      <w:r>
        <w:rPr>
          <w:color w:val="231F20"/>
          <w:w w:val="105"/>
        </w:rPr>
        <w:t>hormones</w:t>
      </w:r>
      <w:r>
        <w:rPr>
          <w:color w:val="231F20"/>
          <w:spacing w:val="-21"/>
          <w:w w:val="105"/>
        </w:rPr>
        <w:t> </w:t>
      </w:r>
      <w:r>
        <w:rPr>
          <w:color w:val="231F20"/>
          <w:w w:val="105"/>
        </w:rPr>
        <w:t>in</w:t>
      </w:r>
      <w:r>
        <w:rPr>
          <w:color w:val="231F20"/>
          <w:spacing w:val="-21"/>
          <w:w w:val="105"/>
        </w:rPr>
        <w:t> </w:t>
      </w:r>
      <w:r>
        <w:rPr>
          <w:color w:val="231F20"/>
          <w:w w:val="105"/>
        </w:rPr>
        <w:t>controlling</w:t>
      </w:r>
      <w:r>
        <w:rPr>
          <w:color w:val="231F20"/>
          <w:spacing w:val="-21"/>
          <w:w w:val="105"/>
        </w:rPr>
        <w:t> </w:t>
      </w:r>
      <w:r>
        <w:rPr>
          <w:color w:val="231F20"/>
          <w:spacing w:val="-3"/>
          <w:w w:val="105"/>
        </w:rPr>
        <w:t>extracellular </w:t>
      </w:r>
      <w:r>
        <w:rPr>
          <w:color w:val="231F20"/>
          <w:w w:val="105"/>
        </w:rPr>
        <w:t>fluid</w:t>
      </w:r>
      <w:r>
        <w:rPr>
          <w:color w:val="231F20"/>
          <w:spacing w:val="-10"/>
          <w:w w:val="105"/>
        </w:rPr>
        <w:t> </w:t>
      </w:r>
      <w:r>
        <w:rPr>
          <w:color w:val="231F20"/>
          <w:w w:val="105"/>
        </w:rPr>
        <w:t>volume.</w:t>
      </w:r>
      <w:r>
        <w:rPr>
          <w:color w:val="231F20"/>
          <w:spacing w:val="-9"/>
          <w:w w:val="105"/>
        </w:rPr>
        <w:t> </w:t>
      </w:r>
      <w:r>
        <w:rPr>
          <w:color w:val="231F20"/>
          <w:w w:val="105"/>
        </w:rPr>
        <w:t>However,</w:t>
      </w:r>
      <w:r>
        <w:rPr>
          <w:color w:val="231F20"/>
          <w:spacing w:val="-9"/>
          <w:w w:val="105"/>
        </w:rPr>
        <w:t> </w:t>
      </w:r>
      <w:r>
        <w:rPr>
          <w:color w:val="231F20"/>
          <w:w w:val="105"/>
        </w:rPr>
        <w:t>several</w:t>
      </w:r>
      <w:r>
        <w:rPr>
          <w:color w:val="231F20"/>
          <w:spacing w:val="-9"/>
          <w:w w:val="105"/>
        </w:rPr>
        <w:t> </w:t>
      </w:r>
      <w:r>
        <w:rPr>
          <w:color w:val="231F20"/>
          <w:w w:val="105"/>
        </w:rPr>
        <w:t>different</w:t>
      </w:r>
      <w:r>
        <w:rPr>
          <w:color w:val="231F20"/>
          <w:spacing w:val="-9"/>
          <w:w w:val="105"/>
        </w:rPr>
        <w:t> </w:t>
      </w:r>
      <w:r>
        <w:rPr>
          <w:color w:val="231F20"/>
          <w:w w:val="105"/>
        </w:rPr>
        <w:t>natriuretic</w:t>
      </w:r>
      <w:r>
        <w:rPr>
          <w:color w:val="231F20"/>
          <w:spacing w:val="-9"/>
          <w:w w:val="105"/>
        </w:rPr>
        <w:t> </w:t>
      </w:r>
      <w:r>
        <w:rPr>
          <w:color w:val="231F20"/>
          <w:spacing w:val="-6"/>
          <w:w w:val="105"/>
        </w:rPr>
        <w:t>hor- </w:t>
      </w:r>
      <w:r>
        <w:rPr>
          <w:color w:val="231F20"/>
          <w:w w:val="105"/>
        </w:rPr>
        <w:t>mones</w:t>
      </w:r>
      <w:r>
        <w:rPr>
          <w:color w:val="231F20"/>
          <w:spacing w:val="-9"/>
          <w:w w:val="105"/>
        </w:rPr>
        <w:t> </w:t>
      </w:r>
      <w:r>
        <w:rPr>
          <w:color w:val="231F20"/>
          <w:w w:val="105"/>
        </w:rPr>
        <w:t>may</w:t>
      </w:r>
      <w:r>
        <w:rPr>
          <w:color w:val="231F20"/>
          <w:spacing w:val="-8"/>
          <w:w w:val="105"/>
        </w:rPr>
        <w:t> </w:t>
      </w:r>
      <w:r>
        <w:rPr>
          <w:color w:val="231F20"/>
          <w:w w:val="105"/>
        </w:rPr>
        <w:t>also</w:t>
      </w:r>
      <w:r>
        <w:rPr>
          <w:color w:val="231F20"/>
          <w:spacing w:val="-8"/>
          <w:w w:val="105"/>
        </w:rPr>
        <w:t> </w:t>
      </w:r>
      <w:r>
        <w:rPr>
          <w:color w:val="231F20"/>
          <w:w w:val="105"/>
        </w:rPr>
        <w:t>contribute</w:t>
      </w:r>
      <w:r>
        <w:rPr>
          <w:color w:val="231F20"/>
          <w:spacing w:val="-8"/>
          <w:w w:val="105"/>
        </w:rPr>
        <w:t> </w:t>
      </w:r>
      <w:r>
        <w:rPr>
          <w:color w:val="231F20"/>
          <w:w w:val="105"/>
        </w:rPr>
        <w:t>to</w:t>
      </w:r>
      <w:r>
        <w:rPr>
          <w:color w:val="231F20"/>
          <w:spacing w:val="-8"/>
          <w:w w:val="105"/>
        </w:rPr>
        <w:t> </w:t>
      </w:r>
      <w:r>
        <w:rPr>
          <w:color w:val="231F20"/>
          <w:w w:val="105"/>
        </w:rPr>
        <w:t>volume</w:t>
      </w:r>
      <w:r>
        <w:rPr>
          <w:color w:val="231F20"/>
          <w:spacing w:val="-8"/>
          <w:w w:val="105"/>
        </w:rPr>
        <w:t> </w:t>
      </w:r>
      <w:r>
        <w:rPr>
          <w:color w:val="231F20"/>
          <w:w w:val="105"/>
        </w:rPr>
        <w:t>regulation.</w:t>
      </w:r>
      <w:r>
        <w:rPr>
          <w:color w:val="231F20"/>
          <w:spacing w:val="-8"/>
          <w:w w:val="105"/>
        </w:rPr>
        <w:t> </w:t>
      </w:r>
      <w:r>
        <w:rPr>
          <w:color w:val="231F20"/>
          <w:w w:val="105"/>
        </w:rPr>
        <w:t>One</w:t>
      </w:r>
      <w:r>
        <w:rPr>
          <w:color w:val="231F20"/>
          <w:spacing w:val="-8"/>
          <w:w w:val="105"/>
        </w:rPr>
        <w:t> </w:t>
      </w:r>
      <w:r>
        <w:rPr>
          <w:color w:val="231F20"/>
          <w:spacing w:val="-6"/>
          <w:w w:val="105"/>
        </w:rPr>
        <w:t>of </w:t>
      </w:r>
      <w:r>
        <w:rPr>
          <w:color w:val="231F20"/>
          <w:w w:val="105"/>
        </w:rPr>
        <w:t>the most important of these is a peptide referred to as </w:t>
      </w:r>
      <w:r>
        <w:rPr>
          <w:i/>
          <w:color w:val="231F20"/>
          <w:w w:val="105"/>
        </w:rPr>
        <w:t>atrial natriuretic peptide (ANP), </w:t>
      </w:r>
      <w:r>
        <w:rPr>
          <w:color w:val="231F20"/>
          <w:w w:val="105"/>
        </w:rPr>
        <w:t>released by the</w:t>
      </w:r>
      <w:r>
        <w:rPr>
          <w:color w:val="231F20"/>
          <w:spacing w:val="-28"/>
          <w:w w:val="105"/>
        </w:rPr>
        <w:t> </w:t>
      </w:r>
      <w:r>
        <w:rPr>
          <w:color w:val="231F20"/>
          <w:w w:val="105"/>
        </w:rPr>
        <w:t>cardiac atrial muscle fibers. The stimulus for release of </w:t>
      </w:r>
      <w:r>
        <w:rPr>
          <w:color w:val="231F20"/>
          <w:spacing w:val="-4"/>
          <w:w w:val="105"/>
        </w:rPr>
        <w:t>this </w:t>
      </w:r>
      <w:r>
        <w:rPr>
          <w:color w:val="231F20"/>
          <w:w w:val="105"/>
        </w:rPr>
        <w:t>peptide</w:t>
      </w:r>
      <w:r>
        <w:rPr>
          <w:color w:val="231F20"/>
          <w:spacing w:val="-17"/>
          <w:w w:val="105"/>
        </w:rPr>
        <w:t> </w:t>
      </w:r>
      <w:r>
        <w:rPr>
          <w:color w:val="231F20"/>
          <w:w w:val="105"/>
        </w:rPr>
        <w:t>appears</w:t>
      </w:r>
      <w:r>
        <w:rPr>
          <w:color w:val="231F20"/>
          <w:spacing w:val="-16"/>
          <w:w w:val="105"/>
        </w:rPr>
        <w:t> </w:t>
      </w:r>
      <w:r>
        <w:rPr>
          <w:color w:val="231F20"/>
          <w:w w:val="105"/>
        </w:rPr>
        <w:t>to</w:t>
      </w:r>
      <w:r>
        <w:rPr>
          <w:color w:val="231F20"/>
          <w:spacing w:val="-16"/>
          <w:w w:val="105"/>
        </w:rPr>
        <w:t> </w:t>
      </w:r>
      <w:r>
        <w:rPr>
          <w:color w:val="231F20"/>
          <w:w w:val="105"/>
        </w:rPr>
        <w:t>be</w:t>
      </w:r>
      <w:r>
        <w:rPr>
          <w:color w:val="231F20"/>
          <w:spacing w:val="-16"/>
          <w:w w:val="105"/>
        </w:rPr>
        <w:t> </w:t>
      </w:r>
      <w:r>
        <w:rPr>
          <w:color w:val="231F20"/>
          <w:w w:val="105"/>
        </w:rPr>
        <w:t>increased</w:t>
      </w:r>
      <w:r>
        <w:rPr>
          <w:color w:val="231F20"/>
          <w:spacing w:val="-17"/>
          <w:w w:val="105"/>
        </w:rPr>
        <w:t> </w:t>
      </w:r>
      <w:r>
        <w:rPr>
          <w:color w:val="231F20"/>
          <w:w w:val="105"/>
        </w:rPr>
        <w:t>stretch</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atria,</w:t>
      </w:r>
      <w:r>
        <w:rPr>
          <w:color w:val="231F20"/>
          <w:spacing w:val="-16"/>
          <w:w w:val="105"/>
        </w:rPr>
        <w:t> </w:t>
      </w:r>
      <w:r>
        <w:rPr>
          <w:color w:val="231F20"/>
          <w:w w:val="105"/>
        </w:rPr>
        <w:t>which can result from excess blood volume. Once released </w:t>
      </w:r>
      <w:r>
        <w:rPr>
          <w:color w:val="231F20"/>
          <w:spacing w:val="-6"/>
          <w:w w:val="105"/>
        </w:rPr>
        <w:t>by </w:t>
      </w:r>
      <w:r>
        <w:rPr>
          <w:color w:val="231F20"/>
          <w:w w:val="105"/>
        </w:rPr>
        <w:t>the cardiac atria, ANP enters the circulation and acts </w:t>
      </w:r>
      <w:r>
        <w:rPr>
          <w:color w:val="231F20"/>
          <w:spacing w:val="-8"/>
          <w:w w:val="105"/>
        </w:rPr>
        <w:t>on </w:t>
      </w:r>
      <w:r>
        <w:rPr>
          <w:color w:val="231F20"/>
          <w:w w:val="105"/>
        </w:rPr>
        <w:t>the</w:t>
      </w:r>
      <w:r>
        <w:rPr>
          <w:color w:val="231F20"/>
          <w:spacing w:val="-28"/>
          <w:w w:val="105"/>
        </w:rPr>
        <w:t> </w:t>
      </w:r>
      <w:r>
        <w:rPr>
          <w:color w:val="231F20"/>
          <w:w w:val="105"/>
        </w:rPr>
        <w:t>kidneys</w:t>
      </w:r>
      <w:r>
        <w:rPr>
          <w:color w:val="231F20"/>
          <w:spacing w:val="-28"/>
          <w:w w:val="105"/>
        </w:rPr>
        <w:t> </w:t>
      </w:r>
      <w:r>
        <w:rPr>
          <w:color w:val="231F20"/>
          <w:w w:val="105"/>
        </w:rPr>
        <w:t>to</w:t>
      </w:r>
      <w:r>
        <w:rPr>
          <w:color w:val="231F20"/>
          <w:spacing w:val="-27"/>
          <w:w w:val="105"/>
        </w:rPr>
        <w:t> </w:t>
      </w:r>
      <w:r>
        <w:rPr>
          <w:color w:val="231F20"/>
          <w:w w:val="105"/>
        </w:rPr>
        <w:t>cause</w:t>
      </w:r>
      <w:r>
        <w:rPr>
          <w:color w:val="231F20"/>
          <w:spacing w:val="-28"/>
          <w:w w:val="105"/>
        </w:rPr>
        <w:t> </w:t>
      </w:r>
      <w:r>
        <w:rPr>
          <w:color w:val="231F20"/>
          <w:w w:val="105"/>
        </w:rPr>
        <w:t>small</w:t>
      </w:r>
      <w:r>
        <w:rPr>
          <w:color w:val="231F20"/>
          <w:spacing w:val="-27"/>
          <w:w w:val="105"/>
        </w:rPr>
        <w:t> </w:t>
      </w:r>
      <w:r>
        <w:rPr>
          <w:color w:val="231F20"/>
          <w:w w:val="105"/>
        </w:rPr>
        <w:t>increases</w:t>
      </w:r>
      <w:r>
        <w:rPr>
          <w:color w:val="231F20"/>
          <w:spacing w:val="-28"/>
          <w:w w:val="105"/>
        </w:rPr>
        <w:t> </w:t>
      </w:r>
      <w:r>
        <w:rPr>
          <w:color w:val="231F20"/>
          <w:w w:val="105"/>
        </w:rPr>
        <w:t>in</w:t>
      </w:r>
      <w:r>
        <w:rPr>
          <w:color w:val="231F20"/>
          <w:spacing w:val="-27"/>
          <w:w w:val="105"/>
        </w:rPr>
        <w:t> </w:t>
      </w:r>
      <w:r>
        <w:rPr>
          <w:color w:val="231F20"/>
          <w:w w:val="105"/>
        </w:rPr>
        <w:t>GFR</w:t>
      </w:r>
      <w:r>
        <w:rPr>
          <w:color w:val="231F20"/>
          <w:spacing w:val="-28"/>
          <w:w w:val="105"/>
        </w:rPr>
        <w:t> </w:t>
      </w:r>
      <w:r>
        <w:rPr>
          <w:color w:val="231F20"/>
          <w:w w:val="105"/>
        </w:rPr>
        <w:t>and</w:t>
      </w:r>
      <w:r>
        <w:rPr>
          <w:color w:val="231F20"/>
          <w:spacing w:val="-27"/>
          <w:w w:val="105"/>
        </w:rPr>
        <w:t> </w:t>
      </w:r>
      <w:r>
        <w:rPr>
          <w:color w:val="231F20"/>
          <w:w w:val="105"/>
        </w:rPr>
        <w:t>decreases in sodium reabsorption by the collecting ducts. </w:t>
      </w:r>
      <w:r>
        <w:rPr>
          <w:color w:val="231F20"/>
          <w:spacing w:val="-3"/>
          <w:w w:val="105"/>
        </w:rPr>
        <w:t>These </w:t>
      </w:r>
      <w:r>
        <w:rPr>
          <w:color w:val="231F20"/>
          <w:w w:val="105"/>
        </w:rPr>
        <w:t>combined actions of ANP lead to increased excretion</w:t>
      </w:r>
      <w:r>
        <w:rPr>
          <w:color w:val="231F20"/>
          <w:spacing w:val="-30"/>
          <w:w w:val="105"/>
        </w:rPr>
        <w:t> </w:t>
      </w:r>
      <w:r>
        <w:rPr>
          <w:color w:val="231F20"/>
          <w:w w:val="105"/>
        </w:rPr>
        <w:t>of salt</w:t>
      </w:r>
      <w:r>
        <w:rPr>
          <w:color w:val="231F20"/>
          <w:spacing w:val="-7"/>
          <w:w w:val="105"/>
        </w:rPr>
        <w:t> </w:t>
      </w:r>
      <w:r>
        <w:rPr>
          <w:color w:val="231F20"/>
          <w:w w:val="105"/>
        </w:rPr>
        <w:t>and</w:t>
      </w:r>
      <w:r>
        <w:rPr>
          <w:color w:val="231F20"/>
          <w:spacing w:val="-6"/>
          <w:w w:val="105"/>
        </w:rPr>
        <w:t> </w:t>
      </w:r>
      <w:r>
        <w:rPr>
          <w:color w:val="231F20"/>
          <w:spacing w:val="-3"/>
          <w:w w:val="105"/>
        </w:rPr>
        <w:t>water,</w:t>
      </w:r>
      <w:r>
        <w:rPr>
          <w:color w:val="231F20"/>
          <w:spacing w:val="-7"/>
          <w:w w:val="105"/>
        </w:rPr>
        <w:t> </w:t>
      </w:r>
      <w:r>
        <w:rPr>
          <w:color w:val="231F20"/>
          <w:w w:val="105"/>
        </w:rPr>
        <w:t>which</w:t>
      </w:r>
      <w:r>
        <w:rPr>
          <w:color w:val="231F20"/>
          <w:spacing w:val="-6"/>
          <w:w w:val="105"/>
        </w:rPr>
        <w:t> </w:t>
      </w:r>
      <w:r>
        <w:rPr>
          <w:color w:val="231F20"/>
          <w:w w:val="105"/>
        </w:rPr>
        <w:t>helps</w:t>
      </w:r>
      <w:r>
        <w:rPr>
          <w:color w:val="231F20"/>
          <w:spacing w:val="-7"/>
          <w:w w:val="105"/>
        </w:rPr>
        <w:t> </w:t>
      </w:r>
      <w:r>
        <w:rPr>
          <w:color w:val="231F20"/>
          <w:w w:val="105"/>
        </w:rPr>
        <w:t>to</w:t>
      </w:r>
      <w:r>
        <w:rPr>
          <w:color w:val="231F20"/>
          <w:spacing w:val="-6"/>
          <w:w w:val="105"/>
        </w:rPr>
        <w:t> </w:t>
      </w:r>
      <w:r>
        <w:rPr>
          <w:color w:val="231F20"/>
          <w:w w:val="105"/>
        </w:rPr>
        <w:t>compensate</w:t>
      </w:r>
      <w:r>
        <w:rPr>
          <w:color w:val="231F20"/>
          <w:spacing w:val="-7"/>
          <w:w w:val="105"/>
        </w:rPr>
        <w:t> </w:t>
      </w:r>
      <w:r>
        <w:rPr>
          <w:color w:val="231F20"/>
          <w:w w:val="105"/>
        </w:rPr>
        <w:t>for</w:t>
      </w:r>
      <w:r>
        <w:rPr>
          <w:color w:val="231F20"/>
          <w:spacing w:val="-6"/>
          <w:w w:val="105"/>
        </w:rPr>
        <w:t> </w:t>
      </w:r>
      <w:r>
        <w:rPr>
          <w:color w:val="231F20"/>
          <w:w w:val="105"/>
        </w:rPr>
        <w:t>the</w:t>
      </w:r>
      <w:r>
        <w:rPr>
          <w:color w:val="231F20"/>
          <w:spacing w:val="-7"/>
          <w:w w:val="105"/>
        </w:rPr>
        <w:t> </w:t>
      </w:r>
      <w:r>
        <w:rPr>
          <w:color w:val="231F20"/>
          <w:w w:val="105"/>
        </w:rPr>
        <w:t>excess blood</w:t>
      </w:r>
      <w:r>
        <w:rPr>
          <w:color w:val="231F20"/>
          <w:spacing w:val="2"/>
          <w:w w:val="105"/>
        </w:rPr>
        <w:t> </w:t>
      </w:r>
      <w:r>
        <w:rPr>
          <w:color w:val="231F20"/>
          <w:w w:val="105"/>
        </w:rPr>
        <w:t>volume.</w:t>
      </w:r>
    </w:p>
    <w:p>
      <w:pPr>
        <w:pStyle w:val="BodyText"/>
        <w:spacing w:line="249" w:lineRule="auto" w:before="13"/>
        <w:ind w:left="1440" w:firstLine="240"/>
        <w:jc w:val="both"/>
      </w:pPr>
      <w:r>
        <w:rPr>
          <w:color w:val="231F20"/>
          <w:w w:val="105"/>
        </w:rPr>
        <w:t>Changes in ANP levels probably help to minimize changes in blood volume during various disturbances, such</w:t>
      </w:r>
      <w:r>
        <w:rPr>
          <w:color w:val="231F20"/>
          <w:spacing w:val="-11"/>
          <w:w w:val="105"/>
        </w:rPr>
        <w:t> </w:t>
      </w:r>
      <w:r>
        <w:rPr>
          <w:color w:val="231F20"/>
          <w:w w:val="105"/>
        </w:rPr>
        <w:t>as</w:t>
      </w:r>
      <w:r>
        <w:rPr>
          <w:color w:val="231F20"/>
          <w:spacing w:val="-11"/>
          <w:w w:val="105"/>
        </w:rPr>
        <w:t> </w:t>
      </w:r>
      <w:r>
        <w:rPr>
          <w:color w:val="231F20"/>
          <w:w w:val="105"/>
        </w:rPr>
        <w:t>increased</w:t>
      </w:r>
      <w:r>
        <w:rPr>
          <w:color w:val="231F20"/>
          <w:spacing w:val="-11"/>
          <w:w w:val="105"/>
        </w:rPr>
        <w:t> </w:t>
      </w:r>
      <w:r>
        <w:rPr>
          <w:color w:val="231F20"/>
          <w:w w:val="105"/>
        </w:rPr>
        <w:t>salt</w:t>
      </w:r>
      <w:r>
        <w:rPr>
          <w:color w:val="231F20"/>
          <w:spacing w:val="-11"/>
          <w:w w:val="105"/>
        </w:rPr>
        <w:t> </w:t>
      </w:r>
      <w:r>
        <w:rPr>
          <w:color w:val="231F20"/>
          <w:w w:val="105"/>
        </w:rPr>
        <w:t>and</w:t>
      </w:r>
      <w:r>
        <w:rPr>
          <w:color w:val="231F20"/>
          <w:spacing w:val="-11"/>
          <w:w w:val="105"/>
        </w:rPr>
        <w:t> </w:t>
      </w:r>
      <w:r>
        <w:rPr>
          <w:color w:val="231F20"/>
          <w:w w:val="105"/>
        </w:rPr>
        <w:t>water</w:t>
      </w:r>
      <w:r>
        <w:rPr>
          <w:color w:val="231F20"/>
          <w:spacing w:val="-11"/>
          <w:w w:val="105"/>
        </w:rPr>
        <w:t> </w:t>
      </w:r>
      <w:r>
        <w:rPr>
          <w:color w:val="231F20"/>
          <w:w w:val="105"/>
        </w:rPr>
        <w:t>intake.</w:t>
      </w:r>
      <w:r>
        <w:rPr>
          <w:color w:val="231F20"/>
          <w:spacing w:val="-10"/>
          <w:w w:val="105"/>
        </w:rPr>
        <w:t> </w:t>
      </w:r>
      <w:r>
        <w:rPr>
          <w:color w:val="231F20"/>
          <w:w w:val="105"/>
        </w:rPr>
        <w:t>However,</w:t>
      </w:r>
      <w:r>
        <w:rPr>
          <w:color w:val="231F20"/>
          <w:spacing w:val="-11"/>
          <w:w w:val="105"/>
        </w:rPr>
        <w:t> </w:t>
      </w:r>
      <w:r>
        <w:rPr>
          <w:color w:val="231F20"/>
          <w:w w:val="105"/>
        </w:rPr>
        <w:t>exces- sive production of ANP or even complete lack of </w:t>
      </w:r>
      <w:r>
        <w:rPr>
          <w:color w:val="231F20"/>
          <w:spacing w:val="-6"/>
          <w:w w:val="105"/>
        </w:rPr>
        <w:t>ANP </w:t>
      </w:r>
      <w:r>
        <w:rPr>
          <w:color w:val="231F20"/>
          <w:w w:val="105"/>
        </w:rPr>
        <w:t>does not cause major changes in blood volume because these</w:t>
      </w:r>
      <w:r>
        <w:rPr>
          <w:color w:val="231F20"/>
          <w:spacing w:val="-11"/>
          <w:w w:val="105"/>
        </w:rPr>
        <w:t> </w:t>
      </w:r>
      <w:r>
        <w:rPr>
          <w:color w:val="231F20"/>
          <w:w w:val="105"/>
        </w:rPr>
        <w:t>effects</w:t>
      </w:r>
      <w:r>
        <w:rPr>
          <w:color w:val="231F20"/>
          <w:spacing w:val="-11"/>
          <w:w w:val="105"/>
        </w:rPr>
        <w:t> </w:t>
      </w:r>
      <w:r>
        <w:rPr>
          <w:color w:val="231F20"/>
          <w:w w:val="105"/>
        </w:rPr>
        <w:t>can</w:t>
      </w:r>
      <w:r>
        <w:rPr>
          <w:color w:val="231F20"/>
          <w:spacing w:val="-10"/>
          <w:w w:val="105"/>
        </w:rPr>
        <w:t> </w:t>
      </w:r>
      <w:r>
        <w:rPr>
          <w:color w:val="231F20"/>
          <w:w w:val="105"/>
        </w:rPr>
        <w:t>easily</w:t>
      </w:r>
      <w:r>
        <w:rPr>
          <w:color w:val="231F20"/>
          <w:spacing w:val="-11"/>
          <w:w w:val="105"/>
        </w:rPr>
        <w:t> </w:t>
      </w:r>
      <w:r>
        <w:rPr>
          <w:color w:val="231F20"/>
          <w:w w:val="105"/>
        </w:rPr>
        <w:t>be</w:t>
      </w:r>
      <w:r>
        <w:rPr>
          <w:color w:val="231F20"/>
          <w:spacing w:val="-10"/>
          <w:w w:val="105"/>
        </w:rPr>
        <w:t> </w:t>
      </w:r>
      <w:r>
        <w:rPr>
          <w:color w:val="231F20"/>
          <w:w w:val="105"/>
        </w:rPr>
        <w:t>overcome</w:t>
      </w:r>
      <w:r>
        <w:rPr>
          <w:color w:val="231F20"/>
          <w:spacing w:val="-11"/>
          <w:w w:val="105"/>
        </w:rPr>
        <w:t> </w:t>
      </w:r>
      <w:r>
        <w:rPr>
          <w:color w:val="231F20"/>
          <w:w w:val="105"/>
        </w:rPr>
        <w:t>by</w:t>
      </w:r>
      <w:r>
        <w:rPr>
          <w:color w:val="231F20"/>
          <w:spacing w:val="-10"/>
          <w:w w:val="105"/>
        </w:rPr>
        <w:t> </w:t>
      </w:r>
      <w:r>
        <w:rPr>
          <w:color w:val="231F20"/>
          <w:w w:val="105"/>
        </w:rPr>
        <w:t>small</w:t>
      </w:r>
      <w:r>
        <w:rPr>
          <w:color w:val="231F20"/>
          <w:spacing w:val="-11"/>
          <w:w w:val="105"/>
        </w:rPr>
        <w:t> </w:t>
      </w:r>
      <w:r>
        <w:rPr>
          <w:color w:val="231F20"/>
          <w:w w:val="105"/>
        </w:rPr>
        <w:t>changes</w:t>
      </w:r>
      <w:r>
        <w:rPr>
          <w:color w:val="231F20"/>
          <w:spacing w:val="-10"/>
          <w:w w:val="105"/>
        </w:rPr>
        <w:t> </w:t>
      </w:r>
      <w:r>
        <w:rPr>
          <w:color w:val="231F20"/>
          <w:spacing w:val="-7"/>
          <w:w w:val="105"/>
        </w:rPr>
        <w:t>in </w:t>
      </w:r>
      <w:r>
        <w:rPr>
          <w:color w:val="231F20"/>
          <w:w w:val="105"/>
        </w:rPr>
        <w:t>blood pressure, acting through pressure natriuresis. </w:t>
      </w:r>
      <w:r>
        <w:rPr>
          <w:color w:val="231F20"/>
          <w:spacing w:val="-8"/>
          <w:w w:val="105"/>
        </w:rPr>
        <w:t>For </w:t>
      </w:r>
      <w:r>
        <w:rPr>
          <w:color w:val="231F20"/>
          <w:w w:val="105"/>
        </w:rPr>
        <w:t>example,</w:t>
      </w:r>
      <w:r>
        <w:rPr>
          <w:color w:val="231F20"/>
          <w:spacing w:val="-28"/>
          <w:w w:val="105"/>
        </w:rPr>
        <w:t> </w:t>
      </w:r>
      <w:r>
        <w:rPr>
          <w:color w:val="231F20"/>
          <w:w w:val="105"/>
        </w:rPr>
        <w:t>infusions</w:t>
      </w:r>
      <w:r>
        <w:rPr>
          <w:color w:val="231F20"/>
          <w:spacing w:val="-27"/>
          <w:w w:val="105"/>
        </w:rPr>
        <w:t> </w:t>
      </w:r>
      <w:r>
        <w:rPr>
          <w:color w:val="231F20"/>
          <w:w w:val="105"/>
        </w:rPr>
        <w:t>of</w:t>
      </w:r>
      <w:r>
        <w:rPr>
          <w:color w:val="231F20"/>
          <w:spacing w:val="-28"/>
          <w:w w:val="105"/>
        </w:rPr>
        <w:t> </w:t>
      </w:r>
      <w:r>
        <w:rPr>
          <w:color w:val="231F20"/>
          <w:w w:val="105"/>
        </w:rPr>
        <w:t>large</w:t>
      </w:r>
      <w:r>
        <w:rPr>
          <w:color w:val="231F20"/>
          <w:spacing w:val="-27"/>
          <w:w w:val="105"/>
        </w:rPr>
        <w:t> </w:t>
      </w:r>
      <w:r>
        <w:rPr>
          <w:color w:val="231F20"/>
          <w:w w:val="105"/>
        </w:rPr>
        <w:t>amounts</w:t>
      </w:r>
      <w:r>
        <w:rPr>
          <w:color w:val="231F20"/>
          <w:spacing w:val="-28"/>
          <w:w w:val="105"/>
        </w:rPr>
        <w:t> </w:t>
      </w:r>
      <w:r>
        <w:rPr>
          <w:color w:val="231F20"/>
          <w:w w:val="105"/>
        </w:rPr>
        <w:t>of</w:t>
      </w:r>
      <w:r>
        <w:rPr>
          <w:color w:val="231F20"/>
          <w:spacing w:val="-27"/>
          <w:w w:val="105"/>
        </w:rPr>
        <w:t> </w:t>
      </w:r>
      <w:r>
        <w:rPr>
          <w:color w:val="231F20"/>
          <w:w w:val="105"/>
        </w:rPr>
        <w:t>ANP</w:t>
      </w:r>
      <w:r>
        <w:rPr>
          <w:color w:val="231F20"/>
          <w:spacing w:val="-28"/>
          <w:w w:val="105"/>
        </w:rPr>
        <w:t> </w:t>
      </w:r>
      <w:r>
        <w:rPr>
          <w:color w:val="231F20"/>
          <w:w w:val="105"/>
        </w:rPr>
        <w:t>initially</w:t>
      </w:r>
      <w:r>
        <w:rPr>
          <w:color w:val="231F20"/>
          <w:spacing w:val="-27"/>
          <w:w w:val="105"/>
        </w:rPr>
        <w:t> </w:t>
      </w:r>
      <w:r>
        <w:rPr>
          <w:color w:val="231F20"/>
          <w:spacing w:val="-3"/>
          <w:w w:val="105"/>
        </w:rPr>
        <w:t>raise </w:t>
      </w:r>
      <w:r>
        <w:rPr>
          <w:color w:val="231F20"/>
          <w:w w:val="105"/>
        </w:rPr>
        <w:t>urine</w:t>
      </w:r>
      <w:r>
        <w:rPr>
          <w:color w:val="231F20"/>
          <w:spacing w:val="-6"/>
          <w:w w:val="105"/>
        </w:rPr>
        <w:t> </w:t>
      </w:r>
      <w:r>
        <w:rPr>
          <w:color w:val="231F20"/>
          <w:w w:val="105"/>
        </w:rPr>
        <w:t>output</w:t>
      </w:r>
      <w:r>
        <w:rPr>
          <w:color w:val="231F20"/>
          <w:spacing w:val="-6"/>
          <w:w w:val="105"/>
        </w:rPr>
        <w:t> </w:t>
      </w:r>
      <w:r>
        <w:rPr>
          <w:color w:val="231F20"/>
          <w:w w:val="105"/>
        </w:rPr>
        <w:t>of</w:t>
      </w:r>
      <w:r>
        <w:rPr>
          <w:color w:val="231F20"/>
          <w:spacing w:val="-6"/>
          <w:w w:val="105"/>
        </w:rPr>
        <w:t> </w:t>
      </w:r>
      <w:r>
        <w:rPr>
          <w:color w:val="231F20"/>
          <w:w w:val="105"/>
        </w:rPr>
        <w:t>salt</w:t>
      </w:r>
      <w:r>
        <w:rPr>
          <w:color w:val="231F20"/>
          <w:spacing w:val="-6"/>
          <w:w w:val="105"/>
        </w:rPr>
        <w:t> </w:t>
      </w:r>
      <w:r>
        <w:rPr>
          <w:color w:val="231F20"/>
          <w:w w:val="105"/>
        </w:rPr>
        <w:t>and</w:t>
      </w:r>
      <w:r>
        <w:rPr>
          <w:color w:val="231F20"/>
          <w:spacing w:val="-6"/>
          <w:w w:val="105"/>
        </w:rPr>
        <w:t> </w:t>
      </w:r>
      <w:r>
        <w:rPr>
          <w:color w:val="231F20"/>
          <w:w w:val="105"/>
        </w:rPr>
        <w:t>water</w:t>
      </w:r>
      <w:r>
        <w:rPr>
          <w:color w:val="231F20"/>
          <w:spacing w:val="-6"/>
          <w:w w:val="105"/>
        </w:rPr>
        <w:t> </w:t>
      </w:r>
      <w:r>
        <w:rPr>
          <w:color w:val="231F20"/>
          <w:w w:val="105"/>
        </w:rPr>
        <w:t>and</w:t>
      </w:r>
      <w:r>
        <w:rPr>
          <w:color w:val="231F20"/>
          <w:spacing w:val="-6"/>
          <w:w w:val="105"/>
        </w:rPr>
        <w:t> </w:t>
      </w:r>
      <w:r>
        <w:rPr>
          <w:color w:val="231F20"/>
          <w:w w:val="105"/>
        </w:rPr>
        <w:t>cause</w:t>
      </w:r>
      <w:r>
        <w:rPr>
          <w:color w:val="231F20"/>
          <w:spacing w:val="-6"/>
          <w:w w:val="105"/>
        </w:rPr>
        <w:t> </w:t>
      </w:r>
      <w:r>
        <w:rPr>
          <w:color w:val="231F20"/>
          <w:w w:val="105"/>
        </w:rPr>
        <w:t>slight</w:t>
      </w:r>
      <w:r>
        <w:rPr>
          <w:color w:val="231F20"/>
          <w:spacing w:val="-6"/>
          <w:w w:val="105"/>
        </w:rPr>
        <w:t> </w:t>
      </w:r>
      <w:r>
        <w:rPr>
          <w:color w:val="231F20"/>
          <w:w w:val="105"/>
        </w:rPr>
        <w:t>decreases in</w:t>
      </w:r>
      <w:r>
        <w:rPr>
          <w:color w:val="231F20"/>
          <w:spacing w:val="-16"/>
          <w:w w:val="105"/>
        </w:rPr>
        <w:t> </w:t>
      </w:r>
      <w:r>
        <w:rPr>
          <w:color w:val="231F20"/>
          <w:w w:val="105"/>
        </w:rPr>
        <w:t>blood</w:t>
      </w:r>
      <w:r>
        <w:rPr>
          <w:color w:val="231F20"/>
          <w:spacing w:val="-16"/>
          <w:w w:val="105"/>
        </w:rPr>
        <w:t> </w:t>
      </w:r>
      <w:r>
        <w:rPr>
          <w:color w:val="231F20"/>
          <w:w w:val="105"/>
        </w:rPr>
        <w:t>volume.</w:t>
      </w:r>
      <w:r>
        <w:rPr>
          <w:color w:val="231F20"/>
          <w:spacing w:val="-16"/>
          <w:w w:val="105"/>
        </w:rPr>
        <w:t> </w:t>
      </w:r>
      <w:r>
        <w:rPr>
          <w:color w:val="231F20"/>
          <w:w w:val="105"/>
        </w:rPr>
        <w:t>In</w:t>
      </w:r>
      <w:r>
        <w:rPr>
          <w:color w:val="231F20"/>
          <w:spacing w:val="-16"/>
          <w:w w:val="105"/>
        </w:rPr>
        <w:t> </w:t>
      </w:r>
      <w:r>
        <w:rPr>
          <w:color w:val="231F20"/>
          <w:w w:val="105"/>
        </w:rPr>
        <w:t>less</w:t>
      </w:r>
      <w:r>
        <w:rPr>
          <w:color w:val="231F20"/>
          <w:spacing w:val="-16"/>
          <w:w w:val="105"/>
        </w:rPr>
        <w:t> </w:t>
      </w:r>
      <w:r>
        <w:rPr>
          <w:color w:val="231F20"/>
          <w:w w:val="105"/>
        </w:rPr>
        <w:t>than</w:t>
      </w:r>
      <w:r>
        <w:rPr>
          <w:color w:val="231F20"/>
          <w:spacing w:val="-16"/>
          <w:w w:val="105"/>
        </w:rPr>
        <w:t> </w:t>
      </w:r>
      <w:r>
        <w:rPr>
          <w:color w:val="231F20"/>
          <w:w w:val="105"/>
        </w:rPr>
        <w:t>24</w:t>
      </w:r>
      <w:r>
        <w:rPr>
          <w:color w:val="231F20"/>
          <w:spacing w:val="-16"/>
          <w:w w:val="105"/>
        </w:rPr>
        <w:t> </w:t>
      </w:r>
      <w:r>
        <w:rPr>
          <w:color w:val="231F20"/>
          <w:w w:val="105"/>
        </w:rPr>
        <w:t>hours,</w:t>
      </w:r>
      <w:r>
        <w:rPr>
          <w:color w:val="231F20"/>
          <w:spacing w:val="-16"/>
          <w:w w:val="105"/>
        </w:rPr>
        <w:t> </w:t>
      </w:r>
      <w:r>
        <w:rPr>
          <w:color w:val="231F20"/>
          <w:w w:val="105"/>
        </w:rPr>
        <w:t>this</w:t>
      </w:r>
      <w:r>
        <w:rPr>
          <w:color w:val="231F20"/>
          <w:spacing w:val="-16"/>
          <w:w w:val="105"/>
        </w:rPr>
        <w:t> </w:t>
      </w:r>
      <w:r>
        <w:rPr>
          <w:color w:val="231F20"/>
          <w:w w:val="105"/>
        </w:rPr>
        <w:t>effect</w:t>
      </w:r>
      <w:r>
        <w:rPr>
          <w:color w:val="231F20"/>
          <w:spacing w:val="-16"/>
          <w:w w:val="105"/>
        </w:rPr>
        <w:t> </w:t>
      </w:r>
      <w:r>
        <w:rPr>
          <w:color w:val="231F20"/>
          <w:w w:val="105"/>
        </w:rPr>
        <w:t>is</w:t>
      </w:r>
      <w:r>
        <w:rPr>
          <w:color w:val="231F20"/>
          <w:spacing w:val="-16"/>
          <w:w w:val="105"/>
        </w:rPr>
        <w:t> </w:t>
      </w:r>
      <w:r>
        <w:rPr>
          <w:color w:val="231F20"/>
          <w:w w:val="105"/>
        </w:rPr>
        <w:t>over- come by a slight decrease in blood pressure that </w:t>
      </w:r>
      <w:r>
        <w:rPr>
          <w:color w:val="231F20"/>
          <w:spacing w:val="-3"/>
          <w:w w:val="105"/>
        </w:rPr>
        <w:t>returns </w:t>
      </w:r>
      <w:r>
        <w:rPr>
          <w:color w:val="231F20"/>
          <w:w w:val="105"/>
        </w:rPr>
        <w:t>urine output toward normal, despite continued excess</w:t>
      </w:r>
      <w:r>
        <w:rPr>
          <w:color w:val="231F20"/>
          <w:spacing w:val="-35"/>
          <w:w w:val="105"/>
        </w:rPr>
        <w:t> </w:t>
      </w:r>
      <w:r>
        <w:rPr>
          <w:color w:val="231F20"/>
          <w:spacing w:val="-7"/>
          <w:w w:val="105"/>
        </w:rPr>
        <w:t>of </w:t>
      </w:r>
      <w:r>
        <w:rPr>
          <w:color w:val="231F20"/>
          <w:spacing w:val="-6"/>
          <w:w w:val="105"/>
        </w:rPr>
        <w:t>ANP.</w:t>
      </w:r>
    </w:p>
    <w:p>
      <w:pPr>
        <w:pStyle w:val="BodyText"/>
        <w:spacing w:before="5"/>
        <w:rPr>
          <w:sz w:val="25"/>
        </w:rPr>
      </w:pPr>
      <w:r>
        <w:rPr/>
        <w:pict>
          <v:shape style="position:absolute;margin-left:72pt;margin-top:15.865172pt;width:234pt;height:28pt;mso-position-horizontal-relative:page;mso-position-vertical-relative:paragraph;z-index:-250618880;mso-wrap-distance-left:0;mso-wrap-distance-right:0" type="#_x0000_t202" filled="true" fillcolor="#e8dac8" stroked="false">
            <v:textbox inset="0,0,0,0">
              <w:txbxContent>
                <w:p>
                  <w:pPr>
                    <w:spacing w:line="225" w:lineRule="auto" w:before="46"/>
                    <w:ind w:left="60" w:right="633" w:firstLine="0"/>
                    <w:jc w:val="left"/>
                    <w:rPr>
                      <w:rFonts w:ascii="Trebuchet MS"/>
                      <w:b/>
                      <w:sz w:val="22"/>
                    </w:rPr>
                  </w:pPr>
                  <w:r>
                    <w:rPr>
                      <w:rFonts w:ascii="Trebuchet MS"/>
                      <w:b/>
                      <w:color w:val="231F20"/>
                      <w:w w:val="110"/>
                      <w:sz w:val="22"/>
                    </w:rPr>
                    <w:t>INTEGRATED RESPONSES TO CHANGES IN SODIUM INTAKE</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w w:val="105"/>
        </w:rPr>
        <w:t>The</w:t>
      </w:r>
      <w:r>
        <w:rPr>
          <w:color w:val="231F20"/>
          <w:spacing w:val="-20"/>
          <w:w w:val="105"/>
        </w:rPr>
        <w:t> </w:t>
      </w:r>
      <w:r>
        <w:rPr>
          <w:color w:val="231F20"/>
          <w:w w:val="105"/>
        </w:rPr>
        <w:t>integration</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different</w:t>
      </w:r>
      <w:r>
        <w:rPr>
          <w:color w:val="231F20"/>
          <w:spacing w:val="-20"/>
          <w:w w:val="105"/>
        </w:rPr>
        <w:t> </w:t>
      </w:r>
      <w:r>
        <w:rPr>
          <w:color w:val="231F20"/>
          <w:w w:val="105"/>
        </w:rPr>
        <w:t>control</w:t>
      </w:r>
      <w:r>
        <w:rPr>
          <w:color w:val="231F20"/>
          <w:spacing w:val="-19"/>
          <w:w w:val="105"/>
        </w:rPr>
        <w:t> </w:t>
      </w:r>
      <w:r>
        <w:rPr>
          <w:color w:val="231F20"/>
          <w:w w:val="105"/>
        </w:rPr>
        <w:t>systems</w:t>
      </w:r>
      <w:r>
        <w:rPr>
          <w:color w:val="231F20"/>
          <w:spacing w:val="-20"/>
          <w:w w:val="105"/>
        </w:rPr>
        <w:t> </w:t>
      </w:r>
      <w:r>
        <w:rPr>
          <w:color w:val="231F20"/>
          <w:w w:val="105"/>
        </w:rPr>
        <w:t>that</w:t>
      </w:r>
      <w:r>
        <w:rPr>
          <w:color w:val="231F20"/>
          <w:spacing w:val="-19"/>
          <w:w w:val="105"/>
        </w:rPr>
        <w:t> </w:t>
      </w:r>
      <w:r>
        <w:rPr>
          <w:color w:val="231F20"/>
          <w:w w:val="105"/>
        </w:rPr>
        <w:t>regu- late sodium and fluid excretion under normal</w:t>
      </w:r>
      <w:r>
        <w:rPr>
          <w:color w:val="231F20"/>
          <w:spacing w:val="-26"/>
          <w:w w:val="105"/>
        </w:rPr>
        <w:t> </w:t>
      </w:r>
      <w:r>
        <w:rPr>
          <w:color w:val="231F20"/>
          <w:spacing w:val="-3"/>
          <w:w w:val="105"/>
        </w:rPr>
        <w:t>conditions </w:t>
      </w:r>
      <w:r>
        <w:rPr>
          <w:color w:val="231F20"/>
          <w:w w:val="105"/>
        </w:rPr>
        <w:t>can be summarized by examining the homeostatic responses to progressive increases in dietary sodium intake. As discussed previously, the kidneys have </w:t>
      </w:r>
      <w:r>
        <w:rPr>
          <w:color w:val="231F20"/>
          <w:spacing w:val="-8"/>
          <w:w w:val="105"/>
        </w:rPr>
        <w:t>an </w:t>
      </w:r>
      <w:r>
        <w:rPr>
          <w:color w:val="231F20"/>
          <w:w w:val="105"/>
        </w:rPr>
        <w:t>amazing capability to match their excretion of salt and water to intakes that can range from as low as one </w:t>
      </w:r>
      <w:r>
        <w:rPr>
          <w:color w:val="231F20"/>
          <w:spacing w:val="-5"/>
          <w:w w:val="105"/>
        </w:rPr>
        <w:t>tenth </w:t>
      </w:r>
      <w:r>
        <w:rPr>
          <w:color w:val="231F20"/>
          <w:w w:val="105"/>
        </w:rPr>
        <w:t>of normal to as high as 10 times</w:t>
      </w:r>
      <w:r>
        <w:rPr>
          <w:color w:val="231F20"/>
          <w:spacing w:val="12"/>
          <w:w w:val="105"/>
        </w:rPr>
        <w:t> </w:t>
      </w:r>
      <w:r>
        <w:rPr>
          <w:color w:val="231F20"/>
          <w:w w:val="105"/>
        </w:rPr>
        <w:t>normal.</w:t>
      </w:r>
    </w:p>
    <w:p>
      <w:pPr>
        <w:pStyle w:val="BodyText"/>
        <w:spacing w:before="2"/>
        <w:rPr>
          <w:sz w:val="22"/>
        </w:rPr>
      </w:pPr>
    </w:p>
    <w:p>
      <w:pPr>
        <w:pStyle w:val="BodyText"/>
        <w:spacing w:line="249" w:lineRule="auto"/>
        <w:ind w:left="1440"/>
        <w:jc w:val="both"/>
      </w:pPr>
      <w:r>
        <w:rPr>
          <w:rFonts w:ascii="Trebuchet MS"/>
          <w:b/>
          <w:color w:val="231F20"/>
          <w:sz w:val="19"/>
        </w:rPr>
        <w:t>High Sodium Intake Suppresses Antinatriuretic </w:t>
      </w:r>
      <w:r>
        <w:rPr>
          <w:rFonts w:ascii="Trebuchet MS"/>
          <w:b/>
          <w:color w:val="231F20"/>
          <w:spacing w:val="-4"/>
          <w:sz w:val="19"/>
        </w:rPr>
        <w:t>Sys- </w:t>
      </w:r>
      <w:r>
        <w:rPr>
          <w:rFonts w:ascii="Trebuchet MS"/>
          <w:b/>
          <w:color w:val="231F20"/>
          <w:sz w:val="19"/>
        </w:rPr>
        <w:t>tems and Activates Natriuretic Systems. </w:t>
      </w:r>
      <w:r>
        <w:rPr>
          <w:color w:val="231F20"/>
        </w:rPr>
        <w:t>As </w:t>
      </w:r>
      <w:r>
        <w:rPr>
          <w:color w:val="231F20"/>
          <w:spacing w:val="-3"/>
        </w:rPr>
        <w:t>sodium </w:t>
      </w:r>
      <w:r>
        <w:rPr>
          <w:color w:val="231F20"/>
        </w:rPr>
        <w:t>intake is increased, sodium output initially lags </w:t>
      </w:r>
      <w:r>
        <w:rPr>
          <w:color w:val="231F20"/>
          <w:spacing w:val="-3"/>
        </w:rPr>
        <w:t>slightly </w:t>
      </w:r>
      <w:r>
        <w:rPr>
          <w:color w:val="231F20"/>
        </w:rPr>
        <w:t>behind intake. The time delay results in a small increase in the cumulative sodium balance, which causes a </w:t>
      </w:r>
      <w:r>
        <w:rPr>
          <w:color w:val="231F20"/>
          <w:spacing w:val="-4"/>
        </w:rPr>
        <w:t>slight </w:t>
      </w:r>
      <w:r>
        <w:rPr>
          <w:color w:val="231F20"/>
        </w:rPr>
        <w:t>increase in extracellular fluid volume. </w:t>
      </w:r>
      <w:r>
        <w:rPr>
          <w:color w:val="231F20"/>
          <w:spacing w:val="-3"/>
        </w:rPr>
        <w:t>It </w:t>
      </w:r>
      <w:r>
        <w:rPr>
          <w:color w:val="231F20"/>
        </w:rPr>
        <w:t>is mainly </w:t>
      </w:r>
      <w:r>
        <w:rPr>
          <w:color w:val="231F20"/>
          <w:spacing w:val="-4"/>
        </w:rPr>
        <w:t>this </w:t>
      </w:r>
      <w:r>
        <w:rPr>
          <w:color w:val="231F20"/>
        </w:rPr>
        <w:t>small increase in extracellular fluid volume that </w:t>
      </w:r>
      <w:r>
        <w:rPr>
          <w:color w:val="231F20"/>
          <w:spacing w:val="-3"/>
        </w:rPr>
        <w:t>triggers </w:t>
      </w:r>
      <w:r>
        <w:rPr>
          <w:color w:val="231F20"/>
        </w:rPr>
        <w:t>various mechanisms in the body to increase sodium excretion. These mechanisms include the following:</w:t>
      </w:r>
    </w:p>
    <w:p>
      <w:pPr>
        <w:pStyle w:val="ListParagraph"/>
        <w:numPr>
          <w:ilvl w:val="0"/>
          <w:numId w:val="27"/>
        </w:numPr>
        <w:tabs>
          <w:tab w:pos="1923" w:val="left" w:leader="none"/>
        </w:tabs>
        <w:spacing w:line="249" w:lineRule="auto" w:before="9" w:after="0"/>
        <w:ind w:left="1922" w:right="0" w:hanging="243"/>
        <w:jc w:val="both"/>
        <w:rPr>
          <w:sz w:val="20"/>
        </w:rPr>
      </w:pPr>
      <w:r>
        <w:rPr>
          <w:i/>
          <w:color w:val="231F20"/>
          <w:w w:val="105"/>
          <w:sz w:val="20"/>
        </w:rPr>
        <w:t>Activation of low-pressure receptor reflexes </w:t>
      </w:r>
      <w:r>
        <w:rPr>
          <w:color w:val="231F20"/>
          <w:spacing w:val="-5"/>
          <w:w w:val="105"/>
          <w:sz w:val="20"/>
        </w:rPr>
        <w:t>that </w:t>
      </w:r>
      <w:r>
        <w:rPr>
          <w:color w:val="231F20"/>
          <w:w w:val="105"/>
          <w:sz w:val="20"/>
        </w:rPr>
        <w:t>originate from the stretch receptors of the right atrium and the pulmonary blood vessels. Signals from</w:t>
      </w:r>
      <w:r>
        <w:rPr>
          <w:color w:val="231F20"/>
          <w:spacing w:val="-5"/>
          <w:w w:val="105"/>
          <w:sz w:val="20"/>
        </w:rPr>
        <w:t> </w:t>
      </w:r>
      <w:r>
        <w:rPr>
          <w:color w:val="231F20"/>
          <w:w w:val="105"/>
          <w:sz w:val="20"/>
        </w:rPr>
        <w:t>the</w:t>
      </w:r>
      <w:r>
        <w:rPr>
          <w:color w:val="231F20"/>
          <w:spacing w:val="-5"/>
          <w:w w:val="105"/>
          <w:sz w:val="20"/>
        </w:rPr>
        <w:t> </w:t>
      </w:r>
      <w:r>
        <w:rPr>
          <w:color w:val="231F20"/>
          <w:w w:val="105"/>
          <w:sz w:val="20"/>
        </w:rPr>
        <w:t>stretch</w:t>
      </w:r>
      <w:r>
        <w:rPr>
          <w:color w:val="231F20"/>
          <w:spacing w:val="-5"/>
          <w:w w:val="105"/>
          <w:sz w:val="20"/>
        </w:rPr>
        <w:t> </w:t>
      </w:r>
      <w:r>
        <w:rPr>
          <w:color w:val="231F20"/>
          <w:w w:val="105"/>
          <w:sz w:val="20"/>
        </w:rPr>
        <w:t>receptors</w:t>
      </w:r>
      <w:r>
        <w:rPr>
          <w:color w:val="231F20"/>
          <w:spacing w:val="-4"/>
          <w:w w:val="105"/>
          <w:sz w:val="20"/>
        </w:rPr>
        <w:t> </w:t>
      </w:r>
      <w:r>
        <w:rPr>
          <w:color w:val="231F20"/>
          <w:w w:val="105"/>
          <w:sz w:val="20"/>
        </w:rPr>
        <w:t>go</w:t>
      </w:r>
      <w:r>
        <w:rPr>
          <w:color w:val="231F20"/>
          <w:spacing w:val="-5"/>
          <w:w w:val="105"/>
          <w:sz w:val="20"/>
        </w:rPr>
        <w:t> </w:t>
      </w:r>
      <w:r>
        <w:rPr>
          <w:color w:val="231F20"/>
          <w:w w:val="105"/>
          <w:sz w:val="20"/>
        </w:rPr>
        <w:t>to</w:t>
      </w:r>
      <w:r>
        <w:rPr>
          <w:color w:val="231F20"/>
          <w:spacing w:val="-5"/>
          <w:w w:val="105"/>
          <w:sz w:val="20"/>
        </w:rPr>
        <w:t> </w:t>
      </w:r>
      <w:r>
        <w:rPr>
          <w:color w:val="231F20"/>
          <w:w w:val="105"/>
          <w:sz w:val="20"/>
        </w:rPr>
        <w:t>the</w:t>
      </w:r>
      <w:r>
        <w:rPr>
          <w:color w:val="231F20"/>
          <w:spacing w:val="-4"/>
          <w:w w:val="105"/>
          <w:sz w:val="20"/>
        </w:rPr>
        <w:t> </w:t>
      </w:r>
      <w:r>
        <w:rPr>
          <w:color w:val="231F20"/>
          <w:w w:val="105"/>
          <w:sz w:val="20"/>
        </w:rPr>
        <w:t>brain</w:t>
      </w:r>
      <w:r>
        <w:rPr>
          <w:color w:val="231F20"/>
          <w:spacing w:val="-5"/>
          <w:w w:val="105"/>
          <w:sz w:val="20"/>
        </w:rPr>
        <w:t> </w:t>
      </w:r>
      <w:r>
        <w:rPr>
          <w:color w:val="231F20"/>
          <w:w w:val="105"/>
          <w:sz w:val="20"/>
        </w:rPr>
        <w:t>stem</w:t>
      </w:r>
      <w:r>
        <w:rPr>
          <w:color w:val="231F20"/>
          <w:spacing w:val="-5"/>
          <w:w w:val="105"/>
          <w:sz w:val="20"/>
        </w:rPr>
        <w:t> </w:t>
      </w:r>
      <w:r>
        <w:rPr>
          <w:color w:val="231F20"/>
          <w:w w:val="105"/>
          <w:sz w:val="20"/>
        </w:rPr>
        <w:t>and</w:t>
      </w:r>
    </w:p>
    <w:p>
      <w:pPr>
        <w:pStyle w:val="BodyText"/>
        <w:spacing w:line="249" w:lineRule="auto" w:before="100"/>
        <w:ind w:left="801" w:right="1079"/>
        <w:jc w:val="both"/>
      </w:pPr>
      <w:r>
        <w:rPr/>
        <w:br w:type="column"/>
      </w:r>
      <w:r>
        <w:rPr>
          <w:color w:val="231F20"/>
          <w:w w:val="105"/>
        </w:rPr>
        <w:t>there inhibit sympathetic nerve activity to </w:t>
      </w:r>
      <w:r>
        <w:rPr>
          <w:color w:val="231F20"/>
          <w:spacing w:val="-5"/>
          <w:w w:val="105"/>
        </w:rPr>
        <w:t>the </w:t>
      </w:r>
      <w:r>
        <w:rPr>
          <w:color w:val="231F20"/>
          <w:w w:val="105"/>
        </w:rPr>
        <w:t>kidneys to decrease tubular sodium reabsorption. This mechanism is most important in  the  </w:t>
      </w:r>
      <w:r>
        <w:rPr>
          <w:color w:val="231F20"/>
          <w:spacing w:val="-3"/>
          <w:w w:val="105"/>
        </w:rPr>
        <w:t>first </w:t>
      </w:r>
      <w:r>
        <w:rPr>
          <w:color w:val="231F20"/>
          <w:w w:val="105"/>
        </w:rPr>
        <w:t>few hours—or perhaps the first day—after a </w:t>
      </w:r>
      <w:r>
        <w:rPr>
          <w:color w:val="231F20"/>
          <w:spacing w:val="-4"/>
          <w:w w:val="105"/>
        </w:rPr>
        <w:t>large </w:t>
      </w:r>
      <w:r>
        <w:rPr>
          <w:color w:val="231F20"/>
          <w:w w:val="105"/>
        </w:rPr>
        <w:t>increase in salt and water</w:t>
      </w:r>
      <w:r>
        <w:rPr>
          <w:color w:val="231F20"/>
          <w:spacing w:val="8"/>
          <w:w w:val="105"/>
        </w:rPr>
        <w:t> </w:t>
      </w:r>
      <w:r>
        <w:rPr>
          <w:color w:val="231F20"/>
          <w:w w:val="105"/>
        </w:rPr>
        <w:t>intake.</w:t>
      </w:r>
    </w:p>
    <w:p>
      <w:pPr>
        <w:pStyle w:val="ListParagraph"/>
        <w:numPr>
          <w:ilvl w:val="0"/>
          <w:numId w:val="27"/>
        </w:numPr>
        <w:tabs>
          <w:tab w:pos="802" w:val="left" w:leader="none"/>
        </w:tabs>
        <w:spacing w:line="249" w:lineRule="auto" w:before="4" w:after="0"/>
        <w:ind w:left="801" w:right="1077" w:hanging="243"/>
        <w:jc w:val="both"/>
        <w:rPr>
          <w:sz w:val="20"/>
        </w:rPr>
      </w:pPr>
      <w:r>
        <w:rPr/>
        <w:pict>
          <v:rect style="position:absolute;margin-left:576pt;margin-top:80.185959pt;width:36pt;height:24pt;mso-position-horizontal-relative:page;mso-position-vertical-relative:paragraph;z-index:252703744" filled="true" fillcolor="#e8dac8" stroked="false">
            <v:fill type="solid"/>
            <w10:wrap type="none"/>
          </v:rect>
        </w:pict>
      </w:r>
      <w:r>
        <w:rPr/>
        <w:pict>
          <v:shape style="position:absolute;margin-left:578.900024pt;margin-top:3.843262pt;width:15.9pt;height:53.35pt;mso-position-horizontal-relative:page;mso-position-vertical-relative:paragraph;z-index:25270476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i/>
          <w:color w:val="231F20"/>
          <w:sz w:val="20"/>
        </w:rPr>
        <w:t>Suppression</w:t>
      </w:r>
      <w:r>
        <w:rPr>
          <w:i/>
          <w:color w:val="231F20"/>
          <w:spacing w:val="-12"/>
          <w:sz w:val="20"/>
        </w:rPr>
        <w:t> </w:t>
      </w:r>
      <w:r>
        <w:rPr>
          <w:i/>
          <w:color w:val="231F20"/>
          <w:sz w:val="20"/>
        </w:rPr>
        <w:t>of</w:t>
      </w:r>
      <w:r>
        <w:rPr>
          <w:i/>
          <w:color w:val="231F20"/>
          <w:spacing w:val="-12"/>
          <w:sz w:val="20"/>
        </w:rPr>
        <w:t> </w:t>
      </w:r>
      <w:r>
        <w:rPr>
          <w:i/>
          <w:color w:val="231F20"/>
          <w:spacing w:val="-2"/>
          <w:sz w:val="20"/>
        </w:rPr>
        <w:t>Ang</w:t>
      </w:r>
      <w:r>
        <w:rPr>
          <w:i/>
          <w:color w:val="231F20"/>
          <w:spacing w:val="-11"/>
          <w:sz w:val="20"/>
        </w:rPr>
        <w:t> </w:t>
      </w:r>
      <w:r>
        <w:rPr>
          <w:i/>
          <w:color w:val="231F20"/>
          <w:sz w:val="20"/>
        </w:rPr>
        <w:t>II</w:t>
      </w:r>
      <w:r>
        <w:rPr>
          <w:i/>
          <w:color w:val="231F20"/>
          <w:spacing w:val="-12"/>
          <w:sz w:val="20"/>
        </w:rPr>
        <w:t> </w:t>
      </w:r>
      <w:r>
        <w:rPr>
          <w:i/>
          <w:color w:val="231F20"/>
          <w:sz w:val="20"/>
        </w:rPr>
        <w:t>formation,</w:t>
      </w:r>
      <w:r>
        <w:rPr>
          <w:i/>
          <w:color w:val="231F20"/>
          <w:spacing w:val="-12"/>
          <w:sz w:val="20"/>
        </w:rPr>
        <w:t> </w:t>
      </w:r>
      <w:r>
        <w:rPr>
          <w:color w:val="231F20"/>
          <w:sz w:val="20"/>
        </w:rPr>
        <w:t>caused</w:t>
      </w:r>
      <w:r>
        <w:rPr>
          <w:color w:val="231F20"/>
          <w:spacing w:val="-11"/>
          <w:sz w:val="20"/>
        </w:rPr>
        <w:t> </w:t>
      </w:r>
      <w:r>
        <w:rPr>
          <w:color w:val="231F20"/>
          <w:sz w:val="20"/>
        </w:rPr>
        <w:t>by</w:t>
      </w:r>
      <w:r>
        <w:rPr>
          <w:color w:val="231F20"/>
          <w:spacing w:val="-12"/>
          <w:sz w:val="20"/>
        </w:rPr>
        <w:t> </w:t>
      </w:r>
      <w:r>
        <w:rPr>
          <w:color w:val="231F20"/>
          <w:sz w:val="20"/>
        </w:rPr>
        <w:t>increased arterial pressure and extracellular fluid volume expansion, decreases tubular sodium reabsorption by eliminating the normal effect of Ang II </w:t>
      </w:r>
      <w:r>
        <w:rPr>
          <w:color w:val="231F20"/>
          <w:spacing w:val="-8"/>
          <w:sz w:val="20"/>
        </w:rPr>
        <w:t>to </w:t>
      </w:r>
      <w:r>
        <w:rPr>
          <w:color w:val="231F20"/>
          <w:sz w:val="20"/>
        </w:rPr>
        <w:t>increase sodium reabsorption. Also, reduced Ang II decreases aldosterone secretion, thus further reduc- ing tubular sodium</w:t>
      </w:r>
      <w:r>
        <w:rPr>
          <w:color w:val="231F20"/>
          <w:spacing w:val="27"/>
          <w:sz w:val="20"/>
        </w:rPr>
        <w:t> </w:t>
      </w:r>
      <w:r>
        <w:rPr>
          <w:color w:val="231F20"/>
          <w:sz w:val="20"/>
        </w:rPr>
        <w:t>reabsorption.</w:t>
      </w:r>
    </w:p>
    <w:p>
      <w:pPr>
        <w:pStyle w:val="ListParagraph"/>
        <w:numPr>
          <w:ilvl w:val="0"/>
          <w:numId w:val="27"/>
        </w:numPr>
        <w:tabs>
          <w:tab w:pos="802" w:val="left" w:leader="none"/>
        </w:tabs>
        <w:spacing w:line="249" w:lineRule="auto" w:before="5" w:after="0"/>
        <w:ind w:left="801" w:right="1077" w:hanging="243"/>
        <w:jc w:val="both"/>
        <w:rPr>
          <w:sz w:val="20"/>
        </w:rPr>
      </w:pPr>
      <w:r>
        <w:rPr>
          <w:i/>
          <w:color w:val="231F20"/>
          <w:w w:val="105"/>
          <w:sz w:val="20"/>
        </w:rPr>
        <w:t>Stimulation</w:t>
      </w:r>
      <w:r>
        <w:rPr>
          <w:i/>
          <w:color w:val="231F20"/>
          <w:spacing w:val="-16"/>
          <w:w w:val="105"/>
          <w:sz w:val="20"/>
        </w:rPr>
        <w:t> </w:t>
      </w:r>
      <w:r>
        <w:rPr>
          <w:i/>
          <w:color w:val="231F20"/>
          <w:w w:val="105"/>
          <w:sz w:val="20"/>
        </w:rPr>
        <w:t>of</w:t>
      </w:r>
      <w:r>
        <w:rPr>
          <w:i/>
          <w:color w:val="231F20"/>
          <w:spacing w:val="-16"/>
          <w:w w:val="105"/>
          <w:sz w:val="20"/>
        </w:rPr>
        <w:t> </w:t>
      </w:r>
      <w:r>
        <w:rPr>
          <w:i/>
          <w:color w:val="231F20"/>
          <w:w w:val="105"/>
          <w:sz w:val="20"/>
        </w:rPr>
        <w:t>natriuretic</w:t>
      </w:r>
      <w:r>
        <w:rPr>
          <w:i/>
          <w:color w:val="231F20"/>
          <w:spacing w:val="-16"/>
          <w:w w:val="105"/>
          <w:sz w:val="20"/>
        </w:rPr>
        <w:t> </w:t>
      </w:r>
      <w:r>
        <w:rPr>
          <w:i/>
          <w:color w:val="231F20"/>
          <w:w w:val="105"/>
          <w:sz w:val="20"/>
        </w:rPr>
        <w:t>systems,</w:t>
      </w:r>
      <w:r>
        <w:rPr>
          <w:i/>
          <w:color w:val="231F20"/>
          <w:spacing w:val="-16"/>
          <w:w w:val="105"/>
          <w:sz w:val="20"/>
        </w:rPr>
        <w:t> </w:t>
      </w:r>
      <w:r>
        <w:rPr>
          <w:color w:val="231F20"/>
          <w:w w:val="105"/>
          <w:sz w:val="20"/>
        </w:rPr>
        <w:t>especially</w:t>
      </w:r>
      <w:r>
        <w:rPr>
          <w:color w:val="231F20"/>
          <w:spacing w:val="-16"/>
          <w:w w:val="105"/>
          <w:sz w:val="20"/>
        </w:rPr>
        <w:t> </w:t>
      </w:r>
      <w:r>
        <w:rPr>
          <w:color w:val="231F20"/>
          <w:spacing w:val="-6"/>
          <w:w w:val="105"/>
          <w:sz w:val="20"/>
        </w:rPr>
        <w:t>ANP, </w:t>
      </w:r>
      <w:r>
        <w:rPr>
          <w:color w:val="231F20"/>
          <w:w w:val="105"/>
          <w:sz w:val="20"/>
        </w:rPr>
        <w:t>contributes further to increased sodium excretion. Thus,</w:t>
      </w:r>
      <w:r>
        <w:rPr>
          <w:color w:val="231F20"/>
          <w:spacing w:val="-35"/>
          <w:w w:val="105"/>
          <w:sz w:val="20"/>
        </w:rPr>
        <w:t> </w:t>
      </w:r>
      <w:r>
        <w:rPr>
          <w:color w:val="231F20"/>
          <w:w w:val="105"/>
          <w:sz w:val="20"/>
        </w:rPr>
        <w:t>the</w:t>
      </w:r>
      <w:r>
        <w:rPr>
          <w:color w:val="231F20"/>
          <w:spacing w:val="-35"/>
          <w:w w:val="105"/>
          <w:sz w:val="20"/>
        </w:rPr>
        <w:t> </w:t>
      </w:r>
      <w:r>
        <w:rPr>
          <w:color w:val="231F20"/>
          <w:w w:val="105"/>
          <w:sz w:val="20"/>
        </w:rPr>
        <w:t>combined</w:t>
      </w:r>
      <w:r>
        <w:rPr>
          <w:color w:val="231F20"/>
          <w:spacing w:val="-34"/>
          <w:w w:val="105"/>
          <w:sz w:val="20"/>
        </w:rPr>
        <w:t> </w:t>
      </w:r>
      <w:r>
        <w:rPr>
          <w:color w:val="231F20"/>
          <w:w w:val="105"/>
          <w:sz w:val="20"/>
        </w:rPr>
        <w:t>activation</w:t>
      </w:r>
      <w:r>
        <w:rPr>
          <w:color w:val="231F20"/>
          <w:spacing w:val="-35"/>
          <w:w w:val="105"/>
          <w:sz w:val="20"/>
        </w:rPr>
        <w:t> </w:t>
      </w:r>
      <w:r>
        <w:rPr>
          <w:color w:val="231F20"/>
          <w:w w:val="105"/>
          <w:sz w:val="20"/>
        </w:rPr>
        <w:t>of</w:t>
      </w:r>
      <w:r>
        <w:rPr>
          <w:color w:val="231F20"/>
          <w:spacing w:val="-35"/>
          <w:w w:val="105"/>
          <w:sz w:val="20"/>
        </w:rPr>
        <w:t> </w:t>
      </w:r>
      <w:r>
        <w:rPr>
          <w:color w:val="231F20"/>
          <w:w w:val="105"/>
          <w:sz w:val="20"/>
        </w:rPr>
        <w:t>natriuretic</w:t>
      </w:r>
      <w:r>
        <w:rPr>
          <w:color w:val="231F20"/>
          <w:spacing w:val="-34"/>
          <w:w w:val="105"/>
          <w:sz w:val="20"/>
        </w:rPr>
        <w:t> </w:t>
      </w:r>
      <w:r>
        <w:rPr>
          <w:color w:val="231F20"/>
          <w:w w:val="105"/>
          <w:sz w:val="20"/>
        </w:rPr>
        <w:t>systems and suppression of sodium- and water-retaining systems leads to an increase in sodium excretion when sodium intake is increased. The opposite changes</w:t>
      </w:r>
      <w:r>
        <w:rPr>
          <w:color w:val="231F20"/>
          <w:spacing w:val="-6"/>
          <w:w w:val="105"/>
          <w:sz w:val="20"/>
        </w:rPr>
        <w:t> </w:t>
      </w:r>
      <w:r>
        <w:rPr>
          <w:color w:val="231F20"/>
          <w:w w:val="105"/>
          <w:sz w:val="20"/>
        </w:rPr>
        <w:t>take</w:t>
      </w:r>
      <w:r>
        <w:rPr>
          <w:color w:val="231F20"/>
          <w:spacing w:val="-6"/>
          <w:w w:val="105"/>
          <w:sz w:val="20"/>
        </w:rPr>
        <w:t> </w:t>
      </w:r>
      <w:r>
        <w:rPr>
          <w:color w:val="231F20"/>
          <w:w w:val="105"/>
          <w:sz w:val="20"/>
        </w:rPr>
        <w:t>place</w:t>
      </w:r>
      <w:r>
        <w:rPr>
          <w:color w:val="231F20"/>
          <w:spacing w:val="-5"/>
          <w:w w:val="105"/>
          <w:sz w:val="20"/>
        </w:rPr>
        <w:t> </w:t>
      </w:r>
      <w:r>
        <w:rPr>
          <w:color w:val="231F20"/>
          <w:w w:val="105"/>
          <w:sz w:val="20"/>
        </w:rPr>
        <w:t>when</w:t>
      </w:r>
      <w:r>
        <w:rPr>
          <w:color w:val="231F20"/>
          <w:spacing w:val="-6"/>
          <w:w w:val="105"/>
          <w:sz w:val="20"/>
        </w:rPr>
        <w:t> </w:t>
      </w:r>
      <w:r>
        <w:rPr>
          <w:color w:val="231F20"/>
          <w:w w:val="105"/>
          <w:sz w:val="20"/>
        </w:rPr>
        <w:t>sodium</w:t>
      </w:r>
      <w:r>
        <w:rPr>
          <w:color w:val="231F20"/>
          <w:spacing w:val="-5"/>
          <w:w w:val="105"/>
          <w:sz w:val="20"/>
        </w:rPr>
        <w:t> </w:t>
      </w:r>
      <w:r>
        <w:rPr>
          <w:color w:val="231F20"/>
          <w:w w:val="105"/>
          <w:sz w:val="20"/>
        </w:rPr>
        <w:t>intake</w:t>
      </w:r>
      <w:r>
        <w:rPr>
          <w:color w:val="231F20"/>
          <w:spacing w:val="-6"/>
          <w:w w:val="105"/>
          <w:sz w:val="20"/>
        </w:rPr>
        <w:t> </w:t>
      </w:r>
      <w:r>
        <w:rPr>
          <w:color w:val="231F20"/>
          <w:w w:val="105"/>
          <w:sz w:val="20"/>
        </w:rPr>
        <w:t>is</w:t>
      </w:r>
      <w:r>
        <w:rPr>
          <w:color w:val="231F20"/>
          <w:spacing w:val="-5"/>
          <w:w w:val="105"/>
          <w:sz w:val="20"/>
        </w:rPr>
        <w:t> </w:t>
      </w:r>
      <w:r>
        <w:rPr>
          <w:color w:val="231F20"/>
          <w:w w:val="105"/>
          <w:sz w:val="20"/>
        </w:rPr>
        <w:t>reduced below normal</w:t>
      </w:r>
      <w:r>
        <w:rPr>
          <w:color w:val="231F20"/>
          <w:spacing w:val="4"/>
          <w:w w:val="105"/>
          <w:sz w:val="20"/>
        </w:rPr>
        <w:t> </w:t>
      </w:r>
      <w:r>
        <w:rPr>
          <w:color w:val="231F20"/>
          <w:w w:val="105"/>
          <w:sz w:val="20"/>
        </w:rPr>
        <w:t>levels.</w:t>
      </w:r>
    </w:p>
    <w:p>
      <w:pPr>
        <w:pStyle w:val="ListParagraph"/>
        <w:numPr>
          <w:ilvl w:val="0"/>
          <w:numId w:val="27"/>
        </w:numPr>
        <w:tabs>
          <w:tab w:pos="802" w:val="left" w:leader="none"/>
        </w:tabs>
        <w:spacing w:line="249" w:lineRule="auto" w:before="7" w:after="0"/>
        <w:ind w:left="801" w:right="1077" w:hanging="243"/>
        <w:jc w:val="both"/>
        <w:rPr>
          <w:sz w:val="20"/>
        </w:rPr>
      </w:pPr>
      <w:r>
        <w:rPr>
          <w:i/>
          <w:color w:val="231F20"/>
          <w:sz w:val="20"/>
        </w:rPr>
        <w:t>Small increases in arterial pressure, </w:t>
      </w:r>
      <w:r>
        <w:rPr>
          <w:color w:val="231F20"/>
          <w:sz w:val="20"/>
        </w:rPr>
        <w:t>caused by volume expansion, may occur with large increases in sodium intake; this mechanism raises sodium excretion through pressure natriuresis. As dis- cussed previously, if the nervous, hormonal, </w:t>
      </w:r>
      <w:r>
        <w:rPr>
          <w:color w:val="231F20"/>
          <w:spacing w:val="-5"/>
          <w:sz w:val="20"/>
        </w:rPr>
        <w:t>and </w:t>
      </w:r>
      <w:r>
        <w:rPr>
          <w:color w:val="231F20"/>
          <w:sz w:val="20"/>
        </w:rPr>
        <w:t>intrarenal mechanisms are operating effectively, measurable increases in blood pressure may not occur even with large increases in sodium intake over several days. However, when high sodium intake is sustained for months or years, the kidneys may</w:t>
      </w:r>
      <w:r>
        <w:rPr>
          <w:color w:val="231F20"/>
          <w:spacing w:val="-7"/>
          <w:sz w:val="20"/>
        </w:rPr>
        <w:t> </w:t>
      </w:r>
      <w:r>
        <w:rPr>
          <w:color w:val="231F20"/>
          <w:sz w:val="20"/>
        </w:rPr>
        <w:t>become</w:t>
      </w:r>
      <w:r>
        <w:rPr>
          <w:color w:val="231F20"/>
          <w:spacing w:val="-6"/>
          <w:sz w:val="20"/>
        </w:rPr>
        <w:t> </w:t>
      </w:r>
      <w:r>
        <w:rPr>
          <w:color w:val="231F20"/>
          <w:sz w:val="20"/>
        </w:rPr>
        <w:t>damaged</w:t>
      </w:r>
      <w:r>
        <w:rPr>
          <w:color w:val="231F20"/>
          <w:spacing w:val="-6"/>
          <w:sz w:val="20"/>
        </w:rPr>
        <w:t> </w:t>
      </w:r>
      <w:r>
        <w:rPr>
          <w:color w:val="231F20"/>
          <w:sz w:val="20"/>
        </w:rPr>
        <w:t>and</w:t>
      </w:r>
      <w:r>
        <w:rPr>
          <w:color w:val="231F20"/>
          <w:spacing w:val="-6"/>
          <w:sz w:val="20"/>
        </w:rPr>
        <w:t> </w:t>
      </w:r>
      <w:r>
        <w:rPr>
          <w:color w:val="231F20"/>
          <w:sz w:val="20"/>
        </w:rPr>
        <w:t>less</w:t>
      </w:r>
      <w:r>
        <w:rPr>
          <w:color w:val="231F20"/>
          <w:spacing w:val="-6"/>
          <w:sz w:val="20"/>
        </w:rPr>
        <w:t> </w:t>
      </w:r>
      <w:r>
        <w:rPr>
          <w:color w:val="231F20"/>
          <w:sz w:val="20"/>
        </w:rPr>
        <w:t>effective</w:t>
      </w:r>
      <w:r>
        <w:rPr>
          <w:color w:val="231F20"/>
          <w:spacing w:val="-6"/>
          <w:sz w:val="20"/>
        </w:rPr>
        <w:t> </w:t>
      </w:r>
      <w:r>
        <w:rPr>
          <w:color w:val="231F20"/>
          <w:sz w:val="20"/>
        </w:rPr>
        <w:t>in</w:t>
      </w:r>
      <w:r>
        <w:rPr>
          <w:color w:val="231F20"/>
          <w:spacing w:val="-6"/>
          <w:sz w:val="20"/>
        </w:rPr>
        <w:t> </w:t>
      </w:r>
      <w:r>
        <w:rPr>
          <w:color w:val="231F20"/>
          <w:sz w:val="20"/>
        </w:rPr>
        <w:t>excreting sodium,  necessitating  increased  blood   pressure to maintain sodium balance through the pressure natriuresis</w:t>
      </w:r>
      <w:r>
        <w:rPr>
          <w:color w:val="231F20"/>
          <w:spacing w:val="7"/>
          <w:sz w:val="20"/>
        </w:rPr>
        <w:t> </w:t>
      </w:r>
      <w:r>
        <w:rPr>
          <w:color w:val="231F20"/>
          <w:sz w:val="20"/>
        </w:rPr>
        <w:t>mechanism.</w:t>
      </w:r>
    </w:p>
    <w:p>
      <w:pPr>
        <w:pStyle w:val="BodyText"/>
        <w:spacing w:before="7"/>
        <w:rPr>
          <w:sz w:val="25"/>
        </w:rPr>
      </w:pPr>
      <w:r>
        <w:rPr/>
        <w:pict>
          <v:shape style="position:absolute;margin-left:324pt;margin-top:15.923492pt;width:234pt;height:40pt;mso-position-horizontal-relative:page;mso-position-vertical-relative:paragraph;z-index:-250616832;mso-wrap-distance-left:0;mso-wrap-distance-right:0" type="#_x0000_t202" filled="true" fillcolor="#e8dac8" stroked="false">
            <v:textbox inset="0,0,0,0">
              <w:txbxContent>
                <w:p>
                  <w:pPr>
                    <w:spacing w:line="225" w:lineRule="auto" w:before="46"/>
                    <w:ind w:left="60" w:right="0" w:firstLine="0"/>
                    <w:jc w:val="left"/>
                    <w:rPr>
                      <w:rFonts w:ascii="Trebuchet MS"/>
                      <w:b/>
                      <w:sz w:val="22"/>
                    </w:rPr>
                  </w:pPr>
                  <w:r>
                    <w:rPr>
                      <w:rFonts w:ascii="Trebuchet MS"/>
                      <w:b/>
                      <w:color w:val="231F20"/>
                      <w:w w:val="110"/>
                      <w:sz w:val="22"/>
                    </w:rPr>
                    <w:t>CONDITIONS </w:t>
                  </w:r>
                  <w:r>
                    <w:rPr>
                      <w:rFonts w:ascii="Trebuchet MS"/>
                      <w:b/>
                      <w:color w:val="231F20"/>
                      <w:spacing w:val="-4"/>
                      <w:w w:val="110"/>
                      <w:sz w:val="22"/>
                    </w:rPr>
                    <w:t>THAT </w:t>
                  </w:r>
                  <w:r>
                    <w:rPr>
                      <w:rFonts w:ascii="Trebuchet MS"/>
                      <w:b/>
                      <w:color w:val="231F20"/>
                      <w:w w:val="110"/>
                      <w:sz w:val="22"/>
                    </w:rPr>
                    <w:t>CAUSE LARGE INCREASES IN BLOOD VOLUME </w:t>
                  </w:r>
                  <w:r>
                    <w:rPr>
                      <w:rFonts w:ascii="Trebuchet MS"/>
                      <w:b/>
                      <w:color w:val="231F20"/>
                      <w:spacing w:val="-6"/>
                      <w:w w:val="110"/>
                      <w:sz w:val="22"/>
                    </w:rPr>
                    <w:t>AND</w:t>
                  </w:r>
                  <w:r>
                    <w:rPr>
                      <w:rFonts w:ascii="Trebuchet MS"/>
                      <w:b/>
                      <w:color w:val="231F20"/>
                      <w:spacing w:val="60"/>
                      <w:w w:val="110"/>
                      <w:sz w:val="22"/>
                    </w:rPr>
                    <w:t> </w:t>
                  </w:r>
                  <w:r>
                    <w:rPr>
                      <w:rFonts w:ascii="Trebuchet MS"/>
                      <w:b/>
                      <w:color w:val="231F20"/>
                      <w:w w:val="110"/>
                      <w:sz w:val="22"/>
                    </w:rPr>
                    <w:t>EXTRACELLULAR FLUID VOLUME</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077"/>
        <w:jc w:val="both"/>
      </w:pPr>
      <w:r>
        <w:rPr>
          <w:color w:val="231F20"/>
        </w:rPr>
        <w:t>Despite the powerful regulatory mechanisms that main- tain blood volume and extracellular fluid volume rea- sonably constant, there  are  abnormal  conditions  </w:t>
      </w:r>
      <w:r>
        <w:rPr>
          <w:color w:val="231F20"/>
          <w:spacing w:val="-5"/>
        </w:rPr>
        <w:t>that  </w:t>
      </w:r>
      <w:r>
        <w:rPr>
          <w:color w:val="231F20"/>
        </w:rPr>
        <w:t>can cause large increases in both of these variables. Almost all of these conditions result from circulatory abnormalities.</w:t>
      </w:r>
    </w:p>
    <w:p>
      <w:pPr>
        <w:pStyle w:val="BodyText"/>
        <w:spacing w:before="1"/>
        <w:rPr>
          <w:sz w:val="31"/>
        </w:rPr>
      </w:pPr>
    </w:p>
    <w:p>
      <w:pPr>
        <w:pStyle w:val="Heading2"/>
        <w:spacing w:line="225" w:lineRule="auto"/>
        <w:ind w:right="1490"/>
      </w:pPr>
      <w:r>
        <w:rPr>
          <w:color w:val="231F20"/>
          <w:w w:val="105"/>
        </w:rPr>
        <w:t>INCREASED BLOOD VOLUME AND EXTRACELLULAR FLUID VOLUME CAUSED BY HEART DISEASES</w:t>
      </w:r>
    </w:p>
    <w:p>
      <w:pPr>
        <w:pStyle w:val="BodyText"/>
        <w:spacing w:line="249" w:lineRule="auto" w:before="127"/>
        <w:ind w:left="319" w:right="1079"/>
        <w:jc w:val="both"/>
      </w:pPr>
      <w:r>
        <w:rPr>
          <w:color w:val="231F20"/>
          <w:w w:val="105"/>
        </w:rPr>
        <w:t>In persons with congestive heart  failure,  blood  volume may increase 15 to 20 percent and extracellular fluid volume sometimes increases by 200 percent </w:t>
      </w:r>
      <w:r>
        <w:rPr>
          <w:color w:val="231F20"/>
          <w:spacing w:val="-7"/>
          <w:w w:val="105"/>
        </w:rPr>
        <w:t>or </w:t>
      </w:r>
      <w:r>
        <w:rPr>
          <w:color w:val="231F20"/>
          <w:w w:val="105"/>
        </w:rPr>
        <w:t>more. The reason for these increases can be</w:t>
      </w:r>
      <w:r>
        <w:rPr>
          <w:color w:val="231F20"/>
          <w:spacing w:val="41"/>
          <w:w w:val="105"/>
        </w:rPr>
        <w:t> </w:t>
      </w:r>
      <w:r>
        <w:rPr>
          <w:color w:val="231F20"/>
          <w:w w:val="105"/>
        </w:rPr>
        <w:t>under- stood by re-examination of </w:t>
      </w:r>
      <w:hyperlink w:history="true" w:anchor="_bookmark97">
        <w:r>
          <w:rPr>
            <w:rFonts w:ascii="Cambria"/>
            <w:b/>
            <w:color w:val="0080AC"/>
            <w:w w:val="105"/>
          </w:rPr>
          <w:t>Figure 30-14</w:t>
        </w:r>
      </w:hyperlink>
      <w:r>
        <w:rPr>
          <w:color w:val="231F20"/>
          <w:w w:val="105"/>
        </w:rPr>
        <w:t>. </w:t>
      </w:r>
      <w:r>
        <w:rPr>
          <w:color w:val="231F20"/>
          <w:spacing w:val="-4"/>
          <w:w w:val="105"/>
        </w:rPr>
        <w:t>Initially, </w:t>
      </w:r>
      <w:r>
        <w:rPr>
          <w:color w:val="231F20"/>
          <w:w w:val="105"/>
        </w:rPr>
        <w:t>heart failure reduces cardiac output and, consequently, decreases</w:t>
      </w:r>
      <w:r>
        <w:rPr>
          <w:color w:val="231F20"/>
          <w:spacing w:val="12"/>
          <w:w w:val="105"/>
        </w:rPr>
        <w:t> </w:t>
      </w:r>
      <w:r>
        <w:rPr>
          <w:color w:val="231F20"/>
          <w:w w:val="105"/>
        </w:rPr>
        <w:t>arterial</w:t>
      </w:r>
      <w:r>
        <w:rPr>
          <w:color w:val="231F20"/>
          <w:spacing w:val="12"/>
          <w:w w:val="105"/>
        </w:rPr>
        <w:t> </w:t>
      </w:r>
      <w:r>
        <w:rPr>
          <w:color w:val="231F20"/>
          <w:w w:val="105"/>
        </w:rPr>
        <w:t>pressure.</w:t>
      </w:r>
      <w:r>
        <w:rPr>
          <w:color w:val="231F20"/>
          <w:spacing w:val="12"/>
          <w:w w:val="105"/>
        </w:rPr>
        <w:t> </w:t>
      </w:r>
      <w:r>
        <w:rPr>
          <w:color w:val="231F20"/>
          <w:w w:val="105"/>
        </w:rPr>
        <w:t>This</w:t>
      </w:r>
      <w:r>
        <w:rPr>
          <w:color w:val="231F20"/>
          <w:spacing w:val="12"/>
          <w:w w:val="105"/>
        </w:rPr>
        <w:t> </w:t>
      </w:r>
      <w:r>
        <w:rPr>
          <w:color w:val="231F20"/>
          <w:w w:val="105"/>
        </w:rPr>
        <w:t>effect</w:t>
      </w:r>
      <w:r>
        <w:rPr>
          <w:color w:val="231F20"/>
          <w:spacing w:val="13"/>
          <w:w w:val="105"/>
        </w:rPr>
        <w:t> </w:t>
      </w:r>
      <w:r>
        <w:rPr>
          <w:color w:val="231F20"/>
          <w:w w:val="105"/>
        </w:rPr>
        <w:t>in</w:t>
      </w:r>
      <w:r>
        <w:rPr>
          <w:color w:val="231F20"/>
          <w:spacing w:val="12"/>
          <w:w w:val="105"/>
        </w:rPr>
        <w:t> </w:t>
      </w:r>
      <w:r>
        <w:rPr>
          <w:color w:val="231F20"/>
          <w:w w:val="105"/>
        </w:rPr>
        <w:t>turn</w:t>
      </w:r>
      <w:r>
        <w:rPr>
          <w:color w:val="231F20"/>
          <w:spacing w:val="12"/>
          <w:w w:val="105"/>
        </w:rPr>
        <w:t> </w:t>
      </w:r>
      <w:r>
        <w:rPr>
          <w:color w:val="231F20"/>
          <w:spacing w:val="-3"/>
          <w:w w:val="105"/>
        </w:rPr>
        <w:t>activates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927"/>
          <w:footerReference w:type="even" r:id="rId928"/>
          <w:footerReference w:type="default" r:id="rId929"/>
          <w:pgSz w:w="12240" w:h="15660"/>
          <w:pgMar w:header="0" w:footer="567" w:top="720" w:bottom="760" w:left="0" w:right="0"/>
          <w:pgNumType w:start="406"/>
        </w:sectPr>
      </w:pPr>
    </w:p>
    <w:p>
      <w:pPr>
        <w:pStyle w:val="BodyText"/>
        <w:spacing w:line="249" w:lineRule="auto" w:before="99"/>
        <w:ind w:left="1080"/>
        <w:jc w:val="both"/>
      </w:pPr>
      <w:r>
        <w:rPr>
          <w:color w:val="231F20"/>
          <w:w w:val="105"/>
        </w:rPr>
        <w:t>multiple sodium-retaining systems, especially the</w:t>
      </w:r>
      <w:r>
        <w:rPr>
          <w:color w:val="231F20"/>
          <w:spacing w:val="-23"/>
          <w:w w:val="105"/>
        </w:rPr>
        <w:t> </w:t>
      </w:r>
      <w:r>
        <w:rPr>
          <w:color w:val="231F20"/>
          <w:spacing w:val="-4"/>
          <w:w w:val="105"/>
        </w:rPr>
        <w:t>renin- </w:t>
      </w:r>
      <w:r>
        <w:rPr>
          <w:color w:val="231F20"/>
          <w:w w:val="105"/>
        </w:rPr>
        <w:t>angiotensin, aldosterone, and sympathetic nervous </w:t>
      </w:r>
      <w:r>
        <w:rPr>
          <w:color w:val="231F20"/>
          <w:spacing w:val="-4"/>
          <w:w w:val="105"/>
        </w:rPr>
        <w:t>sys- </w:t>
      </w:r>
      <w:r>
        <w:rPr>
          <w:color w:val="231F20"/>
          <w:w w:val="105"/>
        </w:rPr>
        <w:t>tems.</w:t>
      </w:r>
      <w:r>
        <w:rPr>
          <w:color w:val="231F20"/>
          <w:spacing w:val="-15"/>
          <w:w w:val="105"/>
        </w:rPr>
        <w:t> </w:t>
      </w:r>
      <w:r>
        <w:rPr>
          <w:color w:val="231F20"/>
          <w:w w:val="105"/>
        </w:rPr>
        <w:t>In</w:t>
      </w:r>
      <w:r>
        <w:rPr>
          <w:color w:val="231F20"/>
          <w:spacing w:val="-14"/>
          <w:w w:val="105"/>
        </w:rPr>
        <w:t> </w:t>
      </w:r>
      <w:r>
        <w:rPr>
          <w:color w:val="231F20"/>
          <w:w w:val="105"/>
        </w:rPr>
        <w:t>addition,</w:t>
      </w:r>
      <w:r>
        <w:rPr>
          <w:color w:val="231F20"/>
          <w:spacing w:val="-14"/>
          <w:w w:val="105"/>
        </w:rPr>
        <w:t> </w:t>
      </w:r>
      <w:r>
        <w:rPr>
          <w:color w:val="231F20"/>
          <w:w w:val="105"/>
        </w:rPr>
        <w:t>the</w:t>
      </w:r>
      <w:r>
        <w:rPr>
          <w:color w:val="231F20"/>
          <w:spacing w:val="-15"/>
          <w:w w:val="105"/>
        </w:rPr>
        <w:t> </w:t>
      </w:r>
      <w:r>
        <w:rPr>
          <w:color w:val="231F20"/>
          <w:w w:val="105"/>
        </w:rPr>
        <w:t>low</w:t>
      </w:r>
      <w:r>
        <w:rPr>
          <w:color w:val="231F20"/>
          <w:spacing w:val="-14"/>
          <w:w w:val="105"/>
        </w:rPr>
        <w:t> </w:t>
      </w:r>
      <w:r>
        <w:rPr>
          <w:color w:val="231F20"/>
          <w:w w:val="105"/>
        </w:rPr>
        <w:t>blood</w:t>
      </w:r>
      <w:r>
        <w:rPr>
          <w:color w:val="231F20"/>
          <w:spacing w:val="-14"/>
          <w:w w:val="105"/>
        </w:rPr>
        <w:t> </w:t>
      </w:r>
      <w:r>
        <w:rPr>
          <w:color w:val="231F20"/>
          <w:w w:val="105"/>
        </w:rPr>
        <w:t>pressure</w:t>
      </w:r>
      <w:r>
        <w:rPr>
          <w:color w:val="231F20"/>
          <w:spacing w:val="-14"/>
          <w:w w:val="105"/>
        </w:rPr>
        <w:t> </w:t>
      </w:r>
      <w:r>
        <w:rPr>
          <w:color w:val="231F20"/>
          <w:w w:val="105"/>
        </w:rPr>
        <w:t>itself</w:t>
      </w:r>
      <w:r>
        <w:rPr>
          <w:color w:val="231F20"/>
          <w:spacing w:val="-15"/>
          <w:w w:val="105"/>
        </w:rPr>
        <w:t> </w:t>
      </w:r>
      <w:r>
        <w:rPr>
          <w:color w:val="231F20"/>
          <w:w w:val="105"/>
        </w:rPr>
        <w:t>causes</w:t>
      </w:r>
      <w:r>
        <w:rPr>
          <w:color w:val="231F20"/>
          <w:spacing w:val="-14"/>
          <w:w w:val="105"/>
        </w:rPr>
        <w:t> </w:t>
      </w:r>
      <w:r>
        <w:rPr>
          <w:color w:val="231F20"/>
          <w:spacing w:val="-6"/>
          <w:w w:val="105"/>
        </w:rPr>
        <w:t>the </w:t>
      </w:r>
      <w:r>
        <w:rPr>
          <w:color w:val="231F20"/>
          <w:w w:val="105"/>
        </w:rPr>
        <w:t>kidneys to retain salt and </w:t>
      </w:r>
      <w:r>
        <w:rPr>
          <w:color w:val="231F20"/>
          <w:spacing w:val="-3"/>
          <w:w w:val="105"/>
        </w:rPr>
        <w:t>water. </w:t>
      </w:r>
      <w:r>
        <w:rPr>
          <w:color w:val="231F20"/>
          <w:w w:val="105"/>
        </w:rPr>
        <w:t>Therefore, the </w:t>
      </w:r>
      <w:r>
        <w:rPr>
          <w:color w:val="231F20"/>
          <w:spacing w:val="-3"/>
          <w:w w:val="105"/>
        </w:rPr>
        <w:t>kidneys </w:t>
      </w:r>
      <w:r>
        <w:rPr>
          <w:color w:val="231F20"/>
          <w:w w:val="105"/>
        </w:rPr>
        <w:t>retain</w:t>
      </w:r>
      <w:r>
        <w:rPr>
          <w:color w:val="231F20"/>
          <w:spacing w:val="-14"/>
          <w:w w:val="105"/>
        </w:rPr>
        <w:t> </w:t>
      </w:r>
      <w:r>
        <w:rPr>
          <w:color w:val="231F20"/>
          <w:w w:val="105"/>
        </w:rPr>
        <w:t>volume</w:t>
      </w:r>
      <w:r>
        <w:rPr>
          <w:color w:val="231F20"/>
          <w:spacing w:val="-13"/>
          <w:w w:val="105"/>
        </w:rPr>
        <w:t> </w:t>
      </w:r>
      <w:r>
        <w:rPr>
          <w:color w:val="231F20"/>
          <w:w w:val="105"/>
        </w:rPr>
        <w:t>in</w:t>
      </w:r>
      <w:r>
        <w:rPr>
          <w:color w:val="231F20"/>
          <w:spacing w:val="-13"/>
          <w:w w:val="105"/>
        </w:rPr>
        <w:t> </w:t>
      </w:r>
      <w:r>
        <w:rPr>
          <w:color w:val="231F20"/>
          <w:w w:val="105"/>
        </w:rPr>
        <w:t>an</w:t>
      </w:r>
      <w:r>
        <w:rPr>
          <w:color w:val="231F20"/>
          <w:spacing w:val="-13"/>
          <w:w w:val="105"/>
        </w:rPr>
        <w:t> </w:t>
      </w:r>
      <w:r>
        <w:rPr>
          <w:color w:val="231F20"/>
          <w:w w:val="105"/>
        </w:rPr>
        <w:t>attempt</w:t>
      </w:r>
      <w:r>
        <w:rPr>
          <w:color w:val="231F20"/>
          <w:spacing w:val="-13"/>
          <w:w w:val="105"/>
        </w:rPr>
        <w:t> </w:t>
      </w:r>
      <w:r>
        <w:rPr>
          <w:color w:val="231F20"/>
          <w:w w:val="105"/>
        </w:rPr>
        <w:t>to</w:t>
      </w:r>
      <w:r>
        <w:rPr>
          <w:color w:val="231F20"/>
          <w:spacing w:val="-13"/>
          <w:w w:val="105"/>
        </w:rPr>
        <w:t> </w:t>
      </w:r>
      <w:r>
        <w:rPr>
          <w:color w:val="231F20"/>
          <w:w w:val="105"/>
        </w:rPr>
        <w:t>return</w:t>
      </w:r>
      <w:r>
        <w:rPr>
          <w:color w:val="231F20"/>
          <w:spacing w:val="-13"/>
          <w:w w:val="105"/>
        </w:rPr>
        <w:t> </w:t>
      </w:r>
      <w:r>
        <w:rPr>
          <w:color w:val="231F20"/>
          <w:w w:val="105"/>
        </w:rPr>
        <w:t>the</w:t>
      </w:r>
      <w:r>
        <w:rPr>
          <w:color w:val="231F20"/>
          <w:spacing w:val="-13"/>
          <w:w w:val="105"/>
        </w:rPr>
        <w:t> </w:t>
      </w:r>
      <w:r>
        <w:rPr>
          <w:color w:val="231F20"/>
          <w:w w:val="105"/>
        </w:rPr>
        <w:t>arterial</w:t>
      </w:r>
      <w:r>
        <w:rPr>
          <w:color w:val="231F20"/>
          <w:spacing w:val="-13"/>
          <w:w w:val="105"/>
        </w:rPr>
        <w:t> </w:t>
      </w:r>
      <w:r>
        <w:rPr>
          <w:color w:val="231F20"/>
          <w:w w:val="105"/>
        </w:rPr>
        <w:t>pressure and cardiac output toward</w:t>
      </w:r>
      <w:r>
        <w:rPr>
          <w:color w:val="231F20"/>
          <w:spacing w:val="12"/>
          <w:w w:val="105"/>
        </w:rPr>
        <w:t> </w:t>
      </w:r>
      <w:r>
        <w:rPr>
          <w:color w:val="231F20"/>
          <w:w w:val="105"/>
        </w:rPr>
        <w:t>normal.</w:t>
      </w:r>
    </w:p>
    <w:p>
      <w:pPr>
        <w:pStyle w:val="BodyText"/>
        <w:spacing w:line="249" w:lineRule="auto" w:before="5"/>
        <w:ind w:left="1080" w:firstLine="240"/>
        <w:jc w:val="both"/>
      </w:pPr>
      <w:r>
        <w:rPr/>
        <w:pict>
          <v:rect style="position:absolute;margin-left:0pt;margin-top:68.235962pt;width:36pt;height:24pt;mso-position-horizontal-relative:page;mso-position-vertical-relative:paragraph;z-index:252707840" filled="true" fillcolor="#e8dac8" stroked="false">
            <v:fill type="solid"/>
            <w10:wrap type="none"/>
          </v:rect>
        </w:pict>
      </w:r>
      <w:r>
        <w:rPr>
          <w:color w:val="231F20"/>
        </w:rPr>
        <w:t>If the heart failure is not too severe, the rise in blood volume can often return cardiac output and arterial pres- sure virtually all the way to normal and sodium </w:t>
      </w:r>
      <w:r>
        <w:rPr>
          <w:color w:val="231F20"/>
          <w:spacing w:val="-5"/>
        </w:rPr>
        <w:t>excre-  </w:t>
      </w:r>
      <w:r>
        <w:rPr>
          <w:color w:val="231F20"/>
        </w:rPr>
        <w:t>tion will eventually increase back to normal, </w:t>
      </w:r>
      <w:r>
        <w:rPr>
          <w:color w:val="231F20"/>
          <w:spacing w:val="-3"/>
        </w:rPr>
        <w:t>although </w:t>
      </w:r>
      <w:r>
        <w:rPr>
          <w:color w:val="231F20"/>
        </w:rPr>
        <w:t>increased extracellular fluid volume and blood </w:t>
      </w:r>
      <w:r>
        <w:rPr>
          <w:color w:val="231F20"/>
          <w:spacing w:val="-3"/>
        </w:rPr>
        <w:t>volume </w:t>
      </w:r>
      <w:r>
        <w:rPr>
          <w:color w:val="231F20"/>
        </w:rPr>
        <w:t>will remain to keep the weakened heart </w:t>
      </w:r>
      <w:r>
        <w:rPr>
          <w:color w:val="231F20"/>
          <w:spacing w:val="-3"/>
        </w:rPr>
        <w:t>pumping </w:t>
      </w:r>
      <w:r>
        <w:rPr>
          <w:color w:val="231F20"/>
        </w:rPr>
        <w:t>adequately. However, if the heart is greatly weakened, arterial pressure may not be able to increase enough </w:t>
      </w:r>
      <w:r>
        <w:rPr>
          <w:color w:val="231F20"/>
          <w:spacing w:val="-7"/>
        </w:rPr>
        <w:t>to </w:t>
      </w:r>
      <w:r>
        <w:rPr>
          <w:color w:val="231F20"/>
        </w:rPr>
        <w:t>restore urine output to normal. When this </w:t>
      </w:r>
      <w:r>
        <w:rPr>
          <w:color w:val="231F20"/>
          <w:spacing w:val="-3"/>
        </w:rPr>
        <w:t>situation  </w:t>
      </w:r>
      <w:r>
        <w:rPr>
          <w:color w:val="231F20"/>
        </w:rPr>
        <w:t>occurs, the kidneys continue to retain volume until </w:t>
      </w:r>
      <w:r>
        <w:rPr>
          <w:color w:val="231F20"/>
          <w:spacing w:val="-3"/>
        </w:rPr>
        <w:t>severe </w:t>
      </w:r>
      <w:r>
        <w:rPr>
          <w:color w:val="231F20"/>
        </w:rPr>
        <w:t>circulatory congestion develops and the person </w:t>
      </w:r>
      <w:r>
        <w:rPr>
          <w:color w:val="231F20"/>
          <w:spacing w:val="-5"/>
        </w:rPr>
        <w:t>may </w:t>
      </w:r>
      <w:r>
        <w:rPr>
          <w:color w:val="231F20"/>
        </w:rPr>
        <w:t>eventually die of pulmonary edema unless </w:t>
      </w:r>
      <w:r>
        <w:rPr>
          <w:color w:val="231F20"/>
          <w:spacing w:val="-3"/>
        </w:rPr>
        <w:t>corrective </w:t>
      </w:r>
      <w:r>
        <w:rPr>
          <w:color w:val="231F20"/>
        </w:rPr>
        <w:t>measures are</w:t>
      </w:r>
      <w:r>
        <w:rPr>
          <w:color w:val="231F20"/>
          <w:spacing w:val="13"/>
        </w:rPr>
        <w:t> </w:t>
      </w:r>
      <w:r>
        <w:rPr>
          <w:color w:val="231F20"/>
        </w:rPr>
        <w:t>taken.</w:t>
      </w:r>
    </w:p>
    <w:p>
      <w:pPr>
        <w:pStyle w:val="BodyText"/>
        <w:spacing w:line="249" w:lineRule="auto" w:before="11"/>
        <w:ind w:left="1080" w:firstLine="240"/>
        <w:jc w:val="both"/>
      </w:pPr>
      <w:r>
        <w:rPr>
          <w:color w:val="231F20"/>
          <w:w w:val="105"/>
        </w:rPr>
        <w:t>In</w:t>
      </w:r>
      <w:r>
        <w:rPr>
          <w:color w:val="231F20"/>
          <w:spacing w:val="-14"/>
          <w:w w:val="105"/>
        </w:rPr>
        <w:t> </w:t>
      </w:r>
      <w:r>
        <w:rPr>
          <w:color w:val="231F20"/>
          <w:w w:val="105"/>
        </w:rPr>
        <w:t>myocardial</w:t>
      </w:r>
      <w:r>
        <w:rPr>
          <w:color w:val="231F20"/>
          <w:spacing w:val="-14"/>
          <w:w w:val="105"/>
        </w:rPr>
        <w:t> </w:t>
      </w:r>
      <w:r>
        <w:rPr>
          <w:color w:val="231F20"/>
          <w:w w:val="105"/>
        </w:rPr>
        <w:t>failure,</w:t>
      </w:r>
      <w:r>
        <w:rPr>
          <w:color w:val="231F20"/>
          <w:spacing w:val="-14"/>
          <w:w w:val="105"/>
        </w:rPr>
        <w:t> </w:t>
      </w:r>
      <w:r>
        <w:rPr>
          <w:color w:val="231F20"/>
          <w:w w:val="105"/>
        </w:rPr>
        <w:t>heart</w:t>
      </w:r>
      <w:r>
        <w:rPr>
          <w:color w:val="231F20"/>
          <w:spacing w:val="-14"/>
          <w:w w:val="105"/>
        </w:rPr>
        <w:t> </w:t>
      </w:r>
      <w:r>
        <w:rPr>
          <w:color w:val="231F20"/>
          <w:w w:val="105"/>
        </w:rPr>
        <w:t>valvular</w:t>
      </w:r>
      <w:r>
        <w:rPr>
          <w:color w:val="231F20"/>
          <w:spacing w:val="-14"/>
          <w:w w:val="105"/>
        </w:rPr>
        <w:t> </w:t>
      </w:r>
      <w:r>
        <w:rPr>
          <w:color w:val="231F20"/>
          <w:w w:val="105"/>
        </w:rPr>
        <w:t>disease,</w:t>
      </w:r>
      <w:r>
        <w:rPr>
          <w:color w:val="231F20"/>
          <w:spacing w:val="-13"/>
          <w:w w:val="105"/>
        </w:rPr>
        <w:t> </w:t>
      </w:r>
      <w:r>
        <w:rPr>
          <w:color w:val="231F20"/>
          <w:w w:val="105"/>
        </w:rPr>
        <w:t>and</w:t>
      </w:r>
      <w:r>
        <w:rPr>
          <w:color w:val="231F20"/>
          <w:spacing w:val="-14"/>
          <w:w w:val="105"/>
        </w:rPr>
        <w:t> </w:t>
      </w:r>
      <w:r>
        <w:rPr>
          <w:color w:val="231F20"/>
          <w:w w:val="105"/>
        </w:rPr>
        <w:t>con- genital</w:t>
      </w:r>
      <w:r>
        <w:rPr>
          <w:color w:val="231F20"/>
          <w:spacing w:val="-31"/>
          <w:w w:val="105"/>
        </w:rPr>
        <w:t> </w:t>
      </w:r>
      <w:r>
        <w:rPr>
          <w:color w:val="231F20"/>
          <w:w w:val="105"/>
        </w:rPr>
        <w:t>abnormalities</w:t>
      </w:r>
      <w:r>
        <w:rPr>
          <w:color w:val="231F20"/>
          <w:spacing w:val="-31"/>
          <w:w w:val="105"/>
        </w:rPr>
        <w:t> </w:t>
      </w:r>
      <w:r>
        <w:rPr>
          <w:color w:val="231F20"/>
          <w:w w:val="105"/>
        </w:rPr>
        <w:t>of</w:t>
      </w:r>
      <w:r>
        <w:rPr>
          <w:color w:val="231F20"/>
          <w:spacing w:val="-30"/>
          <w:w w:val="105"/>
        </w:rPr>
        <w:t> </w:t>
      </w:r>
      <w:r>
        <w:rPr>
          <w:color w:val="231F20"/>
          <w:w w:val="105"/>
        </w:rPr>
        <w:t>the</w:t>
      </w:r>
      <w:r>
        <w:rPr>
          <w:color w:val="231F20"/>
          <w:spacing w:val="-31"/>
          <w:w w:val="105"/>
        </w:rPr>
        <w:t> </w:t>
      </w:r>
      <w:r>
        <w:rPr>
          <w:color w:val="231F20"/>
          <w:w w:val="105"/>
        </w:rPr>
        <w:t>heart,</w:t>
      </w:r>
      <w:r>
        <w:rPr>
          <w:color w:val="231F20"/>
          <w:spacing w:val="-31"/>
          <w:w w:val="105"/>
        </w:rPr>
        <w:t> </w:t>
      </w:r>
      <w:r>
        <w:rPr>
          <w:color w:val="231F20"/>
          <w:w w:val="105"/>
        </w:rPr>
        <w:t>increased</w:t>
      </w:r>
      <w:r>
        <w:rPr>
          <w:color w:val="231F20"/>
          <w:spacing w:val="-30"/>
          <w:w w:val="105"/>
        </w:rPr>
        <w:t> </w:t>
      </w:r>
      <w:r>
        <w:rPr>
          <w:color w:val="231F20"/>
          <w:w w:val="105"/>
        </w:rPr>
        <w:t>blood</w:t>
      </w:r>
      <w:r>
        <w:rPr>
          <w:color w:val="231F20"/>
          <w:spacing w:val="-31"/>
          <w:w w:val="105"/>
        </w:rPr>
        <w:t> </w:t>
      </w:r>
      <w:r>
        <w:rPr>
          <w:color w:val="231F20"/>
          <w:w w:val="105"/>
        </w:rPr>
        <w:t>volume serves as an important circulatory compensation </w:t>
      </w:r>
      <w:r>
        <w:rPr>
          <w:color w:val="231F20"/>
          <w:spacing w:val="-4"/>
          <w:w w:val="105"/>
        </w:rPr>
        <w:t>that </w:t>
      </w:r>
      <w:r>
        <w:rPr>
          <w:color w:val="231F20"/>
          <w:w w:val="105"/>
        </w:rPr>
        <w:t>helps</w:t>
      </w:r>
      <w:r>
        <w:rPr>
          <w:color w:val="231F20"/>
          <w:spacing w:val="-9"/>
          <w:w w:val="105"/>
        </w:rPr>
        <w:t> </w:t>
      </w:r>
      <w:r>
        <w:rPr>
          <w:color w:val="231F20"/>
          <w:w w:val="105"/>
        </w:rPr>
        <w:t>to</w:t>
      </w:r>
      <w:r>
        <w:rPr>
          <w:color w:val="231F20"/>
          <w:spacing w:val="-8"/>
          <w:w w:val="105"/>
        </w:rPr>
        <w:t> </w:t>
      </w:r>
      <w:r>
        <w:rPr>
          <w:color w:val="231F20"/>
          <w:w w:val="105"/>
        </w:rPr>
        <w:t>return</w:t>
      </w:r>
      <w:r>
        <w:rPr>
          <w:color w:val="231F20"/>
          <w:spacing w:val="-9"/>
          <w:w w:val="105"/>
        </w:rPr>
        <w:t> </w:t>
      </w:r>
      <w:r>
        <w:rPr>
          <w:color w:val="231F20"/>
          <w:w w:val="105"/>
        </w:rPr>
        <w:t>cardiac</w:t>
      </w:r>
      <w:r>
        <w:rPr>
          <w:color w:val="231F20"/>
          <w:spacing w:val="-8"/>
          <w:w w:val="105"/>
        </w:rPr>
        <w:t> </w:t>
      </w:r>
      <w:r>
        <w:rPr>
          <w:color w:val="231F20"/>
          <w:w w:val="105"/>
        </w:rPr>
        <w:t>output</w:t>
      </w:r>
      <w:r>
        <w:rPr>
          <w:color w:val="231F20"/>
          <w:spacing w:val="-9"/>
          <w:w w:val="105"/>
        </w:rPr>
        <w:t> </w:t>
      </w:r>
      <w:r>
        <w:rPr>
          <w:color w:val="231F20"/>
          <w:w w:val="105"/>
        </w:rPr>
        <w:t>and</w:t>
      </w:r>
      <w:r>
        <w:rPr>
          <w:color w:val="231F20"/>
          <w:spacing w:val="-8"/>
          <w:w w:val="105"/>
        </w:rPr>
        <w:t> </w:t>
      </w:r>
      <w:r>
        <w:rPr>
          <w:color w:val="231F20"/>
          <w:w w:val="105"/>
        </w:rPr>
        <w:t>blood</w:t>
      </w:r>
      <w:r>
        <w:rPr>
          <w:color w:val="231F20"/>
          <w:spacing w:val="-9"/>
          <w:w w:val="105"/>
        </w:rPr>
        <w:t> </w:t>
      </w:r>
      <w:r>
        <w:rPr>
          <w:color w:val="231F20"/>
          <w:w w:val="105"/>
        </w:rPr>
        <w:t>pressure</w:t>
      </w:r>
      <w:r>
        <w:rPr>
          <w:color w:val="231F20"/>
          <w:spacing w:val="-8"/>
          <w:w w:val="105"/>
        </w:rPr>
        <w:t> </w:t>
      </w:r>
      <w:r>
        <w:rPr>
          <w:color w:val="231F20"/>
          <w:w w:val="105"/>
        </w:rPr>
        <w:t>toward normal. This compensation allows even the weakened heart</w:t>
      </w:r>
      <w:r>
        <w:rPr>
          <w:color w:val="231F20"/>
          <w:spacing w:val="-18"/>
          <w:w w:val="105"/>
        </w:rPr>
        <w:t> </w:t>
      </w:r>
      <w:r>
        <w:rPr>
          <w:color w:val="231F20"/>
          <w:w w:val="105"/>
        </w:rPr>
        <w:t>to</w:t>
      </w:r>
      <w:r>
        <w:rPr>
          <w:color w:val="231F20"/>
          <w:spacing w:val="-17"/>
          <w:w w:val="105"/>
        </w:rPr>
        <w:t> </w:t>
      </w:r>
      <w:r>
        <w:rPr>
          <w:color w:val="231F20"/>
          <w:w w:val="105"/>
        </w:rPr>
        <w:t>maintain</w:t>
      </w:r>
      <w:r>
        <w:rPr>
          <w:color w:val="231F20"/>
          <w:spacing w:val="-17"/>
          <w:w w:val="105"/>
        </w:rPr>
        <w:t> </w:t>
      </w:r>
      <w:r>
        <w:rPr>
          <w:color w:val="231F20"/>
          <w:w w:val="105"/>
        </w:rPr>
        <w:t>a</w:t>
      </w:r>
      <w:r>
        <w:rPr>
          <w:color w:val="231F20"/>
          <w:spacing w:val="-17"/>
          <w:w w:val="105"/>
        </w:rPr>
        <w:t> </w:t>
      </w:r>
      <w:r>
        <w:rPr>
          <w:color w:val="231F20"/>
          <w:w w:val="105"/>
        </w:rPr>
        <w:t>life-sustaining</w:t>
      </w:r>
      <w:r>
        <w:rPr>
          <w:color w:val="231F20"/>
          <w:spacing w:val="-18"/>
          <w:w w:val="105"/>
        </w:rPr>
        <w:t> </w:t>
      </w:r>
      <w:r>
        <w:rPr>
          <w:color w:val="231F20"/>
          <w:w w:val="105"/>
        </w:rPr>
        <w:t>level</w:t>
      </w:r>
      <w:r>
        <w:rPr>
          <w:color w:val="231F20"/>
          <w:spacing w:val="-17"/>
          <w:w w:val="105"/>
        </w:rPr>
        <w:t> </w:t>
      </w:r>
      <w:r>
        <w:rPr>
          <w:color w:val="231F20"/>
          <w:w w:val="105"/>
        </w:rPr>
        <w:t>of</w:t>
      </w:r>
      <w:r>
        <w:rPr>
          <w:color w:val="231F20"/>
          <w:spacing w:val="-17"/>
          <w:w w:val="105"/>
        </w:rPr>
        <w:t> </w:t>
      </w:r>
      <w:r>
        <w:rPr>
          <w:color w:val="231F20"/>
          <w:w w:val="105"/>
        </w:rPr>
        <w:t>cardiac</w:t>
      </w:r>
      <w:r>
        <w:rPr>
          <w:color w:val="231F20"/>
          <w:spacing w:val="-17"/>
          <w:w w:val="105"/>
        </w:rPr>
        <w:t> </w:t>
      </w:r>
      <w:r>
        <w:rPr>
          <w:color w:val="231F20"/>
          <w:w w:val="105"/>
        </w:rPr>
        <w:t>output.</w:t>
      </w:r>
    </w:p>
    <w:p>
      <w:pPr>
        <w:pStyle w:val="BodyText"/>
        <w:spacing w:before="1"/>
        <w:rPr>
          <w:sz w:val="31"/>
        </w:rPr>
      </w:pPr>
    </w:p>
    <w:p>
      <w:pPr>
        <w:pStyle w:val="Heading2"/>
        <w:spacing w:line="225" w:lineRule="auto"/>
        <w:ind w:left="1080"/>
      </w:pPr>
      <w:r>
        <w:rPr>
          <w:color w:val="231F20"/>
          <w:w w:val="105"/>
        </w:rPr>
        <w:t>INCREASED BLOOD VOLUME CAUSED BY INCREASED CAPACITY OF CIRCULATION</w:t>
      </w:r>
    </w:p>
    <w:p>
      <w:pPr>
        <w:pStyle w:val="BodyText"/>
        <w:spacing w:line="249" w:lineRule="auto" w:before="127"/>
        <w:ind w:left="1080"/>
        <w:jc w:val="both"/>
      </w:pPr>
      <w:r>
        <w:rPr>
          <w:color w:val="231F20"/>
          <w:w w:val="105"/>
        </w:rPr>
        <w:t>Any condition that increases vascular capacity will </w:t>
      </w:r>
      <w:r>
        <w:rPr>
          <w:color w:val="231F20"/>
          <w:spacing w:val="-3"/>
          <w:w w:val="105"/>
        </w:rPr>
        <w:t>also </w:t>
      </w:r>
      <w:r>
        <w:rPr>
          <w:color w:val="231F20"/>
          <w:w w:val="105"/>
        </w:rPr>
        <w:t>cause</w:t>
      </w:r>
      <w:r>
        <w:rPr>
          <w:color w:val="231F20"/>
          <w:spacing w:val="-22"/>
          <w:w w:val="105"/>
        </w:rPr>
        <w:t> </w:t>
      </w:r>
      <w:r>
        <w:rPr>
          <w:color w:val="231F20"/>
          <w:w w:val="105"/>
        </w:rPr>
        <w:t>the</w:t>
      </w:r>
      <w:r>
        <w:rPr>
          <w:color w:val="231F20"/>
          <w:spacing w:val="-21"/>
          <w:w w:val="105"/>
        </w:rPr>
        <w:t> </w:t>
      </w:r>
      <w:r>
        <w:rPr>
          <w:color w:val="231F20"/>
          <w:w w:val="105"/>
        </w:rPr>
        <w:t>blood</w:t>
      </w:r>
      <w:r>
        <w:rPr>
          <w:color w:val="231F20"/>
          <w:spacing w:val="-22"/>
          <w:w w:val="105"/>
        </w:rPr>
        <w:t> </w:t>
      </w:r>
      <w:r>
        <w:rPr>
          <w:color w:val="231F20"/>
          <w:w w:val="105"/>
        </w:rPr>
        <w:t>volume</w:t>
      </w:r>
      <w:r>
        <w:rPr>
          <w:color w:val="231F20"/>
          <w:spacing w:val="-21"/>
          <w:w w:val="105"/>
        </w:rPr>
        <w:t> </w:t>
      </w:r>
      <w:r>
        <w:rPr>
          <w:color w:val="231F20"/>
          <w:w w:val="105"/>
        </w:rPr>
        <w:t>to</w:t>
      </w:r>
      <w:r>
        <w:rPr>
          <w:color w:val="231F20"/>
          <w:spacing w:val="-22"/>
          <w:w w:val="105"/>
        </w:rPr>
        <w:t> </w:t>
      </w:r>
      <w:r>
        <w:rPr>
          <w:color w:val="231F20"/>
          <w:w w:val="105"/>
        </w:rPr>
        <w:t>increase</w:t>
      </w:r>
      <w:r>
        <w:rPr>
          <w:color w:val="231F20"/>
          <w:spacing w:val="-21"/>
          <w:w w:val="105"/>
        </w:rPr>
        <w:t> </w:t>
      </w:r>
      <w:r>
        <w:rPr>
          <w:color w:val="231F20"/>
          <w:w w:val="105"/>
        </w:rPr>
        <w:t>to</w:t>
      </w:r>
      <w:r>
        <w:rPr>
          <w:color w:val="231F20"/>
          <w:spacing w:val="-22"/>
          <w:w w:val="105"/>
        </w:rPr>
        <w:t> </w:t>
      </w:r>
      <w:r>
        <w:rPr>
          <w:color w:val="231F20"/>
          <w:w w:val="105"/>
        </w:rPr>
        <w:t>fill</w:t>
      </w:r>
      <w:r>
        <w:rPr>
          <w:color w:val="231F20"/>
          <w:spacing w:val="-21"/>
          <w:w w:val="105"/>
        </w:rPr>
        <w:t> </w:t>
      </w:r>
      <w:r>
        <w:rPr>
          <w:color w:val="231F20"/>
          <w:w w:val="105"/>
        </w:rPr>
        <w:t>this</w:t>
      </w:r>
      <w:r>
        <w:rPr>
          <w:color w:val="231F20"/>
          <w:spacing w:val="-22"/>
          <w:w w:val="105"/>
        </w:rPr>
        <w:t> </w:t>
      </w:r>
      <w:r>
        <w:rPr>
          <w:color w:val="231F20"/>
          <w:w w:val="105"/>
        </w:rPr>
        <w:t>extra</w:t>
      </w:r>
      <w:r>
        <w:rPr>
          <w:color w:val="231F20"/>
          <w:spacing w:val="-21"/>
          <w:w w:val="105"/>
        </w:rPr>
        <w:t> </w:t>
      </w:r>
      <w:r>
        <w:rPr>
          <w:color w:val="231F20"/>
          <w:w w:val="105"/>
        </w:rPr>
        <w:t>capac- </w:t>
      </w:r>
      <w:r>
        <w:rPr>
          <w:color w:val="231F20"/>
          <w:spacing w:val="-3"/>
          <w:w w:val="105"/>
        </w:rPr>
        <w:t>ity.</w:t>
      </w:r>
      <w:r>
        <w:rPr>
          <w:color w:val="231F20"/>
          <w:spacing w:val="-33"/>
          <w:w w:val="105"/>
        </w:rPr>
        <w:t> </w:t>
      </w:r>
      <w:r>
        <w:rPr>
          <w:color w:val="231F20"/>
          <w:w w:val="105"/>
        </w:rPr>
        <w:t>An</w:t>
      </w:r>
      <w:r>
        <w:rPr>
          <w:color w:val="231F20"/>
          <w:spacing w:val="-33"/>
          <w:w w:val="105"/>
        </w:rPr>
        <w:t> </w:t>
      </w:r>
      <w:r>
        <w:rPr>
          <w:color w:val="231F20"/>
          <w:w w:val="105"/>
        </w:rPr>
        <w:t>increase</w:t>
      </w:r>
      <w:r>
        <w:rPr>
          <w:color w:val="231F20"/>
          <w:spacing w:val="-33"/>
          <w:w w:val="105"/>
        </w:rPr>
        <w:t> </w:t>
      </w:r>
      <w:r>
        <w:rPr>
          <w:color w:val="231F20"/>
          <w:w w:val="105"/>
        </w:rPr>
        <w:t>in</w:t>
      </w:r>
      <w:r>
        <w:rPr>
          <w:color w:val="231F20"/>
          <w:spacing w:val="-33"/>
          <w:w w:val="105"/>
        </w:rPr>
        <w:t> </w:t>
      </w:r>
      <w:r>
        <w:rPr>
          <w:color w:val="231F20"/>
          <w:w w:val="105"/>
        </w:rPr>
        <w:t>vascular</w:t>
      </w:r>
      <w:r>
        <w:rPr>
          <w:color w:val="231F20"/>
          <w:spacing w:val="-33"/>
          <w:w w:val="105"/>
        </w:rPr>
        <w:t> </w:t>
      </w:r>
      <w:r>
        <w:rPr>
          <w:color w:val="231F20"/>
          <w:w w:val="105"/>
        </w:rPr>
        <w:t>capacity</w:t>
      </w:r>
      <w:r>
        <w:rPr>
          <w:color w:val="231F20"/>
          <w:spacing w:val="-33"/>
          <w:w w:val="105"/>
        </w:rPr>
        <w:t> </w:t>
      </w:r>
      <w:r>
        <w:rPr>
          <w:color w:val="231F20"/>
          <w:w w:val="105"/>
        </w:rPr>
        <w:t>initially</w:t>
      </w:r>
      <w:r>
        <w:rPr>
          <w:color w:val="231F20"/>
          <w:spacing w:val="-33"/>
          <w:w w:val="105"/>
        </w:rPr>
        <w:t> </w:t>
      </w:r>
      <w:r>
        <w:rPr>
          <w:color w:val="231F20"/>
          <w:w w:val="105"/>
        </w:rPr>
        <w:t>reduces</w:t>
      </w:r>
      <w:r>
        <w:rPr>
          <w:color w:val="231F20"/>
          <w:spacing w:val="-33"/>
          <w:w w:val="105"/>
        </w:rPr>
        <w:t> </w:t>
      </w:r>
      <w:r>
        <w:rPr>
          <w:color w:val="231F20"/>
          <w:w w:val="105"/>
        </w:rPr>
        <w:t>mean circulatory filling pressure (see </w:t>
      </w:r>
      <w:hyperlink w:history="true" w:anchor="_bookmark97">
        <w:r>
          <w:rPr>
            <w:rFonts w:ascii="Cambria"/>
            <w:b/>
            <w:color w:val="0080AC"/>
            <w:w w:val="105"/>
          </w:rPr>
          <w:t>Figure 30-14</w:t>
        </w:r>
      </w:hyperlink>
      <w:r>
        <w:rPr>
          <w:color w:val="231F20"/>
          <w:w w:val="105"/>
        </w:rPr>
        <w:t>), </w:t>
      </w:r>
      <w:r>
        <w:rPr>
          <w:color w:val="231F20"/>
          <w:spacing w:val="-4"/>
          <w:w w:val="105"/>
        </w:rPr>
        <w:t>which </w:t>
      </w:r>
      <w:r>
        <w:rPr>
          <w:color w:val="231F20"/>
          <w:w w:val="105"/>
        </w:rPr>
        <w:t>leads to decreased cardiac output and decreased arterial pressure.</w:t>
      </w:r>
      <w:r>
        <w:rPr>
          <w:color w:val="231F20"/>
          <w:spacing w:val="-12"/>
          <w:w w:val="105"/>
        </w:rPr>
        <w:t> </w:t>
      </w:r>
      <w:r>
        <w:rPr>
          <w:color w:val="231F20"/>
          <w:w w:val="105"/>
        </w:rPr>
        <w:t>The</w:t>
      </w:r>
      <w:r>
        <w:rPr>
          <w:color w:val="231F20"/>
          <w:spacing w:val="-12"/>
          <w:w w:val="105"/>
        </w:rPr>
        <w:t> </w:t>
      </w:r>
      <w:r>
        <w:rPr>
          <w:color w:val="231F20"/>
          <w:w w:val="105"/>
        </w:rPr>
        <w:t>fall</w:t>
      </w:r>
      <w:r>
        <w:rPr>
          <w:color w:val="231F20"/>
          <w:spacing w:val="-11"/>
          <w:w w:val="105"/>
        </w:rPr>
        <w:t> </w:t>
      </w:r>
      <w:r>
        <w:rPr>
          <w:color w:val="231F20"/>
          <w:w w:val="105"/>
        </w:rPr>
        <w:t>in</w:t>
      </w:r>
      <w:r>
        <w:rPr>
          <w:color w:val="231F20"/>
          <w:spacing w:val="-12"/>
          <w:w w:val="105"/>
        </w:rPr>
        <w:t> </w:t>
      </w:r>
      <w:r>
        <w:rPr>
          <w:color w:val="231F20"/>
          <w:w w:val="105"/>
        </w:rPr>
        <w:t>pressure</w:t>
      </w:r>
      <w:r>
        <w:rPr>
          <w:color w:val="231F20"/>
          <w:spacing w:val="-11"/>
          <w:w w:val="105"/>
        </w:rPr>
        <w:t> </w:t>
      </w:r>
      <w:r>
        <w:rPr>
          <w:color w:val="231F20"/>
          <w:w w:val="105"/>
        </w:rPr>
        <w:t>causes</w:t>
      </w:r>
      <w:r>
        <w:rPr>
          <w:color w:val="231F20"/>
          <w:spacing w:val="-12"/>
          <w:w w:val="105"/>
        </w:rPr>
        <w:t> </w:t>
      </w:r>
      <w:r>
        <w:rPr>
          <w:color w:val="231F20"/>
          <w:w w:val="105"/>
        </w:rPr>
        <w:t>salt</w:t>
      </w:r>
      <w:r>
        <w:rPr>
          <w:color w:val="231F20"/>
          <w:spacing w:val="-12"/>
          <w:w w:val="105"/>
        </w:rPr>
        <w:t> </w:t>
      </w:r>
      <w:r>
        <w:rPr>
          <w:color w:val="231F20"/>
          <w:w w:val="105"/>
        </w:rPr>
        <w:t>and</w:t>
      </w:r>
      <w:r>
        <w:rPr>
          <w:color w:val="231F20"/>
          <w:spacing w:val="-11"/>
          <w:w w:val="105"/>
        </w:rPr>
        <w:t> </w:t>
      </w:r>
      <w:r>
        <w:rPr>
          <w:color w:val="231F20"/>
          <w:w w:val="105"/>
        </w:rPr>
        <w:t>water</w:t>
      </w:r>
      <w:r>
        <w:rPr>
          <w:color w:val="231F20"/>
          <w:spacing w:val="-12"/>
          <w:w w:val="105"/>
        </w:rPr>
        <w:t> </w:t>
      </w:r>
      <w:r>
        <w:rPr>
          <w:color w:val="231F20"/>
          <w:spacing w:val="-4"/>
          <w:w w:val="105"/>
        </w:rPr>
        <w:t>reten- </w:t>
      </w:r>
      <w:r>
        <w:rPr>
          <w:color w:val="231F20"/>
          <w:w w:val="105"/>
        </w:rPr>
        <w:t>tion</w:t>
      </w:r>
      <w:r>
        <w:rPr>
          <w:color w:val="231F20"/>
          <w:spacing w:val="-10"/>
          <w:w w:val="105"/>
        </w:rPr>
        <w:t> </w:t>
      </w:r>
      <w:r>
        <w:rPr>
          <w:color w:val="231F20"/>
          <w:w w:val="105"/>
        </w:rPr>
        <w:t>by</w:t>
      </w:r>
      <w:r>
        <w:rPr>
          <w:color w:val="231F20"/>
          <w:spacing w:val="-9"/>
          <w:w w:val="105"/>
        </w:rPr>
        <w:t> </w:t>
      </w:r>
      <w:r>
        <w:rPr>
          <w:color w:val="231F20"/>
          <w:w w:val="105"/>
        </w:rPr>
        <w:t>the</w:t>
      </w:r>
      <w:r>
        <w:rPr>
          <w:color w:val="231F20"/>
          <w:spacing w:val="-10"/>
          <w:w w:val="105"/>
        </w:rPr>
        <w:t> </w:t>
      </w:r>
      <w:r>
        <w:rPr>
          <w:color w:val="231F20"/>
          <w:w w:val="105"/>
        </w:rPr>
        <w:t>kidneys</w:t>
      </w:r>
      <w:r>
        <w:rPr>
          <w:color w:val="231F20"/>
          <w:spacing w:val="-9"/>
          <w:w w:val="105"/>
        </w:rPr>
        <w:t> </w:t>
      </w:r>
      <w:r>
        <w:rPr>
          <w:color w:val="231F20"/>
          <w:w w:val="105"/>
        </w:rPr>
        <w:t>until</w:t>
      </w:r>
      <w:r>
        <w:rPr>
          <w:color w:val="231F20"/>
          <w:spacing w:val="-9"/>
          <w:w w:val="105"/>
        </w:rPr>
        <w:t> </w:t>
      </w:r>
      <w:r>
        <w:rPr>
          <w:color w:val="231F20"/>
          <w:w w:val="105"/>
        </w:rPr>
        <w:t>the</w:t>
      </w:r>
      <w:r>
        <w:rPr>
          <w:color w:val="231F20"/>
          <w:spacing w:val="-10"/>
          <w:w w:val="105"/>
        </w:rPr>
        <w:t> </w:t>
      </w:r>
      <w:r>
        <w:rPr>
          <w:color w:val="231F20"/>
          <w:w w:val="105"/>
        </w:rPr>
        <w:t>blood</w:t>
      </w:r>
      <w:r>
        <w:rPr>
          <w:color w:val="231F20"/>
          <w:spacing w:val="-9"/>
          <w:w w:val="105"/>
        </w:rPr>
        <w:t> </w:t>
      </w:r>
      <w:r>
        <w:rPr>
          <w:color w:val="231F20"/>
          <w:w w:val="105"/>
        </w:rPr>
        <w:t>volume</w:t>
      </w:r>
      <w:r>
        <w:rPr>
          <w:color w:val="231F20"/>
          <w:spacing w:val="-10"/>
          <w:w w:val="105"/>
        </w:rPr>
        <w:t> </w:t>
      </w:r>
      <w:r>
        <w:rPr>
          <w:color w:val="231F20"/>
          <w:w w:val="105"/>
        </w:rPr>
        <w:t>increases</w:t>
      </w:r>
      <w:r>
        <w:rPr>
          <w:color w:val="231F20"/>
          <w:spacing w:val="-9"/>
          <w:w w:val="105"/>
        </w:rPr>
        <w:t> </w:t>
      </w:r>
      <w:r>
        <w:rPr>
          <w:color w:val="231F20"/>
          <w:spacing w:val="-4"/>
          <w:w w:val="105"/>
        </w:rPr>
        <w:t>suf- </w:t>
      </w:r>
      <w:r>
        <w:rPr>
          <w:color w:val="231F20"/>
          <w:w w:val="105"/>
        </w:rPr>
        <w:t>ficiently to fill the extra capacity.</w:t>
      </w:r>
    </w:p>
    <w:p>
      <w:pPr>
        <w:pStyle w:val="BodyText"/>
        <w:spacing w:line="249" w:lineRule="auto" w:before="2"/>
        <w:ind w:left="1080" w:firstLine="240"/>
        <w:jc w:val="both"/>
      </w:pPr>
      <w:r>
        <w:rPr>
          <w:color w:val="231F20"/>
          <w:w w:val="105"/>
        </w:rPr>
        <w:t>In pregnancy the increased  vascular  capacity  </w:t>
      </w:r>
      <w:r>
        <w:rPr>
          <w:color w:val="231F20"/>
          <w:spacing w:val="-7"/>
          <w:w w:val="105"/>
        </w:rPr>
        <w:t>of</w:t>
      </w:r>
      <w:r>
        <w:rPr>
          <w:color w:val="231F20"/>
          <w:spacing w:val="38"/>
          <w:w w:val="105"/>
        </w:rPr>
        <w:t> </w:t>
      </w:r>
      <w:r>
        <w:rPr>
          <w:color w:val="231F20"/>
          <w:w w:val="105"/>
        </w:rPr>
        <w:t>the uterus, placenta, and other enlarged organs of </w:t>
      </w:r>
      <w:r>
        <w:rPr>
          <w:color w:val="231F20"/>
          <w:spacing w:val="-5"/>
          <w:w w:val="105"/>
        </w:rPr>
        <w:t>the </w:t>
      </w:r>
      <w:r>
        <w:rPr>
          <w:color w:val="231F20"/>
          <w:spacing w:val="-4"/>
          <w:w w:val="105"/>
        </w:rPr>
        <w:t>woman’s</w:t>
      </w:r>
      <w:r>
        <w:rPr>
          <w:color w:val="231F20"/>
          <w:spacing w:val="-22"/>
          <w:w w:val="105"/>
        </w:rPr>
        <w:t> </w:t>
      </w:r>
      <w:r>
        <w:rPr>
          <w:color w:val="231F20"/>
          <w:w w:val="105"/>
        </w:rPr>
        <w:t>body</w:t>
      </w:r>
      <w:r>
        <w:rPr>
          <w:color w:val="231F20"/>
          <w:spacing w:val="-22"/>
          <w:w w:val="105"/>
        </w:rPr>
        <w:t> </w:t>
      </w:r>
      <w:r>
        <w:rPr>
          <w:color w:val="231F20"/>
          <w:w w:val="105"/>
        </w:rPr>
        <w:t>regularly</w:t>
      </w:r>
      <w:r>
        <w:rPr>
          <w:color w:val="231F20"/>
          <w:spacing w:val="-22"/>
          <w:w w:val="105"/>
        </w:rPr>
        <w:t> </w:t>
      </w:r>
      <w:r>
        <w:rPr>
          <w:color w:val="231F20"/>
          <w:w w:val="105"/>
        </w:rPr>
        <w:t>increases</w:t>
      </w:r>
      <w:r>
        <w:rPr>
          <w:color w:val="231F20"/>
          <w:spacing w:val="-22"/>
          <w:w w:val="105"/>
        </w:rPr>
        <w:t> </w:t>
      </w:r>
      <w:r>
        <w:rPr>
          <w:color w:val="231F20"/>
          <w:w w:val="105"/>
        </w:rPr>
        <w:t>the</w:t>
      </w:r>
      <w:r>
        <w:rPr>
          <w:color w:val="231F20"/>
          <w:spacing w:val="-22"/>
          <w:w w:val="105"/>
        </w:rPr>
        <w:t> </w:t>
      </w:r>
      <w:r>
        <w:rPr>
          <w:color w:val="231F20"/>
          <w:w w:val="105"/>
        </w:rPr>
        <w:t>blood</w:t>
      </w:r>
      <w:r>
        <w:rPr>
          <w:color w:val="231F20"/>
          <w:spacing w:val="-22"/>
          <w:w w:val="105"/>
        </w:rPr>
        <w:t> </w:t>
      </w:r>
      <w:r>
        <w:rPr>
          <w:color w:val="231F20"/>
          <w:w w:val="105"/>
        </w:rPr>
        <w:t>volume</w:t>
      </w:r>
      <w:r>
        <w:rPr>
          <w:color w:val="231F20"/>
          <w:spacing w:val="-22"/>
          <w:w w:val="105"/>
        </w:rPr>
        <w:t> </w:t>
      </w:r>
      <w:r>
        <w:rPr>
          <w:color w:val="231F20"/>
          <w:w w:val="105"/>
        </w:rPr>
        <w:t>15</w:t>
      </w:r>
      <w:r>
        <w:rPr>
          <w:color w:val="231F20"/>
          <w:spacing w:val="-22"/>
          <w:w w:val="105"/>
        </w:rPr>
        <w:t> </w:t>
      </w:r>
      <w:r>
        <w:rPr>
          <w:color w:val="231F20"/>
          <w:w w:val="105"/>
        </w:rPr>
        <w:t>to 25</w:t>
      </w:r>
      <w:r>
        <w:rPr>
          <w:color w:val="231F20"/>
          <w:spacing w:val="-20"/>
          <w:w w:val="105"/>
        </w:rPr>
        <w:t> </w:t>
      </w:r>
      <w:r>
        <w:rPr>
          <w:color w:val="231F20"/>
          <w:w w:val="105"/>
        </w:rPr>
        <w:t>percent.</w:t>
      </w:r>
      <w:r>
        <w:rPr>
          <w:color w:val="231F20"/>
          <w:spacing w:val="-19"/>
          <w:w w:val="105"/>
        </w:rPr>
        <w:t> </w:t>
      </w:r>
      <w:r>
        <w:rPr>
          <w:color w:val="231F20"/>
          <w:w w:val="105"/>
        </w:rPr>
        <w:t>Similarly,</w:t>
      </w:r>
      <w:r>
        <w:rPr>
          <w:color w:val="231F20"/>
          <w:spacing w:val="-19"/>
          <w:w w:val="105"/>
        </w:rPr>
        <w:t> </w:t>
      </w:r>
      <w:r>
        <w:rPr>
          <w:color w:val="231F20"/>
          <w:w w:val="105"/>
        </w:rPr>
        <w:t>in</w:t>
      </w:r>
      <w:r>
        <w:rPr>
          <w:color w:val="231F20"/>
          <w:spacing w:val="-20"/>
          <w:w w:val="105"/>
        </w:rPr>
        <w:t> </w:t>
      </w:r>
      <w:r>
        <w:rPr>
          <w:color w:val="231F20"/>
          <w:w w:val="105"/>
        </w:rPr>
        <w:t>patients</w:t>
      </w:r>
      <w:r>
        <w:rPr>
          <w:color w:val="231F20"/>
          <w:spacing w:val="-19"/>
          <w:w w:val="105"/>
        </w:rPr>
        <w:t> </w:t>
      </w:r>
      <w:r>
        <w:rPr>
          <w:color w:val="231F20"/>
          <w:w w:val="105"/>
        </w:rPr>
        <w:t>who</w:t>
      </w:r>
      <w:r>
        <w:rPr>
          <w:color w:val="231F20"/>
          <w:spacing w:val="-19"/>
          <w:w w:val="105"/>
        </w:rPr>
        <w:t> </w:t>
      </w:r>
      <w:r>
        <w:rPr>
          <w:color w:val="231F20"/>
          <w:w w:val="105"/>
        </w:rPr>
        <w:t>have</w:t>
      </w:r>
      <w:r>
        <w:rPr>
          <w:color w:val="231F20"/>
          <w:spacing w:val="-19"/>
          <w:w w:val="105"/>
        </w:rPr>
        <w:t> </w:t>
      </w:r>
      <w:r>
        <w:rPr>
          <w:color w:val="231F20"/>
          <w:w w:val="105"/>
        </w:rPr>
        <w:t>large</w:t>
      </w:r>
      <w:r>
        <w:rPr>
          <w:color w:val="231F20"/>
          <w:spacing w:val="-20"/>
          <w:w w:val="105"/>
        </w:rPr>
        <w:t> </w:t>
      </w:r>
      <w:r>
        <w:rPr>
          <w:color w:val="231F20"/>
          <w:w w:val="105"/>
        </w:rPr>
        <w:t>varicose veins</w:t>
      </w:r>
      <w:r>
        <w:rPr>
          <w:color w:val="231F20"/>
          <w:spacing w:val="-5"/>
          <w:w w:val="105"/>
        </w:rPr>
        <w:t> </w:t>
      </w:r>
      <w:r>
        <w:rPr>
          <w:color w:val="231F20"/>
          <w:w w:val="105"/>
        </w:rPr>
        <w:t>of</w:t>
      </w:r>
      <w:r>
        <w:rPr>
          <w:color w:val="231F20"/>
          <w:spacing w:val="-4"/>
          <w:w w:val="105"/>
        </w:rPr>
        <w:t> </w:t>
      </w:r>
      <w:r>
        <w:rPr>
          <w:color w:val="231F20"/>
          <w:w w:val="105"/>
        </w:rPr>
        <w:t>the</w:t>
      </w:r>
      <w:r>
        <w:rPr>
          <w:color w:val="231F20"/>
          <w:spacing w:val="-4"/>
          <w:w w:val="105"/>
        </w:rPr>
        <w:t> </w:t>
      </w:r>
      <w:r>
        <w:rPr>
          <w:color w:val="231F20"/>
          <w:w w:val="105"/>
        </w:rPr>
        <w:t>legs,</w:t>
      </w:r>
      <w:r>
        <w:rPr>
          <w:color w:val="231F20"/>
          <w:spacing w:val="-4"/>
          <w:w w:val="105"/>
        </w:rPr>
        <w:t> </w:t>
      </w:r>
      <w:r>
        <w:rPr>
          <w:color w:val="231F20"/>
          <w:w w:val="105"/>
        </w:rPr>
        <w:t>which</w:t>
      </w:r>
      <w:r>
        <w:rPr>
          <w:color w:val="231F20"/>
          <w:spacing w:val="-4"/>
          <w:w w:val="105"/>
        </w:rPr>
        <w:t> </w:t>
      </w:r>
      <w:r>
        <w:rPr>
          <w:color w:val="231F20"/>
          <w:w w:val="105"/>
        </w:rPr>
        <w:t>in</w:t>
      </w:r>
      <w:r>
        <w:rPr>
          <w:color w:val="231F20"/>
          <w:spacing w:val="-4"/>
          <w:w w:val="105"/>
        </w:rPr>
        <w:t> </w:t>
      </w:r>
      <w:r>
        <w:rPr>
          <w:color w:val="231F20"/>
          <w:w w:val="105"/>
        </w:rPr>
        <w:t>rare</w:t>
      </w:r>
      <w:r>
        <w:rPr>
          <w:color w:val="231F20"/>
          <w:spacing w:val="-5"/>
          <w:w w:val="105"/>
        </w:rPr>
        <w:t> </w:t>
      </w:r>
      <w:r>
        <w:rPr>
          <w:color w:val="231F20"/>
          <w:w w:val="105"/>
        </w:rPr>
        <w:t>instances</w:t>
      </w:r>
      <w:r>
        <w:rPr>
          <w:color w:val="231F20"/>
          <w:spacing w:val="-4"/>
          <w:w w:val="105"/>
        </w:rPr>
        <w:t> </w:t>
      </w:r>
      <w:r>
        <w:rPr>
          <w:color w:val="231F20"/>
          <w:w w:val="105"/>
        </w:rPr>
        <w:t>may</w:t>
      </w:r>
      <w:r>
        <w:rPr>
          <w:color w:val="231F20"/>
          <w:spacing w:val="-4"/>
          <w:w w:val="105"/>
        </w:rPr>
        <w:t> </w:t>
      </w:r>
      <w:r>
        <w:rPr>
          <w:color w:val="231F20"/>
          <w:w w:val="105"/>
        </w:rPr>
        <w:t>hold</w:t>
      </w:r>
      <w:r>
        <w:rPr>
          <w:color w:val="231F20"/>
          <w:spacing w:val="-4"/>
          <w:w w:val="105"/>
        </w:rPr>
        <w:t> </w:t>
      </w:r>
      <w:r>
        <w:rPr>
          <w:color w:val="231F20"/>
          <w:w w:val="105"/>
        </w:rPr>
        <w:t>up</w:t>
      </w:r>
      <w:r>
        <w:rPr>
          <w:color w:val="231F20"/>
          <w:spacing w:val="-4"/>
          <w:w w:val="105"/>
        </w:rPr>
        <w:t> </w:t>
      </w:r>
      <w:r>
        <w:rPr>
          <w:color w:val="231F20"/>
          <w:spacing w:val="-7"/>
          <w:w w:val="105"/>
        </w:rPr>
        <w:t>to </w:t>
      </w:r>
      <w:r>
        <w:rPr>
          <w:color w:val="231F20"/>
          <w:w w:val="105"/>
        </w:rPr>
        <w:t>an</w:t>
      </w:r>
      <w:r>
        <w:rPr>
          <w:color w:val="231F20"/>
          <w:spacing w:val="-19"/>
          <w:w w:val="105"/>
        </w:rPr>
        <w:t> </w:t>
      </w:r>
      <w:r>
        <w:rPr>
          <w:color w:val="231F20"/>
          <w:w w:val="105"/>
        </w:rPr>
        <w:t>extra</w:t>
      </w:r>
      <w:r>
        <w:rPr>
          <w:color w:val="231F20"/>
          <w:spacing w:val="-19"/>
          <w:w w:val="105"/>
        </w:rPr>
        <w:t> </w:t>
      </w:r>
      <w:r>
        <w:rPr>
          <w:color w:val="231F20"/>
          <w:w w:val="105"/>
        </w:rPr>
        <w:t>liter</w:t>
      </w:r>
      <w:r>
        <w:rPr>
          <w:color w:val="231F20"/>
          <w:spacing w:val="-19"/>
          <w:w w:val="105"/>
        </w:rPr>
        <w:t> </w:t>
      </w:r>
      <w:r>
        <w:rPr>
          <w:color w:val="231F20"/>
          <w:w w:val="105"/>
        </w:rPr>
        <w:t>of</w:t>
      </w:r>
      <w:r>
        <w:rPr>
          <w:color w:val="231F20"/>
          <w:spacing w:val="-18"/>
          <w:w w:val="105"/>
        </w:rPr>
        <w:t> </w:t>
      </w:r>
      <w:r>
        <w:rPr>
          <w:color w:val="231F20"/>
          <w:w w:val="105"/>
        </w:rPr>
        <w:t>blood,</w:t>
      </w:r>
      <w:r>
        <w:rPr>
          <w:color w:val="231F20"/>
          <w:spacing w:val="-19"/>
          <w:w w:val="105"/>
        </w:rPr>
        <w:t> </w:t>
      </w:r>
      <w:r>
        <w:rPr>
          <w:color w:val="231F20"/>
          <w:w w:val="105"/>
        </w:rPr>
        <w:t>the</w:t>
      </w:r>
      <w:r>
        <w:rPr>
          <w:color w:val="231F20"/>
          <w:spacing w:val="-19"/>
          <w:w w:val="105"/>
        </w:rPr>
        <w:t> </w:t>
      </w:r>
      <w:r>
        <w:rPr>
          <w:color w:val="231F20"/>
          <w:w w:val="105"/>
        </w:rPr>
        <w:t>blood</w:t>
      </w:r>
      <w:r>
        <w:rPr>
          <w:color w:val="231F20"/>
          <w:spacing w:val="-19"/>
          <w:w w:val="105"/>
        </w:rPr>
        <w:t> </w:t>
      </w:r>
      <w:r>
        <w:rPr>
          <w:color w:val="231F20"/>
          <w:w w:val="105"/>
        </w:rPr>
        <w:t>volume</w:t>
      </w:r>
      <w:r>
        <w:rPr>
          <w:color w:val="231F20"/>
          <w:spacing w:val="-18"/>
          <w:w w:val="105"/>
        </w:rPr>
        <w:t> </w:t>
      </w:r>
      <w:r>
        <w:rPr>
          <w:color w:val="231F20"/>
          <w:w w:val="105"/>
        </w:rPr>
        <w:t>simply</w:t>
      </w:r>
      <w:r>
        <w:rPr>
          <w:color w:val="231F20"/>
          <w:spacing w:val="-19"/>
          <w:w w:val="105"/>
        </w:rPr>
        <w:t> </w:t>
      </w:r>
      <w:r>
        <w:rPr>
          <w:color w:val="231F20"/>
          <w:w w:val="105"/>
        </w:rPr>
        <w:t>increases to</w:t>
      </w:r>
      <w:r>
        <w:rPr>
          <w:color w:val="231F20"/>
          <w:spacing w:val="-9"/>
          <w:w w:val="105"/>
        </w:rPr>
        <w:t> </w:t>
      </w:r>
      <w:r>
        <w:rPr>
          <w:color w:val="231F20"/>
          <w:w w:val="105"/>
        </w:rPr>
        <w:t>fill</w:t>
      </w:r>
      <w:r>
        <w:rPr>
          <w:color w:val="231F20"/>
          <w:spacing w:val="-9"/>
          <w:w w:val="105"/>
        </w:rPr>
        <w:t> </w:t>
      </w:r>
      <w:r>
        <w:rPr>
          <w:color w:val="231F20"/>
          <w:w w:val="105"/>
        </w:rPr>
        <w:t>the</w:t>
      </w:r>
      <w:r>
        <w:rPr>
          <w:color w:val="231F20"/>
          <w:spacing w:val="-9"/>
          <w:w w:val="105"/>
        </w:rPr>
        <w:t> </w:t>
      </w:r>
      <w:r>
        <w:rPr>
          <w:color w:val="231F20"/>
          <w:w w:val="105"/>
        </w:rPr>
        <w:t>extra</w:t>
      </w:r>
      <w:r>
        <w:rPr>
          <w:color w:val="231F20"/>
          <w:spacing w:val="-9"/>
          <w:w w:val="105"/>
        </w:rPr>
        <w:t> </w:t>
      </w:r>
      <w:r>
        <w:rPr>
          <w:color w:val="231F20"/>
          <w:w w:val="105"/>
        </w:rPr>
        <w:t>vascular</w:t>
      </w:r>
      <w:r>
        <w:rPr>
          <w:color w:val="231F20"/>
          <w:spacing w:val="-8"/>
          <w:w w:val="105"/>
        </w:rPr>
        <w:t> </w:t>
      </w:r>
      <w:r>
        <w:rPr>
          <w:color w:val="231F20"/>
          <w:w w:val="105"/>
        </w:rPr>
        <w:t>capacity.</w:t>
      </w:r>
      <w:r>
        <w:rPr>
          <w:color w:val="231F20"/>
          <w:spacing w:val="-9"/>
          <w:w w:val="105"/>
        </w:rPr>
        <w:t> </w:t>
      </w:r>
      <w:r>
        <w:rPr>
          <w:color w:val="231F20"/>
          <w:w w:val="105"/>
        </w:rPr>
        <w:t>In</w:t>
      </w:r>
      <w:r>
        <w:rPr>
          <w:color w:val="231F20"/>
          <w:spacing w:val="-9"/>
          <w:w w:val="105"/>
        </w:rPr>
        <w:t> </w:t>
      </w:r>
      <w:r>
        <w:rPr>
          <w:color w:val="231F20"/>
          <w:w w:val="105"/>
        </w:rPr>
        <w:t>these</w:t>
      </w:r>
      <w:r>
        <w:rPr>
          <w:color w:val="231F20"/>
          <w:spacing w:val="-9"/>
          <w:w w:val="105"/>
        </w:rPr>
        <w:t> </w:t>
      </w:r>
      <w:r>
        <w:rPr>
          <w:color w:val="231F20"/>
          <w:w w:val="105"/>
        </w:rPr>
        <w:t>cases,</w:t>
      </w:r>
      <w:r>
        <w:rPr>
          <w:color w:val="231F20"/>
          <w:spacing w:val="-8"/>
          <w:w w:val="105"/>
        </w:rPr>
        <w:t> </w:t>
      </w:r>
      <w:r>
        <w:rPr>
          <w:color w:val="231F20"/>
          <w:w w:val="105"/>
        </w:rPr>
        <w:t>salt</w:t>
      </w:r>
      <w:r>
        <w:rPr>
          <w:color w:val="231F20"/>
          <w:spacing w:val="-9"/>
          <w:w w:val="105"/>
        </w:rPr>
        <w:t> </w:t>
      </w:r>
      <w:r>
        <w:rPr>
          <w:color w:val="231F20"/>
          <w:w w:val="105"/>
        </w:rPr>
        <w:t>and water are retained by the kidneys until the total</w:t>
      </w:r>
      <w:r>
        <w:rPr>
          <w:color w:val="231F20"/>
          <w:spacing w:val="-37"/>
          <w:w w:val="105"/>
        </w:rPr>
        <w:t> </w:t>
      </w:r>
      <w:r>
        <w:rPr>
          <w:color w:val="231F20"/>
          <w:w w:val="105"/>
        </w:rPr>
        <w:t>vascular bed is filled enough to raise blood pressure to the level required</w:t>
      </w:r>
      <w:r>
        <w:rPr>
          <w:color w:val="231F20"/>
          <w:spacing w:val="-15"/>
          <w:w w:val="105"/>
        </w:rPr>
        <w:t> </w:t>
      </w:r>
      <w:r>
        <w:rPr>
          <w:color w:val="231F20"/>
          <w:w w:val="105"/>
        </w:rPr>
        <w:t>to</w:t>
      </w:r>
      <w:r>
        <w:rPr>
          <w:color w:val="231F20"/>
          <w:spacing w:val="-14"/>
          <w:w w:val="105"/>
        </w:rPr>
        <w:t> </w:t>
      </w:r>
      <w:r>
        <w:rPr>
          <w:color w:val="231F20"/>
          <w:w w:val="105"/>
        </w:rPr>
        <w:t>balance</w:t>
      </w:r>
      <w:r>
        <w:rPr>
          <w:color w:val="231F20"/>
          <w:spacing w:val="-14"/>
          <w:w w:val="105"/>
        </w:rPr>
        <w:t> </w:t>
      </w:r>
      <w:r>
        <w:rPr>
          <w:color w:val="231F20"/>
          <w:w w:val="105"/>
        </w:rPr>
        <w:t>renal</w:t>
      </w:r>
      <w:r>
        <w:rPr>
          <w:color w:val="231F20"/>
          <w:spacing w:val="-14"/>
          <w:w w:val="105"/>
        </w:rPr>
        <w:t> </w:t>
      </w:r>
      <w:r>
        <w:rPr>
          <w:color w:val="231F20"/>
          <w:w w:val="105"/>
        </w:rPr>
        <w:t>output</w:t>
      </w:r>
      <w:r>
        <w:rPr>
          <w:color w:val="231F20"/>
          <w:spacing w:val="-14"/>
          <w:w w:val="105"/>
        </w:rPr>
        <w:t> </w:t>
      </w:r>
      <w:r>
        <w:rPr>
          <w:color w:val="231F20"/>
          <w:w w:val="105"/>
        </w:rPr>
        <w:t>of</w:t>
      </w:r>
      <w:r>
        <w:rPr>
          <w:color w:val="231F20"/>
          <w:spacing w:val="-15"/>
          <w:w w:val="105"/>
        </w:rPr>
        <w:t> </w:t>
      </w:r>
      <w:r>
        <w:rPr>
          <w:color w:val="231F20"/>
          <w:w w:val="105"/>
        </w:rPr>
        <w:t>fluid</w:t>
      </w:r>
      <w:r>
        <w:rPr>
          <w:color w:val="231F20"/>
          <w:spacing w:val="-14"/>
          <w:w w:val="105"/>
        </w:rPr>
        <w:t> </w:t>
      </w:r>
      <w:r>
        <w:rPr>
          <w:color w:val="231F20"/>
          <w:w w:val="105"/>
        </w:rPr>
        <w:t>with</w:t>
      </w:r>
      <w:r>
        <w:rPr>
          <w:color w:val="231F20"/>
          <w:spacing w:val="-14"/>
          <w:w w:val="105"/>
        </w:rPr>
        <w:t> </w:t>
      </w:r>
      <w:r>
        <w:rPr>
          <w:color w:val="231F20"/>
          <w:w w:val="105"/>
        </w:rPr>
        <w:t>daily</w:t>
      </w:r>
      <w:r>
        <w:rPr>
          <w:color w:val="231F20"/>
          <w:spacing w:val="-14"/>
          <w:w w:val="105"/>
        </w:rPr>
        <w:t> </w:t>
      </w:r>
      <w:r>
        <w:rPr>
          <w:color w:val="231F20"/>
          <w:spacing w:val="-3"/>
          <w:w w:val="105"/>
        </w:rPr>
        <w:t>intake </w:t>
      </w:r>
      <w:r>
        <w:rPr>
          <w:color w:val="231F20"/>
          <w:w w:val="105"/>
        </w:rPr>
        <w:t>of</w:t>
      </w:r>
      <w:r>
        <w:rPr>
          <w:color w:val="231F20"/>
          <w:spacing w:val="2"/>
          <w:w w:val="105"/>
        </w:rPr>
        <w:t> </w:t>
      </w:r>
      <w:r>
        <w:rPr>
          <w:color w:val="231F20"/>
          <w:w w:val="105"/>
        </w:rPr>
        <w:t>fluid.</w:t>
      </w:r>
    </w:p>
    <w:p>
      <w:pPr>
        <w:pStyle w:val="BodyText"/>
        <w:spacing w:before="4"/>
        <w:rPr>
          <w:sz w:val="25"/>
        </w:rPr>
      </w:pPr>
      <w:r>
        <w:rPr/>
        <w:pict>
          <v:shape style="position:absolute;margin-left:54pt;margin-top:15.811315pt;width:234pt;height:52pt;mso-position-horizontal-relative:page;mso-position-vertical-relative:paragraph;z-index:-250610688;mso-wrap-distance-left:0;mso-wrap-distance-right:0" type="#_x0000_t202" filled="true" fillcolor="#e8dac8" stroked="false">
            <v:textbox inset="0,0,0,0">
              <w:txbxContent>
                <w:p>
                  <w:pPr>
                    <w:spacing w:line="225" w:lineRule="auto" w:before="46"/>
                    <w:ind w:left="60" w:right="633" w:firstLine="0"/>
                    <w:jc w:val="left"/>
                    <w:rPr>
                      <w:rFonts w:ascii="Trebuchet MS"/>
                      <w:b/>
                      <w:sz w:val="22"/>
                    </w:rPr>
                  </w:pPr>
                  <w:r>
                    <w:rPr>
                      <w:rFonts w:ascii="Trebuchet MS"/>
                      <w:b/>
                      <w:color w:val="231F20"/>
                      <w:w w:val="110"/>
                      <w:sz w:val="22"/>
                    </w:rPr>
                    <w:t>CONDITIONS THAT CAUSE LARGE INCREASES IN EXTRACELLULAR FLUID VOLUME BUT WITH NORMAL BLOOD VOLUME</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color w:val="231F20"/>
        </w:rPr>
        <w:t>In several conditions, extracellular fluid volume becomes markedly increased but blood  volume  remains  normal or even slightly reduced. These conditions are</w:t>
      </w:r>
      <w:r>
        <w:rPr>
          <w:color w:val="231F20"/>
          <w:spacing w:val="49"/>
        </w:rPr>
        <w:t> </w:t>
      </w:r>
      <w:r>
        <w:rPr>
          <w:color w:val="231F20"/>
        </w:rPr>
        <w:t>usually</w:t>
      </w:r>
    </w:p>
    <w:p>
      <w:pPr>
        <w:pStyle w:val="BodyText"/>
        <w:spacing w:line="249" w:lineRule="auto" w:before="99"/>
        <w:ind w:left="319" w:right="1437"/>
        <w:jc w:val="both"/>
      </w:pPr>
      <w:r>
        <w:rPr/>
        <w:br w:type="column"/>
      </w:r>
      <w:r>
        <w:rPr>
          <w:color w:val="231F20"/>
          <w:w w:val="105"/>
        </w:rPr>
        <w:t>initiated by leakage of fluid and protein into the inter- stitium, which tends to decrease the blood volume. The kidneys’ response to these conditions is similar to the response after hemorrhage—that is, the kidneys retain salt and water in an attempt to restore blood volume toward normal. Much of the extra fluid, however, leaks into the interstitium, causing further edema.</w:t>
      </w:r>
    </w:p>
    <w:p>
      <w:pPr>
        <w:pStyle w:val="BodyText"/>
        <w:spacing w:before="2"/>
        <w:rPr>
          <w:sz w:val="31"/>
        </w:rPr>
      </w:pPr>
    </w:p>
    <w:p>
      <w:pPr>
        <w:pStyle w:val="Heading2"/>
        <w:spacing w:line="225" w:lineRule="auto"/>
        <w:ind w:right="2157"/>
      </w:pPr>
      <w:r>
        <w:rPr>
          <w:color w:val="231F20"/>
          <w:w w:val="110"/>
        </w:rPr>
        <w:t>NEPHROTIC SYNDROME—LOSS OF PLASMA PROTEINS IN URINE AND SODIUM</w:t>
      </w:r>
      <w:r>
        <w:rPr>
          <w:color w:val="231F20"/>
          <w:spacing w:val="-39"/>
          <w:w w:val="110"/>
        </w:rPr>
        <w:t> </w:t>
      </w:r>
      <w:r>
        <w:rPr>
          <w:color w:val="231F20"/>
          <w:w w:val="110"/>
        </w:rPr>
        <w:t>RETENTION</w:t>
      </w:r>
      <w:r>
        <w:rPr>
          <w:color w:val="231F20"/>
          <w:spacing w:val="-39"/>
          <w:w w:val="110"/>
        </w:rPr>
        <w:t> </w:t>
      </w:r>
      <w:r>
        <w:rPr>
          <w:color w:val="231F20"/>
          <w:w w:val="110"/>
        </w:rPr>
        <w:t>BY</w:t>
      </w:r>
      <w:r>
        <w:rPr>
          <w:color w:val="231F20"/>
          <w:spacing w:val="-39"/>
          <w:w w:val="110"/>
        </w:rPr>
        <w:t> </w:t>
      </w:r>
      <w:r>
        <w:rPr>
          <w:color w:val="231F20"/>
          <w:w w:val="110"/>
        </w:rPr>
        <w:t>THE</w:t>
      </w:r>
      <w:r>
        <w:rPr>
          <w:color w:val="231F20"/>
          <w:spacing w:val="-39"/>
          <w:w w:val="110"/>
        </w:rPr>
        <w:t> </w:t>
      </w:r>
      <w:r>
        <w:rPr>
          <w:color w:val="231F20"/>
          <w:spacing w:val="-3"/>
          <w:w w:val="110"/>
        </w:rPr>
        <w:t>KIDNEYS</w:t>
      </w:r>
    </w:p>
    <w:p>
      <w:pPr>
        <w:pStyle w:val="BodyText"/>
        <w:spacing w:line="249" w:lineRule="auto" w:before="127"/>
        <w:ind w:left="319" w:right="1437"/>
        <w:jc w:val="both"/>
      </w:pPr>
      <w:r>
        <w:rPr>
          <w:color w:val="231F20"/>
          <w:w w:val="105"/>
        </w:rPr>
        <w:t>The</w:t>
      </w:r>
      <w:r>
        <w:rPr>
          <w:color w:val="231F20"/>
          <w:spacing w:val="-15"/>
          <w:w w:val="105"/>
        </w:rPr>
        <w:t> </w:t>
      </w:r>
      <w:r>
        <w:rPr>
          <w:color w:val="231F20"/>
          <w:w w:val="105"/>
        </w:rPr>
        <w:t>general</w:t>
      </w:r>
      <w:r>
        <w:rPr>
          <w:color w:val="231F20"/>
          <w:spacing w:val="-15"/>
          <w:w w:val="105"/>
        </w:rPr>
        <w:t> </w:t>
      </w:r>
      <w:r>
        <w:rPr>
          <w:color w:val="231F20"/>
          <w:w w:val="105"/>
        </w:rPr>
        <w:t>mechanisms</w:t>
      </w:r>
      <w:r>
        <w:rPr>
          <w:color w:val="231F20"/>
          <w:spacing w:val="-15"/>
          <w:w w:val="105"/>
        </w:rPr>
        <w:t> </w:t>
      </w:r>
      <w:r>
        <w:rPr>
          <w:color w:val="231F20"/>
          <w:w w:val="105"/>
        </w:rPr>
        <w:t>that</w:t>
      </w:r>
      <w:r>
        <w:rPr>
          <w:color w:val="231F20"/>
          <w:spacing w:val="-15"/>
          <w:w w:val="105"/>
        </w:rPr>
        <w:t> </w:t>
      </w:r>
      <w:r>
        <w:rPr>
          <w:color w:val="231F20"/>
          <w:w w:val="105"/>
        </w:rPr>
        <w:t>lead</w:t>
      </w:r>
      <w:r>
        <w:rPr>
          <w:color w:val="231F20"/>
          <w:spacing w:val="-14"/>
          <w:w w:val="105"/>
        </w:rPr>
        <w:t> </w:t>
      </w:r>
      <w:r>
        <w:rPr>
          <w:color w:val="231F20"/>
          <w:w w:val="105"/>
        </w:rPr>
        <w:t>to</w:t>
      </w:r>
      <w:r>
        <w:rPr>
          <w:color w:val="231F20"/>
          <w:spacing w:val="-15"/>
          <w:w w:val="105"/>
        </w:rPr>
        <w:t> </w:t>
      </w:r>
      <w:r>
        <w:rPr>
          <w:color w:val="231F20"/>
          <w:w w:val="105"/>
        </w:rPr>
        <w:t>extracellular</w:t>
      </w:r>
      <w:r>
        <w:rPr>
          <w:color w:val="231F20"/>
          <w:spacing w:val="-15"/>
          <w:w w:val="105"/>
        </w:rPr>
        <w:t> </w:t>
      </w:r>
      <w:r>
        <w:rPr>
          <w:color w:val="231F20"/>
          <w:w w:val="105"/>
        </w:rPr>
        <w:t>edema are reviewed in Chapter 25. One of the most important clinical causes of edema is the so-called </w:t>
      </w:r>
      <w:r>
        <w:rPr>
          <w:i/>
          <w:color w:val="231F20"/>
          <w:w w:val="105"/>
        </w:rPr>
        <w:t>nephrotic syn- </w:t>
      </w:r>
      <w:r>
        <w:rPr>
          <w:i/>
          <w:color w:val="231F20"/>
          <w:w w:val="105"/>
        </w:rPr>
        <w:t>drome.</w:t>
      </w:r>
      <w:r>
        <w:rPr>
          <w:i/>
          <w:color w:val="231F20"/>
          <w:spacing w:val="-21"/>
          <w:w w:val="105"/>
        </w:rPr>
        <w:t> </w:t>
      </w:r>
      <w:r>
        <w:rPr>
          <w:color w:val="231F20"/>
          <w:w w:val="105"/>
        </w:rPr>
        <w:t>In</w:t>
      </w:r>
      <w:r>
        <w:rPr>
          <w:color w:val="231F20"/>
          <w:spacing w:val="-21"/>
          <w:w w:val="105"/>
        </w:rPr>
        <w:t> </w:t>
      </w:r>
      <w:r>
        <w:rPr>
          <w:color w:val="231F20"/>
          <w:w w:val="105"/>
        </w:rPr>
        <w:t>nephrotic</w:t>
      </w:r>
      <w:r>
        <w:rPr>
          <w:color w:val="231F20"/>
          <w:spacing w:val="-20"/>
          <w:w w:val="105"/>
        </w:rPr>
        <w:t> </w:t>
      </w:r>
      <w:r>
        <w:rPr>
          <w:color w:val="231F20"/>
          <w:w w:val="105"/>
        </w:rPr>
        <w:t>syndrome,</w:t>
      </w:r>
      <w:r>
        <w:rPr>
          <w:color w:val="231F20"/>
          <w:spacing w:val="-21"/>
          <w:w w:val="105"/>
        </w:rPr>
        <w:t> </w:t>
      </w:r>
      <w:r>
        <w:rPr>
          <w:color w:val="231F20"/>
          <w:w w:val="105"/>
        </w:rPr>
        <w:t>the</w:t>
      </w:r>
      <w:r>
        <w:rPr>
          <w:color w:val="231F20"/>
          <w:spacing w:val="-20"/>
          <w:w w:val="105"/>
        </w:rPr>
        <w:t> </w:t>
      </w:r>
      <w:r>
        <w:rPr>
          <w:color w:val="231F20"/>
          <w:w w:val="105"/>
        </w:rPr>
        <w:t>glomerular</w:t>
      </w:r>
      <w:r>
        <w:rPr>
          <w:color w:val="231F20"/>
          <w:spacing w:val="-21"/>
          <w:w w:val="105"/>
        </w:rPr>
        <w:t> </w:t>
      </w:r>
      <w:r>
        <w:rPr>
          <w:color w:val="231F20"/>
          <w:w w:val="105"/>
        </w:rPr>
        <w:t>capillaries leak large amounts of protein into the filtrate and the urine</w:t>
      </w:r>
      <w:r>
        <w:rPr>
          <w:color w:val="231F20"/>
          <w:spacing w:val="-9"/>
          <w:w w:val="105"/>
        </w:rPr>
        <w:t> </w:t>
      </w:r>
      <w:r>
        <w:rPr>
          <w:color w:val="231F20"/>
          <w:w w:val="105"/>
        </w:rPr>
        <w:t>because</w:t>
      </w:r>
      <w:r>
        <w:rPr>
          <w:color w:val="231F20"/>
          <w:spacing w:val="-8"/>
          <w:w w:val="105"/>
        </w:rPr>
        <w:t> </w:t>
      </w:r>
      <w:r>
        <w:rPr>
          <w:color w:val="231F20"/>
          <w:w w:val="105"/>
        </w:rPr>
        <w:t>of</w:t>
      </w:r>
      <w:r>
        <w:rPr>
          <w:color w:val="231F20"/>
          <w:spacing w:val="-9"/>
          <w:w w:val="105"/>
        </w:rPr>
        <w:t> </w:t>
      </w:r>
      <w:r>
        <w:rPr>
          <w:color w:val="231F20"/>
          <w:w w:val="105"/>
        </w:rPr>
        <w:t>increased</w:t>
      </w:r>
      <w:r>
        <w:rPr>
          <w:color w:val="231F20"/>
          <w:spacing w:val="-8"/>
          <w:w w:val="105"/>
        </w:rPr>
        <w:t> </w:t>
      </w:r>
      <w:r>
        <w:rPr>
          <w:color w:val="231F20"/>
          <w:w w:val="105"/>
        </w:rPr>
        <w:t>glomerular</w:t>
      </w:r>
      <w:r>
        <w:rPr>
          <w:color w:val="231F20"/>
          <w:spacing w:val="-9"/>
          <w:w w:val="105"/>
        </w:rPr>
        <w:t> </w:t>
      </w:r>
      <w:r>
        <w:rPr>
          <w:color w:val="231F20"/>
          <w:w w:val="105"/>
        </w:rPr>
        <w:t>capillary</w:t>
      </w:r>
      <w:r>
        <w:rPr>
          <w:color w:val="231F20"/>
          <w:spacing w:val="-8"/>
          <w:w w:val="105"/>
        </w:rPr>
        <w:t> </w:t>
      </w:r>
      <w:r>
        <w:rPr>
          <w:color w:val="231F20"/>
          <w:w w:val="105"/>
        </w:rPr>
        <w:t>permea- bility.</w:t>
      </w:r>
      <w:r>
        <w:rPr>
          <w:color w:val="231F20"/>
          <w:spacing w:val="-18"/>
          <w:w w:val="105"/>
        </w:rPr>
        <w:t> </w:t>
      </w:r>
      <w:r>
        <w:rPr>
          <w:color w:val="231F20"/>
          <w:w w:val="105"/>
        </w:rPr>
        <w:t>Thirty</w:t>
      </w:r>
      <w:r>
        <w:rPr>
          <w:color w:val="231F20"/>
          <w:spacing w:val="-17"/>
          <w:w w:val="105"/>
        </w:rPr>
        <w:t> </w:t>
      </w:r>
      <w:r>
        <w:rPr>
          <w:color w:val="231F20"/>
          <w:w w:val="105"/>
        </w:rPr>
        <w:t>to</w:t>
      </w:r>
      <w:r>
        <w:rPr>
          <w:color w:val="231F20"/>
          <w:spacing w:val="-18"/>
          <w:w w:val="105"/>
        </w:rPr>
        <w:t> </w:t>
      </w:r>
      <w:r>
        <w:rPr>
          <w:color w:val="231F20"/>
          <w:w w:val="105"/>
        </w:rPr>
        <w:t>50</w:t>
      </w:r>
      <w:r>
        <w:rPr>
          <w:color w:val="231F20"/>
          <w:spacing w:val="-17"/>
          <w:w w:val="105"/>
        </w:rPr>
        <w:t> </w:t>
      </w:r>
      <w:r>
        <w:rPr>
          <w:color w:val="231F20"/>
          <w:w w:val="105"/>
        </w:rPr>
        <w:t>grams</w:t>
      </w:r>
      <w:r>
        <w:rPr>
          <w:color w:val="231F20"/>
          <w:spacing w:val="-17"/>
          <w:w w:val="105"/>
        </w:rPr>
        <w:t> </w:t>
      </w:r>
      <w:r>
        <w:rPr>
          <w:color w:val="231F20"/>
          <w:w w:val="105"/>
        </w:rPr>
        <w:t>of</w:t>
      </w:r>
      <w:r>
        <w:rPr>
          <w:color w:val="231F20"/>
          <w:spacing w:val="-18"/>
          <w:w w:val="105"/>
        </w:rPr>
        <w:t> </w:t>
      </w:r>
      <w:r>
        <w:rPr>
          <w:color w:val="231F20"/>
          <w:w w:val="105"/>
        </w:rPr>
        <w:t>plasma</w:t>
      </w:r>
      <w:r>
        <w:rPr>
          <w:color w:val="231F20"/>
          <w:spacing w:val="-17"/>
          <w:w w:val="105"/>
        </w:rPr>
        <w:t> </w:t>
      </w:r>
      <w:r>
        <w:rPr>
          <w:color w:val="231F20"/>
          <w:w w:val="105"/>
        </w:rPr>
        <w:t>protein</w:t>
      </w:r>
      <w:r>
        <w:rPr>
          <w:color w:val="231F20"/>
          <w:spacing w:val="-18"/>
          <w:w w:val="105"/>
        </w:rPr>
        <w:t> </w:t>
      </w:r>
      <w:r>
        <w:rPr>
          <w:color w:val="231F20"/>
          <w:w w:val="105"/>
        </w:rPr>
        <w:t>may</w:t>
      </w:r>
      <w:r>
        <w:rPr>
          <w:color w:val="231F20"/>
          <w:spacing w:val="-17"/>
          <w:w w:val="105"/>
        </w:rPr>
        <w:t> </w:t>
      </w:r>
      <w:r>
        <w:rPr>
          <w:color w:val="231F20"/>
          <w:w w:val="105"/>
        </w:rPr>
        <w:t>be</w:t>
      </w:r>
      <w:r>
        <w:rPr>
          <w:color w:val="231F20"/>
          <w:spacing w:val="-18"/>
          <w:w w:val="105"/>
        </w:rPr>
        <w:t> </w:t>
      </w:r>
      <w:r>
        <w:rPr>
          <w:color w:val="231F20"/>
          <w:w w:val="105"/>
        </w:rPr>
        <w:t>lost</w:t>
      </w:r>
      <w:r>
        <w:rPr>
          <w:color w:val="231F20"/>
          <w:spacing w:val="-17"/>
          <w:w w:val="105"/>
        </w:rPr>
        <w:t> </w:t>
      </w:r>
      <w:r>
        <w:rPr>
          <w:color w:val="231F20"/>
          <w:spacing w:val="-8"/>
          <w:w w:val="105"/>
        </w:rPr>
        <w:t>in </w:t>
      </w:r>
      <w:r>
        <w:rPr>
          <w:color w:val="231F20"/>
          <w:w w:val="105"/>
        </w:rPr>
        <w:t>the</w:t>
      </w:r>
      <w:r>
        <w:rPr>
          <w:color w:val="231F20"/>
          <w:spacing w:val="-19"/>
          <w:w w:val="105"/>
        </w:rPr>
        <w:t> </w:t>
      </w:r>
      <w:r>
        <w:rPr>
          <w:color w:val="231F20"/>
          <w:w w:val="105"/>
        </w:rPr>
        <w:t>urine</w:t>
      </w:r>
      <w:r>
        <w:rPr>
          <w:color w:val="231F20"/>
          <w:spacing w:val="-18"/>
          <w:w w:val="105"/>
        </w:rPr>
        <w:t> </w:t>
      </w:r>
      <w:r>
        <w:rPr>
          <w:color w:val="231F20"/>
          <w:w w:val="105"/>
        </w:rPr>
        <w:t>each</w:t>
      </w:r>
      <w:r>
        <w:rPr>
          <w:color w:val="231F20"/>
          <w:spacing w:val="-18"/>
          <w:w w:val="105"/>
        </w:rPr>
        <w:t> </w:t>
      </w:r>
      <w:r>
        <w:rPr>
          <w:color w:val="231F20"/>
          <w:spacing w:val="-4"/>
          <w:w w:val="105"/>
        </w:rPr>
        <w:t>day,</w:t>
      </w:r>
      <w:r>
        <w:rPr>
          <w:color w:val="231F20"/>
          <w:spacing w:val="-18"/>
          <w:w w:val="105"/>
        </w:rPr>
        <w:t> </w:t>
      </w:r>
      <w:r>
        <w:rPr>
          <w:color w:val="231F20"/>
          <w:w w:val="105"/>
        </w:rPr>
        <w:t>sometimes</w:t>
      </w:r>
      <w:r>
        <w:rPr>
          <w:color w:val="231F20"/>
          <w:spacing w:val="-19"/>
          <w:w w:val="105"/>
        </w:rPr>
        <w:t> </w:t>
      </w:r>
      <w:r>
        <w:rPr>
          <w:color w:val="231F20"/>
          <w:w w:val="105"/>
        </w:rPr>
        <w:t>causing</w:t>
      </w:r>
      <w:r>
        <w:rPr>
          <w:color w:val="231F20"/>
          <w:spacing w:val="-18"/>
          <w:w w:val="105"/>
        </w:rPr>
        <w:t> </w:t>
      </w:r>
      <w:r>
        <w:rPr>
          <w:color w:val="231F20"/>
          <w:w w:val="105"/>
        </w:rPr>
        <w:t>the</w:t>
      </w:r>
      <w:r>
        <w:rPr>
          <w:color w:val="231F20"/>
          <w:spacing w:val="-18"/>
          <w:w w:val="105"/>
        </w:rPr>
        <w:t> </w:t>
      </w:r>
      <w:r>
        <w:rPr>
          <w:color w:val="231F20"/>
          <w:w w:val="105"/>
        </w:rPr>
        <w:t>plasma</w:t>
      </w:r>
      <w:r>
        <w:rPr>
          <w:color w:val="231F20"/>
          <w:spacing w:val="-18"/>
          <w:w w:val="105"/>
        </w:rPr>
        <w:t> </w:t>
      </w:r>
      <w:r>
        <w:rPr>
          <w:color w:val="231F20"/>
          <w:w w:val="105"/>
        </w:rPr>
        <w:t>protein concentration to fall to less than one-third normal. </w:t>
      </w:r>
      <w:r>
        <w:rPr>
          <w:color w:val="231F20"/>
          <w:spacing w:val="-5"/>
          <w:w w:val="105"/>
        </w:rPr>
        <w:t>As   </w:t>
      </w:r>
      <w:r>
        <w:rPr>
          <w:color w:val="231F20"/>
          <w:w w:val="105"/>
        </w:rPr>
        <w:t>a consequence of the decreased plasma protein concen- tration, the plasma colloid osmotic pressure falls to low levels.</w:t>
      </w:r>
      <w:r>
        <w:rPr>
          <w:color w:val="231F20"/>
          <w:spacing w:val="-18"/>
          <w:w w:val="105"/>
        </w:rPr>
        <w:t> </w:t>
      </w:r>
      <w:r>
        <w:rPr>
          <w:color w:val="231F20"/>
          <w:w w:val="105"/>
        </w:rPr>
        <w:t>This</w:t>
      </w:r>
      <w:r>
        <w:rPr>
          <w:color w:val="231F20"/>
          <w:spacing w:val="-17"/>
          <w:w w:val="105"/>
        </w:rPr>
        <w:t> </w:t>
      </w:r>
      <w:r>
        <w:rPr>
          <w:color w:val="231F20"/>
          <w:w w:val="105"/>
        </w:rPr>
        <w:t>action</w:t>
      </w:r>
      <w:r>
        <w:rPr>
          <w:color w:val="231F20"/>
          <w:spacing w:val="-17"/>
          <w:w w:val="105"/>
        </w:rPr>
        <w:t> </w:t>
      </w:r>
      <w:r>
        <w:rPr>
          <w:color w:val="231F20"/>
          <w:w w:val="105"/>
        </w:rPr>
        <w:t>causes</w:t>
      </w:r>
      <w:r>
        <w:rPr>
          <w:color w:val="231F20"/>
          <w:spacing w:val="-17"/>
          <w:w w:val="105"/>
        </w:rPr>
        <w:t> </w:t>
      </w:r>
      <w:r>
        <w:rPr>
          <w:color w:val="231F20"/>
          <w:w w:val="105"/>
        </w:rPr>
        <w:t>the</w:t>
      </w:r>
      <w:r>
        <w:rPr>
          <w:color w:val="231F20"/>
          <w:spacing w:val="-17"/>
          <w:w w:val="105"/>
        </w:rPr>
        <w:t> </w:t>
      </w:r>
      <w:r>
        <w:rPr>
          <w:color w:val="231F20"/>
          <w:w w:val="105"/>
        </w:rPr>
        <w:t>capillaries</w:t>
      </w:r>
      <w:r>
        <w:rPr>
          <w:color w:val="231F20"/>
          <w:spacing w:val="-18"/>
          <w:w w:val="105"/>
        </w:rPr>
        <w:t> </w:t>
      </w:r>
      <w:r>
        <w:rPr>
          <w:color w:val="231F20"/>
          <w:w w:val="105"/>
        </w:rPr>
        <w:t>all</w:t>
      </w:r>
      <w:r>
        <w:rPr>
          <w:color w:val="231F20"/>
          <w:spacing w:val="-17"/>
          <w:w w:val="105"/>
        </w:rPr>
        <w:t> </w:t>
      </w:r>
      <w:r>
        <w:rPr>
          <w:color w:val="231F20"/>
          <w:w w:val="105"/>
        </w:rPr>
        <w:t>over</w:t>
      </w:r>
      <w:r>
        <w:rPr>
          <w:color w:val="231F20"/>
          <w:spacing w:val="-17"/>
          <w:w w:val="105"/>
        </w:rPr>
        <w:t> </w:t>
      </w:r>
      <w:r>
        <w:rPr>
          <w:color w:val="231F20"/>
          <w:w w:val="105"/>
        </w:rPr>
        <w:t>the</w:t>
      </w:r>
      <w:r>
        <w:rPr>
          <w:color w:val="231F20"/>
          <w:spacing w:val="-17"/>
          <w:w w:val="105"/>
        </w:rPr>
        <w:t> </w:t>
      </w:r>
      <w:r>
        <w:rPr>
          <w:color w:val="231F20"/>
          <w:w w:val="105"/>
        </w:rPr>
        <w:t>body to filter large amounts of fluid into the various tissues, which in turn causes edema and decreases the plasma volume.</w:t>
      </w:r>
    </w:p>
    <w:p>
      <w:pPr>
        <w:pStyle w:val="BodyText"/>
        <w:spacing w:line="249" w:lineRule="auto" w:before="13"/>
        <w:ind w:left="319" w:right="1437" w:firstLine="240"/>
        <w:jc w:val="both"/>
      </w:pPr>
      <w:r>
        <w:rPr>
          <w:color w:val="231F20"/>
          <w:w w:val="105"/>
        </w:rPr>
        <w:t>Renal</w:t>
      </w:r>
      <w:r>
        <w:rPr>
          <w:color w:val="231F20"/>
          <w:spacing w:val="-12"/>
          <w:w w:val="105"/>
        </w:rPr>
        <w:t> </w:t>
      </w:r>
      <w:r>
        <w:rPr>
          <w:color w:val="231F20"/>
          <w:w w:val="105"/>
        </w:rPr>
        <w:t>sodium</w:t>
      </w:r>
      <w:r>
        <w:rPr>
          <w:color w:val="231F20"/>
          <w:spacing w:val="-11"/>
          <w:w w:val="105"/>
        </w:rPr>
        <w:t> </w:t>
      </w:r>
      <w:r>
        <w:rPr>
          <w:color w:val="231F20"/>
          <w:w w:val="105"/>
        </w:rPr>
        <w:t>retention</w:t>
      </w:r>
      <w:r>
        <w:rPr>
          <w:color w:val="231F20"/>
          <w:spacing w:val="-12"/>
          <w:w w:val="105"/>
        </w:rPr>
        <w:t> </w:t>
      </w:r>
      <w:r>
        <w:rPr>
          <w:color w:val="231F20"/>
          <w:w w:val="105"/>
        </w:rPr>
        <w:t>in</w:t>
      </w:r>
      <w:r>
        <w:rPr>
          <w:color w:val="231F20"/>
          <w:spacing w:val="-11"/>
          <w:w w:val="105"/>
        </w:rPr>
        <w:t> </w:t>
      </w:r>
      <w:r>
        <w:rPr>
          <w:color w:val="231F20"/>
          <w:w w:val="105"/>
        </w:rPr>
        <w:t>nephrotic</w:t>
      </w:r>
      <w:r>
        <w:rPr>
          <w:color w:val="231F20"/>
          <w:spacing w:val="-12"/>
          <w:w w:val="105"/>
        </w:rPr>
        <w:t> </w:t>
      </w:r>
      <w:r>
        <w:rPr>
          <w:color w:val="231F20"/>
          <w:w w:val="105"/>
        </w:rPr>
        <w:t>syndrome</w:t>
      </w:r>
      <w:r>
        <w:rPr>
          <w:color w:val="231F20"/>
          <w:spacing w:val="-11"/>
          <w:w w:val="105"/>
        </w:rPr>
        <w:t> </w:t>
      </w:r>
      <w:r>
        <w:rPr>
          <w:color w:val="231F20"/>
          <w:w w:val="105"/>
        </w:rPr>
        <w:t>occurs through multiple mechanisms activated by leakage </w:t>
      </w:r>
      <w:r>
        <w:rPr>
          <w:color w:val="231F20"/>
          <w:spacing w:val="-6"/>
          <w:w w:val="105"/>
        </w:rPr>
        <w:t>of </w:t>
      </w:r>
      <w:r>
        <w:rPr>
          <w:color w:val="231F20"/>
          <w:w w:val="105"/>
        </w:rPr>
        <w:t>protein and fluid from the plasma into the interstitial fluid, including stimulation of various sodium-retaining systems such as the renin-angiotensin system, aldoste- rone, and the sympathetic nervous system. The kidneys continue</w:t>
      </w:r>
      <w:r>
        <w:rPr>
          <w:color w:val="231F20"/>
          <w:spacing w:val="-14"/>
          <w:w w:val="105"/>
        </w:rPr>
        <w:t> </w:t>
      </w:r>
      <w:r>
        <w:rPr>
          <w:color w:val="231F20"/>
          <w:w w:val="105"/>
        </w:rPr>
        <w:t>to</w:t>
      </w:r>
      <w:r>
        <w:rPr>
          <w:color w:val="231F20"/>
          <w:spacing w:val="-14"/>
          <w:w w:val="105"/>
        </w:rPr>
        <w:t> </w:t>
      </w:r>
      <w:r>
        <w:rPr>
          <w:color w:val="231F20"/>
          <w:w w:val="105"/>
        </w:rPr>
        <w:t>retain</w:t>
      </w:r>
      <w:r>
        <w:rPr>
          <w:color w:val="231F20"/>
          <w:spacing w:val="-14"/>
          <w:w w:val="105"/>
        </w:rPr>
        <w:t> </w:t>
      </w:r>
      <w:r>
        <w:rPr>
          <w:color w:val="231F20"/>
          <w:w w:val="105"/>
        </w:rPr>
        <w:t>sodium</w:t>
      </w:r>
      <w:r>
        <w:rPr>
          <w:color w:val="231F20"/>
          <w:spacing w:val="-13"/>
          <w:w w:val="105"/>
        </w:rPr>
        <w:t> </w:t>
      </w:r>
      <w:r>
        <w:rPr>
          <w:color w:val="231F20"/>
          <w:w w:val="105"/>
        </w:rPr>
        <w:t>and</w:t>
      </w:r>
      <w:r>
        <w:rPr>
          <w:color w:val="231F20"/>
          <w:spacing w:val="-14"/>
          <w:w w:val="105"/>
        </w:rPr>
        <w:t> </w:t>
      </w:r>
      <w:r>
        <w:rPr>
          <w:color w:val="231F20"/>
          <w:w w:val="105"/>
        </w:rPr>
        <w:t>water</w:t>
      </w:r>
      <w:r>
        <w:rPr>
          <w:color w:val="231F20"/>
          <w:spacing w:val="-14"/>
          <w:w w:val="105"/>
        </w:rPr>
        <w:t> </w:t>
      </w:r>
      <w:r>
        <w:rPr>
          <w:color w:val="231F20"/>
          <w:w w:val="105"/>
        </w:rPr>
        <w:t>until</w:t>
      </w:r>
      <w:r>
        <w:rPr>
          <w:color w:val="231F20"/>
          <w:spacing w:val="-14"/>
          <w:w w:val="105"/>
        </w:rPr>
        <w:t> </w:t>
      </w:r>
      <w:r>
        <w:rPr>
          <w:color w:val="231F20"/>
          <w:w w:val="105"/>
        </w:rPr>
        <w:t>plasma</w:t>
      </w:r>
      <w:r>
        <w:rPr>
          <w:color w:val="231F20"/>
          <w:spacing w:val="-13"/>
          <w:w w:val="105"/>
        </w:rPr>
        <w:t> </w:t>
      </w:r>
      <w:r>
        <w:rPr>
          <w:color w:val="231F20"/>
          <w:w w:val="105"/>
        </w:rPr>
        <w:t>volume is restored nearly to normal. However, because of the large amount of sodium and water retention, the</w:t>
      </w:r>
      <w:r>
        <w:rPr>
          <w:color w:val="231F20"/>
          <w:spacing w:val="-10"/>
          <w:w w:val="105"/>
        </w:rPr>
        <w:t> </w:t>
      </w:r>
      <w:r>
        <w:rPr>
          <w:color w:val="231F20"/>
          <w:w w:val="105"/>
        </w:rPr>
        <w:t>plasma protein concentration becomes further diluted, causing still more fluid to leak into the tissues of the body. </w:t>
      </w:r>
      <w:r>
        <w:rPr>
          <w:color w:val="231F20"/>
          <w:spacing w:val="-4"/>
          <w:w w:val="105"/>
        </w:rPr>
        <w:t>The </w:t>
      </w:r>
      <w:r>
        <w:rPr>
          <w:color w:val="231F20"/>
          <w:w w:val="105"/>
        </w:rPr>
        <w:t>net result is massive fluid retention by the kidneys until tremendous extracellular edema occurs unless</w:t>
      </w:r>
      <w:r>
        <w:rPr>
          <w:color w:val="231F20"/>
          <w:spacing w:val="-31"/>
          <w:w w:val="105"/>
        </w:rPr>
        <w:t> </w:t>
      </w:r>
      <w:r>
        <w:rPr>
          <w:color w:val="231F20"/>
          <w:w w:val="105"/>
        </w:rPr>
        <w:t>treatment is instituted to restore the plasma</w:t>
      </w:r>
      <w:r>
        <w:rPr>
          <w:color w:val="231F20"/>
          <w:spacing w:val="14"/>
          <w:w w:val="105"/>
        </w:rPr>
        <w:t> </w:t>
      </w:r>
      <w:r>
        <w:rPr>
          <w:color w:val="231F20"/>
          <w:w w:val="105"/>
        </w:rPr>
        <w:t>proteins.</w:t>
      </w:r>
    </w:p>
    <w:p>
      <w:pPr>
        <w:pStyle w:val="BodyText"/>
        <w:spacing w:before="7"/>
        <w:rPr>
          <w:sz w:val="31"/>
        </w:rPr>
      </w:pPr>
    </w:p>
    <w:p>
      <w:pPr>
        <w:pStyle w:val="Heading2"/>
        <w:spacing w:line="225" w:lineRule="auto"/>
        <w:ind w:right="2063"/>
      </w:pPr>
      <w:r>
        <w:rPr>
          <w:color w:val="231F20"/>
          <w:w w:val="105"/>
        </w:rPr>
        <w:t>LIVER CIRRHOSIS—DECREASED SYNTHESIS OF PLASMA PROTEINS BY THE LIVER AND SODIUM RETENTION BY THE KIDNEYS</w:t>
      </w:r>
    </w:p>
    <w:p>
      <w:pPr>
        <w:pStyle w:val="BodyText"/>
        <w:spacing w:line="249" w:lineRule="auto" w:before="127"/>
        <w:ind w:left="319" w:right="1437"/>
        <w:jc w:val="both"/>
      </w:pPr>
      <w:r>
        <w:rPr>
          <w:color w:val="231F20"/>
          <w:w w:val="105"/>
        </w:rPr>
        <w:t>A similar sequence of events occurs in cirrhosis of the liver as in nephrotic syndrome, except that in liver cir- rhosis, the reduction in plasma protein concentration results from destruction of liver cells, thus reducing the ability</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liver</w:t>
      </w:r>
      <w:r>
        <w:rPr>
          <w:color w:val="231F20"/>
          <w:spacing w:val="-10"/>
          <w:w w:val="105"/>
        </w:rPr>
        <w:t> </w:t>
      </w:r>
      <w:r>
        <w:rPr>
          <w:color w:val="231F20"/>
          <w:w w:val="105"/>
        </w:rPr>
        <w:t>to</w:t>
      </w:r>
      <w:r>
        <w:rPr>
          <w:color w:val="231F20"/>
          <w:spacing w:val="-10"/>
          <w:w w:val="105"/>
        </w:rPr>
        <w:t> </w:t>
      </w:r>
      <w:r>
        <w:rPr>
          <w:color w:val="231F20"/>
          <w:w w:val="105"/>
        </w:rPr>
        <w:t>synthesize</w:t>
      </w:r>
      <w:r>
        <w:rPr>
          <w:color w:val="231F20"/>
          <w:spacing w:val="-10"/>
          <w:w w:val="105"/>
        </w:rPr>
        <w:t> </w:t>
      </w:r>
      <w:r>
        <w:rPr>
          <w:color w:val="231F20"/>
          <w:w w:val="105"/>
        </w:rPr>
        <w:t>enough</w:t>
      </w:r>
      <w:r>
        <w:rPr>
          <w:color w:val="231F20"/>
          <w:spacing w:val="-10"/>
          <w:w w:val="105"/>
        </w:rPr>
        <w:t> </w:t>
      </w:r>
      <w:r>
        <w:rPr>
          <w:color w:val="231F20"/>
          <w:w w:val="105"/>
        </w:rPr>
        <w:t>plasma</w:t>
      </w:r>
      <w:r>
        <w:rPr>
          <w:color w:val="231F20"/>
          <w:spacing w:val="-9"/>
          <w:w w:val="105"/>
        </w:rPr>
        <w:t> </w:t>
      </w:r>
      <w:r>
        <w:rPr>
          <w:color w:val="231F20"/>
          <w:w w:val="105"/>
        </w:rPr>
        <w:t>proteins. Cirrhosis</w:t>
      </w:r>
      <w:r>
        <w:rPr>
          <w:color w:val="231F20"/>
          <w:spacing w:val="-17"/>
          <w:w w:val="105"/>
        </w:rPr>
        <w:t> </w:t>
      </w:r>
      <w:r>
        <w:rPr>
          <w:color w:val="231F20"/>
          <w:w w:val="105"/>
        </w:rPr>
        <w:t>is</w:t>
      </w:r>
      <w:r>
        <w:rPr>
          <w:color w:val="231F20"/>
          <w:spacing w:val="-17"/>
          <w:w w:val="105"/>
        </w:rPr>
        <w:t> </w:t>
      </w:r>
      <w:r>
        <w:rPr>
          <w:color w:val="231F20"/>
          <w:w w:val="105"/>
        </w:rPr>
        <w:t>also</w:t>
      </w:r>
      <w:r>
        <w:rPr>
          <w:color w:val="231F20"/>
          <w:spacing w:val="-16"/>
          <w:w w:val="105"/>
        </w:rPr>
        <w:t> </w:t>
      </w:r>
      <w:r>
        <w:rPr>
          <w:color w:val="231F20"/>
          <w:w w:val="105"/>
        </w:rPr>
        <w:t>associated</w:t>
      </w:r>
      <w:r>
        <w:rPr>
          <w:color w:val="231F20"/>
          <w:spacing w:val="-17"/>
          <w:w w:val="105"/>
        </w:rPr>
        <w:t> </w:t>
      </w:r>
      <w:r>
        <w:rPr>
          <w:color w:val="231F20"/>
          <w:w w:val="105"/>
        </w:rPr>
        <w:t>with</w:t>
      </w:r>
      <w:r>
        <w:rPr>
          <w:color w:val="231F20"/>
          <w:spacing w:val="-16"/>
          <w:w w:val="105"/>
        </w:rPr>
        <w:t> </w:t>
      </w:r>
      <w:r>
        <w:rPr>
          <w:color w:val="231F20"/>
          <w:w w:val="105"/>
        </w:rPr>
        <w:t>large</w:t>
      </w:r>
      <w:r>
        <w:rPr>
          <w:color w:val="231F20"/>
          <w:spacing w:val="-17"/>
          <w:w w:val="105"/>
        </w:rPr>
        <w:t> </w:t>
      </w:r>
      <w:r>
        <w:rPr>
          <w:color w:val="231F20"/>
          <w:w w:val="105"/>
        </w:rPr>
        <w:t>amounts</w:t>
      </w:r>
      <w:r>
        <w:rPr>
          <w:color w:val="231F20"/>
          <w:spacing w:val="-16"/>
          <w:w w:val="105"/>
        </w:rPr>
        <w:t> </w:t>
      </w:r>
      <w:r>
        <w:rPr>
          <w:color w:val="231F20"/>
          <w:w w:val="105"/>
        </w:rPr>
        <w:t>of</w:t>
      </w:r>
      <w:r>
        <w:rPr>
          <w:color w:val="231F20"/>
          <w:spacing w:val="-17"/>
          <w:w w:val="105"/>
        </w:rPr>
        <w:t> </w:t>
      </w:r>
      <w:r>
        <w:rPr>
          <w:color w:val="231F20"/>
          <w:w w:val="105"/>
        </w:rPr>
        <w:t>fibrous tissue in the liver structure, which greatly impedes </w:t>
      </w:r>
      <w:r>
        <w:rPr>
          <w:color w:val="231F20"/>
          <w:spacing w:val="-5"/>
          <w:w w:val="105"/>
        </w:rPr>
        <w:t>the </w:t>
      </w:r>
      <w:r>
        <w:rPr>
          <w:color w:val="231F20"/>
          <w:w w:val="105"/>
        </w:rPr>
        <w:t>flow</w:t>
      </w:r>
      <w:r>
        <w:rPr>
          <w:color w:val="231F20"/>
          <w:spacing w:val="-12"/>
          <w:w w:val="105"/>
        </w:rPr>
        <w:t> </w:t>
      </w:r>
      <w:r>
        <w:rPr>
          <w:color w:val="231F20"/>
          <w:w w:val="105"/>
        </w:rPr>
        <w:t>of</w:t>
      </w:r>
      <w:r>
        <w:rPr>
          <w:color w:val="231F20"/>
          <w:spacing w:val="-12"/>
          <w:w w:val="105"/>
        </w:rPr>
        <w:t> </w:t>
      </w:r>
      <w:r>
        <w:rPr>
          <w:color w:val="231F20"/>
          <w:w w:val="105"/>
        </w:rPr>
        <w:t>portal</w:t>
      </w:r>
      <w:r>
        <w:rPr>
          <w:color w:val="231F20"/>
          <w:spacing w:val="-12"/>
          <w:w w:val="105"/>
        </w:rPr>
        <w:t> </w:t>
      </w:r>
      <w:r>
        <w:rPr>
          <w:color w:val="231F20"/>
          <w:w w:val="105"/>
        </w:rPr>
        <w:t>blood</w:t>
      </w:r>
      <w:r>
        <w:rPr>
          <w:color w:val="231F20"/>
          <w:spacing w:val="-11"/>
          <w:w w:val="105"/>
        </w:rPr>
        <w:t> </w:t>
      </w:r>
      <w:r>
        <w:rPr>
          <w:color w:val="231F20"/>
          <w:w w:val="105"/>
        </w:rPr>
        <w:t>through</w:t>
      </w:r>
      <w:r>
        <w:rPr>
          <w:color w:val="231F20"/>
          <w:spacing w:val="-12"/>
          <w:w w:val="105"/>
        </w:rPr>
        <w:t> </w:t>
      </w:r>
      <w:r>
        <w:rPr>
          <w:color w:val="231F20"/>
          <w:w w:val="105"/>
        </w:rPr>
        <w:t>the</w:t>
      </w:r>
      <w:r>
        <w:rPr>
          <w:color w:val="231F20"/>
          <w:spacing w:val="-12"/>
          <w:w w:val="105"/>
        </w:rPr>
        <w:t> </w:t>
      </w:r>
      <w:r>
        <w:rPr>
          <w:color w:val="231F20"/>
          <w:spacing w:val="-3"/>
          <w:w w:val="105"/>
        </w:rPr>
        <w:t>liver.</w:t>
      </w:r>
      <w:r>
        <w:rPr>
          <w:color w:val="231F20"/>
          <w:spacing w:val="-11"/>
          <w:w w:val="105"/>
        </w:rPr>
        <w:t> </w:t>
      </w:r>
      <w:r>
        <w:rPr>
          <w:color w:val="231F20"/>
          <w:w w:val="105"/>
        </w:rPr>
        <w:t>This</w:t>
      </w:r>
      <w:r>
        <w:rPr>
          <w:color w:val="231F20"/>
          <w:spacing w:val="-12"/>
          <w:w w:val="105"/>
        </w:rPr>
        <w:t> </w:t>
      </w:r>
      <w:r>
        <w:rPr>
          <w:color w:val="231F20"/>
          <w:w w:val="105"/>
        </w:rPr>
        <w:t>impedance</w:t>
      </w:r>
      <w:r>
        <w:rPr>
          <w:color w:val="231F20"/>
          <w:spacing w:val="-12"/>
          <w:w w:val="105"/>
        </w:rPr>
        <w:t> </w:t>
      </w:r>
      <w:r>
        <w:rPr>
          <w:color w:val="231F20"/>
          <w:w w:val="105"/>
        </w:rPr>
        <w:t>in turn raises capillary pressure throughout the portal vas- cular bed, which also contributes to the leakage of</w:t>
      </w:r>
      <w:r>
        <w:rPr>
          <w:color w:val="231F20"/>
          <w:spacing w:val="7"/>
          <w:w w:val="105"/>
        </w:rPr>
        <w:t> </w:t>
      </w:r>
      <w:r>
        <w:rPr>
          <w:color w:val="231F20"/>
          <w:w w:val="105"/>
        </w:rPr>
        <w:t>fluid</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930"/>
          <w:pgSz w:w="12240" w:h="15660"/>
          <w:pgMar w:header="0" w:footer="567" w:top="0" w:bottom="760" w:left="0" w:right="0"/>
        </w:sectPr>
      </w:pPr>
    </w:p>
    <w:p>
      <w:pPr>
        <w:pStyle w:val="BodyText"/>
        <w:spacing w:before="100"/>
        <w:ind w:left="1440"/>
      </w:pPr>
      <w:r>
        <w:rPr/>
        <w:pict>
          <v:group style="position:absolute;margin-left:0pt;margin-top:0pt;width:612pt;height:180pt;mso-position-horizontal-relative:page;mso-position-vertical-relative:page;z-index:-27269529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4228" w:right="0" w:firstLine="0"/>
                      <w:jc w:val="left"/>
                      <w:rPr>
                        <w:rFonts w:ascii="Trebuchet MS"/>
                        <w:sz w:val="18"/>
                      </w:rPr>
                    </w:pPr>
                    <w:r>
                      <w:rPr>
                        <w:rFonts w:ascii="Trebuchet MS"/>
                        <w:b/>
                        <w:color w:val="231F20"/>
                        <w:w w:val="105"/>
                        <w:sz w:val="18"/>
                      </w:rPr>
                      <w:t>Chapter 30 </w:t>
                    </w:r>
                    <w:r>
                      <w:rPr>
                        <w:rFonts w:ascii="Trebuchet MS"/>
                        <w:color w:val="231F20"/>
                        <w:w w:val="105"/>
                        <w:sz w:val="18"/>
                      </w:rPr>
                      <w:t>Renal Regulation of Potassium, Calcium, Phosphate, and Magnesium</w:t>
                    </w:r>
                  </w:p>
                </w:txbxContent>
              </v:textbox>
              <v:fill type="solid"/>
              <w10:wrap type="none"/>
            </v:shape>
            <w10:wrap type="none"/>
          </v:group>
        </w:pict>
      </w:r>
      <w:r>
        <w:rPr>
          <w:color w:val="231F20"/>
          <w:w w:val="105"/>
        </w:rPr>
        <w:t>and</w:t>
      </w:r>
      <w:r>
        <w:rPr>
          <w:color w:val="231F20"/>
          <w:spacing w:val="-14"/>
          <w:w w:val="105"/>
        </w:rPr>
        <w:t> </w:t>
      </w:r>
      <w:r>
        <w:rPr>
          <w:color w:val="231F20"/>
          <w:w w:val="105"/>
        </w:rPr>
        <w:t>proteins</w:t>
      </w:r>
      <w:r>
        <w:rPr>
          <w:color w:val="231F20"/>
          <w:spacing w:val="-13"/>
          <w:w w:val="105"/>
        </w:rPr>
        <w:t> </w:t>
      </w:r>
      <w:r>
        <w:rPr>
          <w:color w:val="231F20"/>
          <w:w w:val="105"/>
        </w:rPr>
        <w:t>into</w:t>
      </w:r>
      <w:r>
        <w:rPr>
          <w:color w:val="231F20"/>
          <w:spacing w:val="-13"/>
          <w:w w:val="105"/>
        </w:rPr>
        <w:t> </w:t>
      </w:r>
      <w:r>
        <w:rPr>
          <w:color w:val="231F20"/>
          <w:w w:val="105"/>
        </w:rPr>
        <w:t>the</w:t>
      </w:r>
      <w:r>
        <w:rPr>
          <w:color w:val="231F20"/>
          <w:spacing w:val="-13"/>
          <w:w w:val="105"/>
        </w:rPr>
        <w:t> </w:t>
      </w:r>
      <w:r>
        <w:rPr>
          <w:color w:val="231F20"/>
          <w:w w:val="105"/>
        </w:rPr>
        <w:t>peritoneal</w:t>
      </w:r>
      <w:r>
        <w:rPr>
          <w:color w:val="231F20"/>
          <w:spacing w:val="-13"/>
          <w:w w:val="105"/>
        </w:rPr>
        <w:t> </w:t>
      </w:r>
      <w:r>
        <w:rPr>
          <w:color w:val="231F20"/>
          <w:w w:val="105"/>
        </w:rPr>
        <w:t>cavity,</w:t>
      </w:r>
      <w:r>
        <w:rPr>
          <w:color w:val="231F20"/>
          <w:spacing w:val="-13"/>
          <w:w w:val="105"/>
        </w:rPr>
        <w:t> </w:t>
      </w:r>
      <w:r>
        <w:rPr>
          <w:color w:val="231F20"/>
          <w:w w:val="105"/>
        </w:rPr>
        <w:t>a</w:t>
      </w:r>
      <w:r>
        <w:rPr>
          <w:color w:val="231F20"/>
          <w:spacing w:val="-13"/>
          <w:w w:val="105"/>
        </w:rPr>
        <w:t> </w:t>
      </w:r>
      <w:r>
        <w:rPr>
          <w:color w:val="231F20"/>
          <w:w w:val="105"/>
        </w:rPr>
        <w:t>condition</w:t>
      </w:r>
      <w:r>
        <w:rPr>
          <w:color w:val="231F20"/>
          <w:spacing w:val="-13"/>
          <w:w w:val="105"/>
        </w:rPr>
        <w:t> </w:t>
      </w:r>
      <w:r>
        <w:rPr>
          <w:color w:val="231F20"/>
          <w:w w:val="105"/>
        </w:rPr>
        <w:t>called</w:t>
      </w:r>
    </w:p>
    <w:p>
      <w:pPr>
        <w:spacing w:before="10"/>
        <w:ind w:left="1440" w:right="0" w:firstLine="0"/>
        <w:jc w:val="left"/>
        <w:rPr>
          <w:i/>
          <w:sz w:val="20"/>
        </w:rPr>
      </w:pPr>
      <w:r>
        <w:rPr>
          <w:i/>
          <w:color w:val="231F20"/>
          <w:sz w:val="20"/>
        </w:rPr>
        <w:t>ascites.</w:t>
      </w:r>
    </w:p>
    <w:p>
      <w:pPr>
        <w:pStyle w:val="BodyText"/>
        <w:spacing w:line="249" w:lineRule="auto" w:before="10"/>
        <w:ind w:left="1440" w:firstLine="240"/>
        <w:jc w:val="both"/>
      </w:pPr>
      <w:r>
        <w:rPr>
          <w:color w:val="231F20"/>
        </w:rPr>
        <w:t>Once fluid and protein are lost from the </w:t>
      </w:r>
      <w:r>
        <w:rPr>
          <w:color w:val="231F20"/>
          <w:spacing w:val="-3"/>
        </w:rPr>
        <w:t>circulation,   </w:t>
      </w:r>
      <w:r>
        <w:rPr>
          <w:color w:val="231F20"/>
        </w:rPr>
        <w:t>the renal responses are similar to those observed in </w:t>
      </w:r>
      <w:r>
        <w:rPr>
          <w:color w:val="231F20"/>
          <w:spacing w:val="-4"/>
        </w:rPr>
        <w:t>other </w:t>
      </w:r>
      <w:r>
        <w:rPr>
          <w:color w:val="231F20"/>
        </w:rPr>
        <w:t>conditions associated with decreased plasma volume. That is, the kidneys continue to retain salt and water </w:t>
      </w:r>
      <w:r>
        <w:rPr>
          <w:color w:val="231F20"/>
          <w:spacing w:val="-5"/>
        </w:rPr>
        <w:t>until </w:t>
      </w:r>
      <w:r>
        <w:rPr>
          <w:color w:val="231F20"/>
        </w:rPr>
        <w:t>plasma volume and arterial pressure are restored </w:t>
      </w:r>
      <w:r>
        <w:rPr>
          <w:color w:val="231F20"/>
          <w:spacing w:val="-8"/>
        </w:rPr>
        <w:t>to </w:t>
      </w:r>
      <w:r>
        <w:rPr>
          <w:color w:val="231F20"/>
        </w:rPr>
        <w:t>normal. In some cases, plasma volume may </w:t>
      </w:r>
      <w:r>
        <w:rPr>
          <w:color w:val="231F20"/>
          <w:spacing w:val="-3"/>
        </w:rPr>
        <w:t>actually </w:t>
      </w:r>
      <w:r>
        <w:rPr>
          <w:color w:val="231F20"/>
        </w:rPr>
        <w:t>increase above normal because of increased vascular capacity in cirrhosis; the high pressures in the portal cir- culation can greatly distend veins and therefore increase vascular</w:t>
      </w:r>
      <w:r>
        <w:rPr>
          <w:color w:val="231F20"/>
          <w:spacing w:val="5"/>
        </w:rPr>
        <w:t> </w:t>
      </w:r>
      <w:r>
        <w:rPr>
          <w:color w:val="231F20"/>
        </w:rPr>
        <w:t>capacity.</w:t>
      </w:r>
    </w:p>
    <w:p>
      <w:pPr>
        <w:pStyle w:val="BodyText"/>
        <w:spacing w:before="1"/>
        <w:rPr>
          <w:sz w:val="32"/>
        </w:rPr>
      </w:pPr>
    </w:p>
    <w:p>
      <w:pPr>
        <w:pStyle w:val="Heading1"/>
        <w:ind w:left="1440"/>
      </w:pPr>
      <w:r>
        <w:rPr>
          <w:color w:val="231F20"/>
        </w:rPr>
        <w:t>Bibliography</w:t>
      </w:r>
    </w:p>
    <w:p>
      <w:pPr>
        <w:spacing w:line="261" w:lineRule="auto" w:before="99"/>
        <w:ind w:left="1098" w:right="0" w:firstLine="0"/>
        <w:jc w:val="right"/>
        <w:rPr>
          <w:rFonts w:ascii="Arial"/>
          <w:sz w:val="16"/>
        </w:rPr>
      </w:pPr>
      <w:r>
        <w:rPr>
          <w:rFonts w:ascii="Arial"/>
          <w:color w:val="231F20"/>
          <w:sz w:val="16"/>
        </w:rPr>
        <w:t>Alexander RT, Dimke H, Cordat E: Proximal tubular NHEs: sodium,</w:t>
      </w:r>
      <w:r>
        <w:rPr>
          <w:rFonts w:ascii="Arial"/>
          <w:color w:val="231F20"/>
          <w:w w:val="96"/>
          <w:sz w:val="16"/>
        </w:rPr>
        <w:t> </w:t>
      </w:r>
      <w:r>
        <w:rPr>
          <w:rFonts w:ascii="Arial"/>
          <w:color w:val="231F20"/>
          <w:sz w:val="16"/>
        </w:rPr>
        <w:t>protons and calcium? Am J Physiol Renal Physiol 305:F229, 2013.</w:t>
      </w:r>
    </w:p>
    <w:p>
      <w:pPr>
        <w:spacing w:line="261" w:lineRule="auto" w:before="0"/>
        <w:ind w:left="1600" w:right="0" w:hanging="160"/>
        <w:jc w:val="left"/>
        <w:rPr>
          <w:rFonts w:ascii="Arial"/>
          <w:sz w:val="16"/>
        </w:rPr>
      </w:pPr>
      <w:r>
        <w:rPr>
          <w:rFonts w:ascii="Arial"/>
          <w:color w:val="231F20"/>
          <w:sz w:val="16"/>
        </w:rPr>
        <w:t>Biber J, Hernando N, Forster I, Murer H: Regulation of phosphate transport in proximal tubules. Pflugers Arch 458:39, 2009.</w:t>
      </w:r>
    </w:p>
    <w:p>
      <w:pPr>
        <w:spacing w:line="261" w:lineRule="auto" w:before="0"/>
        <w:ind w:left="1600" w:right="-9" w:hanging="160"/>
        <w:jc w:val="left"/>
        <w:rPr>
          <w:rFonts w:ascii="Arial" w:hAnsi="Arial"/>
          <w:sz w:val="16"/>
        </w:rPr>
      </w:pPr>
      <w:r>
        <w:rPr>
          <w:rFonts w:ascii="Arial" w:hAnsi="Arial"/>
          <w:color w:val="231F20"/>
          <w:sz w:val="16"/>
        </w:rPr>
        <w:t>Blaine</w:t>
      </w:r>
      <w:r>
        <w:rPr>
          <w:rFonts w:ascii="Arial" w:hAnsi="Arial"/>
          <w:color w:val="231F20"/>
          <w:spacing w:val="-18"/>
          <w:sz w:val="16"/>
        </w:rPr>
        <w:t> </w:t>
      </w:r>
      <w:r>
        <w:rPr>
          <w:rFonts w:ascii="Arial" w:hAnsi="Arial"/>
          <w:color w:val="231F20"/>
          <w:sz w:val="16"/>
        </w:rPr>
        <w:t>J,</w:t>
      </w:r>
      <w:r>
        <w:rPr>
          <w:rFonts w:ascii="Arial" w:hAnsi="Arial"/>
          <w:color w:val="231F20"/>
          <w:spacing w:val="-17"/>
          <w:sz w:val="16"/>
        </w:rPr>
        <w:t> </w:t>
      </w:r>
      <w:r>
        <w:rPr>
          <w:rFonts w:ascii="Arial" w:hAnsi="Arial"/>
          <w:color w:val="231F20"/>
          <w:sz w:val="16"/>
        </w:rPr>
        <w:t>Weinman</w:t>
      </w:r>
      <w:r>
        <w:rPr>
          <w:rFonts w:ascii="Arial" w:hAnsi="Arial"/>
          <w:color w:val="231F20"/>
          <w:spacing w:val="-17"/>
          <w:sz w:val="16"/>
        </w:rPr>
        <w:t> </w:t>
      </w:r>
      <w:r>
        <w:rPr>
          <w:rFonts w:ascii="Arial" w:hAnsi="Arial"/>
          <w:color w:val="231F20"/>
          <w:sz w:val="16"/>
        </w:rPr>
        <w:t>EJ,</w:t>
      </w:r>
      <w:r>
        <w:rPr>
          <w:rFonts w:ascii="Arial" w:hAnsi="Arial"/>
          <w:color w:val="231F20"/>
          <w:spacing w:val="-17"/>
          <w:sz w:val="16"/>
        </w:rPr>
        <w:t> </w:t>
      </w:r>
      <w:r>
        <w:rPr>
          <w:rFonts w:ascii="Arial" w:hAnsi="Arial"/>
          <w:color w:val="231F20"/>
          <w:sz w:val="16"/>
        </w:rPr>
        <w:t>Cunningham</w:t>
      </w:r>
      <w:r>
        <w:rPr>
          <w:rFonts w:ascii="Arial" w:hAnsi="Arial"/>
          <w:color w:val="231F20"/>
          <w:spacing w:val="-17"/>
          <w:sz w:val="16"/>
        </w:rPr>
        <w:t> </w:t>
      </w:r>
      <w:r>
        <w:rPr>
          <w:rFonts w:ascii="Arial" w:hAnsi="Arial"/>
          <w:color w:val="231F20"/>
          <w:sz w:val="16"/>
        </w:rPr>
        <w:t>R:</w:t>
      </w:r>
      <w:r>
        <w:rPr>
          <w:rFonts w:ascii="Arial" w:hAnsi="Arial"/>
          <w:color w:val="231F20"/>
          <w:spacing w:val="-17"/>
          <w:sz w:val="16"/>
        </w:rPr>
        <w:t> </w:t>
      </w:r>
      <w:r>
        <w:rPr>
          <w:rFonts w:ascii="Arial" w:hAnsi="Arial"/>
          <w:color w:val="231F20"/>
          <w:sz w:val="16"/>
        </w:rPr>
        <w:t>The</w:t>
      </w:r>
      <w:r>
        <w:rPr>
          <w:rFonts w:ascii="Arial" w:hAnsi="Arial"/>
          <w:color w:val="231F20"/>
          <w:spacing w:val="-17"/>
          <w:sz w:val="16"/>
        </w:rPr>
        <w:t> </w:t>
      </w:r>
      <w:r>
        <w:rPr>
          <w:rFonts w:ascii="Arial" w:hAnsi="Arial"/>
          <w:color w:val="231F20"/>
          <w:sz w:val="16"/>
        </w:rPr>
        <w:t>regulation</w:t>
      </w:r>
      <w:r>
        <w:rPr>
          <w:rFonts w:ascii="Arial" w:hAnsi="Arial"/>
          <w:color w:val="231F20"/>
          <w:spacing w:val="-17"/>
          <w:sz w:val="16"/>
        </w:rPr>
        <w:t> </w:t>
      </w:r>
      <w:r>
        <w:rPr>
          <w:rFonts w:ascii="Arial" w:hAnsi="Arial"/>
          <w:color w:val="231F20"/>
          <w:sz w:val="16"/>
        </w:rPr>
        <w:t>of</w:t>
      </w:r>
      <w:r>
        <w:rPr>
          <w:rFonts w:ascii="Arial" w:hAnsi="Arial"/>
          <w:color w:val="231F20"/>
          <w:spacing w:val="-17"/>
          <w:sz w:val="16"/>
        </w:rPr>
        <w:t> </w:t>
      </w:r>
      <w:r>
        <w:rPr>
          <w:rFonts w:ascii="Arial" w:hAnsi="Arial"/>
          <w:color w:val="231F20"/>
          <w:sz w:val="16"/>
        </w:rPr>
        <w:t>renal</w:t>
      </w:r>
      <w:r>
        <w:rPr>
          <w:rFonts w:ascii="Arial" w:hAnsi="Arial"/>
          <w:color w:val="231F20"/>
          <w:spacing w:val="-17"/>
          <w:sz w:val="16"/>
        </w:rPr>
        <w:t> </w:t>
      </w:r>
      <w:r>
        <w:rPr>
          <w:rFonts w:ascii="Arial" w:hAnsi="Arial"/>
          <w:color w:val="231F20"/>
          <w:spacing w:val="-3"/>
          <w:sz w:val="16"/>
        </w:rPr>
        <w:t>phos­ </w:t>
      </w:r>
      <w:r>
        <w:rPr>
          <w:rFonts w:ascii="Arial" w:hAnsi="Arial"/>
          <w:color w:val="231F20"/>
          <w:sz w:val="16"/>
        </w:rPr>
        <w:t>phate transport. Adv Chronic Kidney Dis 18:77,</w:t>
      </w:r>
      <w:r>
        <w:rPr>
          <w:rFonts w:ascii="Arial" w:hAnsi="Arial"/>
          <w:color w:val="231F20"/>
          <w:spacing w:val="23"/>
          <w:sz w:val="16"/>
        </w:rPr>
        <w:t> </w:t>
      </w:r>
      <w:r>
        <w:rPr>
          <w:rFonts w:ascii="Arial" w:hAnsi="Arial"/>
          <w:color w:val="231F20"/>
          <w:sz w:val="16"/>
        </w:rPr>
        <w:t>2011.</w:t>
      </w:r>
    </w:p>
    <w:p>
      <w:pPr>
        <w:spacing w:line="261" w:lineRule="auto" w:before="0"/>
        <w:ind w:left="1600" w:right="0" w:hanging="160"/>
        <w:jc w:val="left"/>
        <w:rPr>
          <w:rFonts w:ascii="Arial" w:hAnsi="Arial"/>
          <w:sz w:val="16"/>
        </w:rPr>
      </w:pPr>
      <w:r>
        <w:rPr>
          <w:rFonts w:ascii="Arial" w:hAnsi="Arial"/>
          <w:color w:val="231F20"/>
          <w:sz w:val="16"/>
        </w:rPr>
        <w:t>Cowley AW Jr: Long­term control of arterial pressure. Physiol Rev 72:231, 1992.</w:t>
      </w:r>
    </w:p>
    <w:p>
      <w:pPr>
        <w:spacing w:line="261" w:lineRule="auto" w:before="0"/>
        <w:ind w:left="1600" w:right="-20" w:hanging="160"/>
        <w:jc w:val="left"/>
        <w:rPr>
          <w:rFonts w:ascii="Arial" w:hAnsi="Arial"/>
          <w:sz w:val="16"/>
        </w:rPr>
      </w:pPr>
      <w:r>
        <w:rPr>
          <w:rFonts w:ascii="Arial" w:hAnsi="Arial"/>
          <w:color w:val="231F20"/>
          <w:w w:val="95"/>
          <w:sz w:val="16"/>
        </w:rPr>
        <w:t>Ferrè S, Hoenderop JG, Bindels RJ: Sensing mechanisms involved in </w:t>
      </w:r>
      <w:r>
        <w:rPr>
          <w:rFonts w:ascii="Arial" w:hAnsi="Arial"/>
          <w:color w:val="231F20"/>
          <w:sz w:val="16"/>
        </w:rPr>
        <w:t>Ca</w:t>
      </w:r>
      <w:r>
        <w:rPr>
          <w:rFonts w:ascii="Arial" w:hAnsi="Arial"/>
          <w:color w:val="231F20"/>
          <w:position w:val="6"/>
          <w:sz w:val="9"/>
        </w:rPr>
        <w:t>2</w:t>
      </w:r>
      <w:r>
        <w:rPr>
          <w:rFonts w:ascii="Consolas" w:hAnsi="Consolas"/>
          <w:color w:val="231F20"/>
          <w:position w:val="6"/>
          <w:sz w:val="9"/>
        </w:rPr>
        <w:t>+ </w:t>
      </w:r>
      <w:r>
        <w:rPr>
          <w:rFonts w:ascii="Arial" w:hAnsi="Arial"/>
          <w:color w:val="231F20"/>
          <w:sz w:val="16"/>
        </w:rPr>
        <w:t>and Mg</w:t>
      </w:r>
      <w:r>
        <w:rPr>
          <w:rFonts w:ascii="Arial" w:hAnsi="Arial"/>
          <w:color w:val="231F20"/>
          <w:position w:val="6"/>
          <w:sz w:val="9"/>
        </w:rPr>
        <w:t>2</w:t>
      </w:r>
      <w:r>
        <w:rPr>
          <w:rFonts w:ascii="Consolas" w:hAnsi="Consolas"/>
          <w:color w:val="231F20"/>
          <w:position w:val="6"/>
          <w:sz w:val="9"/>
        </w:rPr>
        <w:t>+ </w:t>
      </w:r>
      <w:r>
        <w:rPr>
          <w:rFonts w:ascii="Arial" w:hAnsi="Arial"/>
          <w:color w:val="231F20"/>
          <w:sz w:val="16"/>
        </w:rPr>
        <w:t>homeostasis. Kidney Int 82:1157, 2012.</w:t>
      </w:r>
    </w:p>
    <w:p>
      <w:pPr>
        <w:spacing w:line="261" w:lineRule="auto" w:before="0"/>
        <w:ind w:left="1600" w:right="-8" w:hanging="160"/>
        <w:jc w:val="left"/>
        <w:rPr>
          <w:rFonts w:ascii="Arial"/>
          <w:sz w:val="16"/>
        </w:rPr>
      </w:pPr>
      <w:r>
        <w:rPr>
          <w:rFonts w:ascii="Arial"/>
          <w:color w:val="231F20"/>
          <w:sz w:val="16"/>
        </w:rPr>
        <w:t>Giebisch</w:t>
      </w:r>
      <w:r>
        <w:rPr>
          <w:rFonts w:ascii="Arial"/>
          <w:color w:val="231F20"/>
          <w:spacing w:val="-14"/>
          <w:sz w:val="16"/>
        </w:rPr>
        <w:t> </w:t>
      </w:r>
      <w:r>
        <w:rPr>
          <w:rFonts w:ascii="Arial"/>
          <w:color w:val="231F20"/>
          <w:sz w:val="16"/>
        </w:rPr>
        <w:t>G,</w:t>
      </w:r>
      <w:r>
        <w:rPr>
          <w:rFonts w:ascii="Arial"/>
          <w:color w:val="231F20"/>
          <w:spacing w:val="-13"/>
          <w:sz w:val="16"/>
        </w:rPr>
        <w:t> </w:t>
      </w:r>
      <w:r>
        <w:rPr>
          <w:rFonts w:ascii="Arial"/>
          <w:color w:val="231F20"/>
          <w:sz w:val="16"/>
        </w:rPr>
        <w:t>Hebert</w:t>
      </w:r>
      <w:r>
        <w:rPr>
          <w:rFonts w:ascii="Arial"/>
          <w:color w:val="231F20"/>
          <w:spacing w:val="-14"/>
          <w:sz w:val="16"/>
        </w:rPr>
        <w:t> </w:t>
      </w:r>
      <w:r>
        <w:rPr>
          <w:rFonts w:ascii="Arial"/>
          <w:color w:val="231F20"/>
          <w:sz w:val="16"/>
        </w:rPr>
        <w:t>SC,</w:t>
      </w:r>
      <w:r>
        <w:rPr>
          <w:rFonts w:ascii="Arial"/>
          <w:color w:val="231F20"/>
          <w:spacing w:val="-13"/>
          <w:sz w:val="16"/>
        </w:rPr>
        <w:t> </w:t>
      </w:r>
      <w:r>
        <w:rPr>
          <w:rFonts w:ascii="Arial"/>
          <w:color w:val="231F20"/>
          <w:sz w:val="16"/>
        </w:rPr>
        <w:t>Wang</w:t>
      </w:r>
      <w:r>
        <w:rPr>
          <w:rFonts w:ascii="Arial"/>
          <w:color w:val="231F20"/>
          <w:spacing w:val="-13"/>
          <w:sz w:val="16"/>
        </w:rPr>
        <w:t> </w:t>
      </w:r>
      <w:r>
        <w:rPr>
          <w:rFonts w:ascii="Arial"/>
          <w:color w:val="231F20"/>
          <w:sz w:val="16"/>
        </w:rPr>
        <w:t>WH:</w:t>
      </w:r>
      <w:r>
        <w:rPr>
          <w:rFonts w:ascii="Arial"/>
          <w:color w:val="231F20"/>
          <w:spacing w:val="-13"/>
          <w:sz w:val="16"/>
        </w:rPr>
        <w:t> </w:t>
      </w:r>
      <w:r>
        <w:rPr>
          <w:rFonts w:ascii="Arial"/>
          <w:color w:val="231F20"/>
          <w:sz w:val="16"/>
        </w:rPr>
        <w:t>New</w:t>
      </w:r>
      <w:r>
        <w:rPr>
          <w:rFonts w:ascii="Arial"/>
          <w:color w:val="231F20"/>
          <w:spacing w:val="-13"/>
          <w:sz w:val="16"/>
        </w:rPr>
        <w:t> </w:t>
      </w:r>
      <w:r>
        <w:rPr>
          <w:rFonts w:ascii="Arial"/>
          <w:color w:val="231F20"/>
          <w:sz w:val="16"/>
        </w:rPr>
        <w:t>aspects</w:t>
      </w:r>
      <w:r>
        <w:rPr>
          <w:rFonts w:ascii="Arial"/>
          <w:color w:val="231F20"/>
          <w:spacing w:val="-14"/>
          <w:sz w:val="16"/>
        </w:rPr>
        <w:t> </w:t>
      </w:r>
      <w:r>
        <w:rPr>
          <w:rFonts w:ascii="Arial"/>
          <w:color w:val="231F20"/>
          <w:sz w:val="16"/>
        </w:rPr>
        <w:t>of</w:t>
      </w:r>
      <w:r>
        <w:rPr>
          <w:rFonts w:ascii="Arial"/>
          <w:color w:val="231F20"/>
          <w:spacing w:val="-13"/>
          <w:sz w:val="16"/>
        </w:rPr>
        <w:t> </w:t>
      </w:r>
      <w:r>
        <w:rPr>
          <w:rFonts w:ascii="Arial"/>
          <w:color w:val="231F20"/>
          <w:sz w:val="16"/>
        </w:rPr>
        <w:t>renal</w:t>
      </w:r>
      <w:r>
        <w:rPr>
          <w:rFonts w:ascii="Arial"/>
          <w:color w:val="231F20"/>
          <w:spacing w:val="-13"/>
          <w:sz w:val="16"/>
        </w:rPr>
        <w:t> </w:t>
      </w:r>
      <w:r>
        <w:rPr>
          <w:rFonts w:ascii="Arial"/>
          <w:color w:val="231F20"/>
          <w:sz w:val="16"/>
        </w:rPr>
        <w:t>potassium transport. Pflugers Arch 446:289,</w:t>
      </w:r>
      <w:r>
        <w:rPr>
          <w:rFonts w:ascii="Arial"/>
          <w:color w:val="231F20"/>
          <w:spacing w:val="25"/>
          <w:sz w:val="16"/>
        </w:rPr>
        <w:t> </w:t>
      </w:r>
      <w:r>
        <w:rPr>
          <w:rFonts w:ascii="Arial"/>
          <w:color w:val="231F20"/>
          <w:sz w:val="16"/>
        </w:rPr>
        <w:t>2003.</w:t>
      </w:r>
    </w:p>
    <w:p>
      <w:pPr>
        <w:spacing w:line="261" w:lineRule="auto" w:before="0"/>
        <w:ind w:left="1600" w:right="-7" w:hanging="160"/>
        <w:jc w:val="left"/>
        <w:rPr>
          <w:rFonts w:ascii="Arial" w:hAnsi="Arial"/>
          <w:sz w:val="16"/>
        </w:rPr>
      </w:pPr>
      <w:r>
        <w:rPr>
          <w:rFonts w:ascii="Arial" w:hAnsi="Arial"/>
          <w:color w:val="231F20"/>
          <w:sz w:val="16"/>
        </w:rPr>
        <w:t>Guyton</w:t>
      </w:r>
      <w:r>
        <w:rPr>
          <w:rFonts w:ascii="Arial" w:hAnsi="Arial"/>
          <w:color w:val="231F20"/>
          <w:spacing w:val="-12"/>
          <w:sz w:val="16"/>
        </w:rPr>
        <w:t> </w:t>
      </w:r>
      <w:r>
        <w:rPr>
          <w:rFonts w:ascii="Arial" w:hAnsi="Arial"/>
          <w:color w:val="231F20"/>
          <w:sz w:val="16"/>
        </w:rPr>
        <w:t>AC:</w:t>
      </w:r>
      <w:r>
        <w:rPr>
          <w:rFonts w:ascii="Arial" w:hAnsi="Arial"/>
          <w:color w:val="231F20"/>
          <w:spacing w:val="-11"/>
          <w:sz w:val="16"/>
        </w:rPr>
        <w:t> </w:t>
      </w:r>
      <w:r>
        <w:rPr>
          <w:rFonts w:ascii="Arial" w:hAnsi="Arial"/>
          <w:color w:val="231F20"/>
          <w:sz w:val="16"/>
        </w:rPr>
        <w:t>Blood</w:t>
      </w:r>
      <w:r>
        <w:rPr>
          <w:rFonts w:ascii="Arial" w:hAnsi="Arial"/>
          <w:color w:val="231F20"/>
          <w:spacing w:val="-11"/>
          <w:sz w:val="16"/>
        </w:rPr>
        <w:t> </w:t>
      </w:r>
      <w:r>
        <w:rPr>
          <w:rFonts w:ascii="Arial" w:hAnsi="Arial"/>
          <w:color w:val="231F20"/>
          <w:sz w:val="16"/>
        </w:rPr>
        <w:t>pressure</w:t>
      </w:r>
      <w:r>
        <w:rPr>
          <w:rFonts w:ascii="Arial" w:hAnsi="Arial"/>
          <w:color w:val="231F20"/>
          <w:spacing w:val="-12"/>
          <w:sz w:val="16"/>
        </w:rPr>
        <w:t> </w:t>
      </w:r>
      <w:r>
        <w:rPr>
          <w:rFonts w:ascii="Arial" w:hAnsi="Arial"/>
          <w:color w:val="231F20"/>
          <w:sz w:val="16"/>
        </w:rPr>
        <w:t>control—special</w:t>
      </w:r>
      <w:r>
        <w:rPr>
          <w:rFonts w:ascii="Arial" w:hAnsi="Arial"/>
          <w:color w:val="231F20"/>
          <w:spacing w:val="-11"/>
          <w:sz w:val="16"/>
        </w:rPr>
        <w:t> </w:t>
      </w:r>
      <w:r>
        <w:rPr>
          <w:rFonts w:ascii="Arial" w:hAnsi="Arial"/>
          <w:color w:val="231F20"/>
          <w:sz w:val="16"/>
        </w:rPr>
        <w:t>role</w:t>
      </w:r>
      <w:r>
        <w:rPr>
          <w:rFonts w:ascii="Arial" w:hAnsi="Arial"/>
          <w:color w:val="231F20"/>
          <w:spacing w:val="-11"/>
          <w:sz w:val="16"/>
        </w:rPr>
        <w:t> </w:t>
      </w:r>
      <w:r>
        <w:rPr>
          <w:rFonts w:ascii="Arial" w:hAnsi="Arial"/>
          <w:color w:val="231F20"/>
          <w:sz w:val="16"/>
        </w:rPr>
        <w:t>of</w:t>
      </w:r>
      <w:r>
        <w:rPr>
          <w:rFonts w:ascii="Arial" w:hAnsi="Arial"/>
          <w:color w:val="231F20"/>
          <w:spacing w:val="-11"/>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kidneys</w:t>
      </w:r>
      <w:r>
        <w:rPr>
          <w:rFonts w:ascii="Arial" w:hAnsi="Arial"/>
          <w:color w:val="231F20"/>
          <w:spacing w:val="-11"/>
          <w:sz w:val="16"/>
        </w:rPr>
        <w:t> </w:t>
      </w:r>
      <w:r>
        <w:rPr>
          <w:rFonts w:ascii="Arial" w:hAnsi="Arial"/>
          <w:color w:val="231F20"/>
          <w:spacing w:val="-5"/>
          <w:sz w:val="16"/>
        </w:rPr>
        <w:t>and </w:t>
      </w:r>
      <w:r>
        <w:rPr>
          <w:rFonts w:ascii="Arial" w:hAnsi="Arial"/>
          <w:color w:val="231F20"/>
          <w:sz w:val="16"/>
        </w:rPr>
        <w:t>body fluids. Science 252:1813,</w:t>
      </w:r>
      <w:r>
        <w:rPr>
          <w:rFonts w:ascii="Arial" w:hAnsi="Arial"/>
          <w:color w:val="231F20"/>
          <w:spacing w:val="24"/>
          <w:sz w:val="16"/>
        </w:rPr>
        <w:t> </w:t>
      </w:r>
      <w:r>
        <w:rPr>
          <w:rFonts w:ascii="Arial" w:hAnsi="Arial"/>
          <w:color w:val="231F20"/>
          <w:sz w:val="16"/>
        </w:rPr>
        <w:t>1991.</w:t>
      </w:r>
    </w:p>
    <w:p>
      <w:pPr>
        <w:spacing w:line="261" w:lineRule="auto" w:before="0"/>
        <w:ind w:left="1600" w:right="-10" w:hanging="160"/>
        <w:jc w:val="left"/>
        <w:rPr>
          <w:rFonts w:ascii="Arial"/>
          <w:sz w:val="16"/>
        </w:rPr>
      </w:pPr>
      <w:r>
        <w:rPr>
          <w:rFonts w:ascii="Arial"/>
          <w:color w:val="231F20"/>
          <w:sz w:val="16"/>
        </w:rPr>
        <w:t>Hall</w:t>
      </w:r>
      <w:r>
        <w:rPr>
          <w:rFonts w:ascii="Arial"/>
          <w:color w:val="231F20"/>
          <w:spacing w:val="-24"/>
          <w:sz w:val="16"/>
        </w:rPr>
        <w:t> </w:t>
      </w:r>
      <w:r>
        <w:rPr>
          <w:rFonts w:ascii="Arial"/>
          <w:color w:val="231F20"/>
          <w:sz w:val="16"/>
        </w:rPr>
        <w:t>JE:</w:t>
      </w:r>
      <w:r>
        <w:rPr>
          <w:rFonts w:ascii="Arial"/>
          <w:color w:val="231F20"/>
          <w:spacing w:val="-23"/>
          <w:sz w:val="16"/>
        </w:rPr>
        <w:t> </w:t>
      </w:r>
      <w:r>
        <w:rPr>
          <w:rFonts w:ascii="Arial"/>
          <w:color w:val="231F20"/>
          <w:sz w:val="16"/>
        </w:rPr>
        <w:t>The</w:t>
      </w:r>
      <w:r>
        <w:rPr>
          <w:rFonts w:ascii="Arial"/>
          <w:color w:val="231F20"/>
          <w:spacing w:val="-24"/>
          <w:sz w:val="16"/>
        </w:rPr>
        <w:t> </w:t>
      </w:r>
      <w:r>
        <w:rPr>
          <w:rFonts w:ascii="Arial"/>
          <w:color w:val="231F20"/>
          <w:spacing w:val="-3"/>
          <w:sz w:val="16"/>
        </w:rPr>
        <w:t>kidney,</w:t>
      </w:r>
      <w:r>
        <w:rPr>
          <w:rFonts w:ascii="Arial"/>
          <w:color w:val="231F20"/>
          <w:spacing w:val="-23"/>
          <w:sz w:val="16"/>
        </w:rPr>
        <w:t> </w:t>
      </w:r>
      <w:r>
        <w:rPr>
          <w:rFonts w:ascii="Arial"/>
          <w:color w:val="231F20"/>
          <w:sz w:val="16"/>
        </w:rPr>
        <w:t>hypertension,</w:t>
      </w:r>
      <w:r>
        <w:rPr>
          <w:rFonts w:ascii="Arial"/>
          <w:color w:val="231F20"/>
          <w:spacing w:val="-24"/>
          <w:sz w:val="16"/>
        </w:rPr>
        <w:t> </w:t>
      </w:r>
      <w:r>
        <w:rPr>
          <w:rFonts w:ascii="Arial"/>
          <w:color w:val="231F20"/>
          <w:sz w:val="16"/>
        </w:rPr>
        <w:t>and</w:t>
      </w:r>
      <w:r>
        <w:rPr>
          <w:rFonts w:ascii="Arial"/>
          <w:color w:val="231F20"/>
          <w:spacing w:val="-23"/>
          <w:sz w:val="16"/>
        </w:rPr>
        <w:t> </w:t>
      </w:r>
      <w:r>
        <w:rPr>
          <w:rFonts w:ascii="Arial"/>
          <w:color w:val="231F20"/>
          <w:sz w:val="16"/>
        </w:rPr>
        <w:t>obesity.</w:t>
      </w:r>
      <w:r>
        <w:rPr>
          <w:rFonts w:ascii="Arial"/>
          <w:color w:val="231F20"/>
          <w:spacing w:val="-23"/>
          <w:sz w:val="16"/>
        </w:rPr>
        <w:t> </w:t>
      </w:r>
      <w:r>
        <w:rPr>
          <w:rFonts w:ascii="Arial"/>
          <w:color w:val="231F20"/>
          <w:sz w:val="16"/>
        </w:rPr>
        <w:t>Hypertension</w:t>
      </w:r>
      <w:r>
        <w:rPr>
          <w:rFonts w:ascii="Arial"/>
          <w:color w:val="231F20"/>
          <w:spacing w:val="-24"/>
          <w:sz w:val="16"/>
        </w:rPr>
        <w:t> </w:t>
      </w:r>
      <w:r>
        <w:rPr>
          <w:rFonts w:ascii="Arial"/>
          <w:color w:val="231F20"/>
          <w:spacing w:val="-3"/>
          <w:sz w:val="16"/>
        </w:rPr>
        <w:t>41:625, </w:t>
      </w:r>
      <w:r>
        <w:rPr>
          <w:rFonts w:ascii="Arial"/>
          <w:color w:val="231F20"/>
          <w:sz w:val="16"/>
        </w:rPr>
        <w:t>2003.</w:t>
      </w:r>
    </w:p>
    <w:p>
      <w:pPr>
        <w:spacing w:line="261" w:lineRule="auto" w:before="115"/>
        <w:ind w:left="479" w:right="1077" w:hanging="160"/>
        <w:jc w:val="both"/>
        <w:rPr>
          <w:rFonts w:ascii="Arial"/>
          <w:sz w:val="16"/>
        </w:rPr>
      </w:pPr>
      <w:r>
        <w:rPr/>
        <w:br w:type="column"/>
      </w:r>
      <w:r>
        <w:rPr>
          <w:rFonts w:ascii="Arial"/>
          <w:color w:val="231F20"/>
          <w:sz w:val="16"/>
        </w:rPr>
        <w:t>Hall JE, Granger </w:t>
      </w:r>
      <w:r>
        <w:rPr>
          <w:rFonts w:ascii="Arial"/>
          <w:color w:val="231F20"/>
          <w:spacing w:val="-9"/>
          <w:sz w:val="16"/>
        </w:rPr>
        <w:t>JP, </w:t>
      </w:r>
      <w:r>
        <w:rPr>
          <w:rFonts w:ascii="Arial"/>
          <w:color w:val="231F20"/>
          <w:sz w:val="16"/>
        </w:rPr>
        <w:t>do Carmo JM, et al: Hypertension:</w:t>
      </w:r>
      <w:r>
        <w:rPr>
          <w:rFonts w:ascii="Arial"/>
          <w:color w:val="231F20"/>
          <w:spacing w:val="-18"/>
          <w:sz w:val="16"/>
        </w:rPr>
        <w:t> </w:t>
      </w:r>
      <w:r>
        <w:rPr>
          <w:rFonts w:ascii="Arial"/>
          <w:color w:val="231F20"/>
          <w:sz w:val="16"/>
        </w:rPr>
        <w:t>physiology and pathophysiology. Compr Physiol 2:2393,</w:t>
      </w:r>
      <w:r>
        <w:rPr>
          <w:rFonts w:ascii="Arial"/>
          <w:color w:val="231F20"/>
          <w:spacing w:val="14"/>
          <w:sz w:val="16"/>
        </w:rPr>
        <w:t> </w:t>
      </w:r>
      <w:r>
        <w:rPr>
          <w:rFonts w:ascii="Arial"/>
          <w:color w:val="231F20"/>
          <w:sz w:val="16"/>
        </w:rPr>
        <w:t>2012.</w:t>
      </w:r>
    </w:p>
    <w:p>
      <w:pPr>
        <w:spacing w:line="261" w:lineRule="auto" w:before="0"/>
        <w:ind w:left="479" w:right="1078" w:hanging="160"/>
        <w:jc w:val="both"/>
        <w:rPr>
          <w:rFonts w:ascii="Arial"/>
          <w:sz w:val="16"/>
        </w:rPr>
      </w:pPr>
      <w:r>
        <w:rPr>
          <w:rFonts w:ascii="Arial"/>
          <w:color w:val="231F20"/>
          <w:sz w:val="16"/>
        </w:rPr>
        <w:t>Hall ME, do Carmo JM, da Silva AA, et al: Obesity, hypertension, and chronic kidney disease. Int J Nephrol Renovasc Dis 7:75, 2014.</w:t>
      </w:r>
    </w:p>
    <w:p>
      <w:pPr>
        <w:spacing w:line="261" w:lineRule="auto" w:before="0"/>
        <w:ind w:left="479" w:right="1077" w:hanging="160"/>
        <w:jc w:val="both"/>
        <w:rPr>
          <w:rFonts w:ascii="Arial" w:hAnsi="Arial"/>
          <w:sz w:val="16"/>
        </w:rPr>
      </w:pPr>
      <w:r>
        <w:rPr/>
        <w:pict>
          <v:shape style="position:absolute;margin-left:578.900024pt;margin-top:12.889234pt;width:15.9pt;height:53.35pt;mso-position-horizontal-relative:page;mso-position-vertical-relative:paragraph;z-index:25271193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Arial" w:hAnsi="Arial"/>
          <w:color w:val="231F20"/>
          <w:sz w:val="16"/>
        </w:rPr>
        <w:t>Hamm L, Hering­Smith KS, Nakhoul NL: Acid­base and</w:t>
      </w:r>
      <w:r>
        <w:rPr>
          <w:rFonts w:ascii="Arial" w:hAnsi="Arial"/>
          <w:color w:val="231F20"/>
          <w:spacing w:val="-24"/>
          <w:sz w:val="16"/>
        </w:rPr>
        <w:t> </w:t>
      </w:r>
      <w:r>
        <w:rPr>
          <w:rFonts w:ascii="Arial" w:hAnsi="Arial"/>
          <w:color w:val="231F20"/>
          <w:sz w:val="16"/>
        </w:rPr>
        <w:t>potassium homeostasis. Semin Nephrol 33:257,</w:t>
      </w:r>
      <w:r>
        <w:rPr>
          <w:rFonts w:ascii="Arial" w:hAnsi="Arial"/>
          <w:color w:val="231F20"/>
          <w:spacing w:val="17"/>
          <w:sz w:val="16"/>
        </w:rPr>
        <w:t> </w:t>
      </w:r>
      <w:r>
        <w:rPr>
          <w:rFonts w:ascii="Arial" w:hAnsi="Arial"/>
          <w:color w:val="231F20"/>
          <w:sz w:val="16"/>
        </w:rPr>
        <w:t>2013.</w:t>
      </w:r>
    </w:p>
    <w:p>
      <w:pPr>
        <w:spacing w:line="261" w:lineRule="auto" w:before="0"/>
        <w:ind w:left="479" w:right="1079" w:hanging="160"/>
        <w:jc w:val="both"/>
        <w:rPr>
          <w:rFonts w:ascii="Arial"/>
          <w:sz w:val="16"/>
        </w:rPr>
      </w:pPr>
      <w:r>
        <w:rPr>
          <w:rFonts w:ascii="Arial"/>
          <w:color w:val="231F20"/>
          <w:sz w:val="16"/>
        </w:rPr>
        <w:t>Hebert SC, Desir G, Giebisch G, Wang W: Molecular diversity  and</w:t>
      </w:r>
      <w:r>
        <w:rPr>
          <w:rFonts w:ascii="Arial"/>
          <w:color w:val="231F20"/>
          <w:spacing w:val="-5"/>
          <w:sz w:val="16"/>
        </w:rPr>
        <w:t> </w:t>
      </w:r>
      <w:r>
        <w:rPr>
          <w:rFonts w:ascii="Arial"/>
          <w:color w:val="231F20"/>
          <w:sz w:val="16"/>
        </w:rPr>
        <w:t>regulation</w:t>
      </w:r>
      <w:r>
        <w:rPr>
          <w:rFonts w:ascii="Arial"/>
          <w:color w:val="231F20"/>
          <w:spacing w:val="-4"/>
          <w:sz w:val="16"/>
        </w:rPr>
        <w:t> </w:t>
      </w:r>
      <w:r>
        <w:rPr>
          <w:rFonts w:ascii="Arial"/>
          <w:color w:val="231F20"/>
          <w:sz w:val="16"/>
        </w:rPr>
        <w:t>of</w:t>
      </w:r>
      <w:r>
        <w:rPr>
          <w:rFonts w:ascii="Arial"/>
          <w:color w:val="231F20"/>
          <w:spacing w:val="-4"/>
          <w:sz w:val="16"/>
        </w:rPr>
        <w:t> </w:t>
      </w:r>
      <w:r>
        <w:rPr>
          <w:rFonts w:ascii="Arial"/>
          <w:color w:val="231F20"/>
          <w:sz w:val="16"/>
        </w:rPr>
        <w:t>renal</w:t>
      </w:r>
      <w:r>
        <w:rPr>
          <w:rFonts w:ascii="Arial"/>
          <w:color w:val="231F20"/>
          <w:spacing w:val="-4"/>
          <w:sz w:val="16"/>
        </w:rPr>
        <w:t> </w:t>
      </w:r>
      <w:r>
        <w:rPr>
          <w:rFonts w:ascii="Arial"/>
          <w:color w:val="231F20"/>
          <w:sz w:val="16"/>
        </w:rPr>
        <w:t>potassium</w:t>
      </w:r>
      <w:r>
        <w:rPr>
          <w:rFonts w:ascii="Arial"/>
          <w:color w:val="231F20"/>
          <w:spacing w:val="-4"/>
          <w:sz w:val="16"/>
        </w:rPr>
        <w:t> </w:t>
      </w:r>
      <w:r>
        <w:rPr>
          <w:rFonts w:ascii="Arial"/>
          <w:color w:val="231F20"/>
          <w:sz w:val="16"/>
        </w:rPr>
        <w:t>channels.</w:t>
      </w:r>
      <w:r>
        <w:rPr>
          <w:rFonts w:ascii="Arial"/>
          <w:color w:val="231F20"/>
          <w:spacing w:val="-4"/>
          <w:sz w:val="16"/>
        </w:rPr>
        <w:t> </w:t>
      </w:r>
      <w:r>
        <w:rPr>
          <w:rFonts w:ascii="Arial"/>
          <w:color w:val="231F20"/>
          <w:sz w:val="16"/>
        </w:rPr>
        <w:t>Physiol</w:t>
      </w:r>
      <w:r>
        <w:rPr>
          <w:rFonts w:ascii="Arial"/>
          <w:color w:val="231F20"/>
          <w:spacing w:val="-4"/>
          <w:sz w:val="16"/>
        </w:rPr>
        <w:t> </w:t>
      </w:r>
      <w:r>
        <w:rPr>
          <w:rFonts w:ascii="Arial"/>
          <w:color w:val="231F20"/>
          <w:sz w:val="16"/>
        </w:rPr>
        <w:t>Rev</w:t>
      </w:r>
      <w:r>
        <w:rPr>
          <w:rFonts w:ascii="Arial"/>
          <w:color w:val="231F20"/>
          <w:spacing w:val="-4"/>
          <w:sz w:val="16"/>
        </w:rPr>
        <w:t> </w:t>
      </w:r>
      <w:r>
        <w:rPr>
          <w:rFonts w:ascii="Arial"/>
          <w:color w:val="231F20"/>
          <w:spacing w:val="-3"/>
          <w:sz w:val="16"/>
        </w:rPr>
        <w:t>85:319, </w:t>
      </w:r>
      <w:r>
        <w:rPr>
          <w:rFonts w:ascii="Arial"/>
          <w:color w:val="231F20"/>
          <w:sz w:val="16"/>
        </w:rPr>
        <w:t>2005.</w:t>
      </w:r>
    </w:p>
    <w:p>
      <w:pPr>
        <w:spacing w:line="261" w:lineRule="auto" w:before="0"/>
        <w:ind w:left="479" w:right="1077" w:hanging="160"/>
        <w:jc w:val="both"/>
        <w:rPr>
          <w:rFonts w:ascii="Arial"/>
          <w:sz w:val="16"/>
        </w:rPr>
      </w:pPr>
      <w:r>
        <w:rPr>
          <w:rFonts w:ascii="Arial"/>
          <w:color w:val="231F20"/>
          <w:sz w:val="16"/>
        </w:rPr>
        <w:t>Hoenderop</w:t>
      </w:r>
      <w:r>
        <w:rPr>
          <w:rFonts w:ascii="Arial"/>
          <w:color w:val="231F20"/>
          <w:spacing w:val="-32"/>
          <w:sz w:val="16"/>
        </w:rPr>
        <w:t> </w:t>
      </w:r>
      <w:r>
        <w:rPr>
          <w:rFonts w:ascii="Arial"/>
          <w:color w:val="231F20"/>
          <w:sz w:val="16"/>
        </w:rPr>
        <w:t>JG,</w:t>
      </w:r>
      <w:r>
        <w:rPr>
          <w:rFonts w:ascii="Arial"/>
          <w:color w:val="231F20"/>
          <w:spacing w:val="-31"/>
          <w:sz w:val="16"/>
        </w:rPr>
        <w:t> </w:t>
      </w:r>
      <w:r>
        <w:rPr>
          <w:rFonts w:ascii="Arial"/>
          <w:color w:val="231F20"/>
          <w:sz w:val="16"/>
        </w:rPr>
        <w:t>Bindels</w:t>
      </w:r>
      <w:r>
        <w:rPr>
          <w:rFonts w:ascii="Arial"/>
          <w:color w:val="231F20"/>
          <w:spacing w:val="-32"/>
          <w:sz w:val="16"/>
        </w:rPr>
        <w:t> </w:t>
      </w:r>
      <w:r>
        <w:rPr>
          <w:rFonts w:ascii="Arial"/>
          <w:color w:val="231F20"/>
          <w:sz w:val="16"/>
        </w:rPr>
        <w:t>RJ:</w:t>
      </w:r>
      <w:r>
        <w:rPr>
          <w:rFonts w:ascii="Arial"/>
          <w:color w:val="231F20"/>
          <w:spacing w:val="-31"/>
          <w:sz w:val="16"/>
        </w:rPr>
        <w:t> </w:t>
      </w:r>
      <w:r>
        <w:rPr>
          <w:rFonts w:ascii="Arial"/>
          <w:color w:val="231F20"/>
          <w:sz w:val="16"/>
        </w:rPr>
        <w:t>Epithelial</w:t>
      </w:r>
      <w:r>
        <w:rPr>
          <w:rFonts w:ascii="Arial"/>
          <w:color w:val="231F20"/>
          <w:spacing w:val="-31"/>
          <w:sz w:val="16"/>
        </w:rPr>
        <w:t> </w:t>
      </w:r>
      <w:r>
        <w:rPr>
          <w:rFonts w:ascii="Arial"/>
          <w:color w:val="231F20"/>
          <w:sz w:val="16"/>
        </w:rPr>
        <w:t>Ca</w:t>
      </w:r>
      <w:r>
        <w:rPr>
          <w:rFonts w:ascii="Arial"/>
          <w:color w:val="231F20"/>
          <w:position w:val="6"/>
          <w:sz w:val="9"/>
        </w:rPr>
        <w:t>2</w:t>
      </w:r>
      <w:r>
        <w:rPr>
          <w:rFonts w:ascii="Consolas"/>
          <w:color w:val="231F20"/>
          <w:position w:val="6"/>
          <w:sz w:val="9"/>
        </w:rPr>
        <w:t>+</w:t>
      </w:r>
      <w:r>
        <w:rPr>
          <w:rFonts w:ascii="Consolas"/>
          <w:color w:val="231F20"/>
          <w:spacing w:val="-37"/>
          <w:position w:val="6"/>
          <w:sz w:val="9"/>
        </w:rPr>
        <w:t> </w:t>
      </w:r>
      <w:r>
        <w:rPr>
          <w:rFonts w:ascii="Arial"/>
          <w:color w:val="231F20"/>
          <w:sz w:val="16"/>
        </w:rPr>
        <w:t>and</w:t>
      </w:r>
      <w:r>
        <w:rPr>
          <w:rFonts w:ascii="Arial"/>
          <w:color w:val="231F20"/>
          <w:spacing w:val="-31"/>
          <w:sz w:val="16"/>
        </w:rPr>
        <w:t> </w:t>
      </w:r>
      <w:r>
        <w:rPr>
          <w:rFonts w:ascii="Arial"/>
          <w:color w:val="231F20"/>
          <w:sz w:val="16"/>
        </w:rPr>
        <w:t>Mg</w:t>
      </w:r>
      <w:r>
        <w:rPr>
          <w:rFonts w:ascii="Arial"/>
          <w:color w:val="231F20"/>
          <w:position w:val="6"/>
          <w:sz w:val="9"/>
        </w:rPr>
        <w:t>2</w:t>
      </w:r>
      <w:r>
        <w:rPr>
          <w:rFonts w:ascii="Consolas"/>
          <w:color w:val="231F20"/>
          <w:position w:val="6"/>
          <w:sz w:val="9"/>
        </w:rPr>
        <w:t>+</w:t>
      </w:r>
      <w:r>
        <w:rPr>
          <w:rFonts w:ascii="Consolas"/>
          <w:color w:val="231F20"/>
          <w:spacing w:val="-36"/>
          <w:position w:val="6"/>
          <w:sz w:val="9"/>
        </w:rPr>
        <w:t> </w:t>
      </w:r>
      <w:r>
        <w:rPr>
          <w:rFonts w:ascii="Arial"/>
          <w:color w:val="231F20"/>
          <w:sz w:val="16"/>
        </w:rPr>
        <w:t>channels</w:t>
      </w:r>
      <w:r>
        <w:rPr>
          <w:rFonts w:ascii="Arial"/>
          <w:color w:val="231F20"/>
          <w:spacing w:val="-32"/>
          <w:sz w:val="16"/>
        </w:rPr>
        <w:t> </w:t>
      </w:r>
      <w:r>
        <w:rPr>
          <w:rFonts w:ascii="Arial"/>
          <w:color w:val="231F20"/>
          <w:sz w:val="16"/>
        </w:rPr>
        <w:t>in</w:t>
      </w:r>
      <w:r>
        <w:rPr>
          <w:rFonts w:ascii="Arial"/>
          <w:color w:val="231F20"/>
          <w:spacing w:val="-31"/>
          <w:sz w:val="16"/>
        </w:rPr>
        <w:t> </w:t>
      </w:r>
      <w:r>
        <w:rPr>
          <w:rFonts w:ascii="Arial"/>
          <w:color w:val="231F20"/>
          <w:sz w:val="16"/>
        </w:rPr>
        <w:t>health and disease. J Am Soc Nephrol 16:15,</w:t>
      </w:r>
      <w:r>
        <w:rPr>
          <w:rFonts w:ascii="Arial"/>
          <w:color w:val="231F20"/>
          <w:spacing w:val="24"/>
          <w:sz w:val="16"/>
        </w:rPr>
        <w:t> </w:t>
      </w:r>
      <w:r>
        <w:rPr>
          <w:rFonts w:ascii="Arial"/>
          <w:color w:val="231F20"/>
          <w:sz w:val="16"/>
        </w:rPr>
        <w:t>2005.</w:t>
      </w:r>
    </w:p>
    <w:p>
      <w:pPr>
        <w:spacing w:line="261" w:lineRule="auto" w:before="0"/>
        <w:ind w:left="319" w:right="1079" w:hanging="1"/>
        <w:jc w:val="center"/>
        <w:rPr>
          <w:rFonts w:ascii="Arial"/>
          <w:sz w:val="16"/>
        </w:rPr>
      </w:pPr>
      <w:r>
        <w:rPr/>
        <w:pict>
          <v:rect style="position:absolute;margin-left:576pt;margin-top:19.231934pt;width:36pt;height:24pt;mso-position-horizontal-relative:page;mso-position-vertical-relative:paragraph;z-index:252710912" filled="true" fillcolor="#e8dac8" stroked="false">
            <v:fill type="solid"/>
            <w10:wrap type="none"/>
          </v:rect>
        </w:pict>
      </w:r>
      <w:r>
        <w:rPr>
          <w:rFonts w:ascii="Arial"/>
          <w:color w:val="231F20"/>
          <w:sz w:val="16"/>
        </w:rPr>
        <w:t>Rodan</w:t>
      </w:r>
      <w:r>
        <w:rPr>
          <w:rFonts w:ascii="Arial"/>
          <w:color w:val="231F20"/>
          <w:spacing w:val="-11"/>
          <w:sz w:val="16"/>
        </w:rPr>
        <w:t> </w:t>
      </w:r>
      <w:r>
        <w:rPr>
          <w:rFonts w:ascii="Arial"/>
          <w:color w:val="231F20"/>
          <w:sz w:val="16"/>
        </w:rPr>
        <w:t>AR,</w:t>
      </w:r>
      <w:r>
        <w:rPr>
          <w:rFonts w:ascii="Arial"/>
          <w:color w:val="231F20"/>
          <w:spacing w:val="-11"/>
          <w:sz w:val="16"/>
        </w:rPr>
        <w:t> </w:t>
      </w:r>
      <w:r>
        <w:rPr>
          <w:rFonts w:ascii="Arial"/>
          <w:color w:val="231F20"/>
          <w:sz w:val="16"/>
        </w:rPr>
        <w:t>Cheng</w:t>
      </w:r>
      <w:r>
        <w:rPr>
          <w:rFonts w:ascii="Arial"/>
          <w:color w:val="231F20"/>
          <w:spacing w:val="-10"/>
          <w:sz w:val="16"/>
        </w:rPr>
        <w:t> </w:t>
      </w:r>
      <w:r>
        <w:rPr>
          <w:rFonts w:ascii="Arial"/>
          <w:color w:val="231F20"/>
          <w:sz w:val="16"/>
        </w:rPr>
        <w:t>CJ,</w:t>
      </w:r>
      <w:r>
        <w:rPr>
          <w:rFonts w:ascii="Arial"/>
          <w:color w:val="231F20"/>
          <w:spacing w:val="-11"/>
          <w:sz w:val="16"/>
        </w:rPr>
        <w:t> </w:t>
      </w:r>
      <w:r>
        <w:rPr>
          <w:rFonts w:ascii="Arial"/>
          <w:color w:val="231F20"/>
          <w:sz w:val="16"/>
        </w:rPr>
        <w:t>Huang</w:t>
      </w:r>
      <w:r>
        <w:rPr>
          <w:rFonts w:ascii="Arial"/>
          <w:color w:val="231F20"/>
          <w:spacing w:val="-11"/>
          <w:sz w:val="16"/>
        </w:rPr>
        <w:t> </w:t>
      </w:r>
      <w:r>
        <w:rPr>
          <w:rFonts w:ascii="Arial"/>
          <w:color w:val="231F20"/>
          <w:sz w:val="16"/>
        </w:rPr>
        <w:t>CL:</w:t>
      </w:r>
      <w:r>
        <w:rPr>
          <w:rFonts w:ascii="Arial"/>
          <w:color w:val="231F20"/>
          <w:spacing w:val="-10"/>
          <w:sz w:val="16"/>
        </w:rPr>
        <w:t> </w:t>
      </w:r>
      <w:r>
        <w:rPr>
          <w:rFonts w:ascii="Arial"/>
          <w:color w:val="231F20"/>
          <w:sz w:val="16"/>
        </w:rPr>
        <w:t>Recent</w:t>
      </w:r>
      <w:r>
        <w:rPr>
          <w:rFonts w:ascii="Arial"/>
          <w:color w:val="231F20"/>
          <w:spacing w:val="-11"/>
          <w:sz w:val="16"/>
        </w:rPr>
        <w:t> </w:t>
      </w:r>
      <w:r>
        <w:rPr>
          <w:rFonts w:ascii="Arial"/>
          <w:color w:val="231F20"/>
          <w:sz w:val="16"/>
        </w:rPr>
        <w:t>advances</w:t>
      </w:r>
      <w:r>
        <w:rPr>
          <w:rFonts w:ascii="Arial"/>
          <w:color w:val="231F20"/>
          <w:spacing w:val="-10"/>
          <w:sz w:val="16"/>
        </w:rPr>
        <w:t> </w:t>
      </w:r>
      <w:r>
        <w:rPr>
          <w:rFonts w:ascii="Arial"/>
          <w:color w:val="231F20"/>
          <w:sz w:val="16"/>
        </w:rPr>
        <w:t>in</w:t>
      </w:r>
      <w:r>
        <w:rPr>
          <w:rFonts w:ascii="Arial"/>
          <w:color w:val="231F20"/>
          <w:spacing w:val="-11"/>
          <w:sz w:val="16"/>
        </w:rPr>
        <w:t> </w:t>
      </w:r>
      <w:r>
        <w:rPr>
          <w:rFonts w:ascii="Arial"/>
          <w:color w:val="231F20"/>
          <w:sz w:val="16"/>
        </w:rPr>
        <w:t>distal</w:t>
      </w:r>
      <w:r>
        <w:rPr>
          <w:rFonts w:ascii="Arial"/>
          <w:color w:val="231F20"/>
          <w:spacing w:val="-11"/>
          <w:sz w:val="16"/>
        </w:rPr>
        <w:t> </w:t>
      </w:r>
      <w:r>
        <w:rPr>
          <w:rFonts w:ascii="Arial"/>
          <w:color w:val="231F20"/>
          <w:spacing w:val="-3"/>
          <w:sz w:val="16"/>
        </w:rPr>
        <w:t>tubular </w:t>
      </w:r>
      <w:r>
        <w:rPr>
          <w:rFonts w:ascii="Arial"/>
          <w:color w:val="231F20"/>
          <w:sz w:val="16"/>
        </w:rPr>
        <w:t>potassium</w:t>
      </w:r>
      <w:r>
        <w:rPr>
          <w:rFonts w:ascii="Arial"/>
          <w:color w:val="231F20"/>
          <w:spacing w:val="-17"/>
          <w:sz w:val="16"/>
        </w:rPr>
        <w:t> </w:t>
      </w:r>
      <w:r>
        <w:rPr>
          <w:rFonts w:ascii="Arial"/>
          <w:color w:val="231F20"/>
          <w:sz w:val="16"/>
        </w:rPr>
        <w:t>handling.</w:t>
      </w:r>
      <w:r>
        <w:rPr>
          <w:rFonts w:ascii="Arial"/>
          <w:color w:val="231F20"/>
          <w:spacing w:val="-16"/>
          <w:sz w:val="16"/>
        </w:rPr>
        <w:t> </w:t>
      </w:r>
      <w:r>
        <w:rPr>
          <w:rFonts w:ascii="Arial"/>
          <w:color w:val="231F20"/>
          <w:sz w:val="16"/>
        </w:rPr>
        <w:t>Am</w:t>
      </w:r>
      <w:r>
        <w:rPr>
          <w:rFonts w:ascii="Arial"/>
          <w:color w:val="231F20"/>
          <w:spacing w:val="-16"/>
          <w:sz w:val="16"/>
        </w:rPr>
        <w:t> </w:t>
      </w:r>
      <w:r>
        <w:rPr>
          <w:rFonts w:ascii="Arial"/>
          <w:color w:val="231F20"/>
          <w:sz w:val="16"/>
        </w:rPr>
        <w:t>J</w:t>
      </w:r>
      <w:r>
        <w:rPr>
          <w:rFonts w:ascii="Arial"/>
          <w:color w:val="231F20"/>
          <w:spacing w:val="-17"/>
          <w:sz w:val="16"/>
        </w:rPr>
        <w:t> </w:t>
      </w:r>
      <w:r>
        <w:rPr>
          <w:rFonts w:ascii="Arial"/>
          <w:color w:val="231F20"/>
          <w:sz w:val="16"/>
        </w:rPr>
        <w:t>Physiol</w:t>
      </w:r>
      <w:r>
        <w:rPr>
          <w:rFonts w:ascii="Arial"/>
          <w:color w:val="231F20"/>
          <w:spacing w:val="-16"/>
          <w:sz w:val="16"/>
        </w:rPr>
        <w:t> </w:t>
      </w:r>
      <w:r>
        <w:rPr>
          <w:rFonts w:ascii="Arial"/>
          <w:color w:val="231F20"/>
          <w:sz w:val="16"/>
        </w:rPr>
        <w:t>Renal</w:t>
      </w:r>
      <w:r>
        <w:rPr>
          <w:rFonts w:ascii="Arial"/>
          <w:color w:val="231F20"/>
          <w:spacing w:val="-16"/>
          <w:sz w:val="16"/>
        </w:rPr>
        <w:t> </w:t>
      </w:r>
      <w:r>
        <w:rPr>
          <w:rFonts w:ascii="Arial"/>
          <w:color w:val="231F20"/>
          <w:sz w:val="16"/>
        </w:rPr>
        <w:t>Physiol</w:t>
      </w:r>
      <w:r>
        <w:rPr>
          <w:rFonts w:ascii="Arial"/>
          <w:color w:val="231F20"/>
          <w:spacing w:val="-16"/>
          <w:sz w:val="16"/>
        </w:rPr>
        <w:t> </w:t>
      </w:r>
      <w:r>
        <w:rPr>
          <w:rFonts w:ascii="Arial"/>
          <w:color w:val="231F20"/>
          <w:sz w:val="16"/>
        </w:rPr>
        <w:t>300:F821,</w:t>
      </w:r>
      <w:r>
        <w:rPr>
          <w:rFonts w:ascii="Arial"/>
          <w:color w:val="231F20"/>
          <w:spacing w:val="-17"/>
          <w:sz w:val="16"/>
        </w:rPr>
        <w:t> </w:t>
      </w:r>
      <w:r>
        <w:rPr>
          <w:rFonts w:ascii="Arial"/>
          <w:color w:val="231F20"/>
          <w:sz w:val="16"/>
        </w:rPr>
        <w:t>2011.</w:t>
      </w:r>
    </w:p>
    <w:p>
      <w:pPr>
        <w:spacing w:line="261" w:lineRule="auto" w:before="0"/>
        <w:ind w:left="479" w:right="1077" w:hanging="160"/>
        <w:jc w:val="both"/>
        <w:rPr>
          <w:rFonts w:ascii="Arial" w:hAnsi="Arial"/>
          <w:sz w:val="16"/>
        </w:rPr>
      </w:pPr>
      <w:r>
        <w:rPr>
          <w:rFonts w:ascii="Arial" w:hAnsi="Arial"/>
          <w:color w:val="231F20"/>
          <w:sz w:val="16"/>
        </w:rPr>
        <w:t>Rossier</w:t>
      </w:r>
      <w:r>
        <w:rPr>
          <w:rFonts w:ascii="Arial" w:hAnsi="Arial"/>
          <w:color w:val="231F20"/>
          <w:spacing w:val="-15"/>
          <w:sz w:val="16"/>
        </w:rPr>
        <w:t> </w:t>
      </w:r>
      <w:r>
        <w:rPr>
          <w:rFonts w:ascii="Arial" w:hAnsi="Arial"/>
          <w:color w:val="231F20"/>
          <w:sz w:val="16"/>
        </w:rPr>
        <w:t>BC,</w:t>
      </w:r>
      <w:r>
        <w:rPr>
          <w:rFonts w:ascii="Arial" w:hAnsi="Arial"/>
          <w:color w:val="231F20"/>
          <w:spacing w:val="-14"/>
          <w:sz w:val="16"/>
        </w:rPr>
        <w:t> </w:t>
      </w:r>
      <w:r>
        <w:rPr>
          <w:rFonts w:ascii="Arial" w:hAnsi="Arial"/>
          <w:color w:val="231F20"/>
          <w:sz w:val="16"/>
        </w:rPr>
        <w:t>Staub</w:t>
      </w:r>
      <w:r>
        <w:rPr>
          <w:rFonts w:ascii="Arial" w:hAnsi="Arial"/>
          <w:color w:val="231F20"/>
          <w:spacing w:val="-14"/>
          <w:sz w:val="16"/>
        </w:rPr>
        <w:t> </w:t>
      </w:r>
      <w:r>
        <w:rPr>
          <w:rFonts w:ascii="Arial" w:hAnsi="Arial"/>
          <w:color w:val="231F20"/>
          <w:sz w:val="16"/>
        </w:rPr>
        <w:t>O,</w:t>
      </w:r>
      <w:r>
        <w:rPr>
          <w:rFonts w:ascii="Arial" w:hAnsi="Arial"/>
          <w:color w:val="231F20"/>
          <w:spacing w:val="-15"/>
          <w:sz w:val="16"/>
        </w:rPr>
        <w:t> </w:t>
      </w:r>
      <w:r>
        <w:rPr>
          <w:rFonts w:ascii="Arial" w:hAnsi="Arial"/>
          <w:color w:val="231F20"/>
          <w:sz w:val="16"/>
        </w:rPr>
        <w:t>Hummler</w:t>
      </w:r>
      <w:r>
        <w:rPr>
          <w:rFonts w:ascii="Arial" w:hAnsi="Arial"/>
          <w:color w:val="231F20"/>
          <w:spacing w:val="-14"/>
          <w:sz w:val="16"/>
        </w:rPr>
        <w:t> </w:t>
      </w:r>
      <w:r>
        <w:rPr>
          <w:rFonts w:ascii="Arial" w:hAnsi="Arial"/>
          <w:color w:val="231F20"/>
          <w:sz w:val="16"/>
        </w:rPr>
        <w:t>E:</w:t>
      </w:r>
      <w:r>
        <w:rPr>
          <w:rFonts w:ascii="Arial" w:hAnsi="Arial"/>
          <w:color w:val="231F20"/>
          <w:spacing w:val="-14"/>
          <w:sz w:val="16"/>
        </w:rPr>
        <w:t> </w:t>
      </w:r>
      <w:r>
        <w:rPr>
          <w:rFonts w:ascii="Arial" w:hAnsi="Arial"/>
          <w:color w:val="231F20"/>
          <w:sz w:val="16"/>
        </w:rPr>
        <w:t>Genetic</w:t>
      </w:r>
      <w:r>
        <w:rPr>
          <w:rFonts w:ascii="Arial" w:hAnsi="Arial"/>
          <w:color w:val="231F20"/>
          <w:spacing w:val="-14"/>
          <w:sz w:val="16"/>
        </w:rPr>
        <w:t> </w:t>
      </w:r>
      <w:r>
        <w:rPr>
          <w:rFonts w:ascii="Arial" w:hAnsi="Arial"/>
          <w:color w:val="231F20"/>
          <w:sz w:val="16"/>
        </w:rPr>
        <w:t>dissection</w:t>
      </w:r>
      <w:r>
        <w:rPr>
          <w:rFonts w:ascii="Arial" w:hAnsi="Arial"/>
          <w:color w:val="231F20"/>
          <w:spacing w:val="-15"/>
          <w:sz w:val="16"/>
        </w:rPr>
        <w:t> </w:t>
      </w:r>
      <w:r>
        <w:rPr>
          <w:rFonts w:ascii="Arial" w:hAnsi="Arial"/>
          <w:color w:val="231F20"/>
          <w:sz w:val="16"/>
        </w:rPr>
        <w:t>of</w:t>
      </w:r>
      <w:r>
        <w:rPr>
          <w:rFonts w:ascii="Arial" w:hAnsi="Arial"/>
          <w:color w:val="231F20"/>
          <w:spacing w:val="-14"/>
          <w:sz w:val="16"/>
        </w:rPr>
        <w:t> </w:t>
      </w:r>
      <w:r>
        <w:rPr>
          <w:rFonts w:ascii="Arial" w:hAnsi="Arial"/>
          <w:color w:val="231F20"/>
          <w:sz w:val="16"/>
        </w:rPr>
        <w:t>sodium</w:t>
      </w:r>
      <w:r>
        <w:rPr>
          <w:rFonts w:ascii="Arial" w:hAnsi="Arial"/>
          <w:color w:val="231F20"/>
          <w:spacing w:val="-14"/>
          <w:sz w:val="16"/>
        </w:rPr>
        <w:t> </w:t>
      </w:r>
      <w:r>
        <w:rPr>
          <w:rFonts w:ascii="Arial" w:hAnsi="Arial"/>
          <w:color w:val="231F20"/>
          <w:sz w:val="16"/>
        </w:rPr>
        <w:t>and </w:t>
      </w:r>
      <w:r>
        <w:rPr>
          <w:rFonts w:ascii="Arial" w:hAnsi="Arial"/>
          <w:color w:val="231F20"/>
          <w:w w:val="95"/>
          <w:sz w:val="16"/>
        </w:rPr>
        <w:t>potassium transport along the aldosterone­sensitive distal </w:t>
      </w:r>
      <w:r>
        <w:rPr>
          <w:rFonts w:ascii="Arial" w:hAnsi="Arial"/>
          <w:color w:val="231F20"/>
          <w:spacing w:val="-3"/>
          <w:w w:val="95"/>
          <w:sz w:val="16"/>
        </w:rPr>
        <w:t>nephron: </w:t>
      </w:r>
      <w:r>
        <w:rPr>
          <w:rFonts w:ascii="Arial" w:hAnsi="Arial"/>
          <w:color w:val="231F20"/>
          <w:sz w:val="16"/>
        </w:rPr>
        <w:t>importance in the control of blood pressure and hypertension. FEBS Lett 587:1929,</w:t>
      </w:r>
      <w:r>
        <w:rPr>
          <w:rFonts w:ascii="Arial" w:hAnsi="Arial"/>
          <w:color w:val="231F20"/>
          <w:spacing w:val="18"/>
          <w:sz w:val="16"/>
        </w:rPr>
        <w:t> </w:t>
      </w:r>
      <w:r>
        <w:rPr>
          <w:rFonts w:ascii="Arial" w:hAnsi="Arial"/>
          <w:color w:val="231F20"/>
          <w:sz w:val="16"/>
        </w:rPr>
        <w:t>2013.</w:t>
      </w:r>
    </w:p>
    <w:p>
      <w:pPr>
        <w:spacing w:line="261" w:lineRule="auto" w:before="0"/>
        <w:ind w:left="479" w:right="1079" w:hanging="160"/>
        <w:jc w:val="both"/>
        <w:rPr>
          <w:rFonts w:ascii="Arial"/>
          <w:sz w:val="16"/>
        </w:rPr>
      </w:pPr>
      <w:r>
        <w:rPr>
          <w:rFonts w:ascii="Arial"/>
          <w:color w:val="231F20"/>
          <w:sz w:val="16"/>
        </w:rPr>
        <w:t>Wall</w:t>
      </w:r>
      <w:r>
        <w:rPr>
          <w:rFonts w:ascii="Arial"/>
          <w:color w:val="231F20"/>
          <w:spacing w:val="-22"/>
          <w:sz w:val="16"/>
        </w:rPr>
        <w:t> </w:t>
      </w:r>
      <w:r>
        <w:rPr>
          <w:rFonts w:ascii="Arial"/>
          <w:color w:val="231F20"/>
          <w:sz w:val="16"/>
        </w:rPr>
        <w:t>SM:</w:t>
      </w:r>
      <w:r>
        <w:rPr>
          <w:rFonts w:ascii="Arial"/>
          <w:color w:val="231F20"/>
          <w:spacing w:val="-21"/>
          <w:sz w:val="16"/>
        </w:rPr>
        <w:t> </w:t>
      </w:r>
      <w:r>
        <w:rPr>
          <w:rFonts w:ascii="Arial"/>
          <w:color w:val="231F20"/>
          <w:sz w:val="16"/>
        </w:rPr>
        <w:t>Recent</w:t>
      </w:r>
      <w:r>
        <w:rPr>
          <w:rFonts w:ascii="Arial"/>
          <w:color w:val="231F20"/>
          <w:spacing w:val="-22"/>
          <w:sz w:val="16"/>
        </w:rPr>
        <w:t> </w:t>
      </w:r>
      <w:r>
        <w:rPr>
          <w:rFonts w:ascii="Arial"/>
          <w:color w:val="231F20"/>
          <w:sz w:val="16"/>
        </w:rPr>
        <w:t>advances</w:t>
      </w:r>
      <w:r>
        <w:rPr>
          <w:rFonts w:ascii="Arial"/>
          <w:color w:val="231F20"/>
          <w:spacing w:val="-21"/>
          <w:sz w:val="16"/>
        </w:rPr>
        <w:t> </w:t>
      </w:r>
      <w:r>
        <w:rPr>
          <w:rFonts w:ascii="Arial"/>
          <w:color w:val="231F20"/>
          <w:sz w:val="16"/>
        </w:rPr>
        <w:t>in</w:t>
      </w:r>
      <w:r>
        <w:rPr>
          <w:rFonts w:ascii="Arial"/>
          <w:color w:val="231F20"/>
          <w:spacing w:val="-22"/>
          <w:sz w:val="16"/>
        </w:rPr>
        <w:t> </w:t>
      </w:r>
      <w:r>
        <w:rPr>
          <w:rFonts w:ascii="Arial"/>
          <w:color w:val="231F20"/>
          <w:sz w:val="16"/>
        </w:rPr>
        <w:t>our</w:t>
      </w:r>
      <w:r>
        <w:rPr>
          <w:rFonts w:ascii="Arial"/>
          <w:color w:val="231F20"/>
          <w:spacing w:val="-21"/>
          <w:sz w:val="16"/>
        </w:rPr>
        <w:t> </w:t>
      </w:r>
      <w:r>
        <w:rPr>
          <w:rFonts w:ascii="Arial"/>
          <w:color w:val="231F20"/>
          <w:sz w:val="16"/>
        </w:rPr>
        <w:t>understanding</w:t>
      </w:r>
      <w:r>
        <w:rPr>
          <w:rFonts w:ascii="Arial"/>
          <w:color w:val="231F20"/>
          <w:spacing w:val="-22"/>
          <w:sz w:val="16"/>
        </w:rPr>
        <w:t> </w:t>
      </w:r>
      <w:r>
        <w:rPr>
          <w:rFonts w:ascii="Arial"/>
          <w:color w:val="231F20"/>
          <w:sz w:val="16"/>
        </w:rPr>
        <w:t>of</w:t>
      </w:r>
      <w:r>
        <w:rPr>
          <w:rFonts w:ascii="Arial"/>
          <w:color w:val="231F20"/>
          <w:spacing w:val="-21"/>
          <w:sz w:val="16"/>
        </w:rPr>
        <w:t> </w:t>
      </w:r>
      <w:r>
        <w:rPr>
          <w:rFonts w:ascii="Arial"/>
          <w:color w:val="231F20"/>
          <w:sz w:val="16"/>
        </w:rPr>
        <w:t>intercalated</w:t>
      </w:r>
      <w:r>
        <w:rPr>
          <w:rFonts w:ascii="Arial"/>
          <w:color w:val="231F20"/>
          <w:spacing w:val="-22"/>
          <w:sz w:val="16"/>
        </w:rPr>
        <w:t> </w:t>
      </w:r>
      <w:r>
        <w:rPr>
          <w:rFonts w:ascii="Arial"/>
          <w:color w:val="231F20"/>
          <w:spacing w:val="-3"/>
          <w:sz w:val="16"/>
        </w:rPr>
        <w:t>cells. </w:t>
      </w:r>
      <w:r>
        <w:rPr>
          <w:rFonts w:ascii="Arial"/>
          <w:color w:val="231F20"/>
          <w:sz w:val="16"/>
        </w:rPr>
        <w:t>Curr Opin Nephrol Hypertens 14:480.</w:t>
      </w:r>
      <w:r>
        <w:rPr>
          <w:rFonts w:ascii="Arial"/>
          <w:color w:val="231F20"/>
          <w:spacing w:val="27"/>
          <w:sz w:val="16"/>
        </w:rPr>
        <w:t> </w:t>
      </w:r>
      <w:r>
        <w:rPr>
          <w:rFonts w:ascii="Arial"/>
          <w:color w:val="231F20"/>
          <w:sz w:val="16"/>
        </w:rPr>
        <w:t>2005.</w:t>
      </w:r>
    </w:p>
    <w:p>
      <w:pPr>
        <w:spacing w:line="261" w:lineRule="auto" w:before="0"/>
        <w:ind w:left="479" w:right="1078" w:hanging="160"/>
        <w:jc w:val="both"/>
        <w:rPr>
          <w:rFonts w:ascii="Arial"/>
          <w:sz w:val="16"/>
        </w:rPr>
      </w:pPr>
      <w:r>
        <w:rPr>
          <w:rFonts w:ascii="Arial"/>
          <w:color w:val="231F20"/>
          <w:sz w:val="16"/>
        </w:rPr>
        <w:t>Wang</w:t>
      </w:r>
      <w:r>
        <w:rPr>
          <w:rFonts w:ascii="Arial"/>
          <w:color w:val="231F20"/>
          <w:spacing w:val="-9"/>
          <w:sz w:val="16"/>
        </w:rPr>
        <w:t> </w:t>
      </w:r>
      <w:r>
        <w:rPr>
          <w:rFonts w:ascii="Arial"/>
          <w:color w:val="231F20"/>
          <w:sz w:val="16"/>
        </w:rPr>
        <w:t>WH,</w:t>
      </w:r>
      <w:r>
        <w:rPr>
          <w:rFonts w:ascii="Arial"/>
          <w:color w:val="231F20"/>
          <w:spacing w:val="-8"/>
          <w:sz w:val="16"/>
        </w:rPr>
        <w:t> </w:t>
      </w:r>
      <w:r>
        <w:rPr>
          <w:rFonts w:ascii="Arial"/>
          <w:color w:val="231F20"/>
          <w:sz w:val="16"/>
        </w:rPr>
        <w:t>Giebisch</w:t>
      </w:r>
      <w:r>
        <w:rPr>
          <w:rFonts w:ascii="Arial"/>
          <w:color w:val="231F20"/>
          <w:spacing w:val="-8"/>
          <w:sz w:val="16"/>
        </w:rPr>
        <w:t> </w:t>
      </w:r>
      <w:r>
        <w:rPr>
          <w:rFonts w:ascii="Arial"/>
          <w:color w:val="231F20"/>
          <w:sz w:val="16"/>
        </w:rPr>
        <w:t>G:</w:t>
      </w:r>
      <w:r>
        <w:rPr>
          <w:rFonts w:ascii="Arial"/>
          <w:color w:val="231F20"/>
          <w:spacing w:val="-9"/>
          <w:sz w:val="16"/>
        </w:rPr>
        <w:t> </w:t>
      </w:r>
      <w:r>
        <w:rPr>
          <w:rFonts w:ascii="Arial"/>
          <w:color w:val="231F20"/>
          <w:sz w:val="16"/>
        </w:rPr>
        <w:t>Regulation</w:t>
      </w:r>
      <w:r>
        <w:rPr>
          <w:rFonts w:ascii="Arial"/>
          <w:color w:val="231F20"/>
          <w:spacing w:val="-8"/>
          <w:sz w:val="16"/>
        </w:rPr>
        <w:t> </w:t>
      </w:r>
      <w:r>
        <w:rPr>
          <w:rFonts w:ascii="Arial"/>
          <w:color w:val="231F20"/>
          <w:sz w:val="16"/>
        </w:rPr>
        <w:t>of</w:t>
      </w:r>
      <w:r>
        <w:rPr>
          <w:rFonts w:ascii="Arial"/>
          <w:color w:val="231F20"/>
          <w:spacing w:val="-8"/>
          <w:sz w:val="16"/>
        </w:rPr>
        <w:t> </w:t>
      </w:r>
      <w:r>
        <w:rPr>
          <w:rFonts w:ascii="Arial"/>
          <w:color w:val="231F20"/>
          <w:sz w:val="16"/>
        </w:rPr>
        <w:t>potassium</w:t>
      </w:r>
      <w:r>
        <w:rPr>
          <w:rFonts w:ascii="Arial"/>
          <w:color w:val="231F20"/>
          <w:spacing w:val="-8"/>
          <w:sz w:val="16"/>
        </w:rPr>
        <w:t> </w:t>
      </w:r>
      <w:r>
        <w:rPr>
          <w:rFonts w:ascii="Arial"/>
          <w:color w:val="231F20"/>
          <w:sz w:val="16"/>
        </w:rPr>
        <w:t>(K)</w:t>
      </w:r>
      <w:r>
        <w:rPr>
          <w:rFonts w:ascii="Arial"/>
          <w:color w:val="231F20"/>
          <w:spacing w:val="-9"/>
          <w:sz w:val="16"/>
        </w:rPr>
        <w:t> </w:t>
      </w:r>
      <w:r>
        <w:rPr>
          <w:rFonts w:ascii="Arial"/>
          <w:color w:val="231F20"/>
          <w:sz w:val="16"/>
        </w:rPr>
        <w:t>handling</w:t>
      </w:r>
      <w:r>
        <w:rPr>
          <w:rFonts w:ascii="Arial"/>
          <w:color w:val="231F20"/>
          <w:spacing w:val="-8"/>
          <w:sz w:val="16"/>
        </w:rPr>
        <w:t> </w:t>
      </w:r>
      <w:r>
        <w:rPr>
          <w:rFonts w:ascii="Arial"/>
          <w:color w:val="231F20"/>
          <w:sz w:val="16"/>
        </w:rPr>
        <w:t>in</w:t>
      </w:r>
      <w:r>
        <w:rPr>
          <w:rFonts w:ascii="Arial"/>
          <w:color w:val="231F20"/>
          <w:spacing w:val="-8"/>
          <w:sz w:val="16"/>
        </w:rPr>
        <w:t> </w:t>
      </w:r>
      <w:r>
        <w:rPr>
          <w:rFonts w:ascii="Arial"/>
          <w:color w:val="231F20"/>
          <w:sz w:val="16"/>
        </w:rPr>
        <w:t>the renal collecting duct. Pflugers Arch 458:157,</w:t>
      </w:r>
      <w:r>
        <w:rPr>
          <w:rFonts w:ascii="Arial"/>
          <w:color w:val="231F20"/>
          <w:spacing w:val="24"/>
          <w:sz w:val="16"/>
        </w:rPr>
        <w:t> </w:t>
      </w:r>
      <w:r>
        <w:rPr>
          <w:rFonts w:ascii="Arial"/>
          <w:color w:val="231F20"/>
          <w:sz w:val="16"/>
        </w:rPr>
        <w:t>2009.</w:t>
      </w:r>
    </w:p>
    <w:p>
      <w:pPr>
        <w:spacing w:line="261" w:lineRule="auto" w:before="0"/>
        <w:ind w:left="479" w:right="1079" w:hanging="160"/>
        <w:jc w:val="both"/>
        <w:rPr>
          <w:rFonts w:ascii="Arial" w:hAnsi="Arial"/>
          <w:sz w:val="16"/>
        </w:rPr>
      </w:pPr>
      <w:r>
        <w:rPr>
          <w:rFonts w:ascii="Arial" w:hAnsi="Arial"/>
          <w:color w:val="231F20"/>
          <w:w w:val="95"/>
          <w:sz w:val="16"/>
        </w:rPr>
        <w:t>Weiner</w:t>
      </w:r>
      <w:r>
        <w:rPr>
          <w:rFonts w:ascii="Arial" w:hAnsi="Arial"/>
          <w:color w:val="231F20"/>
          <w:spacing w:val="-7"/>
          <w:w w:val="95"/>
          <w:sz w:val="16"/>
        </w:rPr>
        <w:t> </w:t>
      </w:r>
      <w:r>
        <w:rPr>
          <w:rFonts w:ascii="Arial" w:hAnsi="Arial"/>
          <w:color w:val="231F20"/>
          <w:w w:val="95"/>
          <w:sz w:val="16"/>
        </w:rPr>
        <w:t>ID:</w:t>
      </w:r>
      <w:r>
        <w:rPr>
          <w:rFonts w:ascii="Arial" w:hAnsi="Arial"/>
          <w:color w:val="231F20"/>
          <w:spacing w:val="-6"/>
          <w:w w:val="95"/>
          <w:sz w:val="16"/>
        </w:rPr>
        <w:t> </w:t>
      </w:r>
      <w:r>
        <w:rPr>
          <w:rFonts w:ascii="Arial" w:hAnsi="Arial"/>
          <w:color w:val="231F20"/>
          <w:w w:val="95"/>
          <w:sz w:val="16"/>
        </w:rPr>
        <w:t>Endocrine</w:t>
      </w:r>
      <w:r>
        <w:rPr>
          <w:rFonts w:ascii="Arial" w:hAnsi="Arial"/>
          <w:color w:val="231F20"/>
          <w:spacing w:val="-6"/>
          <w:w w:val="95"/>
          <w:sz w:val="16"/>
        </w:rPr>
        <w:t> </w:t>
      </w:r>
      <w:r>
        <w:rPr>
          <w:rFonts w:ascii="Arial" w:hAnsi="Arial"/>
          <w:color w:val="231F20"/>
          <w:w w:val="95"/>
          <w:sz w:val="16"/>
        </w:rPr>
        <w:t>and</w:t>
      </w:r>
      <w:r>
        <w:rPr>
          <w:rFonts w:ascii="Arial" w:hAnsi="Arial"/>
          <w:color w:val="231F20"/>
          <w:spacing w:val="-6"/>
          <w:w w:val="95"/>
          <w:sz w:val="16"/>
        </w:rPr>
        <w:t> </w:t>
      </w:r>
      <w:r>
        <w:rPr>
          <w:rFonts w:ascii="Arial" w:hAnsi="Arial"/>
          <w:color w:val="231F20"/>
          <w:w w:val="95"/>
          <w:sz w:val="16"/>
        </w:rPr>
        <w:t>hypertensive</w:t>
      </w:r>
      <w:r>
        <w:rPr>
          <w:rFonts w:ascii="Arial" w:hAnsi="Arial"/>
          <w:color w:val="231F20"/>
          <w:spacing w:val="-6"/>
          <w:w w:val="95"/>
          <w:sz w:val="16"/>
        </w:rPr>
        <w:t> </w:t>
      </w:r>
      <w:r>
        <w:rPr>
          <w:rFonts w:ascii="Arial" w:hAnsi="Arial"/>
          <w:color w:val="231F20"/>
          <w:w w:val="95"/>
          <w:sz w:val="16"/>
        </w:rPr>
        <w:t>disorders</w:t>
      </w:r>
      <w:r>
        <w:rPr>
          <w:rFonts w:ascii="Arial" w:hAnsi="Arial"/>
          <w:color w:val="231F20"/>
          <w:spacing w:val="-6"/>
          <w:w w:val="95"/>
          <w:sz w:val="16"/>
        </w:rPr>
        <w:t> </w:t>
      </w:r>
      <w:r>
        <w:rPr>
          <w:rFonts w:ascii="Arial" w:hAnsi="Arial"/>
          <w:color w:val="231F20"/>
          <w:w w:val="95"/>
          <w:sz w:val="16"/>
        </w:rPr>
        <w:t>of</w:t>
      </w:r>
      <w:r>
        <w:rPr>
          <w:rFonts w:ascii="Arial" w:hAnsi="Arial"/>
          <w:color w:val="231F20"/>
          <w:spacing w:val="-6"/>
          <w:w w:val="95"/>
          <w:sz w:val="16"/>
        </w:rPr>
        <w:t> </w:t>
      </w:r>
      <w:r>
        <w:rPr>
          <w:rFonts w:ascii="Arial" w:hAnsi="Arial"/>
          <w:color w:val="231F20"/>
          <w:w w:val="95"/>
          <w:sz w:val="16"/>
        </w:rPr>
        <w:t>potassium</w:t>
      </w:r>
      <w:r>
        <w:rPr>
          <w:rFonts w:ascii="Arial" w:hAnsi="Arial"/>
          <w:color w:val="231F20"/>
          <w:spacing w:val="-6"/>
          <w:w w:val="95"/>
          <w:sz w:val="16"/>
        </w:rPr>
        <w:t> </w:t>
      </w:r>
      <w:r>
        <w:rPr>
          <w:rFonts w:ascii="Arial" w:hAnsi="Arial"/>
          <w:color w:val="231F20"/>
          <w:spacing w:val="-3"/>
          <w:w w:val="95"/>
          <w:sz w:val="16"/>
        </w:rPr>
        <w:t>regula­ </w:t>
      </w:r>
      <w:r>
        <w:rPr>
          <w:rFonts w:ascii="Arial" w:hAnsi="Arial"/>
          <w:color w:val="231F20"/>
          <w:sz w:val="16"/>
        </w:rPr>
        <w:t>tion: primary aldosteronism. Semin Nephrol 33:265,</w:t>
      </w:r>
      <w:r>
        <w:rPr>
          <w:rFonts w:ascii="Arial" w:hAnsi="Arial"/>
          <w:color w:val="231F20"/>
          <w:spacing w:val="3"/>
          <w:sz w:val="16"/>
        </w:rPr>
        <w:t> </w:t>
      </w:r>
      <w:r>
        <w:rPr>
          <w:rFonts w:ascii="Arial" w:hAnsi="Arial"/>
          <w:color w:val="231F20"/>
          <w:sz w:val="16"/>
        </w:rPr>
        <w:t>2013.</w:t>
      </w:r>
    </w:p>
    <w:p>
      <w:pPr>
        <w:spacing w:line="261" w:lineRule="auto" w:before="0"/>
        <w:ind w:left="479" w:right="1079" w:hanging="160"/>
        <w:jc w:val="both"/>
        <w:rPr>
          <w:rFonts w:ascii="Arial"/>
          <w:sz w:val="16"/>
        </w:rPr>
      </w:pPr>
      <w:r>
        <w:rPr>
          <w:rFonts w:ascii="Arial"/>
          <w:color w:val="231F20"/>
          <w:sz w:val="16"/>
        </w:rPr>
        <w:t>Welling PA: Regulation of renal potassium secretion: molecular mechanisms. Semin Nephrol 33:215, 2013.</w:t>
      </w:r>
    </w:p>
    <w:p>
      <w:pPr>
        <w:spacing w:line="261" w:lineRule="auto" w:before="0"/>
        <w:ind w:left="479" w:right="1077" w:hanging="160"/>
        <w:jc w:val="both"/>
        <w:rPr>
          <w:rFonts w:ascii="Arial"/>
          <w:sz w:val="16"/>
        </w:rPr>
      </w:pPr>
      <w:r>
        <w:rPr>
          <w:rFonts w:ascii="Arial"/>
          <w:color w:val="231F20"/>
          <w:sz w:val="16"/>
        </w:rPr>
        <w:t>Whelton</w:t>
      </w:r>
      <w:r>
        <w:rPr>
          <w:rFonts w:ascii="Arial"/>
          <w:color w:val="231F20"/>
          <w:spacing w:val="-18"/>
          <w:sz w:val="16"/>
        </w:rPr>
        <w:t> </w:t>
      </w:r>
      <w:r>
        <w:rPr>
          <w:rFonts w:ascii="Arial"/>
          <w:color w:val="231F20"/>
          <w:sz w:val="16"/>
        </w:rPr>
        <w:t>PK,</w:t>
      </w:r>
      <w:r>
        <w:rPr>
          <w:rFonts w:ascii="Arial"/>
          <w:color w:val="231F20"/>
          <w:spacing w:val="-17"/>
          <w:sz w:val="16"/>
        </w:rPr>
        <w:t> </w:t>
      </w:r>
      <w:r>
        <w:rPr>
          <w:rFonts w:ascii="Arial"/>
          <w:color w:val="231F20"/>
          <w:sz w:val="16"/>
        </w:rPr>
        <w:t>Appel</w:t>
      </w:r>
      <w:r>
        <w:rPr>
          <w:rFonts w:ascii="Arial"/>
          <w:color w:val="231F20"/>
          <w:spacing w:val="-17"/>
          <w:sz w:val="16"/>
        </w:rPr>
        <w:t> </w:t>
      </w:r>
      <w:r>
        <w:rPr>
          <w:rFonts w:ascii="Arial"/>
          <w:color w:val="231F20"/>
          <w:sz w:val="16"/>
        </w:rPr>
        <w:t>LJ,</w:t>
      </w:r>
      <w:r>
        <w:rPr>
          <w:rFonts w:ascii="Arial"/>
          <w:color w:val="231F20"/>
          <w:spacing w:val="-17"/>
          <w:sz w:val="16"/>
        </w:rPr>
        <w:t> </w:t>
      </w:r>
      <w:r>
        <w:rPr>
          <w:rFonts w:ascii="Arial"/>
          <w:color w:val="231F20"/>
          <w:sz w:val="16"/>
        </w:rPr>
        <w:t>Sacco</w:t>
      </w:r>
      <w:r>
        <w:rPr>
          <w:rFonts w:ascii="Arial"/>
          <w:color w:val="231F20"/>
          <w:spacing w:val="-17"/>
          <w:sz w:val="16"/>
        </w:rPr>
        <w:t> </w:t>
      </w:r>
      <w:r>
        <w:rPr>
          <w:rFonts w:ascii="Arial"/>
          <w:color w:val="231F20"/>
          <w:sz w:val="16"/>
        </w:rPr>
        <w:t>RL,</w:t>
      </w:r>
      <w:r>
        <w:rPr>
          <w:rFonts w:ascii="Arial"/>
          <w:color w:val="231F20"/>
          <w:spacing w:val="-17"/>
          <w:sz w:val="16"/>
        </w:rPr>
        <w:t> </w:t>
      </w:r>
      <w:r>
        <w:rPr>
          <w:rFonts w:ascii="Arial"/>
          <w:color w:val="231F20"/>
          <w:sz w:val="16"/>
        </w:rPr>
        <w:t>et</w:t>
      </w:r>
      <w:r>
        <w:rPr>
          <w:rFonts w:ascii="Arial"/>
          <w:color w:val="231F20"/>
          <w:spacing w:val="-17"/>
          <w:sz w:val="16"/>
        </w:rPr>
        <w:t> </w:t>
      </w:r>
      <w:r>
        <w:rPr>
          <w:rFonts w:ascii="Arial"/>
          <w:color w:val="231F20"/>
          <w:sz w:val="16"/>
        </w:rPr>
        <w:t>al:</w:t>
      </w:r>
      <w:r>
        <w:rPr>
          <w:rFonts w:ascii="Arial"/>
          <w:color w:val="231F20"/>
          <w:spacing w:val="-17"/>
          <w:sz w:val="16"/>
        </w:rPr>
        <w:t> </w:t>
      </w:r>
      <w:r>
        <w:rPr>
          <w:rFonts w:ascii="Arial"/>
          <w:color w:val="231F20"/>
          <w:sz w:val="16"/>
        </w:rPr>
        <w:t>Sodium,</w:t>
      </w:r>
      <w:r>
        <w:rPr>
          <w:rFonts w:ascii="Arial"/>
          <w:color w:val="231F20"/>
          <w:spacing w:val="-17"/>
          <w:sz w:val="16"/>
        </w:rPr>
        <w:t> </w:t>
      </w:r>
      <w:r>
        <w:rPr>
          <w:rFonts w:ascii="Arial"/>
          <w:color w:val="231F20"/>
          <w:sz w:val="16"/>
        </w:rPr>
        <w:t>blood</w:t>
      </w:r>
      <w:r>
        <w:rPr>
          <w:rFonts w:ascii="Arial"/>
          <w:color w:val="231F20"/>
          <w:spacing w:val="-17"/>
          <w:sz w:val="16"/>
        </w:rPr>
        <w:t> </w:t>
      </w:r>
      <w:r>
        <w:rPr>
          <w:rFonts w:ascii="Arial"/>
          <w:color w:val="231F20"/>
          <w:sz w:val="16"/>
        </w:rPr>
        <w:t>pressure,</w:t>
      </w:r>
      <w:r>
        <w:rPr>
          <w:rFonts w:ascii="Arial"/>
          <w:color w:val="231F20"/>
          <w:spacing w:val="-17"/>
          <w:sz w:val="16"/>
        </w:rPr>
        <w:t> </w:t>
      </w:r>
      <w:r>
        <w:rPr>
          <w:rFonts w:ascii="Arial"/>
          <w:color w:val="231F20"/>
          <w:sz w:val="16"/>
        </w:rPr>
        <w:t>and cardiovascular</w:t>
      </w:r>
      <w:r>
        <w:rPr>
          <w:rFonts w:ascii="Arial"/>
          <w:color w:val="231F20"/>
          <w:spacing w:val="-22"/>
          <w:sz w:val="16"/>
        </w:rPr>
        <w:t> </w:t>
      </w:r>
      <w:r>
        <w:rPr>
          <w:rFonts w:ascii="Arial"/>
          <w:color w:val="231F20"/>
          <w:sz w:val="16"/>
        </w:rPr>
        <w:t>disease:</w:t>
      </w:r>
      <w:r>
        <w:rPr>
          <w:rFonts w:ascii="Arial"/>
          <w:color w:val="231F20"/>
          <w:spacing w:val="-21"/>
          <w:sz w:val="16"/>
        </w:rPr>
        <w:t> </w:t>
      </w:r>
      <w:r>
        <w:rPr>
          <w:rFonts w:ascii="Arial"/>
          <w:color w:val="231F20"/>
          <w:sz w:val="16"/>
        </w:rPr>
        <w:t>further</w:t>
      </w:r>
      <w:r>
        <w:rPr>
          <w:rFonts w:ascii="Arial"/>
          <w:color w:val="231F20"/>
          <w:spacing w:val="-21"/>
          <w:sz w:val="16"/>
        </w:rPr>
        <w:t> </w:t>
      </w:r>
      <w:r>
        <w:rPr>
          <w:rFonts w:ascii="Arial"/>
          <w:color w:val="231F20"/>
          <w:sz w:val="16"/>
        </w:rPr>
        <w:t>evidence</w:t>
      </w:r>
      <w:r>
        <w:rPr>
          <w:rFonts w:ascii="Arial"/>
          <w:color w:val="231F20"/>
          <w:spacing w:val="-21"/>
          <w:sz w:val="16"/>
        </w:rPr>
        <w:t> </w:t>
      </w:r>
      <w:r>
        <w:rPr>
          <w:rFonts w:ascii="Arial"/>
          <w:color w:val="231F20"/>
          <w:sz w:val="16"/>
        </w:rPr>
        <w:t>supporting</w:t>
      </w:r>
      <w:r>
        <w:rPr>
          <w:rFonts w:ascii="Arial"/>
          <w:color w:val="231F20"/>
          <w:spacing w:val="-22"/>
          <w:sz w:val="16"/>
        </w:rPr>
        <w:t> </w:t>
      </w:r>
      <w:r>
        <w:rPr>
          <w:rFonts w:ascii="Arial"/>
          <w:color w:val="231F20"/>
          <w:sz w:val="16"/>
        </w:rPr>
        <w:t>the</w:t>
      </w:r>
      <w:r>
        <w:rPr>
          <w:rFonts w:ascii="Arial"/>
          <w:color w:val="231F20"/>
          <w:spacing w:val="-21"/>
          <w:sz w:val="16"/>
        </w:rPr>
        <w:t> </w:t>
      </w:r>
      <w:r>
        <w:rPr>
          <w:rFonts w:ascii="Arial"/>
          <w:color w:val="231F20"/>
          <w:sz w:val="16"/>
        </w:rPr>
        <w:t>American Heart</w:t>
      </w:r>
      <w:r>
        <w:rPr>
          <w:rFonts w:ascii="Arial"/>
          <w:color w:val="231F20"/>
          <w:spacing w:val="-26"/>
          <w:sz w:val="16"/>
        </w:rPr>
        <w:t> </w:t>
      </w:r>
      <w:r>
        <w:rPr>
          <w:rFonts w:ascii="Arial"/>
          <w:color w:val="231F20"/>
          <w:sz w:val="16"/>
        </w:rPr>
        <w:t>Association</w:t>
      </w:r>
      <w:r>
        <w:rPr>
          <w:rFonts w:ascii="Arial"/>
          <w:color w:val="231F20"/>
          <w:spacing w:val="-26"/>
          <w:sz w:val="16"/>
        </w:rPr>
        <w:t> </w:t>
      </w:r>
      <w:r>
        <w:rPr>
          <w:rFonts w:ascii="Arial"/>
          <w:color w:val="231F20"/>
          <w:sz w:val="16"/>
        </w:rPr>
        <w:t>sodium</w:t>
      </w:r>
      <w:r>
        <w:rPr>
          <w:rFonts w:ascii="Arial"/>
          <w:color w:val="231F20"/>
          <w:spacing w:val="-26"/>
          <w:sz w:val="16"/>
        </w:rPr>
        <w:t> </w:t>
      </w:r>
      <w:r>
        <w:rPr>
          <w:rFonts w:ascii="Arial"/>
          <w:color w:val="231F20"/>
          <w:sz w:val="16"/>
        </w:rPr>
        <w:t>reduction</w:t>
      </w:r>
      <w:r>
        <w:rPr>
          <w:rFonts w:ascii="Arial"/>
          <w:color w:val="231F20"/>
          <w:spacing w:val="-26"/>
          <w:sz w:val="16"/>
        </w:rPr>
        <w:t> </w:t>
      </w:r>
      <w:r>
        <w:rPr>
          <w:rFonts w:ascii="Arial"/>
          <w:color w:val="231F20"/>
          <w:sz w:val="16"/>
        </w:rPr>
        <w:t>recommendations.</w:t>
      </w:r>
      <w:r>
        <w:rPr>
          <w:rFonts w:ascii="Arial"/>
          <w:color w:val="231F20"/>
          <w:spacing w:val="-26"/>
          <w:sz w:val="16"/>
        </w:rPr>
        <w:t> </w:t>
      </w:r>
      <w:r>
        <w:rPr>
          <w:rFonts w:ascii="Arial"/>
          <w:color w:val="231F20"/>
          <w:spacing w:val="-3"/>
          <w:sz w:val="16"/>
        </w:rPr>
        <w:t>Circulation </w:t>
      </w:r>
      <w:r>
        <w:rPr>
          <w:rFonts w:ascii="Arial"/>
          <w:color w:val="231F20"/>
          <w:sz w:val="16"/>
        </w:rPr>
        <w:t>126:2880,</w:t>
      </w:r>
      <w:r>
        <w:rPr>
          <w:rFonts w:ascii="Arial"/>
          <w:color w:val="231F20"/>
          <w:spacing w:val="8"/>
          <w:sz w:val="16"/>
        </w:rPr>
        <w:t> </w:t>
      </w:r>
      <w:r>
        <w:rPr>
          <w:rFonts w:ascii="Arial"/>
          <w:color w:val="231F20"/>
          <w:sz w:val="16"/>
        </w:rPr>
        <w:t>2012.</w:t>
      </w:r>
    </w:p>
    <w:p>
      <w:pPr>
        <w:spacing w:line="261" w:lineRule="auto" w:before="0"/>
        <w:ind w:left="479" w:right="1079" w:hanging="160"/>
        <w:jc w:val="both"/>
        <w:rPr>
          <w:rFonts w:ascii="Arial" w:hAnsi="Arial"/>
          <w:sz w:val="16"/>
        </w:rPr>
      </w:pPr>
      <w:r>
        <w:rPr>
          <w:rFonts w:ascii="Arial" w:hAnsi="Arial"/>
          <w:color w:val="231F20"/>
          <w:sz w:val="16"/>
        </w:rPr>
        <w:t>Worcester EM, Coe FL: New insights into the pathogenesis of</w:t>
      </w:r>
      <w:r>
        <w:rPr>
          <w:rFonts w:ascii="Arial" w:hAnsi="Arial"/>
          <w:color w:val="231F20"/>
          <w:spacing w:val="-26"/>
          <w:sz w:val="16"/>
        </w:rPr>
        <w:t> </w:t>
      </w:r>
      <w:r>
        <w:rPr>
          <w:rFonts w:ascii="Arial" w:hAnsi="Arial"/>
          <w:color w:val="231F20"/>
          <w:spacing w:val="-4"/>
          <w:sz w:val="16"/>
        </w:rPr>
        <w:t>idio­ </w:t>
      </w:r>
      <w:r>
        <w:rPr>
          <w:rFonts w:ascii="Arial" w:hAnsi="Arial"/>
          <w:color w:val="231F20"/>
          <w:sz w:val="16"/>
        </w:rPr>
        <w:t>pathic hypercalciuria. Semin Nephrol 28:120,</w:t>
      </w:r>
      <w:r>
        <w:rPr>
          <w:rFonts w:ascii="Arial" w:hAnsi="Arial"/>
          <w:color w:val="231F20"/>
          <w:spacing w:val="13"/>
          <w:sz w:val="16"/>
        </w:rPr>
        <w:t> </w:t>
      </w:r>
      <w:r>
        <w:rPr>
          <w:rFonts w:ascii="Arial" w:hAnsi="Arial"/>
          <w:color w:val="231F20"/>
          <w:sz w:val="16"/>
        </w:rPr>
        <w:t>2008.</w:t>
      </w:r>
    </w:p>
    <w:p>
      <w:pPr>
        <w:spacing w:line="261" w:lineRule="auto" w:before="0"/>
        <w:ind w:left="479" w:right="1077" w:hanging="160"/>
        <w:jc w:val="both"/>
        <w:rPr>
          <w:rFonts w:ascii="Arial" w:hAnsi="Arial"/>
          <w:sz w:val="16"/>
        </w:rPr>
      </w:pPr>
      <w:r>
        <w:rPr>
          <w:rFonts w:ascii="Arial" w:hAnsi="Arial"/>
          <w:color w:val="231F20"/>
          <w:spacing w:val="-3"/>
          <w:sz w:val="16"/>
        </w:rPr>
        <w:t>Young</w:t>
      </w:r>
      <w:r>
        <w:rPr>
          <w:rFonts w:ascii="Arial" w:hAnsi="Arial"/>
          <w:color w:val="231F20"/>
          <w:spacing w:val="-5"/>
          <w:sz w:val="16"/>
        </w:rPr>
        <w:t> </w:t>
      </w:r>
      <w:r>
        <w:rPr>
          <w:rFonts w:ascii="Arial" w:hAnsi="Arial"/>
          <w:color w:val="231F20"/>
          <w:sz w:val="16"/>
        </w:rPr>
        <w:t>DB:</w:t>
      </w:r>
      <w:r>
        <w:rPr>
          <w:rFonts w:ascii="Arial" w:hAnsi="Arial"/>
          <w:color w:val="231F20"/>
          <w:spacing w:val="-5"/>
          <w:sz w:val="16"/>
        </w:rPr>
        <w:t> </w:t>
      </w:r>
      <w:r>
        <w:rPr>
          <w:rFonts w:ascii="Arial" w:hAnsi="Arial"/>
          <w:color w:val="231F20"/>
          <w:sz w:val="16"/>
        </w:rPr>
        <w:t>Quantitative</w:t>
      </w:r>
      <w:r>
        <w:rPr>
          <w:rFonts w:ascii="Arial" w:hAnsi="Arial"/>
          <w:color w:val="231F20"/>
          <w:spacing w:val="-4"/>
          <w:sz w:val="16"/>
        </w:rPr>
        <w:t> </w:t>
      </w:r>
      <w:r>
        <w:rPr>
          <w:rFonts w:ascii="Arial" w:hAnsi="Arial"/>
          <w:color w:val="231F20"/>
          <w:sz w:val="16"/>
        </w:rPr>
        <w:t>analysis</w:t>
      </w:r>
      <w:r>
        <w:rPr>
          <w:rFonts w:ascii="Arial" w:hAnsi="Arial"/>
          <w:color w:val="231F20"/>
          <w:spacing w:val="-5"/>
          <w:sz w:val="16"/>
        </w:rPr>
        <w:t> </w:t>
      </w:r>
      <w:r>
        <w:rPr>
          <w:rFonts w:ascii="Arial" w:hAnsi="Arial"/>
          <w:color w:val="231F20"/>
          <w:sz w:val="16"/>
        </w:rPr>
        <w:t>of</w:t>
      </w:r>
      <w:r>
        <w:rPr>
          <w:rFonts w:ascii="Arial" w:hAnsi="Arial"/>
          <w:color w:val="231F20"/>
          <w:spacing w:val="-4"/>
          <w:sz w:val="16"/>
        </w:rPr>
        <w:t> </w:t>
      </w:r>
      <w:r>
        <w:rPr>
          <w:rFonts w:ascii="Arial" w:hAnsi="Arial"/>
          <w:color w:val="231F20"/>
          <w:sz w:val="16"/>
        </w:rPr>
        <w:t>aldosterone’s</w:t>
      </w:r>
      <w:r>
        <w:rPr>
          <w:rFonts w:ascii="Arial" w:hAnsi="Arial"/>
          <w:color w:val="231F20"/>
          <w:spacing w:val="-5"/>
          <w:sz w:val="16"/>
        </w:rPr>
        <w:t> </w:t>
      </w:r>
      <w:r>
        <w:rPr>
          <w:rFonts w:ascii="Arial" w:hAnsi="Arial"/>
          <w:color w:val="231F20"/>
          <w:sz w:val="16"/>
        </w:rPr>
        <w:t>role</w:t>
      </w:r>
      <w:r>
        <w:rPr>
          <w:rFonts w:ascii="Arial" w:hAnsi="Arial"/>
          <w:color w:val="231F20"/>
          <w:spacing w:val="-4"/>
          <w:sz w:val="16"/>
        </w:rPr>
        <w:t> </w:t>
      </w:r>
      <w:r>
        <w:rPr>
          <w:rFonts w:ascii="Arial" w:hAnsi="Arial"/>
          <w:color w:val="231F20"/>
          <w:sz w:val="16"/>
        </w:rPr>
        <w:t>in</w:t>
      </w:r>
      <w:r>
        <w:rPr>
          <w:rFonts w:ascii="Arial" w:hAnsi="Arial"/>
          <w:color w:val="231F20"/>
          <w:spacing w:val="-5"/>
          <w:sz w:val="16"/>
        </w:rPr>
        <w:t> </w:t>
      </w:r>
      <w:r>
        <w:rPr>
          <w:rFonts w:ascii="Arial" w:hAnsi="Arial"/>
          <w:color w:val="231F20"/>
          <w:sz w:val="16"/>
        </w:rPr>
        <w:t>potassium regulation. Am J Physiol 255:F811,</w:t>
      </w:r>
      <w:r>
        <w:rPr>
          <w:rFonts w:ascii="Arial" w:hAnsi="Arial"/>
          <w:color w:val="231F20"/>
          <w:spacing w:val="23"/>
          <w:sz w:val="16"/>
        </w:rPr>
        <w:t> </w:t>
      </w:r>
      <w:r>
        <w:rPr>
          <w:rFonts w:ascii="Arial" w:hAnsi="Arial"/>
          <w:color w:val="231F20"/>
          <w:sz w:val="16"/>
        </w:rPr>
        <w:t>1988.</w:t>
      </w:r>
    </w:p>
    <w:p>
      <w:pPr>
        <w:spacing w:after="0" w:line="261" w:lineRule="auto"/>
        <w:jc w:val="both"/>
        <w:rPr>
          <w:rFonts w:ascii="Arial" w:hAnsi="Arial"/>
          <w:sz w:val="16"/>
        </w:rPr>
        <w:sectPr>
          <w:type w:val="continuous"/>
          <w:pgSz w:w="12240" w:h="15660"/>
          <w:pgMar w:top="0" w:bottom="760" w:left="0" w:right="0"/>
          <w:cols w:num="2" w:equalWidth="0">
            <w:col w:w="6121" w:space="40"/>
            <w:col w:w="607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931"/>
          <w:footerReference w:type="default" r:id="rId932"/>
          <w:footerReference w:type="even" r:id="rId933"/>
          <w:pgSz w:w="12240" w:h="15660"/>
          <w:pgMar w:header="0" w:footer="567" w:top="0" w:bottom="760" w:left="0" w:right="0"/>
          <w:pgNumType w:start="409"/>
        </w:sectPr>
      </w:pPr>
    </w:p>
    <w:p>
      <w:pPr>
        <w:pStyle w:val="BodyText"/>
        <w:spacing w:line="249" w:lineRule="auto" w:before="247"/>
        <w:ind w:left="1439"/>
        <w:jc w:val="both"/>
      </w:pPr>
      <w:r>
        <w:rPr/>
        <w:pict>
          <v:group style="position:absolute;margin-left:0pt;margin-top:0pt;width:612pt;height:180pt;mso-position-horizontal-relative:page;mso-position-vertical-relative:page;z-index:252719104"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934" o:title=""/>
            </v:shape>
            <v:shape style="position:absolute;left:6464;top:2704;width:4716;height:848" type="#_x0000_t202" filled="false" stroked="false">
              <v:textbox inset="0,0,0,0">
                <w:txbxContent>
                  <w:p>
                    <w:pPr>
                      <w:spacing w:before="50"/>
                      <w:ind w:left="0" w:right="0" w:firstLine="0"/>
                      <w:jc w:val="left"/>
                      <w:rPr>
                        <w:b/>
                        <w:sz w:val="52"/>
                      </w:rPr>
                    </w:pPr>
                    <w:r>
                      <w:rPr>
                        <w:b/>
                        <w:color w:val="231F20"/>
                        <w:w w:val="95"/>
                        <w:sz w:val="52"/>
                      </w:rPr>
                      <w:t>Acid-Base</w:t>
                    </w:r>
                    <w:r>
                      <w:rPr>
                        <w:b/>
                        <w:color w:val="231F20"/>
                        <w:spacing w:val="102"/>
                        <w:w w:val="95"/>
                        <w:sz w:val="52"/>
                      </w:rPr>
                      <w:t> </w:t>
                    </w:r>
                    <w:r>
                      <w:rPr>
                        <w:b/>
                        <w:color w:val="231F20"/>
                        <w:w w:val="95"/>
                        <w:sz w:val="52"/>
                      </w:rPr>
                      <w:t>Regulation</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3</w:t>
                    </w:r>
                    <w:r>
                      <w:rPr>
                        <w:rFonts w:ascii="Trebuchet MS"/>
                        <w:b/>
                        <w:color w:val="231F20"/>
                        <w:spacing w:val="-44"/>
                        <w:w w:val="105"/>
                        <w:sz w:val="36"/>
                      </w:rPr>
                      <w:t> </w:t>
                    </w:r>
                    <w:r>
                      <w:rPr>
                        <w:rFonts w:ascii="Trebuchet MS"/>
                        <w:b/>
                        <w:color w:val="231F20"/>
                        <w:w w:val="105"/>
                        <w:sz w:val="36"/>
                      </w:rPr>
                      <w:t>1</w:t>
                    </w:r>
                  </w:p>
                </w:txbxContent>
              </v:textbox>
              <w10:wrap type="none"/>
            </v:shape>
            <w10:wrap type="none"/>
          </v:group>
        </w:pict>
      </w:r>
      <w:r>
        <w:rPr/>
        <w:pict>
          <v:shape style="position:absolute;margin-left:578.900024pt;margin-top:-79.823143pt;width:15.9pt;height:53.35pt;mso-position-horizontal-relative:page;mso-position-vertical-relative:paragraph;z-index:25272115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Regulation</w:t>
      </w:r>
      <w:r>
        <w:rPr>
          <w:color w:val="231F20"/>
          <w:spacing w:val="-31"/>
          <w:w w:val="105"/>
        </w:rPr>
        <w:t> </w:t>
      </w:r>
      <w:r>
        <w:rPr>
          <w:color w:val="231F20"/>
          <w:w w:val="105"/>
        </w:rPr>
        <w:t>of</w:t>
      </w:r>
      <w:r>
        <w:rPr>
          <w:color w:val="231F20"/>
          <w:spacing w:val="-31"/>
          <w:w w:val="105"/>
        </w:rPr>
        <w:t> </w:t>
      </w:r>
      <w:r>
        <w:rPr>
          <w:color w:val="231F20"/>
          <w:w w:val="105"/>
        </w:rPr>
        <w:t>hydrogen</w:t>
      </w:r>
      <w:r>
        <w:rPr>
          <w:color w:val="231F20"/>
          <w:spacing w:val="-31"/>
          <w:w w:val="105"/>
        </w:rPr>
        <w:t> </w:t>
      </w:r>
      <w:r>
        <w:rPr>
          <w:color w:val="231F20"/>
          <w:w w:val="105"/>
        </w:rPr>
        <w:t>ion</w:t>
      </w:r>
      <w:r>
        <w:rPr>
          <w:color w:val="231F20"/>
          <w:spacing w:val="-30"/>
          <w:w w:val="105"/>
        </w:rPr>
        <w:t> </w:t>
      </w:r>
      <w:r>
        <w:rPr>
          <w:color w:val="231F20"/>
          <w:w w:val="105"/>
        </w:rPr>
        <w:t>(H</w:t>
      </w:r>
      <w:r>
        <w:rPr>
          <w:rFonts w:ascii="Consolas"/>
          <w:color w:val="231F20"/>
          <w:w w:val="105"/>
          <w:position w:val="8"/>
          <w:sz w:val="12"/>
        </w:rPr>
        <w:t>+</w:t>
      </w:r>
      <w:r>
        <w:rPr>
          <w:color w:val="231F20"/>
          <w:w w:val="105"/>
        </w:rPr>
        <w:t>)</w:t>
      </w:r>
      <w:r>
        <w:rPr>
          <w:color w:val="231F20"/>
          <w:spacing w:val="-31"/>
          <w:w w:val="105"/>
        </w:rPr>
        <w:t> </w:t>
      </w:r>
      <w:r>
        <w:rPr>
          <w:color w:val="231F20"/>
          <w:w w:val="105"/>
        </w:rPr>
        <w:t>balance</w:t>
      </w:r>
      <w:r>
        <w:rPr>
          <w:color w:val="231F20"/>
          <w:spacing w:val="-31"/>
          <w:w w:val="105"/>
        </w:rPr>
        <w:t> </w:t>
      </w:r>
      <w:r>
        <w:rPr>
          <w:color w:val="231F20"/>
          <w:w w:val="105"/>
        </w:rPr>
        <w:t>is</w:t>
      </w:r>
      <w:r>
        <w:rPr>
          <w:color w:val="231F20"/>
          <w:spacing w:val="-30"/>
          <w:w w:val="105"/>
        </w:rPr>
        <w:t> </w:t>
      </w:r>
      <w:r>
        <w:rPr>
          <w:color w:val="231F20"/>
          <w:w w:val="105"/>
        </w:rPr>
        <w:t>similar</w:t>
      </w:r>
      <w:r>
        <w:rPr>
          <w:color w:val="231F20"/>
          <w:spacing w:val="-31"/>
          <w:w w:val="105"/>
        </w:rPr>
        <w:t> </w:t>
      </w:r>
      <w:r>
        <w:rPr>
          <w:color w:val="231F20"/>
          <w:w w:val="105"/>
        </w:rPr>
        <w:t>in</w:t>
      </w:r>
      <w:r>
        <w:rPr>
          <w:color w:val="231F20"/>
          <w:spacing w:val="-31"/>
          <w:w w:val="105"/>
        </w:rPr>
        <w:t> </w:t>
      </w:r>
      <w:r>
        <w:rPr>
          <w:color w:val="231F20"/>
          <w:spacing w:val="-4"/>
          <w:w w:val="105"/>
        </w:rPr>
        <w:t>some </w:t>
      </w:r>
      <w:r>
        <w:rPr>
          <w:color w:val="231F20"/>
          <w:w w:val="105"/>
        </w:rPr>
        <w:t>ways</w:t>
      </w:r>
      <w:r>
        <w:rPr>
          <w:color w:val="231F20"/>
          <w:spacing w:val="-18"/>
          <w:w w:val="105"/>
        </w:rPr>
        <w:t> </w:t>
      </w:r>
      <w:r>
        <w:rPr>
          <w:color w:val="231F20"/>
          <w:w w:val="105"/>
        </w:rPr>
        <w:t>to</w:t>
      </w:r>
      <w:r>
        <w:rPr>
          <w:color w:val="231F20"/>
          <w:spacing w:val="-17"/>
          <w:w w:val="105"/>
        </w:rPr>
        <w:t> </w:t>
      </w:r>
      <w:r>
        <w:rPr>
          <w:color w:val="231F20"/>
          <w:w w:val="105"/>
        </w:rPr>
        <w:t>regulation</w:t>
      </w:r>
      <w:r>
        <w:rPr>
          <w:color w:val="231F20"/>
          <w:spacing w:val="-17"/>
          <w:w w:val="105"/>
        </w:rPr>
        <w:t> </w:t>
      </w:r>
      <w:r>
        <w:rPr>
          <w:color w:val="231F20"/>
          <w:w w:val="105"/>
        </w:rPr>
        <w:t>of</w:t>
      </w:r>
      <w:r>
        <w:rPr>
          <w:color w:val="231F20"/>
          <w:spacing w:val="-17"/>
          <w:w w:val="105"/>
        </w:rPr>
        <w:t> </w:t>
      </w:r>
      <w:r>
        <w:rPr>
          <w:color w:val="231F20"/>
          <w:w w:val="105"/>
        </w:rPr>
        <w:t>other</w:t>
      </w:r>
      <w:r>
        <w:rPr>
          <w:color w:val="231F20"/>
          <w:spacing w:val="-18"/>
          <w:w w:val="105"/>
        </w:rPr>
        <w:t> </w:t>
      </w:r>
      <w:r>
        <w:rPr>
          <w:color w:val="231F20"/>
          <w:w w:val="105"/>
        </w:rPr>
        <w:t>ions</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body.</w:t>
      </w:r>
      <w:r>
        <w:rPr>
          <w:color w:val="231F20"/>
          <w:spacing w:val="-17"/>
          <w:w w:val="105"/>
        </w:rPr>
        <w:t> </w:t>
      </w:r>
      <w:r>
        <w:rPr>
          <w:color w:val="231F20"/>
          <w:spacing w:val="-3"/>
          <w:w w:val="105"/>
        </w:rPr>
        <w:t>For</w:t>
      </w:r>
      <w:r>
        <w:rPr>
          <w:color w:val="231F20"/>
          <w:spacing w:val="-18"/>
          <w:w w:val="105"/>
        </w:rPr>
        <w:t> </w:t>
      </w:r>
      <w:r>
        <w:rPr>
          <w:color w:val="231F20"/>
          <w:w w:val="105"/>
        </w:rPr>
        <w:t>instance, there</w:t>
      </w:r>
      <w:r>
        <w:rPr>
          <w:color w:val="231F20"/>
          <w:spacing w:val="-12"/>
          <w:w w:val="105"/>
        </w:rPr>
        <w:t> </w:t>
      </w:r>
      <w:r>
        <w:rPr>
          <w:color w:val="231F20"/>
          <w:w w:val="105"/>
        </w:rPr>
        <w:t>must</w:t>
      </w:r>
      <w:r>
        <w:rPr>
          <w:color w:val="231F20"/>
          <w:spacing w:val="-12"/>
          <w:w w:val="105"/>
        </w:rPr>
        <w:t> </w:t>
      </w:r>
      <w:r>
        <w:rPr>
          <w:color w:val="231F20"/>
          <w:w w:val="105"/>
        </w:rPr>
        <w:t>be</w:t>
      </w:r>
      <w:r>
        <w:rPr>
          <w:color w:val="231F20"/>
          <w:spacing w:val="-11"/>
          <w:w w:val="105"/>
        </w:rPr>
        <w:t> </w:t>
      </w:r>
      <w:r>
        <w:rPr>
          <w:color w:val="231F20"/>
          <w:w w:val="105"/>
        </w:rPr>
        <w:t>a</w:t>
      </w:r>
      <w:r>
        <w:rPr>
          <w:color w:val="231F20"/>
          <w:spacing w:val="-12"/>
          <w:w w:val="105"/>
        </w:rPr>
        <w:t> </w:t>
      </w:r>
      <w:r>
        <w:rPr>
          <w:color w:val="231F20"/>
          <w:w w:val="105"/>
        </w:rPr>
        <w:t>balance</w:t>
      </w:r>
      <w:r>
        <w:rPr>
          <w:color w:val="231F20"/>
          <w:spacing w:val="-12"/>
          <w:w w:val="105"/>
        </w:rPr>
        <w:t> </w:t>
      </w:r>
      <w:r>
        <w:rPr>
          <w:color w:val="231F20"/>
          <w:w w:val="105"/>
        </w:rPr>
        <w:t>between</w:t>
      </w:r>
      <w:r>
        <w:rPr>
          <w:color w:val="231F20"/>
          <w:spacing w:val="-11"/>
          <w:w w:val="105"/>
        </w:rPr>
        <w:t> </w:t>
      </w:r>
      <w:r>
        <w:rPr>
          <w:color w:val="231F20"/>
          <w:w w:val="105"/>
        </w:rPr>
        <w:t>the</w:t>
      </w:r>
      <w:r>
        <w:rPr>
          <w:color w:val="231F20"/>
          <w:spacing w:val="-12"/>
          <w:w w:val="105"/>
        </w:rPr>
        <w:t> </w:t>
      </w:r>
      <w:r>
        <w:rPr>
          <w:color w:val="231F20"/>
          <w:w w:val="105"/>
        </w:rPr>
        <w:t>intake</w:t>
      </w:r>
      <w:r>
        <w:rPr>
          <w:color w:val="231F20"/>
          <w:spacing w:val="-11"/>
          <w:w w:val="105"/>
        </w:rPr>
        <w:t> </w:t>
      </w:r>
      <w:r>
        <w:rPr>
          <w:color w:val="231F20"/>
          <w:w w:val="105"/>
        </w:rPr>
        <w:t>or</w:t>
      </w:r>
      <w:r>
        <w:rPr>
          <w:color w:val="231F20"/>
          <w:spacing w:val="-12"/>
          <w:w w:val="105"/>
        </w:rPr>
        <w:t> </w:t>
      </w:r>
      <w:r>
        <w:rPr>
          <w:color w:val="231F20"/>
          <w:spacing w:val="-2"/>
          <w:w w:val="105"/>
        </w:rPr>
        <w:t>production </w:t>
      </w:r>
      <w:r>
        <w:rPr>
          <w:color w:val="231F20"/>
          <w:w w:val="105"/>
        </w:rPr>
        <w:t>of H</w:t>
      </w:r>
      <w:r>
        <w:rPr>
          <w:rFonts w:ascii="Consolas"/>
          <w:color w:val="231F20"/>
          <w:w w:val="105"/>
          <w:position w:val="8"/>
          <w:sz w:val="12"/>
        </w:rPr>
        <w:t>+ </w:t>
      </w:r>
      <w:r>
        <w:rPr>
          <w:color w:val="231F20"/>
          <w:w w:val="105"/>
        </w:rPr>
        <w:t>and net removal of H</w:t>
      </w:r>
      <w:r>
        <w:rPr>
          <w:rFonts w:ascii="Consolas"/>
          <w:color w:val="231F20"/>
          <w:w w:val="105"/>
          <w:position w:val="8"/>
          <w:sz w:val="12"/>
        </w:rPr>
        <w:t>+ </w:t>
      </w:r>
      <w:r>
        <w:rPr>
          <w:color w:val="231F20"/>
          <w:w w:val="105"/>
        </w:rPr>
        <w:t>from the body to achieve homeostasis. And, as is true for other ions, the </w:t>
      </w:r>
      <w:r>
        <w:rPr>
          <w:color w:val="231F20"/>
          <w:spacing w:val="-3"/>
          <w:w w:val="105"/>
        </w:rPr>
        <w:t>kidneys </w:t>
      </w:r>
      <w:r>
        <w:rPr>
          <w:color w:val="231F20"/>
          <w:w w:val="105"/>
        </w:rPr>
        <w:t>play a key role in regulating H</w:t>
      </w:r>
      <w:r>
        <w:rPr>
          <w:rFonts w:ascii="Consolas"/>
          <w:color w:val="231F20"/>
          <w:w w:val="105"/>
          <w:position w:val="8"/>
          <w:sz w:val="12"/>
        </w:rPr>
        <w:t>+ </w:t>
      </w:r>
      <w:r>
        <w:rPr>
          <w:color w:val="231F20"/>
          <w:w w:val="105"/>
        </w:rPr>
        <w:t>removal from the</w:t>
      </w:r>
      <w:r>
        <w:rPr>
          <w:color w:val="231F20"/>
          <w:spacing w:val="-15"/>
          <w:w w:val="105"/>
        </w:rPr>
        <w:t> </w:t>
      </w:r>
      <w:r>
        <w:rPr>
          <w:color w:val="231F20"/>
          <w:w w:val="105"/>
        </w:rPr>
        <w:t>body. However,</w:t>
      </w:r>
      <w:r>
        <w:rPr>
          <w:color w:val="231F20"/>
          <w:spacing w:val="-31"/>
          <w:w w:val="105"/>
        </w:rPr>
        <w:t> </w:t>
      </w:r>
      <w:r>
        <w:rPr>
          <w:color w:val="231F20"/>
          <w:w w:val="105"/>
        </w:rPr>
        <w:t>precise</w:t>
      </w:r>
      <w:r>
        <w:rPr>
          <w:color w:val="231F20"/>
          <w:spacing w:val="-30"/>
          <w:w w:val="105"/>
        </w:rPr>
        <w:t> </w:t>
      </w:r>
      <w:r>
        <w:rPr>
          <w:color w:val="231F20"/>
          <w:w w:val="105"/>
        </w:rPr>
        <w:t>control</w:t>
      </w:r>
      <w:r>
        <w:rPr>
          <w:color w:val="231F20"/>
          <w:spacing w:val="-30"/>
          <w:w w:val="105"/>
        </w:rPr>
        <w:t> </w:t>
      </w:r>
      <w:r>
        <w:rPr>
          <w:color w:val="231F20"/>
          <w:w w:val="105"/>
        </w:rPr>
        <w:t>of</w:t>
      </w:r>
      <w:r>
        <w:rPr>
          <w:color w:val="231F20"/>
          <w:spacing w:val="-30"/>
          <w:w w:val="105"/>
        </w:rPr>
        <w:t> </w:t>
      </w:r>
      <w:r>
        <w:rPr>
          <w:color w:val="231F20"/>
          <w:w w:val="105"/>
        </w:rPr>
        <w:t>extracellular</w:t>
      </w:r>
      <w:r>
        <w:rPr>
          <w:color w:val="231F20"/>
          <w:spacing w:val="-30"/>
          <w:w w:val="105"/>
        </w:rPr>
        <w:t> </w:t>
      </w:r>
      <w:r>
        <w:rPr>
          <w:color w:val="231F20"/>
          <w:w w:val="105"/>
        </w:rPr>
        <w:t>fluid</w:t>
      </w:r>
      <w:r>
        <w:rPr>
          <w:color w:val="231F20"/>
          <w:spacing w:val="-30"/>
          <w:w w:val="105"/>
        </w:rPr>
        <w:t> </w:t>
      </w:r>
      <w:r>
        <w:rPr>
          <w:color w:val="231F20"/>
          <w:w w:val="105"/>
        </w:rPr>
        <w:t>H</w:t>
      </w:r>
      <w:r>
        <w:rPr>
          <w:rFonts w:ascii="Consolas"/>
          <w:color w:val="231F20"/>
          <w:w w:val="105"/>
          <w:position w:val="8"/>
          <w:sz w:val="12"/>
        </w:rPr>
        <w:t>+</w:t>
      </w:r>
      <w:r>
        <w:rPr>
          <w:rFonts w:ascii="Consolas"/>
          <w:color w:val="231F20"/>
          <w:spacing w:val="-47"/>
          <w:w w:val="105"/>
          <w:position w:val="8"/>
          <w:sz w:val="12"/>
        </w:rPr>
        <w:t> </w:t>
      </w:r>
      <w:r>
        <w:rPr>
          <w:color w:val="231F20"/>
          <w:w w:val="105"/>
        </w:rPr>
        <w:t>concen- tration</w:t>
      </w:r>
      <w:r>
        <w:rPr>
          <w:color w:val="231F20"/>
          <w:spacing w:val="-23"/>
          <w:w w:val="105"/>
        </w:rPr>
        <w:t> </w:t>
      </w:r>
      <w:r>
        <w:rPr>
          <w:color w:val="231F20"/>
          <w:w w:val="105"/>
        </w:rPr>
        <w:t>involves</w:t>
      </w:r>
      <w:r>
        <w:rPr>
          <w:color w:val="231F20"/>
          <w:spacing w:val="-22"/>
          <w:w w:val="105"/>
        </w:rPr>
        <w:t> </w:t>
      </w:r>
      <w:r>
        <w:rPr>
          <w:color w:val="231F20"/>
          <w:w w:val="105"/>
        </w:rPr>
        <w:t>much</w:t>
      </w:r>
      <w:r>
        <w:rPr>
          <w:color w:val="231F20"/>
          <w:spacing w:val="-22"/>
          <w:w w:val="105"/>
        </w:rPr>
        <w:t> </w:t>
      </w:r>
      <w:r>
        <w:rPr>
          <w:color w:val="231F20"/>
          <w:w w:val="105"/>
        </w:rPr>
        <w:t>more</w:t>
      </w:r>
      <w:r>
        <w:rPr>
          <w:color w:val="231F20"/>
          <w:spacing w:val="-22"/>
          <w:w w:val="105"/>
        </w:rPr>
        <w:t> </w:t>
      </w:r>
      <w:r>
        <w:rPr>
          <w:color w:val="231F20"/>
          <w:w w:val="105"/>
        </w:rPr>
        <w:t>than</w:t>
      </w:r>
      <w:r>
        <w:rPr>
          <w:color w:val="231F20"/>
          <w:spacing w:val="-23"/>
          <w:w w:val="105"/>
        </w:rPr>
        <w:t> </w:t>
      </w:r>
      <w:r>
        <w:rPr>
          <w:color w:val="231F20"/>
          <w:w w:val="105"/>
        </w:rPr>
        <w:t>simple</w:t>
      </w:r>
      <w:r>
        <w:rPr>
          <w:color w:val="231F20"/>
          <w:spacing w:val="-22"/>
          <w:w w:val="105"/>
        </w:rPr>
        <w:t> </w:t>
      </w:r>
      <w:r>
        <w:rPr>
          <w:color w:val="231F20"/>
          <w:w w:val="105"/>
        </w:rPr>
        <w:t>elimination</w:t>
      </w:r>
      <w:r>
        <w:rPr>
          <w:color w:val="231F20"/>
          <w:spacing w:val="-22"/>
          <w:w w:val="105"/>
        </w:rPr>
        <w:t> </w:t>
      </w:r>
      <w:r>
        <w:rPr>
          <w:color w:val="231F20"/>
          <w:w w:val="105"/>
        </w:rPr>
        <w:t>of</w:t>
      </w:r>
      <w:r>
        <w:rPr>
          <w:color w:val="231F20"/>
          <w:spacing w:val="-22"/>
          <w:w w:val="105"/>
        </w:rPr>
        <w:t> </w:t>
      </w:r>
      <w:r>
        <w:rPr>
          <w:color w:val="231F20"/>
          <w:w w:val="105"/>
        </w:rPr>
        <w:t>H</w:t>
      </w:r>
      <w:r>
        <w:rPr>
          <w:rFonts w:ascii="Consolas"/>
          <w:color w:val="231F20"/>
          <w:w w:val="105"/>
          <w:position w:val="8"/>
          <w:sz w:val="12"/>
        </w:rPr>
        <w:t>+ </w:t>
      </w:r>
      <w:r>
        <w:rPr>
          <w:color w:val="231F20"/>
          <w:w w:val="105"/>
        </w:rPr>
        <w:t>by</w:t>
      </w:r>
      <w:r>
        <w:rPr>
          <w:color w:val="231F20"/>
          <w:spacing w:val="-23"/>
          <w:w w:val="105"/>
        </w:rPr>
        <w:t> </w:t>
      </w:r>
      <w:r>
        <w:rPr>
          <w:color w:val="231F20"/>
          <w:w w:val="105"/>
        </w:rPr>
        <w:t>the</w:t>
      </w:r>
      <w:r>
        <w:rPr>
          <w:color w:val="231F20"/>
          <w:spacing w:val="-22"/>
          <w:w w:val="105"/>
        </w:rPr>
        <w:t> </w:t>
      </w:r>
      <w:r>
        <w:rPr>
          <w:color w:val="231F20"/>
          <w:w w:val="105"/>
        </w:rPr>
        <w:t>kidneys.</w:t>
      </w:r>
      <w:r>
        <w:rPr>
          <w:color w:val="231F20"/>
          <w:spacing w:val="-22"/>
          <w:w w:val="105"/>
        </w:rPr>
        <w:t> </w:t>
      </w:r>
      <w:r>
        <w:rPr>
          <w:color w:val="231F20"/>
          <w:w w:val="105"/>
        </w:rPr>
        <w:t>Multiple</w:t>
      </w:r>
      <w:r>
        <w:rPr>
          <w:color w:val="231F20"/>
          <w:spacing w:val="-22"/>
          <w:w w:val="105"/>
        </w:rPr>
        <w:t> </w:t>
      </w:r>
      <w:r>
        <w:rPr>
          <w:color w:val="231F20"/>
          <w:w w:val="105"/>
        </w:rPr>
        <w:t>acid-base</w:t>
      </w:r>
      <w:r>
        <w:rPr>
          <w:color w:val="231F20"/>
          <w:spacing w:val="-22"/>
          <w:w w:val="105"/>
        </w:rPr>
        <w:t> </w:t>
      </w:r>
      <w:r>
        <w:rPr>
          <w:color w:val="231F20"/>
          <w:w w:val="105"/>
        </w:rPr>
        <w:t>buffering</w:t>
      </w:r>
      <w:r>
        <w:rPr>
          <w:color w:val="231F20"/>
          <w:spacing w:val="-23"/>
          <w:w w:val="105"/>
        </w:rPr>
        <w:t> </w:t>
      </w:r>
      <w:r>
        <w:rPr>
          <w:color w:val="231F20"/>
          <w:spacing w:val="-2"/>
          <w:w w:val="105"/>
        </w:rPr>
        <w:t>mechanisms </w:t>
      </w:r>
      <w:r>
        <w:rPr>
          <w:color w:val="231F20"/>
          <w:w w:val="105"/>
        </w:rPr>
        <w:t>involving</w:t>
      </w:r>
      <w:r>
        <w:rPr>
          <w:color w:val="231F20"/>
          <w:spacing w:val="-8"/>
          <w:w w:val="105"/>
        </w:rPr>
        <w:t> </w:t>
      </w:r>
      <w:r>
        <w:rPr>
          <w:color w:val="231F20"/>
          <w:w w:val="105"/>
        </w:rPr>
        <w:t>the</w:t>
      </w:r>
      <w:r>
        <w:rPr>
          <w:color w:val="231F20"/>
          <w:spacing w:val="-8"/>
          <w:w w:val="105"/>
        </w:rPr>
        <w:t> </w:t>
      </w:r>
      <w:r>
        <w:rPr>
          <w:color w:val="231F20"/>
          <w:w w:val="105"/>
        </w:rPr>
        <w:t>blood,</w:t>
      </w:r>
      <w:r>
        <w:rPr>
          <w:color w:val="231F20"/>
          <w:spacing w:val="-7"/>
          <w:w w:val="105"/>
        </w:rPr>
        <w:t> </w:t>
      </w:r>
      <w:r>
        <w:rPr>
          <w:color w:val="231F20"/>
          <w:w w:val="105"/>
        </w:rPr>
        <w:t>cells,</w:t>
      </w:r>
      <w:r>
        <w:rPr>
          <w:color w:val="231F20"/>
          <w:spacing w:val="-8"/>
          <w:w w:val="105"/>
        </w:rPr>
        <w:t> </w:t>
      </w:r>
      <w:r>
        <w:rPr>
          <w:color w:val="231F20"/>
          <w:w w:val="105"/>
        </w:rPr>
        <w:t>and</w:t>
      </w:r>
      <w:r>
        <w:rPr>
          <w:color w:val="231F20"/>
          <w:spacing w:val="-7"/>
          <w:w w:val="105"/>
        </w:rPr>
        <w:t> </w:t>
      </w:r>
      <w:r>
        <w:rPr>
          <w:color w:val="231F20"/>
          <w:w w:val="105"/>
        </w:rPr>
        <w:t>lungs</w:t>
      </w:r>
      <w:r>
        <w:rPr>
          <w:color w:val="231F20"/>
          <w:spacing w:val="-8"/>
          <w:w w:val="105"/>
        </w:rPr>
        <w:t> </w:t>
      </w:r>
      <w:r>
        <w:rPr>
          <w:color w:val="231F20"/>
          <w:w w:val="105"/>
        </w:rPr>
        <w:t>also</w:t>
      </w:r>
      <w:r>
        <w:rPr>
          <w:color w:val="231F20"/>
          <w:spacing w:val="-7"/>
          <w:w w:val="105"/>
        </w:rPr>
        <w:t> </w:t>
      </w:r>
      <w:r>
        <w:rPr>
          <w:color w:val="231F20"/>
          <w:w w:val="105"/>
        </w:rPr>
        <w:t>are</w:t>
      </w:r>
      <w:r>
        <w:rPr>
          <w:color w:val="231F20"/>
          <w:spacing w:val="-8"/>
          <w:w w:val="105"/>
        </w:rPr>
        <w:t> </w:t>
      </w:r>
      <w:r>
        <w:rPr>
          <w:color w:val="231F20"/>
          <w:w w:val="105"/>
        </w:rPr>
        <w:t>essential</w:t>
      </w:r>
      <w:r>
        <w:rPr>
          <w:color w:val="231F20"/>
          <w:spacing w:val="-7"/>
          <w:w w:val="105"/>
        </w:rPr>
        <w:t> </w:t>
      </w:r>
      <w:r>
        <w:rPr>
          <w:color w:val="231F20"/>
          <w:w w:val="105"/>
        </w:rPr>
        <w:t>in maintaining normal H</w:t>
      </w:r>
      <w:r>
        <w:rPr>
          <w:rFonts w:ascii="Consolas"/>
          <w:color w:val="231F20"/>
          <w:w w:val="105"/>
          <w:position w:val="8"/>
          <w:sz w:val="12"/>
        </w:rPr>
        <w:t>+</w:t>
      </w:r>
      <w:r>
        <w:rPr>
          <w:rFonts w:ascii="Consolas"/>
          <w:color w:val="231F20"/>
          <w:spacing w:val="-40"/>
          <w:w w:val="105"/>
          <w:position w:val="8"/>
          <w:sz w:val="12"/>
        </w:rPr>
        <w:t> </w:t>
      </w:r>
      <w:r>
        <w:rPr>
          <w:color w:val="231F20"/>
          <w:w w:val="105"/>
        </w:rPr>
        <w:t>concentrations in both the extra- cellular and intracellular</w:t>
      </w:r>
      <w:r>
        <w:rPr>
          <w:color w:val="231F20"/>
          <w:spacing w:val="3"/>
          <w:w w:val="105"/>
        </w:rPr>
        <w:t> </w:t>
      </w:r>
      <w:r>
        <w:rPr>
          <w:color w:val="231F20"/>
          <w:w w:val="105"/>
        </w:rPr>
        <w:t>fluid.</w:t>
      </w:r>
    </w:p>
    <w:p>
      <w:pPr>
        <w:pStyle w:val="BodyText"/>
        <w:spacing w:line="247" w:lineRule="auto"/>
        <w:ind w:left="1439" w:firstLine="240"/>
        <w:jc w:val="both"/>
      </w:pPr>
      <w:r>
        <w:rPr/>
        <w:pict>
          <v:shape style="position:absolute;margin-left:147.581802pt;margin-top:53.261932pt;width:3pt;height:8.7pt;mso-position-horizontal-relative:page;mso-position-vertical-relative:paragraph;z-index:-2726830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In this </w:t>
      </w:r>
      <w:r>
        <w:rPr>
          <w:color w:val="231F20"/>
          <w:spacing w:val="-3"/>
          <w:w w:val="105"/>
        </w:rPr>
        <w:t>chapter, </w:t>
      </w:r>
      <w:r>
        <w:rPr>
          <w:color w:val="231F20"/>
          <w:w w:val="105"/>
        </w:rPr>
        <w:t>we consider the various </w:t>
      </w:r>
      <w:r>
        <w:rPr>
          <w:color w:val="231F20"/>
          <w:spacing w:val="-2"/>
          <w:w w:val="105"/>
        </w:rPr>
        <w:t>mechanisms </w:t>
      </w:r>
      <w:r>
        <w:rPr>
          <w:color w:val="231F20"/>
          <w:w w:val="105"/>
        </w:rPr>
        <w:t>that</w:t>
      </w:r>
      <w:r>
        <w:rPr>
          <w:color w:val="231F20"/>
          <w:spacing w:val="-19"/>
          <w:w w:val="105"/>
        </w:rPr>
        <w:t> </w:t>
      </w:r>
      <w:r>
        <w:rPr>
          <w:color w:val="231F20"/>
          <w:w w:val="105"/>
        </w:rPr>
        <w:t>contribute</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regulation</w:t>
      </w:r>
      <w:r>
        <w:rPr>
          <w:color w:val="231F20"/>
          <w:spacing w:val="-18"/>
          <w:w w:val="105"/>
        </w:rPr>
        <w:t> </w:t>
      </w:r>
      <w:r>
        <w:rPr>
          <w:color w:val="231F20"/>
          <w:w w:val="105"/>
        </w:rPr>
        <w:t>of</w:t>
      </w:r>
      <w:r>
        <w:rPr>
          <w:color w:val="231F20"/>
          <w:spacing w:val="-19"/>
          <w:w w:val="105"/>
        </w:rPr>
        <w:t> </w:t>
      </w:r>
      <w:r>
        <w:rPr>
          <w:color w:val="231F20"/>
          <w:w w:val="105"/>
        </w:rPr>
        <w:t>H</w:t>
      </w:r>
      <w:r>
        <w:rPr>
          <w:rFonts w:ascii="Consolas" w:hAnsi="Consolas"/>
          <w:color w:val="231F20"/>
          <w:w w:val="105"/>
          <w:position w:val="8"/>
          <w:sz w:val="12"/>
        </w:rPr>
        <w:t>+</w:t>
      </w:r>
      <w:r>
        <w:rPr>
          <w:rFonts w:ascii="Consolas" w:hAnsi="Consolas"/>
          <w:color w:val="231F20"/>
          <w:spacing w:val="-35"/>
          <w:w w:val="105"/>
          <w:position w:val="8"/>
          <w:sz w:val="12"/>
        </w:rPr>
        <w:t> </w:t>
      </w:r>
      <w:r>
        <w:rPr>
          <w:color w:val="231F20"/>
          <w:w w:val="105"/>
        </w:rPr>
        <w:t>concentration,</w:t>
      </w:r>
      <w:r>
        <w:rPr>
          <w:color w:val="231F20"/>
          <w:spacing w:val="-19"/>
          <w:w w:val="105"/>
        </w:rPr>
        <w:t> </w:t>
      </w:r>
      <w:r>
        <w:rPr>
          <w:color w:val="231F20"/>
          <w:spacing w:val="-3"/>
          <w:w w:val="105"/>
        </w:rPr>
        <w:t>with </w:t>
      </w:r>
      <w:r>
        <w:rPr>
          <w:color w:val="231F20"/>
          <w:w w:val="105"/>
        </w:rPr>
        <w:t>special emphasis on control of renal H</w:t>
      </w:r>
      <w:r>
        <w:rPr>
          <w:rFonts w:ascii="Consolas" w:hAnsi="Consolas"/>
          <w:color w:val="231F20"/>
          <w:w w:val="105"/>
          <w:position w:val="8"/>
          <w:sz w:val="12"/>
        </w:rPr>
        <w:t>+ </w:t>
      </w:r>
      <w:r>
        <w:rPr>
          <w:color w:val="231F20"/>
          <w:w w:val="105"/>
        </w:rPr>
        <w:t>secretion and renal reabsorption, production, and excretion of bicar- bonate</w:t>
      </w:r>
      <w:r>
        <w:rPr>
          <w:color w:val="231F20"/>
          <w:spacing w:val="-13"/>
          <w:w w:val="105"/>
        </w:rPr>
        <w:t> </w:t>
      </w:r>
      <w:r>
        <w:rPr>
          <w:color w:val="231F20"/>
          <w:w w:val="105"/>
        </w:rPr>
        <w:t>ions</w:t>
      </w:r>
      <w:r>
        <w:rPr>
          <w:color w:val="231F20"/>
          <w:spacing w:val="-12"/>
          <w:w w:val="105"/>
        </w:rPr>
        <w:t> </w:t>
      </w:r>
      <w:r>
        <w:rPr>
          <w:color w:val="231F20"/>
          <w:w w:val="105"/>
        </w:rPr>
        <w:t>(HCO</w:t>
      </w:r>
      <w:r>
        <w:rPr>
          <w:color w:val="231F20"/>
          <w:spacing w:val="-4"/>
          <w:w w:val="105"/>
        </w:rPr>
        <w:t> </w:t>
      </w:r>
      <w:r>
        <w:rPr>
          <w:rFonts w:ascii="Consolas" w:hAnsi="Consolas"/>
          <w:color w:val="231F20"/>
          <w:w w:val="105"/>
          <w:position w:val="8"/>
          <w:sz w:val="12"/>
        </w:rPr>
        <w:t>−</w:t>
      </w:r>
      <w:r>
        <w:rPr>
          <w:color w:val="231F20"/>
          <w:w w:val="105"/>
        </w:rPr>
        <w:t>),</w:t>
      </w:r>
      <w:r>
        <w:rPr>
          <w:color w:val="231F20"/>
          <w:spacing w:val="-12"/>
          <w:w w:val="105"/>
        </w:rPr>
        <w:t> </w:t>
      </w:r>
      <w:r>
        <w:rPr>
          <w:color w:val="231F20"/>
          <w:w w:val="105"/>
        </w:rPr>
        <w:t>one</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key</w:t>
      </w:r>
      <w:r>
        <w:rPr>
          <w:color w:val="231F20"/>
          <w:spacing w:val="-13"/>
          <w:w w:val="105"/>
        </w:rPr>
        <w:t> </w:t>
      </w:r>
      <w:r>
        <w:rPr>
          <w:color w:val="231F20"/>
          <w:w w:val="105"/>
        </w:rPr>
        <w:t>components</w:t>
      </w:r>
      <w:r>
        <w:rPr>
          <w:color w:val="231F20"/>
          <w:spacing w:val="-12"/>
          <w:w w:val="105"/>
        </w:rPr>
        <w:t> </w:t>
      </w:r>
      <w:r>
        <w:rPr>
          <w:color w:val="231F20"/>
          <w:w w:val="105"/>
        </w:rPr>
        <w:t>of</w:t>
      </w:r>
      <w:r>
        <w:rPr>
          <w:color w:val="231F20"/>
          <w:spacing w:val="-12"/>
          <w:w w:val="105"/>
        </w:rPr>
        <w:t> </w:t>
      </w:r>
      <w:r>
        <w:rPr>
          <w:color w:val="231F20"/>
          <w:w w:val="105"/>
        </w:rPr>
        <w:t>acid- base control systems in the body</w:t>
      </w:r>
      <w:r>
        <w:rPr>
          <w:color w:val="231F20"/>
          <w:spacing w:val="4"/>
          <w:w w:val="105"/>
        </w:rPr>
        <w:t> </w:t>
      </w:r>
      <w:r>
        <w:rPr>
          <w:color w:val="231F20"/>
          <w:w w:val="105"/>
        </w:rPr>
        <w:t>fluids.</w:t>
      </w:r>
    </w:p>
    <w:p>
      <w:pPr>
        <w:pStyle w:val="BodyText"/>
        <w:spacing w:before="5"/>
        <w:rPr>
          <w:sz w:val="24"/>
        </w:rPr>
      </w:pPr>
      <w:r>
        <w:rPr/>
        <w:pict>
          <v:shape style="position:absolute;margin-left:72pt;margin-top:15.29248pt;width:234pt;height:28pt;mso-position-horizontal-relative:page;mso-position-vertical-relative:paragraph;z-index:-250603520;mso-wrap-distance-left:0;mso-wrap-distance-right:0" type="#_x0000_t202" filled="true" fillcolor="#e8dac8" stroked="false">
            <v:textbox inset="0,0,0,0">
              <w:txbxContent>
                <w:p>
                  <w:pPr>
                    <w:spacing w:line="225" w:lineRule="auto" w:before="43"/>
                    <w:ind w:left="60" w:right="1479" w:hanging="1"/>
                    <w:jc w:val="left"/>
                    <w:rPr>
                      <w:rFonts w:ascii="Trebuchet MS"/>
                      <w:b/>
                      <w:sz w:val="22"/>
                    </w:rPr>
                  </w:pPr>
                  <w:r>
                    <w:rPr>
                      <w:rFonts w:ascii="Trebuchet MS"/>
                      <w:b/>
                      <w:color w:val="231F20"/>
                      <w:w w:val="110"/>
                      <w:sz w:val="22"/>
                    </w:rPr>
                    <w:t>H</w:t>
                  </w:r>
                  <w:r>
                    <w:rPr>
                      <w:rFonts w:ascii="Consolas"/>
                      <w:b/>
                      <w:color w:val="231F20"/>
                      <w:w w:val="110"/>
                      <w:position w:val="9"/>
                      <w:sz w:val="13"/>
                    </w:rPr>
                    <w:t>+ </w:t>
                  </w:r>
                  <w:r>
                    <w:rPr>
                      <w:rFonts w:ascii="Trebuchet MS"/>
                      <w:b/>
                      <w:color w:val="231F20"/>
                      <w:w w:val="110"/>
                      <w:sz w:val="22"/>
                    </w:rPr>
                    <w:t>CONCENTRATION IS PRECISELY REGULATED</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4"/>
        <w:ind w:left="1439"/>
        <w:jc w:val="both"/>
      </w:pPr>
      <w:r>
        <w:rPr>
          <w:color w:val="231F20"/>
          <w:w w:val="105"/>
        </w:rPr>
        <w:t>Precise</w:t>
      </w:r>
      <w:r>
        <w:rPr>
          <w:color w:val="231F20"/>
          <w:spacing w:val="-17"/>
          <w:w w:val="105"/>
        </w:rPr>
        <w:t> </w:t>
      </w:r>
      <w:r>
        <w:rPr>
          <w:color w:val="231F20"/>
          <w:w w:val="105"/>
        </w:rPr>
        <w:t>H</w:t>
      </w:r>
      <w:r>
        <w:rPr>
          <w:rFonts w:ascii="Consolas"/>
          <w:color w:val="231F20"/>
          <w:w w:val="105"/>
          <w:position w:val="8"/>
          <w:sz w:val="12"/>
        </w:rPr>
        <w:t>+</w:t>
      </w:r>
      <w:r>
        <w:rPr>
          <w:rFonts w:ascii="Consolas"/>
          <w:color w:val="231F20"/>
          <w:spacing w:val="-34"/>
          <w:w w:val="105"/>
          <w:position w:val="8"/>
          <w:sz w:val="12"/>
        </w:rPr>
        <w:t> </w:t>
      </w:r>
      <w:r>
        <w:rPr>
          <w:color w:val="231F20"/>
          <w:w w:val="105"/>
        </w:rPr>
        <w:t>regulation</w:t>
      </w:r>
      <w:r>
        <w:rPr>
          <w:color w:val="231F20"/>
          <w:spacing w:val="-17"/>
          <w:w w:val="105"/>
        </w:rPr>
        <w:t> </w:t>
      </w:r>
      <w:r>
        <w:rPr>
          <w:color w:val="231F20"/>
          <w:w w:val="105"/>
        </w:rPr>
        <w:t>is</w:t>
      </w:r>
      <w:r>
        <w:rPr>
          <w:color w:val="231F20"/>
          <w:spacing w:val="-17"/>
          <w:w w:val="105"/>
        </w:rPr>
        <w:t> </w:t>
      </w:r>
      <w:r>
        <w:rPr>
          <w:color w:val="231F20"/>
          <w:w w:val="105"/>
        </w:rPr>
        <w:t>essential</w:t>
      </w:r>
      <w:r>
        <w:rPr>
          <w:color w:val="231F20"/>
          <w:spacing w:val="-17"/>
          <w:w w:val="105"/>
        </w:rPr>
        <w:t> </w:t>
      </w:r>
      <w:r>
        <w:rPr>
          <w:color w:val="231F20"/>
          <w:w w:val="105"/>
        </w:rPr>
        <w:t>because</w:t>
      </w:r>
      <w:r>
        <w:rPr>
          <w:color w:val="231F20"/>
          <w:spacing w:val="-17"/>
          <w:w w:val="105"/>
        </w:rPr>
        <w:t> </w:t>
      </w:r>
      <w:r>
        <w:rPr>
          <w:color w:val="231F20"/>
          <w:w w:val="105"/>
        </w:rPr>
        <w:t>the</w:t>
      </w:r>
      <w:r>
        <w:rPr>
          <w:color w:val="231F20"/>
          <w:spacing w:val="-17"/>
          <w:w w:val="105"/>
        </w:rPr>
        <w:t> </w:t>
      </w:r>
      <w:r>
        <w:rPr>
          <w:color w:val="231F20"/>
          <w:w w:val="105"/>
        </w:rPr>
        <w:t>activities</w:t>
      </w:r>
      <w:r>
        <w:rPr>
          <w:color w:val="231F20"/>
          <w:spacing w:val="-17"/>
          <w:w w:val="105"/>
        </w:rPr>
        <w:t> </w:t>
      </w:r>
      <w:r>
        <w:rPr>
          <w:color w:val="231F20"/>
          <w:spacing w:val="-6"/>
          <w:w w:val="105"/>
        </w:rPr>
        <w:t>of </w:t>
      </w:r>
      <w:r>
        <w:rPr>
          <w:color w:val="231F20"/>
          <w:w w:val="105"/>
        </w:rPr>
        <w:t>almost</w:t>
      </w:r>
      <w:r>
        <w:rPr>
          <w:color w:val="231F20"/>
          <w:spacing w:val="-9"/>
          <w:w w:val="105"/>
        </w:rPr>
        <w:t> </w:t>
      </w:r>
      <w:r>
        <w:rPr>
          <w:color w:val="231F20"/>
          <w:w w:val="105"/>
        </w:rPr>
        <w:t>all</w:t>
      </w:r>
      <w:r>
        <w:rPr>
          <w:color w:val="231F20"/>
          <w:spacing w:val="-8"/>
          <w:w w:val="105"/>
        </w:rPr>
        <w:t> </w:t>
      </w:r>
      <w:r>
        <w:rPr>
          <w:color w:val="231F20"/>
          <w:w w:val="105"/>
        </w:rPr>
        <w:t>enzyme</w:t>
      </w:r>
      <w:r>
        <w:rPr>
          <w:color w:val="231F20"/>
          <w:spacing w:val="-8"/>
          <w:w w:val="105"/>
        </w:rPr>
        <w:t> </w:t>
      </w:r>
      <w:r>
        <w:rPr>
          <w:color w:val="231F20"/>
          <w:w w:val="105"/>
        </w:rPr>
        <w:t>systems</w:t>
      </w:r>
      <w:r>
        <w:rPr>
          <w:color w:val="231F20"/>
          <w:spacing w:val="-9"/>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body</w:t>
      </w:r>
      <w:r>
        <w:rPr>
          <w:color w:val="231F20"/>
          <w:spacing w:val="-8"/>
          <w:w w:val="105"/>
        </w:rPr>
        <w:t> </w:t>
      </w:r>
      <w:r>
        <w:rPr>
          <w:color w:val="231F20"/>
          <w:w w:val="105"/>
        </w:rPr>
        <w:t>are</w:t>
      </w:r>
      <w:r>
        <w:rPr>
          <w:color w:val="231F20"/>
          <w:spacing w:val="-9"/>
          <w:w w:val="105"/>
        </w:rPr>
        <w:t> </w:t>
      </w:r>
      <w:r>
        <w:rPr>
          <w:color w:val="231F20"/>
          <w:w w:val="105"/>
        </w:rPr>
        <w:t>influenced</w:t>
      </w:r>
      <w:r>
        <w:rPr>
          <w:color w:val="231F20"/>
          <w:spacing w:val="-8"/>
          <w:w w:val="105"/>
        </w:rPr>
        <w:t> </w:t>
      </w:r>
      <w:r>
        <w:rPr>
          <w:color w:val="231F20"/>
          <w:spacing w:val="-6"/>
          <w:w w:val="105"/>
        </w:rPr>
        <w:t>by </w:t>
      </w:r>
      <w:r>
        <w:rPr>
          <w:color w:val="231F20"/>
          <w:w w:val="105"/>
        </w:rPr>
        <w:t>H</w:t>
      </w:r>
      <w:r>
        <w:rPr>
          <w:rFonts w:ascii="Consolas"/>
          <w:color w:val="231F20"/>
          <w:w w:val="105"/>
          <w:position w:val="8"/>
          <w:sz w:val="12"/>
        </w:rPr>
        <w:t>+</w:t>
      </w:r>
      <w:r>
        <w:rPr>
          <w:rFonts w:ascii="Consolas"/>
          <w:color w:val="231F20"/>
          <w:spacing w:val="-41"/>
          <w:w w:val="105"/>
          <w:position w:val="8"/>
          <w:sz w:val="12"/>
        </w:rPr>
        <w:t> </w:t>
      </w:r>
      <w:r>
        <w:rPr>
          <w:color w:val="231F20"/>
          <w:w w:val="105"/>
        </w:rPr>
        <w:t>concentration.</w:t>
      </w:r>
      <w:r>
        <w:rPr>
          <w:color w:val="231F20"/>
          <w:spacing w:val="-23"/>
          <w:w w:val="105"/>
        </w:rPr>
        <w:t> </w:t>
      </w:r>
      <w:r>
        <w:rPr>
          <w:color w:val="231F20"/>
          <w:w w:val="105"/>
        </w:rPr>
        <w:t>Therefore,</w:t>
      </w:r>
      <w:r>
        <w:rPr>
          <w:color w:val="231F20"/>
          <w:spacing w:val="-24"/>
          <w:w w:val="105"/>
        </w:rPr>
        <w:t> </w:t>
      </w:r>
      <w:r>
        <w:rPr>
          <w:color w:val="231F20"/>
          <w:w w:val="105"/>
        </w:rPr>
        <w:t>changes</w:t>
      </w:r>
      <w:r>
        <w:rPr>
          <w:color w:val="231F20"/>
          <w:spacing w:val="-24"/>
          <w:w w:val="105"/>
        </w:rPr>
        <w:t> </w:t>
      </w:r>
      <w:r>
        <w:rPr>
          <w:color w:val="231F20"/>
          <w:w w:val="105"/>
        </w:rPr>
        <w:t>in</w:t>
      </w:r>
      <w:r>
        <w:rPr>
          <w:color w:val="231F20"/>
          <w:spacing w:val="-23"/>
          <w:w w:val="105"/>
        </w:rPr>
        <w:t> </w:t>
      </w:r>
      <w:r>
        <w:rPr>
          <w:color w:val="231F20"/>
          <w:w w:val="105"/>
        </w:rPr>
        <w:t>H</w:t>
      </w:r>
      <w:r>
        <w:rPr>
          <w:rFonts w:ascii="Consolas"/>
          <w:color w:val="231F20"/>
          <w:w w:val="105"/>
          <w:position w:val="8"/>
          <w:sz w:val="12"/>
        </w:rPr>
        <w:t>+</w:t>
      </w:r>
      <w:r>
        <w:rPr>
          <w:rFonts w:ascii="Consolas"/>
          <w:color w:val="231F20"/>
          <w:spacing w:val="-41"/>
          <w:w w:val="105"/>
          <w:position w:val="8"/>
          <w:sz w:val="12"/>
        </w:rPr>
        <w:t> </w:t>
      </w:r>
      <w:r>
        <w:rPr>
          <w:color w:val="231F20"/>
          <w:w w:val="105"/>
        </w:rPr>
        <w:t>concentration alter virtually all cell and body</w:t>
      </w:r>
      <w:r>
        <w:rPr>
          <w:color w:val="231F20"/>
          <w:spacing w:val="-3"/>
          <w:w w:val="105"/>
        </w:rPr>
        <w:t> </w:t>
      </w:r>
      <w:r>
        <w:rPr>
          <w:color w:val="231F20"/>
          <w:w w:val="105"/>
        </w:rPr>
        <w:t>functions.</w:t>
      </w:r>
    </w:p>
    <w:p>
      <w:pPr>
        <w:pStyle w:val="BodyText"/>
        <w:spacing w:line="249" w:lineRule="auto"/>
        <w:ind w:left="1439" w:firstLine="240"/>
        <w:jc w:val="both"/>
      </w:pPr>
      <w:r>
        <w:rPr>
          <w:color w:val="231F20"/>
          <w:w w:val="105"/>
        </w:rPr>
        <w:t>Compared with other ions, the H</w:t>
      </w:r>
      <w:r>
        <w:rPr>
          <w:rFonts w:ascii="Consolas"/>
          <w:color w:val="231F20"/>
          <w:w w:val="105"/>
          <w:position w:val="8"/>
          <w:sz w:val="12"/>
        </w:rPr>
        <w:t>+ </w:t>
      </w:r>
      <w:r>
        <w:rPr>
          <w:color w:val="231F20"/>
          <w:w w:val="105"/>
        </w:rPr>
        <w:t>concentration </w:t>
      </w:r>
      <w:r>
        <w:rPr>
          <w:color w:val="231F20"/>
          <w:spacing w:val="-7"/>
          <w:w w:val="105"/>
        </w:rPr>
        <w:t>of </w:t>
      </w:r>
      <w:r>
        <w:rPr>
          <w:color w:val="231F20"/>
          <w:w w:val="105"/>
        </w:rPr>
        <w:t>the body fluids normally is kept at a low level. </w:t>
      </w:r>
      <w:r>
        <w:rPr>
          <w:color w:val="231F20"/>
          <w:spacing w:val="-8"/>
          <w:w w:val="105"/>
        </w:rPr>
        <w:t>For </w:t>
      </w:r>
      <w:r>
        <w:rPr>
          <w:color w:val="231F20"/>
          <w:w w:val="105"/>
        </w:rPr>
        <w:t>example, the concentration of sodium in </w:t>
      </w:r>
      <w:r>
        <w:rPr>
          <w:color w:val="231F20"/>
          <w:spacing w:val="-3"/>
          <w:w w:val="105"/>
        </w:rPr>
        <w:t>extracellular </w:t>
      </w:r>
      <w:r>
        <w:rPr>
          <w:color w:val="231F20"/>
          <w:w w:val="105"/>
        </w:rPr>
        <w:t>fluid (142 mEq/L) is about 3.5 million times as great </w:t>
      </w:r>
      <w:r>
        <w:rPr>
          <w:color w:val="231F20"/>
          <w:spacing w:val="-6"/>
          <w:w w:val="105"/>
        </w:rPr>
        <w:t>as </w:t>
      </w:r>
      <w:r>
        <w:rPr>
          <w:color w:val="231F20"/>
          <w:w w:val="105"/>
        </w:rPr>
        <w:t>the normal concentration of </w:t>
      </w:r>
      <w:r>
        <w:rPr>
          <w:color w:val="231F20"/>
          <w:spacing w:val="-8"/>
          <w:w w:val="105"/>
        </w:rPr>
        <w:t>H</w:t>
      </w:r>
      <w:r>
        <w:rPr>
          <w:rFonts w:ascii="Consolas"/>
          <w:color w:val="231F20"/>
          <w:spacing w:val="-8"/>
          <w:w w:val="105"/>
          <w:position w:val="8"/>
          <w:sz w:val="12"/>
        </w:rPr>
        <w:t>+</w:t>
      </w:r>
      <w:r>
        <w:rPr>
          <w:color w:val="231F20"/>
          <w:spacing w:val="-8"/>
          <w:w w:val="105"/>
        </w:rPr>
        <w:t>, </w:t>
      </w:r>
      <w:r>
        <w:rPr>
          <w:color w:val="231F20"/>
          <w:w w:val="105"/>
        </w:rPr>
        <w:t>which averages only 0.00004</w:t>
      </w:r>
      <w:r>
        <w:rPr>
          <w:color w:val="231F20"/>
          <w:spacing w:val="-17"/>
          <w:w w:val="105"/>
        </w:rPr>
        <w:t> </w:t>
      </w:r>
      <w:r>
        <w:rPr>
          <w:color w:val="231F20"/>
          <w:w w:val="105"/>
        </w:rPr>
        <w:t>mEq/L.</w:t>
      </w:r>
      <w:r>
        <w:rPr>
          <w:color w:val="231F20"/>
          <w:spacing w:val="-14"/>
          <w:w w:val="105"/>
        </w:rPr>
        <w:t> </w:t>
      </w:r>
      <w:r>
        <w:rPr>
          <w:color w:val="231F20"/>
          <w:w w:val="105"/>
        </w:rPr>
        <w:t>Equally</w:t>
      </w:r>
      <w:r>
        <w:rPr>
          <w:color w:val="231F20"/>
          <w:spacing w:val="-13"/>
          <w:w w:val="105"/>
        </w:rPr>
        <w:t> </w:t>
      </w:r>
      <w:r>
        <w:rPr>
          <w:color w:val="231F20"/>
          <w:w w:val="105"/>
        </w:rPr>
        <w:t>important,</w:t>
      </w:r>
      <w:r>
        <w:rPr>
          <w:color w:val="231F20"/>
          <w:spacing w:val="-14"/>
          <w:w w:val="105"/>
        </w:rPr>
        <w:t> </w:t>
      </w:r>
      <w:r>
        <w:rPr>
          <w:color w:val="231F20"/>
          <w:w w:val="105"/>
        </w:rPr>
        <w:t>the</w:t>
      </w:r>
      <w:r>
        <w:rPr>
          <w:color w:val="231F20"/>
          <w:spacing w:val="-13"/>
          <w:w w:val="105"/>
        </w:rPr>
        <w:t> </w:t>
      </w:r>
      <w:r>
        <w:rPr>
          <w:color w:val="231F20"/>
          <w:w w:val="105"/>
        </w:rPr>
        <w:t>normal</w:t>
      </w:r>
      <w:r>
        <w:rPr>
          <w:color w:val="231F20"/>
          <w:spacing w:val="-14"/>
          <w:w w:val="105"/>
        </w:rPr>
        <w:t> </w:t>
      </w:r>
      <w:r>
        <w:rPr>
          <w:color w:val="231F20"/>
          <w:w w:val="105"/>
        </w:rPr>
        <w:t>variation in</w:t>
      </w:r>
      <w:r>
        <w:rPr>
          <w:color w:val="231F20"/>
          <w:spacing w:val="-24"/>
          <w:w w:val="105"/>
        </w:rPr>
        <w:t> </w:t>
      </w:r>
      <w:r>
        <w:rPr>
          <w:color w:val="231F20"/>
          <w:w w:val="105"/>
        </w:rPr>
        <w:t>H</w:t>
      </w:r>
      <w:r>
        <w:rPr>
          <w:rFonts w:ascii="Consolas"/>
          <w:color w:val="231F20"/>
          <w:w w:val="105"/>
          <w:position w:val="8"/>
          <w:sz w:val="12"/>
        </w:rPr>
        <w:t>+</w:t>
      </w:r>
      <w:r>
        <w:rPr>
          <w:rFonts w:ascii="Consolas"/>
          <w:color w:val="231F20"/>
          <w:spacing w:val="-40"/>
          <w:w w:val="105"/>
          <w:position w:val="8"/>
          <w:sz w:val="12"/>
        </w:rPr>
        <w:t> </w:t>
      </w:r>
      <w:r>
        <w:rPr>
          <w:color w:val="231F20"/>
          <w:w w:val="105"/>
        </w:rPr>
        <w:t>concentration</w:t>
      </w:r>
      <w:r>
        <w:rPr>
          <w:color w:val="231F20"/>
          <w:spacing w:val="-23"/>
          <w:w w:val="105"/>
        </w:rPr>
        <w:t> </w:t>
      </w:r>
      <w:r>
        <w:rPr>
          <w:color w:val="231F20"/>
          <w:w w:val="105"/>
        </w:rPr>
        <w:t>in</w:t>
      </w:r>
      <w:r>
        <w:rPr>
          <w:color w:val="231F20"/>
          <w:spacing w:val="-24"/>
          <w:w w:val="105"/>
        </w:rPr>
        <w:t> </w:t>
      </w:r>
      <w:r>
        <w:rPr>
          <w:color w:val="231F20"/>
          <w:w w:val="105"/>
        </w:rPr>
        <w:t>extracellular</w:t>
      </w:r>
      <w:r>
        <w:rPr>
          <w:color w:val="231F20"/>
          <w:spacing w:val="-23"/>
          <w:w w:val="105"/>
        </w:rPr>
        <w:t> </w:t>
      </w:r>
      <w:r>
        <w:rPr>
          <w:color w:val="231F20"/>
          <w:w w:val="105"/>
        </w:rPr>
        <w:t>fluid</w:t>
      </w:r>
      <w:r>
        <w:rPr>
          <w:color w:val="231F20"/>
          <w:spacing w:val="-23"/>
          <w:w w:val="105"/>
        </w:rPr>
        <w:t> </w:t>
      </w:r>
      <w:r>
        <w:rPr>
          <w:color w:val="231F20"/>
          <w:w w:val="105"/>
        </w:rPr>
        <w:t>is</w:t>
      </w:r>
      <w:r>
        <w:rPr>
          <w:color w:val="231F20"/>
          <w:spacing w:val="-23"/>
          <w:w w:val="105"/>
        </w:rPr>
        <w:t> </w:t>
      </w:r>
      <w:r>
        <w:rPr>
          <w:color w:val="231F20"/>
          <w:w w:val="105"/>
        </w:rPr>
        <w:t>only</w:t>
      </w:r>
      <w:r>
        <w:rPr>
          <w:color w:val="231F20"/>
          <w:spacing w:val="-24"/>
          <w:w w:val="105"/>
        </w:rPr>
        <w:t> </w:t>
      </w:r>
      <w:r>
        <w:rPr>
          <w:color w:val="231F20"/>
          <w:w w:val="105"/>
        </w:rPr>
        <w:t>about</w:t>
      </w:r>
      <w:r>
        <w:rPr>
          <w:color w:val="231F20"/>
          <w:spacing w:val="-23"/>
          <w:w w:val="105"/>
        </w:rPr>
        <w:t> </w:t>
      </w:r>
      <w:r>
        <w:rPr>
          <w:color w:val="231F20"/>
          <w:spacing w:val="-5"/>
          <w:w w:val="105"/>
        </w:rPr>
        <w:t>one </w:t>
      </w:r>
      <w:r>
        <w:rPr>
          <w:color w:val="231F20"/>
          <w:w w:val="105"/>
        </w:rPr>
        <w:t>millionth as great as the normal variation in sodium </w:t>
      </w:r>
      <w:r>
        <w:rPr>
          <w:color w:val="231F20"/>
          <w:spacing w:val="-5"/>
          <w:w w:val="105"/>
        </w:rPr>
        <w:t>ion </w:t>
      </w:r>
      <w:r>
        <w:rPr>
          <w:color w:val="231F20"/>
          <w:w w:val="105"/>
        </w:rPr>
        <w:t>(Na</w:t>
      </w:r>
      <w:r>
        <w:rPr>
          <w:rFonts w:ascii="Consolas"/>
          <w:color w:val="231F20"/>
          <w:w w:val="105"/>
          <w:position w:val="8"/>
          <w:sz w:val="12"/>
        </w:rPr>
        <w:t>+</w:t>
      </w:r>
      <w:r>
        <w:rPr>
          <w:color w:val="231F20"/>
          <w:w w:val="105"/>
        </w:rPr>
        <w:t>)</w:t>
      </w:r>
      <w:r>
        <w:rPr>
          <w:color w:val="231F20"/>
          <w:spacing w:val="-17"/>
          <w:w w:val="105"/>
        </w:rPr>
        <w:t> </w:t>
      </w:r>
      <w:r>
        <w:rPr>
          <w:color w:val="231F20"/>
          <w:w w:val="105"/>
        </w:rPr>
        <w:t>concentration.</w:t>
      </w:r>
      <w:r>
        <w:rPr>
          <w:color w:val="231F20"/>
          <w:spacing w:val="-17"/>
          <w:w w:val="105"/>
        </w:rPr>
        <w:t> </w:t>
      </w:r>
      <w:r>
        <w:rPr>
          <w:color w:val="231F20"/>
          <w:w w:val="105"/>
        </w:rPr>
        <w:t>Thus,</w:t>
      </w:r>
      <w:r>
        <w:rPr>
          <w:color w:val="231F20"/>
          <w:spacing w:val="-17"/>
          <w:w w:val="105"/>
        </w:rPr>
        <w:t> </w:t>
      </w:r>
      <w:r>
        <w:rPr>
          <w:color w:val="231F20"/>
          <w:w w:val="105"/>
        </w:rPr>
        <w:t>the</w:t>
      </w:r>
      <w:r>
        <w:rPr>
          <w:color w:val="231F20"/>
          <w:spacing w:val="-17"/>
          <w:w w:val="105"/>
        </w:rPr>
        <w:t> </w:t>
      </w:r>
      <w:r>
        <w:rPr>
          <w:color w:val="231F20"/>
          <w:w w:val="105"/>
        </w:rPr>
        <w:t>precision</w:t>
      </w:r>
      <w:r>
        <w:rPr>
          <w:color w:val="231F20"/>
          <w:spacing w:val="-17"/>
          <w:w w:val="105"/>
        </w:rPr>
        <w:t> </w:t>
      </w:r>
      <w:r>
        <w:rPr>
          <w:color w:val="231F20"/>
          <w:w w:val="105"/>
        </w:rPr>
        <w:t>with</w:t>
      </w:r>
      <w:r>
        <w:rPr>
          <w:color w:val="231F20"/>
          <w:spacing w:val="-17"/>
          <w:w w:val="105"/>
        </w:rPr>
        <w:t> </w:t>
      </w:r>
      <w:r>
        <w:rPr>
          <w:color w:val="231F20"/>
          <w:w w:val="105"/>
        </w:rPr>
        <w:t>which</w:t>
      </w:r>
      <w:r>
        <w:rPr>
          <w:color w:val="231F20"/>
          <w:spacing w:val="-17"/>
          <w:w w:val="105"/>
        </w:rPr>
        <w:t> </w:t>
      </w:r>
      <w:r>
        <w:rPr>
          <w:color w:val="231F20"/>
          <w:w w:val="105"/>
        </w:rPr>
        <w:t>H</w:t>
      </w:r>
      <w:r>
        <w:rPr>
          <w:rFonts w:ascii="Consolas"/>
          <w:color w:val="231F20"/>
          <w:w w:val="105"/>
          <w:position w:val="8"/>
          <w:sz w:val="12"/>
        </w:rPr>
        <w:t>+</w:t>
      </w:r>
      <w:r>
        <w:rPr>
          <w:rFonts w:ascii="Consolas"/>
          <w:color w:val="231F20"/>
          <w:spacing w:val="-33"/>
          <w:w w:val="105"/>
          <w:position w:val="8"/>
          <w:sz w:val="12"/>
        </w:rPr>
        <w:t> </w:t>
      </w:r>
      <w:r>
        <w:rPr>
          <w:color w:val="231F20"/>
          <w:spacing w:val="-7"/>
          <w:w w:val="105"/>
        </w:rPr>
        <w:t>is </w:t>
      </w:r>
      <w:r>
        <w:rPr>
          <w:color w:val="231F20"/>
          <w:w w:val="105"/>
        </w:rPr>
        <w:t>regulated emphasizes its importance to the various </w:t>
      </w:r>
      <w:r>
        <w:rPr>
          <w:color w:val="231F20"/>
          <w:spacing w:val="-5"/>
          <w:w w:val="105"/>
        </w:rPr>
        <w:t>cell </w:t>
      </w:r>
      <w:r>
        <w:rPr>
          <w:color w:val="231F20"/>
          <w:w w:val="105"/>
        </w:rPr>
        <w:t>functions.</w:t>
      </w:r>
    </w:p>
    <w:p>
      <w:pPr>
        <w:pStyle w:val="BodyText"/>
        <w:spacing w:before="1"/>
        <w:rPr>
          <w:sz w:val="24"/>
        </w:rPr>
      </w:pPr>
      <w:r>
        <w:rPr/>
        <w:pict>
          <v:shape style="position:absolute;margin-left:72pt;margin-top:15.063672pt;width:234pt;height:28pt;mso-position-horizontal-relative:page;mso-position-vertical-relative:paragraph;z-index:-250601472;mso-wrap-distance-left:0;mso-wrap-distance-right:0" type="#_x0000_t202" filled="true" fillcolor="#e8dac8" stroked="false">
            <v:textbox inset="0,0,0,0">
              <w:txbxContent>
                <w:p>
                  <w:pPr>
                    <w:spacing w:line="225" w:lineRule="auto" w:before="46"/>
                    <w:ind w:left="60" w:right="633" w:firstLine="0"/>
                    <w:jc w:val="left"/>
                    <w:rPr>
                      <w:rFonts w:ascii="Trebuchet MS" w:hAnsi="Trebuchet MS"/>
                      <w:b/>
                      <w:sz w:val="22"/>
                    </w:rPr>
                  </w:pPr>
                  <w:r>
                    <w:rPr>
                      <w:rFonts w:ascii="Trebuchet MS" w:hAnsi="Trebuchet MS"/>
                      <w:b/>
                      <w:color w:val="231F20"/>
                      <w:w w:val="115"/>
                      <w:sz w:val="22"/>
                    </w:rPr>
                    <w:t>ACIDS AND BASES—THEIR DEFINITIONS AND MEANINGS</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w w:val="105"/>
        </w:rPr>
        <w:t>A hydrogen ion is a single free proton released from a hydrogen atom. Molecules containing hydrogen </w:t>
      </w:r>
      <w:r>
        <w:rPr>
          <w:color w:val="231F20"/>
          <w:spacing w:val="-4"/>
          <w:w w:val="105"/>
        </w:rPr>
        <w:t>atoms </w:t>
      </w:r>
      <w:r>
        <w:rPr>
          <w:color w:val="231F20"/>
          <w:w w:val="105"/>
        </w:rPr>
        <w:t>that</w:t>
      </w:r>
      <w:r>
        <w:rPr>
          <w:color w:val="231F20"/>
          <w:spacing w:val="-16"/>
          <w:w w:val="105"/>
        </w:rPr>
        <w:t> </w:t>
      </w:r>
      <w:r>
        <w:rPr>
          <w:color w:val="231F20"/>
          <w:w w:val="105"/>
        </w:rPr>
        <w:t>can</w:t>
      </w:r>
      <w:r>
        <w:rPr>
          <w:color w:val="231F20"/>
          <w:spacing w:val="-16"/>
          <w:w w:val="105"/>
        </w:rPr>
        <w:t> </w:t>
      </w:r>
      <w:r>
        <w:rPr>
          <w:color w:val="231F20"/>
          <w:w w:val="105"/>
        </w:rPr>
        <w:t>release</w:t>
      </w:r>
      <w:r>
        <w:rPr>
          <w:color w:val="231F20"/>
          <w:spacing w:val="-16"/>
          <w:w w:val="105"/>
        </w:rPr>
        <w:t> </w:t>
      </w:r>
      <w:r>
        <w:rPr>
          <w:color w:val="231F20"/>
          <w:w w:val="105"/>
        </w:rPr>
        <w:t>hydrogen</w:t>
      </w:r>
      <w:r>
        <w:rPr>
          <w:color w:val="231F20"/>
          <w:spacing w:val="-15"/>
          <w:w w:val="105"/>
        </w:rPr>
        <w:t> </w:t>
      </w:r>
      <w:r>
        <w:rPr>
          <w:color w:val="231F20"/>
          <w:w w:val="105"/>
        </w:rPr>
        <w:t>ions</w:t>
      </w:r>
      <w:r>
        <w:rPr>
          <w:color w:val="231F20"/>
          <w:spacing w:val="-16"/>
          <w:w w:val="105"/>
        </w:rPr>
        <w:t> </w:t>
      </w:r>
      <w:r>
        <w:rPr>
          <w:color w:val="231F20"/>
          <w:w w:val="105"/>
        </w:rPr>
        <w:t>in</w:t>
      </w:r>
      <w:r>
        <w:rPr>
          <w:color w:val="231F20"/>
          <w:spacing w:val="-16"/>
          <w:w w:val="105"/>
        </w:rPr>
        <w:t> </w:t>
      </w:r>
      <w:r>
        <w:rPr>
          <w:color w:val="231F20"/>
          <w:w w:val="105"/>
        </w:rPr>
        <w:t>solutions</w:t>
      </w:r>
      <w:r>
        <w:rPr>
          <w:color w:val="231F20"/>
          <w:spacing w:val="-16"/>
          <w:w w:val="105"/>
        </w:rPr>
        <w:t> </w:t>
      </w:r>
      <w:r>
        <w:rPr>
          <w:color w:val="231F20"/>
          <w:w w:val="105"/>
        </w:rPr>
        <w:t>are</w:t>
      </w:r>
      <w:r>
        <w:rPr>
          <w:color w:val="231F20"/>
          <w:spacing w:val="-15"/>
          <w:w w:val="105"/>
        </w:rPr>
        <w:t> </w:t>
      </w:r>
      <w:r>
        <w:rPr>
          <w:color w:val="231F20"/>
          <w:w w:val="105"/>
        </w:rPr>
        <w:t>referred</w:t>
      </w:r>
      <w:r>
        <w:rPr>
          <w:color w:val="231F20"/>
          <w:spacing w:val="-16"/>
          <w:w w:val="105"/>
        </w:rPr>
        <w:t> </w:t>
      </w:r>
      <w:r>
        <w:rPr>
          <w:color w:val="231F20"/>
          <w:w w:val="105"/>
        </w:rPr>
        <w:t>to</w:t>
      </w:r>
    </w:p>
    <w:p>
      <w:pPr>
        <w:pStyle w:val="BodyText"/>
        <w:spacing w:line="247" w:lineRule="auto" w:before="250"/>
        <w:ind w:left="319" w:right="1077"/>
        <w:jc w:val="both"/>
      </w:pPr>
      <w:r>
        <w:rPr/>
        <w:br w:type="column"/>
      </w:r>
      <w:r>
        <w:rPr>
          <w:color w:val="231F20"/>
          <w:w w:val="105"/>
        </w:rPr>
        <w:t>as </w:t>
      </w:r>
      <w:r>
        <w:rPr>
          <w:i/>
          <w:color w:val="231F20"/>
          <w:w w:val="105"/>
        </w:rPr>
        <w:t>acids. </w:t>
      </w:r>
      <w:r>
        <w:rPr>
          <w:color w:val="231F20"/>
          <w:w w:val="105"/>
        </w:rPr>
        <w:t>An example is hydrochloric acid (HCl), </w:t>
      </w:r>
      <w:r>
        <w:rPr>
          <w:color w:val="231F20"/>
          <w:spacing w:val="-4"/>
          <w:w w:val="105"/>
        </w:rPr>
        <w:t>which </w:t>
      </w:r>
      <w:r>
        <w:rPr>
          <w:color w:val="231F20"/>
          <w:w w:val="105"/>
        </w:rPr>
        <w:t>ionizes</w:t>
      </w:r>
      <w:r>
        <w:rPr>
          <w:color w:val="231F20"/>
          <w:spacing w:val="-11"/>
          <w:w w:val="105"/>
        </w:rPr>
        <w:t> </w:t>
      </w:r>
      <w:r>
        <w:rPr>
          <w:color w:val="231F20"/>
          <w:w w:val="105"/>
        </w:rPr>
        <w:t>in</w:t>
      </w:r>
      <w:r>
        <w:rPr>
          <w:color w:val="231F20"/>
          <w:spacing w:val="-10"/>
          <w:w w:val="105"/>
        </w:rPr>
        <w:t> </w:t>
      </w:r>
      <w:r>
        <w:rPr>
          <w:color w:val="231F20"/>
          <w:w w:val="105"/>
        </w:rPr>
        <w:t>water</w:t>
      </w:r>
      <w:r>
        <w:rPr>
          <w:color w:val="231F20"/>
          <w:spacing w:val="-11"/>
          <w:w w:val="105"/>
        </w:rPr>
        <w:t> </w:t>
      </w:r>
      <w:r>
        <w:rPr>
          <w:color w:val="231F20"/>
          <w:w w:val="105"/>
        </w:rPr>
        <w:t>to</w:t>
      </w:r>
      <w:r>
        <w:rPr>
          <w:color w:val="231F20"/>
          <w:spacing w:val="-10"/>
          <w:w w:val="105"/>
        </w:rPr>
        <w:t> </w:t>
      </w:r>
      <w:r>
        <w:rPr>
          <w:color w:val="231F20"/>
          <w:w w:val="105"/>
        </w:rPr>
        <w:t>form</w:t>
      </w:r>
      <w:r>
        <w:rPr>
          <w:color w:val="231F20"/>
          <w:spacing w:val="-11"/>
          <w:w w:val="105"/>
        </w:rPr>
        <w:t> </w:t>
      </w:r>
      <w:r>
        <w:rPr>
          <w:color w:val="231F20"/>
          <w:w w:val="105"/>
        </w:rPr>
        <w:t>hydrogen</w:t>
      </w:r>
      <w:r>
        <w:rPr>
          <w:color w:val="231F20"/>
          <w:spacing w:val="-10"/>
          <w:w w:val="105"/>
        </w:rPr>
        <w:t> </w:t>
      </w:r>
      <w:r>
        <w:rPr>
          <w:color w:val="231F20"/>
          <w:w w:val="105"/>
        </w:rPr>
        <w:t>ions</w:t>
      </w:r>
      <w:r>
        <w:rPr>
          <w:color w:val="231F20"/>
          <w:spacing w:val="-11"/>
          <w:w w:val="105"/>
        </w:rPr>
        <w:t> </w:t>
      </w:r>
      <w:r>
        <w:rPr>
          <w:color w:val="231F20"/>
          <w:w w:val="105"/>
        </w:rPr>
        <w:t>(H</w:t>
      </w:r>
      <w:r>
        <w:rPr>
          <w:rFonts w:ascii="Consolas" w:hAnsi="Consolas"/>
          <w:color w:val="231F20"/>
          <w:w w:val="105"/>
          <w:position w:val="8"/>
          <w:sz w:val="12"/>
        </w:rPr>
        <w:t>+</w:t>
      </w:r>
      <w:r>
        <w:rPr>
          <w:color w:val="231F20"/>
          <w:w w:val="105"/>
        </w:rPr>
        <w:t>)</w:t>
      </w:r>
      <w:r>
        <w:rPr>
          <w:color w:val="231F20"/>
          <w:spacing w:val="-10"/>
          <w:w w:val="105"/>
        </w:rPr>
        <w:t> </w:t>
      </w:r>
      <w:r>
        <w:rPr>
          <w:color w:val="231F20"/>
          <w:w w:val="105"/>
        </w:rPr>
        <w:t>and</w:t>
      </w:r>
      <w:r>
        <w:rPr>
          <w:color w:val="231F20"/>
          <w:spacing w:val="-11"/>
          <w:w w:val="105"/>
        </w:rPr>
        <w:t> </w:t>
      </w:r>
      <w:r>
        <w:rPr>
          <w:color w:val="231F20"/>
          <w:w w:val="105"/>
        </w:rPr>
        <w:t>chloride ions (Cl</w:t>
      </w:r>
      <w:r>
        <w:rPr>
          <w:rFonts w:ascii="Consolas" w:hAnsi="Consolas"/>
          <w:color w:val="231F20"/>
          <w:w w:val="105"/>
          <w:position w:val="8"/>
          <w:sz w:val="12"/>
        </w:rPr>
        <w:t>−</w:t>
      </w:r>
      <w:r>
        <w:rPr>
          <w:color w:val="231F20"/>
          <w:w w:val="105"/>
        </w:rPr>
        <w:t>). Likewise, carbonic acid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ionizes </w:t>
      </w:r>
      <w:r>
        <w:rPr>
          <w:color w:val="231F20"/>
          <w:spacing w:val="-15"/>
          <w:w w:val="105"/>
          <w:vertAlign w:val="baseline"/>
        </w:rPr>
        <w:t>in </w:t>
      </w:r>
      <w:r>
        <w:rPr>
          <w:color w:val="231F20"/>
          <w:w w:val="105"/>
          <w:vertAlign w:val="baseline"/>
        </w:rPr>
        <w:t>water to form H</w:t>
      </w:r>
      <w:r>
        <w:rPr>
          <w:rFonts w:ascii="Consolas" w:hAnsi="Consolas"/>
          <w:color w:val="231F20"/>
          <w:w w:val="105"/>
          <w:position w:val="8"/>
          <w:sz w:val="12"/>
          <w:vertAlign w:val="baseline"/>
        </w:rPr>
        <w:t>+ </w:t>
      </w:r>
      <w:r>
        <w:rPr>
          <w:color w:val="231F20"/>
          <w:w w:val="105"/>
          <w:vertAlign w:val="baseline"/>
        </w:rPr>
        <w:t>and bicarbonate ions (HCO</w:t>
      </w:r>
      <w:r>
        <w:rPr>
          <w:color w:val="231F20"/>
          <w:spacing w:val="-6"/>
          <w:w w:val="105"/>
          <w:vertAlign w:val="baseline"/>
        </w:rPr>
        <w:t> </w:t>
      </w:r>
      <w:r>
        <w:rPr>
          <w:rFonts w:ascii="Consolas" w:hAnsi="Consolas"/>
          <w:color w:val="231F20"/>
          <w:w w:val="105"/>
          <w:position w:val="8"/>
          <w:sz w:val="12"/>
          <w:vertAlign w:val="baseline"/>
        </w:rPr>
        <w:t>−</w:t>
      </w:r>
      <w:r>
        <w:rPr>
          <w:color w:val="231F20"/>
          <w:w w:val="105"/>
          <w:vertAlign w:val="baseline"/>
        </w:rPr>
        <w:t>).</w:t>
      </w:r>
    </w:p>
    <w:p>
      <w:pPr>
        <w:pStyle w:val="BodyText"/>
        <w:spacing w:line="249" w:lineRule="auto"/>
        <w:ind w:left="319" w:right="1077" w:firstLine="240"/>
        <w:jc w:val="both"/>
      </w:pPr>
      <w:r>
        <w:rPr/>
        <w:pict>
          <v:rect style="position:absolute;margin-left:576pt;margin-top:-63.830444pt;width:36pt;height:24pt;mso-position-horizontal-relative:page;mso-position-vertical-relative:paragraph;z-index:252720128" filled="true" fillcolor="#e8dac8" stroked="false">
            <v:fill type="solid"/>
            <w10:wrap type="none"/>
          </v:rect>
        </w:pict>
      </w:r>
      <w:r>
        <w:rPr/>
        <w:pict>
          <v:shape style="position:absolute;margin-left:512.740112pt;margin-top:-6.554444pt;width:3pt;height:8.7pt;mso-position-horizontal-relative:page;mso-position-vertical-relative:paragraph;z-index:-27268198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00.474396pt;margin-top:17.445555pt;width:3pt;height:8.7pt;mso-position-horizontal-relative:page;mso-position-vertical-relative:paragraph;z-index:-27268096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68.770508pt;margin-top:29.445555pt;width:3pt;height:8.7pt;mso-position-horizontal-relative:page;mso-position-vertical-relative:paragraph;z-index:-272679936"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462.712799pt;margin-top:41.445557pt;width:3pt;height:8.7pt;mso-position-horizontal-relative:page;mso-position-vertical-relative:paragraph;z-index:-27267891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rPr>
        <w:t>A </w:t>
      </w:r>
      <w:r>
        <w:rPr>
          <w:i/>
          <w:color w:val="231F20"/>
          <w:w w:val="105"/>
        </w:rPr>
        <w:t>base </w:t>
      </w:r>
      <w:r>
        <w:rPr>
          <w:color w:val="231F20"/>
          <w:w w:val="105"/>
        </w:rPr>
        <w:t>is an ion or a molecule that can accept an </w:t>
      </w:r>
      <w:r>
        <w:rPr>
          <w:color w:val="231F20"/>
          <w:spacing w:val="-8"/>
          <w:w w:val="105"/>
        </w:rPr>
        <w:t>H</w:t>
      </w:r>
      <w:r>
        <w:rPr>
          <w:rFonts w:ascii="Consolas" w:hAnsi="Consolas"/>
          <w:color w:val="231F20"/>
          <w:spacing w:val="-8"/>
          <w:w w:val="105"/>
          <w:position w:val="8"/>
          <w:sz w:val="12"/>
        </w:rPr>
        <w:t>+</w:t>
      </w:r>
      <w:r>
        <w:rPr>
          <w:color w:val="231F20"/>
          <w:spacing w:val="-8"/>
          <w:w w:val="105"/>
        </w:rPr>
        <w:t>. </w:t>
      </w:r>
      <w:r>
        <w:rPr>
          <w:color w:val="231F20"/>
          <w:spacing w:val="-3"/>
          <w:w w:val="105"/>
        </w:rPr>
        <w:t>For</w:t>
      </w:r>
      <w:r>
        <w:rPr>
          <w:color w:val="231F20"/>
          <w:spacing w:val="-24"/>
          <w:w w:val="105"/>
        </w:rPr>
        <w:t> </w:t>
      </w:r>
      <w:r>
        <w:rPr>
          <w:color w:val="231F20"/>
          <w:w w:val="105"/>
        </w:rPr>
        <w:t>example,</w:t>
      </w:r>
      <w:r>
        <w:rPr>
          <w:color w:val="231F20"/>
          <w:spacing w:val="-23"/>
          <w:w w:val="105"/>
        </w:rPr>
        <w:t> </w:t>
      </w:r>
      <w:r>
        <w:rPr>
          <w:color w:val="231F20"/>
          <w:w w:val="105"/>
        </w:rPr>
        <w:t>HCO</w:t>
      </w:r>
      <w:r>
        <w:rPr>
          <w:color w:val="231F20"/>
          <w:spacing w:val="-8"/>
          <w:w w:val="105"/>
        </w:rPr>
        <w:t> </w:t>
      </w:r>
      <w:r>
        <w:rPr>
          <w:rFonts w:ascii="Consolas" w:hAnsi="Consolas"/>
          <w:color w:val="231F20"/>
          <w:w w:val="105"/>
          <w:position w:val="8"/>
          <w:sz w:val="12"/>
        </w:rPr>
        <w:t>−</w:t>
      </w:r>
      <w:r>
        <w:rPr>
          <w:rFonts w:ascii="Consolas" w:hAnsi="Consolas"/>
          <w:color w:val="231F20"/>
          <w:spacing w:val="-40"/>
          <w:w w:val="105"/>
          <w:position w:val="8"/>
          <w:sz w:val="12"/>
        </w:rPr>
        <w:t> </w:t>
      </w:r>
      <w:r>
        <w:rPr>
          <w:color w:val="231F20"/>
          <w:w w:val="105"/>
        </w:rPr>
        <w:t>is</w:t>
      </w:r>
      <w:r>
        <w:rPr>
          <w:color w:val="231F20"/>
          <w:spacing w:val="-24"/>
          <w:w w:val="105"/>
        </w:rPr>
        <w:t> </w:t>
      </w:r>
      <w:r>
        <w:rPr>
          <w:color w:val="231F20"/>
          <w:w w:val="105"/>
        </w:rPr>
        <w:t>a</w:t>
      </w:r>
      <w:r>
        <w:rPr>
          <w:color w:val="231F20"/>
          <w:spacing w:val="-23"/>
          <w:w w:val="105"/>
        </w:rPr>
        <w:t> </w:t>
      </w:r>
      <w:r>
        <w:rPr>
          <w:color w:val="231F20"/>
          <w:w w:val="105"/>
        </w:rPr>
        <w:t>base</w:t>
      </w:r>
      <w:r>
        <w:rPr>
          <w:color w:val="231F20"/>
          <w:spacing w:val="-24"/>
          <w:w w:val="105"/>
        </w:rPr>
        <w:t> </w:t>
      </w:r>
      <w:r>
        <w:rPr>
          <w:color w:val="231F20"/>
          <w:w w:val="105"/>
        </w:rPr>
        <w:t>because</w:t>
      </w:r>
      <w:r>
        <w:rPr>
          <w:color w:val="231F20"/>
          <w:spacing w:val="-23"/>
          <w:w w:val="105"/>
        </w:rPr>
        <w:t> </w:t>
      </w:r>
      <w:r>
        <w:rPr>
          <w:color w:val="231F20"/>
          <w:w w:val="105"/>
        </w:rPr>
        <w:t>it</w:t>
      </w:r>
      <w:r>
        <w:rPr>
          <w:color w:val="231F20"/>
          <w:spacing w:val="-24"/>
          <w:w w:val="105"/>
        </w:rPr>
        <w:t> </w:t>
      </w:r>
      <w:r>
        <w:rPr>
          <w:color w:val="231F20"/>
          <w:w w:val="105"/>
        </w:rPr>
        <w:t>can</w:t>
      </w:r>
      <w:r>
        <w:rPr>
          <w:color w:val="231F20"/>
          <w:spacing w:val="-23"/>
          <w:w w:val="105"/>
        </w:rPr>
        <w:t> </w:t>
      </w:r>
      <w:r>
        <w:rPr>
          <w:color w:val="231F20"/>
          <w:w w:val="105"/>
        </w:rPr>
        <w:t>combine</w:t>
      </w:r>
      <w:r>
        <w:rPr>
          <w:color w:val="231F20"/>
          <w:spacing w:val="-24"/>
          <w:w w:val="105"/>
        </w:rPr>
        <w:t> </w:t>
      </w:r>
      <w:r>
        <w:rPr>
          <w:color w:val="231F20"/>
          <w:w w:val="105"/>
        </w:rPr>
        <w:t>with H</w:t>
      </w:r>
      <w:r>
        <w:rPr>
          <w:rFonts w:ascii="Consolas" w:hAnsi="Consolas"/>
          <w:color w:val="231F20"/>
          <w:w w:val="105"/>
          <w:position w:val="8"/>
          <w:sz w:val="12"/>
        </w:rPr>
        <w:t>+ </w:t>
      </w:r>
      <w:r>
        <w:rPr>
          <w:color w:val="231F20"/>
          <w:w w:val="105"/>
        </w:rPr>
        <w:t>to form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Likewise, HPO </w:t>
      </w:r>
      <w:r>
        <w:rPr>
          <w:rFonts w:ascii="Consolas" w:hAnsi="Consolas"/>
          <w:color w:val="231F20"/>
          <w:w w:val="105"/>
          <w:position w:val="8"/>
          <w:sz w:val="12"/>
          <w:vertAlign w:val="baseline"/>
        </w:rPr>
        <w:t>=</w:t>
      </w:r>
      <w:r>
        <w:rPr>
          <w:rFonts w:ascii="Consolas" w:hAnsi="Consolas"/>
          <w:color w:val="231F20"/>
          <w:spacing w:val="-47"/>
          <w:w w:val="105"/>
          <w:position w:val="8"/>
          <w:sz w:val="12"/>
          <w:vertAlign w:val="baseline"/>
        </w:rPr>
        <w:t> </w:t>
      </w:r>
      <w:r>
        <w:rPr>
          <w:color w:val="231F20"/>
          <w:w w:val="105"/>
          <w:vertAlign w:val="baseline"/>
        </w:rPr>
        <w:t>is a base because </w:t>
      </w:r>
      <w:r>
        <w:rPr>
          <w:color w:val="231F20"/>
          <w:spacing w:val="-11"/>
          <w:w w:val="105"/>
          <w:vertAlign w:val="baseline"/>
        </w:rPr>
        <w:t>it </w:t>
      </w:r>
      <w:r>
        <w:rPr>
          <w:color w:val="231F20"/>
          <w:w w:val="105"/>
          <w:vertAlign w:val="baseline"/>
        </w:rPr>
        <w:t>can accept an H</w:t>
      </w:r>
      <w:r>
        <w:rPr>
          <w:rFonts w:ascii="Consolas" w:hAnsi="Consolas"/>
          <w:color w:val="231F20"/>
          <w:w w:val="105"/>
          <w:position w:val="8"/>
          <w:sz w:val="12"/>
          <w:vertAlign w:val="baseline"/>
        </w:rPr>
        <w:t>+ </w:t>
      </w:r>
      <w:r>
        <w:rPr>
          <w:color w:val="231F20"/>
          <w:w w:val="105"/>
          <w:vertAlign w:val="baseline"/>
        </w:rPr>
        <w:t>to form H</w:t>
      </w:r>
      <w:r>
        <w:rPr>
          <w:color w:val="231F20"/>
          <w:w w:val="105"/>
          <w:vertAlign w:val="subscript"/>
        </w:rPr>
        <w:t>2</w:t>
      </w:r>
      <w:r>
        <w:rPr>
          <w:color w:val="231F20"/>
          <w:w w:val="105"/>
          <w:vertAlign w:val="baseline"/>
        </w:rPr>
        <w:t>PO </w:t>
      </w:r>
      <w:r>
        <w:rPr>
          <w:rFonts w:ascii="Consolas" w:hAnsi="Consolas"/>
          <w:color w:val="231F20"/>
          <w:w w:val="105"/>
          <w:position w:val="8"/>
          <w:sz w:val="12"/>
          <w:vertAlign w:val="baseline"/>
        </w:rPr>
        <w:t>−</w:t>
      </w:r>
      <w:r>
        <w:rPr>
          <w:color w:val="231F20"/>
          <w:w w:val="105"/>
          <w:vertAlign w:val="baseline"/>
        </w:rPr>
        <w:t>. The proteins in </w:t>
      </w:r>
      <w:r>
        <w:rPr>
          <w:color w:val="231F20"/>
          <w:spacing w:val="-6"/>
          <w:w w:val="105"/>
          <w:vertAlign w:val="baseline"/>
        </w:rPr>
        <w:t>the </w:t>
      </w:r>
      <w:r>
        <w:rPr>
          <w:color w:val="231F20"/>
          <w:w w:val="105"/>
          <w:vertAlign w:val="baseline"/>
        </w:rPr>
        <w:t>body also function as bases because some of the amino acids that make up proteins have net negative </w:t>
      </w:r>
      <w:r>
        <w:rPr>
          <w:color w:val="231F20"/>
          <w:spacing w:val="-3"/>
          <w:w w:val="105"/>
          <w:vertAlign w:val="baseline"/>
        </w:rPr>
        <w:t>charges </w:t>
      </w:r>
      <w:r>
        <w:rPr>
          <w:color w:val="231F20"/>
          <w:w w:val="105"/>
          <w:vertAlign w:val="baseline"/>
        </w:rPr>
        <w:t>that</w:t>
      </w:r>
      <w:r>
        <w:rPr>
          <w:color w:val="231F20"/>
          <w:spacing w:val="-11"/>
          <w:w w:val="105"/>
          <w:vertAlign w:val="baseline"/>
        </w:rPr>
        <w:t> </w:t>
      </w:r>
      <w:r>
        <w:rPr>
          <w:color w:val="231F20"/>
          <w:w w:val="105"/>
          <w:vertAlign w:val="baseline"/>
        </w:rPr>
        <w:t>readily</w:t>
      </w:r>
      <w:r>
        <w:rPr>
          <w:color w:val="231F20"/>
          <w:spacing w:val="-11"/>
          <w:w w:val="105"/>
          <w:vertAlign w:val="baseline"/>
        </w:rPr>
        <w:t> </w:t>
      </w:r>
      <w:r>
        <w:rPr>
          <w:color w:val="231F20"/>
          <w:w w:val="105"/>
          <w:vertAlign w:val="baseline"/>
        </w:rPr>
        <w:t>accept</w:t>
      </w:r>
      <w:r>
        <w:rPr>
          <w:color w:val="231F20"/>
          <w:spacing w:val="-11"/>
          <w:w w:val="105"/>
          <w:vertAlign w:val="baseline"/>
        </w:rPr>
        <w:t> </w:t>
      </w:r>
      <w:r>
        <w:rPr>
          <w:color w:val="231F20"/>
          <w:spacing w:val="-8"/>
          <w:w w:val="105"/>
          <w:vertAlign w:val="baseline"/>
        </w:rPr>
        <w:t>H</w:t>
      </w:r>
      <w:r>
        <w:rPr>
          <w:rFonts w:ascii="Consolas" w:hAnsi="Consolas"/>
          <w:color w:val="231F20"/>
          <w:spacing w:val="-8"/>
          <w:w w:val="105"/>
          <w:position w:val="8"/>
          <w:sz w:val="12"/>
          <w:vertAlign w:val="baseline"/>
        </w:rPr>
        <w:t>+</w:t>
      </w:r>
      <w:r>
        <w:rPr>
          <w:color w:val="231F20"/>
          <w:spacing w:val="-8"/>
          <w:w w:val="105"/>
          <w:vertAlign w:val="baseline"/>
        </w:rPr>
        <w:t>.</w:t>
      </w:r>
      <w:r>
        <w:rPr>
          <w:color w:val="231F20"/>
          <w:spacing w:val="-10"/>
          <w:w w:val="105"/>
          <w:vertAlign w:val="baseline"/>
        </w:rPr>
        <w:t> </w:t>
      </w:r>
      <w:r>
        <w:rPr>
          <w:color w:val="231F20"/>
          <w:w w:val="105"/>
          <w:vertAlign w:val="baseline"/>
        </w:rPr>
        <w:t>The</w:t>
      </w:r>
      <w:r>
        <w:rPr>
          <w:color w:val="231F20"/>
          <w:spacing w:val="-11"/>
          <w:w w:val="105"/>
          <w:vertAlign w:val="baseline"/>
        </w:rPr>
        <w:t> </w:t>
      </w:r>
      <w:r>
        <w:rPr>
          <w:color w:val="231F20"/>
          <w:w w:val="105"/>
          <w:vertAlign w:val="baseline"/>
        </w:rPr>
        <w:t>protein</w:t>
      </w:r>
      <w:r>
        <w:rPr>
          <w:color w:val="231F20"/>
          <w:spacing w:val="-11"/>
          <w:w w:val="105"/>
          <w:vertAlign w:val="baseline"/>
        </w:rPr>
        <w:t> </w:t>
      </w:r>
      <w:r>
        <w:rPr>
          <w:color w:val="231F20"/>
          <w:w w:val="105"/>
          <w:vertAlign w:val="baseline"/>
        </w:rPr>
        <w:t>hemoglobin</w:t>
      </w:r>
      <w:r>
        <w:rPr>
          <w:color w:val="231F20"/>
          <w:spacing w:val="-11"/>
          <w:w w:val="105"/>
          <w:vertAlign w:val="baseline"/>
        </w:rPr>
        <w:t> </w:t>
      </w:r>
      <w:r>
        <w:rPr>
          <w:color w:val="231F20"/>
          <w:w w:val="105"/>
          <w:vertAlign w:val="baseline"/>
        </w:rPr>
        <w:t>in</w:t>
      </w:r>
      <w:r>
        <w:rPr>
          <w:color w:val="231F20"/>
          <w:spacing w:val="-10"/>
          <w:w w:val="105"/>
          <w:vertAlign w:val="baseline"/>
        </w:rPr>
        <w:t> </w:t>
      </w:r>
      <w:r>
        <w:rPr>
          <w:color w:val="231F20"/>
          <w:w w:val="105"/>
          <w:vertAlign w:val="baseline"/>
        </w:rPr>
        <w:t>the</w:t>
      </w:r>
      <w:r>
        <w:rPr>
          <w:color w:val="231F20"/>
          <w:spacing w:val="-11"/>
          <w:w w:val="105"/>
          <w:vertAlign w:val="baseline"/>
        </w:rPr>
        <w:t> </w:t>
      </w:r>
      <w:r>
        <w:rPr>
          <w:color w:val="231F20"/>
          <w:w w:val="105"/>
          <w:vertAlign w:val="baseline"/>
        </w:rPr>
        <w:t>red blood</w:t>
      </w:r>
      <w:r>
        <w:rPr>
          <w:color w:val="231F20"/>
          <w:spacing w:val="-9"/>
          <w:w w:val="105"/>
          <w:vertAlign w:val="baseline"/>
        </w:rPr>
        <w:t> </w:t>
      </w:r>
      <w:r>
        <w:rPr>
          <w:color w:val="231F20"/>
          <w:w w:val="105"/>
          <w:vertAlign w:val="baseline"/>
        </w:rPr>
        <w:t>cells</w:t>
      </w:r>
      <w:r>
        <w:rPr>
          <w:color w:val="231F20"/>
          <w:spacing w:val="-8"/>
          <w:w w:val="105"/>
          <w:vertAlign w:val="baseline"/>
        </w:rPr>
        <w:t> </w:t>
      </w:r>
      <w:r>
        <w:rPr>
          <w:color w:val="231F20"/>
          <w:w w:val="105"/>
          <w:vertAlign w:val="baseline"/>
        </w:rPr>
        <w:t>and</w:t>
      </w:r>
      <w:r>
        <w:rPr>
          <w:color w:val="231F20"/>
          <w:spacing w:val="-9"/>
          <w:w w:val="105"/>
          <w:vertAlign w:val="baseline"/>
        </w:rPr>
        <w:t> </w:t>
      </w:r>
      <w:r>
        <w:rPr>
          <w:color w:val="231F20"/>
          <w:w w:val="105"/>
          <w:vertAlign w:val="baseline"/>
        </w:rPr>
        <w:t>proteins</w:t>
      </w:r>
      <w:r>
        <w:rPr>
          <w:color w:val="231F20"/>
          <w:spacing w:val="-9"/>
          <w:w w:val="105"/>
          <w:vertAlign w:val="baseline"/>
        </w:rPr>
        <w:t> </w:t>
      </w:r>
      <w:r>
        <w:rPr>
          <w:color w:val="231F20"/>
          <w:w w:val="105"/>
          <w:vertAlign w:val="baseline"/>
        </w:rPr>
        <w:t>in</w:t>
      </w:r>
      <w:r>
        <w:rPr>
          <w:color w:val="231F20"/>
          <w:spacing w:val="-8"/>
          <w:w w:val="105"/>
          <w:vertAlign w:val="baseline"/>
        </w:rPr>
        <w:t> </w:t>
      </w:r>
      <w:r>
        <w:rPr>
          <w:color w:val="231F20"/>
          <w:w w:val="105"/>
          <w:vertAlign w:val="baseline"/>
        </w:rPr>
        <w:t>the</w:t>
      </w:r>
      <w:r>
        <w:rPr>
          <w:color w:val="231F20"/>
          <w:spacing w:val="-8"/>
          <w:w w:val="105"/>
          <w:vertAlign w:val="baseline"/>
        </w:rPr>
        <w:t> </w:t>
      </w:r>
      <w:r>
        <w:rPr>
          <w:color w:val="231F20"/>
          <w:w w:val="105"/>
          <w:vertAlign w:val="baseline"/>
        </w:rPr>
        <w:t>other</w:t>
      </w:r>
      <w:r>
        <w:rPr>
          <w:color w:val="231F20"/>
          <w:spacing w:val="-9"/>
          <w:w w:val="105"/>
          <w:vertAlign w:val="baseline"/>
        </w:rPr>
        <w:t> </w:t>
      </w:r>
      <w:r>
        <w:rPr>
          <w:color w:val="231F20"/>
          <w:w w:val="105"/>
          <w:vertAlign w:val="baseline"/>
        </w:rPr>
        <w:t>cells</w:t>
      </w:r>
      <w:r>
        <w:rPr>
          <w:color w:val="231F20"/>
          <w:spacing w:val="-8"/>
          <w:w w:val="105"/>
          <w:vertAlign w:val="baseline"/>
        </w:rPr>
        <w:t> </w:t>
      </w:r>
      <w:r>
        <w:rPr>
          <w:color w:val="231F20"/>
          <w:w w:val="105"/>
          <w:vertAlign w:val="baseline"/>
        </w:rPr>
        <w:t>of</w:t>
      </w:r>
      <w:r>
        <w:rPr>
          <w:color w:val="231F20"/>
          <w:spacing w:val="-9"/>
          <w:w w:val="105"/>
          <w:vertAlign w:val="baseline"/>
        </w:rPr>
        <w:t> </w:t>
      </w:r>
      <w:r>
        <w:rPr>
          <w:color w:val="231F20"/>
          <w:w w:val="105"/>
          <w:vertAlign w:val="baseline"/>
        </w:rPr>
        <w:t>the</w:t>
      </w:r>
      <w:r>
        <w:rPr>
          <w:color w:val="231F20"/>
          <w:spacing w:val="-8"/>
          <w:w w:val="105"/>
          <w:vertAlign w:val="baseline"/>
        </w:rPr>
        <w:t> </w:t>
      </w:r>
      <w:r>
        <w:rPr>
          <w:color w:val="231F20"/>
          <w:w w:val="105"/>
          <w:vertAlign w:val="baseline"/>
        </w:rPr>
        <w:t>body</w:t>
      </w:r>
      <w:r>
        <w:rPr>
          <w:color w:val="231F20"/>
          <w:spacing w:val="-9"/>
          <w:w w:val="105"/>
          <w:vertAlign w:val="baseline"/>
        </w:rPr>
        <w:t> </w:t>
      </w:r>
      <w:r>
        <w:rPr>
          <w:color w:val="231F20"/>
          <w:w w:val="105"/>
          <w:vertAlign w:val="baseline"/>
        </w:rPr>
        <w:t>are among the most important of the body’s</w:t>
      </w:r>
      <w:r>
        <w:rPr>
          <w:color w:val="231F20"/>
          <w:spacing w:val="2"/>
          <w:w w:val="105"/>
          <w:vertAlign w:val="baseline"/>
        </w:rPr>
        <w:t> </w:t>
      </w:r>
      <w:r>
        <w:rPr>
          <w:color w:val="231F20"/>
          <w:w w:val="105"/>
          <w:vertAlign w:val="baseline"/>
        </w:rPr>
        <w:t>bases.</w:t>
      </w:r>
    </w:p>
    <w:p>
      <w:pPr>
        <w:pStyle w:val="BodyText"/>
        <w:spacing w:line="249" w:lineRule="auto"/>
        <w:ind w:left="319" w:right="1077" w:firstLine="240"/>
        <w:jc w:val="both"/>
        <w:rPr>
          <w:i/>
        </w:rPr>
      </w:pPr>
      <w:r>
        <w:rPr>
          <w:color w:val="231F20"/>
        </w:rPr>
        <w:t>The terms </w:t>
      </w:r>
      <w:r>
        <w:rPr>
          <w:i/>
          <w:color w:val="231F20"/>
        </w:rPr>
        <w:t>base </w:t>
      </w:r>
      <w:r>
        <w:rPr>
          <w:color w:val="231F20"/>
        </w:rPr>
        <w:t>and </w:t>
      </w:r>
      <w:r>
        <w:rPr>
          <w:i/>
          <w:color w:val="231F20"/>
        </w:rPr>
        <w:t>alkali </w:t>
      </w:r>
      <w:r>
        <w:rPr>
          <w:color w:val="231F20"/>
        </w:rPr>
        <w:t>are often used synony- mously. An </w:t>
      </w:r>
      <w:r>
        <w:rPr>
          <w:i/>
          <w:color w:val="231F20"/>
        </w:rPr>
        <w:t>alkali </w:t>
      </w:r>
      <w:r>
        <w:rPr>
          <w:color w:val="231F20"/>
        </w:rPr>
        <w:t>is a molecule formed by the combina- tion of one or more of the alkaline metals—sodium, potassium, lithium, and so forth—with a highly basic </w:t>
      </w:r>
      <w:r>
        <w:rPr>
          <w:color w:val="231F20"/>
          <w:spacing w:val="-4"/>
        </w:rPr>
        <w:t>ion </w:t>
      </w:r>
      <w:r>
        <w:rPr>
          <w:color w:val="231F20"/>
        </w:rPr>
        <w:t>such as a hydroxyl ion (OH</w:t>
      </w:r>
      <w:r>
        <w:rPr>
          <w:rFonts w:ascii="Consolas" w:hAnsi="Consolas"/>
          <w:color w:val="231F20"/>
          <w:position w:val="8"/>
          <w:sz w:val="12"/>
        </w:rPr>
        <w:t>−</w:t>
      </w:r>
      <w:r>
        <w:rPr>
          <w:color w:val="231F20"/>
        </w:rPr>
        <w:t>). The base portion of these molecules reacts quickly with H</w:t>
      </w:r>
      <w:r>
        <w:rPr>
          <w:rFonts w:ascii="Consolas" w:hAnsi="Consolas"/>
          <w:color w:val="231F20"/>
          <w:position w:val="8"/>
          <w:sz w:val="12"/>
        </w:rPr>
        <w:t>+ </w:t>
      </w:r>
      <w:r>
        <w:rPr>
          <w:color w:val="231F20"/>
        </w:rPr>
        <w:t>to remove it from solu- tion; they are, therefore, typical bases. </w:t>
      </w:r>
      <w:r>
        <w:rPr>
          <w:color w:val="231F20"/>
          <w:spacing w:val="-3"/>
        </w:rPr>
        <w:t>For </w:t>
      </w:r>
      <w:r>
        <w:rPr>
          <w:color w:val="231F20"/>
        </w:rPr>
        <w:t>similar reasons, the term </w:t>
      </w:r>
      <w:r>
        <w:rPr>
          <w:i/>
          <w:color w:val="231F20"/>
        </w:rPr>
        <w:t>alkalosis </w:t>
      </w:r>
      <w:r>
        <w:rPr>
          <w:color w:val="231F20"/>
        </w:rPr>
        <w:t>refers to excess removal of H</w:t>
      </w:r>
      <w:r>
        <w:rPr>
          <w:rFonts w:ascii="Consolas" w:hAnsi="Consolas"/>
          <w:color w:val="231F20"/>
          <w:position w:val="8"/>
          <w:sz w:val="12"/>
        </w:rPr>
        <w:t>+ </w:t>
      </w:r>
      <w:r>
        <w:rPr>
          <w:color w:val="231F20"/>
        </w:rPr>
        <w:t>from the body fluids, in contrast to the excess addition of </w:t>
      </w:r>
      <w:r>
        <w:rPr>
          <w:color w:val="231F20"/>
          <w:spacing w:val="-8"/>
        </w:rPr>
        <w:t>H</w:t>
      </w:r>
      <w:r>
        <w:rPr>
          <w:rFonts w:ascii="Consolas" w:hAnsi="Consolas"/>
          <w:color w:val="231F20"/>
          <w:spacing w:val="-8"/>
          <w:position w:val="8"/>
          <w:sz w:val="12"/>
        </w:rPr>
        <w:t>+</w:t>
      </w:r>
      <w:r>
        <w:rPr>
          <w:color w:val="231F20"/>
          <w:spacing w:val="-8"/>
        </w:rPr>
        <w:t>, </w:t>
      </w:r>
      <w:r>
        <w:rPr>
          <w:color w:val="231F20"/>
        </w:rPr>
        <w:t>which is referred to as </w:t>
      </w:r>
      <w:r>
        <w:rPr>
          <w:i/>
          <w:color w:val="231F20"/>
        </w:rPr>
        <w:t>acidosis.</w:t>
      </w:r>
    </w:p>
    <w:p>
      <w:pPr>
        <w:pStyle w:val="BodyText"/>
        <w:spacing w:line="247" w:lineRule="auto" w:before="224"/>
        <w:ind w:left="319" w:right="1077"/>
        <w:jc w:val="both"/>
      </w:pPr>
      <w:r>
        <w:rPr/>
        <w:pict>
          <v:shape style="position:absolute;margin-left:464.934998pt;margin-top:112.461929pt;width:3pt;height:8.7pt;mso-position-horizontal-relative:page;mso-position-vertical-relative:paragraph;z-index:-27267788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02.160614pt;margin-top:172.461929pt;width:3pt;height:8.7pt;mso-position-horizontal-relative:page;mso-position-vertical-relative:paragraph;z-index:-27267686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rFonts w:ascii="Trebuchet MS" w:hAnsi="Trebuchet MS"/>
          <w:b/>
          <w:color w:val="231F20"/>
          <w:sz w:val="19"/>
        </w:rPr>
        <w:t>Strong and Weak Acids and Bases. </w:t>
      </w:r>
      <w:r>
        <w:rPr>
          <w:color w:val="231F20"/>
        </w:rPr>
        <w:t>A strong acid is  one that rapidly dissociates and releases especially large amounts of H</w:t>
      </w:r>
      <w:r>
        <w:rPr>
          <w:rFonts w:ascii="Consolas" w:hAnsi="Consolas"/>
          <w:color w:val="231F20"/>
          <w:position w:val="8"/>
          <w:sz w:val="12"/>
        </w:rPr>
        <w:t>+</w:t>
      </w:r>
      <w:r>
        <w:rPr>
          <w:rFonts w:ascii="Consolas" w:hAnsi="Consolas"/>
          <w:color w:val="231F20"/>
          <w:spacing w:val="-43"/>
          <w:position w:val="8"/>
          <w:sz w:val="12"/>
        </w:rPr>
        <w:t> </w:t>
      </w:r>
      <w:r>
        <w:rPr>
          <w:color w:val="231F20"/>
        </w:rPr>
        <w:t>in solution. An example is HCl. </w:t>
      </w:r>
      <w:r>
        <w:rPr>
          <w:color w:val="231F20"/>
          <w:spacing w:val="-4"/>
        </w:rPr>
        <w:t>Weak </w:t>
      </w:r>
      <w:r>
        <w:rPr>
          <w:color w:val="231F20"/>
          <w:spacing w:val="-3"/>
        </w:rPr>
        <w:t>acids </w:t>
      </w:r>
      <w:r>
        <w:rPr>
          <w:color w:val="231F20"/>
        </w:rPr>
        <w:t>are less likely to dissociate their ions and, therefore, release H</w:t>
      </w:r>
      <w:r>
        <w:rPr>
          <w:rFonts w:ascii="Consolas" w:hAnsi="Consolas"/>
          <w:color w:val="231F20"/>
          <w:position w:val="8"/>
          <w:sz w:val="12"/>
        </w:rPr>
        <w:t>+ </w:t>
      </w:r>
      <w:r>
        <w:rPr>
          <w:color w:val="231F20"/>
        </w:rPr>
        <w:t>with less </w:t>
      </w:r>
      <w:r>
        <w:rPr>
          <w:color w:val="231F20"/>
          <w:spacing w:val="-3"/>
        </w:rPr>
        <w:t>vigor. </w:t>
      </w:r>
      <w:r>
        <w:rPr>
          <w:color w:val="231F20"/>
        </w:rPr>
        <w:t>An example is H</w:t>
      </w:r>
      <w:r>
        <w:rPr>
          <w:color w:val="231F20"/>
          <w:vertAlign w:val="subscript"/>
        </w:rPr>
        <w:t>2</w:t>
      </w:r>
      <w:r>
        <w:rPr>
          <w:color w:val="231F20"/>
          <w:vertAlign w:val="baseline"/>
        </w:rPr>
        <w:t>CO</w:t>
      </w:r>
      <w:r>
        <w:rPr>
          <w:color w:val="231F20"/>
          <w:vertAlign w:val="subscript"/>
        </w:rPr>
        <w:t>3</w:t>
      </w:r>
      <w:r>
        <w:rPr>
          <w:color w:val="231F20"/>
          <w:vertAlign w:val="baseline"/>
        </w:rPr>
        <w:t>. A </w:t>
      </w:r>
      <w:r>
        <w:rPr>
          <w:color w:val="231F20"/>
          <w:spacing w:val="-7"/>
          <w:vertAlign w:val="baseline"/>
        </w:rPr>
        <w:t>strong </w:t>
      </w:r>
      <w:r>
        <w:rPr>
          <w:color w:val="231F20"/>
          <w:vertAlign w:val="baseline"/>
        </w:rPr>
        <w:t>base is one that reacts rapidly and strongly with H</w:t>
      </w:r>
      <w:r>
        <w:rPr>
          <w:rFonts w:ascii="Consolas" w:hAnsi="Consolas"/>
          <w:color w:val="231F20"/>
          <w:position w:val="8"/>
          <w:sz w:val="12"/>
          <w:vertAlign w:val="baseline"/>
        </w:rPr>
        <w:t>+ </w:t>
      </w:r>
      <w:r>
        <w:rPr>
          <w:color w:val="231F20"/>
          <w:vertAlign w:val="baseline"/>
        </w:rPr>
        <w:t>and, therefore, quickly removes H</w:t>
      </w:r>
      <w:r>
        <w:rPr>
          <w:rFonts w:ascii="Consolas" w:hAnsi="Consolas"/>
          <w:color w:val="231F20"/>
          <w:position w:val="8"/>
          <w:sz w:val="12"/>
          <w:vertAlign w:val="baseline"/>
        </w:rPr>
        <w:t>+ </w:t>
      </w:r>
      <w:r>
        <w:rPr>
          <w:color w:val="231F20"/>
          <w:vertAlign w:val="baseline"/>
        </w:rPr>
        <w:t>from a solution. A typical example is OH</w:t>
      </w:r>
      <w:r>
        <w:rPr>
          <w:rFonts w:ascii="Consolas" w:hAnsi="Consolas"/>
          <w:color w:val="231F20"/>
          <w:position w:val="8"/>
          <w:sz w:val="12"/>
          <w:vertAlign w:val="baseline"/>
        </w:rPr>
        <w:t>−</w:t>
      </w:r>
      <w:r>
        <w:rPr>
          <w:color w:val="231F20"/>
          <w:vertAlign w:val="baseline"/>
        </w:rPr>
        <w:t>, which reacts with H</w:t>
      </w:r>
      <w:r>
        <w:rPr>
          <w:rFonts w:ascii="Consolas" w:hAnsi="Consolas"/>
          <w:color w:val="231F20"/>
          <w:position w:val="8"/>
          <w:sz w:val="12"/>
          <w:vertAlign w:val="baseline"/>
        </w:rPr>
        <w:t>+ </w:t>
      </w:r>
      <w:r>
        <w:rPr>
          <w:color w:val="231F20"/>
          <w:vertAlign w:val="baseline"/>
        </w:rPr>
        <w:t>to form </w:t>
      </w:r>
      <w:r>
        <w:rPr>
          <w:color w:val="231F20"/>
          <w:spacing w:val="-4"/>
          <w:vertAlign w:val="baseline"/>
        </w:rPr>
        <w:t>water </w:t>
      </w:r>
      <w:r>
        <w:rPr>
          <w:color w:val="231F20"/>
          <w:vertAlign w:val="baseline"/>
        </w:rPr>
        <w:t>(H</w:t>
      </w:r>
      <w:r>
        <w:rPr>
          <w:color w:val="231F20"/>
          <w:vertAlign w:val="subscript"/>
        </w:rPr>
        <w:t>2</w:t>
      </w:r>
      <w:r>
        <w:rPr>
          <w:color w:val="231F20"/>
          <w:vertAlign w:val="baseline"/>
        </w:rPr>
        <w:t>O). A typical weak base is HCO </w:t>
      </w:r>
      <w:r>
        <w:rPr>
          <w:rFonts w:ascii="Consolas" w:hAnsi="Consolas"/>
          <w:color w:val="231F20"/>
          <w:position w:val="8"/>
          <w:sz w:val="12"/>
          <w:vertAlign w:val="baseline"/>
        </w:rPr>
        <w:t>−</w:t>
      </w:r>
      <w:r>
        <w:rPr>
          <w:rFonts w:ascii="Consolas" w:hAnsi="Consolas"/>
          <w:color w:val="231F20"/>
          <w:spacing w:val="-48"/>
          <w:position w:val="8"/>
          <w:sz w:val="12"/>
          <w:vertAlign w:val="baseline"/>
        </w:rPr>
        <w:t> </w:t>
      </w:r>
      <w:r>
        <w:rPr>
          <w:color w:val="231F20"/>
          <w:vertAlign w:val="baseline"/>
        </w:rPr>
        <w:t>because it binds </w:t>
      </w:r>
      <w:r>
        <w:rPr>
          <w:color w:val="231F20"/>
          <w:spacing w:val="-4"/>
          <w:vertAlign w:val="baseline"/>
        </w:rPr>
        <w:t>with </w:t>
      </w:r>
      <w:r>
        <w:rPr>
          <w:color w:val="231F20"/>
          <w:vertAlign w:val="baseline"/>
        </w:rPr>
        <w:t>H</w:t>
      </w:r>
      <w:r>
        <w:rPr>
          <w:rFonts w:ascii="Consolas" w:hAnsi="Consolas"/>
          <w:color w:val="231F20"/>
          <w:position w:val="8"/>
          <w:sz w:val="12"/>
          <w:vertAlign w:val="baseline"/>
        </w:rPr>
        <w:t>+ </w:t>
      </w:r>
      <w:r>
        <w:rPr>
          <w:color w:val="231F20"/>
          <w:vertAlign w:val="baseline"/>
        </w:rPr>
        <w:t>much more weakly than does OH</w:t>
      </w:r>
      <w:r>
        <w:rPr>
          <w:rFonts w:ascii="Consolas" w:hAnsi="Consolas"/>
          <w:color w:val="231F20"/>
          <w:position w:val="8"/>
          <w:sz w:val="12"/>
          <w:vertAlign w:val="baseline"/>
        </w:rPr>
        <w:t>−</w:t>
      </w:r>
      <w:r>
        <w:rPr>
          <w:color w:val="231F20"/>
          <w:vertAlign w:val="baseline"/>
        </w:rPr>
        <w:t>. Most acids and bases in the extracellular fluid that are involved in normal acid-base regulation are weak acids and bases. The </w:t>
      </w:r>
      <w:r>
        <w:rPr>
          <w:color w:val="231F20"/>
          <w:spacing w:val="-3"/>
          <w:vertAlign w:val="baseline"/>
        </w:rPr>
        <w:t>most </w:t>
      </w:r>
      <w:r>
        <w:rPr>
          <w:color w:val="231F20"/>
          <w:vertAlign w:val="baseline"/>
        </w:rPr>
        <w:t>important ones that we discuss in detail are carbonic </w:t>
      </w:r>
      <w:r>
        <w:rPr>
          <w:color w:val="231F20"/>
          <w:spacing w:val="-3"/>
          <w:vertAlign w:val="baseline"/>
        </w:rPr>
        <w:t>acid </w:t>
      </w:r>
      <w:r>
        <w:rPr>
          <w:color w:val="231F20"/>
          <w:vertAlign w:val="baseline"/>
        </w:rPr>
        <w:t>(H</w:t>
      </w:r>
      <w:r>
        <w:rPr>
          <w:color w:val="231F20"/>
          <w:vertAlign w:val="subscript"/>
        </w:rPr>
        <w:t>2</w:t>
      </w:r>
      <w:r>
        <w:rPr>
          <w:color w:val="231F20"/>
          <w:vertAlign w:val="baseline"/>
        </w:rPr>
        <w:t>CO</w:t>
      </w:r>
      <w:r>
        <w:rPr>
          <w:color w:val="231F20"/>
          <w:vertAlign w:val="subscript"/>
        </w:rPr>
        <w:t>3</w:t>
      </w:r>
      <w:r>
        <w:rPr>
          <w:color w:val="231F20"/>
          <w:vertAlign w:val="baseline"/>
        </w:rPr>
        <w:t>) and HCO </w:t>
      </w:r>
      <w:r>
        <w:rPr>
          <w:rFonts w:ascii="Consolas" w:hAnsi="Consolas"/>
          <w:color w:val="231F20"/>
          <w:position w:val="8"/>
          <w:sz w:val="12"/>
          <w:vertAlign w:val="baseline"/>
        </w:rPr>
        <w:t>−</w:t>
      </w:r>
      <w:r>
        <w:rPr>
          <w:rFonts w:ascii="Consolas" w:hAnsi="Consolas"/>
          <w:color w:val="231F20"/>
          <w:spacing w:val="16"/>
          <w:position w:val="8"/>
          <w:sz w:val="12"/>
          <w:vertAlign w:val="baseline"/>
        </w:rPr>
        <w:t> </w:t>
      </w:r>
      <w:r>
        <w:rPr>
          <w:color w:val="231F20"/>
          <w:vertAlign w:val="baseline"/>
        </w:rPr>
        <w:t>base.</w:t>
      </w:r>
    </w:p>
    <w:p>
      <w:pPr>
        <w:spacing w:line="247" w:lineRule="auto" w:before="263"/>
        <w:ind w:left="319" w:right="1077" w:firstLine="0"/>
        <w:jc w:val="both"/>
        <w:rPr>
          <w:sz w:val="20"/>
        </w:rPr>
      </w:pPr>
      <w:r>
        <w:rPr>
          <w:rFonts w:ascii="Trebuchet MS"/>
          <w:b/>
          <w:color w:val="231F20"/>
          <w:sz w:val="19"/>
        </w:rPr>
        <w:t>Normal H</w:t>
      </w:r>
      <w:r>
        <w:rPr>
          <w:rFonts w:ascii="Consolas"/>
          <w:color w:val="231F20"/>
          <w:sz w:val="19"/>
          <w:vertAlign w:val="superscript"/>
        </w:rPr>
        <w:t>+</w:t>
      </w:r>
      <w:r>
        <w:rPr>
          <w:rFonts w:ascii="Consolas"/>
          <w:color w:val="231F20"/>
          <w:sz w:val="19"/>
          <w:vertAlign w:val="baseline"/>
        </w:rPr>
        <w:t> </w:t>
      </w:r>
      <w:r>
        <w:rPr>
          <w:rFonts w:ascii="Trebuchet MS"/>
          <w:b/>
          <w:color w:val="231F20"/>
          <w:sz w:val="19"/>
          <w:vertAlign w:val="baseline"/>
        </w:rPr>
        <w:t>Concentration and pH of Body Fluids </w:t>
      </w:r>
      <w:r>
        <w:rPr>
          <w:rFonts w:ascii="Trebuchet MS"/>
          <w:b/>
          <w:color w:val="231F20"/>
          <w:spacing w:val="-5"/>
          <w:sz w:val="19"/>
          <w:vertAlign w:val="baseline"/>
        </w:rPr>
        <w:t>and </w:t>
      </w:r>
      <w:r>
        <w:rPr>
          <w:rFonts w:ascii="Trebuchet MS"/>
          <w:b/>
          <w:color w:val="231F20"/>
          <w:sz w:val="19"/>
          <w:vertAlign w:val="baseline"/>
        </w:rPr>
        <w:t>Changes That Occur in Acidosis and Alkalosis. </w:t>
      </w:r>
      <w:r>
        <w:rPr>
          <w:color w:val="231F20"/>
          <w:sz w:val="20"/>
          <w:vertAlign w:val="baseline"/>
        </w:rPr>
        <w:t>Blood H</w:t>
      </w:r>
      <w:r>
        <w:rPr>
          <w:rFonts w:ascii="Consolas"/>
          <w:color w:val="231F20"/>
          <w:position w:val="8"/>
          <w:sz w:val="12"/>
          <w:vertAlign w:val="baseline"/>
        </w:rPr>
        <w:t>+ </w:t>
      </w:r>
      <w:r>
        <w:rPr>
          <w:color w:val="231F20"/>
          <w:sz w:val="20"/>
          <w:vertAlign w:val="baseline"/>
        </w:rPr>
        <w:t>concentration is normally maintained within </w:t>
      </w:r>
      <w:r>
        <w:rPr>
          <w:color w:val="231F20"/>
          <w:spacing w:val="-4"/>
          <w:sz w:val="20"/>
          <w:vertAlign w:val="baseline"/>
        </w:rPr>
        <w:t>tight </w:t>
      </w:r>
      <w:r>
        <w:rPr>
          <w:color w:val="231F20"/>
          <w:sz w:val="20"/>
          <w:vertAlign w:val="baseline"/>
        </w:rPr>
        <w:t>limits around a normal value of about 0.00004 mEq/L </w:t>
      </w:r>
      <w:r>
        <w:rPr>
          <w:color w:val="231F20"/>
          <w:spacing w:val="-4"/>
          <w:sz w:val="20"/>
          <w:vertAlign w:val="baseline"/>
        </w:rPr>
        <w:t>(40 </w:t>
      </w:r>
      <w:r>
        <w:rPr>
          <w:color w:val="231F20"/>
          <w:sz w:val="20"/>
          <w:vertAlign w:val="baseline"/>
        </w:rPr>
        <w:t>nEq/L).</w:t>
      </w:r>
      <w:r>
        <w:rPr>
          <w:color w:val="231F20"/>
          <w:spacing w:val="27"/>
          <w:sz w:val="20"/>
          <w:vertAlign w:val="baseline"/>
        </w:rPr>
        <w:t> </w:t>
      </w:r>
      <w:r>
        <w:rPr>
          <w:color w:val="231F20"/>
          <w:sz w:val="20"/>
          <w:vertAlign w:val="baseline"/>
        </w:rPr>
        <w:t>Normal</w:t>
      </w:r>
      <w:r>
        <w:rPr>
          <w:color w:val="231F20"/>
          <w:spacing w:val="29"/>
          <w:sz w:val="20"/>
          <w:vertAlign w:val="baseline"/>
        </w:rPr>
        <w:t> </w:t>
      </w:r>
      <w:r>
        <w:rPr>
          <w:color w:val="231F20"/>
          <w:sz w:val="20"/>
          <w:vertAlign w:val="baseline"/>
        </w:rPr>
        <w:t>variations</w:t>
      </w:r>
      <w:r>
        <w:rPr>
          <w:color w:val="231F20"/>
          <w:spacing w:val="28"/>
          <w:sz w:val="20"/>
          <w:vertAlign w:val="baseline"/>
        </w:rPr>
        <w:t> </w:t>
      </w:r>
      <w:r>
        <w:rPr>
          <w:color w:val="231F20"/>
          <w:sz w:val="20"/>
          <w:vertAlign w:val="baseline"/>
        </w:rPr>
        <w:t>are</w:t>
      </w:r>
      <w:r>
        <w:rPr>
          <w:color w:val="231F20"/>
          <w:spacing w:val="29"/>
          <w:sz w:val="20"/>
          <w:vertAlign w:val="baseline"/>
        </w:rPr>
        <w:t> </w:t>
      </w:r>
      <w:r>
        <w:rPr>
          <w:color w:val="231F20"/>
          <w:sz w:val="20"/>
          <w:vertAlign w:val="baseline"/>
        </w:rPr>
        <w:t>only</w:t>
      </w:r>
      <w:r>
        <w:rPr>
          <w:color w:val="231F20"/>
          <w:spacing w:val="28"/>
          <w:sz w:val="20"/>
          <w:vertAlign w:val="baseline"/>
        </w:rPr>
        <w:t> </w:t>
      </w:r>
      <w:r>
        <w:rPr>
          <w:color w:val="231F20"/>
          <w:sz w:val="20"/>
          <w:vertAlign w:val="baseline"/>
        </w:rPr>
        <w:t>about</w:t>
      </w:r>
      <w:r>
        <w:rPr>
          <w:color w:val="231F20"/>
          <w:spacing w:val="29"/>
          <w:sz w:val="20"/>
          <w:vertAlign w:val="baseline"/>
        </w:rPr>
        <w:t> </w:t>
      </w:r>
      <w:r>
        <w:rPr>
          <w:color w:val="231F20"/>
          <w:sz w:val="20"/>
          <w:vertAlign w:val="baseline"/>
        </w:rPr>
        <w:t>3</w:t>
      </w:r>
      <w:r>
        <w:rPr>
          <w:color w:val="231F20"/>
          <w:spacing w:val="29"/>
          <w:sz w:val="20"/>
          <w:vertAlign w:val="baseline"/>
        </w:rPr>
        <w:t> </w:t>
      </w:r>
      <w:r>
        <w:rPr>
          <w:color w:val="231F20"/>
          <w:sz w:val="20"/>
          <w:vertAlign w:val="baseline"/>
        </w:rPr>
        <w:t>to</w:t>
      </w:r>
      <w:r>
        <w:rPr>
          <w:color w:val="231F20"/>
          <w:spacing w:val="29"/>
          <w:sz w:val="20"/>
          <w:vertAlign w:val="baseline"/>
        </w:rPr>
        <w:t> </w:t>
      </w:r>
      <w:r>
        <w:rPr>
          <w:color w:val="231F20"/>
          <w:sz w:val="20"/>
          <w:vertAlign w:val="baseline"/>
        </w:rPr>
        <w:t>5</w:t>
      </w:r>
      <w:r>
        <w:rPr>
          <w:color w:val="231F20"/>
          <w:spacing w:val="27"/>
          <w:sz w:val="20"/>
          <w:vertAlign w:val="baseline"/>
        </w:rPr>
        <w:t> </w:t>
      </w:r>
      <w:r>
        <w:rPr>
          <w:color w:val="231F20"/>
          <w:sz w:val="20"/>
          <w:vertAlign w:val="baseline"/>
        </w:rPr>
        <w:t>nEq/L,</w:t>
      </w:r>
    </w:p>
    <w:p>
      <w:pPr>
        <w:spacing w:after="0" w:line="247" w:lineRule="auto"/>
        <w:jc w:val="both"/>
        <w:rPr>
          <w:sz w:val="20"/>
        </w:rPr>
        <w:sectPr>
          <w:type w:val="continuous"/>
          <w:pgSz w:w="12240" w:h="15660"/>
          <w:pgMar w:top="0" w:bottom="760" w:left="0" w:right="0"/>
          <w:cols w:num="2" w:equalWidth="0">
            <w:col w:w="6121" w:space="40"/>
            <w:col w:w="6079"/>
          </w:cols>
        </w:sectPr>
      </w:pPr>
    </w:p>
    <w:p>
      <w:pPr>
        <w:pStyle w:val="BodyText"/>
        <w:spacing w:before="10"/>
        <w:rPr>
          <w:sz w:val="17"/>
        </w:rPr>
      </w:pPr>
    </w:p>
    <w:p>
      <w:pPr>
        <w:spacing w:after="0"/>
        <w:rPr>
          <w:sz w:val="17"/>
        </w:rPr>
        <w:sectPr>
          <w:headerReference w:type="default" r:id="rId935"/>
          <w:pgSz w:w="12240" w:h="15660"/>
          <w:pgMar w:header="0" w:footer="567" w:top="720" w:bottom="760" w:left="0" w:right="0"/>
        </w:sectPr>
      </w:pPr>
    </w:p>
    <w:p>
      <w:pPr>
        <w:pStyle w:val="BodyText"/>
        <w:spacing w:line="249" w:lineRule="auto" w:before="111"/>
        <w:ind w:left="1079"/>
        <w:jc w:val="both"/>
      </w:pPr>
      <w:r>
        <w:rPr>
          <w:color w:val="231F20"/>
          <w:w w:val="105"/>
        </w:rPr>
        <w:t>but under extreme conditions, the H</w:t>
      </w:r>
      <w:r>
        <w:rPr>
          <w:rFonts w:ascii="Consolas"/>
          <w:color w:val="231F20"/>
          <w:w w:val="105"/>
          <w:position w:val="8"/>
          <w:sz w:val="12"/>
        </w:rPr>
        <w:t>+ </w:t>
      </w:r>
      <w:r>
        <w:rPr>
          <w:color w:val="231F20"/>
          <w:w w:val="105"/>
        </w:rPr>
        <w:t>concentration can vary from as low as 10 nEq/L to as high as 160 nEq/L without causing death.</w:t>
      </w:r>
    </w:p>
    <w:p>
      <w:pPr>
        <w:pStyle w:val="BodyText"/>
        <w:spacing w:line="247" w:lineRule="auto"/>
        <w:ind w:left="1079" w:firstLine="239"/>
        <w:jc w:val="both"/>
      </w:pPr>
      <w:r>
        <w:rPr>
          <w:color w:val="231F20"/>
          <w:w w:val="105"/>
        </w:rPr>
        <w:t>Because</w:t>
      </w:r>
      <w:r>
        <w:rPr>
          <w:color w:val="231F20"/>
          <w:spacing w:val="-32"/>
          <w:w w:val="105"/>
        </w:rPr>
        <w:t> </w:t>
      </w:r>
      <w:r>
        <w:rPr>
          <w:color w:val="231F20"/>
          <w:w w:val="105"/>
        </w:rPr>
        <w:t>H</w:t>
      </w:r>
      <w:r>
        <w:rPr>
          <w:rFonts w:ascii="Consolas"/>
          <w:color w:val="231F20"/>
          <w:w w:val="105"/>
          <w:position w:val="8"/>
          <w:sz w:val="12"/>
        </w:rPr>
        <w:t>+</w:t>
      </w:r>
      <w:r>
        <w:rPr>
          <w:rFonts w:ascii="Consolas"/>
          <w:color w:val="231F20"/>
          <w:spacing w:val="-48"/>
          <w:w w:val="105"/>
          <w:position w:val="8"/>
          <w:sz w:val="12"/>
        </w:rPr>
        <w:t> </w:t>
      </w:r>
      <w:r>
        <w:rPr>
          <w:color w:val="231F20"/>
          <w:w w:val="105"/>
        </w:rPr>
        <w:t>concentration</w:t>
      </w:r>
      <w:r>
        <w:rPr>
          <w:color w:val="231F20"/>
          <w:spacing w:val="-32"/>
          <w:w w:val="105"/>
        </w:rPr>
        <w:t> </w:t>
      </w:r>
      <w:r>
        <w:rPr>
          <w:color w:val="231F20"/>
          <w:w w:val="105"/>
        </w:rPr>
        <w:t>normally</w:t>
      </w:r>
      <w:r>
        <w:rPr>
          <w:color w:val="231F20"/>
          <w:spacing w:val="-31"/>
          <w:w w:val="105"/>
        </w:rPr>
        <w:t> </w:t>
      </w:r>
      <w:r>
        <w:rPr>
          <w:color w:val="231F20"/>
          <w:w w:val="105"/>
        </w:rPr>
        <w:t>is</w:t>
      </w:r>
      <w:r>
        <w:rPr>
          <w:color w:val="231F20"/>
          <w:spacing w:val="-32"/>
          <w:w w:val="105"/>
        </w:rPr>
        <w:t> </w:t>
      </w:r>
      <w:r>
        <w:rPr>
          <w:color w:val="231F20"/>
          <w:spacing w:val="-3"/>
          <w:w w:val="105"/>
        </w:rPr>
        <w:t>low,</w:t>
      </w:r>
      <w:r>
        <w:rPr>
          <w:color w:val="231F20"/>
          <w:spacing w:val="-31"/>
          <w:w w:val="105"/>
        </w:rPr>
        <w:t> </w:t>
      </w:r>
      <w:r>
        <w:rPr>
          <w:color w:val="231F20"/>
          <w:w w:val="105"/>
        </w:rPr>
        <w:t>and</w:t>
      </w:r>
      <w:r>
        <w:rPr>
          <w:color w:val="231F20"/>
          <w:spacing w:val="-32"/>
          <w:w w:val="105"/>
        </w:rPr>
        <w:t> </w:t>
      </w:r>
      <w:r>
        <w:rPr>
          <w:color w:val="231F20"/>
          <w:w w:val="105"/>
        </w:rPr>
        <w:t>because these small numbers are cumbersome, it is customary</w:t>
      </w:r>
      <w:r>
        <w:rPr>
          <w:color w:val="231F20"/>
          <w:spacing w:val="-35"/>
          <w:w w:val="105"/>
        </w:rPr>
        <w:t> </w:t>
      </w:r>
      <w:r>
        <w:rPr>
          <w:color w:val="231F20"/>
          <w:w w:val="105"/>
        </w:rPr>
        <w:t>to express</w:t>
      </w:r>
      <w:r>
        <w:rPr>
          <w:color w:val="231F20"/>
          <w:spacing w:val="-6"/>
          <w:w w:val="105"/>
        </w:rPr>
        <w:t> </w:t>
      </w:r>
      <w:r>
        <w:rPr>
          <w:color w:val="231F20"/>
          <w:w w:val="105"/>
        </w:rPr>
        <w:t>H</w:t>
      </w:r>
      <w:r>
        <w:rPr>
          <w:rFonts w:ascii="Consolas"/>
          <w:color w:val="231F20"/>
          <w:w w:val="105"/>
          <w:position w:val="8"/>
          <w:sz w:val="12"/>
        </w:rPr>
        <w:t>+</w:t>
      </w:r>
      <w:r>
        <w:rPr>
          <w:rFonts w:ascii="Consolas"/>
          <w:color w:val="231F20"/>
          <w:spacing w:val="-22"/>
          <w:w w:val="105"/>
          <w:position w:val="8"/>
          <w:sz w:val="12"/>
        </w:rPr>
        <w:t> </w:t>
      </w:r>
      <w:r>
        <w:rPr>
          <w:color w:val="231F20"/>
          <w:w w:val="105"/>
        </w:rPr>
        <w:t>concentration</w:t>
      </w:r>
      <w:r>
        <w:rPr>
          <w:color w:val="231F20"/>
          <w:spacing w:val="-6"/>
          <w:w w:val="105"/>
        </w:rPr>
        <w:t> </w:t>
      </w:r>
      <w:r>
        <w:rPr>
          <w:color w:val="231F20"/>
          <w:w w:val="105"/>
        </w:rPr>
        <w:t>on</w:t>
      </w:r>
      <w:r>
        <w:rPr>
          <w:color w:val="231F20"/>
          <w:spacing w:val="-5"/>
          <w:w w:val="105"/>
        </w:rPr>
        <w:t> </w:t>
      </w:r>
      <w:r>
        <w:rPr>
          <w:color w:val="231F20"/>
          <w:w w:val="105"/>
        </w:rPr>
        <w:t>a</w:t>
      </w:r>
      <w:r>
        <w:rPr>
          <w:color w:val="231F20"/>
          <w:spacing w:val="-5"/>
          <w:w w:val="105"/>
        </w:rPr>
        <w:t> </w:t>
      </w:r>
      <w:r>
        <w:rPr>
          <w:color w:val="231F20"/>
          <w:w w:val="105"/>
        </w:rPr>
        <w:t>logarithm</w:t>
      </w:r>
      <w:r>
        <w:rPr>
          <w:color w:val="231F20"/>
          <w:spacing w:val="-6"/>
          <w:w w:val="105"/>
        </w:rPr>
        <w:t> </w:t>
      </w:r>
      <w:r>
        <w:rPr>
          <w:color w:val="231F20"/>
          <w:w w:val="105"/>
        </w:rPr>
        <w:t>scale,</w:t>
      </w:r>
      <w:r>
        <w:rPr>
          <w:color w:val="231F20"/>
          <w:spacing w:val="-5"/>
          <w:w w:val="105"/>
        </w:rPr>
        <w:t> </w:t>
      </w:r>
      <w:r>
        <w:rPr>
          <w:color w:val="231F20"/>
          <w:w w:val="105"/>
        </w:rPr>
        <w:t>using</w:t>
      </w:r>
      <w:r>
        <w:rPr>
          <w:color w:val="231F20"/>
          <w:spacing w:val="-6"/>
          <w:w w:val="105"/>
        </w:rPr>
        <w:t> </w:t>
      </w:r>
      <w:r>
        <w:rPr>
          <w:color w:val="231F20"/>
          <w:w w:val="105"/>
        </w:rPr>
        <w:t>pH units. pH is related to the actual H</w:t>
      </w:r>
      <w:r>
        <w:rPr>
          <w:rFonts w:ascii="Consolas"/>
          <w:color w:val="231F20"/>
          <w:w w:val="105"/>
          <w:position w:val="8"/>
          <w:sz w:val="12"/>
        </w:rPr>
        <w:t>+</w:t>
      </w:r>
      <w:r>
        <w:rPr>
          <w:rFonts w:ascii="Consolas"/>
          <w:color w:val="231F20"/>
          <w:spacing w:val="-41"/>
          <w:w w:val="105"/>
          <w:position w:val="8"/>
          <w:sz w:val="12"/>
        </w:rPr>
        <w:t> </w:t>
      </w:r>
      <w:r>
        <w:rPr>
          <w:color w:val="231F20"/>
          <w:w w:val="105"/>
        </w:rPr>
        <w:t>concentration by </w:t>
      </w:r>
      <w:r>
        <w:rPr>
          <w:color w:val="231F20"/>
          <w:spacing w:val="-6"/>
          <w:w w:val="105"/>
        </w:rPr>
        <w:t>the </w:t>
      </w:r>
      <w:r>
        <w:rPr>
          <w:color w:val="231F20"/>
          <w:w w:val="105"/>
        </w:rPr>
        <w:t>following</w:t>
      </w:r>
      <w:r>
        <w:rPr>
          <w:color w:val="231F20"/>
          <w:spacing w:val="-15"/>
          <w:w w:val="105"/>
        </w:rPr>
        <w:t> </w:t>
      </w:r>
      <w:r>
        <w:rPr>
          <w:color w:val="231F20"/>
          <w:w w:val="105"/>
        </w:rPr>
        <w:t>formula</w:t>
      </w:r>
      <w:r>
        <w:rPr>
          <w:color w:val="231F20"/>
          <w:spacing w:val="-14"/>
          <w:w w:val="105"/>
        </w:rPr>
        <w:t> </w:t>
      </w:r>
      <w:r>
        <w:rPr>
          <w:color w:val="231F20"/>
          <w:w w:val="105"/>
        </w:rPr>
        <w:t>(H</w:t>
      </w:r>
      <w:r>
        <w:rPr>
          <w:rFonts w:ascii="Consolas"/>
          <w:color w:val="231F20"/>
          <w:w w:val="105"/>
          <w:position w:val="8"/>
          <w:sz w:val="12"/>
        </w:rPr>
        <w:t>+</w:t>
      </w:r>
      <w:r>
        <w:rPr>
          <w:rFonts w:ascii="Consolas"/>
          <w:color w:val="231F20"/>
          <w:spacing w:val="-32"/>
          <w:w w:val="105"/>
          <w:position w:val="8"/>
          <w:sz w:val="12"/>
        </w:rPr>
        <w:t> </w:t>
      </w:r>
      <w:r>
        <w:rPr>
          <w:color w:val="231F20"/>
          <w:w w:val="105"/>
        </w:rPr>
        <w:t>concentration</w:t>
      </w:r>
      <w:r>
        <w:rPr>
          <w:color w:val="231F20"/>
          <w:spacing w:val="-14"/>
          <w:w w:val="105"/>
        </w:rPr>
        <w:t> </w:t>
      </w:r>
      <w:r>
        <w:rPr>
          <w:color w:val="231F20"/>
          <w:w w:val="105"/>
        </w:rPr>
        <w:t>[H</w:t>
      </w:r>
      <w:r>
        <w:rPr>
          <w:rFonts w:ascii="Consolas"/>
          <w:color w:val="231F20"/>
          <w:w w:val="105"/>
          <w:position w:val="8"/>
          <w:sz w:val="12"/>
        </w:rPr>
        <w:t>+</w:t>
      </w:r>
      <w:r>
        <w:rPr>
          <w:color w:val="231F20"/>
          <w:w w:val="105"/>
        </w:rPr>
        <w:t>]</w:t>
      </w:r>
      <w:r>
        <w:rPr>
          <w:color w:val="231F20"/>
          <w:spacing w:val="-14"/>
          <w:w w:val="105"/>
        </w:rPr>
        <w:t> </w:t>
      </w:r>
      <w:r>
        <w:rPr>
          <w:color w:val="231F20"/>
          <w:w w:val="105"/>
        </w:rPr>
        <w:t>is</w:t>
      </w:r>
      <w:r>
        <w:rPr>
          <w:color w:val="231F20"/>
          <w:spacing w:val="-15"/>
          <w:w w:val="105"/>
        </w:rPr>
        <w:t> </w:t>
      </w:r>
      <w:r>
        <w:rPr>
          <w:color w:val="231F20"/>
          <w:w w:val="105"/>
        </w:rPr>
        <w:t>expressed</w:t>
      </w:r>
      <w:r>
        <w:rPr>
          <w:color w:val="231F20"/>
          <w:spacing w:val="-14"/>
          <w:w w:val="105"/>
        </w:rPr>
        <w:t> </w:t>
      </w:r>
      <w:r>
        <w:rPr>
          <w:color w:val="231F20"/>
          <w:w w:val="105"/>
        </w:rPr>
        <w:t>in </w:t>
      </w:r>
      <w:r>
        <w:rPr>
          <w:i/>
          <w:color w:val="231F20"/>
          <w:w w:val="105"/>
        </w:rPr>
        <w:t>equivalents </w:t>
      </w:r>
      <w:r>
        <w:rPr>
          <w:color w:val="231F20"/>
          <w:w w:val="105"/>
        </w:rPr>
        <w:t>per</w:t>
      </w:r>
      <w:r>
        <w:rPr>
          <w:color w:val="231F20"/>
          <w:spacing w:val="4"/>
          <w:w w:val="105"/>
        </w:rPr>
        <w:t> </w:t>
      </w:r>
      <w:r>
        <w:rPr>
          <w:color w:val="231F20"/>
          <w:w w:val="105"/>
        </w:rPr>
        <w:t>liter):</w:t>
      </w:r>
    </w:p>
    <w:p>
      <w:pPr>
        <w:spacing w:line="158" w:lineRule="auto" w:before="194"/>
        <w:ind w:left="3163" w:right="1455" w:hanging="698"/>
        <w:jc w:val="left"/>
        <w:rPr>
          <w:rFonts w:ascii="Trebuchet MS" w:hAnsi="Trebuchet MS"/>
          <w:sz w:val="18"/>
        </w:rPr>
      </w:pPr>
      <w:r>
        <w:rPr/>
        <w:pict>
          <v:rect style="position:absolute;margin-left:0pt;margin-top:32.281731pt;width:36pt;height:24pt;mso-position-horizontal-relative:page;mso-position-vertical-relative:paragraph;z-index:252733440" filled="true" fillcolor="#e8dac8" stroked="false">
            <v:fill type="solid"/>
            <w10:wrap type="none"/>
          </v:rect>
        </w:pict>
      </w:r>
      <w:r>
        <w:rPr>
          <w:rFonts w:ascii="Trebuchet MS" w:hAnsi="Trebuchet MS"/>
          <w:w w:val="105"/>
          <w:sz w:val="18"/>
        </w:rPr>
        <w:t>pH </w:t>
      </w:r>
      <w:r>
        <w:rPr>
          <w:rFonts w:ascii="Symbol" w:hAnsi="Symbol"/>
          <w:w w:val="105"/>
          <w:sz w:val="18"/>
        </w:rPr>
        <w:t></w:t>
      </w:r>
      <w:r>
        <w:rPr>
          <w:w w:val="105"/>
          <w:sz w:val="18"/>
        </w:rPr>
        <w:t> </w:t>
      </w:r>
      <w:r>
        <w:rPr>
          <w:rFonts w:ascii="Trebuchet MS" w:hAnsi="Trebuchet MS"/>
          <w:w w:val="105"/>
          <w:sz w:val="18"/>
        </w:rPr>
        <w:t>log</w:t>
      </w:r>
      <w:r>
        <w:rPr>
          <w:rFonts w:ascii="Trebuchet MS" w:hAnsi="Trebuchet MS"/>
          <w:w w:val="105"/>
          <w:position w:val="12"/>
          <w:sz w:val="18"/>
          <w:u w:val="single"/>
        </w:rPr>
        <w:t> 1</w:t>
      </w:r>
      <w:r>
        <w:rPr>
          <w:rFonts w:ascii="Trebuchet MS" w:hAnsi="Trebuchet MS"/>
          <w:w w:val="105"/>
          <w:position w:val="12"/>
          <w:sz w:val="18"/>
        </w:rPr>
        <w:t> </w:t>
      </w:r>
      <w:r>
        <w:rPr>
          <w:rFonts w:ascii="Symbol" w:hAnsi="Symbol"/>
          <w:w w:val="105"/>
          <w:sz w:val="18"/>
        </w:rPr>
        <w:t></w:t>
      </w:r>
      <w:r>
        <w:rPr>
          <w:w w:val="105"/>
          <w:sz w:val="18"/>
        </w:rPr>
        <w:t> </w:t>
      </w:r>
      <w:r>
        <w:rPr>
          <w:rFonts w:ascii="Symbol" w:hAnsi="Symbol"/>
          <w:w w:val="105"/>
          <w:sz w:val="18"/>
        </w:rPr>
        <w:t></w:t>
      </w:r>
      <w:r>
        <w:rPr>
          <w:rFonts w:ascii="Trebuchet MS" w:hAnsi="Trebuchet MS"/>
          <w:w w:val="105"/>
          <w:sz w:val="18"/>
        </w:rPr>
        <w:t>log[H</w:t>
      </w:r>
      <w:r>
        <w:rPr>
          <w:rFonts w:ascii="Symbol" w:hAnsi="Symbol"/>
          <w:w w:val="105"/>
          <w:position w:val="7"/>
          <w:sz w:val="10"/>
        </w:rPr>
        <w:t></w:t>
      </w:r>
      <w:r>
        <w:rPr>
          <w:w w:val="105"/>
          <w:position w:val="7"/>
          <w:sz w:val="10"/>
        </w:rPr>
        <w:t> </w:t>
      </w:r>
      <w:r>
        <w:rPr>
          <w:rFonts w:ascii="Trebuchet MS" w:hAnsi="Trebuchet MS"/>
          <w:w w:val="105"/>
          <w:sz w:val="18"/>
        </w:rPr>
        <w:t>] [H</w:t>
      </w:r>
      <w:r>
        <w:rPr>
          <w:rFonts w:ascii="Symbol" w:hAnsi="Symbol"/>
          <w:w w:val="105"/>
          <w:position w:val="7"/>
          <w:sz w:val="10"/>
        </w:rPr>
        <w:t></w:t>
      </w:r>
      <w:r>
        <w:rPr>
          <w:w w:val="105"/>
          <w:position w:val="7"/>
          <w:sz w:val="10"/>
        </w:rPr>
        <w:t> </w:t>
      </w:r>
      <w:r>
        <w:rPr>
          <w:rFonts w:ascii="Trebuchet MS" w:hAnsi="Trebuchet MS"/>
          <w:w w:val="105"/>
          <w:sz w:val="18"/>
        </w:rPr>
        <w:t>]</w:t>
      </w:r>
    </w:p>
    <w:p>
      <w:pPr>
        <w:pStyle w:val="BodyText"/>
        <w:spacing w:before="135"/>
        <w:ind w:left="1080"/>
        <w:jc w:val="both"/>
      </w:pPr>
      <w:r>
        <w:rPr>
          <w:color w:val="231F20"/>
          <w:spacing w:val="-3"/>
        </w:rPr>
        <w:t>For </w:t>
      </w:r>
      <w:r>
        <w:rPr>
          <w:color w:val="231F20"/>
        </w:rPr>
        <w:t>example, normal [H</w:t>
      </w:r>
      <w:r>
        <w:rPr>
          <w:rFonts w:ascii="Consolas"/>
          <w:color w:val="231F20"/>
          <w:position w:val="8"/>
          <w:sz w:val="12"/>
        </w:rPr>
        <w:t>+</w:t>
      </w:r>
      <w:r>
        <w:rPr>
          <w:color w:val="231F20"/>
        </w:rPr>
        <w:t>] is 40 nEq/L (0.00000004 </w:t>
      </w:r>
      <w:r>
        <w:rPr>
          <w:color w:val="231F20"/>
          <w:spacing w:val="-3"/>
        </w:rPr>
        <w:t>Eq/L).</w:t>
      </w:r>
    </w:p>
    <w:p>
      <w:pPr>
        <w:pStyle w:val="BodyText"/>
        <w:spacing w:before="10"/>
        <w:ind w:left="1080"/>
        <w:jc w:val="both"/>
      </w:pPr>
      <w:r>
        <w:rPr>
          <w:color w:val="231F20"/>
        </w:rPr>
        <w:t>Therefore, the normal pH is</w:t>
      </w:r>
    </w:p>
    <w:p>
      <w:pPr>
        <w:spacing w:line="261" w:lineRule="auto" w:before="137"/>
        <w:ind w:left="2476" w:right="1308" w:firstLine="0"/>
        <w:jc w:val="left"/>
        <w:rPr>
          <w:rFonts w:ascii="Trebuchet MS" w:hAnsi="Trebuchet MS"/>
          <w:sz w:val="18"/>
        </w:rPr>
      </w:pPr>
      <w:r>
        <w:rPr>
          <w:rFonts w:ascii="Trebuchet MS" w:hAnsi="Trebuchet MS"/>
          <w:w w:val="105"/>
          <w:sz w:val="18"/>
        </w:rPr>
        <w:t>pH </w:t>
      </w:r>
      <w:r>
        <w:rPr>
          <w:rFonts w:ascii="Symbol" w:hAnsi="Symbol"/>
          <w:w w:val="105"/>
          <w:sz w:val="18"/>
        </w:rPr>
        <w:t></w:t>
      </w:r>
      <w:r>
        <w:rPr>
          <w:w w:val="105"/>
          <w:sz w:val="18"/>
        </w:rPr>
        <w:t> </w:t>
      </w:r>
      <w:r>
        <w:rPr>
          <w:rFonts w:ascii="Symbol" w:hAnsi="Symbol"/>
          <w:w w:val="105"/>
          <w:sz w:val="18"/>
        </w:rPr>
        <w:t></w:t>
      </w:r>
      <w:r>
        <w:rPr>
          <w:rFonts w:ascii="Trebuchet MS" w:hAnsi="Trebuchet MS"/>
          <w:w w:val="105"/>
          <w:sz w:val="18"/>
        </w:rPr>
        <w:t>log[0.00000004] pH </w:t>
      </w:r>
      <w:r>
        <w:rPr>
          <w:rFonts w:ascii="Symbol" w:hAnsi="Symbol"/>
          <w:w w:val="105"/>
          <w:sz w:val="18"/>
        </w:rPr>
        <w:t></w:t>
      </w:r>
      <w:r>
        <w:rPr>
          <w:w w:val="105"/>
          <w:sz w:val="18"/>
        </w:rPr>
        <w:t> </w:t>
      </w:r>
      <w:r>
        <w:rPr>
          <w:rFonts w:ascii="Trebuchet MS" w:hAnsi="Trebuchet MS"/>
          <w:w w:val="105"/>
          <w:sz w:val="18"/>
        </w:rPr>
        <w:t>7.4</w:t>
      </w:r>
    </w:p>
    <w:p>
      <w:pPr>
        <w:pStyle w:val="BodyText"/>
        <w:spacing w:line="247" w:lineRule="auto" w:before="112"/>
        <w:ind w:left="1079" w:firstLine="240"/>
        <w:jc w:val="both"/>
      </w:pPr>
      <w:r>
        <w:rPr>
          <w:color w:val="231F20"/>
          <w:w w:val="105"/>
        </w:rPr>
        <w:t>From this formula, one can see that pH is inversely related to the H</w:t>
      </w:r>
      <w:r>
        <w:rPr>
          <w:rFonts w:ascii="Consolas"/>
          <w:color w:val="231F20"/>
          <w:w w:val="105"/>
          <w:position w:val="8"/>
          <w:sz w:val="12"/>
        </w:rPr>
        <w:t>+ </w:t>
      </w:r>
      <w:r>
        <w:rPr>
          <w:color w:val="231F20"/>
          <w:w w:val="105"/>
        </w:rPr>
        <w:t>concentration; therefore, a low pH</w:t>
      </w:r>
      <w:r>
        <w:rPr>
          <w:color w:val="231F20"/>
          <w:spacing w:val="-36"/>
          <w:w w:val="105"/>
        </w:rPr>
        <w:t> </w:t>
      </w:r>
      <w:r>
        <w:rPr>
          <w:color w:val="231F20"/>
          <w:spacing w:val="-3"/>
          <w:w w:val="105"/>
        </w:rPr>
        <w:t>cor- </w:t>
      </w:r>
      <w:r>
        <w:rPr>
          <w:color w:val="231F20"/>
          <w:w w:val="105"/>
        </w:rPr>
        <w:t>responds to a high H</w:t>
      </w:r>
      <w:r>
        <w:rPr>
          <w:rFonts w:ascii="Consolas"/>
          <w:color w:val="231F20"/>
          <w:w w:val="105"/>
          <w:position w:val="8"/>
          <w:sz w:val="12"/>
        </w:rPr>
        <w:t>+ </w:t>
      </w:r>
      <w:r>
        <w:rPr>
          <w:color w:val="231F20"/>
          <w:w w:val="105"/>
        </w:rPr>
        <w:t>concentration and a high pH </w:t>
      </w:r>
      <w:r>
        <w:rPr>
          <w:color w:val="231F20"/>
          <w:spacing w:val="-3"/>
          <w:w w:val="105"/>
        </w:rPr>
        <w:t>cor- </w:t>
      </w:r>
      <w:r>
        <w:rPr>
          <w:color w:val="231F20"/>
          <w:w w:val="105"/>
        </w:rPr>
        <w:t>responds to a low H</w:t>
      </w:r>
      <w:r>
        <w:rPr>
          <w:rFonts w:ascii="Consolas"/>
          <w:color w:val="231F20"/>
          <w:w w:val="105"/>
          <w:position w:val="8"/>
          <w:sz w:val="12"/>
        </w:rPr>
        <w:t>+</w:t>
      </w:r>
      <w:r>
        <w:rPr>
          <w:rFonts w:ascii="Consolas"/>
          <w:color w:val="231F20"/>
          <w:spacing w:val="-5"/>
          <w:w w:val="105"/>
          <w:position w:val="8"/>
          <w:sz w:val="12"/>
        </w:rPr>
        <w:t> </w:t>
      </w:r>
      <w:r>
        <w:rPr>
          <w:color w:val="231F20"/>
          <w:w w:val="105"/>
        </w:rPr>
        <w:t>concentration.</w:t>
      </w:r>
    </w:p>
    <w:p>
      <w:pPr>
        <w:pStyle w:val="BodyText"/>
        <w:spacing w:line="249" w:lineRule="auto" w:before="1"/>
        <w:ind w:left="1079" w:firstLine="240"/>
        <w:jc w:val="both"/>
      </w:pPr>
      <w:r>
        <w:rPr>
          <w:color w:val="231F20"/>
          <w:w w:val="105"/>
        </w:rPr>
        <w:t>The normal pH of arterial blood is 7.4, whereas </w:t>
      </w:r>
      <w:r>
        <w:rPr>
          <w:color w:val="231F20"/>
          <w:spacing w:val="-6"/>
          <w:w w:val="105"/>
        </w:rPr>
        <w:t>the </w:t>
      </w:r>
      <w:r>
        <w:rPr>
          <w:color w:val="231F20"/>
          <w:w w:val="105"/>
        </w:rPr>
        <w:t>pH of venous blood and interstitial fluids is about </w:t>
      </w:r>
      <w:r>
        <w:rPr>
          <w:color w:val="231F20"/>
          <w:spacing w:val="-4"/>
          <w:w w:val="105"/>
        </w:rPr>
        <w:t>7.35 </w:t>
      </w:r>
      <w:r>
        <w:rPr>
          <w:color w:val="231F20"/>
          <w:w w:val="105"/>
        </w:rPr>
        <w:t>because of the extra amounts of carbon dioxide </w:t>
      </w:r>
      <w:r>
        <w:rPr>
          <w:color w:val="231F20"/>
          <w:spacing w:val="-5"/>
          <w:w w:val="105"/>
        </w:rPr>
        <w:t>(CO</w:t>
      </w:r>
      <w:r>
        <w:rPr>
          <w:color w:val="231F20"/>
          <w:spacing w:val="-5"/>
          <w:w w:val="105"/>
          <w:vertAlign w:val="subscript"/>
        </w:rPr>
        <w:t>2</w:t>
      </w:r>
      <w:r>
        <w:rPr>
          <w:color w:val="231F20"/>
          <w:spacing w:val="-5"/>
          <w:w w:val="105"/>
          <w:vertAlign w:val="baseline"/>
        </w:rPr>
        <w:t>) </w:t>
      </w:r>
      <w:r>
        <w:rPr>
          <w:color w:val="231F20"/>
          <w:w w:val="105"/>
          <w:vertAlign w:val="baseline"/>
        </w:rPr>
        <w:t>released from the tissues to form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in these </w:t>
      </w:r>
      <w:r>
        <w:rPr>
          <w:color w:val="231F20"/>
          <w:spacing w:val="-4"/>
          <w:w w:val="105"/>
          <w:vertAlign w:val="baseline"/>
        </w:rPr>
        <w:t>fluids </w:t>
      </w:r>
      <w:r>
        <w:rPr>
          <w:color w:val="231F20"/>
          <w:spacing w:val="-3"/>
          <w:w w:val="105"/>
          <w:vertAlign w:val="baseline"/>
        </w:rPr>
        <w:t>(</w:t>
      </w:r>
      <w:hyperlink w:history="true" w:anchor="_bookmark101">
        <w:r>
          <w:rPr>
            <w:b/>
            <w:color w:val="0080AC"/>
            <w:spacing w:val="-3"/>
            <w:w w:val="105"/>
            <w:vertAlign w:val="baseline"/>
          </w:rPr>
          <w:t>Table</w:t>
        </w:r>
        <w:r>
          <w:rPr>
            <w:b/>
            <w:color w:val="0080AC"/>
            <w:spacing w:val="-10"/>
            <w:w w:val="105"/>
            <w:vertAlign w:val="baseline"/>
          </w:rPr>
          <w:t> </w:t>
        </w:r>
        <w:r>
          <w:rPr>
            <w:b/>
            <w:color w:val="0080AC"/>
            <w:w w:val="105"/>
            <w:vertAlign w:val="baseline"/>
          </w:rPr>
          <w:t>31-1</w:t>
        </w:r>
      </w:hyperlink>
      <w:r>
        <w:rPr>
          <w:color w:val="231F20"/>
          <w:w w:val="105"/>
          <w:vertAlign w:val="baseline"/>
        </w:rPr>
        <w:t>).</w:t>
      </w:r>
      <w:r>
        <w:rPr>
          <w:color w:val="231F20"/>
          <w:spacing w:val="-7"/>
          <w:w w:val="105"/>
          <w:vertAlign w:val="baseline"/>
        </w:rPr>
        <w:t> </w:t>
      </w:r>
      <w:r>
        <w:rPr>
          <w:color w:val="231F20"/>
          <w:w w:val="105"/>
          <w:vertAlign w:val="baseline"/>
        </w:rPr>
        <w:t>Because</w:t>
      </w:r>
      <w:r>
        <w:rPr>
          <w:color w:val="231F20"/>
          <w:spacing w:val="-8"/>
          <w:w w:val="105"/>
          <w:vertAlign w:val="baseline"/>
        </w:rPr>
        <w:t> </w:t>
      </w:r>
      <w:r>
        <w:rPr>
          <w:color w:val="231F20"/>
          <w:w w:val="105"/>
          <w:vertAlign w:val="baseline"/>
        </w:rPr>
        <w:t>the</w:t>
      </w:r>
      <w:r>
        <w:rPr>
          <w:color w:val="231F20"/>
          <w:spacing w:val="-7"/>
          <w:w w:val="105"/>
          <w:vertAlign w:val="baseline"/>
        </w:rPr>
        <w:t> </w:t>
      </w:r>
      <w:r>
        <w:rPr>
          <w:color w:val="231F20"/>
          <w:w w:val="105"/>
          <w:vertAlign w:val="baseline"/>
        </w:rPr>
        <w:t>normal</w:t>
      </w:r>
      <w:r>
        <w:rPr>
          <w:color w:val="231F20"/>
          <w:spacing w:val="-8"/>
          <w:w w:val="105"/>
          <w:vertAlign w:val="baseline"/>
        </w:rPr>
        <w:t> </w:t>
      </w:r>
      <w:r>
        <w:rPr>
          <w:color w:val="231F20"/>
          <w:w w:val="105"/>
          <w:vertAlign w:val="baseline"/>
        </w:rPr>
        <w:t>pH</w:t>
      </w:r>
      <w:r>
        <w:rPr>
          <w:color w:val="231F20"/>
          <w:spacing w:val="-7"/>
          <w:w w:val="105"/>
          <w:vertAlign w:val="baseline"/>
        </w:rPr>
        <w:t> </w:t>
      </w:r>
      <w:r>
        <w:rPr>
          <w:color w:val="231F20"/>
          <w:w w:val="105"/>
          <w:vertAlign w:val="baseline"/>
        </w:rPr>
        <w:t>of</w:t>
      </w:r>
      <w:r>
        <w:rPr>
          <w:color w:val="231F20"/>
          <w:spacing w:val="-8"/>
          <w:w w:val="105"/>
          <w:vertAlign w:val="baseline"/>
        </w:rPr>
        <w:t> </w:t>
      </w:r>
      <w:r>
        <w:rPr>
          <w:color w:val="231F20"/>
          <w:w w:val="105"/>
          <w:vertAlign w:val="baseline"/>
        </w:rPr>
        <w:t>arterial</w:t>
      </w:r>
      <w:r>
        <w:rPr>
          <w:color w:val="231F20"/>
          <w:spacing w:val="-8"/>
          <w:w w:val="105"/>
          <w:vertAlign w:val="baseline"/>
        </w:rPr>
        <w:t> </w:t>
      </w:r>
      <w:r>
        <w:rPr>
          <w:color w:val="231F20"/>
          <w:w w:val="105"/>
          <w:vertAlign w:val="baseline"/>
        </w:rPr>
        <w:t>blood</w:t>
      </w:r>
      <w:r>
        <w:rPr>
          <w:color w:val="231F20"/>
          <w:spacing w:val="-7"/>
          <w:w w:val="105"/>
          <w:vertAlign w:val="baseline"/>
        </w:rPr>
        <w:t> </w:t>
      </w:r>
      <w:r>
        <w:rPr>
          <w:color w:val="231F20"/>
          <w:w w:val="105"/>
          <w:vertAlign w:val="baseline"/>
        </w:rPr>
        <w:t>is 7.4,</w:t>
      </w:r>
      <w:r>
        <w:rPr>
          <w:color w:val="231F20"/>
          <w:spacing w:val="-8"/>
          <w:w w:val="105"/>
          <w:vertAlign w:val="baseline"/>
        </w:rPr>
        <w:t> </w:t>
      </w:r>
      <w:r>
        <w:rPr>
          <w:color w:val="231F20"/>
          <w:w w:val="105"/>
          <w:vertAlign w:val="baseline"/>
        </w:rPr>
        <w:t>a</w:t>
      </w:r>
      <w:r>
        <w:rPr>
          <w:color w:val="231F20"/>
          <w:spacing w:val="-8"/>
          <w:w w:val="105"/>
          <w:vertAlign w:val="baseline"/>
        </w:rPr>
        <w:t> </w:t>
      </w:r>
      <w:r>
        <w:rPr>
          <w:color w:val="231F20"/>
          <w:w w:val="105"/>
          <w:vertAlign w:val="baseline"/>
        </w:rPr>
        <w:t>person</w:t>
      </w:r>
      <w:r>
        <w:rPr>
          <w:color w:val="231F20"/>
          <w:spacing w:val="-8"/>
          <w:w w:val="105"/>
          <w:vertAlign w:val="baseline"/>
        </w:rPr>
        <w:t> </w:t>
      </w:r>
      <w:r>
        <w:rPr>
          <w:color w:val="231F20"/>
          <w:w w:val="105"/>
          <w:vertAlign w:val="baseline"/>
        </w:rPr>
        <w:t>is</w:t>
      </w:r>
      <w:r>
        <w:rPr>
          <w:color w:val="231F20"/>
          <w:spacing w:val="-8"/>
          <w:w w:val="105"/>
          <w:vertAlign w:val="baseline"/>
        </w:rPr>
        <w:t> </w:t>
      </w:r>
      <w:r>
        <w:rPr>
          <w:color w:val="231F20"/>
          <w:w w:val="105"/>
          <w:vertAlign w:val="baseline"/>
        </w:rPr>
        <w:t>considered</w:t>
      </w:r>
      <w:r>
        <w:rPr>
          <w:color w:val="231F20"/>
          <w:spacing w:val="-7"/>
          <w:w w:val="105"/>
          <w:vertAlign w:val="baseline"/>
        </w:rPr>
        <w:t> </w:t>
      </w:r>
      <w:r>
        <w:rPr>
          <w:color w:val="231F20"/>
          <w:w w:val="105"/>
          <w:vertAlign w:val="baseline"/>
        </w:rPr>
        <w:t>to</w:t>
      </w:r>
      <w:r>
        <w:rPr>
          <w:color w:val="231F20"/>
          <w:spacing w:val="-8"/>
          <w:w w:val="105"/>
          <w:vertAlign w:val="baseline"/>
        </w:rPr>
        <w:t> </w:t>
      </w:r>
      <w:r>
        <w:rPr>
          <w:color w:val="231F20"/>
          <w:w w:val="105"/>
          <w:vertAlign w:val="baseline"/>
        </w:rPr>
        <w:t>have</w:t>
      </w:r>
      <w:r>
        <w:rPr>
          <w:color w:val="231F20"/>
          <w:spacing w:val="-9"/>
          <w:w w:val="105"/>
          <w:vertAlign w:val="baseline"/>
        </w:rPr>
        <w:t> </w:t>
      </w:r>
      <w:r>
        <w:rPr>
          <w:i/>
          <w:color w:val="231F20"/>
          <w:w w:val="105"/>
          <w:vertAlign w:val="baseline"/>
        </w:rPr>
        <w:t>acidosis</w:t>
      </w:r>
      <w:r>
        <w:rPr>
          <w:i/>
          <w:color w:val="231F20"/>
          <w:spacing w:val="-8"/>
          <w:w w:val="105"/>
          <w:vertAlign w:val="baseline"/>
        </w:rPr>
        <w:t> </w:t>
      </w:r>
      <w:r>
        <w:rPr>
          <w:color w:val="231F20"/>
          <w:w w:val="105"/>
          <w:vertAlign w:val="baseline"/>
        </w:rPr>
        <w:t>when</w:t>
      </w:r>
      <w:r>
        <w:rPr>
          <w:color w:val="231F20"/>
          <w:spacing w:val="-7"/>
          <w:w w:val="105"/>
          <w:vertAlign w:val="baseline"/>
        </w:rPr>
        <w:t> </w:t>
      </w:r>
      <w:r>
        <w:rPr>
          <w:color w:val="231F20"/>
          <w:w w:val="105"/>
          <w:vertAlign w:val="baseline"/>
        </w:rPr>
        <w:t>the</w:t>
      </w:r>
      <w:r>
        <w:rPr>
          <w:color w:val="231F20"/>
          <w:spacing w:val="-8"/>
          <w:w w:val="105"/>
          <w:vertAlign w:val="baseline"/>
        </w:rPr>
        <w:t> </w:t>
      </w:r>
      <w:r>
        <w:rPr>
          <w:color w:val="231F20"/>
          <w:spacing w:val="-7"/>
          <w:w w:val="105"/>
          <w:vertAlign w:val="baseline"/>
        </w:rPr>
        <w:t>pH </w:t>
      </w:r>
      <w:r>
        <w:rPr>
          <w:color w:val="231F20"/>
          <w:w w:val="105"/>
          <w:vertAlign w:val="baseline"/>
        </w:rPr>
        <w:t>falls below this value and </w:t>
      </w:r>
      <w:r>
        <w:rPr>
          <w:i/>
          <w:color w:val="231F20"/>
          <w:w w:val="105"/>
          <w:vertAlign w:val="baseline"/>
        </w:rPr>
        <w:t>alkalosis </w:t>
      </w:r>
      <w:r>
        <w:rPr>
          <w:color w:val="231F20"/>
          <w:w w:val="105"/>
          <w:vertAlign w:val="baseline"/>
        </w:rPr>
        <w:t>when the pH </w:t>
      </w:r>
      <w:r>
        <w:rPr>
          <w:color w:val="231F20"/>
          <w:spacing w:val="-3"/>
          <w:w w:val="105"/>
          <w:vertAlign w:val="baseline"/>
        </w:rPr>
        <w:t>rises </w:t>
      </w:r>
      <w:r>
        <w:rPr>
          <w:color w:val="231F20"/>
          <w:w w:val="105"/>
          <w:vertAlign w:val="baseline"/>
        </w:rPr>
        <w:t>above 7.4. The lower limit of pH at which a person </w:t>
      </w:r>
      <w:r>
        <w:rPr>
          <w:color w:val="231F20"/>
          <w:spacing w:val="-5"/>
          <w:w w:val="105"/>
          <w:vertAlign w:val="baseline"/>
        </w:rPr>
        <w:t>can </w:t>
      </w:r>
      <w:r>
        <w:rPr>
          <w:color w:val="231F20"/>
          <w:w w:val="105"/>
          <w:vertAlign w:val="baseline"/>
        </w:rPr>
        <w:t>live more than a few hours is about 6.8, and the upper limit is about</w:t>
      </w:r>
      <w:r>
        <w:rPr>
          <w:color w:val="231F20"/>
          <w:spacing w:val="7"/>
          <w:w w:val="105"/>
          <w:vertAlign w:val="baseline"/>
        </w:rPr>
        <w:t> </w:t>
      </w:r>
      <w:r>
        <w:rPr>
          <w:color w:val="231F20"/>
          <w:w w:val="105"/>
          <w:vertAlign w:val="baseline"/>
        </w:rPr>
        <w:t>8.0.</w:t>
      </w:r>
    </w:p>
    <w:p>
      <w:pPr>
        <w:pStyle w:val="BodyText"/>
        <w:spacing w:line="249" w:lineRule="auto" w:before="8"/>
        <w:ind w:left="1079" w:firstLine="240"/>
        <w:jc w:val="both"/>
      </w:pPr>
      <w:r>
        <w:rPr>
          <w:color w:val="231F20"/>
          <w:w w:val="105"/>
        </w:rPr>
        <w:t>Intracellular pH usually is slightly lower than</w:t>
      </w:r>
      <w:r>
        <w:rPr>
          <w:color w:val="231F20"/>
          <w:spacing w:val="-16"/>
          <w:w w:val="105"/>
        </w:rPr>
        <w:t> </w:t>
      </w:r>
      <w:r>
        <w:rPr>
          <w:color w:val="231F20"/>
          <w:spacing w:val="-3"/>
          <w:w w:val="105"/>
        </w:rPr>
        <w:t>plasma </w:t>
      </w:r>
      <w:r>
        <w:rPr>
          <w:color w:val="231F20"/>
          <w:w w:val="105"/>
        </w:rPr>
        <w:t>pH because the metabolism of the cells produces acid, especially</w:t>
      </w:r>
      <w:r>
        <w:rPr>
          <w:color w:val="231F20"/>
          <w:spacing w:val="-14"/>
          <w:w w:val="105"/>
        </w:rPr>
        <w:t> </w:t>
      </w:r>
      <w:r>
        <w:rPr>
          <w:color w:val="231F20"/>
          <w:w w:val="105"/>
        </w:rPr>
        <w:t>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r>
        <w:rPr>
          <w:color w:val="231F20"/>
          <w:spacing w:val="-14"/>
          <w:w w:val="105"/>
          <w:vertAlign w:val="baseline"/>
        </w:rPr>
        <w:t> </w:t>
      </w:r>
      <w:r>
        <w:rPr>
          <w:color w:val="231F20"/>
          <w:w w:val="105"/>
          <w:vertAlign w:val="baseline"/>
        </w:rPr>
        <w:t>Depending</w:t>
      </w:r>
      <w:r>
        <w:rPr>
          <w:color w:val="231F20"/>
          <w:spacing w:val="-13"/>
          <w:w w:val="105"/>
          <w:vertAlign w:val="baseline"/>
        </w:rPr>
        <w:t> </w:t>
      </w:r>
      <w:r>
        <w:rPr>
          <w:color w:val="231F20"/>
          <w:w w:val="105"/>
          <w:vertAlign w:val="baseline"/>
        </w:rPr>
        <w:t>on</w:t>
      </w:r>
      <w:r>
        <w:rPr>
          <w:color w:val="231F20"/>
          <w:spacing w:val="-14"/>
          <w:w w:val="105"/>
          <w:vertAlign w:val="baseline"/>
        </w:rPr>
        <w:t> </w:t>
      </w:r>
      <w:r>
        <w:rPr>
          <w:color w:val="231F20"/>
          <w:w w:val="105"/>
          <w:vertAlign w:val="baseline"/>
        </w:rPr>
        <w:t>the</w:t>
      </w:r>
      <w:r>
        <w:rPr>
          <w:color w:val="231F20"/>
          <w:spacing w:val="-14"/>
          <w:w w:val="105"/>
          <w:vertAlign w:val="baseline"/>
        </w:rPr>
        <w:t> </w:t>
      </w:r>
      <w:r>
        <w:rPr>
          <w:color w:val="231F20"/>
          <w:w w:val="105"/>
          <w:vertAlign w:val="baseline"/>
        </w:rPr>
        <w:t>type</w:t>
      </w:r>
      <w:r>
        <w:rPr>
          <w:color w:val="231F20"/>
          <w:spacing w:val="-13"/>
          <w:w w:val="105"/>
          <w:vertAlign w:val="baseline"/>
        </w:rPr>
        <w:t> </w:t>
      </w:r>
      <w:r>
        <w:rPr>
          <w:color w:val="231F20"/>
          <w:w w:val="105"/>
          <w:vertAlign w:val="baseline"/>
        </w:rPr>
        <w:t>of</w:t>
      </w:r>
      <w:r>
        <w:rPr>
          <w:color w:val="231F20"/>
          <w:spacing w:val="-14"/>
          <w:w w:val="105"/>
          <w:vertAlign w:val="baseline"/>
        </w:rPr>
        <w:t> </w:t>
      </w:r>
      <w:r>
        <w:rPr>
          <w:color w:val="231F20"/>
          <w:w w:val="105"/>
          <w:vertAlign w:val="baseline"/>
        </w:rPr>
        <w:t>cells,</w:t>
      </w:r>
      <w:r>
        <w:rPr>
          <w:color w:val="231F20"/>
          <w:spacing w:val="-14"/>
          <w:w w:val="105"/>
          <w:vertAlign w:val="baseline"/>
        </w:rPr>
        <w:t> </w:t>
      </w:r>
      <w:r>
        <w:rPr>
          <w:color w:val="231F20"/>
          <w:w w:val="105"/>
          <w:vertAlign w:val="baseline"/>
        </w:rPr>
        <w:t>the</w:t>
      </w:r>
      <w:r>
        <w:rPr>
          <w:color w:val="231F20"/>
          <w:spacing w:val="-13"/>
          <w:w w:val="105"/>
          <w:vertAlign w:val="baseline"/>
        </w:rPr>
        <w:t> </w:t>
      </w:r>
      <w:r>
        <w:rPr>
          <w:color w:val="231F20"/>
          <w:spacing w:val="-15"/>
          <w:w w:val="105"/>
          <w:vertAlign w:val="baseline"/>
        </w:rPr>
        <w:t>pH </w:t>
      </w:r>
      <w:r>
        <w:rPr>
          <w:color w:val="231F20"/>
          <w:w w:val="105"/>
          <w:vertAlign w:val="baseline"/>
        </w:rPr>
        <w:t>of</w:t>
      </w:r>
      <w:r>
        <w:rPr>
          <w:color w:val="231F20"/>
          <w:spacing w:val="-19"/>
          <w:w w:val="105"/>
          <w:vertAlign w:val="baseline"/>
        </w:rPr>
        <w:t> </w:t>
      </w:r>
      <w:r>
        <w:rPr>
          <w:color w:val="231F20"/>
          <w:w w:val="105"/>
          <w:vertAlign w:val="baseline"/>
        </w:rPr>
        <w:t>intracellular</w:t>
      </w:r>
      <w:r>
        <w:rPr>
          <w:color w:val="231F20"/>
          <w:spacing w:val="-18"/>
          <w:w w:val="105"/>
          <w:vertAlign w:val="baseline"/>
        </w:rPr>
        <w:t> </w:t>
      </w:r>
      <w:r>
        <w:rPr>
          <w:color w:val="231F20"/>
          <w:w w:val="105"/>
          <w:vertAlign w:val="baseline"/>
        </w:rPr>
        <w:t>fluid</w:t>
      </w:r>
      <w:r>
        <w:rPr>
          <w:color w:val="231F20"/>
          <w:spacing w:val="-18"/>
          <w:w w:val="105"/>
          <w:vertAlign w:val="baseline"/>
        </w:rPr>
        <w:t> </w:t>
      </w:r>
      <w:r>
        <w:rPr>
          <w:color w:val="231F20"/>
          <w:w w:val="105"/>
          <w:vertAlign w:val="baseline"/>
        </w:rPr>
        <w:t>has</w:t>
      </w:r>
      <w:r>
        <w:rPr>
          <w:color w:val="231F20"/>
          <w:spacing w:val="-18"/>
          <w:w w:val="105"/>
          <w:vertAlign w:val="baseline"/>
        </w:rPr>
        <w:t> </w:t>
      </w:r>
      <w:r>
        <w:rPr>
          <w:color w:val="231F20"/>
          <w:w w:val="105"/>
          <w:vertAlign w:val="baseline"/>
        </w:rPr>
        <w:t>been</w:t>
      </w:r>
      <w:r>
        <w:rPr>
          <w:color w:val="231F20"/>
          <w:spacing w:val="-18"/>
          <w:w w:val="105"/>
          <w:vertAlign w:val="baseline"/>
        </w:rPr>
        <w:t> </w:t>
      </w:r>
      <w:r>
        <w:rPr>
          <w:color w:val="231F20"/>
          <w:w w:val="105"/>
          <w:vertAlign w:val="baseline"/>
        </w:rPr>
        <w:t>estimated</w:t>
      </w:r>
      <w:r>
        <w:rPr>
          <w:color w:val="231F20"/>
          <w:spacing w:val="-18"/>
          <w:w w:val="105"/>
          <w:vertAlign w:val="baseline"/>
        </w:rPr>
        <w:t> </w:t>
      </w:r>
      <w:r>
        <w:rPr>
          <w:color w:val="231F20"/>
          <w:w w:val="105"/>
          <w:vertAlign w:val="baseline"/>
        </w:rPr>
        <w:t>to</w:t>
      </w:r>
      <w:r>
        <w:rPr>
          <w:color w:val="231F20"/>
          <w:spacing w:val="-18"/>
          <w:w w:val="105"/>
          <w:vertAlign w:val="baseline"/>
        </w:rPr>
        <w:t> </w:t>
      </w:r>
      <w:r>
        <w:rPr>
          <w:color w:val="231F20"/>
          <w:w w:val="105"/>
          <w:vertAlign w:val="baseline"/>
        </w:rPr>
        <w:t>range</w:t>
      </w:r>
      <w:r>
        <w:rPr>
          <w:color w:val="231F20"/>
          <w:spacing w:val="-18"/>
          <w:w w:val="105"/>
          <w:vertAlign w:val="baseline"/>
        </w:rPr>
        <w:t> </w:t>
      </w:r>
      <w:r>
        <w:rPr>
          <w:color w:val="231F20"/>
          <w:w w:val="105"/>
          <w:vertAlign w:val="baseline"/>
        </w:rPr>
        <w:t>between</w:t>
      </w:r>
    </w:p>
    <w:p>
      <w:pPr>
        <w:pStyle w:val="BodyText"/>
        <w:spacing w:line="249" w:lineRule="auto" w:before="4"/>
        <w:ind w:left="1080"/>
        <w:jc w:val="both"/>
      </w:pPr>
      <w:r>
        <w:rPr>
          <w:color w:val="231F20"/>
          <w:w w:val="105"/>
        </w:rPr>
        <w:t>6.0 and 7.4. Hypoxia of the tissues and poor blood </w:t>
      </w:r>
      <w:r>
        <w:rPr>
          <w:color w:val="231F20"/>
          <w:spacing w:val="-3"/>
          <w:w w:val="105"/>
        </w:rPr>
        <w:t>flow </w:t>
      </w:r>
      <w:r>
        <w:rPr>
          <w:color w:val="231F20"/>
          <w:w w:val="105"/>
        </w:rPr>
        <w:t>to</w:t>
      </w:r>
      <w:r>
        <w:rPr>
          <w:color w:val="231F20"/>
          <w:spacing w:val="-14"/>
          <w:w w:val="105"/>
        </w:rPr>
        <w:t> </w:t>
      </w:r>
      <w:r>
        <w:rPr>
          <w:color w:val="231F20"/>
          <w:w w:val="105"/>
        </w:rPr>
        <w:t>the</w:t>
      </w:r>
      <w:r>
        <w:rPr>
          <w:color w:val="231F20"/>
          <w:spacing w:val="-13"/>
          <w:w w:val="105"/>
        </w:rPr>
        <w:t> </w:t>
      </w:r>
      <w:r>
        <w:rPr>
          <w:color w:val="231F20"/>
          <w:w w:val="105"/>
        </w:rPr>
        <w:t>tissues</w:t>
      </w:r>
      <w:r>
        <w:rPr>
          <w:color w:val="231F20"/>
          <w:spacing w:val="-13"/>
          <w:w w:val="105"/>
        </w:rPr>
        <w:t> </w:t>
      </w:r>
      <w:r>
        <w:rPr>
          <w:color w:val="231F20"/>
          <w:w w:val="105"/>
        </w:rPr>
        <w:t>can</w:t>
      </w:r>
      <w:r>
        <w:rPr>
          <w:color w:val="231F20"/>
          <w:spacing w:val="-13"/>
          <w:w w:val="105"/>
        </w:rPr>
        <w:t> </w:t>
      </w:r>
      <w:r>
        <w:rPr>
          <w:color w:val="231F20"/>
          <w:w w:val="105"/>
        </w:rPr>
        <w:t>cause</w:t>
      </w:r>
      <w:r>
        <w:rPr>
          <w:color w:val="231F20"/>
          <w:spacing w:val="-13"/>
          <w:w w:val="105"/>
        </w:rPr>
        <w:t> </w:t>
      </w:r>
      <w:r>
        <w:rPr>
          <w:color w:val="231F20"/>
          <w:w w:val="105"/>
        </w:rPr>
        <w:t>acid</w:t>
      </w:r>
      <w:r>
        <w:rPr>
          <w:color w:val="231F20"/>
          <w:spacing w:val="-13"/>
          <w:w w:val="105"/>
        </w:rPr>
        <w:t> </w:t>
      </w:r>
      <w:r>
        <w:rPr>
          <w:color w:val="231F20"/>
          <w:w w:val="105"/>
        </w:rPr>
        <w:t>accumulation</w:t>
      </w:r>
      <w:r>
        <w:rPr>
          <w:color w:val="231F20"/>
          <w:spacing w:val="-13"/>
          <w:w w:val="105"/>
        </w:rPr>
        <w:t> </w:t>
      </w:r>
      <w:r>
        <w:rPr>
          <w:color w:val="231F20"/>
          <w:w w:val="105"/>
        </w:rPr>
        <w:t>and</w:t>
      </w:r>
      <w:r>
        <w:rPr>
          <w:color w:val="231F20"/>
          <w:spacing w:val="-13"/>
          <w:w w:val="105"/>
        </w:rPr>
        <w:t> </w:t>
      </w:r>
      <w:r>
        <w:rPr>
          <w:color w:val="231F20"/>
          <w:w w:val="105"/>
        </w:rPr>
        <w:t>decreased intracellular</w:t>
      </w:r>
      <w:r>
        <w:rPr>
          <w:color w:val="231F20"/>
          <w:spacing w:val="2"/>
          <w:w w:val="105"/>
        </w:rPr>
        <w:t> </w:t>
      </w:r>
      <w:r>
        <w:rPr>
          <w:color w:val="231F20"/>
          <w:w w:val="105"/>
        </w:rPr>
        <w:t>pH.</w:t>
      </w:r>
    </w:p>
    <w:p>
      <w:pPr>
        <w:pStyle w:val="BodyText"/>
        <w:spacing w:line="249" w:lineRule="auto" w:before="2"/>
        <w:ind w:left="1080" w:firstLine="240"/>
        <w:jc w:val="both"/>
      </w:pPr>
      <w:r>
        <w:rPr>
          <w:color w:val="231F20"/>
        </w:rPr>
        <w:t>The pH of urine can range from 4.5 to 8.0, depending on the acid-base status of the extracellular fluid. As dis- cussed later, the kidneys play a major role in correcting abnormalities of extracellular fluid H</w:t>
      </w:r>
      <w:r>
        <w:rPr>
          <w:rFonts w:ascii="Consolas"/>
          <w:color w:val="231F20"/>
          <w:position w:val="8"/>
          <w:sz w:val="12"/>
        </w:rPr>
        <w:t>+ </w:t>
      </w:r>
      <w:r>
        <w:rPr>
          <w:color w:val="231F20"/>
        </w:rPr>
        <w:t>concentration by excreting acids or bases at variable rates.</w:t>
      </w:r>
    </w:p>
    <w:p>
      <w:pPr>
        <w:pStyle w:val="BodyText"/>
        <w:rPr>
          <w:sz w:val="28"/>
        </w:rPr>
      </w:pPr>
    </w:p>
    <w:p>
      <w:pPr>
        <w:spacing w:line="252" w:lineRule="auto" w:before="206"/>
        <w:ind w:left="1080" w:right="1455" w:firstLine="0"/>
        <w:jc w:val="left"/>
        <w:rPr>
          <w:rFonts w:ascii="Trebuchet MS"/>
          <w:sz w:val="18"/>
        </w:rPr>
      </w:pPr>
      <w:bookmarkStart w:name="_bookmark101" w:id="102"/>
      <w:bookmarkEnd w:id="102"/>
      <w:r>
        <w:rPr/>
      </w:r>
      <w:r>
        <w:rPr>
          <w:rFonts w:ascii="Trebuchet MS"/>
          <w:b/>
          <w:color w:val="231F20"/>
          <w:w w:val="105"/>
          <w:sz w:val="18"/>
        </w:rPr>
        <w:t>Table 31-1 </w:t>
      </w:r>
      <w:r>
        <w:rPr>
          <w:rFonts w:ascii="Trebuchet MS"/>
          <w:color w:val="231F20"/>
          <w:w w:val="105"/>
          <w:sz w:val="18"/>
        </w:rPr>
        <w:t>pH and H</w:t>
      </w:r>
      <w:r>
        <w:rPr>
          <w:rFonts w:ascii="Consolas"/>
          <w:b/>
          <w:color w:val="231F20"/>
          <w:w w:val="105"/>
          <w:position w:val="7"/>
          <w:sz w:val="11"/>
        </w:rPr>
        <w:t>+ </w:t>
      </w:r>
      <w:r>
        <w:rPr>
          <w:rFonts w:ascii="Trebuchet MS"/>
          <w:color w:val="231F20"/>
          <w:w w:val="105"/>
          <w:sz w:val="18"/>
        </w:rPr>
        <w:t>Concentration of Body Fluids</w:t>
      </w:r>
    </w:p>
    <w:p>
      <w:pPr>
        <w:pStyle w:val="BodyText"/>
        <w:spacing w:before="6"/>
        <w:rPr>
          <w:rFonts w:ascii="Trebuchet MS"/>
          <w:sz w:val="9"/>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7"/>
        <w:gridCol w:w="443"/>
        <w:gridCol w:w="536"/>
        <w:gridCol w:w="142"/>
        <w:gridCol w:w="141"/>
        <w:gridCol w:w="745"/>
        <w:gridCol w:w="1054"/>
      </w:tblGrid>
      <w:tr>
        <w:trPr>
          <w:trHeight w:val="306" w:hRule="atLeast"/>
        </w:trPr>
        <w:tc>
          <w:tcPr>
            <w:tcW w:w="4678" w:type="dxa"/>
            <w:gridSpan w:val="7"/>
            <w:shd w:val="clear" w:color="auto" w:fill="D1DDF1"/>
          </w:tcPr>
          <w:p>
            <w:pPr>
              <w:pStyle w:val="TableParagraph"/>
              <w:tabs>
                <w:tab w:pos="4059" w:val="left" w:leader="none"/>
              </w:tabs>
              <w:spacing w:before="76"/>
              <w:ind w:left="1790"/>
              <w:rPr>
                <w:b/>
                <w:sz w:val="16"/>
              </w:rPr>
            </w:pPr>
            <w:r>
              <w:rPr>
                <w:b/>
                <w:color w:val="231F20"/>
                <w:sz w:val="16"/>
              </w:rPr>
              <w:t>H</w:t>
            </w:r>
            <w:r>
              <w:rPr>
                <w:rFonts w:ascii="Consolas"/>
                <w:b/>
                <w:color w:val="231F20"/>
                <w:position w:val="6"/>
                <w:sz w:val="9"/>
              </w:rPr>
              <w:t>+</w:t>
            </w:r>
            <w:r>
              <w:rPr>
                <w:rFonts w:ascii="Consolas"/>
                <w:b/>
                <w:color w:val="231F20"/>
                <w:spacing w:val="2"/>
                <w:position w:val="6"/>
                <w:sz w:val="9"/>
              </w:rPr>
              <w:t> </w:t>
            </w:r>
            <w:r>
              <w:rPr>
                <w:b/>
                <w:color w:val="231F20"/>
                <w:sz w:val="16"/>
              </w:rPr>
              <w:t>Concentration</w:t>
            </w:r>
            <w:r>
              <w:rPr>
                <w:b/>
                <w:color w:val="231F20"/>
                <w:spacing w:val="5"/>
                <w:sz w:val="16"/>
              </w:rPr>
              <w:t> </w:t>
            </w:r>
            <w:r>
              <w:rPr>
                <w:b/>
                <w:color w:val="231F20"/>
                <w:sz w:val="16"/>
              </w:rPr>
              <w:t>(mEq/L)</w:t>
              <w:tab/>
              <w:t>pH</w:t>
            </w:r>
          </w:p>
        </w:tc>
      </w:tr>
      <w:tr>
        <w:trPr>
          <w:trHeight w:val="259" w:hRule="atLeast"/>
        </w:trPr>
        <w:tc>
          <w:tcPr>
            <w:tcW w:w="4678" w:type="dxa"/>
            <w:gridSpan w:val="7"/>
            <w:tcBorders>
              <w:bottom w:val="single" w:sz="4" w:space="0" w:color="FFFFFF"/>
            </w:tcBorders>
            <w:shd w:val="clear" w:color="auto" w:fill="E6ECF7"/>
          </w:tcPr>
          <w:p>
            <w:pPr>
              <w:pStyle w:val="TableParagraph"/>
              <w:spacing w:before="24"/>
              <w:ind w:left="120"/>
              <w:rPr>
                <w:sz w:val="16"/>
              </w:rPr>
            </w:pPr>
            <w:r>
              <w:rPr>
                <w:color w:val="231F20"/>
                <w:w w:val="105"/>
                <w:sz w:val="16"/>
              </w:rPr>
              <w:t>Extracellular fluid</w:t>
            </w:r>
          </w:p>
        </w:tc>
      </w:tr>
      <w:tr>
        <w:trPr>
          <w:trHeight w:val="264" w:hRule="atLeast"/>
        </w:trPr>
        <w:tc>
          <w:tcPr>
            <w:tcW w:w="1617" w:type="dxa"/>
            <w:tcBorders>
              <w:top w:val="single" w:sz="4" w:space="0" w:color="FFFFFF"/>
              <w:bottom w:val="single" w:sz="4" w:space="0" w:color="FFFFFF"/>
            </w:tcBorders>
            <w:shd w:val="clear" w:color="auto" w:fill="E6ECF7"/>
          </w:tcPr>
          <w:p>
            <w:pPr>
              <w:pStyle w:val="TableParagraph"/>
              <w:ind w:left="280"/>
              <w:rPr>
                <w:sz w:val="16"/>
              </w:rPr>
            </w:pPr>
            <w:r>
              <w:rPr>
                <w:color w:val="231F20"/>
                <w:w w:val="105"/>
                <w:sz w:val="16"/>
              </w:rPr>
              <w:t>Arterial blood</w:t>
            </w:r>
          </w:p>
        </w:tc>
        <w:tc>
          <w:tcPr>
            <w:tcW w:w="443" w:type="dxa"/>
            <w:tcBorders>
              <w:top w:val="single" w:sz="4" w:space="0" w:color="FFFFFF"/>
              <w:bottom w:val="single" w:sz="4" w:space="0" w:color="FFFFFF"/>
            </w:tcBorders>
            <w:shd w:val="clear" w:color="auto" w:fill="E6ECF7"/>
          </w:tcPr>
          <w:p>
            <w:pPr>
              <w:pStyle w:val="TableParagraph"/>
              <w:ind w:right="45"/>
              <w:jc w:val="right"/>
              <w:rPr>
                <w:sz w:val="16"/>
              </w:rPr>
            </w:pPr>
            <w:r>
              <w:rPr>
                <w:color w:val="231F20"/>
                <w:w w:val="95"/>
                <w:sz w:val="16"/>
              </w:rPr>
              <w:t>4.0</w:t>
            </w:r>
          </w:p>
        </w:tc>
        <w:tc>
          <w:tcPr>
            <w:tcW w:w="536" w:type="dxa"/>
            <w:tcBorders>
              <w:top w:val="single" w:sz="4" w:space="0" w:color="FFFFFF"/>
              <w:bottom w:val="single" w:sz="4" w:space="0" w:color="FFFFFF"/>
            </w:tcBorders>
            <w:shd w:val="clear" w:color="auto" w:fill="E6ECF7"/>
          </w:tcPr>
          <w:p>
            <w:pPr>
              <w:pStyle w:val="TableParagraph"/>
              <w:ind w:left="5"/>
              <w:rPr>
                <w:sz w:val="9"/>
              </w:rPr>
            </w:pPr>
            <w:r>
              <w:rPr>
                <w:rFonts w:ascii="Consolas" w:hAnsi="Consolas"/>
                <w:color w:val="231F20"/>
                <w:w w:val="105"/>
                <w:sz w:val="16"/>
              </w:rPr>
              <w:t>× </w:t>
            </w:r>
            <w:r>
              <w:rPr>
                <w:color w:val="231F20"/>
                <w:w w:val="105"/>
                <w:sz w:val="16"/>
              </w:rPr>
              <w:t>10</w:t>
            </w:r>
            <w:r>
              <w:rPr>
                <w:rFonts w:ascii="Consolas" w:hAnsi="Consolas"/>
                <w:color w:val="231F20"/>
                <w:w w:val="105"/>
                <w:position w:val="6"/>
                <w:sz w:val="9"/>
              </w:rPr>
              <w:t>−</w:t>
            </w:r>
            <w:r>
              <w:rPr>
                <w:color w:val="231F20"/>
                <w:w w:val="105"/>
                <w:position w:val="6"/>
                <w:sz w:val="9"/>
              </w:rPr>
              <w:t>5</w:t>
            </w:r>
          </w:p>
        </w:tc>
        <w:tc>
          <w:tcPr>
            <w:tcW w:w="14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41"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7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54" w:type="dxa"/>
            <w:tcBorders>
              <w:top w:val="single" w:sz="4" w:space="0" w:color="FFFFFF"/>
              <w:bottom w:val="single" w:sz="4" w:space="0" w:color="FFFFFF"/>
            </w:tcBorders>
            <w:shd w:val="clear" w:color="auto" w:fill="E6ECF7"/>
          </w:tcPr>
          <w:p>
            <w:pPr>
              <w:pStyle w:val="TableParagraph"/>
              <w:ind w:left="435"/>
              <w:rPr>
                <w:sz w:val="16"/>
              </w:rPr>
            </w:pPr>
            <w:r>
              <w:rPr>
                <w:color w:val="231F20"/>
                <w:sz w:val="16"/>
              </w:rPr>
              <w:t>7.40</w:t>
            </w:r>
          </w:p>
        </w:tc>
      </w:tr>
      <w:tr>
        <w:trPr>
          <w:trHeight w:val="264" w:hRule="atLeast"/>
        </w:trPr>
        <w:tc>
          <w:tcPr>
            <w:tcW w:w="1617" w:type="dxa"/>
            <w:tcBorders>
              <w:top w:val="single" w:sz="4" w:space="0" w:color="FFFFFF"/>
              <w:bottom w:val="single" w:sz="4" w:space="0" w:color="FFFFFF"/>
            </w:tcBorders>
            <w:shd w:val="clear" w:color="auto" w:fill="E6ECF7"/>
          </w:tcPr>
          <w:p>
            <w:pPr>
              <w:pStyle w:val="TableParagraph"/>
              <w:ind w:left="280"/>
              <w:rPr>
                <w:sz w:val="16"/>
              </w:rPr>
            </w:pPr>
            <w:r>
              <w:rPr>
                <w:color w:val="231F20"/>
                <w:w w:val="110"/>
                <w:sz w:val="16"/>
              </w:rPr>
              <w:t>Venous blood</w:t>
            </w:r>
          </w:p>
        </w:tc>
        <w:tc>
          <w:tcPr>
            <w:tcW w:w="443" w:type="dxa"/>
            <w:tcBorders>
              <w:top w:val="single" w:sz="4" w:space="0" w:color="FFFFFF"/>
              <w:bottom w:val="single" w:sz="4" w:space="0" w:color="FFFFFF"/>
            </w:tcBorders>
            <w:shd w:val="clear" w:color="auto" w:fill="E6ECF7"/>
          </w:tcPr>
          <w:p>
            <w:pPr>
              <w:pStyle w:val="TableParagraph"/>
              <w:ind w:right="45"/>
              <w:jc w:val="right"/>
              <w:rPr>
                <w:sz w:val="16"/>
              </w:rPr>
            </w:pPr>
            <w:r>
              <w:rPr>
                <w:color w:val="231F20"/>
                <w:w w:val="95"/>
                <w:sz w:val="16"/>
              </w:rPr>
              <w:t>4.5</w:t>
            </w:r>
          </w:p>
        </w:tc>
        <w:tc>
          <w:tcPr>
            <w:tcW w:w="536" w:type="dxa"/>
            <w:tcBorders>
              <w:top w:val="single" w:sz="4" w:space="0" w:color="FFFFFF"/>
              <w:bottom w:val="single" w:sz="4" w:space="0" w:color="FFFFFF"/>
            </w:tcBorders>
            <w:shd w:val="clear" w:color="auto" w:fill="E6ECF7"/>
          </w:tcPr>
          <w:p>
            <w:pPr>
              <w:pStyle w:val="TableParagraph"/>
              <w:ind w:left="5"/>
              <w:rPr>
                <w:sz w:val="9"/>
              </w:rPr>
            </w:pPr>
            <w:r>
              <w:rPr>
                <w:rFonts w:ascii="Consolas" w:hAnsi="Consolas"/>
                <w:color w:val="231F20"/>
                <w:w w:val="105"/>
                <w:sz w:val="16"/>
              </w:rPr>
              <w:t>× </w:t>
            </w:r>
            <w:r>
              <w:rPr>
                <w:color w:val="231F20"/>
                <w:w w:val="105"/>
                <w:sz w:val="16"/>
              </w:rPr>
              <w:t>10</w:t>
            </w:r>
            <w:r>
              <w:rPr>
                <w:rFonts w:ascii="Consolas" w:hAnsi="Consolas"/>
                <w:color w:val="231F20"/>
                <w:w w:val="105"/>
                <w:position w:val="6"/>
                <w:sz w:val="9"/>
              </w:rPr>
              <w:t>−</w:t>
            </w:r>
            <w:r>
              <w:rPr>
                <w:color w:val="231F20"/>
                <w:w w:val="105"/>
                <w:position w:val="6"/>
                <w:sz w:val="9"/>
              </w:rPr>
              <w:t>5</w:t>
            </w:r>
          </w:p>
        </w:tc>
        <w:tc>
          <w:tcPr>
            <w:tcW w:w="14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41"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7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54" w:type="dxa"/>
            <w:tcBorders>
              <w:top w:val="single" w:sz="4" w:space="0" w:color="FFFFFF"/>
              <w:bottom w:val="single" w:sz="4" w:space="0" w:color="FFFFFF"/>
            </w:tcBorders>
            <w:shd w:val="clear" w:color="auto" w:fill="E6ECF7"/>
          </w:tcPr>
          <w:p>
            <w:pPr>
              <w:pStyle w:val="TableParagraph"/>
              <w:ind w:left="435"/>
              <w:rPr>
                <w:sz w:val="16"/>
              </w:rPr>
            </w:pPr>
            <w:r>
              <w:rPr>
                <w:color w:val="231F20"/>
                <w:sz w:val="16"/>
              </w:rPr>
              <w:t>7.35</w:t>
            </w:r>
          </w:p>
        </w:tc>
      </w:tr>
      <w:tr>
        <w:trPr>
          <w:trHeight w:val="264" w:hRule="atLeast"/>
        </w:trPr>
        <w:tc>
          <w:tcPr>
            <w:tcW w:w="1617" w:type="dxa"/>
            <w:tcBorders>
              <w:top w:val="single" w:sz="4" w:space="0" w:color="FFFFFF"/>
              <w:bottom w:val="single" w:sz="4" w:space="0" w:color="FFFFFF"/>
            </w:tcBorders>
            <w:shd w:val="clear" w:color="auto" w:fill="E6ECF7"/>
          </w:tcPr>
          <w:p>
            <w:pPr>
              <w:pStyle w:val="TableParagraph"/>
              <w:ind w:left="280"/>
              <w:rPr>
                <w:sz w:val="16"/>
              </w:rPr>
            </w:pPr>
            <w:r>
              <w:rPr>
                <w:color w:val="231F20"/>
                <w:w w:val="105"/>
                <w:sz w:val="16"/>
              </w:rPr>
              <w:t>Interstitial fluid</w:t>
            </w:r>
          </w:p>
        </w:tc>
        <w:tc>
          <w:tcPr>
            <w:tcW w:w="443" w:type="dxa"/>
            <w:tcBorders>
              <w:top w:val="single" w:sz="4" w:space="0" w:color="FFFFFF"/>
              <w:bottom w:val="single" w:sz="4" w:space="0" w:color="FFFFFF"/>
            </w:tcBorders>
            <w:shd w:val="clear" w:color="auto" w:fill="E6ECF7"/>
          </w:tcPr>
          <w:p>
            <w:pPr>
              <w:pStyle w:val="TableParagraph"/>
              <w:ind w:right="45"/>
              <w:jc w:val="right"/>
              <w:rPr>
                <w:sz w:val="16"/>
              </w:rPr>
            </w:pPr>
            <w:r>
              <w:rPr>
                <w:color w:val="231F20"/>
                <w:w w:val="95"/>
                <w:sz w:val="16"/>
              </w:rPr>
              <w:t>4.5</w:t>
            </w:r>
          </w:p>
        </w:tc>
        <w:tc>
          <w:tcPr>
            <w:tcW w:w="536" w:type="dxa"/>
            <w:tcBorders>
              <w:top w:val="single" w:sz="4" w:space="0" w:color="FFFFFF"/>
              <w:bottom w:val="single" w:sz="4" w:space="0" w:color="FFFFFF"/>
            </w:tcBorders>
            <w:shd w:val="clear" w:color="auto" w:fill="E6ECF7"/>
          </w:tcPr>
          <w:p>
            <w:pPr>
              <w:pStyle w:val="TableParagraph"/>
              <w:ind w:left="5"/>
              <w:rPr>
                <w:sz w:val="9"/>
              </w:rPr>
            </w:pPr>
            <w:r>
              <w:rPr>
                <w:rFonts w:ascii="Consolas" w:hAnsi="Consolas"/>
                <w:color w:val="231F20"/>
                <w:w w:val="105"/>
                <w:sz w:val="16"/>
              </w:rPr>
              <w:t>× </w:t>
            </w:r>
            <w:r>
              <w:rPr>
                <w:color w:val="231F20"/>
                <w:w w:val="105"/>
                <w:sz w:val="16"/>
              </w:rPr>
              <w:t>10</w:t>
            </w:r>
            <w:r>
              <w:rPr>
                <w:rFonts w:ascii="Consolas" w:hAnsi="Consolas"/>
                <w:color w:val="231F20"/>
                <w:w w:val="105"/>
                <w:position w:val="6"/>
                <w:sz w:val="9"/>
              </w:rPr>
              <w:t>−</w:t>
            </w:r>
            <w:r>
              <w:rPr>
                <w:color w:val="231F20"/>
                <w:w w:val="105"/>
                <w:position w:val="6"/>
                <w:sz w:val="9"/>
              </w:rPr>
              <w:t>5</w:t>
            </w:r>
          </w:p>
        </w:tc>
        <w:tc>
          <w:tcPr>
            <w:tcW w:w="142"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41"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745" w:type="dxa"/>
            <w:tcBorders>
              <w:top w:val="single" w:sz="4" w:space="0" w:color="FFFFFF"/>
              <w:bottom w:val="single" w:sz="4" w:space="0" w:color="FFFFFF"/>
            </w:tcBorders>
            <w:shd w:val="clear" w:color="auto" w:fill="E6ECF7"/>
          </w:tcPr>
          <w:p>
            <w:pPr>
              <w:pStyle w:val="TableParagraph"/>
              <w:spacing w:before="0"/>
              <w:rPr>
                <w:rFonts w:ascii="Times New Roman"/>
                <w:sz w:val="18"/>
              </w:rPr>
            </w:pPr>
          </w:p>
        </w:tc>
        <w:tc>
          <w:tcPr>
            <w:tcW w:w="1054" w:type="dxa"/>
            <w:tcBorders>
              <w:top w:val="single" w:sz="4" w:space="0" w:color="FFFFFF"/>
              <w:bottom w:val="single" w:sz="4" w:space="0" w:color="FFFFFF"/>
            </w:tcBorders>
            <w:shd w:val="clear" w:color="auto" w:fill="E6ECF7"/>
          </w:tcPr>
          <w:p>
            <w:pPr>
              <w:pStyle w:val="TableParagraph"/>
              <w:ind w:left="435"/>
              <w:rPr>
                <w:sz w:val="16"/>
              </w:rPr>
            </w:pPr>
            <w:r>
              <w:rPr>
                <w:color w:val="231F20"/>
                <w:sz w:val="16"/>
              </w:rPr>
              <w:t>7.35</w:t>
            </w:r>
          </w:p>
        </w:tc>
      </w:tr>
      <w:tr>
        <w:trPr>
          <w:trHeight w:val="264" w:hRule="atLeast"/>
        </w:trPr>
        <w:tc>
          <w:tcPr>
            <w:tcW w:w="161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Intracellular fluid</w:t>
            </w:r>
          </w:p>
        </w:tc>
        <w:tc>
          <w:tcPr>
            <w:tcW w:w="443" w:type="dxa"/>
            <w:tcBorders>
              <w:top w:val="single" w:sz="4" w:space="0" w:color="FFFFFF"/>
              <w:bottom w:val="single" w:sz="4" w:space="0" w:color="FFFFFF"/>
            </w:tcBorders>
            <w:shd w:val="clear" w:color="auto" w:fill="E6ECF7"/>
          </w:tcPr>
          <w:p>
            <w:pPr>
              <w:pStyle w:val="TableParagraph"/>
              <w:ind w:right="37"/>
              <w:jc w:val="right"/>
              <w:rPr>
                <w:rFonts w:ascii="Consolas" w:hAnsi="Consolas"/>
                <w:sz w:val="16"/>
              </w:rPr>
            </w:pPr>
            <w:r>
              <w:rPr>
                <w:color w:val="231F20"/>
                <w:w w:val="105"/>
                <w:sz w:val="16"/>
              </w:rPr>
              <w:t>1 </w:t>
            </w:r>
            <w:r>
              <w:rPr>
                <w:rFonts w:ascii="Consolas" w:hAnsi="Consolas"/>
                <w:color w:val="231F20"/>
                <w:w w:val="105"/>
                <w:sz w:val="16"/>
              </w:rPr>
              <w:t>×</w:t>
            </w:r>
          </w:p>
        </w:tc>
        <w:tc>
          <w:tcPr>
            <w:tcW w:w="536" w:type="dxa"/>
            <w:tcBorders>
              <w:top w:val="single" w:sz="4" w:space="0" w:color="FFFFFF"/>
              <w:bottom w:val="single" w:sz="4" w:space="0" w:color="FFFFFF"/>
            </w:tcBorders>
            <w:shd w:val="clear" w:color="auto" w:fill="E6ECF7"/>
          </w:tcPr>
          <w:p>
            <w:pPr>
              <w:pStyle w:val="TableParagraph"/>
              <w:ind w:left="13"/>
              <w:rPr>
                <w:sz w:val="16"/>
              </w:rPr>
            </w:pPr>
            <w:r>
              <w:rPr>
                <w:color w:val="231F20"/>
                <w:w w:val="110"/>
                <w:sz w:val="16"/>
              </w:rPr>
              <w:t>10</w:t>
            </w:r>
            <w:r>
              <w:rPr>
                <w:rFonts w:ascii="Consolas" w:hAnsi="Consolas"/>
                <w:color w:val="231F20"/>
                <w:w w:val="110"/>
                <w:position w:val="6"/>
                <w:sz w:val="9"/>
              </w:rPr>
              <w:t>−</w:t>
            </w:r>
            <w:r>
              <w:rPr>
                <w:color w:val="231F20"/>
                <w:w w:val="110"/>
                <w:position w:val="6"/>
                <w:sz w:val="9"/>
              </w:rPr>
              <w:t>3 </w:t>
            </w:r>
            <w:r>
              <w:rPr>
                <w:color w:val="231F20"/>
                <w:w w:val="110"/>
                <w:sz w:val="16"/>
              </w:rPr>
              <w:t>to</w:t>
            </w:r>
          </w:p>
        </w:tc>
        <w:tc>
          <w:tcPr>
            <w:tcW w:w="142" w:type="dxa"/>
            <w:tcBorders>
              <w:top w:val="single" w:sz="4" w:space="0" w:color="FFFFFF"/>
              <w:bottom w:val="single" w:sz="4" w:space="0" w:color="FFFFFF"/>
            </w:tcBorders>
            <w:shd w:val="clear" w:color="auto" w:fill="E6ECF7"/>
          </w:tcPr>
          <w:p>
            <w:pPr>
              <w:pStyle w:val="TableParagraph"/>
              <w:ind w:left="28"/>
              <w:rPr>
                <w:sz w:val="16"/>
              </w:rPr>
            </w:pPr>
            <w:r>
              <w:rPr>
                <w:color w:val="231F20"/>
                <w:w w:val="106"/>
                <w:sz w:val="16"/>
              </w:rPr>
              <w:t>4</w:t>
            </w:r>
          </w:p>
        </w:tc>
        <w:tc>
          <w:tcPr>
            <w:tcW w:w="141" w:type="dxa"/>
            <w:tcBorders>
              <w:top w:val="single" w:sz="4" w:space="0" w:color="FFFFFF"/>
              <w:bottom w:val="single" w:sz="4" w:space="0" w:color="FFFFFF"/>
            </w:tcBorders>
            <w:shd w:val="clear" w:color="auto" w:fill="E6ECF7"/>
          </w:tcPr>
          <w:p>
            <w:pPr>
              <w:pStyle w:val="TableParagraph"/>
              <w:spacing w:before="32"/>
              <w:ind w:left="28"/>
              <w:rPr>
                <w:rFonts w:ascii="Consolas" w:hAnsi="Consolas"/>
                <w:sz w:val="16"/>
              </w:rPr>
            </w:pPr>
            <w:r>
              <w:rPr>
                <w:rFonts w:ascii="Consolas" w:hAnsi="Consolas"/>
                <w:color w:val="231F20"/>
                <w:w w:val="99"/>
                <w:sz w:val="16"/>
              </w:rPr>
              <w:t>×</w:t>
            </w:r>
          </w:p>
        </w:tc>
        <w:tc>
          <w:tcPr>
            <w:tcW w:w="745" w:type="dxa"/>
            <w:tcBorders>
              <w:top w:val="single" w:sz="4" w:space="0" w:color="FFFFFF"/>
              <w:bottom w:val="single" w:sz="4" w:space="0" w:color="FFFFFF"/>
            </w:tcBorders>
            <w:shd w:val="clear" w:color="auto" w:fill="E6ECF7"/>
          </w:tcPr>
          <w:p>
            <w:pPr>
              <w:pStyle w:val="TableParagraph"/>
              <w:spacing w:before="25"/>
              <w:ind w:left="28"/>
              <w:rPr>
                <w:sz w:val="9"/>
              </w:rPr>
            </w:pPr>
            <w:r>
              <w:rPr>
                <w:color w:val="231F20"/>
                <w:w w:val="110"/>
                <w:position w:val="-5"/>
                <w:sz w:val="16"/>
              </w:rPr>
              <w:t>10</w:t>
            </w:r>
            <w:r>
              <w:rPr>
                <w:rFonts w:ascii="Consolas" w:hAnsi="Consolas"/>
                <w:color w:val="231F20"/>
                <w:w w:val="110"/>
                <w:sz w:val="9"/>
              </w:rPr>
              <w:t>−</w:t>
            </w:r>
            <w:r>
              <w:rPr>
                <w:color w:val="231F20"/>
                <w:w w:val="110"/>
                <w:sz w:val="9"/>
              </w:rPr>
              <w:t>5</w:t>
            </w:r>
          </w:p>
        </w:tc>
        <w:tc>
          <w:tcPr>
            <w:tcW w:w="1054" w:type="dxa"/>
            <w:tcBorders>
              <w:top w:val="single" w:sz="4" w:space="0" w:color="FFFFFF"/>
              <w:bottom w:val="single" w:sz="4" w:space="0" w:color="FFFFFF"/>
            </w:tcBorders>
            <w:shd w:val="clear" w:color="auto" w:fill="E6ECF7"/>
          </w:tcPr>
          <w:p>
            <w:pPr>
              <w:pStyle w:val="TableParagraph"/>
              <w:ind w:left="435"/>
              <w:rPr>
                <w:sz w:val="16"/>
              </w:rPr>
            </w:pPr>
            <w:r>
              <w:rPr>
                <w:color w:val="231F20"/>
                <w:sz w:val="16"/>
              </w:rPr>
              <w:t>6.0-7.4</w:t>
            </w:r>
          </w:p>
        </w:tc>
      </w:tr>
      <w:tr>
        <w:trPr>
          <w:trHeight w:val="264" w:hRule="atLeast"/>
        </w:trPr>
        <w:tc>
          <w:tcPr>
            <w:tcW w:w="161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Urine</w:t>
            </w:r>
          </w:p>
        </w:tc>
        <w:tc>
          <w:tcPr>
            <w:tcW w:w="443" w:type="dxa"/>
            <w:tcBorders>
              <w:top w:val="single" w:sz="4" w:space="0" w:color="FFFFFF"/>
              <w:bottom w:val="single" w:sz="4" w:space="0" w:color="FFFFFF"/>
            </w:tcBorders>
            <w:shd w:val="clear" w:color="auto" w:fill="E6ECF7"/>
          </w:tcPr>
          <w:p>
            <w:pPr>
              <w:pStyle w:val="TableParagraph"/>
              <w:ind w:right="37"/>
              <w:jc w:val="right"/>
              <w:rPr>
                <w:rFonts w:ascii="Consolas" w:hAnsi="Consolas"/>
                <w:sz w:val="16"/>
              </w:rPr>
            </w:pPr>
            <w:r>
              <w:rPr>
                <w:color w:val="231F20"/>
                <w:w w:val="105"/>
                <w:sz w:val="16"/>
              </w:rPr>
              <w:t>3 </w:t>
            </w:r>
            <w:r>
              <w:rPr>
                <w:rFonts w:ascii="Consolas" w:hAnsi="Consolas"/>
                <w:color w:val="231F20"/>
                <w:w w:val="105"/>
                <w:sz w:val="16"/>
              </w:rPr>
              <w:t>×</w:t>
            </w:r>
          </w:p>
        </w:tc>
        <w:tc>
          <w:tcPr>
            <w:tcW w:w="536" w:type="dxa"/>
            <w:tcBorders>
              <w:top w:val="single" w:sz="4" w:space="0" w:color="FFFFFF"/>
              <w:bottom w:val="single" w:sz="4" w:space="0" w:color="FFFFFF"/>
            </w:tcBorders>
            <w:shd w:val="clear" w:color="auto" w:fill="E6ECF7"/>
          </w:tcPr>
          <w:p>
            <w:pPr>
              <w:pStyle w:val="TableParagraph"/>
              <w:ind w:left="13"/>
              <w:rPr>
                <w:sz w:val="16"/>
              </w:rPr>
            </w:pPr>
            <w:r>
              <w:rPr>
                <w:color w:val="231F20"/>
                <w:w w:val="110"/>
                <w:sz w:val="16"/>
              </w:rPr>
              <w:t>10</w:t>
            </w:r>
            <w:r>
              <w:rPr>
                <w:rFonts w:ascii="Consolas" w:hAnsi="Consolas"/>
                <w:color w:val="231F20"/>
                <w:w w:val="110"/>
                <w:position w:val="6"/>
                <w:sz w:val="9"/>
              </w:rPr>
              <w:t>−</w:t>
            </w:r>
            <w:r>
              <w:rPr>
                <w:color w:val="231F20"/>
                <w:w w:val="110"/>
                <w:position w:val="6"/>
                <w:sz w:val="9"/>
              </w:rPr>
              <w:t>2 </w:t>
            </w:r>
            <w:r>
              <w:rPr>
                <w:color w:val="231F20"/>
                <w:w w:val="110"/>
                <w:sz w:val="16"/>
              </w:rPr>
              <w:t>to</w:t>
            </w:r>
          </w:p>
        </w:tc>
        <w:tc>
          <w:tcPr>
            <w:tcW w:w="142" w:type="dxa"/>
            <w:tcBorders>
              <w:top w:val="single" w:sz="4" w:space="0" w:color="FFFFFF"/>
              <w:bottom w:val="single" w:sz="4" w:space="0" w:color="FFFFFF"/>
            </w:tcBorders>
            <w:shd w:val="clear" w:color="auto" w:fill="E6ECF7"/>
          </w:tcPr>
          <w:p>
            <w:pPr>
              <w:pStyle w:val="TableParagraph"/>
              <w:ind w:left="28"/>
              <w:rPr>
                <w:sz w:val="16"/>
              </w:rPr>
            </w:pPr>
            <w:r>
              <w:rPr>
                <w:color w:val="231F20"/>
                <w:w w:val="106"/>
                <w:sz w:val="16"/>
              </w:rPr>
              <w:t>1</w:t>
            </w:r>
          </w:p>
        </w:tc>
        <w:tc>
          <w:tcPr>
            <w:tcW w:w="141" w:type="dxa"/>
            <w:tcBorders>
              <w:top w:val="single" w:sz="4" w:space="0" w:color="FFFFFF"/>
              <w:bottom w:val="single" w:sz="4" w:space="0" w:color="FFFFFF"/>
            </w:tcBorders>
            <w:shd w:val="clear" w:color="auto" w:fill="E6ECF7"/>
          </w:tcPr>
          <w:p>
            <w:pPr>
              <w:pStyle w:val="TableParagraph"/>
              <w:spacing w:before="32"/>
              <w:ind w:left="28"/>
              <w:rPr>
                <w:rFonts w:ascii="Consolas" w:hAnsi="Consolas"/>
                <w:sz w:val="16"/>
              </w:rPr>
            </w:pPr>
            <w:r>
              <w:rPr>
                <w:rFonts w:ascii="Consolas" w:hAnsi="Consolas"/>
                <w:color w:val="231F20"/>
                <w:w w:val="99"/>
                <w:sz w:val="16"/>
              </w:rPr>
              <w:t>×</w:t>
            </w:r>
          </w:p>
        </w:tc>
        <w:tc>
          <w:tcPr>
            <w:tcW w:w="745" w:type="dxa"/>
            <w:tcBorders>
              <w:top w:val="single" w:sz="4" w:space="0" w:color="FFFFFF"/>
              <w:bottom w:val="single" w:sz="4" w:space="0" w:color="FFFFFF"/>
            </w:tcBorders>
            <w:shd w:val="clear" w:color="auto" w:fill="E6ECF7"/>
          </w:tcPr>
          <w:p>
            <w:pPr>
              <w:pStyle w:val="TableParagraph"/>
              <w:spacing w:before="25"/>
              <w:ind w:left="28"/>
              <w:rPr>
                <w:sz w:val="9"/>
              </w:rPr>
            </w:pPr>
            <w:r>
              <w:rPr>
                <w:color w:val="231F20"/>
                <w:w w:val="110"/>
                <w:position w:val="-5"/>
                <w:sz w:val="16"/>
              </w:rPr>
              <w:t>10</w:t>
            </w:r>
            <w:r>
              <w:rPr>
                <w:rFonts w:ascii="Consolas" w:hAnsi="Consolas"/>
                <w:color w:val="231F20"/>
                <w:w w:val="110"/>
                <w:sz w:val="9"/>
              </w:rPr>
              <w:t>−</w:t>
            </w:r>
            <w:r>
              <w:rPr>
                <w:color w:val="231F20"/>
                <w:w w:val="110"/>
                <w:sz w:val="9"/>
              </w:rPr>
              <w:t>5</w:t>
            </w:r>
          </w:p>
        </w:tc>
        <w:tc>
          <w:tcPr>
            <w:tcW w:w="1054" w:type="dxa"/>
            <w:tcBorders>
              <w:top w:val="single" w:sz="4" w:space="0" w:color="FFFFFF"/>
              <w:bottom w:val="single" w:sz="4" w:space="0" w:color="FFFFFF"/>
            </w:tcBorders>
            <w:shd w:val="clear" w:color="auto" w:fill="E6ECF7"/>
          </w:tcPr>
          <w:p>
            <w:pPr>
              <w:pStyle w:val="TableParagraph"/>
              <w:ind w:left="435"/>
              <w:rPr>
                <w:sz w:val="16"/>
              </w:rPr>
            </w:pPr>
            <w:r>
              <w:rPr>
                <w:color w:val="231F20"/>
                <w:sz w:val="16"/>
              </w:rPr>
              <w:t>4.5-8.0</w:t>
            </w:r>
          </w:p>
        </w:tc>
      </w:tr>
      <w:tr>
        <w:trPr>
          <w:trHeight w:val="279" w:hRule="atLeast"/>
        </w:trPr>
        <w:tc>
          <w:tcPr>
            <w:tcW w:w="1617" w:type="dxa"/>
            <w:tcBorders>
              <w:top w:val="single" w:sz="4" w:space="0" w:color="FFFFFF"/>
            </w:tcBorders>
            <w:shd w:val="clear" w:color="auto" w:fill="E6ECF7"/>
          </w:tcPr>
          <w:p>
            <w:pPr>
              <w:pStyle w:val="TableParagraph"/>
              <w:ind w:left="120"/>
              <w:rPr>
                <w:sz w:val="16"/>
              </w:rPr>
            </w:pPr>
            <w:r>
              <w:rPr>
                <w:color w:val="231F20"/>
                <w:sz w:val="16"/>
              </w:rPr>
              <w:t>Gastric HCl</w:t>
            </w:r>
          </w:p>
        </w:tc>
        <w:tc>
          <w:tcPr>
            <w:tcW w:w="443" w:type="dxa"/>
            <w:tcBorders>
              <w:top w:val="single" w:sz="4" w:space="0" w:color="FFFFFF"/>
            </w:tcBorders>
            <w:shd w:val="clear" w:color="auto" w:fill="E6ECF7"/>
          </w:tcPr>
          <w:p>
            <w:pPr>
              <w:pStyle w:val="TableParagraph"/>
              <w:ind w:right="1"/>
              <w:jc w:val="right"/>
              <w:rPr>
                <w:sz w:val="16"/>
              </w:rPr>
            </w:pPr>
            <w:r>
              <w:rPr>
                <w:color w:val="231F20"/>
                <w:w w:val="105"/>
                <w:sz w:val="16"/>
              </w:rPr>
              <w:t>160</w:t>
            </w:r>
          </w:p>
        </w:tc>
        <w:tc>
          <w:tcPr>
            <w:tcW w:w="536" w:type="dxa"/>
            <w:tcBorders>
              <w:top w:val="single" w:sz="4" w:space="0" w:color="FFFFFF"/>
            </w:tcBorders>
            <w:shd w:val="clear" w:color="auto" w:fill="E6ECF7"/>
          </w:tcPr>
          <w:p>
            <w:pPr>
              <w:pStyle w:val="TableParagraph"/>
              <w:spacing w:before="0"/>
              <w:rPr>
                <w:rFonts w:ascii="Times New Roman"/>
                <w:sz w:val="18"/>
              </w:rPr>
            </w:pPr>
          </w:p>
        </w:tc>
        <w:tc>
          <w:tcPr>
            <w:tcW w:w="142" w:type="dxa"/>
            <w:tcBorders>
              <w:top w:val="single" w:sz="4" w:space="0" w:color="FFFFFF"/>
            </w:tcBorders>
            <w:shd w:val="clear" w:color="auto" w:fill="E6ECF7"/>
          </w:tcPr>
          <w:p>
            <w:pPr>
              <w:pStyle w:val="TableParagraph"/>
              <w:spacing w:before="0"/>
              <w:rPr>
                <w:rFonts w:ascii="Times New Roman"/>
                <w:sz w:val="18"/>
              </w:rPr>
            </w:pPr>
          </w:p>
        </w:tc>
        <w:tc>
          <w:tcPr>
            <w:tcW w:w="141" w:type="dxa"/>
            <w:tcBorders>
              <w:top w:val="single" w:sz="4" w:space="0" w:color="FFFFFF"/>
            </w:tcBorders>
            <w:shd w:val="clear" w:color="auto" w:fill="E6ECF7"/>
          </w:tcPr>
          <w:p>
            <w:pPr>
              <w:pStyle w:val="TableParagraph"/>
              <w:spacing w:before="0"/>
              <w:rPr>
                <w:rFonts w:ascii="Times New Roman"/>
                <w:sz w:val="18"/>
              </w:rPr>
            </w:pPr>
          </w:p>
        </w:tc>
        <w:tc>
          <w:tcPr>
            <w:tcW w:w="745" w:type="dxa"/>
            <w:tcBorders>
              <w:top w:val="single" w:sz="4" w:space="0" w:color="FFFFFF"/>
            </w:tcBorders>
            <w:shd w:val="clear" w:color="auto" w:fill="E6ECF7"/>
          </w:tcPr>
          <w:p>
            <w:pPr>
              <w:pStyle w:val="TableParagraph"/>
              <w:spacing w:before="0"/>
              <w:rPr>
                <w:rFonts w:ascii="Times New Roman"/>
                <w:sz w:val="18"/>
              </w:rPr>
            </w:pPr>
          </w:p>
        </w:tc>
        <w:tc>
          <w:tcPr>
            <w:tcW w:w="1054" w:type="dxa"/>
            <w:tcBorders>
              <w:top w:val="single" w:sz="4" w:space="0" w:color="FFFFFF"/>
            </w:tcBorders>
            <w:shd w:val="clear" w:color="auto" w:fill="E6ECF7"/>
          </w:tcPr>
          <w:p>
            <w:pPr>
              <w:pStyle w:val="TableParagraph"/>
              <w:ind w:left="436"/>
              <w:rPr>
                <w:sz w:val="16"/>
              </w:rPr>
            </w:pPr>
            <w:r>
              <w:rPr>
                <w:color w:val="231F20"/>
                <w:sz w:val="16"/>
              </w:rPr>
              <w:t>0.8</w:t>
            </w:r>
          </w:p>
        </w:tc>
      </w:tr>
    </w:tbl>
    <w:p>
      <w:pPr>
        <w:pStyle w:val="BodyText"/>
        <w:spacing w:line="249" w:lineRule="auto" w:before="114"/>
        <w:ind w:left="319" w:right="1437" w:firstLine="240"/>
        <w:jc w:val="both"/>
      </w:pPr>
      <w:r>
        <w:rPr/>
        <w:br w:type="column"/>
      </w:r>
      <w:r>
        <w:rPr>
          <w:color w:val="231F20"/>
        </w:rPr>
        <w:t>An extreme example of an acidic body fluid is the </w:t>
      </w:r>
      <w:r>
        <w:rPr>
          <w:color w:val="231F20"/>
          <w:spacing w:val="-5"/>
        </w:rPr>
        <w:t>HCl </w:t>
      </w:r>
      <w:r>
        <w:rPr>
          <w:color w:val="231F20"/>
        </w:rPr>
        <w:t>secreted into the stomach by the oxyntic (parietal) cells   of the stomach mucosa, as discussed in Chapter 65. The H</w:t>
      </w:r>
      <w:r>
        <w:rPr>
          <w:rFonts w:ascii="Consolas"/>
          <w:color w:val="231F20"/>
          <w:position w:val="8"/>
          <w:sz w:val="12"/>
        </w:rPr>
        <w:t>+ </w:t>
      </w:r>
      <w:r>
        <w:rPr>
          <w:color w:val="231F20"/>
        </w:rPr>
        <w:t>concentration in these cells is about 4 million </w:t>
      </w:r>
      <w:r>
        <w:rPr>
          <w:color w:val="231F20"/>
          <w:spacing w:val="-3"/>
        </w:rPr>
        <w:t>times  </w:t>
      </w:r>
      <w:r>
        <w:rPr>
          <w:color w:val="231F20"/>
        </w:rPr>
        <w:t>greater than the hydrogen concentration in blood, with </w:t>
      </w:r>
      <w:r>
        <w:rPr>
          <w:color w:val="231F20"/>
          <w:spacing w:val="-10"/>
        </w:rPr>
        <w:t>a </w:t>
      </w:r>
      <w:r>
        <w:rPr>
          <w:color w:val="231F20"/>
        </w:rPr>
        <w:t>pH of 0.8. In the remainder of this </w:t>
      </w:r>
      <w:r>
        <w:rPr>
          <w:color w:val="231F20"/>
          <w:spacing w:val="-3"/>
        </w:rPr>
        <w:t>chapter, </w:t>
      </w:r>
      <w:r>
        <w:rPr>
          <w:color w:val="231F20"/>
        </w:rPr>
        <w:t>we discuss </w:t>
      </w:r>
      <w:r>
        <w:rPr>
          <w:color w:val="231F20"/>
          <w:spacing w:val="-6"/>
        </w:rPr>
        <w:t>the </w:t>
      </w:r>
      <w:r>
        <w:rPr>
          <w:color w:val="231F20"/>
        </w:rPr>
        <w:t>regulation of extracellular fluid H</w:t>
      </w:r>
      <w:r>
        <w:rPr>
          <w:rFonts w:ascii="Consolas"/>
          <w:color w:val="231F20"/>
          <w:position w:val="8"/>
          <w:sz w:val="12"/>
        </w:rPr>
        <w:t>+</w:t>
      </w:r>
      <w:r>
        <w:rPr>
          <w:rFonts w:ascii="Consolas"/>
          <w:color w:val="231F20"/>
          <w:spacing w:val="37"/>
          <w:position w:val="8"/>
          <w:sz w:val="12"/>
        </w:rPr>
        <w:t> </w:t>
      </w:r>
      <w:r>
        <w:rPr>
          <w:color w:val="231F20"/>
        </w:rPr>
        <w:t>concentration.</w:t>
      </w:r>
    </w:p>
    <w:p>
      <w:pPr>
        <w:pStyle w:val="BodyText"/>
        <w:spacing w:before="5"/>
        <w:rPr>
          <w:sz w:val="24"/>
        </w:rPr>
      </w:pPr>
      <w:r>
        <w:rPr/>
        <w:pict>
          <v:shape style="position:absolute;margin-left:306pt;margin-top:15.295758pt;width:234pt;height:40pt;mso-position-horizontal-relative:page;mso-position-vertical-relative:paragraph;z-index:-250587136;mso-wrap-distance-left:0;mso-wrap-distance-right:0" type="#_x0000_t202" filled="true" fillcolor="#e8dac8" stroked="false">
            <v:textbox inset="0,0,0,0">
              <w:txbxContent>
                <w:p>
                  <w:pPr>
                    <w:spacing w:line="223" w:lineRule="auto" w:before="48"/>
                    <w:ind w:left="59" w:right="894" w:firstLine="0"/>
                    <w:jc w:val="left"/>
                    <w:rPr>
                      <w:rFonts w:ascii="Trebuchet MS"/>
                      <w:b/>
                      <w:sz w:val="22"/>
                    </w:rPr>
                  </w:pPr>
                  <w:r>
                    <w:rPr>
                      <w:rFonts w:ascii="Trebuchet MS"/>
                      <w:b/>
                      <w:color w:val="231F20"/>
                      <w:w w:val="110"/>
                      <w:sz w:val="22"/>
                    </w:rPr>
                    <w:t>DEFENDING AGAINST CHANGES IN</w:t>
                  </w:r>
                  <w:r>
                    <w:rPr>
                      <w:rFonts w:ascii="Trebuchet MS"/>
                      <w:b/>
                      <w:color w:val="231F20"/>
                      <w:spacing w:val="-26"/>
                      <w:w w:val="110"/>
                      <w:sz w:val="22"/>
                    </w:rPr>
                    <w:t> </w:t>
                  </w:r>
                  <w:r>
                    <w:rPr>
                      <w:rFonts w:ascii="Trebuchet MS"/>
                      <w:b/>
                      <w:color w:val="231F20"/>
                      <w:w w:val="110"/>
                      <w:sz w:val="22"/>
                    </w:rPr>
                    <w:t>H</w:t>
                  </w:r>
                  <w:r>
                    <w:rPr>
                      <w:rFonts w:ascii="Consolas"/>
                      <w:b/>
                      <w:color w:val="231F20"/>
                      <w:w w:val="110"/>
                      <w:position w:val="9"/>
                      <w:sz w:val="13"/>
                    </w:rPr>
                    <w:t>+</w:t>
                  </w:r>
                  <w:r>
                    <w:rPr>
                      <w:rFonts w:ascii="Consolas"/>
                      <w:b/>
                      <w:color w:val="231F20"/>
                      <w:spacing w:val="-32"/>
                      <w:w w:val="110"/>
                      <w:position w:val="9"/>
                      <w:sz w:val="13"/>
                    </w:rPr>
                    <w:t> </w:t>
                  </w:r>
                  <w:r>
                    <w:rPr>
                      <w:rFonts w:ascii="Trebuchet MS"/>
                      <w:b/>
                      <w:color w:val="231F20"/>
                      <w:w w:val="110"/>
                      <w:sz w:val="22"/>
                    </w:rPr>
                    <w:t>CONCENTRATION:</w:t>
                  </w:r>
                  <w:r>
                    <w:rPr>
                      <w:rFonts w:ascii="Trebuchet MS"/>
                      <w:b/>
                      <w:color w:val="231F20"/>
                      <w:spacing w:val="-25"/>
                      <w:w w:val="110"/>
                      <w:sz w:val="22"/>
                    </w:rPr>
                    <w:t> </w:t>
                  </w:r>
                  <w:r>
                    <w:rPr>
                      <w:rFonts w:ascii="Trebuchet MS"/>
                      <w:b/>
                      <w:color w:val="231F20"/>
                      <w:w w:val="110"/>
                      <w:sz w:val="22"/>
                    </w:rPr>
                    <w:t>BUFFERS, LUNGS, AND</w:t>
                  </w:r>
                  <w:r>
                    <w:rPr>
                      <w:rFonts w:ascii="Trebuchet MS"/>
                      <w:b/>
                      <w:color w:val="231F20"/>
                      <w:spacing w:val="25"/>
                      <w:w w:val="110"/>
                      <w:sz w:val="22"/>
                    </w:rPr>
                    <w:t> </w:t>
                  </w:r>
                  <w:r>
                    <w:rPr>
                      <w:rFonts w:ascii="Trebuchet MS"/>
                      <w:b/>
                      <w:color w:val="231F20"/>
                      <w:w w:val="110"/>
                      <w:sz w:val="22"/>
                    </w:rPr>
                    <w:t>KIDNEYS</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4"/>
        <w:ind w:left="319" w:right="1437"/>
        <w:jc w:val="both"/>
      </w:pPr>
      <w:r>
        <w:rPr>
          <w:color w:val="231F20"/>
          <w:w w:val="105"/>
        </w:rPr>
        <w:t>Three primary systems regulate the H</w:t>
      </w:r>
      <w:r>
        <w:rPr>
          <w:rFonts w:ascii="Consolas"/>
          <w:color w:val="231F20"/>
          <w:w w:val="105"/>
          <w:position w:val="8"/>
          <w:sz w:val="12"/>
        </w:rPr>
        <w:t>+ </w:t>
      </w:r>
      <w:r>
        <w:rPr>
          <w:color w:val="231F20"/>
          <w:w w:val="105"/>
        </w:rPr>
        <w:t>concentration in the body fluids to prevent acidosis or alkalosis: (1) </w:t>
      </w:r>
      <w:r>
        <w:rPr>
          <w:color w:val="231F20"/>
          <w:spacing w:val="-6"/>
          <w:w w:val="105"/>
        </w:rPr>
        <w:t>the </w:t>
      </w:r>
      <w:r>
        <w:rPr>
          <w:i/>
          <w:color w:val="231F20"/>
        </w:rPr>
        <w:t>chemical</w:t>
      </w:r>
      <w:r>
        <w:rPr>
          <w:i/>
          <w:color w:val="231F20"/>
          <w:spacing w:val="-11"/>
        </w:rPr>
        <w:t> </w:t>
      </w:r>
      <w:r>
        <w:rPr>
          <w:i/>
          <w:color w:val="231F20"/>
        </w:rPr>
        <w:t>acid-base</w:t>
      </w:r>
      <w:r>
        <w:rPr>
          <w:i/>
          <w:color w:val="231F20"/>
          <w:spacing w:val="-11"/>
        </w:rPr>
        <w:t> </w:t>
      </w:r>
      <w:r>
        <w:rPr>
          <w:i/>
          <w:color w:val="231F20"/>
        </w:rPr>
        <w:t>buffer</w:t>
      </w:r>
      <w:r>
        <w:rPr>
          <w:i/>
          <w:color w:val="231F20"/>
          <w:spacing w:val="-11"/>
        </w:rPr>
        <w:t> </w:t>
      </w:r>
      <w:r>
        <w:rPr>
          <w:i/>
          <w:color w:val="231F20"/>
        </w:rPr>
        <w:t>systems</w:t>
      </w:r>
      <w:r>
        <w:rPr>
          <w:i/>
          <w:color w:val="231F20"/>
          <w:spacing w:val="-11"/>
        </w:rPr>
        <w:t> </w:t>
      </w:r>
      <w:r>
        <w:rPr>
          <w:i/>
          <w:color w:val="231F20"/>
        </w:rPr>
        <w:t>of</w:t>
      </w:r>
      <w:r>
        <w:rPr>
          <w:i/>
          <w:color w:val="231F20"/>
          <w:spacing w:val="-11"/>
        </w:rPr>
        <w:t> </w:t>
      </w:r>
      <w:r>
        <w:rPr>
          <w:i/>
          <w:color w:val="231F20"/>
        </w:rPr>
        <w:t>the</w:t>
      </w:r>
      <w:r>
        <w:rPr>
          <w:i/>
          <w:color w:val="231F20"/>
          <w:spacing w:val="-12"/>
        </w:rPr>
        <w:t> </w:t>
      </w:r>
      <w:r>
        <w:rPr>
          <w:i/>
          <w:color w:val="231F20"/>
        </w:rPr>
        <w:t>body</w:t>
      </w:r>
      <w:r>
        <w:rPr>
          <w:i/>
          <w:color w:val="231F20"/>
          <w:spacing w:val="-12"/>
        </w:rPr>
        <w:t> </w:t>
      </w:r>
      <w:r>
        <w:rPr>
          <w:i/>
          <w:color w:val="231F20"/>
        </w:rPr>
        <w:t>fluids,</w:t>
      </w:r>
      <w:r>
        <w:rPr>
          <w:i/>
          <w:color w:val="231F20"/>
          <w:spacing w:val="-10"/>
        </w:rPr>
        <w:t> </w:t>
      </w:r>
      <w:r>
        <w:rPr>
          <w:color w:val="231F20"/>
        </w:rPr>
        <w:t>which </w:t>
      </w:r>
      <w:r>
        <w:rPr>
          <w:color w:val="231F20"/>
          <w:w w:val="105"/>
        </w:rPr>
        <w:t>immediately combine with an acid or a base to prevent excessive</w:t>
      </w:r>
      <w:r>
        <w:rPr>
          <w:color w:val="231F20"/>
          <w:spacing w:val="-30"/>
          <w:w w:val="105"/>
        </w:rPr>
        <w:t> </w:t>
      </w:r>
      <w:r>
        <w:rPr>
          <w:color w:val="231F20"/>
          <w:w w:val="105"/>
        </w:rPr>
        <w:t>changes</w:t>
      </w:r>
      <w:r>
        <w:rPr>
          <w:color w:val="231F20"/>
          <w:spacing w:val="-29"/>
          <w:w w:val="105"/>
        </w:rPr>
        <w:t> </w:t>
      </w:r>
      <w:r>
        <w:rPr>
          <w:color w:val="231F20"/>
          <w:w w:val="105"/>
        </w:rPr>
        <w:t>in</w:t>
      </w:r>
      <w:r>
        <w:rPr>
          <w:color w:val="231F20"/>
          <w:spacing w:val="-29"/>
          <w:w w:val="105"/>
        </w:rPr>
        <w:t> </w:t>
      </w:r>
      <w:r>
        <w:rPr>
          <w:color w:val="231F20"/>
          <w:w w:val="105"/>
        </w:rPr>
        <w:t>H</w:t>
      </w:r>
      <w:r>
        <w:rPr>
          <w:rFonts w:ascii="Consolas"/>
          <w:color w:val="231F20"/>
          <w:w w:val="105"/>
          <w:position w:val="8"/>
          <w:sz w:val="12"/>
        </w:rPr>
        <w:t>+</w:t>
      </w:r>
      <w:r>
        <w:rPr>
          <w:rFonts w:ascii="Consolas"/>
          <w:color w:val="231F20"/>
          <w:spacing w:val="-45"/>
          <w:w w:val="105"/>
          <w:position w:val="8"/>
          <w:sz w:val="12"/>
        </w:rPr>
        <w:t> </w:t>
      </w:r>
      <w:r>
        <w:rPr>
          <w:color w:val="231F20"/>
          <w:w w:val="105"/>
        </w:rPr>
        <w:t>concentration;</w:t>
      </w:r>
      <w:r>
        <w:rPr>
          <w:color w:val="231F20"/>
          <w:spacing w:val="-30"/>
          <w:w w:val="105"/>
        </w:rPr>
        <w:t> </w:t>
      </w:r>
      <w:r>
        <w:rPr>
          <w:color w:val="231F20"/>
          <w:w w:val="105"/>
        </w:rPr>
        <w:t>(2)</w:t>
      </w:r>
      <w:r>
        <w:rPr>
          <w:color w:val="231F20"/>
          <w:spacing w:val="-28"/>
          <w:w w:val="105"/>
        </w:rPr>
        <w:t> </w:t>
      </w:r>
      <w:r>
        <w:rPr>
          <w:color w:val="231F20"/>
          <w:w w:val="105"/>
        </w:rPr>
        <w:t>the</w:t>
      </w:r>
      <w:r>
        <w:rPr>
          <w:color w:val="231F20"/>
          <w:spacing w:val="-30"/>
          <w:w w:val="105"/>
        </w:rPr>
        <w:t> </w:t>
      </w:r>
      <w:r>
        <w:rPr>
          <w:i/>
          <w:color w:val="231F20"/>
          <w:w w:val="105"/>
        </w:rPr>
        <w:t>respiratory </w:t>
      </w:r>
      <w:r>
        <w:rPr>
          <w:i/>
          <w:color w:val="231F20"/>
          <w:w w:val="105"/>
        </w:rPr>
        <w:t>center, </w:t>
      </w:r>
      <w:r>
        <w:rPr>
          <w:color w:val="231F20"/>
          <w:w w:val="105"/>
        </w:rPr>
        <w:t>which regulates the removal of CO</w:t>
      </w:r>
      <w:r>
        <w:rPr>
          <w:color w:val="231F20"/>
          <w:w w:val="105"/>
          <w:vertAlign w:val="subscript"/>
        </w:rPr>
        <w:t>2</w:t>
      </w:r>
      <w:r>
        <w:rPr>
          <w:color w:val="231F20"/>
          <w:w w:val="105"/>
          <w:vertAlign w:val="baseline"/>
        </w:rPr>
        <w:t> (and, </w:t>
      </w:r>
      <w:r>
        <w:rPr>
          <w:color w:val="231F20"/>
          <w:spacing w:val="-4"/>
          <w:w w:val="105"/>
          <w:vertAlign w:val="baseline"/>
        </w:rPr>
        <w:t>there- </w:t>
      </w:r>
      <w:r>
        <w:rPr>
          <w:color w:val="231F20"/>
          <w:w w:val="105"/>
          <w:vertAlign w:val="baseline"/>
        </w:rPr>
        <w:t>fore,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from the extracellular fluid; and (3) </w:t>
      </w:r>
      <w:r>
        <w:rPr>
          <w:color w:val="231F20"/>
          <w:spacing w:val="-10"/>
          <w:w w:val="105"/>
          <w:vertAlign w:val="baseline"/>
        </w:rPr>
        <w:t>the </w:t>
      </w:r>
      <w:r>
        <w:rPr>
          <w:i/>
          <w:color w:val="231F20"/>
          <w:w w:val="105"/>
          <w:vertAlign w:val="baseline"/>
        </w:rPr>
        <w:t>kidneys, </w:t>
      </w:r>
      <w:r>
        <w:rPr>
          <w:color w:val="231F20"/>
          <w:w w:val="105"/>
          <w:vertAlign w:val="baseline"/>
        </w:rPr>
        <w:t>which can excrete either acid or alkaline urine, thereby readjusting the extracellular fluid H</w:t>
      </w:r>
      <w:r>
        <w:rPr>
          <w:rFonts w:ascii="Consolas"/>
          <w:color w:val="231F20"/>
          <w:w w:val="105"/>
          <w:position w:val="8"/>
          <w:sz w:val="12"/>
          <w:vertAlign w:val="baseline"/>
        </w:rPr>
        <w:t>+</w:t>
      </w:r>
      <w:r>
        <w:rPr>
          <w:rFonts w:ascii="Consolas"/>
          <w:color w:val="231F20"/>
          <w:spacing w:val="-32"/>
          <w:w w:val="105"/>
          <w:position w:val="8"/>
          <w:sz w:val="12"/>
          <w:vertAlign w:val="baseline"/>
        </w:rPr>
        <w:t> </w:t>
      </w:r>
      <w:r>
        <w:rPr>
          <w:color w:val="231F20"/>
          <w:w w:val="105"/>
          <w:vertAlign w:val="baseline"/>
        </w:rPr>
        <w:t>concentra- tion toward normal during acidosis or</w:t>
      </w:r>
      <w:r>
        <w:rPr>
          <w:color w:val="231F20"/>
          <w:spacing w:val="-6"/>
          <w:w w:val="105"/>
          <w:vertAlign w:val="baseline"/>
        </w:rPr>
        <w:t> </w:t>
      </w:r>
      <w:r>
        <w:rPr>
          <w:color w:val="231F20"/>
          <w:w w:val="105"/>
          <w:vertAlign w:val="baseline"/>
        </w:rPr>
        <w:t>alkalosis.</w:t>
      </w:r>
    </w:p>
    <w:p>
      <w:pPr>
        <w:pStyle w:val="BodyText"/>
        <w:spacing w:line="249" w:lineRule="auto"/>
        <w:ind w:left="319" w:right="1437" w:firstLine="240"/>
        <w:jc w:val="both"/>
      </w:pPr>
      <w:r>
        <w:rPr>
          <w:color w:val="231F20"/>
          <w:w w:val="105"/>
        </w:rPr>
        <w:t>When</w:t>
      </w:r>
      <w:r>
        <w:rPr>
          <w:color w:val="231F20"/>
          <w:spacing w:val="-15"/>
          <w:w w:val="105"/>
        </w:rPr>
        <w:t> </w:t>
      </w:r>
      <w:r>
        <w:rPr>
          <w:color w:val="231F20"/>
          <w:w w:val="105"/>
        </w:rPr>
        <w:t>there</w:t>
      </w:r>
      <w:r>
        <w:rPr>
          <w:color w:val="231F20"/>
          <w:spacing w:val="-14"/>
          <w:w w:val="105"/>
        </w:rPr>
        <w:t> </w:t>
      </w:r>
      <w:r>
        <w:rPr>
          <w:color w:val="231F20"/>
          <w:w w:val="105"/>
        </w:rPr>
        <w:t>is</w:t>
      </w:r>
      <w:r>
        <w:rPr>
          <w:color w:val="231F20"/>
          <w:spacing w:val="-14"/>
          <w:w w:val="105"/>
        </w:rPr>
        <w:t> </w:t>
      </w:r>
      <w:r>
        <w:rPr>
          <w:color w:val="231F20"/>
          <w:w w:val="105"/>
        </w:rPr>
        <w:t>a</w:t>
      </w:r>
      <w:r>
        <w:rPr>
          <w:color w:val="231F20"/>
          <w:spacing w:val="-15"/>
          <w:w w:val="105"/>
        </w:rPr>
        <w:t> </w:t>
      </w:r>
      <w:r>
        <w:rPr>
          <w:color w:val="231F20"/>
          <w:w w:val="105"/>
        </w:rPr>
        <w:t>change</w:t>
      </w:r>
      <w:r>
        <w:rPr>
          <w:color w:val="231F20"/>
          <w:spacing w:val="-14"/>
          <w:w w:val="105"/>
        </w:rPr>
        <w:t> </w:t>
      </w:r>
      <w:r>
        <w:rPr>
          <w:color w:val="231F20"/>
          <w:w w:val="105"/>
        </w:rPr>
        <w:t>in</w:t>
      </w:r>
      <w:r>
        <w:rPr>
          <w:color w:val="231F20"/>
          <w:spacing w:val="-14"/>
          <w:w w:val="105"/>
        </w:rPr>
        <w:t> </w:t>
      </w:r>
      <w:r>
        <w:rPr>
          <w:color w:val="231F20"/>
          <w:w w:val="105"/>
        </w:rPr>
        <w:t>H</w:t>
      </w:r>
      <w:r>
        <w:rPr>
          <w:rFonts w:ascii="Consolas"/>
          <w:color w:val="231F20"/>
          <w:w w:val="105"/>
          <w:position w:val="8"/>
          <w:sz w:val="12"/>
        </w:rPr>
        <w:t>+</w:t>
      </w:r>
      <w:r>
        <w:rPr>
          <w:rFonts w:ascii="Consolas"/>
          <w:color w:val="231F20"/>
          <w:spacing w:val="-31"/>
          <w:w w:val="105"/>
          <w:position w:val="8"/>
          <w:sz w:val="12"/>
        </w:rPr>
        <w:t> </w:t>
      </w:r>
      <w:r>
        <w:rPr>
          <w:color w:val="231F20"/>
          <w:w w:val="105"/>
        </w:rPr>
        <w:t>concentration,</w:t>
      </w:r>
      <w:r>
        <w:rPr>
          <w:color w:val="231F20"/>
          <w:spacing w:val="-15"/>
          <w:w w:val="105"/>
        </w:rPr>
        <w:t> </w:t>
      </w:r>
      <w:r>
        <w:rPr>
          <w:color w:val="231F20"/>
          <w:w w:val="105"/>
        </w:rPr>
        <w:t>the</w:t>
      </w:r>
      <w:r>
        <w:rPr>
          <w:color w:val="231F20"/>
          <w:spacing w:val="-14"/>
          <w:w w:val="105"/>
        </w:rPr>
        <w:t> </w:t>
      </w:r>
      <w:r>
        <w:rPr>
          <w:i/>
          <w:color w:val="231F20"/>
          <w:w w:val="105"/>
        </w:rPr>
        <w:t>buffer </w:t>
      </w:r>
      <w:r>
        <w:rPr>
          <w:i/>
          <w:color w:val="231F20"/>
          <w:w w:val="105"/>
        </w:rPr>
        <w:t>systems </w:t>
      </w:r>
      <w:r>
        <w:rPr>
          <w:color w:val="231F20"/>
          <w:w w:val="105"/>
        </w:rPr>
        <w:t>of the body fluids react within seconds to mini- mize these changes. Buffer systems do not eliminate</w:t>
      </w:r>
      <w:r>
        <w:rPr>
          <w:color w:val="231F20"/>
          <w:spacing w:val="-11"/>
          <w:w w:val="105"/>
        </w:rPr>
        <w:t> </w:t>
      </w:r>
      <w:r>
        <w:rPr>
          <w:color w:val="231F20"/>
          <w:w w:val="105"/>
        </w:rPr>
        <w:t>H</w:t>
      </w:r>
      <w:r>
        <w:rPr>
          <w:rFonts w:ascii="Consolas"/>
          <w:color w:val="231F20"/>
          <w:w w:val="105"/>
          <w:position w:val="8"/>
          <w:sz w:val="12"/>
        </w:rPr>
        <w:t>+ </w:t>
      </w:r>
      <w:r>
        <w:rPr>
          <w:color w:val="231F20"/>
          <w:w w:val="105"/>
        </w:rPr>
        <w:t>from or add H</w:t>
      </w:r>
      <w:r>
        <w:rPr>
          <w:rFonts w:ascii="Consolas"/>
          <w:color w:val="231F20"/>
          <w:w w:val="105"/>
          <w:position w:val="8"/>
          <w:sz w:val="12"/>
        </w:rPr>
        <w:t>+ </w:t>
      </w:r>
      <w:r>
        <w:rPr>
          <w:color w:val="231F20"/>
          <w:w w:val="105"/>
        </w:rPr>
        <w:t>to the body but only keep them tied up until balance can be</w:t>
      </w:r>
      <w:r>
        <w:rPr>
          <w:color w:val="231F20"/>
          <w:spacing w:val="6"/>
          <w:w w:val="105"/>
        </w:rPr>
        <w:t> </w:t>
      </w:r>
      <w:r>
        <w:rPr>
          <w:color w:val="231F20"/>
          <w:w w:val="105"/>
        </w:rPr>
        <w:t>re-established.</w:t>
      </w:r>
    </w:p>
    <w:p>
      <w:pPr>
        <w:pStyle w:val="BodyText"/>
        <w:spacing w:line="249" w:lineRule="auto"/>
        <w:ind w:left="319" w:right="1438" w:firstLine="240"/>
        <w:jc w:val="both"/>
      </w:pPr>
      <w:r>
        <w:rPr>
          <w:color w:val="231F20"/>
        </w:rPr>
        <w:t>The second line of defense, the </w:t>
      </w:r>
      <w:r>
        <w:rPr>
          <w:i/>
          <w:color w:val="231F20"/>
        </w:rPr>
        <w:t>respiratory system, </w:t>
      </w:r>
      <w:r>
        <w:rPr>
          <w:color w:val="231F20"/>
        </w:rPr>
        <w:t>acts within a few minutes to eliminate CO</w:t>
      </w:r>
      <w:r>
        <w:rPr>
          <w:color w:val="231F20"/>
          <w:vertAlign w:val="subscript"/>
        </w:rPr>
        <w:t>2</w:t>
      </w:r>
      <w:r>
        <w:rPr>
          <w:color w:val="231F20"/>
          <w:vertAlign w:val="baseline"/>
        </w:rPr>
        <w:t> and, therefore, H</w:t>
      </w:r>
      <w:r>
        <w:rPr>
          <w:color w:val="231F20"/>
          <w:vertAlign w:val="subscript"/>
        </w:rPr>
        <w:t>2</w:t>
      </w:r>
      <w:r>
        <w:rPr>
          <w:color w:val="231F20"/>
          <w:vertAlign w:val="baseline"/>
        </w:rPr>
        <w:t>CO</w:t>
      </w:r>
      <w:r>
        <w:rPr>
          <w:color w:val="231F20"/>
          <w:vertAlign w:val="subscript"/>
        </w:rPr>
        <w:t>3</w:t>
      </w:r>
      <w:r>
        <w:rPr>
          <w:color w:val="231F20"/>
          <w:vertAlign w:val="baseline"/>
        </w:rPr>
        <w:t> from the body.</w:t>
      </w:r>
    </w:p>
    <w:p>
      <w:pPr>
        <w:pStyle w:val="BodyText"/>
        <w:spacing w:line="249" w:lineRule="auto"/>
        <w:ind w:left="319" w:right="1437" w:firstLine="240"/>
        <w:jc w:val="both"/>
      </w:pPr>
      <w:r>
        <w:rPr>
          <w:color w:val="231F20"/>
          <w:w w:val="105"/>
        </w:rPr>
        <w:t>These</w:t>
      </w:r>
      <w:r>
        <w:rPr>
          <w:color w:val="231F20"/>
          <w:spacing w:val="-19"/>
          <w:w w:val="105"/>
        </w:rPr>
        <w:t> </w:t>
      </w:r>
      <w:r>
        <w:rPr>
          <w:color w:val="231F20"/>
          <w:w w:val="105"/>
        </w:rPr>
        <w:t>first</w:t>
      </w:r>
      <w:r>
        <w:rPr>
          <w:color w:val="231F20"/>
          <w:spacing w:val="-19"/>
          <w:w w:val="105"/>
        </w:rPr>
        <w:t> </w:t>
      </w:r>
      <w:r>
        <w:rPr>
          <w:color w:val="231F20"/>
          <w:w w:val="105"/>
        </w:rPr>
        <w:t>two</w:t>
      </w:r>
      <w:r>
        <w:rPr>
          <w:color w:val="231F20"/>
          <w:spacing w:val="-18"/>
          <w:w w:val="105"/>
        </w:rPr>
        <w:t> </w:t>
      </w:r>
      <w:r>
        <w:rPr>
          <w:color w:val="231F20"/>
          <w:w w:val="105"/>
        </w:rPr>
        <w:t>lines</w:t>
      </w:r>
      <w:r>
        <w:rPr>
          <w:color w:val="231F20"/>
          <w:spacing w:val="-19"/>
          <w:w w:val="105"/>
        </w:rPr>
        <w:t> </w:t>
      </w:r>
      <w:r>
        <w:rPr>
          <w:color w:val="231F20"/>
          <w:w w:val="105"/>
        </w:rPr>
        <w:t>of</w:t>
      </w:r>
      <w:r>
        <w:rPr>
          <w:color w:val="231F20"/>
          <w:spacing w:val="-18"/>
          <w:w w:val="105"/>
        </w:rPr>
        <w:t> </w:t>
      </w:r>
      <w:r>
        <w:rPr>
          <w:color w:val="231F20"/>
          <w:w w:val="105"/>
        </w:rPr>
        <w:t>defense</w:t>
      </w:r>
      <w:r>
        <w:rPr>
          <w:color w:val="231F20"/>
          <w:spacing w:val="-19"/>
          <w:w w:val="105"/>
        </w:rPr>
        <w:t> </w:t>
      </w:r>
      <w:r>
        <w:rPr>
          <w:color w:val="231F20"/>
          <w:w w:val="105"/>
        </w:rPr>
        <w:t>keep</w:t>
      </w:r>
      <w:r>
        <w:rPr>
          <w:color w:val="231F20"/>
          <w:spacing w:val="-18"/>
          <w:w w:val="105"/>
        </w:rPr>
        <w:t> </w:t>
      </w:r>
      <w:r>
        <w:rPr>
          <w:color w:val="231F20"/>
          <w:w w:val="105"/>
        </w:rPr>
        <w:t>the</w:t>
      </w:r>
      <w:r>
        <w:rPr>
          <w:color w:val="231F20"/>
          <w:spacing w:val="-19"/>
          <w:w w:val="105"/>
        </w:rPr>
        <w:t> </w:t>
      </w:r>
      <w:r>
        <w:rPr>
          <w:color w:val="231F20"/>
          <w:w w:val="105"/>
        </w:rPr>
        <w:t>H</w:t>
      </w:r>
      <w:r>
        <w:rPr>
          <w:rFonts w:ascii="Consolas"/>
          <w:color w:val="231F20"/>
          <w:w w:val="105"/>
          <w:position w:val="8"/>
          <w:sz w:val="12"/>
        </w:rPr>
        <w:t>+</w:t>
      </w:r>
      <w:r>
        <w:rPr>
          <w:rFonts w:ascii="Consolas"/>
          <w:color w:val="231F20"/>
          <w:spacing w:val="-35"/>
          <w:w w:val="105"/>
          <w:position w:val="8"/>
          <w:sz w:val="12"/>
        </w:rPr>
        <w:t> </w:t>
      </w:r>
      <w:r>
        <w:rPr>
          <w:color w:val="231F20"/>
          <w:w w:val="105"/>
        </w:rPr>
        <w:t>concentra- tion from changing too much until the more slowly responding third line of defense, the </w:t>
      </w:r>
      <w:r>
        <w:rPr>
          <w:i/>
          <w:color w:val="231F20"/>
          <w:w w:val="105"/>
        </w:rPr>
        <w:t>kidneys, </w:t>
      </w:r>
      <w:r>
        <w:rPr>
          <w:color w:val="231F20"/>
          <w:w w:val="105"/>
        </w:rPr>
        <w:t>can </w:t>
      </w:r>
      <w:r>
        <w:rPr>
          <w:color w:val="231F20"/>
          <w:spacing w:val="-3"/>
          <w:w w:val="105"/>
        </w:rPr>
        <w:t>elimi- </w:t>
      </w:r>
      <w:r>
        <w:rPr>
          <w:color w:val="231F20"/>
          <w:w w:val="105"/>
        </w:rPr>
        <w:t>nate</w:t>
      </w:r>
      <w:r>
        <w:rPr>
          <w:color w:val="231F20"/>
          <w:spacing w:val="-10"/>
          <w:w w:val="105"/>
        </w:rPr>
        <w:t> </w:t>
      </w:r>
      <w:r>
        <w:rPr>
          <w:color w:val="231F20"/>
          <w:w w:val="105"/>
        </w:rPr>
        <w:t>the</w:t>
      </w:r>
      <w:r>
        <w:rPr>
          <w:color w:val="231F20"/>
          <w:spacing w:val="-9"/>
          <w:w w:val="105"/>
        </w:rPr>
        <w:t> </w:t>
      </w:r>
      <w:r>
        <w:rPr>
          <w:color w:val="231F20"/>
          <w:w w:val="105"/>
        </w:rPr>
        <w:t>excess</w:t>
      </w:r>
      <w:r>
        <w:rPr>
          <w:color w:val="231F20"/>
          <w:spacing w:val="-10"/>
          <w:w w:val="105"/>
        </w:rPr>
        <w:t> </w:t>
      </w:r>
      <w:r>
        <w:rPr>
          <w:color w:val="231F20"/>
          <w:w w:val="105"/>
        </w:rPr>
        <w:t>acid</w:t>
      </w:r>
      <w:r>
        <w:rPr>
          <w:color w:val="231F20"/>
          <w:spacing w:val="-9"/>
          <w:w w:val="105"/>
        </w:rPr>
        <w:t> </w:t>
      </w:r>
      <w:r>
        <w:rPr>
          <w:color w:val="231F20"/>
          <w:w w:val="105"/>
        </w:rPr>
        <w:t>or</w:t>
      </w:r>
      <w:r>
        <w:rPr>
          <w:color w:val="231F20"/>
          <w:spacing w:val="-10"/>
          <w:w w:val="105"/>
        </w:rPr>
        <w:t> </w:t>
      </w:r>
      <w:r>
        <w:rPr>
          <w:color w:val="231F20"/>
          <w:w w:val="105"/>
        </w:rPr>
        <w:t>base</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10"/>
          <w:w w:val="105"/>
        </w:rPr>
        <w:t> </w:t>
      </w:r>
      <w:r>
        <w:rPr>
          <w:color w:val="231F20"/>
          <w:w w:val="105"/>
        </w:rPr>
        <w:t>body.</w:t>
      </w:r>
      <w:r>
        <w:rPr>
          <w:color w:val="231F20"/>
          <w:spacing w:val="-9"/>
          <w:w w:val="105"/>
        </w:rPr>
        <w:t> </w:t>
      </w:r>
      <w:r>
        <w:rPr>
          <w:color w:val="231F20"/>
          <w:w w:val="105"/>
        </w:rPr>
        <w:t>Although</w:t>
      </w:r>
      <w:r>
        <w:rPr>
          <w:color w:val="231F20"/>
          <w:spacing w:val="-10"/>
          <w:w w:val="105"/>
        </w:rPr>
        <w:t> </w:t>
      </w:r>
      <w:r>
        <w:rPr>
          <w:color w:val="231F20"/>
          <w:w w:val="105"/>
        </w:rPr>
        <w:t>the kidneys</w:t>
      </w:r>
      <w:r>
        <w:rPr>
          <w:color w:val="231F20"/>
          <w:spacing w:val="-17"/>
          <w:w w:val="105"/>
        </w:rPr>
        <w:t> </w:t>
      </w:r>
      <w:r>
        <w:rPr>
          <w:color w:val="231F20"/>
          <w:w w:val="105"/>
        </w:rPr>
        <w:t>are</w:t>
      </w:r>
      <w:r>
        <w:rPr>
          <w:color w:val="231F20"/>
          <w:spacing w:val="-16"/>
          <w:w w:val="105"/>
        </w:rPr>
        <w:t> </w:t>
      </w:r>
      <w:r>
        <w:rPr>
          <w:color w:val="231F20"/>
          <w:w w:val="105"/>
        </w:rPr>
        <w:t>relatively</w:t>
      </w:r>
      <w:r>
        <w:rPr>
          <w:color w:val="231F20"/>
          <w:spacing w:val="-17"/>
          <w:w w:val="105"/>
        </w:rPr>
        <w:t> </w:t>
      </w:r>
      <w:r>
        <w:rPr>
          <w:color w:val="231F20"/>
          <w:w w:val="105"/>
        </w:rPr>
        <w:t>slow</w:t>
      </w:r>
      <w:r>
        <w:rPr>
          <w:color w:val="231F20"/>
          <w:spacing w:val="-16"/>
          <w:w w:val="105"/>
        </w:rPr>
        <w:t> </w:t>
      </w:r>
      <w:r>
        <w:rPr>
          <w:color w:val="231F20"/>
          <w:w w:val="105"/>
        </w:rPr>
        <w:t>to</w:t>
      </w:r>
      <w:r>
        <w:rPr>
          <w:color w:val="231F20"/>
          <w:spacing w:val="-17"/>
          <w:w w:val="105"/>
        </w:rPr>
        <w:t> </w:t>
      </w:r>
      <w:r>
        <w:rPr>
          <w:color w:val="231F20"/>
          <w:w w:val="105"/>
        </w:rPr>
        <w:t>respond</w:t>
      </w:r>
      <w:r>
        <w:rPr>
          <w:color w:val="231F20"/>
          <w:spacing w:val="-16"/>
          <w:w w:val="105"/>
        </w:rPr>
        <w:t> </w:t>
      </w:r>
      <w:r>
        <w:rPr>
          <w:color w:val="231F20"/>
          <w:w w:val="105"/>
        </w:rPr>
        <w:t>compared</w:t>
      </w:r>
      <w:r>
        <w:rPr>
          <w:color w:val="231F20"/>
          <w:spacing w:val="-17"/>
          <w:w w:val="105"/>
        </w:rPr>
        <w:t> </w:t>
      </w:r>
      <w:r>
        <w:rPr>
          <w:color w:val="231F20"/>
          <w:w w:val="105"/>
        </w:rPr>
        <w:t>with</w:t>
      </w:r>
      <w:r>
        <w:rPr>
          <w:color w:val="231F20"/>
          <w:spacing w:val="-16"/>
          <w:w w:val="105"/>
        </w:rPr>
        <w:t> </w:t>
      </w:r>
      <w:r>
        <w:rPr>
          <w:color w:val="231F20"/>
          <w:w w:val="105"/>
        </w:rPr>
        <w:t>the other</w:t>
      </w:r>
      <w:r>
        <w:rPr>
          <w:color w:val="231F20"/>
          <w:spacing w:val="-26"/>
          <w:w w:val="105"/>
        </w:rPr>
        <w:t> </w:t>
      </w:r>
      <w:r>
        <w:rPr>
          <w:color w:val="231F20"/>
          <w:w w:val="105"/>
        </w:rPr>
        <w:t>defenses,</w:t>
      </w:r>
      <w:r>
        <w:rPr>
          <w:color w:val="231F20"/>
          <w:spacing w:val="-25"/>
          <w:w w:val="105"/>
        </w:rPr>
        <w:t> </w:t>
      </w:r>
      <w:r>
        <w:rPr>
          <w:color w:val="231F20"/>
          <w:w w:val="105"/>
        </w:rPr>
        <w:t>over</w:t>
      </w:r>
      <w:r>
        <w:rPr>
          <w:color w:val="231F20"/>
          <w:spacing w:val="-25"/>
          <w:w w:val="105"/>
        </w:rPr>
        <w:t> </w:t>
      </w:r>
      <w:r>
        <w:rPr>
          <w:color w:val="231F20"/>
          <w:w w:val="105"/>
        </w:rPr>
        <w:t>a</w:t>
      </w:r>
      <w:r>
        <w:rPr>
          <w:color w:val="231F20"/>
          <w:spacing w:val="-26"/>
          <w:w w:val="105"/>
        </w:rPr>
        <w:t> </w:t>
      </w:r>
      <w:r>
        <w:rPr>
          <w:color w:val="231F20"/>
          <w:w w:val="105"/>
        </w:rPr>
        <w:t>period</w:t>
      </w:r>
      <w:r>
        <w:rPr>
          <w:color w:val="231F20"/>
          <w:spacing w:val="-25"/>
          <w:w w:val="105"/>
        </w:rPr>
        <w:t> </w:t>
      </w:r>
      <w:r>
        <w:rPr>
          <w:color w:val="231F20"/>
          <w:w w:val="105"/>
        </w:rPr>
        <w:t>of</w:t>
      </w:r>
      <w:r>
        <w:rPr>
          <w:color w:val="231F20"/>
          <w:spacing w:val="-25"/>
          <w:w w:val="105"/>
        </w:rPr>
        <w:t> </w:t>
      </w:r>
      <w:r>
        <w:rPr>
          <w:color w:val="231F20"/>
          <w:w w:val="105"/>
        </w:rPr>
        <w:t>hours</w:t>
      </w:r>
      <w:r>
        <w:rPr>
          <w:color w:val="231F20"/>
          <w:spacing w:val="-25"/>
          <w:w w:val="105"/>
        </w:rPr>
        <w:t> </w:t>
      </w:r>
      <w:r>
        <w:rPr>
          <w:color w:val="231F20"/>
          <w:w w:val="105"/>
        </w:rPr>
        <w:t>to</w:t>
      </w:r>
      <w:r>
        <w:rPr>
          <w:color w:val="231F20"/>
          <w:spacing w:val="-26"/>
          <w:w w:val="105"/>
        </w:rPr>
        <w:t> </w:t>
      </w:r>
      <w:r>
        <w:rPr>
          <w:color w:val="231F20"/>
          <w:w w:val="105"/>
        </w:rPr>
        <w:t>several</w:t>
      </w:r>
      <w:r>
        <w:rPr>
          <w:color w:val="231F20"/>
          <w:spacing w:val="-25"/>
          <w:w w:val="105"/>
        </w:rPr>
        <w:t> </w:t>
      </w:r>
      <w:r>
        <w:rPr>
          <w:color w:val="231F20"/>
          <w:w w:val="105"/>
        </w:rPr>
        <w:t>days,</w:t>
      </w:r>
      <w:r>
        <w:rPr>
          <w:color w:val="231F20"/>
          <w:spacing w:val="-25"/>
          <w:w w:val="105"/>
        </w:rPr>
        <w:t> </w:t>
      </w:r>
      <w:r>
        <w:rPr>
          <w:color w:val="231F20"/>
          <w:spacing w:val="-3"/>
          <w:w w:val="105"/>
        </w:rPr>
        <w:t>they </w:t>
      </w:r>
      <w:r>
        <w:rPr>
          <w:color w:val="231F20"/>
          <w:w w:val="105"/>
        </w:rPr>
        <w:t>are by far the most powerful of the acid-base</w:t>
      </w:r>
      <w:r>
        <w:rPr>
          <w:color w:val="231F20"/>
          <w:spacing w:val="-11"/>
          <w:w w:val="105"/>
        </w:rPr>
        <w:t> </w:t>
      </w:r>
      <w:r>
        <w:rPr>
          <w:color w:val="231F20"/>
          <w:w w:val="105"/>
        </w:rPr>
        <w:t>regulatory systems.</w:t>
      </w:r>
    </w:p>
    <w:p>
      <w:pPr>
        <w:pStyle w:val="BodyText"/>
        <w:spacing w:before="6"/>
        <w:rPr>
          <w:sz w:val="24"/>
        </w:rPr>
      </w:pPr>
      <w:r>
        <w:rPr/>
        <w:pict>
          <v:shape style="position:absolute;margin-left:306pt;margin-top:15.33125pt;width:234pt;height:28pt;mso-position-horizontal-relative:page;mso-position-vertical-relative:paragraph;z-index:-250585088;mso-wrap-distance-left:0;mso-wrap-distance-right:0" type="#_x0000_t202" filled="true" fillcolor="#e8dac8" stroked="false">
            <v:textbox inset="0,0,0,0">
              <w:txbxContent>
                <w:p>
                  <w:pPr>
                    <w:spacing w:line="225" w:lineRule="auto" w:before="43"/>
                    <w:ind w:left="59" w:right="2055" w:firstLine="0"/>
                    <w:jc w:val="left"/>
                    <w:rPr>
                      <w:rFonts w:ascii="Trebuchet MS"/>
                      <w:b/>
                      <w:sz w:val="22"/>
                    </w:rPr>
                  </w:pPr>
                  <w:r>
                    <w:rPr>
                      <w:rFonts w:ascii="Trebuchet MS"/>
                      <w:b/>
                      <w:color w:val="231F20"/>
                      <w:w w:val="110"/>
                      <w:sz w:val="22"/>
                    </w:rPr>
                    <w:t>BUFFERING OF H</w:t>
                  </w:r>
                  <w:r>
                    <w:rPr>
                      <w:rFonts w:ascii="Consolas"/>
                      <w:b/>
                      <w:color w:val="231F20"/>
                      <w:w w:val="110"/>
                      <w:position w:val="9"/>
                      <w:sz w:val="13"/>
                    </w:rPr>
                    <w:t>+ </w:t>
                  </w:r>
                  <w:r>
                    <w:rPr>
                      <w:rFonts w:ascii="Trebuchet MS"/>
                      <w:b/>
                      <w:color w:val="231F20"/>
                      <w:w w:val="110"/>
                      <w:sz w:val="22"/>
                    </w:rPr>
                    <w:t>IN THE BODY FLUIDS</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4"/>
        <w:ind w:left="319" w:right="1437" w:hanging="1"/>
        <w:jc w:val="both"/>
      </w:pPr>
      <w:r>
        <w:rPr>
          <w:color w:val="231F20"/>
        </w:rPr>
        <w:t>A buffer is any substance that can reversibly bind H</w:t>
      </w:r>
      <w:r>
        <w:rPr>
          <w:rFonts w:ascii="Consolas"/>
          <w:color w:val="231F20"/>
          <w:position w:val="8"/>
          <w:sz w:val="12"/>
        </w:rPr>
        <w:t>+</w:t>
      </w:r>
      <w:r>
        <w:rPr>
          <w:color w:val="231F20"/>
        </w:rPr>
        <w:t>. The general form of the buffering reaction is</w:t>
      </w:r>
    </w:p>
    <w:p>
      <w:pPr>
        <w:spacing w:before="97"/>
        <w:ind w:left="1602" w:right="0" w:firstLine="0"/>
        <w:jc w:val="left"/>
        <w:rPr>
          <w:rFonts w:ascii="Trebuchet MS" w:hAnsi="Trebuchet MS"/>
          <w:sz w:val="18"/>
        </w:rPr>
      </w:pPr>
      <w:r>
        <w:rPr>
          <w:rFonts w:ascii="Trebuchet MS" w:hAnsi="Trebuchet MS"/>
          <w:spacing w:val="-1"/>
          <w:w w:val="107"/>
          <w:sz w:val="18"/>
        </w:rPr>
        <w:t>B</w:t>
      </w:r>
      <w:r>
        <w:rPr>
          <w:rFonts w:ascii="Trebuchet MS" w:hAnsi="Trebuchet MS"/>
          <w:spacing w:val="-1"/>
          <w:w w:val="111"/>
          <w:sz w:val="18"/>
        </w:rPr>
        <w:t>u</w:t>
      </w:r>
      <w:r>
        <w:rPr>
          <w:rFonts w:ascii="Trebuchet MS" w:hAnsi="Trebuchet MS"/>
          <w:spacing w:val="-1"/>
          <w:w w:val="105"/>
          <w:sz w:val="18"/>
        </w:rPr>
        <w:t>ff</w:t>
      </w:r>
      <w:r>
        <w:rPr>
          <w:rFonts w:ascii="Trebuchet MS" w:hAnsi="Trebuchet MS"/>
          <w:w w:val="101"/>
          <w:sz w:val="18"/>
        </w:rPr>
        <w:t>e</w:t>
      </w:r>
      <w:r>
        <w:rPr>
          <w:rFonts w:ascii="Trebuchet MS" w:hAnsi="Trebuchet MS"/>
          <w:w w:val="100"/>
          <w:sz w:val="18"/>
        </w:rPr>
        <w:t>r</w:t>
      </w:r>
      <w:r>
        <w:rPr>
          <w:rFonts w:ascii="Trebuchet MS" w:hAnsi="Trebuchet MS"/>
          <w:spacing w:val="-15"/>
          <w:sz w:val="18"/>
        </w:rPr>
        <w:t> </w:t>
      </w:r>
      <w:r>
        <w:rPr>
          <w:rFonts w:ascii="Symbol" w:hAnsi="Symbol"/>
          <w:w w:val="100"/>
          <w:sz w:val="18"/>
        </w:rPr>
        <w:t></w:t>
      </w:r>
      <w:r>
        <w:rPr>
          <w:spacing w:val="-18"/>
          <w:sz w:val="18"/>
        </w:rPr>
        <w:t> </w:t>
      </w:r>
      <w:r>
        <w:rPr>
          <w:rFonts w:ascii="Trebuchet MS" w:hAnsi="Trebuchet MS"/>
          <w:spacing w:val="-5"/>
          <w:w w:val="110"/>
          <w:sz w:val="18"/>
        </w:rPr>
        <w:t>H</w:t>
      </w:r>
      <w:r>
        <w:rPr>
          <w:rFonts w:ascii="Symbol" w:hAnsi="Symbol"/>
          <w:w w:val="107"/>
          <w:position w:val="7"/>
          <w:sz w:val="10"/>
        </w:rPr>
        <w:t></w:t>
      </w:r>
      <w:r>
        <w:rPr>
          <w:position w:val="7"/>
          <w:sz w:val="10"/>
        </w:rPr>
        <w:t> </w:t>
      </w:r>
      <w:r>
        <w:rPr>
          <w:spacing w:val="-7"/>
          <w:position w:val="7"/>
          <w:sz w:val="10"/>
        </w:rPr>
        <w:t> </w:t>
      </w:r>
      <w:r>
        <w:rPr>
          <w:rFonts w:ascii="Symbol" w:hAnsi="Symbol"/>
          <w:spacing w:val="-161"/>
          <w:w w:val="100"/>
          <w:position w:val="-2"/>
          <w:sz w:val="18"/>
        </w:rPr>
        <w:t></w:t>
      </w:r>
      <w:r>
        <w:rPr>
          <w:rFonts w:ascii="Symbol" w:hAnsi="Symbol"/>
          <w:spacing w:val="-37"/>
          <w:position w:val="4"/>
          <w:sz w:val="18"/>
        </w:rPr>
        <w:t></w:t>
      </w:r>
      <w:r>
        <w:rPr>
          <w:rFonts w:ascii="Symbol" w:hAnsi="Symbol"/>
          <w:spacing w:val="-144"/>
          <w:position w:val="-2"/>
          <w:sz w:val="18"/>
        </w:rPr>
        <w:t></w:t>
      </w:r>
      <w:r>
        <w:rPr>
          <w:rFonts w:ascii="Symbol" w:hAnsi="Symbol"/>
          <w:spacing w:val="-112"/>
          <w:position w:val="4"/>
          <w:sz w:val="18"/>
        </w:rPr>
        <w:t></w:t>
      </w:r>
      <w:r>
        <w:rPr>
          <w:rFonts w:ascii="Symbol" w:hAnsi="Symbol"/>
          <w:spacing w:val="-164"/>
          <w:position w:val="-2"/>
          <w:sz w:val="18"/>
        </w:rPr>
        <w:t></w:t>
      </w:r>
      <w:r>
        <w:rPr>
          <w:rFonts w:ascii="Symbol" w:hAnsi="Symbol"/>
          <w:w w:val="100"/>
          <w:position w:val="4"/>
          <w:sz w:val="18"/>
        </w:rPr>
        <w:t></w:t>
      </w:r>
      <w:r>
        <w:rPr>
          <w:spacing w:val="-13"/>
          <w:position w:val="4"/>
          <w:sz w:val="18"/>
        </w:rPr>
        <w:t> </w:t>
      </w:r>
      <w:r>
        <w:rPr>
          <w:rFonts w:ascii="Trebuchet MS" w:hAnsi="Trebuchet MS"/>
          <w:spacing w:val="21"/>
          <w:w w:val="110"/>
          <w:sz w:val="18"/>
        </w:rPr>
        <w:t>H</w:t>
      </w:r>
      <w:r>
        <w:rPr>
          <w:rFonts w:ascii="Trebuchet MS" w:hAnsi="Trebuchet MS"/>
          <w:spacing w:val="-1"/>
          <w:w w:val="107"/>
          <w:sz w:val="18"/>
        </w:rPr>
        <w:t>B</w:t>
      </w:r>
      <w:r>
        <w:rPr>
          <w:rFonts w:ascii="Trebuchet MS" w:hAnsi="Trebuchet MS"/>
          <w:spacing w:val="-1"/>
          <w:w w:val="111"/>
          <w:sz w:val="18"/>
        </w:rPr>
        <w:t>u</w:t>
      </w:r>
      <w:r>
        <w:rPr>
          <w:rFonts w:ascii="Trebuchet MS" w:hAnsi="Trebuchet MS"/>
          <w:spacing w:val="-1"/>
          <w:w w:val="105"/>
          <w:sz w:val="18"/>
        </w:rPr>
        <w:t>ff</w:t>
      </w:r>
      <w:r>
        <w:rPr>
          <w:rFonts w:ascii="Trebuchet MS" w:hAnsi="Trebuchet MS"/>
          <w:w w:val="101"/>
          <w:sz w:val="18"/>
        </w:rPr>
        <w:t>e</w:t>
      </w:r>
      <w:r>
        <w:rPr>
          <w:rFonts w:ascii="Trebuchet MS" w:hAnsi="Trebuchet MS"/>
          <w:w w:val="100"/>
          <w:sz w:val="18"/>
        </w:rPr>
        <w:t>r</w:t>
      </w:r>
    </w:p>
    <w:p>
      <w:pPr>
        <w:pStyle w:val="BodyText"/>
        <w:spacing w:line="247" w:lineRule="auto" w:before="91"/>
        <w:ind w:left="319" w:right="1437"/>
        <w:jc w:val="both"/>
      </w:pPr>
      <w:r>
        <w:rPr>
          <w:color w:val="231F20"/>
          <w:w w:val="105"/>
        </w:rPr>
        <w:t>In this example, a free H</w:t>
      </w:r>
      <w:r>
        <w:rPr>
          <w:rFonts w:ascii="Consolas"/>
          <w:color w:val="231F20"/>
          <w:w w:val="105"/>
          <w:position w:val="8"/>
          <w:sz w:val="12"/>
        </w:rPr>
        <w:t>+ </w:t>
      </w:r>
      <w:r>
        <w:rPr>
          <w:color w:val="231F20"/>
          <w:w w:val="105"/>
        </w:rPr>
        <w:t>combines with the buffer to form a weak acid (H buffer) that can either remain as an</w:t>
      </w:r>
      <w:r>
        <w:rPr>
          <w:color w:val="231F20"/>
          <w:spacing w:val="-15"/>
          <w:w w:val="105"/>
        </w:rPr>
        <w:t> </w:t>
      </w:r>
      <w:r>
        <w:rPr>
          <w:color w:val="231F20"/>
          <w:w w:val="105"/>
        </w:rPr>
        <w:t>unassociated</w:t>
      </w:r>
      <w:r>
        <w:rPr>
          <w:color w:val="231F20"/>
          <w:spacing w:val="-15"/>
          <w:w w:val="105"/>
        </w:rPr>
        <w:t> </w:t>
      </w:r>
      <w:r>
        <w:rPr>
          <w:color w:val="231F20"/>
          <w:w w:val="105"/>
        </w:rPr>
        <w:t>molecule</w:t>
      </w:r>
      <w:r>
        <w:rPr>
          <w:color w:val="231F20"/>
          <w:spacing w:val="-15"/>
          <w:w w:val="105"/>
        </w:rPr>
        <w:t> </w:t>
      </w:r>
      <w:r>
        <w:rPr>
          <w:color w:val="231F20"/>
          <w:w w:val="105"/>
        </w:rPr>
        <w:t>or</w:t>
      </w:r>
      <w:r>
        <w:rPr>
          <w:color w:val="231F20"/>
          <w:spacing w:val="-15"/>
          <w:w w:val="105"/>
        </w:rPr>
        <w:t> </w:t>
      </w:r>
      <w:r>
        <w:rPr>
          <w:color w:val="231F20"/>
          <w:w w:val="105"/>
        </w:rPr>
        <w:t>dissociate</w:t>
      </w:r>
      <w:r>
        <w:rPr>
          <w:color w:val="231F20"/>
          <w:spacing w:val="-14"/>
          <w:w w:val="105"/>
        </w:rPr>
        <w:t> </w:t>
      </w:r>
      <w:r>
        <w:rPr>
          <w:color w:val="231F20"/>
          <w:w w:val="105"/>
        </w:rPr>
        <w:t>back</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buffer and </w:t>
      </w:r>
      <w:r>
        <w:rPr>
          <w:color w:val="231F20"/>
          <w:spacing w:val="-8"/>
          <w:w w:val="105"/>
        </w:rPr>
        <w:t>H</w:t>
      </w:r>
      <w:r>
        <w:rPr>
          <w:rFonts w:ascii="Consolas"/>
          <w:color w:val="231F20"/>
          <w:spacing w:val="-8"/>
          <w:w w:val="105"/>
          <w:position w:val="8"/>
          <w:sz w:val="12"/>
        </w:rPr>
        <w:t>+</w:t>
      </w:r>
      <w:r>
        <w:rPr>
          <w:color w:val="231F20"/>
          <w:spacing w:val="-8"/>
          <w:w w:val="105"/>
        </w:rPr>
        <w:t>. </w:t>
      </w:r>
      <w:r>
        <w:rPr>
          <w:color w:val="231F20"/>
          <w:w w:val="105"/>
        </w:rPr>
        <w:t>When the H</w:t>
      </w:r>
      <w:r>
        <w:rPr>
          <w:rFonts w:ascii="Consolas"/>
          <w:color w:val="231F20"/>
          <w:w w:val="105"/>
          <w:position w:val="8"/>
          <w:sz w:val="12"/>
        </w:rPr>
        <w:t>+ </w:t>
      </w:r>
      <w:r>
        <w:rPr>
          <w:color w:val="231F20"/>
          <w:w w:val="105"/>
        </w:rPr>
        <w:t>concentration increases, the reac- tion</w:t>
      </w:r>
      <w:r>
        <w:rPr>
          <w:color w:val="231F20"/>
          <w:spacing w:val="-13"/>
          <w:w w:val="105"/>
        </w:rPr>
        <w:t> </w:t>
      </w:r>
      <w:r>
        <w:rPr>
          <w:color w:val="231F20"/>
          <w:w w:val="105"/>
        </w:rPr>
        <w:t>is</w:t>
      </w:r>
      <w:r>
        <w:rPr>
          <w:color w:val="231F20"/>
          <w:spacing w:val="-13"/>
          <w:w w:val="105"/>
        </w:rPr>
        <w:t> </w:t>
      </w:r>
      <w:r>
        <w:rPr>
          <w:color w:val="231F20"/>
          <w:w w:val="105"/>
        </w:rPr>
        <w:t>forced</w:t>
      </w:r>
      <w:r>
        <w:rPr>
          <w:color w:val="231F20"/>
          <w:spacing w:val="-13"/>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right</w:t>
      </w:r>
      <w:r>
        <w:rPr>
          <w:color w:val="231F20"/>
          <w:spacing w:val="-13"/>
          <w:w w:val="105"/>
        </w:rPr>
        <w:t> </w:t>
      </w:r>
      <w:r>
        <w:rPr>
          <w:color w:val="231F20"/>
          <w:w w:val="105"/>
        </w:rPr>
        <w:t>and</w:t>
      </w:r>
      <w:r>
        <w:rPr>
          <w:color w:val="231F20"/>
          <w:spacing w:val="-13"/>
          <w:w w:val="105"/>
        </w:rPr>
        <w:t> </w:t>
      </w:r>
      <w:r>
        <w:rPr>
          <w:color w:val="231F20"/>
          <w:w w:val="105"/>
        </w:rPr>
        <w:t>more</w:t>
      </w:r>
      <w:r>
        <w:rPr>
          <w:color w:val="231F20"/>
          <w:spacing w:val="-13"/>
          <w:w w:val="105"/>
        </w:rPr>
        <w:t> </w:t>
      </w:r>
      <w:r>
        <w:rPr>
          <w:color w:val="231F20"/>
          <w:w w:val="105"/>
        </w:rPr>
        <w:t>H</w:t>
      </w:r>
      <w:r>
        <w:rPr>
          <w:rFonts w:ascii="Consolas"/>
          <w:color w:val="231F20"/>
          <w:w w:val="105"/>
          <w:position w:val="8"/>
          <w:sz w:val="12"/>
        </w:rPr>
        <w:t>+</w:t>
      </w:r>
      <w:r>
        <w:rPr>
          <w:rFonts w:ascii="Consolas"/>
          <w:color w:val="231F20"/>
          <w:spacing w:val="-30"/>
          <w:w w:val="105"/>
          <w:position w:val="8"/>
          <w:sz w:val="12"/>
        </w:rPr>
        <w:t> </w:t>
      </w:r>
      <w:r>
        <w:rPr>
          <w:color w:val="231F20"/>
          <w:w w:val="105"/>
        </w:rPr>
        <w:t>binds</w:t>
      </w:r>
      <w:r>
        <w:rPr>
          <w:color w:val="231F20"/>
          <w:spacing w:val="-13"/>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spacing w:val="-3"/>
          <w:w w:val="105"/>
        </w:rPr>
        <w:t>buffer, </w:t>
      </w:r>
      <w:r>
        <w:rPr>
          <w:color w:val="231F20"/>
          <w:w w:val="105"/>
        </w:rPr>
        <w:t>as long as buffer is available. Conversely, when the H</w:t>
      </w:r>
      <w:r>
        <w:rPr>
          <w:rFonts w:ascii="Consolas"/>
          <w:color w:val="231F20"/>
          <w:w w:val="105"/>
          <w:position w:val="8"/>
          <w:sz w:val="12"/>
        </w:rPr>
        <w:t>+ </w:t>
      </w:r>
      <w:r>
        <w:rPr>
          <w:color w:val="231F20"/>
          <w:w w:val="105"/>
        </w:rPr>
        <w:t>concentration decreases, the reaction shifts toward the left</w:t>
      </w:r>
      <w:r>
        <w:rPr>
          <w:color w:val="231F20"/>
          <w:spacing w:val="-27"/>
          <w:w w:val="105"/>
        </w:rPr>
        <w:t> </w:t>
      </w:r>
      <w:r>
        <w:rPr>
          <w:color w:val="231F20"/>
          <w:w w:val="105"/>
        </w:rPr>
        <w:t>and</w:t>
      </w:r>
      <w:r>
        <w:rPr>
          <w:color w:val="231F20"/>
          <w:spacing w:val="-26"/>
          <w:w w:val="105"/>
        </w:rPr>
        <w:t> </w:t>
      </w:r>
      <w:r>
        <w:rPr>
          <w:color w:val="231F20"/>
          <w:w w:val="105"/>
        </w:rPr>
        <w:t>H</w:t>
      </w:r>
      <w:r>
        <w:rPr>
          <w:rFonts w:ascii="Consolas"/>
          <w:color w:val="231F20"/>
          <w:w w:val="105"/>
          <w:position w:val="8"/>
          <w:sz w:val="12"/>
        </w:rPr>
        <w:t>+</w:t>
      </w:r>
      <w:r>
        <w:rPr>
          <w:rFonts w:ascii="Consolas"/>
          <w:color w:val="231F20"/>
          <w:spacing w:val="-43"/>
          <w:w w:val="105"/>
          <w:position w:val="8"/>
          <w:sz w:val="12"/>
        </w:rPr>
        <w:t> </w:t>
      </w:r>
      <w:r>
        <w:rPr>
          <w:color w:val="231F20"/>
          <w:w w:val="105"/>
        </w:rPr>
        <w:t>is</w:t>
      </w:r>
      <w:r>
        <w:rPr>
          <w:color w:val="231F20"/>
          <w:spacing w:val="-27"/>
          <w:w w:val="105"/>
        </w:rPr>
        <w:t> </w:t>
      </w:r>
      <w:r>
        <w:rPr>
          <w:color w:val="231F20"/>
          <w:w w:val="105"/>
        </w:rPr>
        <w:t>released</w:t>
      </w:r>
      <w:r>
        <w:rPr>
          <w:color w:val="231F20"/>
          <w:spacing w:val="-26"/>
          <w:w w:val="105"/>
        </w:rPr>
        <w:t> </w:t>
      </w:r>
      <w:r>
        <w:rPr>
          <w:color w:val="231F20"/>
          <w:w w:val="105"/>
        </w:rPr>
        <w:t>from</w:t>
      </w:r>
      <w:r>
        <w:rPr>
          <w:color w:val="231F20"/>
          <w:spacing w:val="-26"/>
          <w:w w:val="105"/>
        </w:rPr>
        <w:t> </w:t>
      </w:r>
      <w:r>
        <w:rPr>
          <w:color w:val="231F20"/>
          <w:w w:val="105"/>
        </w:rPr>
        <w:t>the</w:t>
      </w:r>
      <w:r>
        <w:rPr>
          <w:color w:val="231F20"/>
          <w:spacing w:val="-27"/>
          <w:w w:val="105"/>
        </w:rPr>
        <w:t> </w:t>
      </w:r>
      <w:r>
        <w:rPr>
          <w:color w:val="231F20"/>
          <w:spacing w:val="-3"/>
          <w:w w:val="105"/>
        </w:rPr>
        <w:t>buffer.</w:t>
      </w:r>
      <w:r>
        <w:rPr>
          <w:color w:val="231F20"/>
          <w:spacing w:val="-26"/>
          <w:w w:val="105"/>
        </w:rPr>
        <w:t> </w:t>
      </w:r>
      <w:r>
        <w:rPr>
          <w:color w:val="231F20"/>
          <w:w w:val="105"/>
        </w:rPr>
        <w:t>In</w:t>
      </w:r>
      <w:r>
        <w:rPr>
          <w:color w:val="231F20"/>
          <w:spacing w:val="-26"/>
          <w:w w:val="105"/>
        </w:rPr>
        <w:t> </w:t>
      </w:r>
      <w:r>
        <w:rPr>
          <w:color w:val="231F20"/>
          <w:w w:val="105"/>
        </w:rPr>
        <w:t>this</w:t>
      </w:r>
      <w:r>
        <w:rPr>
          <w:color w:val="231F20"/>
          <w:spacing w:val="-27"/>
          <w:w w:val="105"/>
        </w:rPr>
        <w:t> </w:t>
      </w:r>
      <w:r>
        <w:rPr>
          <w:color w:val="231F20"/>
          <w:spacing w:val="-3"/>
          <w:w w:val="105"/>
        </w:rPr>
        <w:t>way,</w:t>
      </w:r>
      <w:r>
        <w:rPr>
          <w:color w:val="231F20"/>
          <w:spacing w:val="-26"/>
          <w:w w:val="105"/>
        </w:rPr>
        <w:t> </w:t>
      </w:r>
      <w:r>
        <w:rPr>
          <w:color w:val="231F20"/>
          <w:w w:val="105"/>
        </w:rPr>
        <w:t>changes in H</w:t>
      </w:r>
      <w:r>
        <w:rPr>
          <w:rFonts w:ascii="Consolas"/>
          <w:color w:val="231F20"/>
          <w:w w:val="105"/>
          <w:position w:val="8"/>
          <w:sz w:val="12"/>
        </w:rPr>
        <w:t>+ </w:t>
      </w:r>
      <w:r>
        <w:rPr>
          <w:color w:val="231F20"/>
          <w:w w:val="105"/>
        </w:rPr>
        <w:t>concentration are</w:t>
      </w:r>
      <w:r>
        <w:rPr>
          <w:color w:val="231F20"/>
          <w:spacing w:val="-7"/>
          <w:w w:val="105"/>
        </w:rPr>
        <w:t> </w:t>
      </w:r>
      <w:r>
        <w:rPr>
          <w:color w:val="231F20"/>
          <w:w w:val="105"/>
        </w:rPr>
        <w:t>minimized.</w:t>
      </w:r>
    </w:p>
    <w:p>
      <w:pPr>
        <w:pStyle w:val="BodyText"/>
        <w:spacing w:line="247" w:lineRule="auto" w:before="9"/>
        <w:ind w:left="319" w:right="1439" w:firstLine="240"/>
        <w:jc w:val="both"/>
      </w:pPr>
      <w:r>
        <w:rPr>
          <w:color w:val="231F20"/>
          <w:w w:val="105"/>
        </w:rPr>
        <w:t>The</w:t>
      </w:r>
      <w:r>
        <w:rPr>
          <w:color w:val="231F20"/>
          <w:spacing w:val="-29"/>
          <w:w w:val="105"/>
        </w:rPr>
        <w:t> </w:t>
      </w:r>
      <w:r>
        <w:rPr>
          <w:color w:val="231F20"/>
          <w:w w:val="105"/>
        </w:rPr>
        <w:t>importance</w:t>
      </w:r>
      <w:r>
        <w:rPr>
          <w:color w:val="231F20"/>
          <w:spacing w:val="-28"/>
          <w:w w:val="105"/>
        </w:rPr>
        <w:t> </w:t>
      </w:r>
      <w:r>
        <w:rPr>
          <w:color w:val="231F20"/>
          <w:w w:val="105"/>
        </w:rPr>
        <w:t>of</w:t>
      </w:r>
      <w:r>
        <w:rPr>
          <w:color w:val="231F20"/>
          <w:spacing w:val="-29"/>
          <w:w w:val="105"/>
        </w:rPr>
        <w:t> </w:t>
      </w:r>
      <w:r>
        <w:rPr>
          <w:color w:val="231F20"/>
          <w:w w:val="105"/>
        </w:rPr>
        <w:t>the</w:t>
      </w:r>
      <w:r>
        <w:rPr>
          <w:color w:val="231F20"/>
          <w:spacing w:val="-28"/>
          <w:w w:val="105"/>
        </w:rPr>
        <w:t> </w:t>
      </w:r>
      <w:r>
        <w:rPr>
          <w:color w:val="231F20"/>
          <w:w w:val="105"/>
        </w:rPr>
        <w:t>body</w:t>
      </w:r>
      <w:r>
        <w:rPr>
          <w:color w:val="231F20"/>
          <w:spacing w:val="-29"/>
          <w:w w:val="105"/>
        </w:rPr>
        <w:t> </w:t>
      </w:r>
      <w:r>
        <w:rPr>
          <w:color w:val="231F20"/>
          <w:w w:val="105"/>
        </w:rPr>
        <w:t>fluid</w:t>
      </w:r>
      <w:r>
        <w:rPr>
          <w:color w:val="231F20"/>
          <w:spacing w:val="-28"/>
          <w:w w:val="105"/>
        </w:rPr>
        <w:t> </w:t>
      </w:r>
      <w:r>
        <w:rPr>
          <w:color w:val="231F20"/>
          <w:w w:val="105"/>
        </w:rPr>
        <w:t>buffers</w:t>
      </w:r>
      <w:r>
        <w:rPr>
          <w:color w:val="231F20"/>
          <w:spacing w:val="-29"/>
          <w:w w:val="105"/>
        </w:rPr>
        <w:t> </w:t>
      </w:r>
      <w:r>
        <w:rPr>
          <w:color w:val="231F20"/>
          <w:w w:val="105"/>
        </w:rPr>
        <w:t>can</w:t>
      </w:r>
      <w:r>
        <w:rPr>
          <w:color w:val="231F20"/>
          <w:spacing w:val="-28"/>
          <w:w w:val="105"/>
        </w:rPr>
        <w:t> </w:t>
      </w:r>
      <w:r>
        <w:rPr>
          <w:color w:val="231F20"/>
          <w:w w:val="105"/>
        </w:rPr>
        <w:t>be</w:t>
      </w:r>
      <w:r>
        <w:rPr>
          <w:color w:val="231F20"/>
          <w:spacing w:val="-29"/>
          <w:w w:val="105"/>
        </w:rPr>
        <w:t> </w:t>
      </w:r>
      <w:r>
        <w:rPr>
          <w:color w:val="231F20"/>
          <w:spacing w:val="-3"/>
          <w:w w:val="105"/>
        </w:rPr>
        <w:t>quickly </w:t>
      </w:r>
      <w:r>
        <w:rPr>
          <w:color w:val="231F20"/>
          <w:w w:val="105"/>
        </w:rPr>
        <w:t>realized if one considers the low concentration of H</w:t>
      </w:r>
      <w:r>
        <w:rPr>
          <w:rFonts w:ascii="Consolas"/>
          <w:color w:val="231F20"/>
          <w:w w:val="105"/>
          <w:position w:val="8"/>
          <w:sz w:val="12"/>
        </w:rPr>
        <w:t>+</w:t>
      </w:r>
      <w:r>
        <w:rPr>
          <w:rFonts w:ascii="Consolas"/>
          <w:color w:val="231F20"/>
          <w:spacing w:val="19"/>
          <w:w w:val="105"/>
          <w:position w:val="8"/>
          <w:sz w:val="12"/>
        </w:rPr>
        <w:t> </w:t>
      </w:r>
      <w:r>
        <w:rPr>
          <w:color w:val="231F20"/>
          <w:w w:val="105"/>
        </w:rPr>
        <w:t>in</w:t>
      </w:r>
    </w:p>
    <w:p>
      <w:pPr>
        <w:spacing w:after="0" w:line="247"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936"/>
          <w:pgSz w:w="12240" w:h="15660"/>
          <w:pgMar w:header="0" w:footer="567" w:top="0" w:bottom="760" w:left="0" w:right="0"/>
        </w:sectPr>
      </w:pPr>
    </w:p>
    <w:p>
      <w:pPr>
        <w:pStyle w:val="BodyText"/>
        <w:spacing w:line="249" w:lineRule="auto" w:before="100"/>
        <w:ind w:left="1439"/>
        <w:jc w:val="both"/>
      </w:pPr>
      <w:r>
        <w:rPr>
          <w:color w:val="231F20"/>
        </w:rPr>
        <w:t>the body fluids and the relatively large amounts of acids produced by the  body  each  </w:t>
      </w:r>
      <w:r>
        <w:rPr>
          <w:color w:val="231F20"/>
          <w:spacing w:val="-4"/>
        </w:rPr>
        <w:t>day.  </w:t>
      </w:r>
      <w:r>
        <w:rPr>
          <w:color w:val="231F20"/>
          <w:spacing w:val="-3"/>
        </w:rPr>
        <w:t>For  </w:t>
      </w:r>
      <w:r>
        <w:rPr>
          <w:color w:val="231F20"/>
        </w:rPr>
        <w:t>example,  about  80 milliequivalents of H</w:t>
      </w:r>
      <w:r>
        <w:rPr>
          <w:rFonts w:ascii="Consolas"/>
          <w:color w:val="231F20"/>
          <w:position w:val="8"/>
          <w:sz w:val="12"/>
        </w:rPr>
        <w:t>+ </w:t>
      </w:r>
      <w:r>
        <w:rPr>
          <w:color w:val="231F20"/>
        </w:rPr>
        <w:t>is either ingested or </w:t>
      </w:r>
      <w:r>
        <w:rPr>
          <w:color w:val="231F20"/>
          <w:spacing w:val="-3"/>
        </w:rPr>
        <w:t>produced </w:t>
      </w:r>
      <w:r>
        <w:rPr>
          <w:color w:val="231F20"/>
        </w:rPr>
        <w:t>each day by metabolism, whereas the H</w:t>
      </w:r>
      <w:r>
        <w:rPr>
          <w:rFonts w:ascii="Consolas"/>
          <w:color w:val="231F20"/>
          <w:position w:val="8"/>
          <w:sz w:val="12"/>
        </w:rPr>
        <w:t>+ </w:t>
      </w:r>
      <w:r>
        <w:rPr>
          <w:color w:val="231F20"/>
        </w:rPr>
        <w:t>concentration of the body fluids normally is only about 0.00004 </w:t>
      </w:r>
      <w:r>
        <w:rPr>
          <w:color w:val="231F20"/>
          <w:spacing w:val="-3"/>
        </w:rPr>
        <w:t>mEq/L. </w:t>
      </w:r>
      <w:r>
        <w:rPr>
          <w:color w:val="231F20"/>
        </w:rPr>
        <w:t>Without buffering, the daily  production  and  ingestion  of acids would cause lethal changes in body fluid </w:t>
      </w:r>
      <w:r>
        <w:rPr>
          <w:color w:val="231F20"/>
          <w:spacing w:val="-6"/>
        </w:rPr>
        <w:t>H</w:t>
      </w:r>
      <w:r>
        <w:rPr>
          <w:rFonts w:ascii="Consolas"/>
          <w:color w:val="231F20"/>
          <w:spacing w:val="-6"/>
          <w:position w:val="8"/>
          <w:sz w:val="12"/>
        </w:rPr>
        <w:t>+ </w:t>
      </w:r>
      <w:r>
        <w:rPr>
          <w:color w:val="231F20"/>
        </w:rPr>
        <w:t>concentration.</w:t>
      </w:r>
    </w:p>
    <w:p>
      <w:pPr>
        <w:pStyle w:val="BodyText"/>
        <w:spacing w:line="249" w:lineRule="auto"/>
        <w:ind w:left="1440" w:firstLine="240"/>
        <w:jc w:val="both"/>
      </w:pPr>
      <w:r>
        <w:rPr>
          <w:color w:val="231F20"/>
        </w:rPr>
        <w:t>The action of acid-base buffers can perhaps best </w:t>
      </w:r>
      <w:r>
        <w:rPr>
          <w:color w:val="231F20"/>
          <w:spacing w:val="-6"/>
        </w:rPr>
        <w:t>be </w:t>
      </w:r>
      <w:r>
        <w:rPr>
          <w:color w:val="231F20"/>
        </w:rPr>
        <w:t>explained by considering the buffer system that is </w:t>
      </w:r>
      <w:r>
        <w:rPr>
          <w:color w:val="231F20"/>
          <w:spacing w:val="-4"/>
        </w:rPr>
        <w:t>quan- </w:t>
      </w:r>
      <w:r>
        <w:rPr>
          <w:color w:val="231F20"/>
        </w:rPr>
        <w:t>titatively the most important in the extracellular </w:t>
      </w:r>
      <w:r>
        <w:rPr>
          <w:color w:val="231F20"/>
          <w:spacing w:val="-3"/>
        </w:rPr>
        <w:t>fluid— </w:t>
      </w:r>
      <w:r>
        <w:rPr>
          <w:color w:val="231F20"/>
        </w:rPr>
        <w:t>the bicarbonate buffer</w:t>
      </w:r>
      <w:r>
        <w:rPr>
          <w:color w:val="231F20"/>
          <w:spacing w:val="21"/>
        </w:rPr>
        <w:t> </w:t>
      </w:r>
      <w:r>
        <w:rPr>
          <w:color w:val="231F20"/>
        </w:rPr>
        <w:t>system.</w:t>
      </w:r>
    </w:p>
    <w:p>
      <w:pPr>
        <w:pStyle w:val="BodyText"/>
        <w:spacing w:before="5"/>
        <w:rPr>
          <w:sz w:val="24"/>
        </w:rPr>
      </w:pPr>
      <w:r>
        <w:rPr/>
        <w:pict>
          <v:shape style="position:absolute;margin-left:72pt;margin-top:15.270361pt;width:234pt;height:16pt;mso-position-horizontal-relative:page;mso-position-vertical-relative:paragraph;z-index:-250582016;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BICARBONATE BUFFER SYSTEM</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rPr>
        <w:t>The bicarbonate buffer system consists of a water solution that contains two ingredients: (1) a weak acid, </w:t>
      </w:r>
      <w:r>
        <w:rPr>
          <w:color w:val="231F20"/>
          <w:spacing w:val="-6"/>
        </w:rPr>
        <w:t>H</w:t>
      </w:r>
      <w:r>
        <w:rPr>
          <w:color w:val="231F20"/>
          <w:spacing w:val="-6"/>
          <w:vertAlign w:val="subscript"/>
        </w:rPr>
        <w:t>2</w:t>
      </w:r>
      <w:r>
        <w:rPr>
          <w:color w:val="231F20"/>
          <w:spacing w:val="-6"/>
          <w:vertAlign w:val="baseline"/>
        </w:rPr>
        <w:t>CO</w:t>
      </w:r>
      <w:r>
        <w:rPr>
          <w:color w:val="231F20"/>
          <w:spacing w:val="-6"/>
          <w:vertAlign w:val="subscript"/>
        </w:rPr>
        <w:t>3</w:t>
      </w:r>
      <w:r>
        <w:rPr>
          <w:color w:val="231F20"/>
          <w:spacing w:val="-6"/>
          <w:vertAlign w:val="baseline"/>
        </w:rPr>
        <w:t>,   </w:t>
      </w:r>
      <w:r>
        <w:rPr>
          <w:color w:val="231F20"/>
          <w:vertAlign w:val="baseline"/>
        </w:rPr>
        <w:t>and (2) a bicarbonate salt, such as sodium bicarbonate (NaHCO</w:t>
      </w:r>
      <w:r>
        <w:rPr>
          <w:color w:val="231F20"/>
          <w:vertAlign w:val="subscript"/>
        </w:rPr>
        <w:t>3</w:t>
      </w:r>
      <w:r>
        <w:rPr>
          <w:color w:val="231F20"/>
          <w:vertAlign w:val="baseline"/>
        </w:rPr>
        <w:t>).</w:t>
      </w:r>
    </w:p>
    <w:p>
      <w:pPr>
        <w:pStyle w:val="BodyText"/>
        <w:spacing w:line="249" w:lineRule="auto" w:before="3"/>
        <w:ind w:left="1440" w:firstLine="240"/>
        <w:jc w:val="both"/>
      </w:pPr>
      <w:r>
        <w:rPr>
          <w:color w:val="231F20"/>
          <w:w w:val="105"/>
        </w:rPr>
        <w:t>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is formed in the body by the reaction of CO</w:t>
      </w:r>
      <w:r>
        <w:rPr>
          <w:color w:val="231F20"/>
          <w:w w:val="105"/>
          <w:vertAlign w:val="subscript"/>
        </w:rPr>
        <w:t>2</w:t>
      </w:r>
      <w:r>
        <w:rPr>
          <w:color w:val="231F20"/>
          <w:w w:val="105"/>
          <w:vertAlign w:val="baseline"/>
        </w:rPr>
        <w:t> with H</w:t>
      </w:r>
      <w:r>
        <w:rPr>
          <w:color w:val="231F20"/>
          <w:w w:val="105"/>
          <w:vertAlign w:val="subscript"/>
        </w:rPr>
        <w:t>2</w:t>
      </w:r>
      <w:r>
        <w:rPr>
          <w:color w:val="231F20"/>
          <w:w w:val="105"/>
          <w:vertAlign w:val="baseline"/>
        </w:rPr>
        <w:t>O.</w:t>
      </w:r>
    </w:p>
    <w:p>
      <w:pPr>
        <w:spacing w:line="110" w:lineRule="exact" w:before="226"/>
        <w:ind w:left="3690" w:right="0" w:firstLine="0"/>
        <w:jc w:val="left"/>
        <w:rPr>
          <w:rFonts w:ascii="Trebuchet MS"/>
          <w:sz w:val="10"/>
        </w:rPr>
      </w:pPr>
      <w:r>
        <w:rPr>
          <w:rFonts w:ascii="Trebuchet MS"/>
          <w:w w:val="110"/>
          <w:sz w:val="10"/>
        </w:rPr>
        <w:t>Carbonic</w:t>
      </w:r>
    </w:p>
    <w:p>
      <w:pPr>
        <w:spacing w:line="230" w:lineRule="exact" w:before="0"/>
        <w:ind w:left="2621" w:right="0" w:firstLine="0"/>
        <w:jc w:val="left"/>
        <w:rPr>
          <w:rFonts w:ascii="Trebuchet MS" w:hAnsi="Trebuchet MS"/>
          <w:sz w:val="10"/>
        </w:rPr>
      </w:pPr>
      <w:r>
        <w:rPr/>
        <w:pict>
          <v:shape style="position:absolute;margin-left:174.783493pt;margin-top:3.839091pt;width:45.9pt;height:11.75pt;mso-position-horizontal-relative:page;mso-position-vertical-relative:paragraph;z-index:-272647168" type="#_x0000_t202" filled="false" stroked="false">
            <v:textbox inset="0,0,0,0">
              <w:txbxContent>
                <w:p>
                  <w:pPr>
                    <w:spacing w:before="1"/>
                    <w:ind w:left="0" w:right="0" w:firstLine="0"/>
                    <w:jc w:val="left"/>
                    <w:rPr>
                      <w:rFonts w:ascii="Symbol" w:hAnsi="Symbol"/>
                      <w:sz w:val="18"/>
                    </w:rPr>
                  </w:pPr>
                  <w:r>
                    <w:rPr>
                      <w:rFonts w:ascii="Symbol" w:hAnsi="Symbol"/>
                      <w:spacing w:val="-1"/>
                      <w:sz w:val="18"/>
                    </w:rPr>
                    <w:t></w:t>
                  </w:r>
                  <w:r>
                    <w:rPr>
                      <w:rFonts w:ascii="Symbol" w:hAnsi="Symbol"/>
                      <w:spacing w:val="9"/>
                      <w:sz w:val="18"/>
                    </w:rPr>
                    <w:t></w:t>
                  </w:r>
                  <w:r>
                    <w:rPr>
                      <w:rFonts w:ascii="Symbol" w:hAnsi="Symbol"/>
                      <w:spacing w:val="-33"/>
                      <w:sz w:val="18"/>
                    </w:rPr>
                    <w:t></w:t>
                  </w:r>
                  <w:r>
                    <w:rPr>
                      <w:rFonts w:ascii="Symbol" w:hAnsi="Symbol"/>
                      <w:spacing w:val="-146"/>
                      <w:sz w:val="18"/>
                    </w:rPr>
                    <w:t></w:t>
                  </w:r>
                  <w:r>
                    <w:rPr>
                      <w:rFonts w:ascii="Symbol" w:hAnsi="Symbol"/>
                      <w:w w:val="100"/>
                      <w:sz w:val="18"/>
                    </w:rPr>
                    <w:t></w:t>
                  </w:r>
                </w:p>
              </w:txbxContent>
            </v:textbox>
            <w10:wrap type="none"/>
          </v:shape>
        </w:pict>
      </w:r>
      <w:r>
        <w:rPr>
          <w:rFonts w:ascii="Trebuchet MS" w:hAnsi="Trebuchet MS"/>
          <w:spacing w:val="-1"/>
          <w:w w:val="102"/>
          <w:sz w:val="18"/>
        </w:rPr>
        <w:t>C</w:t>
      </w:r>
      <w:r>
        <w:rPr>
          <w:rFonts w:ascii="Trebuchet MS" w:hAnsi="Trebuchet MS"/>
          <w:spacing w:val="1"/>
          <w:w w:val="115"/>
          <w:sz w:val="18"/>
        </w:rPr>
        <w:t>O</w:t>
      </w:r>
      <w:r>
        <w:rPr>
          <w:rFonts w:ascii="Trebuchet MS" w:hAnsi="Trebuchet MS"/>
          <w:w w:val="113"/>
          <w:position w:val="-2"/>
          <w:sz w:val="10"/>
        </w:rPr>
        <w:t>2</w:t>
      </w:r>
      <w:r>
        <w:rPr>
          <w:rFonts w:ascii="Trebuchet MS" w:hAnsi="Trebuchet MS"/>
          <w:position w:val="-2"/>
          <w:sz w:val="10"/>
        </w:rPr>
        <w:t> </w:t>
      </w:r>
      <w:r>
        <w:rPr>
          <w:rFonts w:ascii="Trebuchet MS" w:hAnsi="Trebuchet MS"/>
          <w:spacing w:val="-9"/>
          <w:position w:val="-2"/>
          <w:sz w:val="10"/>
        </w:rPr>
        <w:t> </w:t>
      </w:r>
      <w:r>
        <w:rPr>
          <w:rFonts w:ascii="Symbol" w:hAnsi="Symbol"/>
          <w:w w:val="100"/>
          <w:sz w:val="18"/>
        </w:rPr>
        <w:t></w:t>
      </w:r>
      <w:r>
        <w:rPr>
          <w:spacing w:val="-18"/>
          <w:sz w:val="18"/>
        </w:rPr>
        <w:t> </w:t>
      </w:r>
      <w:r>
        <w:rPr>
          <w:rFonts w:ascii="Trebuchet MS" w:hAnsi="Trebuchet MS"/>
          <w:spacing w:val="-9"/>
          <w:w w:val="110"/>
          <w:sz w:val="18"/>
        </w:rPr>
        <w:t>H</w:t>
      </w:r>
      <w:r>
        <w:rPr>
          <w:rFonts w:ascii="Trebuchet MS" w:hAnsi="Trebuchet MS"/>
          <w:w w:val="113"/>
          <w:position w:val="-2"/>
          <w:sz w:val="10"/>
        </w:rPr>
        <w:t>2</w:t>
      </w:r>
      <w:r>
        <w:rPr>
          <w:rFonts w:ascii="Trebuchet MS" w:hAnsi="Trebuchet MS"/>
          <w:w w:val="115"/>
          <w:sz w:val="18"/>
        </w:rPr>
        <w:t>O</w:t>
      </w:r>
      <w:r>
        <w:rPr>
          <w:rFonts w:ascii="Trebuchet MS" w:hAnsi="Trebuchet MS"/>
          <w:sz w:val="18"/>
        </w:rPr>
        <w:t> </w:t>
      </w:r>
      <w:r>
        <w:rPr>
          <w:rFonts w:ascii="Symbol" w:hAnsi="Symbol"/>
          <w:spacing w:val="-18"/>
          <w:w w:val="100"/>
          <w:sz w:val="18"/>
        </w:rPr>
        <w:t></w:t>
      </w:r>
      <w:r>
        <w:rPr>
          <w:rFonts w:ascii="Symbol" w:hAnsi="Symbol"/>
          <w:spacing w:val="-137"/>
          <w:sz w:val="18"/>
        </w:rPr>
        <w:t></w:t>
      </w:r>
      <w:r>
        <w:rPr>
          <w:rFonts w:ascii="Trebuchet MS" w:hAnsi="Trebuchet MS"/>
          <w:spacing w:val="-1"/>
          <w:w w:val="113"/>
          <w:position w:val="9"/>
          <w:sz w:val="10"/>
        </w:rPr>
        <w:t>a</w:t>
      </w:r>
      <w:r>
        <w:rPr>
          <w:rFonts w:ascii="Trebuchet MS" w:hAnsi="Trebuchet MS"/>
          <w:spacing w:val="-1"/>
          <w:w w:val="120"/>
          <w:position w:val="9"/>
          <w:sz w:val="10"/>
        </w:rPr>
        <w:t>n</w:t>
      </w:r>
      <w:r>
        <w:rPr>
          <w:rFonts w:ascii="Trebuchet MS" w:hAnsi="Trebuchet MS"/>
          <w:spacing w:val="-45"/>
          <w:w w:val="120"/>
          <w:position w:val="9"/>
          <w:sz w:val="10"/>
        </w:rPr>
        <w:t>h</w:t>
      </w:r>
      <w:r>
        <w:rPr>
          <w:rFonts w:ascii="Symbol" w:hAnsi="Symbol"/>
          <w:spacing w:val="-137"/>
          <w:sz w:val="18"/>
        </w:rPr>
        <w:t></w:t>
      </w:r>
      <w:r>
        <w:rPr>
          <w:rFonts w:ascii="Trebuchet MS" w:hAnsi="Trebuchet MS"/>
          <w:spacing w:val="-1"/>
          <w:w w:val="108"/>
          <w:position w:val="9"/>
          <w:sz w:val="10"/>
        </w:rPr>
        <w:t>y</w:t>
      </w:r>
      <w:r>
        <w:rPr>
          <w:rFonts w:ascii="Trebuchet MS" w:hAnsi="Trebuchet MS"/>
          <w:spacing w:val="-1"/>
          <w:w w:val="117"/>
          <w:position w:val="9"/>
          <w:sz w:val="10"/>
        </w:rPr>
        <w:t>d</w:t>
      </w:r>
      <w:r>
        <w:rPr>
          <w:rFonts w:ascii="Trebuchet MS" w:hAnsi="Trebuchet MS"/>
          <w:spacing w:val="-15"/>
          <w:w w:val="107"/>
          <w:position w:val="9"/>
          <w:sz w:val="10"/>
        </w:rPr>
        <w:t>r</w:t>
      </w:r>
      <w:r>
        <w:rPr>
          <w:rFonts w:ascii="Symbol" w:hAnsi="Symbol"/>
          <w:spacing w:val="-166"/>
          <w:sz w:val="18"/>
        </w:rPr>
        <w:t></w:t>
      </w:r>
      <w:r>
        <w:rPr>
          <w:rFonts w:ascii="Trebuchet MS" w:hAnsi="Trebuchet MS"/>
          <w:spacing w:val="-1"/>
          <w:w w:val="113"/>
          <w:position w:val="9"/>
          <w:sz w:val="10"/>
        </w:rPr>
        <w:t>a</w:t>
      </w:r>
      <w:r>
        <w:rPr>
          <w:rFonts w:ascii="Trebuchet MS" w:hAnsi="Trebuchet MS"/>
          <w:spacing w:val="1"/>
          <w:w w:val="103"/>
          <w:position w:val="9"/>
          <w:sz w:val="10"/>
        </w:rPr>
        <w:t>s</w:t>
      </w:r>
      <w:r>
        <w:rPr>
          <w:rFonts w:ascii="Trebuchet MS" w:hAnsi="Trebuchet MS"/>
          <w:spacing w:val="8"/>
          <w:w w:val="109"/>
          <w:position w:val="9"/>
          <w:sz w:val="10"/>
        </w:rPr>
        <w:t>e</w:t>
      </w:r>
      <w:r>
        <w:rPr>
          <w:rFonts w:ascii="Symbol" w:hAnsi="Symbol"/>
          <w:sz w:val="18"/>
        </w:rPr>
        <w:t></w:t>
      </w:r>
      <w:r>
        <w:rPr>
          <w:spacing w:val="14"/>
          <w:sz w:val="18"/>
        </w:rPr>
        <w:t> </w:t>
      </w:r>
      <w:r>
        <w:rPr>
          <w:rFonts w:ascii="Trebuchet MS" w:hAnsi="Trebuchet MS"/>
          <w:spacing w:val="-9"/>
          <w:w w:val="110"/>
          <w:sz w:val="18"/>
        </w:rPr>
        <w:t>H</w:t>
      </w:r>
      <w:r>
        <w:rPr>
          <w:rFonts w:ascii="Trebuchet MS" w:hAnsi="Trebuchet MS"/>
          <w:w w:val="113"/>
          <w:position w:val="-2"/>
          <w:sz w:val="10"/>
        </w:rPr>
        <w:t>2</w:t>
      </w:r>
      <w:r>
        <w:rPr>
          <w:rFonts w:ascii="Trebuchet MS" w:hAnsi="Trebuchet MS"/>
          <w:spacing w:val="-1"/>
          <w:w w:val="102"/>
          <w:sz w:val="18"/>
        </w:rPr>
        <w:t>C</w:t>
      </w:r>
      <w:r>
        <w:rPr>
          <w:rFonts w:ascii="Trebuchet MS" w:hAnsi="Trebuchet MS"/>
          <w:spacing w:val="1"/>
          <w:w w:val="115"/>
          <w:sz w:val="18"/>
        </w:rPr>
        <w:t>O</w:t>
      </w:r>
      <w:r>
        <w:rPr>
          <w:rFonts w:ascii="Trebuchet MS" w:hAnsi="Trebuchet MS"/>
          <w:w w:val="113"/>
          <w:position w:val="-2"/>
          <w:sz w:val="10"/>
        </w:rPr>
        <w:t>3</w:t>
      </w:r>
    </w:p>
    <w:p>
      <w:pPr>
        <w:pStyle w:val="BodyText"/>
        <w:spacing w:line="249" w:lineRule="auto" w:before="157"/>
        <w:ind w:left="1439" w:firstLine="240"/>
        <w:jc w:val="both"/>
      </w:pPr>
      <w:r>
        <w:rPr>
          <w:color w:val="231F20"/>
        </w:rPr>
        <w:t>This reaction is </w:t>
      </w:r>
      <w:r>
        <w:rPr>
          <w:color w:val="231F20"/>
          <w:spacing w:val="-3"/>
        </w:rPr>
        <w:t>slow, </w:t>
      </w:r>
      <w:r>
        <w:rPr>
          <w:color w:val="231F20"/>
        </w:rPr>
        <w:t>and exceedingly small amounts of H</w:t>
      </w:r>
      <w:r>
        <w:rPr>
          <w:color w:val="231F20"/>
          <w:vertAlign w:val="subscript"/>
        </w:rPr>
        <w:t>2</w:t>
      </w:r>
      <w:r>
        <w:rPr>
          <w:color w:val="231F20"/>
          <w:vertAlign w:val="baseline"/>
        </w:rPr>
        <w:t>CO</w:t>
      </w:r>
      <w:r>
        <w:rPr>
          <w:color w:val="231F20"/>
          <w:vertAlign w:val="subscript"/>
        </w:rPr>
        <w:t>3</w:t>
      </w:r>
      <w:r>
        <w:rPr>
          <w:color w:val="231F20"/>
          <w:vertAlign w:val="baseline"/>
        </w:rPr>
        <w:t> are formed unless the enzyme </w:t>
      </w:r>
      <w:r>
        <w:rPr>
          <w:i/>
          <w:color w:val="231F20"/>
          <w:vertAlign w:val="baseline"/>
        </w:rPr>
        <w:t>carbonic </w:t>
      </w:r>
      <w:r>
        <w:rPr>
          <w:i/>
          <w:color w:val="231F20"/>
          <w:spacing w:val="-8"/>
          <w:vertAlign w:val="baseline"/>
        </w:rPr>
        <w:t>anhy- </w:t>
      </w:r>
      <w:r>
        <w:rPr>
          <w:i/>
          <w:color w:val="231F20"/>
          <w:vertAlign w:val="baseline"/>
        </w:rPr>
        <w:t>drase </w:t>
      </w:r>
      <w:r>
        <w:rPr>
          <w:color w:val="231F20"/>
          <w:vertAlign w:val="baseline"/>
        </w:rPr>
        <w:t>is present. This enzyme is especially abundant in</w:t>
      </w:r>
      <w:r>
        <w:rPr>
          <w:color w:val="231F20"/>
          <w:spacing w:val="-32"/>
          <w:vertAlign w:val="baseline"/>
        </w:rPr>
        <w:t> </w:t>
      </w:r>
      <w:r>
        <w:rPr>
          <w:color w:val="231F20"/>
          <w:vertAlign w:val="baseline"/>
        </w:rPr>
        <w:t>the walls of the lung alveoli, where CO</w:t>
      </w:r>
      <w:r>
        <w:rPr>
          <w:color w:val="231F20"/>
          <w:vertAlign w:val="subscript"/>
        </w:rPr>
        <w:t>2</w:t>
      </w:r>
      <w:r>
        <w:rPr>
          <w:color w:val="231F20"/>
          <w:vertAlign w:val="baseline"/>
        </w:rPr>
        <w:t> is released; carbonic anhydrase is also present in the epithelial cells of the</w:t>
      </w:r>
      <w:r>
        <w:rPr>
          <w:color w:val="231F20"/>
          <w:spacing w:val="12"/>
          <w:vertAlign w:val="baseline"/>
        </w:rPr>
        <w:t> </w:t>
      </w:r>
      <w:r>
        <w:rPr>
          <w:color w:val="231F20"/>
          <w:spacing w:val="-4"/>
          <w:vertAlign w:val="baseline"/>
        </w:rPr>
        <w:t>renal</w:t>
      </w:r>
    </w:p>
    <w:p>
      <w:pPr>
        <w:pStyle w:val="BodyText"/>
        <w:spacing w:line="249" w:lineRule="auto" w:before="100"/>
        <w:ind w:left="319" w:right="1077"/>
        <w:jc w:val="both"/>
      </w:pPr>
      <w:r>
        <w:rPr/>
        <w:br w:type="column"/>
      </w:r>
      <w:r>
        <w:rPr>
          <w:color w:val="231F20"/>
          <w:w w:val="105"/>
        </w:rPr>
        <w:t>and H</w:t>
      </w:r>
      <w:r>
        <w:rPr>
          <w:color w:val="231F20"/>
          <w:w w:val="105"/>
          <w:vertAlign w:val="subscript"/>
        </w:rPr>
        <w:t>2</w:t>
      </w:r>
      <w:r>
        <w:rPr>
          <w:color w:val="231F20"/>
          <w:w w:val="105"/>
          <w:vertAlign w:val="baseline"/>
        </w:rPr>
        <w:t>O. The excess CO</w:t>
      </w:r>
      <w:r>
        <w:rPr>
          <w:color w:val="231F20"/>
          <w:w w:val="105"/>
          <w:vertAlign w:val="subscript"/>
        </w:rPr>
        <w:t>2</w:t>
      </w:r>
      <w:r>
        <w:rPr>
          <w:color w:val="231F20"/>
          <w:w w:val="105"/>
          <w:vertAlign w:val="baseline"/>
        </w:rPr>
        <w:t> greatly stimulates </w:t>
      </w:r>
      <w:r>
        <w:rPr>
          <w:color w:val="231F20"/>
          <w:spacing w:val="-4"/>
          <w:w w:val="105"/>
          <w:vertAlign w:val="baseline"/>
        </w:rPr>
        <w:t>respiration, </w:t>
      </w:r>
      <w:r>
        <w:rPr>
          <w:color w:val="231F20"/>
          <w:w w:val="105"/>
          <w:vertAlign w:val="baseline"/>
        </w:rPr>
        <w:t>which eliminates the CO</w:t>
      </w:r>
      <w:r>
        <w:rPr>
          <w:color w:val="231F20"/>
          <w:w w:val="105"/>
          <w:vertAlign w:val="subscript"/>
        </w:rPr>
        <w:t>2</w:t>
      </w:r>
      <w:r>
        <w:rPr>
          <w:color w:val="231F20"/>
          <w:w w:val="105"/>
          <w:vertAlign w:val="baseline"/>
        </w:rPr>
        <w:t> from the extracellular fluid.</w:t>
      </w:r>
    </w:p>
    <w:p>
      <w:pPr>
        <w:pStyle w:val="BodyText"/>
        <w:spacing w:line="249" w:lineRule="auto" w:before="1"/>
        <w:ind w:left="319" w:right="1077" w:firstLine="240"/>
        <w:jc w:val="both"/>
      </w:pPr>
      <w:r>
        <w:rPr>
          <w:color w:val="231F20"/>
        </w:rPr>
        <w:t>The opposite reactions take place when a strong base, such as sodium hydroxide (NaOH), is added to the bicar- bonate buffer solution.</w:t>
      </w:r>
    </w:p>
    <w:p>
      <w:pPr>
        <w:spacing w:before="137"/>
        <w:ind w:left="295" w:right="1066" w:firstLine="0"/>
        <w:jc w:val="center"/>
        <w:rPr>
          <w:rFonts w:ascii="Trebuchet MS" w:hAnsi="Trebuchet MS"/>
          <w:sz w:val="18"/>
        </w:rPr>
      </w:pPr>
      <w:r>
        <w:rPr/>
        <w:pict>
          <v:shape style="position:absolute;margin-left:578.900024pt;margin-top:3.755652pt;width:15.9pt;height:53.35pt;mso-position-horizontal-relative:page;mso-position-vertical-relative:paragraph;z-index:25275699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Trebuchet MS" w:hAnsi="Trebuchet MS"/>
          <w:w w:val="110"/>
          <w:sz w:val="18"/>
        </w:rPr>
        <w:t>NaOH </w:t>
      </w:r>
      <w:r>
        <w:rPr>
          <w:rFonts w:ascii="Symbol" w:hAnsi="Symbol"/>
          <w:w w:val="110"/>
          <w:sz w:val="18"/>
        </w:rPr>
        <w:t></w:t>
      </w:r>
      <w:r>
        <w:rPr>
          <w:w w:val="110"/>
          <w:sz w:val="18"/>
        </w:rPr>
        <w:t> </w:t>
      </w:r>
      <w:r>
        <w:rPr>
          <w:rFonts w:ascii="Trebuchet MS" w:hAnsi="Trebuchet MS"/>
          <w:w w:val="110"/>
          <w:sz w:val="18"/>
        </w:rPr>
        <w:t>H</w:t>
      </w:r>
      <w:r>
        <w:rPr>
          <w:rFonts w:ascii="Trebuchet MS" w:hAnsi="Trebuchet MS"/>
          <w:w w:val="110"/>
          <w:position w:val="-2"/>
          <w:sz w:val="10"/>
        </w:rPr>
        <w:t>2</w:t>
      </w:r>
      <w:r>
        <w:rPr>
          <w:rFonts w:ascii="Trebuchet MS" w:hAnsi="Trebuchet MS"/>
          <w:w w:val="110"/>
          <w:sz w:val="18"/>
        </w:rPr>
        <w:t>CO</w:t>
      </w:r>
      <w:r>
        <w:rPr>
          <w:rFonts w:ascii="Trebuchet MS" w:hAnsi="Trebuchet MS"/>
          <w:w w:val="110"/>
          <w:position w:val="-2"/>
          <w:sz w:val="10"/>
        </w:rPr>
        <w:t>3 </w:t>
      </w:r>
      <w:r>
        <w:rPr>
          <w:rFonts w:ascii="Symbol" w:hAnsi="Symbol"/>
          <w:w w:val="110"/>
          <w:sz w:val="18"/>
        </w:rPr>
        <w:t></w:t>
      </w:r>
      <w:r>
        <w:rPr>
          <w:w w:val="110"/>
          <w:sz w:val="18"/>
        </w:rPr>
        <w:t> </w:t>
      </w:r>
      <w:r>
        <w:rPr>
          <w:rFonts w:ascii="Trebuchet MS" w:hAnsi="Trebuchet MS"/>
          <w:w w:val="110"/>
          <w:sz w:val="18"/>
        </w:rPr>
        <w:t>NaHCO</w:t>
      </w:r>
      <w:r>
        <w:rPr>
          <w:rFonts w:ascii="Trebuchet MS" w:hAnsi="Trebuchet MS"/>
          <w:w w:val="110"/>
          <w:position w:val="-2"/>
          <w:sz w:val="10"/>
        </w:rPr>
        <w:t>3 </w:t>
      </w:r>
      <w:r>
        <w:rPr>
          <w:rFonts w:ascii="Symbol" w:hAnsi="Symbol"/>
          <w:w w:val="110"/>
          <w:sz w:val="18"/>
        </w:rPr>
        <w:t></w:t>
      </w:r>
      <w:r>
        <w:rPr>
          <w:w w:val="110"/>
          <w:sz w:val="18"/>
        </w:rPr>
        <w:t> </w:t>
      </w:r>
      <w:r>
        <w:rPr>
          <w:rFonts w:ascii="Trebuchet MS" w:hAnsi="Trebuchet MS"/>
          <w:w w:val="110"/>
          <w:sz w:val="18"/>
        </w:rPr>
        <w:t>H</w:t>
      </w:r>
      <w:r>
        <w:rPr>
          <w:rFonts w:ascii="Trebuchet MS" w:hAnsi="Trebuchet MS"/>
          <w:w w:val="110"/>
          <w:position w:val="-2"/>
          <w:sz w:val="10"/>
        </w:rPr>
        <w:t>2</w:t>
      </w:r>
      <w:r>
        <w:rPr>
          <w:rFonts w:ascii="Trebuchet MS" w:hAnsi="Trebuchet MS"/>
          <w:w w:val="110"/>
          <w:sz w:val="18"/>
        </w:rPr>
        <w:t>O</w:t>
      </w:r>
    </w:p>
    <w:p>
      <w:pPr>
        <w:pStyle w:val="BodyText"/>
        <w:spacing w:line="249" w:lineRule="auto" w:before="109"/>
        <w:ind w:left="319" w:right="1077" w:firstLine="240"/>
        <w:jc w:val="both"/>
      </w:pPr>
      <w:r>
        <w:rPr/>
        <w:pict>
          <v:rect style="position:absolute;margin-left:576pt;margin-top:61.619556pt;width:36pt;height:24pt;mso-position-horizontal-relative:page;mso-position-vertical-relative:paragraph;z-index:252738560" filled="true" fillcolor="#e8dac8" stroked="false">
            <v:fill type="solid"/>
            <w10:wrap type="none"/>
          </v:rect>
        </w:pict>
      </w:r>
      <w:r>
        <w:rPr/>
        <w:pict>
          <v:shape style="position:absolute;margin-left:459.568512pt;margin-top:22.895555pt;width:3pt;height:8.7pt;mso-position-horizontal-relative:page;mso-position-vertical-relative:paragraph;z-index:-27264614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In this case, the OH</w:t>
      </w:r>
      <w:r>
        <w:rPr>
          <w:rFonts w:ascii="Consolas" w:hAnsi="Consolas"/>
          <w:color w:val="231F20"/>
          <w:w w:val="105"/>
          <w:position w:val="8"/>
          <w:sz w:val="12"/>
        </w:rPr>
        <w:t>− </w:t>
      </w:r>
      <w:r>
        <w:rPr>
          <w:color w:val="231F20"/>
          <w:w w:val="105"/>
        </w:rPr>
        <w:t>from the NaOH combines with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to form additional HCO </w:t>
      </w:r>
      <w:r>
        <w:rPr>
          <w:rFonts w:ascii="Consolas" w:hAnsi="Consolas"/>
          <w:color w:val="231F20"/>
          <w:w w:val="105"/>
          <w:position w:val="8"/>
          <w:sz w:val="12"/>
          <w:vertAlign w:val="baseline"/>
        </w:rPr>
        <w:t>−</w:t>
      </w:r>
      <w:r>
        <w:rPr>
          <w:color w:val="231F20"/>
          <w:w w:val="105"/>
          <w:vertAlign w:val="baseline"/>
        </w:rPr>
        <w:t>. Thus, the weak base NaHCO</w:t>
      </w:r>
      <w:r>
        <w:rPr>
          <w:color w:val="231F20"/>
          <w:w w:val="105"/>
          <w:vertAlign w:val="subscript"/>
        </w:rPr>
        <w:t>3</w:t>
      </w:r>
      <w:r>
        <w:rPr>
          <w:color w:val="231F20"/>
          <w:w w:val="105"/>
          <w:vertAlign w:val="baseline"/>
        </w:rPr>
        <w:t> replaces the strong base NaOH. At the same time, the concentration of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decreases (because it reacts with NaOH), causing more CO</w:t>
      </w:r>
      <w:r>
        <w:rPr>
          <w:color w:val="231F20"/>
          <w:w w:val="105"/>
          <w:vertAlign w:val="subscript"/>
        </w:rPr>
        <w:t>2</w:t>
      </w:r>
      <w:r>
        <w:rPr>
          <w:color w:val="231F20"/>
          <w:w w:val="105"/>
          <w:vertAlign w:val="baseline"/>
        </w:rPr>
        <w:t> to combine with H</w:t>
      </w:r>
      <w:r>
        <w:rPr>
          <w:color w:val="231F20"/>
          <w:w w:val="105"/>
          <w:vertAlign w:val="subscript"/>
        </w:rPr>
        <w:t>2</w:t>
      </w:r>
      <w:r>
        <w:rPr>
          <w:color w:val="231F20"/>
          <w:w w:val="105"/>
          <w:vertAlign w:val="baseline"/>
        </w:rPr>
        <w:t>O to replace the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p>
    <w:p>
      <w:pPr>
        <w:spacing w:before="156"/>
        <w:ind w:left="295" w:right="968" w:firstLine="0"/>
        <w:jc w:val="center"/>
        <w:rPr>
          <w:rFonts w:ascii="Symbol" w:hAnsi="Symbol"/>
          <w:sz w:val="10"/>
        </w:rPr>
      </w:pPr>
      <w:r>
        <w:rPr>
          <w:rFonts w:ascii="Trebuchet MS" w:hAnsi="Trebuchet MS"/>
          <w:spacing w:val="-1"/>
          <w:w w:val="102"/>
          <w:sz w:val="18"/>
        </w:rPr>
        <w:t>C</w:t>
      </w:r>
      <w:r>
        <w:rPr>
          <w:rFonts w:ascii="Trebuchet MS" w:hAnsi="Trebuchet MS"/>
          <w:spacing w:val="1"/>
          <w:w w:val="115"/>
          <w:sz w:val="18"/>
        </w:rPr>
        <w:t>O</w:t>
      </w:r>
      <w:r>
        <w:rPr>
          <w:rFonts w:ascii="Trebuchet MS" w:hAnsi="Trebuchet MS"/>
          <w:w w:val="113"/>
          <w:position w:val="-2"/>
          <w:sz w:val="10"/>
        </w:rPr>
        <w:t>2</w:t>
      </w:r>
      <w:r>
        <w:rPr>
          <w:rFonts w:ascii="Trebuchet MS" w:hAnsi="Trebuchet MS"/>
          <w:position w:val="-2"/>
          <w:sz w:val="10"/>
        </w:rPr>
        <w:t> </w:t>
      </w:r>
      <w:r>
        <w:rPr>
          <w:rFonts w:ascii="Trebuchet MS" w:hAnsi="Trebuchet MS"/>
          <w:spacing w:val="-9"/>
          <w:position w:val="-2"/>
          <w:sz w:val="10"/>
        </w:rPr>
        <w:t> </w:t>
      </w:r>
      <w:r>
        <w:rPr>
          <w:rFonts w:ascii="Symbol" w:hAnsi="Symbol"/>
          <w:w w:val="100"/>
          <w:sz w:val="18"/>
        </w:rPr>
        <w:t></w:t>
      </w:r>
      <w:r>
        <w:rPr>
          <w:spacing w:val="-18"/>
          <w:sz w:val="18"/>
        </w:rPr>
        <w:t> </w:t>
      </w:r>
      <w:r>
        <w:rPr>
          <w:rFonts w:ascii="Trebuchet MS" w:hAnsi="Trebuchet MS"/>
          <w:spacing w:val="-9"/>
          <w:w w:val="110"/>
          <w:sz w:val="18"/>
        </w:rPr>
        <w:t>H</w:t>
      </w:r>
      <w:r>
        <w:rPr>
          <w:rFonts w:ascii="Trebuchet MS" w:hAnsi="Trebuchet MS"/>
          <w:w w:val="113"/>
          <w:position w:val="-2"/>
          <w:sz w:val="10"/>
        </w:rPr>
        <w:t>2</w:t>
      </w:r>
      <w:r>
        <w:rPr>
          <w:rFonts w:ascii="Trebuchet MS" w:hAnsi="Trebuchet MS"/>
          <w:w w:val="115"/>
          <w:sz w:val="18"/>
        </w:rPr>
        <w:t>O</w:t>
      </w:r>
      <w:r>
        <w:rPr>
          <w:rFonts w:ascii="Trebuchet MS" w:hAnsi="Trebuchet MS"/>
          <w:spacing w:val="-14"/>
          <w:sz w:val="18"/>
        </w:rPr>
        <w:t> </w:t>
      </w:r>
      <w:r>
        <w:rPr>
          <w:rFonts w:ascii="Symbol" w:hAnsi="Symbol"/>
          <w:spacing w:val="-1"/>
          <w:sz w:val="18"/>
        </w:rPr>
        <w:t></w:t>
      </w:r>
      <w:r>
        <w:rPr>
          <w:rFonts w:ascii="Symbol" w:hAnsi="Symbol"/>
          <w:spacing w:val="-96"/>
          <w:sz w:val="18"/>
        </w:rPr>
        <w:t></w:t>
      </w:r>
      <w:r>
        <w:rPr>
          <w:rFonts w:ascii="Symbol" w:hAnsi="Symbol"/>
          <w:spacing w:val="14"/>
          <w:w w:val="100"/>
          <w:sz w:val="18"/>
        </w:rPr>
        <w:t></w:t>
      </w:r>
      <w:r>
        <w:rPr>
          <w:rFonts w:ascii="Trebuchet MS" w:hAnsi="Trebuchet MS"/>
          <w:spacing w:val="-9"/>
          <w:w w:val="110"/>
          <w:sz w:val="18"/>
        </w:rPr>
        <w:t>H</w:t>
      </w:r>
      <w:r>
        <w:rPr>
          <w:rFonts w:ascii="Trebuchet MS" w:hAnsi="Trebuchet MS"/>
          <w:w w:val="113"/>
          <w:position w:val="-2"/>
          <w:sz w:val="10"/>
        </w:rPr>
        <w:t>2</w:t>
      </w:r>
      <w:r>
        <w:rPr>
          <w:rFonts w:ascii="Trebuchet MS" w:hAnsi="Trebuchet MS"/>
          <w:spacing w:val="-1"/>
          <w:w w:val="102"/>
          <w:sz w:val="18"/>
        </w:rPr>
        <w:t>C</w:t>
      </w:r>
      <w:r>
        <w:rPr>
          <w:rFonts w:ascii="Trebuchet MS" w:hAnsi="Trebuchet MS"/>
          <w:spacing w:val="1"/>
          <w:w w:val="115"/>
          <w:sz w:val="18"/>
        </w:rPr>
        <w:t>O</w:t>
      </w:r>
      <w:r>
        <w:rPr>
          <w:rFonts w:ascii="Trebuchet MS" w:hAnsi="Trebuchet MS"/>
          <w:w w:val="113"/>
          <w:position w:val="-2"/>
          <w:sz w:val="10"/>
        </w:rPr>
        <w:t>3</w:t>
      </w:r>
      <w:r>
        <w:rPr>
          <w:rFonts w:ascii="Trebuchet MS" w:hAnsi="Trebuchet MS"/>
          <w:position w:val="-2"/>
          <w:sz w:val="10"/>
        </w:rPr>
        <w:t> </w:t>
      </w:r>
      <w:r>
        <w:rPr>
          <w:rFonts w:ascii="Trebuchet MS" w:hAnsi="Trebuchet MS"/>
          <w:spacing w:val="-5"/>
          <w:position w:val="-2"/>
          <w:sz w:val="10"/>
        </w:rPr>
        <w:t> </w:t>
      </w:r>
      <w:r>
        <w:rPr>
          <w:rFonts w:ascii="Symbol" w:hAnsi="Symbol"/>
          <w:spacing w:val="-1"/>
          <w:sz w:val="18"/>
        </w:rPr>
        <w:t></w:t>
      </w:r>
      <w:r>
        <w:rPr>
          <w:rFonts w:ascii="Symbol" w:hAnsi="Symbol"/>
          <w:spacing w:val="-96"/>
          <w:sz w:val="18"/>
        </w:rPr>
        <w:t></w:t>
      </w:r>
      <w:r>
        <w:rPr>
          <w:rFonts w:ascii="Symbol" w:hAnsi="Symbol"/>
          <w:w w:val="100"/>
          <w:sz w:val="18"/>
        </w:rPr>
        <w:t></w:t>
      </w:r>
      <w:r>
        <w:rPr>
          <w:sz w:val="18"/>
        </w:rPr>
        <w:t> </w:t>
      </w:r>
      <w:r>
        <w:rPr>
          <w:rFonts w:ascii="Symbol" w:hAnsi="Symbol"/>
          <w:sz w:val="18"/>
        </w:rPr>
        <w:t></w:t>
      </w:r>
      <w:r>
        <w:rPr>
          <w:spacing w:val="-7"/>
          <w:sz w:val="18"/>
        </w:rPr>
        <w:t> </w:t>
      </w:r>
      <w:r>
        <w:rPr>
          <w:rFonts w:ascii="Trebuchet MS" w:hAnsi="Trebuchet MS"/>
          <w:spacing w:val="-1"/>
          <w:w w:val="110"/>
          <w:sz w:val="18"/>
        </w:rPr>
        <w:t>H</w:t>
      </w:r>
      <w:r>
        <w:rPr>
          <w:rFonts w:ascii="Trebuchet MS" w:hAnsi="Trebuchet MS"/>
          <w:spacing w:val="-1"/>
          <w:w w:val="102"/>
          <w:sz w:val="18"/>
        </w:rPr>
        <w:t>C</w:t>
      </w:r>
      <w:r>
        <w:rPr>
          <w:rFonts w:ascii="Trebuchet MS" w:hAnsi="Trebuchet MS"/>
          <w:w w:val="115"/>
          <w:sz w:val="18"/>
        </w:rPr>
        <w:t>O</w:t>
      </w:r>
      <w:r>
        <w:rPr>
          <w:rFonts w:ascii="Trebuchet MS" w:hAnsi="Trebuchet MS"/>
          <w:spacing w:val="-34"/>
          <w:sz w:val="18"/>
        </w:rPr>
        <w:t> </w:t>
      </w:r>
      <w:r>
        <w:rPr>
          <w:rFonts w:ascii="Trebuchet MS" w:hAnsi="Trebuchet MS"/>
          <w:spacing w:val="5"/>
          <w:w w:val="113"/>
          <w:position w:val="-2"/>
          <w:sz w:val="10"/>
        </w:rPr>
        <w:t>3</w:t>
      </w:r>
      <w:r>
        <w:rPr>
          <w:rFonts w:ascii="Symbol" w:hAnsi="Symbol"/>
          <w:w w:val="107"/>
          <w:position w:val="7"/>
          <w:sz w:val="10"/>
        </w:rPr>
        <w:t></w:t>
      </w:r>
      <w:r>
        <w:rPr>
          <w:position w:val="7"/>
          <w:sz w:val="10"/>
        </w:rPr>
        <w:t> </w:t>
      </w:r>
      <w:r>
        <w:rPr>
          <w:spacing w:val="5"/>
          <w:position w:val="7"/>
          <w:sz w:val="10"/>
        </w:rPr>
        <w:t> </w:t>
      </w:r>
      <w:r>
        <w:rPr>
          <w:rFonts w:ascii="Symbol" w:hAnsi="Symbol"/>
          <w:w w:val="100"/>
          <w:sz w:val="18"/>
        </w:rPr>
        <w:t></w:t>
      </w:r>
      <w:r>
        <w:rPr>
          <w:spacing w:val="-18"/>
          <w:sz w:val="18"/>
        </w:rPr>
        <w:t> </w:t>
      </w:r>
      <w:r>
        <w:rPr>
          <w:rFonts w:ascii="Trebuchet MS" w:hAnsi="Trebuchet MS"/>
          <w:spacing w:val="-5"/>
          <w:w w:val="110"/>
          <w:sz w:val="18"/>
        </w:rPr>
        <w:t>H</w:t>
      </w:r>
      <w:r>
        <w:rPr>
          <w:rFonts w:ascii="Symbol" w:hAnsi="Symbol"/>
          <w:w w:val="107"/>
          <w:position w:val="7"/>
          <w:sz w:val="10"/>
        </w:rPr>
        <w:t></w:t>
      </w:r>
    </w:p>
    <w:p>
      <w:pPr>
        <w:tabs>
          <w:tab w:pos="1107" w:val="left" w:leader="none"/>
        </w:tabs>
        <w:spacing w:before="21"/>
        <w:ind w:left="0" w:right="1" w:firstLine="0"/>
        <w:jc w:val="center"/>
        <w:rPr>
          <w:rFonts w:ascii="Symbol" w:hAnsi="Symbol"/>
          <w:sz w:val="18"/>
        </w:rPr>
      </w:pPr>
      <w:r>
        <w:rPr>
          <w:rFonts w:ascii="Symbol" w:hAnsi="Symbol"/>
          <w:sz w:val="18"/>
        </w:rPr>
        <w:t></w:t>
      </w:r>
      <w:r>
        <w:rPr>
          <w:sz w:val="18"/>
        </w:rPr>
        <w:tab/>
      </w:r>
      <w:r>
        <w:rPr>
          <w:rFonts w:ascii="Symbol" w:hAnsi="Symbol"/>
          <w:sz w:val="18"/>
        </w:rPr>
        <w:t></w:t>
      </w:r>
    </w:p>
    <w:p>
      <w:pPr>
        <w:tabs>
          <w:tab w:pos="1276" w:val="left" w:leader="none"/>
        </w:tabs>
        <w:spacing w:before="31"/>
        <w:ind w:left="0" w:right="135" w:firstLine="0"/>
        <w:jc w:val="center"/>
        <w:rPr>
          <w:rFonts w:ascii="Trebuchet MS"/>
          <w:sz w:val="18"/>
        </w:rPr>
      </w:pPr>
      <w:r>
        <w:rPr>
          <w:rFonts w:ascii="Trebuchet MS"/>
          <w:w w:val="110"/>
          <w:sz w:val="18"/>
        </w:rPr>
        <w:t>NaOH</w:t>
        <w:tab/>
        <w:t>Na</w:t>
      </w:r>
    </w:p>
    <w:p>
      <w:pPr>
        <w:pStyle w:val="BodyText"/>
        <w:spacing w:line="249" w:lineRule="auto" w:before="90"/>
        <w:ind w:left="319" w:right="1077" w:firstLine="240"/>
        <w:jc w:val="both"/>
      </w:pPr>
      <w:r>
        <w:rPr/>
        <w:pict>
          <v:shape style="position:absolute;margin-left:491.366302pt;margin-top:45.761963pt;width:3pt;height:8.7pt;mso-position-horizontal-relative:page;mso-position-vertical-relative:paragraph;z-index:-27264512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48.315186pt;margin-top:57.761963pt;width:3pt;height:8.7pt;mso-position-horizontal-relative:page;mso-position-vertical-relative:paragraph;z-index:-27264409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The net result, therefore, is a tendency for the </w:t>
      </w:r>
      <w:r>
        <w:rPr>
          <w:color w:val="231F20"/>
          <w:spacing w:val="-6"/>
          <w:w w:val="105"/>
        </w:rPr>
        <w:t>CO</w:t>
      </w:r>
      <w:r>
        <w:rPr>
          <w:color w:val="231F20"/>
          <w:spacing w:val="-6"/>
          <w:w w:val="105"/>
          <w:vertAlign w:val="subscript"/>
        </w:rPr>
        <w:t>2</w:t>
      </w:r>
      <w:r>
        <w:rPr>
          <w:color w:val="231F20"/>
          <w:spacing w:val="-6"/>
          <w:w w:val="105"/>
          <w:vertAlign w:val="baseline"/>
        </w:rPr>
        <w:t> </w:t>
      </w:r>
      <w:r>
        <w:rPr>
          <w:color w:val="231F20"/>
          <w:w w:val="105"/>
          <w:vertAlign w:val="baseline"/>
        </w:rPr>
        <w:t>levels</w:t>
      </w:r>
      <w:r>
        <w:rPr>
          <w:color w:val="231F20"/>
          <w:spacing w:val="-5"/>
          <w:w w:val="105"/>
          <w:vertAlign w:val="baseline"/>
        </w:rPr>
        <w:t> </w:t>
      </w:r>
      <w:r>
        <w:rPr>
          <w:color w:val="231F20"/>
          <w:w w:val="105"/>
          <w:vertAlign w:val="baseline"/>
        </w:rPr>
        <w:t>in</w:t>
      </w:r>
      <w:r>
        <w:rPr>
          <w:color w:val="231F20"/>
          <w:spacing w:val="-4"/>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blood</w:t>
      </w:r>
      <w:r>
        <w:rPr>
          <w:color w:val="231F20"/>
          <w:spacing w:val="-4"/>
          <w:w w:val="105"/>
          <w:vertAlign w:val="baseline"/>
        </w:rPr>
        <w:t> </w:t>
      </w:r>
      <w:r>
        <w:rPr>
          <w:color w:val="231F20"/>
          <w:w w:val="105"/>
          <w:vertAlign w:val="baseline"/>
        </w:rPr>
        <w:t>to</w:t>
      </w:r>
      <w:r>
        <w:rPr>
          <w:color w:val="231F20"/>
          <w:spacing w:val="-4"/>
          <w:w w:val="105"/>
          <w:vertAlign w:val="baseline"/>
        </w:rPr>
        <w:t> </w:t>
      </w:r>
      <w:r>
        <w:rPr>
          <w:color w:val="231F20"/>
          <w:w w:val="105"/>
          <w:vertAlign w:val="baseline"/>
        </w:rPr>
        <w:t>decrease,</w:t>
      </w:r>
      <w:r>
        <w:rPr>
          <w:color w:val="231F20"/>
          <w:spacing w:val="-5"/>
          <w:w w:val="105"/>
          <w:vertAlign w:val="baseline"/>
        </w:rPr>
        <w:t> </w:t>
      </w:r>
      <w:r>
        <w:rPr>
          <w:color w:val="231F20"/>
          <w:w w:val="105"/>
          <w:vertAlign w:val="baseline"/>
        </w:rPr>
        <w:t>but</w:t>
      </w:r>
      <w:r>
        <w:rPr>
          <w:color w:val="231F20"/>
          <w:spacing w:val="-4"/>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decreased</w:t>
      </w:r>
      <w:r>
        <w:rPr>
          <w:color w:val="231F20"/>
          <w:spacing w:val="-4"/>
          <w:w w:val="105"/>
          <w:vertAlign w:val="baseline"/>
        </w:rPr>
        <w:t> </w:t>
      </w:r>
      <w:r>
        <w:rPr>
          <w:color w:val="231F20"/>
          <w:w w:val="105"/>
          <w:vertAlign w:val="baseline"/>
        </w:rPr>
        <w:t>CO</w:t>
      </w:r>
      <w:r>
        <w:rPr>
          <w:color w:val="231F20"/>
          <w:w w:val="105"/>
          <w:vertAlign w:val="subscript"/>
        </w:rPr>
        <w:t>2</w:t>
      </w:r>
      <w:r>
        <w:rPr>
          <w:color w:val="231F20"/>
          <w:spacing w:val="-4"/>
          <w:w w:val="105"/>
          <w:vertAlign w:val="baseline"/>
        </w:rPr>
        <w:t> </w:t>
      </w:r>
      <w:r>
        <w:rPr>
          <w:color w:val="231F20"/>
          <w:spacing w:val="-9"/>
          <w:w w:val="105"/>
          <w:vertAlign w:val="baseline"/>
        </w:rPr>
        <w:t>in </w:t>
      </w:r>
      <w:r>
        <w:rPr>
          <w:color w:val="231F20"/>
          <w:w w:val="105"/>
          <w:vertAlign w:val="baseline"/>
        </w:rPr>
        <w:t>the blood inhibits respiration and decreases the rate of CO</w:t>
      </w:r>
      <w:r>
        <w:rPr>
          <w:color w:val="231F20"/>
          <w:w w:val="105"/>
          <w:vertAlign w:val="subscript"/>
        </w:rPr>
        <w:t>2</w:t>
      </w:r>
      <w:r>
        <w:rPr>
          <w:color w:val="231F20"/>
          <w:w w:val="105"/>
          <w:vertAlign w:val="baseline"/>
        </w:rPr>
        <w:t> expiration. The rise in blood HCO </w:t>
      </w:r>
      <w:r>
        <w:rPr>
          <w:rFonts w:ascii="Consolas" w:hAnsi="Consolas"/>
          <w:color w:val="231F20"/>
          <w:w w:val="105"/>
          <w:position w:val="8"/>
          <w:sz w:val="12"/>
          <w:vertAlign w:val="baseline"/>
        </w:rPr>
        <w:t>− </w:t>
      </w:r>
      <w:r>
        <w:rPr>
          <w:color w:val="231F20"/>
          <w:w w:val="105"/>
          <w:vertAlign w:val="baseline"/>
        </w:rPr>
        <w:t>that occurs </w:t>
      </w:r>
      <w:r>
        <w:rPr>
          <w:color w:val="231F20"/>
          <w:spacing w:val="-9"/>
          <w:w w:val="105"/>
          <w:vertAlign w:val="baseline"/>
        </w:rPr>
        <w:t>is </w:t>
      </w:r>
      <w:r>
        <w:rPr>
          <w:color w:val="231F20"/>
          <w:w w:val="105"/>
          <w:vertAlign w:val="baseline"/>
        </w:rPr>
        <w:t>compensated</w:t>
      </w:r>
      <w:r>
        <w:rPr>
          <w:color w:val="231F20"/>
          <w:spacing w:val="-7"/>
          <w:w w:val="105"/>
          <w:vertAlign w:val="baseline"/>
        </w:rPr>
        <w:t> </w:t>
      </w:r>
      <w:r>
        <w:rPr>
          <w:color w:val="231F20"/>
          <w:w w:val="105"/>
          <w:vertAlign w:val="baseline"/>
        </w:rPr>
        <w:t>for</w:t>
      </w:r>
      <w:r>
        <w:rPr>
          <w:color w:val="231F20"/>
          <w:spacing w:val="-7"/>
          <w:w w:val="105"/>
          <w:vertAlign w:val="baseline"/>
        </w:rPr>
        <w:t> </w:t>
      </w:r>
      <w:r>
        <w:rPr>
          <w:color w:val="231F20"/>
          <w:w w:val="105"/>
          <w:vertAlign w:val="baseline"/>
        </w:rPr>
        <w:t>by</w:t>
      </w:r>
      <w:r>
        <w:rPr>
          <w:color w:val="231F20"/>
          <w:spacing w:val="-7"/>
          <w:w w:val="105"/>
          <w:vertAlign w:val="baseline"/>
        </w:rPr>
        <w:t> </w:t>
      </w:r>
      <w:r>
        <w:rPr>
          <w:color w:val="231F20"/>
          <w:w w:val="105"/>
          <w:vertAlign w:val="baseline"/>
        </w:rPr>
        <w:t>increased</w:t>
      </w:r>
      <w:r>
        <w:rPr>
          <w:color w:val="231F20"/>
          <w:spacing w:val="-7"/>
          <w:w w:val="105"/>
          <w:vertAlign w:val="baseline"/>
        </w:rPr>
        <w:t> </w:t>
      </w:r>
      <w:r>
        <w:rPr>
          <w:color w:val="231F20"/>
          <w:w w:val="105"/>
          <w:vertAlign w:val="baseline"/>
        </w:rPr>
        <w:t>renal</w:t>
      </w:r>
      <w:r>
        <w:rPr>
          <w:color w:val="231F20"/>
          <w:spacing w:val="-7"/>
          <w:w w:val="105"/>
          <w:vertAlign w:val="baseline"/>
        </w:rPr>
        <w:t> </w:t>
      </w:r>
      <w:r>
        <w:rPr>
          <w:color w:val="231F20"/>
          <w:w w:val="105"/>
          <w:vertAlign w:val="baseline"/>
        </w:rPr>
        <w:t>excretion</w:t>
      </w:r>
      <w:r>
        <w:rPr>
          <w:color w:val="231F20"/>
          <w:spacing w:val="-7"/>
          <w:w w:val="105"/>
          <w:vertAlign w:val="baseline"/>
        </w:rPr>
        <w:t> </w:t>
      </w:r>
      <w:r>
        <w:rPr>
          <w:color w:val="231F20"/>
          <w:w w:val="105"/>
          <w:vertAlign w:val="baseline"/>
        </w:rPr>
        <w:t>of</w:t>
      </w:r>
      <w:r>
        <w:rPr>
          <w:color w:val="231F20"/>
          <w:spacing w:val="-6"/>
          <w:w w:val="105"/>
          <w:vertAlign w:val="baseline"/>
        </w:rPr>
        <w:t> </w:t>
      </w:r>
      <w:r>
        <w:rPr>
          <w:color w:val="231F20"/>
          <w:w w:val="105"/>
          <w:vertAlign w:val="baseline"/>
        </w:rPr>
        <w:t>HCO</w:t>
      </w:r>
      <w:r>
        <w:rPr>
          <w:color w:val="231F20"/>
          <w:spacing w:val="-5"/>
          <w:w w:val="105"/>
          <w:vertAlign w:val="baseline"/>
        </w:rPr>
        <w:t> </w:t>
      </w:r>
      <w:r>
        <w:rPr>
          <w:rFonts w:ascii="Consolas" w:hAnsi="Consolas"/>
          <w:color w:val="231F20"/>
          <w:w w:val="105"/>
          <w:position w:val="8"/>
          <w:sz w:val="12"/>
          <w:vertAlign w:val="baseline"/>
        </w:rPr>
        <w:t>−</w:t>
      </w:r>
      <w:r>
        <w:rPr>
          <w:color w:val="231F20"/>
          <w:w w:val="105"/>
          <w:vertAlign w:val="baseline"/>
        </w:rPr>
        <w:t>.</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4"/>
        <w:ind w:left="1440"/>
      </w:pPr>
      <w:r>
        <w:rPr/>
        <w:pict>
          <v:group style="position:absolute;margin-left:324pt;margin-top:-73.181068pt;width:234pt;height:406.75pt;mso-position-horizontal-relative:page;mso-position-vertical-relative:paragraph;z-index:252755968" coordorigin="6480,-1464" coordsize="4680,8135">
            <v:rect style="position:absolute;left:6480;top:-1464;width:4680;height:8135" filled="true" fillcolor="#f0eef6" stroked="false">
              <v:fill type="solid"/>
            </v:rect>
            <v:line style="position:absolute" from="8553,1325" to="9447,1325" stroked="true" strokeweight=".438pt" strokecolor="#000000">
              <v:stroke dashstyle="solid"/>
            </v:line>
            <v:shape style="position:absolute;left:6660;top:4783;width:4341;height:1800" type="#_x0000_t202" filled="false" stroked="false">
              <v:textbox inset="0,0,0,0">
                <w:txbxContent>
                  <w:p>
                    <w:pPr>
                      <w:spacing w:line="252" w:lineRule="auto" w:before="0"/>
                      <w:ind w:left="0" w:right="18" w:firstLine="240"/>
                      <w:jc w:val="both"/>
                      <w:rPr>
                        <w:sz w:val="18"/>
                      </w:rPr>
                    </w:pPr>
                    <w:r>
                      <w:rPr>
                        <w:color w:val="231F20"/>
                        <w:w w:val="105"/>
                        <w:sz w:val="18"/>
                      </w:rPr>
                      <w:t>The dissociation constant (K) for Equation 3 is </w:t>
                    </w:r>
                    <w:r>
                      <w:rPr>
                        <w:color w:val="231F20"/>
                        <w:spacing w:val="-3"/>
                        <w:w w:val="105"/>
                        <w:sz w:val="18"/>
                      </w:rPr>
                      <w:t>only </w:t>
                    </w:r>
                    <w:r>
                      <w:rPr>
                        <w:color w:val="231F20"/>
                        <w:spacing w:val="-2"/>
                        <w:w w:val="100"/>
                        <w:sz w:val="18"/>
                      </w:rPr>
                      <w:t>a</w:t>
                    </w:r>
                    <w:r>
                      <w:rPr>
                        <w:color w:val="231F20"/>
                        <w:spacing w:val="2"/>
                        <w:w w:val="103"/>
                        <w:sz w:val="18"/>
                      </w:rPr>
                      <w:t>b</w:t>
                    </w:r>
                    <w:r>
                      <w:rPr>
                        <w:color w:val="231F20"/>
                        <w:w w:val="107"/>
                        <w:sz w:val="18"/>
                      </w:rPr>
                      <w:t>out</w:t>
                    </w:r>
                    <w:r>
                      <w:rPr>
                        <w:color w:val="231F20"/>
                        <w:spacing w:val="-1"/>
                        <w:sz w:val="18"/>
                      </w:rPr>
                      <w:t> </w:t>
                    </w:r>
                    <w:r>
                      <w:rPr>
                        <w:color w:val="231F20"/>
                        <w:w w:val="102"/>
                        <w:sz w:val="18"/>
                      </w:rPr>
                      <w:t>1/400</w:t>
                    </w:r>
                    <w:r>
                      <w:rPr>
                        <w:color w:val="231F20"/>
                        <w:spacing w:val="-1"/>
                        <w:sz w:val="18"/>
                      </w:rPr>
                      <w:t> </w:t>
                    </w:r>
                    <w:r>
                      <w:rPr>
                        <w:color w:val="231F20"/>
                        <w:w w:val="97"/>
                        <w:sz w:val="18"/>
                      </w:rPr>
                      <w:t>of</w:t>
                    </w:r>
                    <w:r>
                      <w:rPr>
                        <w:color w:val="231F20"/>
                        <w:spacing w:val="-1"/>
                        <w:sz w:val="18"/>
                      </w:rPr>
                      <w:t> </w:t>
                    </w:r>
                    <w:r>
                      <w:rPr>
                        <w:color w:val="231F20"/>
                        <w:spacing w:val="-2"/>
                        <w:w w:val="116"/>
                        <w:sz w:val="18"/>
                      </w:rPr>
                      <w:t>t</w:t>
                    </w:r>
                    <w:r>
                      <w:rPr>
                        <w:color w:val="231F20"/>
                        <w:w w:val="104"/>
                        <w:sz w:val="18"/>
                      </w:rPr>
                      <w:t>he</w:t>
                    </w:r>
                    <w:r>
                      <w:rPr>
                        <w:color w:val="231F20"/>
                        <w:spacing w:val="-1"/>
                        <w:sz w:val="18"/>
                      </w:rPr>
                      <w:t> </w:t>
                    </w:r>
                    <w:r>
                      <w:rPr>
                        <w:color w:val="231F20"/>
                        <w:w w:val="99"/>
                        <w:sz w:val="18"/>
                      </w:rPr>
                      <w:t>dis</w:t>
                    </w:r>
                    <w:r>
                      <w:rPr>
                        <w:color w:val="231F20"/>
                        <w:spacing w:val="1"/>
                        <w:w w:val="99"/>
                        <w:sz w:val="18"/>
                      </w:rPr>
                      <w:t>s</w:t>
                    </w:r>
                    <w:r>
                      <w:rPr>
                        <w:color w:val="231F20"/>
                        <w:spacing w:val="2"/>
                        <w:w w:val="103"/>
                        <w:sz w:val="18"/>
                      </w:rPr>
                      <w:t>o</w:t>
                    </w:r>
                    <w:r>
                      <w:rPr>
                        <w:color w:val="231F20"/>
                        <w:w w:val="101"/>
                        <w:sz w:val="18"/>
                      </w:rPr>
                      <w:t>c</w:t>
                    </w:r>
                    <w:r>
                      <w:rPr>
                        <w:color w:val="231F20"/>
                        <w:w w:val="97"/>
                        <w:sz w:val="18"/>
                      </w:rPr>
                      <w:t>i</w:t>
                    </w:r>
                    <w:r>
                      <w:rPr>
                        <w:color w:val="231F20"/>
                        <w:spacing w:val="-2"/>
                        <w:w w:val="97"/>
                        <w:sz w:val="18"/>
                      </w:rPr>
                      <w:t>a</w:t>
                    </w:r>
                    <w:r>
                      <w:rPr>
                        <w:color w:val="231F20"/>
                        <w:w w:val="106"/>
                        <w:sz w:val="18"/>
                      </w:rPr>
                      <w:t>tion</w:t>
                    </w:r>
                    <w:r>
                      <w:rPr>
                        <w:color w:val="231F20"/>
                        <w:spacing w:val="-1"/>
                        <w:sz w:val="18"/>
                      </w:rPr>
                      <w:t> </w:t>
                    </w:r>
                    <w:r>
                      <w:rPr>
                        <w:color w:val="231F20"/>
                        <w:spacing w:val="-3"/>
                        <w:w w:val="101"/>
                        <w:sz w:val="18"/>
                      </w:rPr>
                      <w:t>c</w:t>
                    </w:r>
                    <w:r>
                      <w:rPr>
                        <w:color w:val="231F20"/>
                        <w:w w:val="106"/>
                        <w:sz w:val="18"/>
                      </w:rPr>
                      <w:t>ons</w:t>
                    </w:r>
                    <w:r>
                      <w:rPr>
                        <w:color w:val="231F20"/>
                        <w:spacing w:val="1"/>
                        <w:w w:val="106"/>
                        <w:sz w:val="18"/>
                      </w:rPr>
                      <w:t>t</w:t>
                    </w:r>
                    <w:r>
                      <w:rPr>
                        <w:color w:val="231F20"/>
                        <w:w w:val="105"/>
                        <w:sz w:val="18"/>
                      </w:rPr>
                      <w:t>a</w:t>
                    </w:r>
                    <w:r>
                      <w:rPr>
                        <w:color w:val="231F20"/>
                        <w:spacing w:val="-2"/>
                        <w:w w:val="105"/>
                        <w:sz w:val="18"/>
                      </w:rPr>
                      <w:t>n</w:t>
                    </w:r>
                    <w:r>
                      <w:rPr>
                        <w:color w:val="231F20"/>
                        <w:w w:val="116"/>
                        <w:sz w:val="18"/>
                      </w:rPr>
                      <w:t>t</w:t>
                    </w:r>
                    <w:r>
                      <w:rPr>
                        <w:color w:val="231F20"/>
                        <w:spacing w:val="-1"/>
                        <w:sz w:val="18"/>
                      </w:rPr>
                      <w:t> </w:t>
                    </w:r>
                    <w:r>
                      <w:rPr>
                        <w:color w:val="231F20"/>
                        <w:w w:val="93"/>
                        <w:sz w:val="18"/>
                      </w:rPr>
                      <w:t>(K</w:t>
                    </w:r>
                    <w:r>
                      <w:rPr>
                        <w:rFonts w:ascii="Consolas" w:hAnsi="Consolas"/>
                        <w:color w:val="231F20"/>
                        <w:w w:val="44"/>
                        <w:sz w:val="18"/>
                      </w:rPr>
                      <w:t>′</w:t>
                    </w:r>
                    <w:r>
                      <w:rPr>
                        <w:color w:val="231F20"/>
                        <w:w w:val="97"/>
                        <w:sz w:val="18"/>
                      </w:rPr>
                      <w:t>)</w:t>
                    </w:r>
                    <w:r>
                      <w:rPr>
                        <w:color w:val="231F20"/>
                        <w:spacing w:val="-1"/>
                        <w:sz w:val="18"/>
                      </w:rPr>
                      <w:t> </w:t>
                    </w:r>
                    <w:r>
                      <w:rPr>
                        <w:color w:val="231F20"/>
                        <w:w w:val="97"/>
                        <w:sz w:val="18"/>
                      </w:rPr>
                      <w:t>of</w:t>
                    </w:r>
                    <w:r>
                      <w:rPr>
                        <w:color w:val="231F20"/>
                        <w:spacing w:val="-1"/>
                        <w:sz w:val="18"/>
                      </w:rPr>
                      <w:t> </w:t>
                    </w:r>
                    <w:r>
                      <w:rPr>
                        <w:color w:val="231F20"/>
                        <w:w w:val="97"/>
                        <w:sz w:val="18"/>
                      </w:rPr>
                      <w:t>E</w:t>
                    </w:r>
                    <w:r>
                      <w:rPr>
                        <w:color w:val="231F20"/>
                        <w:spacing w:val="-1"/>
                        <w:w w:val="97"/>
                        <w:sz w:val="18"/>
                      </w:rPr>
                      <w:t>q</w:t>
                    </w:r>
                    <w:r>
                      <w:rPr>
                        <w:color w:val="231F20"/>
                        <w:w w:val="103"/>
                        <w:sz w:val="18"/>
                      </w:rPr>
                      <w:t>u</w:t>
                    </w:r>
                    <w:r>
                      <w:rPr>
                        <w:color w:val="231F20"/>
                        <w:spacing w:val="-2"/>
                        <w:w w:val="103"/>
                        <w:sz w:val="18"/>
                      </w:rPr>
                      <w:t>a</w:t>
                    </w:r>
                    <w:r>
                      <w:rPr>
                        <w:color w:val="231F20"/>
                        <w:w w:val="106"/>
                        <w:sz w:val="18"/>
                      </w:rPr>
                      <w:t>tion</w:t>
                    </w:r>
                    <w:r>
                      <w:rPr>
                        <w:color w:val="231F20"/>
                        <w:spacing w:val="-1"/>
                        <w:sz w:val="18"/>
                      </w:rPr>
                      <w:t> </w:t>
                    </w:r>
                    <w:r>
                      <w:rPr>
                        <w:color w:val="231F20"/>
                        <w:w w:val="98"/>
                        <w:sz w:val="18"/>
                      </w:rPr>
                      <w:t>2 </w:t>
                    </w:r>
                    <w:r>
                      <w:rPr>
                        <w:color w:val="231F20"/>
                        <w:w w:val="105"/>
                        <w:sz w:val="18"/>
                      </w:rPr>
                      <w:t>because</w:t>
                    </w:r>
                    <w:r>
                      <w:rPr>
                        <w:color w:val="231F20"/>
                        <w:spacing w:val="-8"/>
                        <w:w w:val="105"/>
                        <w:sz w:val="18"/>
                      </w:rPr>
                      <w:t> </w:t>
                    </w:r>
                    <w:r>
                      <w:rPr>
                        <w:color w:val="231F20"/>
                        <w:w w:val="105"/>
                        <w:sz w:val="18"/>
                      </w:rPr>
                      <w:t>the</w:t>
                    </w:r>
                    <w:r>
                      <w:rPr>
                        <w:color w:val="231F20"/>
                        <w:spacing w:val="-7"/>
                        <w:w w:val="105"/>
                        <w:sz w:val="18"/>
                      </w:rPr>
                      <w:t> </w:t>
                    </w:r>
                    <w:r>
                      <w:rPr>
                        <w:color w:val="231F20"/>
                        <w:w w:val="105"/>
                        <w:sz w:val="18"/>
                      </w:rPr>
                      <w:t>proportionality</w:t>
                    </w:r>
                    <w:r>
                      <w:rPr>
                        <w:color w:val="231F20"/>
                        <w:spacing w:val="-8"/>
                        <w:w w:val="105"/>
                        <w:sz w:val="18"/>
                      </w:rPr>
                      <w:t> </w:t>
                    </w:r>
                    <w:r>
                      <w:rPr>
                        <w:color w:val="231F20"/>
                        <w:w w:val="105"/>
                        <w:sz w:val="18"/>
                      </w:rPr>
                      <w:t>ratio</w:t>
                    </w:r>
                    <w:r>
                      <w:rPr>
                        <w:color w:val="231F20"/>
                        <w:spacing w:val="-7"/>
                        <w:w w:val="105"/>
                        <w:sz w:val="18"/>
                      </w:rPr>
                      <w:t> </w:t>
                    </w:r>
                    <w:r>
                      <w:rPr>
                        <w:color w:val="231F20"/>
                        <w:w w:val="105"/>
                        <w:sz w:val="18"/>
                      </w:rPr>
                      <w:t>between</w:t>
                    </w:r>
                    <w:r>
                      <w:rPr>
                        <w:color w:val="231F20"/>
                        <w:spacing w:val="-7"/>
                        <w:w w:val="105"/>
                        <w:sz w:val="18"/>
                      </w:rPr>
                      <w:t> </w:t>
                    </w:r>
                    <w:r>
                      <w:rPr>
                        <w:color w:val="231F20"/>
                        <w:w w:val="105"/>
                        <w:sz w:val="18"/>
                      </w:rPr>
                      <w:t>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spacing w:val="-8"/>
                        <w:w w:val="105"/>
                        <w:sz w:val="18"/>
                        <w:vertAlign w:val="baseline"/>
                      </w:rPr>
                      <w:t> </w:t>
                    </w:r>
                    <w:r>
                      <w:rPr>
                        <w:color w:val="231F20"/>
                        <w:w w:val="105"/>
                        <w:sz w:val="18"/>
                        <w:vertAlign w:val="baseline"/>
                      </w:rPr>
                      <w:t>and</w:t>
                    </w:r>
                    <w:r>
                      <w:rPr>
                        <w:color w:val="231F20"/>
                        <w:spacing w:val="-7"/>
                        <w:w w:val="105"/>
                        <w:sz w:val="18"/>
                        <w:vertAlign w:val="baseline"/>
                      </w:rPr>
                      <w:t> </w:t>
                    </w:r>
                    <w:r>
                      <w:rPr>
                        <w:color w:val="231F20"/>
                        <w:spacing w:val="-11"/>
                        <w:w w:val="105"/>
                        <w:sz w:val="18"/>
                        <w:vertAlign w:val="baseline"/>
                      </w:rPr>
                      <w:t>CO</w:t>
                    </w:r>
                    <w:r>
                      <w:rPr>
                        <w:color w:val="231F20"/>
                        <w:spacing w:val="-11"/>
                        <w:w w:val="105"/>
                        <w:sz w:val="18"/>
                        <w:vertAlign w:val="subscript"/>
                      </w:rPr>
                      <w:t>2</w:t>
                    </w:r>
                    <w:r>
                      <w:rPr>
                        <w:color w:val="231F20"/>
                        <w:spacing w:val="-11"/>
                        <w:w w:val="105"/>
                        <w:sz w:val="18"/>
                        <w:vertAlign w:val="baseline"/>
                      </w:rPr>
                      <w:t> </w:t>
                    </w:r>
                    <w:r>
                      <w:rPr>
                        <w:color w:val="231F20"/>
                        <w:w w:val="105"/>
                        <w:sz w:val="18"/>
                        <w:vertAlign w:val="baseline"/>
                      </w:rPr>
                      <w:t>is</w:t>
                    </w:r>
                    <w:r>
                      <w:rPr>
                        <w:color w:val="231F20"/>
                        <w:spacing w:val="3"/>
                        <w:w w:val="105"/>
                        <w:sz w:val="18"/>
                        <w:vertAlign w:val="baseline"/>
                      </w:rPr>
                      <w:t> </w:t>
                    </w:r>
                    <w:r>
                      <w:rPr>
                        <w:color w:val="231F20"/>
                        <w:w w:val="105"/>
                        <w:sz w:val="18"/>
                        <w:vertAlign w:val="baseline"/>
                      </w:rPr>
                      <w:t>1</w:t>
                    </w:r>
                    <w:r>
                      <w:rPr>
                        <w:color w:val="231F20"/>
                        <w:spacing w:val="-26"/>
                        <w:w w:val="105"/>
                        <w:sz w:val="18"/>
                        <w:vertAlign w:val="baseline"/>
                      </w:rPr>
                      <w:t> </w:t>
                    </w:r>
                    <w:r>
                      <w:rPr>
                        <w:color w:val="231F20"/>
                        <w:w w:val="105"/>
                        <w:sz w:val="18"/>
                        <w:vertAlign w:val="baseline"/>
                      </w:rPr>
                      <w:t>:</w:t>
                    </w:r>
                    <w:r>
                      <w:rPr>
                        <w:color w:val="231F20"/>
                        <w:spacing w:val="-26"/>
                        <w:w w:val="105"/>
                        <w:sz w:val="18"/>
                        <w:vertAlign w:val="baseline"/>
                      </w:rPr>
                      <w:t> </w:t>
                    </w:r>
                    <w:r>
                      <w:rPr>
                        <w:color w:val="231F20"/>
                        <w:w w:val="105"/>
                        <w:sz w:val="18"/>
                        <w:vertAlign w:val="baseline"/>
                      </w:rPr>
                      <w:t>400.</w:t>
                    </w:r>
                  </w:p>
                  <w:p>
                    <w:pPr>
                      <w:spacing w:line="249" w:lineRule="auto" w:before="3"/>
                      <w:ind w:left="0" w:right="18" w:firstLine="239"/>
                      <w:jc w:val="both"/>
                      <w:rPr>
                        <w:sz w:val="18"/>
                      </w:rPr>
                    </w:pPr>
                    <w:r>
                      <w:rPr>
                        <w:color w:val="231F20"/>
                        <w:w w:val="105"/>
                        <w:sz w:val="18"/>
                      </w:rPr>
                      <w:t>Equation 3 is written in terms of the total amount of CO</w:t>
                    </w:r>
                    <w:r>
                      <w:rPr>
                        <w:color w:val="231F20"/>
                        <w:w w:val="105"/>
                        <w:sz w:val="18"/>
                        <w:vertAlign w:val="subscript"/>
                      </w:rPr>
                      <w:t>2</w:t>
                    </w:r>
                    <w:r>
                      <w:rPr>
                        <w:color w:val="231F20"/>
                        <w:spacing w:val="-5"/>
                        <w:w w:val="105"/>
                        <w:sz w:val="18"/>
                        <w:vertAlign w:val="baseline"/>
                      </w:rPr>
                      <w:t> </w:t>
                    </w:r>
                    <w:r>
                      <w:rPr>
                        <w:color w:val="231F20"/>
                        <w:w w:val="105"/>
                        <w:sz w:val="18"/>
                        <w:vertAlign w:val="baseline"/>
                      </w:rPr>
                      <w:t>dissolved</w:t>
                    </w:r>
                    <w:r>
                      <w:rPr>
                        <w:color w:val="231F20"/>
                        <w:spacing w:val="-5"/>
                        <w:w w:val="105"/>
                        <w:sz w:val="18"/>
                        <w:vertAlign w:val="baseline"/>
                      </w:rPr>
                      <w:t> </w:t>
                    </w:r>
                    <w:r>
                      <w:rPr>
                        <w:color w:val="231F20"/>
                        <w:w w:val="105"/>
                        <w:sz w:val="18"/>
                        <w:vertAlign w:val="baseline"/>
                      </w:rPr>
                      <w:t>in</w:t>
                    </w:r>
                    <w:r>
                      <w:rPr>
                        <w:color w:val="231F20"/>
                        <w:spacing w:val="-5"/>
                        <w:w w:val="105"/>
                        <w:sz w:val="18"/>
                        <w:vertAlign w:val="baseline"/>
                      </w:rPr>
                      <w:t> </w:t>
                    </w:r>
                    <w:r>
                      <w:rPr>
                        <w:color w:val="231F20"/>
                        <w:w w:val="105"/>
                        <w:sz w:val="18"/>
                        <w:vertAlign w:val="baseline"/>
                      </w:rPr>
                      <w:t>solution.</w:t>
                    </w:r>
                    <w:r>
                      <w:rPr>
                        <w:color w:val="231F20"/>
                        <w:spacing w:val="-5"/>
                        <w:w w:val="105"/>
                        <w:sz w:val="18"/>
                        <w:vertAlign w:val="baseline"/>
                      </w:rPr>
                      <w:t> </w:t>
                    </w:r>
                    <w:r>
                      <w:rPr>
                        <w:color w:val="231F20"/>
                        <w:w w:val="105"/>
                        <w:sz w:val="18"/>
                        <w:vertAlign w:val="baseline"/>
                      </w:rPr>
                      <w:t>However,</w:t>
                    </w:r>
                    <w:r>
                      <w:rPr>
                        <w:color w:val="231F20"/>
                        <w:spacing w:val="-5"/>
                        <w:w w:val="105"/>
                        <w:sz w:val="18"/>
                        <w:vertAlign w:val="baseline"/>
                      </w:rPr>
                      <w:t> </w:t>
                    </w:r>
                    <w:r>
                      <w:rPr>
                        <w:color w:val="231F20"/>
                        <w:w w:val="105"/>
                        <w:sz w:val="18"/>
                        <w:vertAlign w:val="baseline"/>
                      </w:rPr>
                      <w:t>most</w:t>
                    </w:r>
                    <w:r>
                      <w:rPr>
                        <w:color w:val="231F20"/>
                        <w:spacing w:val="-5"/>
                        <w:w w:val="105"/>
                        <w:sz w:val="18"/>
                        <w:vertAlign w:val="baseline"/>
                      </w:rPr>
                      <w:t> </w:t>
                    </w:r>
                    <w:r>
                      <w:rPr>
                        <w:color w:val="231F20"/>
                        <w:w w:val="105"/>
                        <w:sz w:val="18"/>
                        <w:vertAlign w:val="baseline"/>
                      </w:rPr>
                      <w:t>clinical</w:t>
                    </w:r>
                    <w:r>
                      <w:rPr>
                        <w:color w:val="231F20"/>
                        <w:spacing w:val="-5"/>
                        <w:w w:val="105"/>
                        <w:sz w:val="18"/>
                        <w:vertAlign w:val="baseline"/>
                      </w:rPr>
                      <w:t> </w:t>
                    </w:r>
                    <w:r>
                      <w:rPr>
                        <w:color w:val="231F20"/>
                        <w:spacing w:val="-4"/>
                        <w:w w:val="105"/>
                        <w:sz w:val="18"/>
                        <w:vertAlign w:val="baseline"/>
                      </w:rPr>
                      <w:t>labora- </w:t>
                    </w:r>
                    <w:r>
                      <w:rPr>
                        <w:color w:val="231F20"/>
                        <w:w w:val="105"/>
                        <w:sz w:val="18"/>
                        <w:vertAlign w:val="baseline"/>
                      </w:rPr>
                      <w:t>tories measure the blood CO</w:t>
                    </w:r>
                    <w:r>
                      <w:rPr>
                        <w:color w:val="231F20"/>
                        <w:w w:val="105"/>
                        <w:sz w:val="18"/>
                        <w:vertAlign w:val="subscript"/>
                      </w:rPr>
                      <w:t>2</w:t>
                    </w:r>
                    <w:r>
                      <w:rPr>
                        <w:color w:val="231F20"/>
                        <w:w w:val="105"/>
                        <w:sz w:val="18"/>
                        <w:vertAlign w:val="baseline"/>
                      </w:rPr>
                      <w:t> tension (P</w:t>
                    </w:r>
                    <w:r>
                      <w:rPr>
                        <w:color w:val="231F20"/>
                        <w:w w:val="105"/>
                        <w:sz w:val="14"/>
                        <w:vertAlign w:val="baseline"/>
                      </w:rPr>
                      <w:t>CO</w:t>
                    </w:r>
                    <w:r>
                      <w:rPr>
                        <w:color w:val="231F20"/>
                        <w:w w:val="105"/>
                        <w:position w:val="-2"/>
                        <w:sz w:val="11"/>
                        <w:vertAlign w:val="baseline"/>
                      </w:rPr>
                      <w:t>2</w:t>
                    </w:r>
                    <w:r>
                      <w:rPr>
                        <w:color w:val="231F20"/>
                        <w:w w:val="105"/>
                        <w:sz w:val="18"/>
                        <w:vertAlign w:val="baseline"/>
                      </w:rPr>
                      <w:t>) rather </w:t>
                    </w:r>
                    <w:r>
                      <w:rPr>
                        <w:color w:val="231F20"/>
                        <w:spacing w:val="-5"/>
                        <w:w w:val="105"/>
                        <w:sz w:val="18"/>
                        <w:vertAlign w:val="baseline"/>
                      </w:rPr>
                      <w:t>than </w:t>
                    </w:r>
                    <w:r>
                      <w:rPr>
                        <w:color w:val="231F20"/>
                        <w:w w:val="105"/>
                        <w:sz w:val="18"/>
                        <w:vertAlign w:val="baseline"/>
                      </w:rPr>
                      <w:t>the</w:t>
                    </w:r>
                    <w:r>
                      <w:rPr>
                        <w:color w:val="231F20"/>
                        <w:spacing w:val="-9"/>
                        <w:w w:val="105"/>
                        <w:sz w:val="18"/>
                        <w:vertAlign w:val="baseline"/>
                      </w:rPr>
                      <w:t> </w:t>
                    </w:r>
                    <w:r>
                      <w:rPr>
                        <w:color w:val="231F20"/>
                        <w:w w:val="105"/>
                        <w:sz w:val="18"/>
                        <w:vertAlign w:val="baseline"/>
                      </w:rPr>
                      <w:t>actual</w:t>
                    </w:r>
                    <w:r>
                      <w:rPr>
                        <w:color w:val="231F20"/>
                        <w:spacing w:val="-8"/>
                        <w:w w:val="105"/>
                        <w:sz w:val="18"/>
                        <w:vertAlign w:val="baseline"/>
                      </w:rPr>
                      <w:t> </w:t>
                    </w:r>
                    <w:r>
                      <w:rPr>
                        <w:color w:val="231F20"/>
                        <w:w w:val="105"/>
                        <w:sz w:val="18"/>
                        <w:vertAlign w:val="baseline"/>
                      </w:rPr>
                      <w:t>amount</w:t>
                    </w:r>
                    <w:r>
                      <w:rPr>
                        <w:color w:val="231F20"/>
                        <w:spacing w:val="-8"/>
                        <w:w w:val="105"/>
                        <w:sz w:val="18"/>
                        <w:vertAlign w:val="baseline"/>
                      </w:rPr>
                      <w:t> </w:t>
                    </w:r>
                    <w:r>
                      <w:rPr>
                        <w:color w:val="231F20"/>
                        <w:w w:val="105"/>
                        <w:sz w:val="18"/>
                        <w:vertAlign w:val="baseline"/>
                      </w:rPr>
                      <w:t>of</w:t>
                    </w:r>
                    <w:r>
                      <w:rPr>
                        <w:color w:val="231F20"/>
                        <w:spacing w:val="-9"/>
                        <w:w w:val="105"/>
                        <w:sz w:val="18"/>
                        <w:vertAlign w:val="baseline"/>
                      </w:rPr>
                      <w:t> </w:t>
                    </w:r>
                    <w:r>
                      <w:rPr>
                        <w:color w:val="231F20"/>
                        <w:w w:val="105"/>
                        <w:sz w:val="18"/>
                        <w:vertAlign w:val="baseline"/>
                      </w:rPr>
                      <w:t>CO</w:t>
                    </w:r>
                    <w:r>
                      <w:rPr>
                        <w:color w:val="231F20"/>
                        <w:w w:val="105"/>
                        <w:sz w:val="18"/>
                        <w:vertAlign w:val="subscript"/>
                      </w:rPr>
                      <w:t>2</w:t>
                    </w:r>
                    <w:r>
                      <w:rPr>
                        <w:color w:val="231F20"/>
                        <w:w w:val="105"/>
                        <w:sz w:val="18"/>
                        <w:vertAlign w:val="baseline"/>
                      </w:rPr>
                      <w:t>.</w:t>
                    </w:r>
                    <w:r>
                      <w:rPr>
                        <w:color w:val="231F20"/>
                        <w:spacing w:val="-8"/>
                        <w:w w:val="105"/>
                        <w:sz w:val="18"/>
                        <w:vertAlign w:val="baseline"/>
                      </w:rPr>
                      <w:t> </w:t>
                    </w:r>
                    <w:r>
                      <w:rPr>
                        <w:color w:val="231F20"/>
                        <w:w w:val="105"/>
                        <w:sz w:val="18"/>
                        <w:vertAlign w:val="baseline"/>
                      </w:rPr>
                      <w:t>Fortunately,</w:t>
                    </w:r>
                    <w:r>
                      <w:rPr>
                        <w:color w:val="231F20"/>
                        <w:spacing w:val="-8"/>
                        <w:w w:val="105"/>
                        <w:sz w:val="18"/>
                        <w:vertAlign w:val="baseline"/>
                      </w:rPr>
                      <w:t> </w:t>
                    </w:r>
                    <w:r>
                      <w:rPr>
                        <w:color w:val="231F20"/>
                        <w:w w:val="105"/>
                        <w:sz w:val="18"/>
                        <w:vertAlign w:val="baseline"/>
                      </w:rPr>
                      <w:t>the</w:t>
                    </w:r>
                    <w:r>
                      <w:rPr>
                        <w:color w:val="231F20"/>
                        <w:spacing w:val="-8"/>
                        <w:w w:val="105"/>
                        <w:sz w:val="18"/>
                        <w:vertAlign w:val="baseline"/>
                      </w:rPr>
                      <w:t> </w:t>
                    </w:r>
                    <w:r>
                      <w:rPr>
                        <w:color w:val="231F20"/>
                        <w:w w:val="105"/>
                        <w:sz w:val="18"/>
                        <w:vertAlign w:val="baseline"/>
                      </w:rPr>
                      <w:t>amount</w:t>
                    </w:r>
                    <w:r>
                      <w:rPr>
                        <w:color w:val="231F20"/>
                        <w:spacing w:val="-9"/>
                        <w:w w:val="105"/>
                        <w:sz w:val="18"/>
                        <w:vertAlign w:val="baseline"/>
                      </w:rPr>
                      <w:t> </w:t>
                    </w:r>
                    <w:r>
                      <w:rPr>
                        <w:color w:val="231F20"/>
                        <w:w w:val="105"/>
                        <w:sz w:val="18"/>
                        <w:vertAlign w:val="baseline"/>
                      </w:rPr>
                      <w:t>of</w:t>
                    </w:r>
                    <w:r>
                      <w:rPr>
                        <w:color w:val="231F20"/>
                        <w:spacing w:val="-8"/>
                        <w:w w:val="105"/>
                        <w:sz w:val="18"/>
                        <w:vertAlign w:val="baseline"/>
                      </w:rPr>
                      <w:t> </w:t>
                    </w:r>
                    <w:r>
                      <w:rPr>
                        <w:color w:val="231F20"/>
                        <w:spacing w:val="-7"/>
                        <w:w w:val="105"/>
                        <w:sz w:val="18"/>
                        <w:vertAlign w:val="baseline"/>
                      </w:rPr>
                      <w:t>CO</w:t>
                    </w:r>
                    <w:r>
                      <w:rPr>
                        <w:color w:val="231F20"/>
                        <w:spacing w:val="-7"/>
                        <w:w w:val="105"/>
                        <w:sz w:val="18"/>
                        <w:vertAlign w:val="subscript"/>
                      </w:rPr>
                      <w:t>2</w:t>
                    </w:r>
                  </w:p>
                </w:txbxContent>
              </v:textbox>
              <w10:wrap type="none"/>
            </v:shape>
            <v:shape style="position:absolute;left:10730;top:4342;width:240;height:209" type="#_x0000_t202" filled="false" stroked="false">
              <v:textbox inset="0,0,0,0">
                <w:txbxContent>
                  <w:p>
                    <w:pPr>
                      <w:spacing w:line="208" w:lineRule="exact" w:before="0"/>
                      <w:ind w:left="0" w:right="0" w:firstLine="0"/>
                      <w:jc w:val="left"/>
                      <w:rPr>
                        <w:rFonts w:ascii="Trebuchet MS"/>
                        <w:sz w:val="18"/>
                      </w:rPr>
                    </w:pPr>
                    <w:r>
                      <w:rPr>
                        <w:rFonts w:ascii="Trebuchet MS"/>
                        <w:color w:val="231F20"/>
                        <w:sz w:val="18"/>
                      </w:rPr>
                      <w:t>(3)</w:t>
                    </w:r>
                  </w:p>
                </w:txbxContent>
              </v:textbox>
              <w10:wrap type="none"/>
            </v:shape>
            <v:shape style="position:absolute;left:8884;top:4442;width:525;height:235" type="#_x0000_t202" filled="false" stroked="false">
              <v:textbox inset="0,0,0,0">
                <w:txbxContent>
                  <w:p>
                    <w:pPr>
                      <w:spacing w:before="10"/>
                      <w:ind w:left="0" w:right="0" w:firstLine="0"/>
                      <w:jc w:val="left"/>
                      <w:rPr>
                        <w:rFonts w:ascii="Symbol" w:hAnsi="Symbol"/>
                        <w:sz w:val="10"/>
                      </w:rPr>
                    </w:pP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p>
                </w:txbxContent>
              </v:textbox>
              <w10:wrap type="none"/>
            </v:shape>
            <v:shape style="position:absolute;left:8193;top:4196;width:1243;height:339" type="#_x0000_t202" filled="false" stroked="false">
              <v:textbox inset="0,0,0,0">
                <w:txbxContent>
                  <w:p>
                    <w:pPr>
                      <w:spacing w:line="326" w:lineRule="exact" w:before="0"/>
                      <w:ind w:left="0" w:right="0" w:firstLine="0"/>
                      <w:jc w:val="left"/>
                      <w:rPr>
                        <w:rFonts w:ascii="Trebuchet MS" w:hAnsi="Trebuchet MS"/>
                        <w:sz w:val="10"/>
                      </w:rPr>
                    </w:pPr>
                    <w:r>
                      <w:rPr>
                        <w:rFonts w:ascii="Trebuchet MS" w:hAnsi="Trebuchet MS"/>
                        <w:w w:val="110"/>
                        <w:sz w:val="18"/>
                      </w:rPr>
                      <w:t>H</w:t>
                    </w:r>
                    <w:r>
                      <w:rPr>
                        <w:rFonts w:ascii="Symbol" w:hAnsi="Symbol"/>
                        <w:w w:val="110"/>
                        <w:position w:val="7"/>
                        <w:sz w:val="10"/>
                      </w:rPr>
                      <w:t></w:t>
                    </w:r>
                    <w:r>
                      <w:rPr>
                        <w:w w:val="110"/>
                        <w:position w:val="7"/>
                        <w:sz w:val="10"/>
                      </w:rPr>
                      <w:t> </w:t>
                    </w:r>
                    <w:r>
                      <w:rPr>
                        <w:rFonts w:ascii="Symbol" w:hAnsi="Symbol"/>
                        <w:w w:val="110"/>
                        <w:sz w:val="18"/>
                      </w:rPr>
                      <w:t></w:t>
                    </w:r>
                    <w:r>
                      <w:rPr>
                        <w:w w:val="110"/>
                        <w:sz w:val="18"/>
                      </w:rPr>
                      <w:t> </w:t>
                    </w:r>
                    <w:r>
                      <w:rPr>
                        <w:rFonts w:ascii="Trebuchet MS" w:hAnsi="Trebuchet MS"/>
                        <w:w w:val="110"/>
                        <w:sz w:val="18"/>
                      </w:rPr>
                      <w:t>K </w:t>
                    </w:r>
                    <w:r>
                      <w:rPr>
                        <w:rFonts w:ascii="Symbol" w:hAnsi="Symbol"/>
                        <w:w w:val="110"/>
                        <w:sz w:val="18"/>
                      </w:rPr>
                      <w:t></w:t>
                    </w:r>
                    <w:r>
                      <w:rPr>
                        <w:w w:val="110"/>
                        <w:position w:val="9"/>
                        <w:sz w:val="18"/>
                        <w:u w:val="single"/>
                      </w:rPr>
                      <w:t> </w:t>
                    </w:r>
                    <w:r>
                      <w:rPr>
                        <w:rFonts w:ascii="Trebuchet MS" w:hAnsi="Trebuchet MS"/>
                        <w:w w:val="110"/>
                        <w:position w:val="12"/>
                        <w:sz w:val="18"/>
                      </w:rPr>
                      <w:t>CO</w:t>
                    </w:r>
                    <w:r>
                      <w:rPr>
                        <w:rFonts w:ascii="Trebuchet MS" w:hAnsi="Trebuchet MS"/>
                        <w:w w:val="110"/>
                        <w:position w:val="9"/>
                        <w:sz w:val="10"/>
                        <w:u w:val="single"/>
                      </w:rPr>
                      <w:t>2</w:t>
                    </w:r>
                    <w:r>
                      <w:rPr>
                        <w:rFonts w:ascii="Trebuchet MS" w:hAnsi="Trebuchet MS"/>
                        <w:position w:val="9"/>
                        <w:sz w:val="10"/>
                        <w:u w:val="single"/>
                      </w:rPr>
                      <w:t> </w:t>
                    </w:r>
                  </w:p>
                </w:txbxContent>
              </v:textbox>
              <w10:wrap type="none"/>
            </v:shape>
            <v:shape style="position:absolute;left:6659;top:3317;width:4341;height:826" type="#_x0000_t202" filled="false" stroked="false">
              <v:textbox inset="0,0,0,0">
                <w:txbxContent>
                  <w:p>
                    <w:pPr>
                      <w:spacing w:line="124" w:lineRule="exact" w:before="0"/>
                      <w:ind w:left="602" w:right="0" w:firstLine="0"/>
                      <w:jc w:val="center"/>
                      <w:rPr>
                        <w:sz w:val="11"/>
                      </w:rPr>
                    </w:pPr>
                    <w:r>
                      <w:rPr>
                        <w:color w:val="231F20"/>
                        <w:w w:val="96"/>
                        <w:sz w:val="11"/>
                      </w:rPr>
                      <w:t>3</w:t>
                    </w:r>
                  </w:p>
                  <w:p>
                    <w:pPr>
                      <w:spacing w:line="254" w:lineRule="auto" w:before="1"/>
                      <w:ind w:left="0" w:right="18" w:firstLine="0"/>
                      <w:jc w:val="both"/>
                      <w:rPr>
                        <w:sz w:val="18"/>
                      </w:rPr>
                    </w:pPr>
                    <w:r>
                      <w:rPr>
                        <w:color w:val="231F20"/>
                        <w:w w:val="105"/>
                        <w:sz w:val="18"/>
                      </w:rPr>
                      <w:t>solved in the blood is directly proportional to the amount of undissociated 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w w:val="105"/>
                        <w:sz w:val="18"/>
                        <w:vertAlign w:val="baseline"/>
                      </w:rPr>
                      <w:t>. Therefore, Equation 2 can be rewritten as</w:t>
                    </w:r>
                  </w:p>
                </w:txbxContent>
              </v:textbox>
              <w10:wrap type="none"/>
            </v:shape>
            <v:shape style="position:absolute;left:6659;top:3209;width:4341;height:274" type="#_x0000_t202" filled="false" stroked="false">
              <v:textbox inset="0,0,0,0">
                <w:txbxContent>
                  <w:p>
                    <w:pPr>
                      <w:spacing w:before="10"/>
                      <w:ind w:left="0" w:right="0" w:firstLine="0"/>
                      <w:jc w:val="left"/>
                      <w:rPr>
                        <w:sz w:val="18"/>
                      </w:rPr>
                    </w:pPr>
                    <w:r>
                      <w:rPr>
                        <w:color w:val="231F20"/>
                        <w:w w:val="105"/>
                        <w:sz w:val="18"/>
                      </w:rPr>
                      <w:t>CO</w:t>
                    </w:r>
                    <w:r>
                      <w:rPr>
                        <w:color w:val="231F20"/>
                        <w:w w:val="105"/>
                        <w:sz w:val="18"/>
                        <w:vertAlign w:val="subscript"/>
                      </w:rPr>
                      <w:t>2</w:t>
                    </w:r>
                    <w:r>
                      <w:rPr>
                        <w:color w:val="231F20"/>
                        <w:spacing w:val="-4"/>
                        <w:w w:val="105"/>
                        <w:sz w:val="18"/>
                        <w:vertAlign w:val="baseline"/>
                      </w:rPr>
                      <w:t> </w:t>
                    </w:r>
                    <w:r>
                      <w:rPr>
                        <w:color w:val="231F20"/>
                        <w:w w:val="105"/>
                        <w:sz w:val="18"/>
                        <w:vertAlign w:val="baseline"/>
                      </w:rPr>
                      <w:t>and</w:t>
                    </w:r>
                    <w:r>
                      <w:rPr>
                        <w:color w:val="231F20"/>
                        <w:spacing w:val="-4"/>
                        <w:w w:val="105"/>
                        <w:sz w:val="18"/>
                        <w:vertAlign w:val="baseline"/>
                      </w:rPr>
                      <w:t> </w:t>
                    </w:r>
                    <w:r>
                      <w:rPr>
                        <w:color w:val="231F20"/>
                        <w:w w:val="105"/>
                        <w:sz w:val="18"/>
                        <w:vertAlign w:val="baseline"/>
                      </w:rPr>
                      <w:t>H</w:t>
                    </w:r>
                    <w:r>
                      <w:rPr>
                        <w:color w:val="231F20"/>
                        <w:w w:val="105"/>
                        <w:sz w:val="18"/>
                        <w:vertAlign w:val="subscript"/>
                      </w:rPr>
                      <w:t>2</w:t>
                    </w:r>
                    <w:r>
                      <w:rPr>
                        <w:color w:val="231F20"/>
                        <w:w w:val="105"/>
                        <w:sz w:val="18"/>
                        <w:vertAlign w:val="baseline"/>
                      </w:rPr>
                      <w:t>O</w:t>
                    </w:r>
                    <w:r>
                      <w:rPr>
                        <w:color w:val="231F20"/>
                        <w:spacing w:val="-3"/>
                        <w:w w:val="105"/>
                        <w:sz w:val="18"/>
                        <w:vertAlign w:val="baseline"/>
                      </w:rPr>
                      <w:t> </w:t>
                    </w:r>
                    <w:r>
                      <w:rPr>
                        <w:color w:val="231F20"/>
                        <w:w w:val="105"/>
                        <w:sz w:val="18"/>
                        <w:vertAlign w:val="baseline"/>
                      </w:rPr>
                      <w:t>or</w:t>
                    </w:r>
                    <w:r>
                      <w:rPr>
                        <w:color w:val="231F20"/>
                        <w:spacing w:val="-4"/>
                        <w:w w:val="105"/>
                        <w:sz w:val="18"/>
                        <w:vertAlign w:val="baseline"/>
                      </w:rPr>
                      <w:t> </w:t>
                    </w:r>
                    <w:r>
                      <w:rPr>
                        <w:color w:val="231F20"/>
                        <w:w w:val="105"/>
                        <w:sz w:val="18"/>
                        <w:vertAlign w:val="baseline"/>
                      </w:rPr>
                      <w:t>to</w:t>
                    </w:r>
                    <w:r>
                      <w:rPr>
                        <w:color w:val="231F20"/>
                        <w:spacing w:val="-3"/>
                        <w:w w:val="105"/>
                        <w:sz w:val="18"/>
                        <w:vertAlign w:val="baseline"/>
                      </w:rPr>
                      <w:t> </w:t>
                    </w:r>
                    <w:r>
                      <w:rPr>
                        <w:color w:val="231F20"/>
                        <w:w w:val="105"/>
                        <w:sz w:val="18"/>
                        <w:vertAlign w:val="baseline"/>
                      </w:rPr>
                      <w:t>H</w:t>
                    </w:r>
                    <w:r>
                      <w:rPr>
                        <w:rFonts w:ascii="Consolas" w:hAnsi="Consolas"/>
                        <w:color w:val="231F20"/>
                        <w:w w:val="105"/>
                        <w:position w:val="7"/>
                        <w:sz w:val="11"/>
                        <w:vertAlign w:val="baseline"/>
                      </w:rPr>
                      <w:t>+</w:t>
                    </w:r>
                    <w:r>
                      <w:rPr>
                        <w:rFonts w:ascii="Consolas" w:hAnsi="Consolas"/>
                        <w:color w:val="231F20"/>
                        <w:spacing w:val="-19"/>
                        <w:w w:val="105"/>
                        <w:position w:val="7"/>
                        <w:sz w:val="11"/>
                        <w:vertAlign w:val="baseline"/>
                      </w:rPr>
                      <w:t> </w:t>
                    </w:r>
                    <w:r>
                      <w:rPr>
                        <w:color w:val="231F20"/>
                        <w:w w:val="105"/>
                        <w:sz w:val="18"/>
                        <w:vertAlign w:val="baseline"/>
                      </w:rPr>
                      <w:t>and</w:t>
                    </w:r>
                    <w:r>
                      <w:rPr>
                        <w:color w:val="231F20"/>
                        <w:spacing w:val="-4"/>
                        <w:w w:val="105"/>
                        <w:sz w:val="18"/>
                        <w:vertAlign w:val="baseline"/>
                      </w:rPr>
                      <w:t> </w:t>
                    </w:r>
                    <w:r>
                      <w:rPr>
                        <w:color w:val="231F20"/>
                        <w:w w:val="105"/>
                        <w:sz w:val="18"/>
                        <w:vertAlign w:val="baseline"/>
                      </w:rPr>
                      <w:t>HCO</w:t>
                    </w:r>
                    <w:r>
                      <w:rPr>
                        <w:color w:val="231F20"/>
                        <w:spacing w:val="2"/>
                        <w:w w:val="105"/>
                        <w:sz w:val="18"/>
                        <w:vertAlign w:val="baseline"/>
                      </w:rPr>
                      <w:t> </w:t>
                    </w:r>
                    <w:r>
                      <w:rPr>
                        <w:rFonts w:ascii="Consolas" w:hAnsi="Consolas"/>
                        <w:color w:val="231F20"/>
                        <w:w w:val="105"/>
                        <w:position w:val="7"/>
                        <w:sz w:val="11"/>
                        <w:vertAlign w:val="baseline"/>
                      </w:rPr>
                      <w:t>−</w:t>
                    </w:r>
                    <w:r>
                      <w:rPr>
                        <w:color w:val="231F20"/>
                        <w:w w:val="105"/>
                        <w:sz w:val="18"/>
                        <w:vertAlign w:val="baseline"/>
                      </w:rPr>
                      <w:t>.</w:t>
                    </w:r>
                    <w:r>
                      <w:rPr>
                        <w:color w:val="231F20"/>
                        <w:spacing w:val="-3"/>
                        <w:w w:val="105"/>
                        <w:sz w:val="18"/>
                        <w:vertAlign w:val="baseline"/>
                      </w:rPr>
                      <w:t> </w:t>
                    </w:r>
                    <w:r>
                      <w:rPr>
                        <w:color w:val="231F20"/>
                        <w:w w:val="105"/>
                        <w:sz w:val="18"/>
                        <w:vertAlign w:val="baseline"/>
                      </w:rPr>
                      <w:t>However,</w:t>
                    </w:r>
                    <w:r>
                      <w:rPr>
                        <w:color w:val="231F20"/>
                        <w:spacing w:val="-4"/>
                        <w:w w:val="105"/>
                        <w:sz w:val="18"/>
                        <w:vertAlign w:val="baseline"/>
                      </w:rPr>
                      <w:t> </w:t>
                    </w:r>
                    <w:r>
                      <w:rPr>
                        <w:color w:val="231F20"/>
                        <w:w w:val="105"/>
                        <w:sz w:val="18"/>
                        <w:vertAlign w:val="baseline"/>
                      </w:rPr>
                      <w:t>the</w:t>
                    </w:r>
                    <w:r>
                      <w:rPr>
                        <w:color w:val="231F20"/>
                        <w:spacing w:val="-3"/>
                        <w:w w:val="105"/>
                        <w:sz w:val="18"/>
                        <w:vertAlign w:val="baseline"/>
                      </w:rPr>
                      <w:t> </w:t>
                    </w:r>
                    <w:r>
                      <w:rPr>
                        <w:color w:val="231F20"/>
                        <w:w w:val="105"/>
                        <w:sz w:val="18"/>
                        <w:vertAlign w:val="baseline"/>
                      </w:rPr>
                      <w:t>CO</w:t>
                    </w:r>
                    <w:r>
                      <w:rPr>
                        <w:color w:val="231F20"/>
                        <w:w w:val="105"/>
                        <w:sz w:val="18"/>
                        <w:vertAlign w:val="subscript"/>
                      </w:rPr>
                      <w:t>2</w:t>
                    </w:r>
                    <w:r>
                      <w:rPr>
                        <w:color w:val="231F20"/>
                        <w:spacing w:val="-4"/>
                        <w:w w:val="105"/>
                        <w:sz w:val="18"/>
                        <w:vertAlign w:val="baseline"/>
                      </w:rPr>
                      <w:t> </w:t>
                    </w:r>
                    <w:r>
                      <w:rPr>
                        <w:color w:val="231F20"/>
                        <w:w w:val="105"/>
                        <w:sz w:val="18"/>
                        <w:vertAlign w:val="baseline"/>
                      </w:rPr>
                      <w:t>dis-</w:t>
                    </w:r>
                  </w:p>
                </w:txbxContent>
              </v:textbox>
              <w10:wrap type="none"/>
            </v:shape>
            <v:shape style="position:absolute;left:6659;top:2783;width:4340;height:480" type="#_x0000_t202" filled="false" stroked="false">
              <v:textbox inset="0,0,0,0">
                <w:txbxContent>
                  <w:p>
                    <w:pPr>
                      <w:spacing w:line="254" w:lineRule="auto" w:before="0"/>
                      <w:ind w:left="0" w:right="0" w:firstLine="240"/>
                      <w:jc w:val="left"/>
                      <w:rPr>
                        <w:sz w:val="18"/>
                      </w:rPr>
                    </w:pPr>
                    <w:r>
                      <w:rPr>
                        <w:color w:val="231F20"/>
                        <w:w w:val="105"/>
                        <w:sz w:val="18"/>
                      </w:rPr>
                      <w:t>The concentration of undissociated 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w w:val="105"/>
                        <w:sz w:val="18"/>
                        <w:vertAlign w:val="baseline"/>
                      </w:rPr>
                      <w:t> cannot be measured in solution because it rapidly dissociates into</w:t>
                    </w:r>
                  </w:p>
                </w:txbxContent>
              </v:textbox>
              <w10:wrap type="none"/>
            </v:shape>
            <v:shape style="position:absolute;left:10730;top:2342;width:240;height:209" type="#_x0000_t202" filled="false" stroked="false">
              <v:textbox inset="0,0,0,0">
                <w:txbxContent>
                  <w:p>
                    <w:pPr>
                      <w:spacing w:line="208" w:lineRule="exact" w:before="0"/>
                      <w:ind w:left="0" w:right="0" w:firstLine="0"/>
                      <w:jc w:val="left"/>
                      <w:rPr>
                        <w:rFonts w:ascii="Trebuchet MS"/>
                        <w:sz w:val="18"/>
                      </w:rPr>
                    </w:pPr>
                    <w:r>
                      <w:rPr>
                        <w:rFonts w:ascii="Trebuchet MS"/>
                        <w:color w:val="231F20"/>
                        <w:sz w:val="18"/>
                      </w:rPr>
                      <w:t>(2)</w:t>
                    </w:r>
                  </w:p>
                </w:txbxContent>
              </v:textbox>
              <w10:wrap type="none"/>
            </v:shape>
            <v:shape style="position:absolute;left:8915;top:2442;width:524;height:235" type="#_x0000_t202" filled="false" stroked="false">
              <v:textbox inset="0,0,0,0">
                <w:txbxContent>
                  <w:p>
                    <w:pPr>
                      <w:spacing w:before="10"/>
                      <w:ind w:left="0" w:right="0" w:firstLine="0"/>
                      <w:jc w:val="left"/>
                      <w:rPr>
                        <w:rFonts w:ascii="Symbol" w:hAnsi="Symbol"/>
                        <w:sz w:val="10"/>
                      </w:rPr>
                    </w:pP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p>
                </w:txbxContent>
              </v:textbox>
              <w10:wrap type="none"/>
            </v:shape>
            <v:shape style="position:absolute;left:8173;top:2196;width:1294;height:343" type="#_x0000_t202" filled="false" stroked="false">
              <v:textbox inset="0,0,0,0">
                <w:txbxContent>
                  <w:p>
                    <w:pPr>
                      <w:spacing w:before="0"/>
                      <w:ind w:left="0" w:right="0" w:firstLine="0"/>
                      <w:jc w:val="left"/>
                      <w:rPr>
                        <w:rFonts w:ascii="Trebuchet MS" w:hAnsi="Trebuchet MS"/>
                        <w:sz w:val="10"/>
                      </w:rPr>
                    </w:pPr>
                    <w:r>
                      <w:rPr>
                        <w:rFonts w:ascii="Trebuchet MS" w:hAnsi="Trebuchet MS"/>
                        <w:w w:val="110"/>
                        <w:sz w:val="18"/>
                      </w:rPr>
                      <w:t>H</w:t>
                    </w:r>
                    <w:r>
                      <w:rPr>
                        <w:rFonts w:ascii="Symbol" w:hAnsi="Symbol"/>
                        <w:w w:val="110"/>
                        <w:position w:val="8"/>
                        <w:sz w:val="10"/>
                      </w:rPr>
                      <w:t></w:t>
                    </w:r>
                    <w:r>
                      <w:rPr>
                        <w:w w:val="110"/>
                        <w:position w:val="8"/>
                        <w:sz w:val="10"/>
                      </w:rPr>
                      <w:t> </w:t>
                    </w:r>
                    <w:r>
                      <w:rPr>
                        <w:rFonts w:ascii="Symbol" w:hAnsi="Symbol"/>
                        <w:w w:val="110"/>
                        <w:sz w:val="18"/>
                      </w:rPr>
                      <w:t></w:t>
                    </w:r>
                    <w:r>
                      <w:rPr>
                        <w:w w:val="110"/>
                        <w:sz w:val="18"/>
                      </w:rPr>
                      <w:t> </w:t>
                    </w:r>
                    <w:r>
                      <w:rPr>
                        <w:rFonts w:ascii="Trebuchet MS" w:hAnsi="Trebuchet MS"/>
                        <w:w w:val="110"/>
                        <w:sz w:val="18"/>
                      </w:rPr>
                      <w:t>K</w:t>
                    </w:r>
                    <w:r>
                      <w:rPr>
                        <w:rFonts w:ascii="Symbol" w:hAnsi="Symbol"/>
                        <w:w w:val="110"/>
                        <w:sz w:val="18"/>
                      </w:rPr>
                      <w:t></w:t>
                    </w:r>
                    <w:r>
                      <w:rPr>
                        <w:w w:val="110"/>
                        <w:sz w:val="18"/>
                      </w:rPr>
                      <w:t> </w:t>
                    </w:r>
                    <w:r>
                      <w:rPr>
                        <w:rFonts w:ascii="Symbol" w:hAnsi="Symbol"/>
                        <w:w w:val="110"/>
                        <w:sz w:val="18"/>
                      </w:rPr>
                      <w:t></w:t>
                    </w:r>
                    <w:r>
                      <w:rPr>
                        <w:w w:val="110"/>
                        <w:sz w:val="18"/>
                      </w:rPr>
                      <w:t> </w:t>
                    </w:r>
                    <w:r>
                      <w:rPr>
                        <w:rFonts w:ascii="Trebuchet MS" w:hAnsi="Trebuchet MS"/>
                        <w:w w:val="110"/>
                        <w:position w:val="12"/>
                        <w:sz w:val="18"/>
                        <w:u w:val="single"/>
                      </w:rPr>
                      <w:t>H</w:t>
                    </w:r>
                    <w:r>
                      <w:rPr>
                        <w:rFonts w:ascii="Trebuchet MS" w:hAnsi="Trebuchet MS"/>
                        <w:w w:val="110"/>
                        <w:position w:val="9"/>
                        <w:sz w:val="10"/>
                        <w:u w:val="single"/>
                      </w:rPr>
                      <w:t>2</w:t>
                    </w:r>
                    <w:r>
                      <w:rPr>
                        <w:rFonts w:ascii="Trebuchet MS" w:hAnsi="Trebuchet MS"/>
                        <w:w w:val="110"/>
                        <w:position w:val="12"/>
                        <w:sz w:val="18"/>
                        <w:u w:val="single"/>
                      </w:rPr>
                      <w:t>CO</w:t>
                    </w:r>
                    <w:r>
                      <w:rPr>
                        <w:rFonts w:ascii="Trebuchet MS" w:hAnsi="Trebuchet MS"/>
                        <w:w w:val="110"/>
                        <w:position w:val="9"/>
                        <w:sz w:val="10"/>
                        <w:u w:val="single"/>
                      </w:rPr>
                      <w:t>3</w:t>
                    </w:r>
                    <w:r>
                      <w:rPr>
                        <w:rFonts w:ascii="Trebuchet MS" w:hAnsi="Trebuchet MS"/>
                        <w:position w:val="9"/>
                        <w:sz w:val="10"/>
                        <w:u w:val="single"/>
                      </w:rPr>
                      <w:t> </w:t>
                    </w:r>
                  </w:p>
                </w:txbxContent>
              </v:textbox>
              <w10:wrap type="none"/>
            </v:shape>
            <v:shape style="position:absolute;left:6660;top:1442;width:4340;height:702" type="#_x0000_t202" filled="false" stroked="false">
              <v:textbox inset="0,0,0,0">
                <w:txbxContent>
                  <w:p>
                    <w:pPr>
                      <w:tabs>
                        <w:tab w:pos="748" w:val="left" w:leader="none"/>
                      </w:tabs>
                      <w:spacing w:before="6"/>
                      <w:ind w:left="437" w:right="0" w:firstLine="0"/>
                      <w:jc w:val="center"/>
                      <w:rPr>
                        <w:rFonts w:ascii="Trebuchet MS"/>
                        <w:sz w:val="10"/>
                      </w:rPr>
                    </w:pPr>
                    <w:r>
                      <w:rPr>
                        <w:rFonts w:ascii="Trebuchet MS"/>
                        <w:w w:val="115"/>
                        <w:sz w:val="10"/>
                      </w:rPr>
                      <w:t>2</w:t>
                      <w:tab/>
                      <w:t>3</w:t>
                    </w:r>
                  </w:p>
                  <w:p>
                    <w:pPr>
                      <w:spacing w:line="252" w:lineRule="auto" w:before="98"/>
                      <w:ind w:left="0" w:right="0" w:firstLine="239"/>
                      <w:jc w:val="left"/>
                      <w:rPr>
                        <w:sz w:val="18"/>
                      </w:rPr>
                    </w:pPr>
                    <w:r>
                      <w:rPr>
                        <w:color w:val="231F20"/>
                        <w:w w:val="105"/>
                        <w:sz w:val="18"/>
                      </w:rPr>
                      <w:t>This equation indicates that in an 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w w:val="105"/>
                        <w:sz w:val="18"/>
                        <w:vertAlign w:val="baseline"/>
                      </w:rPr>
                      <w:t> solution, the amount of free H</w:t>
                    </w:r>
                    <w:r>
                      <w:rPr>
                        <w:rFonts w:ascii="Consolas"/>
                        <w:color w:val="231F20"/>
                        <w:w w:val="105"/>
                        <w:position w:val="7"/>
                        <w:sz w:val="11"/>
                        <w:vertAlign w:val="baseline"/>
                      </w:rPr>
                      <w:t>+ </w:t>
                    </w:r>
                    <w:r>
                      <w:rPr>
                        <w:color w:val="231F20"/>
                        <w:w w:val="105"/>
                        <w:sz w:val="18"/>
                        <w:vertAlign w:val="baseline"/>
                      </w:rPr>
                      <w:t>is equal to</w:t>
                    </w:r>
                  </w:p>
                </w:txbxContent>
              </v:textbox>
              <w10:wrap type="none"/>
            </v:shape>
            <v:shape style="position:absolute;left:10730;top:1222;width:240;height:209" type="#_x0000_t202" filled="false" stroked="false">
              <v:textbox inset="0,0,0,0">
                <w:txbxContent>
                  <w:p>
                    <w:pPr>
                      <w:spacing w:line="208" w:lineRule="exact" w:before="0"/>
                      <w:ind w:left="0" w:right="0" w:firstLine="0"/>
                      <w:jc w:val="left"/>
                      <w:rPr>
                        <w:rFonts w:ascii="Trebuchet MS"/>
                        <w:sz w:val="18"/>
                      </w:rPr>
                    </w:pPr>
                    <w:r>
                      <w:rPr>
                        <w:rFonts w:ascii="Trebuchet MS"/>
                        <w:color w:val="231F20"/>
                        <w:sz w:val="18"/>
                      </w:rPr>
                      <w:t>(1)</w:t>
                    </w:r>
                  </w:p>
                </w:txbxContent>
              </v:textbox>
              <w10:wrap type="none"/>
            </v:shape>
            <v:shape style="position:absolute;left:8741;top:1344;width:452;height:209" type="#_x0000_t202" filled="false" stroked="false">
              <v:textbox inset="0,0,0,0">
                <w:txbxContent>
                  <w:p>
                    <w:pPr>
                      <w:spacing w:line="208" w:lineRule="exact" w:before="0"/>
                      <w:ind w:left="0" w:right="0" w:firstLine="0"/>
                      <w:jc w:val="left"/>
                      <w:rPr>
                        <w:rFonts w:ascii="Trebuchet MS"/>
                        <w:sz w:val="18"/>
                      </w:rPr>
                    </w:pPr>
                    <w:r>
                      <w:rPr>
                        <w:rFonts w:ascii="Trebuchet MS"/>
                        <w:w w:val="110"/>
                        <w:sz w:val="18"/>
                      </w:rPr>
                      <w:t>H CO</w:t>
                    </w:r>
                  </w:p>
                </w:txbxContent>
              </v:textbox>
              <w10:wrap type="none"/>
            </v:shape>
            <v:shape style="position:absolute;left:8173;top:1073;width:1267;height:356" type="#_x0000_t202" filled="false" stroked="false">
              <v:textbox inset="0,0,0,0">
                <w:txbxContent>
                  <w:p>
                    <w:pPr>
                      <w:spacing w:before="1"/>
                      <w:ind w:left="0" w:right="0" w:firstLine="0"/>
                      <w:jc w:val="left"/>
                      <w:rPr>
                        <w:rFonts w:ascii="Symbol" w:hAnsi="Symbol"/>
                        <w:sz w:val="10"/>
                      </w:rPr>
                    </w:pPr>
                    <w:r>
                      <w:rPr>
                        <w:rFonts w:ascii="Trebuchet MS" w:hAnsi="Trebuchet MS"/>
                        <w:w w:val="105"/>
                        <w:position w:val="-11"/>
                        <w:sz w:val="18"/>
                      </w:rPr>
                      <w:t>K</w:t>
                    </w:r>
                    <w:r>
                      <w:rPr>
                        <w:rFonts w:ascii="Symbol" w:hAnsi="Symbol"/>
                        <w:w w:val="105"/>
                        <w:position w:val="-11"/>
                        <w:sz w:val="18"/>
                      </w:rPr>
                      <w:t></w:t>
                    </w:r>
                    <w:r>
                      <w:rPr>
                        <w:w w:val="105"/>
                        <w:position w:val="-11"/>
                        <w:sz w:val="18"/>
                      </w:rPr>
                      <w:t> </w:t>
                    </w:r>
                    <w:r>
                      <w:rPr>
                        <w:rFonts w:ascii="Symbol" w:hAnsi="Symbol"/>
                        <w:w w:val="105"/>
                        <w:position w:val="-11"/>
                        <w:sz w:val="18"/>
                      </w:rPr>
                      <w:t></w:t>
                    </w:r>
                    <w:r>
                      <w:rPr>
                        <w:w w:val="105"/>
                        <w:position w:val="-11"/>
                        <w:sz w:val="18"/>
                      </w:rPr>
                      <w:t> </w:t>
                    </w:r>
                    <w:r>
                      <w:rPr>
                        <w:rFonts w:ascii="Trebuchet MS" w:hAnsi="Trebuchet MS"/>
                        <w:w w:val="105"/>
                        <w:sz w:val="18"/>
                      </w:rPr>
                      <w:t>H</w:t>
                    </w:r>
                    <w:r>
                      <w:rPr>
                        <w:rFonts w:ascii="Symbol" w:hAnsi="Symbol"/>
                        <w:w w:val="105"/>
                        <w:position w:val="7"/>
                        <w:sz w:val="10"/>
                      </w:rPr>
                      <w:t></w:t>
                    </w:r>
                    <w:r>
                      <w:rPr>
                        <w:w w:val="105"/>
                        <w:position w:val="7"/>
                        <w:sz w:val="10"/>
                      </w:rPr>
                      <w:t> </w:t>
                    </w:r>
                    <w:r>
                      <w:rPr>
                        <w:rFonts w:ascii="Symbol" w:hAnsi="Symbol"/>
                        <w:w w:val="105"/>
                        <w:sz w:val="18"/>
                      </w:rPr>
                      <w:t></w:t>
                    </w:r>
                    <w:r>
                      <w:rPr>
                        <w:w w:val="105"/>
                        <w:sz w:val="18"/>
                      </w:rPr>
                      <w:t> </w:t>
                    </w:r>
                    <w:r>
                      <w:rPr>
                        <w:rFonts w:ascii="Trebuchet MS" w:hAnsi="Trebuchet MS"/>
                        <w:w w:val="105"/>
                        <w:sz w:val="18"/>
                      </w:rPr>
                      <w:t>HCO</w:t>
                    </w:r>
                    <w:r>
                      <w:rPr>
                        <w:rFonts w:ascii="Trebuchet MS" w:hAnsi="Trebuchet MS"/>
                        <w:w w:val="105"/>
                        <w:position w:val="-2"/>
                        <w:sz w:val="10"/>
                      </w:rPr>
                      <w:t>3</w:t>
                    </w:r>
                    <w:r>
                      <w:rPr>
                        <w:rFonts w:ascii="Symbol" w:hAnsi="Symbol"/>
                        <w:w w:val="105"/>
                        <w:position w:val="7"/>
                        <w:sz w:val="10"/>
                      </w:rPr>
                      <w:t></w:t>
                    </w:r>
                  </w:p>
                </w:txbxContent>
              </v:textbox>
              <w10:wrap type="none"/>
            </v:shape>
            <v:shape style="position:absolute;left:6659;top:-391;width:4341;height:1414" type="#_x0000_t202" filled="false" stroked="false">
              <v:textbox inset="0,0,0,0">
                <w:txbxContent>
                  <w:p>
                    <w:pPr>
                      <w:spacing w:line="153" w:lineRule="exact" w:before="10"/>
                      <w:ind w:left="0" w:right="0" w:firstLine="0"/>
                      <w:jc w:val="left"/>
                      <w:rPr>
                        <w:sz w:val="18"/>
                      </w:rPr>
                    </w:pPr>
                    <w:r>
                      <w:rPr>
                        <w:color w:val="231F20"/>
                        <w:w w:val="105"/>
                        <w:sz w:val="18"/>
                      </w:rPr>
                      <w:t>H</w:t>
                    </w:r>
                    <w:r>
                      <w:rPr>
                        <w:rFonts w:ascii="Consolas" w:hAnsi="Consolas"/>
                        <w:color w:val="231F20"/>
                        <w:w w:val="105"/>
                        <w:position w:val="7"/>
                        <w:sz w:val="11"/>
                      </w:rPr>
                      <w:t>+ </w:t>
                    </w:r>
                    <w:r>
                      <w:rPr>
                        <w:color w:val="231F20"/>
                        <w:w w:val="105"/>
                        <w:sz w:val="18"/>
                      </w:rPr>
                      <w:t>and HCO </w:t>
                    </w:r>
                    <w:r>
                      <w:rPr>
                        <w:rFonts w:ascii="Consolas" w:hAnsi="Consolas"/>
                        <w:color w:val="231F20"/>
                        <w:w w:val="105"/>
                        <w:position w:val="7"/>
                        <w:sz w:val="11"/>
                      </w:rPr>
                      <w:t>− </w:t>
                    </w:r>
                    <w:r>
                      <w:rPr>
                        <w:color w:val="231F20"/>
                        <w:w w:val="105"/>
                        <w:sz w:val="18"/>
                      </w:rPr>
                      <w:t>are proportional to the concentration of</w:t>
                    </w:r>
                  </w:p>
                  <w:p>
                    <w:pPr>
                      <w:spacing w:line="69" w:lineRule="exact" w:before="0"/>
                      <w:ind w:left="1027" w:right="0" w:firstLine="0"/>
                      <w:jc w:val="left"/>
                      <w:rPr>
                        <w:sz w:val="11"/>
                      </w:rPr>
                    </w:pPr>
                    <w:r>
                      <w:rPr>
                        <w:color w:val="231F20"/>
                        <w:w w:val="96"/>
                        <w:sz w:val="11"/>
                      </w:rPr>
                      <w:t>3</w:t>
                    </w:r>
                  </w:p>
                  <w:p>
                    <w:pPr>
                      <w:spacing w:before="1"/>
                      <w:ind w:left="0" w:right="0" w:firstLine="0"/>
                      <w:jc w:val="left"/>
                      <w:rPr>
                        <w:sz w:val="18"/>
                      </w:rPr>
                    </w:pPr>
                    <w:r>
                      <w:rPr>
                        <w:color w:val="231F20"/>
                        <w:sz w:val="18"/>
                      </w:rPr>
                      <w:t>H</w:t>
                    </w:r>
                    <w:r>
                      <w:rPr>
                        <w:color w:val="231F20"/>
                        <w:sz w:val="18"/>
                        <w:vertAlign w:val="subscript"/>
                      </w:rPr>
                      <w:t>2</w:t>
                    </w:r>
                    <w:r>
                      <w:rPr>
                        <w:color w:val="231F20"/>
                        <w:sz w:val="18"/>
                        <w:vertAlign w:val="baseline"/>
                      </w:rPr>
                      <w:t>CO</w:t>
                    </w:r>
                    <w:r>
                      <w:rPr>
                        <w:color w:val="231F20"/>
                        <w:sz w:val="18"/>
                        <w:vertAlign w:val="subscript"/>
                      </w:rPr>
                      <w:t>3</w:t>
                    </w:r>
                    <w:r>
                      <w:rPr>
                        <w:color w:val="231F20"/>
                        <w:sz w:val="18"/>
                        <w:vertAlign w:val="baseline"/>
                      </w:rPr>
                      <w:t>.</w:t>
                    </w:r>
                  </w:p>
                  <w:p>
                    <w:pPr>
                      <w:spacing w:before="62"/>
                      <w:ind w:left="1123" w:right="0" w:firstLine="0"/>
                      <w:jc w:val="left"/>
                      <w:rPr>
                        <w:rFonts w:ascii="Symbol" w:hAnsi="Symbol"/>
                        <w:sz w:val="10"/>
                      </w:rPr>
                    </w:pPr>
                    <w:r>
                      <w:rPr>
                        <w:rFonts w:ascii="Trebuchet MS" w:hAnsi="Trebuchet MS"/>
                        <w:spacing w:val="-9"/>
                        <w:w w:val="110"/>
                        <w:sz w:val="18"/>
                      </w:rPr>
                      <w:t>H</w:t>
                    </w:r>
                    <w:r>
                      <w:rPr>
                        <w:rFonts w:ascii="Trebuchet MS" w:hAnsi="Trebuchet MS"/>
                        <w:w w:val="113"/>
                        <w:position w:val="-2"/>
                        <w:sz w:val="10"/>
                      </w:rPr>
                      <w:t>2</w:t>
                    </w:r>
                    <w:r>
                      <w:rPr>
                        <w:rFonts w:ascii="Trebuchet MS" w:hAnsi="Trebuchet MS"/>
                        <w:spacing w:val="-1"/>
                        <w:w w:val="102"/>
                        <w:sz w:val="18"/>
                      </w:rPr>
                      <w:t>C</w:t>
                    </w:r>
                    <w:r>
                      <w:rPr>
                        <w:rFonts w:ascii="Trebuchet MS" w:hAnsi="Trebuchet MS"/>
                        <w:spacing w:val="1"/>
                        <w:w w:val="115"/>
                        <w:sz w:val="18"/>
                      </w:rPr>
                      <w:t>O</w:t>
                    </w:r>
                    <w:r>
                      <w:rPr>
                        <w:rFonts w:ascii="Trebuchet MS" w:hAnsi="Trebuchet MS"/>
                        <w:w w:val="113"/>
                        <w:position w:val="-2"/>
                        <w:sz w:val="10"/>
                      </w:rPr>
                      <w:t>3</w:t>
                    </w:r>
                    <w:r>
                      <w:rPr>
                        <w:rFonts w:ascii="Trebuchet MS" w:hAnsi="Trebuchet MS"/>
                        <w:spacing w:val="8"/>
                        <w:position w:val="-2"/>
                        <w:sz w:val="10"/>
                      </w:rPr>
                      <w:t> </w:t>
                    </w:r>
                    <w:r>
                      <w:rPr>
                        <w:rFonts w:ascii="Symbol" w:hAnsi="Symbol"/>
                        <w:spacing w:val="-60"/>
                        <w:w w:val="100"/>
                        <w:position w:val="-2"/>
                        <w:sz w:val="18"/>
                      </w:rPr>
                      <w:t>←</w:t>
                    </w:r>
                    <w:r>
                      <w:rPr>
                        <w:rFonts w:ascii="Symbol" w:hAnsi="Symbol"/>
                        <w:spacing w:val="-139"/>
                        <w:position w:val="4"/>
                        <w:sz w:val="18"/>
                      </w:rPr>
                      <w:t></w:t>
                    </w:r>
                    <w:r>
                      <w:rPr>
                        <w:rFonts w:ascii="Symbol" w:hAnsi="Symbol"/>
                        <w:spacing w:val="-160"/>
                        <w:position w:val="-2"/>
                        <w:sz w:val="18"/>
                      </w:rPr>
                      <w:t></w:t>
                    </w:r>
                    <w:r>
                      <w:rPr>
                        <w:rFonts w:ascii="Symbol" w:hAnsi="Symbol"/>
                        <w:spacing w:val="-94"/>
                        <w:w w:val="100"/>
                        <w:position w:val="4"/>
                        <w:sz w:val="18"/>
                      </w:rPr>
                      <w:t>→</w:t>
                    </w:r>
                    <w:r>
                      <w:rPr>
                        <w:rFonts w:ascii="Symbol" w:hAnsi="Symbol"/>
                        <w:position w:val="-2"/>
                        <w:sz w:val="18"/>
                      </w:rPr>
                      <w:t></w:t>
                    </w:r>
                    <w:r>
                      <w:rPr>
                        <w:spacing w:val="-17"/>
                        <w:position w:val="-2"/>
                        <w:sz w:val="18"/>
                      </w:rPr>
                      <w:t> </w:t>
                    </w:r>
                    <w:r>
                      <w:rPr>
                        <w:rFonts w:ascii="Trebuchet MS" w:hAnsi="Trebuchet MS"/>
                        <w:spacing w:val="-5"/>
                        <w:w w:val="110"/>
                        <w:sz w:val="18"/>
                      </w:rPr>
                      <w:t>H</w:t>
                    </w:r>
                    <w:r>
                      <w:rPr>
                        <w:rFonts w:ascii="Symbol" w:hAnsi="Symbol"/>
                        <w:w w:val="107"/>
                        <w:position w:val="7"/>
                        <w:sz w:val="10"/>
                      </w:rPr>
                      <w:t></w:t>
                    </w:r>
                    <w:r>
                      <w:rPr>
                        <w:position w:val="7"/>
                        <w:sz w:val="10"/>
                      </w:rPr>
                      <w:t> </w:t>
                    </w:r>
                    <w:r>
                      <w:rPr>
                        <w:spacing w:val="7"/>
                        <w:position w:val="7"/>
                        <w:sz w:val="10"/>
                      </w:rPr>
                      <w:t> </w:t>
                    </w:r>
                    <w:r>
                      <w:rPr>
                        <w:rFonts w:ascii="Symbol" w:hAnsi="Symbol"/>
                        <w:w w:val="100"/>
                        <w:sz w:val="18"/>
                      </w:rPr>
                      <w:t></w:t>
                    </w:r>
                    <w:r>
                      <w:rPr>
                        <w:spacing w:val="-18"/>
                        <w:sz w:val="18"/>
                      </w:rPr>
                      <w:t> </w:t>
                    </w:r>
                    <w:r>
                      <w:rPr>
                        <w:rFonts w:ascii="Trebuchet MS" w:hAnsi="Trebuchet MS"/>
                        <w:spacing w:val="-1"/>
                        <w:w w:val="110"/>
                        <w:sz w:val="18"/>
                      </w:rPr>
                      <w:t>H</w:t>
                    </w:r>
                    <w:r>
                      <w:rPr>
                        <w:rFonts w:ascii="Trebuchet MS" w:hAnsi="Trebuchet MS"/>
                        <w:spacing w:val="-1"/>
                        <w:w w:val="102"/>
                        <w:sz w:val="18"/>
                      </w:rPr>
                      <w:t>C</w:t>
                    </w:r>
                    <w:r>
                      <w:rPr>
                        <w:rFonts w:ascii="Trebuchet MS" w:hAnsi="Trebuchet MS"/>
                        <w:spacing w:val="1"/>
                        <w:w w:val="115"/>
                        <w:sz w:val="18"/>
                      </w:rPr>
                      <w:t>O</w:t>
                    </w:r>
                    <w:r>
                      <w:rPr>
                        <w:rFonts w:ascii="Trebuchet MS" w:hAnsi="Trebuchet MS"/>
                        <w:spacing w:val="5"/>
                        <w:w w:val="113"/>
                        <w:position w:val="-2"/>
                        <w:sz w:val="10"/>
                      </w:rPr>
                      <w:t>3</w:t>
                    </w:r>
                    <w:r>
                      <w:rPr>
                        <w:rFonts w:ascii="Symbol" w:hAnsi="Symbol"/>
                        <w:w w:val="107"/>
                        <w:position w:val="7"/>
                        <w:sz w:val="10"/>
                      </w:rPr>
                      <w:t></w:t>
                    </w:r>
                  </w:p>
                  <w:p>
                    <w:pPr>
                      <w:spacing w:line="254" w:lineRule="auto" w:before="140"/>
                      <w:ind w:left="0" w:right="0" w:firstLine="239"/>
                      <w:jc w:val="left"/>
                      <w:rPr>
                        <w:sz w:val="18"/>
                      </w:rPr>
                    </w:pPr>
                    <w:r>
                      <w:rPr>
                        <w:color w:val="231F20"/>
                        <w:sz w:val="18"/>
                      </w:rPr>
                      <w:t>For any acid, the concentration of the acid relative to its </w:t>
                    </w:r>
                    <w:r>
                      <w:rPr>
                        <w:color w:val="231F20"/>
                        <w:w w:val="99"/>
                        <w:sz w:val="18"/>
                      </w:rPr>
                      <w:t>diss</w:t>
                    </w:r>
                    <w:r>
                      <w:rPr>
                        <w:color w:val="231F20"/>
                        <w:w w:val="103"/>
                        <w:sz w:val="18"/>
                      </w:rPr>
                      <w:t>o</w:t>
                    </w:r>
                    <w:r>
                      <w:rPr>
                        <w:color w:val="231F20"/>
                        <w:w w:val="101"/>
                        <w:sz w:val="18"/>
                      </w:rPr>
                      <w:t>c</w:t>
                    </w:r>
                    <w:r>
                      <w:rPr>
                        <w:color w:val="231F20"/>
                        <w:w w:val="97"/>
                        <w:sz w:val="18"/>
                      </w:rPr>
                      <w:t>ia</w:t>
                    </w:r>
                    <w:r>
                      <w:rPr>
                        <w:color w:val="231F20"/>
                        <w:w w:val="116"/>
                        <w:sz w:val="18"/>
                      </w:rPr>
                      <w:t>t</w:t>
                    </w:r>
                    <w:r>
                      <w:rPr>
                        <w:color w:val="231F20"/>
                        <w:w w:val="100"/>
                        <w:sz w:val="18"/>
                      </w:rPr>
                      <w:t>e</w:t>
                    </w:r>
                    <w:r>
                      <w:rPr>
                        <w:color w:val="231F20"/>
                        <w:w w:val="105"/>
                        <w:sz w:val="18"/>
                      </w:rPr>
                      <w:t>d</w:t>
                    </w:r>
                    <w:r>
                      <w:rPr>
                        <w:color w:val="231F20"/>
                        <w:sz w:val="18"/>
                      </w:rPr>
                      <w:t> </w:t>
                    </w:r>
                    <w:r>
                      <w:rPr>
                        <w:color w:val="231F20"/>
                        <w:w w:val="102"/>
                        <w:sz w:val="18"/>
                      </w:rPr>
                      <w:t>ions</w:t>
                    </w:r>
                    <w:r>
                      <w:rPr>
                        <w:color w:val="231F20"/>
                        <w:sz w:val="18"/>
                      </w:rPr>
                      <w:t> </w:t>
                    </w:r>
                    <w:r>
                      <w:rPr>
                        <w:color w:val="231F20"/>
                        <w:w w:val="95"/>
                        <w:sz w:val="18"/>
                      </w:rPr>
                      <w:t>is</w:t>
                    </w:r>
                    <w:r>
                      <w:rPr>
                        <w:color w:val="231F20"/>
                        <w:sz w:val="18"/>
                      </w:rPr>
                      <w:t> </w:t>
                    </w:r>
                    <w:r>
                      <w:rPr>
                        <w:color w:val="231F20"/>
                        <w:w w:val="100"/>
                        <w:sz w:val="18"/>
                      </w:rPr>
                      <w:t>define</w:t>
                    </w:r>
                    <w:r>
                      <w:rPr>
                        <w:color w:val="231F20"/>
                        <w:w w:val="105"/>
                        <w:sz w:val="18"/>
                      </w:rPr>
                      <w:t>d</w:t>
                    </w:r>
                    <w:r>
                      <w:rPr>
                        <w:color w:val="231F20"/>
                        <w:sz w:val="18"/>
                      </w:rPr>
                      <w:t> </w:t>
                    </w:r>
                    <w:r>
                      <w:rPr>
                        <w:color w:val="231F20"/>
                        <w:w w:val="96"/>
                        <w:sz w:val="18"/>
                      </w:rPr>
                      <w:t>by</w:t>
                    </w:r>
                    <w:r>
                      <w:rPr>
                        <w:color w:val="231F20"/>
                        <w:sz w:val="18"/>
                      </w:rPr>
                      <w:t> </w:t>
                    </w:r>
                    <w:r>
                      <w:rPr>
                        <w:color w:val="231F20"/>
                        <w:w w:val="116"/>
                        <w:sz w:val="18"/>
                      </w:rPr>
                      <w:t>t</w:t>
                    </w:r>
                    <w:r>
                      <w:rPr>
                        <w:color w:val="231F20"/>
                        <w:w w:val="104"/>
                        <w:sz w:val="18"/>
                      </w:rPr>
                      <w:t>he</w:t>
                    </w:r>
                    <w:r>
                      <w:rPr>
                        <w:color w:val="231F20"/>
                        <w:sz w:val="18"/>
                      </w:rPr>
                      <w:t> </w:t>
                    </w:r>
                    <w:r>
                      <w:rPr>
                        <w:i/>
                        <w:color w:val="231F20"/>
                        <w:w w:val="106"/>
                        <w:sz w:val="18"/>
                      </w:rPr>
                      <w:t>d</w:t>
                    </w:r>
                    <w:r>
                      <w:rPr>
                        <w:i/>
                        <w:color w:val="231F20"/>
                        <w:w w:val="100"/>
                        <w:sz w:val="18"/>
                      </w:rPr>
                      <w:t>i</w:t>
                    </w:r>
                    <w:r>
                      <w:rPr>
                        <w:i/>
                        <w:color w:val="231F20"/>
                        <w:w w:val="91"/>
                        <w:sz w:val="18"/>
                      </w:rPr>
                      <w:t>sso</w:t>
                    </w:r>
                    <w:r>
                      <w:rPr>
                        <w:i/>
                        <w:color w:val="231F20"/>
                        <w:w w:val="94"/>
                        <w:sz w:val="18"/>
                      </w:rPr>
                      <w:t>ci</w:t>
                    </w:r>
                    <w:r>
                      <w:rPr>
                        <w:i/>
                        <w:color w:val="231F20"/>
                        <w:w w:val="103"/>
                        <w:sz w:val="18"/>
                      </w:rPr>
                      <w:t>ation</w:t>
                    </w:r>
                    <w:r>
                      <w:rPr>
                        <w:i/>
                        <w:color w:val="231F20"/>
                        <w:sz w:val="18"/>
                      </w:rPr>
                      <w:t> </w:t>
                    </w:r>
                    <w:r>
                      <w:rPr>
                        <w:i/>
                        <w:color w:val="231F20"/>
                        <w:w w:val="97"/>
                        <w:sz w:val="18"/>
                      </w:rPr>
                      <w:t>con</w:t>
                    </w:r>
                    <w:r>
                      <w:rPr>
                        <w:i/>
                        <w:color w:val="231F20"/>
                        <w:w w:val="100"/>
                        <w:sz w:val="18"/>
                      </w:rPr>
                      <w:t>st</w:t>
                    </w:r>
                    <w:r>
                      <w:rPr>
                        <w:i/>
                        <w:color w:val="231F20"/>
                        <w:w w:val="104"/>
                        <w:sz w:val="18"/>
                      </w:rPr>
                      <w:t>a</w:t>
                    </w:r>
                    <w:r>
                      <w:rPr>
                        <w:i/>
                        <w:color w:val="231F20"/>
                        <w:w w:val="110"/>
                        <w:sz w:val="18"/>
                      </w:rPr>
                      <w:t>nt</w:t>
                    </w:r>
                    <w:r>
                      <w:rPr>
                        <w:i/>
                        <w:color w:val="231F20"/>
                        <w:sz w:val="18"/>
                      </w:rPr>
                      <w:t> </w:t>
                    </w:r>
                    <w:r>
                      <w:rPr>
                        <w:i/>
                        <w:color w:val="231F20"/>
                        <w:w w:val="97"/>
                        <w:sz w:val="18"/>
                      </w:rPr>
                      <w:t>K</w:t>
                    </w:r>
                    <w:r>
                      <w:rPr>
                        <w:rFonts w:ascii="Consolas" w:hAnsi="Consolas"/>
                        <w:color w:val="231F20"/>
                        <w:w w:val="44"/>
                        <w:sz w:val="18"/>
                      </w:rPr>
                      <w:t>′</w:t>
                    </w:r>
                    <w:r>
                      <w:rPr>
                        <w:color w:val="231F20"/>
                        <w:w w:val="88"/>
                        <w:sz w:val="18"/>
                      </w:rPr>
                      <w:t>.</w:t>
                    </w:r>
                  </w:p>
                </w:txbxContent>
              </v:textbox>
              <w10:wrap type="none"/>
            </v:shape>
            <v:shape style="position:absolute;left:6659;top:-1338;width:4340;height:1001" type="#_x0000_t202" filled="false" stroked="false">
              <v:textbox inset="0,0,0,0">
                <w:txbxContent>
                  <w:p>
                    <w:pPr>
                      <w:spacing w:line="252" w:lineRule="auto" w:before="0"/>
                      <w:ind w:left="0" w:right="313" w:firstLine="0"/>
                      <w:jc w:val="left"/>
                      <w:rPr>
                        <w:rFonts w:ascii="Trebuchet MS"/>
                        <w:b/>
                        <w:sz w:val="18"/>
                      </w:rPr>
                    </w:pPr>
                    <w:r>
                      <w:rPr>
                        <w:rFonts w:ascii="Trebuchet MS"/>
                        <w:b/>
                        <w:color w:val="231F20"/>
                        <w:sz w:val="18"/>
                      </w:rPr>
                      <w:t>Quantitative Dynamics of the Bicarbonate Buffer System</w:t>
                    </w:r>
                  </w:p>
                  <w:p>
                    <w:pPr>
                      <w:spacing w:line="254" w:lineRule="auto" w:before="81"/>
                      <w:ind w:left="0" w:right="0" w:firstLine="0"/>
                      <w:jc w:val="left"/>
                      <w:rPr>
                        <w:sz w:val="18"/>
                      </w:rPr>
                    </w:pPr>
                    <w:r>
                      <w:rPr>
                        <w:color w:val="231F20"/>
                        <w:w w:val="105"/>
                        <w:sz w:val="18"/>
                      </w:rPr>
                      <w:t>All acids, including 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w w:val="105"/>
                        <w:sz w:val="18"/>
                        <w:vertAlign w:val="baseline"/>
                      </w:rPr>
                      <w:t>, are ionized to some extent. From mass balance considerations, the concentrations of</w:t>
                    </w:r>
                  </w:p>
                </w:txbxContent>
              </v:textbox>
              <w10:wrap type="none"/>
            </v:shape>
            <w10:wrap type="none"/>
          </v:group>
        </w:pict>
      </w:r>
      <w:r>
        <w:rPr>
          <w:color w:val="231F20"/>
          <w:w w:val="105"/>
        </w:rPr>
        <w:t>tubules, where CO</w:t>
      </w:r>
      <w:r>
        <w:rPr>
          <w:color w:val="231F20"/>
          <w:w w:val="105"/>
          <w:vertAlign w:val="subscript"/>
        </w:rPr>
        <w:t>2</w:t>
      </w:r>
      <w:r>
        <w:rPr>
          <w:color w:val="231F20"/>
          <w:w w:val="105"/>
          <w:vertAlign w:val="baseline"/>
        </w:rPr>
        <w:t> reacts with H</w:t>
      </w:r>
      <w:r>
        <w:rPr>
          <w:color w:val="231F20"/>
          <w:w w:val="105"/>
          <w:vertAlign w:val="subscript"/>
        </w:rPr>
        <w:t>2</w:t>
      </w:r>
      <w:r>
        <w:rPr>
          <w:color w:val="231F20"/>
          <w:w w:val="105"/>
          <w:vertAlign w:val="baseline"/>
        </w:rPr>
        <w:t>O to form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p>
    <w:p>
      <w:pPr>
        <w:pStyle w:val="BodyText"/>
        <w:spacing w:line="247" w:lineRule="auto" w:before="6"/>
        <w:ind w:left="1440" w:right="6354" w:firstLine="239"/>
      </w:pPr>
      <w:r>
        <w:rPr/>
        <w:pict>
          <v:shape style="position:absolute;margin-left:112.543503pt;margin-top:17.745525pt;width:3pt;height:8.7pt;mso-position-horizontal-relative:page;mso-position-vertical-relative:paragraph;z-index:-2726430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H</w:t>
      </w:r>
      <w:r>
        <w:rPr>
          <w:color w:val="231F20"/>
          <w:vertAlign w:val="subscript"/>
        </w:rPr>
        <w:t>2</w:t>
      </w:r>
      <w:r>
        <w:rPr>
          <w:color w:val="231F20"/>
          <w:vertAlign w:val="baseline"/>
        </w:rPr>
        <w:t>CO</w:t>
      </w:r>
      <w:r>
        <w:rPr>
          <w:color w:val="231F20"/>
          <w:vertAlign w:val="subscript"/>
        </w:rPr>
        <w:t>3</w:t>
      </w:r>
      <w:r>
        <w:rPr>
          <w:color w:val="231F20"/>
          <w:vertAlign w:val="baseline"/>
        </w:rPr>
        <w:t> ionizes weakly to form small amounts of </w:t>
      </w:r>
      <w:r>
        <w:rPr>
          <w:color w:val="231F20"/>
          <w:spacing w:val="-18"/>
          <w:vertAlign w:val="baseline"/>
        </w:rPr>
        <w:t>H</w:t>
      </w:r>
      <w:r>
        <w:rPr>
          <w:rFonts w:ascii="Consolas" w:hAnsi="Consolas"/>
          <w:color w:val="231F20"/>
          <w:spacing w:val="-18"/>
          <w:position w:val="8"/>
          <w:sz w:val="12"/>
          <w:vertAlign w:val="baseline"/>
        </w:rPr>
        <w:t>+  </w:t>
      </w:r>
      <w:r>
        <w:rPr>
          <w:color w:val="231F20"/>
          <w:vertAlign w:val="baseline"/>
        </w:rPr>
        <w:t>and HCO</w:t>
      </w:r>
      <w:r>
        <w:rPr>
          <w:color w:val="231F20"/>
          <w:spacing w:val="16"/>
          <w:vertAlign w:val="baseline"/>
        </w:rPr>
        <w:t> </w:t>
      </w:r>
      <w:r>
        <w:rPr>
          <w:rFonts w:ascii="Consolas" w:hAnsi="Consolas"/>
          <w:color w:val="231F20"/>
          <w:position w:val="8"/>
          <w:sz w:val="12"/>
          <w:vertAlign w:val="baseline"/>
        </w:rPr>
        <w:t>−</w:t>
      </w:r>
      <w:r>
        <w:rPr>
          <w:color w:val="231F20"/>
          <w:vertAlign w:val="baseline"/>
        </w:rPr>
        <w:t>.</w:t>
      </w:r>
    </w:p>
    <w:p>
      <w:pPr>
        <w:spacing w:before="67"/>
        <w:ind w:left="2813" w:right="0" w:firstLine="0"/>
        <w:jc w:val="left"/>
        <w:rPr>
          <w:rFonts w:ascii="Symbol" w:hAnsi="Symbol"/>
          <w:sz w:val="10"/>
        </w:rPr>
      </w:pPr>
      <w:r>
        <w:rPr>
          <w:rFonts w:ascii="Trebuchet MS" w:hAnsi="Trebuchet MS"/>
          <w:spacing w:val="-9"/>
          <w:w w:val="110"/>
          <w:sz w:val="18"/>
        </w:rPr>
        <w:t>H</w:t>
      </w:r>
      <w:r>
        <w:rPr>
          <w:rFonts w:ascii="Trebuchet MS" w:hAnsi="Trebuchet MS"/>
          <w:w w:val="113"/>
          <w:position w:val="-2"/>
          <w:sz w:val="10"/>
        </w:rPr>
        <w:t>2</w:t>
      </w:r>
      <w:r>
        <w:rPr>
          <w:rFonts w:ascii="Trebuchet MS" w:hAnsi="Trebuchet MS"/>
          <w:spacing w:val="-1"/>
          <w:w w:val="102"/>
          <w:sz w:val="18"/>
        </w:rPr>
        <w:t>C</w:t>
      </w:r>
      <w:r>
        <w:rPr>
          <w:rFonts w:ascii="Trebuchet MS" w:hAnsi="Trebuchet MS"/>
          <w:spacing w:val="1"/>
          <w:w w:val="115"/>
          <w:sz w:val="18"/>
        </w:rPr>
        <w:t>O</w:t>
      </w:r>
      <w:r>
        <w:rPr>
          <w:rFonts w:ascii="Trebuchet MS" w:hAnsi="Trebuchet MS"/>
          <w:w w:val="113"/>
          <w:position w:val="-2"/>
          <w:sz w:val="10"/>
        </w:rPr>
        <w:t>3</w:t>
      </w:r>
      <w:r>
        <w:rPr>
          <w:rFonts w:ascii="Trebuchet MS" w:hAnsi="Trebuchet MS"/>
          <w:spacing w:val="8"/>
          <w:position w:val="-2"/>
          <w:sz w:val="10"/>
        </w:rPr>
        <w:t> </w:t>
      </w:r>
      <w:r>
        <w:rPr>
          <w:rFonts w:ascii="Symbol" w:hAnsi="Symbol"/>
          <w:spacing w:val="-60"/>
          <w:w w:val="100"/>
          <w:position w:val="-2"/>
          <w:sz w:val="18"/>
        </w:rPr>
        <w:t></w:t>
      </w:r>
      <w:r>
        <w:rPr>
          <w:rFonts w:ascii="Symbol" w:hAnsi="Symbol"/>
          <w:spacing w:val="-139"/>
          <w:position w:val="4"/>
          <w:sz w:val="18"/>
        </w:rPr>
        <w:t></w:t>
      </w:r>
      <w:r>
        <w:rPr>
          <w:rFonts w:ascii="Symbol" w:hAnsi="Symbol"/>
          <w:spacing w:val="-160"/>
          <w:position w:val="-2"/>
          <w:sz w:val="18"/>
        </w:rPr>
        <w:t></w:t>
      </w:r>
      <w:r>
        <w:rPr>
          <w:rFonts w:ascii="Symbol" w:hAnsi="Symbol"/>
          <w:spacing w:val="-94"/>
          <w:w w:val="100"/>
          <w:position w:val="4"/>
          <w:sz w:val="18"/>
        </w:rPr>
        <w:t></w:t>
      </w:r>
      <w:r>
        <w:rPr>
          <w:rFonts w:ascii="Symbol" w:hAnsi="Symbol"/>
          <w:position w:val="-2"/>
          <w:sz w:val="18"/>
        </w:rPr>
        <w:t></w:t>
      </w:r>
      <w:r>
        <w:rPr>
          <w:spacing w:val="6"/>
          <w:position w:val="-2"/>
          <w:sz w:val="18"/>
        </w:rPr>
        <w:t> </w:t>
      </w:r>
      <w:r>
        <w:rPr>
          <w:rFonts w:ascii="Trebuchet MS" w:hAnsi="Trebuchet MS"/>
          <w:spacing w:val="-5"/>
          <w:w w:val="110"/>
          <w:sz w:val="18"/>
        </w:rPr>
        <w:t>H</w:t>
      </w:r>
      <w:r>
        <w:rPr>
          <w:rFonts w:ascii="Symbol" w:hAnsi="Symbol"/>
          <w:w w:val="107"/>
          <w:position w:val="7"/>
          <w:sz w:val="10"/>
        </w:rPr>
        <w:t></w:t>
      </w:r>
      <w:r>
        <w:rPr>
          <w:position w:val="7"/>
          <w:sz w:val="10"/>
        </w:rPr>
        <w:t> </w:t>
      </w:r>
      <w:r>
        <w:rPr>
          <w:spacing w:val="7"/>
          <w:position w:val="7"/>
          <w:sz w:val="10"/>
        </w:rPr>
        <w:t> </w:t>
      </w:r>
      <w:r>
        <w:rPr>
          <w:rFonts w:ascii="Symbol" w:hAnsi="Symbol"/>
          <w:w w:val="100"/>
          <w:sz w:val="18"/>
        </w:rPr>
        <w:t></w:t>
      </w:r>
      <w:r>
        <w:rPr>
          <w:spacing w:val="-18"/>
          <w:sz w:val="18"/>
        </w:rPr>
        <w:t> </w:t>
      </w:r>
      <w:r>
        <w:rPr>
          <w:rFonts w:ascii="Trebuchet MS" w:hAnsi="Trebuchet MS"/>
          <w:spacing w:val="-1"/>
          <w:w w:val="110"/>
          <w:sz w:val="18"/>
        </w:rPr>
        <w:t>H</w:t>
      </w:r>
      <w:r>
        <w:rPr>
          <w:rFonts w:ascii="Trebuchet MS" w:hAnsi="Trebuchet MS"/>
          <w:spacing w:val="-1"/>
          <w:w w:val="102"/>
          <w:sz w:val="18"/>
        </w:rPr>
        <w:t>C</w:t>
      </w:r>
      <w:r>
        <w:rPr>
          <w:rFonts w:ascii="Trebuchet MS" w:hAnsi="Trebuchet MS"/>
          <w:spacing w:val="1"/>
          <w:w w:val="115"/>
          <w:sz w:val="18"/>
        </w:rPr>
        <w:t>O</w:t>
      </w:r>
      <w:r>
        <w:rPr>
          <w:rFonts w:ascii="Trebuchet MS" w:hAnsi="Trebuchet MS"/>
          <w:spacing w:val="5"/>
          <w:w w:val="113"/>
          <w:position w:val="-2"/>
          <w:sz w:val="10"/>
        </w:rPr>
        <w:t>3</w:t>
      </w:r>
      <w:r>
        <w:rPr>
          <w:rFonts w:ascii="Symbol" w:hAnsi="Symbol"/>
          <w:w w:val="107"/>
          <w:position w:val="7"/>
          <w:sz w:val="10"/>
        </w:rPr>
        <w:t></w:t>
      </w:r>
    </w:p>
    <w:p>
      <w:pPr>
        <w:pStyle w:val="BodyText"/>
        <w:spacing w:line="240" w:lineRule="atLeast" w:before="115"/>
        <w:ind w:left="1439" w:right="6117" w:firstLine="240"/>
        <w:jc w:val="both"/>
        <w:rPr>
          <w:rFonts w:ascii="Consolas" w:hAnsi="Consolas"/>
          <w:sz w:val="12"/>
        </w:rPr>
      </w:pPr>
      <w:r>
        <w:rPr>
          <w:color w:val="231F20"/>
          <w:w w:val="105"/>
        </w:rPr>
        <w:t>The</w:t>
      </w:r>
      <w:r>
        <w:rPr>
          <w:color w:val="231F20"/>
          <w:spacing w:val="-24"/>
          <w:w w:val="105"/>
        </w:rPr>
        <w:t> </w:t>
      </w:r>
      <w:r>
        <w:rPr>
          <w:color w:val="231F20"/>
          <w:w w:val="105"/>
        </w:rPr>
        <w:t>second</w:t>
      </w:r>
      <w:r>
        <w:rPr>
          <w:color w:val="231F20"/>
          <w:spacing w:val="-23"/>
          <w:w w:val="105"/>
        </w:rPr>
        <w:t> </w:t>
      </w:r>
      <w:r>
        <w:rPr>
          <w:color w:val="231F20"/>
          <w:w w:val="105"/>
        </w:rPr>
        <w:t>component</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4"/>
          <w:w w:val="105"/>
        </w:rPr>
        <w:t> </w:t>
      </w:r>
      <w:r>
        <w:rPr>
          <w:color w:val="231F20"/>
          <w:w w:val="105"/>
        </w:rPr>
        <w:t>system,</w:t>
      </w:r>
      <w:r>
        <w:rPr>
          <w:color w:val="231F20"/>
          <w:spacing w:val="-23"/>
          <w:w w:val="105"/>
        </w:rPr>
        <w:t> </w:t>
      </w:r>
      <w:r>
        <w:rPr>
          <w:color w:val="231F20"/>
          <w:w w:val="105"/>
        </w:rPr>
        <w:t>bicarbonate</w:t>
      </w:r>
      <w:r>
        <w:rPr>
          <w:color w:val="231F20"/>
          <w:spacing w:val="-24"/>
          <w:w w:val="105"/>
        </w:rPr>
        <w:t> </w:t>
      </w:r>
      <w:r>
        <w:rPr>
          <w:color w:val="231F20"/>
          <w:w w:val="105"/>
        </w:rPr>
        <w:t>salt, occurs predominantly as NaHCO</w:t>
      </w:r>
      <w:r>
        <w:rPr>
          <w:color w:val="231F20"/>
          <w:w w:val="105"/>
          <w:vertAlign w:val="subscript"/>
        </w:rPr>
        <w:t>3</w:t>
      </w:r>
      <w:r>
        <w:rPr>
          <w:color w:val="231F20"/>
          <w:w w:val="105"/>
          <w:vertAlign w:val="baseline"/>
        </w:rPr>
        <w:t> in the </w:t>
      </w:r>
      <w:r>
        <w:rPr>
          <w:color w:val="231F20"/>
          <w:spacing w:val="-3"/>
          <w:w w:val="105"/>
          <w:vertAlign w:val="baseline"/>
        </w:rPr>
        <w:t>extracellular </w:t>
      </w:r>
      <w:r>
        <w:rPr>
          <w:color w:val="231F20"/>
          <w:w w:val="105"/>
          <w:vertAlign w:val="baseline"/>
        </w:rPr>
        <w:t>fluid.</w:t>
      </w:r>
      <w:r>
        <w:rPr>
          <w:color w:val="231F20"/>
          <w:spacing w:val="-15"/>
          <w:w w:val="105"/>
          <w:vertAlign w:val="baseline"/>
        </w:rPr>
        <w:t> </w:t>
      </w:r>
      <w:r>
        <w:rPr>
          <w:color w:val="231F20"/>
          <w:w w:val="105"/>
          <w:vertAlign w:val="baseline"/>
        </w:rPr>
        <w:t>NaHCO</w:t>
      </w:r>
      <w:r>
        <w:rPr>
          <w:color w:val="231F20"/>
          <w:w w:val="105"/>
          <w:vertAlign w:val="subscript"/>
        </w:rPr>
        <w:t>3</w:t>
      </w:r>
      <w:r>
        <w:rPr>
          <w:color w:val="231F20"/>
          <w:spacing w:val="-14"/>
          <w:w w:val="105"/>
          <w:vertAlign w:val="baseline"/>
        </w:rPr>
        <w:t> </w:t>
      </w:r>
      <w:r>
        <w:rPr>
          <w:color w:val="231F20"/>
          <w:w w:val="105"/>
          <w:vertAlign w:val="baseline"/>
        </w:rPr>
        <w:t>ionizes</w:t>
      </w:r>
      <w:r>
        <w:rPr>
          <w:color w:val="231F20"/>
          <w:spacing w:val="-14"/>
          <w:w w:val="105"/>
          <w:vertAlign w:val="baseline"/>
        </w:rPr>
        <w:t> </w:t>
      </w:r>
      <w:r>
        <w:rPr>
          <w:color w:val="231F20"/>
          <w:w w:val="105"/>
          <w:vertAlign w:val="baseline"/>
        </w:rPr>
        <w:t>almost</w:t>
      </w:r>
      <w:r>
        <w:rPr>
          <w:color w:val="231F20"/>
          <w:spacing w:val="-14"/>
          <w:w w:val="105"/>
          <w:vertAlign w:val="baseline"/>
        </w:rPr>
        <w:t> </w:t>
      </w:r>
      <w:r>
        <w:rPr>
          <w:color w:val="231F20"/>
          <w:w w:val="105"/>
          <w:vertAlign w:val="baseline"/>
        </w:rPr>
        <w:t>completely</w:t>
      </w:r>
      <w:r>
        <w:rPr>
          <w:color w:val="231F20"/>
          <w:spacing w:val="-15"/>
          <w:w w:val="105"/>
          <w:vertAlign w:val="baseline"/>
        </w:rPr>
        <w:t> </w:t>
      </w:r>
      <w:r>
        <w:rPr>
          <w:color w:val="231F20"/>
          <w:w w:val="105"/>
          <w:vertAlign w:val="baseline"/>
        </w:rPr>
        <w:t>to</w:t>
      </w:r>
      <w:r>
        <w:rPr>
          <w:color w:val="231F20"/>
          <w:spacing w:val="-14"/>
          <w:w w:val="105"/>
          <w:vertAlign w:val="baseline"/>
        </w:rPr>
        <w:t> </w:t>
      </w:r>
      <w:r>
        <w:rPr>
          <w:color w:val="231F20"/>
          <w:w w:val="105"/>
          <w:vertAlign w:val="baseline"/>
        </w:rPr>
        <w:t>form</w:t>
      </w:r>
      <w:r>
        <w:rPr>
          <w:color w:val="231F20"/>
          <w:spacing w:val="-14"/>
          <w:w w:val="105"/>
          <w:vertAlign w:val="baseline"/>
        </w:rPr>
        <w:t> </w:t>
      </w:r>
      <w:r>
        <w:rPr>
          <w:color w:val="231F20"/>
          <w:w w:val="105"/>
          <w:vertAlign w:val="baseline"/>
        </w:rPr>
        <w:t>HCO</w:t>
      </w:r>
      <w:r>
        <w:rPr>
          <w:color w:val="231F20"/>
          <w:spacing w:val="-7"/>
          <w:w w:val="105"/>
          <w:vertAlign w:val="baseline"/>
        </w:rPr>
        <w:t> </w:t>
      </w:r>
      <w:r>
        <w:rPr>
          <w:rFonts w:ascii="Consolas" w:hAnsi="Consolas"/>
          <w:color w:val="231F20"/>
          <w:spacing w:val="-22"/>
          <w:w w:val="105"/>
          <w:position w:val="8"/>
          <w:sz w:val="12"/>
          <w:vertAlign w:val="baseline"/>
        </w:rPr>
        <w:t>−</w:t>
      </w:r>
    </w:p>
    <w:p>
      <w:pPr>
        <w:spacing w:after="0" w:line="240" w:lineRule="atLeast"/>
        <w:jc w:val="both"/>
        <w:rPr>
          <w:rFonts w:ascii="Consolas" w:hAnsi="Consolas"/>
          <w:sz w:val="12"/>
        </w:rPr>
        <w:sectPr>
          <w:type w:val="continuous"/>
          <w:pgSz w:w="12240" w:h="15660"/>
          <w:pgMar w:top="0" w:bottom="760" w:left="0" w:right="0"/>
        </w:sectPr>
      </w:pPr>
    </w:p>
    <w:p>
      <w:pPr>
        <w:pStyle w:val="BodyText"/>
        <w:spacing w:before="6"/>
        <w:ind w:left="1440"/>
      </w:pPr>
      <w:r>
        <w:rPr>
          <w:color w:val="231F20"/>
        </w:rPr>
        <w:t>and Na</w:t>
      </w:r>
      <w:r>
        <w:rPr>
          <w:rFonts w:ascii="Consolas"/>
          <w:color w:val="231F20"/>
          <w:position w:val="8"/>
          <w:sz w:val="12"/>
        </w:rPr>
        <w:t>+</w:t>
      </w:r>
      <w:r>
        <w:rPr>
          <w:color w:val="231F20"/>
        </w:rPr>
        <w:t>, as follows:</w:t>
      </w:r>
    </w:p>
    <w:p>
      <w:pPr>
        <w:spacing w:line="20" w:lineRule="exact" w:before="187"/>
        <w:ind w:left="0" w:right="0" w:firstLine="0"/>
        <w:jc w:val="right"/>
        <w:rPr>
          <w:rFonts w:ascii="Trebuchet MS"/>
          <w:sz w:val="18"/>
        </w:rPr>
      </w:pPr>
      <w:r>
        <w:rPr>
          <w:rFonts w:ascii="Trebuchet MS"/>
          <w:w w:val="110"/>
          <w:sz w:val="18"/>
        </w:rPr>
        <w:t>NaHCO</w:t>
      </w:r>
    </w:p>
    <w:p>
      <w:pPr>
        <w:spacing w:line="13" w:lineRule="exact" w:before="0"/>
        <w:ind w:left="2672" w:right="0" w:firstLine="0"/>
        <w:jc w:val="left"/>
        <w:rPr>
          <w:sz w:val="12"/>
        </w:rPr>
      </w:pPr>
      <w:r>
        <w:rPr/>
        <w:br w:type="column"/>
      </w:r>
      <w:r>
        <w:rPr>
          <w:color w:val="231F20"/>
          <w:sz w:val="12"/>
        </w:rPr>
        <w:t>3</w:t>
      </w:r>
    </w:p>
    <w:p>
      <w:pPr>
        <w:pStyle w:val="BodyText"/>
        <w:rPr>
          <w:sz w:val="16"/>
        </w:rPr>
      </w:pPr>
    </w:p>
    <w:p>
      <w:pPr>
        <w:pStyle w:val="BodyText"/>
        <w:spacing w:before="5"/>
        <w:rPr>
          <w:sz w:val="15"/>
        </w:rPr>
      </w:pPr>
    </w:p>
    <w:p>
      <w:pPr>
        <w:spacing w:line="72" w:lineRule="exact" w:before="0"/>
        <w:ind w:left="76" w:right="0" w:firstLine="0"/>
        <w:jc w:val="left"/>
        <w:rPr>
          <w:rFonts w:ascii="Symbol" w:hAnsi="Symbol"/>
          <w:sz w:val="10"/>
        </w:rPr>
      </w:pPr>
      <w:r>
        <w:rPr>
          <w:rFonts w:ascii="Symbol" w:hAnsi="Symbol"/>
          <w:spacing w:val="-1"/>
          <w:position w:val="4"/>
          <w:sz w:val="18"/>
        </w:rPr>
        <w:t></w:t>
      </w:r>
      <w:r>
        <w:rPr>
          <w:rFonts w:ascii="Symbol" w:hAnsi="Symbol"/>
          <w:spacing w:val="-96"/>
          <w:position w:val="4"/>
          <w:sz w:val="18"/>
        </w:rPr>
        <w:t></w:t>
      </w:r>
      <w:r>
        <w:rPr>
          <w:rFonts w:ascii="Symbol" w:hAnsi="Symbol"/>
          <w:w w:val="100"/>
          <w:position w:val="4"/>
          <w:sz w:val="18"/>
        </w:rPr>
        <w:t></w:t>
      </w:r>
      <w:r>
        <w:rPr>
          <w:spacing w:val="-9"/>
          <w:position w:val="4"/>
          <w:sz w:val="18"/>
        </w:rPr>
        <w:t> </w:t>
      </w:r>
      <w:r>
        <w:rPr>
          <w:rFonts w:ascii="Trebuchet MS" w:hAnsi="Trebuchet MS"/>
          <w:spacing w:val="-1"/>
          <w:w w:val="113"/>
          <w:sz w:val="18"/>
        </w:rPr>
        <w:t>N</w:t>
      </w:r>
      <w:r>
        <w:rPr>
          <w:rFonts w:ascii="Trebuchet MS" w:hAnsi="Trebuchet MS"/>
          <w:spacing w:val="-1"/>
          <w:w w:val="105"/>
          <w:sz w:val="18"/>
        </w:rPr>
        <w:t>a</w:t>
      </w:r>
      <w:r>
        <w:rPr>
          <w:rFonts w:ascii="Symbol" w:hAnsi="Symbol"/>
          <w:w w:val="107"/>
          <w:position w:val="7"/>
          <w:sz w:val="10"/>
        </w:rPr>
        <w:t></w:t>
      </w:r>
      <w:r>
        <w:rPr>
          <w:position w:val="7"/>
          <w:sz w:val="10"/>
        </w:rPr>
        <w:t> </w:t>
      </w:r>
      <w:r>
        <w:rPr>
          <w:spacing w:val="7"/>
          <w:position w:val="7"/>
          <w:sz w:val="10"/>
        </w:rPr>
        <w:t> </w:t>
      </w:r>
      <w:r>
        <w:rPr>
          <w:rFonts w:ascii="Symbol" w:hAnsi="Symbol"/>
          <w:w w:val="100"/>
          <w:sz w:val="18"/>
        </w:rPr>
        <w:t></w:t>
      </w:r>
      <w:r>
        <w:rPr>
          <w:spacing w:val="-18"/>
          <w:sz w:val="18"/>
        </w:rPr>
        <w:t> </w:t>
      </w:r>
      <w:r>
        <w:rPr>
          <w:rFonts w:ascii="Trebuchet MS" w:hAnsi="Trebuchet MS"/>
          <w:spacing w:val="-1"/>
          <w:w w:val="110"/>
          <w:sz w:val="18"/>
        </w:rPr>
        <w:t>H</w:t>
      </w:r>
      <w:r>
        <w:rPr>
          <w:rFonts w:ascii="Trebuchet MS" w:hAnsi="Trebuchet MS"/>
          <w:spacing w:val="-1"/>
          <w:w w:val="102"/>
          <w:sz w:val="18"/>
        </w:rPr>
        <w:t>C</w:t>
      </w:r>
      <w:r>
        <w:rPr>
          <w:rFonts w:ascii="Trebuchet MS" w:hAnsi="Trebuchet MS"/>
          <w:w w:val="115"/>
          <w:sz w:val="18"/>
        </w:rPr>
        <w:t>O</w:t>
      </w:r>
      <w:r>
        <w:rPr>
          <w:rFonts w:ascii="Trebuchet MS" w:hAnsi="Trebuchet MS"/>
          <w:spacing w:val="11"/>
          <w:sz w:val="18"/>
        </w:rPr>
        <w:t> </w:t>
      </w:r>
      <w:r>
        <w:rPr>
          <w:rFonts w:ascii="Symbol" w:hAnsi="Symbol"/>
          <w:w w:val="107"/>
          <w:position w:val="7"/>
          <w:sz w:val="10"/>
        </w:rPr>
        <w:t></w:t>
      </w:r>
    </w:p>
    <w:p>
      <w:pPr>
        <w:spacing w:after="0" w:line="72" w:lineRule="exact"/>
        <w:jc w:val="left"/>
        <w:rPr>
          <w:rFonts w:ascii="Symbol" w:hAnsi="Symbol"/>
          <w:sz w:val="10"/>
        </w:rPr>
        <w:sectPr>
          <w:type w:val="continuous"/>
          <w:pgSz w:w="12240" w:h="15660"/>
          <w:pgMar w:top="0" w:bottom="760" w:left="0" w:right="0"/>
          <w:cols w:num="2" w:equalWidth="0">
            <w:col w:w="3283" w:space="40"/>
            <w:col w:w="8917"/>
          </w:cols>
        </w:sectPr>
      </w:pPr>
    </w:p>
    <w:p>
      <w:pPr>
        <w:tabs>
          <w:tab w:pos="4729" w:val="left" w:leader="none"/>
        </w:tabs>
        <w:spacing w:before="1"/>
        <w:ind w:left="3283" w:right="0" w:firstLine="0"/>
        <w:jc w:val="left"/>
        <w:rPr>
          <w:rFonts w:ascii="Trebuchet MS" w:hAnsi="Trebuchet MS"/>
          <w:sz w:val="10"/>
        </w:rPr>
      </w:pPr>
      <w:r>
        <w:rPr>
          <w:rFonts w:ascii="Trebuchet MS" w:hAnsi="Trebuchet MS"/>
          <w:w w:val="113"/>
          <w:sz w:val="10"/>
        </w:rPr>
        <w:t>3</w:t>
      </w:r>
      <w:r>
        <w:rPr>
          <w:rFonts w:ascii="Trebuchet MS" w:hAnsi="Trebuchet MS"/>
          <w:sz w:val="10"/>
        </w:rPr>
        <w:t>    </w:t>
      </w:r>
      <w:r>
        <w:rPr>
          <w:rFonts w:ascii="Trebuchet MS" w:hAnsi="Trebuchet MS"/>
          <w:spacing w:val="-11"/>
          <w:sz w:val="10"/>
        </w:rPr>
        <w:t> </w:t>
      </w:r>
      <w:r>
        <w:rPr>
          <w:rFonts w:ascii="Symbol" w:hAnsi="Symbol"/>
          <w:spacing w:val="-116"/>
          <w:w w:val="100"/>
          <w:sz w:val="18"/>
        </w:rPr>
        <w:t></w:t>
      </w:r>
      <w:r>
        <w:rPr>
          <w:rFonts w:ascii="Symbol" w:hAnsi="Symbol"/>
          <w:sz w:val="18"/>
        </w:rPr>
        <w:t></w:t>
      </w:r>
      <w:r>
        <w:rPr>
          <w:sz w:val="18"/>
        </w:rPr>
        <w:tab/>
      </w:r>
      <w:r>
        <w:rPr>
          <w:rFonts w:ascii="Trebuchet MS" w:hAnsi="Trebuchet MS"/>
          <w:w w:val="113"/>
          <w:sz w:val="10"/>
        </w:rPr>
        <w:t>3</w:t>
      </w:r>
    </w:p>
    <w:p>
      <w:pPr>
        <w:pStyle w:val="BodyText"/>
        <w:spacing w:line="249" w:lineRule="auto" w:before="62"/>
        <w:ind w:left="1440" w:right="6107" w:firstLine="240"/>
      </w:pPr>
      <w:r>
        <w:rPr>
          <w:color w:val="231F20"/>
          <w:w w:val="105"/>
        </w:rPr>
        <w:t>Now, putting the entire system together, we have the following:</w:t>
      </w:r>
    </w:p>
    <w:p>
      <w:pPr>
        <w:pStyle w:val="BodyText"/>
        <w:rPr>
          <w:sz w:val="11"/>
        </w:rPr>
      </w:pPr>
    </w:p>
    <w:p>
      <w:pPr>
        <w:tabs>
          <w:tab w:pos="687" w:val="left" w:leader="none"/>
        </w:tabs>
        <w:spacing w:line="48" w:lineRule="exact" w:before="1"/>
        <w:ind w:left="0" w:right="2221" w:firstLine="0"/>
        <w:jc w:val="center"/>
        <w:rPr>
          <w:rFonts w:ascii="Symbol" w:hAnsi="Symbol"/>
          <w:sz w:val="10"/>
        </w:rPr>
      </w:pPr>
      <w:r>
        <w:rPr>
          <w:rFonts w:ascii="Symbol" w:hAnsi="Symbol"/>
          <w:w w:val="110"/>
          <w:sz w:val="10"/>
        </w:rPr>
        <w:t></w:t>
      </w:r>
      <w:r>
        <w:rPr>
          <w:w w:val="110"/>
          <w:sz w:val="10"/>
        </w:rPr>
        <w:tab/>
      </w:r>
      <w:r>
        <w:rPr>
          <w:rFonts w:ascii="Symbol" w:hAnsi="Symbol"/>
          <w:w w:val="110"/>
          <w:sz w:val="10"/>
        </w:rPr>
        <w:t></w:t>
      </w:r>
    </w:p>
    <w:p>
      <w:pPr>
        <w:spacing w:after="0" w:line="48" w:lineRule="exact"/>
        <w:jc w:val="center"/>
        <w:rPr>
          <w:rFonts w:ascii="Symbol" w:hAnsi="Symbol"/>
          <w:sz w:val="10"/>
        </w:rPr>
        <w:sectPr>
          <w:type w:val="continuous"/>
          <w:pgSz w:w="12240" w:h="15660"/>
          <w:pgMar w:top="0" w:bottom="760" w:left="0" w:right="0"/>
        </w:sectPr>
      </w:pPr>
    </w:p>
    <w:p>
      <w:pPr>
        <w:spacing w:line="245" w:lineRule="exact" w:before="0"/>
        <w:ind w:left="2151" w:right="0" w:firstLine="0"/>
        <w:jc w:val="left"/>
        <w:rPr>
          <w:rFonts w:ascii="Trebuchet MS" w:hAnsi="Trebuchet MS"/>
          <w:sz w:val="18"/>
        </w:rPr>
      </w:pPr>
      <w:r>
        <w:rPr>
          <w:rFonts w:ascii="Trebuchet MS" w:hAnsi="Trebuchet MS"/>
          <w:spacing w:val="-1"/>
          <w:w w:val="102"/>
          <w:position w:val="3"/>
          <w:sz w:val="18"/>
        </w:rPr>
        <w:t>C</w:t>
      </w:r>
      <w:r>
        <w:rPr>
          <w:rFonts w:ascii="Trebuchet MS" w:hAnsi="Trebuchet MS"/>
          <w:spacing w:val="1"/>
          <w:w w:val="115"/>
          <w:position w:val="3"/>
          <w:sz w:val="18"/>
        </w:rPr>
        <w:t>O</w:t>
      </w:r>
      <w:r>
        <w:rPr>
          <w:rFonts w:ascii="Trebuchet MS" w:hAnsi="Trebuchet MS"/>
          <w:w w:val="113"/>
          <w:sz w:val="10"/>
        </w:rPr>
        <w:t>2</w:t>
      </w:r>
      <w:r>
        <w:rPr>
          <w:rFonts w:ascii="Trebuchet MS" w:hAnsi="Trebuchet MS"/>
          <w:sz w:val="10"/>
        </w:rPr>
        <w:t> </w:t>
      </w:r>
      <w:r>
        <w:rPr>
          <w:rFonts w:ascii="Trebuchet MS" w:hAnsi="Trebuchet MS"/>
          <w:spacing w:val="-9"/>
          <w:sz w:val="10"/>
        </w:rPr>
        <w:t> </w:t>
      </w:r>
      <w:r>
        <w:rPr>
          <w:rFonts w:ascii="Symbol" w:hAnsi="Symbol"/>
          <w:w w:val="100"/>
          <w:position w:val="3"/>
          <w:sz w:val="18"/>
        </w:rPr>
        <w:t></w:t>
      </w:r>
      <w:r>
        <w:rPr>
          <w:spacing w:val="-18"/>
          <w:position w:val="3"/>
          <w:sz w:val="18"/>
        </w:rPr>
        <w:t> </w:t>
      </w:r>
      <w:r>
        <w:rPr>
          <w:rFonts w:ascii="Trebuchet MS" w:hAnsi="Trebuchet MS"/>
          <w:spacing w:val="-9"/>
          <w:w w:val="110"/>
          <w:position w:val="3"/>
          <w:sz w:val="18"/>
        </w:rPr>
        <w:t>H</w:t>
      </w:r>
      <w:r>
        <w:rPr>
          <w:rFonts w:ascii="Trebuchet MS" w:hAnsi="Trebuchet MS"/>
          <w:w w:val="113"/>
          <w:sz w:val="10"/>
        </w:rPr>
        <w:t>2</w:t>
      </w:r>
      <w:r>
        <w:rPr>
          <w:rFonts w:ascii="Trebuchet MS" w:hAnsi="Trebuchet MS"/>
          <w:w w:val="115"/>
          <w:position w:val="3"/>
          <w:sz w:val="18"/>
        </w:rPr>
        <w:t>O</w:t>
      </w:r>
      <w:r>
        <w:rPr>
          <w:rFonts w:ascii="Trebuchet MS" w:hAnsi="Trebuchet MS"/>
          <w:spacing w:val="-8"/>
          <w:position w:val="3"/>
          <w:sz w:val="18"/>
        </w:rPr>
        <w:t> </w:t>
      </w:r>
      <w:r>
        <w:rPr>
          <w:rFonts w:ascii="Symbol" w:hAnsi="Symbol"/>
          <w:spacing w:val="-161"/>
          <w:w w:val="100"/>
          <w:sz w:val="18"/>
        </w:rPr>
        <w:t></w:t>
      </w:r>
      <w:r>
        <w:rPr>
          <w:rFonts w:ascii="Symbol" w:hAnsi="Symbol"/>
          <w:spacing w:val="-37"/>
          <w:position w:val="7"/>
          <w:sz w:val="18"/>
        </w:rPr>
        <w:t></w:t>
      </w:r>
      <w:r>
        <w:rPr>
          <w:rFonts w:ascii="Symbol" w:hAnsi="Symbol"/>
          <w:spacing w:val="-144"/>
          <w:sz w:val="18"/>
        </w:rPr>
        <w:t></w:t>
      </w:r>
      <w:r>
        <w:rPr>
          <w:rFonts w:ascii="Symbol" w:hAnsi="Symbol"/>
          <w:spacing w:val="-112"/>
          <w:position w:val="7"/>
          <w:sz w:val="18"/>
        </w:rPr>
        <w:t></w:t>
      </w:r>
      <w:r>
        <w:rPr>
          <w:rFonts w:ascii="Symbol" w:hAnsi="Symbol"/>
          <w:spacing w:val="-164"/>
          <w:sz w:val="18"/>
        </w:rPr>
        <w:t></w:t>
      </w:r>
      <w:r>
        <w:rPr>
          <w:rFonts w:ascii="Symbol" w:hAnsi="Symbol"/>
          <w:w w:val="100"/>
          <w:position w:val="7"/>
          <w:sz w:val="18"/>
        </w:rPr>
        <w:t></w:t>
      </w:r>
      <w:r>
        <w:rPr>
          <w:spacing w:val="-9"/>
          <w:position w:val="7"/>
          <w:sz w:val="18"/>
        </w:rPr>
        <w:t> </w:t>
      </w:r>
      <w:r>
        <w:rPr>
          <w:rFonts w:ascii="Trebuchet MS" w:hAnsi="Trebuchet MS"/>
          <w:spacing w:val="-9"/>
          <w:w w:val="110"/>
          <w:position w:val="3"/>
          <w:sz w:val="18"/>
        </w:rPr>
        <w:t>H</w:t>
      </w:r>
      <w:r>
        <w:rPr>
          <w:rFonts w:ascii="Trebuchet MS" w:hAnsi="Trebuchet MS"/>
          <w:w w:val="113"/>
          <w:sz w:val="10"/>
        </w:rPr>
        <w:t>2</w:t>
      </w:r>
      <w:r>
        <w:rPr>
          <w:rFonts w:ascii="Trebuchet MS" w:hAnsi="Trebuchet MS"/>
          <w:spacing w:val="-1"/>
          <w:w w:val="102"/>
          <w:position w:val="3"/>
          <w:sz w:val="18"/>
        </w:rPr>
        <w:t>C</w:t>
      </w:r>
      <w:r>
        <w:rPr>
          <w:rFonts w:ascii="Trebuchet MS" w:hAnsi="Trebuchet MS"/>
          <w:spacing w:val="1"/>
          <w:w w:val="115"/>
          <w:position w:val="3"/>
          <w:sz w:val="18"/>
        </w:rPr>
        <w:t>O</w:t>
      </w:r>
      <w:r>
        <w:rPr>
          <w:rFonts w:ascii="Trebuchet MS" w:hAnsi="Trebuchet MS"/>
          <w:w w:val="113"/>
          <w:sz w:val="10"/>
        </w:rPr>
        <w:t>3</w:t>
      </w:r>
      <w:r>
        <w:rPr>
          <w:rFonts w:ascii="Trebuchet MS" w:hAnsi="Trebuchet MS"/>
          <w:spacing w:val="9"/>
          <w:sz w:val="10"/>
        </w:rPr>
        <w:t> </w:t>
      </w:r>
      <w:r>
        <w:rPr>
          <w:rFonts w:ascii="Symbol" w:hAnsi="Symbol"/>
          <w:spacing w:val="-60"/>
          <w:w w:val="100"/>
          <w:sz w:val="18"/>
        </w:rPr>
        <w:t></w:t>
      </w:r>
      <w:r>
        <w:rPr>
          <w:rFonts w:ascii="Symbol" w:hAnsi="Symbol"/>
          <w:spacing w:val="-139"/>
          <w:position w:val="7"/>
          <w:sz w:val="18"/>
        </w:rPr>
        <w:t></w:t>
      </w:r>
      <w:r>
        <w:rPr>
          <w:rFonts w:ascii="Symbol" w:hAnsi="Symbol"/>
          <w:spacing w:val="-161"/>
          <w:sz w:val="18"/>
        </w:rPr>
        <w:t></w:t>
      </w:r>
      <w:r>
        <w:rPr>
          <w:rFonts w:ascii="Symbol" w:hAnsi="Symbol"/>
          <w:spacing w:val="-94"/>
          <w:w w:val="100"/>
          <w:position w:val="7"/>
          <w:sz w:val="18"/>
        </w:rPr>
        <w:t></w:t>
      </w:r>
      <w:r>
        <w:rPr>
          <w:rFonts w:ascii="Symbol" w:hAnsi="Symbol"/>
          <w:sz w:val="18"/>
        </w:rPr>
        <w:t></w:t>
      </w:r>
      <w:r>
        <w:rPr>
          <w:spacing w:val="-17"/>
          <w:sz w:val="18"/>
        </w:rPr>
        <w:t> </w:t>
      </w:r>
      <w:r>
        <w:rPr>
          <w:rFonts w:ascii="Trebuchet MS" w:hAnsi="Trebuchet MS"/>
          <w:w w:val="110"/>
          <w:position w:val="3"/>
          <w:sz w:val="18"/>
        </w:rPr>
        <w:t>H</w:t>
      </w:r>
    </w:p>
    <w:p>
      <w:pPr>
        <w:spacing w:line="208" w:lineRule="auto" w:before="2"/>
        <w:ind w:left="72" w:right="0" w:firstLine="0"/>
        <w:jc w:val="left"/>
        <w:rPr>
          <w:rFonts w:ascii="Trebuchet MS" w:hAnsi="Trebuchet MS"/>
          <w:sz w:val="10"/>
        </w:rPr>
      </w:pPr>
      <w:r>
        <w:rPr/>
        <w:br w:type="column"/>
      </w:r>
      <w:r>
        <w:rPr>
          <w:rFonts w:ascii="Symbol" w:hAnsi="Symbol"/>
          <w:w w:val="100"/>
          <w:sz w:val="18"/>
        </w:rPr>
        <w:t></w:t>
      </w:r>
      <w:r>
        <w:rPr>
          <w:spacing w:val="-18"/>
          <w:sz w:val="18"/>
        </w:rPr>
        <w:t> </w:t>
      </w:r>
      <w:r>
        <w:rPr>
          <w:rFonts w:ascii="Trebuchet MS" w:hAnsi="Trebuchet MS"/>
          <w:spacing w:val="-114"/>
          <w:w w:val="110"/>
          <w:sz w:val="18"/>
        </w:rPr>
        <w:t>H</w:t>
      </w:r>
      <w:r>
        <w:rPr>
          <w:rFonts w:ascii="Calibri" w:hAnsi="Calibri"/>
          <w:spacing w:val="-68"/>
          <w:w w:val="189"/>
          <w:position w:val="-7"/>
          <w:sz w:val="18"/>
        </w:rPr>
        <w:t>'-</w:t>
      </w:r>
      <w:r>
        <w:rPr>
          <w:rFonts w:ascii="Trebuchet MS" w:hAnsi="Trebuchet MS"/>
          <w:spacing w:val="-64"/>
          <w:w w:val="102"/>
          <w:sz w:val="18"/>
        </w:rPr>
        <w:t>C</w:t>
      </w:r>
      <w:r>
        <w:rPr>
          <w:rFonts w:ascii="Calibri" w:hAnsi="Calibri"/>
          <w:spacing w:val="-121"/>
          <w:w w:val="74"/>
          <w:position w:val="-7"/>
          <w:sz w:val="18"/>
        </w:rPr>
        <w:t>---  </w:t>
      </w:r>
      <w:r>
        <w:rPr>
          <w:rFonts w:ascii="Trebuchet MS" w:hAnsi="Trebuchet MS"/>
          <w:spacing w:val="-42"/>
          <w:w w:val="115"/>
          <w:sz w:val="18"/>
        </w:rPr>
        <w:t>O</w:t>
      </w:r>
      <w:r>
        <w:rPr>
          <w:rFonts w:ascii="Calibri" w:hAnsi="Calibri"/>
          <w:spacing w:val="-137"/>
          <w:w w:val="99"/>
          <w:position w:val="-7"/>
          <w:sz w:val="18"/>
        </w:rPr>
        <w:t>__</w:t>
      </w:r>
      <w:r>
        <w:rPr>
          <w:rFonts w:ascii="Trebuchet MS" w:hAnsi="Trebuchet MS"/>
          <w:w w:val="113"/>
          <w:position w:val="-2"/>
          <w:sz w:val="10"/>
        </w:rPr>
        <w:t>3</w:t>
      </w:r>
    </w:p>
    <w:p>
      <w:pPr>
        <w:spacing w:line="175" w:lineRule="exact" w:before="0"/>
        <w:ind w:left="0" w:right="6634" w:firstLine="0"/>
        <w:jc w:val="center"/>
        <w:rPr>
          <w:rFonts w:ascii="Symbol" w:hAnsi="Symbol"/>
          <w:sz w:val="18"/>
        </w:rPr>
      </w:pPr>
      <w:r>
        <w:rPr>
          <w:rFonts w:ascii="Symbol" w:hAnsi="Symbol"/>
          <w:w w:val="100"/>
          <w:sz w:val="18"/>
        </w:rPr>
        <w:t></w:t>
      </w:r>
    </w:p>
    <w:p>
      <w:pPr>
        <w:spacing w:line="180" w:lineRule="exact" w:before="0"/>
        <w:ind w:left="284" w:right="6944" w:firstLine="0"/>
        <w:jc w:val="center"/>
        <w:rPr>
          <w:rFonts w:ascii="Symbol" w:hAnsi="Symbol"/>
          <w:sz w:val="10"/>
        </w:rPr>
      </w:pPr>
      <w:r>
        <w:rPr>
          <w:rFonts w:ascii="Trebuchet MS" w:hAnsi="Trebuchet MS"/>
          <w:w w:val="110"/>
          <w:sz w:val="18"/>
        </w:rPr>
        <w:t>Na</w:t>
      </w:r>
      <w:r>
        <w:rPr>
          <w:rFonts w:ascii="Symbol" w:hAnsi="Symbol"/>
          <w:w w:val="110"/>
          <w:position w:val="4"/>
          <w:sz w:val="10"/>
        </w:rPr>
        <w:t></w:t>
      </w:r>
    </w:p>
    <w:p>
      <w:pPr>
        <w:spacing w:after="0" w:line="180" w:lineRule="exact"/>
        <w:jc w:val="center"/>
        <w:rPr>
          <w:rFonts w:ascii="Symbol" w:hAnsi="Symbol"/>
          <w:sz w:val="10"/>
        </w:rPr>
        <w:sectPr>
          <w:type w:val="continuous"/>
          <w:pgSz w:w="12240" w:h="15660"/>
          <w:pgMar w:top="0" w:bottom="760" w:left="0" w:right="0"/>
          <w:cols w:num="2" w:equalWidth="0">
            <w:col w:w="4640" w:space="40"/>
            <w:col w:w="7560"/>
          </w:cols>
        </w:sectPr>
      </w:pPr>
    </w:p>
    <w:p>
      <w:pPr>
        <w:pStyle w:val="BodyText"/>
        <w:spacing w:line="240" w:lineRule="atLeast" w:before="136"/>
        <w:ind w:left="1440" w:right="6119" w:firstLine="240"/>
        <w:jc w:val="both"/>
      </w:pPr>
      <w:r>
        <w:rPr/>
        <w:pict>
          <v:group style="position:absolute;margin-left:0pt;margin-top:0pt;width:612pt;height:180pt;mso-position-horizontal-relative:page;mso-position-vertical-relative:page;z-index:-27266764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w10:wrap type="none"/>
          </v:group>
        </w:pict>
      </w:r>
      <w:r>
        <w:rPr>
          <w:color w:val="231F20"/>
        </w:rPr>
        <w:t>Because of the weak dissociation of H</w:t>
      </w:r>
      <w:r>
        <w:rPr>
          <w:color w:val="231F20"/>
          <w:vertAlign w:val="subscript"/>
        </w:rPr>
        <w:t>2</w:t>
      </w:r>
      <w:r>
        <w:rPr>
          <w:color w:val="231F20"/>
          <w:vertAlign w:val="baseline"/>
        </w:rPr>
        <w:t>CO</w:t>
      </w:r>
      <w:r>
        <w:rPr>
          <w:color w:val="231F20"/>
          <w:vertAlign w:val="subscript"/>
        </w:rPr>
        <w:t>3</w:t>
      </w:r>
      <w:r>
        <w:rPr>
          <w:color w:val="231F20"/>
          <w:vertAlign w:val="baseline"/>
        </w:rPr>
        <w:t>, the H</w:t>
      </w:r>
      <w:r>
        <w:rPr>
          <w:rFonts w:ascii="Consolas"/>
          <w:color w:val="231F20"/>
          <w:position w:val="8"/>
          <w:sz w:val="12"/>
          <w:vertAlign w:val="baseline"/>
        </w:rPr>
        <w:t>+ </w:t>
      </w:r>
      <w:r>
        <w:rPr>
          <w:color w:val="231F20"/>
          <w:vertAlign w:val="baseline"/>
        </w:rPr>
        <w:t>concentration is extremely small.</w:t>
      </w:r>
    </w:p>
    <w:p>
      <w:pPr>
        <w:pStyle w:val="BodyText"/>
        <w:spacing w:line="247" w:lineRule="auto" w:before="10"/>
        <w:ind w:left="1440" w:right="6119" w:firstLine="240"/>
        <w:jc w:val="both"/>
      </w:pPr>
      <w:r>
        <w:rPr/>
        <w:pict>
          <v:shape style="position:absolute;margin-left:249.651596pt;margin-top:29.76193pt;width:3pt;height:8.7pt;mso-position-horizontal-relative:page;mso-position-vertical-relative:paragraph;z-index:-2726420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When</w:t>
      </w:r>
      <w:r>
        <w:rPr>
          <w:color w:val="231F20"/>
          <w:spacing w:val="-8"/>
          <w:w w:val="105"/>
        </w:rPr>
        <w:t> </w:t>
      </w:r>
      <w:r>
        <w:rPr>
          <w:color w:val="231F20"/>
          <w:w w:val="105"/>
        </w:rPr>
        <w:t>a</w:t>
      </w:r>
      <w:r>
        <w:rPr>
          <w:color w:val="231F20"/>
          <w:spacing w:val="-7"/>
          <w:w w:val="105"/>
        </w:rPr>
        <w:t> </w:t>
      </w:r>
      <w:r>
        <w:rPr>
          <w:color w:val="231F20"/>
          <w:w w:val="105"/>
        </w:rPr>
        <w:t>strong</w:t>
      </w:r>
      <w:r>
        <w:rPr>
          <w:color w:val="231F20"/>
          <w:spacing w:val="-7"/>
          <w:w w:val="105"/>
        </w:rPr>
        <w:t> </w:t>
      </w:r>
      <w:r>
        <w:rPr>
          <w:color w:val="231F20"/>
          <w:w w:val="105"/>
        </w:rPr>
        <w:t>acid</w:t>
      </w:r>
      <w:r>
        <w:rPr>
          <w:color w:val="231F20"/>
          <w:spacing w:val="-7"/>
          <w:w w:val="105"/>
        </w:rPr>
        <w:t> </w:t>
      </w:r>
      <w:r>
        <w:rPr>
          <w:color w:val="231F20"/>
          <w:w w:val="105"/>
        </w:rPr>
        <w:t>such</w:t>
      </w:r>
      <w:r>
        <w:rPr>
          <w:color w:val="231F20"/>
          <w:spacing w:val="-7"/>
          <w:w w:val="105"/>
        </w:rPr>
        <w:t> </w:t>
      </w:r>
      <w:r>
        <w:rPr>
          <w:color w:val="231F20"/>
          <w:w w:val="105"/>
        </w:rPr>
        <w:t>as</w:t>
      </w:r>
      <w:r>
        <w:rPr>
          <w:color w:val="231F20"/>
          <w:spacing w:val="-8"/>
          <w:w w:val="105"/>
        </w:rPr>
        <w:t> </w:t>
      </w:r>
      <w:r>
        <w:rPr>
          <w:color w:val="231F20"/>
          <w:w w:val="105"/>
        </w:rPr>
        <w:t>HCl</w:t>
      </w:r>
      <w:r>
        <w:rPr>
          <w:color w:val="231F20"/>
          <w:spacing w:val="-7"/>
          <w:w w:val="105"/>
        </w:rPr>
        <w:t> </w:t>
      </w:r>
      <w:r>
        <w:rPr>
          <w:color w:val="231F20"/>
          <w:w w:val="105"/>
        </w:rPr>
        <w:t>is</w:t>
      </w:r>
      <w:r>
        <w:rPr>
          <w:color w:val="231F20"/>
          <w:spacing w:val="-7"/>
          <w:w w:val="105"/>
        </w:rPr>
        <w:t> </w:t>
      </w:r>
      <w:r>
        <w:rPr>
          <w:color w:val="231F20"/>
          <w:w w:val="105"/>
        </w:rPr>
        <w:t>added</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8"/>
          <w:w w:val="105"/>
        </w:rPr>
        <w:t> </w:t>
      </w:r>
      <w:r>
        <w:rPr>
          <w:color w:val="231F20"/>
          <w:w w:val="105"/>
        </w:rPr>
        <w:t>bicar- bonate</w:t>
      </w:r>
      <w:r>
        <w:rPr>
          <w:color w:val="231F20"/>
          <w:spacing w:val="-22"/>
          <w:w w:val="105"/>
        </w:rPr>
        <w:t> </w:t>
      </w:r>
      <w:r>
        <w:rPr>
          <w:color w:val="231F20"/>
          <w:w w:val="105"/>
        </w:rPr>
        <w:t>buffer</w:t>
      </w:r>
      <w:r>
        <w:rPr>
          <w:color w:val="231F20"/>
          <w:spacing w:val="-22"/>
          <w:w w:val="105"/>
        </w:rPr>
        <w:t> </w:t>
      </w:r>
      <w:r>
        <w:rPr>
          <w:color w:val="231F20"/>
          <w:w w:val="105"/>
        </w:rPr>
        <w:t>solution,</w:t>
      </w:r>
      <w:r>
        <w:rPr>
          <w:color w:val="231F20"/>
          <w:spacing w:val="-22"/>
          <w:w w:val="105"/>
        </w:rPr>
        <w:t> </w:t>
      </w:r>
      <w:r>
        <w:rPr>
          <w:color w:val="231F20"/>
          <w:w w:val="105"/>
        </w:rPr>
        <w:t>the</w:t>
      </w:r>
      <w:r>
        <w:rPr>
          <w:color w:val="231F20"/>
          <w:spacing w:val="-22"/>
          <w:w w:val="105"/>
        </w:rPr>
        <w:t> </w:t>
      </w:r>
      <w:r>
        <w:rPr>
          <w:color w:val="231F20"/>
          <w:w w:val="105"/>
        </w:rPr>
        <w:t>increased</w:t>
      </w:r>
      <w:r>
        <w:rPr>
          <w:color w:val="231F20"/>
          <w:spacing w:val="-22"/>
          <w:w w:val="105"/>
        </w:rPr>
        <w:t> </w:t>
      </w:r>
      <w:r>
        <w:rPr>
          <w:color w:val="231F20"/>
          <w:w w:val="105"/>
        </w:rPr>
        <w:t>H</w:t>
      </w:r>
      <w:r>
        <w:rPr>
          <w:rFonts w:ascii="Consolas" w:hAnsi="Consolas"/>
          <w:color w:val="231F20"/>
          <w:w w:val="105"/>
          <w:position w:val="8"/>
          <w:sz w:val="12"/>
        </w:rPr>
        <w:t>+</w:t>
      </w:r>
      <w:r>
        <w:rPr>
          <w:rFonts w:ascii="Consolas" w:hAnsi="Consolas"/>
          <w:color w:val="231F20"/>
          <w:spacing w:val="-38"/>
          <w:w w:val="105"/>
          <w:position w:val="8"/>
          <w:sz w:val="12"/>
        </w:rPr>
        <w:t> </w:t>
      </w:r>
      <w:r>
        <w:rPr>
          <w:color w:val="231F20"/>
          <w:w w:val="105"/>
        </w:rPr>
        <w:t>released</w:t>
      </w:r>
      <w:r>
        <w:rPr>
          <w:color w:val="231F20"/>
          <w:spacing w:val="-22"/>
          <w:w w:val="105"/>
        </w:rPr>
        <w:t> </w:t>
      </w:r>
      <w:r>
        <w:rPr>
          <w:color w:val="231F20"/>
          <w:w w:val="105"/>
        </w:rPr>
        <w:t>from</w:t>
      </w:r>
      <w:r>
        <w:rPr>
          <w:color w:val="231F20"/>
          <w:spacing w:val="-22"/>
          <w:w w:val="105"/>
        </w:rPr>
        <w:t> </w:t>
      </w:r>
      <w:r>
        <w:rPr>
          <w:color w:val="231F20"/>
          <w:w w:val="105"/>
        </w:rPr>
        <w:t>the acid (HCl</w:t>
      </w:r>
      <w:r>
        <w:rPr>
          <w:color w:val="231F20"/>
          <w:spacing w:val="1"/>
          <w:w w:val="105"/>
        </w:rPr>
        <w:t> </w:t>
      </w:r>
      <w:r>
        <w:rPr>
          <w:rFonts w:ascii="Consolas" w:hAnsi="Consolas"/>
          <w:color w:val="231F20"/>
          <w:w w:val="150"/>
        </w:rPr>
        <w:t>→</w:t>
      </w:r>
      <w:r>
        <w:rPr>
          <w:rFonts w:ascii="Consolas" w:hAnsi="Consolas"/>
          <w:color w:val="231F20"/>
          <w:spacing w:val="-112"/>
          <w:w w:val="150"/>
        </w:rPr>
        <w:t> </w:t>
      </w:r>
      <w:r>
        <w:rPr>
          <w:color w:val="231F20"/>
          <w:w w:val="105"/>
        </w:rPr>
        <w:t>H</w:t>
      </w:r>
      <w:r>
        <w:rPr>
          <w:rFonts w:ascii="Consolas" w:hAnsi="Consolas"/>
          <w:color w:val="231F20"/>
          <w:w w:val="105"/>
          <w:position w:val="8"/>
          <w:sz w:val="12"/>
        </w:rPr>
        <w:t>+</w:t>
      </w:r>
      <w:r>
        <w:rPr>
          <w:rFonts w:ascii="Consolas" w:hAnsi="Consolas"/>
          <w:color w:val="231F20"/>
          <w:spacing w:val="-16"/>
          <w:w w:val="105"/>
          <w:position w:val="8"/>
          <w:sz w:val="12"/>
        </w:rPr>
        <w:t> </w:t>
      </w:r>
      <w:r>
        <w:rPr>
          <w:rFonts w:ascii="Consolas" w:hAnsi="Consolas"/>
          <w:color w:val="231F20"/>
          <w:w w:val="105"/>
        </w:rPr>
        <w:t>+</w:t>
      </w:r>
      <w:r>
        <w:rPr>
          <w:rFonts w:ascii="Consolas" w:hAnsi="Consolas"/>
          <w:color w:val="231F20"/>
          <w:spacing w:val="-63"/>
          <w:w w:val="105"/>
        </w:rPr>
        <w:t> </w:t>
      </w:r>
      <w:r>
        <w:rPr>
          <w:color w:val="231F20"/>
          <w:w w:val="105"/>
        </w:rPr>
        <w:t>Cl</w:t>
      </w:r>
      <w:r>
        <w:rPr>
          <w:rFonts w:ascii="Consolas" w:hAnsi="Consolas"/>
          <w:color w:val="231F20"/>
          <w:w w:val="105"/>
          <w:position w:val="8"/>
          <w:sz w:val="12"/>
        </w:rPr>
        <w:t>−</w:t>
      </w:r>
      <w:r>
        <w:rPr>
          <w:color w:val="231F20"/>
          <w:w w:val="105"/>
        </w:rPr>
        <w:t>)</w:t>
      </w:r>
      <w:r>
        <w:rPr>
          <w:color w:val="231F20"/>
          <w:spacing w:val="1"/>
          <w:w w:val="105"/>
        </w:rPr>
        <w:t> </w:t>
      </w:r>
      <w:r>
        <w:rPr>
          <w:color w:val="231F20"/>
          <w:w w:val="105"/>
        </w:rPr>
        <w:t>is buffered</w:t>
      </w:r>
      <w:r>
        <w:rPr>
          <w:color w:val="231F20"/>
          <w:spacing w:val="1"/>
          <w:w w:val="105"/>
        </w:rPr>
        <w:t> </w:t>
      </w:r>
      <w:r>
        <w:rPr>
          <w:color w:val="231F20"/>
          <w:w w:val="105"/>
        </w:rPr>
        <w:t>by HCO</w:t>
      </w:r>
      <w:r>
        <w:rPr>
          <w:color w:val="231F20"/>
          <w:spacing w:val="3"/>
          <w:w w:val="105"/>
        </w:rPr>
        <w:t> </w:t>
      </w:r>
      <w:r>
        <w:rPr>
          <w:rFonts w:ascii="Consolas" w:hAnsi="Consolas"/>
          <w:color w:val="231F20"/>
          <w:w w:val="105"/>
          <w:position w:val="8"/>
          <w:sz w:val="12"/>
        </w:rPr>
        <w:t>−</w:t>
      </w:r>
      <w:r>
        <w:rPr>
          <w:color w:val="231F20"/>
          <w:w w:val="105"/>
        </w:rPr>
        <w:t>.</w:t>
      </w:r>
    </w:p>
    <w:p>
      <w:pPr>
        <w:spacing w:before="140"/>
        <w:ind w:left="2331" w:right="0" w:firstLine="0"/>
        <w:jc w:val="left"/>
        <w:rPr>
          <w:rFonts w:ascii="Trebuchet MS" w:hAnsi="Trebuchet MS"/>
          <w:sz w:val="18"/>
        </w:rPr>
      </w:pPr>
      <w:r>
        <w:rPr>
          <w:rFonts w:ascii="Symbol" w:hAnsi="Symbol"/>
          <w:w w:val="110"/>
          <w:sz w:val="18"/>
        </w:rPr>
        <w:t></w:t>
      </w:r>
      <w:r>
        <w:rPr>
          <w:spacing w:val="-18"/>
          <w:w w:val="110"/>
          <w:sz w:val="18"/>
        </w:rPr>
        <w:t> </w:t>
      </w:r>
      <w:r>
        <w:rPr>
          <w:rFonts w:ascii="Trebuchet MS" w:hAnsi="Trebuchet MS"/>
          <w:spacing w:val="-3"/>
          <w:w w:val="110"/>
          <w:sz w:val="18"/>
        </w:rPr>
        <w:t>H</w:t>
      </w:r>
      <w:r>
        <w:rPr>
          <w:rFonts w:ascii="Symbol" w:hAnsi="Symbol"/>
          <w:spacing w:val="-3"/>
          <w:w w:val="110"/>
          <w:position w:val="7"/>
          <w:sz w:val="10"/>
        </w:rPr>
        <w:t></w:t>
      </w:r>
      <w:r>
        <w:rPr>
          <w:spacing w:val="-3"/>
          <w:w w:val="110"/>
          <w:position w:val="7"/>
          <w:sz w:val="10"/>
        </w:rPr>
        <w:t>  </w:t>
      </w:r>
      <w:r>
        <w:rPr>
          <w:rFonts w:ascii="Symbol" w:hAnsi="Symbol"/>
          <w:w w:val="110"/>
          <w:sz w:val="18"/>
        </w:rPr>
        <w:t></w:t>
      </w:r>
      <w:r>
        <w:rPr>
          <w:spacing w:val="-26"/>
          <w:w w:val="110"/>
          <w:sz w:val="18"/>
        </w:rPr>
        <w:t> </w:t>
      </w: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r>
        <w:rPr>
          <w:spacing w:val="27"/>
          <w:w w:val="110"/>
          <w:position w:val="7"/>
          <w:sz w:val="10"/>
        </w:rPr>
        <w:t> </w:t>
      </w:r>
      <w:r>
        <w:rPr>
          <w:rFonts w:ascii="Symbol" w:hAnsi="Symbol"/>
          <w:w w:val="110"/>
          <w:sz w:val="18"/>
        </w:rPr>
        <w:t></w:t>
      </w:r>
      <w:r>
        <w:rPr>
          <w:spacing w:val="-19"/>
          <w:w w:val="110"/>
          <w:sz w:val="18"/>
        </w:rPr>
        <w:t> </w:t>
      </w:r>
      <w:r>
        <w:rPr>
          <w:rFonts w:ascii="Trebuchet MS" w:hAnsi="Trebuchet MS"/>
          <w:w w:val="110"/>
          <w:sz w:val="18"/>
        </w:rPr>
        <w:t>H</w:t>
      </w:r>
      <w:r>
        <w:rPr>
          <w:rFonts w:ascii="Trebuchet MS" w:hAnsi="Trebuchet MS"/>
          <w:w w:val="110"/>
          <w:position w:val="-2"/>
          <w:sz w:val="10"/>
        </w:rPr>
        <w:t>2</w:t>
      </w:r>
      <w:r>
        <w:rPr>
          <w:rFonts w:ascii="Trebuchet MS" w:hAnsi="Trebuchet MS"/>
          <w:w w:val="110"/>
          <w:sz w:val="18"/>
        </w:rPr>
        <w:t>CO</w:t>
      </w:r>
      <w:r>
        <w:rPr>
          <w:rFonts w:ascii="Trebuchet MS" w:hAnsi="Trebuchet MS"/>
          <w:w w:val="110"/>
          <w:position w:val="-2"/>
          <w:sz w:val="10"/>
        </w:rPr>
        <w:t>3</w:t>
      </w:r>
      <w:r>
        <w:rPr>
          <w:rFonts w:ascii="Trebuchet MS" w:hAnsi="Trebuchet MS"/>
          <w:spacing w:val="16"/>
          <w:w w:val="110"/>
          <w:position w:val="-2"/>
          <w:sz w:val="10"/>
        </w:rPr>
        <w:t> </w:t>
      </w:r>
      <w:r>
        <w:rPr>
          <w:rFonts w:ascii="Symbol" w:hAnsi="Symbol"/>
          <w:w w:val="110"/>
          <w:sz w:val="18"/>
        </w:rPr>
        <w:t></w:t>
      </w:r>
      <w:r>
        <w:rPr>
          <w:spacing w:val="-11"/>
          <w:w w:val="110"/>
          <w:sz w:val="18"/>
        </w:rPr>
        <w:t> </w:t>
      </w:r>
      <w:r>
        <w:rPr>
          <w:rFonts w:ascii="Trebuchet MS" w:hAnsi="Trebuchet MS"/>
          <w:w w:val="110"/>
          <w:sz w:val="18"/>
        </w:rPr>
        <w:t>CO</w:t>
      </w:r>
      <w:r>
        <w:rPr>
          <w:rFonts w:ascii="Trebuchet MS" w:hAnsi="Trebuchet MS"/>
          <w:w w:val="110"/>
          <w:position w:val="-2"/>
          <w:sz w:val="10"/>
        </w:rPr>
        <w:t>2</w:t>
      </w:r>
      <w:r>
        <w:rPr>
          <w:rFonts w:ascii="Trebuchet MS" w:hAnsi="Trebuchet MS"/>
          <w:spacing w:val="11"/>
          <w:w w:val="110"/>
          <w:position w:val="-2"/>
          <w:sz w:val="10"/>
        </w:rPr>
        <w:t> </w:t>
      </w:r>
      <w:r>
        <w:rPr>
          <w:rFonts w:ascii="Symbol" w:hAnsi="Symbol"/>
          <w:w w:val="110"/>
          <w:sz w:val="18"/>
        </w:rPr>
        <w:t></w:t>
      </w:r>
      <w:r>
        <w:rPr>
          <w:spacing w:val="-27"/>
          <w:w w:val="110"/>
          <w:sz w:val="18"/>
        </w:rPr>
        <w:t> </w:t>
      </w:r>
      <w:r>
        <w:rPr>
          <w:rFonts w:ascii="Trebuchet MS" w:hAnsi="Trebuchet MS"/>
          <w:spacing w:val="-3"/>
          <w:w w:val="110"/>
          <w:sz w:val="18"/>
        </w:rPr>
        <w:t>H</w:t>
      </w:r>
      <w:r>
        <w:rPr>
          <w:rFonts w:ascii="Trebuchet MS" w:hAnsi="Trebuchet MS"/>
          <w:spacing w:val="-3"/>
          <w:w w:val="110"/>
          <w:position w:val="-2"/>
          <w:sz w:val="10"/>
        </w:rPr>
        <w:t>2</w:t>
      </w:r>
      <w:r>
        <w:rPr>
          <w:rFonts w:ascii="Trebuchet MS" w:hAnsi="Trebuchet MS"/>
          <w:spacing w:val="-3"/>
          <w:w w:val="110"/>
          <w:sz w:val="18"/>
        </w:rPr>
        <w:t>O</w:t>
      </w:r>
    </w:p>
    <w:p>
      <w:pPr>
        <w:pStyle w:val="BodyText"/>
        <w:spacing w:line="249" w:lineRule="auto" w:before="102"/>
        <w:ind w:left="1439" w:right="6119" w:firstLine="240"/>
        <w:jc w:val="both"/>
      </w:pPr>
      <w:r>
        <w:rPr/>
        <w:pict>
          <v:shape style="position:absolute;margin-left:289.493011pt;margin-top:34.361938pt;width:3pt;height:8.7pt;mso-position-horizontal-relative:page;mso-position-vertical-relative:paragraph;z-index:-27264102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As</w:t>
      </w:r>
      <w:r>
        <w:rPr>
          <w:color w:val="231F20"/>
          <w:spacing w:val="-7"/>
          <w:w w:val="105"/>
        </w:rPr>
        <w:t> </w:t>
      </w:r>
      <w:r>
        <w:rPr>
          <w:color w:val="231F20"/>
          <w:w w:val="105"/>
        </w:rPr>
        <w:t>a</w:t>
      </w:r>
      <w:r>
        <w:rPr>
          <w:color w:val="231F20"/>
          <w:spacing w:val="-6"/>
          <w:w w:val="105"/>
        </w:rPr>
        <w:t> </w:t>
      </w:r>
      <w:r>
        <w:rPr>
          <w:color w:val="231F20"/>
          <w:w w:val="105"/>
        </w:rPr>
        <w:t>result,</w:t>
      </w:r>
      <w:r>
        <w:rPr>
          <w:color w:val="231F20"/>
          <w:spacing w:val="-6"/>
          <w:w w:val="105"/>
        </w:rPr>
        <w:t> </w:t>
      </w:r>
      <w:r>
        <w:rPr>
          <w:color w:val="231F20"/>
          <w:w w:val="105"/>
        </w:rPr>
        <w:t>more</w:t>
      </w:r>
      <w:r>
        <w:rPr>
          <w:color w:val="231F20"/>
          <w:spacing w:val="-6"/>
          <w:w w:val="105"/>
        </w:rPr>
        <w:t> </w:t>
      </w:r>
      <w:r>
        <w:rPr>
          <w:color w:val="231F20"/>
          <w:w w:val="105"/>
        </w:rPr>
        <w:t>H</w:t>
      </w:r>
      <w:r>
        <w:rPr>
          <w:color w:val="231F20"/>
          <w:w w:val="105"/>
          <w:vertAlign w:val="subscript"/>
        </w:rPr>
        <w:t>2</w:t>
      </w:r>
      <w:r>
        <w:rPr>
          <w:color w:val="231F20"/>
          <w:w w:val="105"/>
          <w:vertAlign w:val="baseline"/>
        </w:rPr>
        <w:t>CO</w:t>
      </w:r>
      <w:r>
        <w:rPr>
          <w:color w:val="231F20"/>
          <w:w w:val="105"/>
          <w:vertAlign w:val="subscript"/>
        </w:rPr>
        <w:t>3</w:t>
      </w:r>
      <w:r>
        <w:rPr>
          <w:color w:val="231F20"/>
          <w:spacing w:val="-6"/>
          <w:w w:val="105"/>
          <w:vertAlign w:val="baseline"/>
        </w:rPr>
        <w:t> </w:t>
      </w:r>
      <w:r>
        <w:rPr>
          <w:color w:val="231F20"/>
          <w:w w:val="105"/>
          <w:vertAlign w:val="baseline"/>
        </w:rPr>
        <w:t>is</w:t>
      </w:r>
      <w:r>
        <w:rPr>
          <w:color w:val="231F20"/>
          <w:spacing w:val="-6"/>
          <w:w w:val="105"/>
          <w:vertAlign w:val="baseline"/>
        </w:rPr>
        <w:t> </w:t>
      </w:r>
      <w:r>
        <w:rPr>
          <w:color w:val="231F20"/>
          <w:w w:val="105"/>
          <w:vertAlign w:val="baseline"/>
        </w:rPr>
        <w:t>formed,</w:t>
      </w:r>
      <w:r>
        <w:rPr>
          <w:color w:val="231F20"/>
          <w:spacing w:val="-6"/>
          <w:w w:val="105"/>
          <w:vertAlign w:val="baseline"/>
        </w:rPr>
        <w:t> </w:t>
      </w:r>
      <w:r>
        <w:rPr>
          <w:color w:val="231F20"/>
          <w:w w:val="105"/>
          <w:vertAlign w:val="baseline"/>
        </w:rPr>
        <w:t>causing</w:t>
      </w:r>
      <w:r>
        <w:rPr>
          <w:color w:val="231F20"/>
          <w:spacing w:val="-6"/>
          <w:w w:val="105"/>
          <w:vertAlign w:val="baseline"/>
        </w:rPr>
        <w:t> </w:t>
      </w:r>
      <w:r>
        <w:rPr>
          <w:color w:val="231F20"/>
          <w:spacing w:val="-4"/>
          <w:w w:val="105"/>
          <w:vertAlign w:val="baseline"/>
        </w:rPr>
        <w:t>increased </w:t>
      </w:r>
      <w:r>
        <w:rPr>
          <w:color w:val="231F20"/>
          <w:w w:val="105"/>
          <w:vertAlign w:val="baseline"/>
        </w:rPr>
        <w:t>CO</w:t>
      </w:r>
      <w:r>
        <w:rPr>
          <w:color w:val="231F20"/>
          <w:w w:val="105"/>
          <w:vertAlign w:val="subscript"/>
        </w:rPr>
        <w:t>2</w:t>
      </w:r>
      <w:r>
        <w:rPr>
          <w:color w:val="231F20"/>
          <w:w w:val="105"/>
          <w:vertAlign w:val="baseline"/>
        </w:rPr>
        <w:t> and H</w:t>
      </w:r>
      <w:r>
        <w:rPr>
          <w:color w:val="231F20"/>
          <w:w w:val="105"/>
          <w:vertAlign w:val="subscript"/>
        </w:rPr>
        <w:t>2</w:t>
      </w:r>
      <w:r>
        <w:rPr>
          <w:color w:val="231F20"/>
          <w:w w:val="105"/>
          <w:vertAlign w:val="baseline"/>
        </w:rPr>
        <w:t>O production. From these reactions, one </w:t>
      </w:r>
      <w:r>
        <w:rPr>
          <w:color w:val="231F20"/>
          <w:spacing w:val="-11"/>
          <w:w w:val="105"/>
          <w:vertAlign w:val="baseline"/>
        </w:rPr>
        <w:t>can </w:t>
      </w:r>
      <w:r>
        <w:rPr>
          <w:color w:val="231F20"/>
          <w:w w:val="105"/>
          <w:vertAlign w:val="baseline"/>
        </w:rPr>
        <w:t>see</w:t>
      </w:r>
      <w:r>
        <w:rPr>
          <w:color w:val="231F20"/>
          <w:spacing w:val="-18"/>
          <w:w w:val="105"/>
          <w:vertAlign w:val="baseline"/>
        </w:rPr>
        <w:t> </w:t>
      </w:r>
      <w:r>
        <w:rPr>
          <w:color w:val="231F20"/>
          <w:w w:val="105"/>
          <w:vertAlign w:val="baseline"/>
        </w:rPr>
        <w:t>that</w:t>
      </w:r>
      <w:r>
        <w:rPr>
          <w:color w:val="231F20"/>
          <w:spacing w:val="-17"/>
          <w:w w:val="105"/>
          <w:vertAlign w:val="baseline"/>
        </w:rPr>
        <w:t> </w:t>
      </w:r>
      <w:r>
        <w:rPr>
          <w:color w:val="231F20"/>
          <w:w w:val="105"/>
          <w:vertAlign w:val="baseline"/>
        </w:rPr>
        <w:t>H</w:t>
      </w:r>
      <w:r>
        <w:rPr>
          <w:rFonts w:ascii="Consolas" w:hAnsi="Consolas"/>
          <w:color w:val="231F20"/>
          <w:w w:val="105"/>
          <w:position w:val="8"/>
          <w:sz w:val="12"/>
          <w:vertAlign w:val="baseline"/>
        </w:rPr>
        <w:t>+</w:t>
      </w:r>
      <w:r>
        <w:rPr>
          <w:rFonts w:ascii="Consolas" w:hAnsi="Consolas"/>
          <w:color w:val="231F20"/>
          <w:spacing w:val="-33"/>
          <w:w w:val="105"/>
          <w:position w:val="8"/>
          <w:sz w:val="12"/>
          <w:vertAlign w:val="baseline"/>
        </w:rPr>
        <w:t> </w:t>
      </w:r>
      <w:r>
        <w:rPr>
          <w:color w:val="231F20"/>
          <w:w w:val="105"/>
          <w:vertAlign w:val="baseline"/>
        </w:rPr>
        <w:t>from</w:t>
      </w:r>
      <w:r>
        <w:rPr>
          <w:color w:val="231F20"/>
          <w:spacing w:val="-18"/>
          <w:w w:val="105"/>
          <w:vertAlign w:val="baseline"/>
        </w:rPr>
        <w:t> </w:t>
      </w:r>
      <w:r>
        <w:rPr>
          <w:color w:val="231F20"/>
          <w:w w:val="105"/>
          <w:vertAlign w:val="baseline"/>
        </w:rPr>
        <w:t>the</w:t>
      </w:r>
      <w:r>
        <w:rPr>
          <w:color w:val="231F20"/>
          <w:spacing w:val="-17"/>
          <w:w w:val="105"/>
          <w:vertAlign w:val="baseline"/>
        </w:rPr>
        <w:t> </w:t>
      </w:r>
      <w:r>
        <w:rPr>
          <w:color w:val="231F20"/>
          <w:w w:val="105"/>
          <w:vertAlign w:val="baseline"/>
        </w:rPr>
        <w:t>strong</w:t>
      </w:r>
      <w:r>
        <w:rPr>
          <w:color w:val="231F20"/>
          <w:spacing w:val="-17"/>
          <w:w w:val="105"/>
          <w:vertAlign w:val="baseline"/>
        </w:rPr>
        <w:t> </w:t>
      </w:r>
      <w:r>
        <w:rPr>
          <w:color w:val="231F20"/>
          <w:w w:val="105"/>
          <w:vertAlign w:val="baseline"/>
        </w:rPr>
        <w:t>acid</w:t>
      </w:r>
      <w:r>
        <w:rPr>
          <w:color w:val="231F20"/>
          <w:spacing w:val="-17"/>
          <w:w w:val="105"/>
          <w:vertAlign w:val="baseline"/>
        </w:rPr>
        <w:t> </w:t>
      </w:r>
      <w:r>
        <w:rPr>
          <w:color w:val="231F20"/>
          <w:w w:val="105"/>
          <w:vertAlign w:val="baseline"/>
        </w:rPr>
        <w:t>HCl</w:t>
      </w:r>
      <w:r>
        <w:rPr>
          <w:color w:val="231F20"/>
          <w:spacing w:val="-17"/>
          <w:w w:val="105"/>
          <w:vertAlign w:val="baseline"/>
        </w:rPr>
        <w:t> </w:t>
      </w:r>
      <w:r>
        <w:rPr>
          <w:color w:val="231F20"/>
          <w:w w:val="105"/>
          <w:vertAlign w:val="baseline"/>
        </w:rPr>
        <w:t>reacts</w:t>
      </w:r>
      <w:r>
        <w:rPr>
          <w:color w:val="231F20"/>
          <w:spacing w:val="-17"/>
          <w:w w:val="105"/>
          <w:vertAlign w:val="baseline"/>
        </w:rPr>
        <w:t> </w:t>
      </w:r>
      <w:r>
        <w:rPr>
          <w:color w:val="231F20"/>
          <w:w w:val="105"/>
          <w:vertAlign w:val="baseline"/>
        </w:rPr>
        <w:t>with</w:t>
      </w:r>
      <w:r>
        <w:rPr>
          <w:color w:val="231F20"/>
          <w:spacing w:val="-17"/>
          <w:w w:val="105"/>
          <w:vertAlign w:val="baseline"/>
        </w:rPr>
        <w:t> </w:t>
      </w:r>
      <w:r>
        <w:rPr>
          <w:color w:val="231F20"/>
          <w:w w:val="105"/>
          <w:vertAlign w:val="baseline"/>
        </w:rPr>
        <w:t>HCO</w:t>
      </w:r>
      <w:r>
        <w:rPr>
          <w:color w:val="231F20"/>
          <w:spacing w:val="3"/>
          <w:w w:val="105"/>
          <w:vertAlign w:val="baseline"/>
        </w:rPr>
        <w:t> </w:t>
      </w:r>
      <w:r>
        <w:rPr>
          <w:rFonts w:ascii="Consolas" w:hAnsi="Consolas"/>
          <w:color w:val="231F20"/>
          <w:w w:val="105"/>
          <w:position w:val="8"/>
          <w:sz w:val="12"/>
          <w:vertAlign w:val="baseline"/>
        </w:rPr>
        <w:t>−</w:t>
      </w:r>
      <w:r>
        <w:rPr>
          <w:rFonts w:ascii="Consolas" w:hAnsi="Consolas"/>
          <w:color w:val="231F20"/>
          <w:spacing w:val="-34"/>
          <w:w w:val="105"/>
          <w:position w:val="8"/>
          <w:sz w:val="12"/>
          <w:vertAlign w:val="baseline"/>
        </w:rPr>
        <w:t> </w:t>
      </w:r>
      <w:r>
        <w:rPr>
          <w:color w:val="231F20"/>
          <w:spacing w:val="-7"/>
          <w:w w:val="105"/>
          <w:vertAlign w:val="baseline"/>
        </w:rPr>
        <w:t>to </w:t>
      </w:r>
      <w:r>
        <w:rPr>
          <w:color w:val="231F20"/>
          <w:w w:val="105"/>
          <w:vertAlign w:val="baseline"/>
        </w:rPr>
        <w:t>form</w:t>
      </w:r>
      <w:r>
        <w:rPr>
          <w:color w:val="231F20"/>
          <w:spacing w:val="-15"/>
          <w:w w:val="105"/>
          <w:vertAlign w:val="baseline"/>
        </w:rPr>
        <w:t> </w:t>
      </w:r>
      <w:r>
        <w:rPr>
          <w:color w:val="231F20"/>
          <w:w w:val="105"/>
          <w:vertAlign w:val="baseline"/>
        </w:rPr>
        <w:t>the</w:t>
      </w:r>
      <w:r>
        <w:rPr>
          <w:color w:val="231F20"/>
          <w:spacing w:val="-15"/>
          <w:w w:val="105"/>
          <w:vertAlign w:val="baseline"/>
        </w:rPr>
        <w:t> </w:t>
      </w:r>
      <w:r>
        <w:rPr>
          <w:color w:val="231F20"/>
          <w:w w:val="105"/>
          <w:vertAlign w:val="baseline"/>
        </w:rPr>
        <w:t>very</w:t>
      </w:r>
      <w:r>
        <w:rPr>
          <w:color w:val="231F20"/>
          <w:spacing w:val="-15"/>
          <w:w w:val="105"/>
          <w:vertAlign w:val="baseline"/>
        </w:rPr>
        <w:t> </w:t>
      </w:r>
      <w:r>
        <w:rPr>
          <w:color w:val="231F20"/>
          <w:w w:val="105"/>
          <w:vertAlign w:val="baseline"/>
        </w:rPr>
        <w:t>weak</w:t>
      </w:r>
      <w:r>
        <w:rPr>
          <w:color w:val="231F20"/>
          <w:spacing w:val="-15"/>
          <w:w w:val="105"/>
          <w:vertAlign w:val="baseline"/>
        </w:rPr>
        <w:t> </w:t>
      </w:r>
      <w:r>
        <w:rPr>
          <w:color w:val="231F20"/>
          <w:w w:val="105"/>
          <w:vertAlign w:val="baseline"/>
        </w:rPr>
        <w:t>acid</w:t>
      </w:r>
      <w:r>
        <w:rPr>
          <w:color w:val="231F20"/>
          <w:spacing w:val="-15"/>
          <w:w w:val="105"/>
          <w:vertAlign w:val="baseline"/>
        </w:rPr>
        <w:t> </w:t>
      </w:r>
      <w:r>
        <w:rPr>
          <w:color w:val="231F20"/>
          <w:w w:val="105"/>
          <w:vertAlign w:val="baseline"/>
        </w:rPr>
        <w:t>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r>
        <w:rPr>
          <w:color w:val="231F20"/>
          <w:spacing w:val="-15"/>
          <w:w w:val="105"/>
          <w:vertAlign w:val="baseline"/>
        </w:rPr>
        <w:t> </w:t>
      </w:r>
      <w:r>
        <w:rPr>
          <w:color w:val="231F20"/>
          <w:w w:val="105"/>
          <w:vertAlign w:val="baseline"/>
        </w:rPr>
        <w:t>which</w:t>
      </w:r>
      <w:r>
        <w:rPr>
          <w:color w:val="231F20"/>
          <w:spacing w:val="-15"/>
          <w:w w:val="105"/>
          <w:vertAlign w:val="baseline"/>
        </w:rPr>
        <w:t> </w:t>
      </w:r>
      <w:r>
        <w:rPr>
          <w:color w:val="231F20"/>
          <w:w w:val="105"/>
          <w:vertAlign w:val="baseline"/>
        </w:rPr>
        <w:t>in</w:t>
      </w:r>
      <w:r>
        <w:rPr>
          <w:color w:val="231F20"/>
          <w:spacing w:val="-15"/>
          <w:w w:val="105"/>
          <w:vertAlign w:val="baseline"/>
        </w:rPr>
        <w:t> </w:t>
      </w:r>
      <w:r>
        <w:rPr>
          <w:color w:val="231F20"/>
          <w:w w:val="105"/>
          <w:vertAlign w:val="baseline"/>
        </w:rPr>
        <w:t>turn</w:t>
      </w:r>
      <w:r>
        <w:rPr>
          <w:color w:val="231F20"/>
          <w:spacing w:val="-14"/>
          <w:w w:val="105"/>
          <w:vertAlign w:val="baseline"/>
        </w:rPr>
        <w:t> </w:t>
      </w:r>
      <w:r>
        <w:rPr>
          <w:color w:val="231F20"/>
          <w:w w:val="105"/>
          <w:vertAlign w:val="baseline"/>
        </w:rPr>
        <w:t>forms</w:t>
      </w:r>
      <w:r>
        <w:rPr>
          <w:color w:val="231F20"/>
          <w:spacing w:val="-15"/>
          <w:w w:val="105"/>
          <w:vertAlign w:val="baseline"/>
        </w:rPr>
        <w:t> </w:t>
      </w:r>
      <w:r>
        <w:rPr>
          <w:color w:val="231F20"/>
          <w:spacing w:val="-13"/>
          <w:w w:val="105"/>
          <w:vertAlign w:val="baseline"/>
        </w:rPr>
        <w:t>CO</w:t>
      </w:r>
      <w:r>
        <w:rPr>
          <w:color w:val="231F20"/>
          <w:spacing w:val="-13"/>
          <w:w w:val="105"/>
          <w:vertAlign w:val="subscript"/>
        </w:rPr>
        <w:t>2</w:t>
      </w:r>
    </w:p>
    <w:p>
      <w:pPr>
        <w:spacing w:after="0" w:line="249" w:lineRule="auto"/>
        <w:jc w:val="both"/>
        <w:sectPr>
          <w:type w:val="continuous"/>
          <w:pgSz w:w="12240" w:h="15660"/>
          <w:pgMar w:top="0" w:bottom="760" w:left="0" w:right="0"/>
        </w:sectPr>
      </w:pPr>
    </w:p>
    <w:p>
      <w:pPr>
        <w:pStyle w:val="BodyText"/>
        <w:spacing w:before="7"/>
        <w:rPr>
          <w:sz w:val="21"/>
        </w:rPr>
      </w:pPr>
    </w:p>
    <w:p>
      <w:pPr>
        <w:spacing w:after="0"/>
        <w:rPr>
          <w:sz w:val="21"/>
        </w:rPr>
        <w:sectPr>
          <w:headerReference w:type="even" r:id="rId937"/>
          <w:footerReference w:type="even" r:id="rId938"/>
          <w:footerReference w:type="default" r:id="rId939"/>
          <w:pgSz w:w="12240" w:h="15660"/>
          <w:pgMar w:header="0" w:footer="567" w:top="720" w:bottom="760" w:left="0" w:right="0"/>
          <w:pgNumType w:start="412"/>
        </w:sectPr>
      </w:pPr>
    </w:p>
    <w:p>
      <w:pPr>
        <w:pStyle w:val="BodyText"/>
        <w:spacing w:before="11"/>
      </w:pPr>
    </w:p>
    <w:p>
      <w:pPr>
        <w:spacing w:line="221" w:lineRule="exact" w:before="0"/>
        <w:ind w:left="1260" w:right="0" w:firstLine="0"/>
        <w:jc w:val="left"/>
        <w:rPr>
          <w:sz w:val="11"/>
        </w:rPr>
      </w:pPr>
      <w:r>
        <w:rPr/>
        <w:pict>
          <v:group style="position:absolute;margin-left:528.869873pt;margin-top:8.102410pt;width:6pt;height:27.25pt;mso-position-horizontal-relative:page;mso-position-vertical-relative:paragraph;z-index:252772352" coordorigin="10577,162" coordsize="120,545">
            <v:line style="position:absolute" from="10636,706" to="10636,290" stroked="true" strokeweight="1.5pt" strokecolor="#231f20">
              <v:stroke dashstyle="solid"/>
            </v:line>
            <v:shape style="position:absolute;left:10577;top:162;width:120;height:185" type="#_x0000_t75" stroked="false">
              <v:imagedata r:id="rId940" o:title=""/>
            </v:shape>
            <w10:wrap type="none"/>
          </v:group>
        </w:pict>
      </w:r>
      <w:r>
        <w:rPr/>
        <w:pict>
          <v:shape style="position:absolute;margin-left:507.674805pt;margin-top:7.095709pt;width:29.55pt;height:105.15pt;mso-position-horizontal-relative:page;mso-position-vertical-relative:paragraph;z-index:252803072" type="#_x0000_t202" filled="false" stroked="false">
            <v:textbox inset="0,0,0,0" style="layout-flow:vertical;mso-layout-flow-alt:bottom-to-top">
              <w:txbxContent>
                <w:p>
                  <w:pPr>
                    <w:spacing w:line="235" w:lineRule="auto" w:before="27"/>
                    <w:ind w:left="20" w:right="18" w:firstLine="0"/>
                    <w:jc w:val="center"/>
                    <w:rPr>
                      <w:rFonts w:ascii="Helvetica"/>
                      <w:b/>
                      <w:sz w:val="12"/>
                    </w:rPr>
                  </w:pPr>
                  <w:r>
                    <w:rPr>
                      <w:rFonts w:ascii="Helvetica"/>
                      <w:b/>
                      <w:color w:val="231F20"/>
                      <w:sz w:val="16"/>
                    </w:rPr>
                    <w:t>Percent of buffer in form of HCO</w:t>
                  </w:r>
                  <w:r>
                    <w:rPr>
                      <w:rFonts w:ascii="Helvetica"/>
                      <w:b/>
                      <w:color w:val="231F20"/>
                      <w:position w:val="-3"/>
                      <w:sz w:val="12"/>
                    </w:rPr>
                    <w:t>3</w:t>
                  </w:r>
                </w:p>
                <w:p>
                  <w:pPr>
                    <w:spacing w:line="149" w:lineRule="exact" w:before="0"/>
                    <w:ind w:left="18" w:right="18" w:firstLine="0"/>
                    <w:jc w:val="center"/>
                    <w:rPr>
                      <w:rFonts w:ascii="Helvetica"/>
                      <w:b/>
                      <w:sz w:val="16"/>
                    </w:rPr>
                  </w:pPr>
                  <w:r>
                    <w:rPr>
                      <w:rFonts w:ascii="Helvetica"/>
                      <w:b/>
                      <w:color w:val="231F20"/>
                      <w:sz w:val="16"/>
                    </w:rPr>
                    <w:t>Base added</w:t>
                  </w:r>
                </w:p>
              </w:txbxContent>
            </v:textbox>
            <w10:wrap type="none"/>
          </v:shape>
        </w:pict>
      </w:r>
      <w:r>
        <w:rPr>
          <w:color w:val="231F20"/>
          <w:w w:val="105"/>
          <w:sz w:val="18"/>
        </w:rPr>
        <w:t>in the blood is a linear function of P</w:t>
      </w:r>
      <w:r>
        <w:rPr>
          <w:color w:val="231F20"/>
          <w:w w:val="105"/>
          <w:sz w:val="14"/>
        </w:rPr>
        <w:t>CO</w:t>
      </w:r>
      <w:r>
        <w:rPr>
          <w:color w:val="231F20"/>
          <w:w w:val="105"/>
          <w:position w:val="-2"/>
          <w:sz w:val="11"/>
        </w:rPr>
        <w:t>2</w:t>
      </w:r>
    </w:p>
    <w:p>
      <w:pPr>
        <w:spacing w:line="157" w:lineRule="exact" w:before="112"/>
        <w:ind w:left="0" w:right="38" w:firstLine="0"/>
        <w:jc w:val="right"/>
        <w:rPr>
          <w:rFonts w:ascii="Helvetica"/>
          <w:sz w:val="16"/>
        </w:rPr>
      </w:pPr>
      <w:r>
        <w:rPr/>
        <w:br w:type="column"/>
      </w:r>
      <w:r>
        <w:rPr>
          <w:rFonts w:ascii="Helvetica"/>
          <w:color w:val="231F20"/>
          <w:w w:val="95"/>
          <w:sz w:val="16"/>
        </w:rPr>
        <w:t>0</w:t>
      </w:r>
    </w:p>
    <w:p>
      <w:pPr>
        <w:spacing w:line="180" w:lineRule="exact" w:before="0"/>
        <w:ind w:left="13" w:right="0" w:firstLine="0"/>
        <w:jc w:val="left"/>
        <w:rPr>
          <w:sz w:val="18"/>
        </w:rPr>
      </w:pPr>
      <w:r>
        <w:rPr/>
        <w:pict>
          <v:group style="position:absolute;margin-left:309.869995pt;margin-top:6.618439pt;width:6pt;height:27.25pt;mso-position-horizontal-relative:page;mso-position-vertical-relative:paragraph;z-index:-272635904" coordorigin="6197,132" coordsize="120,545">
            <v:line style="position:absolute" from="6256,132" to="6256,549" stroked="true" strokeweight="1.5pt" strokecolor="#231f20">
              <v:stroke dashstyle="solid"/>
            </v:line>
            <v:shape style="position:absolute;left:6197;top:492;width:120;height:185" type="#_x0000_t75" stroked="false">
              <v:imagedata r:id="rId941" o:title=""/>
            </v:shape>
            <w10:wrap type="none"/>
          </v:group>
        </w:pict>
      </w:r>
      <w:r>
        <w:rPr/>
        <w:pict>
          <v:shape style="position:absolute;margin-left:307.980988pt;margin-top:5.224738pt;width:30.6pt;height:105.15pt;mso-position-horizontal-relative:page;mso-position-vertical-relative:paragraph;z-index:-272603136" type="#_x0000_t202" filled="false" stroked="false">
            <v:textbox inset="0,0,0,0" style="layout-flow:vertical;mso-layout-flow-alt:bottom-to-top">
              <w:txbxContent>
                <w:p>
                  <w:pPr>
                    <w:spacing w:line="235" w:lineRule="auto" w:before="27"/>
                    <w:ind w:left="20" w:right="18" w:firstLine="600"/>
                    <w:jc w:val="left"/>
                    <w:rPr>
                      <w:rFonts w:ascii="Helvetica"/>
                      <w:b/>
                      <w:sz w:val="16"/>
                    </w:rPr>
                  </w:pPr>
                  <w:r>
                    <w:rPr>
                      <w:rFonts w:ascii="Helvetica"/>
                      <w:b/>
                      <w:color w:val="231F20"/>
                      <w:sz w:val="16"/>
                    </w:rPr>
                    <w:t>Acid added Percent of buffer in form </w:t>
                  </w:r>
                  <w:r>
                    <w:rPr>
                      <w:rFonts w:ascii="Helvetica"/>
                      <w:b/>
                      <w:color w:val="231F20"/>
                      <w:spacing w:val="-9"/>
                      <w:sz w:val="16"/>
                    </w:rPr>
                    <w:t>of</w:t>
                  </w:r>
                </w:p>
                <w:p>
                  <w:pPr>
                    <w:spacing w:line="180" w:lineRule="exact" w:before="0"/>
                    <w:ind w:left="528" w:right="0" w:firstLine="0"/>
                    <w:jc w:val="left"/>
                    <w:rPr>
                      <w:rFonts w:ascii="Helvetica"/>
                      <w:b/>
                      <w:sz w:val="16"/>
                    </w:rPr>
                  </w:pPr>
                  <w:r>
                    <w:rPr>
                      <w:rFonts w:ascii="Helvetica"/>
                      <w:b/>
                      <w:color w:val="231F20"/>
                      <w:sz w:val="16"/>
                    </w:rPr>
                    <w:t>H</w:t>
                  </w:r>
                  <w:r>
                    <w:rPr>
                      <w:rFonts w:ascii="Helvetica"/>
                      <w:b/>
                      <w:color w:val="231F20"/>
                      <w:sz w:val="16"/>
                      <w:vertAlign w:val="subscript"/>
                    </w:rPr>
                    <w:t>2</w:t>
                  </w:r>
                  <w:r>
                    <w:rPr>
                      <w:rFonts w:ascii="Helvetica"/>
                      <w:b/>
                      <w:color w:val="231F20"/>
                      <w:sz w:val="16"/>
                      <w:vertAlign w:val="baseline"/>
                    </w:rPr>
                    <w:t>CO</w:t>
                  </w:r>
                  <w:r>
                    <w:rPr>
                      <w:rFonts w:ascii="Helvetica"/>
                      <w:b/>
                      <w:color w:val="231F20"/>
                      <w:sz w:val="16"/>
                      <w:vertAlign w:val="subscript"/>
                    </w:rPr>
                    <w:t>3</w:t>
                  </w:r>
                  <w:r>
                    <w:rPr>
                      <w:rFonts w:ascii="Helvetica"/>
                      <w:b/>
                      <w:color w:val="231F20"/>
                      <w:sz w:val="16"/>
                      <w:vertAlign w:val="baseline"/>
                    </w:rPr>
                    <w:t> or CO</w:t>
                  </w:r>
                  <w:r>
                    <w:rPr>
                      <w:rFonts w:ascii="Helvetica"/>
                      <w:b/>
                      <w:color w:val="231F20"/>
                      <w:sz w:val="16"/>
                      <w:vertAlign w:val="subscript"/>
                    </w:rPr>
                    <w:t>2</w:t>
                  </w:r>
                </w:p>
              </w:txbxContent>
            </v:textbox>
            <w10:wrap type="none"/>
          </v:shape>
        </w:pict>
      </w:r>
      <w:r>
        <w:rPr>
          <w:color w:val="231F20"/>
          <w:sz w:val="18"/>
        </w:rPr>
        <w:t>multiplied by the</w:t>
      </w:r>
    </w:p>
    <w:p>
      <w:pPr>
        <w:spacing w:before="99"/>
        <w:ind w:left="1241" w:right="2180" w:firstLine="0"/>
        <w:jc w:val="center"/>
        <w:rPr>
          <w:rFonts w:ascii="Helvetica"/>
          <w:sz w:val="16"/>
        </w:rPr>
      </w:pPr>
      <w:r>
        <w:rPr/>
        <w:br w:type="column"/>
      </w:r>
      <w:r>
        <w:rPr>
          <w:rFonts w:ascii="Helvetica"/>
          <w:color w:val="231F20"/>
          <w:sz w:val="16"/>
        </w:rPr>
        <w:t>100</w:t>
      </w:r>
    </w:p>
    <w:p>
      <w:pPr>
        <w:spacing w:after="0"/>
        <w:jc w:val="center"/>
        <w:rPr>
          <w:rFonts w:ascii="Helvetica"/>
          <w:sz w:val="16"/>
        </w:rPr>
        <w:sectPr>
          <w:type w:val="continuous"/>
          <w:pgSz w:w="12240" w:h="15660"/>
          <w:pgMar w:top="0" w:bottom="760" w:left="0" w:right="0"/>
          <w:cols w:num="3" w:equalWidth="0">
            <w:col w:w="4251" w:space="40"/>
            <w:col w:w="2764" w:space="1457"/>
            <w:col w:w="3728"/>
          </w:cols>
        </w:sectPr>
      </w:pPr>
    </w:p>
    <w:p>
      <w:pPr>
        <w:spacing w:line="206" w:lineRule="exact" w:before="0"/>
        <w:ind w:left="1259" w:right="0" w:firstLine="0"/>
        <w:jc w:val="left"/>
        <w:rPr>
          <w:sz w:val="18"/>
        </w:rPr>
      </w:pPr>
      <w:r>
        <w:rPr>
          <w:color w:val="231F20"/>
          <w:sz w:val="18"/>
        </w:rPr>
        <w:t>solubility coefficient for CO</w:t>
      </w:r>
      <w:r>
        <w:rPr>
          <w:color w:val="231F20"/>
          <w:sz w:val="18"/>
          <w:vertAlign w:val="subscript"/>
        </w:rPr>
        <w:t>2</w:t>
      </w:r>
      <w:r>
        <w:rPr>
          <w:color w:val="231F20"/>
          <w:sz w:val="18"/>
          <w:vertAlign w:val="baseline"/>
        </w:rPr>
        <w:t>; under physiological condi-</w:t>
      </w:r>
    </w:p>
    <w:p>
      <w:pPr>
        <w:tabs>
          <w:tab w:pos="6855" w:val="left" w:leader="none"/>
          <w:tab w:pos="9949" w:val="right" w:leader="none"/>
        </w:tabs>
        <w:spacing w:line="221" w:lineRule="exact" w:before="13"/>
        <w:ind w:left="1259" w:right="0" w:firstLine="0"/>
        <w:jc w:val="left"/>
        <w:rPr>
          <w:rFonts w:ascii="Helvetica"/>
          <w:sz w:val="16"/>
        </w:rPr>
      </w:pPr>
      <w:r>
        <w:rPr>
          <w:color w:val="231F20"/>
          <w:sz w:val="18"/>
        </w:rPr>
        <w:t>tions, </w:t>
      </w:r>
      <w:r>
        <w:rPr>
          <w:color w:val="231F20"/>
          <w:spacing w:val="20"/>
          <w:sz w:val="18"/>
        </w:rPr>
        <w:t> </w:t>
      </w:r>
      <w:r>
        <w:rPr>
          <w:color w:val="231F20"/>
          <w:sz w:val="18"/>
        </w:rPr>
        <w:t>the </w:t>
      </w:r>
      <w:r>
        <w:rPr>
          <w:color w:val="231F20"/>
          <w:spacing w:val="20"/>
          <w:sz w:val="18"/>
        </w:rPr>
        <w:t> </w:t>
      </w:r>
      <w:r>
        <w:rPr>
          <w:color w:val="231F20"/>
          <w:sz w:val="18"/>
        </w:rPr>
        <w:t>solubility </w:t>
      </w:r>
      <w:r>
        <w:rPr>
          <w:color w:val="231F20"/>
          <w:spacing w:val="20"/>
          <w:sz w:val="18"/>
        </w:rPr>
        <w:t> </w:t>
      </w:r>
      <w:r>
        <w:rPr>
          <w:color w:val="231F20"/>
          <w:sz w:val="18"/>
        </w:rPr>
        <w:t>coefficient </w:t>
      </w:r>
      <w:r>
        <w:rPr>
          <w:color w:val="231F20"/>
          <w:spacing w:val="21"/>
          <w:sz w:val="18"/>
        </w:rPr>
        <w:t> </w:t>
      </w:r>
      <w:r>
        <w:rPr>
          <w:color w:val="231F20"/>
          <w:sz w:val="18"/>
        </w:rPr>
        <w:t>for </w:t>
      </w:r>
      <w:r>
        <w:rPr>
          <w:color w:val="231F20"/>
          <w:spacing w:val="20"/>
          <w:sz w:val="18"/>
        </w:rPr>
        <w:t> </w:t>
      </w:r>
      <w:r>
        <w:rPr>
          <w:color w:val="231F20"/>
          <w:sz w:val="18"/>
        </w:rPr>
        <w:t>CO</w:t>
      </w:r>
      <w:r>
        <w:rPr>
          <w:color w:val="231F20"/>
          <w:sz w:val="18"/>
          <w:vertAlign w:val="subscript"/>
        </w:rPr>
        <w:t>2</w:t>
      </w:r>
      <w:r>
        <w:rPr>
          <w:color w:val="231F20"/>
          <w:sz w:val="18"/>
          <w:vertAlign w:val="baseline"/>
        </w:rPr>
        <w:t> </w:t>
      </w:r>
      <w:r>
        <w:rPr>
          <w:color w:val="231F20"/>
          <w:spacing w:val="20"/>
          <w:sz w:val="18"/>
          <w:vertAlign w:val="baseline"/>
        </w:rPr>
        <w:t> </w:t>
      </w:r>
      <w:r>
        <w:rPr>
          <w:color w:val="231F20"/>
          <w:sz w:val="18"/>
          <w:vertAlign w:val="baseline"/>
        </w:rPr>
        <w:t>is </w:t>
      </w:r>
      <w:r>
        <w:rPr>
          <w:color w:val="231F20"/>
          <w:spacing w:val="20"/>
          <w:sz w:val="18"/>
          <w:vertAlign w:val="baseline"/>
        </w:rPr>
        <w:t> </w:t>
      </w:r>
      <w:r>
        <w:rPr>
          <w:color w:val="231F20"/>
          <w:sz w:val="18"/>
          <w:vertAlign w:val="baseline"/>
        </w:rPr>
        <w:t>0.03</w:t>
      </w:r>
      <w:r>
        <w:rPr>
          <w:color w:val="231F20"/>
          <w:spacing w:val="9"/>
          <w:sz w:val="18"/>
          <w:vertAlign w:val="baseline"/>
        </w:rPr>
        <w:t> </w:t>
      </w:r>
      <w:r>
        <w:rPr>
          <w:color w:val="231F20"/>
          <w:sz w:val="18"/>
          <w:vertAlign w:val="baseline"/>
        </w:rPr>
        <w:t>mmol/</w:t>
        <w:tab/>
      </w:r>
      <w:r>
        <w:rPr>
          <w:rFonts w:ascii="Helvetica"/>
          <w:color w:val="231F20"/>
          <w:position w:val="0"/>
          <w:sz w:val="16"/>
          <w:vertAlign w:val="baseline"/>
        </w:rPr>
        <w:t>25</w:t>
        <w:tab/>
      </w:r>
      <w:r>
        <w:rPr>
          <w:rFonts w:ascii="Helvetica"/>
          <w:color w:val="231F20"/>
          <w:position w:val="-1"/>
          <w:sz w:val="16"/>
          <w:vertAlign w:val="baseline"/>
        </w:rPr>
        <w:t>75</w:t>
      </w:r>
    </w:p>
    <w:p>
      <w:pPr>
        <w:spacing w:line="254" w:lineRule="auto" w:before="0"/>
        <w:ind w:left="1260" w:right="6354" w:firstLine="0"/>
        <w:jc w:val="left"/>
        <w:rPr>
          <w:sz w:val="18"/>
        </w:rPr>
      </w:pPr>
      <w:r>
        <w:rPr/>
        <w:pict>
          <v:shape style="position:absolute;margin-left:515.60083pt;margin-top:13.432514pt;width:9.15pt;height:5.35pt;mso-position-horizontal-relative:page;mso-position-vertical-relative:paragraph;z-index:252804096" type="#_x0000_t202" filled="false" stroked="false">
            <v:textbox inset="0,0,0,0" style="layout-flow:vertical;mso-layout-flow-alt:bottom-to-top">
              <w:txbxContent>
                <w:p>
                  <w:pPr>
                    <w:spacing w:before="23"/>
                    <w:ind w:left="20" w:right="0" w:firstLine="0"/>
                    <w:jc w:val="left"/>
                    <w:rPr>
                      <w:rFonts w:ascii="Helvetica" w:hAnsi="Helvetica"/>
                      <w:b/>
                      <w:sz w:val="12"/>
                    </w:rPr>
                  </w:pPr>
                  <w:r>
                    <w:rPr>
                      <w:rFonts w:ascii="Helvetica" w:hAnsi="Helvetica"/>
                      <w:b/>
                      <w:color w:val="231F20"/>
                      <w:w w:val="99"/>
                      <w:sz w:val="12"/>
                    </w:rPr>
                    <w:t>–</w:t>
                  </w:r>
                </w:p>
              </w:txbxContent>
            </v:textbox>
            <w10:wrap type="none"/>
          </v:shape>
        </w:pict>
      </w:r>
      <w:r>
        <w:rPr>
          <w:color w:val="231F20"/>
          <w:w w:val="105"/>
          <w:sz w:val="18"/>
        </w:rPr>
        <w:t>mm Hg at body temperature. This means that 0.03 milli- mole of 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w w:val="105"/>
          <w:sz w:val="18"/>
          <w:vertAlign w:val="baseline"/>
        </w:rPr>
        <w:t> is present in the blood for each mm Hg</w:t>
      </w:r>
    </w:p>
    <w:p>
      <w:pPr>
        <w:tabs>
          <w:tab w:pos="6855" w:val="left" w:leader="none"/>
          <w:tab w:pos="9949" w:val="right" w:leader="none"/>
        </w:tabs>
        <w:spacing w:line="223" w:lineRule="exact" w:before="0"/>
        <w:ind w:left="1260" w:right="0" w:firstLine="0"/>
        <w:jc w:val="left"/>
        <w:rPr>
          <w:rFonts w:ascii="Helvetica"/>
          <w:sz w:val="16"/>
        </w:rPr>
      </w:pPr>
      <w:r>
        <w:rPr>
          <w:color w:val="231F20"/>
          <w:sz w:val="18"/>
        </w:rPr>
        <w:t>P</w:t>
      </w:r>
      <w:r>
        <w:rPr>
          <w:color w:val="231F20"/>
          <w:sz w:val="14"/>
        </w:rPr>
        <w:t>CO</w:t>
      </w:r>
      <w:r>
        <w:rPr>
          <w:color w:val="231F20"/>
          <w:position w:val="-2"/>
          <w:sz w:val="11"/>
        </w:rPr>
        <w:t>2 </w:t>
      </w:r>
      <w:r>
        <w:rPr>
          <w:color w:val="231F20"/>
          <w:spacing w:val="5"/>
          <w:position w:val="-2"/>
          <w:sz w:val="11"/>
        </w:rPr>
        <w:t> </w:t>
      </w:r>
      <w:r>
        <w:rPr>
          <w:color w:val="231F20"/>
          <w:sz w:val="18"/>
        </w:rPr>
        <w:t>measured.</w:t>
      </w:r>
      <w:r>
        <w:rPr>
          <w:color w:val="231F20"/>
          <w:spacing w:val="15"/>
          <w:sz w:val="18"/>
        </w:rPr>
        <w:t> </w:t>
      </w:r>
      <w:r>
        <w:rPr>
          <w:color w:val="231F20"/>
          <w:sz w:val="18"/>
        </w:rPr>
        <w:t>Therefore,</w:t>
      </w:r>
      <w:r>
        <w:rPr>
          <w:color w:val="231F20"/>
          <w:spacing w:val="15"/>
          <w:sz w:val="18"/>
        </w:rPr>
        <w:t> </w:t>
      </w:r>
      <w:r>
        <w:rPr>
          <w:color w:val="231F20"/>
          <w:sz w:val="18"/>
        </w:rPr>
        <w:t>Equation</w:t>
      </w:r>
      <w:r>
        <w:rPr>
          <w:color w:val="231F20"/>
          <w:spacing w:val="15"/>
          <w:sz w:val="18"/>
        </w:rPr>
        <w:t> </w:t>
      </w:r>
      <w:r>
        <w:rPr>
          <w:color w:val="231F20"/>
          <w:sz w:val="18"/>
        </w:rPr>
        <w:t>3</w:t>
      </w:r>
      <w:r>
        <w:rPr>
          <w:color w:val="231F20"/>
          <w:spacing w:val="15"/>
          <w:sz w:val="18"/>
        </w:rPr>
        <w:t> </w:t>
      </w:r>
      <w:r>
        <w:rPr>
          <w:color w:val="231F20"/>
          <w:sz w:val="18"/>
        </w:rPr>
        <w:t>can</w:t>
      </w:r>
      <w:r>
        <w:rPr>
          <w:color w:val="231F20"/>
          <w:spacing w:val="15"/>
          <w:sz w:val="18"/>
        </w:rPr>
        <w:t> </w:t>
      </w:r>
      <w:r>
        <w:rPr>
          <w:color w:val="231F20"/>
          <w:sz w:val="18"/>
        </w:rPr>
        <w:t>be</w:t>
      </w:r>
      <w:r>
        <w:rPr>
          <w:color w:val="231F20"/>
          <w:spacing w:val="15"/>
          <w:sz w:val="18"/>
        </w:rPr>
        <w:t> </w:t>
      </w:r>
      <w:r>
        <w:rPr>
          <w:color w:val="231F20"/>
          <w:sz w:val="18"/>
        </w:rPr>
        <w:t>rewritten</w:t>
      </w:r>
      <w:r>
        <w:rPr>
          <w:color w:val="231F20"/>
          <w:spacing w:val="16"/>
          <w:sz w:val="18"/>
        </w:rPr>
        <w:t> </w:t>
      </w:r>
      <w:r>
        <w:rPr>
          <w:color w:val="231F20"/>
          <w:sz w:val="18"/>
        </w:rPr>
        <w:t>as</w:t>
        <w:tab/>
      </w:r>
      <w:r>
        <w:rPr>
          <w:rFonts w:ascii="Helvetica"/>
          <w:color w:val="231F20"/>
          <w:position w:val="4"/>
          <w:sz w:val="16"/>
        </w:rPr>
        <w:t>50</w:t>
        <w:tab/>
        <w:t>50</w:t>
      </w:r>
    </w:p>
    <w:p>
      <w:pPr>
        <w:spacing w:after="0" w:line="223" w:lineRule="exact"/>
        <w:jc w:val="left"/>
        <w:rPr>
          <w:rFonts w:ascii="Helvetica"/>
          <w:sz w:val="16"/>
        </w:rPr>
        <w:sectPr>
          <w:type w:val="continuous"/>
          <w:pgSz w:w="12240" w:h="15660"/>
          <w:pgMar w:top="0" w:bottom="760" w:left="0" w:right="0"/>
        </w:sectPr>
      </w:pPr>
    </w:p>
    <w:p>
      <w:pPr>
        <w:spacing w:line="184" w:lineRule="auto" w:before="92"/>
        <w:ind w:left="2553" w:right="0" w:firstLine="0"/>
        <w:jc w:val="left"/>
        <w:rPr>
          <w:rFonts w:ascii="Trebuchet MS" w:hAnsi="Trebuchet MS"/>
          <w:sz w:val="18"/>
        </w:rPr>
      </w:pPr>
      <w:r>
        <w:rPr>
          <w:rFonts w:ascii="Trebuchet MS" w:hAnsi="Trebuchet MS"/>
          <w:spacing w:val="-3"/>
          <w:w w:val="105"/>
          <w:position w:val="-11"/>
          <w:sz w:val="18"/>
        </w:rPr>
        <w:t>H</w:t>
      </w:r>
      <w:r>
        <w:rPr>
          <w:rFonts w:ascii="Symbol" w:hAnsi="Symbol"/>
          <w:spacing w:val="-3"/>
          <w:w w:val="105"/>
          <w:position w:val="-4"/>
          <w:sz w:val="10"/>
        </w:rPr>
        <w:t></w:t>
      </w:r>
      <w:r>
        <w:rPr>
          <w:spacing w:val="14"/>
          <w:w w:val="105"/>
          <w:position w:val="-4"/>
          <w:sz w:val="10"/>
        </w:rPr>
        <w:t> </w:t>
      </w:r>
      <w:r>
        <w:rPr>
          <w:rFonts w:ascii="Symbol" w:hAnsi="Symbol"/>
          <w:w w:val="105"/>
          <w:position w:val="-11"/>
          <w:sz w:val="18"/>
        </w:rPr>
        <w:t></w:t>
      </w:r>
      <w:r>
        <w:rPr>
          <w:spacing w:val="-13"/>
          <w:w w:val="105"/>
          <w:position w:val="-11"/>
          <w:sz w:val="18"/>
        </w:rPr>
        <w:t> </w:t>
      </w:r>
      <w:r>
        <w:rPr>
          <w:rFonts w:ascii="Trebuchet MS" w:hAnsi="Trebuchet MS"/>
          <w:w w:val="105"/>
          <w:position w:val="-11"/>
          <w:sz w:val="18"/>
        </w:rPr>
        <w:t>K</w:t>
      </w:r>
      <w:r>
        <w:rPr>
          <w:rFonts w:ascii="Trebuchet MS" w:hAnsi="Trebuchet MS"/>
          <w:spacing w:val="-24"/>
          <w:w w:val="105"/>
          <w:position w:val="-11"/>
          <w:sz w:val="18"/>
        </w:rPr>
        <w:t> </w:t>
      </w:r>
      <w:r>
        <w:rPr>
          <w:rFonts w:ascii="Symbol" w:hAnsi="Symbol"/>
          <w:w w:val="105"/>
          <w:position w:val="-11"/>
          <w:sz w:val="18"/>
        </w:rPr>
        <w:t></w:t>
      </w:r>
      <w:r>
        <w:rPr>
          <w:spacing w:val="-7"/>
          <w:w w:val="105"/>
          <w:position w:val="-11"/>
          <w:sz w:val="18"/>
        </w:rPr>
        <w:t> </w:t>
      </w:r>
      <w:r>
        <w:rPr>
          <w:rFonts w:ascii="Trebuchet MS" w:hAnsi="Trebuchet MS"/>
          <w:w w:val="105"/>
          <w:sz w:val="18"/>
          <w:u w:val="single"/>
        </w:rPr>
        <w:t>(0.03</w:t>
      </w:r>
      <w:r>
        <w:rPr>
          <w:rFonts w:ascii="Trebuchet MS" w:hAnsi="Trebuchet MS"/>
          <w:spacing w:val="-31"/>
          <w:w w:val="105"/>
          <w:sz w:val="18"/>
          <w:u w:val="single"/>
        </w:rPr>
        <w:t> </w:t>
      </w:r>
      <w:r>
        <w:rPr>
          <w:rFonts w:ascii="Symbol" w:hAnsi="Symbol"/>
          <w:w w:val="105"/>
          <w:sz w:val="18"/>
          <w:u w:val="single"/>
        </w:rPr>
        <w:t></w:t>
      </w:r>
      <w:r>
        <w:rPr>
          <w:spacing w:val="-26"/>
          <w:w w:val="105"/>
          <w:sz w:val="18"/>
          <w:u w:val="single"/>
        </w:rPr>
        <w:t> </w:t>
      </w:r>
      <w:r>
        <w:rPr>
          <w:rFonts w:ascii="Trebuchet MS" w:hAnsi="Trebuchet MS"/>
          <w:w w:val="105"/>
          <w:sz w:val="18"/>
          <w:u w:val="single"/>
        </w:rPr>
        <w:t>Pco</w:t>
      </w:r>
      <w:r>
        <w:rPr>
          <w:rFonts w:ascii="Trebuchet MS" w:hAnsi="Trebuchet MS"/>
          <w:w w:val="105"/>
          <w:position w:val="-2"/>
          <w:sz w:val="10"/>
          <w:u w:val="single"/>
        </w:rPr>
        <w:t>2</w:t>
      </w:r>
      <w:r>
        <w:rPr>
          <w:rFonts w:ascii="Trebuchet MS" w:hAnsi="Trebuchet MS"/>
          <w:spacing w:val="-14"/>
          <w:w w:val="105"/>
          <w:position w:val="-2"/>
          <w:sz w:val="10"/>
          <w:u w:val="single"/>
        </w:rPr>
        <w:t> </w:t>
      </w:r>
      <w:r>
        <w:rPr>
          <w:rFonts w:ascii="Trebuchet MS" w:hAnsi="Trebuchet MS"/>
          <w:spacing w:val="-13"/>
          <w:w w:val="105"/>
          <w:sz w:val="18"/>
          <w:u w:val="single"/>
        </w:rPr>
        <w:t>)</w:t>
      </w:r>
    </w:p>
    <w:p>
      <w:pPr>
        <w:spacing w:line="187" w:lineRule="exact" w:before="0"/>
        <w:ind w:left="0" w:right="261" w:firstLine="0"/>
        <w:jc w:val="right"/>
        <w:rPr>
          <w:rFonts w:ascii="Symbol" w:hAnsi="Symbol"/>
          <w:sz w:val="10"/>
        </w:rPr>
      </w:pP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p>
    <w:p>
      <w:pPr>
        <w:tabs>
          <w:tab w:pos="2565" w:val="left" w:leader="none"/>
          <w:tab w:pos="5481" w:val="left" w:leader="none"/>
        </w:tabs>
        <w:spacing w:before="231"/>
        <w:ind w:left="1040" w:right="0" w:firstLine="0"/>
        <w:jc w:val="left"/>
        <w:rPr>
          <w:rFonts w:ascii="Helvetica"/>
          <w:sz w:val="16"/>
        </w:rPr>
      </w:pPr>
      <w:r>
        <w:rPr/>
        <w:br w:type="column"/>
      </w:r>
      <w:r>
        <w:rPr>
          <w:rFonts w:ascii="Trebuchet MS"/>
          <w:color w:val="231F20"/>
          <w:position w:val="11"/>
          <w:sz w:val="18"/>
        </w:rPr>
        <w:t>(4)</w:t>
        <w:tab/>
      </w:r>
      <w:r>
        <w:rPr>
          <w:rFonts w:ascii="Helvetica"/>
          <w:color w:val="231F20"/>
          <w:sz w:val="16"/>
        </w:rPr>
        <w:t>75</w:t>
        <w:tab/>
        <w:t>25</w:t>
      </w:r>
    </w:p>
    <w:p>
      <w:pPr>
        <w:spacing w:after="0"/>
        <w:jc w:val="left"/>
        <w:rPr>
          <w:rFonts w:ascii="Helvetica"/>
          <w:sz w:val="16"/>
        </w:rPr>
        <w:sectPr>
          <w:type w:val="continuous"/>
          <w:pgSz w:w="12240" w:h="15660"/>
          <w:pgMar w:top="0" w:bottom="760" w:left="0" w:right="0"/>
          <w:cols w:num="2" w:equalWidth="0">
            <w:col w:w="4251" w:space="40"/>
            <w:col w:w="7949"/>
          </w:cols>
        </w:sectPr>
      </w:pPr>
    </w:p>
    <w:p>
      <w:pPr>
        <w:spacing w:line="252" w:lineRule="auto" w:before="108"/>
        <w:ind w:left="1259" w:right="0" w:firstLine="240"/>
        <w:jc w:val="both"/>
        <w:rPr>
          <w:sz w:val="18"/>
        </w:rPr>
      </w:pPr>
      <w:r>
        <w:rPr/>
        <w:pict>
          <v:rect style="position:absolute;margin-left:0pt;margin-top:36.919716pt;width:36pt;height:24pt;mso-position-horizontal-relative:page;mso-position-vertical-relative:paragraph;z-index:252765184" filled="true" fillcolor="#e8dac8" stroked="false">
            <v:fill type="solid"/>
            <w10:wrap type="none"/>
          </v:rect>
        </w:pict>
      </w:r>
      <w:r>
        <w:rPr/>
        <w:pict>
          <v:group style="position:absolute;margin-left:352.840912pt;margin-top:-96.691582pt;width:134.5pt;height:125.1pt;mso-position-horizontal-relative:page;mso-position-vertical-relative:paragraph;z-index:-272636928" coordorigin="7057,-1934" coordsize="2690,2502">
            <v:shape style="position:absolute;left:0;top:10159;width:634;height:2482" coordorigin="0,10159" coordsize="634,2482" path="m7135,486l7135,568m7768,-1913l7768,568e" filled="false" stroked="true" strokeweight=".5pt" strokecolor="#231f20">
              <v:path arrowok="t"/>
              <v:stroke dashstyle="solid"/>
            </v:shape>
            <v:line style="position:absolute" from="8402,-1366" to="8402,568" stroked="true" strokeweight=".5pt" strokecolor="#231f20">
              <v:stroke dashstyle="solid"/>
            </v:line>
            <v:shape style="position:absolute;left:-1979;top:12547;width:2690;height:2492" coordorigin="-1978,12548" coordsize="2690,2492" path="m9035,-1913l9035,568m9746,-1321l7057,-1321m9746,-719l7057,-719m9746,-117l7057,-117m7135,486l7057,486m9746,-1924l9668,-1924m9668,486l9668,568m9746,486l9668,486m7135,-1924l7057,-1924e" filled="false" stroked="true" strokeweight=".5pt" strokecolor="#231f20">
              <v:path arrowok="t"/>
              <v:stroke dashstyle="solid"/>
            </v:shape>
            <v:shape style="position:absolute;left:7134;top:-1924;width:2534;height:2410" coordorigin="7135,-1924" coordsize="2534,2410" path="m9668,-1924l9668,486,7135,486,7135,-1924e" filled="false" stroked="true" strokeweight="1pt" strokecolor="#231f20">
              <v:path arrowok="t"/>
              <v:stroke dashstyle="solid"/>
            </v:shape>
            <v:shape style="position:absolute;left:7140;top:-1910;width:2517;height:2406" coordorigin="7140,-1910" coordsize="2517,2406" path="m7140,474l7437,496,7619,472,7762,377,7941,182,8146,-101,8313,-397,8425,-631,8466,-726,8648,-1136,8777,-1378,8917,-1546,9128,-1735,9210,-1795,9295,-1839,9378,-1870,9459,-1889,9534,-1901,9600,-1907,9657,-1910e" filled="false" stroked="true" strokeweight="2pt" strokecolor="#f0535f">
              <v:path arrowok="t"/>
              <v:stroke dashstyle="solid"/>
            </v:shape>
            <v:shape style="position:absolute;left:8418;top:-1877;width:904;height:1203" coordorigin="8418,-1876" coordsize="904,1203" path="m8508,-719l8505,-736,8495,-751,8481,-760,8463,-764,8446,-760,8432,-751,8422,-736,8418,-719,8422,-701,8432,-687,8446,-677,8463,-674,8481,-677,8495,-687,8505,-701,8508,-719m9322,-1831l9318,-1849,9309,-1863,9294,-1873,9277,-1876,9259,-1873,9245,-1863,9235,-1849,9232,-1831,9235,-1814,9245,-1800,9259,-1790,9277,-1786,9294,-1790,9309,-1800,9318,-1814,9322,-1831e" filled="true" fillcolor="#f0535f" stroked="false">
              <v:path arrowok="t"/>
              <v:fill type="solid"/>
            </v:shape>
            <v:shape style="position:absolute;left:-360;top:12545;width:770;height:1240" coordorigin="-360,12546" coordsize="770,1240" path="m8837,-1819l9247,-1831m8477,-686l8557,-592e" filled="false" stroked="true" strokeweight=".75pt" strokecolor="#231f20">
              <v:path arrowok="t"/>
              <v:stroke dashstyle="solid"/>
            </v:shape>
            <v:shape style="position:absolute;left:7056;top:-1934;width:2690;height:2502" type="#_x0000_t202" filled="false" stroked="false">
              <v:textbox inset="0,0,0,0">
                <w:txbxContent>
                  <w:p>
                    <w:pPr>
                      <w:spacing w:line="235" w:lineRule="auto" w:before="21"/>
                      <w:ind w:left="740" w:right="940" w:firstLine="454"/>
                      <w:jc w:val="right"/>
                      <w:rPr>
                        <w:rFonts w:ascii="Helvetica"/>
                        <w:b/>
                        <w:sz w:val="16"/>
                      </w:rPr>
                    </w:pPr>
                    <w:r>
                      <w:rPr>
                        <w:rFonts w:ascii="Helvetica"/>
                        <w:b/>
                        <w:color w:val="231F20"/>
                        <w:sz w:val="16"/>
                      </w:rPr>
                      <w:t>Normal operating</w:t>
                    </w:r>
                    <w:r>
                      <w:rPr>
                        <w:rFonts w:ascii="Helvetica"/>
                        <w:b/>
                        <w:color w:val="231F20"/>
                        <w:w w:val="100"/>
                        <w:sz w:val="16"/>
                      </w:rPr>
                      <w:t> </w:t>
                    </w:r>
                    <w:r>
                      <w:rPr>
                        <w:rFonts w:ascii="Helvetica"/>
                        <w:b/>
                        <w:color w:val="231F20"/>
                        <w:sz w:val="16"/>
                      </w:rPr>
                      <w:t>point in body</w:t>
                    </w:r>
                  </w:p>
                </w:txbxContent>
              </v:textbox>
              <w10:wrap type="none"/>
            </v:shape>
            <v:shape style="position:absolute;left:8401;top:-719;width:634;height:603" type="#_x0000_t202" filled="false" stroked="true" strokeweight=".5pt" strokecolor="#231f20">
              <v:textbox inset="0,0,0,0">
                <w:txbxContent>
                  <w:p>
                    <w:pPr>
                      <w:spacing w:before="98"/>
                      <w:ind w:left="99" w:right="0" w:firstLine="0"/>
                      <w:jc w:val="left"/>
                      <w:rPr>
                        <w:rFonts w:ascii="Helvetica"/>
                        <w:sz w:val="16"/>
                      </w:rPr>
                    </w:pPr>
                    <w:r>
                      <w:rPr>
                        <w:rFonts w:ascii="Helvetica"/>
                        <w:color w:val="231F20"/>
                        <w:sz w:val="16"/>
                      </w:rPr>
                      <w:t>pK</w:t>
                    </w:r>
                  </w:p>
                </w:txbxContent>
              </v:textbox>
              <v:stroke dashstyle="solid"/>
              <w10:wrap type="none"/>
            </v:shape>
            <w10:wrap type="none"/>
          </v:group>
        </w:pict>
      </w:r>
      <w:r>
        <w:rPr/>
        <w:pict>
          <v:group style="position:absolute;margin-left:309.869995pt;margin-top:-9.943583pt;width:6pt;height:28.1pt;mso-position-horizontal-relative:page;mso-position-vertical-relative:paragraph;z-index:-272634880" coordorigin="6197,-199" coordsize="120,562">
            <v:line style="position:absolute" from="6256,-199" to="6256,218" stroked="true" strokeweight="1.5pt" strokecolor="#231f20">
              <v:stroke dashstyle="solid"/>
            </v:line>
            <v:shape style="position:absolute;left:6197;top:177;width:120;height:185" type="#_x0000_t75" stroked="false">
              <v:imagedata r:id="rId942" o:title=""/>
            </v:shape>
            <w10:wrap type="none"/>
          </v:group>
        </w:pict>
      </w:r>
      <w:r>
        <w:rPr>
          <w:rFonts w:ascii="Trebuchet MS" w:hAnsi="Trebuchet MS"/>
          <w:b/>
          <w:color w:val="231F20"/>
          <w:sz w:val="16"/>
        </w:rPr>
        <w:t>Henderson-Hasselbalch Equation. </w:t>
      </w:r>
      <w:r>
        <w:rPr>
          <w:color w:val="231F20"/>
          <w:sz w:val="18"/>
        </w:rPr>
        <w:t>As discussed earlier, it is customary to express H</w:t>
      </w:r>
      <w:r>
        <w:rPr>
          <w:rFonts w:ascii="Consolas" w:hAnsi="Consolas"/>
          <w:color w:val="231F20"/>
          <w:position w:val="7"/>
          <w:sz w:val="11"/>
        </w:rPr>
        <w:t>+ </w:t>
      </w:r>
      <w:r>
        <w:rPr>
          <w:color w:val="231F20"/>
          <w:sz w:val="18"/>
        </w:rPr>
        <w:t>concentration in pH units rather than in actual concentrations. Recall that pH is defined as pH </w:t>
      </w:r>
      <w:r>
        <w:rPr>
          <w:rFonts w:ascii="Consolas" w:hAnsi="Consolas"/>
          <w:color w:val="231F20"/>
          <w:sz w:val="18"/>
        </w:rPr>
        <w:t>= −</w:t>
      </w:r>
      <w:r>
        <w:rPr>
          <w:color w:val="231F20"/>
          <w:sz w:val="18"/>
        </w:rPr>
        <w:t>log H</w:t>
      </w:r>
      <w:r>
        <w:rPr>
          <w:rFonts w:ascii="Consolas" w:hAnsi="Consolas"/>
          <w:color w:val="231F20"/>
          <w:position w:val="7"/>
          <w:sz w:val="11"/>
        </w:rPr>
        <w:t>+</w:t>
      </w:r>
      <w:r>
        <w:rPr>
          <w:color w:val="231F20"/>
          <w:sz w:val="18"/>
        </w:rPr>
        <w:t>.</w:t>
      </w:r>
    </w:p>
    <w:p>
      <w:pPr>
        <w:spacing w:line="172" w:lineRule="exact" w:before="409"/>
        <w:ind w:left="1146" w:right="0" w:firstLine="0"/>
        <w:jc w:val="left"/>
        <w:rPr>
          <w:rFonts w:ascii="Helvetica"/>
          <w:sz w:val="16"/>
        </w:rPr>
      </w:pPr>
      <w:r>
        <w:rPr/>
        <w:br w:type="column"/>
      </w:r>
      <w:r>
        <w:rPr>
          <w:rFonts w:ascii="Helvetica"/>
          <w:color w:val="231F20"/>
          <w:sz w:val="16"/>
        </w:rPr>
        <w:t>100</w:t>
      </w:r>
    </w:p>
    <w:p>
      <w:pPr>
        <w:spacing w:line="172" w:lineRule="exact" w:before="0"/>
        <w:ind w:left="1462" w:right="0" w:firstLine="0"/>
        <w:jc w:val="left"/>
        <w:rPr>
          <w:rFonts w:ascii="Helvetica"/>
          <w:sz w:val="16"/>
        </w:rPr>
      </w:pPr>
      <w:r>
        <w:rPr>
          <w:rFonts w:ascii="Helvetica"/>
          <w:color w:val="231F20"/>
          <w:w w:val="99"/>
          <w:sz w:val="16"/>
        </w:rPr>
        <w:t>4</w:t>
      </w:r>
    </w:p>
    <w:p>
      <w:pPr>
        <w:pStyle w:val="BodyText"/>
        <w:rPr>
          <w:rFonts w:ascii="Helvetica"/>
          <w:sz w:val="18"/>
        </w:rPr>
      </w:pPr>
      <w:r>
        <w:rPr/>
        <w:br w:type="column"/>
      </w:r>
      <w:r>
        <w:rPr>
          <w:rFonts w:ascii="Helvetica"/>
          <w:sz w:val="18"/>
        </w:rPr>
      </w:r>
    </w:p>
    <w:p>
      <w:pPr>
        <w:pStyle w:val="BodyText"/>
        <w:rPr>
          <w:rFonts w:ascii="Helvetica"/>
          <w:sz w:val="16"/>
        </w:rPr>
      </w:pPr>
    </w:p>
    <w:p>
      <w:pPr>
        <w:spacing w:line="181" w:lineRule="exact" w:before="0"/>
        <w:ind w:left="180" w:right="0" w:firstLine="0"/>
        <w:jc w:val="center"/>
        <w:rPr>
          <w:rFonts w:ascii="Helvetica"/>
          <w:sz w:val="16"/>
        </w:rPr>
      </w:pPr>
      <w:r>
        <w:rPr/>
        <w:pict>
          <v:group style="position:absolute;margin-left:528.869873pt;margin-top:-29.367407pt;width:6pt;height:27.25pt;mso-position-horizontal-relative:page;mso-position-vertical-relative:paragraph;z-index:252771328" coordorigin="10577,-587" coordsize="120,545">
            <v:line style="position:absolute" from="10636,-43" to="10636,-460" stroked="true" strokeweight="1.5pt" strokecolor="#231f20">
              <v:stroke dashstyle="solid"/>
            </v:line>
            <v:shape style="position:absolute;left:10577;top:-588;width:120;height:185" type="#_x0000_t75" stroked="false">
              <v:imagedata r:id="rId943" o:title=""/>
            </v:shape>
            <w10:wrap type="none"/>
          </v:group>
        </w:pict>
      </w:r>
      <w:r>
        <w:rPr>
          <w:rFonts w:ascii="Helvetica"/>
          <w:color w:val="231F20"/>
          <w:w w:val="99"/>
          <w:sz w:val="16"/>
        </w:rPr>
        <w:t>0</w:t>
      </w:r>
    </w:p>
    <w:p>
      <w:pPr>
        <w:tabs>
          <w:tab w:pos="651" w:val="left" w:leader="none"/>
          <w:tab w:pos="1293" w:val="left" w:leader="none"/>
          <w:tab w:pos="1921" w:val="left" w:leader="none"/>
        </w:tabs>
        <w:spacing w:line="181" w:lineRule="exact" w:before="0"/>
        <w:ind w:left="0" w:right="2020" w:firstLine="0"/>
        <w:jc w:val="center"/>
        <w:rPr>
          <w:rFonts w:ascii="Helvetica"/>
          <w:sz w:val="16"/>
        </w:rPr>
      </w:pPr>
      <w:r>
        <w:rPr>
          <w:rFonts w:ascii="Helvetica"/>
          <w:color w:val="231F20"/>
          <w:sz w:val="16"/>
        </w:rPr>
        <w:t>5</w:t>
        <w:tab/>
        <w:t>6</w:t>
        <w:tab/>
        <w:t>7</w:t>
        <w:tab/>
        <w:t>8</w:t>
      </w:r>
    </w:p>
    <w:p>
      <w:pPr>
        <w:spacing w:before="51"/>
        <w:ind w:left="1085" w:right="0" w:firstLine="0"/>
        <w:jc w:val="left"/>
        <w:rPr>
          <w:rFonts w:ascii="Helvetica"/>
          <w:b/>
          <w:sz w:val="16"/>
        </w:rPr>
      </w:pPr>
      <w:r>
        <w:rPr>
          <w:rFonts w:ascii="Helvetica"/>
          <w:b/>
          <w:color w:val="231F20"/>
          <w:sz w:val="16"/>
        </w:rPr>
        <w:t>pH</w:t>
      </w:r>
    </w:p>
    <w:p>
      <w:pPr>
        <w:spacing w:after="0"/>
        <w:jc w:val="left"/>
        <w:rPr>
          <w:rFonts w:ascii="Helvetica"/>
          <w:sz w:val="16"/>
        </w:rPr>
        <w:sectPr>
          <w:type w:val="continuous"/>
          <w:pgSz w:w="12240" w:h="15660"/>
          <w:pgMar w:top="0" w:bottom="760" w:left="0" w:right="0"/>
          <w:cols w:num="3" w:equalWidth="0">
            <w:col w:w="5581" w:space="40"/>
            <w:col w:w="1552" w:space="39"/>
            <w:col w:w="5028"/>
          </w:cols>
        </w:sectPr>
      </w:pPr>
    </w:p>
    <w:p>
      <w:pPr>
        <w:spacing w:line="254" w:lineRule="auto" w:before="0"/>
        <w:ind w:left="1260" w:right="0" w:firstLine="239"/>
        <w:jc w:val="both"/>
        <w:rPr>
          <w:sz w:val="18"/>
        </w:rPr>
      </w:pPr>
      <w:r>
        <w:rPr/>
        <w:pict>
          <v:shape style="position:absolute;margin-left:351.337097pt;margin-top:28.907928pt;width:73.8pt;height:5.45pt;mso-position-horizontal-relative:page;mso-position-vertical-relative:paragraph;z-index:-272600064" type="#_x0000_t202" filled="false" stroked="false">
            <v:textbox inset="0,0,0,0">
              <w:txbxContent>
                <w:p>
                  <w:pPr>
                    <w:tabs>
                      <w:tab w:pos="692" w:val="left" w:leader="none"/>
                      <w:tab w:pos="1146" w:val="left" w:leader="none"/>
                      <w:tab w:pos="1422" w:val="left" w:leader="none"/>
                    </w:tabs>
                    <w:spacing w:before="3"/>
                    <w:ind w:left="0" w:right="0" w:firstLine="0"/>
                    <w:jc w:val="left"/>
                    <w:rPr>
                      <w:rFonts w:ascii="Arial"/>
                      <w:sz w:val="9"/>
                    </w:rPr>
                  </w:pPr>
                  <w:r>
                    <w:rPr>
                      <w:rFonts w:ascii="Arial"/>
                      <w:color w:val="231F20"/>
                      <w:w w:val="105"/>
                      <w:sz w:val="9"/>
                    </w:rPr>
                    <w:t>3</w:t>
                    <w:tab/>
                    <w:t>2</w:t>
                    <w:tab/>
                    <w:t>2</w:t>
                    <w:tab/>
                  </w:r>
                  <w:r>
                    <w:rPr>
                      <w:rFonts w:ascii="Arial"/>
                      <w:color w:val="231F20"/>
                      <w:spacing w:val="-20"/>
                      <w:w w:val="105"/>
                      <w:sz w:val="9"/>
                    </w:rPr>
                    <w:t>3</w:t>
                  </w:r>
                </w:p>
              </w:txbxContent>
            </v:textbox>
            <w10:wrap type="none"/>
          </v:shape>
        </w:pict>
      </w:r>
      <w:r>
        <w:rPr>
          <w:color w:val="231F20"/>
          <w:sz w:val="18"/>
        </w:rPr>
        <w:t>The dissociation constant (pK) can be expressed in a similar manner.</w:t>
      </w:r>
    </w:p>
    <w:p>
      <w:pPr>
        <w:spacing w:before="119"/>
        <w:ind w:left="2856" w:right="0" w:firstLine="0"/>
        <w:jc w:val="left"/>
        <w:rPr>
          <w:rFonts w:ascii="Trebuchet MS" w:hAnsi="Trebuchet MS"/>
          <w:sz w:val="18"/>
        </w:rPr>
      </w:pPr>
      <w:r>
        <w:rPr>
          <w:rFonts w:ascii="Trebuchet MS" w:hAnsi="Trebuchet MS"/>
          <w:w w:val="110"/>
          <w:sz w:val="18"/>
        </w:rPr>
        <w:t>pK </w:t>
      </w:r>
      <w:r>
        <w:rPr>
          <w:rFonts w:ascii="Symbol" w:hAnsi="Symbol"/>
          <w:w w:val="110"/>
          <w:sz w:val="18"/>
        </w:rPr>
        <w:t></w:t>
      </w:r>
      <w:r>
        <w:rPr>
          <w:w w:val="110"/>
          <w:sz w:val="18"/>
        </w:rPr>
        <w:t> </w:t>
      </w:r>
      <w:r>
        <w:rPr>
          <w:rFonts w:ascii="Symbol" w:hAnsi="Symbol"/>
          <w:w w:val="110"/>
          <w:sz w:val="18"/>
        </w:rPr>
        <w:t></w:t>
      </w:r>
      <w:r>
        <w:rPr>
          <w:rFonts w:ascii="Trebuchet MS" w:hAnsi="Trebuchet MS"/>
          <w:w w:val="110"/>
          <w:sz w:val="18"/>
        </w:rPr>
        <w:t>logK</w:t>
      </w:r>
    </w:p>
    <w:p>
      <w:pPr>
        <w:spacing w:line="254" w:lineRule="auto" w:before="116"/>
        <w:ind w:left="1260" w:right="0" w:firstLine="239"/>
        <w:jc w:val="both"/>
        <w:rPr>
          <w:sz w:val="18"/>
        </w:rPr>
      </w:pPr>
      <w:r>
        <w:rPr/>
        <w:pict>
          <v:group style="position:absolute;margin-left:306pt;margin-top:14.708941pt;width:234pt;height:475.15pt;mso-position-horizontal-relative:page;mso-position-vertical-relative:paragraph;z-index:252801024" coordorigin="6120,294" coordsize="4680,9503">
            <v:rect style="position:absolute;left:6120;top:294;width:4680;height:9503" filled="true" fillcolor="#f0eef6" stroked="false">
              <v:fill type="solid"/>
            </v:rect>
            <v:shape style="position:absolute;left:6299;top:7906;width:4341;height:1800" type="#_x0000_t202" filled="false" stroked="false">
              <v:textbox inset="0,0,0,0">
                <w:txbxContent>
                  <w:p>
                    <w:pPr>
                      <w:spacing w:line="254" w:lineRule="auto" w:before="0"/>
                      <w:ind w:left="0" w:right="18" w:firstLine="0"/>
                      <w:jc w:val="both"/>
                      <w:rPr>
                        <w:sz w:val="18"/>
                      </w:rPr>
                    </w:pPr>
                    <w:r>
                      <w:rPr>
                        <w:color w:val="231F20"/>
                        <w:w w:val="105"/>
                        <w:sz w:val="18"/>
                      </w:rPr>
                      <w:t>percent of the total concentration of the buffer system. Second, the buffer system is most effective in the central part of the curve, where the pH is near the pK of the system.</w:t>
                    </w:r>
                    <w:r>
                      <w:rPr>
                        <w:color w:val="231F20"/>
                        <w:spacing w:val="-15"/>
                        <w:w w:val="105"/>
                        <w:sz w:val="18"/>
                      </w:rPr>
                      <w:t> </w:t>
                    </w:r>
                    <w:r>
                      <w:rPr>
                        <w:color w:val="231F20"/>
                        <w:w w:val="105"/>
                        <w:sz w:val="18"/>
                      </w:rPr>
                      <w:t>This</w:t>
                    </w:r>
                    <w:r>
                      <w:rPr>
                        <w:color w:val="231F20"/>
                        <w:spacing w:val="-14"/>
                        <w:w w:val="105"/>
                        <w:sz w:val="18"/>
                      </w:rPr>
                      <w:t> </w:t>
                    </w:r>
                    <w:r>
                      <w:rPr>
                        <w:color w:val="231F20"/>
                        <w:w w:val="105"/>
                        <w:sz w:val="18"/>
                      </w:rPr>
                      <w:t>phenomenon</w:t>
                    </w:r>
                    <w:r>
                      <w:rPr>
                        <w:color w:val="231F20"/>
                        <w:spacing w:val="-15"/>
                        <w:w w:val="105"/>
                        <w:sz w:val="18"/>
                      </w:rPr>
                      <w:t> </w:t>
                    </w:r>
                    <w:r>
                      <w:rPr>
                        <w:color w:val="231F20"/>
                        <w:w w:val="105"/>
                        <w:sz w:val="18"/>
                      </w:rPr>
                      <w:t>means</w:t>
                    </w:r>
                    <w:r>
                      <w:rPr>
                        <w:color w:val="231F20"/>
                        <w:spacing w:val="-14"/>
                        <w:w w:val="105"/>
                        <w:sz w:val="18"/>
                      </w:rPr>
                      <w:t> </w:t>
                    </w:r>
                    <w:r>
                      <w:rPr>
                        <w:color w:val="231F20"/>
                        <w:w w:val="105"/>
                        <w:sz w:val="18"/>
                      </w:rPr>
                      <w:t>that</w:t>
                    </w:r>
                    <w:r>
                      <w:rPr>
                        <w:color w:val="231F20"/>
                        <w:spacing w:val="-14"/>
                        <w:w w:val="105"/>
                        <w:sz w:val="18"/>
                      </w:rPr>
                      <w:t> </w:t>
                    </w:r>
                    <w:r>
                      <w:rPr>
                        <w:color w:val="231F20"/>
                        <w:w w:val="105"/>
                        <w:sz w:val="18"/>
                      </w:rPr>
                      <w:t>the</w:t>
                    </w:r>
                    <w:r>
                      <w:rPr>
                        <w:color w:val="231F20"/>
                        <w:spacing w:val="-15"/>
                        <w:w w:val="105"/>
                        <w:sz w:val="18"/>
                      </w:rPr>
                      <w:t> </w:t>
                    </w:r>
                    <w:r>
                      <w:rPr>
                        <w:color w:val="231F20"/>
                        <w:w w:val="105"/>
                        <w:sz w:val="18"/>
                      </w:rPr>
                      <w:t>change</w:t>
                    </w:r>
                    <w:r>
                      <w:rPr>
                        <w:color w:val="231F20"/>
                        <w:spacing w:val="-14"/>
                        <w:w w:val="105"/>
                        <w:sz w:val="18"/>
                      </w:rPr>
                      <w:t> </w:t>
                    </w:r>
                    <w:r>
                      <w:rPr>
                        <w:color w:val="231F20"/>
                        <w:w w:val="105"/>
                        <w:sz w:val="18"/>
                      </w:rPr>
                      <w:t>in</w:t>
                    </w:r>
                    <w:r>
                      <w:rPr>
                        <w:color w:val="231F20"/>
                        <w:spacing w:val="-14"/>
                        <w:w w:val="105"/>
                        <w:sz w:val="18"/>
                      </w:rPr>
                      <w:t> </w:t>
                    </w:r>
                    <w:r>
                      <w:rPr>
                        <w:color w:val="231F20"/>
                        <w:w w:val="105"/>
                        <w:sz w:val="18"/>
                      </w:rPr>
                      <w:t>pH</w:t>
                    </w:r>
                    <w:r>
                      <w:rPr>
                        <w:color w:val="231F20"/>
                        <w:spacing w:val="-15"/>
                        <w:w w:val="105"/>
                        <w:sz w:val="18"/>
                      </w:rPr>
                      <w:t> </w:t>
                    </w:r>
                    <w:r>
                      <w:rPr>
                        <w:color w:val="231F20"/>
                        <w:w w:val="105"/>
                        <w:sz w:val="18"/>
                      </w:rPr>
                      <w:t>for any given amount of acid or base added to the system is least</w:t>
                    </w:r>
                    <w:r>
                      <w:rPr>
                        <w:color w:val="231F20"/>
                        <w:spacing w:val="-9"/>
                        <w:w w:val="105"/>
                        <w:sz w:val="18"/>
                      </w:rPr>
                      <w:t> </w:t>
                    </w:r>
                    <w:r>
                      <w:rPr>
                        <w:color w:val="231F20"/>
                        <w:w w:val="105"/>
                        <w:sz w:val="18"/>
                      </w:rPr>
                      <w:t>when</w:t>
                    </w:r>
                    <w:r>
                      <w:rPr>
                        <w:color w:val="231F20"/>
                        <w:spacing w:val="-9"/>
                        <w:w w:val="105"/>
                        <w:sz w:val="18"/>
                      </w:rPr>
                      <w:t> </w:t>
                    </w:r>
                    <w:r>
                      <w:rPr>
                        <w:color w:val="231F20"/>
                        <w:w w:val="105"/>
                        <w:sz w:val="18"/>
                      </w:rPr>
                      <w:t>the</w:t>
                    </w:r>
                    <w:r>
                      <w:rPr>
                        <w:color w:val="231F20"/>
                        <w:spacing w:val="-9"/>
                        <w:w w:val="105"/>
                        <w:sz w:val="18"/>
                      </w:rPr>
                      <w:t> </w:t>
                    </w:r>
                    <w:r>
                      <w:rPr>
                        <w:color w:val="231F20"/>
                        <w:w w:val="105"/>
                        <w:sz w:val="18"/>
                      </w:rPr>
                      <w:t>pH</w:t>
                    </w:r>
                    <w:r>
                      <w:rPr>
                        <w:color w:val="231F20"/>
                        <w:spacing w:val="-9"/>
                        <w:w w:val="105"/>
                        <w:sz w:val="18"/>
                      </w:rPr>
                      <w:t> </w:t>
                    </w:r>
                    <w:r>
                      <w:rPr>
                        <w:color w:val="231F20"/>
                        <w:w w:val="105"/>
                        <w:sz w:val="18"/>
                      </w:rPr>
                      <w:t>is</w:t>
                    </w:r>
                    <w:r>
                      <w:rPr>
                        <w:color w:val="231F20"/>
                        <w:spacing w:val="-9"/>
                        <w:w w:val="105"/>
                        <w:sz w:val="18"/>
                      </w:rPr>
                      <w:t> </w:t>
                    </w:r>
                    <w:r>
                      <w:rPr>
                        <w:color w:val="231F20"/>
                        <w:w w:val="105"/>
                        <w:sz w:val="18"/>
                      </w:rPr>
                      <w:t>near</w:t>
                    </w:r>
                    <w:r>
                      <w:rPr>
                        <w:color w:val="231F20"/>
                        <w:spacing w:val="-8"/>
                        <w:w w:val="105"/>
                        <w:sz w:val="18"/>
                      </w:rPr>
                      <w:t> </w:t>
                    </w:r>
                    <w:r>
                      <w:rPr>
                        <w:color w:val="231F20"/>
                        <w:w w:val="105"/>
                        <w:sz w:val="18"/>
                      </w:rPr>
                      <w:t>the</w:t>
                    </w:r>
                    <w:r>
                      <w:rPr>
                        <w:color w:val="231F20"/>
                        <w:spacing w:val="-9"/>
                        <w:w w:val="105"/>
                        <w:sz w:val="18"/>
                      </w:rPr>
                      <w:t> </w:t>
                    </w:r>
                    <w:r>
                      <w:rPr>
                        <w:color w:val="231F20"/>
                        <w:w w:val="105"/>
                        <w:sz w:val="18"/>
                      </w:rPr>
                      <w:t>pK</w:t>
                    </w:r>
                    <w:r>
                      <w:rPr>
                        <w:color w:val="231F20"/>
                        <w:spacing w:val="-9"/>
                        <w:w w:val="105"/>
                        <w:sz w:val="18"/>
                      </w:rPr>
                      <w:t> </w:t>
                    </w:r>
                    <w:r>
                      <w:rPr>
                        <w:color w:val="231F20"/>
                        <w:w w:val="105"/>
                        <w:sz w:val="18"/>
                      </w:rPr>
                      <w:t>of</w:t>
                    </w:r>
                    <w:r>
                      <w:rPr>
                        <w:color w:val="231F20"/>
                        <w:spacing w:val="-9"/>
                        <w:w w:val="105"/>
                        <w:sz w:val="18"/>
                      </w:rPr>
                      <w:t> </w:t>
                    </w:r>
                    <w:r>
                      <w:rPr>
                        <w:color w:val="231F20"/>
                        <w:w w:val="105"/>
                        <w:sz w:val="18"/>
                      </w:rPr>
                      <w:t>the</w:t>
                    </w:r>
                    <w:r>
                      <w:rPr>
                        <w:color w:val="231F20"/>
                        <w:spacing w:val="-9"/>
                        <w:w w:val="105"/>
                        <w:sz w:val="18"/>
                      </w:rPr>
                      <w:t> </w:t>
                    </w:r>
                    <w:r>
                      <w:rPr>
                        <w:color w:val="231F20"/>
                        <w:w w:val="105"/>
                        <w:sz w:val="18"/>
                      </w:rPr>
                      <w:t>system.</w:t>
                    </w:r>
                    <w:r>
                      <w:rPr>
                        <w:color w:val="231F20"/>
                        <w:spacing w:val="-9"/>
                        <w:w w:val="105"/>
                        <w:sz w:val="18"/>
                      </w:rPr>
                      <w:t> </w:t>
                    </w:r>
                    <w:r>
                      <w:rPr>
                        <w:color w:val="231F20"/>
                        <w:w w:val="105"/>
                        <w:sz w:val="18"/>
                      </w:rPr>
                      <w:t>The</w:t>
                    </w:r>
                    <w:r>
                      <w:rPr>
                        <w:color w:val="231F20"/>
                        <w:spacing w:val="-9"/>
                        <w:w w:val="105"/>
                        <w:sz w:val="18"/>
                      </w:rPr>
                      <w:t> </w:t>
                    </w:r>
                    <w:r>
                      <w:rPr>
                        <w:color w:val="231F20"/>
                        <w:w w:val="105"/>
                        <w:sz w:val="18"/>
                      </w:rPr>
                      <w:t>buffer system</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still</w:t>
                    </w:r>
                    <w:r>
                      <w:rPr>
                        <w:color w:val="231F20"/>
                        <w:spacing w:val="-17"/>
                        <w:w w:val="105"/>
                        <w:sz w:val="18"/>
                      </w:rPr>
                      <w:t> </w:t>
                    </w:r>
                    <w:r>
                      <w:rPr>
                        <w:color w:val="231F20"/>
                        <w:w w:val="105"/>
                        <w:sz w:val="18"/>
                      </w:rPr>
                      <w:t>reasonably</w:t>
                    </w:r>
                    <w:r>
                      <w:rPr>
                        <w:color w:val="231F20"/>
                        <w:spacing w:val="-18"/>
                        <w:w w:val="105"/>
                        <w:sz w:val="18"/>
                      </w:rPr>
                      <w:t> </w:t>
                    </w:r>
                    <w:r>
                      <w:rPr>
                        <w:color w:val="231F20"/>
                        <w:w w:val="105"/>
                        <w:sz w:val="18"/>
                      </w:rPr>
                      <w:t>effective</w:t>
                    </w:r>
                    <w:r>
                      <w:rPr>
                        <w:color w:val="231F20"/>
                        <w:spacing w:val="-17"/>
                        <w:w w:val="105"/>
                        <w:sz w:val="18"/>
                      </w:rPr>
                      <w:t> </w:t>
                    </w:r>
                    <w:r>
                      <w:rPr>
                        <w:color w:val="231F20"/>
                        <w:w w:val="105"/>
                        <w:sz w:val="18"/>
                      </w:rPr>
                      <w:t>for</w:t>
                    </w:r>
                    <w:r>
                      <w:rPr>
                        <w:color w:val="231F20"/>
                        <w:spacing w:val="-18"/>
                        <w:w w:val="105"/>
                        <w:sz w:val="18"/>
                      </w:rPr>
                      <w:t> </w:t>
                    </w:r>
                    <w:r>
                      <w:rPr>
                        <w:color w:val="231F20"/>
                        <w:w w:val="105"/>
                        <w:sz w:val="18"/>
                      </w:rPr>
                      <w:t>1.0</w:t>
                    </w:r>
                    <w:r>
                      <w:rPr>
                        <w:color w:val="231F20"/>
                        <w:spacing w:val="-17"/>
                        <w:w w:val="105"/>
                        <w:sz w:val="18"/>
                      </w:rPr>
                      <w:t> </w:t>
                    </w:r>
                    <w:r>
                      <w:rPr>
                        <w:color w:val="231F20"/>
                        <w:w w:val="105"/>
                        <w:sz w:val="18"/>
                      </w:rPr>
                      <w:t>pH</w:t>
                    </w:r>
                    <w:r>
                      <w:rPr>
                        <w:color w:val="231F20"/>
                        <w:spacing w:val="-18"/>
                        <w:w w:val="105"/>
                        <w:sz w:val="18"/>
                      </w:rPr>
                      <w:t> </w:t>
                    </w:r>
                    <w:r>
                      <w:rPr>
                        <w:color w:val="231F20"/>
                        <w:w w:val="105"/>
                        <w:sz w:val="18"/>
                      </w:rPr>
                      <w:t>unit</w:t>
                    </w:r>
                    <w:r>
                      <w:rPr>
                        <w:color w:val="231F20"/>
                        <w:spacing w:val="-18"/>
                        <w:w w:val="105"/>
                        <w:sz w:val="18"/>
                      </w:rPr>
                      <w:t> </w:t>
                    </w:r>
                    <w:r>
                      <w:rPr>
                        <w:color w:val="231F20"/>
                        <w:w w:val="105"/>
                        <w:sz w:val="18"/>
                      </w:rPr>
                      <w:t>on</w:t>
                    </w:r>
                    <w:r>
                      <w:rPr>
                        <w:color w:val="231F20"/>
                        <w:spacing w:val="-17"/>
                        <w:w w:val="105"/>
                        <w:sz w:val="18"/>
                      </w:rPr>
                      <w:t> </w:t>
                    </w:r>
                    <w:r>
                      <w:rPr>
                        <w:color w:val="231F20"/>
                        <w:w w:val="105"/>
                        <w:sz w:val="18"/>
                      </w:rPr>
                      <w:t>either side</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pK,</w:t>
                    </w:r>
                    <w:r>
                      <w:rPr>
                        <w:color w:val="231F20"/>
                        <w:spacing w:val="15"/>
                        <w:w w:val="105"/>
                        <w:sz w:val="18"/>
                      </w:rPr>
                      <w:t> </w:t>
                    </w:r>
                    <w:r>
                      <w:rPr>
                        <w:color w:val="231F20"/>
                        <w:w w:val="105"/>
                        <w:sz w:val="18"/>
                      </w:rPr>
                      <w:t>which</w:t>
                    </w:r>
                    <w:r>
                      <w:rPr>
                        <w:color w:val="231F20"/>
                        <w:spacing w:val="15"/>
                        <w:w w:val="105"/>
                        <w:sz w:val="18"/>
                      </w:rPr>
                      <w:t> </w:t>
                    </w:r>
                    <w:r>
                      <w:rPr>
                        <w:color w:val="231F20"/>
                        <w:w w:val="105"/>
                        <w:sz w:val="18"/>
                      </w:rPr>
                      <w:t>for</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bicarbonate</w:t>
                    </w:r>
                    <w:r>
                      <w:rPr>
                        <w:color w:val="231F20"/>
                        <w:spacing w:val="15"/>
                        <w:w w:val="105"/>
                        <w:sz w:val="18"/>
                      </w:rPr>
                      <w:t> </w:t>
                    </w:r>
                    <w:r>
                      <w:rPr>
                        <w:color w:val="231F20"/>
                        <w:w w:val="105"/>
                        <w:sz w:val="18"/>
                      </w:rPr>
                      <w:t>buffer</w:t>
                    </w:r>
                    <w:r>
                      <w:rPr>
                        <w:color w:val="231F20"/>
                        <w:spacing w:val="16"/>
                        <w:w w:val="105"/>
                        <w:sz w:val="18"/>
                      </w:rPr>
                      <w:t> </w:t>
                    </w:r>
                    <w:r>
                      <w:rPr>
                        <w:color w:val="231F20"/>
                        <w:w w:val="105"/>
                        <w:sz w:val="18"/>
                      </w:rPr>
                      <w:t>system</w:t>
                    </w:r>
                  </w:p>
                </w:txbxContent>
              </v:textbox>
              <w10:wrap type="none"/>
            </v:shape>
            <v:shape style="position:absolute;left:6300;top:7672;width:4341;height:274" type="#_x0000_t202" filled="false" stroked="false">
              <v:textbox inset="0,0,0,0">
                <w:txbxContent>
                  <w:p>
                    <w:pPr>
                      <w:spacing w:line="153" w:lineRule="exact" w:before="10"/>
                      <w:ind w:left="0" w:right="0" w:firstLine="0"/>
                      <w:jc w:val="left"/>
                      <w:rPr>
                        <w:sz w:val="18"/>
                      </w:rPr>
                    </w:pPr>
                    <w:r>
                      <w:rPr>
                        <w:color w:val="231F20"/>
                        <w:w w:val="105"/>
                        <w:sz w:val="18"/>
                      </w:rPr>
                      <w:t>each of the components (HCO </w:t>
                    </w:r>
                    <w:r>
                      <w:rPr>
                        <w:rFonts w:ascii="Consolas" w:hAnsi="Consolas"/>
                        <w:color w:val="231F20"/>
                        <w:w w:val="105"/>
                        <w:position w:val="7"/>
                        <w:sz w:val="11"/>
                      </w:rPr>
                      <w:t>− </w:t>
                    </w:r>
                    <w:r>
                      <w:rPr>
                        <w:color w:val="231F20"/>
                        <w:w w:val="105"/>
                        <w:sz w:val="18"/>
                      </w:rPr>
                      <w:t>and CO ) constitutes 50</w:t>
                    </w:r>
                  </w:p>
                  <w:p>
                    <w:pPr>
                      <w:tabs>
                        <w:tab w:pos="3107" w:val="left" w:leader="none"/>
                      </w:tabs>
                      <w:spacing w:line="69" w:lineRule="exact" w:before="0"/>
                      <w:ind w:left="2336" w:right="0" w:firstLine="0"/>
                      <w:jc w:val="left"/>
                      <w:rPr>
                        <w:sz w:val="11"/>
                      </w:rPr>
                    </w:pPr>
                    <w:r>
                      <w:rPr>
                        <w:color w:val="231F20"/>
                        <w:sz w:val="11"/>
                      </w:rPr>
                      <w:t>3</w:t>
                      <w:tab/>
                      <w:t>2</w:t>
                    </w:r>
                  </w:p>
                </w:txbxContent>
              </v:textbox>
              <w10:wrap type="none"/>
            </v:shape>
            <v:shape style="position:absolute;left:6300;top:7026;width:4340;height:700" type="#_x0000_t202" filled="false" stroked="false">
              <v:textbox inset="0,0,0,0">
                <w:txbxContent>
                  <w:p>
                    <w:pPr>
                      <w:spacing w:line="254" w:lineRule="auto" w:before="0"/>
                      <w:ind w:left="0" w:right="18" w:firstLine="0"/>
                      <w:jc w:val="both"/>
                      <w:rPr>
                        <w:sz w:val="18"/>
                      </w:rPr>
                    </w:pPr>
                    <w:r>
                      <w:rPr>
                        <w:rFonts w:ascii="Trebuchet MS"/>
                        <w:b/>
                        <w:color w:val="231F20"/>
                        <w:sz w:val="16"/>
                      </w:rPr>
                      <w:t>Relative Concentrations of the Buffer Components. </w:t>
                    </w:r>
                    <w:r>
                      <w:rPr>
                        <w:color w:val="231F20"/>
                        <w:sz w:val="18"/>
                      </w:rPr>
                      <w:t>From the titration curve in </w:t>
                    </w:r>
                    <w:hyperlink w:history="true" w:anchor="_bookmark102">
                      <w:r>
                        <w:rPr>
                          <w:b/>
                          <w:color w:val="0080AC"/>
                          <w:sz w:val="18"/>
                        </w:rPr>
                        <w:t>Figure 31-1</w:t>
                      </w:r>
                    </w:hyperlink>
                    <w:r>
                      <w:rPr>
                        <w:color w:val="231F20"/>
                        <w:sz w:val="18"/>
                      </w:rPr>
                      <w:t>, several points are appar- ent. First, the pH of the system is the same as the pK when</w:t>
                    </w:r>
                  </w:p>
                </w:txbxContent>
              </v:textbox>
              <w10:wrap type="none"/>
            </v:shape>
            <v:shape style="position:absolute;left:6299;top:6352;width:4341;height:657" type="#_x0000_t202" filled="false" stroked="false">
              <v:textbox inset="0,0,0,0">
                <w:txbxContent>
                  <w:p>
                    <w:pPr>
                      <w:spacing w:line="153" w:lineRule="exact" w:before="10"/>
                      <w:ind w:left="0" w:right="0" w:firstLine="0"/>
                      <w:jc w:val="left"/>
                      <w:rPr>
                        <w:sz w:val="18"/>
                      </w:rPr>
                    </w:pPr>
                    <w:r>
                      <w:rPr>
                        <w:color w:val="231F20"/>
                        <w:w w:val="105"/>
                        <w:sz w:val="18"/>
                      </w:rPr>
                      <w:t>ratio</w:t>
                    </w:r>
                    <w:r>
                      <w:rPr>
                        <w:color w:val="231F20"/>
                        <w:spacing w:val="-6"/>
                        <w:w w:val="105"/>
                        <w:sz w:val="18"/>
                      </w:rPr>
                      <w:t> </w:t>
                    </w:r>
                    <w:r>
                      <w:rPr>
                        <w:color w:val="231F20"/>
                        <w:w w:val="105"/>
                        <w:sz w:val="18"/>
                      </w:rPr>
                      <w:t>of</w:t>
                    </w:r>
                    <w:r>
                      <w:rPr>
                        <w:color w:val="231F20"/>
                        <w:spacing w:val="-5"/>
                        <w:w w:val="105"/>
                        <w:sz w:val="18"/>
                      </w:rPr>
                      <w:t> </w:t>
                    </w:r>
                    <w:r>
                      <w:rPr>
                        <w:color w:val="231F20"/>
                        <w:w w:val="105"/>
                        <w:sz w:val="18"/>
                      </w:rPr>
                      <w:t>HCO</w:t>
                    </w:r>
                    <w:r>
                      <w:rPr>
                        <w:color w:val="231F20"/>
                        <w:spacing w:val="2"/>
                        <w:w w:val="105"/>
                        <w:sz w:val="18"/>
                      </w:rPr>
                      <w:t> </w:t>
                    </w:r>
                    <w:r>
                      <w:rPr>
                        <w:rFonts w:ascii="Consolas" w:hAnsi="Consolas"/>
                        <w:color w:val="231F20"/>
                        <w:w w:val="105"/>
                        <w:position w:val="7"/>
                        <w:sz w:val="11"/>
                      </w:rPr>
                      <w:t>−</w:t>
                    </w:r>
                    <w:r>
                      <w:rPr>
                        <w:rFonts w:ascii="Consolas" w:hAnsi="Consolas"/>
                        <w:color w:val="231F20"/>
                        <w:spacing w:val="-22"/>
                        <w:w w:val="105"/>
                        <w:position w:val="7"/>
                        <w:sz w:val="11"/>
                      </w:rPr>
                      <w:t> </w:t>
                    </w:r>
                    <w:r>
                      <w:rPr>
                        <w:color w:val="231F20"/>
                        <w:w w:val="105"/>
                        <w:sz w:val="18"/>
                      </w:rPr>
                      <w:t>to</w:t>
                    </w:r>
                    <w:r>
                      <w:rPr>
                        <w:color w:val="231F20"/>
                        <w:spacing w:val="-5"/>
                        <w:w w:val="105"/>
                        <w:sz w:val="18"/>
                      </w:rPr>
                      <w:t> </w:t>
                    </w:r>
                    <w:r>
                      <w:rPr>
                        <w:color w:val="231F20"/>
                        <w:w w:val="105"/>
                        <w:sz w:val="18"/>
                      </w:rPr>
                      <w:t>CO</w:t>
                    </w:r>
                    <w:r>
                      <w:rPr>
                        <w:color w:val="231F20"/>
                        <w:w w:val="105"/>
                        <w:sz w:val="18"/>
                        <w:vertAlign w:val="subscript"/>
                      </w:rPr>
                      <w:t>2</w:t>
                    </w:r>
                    <w:r>
                      <w:rPr>
                        <w:color w:val="231F20"/>
                        <w:spacing w:val="-6"/>
                        <w:w w:val="105"/>
                        <w:sz w:val="18"/>
                        <w:vertAlign w:val="baseline"/>
                      </w:rPr>
                      <w:t> </w:t>
                    </w:r>
                    <w:r>
                      <w:rPr>
                        <w:color w:val="231F20"/>
                        <w:w w:val="105"/>
                        <w:sz w:val="18"/>
                        <w:vertAlign w:val="baseline"/>
                      </w:rPr>
                      <w:t>and</w:t>
                    </w:r>
                    <w:r>
                      <w:rPr>
                        <w:color w:val="231F20"/>
                        <w:spacing w:val="-5"/>
                        <w:w w:val="105"/>
                        <w:sz w:val="18"/>
                        <w:vertAlign w:val="baseline"/>
                      </w:rPr>
                      <w:t> </w:t>
                    </w:r>
                    <w:r>
                      <w:rPr>
                        <w:color w:val="231F20"/>
                        <w:w w:val="105"/>
                        <w:sz w:val="18"/>
                        <w:vertAlign w:val="baseline"/>
                      </w:rPr>
                      <w:t>decreasing</w:t>
                    </w:r>
                    <w:r>
                      <w:rPr>
                        <w:color w:val="231F20"/>
                        <w:spacing w:val="-5"/>
                        <w:w w:val="105"/>
                        <w:sz w:val="18"/>
                        <w:vertAlign w:val="baseline"/>
                      </w:rPr>
                      <w:t> </w:t>
                    </w:r>
                    <w:r>
                      <w:rPr>
                        <w:color w:val="231F20"/>
                        <w:w w:val="105"/>
                        <w:sz w:val="18"/>
                        <w:vertAlign w:val="baseline"/>
                      </w:rPr>
                      <w:t>the</w:t>
                    </w:r>
                    <w:r>
                      <w:rPr>
                        <w:color w:val="231F20"/>
                        <w:spacing w:val="-6"/>
                        <w:w w:val="105"/>
                        <w:sz w:val="18"/>
                        <w:vertAlign w:val="baseline"/>
                      </w:rPr>
                      <w:t> </w:t>
                    </w:r>
                    <w:r>
                      <w:rPr>
                        <w:color w:val="231F20"/>
                        <w:w w:val="105"/>
                        <w:sz w:val="18"/>
                        <w:vertAlign w:val="baseline"/>
                      </w:rPr>
                      <w:t>pH</w:t>
                    </w:r>
                    <w:r>
                      <w:rPr>
                        <w:color w:val="231F20"/>
                        <w:spacing w:val="-5"/>
                        <w:w w:val="105"/>
                        <w:sz w:val="18"/>
                        <w:vertAlign w:val="baseline"/>
                      </w:rPr>
                      <w:t> </w:t>
                    </w:r>
                    <w:r>
                      <w:rPr>
                        <w:color w:val="231F20"/>
                        <w:w w:val="105"/>
                        <w:sz w:val="18"/>
                        <w:vertAlign w:val="baseline"/>
                      </w:rPr>
                      <w:t>of</w:t>
                    </w:r>
                    <w:r>
                      <w:rPr>
                        <w:color w:val="231F20"/>
                        <w:spacing w:val="-5"/>
                        <w:w w:val="105"/>
                        <w:sz w:val="18"/>
                        <w:vertAlign w:val="baseline"/>
                      </w:rPr>
                      <w:t> </w:t>
                    </w:r>
                    <w:r>
                      <w:rPr>
                        <w:color w:val="231F20"/>
                        <w:w w:val="105"/>
                        <w:sz w:val="18"/>
                        <w:vertAlign w:val="baseline"/>
                      </w:rPr>
                      <w:t>the</w:t>
                    </w:r>
                    <w:r>
                      <w:rPr>
                        <w:color w:val="231F20"/>
                        <w:spacing w:val="-5"/>
                        <w:w w:val="105"/>
                        <w:sz w:val="18"/>
                        <w:vertAlign w:val="baseline"/>
                      </w:rPr>
                      <w:t> </w:t>
                    </w:r>
                    <w:r>
                      <w:rPr>
                        <w:color w:val="231F20"/>
                        <w:w w:val="105"/>
                        <w:sz w:val="18"/>
                        <w:vertAlign w:val="baseline"/>
                      </w:rPr>
                      <w:t>extra-</w:t>
                    </w:r>
                  </w:p>
                  <w:p>
                    <w:pPr>
                      <w:spacing w:line="69" w:lineRule="exact" w:before="0"/>
                      <w:ind w:left="984" w:right="0" w:firstLine="0"/>
                      <w:jc w:val="left"/>
                      <w:rPr>
                        <w:sz w:val="11"/>
                      </w:rPr>
                    </w:pPr>
                    <w:r>
                      <w:rPr>
                        <w:color w:val="231F20"/>
                        <w:w w:val="96"/>
                        <w:sz w:val="11"/>
                      </w:rPr>
                      <w:t>3</w:t>
                    </w:r>
                  </w:p>
                  <w:p>
                    <w:pPr>
                      <w:spacing w:before="1"/>
                      <w:ind w:left="0" w:right="0" w:firstLine="0"/>
                      <w:jc w:val="left"/>
                      <w:rPr>
                        <w:sz w:val="18"/>
                      </w:rPr>
                    </w:pPr>
                    <w:r>
                      <w:rPr>
                        <w:color w:val="231F20"/>
                        <w:sz w:val="18"/>
                      </w:rPr>
                      <w:t>cellular fluid.</w:t>
                    </w:r>
                  </w:p>
                  <w:p>
                    <w:pPr>
                      <w:spacing w:before="31"/>
                      <w:ind w:left="240" w:right="0" w:firstLine="0"/>
                      <w:jc w:val="left"/>
                      <w:rPr>
                        <w:rFonts w:ascii="Trebuchet MS" w:hAnsi="Trebuchet MS"/>
                        <w:b/>
                        <w:sz w:val="16"/>
                      </w:rPr>
                    </w:pPr>
                    <w:r>
                      <w:rPr>
                        <w:rFonts w:ascii="Trebuchet MS" w:hAnsi="Trebuchet MS"/>
                        <w:b/>
                        <w:color w:val="231F20"/>
                        <w:sz w:val="16"/>
                      </w:rPr>
                      <w:t>“Buffer Power” Is Determined by the Amount and</w:t>
                    </w:r>
                  </w:p>
                </w:txbxContent>
              </v:textbox>
              <w10:wrap type="none"/>
            </v:shape>
            <v:shape style="position:absolute;left:6299;top:6146;width:4341;height:260" type="#_x0000_t202" filled="false" stroked="false">
              <v:textbox inset="0,0,0,0">
                <w:txbxContent>
                  <w:p>
                    <w:pPr>
                      <w:spacing w:line="206" w:lineRule="exact" w:before="0"/>
                      <w:ind w:left="0" w:right="0" w:firstLine="0"/>
                      <w:jc w:val="left"/>
                      <w:rPr>
                        <w:sz w:val="18"/>
                      </w:rPr>
                    </w:pPr>
                    <w:r>
                      <w:rPr>
                        <w:color w:val="231F20"/>
                        <w:sz w:val="18"/>
                      </w:rPr>
                      <w:t>is then converted into dissolved CO</w:t>
                    </w:r>
                    <w:r>
                      <w:rPr>
                        <w:color w:val="231F20"/>
                        <w:sz w:val="18"/>
                        <w:vertAlign w:val="subscript"/>
                      </w:rPr>
                      <w:t>2</w:t>
                    </w:r>
                    <w:r>
                      <w:rPr>
                        <w:color w:val="231F20"/>
                        <w:sz w:val="18"/>
                        <w:vertAlign w:val="baseline"/>
                      </w:rPr>
                      <w:t>, decreasing the</w:t>
                    </w:r>
                  </w:p>
                </w:txbxContent>
              </v:textbox>
              <w10:wrap type="none"/>
            </v:shape>
            <v:shape style="position:absolute;left:6300;top:5912;width:4340;height:274" type="#_x0000_t202" filled="false" stroked="false">
              <v:textbox inset="0,0,0,0">
                <w:txbxContent>
                  <w:p>
                    <w:pPr>
                      <w:spacing w:line="153" w:lineRule="exact" w:before="10"/>
                      <w:ind w:left="0" w:right="0" w:firstLine="0"/>
                      <w:jc w:val="left"/>
                      <w:rPr>
                        <w:sz w:val="18"/>
                      </w:rPr>
                    </w:pPr>
                    <w:r>
                      <w:rPr>
                        <w:color w:val="231F20"/>
                        <w:sz w:val="18"/>
                      </w:rPr>
                      <w:t>tion. When acid is added, it is buffered by HCO </w:t>
                    </w:r>
                    <w:r>
                      <w:rPr>
                        <w:rFonts w:ascii="Consolas" w:hAnsi="Consolas"/>
                        <w:color w:val="231F20"/>
                        <w:position w:val="7"/>
                        <w:sz w:val="11"/>
                      </w:rPr>
                      <w:t>−</w:t>
                    </w:r>
                    <w:r>
                      <w:rPr>
                        <w:color w:val="231F20"/>
                        <w:sz w:val="18"/>
                      </w:rPr>
                      <w:t>, which</w:t>
                    </w:r>
                  </w:p>
                  <w:p>
                    <w:pPr>
                      <w:spacing w:line="69" w:lineRule="exact" w:before="0"/>
                      <w:ind w:left="0" w:right="628" w:firstLine="0"/>
                      <w:jc w:val="right"/>
                      <w:rPr>
                        <w:sz w:val="11"/>
                      </w:rPr>
                    </w:pPr>
                    <w:r>
                      <w:rPr>
                        <w:color w:val="231F20"/>
                        <w:w w:val="96"/>
                        <w:sz w:val="11"/>
                      </w:rPr>
                      <w:t>3</w:t>
                    </w:r>
                  </w:p>
                </w:txbxContent>
              </v:textbox>
              <w10:wrap type="none"/>
            </v:shape>
            <v:shape style="position:absolute;left:6300;top:5706;width:4340;height:260" type="#_x0000_t202" filled="false" stroked="false">
              <v:textbox inset="0,0,0,0">
                <w:txbxContent>
                  <w:p>
                    <w:pPr>
                      <w:spacing w:line="206" w:lineRule="exact" w:before="0"/>
                      <w:ind w:left="0" w:right="0" w:firstLine="0"/>
                      <w:jc w:val="left"/>
                      <w:rPr>
                        <w:sz w:val="18"/>
                      </w:rPr>
                    </w:pPr>
                    <w:r>
                      <w:rPr>
                        <w:color w:val="231F20"/>
                        <w:w w:val="105"/>
                        <w:sz w:val="18"/>
                      </w:rPr>
                      <w:t>pH, as is evident from the Henderson-Hasselbalch equa-</w:t>
                    </w:r>
                  </w:p>
                </w:txbxContent>
              </v:textbox>
              <w10:wrap type="none"/>
            </v:shape>
            <v:shape style="position:absolute;left:9124;top:5580;width:74;height:156" type="#_x0000_t202" filled="false" stroked="false">
              <v:textbox inset="0,0,0,0">
                <w:txbxContent>
                  <w:p>
                    <w:pPr>
                      <w:spacing w:line="124" w:lineRule="exact" w:before="0"/>
                      <w:ind w:left="0" w:right="0" w:firstLine="0"/>
                      <w:jc w:val="left"/>
                      <w:rPr>
                        <w:sz w:val="11"/>
                      </w:rPr>
                    </w:pPr>
                    <w:r>
                      <w:rPr>
                        <w:color w:val="231F20"/>
                        <w:w w:val="96"/>
                        <w:sz w:val="11"/>
                      </w:rPr>
                      <w:t>2</w:t>
                    </w:r>
                  </w:p>
                </w:txbxContent>
              </v:textbox>
              <w10:wrap type="none"/>
            </v:shape>
            <v:shape style="position:absolute;left:8477;top:5580;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9567;top:5360;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6300;top:5472;width:4340;height:274" type="#_x0000_t202" filled="false" stroked="false">
              <v:textbox inset="0,0,0,0">
                <w:txbxContent>
                  <w:p>
                    <w:pPr>
                      <w:spacing w:before="10"/>
                      <w:ind w:left="0" w:right="0" w:firstLine="0"/>
                      <w:jc w:val="left"/>
                      <w:rPr>
                        <w:sz w:val="18"/>
                      </w:rPr>
                    </w:pPr>
                    <w:r>
                      <w:rPr>
                        <w:color w:val="231F20"/>
                        <w:w w:val="105"/>
                        <w:sz w:val="18"/>
                      </w:rPr>
                      <w:t>increase in the ratio of HCO </w:t>
                    </w:r>
                    <w:r>
                      <w:rPr>
                        <w:rFonts w:ascii="Consolas" w:hAnsi="Consolas"/>
                        <w:color w:val="231F20"/>
                        <w:w w:val="105"/>
                        <w:position w:val="7"/>
                        <w:sz w:val="11"/>
                      </w:rPr>
                      <w:t>− </w:t>
                    </w:r>
                    <w:r>
                      <w:rPr>
                        <w:color w:val="231F20"/>
                        <w:w w:val="105"/>
                        <w:sz w:val="18"/>
                      </w:rPr>
                      <w:t>to CO and increasing the</w:t>
                    </w:r>
                  </w:p>
                </w:txbxContent>
              </v:textbox>
              <w10:wrap type="none"/>
            </v:shape>
            <v:shape style="position:absolute;left:6300;top:5252;width:4340;height:274" type="#_x0000_t202" filled="false" stroked="false">
              <v:textbox inset="0,0,0,0">
                <w:txbxContent>
                  <w:p>
                    <w:pPr>
                      <w:spacing w:before="10"/>
                      <w:ind w:left="0" w:right="0" w:firstLine="0"/>
                      <w:jc w:val="left"/>
                      <w:rPr>
                        <w:sz w:val="18"/>
                      </w:rPr>
                    </w:pPr>
                    <w:r>
                      <w:rPr>
                        <w:color w:val="231F20"/>
                        <w:w w:val="105"/>
                        <w:sz w:val="18"/>
                      </w:rPr>
                      <w:t>the dissolved CO</w:t>
                    </w:r>
                    <w:r>
                      <w:rPr>
                        <w:color w:val="231F20"/>
                        <w:w w:val="105"/>
                        <w:sz w:val="18"/>
                        <w:vertAlign w:val="subscript"/>
                      </w:rPr>
                      <w:t>2</w:t>
                    </w:r>
                    <w:r>
                      <w:rPr>
                        <w:color w:val="231F20"/>
                        <w:w w:val="105"/>
                        <w:sz w:val="18"/>
                        <w:vertAlign w:val="baseline"/>
                      </w:rPr>
                      <w:t> is converted into HCO </w:t>
                    </w:r>
                    <w:r>
                      <w:rPr>
                        <w:rFonts w:ascii="Consolas" w:hAnsi="Consolas"/>
                        <w:color w:val="231F20"/>
                        <w:w w:val="105"/>
                        <w:position w:val="7"/>
                        <w:sz w:val="11"/>
                        <w:vertAlign w:val="baseline"/>
                      </w:rPr>
                      <w:t>−</w:t>
                    </w:r>
                    <w:r>
                      <w:rPr>
                        <w:color w:val="231F20"/>
                        <w:w w:val="105"/>
                        <w:sz w:val="18"/>
                        <w:vertAlign w:val="baseline"/>
                      </w:rPr>
                      <w:t>, causing an</w:t>
                    </w:r>
                  </w:p>
                </w:txbxContent>
              </v:textbox>
              <w10:wrap type="none"/>
            </v:shape>
            <v:shape style="position:absolute;left:6300;top:3946;width:4341;height:1360" type="#_x0000_t202" filled="false" stroked="false">
              <v:textbox inset="0,0,0,0">
                <w:txbxContent>
                  <w:p>
                    <w:pPr>
                      <w:spacing w:line="254" w:lineRule="auto" w:before="0"/>
                      <w:ind w:left="0" w:right="18" w:firstLine="0"/>
                      <w:jc w:val="both"/>
                      <w:rPr>
                        <w:sz w:val="18"/>
                      </w:rPr>
                    </w:pPr>
                    <w:r>
                      <w:rPr>
                        <w:color w:val="231F20"/>
                        <w:w w:val="105"/>
                        <w:sz w:val="18"/>
                      </w:rPr>
                      <w:t>altered.</w:t>
                    </w:r>
                    <w:r>
                      <w:rPr>
                        <w:color w:val="231F20"/>
                        <w:spacing w:val="-16"/>
                        <w:w w:val="105"/>
                        <w:sz w:val="18"/>
                      </w:rPr>
                      <w:t> </w:t>
                    </w:r>
                    <w:r>
                      <w:rPr>
                        <w:color w:val="231F20"/>
                        <w:w w:val="105"/>
                        <w:sz w:val="18"/>
                      </w:rPr>
                      <w:t>When</w:t>
                    </w:r>
                    <w:r>
                      <w:rPr>
                        <w:color w:val="231F20"/>
                        <w:spacing w:val="-15"/>
                        <w:w w:val="105"/>
                        <w:sz w:val="18"/>
                      </w:rPr>
                      <w:t> </w:t>
                    </w:r>
                    <w:r>
                      <w:rPr>
                        <w:color w:val="231F20"/>
                        <w:w w:val="105"/>
                        <w:sz w:val="18"/>
                      </w:rPr>
                      <w:t>the</w:t>
                    </w:r>
                    <w:r>
                      <w:rPr>
                        <w:color w:val="231F20"/>
                        <w:spacing w:val="-16"/>
                        <w:w w:val="105"/>
                        <w:sz w:val="18"/>
                      </w:rPr>
                      <w:t> </w:t>
                    </w:r>
                    <w:r>
                      <w:rPr>
                        <w:color w:val="231F20"/>
                        <w:w w:val="105"/>
                        <w:sz w:val="18"/>
                      </w:rPr>
                      <w:t>concentrations</w:t>
                    </w:r>
                    <w:r>
                      <w:rPr>
                        <w:color w:val="231F20"/>
                        <w:spacing w:val="-15"/>
                        <w:w w:val="105"/>
                        <w:sz w:val="18"/>
                      </w:rPr>
                      <w:t> </w:t>
                    </w:r>
                    <w:r>
                      <w:rPr>
                        <w:color w:val="231F20"/>
                        <w:w w:val="105"/>
                        <w:sz w:val="18"/>
                      </w:rPr>
                      <w:t>of</w:t>
                    </w:r>
                    <w:r>
                      <w:rPr>
                        <w:color w:val="231F20"/>
                        <w:spacing w:val="-16"/>
                        <w:w w:val="105"/>
                        <w:sz w:val="18"/>
                      </w:rPr>
                      <w:t> </w:t>
                    </w:r>
                    <w:r>
                      <w:rPr>
                        <w:color w:val="231F20"/>
                        <w:w w:val="105"/>
                        <w:sz w:val="18"/>
                      </w:rPr>
                      <w:t>these</w:t>
                    </w:r>
                    <w:r>
                      <w:rPr>
                        <w:color w:val="231F20"/>
                        <w:spacing w:val="-15"/>
                        <w:w w:val="105"/>
                        <w:sz w:val="18"/>
                      </w:rPr>
                      <w:t> </w:t>
                    </w:r>
                    <w:r>
                      <w:rPr>
                        <w:color w:val="231F20"/>
                        <w:w w:val="105"/>
                        <w:sz w:val="18"/>
                      </w:rPr>
                      <w:t>two</w:t>
                    </w:r>
                    <w:r>
                      <w:rPr>
                        <w:color w:val="231F20"/>
                        <w:spacing w:val="-16"/>
                        <w:w w:val="105"/>
                        <w:sz w:val="18"/>
                      </w:rPr>
                      <w:t> </w:t>
                    </w:r>
                    <w:r>
                      <w:rPr>
                        <w:color w:val="231F20"/>
                        <w:w w:val="105"/>
                        <w:sz w:val="18"/>
                      </w:rPr>
                      <w:t>components are equal, the right-hand portion of Equation 8 becomes the log of 1, which is equal to 0. Therefore, when the</w:t>
                    </w:r>
                    <w:r>
                      <w:rPr>
                        <w:color w:val="231F20"/>
                        <w:spacing w:val="-27"/>
                        <w:w w:val="105"/>
                        <w:sz w:val="18"/>
                      </w:rPr>
                      <w:t> </w:t>
                    </w:r>
                    <w:r>
                      <w:rPr>
                        <w:color w:val="231F20"/>
                        <w:w w:val="105"/>
                        <w:sz w:val="18"/>
                      </w:rPr>
                      <w:t>two components of the buffer system are equal, the pH of the solution is the same as the pK (6.1) of the bicarbonate buffer system. When base is added to the system, part</w:t>
                    </w:r>
                    <w:r>
                      <w:rPr>
                        <w:color w:val="231F20"/>
                        <w:spacing w:val="37"/>
                        <w:w w:val="105"/>
                        <w:sz w:val="18"/>
                      </w:rPr>
                      <w:t> </w:t>
                    </w:r>
                    <w:r>
                      <w:rPr>
                        <w:color w:val="231F20"/>
                        <w:w w:val="105"/>
                        <w:sz w:val="18"/>
                      </w:rPr>
                      <w:t>of</w:t>
                    </w:r>
                  </w:p>
                </w:txbxContent>
              </v:textbox>
              <w10:wrap type="none"/>
            </v:shape>
            <v:shape style="position:absolute;left:8782;top:3820;width:74;height:156" type="#_x0000_t202" filled="false" stroked="false">
              <v:textbox inset="0,0,0,0">
                <w:txbxContent>
                  <w:p>
                    <w:pPr>
                      <w:spacing w:line="124" w:lineRule="exact" w:before="0"/>
                      <w:ind w:left="0" w:right="0" w:firstLine="0"/>
                      <w:jc w:val="left"/>
                      <w:rPr>
                        <w:sz w:val="11"/>
                      </w:rPr>
                    </w:pPr>
                    <w:r>
                      <w:rPr>
                        <w:color w:val="231F20"/>
                        <w:w w:val="96"/>
                        <w:sz w:val="11"/>
                      </w:rPr>
                      <w:t>2</w:t>
                    </w:r>
                  </w:p>
                </w:txbxContent>
              </v:textbox>
              <w10:wrap type="none"/>
            </v:shape>
            <v:shape style="position:absolute;left:8113;top:3820;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6300;top:3712;width:4341;height:274" type="#_x0000_t202" filled="false" stroked="false">
              <v:textbox inset="0,0,0,0">
                <w:txbxContent>
                  <w:p>
                    <w:pPr>
                      <w:spacing w:before="10"/>
                      <w:ind w:left="0" w:right="0" w:firstLine="0"/>
                      <w:jc w:val="left"/>
                      <w:rPr>
                        <w:sz w:val="18"/>
                      </w:rPr>
                    </w:pPr>
                    <w:r>
                      <w:rPr>
                        <w:color w:val="231F20"/>
                        <w:sz w:val="18"/>
                      </w:rPr>
                      <w:t>when the ratio of HCO </w:t>
                    </w:r>
                    <w:r>
                      <w:rPr>
                        <w:rFonts w:ascii="Consolas" w:hAnsi="Consolas"/>
                        <w:color w:val="231F20"/>
                        <w:position w:val="7"/>
                        <w:sz w:val="11"/>
                      </w:rPr>
                      <w:t>− </w:t>
                    </w:r>
                    <w:r>
                      <w:rPr>
                        <w:color w:val="231F20"/>
                        <w:sz w:val="18"/>
                      </w:rPr>
                      <w:t>to CO in extracellular fluid is</w:t>
                    </w:r>
                  </w:p>
                </w:txbxContent>
              </v:textbox>
              <w10:wrap type="none"/>
            </v:shape>
            <v:shape style="position:absolute;left:6299;top:2406;width:4341;height:1376" type="#_x0000_t202" filled="false" stroked="false">
              <v:textbox inset="0,0,0,0">
                <w:txbxContent>
                  <w:p>
                    <w:pPr>
                      <w:spacing w:line="244" w:lineRule="auto" w:before="0"/>
                      <w:ind w:left="0" w:right="18" w:firstLine="0"/>
                      <w:jc w:val="both"/>
                      <w:rPr>
                        <w:i/>
                        <w:sz w:val="18"/>
                      </w:rPr>
                    </w:pPr>
                    <w:r>
                      <w:rPr>
                        <w:color w:val="231F20"/>
                        <w:sz w:val="18"/>
                      </w:rPr>
                      <w:t>tion is called </w:t>
                    </w:r>
                    <w:r>
                      <w:rPr>
                        <w:i/>
                        <w:color w:val="231F20"/>
                        <w:sz w:val="18"/>
                      </w:rPr>
                      <w:t>metabolic alkalosis. </w:t>
                    </w:r>
                    <w:r>
                      <w:rPr>
                        <w:color w:val="231F20"/>
                        <w:sz w:val="18"/>
                      </w:rPr>
                      <w:t>Acidosis caused by an increase</w:t>
                    </w:r>
                    <w:r>
                      <w:rPr>
                        <w:color w:val="231F20"/>
                        <w:spacing w:val="-10"/>
                        <w:sz w:val="18"/>
                      </w:rPr>
                      <w:t> </w:t>
                    </w:r>
                    <w:r>
                      <w:rPr>
                        <w:color w:val="231F20"/>
                        <w:sz w:val="18"/>
                      </w:rPr>
                      <w:t>in</w:t>
                    </w:r>
                    <w:r>
                      <w:rPr>
                        <w:color w:val="231F20"/>
                        <w:spacing w:val="-10"/>
                        <w:sz w:val="18"/>
                      </w:rPr>
                      <w:t> </w:t>
                    </w:r>
                    <w:r>
                      <w:rPr>
                        <w:color w:val="231F20"/>
                        <w:sz w:val="18"/>
                      </w:rPr>
                      <w:t>P</w:t>
                    </w:r>
                    <w:r>
                      <w:rPr>
                        <w:color w:val="231F20"/>
                        <w:sz w:val="14"/>
                      </w:rPr>
                      <w:t>CO</w:t>
                    </w:r>
                    <w:r>
                      <w:rPr>
                        <w:color w:val="231F20"/>
                        <w:position w:val="-2"/>
                        <w:sz w:val="11"/>
                      </w:rPr>
                      <w:t>2</w:t>
                    </w:r>
                    <w:r>
                      <w:rPr>
                        <w:color w:val="231F20"/>
                        <w:spacing w:val="7"/>
                        <w:position w:val="-2"/>
                        <w:sz w:val="11"/>
                      </w:rPr>
                      <w:t> </w:t>
                    </w:r>
                    <w:r>
                      <w:rPr>
                        <w:color w:val="231F20"/>
                        <w:sz w:val="18"/>
                      </w:rPr>
                      <w:t>is</w:t>
                    </w:r>
                    <w:r>
                      <w:rPr>
                        <w:color w:val="231F20"/>
                        <w:spacing w:val="-10"/>
                        <w:sz w:val="18"/>
                      </w:rPr>
                      <w:t> </w:t>
                    </w:r>
                    <w:r>
                      <w:rPr>
                        <w:color w:val="231F20"/>
                        <w:sz w:val="18"/>
                      </w:rPr>
                      <w:t>called</w:t>
                    </w:r>
                    <w:r>
                      <w:rPr>
                        <w:color w:val="231F20"/>
                        <w:spacing w:val="-10"/>
                        <w:sz w:val="18"/>
                      </w:rPr>
                      <w:t> </w:t>
                    </w:r>
                    <w:r>
                      <w:rPr>
                        <w:i/>
                        <w:color w:val="231F20"/>
                        <w:sz w:val="18"/>
                      </w:rPr>
                      <w:t>respiratory</w:t>
                    </w:r>
                    <w:r>
                      <w:rPr>
                        <w:i/>
                        <w:color w:val="231F20"/>
                        <w:spacing w:val="-10"/>
                        <w:sz w:val="18"/>
                      </w:rPr>
                      <w:t> </w:t>
                    </w:r>
                    <w:r>
                      <w:rPr>
                        <w:i/>
                        <w:color w:val="231F20"/>
                        <w:sz w:val="18"/>
                      </w:rPr>
                      <w:t>acidosis,</w:t>
                    </w:r>
                    <w:r>
                      <w:rPr>
                        <w:i/>
                        <w:color w:val="231F20"/>
                        <w:spacing w:val="-10"/>
                        <w:sz w:val="18"/>
                      </w:rPr>
                      <w:t> </w:t>
                    </w:r>
                    <w:r>
                      <w:rPr>
                        <w:color w:val="231F20"/>
                        <w:sz w:val="18"/>
                      </w:rPr>
                      <w:t>whereas</w:t>
                    </w:r>
                    <w:r>
                      <w:rPr>
                        <w:color w:val="231F20"/>
                        <w:spacing w:val="-10"/>
                        <w:sz w:val="18"/>
                      </w:rPr>
                      <w:t> </w:t>
                    </w:r>
                    <w:r>
                      <w:rPr>
                        <w:color w:val="231F20"/>
                        <w:sz w:val="18"/>
                      </w:rPr>
                      <w:t>alka- losis caused by a decrease in P</w:t>
                    </w:r>
                    <w:r>
                      <w:rPr>
                        <w:color w:val="231F20"/>
                        <w:sz w:val="14"/>
                      </w:rPr>
                      <w:t>CO</w:t>
                    </w:r>
                    <w:r>
                      <w:rPr>
                        <w:color w:val="231F20"/>
                        <w:position w:val="-2"/>
                        <w:sz w:val="11"/>
                      </w:rPr>
                      <w:t>2 </w:t>
                    </w:r>
                    <w:r>
                      <w:rPr>
                        <w:color w:val="231F20"/>
                        <w:sz w:val="18"/>
                      </w:rPr>
                      <w:t>is termed </w:t>
                    </w:r>
                    <w:r>
                      <w:rPr>
                        <w:i/>
                        <w:color w:val="231F20"/>
                        <w:sz w:val="18"/>
                      </w:rPr>
                      <w:t>respiratory </w:t>
                    </w:r>
                    <w:r>
                      <w:rPr>
                        <w:i/>
                        <w:color w:val="231F20"/>
                        <w:sz w:val="18"/>
                      </w:rPr>
                      <w:t>alkalosis.</w:t>
                    </w:r>
                  </w:p>
                  <w:p>
                    <w:pPr>
                      <w:spacing w:line="254" w:lineRule="auto" w:before="5"/>
                      <w:ind w:left="0" w:right="18" w:firstLine="239"/>
                      <w:jc w:val="both"/>
                      <w:rPr>
                        <w:sz w:val="18"/>
                      </w:rPr>
                    </w:pPr>
                    <w:r>
                      <w:rPr>
                        <w:rFonts w:ascii="Trebuchet MS"/>
                        <w:b/>
                        <w:color w:val="231F20"/>
                        <w:sz w:val="16"/>
                      </w:rPr>
                      <w:t>Bicarbonate Buffer System Titration Curve. </w:t>
                    </w:r>
                    <w:hyperlink w:history="true" w:anchor="_bookmark102">
                      <w:r>
                        <w:rPr>
                          <w:b/>
                          <w:color w:val="0080AC"/>
                          <w:sz w:val="18"/>
                        </w:rPr>
                        <w:t>Figure</w:t>
                      </w:r>
                    </w:hyperlink>
                    <w:r>
                      <w:rPr>
                        <w:b/>
                        <w:color w:val="0080AC"/>
                        <w:sz w:val="18"/>
                      </w:rPr>
                      <w:t> </w:t>
                    </w:r>
                    <w:hyperlink w:history="true" w:anchor="_bookmark102">
                      <w:r>
                        <w:rPr>
                          <w:b/>
                          <w:color w:val="0080AC"/>
                          <w:sz w:val="18"/>
                        </w:rPr>
                        <w:t>31-1</w:t>
                      </w:r>
                    </w:hyperlink>
                    <w:r>
                      <w:rPr>
                        <w:b/>
                        <w:color w:val="0080AC"/>
                        <w:sz w:val="18"/>
                      </w:rPr>
                      <w:t> </w:t>
                    </w:r>
                    <w:r>
                      <w:rPr>
                        <w:color w:val="231F20"/>
                        <w:sz w:val="18"/>
                      </w:rPr>
                      <w:t>shows the changes in pH of the extracellular fluid</w:t>
                    </w:r>
                  </w:p>
                </w:txbxContent>
              </v:textbox>
              <w10:wrap type="none"/>
            </v:shape>
            <v:shape style="position:absolute;left:6300;top:2172;width:4340;height:274" type="#_x0000_t202" filled="false" stroked="false">
              <v:textbox inset="0,0,0,0">
                <w:txbxContent>
                  <w:p>
                    <w:pPr>
                      <w:spacing w:line="153" w:lineRule="exact" w:before="10"/>
                      <w:ind w:left="0" w:right="0" w:firstLine="0"/>
                      <w:jc w:val="left"/>
                      <w:rPr>
                        <w:sz w:val="18"/>
                      </w:rPr>
                    </w:pPr>
                    <w:r>
                      <w:rPr>
                        <w:color w:val="231F20"/>
                        <w:w w:val="105"/>
                        <w:sz w:val="18"/>
                      </w:rPr>
                      <w:t>alkalosis</w:t>
                    </w:r>
                    <w:r>
                      <w:rPr>
                        <w:color w:val="231F20"/>
                        <w:spacing w:val="-23"/>
                        <w:w w:val="105"/>
                        <w:sz w:val="18"/>
                      </w:rPr>
                      <w:t> </w:t>
                    </w:r>
                    <w:r>
                      <w:rPr>
                        <w:color w:val="231F20"/>
                        <w:w w:val="105"/>
                        <w:sz w:val="18"/>
                      </w:rPr>
                      <w:t>caused</w:t>
                    </w:r>
                    <w:r>
                      <w:rPr>
                        <w:color w:val="231F20"/>
                        <w:spacing w:val="-22"/>
                        <w:w w:val="105"/>
                        <w:sz w:val="18"/>
                      </w:rPr>
                      <w:t> </w:t>
                    </w:r>
                    <w:r>
                      <w:rPr>
                        <w:color w:val="231F20"/>
                        <w:w w:val="105"/>
                        <w:sz w:val="18"/>
                      </w:rPr>
                      <w:t>by</w:t>
                    </w:r>
                    <w:r>
                      <w:rPr>
                        <w:color w:val="231F20"/>
                        <w:spacing w:val="-22"/>
                        <w:w w:val="105"/>
                        <w:sz w:val="18"/>
                      </w:rPr>
                      <w:t> </w:t>
                    </w:r>
                    <w:r>
                      <w:rPr>
                        <w:color w:val="231F20"/>
                        <w:w w:val="105"/>
                        <w:sz w:val="18"/>
                      </w:rPr>
                      <w:t>a</w:t>
                    </w:r>
                    <w:r>
                      <w:rPr>
                        <w:color w:val="231F20"/>
                        <w:spacing w:val="-22"/>
                        <w:w w:val="105"/>
                        <w:sz w:val="18"/>
                      </w:rPr>
                      <w:t> </w:t>
                    </w:r>
                    <w:r>
                      <w:rPr>
                        <w:color w:val="231F20"/>
                        <w:w w:val="105"/>
                        <w:sz w:val="18"/>
                      </w:rPr>
                      <w:t>primary</w:t>
                    </w:r>
                    <w:r>
                      <w:rPr>
                        <w:color w:val="231F20"/>
                        <w:spacing w:val="-22"/>
                        <w:w w:val="105"/>
                        <w:sz w:val="18"/>
                      </w:rPr>
                      <w:t> </w:t>
                    </w:r>
                    <w:r>
                      <w:rPr>
                        <w:color w:val="231F20"/>
                        <w:w w:val="105"/>
                        <w:sz w:val="18"/>
                      </w:rPr>
                      <w:t>increase</w:t>
                    </w:r>
                    <w:r>
                      <w:rPr>
                        <w:color w:val="231F20"/>
                        <w:spacing w:val="-23"/>
                        <w:w w:val="105"/>
                        <w:sz w:val="18"/>
                      </w:rPr>
                      <w:t> </w:t>
                    </w:r>
                    <w:r>
                      <w:rPr>
                        <w:color w:val="231F20"/>
                        <w:w w:val="105"/>
                        <w:sz w:val="18"/>
                      </w:rPr>
                      <w:t>in</w:t>
                    </w:r>
                    <w:r>
                      <w:rPr>
                        <w:color w:val="231F20"/>
                        <w:spacing w:val="-22"/>
                        <w:w w:val="105"/>
                        <w:sz w:val="18"/>
                      </w:rPr>
                      <w:t> </w:t>
                    </w:r>
                    <w:r>
                      <w:rPr>
                        <w:color w:val="231F20"/>
                        <w:w w:val="105"/>
                        <w:sz w:val="18"/>
                      </w:rPr>
                      <w:t>HCO</w:t>
                    </w:r>
                    <w:r>
                      <w:rPr>
                        <w:color w:val="231F20"/>
                        <w:spacing w:val="-8"/>
                        <w:w w:val="105"/>
                        <w:sz w:val="18"/>
                      </w:rPr>
                      <w:t> </w:t>
                    </w:r>
                    <w:r>
                      <w:rPr>
                        <w:rFonts w:ascii="Consolas" w:hAnsi="Consolas"/>
                        <w:color w:val="231F20"/>
                        <w:w w:val="105"/>
                        <w:position w:val="7"/>
                        <w:sz w:val="11"/>
                      </w:rPr>
                      <w:t>−</w:t>
                    </w:r>
                    <w:r>
                      <w:rPr>
                        <w:rFonts w:ascii="Consolas" w:hAnsi="Consolas"/>
                        <w:color w:val="231F20"/>
                        <w:spacing w:val="-38"/>
                        <w:w w:val="105"/>
                        <w:position w:val="7"/>
                        <w:sz w:val="11"/>
                      </w:rPr>
                      <w:t> </w:t>
                    </w:r>
                    <w:r>
                      <w:rPr>
                        <w:color w:val="231F20"/>
                        <w:w w:val="105"/>
                        <w:sz w:val="18"/>
                      </w:rPr>
                      <w:t>concentra-</w:t>
                    </w:r>
                  </w:p>
                  <w:p>
                    <w:pPr>
                      <w:spacing w:line="69" w:lineRule="exact" w:before="0"/>
                      <w:ind w:left="0" w:right="910" w:firstLine="0"/>
                      <w:jc w:val="right"/>
                      <w:rPr>
                        <w:sz w:val="11"/>
                      </w:rPr>
                    </w:pPr>
                    <w:r>
                      <w:rPr>
                        <w:color w:val="231F20"/>
                        <w:w w:val="96"/>
                        <w:sz w:val="11"/>
                      </w:rPr>
                      <w:t>3</w:t>
                    </w:r>
                  </w:p>
                </w:txbxContent>
              </v:textbox>
              <w10:wrap type="none"/>
            </v:shape>
            <v:shape style="position:absolute;left:6300;top:1966;width:4340;height:260" type="#_x0000_t202" filled="false" stroked="false">
              <v:textbox inset="0,0,0,0">
                <w:txbxContent>
                  <w:p>
                    <w:pPr>
                      <w:spacing w:line="206" w:lineRule="exact" w:before="0"/>
                      <w:ind w:left="0" w:right="0" w:firstLine="0"/>
                      <w:jc w:val="left"/>
                      <w:rPr>
                        <w:sz w:val="18"/>
                      </w:rPr>
                    </w:pPr>
                    <w:r>
                      <w:rPr>
                        <w:color w:val="231F20"/>
                        <w:sz w:val="18"/>
                      </w:rPr>
                      <w:t>concentration is termed </w:t>
                    </w:r>
                    <w:r>
                      <w:rPr>
                        <w:i/>
                        <w:color w:val="231F20"/>
                        <w:sz w:val="18"/>
                      </w:rPr>
                      <w:t>metabolic acidosis, </w:t>
                    </w:r>
                    <w:r>
                      <w:rPr>
                        <w:color w:val="231F20"/>
                        <w:sz w:val="18"/>
                      </w:rPr>
                      <w:t>whereas</w:t>
                    </w:r>
                  </w:p>
                </w:txbxContent>
              </v:textbox>
              <w10:wrap type="none"/>
            </v:shape>
            <v:shape style="position:absolute;left:6299;top:1732;width:4341;height:274" type="#_x0000_t202" filled="false" stroked="false">
              <v:textbox inset="0,0,0,0">
                <w:txbxContent>
                  <w:p>
                    <w:pPr>
                      <w:spacing w:line="153" w:lineRule="exact" w:before="10"/>
                      <w:ind w:left="0" w:right="0" w:firstLine="0"/>
                      <w:jc w:val="left"/>
                      <w:rPr>
                        <w:rFonts w:ascii="Consolas" w:hAnsi="Consolas"/>
                        <w:sz w:val="11"/>
                      </w:rPr>
                    </w:pPr>
                    <w:r>
                      <w:rPr>
                        <w:color w:val="231F20"/>
                        <w:sz w:val="18"/>
                      </w:rPr>
                      <w:t>Therefore, acidosis caused by a primary decrease in HCO </w:t>
                    </w:r>
                    <w:r>
                      <w:rPr>
                        <w:rFonts w:ascii="Consolas" w:hAnsi="Consolas"/>
                        <w:color w:val="231F20"/>
                        <w:position w:val="7"/>
                        <w:sz w:val="11"/>
                      </w:rPr>
                      <w:t>−</w:t>
                    </w:r>
                  </w:p>
                  <w:p>
                    <w:pPr>
                      <w:spacing w:line="69" w:lineRule="exact" w:before="0"/>
                      <w:ind w:left="0" w:right="77" w:firstLine="0"/>
                      <w:jc w:val="right"/>
                      <w:rPr>
                        <w:sz w:val="11"/>
                      </w:rPr>
                    </w:pPr>
                    <w:r>
                      <w:rPr>
                        <w:color w:val="231F20"/>
                        <w:w w:val="96"/>
                        <w:sz w:val="11"/>
                      </w:rPr>
                      <w:t>3</w:t>
                    </w:r>
                  </w:p>
                </w:txbxContent>
              </v:textbox>
              <w10:wrap type="none"/>
            </v:shape>
            <v:shape style="position:absolute;left:6299;top:1526;width:4340;height:260" type="#_x0000_t202" filled="false" stroked="false">
              <v:textbox inset="0,0,0,0">
                <w:txbxContent>
                  <w:p>
                    <w:pPr>
                      <w:spacing w:line="206" w:lineRule="exact" w:before="0"/>
                      <w:ind w:left="0" w:right="0" w:firstLine="0"/>
                      <w:jc w:val="left"/>
                      <w:rPr>
                        <w:sz w:val="18"/>
                      </w:rPr>
                    </w:pPr>
                    <w:r>
                      <w:rPr>
                        <w:color w:val="231F20"/>
                        <w:sz w:val="18"/>
                      </w:rPr>
                      <w:t>they are referred to as </w:t>
                    </w:r>
                    <w:r>
                      <w:rPr>
                        <w:i/>
                        <w:color w:val="231F20"/>
                        <w:sz w:val="18"/>
                      </w:rPr>
                      <w:t>metabolic </w:t>
                    </w:r>
                    <w:r>
                      <w:rPr>
                        <w:color w:val="231F20"/>
                        <w:sz w:val="18"/>
                      </w:rPr>
                      <w:t>acid-base disorders.</w:t>
                    </w:r>
                  </w:p>
                </w:txbxContent>
              </v:textbox>
              <w10:wrap type="none"/>
            </v:shape>
            <v:shape style="position:absolute;left:9401;top:1400;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6540;top:1086;width:4101;height:260" type="#_x0000_t202" filled="false" stroked="false">
              <v:textbox inset="0,0,0,0">
                <w:txbxContent>
                  <w:p>
                    <w:pPr>
                      <w:spacing w:line="206" w:lineRule="exact" w:before="0"/>
                      <w:ind w:left="0" w:right="0" w:firstLine="0"/>
                      <w:jc w:val="left"/>
                      <w:rPr>
                        <w:sz w:val="18"/>
                      </w:rPr>
                    </w:pPr>
                    <w:r>
                      <w:rPr>
                        <w:color w:val="231F20"/>
                        <w:w w:val="105"/>
                        <w:sz w:val="18"/>
                      </w:rPr>
                      <w:t>When disturbances of acid-base balance result from a</w:t>
                    </w:r>
                  </w:p>
                </w:txbxContent>
              </v:textbox>
              <w10:wrap type="none"/>
            </v:shape>
            <v:shape style="position:absolute;left:6300;top:1292;width:4340;height:274" type="#_x0000_t202" filled="false" stroked="false">
              <v:textbox inset="0,0,0,0">
                <w:txbxContent>
                  <w:p>
                    <w:pPr>
                      <w:spacing w:before="10"/>
                      <w:ind w:left="0" w:right="0" w:firstLine="0"/>
                      <w:jc w:val="left"/>
                      <w:rPr>
                        <w:sz w:val="18"/>
                      </w:rPr>
                    </w:pPr>
                    <w:r>
                      <w:rPr>
                        <w:color w:val="231F20"/>
                        <w:sz w:val="18"/>
                      </w:rPr>
                      <w:t>primary change in extracellular fluid HCO </w:t>
                    </w:r>
                    <w:r>
                      <w:rPr>
                        <w:rFonts w:ascii="Consolas" w:hAnsi="Consolas"/>
                        <w:color w:val="231F20"/>
                        <w:position w:val="7"/>
                        <w:sz w:val="11"/>
                      </w:rPr>
                      <w:t>− </w:t>
                    </w:r>
                    <w:r>
                      <w:rPr>
                        <w:color w:val="231F20"/>
                        <w:sz w:val="18"/>
                      </w:rPr>
                      <w:t>concentration,</w:t>
                    </w:r>
                  </w:p>
                </w:txbxContent>
              </v:textbox>
              <w10:wrap type="none"/>
            </v:shape>
            <v:shape style="position:absolute;left:6300;top:632;width:4341;height:494" type="#_x0000_t202" filled="false" stroked="false">
              <v:textbox inset="0,0,0,0">
                <w:txbxContent>
                  <w:p>
                    <w:pPr>
                      <w:spacing w:line="153" w:lineRule="exact" w:before="10"/>
                      <w:ind w:left="0" w:right="0" w:firstLine="0"/>
                      <w:jc w:val="left"/>
                      <w:rPr>
                        <w:sz w:val="18"/>
                      </w:rPr>
                    </w:pPr>
                    <w:r>
                      <w:rPr>
                        <w:color w:val="231F20"/>
                        <w:w w:val="105"/>
                        <w:sz w:val="18"/>
                      </w:rPr>
                      <w:t>either the HCO </w:t>
                    </w:r>
                    <w:r>
                      <w:rPr>
                        <w:rFonts w:ascii="Consolas" w:hAnsi="Consolas"/>
                        <w:color w:val="231F20"/>
                        <w:w w:val="105"/>
                        <w:position w:val="7"/>
                        <w:sz w:val="11"/>
                      </w:rPr>
                      <w:t>− </w:t>
                    </w:r>
                    <w:r>
                      <w:rPr>
                        <w:color w:val="231F20"/>
                        <w:w w:val="105"/>
                        <w:sz w:val="18"/>
                      </w:rPr>
                      <w:t>concentration or the P</w:t>
                    </w:r>
                    <w:r>
                      <w:rPr>
                        <w:color w:val="231F20"/>
                        <w:w w:val="105"/>
                        <w:sz w:val="14"/>
                      </w:rPr>
                      <w:t>CO </w:t>
                    </w:r>
                    <w:r>
                      <w:rPr>
                        <w:color w:val="231F20"/>
                        <w:w w:val="105"/>
                        <w:sz w:val="18"/>
                      </w:rPr>
                      <w:t>of extracel-</w:t>
                    </w:r>
                  </w:p>
                  <w:p>
                    <w:pPr>
                      <w:tabs>
                        <w:tab w:pos="3341" w:val="left" w:leader="none"/>
                      </w:tabs>
                      <w:spacing w:line="69" w:lineRule="exact" w:before="0"/>
                      <w:ind w:left="1209" w:right="0" w:firstLine="0"/>
                      <w:jc w:val="left"/>
                      <w:rPr>
                        <w:sz w:val="11"/>
                      </w:rPr>
                    </w:pPr>
                    <w:r>
                      <w:rPr>
                        <w:color w:val="231F20"/>
                        <w:sz w:val="11"/>
                      </w:rPr>
                      <w:t>3</w:t>
                      <w:tab/>
                      <w:t>2</w:t>
                    </w:r>
                  </w:p>
                  <w:p>
                    <w:pPr>
                      <w:spacing w:before="1"/>
                      <w:ind w:left="0" w:right="0" w:firstLine="0"/>
                      <w:jc w:val="left"/>
                      <w:rPr>
                        <w:sz w:val="18"/>
                      </w:rPr>
                    </w:pPr>
                    <w:r>
                      <w:rPr>
                        <w:color w:val="231F20"/>
                        <w:sz w:val="18"/>
                      </w:rPr>
                      <w:t>lular fluid.</w:t>
                    </w:r>
                  </w:p>
                </w:txbxContent>
              </v:textbox>
              <w10:wrap type="none"/>
            </v:shape>
            <v:shape style="position:absolute;left:6300;top:426;width:4340;height:260" type="#_x0000_t202" filled="false" stroked="false">
              <v:textbox inset="0,0,0,0">
                <w:txbxContent>
                  <w:p>
                    <w:pPr>
                      <w:spacing w:line="206" w:lineRule="exact" w:before="0"/>
                      <w:ind w:left="0" w:right="0" w:firstLine="0"/>
                      <w:jc w:val="left"/>
                      <w:rPr>
                        <w:sz w:val="18"/>
                      </w:rPr>
                    </w:pPr>
                    <w:r>
                      <w:rPr>
                        <w:color w:val="231F20"/>
                        <w:w w:val="105"/>
                        <w:sz w:val="18"/>
                      </w:rPr>
                      <w:t>these control mechanisms are impaired, thus altering</w:t>
                    </w:r>
                  </w:p>
                </w:txbxContent>
              </v:textbox>
              <w10:wrap type="none"/>
            </v:shape>
            <w10:wrap type="none"/>
          </v:group>
        </w:pict>
      </w:r>
      <w:r>
        <w:rPr>
          <w:color w:val="231F20"/>
          <w:w w:val="105"/>
          <w:sz w:val="18"/>
        </w:rPr>
        <w:t>Therefore, we can express the H</w:t>
      </w:r>
      <w:r>
        <w:rPr>
          <w:rFonts w:ascii="Consolas"/>
          <w:color w:val="231F20"/>
          <w:w w:val="105"/>
          <w:position w:val="7"/>
          <w:sz w:val="11"/>
        </w:rPr>
        <w:t>+ </w:t>
      </w:r>
      <w:r>
        <w:rPr>
          <w:color w:val="231F20"/>
          <w:w w:val="105"/>
          <w:sz w:val="18"/>
        </w:rPr>
        <w:t>concentration in Equation</w:t>
      </w:r>
      <w:r>
        <w:rPr>
          <w:color w:val="231F20"/>
          <w:spacing w:val="-11"/>
          <w:w w:val="105"/>
          <w:sz w:val="18"/>
        </w:rPr>
        <w:t> </w:t>
      </w:r>
      <w:r>
        <w:rPr>
          <w:color w:val="231F20"/>
          <w:w w:val="105"/>
          <w:sz w:val="18"/>
        </w:rPr>
        <w:t>4</w:t>
      </w:r>
      <w:r>
        <w:rPr>
          <w:color w:val="231F20"/>
          <w:spacing w:val="-11"/>
          <w:w w:val="105"/>
          <w:sz w:val="18"/>
        </w:rPr>
        <w:t> </w:t>
      </w:r>
      <w:r>
        <w:rPr>
          <w:color w:val="231F20"/>
          <w:w w:val="105"/>
          <w:sz w:val="18"/>
        </w:rPr>
        <w:t>in</w:t>
      </w:r>
      <w:r>
        <w:rPr>
          <w:color w:val="231F20"/>
          <w:spacing w:val="-11"/>
          <w:w w:val="105"/>
          <w:sz w:val="18"/>
        </w:rPr>
        <w:t> </w:t>
      </w:r>
      <w:r>
        <w:rPr>
          <w:color w:val="231F20"/>
          <w:w w:val="105"/>
          <w:sz w:val="18"/>
        </w:rPr>
        <w:t>pH</w:t>
      </w:r>
      <w:r>
        <w:rPr>
          <w:color w:val="231F20"/>
          <w:spacing w:val="-11"/>
          <w:w w:val="105"/>
          <w:sz w:val="18"/>
        </w:rPr>
        <w:t> </w:t>
      </w:r>
      <w:r>
        <w:rPr>
          <w:color w:val="231F20"/>
          <w:w w:val="105"/>
          <w:sz w:val="18"/>
        </w:rPr>
        <w:t>units</w:t>
      </w:r>
      <w:r>
        <w:rPr>
          <w:color w:val="231F20"/>
          <w:spacing w:val="-11"/>
          <w:w w:val="105"/>
          <w:sz w:val="18"/>
        </w:rPr>
        <w:t> </w:t>
      </w:r>
      <w:r>
        <w:rPr>
          <w:color w:val="231F20"/>
          <w:w w:val="105"/>
          <w:sz w:val="18"/>
        </w:rPr>
        <w:t>by</w:t>
      </w:r>
      <w:r>
        <w:rPr>
          <w:color w:val="231F20"/>
          <w:spacing w:val="-10"/>
          <w:w w:val="105"/>
          <w:sz w:val="18"/>
        </w:rPr>
        <w:t> </w:t>
      </w:r>
      <w:r>
        <w:rPr>
          <w:color w:val="231F20"/>
          <w:w w:val="105"/>
          <w:sz w:val="18"/>
        </w:rPr>
        <w:t>taking</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negative</w:t>
      </w:r>
      <w:r>
        <w:rPr>
          <w:color w:val="231F20"/>
          <w:spacing w:val="-11"/>
          <w:w w:val="105"/>
          <w:sz w:val="18"/>
        </w:rPr>
        <w:t> </w:t>
      </w:r>
      <w:r>
        <w:rPr>
          <w:color w:val="231F20"/>
          <w:w w:val="105"/>
          <w:sz w:val="18"/>
        </w:rPr>
        <w:t>logarithm</w:t>
      </w:r>
      <w:r>
        <w:rPr>
          <w:color w:val="231F20"/>
          <w:spacing w:val="-11"/>
          <w:w w:val="105"/>
          <w:sz w:val="18"/>
        </w:rPr>
        <w:t> </w:t>
      </w:r>
      <w:r>
        <w:rPr>
          <w:color w:val="231F20"/>
          <w:w w:val="105"/>
          <w:sz w:val="18"/>
        </w:rPr>
        <w:t>of that equation, which</w:t>
      </w:r>
      <w:r>
        <w:rPr>
          <w:color w:val="231F20"/>
          <w:spacing w:val="7"/>
          <w:w w:val="105"/>
          <w:sz w:val="18"/>
        </w:rPr>
        <w:t> </w:t>
      </w:r>
      <w:r>
        <w:rPr>
          <w:color w:val="231F20"/>
          <w:w w:val="105"/>
          <w:sz w:val="18"/>
        </w:rPr>
        <w:t>yields</w:t>
      </w:r>
    </w:p>
    <w:p>
      <w:pPr>
        <w:spacing w:line="259" w:lineRule="auto" w:before="89"/>
        <w:ind w:left="499" w:right="1437" w:firstLine="0"/>
        <w:jc w:val="both"/>
        <w:rPr>
          <w:rFonts w:ascii="Arial" w:hAnsi="Arial"/>
          <w:sz w:val="16"/>
        </w:rPr>
      </w:pPr>
      <w:r>
        <w:rPr/>
        <w:br w:type="column"/>
      </w:r>
      <w:bookmarkStart w:name="_bookmark102" w:id="103"/>
      <w:bookmarkEnd w:id="103"/>
      <w:r>
        <w:rPr/>
      </w:r>
      <w:r>
        <w:rPr>
          <w:rFonts w:ascii="Trebuchet MS" w:hAnsi="Trebuchet MS"/>
          <w:b/>
          <w:color w:val="231F20"/>
          <w:sz w:val="16"/>
        </w:rPr>
        <w:t>Figure</w:t>
      </w:r>
      <w:r>
        <w:rPr>
          <w:rFonts w:ascii="Trebuchet MS" w:hAnsi="Trebuchet MS"/>
          <w:b/>
          <w:color w:val="231F20"/>
          <w:spacing w:val="-14"/>
          <w:sz w:val="16"/>
        </w:rPr>
        <w:t> </w:t>
      </w:r>
      <w:r>
        <w:rPr>
          <w:rFonts w:ascii="Trebuchet MS" w:hAnsi="Trebuchet MS"/>
          <w:b/>
          <w:color w:val="231F20"/>
          <w:sz w:val="16"/>
        </w:rPr>
        <w:t>31-1.</w:t>
      </w:r>
      <w:r>
        <w:rPr>
          <w:rFonts w:ascii="Trebuchet MS" w:hAnsi="Trebuchet MS"/>
          <w:b/>
          <w:color w:val="231F20"/>
          <w:spacing w:val="6"/>
          <w:sz w:val="16"/>
        </w:rPr>
        <w:t> </w:t>
      </w:r>
      <w:r>
        <w:rPr>
          <w:rFonts w:ascii="Arial" w:hAnsi="Arial"/>
          <w:color w:val="231F20"/>
          <w:sz w:val="16"/>
        </w:rPr>
        <w:t>Titration</w:t>
      </w:r>
      <w:r>
        <w:rPr>
          <w:rFonts w:ascii="Arial" w:hAnsi="Arial"/>
          <w:color w:val="231F20"/>
          <w:spacing w:val="-10"/>
          <w:sz w:val="16"/>
        </w:rPr>
        <w:t> </w:t>
      </w:r>
      <w:r>
        <w:rPr>
          <w:rFonts w:ascii="Arial" w:hAnsi="Arial"/>
          <w:color w:val="231F20"/>
          <w:sz w:val="16"/>
        </w:rPr>
        <w:t>curve</w:t>
      </w:r>
      <w:r>
        <w:rPr>
          <w:rFonts w:ascii="Arial" w:hAnsi="Arial"/>
          <w:color w:val="231F20"/>
          <w:spacing w:val="-9"/>
          <w:sz w:val="16"/>
        </w:rPr>
        <w:t> </w:t>
      </w:r>
      <w:r>
        <w:rPr>
          <w:rFonts w:ascii="Arial" w:hAnsi="Arial"/>
          <w:color w:val="231F20"/>
          <w:sz w:val="16"/>
        </w:rPr>
        <w:t>for</w:t>
      </w:r>
      <w:r>
        <w:rPr>
          <w:rFonts w:ascii="Arial" w:hAnsi="Arial"/>
          <w:color w:val="231F20"/>
          <w:spacing w:val="-9"/>
          <w:sz w:val="16"/>
        </w:rPr>
        <w:t> </w:t>
      </w:r>
      <w:r>
        <w:rPr>
          <w:rFonts w:ascii="Arial" w:hAnsi="Arial"/>
          <w:color w:val="231F20"/>
          <w:sz w:val="16"/>
        </w:rPr>
        <w:t>bicarbonate</w:t>
      </w:r>
      <w:r>
        <w:rPr>
          <w:rFonts w:ascii="Arial" w:hAnsi="Arial"/>
          <w:color w:val="231F20"/>
          <w:spacing w:val="-9"/>
          <w:sz w:val="16"/>
        </w:rPr>
        <w:t> </w:t>
      </w:r>
      <w:r>
        <w:rPr>
          <w:rFonts w:ascii="Arial" w:hAnsi="Arial"/>
          <w:color w:val="231F20"/>
          <w:sz w:val="16"/>
        </w:rPr>
        <w:t>buffer</w:t>
      </w:r>
      <w:r>
        <w:rPr>
          <w:rFonts w:ascii="Arial" w:hAnsi="Arial"/>
          <w:color w:val="231F20"/>
          <w:spacing w:val="-9"/>
          <w:sz w:val="16"/>
        </w:rPr>
        <w:t> </w:t>
      </w:r>
      <w:r>
        <w:rPr>
          <w:rFonts w:ascii="Arial" w:hAnsi="Arial"/>
          <w:color w:val="231F20"/>
          <w:sz w:val="16"/>
        </w:rPr>
        <w:t>system</w:t>
      </w:r>
      <w:r>
        <w:rPr>
          <w:rFonts w:ascii="Arial" w:hAnsi="Arial"/>
          <w:color w:val="231F20"/>
          <w:spacing w:val="-9"/>
          <w:sz w:val="16"/>
        </w:rPr>
        <w:t> </w:t>
      </w:r>
      <w:r>
        <w:rPr>
          <w:rFonts w:ascii="Arial" w:hAnsi="Arial"/>
          <w:color w:val="231F20"/>
          <w:sz w:val="16"/>
        </w:rPr>
        <w:t>showing the pH of extracellular fluid when the percentages of buffer in </w:t>
      </w:r>
      <w:r>
        <w:rPr>
          <w:rFonts w:ascii="Arial" w:hAnsi="Arial"/>
          <w:color w:val="231F20"/>
          <w:spacing w:val="-5"/>
          <w:sz w:val="16"/>
        </w:rPr>
        <w:t>the </w:t>
      </w:r>
      <w:r>
        <w:rPr>
          <w:rFonts w:ascii="Arial" w:hAnsi="Arial"/>
          <w:color w:val="231F20"/>
          <w:sz w:val="16"/>
        </w:rPr>
        <w:t>form of HCO </w:t>
      </w:r>
      <w:r>
        <w:rPr>
          <w:rFonts w:ascii="Consolas" w:hAnsi="Consolas"/>
          <w:color w:val="231F20"/>
          <w:position w:val="6"/>
          <w:sz w:val="9"/>
        </w:rPr>
        <w:t>− </w:t>
      </w:r>
      <w:r>
        <w:rPr>
          <w:rFonts w:ascii="Arial" w:hAnsi="Arial"/>
          <w:color w:val="231F20"/>
          <w:sz w:val="16"/>
        </w:rPr>
        <w:t>and CO</w:t>
      </w:r>
      <w:r>
        <w:rPr>
          <w:rFonts w:ascii="Arial" w:hAnsi="Arial"/>
          <w:color w:val="231F20"/>
          <w:spacing w:val="11"/>
          <w:sz w:val="16"/>
        </w:rPr>
        <w:t> </w:t>
      </w:r>
      <w:r>
        <w:rPr>
          <w:rFonts w:ascii="Arial" w:hAnsi="Arial"/>
          <w:color w:val="231F20"/>
          <w:sz w:val="16"/>
        </w:rPr>
        <w:t>(or H CO ) are altered.</w:t>
      </w:r>
    </w:p>
    <w:p>
      <w:pPr>
        <w:spacing w:after="0" w:line="259" w:lineRule="auto"/>
        <w:jc w:val="both"/>
        <w:rPr>
          <w:rFonts w:ascii="Arial" w:hAnsi="Arial"/>
          <w:sz w:val="16"/>
        </w:rPr>
        <w:sectPr>
          <w:type w:val="continuous"/>
          <w:pgSz w:w="12240" w:h="15660"/>
          <w:pgMar w:top="0" w:bottom="760" w:left="0" w:right="0"/>
          <w:cols w:num="2" w:equalWidth="0">
            <w:col w:w="5581" w:space="40"/>
            <w:col w:w="6619"/>
          </w:cols>
        </w:sectPr>
      </w:pPr>
    </w:p>
    <w:p>
      <w:pPr>
        <w:spacing w:line="306" w:lineRule="exact" w:before="81"/>
        <w:ind w:left="1967" w:right="0" w:firstLine="0"/>
        <w:jc w:val="left"/>
        <w:rPr>
          <w:rFonts w:ascii="Trebuchet MS" w:hAnsi="Trebuchet MS"/>
          <w:sz w:val="18"/>
        </w:rPr>
      </w:pPr>
      <w:r>
        <w:rPr>
          <w:rFonts w:ascii="Symbol" w:hAnsi="Symbol"/>
          <w:sz w:val="18"/>
        </w:rPr>
        <w:t></w:t>
      </w:r>
      <w:r>
        <w:rPr>
          <w:rFonts w:ascii="Trebuchet MS" w:hAnsi="Trebuchet MS"/>
          <w:sz w:val="18"/>
        </w:rPr>
        <w:t>logH</w:t>
      </w:r>
      <w:r>
        <w:rPr>
          <w:rFonts w:ascii="Symbol" w:hAnsi="Symbol"/>
          <w:position w:val="7"/>
          <w:sz w:val="10"/>
        </w:rPr>
        <w:t></w:t>
      </w:r>
      <w:r>
        <w:rPr>
          <w:position w:val="7"/>
          <w:sz w:val="10"/>
        </w:rPr>
        <w:t> </w:t>
      </w:r>
      <w:r>
        <w:rPr>
          <w:rFonts w:ascii="Symbol" w:hAnsi="Symbol"/>
          <w:sz w:val="18"/>
        </w:rPr>
        <w:t></w:t>
      </w:r>
      <w:r>
        <w:rPr>
          <w:sz w:val="18"/>
        </w:rPr>
        <w:t> </w:t>
      </w:r>
      <w:r>
        <w:rPr>
          <w:rFonts w:ascii="Symbol" w:hAnsi="Symbol"/>
          <w:sz w:val="18"/>
        </w:rPr>
        <w:t></w:t>
      </w:r>
      <w:r>
        <w:rPr>
          <w:rFonts w:ascii="Trebuchet MS" w:hAnsi="Trebuchet MS"/>
          <w:sz w:val="18"/>
        </w:rPr>
        <w:t>logpK </w:t>
      </w:r>
      <w:r>
        <w:rPr>
          <w:rFonts w:ascii="Symbol" w:hAnsi="Symbol"/>
          <w:sz w:val="18"/>
        </w:rPr>
        <w:t></w:t>
      </w:r>
      <w:r>
        <w:rPr>
          <w:sz w:val="18"/>
        </w:rPr>
        <w:t> </w:t>
      </w:r>
      <w:r>
        <w:rPr>
          <w:rFonts w:ascii="Trebuchet MS" w:hAnsi="Trebuchet MS"/>
          <w:sz w:val="18"/>
        </w:rPr>
        <w:t>log</w:t>
      </w:r>
      <w:r>
        <w:rPr>
          <w:rFonts w:ascii="Trebuchet MS" w:hAnsi="Trebuchet MS"/>
          <w:position w:val="12"/>
          <w:sz w:val="18"/>
          <w:u w:val="single"/>
        </w:rPr>
        <w:t>(0.03 </w:t>
      </w:r>
      <w:r>
        <w:rPr>
          <w:rFonts w:ascii="Symbol" w:hAnsi="Symbol"/>
          <w:position w:val="12"/>
          <w:sz w:val="18"/>
          <w:u w:val="single"/>
        </w:rPr>
        <w:t></w:t>
      </w:r>
      <w:r>
        <w:rPr>
          <w:position w:val="12"/>
          <w:sz w:val="18"/>
          <w:u w:val="single"/>
        </w:rPr>
        <w:t> </w:t>
      </w:r>
      <w:r>
        <w:rPr>
          <w:rFonts w:ascii="Trebuchet MS" w:hAnsi="Trebuchet MS"/>
          <w:position w:val="12"/>
          <w:sz w:val="18"/>
          <w:u w:val="single"/>
        </w:rPr>
        <w:t>Pco</w:t>
      </w:r>
      <w:r>
        <w:rPr>
          <w:rFonts w:ascii="Trebuchet MS" w:hAnsi="Trebuchet MS"/>
          <w:position w:val="9"/>
          <w:sz w:val="10"/>
          <w:u w:val="single"/>
        </w:rPr>
        <w:t>2 </w:t>
      </w:r>
      <w:r>
        <w:rPr>
          <w:rFonts w:ascii="Trebuchet MS" w:hAnsi="Trebuchet MS"/>
          <w:position w:val="12"/>
          <w:sz w:val="18"/>
          <w:u w:val="single"/>
        </w:rPr>
        <w:t>)</w:t>
      </w:r>
    </w:p>
    <w:p>
      <w:pPr>
        <w:spacing w:line="188" w:lineRule="exact" w:before="0"/>
        <w:ind w:left="0" w:right="261" w:firstLine="0"/>
        <w:jc w:val="right"/>
        <w:rPr>
          <w:rFonts w:ascii="Symbol" w:hAnsi="Symbol"/>
          <w:sz w:val="10"/>
        </w:rPr>
      </w:pP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p>
    <w:p>
      <w:pPr>
        <w:pStyle w:val="BodyText"/>
        <w:spacing w:before="8"/>
        <w:rPr>
          <w:rFonts w:ascii="Symbol" w:hAnsi="Symbol"/>
          <w:sz w:val="19"/>
        </w:rPr>
      </w:pPr>
      <w:r>
        <w:rPr/>
        <w:br w:type="column"/>
      </w:r>
      <w:r>
        <w:rPr>
          <w:rFonts w:ascii="Symbol" w:hAnsi="Symbol"/>
          <w:sz w:val="19"/>
        </w:rPr>
      </w:r>
    </w:p>
    <w:p>
      <w:pPr>
        <w:spacing w:before="0"/>
        <w:ind w:left="467" w:right="0" w:firstLine="0"/>
        <w:jc w:val="left"/>
        <w:rPr>
          <w:rFonts w:ascii="Trebuchet MS"/>
          <w:sz w:val="18"/>
        </w:rPr>
      </w:pPr>
      <w:r>
        <w:rPr>
          <w:rFonts w:ascii="Trebuchet MS"/>
          <w:color w:val="231F20"/>
          <w:sz w:val="18"/>
        </w:rPr>
        <w:t>(5)</w:t>
      </w:r>
    </w:p>
    <w:p>
      <w:pPr>
        <w:spacing w:after="0"/>
        <w:jc w:val="left"/>
        <w:rPr>
          <w:rFonts w:ascii="Trebuchet MS"/>
          <w:sz w:val="18"/>
        </w:rPr>
        <w:sectPr>
          <w:type w:val="continuous"/>
          <w:pgSz w:w="12240" w:h="15660"/>
          <w:pgMar w:top="0" w:bottom="760" w:left="0" w:right="0"/>
          <w:cols w:num="2" w:equalWidth="0">
            <w:col w:w="4853" w:space="40"/>
            <w:col w:w="7347"/>
          </w:cols>
        </w:sectPr>
      </w:pPr>
    </w:p>
    <w:p>
      <w:pPr>
        <w:spacing w:before="108"/>
        <w:ind w:left="1500" w:right="0" w:firstLine="0"/>
        <w:jc w:val="left"/>
        <w:rPr>
          <w:sz w:val="18"/>
        </w:rPr>
      </w:pPr>
      <w:r>
        <w:rPr>
          <w:color w:val="231F20"/>
          <w:sz w:val="18"/>
        </w:rPr>
        <w:t>Therefore,</w:t>
      </w:r>
    </w:p>
    <w:p>
      <w:pPr>
        <w:pStyle w:val="BodyText"/>
        <w:spacing w:before="9"/>
        <w:rPr>
          <w:sz w:val="36"/>
        </w:rPr>
      </w:pPr>
      <w:r>
        <w:rPr/>
        <w:br w:type="column"/>
      </w:r>
      <w:r>
        <w:rPr>
          <w:sz w:val="36"/>
        </w:rPr>
      </w:r>
    </w:p>
    <w:p>
      <w:pPr>
        <w:spacing w:line="184" w:lineRule="auto" w:before="0"/>
        <w:ind w:left="60" w:right="0" w:firstLine="0"/>
        <w:jc w:val="left"/>
        <w:rPr>
          <w:rFonts w:ascii="Trebuchet MS" w:hAnsi="Trebuchet MS"/>
          <w:sz w:val="18"/>
        </w:rPr>
      </w:pPr>
      <w:r>
        <w:rPr>
          <w:rFonts w:ascii="Trebuchet MS" w:hAnsi="Trebuchet MS"/>
          <w:w w:val="105"/>
          <w:position w:val="-11"/>
          <w:sz w:val="18"/>
        </w:rPr>
        <w:t>pH</w:t>
      </w:r>
      <w:r>
        <w:rPr>
          <w:rFonts w:ascii="Trebuchet MS" w:hAnsi="Trebuchet MS"/>
          <w:spacing w:val="-20"/>
          <w:w w:val="105"/>
          <w:position w:val="-11"/>
          <w:sz w:val="18"/>
        </w:rPr>
        <w:t> </w:t>
      </w:r>
      <w:r>
        <w:rPr>
          <w:rFonts w:ascii="Symbol" w:hAnsi="Symbol"/>
          <w:w w:val="105"/>
          <w:position w:val="-11"/>
          <w:sz w:val="18"/>
        </w:rPr>
        <w:t></w:t>
      </w:r>
      <w:r>
        <w:rPr>
          <w:spacing w:val="-6"/>
          <w:w w:val="105"/>
          <w:position w:val="-11"/>
          <w:sz w:val="18"/>
        </w:rPr>
        <w:t> </w:t>
      </w:r>
      <w:r>
        <w:rPr>
          <w:rFonts w:ascii="Trebuchet MS" w:hAnsi="Trebuchet MS"/>
          <w:w w:val="105"/>
          <w:position w:val="-11"/>
          <w:sz w:val="18"/>
        </w:rPr>
        <w:t>pK</w:t>
      </w:r>
      <w:r>
        <w:rPr>
          <w:rFonts w:ascii="Trebuchet MS" w:hAnsi="Trebuchet MS"/>
          <w:spacing w:val="-21"/>
          <w:w w:val="105"/>
          <w:position w:val="-11"/>
          <w:sz w:val="18"/>
        </w:rPr>
        <w:t> </w:t>
      </w:r>
      <w:r>
        <w:rPr>
          <w:rFonts w:ascii="Symbol" w:hAnsi="Symbol"/>
          <w:w w:val="105"/>
          <w:position w:val="-11"/>
          <w:sz w:val="18"/>
        </w:rPr>
        <w:t></w:t>
      </w:r>
      <w:r>
        <w:rPr>
          <w:spacing w:val="-25"/>
          <w:w w:val="105"/>
          <w:position w:val="-11"/>
          <w:sz w:val="18"/>
        </w:rPr>
        <w:t> </w:t>
      </w:r>
      <w:r>
        <w:rPr>
          <w:rFonts w:ascii="Trebuchet MS" w:hAnsi="Trebuchet MS"/>
          <w:w w:val="105"/>
          <w:position w:val="-11"/>
          <w:sz w:val="18"/>
        </w:rPr>
        <w:t>log</w:t>
      </w:r>
      <w:r>
        <w:rPr>
          <w:rFonts w:ascii="Trebuchet MS" w:hAnsi="Trebuchet MS"/>
          <w:spacing w:val="-32"/>
          <w:w w:val="105"/>
          <w:position w:val="-2"/>
          <w:sz w:val="18"/>
          <w:u w:val="single"/>
        </w:rPr>
        <w:t> </w:t>
      </w:r>
      <w:r>
        <w:rPr>
          <w:rFonts w:ascii="Trebuchet MS" w:hAnsi="Trebuchet MS"/>
          <w:w w:val="105"/>
          <w:sz w:val="18"/>
        </w:rPr>
        <w:t>(0.03</w:t>
      </w:r>
      <w:r>
        <w:rPr>
          <w:rFonts w:ascii="Trebuchet MS" w:hAnsi="Trebuchet MS"/>
          <w:spacing w:val="-29"/>
          <w:w w:val="105"/>
          <w:sz w:val="18"/>
        </w:rPr>
        <w:t> </w:t>
      </w:r>
      <w:r>
        <w:rPr>
          <w:rFonts w:ascii="Symbol" w:hAnsi="Symbol"/>
          <w:w w:val="105"/>
          <w:sz w:val="18"/>
        </w:rPr>
        <w:t></w:t>
      </w:r>
      <w:r>
        <w:rPr>
          <w:spacing w:val="-24"/>
          <w:w w:val="105"/>
          <w:sz w:val="18"/>
        </w:rPr>
        <w:t> </w:t>
      </w:r>
      <w:r>
        <w:rPr>
          <w:rFonts w:ascii="Trebuchet MS" w:hAnsi="Trebuchet MS"/>
          <w:w w:val="105"/>
          <w:sz w:val="18"/>
        </w:rPr>
        <w:t>Pco</w:t>
      </w:r>
      <w:r>
        <w:rPr>
          <w:rFonts w:ascii="Trebuchet MS" w:hAnsi="Trebuchet MS"/>
          <w:w w:val="105"/>
          <w:position w:val="-2"/>
          <w:sz w:val="10"/>
          <w:u w:val="single"/>
        </w:rPr>
        <w:t>2</w:t>
      </w:r>
      <w:r>
        <w:rPr>
          <w:rFonts w:ascii="Trebuchet MS" w:hAnsi="Trebuchet MS"/>
          <w:spacing w:val="-12"/>
          <w:w w:val="105"/>
          <w:position w:val="-2"/>
          <w:sz w:val="10"/>
          <w:u w:val="single"/>
        </w:rPr>
        <w:t> </w:t>
      </w:r>
      <w:r>
        <w:rPr>
          <w:rFonts w:ascii="Trebuchet MS" w:hAnsi="Trebuchet MS"/>
          <w:w w:val="105"/>
          <w:sz w:val="18"/>
        </w:rPr>
        <w:t>)</w:t>
      </w:r>
    </w:p>
    <w:p>
      <w:pPr>
        <w:spacing w:line="187" w:lineRule="exact" w:before="0"/>
        <w:ind w:left="1401" w:right="0" w:firstLine="0"/>
        <w:jc w:val="left"/>
        <w:rPr>
          <w:rFonts w:ascii="Symbol" w:hAnsi="Symbol"/>
          <w:sz w:val="10"/>
        </w:rPr>
      </w:pP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p>
    <w:p>
      <w:pPr>
        <w:pStyle w:val="BodyText"/>
        <w:rPr>
          <w:rFonts w:ascii="Symbol" w:hAnsi="Symbol"/>
        </w:rPr>
      </w:pPr>
      <w:r>
        <w:rPr/>
        <w:br w:type="column"/>
      </w:r>
      <w:r>
        <w:rPr>
          <w:rFonts w:ascii="Symbol" w:hAnsi="Symbol"/>
        </w:rPr>
      </w:r>
    </w:p>
    <w:p>
      <w:pPr>
        <w:pStyle w:val="BodyText"/>
        <w:spacing w:before="3"/>
        <w:rPr>
          <w:rFonts w:ascii="Symbol" w:hAnsi="Symbol"/>
          <w:sz w:val="26"/>
        </w:rPr>
      </w:pPr>
    </w:p>
    <w:p>
      <w:pPr>
        <w:spacing w:before="0"/>
        <w:ind w:left="853" w:right="0" w:firstLine="0"/>
        <w:jc w:val="left"/>
        <w:rPr>
          <w:rFonts w:ascii="Trebuchet MS"/>
          <w:sz w:val="18"/>
        </w:rPr>
      </w:pPr>
      <w:r>
        <w:rPr>
          <w:rFonts w:ascii="Trebuchet MS"/>
          <w:color w:val="231F20"/>
          <w:sz w:val="18"/>
        </w:rPr>
        <w:t>(6)</w:t>
      </w:r>
    </w:p>
    <w:p>
      <w:pPr>
        <w:spacing w:after="0"/>
        <w:jc w:val="left"/>
        <w:rPr>
          <w:rFonts w:ascii="Trebuchet MS"/>
          <w:sz w:val="18"/>
        </w:rPr>
        <w:sectPr>
          <w:type w:val="continuous"/>
          <w:pgSz w:w="12240" w:h="15660"/>
          <w:pgMar w:top="0" w:bottom="760" w:left="0" w:right="0"/>
          <w:cols w:num="3" w:equalWidth="0">
            <w:col w:w="2256" w:space="40"/>
            <w:col w:w="2171" w:space="39"/>
            <w:col w:w="7734"/>
          </w:cols>
        </w:sectPr>
      </w:pPr>
    </w:p>
    <w:p>
      <w:pPr>
        <w:spacing w:line="254" w:lineRule="auto" w:before="108"/>
        <w:ind w:left="1260" w:right="6657" w:firstLine="239"/>
        <w:jc w:val="both"/>
        <w:rPr>
          <w:sz w:val="18"/>
        </w:rPr>
      </w:pPr>
      <w:r>
        <w:rPr>
          <w:color w:val="231F20"/>
          <w:w w:val="105"/>
          <w:sz w:val="18"/>
        </w:rPr>
        <w:t>Rather than work with a negative logarithm, we can change</w:t>
      </w:r>
      <w:r>
        <w:rPr>
          <w:color w:val="231F20"/>
          <w:spacing w:val="-5"/>
          <w:w w:val="105"/>
          <w:sz w:val="18"/>
        </w:rPr>
        <w:t> </w:t>
      </w:r>
      <w:r>
        <w:rPr>
          <w:color w:val="231F20"/>
          <w:w w:val="105"/>
          <w:sz w:val="18"/>
        </w:rPr>
        <w:t>the</w:t>
      </w:r>
      <w:r>
        <w:rPr>
          <w:color w:val="231F20"/>
          <w:spacing w:val="-5"/>
          <w:w w:val="105"/>
          <w:sz w:val="18"/>
        </w:rPr>
        <w:t> </w:t>
      </w:r>
      <w:r>
        <w:rPr>
          <w:color w:val="231F20"/>
          <w:w w:val="105"/>
          <w:sz w:val="18"/>
        </w:rPr>
        <w:t>sign</w:t>
      </w:r>
      <w:r>
        <w:rPr>
          <w:color w:val="231F20"/>
          <w:spacing w:val="-5"/>
          <w:w w:val="105"/>
          <w:sz w:val="18"/>
        </w:rPr>
        <w:t> </w:t>
      </w:r>
      <w:r>
        <w:rPr>
          <w:color w:val="231F20"/>
          <w:w w:val="105"/>
          <w:sz w:val="18"/>
        </w:rPr>
        <w:t>of</w:t>
      </w:r>
      <w:r>
        <w:rPr>
          <w:color w:val="231F20"/>
          <w:spacing w:val="-4"/>
          <w:w w:val="105"/>
          <w:sz w:val="18"/>
        </w:rPr>
        <w:t> </w:t>
      </w:r>
      <w:r>
        <w:rPr>
          <w:color w:val="231F20"/>
          <w:w w:val="105"/>
          <w:sz w:val="18"/>
        </w:rPr>
        <w:t>the</w:t>
      </w:r>
      <w:r>
        <w:rPr>
          <w:color w:val="231F20"/>
          <w:spacing w:val="-5"/>
          <w:w w:val="105"/>
          <w:sz w:val="18"/>
        </w:rPr>
        <w:t> </w:t>
      </w:r>
      <w:r>
        <w:rPr>
          <w:color w:val="231F20"/>
          <w:w w:val="105"/>
          <w:sz w:val="18"/>
        </w:rPr>
        <w:t>logarithm</w:t>
      </w:r>
      <w:r>
        <w:rPr>
          <w:color w:val="231F20"/>
          <w:spacing w:val="-5"/>
          <w:w w:val="105"/>
          <w:sz w:val="18"/>
        </w:rPr>
        <w:t> </w:t>
      </w:r>
      <w:r>
        <w:rPr>
          <w:color w:val="231F20"/>
          <w:w w:val="105"/>
          <w:sz w:val="18"/>
        </w:rPr>
        <w:t>and</w:t>
      </w:r>
      <w:r>
        <w:rPr>
          <w:color w:val="231F20"/>
          <w:spacing w:val="-4"/>
          <w:w w:val="105"/>
          <w:sz w:val="18"/>
        </w:rPr>
        <w:t> </w:t>
      </w:r>
      <w:r>
        <w:rPr>
          <w:color w:val="231F20"/>
          <w:w w:val="105"/>
          <w:sz w:val="18"/>
        </w:rPr>
        <w:t>invert</w:t>
      </w:r>
      <w:r>
        <w:rPr>
          <w:color w:val="231F20"/>
          <w:spacing w:val="-5"/>
          <w:w w:val="105"/>
          <w:sz w:val="18"/>
        </w:rPr>
        <w:t> </w:t>
      </w:r>
      <w:r>
        <w:rPr>
          <w:color w:val="231F20"/>
          <w:w w:val="105"/>
          <w:sz w:val="18"/>
        </w:rPr>
        <w:t>the</w:t>
      </w:r>
      <w:r>
        <w:rPr>
          <w:color w:val="231F20"/>
          <w:spacing w:val="-5"/>
          <w:w w:val="105"/>
          <w:sz w:val="18"/>
        </w:rPr>
        <w:t> </w:t>
      </w:r>
      <w:r>
        <w:rPr>
          <w:color w:val="231F20"/>
          <w:w w:val="105"/>
          <w:sz w:val="18"/>
        </w:rPr>
        <w:t>numerator and denominator in the last term, using the law of loga- rithms to</w:t>
      </w:r>
      <w:r>
        <w:rPr>
          <w:color w:val="231F20"/>
          <w:spacing w:val="6"/>
          <w:w w:val="105"/>
          <w:sz w:val="18"/>
        </w:rPr>
        <w:t> </w:t>
      </w:r>
      <w:r>
        <w:rPr>
          <w:color w:val="231F20"/>
          <w:w w:val="105"/>
          <w:sz w:val="18"/>
        </w:rPr>
        <w:t>yield</w:t>
      </w:r>
    </w:p>
    <w:p>
      <w:pPr>
        <w:spacing w:after="0" w:line="254" w:lineRule="auto"/>
        <w:jc w:val="both"/>
        <w:rPr>
          <w:sz w:val="18"/>
        </w:rPr>
        <w:sectPr>
          <w:type w:val="continuous"/>
          <w:pgSz w:w="12240" w:h="15660"/>
          <w:pgMar w:top="0" w:bottom="760" w:left="0" w:right="0"/>
        </w:sectPr>
      </w:pPr>
    </w:p>
    <w:p>
      <w:pPr>
        <w:pStyle w:val="BodyText"/>
        <w:spacing w:before="4"/>
        <w:rPr>
          <w:sz w:val="18"/>
        </w:rPr>
      </w:pPr>
    </w:p>
    <w:p>
      <w:pPr>
        <w:spacing w:before="0"/>
        <w:ind w:left="0" w:right="0" w:firstLine="0"/>
        <w:jc w:val="right"/>
        <w:rPr>
          <w:rFonts w:ascii="Trebuchet MS" w:hAnsi="Trebuchet MS"/>
          <w:sz w:val="18"/>
        </w:rPr>
      </w:pPr>
      <w:r>
        <w:rPr>
          <w:rFonts w:ascii="Trebuchet MS" w:hAnsi="Trebuchet MS"/>
          <w:w w:val="110"/>
          <w:sz w:val="18"/>
        </w:rPr>
        <w:t>pH </w:t>
      </w:r>
      <w:r>
        <w:rPr>
          <w:rFonts w:ascii="Symbol" w:hAnsi="Symbol"/>
          <w:w w:val="110"/>
          <w:sz w:val="18"/>
        </w:rPr>
        <w:t></w:t>
      </w:r>
      <w:r>
        <w:rPr>
          <w:w w:val="110"/>
          <w:sz w:val="18"/>
        </w:rPr>
        <w:t> </w:t>
      </w:r>
      <w:r>
        <w:rPr>
          <w:rFonts w:ascii="Trebuchet MS" w:hAnsi="Trebuchet MS"/>
          <w:w w:val="110"/>
          <w:sz w:val="18"/>
        </w:rPr>
        <w:t>pK </w:t>
      </w:r>
      <w:r>
        <w:rPr>
          <w:rFonts w:ascii="Symbol" w:hAnsi="Symbol"/>
          <w:w w:val="110"/>
          <w:sz w:val="18"/>
        </w:rPr>
        <w:t></w:t>
      </w:r>
      <w:r>
        <w:rPr>
          <w:w w:val="110"/>
          <w:sz w:val="18"/>
        </w:rPr>
        <w:t> </w:t>
      </w:r>
      <w:r>
        <w:rPr>
          <w:rFonts w:ascii="Trebuchet MS" w:hAnsi="Trebuchet MS"/>
          <w:w w:val="110"/>
          <w:sz w:val="18"/>
        </w:rPr>
        <w:t>log</w:t>
      </w:r>
    </w:p>
    <w:p>
      <w:pPr>
        <w:spacing w:line="268" w:lineRule="auto" w:before="104"/>
        <w:ind w:left="-14" w:right="0" w:firstLine="232"/>
        <w:jc w:val="left"/>
        <w:rPr>
          <w:rFonts w:ascii="Trebuchet MS" w:hAnsi="Trebuchet MS"/>
          <w:sz w:val="18"/>
        </w:rPr>
      </w:pPr>
      <w:r>
        <w:rPr/>
        <w:br w:type="column"/>
      </w:r>
      <w:r>
        <w:rPr>
          <w:rFonts w:ascii="Trebuchet MS" w:hAnsi="Trebuchet MS"/>
          <w:sz w:val="18"/>
        </w:rPr>
        <w:t>HCO</w:t>
      </w:r>
      <w:r>
        <w:rPr>
          <w:rFonts w:ascii="Trebuchet MS" w:hAnsi="Trebuchet MS"/>
          <w:position w:val="-2"/>
          <w:sz w:val="10"/>
        </w:rPr>
        <w:t>3</w:t>
      </w:r>
      <w:r>
        <w:rPr>
          <w:rFonts w:ascii="Symbol" w:hAnsi="Symbol"/>
          <w:position w:val="7"/>
          <w:sz w:val="10"/>
        </w:rPr>
        <w:t></w:t>
      </w:r>
      <w:r>
        <w:rPr>
          <w:position w:val="7"/>
          <w:sz w:val="10"/>
        </w:rPr>
        <w:t> </w:t>
      </w:r>
      <w:r>
        <w:rPr>
          <w:rFonts w:ascii="Trebuchet MS" w:hAnsi="Trebuchet MS"/>
          <w:sz w:val="18"/>
        </w:rPr>
        <w:t>(0.03</w:t>
      </w:r>
      <w:r>
        <w:rPr>
          <w:rFonts w:ascii="Trebuchet MS" w:hAnsi="Trebuchet MS"/>
          <w:spacing w:val="-25"/>
          <w:sz w:val="18"/>
        </w:rPr>
        <w:t> </w:t>
      </w:r>
      <w:r>
        <w:rPr>
          <w:rFonts w:ascii="Symbol" w:hAnsi="Symbol"/>
          <w:sz w:val="18"/>
        </w:rPr>
        <w:t></w:t>
      </w:r>
      <w:r>
        <w:rPr>
          <w:spacing w:val="-19"/>
          <w:sz w:val="18"/>
        </w:rPr>
        <w:t> </w:t>
      </w:r>
      <w:r>
        <w:rPr>
          <w:rFonts w:ascii="Trebuchet MS" w:hAnsi="Trebuchet MS"/>
          <w:sz w:val="18"/>
        </w:rPr>
        <w:t>Pco</w:t>
      </w:r>
      <w:r>
        <w:rPr>
          <w:rFonts w:ascii="Trebuchet MS" w:hAnsi="Trebuchet MS"/>
          <w:position w:val="-2"/>
          <w:sz w:val="10"/>
        </w:rPr>
        <w:t>2</w:t>
      </w:r>
      <w:r>
        <w:rPr>
          <w:rFonts w:ascii="Trebuchet MS" w:hAnsi="Trebuchet MS"/>
          <w:spacing w:val="-9"/>
          <w:position w:val="-2"/>
          <w:sz w:val="10"/>
        </w:rPr>
        <w:t> </w:t>
      </w:r>
      <w:r>
        <w:rPr>
          <w:rFonts w:ascii="Trebuchet MS" w:hAnsi="Trebuchet MS"/>
          <w:spacing w:val="-16"/>
          <w:sz w:val="18"/>
        </w:rPr>
        <w:t>)</w:t>
      </w:r>
    </w:p>
    <w:p>
      <w:pPr>
        <w:pStyle w:val="BodyText"/>
        <w:spacing w:before="9"/>
        <w:rPr>
          <w:rFonts w:ascii="Trebuchet MS"/>
        </w:rPr>
      </w:pPr>
      <w:r>
        <w:rPr/>
        <w:br w:type="column"/>
      </w:r>
      <w:r>
        <w:rPr>
          <w:rFonts w:ascii="Trebuchet MS"/>
        </w:rPr>
      </w:r>
    </w:p>
    <w:p>
      <w:pPr>
        <w:spacing w:before="0"/>
        <w:ind w:left="853" w:right="0" w:firstLine="0"/>
        <w:jc w:val="left"/>
        <w:rPr>
          <w:rFonts w:ascii="Trebuchet MS"/>
          <w:sz w:val="18"/>
        </w:rPr>
      </w:pPr>
      <w:r>
        <w:rPr>
          <w:rFonts w:ascii="Trebuchet MS"/>
          <w:color w:val="231F20"/>
          <w:sz w:val="18"/>
        </w:rPr>
        <w:t>(7)</w:t>
      </w:r>
    </w:p>
    <w:p>
      <w:pPr>
        <w:spacing w:after="0"/>
        <w:jc w:val="left"/>
        <w:rPr>
          <w:rFonts w:ascii="Trebuchet MS"/>
          <w:sz w:val="18"/>
        </w:rPr>
        <w:sectPr>
          <w:type w:val="continuous"/>
          <w:pgSz w:w="12240" w:h="15660"/>
          <w:pgMar w:top="0" w:bottom="760" w:left="0" w:right="0"/>
          <w:cols w:num="3" w:equalWidth="0">
            <w:col w:w="3441" w:space="40"/>
            <w:col w:w="987" w:space="39"/>
            <w:col w:w="7733"/>
          </w:cols>
        </w:sectPr>
      </w:pPr>
    </w:p>
    <w:p>
      <w:pPr>
        <w:spacing w:line="254" w:lineRule="auto" w:before="71"/>
        <w:ind w:left="1260" w:right="6354" w:firstLine="239"/>
        <w:jc w:val="left"/>
        <w:rPr>
          <w:sz w:val="18"/>
        </w:rPr>
      </w:pPr>
      <w:r>
        <w:rPr>
          <w:color w:val="231F20"/>
          <w:w w:val="105"/>
          <w:sz w:val="18"/>
        </w:rPr>
        <w:t>For the bicarbonate buffer system, the pK is 6.1, and Equation 7 can be written as</w:t>
      </w:r>
    </w:p>
    <w:p>
      <w:pPr>
        <w:spacing w:after="0" w:line="254" w:lineRule="auto"/>
        <w:jc w:val="left"/>
        <w:rPr>
          <w:sz w:val="18"/>
        </w:rPr>
        <w:sectPr>
          <w:type w:val="continuous"/>
          <w:pgSz w:w="12240" w:h="15660"/>
          <w:pgMar w:top="0" w:bottom="760" w:left="0" w:right="0"/>
        </w:sectPr>
      </w:pPr>
    </w:p>
    <w:p>
      <w:pPr>
        <w:pStyle w:val="BodyText"/>
        <w:spacing w:before="3"/>
        <w:rPr>
          <w:sz w:val="18"/>
        </w:rPr>
      </w:pPr>
    </w:p>
    <w:p>
      <w:pPr>
        <w:spacing w:before="0"/>
        <w:ind w:left="0" w:right="0" w:firstLine="0"/>
        <w:jc w:val="right"/>
        <w:rPr>
          <w:rFonts w:ascii="Trebuchet MS" w:hAnsi="Trebuchet MS"/>
          <w:sz w:val="18"/>
        </w:rPr>
      </w:pPr>
      <w:r>
        <w:rPr>
          <w:rFonts w:ascii="Trebuchet MS" w:hAnsi="Trebuchet MS"/>
          <w:w w:val="105"/>
          <w:sz w:val="18"/>
        </w:rPr>
        <w:t>pH </w:t>
      </w:r>
      <w:r>
        <w:rPr>
          <w:rFonts w:ascii="Symbol" w:hAnsi="Symbol"/>
          <w:w w:val="105"/>
          <w:sz w:val="18"/>
        </w:rPr>
        <w:t></w:t>
      </w:r>
      <w:r>
        <w:rPr>
          <w:w w:val="105"/>
          <w:sz w:val="18"/>
        </w:rPr>
        <w:t> </w:t>
      </w:r>
      <w:r>
        <w:rPr>
          <w:rFonts w:ascii="Trebuchet MS" w:hAnsi="Trebuchet MS"/>
          <w:w w:val="105"/>
          <w:sz w:val="18"/>
        </w:rPr>
        <w:t>6.1</w:t>
      </w:r>
      <w:r>
        <w:rPr>
          <w:rFonts w:ascii="Symbol" w:hAnsi="Symbol"/>
          <w:w w:val="105"/>
          <w:sz w:val="18"/>
        </w:rPr>
        <w:t></w:t>
      </w:r>
      <w:r>
        <w:rPr>
          <w:w w:val="105"/>
          <w:sz w:val="18"/>
        </w:rPr>
        <w:t> </w:t>
      </w:r>
      <w:r>
        <w:rPr>
          <w:rFonts w:ascii="Trebuchet MS" w:hAnsi="Trebuchet MS"/>
          <w:w w:val="105"/>
          <w:sz w:val="18"/>
        </w:rPr>
        <w:t>log</w:t>
      </w:r>
    </w:p>
    <w:p>
      <w:pPr>
        <w:spacing w:before="103"/>
        <w:ind w:left="159" w:right="0" w:firstLine="0"/>
        <w:jc w:val="left"/>
        <w:rPr>
          <w:rFonts w:ascii="Symbol" w:hAnsi="Symbol"/>
          <w:sz w:val="10"/>
        </w:rPr>
      </w:pPr>
      <w:r>
        <w:rPr/>
        <w:br w:type="column"/>
      </w:r>
      <w:r>
        <w:rPr>
          <w:rFonts w:ascii="Trebuchet MS" w:hAnsi="Trebuchet MS"/>
          <w:w w:val="110"/>
          <w:sz w:val="18"/>
        </w:rPr>
        <w:t>HCO</w:t>
      </w:r>
      <w:r>
        <w:rPr>
          <w:rFonts w:ascii="Trebuchet MS" w:hAnsi="Trebuchet MS"/>
          <w:w w:val="110"/>
          <w:position w:val="-2"/>
          <w:sz w:val="10"/>
        </w:rPr>
        <w:t>3</w:t>
      </w:r>
      <w:r>
        <w:rPr>
          <w:rFonts w:ascii="Symbol" w:hAnsi="Symbol"/>
          <w:w w:val="110"/>
          <w:position w:val="7"/>
          <w:sz w:val="10"/>
        </w:rPr>
        <w:t></w:t>
      </w:r>
    </w:p>
    <w:p>
      <w:pPr>
        <w:pStyle w:val="ListParagraph"/>
        <w:numPr>
          <w:ilvl w:val="1"/>
          <w:numId w:val="2"/>
        </w:numPr>
        <w:tabs>
          <w:tab w:pos="372" w:val="left" w:leader="none"/>
        </w:tabs>
        <w:spacing w:line="240" w:lineRule="auto" w:before="24" w:after="0"/>
        <w:ind w:left="371" w:right="0" w:hanging="383"/>
        <w:jc w:val="left"/>
        <w:rPr>
          <w:rFonts w:ascii="Trebuchet MS" w:hAnsi="Trebuchet MS"/>
          <w:sz w:val="18"/>
        </w:rPr>
      </w:pPr>
      <w:r>
        <w:rPr>
          <w:rFonts w:ascii="Symbol" w:hAnsi="Symbol"/>
          <w:sz w:val="18"/>
        </w:rPr>
        <w:t></w:t>
      </w:r>
      <w:r>
        <w:rPr>
          <w:spacing w:val="-11"/>
          <w:sz w:val="18"/>
        </w:rPr>
        <w:t> </w:t>
      </w:r>
      <w:r>
        <w:rPr>
          <w:rFonts w:ascii="Trebuchet MS" w:hAnsi="Trebuchet MS"/>
          <w:spacing w:val="-6"/>
          <w:sz w:val="18"/>
        </w:rPr>
        <w:t>Pco</w:t>
      </w:r>
      <w:r>
        <w:rPr>
          <w:rFonts w:ascii="Trebuchet MS" w:hAnsi="Trebuchet MS"/>
          <w:spacing w:val="-6"/>
          <w:position w:val="-2"/>
          <w:sz w:val="10"/>
        </w:rPr>
        <w:t>2</w:t>
      </w:r>
    </w:p>
    <w:p>
      <w:pPr>
        <w:pStyle w:val="BodyText"/>
        <w:spacing w:before="8"/>
        <w:rPr>
          <w:rFonts w:ascii="Trebuchet MS"/>
        </w:rPr>
      </w:pPr>
      <w:r>
        <w:rPr/>
        <w:br w:type="column"/>
      </w:r>
      <w:r>
        <w:rPr>
          <w:rFonts w:ascii="Trebuchet MS"/>
        </w:rPr>
      </w:r>
    </w:p>
    <w:p>
      <w:pPr>
        <w:spacing w:before="0"/>
        <w:ind w:left="935" w:right="0" w:firstLine="0"/>
        <w:jc w:val="left"/>
        <w:rPr>
          <w:rFonts w:ascii="Trebuchet MS"/>
          <w:sz w:val="18"/>
        </w:rPr>
      </w:pPr>
      <w:r>
        <w:rPr>
          <w:rFonts w:ascii="Trebuchet MS"/>
          <w:color w:val="231F20"/>
          <w:sz w:val="18"/>
        </w:rPr>
        <w:t>(8)</w:t>
      </w:r>
    </w:p>
    <w:p>
      <w:pPr>
        <w:spacing w:after="0"/>
        <w:jc w:val="left"/>
        <w:rPr>
          <w:rFonts w:ascii="Trebuchet MS"/>
          <w:sz w:val="18"/>
        </w:rPr>
        <w:sectPr>
          <w:type w:val="continuous"/>
          <w:pgSz w:w="12240" w:h="15660"/>
          <w:pgMar w:top="0" w:bottom="760" w:left="0" w:right="0"/>
          <w:cols w:num="3" w:equalWidth="0">
            <w:col w:w="3499" w:space="40"/>
            <w:col w:w="846" w:space="39"/>
            <w:col w:w="7816"/>
          </w:cols>
        </w:sectPr>
      </w:pPr>
    </w:p>
    <w:p>
      <w:pPr>
        <w:spacing w:line="254" w:lineRule="auto" w:before="98"/>
        <w:ind w:left="1260" w:right="6647" w:firstLine="239"/>
        <w:jc w:val="left"/>
        <w:rPr>
          <w:sz w:val="18"/>
        </w:rPr>
      </w:pPr>
      <w:r>
        <w:rPr/>
        <w:pict>
          <v:group style="position:absolute;margin-left:54pt;margin-top:54pt;width:234pt;height:679.35pt;mso-position-horizontal-relative:page;mso-position-vertical-relative:page;z-index:-272631808" coordorigin="1080,1080" coordsize="4680,13587">
            <v:rect style="position:absolute;left:1080;top:1080;width:4680;height:13587" filled="true" fillcolor="#f0eef6" stroked="false">
              <v:fill type="solid"/>
            </v:rect>
            <v:line style="position:absolute" from="3464,8452" to="4469,8452" stroked="true" strokeweight=".438pt" strokecolor="#000000">
              <v:stroke dashstyle="solid"/>
            </v:line>
            <v:line style="position:absolute" from="3521,9572" to="4407,9572" stroked="true" strokeweight=".438pt" strokecolor="#000000">
              <v:stroke dashstyle="solid"/>
            </v:line>
            <w10:wrap type="none"/>
          </v:group>
        </w:pict>
      </w:r>
      <w:r>
        <w:rPr>
          <w:color w:val="231F20"/>
          <w:w w:val="105"/>
          <w:sz w:val="18"/>
        </w:rPr>
        <w:t>Equation</w:t>
      </w:r>
      <w:r>
        <w:rPr>
          <w:color w:val="231F20"/>
          <w:spacing w:val="-19"/>
          <w:w w:val="105"/>
          <w:sz w:val="18"/>
        </w:rPr>
        <w:t> </w:t>
      </w:r>
      <w:r>
        <w:rPr>
          <w:color w:val="231F20"/>
          <w:w w:val="105"/>
          <w:sz w:val="18"/>
        </w:rPr>
        <w:t>8</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Henderson-Hasselbalch</w:t>
      </w:r>
      <w:r>
        <w:rPr>
          <w:color w:val="231F20"/>
          <w:spacing w:val="-18"/>
          <w:w w:val="105"/>
          <w:sz w:val="18"/>
        </w:rPr>
        <w:t> </w:t>
      </w:r>
      <w:r>
        <w:rPr>
          <w:color w:val="231F20"/>
          <w:w w:val="105"/>
          <w:sz w:val="18"/>
        </w:rPr>
        <w:t>equation,</w:t>
      </w:r>
      <w:r>
        <w:rPr>
          <w:color w:val="231F20"/>
          <w:spacing w:val="-18"/>
          <w:w w:val="105"/>
          <w:sz w:val="18"/>
        </w:rPr>
        <w:t> </w:t>
      </w:r>
      <w:r>
        <w:rPr>
          <w:color w:val="231F20"/>
          <w:w w:val="105"/>
          <w:sz w:val="18"/>
        </w:rPr>
        <w:t>and with</w:t>
      </w:r>
      <w:r>
        <w:rPr>
          <w:color w:val="231F20"/>
          <w:spacing w:val="-5"/>
          <w:w w:val="105"/>
          <w:sz w:val="18"/>
        </w:rPr>
        <w:t> </w:t>
      </w:r>
      <w:r>
        <w:rPr>
          <w:color w:val="231F20"/>
          <w:w w:val="105"/>
          <w:sz w:val="18"/>
        </w:rPr>
        <w:t>it,</w:t>
      </w:r>
      <w:r>
        <w:rPr>
          <w:color w:val="231F20"/>
          <w:spacing w:val="-4"/>
          <w:w w:val="105"/>
          <w:sz w:val="18"/>
        </w:rPr>
        <w:t> </w:t>
      </w:r>
      <w:r>
        <w:rPr>
          <w:color w:val="231F20"/>
          <w:w w:val="105"/>
          <w:sz w:val="18"/>
        </w:rPr>
        <w:t>one</w:t>
      </w:r>
      <w:r>
        <w:rPr>
          <w:color w:val="231F20"/>
          <w:spacing w:val="-5"/>
          <w:w w:val="105"/>
          <w:sz w:val="18"/>
        </w:rPr>
        <w:t> </w:t>
      </w:r>
      <w:r>
        <w:rPr>
          <w:color w:val="231F20"/>
          <w:w w:val="105"/>
          <w:sz w:val="18"/>
        </w:rPr>
        <w:t>can</w:t>
      </w:r>
      <w:r>
        <w:rPr>
          <w:color w:val="231F20"/>
          <w:spacing w:val="-4"/>
          <w:w w:val="105"/>
          <w:sz w:val="18"/>
        </w:rPr>
        <w:t> </w:t>
      </w:r>
      <w:r>
        <w:rPr>
          <w:color w:val="231F20"/>
          <w:w w:val="105"/>
          <w:sz w:val="18"/>
        </w:rPr>
        <w:t>calculate</w:t>
      </w:r>
      <w:r>
        <w:rPr>
          <w:color w:val="231F20"/>
          <w:spacing w:val="-5"/>
          <w:w w:val="105"/>
          <w:sz w:val="18"/>
        </w:rPr>
        <w:t> </w:t>
      </w:r>
      <w:r>
        <w:rPr>
          <w:color w:val="231F20"/>
          <w:w w:val="105"/>
          <w:sz w:val="18"/>
        </w:rPr>
        <w:t>the</w:t>
      </w:r>
      <w:r>
        <w:rPr>
          <w:color w:val="231F20"/>
          <w:spacing w:val="-4"/>
          <w:w w:val="105"/>
          <w:sz w:val="18"/>
        </w:rPr>
        <w:t> </w:t>
      </w:r>
      <w:r>
        <w:rPr>
          <w:color w:val="231F20"/>
          <w:w w:val="105"/>
          <w:sz w:val="18"/>
        </w:rPr>
        <w:t>pH</w:t>
      </w:r>
      <w:r>
        <w:rPr>
          <w:color w:val="231F20"/>
          <w:spacing w:val="-4"/>
          <w:w w:val="105"/>
          <w:sz w:val="18"/>
        </w:rPr>
        <w:t> </w:t>
      </w:r>
      <w:r>
        <w:rPr>
          <w:color w:val="231F20"/>
          <w:w w:val="105"/>
          <w:sz w:val="18"/>
        </w:rPr>
        <w:t>of</w:t>
      </w:r>
      <w:r>
        <w:rPr>
          <w:color w:val="231F20"/>
          <w:spacing w:val="-5"/>
          <w:w w:val="105"/>
          <w:sz w:val="18"/>
        </w:rPr>
        <w:t> </w:t>
      </w:r>
      <w:r>
        <w:rPr>
          <w:color w:val="231F20"/>
          <w:w w:val="105"/>
          <w:sz w:val="18"/>
        </w:rPr>
        <w:t>a</w:t>
      </w:r>
      <w:r>
        <w:rPr>
          <w:color w:val="231F20"/>
          <w:spacing w:val="-4"/>
          <w:w w:val="105"/>
          <w:sz w:val="18"/>
        </w:rPr>
        <w:t> </w:t>
      </w:r>
      <w:r>
        <w:rPr>
          <w:color w:val="231F20"/>
          <w:w w:val="105"/>
          <w:sz w:val="18"/>
        </w:rPr>
        <w:t>solution</w:t>
      </w:r>
      <w:r>
        <w:rPr>
          <w:color w:val="231F20"/>
          <w:spacing w:val="-5"/>
          <w:w w:val="105"/>
          <w:sz w:val="18"/>
        </w:rPr>
        <w:t> </w:t>
      </w:r>
      <w:r>
        <w:rPr>
          <w:color w:val="231F20"/>
          <w:w w:val="105"/>
          <w:sz w:val="18"/>
        </w:rPr>
        <w:t>if</w:t>
      </w:r>
      <w:r>
        <w:rPr>
          <w:color w:val="231F20"/>
          <w:spacing w:val="-4"/>
          <w:w w:val="105"/>
          <w:sz w:val="18"/>
        </w:rPr>
        <w:t> </w:t>
      </w:r>
      <w:r>
        <w:rPr>
          <w:color w:val="231F20"/>
          <w:w w:val="105"/>
          <w:sz w:val="18"/>
        </w:rPr>
        <w:t>the</w:t>
      </w:r>
      <w:r>
        <w:rPr>
          <w:color w:val="231F20"/>
          <w:spacing w:val="-4"/>
          <w:w w:val="105"/>
          <w:sz w:val="18"/>
        </w:rPr>
        <w:t> </w:t>
      </w:r>
      <w:r>
        <w:rPr>
          <w:color w:val="231F20"/>
          <w:w w:val="105"/>
          <w:sz w:val="18"/>
        </w:rPr>
        <w:t>molar</w:t>
      </w:r>
    </w:p>
    <w:p>
      <w:pPr>
        <w:spacing w:line="222" w:lineRule="exact" w:before="0"/>
        <w:ind w:left="1260" w:right="0" w:firstLine="0"/>
        <w:jc w:val="left"/>
        <w:rPr>
          <w:sz w:val="18"/>
        </w:rPr>
      </w:pPr>
      <w:r>
        <w:rPr/>
        <w:pict>
          <v:shape style="position:absolute;margin-left:147.030197pt;margin-top:4.814063pt;width:2.7pt;height:7.8pt;mso-position-horizontal-relative:page;mso-position-vertical-relative:paragraph;z-index:-272599040"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color w:val="231F20"/>
          <w:w w:val="105"/>
          <w:sz w:val="18"/>
        </w:rPr>
        <w:t>concentration of HCO </w:t>
      </w:r>
      <w:r>
        <w:rPr>
          <w:rFonts w:ascii="Consolas" w:hAnsi="Consolas"/>
          <w:color w:val="231F20"/>
          <w:w w:val="105"/>
          <w:position w:val="7"/>
          <w:sz w:val="11"/>
        </w:rPr>
        <w:t>− </w:t>
      </w:r>
      <w:r>
        <w:rPr>
          <w:color w:val="231F20"/>
          <w:w w:val="105"/>
          <w:sz w:val="18"/>
        </w:rPr>
        <w:t>and the P</w:t>
      </w:r>
      <w:r>
        <w:rPr>
          <w:color w:val="231F20"/>
          <w:w w:val="105"/>
          <w:sz w:val="14"/>
        </w:rPr>
        <w:t>CO</w:t>
      </w:r>
      <w:r>
        <w:rPr>
          <w:color w:val="231F20"/>
          <w:w w:val="105"/>
          <w:position w:val="-2"/>
          <w:sz w:val="11"/>
        </w:rPr>
        <w:t>2 </w:t>
      </w:r>
      <w:r>
        <w:rPr>
          <w:color w:val="231F20"/>
          <w:w w:val="105"/>
          <w:sz w:val="18"/>
        </w:rPr>
        <w:t>are known.</w:t>
      </w:r>
    </w:p>
    <w:p>
      <w:pPr>
        <w:spacing w:line="249" w:lineRule="auto" w:before="0"/>
        <w:ind w:left="1259" w:right="6657" w:firstLine="240"/>
        <w:jc w:val="both"/>
        <w:rPr>
          <w:sz w:val="18"/>
        </w:rPr>
      </w:pPr>
      <w:r>
        <w:rPr/>
        <w:pict>
          <v:shape style="position:absolute;margin-left:166.489105pt;margin-top:15.737743pt;width:2.7pt;height:7.8pt;mso-position-horizontal-relative:page;mso-position-vertical-relative:paragraph;z-index:-27259801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color w:val="231F20"/>
          <w:w w:val="105"/>
          <w:sz w:val="18"/>
        </w:rPr>
        <w:t>From</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Henderson-Hasselbalch</w:t>
      </w:r>
      <w:r>
        <w:rPr>
          <w:color w:val="231F20"/>
          <w:spacing w:val="-10"/>
          <w:w w:val="105"/>
          <w:sz w:val="18"/>
        </w:rPr>
        <w:t> </w:t>
      </w:r>
      <w:r>
        <w:rPr>
          <w:color w:val="231F20"/>
          <w:w w:val="105"/>
          <w:sz w:val="18"/>
        </w:rPr>
        <w:t>equation,</w:t>
      </w:r>
      <w:r>
        <w:rPr>
          <w:color w:val="231F20"/>
          <w:spacing w:val="-10"/>
          <w:w w:val="105"/>
          <w:sz w:val="18"/>
        </w:rPr>
        <w:t> </w:t>
      </w:r>
      <w:r>
        <w:rPr>
          <w:color w:val="231F20"/>
          <w:w w:val="105"/>
          <w:sz w:val="18"/>
        </w:rPr>
        <w:t>it</w:t>
      </w:r>
      <w:r>
        <w:rPr>
          <w:color w:val="231F20"/>
          <w:spacing w:val="-10"/>
          <w:w w:val="105"/>
          <w:sz w:val="18"/>
        </w:rPr>
        <w:t> </w:t>
      </w:r>
      <w:r>
        <w:rPr>
          <w:color w:val="231F20"/>
          <w:w w:val="105"/>
          <w:sz w:val="18"/>
        </w:rPr>
        <w:t>is</w:t>
      </w:r>
      <w:r>
        <w:rPr>
          <w:color w:val="231F20"/>
          <w:spacing w:val="-10"/>
          <w:w w:val="105"/>
          <w:sz w:val="18"/>
        </w:rPr>
        <w:t> </w:t>
      </w:r>
      <w:r>
        <w:rPr>
          <w:color w:val="231F20"/>
          <w:w w:val="105"/>
          <w:sz w:val="18"/>
        </w:rPr>
        <w:t>appar- ent</w:t>
      </w:r>
      <w:r>
        <w:rPr>
          <w:color w:val="231F20"/>
          <w:spacing w:val="-8"/>
          <w:w w:val="105"/>
          <w:sz w:val="18"/>
        </w:rPr>
        <w:t> </w:t>
      </w:r>
      <w:r>
        <w:rPr>
          <w:color w:val="231F20"/>
          <w:w w:val="105"/>
          <w:sz w:val="18"/>
        </w:rPr>
        <w:t>that</w:t>
      </w:r>
      <w:r>
        <w:rPr>
          <w:color w:val="231F20"/>
          <w:spacing w:val="-8"/>
          <w:w w:val="105"/>
          <w:sz w:val="18"/>
        </w:rPr>
        <w:t> </w:t>
      </w:r>
      <w:r>
        <w:rPr>
          <w:color w:val="231F20"/>
          <w:w w:val="105"/>
          <w:sz w:val="18"/>
        </w:rPr>
        <w:t>an</w:t>
      </w:r>
      <w:r>
        <w:rPr>
          <w:color w:val="231F20"/>
          <w:spacing w:val="-8"/>
          <w:w w:val="105"/>
          <w:sz w:val="18"/>
        </w:rPr>
        <w:t> </w:t>
      </w:r>
      <w:r>
        <w:rPr>
          <w:color w:val="231F20"/>
          <w:w w:val="105"/>
          <w:sz w:val="18"/>
        </w:rPr>
        <w:t>increase</w:t>
      </w:r>
      <w:r>
        <w:rPr>
          <w:color w:val="231F20"/>
          <w:spacing w:val="-8"/>
          <w:w w:val="105"/>
          <w:sz w:val="18"/>
        </w:rPr>
        <w:t> </w:t>
      </w:r>
      <w:r>
        <w:rPr>
          <w:color w:val="231F20"/>
          <w:w w:val="105"/>
          <w:sz w:val="18"/>
        </w:rPr>
        <w:t>in</w:t>
      </w:r>
      <w:r>
        <w:rPr>
          <w:color w:val="231F20"/>
          <w:spacing w:val="-8"/>
          <w:w w:val="105"/>
          <w:sz w:val="18"/>
        </w:rPr>
        <w:t> </w:t>
      </w:r>
      <w:r>
        <w:rPr>
          <w:color w:val="231F20"/>
          <w:w w:val="105"/>
          <w:sz w:val="18"/>
        </w:rPr>
        <w:t>HCO</w:t>
      </w:r>
      <w:r>
        <w:rPr>
          <w:color w:val="231F20"/>
          <w:spacing w:val="4"/>
          <w:w w:val="105"/>
          <w:sz w:val="18"/>
        </w:rPr>
        <w:t> </w:t>
      </w:r>
      <w:r>
        <w:rPr>
          <w:rFonts w:ascii="Consolas" w:hAnsi="Consolas"/>
          <w:color w:val="231F20"/>
          <w:w w:val="105"/>
          <w:position w:val="7"/>
          <w:sz w:val="11"/>
        </w:rPr>
        <w:t>−</w:t>
      </w:r>
      <w:r>
        <w:rPr>
          <w:rFonts w:ascii="Consolas" w:hAnsi="Consolas"/>
          <w:color w:val="231F20"/>
          <w:spacing w:val="-25"/>
          <w:w w:val="105"/>
          <w:position w:val="7"/>
          <w:sz w:val="11"/>
        </w:rPr>
        <w:t> </w:t>
      </w:r>
      <w:r>
        <w:rPr>
          <w:color w:val="231F20"/>
          <w:w w:val="105"/>
          <w:sz w:val="18"/>
        </w:rPr>
        <w:t>concentration</w:t>
      </w:r>
      <w:r>
        <w:rPr>
          <w:color w:val="231F20"/>
          <w:spacing w:val="-8"/>
          <w:w w:val="105"/>
          <w:sz w:val="18"/>
        </w:rPr>
        <w:t> </w:t>
      </w:r>
      <w:r>
        <w:rPr>
          <w:color w:val="231F20"/>
          <w:w w:val="105"/>
          <w:sz w:val="18"/>
        </w:rPr>
        <w:t>causes</w:t>
      </w:r>
      <w:r>
        <w:rPr>
          <w:color w:val="231F20"/>
          <w:spacing w:val="-8"/>
          <w:w w:val="105"/>
          <w:sz w:val="18"/>
        </w:rPr>
        <w:t> </w:t>
      </w:r>
      <w:r>
        <w:rPr>
          <w:color w:val="231F20"/>
          <w:w w:val="105"/>
          <w:sz w:val="18"/>
        </w:rPr>
        <w:t>the</w:t>
      </w:r>
      <w:r>
        <w:rPr>
          <w:color w:val="231F20"/>
          <w:spacing w:val="-8"/>
          <w:w w:val="105"/>
          <w:sz w:val="18"/>
        </w:rPr>
        <w:t> </w:t>
      </w:r>
      <w:r>
        <w:rPr>
          <w:color w:val="231F20"/>
          <w:w w:val="105"/>
          <w:sz w:val="18"/>
        </w:rPr>
        <w:t>pH to</w:t>
      </w:r>
      <w:r>
        <w:rPr>
          <w:color w:val="231F20"/>
          <w:spacing w:val="-13"/>
          <w:w w:val="105"/>
          <w:sz w:val="18"/>
        </w:rPr>
        <w:t> </w:t>
      </w:r>
      <w:r>
        <w:rPr>
          <w:color w:val="231F20"/>
          <w:w w:val="105"/>
          <w:sz w:val="18"/>
        </w:rPr>
        <w:t>rise,</w:t>
      </w:r>
      <w:r>
        <w:rPr>
          <w:color w:val="231F20"/>
          <w:spacing w:val="-12"/>
          <w:w w:val="105"/>
          <w:sz w:val="18"/>
        </w:rPr>
        <w:t> </w:t>
      </w:r>
      <w:r>
        <w:rPr>
          <w:color w:val="231F20"/>
          <w:w w:val="105"/>
          <w:sz w:val="18"/>
        </w:rPr>
        <w:t>shifting</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acid-base</w:t>
      </w:r>
      <w:r>
        <w:rPr>
          <w:color w:val="231F20"/>
          <w:spacing w:val="-12"/>
          <w:w w:val="105"/>
          <w:sz w:val="18"/>
        </w:rPr>
        <w:t> </w:t>
      </w:r>
      <w:r>
        <w:rPr>
          <w:color w:val="231F20"/>
          <w:w w:val="105"/>
          <w:sz w:val="18"/>
        </w:rPr>
        <w:t>balance</w:t>
      </w:r>
      <w:r>
        <w:rPr>
          <w:color w:val="231F20"/>
          <w:spacing w:val="-12"/>
          <w:w w:val="105"/>
          <w:sz w:val="18"/>
        </w:rPr>
        <w:t> </w:t>
      </w:r>
      <w:r>
        <w:rPr>
          <w:color w:val="231F20"/>
          <w:w w:val="105"/>
          <w:sz w:val="18"/>
        </w:rPr>
        <w:t>toward</w:t>
      </w:r>
      <w:r>
        <w:rPr>
          <w:color w:val="231F20"/>
          <w:spacing w:val="-12"/>
          <w:w w:val="105"/>
          <w:sz w:val="18"/>
        </w:rPr>
        <w:t> </w:t>
      </w:r>
      <w:r>
        <w:rPr>
          <w:color w:val="231F20"/>
          <w:w w:val="105"/>
          <w:sz w:val="18"/>
        </w:rPr>
        <w:t>alkalosis.</w:t>
      </w:r>
      <w:r>
        <w:rPr>
          <w:color w:val="231F20"/>
          <w:spacing w:val="-12"/>
          <w:w w:val="105"/>
          <w:sz w:val="18"/>
        </w:rPr>
        <w:t> </w:t>
      </w:r>
      <w:r>
        <w:rPr>
          <w:color w:val="231F20"/>
          <w:w w:val="105"/>
          <w:sz w:val="18"/>
        </w:rPr>
        <w:t>An increase in P</w:t>
      </w:r>
      <w:r>
        <w:rPr>
          <w:color w:val="231F20"/>
          <w:w w:val="105"/>
          <w:sz w:val="14"/>
        </w:rPr>
        <w:t>CO</w:t>
      </w:r>
      <w:r>
        <w:rPr>
          <w:color w:val="231F20"/>
          <w:w w:val="105"/>
          <w:position w:val="-2"/>
          <w:sz w:val="11"/>
        </w:rPr>
        <w:t>2 </w:t>
      </w:r>
      <w:r>
        <w:rPr>
          <w:color w:val="231F20"/>
          <w:w w:val="105"/>
          <w:sz w:val="18"/>
        </w:rPr>
        <w:t>causes the pH to decrease, shifting the acid-base balance toward</w:t>
      </w:r>
      <w:r>
        <w:rPr>
          <w:color w:val="231F20"/>
          <w:spacing w:val="4"/>
          <w:w w:val="105"/>
          <w:sz w:val="18"/>
        </w:rPr>
        <w:t> </w:t>
      </w:r>
      <w:r>
        <w:rPr>
          <w:color w:val="231F20"/>
          <w:w w:val="105"/>
          <w:sz w:val="18"/>
        </w:rPr>
        <w:t>acidosis.</w:t>
      </w:r>
    </w:p>
    <w:p>
      <w:pPr>
        <w:spacing w:line="252" w:lineRule="auto" w:before="5"/>
        <w:ind w:left="1259" w:right="6657" w:firstLine="239"/>
        <w:jc w:val="both"/>
        <w:rPr>
          <w:sz w:val="18"/>
        </w:rPr>
      </w:pPr>
      <w:r>
        <w:rPr/>
        <w:pict>
          <v:shape style="position:absolute;margin-left:273.340912pt;margin-top:48.989742pt;width:2.7pt;height:7.8pt;mso-position-horizontal-relative:page;mso-position-vertical-relative:paragraph;z-index:-272596992" type="#_x0000_t202" filled="false" stroked="false">
            <v:textbox inset="0,0,0,0">
              <w:txbxContent>
                <w:p>
                  <w:pPr>
                    <w:spacing w:line="124" w:lineRule="exact" w:before="0"/>
                    <w:ind w:left="0" w:right="0" w:firstLine="0"/>
                    <w:jc w:val="left"/>
                    <w:rPr>
                      <w:i/>
                      <w:sz w:val="11"/>
                    </w:rPr>
                  </w:pPr>
                  <w:r>
                    <w:rPr>
                      <w:i/>
                      <w:color w:val="231F20"/>
                      <w:w w:val="97"/>
                      <w:sz w:val="11"/>
                    </w:rPr>
                    <w:t>3</w:t>
                  </w:r>
                </w:p>
              </w:txbxContent>
            </v:textbox>
            <w10:wrap type="none"/>
          </v:shape>
        </w:pict>
      </w:r>
      <w:r>
        <w:rPr>
          <w:color w:val="231F20"/>
          <w:w w:val="105"/>
          <w:sz w:val="18"/>
        </w:rPr>
        <w:t>The Henderson-Hasselbalch equation, in addition to defining the determinants of normal pH regulation and acid-base</w:t>
      </w:r>
      <w:r>
        <w:rPr>
          <w:color w:val="231F20"/>
          <w:spacing w:val="-28"/>
          <w:w w:val="105"/>
          <w:sz w:val="18"/>
        </w:rPr>
        <w:t> </w:t>
      </w:r>
      <w:r>
        <w:rPr>
          <w:color w:val="231F20"/>
          <w:w w:val="105"/>
          <w:sz w:val="18"/>
        </w:rPr>
        <w:t>balance</w:t>
      </w:r>
      <w:r>
        <w:rPr>
          <w:color w:val="231F20"/>
          <w:spacing w:val="-28"/>
          <w:w w:val="105"/>
          <w:sz w:val="18"/>
        </w:rPr>
        <w:t> </w:t>
      </w:r>
      <w:r>
        <w:rPr>
          <w:color w:val="231F20"/>
          <w:w w:val="105"/>
          <w:sz w:val="18"/>
        </w:rPr>
        <w:t>in</w:t>
      </w:r>
      <w:r>
        <w:rPr>
          <w:color w:val="231F20"/>
          <w:spacing w:val="-28"/>
          <w:w w:val="105"/>
          <w:sz w:val="18"/>
        </w:rPr>
        <w:t> </w:t>
      </w:r>
      <w:r>
        <w:rPr>
          <w:color w:val="231F20"/>
          <w:w w:val="105"/>
          <w:sz w:val="18"/>
        </w:rPr>
        <w:t>the</w:t>
      </w:r>
      <w:r>
        <w:rPr>
          <w:color w:val="231F20"/>
          <w:spacing w:val="-28"/>
          <w:w w:val="105"/>
          <w:sz w:val="18"/>
        </w:rPr>
        <w:t> </w:t>
      </w:r>
      <w:r>
        <w:rPr>
          <w:color w:val="231F20"/>
          <w:w w:val="105"/>
          <w:sz w:val="18"/>
        </w:rPr>
        <w:t>extracellular</w:t>
      </w:r>
      <w:r>
        <w:rPr>
          <w:color w:val="231F20"/>
          <w:spacing w:val="-28"/>
          <w:w w:val="105"/>
          <w:sz w:val="18"/>
        </w:rPr>
        <w:t> </w:t>
      </w:r>
      <w:r>
        <w:rPr>
          <w:color w:val="231F20"/>
          <w:w w:val="105"/>
          <w:sz w:val="18"/>
        </w:rPr>
        <w:t>fluid,</w:t>
      </w:r>
      <w:r>
        <w:rPr>
          <w:color w:val="231F20"/>
          <w:spacing w:val="-28"/>
          <w:w w:val="105"/>
          <w:sz w:val="18"/>
        </w:rPr>
        <w:t> </w:t>
      </w:r>
      <w:r>
        <w:rPr>
          <w:color w:val="231F20"/>
          <w:w w:val="105"/>
          <w:sz w:val="18"/>
        </w:rPr>
        <w:t>provides</w:t>
      </w:r>
      <w:r>
        <w:rPr>
          <w:color w:val="231F20"/>
          <w:spacing w:val="-28"/>
          <w:w w:val="105"/>
          <w:sz w:val="18"/>
        </w:rPr>
        <w:t> </w:t>
      </w:r>
      <w:r>
        <w:rPr>
          <w:color w:val="231F20"/>
          <w:w w:val="105"/>
          <w:sz w:val="18"/>
        </w:rPr>
        <w:t>insight into</w:t>
      </w:r>
      <w:r>
        <w:rPr>
          <w:color w:val="231F20"/>
          <w:spacing w:val="-21"/>
          <w:w w:val="105"/>
          <w:sz w:val="18"/>
        </w:rPr>
        <w:t> </w:t>
      </w:r>
      <w:r>
        <w:rPr>
          <w:color w:val="231F20"/>
          <w:w w:val="105"/>
          <w:sz w:val="18"/>
        </w:rPr>
        <w:t>the</w:t>
      </w:r>
      <w:r>
        <w:rPr>
          <w:color w:val="231F20"/>
          <w:spacing w:val="-20"/>
          <w:w w:val="105"/>
          <w:sz w:val="18"/>
        </w:rPr>
        <w:t> </w:t>
      </w:r>
      <w:r>
        <w:rPr>
          <w:color w:val="231F20"/>
          <w:w w:val="105"/>
          <w:sz w:val="18"/>
        </w:rPr>
        <w:t>physiological</w:t>
      </w:r>
      <w:r>
        <w:rPr>
          <w:color w:val="231F20"/>
          <w:spacing w:val="-20"/>
          <w:w w:val="105"/>
          <w:sz w:val="18"/>
        </w:rPr>
        <w:t> </w:t>
      </w:r>
      <w:r>
        <w:rPr>
          <w:color w:val="231F20"/>
          <w:w w:val="105"/>
          <w:sz w:val="18"/>
        </w:rPr>
        <w:t>control</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acid</w:t>
      </w:r>
      <w:r>
        <w:rPr>
          <w:color w:val="231F20"/>
          <w:spacing w:val="-20"/>
          <w:w w:val="105"/>
          <w:sz w:val="18"/>
        </w:rPr>
        <w:t> </w:t>
      </w:r>
      <w:r>
        <w:rPr>
          <w:color w:val="231F20"/>
          <w:w w:val="105"/>
          <w:sz w:val="18"/>
        </w:rPr>
        <w:t>and</w:t>
      </w:r>
      <w:r>
        <w:rPr>
          <w:color w:val="231F20"/>
          <w:spacing w:val="-20"/>
          <w:w w:val="105"/>
          <w:sz w:val="18"/>
        </w:rPr>
        <w:t> </w:t>
      </w:r>
      <w:r>
        <w:rPr>
          <w:color w:val="231F20"/>
          <w:w w:val="105"/>
          <w:sz w:val="18"/>
        </w:rPr>
        <w:t>base</w:t>
      </w:r>
      <w:r>
        <w:rPr>
          <w:color w:val="231F20"/>
          <w:spacing w:val="-21"/>
          <w:w w:val="105"/>
          <w:sz w:val="18"/>
        </w:rPr>
        <w:t> </w:t>
      </w:r>
      <w:r>
        <w:rPr>
          <w:color w:val="231F20"/>
          <w:w w:val="105"/>
          <w:sz w:val="18"/>
        </w:rPr>
        <w:t>composition of the extracellular fluid. As discussed </w:t>
      </w:r>
      <w:r>
        <w:rPr>
          <w:color w:val="231F20"/>
          <w:spacing w:val="-3"/>
          <w:w w:val="105"/>
          <w:sz w:val="18"/>
        </w:rPr>
        <w:t>later, </w:t>
      </w:r>
      <w:r>
        <w:rPr>
          <w:i/>
          <w:color w:val="231F20"/>
          <w:w w:val="105"/>
          <w:sz w:val="18"/>
        </w:rPr>
        <w:t>the HCO </w:t>
      </w:r>
      <w:r>
        <w:rPr>
          <w:rFonts w:ascii="Consolas" w:hAnsi="Consolas"/>
          <w:color w:val="231F20"/>
          <w:w w:val="105"/>
          <w:position w:val="7"/>
          <w:sz w:val="11"/>
        </w:rPr>
        <w:t>− </w:t>
      </w:r>
      <w:r>
        <w:rPr>
          <w:i/>
          <w:color w:val="231F20"/>
          <w:w w:val="105"/>
          <w:sz w:val="18"/>
        </w:rPr>
        <w:t>concentration</w:t>
      </w:r>
      <w:r>
        <w:rPr>
          <w:i/>
          <w:color w:val="231F20"/>
          <w:spacing w:val="-13"/>
          <w:w w:val="105"/>
          <w:sz w:val="18"/>
        </w:rPr>
        <w:t> </w:t>
      </w:r>
      <w:r>
        <w:rPr>
          <w:i/>
          <w:color w:val="231F20"/>
          <w:w w:val="105"/>
          <w:sz w:val="18"/>
        </w:rPr>
        <w:t>is</w:t>
      </w:r>
      <w:r>
        <w:rPr>
          <w:i/>
          <w:color w:val="231F20"/>
          <w:spacing w:val="-12"/>
          <w:w w:val="105"/>
          <w:sz w:val="18"/>
        </w:rPr>
        <w:t> </w:t>
      </w:r>
      <w:r>
        <w:rPr>
          <w:i/>
          <w:color w:val="231F20"/>
          <w:w w:val="105"/>
          <w:sz w:val="18"/>
        </w:rPr>
        <w:t>regulated</w:t>
      </w:r>
      <w:r>
        <w:rPr>
          <w:i/>
          <w:color w:val="231F20"/>
          <w:spacing w:val="-12"/>
          <w:w w:val="105"/>
          <w:sz w:val="18"/>
        </w:rPr>
        <w:t> </w:t>
      </w:r>
      <w:r>
        <w:rPr>
          <w:i/>
          <w:color w:val="231F20"/>
          <w:w w:val="105"/>
          <w:sz w:val="18"/>
        </w:rPr>
        <w:t>mainly</w:t>
      </w:r>
      <w:r>
        <w:rPr>
          <w:i/>
          <w:color w:val="231F20"/>
          <w:spacing w:val="-13"/>
          <w:w w:val="105"/>
          <w:sz w:val="18"/>
        </w:rPr>
        <w:t> </w:t>
      </w:r>
      <w:r>
        <w:rPr>
          <w:i/>
          <w:color w:val="231F20"/>
          <w:w w:val="105"/>
          <w:sz w:val="18"/>
        </w:rPr>
        <w:t>by</w:t>
      </w:r>
      <w:r>
        <w:rPr>
          <w:i/>
          <w:color w:val="231F20"/>
          <w:spacing w:val="-12"/>
          <w:w w:val="105"/>
          <w:sz w:val="18"/>
        </w:rPr>
        <w:t> </w:t>
      </w:r>
      <w:r>
        <w:rPr>
          <w:i/>
          <w:color w:val="231F20"/>
          <w:w w:val="105"/>
          <w:sz w:val="18"/>
        </w:rPr>
        <w:t>the</w:t>
      </w:r>
      <w:r>
        <w:rPr>
          <w:i/>
          <w:color w:val="231F20"/>
          <w:spacing w:val="-12"/>
          <w:w w:val="105"/>
          <w:sz w:val="18"/>
        </w:rPr>
        <w:t> </w:t>
      </w:r>
      <w:r>
        <w:rPr>
          <w:i/>
          <w:color w:val="231F20"/>
          <w:w w:val="105"/>
          <w:sz w:val="18"/>
        </w:rPr>
        <w:t>kidneys,</w:t>
      </w:r>
      <w:r>
        <w:rPr>
          <w:i/>
          <w:color w:val="231F20"/>
          <w:spacing w:val="-12"/>
          <w:w w:val="105"/>
          <w:sz w:val="18"/>
        </w:rPr>
        <w:t> </w:t>
      </w:r>
      <w:r>
        <w:rPr>
          <w:i/>
          <w:color w:val="231F20"/>
          <w:w w:val="105"/>
          <w:sz w:val="18"/>
        </w:rPr>
        <w:t>whereas </w:t>
      </w:r>
      <w:r>
        <w:rPr>
          <w:i/>
          <w:color w:val="231F20"/>
          <w:w w:val="105"/>
          <w:sz w:val="18"/>
        </w:rPr>
        <w:t>the P</w:t>
      </w:r>
      <w:r>
        <w:rPr>
          <w:i/>
          <w:color w:val="231F20"/>
          <w:w w:val="105"/>
          <w:sz w:val="14"/>
        </w:rPr>
        <w:t>CO</w:t>
      </w:r>
      <w:r>
        <w:rPr>
          <w:i/>
          <w:color w:val="231F20"/>
          <w:w w:val="105"/>
          <w:position w:val="-2"/>
          <w:sz w:val="11"/>
        </w:rPr>
        <w:t>2 </w:t>
      </w:r>
      <w:r>
        <w:rPr>
          <w:i/>
          <w:color w:val="231F20"/>
          <w:w w:val="105"/>
          <w:sz w:val="18"/>
        </w:rPr>
        <w:t>in extracellular fluid is controlled by the rate</w:t>
      </w:r>
      <w:r>
        <w:rPr>
          <w:i/>
          <w:color w:val="231F20"/>
          <w:spacing w:val="47"/>
          <w:w w:val="105"/>
          <w:sz w:val="18"/>
        </w:rPr>
        <w:t> </w:t>
      </w:r>
      <w:r>
        <w:rPr>
          <w:i/>
          <w:color w:val="231F20"/>
          <w:w w:val="105"/>
          <w:sz w:val="18"/>
        </w:rPr>
        <w:t>of respiration. </w:t>
      </w:r>
      <w:r>
        <w:rPr>
          <w:color w:val="231F20"/>
          <w:w w:val="105"/>
          <w:sz w:val="18"/>
        </w:rPr>
        <w:t>By increasing the rate of respiration, the lungs remove CO</w:t>
      </w:r>
      <w:r>
        <w:rPr>
          <w:color w:val="231F20"/>
          <w:w w:val="105"/>
          <w:sz w:val="18"/>
          <w:vertAlign w:val="subscript"/>
        </w:rPr>
        <w:t>2</w:t>
      </w:r>
      <w:r>
        <w:rPr>
          <w:color w:val="231F20"/>
          <w:w w:val="105"/>
          <w:sz w:val="18"/>
          <w:vertAlign w:val="baseline"/>
        </w:rPr>
        <w:t> from the plasma, and by decreasing respiration, the lungs elevate P</w:t>
      </w:r>
      <w:r>
        <w:rPr>
          <w:color w:val="231F20"/>
          <w:w w:val="105"/>
          <w:sz w:val="14"/>
          <w:vertAlign w:val="baseline"/>
        </w:rPr>
        <w:t>CO</w:t>
      </w:r>
      <w:r>
        <w:rPr>
          <w:color w:val="231F20"/>
          <w:w w:val="105"/>
          <w:position w:val="-2"/>
          <w:sz w:val="11"/>
          <w:vertAlign w:val="baseline"/>
        </w:rPr>
        <w:t>2</w:t>
      </w:r>
      <w:r>
        <w:rPr>
          <w:color w:val="231F20"/>
          <w:w w:val="105"/>
          <w:sz w:val="18"/>
          <w:vertAlign w:val="baseline"/>
        </w:rPr>
        <w:t>. Normal</w:t>
      </w:r>
      <w:r>
        <w:rPr>
          <w:color w:val="231F20"/>
          <w:spacing w:val="-11"/>
          <w:w w:val="105"/>
          <w:sz w:val="18"/>
          <w:vertAlign w:val="baseline"/>
        </w:rPr>
        <w:t> </w:t>
      </w:r>
      <w:r>
        <w:rPr>
          <w:color w:val="231F20"/>
          <w:w w:val="105"/>
          <w:sz w:val="18"/>
          <w:vertAlign w:val="baseline"/>
        </w:rPr>
        <w:t>physiological acid-base homeostasis results from the coordinated efforts of both of these organs, the lungs and the</w:t>
      </w:r>
      <w:r>
        <w:rPr>
          <w:color w:val="231F20"/>
          <w:spacing w:val="-25"/>
          <w:w w:val="105"/>
          <w:sz w:val="18"/>
          <w:vertAlign w:val="baseline"/>
        </w:rPr>
        <w:t> </w:t>
      </w:r>
      <w:r>
        <w:rPr>
          <w:color w:val="231F20"/>
          <w:w w:val="105"/>
          <w:sz w:val="18"/>
          <w:vertAlign w:val="baseline"/>
        </w:rPr>
        <w:t>kidneys, and</w:t>
      </w:r>
      <w:r>
        <w:rPr>
          <w:color w:val="231F20"/>
          <w:spacing w:val="15"/>
          <w:w w:val="105"/>
          <w:sz w:val="18"/>
          <w:vertAlign w:val="baseline"/>
        </w:rPr>
        <w:t> </w:t>
      </w:r>
      <w:r>
        <w:rPr>
          <w:color w:val="231F20"/>
          <w:w w:val="105"/>
          <w:sz w:val="18"/>
          <w:vertAlign w:val="baseline"/>
        </w:rPr>
        <w:t>acid-base</w:t>
      </w:r>
      <w:r>
        <w:rPr>
          <w:color w:val="231F20"/>
          <w:spacing w:val="16"/>
          <w:w w:val="105"/>
          <w:sz w:val="18"/>
          <w:vertAlign w:val="baseline"/>
        </w:rPr>
        <w:t> </w:t>
      </w:r>
      <w:r>
        <w:rPr>
          <w:color w:val="231F20"/>
          <w:w w:val="105"/>
          <w:sz w:val="18"/>
          <w:vertAlign w:val="baseline"/>
        </w:rPr>
        <w:t>disorders</w:t>
      </w:r>
      <w:r>
        <w:rPr>
          <w:color w:val="231F20"/>
          <w:spacing w:val="15"/>
          <w:w w:val="105"/>
          <w:sz w:val="18"/>
          <w:vertAlign w:val="baseline"/>
        </w:rPr>
        <w:t> </w:t>
      </w:r>
      <w:r>
        <w:rPr>
          <w:color w:val="231F20"/>
          <w:w w:val="105"/>
          <w:sz w:val="18"/>
          <w:vertAlign w:val="baseline"/>
        </w:rPr>
        <w:t>occur</w:t>
      </w:r>
      <w:r>
        <w:rPr>
          <w:color w:val="231F20"/>
          <w:spacing w:val="16"/>
          <w:w w:val="105"/>
          <w:sz w:val="18"/>
          <w:vertAlign w:val="baseline"/>
        </w:rPr>
        <w:t> </w:t>
      </w:r>
      <w:r>
        <w:rPr>
          <w:color w:val="231F20"/>
          <w:w w:val="105"/>
          <w:sz w:val="18"/>
          <w:vertAlign w:val="baseline"/>
        </w:rPr>
        <w:t>when</w:t>
      </w:r>
      <w:r>
        <w:rPr>
          <w:color w:val="231F20"/>
          <w:spacing w:val="15"/>
          <w:w w:val="105"/>
          <w:sz w:val="18"/>
          <w:vertAlign w:val="baseline"/>
        </w:rPr>
        <w:t> </w:t>
      </w:r>
      <w:r>
        <w:rPr>
          <w:color w:val="231F20"/>
          <w:w w:val="105"/>
          <w:sz w:val="18"/>
          <w:vertAlign w:val="baseline"/>
        </w:rPr>
        <w:t>one</w:t>
      </w:r>
      <w:r>
        <w:rPr>
          <w:color w:val="231F20"/>
          <w:spacing w:val="16"/>
          <w:w w:val="105"/>
          <w:sz w:val="18"/>
          <w:vertAlign w:val="baseline"/>
        </w:rPr>
        <w:t> </w:t>
      </w:r>
      <w:r>
        <w:rPr>
          <w:color w:val="231F20"/>
          <w:w w:val="105"/>
          <w:sz w:val="18"/>
          <w:vertAlign w:val="baseline"/>
        </w:rPr>
        <w:t>or</w:t>
      </w:r>
      <w:r>
        <w:rPr>
          <w:color w:val="231F20"/>
          <w:spacing w:val="15"/>
          <w:w w:val="105"/>
          <w:sz w:val="18"/>
          <w:vertAlign w:val="baseline"/>
        </w:rPr>
        <w:t> </w:t>
      </w:r>
      <w:r>
        <w:rPr>
          <w:color w:val="231F20"/>
          <w:w w:val="105"/>
          <w:sz w:val="18"/>
          <w:vertAlign w:val="baseline"/>
        </w:rPr>
        <w:t>both</w:t>
      </w:r>
      <w:r>
        <w:rPr>
          <w:color w:val="231F20"/>
          <w:spacing w:val="16"/>
          <w:w w:val="105"/>
          <w:sz w:val="18"/>
          <w:vertAlign w:val="baseline"/>
        </w:rPr>
        <w:t> </w:t>
      </w:r>
      <w:r>
        <w:rPr>
          <w:color w:val="231F20"/>
          <w:w w:val="105"/>
          <w:sz w:val="18"/>
          <w:vertAlign w:val="baseline"/>
        </w:rPr>
        <w:t>of</w:t>
      </w:r>
    </w:p>
    <w:p>
      <w:pPr>
        <w:spacing w:after="0" w:line="252" w:lineRule="auto"/>
        <w:jc w:val="both"/>
        <w:rPr>
          <w:sz w:val="18"/>
        </w:rPr>
        <w:sectPr>
          <w:type w:val="continuous"/>
          <w:pgSz w:w="12240" w:h="15660"/>
          <w:pgMar w:top="0" w:bottom="760" w:left="0" w:right="0"/>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944"/>
          <w:pgSz w:w="12240" w:h="15660"/>
          <w:pgMar w:header="0" w:footer="567" w:top="0" w:bottom="760" w:left="0" w:right="0"/>
        </w:sectPr>
      </w:pPr>
    </w:p>
    <w:p>
      <w:pPr>
        <w:pStyle w:val="BodyText"/>
        <w:spacing w:before="1"/>
        <w:rPr>
          <w:sz w:val="12"/>
        </w:rPr>
      </w:pPr>
    </w:p>
    <w:p>
      <w:pPr>
        <w:pStyle w:val="BodyText"/>
        <w:ind w:left="1440" w:right="-72"/>
      </w:pPr>
      <w:r>
        <w:rPr/>
        <w:pict>
          <v:group style="width:234pt;height:123.2pt;mso-position-horizontal-relative:char;mso-position-vertical-relative:line" coordorigin="0,0" coordsize="4680,2464">
            <v:rect style="position:absolute;left:0;top:0;width:4680;height:2464" filled="true" fillcolor="#f0eef6" stroked="false">
              <v:fill type="solid"/>
            </v:rect>
          </v:group>
        </w:pict>
      </w:r>
      <w:r>
        <w:rPr/>
      </w:r>
    </w:p>
    <w:p>
      <w:pPr>
        <w:pStyle w:val="BodyText"/>
        <w:spacing w:before="3"/>
        <w:rPr>
          <w:sz w:val="30"/>
        </w:rPr>
      </w:pPr>
    </w:p>
    <w:p>
      <w:pPr>
        <w:pStyle w:val="BodyText"/>
        <w:spacing w:line="249" w:lineRule="auto"/>
        <w:ind w:left="1440"/>
        <w:jc w:val="both"/>
      </w:pPr>
      <w:r>
        <w:rPr/>
        <w:pict>
          <v:shape style="position:absolute;margin-left:186.658096pt;margin-top:88.846191pt;width:3pt;height:8.7pt;mso-position-horizontal-relative:page;mso-position-vertical-relative:paragraph;z-index:-27257958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97.344299pt;margin-top:136.846191pt;width:3pt;height:8.7pt;mso-position-horizontal-relative:page;mso-position-vertical-relative:paragraph;z-index:-27257856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rFonts w:ascii="Trebuchet MS" w:hAnsi="Trebuchet MS"/>
          <w:b/>
          <w:color w:val="231F20"/>
          <w:w w:val="105"/>
          <w:sz w:val="19"/>
        </w:rPr>
        <w:t>The</w:t>
      </w:r>
      <w:r>
        <w:rPr>
          <w:rFonts w:ascii="Trebuchet MS" w:hAnsi="Trebuchet MS"/>
          <w:b/>
          <w:color w:val="231F20"/>
          <w:spacing w:val="-39"/>
          <w:w w:val="105"/>
          <w:sz w:val="19"/>
        </w:rPr>
        <w:t> </w:t>
      </w:r>
      <w:r>
        <w:rPr>
          <w:rFonts w:ascii="Trebuchet MS" w:hAnsi="Trebuchet MS"/>
          <w:b/>
          <w:color w:val="231F20"/>
          <w:w w:val="105"/>
          <w:sz w:val="19"/>
        </w:rPr>
        <w:t>Bicarbonate</w:t>
      </w:r>
      <w:r>
        <w:rPr>
          <w:rFonts w:ascii="Trebuchet MS" w:hAnsi="Trebuchet MS"/>
          <w:b/>
          <w:color w:val="231F20"/>
          <w:spacing w:val="-39"/>
          <w:w w:val="105"/>
          <w:sz w:val="19"/>
        </w:rPr>
        <w:t> </w:t>
      </w:r>
      <w:r>
        <w:rPr>
          <w:rFonts w:ascii="Trebuchet MS" w:hAnsi="Trebuchet MS"/>
          <w:b/>
          <w:color w:val="231F20"/>
          <w:w w:val="105"/>
          <w:sz w:val="19"/>
        </w:rPr>
        <w:t>Buffer</w:t>
      </w:r>
      <w:r>
        <w:rPr>
          <w:rFonts w:ascii="Trebuchet MS" w:hAnsi="Trebuchet MS"/>
          <w:b/>
          <w:color w:val="231F20"/>
          <w:spacing w:val="-39"/>
          <w:w w:val="105"/>
          <w:sz w:val="19"/>
        </w:rPr>
        <w:t> </w:t>
      </w:r>
      <w:r>
        <w:rPr>
          <w:rFonts w:ascii="Trebuchet MS" w:hAnsi="Trebuchet MS"/>
          <w:b/>
          <w:color w:val="231F20"/>
          <w:w w:val="105"/>
          <w:sz w:val="19"/>
        </w:rPr>
        <w:t>System</w:t>
      </w:r>
      <w:r>
        <w:rPr>
          <w:rFonts w:ascii="Trebuchet MS" w:hAnsi="Trebuchet MS"/>
          <w:b/>
          <w:color w:val="231F20"/>
          <w:spacing w:val="-38"/>
          <w:w w:val="105"/>
          <w:sz w:val="19"/>
        </w:rPr>
        <w:t> </w:t>
      </w:r>
      <w:r>
        <w:rPr>
          <w:rFonts w:ascii="Trebuchet MS" w:hAnsi="Trebuchet MS"/>
          <w:b/>
          <w:color w:val="231F20"/>
          <w:w w:val="105"/>
          <w:sz w:val="19"/>
        </w:rPr>
        <w:t>Is</w:t>
      </w:r>
      <w:r>
        <w:rPr>
          <w:rFonts w:ascii="Trebuchet MS" w:hAnsi="Trebuchet MS"/>
          <w:b/>
          <w:color w:val="231F20"/>
          <w:spacing w:val="-39"/>
          <w:w w:val="105"/>
          <w:sz w:val="19"/>
        </w:rPr>
        <w:t> </w:t>
      </w:r>
      <w:r>
        <w:rPr>
          <w:rFonts w:ascii="Trebuchet MS" w:hAnsi="Trebuchet MS"/>
          <w:b/>
          <w:color w:val="231F20"/>
          <w:w w:val="105"/>
          <w:sz w:val="19"/>
        </w:rPr>
        <w:t>the</w:t>
      </w:r>
      <w:r>
        <w:rPr>
          <w:rFonts w:ascii="Trebuchet MS" w:hAnsi="Trebuchet MS"/>
          <w:b/>
          <w:color w:val="231F20"/>
          <w:spacing w:val="-39"/>
          <w:w w:val="105"/>
          <w:sz w:val="19"/>
        </w:rPr>
        <w:t> </w:t>
      </w:r>
      <w:r>
        <w:rPr>
          <w:rFonts w:ascii="Trebuchet MS" w:hAnsi="Trebuchet MS"/>
          <w:b/>
          <w:color w:val="231F20"/>
          <w:w w:val="105"/>
          <w:sz w:val="19"/>
        </w:rPr>
        <w:t>Most</w:t>
      </w:r>
      <w:r>
        <w:rPr>
          <w:rFonts w:ascii="Trebuchet MS" w:hAnsi="Trebuchet MS"/>
          <w:b/>
          <w:color w:val="231F20"/>
          <w:spacing w:val="-38"/>
          <w:w w:val="105"/>
          <w:sz w:val="19"/>
        </w:rPr>
        <w:t> </w:t>
      </w:r>
      <w:r>
        <w:rPr>
          <w:rFonts w:ascii="Trebuchet MS" w:hAnsi="Trebuchet MS"/>
          <w:b/>
          <w:color w:val="231F20"/>
          <w:w w:val="105"/>
          <w:sz w:val="19"/>
        </w:rPr>
        <w:t>Important Extracellular</w:t>
      </w:r>
      <w:r>
        <w:rPr>
          <w:rFonts w:ascii="Trebuchet MS" w:hAnsi="Trebuchet MS"/>
          <w:b/>
          <w:color w:val="231F20"/>
          <w:spacing w:val="-18"/>
          <w:w w:val="105"/>
          <w:sz w:val="19"/>
        </w:rPr>
        <w:t> </w:t>
      </w:r>
      <w:r>
        <w:rPr>
          <w:rFonts w:ascii="Trebuchet MS" w:hAnsi="Trebuchet MS"/>
          <w:b/>
          <w:color w:val="231F20"/>
          <w:spacing w:val="-4"/>
          <w:w w:val="105"/>
          <w:sz w:val="19"/>
        </w:rPr>
        <w:t>Buffer.</w:t>
      </w:r>
      <w:r>
        <w:rPr>
          <w:rFonts w:ascii="Trebuchet MS" w:hAnsi="Trebuchet MS"/>
          <w:b/>
          <w:color w:val="231F20"/>
          <w:spacing w:val="6"/>
          <w:w w:val="105"/>
          <w:sz w:val="19"/>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w w:val="105"/>
        </w:rPr>
        <w:t>titration</w:t>
      </w:r>
      <w:r>
        <w:rPr>
          <w:color w:val="231F20"/>
          <w:spacing w:val="-13"/>
          <w:w w:val="105"/>
        </w:rPr>
        <w:t> </w:t>
      </w:r>
      <w:r>
        <w:rPr>
          <w:color w:val="231F20"/>
          <w:w w:val="105"/>
        </w:rPr>
        <w:t>curve</w:t>
      </w:r>
      <w:r>
        <w:rPr>
          <w:color w:val="231F20"/>
          <w:spacing w:val="-14"/>
          <w:w w:val="105"/>
        </w:rPr>
        <w:t> </w:t>
      </w:r>
      <w:r>
        <w:rPr>
          <w:color w:val="231F20"/>
          <w:w w:val="105"/>
        </w:rPr>
        <w:t>shown</w:t>
      </w:r>
      <w:r>
        <w:rPr>
          <w:color w:val="231F20"/>
          <w:spacing w:val="-14"/>
          <w:w w:val="105"/>
        </w:rPr>
        <w:t> </w:t>
      </w:r>
      <w:r>
        <w:rPr>
          <w:color w:val="231F20"/>
          <w:spacing w:val="-8"/>
          <w:w w:val="105"/>
        </w:rPr>
        <w:t>in </w:t>
      </w:r>
      <w:hyperlink w:history="true" w:anchor="_bookmark102">
        <w:r>
          <w:rPr>
            <w:b/>
            <w:color w:val="0080AC"/>
            <w:w w:val="105"/>
          </w:rPr>
          <w:t>Figure</w:t>
        </w:r>
        <w:r>
          <w:rPr>
            <w:b/>
            <w:color w:val="0080AC"/>
            <w:spacing w:val="-22"/>
            <w:w w:val="105"/>
          </w:rPr>
          <w:t> </w:t>
        </w:r>
        <w:r>
          <w:rPr>
            <w:b/>
            <w:color w:val="0080AC"/>
            <w:w w:val="105"/>
          </w:rPr>
          <w:t>31-1</w:t>
        </w:r>
        <w:r>
          <w:rPr>
            <w:color w:val="0080AC"/>
            <w:w w:val="105"/>
          </w:rPr>
          <w:t>,</w:t>
        </w:r>
        <w:r>
          <w:rPr>
            <w:color w:val="0080AC"/>
            <w:spacing w:val="-19"/>
            <w:w w:val="105"/>
          </w:rPr>
          <w:t> </w:t>
        </w:r>
        <w:r>
          <w:rPr>
            <w:color w:val="0080AC"/>
            <w:w w:val="105"/>
          </w:rPr>
          <w:t>one</w:t>
        </w:r>
        <w:r>
          <w:rPr>
            <w:color w:val="0080AC"/>
            <w:spacing w:val="-20"/>
            <w:w w:val="105"/>
          </w:rPr>
          <w:t> </w:t>
        </w:r>
      </w:hyperlink>
      <w:r>
        <w:rPr>
          <w:color w:val="231F20"/>
          <w:w w:val="105"/>
        </w:rPr>
        <w:t>would</w:t>
      </w:r>
      <w:r>
        <w:rPr>
          <w:color w:val="231F20"/>
          <w:spacing w:val="-19"/>
          <w:w w:val="105"/>
        </w:rPr>
        <w:t> </w:t>
      </w:r>
      <w:r>
        <w:rPr>
          <w:color w:val="231F20"/>
          <w:w w:val="105"/>
        </w:rPr>
        <w:t>not</w:t>
      </w:r>
      <w:r>
        <w:rPr>
          <w:color w:val="231F20"/>
          <w:spacing w:val="-20"/>
          <w:w w:val="105"/>
        </w:rPr>
        <w:t> </w:t>
      </w:r>
      <w:r>
        <w:rPr>
          <w:color w:val="231F20"/>
          <w:w w:val="105"/>
        </w:rPr>
        <w:t>expect</w:t>
      </w:r>
      <w:r>
        <w:rPr>
          <w:color w:val="231F20"/>
          <w:spacing w:val="-19"/>
          <w:w w:val="105"/>
        </w:rPr>
        <w:t> </w:t>
      </w:r>
      <w:r>
        <w:rPr>
          <w:color w:val="231F20"/>
          <w:w w:val="105"/>
        </w:rPr>
        <w:t>the</w:t>
      </w:r>
      <w:r>
        <w:rPr>
          <w:color w:val="231F20"/>
          <w:spacing w:val="-20"/>
          <w:w w:val="105"/>
        </w:rPr>
        <w:t> </w:t>
      </w:r>
      <w:r>
        <w:rPr>
          <w:color w:val="231F20"/>
          <w:w w:val="105"/>
        </w:rPr>
        <w:t>bicarbonate</w:t>
      </w:r>
      <w:r>
        <w:rPr>
          <w:color w:val="231F20"/>
          <w:spacing w:val="-19"/>
          <w:w w:val="105"/>
        </w:rPr>
        <w:t> </w:t>
      </w:r>
      <w:r>
        <w:rPr>
          <w:color w:val="231F20"/>
          <w:spacing w:val="-4"/>
          <w:w w:val="105"/>
        </w:rPr>
        <w:t>buffer </w:t>
      </w:r>
      <w:r>
        <w:rPr>
          <w:color w:val="231F20"/>
          <w:w w:val="105"/>
        </w:rPr>
        <w:t>system to be powerful, for two reasons: First, the pH </w:t>
      </w:r>
      <w:r>
        <w:rPr>
          <w:color w:val="231F20"/>
          <w:spacing w:val="-6"/>
          <w:w w:val="105"/>
        </w:rPr>
        <w:t>of </w:t>
      </w:r>
      <w:r>
        <w:rPr>
          <w:color w:val="231F20"/>
          <w:w w:val="105"/>
        </w:rPr>
        <w:t>the</w:t>
      </w:r>
      <w:r>
        <w:rPr>
          <w:color w:val="231F20"/>
          <w:spacing w:val="-11"/>
          <w:w w:val="105"/>
        </w:rPr>
        <w:t> </w:t>
      </w:r>
      <w:r>
        <w:rPr>
          <w:color w:val="231F20"/>
          <w:w w:val="105"/>
        </w:rPr>
        <w:t>extracellular</w:t>
      </w:r>
      <w:r>
        <w:rPr>
          <w:color w:val="231F20"/>
          <w:spacing w:val="-10"/>
          <w:w w:val="105"/>
        </w:rPr>
        <w:t> </w:t>
      </w:r>
      <w:r>
        <w:rPr>
          <w:color w:val="231F20"/>
          <w:w w:val="105"/>
        </w:rPr>
        <w:t>fluid</w:t>
      </w:r>
      <w:r>
        <w:rPr>
          <w:color w:val="231F20"/>
          <w:spacing w:val="-10"/>
          <w:w w:val="105"/>
        </w:rPr>
        <w:t> </w:t>
      </w:r>
      <w:r>
        <w:rPr>
          <w:color w:val="231F20"/>
          <w:w w:val="105"/>
        </w:rPr>
        <w:t>is</w:t>
      </w:r>
      <w:r>
        <w:rPr>
          <w:color w:val="231F20"/>
          <w:spacing w:val="-10"/>
          <w:w w:val="105"/>
        </w:rPr>
        <w:t> </w:t>
      </w:r>
      <w:r>
        <w:rPr>
          <w:color w:val="231F20"/>
          <w:w w:val="105"/>
        </w:rPr>
        <w:t>about</w:t>
      </w:r>
      <w:r>
        <w:rPr>
          <w:color w:val="231F20"/>
          <w:spacing w:val="-10"/>
          <w:w w:val="105"/>
        </w:rPr>
        <w:t> </w:t>
      </w:r>
      <w:r>
        <w:rPr>
          <w:color w:val="231F20"/>
          <w:w w:val="105"/>
        </w:rPr>
        <w:t>7.4,</w:t>
      </w:r>
      <w:r>
        <w:rPr>
          <w:color w:val="231F20"/>
          <w:spacing w:val="-10"/>
          <w:w w:val="105"/>
        </w:rPr>
        <w:t> </w:t>
      </w:r>
      <w:r>
        <w:rPr>
          <w:color w:val="231F20"/>
          <w:w w:val="105"/>
        </w:rPr>
        <w:t>whereas</w:t>
      </w:r>
      <w:r>
        <w:rPr>
          <w:color w:val="231F20"/>
          <w:spacing w:val="-10"/>
          <w:w w:val="105"/>
        </w:rPr>
        <w:t> </w:t>
      </w:r>
      <w:r>
        <w:rPr>
          <w:color w:val="231F20"/>
          <w:w w:val="105"/>
        </w:rPr>
        <w:t>the</w:t>
      </w:r>
      <w:r>
        <w:rPr>
          <w:color w:val="231F20"/>
          <w:spacing w:val="-10"/>
          <w:w w:val="105"/>
        </w:rPr>
        <w:t> </w:t>
      </w:r>
      <w:r>
        <w:rPr>
          <w:color w:val="231F20"/>
          <w:w w:val="105"/>
        </w:rPr>
        <w:t>pK</w:t>
      </w:r>
      <w:r>
        <w:rPr>
          <w:color w:val="231F20"/>
          <w:spacing w:val="-11"/>
          <w:w w:val="105"/>
        </w:rPr>
        <w:t> </w:t>
      </w:r>
      <w:r>
        <w:rPr>
          <w:color w:val="231F20"/>
          <w:w w:val="105"/>
        </w:rPr>
        <w:t>of</w:t>
      </w:r>
      <w:r>
        <w:rPr>
          <w:color w:val="231F20"/>
          <w:spacing w:val="-10"/>
          <w:w w:val="105"/>
        </w:rPr>
        <w:t> </w:t>
      </w:r>
      <w:r>
        <w:rPr>
          <w:color w:val="231F20"/>
          <w:spacing w:val="-5"/>
          <w:w w:val="105"/>
        </w:rPr>
        <w:t>the </w:t>
      </w:r>
      <w:r>
        <w:rPr>
          <w:color w:val="231F20"/>
          <w:w w:val="105"/>
        </w:rPr>
        <w:t>bicarbonate</w:t>
      </w:r>
      <w:r>
        <w:rPr>
          <w:color w:val="231F20"/>
          <w:spacing w:val="-8"/>
          <w:w w:val="105"/>
        </w:rPr>
        <w:t> </w:t>
      </w:r>
      <w:r>
        <w:rPr>
          <w:color w:val="231F20"/>
          <w:w w:val="105"/>
        </w:rPr>
        <w:t>buffer</w:t>
      </w:r>
      <w:r>
        <w:rPr>
          <w:color w:val="231F20"/>
          <w:spacing w:val="-8"/>
          <w:w w:val="105"/>
        </w:rPr>
        <w:t> </w:t>
      </w:r>
      <w:r>
        <w:rPr>
          <w:color w:val="231F20"/>
          <w:w w:val="105"/>
        </w:rPr>
        <w:t>system</w:t>
      </w:r>
      <w:r>
        <w:rPr>
          <w:color w:val="231F20"/>
          <w:spacing w:val="-8"/>
          <w:w w:val="105"/>
        </w:rPr>
        <w:t> </w:t>
      </w:r>
      <w:r>
        <w:rPr>
          <w:color w:val="231F20"/>
          <w:w w:val="105"/>
        </w:rPr>
        <w:t>is</w:t>
      </w:r>
      <w:r>
        <w:rPr>
          <w:color w:val="231F20"/>
          <w:spacing w:val="-8"/>
          <w:w w:val="105"/>
        </w:rPr>
        <w:t> </w:t>
      </w:r>
      <w:r>
        <w:rPr>
          <w:color w:val="231F20"/>
          <w:w w:val="105"/>
        </w:rPr>
        <w:t>6.1,</w:t>
      </w:r>
      <w:r>
        <w:rPr>
          <w:color w:val="231F20"/>
          <w:spacing w:val="-8"/>
          <w:w w:val="105"/>
        </w:rPr>
        <w:t> </w:t>
      </w:r>
      <w:r>
        <w:rPr>
          <w:color w:val="231F20"/>
          <w:w w:val="105"/>
        </w:rPr>
        <w:t>which</w:t>
      </w:r>
      <w:r>
        <w:rPr>
          <w:color w:val="231F20"/>
          <w:spacing w:val="-8"/>
          <w:w w:val="105"/>
        </w:rPr>
        <w:t> </w:t>
      </w:r>
      <w:r>
        <w:rPr>
          <w:color w:val="231F20"/>
          <w:w w:val="105"/>
        </w:rPr>
        <w:t>means</w:t>
      </w:r>
      <w:r>
        <w:rPr>
          <w:color w:val="231F20"/>
          <w:spacing w:val="-8"/>
          <w:w w:val="105"/>
        </w:rPr>
        <w:t> </w:t>
      </w:r>
      <w:r>
        <w:rPr>
          <w:color w:val="231F20"/>
          <w:w w:val="105"/>
        </w:rPr>
        <w:t>that</w:t>
      </w:r>
      <w:r>
        <w:rPr>
          <w:color w:val="231F20"/>
          <w:spacing w:val="-7"/>
          <w:w w:val="105"/>
        </w:rPr>
        <w:t> </w:t>
      </w:r>
      <w:r>
        <w:rPr>
          <w:color w:val="231F20"/>
          <w:w w:val="105"/>
        </w:rPr>
        <w:t>there is about 20 times as much of the bicarbonate </w:t>
      </w:r>
      <w:r>
        <w:rPr>
          <w:color w:val="231F20"/>
          <w:spacing w:val="-4"/>
          <w:w w:val="105"/>
        </w:rPr>
        <w:t>buffer </w:t>
      </w:r>
      <w:r>
        <w:rPr>
          <w:color w:val="231F20"/>
          <w:w w:val="105"/>
        </w:rPr>
        <w:t>system in the form of HCO </w:t>
      </w:r>
      <w:r>
        <w:rPr>
          <w:rFonts w:ascii="Consolas" w:hAnsi="Consolas"/>
          <w:color w:val="231F20"/>
          <w:w w:val="105"/>
          <w:position w:val="8"/>
          <w:sz w:val="12"/>
        </w:rPr>
        <w:t>−</w:t>
      </w:r>
      <w:r>
        <w:rPr>
          <w:rFonts w:ascii="Consolas" w:hAnsi="Consolas"/>
          <w:color w:val="231F20"/>
          <w:spacing w:val="-49"/>
          <w:w w:val="105"/>
          <w:position w:val="8"/>
          <w:sz w:val="12"/>
        </w:rPr>
        <w:t> </w:t>
      </w:r>
      <w:r>
        <w:rPr>
          <w:color w:val="231F20"/>
          <w:w w:val="105"/>
        </w:rPr>
        <w:t>as in the form of dissolved CO</w:t>
      </w:r>
      <w:r>
        <w:rPr>
          <w:color w:val="231F20"/>
          <w:w w:val="105"/>
          <w:vertAlign w:val="subscript"/>
        </w:rPr>
        <w:t>2</w:t>
      </w:r>
      <w:r>
        <w:rPr>
          <w:color w:val="231F20"/>
          <w:w w:val="105"/>
          <w:vertAlign w:val="baseline"/>
        </w:rPr>
        <w:t>.</w:t>
      </w:r>
      <w:r>
        <w:rPr>
          <w:color w:val="231F20"/>
          <w:spacing w:val="-6"/>
          <w:w w:val="105"/>
          <w:vertAlign w:val="baseline"/>
        </w:rPr>
        <w:t> </w:t>
      </w:r>
      <w:r>
        <w:rPr>
          <w:color w:val="231F20"/>
          <w:spacing w:val="-3"/>
          <w:w w:val="105"/>
          <w:vertAlign w:val="baseline"/>
        </w:rPr>
        <w:t>For</w:t>
      </w:r>
      <w:r>
        <w:rPr>
          <w:color w:val="231F20"/>
          <w:spacing w:val="-5"/>
          <w:w w:val="105"/>
          <w:vertAlign w:val="baseline"/>
        </w:rPr>
        <w:t> </w:t>
      </w:r>
      <w:r>
        <w:rPr>
          <w:color w:val="231F20"/>
          <w:w w:val="105"/>
          <w:vertAlign w:val="baseline"/>
        </w:rPr>
        <w:t>this</w:t>
      </w:r>
      <w:r>
        <w:rPr>
          <w:color w:val="231F20"/>
          <w:spacing w:val="-6"/>
          <w:w w:val="105"/>
          <w:vertAlign w:val="baseline"/>
        </w:rPr>
        <w:t> </w:t>
      </w:r>
      <w:r>
        <w:rPr>
          <w:color w:val="231F20"/>
          <w:w w:val="105"/>
          <w:vertAlign w:val="baseline"/>
        </w:rPr>
        <w:t>reason,</w:t>
      </w:r>
      <w:r>
        <w:rPr>
          <w:color w:val="231F20"/>
          <w:spacing w:val="-5"/>
          <w:w w:val="105"/>
          <w:vertAlign w:val="baseline"/>
        </w:rPr>
        <w:t> </w:t>
      </w:r>
      <w:r>
        <w:rPr>
          <w:color w:val="231F20"/>
          <w:w w:val="105"/>
          <w:vertAlign w:val="baseline"/>
        </w:rPr>
        <w:t>this</w:t>
      </w:r>
      <w:r>
        <w:rPr>
          <w:color w:val="231F20"/>
          <w:spacing w:val="-5"/>
          <w:w w:val="105"/>
          <w:vertAlign w:val="baseline"/>
        </w:rPr>
        <w:t> </w:t>
      </w:r>
      <w:r>
        <w:rPr>
          <w:color w:val="231F20"/>
          <w:w w:val="105"/>
          <w:vertAlign w:val="baseline"/>
        </w:rPr>
        <w:t>system</w:t>
      </w:r>
      <w:r>
        <w:rPr>
          <w:color w:val="231F20"/>
          <w:spacing w:val="-6"/>
          <w:w w:val="105"/>
          <w:vertAlign w:val="baseline"/>
        </w:rPr>
        <w:t> </w:t>
      </w:r>
      <w:r>
        <w:rPr>
          <w:color w:val="231F20"/>
          <w:w w:val="105"/>
          <w:vertAlign w:val="baseline"/>
        </w:rPr>
        <w:t>operates</w:t>
      </w:r>
      <w:r>
        <w:rPr>
          <w:color w:val="231F20"/>
          <w:spacing w:val="-5"/>
          <w:w w:val="105"/>
          <w:vertAlign w:val="baseline"/>
        </w:rPr>
        <w:t> </w:t>
      </w:r>
      <w:r>
        <w:rPr>
          <w:color w:val="231F20"/>
          <w:w w:val="105"/>
          <w:vertAlign w:val="baseline"/>
        </w:rPr>
        <w:t>on</w:t>
      </w:r>
      <w:r>
        <w:rPr>
          <w:color w:val="231F20"/>
          <w:spacing w:val="-5"/>
          <w:w w:val="105"/>
          <w:vertAlign w:val="baseline"/>
        </w:rPr>
        <w:t> </w:t>
      </w:r>
      <w:r>
        <w:rPr>
          <w:color w:val="231F20"/>
          <w:w w:val="105"/>
          <w:vertAlign w:val="baseline"/>
        </w:rPr>
        <w:t>the</w:t>
      </w:r>
      <w:r>
        <w:rPr>
          <w:color w:val="231F20"/>
          <w:spacing w:val="-6"/>
          <w:w w:val="105"/>
          <w:vertAlign w:val="baseline"/>
        </w:rPr>
        <w:t> </w:t>
      </w:r>
      <w:r>
        <w:rPr>
          <w:color w:val="231F20"/>
          <w:spacing w:val="-3"/>
          <w:w w:val="105"/>
          <w:vertAlign w:val="baseline"/>
        </w:rPr>
        <w:t>portion </w:t>
      </w:r>
      <w:r>
        <w:rPr>
          <w:color w:val="231F20"/>
          <w:w w:val="105"/>
          <w:vertAlign w:val="baseline"/>
        </w:rPr>
        <w:t>of the buffering curve where the slope is low and </w:t>
      </w:r>
      <w:r>
        <w:rPr>
          <w:color w:val="231F20"/>
          <w:spacing w:val="-5"/>
          <w:w w:val="105"/>
          <w:vertAlign w:val="baseline"/>
        </w:rPr>
        <w:t>the </w:t>
      </w:r>
      <w:r>
        <w:rPr>
          <w:color w:val="231F20"/>
          <w:w w:val="105"/>
          <w:vertAlign w:val="baseline"/>
        </w:rPr>
        <w:t>buffering</w:t>
      </w:r>
      <w:r>
        <w:rPr>
          <w:color w:val="231F20"/>
          <w:spacing w:val="-24"/>
          <w:w w:val="105"/>
          <w:vertAlign w:val="baseline"/>
        </w:rPr>
        <w:t> </w:t>
      </w:r>
      <w:r>
        <w:rPr>
          <w:color w:val="231F20"/>
          <w:w w:val="105"/>
          <w:vertAlign w:val="baseline"/>
        </w:rPr>
        <w:t>power</w:t>
      </w:r>
      <w:r>
        <w:rPr>
          <w:color w:val="231F20"/>
          <w:spacing w:val="-24"/>
          <w:w w:val="105"/>
          <w:vertAlign w:val="baseline"/>
        </w:rPr>
        <w:t> </w:t>
      </w:r>
      <w:r>
        <w:rPr>
          <w:color w:val="231F20"/>
          <w:w w:val="105"/>
          <w:vertAlign w:val="baseline"/>
        </w:rPr>
        <w:t>is</w:t>
      </w:r>
      <w:r>
        <w:rPr>
          <w:color w:val="231F20"/>
          <w:spacing w:val="-24"/>
          <w:w w:val="105"/>
          <w:vertAlign w:val="baseline"/>
        </w:rPr>
        <w:t> </w:t>
      </w:r>
      <w:r>
        <w:rPr>
          <w:color w:val="231F20"/>
          <w:spacing w:val="-3"/>
          <w:w w:val="105"/>
          <w:vertAlign w:val="baseline"/>
        </w:rPr>
        <w:t>poor.</w:t>
      </w:r>
      <w:r>
        <w:rPr>
          <w:color w:val="231F20"/>
          <w:spacing w:val="-24"/>
          <w:w w:val="105"/>
          <w:vertAlign w:val="baseline"/>
        </w:rPr>
        <w:t> </w:t>
      </w:r>
      <w:r>
        <w:rPr>
          <w:color w:val="231F20"/>
          <w:w w:val="105"/>
          <w:vertAlign w:val="baseline"/>
        </w:rPr>
        <w:t>Second,</w:t>
      </w:r>
      <w:r>
        <w:rPr>
          <w:color w:val="231F20"/>
          <w:spacing w:val="-24"/>
          <w:w w:val="105"/>
          <w:vertAlign w:val="baseline"/>
        </w:rPr>
        <w:t> </w:t>
      </w:r>
      <w:r>
        <w:rPr>
          <w:color w:val="231F20"/>
          <w:w w:val="105"/>
          <w:vertAlign w:val="baseline"/>
        </w:rPr>
        <w:t>the</w:t>
      </w:r>
      <w:r>
        <w:rPr>
          <w:color w:val="231F20"/>
          <w:spacing w:val="-23"/>
          <w:w w:val="105"/>
          <w:vertAlign w:val="baseline"/>
        </w:rPr>
        <w:t> </w:t>
      </w:r>
      <w:r>
        <w:rPr>
          <w:color w:val="231F20"/>
          <w:w w:val="105"/>
          <w:vertAlign w:val="baseline"/>
        </w:rPr>
        <w:t>concentrations</w:t>
      </w:r>
      <w:r>
        <w:rPr>
          <w:color w:val="231F20"/>
          <w:spacing w:val="-24"/>
          <w:w w:val="105"/>
          <w:vertAlign w:val="baseline"/>
        </w:rPr>
        <w:t> </w:t>
      </w:r>
      <w:r>
        <w:rPr>
          <w:color w:val="231F20"/>
          <w:w w:val="105"/>
          <w:vertAlign w:val="baseline"/>
        </w:rPr>
        <w:t>of</w:t>
      </w:r>
      <w:r>
        <w:rPr>
          <w:color w:val="231F20"/>
          <w:spacing w:val="-24"/>
          <w:w w:val="105"/>
          <w:vertAlign w:val="baseline"/>
        </w:rPr>
        <w:t> </w:t>
      </w:r>
      <w:r>
        <w:rPr>
          <w:color w:val="231F20"/>
          <w:spacing w:val="-5"/>
          <w:w w:val="105"/>
          <w:vertAlign w:val="baseline"/>
        </w:rPr>
        <w:t>the </w:t>
      </w:r>
      <w:r>
        <w:rPr>
          <w:color w:val="231F20"/>
          <w:w w:val="105"/>
          <w:vertAlign w:val="baseline"/>
        </w:rPr>
        <w:t>two</w:t>
      </w:r>
      <w:r>
        <w:rPr>
          <w:color w:val="231F20"/>
          <w:spacing w:val="-16"/>
          <w:w w:val="105"/>
          <w:vertAlign w:val="baseline"/>
        </w:rPr>
        <w:t> </w:t>
      </w:r>
      <w:r>
        <w:rPr>
          <w:color w:val="231F20"/>
          <w:w w:val="105"/>
          <w:vertAlign w:val="baseline"/>
        </w:rPr>
        <w:t>elements</w:t>
      </w:r>
      <w:r>
        <w:rPr>
          <w:color w:val="231F20"/>
          <w:spacing w:val="-16"/>
          <w:w w:val="105"/>
          <w:vertAlign w:val="baseline"/>
        </w:rPr>
        <w:t> </w:t>
      </w:r>
      <w:r>
        <w:rPr>
          <w:color w:val="231F20"/>
          <w:w w:val="105"/>
          <w:vertAlign w:val="baseline"/>
        </w:rPr>
        <w:t>of</w:t>
      </w:r>
      <w:r>
        <w:rPr>
          <w:color w:val="231F20"/>
          <w:spacing w:val="-15"/>
          <w:w w:val="105"/>
          <w:vertAlign w:val="baseline"/>
        </w:rPr>
        <w:t> </w:t>
      </w:r>
      <w:r>
        <w:rPr>
          <w:color w:val="231F20"/>
          <w:w w:val="105"/>
          <w:vertAlign w:val="baseline"/>
        </w:rPr>
        <w:t>the</w:t>
      </w:r>
      <w:r>
        <w:rPr>
          <w:color w:val="231F20"/>
          <w:spacing w:val="-16"/>
          <w:w w:val="105"/>
          <w:vertAlign w:val="baseline"/>
        </w:rPr>
        <w:t> </w:t>
      </w:r>
      <w:r>
        <w:rPr>
          <w:color w:val="231F20"/>
          <w:w w:val="105"/>
          <w:vertAlign w:val="baseline"/>
        </w:rPr>
        <w:t>bicarbonate</w:t>
      </w:r>
      <w:r>
        <w:rPr>
          <w:color w:val="231F20"/>
          <w:spacing w:val="-15"/>
          <w:w w:val="105"/>
          <w:vertAlign w:val="baseline"/>
        </w:rPr>
        <w:t> </w:t>
      </w:r>
      <w:r>
        <w:rPr>
          <w:color w:val="231F20"/>
          <w:w w:val="105"/>
          <w:vertAlign w:val="baseline"/>
        </w:rPr>
        <w:t>system,</w:t>
      </w:r>
      <w:r>
        <w:rPr>
          <w:color w:val="231F20"/>
          <w:spacing w:val="-16"/>
          <w:w w:val="105"/>
          <w:vertAlign w:val="baseline"/>
        </w:rPr>
        <w:t> </w:t>
      </w:r>
      <w:r>
        <w:rPr>
          <w:color w:val="231F20"/>
          <w:w w:val="105"/>
          <w:vertAlign w:val="baseline"/>
        </w:rPr>
        <w:t>CO</w:t>
      </w:r>
      <w:r>
        <w:rPr>
          <w:color w:val="231F20"/>
          <w:w w:val="105"/>
          <w:vertAlign w:val="subscript"/>
        </w:rPr>
        <w:t>2</w:t>
      </w:r>
      <w:r>
        <w:rPr>
          <w:color w:val="231F20"/>
          <w:spacing w:val="-15"/>
          <w:w w:val="105"/>
          <w:vertAlign w:val="baseline"/>
        </w:rPr>
        <w:t> </w:t>
      </w:r>
      <w:r>
        <w:rPr>
          <w:color w:val="231F20"/>
          <w:w w:val="105"/>
          <w:vertAlign w:val="baseline"/>
        </w:rPr>
        <w:t>and</w:t>
      </w:r>
      <w:r>
        <w:rPr>
          <w:color w:val="231F20"/>
          <w:spacing w:val="-16"/>
          <w:w w:val="105"/>
          <w:vertAlign w:val="baseline"/>
        </w:rPr>
        <w:t> </w:t>
      </w:r>
      <w:r>
        <w:rPr>
          <w:color w:val="231F20"/>
          <w:w w:val="105"/>
          <w:vertAlign w:val="baseline"/>
        </w:rPr>
        <w:t>HCO</w:t>
      </w:r>
      <w:r>
        <w:rPr>
          <w:color w:val="231F20"/>
          <w:spacing w:val="-3"/>
          <w:w w:val="105"/>
          <w:vertAlign w:val="baseline"/>
        </w:rPr>
        <w:t> </w:t>
      </w:r>
      <w:r>
        <w:rPr>
          <w:rFonts w:ascii="Consolas" w:hAnsi="Consolas"/>
          <w:color w:val="231F20"/>
          <w:spacing w:val="-9"/>
          <w:w w:val="105"/>
          <w:position w:val="8"/>
          <w:sz w:val="12"/>
          <w:vertAlign w:val="baseline"/>
        </w:rPr>
        <w:t>−</w:t>
      </w:r>
      <w:r>
        <w:rPr>
          <w:color w:val="231F20"/>
          <w:spacing w:val="-9"/>
          <w:w w:val="105"/>
          <w:vertAlign w:val="baseline"/>
        </w:rPr>
        <w:t>,</w:t>
      </w:r>
    </w:p>
    <w:p>
      <w:pPr>
        <w:pStyle w:val="BodyText"/>
        <w:spacing w:line="249" w:lineRule="auto" w:before="100"/>
        <w:ind w:left="319" w:right="1077" w:firstLine="240"/>
        <w:jc w:val="both"/>
      </w:pPr>
      <w:r>
        <w:rPr/>
        <w:br w:type="column"/>
      </w:r>
      <w:r>
        <w:rPr>
          <w:color w:val="231F20"/>
          <w:w w:val="105"/>
        </w:rPr>
        <w:t>The</w:t>
      </w:r>
      <w:r>
        <w:rPr>
          <w:color w:val="231F20"/>
          <w:spacing w:val="-14"/>
          <w:w w:val="105"/>
        </w:rPr>
        <w:t> </w:t>
      </w:r>
      <w:r>
        <w:rPr>
          <w:color w:val="231F20"/>
          <w:w w:val="105"/>
        </w:rPr>
        <w:t>phosphate</w:t>
      </w:r>
      <w:r>
        <w:rPr>
          <w:color w:val="231F20"/>
          <w:spacing w:val="-13"/>
          <w:w w:val="105"/>
        </w:rPr>
        <w:t> </w:t>
      </w:r>
      <w:r>
        <w:rPr>
          <w:color w:val="231F20"/>
          <w:w w:val="105"/>
        </w:rPr>
        <w:t>buffer</w:t>
      </w:r>
      <w:r>
        <w:rPr>
          <w:color w:val="231F20"/>
          <w:spacing w:val="-13"/>
          <w:w w:val="105"/>
        </w:rPr>
        <w:t> </w:t>
      </w:r>
      <w:r>
        <w:rPr>
          <w:color w:val="231F20"/>
          <w:w w:val="105"/>
        </w:rPr>
        <w:t>system</w:t>
      </w:r>
      <w:r>
        <w:rPr>
          <w:color w:val="231F20"/>
          <w:spacing w:val="-13"/>
          <w:w w:val="105"/>
        </w:rPr>
        <w:t> </w:t>
      </w:r>
      <w:r>
        <w:rPr>
          <w:color w:val="231F20"/>
          <w:w w:val="105"/>
        </w:rPr>
        <w:t>has</w:t>
      </w:r>
      <w:r>
        <w:rPr>
          <w:color w:val="231F20"/>
          <w:spacing w:val="-13"/>
          <w:w w:val="105"/>
        </w:rPr>
        <w:t> </w:t>
      </w:r>
      <w:r>
        <w:rPr>
          <w:color w:val="231F20"/>
          <w:w w:val="105"/>
        </w:rPr>
        <w:t>a</w:t>
      </w:r>
      <w:r>
        <w:rPr>
          <w:color w:val="231F20"/>
          <w:spacing w:val="-13"/>
          <w:w w:val="105"/>
        </w:rPr>
        <w:t> </w:t>
      </w:r>
      <w:r>
        <w:rPr>
          <w:color w:val="231F20"/>
          <w:w w:val="105"/>
        </w:rPr>
        <w:t>pK</w:t>
      </w:r>
      <w:r>
        <w:rPr>
          <w:color w:val="231F20"/>
          <w:spacing w:val="-13"/>
          <w:w w:val="105"/>
        </w:rPr>
        <w:t> </w:t>
      </w:r>
      <w:r>
        <w:rPr>
          <w:color w:val="231F20"/>
          <w:w w:val="105"/>
        </w:rPr>
        <w:t>of</w:t>
      </w:r>
      <w:r>
        <w:rPr>
          <w:color w:val="231F20"/>
          <w:spacing w:val="-14"/>
          <w:w w:val="105"/>
        </w:rPr>
        <w:t> </w:t>
      </w:r>
      <w:r>
        <w:rPr>
          <w:color w:val="231F20"/>
          <w:w w:val="105"/>
        </w:rPr>
        <w:t>6.8,</w:t>
      </w:r>
      <w:r>
        <w:rPr>
          <w:color w:val="231F20"/>
          <w:spacing w:val="-13"/>
          <w:w w:val="105"/>
        </w:rPr>
        <w:t> </w:t>
      </w:r>
      <w:r>
        <w:rPr>
          <w:color w:val="231F20"/>
          <w:w w:val="105"/>
        </w:rPr>
        <w:t>which</w:t>
      </w:r>
      <w:r>
        <w:rPr>
          <w:color w:val="231F20"/>
          <w:spacing w:val="-13"/>
          <w:w w:val="105"/>
        </w:rPr>
        <w:t> </w:t>
      </w:r>
      <w:r>
        <w:rPr>
          <w:color w:val="231F20"/>
          <w:spacing w:val="-6"/>
          <w:w w:val="105"/>
        </w:rPr>
        <w:t>is </w:t>
      </w:r>
      <w:r>
        <w:rPr>
          <w:color w:val="231F20"/>
          <w:w w:val="105"/>
        </w:rPr>
        <w:t>not</w:t>
      </w:r>
      <w:r>
        <w:rPr>
          <w:color w:val="231F20"/>
          <w:spacing w:val="-8"/>
          <w:w w:val="105"/>
        </w:rPr>
        <w:t> </w:t>
      </w:r>
      <w:r>
        <w:rPr>
          <w:color w:val="231F20"/>
          <w:w w:val="105"/>
        </w:rPr>
        <w:t>far</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7"/>
          <w:w w:val="105"/>
        </w:rPr>
        <w:t> </w:t>
      </w:r>
      <w:r>
        <w:rPr>
          <w:color w:val="231F20"/>
          <w:w w:val="105"/>
        </w:rPr>
        <w:t>normal</w:t>
      </w:r>
      <w:r>
        <w:rPr>
          <w:color w:val="231F20"/>
          <w:spacing w:val="-8"/>
          <w:w w:val="105"/>
        </w:rPr>
        <w:t> </w:t>
      </w:r>
      <w:r>
        <w:rPr>
          <w:color w:val="231F20"/>
          <w:w w:val="105"/>
        </w:rPr>
        <w:t>pH</w:t>
      </w:r>
      <w:r>
        <w:rPr>
          <w:color w:val="231F20"/>
          <w:spacing w:val="-8"/>
          <w:w w:val="105"/>
        </w:rPr>
        <w:t> </w:t>
      </w:r>
      <w:r>
        <w:rPr>
          <w:color w:val="231F20"/>
          <w:w w:val="105"/>
        </w:rPr>
        <w:t>of</w:t>
      </w:r>
      <w:r>
        <w:rPr>
          <w:color w:val="231F20"/>
          <w:spacing w:val="-8"/>
          <w:w w:val="105"/>
        </w:rPr>
        <w:t> </w:t>
      </w:r>
      <w:r>
        <w:rPr>
          <w:color w:val="231F20"/>
          <w:w w:val="105"/>
        </w:rPr>
        <w:t>7.4</w:t>
      </w:r>
      <w:r>
        <w:rPr>
          <w:color w:val="231F20"/>
          <w:spacing w:val="-7"/>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body</w:t>
      </w:r>
      <w:r>
        <w:rPr>
          <w:color w:val="231F20"/>
          <w:spacing w:val="-8"/>
          <w:w w:val="105"/>
        </w:rPr>
        <w:t> </w:t>
      </w:r>
      <w:r>
        <w:rPr>
          <w:color w:val="231F20"/>
          <w:w w:val="105"/>
        </w:rPr>
        <w:t>fluids;</w:t>
      </w:r>
      <w:r>
        <w:rPr>
          <w:color w:val="231F20"/>
          <w:spacing w:val="-7"/>
          <w:w w:val="105"/>
        </w:rPr>
        <w:t> </w:t>
      </w:r>
      <w:r>
        <w:rPr>
          <w:color w:val="231F20"/>
          <w:w w:val="105"/>
        </w:rPr>
        <w:t>this situation</w:t>
      </w:r>
      <w:r>
        <w:rPr>
          <w:color w:val="231F20"/>
          <w:spacing w:val="-8"/>
          <w:w w:val="105"/>
        </w:rPr>
        <w:t> </w:t>
      </w:r>
      <w:r>
        <w:rPr>
          <w:color w:val="231F20"/>
          <w:w w:val="105"/>
        </w:rPr>
        <w:t>allows</w:t>
      </w:r>
      <w:r>
        <w:rPr>
          <w:color w:val="231F20"/>
          <w:spacing w:val="-7"/>
          <w:w w:val="105"/>
        </w:rPr>
        <w:t> </w:t>
      </w:r>
      <w:r>
        <w:rPr>
          <w:color w:val="231F20"/>
          <w:w w:val="105"/>
        </w:rPr>
        <w:t>the</w:t>
      </w:r>
      <w:r>
        <w:rPr>
          <w:color w:val="231F20"/>
          <w:spacing w:val="-7"/>
          <w:w w:val="105"/>
        </w:rPr>
        <w:t> </w:t>
      </w:r>
      <w:r>
        <w:rPr>
          <w:color w:val="231F20"/>
          <w:w w:val="105"/>
        </w:rPr>
        <w:t>system</w:t>
      </w:r>
      <w:r>
        <w:rPr>
          <w:color w:val="231F20"/>
          <w:spacing w:val="-7"/>
          <w:w w:val="105"/>
        </w:rPr>
        <w:t> </w:t>
      </w:r>
      <w:r>
        <w:rPr>
          <w:color w:val="231F20"/>
          <w:w w:val="105"/>
        </w:rPr>
        <w:t>to</w:t>
      </w:r>
      <w:r>
        <w:rPr>
          <w:color w:val="231F20"/>
          <w:spacing w:val="-7"/>
          <w:w w:val="105"/>
        </w:rPr>
        <w:t> </w:t>
      </w:r>
      <w:r>
        <w:rPr>
          <w:color w:val="231F20"/>
          <w:w w:val="105"/>
        </w:rPr>
        <w:t>operate</w:t>
      </w:r>
      <w:r>
        <w:rPr>
          <w:color w:val="231F20"/>
          <w:spacing w:val="-7"/>
          <w:w w:val="105"/>
        </w:rPr>
        <w:t> </w:t>
      </w:r>
      <w:r>
        <w:rPr>
          <w:color w:val="231F20"/>
          <w:w w:val="105"/>
        </w:rPr>
        <w:t>near</w:t>
      </w:r>
      <w:r>
        <w:rPr>
          <w:color w:val="231F20"/>
          <w:spacing w:val="-8"/>
          <w:w w:val="105"/>
        </w:rPr>
        <w:t> </w:t>
      </w:r>
      <w:r>
        <w:rPr>
          <w:color w:val="231F20"/>
          <w:w w:val="105"/>
        </w:rPr>
        <w:t>its</w:t>
      </w:r>
      <w:r>
        <w:rPr>
          <w:color w:val="231F20"/>
          <w:spacing w:val="-7"/>
          <w:w w:val="105"/>
        </w:rPr>
        <w:t> </w:t>
      </w:r>
      <w:r>
        <w:rPr>
          <w:color w:val="231F20"/>
          <w:w w:val="105"/>
        </w:rPr>
        <w:t>maximum buffering</w:t>
      </w:r>
      <w:r>
        <w:rPr>
          <w:color w:val="231F20"/>
          <w:spacing w:val="-16"/>
          <w:w w:val="105"/>
        </w:rPr>
        <w:t> </w:t>
      </w:r>
      <w:r>
        <w:rPr>
          <w:color w:val="231F20"/>
          <w:spacing w:val="-3"/>
          <w:w w:val="105"/>
        </w:rPr>
        <w:t>power.</w:t>
      </w:r>
      <w:r>
        <w:rPr>
          <w:color w:val="231F20"/>
          <w:spacing w:val="-16"/>
          <w:w w:val="105"/>
        </w:rPr>
        <w:t> </w:t>
      </w:r>
      <w:r>
        <w:rPr>
          <w:color w:val="231F20"/>
          <w:w w:val="105"/>
        </w:rPr>
        <w:t>However,</w:t>
      </w:r>
      <w:r>
        <w:rPr>
          <w:color w:val="231F20"/>
          <w:spacing w:val="-15"/>
          <w:w w:val="105"/>
        </w:rPr>
        <w:t> </w:t>
      </w:r>
      <w:r>
        <w:rPr>
          <w:color w:val="231F20"/>
          <w:w w:val="105"/>
        </w:rPr>
        <w:t>its</w:t>
      </w:r>
      <w:r>
        <w:rPr>
          <w:color w:val="231F20"/>
          <w:spacing w:val="-16"/>
          <w:w w:val="105"/>
        </w:rPr>
        <w:t> </w:t>
      </w:r>
      <w:r>
        <w:rPr>
          <w:color w:val="231F20"/>
          <w:w w:val="105"/>
        </w:rPr>
        <w:t>concentration</w:t>
      </w:r>
      <w:r>
        <w:rPr>
          <w:color w:val="231F20"/>
          <w:spacing w:val="-16"/>
          <w:w w:val="105"/>
        </w:rPr>
        <w:t> </w:t>
      </w:r>
      <w:r>
        <w:rPr>
          <w:color w:val="231F20"/>
          <w:w w:val="105"/>
        </w:rPr>
        <w:t>in</w:t>
      </w:r>
      <w:r>
        <w:rPr>
          <w:color w:val="231F20"/>
          <w:spacing w:val="-15"/>
          <w:w w:val="105"/>
        </w:rPr>
        <w:t> </w:t>
      </w:r>
      <w:r>
        <w:rPr>
          <w:color w:val="231F20"/>
          <w:w w:val="105"/>
        </w:rPr>
        <w:t>the</w:t>
      </w:r>
      <w:r>
        <w:rPr>
          <w:color w:val="231F20"/>
          <w:spacing w:val="-16"/>
          <w:w w:val="105"/>
        </w:rPr>
        <w:t> </w:t>
      </w:r>
      <w:r>
        <w:rPr>
          <w:color w:val="231F20"/>
          <w:w w:val="105"/>
        </w:rPr>
        <w:t>extra- cellular</w:t>
      </w:r>
      <w:r>
        <w:rPr>
          <w:color w:val="231F20"/>
          <w:spacing w:val="-22"/>
          <w:w w:val="105"/>
        </w:rPr>
        <w:t> </w:t>
      </w:r>
      <w:r>
        <w:rPr>
          <w:color w:val="231F20"/>
          <w:w w:val="105"/>
        </w:rPr>
        <w:t>fluid</w:t>
      </w:r>
      <w:r>
        <w:rPr>
          <w:color w:val="231F20"/>
          <w:spacing w:val="-21"/>
          <w:w w:val="105"/>
        </w:rPr>
        <w:t> </w:t>
      </w:r>
      <w:r>
        <w:rPr>
          <w:color w:val="231F20"/>
          <w:w w:val="105"/>
        </w:rPr>
        <w:t>is</w:t>
      </w:r>
      <w:r>
        <w:rPr>
          <w:color w:val="231F20"/>
          <w:spacing w:val="-22"/>
          <w:w w:val="105"/>
        </w:rPr>
        <w:t> </w:t>
      </w:r>
      <w:r>
        <w:rPr>
          <w:color w:val="231F20"/>
          <w:spacing w:val="-3"/>
          <w:w w:val="105"/>
        </w:rPr>
        <w:t>low,</w:t>
      </w:r>
      <w:r>
        <w:rPr>
          <w:color w:val="231F20"/>
          <w:spacing w:val="-21"/>
          <w:w w:val="105"/>
        </w:rPr>
        <w:t> </w:t>
      </w:r>
      <w:r>
        <w:rPr>
          <w:color w:val="231F20"/>
          <w:w w:val="105"/>
        </w:rPr>
        <w:t>at</w:t>
      </w:r>
      <w:r>
        <w:rPr>
          <w:color w:val="231F20"/>
          <w:spacing w:val="-22"/>
          <w:w w:val="105"/>
        </w:rPr>
        <w:t> </w:t>
      </w:r>
      <w:r>
        <w:rPr>
          <w:color w:val="231F20"/>
          <w:w w:val="105"/>
        </w:rPr>
        <w:t>only</w:t>
      </w:r>
      <w:r>
        <w:rPr>
          <w:color w:val="231F20"/>
          <w:spacing w:val="-21"/>
          <w:w w:val="105"/>
        </w:rPr>
        <w:t> </w:t>
      </w:r>
      <w:r>
        <w:rPr>
          <w:color w:val="231F20"/>
          <w:w w:val="105"/>
        </w:rPr>
        <w:t>about</w:t>
      </w:r>
      <w:r>
        <w:rPr>
          <w:color w:val="231F20"/>
          <w:spacing w:val="-22"/>
          <w:w w:val="105"/>
        </w:rPr>
        <w:t> </w:t>
      </w:r>
      <w:r>
        <w:rPr>
          <w:color w:val="231F20"/>
          <w:w w:val="105"/>
        </w:rPr>
        <w:t>8</w:t>
      </w:r>
      <w:r>
        <w:rPr>
          <w:color w:val="231F20"/>
          <w:spacing w:val="-21"/>
          <w:w w:val="105"/>
        </w:rPr>
        <w:t> </w:t>
      </w:r>
      <w:r>
        <w:rPr>
          <w:color w:val="231F20"/>
          <w:w w:val="105"/>
        </w:rPr>
        <w:t>percent</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2"/>
          <w:w w:val="105"/>
        </w:rPr>
        <w:t> </w:t>
      </w:r>
      <w:r>
        <w:rPr>
          <w:color w:val="231F20"/>
          <w:w w:val="105"/>
        </w:rPr>
        <w:t>concen- tration of the bicarbonate </w:t>
      </w:r>
      <w:r>
        <w:rPr>
          <w:color w:val="231F20"/>
          <w:spacing w:val="-3"/>
          <w:w w:val="105"/>
        </w:rPr>
        <w:t>buffer. </w:t>
      </w:r>
      <w:r>
        <w:rPr>
          <w:color w:val="231F20"/>
          <w:w w:val="105"/>
        </w:rPr>
        <w:t>Therefore, the total buffering</w:t>
      </w:r>
      <w:r>
        <w:rPr>
          <w:color w:val="231F20"/>
          <w:spacing w:val="-10"/>
          <w:w w:val="105"/>
        </w:rPr>
        <w:t> </w:t>
      </w:r>
      <w:r>
        <w:rPr>
          <w:color w:val="231F20"/>
          <w:w w:val="105"/>
        </w:rPr>
        <w:t>power</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phosphate</w:t>
      </w:r>
      <w:r>
        <w:rPr>
          <w:color w:val="231F20"/>
          <w:spacing w:val="-9"/>
          <w:w w:val="105"/>
        </w:rPr>
        <w:t> </w:t>
      </w:r>
      <w:r>
        <w:rPr>
          <w:color w:val="231F20"/>
          <w:w w:val="105"/>
        </w:rPr>
        <w:t>system</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extracel- lular</w:t>
      </w:r>
      <w:r>
        <w:rPr>
          <w:color w:val="231F20"/>
          <w:spacing w:val="-23"/>
          <w:w w:val="105"/>
        </w:rPr>
        <w:t> </w:t>
      </w:r>
      <w:r>
        <w:rPr>
          <w:color w:val="231F20"/>
          <w:w w:val="105"/>
        </w:rPr>
        <w:t>fluid</w:t>
      </w:r>
      <w:r>
        <w:rPr>
          <w:color w:val="231F20"/>
          <w:spacing w:val="-23"/>
          <w:w w:val="105"/>
        </w:rPr>
        <w:t> </w:t>
      </w:r>
      <w:r>
        <w:rPr>
          <w:color w:val="231F20"/>
          <w:w w:val="105"/>
        </w:rPr>
        <w:t>is</w:t>
      </w:r>
      <w:r>
        <w:rPr>
          <w:color w:val="231F20"/>
          <w:spacing w:val="-22"/>
          <w:w w:val="105"/>
        </w:rPr>
        <w:t> </w:t>
      </w:r>
      <w:r>
        <w:rPr>
          <w:color w:val="231F20"/>
          <w:w w:val="105"/>
        </w:rPr>
        <w:t>much</w:t>
      </w:r>
      <w:r>
        <w:rPr>
          <w:color w:val="231F20"/>
          <w:spacing w:val="-23"/>
          <w:w w:val="105"/>
        </w:rPr>
        <w:t> </w:t>
      </w:r>
      <w:r>
        <w:rPr>
          <w:color w:val="231F20"/>
          <w:w w:val="105"/>
        </w:rPr>
        <w:t>less</w:t>
      </w:r>
      <w:r>
        <w:rPr>
          <w:color w:val="231F20"/>
          <w:spacing w:val="-22"/>
          <w:w w:val="105"/>
        </w:rPr>
        <w:t> </w:t>
      </w:r>
      <w:r>
        <w:rPr>
          <w:color w:val="231F20"/>
          <w:w w:val="105"/>
        </w:rPr>
        <w:t>than</w:t>
      </w:r>
      <w:r>
        <w:rPr>
          <w:color w:val="231F20"/>
          <w:spacing w:val="-23"/>
          <w:w w:val="105"/>
        </w:rPr>
        <w:t> </w:t>
      </w:r>
      <w:r>
        <w:rPr>
          <w:color w:val="231F20"/>
          <w:w w:val="105"/>
        </w:rPr>
        <w:t>that</w:t>
      </w:r>
      <w:r>
        <w:rPr>
          <w:color w:val="231F20"/>
          <w:spacing w:val="-22"/>
          <w:w w:val="105"/>
        </w:rPr>
        <w:t> </w:t>
      </w:r>
      <w:r>
        <w:rPr>
          <w:color w:val="231F20"/>
          <w:w w:val="105"/>
        </w:rPr>
        <w:t>of</w:t>
      </w:r>
      <w:r>
        <w:rPr>
          <w:color w:val="231F20"/>
          <w:spacing w:val="-23"/>
          <w:w w:val="105"/>
        </w:rPr>
        <w:t> </w:t>
      </w:r>
      <w:r>
        <w:rPr>
          <w:color w:val="231F20"/>
          <w:w w:val="105"/>
        </w:rPr>
        <w:t>the</w:t>
      </w:r>
      <w:r>
        <w:rPr>
          <w:color w:val="231F20"/>
          <w:spacing w:val="-22"/>
          <w:w w:val="105"/>
        </w:rPr>
        <w:t> </w:t>
      </w:r>
      <w:r>
        <w:rPr>
          <w:color w:val="231F20"/>
          <w:w w:val="105"/>
        </w:rPr>
        <w:t>bicarbonate</w:t>
      </w:r>
      <w:r>
        <w:rPr>
          <w:color w:val="231F20"/>
          <w:spacing w:val="-23"/>
          <w:w w:val="105"/>
        </w:rPr>
        <w:t> </w:t>
      </w:r>
      <w:r>
        <w:rPr>
          <w:color w:val="231F20"/>
          <w:w w:val="105"/>
        </w:rPr>
        <w:t>buffer- ing</w:t>
      </w:r>
      <w:r>
        <w:rPr>
          <w:color w:val="231F20"/>
          <w:spacing w:val="2"/>
          <w:w w:val="105"/>
        </w:rPr>
        <w:t> </w:t>
      </w:r>
      <w:r>
        <w:rPr>
          <w:color w:val="231F20"/>
          <w:w w:val="105"/>
        </w:rPr>
        <w:t>system.</w:t>
      </w:r>
    </w:p>
    <w:p>
      <w:pPr>
        <w:pStyle w:val="BodyText"/>
        <w:spacing w:line="249" w:lineRule="auto" w:before="7"/>
        <w:ind w:left="319" w:right="1077" w:firstLine="240"/>
        <w:jc w:val="right"/>
      </w:pPr>
      <w:r>
        <w:rPr/>
        <w:pict>
          <v:rect style="position:absolute;margin-left:576pt;margin-top:32.33596pt;width:36pt;height:24pt;mso-position-horizontal-relative:page;mso-position-vertical-relative:paragraph;z-index:252822528" filled="true" fillcolor="#e8dac8" stroked="false">
            <v:fill type="solid"/>
            <w10:wrap type="none"/>
          </v:rect>
        </w:pict>
      </w:r>
      <w:r>
        <w:rPr/>
        <w:pict>
          <v:shape style="position:absolute;margin-left:578.900024pt;margin-top:-44.006737pt;width:15.9pt;height:53.35pt;mso-position-horizontal-relative:page;mso-position-vertical-relative:paragraph;z-index:25282457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In</w:t>
      </w:r>
      <w:r>
        <w:rPr>
          <w:color w:val="231F20"/>
          <w:spacing w:val="19"/>
        </w:rPr>
        <w:t> </w:t>
      </w:r>
      <w:r>
        <w:rPr>
          <w:color w:val="231F20"/>
        </w:rPr>
        <w:t>contrast</w:t>
      </w:r>
      <w:r>
        <w:rPr>
          <w:color w:val="231F20"/>
          <w:spacing w:val="19"/>
        </w:rPr>
        <w:t> </w:t>
      </w:r>
      <w:r>
        <w:rPr>
          <w:color w:val="231F20"/>
        </w:rPr>
        <w:t>to</w:t>
      </w:r>
      <w:r>
        <w:rPr>
          <w:color w:val="231F20"/>
          <w:spacing w:val="20"/>
        </w:rPr>
        <w:t> </w:t>
      </w:r>
      <w:r>
        <w:rPr>
          <w:color w:val="231F20"/>
        </w:rPr>
        <w:t>its</w:t>
      </w:r>
      <w:r>
        <w:rPr>
          <w:color w:val="231F20"/>
          <w:spacing w:val="19"/>
        </w:rPr>
        <w:t> </w:t>
      </w:r>
      <w:r>
        <w:rPr>
          <w:color w:val="231F20"/>
        </w:rPr>
        <w:t>minor</w:t>
      </w:r>
      <w:r>
        <w:rPr>
          <w:color w:val="231F20"/>
          <w:spacing w:val="20"/>
        </w:rPr>
        <w:t> </w:t>
      </w:r>
      <w:r>
        <w:rPr>
          <w:color w:val="231F20"/>
        </w:rPr>
        <w:t>role</w:t>
      </w:r>
      <w:r>
        <w:rPr>
          <w:color w:val="231F20"/>
          <w:spacing w:val="19"/>
        </w:rPr>
        <w:t> </w:t>
      </w:r>
      <w:r>
        <w:rPr>
          <w:color w:val="231F20"/>
        </w:rPr>
        <w:t>as</w:t>
      </w:r>
      <w:r>
        <w:rPr>
          <w:color w:val="231F20"/>
          <w:spacing w:val="20"/>
        </w:rPr>
        <w:t> </w:t>
      </w:r>
      <w:r>
        <w:rPr>
          <w:color w:val="231F20"/>
        </w:rPr>
        <w:t>an</w:t>
      </w:r>
      <w:r>
        <w:rPr>
          <w:color w:val="231F20"/>
          <w:spacing w:val="19"/>
        </w:rPr>
        <w:t> </w:t>
      </w:r>
      <w:r>
        <w:rPr>
          <w:color w:val="231F20"/>
        </w:rPr>
        <w:t>extracellular</w:t>
      </w:r>
      <w:r>
        <w:rPr>
          <w:color w:val="231F20"/>
          <w:spacing w:val="20"/>
        </w:rPr>
        <w:t> </w:t>
      </w:r>
      <w:r>
        <w:rPr>
          <w:color w:val="231F20"/>
          <w:spacing w:val="-3"/>
        </w:rPr>
        <w:t>buffer,</w:t>
      </w:r>
      <w:r>
        <w:rPr>
          <w:color w:val="231F20"/>
          <w:w w:val="88"/>
        </w:rPr>
        <w:t> </w:t>
      </w:r>
      <w:r>
        <w:rPr>
          <w:i/>
          <w:color w:val="231F20"/>
        </w:rPr>
        <w:t>the phosphate buffer is especially important in</w:t>
      </w:r>
      <w:r>
        <w:rPr>
          <w:i/>
          <w:color w:val="231F20"/>
          <w:spacing w:val="13"/>
        </w:rPr>
        <w:t> </w:t>
      </w:r>
      <w:r>
        <w:rPr>
          <w:i/>
          <w:color w:val="231F20"/>
        </w:rPr>
        <w:t>the</w:t>
      </w:r>
      <w:r>
        <w:rPr>
          <w:i/>
          <w:color w:val="231F20"/>
          <w:spacing w:val="2"/>
        </w:rPr>
        <w:t> </w:t>
      </w:r>
      <w:r>
        <w:rPr>
          <w:i/>
          <w:color w:val="231F20"/>
        </w:rPr>
        <w:t>tubular</w:t>
      </w:r>
      <w:r>
        <w:rPr>
          <w:i/>
          <w:color w:val="231F20"/>
          <w:w w:val="95"/>
        </w:rPr>
        <w:t> </w:t>
      </w:r>
      <w:r>
        <w:rPr>
          <w:i/>
          <w:color w:val="231F20"/>
        </w:rPr>
        <w:t>fluids of the kidneys </w:t>
      </w:r>
      <w:r>
        <w:rPr>
          <w:color w:val="231F20"/>
        </w:rPr>
        <w:t>for two reasons: (1)</w:t>
      </w:r>
      <w:r>
        <w:rPr>
          <w:color w:val="231F20"/>
          <w:spacing w:val="-32"/>
        </w:rPr>
        <w:t> </w:t>
      </w:r>
      <w:r>
        <w:rPr>
          <w:color w:val="231F20"/>
        </w:rPr>
        <w:t>phosphate</w:t>
      </w:r>
      <w:r>
        <w:rPr>
          <w:color w:val="231F20"/>
          <w:spacing w:val="-4"/>
        </w:rPr>
        <w:t> </w:t>
      </w:r>
      <w:r>
        <w:rPr>
          <w:color w:val="231F20"/>
        </w:rPr>
        <w:t>usually</w:t>
      </w:r>
      <w:r>
        <w:rPr>
          <w:color w:val="231F20"/>
          <w:w w:val="98"/>
        </w:rPr>
        <w:t> </w:t>
      </w:r>
      <w:r>
        <w:rPr>
          <w:color w:val="231F20"/>
        </w:rPr>
        <w:t>becomes greatly concentrated in the</w:t>
      </w:r>
      <w:r>
        <w:rPr>
          <w:color w:val="231F20"/>
          <w:spacing w:val="-11"/>
        </w:rPr>
        <w:t> </w:t>
      </w:r>
      <w:r>
        <w:rPr>
          <w:color w:val="231F20"/>
        </w:rPr>
        <w:t>tubules,</w:t>
      </w:r>
      <w:r>
        <w:rPr>
          <w:color w:val="231F20"/>
          <w:spacing w:val="28"/>
        </w:rPr>
        <w:t> </w:t>
      </w:r>
      <w:r>
        <w:rPr>
          <w:color w:val="231F20"/>
        </w:rPr>
        <w:t>thereby</w:t>
      </w:r>
      <w:r>
        <w:rPr>
          <w:color w:val="231F20"/>
          <w:w w:val="96"/>
        </w:rPr>
        <w:t> </w:t>
      </w:r>
      <w:r>
        <w:rPr>
          <w:color w:val="231F20"/>
        </w:rPr>
        <w:t>increasing</w:t>
      </w:r>
      <w:r>
        <w:rPr>
          <w:color w:val="231F20"/>
          <w:spacing w:val="26"/>
        </w:rPr>
        <w:t> </w:t>
      </w:r>
      <w:r>
        <w:rPr>
          <w:color w:val="231F20"/>
        </w:rPr>
        <w:t>the</w:t>
      </w:r>
      <w:r>
        <w:rPr>
          <w:color w:val="231F20"/>
          <w:spacing w:val="26"/>
        </w:rPr>
        <w:t> </w:t>
      </w:r>
      <w:r>
        <w:rPr>
          <w:color w:val="231F20"/>
        </w:rPr>
        <w:t>buffering</w:t>
      </w:r>
      <w:r>
        <w:rPr>
          <w:color w:val="231F20"/>
          <w:spacing w:val="26"/>
        </w:rPr>
        <w:t> </w:t>
      </w:r>
      <w:r>
        <w:rPr>
          <w:color w:val="231F20"/>
        </w:rPr>
        <w:t>power</w:t>
      </w:r>
      <w:r>
        <w:rPr>
          <w:color w:val="231F20"/>
          <w:spacing w:val="27"/>
        </w:rPr>
        <w:t> </w:t>
      </w:r>
      <w:r>
        <w:rPr>
          <w:color w:val="231F20"/>
        </w:rPr>
        <w:t>of</w:t>
      </w:r>
      <w:r>
        <w:rPr>
          <w:color w:val="231F20"/>
          <w:spacing w:val="26"/>
        </w:rPr>
        <w:t> </w:t>
      </w:r>
      <w:r>
        <w:rPr>
          <w:color w:val="231F20"/>
        </w:rPr>
        <w:t>the</w:t>
      </w:r>
      <w:r>
        <w:rPr>
          <w:color w:val="231F20"/>
          <w:spacing w:val="26"/>
        </w:rPr>
        <w:t> </w:t>
      </w:r>
      <w:r>
        <w:rPr>
          <w:color w:val="231F20"/>
        </w:rPr>
        <w:t>phosphate</w:t>
      </w:r>
      <w:r>
        <w:rPr>
          <w:color w:val="231F20"/>
          <w:spacing w:val="27"/>
        </w:rPr>
        <w:t> </w:t>
      </w:r>
      <w:r>
        <w:rPr>
          <w:color w:val="231F20"/>
        </w:rPr>
        <w:t>system,</w:t>
      </w:r>
      <w:r>
        <w:rPr>
          <w:color w:val="231F20"/>
          <w:w w:val="101"/>
        </w:rPr>
        <w:t> </w:t>
      </w:r>
      <w:r>
        <w:rPr>
          <w:color w:val="231F20"/>
        </w:rPr>
        <w:t>and</w:t>
      </w:r>
      <w:r>
        <w:rPr>
          <w:color w:val="231F20"/>
          <w:spacing w:val="12"/>
        </w:rPr>
        <w:t> </w:t>
      </w:r>
      <w:r>
        <w:rPr>
          <w:color w:val="231F20"/>
        </w:rPr>
        <w:t>(2)</w:t>
      </w:r>
      <w:r>
        <w:rPr>
          <w:color w:val="231F20"/>
          <w:spacing w:val="13"/>
        </w:rPr>
        <w:t> </w:t>
      </w:r>
      <w:r>
        <w:rPr>
          <w:color w:val="231F20"/>
        </w:rPr>
        <w:t>the</w:t>
      </w:r>
      <w:r>
        <w:rPr>
          <w:color w:val="231F20"/>
          <w:spacing w:val="12"/>
        </w:rPr>
        <w:t> </w:t>
      </w:r>
      <w:r>
        <w:rPr>
          <w:color w:val="231F20"/>
        </w:rPr>
        <w:t>tubular</w:t>
      </w:r>
      <w:r>
        <w:rPr>
          <w:color w:val="231F20"/>
          <w:spacing w:val="13"/>
        </w:rPr>
        <w:t> </w:t>
      </w:r>
      <w:r>
        <w:rPr>
          <w:color w:val="231F20"/>
        </w:rPr>
        <w:t>fluid</w:t>
      </w:r>
      <w:r>
        <w:rPr>
          <w:color w:val="231F20"/>
          <w:spacing w:val="12"/>
        </w:rPr>
        <w:t> </w:t>
      </w:r>
      <w:r>
        <w:rPr>
          <w:color w:val="231F20"/>
        </w:rPr>
        <w:t>usually</w:t>
      </w:r>
      <w:r>
        <w:rPr>
          <w:color w:val="231F20"/>
          <w:spacing w:val="13"/>
        </w:rPr>
        <w:t> </w:t>
      </w:r>
      <w:r>
        <w:rPr>
          <w:color w:val="231F20"/>
        </w:rPr>
        <w:t>has</w:t>
      </w:r>
      <w:r>
        <w:rPr>
          <w:color w:val="231F20"/>
          <w:spacing w:val="12"/>
        </w:rPr>
        <w:t> </w:t>
      </w:r>
      <w:r>
        <w:rPr>
          <w:color w:val="231F20"/>
        </w:rPr>
        <w:t>a</w:t>
      </w:r>
      <w:r>
        <w:rPr>
          <w:color w:val="231F20"/>
          <w:spacing w:val="13"/>
        </w:rPr>
        <w:t> </w:t>
      </w:r>
      <w:r>
        <w:rPr>
          <w:color w:val="231F20"/>
        </w:rPr>
        <w:t>considerably</w:t>
      </w:r>
      <w:r>
        <w:rPr>
          <w:color w:val="231F20"/>
          <w:spacing w:val="12"/>
        </w:rPr>
        <w:t> </w:t>
      </w:r>
      <w:r>
        <w:rPr>
          <w:color w:val="231F20"/>
          <w:spacing w:val="-4"/>
        </w:rPr>
        <w:t>lower</w:t>
      </w:r>
      <w:r>
        <w:rPr>
          <w:color w:val="231F20"/>
          <w:w w:val="100"/>
        </w:rPr>
        <w:t> </w:t>
      </w:r>
      <w:r>
        <w:rPr>
          <w:color w:val="231F20"/>
        </w:rPr>
        <w:t>pH</w:t>
      </w:r>
      <w:r>
        <w:rPr>
          <w:color w:val="231F20"/>
          <w:spacing w:val="19"/>
        </w:rPr>
        <w:t> </w:t>
      </w:r>
      <w:r>
        <w:rPr>
          <w:color w:val="231F20"/>
        </w:rPr>
        <w:t>than</w:t>
      </w:r>
      <w:r>
        <w:rPr>
          <w:color w:val="231F20"/>
          <w:spacing w:val="19"/>
        </w:rPr>
        <w:t> </w:t>
      </w:r>
      <w:r>
        <w:rPr>
          <w:color w:val="231F20"/>
        </w:rPr>
        <w:t>the</w:t>
      </w:r>
      <w:r>
        <w:rPr>
          <w:color w:val="231F20"/>
          <w:spacing w:val="19"/>
        </w:rPr>
        <w:t> </w:t>
      </w:r>
      <w:r>
        <w:rPr>
          <w:color w:val="231F20"/>
        </w:rPr>
        <w:t>extracellular</w:t>
      </w:r>
      <w:r>
        <w:rPr>
          <w:color w:val="231F20"/>
          <w:spacing w:val="19"/>
        </w:rPr>
        <w:t> </w:t>
      </w:r>
      <w:r>
        <w:rPr>
          <w:color w:val="231F20"/>
        </w:rPr>
        <w:t>fluid</w:t>
      </w:r>
      <w:r>
        <w:rPr>
          <w:color w:val="231F20"/>
          <w:spacing w:val="19"/>
        </w:rPr>
        <w:t> </w:t>
      </w:r>
      <w:r>
        <w:rPr>
          <w:color w:val="231F20"/>
        </w:rPr>
        <w:t>does,</w:t>
      </w:r>
      <w:r>
        <w:rPr>
          <w:color w:val="231F20"/>
          <w:spacing w:val="19"/>
        </w:rPr>
        <w:t> </w:t>
      </w:r>
      <w:r>
        <w:rPr>
          <w:color w:val="231F20"/>
        </w:rPr>
        <w:t>bringing</w:t>
      </w:r>
      <w:r>
        <w:rPr>
          <w:color w:val="231F20"/>
          <w:spacing w:val="19"/>
        </w:rPr>
        <w:t> </w:t>
      </w:r>
      <w:r>
        <w:rPr>
          <w:color w:val="231F20"/>
        </w:rPr>
        <w:t>the</w:t>
      </w:r>
      <w:r>
        <w:rPr>
          <w:color w:val="231F20"/>
          <w:spacing w:val="19"/>
        </w:rPr>
        <w:t> </w:t>
      </w:r>
      <w:r>
        <w:rPr>
          <w:color w:val="231F20"/>
        </w:rPr>
        <w:t>operat-</w:t>
      </w:r>
      <w:r>
        <w:rPr>
          <w:color w:val="231F20"/>
          <w:w w:val="109"/>
        </w:rPr>
        <w:t> </w:t>
      </w:r>
      <w:r>
        <w:rPr>
          <w:color w:val="231F20"/>
        </w:rPr>
        <w:t>ing range of the buffer closer to the pK (6.8) of</w:t>
      </w:r>
      <w:r>
        <w:rPr>
          <w:color w:val="231F20"/>
          <w:spacing w:val="-34"/>
        </w:rPr>
        <w:t> </w:t>
      </w:r>
      <w:r>
        <w:rPr>
          <w:color w:val="231F20"/>
        </w:rPr>
        <w:t>the</w:t>
      </w:r>
      <w:r>
        <w:rPr>
          <w:color w:val="231F20"/>
          <w:spacing w:val="-3"/>
        </w:rPr>
        <w:t> system.</w:t>
      </w:r>
      <w:r>
        <w:rPr>
          <w:color w:val="231F20"/>
          <w:w w:val="101"/>
        </w:rPr>
        <w:t> </w:t>
      </w:r>
      <w:r>
        <w:rPr>
          <w:i/>
          <w:color w:val="231F20"/>
        </w:rPr>
        <w:t>The</w:t>
      </w:r>
      <w:r>
        <w:rPr>
          <w:i/>
          <w:color w:val="231F20"/>
          <w:spacing w:val="-8"/>
        </w:rPr>
        <w:t> </w:t>
      </w:r>
      <w:r>
        <w:rPr>
          <w:i/>
          <w:color w:val="231F20"/>
        </w:rPr>
        <w:t>phosphate</w:t>
      </w:r>
      <w:r>
        <w:rPr>
          <w:i/>
          <w:color w:val="231F20"/>
          <w:spacing w:val="-7"/>
        </w:rPr>
        <w:t> </w:t>
      </w:r>
      <w:r>
        <w:rPr>
          <w:i/>
          <w:color w:val="231F20"/>
        </w:rPr>
        <w:t>buffer</w:t>
      </w:r>
      <w:r>
        <w:rPr>
          <w:i/>
          <w:color w:val="231F20"/>
          <w:spacing w:val="-7"/>
        </w:rPr>
        <w:t> </w:t>
      </w:r>
      <w:r>
        <w:rPr>
          <w:i/>
          <w:color w:val="231F20"/>
        </w:rPr>
        <w:t>system</w:t>
      </w:r>
      <w:r>
        <w:rPr>
          <w:i/>
          <w:color w:val="231F20"/>
          <w:spacing w:val="-7"/>
        </w:rPr>
        <w:t> </w:t>
      </w:r>
      <w:r>
        <w:rPr>
          <w:i/>
          <w:color w:val="231F20"/>
        </w:rPr>
        <w:t>is</w:t>
      </w:r>
      <w:r>
        <w:rPr>
          <w:i/>
          <w:color w:val="231F20"/>
          <w:spacing w:val="-7"/>
        </w:rPr>
        <w:t> </w:t>
      </w:r>
      <w:r>
        <w:rPr>
          <w:i/>
          <w:color w:val="231F20"/>
        </w:rPr>
        <w:t>also</w:t>
      </w:r>
      <w:r>
        <w:rPr>
          <w:i/>
          <w:color w:val="231F20"/>
          <w:spacing w:val="-7"/>
        </w:rPr>
        <w:t> </w:t>
      </w:r>
      <w:r>
        <w:rPr>
          <w:i/>
          <w:color w:val="231F20"/>
        </w:rPr>
        <w:t>important</w:t>
      </w:r>
      <w:r>
        <w:rPr>
          <w:i/>
          <w:color w:val="231F20"/>
          <w:spacing w:val="-7"/>
        </w:rPr>
        <w:t> </w:t>
      </w:r>
      <w:r>
        <w:rPr>
          <w:i/>
          <w:color w:val="231F20"/>
        </w:rPr>
        <w:t>in</w:t>
      </w:r>
      <w:r>
        <w:rPr>
          <w:i/>
          <w:color w:val="231F20"/>
          <w:spacing w:val="-7"/>
        </w:rPr>
        <w:t> </w:t>
      </w:r>
      <w:r>
        <w:rPr>
          <w:i/>
          <w:color w:val="231F20"/>
        </w:rPr>
        <w:t>buffer-</w:t>
      </w:r>
      <w:r>
        <w:rPr>
          <w:i/>
          <w:color w:val="231F20"/>
          <w:w w:val="104"/>
        </w:rPr>
        <w:t> </w:t>
      </w:r>
      <w:r>
        <w:rPr>
          <w:i/>
          <w:color w:val="231F20"/>
        </w:rPr>
        <w:t>ing</w:t>
      </w:r>
      <w:r>
        <w:rPr>
          <w:i/>
          <w:color w:val="231F20"/>
          <w:spacing w:val="15"/>
        </w:rPr>
        <w:t> </w:t>
      </w:r>
      <w:r>
        <w:rPr>
          <w:i/>
          <w:color w:val="231F20"/>
        </w:rPr>
        <w:t>intracellular</w:t>
      </w:r>
      <w:r>
        <w:rPr>
          <w:i/>
          <w:color w:val="231F20"/>
          <w:spacing w:val="15"/>
        </w:rPr>
        <w:t> </w:t>
      </w:r>
      <w:r>
        <w:rPr>
          <w:i/>
          <w:color w:val="231F20"/>
        </w:rPr>
        <w:t>fluid</w:t>
      </w:r>
      <w:r>
        <w:rPr>
          <w:i/>
          <w:color w:val="231F20"/>
          <w:spacing w:val="16"/>
        </w:rPr>
        <w:t> </w:t>
      </w:r>
      <w:r>
        <w:rPr>
          <w:color w:val="231F20"/>
        </w:rPr>
        <w:t>because</w:t>
      </w:r>
      <w:r>
        <w:rPr>
          <w:color w:val="231F20"/>
          <w:spacing w:val="15"/>
        </w:rPr>
        <w:t> </w:t>
      </w:r>
      <w:r>
        <w:rPr>
          <w:color w:val="231F20"/>
        </w:rPr>
        <w:t>the</w:t>
      </w:r>
      <w:r>
        <w:rPr>
          <w:color w:val="231F20"/>
          <w:spacing w:val="16"/>
        </w:rPr>
        <w:t> </w:t>
      </w:r>
      <w:r>
        <w:rPr>
          <w:color w:val="231F20"/>
        </w:rPr>
        <w:t>concentration</w:t>
      </w:r>
      <w:r>
        <w:rPr>
          <w:color w:val="231F20"/>
          <w:spacing w:val="15"/>
        </w:rPr>
        <w:t> </w:t>
      </w:r>
      <w:r>
        <w:rPr>
          <w:color w:val="231F20"/>
        </w:rPr>
        <w:t>of</w:t>
      </w:r>
      <w:r>
        <w:rPr>
          <w:color w:val="231F20"/>
          <w:spacing w:val="16"/>
        </w:rPr>
        <w:t> </w:t>
      </w:r>
      <w:r>
        <w:rPr>
          <w:color w:val="231F20"/>
        </w:rPr>
        <w:t>phos-</w:t>
      </w:r>
      <w:r>
        <w:rPr>
          <w:color w:val="231F20"/>
          <w:w w:val="109"/>
        </w:rPr>
        <w:t> </w:t>
      </w:r>
      <w:r>
        <w:rPr>
          <w:color w:val="231F20"/>
        </w:rPr>
        <w:t>phate</w:t>
      </w:r>
      <w:r>
        <w:rPr>
          <w:color w:val="231F20"/>
          <w:spacing w:val="20"/>
        </w:rPr>
        <w:t> </w:t>
      </w:r>
      <w:r>
        <w:rPr>
          <w:color w:val="231F20"/>
        </w:rPr>
        <w:t>in</w:t>
      </w:r>
      <w:r>
        <w:rPr>
          <w:color w:val="231F20"/>
          <w:spacing w:val="20"/>
        </w:rPr>
        <w:t> </w:t>
      </w:r>
      <w:r>
        <w:rPr>
          <w:color w:val="231F20"/>
        </w:rPr>
        <w:t>this</w:t>
      </w:r>
      <w:r>
        <w:rPr>
          <w:color w:val="231F20"/>
          <w:spacing w:val="21"/>
        </w:rPr>
        <w:t> </w:t>
      </w:r>
      <w:r>
        <w:rPr>
          <w:color w:val="231F20"/>
        </w:rPr>
        <w:t>fluid</w:t>
      </w:r>
      <w:r>
        <w:rPr>
          <w:color w:val="231F20"/>
          <w:spacing w:val="20"/>
        </w:rPr>
        <w:t> </w:t>
      </w:r>
      <w:r>
        <w:rPr>
          <w:color w:val="231F20"/>
        </w:rPr>
        <w:t>is</w:t>
      </w:r>
      <w:r>
        <w:rPr>
          <w:color w:val="231F20"/>
          <w:spacing w:val="21"/>
        </w:rPr>
        <w:t> </w:t>
      </w:r>
      <w:r>
        <w:rPr>
          <w:color w:val="231F20"/>
        </w:rPr>
        <w:t>many</w:t>
      </w:r>
      <w:r>
        <w:rPr>
          <w:color w:val="231F20"/>
          <w:spacing w:val="20"/>
        </w:rPr>
        <w:t> </w:t>
      </w:r>
      <w:r>
        <w:rPr>
          <w:color w:val="231F20"/>
        </w:rPr>
        <w:t>times</w:t>
      </w:r>
      <w:r>
        <w:rPr>
          <w:color w:val="231F20"/>
          <w:spacing w:val="21"/>
        </w:rPr>
        <w:t> </w:t>
      </w:r>
      <w:r>
        <w:rPr>
          <w:color w:val="231F20"/>
        </w:rPr>
        <w:t>that</w:t>
      </w:r>
      <w:r>
        <w:rPr>
          <w:color w:val="231F20"/>
          <w:spacing w:val="20"/>
        </w:rPr>
        <w:t> </w:t>
      </w:r>
      <w:r>
        <w:rPr>
          <w:color w:val="231F20"/>
        </w:rPr>
        <w:t>in</w:t>
      </w:r>
      <w:r>
        <w:rPr>
          <w:color w:val="231F20"/>
          <w:spacing w:val="21"/>
        </w:rPr>
        <w:t> </w:t>
      </w:r>
      <w:r>
        <w:rPr>
          <w:color w:val="231F20"/>
        </w:rPr>
        <w:t>the</w:t>
      </w:r>
      <w:r>
        <w:rPr>
          <w:color w:val="231F20"/>
          <w:spacing w:val="20"/>
        </w:rPr>
        <w:t> </w:t>
      </w:r>
      <w:r>
        <w:rPr>
          <w:color w:val="231F20"/>
        </w:rPr>
        <w:t>extracellular</w:t>
      </w:r>
      <w:r>
        <w:rPr>
          <w:color w:val="231F20"/>
          <w:w w:val="99"/>
        </w:rPr>
        <w:t> </w:t>
      </w:r>
      <w:r>
        <w:rPr>
          <w:color w:val="231F20"/>
        </w:rPr>
        <w:t>fluid.</w:t>
      </w:r>
      <w:r>
        <w:rPr>
          <w:color w:val="231F20"/>
          <w:spacing w:val="8"/>
        </w:rPr>
        <w:t> </w:t>
      </w:r>
      <w:r>
        <w:rPr>
          <w:color w:val="231F20"/>
        </w:rPr>
        <w:t>Also,</w:t>
      </w:r>
      <w:r>
        <w:rPr>
          <w:color w:val="231F20"/>
          <w:spacing w:val="8"/>
        </w:rPr>
        <w:t> </w:t>
      </w:r>
      <w:r>
        <w:rPr>
          <w:color w:val="231F20"/>
        </w:rPr>
        <w:t>the</w:t>
      </w:r>
      <w:r>
        <w:rPr>
          <w:color w:val="231F20"/>
          <w:spacing w:val="8"/>
        </w:rPr>
        <w:t> </w:t>
      </w:r>
      <w:r>
        <w:rPr>
          <w:color w:val="231F20"/>
        </w:rPr>
        <w:t>pH</w:t>
      </w:r>
      <w:r>
        <w:rPr>
          <w:color w:val="231F20"/>
          <w:spacing w:val="9"/>
        </w:rPr>
        <w:t> </w:t>
      </w:r>
      <w:r>
        <w:rPr>
          <w:color w:val="231F20"/>
        </w:rPr>
        <w:t>of</w:t>
      </w:r>
      <w:r>
        <w:rPr>
          <w:color w:val="231F20"/>
          <w:spacing w:val="8"/>
        </w:rPr>
        <w:t> </w:t>
      </w:r>
      <w:r>
        <w:rPr>
          <w:color w:val="231F20"/>
        </w:rPr>
        <w:t>intracellular</w:t>
      </w:r>
      <w:r>
        <w:rPr>
          <w:color w:val="231F20"/>
          <w:spacing w:val="8"/>
        </w:rPr>
        <w:t> </w:t>
      </w:r>
      <w:r>
        <w:rPr>
          <w:color w:val="231F20"/>
        </w:rPr>
        <w:t>fluid</w:t>
      </w:r>
      <w:r>
        <w:rPr>
          <w:color w:val="231F20"/>
          <w:spacing w:val="9"/>
        </w:rPr>
        <w:t> </w:t>
      </w:r>
      <w:r>
        <w:rPr>
          <w:color w:val="231F20"/>
        </w:rPr>
        <w:t>is</w:t>
      </w:r>
      <w:r>
        <w:rPr>
          <w:color w:val="231F20"/>
          <w:spacing w:val="8"/>
        </w:rPr>
        <w:t> </w:t>
      </w:r>
      <w:r>
        <w:rPr>
          <w:color w:val="231F20"/>
        </w:rPr>
        <w:t>lower</w:t>
      </w:r>
      <w:r>
        <w:rPr>
          <w:color w:val="231F20"/>
          <w:spacing w:val="8"/>
        </w:rPr>
        <w:t> </w:t>
      </w:r>
      <w:r>
        <w:rPr>
          <w:color w:val="231F20"/>
        </w:rPr>
        <w:t>than</w:t>
      </w:r>
      <w:r>
        <w:rPr>
          <w:color w:val="231F20"/>
          <w:spacing w:val="9"/>
        </w:rPr>
        <w:t> </w:t>
      </w:r>
      <w:r>
        <w:rPr>
          <w:color w:val="231F20"/>
        </w:rPr>
        <w:t>that</w:t>
      </w:r>
      <w:r>
        <w:rPr>
          <w:color w:val="231F20"/>
          <w:w w:val="116"/>
        </w:rPr>
        <w:t> </w:t>
      </w:r>
      <w:r>
        <w:rPr>
          <w:color w:val="231F20"/>
        </w:rPr>
        <w:t>of</w:t>
      </w:r>
      <w:r>
        <w:rPr>
          <w:color w:val="231F20"/>
          <w:spacing w:val="8"/>
        </w:rPr>
        <w:t> </w:t>
      </w:r>
      <w:r>
        <w:rPr>
          <w:color w:val="231F20"/>
        </w:rPr>
        <w:t>extracellular</w:t>
      </w:r>
      <w:r>
        <w:rPr>
          <w:color w:val="231F20"/>
          <w:spacing w:val="8"/>
        </w:rPr>
        <w:t> </w:t>
      </w:r>
      <w:r>
        <w:rPr>
          <w:color w:val="231F20"/>
        </w:rPr>
        <w:t>fluid</w:t>
      </w:r>
      <w:r>
        <w:rPr>
          <w:color w:val="231F20"/>
          <w:spacing w:val="9"/>
        </w:rPr>
        <w:t> </w:t>
      </w:r>
      <w:r>
        <w:rPr>
          <w:color w:val="231F20"/>
        </w:rPr>
        <w:t>and</w:t>
      </w:r>
      <w:r>
        <w:rPr>
          <w:color w:val="231F20"/>
          <w:spacing w:val="8"/>
        </w:rPr>
        <w:t> </w:t>
      </w:r>
      <w:r>
        <w:rPr>
          <w:color w:val="231F20"/>
        </w:rPr>
        <w:t>therefore</w:t>
      </w:r>
      <w:r>
        <w:rPr>
          <w:color w:val="231F20"/>
          <w:spacing w:val="8"/>
        </w:rPr>
        <w:t> </w:t>
      </w:r>
      <w:r>
        <w:rPr>
          <w:color w:val="231F20"/>
        </w:rPr>
        <w:t>is</w:t>
      </w:r>
      <w:r>
        <w:rPr>
          <w:color w:val="231F20"/>
          <w:spacing w:val="9"/>
        </w:rPr>
        <w:t> </w:t>
      </w:r>
      <w:r>
        <w:rPr>
          <w:color w:val="231F20"/>
        </w:rPr>
        <w:t>usually</w:t>
      </w:r>
      <w:r>
        <w:rPr>
          <w:color w:val="231F20"/>
          <w:spacing w:val="8"/>
        </w:rPr>
        <w:t> </w:t>
      </w:r>
      <w:r>
        <w:rPr>
          <w:color w:val="231F20"/>
        </w:rPr>
        <w:t>closer</w:t>
      </w:r>
      <w:r>
        <w:rPr>
          <w:color w:val="231F20"/>
          <w:spacing w:val="8"/>
        </w:rPr>
        <w:t> </w:t>
      </w:r>
      <w:r>
        <w:rPr>
          <w:color w:val="231F20"/>
        </w:rPr>
        <w:t>to</w:t>
      </w:r>
      <w:r>
        <w:rPr>
          <w:color w:val="231F20"/>
          <w:spacing w:val="9"/>
        </w:rPr>
        <w:t> </w:t>
      </w:r>
      <w:r>
        <w:rPr>
          <w:color w:val="231F20"/>
        </w:rPr>
        <w:t>the</w:t>
      </w:r>
      <w:r>
        <w:rPr>
          <w:color w:val="231F20"/>
          <w:w w:val="104"/>
        </w:rPr>
        <w:t> </w:t>
      </w:r>
      <w:r>
        <w:rPr>
          <w:color w:val="231F20"/>
        </w:rPr>
        <w:t>pK of the phosphate buffer system compared with</w:t>
      </w:r>
      <w:r>
        <w:rPr>
          <w:color w:val="231F20"/>
          <w:spacing w:val="20"/>
        </w:rPr>
        <w:t> </w:t>
      </w:r>
      <w:r>
        <w:rPr>
          <w:color w:val="231F20"/>
        </w:rPr>
        <w:t>the</w:t>
      </w:r>
    </w:p>
    <w:p>
      <w:pPr>
        <w:pStyle w:val="BodyText"/>
        <w:spacing w:before="11"/>
        <w:ind w:left="319"/>
      </w:pPr>
      <w:r>
        <w:rPr>
          <w:color w:val="231F20"/>
        </w:rPr>
        <w:t>extracellular fluid.</w:t>
      </w:r>
    </w:p>
    <w:p>
      <w:pPr>
        <w:spacing w:after="0"/>
        <w:sectPr>
          <w:type w:val="continuous"/>
          <w:pgSz w:w="12240" w:h="15660"/>
          <w:pgMar w:top="0" w:bottom="760" w:left="0" w:right="0"/>
          <w:cols w:num="2" w:equalWidth="0">
            <w:col w:w="6121" w:space="40"/>
            <w:col w:w="6079"/>
          </w:cols>
        </w:sectPr>
      </w:pPr>
    </w:p>
    <w:p>
      <w:pPr>
        <w:pStyle w:val="BodyText"/>
        <w:spacing w:before="4"/>
        <w:ind w:left="1440"/>
        <w:jc w:val="both"/>
      </w:pPr>
      <w:r>
        <w:rPr>
          <w:color w:val="231F20"/>
          <w:w w:val="105"/>
        </w:rPr>
        <w:t>are not great.</w:t>
      </w:r>
    </w:p>
    <w:p>
      <w:pPr>
        <w:pStyle w:val="BodyText"/>
        <w:spacing w:line="249" w:lineRule="auto" w:before="10"/>
        <w:ind w:left="1440" w:firstLine="240"/>
        <w:jc w:val="both"/>
      </w:pPr>
      <w:r>
        <w:rPr/>
        <w:pict>
          <v:shape style="position:absolute;margin-left:258.14621pt;margin-top:41.761932pt;width:3pt;height:8.7pt;mso-position-horizontal-relative:page;mso-position-vertical-relative:paragraph;z-index:-27257241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00.848206pt;margin-top:41.761932pt;width:3pt;height:8.7pt;mso-position-horizontal-relative:page;mso-position-vertical-relative:paragraph;z-index:-272571392" type="#_x0000_t202" filled="false" stroked="false">
            <v:textbox inset="0,0,0,0">
              <w:txbxContent>
                <w:p>
                  <w:pPr>
                    <w:spacing w:line="137" w:lineRule="exact" w:before="0"/>
                    <w:ind w:left="0" w:right="0" w:firstLine="0"/>
                    <w:jc w:val="left"/>
                    <w:rPr>
                      <w:sz w:val="12"/>
                    </w:rPr>
                  </w:pPr>
                  <w:r>
                    <w:rPr>
                      <w:color w:val="231F20"/>
                      <w:w w:val="98"/>
                      <w:sz w:val="12"/>
                    </w:rPr>
                    <w:t>2</w:t>
                  </w:r>
                </w:p>
              </w:txbxContent>
            </v:textbox>
            <w10:wrap type="none"/>
          </v:shape>
        </w:pict>
      </w:r>
      <w:r>
        <w:rPr>
          <w:color w:val="231F20"/>
        </w:rPr>
        <w:t>Despite these characteristics, the bicarbonate buffer system is the most powerful extracellular buffer in the body. This apparent paradox is due mainly to the fact that the two elements of the buffer system, HCO </w:t>
      </w:r>
      <w:r>
        <w:rPr>
          <w:rFonts w:ascii="Consolas" w:hAnsi="Consolas"/>
          <w:color w:val="231F20"/>
          <w:position w:val="8"/>
          <w:sz w:val="12"/>
        </w:rPr>
        <w:t>− </w:t>
      </w:r>
      <w:r>
        <w:rPr>
          <w:color w:val="231F20"/>
        </w:rPr>
        <w:t>and CO ,</w:t>
      </w:r>
    </w:p>
    <w:p>
      <w:pPr>
        <w:pStyle w:val="BodyText"/>
        <w:spacing w:before="11" w:after="24"/>
        <w:rPr>
          <w:sz w:val="24"/>
        </w:rPr>
      </w:pPr>
      <w:r>
        <w:rPr/>
        <w:br w:type="column"/>
      </w:r>
      <w:r>
        <w:rPr>
          <w:sz w:val="24"/>
        </w:rPr>
      </w:r>
    </w:p>
    <w:p>
      <w:pPr>
        <w:pStyle w:val="BodyText"/>
        <w:ind w:left="319"/>
      </w:pPr>
      <w:r>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1598" w:firstLine="0"/>
                    <w:jc w:val="left"/>
                    <w:rPr>
                      <w:rFonts w:ascii="Trebuchet MS"/>
                      <w:b/>
                      <w:sz w:val="22"/>
                    </w:rPr>
                  </w:pPr>
                  <w:r>
                    <w:rPr>
                      <w:rFonts w:ascii="Trebuchet MS"/>
                      <w:b/>
                      <w:color w:val="231F20"/>
                      <w:w w:val="110"/>
                      <w:sz w:val="22"/>
                    </w:rPr>
                    <w:t>PROTEINS ARE IMPORTANT INTRACELLULAR BUFFERS</w:t>
                  </w:r>
                </w:p>
              </w:txbxContent>
            </v:textbox>
            <v:fill type="solid"/>
          </v:shape>
        </w:pict>
      </w:r>
      <w:r>
        <w:rPr/>
      </w:r>
    </w:p>
    <w:p>
      <w:pPr>
        <w:pStyle w:val="BodyText"/>
        <w:spacing w:before="68"/>
        <w:ind w:left="319"/>
      </w:pPr>
      <w:r>
        <w:rPr/>
        <w:pict>
          <v:line style="position:absolute;mso-position-horizontal-relative:page;mso-position-vertical-relative:paragraph;z-index:252823552" from="324pt,-1.014063pt" to="558pt,-1.014063pt" stroked="true" strokeweight=".5pt" strokecolor="#231f20">
            <v:stroke dashstyle="solid"/>
            <w10:wrap type="none"/>
          </v:line>
        </w:pict>
      </w:r>
      <w:r>
        <w:rPr>
          <w:color w:val="231F20"/>
          <w:w w:val="105"/>
        </w:rPr>
        <w:t>Proteins are among the most plentiful buffers in the body</w:t>
      </w:r>
    </w:p>
    <w:p>
      <w:pPr>
        <w:spacing w:after="0"/>
        <w:sectPr>
          <w:type w:val="continuous"/>
          <w:pgSz w:w="12240" w:h="15660"/>
          <w:pgMar w:top="0" w:bottom="760" w:left="0" w:right="0"/>
          <w:cols w:num="2" w:equalWidth="0">
            <w:col w:w="6121" w:space="40"/>
            <w:col w:w="6079"/>
          </w:cols>
        </w:sectPr>
      </w:pPr>
    </w:p>
    <w:p>
      <w:pPr>
        <w:pStyle w:val="BodyText"/>
        <w:spacing w:line="249" w:lineRule="auto"/>
        <w:ind w:left="1440"/>
        <w:jc w:val="both"/>
      </w:pPr>
      <w:r>
        <w:rPr/>
        <w:pict>
          <v:shape style="position:absolute;margin-left:268.538513pt;margin-top:41.261932pt;width:3pt;height:8.7pt;mso-position-horizontal-relative:page;mso-position-vertical-relative:paragraph;z-index:-27257753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are regulated, respectively, by the kidneys and the lungs, as discussed later. As a result of this regulation, the pH of the extracellular fluid can be precisely controlled by the relative rate of removal and addition of HCO </w:t>
      </w:r>
      <w:r>
        <w:rPr>
          <w:rFonts w:ascii="Consolas" w:hAnsi="Consolas"/>
          <w:color w:val="231F20"/>
          <w:position w:val="8"/>
          <w:sz w:val="12"/>
        </w:rPr>
        <w:t>− </w:t>
      </w:r>
      <w:r>
        <w:rPr>
          <w:color w:val="231F20"/>
        </w:rPr>
        <w:t>by the kidneys and the rate of removal of CO</w:t>
      </w:r>
      <w:r>
        <w:rPr>
          <w:color w:val="231F20"/>
          <w:vertAlign w:val="subscript"/>
        </w:rPr>
        <w:t>2</w:t>
      </w:r>
      <w:r>
        <w:rPr>
          <w:color w:val="231F20"/>
          <w:vertAlign w:val="baseline"/>
        </w:rPr>
        <w:t> by the lungs.</w:t>
      </w:r>
    </w:p>
    <w:p>
      <w:pPr>
        <w:pStyle w:val="BodyText"/>
        <w:spacing w:before="7"/>
        <w:rPr>
          <w:sz w:val="24"/>
        </w:rPr>
      </w:pPr>
      <w:r>
        <w:rPr/>
        <w:pict>
          <v:shape style="position:absolute;margin-left:72pt;margin-top:15.366393pt;width:234pt;height:16pt;mso-position-horizontal-relative:page;mso-position-vertical-relative:paragraph;z-index:-250505216;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PHOSPHATE BUFFER SYSTEM</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rPr>
        <w:t>Although the phosphate buffer system is not important   as an extracellular fluid </w:t>
      </w:r>
      <w:r>
        <w:rPr>
          <w:color w:val="231F20"/>
          <w:spacing w:val="-3"/>
        </w:rPr>
        <w:t>buffer, </w:t>
      </w:r>
      <w:r>
        <w:rPr>
          <w:color w:val="231F20"/>
        </w:rPr>
        <w:t>it plays a major role </w:t>
      </w:r>
      <w:r>
        <w:rPr>
          <w:color w:val="231F20"/>
          <w:spacing w:val="-7"/>
        </w:rPr>
        <w:t>in </w:t>
      </w:r>
      <w:r>
        <w:rPr>
          <w:color w:val="231F20"/>
        </w:rPr>
        <w:t>buffering renal tubular fluid and intracellular</w:t>
      </w:r>
      <w:r>
        <w:rPr>
          <w:color w:val="231F20"/>
          <w:spacing w:val="12"/>
        </w:rPr>
        <w:t> </w:t>
      </w:r>
      <w:r>
        <w:rPr>
          <w:color w:val="231F20"/>
        </w:rPr>
        <w:t>fluids.</w:t>
      </w:r>
    </w:p>
    <w:p>
      <w:pPr>
        <w:pStyle w:val="BodyText"/>
        <w:spacing w:line="247" w:lineRule="auto" w:before="2"/>
        <w:ind w:left="1440" w:firstLine="240"/>
        <w:jc w:val="both"/>
      </w:pPr>
      <w:r>
        <w:rPr/>
        <w:pict>
          <v:shape style="position:absolute;margin-left:113.742599pt;margin-top:17.361931pt;width:3pt;height:8.7pt;mso-position-horizontal-relative:page;mso-position-vertical-relative:paragraph;z-index:-27257036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166.589905pt;margin-top:17.361931pt;width:3pt;height:8.7pt;mso-position-horizontal-relative:page;mso-position-vertical-relative:paragraph;z-index:-27256934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rPr>
        <w:t>The main elements of the phosphate buffer system are H</w:t>
      </w:r>
      <w:r>
        <w:rPr>
          <w:color w:val="231F20"/>
          <w:w w:val="105"/>
          <w:vertAlign w:val="subscript"/>
        </w:rPr>
        <w:t>2</w:t>
      </w:r>
      <w:r>
        <w:rPr>
          <w:color w:val="231F20"/>
          <w:w w:val="105"/>
          <w:vertAlign w:val="baseline"/>
        </w:rPr>
        <w:t>PO </w:t>
      </w:r>
      <w:r>
        <w:rPr>
          <w:rFonts w:ascii="Consolas" w:hAnsi="Consolas"/>
          <w:color w:val="231F20"/>
          <w:w w:val="105"/>
          <w:position w:val="8"/>
          <w:sz w:val="12"/>
          <w:vertAlign w:val="baseline"/>
        </w:rPr>
        <w:t>− </w:t>
      </w:r>
      <w:r>
        <w:rPr>
          <w:color w:val="231F20"/>
          <w:w w:val="105"/>
          <w:vertAlign w:val="baseline"/>
        </w:rPr>
        <w:t>and HPO </w:t>
      </w:r>
      <w:r>
        <w:rPr>
          <w:rFonts w:ascii="Consolas" w:hAnsi="Consolas"/>
          <w:color w:val="231F20"/>
          <w:w w:val="105"/>
          <w:position w:val="8"/>
          <w:sz w:val="12"/>
          <w:vertAlign w:val="baseline"/>
        </w:rPr>
        <w:t>=</w:t>
      </w:r>
      <w:r>
        <w:rPr>
          <w:color w:val="231F20"/>
          <w:w w:val="105"/>
          <w:vertAlign w:val="baseline"/>
        </w:rPr>
        <w:t>. When a strong acid such as</w:t>
      </w:r>
    </w:p>
    <w:p>
      <w:pPr>
        <w:pStyle w:val="BodyText"/>
        <w:spacing w:line="249" w:lineRule="auto"/>
        <w:ind w:left="319" w:right="1077"/>
        <w:jc w:val="both"/>
      </w:pPr>
      <w:r>
        <w:rPr/>
        <w:br w:type="column"/>
      </w:r>
      <w:r>
        <w:rPr>
          <w:color w:val="231F20"/>
          <w:w w:val="105"/>
        </w:rPr>
        <w:t>because of their high concentrations, especially within the cells.</w:t>
      </w:r>
    </w:p>
    <w:p>
      <w:pPr>
        <w:spacing w:line="249" w:lineRule="auto" w:before="2"/>
        <w:ind w:left="319" w:right="1077" w:firstLine="240"/>
        <w:jc w:val="both"/>
        <w:rPr>
          <w:sz w:val="20"/>
        </w:rPr>
      </w:pPr>
      <w:r>
        <w:rPr/>
        <w:pict>
          <v:shape style="position:absolute;margin-left:479.359711pt;margin-top:41.361931pt;width:3pt;height:8.7pt;mso-position-horizontal-relative:page;mso-position-vertical-relative:paragraph;z-index:-27257651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sz w:val="20"/>
        </w:rPr>
        <w:t>The pH of the cells, although slightly lower than in the extracellular fluid, nevertheless changes  approximately  in proportion to  extracellular  fluid  pH  changes.  There is a slight diffusion of H</w:t>
      </w:r>
      <w:r>
        <w:rPr>
          <w:rFonts w:ascii="Consolas" w:hAnsi="Consolas"/>
          <w:color w:val="231F20"/>
          <w:position w:val="8"/>
          <w:sz w:val="12"/>
        </w:rPr>
        <w:t>+ </w:t>
      </w:r>
      <w:r>
        <w:rPr>
          <w:color w:val="231F20"/>
          <w:sz w:val="20"/>
        </w:rPr>
        <w:t>and HCO </w:t>
      </w:r>
      <w:r>
        <w:rPr>
          <w:rFonts w:ascii="Consolas" w:hAnsi="Consolas"/>
          <w:color w:val="231F20"/>
          <w:position w:val="8"/>
          <w:sz w:val="12"/>
        </w:rPr>
        <w:t>− </w:t>
      </w:r>
      <w:r>
        <w:rPr>
          <w:color w:val="231F20"/>
          <w:sz w:val="20"/>
        </w:rPr>
        <w:t>through the </w:t>
      </w:r>
      <w:r>
        <w:rPr>
          <w:color w:val="231F20"/>
          <w:spacing w:val="-5"/>
          <w:sz w:val="20"/>
        </w:rPr>
        <w:t>cell </w:t>
      </w:r>
      <w:r>
        <w:rPr>
          <w:color w:val="231F20"/>
          <w:sz w:val="20"/>
        </w:rPr>
        <w:t>membrane, although these ions require several hours </w:t>
      </w:r>
      <w:r>
        <w:rPr>
          <w:color w:val="231F20"/>
          <w:spacing w:val="-7"/>
          <w:sz w:val="20"/>
        </w:rPr>
        <w:t>to </w:t>
      </w:r>
      <w:r>
        <w:rPr>
          <w:color w:val="231F20"/>
          <w:sz w:val="20"/>
        </w:rPr>
        <w:t>come to equilibrium with the extracellular fluid, except for rapid equilibrium  that  occurs  in  the  red  blood  cells.</w:t>
      </w:r>
      <w:r>
        <w:rPr>
          <w:color w:val="231F20"/>
          <w:spacing w:val="-7"/>
          <w:sz w:val="20"/>
        </w:rPr>
        <w:t> </w:t>
      </w:r>
      <w:r>
        <w:rPr>
          <w:color w:val="231F20"/>
          <w:sz w:val="20"/>
        </w:rPr>
        <w:t>CO</w:t>
      </w:r>
      <w:r>
        <w:rPr>
          <w:color w:val="231F20"/>
          <w:sz w:val="20"/>
          <w:vertAlign w:val="subscript"/>
        </w:rPr>
        <w:t>2</w:t>
      </w:r>
      <w:r>
        <w:rPr>
          <w:color w:val="231F20"/>
          <w:sz w:val="20"/>
          <w:vertAlign w:val="baseline"/>
        </w:rPr>
        <w:t>,</w:t>
      </w:r>
      <w:r>
        <w:rPr>
          <w:color w:val="231F20"/>
          <w:spacing w:val="-7"/>
          <w:sz w:val="20"/>
          <w:vertAlign w:val="baseline"/>
        </w:rPr>
        <w:t> </w:t>
      </w:r>
      <w:r>
        <w:rPr>
          <w:color w:val="231F20"/>
          <w:sz w:val="20"/>
          <w:vertAlign w:val="baseline"/>
        </w:rPr>
        <w:t>however,</w:t>
      </w:r>
      <w:r>
        <w:rPr>
          <w:color w:val="231F20"/>
          <w:spacing w:val="-6"/>
          <w:sz w:val="20"/>
          <w:vertAlign w:val="baseline"/>
        </w:rPr>
        <w:t> </w:t>
      </w:r>
      <w:r>
        <w:rPr>
          <w:color w:val="231F20"/>
          <w:sz w:val="20"/>
          <w:vertAlign w:val="baseline"/>
        </w:rPr>
        <w:t>can</w:t>
      </w:r>
      <w:r>
        <w:rPr>
          <w:color w:val="231F20"/>
          <w:spacing w:val="-7"/>
          <w:sz w:val="20"/>
          <w:vertAlign w:val="baseline"/>
        </w:rPr>
        <w:t> </w:t>
      </w:r>
      <w:r>
        <w:rPr>
          <w:color w:val="231F20"/>
          <w:sz w:val="20"/>
          <w:vertAlign w:val="baseline"/>
        </w:rPr>
        <w:t>rapidly</w:t>
      </w:r>
      <w:r>
        <w:rPr>
          <w:color w:val="231F20"/>
          <w:spacing w:val="-6"/>
          <w:sz w:val="20"/>
          <w:vertAlign w:val="baseline"/>
        </w:rPr>
        <w:t> </w:t>
      </w:r>
      <w:r>
        <w:rPr>
          <w:color w:val="231F20"/>
          <w:sz w:val="20"/>
          <w:vertAlign w:val="baseline"/>
        </w:rPr>
        <w:t>diffuse</w:t>
      </w:r>
      <w:r>
        <w:rPr>
          <w:color w:val="231F20"/>
          <w:spacing w:val="-7"/>
          <w:sz w:val="20"/>
          <w:vertAlign w:val="baseline"/>
        </w:rPr>
        <w:t> </w:t>
      </w:r>
      <w:r>
        <w:rPr>
          <w:color w:val="231F20"/>
          <w:sz w:val="20"/>
          <w:vertAlign w:val="baseline"/>
        </w:rPr>
        <w:t>through</w:t>
      </w:r>
      <w:r>
        <w:rPr>
          <w:color w:val="231F20"/>
          <w:spacing w:val="-6"/>
          <w:sz w:val="20"/>
          <w:vertAlign w:val="baseline"/>
        </w:rPr>
        <w:t> </w:t>
      </w:r>
      <w:r>
        <w:rPr>
          <w:color w:val="231F20"/>
          <w:sz w:val="20"/>
          <w:vertAlign w:val="baseline"/>
        </w:rPr>
        <w:t>all</w:t>
      </w:r>
      <w:r>
        <w:rPr>
          <w:color w:val="231F20"/>
          <w:spacing w:val="-7"/>
          <w:sz w:val="20"/>
          <w:vertAlign w:val="baseline"/>
        </w:rPr>
        <w:t> </w:t>
      </w:r>
      <w:r>
        <w:rPr>
          <w:color w:val="231F20"/>
          <w:sz w:val="20"/>
          <w:vertAlign w:val="baseline"/>
        </w:rPr>
        <w:t>the</w:t>
      </w:r>
      <w:r>
        <w:rPr>
          <w:color w:val="231F20"/>
          <w:spacing w:val="-6"/>
          <w:sz w:val="20"/>
          <w:vertAlign w:val="baseline"/>
        </w:rPr>
        <w:t> </w:t>
      </w:r>
      <w:r>
        <w:rPr>
          <w:color w:val="231F20"/>
          <w:spacing w:val="-8"/>
          <w:sz w:val="20"/>
          <w:vertAlign w:val="baseline"/>
        </w:rPr>
        <w:t>cell </w:t>
      </w:r>
      <w:r>
        <w:rPr>
          <w:color w:val="231F20"/>
          <w:sz w:val="20"/>
          <w:vertAlign w:val="baseline"/>
        </w:rPr>
        <w:t>membranes. </w:t>
      </w:r>
      <w:r>
        <w:rPr>
          <w:i/>
          <w:color w:val="231F20"/>
          <w:sz w:val="20"/>
          <w:vertAlign w:val="baseline"/>
        </w:rPr>
        <w:t>This diffusion of the elements of the </w:t>
      </w:r>
      <w:r>
        <w:rPr>
          <w:i/>
          <w:color w:val="231F20"/>
          <w:spacing w:val="-3"/>
          <w:sz w:val="20"/>
          <w:vertAlign w:val="baseline"/>
        </w:rPr>
        <w:t>bicarbon- </w:t>
      </w:r>
      <w:r>
        <w:rPr>
          <w:i/>
          <w:color w:val="231F20"/>
          <w:sz w:val="20"/>
          <w:vertAlign w:val="baseline"/>
        </w:rPr>
        <w:t>ate buffer system causes the pH in intracellular fluid to change</w:t>
      </w:r>
      <w:r>
        <w:rPr>
          <w:i/>
          <w:color w:val="231F20"/>
          <w:spacing w:val="22"/>
          <w:sz w:val="20"/>
          <w:vertAlign w:val="baseline"/>
        </w:rPr>
        <w:t> </w:t>
      </w:r>
      <w:r>
        <w:rPr>
          <w:i/>
          <w:color w:val="231F20"/>
          <w:sz w:val="20"/>
          <w:vertAlign w:val="baseline"/>
        </w:rPr>
        <w:t>when</w:t>
      </w:r>
      <w:r>
        <w:rPr>
          <w:i/>
          <w:color w:val="231F20"/>
          <w:spacing w:val="23"/>
          <w:sz w:val="20"/>
          <w:vertAlign w:val="baseline"/>
        </w:rPr>
        <w:t> </w:t>
      </w:r>
      <w:r>
        <w:rPr>
          <w:i/>
          <w:color w:val="231F20"/>
          <w:sz w:val="20"/>
          <w:vertAlign w:val="baseline"/>
        </w:rPr>
        <w:t>there</w:t>
      </w:r>
      <w:r>
        <w:rPr>
          <w:i/>
          <w:color w:val="231F20"/>
          <w:spacing w:val="23"/>
          <w:sz w:val="20"/>
          <w:vertAlign w:val="baseline"/>
        </w:rPr>
        <w:t> </w:t>
      </w:r>
      <w:r>
        <w:rPr>
          <w:i/>
          <w:color w:val="231F20"/>
          <w:sz w:val="20"/>
          <w:vertAlign w:val="baseline"/>
        </w:rPr>
        <w:t>are</w:t>
      </w:r>
      <w:r>
        <w:rPr>
          <w:i/>
          <w:color w:val="231F20"/>
          <w:spacing w:val="23"/>
          <w:sz w:val="20"/>
          <w:vertAlign w:val="baseline"/>
        </w:rPr>
        <w:t> </w:t>
      </w:r>
      <w:r>
        <w:rPr>
          <w:i/>
          <w:color w:val="231F20"/>
          <w:sz w:val="20"/>
          <w:vertAlign w:val="baseline"/>
        </w:rPr>
        <w:t>changes</w:t>
      </w:r>
      <w:r>
        <w:rPr>
          <w:i/>
          <w:color w:val="231F20"/>
          <w:spacing w:val="23"/>
          <w:sz w:val="20"/>
          <w:vertAlign w:val="baseline"/>
        </w:rPr>
        <w:t> </w:t>
      </w:r>
      <w:r>
        <w:rPr>
          <w:i/>
          <w:color w:val="231F20"/>
          <w:sz w:val="20"/>
          <w:vertAlign w:val="baseline"/>
        </w:rPr>
        <w:t>in</w:t>
      </w:r>
      <w:r>
        <w:rPr>
          <w:i/>
          <w:color w:val="231F20"/>
          <w:spacing w:val="23"/>
          <w:sz w:val="20"/>
          <w:vertAlign w:val="baseline"/>
        </w:rPr>
        <w:t> </w:t>
      </w:r>
      <w:r>
        <w:rPr>
          <w:i/>
          <w:color w:val="231F20"/>
          <w:sz w:val="20"/>
          <w:vertAlign w:val="baseline"/>
        </w:rPr>
        <w:t>extracellular</w:t>
      </w:r>
      <w:r>
        <w:rPr>
          <w:i/>
          <w:color w:val="231F20"/>
          <w:spacing w:val="23"/>
          <w:sz w:val="20"/>
          <w:vertAlign w:val="baseline"/>
        </w:rPr>
        <w:t> </w:t>
      </w:r>
      <w:r>
        <w:rPr>
          <w:i/>
          <w:color w:val="231F20"/>
          <w:sz w:val="20"/>
          <w:vertAlign w:val="baseline"/>
        </w:rPr>
        <w:t>pH.</w:t>
      </w:r>
      <w:r>
        <w:rPr>
          <w:i/>
          <w:color w:val="231F20"/>
          <w:spacing w:val="22"/>
          <w:sz w:val="20"/>
          <w:vertAlign w:val="baseline"/>
        </w:rPr>
        <w:t> </w:t>
      </w:r>
      <w:r>
        <w:rPr>
          <w:color w:val="231F20"/>
          <w:spacing w:val="-3"/>
          <w:sz w:val="20"/>
          <w:vertAlign w:val="baseline"/>
        </w:rPr>
        <w:t>For</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line="247" w:lineRule="auto" w:before="3"/>
        <w:ind w:left="1439"/>
        <w:jc w:val="both"/>
      </w:pPr>
      <w:r>
        <w:rPr/>
        <w:pict>
          <v:shape style="position:absolute;margin-left:236.4655pt;margin-top:17.411932pt;width:3pt;height:8.7pt;mso-position-horizontal-relative:page;mso-position-vertical-relative:paragraph;z-index:-27257548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107.2556pt;margin-top:29.411932pt;width:3pt;height:8.7pt;mso-position-horizontal-relative:page;mso-position-vertical-relative:paragraph;z-index:-27257446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rPr>
        <w:t>HCl is added to a mixture of these two substances, the hydrogen is accepted by the base HPO </w:t>
      </w:r>
      <w:r>
        <w:rPr>
          <w:rFonts w:ascii="Consolas" w:hAnsi="Consolas"/>
          <w:color w:val="231F20"/>
          <w:position w:val="8"/>
          <w:sz w:val="12"/>
        </w:rPr>
        <w:t>= </w:t>
      </w:r>
      <w:r>
        <w:rPr>
          <w:color w:val="231F20"/>
        </w:rPr>
        <w:t>and converted   to H</w:t>
      </w:r>
      <w:r>
        <w:rPr>
          <w:color w:val="231F20"/>
          <w:vertAlign w:val="subscript"/>
        </w:rPr>
        <w:t>2</w:t>
      </w:r>
      <w:r>
        <w:rPr>
          <w:color w:val="231F20"/>
          <w:vertAlign w:val="baseline"/>
        </w:rPr>
        <w:t>PO</w:t>
      </w:r>
      <w:r>
        <w:rPr>
          <w:color w:val="231F20"/>
          <w:spacing w:val="16"/>
          <w:vertAlign w:val="baseline"/>
        </w:rPr>
        <w:t> </w:t>
      </w:r>
      <w:r>
        <w:rPr>
          <w:rFonts w:ascii="Consolas" w:hAnsi="Consolas"/>
          <w:color w:val="231F20"/>
          <w:position w:val="8"/>
          <w:sz w:val="12"/>
          <w:vertAlign w:val="baseline"/>
        </w:rPr>
        <w:t>−</w:t>
      </w:r>
      <w:r>
        <w:rPr>
          <w:color w:val="231F20"/>
          <w:vertAlign w:val="baseline"/>
        </w:rPr>
        <w:t>.</w:t>
      </w:r>
    </w:p>
    <w:p>
      <w:pPr>
        <w:spacing w:before="137"/>
        <w:ind w:left="2423" w:right="0" w:firstLine="0"/>
        <w:jc w:val="left"/>
        <w:rPr>
          <w:rFonts w:ascii="Trebuchet MS" w:hAnsi="Trebuchet MS"/>
          <w:sz w:val="18"/>
        </w:rPr>
      </w:pPr>
      <w:r>
        <w:rPr>
          <w:rFonts w:ascii="Trebuchet MS" w:hAnsi="Trebuchet MS"/>
          <w:w w:val="105"/>
          <w:sz w:val="18"/>
        </w:rPr>
        <w:t>HCl </w:t>
      </w:r>
      <w:r>
        <w:rPr>
          <w:rFonts w:ascii="Symbol" w:hAnsi="Symbol"/>
          <w:w w:val="105"/>
          <w:sz w:val="18"/>
        </w:rPr>
        <w:t></w:t>
      </w:r>
      <w:r>
        <w:rPr>
          <w:w w:val="105"/>
          <w:sz w:val="18"/>
        </w:rPr>
        <w:t> </w:t>
      </w:r>
      <w:r>
        <w:rPr>
          <w:rFonts w:ascii="Trebuchet MS" w:hAnsi="Trebuchet MS"/>
          <w:w w:val="105"/>
          <w:sz w:val="18"/>
        </w:rPr>
        <w:t>Na</w:t>
      </w:r>
      <w:r>
        <w:rPr>
          <w:rFonts w:ascii="Trebuchet MS" w:hAnsi="Trebuchet MS"/>
          <w:w w:val="105"/>
          <w:position w:val="-2"/>
          <w:sz w:val="10"/>
        </w:rPr>
        <w:t>2</w:t>
      </w:r>
      <w:r>
        <w:rPr>
          <w:rFonts w:ascii="Trebuchet MS" w:hAnsi="Trebuchet MS"/>
          <w:w w:val="105"/>
          <w:sz w:val="18"/>
        </w:rPr>
        <w:t>HPO</w:t>
      </w:r>
      <w:r>
        <w:rPr>
          <w:rFonts w:ascii="Trebuchet MS" w:hAnsi="Trebuchet MS"/>
          <w:w w:val="105"/>
          <w:position w:val="-2"/>
          <w:sz w:val="10"/>
        </w:rPr>
        <w:t>4 </w:t>
      </w:r>
      <w:r>
        <w:rPr>
          <w:rFonts w:ascii="Symbol" w:hAnsi="Symbol"/>
          <w:w w:val="105"/>
          <w:sz w:val="18"/>
        </w:rPr>
        <w:t></w:t>
      </w:r>
      <w:r>
        <w:rPr>
          <w:w w:val="105"/>
          <w:sz w:val="18"/>
        </w:rPr>
        <w:t> </w:t>
      </w:r>
      <w:r>
        <w:rPr>
          <w:rFonts w:ascii="Trebuchet MS" w:hAnsi="Trebuchet MS"/>
          <w:w w:val="105"/>
          <w:sz w:val="18"/>
        </w:rPr>
        <w:t>NaH</w:t>
      </w:r>
      <w:r>
        <w:rPr>
          <w:rFonts w:ascii="Trebuchet MS" w:hAnsi="Trebuchet MS"/>
          <w:w w:val="105"/>
          <w:position w:val="-2"/>
          <w:sz w:val="10"/>
        </w:rPr>
        <w:t>2</w:t>
      </w:r>
      <w:r>
        <w:rPr>
          <w:rFonts w:ascii="Trebuchet MS" w:hAnsi="Trebuchet MS"/>
          <w:w w:val="105"/>
          <w:sz w:val="18"/>
        </w:rPr>
        <w:t>PO</w:t>
      </w:r>
      <w:r>
        <w:rPr>
          <w:rFonts w:ascii="Trebuchet MS" w:hAnsi="Trebuchet MS"/>
          <w:w w:val="105"/>
          <w:position w:val="-2"/>
          <w:sz w:val="10"/>
        </w:rPr>
        <w:t>4 </w:t>
      </w:r>
      <w:r>
        <w:rPr>
          <w:rFonts w:ascii="Symbol" w:hAnsi="Symbol"/>
          <w:w w:val="105"/>
          <w:sz w:val="18"/>
        </w:rPr>
        <w:t></w:t>
      </w:r>
      <w:r>
        <w:rPr>
          <w:w w:val="105"/>
          <w:sz w:val="18"/>
        </w:rPr>
        <w:t> </w:t>
      </w:r>
      <w:r>
        <w:rPr>
          <w:rFonts w:ascii="Trebuchet MS" w:hAnsi="Trebuchet MS"/>
          <w:w w:val="105"/>
          <w:sz w:val="18"/>
        </w:rPr>
        <w:t>NaCl</w:t>
      </w:r>
    </w:p>
    <w:p>
      <w:pPr>
        <w:pStyle w:val="BodyText"/>
        <w:spacing w:line="249" w:lineRule="auto" w:before="112"/>
        <w:ind w:left="1440" w:firstLine="240"/>
        <w:jc w:val="both"/>
      </w:pPr>
      <w:r>
        <w:rPr>
          <w:color w:val="231F20"/>
        </w:rPr>
        <w:t>The result of this reaction is that the strong acid, </w:t>
      </w:r>
      <w:r>
        <w:rPr>
          <w:color w:val="231F20"/>
          <w:spacing w:val="-4"/>
        </w:rPr>
        <w:t>HCl, </w:t>
      </w:r>
      <w:r>
        <w:rPr>
          <w:color w:val="231F20"/>
        </w:rPr>
        <w:t>is replaced by an additional amount of a weak acid, NaH</w:t>
      </w:r>
      <w:r>
        <w:rPr>
          <w:color w:val="231F20"/>
          <w:vertAlign w:val="subscript"/>
        </w:rPr>
        <w:t>2</w:t>
      </w:r>
      <w:r>
        <w:rPr>
          <w:color w:val="231F20"/>
          <w:vertAlign w:val="baseline"/>
        </w:rPr>
        <w:t>PO</w:t>
      </w:r>
      <w:r>
        <w:rPr>
          <w:color w:val="231F20"/>
          <w:vertAlign w:val="subscript"/>
        </w:rPr>
        <w:t>4</w:t>
      </w:r>
      <w:r>
        <w:rPr>
          <w:color w:val="231F20"/>
          <w:vertAlign w:val="baseline"/>
        </w:rPr>
        <w:t>,</w:t>
      </w:r>
      <w:r>
        <w:rPr>
          <w:color w:val="231F20"/>
          <w:spacing w:val="12"/>
          <w:vertAlign w:val="baseline"/>
        </w:rPr>
        <w:t> </w:t>
      </w:r>
      <w:r>
        <w:rPr>
          <w:color w:val="231F20"/>
          <w:vertAlign w:val="baseline"/>
        </w:rPr>
        <w:t>and</w:t>
      </w:r>
      <w:r>
        <w:rPr>
          <w:color w:val="231F20"/>
          <w:spacing w:val="12"/>
          <w:vertAlign w:val="baseline"/>
        </w:rPr>
        <w:t> </w:t>
      </w:r>
      <w:r>
        <w:rPr>
          <w:color w:val="231F20"/>
          <w:vertAlign w:val="baseline"/>
        </w:rPr>
        <w:t>the</w:t>
      </w:r>
      <w:r>
        <w:rPr>
          <w:color w:val="231F20"/>
          <w:spacing w:val="13"/>
          <w:vertAlign w:val="baseline"/>
        </w:rPr>
        <w:t> </w:t>
      </w:r>
      <w:r>
        <w:rPr>
          <w:color w:val="231F20"/>
          <w:vertAlign w:val="baseline"/>
        </w:rPr>
        <w:t>decrease</w:t>
      </w:r>
      <w:r>
        <w:rPr>
          <w:color w:val="231F20"/>
          <w:spacing w:val="12"/>
          <w:vertAlign w:val="baseline"/>
        </w:rPr>
        <w:t> </w:t>
      </w:r>
      <w:r>
        <w:rPr>
          <w:color w:val="231F20"/>
          <w:vertAlign w:val="baseline"/>
        </w:rPr>
        <w:t>in</w:t>
      </w:r>
      <w:r>
        <w:rPr>
          <w:color w:val="231F20"/>
          <w:spacing w:val="13"/>
          <w:vertAlign w:val="baseline"/>
        </w:rPr>
        <w:t> </w:t>
      </w:r>
      <w:r>
        <w:rPr>
          <w:color w:val="231F20"/>
          <w:vertAlign w:val="baseline"/>
        </w:rPr>
        <w:t>pH</w:t>
      </w:r>
      <w:r>
        <w:rPr>
          <w:color w:val="231F20"/>
          <w:spacing w:val="12"/>
          <w:vertAlign w:val="baseline"/>
        </w:rPr>
        <w:t> </w:t>
      </w:r>
      <w:r>
        <w:rPr>
          <w:color w:val="231F20"/>
          <w:vertAlign w:val="baseline"/>
        </w:rPr>
        <w:t>is</w:t>
      </w:r>
      <w:r>
        <w:rPr>
          <w:color w:val="231F20"/>
          <w:spacing w:val="13"/>
          <w:vertAlign w:val="baseline"/>
        </w:rPr>
        <w:t> </w:t>
      </w:r>
      <w:r>
        <w:rPr>
          <w:color w:val="231F20"/>
          <w:vertAlign w:val="baseline"/>
        </w:rPr>
        <w:t>minimized.</w:t>
      </w:r>
    </w:p>
    <w:p>
      <w:pPr>
        <w:pStyle w:val="BodyText"/>
        <w:spacing w:line="247" w:lineRule="auto" w:before="2"/>
        <w:ind w:left="1440" w:firstLine="240"/>
        <w:jc w:val="both"/>
      </w:pPr>
      <w:r>
        <w:rPr/>
        <w:pict>
          <v:shape style="position:absolute;margin-left:266.158295pt;margin-top:17.361938pt;width:3pt;height:8.7pt;mso-position-horizontal-relative:page;mso-position-vertical-relative:paragraph;z-index:-27257344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rPr>
        <w:t>When a strong base, such as NaOH, is added to the buffer system, the OH</w:t>
      </w:r>
      <w:r>
        <w:rPr>
          <w:rFonts w:ascii="Consolas" w:hAnsi="Consolas"/>
          <w:color w:val="231F20"/>
          <w:position w:val="8"/>
          <w:sz w:val="12"/>
        </w:rPr>
        <w:t>− </w:t>
      </w:r>
      <w:r>
        <w:rPr>
          <w:color w:val="231F20"/>
        </w:rPr>
        <w:t>is buffered by the H</w:t>
      </w:r>
      <w:r>
        <w:rPr>
          <w:color w:val="231F20"/>
          <w:vertAlign w:val="subscript"/>
        </w:rPr>
        <w:t>2</w:t>
      </w:r>
      <w:r>
        <w:rPr>
          <w:color w:val="231F20"/>
          <w:vertAlign w:val="baseline"/>
        </w:rPr>
        <w:t>PO </w:t>
      </w:r>
      <w:r>
        <w:rPr>
          <w:rFonts w:ascii="Consolas" w:hAnsi="Consolas"/>
          <w:color w:val="231F20"/>
          <w:position w:val="8"/>
          <w:sz w:val="12"/>
          <w:vertAlign w:val="baseline"/>
        </w:rPr>
        <w:t>− </w:t>
      </w:r>
      <w:r>
        <w:rPr>
          <w:color w:val="231F20"/>
          <w:vertAlign w:val="baseline"/>
        </w:rPr>
        <w:t>to form</w:t>
      </w:r>
    </w:p>
    <w:p>
      <w:pPr>
        <w:pStyle w:val="BodyText"/>
        <w:spacing w:line="108" w:lineRule="exact"/>
        <w:ind w:left="1440"/>
        <w:jc w:val="both"/>
      </w:pPr>
      <w:r>
        <w:rPr>
          <w:color w:val="231F20"/>
        </w:rPr>
        <w:t>additional amounts of HPO </w:t>
      </w:r>
      <w:r>
        <w:rPr>
          <w:rFonts w:ascii="Consolas"/>
          <w:color w:val="231F20"/>
          <w:position w:val="8"/>
          <w:sz w:val="12"/>
        </w:rPr>
        <w:t>= </w:t>
      </w:r>
      <w:r>
        <w:rPr>
          <w:rFonts w:ascii="Consolas"/>
          <w:color w:val="231F20"/>
        </w:rPr>
        <w:t>+ </w:t>
      </w:r>
      <w:r>
        <w:rPr>
          <w:color w:val="231F20"/>
        </w:rPr>
        <w:t>H O.</w:t>
      </w:r>
    </w:p>
    <w:p>
      <w:pPr>
        <w:pStyle w:val="BodyText"/>
        <w:spacing w:line="249" w:lineRule="auto" w:before="3"/>
        <w:ind w:left="319" w:right="1078"/>
        <w:jc w:val="both"/>
      </w:pPr>
      <w:r>
        <w:rPr/>
        <w:br w:type="column"/>
      </w:r>
      <w:r>
        <w:rPr>
          <w:color w:val="231F20"/>
        </w:rPr>
        <w:t>this reason, the buffer systems within the cells help prevent changes in the pH of extracellular fluid but may take several hours to become maximally effective.</w:t>
      </w:r>
    </w:p>
    <w:p>
      <w:pPr>
        <w:pStyle w:val="BodyText"/>
        <w:spacing w:line="249" w:lineRule="auto" w:before="2"/>
        <w:ind w:left="319" w:right="1077" w:firstLine="240"/>
        <w:jc w:val="both"/>
      </w:pPr>
      <w:r>
        <w:rPr>
          <w:color w:val="231F20"/>
        </w:rPr>
        <w:t>In the red blood cell, hemoglobin (Hb) is an important buffer, as follows:</w:t>
      </w:r>
    </w:p>
    <w:p>
      <w:pPr>
        <w:spacing w:before="127"/>
        <w:ind w:left="1922" w:right="0" w:firstLine="0"/>
        <w:jc w:val="left"/>
        <w:rPr>
          <w:rFonts w:ascii="Trebuchet MS" w:hAnsi="Trebuchet MS"/>
          <w:sz w:val="18"/>
        </w:rPr>
      </w:pPr>
      <w:r>
        <w:rPr>
          <w:rFonts w:ascii="Trebuchet MS" w:hAnsi="Trebuchet MS"/>
          <w:spacing w:val="-5"/>
          <w:w w:val="110"/>
          <w:sz w:val="18"/>
        </w:rPr>
        <w:t>H</w:t>
      </w:r>
      <w:r>
        <w:rPr>
          <w:rFonts w:ascii="Symbol" w:hAnsi="Symbol"/>
          <w:w w:val="107"/>
          <w:position w:val="7"/>
          <w:sz w:val="10"/>
        </w:rPr>
        <w:t></w:t>
      </w:r>
      <w:r>
        <w:rPr>
          <w:position w:val="7"/>
          <w:sz w:val="10"/>
        </w:rPr>
        <w:t> </w:t>
      </w:r>
      <w:r>
        <w:rPr>
          <w:spacing w:val="7"/>
          <w:position w:val="7"/>
          <w:sz w:val="10"/>
        </w:rPr>
        <w:t> </w:t>
      </w:r>
      <w:r>
        <w:rPr>
          <w:rFonts w:ascii="Symbol" w:hAnsi="Symbol"/>
          <w:w w:val="100"/>
          <w:sz w:val="18"/>
        </w:rPr>
        <w:t></w:t>
      </w:r>
      <w:r>
        <w:rPr>
          <w:spacing w:val="-18"/>
          <w:sz w:val="18"/>
        </w:rPr>
        <w:t> </w:t>
      </w:r>
      <w:r>
        <w:rPr>
          <w:rFonts w:ascii="Trebuchet MS" w:hAnsi="Trebuchet MS"/>
          <w:spacing w:val="-1"/>
          <w:w w:val="110"/>
          <w:sz w:val="18"/>
        </w:rPr>
        <w:t>H</w:t>
      </w:r>
      <w:r>
        <w:rPr>
          <w:rFonts w:ascii="Trebuchet MS" w:hAnsi="Trebuchet MS"/>
          <w:w w:val="109"/>
          <w:sz w:val="18"/>
        </w:rPr>
        <w:t>b</w:t>
      </w:r>
      <w:r>
        <w:rPr>
          <w:rFonts w:ascii="Trebuchet MS" w:hAnsi="Trebuchet MS"/>
          <w:spacing w:val="-35"/>
          <w:sz w:val="18"/>
        </w:rPr>
        <w:t> </w:t>
      </w:r>
      <w:r>
        <w:rPr>
          <w:rFonts w:ascii="Symbol" w:hAnsi="Symbol"/>
          <w:spacing w:val="-161"/>
          <w:w w:val="100"/>
          <w:position w:val="-2"/>
          <w:sz w:val="18"/>
        </w:rPr>
        <w:t></w:t>
      </w:r>
      <w:r>
        <w:rPr>
          <w:rFonts w:ascii="Symbol" w:hAnsi="Symbol"/>
          <w:spacing w:val="-37"/>
          <w:position w:val="4"/>
          <w:sz w:val="18"/>
        </w:rPr>
        <w:t></w:t>
      </w:r>
      <w:r>
        <w:rPr>
          <w:rFonts w:ascii="Symbol" w:hAnsi="Symbol"/>
          <w:spacing w:val="-144"/>
          <w:position w:val="-2"/>
          <w:sz w:val="18"/>
        </w:rPr>
        <w:t></w:t>
      </w:r>
      <w:r>
        <w:rPr>
          <w:rFonts w:ascii="Symbol" w:hAnsi="Symbol"/>
          <w:spacing w:val="-112"/>
          <w:position w:val="4"/>
          <w:sz w:val="18"/>
        </w:rPr>
        <w:t></w:t>
      </w:r>
      <w:r>
        <w:rPr>
          <w:rFonts w:ascii="Symbol" w:hAnsi="Symbol"/>
          <w:spacing w:val="-164"/>
          <w:position w:val="-2"/>
          <w:sz w:val="18"/>
        </w:rPr>
        <w:t></w:t>
      </w:r>
      <w:r>
        <w:rPr>
          <w:rFonts w:ascii="Symbol" w:hAnsi="Symbol"/>
          <w:spacing w:val="10"/>
          <w:w w:val="100"/>
          <w:position w:val="4"/>
          <w:sz w:val="18"/>
        </w:rPr>
        <w:t></w:t>
      </w:r>
      <w:r>
        <w:rPr>
          <w:rFonts w:ascii="Trebuchet MS" w:hAnsi="Trebuchet MS"/>
          <w:spacing w:val="-1"/>
          <w:w w:val="110"/>
          <w:sz w:val="18"/>
        </w:rPr>
        <w:t>HH</w:t>
      </w:r>
      <w:r>
        <w:rPr>
          <w:rFonts w:ascii="Trebuchet MS" w:hAnsi="Trebuchet MS"/>
          <w:w w:val="109"/>
          <w:sz w:val="18"/>
        </w:rPr>
        <w:t>b</w:t>
      </w:r>
    </w:p>
    <w:p>
      <w:pPr>
        <w:pStyle w:val="BodyText"/>
        <w:spacing w:line="240" w:lineRule="atLeast" w:before="55"/>
        <w:ind w:left="319" w:right="1077" w:firstLine="240"/>
        <w:jc w:val="both"/>
      </w:pPr>
      <w:r>
        <w:rPr>
          <w:color w:val="231F20"/>
        </w:rPr>
        <w:t>Approximately 60 to 70 percent of the total chemical buffering of the body fluids is inside the cells, and most  of this buffering results from the intracellular proteins. However, except for the red blood cells, the slowness</w:t>
      </w:r>
      <w:r>
        <w:rPr>
          <w:color w:val="231F20"/>
          <w:spacing w:val="-18"/>
        </w:rPr>
        <w:t> </w:t>
      </w:r>
      <w:r>
        <w:rPr>
          <w:color w:val="231F20"/>
        </w:rPr>
        <w:t>with</w:t>
      </w:r>
    </w:p>
    <w:p>
      <w:pPr>
        <w:spacing w:after="0" w:line="240" w:lineRule="atLeast"/>
        <w:jc w:val="both"/>
        <w:sectPr>
          <w:type w:val="continuous"/>
          <w:pgSz w:w="12240" w:h="15660"/>
          <w:pgMar w:top="0" w:bottom="760" w:left="0" w:right="0"/>
          <w:cols w:num="2" w:equalWidth="0">
            <w:col w:w="6121" w:space="40"/>
            <w:col w:w="6079"/>
          </w:cols>
        </w:sectPr>
      </w:pPr>
    </w:p>
    <w:p>
      <w:pPr>
        <w:tabs>
          <w:tab w:pos="4236" w:val="left" w:leader="none"/>
        </w:tabs>
        <w:spacing w:line="9" w:lineRule="exact" w:before="0"/>
        <w:ind w:left="3735" w:right="0" w:firstLine="0"/>
        <w:jc w:val="left"/>
        <w:rPr>
          <w:sz w:val="12"/>
        </w:rPr>
      </w:pPr>
      <w:r>
        <w:rPr>
          <w:color w:val="231F20"/>
          <w:sz w:val="12"/>
        </w:rPr>
        <w:t>4</w:t>
        <w:tab/>
        <w:t>2</w:t>
      </w:r>
    </w:p>
    <w:p>
      <w:pPr>
        <w:pStyle w:val="BodyText"/>
        <w:spacing w:line="106" w:lineRule="exact"/>
        <w:ind w:left="6480"/>
      </w:pPr>
      <w:r>
        <w:rPr>
          <w:color w:val="231F20"/>
          <w:w w:val="105"/>
        </w:rPr>
        <w:t>which H</w:t>
      </w:r>
      <w:r>
        <w:rPr>
          <w:rFonts w:ascii="Consolas" w:hAnsi="Consolas"/>
          <w:color w:val="231F20"/>
          <w:w w:val="105"/>
          <w:position w:val="8"/>
          <w:sz w:val="12"/>
        </w:rPr>
        <w:t>+ </w:t>
      </w:r>
      <w:r>
        <w:rPr>
          <w:color w:val="231F20"/>
          <w:w w:val="105"/>
        </w:rPr>
        <w:t>and HCO </w:t>
      </w:r>
      <w:r>
        <w:rPr>
          <w:rFonts w:ascii="Consolas" w:hAnsi="Consolas"/>
          <w:color w:val="231F20"/>
          <w:w w:val="105"/>
          <w:position w:val="8"/>
          <w:sz w:val="12"/>
        </w:rPr>
        <w:t>− </w:t>
      </w:r>
      <w:r>
        <w:rPr>
          <w:color w:val="231F20"/>
          <w:w w:val="105"/>
        </w:rPr>
        <w:t>move through the cell membranes</w:t>
      </w:r>
    </w:p>
    <w:p>
      <w:pPr>
        <w:spacing w:after="0" w:line="106" w:lineRule="exact"/>
        <w:sectPr>
          <w:type w:val="continuous"/>
          <w:pgSz w:w="12240" w:h="15660"/>
          <w:pgMar w:top="0" w:bottom="760" w:left="0" w:right="0"/>
        </w:sectPr>
      </w:pPr>
    </w:p>
    <w:p>
      <w:pPr>
        <w:spacing w:before="29"/>
        <w:ind w:left="2343" w:right="0" w:firstLine="0"/>
        <w:jc w:val="left"/>
        <w:rPr>
          <w:rFonts w:ascii="Trebuchet MS" w:hAnsi="Trebuchet MS"/>
          <w:sz w:val="18"/>
        </w:rPr>
      </w:pPr>
      <w:r>
        <w:rPr/>
        <w:pict>
          <v:group style="position:absolute;margin-left:0pt;margin-top:0pt;width:612pt;height:180pt;mso-position-horizontal-relative:page;mso-position-vertical-relative:page;z-index:-27258368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v:shape style="position:absolute;left:1620;top:2090;width:4341;height:1360" type="#_x0000_t202" filled="false" stroked="false">
              <v:textbox inset="0,0,0,0">
                <w:txbxContent>
                  <w:p>
                    <w:pPr>
                      <w:spacing w:line="206" w:lineRule="exact" w:before="0"/>
                      <w:ind w:left="0" w:right="0" w:firstLine="0"/>
                      <w:jc w:val="both"/>
                      <w:rPr>
                        <w:sz w:val="18"/>
                      </w:rPr>
                    </w:pPr>
                    <w:r>
                      <w:rPr>
                        <w:color w:val="231F20"/>
                        <w:sz w:val="18"/>
                      </w:rPr>
                      <w:t>more buffering power.</w:t>
                    </w:r>
                  </w:p>
                  <w:p>
                    <w:pPr>
                      <w:spacing w:line="254" w:lineRule="auto" w:before="13"/>
                      <w:ind w:left="0" w:right="18" w:firstLine="239"/>
                      <w:jc w:val="both"/>
                      <w:rPr>
                        <w:sz w:val="18"/>
                      </w:rPr>
                    </w:pPr>
                    <w:r>
                      <w:rPr>
                        <w:color w:val="231F20"/>
                        <w:w w:val="105"/>
                        <w:sz w:val="18"/>
                      </w:rPr>
                      <w:t>The absolute concentration of the buffers is also an important factor in determining the buffer power of a system.</w:t>
                    </w:r>
                    <w:r>
                      <w:rPr>
                        <w:color w:val="231F20"/>
                        <w:spacing w:val="-25"/>
                        <w:w w:val="105"/>
                        <w:sz w:val="18"/>
                      </w:rPr>
                      <w:t> </w:t>
                    </w:r>
                    <w:r>
                      <w:rPr>
                        <w:color w:val="231F20"/>
                        <w:spacing w:val="-3"/>
                        <w:w w:val="105"/>
                        <w:sz w:val="18"/>
                      </w:rPr>
                      <w:t>With</w:t>
                    </w:r>
                    <w:r>
                      <w:rPr>
                        <w:color w:val="231F20"/>
                        <w:spacing w:val="-25"/>
                        <w:w w:val="105"/>
                        <w:sz w:val="18"/>
                      </w:rPr>
                      <w:t> </w:t>
                    </w:r>
                    <w:r>
                      <w:rPr>
                        <w:color w:val="231F20"/>
                        <w:w w:val="105"/>
                        <w:sz w:val="18"/>
                      </w:rPr>
                      <w:t>low</w:t>
                    </w:r>
                    <w:r>
                      <w:rPr>
                        <w:color w:val="231F20"/>
                        <w:spacing w:val="-25"/>
                        <w:w w:val="105"/>
                        <w:sz w:val="18"/>
                      </w:rPr>
                      <w:t> </w:t>
                    </w:r>
                    <w:r>
                      <w:rPr>
                        <w:color w:val="231F20"/>
                        <w:w w:val="105"/>
                        <w:sz w:val="18"/>
                      </w:rPr>
                      <w:t>concentrations</w:t>
                    </w:r>
                    <w:r>
                      <w:rPr>
                        <w:color w:val="231F20"/>
                        <w:spacing w:val="-25"/>
                        <w:w w:val="105"/>
                        <w:sz w:val="18"/>
                      </w:rPr>
                      <w:t> </w:t>
                    </w:r>
                    <w:r>
                      <w:rPr>
                        <w:color w:val="231F20"/>
                        <w:w w:val="105"/>
                        <w:sz w:val="18"/>
                      </w:rPr>
                      <w:t>of</w:t>
                    </w:r>
                    <w:r>
                      <w:rPr>
                        <w:color w:val="231F20"/>
                        <w:spacing w:val="-25"/>
                        <w:w w:val="105"/>
                        <w:sz w:val="18"/>
                      </w:rPr>
                      <w:t> </w:t>
                    </w:r>
                    <w:r>
                      <w:rPr>
                        <w:color w:val="231F20"/>
                        <w:w w:val="105"/>
                        <w:sz w:val="18"/>
                      </w:rPr>
                      <w:t>the</w:t>
                    </w:r>
                    <w:r>
                      <w:rPr>
                        <w:color w:val="231F20"/>
                        <w:spacing w:val="-25"/>
                        <w:w w:val="105"/>
                        <w:sz w:val="18"/>
                      </w:rPr>
                      <w:t> </w:t>
                    </w:r>
                    <w:r>
                      <w:rPr>
                        <w:color w:val="231F20"/>
                        <w:w w:val="105"/>
                        <w:sz w:val="18"/>
                      </w:rPr>
                      <w:t>buffers,</w:t>
                    </w:r>
                    <w:r>
                      <w:rPr>
                        <w:color w:val="231F20"/>
                        <w:spacing w:val="-25"/>
                        <w:w w:val="105"/>
                        <w:sz w:val="18"/>
                      </w:rPr>
                      <w:t> </w:t>
                    </w:r>
                    <w:r>
                      <w:rPr>
                        <w:color w:val="231F20"/>
                        <w:w w:val="105"/>
                        <w:sz w:val="18"/>
                      </w:rPr>
                      <w:t>only</w:t>
                    </w:r>
                    <w:r>
                      <w:rPr>
                        <w:color w:val="231F20"/>
                        <w:spacing w:val="-25"/>
                        <w:w w:val="105"/>
                        <w:sz w:val="18"/>
                      </w:rPr>
                      <w:t> </w:t>
                    </w:r>
                    <w:r>
                      <w:rPr>
                        <w:color w:val="231F20"/>
                        <w:w w:val="105"/>
                        <w:sz w:val="18"/>
                      </w:rPr>
                      <w:t>a</w:t>
                    </w:r>
                    <w:r>
                      <w:rPr>
                        <w:color w:val="231F20"/>
                        <w:spacing w:val="-25"/>
                        <w:w w:val="105"/>
                        <w:sz w:val="18"/>
                      </w:rPr>
                      <w:t> </w:t>
                    </w:r>
                    <w:r>
                      <w:rPr>
                        <w:color w:val="231F20"/>
                        <w:spacing w:val="-3"/>
                        <w:w w:val="105"/>
                        <w:sz w:val="18"/>
                      </w:rPr>
                      <w:t>small </w:t>
                    </w:r>
                    <w:r>
                      <w:rPr>
                        <w:color w:val="231F20"/>
                        <w:w w:val="105"/>
                        <w:sz w:val="18"/>
                      </w:rPr>
                      <w:t>amount of acid or base added to the solution changes the pH</w:t>
                    </w:r>
                    <w:r>
                      <w:rPr>
                        <w:color w:val="231F20"/>
                        <w:spacing w:val="2"/>
                        <w:w w:val="105"/>
                        <w:sz w:val="18"/>
                      </w:rPr>
                      <w:t> </w:t>
                    </w:r>
                    <w:r>
                      <w:rPr>
                        <w:color w:val="231F20"/>
                        <w:w w:val="105"/>
                        <w:sz w:val="18"/>
                      </w:rPr>
                      <w:t>considerably.</w:t>
                    </w:r>
                  </w:p>
                </w:txbxContent>
              </v:textbox>
              <w10:wrap type="none"/>
            </v:shape>
            <v:shape style="position:absolute;left:4386;top:1964;width:74;height:156" type="#_x0000_t202" filled="false" stroked="false">
              <v:textbox inset="0,0,0,0">
                <w:txbxContent>
                  <w:p>
                    <w:pPr>
                      <w:spacing w:line="124" w:lineRule="exact" w:before="0"/>
                      <w:ind w:left="0" w:right="0" w:firstLine="0"/>
                      <w:jc w:val="left"/>
                      <w:rPr>
                        <w:sz w:val="11"/>
                      </w:rPr>
                    </w:pPr>
                    <w:r>
                      <w:rPr>
                        <w:color w:val="231F20"/>
                        <w:w w:val="96"/>
                        <w:sz w:val="11"/>
                      </w:rPr>
                      <w:t>2</w:t>
                    </w:r>
                  </w:p>
                </w:txbxContent>
              </v:textbox>
              <w10:wrap type="none"/>
            </v:shape>
            <v:shape style="position:absolute;left:2024;top:1964;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4685;top:1744;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1620;top:1856;width:4340;height:274" type="#_x0000_t202" filled="false" stroked="false">
              <v:textbox inset="0,0,0,0">
                <w:txbxContent>
                  <w:p>
                    <w:pPr>
                      <w:spacing w:before="10"/>
                      <w:ind w:left="0" w:right="0" w:firstLine="0"/>
                      <w:jc w:val="left"/>
                      <w:rPr>
                        <w:sz w:val="18"/>
                      </w:rPr>
                    </w:pPr>
                    <w:r>
                      <w:rPr>
                        <w:color w:val="231F20"/>
                        <w:w w:val="105"/>
                        <w:sz w:val="18"/>
                      </w:rPr>
                      <w:t>HCO </w:t>
                    </w:r>
                    <w:r>
                      <w:rPr>
                        <w:rFonts w:ascii="Consolas" w:hAnsi="Consolas"/>
                        <w:color w:val="231F20"/>
                        <w:w w:val="105"/>
                        <w:position w:val="7"/>
                        <w:sz w:val="11"/>
                      </w:rPr>
                      <w:t>− </w:t>
                    </w:r>
                    <w:r>
                      <w:rPr>
                        <w:color w:val="231F20"/>
                        <w:w w:val="105"/>
                        <w:sz w:val="18"/>
                      </w:rPr>
                      <w:t>has been converted into CO , the system has no</w:t>
                    </w:r>
                  </w:p>
                </w:txbxContent>
              </v:textbox>
              <w10:wrap type="none"/>
            </v:shape>
            <v:shape style="position:absolute;left:1620;top:1636;width:4340;height:274" type="#_x0000_t202" filled="false" stroked="false">
              <v:textbox inset="0,0,0,0">
                <w:txbxContent>
                  <w:p>
                    <w:pPr>
                      <w:spacing w:before="10"/>
                      <w:ind w:left="0" w:right="0" w:firstLine="0"/>
                      <w:jc w:val="left"/>
                      <w:rPr>
                        <w:sz w:val="18"/>
                      </w:rPr>
                    </w:pPr>
                    <w:r>
                      <w:rPr>
                        <w:color w:val="231F20"/>
                        <w:w w:val="105"/>
                        <w:sz w:val="18"/>
                      </w:rPr>
                      <w:t>all</w:t>
                    </w:r>
                    <w:r>
                      <w:rPr>
                        <w:color w:val="231F20"/>
                        <w:spacing w:val="-9"/>
                        <w:w w:val="105"/>
                        <w:sz w:val="18"/>
                      </w:rPr>
                      <w:t> </w:t>
                    </w:r>
                    <w:r>
                      <w:rPr>
                        <w:color w:val="231F20"/>
                        <w:w w:val="105"/>
                        <w:sz w:val="18"/>
                      </w:rPr>
                      <w:t>the</w:t>
                    </w:r>
                    <w:r>
                      <w:rPr>
                        <w:color w:val="231F20"/>
                        <w:spacing w:val="-9"/>
                        <w:w w:val="105"/>
                        <w:sz w:val="18"/>
                      </w:rPr>
                      <w:t> </w:t>
                    </w:r>
                    <w:r>
                      <w:rPr>
                        <w:color w:val="231F20"/>
                        <w:w w:val="105"/>
                        <w:sz w:val="18"/>
                      </w:rPr>
                      <w:t>CO</w:t>
                    </w:r>
                    <w:r>
                      <w:rPr>
                        <w:color w:val="231F20"/>
                        <w:w w:val="105"/>
                        <w:sz w:val="18"/>
                        <w:vertAlign w:val="subscript"/>
                      </w:rPr>
                      <w:t>2</w:t>
                    </w:r>
                    <w:r>
                      <w:rPr>
                        <w:color w:val="231F20"/>
                        <w:spacing w:val="-9"/>
                        <w:w w:val="105"/>
                        <w:sz w:val="18"/>
                        <w:vertAlign w:val="baseline"/>
                      </w:rPr>
                      <w:t> </w:t>
                    </w:r>
                    <w:r>
                      <w:rPr>
                        <w:color w:val="231F20"/>
                        <w:w w:val="105"/>
                        <w:sz w:val="18"/>
                        <w:vertAlign w:val="baseline"/>
                      </w:rPr>
                      <w:t>has</w:t>
                    </w:r>
                    <w:r>
                      <w:rPr>
                        <w:color w:val="231F20"/>
                        <w:spacing w:val="-9"/>
                        <w:w w:val="105"/>
                        <w:sz w:val="18"/>
                        <w:vertAlign w:val="baseline"/>
                      </w:rPr>
                      <w:t> </w:t>
                    </w:r>
                    <w:r>
                      <w:rPr>
                        <w:color w:val="231F20"/>
                        <w:w w:val="105"/>
                        <w:sz w:val="18"/>
                        <w:vertAlign w:val="baseline"/>
                      </w:rPr>
                      <w:t>been</w:t>
                    </w:r>
                    <w:r>
                      <w:rPr>
                        <w:color w:val="231F20"/>
                        <w:spacing w:val="-9"/>
                        <w:w w:val="105"/>
                        <w:sz w:val="18"/>
                        <w:vertAlign w:val="baseline"/>
                      </w:rPr>
                      <w:t> </w:t>
                    </w:r>
                    <w:r>
                      <w:rPr>
                        <w:color w:val="231F20"/>
                        <w:w w:val="105"/>
                        <w:sz w:val="18"/>
                        <w:vertAlign w:val="baseline"/>
                      </w:rPr>
                      <w:t>converted</w:t>
                    </w:r>
                    <w:r>
                      <w:rPr>
                        <w:color w:val="231F20"/>
                        <w:spacing w:val="-9"/>
                        <w:w w:val="105"/>
                        <w:sz w:val="18"/>
                        <w:vertAlign w:val="baseline"/>
                      </w:rPr>
                      <w:t> </w:t>
                    </w:r>
                    <w:r>
                      <w:rPr>
                        <w:color w:val="231F20"/>
                        <w:w w:val="105"/>
                        <w:sz w:val="18"/>
                        <w:vertAlign w:val="baseline"/>
                      </w:rPr>
                      <w:t>into</w:t>
                    </w:r>
                    <w:r>
                      <w:rPr>
                        <w:color w:val="231F20"/>
                        <w:spacing w:val="-9"/>
                        <w:w w:val="105"/>
                        <w:sz w:val="18"/>
                        <w:vertAlign w:val="baseline"/>
                      </w:rPr>
                      <w:t> </w:t>
                    </w:r>
                    <w:r>
                      <w:rPr>
                        <w:color w:val="231F20"/>
                        <w:w w:val="105"/>
                        <w:sz w:val="18"/>
                        <w:vertAlign w:val="baseline"/>
                      </w:rPr>
                      <w:t>HCO</w:t>
                    </w:r>
                    <w:r>
                      <w:rPr>
                        <w:color w:val="231F20"/>
                        <w:spacing w:val="1"/>
                        <w:w w:val="105"/>
                        <w:sz w:val="18"/>
                        <w:vertAlign w:val="baseline"/>
                      </w:rPr>
                      <w:t> </w:t>
                    </w:r>
                    <w:r>
                      <w:rPr>
                        <w:rFonts w:ascii="Consolas" w:hAnsi="Consolas"/>
                        <w:color w:val="231F20"/>
                        <w:w w:val="105"/>
                        <w:position w:val="7"/>
                        <w:sz w:val="11"/>
                        <w:vertAlign w:val="baseline"/>
                      </w:rPr>
                      <w:t>−</w:t>
                    </w:r>
                    <w:r>
                      <w:rPr>
                        <w:rFonts w:ascii="Consolas" w:hAnsi="Consolas"/>
                        <w:color w:val="231F20"/>
                        <w:spacing w:val="-24"/>
                        <w:w w:val="105"/>
                        <w:position w:val="7"/>
                        <w:sz w:val="11"/>
                        <w:vertAlign w:val="baseline"/>
                      </w:rPr>
                      <w:t> </w:t>
                    </w:r>
                    <w:r>
                      <w:rPr>
                        <w:color w:val="231F20"/>
                        <w:w w:val="105"/>
                        <w:sz w:val="18"/>
                        <w:vertAlign w:val="baseline"/>
                      </w:rPr>
                      <w:t>or</w:t>
                    </w:r>
                    <w:r>
                      <w:rPr>
                        <w:color w:val="231F20"/>
                        <w:spacing w:val="-9"/>
                        <w:w w:val="105"/>
                        <w:sz w:val="18"/>
                        <w:vertAlign w:val="baseline"/>
                      </w:rPr>
                      <w:t> </w:t>
                    </w:r>
                    <w:r>
                      <w:rPr>
                        <w:color w:val="231F20"/>
                        <w:w w:val="105"/>
                        <w:sz w:val="18"/>
                        <w:vertAlign w:val="baseline"/>
                      </w:rPr>
                      <w:t>when</w:t>
                    </w:r>
                    <w:r>
                      <w:rPr>
                        <w:color w:val="231F20"/>
                        <w:spacing w:val="-9"/>
                        <w:w w:val="105"/>
                        <w:sz w:val="18"/>
                        <w:vertAlign w:val="baseline"/>
                      </w:rPr>
                      <w:t> </w:t>
                    </w:r>
                    <w:r>
                      <w:rPr>
                        <w:color w:val="231F20"/>
                        <w:w w:val="105"/>
                        <w:sz w:val="18"/>
                        <w:vertAlign w:val="baseline"/>
                      </w:rPr>
                      <w:t>all</w:t>
                    </w:r>
                    <w:r>
                      <w:rPr>
                        <w:color w:val="231F20"/>
                        <w:spacing w:val="-9"/>
                        <w:w w:val="105"/>
                        <w:sz w:val="18"/>
                        <w:vertAlign w:val="baseline"/>
                      </w:rPr>
                      <w:t> </w:t>
                    </w:r>
                    <w:r>
                      <w:rPr>
                        <w:color w:val="231F20"/>
                        <w:w w:val="105"/>
                        <w:sz w:val="18"/>
                        <w:vertAlign w:val="baseline"/>
                      </w:rPr>
                      <w:t>the</w:t>
                    </w:r>
                  </w:p>
                </w:txbxContent>
              </v:textbox>
              <w10:wrap type="none"/>
            </v:shape>
            <v:shape style="position:absolute;left:1620;top:1210;width:4341;height:480" type="#_x0000_t202" filled="false" stroked="false">
              <v:textbox inset="0,0,0,0">
                <w:txbxContent>
                  <w:p>
                    <w:pPr>
                      <w:spacing w:line="254" w:lineRule="auto" w:before="0"/>
                      <w:ind w:left="0" w:right="0" w:firstLine="0"/>
                      <w:jc w:val="left"/>
                      <w:rPr>
                        <w:sz w:val="18"/>
                      </w:rPr>
                    </w:pPr>
                    <w:r>
                      <w:rPr>
                        <w:color w:val="231F20"/>
                        <w:sz w:val="18"/>
                      </w:rPr>
                      <w:t>extends from a pH of about 5.1 to 7.1 units. Beyond these limits, the buffering power rapidly diminishes. And when</w:t>
                    </w:r>
                  </w:p>
                </w:txbxContent>
              </v:textbox>
              <w10:wrap type="none"/>
            </v:shape>
            <w10:wrap type="none"/>
          </v:group>
        </w:pict>
      </w:r>
      <w:r>
        <w:rPr>
          <w:rFonts w:ascii="Trebuchet MS" w:hAnsi="Trebuchet MS"/>
          <w:w w:val="110"/>
          <w:sz w:val="18"/>
        </w:rPr>
        <w:t>NaOH </w:t>
      </w:r>
      <w:r>
        <w:rPr>
          <w:rFonts w:ascii="Symbol" w:hAnsi="Symbol"/>
          <w:w w:val="110"/>
          <w:sz w:val="18"/>
        </w:rPr>
        <w:t></w:t>
      </w:r>
      <w:r>
        <w:rPr>
          <w:w w:val="110"/>
          <w:sz w:val="18"/>
        </w:rPr>
        <w:t> </w:t>
      </w:r>
      <w:r>
        <w:rPr>
          <w:rFonts w:ascii="Trebuchet MS" w:hAnsi="Trebuchet MS"/>
          <w:w w:val="110"/>
          <w:sz w:val="18"/>
        </w:rPr>
        <w:t>NaH</w:t>
      </w:r>
      <w:r>
        <w:rPr>
          <w:rFonts w:ascii="Trebuchet MS" w:hAnsi="Trebuchet MS"/>
          <w:w w:val="110"/>
          <w:position w:val="-2"/>
          <w:sz w:val="10"/>
        </w:rPr>
        <w:t>2</w:t>
      </w:r>
      <w:r>
        <w:rPr>
          <w:rFonts w:ascii="Trebuchet MS" w:hAnsi="Trebuchet MS"/>
          <w:w w:val="110"/>
          <w:sz w:val="18"/>
        </w:rPr>
        <w:t>PO</w:t>
      </w:r>
      <w:r>
        <w:rPr>
          <w:rFonts w:ascii="Trebuchet MS" w:hAnsi="Trebuchet MS"/>
          <w:w w:val="110"/>
          <w:position w:val="-2"/>
          <w:sz w:val="10"/>
        </w:rPr>
        <w:t>4 </w:t>
      </w:r>
      <w:r>
        <w:rPr>
          <w:rFonts w:ascii="Symbol" w:hAnsi="Symbol"/>
          <w:w w:val="110"/>
          <w:sz w:val="18"/>
        </w:rPr>
        <w:t></w:t>
      </w:r>
      <w:r>
        <w:rPr>
          <w:w w:val="110"/>
          <w:sz w:val="18"/>
        </w:rPr>
        <w:t> </w:t>
      </w:r>
      <w:r>
        <w:rPr>
          <w:rFonts w:ascii="Trebuchet MS" w:hAnsi="Trebuchet MS"/>
          <w:w w:val="110"/>
          <w:sz w:val="18"/>
        </w:rPr>
        <w:t>Na</w:t>
      </w:r>
      <w:r>
        <w:rPr>
          <w:rFonts w:ascii="Trebuchet MS" w:hAnsi="Trebuchet MS"/>
          <w:w w:val="110"/>
          <w:position w:val="-2"/>
          <w:sz w:val="10"/>
        </w:rPr>
        <w:t>2</w:t>
      </w:r>
      <w:r>
        <w:rPr>
          <w:rFonts w:ascii="Trebuchet MS" w:hAnsi="Trebuchet MS"/>
          <w:w w:val="110"/>
          <w:sz w:val="18"/>
        </w:rPr>
        <w:t>HPO</w:t>
      </w:r>
      <w:r>
        <w:rPr>
          <w:rFonts w:ascii="Trebuchet MS" w:hAnsi="Trebuchet MS"/>
          <w:w w:val="110"/>
          <w:position w:val="-2"/>
          <w:sz w:val="10"/>
        </w:rPr>
        <w:t>4 </w:t>
      </w:r>
      <w:r>
        <w:rPr>
          <w:rFonts w:ascii="Symbol" w:hAnsi="Symbol"/>
          <w:w w:val="110"/>
          <w:sz w:val="18"/>
        </w:rPr>
        <w:t></w:t>
      </w:r>
      <w:r>
        <w:rPr>
          <w:w w:val="110"/>
          <w:sz w:val="18"/>
        </w:rPr>
        <w:t> </w:t>
      </w:r>
      <w:r>
        <w:rPr>
          <w:rFonts w:ascii="Trebuchet MS" w:hAnsi="Trebuchet MS"/>
          <w:w w:val="110"/>
          <w:sz w:val="18"/>
        </w:rPr>
        <w:t>H</w:t>
      </w:r>
      <w:r>
        <w:rPr>
          <w:rFonts w:ascii="Trebuchet MS" w:hAnsi="Trebuchet MS"/>
          <w:w w:val="110"/>
          <w:position w:val="-2"/>
          <w:sz w:val="10"/>
        </w:rPr>
        <w:t>2</w:t>
      </w:r>
      <w:r>
        <w:rPr>
          <w:rFonts w:ascii="Trebuchet MS" w:hAnsi="Trebuchet MS"/>
          <w:w w:val="110"/>
          <w:sz w:val="18"/>
        </w:rPr>
        <w:t>O</w:t>
      </w:r>
    </w:p>
    <w:p>
      <w:pPr>
        <w:pStyle w:val="BodyText"/>
        <w:spacing w:line="249" w:lineRule="auto" w:before="112"/>
        <w:ind w:left="1440"/>
      </w:pPr>
      <w:r>
        <w:rPr>
          <w:color w:val="231F20"/>
        </w:rPr>
        <w:t>In this case, a strong base, NaOH, is traded for a weak base, Na</w:t>
      </w:r>
      <w:r>
        <w:rPr>
          <w:color w:val="231F20"/>
          <w:vertAlign w:val="subscript"/>
        </w:rPr>
        <w:t>2</w:t>
      </w:r>
      <w:r>
        <w:rPr>
          <w:color w:val="231F20"/>
          <w:vertAlign w:val="baseline"/>
        </w:rPr>
        <w:t>HPO</w:t>
      </w:r>
      <w:r>
        <w:rPr>
          <w:color w:val="231F20"/>
          <w:vertAlign w:val="subscript"/>
        </w:rPr>
        <w:t>4</w:t>
      </w:r>
      <w:r>
        <w:rPr>
          <w:color w:val="231F20"/>
          <w:vertAlign w:val="baseline"/>
        </w:rPr>
        <w:t>, causing only a slight increase in pH.</w:t>
      </w:r>
    </w:p>
    <w:p>
      <w:pPr>
        <w:spacing w:line="136" w:lineRule="exact" w:before="0"/>
        <w:ind w:left="1967" w:right="0" w:firstLine="0"/>
        <w:jc w:val="left"/>
        <w:rPr>
          <w:sz w:val="12"/>
        </w:rPr>
      </w:pPr>
      <w:r>
        <w:rPr/>
        <w:br w:type="column"/>
      </w:r>
      <w:r>
        <w:rPr>
          <w:color w:val="231F20"/>
          <w:sz w:val="12"/>
        </w:rPr>
        <w:t>3</w:t>
      </w:r>
    </w:p>
    <w:p>
      <w:pPr>
        <w:pStyle w:val="BodyText"/>
        <w:spacing w:line="249" w:lineRule="auto"/>
        <w:ind w:left="319" w:right="1077"/>
        <w:jc w:val="both"/>
      </w:pPr>
      <w:r>
        <w:rPr>
          <w:color w:val="231F20"/>
        </w:rPr>
        <w:t>often delays for several hours the  maximum  ability</w:t>
      </w:r>
      <w:r>
        <w:rPr>
          <w:color w:val="231F20"/>
          <w:spacing w:val="22"/>
        </w:rPr>
        <w:t> </w:t>
      </w:r>
      <w:r>
        <w:rPr>
          <w:color w:val="231F20"/>
        </w:rPr>
        <w:t>of the intracellular proteins to buffer extracellular acid-base abnormalities.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945"/>
          <w:footerReference w:type="even" r:id="rId946"/>
          <w:footerReference w:type="default" r:id="rId947"/>
          <w:pgSz w:w="12240" w:h="15660"/>
          <w:pgMar w:header="0" w:footer="567" w:top="720" w:bottom="760" w:left="0" w:right="0"/>
          <w:pgNumType w:start="414"/>
        </w:sectPr>
      </w:pPr>
    </w:p>
    <w:p>
      <w:pPr>
        <w:pStyle w:val="BodyText"/>
        <w:spacing w:line="249" w:lineRule="auto" w:before="99"/>
        <w:ind w:left="1080" w:firstLine="240"/>
        <w:jc w:val="both"/>
      </w:pPr>
      <w:r>
        <w:rPr>
          <w:color w:val="231F20"/>
          <w:w w:val="105"/>
        </w:rPr>
        <w:t>In</w:t>
      </w:r>
      <w:r>
        <w:rPr>
          <w:color w:val="231F20"/>
          <w:spacing w:val="-12"/>
          <w:w w:val="105"/>
        </w:rPr>
        <w:t> </w:t>
      </w:r>
      <w:r>
        <w:rPr>
          <w:color w:val="231F20"/>
          <w:w w:val="105"/>
        </w:rPr>
        <w:t>addition</w:t>
      </w:r>
      <w:r>
        <w:rPr>
          <w:color w:val="231F20"/>
          <w:spacing w:val="-11"/>
          <w:w w:val="105"/>
        </w:rPr>
        <w:t> </w:t>
      </w:r>
      <w:r>
        <w:rPr>
          <w:color w:val="231F20"/>
          <w:w w:val="105"/>
        </w:rPr>
        <w:t>to</w:t>
      </w:r>
      <w:r>
        <w:rPr>
          <w:color w:val="231F20"/>
          <w:spacing w:val="-12"/>
          <w:w w:val="105"/>
        </w:rPr>
        <w:t> </w:t>
      </w:r>
      <w:r>
        <w:rPr>
          <w:color w:val="231F20"/>
          <w:w w:val="105"/>
        </w:rPr>
        <w:t>the</w:t>
      </w:r>
      <w:r>
        <w:rPr>
          <w:color w:val="231F20"/>
          <w:spacing w:val="-11"/>
          <w:w w:val="105"/>
        </w:rPr>
        <w:t> </w:t>
      </w:r>
      <w:r>
        <w:rPr>
          <w:color w:val="231F20"/>
          <w:w w:val="105"/>
        </w:rPr>
        <w:t>high</w:t>
      </w:r>
      <w:r>
        <w:rPr>
          <w:color w:val="231F20"/>
          <w:spacing w:val="-12"/>
          <w:w w:val="105"/>
        </w:rPr>
        <w:t> </w:t>
      </w:r>
      <w:r>
        <w:rPr>
          <w:color w:val="231F20"/>
          <w:w w:val="105"/>
        </w:rPr>
        <w:t>concentration</w:t>
      </w:r>
      <w:r>
        <w:rPr>
          <w:color w:val="231F20"/>
          <w:spacing w:val="-11"/>
          <w:w w:val="105"/>
        </w:rPr>
        <w:t> </w:t>
      </w:r>
      <w:r>
        <w:rPr>
          <w:color w:val="231F20"/>
          <w:w w:val="105"/>
        </w:rPr>
        <w:t>of</w:t>
      </w:r>
      <w:r>
        <w:rPr>
          <w:color w:val="231F20"/>
          <w:spacing w:val="-12"/>
          <w:w w:val="105"/>
        </w:rPr>
        <w:t> </w:t>
      </w:r>
      <w:r>
        <w:rPr>
          <w:color w:val="231F20"/>
          <w:w w:val="105"/>
        </w:rPr>
        <w:t>proteins</w:t>
      </w:r>
      <w:r>
        <w:rPr>
          <w:color w:val="231F20"/>
          <w:spacing w:val="-11"/>
          <w:w w:val="105"/>
        </w:rPr>
        <w:t> </w:t>
      </w:r>
      <w:r>
        <w:rPr>
          <w:color w:val="231F20"/>
          <w:w w:val="105"/>
        </w:rPr>
        <w:t>in</w:t>
      </w:r>
      <w:r>
        <w:rPr>
          <w:color w:val="231F20"/>
          <w:spacing w:val="-12"/>
          <w:w w:val="105"/>
        </w:rPr>
        <w:t> </w:t>
      </w:r>
      <w:r>
        <w:rPr>
          <w:color w:val="231F20"/>
          <w:spacing w:val="-6"/>
          <w:w w:val="105"/>
        </w:rPr>
        <w:t>the </w:t>
      </w:r>
      <w:r>
        <w:rPr>
          <w:color w:val="231F20"/>
          <w:w w:val="105"/>
        </w:rPr>
        <w:t>cells, another factor that contributes to their </w:t>
      </w:r>
      <w:r>
        <w:rPr>
          <w:color w:val="231F20"/>
          <w:spacing w:val="-3"/>
          <w:w w:val="105"/>
        </w:rPr>
        <w:t>buffering </w:t>
      </w:r>
      <w:r>
        <w:rPr>
          <w:color w:val="231F20"/>
          <w:w w:val="105"/>
        </w:rPr>
        <w:t>power is the fact that the pKs of many of these protein systems are fairly close to intracellular</w:t>
      </w:r>
      <w:r>
        <w:rPr>
          <w:color w:val="231F20"/>
          <w:spacing w:val="-8"/>
          <w:w w:val="105"/>
        </w:rPr>
        <w:t> </w:t>
      </w:r>
      <w:r>
        <w:rPr>
          <w:color w:val="231F20"/>
          <w:w w:val="105"/>
        </w:rPr>
        <w:t>pH.</w:t>
      </w:r>
    </w:p>
    <w:p>
      <w:pPr>
        <w:spacing w:before="130"/>
        <w:ind w:left="0" w:right="0" w:firstLine="0"/>
        <w:jc w:val="right"/>
        <w:rPr>
          <w:rFonts w:ascii="Helvetica"/>
          <w:sz w:val="16"/>
        </w:rPr>
      </w:pPr>
      <w:r>
        <w:rPr/>
        <w:br w:type="column"/>
      </w:r>
      <w:r>
        <w:rPr>
          <w:rFonts w:ascii="Arial"/>
          <w:color w:val="231F20"/>
          <w:w w:val="110"/>
          <w:sz w:val="16"/>
        </w:rPr>
        <w:t>+</w:t>
      </w:r>
      <w:r>
        <w:rPr>
          <w:rFonts w:ascii="Helvetica"/>
          <w:color w:val="231F20"/>
          <w:w w:val="110"/>
          <w:sz w:val="16"/>
        </w:rPr>
        <w:t>0.3</w:t>
      </w:r>
    </w:p>
    <w:p>
      <w:pPr>
        <w:spacing w:before="96"/>
        <w:ind w:left="0" w:right="0" w:firstLine="0"/>
        <w:jc w:val="right"/>
        <w:rPr>
          <w:rFonts w:ascii="Helvetica"/>
          <w:sz w:val="16"/>
        </w:rPr>
      </w:pPr>
      <w:r>
        <w:rPr/>
        <w:pict>
          <v:shape style="position:absolute;margin-left:327.292297pt;margin-top:6.343415pt;width:11.55pt;height:97.15pt;mso-position-horizontal-relative:page;mso-position-vertical-relative:paragraph;z-index:252859392"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pH change in body fluids</w:t>
                  </w:r>
                </w:p>
              </w:txbxContent>
            </v:textbox>
            <w10:wrap type="none"/>
          </v:shape>
        </w:pict>
      </w:r>
      <w:r>
        <w:rPr>
          <w:rFonts w:ascii="Arial"/>
          <w:color w:val="231F20"/>
          <w:w w:val="110"/>
          <w:sz w:val="16"/>
        </w:rPr>
        <w:t>+</w:t>
      </w:r>
      <w:r>
        <w:rPr>
          <w:rFonts w:ascii="Helvetica"/>
          <w:color w:val="231F20"/>
          <w:w w:val="110"/>
          <w:sz w:val="16"/>
        </w:rPr>
        <w:t>0.2</w:t>
      </w:r>
    </w:p>
    <w:p>
      <w:pPr>
        <w:spacing w:before="106"/>
        <w:ind w:left="0" w:right="0" w:firstLine="0"/>
        <w:jc w:val="right"/>
        <w:rPr>
          <w:rFonts w:ascii="Helvetica"/>
          <w:sz w:val="16"/>
        </w:rPr>
      </w:pPr>
      <w:r>
        <w:rPr>
          <w:rFonts w:ascii="Arial"/>
          <w:color w:val="231F20"/>
          <w:w w:val="110"/>
          <w:sz w:val="16"/>
        </w:rPr>
        <w:t>+</w:t>
      </w:r>
      <w:r>
        <w:rPr>
          <w:rFonts w:ascii="Helvetica"/>
          <w:color w:val="231F20"/>
          <w:w w:val="110"/>
          <w:sz w:val="16"/>
        </w:rPr>
        <w:t>0.1</w:t>
      </w:r>
    </w:p>
    <w:p>
      <w:pPr>
        <w:spacing w:before="117"/>
        <w:ind w:left="0" w:right="0" w:firstLine="0"/>
        <w:jc w:val="right"/>
        <w:rPr>
          <w:rFonts w:ascii="Helvetica"/>
          <w:sz w:val="16"/>
        </w:rPr>
      </w:pPr>
      <w:r>
        <w:rPr>
          <w:rFonts w:ascii="Helvetica"/>
          <w:color w:val="231F20"/>
          <w:w w:val="99"/>
          <w:sz w:val="16"/>
        </w:rPr>
        <w:t>0</w:t>
      </w:r>
    </w:p>
    <w:p>
      <w:pPr>
        <w:spacing w:before="100"/>
        <w:ind w:left="0" w:right="0" w:firstLine="0"/>
        <w:jc w:val="right"/>
        <w:rPr>
          <w:rFonts w:ascii="Helvetica"/>
          <w:sz w:val="16"/>
        </w:rPr>
      </w:pPr>
      <w:r>
        <w:rPr>
          <w:rFonts w:ascii="Arial"/>
          <w:color w:val="231F20"/>
          <w:w w:val="250"/>
          <w:sz w:val="16"/>
        </w:rPr>
        <w:t>-</w:t>
      </w:r>
      <w:r>
        <w:rPr>
          <w:rFonts w:ascii="Helvetica"/>
          <w:color w:val="231F20"/>
          <w:w w:val="99"/>
          <w:sz w:val="16"/>
        </w:rPr>
        <w:t>0.1</w:t>
      </w:r>
    </w:p>
    <w:p>
      <w:pPr>
        <w:spacing w:before="106"/>
        <w:ind w:left="0" w:right="0" w:firstLine="0"/>
        <w:jc w:val="right"/>
        <w:rPr>
          <w:rFonts w:ascii="Helvetica"/>
          <w:sz w:val="16"/>
        </w:rPr>
      </w:pPr>
      <w:r>
        <w:rPr>
          <w:rFonts w:ascii="Arial"/>
          <w:color w:val="231F20"/>
          <w:w w:val="250"/>
          <w:sz w:val="16"/>
        </w:rPr>
        <w:t>-</w:t>
      </w:r>
      <w:r>
        <w:rPr>
          <w:rFonts w:ascii="Helvetica"/>
          <w:color w:val="231F20"/>
          <w:w w:val="99"/>
          <w:sz w:val="16"/>
        </w:rPr>
        <w:t>0.2</w:t>
      </w:r>
    </w:p>
    <w:p>
      <w:pPr>
        <w:spacing w:before="106"/>
        <w:ind w:left="0" w:right="0" w:firstLine="0"/>
        <w:jc w:val="right"/>
        <w:rPr>
          <w:rFonts w:ascii="Helvetica"/>
          <w:sz w:val="16"/>
        </w:rPr>
      </w:pPr>
      <w:r>
        <w:rPr>
          <w:rFonts w:ascii="Arial"/>
          <w:color w:val="231F20"/>
          <w:w w:val="250"/>
          <w:sz w:val="16"/>
        </w:rPr>
        <w:t>-</w:t>
      </w:r>
      <w:r>
        <w:rPr>
          <w:rFonts w:ascii="Helvetica"/>
          <w:color w:val="231F20"/>
          <w:w w:val="99"/>
          <w:sz w:val="16"/>
        </w:rPr>
        <w:t>0.3</w:t>
      </w:r>
    </w:p>
    <w:p>
      <w:pPr>
        <w:spacing w:before="106"/>
        <w:ind w:left="0" w:right="0" w:firstLine="0"/>
        <w:jc w:val="right"/>
        <w:rPr>
          <w:rFonts w:ascii="Helvetica"/>
          <w:sz w:val="16"/>
        </w:rPr>
      </w:pPr>
      <w:r>
        <w:rPr>
          <w:rFonts w:ascii="Arial"/>
          <w:color w:val="231F20"/>
          <w:w w:val="250"/>
          <w:sz w:val="16"/>
        </w:rPr>
        <w:t>-</w:t>
      </w:r>
      <w:r>
        <w:rPr>
          <w:rFonts w:ascii="Helvetica"/>
          <w:color w:val="231F20"/>
          <w:w w:val="99"/>
          <w:sz w:val="16"/>
        </w:rPr>
        <w:t>0.4</w:t>
      </w:r>
    </w:p>
    <w:p>
      <w:pPr>
        <w:spacing w:before="107"/>
        <w:ind w:left="0" w:right="0" w:firstLine="0"/>
        <w:jc w:val="right"/>
        <w:rPr>
          <w:rFonts w:ascii="Helvetica"/>
          <w:sz w:val="16"/>
        </w:rPr>
      </w:pPr>
      <w:r>
        <w:rPr>
          <w:rFonts w:ascii="Arial"/>
          <w:color w:val="231F20"/>
          <w:w w:val="250"/>
          <w:sz w:val="16"/>
        </w:rPr>
        <w:t>-</w:t>
      </w:r>
      <w:r>
        <w:rPr>
          <w:rFonts w:ascii="Helvetica"/>
          <w:color w:val="231F20"/>
          <w:w w:val="99"/>
          <w:sz w:val="16"/>
        </w:rPr>
        <w:t>0.5</w:t>
      </w:r>
    </w:p>
    <w:p>
      <w:pPr>
        <w:pStyle w:val="BodyText"/>
        <w:spacing w:before="9" w:after="39"/>
        <w:rPr>
          <w:rFonts w:ascii="Helvetica"/>
          <w:sz w:val="14"/>
        </w:rPr>
      </w:pPr>
      <w:r>
        <w:rPr/>
        <w:br w:type="column"/>
      </w:r>
      <w:r>
        <w:rPr>
          <w:rFonts w:ascii="Helvetica"/>
          <w:sz w:val="14"/>
        </w:rPr>
      </w:r>
    </w:p>
    <w:p>
      <w:pPr>
        <w:pStyle w:val="BodyText"/>
        <w:ind w:left="8"/>
        <w:rPr>
          <w:rFonts w:ascii="Helvetica"/>
        </w:rPr>
      </w:pPr>
      <w:r>
        <w:rPr>
          <w:rFonts w:ascii="Helvetica"/>
        </w:rPr>
        <w:pict>
          <v:group style="width:151.3pt;height:120.7pt;mso-position-horizontal-relative:char;mso-position-vertical-relative:line" coordorigin="0,0" coordsize="3026,2414">
            <v:line style="position:absolute" from="77,10" to="0,10" stroked="true" strokeweight="1pt" strokecolor="#231f20">
              <v:stroke dashstyle="solid"/>
            </v:line>
            <v:line style="position:absolute" from="77,301" to="0,301" stroked="true" strokeweight="1pt" strokecolor="#231f20">
              <v:stroke dashstyle="solid"/>
            </v:line>
            <v:line style="position:absolute" from="77,592" to="0,592" stroked="true" strokeweight="1pt" strokecolor="#231f20">
              <v:stroke dashstyle="solid"/>
            </v:line>
            <v:line style="position:absolute" from="77,883" to="0,883" stroked="true" strokeweight="1pt" strokecolor="#231f20">
              <v:stroke dashstyle="solid"/>
            </v:line>
            <v:line style="position:absolute" from="77,1173" to="0,1173" stroked="true" strokeweight="1pt" strokecolor="#231f20">
              <v:stroke dashstyle="solid"/>
            </v:line>
            <v:line style="position:absolute" from="77,1464" to="0,1464" stroked="true" strokeweight="1pt" strokecolor="#231f20">
              <v:stroke dashstyle="solid"/>
            </v:line>
            <v:line style="position:absolute" from="77,1755" to="0,1755" stroked="true" strokeweight="1pt" strokecolor="#231f20">
              <v:stroke dashstyle="solid"/>
            </v:line>
            <v:line style="position:absolute" from="77,2046" to="0,2046" stroked="true" strokeweight="1pt" strokecolor="#231f20">
              <v:stroke dashstyle="solid"/>
            </v:line>
            <v:line style="position:absolute" from="77,2337" to="0,2337" stroked="true" strokeweight="1pt" strokecolor="#231f20">
              <v:stroke dashstyle="solid"/>
            </v:line>
            <v:line style="position:absolute" from="666,2337" to="666,2413" stroked="true" strokeweight="1pt" strokecolor="#231f20">
              <v:stroke dashstyle="solid"/>
            </v:line>
            <v:line style="position:absolute" from="1253,2337" to="1253,2413" stroked="true" strokeweight="1pt" strokecolor="#231f20">
              <v:stroke dashstyle="solid"/>
            </v:line>
            <v:line style="position:absolute" from="1840,2337" to="1840,2413" stroked="true" strokeweight="1pt" strokecolor="#231f20">
              <v:stroke dashstyle="solid"/>
            </v:line>
            <v:line style="position:absolute" from="2426,2337" to="2426,2413" stroked="true" strokeweight="1pt" strokecolor="#231f20">
              <v:stroke dashstyle="solid"/>
            </v:line>
            <v:line style="position:absolute" from="3013,2337" to="3013,2413" stroked="true" strokeweight="1pt" strokecolor="#231f20">
              <v:stroke dashstyle="solid"/>
            </v:line>
            <v:shape style="position:absolute;left:292;top:70;width:2720;height:2261" coordorigin="293,70" coordsize="2720,2261" path="m293,2330l475,1740,662,1374,969,1078,1509,700,1597,643,1686,588,1775,537,1866,488,1956,443,2046,400,2135,360,2222,322,2308,288,2391,256,2471,226,2548,200,2621,176,2690,154,2754,135,2813,118,2913,92,2987,75,3013,70e" filled="false" stroked="true" strokeweight="1.25pt" strokecolor="#f0535f">
              <v:path arrowok="t"/>
              <v:stroke dashstyle="solid"/>
            </v:shape>
            <v:rect style="position:absolute;left:79;top:10;width:2934;height:2327" filled="false" stroked="true" strokeweight="1pt" strokecolor="#231f20">
              <v:stroke dashstyle="solid"/>
            </v:rect>
            <v:shape style="position:absolute;left:1211;top:847;width:90;height:90" coordorigin="1211,848" coordsize="90,90" path="m1256,848l1239,851,1224,861,1215,875,1211,893,1215,910,1224,925,1239,934,1256,938,1274,934,1288,925,1298,910,1301,893,1298,875,1288,861,1274,851,1256,848xe" filled="true" fillcolor="#f0535f" stroked="false">
              <v:path arrowok="t"/>
              <v:fill type="solid"/>
            </v:shape>
            <v:line style="position:absolute" from="1278,893" to="1405,893" stroked="true" strokeweight=".75pt" strokecolor="#231f20">
              <v:stroke dashstyle="solid"/>
            </v:line>
            <v:shape style="position:absolute;left:1426;top:780;width:572;height:191" type="#_x0000_t202" filled="false" stroked="false">
              <v:textbox inset="0,0,0,0">
                <w:txbxContent>
                  <w:p>
                    <w:pPr>
                      <w:spacing w:before="4"/>
                      <w:ind w:left="0" w:right="0" w:firstLine="0"/>
                      <w:jc w:val="left"/>
                      <w:rPr>
                        <w:rFonts w:ascii="Helvetica"/>
                        <w:b/>
                        <w:sz w:val="16"/>
                      </w:rPr>
                    </w:pPr>
                    <w:r>
                      <w:rPr>
                        <w:rFonts w:ascii="Helvetica"/>
                        <w:b/>
                        <w:color w:val="231F20"/>
                        <w:sz w:val="16"/>
                      </w:rPr>
                      <w:t>Normal</w:t>
                    </w:r>
                  </w:p>
                </w:txbxContent>
              </v:textbox>
              <w10:wrap type="none"/>
            </v:shape>
          </v:group>
        </w:pict>
      </w:r>
      <w:r>
        <w:rPr>
          <w:rFonts w:ascii="Helvetica"/>
        </w:rPr>
      </w:r>
    </w:p>
    <w:p>
      <w:pPr>
        <w:tabs>
          <w:tab w:pos="1165" w:val="left" w:leader="none"/>
          <w:tab w:pos="1750" w:val="left" w:leader="none"/>
          <w:tab w:pos="2335" w:val="left" w:leader="none"/>
          <w:tab w:pos="2920" w:val="left" w:leader="none"/>
        </w:tabs>
        <w:spacing w:before="3"/>
        <w:ind w:left="575" w:right="0" w:firstLine="0"/>
        <w:jc w:val="left"/>
        <w:rPr>
          <w:rFonts w:ascii="Helvetica"/>
          <w:sz w:val="16"/>
        </w:rPr>
      </w:pPr>
      <w:r>
        <w:rPr>
          <w:rFonts w:ascii="Helvetica"/>
          <w:color w:val="231F20"/>
          <w:sz w:val="16"/>
        </w:rPr>
        <w:t>0.5</w:t>
        <w:tab/>
        <w:t>1.0</w:t>
        <w:tab/>
        <w:t>1.5</w:t>
        <w:tab/>
        <w:t>2.0</w:t>
        <w:tab/>
        <w:t>2.5</w:t>
      </w:r>
    </w:p>
    <w:p>
      <w:pPr>
        <w:spacing w:line="230" w:lineRule="auto" w:before="35"/>
        <w:ind w:left="1091" w:right="2441" w:hanging="543"/>
        <w:jc w:val="left"/>
        <w:rPr>
          <w:rFonts w:ascii="Helvetica"/>
          <w:b/>
          <w:sz w:val="16"/>
        </w:rPr>
      </w:pPr>
      <w:r>
        <w:rPr>
          <w:rFonts w:ascii="Helvetica"/>
          <w:b/>
          <w:color w:val="231F20"/>
          <w:sz w:val="16"/>
        </w:rPr>
        <w:t>Rate of alveolar ventilation (normal </w:t>
      </w:r>
      <w:r>
        <w:rPr>
          <w:rFonts w:ascii="Maiandra GD"/>
          <w:color w:val="231F20"/>
          <w:sz w:val="16"/>
        </w:rPr>
        <w:t>= </w:t>
      </w:r>
      <w:r>
        <w:rPr>
          <w:rFonts w:ascii="Helvetica"/>
          <w:b/>
          <w:color w:val="231F20"/>
          <w:sz w:val="16"/>
        </w:rPr>
        <w:t>1)</w:t>
      </w:r>
    </w:p>
    <w:p>
      <w:pPr>
        <w:spacing w:after="0" w:line="230" w:lineRule="auto"/>
        <w:jc w:val="left"/>
        <w:rPr>
          <w:rFonts w:ascii="Helvetica"/>
          <w:sz w:val="16"/>
        </w:rPr>
        <w:sectPr>
          <w:type w:val="continuous"/>
          <w:pgSz w:w="12240" w:h="15660"/>
          <w:pgMar w:top="0" w:bottom="760" w:left="0" w:right="0"/>
          <w:cols w:num="3" w:equalWidth="0">
            <w:col w:w="5761" w:space="40"/>
            <w:col w:w="1354" w:space="39"/>
            <w:col w:w="5046"/>
          </w:cols>
        </w:sectPr>
      </w:pPr>
    </w:p>
    <w:p>
      <w:pPr>
        <w:spacing w:line="259" w:lineRule="auto" w:before="91"/>
        <w:ind w:left="6120" w:right="1420" w:firstLine="0"/>
        <w:jc w:val="left"/>
        <w:rPr>
          <w:rFonts w:ascii="Arial"/>
          <w:sz w:val="16"/>
        </w:rPr>
      </w:pPr>
      <w:r>
        <w:rPr/>
        <w:pict>
          <v:rect style="position:absolute;margin-left:0pt;margin-top:-16.896168pt;width:36pt;height:24pt;mso-position-horizontal-relative:page;mso-position-vertical-relative:paragraph;z-index:252839936" filled="true" fillcolor="#e8dac8" stroked="false">
            <v:fill type="solid"/>
            <w10:wrap type="none"/>
          </v:rect>
        </w:pict>
      </w:r>
      <w:r>
        <w:rPr/>
        <w:pict>
          <v:group style="position:absolute;margin-left:54pt;margin-top:-96.550163pt;width:234pt;height:271pt;mso-position-horizontal-relative:page;mso-position-vertical-relative:paragraph;z-index:252857344" coordorigin="1080,-1931" coordsize="4680,5420">
            <v:rect style="position:absolute;left:1080;top:-1931;width:4680;height:5420" filled="true" fillcolor="#f0eef6" stroked="false">
              <v:fill type="solid"/>
            </v:rect>
            <v:shape style="position:absolute;left:1259;top:1381;width:4341;height:2020" type="#_x0000_t202" filled="false" stroked="false">
              <v:textbox inset="0,0,0,0">
                <w:txbxContent>
                  <w:p>
                    <w:pPr>
                      <w:spacing w:line="254" w:lineRule="auto" w:before="0"/>
                      <w:ind w:left="0" w:right="18" w:firstLine="240"/>
                      <w:jc w:val="both"/>
                      <w:rPr>
                        <w:sz w:val="18"/>
                      </w:rPr>
                    </w:pPr>
                    <w:r>
                      <w:rPr>
                        <w:color w:val="231F20"/>
                        <w:sz w:val="18"/>
                      </w:rPr>
                      <w:t>K</w:t>
                    </w:r>
                    <w:r>
                      <w:rPr>
                        <w:color w:val="231F20"/>
                        <w:sz w:val="18"/>
                        <w:vertAlign w:val="subscript"/>
                      </w:rPr>
                      <w:t>1</w:t>
                    </w:r>
                    <w:r>
                      <w:rPr>
                        <w:color w:val="231F20"/>
                        <w:sz w:val="18"/>
                        <w:vertAlign w:val="baseline"/>
                      </w:rPr>
                      <w:t>, K</w:t>
                    </w:r>
                    <w:r>
                      <w:rPr>
                        <w:color w:val="231F20"/>
                        <w:sz w:val="18"/>
                        <w:vertAlign w:val="subscript"/>
                      </w:rPr>
                      <w:t>2</w:t>
                    </w:r>
                    <w:r>
                      <w:rPr>
                        <w:color w:val="231F20"/>
                        <w:sz w:val="18"/>
                        <w:vertAlign w:val="baseline"/>
                      </w:rPr>
                      <w:t>, K</w:t>
                    </w:r>
                    <w:r>
                      <w:rPr>
                        <w:color w:val="231F20"/>
                        <w:sz w:val="18"/>
                        <w:vertAlign w:val="subscript"/>
                      </w:rPr>
                      <w:t>3</w:t>
                    </w:r>
                    <w:r>
                      <w:rPr>
                        <w:color w:val="231F20"/>
                        <w:sz w:val="18"/>
                        <w:vertAlign w:val="baseline"/>
                      </w:rPr>
                      <w:t> are the dissociation constants of three </w:t>
                    </w:r>
                    <w:r>
                      <w:rPr>
                        <w:color w:val="231F20"/>
                        <w:spacing w:val="-4"/>
                        <w:sz w:val="18"/>
                        <w:vertAlign w:val="baseline"/>
                      </w:rPr>
                      <w:t>respec- </w:t>
                    </w:r>
                    <w:r>
                      <w:rPr>
                        <w:color w:val="231F20"/>
                        <w:sz w:val="18"/>
                        <w:vertAlign w:val="baseline"/>
                      </w:rPr>
                      <w:t>tive acids, HA</w:t>
                    </w:r>
                    <w:r>
                      <w:rPr>
                        <w:color w:val="231F20"/>
                        <w:sz w:val="18"/>
                        <w:vertAlign w:val="subscript"/>
                      </w:rPr>
                      <w:t>1</w:t>
                    </w:r>
                    <w:r>
                      <w:rPr>
                        <w:color w:val="231F20"/>
                        <w:sz w:val="18"/>
                        <w:vertAlign w:val="baseline"/>
                      </w:rPr>
                      <w:t>, HA</w:t>
                    </w:r>
                    <w:r>
                      <w:rPr>
                        <w:color w:val="231F20"/>
                        <w:sz w:val="18"/>
                        <w:vertAlign w:val="subscript"/>
                      </w:rPr>
                      <w:t>2</w:t>
                    </w:r>
                    <w:r>
                      <w:rPr>
                        <w:color w:val="231F20"/>
                        <w:sz w:val="18"/>
                        <w:vertAlign w:val="baseline"/>
                      </w:rPr>
                      <w:t>, HA</w:t>
                    </w:r>
                    <w:r>
                      <w:rPr>
                        <w:color w:val="231F20"/>
                        <w:sz w:val="18"/>
                        <w:vertAlign w:val="subscript"/>
                      </w:rPr>
                      <w:t>3</w:t>
                    </w:r>
                    <w:r>
                      <w:rPr>
                        <w:color w:val="231F20"/>
                        <w:sz w:val="18"/>
                        <w:vertAlign w:val="baseline"/>
                      </w:rPr>
                      <w:t>, and A</w:t>
                    </w:r>
                    <w:r>
                      <w:rPr>
                        <w:color w:val="231F20"/>
                        <w:sz w:val="18"/>
                        <w:vertAlign w:val="subscript"/>
                      </w:rPr>
                      <w:t>1</w:t>
                    </w:r>
                    <w:r>
                      <w:rPr>
                        <w:color w:val="231F20"/>
                        <w:sz w:val="18"/>
                        <w:vertAlign w:val="baseline"/>
                      </w:rPr>
                      <w:t>, A</w:t>
                    </w:r>
                    <w:r>
                      <w:rPr>
                        <w:color w:val="231F20"/>
                        <w:sz w:val="18"/>
                        <w:vertAlign w:val="subscript"/>
                      </w:rPr>
                      <w:t>2</w:t>
                    </w:r>
                    <w:r>
                      <w:rPr>
                        <w:color w:val="231F20"/>
                        <w:sz w:val="18"/>
                        <w:vertAlign w:val="baseline"/>
                      </w:rPr>
                      <w:t>, A</w:t>
                    </w:r>
                    <w:r>
                      <w:rPr>
                        <w:color w:val="231F20"/>
                        <w:sz w:val="18"/>
                        <w:vertAlign w:val="subscript"/>
                      </w:rPr>
                      <w:t>3</w:t>
                    </w:r>
                    <w:r>
                      <w:rPr>
                        <w:color w:val="231F20"/>
                        <w:sz w:val="18"/>
                        <w:vertAlign w:val="baseline"/>
                      </w:rPr>
                      <w:t> are the </w:t>
                    </w:r>
                    <w:r>
                      <w:rPr>
                        <w:color w:val="231F20"/>
                        <w:spacing w:val="-7"/>
                        <w:sz w:val="18"/>
                        <w:vertAlign w:val="baseline"/>
                      </w:rPr>
                      <w:t>concentra- </w:t>
                    </w:r>
                    <w:r>
                      <w:rPr>
                        <w:color w:val="231F20"/>
                        <w:sz w:val="18"/>
                        <w:vertAlign w:val="baseline"/>
                      </w:rPr>
                      <w:t>tions of the free negative ions that constitute the bases of the three buffer</w:t>
                    </w:r>
                    <w:r>
                      <w:rPr>
                        <w:color w:val="231F20"/>
                        <w:spacing w:val="20"/>
                        <w:sz w:val="18"/>
                        <w:vertAlign w:val="baseline"/>
                      </w:rPr>
                      <w:t> </w:t>
                    </w:r>
                    <w:r>
                      <w:rPr>
                        <w:color w:val="231F20"/>
                        <w:sz w:val="18"/>
                        <w:vertAlign w:val="baseline"/>
                      </w:rPr>
                      <w:t>systems.</w:t>
                    </w:r>
                  </w:p>
                  <w:p>
                    <w:pPr>
                      <w:spacing w:line="254" w:lineRule="auto" w:before="1"/>
                      <w:ind w:left="0" w:right="18" w:firstLine="239"/>
                      <w:jc w:val="both"/>
                      <w:rPr>
                        <w:sz w:val="18"/>
                      </w:rPr>
                    </w:pPr>
                    <w:r>
                      <w:rPr>
                        <w:color w:val="231F20"/>
                        <w:w w:val="105"/>
                        <w:sz w:val="18"/>
                      </w:rPr>
                      <w:t>The implication of this principle is that any </w:t>
                    </w:r>
                    <w:r>
                      <w:rPr>
                        <w:color w:val="231F20"/>
                        <w:spacing w:val="-3"/>
                        <w:w w:val="105"/>
                        <w:sz w:val="18"/>
                      </w:rPr>
                      <w:t>condition </w:t>
                    </w:r>
                    <w:r>
                      <w:rPr>
                        <w:color w:val="231F20"/>
                        <w:w w:val="105"/>
                        <w:sz w:val="18"/>
                      </w:rPr>
                      <w:t>that</w:t>
                    </w:r>
                    <w:r>
                      <w:rPr>
                        <w:color w:val="231F20"/>
                        <w:spacing w:val="-5"/>
                        <w:w w:val="105"/>
                        <w:sz w:val="18"/>
                      </w:rPr>
                      <w:t> </w:t>
                    </w:r>
                    <w:r>
                      <w:rPr>
                        <w:color w:val="231F20"/>
                        <w:w w:val="105"/>
                        <w:sz w:val="18"/>
                      </w:rPr>
                      <w:t>changes</w:t>
                    </w:r>
                    <w:r>
                      <w:rPr>
                        <w:color w:val="231F20"/>
                        <w:spacing w:val="-4"/>
                        <w:w w:val="105"/>
                        <w:sz w:val="18"/>
                      </w:rPr>
                      <w:t> </w:t>
                    </w:r>
                    <w:r>
                      <w:rPr>
                        <w:color w:val="231F20"/>
                        <w:w w:val="105"/>
                        <w:sz w:val="18"/>
                      </w:rPr>
                      <w:t>the</w:t>
                    </w:r>
                    <w:r>
                      <w:rPr>
                        <w:color w:val="231F20"/>
                        <w:spacing w:val="-5"/>
                        <w:w w:val="105"/>
                        <w:sz w:val="18"/>
                      </w:rPr>
                      <w:t> </w:t>
                    </w:r>
                    <w:r>
                      <w:rPr>
                        <w:color w:val="231F20"/>
                        <w:w w:val="105"/>
                        <w:sz w:val="18"/>
                      </w:rPr>
                      <w:t>balance</w:t>
                    </w:r>
                    <w:r>
                      <w:rPr>
                        <w:color w:val="231F20"/>
                        <w:spacing w:val="-4"/>
                        <w:w w:val="105"/>
                        <w:sz w:val="18"/>
                      </w:rPr>
                      <w:t> </w:t>
                    </w:r>
                    <w:r>
                      <w:rPr>
                        <w:color w:val="231F20"/>
                        <w:w w:val="105"/>
                        <w:sz w:val="18"/>
                      </w:rPr>
                      <w:t>of</w:t>
                    </w:r>
                    <w:r>
                      <w:rPr>
                        <w:color w:val="231F20"/>
                        <w:spacing w:val="-5"/>
                        <w:w w:val="105"/>
                        <w:sz w:val="18"/>
                      </w:rPr>
                      <w:t> </w:t>
                    </w:r>
                    <w:r>
                      <w:rPr>
                        <w:color w:val="231F20"/>
                        <w:w w:val="105"/>
                        <w:sz w:val="18"/>
                      </w:rPr>
                      <w:t>one</w:t>
                    </w:r>
                    <w:r>
                      <w:rPr>
                        <w:color w:val="231F20"/>
                        <w:spacing w:val="-4"/>
                        <w:w w:val="105"/>
                        <w:sz w:val="18"/>
                      </w:rPr>
                      <w:t> </w:t>
                    </w:r>
                    <w:r>
                      <w:rPr>
                        <w:color w:val="231F20"/>
                        <w:w w:val="105"/>
                        <w:sz w:val="18"/>
                      </w:rPr>
                      <w:t>of</w:t>
                    </w:r>
                    <w:r>
                      <w:rPr>
                        <w:color w:val="231F20"/>
                        <w:spacing w:val="-5"/>
                        <w:w w:val="105"/>
                        <w:sz w:val="18"/>
                      </w:rPr>
                      <w:t> </w:t>
                    </w:r>
                    <w:r>
                      <w:rPr>
                        <w:color w:val="231F20"/>
                        <w:w w:val="105"/>
                        <w:sz w:val="18"/>
                      </w:rPr>
                      <w:t>the</w:t>
                    </w:r>
                    <w:r>
                      <w:rPr>
                        <w:color w:val="231F20"/>
                        <w:spacing w:val="-4"/>
                        <w:w w:val="105"/>
                        <w:sz w:val="18"/>
                      </w:rPr>
                      <w:t> </w:t>
                    </w:r>
                    <w:r>
                      <w:rPr>
                        <w:color w:val="231F20"/>
                        <w:w w:val="105"/>
                        <w:sz w:val="18"/>
                      </w:rPr>
                      <w:t>buffer</w:t>
                    </w:r>
                    <w:r>
                      <w:rPr>
                        <w:color w:val="231F20"/>
                        <w:spacing w:val="-4"/>
                        <w:w w:val="105"/>
                        <w:sz w:val="18"/>
                      </w:rPr>
                      <w:t> </w:t>
                    </w:r>
                    <w:r>
                      <w:rPr>
                        <w:color w:val="231F20"/>
                        <w:w w:val="105"/>
                        <w:sz w:val="18"/>
                      </w:rPr>
                      <w:t>systems</w:t>
                    </w:r>
                    <w:r>
                      <w:rPr>
                        <w:color w:val="231F20"/>
                        <w:spacing w:val="-5"/>
                        <w:w w:val="105"/>
                        <w:sz w:val="18"/>
                      </w:rPr>
                      <w:t> </w:t>
                    </w:r>
                    <w:r>
                      <w:rPr>
                        <w:color w:val="231F20"/>
                        <w:w w:val="105"/>
                        <w:sz w:val="18"/>
                      </w:rPr>
                      <w:t>also changes the balance of all the others because the buffer systems</w:t>
                    </w:r>
                    <w:r>
                      <w:rPr>
                        <w:color w:val="231F20"/>
                        <w:spacing w:val="-23"/>
                        <w:w w:val="105"/>
                        <w:sz w:val="18"/>
                      </w:rPr>
                      <w:t> </w:t>
                    </w:r>
                    <w:r>
                      <w:rPr>
                        <w:color w:val="231F20"/>
                        <w:w w:val="105"/>
                        <w:sz w:val="18"/>
                      </w:rPr>
                      <w:t>actually</w:t>
                    </w:r>
                    <w:r>
                      <w:rPr>
                        <w:color w:val="231F20"/>
                        <w:spacing w:val="-23"/>
                        <w:w w:val="105"/>
                        <w:sz w:val="18"/>
                      </w:rPr>
                      <w:t> </w:t>
                    </w:r>
                    <w:r>
                      <w:rPr>
                        <w:color w:val="231F20"/>
                        <w:w w:val="105"/>
                        <w:sz w:val="18"/>
                      </w:rPr>
                      <w:t>buffer</w:t>
                    </w:r>
                    <w:r>
                      <w:rPr>
                        <w:color w:val="231F20"/>
                        <w:spacing w:val="-23"/>
                        <w:w w:val="105"/>
                        <w:sz w:val="18"/>
                      </w:rPr>
                      <w:t> </w:t>
                    </w:r>
                    <w:r>
                      <w:rPr>
                        <w:color w:val="231F20"/>
                        <w:w w:val="105"/>
                        <w:sz w:val="18"/>
                      </w:rPr>
                      <w:t>one</w:t>
                    </w:r>
                    <w:r>
                      <w:rPr>
                        <w:color w:val="231F20"/>
                        <w:spacing w:val="-23"/>
                        <w:w w:val="105"/>
                        <w:sz w:val="18"/>
                      </w:rPr>
                      <w:t> </w:t>
                    </w:r>
                    <w:r>
                      <w:rPr>
                        <w:color w:val="231F20"/>
                        <w:w w:val="105"/>
                        <w:sz w:val="18"/>
                      </w:rPr>
                      <w:t>another</w:t>
                    </w:r>
                    <w:r>
                      <w:rPr>
                        <w:color w:val="231F20"/>
                        <w:spacing w:val="-23"/>
                        <w:w w:val="105"/>
                        <w:sz w:val="18"/>
                      </w:rPr>
                      <w:t> </w:t>
                    </w:r>
                    <w:r>
                      <w:rPr>
                        <w:color w:val="231F20"/>
                        <w:w w:val="105"/>
                        <w:sz w:val="18"/>
                      </w:rPr>
                      <w:t>by</w:t>
                    </w:r>
                    <w:r>
                      <w:rPr>
                        <w:color w:val="231F20"/>
                        <w:spacing w:val="-23"/>
                        <w:w w:val="105"/>
                        <w:sz w:val="18"/>
                      </w:rPr>
                      <w:t> </w:t>
                    </w:r>
                    <w:r>
                      <w:rPr>
                        <w:color w:val="231F20"/>
                        <w:w w:val="105"/>
                        <w:sz w:val="18"/>
                      </w:rPr>
                      <w:t>shifting</w:t>
                    </w:r>
                    <w:r>
                      <w:rPr>
                        <w:color w:val="231F20"/>
                        <w:spacing w:val="-23"/>
                        <w:w w:val="105"/>
                        <w:sz w:val="18"/>
                      </w:rPr>
                      <w:t> </w:t>
                    </w:r>
                    <w:r>
                      <w:rPr>
                        <w:color w:val="231F20"/>
                        <w:w w:val="105"/>
                        <w:sz w:val="18"/>
                      </w:rPr>
                      <w:t>H</w:t>
                    </w:r>
                    <w:r>
                      <w:rPr>
                        <w:rFonts w:ascii="Consolas"/>
                        <w:color w:val="231F20"/>
                        <w:w w:val="105"/>
                        <w:position w:val="7"/>
                        <w:sz w:val="11"/>
                      </w:rPr>
                      <w:t>+</w:t>
                    </w:r>
                    <w:r>
                      <w:rPr>
                        <w:rFonts w:ascii="Consolas"/>
                        <w:color w:val="231F20"/>
                        <w:spacing w:val="-38"/>
                        <w:w w:val="105"/>
                        <w:position w:val="7"/>
                        <w:sz w:val="11"/>
                      </w:rPr>
                      <w:t> </w:t>
                    </w:r>
                    <w:r>
                      <w:rPr>
                        <w:color w:val="231F20"/>
                        <w:w w:val="105"/>
                        <w:sz w:val="18"/>
                      </w:rPr>
                      <w:t>back</w:t>
                    </w:r>
                    <w:r>
                      <w:rPr>
                        <w:color w:val="231F20"/>
                        <w:spacing w:val="-23"/>
                        <w:w w:val="105"/>
                        <w:sz w:val="18"/>
                      </w:rPr>
                      <w:t> </w:t>
                    </w:r>
                    <w:r>
                      <w:rPr>
                        <w:color w:val="231F20"/>
                        <w:w w:val="105"/>
                        <w:sz w:val="18"/>
                      </w:rPr>
                      <w:t>and forth between</w:t>
                    </w:r>
                    <w:r>
                      <w:rPr>
                        <w:color w:val="231F20"/>
                        <w:spacing w:val="7"/>
                        <w:w w:val="105"/>
                        <w:sz w:val="18"/>
                      </w:rPr>
                      <w:t> </w:t>
                    </w:r>
                    <w:r>
                      <w:rPr>
                        <w:color w:val="231F20"/>
                        <w:w w:val="105"/>
                        <w:sz w:val="18"/>
                      </w:rPr>
                      <w:t>them.</w:t>
                    </w:r>
                  </w:p>
                </w:txbxContent>
              </v:textbox>
              <w10:wrap type="none"/>
            </v:shape>
            <v:shape style="position:absolute;left:4488;top:1051;width:219;height:222" type="#_x0000_t202" filled="false" stroked="false">
              <v:textbox inset="0,0,0,0">
                <w:txbxContent>
                  <w:p>
                    <w:pPr>
                      <w:spacing w:line="221" w:lineRule="exact" w:before="0"/>
                      <w:ind w:left="0" w:right="0" w:firstLine="0"/>
                      <w:jc w:val="left"/>
                      <w:rPr>
                        <w:rFonts w:ascii="Trebuchet MS"/>
                        <w:sz w:val="10"/>
                      </w:rPr>
                    </w:pPr>
                    <w:r>
                      <w:rPr>
                        <w:rFonts w:ascii="Trebuchet MS"/>
                        <w:w w:val="120"/>
                        <w:sz w:val="18"/>
                      </w:rPr>
                      <w:t>A</w:t>
                    </w:r>
                    <w:r>
                      <w:rPr>
                        <w:rFonts w:ascii="Trebuchet MS"/>
                        <w:w w:val="120"/>
                        <w:position w:val="-2"/>
                        <w:sz w:val="10"/>
                      </w:rPr>
                      <w:t>3</w:t>
                    </w:r>
                  </w:p>
                </w:txbxContent>
              </v:textbox>
              <w10:wrap type="none"/>
            </v:shape>
            <v:shape style="position:absolute;left:3576;top:1051;width:219;height:222" type="#_x0000_t202" filled="false" stroked="false">
              <v:textbox inset="0,0,0,0">
                <w:txbxContent>
                  <w:p>
                    <w:pPr>
                      <w:spacing w:line="221" w:lineRule="exact" w:before="0"/>
                      <w:ind w:left="0" w:right="0" w:firstLine="0"/>
                      <w:jc w:val="left"/>
                      <w:rPr>
                        <w:rFonts w:ascii="Trebuchet MS"/>
                        <w:sz w:val="10"/>
                      </w:rPr>
                    </w:pPr>
                    <w:r>
                      <w:rPr>
                        <w:rFonts w:ascii="Trebuchet MS"/>
                        <w:w w:val="120"/>
                        <w:sz w:val="18"/>
                      </w:rPr>
                      <w:t>A</w:t>
                    </w:r>
                    <w:r>
                      <w:rPr>
                        <w:rFonts w:ascii="Trebuchet MS"/>
                        <w:w w:val="120"/>
                        <w:position w:val="-2"/>
                        <w:sz w:val="10"/>
                      </w:rPr>
                      <w:t>2</w:t>
                    </w:r>
                  </w:p>
                </w:txbxContent>
              </v:textbox>
              <w10:wrap type="none"/>
            </v:shape>
            <v:shape style="position:absolute;left:2817;top:1148;width:80;height:125" type="#_x0000_t202" filled="false" stroked="false">
              <v:textbox inset="0,0,0,0">
                <w:txbxContent>
                  <w:p>
                    <w:pPr>
                      <w:spacing w:before="6"/>
                      <w:ind w:left="0" w:right="0" w:firstLine="0"/>
                      <w:jc w:val="left"/>
                      <w:rPr>
                        <w:rFonts w:ascii="Trebuchet MS"/>
                        <w:sz w:val="10"/>
                      </w:rPr>
                    </w:pPr>
                    <w:r>
                      <w:rPr>
                        <w:rFonts w:ascii="Trebuchet MS"/>
                        <w:w w:val="113"/>
                        <w:sz w:val="10"/>
                      </w:rPr>
                      <w:t>1</w:t>
                    </w:r>
                  </w:p>
                </w:txbxContent>
              </v:textbox>
              <w10:wrap type="none"/>
            </v:shape>
            <v:shape style="position:absolute;left:4169;top:1010;width:80;height:125" type="#_x0000_t202" filled="false" stroked="false">
              <v:textbox inset="0,0,0,0">
                <w:txbxContent>
                  <w:p>
                    <w:pPr>
                      <w:spacing w:before="6"/>
                      <w:ind w:left="0" w:right="0" w:firstLine="0"/>
                      <w:jc w:val="left"/>
                      <w:rPr>
                        <w:rFonts w:ascii="Trebuchet MS"/>
                        <w:sz w:val="10"/>
                      </w:rPr>
                    </w:pPr>
                    <w:r>
                      <w:rPr>
                        <w:rFonts w:ascii="Trebuchet MS"/>
                        <w:w w:val="113"/>
                        <w:sz w:val="10"/>
                      </w:rPr>
                      <w:t>3</w:t>
                    </w:r>
                  </w:p>
                </w:txbxContent>
              </v:textbox>
              <w10:wrap type="none"/>
            </v:shape>
            <v:shape style="position:absolute;left:3255;top:1010;width:80;height:125" type="#_x0000_t202" filled="false" stroked="false">
              <v:textbox inset="0,0,0,0">
                <w:txbxContent>
                  <w:p>
                    <w:pPr>
                      <w:spacing w:before="6"/>
                      <w:ind w:left="0" w:right="0" w:firstLine="0"/>
                      <w:jc w:val="left"/>
                      <w:rPr>
                        <w:rFonts w:ascii="Trebuchet MS"/>
                        <w:sz w:val="10"/>
                      </w:rPr>
                    </w:pPr>
                    <w:r>
                      <w:rPr>
                        <w:rFonts w:ascii="Trebuchet MS"/>
                        <w:w w:val="113"/>
                        <w:sz w:val="10"/>
                      </w:rPr>
                      <w:t>2</w:t>
                    </w:r>
                  </w:p>
                </w:txbxContent>
              </v:textbox>
              <w10:wrap type="none"/>
            </v:shape>
            <v:shape style="position:absolute;left:2684;top:1051;width:150;height:209" type="#_x0000_t202" filled="false" stroked="false">
              <v:textbox inset="0,0,0,0">
                <w:txbxContent>
                  <w:p>
                    <w:pPr>
                      <w:spacing w:line="208" w:lineRule="exact" w:before="0"/>
                      <w:ind w:left="0" w:right="0" w:firstLine="0"/>
                      <w:jc w:val="left"/>
                      <w:rPr>
                        <w:rFonts w:ascii="Trebuchet MS"/>
                        <w:sz w:val="18"/>
                      </w:rPr>
                    </w:pPr>
                    <w:r>
                      <w:rPr>
                        <w:rFonts w:ascii="Trebuchet MS"/>
                        <w:w w:val="122"/>
                        <w:sz w:val="18"/>
                      </w:rPr>
                      <w:t>A</w:t>
                    </w:r>
                  </w:p>
                </w:txbxContent>
              </v:textbox>
              <w10:wrap type="none"/>
            </v:shape>
            <v:shape style="position:absolute;left:2379;top:1010;width:80;height:125" type="#_x0000_t202" filled="false" stroked="false">
              <v:textbox inset="0,0,0,0">
                <w:txbxContent>
                  <w:p>
                    <w:pPr>
                      <w:spacing w:before="6"/>
                      <w:ind w:left="0" w:right="0" w:firstLine="0"/>
                      <w:jc w:val="left"/>
                      <w:rPr>
                        <w:rFonts w:ascii="Trebuchet MS"/>
                        <w:sz w:val="10"/>
                      </w:rPr>
                    </w:pPr>
                    <w:r>
                      <w:rPr>
                        <w:rFonts w:ascii="Trebuchet MS"/>
                        <w:w w:val="113"/>
                        <w:sz w:val="10"/>
                      </w:rPr>
                      <w:t>1</w:t>
                    </w:r>
                  </w:p>
                </w:txbxContent>
              </v:textbox>
              <w10:wrap type="none"/>
            </v:shape>
            <v:shape style="position:absolute;left:4416;top:797;width:349;height:222" type="#_x0000_t202" filled="false" stroked="false">
              <v:textbox inset="0,0,0,0">
                <w:txbxContent>
                  <w:p>
                    <w:pPr>
                      <w:spacing w:line="221" w:lineRule="exact" w:before="0"/>
                      <w:ind w:left="0" w:right="0" w:firstLine="0"/>
                      <w:jc w:val="left"/>
                      <w:rPr>
                        <w:rFonts w:ascii="Trebuchet MS"/>
                        <w:sz w:val="10"/>
                      </w:rPr>
                    </w:pPr>
                    <w:r>
                      <w:rPr>
                        <w:rFonts w:ascii="Trebuchet MS"/>
                        <w:w w:val="115"/>
                        <w:sz w:val="18"/>
                        <w:u w:val="single"/>
                      </w:rPr>
                      <w:t>HA</w:t>
                    </w:r>
                    <w:r>
                      <w:rPr>
                        <w:rFonts w:ascii="Trebuchet MS"/>
                        <w:w w:val="115"/>
                        <w:position w:val="-2"/>
                        <w:sz w:val="10"/>
                        <w:u w:val="single"/>
                      </w:rPr>
                      <w:t>3</w:t>
                    </w:r>
                  </w:p>
                </w:txbxContent>
              </v:textbox>
              <w10:wrap type="none"/>
            </v:shape>
            <v:shape style="position:absolute;left:3773;top:894;width:80;height:125" type="#_x0000_t202" filled="false" stroked="false">
              <v:textbox inset="0,0,0,0">
                <w:txbxContent>
                  <w:p>
                    <w:pPr>
                      <w:spacing w:before="6"/>
                      <w:ind w:left="0" w:right="0" w:firstLine="0"/>
                      <w:jc w:val="left"/>
                      <w:rPr>
                        <w:rFonts w:ascii="Trebuchet MS"/>
                        <w:sz w:val="10"/>
                      </w:rPr>
                    </w:pPr>
                    <w:r>
                      <w:rPr>
                        <w:rFonts w:ascii="Trebuchet MS"/>
                        <w:w w:val="113"/>
                        <w:sz w:val="10"/>
                        <w:u w:val="single"/>
                      </w:rPr>
                      <w:t>2</w:t>
                    </w:r>
                  </w:p>
                </w:txbxContent>
              </v:textbox>
              <w10:wrap type="none"/>
            </v:shape>
            <v:shape style="position:absolute;left:3504;top:797;width:280;height:209" type="#_x0000_t202" filled="false" stroked="false">
              <v:textbox inset="0,0,0,0">
                <w:txbxContent>
                  <w:p>
                    <w:pPr>
                      <w:spacing w:line="208" w:lineRule="exact" w:before="0"/>
                      <w:ind w:left="0" w:right="0" w:firstLine="0"/>
                      <w:jc w:val="left"/>
                      <w:rPr>
                        <w:rFonts w:ascii="Trebuchet MS"/>
                        <w:sz w:val="18"/>
                      </w:rPr>
                    </w:pPr>
                    <w:r>
                      <w:rPr>
                        <w:rFonts w:ascii="Trebuchet MS"/>
                        <w:w w:val="115"/>
                        <w:sz w:val="18"/>
                        <w:u w:val="single"/>
                      </w:rPr>
                      <w:t>HA</w:t>
                    </w:r>
                  </w:p>
                </w:txbxContent>
              </v:textbox>
              <w10:wrap type="none"/>
            </v:shape>
            <v:shape style="position:absolute;left:2874;top:894;width:80;height:125" type="#_x0000_t202" filled="false" stroked="false">
              <v:textbox inset="0,0,0,0">
                <w:txbxContent>
                  <w:p>
                    <w:pPr>
                      <w:spacing w:before="6"/>
                      <w:ind w:left="0" w:right="0" w:firstLine="0"/>
                      <w:jc w:val="left"/>
                      <w:rPr>
                        <w:rFonts w:ascii="Trebuchet MS"/>
                        <w:sz w:val="10"/>
                      </w:rPr>
                    </w:pPr>
                    <w:r>
                      <w:rPr>
                        <w:rFonts w:ascii="Trebuchet MS"/>
                        <w:w w:val="113"/>
                        <w:sz w:val="10"/>
                        <w:u w:val="single"/>
                      </w:rPr>
                      <w:t>1</w:t>
                    </w:r>
                  </w:p>
                </w:txbxContent>
              </v:textbox>
              <w10:wrap type="none"/>
            </v:shape>
            <v:shape style="position:absolute;left:2613;top:797;width:280;height:209" type="#_x0000_t202" filled="false" stroked="false">
              <v:textbox inset="0,0,0,0">
                <w:txbxContent>
                  <w:p>
                    <w:pPr>
                      <w:spacing w:line="208" w:lineRule="exact" w:before="0"/>
                      <w:ind w:left="0" w:right="0" w:firstLine="0"/>
                      <w:jc w:val="left"/>
                      <w:rPr>
                        <w:rFonts w:ascii="Trebuchet MS"/>
                        <w:sz w:val="18"/>
                      </w:rPr>
                    </w:pPr>
                    <w:r>
                      <w:rPr>
                        <w:rFonts w:ascii="Trebuchet MS"/>
                        <w:w w:val="115"/>
                        <w:sz w:val="18"/>
                        <w:u w:val="single"/>
                      </w:rPr>
                      <w:t>HA</w:t>
                    </w:r>
                  </w:p>
                </w:txbxContent>
              </v:textbox>
              <w10:wrap type="none"/>
            </v:shape>
            <v:shape style="position:absolute;left:1998;top:900;width:80;height:141" type="#_x0000_t202" filled="false" stroked="false">
              <v:textbox inset="0,0,0,0">
                <w:txbxContent>
                  <w:p>
                    <w:pPr>
                      <w:spacing w:before="8"/>
                      <w:ind w:left="0" w:right="0" w:firstLine="0"/>
                      <w:jc w:val="left"/>
                      <w:rPr>
                        <w:rFonts w:ascii="Symbol" w:hAnsi="Symbol"/>
                        <w:sz w:val="10"/>
                      </w:rPr>
                    </w:pPr>
                    <w:r>
                      <w:rPr>
                        <w:rFonts w:ascii="Symbol" w:hAnsi="Symbol"/>
                        <w:w w:val="107"/>
                        <w:sz w:val="10"/>
                      </w:rPr>
                      <w:t></w:t>
                    </w:r>
                  </w:p>
                </w:txbxContent>
              </v:textbox>
              <w10:wrap type="none"/>
            </v:shape>
            <v:shape style="position:absolute;left:1873;top:899;width:2525;height:235" type="#_x0000_t202" filled="false" stroked="false">
              <v:textbox inset="0,0,0,0">
                <w:txbxContent>
                  <w:p>
                    <w:pPr>
                      <w:tabs>
                        <w:tab w:pos="1122" w:val="left" w:leader="none"/>
                        <w:tab w:pos="2036" w:val="left" w:leader="none"/>
                      </w:tabs>
                      <w:spacing w:before="1"/>
                      <w:ind w:left="0" w:right="0" w:firstLine="0"/>
                      <w:jc w:val="left"/>
                      <w:rPr>
                        <w:rFonts w:ascii="Symbol" w:hAnsi="Symbol"/>
                        <w:sz w:val="18"/>
                      </w:rPr>
                    </w:pPr>
                    <w:r>
                      <w:rPr>
                        <w:rFonts w:ascii="Trebuchet MS" w:hAnsi="Trebuchet MS"/>
                        <w:w w:val="105"/>
                        <w:sz w:val="18"/>
                      </w:rPr>
                      <w:t>H  </w:t>
                    </w:r>
                    <w:r>
                      <w:rPr>
                        <w:rFonts w:ascii="Symbol" w:hAnsi="Symbol"/>
                        <w:w w:val="105"/>
                        <w:sz w:val="18"/>
                      </w:rPr>
                      <w:t></w:t>
                    </w:r>
                    <w:r>
                      <w:rPr>
                        <w:w w:val="105"/>
                        <w:sz w:val="18"/>
                      </w:rPr>
                      <w:t> </w:t>
                    </w:r>
                    <w:r>
                      <w:rPr>
                        <w:rFonts w:ascii="Trebuchet MS" w:hAnsi="Trebuchet MS"/>
                        <w:w w:val="105"/>
                        <w:sz w:val="18"/>
                      </w:rPr>
                      <w:t>K</w:t>
                    </w:r>
                    <w:r>
                      <w:rPr>
                        <w:rFonts w:ascii="Trebuchet MS" w:hAnsi="Trebuchet MS"/>
                        <w:spacing w:val="39"/>
                        <w:w w:val="105"/>
                        <w:sz w:val="18"/>
                      </w:rPr>
                      <w:t> </w:t>
                    </w:r>
                    <w:r>
                      <w:rPr>
                        <w:rFonts w:ascii="Symbol" w:hAnsi="Symbol"/>
                        <w:w w:val="105"/>
                        <w:sz w:val="18"/>
                      </w:rPr>
                      <w:t></w:t>
                    </w:r>
                    <w:r>
                      <w:rPr>
                        <w:w w:val="105"/>
                        <w:sz w:val="18"/>
                      </w:rPr>
                      <w:tab/>
                    </w:r>
                    <w:r>
                      <w:rPr>
                        <w:rFonts w:ascii="Symbol" w:hAnsi="Symbol"/>
                        <w:w w:val="105"/>
                        <w:sz w:val="18"/>
                      </w:rPr>
                      <w:t></w:t>
                    </w:r>
                    <w:r>
                      <w:rPr>
                        <w:spacing w:val="-11"/>
                        <w:w w:val="105"/>
                        <w:sz w:val="18"/>
                      </w:rPr>
                      <w:t> </w:t>
                    </w:r>
                    <w:r>
                      <w:rPr>
                        <w:rFonts w:ascii="Trebuchet MS" w:hAnsi="Trebuchet MS"/>
                        <w:w w:val="105"/>
                        <w:sz w:val="18"/>
                      </w:rPr>
                      <w:t>K </w:t>
                    </w:r>
                    <w:r>
                      <w:rPr>
                        <w:rFonts w:ascii="Trebuchet MS" w:hAnsi="Trebuchet MS"/>
                        <w:spacing w:val="2"/>
                        <w:w w:val="105"/>
                        <w:sz w:val="18"/>
                      </w:rPr>
                      <w:t> </w:t>
                    </w:r>
                    <w:r>
                      <w:rPr>
                        <w:rFonts w:ascii="Symbol" w:hAnsi="Symbol"/>
                        <w:w w:val="105"/>
                        <w:sz w:val="18"/>
                      </w:rPr>
                      <w:t></w:t>
                    </w:r>
                    <w:r>
                      <w:rPr>
                        <w:w w:val="105"/>
                        <w:sz w:val="18"/>
                      </w:rPr>
                      <w:tab/>
                    </w:r>
                    <w:r>
                      <w:rPr>
                        <w:rFonts w:ascii="Symbol" w:hAnsi="Symbol"/>
                        <w:w w:val="105"/>
                        <w:sz w:val="18"/>
                      </w:rPr>
                      <w:t></w:t>
                    </w:r>
                    <w:r>
                      <w:rPr>
                        <w:w w:val="105"/>
                        <w:sz w:val="18"/>
                      </w:rPr>
                      <w:t> </w:t>
                    </w:r>
                    <w:r>
                      <w:rPr>
                        <w:rFonts w:ascii="Trebuchet MS" w:hAnsi="Trebuchet MS"/>
                        <w:w w:val="105"/>
                        <w:sz w:val="18"/>
                      </w:rPr>
                      <w:t>K</w:t>
                    </w:r>
                    <w:r>
                      <w:rPr>
                        <w:rFonts w:ascii="Trebuchet MS" w:hAnsi="Trebuchet MS"/>
                        <w:spacing w:val="46"/>
                        <w:w w:val="105"/>
                        <w:sz w:val="18"/>
                      </w:rPr>
                      <w:t> </w:t>
                    </w:r>
                    <w:r>
                      <w:rPr>
                        <w:rFonts w:ascii="Symbol" w:hAnsi="Symbol"/>
                        <w:w w:val="105"/>
                        <w:sz w:val="18"/>
                      </w:rPr>
                      <w:t></w:t>
                    </w:r>
                  </w:p>
                </w:txbxContent>
              </v:textbox>
              <w10:wrap type="none"/>
            </v:shape>
            <v:shape style="position:absolute;left:1260;top:-1800;width:4341;height:2541" type="#_x0000_t202" filled="false" stroked="false">
              <v:textbox inset="0,0,0,0">
                <w:txbxContent>
                  <w:p>
                    <w:pPr>
                      <w:spacing w:line="252" w:lineRule="auto" w:before="0"/>
                      <w:ind w:left="0" w:right="608" w:firstLine="0"/>
                      <w:jc w:val="left"/>
                      <w:rPr>
                        <w:rFonts w:ascii="Trebuchet MS"/>
                        <w:b/>
                        <w:sz w:val="18"/>
                      </w:rPr>
                    </w:pPr>
                    <w:r>
                      <w:rPr>
                        <w:rFonts w:ascii="Trebuchet MS"/>
                        <w:b/>
                        <w:color w:val="231F20"/>
                        <w:sz w:val="18"/>
                      </w:rPr>
                      <w:t>Isohydric Principle: All Buffers in a </w:t>
                    </w:r>
                    <w:r>
                      <w:rPr>
                        <w:rFonts w:ascii="Trebuchet MS"/>
                        <w:b/>
                        <w:color w:val="231F20"/>
                        <w:spacing w:val="-3"/>
                        <w:sz w:val="18"/>
                      </w:rPr>
                      <w:t>Common </w:t>
                    </w:r>
                    <w:r>
                      <w:rPr>
                        <w:rFonts w:ascii="Trebuchet MS"/>
                        <w:b/>
                        <w:color w:val="231F20"/>
                        <w:sz w:val="18"/>
                      </w:rPr>
                      <w:t>Solution Are in Equilibrium with the Same H</w:t>
                    </w:r>
                    <w:r>
                      <w:rPr>
                        <w:rFonts w:ascii="Consolas"/>
                        <w:b/>
                        <w:color w:val="231F20"/>
                        <w:position w:val="7"/>
                        <w:sz w:val="11"/>
                      </w:rPr>
                      <w:t>+</w:t>
                    </w:r>
                    <w:r>
                      <w:rPr>
                        <w:rFonts w:ascii="Consolas"/>
                        <w:b/>
                        <w:color w:val="231F20"/>
                        <w:spacing w:val="-1"/>
                        <w:position w:val="7"/>
                        <w:sz w:val="11"/>
                      </w:rPr>
                      <w:t> </w:t>
                    </w:r>
                    <w:r>
                      <w:rPr>
                        <w:rFonts w:ascii="Trebuchet MS"/>
                        <w:b/>
                        <w:color w:val="231F20"/>
                        <w:sz w:val="18"/>
                      </w:rPr>
                      <w:t>Concentration</w:t>
                    </w:r>
                  </w:p>
                  <w:p>
                    <w:pPr>
                      <w:spacing w:line="254" w:lineRule="auto" w:before="79"/>
                      <w:ind w:left="0" w:right="18" w:firstLine="0"/>
                      <w:jc w:val="both"/>
                      <w:rPr>
                        <w:sz w:val="18"/>
                      </w:rPr>
                    </w:pPr>
                    <w:r>
                      <w:rPr>
                        <w:color w:val="231F20"/>
                        <w:spacing w:val="-7"/>
                        <w:sz w:val="18"/>
                      </w:rPr>
                      <w:t>We </w:t>
                    </w:r>
                    <w:r>
                      <w:rPr>
                        <w:color w:val="231F20"/>
                        <w:sz w:val="18"/>
                      </w:rPr>
                      <w:t>have been discussing buffer systems as though they operate individually in the body fluids. However, they </w:t>
                    </w:r>
                    <w:r>
                      <w:rPr>
                        <w:color w:val="231F20"/>
                        <w:spacing w:val="-4"/>
                        <w:sz w:val="18"/>
                      </w:rPr>
                      <w:t>all </w:t>
                    </w:r>
                    <w:r>
                      <w:rPr>
                        <w:color w:val="231F20"/>
                        <w:sz w:val="18"/>
                      </w:rPr>
                      <w:t>work together because H</w:t>
                    </w:r>
                    <w:r>
                      <w:rPr>
                        <w:rFonts w:ascii="Consolas"/>
                        <w:color w:val="231F20"/>
                        <w:position w:val="7"/>
                        <w:sz w:val="11"/>
                      </w:rPr>
                      <w:t>+ </w:t>
                    </w:r>
                    <w:r>
                      <w:rPr>
                        <w:color w:val="231F20"/>
                        <w:sz w:val="18"/>
                      </w:rPr>
                      <w:t>is common to the reactions of   all these systems. Therefore, whenever there is a change in H</w:t>
                    </w:r>
                    <w:r>
                      <w:rPr>
                        <w:rFonts w:ascii="Consolas"/>
                        <w:color w:val="231F20"/>
                        <w:position w:val="7"/>
                        <w:sz w:val="11"/>
                      </w:rPr>
                      <w:t>+ </w:t>
                    </w:r>
                    <w:r>
                      <w:rPr>
                        <w:color w:val="231F20"/>
                        <w:sz w:val="18"/>
                      </w:rPr>
                      <w:t>concentration in the extracellular fluid, the balance of all the buffer systems changes at the same time. This </w:t>
                    </w:r>
                    <w:r>
                      <w:rPr>
                        <w:color w:val="231F20"/>
                        <w:spacing w:val="-3"/>
                        <w:sz w:val="18"/>
                      </w:rPr>
                      <w:t>phe- </w:t>
                    </w:r>
                    <w:r>
                      <w:rPr>
                        <w:color w:val="231F20"/>
                        <w:sz w:val="18"/>
                      </w:rPr>
                      <w:t>nomenon is called the </w:t>
                    </w:r>
                    <w:r>
                      <w:rPr>
                        <w:i/>
                        <w:color w:val="231F20"/>
                        <w:sz w:val="18"/>
                      </w:rPr>
                      <w:t>isohydric principle </w:t>
                    </w:r>
                    <w:r>
                      <w:rPr>
                        <w:color w:val="231F20"/>
                        <w:sz w:val="18"/>
                      </w:rPr>
                      <w:t>and is illustrated by the following</w:t>
                    </w:r>
                    <w:r>
                      <w:rPr>
                        <w:color w:val="231F20"/>
                        <w:spacing w:val="17"/>
                        <w:sz w:val="18"/>
                      </w:rPr>
                      <w:t> </w:t>
                    </w:r>
                    <w:r>
                      <w:rPr>
                        <w:color w:val="231F20"/>
                        <w:sz w:val="18"/>
                      </w:rPr>
                      <w:t>formula:</w:t>
                    </w:r>
                  </w:p>
                </w:txbxContent>
              </v:textbox>
              <w10:wrap type="none"/>
            </v:shape>
            <w10:wrap type="none"/>
          </v:group>
        </w:pict>
      </w:r>
      <w:bookmarkStart w:name="_bookmark103" w:id="104"/>
      <w:bookmarkEnd w:id="104"/>
      <w:r>
        <w:rPr/>
      </w:r>
      <w:r>
        <w:rPr>
          <w:rFonts w:ascii="Trebuchet MS"/>
          <w:b/>
          <w:color w:val="231F20"/>
          <w:sz w:val="16"/>
        </w:rPr>
        <w:t>Figure 31-2. </w:t>
      </w:r>
      <w:r>
        <w:rPr>
          <w:rFonts w:ascii="Arial"/>
          <w:color w:val="231F20"/>
          <w:sz w:val="16"/>
        </w:rPr>
        <w:t>Change in extracellular fluid pH caused by </w:t>
      </w:r>
      <w:r>
        <w:rPr>
          <w:rFonts w:ascii="Arial"/>
          <w:color w:val="231F20"/>
          <w:spacing w:val="-3"/>
          <w:sz w:val="16"/>
        </w:rPr>
        <w:t>increased </w:t>
      </w:r>
      <w:r>
        <w:rPr>
          <w:rFonts w:ascii="Arial"/>
          <w:color w:val="231F20"/>
          <w:sz w:val="16"/>
        </w:rPr>
        <w:t>or</w:t>
      </w:r>
      <w:r>
        <w:rPr>
          <w:rFonts w:ascii="Arial"/>
          <w:color w:val="231F20"/>
          <w:spacing w:val="-18"/>
          <w:sz w:val="16"/>
        </w:rPr>
        <w:t> </w:t>
      </w:r>
      <w:r>
        <w:rPr>
          <w:rFonts w:ascii="Arial"/>
          <w:color w:val="231F20"/>
          <w:sz w:val="16"/>
        </w:rPr>
        <w:t>decreased</w:t>
      </w:r>
      <w:r>
        <w:rPr>
          <w:rFonts w:ascii="Arial"/>
          <w:color w:val="231F20"/>
          <w:spacing w:val="-17"/>
          <w:sz w:val="16"/>
        </w:rPr>
        <w:t> </w:t>
      </w:r>
      <w:r>
        <w:rPr>
          <w:rFonts w:ascii="Arial"/>
          <w:color w:val="231F20"/>
          <w:sz w:val="16"/>
        </w:rPr>
        <w:t>rate</w:t>
      </w:r>
      <w:r>
        <w:rPr>
          <w:rFonts w:ascii="Arial"/>
          <w:color w:val="231F20"/>
          <w:spacing w:val="-17"/>
          <w:sz w:val="16"/>
        </w:rPr>
        <w:t> </w:t>
      </w:r>
      <w:r>
        <w:rPr>
          <w:rFonts w:ascii="Arial"/>
          <w:color w:val="231F20"/>
          <w:sz w:val="16"/>
        </w:rPr>
        <w:t>of</w:t>
      </w:r>
      <w:r>
        <w:rPr>
          <w:rFonts w:ascii="Arial"/>
          <w:color w:val="231F20"/>
          <w:spacing w:val="-17"/>
          <w:sz w:val="16"/>
        </w:rPr>
        <w:t> </w:t>
      </w:r>
      <w:r>
        <w:rPr>
          <w:rFonts w:ascii="Arial"/>
          <w:color w:val="231F20"/>
          <w:sz w:val="16"/>
        </w:rPr>
        <w:t>alveolar</w:t>
      </w:r>
      <w:r>
        <w:rPr>
          <w:rFonts w:ascii="Arial"/>
          <w:color w:val="231F20"/>
          <w:spacing w:val="-17"/>
          <w:sz w:val="16"/>
        </w:rPr>
        <w:t> </w:t>
      </w:r>
      <w:r>
        <w:rPr>
          <w:rFonts w:ascii="Arial"/>
          <w:color w:val="231F20"/>
          <w:sz w:val="16"/>
        </w:rPr>
        <w:t>ventilation,</w:t>
      </w:r>
      <w:r>
        <w:rPr>
          <w:rFonts w:ascii="Arial"/>
          <w:color w:val="231F20"/>
          <w:spacing w:val="-17"/>
          <w:sz w:val="16"/>
        </w:rPr>
        <w:t> </w:t>
      </w:r>
      <w:r>
        <w:rPr>
          <w:rFonts w:ascii="Arial"/>
          <w:color w:val="231F20"/>
          <w:sz w:val="16"/>
        </w:rPr>
        <w:t>expressed</w:t>
      </w:r>
      <w:r>
        <w:rPr>
          <w:rFonts w:ascii="Arial"/>
          <w:color w:val="231F20"/>
          <w:spacing w:val="-18"/>
          <w:sz w:val="16"/>
        </w:rPr>
        <w:t> </w:t>
      </w:r>
      <w:r>
        <w:rPr>
          <w:rFonts w:ascii="Arial"/>
          <w:color w:val="231F20"/>
          <w:sz w:val="16"/>
        </w:rPr>
        <w:t>as</w:t>
      </w:r>
      <w:r>
        <w:rPr>
          <w:rFonts w:ascii="Arial"/>
          <w:color w:val="231F20"/>
          <w:spacing w:val="-17"/>
          <w:sz w:val="16"/>
        </w:rPr>
        <w:t> </w:t>
      </w:r>
      <w:r>
        <w:rPr>
          <w:rFonts w:ascii="Arial"/>
          <w:color w:val="231F20"/>
          <w:sz w:val="16"/>
        </w:rPr>
        <w:t>times</w:t>
      </w:r>
      <w:r>
        <w:rPr>
          <w:rFonts w:ascii="Arial"/>
          <w:color w:val="231F20"/>
          <w:spacing w:val="-17"/>
          <w:sz w:val="16"/>
        </w:rPr>
        <w:t> </w:t>
      </w:r>
      <w:r>
        <w:rPr>
          <w:rFonts w:ascii="Arial"/>
          <w:color w:val="231F20"/>
          <w:spacing w:val="-3"/>
          <w:sz w:val="16"/>
        </w:rPr>
        <w:t>normal.</w:t>
      </w:r>
    </w:p>
    <w:p>
      <w:pPr>
        <w:pStyle w:val="BodyText"/>
        <w:rPr>
          <w:rFonts w:ascii="Arial"/>
        </w:rPr>
      </w:pPr>
    </w:p>
    <w:p>
      <w:pPr>
        <w:spacing w:after="0"/>
        <w:rPr>
          <w:rFonts w:ascii="Arial"/>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
        <w:rPr>
          <w:rFonts w:ascii="Arial"/>
          <w:sz w:val="15"/>
        </w:rPr>
      </w:pPr>
    </w:p>
    <w:p>
      <w:pPr>
        <w:pStyle w:val="BodyText"/>
        <w:ind w:left="1080" w:right="-58"/>
        <w:rPr>
          <w:rFonts w:ascii="Arial"/>
        </w:rPr>
      </w:pPr>
      <w:r>
        <w:rPr>
          <w:rFonts w:ascii="Arial"/>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1479" w:firstLine="0"/>
                    <w:jc w:val="left"/>
                    <w:rPr>
                      <w:rFonts w:ascii="Trebuchet MS"/>
                      <w:b/>
                      <w:sz w:val="22"/>
                    </w:rPr>
                  </w:pPr>
                  <w:r>
                    <w:rPr>
                      <w:rFonts w:ascii="Trebuchet MS"/>
                      <w:b/>
                      <w:color w:val="231F20"/>
                      <w:w w:val="110"/>
                      <w:sz w:val="22"/>
                    </w:rPr>
                    <w:t>RESPIRATORY REGULATION OF ACID-BASE BALANCE</w:t>
                  </w:r>
                </w:p>
              </w:txbxContent>
            </v:textbox>
            <v:fill type="solid"/>
          </v:shape>
        </w:pict>
      </w:r>
      <w:r>
        <w:rPr>
          <w:rFonts w:ascii="Arial"/>
        </w:rPr>
      </w:r>
    </w:p>
    <w:p>
      <w:pPr>
        <w:pStyle w:val="BodyText"/>
        <w:spacing w:line="249" w:lineRule="auto" w:before="68"/>
        <w:ind w:left="1079"/>
        <w:jc w:val="both"/>
      </w:pPr>
      <w:r>
        <w:rPr/>
        <w:pict>
          <v:line style="position:absolute;mso-position-horizontal-relative:page;mso-position-vertical-relative:paragraph;z-index:252858368" from="54pt,-1.014063pt" to="288pt,-1.014063pt" stroked="true" strokeweight=".5pt" strokecolor="#231f20">
            <v:stroke dashstyle="solid"/>
            <w10:wrap type="none"/>
          </v:line>
        </w:pict>
      </w:r>
      <w:r>
        <w:rPr>
          <w:color w:val="231F20"/>
        </w:rPr>
        <w:t>The second line of defense against acid-base disturbances is control of extracellular fluid CO</w:t>
      </w:r>
      <w:r>
        <w:rPr>
          <w:color w:val="231F20"/>
          <w:vertAlign w:val="subscript"/>
        </w:rPr>
        <w:t>2</w:t>
      </w:r>
      <w:r>
        <w:rPr>
          <w:color w:val="231F20"/>
          <w:vertAlign w:val="baseline"/>
        </w:rPr>
        <w:t> concentration by the lungs. An increase in ventilation eliminates CO</w:t>
      </w:r>
      <w:r>
        <w:rPr>
          <w:color w:val="231F20"/>
          <w:vertAlign w:val="subscript"/>
        </w:rPr>
        <w:t>2</w:t>
      </w:r>
      <w:r>
        <w:rPr>
          <w:color w:val="231F20"/>
          <w:vertAlign w:val="baseline"/>
        </w:rPr>
        <w:t> from extracellular fluid, which, by mass action, reduces the H</w:t>
      </w:r>
      <w:r>
        <w:rPr>
          <w:rFonts w:ascii="Consolas"/>
          <w:color w:val="231F20"/>
          <w:position w:val="8"/>
          <w:sz w:val="12"/>
          <w:vertAlign w:val="baseline"/>
        </w:rPr>
        <w:t>+ </w:t>
      </w:r>
      <w:r>
        <w:rPr>
          <w:color w:val="231F20"/>
          <w:vertAlign w:val="baseline"/>
        </w:rPr>
        <w:t>concentration. Conversely, decreased ventilation increases CO</w:t>
      </w:r>
      <w:r>
        <w:rPr>
          <w:color w:val="231F20"/>
          <w:vertAlign w:val="subscript"/>
        </w:rPr>
        <w:t>2</w:t>
      </w:r>
      <w:r>
        <w:rPr>
          <w:color w:val="231F20"/>
          <w:vertAlign w:val="baseline"/>
        </w:rPr>
        <w:t>, thus also increasing H</w:t>
      </w:r>
      <w:r>
        <w:rPr>
          <w:rFonts w:ascii="Consolas"/>
          <w:color w:val="231F20"/>
          <w:position w:val="8"/>
          <w:sz w:val="12"/>
          <w:vertAlign w:val="baseline"/>
        </w:rPr>
        <w:t>+ </w:t>
      </w:r>
      <w:r>
        <w:rPr>
          <w:color w:val="231F20"/>
          <w:vertAlign w:val="baseline"/>
        </w:rPr>
        <w:t>concentration in the extra- cellular fluid.</w:t>
      </w:r>
    </w:p>
    <w:p>
      <w:pPr>
        <w:pStyle w:val="BodyText"/>
        <w:spacing w:before="5"/>
        <w:rPr>
          <w:sz w:val="29"/>
        </w:rPr>
      </w:pPr>
    </w:p>
    <w:p>
      <w:pPr>
        <w:pStyle w:val="Heading2"/>
        <w:spacing w:line="248" w:lineRule="exact"/>
        <w:ind w:left="1080"/>
        <w:jc w:val="both"/>
      </w:pPr>
      <w:r>
        <w:rPr>
          <w:color w:val="231F20"/>
          <w:w w:val="105"/>
        </w:rPr>
        <w:t>PULMONARY EXPIRATION</w:t>
      </w:r>
    </w:p>
    <w:p>
      <w:pPr>
        <w:spacing w:line="216" w:lineRule="auto" w:before="12"/>
        <w:ind w:left="1080" w:right="1473" w:hanging="1"/>
        <w:jc w:val="left"/>
        <w:rPr>
          <w:rFonts w:ascii="Trebuchet MS"/>
          <w:b/>
          <w:sz w:val="13"/>
        </w:rPr>
      </w:pPr>
      <w:r>
        <w:rPr>
          <w:rFonts w:ascii="Trebuchet MS"/>
          <w:b/>
          <w:color w:val="231F20"/>
          <w:w w:val="105"/>
          <w:sz w:val="22"/>
        </w:rPr>
        <w:t>OF CO</w:t>
      </w:r>
      <w:r>
        <w:rPr>
          <w:rFonts w:ascii="Trebuchet MS"/>
          <w:b/>
          <w:color w:val="231F20"/>
          <w:w w:val="105"/>
          <w:position w:val="-2"/>
          <w:sz w:val="13"/>
        </w:rPr>
        <w:t>2 </w:t>
      </w:r>
      <w:r>
        <w:rPr>
          <w:rFonts w:ascii="Trebuchet MS"/>
          <w:b/>
          <w:color w:val="231F20"/>
          <w:w w:val="105"/>
          <w:sz w:val="22"/>
        </w:rPr>
        <w:t>BALANCES METABOLIC FORMATION OF CO</w:t>
      </w:r>
      <w:r>
        <w:rPr>
          <w:rFonts w:ascii="Trebuchet MS"/>
          <w:b/>
          <w:color w:val="231F20"/>
          <w:w w:val="105"/>
          <w:position w:val="-2"/>
          <w:sz w:val="13"/>
        </w:rPr>
        <w:t>2</w:t>
      </w:r>
    </w:p>
    <w:p>
      <w:pPr>
        <w:pStyle w:val="BodyText"/>
        <w:spacing w:line="249" w:lineRule="auto" w:before="120"/>
        <w:ind w:left="1080"/>
        <w:jc w:val="both"/>
      </w:pPr>
      <w:r>
        <w:rPr>
          <w:color w:val="231F20"/>
          <w:w w:val="105"/>
        </w:rPr>
        <w:t>CO</w:t>
      </w:r>
      <w:r>
        <w:rPr>
          <w:color w:val="231F20"/>
          <w:w w:val="105"/>
          <w:vertAlign w:val="subscript"/>
        </w:rPr>
        <w:t>2</w:t>
      </w:r>
      <w:r>
        <w:rPr>
          <w:color w:val="231F20"/>
          <w:w w:val="105"/>
          <w:vertAlign w:val="baseline"/>
        </w:rPr>
        <w:t> is formed continually in the body by </w:t>
      </w:r>
      <w:r>
        <w:rPr>
          <w:color w:val="231F20"/>
          <w:spacing w:val="-3"/>
          <w:w w:val="105"/>
          <w:vertAlign w:val="baseline"/>
        </w:rPr>
        <w:t>intracellular </w:t>
      </w:r>
      <w:r>
        <w:rPr>
          <w:color w:val="231F20"/>
          <w:w w:val="105"/>
          <w:vertAlign w:val="baseline"/>
        </w:rPr>
        <w:t>metabolic processes. After it is formed, it diffuses from the cells into the interstitial fluids and blood and the flowing</w:t>
      </w:r>
      <w:r>
        <w:rPr>
          <w:color w:val="231F20"/>
          <w:spacing w:val="-12"/>
          <w:w w:val="105"/>
          <w:vertAlign w:val="baseline"/>
        </w:rPr>
        <w:t> </w:t>
      </w:r>
      <w:r>
        <w:rPr>
          <w:color w:val="231F20"/>
          <w:w w:val="105"/>
          <w:vertAlign w:val="baseline"/>
        </w:rPr>
        <w:t>blood</w:t>
      </w:r>
      <w:r>
        <w:rPr>
          <w:color w:val="231F20"/>
          <w:spacing w:val="-11"/>
          <w:w w:val="105"/>
          <w:vertAlign w:val="baseline"/>
        </w:rPr>
        <w:t> </w:t>
      </w:r>
      <w:r>
        <w:rPr>
          <w:color w:val="231F20"/>
          <w:w w:val="105"/>
          <w:vertAlign w:val="baseline"/>
        </w:rPr>
        <w:t>transports</w:t>
      </w:r>
      <w:r>
        <w:rPr>
          <w:color w:val="231F20"/>
          <w:spacing w:val="-11"/>
          <w:w w:val="105"/>
          <w:vertAlign w:val="baseline"/>
        </w:rPr>
        <w:t> </w:t>
      </w:r>
      <w:r>
        <w:rPr>
          <w:color w:val="231F20"/>
          <w:w w:val="105"/>
          <w:vertAlign w:val="baseline"/>
        </w:rPr>
        <w:t>it</w:t>
      </w:r>
      <w:r>
        <w:rPr>
          <w:color w:val="231F20"/>
          <w:spacing w:val="-11"/>
          <w:w w:val="105"/>
          <w:vertAlign w:val="baseline"/>
        </w:rPr>
        <w:t> </w:t>
      </w:r>
      <w:r>
        <w:rPr>
          <w:color w:val="231F20"/>
          <w:w w:val="105"/>
          <w:vertAlign w:val="baseline"/>
        </w:rPr>
        <w:t>to</w:t>
      </w:r>
      <w:r>
        <w:rPr>
          <w:color w:val="231F20"/>
          <w:spacing w:val="-11"/>
          <w:w w:val="105"/>
          <w:vertAlign w:val="baseline"/>
        </w:rPr>
        <w:t> </w:t>
      </w:r>
      <w:r>
        <w:rPr>
          <w:color w:val="231F20"/>
          <w:w w:val="105"/>
          <w:vertAlign w:val="baseline"/>
        </w:rPr>
        <w:t>the</w:t>
      </w:r>
      <w:r>
        <w:rPr>
          <w:color w:val="231F20"/>
          <w:spacing w:val="-11"/>
          <w:w w:val="105"/>
          <w:vertAlign w:val="baseline"/>
        </w:rPr>
        <w:t> </w:t>
      </w:r>
      <w:r>
        <w:rPr>
          <w:color w:val="231F20"/>
          <w:w w:val="105"/>
          <w:vertAlign w:val="baseline"/>
        </w:rPr>
        <w:t>lungs,</w:t>
      </w:r>
      <w:r>
        <w:rPr>
          <w:color w:val="231F20"/>
          <w:spacing w:val="-11"/>
          <w:w w:val="105"/>
          <w:vertAlign w:val="baseline"/>
        </w:rPr>
        <w:t> </w:t>
      </w:r>
      <w:r>
        <w:rPr>
          <w:color w:val="231F20"/>
          <w:w w:val="105"/>
          <w:vertAlign w:val="baseline"/>
        </w:rPr>
        <w:t>where</w:t>
      </w:r>
      <w:r>
        <w:rPr>
          <w:color w:val="231F20"/>
          <w:spacing w:val="-11"/>
          <w:w w:val="105"/>
          <w:vertAlign w:val="baseline"/>
        </w:rPr>
        <w:t> </w:t>
      </w:r>
      <w:r>
        <w:rPr>
          <w:color w:val="231F20"/>
          <w:w w:val="105"/>
          <w:vertAlign w:val="baseline"/>
        </w:rPr>
        <w:t>it</w:t>
      </w:r>
      <w:r>
        <w:rPr>
          <w:color w:val="231F20"/>
          <w:spacing w:val="-11"/>
          <w:w w:val="105"/>
          <w:vertAlign w:val="baseline"/>
        </w:rPr>
        <w:t> </w:t>
      </w:r>
      <w:r>
        <w:rPr>
          <w:color w:val="231F20"/>
          <w:w w:val="105"/>
          <w:vertAlign w:val="baseline"/>
        </w:rPr>
        <w:t>diffuses into</w:t>
      </w:r>
      <w:r>
        <w:rPr>
          <w:color w:val="231F20"/>
          <w:spacing w:val="-7"/>
          <w:w w:val="105"/>
          <w:vertAlign w:val="baseline"/>
        </w:rPr>
        <w:t> </w:t>
      </w:r>
      <w:r>
        <w:rPr>
          <w:color w:val="231F20"/>
          <w:w w:val="105"/>
          <w:vertAlign w:val="baseline"/>
        </w:rPr>
        <w:t>the</w:t>
      </w:r>
      <w:r>
        <w:rPr>
          <w:color w:val="231F20"/>
          <w:spacing w:val="-7"/>
          <w:w w:val="105"/>
          <w:vertAlign w:val="baseline"/>
        </w:rPr>
        <w:t> </w:t>
      </w:r>
      <w:r>
        <w:rPr>
          <w:color w:val="231F20"/>
          <w:w w:val="105"/>
          <w:vertAlign w:val="baseline"/>
        </w:rPr>
        <w:t>alveoli</w:t>
      </w:r>
      <w:r>
        <w:rPr>
          <w:color w:val="231F20"/>
          <w:spacing w:val="-7"/>
          <w:w w:val="105"/>
          <w:vertAlign w:val="baseline"/>
        </w:rPr>
        <w:t> </w:t>
      </w:r>
      <w:r>
        <w:rPr>
          <w:color w:val="231F20"/>
          <w:w w:val="105"/>
          <w:vertAlign w:val="baseline"/>
        </w:rPr>
        <w:t>and</w:t>
      </w:r>
      <w:r>
        <w:rPr>
          <w:color w:val="231F20"/>
          <w:spacing w:val="-6"/>
          <w:w w:val="105"/>
          <w:vertAlign w:val="baseline"/>
        </w:rPr>
        <w:t> </w:t>
      </w:r>
      <w:r>
        <w:rPr>
          <w:color w:val="231F20"/>
          <w:w w:val="105"/>
          <w:vertAlign w:val="baseline"/>
        </w:rPr>
        <w:t>then</w:t>
      </w:r>
      <w:r>
        <w:rPr>
          <w:color w:val="231F20"/>
          <w:spacing w:val="-7"/>
          <w:w w:val="105"/>
          <w:vertAlign w:val="baseline"/>
        </w:rPr>
        <w:t> </w:t>
      </w:r>
      <w:r>
        <w:rPr>
          <w:color w:val="231F20"/>
          <w:w w:val="105"/>
          <w:vertAlign w:val="baseline"/>
        </w:rPr>
        <w:t>is</w:t>
      </w:r>
      <w:r>
        <w:rPr>
          <w:color w:val="231F20"/>
          <w:spacing w:val="-7"/>
          <w:w w:val="105"/>
          <w:vertAlign w:val="baseline"/>
        </w:rPr>
        <w:t> </w:t>
      </w:r>
      <w:r>
        <w:rPr>
          <w:color w:val="231F20"/>
          <w:w w:val="105"/>
          <w:vertAlign w:val="baseline"/>
        </w:rPr>
        <w:t>transferred</w:t>
      </w:r>
      <w:r>
        <w:rPr>
          <w:color w:val="231F20"/>
          <w:spacing w:val="-6"/>
          <w:w w:val="105"/>
          <w:vertAlign w:val="baseline"/>
        </w:rPr>
        <w:t> </w:t>
      </w:r>
      <w:r>
        <w:rPr>
          <w:color w:val="231F20"/>
          <w:w w:val="105"/>
          <w:vertAlign w:val="baseline"/>
        </w:rPr>
        <w:t>to</w:t>
      </w:r>
      <w:r>
        <w:rPr>
          <w:color w:val="231F20"/>
          <w:spacing w:val="-7"/>
          <w:w w:val="105"/>
          <w:vertAlign w:val="baseline"/>
        </w:rPr>
        <w:t> </w:t>
      </w:r>
      <w:r>
        <w:rPr>
          <w:color w:val="231F20"/>
          <w:w w:val="105"/>
          <w:vertAlign w:val="baseline"/>
        </w:rPr>
        <w:t>the</w:t>
      </w:r>
      <w:r>
        <w:rPr>
          <w:color w:val="231F20"/>
          <w:spacing w:val="-7"/>
          <w:w w:val="105"/>
          <w:vertAlign w:val="baseline"/>
        </w:rPr>
        <w:t> </w:t>
      </w:r>
      <w:r>
        <w:rPr>
          <w:color w:val="231F20"/>
          <w:w w:val="105"/>
          <w:vertAlign w:val="baseline"/>
        </w:rPr>
        <w:t>atmosphere by pulmonary ventilation. About 1.2</w:t>
      </w:r>
      <w:r>
        <w:rPr>
          <w:color w:val="231F20"/>
          <w:spacing w:val="-41"/>
          <w:w w:val="105"/>
          <w:vertAlign w:val="baseline"/>
        </w:rPr>
        <w:t> </w:t>
      </w:r>
      <w:r>
        <w:rPr>
          <w:color w:val="231F20"/>
          <w:w w:val="105"/>
          <w:vertAlign w:val="baseline"/>
        </w:rPr>
        <w:t>mol/L of dissolved CO</w:t>
      </w:r>
      <w:r>
        <w:rPr>
          <w:color w:val="231F20"/>
          <w:w w:val="105"/>
          <w:vertAlign w:val="subscript"/>
        </w:rPr>
        <w:t>2</w:t>
      </w:r>
      <w:r>
        <w:rPr>
          <w:color w:val="231F20"/>
          <w:spacing w:val="-23"/>
          <w:w w:val="105"/>
          <w:vertAlign w:val="baseline"/>
        </w:rPr>
        <w:t> </w:t>
      </w:r>
      <w:r>
        <w:rPr>
          <w:color w:val="231F20"/>
          <w:w w:val="105"/>
          <w:vertAlign w:val="baseline"/>
        </w:rPr>
        <w:t>normally</w:t>
      </w:r>
      <w:r>
        <w:rPr>
          <w:color w:val="231F20"/>
          <w:spacing w:val="-22"/>
          <w:w w:val="105"/>
          <w:vertAlign w:val="baseline"/>
        </w:rPr>
        <w:t> </w:t>
      </w:r>
      <w:r>
        <w:rPr>
          <w:color w:val="231F20"/>
          <w:w w:val="105"/>
          <w:vertAlign w:val="baseline"/>
        </w:rPr>
        <w:t>are</w:t>
      </w:r>
      <w:r>
        <w:rPr>
          <w:color w:val="231F20"/>
          <w:spacing w:val="-23"/>
          <w:w w:val="105"/>
          <w:vertAlign w:val="baseline"/>
        </w:rPr>
        <w:t> </w:t>
      </w:r>
      <w:r>
        <w:rPr>
          <w:color w:val="231F20"/>
          <w:w w:val="105"/>
          <w:vertAlign w:val="baseline"/>
        </w:rPr>
        <w:t>in</w:t>
      </w:r>
      <w:r>
        <w:rPr>
          <w:color w:val="231F20"/>
          <w:spacing w:val="-22"/>
          <w:w w:val="105"/>
          <w:vertAlign w:val="baseline"/>
        </w:rPr>
        <w:t> </w:t>
      </w:r>
      <w:r>
        <w:rPr>
          <w:color w:val="231F20"/>
          <w:w w:val="105"/>
          <w:vertAlign w:val="baseline"/>
        </w:rPr>
        <w:t>the</w:t>
      </w:r>
      <w:r>
        <w:rPr>
          <w:color w:val="231F20"/>
          <w:spacing w:val="-22"/>
          <w:w w:val="105"/>
          <w:vertAlign w:val="baseline"/>
        </w:rPr>
        <w:t> </w:t>
      </w:r>
      <w:r>
        <w:rPr>
          <w:color w:val="231F20"/>
          <w:w w:val="105"/>
          <w:vertAlign w:val="baseline"/>
        </w:rPr>
        <w:t>extracellular</w:t>
      </w:r>
      <w:r>
        <w:rPr>
          <w:color w:val="231F20"/>
          <w:spacing w:val="-23"/>
          <w:w w:val="105"/>
          <w:vertAlign w:val="baseline"/>
        </w:rPr>
        <w:t> </w:t>
      </w:r>
      <w:r>
        <w:rPr>
          <w:color w:val="231F20"/>
          <w:w w:val="105"/>
          <w:vertAlign w:val="baseline"/>
        </w:rPr>
        <w:t>fluid,</w:t>
      </w:r>
      <w:r>
        <w:rPr>
          <w:color w:val="231F20"/>
          <w:spacing w:val="-22"/>
          <w:w w:val="105"/>
          <w:vertAlign w:val="baseline"/>
        </w:rPr>
        <w:t> </w:t>
      </w:r>
      <w:r>
        <w:rPr>
          <w:color w:val="231F20"/>
          <w:spacing w:val="-3"/>
          <w:w w:val="105"/>
          <w:vertAlign w:val="baseline"/>
        </w:rPr>
        <w:t>corresponding </w:t>
      </w:r>
      <w:r>
        <w:rPr>
          <w:color w:val="231F20"/>
          <w:w w:val="105"/>
          <w:vertAlign w:val="baseline"/>
        </w:rPr>
        <w:t>to a P</w:t>
      </w:r>
      <w:r>
        <w:rPr>
          <w:color w:val="231F20"/>
          <w:w w:val="105"/>
          <w:sz w:val="16"/>
          <w:vertAlign w:val="baseline"/>
        </w:rPr>
        <w:t>CO</w:t>
      </w:r>
      <w:r>
        <w:rPr>
          <w:color w:val="231F20"/>
          <w:w w:val="105"/>
          <w:sz w:val="16"/>
          <w:vertAlign w:val="subscript"/>
        </w:rPr>
        <w:t>2</w:t>
      </w:r>
      <w:r>
        <w:rPr>
          <w:color w:val="231F20"/>
          <w:w w:val="105"/>
          <w:sz w:val="16"/>
          <w:vertAlign w:val="baseline"/>
        </w:rPr>
        <w:t> </w:t>
      </w:r>
      <w:r>
        <w:rPr>
          <w:color w:val="231F20"/>
          <w:w w:val="105"/>
          <w:vertAlign w:val="baseline"/>
        </w:rPr>
        <w:t>of 40 mm</w:t>
      </w:r>
      <w:r>
        <w:rPr>
          <w:color w:val="231F20"/>
          <w:spacing w:val="-15"/>
          <w:w w:val="105"/>
          <w:vertAlign w:val="baseline"/>
        </w:rPr>
        <w:t> </w:t>
      </w:r>
      <w:r>
        <w:rPr>
          <w:color w:val="231F20"/>
          <w:w w:val="105"/>
          <w:vertAlign w:val="baseline"/>
        </w:rPr>
        <w:t>Hg.</w:t>
      </w:r>
    </w:p>
    <w:p>
      <w:pPr>
        <w:pStyle w:val="BodyText"/>
        <w:spacing w:line="249" w:lineRule="auto" w:before="7"/>
        <w:ind w:left="1079" w:firstLine="240"/>
        <w:jc w:val="both"/>
      </w:pPr>
      <w:r>
        <w:rPr>
          <w:color w:val="231F20"/>
        </w:rPr>
        <w:t>If the rate of metabolic formation of CO</w:t>
      </w:r>
      <w:r>
        <w:rPr>
          <w:color w:val="231F20"/>
          <w:vertAlign w:val="subscript"/>
        </w:rPr>
        <w:t>2</w:t>
      </w:r>
      <w:r>
        <w:rPr>
          <w:color w:val="231F20"/>
          <w:vertAlign w:val="baseline"/>
        </w:rPr>
        <w:t> increases, </w:t>
      </w:r>
      <w:r>
        <w:rPr>
          <w:color w:val="231F20"/>
          <w:spacing w:val="-8"/>
          <w:vertAlign w:val="baseline"/>
        </w:rPr>
        <w:t>the </w:t>
      </w:r>
      <w:r>
        <w:rPr>
          <w:color w:val="231F20"/>
          <w:vertAlign w:val="baseline"/>
        </w:rPr>
        <w:t>P</w:t>
      </w:r>
      <w:r>
        <w:rPr>
          <w:color w:val="231F20"/>
          <w:sz w:val="16"/>
          <w:vertAlign w:val="baseline"/>
        </w:rPr>
        <w:t>CO</w:t>
      </w:r>
      <w:r>
        <w:rPr>
          <w:color w:val="231F20"/>
          <w:sz w:val="16"/>
          <w:vertAlign w:val="subscript"/>
        </w:rPr>
        <w:t>2</w:t>
      </w:r>
      <w:r>
        <w:rPr>
          <w:color w:val="231F20"/>
          <w:sz w:val="16"/>
          <w:vertAlign w:val="baseline"/>
        </w:rPr>
        <w:t> </w:t>
      </w:r>
      <w:r>
        <w:rPr>
          <w:color w:val="231F20"/>
          <w:vertAlign w:val="baseline"/>
        </w:rPr>
        <w:t>of the extracellular fluid is likewise increased. Conversely, a decreased metabolic rate lowers the P</w:t>
      </w:r>
      <w:r>
        <w:rPr>
          <w:color w:val="231F20"/>
          <w:sz w:val="16"/>
          <w:vertAlign w:val="baseline"/>
        </w:rPr>
        <w:t>CO</w:t>
      </w:r>
      <w:r>
        <w:rPr>
          <w:color w:val="231F20"/>
          <w:sz w:val="16"/>
          <w:vertAlign w:val="subscript"/>
        </w:rPr>
        <w:t>2</w:t>
      </w:r>
      <w:r>
        <w:rPr>
          <w:color w:val="231F20"/>
          <w:vertAlign w:val="baseline"/>
        </w:rPr>
        <w:t>.  If the rate of pulmonary ventilation is increased, CO</w:t>
      </w:r>
      <w:r>
        <w:rPr>
          <w:color w:val="231F20"/>
          <w:vertAlign w:val="subscript"/>
        </w:rPr>
        <w:t>2</w:t>
      </w:r>
      <w:r>
        <w:rPr>
          <w:color w:val="231F20"/>
          <w:vertAlign w:val="baseline"/>
        </w:rPr>
        <w:t> </w:t>
      </w:r>
      <w:r>
        <w:rPr>
          <w:color w:val="231F20"/>
          <w:spacing w:val="-12"/>
          <w:vertAlign w:val="baseline"/>
        </w:rPr>
        <w:t>is </w:t>
      </w:r>
      <w:r>
        <w:rPr>
          <w:color w:val="231F20"/>
          <w:vertAlign w:val="baseline"/>
        </w:rPr>
        <w:t>blown off from the lungs and the P</w:t>
      </w:r>
      <w:r>
        <w:rPr>
          <w:color w:val="231F20"/>
          <w:sz w:val="16"/>
          <w:vertAlign w:val="baseline"/>
        </w:rPr>
        <w:t>CO</w:t>
      </w:r>
      <w:r>
        <w:rPr>
          <w:color w:val="231F20"/>
          <w:sz w:val="16"/>
          <w:vertAlign w:val="subscript"/>
        </w:rPr>
        <w:t>2</w:t>
      </w:r>
      <w:r>
        <w:rPr>
          <w:color w:val="231F20"/>
          <w:sz w:val="16"/>
          <w:vertAlign w:val="baseline"/>
        </w:rPr>
        <w:t> </w:t>
      </w:r>
      <w:r>
        <w:rPr>
          <w:color w:val="231F20"/>
          <w:vertAlign w:val="baseline"/>
        </w:rPr>
        <w:t>in the</w:t>
      </w:r>
      <w:r>
        <w:rPr>
          <w:color w:val="231F20"/>
          <w:spacing w:val="3"/>
          <w:vertAlign w:val="baseline"/>
        </w:rPr>
        <w:t> </w:t>
      </w:r>
      <w:r>
        <w:rPr>
          <w:color w:val="231F20"/>
          <w:vertAlign w:val="baseline"/>
        </w:rPr>
        <w:t>extracellular</w:t>
      </w:r>
    </w:p>
    <w:p>
      <w:pPr>
        <w:pStyle w:val="BodyText"/>
        <w:spacing w:line="249" w:lineRule="auto" w:before="222"/>
        <w:ind w:left="319" w:right="1439"/>
        <w:jc w:val="both"/>
      </w:pPr>
      <w:r>
        <w:rPr/>
        <w:br w:type="column"/>
      </w:r>
      <w:r>
        <w:rPr>
          <w:color w:val="231F20"/>
        </w:rPr>
        <w:t>fluid decreases. Therefore, changes in either pulmonary ventilation or the rate of CO</w:t>
      </w:r>
      <w:r>
        <w:rPr>
          <w:color w:val="231F20"/>
          <w:vertAlign w:val="subscript"/>
        </w:rPr>
        <w:t>2</w:t>
      </w:r>
      <w:r>
        <w:rPr>
          <w:color w:val="231F20"/>
          <w:vertAlign w:val="baseline"/>
        </w:rPr>
        <w:t> formation by the tissues can change the extracellular fluid P</w:t>
      </w:r>
      <w:r>
        <w:rPr>
          <w:color w:val="231F20"/>
          <w:sz w:val="16"/>
          <w:vertAlign w:val="baseline"/>
        </w:rPr>
        <w:t>CO</w:t>
      </w:r>
      <w:r>
        <w:rPr>
          <w:color w:val="231F20"/>
          <w:sz w:val="16"/>
          <w:vertAlign w:val="subscript"/>
        </w:rPr>
        <w:t>2</w:t>
      </w:r>
      <w:r>
        <w:rPr>
          <w:color w:val="231F20"/>
          <w:vertAlign w:val="baseline"/>
        </w:rPr>
        <w:t>.</w:t>
      </w:r>
    </w:p>
    <w:p>
      <w:pPr>
        <w:pStyle w:val="BodyText"/>
        <w:spacing w:before="1"/>
        <w:rPr>
          <w:sz w:val="31"/>
        </w:rPr>
      </w:pPr>
    </w:p>
    <w:p>
      <w:pPr>
        <w:pStyle w:val="Heading2"/>
        <w:spacing w:line="223" w:lineRule="auto"/>
        <w:ind w:right="2136"/>
      </w:pPr>
      <w:r>
        <w:rPr>
          <w:color w:val="231F20"/>
          <w:w w:val="105"/>
        </w:rPr>
        <w:t>INCREASING </w:t>
      </w:r>
      <w:r>
        <w:rPr>
          <w:color w:val="231F20"/>
          <w:spacing w:val="-3"/>
          <w:w w:val="105"/>
        </w:rPr>
        <w:t>ALVEOLAR </w:t>
      </w:r>
      <w:r>
        <w:rPr>
          <w:color w:val="231F20"/>
          <w:w w:val="105"/>
        </w:rPr>
        <w:t>VENTILATION DECREASES</w:t>
      </w:r>
      <w:r>
        <w:rPr>
          <w:color w:val="231F20"/>
          <w:spacing w:val="-32"/>
          <w:w w:val="105"/>
        </w:rPr>
        <w:t> </w:t>
      </w:r>
      <w:r>
        <w:rPr>
          <w:color w:val="231F20"/>
          <w:w w:val="105"/>
        </w:rPr>
        <w:t>EXTRACELLULAR</w:t>
      </w:r>
      <w:r>
        <w:rPr>
          <w:color w:val="231F20"/>
          <w:spacing w:val="-32"/>
          <w:w w:val="105"/>
        </w:rPr>
        <w:t> </w:t>
      </w:r>
      <w:r>
        <w:rPr>
          <w:color w:val="231F20"/>
          <w:w w:val="105"/>
        </w:rPr>
        <w:t>FLUID</w:t>
      </w:r>
      <w:r>
        <w:rPr>
          <w:color w:val="231F20"/>
          <w:spacing w:val="-32"/>
          <w:w w:val="105"/>
        </w:rPr>
        <w:t> </w:t>
      </w:r>
      <w:r>
        <w:rPr>
          <w:color w:val="231F20"/>
          <w:spacing w:val="-10"/>
          <w:w w:val="105"/>
        </w:rPr>
        <w:t>H</w:t>
      </w:r>
      <w:r>
        <w:rPr>
          <w:rFonts w:ascii="Consolas"/>
          <w:color w:val="231F20"/>
          <w:spacing w:val="-10"/>
          <w:w w:val="105"/>
          <w:position w:val="9"/>
          <w:sz w:val="13"/>
        </w:rPr>
        <w:t>+ </w:t>
      </w:r>
      <w:r>
        <w:rPr>
          <w:color w:val="231F20"/>
          <w:w w:val="105"/>
        </w:rPr>
        <w:t>CONCENTRATION AND RAISES</w:t>
      </w:r>
      <w:r>
        <w:rPr>
          <w:color w:val="231F20"/>
          <w:spacing w:val="5"/>
          <w:w w:val="105"/>
        </w:rPr>
        <w:t> </w:t>
      </w:r>
      <w:r>
        <w:rPr>
          <w:color w:val="231F20"/>
          <w:w w:val="105"/>
        </w:rPr>
        <w:t>pH</w:t>
      </w:r>
    </w:p>
    <w:p>
      <w:pPr>
        <w:pStyle w:val="BodyText"/>
        <w:spacing w:line="249" w:lineRule="auto" w:before="130"/>
        <w:ind w:left="319" w:right="1437"/>
        <w:jc w:val="both"/>
      </w:pPr>
      <w:r>
        <w:rPr>
          <w:color w:val="231F20"/>
        </w:rPr>
        <w:t>If the metabolic formation of CO</w:t>
      </w:r>
      <w:r>
        <w:rPr>
          <w:color w:val="231F20"/>
          <w:vertAlign w:val="subscript"/>
        </w:rPr>
        <w:t>2</w:t>
      </w:r>
      <w:r>
        <w:rPr>
          <w:color w:val="231F20"/>
          <w:vertAlign w:val="baseline"/>
        </w:rPr>
        <w:t> remains constant, </w:t>
      </w:r>
      <w:r>
        <w:rPr>
          <w:color w:val="231F20"/>
          <w:spacing w:val="-7"/>
          <w:vertAlign w:val="baseline"/>
        </w:rPr>
        <w:t>the </w:t>
      </w:r>
      <w:r>
        <w:rPr>
          <w:color w:val="231F20"/>
          <w:vertAlign w:val="baseline"/>
        </w:rPr>
        <w:t>only other factor that affects P</w:t>
      </w:r>
      <w:r>
        <w:rPr>
          <w:color w:val="231F20"/>
          <w:sz w:val="16"/>
          <w:vertAlign w:val="baseline"/>
        </w:rPr>
        <w:t>CO</w:t>
      </w:r>
      <w:r>
        <w:rPr>
          <w:color w:val="231F20"/>
          <w:sz w:val="16"/>
          <w:vertAlign w:val="subscript"/>
        </w:rPr>
        <w:t>2</w:t>
      </w:r>
      <w:r>
        <w:rPr>
          <w:color w:val="231F20"/>
          <w:sz w:val="16"/>
          <w:vertAlign w:val="baseline"/>
        </w:rPr>
        <w:t> </w:t>
      </w:r>
      <w:r>
        <w:rPr>
          <w:color w:val="231F20"/>
          <w:vertAlign w:val="baseline"/>
        </w:rPr>
        <w:t>in extracellular fluid is the rate of alveolar ventilation. The higher the alveolar ventilation,</w:t>
      </w:r>
      <w:r>
        <w:rPr>
          <w:color w:val="231F20"/>
          <w:spacing w:val="-7"/>
          <w:vertAlign w:val="baseline"/>
        </w:rPr>
        <w:t> </w:t>
      </w:r>
      <w:r>
        <w:rPr>
          <w:color w:val="231F20"/>
          <w:vertAlign w:val="baseline"/>
        </w:rPr>
        <w:t>the</w:t>
      </w:r>
      <w:r>
        <w:rPr>
          <w:color w:val="231F20"/>
          <w:spacing w:val="-6"/>
          <w:vertAlign w:val="baseline"/>
        </w:rPr>
        <w:t> </w:t>
      </w:r>
      <w:r>
        <w:rPr>
          <w:color w:val="231F20"/>
          <w:vertAlign w:val="baseline"/>
        </w:rPr>
        <w:t>lower</w:t>
      </w:r>
      <w:r>
        <w:rPr>
          <w:color w:val="231F20"/>
          <w:spacing w:val="-7"/>
          <w:vertAlign w:val="baseline"/>
        </w:rPr>
        <w:t> </w:t>
      </w:r>
      <w:r>
        <w:rPr>
          <w:color w:val="231F20"/>
          <w:vertAlign w:val="baseline"/>
        </w:rPr>
        <w:t>is</w:t>
      </w:r>
      <w:r>
        <w:rPr>
          <w:color w:val="231F20"/>
          <w:spacing w:val="-6"/>
          <w:vertAlign w:val="baseline"/>
        </w:rPr>
        <w:t> </w:t>
      </w:r>
      <w:r>
        <w:rPr>
          <w:color w:val="231F20"/>
          <w:vertAlign w:val="baseline"/>
        </w:rPr>
        <w:t>the</w:t>
      </w:r>
      <w:r>
        <w:rPr>
          <w:color w:val="231F20"/>
          <w:spacing w:val="-6"/>
          <w:vertAlign w:val="baseline"/>
        </w:rPr>
        <w:t> </w:t>
      </w:r>
      <w:r>
        <w:rPr>
          <w:color w:val="231F20"/>
          <w:vertAlign w:val="baseline"/>
        </w:rPr>
        <w:t>P</w:t>
      </w:r>
      <w:r>
        <w:rPr>
          <w:color w:val="231F20"/>
          <w:sz w:val="16"/>
          <w:vertAlign w:val="baseline"/>
        </w:rPr>
        <w:t>CO</w:t>
      </w:r>
      <w:r>
        <w:rPr>
          <w:color w:val="231F20"/>
          <w:sz w:val="16"/>
          <w:vertAlign w:val="subscript"/>
        </w:rPr>
        <w:t>2</w:t>
      </w:r>
      <w:r>
        <w:rPr>
          <w:color w:val="231F20"/>
          <w:vertAlign w:val="baseline"/>
        </w:rPr>
        <w:t>.</w:t>
      </w:r>
      <w:r>
        <w:rPr>
          <w:color w:val="231F20"/>
          <w:spacing w:val="-7"/>
          <w:vertAlign w:val="baseline"/>
        </w:rPr>
        <w:t> </w:t>
      </w:r>
      <w:r>
        <w:rPr>
          <w:color w:val="231F20"/>
          <w:vertAlign w:val="baseline"/>
        </w:rPr>
        <w:t>As</w:t>
      </w:r>
      <w:r>
        <w:rPr>
          <w:color w:val="231F20"/>
          <w:spacing w:val="-6"/>
          <w:vertAlign w:val="baseline"/>
        </w:rPr>
        <w:t> </w:t>
      </w:r>
      <w:r>
        <w:rPr>
          <w:color w:val="231F20"/>
          <w:vertAlign w:val="baseline"/>
        </w:rPr>
        <w:t>discussed</w:t>
      </w:r>
      <w:r>
        <w:rPr>
          <w:color w:val="231F20"/>
          <w:spacing w:val="-6"/>
          <w:vertAlign w:val="baseline"/>
        </w:rPr>
        <w:t> </w:t>
      </w:r>
      <w:r>
        <w:rPr>
          <w:color w:val="231F20"/>
          <w:vertAlign w:val="baseline"/>
        </w:rPr>
        <w:t>previously, when CO</w:t>
      </w:r>
      <w:r>
        <w:rPr>
          <w:color w:val="231F20"/>
          <w:vertAlign w:val="subscript"/>
        </w:rPr>
        <w:t>2</w:t>
      </w:r>
      <w:r>
        <w:rPr>
          <w:color w:val="231F20"/>
          <w:vertAlign w:val="baseline"/>
        </w:rPr>
        <w:t> concentration increases, the H</w:t>
      </w:r>
      <w:r>
        <w:rPr>
          <w:color w:val="231F20"/>
          <w:vertAlign w:val="subscript"/>
        </w:rPr>
        <w:t>2</w:t>
      </w:r>
      <w:r>
        <w:rPr>
          <w:color w:val="231F20"/>
          <w:vertAlign w:val="baseline"/>
        </w:rPr>
        <w:t>CO</w:t>
      </w:r>
      <w:r>
        <w:rPr>
          <w:color w:val="231F20"/>
          <w:vertAlign w:val="subscript"/>
        </w:rPr>
        <w:t>3</w:t>
      </w:r>
      <w:r>
        <w:rPr>
          <w:color w:val="231F20"/>
          <w:vertAlign w:val="baseline"/>
        </w:rPr>
        <w:t> </w:t>
      </w:r>
      <w:r>
        <w:rPr>
          <w:color w:val="231F20"/>
          <w:spacing w:val="-7"/>
          <w:vertAlign w:val="baseline"/>
        </w:rPr>
        <w:t>concen- </w:t>
      </w:r>
      <w:r>
        <w:rPr>
          <w:color w:val="231F20"/>
          <w:vertAlign w:val="baseline"/>
        </w:rPr>
        <w:t>tration and H</w:t>
      </w:r>
      <w:r>
        <w:rPr>
          <w:rFonts w:ascii="Consolas"/>
          <w:color w:val="231F20"/>
          <w:position w:val="8"/>
          <w:sz w:val="12"/>
          <w:vertAlign w:val="baseline"/>
        </w:rPr>
        <w:t>+ </w:t>
      </w:r>
      <w:r>
        <w:rPr>
          <w:color w:val="231F20"/>
          <w:vertAlign w:val="baseline"/>
        </w:rPr>
        <w:t>concentration also increase, thereby lower- ing extracellular fluid</w:t>
      </w:r>
      <w:r>
        <w:rPr>
          <w:color w:val="231F20"/>
          <w:spacing w:val="18"/>
          <w:vertAlign w:val="baseline"/>
        </w:rPr>
        <w:t> </w:t>
      </w:r>
      <w:r>
        <w:rPr>
          <w:color w:val="231F20"/>
          <w:vertAlign w:val="baseline"/>
        </w:rPr>
        <w:t>pH.</w:t>
      </w:r>
    </w:p>
    <w:p>
      <w:pPr>
        <w:pStyle w:val="BodyText"/>
        <w:spacing w:line="249" w:lineRule="auto" w:before="2"/>
        <w:ind w:left="319" w:right="1437" w:firstLine="240"/>
        <w:jc w:val="both"/>
      </w:pPr>
      <w:hyperlink w:history="true" w:anchor="_bookmark103">
        <w:r>
          <w:rPr>
            <w:b/>
            <w:color w:val="0080AC"/>
            <w:w w:val="105"/>
          </w:rPr>
          <w:t>Figure</w:t>
        </w:r>
        <w:r>
          <w:rPr>
            <w:b/>
            <w:color w:val="0080AC"/>
            <w:spacing w:val="-11"/>
            <w:w w:val="105"/>
          </w:rPr>
          <w:t> </w:t>
        </w:r>
        <w:r>
          <w:rPr>
            <w:b/>
            <w:color w:val="0080AC"/>
            <w:w w:val="105"/>
          </w:rPr>
          <w:t>31-2</w:t>
        </w:r>
        <w:r>
          <w:rPr>
            <w:b/>
            <w:color w:val="0080AC"/>
            <w:spacing w:val="-8"/>
            <w:w w:val="105"/>
          </w:rPr>
          <w:t> </w:t>
        </w:r>
      </w:hyperlink>
      <w:r>
        <w:rPr>
          <w:color w:val="231F20"/>
          <w:w w:val="105"/>
        </w:rPr>
        <w:t>shows</w:t>
      </w:r>
      <w:r>
        <w:rPr>
          <w:color w:val="231F20"/>
          <w:spacing w:val="-9"/>
          <w:w w:val="105"/>
        </w:rPr>
        <w:t> </w:t>
      </w:r>
      <w:r>
        <w:rPr>
          <w:color w:val="231F20"/>
          <w:w w:val="105"/>
        </w:rPr>
        <w:t>the</w:t>
      </w:r>
      <w:r>
        <w:rPr>
          <w:color w:val="231F20"/>
          <w:spacing w:val="-8"/>
          <w:w w:val="105"/>
        </w:rPr>
        <w:t> </w:t>
      </w:r>
      <w:r>
        <w:rPr>
          <w:color w:val="231F20"/>
          <w:w w:val="105"/>
        </w:rPr>
        <w:t>approximate</w:t>
      </w:r>
      <w:r>
        <w:rPr>
          <w:color w:val="231F20"/>
          <w:spacing w:val="-9"/>
          <w:w w:val="105"/>
        </w:rPr>
        <w:t> </w:t>
      </w:r>
      <w:r>
        <w:rPr>
          <w:color w:val="231F20"/>
          <w:w w:val="105"/>
        </w:rPr>
        <w:t>changes</w:t>
      </w:r>
      <w:r>
        <w:rPr>
          <w:color w:val="231F20"/>
          <w:spacing w:val="-8"/>
          <w:w w:val="105"/>
        </w:rPr>
        <w:t> </w:t>
      </w:r>
      <w:r>
        <w:rPr>
          <w:color w:val="231F20"/>
          <w:w w:val="105"/>
        </w:rPr>
        <w:t>in</w:t>
      </w:r>
      <w:r>
        <w:rPr>
          <w:color w:val="231F20"/>
          <w:spacing w:val="-9"/>
          <w:w w:val="105"/>
        </w:rPr>
        <w:t> </w:t>
      </w:r>
      <w:r>
        <w:rPr>
          <w:color w:val="231F20"/>
          <w:w w:val="105"/>
        </w:rPr>
        <w:t>blood pH that are caused by increasing or decreasing the rate of</w:t>
      </w:r>
      <w:r>
        <w:rPr>
          <w:color w:val="231F20"/>
          <w:spacing w:val="-18"/>
          <w:w w:val="105"/>
        </w:rPr>
        <w:t> </w:t>
      </w:r>
      <w:r>
        <w:rPr>
          <w:color w:val="231F20"/>
          <w:w w:val="105"/>
        </w:rPr>
        <w:t>alveolar</w:t>
      </w:r>
      <w:r>
        <w:rPr>
          <w:color w:val="231F20"/>
          <w:spacing w:val="-17"/>
          <w:w w:val="105"/>
        </w:rPr>
        <w:t> </w:t>
      </w:r>
      <w:r>
        <w:rPr>
          <w:color w:val="231F20"/>
          <w:w w:val="105"/>
        </w:rPr>
        <w:t>ventilation.</w:t>
      </w:r>
      <w:r>
        <w:rPr>
          <w:color w:val="231F20"/>
          <w:spacing w:val="-18"/>
          <w:w w:val="105"/>
        </w:rPr>
        <w:t> </w:t>
      </w:r>
      <w:r>
        <w:rPr>
          <w:color w:val="231F20"/>
          <w:w w:val="105"/>
        </w:rPr>
        <w:t>Note</w:t>
      </w:r>
      <w:r>
        <w:rPr>
          <w:color w:val="231F20"/>
          <w:spacing w:val="-17"/>
          <w:w w:val="105"/>
        </w:rPr>
        <w:t> </w:t>
      </w:r>
      <w:r>
        <w:rPr>
          <w:color w:val="231F20"/>
          <w:w w:val="105"/>
        </w:rPr>
        <w:t>that</w:t>
      </w:r>
      <w:r>
        <w:rPr>
          <w:color w:val="231F20"/>
          <w:spacing w:val="-18"/>
          <w:w w:val="105"/>
        </w:rPr>
        <w:t> </w:t>
      </w:r>
      <w:r>
        <w:rPr>
          <w:color w:val="231F20"/>
          <w:w w:val="105"/>
        </w:rPr>
        <w:t>increasing</w:t>
      </w:r>
      <w:r>
        <w:rPr>
          <w:color w:val="231F20"/>
          <w:spacing w:val="-17"/>
          <w:w w:val="105"/>
        </w:rPr>
        <w:t> </w:t>
      </w:r>
      <w:r>
        <w:rPr>
          <w:color w:val="231F20"/>
          <w:w w:val="105"/>
        </w:rPr>
        <w:t>alveolar</w:t>
      </w:r>
      <w:r>
        <w:rPr>
          <w:color w:val="231F20"/>
          <w:spacing w:val="-18"/>
          <w:w w:val="105"/>
        </w:rPr>
        <w:t> </w:t>
      </w:r>
      <w:r>
        <w:rPr>
          <w:color w:val="231F20"/>
          <w:spacing w:val="-3"/>
          <w:w w:val="105"/>
        </w:rPr>
        <w:t>ven- </w:t>
      </w:r>
      <w:r>
        <w:rPr>
          <w:color w:val="231F20"/>
          <w:w w:val="105"/>
        </w:rPr>
        <w:t>tilation</w:t>
      </w:r>
      <w:r>
        <w:rPr>
          <w:color w:val="231F20"/>
          <w:spacing w:val="-5"/>
          <w:w w:val="105"/>
        </w:rPr>
        <w:t> </w:t>
      </w:r>
      <w:r>
        <w:rPr>
          <w:color w:val="231F20"/>
          <w:w w:val="105"/>
        </w:rPr>
        <w:t>to</w:t>
      </w:r>
      <w:r>
        <w:rPr>
          <w:color w:val="231F20"/>
          <w:spacing w:val="-4"/>
          <w:w w:val="105"/>
        </w:rPr>
        <w:t> </w:t>
      </w:r>
      <w:r>
        <w:rPr>
          <w:color w:val="231F20"/>
          <w:w w:val="105"/>
        </w:rPr>
        <w:t>about</w:t>
      </w:r>
      <w:r>
        <w:rPr>
          <w:color w:val="231F20"/>
          <w:spacing w:val="-5"/>
          <w:w w:val="105"/>
        </w:rPr>
        <w:t> </w:t>
      </w:r>
      <w:r>
        <w:rPr>
          <w:color w:val="231F20"/>
          <w:w w:val="105"/>
        </w:rPr>
        <w:t>twice</w:t>
      </w:r>
      <w:r>
        <w:rPr>
          <w:color w:val="231F20"/>
          <w:spacing w:val="-3"/>
          <w:w w:val="105"/>
        </w:rPr>
        <w:t> </w:t>
      </w:r>
      <w:r>
        <w:rPr>
          <w:color w:val="231F20"/>
          <w:w w:val="105"/>
        </w:rPr>
        <w:t>normal</w:t>
      </w:r>
      <w:r>
        <w:rPr>
          <w:color w:val="231F20"/>
          <w:spacing w:val="-5"/>
          <w:w w:val="105"/>
        </w:rPr>
        <w:t> </w:t>
      </w:r>
      <w:r>
        <w:rPr>
          <w:color w:val="231F20"/>
          <w:w w:val="105"/>
        </w:rPr>
        <w:t>raises</w:t>
      </w:r>
      <w:r>
        <w:rPr>
          <w:color w:val="231F20"/>
          <w:spacing w:val="-3"/>
          <w:w w:val="105"/>
        </w:rPr>
        <w:t> </w:t>
      </w:r>
      <w:r>
        <w:rPr>
          <w:color w:val="231F20"/>
          <w:w w:val="105"/>
        </w:rPr>
        <w:t>the</w:t>
      </w:r>
      <w:r>
        <w:rPr>
          <w:color w:val="231F20"/>
          <w:spacing w:val="-5"/>
          <w:w w:val="105"/>
        </w:rPr>
        <w:t> </w:t>
      </w:r>
      <w:r>
        <w:rPr>
          <w:color w:val="231F20"/>
          <w:w w:val="105"/>
        </w:rPr>
        <w:t>pH</w:t>
      </w:r>
      <w:r>
        <w:rPr>
          <w:color w:val="231F20"/>
          <w:spacing w:val="-4"/>
          <w:w w:val="105"/>
        </w:rPr>
        <w:t> </w:t>
      </w:r>
      <w:r>
        <w:rPr>
          <w:color w:val="231F20"/>
          <w:w w:val="105"/>
        </w:rPr>
        <w:t>of</w:t>
      </w:r>
      <w:r>
        <w:rPr>
          <w:color w:val="231F20"/>
          <w:spacing w:val="-5"/>
          <w:w w:val="105"/>
        </w:rPr>
        <w:t> </w:t>
      </w:r>
      <w:r>
        <w:rPr>
          <w:color w:val="231F20"/>
          <w:w w:val="105"/>
        </w:rPr>
        <w:t>the</w:t>
      </w:r>
      <w:r>
        <w:rPr>
          <w:color w:val="231F20"/>
          <w:spacing w:val="-4"/>
          <w:w w:val="105"/>
        </w:rPr>
        <w:t> </w:t>
      </w:r>
      <w:r>
        <w:rPr>
          <w:color w:val="231F20"/>
          <w:w w:val="105"/>
        </w:rPr>
        <w:t>extra- cellular</w:t>
      </w:r>
      <w:r>
        <w:rPr>
          <w:color w:val="231F20"/>
          <w:spacing w:val="-17"/>
          <w:w w:val="105"/>
        </w:rPr>
        <w:t> </w:t>
      </w:r>
      <w:r>
        <w:rPr>
          <w:color w:val="231F20"/>
          <w:w w:val="105"/>
        </w:rPr>
        <w:t>fluid</w:t>
      </w:r>
      <w:r>
        <w:rPr>
          <w:color w:val="231F20"/>
          <w:spacing w:val="-16"/>
          <w:w w:val="105"/>
        </w:rPr>
        <w:t> </w:t>
      </w:r>
      <w:r>
        <w:rPr>
          <w:color w:val="231F20"/>
          <w:w w:val="105"/>
        </w:rPr>
        <w:t>by</w:t>
      </w:r>
      <w:r>
        <w:rPr>
          <w:color w:val="231F20"/>
          <w:spacing w:val="-16"/>
          <w:w w:val="105"/>
        </w:rPr>
        <w:t> </w:t>
      </w:r>
      <w:r>
        <w:rPr>
          <w:color w:val="231F20"/>
          <w:w w:val="105"/>
        </w:rPr>
        <w:t>about</w:t>
      </w:r>
      <w:r>
        <w:rPr>
          <w:color w:val="231F20"/>
          <w:spacing w:val="-16"/>
          <w:w w:val="105"/>
        </w:rPr>
        <w:t> </w:t>
      </w:r>
      <w:r>
        <w:rPr>
          <w:color w:val="231F20"/>
          <w:w w:val="105"/>
        </w:rPr>
        <w:t>0.23.</w:t>
      </w:r>
      <w:r>
        <w:rPr>
          <w:color w:val="231F20"/>
          <w:spacing w:val="-17"/>
          <w:w w:val="105"/>
        </w:rPr>
        <w:t> </w:t>
      </w:r>
      <w:r>
        <w:rPr>
          <w:color w:val="231F20"/>
          <w:w w:val="105"/>
        </w:rPr>
        <w:t>If</w:t>
      </w:r>
      <w:r>
        <w:rPr>
          <w:color w:val="231F20"/>
          <w:spacing w:val="-16"/>
          <w:w w:val="105"/>
        </w:rPr>
        <w:t> </w:t>
      </w:r>
      <w:r>
        <w:rPr>
          <w:color w:val="231F20"/>
          <w:w w:val="105"/>
        </w:rPr>
        <w:t>the</w:t>
      </w:r>
      <w:r>
        <w:rPr>
          <w:color w:val="231F20"/>
          <w:spacing w:val="-16"/>
          <w:w w:val="105"/>
        </w:rPr>
        <w:t> </w:t>
      </w:r>
      <w:r>
        <w:rPr>
          <w:color w:val="231F20"/>
          <w:w w:val="105"/>
        </w:rPr>
        <w:t>pH</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7"/>
          <w:w w:val="105"/>
        </w:rPr>
        <w:t> </w:t>
      </w:r>
      <w:r>
        <w:rPr>
          <w:color w:val="231F20"/>
          <w:w w:val="105"/>
        </w:rPr>
        <w:t>body</w:t>
      </w:r>
      <w:r>
        <w:rPr>
          <w:color w:val="231F20"/>
          <w:spacing w:val="-16"/>
          <w:w w:val="105"/>
        </w:rPr>
        <w:t> </w:t>
      </w:r>
      <w:r>
        <w:rPr>
          <w:color w:val="231F20"/>
          <w:w w:val="105"/>
        </w:rPr>
        <w:t>fluids</w:t>
      </w:r>
      <w:r>
        <w:rPr>
          <w:color w:val="231F20"/>
          <w:spacing w:val="-16"/>
          <w:w w:val="105"/>
        </w:rPr>
        <w:t> </w:t>
      </w:r>
      <w:r>
        <w:rPr>
          <w:color w:val="231F20"/>
          <w:spacing w:val="-6"/>
          <w:w w:val="105"/>
        </w:rPr>
        <w:t>is</w:t>
      </w:r>
    </w:p>
    <w:p>
      <w:pPr>
        <w:pStyle w:val="BodyText"/>
        <w:spacing w:line="249" w:lineRule="auto" w:before="4"/>
        <w:ind w:left="319" w:right="1437"/>
        <w:jc w:val="both"/>
      </w:pPr>
      <w:r>
        <w:rPr>
          <w:color w:val="231F20"/>
        </w:rPr>
        <w:t>7.40 with normal alveolar ventilation, doubling the </w:t>
      </w:r>
      <w:r>
        <w:rPr>
          <w:color w:val="231F20"/>
          <w:spacing w:val="-3"/>
        </w:rPr>
        <w:t>venti- </w:t>
      </w:r>
      <w:r>
        <w:rPr>
          <w:color w:val="231F20"/>
        </w:rPr>
        <w:t>lation rate raises the pH to about 7.63. Conversely, </w:t>
      </w:r>
      <w:r>
        <w:rPr>
          <w:color w:val="231F20"/>
          <w:spacing w:val="-11"/>
        </w:rPr>
        <w:t>a </w:t>
      </w:r>
      <w:r>
        <w:rPr>
          <w:color w:val="231F20"/>
        </w:rPr>
        <w:t>decrease in alveolar ventilation to one fourth normal reduces</w:t>
      </w:r>
      <w:r>
        <w:rPr>
          <w:color w:val="231F20"/>
          <w:spacing w:val="-6"/>
        </w:rPr>
        <w:t> </w:t>
      </w:r>
      <w:r>
        <w:rPr>
          <w:color w:val="231F20"/>
        </w:rPr>
        <w:t>the</w:t>
      </w:r>
      <w:r>
        <w:rPr>
          <w:color w:val="231F20"/>
          <w:spacing w:val="-5"/>
        </w:rPr>
        <w:t> </w:t>
      </w:r>
      <w:r>
        <w:rPr>
          <w:color w:val="231F20"/>
        </w:rPr>
        <w:t>pH</w:t>
      </w:r>
      <w:r>
        <w:rPr>
          <w:color w:val="231F20"/>
          <w:spacing w:val="-5"/>
        </w:rPr>
        <w:t> </w:t>
      </w:r>
      <w:r>
        <w:rPr>
          <w:color w:val="231F20"/>
        </w:rPr>
        <w:t>by</w:t>
      </w:r>
      <w:r>
        <w:rPr>
          <w:color w:val="231F20"/>
          <w:spacing w:val="-5"/>
        </w:rPr>
        <w:t> </w:t>
      </w:r>
      <w:r>
        <w:rPr>
          <w:color w:val="231F20"/>
        </w:rPr>
        <w:t>0.45.</w:t>
      </w:r>
      <w:r>
        <w:rPr>
          <w:color w:val="231F20"/>
          <w:spacing w:val="-6"/>
        </w:rPr>
        <w:t> </w:t>
      </w:r>
      <w:r>
        <w:rPr>
          <w:color w:val="231F20"/>
        </w:rPr>
        <w:t>That</w:t>
      </w:r>
      <w:r>
        <w:rPr>
          <w:color w:val="231F20"/>
          <w:spacing w:val="-5"/>
        </w:rPr>
        <w:t> </w:t>
      </w:r>
      <w:r>
        <w:rPr>
          <w:color w:val="231F20"/>
        </w:rPr>
        <w:t>is,</w:t>
      </w:r>
      <w:r>
        <w:rPr>
          <w:color w:val="231F20"/>
          <w:spacing w:val="-5"/>
        </w:rPr>
        <w:t> </w:t>
      </w:r>
      <w:r>
        <w:rPr>
          <w:color w:val="231F20"/>
        </w:rPr>
        <w:t>if</w:t>
      </w:r>
      <w:r>
        <w:rPr>
          <w:color w:val="231F20"/>
          <w:spacing w:val="-5"/>
        </w:rPr>
        <w:t> </w:t>
      </w:r>
      <w:r>
        <w:rPr>
          <w:color w:val="231F20"/>
        </w:rPr>
        <w:t>the</w:t>
      </w:r>
      <w:r>
        <w:rPr>
          <w:color w:val="231F20"/>
          <w:spacing w:val="-5"/>
        </w:rPr>
        <w:t> </w:t>
      </w:r>
      <w:r>
        <w:rPr>
          <w:color w:val="231F20"/>
        </w:rPr>
        <w:t>pH</w:t>
      </w:r>
      <w:r>
        <w:rPr>
          <w:color w:val="231F20"/>
          <w:spacing w:val="-6"/>
        </w:rPr>
        <w:t> </w:t>
      </w:r>
      <w:r>
        <w:rPr>
          <w:color w:val="231F20"/>
        </w:rPr>
        <w:t>is</w:t>
      </w:r>
      <w:r>
        <w:rPr>
          <w:color w:val="231F20"/>
          <w:spacing w:val="-5"/>
        </w:rPr>
        <w:t> </w:t>
      </w:r>
      <w:r>
        <w:rPr>
          <w:color w:val="231F20"/>
        </w:rPr>
        <w:t>7.4</w:t>
      </w:r>
      <w:r>
        <w:rPr>
          <w:color w:val="231F20"/>
          <w:spacing w:val="-5"/>
        </w:rPr>
        <w:t> </w:t>
      </w:r>
      <w:r>
        <w:rPr>
          <w:color w:val="231F20"/>
        </w:rPr>
        <w:t>at</w:t>
      </w:r>
      <w:r>
        <w:rPr>
          <w:color w:val="231F20"/>
          <w:spacing w:val="-5"/>
        </w:rPr>
        <w:t> </w:t>
      </w:r>
      <w:r>
        <w:rPr>
          <w:color w:val="231F20"/>
        </w:rPr>
        <w:t>a</w:t>
      </w:r>
      <w:r>
        <w:rPr>
          <w:color w:val="231F20"/>
          <w:spacing w:val="-6"/>
        </w:rPr>
        <w:t> </w:t>
      </w:r>
      <w:r>
        <w:rPr>
          <w:color w:val="231F20"/>
        </w:rPr>
        <w:t>normal alveolar ventilation, reducing the ventilation to one </w:t>
      </w:r>
      <w:r>
        <w:rPr>
          <w:color w:val="231F20"/>
          <w:spacing w:val="-3"/>
        </w:rPr>
        <w:t>fourth </w:t>
      </w:r>
      <w:r>
        <w:rPr>
          <w:color w:val="231F20"/>
        </w:rPr>
        <w:t>normal reduces the pH to 6.95. Because the alveolar ven- tilation rate can change markedly, from as low as 0 to as high as 15 times normal, one can easily understand </w:t>
      </w:r>
      <w:r>
        <w:rPr>
          <w:color w:val="231F20"/>
          <w:spacing w:val="-5"/>
        </w:rPr>
        <w:t>how </w:t>
      </w:r>
      <w:r>
        <w:rPr>
          <w:color w:val="231F20"/>
        </w:rPr>
        <w:t>much the pH of the body fluids can be changed by the respiratory</w:t>
      </w:r>
      <w:r>
        <w:rPr>
          <w:color w:val="231F20"/>
          <w:spacing w:val="6"/>
        </w:rPr>
        <w:t> </w:t>
      </w:r>
      <w:r>
        <w:rPr>
          <w:color w:val="231F20"/>
        </w:rPr>
        <w:t>system.</w:t>
      </w:r>
    </w:p>
    <w:p>
      <w:pPr>
        <w:pStyle w:val="BodyText"/>
        <w:spacing w:before="1"/>
        <w:rPr>
          <w:sz w:val="31"/>
        </w:rPr>
      </w:pPr>
    </w:p>
    <w:p>
      <w:pPr>
        <w:pStyle w:val="Heading2"/>
        <w:spacing w:line="225" w:lineRule="auto"/>
        <w:ind w:right="2063"/>
      </w:pPr>
      <w:r>
        <w:rPr>
          <w:color w:val="231F20"/>
          <w:w w:val="105"/>
        </w:rPr>
        <w:t>INCREASED H</w:t>
      </w:r>
      <w:r>
        <w:rPr>
          <w:rFonts w:ascii="Consolas"/>
          <w:color w:val="231F20"/>
          <w:w w:val="105"/>
          <w:position w:val="9"/>
          <w:sz w:val="13"/>
        </w:rPr>
        <w:t>+ </w:t>
      </w:r>
      <w:r>
        <w:rPr>
          <w:color w:val="231F20"/>
          <w:w w:val="105"/>
        </w:rPr>
        <w:t>CONCENTRATION STIMULATES </w:t>
      </w:r>
      <w:r>
        <w:rPr>
          <w:color w:val="231F20"/>
          <w:spacing w:val="-3"/>
          <w:w w:val="105"/>
        </w:rPr>
        <w:t>ALVEOLAR </w:t>
      </w:r>
      <w:r>
        <w:rPr>
          <w:color w:val="231F20"/>
          <w:spacing w:val="-4"/>
          <w:w w:val="105"/>
        </w:rPr>
        <w:t>VENTILATION</w:t>
      </w:r>
    </w:p>
    <w:p>
      <w:pPr>
        <w:pStyle w:val="BodyText"/>
        <w:spacing w:line="249" w:lineRule="auto" w:before="124"/>
        <w:ind w:left="319" w:right="1437"/>
        <w:jc w:val="both"/>
      </w:pPr>
      <w:r>
        <w:rPr>
          <w:color w:val="231F20"/>
          <w:w w:val="105"/>
        </w:rPr>
        <w:t>Not only does the alveolar ventilation rate influence H</w:t>
      </w:r>
      <w:r>
        <w:rPr>
          <w:rFonts w:ascii="Consolas"/>
          <w:color w:val="231F20"/>
          <w:w w:val="105"/>
          <w:position w:val="8"/>
          <w:sz w:val="12"/>
        </w:rPr>
        <w:t>+ </w:t>
      </w:r>
      <w:r>
        <w:rPr>
          <w:color w:val="231F20"/>
          <w:w w:val="105"/>
        </w:rPr>
        <w:t>concentration by changing the P</w:t>
      </w:r>
      <w:r>
        <w:rPr>
          <w:color w:val="231F20"/>
          <w:w w:val="105"/>
          <w:sz w:val="16"/>
        </w:rPr>
        <w:t>CO</w:t>
      </w:r>
      <w:r>
        <w:rPr>
          <w:color w:val="231F20"/>
          <w:w w:val="105"/>
          <w:sz w:val="16"/>
          <w:vertAlign w:val="subscript"/>
        </w:rPr>
        <w:t>2</w:t>
      </w:r>
      <w:r>
        <w:rPr>
          <w:color w:val="231F20"/>
          <w:w w:val="105"/>
          <w:sz w:val="16"/>
          <w:vertAlign w:val="baseline"/>
        </w:rPr>
        <w:t> </w:t>
      </w:r>
      <w:r>
        <w:rPr>
          <w:color w:val="231F20"/>
          <w:w w:val="105"/>
          <w:vertAlign w:val="baseline"/>
        </w:rPr>
        <w:t>of the body fluids, but</w:t>
      </w:r>
      <w:r>
        <w:rPr>
          <w:color w:val="231F20"/>
          <w:spacing w:val="-6"/>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H</w:t>
      </w:r>
      <w:r>
        <w:rPr>
          <w:rFonts w:ascii="Consolas"/>
          <w:color w:val="231F20"/>
          <w:w w:val="105"/>
          <w:position w:val="8"/>
          <w:sz w:val="12"/>
          <w:vertAlign w:val="baseline"/>
        </w:rPr>
        <w:t>+</w:t>
      </w:r>
      <w:r>
        <w:rPr>
          <w:rFonts w:ascii="Consolas"/>
          <w:color w:val="231F20"/>
          <w:spacing w:val="-22"/>
          <w:w w:val="105"/>
          <w:position w:val="8"/>
          <w:sz w:val="12"/>
          <w:vertAlign w:val="baseline"/>
        </w:rPr>
        <w:t> </w:t>
      </w:r>
      <w:r>
        <w:rPr>
          <w:color w:val="231F20"/>
          <w:w w:val="105"/>
          <w:vertAlign w:val="baseline"/>
        </w:rPr>
        <w:t>concentration</w:t>
      </w:r>
      <w:r>
        <w:rPr>
          <w:color w:val="231F20"/>
          <w:spacing w:val="-5"/>
          <w:w w:val="105"/>
          <w:vertAlign w:val="baseline"/>
        </w:rPr>
        <w:t> </w:t>
      </w:r>
      <w:r>
        <w:rPr>
          <w:color w:val="231F20"/>
          <w:w w:val="105"/>
          <w:vertAlign w:val="baseline"/>
        </w:rPr>
        <w:t>affects</w:t>
      </w:r>
      <w:r>
        <w:rPr>
          <w:color w:val="231F20"/>
          <w:spacing w:val="-5"/>
          <w:w w:val="105"/>
          <w:vertAlign w:val="baseline"/>
        </w:rPr>
        <w:t> </w:t>
      </w:r>
      <w:r>
        <w:rPr>
          <w:color w:val="231F20"/>
          <w:w w:val="105"/>
          <w:vertAlign w:val="baseline"/>
        </w:rPr>
        <w:t>the</w:t>
      </w:r>
      <w:r>
        <w:rPr>
          <w:color w:val="231F20"/>
          <w:spacing w:val="-6"/>
          <w:w w:val="105"/>
          <w:vertAlign w:val="baseline"/>
        </w:rPr>
        <w:t> </w:t>
      </w:r>
      <w:r>
        <w:rPr>
          <w:color w:val="231F20"/>
          <w:w w:val="105"/>
          <w:vertAlign w:val="baseline"/>
        </w:rPr>
        <w:t>rate</w:t>
      </w:r>
      <w:r>
        <w:rPr>
          <w:color w:val="231F20"/>
          <w:spacing w:val="-5"/>
          <w:w w:val="105"/>
          <w:vertAlign w:val="baseline"/>
        </w:rPr>
        <w:t> </w:t>
      </w:r>
      <w:r>
        <w:rPr>
          <w:color w:val="231F20"/>
          <w:w w:val="105"/>
          <w:vertAlign w:val="baseline"/>
        </w:rPr>
        <w:t>of</w:t>
      </w:r>
      <w:r>
        <w:rPr>
          <w:color w:val="231F20"/>
          <w:spacing w:val="-5"/>
          <w:w w:val="105"/>
          <w:vertAlign w:val="baseline"/>
        </w:rPr>
        <w:t> </w:t>
      </w:r>
      <w:r>
        <w:rPr>
          <w:color w:val="231F20"/>
          <w:w w:val="105"/>
          <w:vertAlign w:val="baseline"/>
        </w:rPr>
        <w:t>alveolar</w:t>
      </w:r>
      <w:r>
        <w:rPr>
          <w:color w:val="231F20"/>
          <w:spacing w:val="-5"/>
          <w:w w:val="105"/>
          <w:vertAlign w:val="baseline"/>
        </w:rPr>
        <w:t> </w:t>
      </w:r>
      <w:r>
        <w:rPr>
          <w:color w:val="231F20"/>
          <w:w w:val="105"/>
          <w:vertAlign w:val="baseline"/>
        </w:rPr>
        <w:t>ven- tilation.</w:t>
      </w:r>
      <w:r>
        <w:rPr>
          <w:color w:val="231F20"/>
          <w:spacing w:val="-12"/>
          <w:w w:val="105"/>
          <w:vertAlign w:val="baseline"/>
        </w:rPr>
        <w:t> </w:t>
      </w:r>
      <w:r>
        <w:rPr>
          <w:color w:val="231F20"/>
          <w:w w:val="105"/>
          <w:vertAlign w:val="baseline"/>
        </w:rPr>
        <w:t>Thus,</w:t>
      </w:r>
      <w:r>
        <w:rPr>
          <w:color w:val="231F20"/>
          <w:spacing w:val="-12"/>
          <w:w w:val="105"/>
          <w:vertAlign w:val="baseline"/>
        </w:rPr>
        <w:t> </w:t>
      </w:r>
      <w:hyperlink w:history="true" w:anchor="_bookmark104">
        <w:r>
          <w:rPr>
            <w:b/>
            <w:color w:val="0080AC"/>
            <w:w w:val="105"/>
            <w:vertAlign w:val="baseline"/>
          </w:rPr>
          <w:t>Figure</w:t>
        </w:r>
        <w:r>
          <w:rPr>
            <w:b/>
            <w:color w:val="0080AC"/>
            <w:spacing w:val="-14"/>
            <w:w w:val="105"/>
            <w:vertAlign w:val="baseline"/>
          </w:rPr>
          <w:t> </w:t>
        </w:r>
        <w:r>
          <w:rPr>
            <w:b/>
            <w:color w:val="0080AC"/>
            <w:w w:val="105"/>
            <w:vertAlign w:val="baseline"/>
          </w:rPr>
          <w:t>31-3</w:t>
        </w:r>
        <w:r>
          <w:rPr>
            <w:b/>
            <w:color w:val="0080AC"/>
            <w:spacing w:val="-12"/>
            <w:w w:val="105"/>
            <w:vertAlign w:val="baseline"/>
          </w:rPr>
          <w:t> </w:t>
        </w:r>
      </w:hyperlink>
      <w:r>
        <w:rPr>
          <w:color w:val="231F20"/>
          <w:w w:val="105"/>
          <w:vertAlign w:val="baseline"/>
        </w:rPr>
        <w:t>shows</w:t>
      </w:r>
      <w:r>
        <w:rPr>
          <w:color w:val="231F20"/>
          <w:spacing w:val="-11"/>
          <w:w w:val="105"/>
          <w:vertAlign w:val="baseline"/>
        </w:rPr>
        <w:t> </w:t>
      </w:r>
      <w:r>
        <w:rPr>
          <w:color w:val="231F20"/>
          <w:w w:val="105"/>
          <w:vertAlign w:val="baseline"/>
        </w:rPr>
        <w:t>that</w:t>
      </w:r>
      <w:r>
        <w:rPr>
          <w:color w:val="231F20"/>
          <w:spacing w:val="-12"/>
          <w:w w:val="105"/>
          <w:vertAlign w:val="baseline"/>
        </w:rPr>
        <w:t> </w:t>
      </w:r>
      <w:r>
        <w:rPr>
          <w:color w:val="231F20"/>
          <w:w w:val="105"/>
          <w:vertAlign w:val="baseline"/>
        </w:rPr>
        <w:t>the</w:t>
      </w:r>
      <w:r>
        <w:rPr>
          <w:color w:val="231F20"/>
          <w:spacing w:val="-12"/>
          <w:w w:val="105"/>
          <w:vertAlign w:val="baseline"/>
        </w:rPr>
        <w:t> </w:t>
      </w:r>
      <w:r>
        <w:rPr>
          <w:color w:val="231F20"/>
          <w:w w:val="105"/>
          <w:vertAlign w:val="baseline"/>
        </w:rPr>
        <w:t>alveolar</w:t>
      </w:r>
      <w:r>
        <w:rPr>
          <w:color w:val="231F20"/>
          <w:spacing w:val="-12"/>
          <w:w w:val="105"/>
          <w:vertAlign w:val="baseline"/>
        </w:rPr>
        <w:t> </w:t>
      </w:r>
      <w:r>
        <w:rPr>
          <w:color w:val="231F20"/>
          <w:spacing w:val="-3"/>
          <w:w w:val="105"/>
          <w:vertAlign w:val="baseline"/>
        </w:rPr>
        <w:t>venti- </w:t>
      </w:r>
      <w:r>
        <w:rPr>
          <w:color w:val="231F20"/>
          <w:w w:val="105"/>
          <w:vertAlign w:val="baseline"/>
        </w:rPr>
        <w:t>lation rate increases four to five times normal as the pH decreases</w:t>
      </w:r>
      <w:r>
        <w:rPr>
          <w:color w:val="231F20"/>
          <w:spacing w:val="14"/>
          <w:w w:val="105"/>
          <w:vertAlign w:val="baseline"/>
        </w:rPr>
        <w:t> </w:t>
      </w:r>
      <w:r>
        <w:rPr>
          <w:color w:val="231F20"/>
          <w:w w:val="105"/>
          <w:vertAlign w:val="baseline"/>
        </w:rPr>
        <w:t>from</w:t>
      </w:r>
      <w:r>
        <w:rPr>
          <w:color w:val="231F20"/>
          <w:spacing w:val="15"/>
          <w:w w:val="105"/>
          <w:vertAlign w:val="baseline"/>
        </w:rPr>
        <w:t> </w:t>
      </w:r>
      <w:r>
        <w:rPr>
          <w:color w:val="231F20"/>
          <w:w w:val="105"/>
          <w:vertAlign w:val="baseline"/>
        </w:rPr>
        <w:t>the</w:t>
      </w:r>
      <w:r>
        <w:rPr>
          <w:color w:val="231F20"/>
          <w:spacing w:val="15"/>
          <w:w w:val="105"/>
          <w:vertAlign w:val="baseline"/>
        </w:rPr>
        <w:t> </w:t>
      </w:r>
      <w:r>
        <w:rPr>
          <w:color w:val="231F20"/>
          <w:w w:val="105"/>
          <w:vertAlign w:val="baseline"/>
        </w:rPr>
        <w:t>normal</w:t>
      </w:r>
      <w:r>
        <w:rPr>
          <w:color w:val="231F20"/>
          <w:spacing w:val="15"/>
          <w:w w:val="105"/>
          <w:vertAlign w:val="baseline"/>
        </w:rPr>
        <w:t> </w:t>
      </w:r>
      <w:r>
        <w:rPr>
          <w:color w:val="231F20"/>
          <w:w w:val="105"/>
          <w:vertAlign w:val="baseline"/>
        </w:rPr>
        <w:t>value</w:t>
      </w:r>
      <w:r>
        <w:rPr>
          <w:color w:val="231F20"/>
          <w:spacing w:val="15"/>
          <w:w w:val="105"/>
          <w:vertAlign w:val="baseline"/>
        </w:rPr>
        <w:t> </w:t>
      </w:r>
      <w:r>
        <w:rPr>
          <w:color w:val="231F20"/>
          <w:w w:val="105"/>
          <w:vertAlign w:val="baseline"/>
        </w:rPr>
        <w:t>of</w:t>
      </w:r>
      <w:r>
        <w:rPr>
          <w:color w:val="231F20"/>
          <w:spacing w:val="14"/>
          <w:w w:val="105"/>
          <w:vertAlign w:val="baseline"/>
        </w:rPr>
        <w:t> </w:t>
      </w:r>
      <w:r>
        <w:rPr>
          <w:color w:val="231F20"/>
          <w:w w:val="105"/>
          <w:vertAlign w:val="baseline"/>
        </w:rPr>
        <w:t>7.4</w:t>
      </w:r>
      <w:r>
        <w:rPr>
          <w:color w:val="231F20"/>
          <w:spacing w:val="15"/>
          <w:w w:val="105"/>
          <w:vertAlign w:val="baseline"/>
        </w:rPr>
        <w:t> </w:t>
      </w:r>
      <w:r>
        <w:rPr>
          <w:color w:val="231F20"/>
          <w:w w:val="105"/>
          <w:vertAlign w:val="baseline"/>
        </w:rPr>
        <w:t>to</w:t>
      </w:r>
      <w:r>
        <w:rPr>
          <w:color w:val="231F20"/>
          <w:spacing w:val="15"/>
          <w:w w:val="105"/>
          <w:vertAlign w:val="baseline"/>
        </w:rPr>
        <w:t> </w:t>
      </w:r>
      <w:r>
        <w:rPr>
          <w:color w:val="231F20"/>
          <w:w w:val="105"/>
          <w:vertAlign w:val="baseline"/>
        </w:rPr>
        <w:t>the</w:t>
      </w:r>
      <w:r>
        <w:rPr>
          <w:color w:val="231F20"/>
          <w:spacing w:val="15"/>
          <w:w w:val="105"/>
          <w:vertAlign w:val="baseline"/>
        </w:rPr>
        <w:t> </w:t>
      </w:r>
      <w:r>
        <w:rPr>
          <w:color w:val="231F20"/>
          <w:w w:val="105"/>
          <w:vertAlign w:val="baseline"/>
        </w:rPr>
        <w:t>strongly</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948"/>
          <w:pgSz w:w="12240" w:h="15660"/>
          <w:pgMar w:header="0" w:footer="567" w:top="0" w:bottom="760" w:left="0" w:right="0"/>
        </w:sectPr>
      </w:pPr>
    </w:p>
    <w:p>
      <w:pPr>
        <w:pStyle w:val="BodyText"/>
        <w:rPr>
          <w:sz w:val="18"/>
        </w:rPr>
      </w:pPr>
    </w:p>
    <w:p>
      <w:pPr>
        <w:pStyle w:val="BodyText"/>
        <w:spacing w:before="5"/>
        <w:rPr>
          <w:sz w:val="17"/>
        </w:rPr>
      </w:pPr>
    </w:p>
    <w:p>
      <w:pPr>
        <w:spacing w:before="0"/>
        <w:ind w:left="0" w:right="1317" w:firstLine="0"/>
        <w:jc w:val="center"/>
        <w:rPr>
          <w:rFonts w:ascii="Helvetica"/>
          <w:sz w:val="16"/>
        </w:rPr>
      </w:pPr>
      <w:r>
        <w:rPr/>
        <w:pict>
          <v:group style="position:absolute;margin-left:114.245499pt;margin-top:-14.053194pt;width:171.4pt;height:128.35pt;mso-position-horizontal-relative:page;mso-position-vertical-relative:paragraph;z-index:252871680" coordorigin="2285,-281" coordsize="3428,2567">
            <v:shape style="position:absolute;left:-73;top:11831;width:3418;height:2557" coordorigin="-73,11832" coordsize="3418,2557" path="m2358,2209l2358,2286m2358,2209l2285,2209m2892,2209l2892,2286m3425,2209l3425,2286m3959,2209l3959,2286m4493,2209l4493,2286m5027,2209l5027,2286m5560,2209l5560,2286m2358,89l2285,89m2358,619l2285,619m2358,1149l2285,1149m2358,1679l2285,1679m2358,-271l2358,2209,5702,2209e" filled="false" stroked="true" strokeweight="1pt" strokecolor="#231f20">
              <v:path arrowok="t"/>
              <v:stroke dashstyle="solid"/>
            </v:shape>
            <v:shape style="position:absolute;left:2395;top:-32;width:2947;height:1800" coordorigin="2396,-31" coordsize="2947,1800" path="m2396,-31l2599,544,2756,876,2948,1091,3256,1316,3315,1354,3378,1391,3449,1426,3529,1460,3623,1492,3732,1524,3794,1539,3860,1555,3932,1571,4010,1586,4093,1602,4184,1617,4280,1633,4384,1649,4496,1665,4615,1682,4743,1698,4879,1715,5024,1733,5178,1751,5342,1769e" filled="false" stroked="true" strokeweight="2pt" strokecolor="#f0535f">
              <v:path arrowok="t"/>
              <v:stroke dashstyle="solid"/>
            </v:shape>
            <w10:wrap type="none"/>
          </v:group>
        </w:pict>
      </w:r>
      <w:r>
        <w:rPr/>
        <w:pict>
          <v:shape style="position:absolute;margin-left:91.059097pt;margin-top:-13.1822pt;width:11.55pt;height:123.6pt;mso-position-horizontal-relative:page;mso-position-vertical-relative:paragraph;z-index:25287372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Alveolar ventilation (normal = 1)</w:t>
                  </w:r>
                </w:p>
              </w:txbxContent>
            </v:textbox>
            <w10:wrap type="none"/>
          </v:shape>
        </w:pict>
      </w:r>
      <w:r>
        <w:rPr>
          <w:rFonts w:ascii="Helvetica"/>
          <w:color w:val="231F20"/>
          <w:w w:val="99"/>
          <w:sz w:val="16"/>
        </w:rPr>
        <w:t>4</w:t>
      </w:r>
    </w:p>
    <w:p>
      <w:pPr>
        <w:pStyle w:val="BodyText"/>
        <w:rPr>
          <w:rFonts w:ascii="Helvetica"/>
          <w:sz w:val="18"/>
        </w:rPr>
      </w:pPr>
    </w:p>
    <w:p>
      <w:pPr>
        <w:spacing w:before="139"/>
        <w:ind w:left="0" w:right="1317" w:firstLine="0"/>
        <w:jc w:val="center"/>
        <w:rPr>
          <w:rFonts w:ascii="Helvetica"/>
          <w:sz w:val="16"/>
        </w:rPr>
      </w:pPr>
      <w:r>
        <w:rPr>
          <w:rFonts w:ascii="Helvetica"/>
          <w:color w:val="231F20"/>
          <w:w w:val="99"/>
          <w:sz w:val="16"/>
        </w:rPr>
        <w:t>3</w:t>
      </w:r>
    </w:p>
    <w:p>
      <w:pPr>
        <w:pStyle w:val="BodyText"/>
        <w:rPr>
          <w:rFonts w:ascii="Helvetica"/>
          <w:sz w:val="18"/>
        </w:rPr>
      </w:pPr>
    </w:p>
    <w:p>
      <w:pPr>
        <w:spacing w:before="132"/>
        <w:ind w:left="0" w:right="1317" w:firstLine="0"/>
        <w:jc w:val="center"/>
        <w:rPr>
          <w:rFonts w:ascii="Helvetica"/>
          <w:sz w:val="16"/>
        </w:rPr>
      </w:pPr>
      <w:r>
        <w:rPr>
          <w:rFonts w:ascii="Helvetica"/>
          <w:color w:val="231F20"/>
          <w:w w:val="99"/>
          <w:sz w:val="16"/>
        </w:rPr>
        <w:t>2</w:t>
      </w:r>
    </w:p>
    <w:p>
      <w:pPr>
        <w:pStyle w:val="BodyText"/>
        <w:rPr>
          <w:rFonts w:ascii="Helvetica"/>
          <w:sz w:val="18"/>
        </w:rPr>
      </w:pPr>
    </w:p>
    <w:p>
      <w:pPr>
        <w:spacing w:before="139"/>
        <w:ind w:left="0" w:right="1317" w:firstLine="0"/>
        <w:jc w:val="center"/>
        <w:rPr>
          <w:rFonts w:ascii="Helvetica"/>
          <w:sz w:val="16"/>
        </w:rPr>
      </w:pPr>
      <w:r>
        <w:rPr>
          <w:rFonts w:ascii="Helvetica"/>
          <w:color w:val="231F20"/>
          <w:w w:val="99"/>
          <w:sz w:val="16"/>
        </w:rPr>
        <w:t>1</w:t>
      </w:r>
    </w:p>
    <w:p>
      <w:pPr>
        <w:pStyle w:val="BodyText"/>
        <w:rPr>
          <w:rFonts w:ascii="Helvetica"/>
          <w:sz w:val="18"/>
        </w:rPr>
      </w:pPr>
    </w:p>
    <w:p>
      <w:pPr>
        <w:spacing w:line="180" w:lineRule="exact" w:before="146"/>
        <w:ind w:left="2153" w:right="0" w:firstLine="0"/>
        <w:jc w:val="left"/>
        <w:rPr>
          <w:rFonts w:ascii="Helvetica"/>
          <w:sz w:val="16"/>
        </w:rPr>
      </w:pPr>
      <w:r>
        <w:rPr>
          <w:rFonts w:ascii="Helvetica"/>
          <w:color w:val="231F20"/>
          <w:w w:val="99"/>
          <w:sz w:val="16"/>
        </w:rPr>
        <w:t>0</w:t>
      </w:r>
    </w:p>
    <w:p>
      <w:pPr>
        <w:tabs>
          <w:tab w:pos="2776" w:val="left" w:leader="none"/>
          <w:tab w:pos="3313" w:val="left" w:leader="none"/>
          <w:tab w:pos="3851" w:val="left" w:leader="none"/>
          <w:tab w:pos="4381" w:val="left" w:leader="none"/>
          <w:tab w:pos="4916" w:val="left" w:leader="none"/>
          <w:tab w:pos="5451" w:val="left" w:leader="none"/>
        </w:tabs>
        <w:spacing w:line="180" w:lineRule="exact" w:before="0"/>
        <w:ind w:left="2247" w:right="0" w:firstLine="0"/>
        <w:jc w:val="left"/>
        <w:rPr>
          <w:rFonts w:ascii="Helvetica"/>
          <w:sz w:val="16"/>
        </w:rPr>
      </w:pPr>
      <w:r>
        <w:rPr>
          <w:rFonts w:ascii="Helvetica"/>
          <w:color w:val="231F20"/>
          <w:sz w:val="16"/>
        </w:rPr>
        <w:t>7.0</w:t>
        <w:tab/>
        <w:t>7.1</w:t>
        <w:tab/>
        <w:t>7.2</w:t>
        <w:tab/>
        <w:t>7.3</w:t>
        <w:tab/>
        <w:t>7.4</w:t>
        <w:tab/>
        <w:t>7.5</w:t>
        <w:tab/>
      </w:r>
      <w:r>
        <w:rPr>
          <w:rFonts w:ascii="Helvetica"/>
          <w:color w:val="231F20"/>
          <w:spacing w:val="-7"/>
          <w:sz w:val="16"/>
        </w:rPr>
        <w:t>7.6</w:t>
      </w:r>
    </w:p>
    <w:p>
      <w:pPr>
        <w:spacing w:before="65"/>
        <w:ind w:left="3218" w:right="0" w:firstLine="0"/>
        <w:jc w:val="left"/>
        <w:rPr>
          <w:rFonts w:ascii="Helvetica"/>
          <w:b/>
          <w:sz w:val="16"/>
        </w:rPr>
      </w:pPr>
      <w:r>
        <w:rPr>
          <w:rFonts w:ascii="Helvetica"/>
          <w:b/>
          <w:color w:val="231F20"/>
          <w:sz w:val="16"/>
        </w:rPr>
        <w:t>pH of arterial blood</w:t>
      </w:r>
    </w:p>
    <w:p>
      <w:pPr>
        <w:pStyle w:val="BodyText"/>
        <w:spacing w:line="249" w:lineRule="auto" w:before="100"/>
        <w:ind w:left="765" w:right="1077"/>
        <w:jc w:val="both"/>
      </w:pPr>
      <w:r>
        <w:rPr/>
        <w:br w:type="column"/>
      </w:r>
      <w:r>
        <w:rPr>
          <w:color w:val="231F20"/>
          <w:w w:val="105"/>
        </w:rPr>
        <w:t>falls</w:t>
      </w:r>
      <w:r>
        <w:rPr>
          <w:color w:val="231F20"/>
          <w:spacing w:val="-17"/>
          <w:w w:val="105"/>
        </w:rPr>
        <w:t> </w:t>
      </w:r>
      <w:r>
        <w:rPr>
          <w:color w:val="231F20"/>
          <w:w w:val="105"/>
        </w:rPr>
        <w:t>from</w:t>
      </w:r>
      <w:r>
        <w:rPr>
          <w:color w:val="231F20"/>
          <w:spacing w:val="-16"/>
          <w:w w:val="105"/>
        </w:rPr>
        <w:t> </w:t>
      </w:r>
      <w:r>
        <w:rPr>
          <w:color w:val="231F20"/>
          <w:w w:val="105"/>
        </w:rPr>
        <w:t>7.4</w:t>
      </w:r>
      <w:r>
        <w:rPr>
          <w:color w:val="231F20"/>
          <w:spacing w:val="-16"/>
          <w:w w:val="105"/>
        </w:rPr>
        <w:t> </w:t>
      </w:r>
      <w:r>
        <w:rPr>
          <w:color w:val="231F20"/>
          <w:w w:val="105"/>
        </w:rPr>
        <w:t>to</w:t>
      </w:r>
      <w:r>
        <w:rPr>
          <w:color w:val="231F20"/>
          <w:spacing w:val="-17"/>
          <w:w w:val="105"/>
        </w:rPr>
        <w:t> </w:t>
      </w:r>
      <w:r>
        <w:rPr>
          <w:color w:val="231F20"/>
          <w:w w:val="105"/>
        </w:rPr>
        <w:t>7.0,</w:t>
      </w:r>
      <w:r>
        <w:rPr>
          <w:color w:val="231F20"/>
          <w:spacing w:val="-16"/>
          <w:w w:val="105"/>
        </w:rPr>
        <w:t> </w:t>
      </w:r>
      <w:r>
        <w:rPr>
          <w:color w:val="231F20"/>
          <w:w w:val="105"/>
        </w:rPr>
        <w:t>the</w:t>
      </w:r>
      <w:r>
        <w:rPr>
          <w:color w:val="231F20"/>
          <w:spacing w:val="-16"/>
          <w:w w:val="105"/>
        </w:rPr>
        <w:t> </w:t>
      </w:r>
      <w:r>
        <w:rPr>
          <w:color w:val="231F20"/>
          <w:w w:val="105"/>
        </w:rPr>
        <w:t>respiratory</w:t>
      </w:r>
      <w:r>
        <w:rPr>
          <w:color w:val="231F20"/>
          <w:spacing w:val="-16"/>
          <w:w w:val="105"/>
        </w:rPr>
        <w:t> </w:t>
      </w:r>
      <w:r>
        <w:rPr>
          <w:color w:val="231F20"/>
          <w:w w:val="105"/>
        </w:rPr>
        <w:t>system</w:t>
      </w:r>
      <w:r>
        <w:rPr>
          <w:color w:val="231F20"/>
          <w:spacing w:val="-17"/>
          <w:w w:val="105"/>
        </w:rPr>
        <w:t> </w:t>
      </w:r>
      <w:r>
        <w:rPr>
          <w:color w:val="231F20"/>
          <w:w w:val="105"/>
        </w:rPr>
        <w:t>can</w:t>
      </w:r>
      <w:r>
        <w:rPr>
          <w:color w:val="231F20"/>
          <w:spacing w:val="-16"/>
          <w:w w:val="105"/>
        </w:rPr>
        <w:t> </w:t>
      </w:r>
      <w:r>
        <w:rPr>
          <w:color w:val="231F20"/>
          <w:w w:val="105"/>
        </w:rPr>
        <w:t>return</w:t>
      </w:r>
      <w:r>
        <w:rPr>
          <w:color w:val="231F20"/>
          <w:spacing w:val="-16"/>
          <w:w w:val="105"/>
        </w:rPr>
        <w:t> </w:t>
      </w:r>
      <w:r>
        <w:rPr>
          <w:color w:val="231F20"/>
          <w:w w:val="105"/>
        </w:rPr>
        <w:t>the pH to a value of about 7.2 to 7.3. This response </w:t>
      </w:r>
      <w:r>
        <w:rPr>
          <w:color w:val="231F20"/>
          <w:spacing w:val="-3"/>
          <w:w w:val="105"/>
        </w:rPr>
        <w:t>occurs </w:t>
      </w:r>
      <w:r>
        <w:rPr>
          <w:color w:val="231F20"/>
          <w:w w:val="105"/>
        </w:rPr>
        <w:t>within 3 to 12</w:t>
      </w:r>
      <w:r>
        <w:rPr>
          <w:color w:val="231F20"/>
          <w:spacing w:val="11"/>
          <w:w w:val="105"/>
        </w:rPr>
        <w:t> </w:t>
      </w:r>
      <w:r>
        <w:rPr>
          <w:color w:val="231F20"/>
          <w:w w:val="105"/>
        </w:rPr>
        <w:t>minutes.</w:t>
      </w:r>
    </w:p>
    <w:p>
      <w:pPr>
        <w:spacing w:line="249" w:lineRule="auto" w:before="250"/>
        <w:ind w:left="765" w:right="1077" w:firstLine="0"/>
        <w:jc w:val="both"/>
        <w:rPr>
          <w:sz w:val="20"/>
        </w:rPr>
      </w:pPr>
      <w:r>
        <w:rPr/>
        <w:pict>
          <v:rect style="position:absolute;margin-left:576pt;margin-top:104.07019pt;width:36pt;height:24pt;mso-position-horizontal-relative:page;mso-position-vertical-relative:paragraph;z-index:252867584" filled="true" fillcolor="#e8dac8" stroked="false">
            <v:fill type="solid"/>
            <w10:wrap type="none"/>
          </v:rect>
        </w:pict>
      </w:r>
      <w:r>
        <w:rPr/>
        <w:pict>
          <v:shape style="position:absolute;margin-left:578.900024pt;margin-top:27.727491pt;width:15.9pt;height:53.35pt;mso-position-horizontal-relative:page;mso-position-vertical-relative:paragraph;z-index:25287270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Trebuchet MS"/>
          <w:b/>
          <w:color w:val="231F20"/>
          <w:sz w:val="19"/>
        </w:rPr>
        <w:t>Buffering Power of the Respiratory System. </w:t>
      </w:r>
      <w:r>
        <w:rPr>
          <w:i/>
          <w:color w:val="231F20"/>
          <w:sz w:val="20"/>
        </w:rPr>
        <w:t>Respiratory</w:t>
      </w:r>
      <w:r>
        <w:rPr>
          <w:i/>
          <w:color w:val="231F20"/>
          <w:spacing w:val="-15"/>
          <w:sz w:val="20"/>
        </w:rPr>
        <w:t> </w:t>
      </w:r>
      <w:r>
        <w:rPr>
          <w:i/>
          <w:color w:val="231F20"/>
          <w:sz w:val="20"/>
        </w:rPr>
        <w:t>regulation</w:t>
      </w:r>
      <w:r>
        <w:rPr>
          <w:i/>
          <w:color w:val="231F20"/>
          <w:spacing w:val="-14"/>
          <w:sz w:val="20"/>
        </w:rPr>
        <w:t> </w:t>
      </w:r>
      <w:r>
        <w:rPr>
          <w:i/>
          <w:color w:val="231F20"/>
          <w:sz w:val="20"/>
        </w:rPr>
        <w:t>of</w:t>
      </w:r>
      <w:r>
        <w:rPr>
          <w:i/>
          <w:color w:val="231F20"/>
          <w:spacing w:val="-15"/>
          <w:sz w:val="20"/>
        </w:rPr>
        <w:t> </w:t>
      </w:r>
      <w:r>
        <w:rPr>
          <w:i/>
          <w:color w:val="231F20"/>
          <w:sz w:val="20"/>
        </w:rPr>
        <w:t>acid-base</w:t>
      </w:r>
      <w:r>
        <w:rPr>
          <w:i/>
          <w:color w:val="231F20"/>
          <w:spacing w:val="-14"/>
          <w:sz w:val="20"/>
        </w:rPr>
        <w:t> </w:t>
      </w:r>
      <w:r>
        <w:rPr>
          <w:i/>
          <w:color w:val="231F20"/>
          <w:sz w:val="20"/>
        </w:rPr>
        <w:t>balance</w:t>
      </w:r>
      <w:r>
        <w:rPr>
          <w:i/>
          <w:color w:val="231F20"/>
          <w:spacing w:val="-14"/>
          <w:sz w:val="20"/>
        </w:rPr>
        <w:t> </w:t>
      </w:r>
      <w:r>
        <w:rPr>
          <w:i/>
          <w:color w:val="231F20"/>
          <w:sz w:val="20"/>
        </w:rPr>
        <w:t>is</w:t>
      </w:r>
      <w:r>
        <w:rPr>
          <w:i/>
          <w:color w:val="231F20"/>
          <w:spacing w:val="-15"/>
          <w:sz w:val="20"/>
        </w:rPr>
        <w:t> </w:t>
      </w:r>
      <w:r>
        <w:rPr>
          <w:i/>
          <w:color w:val="231F20"/>
          <w:sz w:val="20"/>
        </w:rPr>
        <w:t>a</w:t>
      </w:r>
      <w:r>
        <w:rPr>
          <w:i/>
          <w:color w:val="231F20"/>
          <w:spacing w:val="-14"/>
          <w:sz w:val="20"/>
        </w:rPr>
        <w:t> </w:t>
      </w:r>
      <w:r>
        <w:rPr>
          <w:i/>
          <w:color w:val="231F20"/>
          <w:sz w:val="20"/>
        </w:rPr>
        <w:t>physiolog- </w:t>
      </w:r>
      <w:r>
        <w:rPr>
          <w:i/>
          <w:color w:val="231F20"/>
          <w:sz w:val="20"/>
        </w:rPr>
        <w:t>ical type of buffer system </w:t>
      </w:r>
      <w:r>
        <w:rPr>
          <w:color w:val="231F20"/>
          <w:sz w:val="20"/>
        </w:rPr>
        <w:t>because it acts rapidly and keeps the H</w:t>
      </w:r>
      <w:r>
        <w:rPr>
          <w:rFonts w:ascii="Consolas"/>
          <w:color w:val="231F20"/>
          <w:position w:val="8"/>
          <w:sz w:val="12"/>
        </w:rPr>
        <w:t>+ </w:t>
      </w:r>
      <w:r>
        <w:rPr>
          <w:color w:val="231F20"/>
          <w:sz w:val="20"/>
        </w:rPr>
        <w:t>concentration from changing too much until the slowly responding kidneys can eliminate the imbalance. In general, the overall buffering power of the respiratory system is one to two times as great as the buffering power of</w:t>
      </w:r>
      <w:r>
        <w:rPr>
          <w:color w:val="231F20"/>
          <w:spacing w:val="-5"/>
          <w:sz w:val="20"/>
        </w:rPr>
        <w:t> </w:t>
      </w:r>
      <w:r>
        <w:rPr>
          <w:color w:val="231F20"/>
          <w:sz w:val="20"/>
        </w:rPr>
        <w:t>all</w:t>
      </w:r>
      <w:r>
        <w:rPr>
          <w:color w:val="231F20"/>
          <w:spacing w:val="-4"/>
          <w:sz w:val="20"/>
        </w:rPr>
        <w:t> </w:t>
      </w:r>
      <w:r>
        <w:rPr>
          <w:color w:val="231F20"/>
          <w:sz w:val="20"/>
        </w:rPr>
        <w:t>other</w:t>
      </w:r>
      <w:r>
        <w:rPr>
          <w:color w:val="231F20"/>
          <w:spacing w:val="-4"/>
          <w:sz w:val="20"/>
        </w:rPr>
        <w:t> </w:t>
      </w:r>
      <w:r>
        <w:rPr>
          <w:color w:val="231F20"/>
          <w:sz w:val="20"/>
        </w:rPr>
        <w:t>chemical</w:t>
      </w:r>
      <w:r>
        <w:rPr>
          <w:color w:val="231F20"/>
          <w:spacing w:val="-4"/>
          <w:sz w:val="20"/>
        </w:rPr>
        <w:t> </w:t>
      </w:r>
      <w:r>
        <w:rPr>
          <w:color w:val="231F20"/>
          <w:sz w:val="20"/>
        </w:rPr>
        <w:t>buffers</w:t>
      </w:r>
      <w:r>
        <w:rPr>
          <w:color w:val="231F20"/>
          <w:spacing w:val="-4"/>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extracellular</w:t>
      </w:r>
      <w:r>
        <w:rPr>
          <w:color w:val="231F20"/>
          <w:spacing w:val="-5"/>
          <w:sz w:val="20"/>
        </w:rPr>
        <w:t> </w:t>
      </w:r>
      <w:r>
        <w:rPr>
          <w:color w:val="231F20"/>
          <w:sz w:val="20"/>
        </w:rPr>
        <w:t>fluid</w:t>
      </w:r>
      <w:r>
        <w:rPr>
          <w:color w:val="231F20"/>
          <w:spacing w:val="-4"/>
          <w:sz w:val="20"/>
        </w:rPr>
        <w:t> </w:t>
      </w:r>
      <w:r>
        <w:rPr>
          <w:color w:val="231F20"/>
          <w:sz w:val="20"/>
        </w:rPr>
        <w:t>com-</w:t>
      </w:r>
      <w:bookmarkStart w:name="_bookmark104" w:id="105"/>
      <w:bookmarkEnd w:id="105"/>
      <w:r>
        <w:rPr>
          <w:color w:val="231F20"/>
          <w:sz w:val="20"/>
        </w:rPr>
      </w:r>
      <w:r>
        <w:rPr>
          <w:color w:val="231F20"/>
          <w:sz w:val="20"/>
        </w:rPr>
        <w:t> bined.</w:t>
      </w:r>
      <w:r>
        <w:rPr>
          <w:color w:val="231F20"/>
          <w:spacing w:val="8"/>
          <w:sz w:val="20"/>
        </w:rPr>
        <w:t> </w:t>
      </w:r>
      <w:r>
        <w:rPr>
          <w:color w:val="231F20"/>
          <w:sz w:val="20"/>
        </w:rPr>
        <w:t>That</w:t>
      </w:r>
      <w:r>
        <w:rPr>
          <w:color w:val="231F20"/>
          <w:spacing w:val="9"/>
          <w:sz w:val="20"/>
        </w:rPr>
        <w:t> </w:t>
      </w:r>
      <w:r>
        <w:rPr>
          <w:color w:val="231F20"/>
          <w:sz w:val="20"/>
        </w:rPr>
        <w:t>is,</w:t>
      </w:r>
      <w:r>
        <w:rPr>
          <w:color w:val="231F20"/>
          <w:spacing w:val="9"/>
          <w:sz w:val="20"/>
        </w:rPr>
        <w:t> </w:t>
      </w:r>
      <w:r>
        <w:rPr>
          <w:color w:val="231F20"/>
          <w:sz w:val="20"/>
        </w:rPr>
        <w:t>one</w:t>
      </w:r>
      <w:r>
        <w:rPr>
          <w:color w:val="231F20"/>
          <w:spacing w:val="9"/>
          <w:sz w:val="20"/>
        </w:rPr>
        <w:t> </w:t>
      </w:r>
      <w:r>
        <w:rPr>
          <w:color w:val="231F20"/>
          <w:sz w:val="20"/>
        </w:rPr>
        <w:t>to</w:t>
      </w:r>
      <w:r>
        <w:rPr>
          <w:color w:val="231F20"/>
          <w:spacing w:val="9"/>
          <w:sz w:val="20"/>
        </w:rPr>
        <w:t> </w:t>
      </w:r>
      <w:r>
        <w:rPr>
          <w:color w:val="231F20"/>
          <w:sz w:val="20"/>
        </w:rPr>
        <w:t>two</w:t>
      </w:r>
      <w:r>
        <w:rPr>
          <w:color w:val="231F20"/>
          <w:spacing w:val="9"/>
          <w:sz w:val="20"/>
        </w:rPr>
        <w:t> </w:t>
      </w:r>
      <w:r>
        <w:rPr>
          <w:color w:val="231F20"/>
          <w:sz w:val="20"/>
        </w:rPr>
        <w:t>times</w:t>
      </w:r>
      <w:r>
        <w:rPr>
          <w:color w:val="231F20"/>
          <w:spacing w:val="9"/>
          <w:sz w:val="20"/>
        </w:rPr>
        <w:t> </w:t>
      </w:r>
      <w:r>
        <w:rPr>
          <w:color w:val="231F20"/>
          <w:sz w:val="20"/>
        </w:rPr>
        <w:t>as</w:t>
      </w:r>
      <w:r>
        <w:rPr>
          <w:color w:val="231F20"/>
          <w:spacing w:val="9"/>
          <w:sz w:val="20"/>
        </w:rPr>
        <w:t> </w:t>
      </w:r>
      <w:r>
        <w:rPr>
          <w:color w:val="231F20"/>
          <w:sz w:val="20"/>
        </w:rPr>
        <w:t>much</w:t>
      </w:r>
      <w:r>
        <w:rPr>
          <w:color w:val="231F20"/>
          <w:spacing w:val="8"/>
          <w:sz w:val="20"/>
        </w:rPr>
        <w:t> </w:t>
      </w:r>
      <w:r>
        <w:rPr>
          <w:color w:val="231F20"/>
          <w:sz w:val="20"/>
        </w:rPr>
        <w:t>acid</w:t>
      </w:r>
      <w:r>
        <w:rPr>
          <w:color w:val="231F20"/>
          <w:spacing w:val="9"/>
          <w:sz w:val="20"/>
        </w:rPr>
        <w:t> </w:t>
      </w:r>
      <w:r>
        <w:rPr>
          <w:color w:val="231F20"/>
          <w:sz w:val="20"/>
        </w:rPr>
        <w:t>or</w:t>
      </w:r>
      <w:r>
        <w:rPr>
          <w:color w:val="231F20"/>
          <w:spacing w:val="9"/>
          <w:sz w:val="20"/>
        </w:rPr>
        <w:t> </w:t>
      </w:r>
      <w:r>
        <w:rPr>
          <w:color w:val="231F20"/>
          <w:sz w:val="20"/>
        </w:rPr>
        <w:t>base</w:t>
      </w:r>
      <w:r>
        <w:rPr>
          <w:color w:val="231F20"/>
          <w:spacing w:val="9"/>
          <w:sz w:val="20"/>
        </w:rPr>
        <w:t> </w:t>
      </w:r>
      <w:r>
        <w:rPr>
          <w:color w:val="231F20"/>
          <w:spacing w:val="-4"/>
          <w:sz w:val="20"/>
        </w:rPr>
        <w:t>can</w:t>
      </w:r>
    </w:p>
    <w:p>
      <w:pPr>
        <w:spacing w:after="0" w:line="249" w:lineRule="auto"/>
        <w:jc w:val="both"/>
        <w:rPr>
          <w:sz w:val="20"/>
        </w:rPr>
        <w:sectPr>
          <w:type w:val="continuous"/>
          <w:pgSz w:w="12240" w:h="15660"/>
          <w:pgMar w:top="0" w:bottom="760" w:left="0" w:right="0"/>
          <w:cols w:num="2" w:equalWidth="0">
            <w:col w:w="5675" w:space="40"/>
            <w:col w:w="6525"/>
          </w:cols>
        </w:sectPr>
      </w:pPr>
    </w:p>
    <w:p>
      <w:pPr>
        <w:spacing w:before="15"/>
        <w:ind w:left="1453" w:right="0" w:firstLine="0"/>
        <w:jc w:val="both"/>
        <w:rPr>
          <w:rFonts w:ascii="Arial"/>
          <w:sz w:val="16"/>
        </w:rPr>
      </w:pPr>
      <w:r>
        <w:rPr/>
        <w:pict>
          <v:group style="position:absolute;margin-left:0pt;margin-top:0pt;width:612pt;height:180pt;mso-position-horizontal-relative:page;mso-position-vertical-relative:page;z-index:-27253862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w10:wrap type="none"/>
          </v:group>
        </w:pict>
      </w:r>
      <w:r>
        <w:rPr>
          <w:rFonts w:ascii="Trebuchet MS"/>
          <w:b/>
          <w:color w:val="231F20"/>
          <w:sz w:val="16"/>
        </w:rPr>
        <w:t>Figure 31-3. </w:t>
      </w:r>
      <w:r>
        <w:rPr>
          <w:rFonts w:ascii="Arial"/>
          <w:color w:val="231F20"/>
          <w:sz w:val="16"/>
        </w:rPr>
        <w:t>Effect of blood pH on the rate of alveolar</w:t>
      </w:r>
      <w:r>
        <w:rPr>
          <w:rFonts w:ascii="Arial"/>
          <w:color w:val="231F20"/>
          <w:spacing w:val="-2"/>
          <w:sz w:val="16"/>
        </w:rPr>
        <w:t> </w:t>
      </w:r>
      <w:r>
        <w:rPr>
          <w:rFonts w:ascii="Arial"/>
          <w:color w:val="231F20"/>
          <w:sz w:val="16"/>
        </w:rPr>
        <w:t>ventilation.</w:t>
      </w:r>
    </w:p>
    <w:p>
      <w:pPr>
        <w:pStyle w:val="BodyText"/>
        <w:rPr>
          <w:rFonts w:ascii="Arial"/>
          <w:sz w:val="18"/>
        </w:rPr>
      </w:pPr>
    </w:p>
    <w:p>
      <w:pPr>
        <w:pStyle w:val="BodyText"/>
        <w:rPr>
          <w:rFonts w:ascii="Arial"/>
          <w:sz w:val="18"/>
        </w:rPr>
      </w:pPr>
    </w:p>
    <w:p>
      <w:pPr>
        <w:pStyle w:val="BodyText"/>
        <w:spacing w:before="111"/>
        <w:ind w:left="1440"/>
        <w:jc w:val="both"/>
      </w:pPr>
      <w:r>
        <w:rPr>
          <w:color w:val="231F20"/>
        </w:rPr>
        <w:t>acidic value of 7.0. Conversely, a rise in plasma pH</w:t>
      </w:r>
      <w:r>
        <w:rPr>
          <w:color w:val="231F20"/>
          <w:spacing w:val="20"/>
        </w:rPr>
        <w:t> </w:t>
      </w:r>
      <w:r>
        <w:rPr>
          <w:color w:val="231F20"/>
          <w:spacing w:val="-4"/>
        </w:rPr>
        <w:t>above</w:t>
      </w:r>
    </w:p>
    <w:p>
      <w:pPr>
        <w:pStyle w:val="BodyText"/>
        <w:spacing w:line="249" w:lineRule="auto" w:before="10"/>
        <w:ind w:left="1440"/>
        <w:jc w:val="both"/>
      </w:pPr>
      <w:r>
        <w:rPr>
          <w:color w:val="231F20"/>
          <w:w w:val="105"/>
        </w:rPr>
        <w:t>7.4 causes a decrease in the ventilation rate. The</w:t>
      </w:r>
      <w:r>
        <w:rPr>
          <w:color w:val="231F20"/>
          <w:spacing w:val="-36"/>
          <w:w w:val="105"/>
        </w:rPr>
        <w:t> </w:t>
      </w:r>
      <w:r>
        <w:rPr>
          <w:color w:val="231F20"/>
          <w:w w:val="105"/>
        </w:rPr>
        <w:t>change in ventilation rate per unit pH change is much greater </w:t>
      </w:r>
      <w:r>
        <w:rPr>
          <w:color w:val="231F20"/>
          <w:spacing w:val="-8"/>
          <w:w w:val="105"/>
        </w:rPr>
        <w:t>at </w:t>
      </w:r>
      <w:r>
        <w:rPr>
          <w:color w:val="231F20"/>
          <w:w w:val="105"/>
        </w:rPr>
        <w:t>reduced</w:t>
      </w:r>
      <w:r>
        <w:rPr>
          <w:color w:val="231F20"/>
          <w:spacing w:val="-9"/>
          <w:w w:val="105"/>
        </w:rPr>
        <w:t> </w:t>
      </w:r>
      <w:r>
        <w:rPr>
          <w:color w:val="231F20"/>
          <w:w w:val="105"/>
        </w:rPr>
        <w:t>levels</w:t>
      </w:r>
      <w:r>
        <w:rPr>
          <w:color w:val="231F20"/>
          <w:spacing w:val="-8"/>
          <w:w w:val="105"/>
        </w:rPr>
        <w:t> </w:t>
      </w:r>
      <w:r>
        <w:rPr>
          <w:color w:val="231F20"/>
          <w:w w:val="105"/>
        </w:rPr>
        <w:t>of</w:t>
      </w:r>
      <w:r>
        <w:rPr>
          <w:color w:val="231F20"/>
          <w:spacing w:val="-8"/>
          <w:w w:val="105"/>
        </w:rPr>
        <w:t> </w:t>
      </w:r>
      <w:r>
        <w:rPr>
          <w:color w:val="231F20"/>
          <w:w w:val="105"/>
        </w:rPr>
        <w:t>pH</w:t>
      </w:r>
      <w:r>
        <w:rPr>
          <w:color w:val="231F20"/>
          <w:spacing w:val="-8"/>
          <w:w w:val="105"/>
        </w:rPr>
        <w:t> </w:t>
      </w:r>
      <w:r>
        <w:rPr>
          <w:color w:val="231F20"/>
          <w:w w:val="105"/>
        </w:rPr>
        <w:t>(corresponding</w:t>
      </w:r>
      <w:r>
        <w:rPr>
          <w:color w:val="231F20"/>
          <w:spacing w:val="-8"/>
          <w:w w:val="105"/>
        </w:rPr>
        <w:t> </w:t>
      </w:r>
      <w:r>
        <w:rPr>
          <w:color w:val="231F20"/>
          <w:w w:val="105"/>
        </w:rPr>
        <w:t>to</w:t>
      </w:r>
      <w:r>
        <w:rPr>
          <w:color w:val="231F20"/>
          <w:spacing w:val="-8"/>
          <w:w w:val="105"/>
        </w:rPr>
        <w:t> </w:t>
      </w:r>
      <w:r>
        <w:rPr>
          <w:color w:val="231F20"/>
          <w:w w:val="105"/>
        </w:rPr>
        <w:t>elevated</w:t>
      </w:r>
      <w:r>
        <w:rPr>
          <w:color w:val="231F20"/>
          <w:spacing w:val="-8"/>
          <w:w w:val="105"/>
        </w:rPr>
        <w:t> </w:t>
      </w:r>
      <w:r>
        <w:rPr>
          <w:color w:val="231F20"/>
          <w:w w:val="105"/>
        </w:rPr>
        <w:t>H</w:t>
      </w:r>
      <w:r>
        <w:rPr>
          <w:rFonts w:ascii="Consolas"/>
          <w:color w:val="231F20"/>
          <w:w w:val="105"/>
          <w:position w:val="8"/>
          <w:sz w:val="12"/>
        </w:rPr>
        <w:t>+</w:t>
      </w:r>
      <w:r>
        <w:rPr>
          <w:rFonts w:ascii="Consolas"/>
          <w:color w:val="231F20"/>
          <w:spacing w:val="-25"/>
          <w:w w:val="105"/>
          <w:position w:val="8"/>
          <w:sz w:val="12"/>
        </w:rPr>
        <w:t> </w:t>
      </w:r>
      <w:r>
        <w:rPr>
          <w:color w:val="231F20"/>
          <w:w w:val="105"/>
        </w:rPr>
        <w:t>con- centration) compared with increased levels of pH. </w:t>
      </w:r>
      <w:r>
        <w:rPr>
          <w:color w:val="231F20"/>
          <w:spacing w:val="-4"/>
          <w:w w:val="105"/>
        </w:rPr>
        <w:t>The </w:t>
      </w:r>
      <w:r>
        <w:rPr>
          <w:color w:val="231F20"/>
          <w:w w:val="105"/>
        </w:rPr>
        <w:t>reason</w:t>
      </w:r>
      <w:r>
        <w:rPr>
          <w:color w:val="231F20"/>
          <w:spacing w:val="-19"/>
          <w:w w:val="105"/>
        </w:rPr>
        <w:t> </w:t>
      </w:r>
      <w:r>
        <w:rPr>
          <w:color w:val="231F20"/>
          <w:w w:val="105"/>
        </w:rPr>
        <w:t>for</w:t>
      </w:r>
      <w:r>
        <w:rPr>
          <w:color w:val="231F20"/>
          <w:spacing w:val="-19"/>
          <w:w w:val="105"/>
        </w:rPr>
        <w:t> </w:t>
      </w:r>
      <w:r>
        <w:rPr>
          <w:color w:val="231F20"/>
          <w:w w:val="105"/>
        </w:rPr>
        <w:t>this</w:t>
      </w:r>
      <w:r>
        <w:rPr>
          <w:color w:val="231F20"/>
          <w:spacing w:val="-19"/>
          <w:w w:val="105"/>
        </w:rPr>
        <w:t> </w:t>
      </w:r>
      <w:r>
        <w:rPr>
          <w:color w:val="231F20"/>
          <w:w w:val="105"/>
        </w:rPr>
        <w:t>phenomenon</w:t>
      </w:r>
      <w:r>
        <w:rPr>
          <w:color w:val="231F20"/>
          <w:spacing w:val="-19"/>
          <w:w w:val="105"/>
        </w:rPr>
        <w:t> </w:t>
      </w:r>
      <w:r>
        <w:rPr>
          <w:color w:val="231F20"/>
          <w:w w:val="105"/>
        </w:rPr>
        <w:t>is</w:t>
      </w:r>
      <w:r>
        <w:rPr>
          <w:color w:val="231F20"/>
          <w:spacing w:val="-19"/>
          <w:w w:val="105"/>
        </w:rPr>
        <w:t> </w:t>
      </w:r>
      <w:r>
        <w:rPr>
          <w:color w:val="231F20"/>
          <w:w w:val="105"/>
        </w:rPr>
        <w:t>that</w:t>
      </w:r>
      <w:r>
        <w:rPr>
          <w:color w:val="231F20"/>
          <w:spacing w:val="-19"/>
          <w:w w:val="105"/>
        </w:rPr>
        <w:t> </w:t>
      </w:r>
      <w:r>
        <w:rPr>
          <w:color w:val="231F20"/>
          <w:w w:val="105"/>
        </w:rPr>
        <w:t>as</w:t>
      </w:r>
      <w:r>
        <w:rPr>
          <w:color w:val="231F20"/>
          <w:spacing w:val="-19"/>
          <w:w w:val="105"/>
        </w:rPr>
        <w:t> </w:t>
      </w:r>
      <w:r>
        <w:rPr>
          <w:color w:val="231F20"/>
          <w:w w:val="105"/>
        </w:rPr>
        <w:t>the</w:t>
      </w:r>
      <w:r>
        <w:rPr>
          <w:color w:val="231F20"/>
          <w:spacing w:val="-19"/>
          <w:w w:val="105"/>
        </w:rPr>
        <w:t> </w:t>
      </w:r>
      <w:r>
        <w:rPr>
          <w:color w:val="231F20"/>
          <w:w w:val="105"/>
        </w:rPr>
        <w:t>alveolar</w:t>
      </w:r>
      <w:r>
        <w:rPr>
          <w:color w:val="231F20"/>
          <w:spacing w:val="-18"/>
          <w:w w:val="105"/>
        </w:rPr>
        <w:t> </w:t>
      </w:r>
      <w:r>
        <w:rPr>
          <w:color w:val="231F20"/>
          <w:spacing w:val="-3"/>
          <w:w w:val="105"/>
        </w:rPr>
        <w:t>ventila- </w:t>
      </w:r>
      <w:r>
        <w:rPr>
          <w:color w:val="231F20"/>
          <w:w w:val="105"/>
        </w:rPr>
        <w:t>tion rate decreases, as a result of an increase in </w:t>
      </w:r>
      <w:r>
        <w:rPr>
          <w:color w:val="231F20"/>
          <w:spacing w:val="-6"/>
          <w:w w:val="105"/>
        </w:rPr>
        <w:t>pH </w:t>
      </w:r>
      <w:r>
        <w:rPr>
          <w:color w:val="231F20"/>
          <w:w w:val="105"/>
        </w:rPr>
        <w:t>(decreased H</w:t>
      </w:r>
      <w:r>
        <w:rPr>
          <w:rFonts w:ascii="Consolas"/>
          <w:color w:val="231F20"/>
          <w:w w:val="105"/>
          <w:position w:val="8"/>
          <w:sz w:val="12"/>
        </w:rPr>
        <w:t>+ </w:t>
      </w:r>
      <w:r>
        <w:rPr>
          <w:color w:val="231F20"/>
          <w:w w:val="105"/>
        </w:rPr>
        <w:t>concentration), the amount of oxygen added to the blood decreases and the partial pressure of oxygen (P</w:t>
      </w:r>
      <w:r>
        <w:rPr>
          <w:color w:val="231F20"/>
          <w:w w:val="105"/>
          <w:sz w:val="16"/>
        </w:rPr>
        <w:t>O</w:t>
      </w:r>
      <w:r>
        <w:rPr>
          <w:color w:val="231F20"/>
          <w:w w:val="105"/>
          <w:sz w:val="16"/>
          <w:vertAlign w:val="subscript"/>
        </w:rPr>
        <w:t>2</w:t>
      </w:r>
      <w:r>
        <w:rPr>
          <w:color w:val="231F20"/>
          <w:w w:val="105"/>
          <w:vertAlign w:val="baseline"/>
        </w:rPr>
        <w:t>) in the blood also decreases, which stimu- lates</w:t>
      </w:r>
      <w:r>
        <w:rPr>
          <w:color w:val="231F20"/>
          <w:spacing w:val="-12"/>
          <w:w w:val="105"/>
          <w:vertAlign w:val="baseline"/>
        </w:rPr>
        <w:t> </w:t>
      </w:r>
      <w:r>
        <w:rPr>
          <w:color w:val="231F20"/>
          <w:w w:val="105"/>
          <w:vertAlign w:val="baseline"/>
        </w:rPr>
        <w:t>the</w:t>
      </w:r>
      <w:r>
        <w:rPr>
          <w:color w:val="231F20"/>
          <w:spacing w:val="-11"/>
          <w:w w:val="105"/>
          <w:vertAlign w:val="baseline"/>
        </w:rPr>
        <w:t> </w:t>
      </w:r>
      <w:r>
        <w:rPr>
          <w:color w:val="231F20"/>
          <w:w w:val="105"/>
          <w:vertAlign w:val="baseline"/>
        </w:rPr>
        <w:t>ventilation</w:t>
      </w:r>
      <w:r>
        <w:rPr>
          <w:color w:val="231F20"/>
          <w:spacing w:val="-12"/>
          <w:w w:val="105"/>
          <w:vertAlign w:val="baseline"/>
        </w:rPr>
        <w:t> </w:t>
      </w:r>
      <w:r>
        <w:rPr>
          <w:color w:val="231F20"/>
          <w:w w:val="105"/>
          <w:vertAlign w:val="baseline"/>
        </w:rPr>
        <w:t>rate.</w:t>
      </w:r>
      <w:r>
        <w:rPr>
          <w:color w:val="231F20"/>
          <w:spacing w:val="-11"/>
          <w:w w:val="105"/>
          <w:vertAlign w:val="baseline"/>
        </w:rPr>
        <w:t> </w:t>
      </w:r>
      <w:r>
        <w:rPr>
          <w:color w:val="231F20"/>
          <w:w w:val="105"/>
          <w:vertAlign w:val="baseline"/>
        </w:rPr>
        <w:t>Therefore,</w:t>
      </w:r>
      <w:r>
        <w:rPr>
          <w:color w:val="231F20"/>
          <w:spacing w:val="-11"/>
          <w:w w:val="105"/>
          <w:vertAlign w:val="baseline"/>
        </w:rPr>
        <w:t> </w:t>
      </w:r>
      <w:r>
        <w:rPr>
          <w:color w:val="231F20"/>
          <w:w w:val="105"/>
          <w:vertAlign w:val="baseline"/>
        </w:rPr>
        <w:t>the</w:t>
      </w:r>
      <w:r>
        <w:rPr>
          <w:color w:val="231F20"/>
          <w:spacing w:val="-12"/>
          <w:w w:val="105"/>
          <w:vertAlign w:val="baseline"/>
        </w:rPr>
        <w:t> </w:t>
      </w:r>
      <w:r>
        <w:rPr>
          <w:color w:val="231F20"/>
          <w:w w:val="105"/>
          <w:vertAlign w:val="baseline"/>
        </w:rPr>
        <w:t>respiratory</w:t>
      </w:r>
      <w:r>
        <w:rPr>
          <w:color w:val="231F20"/>
          <w:spacing w:val="-11"/>
          <w:w w:val="105"/>
          <w:vertAlign w:val="baseline"/>
        </w:rPr>
        <w:t> </w:t>
      </w:r>
      <w:r>
        <w:rPr>
          <w:color w:val="231F20"/>
          <w:w w:val="105"/>
          <w:vertAlign w:val="baseline"/>
        </w:rPr>
        <w:t>com- pensation</w:t>
      </w:r>
      <w:r>
        <w:rPr>
          <w:color w:val="231F20"/>
          <w:spacing w:val="-6"/>
          <w:w w:val="105"/>
          <w:vertAlign w:val="baseline"/>
        </w:rPr>
        <w:t> </w:t>
      </w:r>
      <w:r>
        <w:rPr>
          <w:color w:val="231F20"/>
          <w:w w:val="105"/>
          <w:vertAlign w:val="baseline"/>
        </w:rPr>
        <w:t>for</w:t>
      </w:r>
      <w:r>
        <w:rPr>
          <w:color w:val="231F20"/>
          <w:spacing w:val="-6"/>
          <w:w w:val="105"/>
          <w:vertAlign w:val="baseline"/>
        </w:rPr>
        <w:t> </w:t>
      </w:r>
      <w:r>
        <w:rPr>
          <w:color w:val="231F20"/>
          <w:w w:val="105"/>
          <w:vertAlign w:val="baseline"/>
        </w:rPr>
        <w:t>an</w:t>
      </w:r>
      <w:r>
        <w:rPr>
          <w:color w:val="231F20"/>
          <w:spacing w:val="-6"/>
          <w:w w:val="105"/>
          <w:vertAlign w:val="baseline"/>
        </w:rPr>
        <w:t> </w:t>
      </w:r>
      <w:r>
        <w:rPr>
          <w:color w:val="231F20"/>
          <w:w w:val="105"/>
          <w:vertAlign w:val="baseline"/>
        </w:rPr>
        <w:t>increase</w:t>
      </w:r>
      <w:r>
        <w:rPr>
          <w:color w:val="231F20"/>
          <w:spacing w:val="-6"/>
          <w:w w:val="105"/>
          <w:vertAlign w:val="baseline"/>
        </w:rPr>
        <w:t> </w:t>
      </w:r>
      <w:r>
        <w:rPr>
          <w:color w:val="231F20"/>
          <w:w w:val="105"/>
          <w:vertAlign w:val="baseline"/>
        </w:rPr>
        <w:t>in</w:t>
      </w:r>
      <w:r>
        <w:rPr>
          <w:color w:val="231F20"/>
          <w:spacing w:val="-6"/>
          <w:w w:val="105"/>
          <w:vertAlign w:val="baseline"/>
        </w:rPr>
        <w:t> </w:t>
      </w:r>
      <w:r>
        <w:rPr>
          <w:color w:val="231F20"/>
          <w:w w:val="105"/>
          <w:vertAlign w:val="baseline"/>
        </w:rPr>
        <w:t>pH</w:t>
      </w:r>
      <w:r>
        <w:rPr>
          <w:color w:val="231F20"/>
          <w:spacing w:val="-6"/>
          <w:w w:val="105"/>
          <w:vertAlign w:val="baseline"/>
        </w:rPr>
        <w:t> </w:t>
      </w:r>
      <w:r>
        <w:rPr>
          <w:color w:val="231F20"/>
          <w:w w:val="105"/>
          <w:vertAlign w:val="baseline"/>
        </w:rPr>
        <w:t>is</w:t>
      </w:r>
      <w:r>
        <w:rPr>
          <w:color w:val="231F20"/>
          <w:spacing w:val="-5"/>
          <w:w w:val="105"/>
          <w:vertAlign w:val="baseline"/>
        </w:rPr>
        <w:t> </w:t>
      </w:r>
      <w:r>
        <w:rPr>
          <w:color w:val="231F20"/>
          <w:w w:val="105"/>
          <w:vertAlign w:val="baseline"/>
        </w:rPr>
        <w:t>not</w:t>
      </w:r>
      <w:r>
        <w:rPr>
          <w:color w:val="231F20"/>
          <w:spacing w:val="-6"/>
          <w:w w:val="105"/>
          <w:vertAlign w:val="baseline"/>
        </w:rPr>
        <w:t> </w:t>
      </w:r>
      <w:r>
        <w:rPr>
          <w:color w:val="231F20"/>
          <w:w w:val="105"/>
          <w:vertAlign w:val="baseline"/>
        </w:rPr>
        <w:t>nearly</w:t>
      </w:r>
      <w:r>
        <w:rPr>
          <w:color w:val="231F20"/>
          <w:spacing w:val="-6"/>
          <w:w w:val="105"/>
          <w:vertAlign w:val="baseline"/>
        </w:rPr>
        <w:t> </w:t>
      </w:r>
      <w:r>
        <w:rPr>
          <w:color w:val="231F20"/>
          <w:w w:val="105"/>
          <w:vertAlign w:val="baseline"/>
        </w:rPr>
        <w:t>as</w:t>
      </w:r>
      <w:r>
        <w:rPr>
          <w:color w:val="231F20"/>
          <w:spacing w:val="-6"/>
          <w:w w:val="105"/>
          <w:vertAlign w:val="baseline"/>
        </w:rPr>
        <w:t> </w:t>
      </w:r>
      <w:r>
        <w:rPr>
          <w:color w:val="231F20"/>
          <w:w w:val="105"/>
          <w:vertAlign w:val="baseline"/>
        </w:rPr>
        <w:t>effective as the response to a marked reduction in</w:t>
      </w:r>
      <w:r>
        <w:rPr>
          <w:color w:val="231F20"/>
          <w:spacing w:val="19"/>
          <w:w w:val="105"/>
          <w:vertAlign w:val="baseline"/>
        </w:rPr>
        <w:t> </w:t>
      </w:r>
      <w:r>
        <w:rPr>
          <w:color w:val="231F20"/>
          <w:w w:val="105"/>
          <w:vertAlign w:val="baseline"/>
        </w:rPr>
        <w:t>pH.</w:t>
      </w:r>
    </w:p>
    <w:p>
      <w:pPr>
        <w:spacing w:line="247" w:lineRule="auto" w:before="251"/>
        <w:ind w:left="1439" w:right="0" w:firstLine="0"/>
        <w:jc w:val="both"/>
        <w:rPr>
          <w:sz w:val="20"/>
        </w:rPr>
      </w:pPr>
      <w:r>
        <w:rPr>
          <w:rFonts w:ascii="Trebuchet MS"/>
          <w:b/>
          <w:color w:val="231F20"/>
          <w:sz w:val="19"/>
        </w:rPr>
        <w:t>Feedback Control of H</w:t>
      </w:r>
      <w:r>
        <w:rPr>
          <w:rFonts w:ascii="Consolas"/>
          <w:b/>
          <w:color w:val="231F20"/>
          <w:sz w:val="19"/>
          <w:vertAlign w:val="superscript"/>
        </w:rPr>
        <w:t>+</w:t>
      </w:r>
      <w:r>
        <w:rPr>
          <w:rFonts w:ascii="Consolas"/>
          <w:b/>
          <w:color w:val="231F20"/>
          <w:sz w:val="19"/>
          <w:vertAlign w:val="baseline"/>
        </w:rPr>
        <w:t> </w:t>
      </w:r>
      <w:r>
        <w:rPr>
          <w:rFonts w:ascii="Trebuchet MS"/>
          <w:b/>
          <w:color w:val="231F20"/>
          <w:sz w:val="19"/>
          <w:vertAlign w:val="baseline"/>
        </w:rPr>
        <w:t>Concentration by the Respi- ratory System. </w:t>
      </w:r>
      <w:r>
        <w:rPr>
          <w:color w:val="231F20"/>
          <w:sz w:val="20"/>
          <w:vertAlign w:val="baseline"/>
        </w:rPr>
        <w:t>Because increased H</w:t>
      </w:r>
      <w:r>
        <w:rPr>
          <w:rFonts w:ascii="Consolas"/>
          <w:color w:val="231F20"/>
          <w:position w:val="8"/>
          <w:sz w:val="12"/>
          <w:vertAlign w:val="baseline"/>
        </w:rPr>
        <w:t>+ </w:t>
      </w:r>
      <w:r>
        <w:rPr>
          <w:color w:val="231F20"/>
          <w:sz w:val="20"/>
          <w:vertAlign w:val="baseline"/>
        </w:rPr>
        <w:t>concentration stimulates respiration and because increased alveolar ventilation decreases the H</w:t>
      </w:r>
      <w:r>
        <w:rPr>
          <w:rFonts w:ascii="Consolas"/>
          <w:color w:val="231F20"/>
          <w:position w:val="8"/>
          <w:sz w:val="12"/>
          <w:vertAlign w:val="baseline"/>
        </w:rPr>
        <w:t>+ </w:t>
      </w:r>
      <w:r>
        <w:rPr>
          <w:color w:val="231F20"/>
          <w:sz w:val="20"/>
          <w:vertAlign w:val="baseline"/>
        </w:rPr>
        <w:t>concentration, the respira- tory system acts as a typical negative feedback controller of H</w:t>
      </w:r>
      <w:r>
        <w:rPr>
          <w:rFonts w:ascii="Consolas"/>
          <w:color w:val="231F20"/>
          <w:position w:val="8"/>
          <w:sz w:val="12"/>
          <w:vertAlign w:val="baseline"/>
        </w:rPr>
        <w:t>+ </w:t>
      </w:r>
      <w:r>
        <w:rPr>
          <w:color w:val="231F20"/>
          <w:sz w:val="20"/>
          <w:vertAlign w:val="baseline"/>
        </w:rPr>
        <w:t>concentration.</w:t>
      </w:r>
    </w:p>
    <w:p>
      <w:pPr>
        <w:spacing w:before="147"/>
        <w:ind w:left="2514" w:right="0" w:firstLine="0"/>
        <w:jc w:val="left"/>
        <w:rPr>
          <w:rFonts w:ascii="Trebuchet MS" w:hAnsi="Trebuchet MS"/>
          <w:sz w:val="18"/>
        </w:rPr>
      </w:pPr>
      <w:r>
        <w:rPr/>
        <w:pict>
          <v:group style="position:absolute;margin-left:131.349106pt;margin-top:19.949331pt;width:90.1pt;height:22.7pt;mso-position-horizontal-relative:page;mso-position-vertical-relative:paragraph;z-index:-250454016;mso-wrap-distance-left:0;mso-wrap-distance-right:0" coordorigin="2627,399" coordsize="1802,454">
            <v:shape style="position:absolute;left:4108;top:416;width:105;height:174" type="#_x0000_t75" stroked="false">
              <v:imagedata r:id="rId949" o:title=""/>
            </v:shape>
            <v:shape style="position:absolute;left:3968;top:634;width:105;height:174" type="#_x0000_t75" stroked="false">
              <v:imagedata r:id="rId949" o:title=""/>
            </v:shape>
            <v:shape style="position:absolute;left:2812;top:403;width:95;height:52" coordorigin="2813,404" coordsize="95,52" path="m2860,404l2849,416,2837,427,2826,438,2813,449,2819,455,2828,448,2839,439,2848,431,2855,425,2881,425,2872,416,2860,404xm2881,425l2865,425,2872,431,2882,439,2892,448,2901,455,2908,449,2895,438,2883,427,2881,425xe" filled="true" fillcolor="#231f20" stroked="false">
              <v:path arrowok="t"/>
              <v:fill type="solid"/>
            </v:shape>
            <v:shape style="position:absolute;left:2812;top:403;width:95;height:52" coordorigin="2813,404" coordsize="95,52" path="m2855,425l2848,431,2839,439,2828,448,2819,455,2813,449,2826,438,2837,427,2849,416,2860,404,2872,416,2883,427,2895,438,2908,449,2901,455,2892,448,2882,439,2872,431,2865,425e" filled="false" stroked="true" strokeweight=".5pt" strokecolor="#231f20">
              <v:path arrowok="t"/>
              <v:stroke dashstyle="solid"/>
            </v:shape>
            <v:shape style="position:absolute;left:2860;top:420;width:1045;height:350" coordorigin="2860,421" coordsize="1045,350" path="m3904,770l2860,770,2860,421e" filled="false" stroked="true" strokeweight="1pt" strokecolor="#231f20">
              <v:path arrowok="t"/>
              <v:stroke dashstyle="dash"/>
            </v:shape>
            <v:shape style="position:absolute;left:2626;top:481;width:167;height:167" type="#_x0000_t75" stroked="false">
              <v:imagedata r:id="rId950" o:title=""/>
            </v:shape>
            <v:shape style="position:absolute;left:2635;top:486;width:170;height:183" type="#_x0000_t202" filled="false" stroked="false">
              <v:textbox inset="0,0,0,0">
                <w:txbxContent>
                  <w:p>
                    <w:pPr>
                      <w:spacing w:line="177" w:lineRule="exact" w:before="0"/>
                      <w:ind w:left="0" w:right="0" w:firstLine="0"/>
                      <w:jc w:val="left"/>
                      <w:rPr>
                        <w:rFonts w:ascii="Arial"/>
                        <w:sz w:val="18"/>
                      </w:rPr>
                    </w:pPr>
                    <w:r>
                      <w:rPr>
                        <w:rFonts w:ascii="Arial"/>
                        <w:color w:val="231F20"/>
                        <w:w w:val="299"/>
                        <w:sz w:val="18"/>
                      </w:rPr>
                      <w:t> </w:t>
                    </w:r>
                  </w:p>
                </w:txbxContent>
              </v:textbox>
              <w10:wrap type="none"/>
            </v:shape>
            <v:shape style="position:absolute;left:3964;top:399;width:464;height:453" type="#_x0000_t202" filled="false" stroked="false">
              <v:textbox inset="0,0,0,0">
                <w:txbxContent>
                  <w:p>
                    <w:pPr>
                      <w:spacing w:line="219" w:lineRule="exact" w:before="1"/>
                      <w:ind w:left="0" w:right="71" w:firstLine="0"/>
                      <w:jc w:val="center"/>
                      <w:rPr>
                        <w:rFonts w:ascii="Symbol" w:hAnsi="Symbol"/>
                        <w:sz w:val="18"/>
                      </w:rPr>
                    </w:pPr>
                    <w:r>
                      <w:rPr>
                        <w:rFonts w:ascii="Symbol" w:hAnsi="Symbol"/>
                        <w:color w:val="231F20"/>
                        <w:w w:val="99"/>
                        <w:sz w:val="18"/>
                      </w:rPr>
                      <w:t></w:t>
                    </w:r>
                  </w:p>
                  <w:p>
                    <w:pPr>
                      <w:spacing w:line="220" w:lineRule="exact" w:before="0"/>
                      <w:ind w:left="0" w:right="18" w:firstLine="0"/>
                      <w:jc w:val="center"/>
                      <w:rPr>
                        <w:rFonts w:ascii="Trebuchet MS" w:hAnsi="Trebuchet MS"/>
                        <w:sz w:val="18"/>
                      </w:rPr>
                    </w:pPr>
                    <w:r>
                      <w:rPr>
                        <w:rFonts w:ascii="Symbol" w:hAnsi="Symbol"/>
                        <w:color w:val="231F20"/>
                        <w:w w:val="105"/>
                        <w:sz w:val="18"/>
                      </w:rPr>
                      <w:t></w:t>
                    </w:r>
                    <w:r>
                      <w:rPr>
                        <w:rFonts w:ascii="Trebuchet MS" w:hAnsi="Trebuchet MS"/>
                        <w:color w:val="231F20"/>
                        <w:w w:val="105"/>
                        <w:sz w:val="18"/>
                      </w:rPr>
                      <w:t>P</w:t>
                    </w:r>
                    <w:r>
                      <w:rPr>
                        <w:rFonts w:ascii="Trebuchet MS" w:hAnsi="Trebuchet MS"/>
                        <w:color w:val="231F20"/>
                        <w:w w:val="105"/>
                        <w:sz w:val="18"/>
                        <w:vertAlign w:val="subscript"/>
                      </w:rPr>
                      <w:t>CO2</w:t>
                    </w:r>
                  </w:p>
                </w:txbxContent>
              </v:textbox>
              <w10:wrap type="none"/>
            </v:shape>
            <w10:wrap type="topAndBottom"/>
          </v:group>
        </w:pict>
      </w:r>
      <w:r>
        <w:rPr/>
        <w:drawing>
          <wp:anchor distT="0" distB="0" distL="0" distR="0" allowOverlap="1" layoutInCell="1" locked="0" behindDoc="1" simplePos="0" relativeHeight="230779904">
            <wp:simplePos x="0" y="0"/>
            <wp:positionH relativeFrom="page">
              <wp:posOffset>1598452</wp:posOffset>
            </wp:positionH>
            <wp:positionV relativeFrom="paragraph">
              <wp:posOffset>101294</wp:posOffset>
            </wp:positionV>
            <wp:extent cx="66471" cy="110362"/>
            <wp:effectExtent l="0" t="0" r="0" b="0"/>
            <wp:wrapNone/>
            <wp:docPr id="17" name="image741.png"/>
            <wp:cNvGraphicFramePr>
              <a:graphicFrameLocks noChangeAspect="1"/>
            </wp:cNvGraphicFramePr>
            <a:graphic>
              <a:graphicData uri="http://schemas.openxmlformats.org/drawingml/2006/picture">
                <pic:pic>
                  <pic:nvPicPr>
                    <pic:cNvPr id="18" name="image741.png"/>
                    <pic:cNvPicPr/>
                  </pic:nvPicPr>
                  <pic:blipFill>
                    <a:blip r:embed="rId951" cstate="print"/>
                    <a:stretch>
                      <a:fillRect/>
                    </a:stretch>
                  </pic:blipFill>
                  <pic:spPr>
                    <a:xfrm>
                      <a:off x="0" y="0"/>
                      <a:ext cx="66471" cy="110362"/>
                    </a:xfrm>
                    <a:prstGeom prst="rect">
                      <a:avLst/>
                    </a:prstGeom>
                  </pic:spPr>
                </pic:pic>
              </a:graphicData>
            </a:graphic>
          </wp:anchor>
        </w:drawing>
      </w:r>
      <w:r>
        <w:rPr/>
        <w:drawing>
          <wp:anchor distT="0" distB="0" distL="0" distR="0" allowOverlap="1" layoutInCell="1" locked="0" behindDoc="1" simplePos="0" relativeHeight="230780928">
            <wp:simplePos x="0" y="0"/>
            <wp:positionH relativeFrom="page">
              <wp:posOffset>1934424</wp:posOffset>
            </wp:positionH>
            <wp:positionV relativeFrom="paragraph">
              <wp:posOffset>146900</wp:posOffset>
            </wp:positionV>
            <wp:extent cx="110362" cy="66471"/>
            <wp:effectExtent l="0" t="0" r="0" b="0"/>
            <wp:wrapNone/>
            <wp:docPr id="19" name="image742.png"/>
            <wp:cNvGraphicFramePr>
              <a:graphicFrameLocks noChangeAspect="1"/>
            </wp:cNvGraphicFramePr>
            <a:graphic>
              <a:graphicData uri="http://schemas.openxmlformats.org/drawingml/2006/picture">
                <pic:pic>
                  <pic:nvPicPr>
                    <pic:cNvPr id="20" name="image742.png"/>
                    <pic:cNvPicPr/>
                  </pic:nvPicPr>
                  <pic:blipFill>
                    <a:blip r:embed="rId952" cstate="print"/>
                    <a:stretch>
                      <a:fillRect/>
                    </a:stretch>
                  </pic:blipFill>
                  <pic:spPr>
                    <a:xfrm>
                      <a:off x="0" y="0"/>
                      <a:ext cx="110362" cy="66471"/>
                    </a:xfrm>
                    <a:prstGeom prst="rect">
                      <a:avLst/>
                    </a:prstGeom>
                  </pic:spPr>
                </pic:pic>
              </a:graphicData>
            </a:graphic>
          </wp:anchor>
        </w:drawing>
      </w:r>
      <w:r>
        <w:rPr/>
        <w:drawing>
          <wp:anchor distT="0" distB="0" distL="0" distR="0" allowOverlap="1" layoutInCell="1" locked="0" behindDoc="1" simplePos="0" relativeHeight="230781952">
            <wp:simplePos x="0" y="0"/>
            <wp:positionH relativeFrom="page">
              <wp:posOffset>2103931</wp:posOffset>
            </wp:positionH>
            <wp:positionV relativeFrom="paragraph">
              <wp:posOffset>101294</wp:posOffset>
            </wp:positionV>
            <wp:extent cx="66471" cy="110362"/>
            <wp:effectExtent l="0" t="0" r="0" b="0"/>
            <wp:wrapNone/>
            <wp:docPr id="21" name="image741.png"/>
            <wp:cNvGraphicFramePr>
              <a:graphicFrameLocks noChangeAspect="1"/>
            </wp:cNvGraphicFramePr>
            <a:graphic>
              <a:graphicData uri="http://schemas.openxmlformats.org/drawingml/2006/picture">
                <pic:pic>
                  <pic:nvPicPr>
                    <pic:cNvPr id="22" name="image741.png"/>
                    <pic:cNvPicPr/>
                  </pic:nvPicPr>
                  <pic:blipFill>
                    <a:blip r:embed="rId951" cstate="print"/>
                    <a:stretch>
                      <a:fillRect/>
                    </a:stretch>
                  </pic:blipFill>
                  <pic:spPr>
                    <a:xfrm>
                      <a:off x="0" y="0"/>
                      <a:ext cx="66471" cy="110362"/>
                    </a:xfrm>
                    <a:prstGeom prst="rect">
                      <a:avLst/>
                    </a:prstGeom>
                  </pic:spPr>
                </pic:pic>
              </a:graphicData>
            </a:graphic>
          </wp:anchor>
        </w:drawing>
      </w:r>
      <w:r>
        <w:rPr>
          <w:rFonts w:ascii="Symbol" w:hAnsi="Symbol"/>
          <w:color w:val="231F20"/>
          <w:w w:val="105"/>
          <w:sz w:val="18"/>
        </w:rPr>
        <w:t></w:t>
      </w:r>
      <w:r>
        <w:rPr>
          <w:rFonts w:ascii="Trebuchet MS" w:hAnsi="Trebuchet MS"/>
          <w:color w:val="231F20"/>
          <w:w w:val="105"/>
          <w:sz w:val="18"/>
        </w:rPr>
        <w:t>[H</w:t>
      </w:r>
      <w:r>
        <w:rPr>
          <w:rFonts w:ascii="Arial" w:hAnsi="Arial"/>
          <w:color w:val="231F20"/>
          <w:w w:val="105"/>
          <w:position w:val="5"/>
          <w:sz w:val="14"/>
        </w:rPr>
        <w:t>+</w:t>
      </w:r>
      <w:r>
        <w:rPr>
          <w:rFonts w:ascii="Trebuchet MS" w:hAnsi="Trebuchet MS"/>
          <w:color w:val="231F20"/>
          <w:w w:val="105"/>
          <w:sz w:val="18"/>
        </w:rPr>
        <w:t>] </w:t>
      </w:r>
      <w:r>
        <w:rPr>
          <w:rFonts w:ascii="Symbol" w:hAnsi="Symbol"/>
          <w:color w:val="231F20"/>
          <w:w w:val="105"/>
          <w:sz w:val="18"/>
        </w:rPr>
        <w:t></w:t>
      </w:r>
      <w:r>
        <w:rPr>
          <w:color w:val="231F20"/>
          <w:w w:val="105"/>
          <w:sz w:val="18"/>
        </w:rPr>
        <w:t> </w:t>
      </w:r>
      <w:r>
        <w:rPr>
          <w:rFonts w:ascii="Symbol" w:hAnsi="Symbol"/>
          <w:color w:val="231F20"/>
          <w:w w:val="105"/>
          <w:sz w:val="18"/>
        </w:rPr>
        <w:t></w:t>
      </w:r>
      <w:r>
        <w:rPr>
          <w:rFonts w:ascii="Trebuchet MS" w:hAnsi="Trebuchet MS"/>
          <w:color w:val="231F20"/>
          <w:w w:val="105"/>
          <w:sz w:val="18"/>
        </w:rPr>
        <w:t>Alveolar ventilation</w:t>
      </w:r>
    </w:p>
    <w:p>
      <w:pPr>
        <w:pStyle w:val="BodyText"/>
        <w:spacing w:line="249" w:lineRule="auto" w:before="78"/>
        <w:ind w:left="1439" w:firstLine="240"/>
        <w:jc w:val="both"/>
      </w:pPr>
      <w:r>
        <w:rPr>
          <w:color w:val="231F20"/>
        </w:rPr>
        <w:t>That is, whenever the H</w:t>
      </w:r>
      <w:r>
        <w:rPr>
          <w:rFonts w:ascii="Consolas"/>
          <w:color w:val="231F20"/>
          <w:position w:val="8"/>
          <w:sz w:val="12"/>
        </w:rPr>
        <w:t>+ </w:t>
      </w:r>
      <w:r>
        <w:rPr>
          <w:color w:val="231F20"/>
        </w:rPr>
        <w:t>concentration increases above normal, the respiratory system is stimulated and alveolar ventilation increases. This mechanism decreases the P</w:t>
      </w:r>
      <w:r>
        <w:rPr>
          <w:color w:val="231F20"/>
          <w:sz w:val="16"/>
        </w:rPr>
        <w:t>CO</w:t>
      </w:r>
      <w:r>
        <w:rPr>
          <w:color w:val="231F20"/>
          <w:sz w:val="16"/>
          <w:vertAlign w:val="subscript"/>
        </w:rPr>
        <w:t>2</w:t>
      </w:r>
      <w:r>
        <w:rPr>
          <w:color w:val="231F20"/>
          <w:sz w:val="16"/>
          <w:vertAlign w:val="baseline"/>
        </w:rPr>
        <w:t> </w:t>
      </w:r>
      <w:r>
        <w:rPr>
          <w:color w:val="231F20"/>
          <w:vertAlign w:val="baseline"/>
        </w:rPr>
        <w:t>in extracellular fluid and reduces H</w:t>
      </w:r>
      <w:r>
        <w:rPr>
          <w:rFonts w:ascii="Consolas"/>
          <w:color w:val="231F20"/>
          <w:position w:val="8"/>
          <w:sz w:val="12"/>
          <w:vertAlign w:val="baseline"/>
        </w:rPr>
        <w:t>+ </w:t>
      </w:r>
      <w:r>
        <w:rPr>
          <w:color w:val="231F20"/>
          <w:vertAlign w:val="baseline"/>
        </w:rPr>
        <w:t>concentra- tion back toward normal. Conversely, if H</w:t>
      </w:r>
      <w:r>
        <w:rPr>
          <w:rFonts w:ascii="Consolas"/>
          <w:color w:val="231F20"/>
          <w:position w:val="8"/>
          <w:sz w:val="12"/>
          <w:vertAlign w:val="baseline"/>
        </w:rPr>
        <w:t>+ </w:t>
      </w:r>
      <w:r>
        <w:rPr>
          <w:color w:val="231F20"/>
          <w:vertAlign w:val="baseline"/>
        </w:rPr>
        <w:t>concentration falls below normal, the respiratory center becomes depressed, alveolar ventilation decreases, and H</w:t>
      </w:r>
      <w:r>
        <w:rPr>
          <w:rFonts w:ascii="Consolas"/>
          <w:color w:val="231F20"/>
          <w:position w:val="8"/>
          <w:sz w:val="12"/>
          <w:vertAlign w:val="baseline"/>
        </w:rPr>
        <w:t>+ </w:t>
      </w:r>
      <w:r>
        <w:rPr>
          <w:color w:val="231F20"/>
          <w:spacing w:val="-3"/>
          <w:vertAlign w:val="baseline"/>
        </w:rPr>
        <w:t>concen- </w:t>
      </w:r>
      <w:r>
        <w:rPr>
          <w:color w:val="231F20"/>
          <w:vertAlign w:val="baseline"/>
        </w:rPr>
        <w:t>tration increases back toward</w:t>
      </w:r>
      <w:r>
        <w:rPr>
          <w:color w:val="231F20"/>
          <w:spacing w:val="36"/>
          <w:vertAlign w:val="baseline"/>
        </w:rPr>
        <w:t> </w:t>
      </w:r>
      <w:r>
        <w:rPr>
          <w:color w:val="231F20"/>
          <w:vertAlign w:val="baseline"/>
        </w:rPr>
        <w:t>normal.</w:t>
      </w:r>
    </w:p>
    <w:p>
      <w:pPr>
        <w:pStyle w:val="BodyText"/>
        <w:spacing w:line="249" w:lineRule="auto" w:before="244"/>
        <w:ind w:left="1439"/>
        <w:jc w:val="both"/>
      </w:pPr>
      <w:r>
        <w:rPr>
          <w:rFonts w:ascii="Trebuchet MS"/>
          <w:b/>
          <w:color w:val="231F20"/>
          <w:sz w:val="19"/>
        </w:rPr>
        <w:t>Efficiency</w:t>
      </w:r>
      <w:r>
        <w:rPr>
          <w:rFonts w:ascii="Trebuchet MS"/>
          <w:b/>
          <w:color w:val="231F20"/>
          <w:spacing w:val="-21"/>
          <w:sz w:val="19"/>
        </w:rPr>
        <w:t> </w:t>
      </w:r>
      <w:r>
        <w:rPr>
          <w:rFonts w:ascii="Trebuchet MS"/>
          <w:b/>
          <w:color w:val="231F20"/>
          <w:sz w:val="19"/>
        </w:rPr>
        <w:t>of</w:t>
      </w:r>
      <w:r>
        <w:rPr>
          <w:rFonts w:ascii="Trebuchet MS"/>
          <w:b/>
          <w:color w:val="231F20"/>
          <w:spacing w:val="-21"/>
          <w:sz w:val="19"/>
        </w:rPr>
        <w:t> </w:t>
      </w:r>
      <w:r>
        <w:rPr>
          <w:rFonts w:ascii="Trebuchet MS"/>
          <w:b/>
          <w:color w:val="231F20"/>
          <w:sz w:val="19"/>
        </w:rPr>
        <w:t>Respiratory</w:t>
      </w:r>
      <w:r>
        <w:rPr>
          <w:rFonts w:ascii="Trebuchet MS"/>
          <w:b/>
          <w:color w:val="231F20"/>
          <w:spacing w:val="-21"/>
          <w:sz w:val="19"/>
        </w:rPr>
        <w:t> </w:t>
      </w:r>
      <w:r>
        <w:rPr>
          <w:rFonts w:ascii="Trebuchet MS"/>
          <w:b/>
          <w:color w:val="231F20"/>
          <w:sz w:val="19"/>
        </w:rPr>
        <w:t>Control</w:t>
      </w:r>
      <w:r>
        <w:rPr>
          <w:rFonts w:ascii="Trebuchet MS"/>
          <w:b/>
          <w:color w:val="231F20"/>
          <w:spacing w:val="-20"/>
          <w:sz w:val="19"/>
        </w:rPr>
        <w:t> </w:t>
      </w:r>
      <w:r>
        <w:rPr>
          <w:rFonts w:ascii="Trebuchet MS"/>
          <w:b/>
          <w:color w:val="231F20"/>
          <w:sz w:val="19"/>
        </w:rPr>
        <w:t>of</w:t>
      </w:r>
      <w:r>
        <w:rPr>
          <w:rFonts w:ascii="Trebuchet MS"/>
          <w:b/>
          <w:color w:val="231F20"/>
          <w:spacing w:val="-21"/>
          <w:sz w:val="19"/>
        </w:rPr>
        <w:t> </w:t>
      </w:r>
      <w:r>
        <w:rPr>
          <w:rFonts w:ascii="Trebuchet MS"/>
          <w:b/>
          <w:color w:val="231F20"/>
          <w:sz w:val="19"/>
        </w:rPr>
        <w:t>H</w:t>
      </w:r>
      <w:r>
        <w:rPr>
          <w:rFonts w:ascii="Consolas"/>
          <w:b/>
          <w:color w:val="231F20"/>
          <w:sz w:val="19"/>
          <w:vertAlign w:val="superscript"/>
        </w:rPr>
        <w:t>+</w:t>
      </w:r>
      <w:r>
        <w:rPr>
          <w:rFonts w:ascii="Consolas"/>
          <w:b/>
          <w:color w:val="231F20"/>
          <w:spacing w:val="-69"/>
          <w:sz w:val="19"/>
          <w:vertAlign w:val="baseline"/>
        </w:rPr>
        <w:t> </w:t>
      </w:r>
      <w:r>
        <w:rPr>
          <w:rFonts w:ascii="Trebuchet MS"/>
          <w:b/>
          <w:color w:val="231F20"/>
          <w:sz w:val="19"/>
          <w:vertAlign w:val="baseline"/>
        </w:rPr>
        <w:t>Concentration. </w:t>
      </w:r>
      <w:r>
        <w:rPr>
          <w:color w:val="231F20"/>
          <w:vertAlign w:val="baseline"/>
        </w:rPr>
        <w:t>Respiratory control cannot return  the  H</w:t>
      </w:r>
      <w:r>
        <w:rPr>
          <w:rFonts w:ascii="Consolas"/>
          <w:color w:val="231F20"/>
          <w:position w:val="8"/>
          <w:sz w:val="12"/>
          <w:vertAlign w:val="baseline"/>
        </w:rPr>
        <w:t>+ </w:t>
      </w:r>
      <w:r>
        <w:rPr>
          <w:color w:val="231F20"/>
          <w:vertAlign w:val="baseline"/>
        </w:rPr>
        <w:t>concentration all the way back to normal when a disturbance outside  the respiratory system has altered pH. Ordinarily, </w:t>
      </w:r>
      <w:r>
        <w:rPr>
          <w:color w:val="231F20"/>
          <w:spacing w:val="-5"/>
          <w:vertAlign w:val="baseline"/>
        </w:rPr>
        <w:t>the </w:t>
      </w:r>
      <w:r>
        <w:rPr>
          <w:color w:val="231F20"/>
          <w:vertAlign w:val="baseline"/>
        </w:rPr>
        <w:t>respiratory mechanism for  controlling  H</w:t>
      </w:r>
      <w:r>
        <w:rPr>
          <w:rFonts w:ascii="Consolas"/>
          <w:color w:val="231F20"/>
          <w:position w:val="8"/>
          <w:sz w:val="12"/>
          <w:vertAlign w:val="baseline"/>
        </w:rPr>
        <w:t>+ </w:t>
      </w:r>
      <w:r>
        <w:rPr>
          <w:color w:val="231F20"/>
          <w:vertAlign w:val="baseline"/>
        </w:rPr>
        <w:t>concentration is approximately 50 to 75 percent effective, corresponding to a </w:t>
      </w:r>
      <w:r>
        <w:rPr>
          <w:i/>
          <w:color w:val="231F20"/>
          <w:vertAlign w:val="baseline"/>
        </w:rPr>
        <w:t>feedback gain </w:t>
      </w:r>
      <w:r>
        <w:rPr>
          <w:color w:val="231F20"/>
          <w:vertAlign w:val="baseline"/>
        </w:rPr>
        <w:t>of 1 to 3. That is, if the pH is suddenly decreased by adding acid to the extracellular fluid and</w:t>
      </w:r>
      <w:r>
        <w:rPr>
          <w:color w:val="231F20"/>
          <w:spacing w:val="41"/>
          <w:vertAlign w:val="baseline"/>
        </w:rPr>
        <w:t> </w:t>
      </w:r>
      <w:r>
        <w:rPr>
          <w:color w:val="231F20"/>
          <w:vertAlign w:val="baseline"/>
        </w:rPr>
        <w:t>pH</w:t>
      </w:r>
    </w:p>
    <w:p>
      <w:pPr>
        <w:pStyle w:val="BodyText"/>
        <w:spacing w:line="249" w:lineRule="auto" w:before="5"/>
        <w:ind w:left="319" w:right="1077"/>
        <w:jc w:val="both"/>
      </w:pPr>
      <w:r>
        <w:rPr/>
        <w:br w:type="column"/>
      </w:r>
      <w:r>
        <w:rPr>
          <w:color w:val="231F20"/>
          <w:w w:val="105"/>
        </w:rPr>
        <w:t>normally</w:t>
      </w:r>
      <w:r>
        <w:rPr>
          <w:color w:val="231F20"/>
          <w:spacing w:val="-17"/>
          <w:w w:val="105"/>
        </w:rPr>
        <w:t> </w:t>
      </w:r>
      <w:r>
        <w:rPr>
          <w:color w:val="231F20"/>
          <w:w w:val="105"/>
        </w:rPr>
        <w:t>be</w:t>
      </w:r>
      <w:r>
        <w:rPr>
          <w:color w:val="231F20"/>
          <w:spacing w:val="-16"/>
          <w:w w:val="105"/>
        </w:rPr>
        <w:t> </w:t>
      </w:r>
      <w:r>
        <w:rPr>
          <w:color w:val="231F20"/>
          <w:w w:val="105"/>
        </w:rPr>
        <w:t>buffered</w:t>
      </w:r>
      <w:r>
        <w:rPr>
          <w:color w:val="231F20"/>
          <w:spacing w:val="-17"/>
          <w:w w:val="105"/>
        </w:rPr>
        <w:t> </w:t>
      </w:r>
      <w:r>
        <w:rPr>
          <w:color w:val="231F20"/>
          <w:w w:val="105"/>
        </w:rPr>
        <w:t>by</w:t>
      </w:r>
      <w:r>
        <w:rPr>
          <w:color w:val="231F20"/>
          <w:spacing w:val="-16"/>
          <w:w w:val="105"/>
        </w:rPr>
        <w:t> </w:t>
      </w:r>
      <w:r>
        <w:rPr>
          <w:color w:val="231F20"/>
          <w:w w:val="105"/>
        </w:rPr>
        <w:t>this</w:t>
      </w:r>
      <w:r>
        <w:rPr>
          <w:color w:val="231F20"/>
          <w:spacing w:val="-17"/>
          <w:w w:val="105"/>
        </w:rPr>
        <w:t> </w:t>
      </w:r>
      <w:r>
        <w:rPr>
          <w:color w:val="231F20"/>
          <w:w w:val="105"/>
        </w:rPr>
        <w:t>mechanism</w:t>
      </w:r>
      <w:r>
        <w:rPr>
          <w:color w:val="231F20"/>
          <w:spacing w:val="-16"/>
          <w:w w:val="105"/>
        </w:rPr>
        <w:t> </w:t>
      </w:r>
      <w:r>
        <w:rPr>
          <w:color w:val="231F20"/>
          <w:w w:val="105"/>
        </w:rPr>
        <w:t>as</w:t>
      </w:r>
      <w:r>
        <w:rPr>
          <w:color w:val="231F20"/>
          <w:spacing w:val="-17"/>
          <w:w w:val="105"/>
        </w:rPr>
        <w:t> </w:t>
      </w:r>
      <w:r>
        <w:rPr>
          <w:color w:val="231F20"/>
          <w:w w:val="105"/>
        </w:rPr>
        <w:t>by</w:t>
      </w:r>
      <w:r>
        <w:rPr>
          <w:color w:val="231F20"/>
          <w:spacing w:val="-16"/>
          <w:w w:val="105"/>
        </w:rPr>
        <w:t> </w:t>
      </w:r>
      <w:r>
        <w:rPr>
          <w:color w:val="231F20"/>
          <w:w w:val="105"/>
        </w:rPr>
        <w:t>the</w:t>
      </w:r>
      <w:r>
        <w:rPr>
          <w:color w:val="231F20"/>
          <w:spacing w:val="-17"/>
          <w:w w:val="105"/>
        </w:rPr>
        <w:t> </w:t>
      </w:r>
      <w:r>
        <w:rPr>
          <w:color w:val="231F20"/>
          <w:spacing w:val="-3"/>
          <w:w w:val="105"/>
        </w:rPr>
        <w:t>chemi- </w:t>
      </w:r>
      <w:r>
        <w:rPr>
          <w:color w:val="231F20"/>
          <w:w w:val="105"/>
        </w:rPr>
        <w:t>cal</w:t>
      </w:r>
      <w:r>
        <w:rPr>
          <w:color w:val="231F20"/>
          <w:spacing w:val="2"/>
          <w:w w:val="105"/>
        </w:rPr>
        <w:t> </w:t>
      </w:r>
      <w:r>
        <w:rPr>
          <w:color w:val="231F20"/>
          <w:w w:val="105"/>
        </w:rPr>
        <w:t>buffers.</w:t>
      </w:r>
    </w:p>
    <w:p>
      <w:pPr>
        <w:pStyle w:val="BodyText"/>
        <w:spacing w:line="249" w:lineRule="auto" w:before="250"/>
        <w:ind w:left="319" w:right="1077"/>
        <w:jc w:val="both"/>
      </w:pPr>
      <w:r>
        <w:rPr>
          <w:rFonts w:ascii="Trebuchet MS"/>
          <w:b/>
          <w:color w:val="231F20"/>
          <w:sz w:val="19"/>
        </w:rPr>
        <w:t>Impairment of Lung Function Can Cause Respiratory Acidosis. </w:t>
      </w:r>
      <w:r>
        <w:rPr>
          <w:color w:val="231F20"/>
        </w:rPr>
        <w:t>We have discussed thus far the role of the </w:t>
      </w:r>
      <w:r>
        <w:rPr>
          <w:i/>
          <w:color w:val="231F20"/>
        </w:rPr>
        <w:t>normal </w:t>
      </w:r>
      <w:r>
        <w:rPr>
          <w:color w:val="231F20"/>
        </w:rPr>
        <w:t>respiratory mechanism as a means of buffering changes in H</w:t>
      </w:r>
      <w:r>
        <w:rPr>
          <w:rFonts w:ascii="Consolas"/>
          <w:color w:val="231F20"/>
          <w:position w:val="8"/>
          <w:sz w:val="12"/>
        </w:rPr>
        <w:t>+ </w:t>
      </w:r>
      <w:r>
        <w:rPr>
          <w:color w:val="231F20"/>
        </w:rPr>
        <w:t>concentration. However, </w:t>
      </w:r>
      <w:r>
        <w:rPr>
          <w:i/>
          <w:color w:val="231F20"/>
        </w:rPr>
        <w:t>abnormalities of </w:t>
      </w:r>
      <w:r>
        <w:rPr>
          <w:i/>
          <w:color w:val="231F20"/>
        </w:rPr>
        <w:t>respiration </w:t>
      </w:r>
      <w:r>
        <w:rPr>
          <w:color w:val="231F20"/>
        </w:rPr>
        <w:t>can also cause changes in H</w:t>
      </w:r>
      <w:r>
        <w:rPr>
          <w:rFonts w:ascii="Consolas"/>
          <w:color w:val="231F20"/>
          <w:position w:val="8"/>
          <w:sz w:val="12"/>
        </w:rPr>
        <w:t>+ </w:t>
      </w:r>
      <w:r>
        <w:rPr>
          <w:color w:val="231F20"/>
        </w:rPr>
        <w:t>concentration. For example, an impairment of lung function, such as severe emphysema, decreases the ability of the lungs to eliminate CO</w:t>
      </w:r>
      <w:r>
        <w:rPr>
          <w:color w:val="231F20"/>
          <w:vertAlign w:val="subscript"/>
        </w:rPr>
        <w:t>2</w:t>
      </w:r>
      <w:r>
        <w:rPr>
          <w:color w:val="231F20"/>
          <w:vertAlign w:val="baseline"/>
        </w:rPr>
        <w:t>, which causes a buildup of CO</w:t>
      </w:r>
      <w:r>
        <w:rPr>
          <w:color w:val="231F20"/>
          <w:vertAlign w:val="subscript"/>
        </w:rPr>
        <w:t>2</w:t>
      </w:r>
      <w:r>
        <w:rPr>
          <w:color w:val="231F20"/>
          <w:vertAlign w:val="baseline"/>
        </w:rPr>
        <w:t> in the extracellular fluid and a tendency toward </w:t>
      </w:r>
      <w:r>
        <w:rPr>
          <w:i/>
          <w:color w:val="231F20"/>
          <w:vertAlign w:val="baseline"/>
        </w:rPr>
        <w:t>respiratory aci- </w:t>
      </w:r>
      <w:r>
        <w:rPr>
          <w:i/>
          <w:color w:val="231F20"/>
          <w:vertAlign w:val="baseline"/>
        </w:rPr>
        <w:t>dosis. </w:t>
      </w:r>
      <w:r>
        <w:rPr>
          <w:color w:val="231F20"/>
          <w:vertAlign w:val="baseline"/>
        </w:rPr>
        <w:t>Also, the ability to respond to metabolic acidosis is impaired because the compensatory reductions in P</w:t>
      </w:r>
      <w:r>
        <w:rPr>
          <w:color w:val="231F20"/>
          <w:sz w:val="16"/>
          <w:vertAlign w:val="baseline"/>
        </w:rPr>
        <w:t>CO</w:t>
      </w:r>
      <w:r>
        <w:rPr>
          <w:color w:val="231F20"/>
          <w:sz w:val="16"/>
          <w:vertAlign w:val="subscript"/>
        </w:rPr>
        <w:t>2</w:t>
      </w:r>
      <w:r>
        <w:rPr>
          <w:color w:val="231F20"/>
          <w:sz w:val="16"/>
          <w:vertAlign w:val="baseline"/>
        </w:rPr>
        <w:t> </w:t>
      </w:r>
      <w:r>
        <w:rPr>
          <w:color w:val="231F20"/>
          <w:vertAlign w:val="baseline"/>
        </w:rPr>
        <w:t>that would normally occur by means of increased ventila- tion are blunted. In these circumstances, the kidneys rep- resent the sole remaining physiologic mechanism for returning pH toward normal after the initial chemical buffering in the extracellular fluid has occurred.</w:t>
      </w:r>
    </w:p>
    <w:p>
      <w:pPr>
        <w:pStyle w:val="BodyText"/>
        <w:spacing w:before="3"/>
        <w:rPr>
          <w:sz w:val="25"/>
        </w:rPr>
      </w:pPr>
      <w:r>
        <w:rPr/>
        <w:pict>
          <v:shape style="position:absolute;margin-left:324pt;margin-top:15.732627pt;width:234pt;height:28pt;mso-position-horizontal-relative:page;mso-position-vertical-relative:paragraph;z-index:-250452992;mso-wrap-distance-left:0;mso-wrap-distance-right:0" type="#_x0000_t202" filled="true" fillcolor="#e8dac8" stroked="false">
            <v:textbox inset="0,0,0,0">
              <w:txbxContent>
                <w:p>
                  <w:pPr>
                    <w:spacing w:line="225" w:lineRule="auto" w:before="46"/>
                    <w:ind w:left="59" w:right="2251" w:firstLine="0"/>
                    <w:jc w:val="left"/>
                    <w:rPr>
                      <w:rFonts w:ascii="Trebuchet MS"/>
                      <w:b/>
                      <w:sz w:val="22"/>
                    </w:rPr>
                  </w:pPr>
                  <w:r>
                    <w:rPr>
                      <w:rFonts w:ascii="Trebuchet MS"/>
                      <w:b/>
                      <w:color w:val="231F20"/>
                      <w:w w:val="110"/>
                      <w:sz w:val="22"/>
                    </w:rPr>
                    <w:t>RENAL CONTROL OF ACID-BASE BALANCE</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077"/>
        <w:jc w:val="both"/>
      </w:pPr>
      <w:r>
        <w:rPr>
          <w:color w:val="231F20"/>
        </w:rPr>
        <w:t>The kidneys control acid-base balance  by </w:t>
      </w:r>
      <w:r>
        <w:rPr>
          <w:color w:val="231F20"/>
          <w:spacing w:val="29"/>
        </w:rPr>
        <w:t> </w:t>
      </w:r>
      <w:r>
        <w:rPr>
          <w:color w:val="231F20"/>
          <w:spacing w:val="-3"/>
        </w:rPr>
        <w:t>excreting </w:t>
      </w:r>
      <w:r>
        <w:rPr>
          <w:color w:val="231F20"/>
        </w:rPr>
        <w:t>either acidic or basic urine. Excreting acidic urine </w:t>
      </w:r>
      <w:r>
        <w:rPr>
          <w:color w:val="231F20"/>
          <w:spacing w:val="-5"/>
        </w:rPr>
        <w:t>re- </w:t>
      </w:r>
      <w:r>
        <w:rPr>
          <w:color w:val="231F20"/>
        </w:rPr>
        <w:t>duces the amount of acid in extracellular fluid, whereas excreting basic urine removes base from the extracel- lular</w:t>
      </w:r>
      <w:r>
        <w:rPr>
          <w:color w:val="231F20"/>
          <w:spacing w:val="25"/>
        </w:rPr>
        <w:t> </w:t>
      </w:r>
      <w:r>
        <w:rPr>
          <w:color w:val="231F20"/>
        </w:rPr>
        <w:t>fluid.</w:t>
      </w:r>
    </w:p>
    <w:p>
      <w:pPr>
        <w:pStyle w:val="BodyText"/>
        <w:spacing w:line="247" w:lineRule="auto" w:before="4"/>
        <w:ind w:left="319" w:right="1077" w:firstLine="240"/>
        <w:jc w:val="both"/>
      </w:pPr>
      <w:r>
        <w:rPr/>
        <w:pict>
          <v:shape style="position:absolute;margin-left:346.459412pt;margin-top:29.461931pt;width:3pt;height:8.7pt;mso-position-horizontal-relative:page;mso-position-vertical-relative:paragraph;z-index:-27253043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69.128204pt;margin-top:89.461929pt;width:3pt;height:8.7pt;mso-position-horizontal-relative:page;mso-position-vertical-relative:paragraph;z-index:-2725294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51.754028pt;margin-top:101.461929pt;width:3pt;height:8.7pt;mso-position-horizontal-relative:page;mso-position-vertical-relative:paragraph;z-index:-27252838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The overall mechanism by which the kidneys excrete acidic or basic urine is as follows: Large numbers  </w:t>
      </w:r>
      <w:r>
        <w:rPr>
          <w:color w:val="231F20"/>
          <w:spacing w:val="-7"/>
        </w:rPr>
        <w:t>of </w:t>
      </w:r>
      <w:r>
        <w:rPr>
          <w:color w:val="231F20"/>
        </w:rPr>
        <w:t>HCO </w:t>
      </w:r>
      <w:r>
        <w:rPr>
          <w:rFonts w:ascii="Consolas" w:hAnsi="Consolas"/>
          <w:color w:val="231F20"/>
          <w:position w:val="8"/>
          <w:sz w:val="12"/>
        </w:rPr>
        <w:t>− </w:t>
      </w:r>
      <w:r>
        <w:rPr>
          <w:color w:val="231F20"/>
        </w:rPr>
        <w:t>are  filtered  continuously  into  the  tubules,  and if they are excreted into the urine, this  removes  base from the blood. Large numbers of H</w:t>
      </w:r>
      <w:r>
        <w:rPr>
          <w:rFonts w:ascii="Consolas" w:hAnsi="Consolas"/>
          <w:color w:val="231F20"/>
          <w:position w:val="8"/>
          <w:sz w:val="12"/>
        </w:rPr>
        <w:t>+ </w:t>
      </w:r>
      <w:r>
        <w:rPr>
          <w:color w:val="231F20"/>
        </w:rPr>
        <w:t>are also secreted into the tubular lumen by the tubular  epithelial  cells,  thus removing acid from the blood. If more H</w:t>
      </w:r>
      <w:r>
        <w:rPr>
          <w:rFonts w:ascii="Consolas" w:hAnsi="Consolas"/>
          <w:color w:val="231F20"/>
          <w:position w:val="8"/>
          <w:sz w:val="12"/>
        </w:rPr>
        <w:t>+ </w:t>
      </w:r>
      <w:r>
        <w:rPr>
          <w:color w:val="231F20"/>
        </w:rPr>
        <w:t>is secreted than HCO </w:t>
      </w:r>
      <w:r>
        <w:rPr>
          <w:rFonts w:ascii="Consolas" w:hAnsi="Consolas"/>
          <w:color w:val="231F20"/>
          <w:position w:val="8"/>
          <w:sz w:val="12"/>
        </w:rPr>
        <w:t>− </w:t>
      </w:r>
      <w:r>
        <w:rPr>
          <w:color w:val="231F20"/>
        </w:rPr>
        <w:t>is filtered, there will be a net loss of acid from the extracellular fluid. Conversely, if more HCO </w:t>
      </w:r>
      <w:r>
        <w:rPr>
          <w:rFonts w:ascii="Consolas" w:hAnsi="Consolas"/>
          <w:color w:val="231F20"/>
          <w:position w:val="8"/>
          <w:sz w:val="12"/>
        </w:rPr>
        <w:t>−  </w:t>
      </w:r>
      <w:r>
        <w:rPr>
          <w:color w:val="231F20"/>
        </w:rPr>
        <w:t>is filtered than H</w:t>
      </w:r>
      <w:r>
        <w:rPr>
          <w:rFonts w:ascii="Consolas" w:hAnsi="Consolas"/>
          <w:color w:val="231F20"/>
          <w:position w:val="8"/>
          <w:sz w:val="12"/>
        </w:rPr>
        <w:t>+ </w:t>
      </w:r>
      <w:r>
        <w:rPr>
          <w:color w:val="231F20"/>
        </w:rPr>
        <w:t>is secreted, there will be a net loss       of</w:t>
      </w:r>
      <w:r>
        <w:rPr>
          <w:color w:val="231F20"/>
          <w:spacing w:val="5"/>
        </w:rPr>
        <w:t> </w:t>
      </w:r>
      <w:r>
        <w:rPr>
          <w:color w:val="231F20"/>
        </w:rPr>
        <w:t>base.</w:t>
      </w:r>
    </w:p>
    <w:p>
      <w:pPr>
        <w:pStyle w:val="BodyText"/>
        <w:spacing w:line="249" w:lineRule="auto" w:before="12"/>
        <w:ind w:left="319" w:right="1077" w:firstLine="240"/>
        <w:jc w:val="both"/>
      </w:pPr>
      <w:r>
        <w:rPr>
          <w:color w:val="231F20"/>
          <w:w w:val="105"/>
        </w:rPr>
        <w:t>Each</w:t>
      </w:r>
      <w:r>
        <w:rPr>
          <w:color w:val="231F20"/>
          <w:spacing w:val="-23"/>
          <w:w w:val="105"/>
        </w:rPr>
        <w:t> </w:t>
      </w:r>
      <w:r>
        <w:rPr>
          <w:color w:val="231F20"/>
          <w:w w:val="105"/>
        </w:rPr>
        <w:t>day</w:t>
      </w:r>
      <w:r>
        <w:rPr>
          <w:color w:val="231F20"/>
          <w:spacing w:val="-22"/>
          <w:w w:val="105"/>
        </w:rPr>
        <w:t> </w:t>
      </w:r>
      <w:r>
        <w:rPr>
          <w:color w:val="231F20"/>
          <w:w w:val="105"/>
        </w:rPr>
        <w:t>the</w:t>
      </w:r>
      <w:r>
        <w:rPr>
          <w:color w:val="231F20"/>
          <w:spacing w:val="-23"/>
          <w:w w:val="105"/>
        </w:rPr>
        <w:t> </w:t>
      </w:r>
      <w:r>
        <w:rPr>
          <w:color w:val="231F20"/>
          <w:w w:val="105"/>
        </w:rPr>
        <w:t>body</w:t>
      </w:r>
      <w:r>
        <w:rPr>
          <w:color w:val="231F20"/>
          <w:spacing w:val="-22"/>
          <w:w w:val="105"/>
        </w:rPr>
        <w:t> </w:t>
      </w:r>
      <w:r>
        <w:rPr>
          <w:color w:val="231F20"/>
          <w:w w:val="105"/>
        </w:rPr>
        <w:t>produces</w:t>
      </w:r>
      <w:r>
        <w:rPr>
          <w:color w:val="231F20"/>
          <w:spacing w:val="-23"/>
          <w:w w:val="105"/>
        </w:rPr>
        <w:t> </w:t>
      </w:r>
      <w:r>
        <w:rPr>
          <w:color w:val="231F20"/>
          <w:w w:val="105"/>
        </w:rPr>
        <w:t>about</w:t>
      </w:r>
      <w:r>
        <w:rPr>
          <w:color w:val="231F20"/>
          <w:spacing w:val="-22"/>
          <w:w w:val="105"/>
        </w:rPr>
        <w:t> </w:t>
      </w:r>
      <w:r>
        <w:rPr>
          <w:color w:val="231F20"/>
          <w:w w:val="105"/>
        </w:rPr>
        <w:t>80</w:t>
      </w:r>
      <w:r>
        <w:rPr>
          <w:color w:val="231F20"/>
          <w:spacing w:val="-12"/>
          <w:w w:val="105"/>
        </w:rPr>
        <w:t> </w:t>
      </w:r>
      <w:r>
        <w:rPr>
          <w:color w:val="231F20"/>
          <w:w w:val="105"/>
        </w:rPr>
        <w:t>mEq</w:t>
      </w:r>
      <w:r>
        <w:rPr>
          <w:color w:val="231F20"/>
          <w:spacing w:val="-22"/>
          <w:w w:val="105"/>
        </w:rPr>
        <w:t> </w:t>
      </w:r>
      <w:r>
        <w:rPr>
          <w:color w:val="231F20"/>
          <w:w w:val="105"/>
        </w:rPr>
        <w:t>of</w:t>
      </w:r>
      <w:r>
        <w:rPr>
          <w:color w:val="231F20"/>
          <w:spacing w:val="-23"/>
          <w:w w:val="105"/>
        </w:rPr>
        <w:t> </w:t>
      </w:r>
      <w:r>
        <w:rPr>
          <w:color w:val="231F20"/>
          <w:w w:val="105"/>
        </w:rPr>
        <w:t>nonvola- tile</w:t>
      </w:r>
      <w:r>
        <w:rPr>
          <w:color w:val="231F20"/>
          <w:spacing w:val="-17"/>
          <w:w w:val="105"/>
        </w:rPr>
        <w:t> </w:t>
      </w:r>
      <w:r>
        <w:rPr>
          <w:color w:val="231F20"/>
          <w:w w:val="105"/>
        </w:rPr>
        <w:t>acids,</w:t>
      </w:r>
      <w:r>
        <w:rPr>
          <w:color w:val="231F20"/>
          <w:spacing w:val="-16"/>
          <w:w w:val="105"/>
        </w:rPr>
        <w:t> </w:t>
      </w:r>
      <w:r>
        <w:rPr>
          <w:color w:val="231F20"/>
          <w:w w:val="105"/>
        </w:rPr>
        <w:t>mainly</w:t>
      </w:r>
      <w:r>
        <w:rPr>
          <w:color w:val="231F20"/>
          <w:spacing w:val="-16"/>
          <w:w w:val="105"/>
        </w:rPr>
        <w:t> </w:t>
      </w:r>
      <w:r>
        <w:rPr>
          <w:color w:val="231F20"/>
          <w:w w:val="105"/>
        </w:rPr>
        <w:t>from</w:t>
      </w:r>
      <w:r>
        <w:rPr>
          <w:color w:val="231F20"/>
          <w:spacing w:val="-17"/>
          <w:w w:val="105"/>
        </w:rPr>
        <w:t> </w:t>
      </w:r>
      <w:r>
        <w:rPr>
          <w:color w:val="231F20"/>
          <w:w w:val="105"/>
        </w:rPr>
        <w:t>the</w:t>
      </w:r>
      <w:r>
        <w:rPr>
          <w:color w:val="231F20"/>
          <w:spacing w:val="-16"/>
          <w:w w:val="105"/>
        </w:rPr>
        <w:t> </w:t>
      </w:r>
      <w:r>
        <w:rPr>
          <w:color w:val="231F20"/>
          <w:w w:val="105"/>
        </w:rPr>
        <w:t>metabolism</w:t>
      </w:r>
      <w:r>
        <w:rPr>
          <w:color w:val="231F20"/>
          <w:spacing w:val="-16"/>
          <w:w w:val="105"/>
        </w:rPr>
        <w:t> </w:t>
      </w:r>
      <w:r>
        <w:rPr>
          <w:color w:val="231F20"/>
          <w:w w:val="105"/>
        </w:rPr>
        <w:t>of</w:t>
      </w:r>
      <w:r>
        <w:rPr>
          <w:color w:val="231F20"/>
          <w:spacing w:val="-17"/>
          <w:w w:val="105"/>
        </w:rPr>
        <w:t> </w:t>
      </w:r>
      <w:r>
        <w:rPr>
          <w:color w:val="231F20"/>
          <w:w w:val="105"/>
        </w:rPr>
        <w:t>proteins.</w:t>
      </w:r>
      <w:r>
        <w:rPr>
          <w:color w:val="231F20"/>
          <w:spacing w:val="-16"/>
          <w:w w:val="105"/>
        </w:rPr>
        <w:t> </w:t>
      </w:r>
      <w:r>
        <w:rPr>
          <w:color w:val="231F20"/>
          <w:w w:val="105"/>
        </w:rPr>
        <w:t>These acids are called </w:t>
      </w:r>
      <w:r>
        <w:rPr>
          <w:i/>
          <w:color w:val="231F20"/>
          <w:w w:val="105"/>
        </w:rPr>
        <w:t>nonvolatile </w:t>
      </w:r>
      <w:r>
        <w:rPr>
          <w:color w:val="231F20"/>
          <w:w w:val="105"/>
        </w:rPr>
        <w:t>because they are not </w:t>
      </w:r>
      <w:r>
        <w:rPr>
          <w:color w:val="231F20"/>
          <w:spacing w:val="-6"/>
          <w:w w:val="105"/>
        </w:rPr>
        <w:t>H</w:t>
      </w:r>
      <w:r>
        <w:rPr>
          <w:color w:val="231F20"/>
          <w:spacing w:val="-6"/>
          <w:w w:val="105"/>
          <w:vertAlign w:val="subscript"/>
        </w:rPr>
        <w:t>2</w:t>
      </w:r>
      <w:r>
        <w:rPr>
          <w:color w:val="231F20"/>
          <w:spacing w:val="-6"/>
          <w:w w:val="105"/>
          <w:vertAlign w:val="baseline"/>
        </w:rPr>
        <w:t>CO</w:t>
      </w:r>
      <w:r>
        <w:rPr>
          <w:color w:val="231F20"/>
          <w:spacing w:val="-6"/>
          <w:w w:val="105"/>
          <w:vertAlign w:val="subscript"/>
        </w:rPr>
        <w:t>3</w:t>
      </w:r>
      <w:r>
        <w:rPr>
          <w:color w:val="231F20"/>
          <w:spacing w:val="-6"/>
          <w:w w:val="105"/>
          <w:vertAlign w:val="baseline"/>
        </w:rPr>
        <w:t> </w:t>
      </w:r>
      <w:r>
        <w:rPr>
          <w:color w:val="231F20"/>
          <w:w w:val="105"/>
          <w:vertAlign w:val="baseline"/>
        </w:rPr>
        <w:t>and, therefore, cannot be excreted by the lungs. The primary mechanism for removal of these acids from</w:t>
      </w:r>
      <w:r>
        <w:rPr>
          <w:color w:val="231F20"/>
          <w:spacing w:val="-4"/>
          <w:w w:val="105"/>
          <w:vertAlign w:val="baseline"/>
        </w:rPr>
        <w:t> </w:t>
      </w:r>
      <w:r>
        <w:rPr>
          <w:color w:val="231F20"/>
          <w:w w:val="105"/>
          <w:vertAlign w:val="baseline"/>
        </w:rPr>
        <w:t>the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953"/>
          <w:footerReference w:type="even" r:id="rId954"/>
          <w:footerReference w:type="default" r:id="rId955"/>
          <w:pgSz w:w="12240" w:h="15660"/>
          <w:pgMar w:header="0" w:footer="567" w:top="720" w:bottom="760" w:left="0" w:right="0"/>
          <w:pgNumType w:start="416"/>
        </w:sectPr>
      </w:pPr>
    </w:p>
    <w:p>
      <w:pPr>
        <w:pStyle w:val="BodyText"/>
        <w:spacing w:line="249" w:lineRule="auto" w:before="99"/>
        <w:ind w:left="1080"/>
        <w:jc w:val="both"/>
      </w:pPr>
      <w:r>
        <w:rPr/>
        <w:pict>
          <v:shape style="position:absolute;margin-left:87.474899pt;margin-top:58.211964pt;width:3pt;height:8.7pt;mso-position-horizontal-relative:page;mso-position-vertical-relative:paragraph;z-index:-27251609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body is renal excretion. The kidneys must also prevent  the loss of bicarbonate in the urine, a task that is quantitatively more important than the excretion of </w:t>
      </w:r>
      <w:r>
        <w:rPr>
          <w:color w:val="231F20"/>
          <w:spacing w:val="-4"/>
        </w:rPr>
        <w:t>non- </w:t>
      </w:r>
      <w:r>
        <w:rPr>
          <w:color w:val="231F20"/>
        </w:rPr>
        <w:t>volatile acids. Each day the kidneys filter about 4320 </w:t>
      </w:r>
      <w:r>
        <w:rPr>
          <w:color w:val="231F20"/>
          <w:spacing w:val="-4"/>
        </w:rPr>
        <w:t>mEq </w:t>
      </w:r>
      <w:r>
        <w:rPr>
          <w:color w:val="231F20"/>
        </w:rPr>
        <w:t>of HCO </w:t>
      </w:r>
      <w:r>
        <w:rPr>
          <w:rFonts w:ascii="Consolas" w:hAnsi="Consolas"/>
          <w:color w:val="231F20"/>
          <w:position w:val="8"/>
          <w:sz w:val="12"/>
        </w:rPr>
        <w:t>− </w:t>
      </w:r>
      <w:r>
        <w:rPr>
          <w:color w:val="231F20"/>
        </w:rPr>
        <w:t>(180 L/day </w:t>
      </w:r>
      <w:r>
        <w:rPr>
          <w:rFonts w:ascii="Consolas" w:hAnsi="Consolas"/>
          <w:color w:val="231F20"/>
        </w:rPr>
        <w:t>× </w:t>
      </w:r>
      <w:r>
        <w:rPr>
          <w:color w:val="231F20"/>
        </w:rPr>
        <w:t>24 mEq/L); under normal </w:t>
      </w:r>
      <w:r>
        <w:rPr>
          <w:color w:val="231F20"/>
          <w:spacing w:val="-4"/>
        </w:rPr>
        <w:t>condi- </w:t>
      </w:r>
      <w:r>
        <w:rPr>
          <w:color w:val="231F20"/>
        </w:rPr>
        <w:t>tions, almost all this is reabsorbed from the tubules, thereby conserving the primary buffer system of </w:t>
      </w:r>
      <w:r>
        <w:rPr>
          <w:color w:val="231F20"/>
          <w:spacing w:val="-6"/>
        </w:rPr>
        <w:t>the </w:t>
      </w:r>
      <w:r>
        <w:rPr>
          <w:color w:val="231F20"/>
        </w:rPr>
        <w:t>extracellular</w:t>
      </w:r>
      <w:r>
        <w:rPr>
          <w:color w:val="231F20"/>
          <w:spacing w:val="5"/>
        </w:rPr>
        <w:t> </w:t>
      </w:r>
      <w:r>
        <w:rPr>
          <w:color w:val="231F20"/>
        </w:rPr>
        <w:t>fluid.</w:t>
      </w:r>
    </w:p>
    <w:p>
      <w:pPr>
        <w:pStyle w:val="BodyText"/>
        <w:spacing w:line="101" w:lineRule="exact"/>
        <w:ind w:left="1320"/>
      </w:pPr>
      <w:r>
        <w:rPr>
          <w:color w:val="231F20"/>
          <w:w w:val="105"/>
        </w:rPr>
        <w:t>As</w:t>
      </w:r>
      <w:r>
        <w:rPr>
          <w:color w:val="231F20"/>
          <w:spacing w:val="-20"/>
          <w:w w:val="105"/>
        </w:rPr>
        <w:t> </w:t>
      </w:r>
      <w:r>
        <w:rPr>
          <w:color w:val="231F20"/>
          <w:w w:val="105"/>
        </w:rPr>
        <w:t>discussed</w:t>
      </w:r>
      <w:r>
        <w:rPr>
          <w:color w:val="231F20"/>
          <w:spacing w:val="-19"/>
          <w:w w:val="105"/>
        </w:rPr>
        <w:t> </w:t>
      </w:r>
      <w:r>
        <w:rPr>
          <w:color w:val="231F20"/>
          <w:spacing w:val="-4"/>
          <w:w w:val="105"/>
        </w:rPr>
        <w:t>later,</w:t>
      </w:r>
      <w:r>
        <w:rPr>
          <w:color w:val="231F20"/>
          <w:spacing w:val="-19"/>
          <w:w w:val="105"/>
        </w:rPr>
        <w:t> </w:t>
      </w:r>
      <w:r>
        <w:rPr>
          <w:color w:val="231F20"/>
          <w:w w:val="105"/>
        </w:rPr>
        <w:t>both</w:t>
      </w:r>
      <w:r>
        <w:rPr>
          <w:color w:val="231F20"/>
          <w:spacing w:val="-19"/>
          <w:w w:val="105"/>
        </w:rPr>
        <w:t> </w:t>
      </w:r>
      <w:r>
        <w:rPr>
          <w:color w:val="231F20"/>
          <w:w w:val="105"/>
        </w:rPr>
        <w:t>the</w:t>
      </w:r>
      <w:r>
        <w:rPr>
          <w:color w:val="231F20"/>
          <w:spacing w:val="-19"/>
          <w:w w:val="105"/>
        </w:rPr>
        <w:t> </w:t>
      </w:r>
      <w:r>
        <w:rPr>
          <w:color w:val="231F20"/>
          <w:w w:val="105"/>
        </w:rPr>
        <w:t>reabsorption</w:t>
      </w:r>
      <w:r>
        <w:rPr>
          <w:color w:val="231F20"/>
          <w:spacing w:val="-19"/>
          <w:w w:val="105"/>
        </w:rPr>
        <w:t> </w:t>
      </w:r>
      <w:r>
        <w:rPr>
          <w:color w:val="231F20"/>
          <w:w w:val="105"/>
        </w:rPr>
        <w:t>of</w:t>
      </w:r>
      <w:r>
        <w:rPr>
          <w:color w:val="231F20"/>
          <w:spacing w:val="-19"/>
          <w:w w:val="105"/>
        </w:rPr>
        <w:t> </w:t>
      </w:r>
      <w:r>
        <w:rPr>
          <w:color w:val="231F20"/>
          <w:w w:val="105"/>
        </w:rPr>
        <w:t>HCO </w:t>
      </w:r>
      <w:r>
        <w:rPr>
          <w:rFonts w:ascii="Consolas" w:hAnsi="Consolas"/>
          <w:color w:val="231F20"/>
          <w:w w:val="105"/>
          <w:position w:val="8"/>
          <w:sz w:val="12"/>
        </w:rPr>
        <w:t>−</w:t>
      </w:r>
      <w:r>
        <w:rPr>
          <w:rFonts w:ascii="Consolas" w:hAnsi="Consolas"/>
          <w:color w:val="231F20"/>
          <w:spacing w:val="-36"/>
          <w:w w:val="105"/>
          <w:position w:val="8"/>
          <w:sz w:val="12"/>
        </w:rPr>
        <w:t> </w:t>
      </w:r>
      <w:r>
        <w:rPr>
          <w:color w:val="231F20"/>
          <w:w w:val="105"/>
        </w:rPr>
        <w:t>and</w:t>
      </w:r>
    </w:p>
    <w:p>
      <w:pPr>
        <w:pStyle w:val="BodyText"/>
        <w:rPr>
          <w:sz w:val="18"/>
        </w:rPr>
      </w:pPr>
      <w:r>
        <w:rPr/>
        <w:br w:type="column"/>
      </w:r>
      <w:r>
        <w:rPr>
          <w:sz w:val="18"/>
        </w:rPr>
      </w:r>
    </w:p>
    <w:p>
      <w:pPr>
        <w:pStyle w:val="BodyText"/>
        <w:rPr>
          <w:sz w:val="18"/>
        </w:rPr>
      </w:pPr>
    </w:p>
    <w:p>
      <w:pPr>
        <w:pStyle w:val="BodyText"/>
        <w:spacing w:before="5"/>
        <w:rPr>
          <w:sz w:val="23"/>
        </w:rPr>
      </w:pPr>
    </w:p>
    <w:p>
      <w:pPr>
        <w:spacing w:before="0"/>
        <w:ind w:left="337" w:right="0" w:firstLine="0"/>
        <w:jc w:val="left"/>
        <w:rPr>
          <w:rFonts w:ascii="Helvetica"/>
          <w:sz w:val="16"/>
        </w:rPr>
      </w:pPr>
      <w:r>
        <w:rPr>
          <w:rFonts w:ascii="Helvetica"/>
          <w:color w:val="231F20"/>
          <w:sz w:val="16"/>
        </w:rPr>
        <w:t>4320 mEq/day</w:t>
      </w:r>
    </w:p>
    <w:p>
      <w:pPr>
        <w:spacing w:line="182" w:lineRule="exact" w:before="127"/>
        <w:ind w:left="201" w:right="0" w:firstLine="0"/>
        <w:jc w:val="center"/>
        <w:rPr>
          <w:rFonts w:ascii="Helvetica"/>
          <w:sz w:val="16"/>
        </w:rPr>
      </w:pPr>
      <w:r>
        <w:rPr/>
        <w:br w:type="column"/>
      </w:r>
      <w:r>
        <w:rPr>
          <w:rFonts w:ascii="Helvetica"/>
          <w:color w:val="231F20"/>
          <w:sz w:val="16"/>
        </w:rPr>
        <w:t>85%</w:t>
      </w:r>
    </w:p>
    <w:p>
      <w:pPr>
        <w:spacing w:line="182" w:lineRule="exact" w:before="0"/>
        <w:ind w:left="201" w:right="0" w:firstLine="0"/>
        <w:jc w:val="center"/>
        <w:rPr>
          <w:rFonts w:ascii="Helvetica"/>
          <w:sz w:val="16"/>
        </w:rPr>
      </w:pPr>
      <w:r>
        <w:rPr/>
        <w:pict>
          <v:group style="position:absolute;margin-left:337.255981pt;margin-top:9.546509pt;width:180.55pt;height:212.2pt;mso-position-horizontal-relative:page;mso-position-vertical-relative:paragraph;z-index:-272522240" coordorigin="6745,191" coordsize="3611,4244">
            <v:shape style="position:absolute;left:9902;top:1106;width:204;height:1628" coordorigin="9902,1106" coordsize="204,1628" path="m10089,1792l10066,1778,10033,1760,10033,1778,9902,1778,9902,1805,10033,1805,10033,1824,10089,1792m10089,1139l10066,1125,10033,1106,10033,1125,9902,1125,9902,1152,10033,1152,10033,1171,10089,1139m10106,2702l10083,2688,10051,2669,10051,2688,9920,2688,9920,2715,10051,2715,10050,2734,10106,2702e" filled="true" fillcolor="#f0535f" stroked="false">
              <v:path arrowok="t"/>
              <v:fill type="solid"/>
            </v:shape>
            <v:shape style="position:absolute;left:9676;top:425;width:195;height:194" type="#_x0000_t75" stroked="false">
              <v:imagedata r:id="rId956" o:title=""/>
            </v:shape>
            <v:shape style="position:absolute;left:7181;top:314;width:2825;height:4075" coordorigin="7182,315" coordsize="2825,4075" path="m8290,637l8085,637,8114,648,8136,671,8149,706,8154,750,8154,1665,8156,1684,8164,1702,8175,1717,8189,1730,8189,4111,8200,4195,8230,4264,8276,4318,8334,4358,8399,4381,8467,4389,8536,4381,8601,4358,8658,4318,8672,4302,8467,4302,8397,4291,8336,4256,8292,4196,8276,4111,8276,1730,8290,1717,8301,1702,8308,1684,8311,1665,8311,750,8301,666,8290,637xm9329,553l9279,553,9214,554,9137,557,9052,562,8965,572,8879,585,8799,604,8729,629,8673,662,8637,702,8624,751,8624,1936,8626,1955,8633,1973,8644,1989,8659,2001,8659,4111,8642,4196,8599,4256,8537,4291,8467,4302,8672,4302,8704,4264,8735,4195,8746,4111,8746,2001,8760,1989,8771,1973,8778,1955,8781,1936,8781,792,8802,769,8858,750,8939,735,9033,725,9130,717,9219,713,9289,710,9329,710,9944,710,9941,698,9903,654,9847,621,9776,596,9696,578,9612,566,9528,558,9450,555,9382,553,9329,553xm9944,710l9329,710,9373,711,9447,715,9537,722,9631,733,9714,748,9774,768,9797,792,9789,1338,9771,2475,9753,3601,9745,4111,10006,4111,9954,751,9944,710xm7260,315l7229,321,7204,338,7188,362,7182,393,7188,423,7204,448,7229,465,7328,485,7383,522,7420,578,7434,646,7420,713,7383,769,7328,806,7229,826,7204,843,7188,868,7182,898,7188,929,7204,954,7229,970,7260,976,7337,967,7407,942,7469,902,7520,849,7559,786,7583,715,7596,711,7629,699,7676,677,7726,642,7901,642,7899,638,7888,616,7865,570,7853,552,7577,552,7550,487,7510,429,7459,382,7400,346,7333,323,7260,315xm7901,642l7726,642,7732,652,7737,662,7742,673,7747,683,7771,732,7804,779,7847,815,7906,830,7964,815,8007,779,8038,733,8060,686,8066,674,8072,661,8078,649,7905,649,7901,642xm8071,479l8013,493,7970,529,7939,575,7917,622,7914,630,7909,640,7905,649,8078,649,8079,648,8085,637,8290,637,8275,597,8236,544,8186,507,8130,486,8071,479xm7741,479l7679,490,7627,515,7591,540,7577,552,7853,552,7835,525,7795,492,7741,479xe" filled="true" fillcolor="#ffe098" stroked="false">
              <v:path arrowok="t"/>
              <v:fill type="solid"/>
            </v:shape>
            <v:shape style="position:absolute;left:7181;top:314;width:2825;height:4075" coordorigin="7182,315" coordsize="2825,4075" path="m7434,646l7420,713,7383,769,7328,806,7260,820,7229,826,7204,843,7188,868,7182,898,7188,929,7204,954,7229,970,7260,976,7337,967,7407,942,7469,902,7520,849,7559,786,7583,715,7596,711,7629,699,7676,677,7726,642,7732,652,7737,662,7742,673,7747,683,7771,732,7804,779,7847,815,7906,830,7964,815,8007,779,8038,733,8060,686,8066,674,8072,661,8079,648,8085,637,8114,648,8136,671,8149,706,8154,751,8154,1665,8156,1684,8164,1702,8175,1717,8189,1730,8189,4111,8200,4195,8230,4264,8276,4318,8334,4358,8399,4381,8467,4389,8536,4381,8601,4358,8658,4318,8704,4264,8735,4195,8746,4111,8746,2001,8760,1989,8771,1973,8778,1955,8781,1936,8781,792,8802,769,8939,735,9033,725,9130,717,9219,713,9289,710,9329,710,9373,711,9447,715,9537,722,9631,733,9714,748,9774,768,9797,792,9789,1338,9771,2475,9753,3601,9745,4111,10006,4111,9954,751,9903,654,9847,621,9776,596,9696,578,9612,566,9528,558,9450,555,9382,553,9329,553,9279,553,9214,554,9137,557,9052,562,8965,572,8879,585,8799,604,8729,629,8673,662,8624,751,8624,1936,8626,1955,8633,1973,8644,1989,8659,2001,8659,4111,8642,4196,8599,4256,8537,4291,8467,4302,8397,4291,8336,4256,8292,4196,8276,4111,8276,1730,8290,1717,8301,1702,8308,1684,8311,1665,8311,751,8301,666,8275,597,8236,544,8186,507,8130,486,8071,479,8013,493,7970,529,7939,575,7917,622,7914,630,7909,640,7905,649,7899,638,7893,625,7888,616,7865,570,7835,525,7795,492,7741,479,7679,490,7627,515,7591,540,7577,552,7550,487,7510,429,7459,382,7400,346,7333,323,7260,315,7229,321,7204,338,7188,362,7182,393,7188,423,7204,448,7229,465,7260,471,7328,485,7383,522,7420,578,7434,646e" filled="false" stroked="true" strokeweight="1pt" strokecolor="#e2874a">
              <v:path arrowok="t"/>
              <v:stroke dashstyle="solid"/>
            </v:shape>
            <v:shape style="position:absolute;left:9015;top:4110;width:1331;height:314" coordorigin="9016,4111" coordsize="1331,314" path="m10346,4111l9329,4111,9016,4424,9799,4424,10346,4111xe" filled="true" fillcolor="#ffffff" stroked="false">
              <v:path arrowok="t"/>
              <v:fill type="solid"/>
            </v:shape>
            <v:shape style="position:absolute;left:9015;top:4110;width:1331;height:314" coordorigin="9016,4111" coordsize="1331,314" path="m9799,4424l9016,4424,9329,4111,10346,4111,9799,4424xe" filled="false" stroked="true" strokeweight="1pt" strokecolor="#ffffff">
              <v:path arrowok="t"/>
              <v:stroke dashstyle="solid"/>
            </v:shape>
            <v:shape style="position:absolute;left:6745;top:190;width:1791;height:597" coordorigin="6745,191" coordsize="1791,597" path="m7475,653l7209,519,7209,597,6745,597,6745,709,7209,709,7209,788,7475,653m8535,191l8316,263,8359,306,8106,560,8166,621,8420,367,8463,410,8478,367,8535,191e" filled="true" fillcolor="#f0535f" stroked="false">
              <v:path arrowok="t"/>
              <v:fill type="solid"/>
            </v:shape>
            <v:shape style="position:absolute;left:8707;top:1331;width:334;height:128" type="#_x0000_t75" stroked="false">
              <v:imagedata r:id="rId957" o:title=""/>
            </v:shape>
            <v:shape style="position:absolute;left:9589;top:2453;width:231;height:315" type="#_x0000_t75" stroked="false">
              <v:imagedata r:id="rId958" o:title=""/>
            </v:shape>
            <v:shape style="position:absolute;left:9579;top:3084;width:231;height:315" type="#_x0000_t75" stroked="false">
              <v:imagedata r:id="rId959" o:title=""/>
            </v:shape>
            <v:shape style="position:absolute;left:9919;top:2229;width:231;height:315" type="#_x0000_t75" stroked="false">
              <v:imagedata r:id="rId960" o:title=""/>
            </v:shape>
            <v:shape style="position:absolute;left:9929;top:2816;width:231;height:315" type="#_x0000_t75" stroked="false">
              <v:imagedata r:id="rId961" o:title=""/>
            </v:shape>
            <v:shape style="position:absolute;left:9855;top:4128;width:37;height:32" coordorigin="9855,4128" coordsize="37,32" path="m9855,4128l9873,4159,9892,4128,9881,4128,9855,4128xe" filled="true" fillcolor="#f0535f" stroked="false">
              <v:path arrowok="t"/>
              <v:fill type="solid"/>
            </v:shape>
            <v:line style="position:absolute" from="9873,3810" to="9873,4128" stroked="true" strokeweight=".754pt" strokecolor="#f0535f">
              <v:stroke dashstyle="solid"/>
            </v:line>
            <w10:wrap type="none"/>
          </v:group>
        </w:pict>
      </w:r>
      <w:r>
        <w:rPr>
          <w:rFonts w:ascii="Helvetica"/>
          <w:color w:val="231F20"/>
          <w:sz w:val="16"/>
        </w:rPr>
        <w:t>(3672 mEq/day)</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182" w:lineRule="exact" w:before="110"/>
        <w:ind w:left="1552" w:right="0" w:firstLine="0"/>
        <w:jc w:val="center"/>
        <w:rPr>
          <w:rFonts w:ascii="Helvetica"/>
          <w:sz w:val="16"/>
        </w:rPr>
      </w:pPr>
      <w:r>
        <w:rPr>
          <w:rFonts w:ascii="Helvetica"/>
          <w:color w:val="231F20"/>
          <w:sz w:val="16"/>
        </w:rPr>
        <w:t>10%</w:t>
      </w:r>
    </w:p>
    <w:p>
      <w:pPr>
        <w:spacing w:line="182" w:lineRule="exact" w:before="0"/>
        <w:ind w:left="1552" w:right="0" w:firstLine="0"/>
        <w:jc w:val="center"/>
        <w:rPr>
          <w:rFonts w:ascii="Helvetica"/>
          <w:sz w:val="16"/>
        </w:rPr>
      </w:pPr>
      <w:r>
        <w:rPr>
          <w:rFonts w:ascii="Helvetica"/>
          <w:color w:val="231F20"/>
          <w:sz w:val="16"/>
        </w:rPr>
        <w:t>(432 mEq/day)</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spacing w:line="148" w:lineRule="exact" w:before="137"/>
        <w:ind w:left="246" w:right="0" w:firstLine="0"/>
        <w:jc w:val="left"/>
        <w:rPr>
          <w:rFonts w:ascii="Helvetica" w:hAnsi="Helvetica"/>
          <w:sz w:val="16"/>
        </w:rPr>
      </w:pPr>
      <w:r>
        <w:rPr>
          <w:rFonts w:ascii="Symbol" w:hAnsi="Symbol"/>
          <w:color w:val="231F20"/>
          <w:sz w:val="16"/>
        </w:rPr>
        <w:t></w:t>
      </w:r>
      <w:r>
        <w:rPr>
          <w:rFonts w:ascii="Helvetica" w:hAnsi="Helvetica"/>
          <w:color w:val="231F20"/>
          <w:sz w:val="16"/>
        </w:rPr>
        <w:t>4.9%</w:t>
      </w:r>
    </w:p>
    <w:p>
      <w:pPr>
        <w:spacing w:after="0" w:line="148" w:lineRule="exact"/>
        <w:jc w:val="left"/>
        <w:rPr>
          <w:rFonts w:ascii="Helvetica" w:hAnsi="Helvetica"/>
          <w:sz w:val="16"/>
        </w:rPr>
        <w:sectPr>
          <w:type w:val="continuous"/>
          <w:pgSz w:w="12240" w:h="15660"/>
          <w:pgMar w:top="0" w:bottom="760" w:left="0" w:right="0"/>
          <w:cols w:num="4" w:equalWidth="0">
            <w:col w:w="5761" w:space="40"/>
            <w:col w:w="1370" w:space="39"/>
            <w:col w:w="2603" w:space="39"/>
            <w:col w:w="2388"/>
          </w:cols>
        </w:sectPr>
      </w:pPr>
    </w:p>
    <w:p>
      <w:pPr>
        <w:pStyle w:val="BodyText"/>
        <w:spacing w:line="229" w:lineRule="exact" w:before="131"/>
        <w:ind w:left="1079"/>
        <w:rPr>
          <w:rFonts w:ascii="Consolas"/>
          <w:sz w:val="12"/>
        </w:rPr>
      </w:pPr>
      <w:r>
        <w:rPr>
          <w:color w:val="231F20"/>
          <w:w w:val="105"/>
        </w:rPr>
        <w:t>the</w:t>
      </w:r>
      <w:r>
        <w:rPr>
          <w:color w:val="231F20"/>
          <w:spacing w:val="-16"/>
          <w:w w:val="105"/>
        </w:rPr>
        <w:t> </w:t>
      </w:r>
      <w:r>
        <w:rPr>
          <w:color w:val="231F20"/>
          <w:w w:val="105"/>
        </w:rPr>
        <w:t>excretion</w:t>
      </w:r>
      <w:r>
        <w:rPr>
          <w:color w:val="231F20"/>
          <w:spacing w:val="-15"/>
          <w:w w:val="105"/>
        </w:rPr>
        <w:t> </w:t>
      </w:r>
      <w:r>
        <w:rPr>
          <w:color w:val="231F20"/>
          <w:w w:val="105"/>
        </w:rPr>
        <w:t>of</w:t>
      </w:r>
      <w:r>
        <w:rPr>
          <w:color w:val="231F20"/>
          <w:spacing w:val="-15"/>
          <w:w w:val="105"/>
        </w:rPr>
        <w:t> </w:t>
      </w:r>
      <w:r>
        <w:rPr>
          <w:color w:val="231F20"/>
          <w:spacing w:val="-9"/>
          <w:w w:val="105"/>
        </w:rPr>
        <w:t>H</w:t>
      </w:r>
      <w:r>
        <w:rPr>
          <w:rFonts w:ascii="Consolas"/>
          <w:color w:val="231F20"/>
          <w:spacing w:val="-9"/>
          <w:w w:val="105"/>
          <w:position w:val="8"/>
          <w:sz w:val="12"/>
        </w:rPr>
        <w:t>+</w:t>
      </w:r>
    </w:p>
    <w:p>
      <w:pPr>
        <w:spacing w:line="137" w:lineRule="exact" w:before="0"/>
        <w:ind w:left="0" w:right="447" w:firstLine="0"/>
        <w:jc w:val="right"/>
        <w:rPr>
          <w:sz w:val="12"/>
        </w:rPr>
      </w:pPr>
      <w:r>
        <w:rPr/>
        <w:br w:type="column"/>
      </w:r>
      <w:r>
        <w:rPr>
          <w:color w:val="231F20"/>
          <w:w w:val="95"/>
          <w:sz w:val="12"/>
        </w:rPr>
        <w:t>3</w:t>
      </w:r>
    </w:p>
    <w:p>
      <w:pPr>
        <w:pStyle w:val="BodyText"/>
        <w:spacing w:line="224" w:lineRule="exact"/>
        <w:ind w:left="5"/>
      </w:pPr>
      <w:r>
        <w:rPr>
          <w:color w:val="231F20"/>
          <w:w w:val="105"/>
        </w:rPr>
        <w:t>are</w:t>
      </w:r>
      <w:r>
        <w:rPr>
          <w:color w:val="231F20"/>
          <w:spacing w:val="-17"/>
          <w:w w:val="105"/>
        </w:rPr>
        <w:t> </w:t>
      </w:r>
      <w:r>
        <w:rPr>
          <w:color w:val="231F20"/>
          <w:w w:val="105"/>
        </w:rPr>
        <w:t>accomplished</w:t>
      </w:r>
      <w:r>
        <w:rPr>
          <w:color w:val="231F20"/>
          <w:spacing w:val="-17"/>
          <w:w w:val="105"/>
        </w:rPr>
        <w:t> </w:t>
      </w:r>
      <w:r>
        <w:rPr>
          <w:color w:val="231F20"/>
          <w:w w:val="105"/>
        </w:rPr>
        <w:t>through</w:t>
      </w:r>
      <w:r>
        <w:rPr>
          <w:color w:val="231F20"/>
          <w:spacing w:val="-16"/>
          <w:w w:val="105"/>
        </w:rPr>
        <w:t> </w:t>
      </w:r>
      <w:r>
        <w:rPr>
          <w:color w:val="231F20"/>
          <w:w w:val="105"/>
        </w:rPr>
        <w:t>the</w:t>
      </w:r>
      <w:r>
        <w:rPr>
          <w:color w:val="231F20"/>
          <w:spacing w:val="-17"/>
          <w:w w:val="105"/>
        </w:rPr>
        <w:t> </w:t>
      </w:r>
      <w:r>
        <w:rPr>
          <w:color w:val="231F20"/>
          <w:w w:val="105"/>
        </w:rPr>
        <w:t>process</w:t>
      </w:r>
    </w:p>
    <w:p>
      <w:pPr>
        <w:spacing w:line="182" w:lineRule="exact" w:before="43"/>
        <w:ind w:left="1079" w:right="0" w:firstLine="0"/>
        <w:jc w:val="left"/>
        <w:rPr>
          <w:rFonts w:ascii="Helvetica"/>
          <w:sz w:val="16"/>
        </w:rPr>
      </w:pPr>
      <w:r>
        <w:rPr/>
        <w:br w:type="column"/>
      </w:r>
      <w:r>
        <w:rPr>
          <w:rFonts w:ascii="Helvetica"/>
          <w:color w:val="231F20"/>
          <w:sz w:val="16"/>
        </w:rPr>
        <w:t>(215</w:t>
      </w:r>
    </w:p>
    <w:p>
      <w:pPr>
        <w:spacing w:line="135" w:lineRule="exact" w:before="0"/>
        <w:ind w:left="1079" w:right="0" w:firstLine="0"/>
        <w:jc w:val="left"/>
        <w:rPr>
          <w:rFonts w:ascii="Helvetica"/>
          <w:sz w:val="16"/>
        </w:rPr>
      </w:pPr>
      <w:r>
        <w:rPr>
          <w:rFonts w:ascii="Helvetica"/>
          <w:color w:val="231F20"/>
          <w:sz w:val="16"/>
        </w:rPr>
        <w:t>mEq/day)</w:t>
      </w:r>
    </w:p>
    <w:p>
      <w:pPr>
        <w:spacing w:after="0" w:line="135" w:lineRule="exact"/>
        <w:jc w:val="left"/>
        <w:rPr>
          <w:rFonts w:ascii="Helvetica"/>
          <w:sz w:val="16"/>
        </w:rPr>
        <w:sectPr>
          <w:type w:val="continuous"/>
          <w:pgSz w:w="12240" w:h="15660"/>
          <w:pgMar w:top="0" w:bottom="760" w:left="0" w:right="0"/>
          <w:cols w:num="3" w:equalWidth="0">
            <w:col w:w="2624" w:space="40"/>
            <w:col w:w="3137" w:space="3217"/>
            <w:col w:w="3222"/>
          </w:cols>
        </w:sectPr>
      </w:pPr>
    </w:p>
    <w:p>
      <w:pPr>
        <w:pStyle w:val="BodyText"/>
        <w:spacing w:line="247" w:lineRule="auto" w:before="11"/>
        <w:ind w:left="1079" w:right="38"/>
        <w:jc w:val="both"/>
      </w:pPr>
      <w:r>
        <w:rPr/>
        <w:pict>
          <v:rect style="position:absolute;margin-left:0pt;margin-top:20.719555pt;width:36pt;height:24pt;mso-position-horizontal-relative:page;mso-position-vertical-relative:paragraph;z-index:252877824" filled="true" fillcolor="#e8dac8" stroked="false">
            <v:fill type="solid"/>
            <w10:wrap type="none"/>
          </v:rect>
        </w:pict>
      </w:r>
      <w:r>
        <w:rPr/>
        <w:pict>
          <v:shape style="position:absolute;margin-left:236.460403pt;margin-top:5.995556pt;width:3pt;height:8.7pt;mso-position-horizontal-relative:page;mso-position-vertical-relative:paragraph;z-index:-2725150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69.100296pt;margin-top:41.995556pt;width:3pt;height:8.7pt;mso-position-horizontal-relative:page;mso-position-vertical-relative:paragraph;z-index:-2725140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of H</w:t>
      </w:r>
      <w:r>
        <w:rPr>
          <w:rFonts w:ascii="Consolas" w:hAnsi="Consolas"/>
          <w:color w:val="231F20"/>
          <w:position w:val="8"/>
          <w:sz w:val="12"/>
        </w:rPr>
        <w:t>+ </w:t>
      </w:r>
      <w:r>
        <w:rPr>
          <w:color w:val="231F20"/>
        </w:rPr>
        <w:t>secretion by the tubules. Because HCO </w:t>
      </w:r>
      <w:r>
        <w:rPr>
          <w:rFonts w:ascii="Consolas" w:hAnsi="Consolas"/>
          <w:color w:val="231F20"/>
          <w:position w:val="8"/>
          <w:sz w:val="12"/>
        </w:rPr>
        <w:t>− </w:t>
      </w:r>
      <w:r>
        <w:rPr>
          <w:color w:val="231F20"/>
        </w:rPr>
        <w:t>must react with a secreted H</w:t>
      </w:r>
      <w:r>
        <w:rPr>
          <w:rFonts w:ascii="Consolas" w:hAnsi="Consolas"/>
          <w:color w:val="231F20"/>
          <w:position w:val="8"/>
          <w:sz w:val="12"/>
        </w:rPr>
        <w:t>+ </w:t>
      </w:r>
      <w:r>
        <w:rPr>
          <w:color w:val="231F20"/>
        </w:rPr>
        <w:t>to form H</w:t>
      </w:r>
      <w:r>
        <w:rPr>
          <w:color w:val="231F20"/>
          <w:vertAlign w:val="subscript"/>
        </w:rPr>
        <w:t>2</w:t>
      </w:r>
      <w:r>
        <w:rPr>
          <w:color w:val="231F20"/>
          <w:vertAlign w:val="baseline"/>
        </w:rPr>
        <w:t>CO</w:t>
      </w:r>
      <w:r>
        <w:rPr>
          <w:color w:val="231F20"/>
          <w:vertAlign w:val="subscript"/>
        </w:rPr>
        <w:t>3</w:t>
      </w:r>
      <w:r>
        <w:rPr>
          <w:color w:val="231F20"/>
          <w:vertAlign w:val="baseline"/>
        </w:rPr>
        <w:t> before it can be </w:t>
      </w:r>
      <w:r>
        <w:rPr>
          <w:color w:val="231F20"/>
          <w:spacing w:val="-6"/>
          <w:vertAlign w:val="baseline"/>
        </w:rPr>
        <w:t>reab- </w:t>
      </w:r>
      <w:r>
        <w:rPr>
          <w:color w:val="231F20"/>
          <w:vertAlign w:val="baseline"/>
        </w:rPr>
        <w:t>sorbed, 4320 mEq of H</w:t>
      </w:r>
      <w:r>
        <w:rPr>
          <w:rFonts w:ascii="Consolas" w:hAnsi="Consolas"/>
          <w:color w:val="231F20"/>
          <w:position w:val="8"/>
          <w:sz w:val="12"/>
          <w:vertAlign w:val="baseline"/>
        </w:rPr>
        <w:t>+ </w:t>
      </w:r>
      <w:r>
        <w:rPr>
          <w:color w:val="231F20"/>
          <w:vertAlign w:val="baseline"/>
        </w:rPr>
        <w:t>must be secreted each day just  to reabsorb the filtered HCO </w:t>
      </w:r>
      <w:r>
        <w:rPr>
          <w:rFonts w:ascii="Consolas" w:hAnsi="Consolas"/>
          <w:color w:val="231F20"/>
          <w:position w:val="8"/>
          <w:sz w:val="12"/>
          <w:vertAlign w:val="baseline"/>
        </w:rPr>
        <w:t>−</w:t>
      </w:r>
      <w:r>
        <w:rPr>
          <w:color w:val="231F20"/>
          <w:vertAlign w:val="baseline"/>
        </w:rPr>
        <w:t>. Then an additional 80 </w:t>
      </w:r>
      <w:r>
        <w:rPr>
          <w:color w:val="231F20"/>
          <w:spacing w:val="-4"/>
          <w:vertAlign w:val="baseline"/>
        </w:rPr>
        <w:t>mEq </w:t>
      </w:r>
      <w:r>
        <w:rPr>
          <w:color w:val="231F20"/>
          <w:vertAlign w:val="baseline"/>
        </w:rPr>
        <w:t>of H</w:t>
      </w:r>
      <w:r>
        <w:rPr>
          <w:rFonts w:ascii="Consolas" w:hAnsi="Consolas"/>
          <w:color w:val="231F20"/>
          <w:position w:val="8"/>
          <w:sz w:val="12"/>
          <w:vertAlign w:val="baseline"/>
        </w:rPr>
        <w:t>+ </w:t>
      </w:r>
      <w:r>
        <w:rPr>
          <w:color w:val="231F20"/>
          <w:vertAlign w:val="baseline"/>
        </w:rPr>
        <w:t>must be secreted to rid the body of the nonvolatile acids produced each </w:t>
      </w:r>
      <w:r>
        <w:rPr>
          <w:color w:val="231F20"/>
          <w:spacing w:val="-4"/>
          <w:vertAlign w:val="baseline"/>
        </w:rPr>
        <w:t>day, </w:t>
      </w:r>
      <w:r>
        <w:rPr>
          <w:color w:val="231F20"/>
          <w:vertAlign w:val="baseline"/>
        </w:rPr>
        <w:t>for a total of 4400 mEq of H</w:t>
      </w:r>
      <w:r>
        <w:rPr>
          <w:rFonts w:ascii="Consolas" w:hAnsi="Consolas"/>
          <w:color w:val="231F20"/>
          <w:position w:val="8"/>
          <w:sz w:val="12"/>
          <w:vertAlign w:val="baseline"/>
        </w:rPr>
        <w:t>+ </w:t>
      </w:r>
      <w:r>
        <w:rPr>
          <w:color w:val="231F20"/>
          <w:vertAlign w:val="baseline"/>
        </w:rPr>
        <w:t>secreted into the tubular fluid each</w:t>
      </w:r>
      <w:r>
        <w:rPr>
          <w:color w:val="231F20"/>
          <w:spacing w:val="1"/>
          <w:vertAlign w:val="baseline"/>
        </w:rPr>
        <w:t> </w:t>
      </w:r>
      <w:r>
        <w:rPr>
          <w:color w:val="231F20"/>
          <w:spacing w:val="-4"/>
          <w:vertAlign w:val="baseline"/>
        </w:rPr>
        <w:t>day.</w:t>
      </w:r>
    </w:p>
    <w:p>
      <w:pPr>
        <w:pStyle w:val="BodyText"/>
        <w:ind w:left="1080" w:firstLine="240"/>
        <w:jc w:val="both"/>
        <w:rPr>
          <w:rFonts w:ascii="Consolas"/>
          <w:sz w:val="12"/>
        </w:rPr>
      </w:pPr>
      <w:r>
        <w:rPr>
          <w:color w:val="231F20"/>
        </w:rPr>
        <w:t>When</w:t>
      </w:r>
      <w:r>
        <w:rPr>
          <w:color w:val="231F20"/>
          <w:spacing w:val="15"/>
        </w:rPr>
        <w:t> </w:t>
      </w:r>
      <w:r>
        <w:rPr>
          <w:color w:val="231F20"/>
        </w:rPr>
        <w:t>there</w:t>
      </w:r>
      <w:r>
        <w:rPr>
          <w:color w:val="231F20"/>
          <w:spacing w:val="16"/>
        </w:rPr>
        <w:t> </w:t>
      </w:r>
      <w:r>
        <w:rPr>
          <w:color w:val="231F20"/>
        </w:rPr>
        <w:t>is</w:t>
      </w:r>
      <w:r>
        <w:rPr>
          <w:color w:val="231F20"/>
          <w:spacing w:val="16"/>
        </w:rPr>
        <w:t> </w:t>
      </w:r>
      <w:r>
        <w:rPr>
          <w:color w:val="231F20"/>
        </w:rPr>
        <w:t>a</w:t>
      </w:r>
      <w:r>
        <w:rPr>
          <w:color w:val="231F20"/>
          <w:spacing w:val="16"/>
        </w:rPr>
        <w:t> </w:t>
      </w:r>
      <w:r>
        <w:rPr>
          <w:color w:val="231F20"/>
        </w:rPr>
        <w:t>reduction</w:t>
      </w:r>
      <w:r>
        <w:rPr>
          <w:color w:val="231F20"/>
          <w:spacing w:val="16"/>
        </w:rPr>
        <w:t> </w:t>
      </w:r>
      <w:r>
        <w:rPr>
          <w:color w:val="231F20"/>
        </w:rPr>
        <w:t>in</w:t>
      </w:r>
      <w:r>
        <w:rPr>
          <w:color w:val="231F20"/>
          <w:spacing w:val="16"/>
        </w:rPr>
        <w:t> </w:t>
      </w:r>
      <w:r>
        <w:rPr>
          <w:color w:val="231F20"/>
        </w:rPr>
        <w:t>the</w:t>
      </w:r>
      <w:r>
        <w:rPr>
          <w:color w:val="231F20"/>
          <w:spacing w:val="16"/>
        </w:rPr>
        <w:t> </w:t>
      </w:r>
      <w:r>
        <w:rPr>
          <w:color w:val="231F20"/>
        </w:rPr>
        <w:t>extracellular</w:t>
      </w:r>
      <w:r>
        <w:rPr>
          <w:color w:val="231F20"/>
          <w:spacing w:val="16"/>
        </w:rPr>
        <w:t> </w:t>
      </w:r>
      <w:r>
        <w:rPr>
          <w:color w:val="231F20"/>
        </w:rPr>
        <w:t>fluid</w:t>
      </w:r>
      <w:r>
        <w:rPr>
          <w:color w:val="231F20"/>
          <w:spacing w:val="16"/>
        </w:rPr>
        <w:t> </w:t>
      </w:r>
      <w:r>
        <w:rPr>
          <w:color w:val="231F20"/>
        </w:rPr>
        <w:t>H</w:t>
      </w:r>
      <w:r>
        <w:rPr>
          <w:rFonts w:ascii="Consolas"/>
          <w:color w:val="231F20"/>
          <w:position w:val="8"/>
          <w:sz w:val="12"/>
        </w:rPr>
        <w:t>+</w:t>
      </w:r>
    </w:p>
    <w:p>
      <w:pPr>
        <w:pStyle w:val="BodyText"/>
        <w:spacing w:line="240" w:lineRule="atLeast"/>
        <w:ind w:left="1079" w:right="38"/>
        <w:jc w:val="both"/>
      </w:pPr>
      <w:r>
        <w:rPr>
          <w:color w:val="231F20"/>
          <w:w w:val="105"/>
        </w:rPr>
        <w:t>concentration</w:t>
      </w:r>
      <w:r>
        <w:rPr>
          <w:color w:val="231F20"/>
          <w:spacing w:val="-14"/>
          <w:w w:val="105"/>
        </w:rPr>
        <w:t> </w:t>
      </w:r>
      <w:r>
        <w:rPr>
          <w:color w:val="231F20"/>
          <w:w w:val="105"/>
        </w:rPr>
        <w:t>(alkalosis),</w:t>
      </w:r>
      <w:r>
        <w:rPr>
          <w:color w:val="231F20"/>
          <w:spacing w:val="-14"/>
          <w:w w:val="105"/>
        </w:rPr>
        <w:t> </w:t>
      </w:r>
      <w:r>
        <w:rPr>
          <w:color w:val="231F20"/>
          <w:w w:val="105"/>
        </w:rPr>
        <w:t>the</w:t>
      </w:r>
      <w:r>
        <w:rPr>
          <w:color w:val="231F20"/>
          <w:spacing w:val="-13"/>
          <w:w w:val="105"/>
        </w:rPr>
        <w:t> </w:t>
      </w:r>
      <w:r>
        <w:rPr>
          <w:color w:val="231F20"/>
          <w:w w:val="105"/>
        </w:rPr>
        <w:t>kidneys</w:t>
      </w:r>
      <w:r>
        <w:rPr>
          <w:color w:val="231F20"/>
          <w:spacing w:val="-14"/>
          <w:w w:val="105"/>
        </w:rPr>
        <w:t> </w:t>
      </w:r>
      <w:r>
        <w:rPr>
          <w:color w:val="231F20"/>
          <w:w w:val="105"/>
        </w:rPr>
        <w:t>secrete</w:t>
      </w:r>
      <w:r>
        <w:rPr>
          <w:color w:val="231F20"/>
          <w:spacing w:val="-13"/>
          <w:w w:val="105"/>
        </w:rPr>
        <w:t> </w:t>
      </w:r>
      <w:r>
        <w:rPr>
          <w:color w:val="231F20"/>
          <w:w w:val="105"/>
        </w:rPr>
        <w:t>less</w:t>
      </w:r>
      <w:r>
        <w:rPr>
          <w:color w:val="231F20"/>
          <w:spacing w:val="-14"/>
          <w:w w:val="105"/>
        </w:rPr>
        <w:t> </w:t>
      </w:r>
      <w:r>
        <w:rPr>
          <w:color w:val="231F20"/>
          <w:w w:val="105"/>
        </w:rPr>
        <w:t>H</w:t>
      </w:r>
      <w:r>
        <w:rPr>
          <w:rFonts w:ascii="Consolas" w:hAnsi="Consolas"/>
          <w:color w:val="231F20"/>
          <w:w w:val="105"/>
          <w:position w:val="8"/>
          <w:sz w:val="12"/>
        </w:rPr>
        <w:t>+</w:t>
      </w:r>
      <w:r>
        <w:rPr>
          <w:rFonts w:ascii="Consolas" w:hAnsi="Consolas"/>
          <w:color w:val="231F20"/>
          <w:spacing w:val="-30"/>
          <w:w w:val="105"/>
          <w:position w:val="8"/>
          <w:sz w:val="12"/>
        </w:rPr>
        <w:t> </w:t>
      </w:r>
      <w:r>
        <w:rPr>
          <w:color w:val="231F20"/>
          <w:w w:val="105"/>
        </w:rPr>
        <w:t>and fail</w:t>
      </w:r>
      <w:r>
        <w:rPr>
          <w:color w:val="231F20"/>
          <w:spacing w:val="-12"/>
          <w:w w:val="105"/>
        </w:rPr>
        <w:t> </w:t>
      </w:r>
      <w:r>
        <w:rPr>
          <w:color w:val="231F20"/>
          <w:w w:val="105"/>
        </w:rPr>
        <w:t>to</w:t>
      </w:r>
      <w:r>
        <w:rPr>
          <w:color w:val="231F20"/>
          <w:spacing w:val="-12"/>
          <w:w w:val="105"/>
        </w:rPr>
        <w:t> </w:t>
      </w:r>
      <w:r>
        <w:rPr>
          <w:color w:val="231F20"/>
          <w:w w:val="105"/>
        </w:rPr>
        <w:t>reabsorb</w:t>
      </w:r>
      <w:r>
        <w:rPr>
          <w:color w:val="231F20"/>
          <w:spacing w:val="-12"/>
          <w:w w:val="105"/>
        </w:rPr>
        <w:t> </w:t>
      </w:r>
      <w:r>
        <w:rPr>
          <w:color w:val="231F20"/>
          <w:w w:val="105"/>
        </w:rPr>
        <w:t>all</w:t>
      </w:r>
      <w:r>
        <w:rPr>
          <w:color w:val="231F20"/>
          <w:spacing w:val="-12"/>
          <w:w w:val="105"/>
        </w:rPr>
        <w:t> </w:t>
      </w:r>
      <w:r>
        <w:rPr>
          <w:color w:val="231F20"/>
          <w:w w:val="105"/>
        </w:rPr>
        <w:t>the</w:t>
      </w:r>
      <w:r>
        <w:rPr>
          <w:color w:val="231F20"/>
          <w:spacing w:val="-11"/>
          <w:w w:val="105"/>
        </w:rPr>
        <w:t> </w:t>
      </w:r>
      <w:r>
        <w:rPr>
          <w:color w:val="231F20"/>
          <w:w w:val="105"/>
        </w:rPr>
        <w:t>filtered</w:t>
      </w:r>
      <w:r>
        <w:rPr>
          <w:color w:val="231F20"/>
          <w:spacing w:val="-12"/>
          <w:w w:val="105"/>
        </w:rPr>
        <w:t> </w:t>
      </w:r>
      <w:r>
        <w:rPr>
          <w:color w:val="231F20"/>
          <w:w w:val="105"/>
        </w:rPr>
        <w:t>HCO</w:t>
      </w:r>
      <w:r>
        <w:rPr>
          <w:color w:val="231F20"/>
          <w:spacing w:val="-8"/>
          <w:w w:val="105"/>
        </w:rPr>
        <w:t> </w:t>
      </w:r>
      <w:r>
        <w:rPr>
          <w:rFonts w:ascii="Consolas" w:hAnsi="Consolas"/>
          <w:color w:val="231F20"/>
          <w:w w:val="105"/>
          <w:position w:val="8"/>
          <w:sz w:val="12"/>
        </w:rPr>
        <w:t>−</w:t>
      </w:r>
      <w:r>
        <w:rPr>
          <w:color w:val="231F20"/>
          <w:w w:val="105"/>
        </w:rPr>
        <w:t>,</w:t>
      </w:r>
      <w:r>
        <w:rPr>
          <w:color w:val="231F20"/>
          <w:spacing w:val="-12"/>
          <w:w w:val="105"/>
        </w:rPr>
        <w:t> </w:t>
      </w:r>
      <w:r>
        <w:rPr>
          <w:color w:val="231F20"/>
          <w:w w:val="105"/>
        </w:rPr>
        <w:t>thereby</w:t>
      </w:r>
      <w:r>
        <w:rPr>
          <w:color w:val="231F20"/>
          <w:spacing w:val="-12"/>
          <w:w w:val="105"/>
        </w:rPr>
        <w:t> </w:t>
      </w:r>
      <w:r>
        <w:rPr>
          <w:color w:val="231F20"/>
          <w:w w:val="105"/>
        </w:rPr>
        <w:t>increasing</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08"/>
        <w:ind w:left="1079" w:right="0" w:firstLine="0"/>
        <w:jc w:val="left"/>
        <w:rPr>
          <w:rFonts w:ascii="Helvetica"/>
          <w:sz w:val="16"/>
        </w:rPr>
      </w:pPr>
      <w:r>
        <w:rPr>
          <w:rFonts w:ascii="Helvetica"/>
          <w:color w:val="231F20"/>
          <w:sz w:val="16"/>
        </w:rPr>
        <w:t>(1 mEq/day)</w:t>
      </w:r>
    </w:p>
    <w:p>
      <w:pPr>
        <w:spacing w:after="0"/>
        <w:jc w:val="left"/>
        <w:rPr>
          <w:rFonts w:ascii="Helvetica"/>
          <w:sz w:val="16"/>
        </w:rPr>
        <w:sectPr>
          <w:type w:val="continuous"/>
          <w:pgSz w:w="12240" w:h="15660"/>
          <w:pgMar w:top="0" w:bottom="760" w:left="0" w:right="0"/>
          <w:cols w:num="2" w:equalWidth="0">
            <w:col w:w="5801" w:space="2566"/>
            <w:col w:w="3873"/>
          </w:cols>
        </w:sectPr>
      </w:pPr>
    </w:p>
    <w:p>
      <w:pPr>
        <w:tabs>
          <w:tab w:pos="4022" w:val="left" w:leader="none"/>
          <w:tab w:pos="4300" w:val="left" w:leader="none"/>
          <w:tab w:pos="6119" w:val="left" w:leader="none"/>
        </w:tabs>
        <w:spacing w:line="11" w:lineRule="exact" w:before="0"/>
        <w:ind w:left="2917" w:right="0" w:firstLine="0"/>
        <w:jc w:val="left"/>
        <w:rPr>
          <w:rFonts w:ascii="Arial" w:hAnsi="Arial"/>
          <w:sz w:val="16"/>
        </w:rPr>
      </w:pPr>
      <w:r>
        <w:rPr>
          <w:rFonts w:ascii="Consolas" w:hAnsi="Consolas"/>
          <w:color w:val="231F20"/>
          <w:position w:val="-1"/>
          <w:sz w:val="12"/>
        </w:rPr>
        <w:t>−</w:t>
        <w:tab/>
      </w:r>
      <w:r>
        <w:rPr>
          <w:color w:val="231F20"/>
          <w:position w:val="11"/>
          <w:sz w:val="12"/>
        </w:rPr>
        <w:t>3</w:t>
        <w:tab/>
      </w:r>
      <w:r>
        <w:rPr>
          <w:rFonts w:ascii="Consolas" w:hAnsi="Consolas"/>
          <w:color w:val="231F20"/>
          <w:position w:val="-1"/>
          <w:sz w:val="12"/>
        </w:rPr>
        <w:t>−</w:t>
        <w:tab/>
      </w:r>
      <w:bookmarkStart w:name="_bookmark105" w:id="106"/>
      <w:bookmarkEnd w:id="106"/>
      <w:r>
        <w:rPr>
          <w:rFonts w:ascii="Consolas" w:hAnsi="Consolas"/>
          <w:color w:val="231F20"/>
          <w:position w:val="-1"/>
          <w:sz w:val="12"/>
        </w:rPr>
      </w:r>
      <w:r>
        <w:rPr>
          <w:rFonts w:ascii="Trebuchet MS" w:hAnsi="Trebuchet MS"/>
          <w:b/>
          <w:color w:val="231F20"/>
          <w:sz w:val="16"/>
        </w:rPr>
        <w:t>Figure 31-4. </w:t>
      </w:r>
      <w:r>
        <w:rPr>
          <w:rFonts w:ascii="Arial" w:hAnsi="Arial"/>
          <w:color w:val="231F20"/>
          <w:sz w:val="16"/>
        </w:rPr>
        <w:t>Reabsorption of bicarbonate in different segments</w:t>
      </w:r>
      <w:r>
        <w:rPr>
          <w:rFonts w:ascii="Arial" w:hAnsi="Arial"/>
          <w:color w:val="231F20"/>
          <w:spacing w:val="1"/>
          <w:sz w:val="16"/>
        </w:rPr>
        <w:t> </w:t>
      </w:r>
      <w:r>
        <w:rPr>
          <w:rFonts w:ascii="Arial" w:hAnsi="Arial"/>
          <w:color w:val="231F20"/>
          <w:sz w:val="16"/>
        </w:rPr>
        <w:t>of</w:t>
      </w:r>
    </w:p>
    <w:p>
      <w:pPr>
        <w:spacing w:after="0" w:line="11" w:lineRule="exact"/>
        <w:jc w:val="left"/>
        <w:rPr>
          <w:rFonts w:ascii="Arial" w:hAnsi="Arial"/>
          <w:sz w:val="16"/>
        </w:rPr>
        <w:sectPr>
          <w:type w:val="continuous"/>
          <w:pgSz w:w="12240" w:h="15660"/>
          <w:pgMar w:top="0" w:bottom="760" w:left="0" w:right="0"/>
        </w:sectPr>
      </w:pPr>
    </w:p>
    <w:p>
      <w:pPr>
        <w:pStyle w:val="BodyText"/>
        <w:spacing w:line="218" w:lineRule="exact"/>
        <w:ind w:left="1080"/>
      </w:pPr>
      <w:r>
        <w:rPr>
          <w:color w:val="231F20"/>
        </w:rPr>
        <w:t>the excretion of HCO</w:t>
      </w:r>
      <w:r>
        <w:rPr>
          <w:color w:val="231F20"/>
          <w:vertAlign w:val="subscript"/>
        </w:rPr>
        <w:t>3</w:t>
      </w:r>
      <w:r>
        <w:rPr>
          <w:color w:val="231F20"/>
          <w:vertAlign w:val="baseline"/>
        </w:rPr>
        <w:t> . Because HCO</w:t>
      </w:r>
      <w:r>
        <w:rPr>
          <w:color w:val="231F20"/>
          <w:vertAlign w:val="subscript"/>
        </w:rPr>
        <w:t>3</w:t>
      </w:r>
      <w:r>
        <w:rPr>
          <w:color w:val="231F20"/>
          <w:vertAlign w:val="baseline"/>
        </w:rPr>
        <w:t> normally buffers</w:t>
      </w:r>
    </w:p>
    <w:p>
      <w:pPr>
        <w:spacing w:line="87" w:lineRule="exact" w:before="131"/>
        <w:ind w:left="320" w:right="0" w:firstLine="0"/>
        <w:jc w:val="left"/>
        <w:rPr>
          <w:rFonts w:ascii="Consolas" w:hAnsi="Consolas"/>
          <w:sz w:val="9"/>
        </w:rPr>
      </w:pPr>
      <w:r>
        <w:rPr/>
        <w:br w:type="column"/>
      </w:r>
      <w:r>
        <w:rPr>
          <w:rFonts w:ascii="Arial" w:hAnsi="Arial"/>
          <w:color w:val="231F20"/>
          <w:sz w:val="16"/>
        </w:rPr>
        <w:t>the renal tubule. The percentages of the filtered load of HCO </w:t>
      </w:r>
      <w:r>
        <w:rPr>
          <w:rFonts w:ascii="Consolas" w:hAnsi="Consolas"/>
          <w:color w:val="231F20"/>
          <w:position w:val="6"/>
          <w:sz w:val="9"/>
        </w:rPr>
        <w:t>−</w:t>
      </w:r>
    </w:p>
    <w:p>
      <w:pPr>
        <w:spacing w:after="0" w:line="87" w:lineRule="exact"/>
        <w:jc w:val="left"/>
        <w:rPr>
          <w:rFonts w:ascii="Consolas" w:hAnsi="Consolas"/>
          <w:sz w:val="9"/>
        </w:rPr>
        <w:sectPr>
          <w:type w:val="continuous"/>
          <w:pgSz w:w="12240" w:h="15660"/>
          <w:pgMar w:top="0" w:bottom="760" w:left="0" w:right="0"/>
          <w:cols w:num="2" w:equalWidth="0">
            <w:col w:w="5760" w:space="40"/>
            <w:col w:w="6440"/>
          </w:cols>
        </w:sectPr>
      </w:pPr>
    </w:p>
    <w:p>
      <w:pPr>
        <w:pStyle w:val="BodyText"/>
        <w:spacing w:line="247" w:lineRule="auto" w:before="17"/>
        <w:ind w:left="1079" w:hanging="1"/>
        <w:jc w:val="both"/>
      </w:pPr>
      <w:r>
        <w:rPr/>
        <w:pict>
          <v:shape style="position:absolute;margin-left:234.968307pt;margin-top:6.295525pt;width:3pt;height:8.7pt;mso-position-horizontal-relative:page;mso-position-vertical-relative:paragraph;z-index:-27251302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83.434799pt;margin-top:30.295525pt;width:3pt;height:8.7pt;mso-position-horizontal-relative:page;mso-position-vertical-relative:paragraph;z-index:-27251200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H</w:t>
      </w:r>
      <w:r>
        <w:rPr>
          <w:rFonts w:ascii="Consolas" w:hAnsi="Consolas"/>
          <w:color w:val="231F20"/>
          <w:position w:val="8"/>
          <w:sz w:val="12"/>
        </w:rPr>
        <w:t>+ </w:t>
      </w:r>
      <w:r>
        <w:rPr>
          <w:color w:val="231F20"/>
        </w:rPr>
        <w:t>in the extracellular fluid, this loss of HCO </w:t>
      </w:r>
      <w:r>
        <w:rPr>
          <w:rFonts w:ascii="Consolas" w:hAnsi="Consolas"/>
          <w:color w:val="231F20"/>
          <w:position w:val="8"/>
          <w:sz w:val="12"/>
        </w:rPr>
        <w:t>−</w:t>
      </w:r>
      <w:r>
        <w:rPr>
          <w:rFonts w:ascii="Consolas" w:hAnsi="Consolas"/>
          <w:color w:val="231F20"/>
          <w:spacing w:val="-49"/>
          <w:position w:val="8"/>
          <w:sz w:val="12"/>
        </w:rPr>
        <w:t> </w:t>
      </w:r>
      <w:r>
        <w:rPr>
          <w:color w:val="231F20"/>
        </w:rPr>
        <w:t>is the same as adding an H</w:t>
      </w:r>
      <w:r>
        <w:rPr>
          <w:rFonts w:ascii="Consolas" w:hAnsi="Consolas"/>
          <w:color w:val="231F20"/>
          <w:position w:val="8"/>
          <w:sz w:val="12"/>
        </w:rPr>
        <w:t>+ </w:t>
      </w:r>
      <w:r>
        <w:rPr>
          <w:color w:val="231F20"/>
        </w:rPr>
        <w:t>to the extracellular fluid. Therefore, in alkalosis, the removal of HCO </w:t>
      </w:r>
      <w:r>
        <w:rPr>
          <w:rFonts w:ascii="Consolas" w:hAnsi="Consolas"/>
          <w:color w:val="231F20"/>
          <w:position w:val="8"/>
          <w:sz w:val="12"/>
        </w:rPr>
        <w:t>− </w:t>
      </w:r>
      <w:r>
        <w:rPr>
          <w:color w:val="231F20"/>
        </w:rPr>
        <w:t>raises the extracellular fluid H</w:t>
      </w:r>
      <w:r>
        <w:rPr>
          <w:rFonts w:ascii="Consolas" w:hAnsi="Consolas"/>
          <w:color w:val="231F20"/>
          <w:position w:val="8"/>
          <w:sz w:val="12"/>
        </w:rPr>
        <w:t>+ </w:t>
      </w:r>
      <w:r>
        <w:rPr>
          <w:color w:val="231F20"/>
        </w:rPr>
        <w:t>concentration back toward</w:t>
      </w:r>
      <w:r>
        <w:rPr>
          <w:color w:val="231F20"/>
          <w:spacing w:val="34"/>
        </w:rPr>
        <w:t> </w:t>
      </w:r>
      <w:r>
        <w:rPr>
          <w:color w:val="231F20"/>
        </w:rPr>
        <w:t>normal.</w:t>
      </w:r>
    </w:p>
    <w:p>
      <w:pPr>
        <w:spacing w:before="3"/>
        <w:ind w:left="299" w:right="1490" w:firstLine="0"/>
        <w:jc w:val="right"/>
        <w:rPr>
          <w:rFonts w:ascii="Arial"/>
          <w:sz w:val="9"/>
        </w:rPr>
      </w:pPr>
      <w:r>
        <w:rPr/>
        <w:br w:type="column"/>
      </w:r>
      <w:r>
        <w:rPr>
          <w:rFonts w:ascii="Arial"/>
          <w:color w:val="231F20"/>
          <w:w w:val="105"/>
          <w:sz w:val="9"/>
        </w:rPr>
        <w:t>3</w:t>
      </w:r>
    </w:p>
    <w:p>
      <w:pPr>
        <w:spacing w:line="261" w:lineRule="auto" w:before="7"/>
        <w:ind w:left="319" w:right="1437" w:firstLine="0"/>
        <w:jc w:val="both"/>
        <w:rPr>
          <w:rFonts w:ascii="Arial"/>
          <w:sz w:val="16"/>
        </w:rPr>
      </w:pPr>
      <w:r>
        <w:rPr>
          <w:rFonts w:ascii="Arial"/>
          <w:color w:val="231F20"/>
          <w:sz w:val="16"/>
        </w:rPr>
        <w:t>absorbed by the various tubular segments are shown, as well as the number of milliequivalents reabsorbed per day under normal conditions.</w:t>
      </w:r>
    </w:p>
    <w:p>
      <w:pPr>
        <w:spacing w:after="0" w:line="261" w:lineRule="auto"/>
        <w:jc w:val="both"/>
        <w:rPr>
          <w:rFonts w:ascii="Arial"/>
          <w:sz w:val="16"/>
        </w:rPr>
        <w:sectPr>
          <w:type w:val="continuous"/>
          <w:pgSz w:w="12240" w:h="15660"/>
          <w:pgMar w:top="0" w:bottom="760" w:left="0" w:right="0"/>
          <w:cols w:num="2" w:equalWidth="0">
            <w:col w:w="5761" w:space="40"/>
            <w:col w:w="6439"/>
          </w:cols>
        </w:sectPr>
      </w:pPr>
    </w:p>
    <w:p>
      <w:pPr>
        <w:pStyle w:val="BodyText"/>
        <w:spacing w:line="232" w:lineRule="exact"/>
        <w:ind w:left="1319"/>
      </w:pPr>
      <w:r>
        <w:rPr>
          <w:color w:val="231F20"/>
        </w:rPr>
        <w:t>In </w:t>
      </w:r>
      <w:r>
        <w:rPr>
          <w:color w:val="231F20"/>
          <w:spacing w:val="21"/>
        </w:rPr>
        <w:t> </w:t>
      </w:r>
      <w:r>
        <w:rPr>
          <w:color w:val="231F20"/>
        </w:rPr>
        <w:t>acidosis, </w:t>
      </w:r>
      <w:r>
        <w:rPr>
          <w:color w:val="231F20"/>
          <w:spacing w:val="22"/>
        </w:rPr>
        <w:t> </w:t>
      </w:r>
      <w:r>
        <w:rPr>
          <w:color w:val="231F20"/>
        </w:rPr>
        <w:t>the </w:t>
      </w:r>
      <w:r>
        <w:rPr>
          <w:color w:val="231F20"/>
          <w:spacing w:val="22"/>
        </w:rPr>
        <w:t> </w:t>
      </w:r>
      <w:r>
        <w:rPr>
          <w:color w:val="231F20"/>
        </w:rPr>
        <w:t>kidneys </w:t>
      </w:r>
      <w:r>
        <w:rPr>
          <w:color w:val="231F20"/>
          <w:spacing w:val="21"/>
        </w:rPr>
        <w:t> </w:t>
      </w:r>
      <w:r>
        <w:rPr>
          <w:color w:val="231F20"/>
        </w:rPr>
        <w:t>secrete </w:t>
      </w:r>
      <w:r>
        <w:rPr>
          <w:color w:val="231F20"/>
          <w:spacing w:val="22"/>
        </w:rPr>
        <w:t> </w:t>
      </w:r>
      <w:r>
        <w:rPr>
          <w:color w:val="231F20"/>
        </w:rPr>
        <w:t>additional </w:t>
      </w:r>
      <w:r>
        <w:rPr>
          <w:color w:val="231F20"/>
          <w:spacing w:val="22"/>
        </w:rPr>
        <w:t> </w:t>
      </w:r>
      <w:r>
        <w:rPr>
          <w:color w:val="231F20"/>
        </w:rPr>
        <w:t>H</w:t>
      </w:r>
      <w:r>
        <w:rPr>
          <w:rFonts w:ascii="Consolas"/>
          <w:color w:val="231F20"/>
          <w:position w:val="8"/>
          <w:sz w:val="12"/>
        </w:rPr>
        <w:t>+</w:t>
      </w:r>
      <w:r>
        <w:rPr>
          <w:rFonts w:ascii="Consolas"/>
          <w:color w:val="231F20"/>
          <w:spacing w:val="55"/>
          <w:position w:val="8"/>
          <w:sz w:val="12"/>
        </w:rPr>
        <w:t> </w:t>
      </w:r>
      <w:r>
        <w:rPr>
          <w:color w:val="231F20"/>
          <w:spacing w:val="-4"/>
        </w:rPr>
        <w:t>and</w:t>
      </w:r>
    </w:p>
    <w:p>
      <w:pPr>
        <w:pStyle w:val="BodyText"/>
        <w:spacing w:line="109" w:lineRule="exact" w:before="6"/>
        <w:ind w:left="1080"/>
      </w:pPr>
      <w:r>
        <w:rPr>
          <w:color w:val="231F20"/>
          <w:w w:val="105"/>
        </w:rPr>
        <w:t>do</w:t>
      </w:r>
      <w:r>
        <w:rPr>
          <w:color w:val="231F20"/>
          <w:spacing w:val="37"/>
          <w:w w:val="105"/>
        </w:rPr>
        <w:t> </w:t>
      </w:r>
      <w:r>
        <w:rPr>
          <w:color w:val="231F20"/>
          <w:w w:val="105"/>
        </w:rPr>
        <w:t>not</w:t>
      </w:r>
      <w:r>
        <w:rPr>
          <w:color w:val="231F20"/>
          <w:spacing w:val="37"/>
          <w:w w:val="105"/>
        </w:rPr>
        <w:t> </w:t>
      </w:r>
      <w:r>
        <w:rPr>
          <w:color w:val="231F20"/>
          <w:w w:val="105"/>
        </w:rPr>
        <w:t>excrete</w:t>
      </w:r>
      <w:r>
        <w:rPr>
          <w:color w:val="231F20"/>
          <w:spacing w:val="37"/>
          <w:w w:val="105"/>
        </w:rPr>
        <w:t> </w:t>
      </w:r>
      <w:r>
        <w:rPr>
          <w:color w:val="231F20"/>
          <w:w w:val="105"/>
        </w:rPr>
        <w:t>HCO</w:t>
      </w:r>
      <w:r>
        <w:rPr>
          <w:color w:val="231F20"/>
          <w:spacing w:val="4"/>
          <w:w w:val="105"/>
        </w:rPr>
        <w:t> </w:t>
      </w:r>
      <w:r>
        <w:rPr>
          <w:rFonts w:ascii="Consolas" w:hAnsi="Consolas"/>
          <w:color w:val="231F20"/>
          <w:w w:val="105"/>
          <w:position w:val="8"/>
          <w:sz w:val="12"/>
        </w:rPr>
        <w:t>−</w:t>
      </w:r>
      <w:r>
        <w:rPr>
          <w:rFonts w:ascii="Consolas" w:hAnsi="Consolas"/>
          <w:color w:val="231F20"/>
          <w:spacing w:val="20"/>
          <w:w w:val="105"/>
          <w:position w:val="8"/>
          <w:sz w:val="12"/>
        </w:rPr>
        <w:t> </w:t>
      </w:r>
      <w:r>
        <w:rPr>
          <w:color w:val="231F20"/>
          <w:w w:val="105"/>
        </w:rPr>
        <w:t>into</w:t>
      </w:r>
      <w:r>
        <w:rPr>
          <w:color w:val="231F20"/>
          <w:spacing w:val="37"/>
          <w:w w:val="105"/>
        </w:rPr>
        <w:t> </w:t>
      </w:r>
      <w:r>
        <w:rPr>
          <w:color w:val="231F20"/>
          <w:w w:val="105"/>
        </w:rPr>
        <w:t>the</w:t>
      </w:r>
      <w:r>
        <w:rPr>
          <w:color w:val="231F20"/>
          <w:spacing w:val="37"/>
          <w:w w:val="105"/>
        </w:rPr>
        <w:t> </w:t>
      </w:r>
      <w:r>
        <w:rPr>
          <w:color w:val="231F20"/>
          <w:w w:val="105"/>
        </w:rPr>
        <w:t>urine</w:t>
      </w:r>
      <w:r>
        <w:rPr>
          <w:color w:val="231F20"/>
          <w:spacing w:val="37"/>
          <w:w w:val="105"/>
        </w:rPr>
        <w:t> </w:t>
      </w:r>
      <w:r>
        <w:rPr>
          <w:color w:val="231F20"/>
          <w:w w:val="105"/>
        </w:rPr>
        <w:t>but</w:t>
      </w:r>
      <w:r>
        <w:rPr>
          <w:color w:val="231F20"/>
          <w:spacing w:val="37"/>
          <w:w w:val="105"/>
        </w:rPr>
        <w:t> </w:t>
      </w:r>
      <w:r>
        <w:rPr>
          <w:color w:val="231F20"/>
          <w:w w:val="105"/>
        </w:rPr>
        <w:t>reabsorb</w:t>
      </w:r>
      <w:r>
        <w:rPr>
          <w:color w:val="231F20"/>
          <w:spacing w:val="37"/>
          <w:w w:val="105"/>
        </w:rPr>
        <w:t> </w:t>
      </w:r>
      <w:r>
        <w:rPr>
          <w:color w:val="231F20"/>
          <w:spacing w:val="-5"/>
          <w:w w:val="105"/>
        </w:rPr>
        <w:t>all</w:t>
      </w:r>
    </w:p>
    <w:p>
      <w:pPr>
        <w:spacing w:line="180" w:lineRule="exact" w:before="77"/>
        <w:ind w:left="319" w:right="-19" w:firstLine="128"/>
        <w:jc w:val="left"/>
        <w:rPr>
          <w:rFonts w:ascii="Helvetica"/>
          <w:sz w:val="16"/>
        </w:rPr>
      </w:pPr>
      <w:r>
        <w:rPr/>
        <w:br w:type="column"/>
      </w:r>
      <w:r>
        <w:rPr>
          <w:rFonts w:ascii="Helvetica"/>
          <w:color w:val="231F20"/>
          <w:sz w:val="16"/>
        </w:rPr>
        <w:t>Renal interstitial</w:t>
      </w:r>
    </w:p>
    <w:p>
      <w:pPr>
        <w:pStyle w:val="BodyText"/>
        <w:spacing w:before="10"/>
        <w:rPr>
          <w:rFonts w:ascii="Helvetica"/>
          <w:sz w:val="24"/>
        </w:rPr>
      </w:pPr>
      <w:r>
        <w:rPr/>
        <w:br w:type="column"/>
      </w:r>
      <w:r>
        <w:rPr>
          <w:rFonts w:ascii="Helvetica"/>
          <w:sz w:val="24"/>
        </w:rPr>
      </w:r>
    </w:p>
    <w:p>
      <w:pPr>
        <w:spacing w:line="61" w:lineRule="exact" w:before="0"/>
        <w:ind w:left="912" w:right="0" w:firstLine="0"/>
        <w:jc w:val="left"/>
        <w:rPr>
          <w:rFonts w:ascii="Helvetica"/>
          <w:b/>
          <w:sz w:val="16"/>
        </w:rPr>
      </w:pPr>
      <w:r>
        <w:rPr>
          <w:rFonts w:ascii="Helvetica"/>
          <w:b/>
          <w:color w:val="231F20"/>
          <w:w w:val="95"/>
          <w:sz w:val="16"/>
        </w:rPr>
        <w:t>Tubular cells</w:t>
      </w:r>
    </w:p>
    <w:p>
      <w:pPr>
        <w:spacing w:line="180" w:lineRule="exact" w:before="77"/>
        <w:ind w:left="1133" w:right="1823" w:hanging="54"/>
        <w:jc w:val="left"/>
        <w:rPr>
          <w:rFonts w:ascii="Helvetica"/>
          <w:sz w:val="16"/>
        </w:rPr>
      </w:pPr>
      <w:r>
        <w:rPr/>
        <w:br w:type="column"/>
      </w:r>
      <w:r>
        <w:rPr>
          <w:rFonts w:ascii="Helvetica"/>
          <w:color w:val="231F20"/>
          <w:sz w:val="16"/>
        </w:rPr>
        <w:t>Tubular lumen</w:t>
      </w:r>
    </w:p>
    <w:p>
      <w:pPr>
        <w:spacing w:after="0" w:line="180" w:lineRule="exact"/>
        <w:jc w:val="left"/>
        <w:rPr>
          <w:rFonts w:ascii="Helvetica"/>
          <w:sz w:val="16"/>
        </w:rPr>
        <w:sectPr>
          <w:type w:val="continuous"/>
          <w:pgSz w:w="12240" w:h="15660"/>
          <w:pgMar w:top="0" w:bottom="760" w:left="0" w:right="0"/>
          <w:cols w:num="4" w:equalWidth="0">
            <w:col w:w="5761" w:space="40"/>
            <w:col w:w="996" w:space="39"/>
            <w:col w:w="1860" w:space="79"/>
            <w:col w:w="3465"/>
          </w:cols>
        </w:sectPr>
      </w:pPr>
    </w:p>
    <w:p>
      <w:pPr>
        <w:tabs>
          <w:tab w:pos="2880" w:val="left" w:leader="none"/>
          <w:tab w:pos="4846" w:val="left" w:leader="none"/>
          <w:tab w:pos="6311" w:val="left" w:leader="none"/>
        </w:tabs>
        <w:spacing w:line="46" w:lineRule="exact" w:before="0"/>
        <w:ind w:left="2603" w:right="0" w:firstLine="0"/>
        <w:jc w:val="left"/>
        <w:rPr>
          <w:rFonts w:ascii="Helvetica" w:hAnsi="Helvetica"/>
          <w:sz w:val="16"/>
        </w:rPr>
      </w:pPr>
      <w:r>
        <w:rPr/>
        <w:pict>
          <v:group style="position:absolute;margin-left:330.692108pt;margin-top:-13.822645pt;width:156.050pt;height:159.35pt;mso-position-horizontal-relative:page;mso-position-vertical-relative:paragraph;z-index:-272521216" coordorigin="6614,-276" coordsize="3121,3187">
            <v:shape style="position:absolute;left:7056;top:-251;width:2324;height:584" coordorigin="7056,-251" coordsize="2324,584" path="m9379,-251l7056,-248,7056,-11,7068,50,7102,100,7152,134,7213,146,8462,146,8491,147,8562,154,8656,174,8752,212,8813,244,8888,277,8971,307,9054,327,9132,333,9203,323,9268,298,9322,253,9361,186,9379,92,9379,-251xe" filled="true" fillcolor="#feede3" stroked="false">
              <v:path arrowok="t"/>
              <v:fill type="solid"/>
            </v:shape>
            <v:shape style="position:absolute;left:7056;top:-251;width:2324;height:584" coordorigin="7056,-251" coordsize="2324,584" path="m9379,92l9361,186,9322,253,9268,298,9203,323,9132,333,9054,327,8971,307,8888,277,8813,244,8752,212,8656,174,8562,154,8491,147,8462,146,7213,146,7152,134,7102,100,7068,50,7056,-11,7056,-248,9379,-251,9379,92xe" filled="false" stroked="true" strokeweight=".75pt" strokecolor="#e2874a">
              <v:path arrowok="t"/>
              <v:stroke dashstyle="solid"/>
            </v:shape>
            <v:shape style="position:absolute;left:7056;top:370;width:2324;height:2532" coordorigin="7056,371" coordsize="2324,2532" path="m9132,371l9054,377,8971,397,8888,427,8813,460,8752,492,8680,530,8625,550,8562,557,8462,558,7213,558,7152,570,7102,604,7068,654,7056,715,7056,2558,7068,2619,7102,2669,7152,2703,7213,2715,8462,2715,8491,2716,8562,2723,8656,2743,8752,2782,8813,2813,8888,2846,8971,2876,9054,2897,9132,2902,9203,2892,9268,2867,9322,2822,9361,2755,9379,2661,9379,612,9361,518,9322,451,9268,406,9203,381,9132,371xe" filled="true" fillcolor="#feede3" stroked="false">
              <v:path arrowok="t"/>
              <v:fill type="solid"/>
            </v:shape>
            <v:shape style="position:absolute;left:7056;top:370;width:2324;height:2532" coordorigin="7056,371" coordsize="2324,2532" path="m9379,2661l9361,2755,9322,2822,9268,2867,9203,2892,9132,2902,9054,2897,8971,2876,8888,2846,8813,2813,8752,2782,8656,2743,8562,2723,8491,2716,8462,2715,7213,2715,7152,2703,7102,2669,7068,2619,7056,2558,7056,715,7068,654,7102,604,7152,570,7213,558,8462,558,8562,557,8625,550,8680,530,8752,492,8813,460,8888,427,8971,397,9054,377,9132,371,9203,381,9268,406,9322,451,9361,518,9379,612,9379,2661xe" filled="false" stroked="true" strokeweight=".75pt" strokecolor="#e2874a">
              <v:path arrowok="t"/>
              <v:stroke dashstyle="solid"/>
            </v:shape>
            <v:shape style="position:absolute;left:6657;top:673;width:185;height:120" type="#_x0000_t75" stroked="false">
              <v:imagedata r:id="rId962" o:title=""/>
            </v:shape>
            <v:line style="position:absolute" from="7394,733" to="6793,733" stroked="true" strokeweight="1.5pt" strokecolor="#231f20">
              <v:stroke dashstyle="solid"/>
            </v:line>
            <v:shape style="position:absolute;left:6613;top:1169;width:185;height:120" type="#_x0000_t75" stroked="false">
              <v:imagedata r:id="rId963" o:title=""/>
            </v:shape>
            <v:shape style="position:absolute;left:7221;top:1011;width:185;height:120" type="#_x0000_t75" stroked="false">
              <v:imagedata r:id="rId964" o:title=""/>
            </v:shape>
            <v:shape style="position:absolute;left:6869;top:719;width:367;height:367" type="#_x0000_t75" stroked="false">
              <v:imagedata r:id="rId965" o:title=""/>
            </v:shape>
            <v:shape style="position:absolute;left:6686;top:1513;width:185;height:120" type="#_x0000_t75" stroked="false">
              <v:imagedata r:id="rId966" o:title=""/>
            </v:shape>
            <v:line style="position:absolute" from="7410,1574" to="6807,1574" stroked="true" strokeweight="1.5pt" strokecolor="#231f20">
              <v:stroke dashstyle="solid"/>
            </v:line>
            <v:line style="position:absolute" from="6992,-246" to="9472,-246" stroked="true" strokeweight="3pt" strokecolor="#ffffff">
              <v:stroke dashstyle="solid"/>
            </v:line>
            <v:shape style="position:absolute;left:8985;top:673;width:185;height:120" type="#_x0000_t75" stroked="false">
              <v:imagedata r:id="rId897" o:title=""/>
            </v:shape>
            <v:line style="position:absolute" from="9722,733" to="9121,733" stroked="true" strokeweight="1.5pt" strokecolor="#231f20">
              <v:stroke dashstyle="solid"/>
            </v:line>
            <v:shape style="position:absolute;left:9549;top:1011;width:185;height:120" type="#_x0000_t75" stroked="false">
              <v:imagedata r:id="rId967" o:title=""/>
            </v:shape>
            <v:shape style="position:absolute;left:9197;top:719;width:367;height:367" type="#_x0000_t75" stroked="false">
              <v:imagedata r:id="rId965" o:title=""/>
            </v:shape>
            <v:shape style="position:absolute;left:8116;top:1375;width:120;height:185" coordorigin="8116,1375" coordsize="120,185" path="m8223,1526l8176,1526,8235,1560,8236,1558,8223,1526xm8177,1375l8155,1468,8116,1557,8118,1559,8176,1526,8223,1526,8199,1468,8177,1375xe" filled="true" fillcolor="#f0535f" stroked="false">
              <v:path arrowok="t"/>
              <v:fill type="solid"/>
            </v:shape>
            <v:line style="position:absolute" from="8176,1642" to="8176,1510" stroked="true" strokeweight="1.5pt" strokecolor="#f0535f">
              <v:stroke dashstyle="solid"/>
            </v:line>
            <v:shape style="position:absolute;left:8116;top:1858;width:120;height:185" coordorigin="8116,1858" coordsize="120,185" path="m8223,2009l8176,2009,8235,2043,8236,2041,8223,2009xm8177,1858l8155,1951,8116,2041,8118,2042,8176,2009,8223,2009,8199,1952,8177,1858xe" filled="true" fillcolor="#f0535f" stroked="false">
              <v:path arrowok="t"/>
              <v:fill type="solid"/>
            </v:shape>
            <v:line style="position:absolute" from="8176,2125" to="8176,1994" stroked="true" strokeweight="1.5pt" strokecolor="#f0535f">
              <v:stroke dashstyle="solid"/>
            </v:line>
            <v:shape style="position:absolute;left:6613;top:2458;width:185;height:120" type="#_x0000_t75" stroked="false">
              <v:imagedata r:id="rId968" o:title=""/>
            </v:shape>
            <v:shape style="position:absolute;left:7410;top:2290;width:185;height:120" type="#_x0000_t75" stroked="false">
              <v:imagedata r:id="rId969" o:title=""/>
            </v:shape>
            <v:shape style="position:absolute;left:8383;top:2522;width:185;height:120" type="#_x0000_t75" stroked="false">
              <v:imagedata r:id="rId970" o:title=""/>
            </v:shape>
            <v:shape style="position:absolute;left:6872;top:1221;width:367;height:367" type="#_x0000_t75" stroked="false">
              <v:imagedata r:id="rId965" o:title=""/>
            </v:shape>
            <w10:wrap type="none"/>
          </v:group>
        </w:pict>
      </w:r>
      <w:r>
        <w:rPr>
          <w:rFonts w:ascii="Consolas" w:hAnsi="Consolas"/>
          <w:color w:val="231F20"/>
          <w:sz w:val="12"/>
        </w:rPr>
        <w:t>−</w:t>
        <w:tab/>
      </w:r>
      <w:r>
        <w:rPr>
          <w:color w:val="231F20"/>
          <w:position w:val="13"/>
          <w:sz w:val="12"/>
        </w:rPr>
        <w:t>3</w:t>
        <w:tab/>
      </w:r>
      <w:r>
        <w:rPr>
          <w:rFonts w:ascii="Consolas" w:hAnsi="Consolas"/>
          <w:color w:val="231F20"/>
          <w:sz w:val="12"/>
        </w:rPr>
        <w:t>−</w:t>
        <w:tab/>
      </w:r>
      <w:r>
        <w:rPr>
          <w:rFonts w:ascii="Helvetica" w:hAnsi="Helvetica"/>
          <w:color w:val="231F20"/>
          <w:position w:val="1"/>
          <w:sz w:val="16"/>
        </w:rPr>
        <w:t>fluid</w:t>
      </w:r>
    </w:p>
    <w:p>
      <w:pPr>
        <w:spacing w:line="21" w:lineRule="exact" w:before="24"/>
        <w:ind w:left="2603" w:right="0" w:firstLine="0"/>
        <w:jc w:val="left"/>
        <w:rPr>
          <w:rFonts w:ascii="Helvetica" w:hAnsi="Helvetica"/>
          <w:b/>
          <w:sz w:val="12"/>
        </w:rPr>
      </w:pPr>
      <w:r>
        <w:rPr/>
        <w:br w:type="column"/>
      </w:r>
      <w:r>
        <w:rPr>
          <w:rFonts w:ascii="Helvetica" w:hAnsi="Helvetica"/>
          <w:color w:val="231F20"/>
          <w:sz w:val="16"/>
        </w:rPr>
        <w:t>Na</w:t>
      </w:r>
      <w:r>
        <w:rPr>
          <w:rFonts w:ascii="Juice ITC" w:hAnsi="Juice ITC"/>
          <w:color w:val="231F20"/>
          <w:position w:val="5"/>
          <w:sz w:val="12"/>
        </w:rPr>
        <w:t>+ </w:t>
      </w:r>
      <w:r>
        <w:rPr>
          <w:rFonts w:ascii="Juice ITC" w:hAnsi="Juice ITC"/>
          <w:color w:val="231F20"/>
          <w:sz w:val="16"/>
        </w:rPr>
        <w:t>+ </w:t>
      </w:r>
      <w:r>
        <w:rPr>
          <w:rFonts w:ascii="Helvetica" w:hAnsi="Helvetica"/>
          <w:b/>
          <w:color w:val="231F20"/>
          <w:sz w:val="16"/>
        </w:rPr>
        <w:t>HCO </w:t>
      </w:r>
      <w:r>
        <w:rPr>
          <w:rFonts w:ascii="Helvetica" w:hAnsi="Helvetica"/>
          <w:b/>
          <w:color w:val="231F20"/>
          <w:position w:val="6"/>
          <w:sz w:val="12"/>
        </w:rPr>
        <w:t>–</w:t>
      </w:r>
    </w:p>
    <w:p>
      <w:pPr>
        <w:spacing w:after="0" w:line="21" w:lineRule="exact"/>
        <w:jc w:val="left"/>
        <w:rPr>
          <w:rFonts w:ascii="Helvetica" w:hAnsi="Helvetica"/>
          <w:sz w:val="12"/>
        </w:rPr>
        <w:sectPr>
          <w:type w:val="continuous"/>
          <w:pgSz w:w="12240" w:h="15660"/>
          <w:pgMar w:top="0" w:bottom="760" w:left="0" w:right="0"/>
          <w:cols w:num="2" w:equalWidth="0">
            <w:col w:w="6645" w:space="474"/>
            <w:col w:w="5121"/>
          </w:cols>
        </w:sectPr>
      </w:pPr>
    </w:p>
    <w:p>
      <w:pPr>
        <w:pStyle w:val="BodyText"/>
        <w:tabs>
          <w:tab w:pos="10652" w:val="right" w:leader="none"/>
        </w:tabs>
        <w:spacing w:line="235" w:lineRule="exact"/>
        <w:ind w:left="1079"/>
        <w:rPr>
          <w:rFonts w:ascii="Helvetica"/>
          <w:b/>
          <w:sz w:val="12"/>
        </w:rPr>
      </w:pPr>
      <w:r>
        <w:rPr/>
        <w:pict>
          <v:group style="position:absolute;margin-left:516.322998pt;margin-top:9.810498pt;width:6pt;height:53.85pt;mso-position-horizontal-relative:page;mso-position-vertical-relative:paragraph;z-index:252884992" coordorigin="10326,196" coordsize="120,1077">
            <v:shape style="position:absolute;left:10326;top:1088;width:120;height:185" type="#_x0000_t75" stroked="false">
              <v:imagedata r:id="rId971" o:title=""/>
            </v:shape>
            <v:line style="position:absolute" from="10386,196" to="10386,1138" stroked="true" strokeweight="1.5pt" strokecolor="#f0535f">
              <v:stroke dashstyle="solid"/>
            </v:line>
            <w10:wrap type="none"/>
          </v:group>
        </w:pict>
      </w:r>
      <w:r>
        <w:rPr/>
        <w:pict>
          <v:group style="position:absolute;margin-left:490.687012pt;margin-top:9.582898pt;width:6pt;height:20.25pt;mso-position-horizontal-relative:page;mso-position-vertical-relative:paragraph;z-index:-272517120" coordorigin="9814,192" coordsize="120,405">
            <v:shape style="position:absolute;left:9813;top:412;width:120;height:185" coordorigin="9814,412" coordsize="120,185" path="m9815,412l9814,414,9852,503,9874,597,9896,503,9920,446,9874,446,9815,412xm9932,412l9874,446,9920,446,9933,414,9932,412xe" filled="true" fillcolor="#231f20" stroked="false">
              <v:path arrowok="t"/>
              <v:fill type="solid"/>
            </v:shape>
            <v:line style="position:absolute" from="9873,192" to="9873,461" stroked="true" strokeweight="1.5pt" strokecolor="#231f20">
              <v:stroke dashstyle="solid"/>
            </v:line>
            <w10:wrap type="none"/>
          </v:group>
        </w:pict>
      </w:r>
      <w:r>
        <w:rPr>
          <w:color w:val="231F20"/>
          <w:position w:val="1"/>
        </w:rPr>
        <w:t>the filtered HCO</w:t>
      </w:r>
      <w:r>
        <w:rPr>
          <w:color w:val="231F20"/>
          <w:position w:val="1"/>
          <w:vertAlign w:val="subscript"/>
        </w:rPr>
        <w:t>3</w:t>
      </w:r>
      <w:r>
        <w:rPr>
          <w:color w:val="231F20"/>
          <w:position w:val="1"/>
          <w:vertAlign w:val="baseline"/>
        </w:rPr>
        <w:t> and produce new HCO</w:t>
      </w:r>
      <w:r>
        <w:rPr>
          <w:color w:val="231F20"/>
          <w:position w:val="1"/>
          <w:vertAlign w:val="subscript"/>
        </w:rPr>
        <w:t>3</w:t>
      </w:r>
      <w:r>
        <w:rPr>
          <w:color w:val="231F20"/>
          <w:position w:val="1"/>
          <w:vertAlign w:val="baseline"/>
        </w:rPr>
        <w:t> ,</w:t>
      </w:r>
      <w:r>
        <w:rPr>
          <w:color w:val="231F20"/>
          <w:spacing w:val="5"/>
          <w:position w:val="1"/>
          <w:vertAlign w:val="baseline"/>
        </w:rPr>
        <w:t> </w:t>
      </w:r>
      <w:r>
        <w:rPr>
          <w:color w:val="231F20"/>
          <w:position w:val="1"/>
          <w:vertAlign w:val="baseline"/>
        </w:rPr>
        <w:t>which</w:t>
      </w:r>
      <w:r>
        <w:rPr>
          <w:color w:val="231F20"/>
          <w:spacing w:val="38"/>
          <w:position w:val="1"/>
          <w:vertAlign w:val="baseline"/>
        </w:rPr>
        <w:t> </w:t>
      </w:r>
      <w:r>
        <w:rPr>
          <w:color w:val="231F20"/>
          <w:position w:val="1"/>
          <w:vertAlign w:val="baseline"/>
        </w:rPr>
        <w:t>is</w:t>
        <w:tab/>
      </w:r>
      <w:r>
        <w:rPr>
          <w:rFonts w:ascii="Helvetica"/>
          <w:b/>
          <w:color w:val="231F20"/>
          <w:sz w:val="12"/>
          <w:vertAlign w:val="baseline"/>
        </w:rPr>
        <w:t>3</w:t>
      </w:r>
    </w:p>
    <w:p>
      <w:pPr>
        <w:spacing w:after="0" w:line="235" w:lineRule="exact"/>
        <w:rPr>
          <w:rFonts w:ascii="Helvetica"/>
          <w:sz w:val="12"/>
        </w:rPr>
        <w:sectPr>
          <w:type w:val="continuous"/>
          <w:pgSz w:w="12240" w:h="15660"/>
          <w:pgMar w:top="0" w:bottom="760" w:left="0" w:right="0"/>
        </w:sectPr>
      </w:pPr>
    </w:p>
    <w:p>
      <w:pPr>
        <w:pStyle w:val="BodyText"/>
        <w:spacing w:line="249" w:lineRule="auto" w:before="4"/>
        <w:ind w:left="1079"/>
        <w:jc w:val="both"/>
      </w:pPr>
      <w:r>
        <w:rPr>
          <w:color w:val="231F20"/>
          <w:w w:val="105"/>
        </w:rPr>
        <w:t>added</w:t>
      </w:r>
      <w:r>
        <w:rPr>
          <w:color w:val="231F20"/>
          <w:spacing w:val="-12"/>
          <w:w w:val="105"/>
        </w:rPr>
        <w:t> </w:t>
      </w:r>
      <w:r>
        <w:rPr>
          <w:color w:val="231F20"/>
          <w:w w:val="105"/>
        </w:rPr>
        <w:t>back</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2"/>
          <w:w w:val="105"/>
        </w:rPr>
        <w:t> </w:t>
      </w:r>
      <w:r>
        <w:rPr>
          <w:color w:val="231F20"/>
          <w:w w:val="105"/>
        </w:rPr>
        <w:t>extracellular</w:t>
      </w:r>
      <w:r>
        <w:rPr>
          <w:color w:val="231F20"/>
          <w:spacing w:val="-11"/>
          <w:w w:val="105"/>
        </w:rPr>
        <w:t> </w:t>
      </w:r>
      <w:r>
        <w:rPr>
          <w:color w:val="231F20"/>
          <w:w w:val="105"/>
        </w:rPr>
        <w:t>fluid.</w:t>
      </w:r>
      <w:r>
        <w:rPr>
          <w:color w:val="231F20"/>
          <w:spacing w:val="-11"/>
          <w:w w:val="105"/>
        </w:rPr>
        <w:t> </w:t>
      </w:r>
      <w:r>
        <w:rPr>
          <w:color w:val="231F20"/>
          <w:w w:val="105"/>
        </w:rPr>
        <w:t>This</w:t>
      </w:r>
      <w:r>
        <w:rPr>
          <w:color w:val="231F20"/>
          <w:spacing w:val="-11"/>
          <w:w w:val="105"/>
        </w:rPr>
        <w:t> </w:t>
      </w:r>
      <w:r>
        <w:rPr>
          <w:color w:val="231F20"/>
          <w:w w:val="105"/>
        </w:rPr>
        <w:t>action</w:t>
      </w:r>
      <w:r>
        <w:rPr>
          <w:color w:val="231F20"/>
          <w:spacing w:val="-12"/>
          <w:w w:val="105"/>
        </w:rPr>
        <w:t> </w:t>
      </w:r>
      <w:r>
        <w:rPr>
          <w:color w:val="231F20"/>
          <w:w w:val="105"/>
        </w:rPr>
        <w:t>reduces the extracellular fluid H</w:t>
      </w:r>
      <w:r>
        <w:rPr>
          <w:rFonts w:ascii="Consolas"/>
          <w:color w:val="231F20"/>
          <w:w w:val="105"/>
          <w:position w:val="8"/>
          <w:sz w:val="12"/>
        </w:rPr>
        <w:t>+ </w:t>
      </w:r>
      <w:r>
        <w:rPr>
          <w:color w:val="231F20"/>
          <w:w w:val="105"/>
        </w:rPr>
        <w:t>concentration back toward normal.</w:t>
      </w:r>
    </w:p>
    <w:p>
      <w:pPr>
        <w:spacing w:line="193" w:lineRule="exact" w:before="348"/>
        <w:ind w:left="1566" w:right="0" w:firstLine="0"/>
        <w:jc w:val="left"/>
        <w:rPr>
          <w:rFonts w:ascii="Juice ITC"/>
          <w:sz w:val="12"/>
        </w:rPr>
      </w:pPr>
      <w:r>
        <w:rPr/>
        <w:br w:type="column"/>
      </w:r>
      <w:r>
        <w:rPr>
          <w:rFonts w:ascii="Helvetica"/>
          <w:color w:val="231F20"/>
          <w:sz w:val="16"/>
        </w:rPr>
        <w:t>Na</w:t>
      </w:r>
      <w:r>
        <w:rPr>
          <w:rFonts w:ascii="Juice ITC"/>
          <w:color w:val="231F20"/>
          <w:position w:val="5"/>
          <w:sz w:val="12"/>
        </w:rPr>
        <w:t>+</w:t>
      </w:r>
    </w:p>
    <w:p>
      <w:pPr>
        <w:spacing w:line="131" w:lineRule="exact" w:before="0"/>
        <w:ind w:left="1079" w:right="0" w:firstLine="0"/>
        <w:jc w:val="left"/>
        <w:rPr>
          <w:rFonts w:ascii="Helvetica"/>
          <w:sz w:val="16"/>
        </w:rPr>
      </w:pPr>
      <w:r>
        <w:rPr>
          <w:rFonts w:ascii="Helvetica"/>
          <w:color w:val="231F20"/>
          <w:sz w:val="16"/>
        </w:rPr>
        <w:t>ATP</w:t>
      </w:r>
    </w:p>
    <w:p>
      <w:pPr>
        <w:spacing w:before="352"/>
        <w:ind w:left="1079" w:right="0" w:firstLine="0"/>
        <w:jc w:val="left"/>
        <w:rPr>
          <w:rFonts w:ascii="Juice ITC"/>
          <w:sz w:val="12"/>
        </w:rPr>
      </w:pPr>
      <w:r>
        <w:rPr/>
        <w:br w:type="column"/>
      </w:r>
      <w:r>
        <w:rPr>
          <w:rFonts w:ascii="Helvetica"/>
          <w:color w:val="231F20"/>
          <w:sz w:val="16"/>
        </w:rPr>
        <w:t>Na</w:t>
      </w:r>
      <w:r>
        <w:rPr>
          <w:rFonts w:ascii="Juice ITC"/>
          <w:color w:val="231F20"/>
          <w:position w:val="5"/>
          <w:sz w:val="12"/>
        </w:rPr>
        <w:t>+</w:t>
      </w:r>
    </w:p>
    <w:p>
      <w:pPr>
        <w:spacing w:after="0"/>
        <w:jc w:val="left"/>
        <w:rPr>
          <w:rFonts w:ascii="Juice ITC"/>
          <w:sz w:val="12"/>
        </w:rPr>
        <w:sectPr>
          <w:type w:val="continuous"/>
          <w:pgSz w:w="12240" w:h="15660"/>
          <w:pgMar w:top="0" w:bottom="760" w:left="0" w:right="0"/>
          <w:cols w:num="3" w:equalWidth="0">
            <w:col w:w="5761" w:space="65"/>
            <w:col w:w="1911" w:space="900"/>
            <w:col w:w="3603"/>
          </w:cols>
        </w:sectPr>
      </w:pPr>
    </w:p>
    <w:p>
      <w:pPr>
        <w:spacing w:line="249" w:lineRule="auto" w:before="0"/>
        <w:ind w:left="1079" w:right="0" w:firstLine="240"/>
        <w:jc w:val="left"/>
        <w:rPr>
          <w:i/>
          <w:sz w:val="20"/>
        </w:rPr>
      </w:pPr>
      <w:r>
        <w:rPr>
          <w:i/>
          <w:color w:val="231F20"/>
          <w:sz w:val="20"/>
        </w:rPr>
        <w:t>Thus, the kidneys regulate extracellular fluid H</w:t>
      </w:r>
      <w:r>
        <w:rPr>
          <w:rFonts w:ascii="Consolas"/>
          <w:color w:val="231F20"/>
          <w:position w:val="8"/>
          <w:sz w:val="12"/>
        </w:rPr>
        <w:t>+ </w:t>
      </w:r>
      <w:r>
        <w:rPr>
          <w:i/>
          <w:color w:val="231F20"/>
          <w:sz w:val="20"/>
        </w:rPr>
        <w:t>con- </w:t>
      </w:r>
      <w:r>
        <w:rPr>
          <w:i/>
          <w:color w:val="231F20"/>
          <w:sz w:val="20"/>
        </w:rPr>
        <w:t>centration through three fundamental mechanisms: (1)</w:t>
      </w:r>
    </w:p>
    <w:p>
      <w:pPr>
        <w:tabs>
          <w:tab w:pos="1485" w:val="left" w:leader="none"/>
          <w:tab w:pos="3211" w:val="left" w:leader="none"/>
          <w:tab w:pos="3813" w:val="left" w:leader="none"/>
        </w:tabs>
        <w:spacing w:line="86" w:lineRule="auto" w:before="2"/>
        <w:ind w:left="649" w:right="0" w:firstLine="0"/>
        <w:jc w:val="left"/>
        <w:rPr>
          <w:sz w:val="12"/>
        </w:rPr>
      </w:pPr>
      <w:r>
        <w:rPr/>
        <w:br w:type="column"/>
      </w:r>
      <w:r>
        <w:rPr>
          <w:rFonts w:ascii="Helvetica"/>
          <w:color w:val="231F20"/>
          <w:position w:val="-4"/>
          <w:sz w:val="16"/>
        </w:rPr>
        <w:t>K</w:t>
      </w:r>
      <w:r>
        <w:rPr>
          <w:rFonts w:ascii="Juice ITC"/>
          <w:color w:val="231F20"/>
          <w:sz w:val="12"/>
        </w:rPr>
        <w:t>+</w:t>
      </w:r>
      <w:r>
        <w:rPr>
          <w:rFonts w:ascii="Juice ITC"/>
          <w:color w:val="231F20"/>
          <w:spacing w:val="4"/>
          <w:sz w:val="12"/>
        </w:rPr>
        <w:t> </w:t>
      </w:r>
      <w:r>
        <w:rPr>
          <w:color w:val="231F20"/>
          <w:sz w:val="12"/>
          <w:u w:val="thick" w:color="231F20"/>
        </w:rPr>
        <w:t> </w:t>
        <w:tab/>
      </w:r>
      <w:r>
        <w:rPr>
          <w:color w:val="231F20"/>
          <w:sz w:val="12"/>
        </w:rPr>
        <w:tab/>
      </w:r>
      <w:r>
        <w:rPr>
          <w:color w:val="231F20"/>
          <w:sz w:val="12"/>
          <w:u w:val="thick" w:color="F0535F"/>
        </w:rPr>
        <w:t> </w:t>
        <w:tab/>
      </w:r>
    </w:p>
    <w:p>
      <w:pPr>
        <w:tabs>
          <w:tab w:pos="1950" w:val="left" w:leader="none"/>
        </w:tabs>
        <w:spacing w:before="28"/>
        <w:ind w:left="922" w:right="0" w:firstLine="0"/>
        <w:jc w:val="left"/>
        <w:rPr>
          <w:rFonts w:ascii="Juice ITC" w:hAnsi="Juice ITC"/>
          <w:sz w:val="12"/>
        </w:rPr>
      </w:pPr>
      <w:r>
        <w:rPr/>
        <w:pict>
          <v:shape style="position:absolute;margin-left:405.317902pt;margin-top:6.25584pt;width:3.35pt;height:7.15pt;mso-position-horizontal-relative:page;mso-position-vertical-relative:paragraph;z-index:-272510976" type="#_x0000_t202" filled="false" stroked="false">
            <v:textbox inset="0,0,0,0">
              <w:txbxContent>
                <w:p>
                  <w:pPr>
                    <w:spacing w:before="3"/>
                    <w:ind w:left="0" w:right="0" w:firstLine="0"/>
                    <w:jc w:val="left"/>
                    <w:rPr>
                      <w:rFonts w:ascii="Helvetica"/>
                      <w:b/>
                      <w:sz w:val="12"/>
                    </w:rPr>
                  </w:pPr>
                  <w:r>
                    <w:rPr>
                      <w:rFonts w:ascii="Helvetica"/>
                      <w:b/>
                      <w:color w:val="231F20"/>
                      <w:w w:val="99"/>
                      <w:sz w:val="12"/>
                    </w:rPr>
                    <w:t>3</w:t>
                  </w:r>
                </w:p>
              </w:txbxContent>
            </v:textbox>
            <w10:wrap type="none"/>
          </v:shape>
        </w:pict>
      </w:r>
      <w:r>
        <w:rPr>
          <w:rFonts w:ascii="Helvetica" w:hAnsi="Helvetica"/>
          <w:b/>
          <w:color w:val="231F20"/>
          <w:spacing w:val="-34"/>
          <w:w w:val="100"/>
          <w:position w:val="6"/>
          <w:sz w:val="12"/>
          <w:u w:val="thick" w:color="F0535F"/>
        </w:rPr>
        <w:t> </w:t>
      </w:r>
      <w:r>
        <w:rPr>
          <w:rFonts w:ascii="Helvetica" w:hAnsi="Helvetica"/>
          <w:b/>
          <w:color w:val="231F20"/>
          <w:w w:val="100"/>
          <w:sz w:val="16"/>
        </w:rPr>
        <w:t> </w:t>
      </w:r>
      <w:r>
        <w:rPr>
          <w:rFonts w:ascii="Helvetica" w:hAnsi="Helvetica"/>
          <w:b/>
          <w:color w:val="231F20"/>
          <w:sz w:val="16"/>
        </w:rPr>
        <w:tab/>
        <w:t>HCO </w:t>
      </w:r>
      <w:r>
        <w:rPr>
          <w:rFonts w:ascii="Helvetica" w:hAnsi="Helvetica"/>
          <w:b/>
          <w:color w:val="231F20"/>
          <w:position w:val="6"/>
          <w:sz w:val="12"/>
        </w:rPr>
        <w:t>– </w:t>
      </w:r>
      <w:r>
        <w:rPr>
          <w:rFonts w:ascii="Kristen ITC" w:hAnsi="Kristen ITC"/>
          <w:color w:val="231F20"/>
          <w:sz w:val="16"/>
        </w:rPr>
        <w:t>+</w:t>
      </w:r>
      <w:r>
        <w:rPr>
          <w:rFonts w:ascii="Kristen ITC" w:hAnsi="Kristen ITC"/>
          <w:color w:val="231F20"/>
          <w:spacing w:val="-22"/>
          <w:sz w:val="16"/>
        </w:rPr>
        <w:t> </w:t>
      </w:r>
      <w:r>
        <w:rPr>
          <w:rFonts w:ascii="Helvetica" w:hAnsi="Helvetica"/>
          <w:b/>
          <w:color w:val="231F20"/>
          <w:sz w:val="16"/>
        </w:rPr>
        <w:t>H</w:t>
      </w:r>
      <w:r>
        <w:rPr>
          <w:rFonts w:ascii="Juice ITC" w:hAnsi="Juice ITC"/>
          <w:color w:val="231F20"/>
          <w:position w:val="5"/>
          <w:sz w:val="12"/>
        </w:rPr>
        <w:t>+</w:t>
      </w:r>
    </w:p>
    <w:p>
      <w:pPr>
        <w:spacing w:line="122" w:lineRule="auto" w:before="9"/>
        <w:ind w:left="102" w:right="0" w:firstLine="0"/>
        <w:jc w:val="left"/>
        <w:rPr>
          <w:rFonts w:ascii="Juice ITC"/>
          <w:sz w:val="12"/>
        </w:rPr>
      </w:pPr>
      <w:r>
        <w:rPr/>
        <w:br w:type="column"/>
      </w:r>
      <w:r>
        <w:rPr>
          <w:rFonts w:ascii="Helvetica"/>
          <w:b/>
          <w:color w:val="231F20"/>
          <w:position w:val="-4"/>
          <w:sz w:val="16"/>
        </w:rPr>
        <w:t>H</w:t>
      </w:r>
      <w:r>
        <w:rPr>
          <w:rFonts w:ascii="Juice ITC"/>
          <w:color w:val="231F20"/>
          <w:sz w:val="12"/>
        </w:rPr>
        <w:t>+</w:t>
      </w:r>
    </w:p>
    <w:p>
      <w:pPr>
        <w:spacing w:line="85" w:lineRule="exact" w:before="226"/>
        <w:ind w:left="511" w:right="0" w:firstLine="0"/>
        <w:jc w:val="left"/>
        <w:rPr>
          <w:rFonts w:ascii="Helvetica"/>
          <w:b/>
          <w:sz w:val="16"/>
        </w:rPr>
      </w:pPr>
      <w:r>
        <w:rPr/>
        <w:drawing>
          <wp:anchor distT="0" distB="0" distL="0" distR="0" allowOverlap="1" layoutInCell="1" locked="0" behindDoc="0" simplePos="0" relativeHeight="252887040">
            <wp:simplePos x="0" y="0"/>
            <wp:positionH relativeFrom="page">
              <wp:posOffset>6281178</wp:posOffset>
            </wp:positionH>
            <wp:positionV relativeFrom="paragraph">
              <wp:posOffset>14748</wp:posOffset>
            </wp:positionV>
            <wp:extent cx="155448" cy="158451"/>
            <wp:effectExtent l="0" t="0" r="0" b="0"/>
            <wp:wrapNone/>
            <wp:docPr id="23" name="image759.png"/>
            <wp:cNvGraphicFramePr>
              <a:graphicFrameLocks noChangeAspect="1"/>
            </wp:cNvGraphicFramePr>
            <a:graphic>
              <a:graphicData uri="http://schemas.openxmlformats.org/drawingml/2006/picture">
                <pic:pic>
                  <pic:nvPicPr>
                    <pic:cNvPr id="24" name="image759.png"/>
                    <pic:cNvPicPr/>
                  </pic:nvPicPr>
                  <pic:blipFill>
                    <a:blip r:embed="rId972" cstate="print"/>
                    <a:stretch>
                      <a:fillRect/>
                    </a:stretch>
                  </pic:blipFill>
                  <pic:spPr>
                    <a:xfrm>
                      <a:off x="0" y="0"/>
                      <a:ext cx="155448" cy="158451"/>
                    </a:xfrm>
                    <a:prstGeom prst="rect">
                      <a:avLst/>
                    </a:prstGeom>
                  </pic:spPr>
                </pic:pic>
              </a:graphicData>
            </a:graphic>
          </wp:anchor>
        </w:drawing>
      </w:r>
      <w:r>
        <w:rPr>
          <w:rFonts w:ascii="Helvetica"/>
          <w:b/>
          <w:color w:val="231F20"/>
          <w:sz w:val="16"/>
        </w:rPr>
        <w:t>H CO</w:t>
      </w:r>
    </w:p>
    <w:p>
      <w:pPr>
        <w:spacing w:after="0" w:line="85" w:lineRule="exact"/>
        <w:jc w:val="left"/>
        <w:rPr>
          <w:rFonts w:ascii="Helvetica"/>
          <w:sz w:val="16"/>
        </w:rPr>
        <w:sectPr>
          <w:type w:val="continuous"/>
          <w:pgSz w:w="12240" w:h="15660"/>
          <w:pgMar w:top="0" w:bottom="760" w:left="0" w:right="0"/>
          <w:cols w:num="3" w:equalWidth="0">
            <w:col w:w="5760" w:space="40"/>
            <w:col w:w="3814" w:space="39"/>
            <w:col w:w="2587"/>
          </w:cols>
        </w:sectPr>
      </w:pPr>
    </w:p>
    <w:p>
      <w:pPr>
        <w:spacing w:line="102" w:lineRule="exact" w:before="0"/>
        <w:ind w:left="1079" w:right="0" w:firstLine="0"/>
        <w:jc w:val="left"/>
        <w:rPr>
          <w:i/>
          <w:sz w:val="20"/>
        </w:rPr>
      </w:pPr>
      <w:r>
        <w:rPr>
          <w:i/>
          <w:color w:val="231F20"/>
          <w:sz w:val="20"/>
        </w:rPr>
        <w:t>secretion of H</w:t>
      </w:r>
      <w:r>
        <w:rPr>
          <w:rFonts w:ascii="Consolas" w:hAnsi="Consolas"/>
          <w:color w:val="231F20"/>
          <w:position w:val="8"/>
          <w:sz w:val="12"/>
        </w:rPr>
        <w:t>+</w:t>
      </w:r>
      <w:r>
        <w:rPr>
          <w:i/>
          <w:color w:val="231F20"/>
          <w:sz w:val="20"/>
        </w:rPr>
        <w:t>, (2) reabsorption of filtered HCO </w:t>
      </w:r>
      <w:r>
        <w:rPr>
          <w:rFonts w:ascii="Consolas" w:hAnsi="Consolas"/>
          <w:i/>
          <w:color w:val="231F20"/>
          <w:position w:val="8"/>
          <w:sz w:val="12"/>
        </w:rPr>
        <w:t>−</w:t>
      </w:r>
      <w:r>
        <w:rPr>
          <w:i/>
          <w:color w:val="231F20"/>
          <w:sz w:val="20"/>
        </w:rPr>
        <w:t>, and (3)</w:t>
      </w:r>
    </w:p>
    <w:p>
      <w:pPr>
        <w:tabs>
          <w:tab w:pos="3968" w:val="left" w:leader="none"/>
          <w:tab w:pos="4275" w:val="left" w:leader="none"/>
        </w:tabs>
        <w:spacing w:line="74" w:lineRule="auto" w:before="0"/>
        <w:ind w:left="1079" w:right="0" w:firstLine="0"/>
        <w:jc w:val="left"/>
        <w:rPr>
          <w:rFonts w:ascii="Helvetica"/>
          <w:b/>
          <w:sz w:val="12"/>
        </w:rPr>
      </w:pPr>
      <w:r>
        <w:rPr/>
        <w:br w:type="column"/>
      </w:r>
      <w:r>
        <w:rPr>
          <w:rFonts w:ascii="Helvetica"/>
          <w:color w:val="231F20"/>
          <w:position w:val="-8"/>
          <w:sz w:val="16"/>
        </w:rPr>
        <w:t>Na</w:t>
      </w:r>
      <w:r>
        <w:rPr>
          <w:rFonts w:ascii="Juice ITC"/>
          <w:color w:val="231F20"/>
          <w:position w:val="-3"/>
          <w:sz w:val="12"/>
        </w:rPr>
        <w:t>+</w:t>
        <w:tab/>
      </w:r>
      <w:r>
        <w:rPr>
          <w:rFonts w:ascii="Helvetica"/>
          <w:b/>
          <w:color w:val="231F20"/>
          <w:sz w:val="12"/>
        </w:rPr>
        <w:t>2</w:t>
        <w:tab/>
        <w:t>3</w:t>
      </w:r>
    </w:p>
    <w:p>
      <w:pPr>
        <w:spacing w:after="0" w:line="74" w:lineRule="auto"/>
        <w:jc w:val="left"/>
        <w:rPr>
          <w:rFonts w:ascii="Helvetica"/>
          <w:sz w:val="12"/>
        </w:rPr>
        <w:sectPr>
          <w:type w:val="continuous"/>
          <w:pgSz w:w="12240" w:h="15660"/>
          <w:pgMar w:top="0" w:bottom="760" w:left="0" w:right="0"/>
          <w:cols w:num="2" w:equalWidth="0">
            <w:col w:w="5800" w:space="512"/>
            <w:col w:w="5928"/>
          </w:cols>
        </w:sectPr>
      </w:pPr>
    </w:p>
    <w:p>
      <w:pPr>
        <w:tabs>
          <w:tab w:pos="4946" w:val="left" w:leader="none"/>
          <w:tab w:pos="7941" w:val="left" w:leader="none"/>
        </w:tabs>
        <w:spacing w:line="129" w:lineRule="exact" w:before="0"/>
        <w:ind w:left="3083" w:right="0" w:firstLine="0"/>
        <w:jc w:val="left"/>
        <w:rPr>
          <w:rFonts w:ascii="Helvetica" w:hAnsi="Helvetica"/>
          <w:b/>
          <w:sz w:val="16"/>
        </w:rPr>
      </w:pPr>
      <w:r>
        <w:rPr/>
        <w:pict>
          <v:group style="position:absolute;margin-left:516.361023pt;margin-top:-.926758pt;width:6pt;height:45.25pt;mso-position-horizontal-relative:page;mso-position-vertical-relative:paragraph;z-index:252886016" coordorigin="10327,-19" coordsize="120,905">
            <v:shape style="position:absolute;left:10327;top:701;width:120;height:185" type="#_x0000_t75" stroked="false">
              <v:imagedata r:id="rId973" o:title=""/>
            </v:shape>
            <v:line style="position:absolute" from="10387,-19" to="10387,750" stroked="true" strokeweight="1.5pt" strokecolor="#f0535f">
              <v:stroke dashstyle="solid"/>
            </v:line>
            <w10:wrap type="none"/>
          </v:group>
        </w:pict>
      </w:r>
      <w:r>
        <w:rPr>
          <w:rFonts w:ascii="Consolas" w:hAnsi="Consolas"/>
          <w:i/>
          <w:color w:val="231F20"/>
          <w:sz w:val="12"/>
        </w:rPr>
        <w:t>−</w:t>
        <w:tab/>
      </w:r>
      <w:r>
        <w:rPr>
          <w:i/>
          <w:color w:val="231F20"/>
          <w:position w:val="13"/>
          <w:sz w:val="12"/>
        </w:rPr>
        <w:t>3</w:t>
        <w:tab/>
      </w:r>
      <w:r>
        <w:rPr>
          <w:rFonts w:ascii="Helvetica" w:hAnsi="Helvetica"/>
          <w:b/>
          <w:color w:val="231F20"/>
          <w:position w:val="2"/>
          <w:sz w:val="16"/>
        </w:rPr>
        <w:t>H</w:t>
      </w:r>
      <w:r>
        <w:rPr>
          <w:rFonts w:ascii="Helvetica" w:hAnsi="Helvetica"/>
          <w:b/>
          <w:color w:val="231F20"/>
          <w:position w:val="2"/>
          <w:sz w:val="16"/>
          <w:vertAlign w:val="subscript"/>
        </w:rPr>
        <w:t>2</w:t>
      </w:r>
      <w:r>
        <w:rPr>
          <w:rFonts w:ascii="Helvetica" w:hAnsi="Helvetica"/>
          <w:b/>
          <w:color w:val="231F20"/>
          <w:position w:val="2"/>
          <w:sz w:val="16"/>
          <w:vertAlign w:val="baseline"/>
        </w:rPr>
        <w:t>CO</w:t>
      </w:r>
      <w:r>
        <w:rPr>
          <w:rFonts w:ascii="Helvetica" w:hAnsi="Helvetica"/>
          <w:b/>
          <w:color w:val="231F20"/>
          <w:position w:val="2"/>
          <w:sz w:val="16"/>
          <w:vertAlign w:val="subscript"/>
        </w:rPr>
        <w:t>3</w:t>
      </w:r>
    </w:p>
    <w:p>
      <w:pPr>
        <w:spacing w:after="0" w:line="129" w:lineRule="exact"/>
        <w:jc w:val="left"/>
        <w:rPr>
          <w:rFonts w:ascii="Helvetica" w:hAnsi="Helvetica"/>
          <w:sz w:val="16"/>
        </w:rPr>
        <w:sectPr>
          <w:type w:val="continuous"/>
          <w:pgSz w:w="12240" w:h="15660"/>
          <w:pgMar w:top="0" w:bottom="760" w:left="0" w:right="0"/>
        </w:sectPr>
      </w:pPr>
    </w:p>
    <w:p>
      <w:pPr>
        <w:spacing w:line="229" w:lineRule="exact" w:before="0"/>
        <w:ind w:left="1080" w:right="0" w:firstLine="0"/>
        <w:jc w:val="left"/>
        <w:rPr>
          <w:sz w:val="20"/>
        </w:rPr>
      </w:pPr>
      <w:r>
        <w:rPr>
          <w:i/>
          <w:color w:val="231F20"/>
          <w:sz w:val="20"/>
        </w:rPr>
        <w:t>production of new HCO</w:t>
      </w:r>
      <w:r>
        <w:rPr>
          <w:i/>
          <w:color w:val="231F20"/>
          <w:sz w:val="20"/>
          <w:vertAlign w:val="subscript"/>
        </w:rPr>
        <w:t>3</w:t>
      </w:r>
      <w:r>
        <w:rPr>
          <w:i/>
          <w:color w:val="231F20"/>
          <w:sz w:val="20"/>
          <w:vertAlign w:val="baseline"/>
        </w:rPr>
        <w:t> . </w:t>
      </w:r>
      <w:r>
        <w:rPr>
          <w:color w:val="231F20"/>
          <w:sz w:val="20"/>
          <w:vertAlign w:val="baseline"/>
        </w:rPr>
        <w:t>All these processes are accom-</w:t>
      </w:r>
    </w:p>
    <w:p>
      <w:pPr>
        <w:pStyle w:val="BodyText"/>
        <w:tabs>
          <w:tab w:pos="6619" w:val="left" w:leader="none"/>
          <w:tab w:pos="7485" w:val="left" w:leader="none"/>
        </w:tabs>
        <w:spacing w:line="240" w:lineRule="atLeast"/>
        <w:ind w:left="1080"/>
      </w:pPr>
      <w:r>
        <w:rPr>
          <w:color w:val="231F20"/>
        </w:rPr>
        <w:t>plished through the same basic mechanisms, </w:t>
      </w:r>
      <w:r>
        <w:rPr>
          <w:color w:val="231F20"/>
          <w:spacing w:val="22"/>
        </w:rPr>
        <w:t> </w:t>
      </w:r>
      <w:r>
        <w:rPr>
          <w:color w:val="231F20"/>
        </w:rPr>
        <w:t>as</w:t>
      </w:r>
      <w:r>
        <w:rPr>
          <w:color w:val="231F20"/>
          <w:spacing w:val="12"/>
        </w:rPr>
        <w:t> </w:t>
      </w:r>
      <w:r>
        <w:rPr>
          <w:color w:val="231F20"/>
        </w:rPr>
        <w:t>discussed</w:t>
        <w:tab/>
      </w:r>
      <w:r>
        <w:rPr>
          <w:color w:val="231F20"/>
          <w:w w:val="94"/>
          <w:u w:val="thick" w:color="F0535F"/>
        </w:rPr>
        <w:t> </w:t>
      </w:r>
      <w:r>
        <w:rPr>
          <w:color w:val="231F20"/>
          <w:u w:val="thick" w:color="F0535F"/>
        </w:rPr>
        <w:tab/>
      </w:r>
      <w:r>
        <w:rPr>
          <w:color w:val="231F20"/>
        </w:rPr>
        <w:t>                                  in the next few</w:t>
      </w:r>
      <w:r>
        <w:rPr>
          <w:color w:val="231F20"/>
          <w:spacing w:val="26"/>
        </w:rPr>
        <w:t> </w:t>
      </w:r>
      <w:r>
        <w:rPr>
          <w:color w:val="231F20"/>
        </w:rPr>
        <w:t>sections.</w:t>
      </w:r>
    </w:p>
    <w:p>
      <w:pPr>
        <w:spacing w:line="164" w:lineRule="exact" w:before="416"/>
        <w:ind w:left="506" w:right="0" w:firstLine="0"/>
        <w:jc w:val="left"/>
        <w:rPr>
          <w:rFonts w:ascii="Helvetica"/>
          <w:b/>
          <w:sz w:val="16"/>
        </w:rPr>
      </w:pPr>
      <w:r>
        <w:rPr/>
        <w:br w:type="column"/>
      </w:r>
      <w:r>
        <w:rPr>
          <w:rFonts w:ascii="Helvetica"/>
          <w:b/>
          <w:color w:val="231F20"/>
          <w:sz w:val="16"/>
        </w:rPr>
        <w:t>H</w:t>
      </w:r>
      <w:r>
        <w:rPr>
          <w:rFonts w:ascii="Helvetica"/>
          <w:b/>
          <w:color w:val="231F20"/>
          <w:position w:val="-4"/>
          <w:sz w:val="12"/>
        </w:rPr>
        <w:t>2</w:t>
      </w:r>
      <w:r>
        <w:rPr>
          <w:rFonts w:ascii="Helvetica"/>
          <w:b/>
          <w:color w:val="231F20"/>
          <w:sz w:val="16"/>
        </w:rPr>
        <w:t>O</w:t>
      </w:r>
    </w:p>
    <w:p>
      <w:pPr>
        <w:spacing w:line="235" w:lineRule="auto" w:before="117"/>
        <w:ind w:left="77" w:right="3016" w:firstLine="0"/>
        <w:jc w:val="left"/>
        <w:rPr>
          <w:rFonts w:ascii="Helvetica"/>
          <w:sz w:val="16"/>
        </w:rPr>
      </w:pPr>
      <w:r>
        <w:rPr/>
        <w:br w:type="column"/>
      </w:r>
      <w:r>
        <w:rPr>
          <w:rFonts w:ascii="Helvetica"/>
          <w:b/>
          <w:color w:val="231F20"/>
          <w:sz w:val="16"/>
        </w:rPr>
        <w:t>Carbonic </w:t>
      </w:r>
      <w:r>
        <w:rPr>
          <w:rFonts w:ascii="Helvetica"/>
          <w:color w:val="231F20"/>
          <w:sz w:val="16"/>
        </w:rPr>
        <w:t>anhydrase</w:t>
      </w:r>
    </w:p>
    <w:p>
      <w:pPr>
        <w:spacing w:after="0" w:line="235" w:lineRule="auto"/>
        <w:jc w:val="left"/>
        <w:rPr>
          <w:rFonts w:ascii="Helvetica"/>
          <w:sz w:val="16"/>
        </w:rPr>
        <w:sectPr>
          <w:type w:val="continuous"/>
          <w:pgSz w:w="12240" w:h="15660"/>
          <w:pgMar w:top="0" w:bottom="760" w:left="0" w:right="0"/>
          <w:cols w:num="3" w:equalWidth="0">
            <w:col w:w="7486" w:space="40"/>
            <w:col w:w="814" w:space="39"/>
            <w:col w:w="3861"/>
          </w:cols>
        </w:sectPr>
      </w:pPr>
    </w:p>
    <w:p>
      <w:pPr>
        <w:tabs>
          <w:tab w:pos="1345" w:val="left" w:leader="none"/>
        </w:tabs>
        <w:spacing w:line="88" w:lineRule="auto" w:before="0"/>
        <w:ind w:left="0" w:right="0" w:firstLine="0"/>
        <w:jc w:val="right"/>
        <w:rPr>
          <w:rFonts w:ascii="Helvetica"/>
          <w:b/>
          <w:sz w:val="12"/>
        </w:rPr>
      </w:pPr>
      <w:r>
        <w:rPr>
          <w:rFonts w:ascii="Helvetica"/>
          <w:b/>
          <w:color w:val="231F20"/>
          <w:sz w:val="16"/>
        </w:rPr>
        <w:t>CO</w:t>
      </w:r>
      <w:r>
        <w:rPr>
          <w:rFonts w:ascii="Helvetica"/>
          <w:b/>
          <w:color w:val="231F20"/>
          <w:position w:val="-4"/>
          <w:sz w:val="12"/>
        </w:rPr>
        <w:t>2    </w:t>
      </w:r>
      <w:r>
        <w:rPr>
          <w:rFonts w:ascii="Helvetica"/>
          <w:b/>
          <w:color w:val="231F20"/>
          <w:spacing w:val="6"/>
          <w:position w:val="-4"/>
          <w:sz w:val="12"/>
        </w:rPr>
        <w:t> </w:t>
      </w:r>
      <w:r>
        <w:rPr>
          <w:rFonts w:ascii="Helvetica"/>
          <w:b/>
          <w:color w:val="231F20"/>
          <w:w w:val="100"/>
          <w:position w:val="-4"/>
          <w:sz w:val="12"/>
          <w:u w:val="thick" w:color="F0535F"/>
        </w:rPr>
        <w:t> </w:t>
      </w:r>
      <w:r>
        <w:rPr>
          <w:rFonts w:ascii="Helvetica"/>
          <w:b/>
          <w:color w:val="231F20"/>
          <w:position w:val="-4"/>
          <w:sz w:val="12"/>
          <w:u w:val="thick" w:color="F0535F"/>
        </w:rPr>
        <w:tab/>
      </w:r>
    </w:p>
    <w:p>
      <w:pPr>
        <w:tabs>
          <w:tab w:pos="863" w:val="left" w:leader="none"/>
          <w:tab w:pos="2287" w:val="left" w:leader="none"/>
        </w:tabs>
        <w:spacing w:line="67" w:lineRule="exact" w:before="0"/>
        <w:ind w:left="505" w:right="0" w:firstLine="0"/>
        <w:jc w:val="left"/>
        <w:rPr>
          <w:rFonts w:ascii="Kristen ITC"/>
          <w:sz w:val="16"/>
        </w:rPr>
      </w:pPr>
      <w:r>
        <w:rPr/>
        <w:br w:type="column"/>
      </w:r>
      <w:r>
        <w:rPr>
          <w:rFonts w:ascii="Kristen ITC"/>
          <w:color w:val="F0535F"/>
          <w:sz w:val="16"/>
        </w:rPr>
        <w:t>+</w:t>
        <w:tab/>
      </w:r>
      <w:r>
        <w:rPr>
          <w:rFonts w:ascii="Kristen ITC"/>
          <w:color w:val="F0535F"/>
          <w:w w:val="83"/>
          <w:sz w:val="16"/>
          <w:u w:val="thick" w:color="F0535F"/>
        </w:rPr>
        <w:t> </w:t>
      </w:r>
      <w:r>
        <w:rPr>
          <w:rFonts w:ascii="Kristen ITC"/>
          <w:color w:val="F0535F"/>
          <w:sz w:val="16"/>
          <w:u w:val="thick" w:color="F0535F"/>
        </w:rPr>
        <w:tab/>
      </w:r>
    </w:p>
    <w:p>
      <w:pPr>
        <w:spacing w:line="206" w:lineRule="auto" w:before="0"/>
        <w:ind w:left="387" w:right="0" w:firstLine="0"/>
        <w:jc w:val="left"/>
        <w:rPr>
          <w:rFonts w:ascii="Helvetica"/>
          <w:b/>
          <w:sz w:val="12"/>
        </w:rPr>
      </w:pPr>
      <w:r>
        <w:rPr/>
        <w:pict>
          <v:group style="position:absolute;margin-left:54pt;margin-top:12.768743pt;width:234pt;height:28.5pt;mso-position-horizontal-relative:page;mso-position-vertical-relative:paragraph;z-index:252881920" coordorigin="1080,255" coordsize="4680,570">
            <v:rect style="position:absolute;left:1080;top:255;width:4680;height:565" filled="true" fillcolor="#e8dac8" stroked="false">
              <v:fill type="solid"/>
            </v:rect>
            <v:line style="position:absolute" from="1080,820" to="5760,820" stroked="true" strokeweight=".5pt" strokecolor="#231f20">
              <v:stroke dashstyle="solid"/>
            </v:line>
            <v:shape style="position:absolute;left:1991;top:642;width:101;height:156" type="#_x0000_t202" filled="false" stroked="false">
              <v:textbox inset="0,0,0,0">
                <w:txbxContent>
                  <w:p>
                    <w:pPr>
                      <w:spacing w:before="4"/>
                      <w:ind w:left="0" w:right="0" w:firstLine="0"/>
                      <w:jc w:val="left"/>
                      <w:rPr>
                        <w:rFonts w:ascii="Trebuchet MS"/>
                        <w:b/>
                        <w:sz w:val="13"/>
                      </w:rPr>
                    </w:pPr>
                    <w:r>
                      <w:rPr>
                        <w:rFonts w:ascii="Trebuchet MS"/>
                        <w:b/>
                        <w:color w:val="231F20"/>
                        <w:w w:val="106"/>
                        <w:sz w:val="13"/>
                      </w:rPr>
                      <w:t>3</w:t>
                    </w:r>
                  </w:p>
                </w:txbxContent>
              </v:textbox>
              <w10:wrap type="none"/>
            </v:shape>
            <v:shape style="position:absolute;left:1140;top:512;width:3792;height:273" type="#_x0000_t202" filled="false" stroked="false">
              <v:textbox inset="0,0,0,0">
                <w:txbxContent>
                  <w:p>
                    <w:pPr>
                      <w:spacing w:before="13"/>
                      <w:ind w:left="0" w:right="0" w:firstLine="0"/>
                      <w:jc w:val="left"/>
                      <w:rPr>
                        <w:rFonts w:ascii="Trebuchet MS" w:hAnsi="Trebuchet MS"/>
                        <w:b/>
                        <w:sz w:val="22"/>
                      </w:rPr>
                    </w:pPr>
                    <w:r>
                      <w:rPr>
                        <w:rFonts w:ascii="Trebuchet MS" w:hAnsi="Trebuchet MS"/>
                        <w:b/>
                        <w:color w:val="231F20"/>
                        <w:w w:val="105"/>
                        <w:sz w:val="22"/>
                      </w:rPr>
                      <w:t>OF HCO </w:t>
                    </w:r>
                    <w:r>
                      <w:rPr>
                        <w:rFonts w:ascii="Consolas" w:hAnsi="Consolas"/>
                        <w:b/>
                        <w:color w:val="231F20"/>
                        <w:w w:val="105"/>
                        <w:position w:val="9"/>
                        <w:sz w:val="13"/>
                      </w:rPr>
                      <w:t>− </w:t>
                    </w:r>
                    <w:r>
                      <w:rPr>
                        <w:rFonts w:ascii="Trebuchet MS" w:hAnsi="Trebuchet MS"/>
                        <w:b/>
                        <w:color w:val="231F20"/>
                        <w:w w:val="105"/>
                        <w:sz w:val="22"/>
                      </w:rPr>
                      <w:t>BY THE RENAL TUBULES</w:t>
                    </w:r>
                  </w:p>
                </w:txbxContent>
              </v:textbox>
              <w10:wrap type="none"/>
            </v:shape>
            <v:shape style="position:absolute;left:1140;top:272;width:4340;height:273" type="#_x0000_t202" filled="false" stroked="false">
              <v:textbox inset="0,0,0,0">
                <w:txbxContent>
                  <w:p>
                    <w:pPr>
                      <w:spacing w:before="13"/>
                      <w:ind w:left="0" w:right="0" w:firstLine="0"/>
                      <w:jc w:val="left"/>
                      <w:rPr>
                        <w:rFonts w:ascii="Trebuchet MS"/>
                        <w:b/>
                        <w:sz w:val="22"/>
                      </w:rPr>
                    </w:pPr>
                    <w:r>
                      <w:rPr>
                        <w:rFonts w:ascii="Trebuchet MS"/>
                        <w:b/>
                        <w:color w:val="231F20"/>
                        <w:w w:val="110"/>
                        <w:sz w:val="22"/>
                      </w:rPr>
                      <w:t>SECRETION OF H</w:t>
                    </w:r>
                    <w:r>
                      <w:rPr>
                        <w:rFonts w:ascii="Consolas"/>
                        <w:b/>
                        <w:color w:val="231F20"/>
                        <w:w w:val="110"/>
                        <w:position w:val="9"/>
                        <w:sz w:val="13"/>
                      </w:rPr>
                      <w:t>+ </w:t>
                    </w:r>
                    <w:r>
                      <w:rPr>
                        <w:rFonts w:ascii="Trebuchet MS"/>
                        <w:b/>
                        <w:color w:val="231F20"/>
                        <w:w w:val="110"/>
                        <w:sz w:val="22"/>
                      </w:rPr>
                      <w:t>AND REABSORPTION</w:t>
                    </w:r>
                  </w:p>
                </w:txbxContent>
              </v:textbox>
              <w10:wrap type="none"/>
            </v:shape>
            <w10:wrap type="none"/>
          </v:group>
        </w:pict>
      </w:r>
      <w:r>
        <w:rPr>
          <w:rFonts w:ascii="Helvetica"/>
          <w:b/>
          <w:color w:val="231F20"/>
          <w:sz w:val="16"/>
        </w:rPr>
        <w:t>CO</w:t>
      </w:r>
      <w:r>
        <w:rPr>
          <w:rFonts w:ascii="Helvetica"/>
          <w:b/>
          <w:color w:val="231F20"/>
          <w:position w:val="-4"/>
          <w:sz w:val="12"/>
        </w:rPr>
        <w:t>2</w:t>
      </w:r>
    </w:p>
    <w:p>
      <w:pPr>
        <w:spacing w:before="49"/>
        <w:ind w:left="8" w:right="0" w:firstLine="0"/>
        <w:jc w:val="left"/>
        <w:rPr>
          <w:rFonts w:ascii="Helvetica"/>
          <w:b/>
          <w:sz w:val="16"/>
        </w:rPr>
      </w:pPr>
      <w:r>
        <w:rPr/>
        <w:br w:type="column"/>
      </w:r>
      <w:r>
        <w:rPr>
          <w:rFonts w:ascii="Helvetica"/>
          <w:b/>
          <w:color w:val="231F20"/>
          <w:sz w:val="16"/>
        </w:rPr>
        <w:t>CO</w:t>
      </w:r>
      <w:r>
        <w:rPr>
          <w:rFonts w:ascii="Helvetica"/>
          <w:b/>
          <w:color w:val="231F20"/>
          <w:position w:val="-4"/>
          <w:sz w:val="12"/>
        </w:rPr>
        <w:t>2 </w:t>
      </w:r>
      <w:r>
        <w:rPr>
          <w:rFonts w:ascii="Juice ITC"/>
          <w:color w:val="231F20"/>
          <w:sz w:val="16"/>
        </w:rPr>
        <w:t>+ </w:t>
      </w:r>
      <w:r>
        <w:rPr>
          <w:rFonts w:ascii="Helvetica"/>
          <w:b/>
          <w:color w:val="231F20"/>
          <w:sz w:val="16"/>
        </w:rPr>
        <w:t>H</w:t>
      </w:r>
      <w:r>
        <w:rPr>
          <w:rFonts w:ascii="Helvetica"/>
          <w:b/>
          <w:color w:val="231F20"/>
          <w:position w:val="-4"/>
          <w:sz w:val="12"/>
        </w:rPr>
        <w:t>2</w:t>
      </w:r>
      <w:r>
        <w:rPr>
          <w:rFonts w:ascii="Helvetica"/>
          <w:b/>
          <w:color w:val="231F20"/>
          <w:sz w:val="16"/>
        </w:rPr>
        <w:t>O</w:t>
      </w:r>
    </w:p>
    <w:p>
      <w:pPr>
        <w:spacing w:after="0"/>
        <w:jc w:val="left"/>
        <w:rPr>
          <w:rFonts w:ascii="Helvetica"/>
          <w:sz w:val="16"/>
        </w:rPr>
        <w:sectPr>
          <w:type w:val="continuous"/>
          <w:pgSz w:w="12240" w:h="15660"/>
          <w:pgMar w:top="0" w:bottom="760" w:left="0" w:right="0"/>
          <w:cols w:num="3" w:equalWidth="0">
            <w:col w:w="7589" w:space="40"/>
            <w:col w:w="2288" w:space="39"/>
            <w:col w:w="2284"/>
          </w:cols>
        </w:sectPr>
      </w:pPr>
    </w:p>
    <w:p>
      <w:pPr>
        <w:pStyle w:val="BodyText"/>
        <w:spacing w:line="249" w:lineRule="auto" w:before="687"/>
        <w:ind w:left="1080" w:hanging="1"/>
        <w:jc w:val="both"/>
      </w:pPr>
      <w:r>
        <w:rPr/>
        <w:pict>
          <v:shape style="position:absolute;margin-left:198.476196pt;margin-top:39.795525pt;width:3pt;height:8.7pt;mso-position-horizontal-relative:page;mso-position-vertical-relative:paragraph;z-index:-27250995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52.517395pt;margin-top:75.795525pt;width:3pt;height:8.7pt;mso-position-horizontal-relative:page;mso-position-vertical-relative:paragraph;z-index:-27250892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88.288101pt;margin-top:87.795525pt;width:3pt;height:8.7pt;mso-position-horizontal-relative:page;mso-position-vertical-relative:paragraph;z-index:-27250790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78.184296pt;margin-top:28.598024pt;width:2.7pt;height:5.45pt;mso-position-horizontal-relative:page;mso-position-vertical-relative:paragraph;z-index:-272506880" type="#_x0000_t202" filled="false" stroked="false">
            <v:textbox inset="0,0,0,0">
              <w:txbxContent>
                <w:p>
                  <w:pPr>
                    <w:spacing w:before="3"/>
                    <w:ind w:left="0" w:right="0" w:firstLine="0"/>
                    <w:jc w:val="left"/>
                    <w:rPr>
                      <w:rFonts w:ascii="Arial"/>
                      <w:sz w:val="9"/>
                    </w:rPr>
                  </w:pPr>
                  <w:r>
                    <w:rPr>
                      <w:rFonts w:ascii="Arial"/>
                      <w:color w:val="231F20"/>
                      <w:w w:val="106"/>
                      <w:sz w:val="9"/>
                    </w:rPr>
                    <w:t>3</w:t>
                  </w:r>
                </w:p>
              </w:txbxContent>
            </v:textbox>
            <w10:wrap type="none"/>
          </v:shape>
        </w:pict>
      </w:r>
      <w:r>
        <w:rPr>
          <w:color w:val="231F20"/>
          <w:w w:val="105"/>
        </w:rPr>
        <w:t>Hydrogen ion secretion and HCO </w:t>
      </w:r>
      <w:r>
        <w:rPr>
          <w:rFonts w:ascii="Consolas" w:hAnsi="Consolas"/>
          <w:color w:val="231F20"/>
          <w:w w:val="105"/>
          <w:position w:val="8"/>
          <w:sz w:val="12"/>
        </w:rPr>
        <w:t>− </w:t>
      </w:r>
      <w:r>
        <w:rPr>
          <w:color w:val="231F20"/>
          <w:w w:val="105"/>
        </w:rPr>
        <w:t>reabsorption </w:t>
      </w:r>
      <w:r>
        <w:rPr>
          <w:color w:val="231F20"/>
          <w:spacing w:val="-4"/>
          <w:w w:val="105"/>
        </w:rPr>
        <w:t>occur </w:t>
      </w:r>
      <w:r>
        <w:rPr>
          <w:color w:val="231F20"/>
          <w:w w:val="105"/>
        </w:rPr>
        <w:t>in</w:t>
      </w:r>
      <w:r>
        <w:rPr>
          <w:color w:val="231F20"/>
          <w:spacing w:val="-7"/>
          <w:w w:val="105"/>
        </w:rPr>
        <w:t> </w:t>
      </w:r>
      <w:r>
        <w:rPr>
          <w:color w:val="231F20"/>
          <w:w w:val="105"/>
        </w:rPr>
        <w:t>virtually</w:t>
      </w:r>
      <w:r>
        <w:rPr>
          <w:color w:val="231F20"/>
          <w:spacing w:val="-6"/>
          <w:w w:val="105"/>
        </w:rPr>
        <w:t> </w:t>
      </w:r>
      <w:r>
        <w:rPr>
          <w:color w:val="231F20"/>
          <w:w w:val="105"/>
        </w:rPr>
        <w:t>all</w:t>
      </w:r>
      <w:r>
        <w:rPr>
          <w:color w:val="231F20"/>
          <w:spacing w:val="-7"/>
          <w:w w:val="105"/>
        </w:rPr>
        <w:t> </w:t>
      </w:r>
      <w:r>
        <w:rPr>
          <w:color w:val="231F20"/>
          <w:w w:val="105"/>
        </w:rPr>
        <w:t>parts</w:t>
      </w:r>
      <w:r>
        <w:rPr>
          <w:color w:val="231F20"/>
          <w:spacing w:val="-7"/>
          <w:w w:val="105"/>
        </w:rPr>
        <w:t> </w:t>
      </w:r>
      <w:r>
        <w:rPr>
          <w:color w:val="231F20"/>
          <w:w w:val="105"/>
        </w:rPr>
        <w:t>of</w:t>
      </w:r>
      <w:r>
        <w:rPr>
          <w:color w:val="231F20"/>
          <w:spacing w:val="-6"/>
          <w:w w:val="105"/>
        </w:rPr>
        <w:t> </w:t>
      </w:r>
      <w:r>
        <w:rPr>
          <w:color w:val="231F20"/>
          <w:w w:val="105"/>
        </w:rPr>
        <w:t>the</w:t>
      </w:r>
      <w:r>
        <w:rPr>
          <w:color w:val="231F20"/>
          <w:spacing w:val="-7"/>
          <w:w w:val="105"/>
        </w:rPr>
        <w:t> </w:t>
      </w:r>
      <w:r>
        <w:rPr>
          <w:color w:val="231F20"/>
          <w:w w:val="105"/>
        </w:rPr>
        <w:t>tubules</w:t>
      </w:r>
      <w:r>
        <w:rPr>
          <w:color w:val="231F20"/>
          <w:spacing w:val="-6"/>
          <w:w w:val="105"/>
        </w:rPr>
        <w:t> </w:t>
      </w:r>
      <w:r>
        <w:rPr>
          <w:color w:val="231F20"/>
          <w:w w:val="105"/>
        </w:rPr>
        <w:t>except</w:t>
      </w:r>
      <w:r>
        <w:rPr>
          <w:color w:val="231F20"/>
          <w:spacing w:val="-7"/>
          <w:w w:val="105"/>
        </w:rPr>
        <w:t> </w:t>
      </w:r>
      <w:r>
        <w:rPr>
          <w:color w:val="231F20"/>
          <w:w w:val="105"/>
        </w:rPr>
        <w:t>the</w:t>
      </w:r>
      <w:r>
        <w:rPr>
          <w:color w:val="231F20"/>
          <w:spacing w:val="-6"/>
          <w:w w:val="105"/>
        </w:rPr>
        <w:t> </w:t>
      </w:r>
      <w:r>
        <w:rPr>
          <w:color w:val="231F20"/>
          <w:spacing w:val="-3"/>
          <w:w w:val="105"/>
        </w:rPr>
        <w:t>descending </w:t>
      </w:r>
      <w:r>
        <w:rPr>
          <w:color w:val="231F20"/>
          <w:w w:val="105"/>
        </w:rPr>
        <w:t>and ascending thin limbs of the loop of Henle. </w:t>
      </w:r>
      <w:hyperlink w:history="true" w:anchor="_bookmark105">
        <w:r>
          <w:rPr>
            <w:b/>
            <w:color w:val="0080AC"/>
            <w:w w:val="105"/>
          </w:rPr>
          <w:t>Figure</w:t>
        </w:r>
      </w:hyperlink>
      <w:r>
        <w:rPr>
          <w:b/>
          <w:color w:val="0080AC"/>
          <w:w w:val="105"/>
        </w:rPr>
        <w:t> </w:t>
      </w:r>
      <w:hyperlink w:history="true" w:anchor="_bookmark105">
        <w:r>
          <w:rPr>
            <w:b/>
            <w:color w:val="0080AC"/>
            <w:w w:val="105"/>
          </w:rPr>
          <w:t>31-4 </w:t>
        </w:r>
      </w:hyperlink>
      <w:r>
        <w:rPr>
          <w:color w:val="231F20"/>
          <w:w w:val="105"/>
        </w:rPr>
        <w:t>summarizes HCO </w:t>
      </w:r>
      <w:r>
        <w:rPr>
          <w:rFonts w:ascii="Consolas" w:hAnsi="Consolas"/>
          <w:color w:val="231F20"/>
          <w:w w:val="105"/>
          <w:position w:val="8"/>
          <w:sz w:val="12"/>
        </w:rPr>
        <w:t>− </w:t>
      </w:r>
      <w:r>
        <w:rPr>
          <w:color w:val="231F20"/>
          <w:w w:val="105"/>
        </w:rPr>
        <w:t>reabsorption along the </w:t>
      </w:r>
      <w:r>
        <w:rPr>
          <w:color w:val="231F20"/>
          <w:spacing w:val="-3"/>
          <w:w w:val="105"/>
        </w:rPr>
        <w:t>tubule. </w:t>
      </w:r>
      <w:r>
        <w:rPr>
          <w:color w:val="231F20"/>
          <w:w w:val="105"/>
        </w:rPr>
        <w:t>Keep</w:t>
      </w:r>
      <w:r>
        <w:rPr>
          <w:color w:val="231F20"/>
          <w:spacing w:val="-11"/>
          <w:w w:val="105"/>
        </w:rPr>
        <w:t> </w:t>
      </w:r>
      <w:r>
        <w:rPr>
          <w:color w:val="231F20"/>
          <w:w w:val="105"/>
        </w:rPr>
        <w:t>in</w:t>
      </w:r>
      <w:r>
        <w:rPr>
          <w:color w:val="231F20"/>
          <w:spacing w:val="-10"/>
          <w:w w:val="105"/>
        </w:rPr>
        <w:t> </w:t>
      </w:r>
      <w:r>
        <w:rPr>
          <w:color w:val="231F20"/>
          <w:w w:val="105"/>
        </w:rPr>
        <w:t>mind</w:t>
      </w:r>
      <w:r>
        <w:rPr>
          <w:color w:val="231F20"/>
          <w:spacing w:val="-10"/>
          <w:w w:val="105"/>
        </w:rPr>
        <w:t> </w:t>
      </w:r>
      <w:r>
        <w:rPr>
          <w:color w:val="231F20"/>
          <w:w w:val="105"/>
        </w:rPr>
        <w:t>that</w:t>
      </w:r>
      <w:r>
        <w:rPr>
          <w:color w:val="231F20"/>
          <w:spacing w:val="-10"/>
          <w:w w:val="105"/>
        </w:rPr>
        <w:t> </w:t>
      </w:r>
      <w:r>
        <w:rPr>
          <w:color w:val="231F20"/>
          <w:w w:val="105"/>
        </w:rPr>
        <w:t>for</w:t>
      </w:r>
      <w:r>
        <w:rPr>
          <w:color w:val="231F20"/>
          <w:spacing w:val="-10"/>
          <w:w w:val="105"/>
        </w:rPr>
        <w:t> </w:t>
      </w:r>
      <w:r>
        <w:rPr>
          <w:color w:val="231F20"/>
          <w:w w:val="105"/>
        </w:rPr>
        <w:t>each</w:t>
      </w:r>
      <w:r>
        <w:rPr>
          <w:color w:val="231F20"/>
          <w:spacing w:val="-10"/>
          <w:w w:val="105"/>
        </w:rPr>
        <w:t> </w:t>
      </w:r>
      <w:r>
        <w:rPr>
          <w:color w:val="231F20"/>
          <w:w w:val="105"/>
        </w:rPr>
        <w:t>HCO</w:t>
      </w:r>
      <w:r>
        <w:rPr>
          <w:color w:val="231F20"/>
          <w:spacing w:val="1"/>
          <w:w w:val="105"/>
        </w:rPr>
        <w:t> </w:t>
      </w:r>
      <w:r>
        <w:rPr>
          <w:rFonts w:ascii="Consolas" w:hAnsi="Consolas"/>
          <w:color w:val="231F20"/>
          <w:w w:val="105"/>
          <w:position w:val="8"/>
          <w:sz w:val="12"/>
        </w:rPr>
        <w:t>−</w:t>
      </w:r>
      <w:r>
        <w:rPr>
          <w:rFonts w:ascii="Consolas" w:hAnsi="Consolas"/>
          <w:color w:val="231F20"/>
          <w:spacing w:val="-27"/>
          <w:w w:val="105"/>
          <w:position w:val="8"/>
          <w:sz w:val="12"/>
        </w:rPr>
        <w:t> </w:t>
      </w:r>
      <w:r>
        <w:rPr>
          <w:color w:val="231F20"/>
          <w:w w:val="105"/>
        </w:rPr>
        <w:t>reabsorbed,</w:t>
      </w:r>
      <w:r>
        <w:rPr>
          <w:color w:val="231F20"/>
          <w:spacing w:val="-10"/>
          <w:w w:val="105"/>
        </w:rPr>
        <w:t> </w:t>
      </w:r>
      <w:r>
        <w:rPr>
          <w:color w:val="231F20"/>
          <w:w w:val="105"/>
        </w:rPr>
        <w:t>a</w:t>
      </w:r>
      <w:r>
        <w:rPr>
          <w:color w:val="231F20"/>
          <w:spacing w:val="-10"/>
          <w:w w:val="105"/>
        </w:rPr>
        <w:t> </w:t>
      </w:r>
      <w:r>
        <w:rPr>
          <w:color w:val="231F20"/>
          <w:w w:val="105"/>
        </w:rPr>
        <w:t>H</w:t>
      </w:r>
      <w:r>
        <w:rPr>
          <w:rFonts w:ascii="Consolas" w:hAnsi="Consolas"/>
          <w:color w:val="231F20"/>
          <w:w w:val="105"/>
          <w:position w:val="8"/>
          <w:sz w:val="12"/>
        </w:rPr>
        <w:t>+</w:t>
      </w:r>
      <w:r>
        <w:rPr>
          <w:rFonts w:ascii="Consolas" w:hAnsi="Consolas"/>
          <w:color w:val="231F20"/>
          <w:spacing w:val="-26"/>
          <w:w w:val="105"/>
          <w:position w:val="8"/>
          <w:sz w:val="12"/>
        </w:rPr>
        <w:t> </w:t>
      </w:r>
      <w:r>
        <w:rPr>
          <w:color w:val="231F20"/>
          <w:w w:val="105"/>
        </w:rPr>
        <w:t>must</w:t>
      </w:r>
    </w:p>
    <w:p>
      <w:pPr>
        <w:spacing w:line="261" w:lineRule="auto" w:before="285"/>
        <w:ind w:left="319" w:right="1437" w:firstLine="0"/>
        <w:jc w:val="both"/>
        <w:rPr>
          <w:rFonts w:ascii="Arial" w:hAnsi="Arial"/>
          <w:sz w:val="16"/>
        </w:rPr>
      </w:pPr>
      <w:r>
        <w:rPr/>
        <w:br w:type="column"/>
      </w:r>
      <w:bookmarkStart w:name="_bookmark106" w:id="107"/>
      <w:bookmarkEnd w:id="107"/>
      <w:r>
        <w:rPr/>
      </w:r>
      <w:r>
        <w:rPr>
          <w:rFonts w:ascii="Trebuchet MS" w:hAnsi="Trebuchet MS"/>
          <w:b/>
          <w:color w:val="231F20"/>
          <w:sz w:val="16"/>
        </w:rPr>
        <w:t>Figure</w:t>
      </w:r>
      <w:r>
        <w:rPr>
          <w:rFonts w:ascii="Trebuchet MS" w:hAnsi="Trebuchet MS"/>
          <w:b/>
          <w:color w:val="231F20"/>
          <w:spacing w:val="-14"/>
          <w:sz w:val="16"/>
        </w:rPr>
        <w:t> </w:t>
      </w:r>
      <w:r>
        <w:rPr>
          <w:rFonts w:ascii="Trebuchet MS" w:hAnsi="Trebuchet MS"/>
          <w:b/>
          <w:color w:val="231F20"/>
          <w:sz w:val="16"/>
        </w:rPr>
        <w:t>31-5.</w:t>
      </w:r>
      <w:r>
        <w:rPr>
          <w:rFonts w:ascii="Trebuchet MS" w:hAnsi="Trebuchet MS"/>
          <w:b/>
          <w:color w:val="231F20"/>
          <w:spacing w:val="4"/>
          <w:sz w:val="16"/>
        </w:rPr>
        <w:t> </w:t>
      </w:r>
      <w:r>
        <w:rPr>
          <w:rFonts w:ascii="Arial" w:hAnsi="Arial"/>
          <w:color w:val="231F20"/>
          <w:sz w:val="16"/>
        </w:rPr>
        <w:t>Cellular</w:t>
      </w:r>
      <w:r>
        <w:rPr>
          <w:rFonts w:ascii="Arial" w:hAnsi="Arial"/>
          <w:color w:val="231F20"/>
          <w:spacing w:val="-10"/>
          <w:sz w:val="16"/>
        </w:rPr>
        <w:t> </w:t>
      </w:r>
      <w:r>
        <w:rPr>
          <w:rFonts w:ascii="Arial" w:hAnsi="Arial"/>
          <w:color w:val="231F20"/>
          <w:sz w:val="16"/>
        </w:rPr>
        <w:t>mechanisms</w:t>
      </w:r>
      <w:r>
        <w:rPr>
          <w:rFonts w:ascii="Arial" w:hAnsi="Arial"/>
          <w:color w:val="231F20"/>
          <w:spacing w:val="-9"/>
          <w:sz w:val="16"/>
        </w:rPr>
        <w:t> </w:t>
      </w:r>
      <w:r>
        <w:rPr>
          <w:rFonts w:ascii="Arial" w:hAnsi="Arial"/>
          <w:color w:val="231F20"/>
          <w:sz w:val="16"/>
        </w:rPr>
        <w:t>for</w:t>
      </w:r>
      <w:r>
        <w:rPr>
          <w:rFonts w:ascii="Arial" w:hAnsi="Arial"/>
          <w:color w:val="231F20"/>
          <w:spacing w:val="-10"/>
          <w:sz w:val="16"/>
        </w:rPr>
        <w:t> </w:t>
      </w:r>
      <w:r>
        <w:rPr>
          <w:rFonts w:ascii="Arial" w:hAnsi="Arial"/>
          <w:color w:val="231F20"/>
          <w:sz w:val="16"/>
        </w:rPr>
        <w:t>(1)</w:t>
      </w:r>
      <w:r>
        <w:rPr>
          <w:rFonts w:ascii="Arial" w:hAnsi="Arial"/>
          <w:color w:val="231F20"/>
          <w:spacing w:val="-10"/>
          <w:sz w:val="16"/>
        </w:rPr>
        <w:t> </w:t>
      </w:r>
      <w:r>
        <w:rPr>
          <w:rFonts w:ascii="Arial" w:hAnsi="Arial"/>
          <w:color w:val="231F20"/>
          <w:sz w:val="16"/>
        </w:rPr>
        <w:t>active</w:t>
      </w:r>
      <w:r>
        <w:rPr>
          <w:rFonts w:ascii="Arial" w:hAnsi="Arial"/>
          <w:color w:val="231F20"/>
          <w:spacing w:val="-10"/>
          <w:sz w:val="16"/>
        </w:rPr>
        <w:t> </w:t>
      </w:r>
      <w:r>
        <w:rPr>
          <w:rFonts w:ascii="Arial" w:hAnsi="Arial"/>
          <w:color w:val="231F20"/>
          <w:sz w:val="16"/>
        </w:rPr>
        <w:t>secretion</w:t>
      </w:r>
      <w:r>
        <w:rPr>
          <w:rFonts w:ascii="Arial" w:hAnsi="Arial"/>
          <w:color w:val="231F20"/>
          <w:spacing w:val="-9"/>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H</w:t>
      </w:r>
      <w:r>
        <w:rPr>
          <w:rFonts w:ascii="Consolas" w:hAnsi="Consolas"/>
          <w:i/>
          <w:color w:val="231F20"/>
          <w:position w:val="6"/>
          <w:sz w:val="9"/>
        </w:rPr>
        <w:t>+</w:t>
      </w:r>
      <w:r>
        <w:rPr>
          <w:rFonts w:ascii="Consolas" w:hAnsi="Consolas"/>
          <w:i/>
          <w:color w:val="231F20"/>
          <w:spacing w:val="-15"/>
          <w:position w:val="6"/>
          <w:sz w:val="9"/>
        </w:rPr>
        <w:t> </w:t>
      </w:r>
      <w:r>
        <w:rPr>
          <w:rFonts w:ascii="Arial" w:hAnsi="Arial"/>
          <w:color w:val="231F20"/>
          <w:spacing w:val="-4"/>
          <w:sz w:val="16"/>
        </w:rPr>
        <w:t>into </w:t>
      </w:r>
      <w:r>
        <w:rPr>
          <w:rFonts w:ascii="Arial" w:hAnsi="Arial"/>
          <w:color w:val="231F20"/>
          <w:sz w:val="16"/>
        </w:rPr>
        <w:t>the renal tubule; (2) tubular reabsorption of HCO </w:t>
      </w:r>
      <w:r>
        <w:rPr>
          <w:rFonts w:ascii="Consolas" w:hAnsi="Consolas"/>
          <w:color w:val="231F20"/>
          <w:position w:val="6"/>
          <w:sz w:val="9"/>
        </w:rPr>
        <w:t>− </w:t>
      </w:r>
      <w:r>
        <w:rPr>
          <w:rFonts w:ascii="Arial" w:hAnsi="Arial"/>
          <w:color w:val="231F20"/>
          <w:sz w:val="16"/>
        </w:rPr>
        <w:t>by combination with H</w:t>
      </w:r>
      <w:r>
        <w:rPr>
          <w:rFonts w:ascii="Consolas" w:hAnsi="Consolas"/>
          <w:color w:val="231F20"/>
          <w:position w:val="6"/>
          <w:sz w:val="9"/>
        </w:rPr>
        <w:t>+ </w:t>
      </w:r>
      <w:r>
        <w:rPr>
          <w:rFonts w:ascii="Arial" w:hAnsi="Arial"/>
          <w:color w:val="231F20"/>
          <w:sz w:val="16"/>
        </w:rPr>
        <w:t>to form carbonic acid, which dissociates to form carbon dioxide</w:t>
      </w:r>
      <w:r>
        <w:rPr>
          <w:rFonts w:ascii="Arial" w:hAnsi="Arial"/>
          <w:color w:val="231F20"/>
          <w:spacing w:val="-7"/>
          <w:sz w:val="16"/>
        </w:rPr>
        <w:t> </w:t>
      </w:r>
      <w:r>
        <w:rPr>
          <w:rFonts w:ascii="Arial" w:hAnsi="Arial"/>
          <w:color w:val="231F20"/>
          <w:sz w:val="16"/>
        </w:rPr>
        <w:t>and</w:t>
      </w:r>
      <w:r>
        <w:rPr>
          <w:rFonts w:ascii="Arial" w:hAnsi="Arial"/>
          <w:color w:val="231F20"/>
          <w:spacing w:val="-7"/>
          <w:sz w:val="16"/>
        </w:rPr>
        <w:t> </w:t>
      </w:r>
      <w:r>
        <w:rPr>
          <w:rFonts w:ascii="Arial" w:hAnsi="Arial"/>
          <w:color w:val="231F20"/>
          <w:sz w:val="16"/>
        </w:rPr>
        <w:t>water;</w:t>
      </w:r>
      <w:r>
        <w:rPr>
          <w:rFonts w:ascii="Arial" w:hAnsi="Arial"/>
          <w:color w:val="231F20"/>
          <w:spacing w:val="-6"/>
          <w:sz w:val="16"/>
        </w:rPr>
        <w:t> </w:t>
      </w:r>
      <w:r>
        <w:rPr>
          <w:rFonts w:ascii="Arial" w:hAnsi="Arial"/>
          <w:color w:val="231F20"/>
          <w:sz w:val="16"/>
        </w:rPr>
        <w:t>and</w:t>
      </w:r>
      <w:r>
        <w:rPr>
          <w:rFonts w:ascii="Arial" w:hAnsi="Arial"/>
          <w:color w:val="231F20"/>
          <w:spacing w:val="-7"/>
          <w:sz w:val="16"/>
        </w:rPr>
        <w:t> </w:t>
      </w:r>
      <w:r>
        <w:rPr>
          <w:rFonts w:ascii="Arial" w:hAnsi="Arial"/>
          <w:color w:val="231F20"/>
          <w:sz w:val="16"/>
        </w:rPr>
        <w:t>(3)</w:t>
      </w:r>
      <w:r>
        <w:rPr>
          <w:rFonts w:ascii="Arial" w:hAnsi="Arial"/>
          <w:color w:val="231F20"/>
          <w:spacing w:val="-6"/>
          <w:sz w:val="16"/>
        </w:rPr>
        <w:t> </w:t>
      </w:r>
      <w:r>
        <w:rPr>
          <w:rFonts w:ascii="Arial" w:hAnsi="Arial"/>
          <w:color w:val="231F20"/>
          <w:sz w:val="16"/>
        </w:rPr>
        <w:t>sodium</w:t>
      </w:r>
      <w:r>
        <w:rPr>
          <w:rFonts w:ascii="Arial" w:hAnsi="Arial"/>
          <w:color w:val="231F20"/>
          <w:spacing w:val="-7"/>
          <w:sz w:val="16"/>
        </w:rPr>
        <w:t> </w:t>
      </w:r>
      <w:r>
        <w:rPr>
          <w:rFonts w:ascii="Arial" w:hAnsi="Arial"/>
          <w:color w:val="231F20"/>
          <w:sz w:val="16"/>
        </w:rPr>
        <w:t>ion</w:t>
      </w:r>
      <w:r>
        <w:rPr>
          <w:rFonts w:ascii="Arial" w:hAnsi="Arial"/>
          <w:color w:val="231F20"/>
          <w:spacing w:val="-6"/>
          <w:sz w:val="16"/>
        </w:rPr>
        <w:t> </w:t>
      </w:r>
      <w:r>
        <w:rPr>
          <w:rFonts w:ascii="Arial" w:hAnsi="Arial"/>
          <w:color w:val="231F20"/>
          <w:sz w:val="16"/>
        </w:rPr>
        <w:t>reabsorption</w:t>
      </w:r>
      <w:r>
        <w:rPr>
          <w:rFonts w:ascii="Arial" w:hAnsi="Arial"/>
          <w:color w:val="231F20"/>
          <w:spacing w:val="-7"/>
          <w:sz w:val="16"/>
        </w:rPr>
        <w:t> </w:t>
      </w:r>
      <w:r>
        <w:rPr>
          <w:rFonts w:ascii="Arial" w:hAnsi="Arial"/>
          <w:color w:val="231F20"/>
          <w:sz w:val="16"/>
        </w:rPr>
        <w:t>in</w:t>
      </w:r>
      <w:r>
        <w:rPr>
          <w:rFonts w:ascii="Arial" w:hAnsi="Arial"/>
          <w:color w:val="231F20"/>
          <w:spacing w:val="-6"/>
          <w:sz w:val="16"/>
        </w:rPr>
        <w:t> </w:t>
      </w:r>
      <w:r>
        <w:rPr>
          <w:rFonts w:ascii="Arial" w:hAnsi="Arial"/>
          <w:color w:val="231F20"/>
          <w:sz w:val="16"/>
        </w:rPr>
        <w:t>exchange</w:t>
      </w:r>
      <w:r>
        <w:rPr>
          <w:rFonts w:ascii="Arial" w:hAnsi="Arial"/>
          <w:color w:val="231F20"/>
          <w:spacing w:val="-7"/>
          <w:sz w:val="16"/>
        </w:rPr>
        <w:t> </w:t>
      </w:r>
      <w:r>
        <w:rPr>
          <w:rFonts w:ascii="Arial" w:hAnsi="Arial"/>
          <w:color w:val="231F20"/>
          <w:sz w:val="16"/>
        </w:rPr>
        <w:t>for H</w:t>
      </w:r>
      <w:r>
        <w:rPr>
          <w:rFonts w:ascii="Consolas" w:hAnsi="Consolas"/>
          <w:color w:val="231F20"/>
          <w:position w:val="6"/>
          <w:sz w:val="9"/>
        </w:rPr>
        <w:t>+ </w:t>
      </w:r>
      <w:r>
        <w:rPr>
          <w:rFonts w:ascii="Arial" w:hAnsi="Arial"/>
          <w:color w:val="231F20"/>
          <w:sz w:val="16"/>
        </w:rPr>
        <w:t>secreted. This pattern of H</w:t>
      </w:r>
      <w:r>
        <w:rPr>
          <w:rFonts w:ascii="Consolas" w:hAnsi="Consolas"/>
          <w:color w:val="231F20"/>
          <w:position w:val="6"/>
          <w:sz w:val="9"/>
        </w:rPr>
        <w:t>+ </w:t>
      </w:r>
      <w:r>
        <w:rPr>
          <w:rFonts w:ascii="Arial" w:hAnsi="Arial"/>
          <w:color w:val="231F20"/>
          <w:sz w:val="16"/>
        </w:rPr>
        <w:t>secretion occurs in the proximal tubule, the thick ascending segment of the loop of Henle, and the early distal</w:t>
      </w:r>
      <w:r>
        <w:rPr>
          <w:rFonts w:ascii="Arial" w:hAnsi="Arial"/>
          <w:color w:val="231F20"/>
          <w:spacing w:val="14"/>
          <w:sz w:val="16"/>
        </w:rPr>
        <w:t> </w:t>
      </w:r>
      <w:r>
        <w:rPr>
          <w:rFonts w:ascii="Arial" w:hAnsi="Arial"/>
          <w:color w:val="231F20"/>
          <w:sz w:val="16"/>
        </w:rPr>
        <w:t>tubule.</w:t>
      </w:r>
    </w:p>
    <w:p>
      <w:pPr>
        <w:spacing w:after="0" w:line="261" w:lineRule="auto"/>
        <w:jc w:val="both"/>
        <w:rPr>
          <w:rFonts w:ascii="Arial" w:hAnsi="Arial"/>
          <w:sz w:val="16"/>
        </w:rPr>
        <w:sectPr>
          <w:type w:val="continuous"/>
          <w:pgSz w:w="12240" w:h="15660"/>
          <w:pgMar w:top="0" w:bottom="760" w:left="0" w:right="0"/>
          <w:cols w:num="2" w:equalWidth="0">
            <w:col w:w="5761" w:space="40"/>
            <w:col w:w="6439"/>
          </w:cols>
        </w:sectPr>
      </w:pPr>
    </w:p>
    <w:p>
      <w:pPr>
        <w:pStyle w:val="BodyText"/>
        <w:spacing w:line="227" w:lineRule="exact"/>
        <w:ind w:left="1079"/>
      </w:pPr>
      <w:r>
        <w:rPr>
          <w:color w:val="231F20"/>
          <w:w w:val="105"/>
        </w:rPr>
        <w:t>be secreted.</w:t>
      </w:r>
    </w:p>
    <w:p>
      <w:pPr>
        <w:pStyle w:val="Heading2"/>
        <w:tabs>
          <w:tab w:pos="2642" w:val="left" w:leader="none"/>
        </w:tabs>
        <w:spacing w:line="145" w:lineRule="exact" w:before="93"/>
        <w:ind w:left="1079"/>
      </w:pPr>
      <w:r>
        <w:rPr>
          <w:b w:val="0"/>
        </w:rPr>
        <w:br w:type="column"/>
      </w:r>
      <w:r>
        <w:rPr>
          <w:rFonts w:ascii="Consolas" w:hAnsi="Consolas"/>
          <w:b w:val="0"/>
          <w:color w:val="231F20"/>
          <w:w w:val="105"/>
          <w:position w:val="-3"/>
          <w:sz w:val="12"/>
        </w:rPr>
        <w:t>−</w:t>
        <w:tab/>
      </w:r>
      <w:r>
        <w:rPr>
          <w:color w:val="231F20"/>
          <w:w w:val="105"/>
        </w:rPr>
        <w:t>H</w:t>
      </w:r>
      <w:r>
        <w:rPr>
          <w:rFonts w:ascii="Consolas" w:hAnsi="Consolas"/>
          <w:color w:val="231F20"/>
          <w:w w:val="105"/>
          <w:position w:val="9"/>
          <w:sz w:val="13"/>
        </w:rPr>
        <w:t>+ </w:t>
      </w:r>
      <w:r>
        <w:rPr>
          <w:color w:val="231F20"/>
          <w:w w:val="105"/>
        </w:rPr>
        <w:t>IS SECRETED BY</w:t>
      </w:r>
      <w:r>
        <w:rPr>
          <w:color w:val="231F20"/>
          <w:spacing w:val="5"/>
          <w:w w:val="105"/>
        </w:rPr>
        <w:t> </w:t>
      </w:r>
      <w:r>
        <w:rPr>
          <w:color w:val="231F20"/>
          <w:w w:val="105"/>
        </w:rPr>
        <w:t>SECONDARY</w:t>
      </w:r>
    </w:p>
    <w:p>
      <w:pPr>
        <w:spacing w:after="0" w:line="145" w:lineRule="exact"/>
        <w:sectPr>
          <w:type w:val="continuous"/>
          <w:pgSz w:w="12240" w:h="15660"/>
          <w:pgMar w:top="0" w:bottom="760" w:left="0" w:right="0"/>
          <w:cols w:num="2" w:equalWidth="0">
            <w:col w:w="2102" w:space="1376"/>
            <w:col w:w="8762"/>
          </w:cols>
        </w:sectPr>
      </w:pPr>
    </w:p>
    <w:p>
      <w:pPr>
        <w:pStyle w:val="BodyText"/>
        <w:spacing w:line="247" w:lineRule="auto"/>
        <w:ind w:left="1079" w:firstLine="240"/>
        <w:jc w:val="both"/>
      </w:pPr>
      <w:r>
        <w:rPr/>
        <w:pict>
          <v:shape style="position:absolute;margin-left:151.091293pt;margin-top:29.26193pt;width:3pt;height:8.7pt;mso-position-horizontal-relative:page;mso-position-vertical-relative:paragraph;z-index:-27250585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20.423203pt;margin-top:53.261932pt;width:3pt;height:8.7pt;mso-position-horizontal-relative:page;mso-position-vertical-relative:paragraph;z-index:-27250483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06.457397pt;margin-top:89.261932pt;width:3pt;height:8.7pt;mso-position-horizontal-relative:page;mso-position-vertical-relative:paragraph;z-index:-2725038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About 80 to 90 percent of the HCO</w:t>
      </w:r>
      <w:r>
        <w:rPr>
          <w:color w:val="231F20"/>
          <w:w w:val="105"/>
          <w:vertAlign w:val="subscript"/>
        </w:rPr>
        <w:t>3</w:t>
      </w:r>
      <w:r>
        <w:rPr>
          <w:color w:val="231F20"/>
          <w:w w:val="105"/>
          <w:vertAlign w:val="baseline"/>
        </w:rPr>
        <w:t> reabsorption (and</w:t>
      </w:r>
      <w:r>
        <w:rPr>
          <w:color w:val="231F20"/>
          <w:spacing w:val="-10"/>
          <w:w w:val="105"/>
          <w:vertAlign w:val="baseline"/>
        </w:rPr>
        <w:t> </w:t>
      </w:r>
      <w:r>
        <w:rPr>
          <w:color w:val="231F20"/>
          <w:w w:val="105"/>
          <w:vertAlign w:val="baseline"/>
        </w:rPr>
        <w:t>H</w:t>
      </w:r>
      <w:r>
        <w:rPr>
          <w:rFonts w:ascii="Consolas" w:hAnsi="Consolas"/>
          <w:color w:val="231F20"/>
          <w:w w:val="105"/>
          <w:position w:val="8"/>
          <w:sz w:val="12"/>
          <w:vertAlign w:val="baseline"/>
        </w:rPr>
        <w:t>+</w:t>
      </w:r>
      <w:r>
        <w:rPr>
          <w:rFonts w:ascii="Consolas" w:hAnsi="Consolas"/>
          <w:color w:val="231F20"/>
          <w:spacing w:val="-27"/>
          <w:w w:val="105"/>
          <w:position w:val="8"/>
          <w:sz w:val="12"/>
          <w:vertAlign w:val="baseline"/>
        </w:rPr>
        <w:t> </w:t>
      </w:r>
      <w:r>
        <w:rPr>
          <w:color w:val="231F20"/>
          <w:w w:val="105"/>
          <w:vertAlign w:val="baseline"/>
        </w:rPr>
        <w:t>secretion)</w:t>
      </w:r>
      <w:r>
        <w:rPr>
          <w:color w:val="231F20"/>
          <w:spacing w:val="-10"/>
          <w:w w:val="105"/>
          <w:vertAlign w:val="baseline"/>
        </w:rPr>
        <w:t> </w:t>
      </w:r>
      <w:r>
        <w:rPr>
          <w:color w:val="231F20"/>
          <w:w w:val="105"/>
          <w:vertAlign w:val="baseline"/>
        </w:rPr>
        <w:t>occurs</w:t>
      </w:r>
      <w:r>
        <w:rPr>
          <w:color w:val="231F20"/>
          <w:spacing w:val="-10"/>
          <w:w w:val="105"/>
          <w:vertAlign w:val="baseline"/>
        </w:rPr>
        <w:t> </w:t>
      </w:r>
      <w:r>
        <w:rPr>
          <w:color w:val="231F20"/>
          <w:w w:val="105"/>
          <w:vertAlign w:val="baseline"/>
        </w:rPr>
        <w:t>in</w:t>
      </w:r>
      <w:r>
        <w:rPr>
          <w:color w:val="231F20"/>
          <w:spacing w:val="-10"/>
          <w:w w:val="105"/>
          <w:vertAlign w:val="baseline"/>
        </w:rPr>
        <w:t> </w:t>
      </w:r>
      <w:r>
        <w:rPr>
          <w:color w:val="231F20"/>
          <w:w w:val="105"/>
          <w:vertAlign w:val="baseline"/>
        </w:rPr>
        <w:t>the</w:t>
      </w:r>
      <w:r>
        <w:rPr>
          <w:color w:val="231F20"/>
          <w:spacing w:val="-9"/>
          <w:w w:val="105"/>
          <w:vertAlign w:val="baseline"/>
        </w:rPr>
        <w:t> </w:t>
      </w:r>
      <w:r>
        <w:rPr>
          <w:color w:val="231F20"/>
          <w:w w:val="105"/>
          <w:vertAlign w:val="baseline"/>
        </w:rPr>
        <w:t>proximal</w:t>
      </w:r>
      <w:r>
        <w:rPr>
          <w:color w:val="231F20"/>
          <w:spacing w:val="-10"/>
          <w:w w:val="105"/>
          <w:vertAlign w:val="baseline"/>
        </w:rPr>
        <w:t> </w:t>
      </w:r>
      <w:r>
        <w:rPr>
          <w:color w:val="231F20"/>
          <w:w w:val="105"/>
          <w:vertAlign w:val="baseline"/>
        </w:rPr>
        <w:t>tubule,</w:t>
      </w:r>
      <w:r>
        <w:rPr>
          <w:color w:val="231F20"/>
          <w:spacing w:val="-10"/>
          <w:w w:val="105"/>
          <w:vertAlign w:val="baseline"/>
        </w:rPr>
        <w:t> </w:t>
      </w:r>
      <w:r>
        <w:rPr>
          <w:color w:val="231F20"/>
          <w:w w:val="105"/>
          <w:vertAlign w:val="baseline"/>
        </w:rPr>
        <w:t>so</w:t>
      </w:r>
      <w:r>
        <w:rPr>
          <w:color w:val="231F20"/>
          <w:spacing w:val="-10"/>
          <w:w w:val="105"/>
          <w:vertAlign w:val="baseline"/>
        </w:rPr>
        <w:t> </w:t>
      </w:r>
      <w:r>
        <w:rPr>
          <w:color w:val="231F20"/>
          <w:w w:val="105"/>
          <w:vertAlign w:val="baseline"/>
        </w:rPr>
        <w:t>only a</w:t>
      </w:r>
      <w:r>
        <w:rPr>
          <w:color w:val="231F20"/>
          <w:spacing w:val="-18"/>
          <w:w w:val="105"/>
          <w:vertAlign w:val="baseline"/>
        </w:rPr>
        <w:t> </w:t>
      </w:r>
      <w:r>
        <w:rPr>
          <w:color w:val="231F20"/>
          <w:w w:val="105"/>
          <w:vertAlign w:val="baseline"/>
        </w:rPr>
        <w:t>small</w:t>
      </w:r>
      <w:r>
        <w:rPr>
          <w:color w:val="231F20"/>
          <w:spacing w:val="-18"/>
          <w:w w:val="105"/>
          <w:vertAlign w:val="baseline"/>
        </w:rPr>
        <w:t> </w:t>
      </w:r>
      <w:r>
        <w:rPr>
          <w:color w:val="231F20"/>
          <w:w w:val="105"/>
          <w:vertAlign w:val="baseline"/>
        </w:rPr>
        <w:t>amount</w:t>
      </w:r>
      <w:r>
        <w:rPr>
          <w:color w:val="231F20"/>
          <w:spacing w:val="-18"/>
          <w:w w:val="105"/>
          <w:vertAlign w:val="baseline"/>
        </w:rPr>
        <w:t> </w:t>
      </w:r>
      <w:r>
        <w:rPr>
          <w:color w:val="231F20"/>
          <w:w w:val="105"/>
          <w:vertAlign w:val="baseline"/>
        </w:rPr>
        <w:t>of</w:t>
      </w:r>
      <w:r>
        <w:rPr>
          <w:color w:val="231F20"/>
          <w:spacing w:val="-17"/>
          <w:w w:val="105"/>
          <w:vertAlign w:val="baseline"/>
        </w:rPr>
        <w:t> </w:t>
      </w:r>
      <w:r>
        <w:rPr>
          <w:color w:val="231F20"/>
          <w:w w:val="105"/>
          <w:vertAlign w:val="baseline"/>
        </w:rPr>
        <w:t>HCO</w:t>
      </w:r>
      <w:r>
        <w:rPr>
          <w:color w:val="231F20"/>
          <w:spacing w:val="-4"/>
          <w:w w:val="105"/>
          <w:vertAlign w:val="baseline"/>
        </w:rPr>
        <w:t> </w:t>
      </w:r>
      <w:r>
        <w:rPr>
          <w:rFonts w:ascii="Consolas" w:hAnsi="Consolas"/>
          <w:color w:val="231F20"/>
          <w:w w:val="105"/>
          <w:position w:val="8"/>
          <w:sz w:val="12"/>
          <w:vertAlign w:val="baseline"/>
        </w:rPr>
        <w:t>−</w:t>
      </w:r>
      <w:r>
        <w:rPr>
          <w:rFonts w:ascii="Consolas" w:hAnsi="Consolas"/>
          <w:color w:val="231F20"/>
          <w:spacing w:val="-35"/>
          <w:w w:val="105"/>
          <w:position w:val="8"/>
          <w:sz w:val="12"/>
          <w:vertAlign w:val="baseline"/>
        </w:rPr>
        <w:t> </w:t>
      </w:r>
      <w:r>
        <w:rPr>
          <w:color w:val="231F20"/>
          <w:w w:val="105"/>
          <w:vertAlign w:val="baseline"/>
        </w:rPr>
        <w:t>flows</w:t>
      </w:r>
      <w:r>
        <w:rPr>
          <w:color w:val="231F20"/>
          <w:spacing w:val="-17"/>
          <w:w w:val="105"/>
          <w:vertAlign w:val="baseline"/>
        </w:rPr>
        <w:t> </w:t>
      </w:r>
      <w:r>
        <w:rPr>
          <w:color w:val="231F20"/>
          <w:w w:val="105"/>
          <w:vertAlign w:val="baseline"/>
        </w:rPr>
        <w:t>into</w:t>
      </w:r>
      <w:r>
        <w:rPr>
          <w:color w:val="231F20"/>
          <w:spacing w:val="-18"/>
          <w:w w:val="105"/>
          <w:vertAlign w:val="baseline"/>
        </w:rPr>
        <w:t> </w:t>
      </w:r>
      <w:r>
        <w:rPr>
          <w:color w:val="231F20"/>
          <w:w w:val="105"/>
          <w:vertAlign w:val="baseline"/>
        </w:rPr>
        <w:t>the</w:t>
      </w:r>
      <w:r>
        <w:rPr>
          <w:color w:val="231F20"/>
          <w:spacing w:val="-18"/>
          <w:w w:val="105"/>
          <w:vertAlign w:val="baseline"/>
        </w:rPr>
        <w:t> </w:t>
      </w:r>
      <w:r>
        <w:rPr>
          <w:color w:val="231F20"/>
          <w:w w:val="105"/>
          <w:vertAlign w:val="baseline"/>
        </w:rPr>
        <w:t>distal</w:t>
      </w:r>
      <w:r>
        <w:rPr>
          <w:color w:val="231F20"/>
          <w:spacing w:val="-18"/>
          <w:w w:val="105"/>
          <w:vertAlign w:val="baseline"/>
        </w:rPr>
        <w:t> </w:t>
      </w:r>
      <w:r>
        <w:rPr>
          <w:color w:val="231F20"/>
          <w:w w:val="105"/>
          <w:vertAlign w:val="baseline"/>
        </w:rPr>
        <w:t>tubules</w:t>
      </w:r>
      <w:r>
        <w:rPr>
          <w:color w:val="231F20"/>
          <w:spacing w:val="-17"/>
          <w:w w:val="105"/>
          <w:vertAlign w:val="baseline"/>
        </w:rPr>
        <w:t> </w:t>
      </w:r>
      <w:r>
        <w:rPr>
          <w:color w:val="231F20"/>
          <w:spacing w:val="-4"/>
          <w:w w:val="105"/>
          <w:vertAlign w:val="baseline"/>
        </w:rPr>
        <w:t>and </w:t>
      </w:r>
      <w:r>
        <w:rPr>
          <w:color w:val="231F20"/>
          <w:w w:val="105"/>
          <w:vertAlign w:val="baseline"/>
        </w:rPr>
        <w:t>collecting ducts. In the thick ascending loop of </w:t>
      </w:r>
      <w:r>
        <w:rPr>
          <w:color w:val="231F20"/>
          <w:spacing w:val="-3"/>
          <w:w w:val="105"/>
          <w:vertAlign w:val="baseline"/>
        </w:rPr>
        <w:t>Henle, </w:t>
      </w:r>
      <w:r>
        <w:rPr>
          <w:color w:val="231F20"/>
          <w:w w:val="105"/>
          <w:vertAlign w:val="baseline"/>
        </w:rPr>
        <w:t>another 10 percent of the filtered HCO </w:t>
      </w:r>
      <w:r>
        <w:rPr>
          <w:rFonts w:ascii="Consolas" w:hAnsi="Consolas"/>
          <w:color w:val="231F20"/>
          <w:w w:val="105"/>
          <w:position w:val="8"/>
          <w:sz w:val="12"/>
          <w:vertAlign w:val="baseline"/>
        </w:rPr>
        <w:t>− </w:t>
      </w:r>
      <w:r>
        <w:rPr>
          <w:color w:val="231F20"/>
          <w:w w:val="105"/>
          <w:vertAlign w:val="baseline"/>
        </w:rPr>
        <w:t>is reabsorbed, and the remainder of the reabsorption takes place in the distal tubules and collecting ducts. As discussed </w:t>
      </w:r>
      <w:r>
        <w:rPr>
          <w:color w:val="231F20"/>
          <w:spacing w:val="-3"/>
          <w:w w:val="105"/>
          <w:vertAlign w:val="baseline"/>
        </w:rPr>
        <w:t>previ- </w:t>
      </w:r>
      <w:r>
        <w:rPr>
          <w:color w:val="231F20"/>
          <w:w w:val="105"/>
          <w:vertAlign w:val="baseline"/>
        </w:rPr>
        <w:t>ously,</w:t>
      </w:r>
      <w:r>
        <w:rPr>
          <w:color w:val="231F20"/>
          <w:spacing w:val="-19"/>
          <w:w w:val="105"/>
          <w:vertAlign w:val="baseline"/>
        </w:rPr>
        <w:t> </w:t>
      </w:r>
      <w:r>
        <w:rPr>
          <w:color w:val="231F20"/>
          <w:w w:val="105"/>
          <w:vertAlign w:val="baseline"/>
        </w:rPr>
        <w:t>the</w:t>
      </w:r>
      <w:r>
        <w:rPr>
          <w:color w:val="231F20"/>
          <w:spacing w:val="-18"/>
          <w:w w:val="105"/>
          <w:vertAlign w:val="baseline"/>
        </w:rPr>
        <w:t> </w:t>
      </w:r>
      <w:r>
        <w:rPr>
          <w:color w:val="231F20"/>
          <w:w w:val="105"/>
          <w:vertAlign w:val="baseline"/>
        </w:rPr>
        <w:t>mechanism</w:t>
      </w:r>
      <w:r>
        <w:rPr>
          <w:color w:val="231F20"/>
          <w:spacing w:val="-18"/>
          <w:w w:val="105"/>
          <w:vertAlign w:val="baseline"/>
        </w:rPr>
        <w:t> </w:t>
      </w:r>
      <w:r>
        <w:rPr>
          <w:color w:val="231F20"/>
          <w:w w:val="105"/>
          <w:vertAlign w:val="baseline"/>
        </w:rPr>
        <w:t>by</w:t>
      </w:r>
      <w:r>
        <w:rPr>
          <w:color w:val="231F20"/>
          <w:spacing w:val="-18"/>
          <w:w w:val="105"/>
          <w:vertAlign w:val="baseline"/>
        </w:rPr>
        <w:t> </w:t>
      </w:r>
      <w:r>
        <w:rPr>
          <w:color w:val="231F20"/>
          <w:w w:val="105"/>
          <w:vertAlign w:val="baseline"/>
        </w:rPr>
        <w:t>which</w:t>
      </w:r>
      <w:r>
        <w:rPr>
          <w:color w:val="231F20"/>
          <w:spacing w:val="-19"/>
          <w:w w:val="105"/>
          <w:vertAlign w:val="baseline"/>
        </w:rPr>
        <w:t> </w:t>
      </w:r>
      <w:r>
        <w:rPr>
          <w:color w:val="231F20"/>
          <w:w w:val="105"/>
          <w:vertAlign w:val="baseline"/>
        </w:rPr>
        <w:t>HCO</w:t>
      </w:r>
      <w:r>
        <w:rPr>
          <w:color w:val="231F20"/>
          <w:spacing w:val="-9"/>
          <w:w w:val="105"/>
          <w:vertAlign w:val="baseline"/>
        </w:rPr>
        <w:t> </w:t>
      </w:r>
      <w:r>
        <w:rPr>
          <w:rFonts w:ascii="Consolas" w:hAnsi="Consolas"/>
          <w:color w:val="231F20"/>
          <w:w w:val="105"/>
          <w:position w:val="8"/>
          <w:sz w:val="12"/>
          <w:vertAlign w:val="baseline"/>
        </w:rPr>
        <w:t>−</w:t>
      </w:r>
      <w:r>
        <w:rPr>
          <w:rFonts w:ascii="Consolas" w:hAnsi="Consolas"/>
          <w:color w:val="231F20"/>
          <w:spacing w:val="-35"/>
          <w:w w:val="105"/>
          <w:position w:val="8"/>
          <w:sz w:val="12"/>
          <w:vertAlign w:val="baseline"/>
        </w:rPr>
        <w:t> </w:t>
      </w:r>
      <w:r>
        <w:rPr>
          <w:color w:val="231F20"/>
          <w:w w:val="105"/>
          <w:vertAlign w:val="baseline"/>
        </w:rPr>
        <w:t>is</w:t>
      </w:r>
      <w:r>
        <w:rPr>
          <w:color w:val="231F20"/>
          <w:spacing w:val="-18"/>
          <w:w w:val="105"/>
          <w:vertAlign w:val="baseline"/>
        </w:rPr>
        <w:t> </w:t>
      </w:r>
      <w:r>
        <w:rPr>
          <w:color w:val="231F20"/>
          <w:w w:val="105"/>
          <w:vertAlign w:val="baseline"/>
        </w:rPr>
        <w:t>reabsorbed</w:t>
      </w:r>
      <w:r>
        <w:rPr>
          <w:color w:val="231F20"/>
          <w:spacing w:val="-18"/>
          <w:w w:val="105"/>
          <w:vertAlign w:val="baseline"/>
        </w:rPr>
        <w:t> </w:t>
      </w:r>
      <w:r>
        <w:rPr>
          <w:color w:val="231F20"/>
          <w:w w:val="105"/>
          <w:vertAlign w:val="baseline"/>
        </w:rPr>
        <w:t>also involves</w:t>
      </w:r>
      <w:r>
        <w:rPr>
          <w:color w:val="231F20"/>
          <w:spacing w:val="-22"/>
          <w:w w:val="105"/>
          <w:vertAlign w:val="baseline"/>
        </w:rPr>
        <w:t> </w:t>
      </w:r>
      <w:r>
        <w:rPr>
          <w:color w:val="231F20"/>
          <w:w w:val="105"/>
          <w:vertAlign w:val="baseline"/>
        </w:rPr>
        <w:t>tubular</w:t>
      </w:r>
      <w:r>
        <w:rPr>
          <w:color w:val="231F20"/>
          <w:spacing w:val="-21"/>
          <w:w w:val="105"/>
          <w:vertAlign w:val="baseline"/>
        </w:rPr>
        <w:t> </w:t>
      </w:r>
      <w:r>
        <w:rPr>
          <w:color w:val="231F20"/>
          <w:w w:val="105"/>
          <w:vertAlign w:val="baseline"/>
        </w:rPr>
        <w:t>secretion</w:t>
      </w:r>
      <w:r>
        <w:rPr>
          <w:color w:val="231F20"/>
          <w:spacing w:val="-21"/>
          <w:w w:val="105"/>
          <w:vertAlign w:val="baseline"/>
        </w:rPr>
        <w:t> </w:t>
      </w:r>
      <w:r>
        <w:rPr>
          <w:color w:val="231F20"/>
          <w:w w:val="105"/>
          <w:vertAlign w:val="baseline"/>
        </w:rPr>
        <w:t>of</w:t>
      </w:r>
      <w:r>
        <w:rPr>
          <w:color w:val="231F20"/>
          <w:spacing w:val="-22"/>
          <w:w w:val="105"/>
          <w:vertAlign w:val="baseline"/>
        </w:rPr>
        <w:t> </w:t>
      </w:r>
      <w:r>
        <w:rPr>
          <w:color w:val="231F20"/>
          <w:spacing w:val="-8"/>
          <w:w w:val="105"/>
          <w:vertAlign w:val="baseline"/>
        </w:rPr>
        <w:t>H</w:t>
      </w:r>
      <w:r>
        <w:rPr>
          <w:rFonts w:ascii="Consolas" w:hAnsi="Consolas"/>
          <w:color w:val="231F20"/>
          <w:spacing w:val="-8"/>
          <w:w w:val="105"/>
          <w:position w:val="8"/>
          <w:sz w:val="12"/>
          <w:vertAlign w:val="baseline"/>
        </w:rPr>
        <w:t>+</w:t>
      </w:r>
      <w:r>
        <w:rPr>
          <w:color w:val="231F20"/>
          <w:spacing w:val="-8"/>
          <w:w w:val="105"/>
          <w:vertAlign w:val="baseline"/>
        </w:rPr>
        <w:t>,</w:t>
      </w:r>
      <w:r>
        <w:rPr>
          <w:color w:val="231F20"/>
          <w:spacing w:val="-21"/>
          <w:w w:val="105"/>
          <w:vertAlign w:val="baseline"/>
        </w:rPr>
        <w:t> </w:t>
      </w:r>
      <w:r>
        <w:rPr>
          <w:color w:val="231F20"/>
          <w:w w:val="105"/>
          <w:vertAlign w:val="baseline"/>
        </w:rPr>
        <w:t>but</w:t>
      </w:r>
      <w:r>
        <w:rPr>
          <w:color w:val="231F20"/>
          <w:spacing w:val="-21"/>
          <w:w w:val="105"/>
          <w:vertAlign w:val="baseline"/>
        </w:rPr>
        <w:t> </w:t>
      </w:r>
      <w:r>
        <w:rPr>
          <w:color w:val="231F20"/>
          <w:w w:val="105"/>
          <w:vertAlign w:val="baseline"/>
        </w:rPr>
        <w:t>different</w:t>
      </w:r>
      <w:r>
        <w:rPr>
          <w:color w:val="231F20"/>
          <w:spacing w:val="-21"/>
          <w:w w:val="105"/>
          <w:vertAlign w:val="baseline"/>
        </w:rPr>
        <w:t> </w:t>
      </w:r>
      <w:r>
        <w:rPr>
          <w:color w:val="231F20"/>
          <w:w w:val="105"/>
          <w:vertAlign w:val="baseline"/>
        </w:rPr>
        <w:t>tubular</w:t>
      </w:r>
      <w:r>
        <w:rPr>
          <w:color w:val="231F20"/>
          <w:spacing w:val="-22"/>
          <w:w w:val="105"/>
          <w:vertAlign w:val="baseline"/>
        </w:rPr>
        <w:t> </w:t>
      </w:r>
      <w:r>
        <w:rPr>
          <w:color w:val="231F20"/>
          <w:w w:val="105"/>
          <w:vertAlign w:val="baseline"/>
        </w:rPr>
        <w:t>seg- ments accomplish this task</w:t>
      </w:r>
      <w:r>
        <w:rPr>
          <w:color w:val="231F20"/>
          <w:spacing w:val="-1"/>
          <w:w w:val="105"/>
          <w:vertAlign w:val="baseline"/>
        </w:rPr>
        <w:t> </w:t>
      </w:r>
      <w:r>
        <w:rPr>
          <w:color w:val="231F20"/>
          <w:w w:val="105"/>
          <w:vertAlign w:val="baseline"/>
        </w:rPr>
        <w:t>differently.</w:t>
      </w:r>
    </w:p>
    <w:p>
      <w:pPr>
        <w:pStyle w:val="Heading2"/>
        <w:spacing w:line="225" w:lineRule="auto" w:before="110"/>
        <w:ind w:right="2474"/>
      </w:pPr>
      <w:r>
        <w:rPr>
          <w:b w:val="0"/>
        </w:rPr>
        <w:br w:type="column"/>
      </w:r>
      <w:r>
        <w:rPr>
          <w:color w:val="231F20"/>
          <w:w w:val="105"/>
        </w:rPr>
        <w:t>ACTIVE TRANSPORT IN THE </w:t>
      </w:r>
      <w:r>
        <w:rPr>
          <w:color w:val="231F20"/>
          <w:spacing w:val="-8"/>
          <w:w w:val="105"/>
        </w:rPr>
        <w:t>EARLY </w:t>
      </w:r>
      <w:r>
        <w:rPr>
          <w:color w:val="231F20"/>
          <w:w w:val="105"/>
        </w:rPr>
        <w:t>TUBULAR SEGMENTS</w:t>
      </w:r>
    </w:p>
    <w:p>
      <w:pPr>
        <w:pStyle w:val="BodyText"/>
        <w:spacing w:line="249" w:lineRule="auto" w:before="128"/>
        <w:ind w:left="319" w:right="1437"/>
        <w:jc w:val="both"/>
      </w:pPr>
      <w:r>
        <w:rPr>
          <w:color w:val="231F20"/>
          <w:w w:val="105"/>
        </w:rPr>
        <w:t>The epithelial cells of the proximal tubule, the thick segment of the ascending loop of Henle, and the early distal tubule all secrete H</w:t>
      </w:r>
      <w:r>
        <w:rPr>
          <w:rFonts w:ascii="Consolas"/>
          <w:color w:val="231F20"/>
          <w:w w:val="105"/>
          <w:position w:val="8"/>
          <w:sz w:val="12"/>
        </w:rPr>
        <w:t>+ </w:t>
      </w:r>
      <w:r>
        <w:rPr>
          <w:color w:val="231F20"/>
          <w:w w:val="105"/>
        </w:rPr>
        <w:t>into the tubular fluid by sodium-hydrogen</w:t>
      </w:r>
      <w:r>
        <w:rPr>
          <w:color w:val="231F20"/>
          <w:spacing w:val="-11"/>
          <w:w w:val="105"/>
        </w:rPr>
        <w:t> </w:t>
      </w:r>
      <w:r>
        <w:rPr>
          <w:color w:val="231F20"/>
          <w:w w:val="105"/>
        </w:rPr>
        <w:t>counter-transport,</w:t>
      </w:r>
      <w:r>
        <w:rPr>
          <w:color w:val="231F20"/>
          <w:spacing w:val="-10"/>
          <w:w w:val="105"/>
        </w:rPr>
        <w:t> </w:t>
      </w:r>
      <w:r>
        <w:rPr>
          <w:color w:val="231F20"/>
          <w:w w:val="105"/>
        </w:rPr>
        <w:t>as</w:t>
      </w:r>
      <w:r>
        <w:rPr>
          <w:color w:val="231F20"/>
          <w:spacing w:val="-10"/>
          <w:w w:val="105"/>
        </w:rPr>
        <w:t> </w:t>
      </w:r>
      <w:r>
        <w:rPr>
          <w:color w:val="231F20"/>
          <w:w w:val="105"/>
        </w:rPr>
        <w:t>shown</w:t>
      </w:r>
      <w:r>
        <w:rPr>
          <w:color w:val="231F20"/>
          <w:spacing w:val="-10"/>
          <w:w w:val="105"/>
        </w:rPr>
        <w:t> </w:t>
      </w:r>
      <w:r>
        <w:rPr>
          <w:color w:val="231F20"/>
          <w:w w:val="105"/>
        </w:rPr>
        <w:t>in</w:t>
      </w:r>
      <w:r>
        <w:rPr>
          <w:color w:val="231F20"/>
          <w:spacing w:val="-10"/>
          <w:w w:val="105"/>
        </w:rPr>
        <w:t> </w:t>
      </w:r>
      <w:hyperlink w:history="true" w:anchor="_bookmark106">
        <w:r>
          <w:rPr>
            <w:b/>
            <w:color w:val="0080AC"/>
            <w:w w:val="105"/>
          </w:rPr>
          <w:t>Figure</w:t>
        </w:r>
      </w:hyperlink>
      <w:r>
        <w:rPr>
          <w:b/>
          <w:color w:val="0080AC"/>
          <w:w w:val="105"/>
        </w:rPr>
        <w:t> </w:t>
      </w:r>
      <w:hyperlink w:history="true" w:anchor="_bookmark106">
        <w:r>
          <w:rPr>
            <w:b/>
            <w:color w:val="0080AC"/>
            <w:w w:val="105"/>
          </w:rPr>
          <w:t>31-5</w:t>
        </w:r>
      </w:hyperlink>
      <w:r>
        <w:rPr>
          <w:color w:val="231F20"/>
          <w:w w:val="105"/>
        </w:rPr>
        <w:t>. This secondary active secretion of H</w:t>
      </w:r>
      <w:r>
        <w:rPr>
          <w:rFonts w:ascii="Consolas"/>
          <w:color w:val="231F20"/>
          <w:w w:val="105"/>
          <w:position w:val="8"/>
          <w:sz w:val="12"/>
        </w:rPr>
        <w:t>+ </w:t>
      </w:r>
      <w:r>
        <w:rPr>
          <w:color w:val="231F20"/>
          <w:w w:val="105"/>
        </w:rPr>
        <w:t>is coupled with the transport of Na</w:t>
      </w:r>
      <w:r>
        <w:rPr>
          <w:rFonts w:ascii="Consolas"/>
          <w:color w:val="231F20"/>
          <w:w w:val="105"/>
          <w:position w:val="8"/>
          <w:sz w:val="12"/>
        </w:rPr>
        <w:t>+ </w:t>
      </w:r>
      <w:r>
        <w:rPr>
          <w:color w:val="231F20"/>
          <w:w w:val="105"/>
        </w:rPr>
        <w:t>into the cell at the luminal membrane by the </w:t>
      </w:r>
      <w:r>
        <w:rPr>
          <w:i/>
          <w:color w:val="231F20"/>
          <w:w w:val="105"/>
        </w:rPr>
        <w:t>sodium-hydrogen exchanger</w:t>
      </w:r>
      <w:r>
        <w:rPr>
          <w:i/>
          <w:color w:val="231F20"/>
          <w:spacing w:val="16"/>
          <w:w w:val="105"/>
        </w:rPr>
        <w:t> </w:t>
      </w:r>
      <w:r>
        <w:rPr>
          <w:color w:val="231F20"/>
          <w:w w:val="105"/>
        </w:rPr>
        <w:t>protein,</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5"/>
      </w:pPr>
    </w:p>
    <w:p>
      <w:pPr>
        <w:spacing w:after="0"/>
        <w:sectPr>
          <w:headerReference w:type="even" r:id="rId974"/>
          <w:pgSz w:w="12240" w:h="15660"/>
          <w:pgMar w:header="0" w:footer="567" w:top="0" w:bottom="760" w:left="0" w:right="0"/>
        </w:sectPr>
      </w:pPr>
    </w:p>
    <w:p>
      <w:pPr>
        <w:pStyle w:val="BodyText"/>
        <w:spacing w:line="249" w:lineRule="auto" w:before="111"/>
        <w:ind w:left="1440" w:hanging="1"/>
        <w:jc w:val="both"/>
      </w:pPr>
      <w:r>
        <w:rPr>
          <w:color w:val="231F20"/>
          <w:w w:val="105"/>
        </w:rPr>
        <w:t>and the energy for H</w:t>
      </w:r>
      <w:r>
        <w:rPr>
          <w:rFonts w:ascii="Consolas"/>
          <w:color w:val="231F20"/>
          <w:w w:val="105"/>
          <w:position w:val="8"/>
          <w:sz w:val="12"/>
        </w:rPr>
        <w:t>+ </w:t>
      </w:r>
      <w:r>
        <w:rPr>
          <w:color w:val="231F20"/>
          <w:w w:val="105"/>
        </w:rPr>
        <w:t>secretion against a concentration gradient is derived from the sodium gradient </w:t>
      </w:r>
      <w:r>
        <w:rPr>
          <w:color w:val="231F20"/>
          <w:spacing w:val="-3"/>
          <w:w w:val="105"/>
        </w:rPr>
        <w:t>favoring </w:t>
      </w:r>
      <w:r>
        <w:rPr>
          <w:color w:val="231F20"/>
          <w:w w:val="105"/>
        </w:rPr>
        <w:t>Na</w:t>
      </w:r>
      <w:r>
        <w:rPr>
          <w:rFonts w:ascii="Consolas"/>
          <w:color w:val="231F20"/>
          <w:w w:val="105"/>
          <w:position w:val="8"/>
          <w:sz w:val="12"/>
        </w:rPr>
        <w:t>+</w:t>
      </w:r>
      <w:r>
        <w:rPr>
          <w:rFonts w:ascii="Consolas"/>
          <w:color w:val="231F20"/>
          <w:spacing w:val="-46"/>
          <w:w w:val="105"/>
          <w:position w:val="8"/>
          <w:sz w:val="12"/>
        </w:rPr>
        <w:t> </w:t>
      </w:r>
      <w:r>
        <w:rPr>
          <w:color w:val="231F20"/>
          <w:w w:val="105"/>
        </w:rPr>
        <w:t>movement into the cell. This gradient is established by the sodium-potassium adenosine triphosphatase (ATPase) pump in the basolateral membrane. About </w:t>
      </w:r>
      <w:r>
        <w:rPr>
          <w:color w:val="231F20"/>
          <w:spacing w:val="-8"/>
          <w:w w:val="105"/>
        </w:rPr>
        <w:t>95 </w:t>
      </w:r>
      <w:r>
        <w:rPr>
          <w:color w:val="231F20"/>
          <w:w w:val="105"/>
        </w:rPr>
        <w:t>percent of the bicarbonate is reabsorbed in this </w:t>
      </w:r>
      <w:r>
        <w:rPr>
          <w:color w:val="231F20"/>
          <w:spacing w:val="-3"/>
          <w:w w:val="105"/>
        </w:rPr>
        <w:t>manner, </w:t>
      </w:r>
      <w:r>
        <w:rPr>
          <w:color w:val="231F20"/>
          <w:w w:val="105"/>
        </w:rPr>
        <w:t>requiring about 4000 mEq of H</w:t>
      </w:r>
      <w:r>
        <w:rPr>
          <w:rFonts w:ascii="Consolas"/>
          <w:color w:val="231F20"/>
          <w:w w:val="105"/>
          <w:position w:val="8"/>
          <w:sz w:val="12"/>
        </w:rPr>
        <w:t>+</w:t>
      </w:r>
      <w:r>
        <w:rPr>
          <w:rFonts w:ascii="Consolas"/>
          <w:color w:val="231F20"/>
          <w:spacing w:val="-49"/>
          <w:w w:val="105"/>
          <w:position w:val="8"/>
          <w:sz w:val="12"/>
        </w:rPr>
        <w:t> </w:t>
      </w:r>
      <w:r>
        <w:rPr>
          <w:color w:val="231F20"/>
          <w:w w:val="105"/>
        </w:rPr>
        <w:t>to be secreted each </w:t>
      </w:r>
      <w:r>
        <w:rPr>
          <w:color w:val="231F20"/>
          <w:spacing w:val="-5"/>
          <w:w w:val="105"/>
        </w:rPr>
        <w:t>day </w:t>
      </w:r>
      <w:r>
        <w:rPr>
          <w:color w:val="231F20"/>
          <w:w w:val="105"/>
        </w:rPr>
        <w:t>by</w:t>
      </w:r>
      <w:r>
        <w:rPr>
          <w:color w:val="231F20"/>
          <w:spacing w:val="-21"/>
          <w:w w:val="105"/>
        </w:rPr>
        <w:t> </w:t>
      </w:r>
      <w:r>
        <w:rPr>
          <w:color w:val="231F20"/>
          <w:w w:val="105"/>
        </w:rPr>
        <w:t>the</w:t>
      </w:r>
      <w:r>
        <w:rPr>
          <w:color w:val="231F20"/>
          <w:spacing w:val="-21"/>
          <w:w w:val="105"/>
        </w:rPr>
        <w:t> </w:t>
      </w:r>
      <w:r>
        <w:rPr>
          <w:color w:val="231F20"/>
          <w:w w:val="105"/>
        </w:rPr>
        <w:t>tubules.</w:t>
      </w:r>
      <w:r>
        <w:rPr>
          <w:color w:val="231F20"/>
          <w:spacing w:val="-21"/>
          <w:w w:val="105"/>
        </w:rPr>
        <w:t> </w:t>
      </w:r>
      <w:r>
        <w:rPr>
          <w:color w:val="231F20"/>
          <w:w w:val="105"/>
        </w:rPr>
        <w:t>This</w:t>
      </w:r>
      <w:r>
        <w:rPr>
          <w:color w:val="231F20"/>
          <w:spacing w:val="-21"/>
          <w:w w:val="105"/>
        </w:rPr>
        <w:t> </w:t>
      </w:r>
      <w:r>
        <w:rPr>
          <w:color w:val="231F20"/>
          <w:w w:val="105"/>
        </w:rPr>
        <w:t>mechanism,</w:t>
      </w:r>
      <w:r>
        <w:rPr>
          <w:color w:val="231F20"/>
          <w:spacing w:val="-21"/>
          <w:w w:val="105"/>
        </w:rPr>
        <w:t> </w:t>
      </w:r>
      <w:r>
        <w:rPr>
          <w:color w:val="231F20"/>
          <w:w w:val="105"/>
        </w:rPr>
        <w:t>however,</w:t>
      </w:r>
      <w:r>
        <w:rPr>
          <w:color w:val="231F20"/>
          <w:spacing w:val="-21"/>
          <w:w w:val="105"/>
        </w:rPr>
        <w:t> </w:t>
      </w:r>
      <w:r>
        <w:rPr>
          <w:color w:val="231F20"/>
          <w:w w:val="105"/>
        </w:rPr>
        <w:t>does</w:t>
      </w:r>
      <w:r>
        <w:rPr>
          <w:color w:val="231F20"/>
          <w:spacing w:val="-21"/>
          <w:w w:val="105"/>
        </w:rPr>
        <w:t> </w:t>
      </w:r>
      <w:r>
        <w:rPr>
          <w:color w:val="231F20"/>
          <w:w w:val="105"/>
        </w:rPr>
        <w:t>not</w:t>
      </w:r>
      <w:r>
        <w:rPr>
          <w:color w:val="231F20"/>
          <w:spacing w:val="-21"/>
          <w:w w:val="105"/>
        </w:rPr>
        <w:t> </w:t>
      </w:r>
      <w:r>
        <w:rPr>
          <w:color w:val="231F20"/>
          <w:spacing w:val="-4"/>
          <w:w w:val="105"/>
        </w:rPr>
        <w:t>estab- </w:t>
      </w:r>
      <w:r>
        <w:rPr>
          <w:color w:val="231F20"/>
          <w:w w:val="105"/>
        </w:rPr>
        <w:t>lish</w:t>
      </w:r>
      <w:r>
        <w:rPr>
          <w:color w:val="231F20"/>
          <w:spacing w:val="-8"/>
          <w:w w:val="105"/>
        </w:rPr>
        <w:t> </w:t>
      </w:r>
      <w:r>
        <w:rPr>
          <w:color w:val="231F20"/>
          <w:w w:val="105"/>
        </w:rPr>
        <w:t>a</w:t>
      </w:r>
      <w:r>
        <w:rPr>
          <w:color w:val="231F20"/>
          <w:spacing w:val="-8"/>
          <w:w w:val="105"/>
        </w:rPr>
        <w:t> </w:t>
      </w:r>
      <w:r>
        <w:rPr>
          <w:color w:val="231F20"/>
          <w:w w:val="105"/>
        </w:rPr>
        <w:t>very</w:t>
      </w:r>
      <w:r>
        <w:rPr>
          <w:color w:val="231F20"/>
          <w:spacing w:val="-7"/>
          <w:w w:val="105"/>
        </w:rPr>
        <w:t> </w:t>
      </w:r>
      <w:r>
        <w:rPr>
          <w:color w:val="231F20"/>
          <w:w w:val="105"/>
        </w:rPr>
        <w:t>high</w:t>
      </w:r>
      <w:r>
        <w:rPr>
          <w:color w:val="231F20"/>
          <w:spacing w:val="-8"/>
          <w:w w:val="105"/>
        </w:rPr>
        <w:t> </w:t>
      </w:r>
      <w:r>
        <w:rPr>
          <w:color w:val="231F20"/>
          <w:w w:val="105"/>
        </w:rPr>
        <w:t>H</w:t>
      </w:r>
      <w:r>
        <w:rPr>
          <w:rFonts w:ascii="Consolas"/>
          <w:color w:val="231F20"/>
          <w:w w:val="105"/>
          <w:position w:val="8"/>
          <w:sz w:val="12"/>
        </w:rPr>
        <w:t>+</w:t>
      </w:r>
      <w:r>
        <w:rPr>
          <w:rFonts w:ascii="Consolas"/>
          <w:color w:val="231F20"/>
          <w:spacing w:val="-24"/>
          <w:w w:val="105"/>
          <w:position w:val="8"/>
          <w:sz w:val="12"/>
        </w:rPr>
        <w:t> </w:t>
      </w:r>
      <w:r>
        <w:rPr>
          <w:color w:val="231F20"/>
          <w:w w:val="105"/>
        </w:rPr>
        <w:t>concentration</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7"/>
          <w:w w:val="105"/>
        </w:rPr>
        <w:t> </w:t>
      </w:r>
      <w:r>
        <w:rPr>
          <w:color w:val="231F20"/>
          <w:w w:val="105"/>
        </w:rPr>
        <w:t>tubular</w:t>
      </w:r>
      <w:r>
        <w:rPr>
          <w:color w:val="231F20"/>
          <w:spacing w:val="-8"/>
          <w:w w:val="105"/>
        </w:rPr>
        <w:t> </w:t>
      </w:r>
      <w:r>
        <w:rPr>
          <w:color w:val="231F20"/>
          <w:w w:val="105"/>
        </w:rPr>
        <w:t>fluid;</w:t>
      </w:r>
      <w:r>
        <w:rPr>
          <w:color w:val="231F20"/>
          <w:spacing w:val="-8"/>
          <w:w w:val="105"/>
        </w:rPr>
        <w:t> </w:t>
      </w:r>
      <w:r>
        <w:rPr>
          <w:color w:val="231F20"/>
          <w:spacing w:val="-6"/>
          <w:w w:val="105"/>
        </w:rPr>
        <w:t>the </w:t>
      </w:r>
      <w:r>
        <w:rPr>
          <w:color w:val="231F20"/>
          <w:w w:val="105"/>
        </w:rPr>
        <w:t>tubular fluid becomes very acidic only in the </w:t>
      </w:r>
      <w:r>
        <w:rPr>
          <w:color w:val="231F20"/>
          <w:spacing w:val="-3"/>
          <w:w w:val="105"/>
        </w:rPr>
        <w:t>collecting </w:t>
      </w:r>
      <w:r>
        <w:rPr>
          <w:color w:val="231F20"/>
          <w:w w:val="105"/>
        </w:rPr>
        <w:t>tubules and collecting</w:t>
      </w:r>
      <w:r>
        <w:rPr>
          <w:color w:val="231F20"/>
          <w:spacing w:val="7"/>
          <w:w w:val="105"/>
        </w:rPr>
        <w:t> </w:t>
      </w:r>
      <w:r>
        <w:rPr>
          <w:color w:val="231F20"/>
          <w:w w:val="105"/>
        </w:rPr>
        <w:t>ducts.</w:t>
      </w:r>
    </w:p>
    <w:p>
      <w:pPr>
        <w:pStyle w:val="BodyText"/>
        <w:spacing w:line="249" w:lineRule="auto" w:before="115"/>
        <w:ind w:left="319" w:right="1079"/>
        <w:jc w:val="both"/>
      </w:pPr>
      <w:r>
        <w:rPr/>
        <w:br w:type="column"/>
      </w:r>
      <w:r>
        <w:rPr>
          <w:color w:val="231F20"/>
        </w:rPr>
        <w:t>fluid and is taken up into the peritubular capillary blood. The transport of HCO</w:t>
      </w:r>
      <w:r>
        <w:rPr>
          <w:color w:val="231F20"/>
          <w:vertAlign w:val="subscript"/>
        </w:rPr>
        <w:t>3</w:t>
      </w:r>
      <w:r>
        <w:rPr>
          <w:color w:val="231F20"/>
          <w:vertAlign w:val="baseline"/>
        </w:rPr>
        <w:t> across the  basolateral  </w:t>
      </w:r>
      <w:r>
        <w:rPr>
          <w:color w:val="231F20"/>
          <w:spacing w:val="-7"/>
          <w:vertAlign w:val="baseline"/>
        </w:rPr>
        <w:t>mem-</w:t>
      </w:r>
      <w:r>
        <w:rPr>
          <w:color w:val="231F20"/>
          <w:spacing w:val="36"/>
          <w:vertAlign w:val="baseline"/>
        </w:rPr>
        <w:t> </w:t>
      </w:r>
      <w:r>
        <w:rPr>
          <w:color w:val="231F20"/>
          <w:vertAlign w:val="baseline"/>
        </w:rPr>
        <w:t>brane is facilitated by two mechanisms: (1) Na</w:t>
      </w:r>
      <w:r>
        <w:rPr>
          <w:rFonts w:ascii="Consolas" w:hAnsi="Consolas"/>
          <w:color w:val="231F20"/>
          <w:position w:val="8"/>
          <w:sz w:val="12"/>
          <w:vertAlign w:val="baseline"/>
        </w:rPr>
        <w:t>+</w:t>
      </w:r>
      <w:r>
        <w:rPr>
          <w:color w:val="231F20"/>
          <w:vertAlign w:val="baseline"/>
        </w:rPr>
        <w:t>-HCO </w:t>
      </w:r>
      <w:r>
        <w:rPr>
          <w:rFonts w:ascii="Consolas" w:hAnsi="Consolas"/>
          <w:color w:val="231F20"/>
          <w:position w:val="8"/>
          <w:sz w:val="12"/>
          <w:vertAlign w:val="baseline"/>
        </w:rPr>
        <w:t>− </w:t>
      </w:r>
      <w:r>
        <w:rPr>
          <w:color w:val="231F20"/>
          <w:vertAlign w:val="baseline"/>
        </w:rPr>
        <w:t>co-transport in the proximal tubules and (2) Cl</w:t>
      </w:r>
      <w:r>
        <w:rPr>
          <w:rFonts w:ascii="Consolas" w:hAnsi="Consolas"/>
          <w:color w:val="231F20"/>
          <w:position w:val="8"/>
          <w:sz w:val="12"/>
          <w:vertAlign w:val="baseline"/>
        </w:rPr>
        <w:t>−</w:t>
      </w:r>
      <w:r>
        <w:rPr>
          <w:color w:val="231F20"/>
          <w:vertAlign w:val="baseline"/>
        </w:rPr>
        <w:t>-HCO </w:t>
      </w:r>
      <w:r>
        <w:rPr>
          <w:rFonts w:ascii="Consolas" w:hAnsi="Consolas"/>
          <w:color w:val="231F20"/>
          <w:spacing w:val="-11"/>
          <w:position w:val="8"/>
          <w:sz w:val="12"/>
          <w:vertAlign w:val="baseline"/>
        </w:rPr>
        <w:t>− </w:t>
      </w:r>
      <w:r>
        <w:rPr>
          <w:color w:val="231F20"/>
          <w:vertAlign w:val="baseline"/>
        </w:rPr>
        <w:t>exchange in the late segments of the proximal tubule, the thick ascending loop of Henle, and the collecting </w:t>
      </w:r>
      <w:r>
        <w:rPr>
          <w:color w:val="231F20"/>
          <w:spacing w:val="-3"/>
          <w:vertAlign w:val="baseline"/>
        </w:rPr>
        <w:t>tubules </w:t>
      </w:r>
      <w:r>
        <w:rPr>
          <w:color w:val="231F20"/>
          <w:vertAlign w:val="baseline"/>
        </w:rPr>
        <w:t>and</w:t>
      </w:r>
      <w:r>
        <w:rPr>
          <w:color w:val="231F20"/>
          <w:spacing w:val="6"/>
          <w:vertAlign w:val="baseline"/>
        </w:rPr>
        <w:t> </w:t>
      </w:r>
      <w:r>
        <w:rPr>
          <w:color w:val="231F20"/>
          <w:vertAlign w:val="baseline"/>
        </w:rPr>
        <w:t>ducts.</w:t>
      </w:r>
    </w:p>
    <w:p>
      <w:pPr>
        <w:spacing w:line="247" w:lineRule="auto" w:before="0"/>
        <w:ind w:left="319" w:right="1077" w:firstLine="239"/>
        <w:jc w:val="both"/>
        <w:rPr>
          <w:sz w:val="20"/>
        </w:rPr>
      </w:pPr>
      <w:r>
        <w:rPr/>
        <w:pict>
          <v:rect style="position:absolute;margin-left:576pt;margin-top:56.169556pt;width:36pt;height:24pt;mso-position-horizontal-relative:page;mso-position-vertical-relative:paragraph;z-index:252904448" filled="true" fillcolor="#e8dac8" stroked="false">
            <v:fill type="solid"/>
            <w10:wrap type="none"/>
          </v:rect>
        </w:pict>
      </w:r>
      <w:r>
        <w:rPr/>
        <w:pict>
          <v:shape style="position:absolute;margin-left:578.900024pt;margin-top:-20.173143pt;width:15.9pt;height:53.35pt;mso-position-horizontal-relative:page;mso-position-vertical-relative:paragraph;z-index:252905472"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551.754211pt;margin-top:-54.554443pt;width:3pt;height:8.7pt;mso-position-horizontal-relative:page;mso-position-vertical-relative:paragraph;z-index:-27249868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51.754211pt;margin-top:-42.554443pt;width:3pt;height:8.7pt;mso-position-horizontal-relative:page;mso-position-vertical-relative:paragraph;z-index:-27249766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76.854401pt;margin-top:17.445555pt;width:3pt;height:8.7pt;mso-position-horizontal-relative:page;mso-position-vertical-relative:paragraph;z-index:-272496640"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359.229401pt;margin-top:41.445557pt;width:3pt;height:8.7pt;mso-position-horizontal-relative:page;mso-position-vertical-relative:paragraph;z-index:-27247616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30.864014pt;margin-top:41.445557pt;width:3pt;height:8.7pt;mso-position-horizontal-relative:page;mso-position-vertical-relative:paragraph;z-index:-27247513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i/>
          <w:color w:val="231F20"/>
          <w:sz w:val="20"/>
        </w:rPr>
        <w:t>Thus, each time a H</w:t>
      </w:r>
      <w:r>
        <w:rPr>
          <w:rFonts w:ascii="Consolas" w:hAnsi="Consolas"/>
          <w:color w:val="231F20"/>
          <w:position w:val="8"/>
          <w:sz w:val="12"/>
        </w:rPr>
        <w:t>+ </w:t>
      </w:r>
      <w:r>
        <w:rPr>
          <w:i/>
          <w:color w:val="231F20"/>
          <w:sz w:val="20"/>
        </w:rPr>
        <w:t>is formed in the tubular epithelial </w:t>
      </w:r>
      <w:r>
        <w:rPr>
          <w:i/>
          <w:color w:val="231F20"/>
          <w:sz w:val="20"/>
        </w:rPr>
        <w:t>cells, a HCO </w:t>
      </w:r>
      <w:r>
        <w:rPr>
          <w:rFonts w:ascii="Consolas" w:hAnsi="Consolas"/>
          <w:color w:val="231F20"/>
          <w:position w:val="8"/>
          <w:sz w:val="12"/>
        </w:rPr>
        <w:t>− </w:t>
      </w:r>
      <w:r>
        <w:rPr>
          <w:i/>
          <w:color w:val="231F20"/>
          <w:sz w:val="20"/>
        </w:rPr>
        <w:t>is also formed and released back into the </w:t>
      </w:r>
      <w:r>
        <w:rPr>
          <w:i/>
          <w:color w:val="231F20"/>
          <w:sz w:val="20"/>
        </w:rPr>
        <w:t>blood. </w:t>
      </w:r>
      <w:r>
        <w:rPr>
          <w:color w:val="231F20"/>
          <w:sz w:val="20"/>
        </w:rPr>
        <w:t>The net effect of these reactions is “reabsorption” of HCO </w:t>
      </w:r>
      <w:r>
        <w:rPr>
          <w:rFonts w:ascii="Consolas" w:hAnsi="Consolas"/>
          <w:color w:val="231F20"/>
          <w:position w:val="8"/>
          <w:sz w:val="12"/>
        </w:rPr>
        <w:t>− </w:t>
      </w:r>
      <w:r>
        <w:rPr>
          <w:color w:val="231F20"/>
          <w:sz w:val="20"/>
        </w:rPr>
        <w:t>from the tubules, although the HCO </w:t>
      </w:r>
      <w:r>
        <w:rPr>
          <w:rFonts w:ascii="Consolas" w:hAnsi="Consolas"/>
          <w:color w:val="231F20"/>
          <w:position w:val="8"/>
          <w:sz w:val="12"/>
        </w:rPr>
        <w:t>− </w:t>
      </w:r>
      <w:r>
        <w:rPr>
          <w:color w:val="231F20"/>
          <w:sz w:val="20"/>
        </w:rPr>
        <w:t>that</w:t>
      </w:r>
    </w:p>
    <w:p>
      <w:pPr>
        <w:spacing w:after="0" w:line="247" w:lineRule="auto"/>
        <w:jc w:val="both"/>
        <w:rPr>
          <w:sz w:val="20"/>
        </w:rPr>
        <w:sectPr>
          <w:type w:val="continuous"/>
          <w:pgSz w:w="12240" w:h="15660"/>
          <w:pgMar w:top="0" w:bottom="760" w:left="0" w:right="0"/>
          <w:cols w:num="2" w:equalWidth="0">
            <w:col w:w="6121" w:space="40"/>
            <w:col w:w="6079"/>
          </w:cols>
        </w:sectPr>
      </w:pPr>
    </w:p>
    <w:p>
      <w:pPr>
        <w:pStyle w:val="BodyText"/>
        <w:spacing w:line="249" w:lineRule="auto"/>
        <w:ind w:left="1439" w:firstLine="240"/>
        <w:jc w:val="both"/>
      </w:pPr>
      <w:r>
        <w:rPr/>
        <w:pict>
          <v:shape style="position:absolute;margin-left:135.292603pt;margin-top:17.445555pt;width:3pt;height:8.7pt;mso-position-horizontal-relative:page;mso-position-vertical-relative:paragraph;z-index:-27249561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46.459595pt;margin-top:29.445555pt;width:3pt;height:8.7pt;mso-position-horizontal-relative:page;mso-position-vertical-relative:paragraph;z-index:-27249459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20.486206pt;margin-top:41.445557pt;width:3pt;height:8.7pt;mso-position-horizontal-relative:page;mso-position-vertical-relative:paragraph;z-index:-27249356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hyperlink w:history="true" w:anchor="_bookmark106">
        <w:r>
          <w:rPr>
            <w:b/>
            <w:color w:val="0080AC"/>
            <w:w w:val="105"/>
          </w:rPr>
          <w:t>Figure 31-5</w:t>
        </w:r>
      </w:hyperlink>
      <w:r>
        <w:rPr>
          <w:b/>
          <w:color w:val="0080AC"/>
          <w:w w:val="105"/>
        </w:rPr>
        <w:t> </w:t>
      </w:r>
      <w:r>
        <w:rPr>
          <w:color w:val="231F20"/>
          <w:w w:val="105"/>
        </w:rPr>
        <w:t>shows how the process of H</w:t>
      </w:r>
      <w:r>
        <w:rPr>
          <w:rFonts w:ascii="Consolas" w:hAnsi="Consolas"/>
          <w:color w:val="231F20"/>
          <w:w w:val="105"/>
          <w:position w:val="8"/>
          <w:sz w:val="12"/>
        </w:rPr>
        <w:t>+ </w:t>
      </w:r>
      <w:r>
        <w:rPr>
          <w:color w:val="231F20"/>
          <w:w w:val="105"/>
        </w:rPr>
        <w:t>secretion achieves HCO </w:t>
      </w:r>
      <w:r>
        <w:rPr>
          <w:rFonts w:ascii="Consolas" w:hAnsi="Consolas"/>
          <w:color w:val="231F20"/>
          <w:w w:val="105"/>
          <w:position w:val="8"/>
          <w:sz w:val="12"/>
        </w:rPr>
        <w:t>− </w:t>
      </w:r>
      <w:r>
        <w:rPr>
          <w:color w:val="231F20"/>
          <w:w w:val="105"/>
        </w:rPr>
        <w:t>reabsorption. The secretory process begins when CO</w:t>
      </w:r>
      <w:r>
        <w:rPr>
          <w:color w:val="231F20"/>
          <w:w w:val="105"/>
          <w:vertAlign w:val="subscript"/>
        </w:rPr>
        <w:t>2</w:t>
      </w:r>
      <w:r>
        <w:rPr>
          <w:color w:val="231F20"/>
          <w:w w:val="105"/>
          <w:vertAlign w:val="baseline"/>
        </w:rPr>
        <w:t> either diffuses into the tubular cells</w:t>
      </w:r>
      <w:r>
        <w:rPr>
          <w:color w:val="231F20"/>
          <w:spacing w:val="-26"/>
          <w:w w:val="105"/>
          <w:vertAlign w:val="baseline"/>
        </w:rPr>
        <w:t> </w:t>
      </w:r>
      <w:r>
        <w:rPr>
          <w:color w:val="231F20"/>
          <w:spacing w:val="-13"/>
          <w:w w:val="105"/>
          <w:vertAlign w:val="baseline"/>
        </w:rPr>
        <w:t>or </w:t>
      </w:r>
      <w:r>
        <w:rPr>
          <w:color w:val="231F20"/>
          <w:w w:val="105"/>
          <w:vertAlign w:val="baseline"/>
        </w:rPr>
        <w:t>is</w:t>
      </w:r>
      <w:r>
        <w:rPr>
          <w:color w:val="231F20"/>
          <w:spacing w:val="11"/>
          <w:w w:val="105"/>
          <w:vertAlign w:val="baseline"/>
        </w:rPr>
        <w:t> </w:t>
      </w:r>
      <w:r>
        <w:rPr>
          <w:color w:val="231F20"/>
          <w:w w:val="105"/>
          <w:vertAlign w:val="baseline"/>
        </w:rPr>
        <w:t>formed</w:t>
      </w:r>
      <w:r>
        <w:rPr>
          <w:color w:val="231F20"/>
          <w:spacing w:val="12"/>
          <w:w w:val="105"/>
          <w:vertAlign w:val="baseline"/>
        </w:rPr>
        <w:t> </w:t>
      </w:r>
      <w:r>
        <w:rPr>
          <w:color w:val="231F20"/>
          <w:w w:val="105"/>
          <w:vertAlign w:val="baseline"/>
        </w:rPr>
        <w:t>by</w:t>
      </w:r>
      <w:r>
        <w:rPr>
          <w:color w:val="231F20"/>
          <w:spacing w:val="11"/>
          <w:w w:val="105"/>
          <w:vertAlign w:val="baseline"/>
        </w:rPr>
        <w:t> </w:t>
      </w:r>
      <w:r>
        <w:rPr>
          <w:color w:val="231F20"/>
          <w:w w:val="105"/>
          <w:vertAlign w:val="baseline"/>
        </w:rPr>
        <w:t>metabolism</w:t>
      </w:r>
      <w:r>
        <w:rPr>
          <w:color w:val="231F20"/>
          <w:spacing w:val="12"/>
          <w:w w:val="105"/>
          <w:vertAlign w:val="baseline"/>
        </w:rPr>
        <w:t> </w:t>
      </w:r>
      <w:r>
        <w:rPr>
          <w:color w:val="231F20"/>
          <w:w w:val="105"/>
          <w:vertAlign w:val="baseline"/>
        </w:rPr>
        <w:t>in</w:t>
      </w:r>
      <w:r>
        <w:rPr>
          <w:color w:val="231F20"/>
          <w:spacing w:val="12"/>
          <w:w w:val="105"/>
          <w:vertAlign w:val="baseline"/>
        </w:rPr>
        <w:t> </w:t>
      </w:r>
      <w:r>
        <w:rPr>
          <w:color w:val="231F20"/>
          <w:w w:val="105"/>
          <w:vertAlign w:val="baseline"/>
        </w:rPr>
        <w:t>the</w:t>
      </w:r>
      <w:r>
        <w:rPr>
          <w:color w:val="231F20"/>
          <w:spacing w:val="11"/>
          <w:w w:val="105"/>
          <w:vertAlign w:val="baseline"/>
        </w:rPr>
        <w:t> </w:t>
      </w:r>
      <w:r>
        <w:rPr>
          <w:color w:val="231F20"/>
          <w:w w:val="105"/>
          <w:vertAlign w:val="baseline"/>
        </w:rPr>
        <w:t>tubular</w:t>
      </w:r>
      <w:r>
        <w:rPr>
          <w:color w:val="231F20"/>
          <w:spacing w:val="12"/>
          <w:w w:val="105"/>
          <w:vertAlign w:val="baseline"/>
        </w:rPr>
        <w:t> </w:t>
      </w:r>
      <w:r>
        <w:rPr>
          <w:color w:val="231F20"/>
          <w:w w:val="105"/>
          <w:vertAlign w:val="baseline"/>
        </w:rPr>
        <w:t>epithelial</w:t>
      </w:r>
      <w:r>
        <w:rPr>
          <w:color w:val="231F20"/>
          <w:spacing w:val="12"/>
          <w:w w:val="105"/>
          <w:vertAlign w:val="baseline"/>
        </w:rPr>
        <w:t> </w:t>
      </w:r>
      <w:r>
        <w:rPr>
          <w:color w:val="231F20"/>
          <w:spacing w:val="-3"/>
          <w:w w:val="105"/>
          <w:vertAlign w:val="baseline"/>
        </w:rPr>
        <w:t>cells.</w:t>
      </w:r>
    </w:p>
    <w:p>
      <w:pPr>
        <w:pStyle w:val="BodyText"/>
        <w:spacing w:line="247" w:lineRule="auto"/>
        <w:ind w:left="319" w:right="1078"/>
        <w:jc w:val="both"/>
      </w:pPr>
      <w:r>
        <w:rPr/>
        <w:br w:type="column"/>
      </w:r>
      <w:r>
        <w:rPr>
          <w:color w:val="231F20"/>
          <w:w w:val="105"/>
        </w:rPr>
        <w:t>actually enters the extracellular fluid is not the same as that</w:t>
      </w:r>
      <w:r>
        <w:rPr>
          <w:color w:val="231F20"/>
          <w:spacing w:val="-9"/>
          <w:w w:val="105"/>
        </w:rPr>
        <w:t> </w:t>
      </w:r>
      <w:r>
        <w:rPr>
          <w:color w:val="231F20"/>
          <w:w w:val="105"/>
        </w:rPr>
        <w:t>filtered</w:t>
      </w:r>
      <w:r>
        <w:rPr>
          <w:color w:val="231F20"/>
          <w:spacing w:val="-9"/>
          <w:w w:val="105"/>
        </w:rPr>
        <w:t> </w:t>
      </w:r>
      <w:r>
        <w:rPr>
          <w:color w:val="231F20"/>
          <w:w w:val="105"/>
        </w:rPr>
        <w:t>into</w:t>
      </w:r>
      <w:r>
        <w:rPr>
          <w:color w:val="231F20"/>
          <w:spacing w:val="-8"/>
          <w:w w:val="105"/>
        </w:rPr>
        <w:t> </w:t>
      </w:r>
      <w:r>
        <w:rPr>
          <w:color w:val="231F20"/>
          <w:w w:val="105"/>
        </w:rPr>
        <w:t>the</w:t>
      </w:r>
      <w:r>
        <w:rPr>
          <w:color w:val="231F20"/>
          <w:spacing w:val="-9"/>
          <w:w w:val="105"/>
        </w:rPr>
        <w:t> </w:t>
      </w:r>
      <w:r>
        <w:rPr>
          <w:color w:val="231F20"/>
          <w:w w:val="105"/>
        </w:rPr>
        <w:t>tubules.</w:t>
      </w:r>
      <w:r>
        <w:rPr>
          <w:color w:val="231F20"/>
          <w:spacing w:val="-9"/>
          <w:w w:val="105"/>
        </w:rPr>
        <w:t> </w:t>
      </w:r>
      <w:r>
        <w:rPr>
          <w:color w:val="231F20"/>
          <w:w w:val="105"/>
        </w:rPr>
        <w:t>The</w:t>
      </w:r>
      <w:r>
        <w:rPr>
          <w:color w:val="231F20"/>
          <w:spacing w:val="-8"/>
          <w:w w:val="105"/>
        </w:rPr>
        <w:t> </w:t>
      </w:r>
      <w:r>
        <w:rPr>
          <w:color w:val="231F20"/>
          <w:w w:val="105"/>
        </w:rPr>
        <w:t>reabsorption</w:t>
      </w:r>
      <w:r>
        <w:rPr>
          <w:color w:val="231F20"/>
          <w:spacing w:val="-9"/>
          <w:w w:val="105"/>
        </w:rPr>
        <w:t> </w:t>
      </w:r>
      <w:r>
        <w:rPr>
          <w:color w:val="231F20"/>
          <w:w w:val="105"/>
        </w:rPr>
        <w:t>of</w:t>
      </w:r>
      <w:r>
        <w:rPr>
          <w:color w:val="231F20"/>
          <w:spacing w:val="-9"/>
          <w:w w:val="105"/>
        </w:rPr>
        <w:t> </w:t>
      </w:r>
      <w:r>
        <w:rPr>
          <w:color w:val="231F20"/>
          <w:w w:val="105"/>
        </w:rPr>
        <w:t>filtered HCO</w:t>
      </w:r>
      <w:r>
        <w:rPr>
          <w:color w:val="231F20"/>
          <w:spacing w:val="3"/>
          <w:w w:val="105"/>
        </w:rPr>
        <w:t> </w:t>
      </w:r>
      <w:r>
        <w:rPr>
          <w:rFonts w:ascii="Consolas" w:hAnsi="Consolas"/>
          <w:color w:val="231F20"/>
          <w:w w:val="105"/>
          <w:position w:val="8"/>
          <w:sz w:val="12"/>
        </w:rPr>
        <w:t>−</w:t>
      </w:r>
      <w:r>
        <w:rPr>
          <w:rFonts w:ascii="Consolas" w:hAnsi="Consolas"/>
          <w:color w:val="231F20"/>
          <w:spacing w:val="-20"/>
          <w:w w:val="105"/>
          <w:position w:val="8"/>
          <w:sz w:val="12"/>
        </w:rPr>
        <w:t> </w:t>
      </w:r>
      <w:r>
        <w:rPr>
          <w:color w:val="231F20"/>
          <w:w w:val="105"/>
        </w:rPr>
        <w:t>does</w:t>
      </w:r>
      <w:r>
        <w:rPr>
          <w:color w:val="231F20"/>
          <w:spacing w:val="-4"/>
          <w:w w:val="105"/>
        </w:rPr>
        <w:t> </w:t>
      </w:r>
      <w:r>
        <w:rPr>
          <w:color w:val="231F20"/>
          <w:w w:val="105"/>
        </w:rPr>
        <w:t>not</w:t>
      </w:r>
      <w:r>
        <w:rPr>
          <w:color w:val="231F20"/>
          <w:spacing w:val="-4"/>
          <w:w w:val="105"/>
        </w:rPr>
        <w:t> </w:t>
      </w:r>
      <w:r>
        <w:rPr>
          <w:color w:val="231F20"/>
          <w:w w:val="105"/>
        </w:rPr>
        <w:t>result</w:t>
      </w:r>
      <w:r>
        <w:rPr>
          <w:color w:val="231F20"/>
          <w:spacing w:val="-4"/>
          <w:w w:val="105"/>
        </w:rPr>
        <w:t> </w:t>
      </w:r>
      <w:r>
        <w:rPr>
          <w:color w:val="231F20"/>
          <w:w w:val="105"/>
        </w:rPr>
        <w:t>in</w:t>
      </w:r>
      <w:r>
        <w:rPr>
          <w:color w:val="231F20"/>
          <w:spacing w:val="-3"/>
          <w:w w:val="105"/>
        </w:rPr>
        <w:t> </w:t>
      </w:r>
      <w:r>
        <w:rPr>
          <w:color w:val="231F20"/>
          <w:w w:val="105"/>
        </w:rPr>
        <w:t>net</w:t>
      </w:r>
      <w:r>
        <w:rPr>
          <w:color w:val="231F20"/>
          <w:spacing w:val="-4"/>
          <w:w w:val="105"/>
        </w:rPr>
        <w:t> </w:t>
      </w:r>
      <w:r>
        <w:rPr>
          <w:color w:val="231F20"/>
          <w:w w:val="105"/>
        </w:rPr>
        <w:t>secretion</w:t>
      </w:r>
      <w:r>
        <w:rPr>
          <w:color w:val="231F20"/>
          <w:spacing w:val="-4"/>
          <w:w w:val="105"/>
        </w:rPr>
        <w:t> </w:t>
      </w:r>
      <w:r>
        <w:rPr>
          <w:color w:val="231F20"/>
          <w:w w:val="105"/>
        </w:rPr>
        <w:t>of</w:t>
      </w:r>
      <w:r>
        <w:rPr>
          <w:color w:val="231F20"/>
          <w:spacing w:val="-4"/>
          <w:w w:val="105"/>
        </w:rPr>
        <w:t> </w:t>
      </w:r>
      <w:r>
        <w:rPr>
          <w:color w:val="231F20"/>
          <w:w w:val="105"/>
        </w:rPr>
        <w:t>H</w:t>
      </w:r>
      <w:r>
        <w:rPr>
          <w:rFonts w:ascii="Consolas" w:hAnsi="Consolas"/>
          <w:color w:val="231F20"/>
          <w:w w:val="105"/>
          <w:position w:val="8"/>
          <w:sz w:val="12"/>
        </w:rPr>
        <w:t>+</w:t>
      </w:r>
      <w:r>
        <w:rPr>
          <w:rFonts w:ascii="Consolas" w:hAnsi="Consolas"/>
          <w:color w:val="231F20"/>
          <w:spacing w:val="-20"/>
          <w:w w:val="105"/>
          <w:position w:val="8"/>
          <w:sz w:val="12"/>
        </w:rPr>
        <w:t> </w:t>
      </w:r>
      <w:r>
        <w:rPr>
          <w:color w:val="231F20"/>
          <w:w w:val="105"/>
        </w:rPr>
        <w:t>because</w:t>
      </w:r>
      <w:r>
        <w:rPr>
          <w:color w:val="231F20"/>
          <w:spacing w:val="-4"/>
          <w:w w:val="105"/>
        </w:rPr>
        <w:t> </w:t>
      </w:r>
      <w:r>
        <w:rPr>
          <w:color w:val="231F20"/>
          <w:w w:val="105"/>
        </w:rPr>
        <w:t>the secreted H</w:t>
      </w:r>
      <w:r>
        <w:rPr>
          <w:rFonts w:ascii="Consolas" w:hAnsi="Consolas"/>
          <w:color w:val="231F20"/>
          <w:w w:val="105"/>
          <w:position w:val="8"/>
          <w:sz w:val="12"/>
        </w:rPr>
        <w:t>+ </w:t>
      </w:r>
      <w:r>
        <w:rPr>
          <w:color w:val="231F20"/>
          <w:w w:val="105"/>
        </w:rPr>
        <w:t>combines with the filtered HCO </w:t>
      </w:r>
      <w:r>
        <w:rPr>
          <w:rFonts w:ascii="Consolas" w:hAnsi="Consolas"/>
          <w:color w:val="231F20"/>
          <w:w w:val="105"/>
          <w:position w:val="8"/>
          <w:sz w:val="12"/>
        </w:rPr>
        <w:t>− </w:t>
      </w:r>
      <w:r>
        <w:rPr>
          <w:color w:val="231F20"/>
          <w:w w:val="105"/>
        </w:rPr>
        <w:t>and</w:t>
      </w:r>
      <w:r>
        <w:rPr>
          <w:color w:val="231F20"/>
          <w:spacing w:val="-3"/>
          <w:w w:val="105"/>
        </w:rPr>
        <w:t> </w:t>
      </w:r>
      <w:r>
        <w:rPr>
          <w:color w:val="231F20"/>
          <w:w w:val="105"/>
        </w:rPr>
        <w:t>is</w:t>
      </w:r>
    </w:p>
    <w:p>
      <w:pPr>
        <w:spacing w:after="0" w:line="247" w:lineRule="auto"/>
        <w:jc w:val="both"/>
        <w:sectPr>
          <w:type w:val="continuous"/>
          <w:pgSz w:w="12240" w:h="15660"/>
          <w:pgMar w:top="0" w:bottom="760" w:left="0" w:right="0"/>
          <w:cols w:num="2" w:equalWidth="0">
            <w:col w:w="6121" w:space="40"/>
            <w:col w:w="6079"/>
          </w:cols>
        </w:sectPr>
      </w:pPr>
    </w:p>
    <w:p>
      <w:pPr>
        <w:pStyle w:val="BodyText"/>
        <w:spacing w:line="249" w:lineRule="auto"/>
        <w:ind w:left="1439"/>
        <w:jc w:val="both"/>
      </w:pPr>
      <w:r>
        <w:rPr/>
        <w:pict>
          <v:shape style="position:absolute;margin-left:132.430603pt;margin-top:29.261961pt;width:3pt;height:8.7pt;mso-position-horizontal-relative:page;mso-position-vertical-relative:paragraph;z-index:-27249254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CO</w:t>
      </w:r>
      <w:r>
        <w:rPr>
          <w:color w:val="231F20"/>
          <w:w w:val="105"/>
          <w:vertAlign w:val="subscript"/>
        </w:rPr>
        <w:t>2</w:t>
      </w:r>
      <w:r>
        <w:rPr>
          <w:color w:val="231F20"/>
          <w:w w:val="105"/>
          <w:vertAlign w:val="baseline"/>
        </w:rPr>
        <w:t>, under the influence of the enzyme </w:t>
      </w:r>
      <w:r>
        <w:rPr>
          <w:i/>
          <w:color w:val="231F20"/>
          <w:w w:val="105"/>
          <w:vertAlign w:val="baseline"/>
        </w:rPr>
        <w:t>carbonic </w:t>
      </w:r>
      <w:r>
        <w:rPr>
          <w:i/>
          <w:color w:val="231F20"/>
          <w:spacing w:val="-6"/>
          <w:w w:val="105"/>
          <w:vertAlign w:val="baseline"/>
        </w:rPr>
        <w:t>anhy- </w:t>
      </w:r>
      <w:r>
        <w:rPr>
          <w:i/>
          <w:color w:val="231F20"/>
          <w:w w:val="105"/>
          <w:vertAlign w:val="baseline"/>
        </w:rPr>
        <w:t>drase,</w:t>
      </w:r>
      <w:r>
        <w:rPr>
          <w:i/>
          <w:color w:val="231F20"/>
          <w:spacing w:val="-19"/>
          <w:w w:val="105"/>
          <w:vertAlign w:val="baseline"/>
        </w:rPr>
        <w:t> </w:t>
      </w:r>
      <w:r>
        <w:rPr>
          <w:color w:val="231F20"/>
          <w:w w:val="105"/>
          <w:vertAlign w:val="baseline"/>
        </w:rPr>
        <w:t>combines</w:t>
      </w:r>
      <w:r>
        <w:rPr>
          <w:color w:val="231F20"/>
          <w:spacing w:val="-18"/>
          <w:w w:val="105"/>
          <w:vertAlign w:val="baseline"/>
        </w:rPr>
        <w:t> </w:t>
      </w:r>
      <w:r>
        <w:rPr>
          <w:color w:val="231F20"/>
          <w:w w:val="105"/>
          <w:vertAlign w:val="baseline"/>
        </w:rPr>
        <w:t>with</w:t>
      </w:r>
      <w:r>
        <w:rPr>
          <w:color w:val="231F20"/>
          <w:spacing w:val="-18"/>
          <w:w w:val="105"/>
          <w:vertAlign w:val="baseline"/>
        </w:rPr>
        <w:t> </w:t>
      </w:r>
      <w:r>
        <w:rPr>
          <w:color w:val="231F20"/>
          <w:w w:val="105"/>
          <w:vertAlign w:val="baseline"/>
        </w:rPr>
        <w:t>H</w:t>
      </w:r>
      <w:r>
        <w:rPr>
          <w:color w:val="231F20"/>
          <w:w w:val="105"/>
          <w:vertAlign w:val="subscript"/>
        </w:rPr>
        <w:t>2</w:t>
      </w:r>
      <w:r>
        <w:rPr>
          <w:color w:val="231F20"/>
          <w:w w:val="105"/>
          <w:vertAlign w:val="baseline"/>
        </w:rPr>
        <w:t>O</w:t>
      </w:r>
      <w:r>
        <w:rPr>
          <w:color w:val="231F20"/>
          <w:spacing w:val="-18"/>
          <w:w w:val="105"/>
          <w:vertAlign w:val="baseline"/>
        </w:rPr>
        <w:t> </w:t>
      </w:r>
      <w:r>
        <w:rPr>
          <w:color w:val="231F20"/>
          <w:w w:val="105"/>
          <w:vertAlign w:val="baseline"/>
        </w:rPr>
        <w:t>to</w:t>
      </w:r>
      <w:r>
        <w:rPr>
          <w:color w:val="231F20"/>
          <w:spacing w:val="-18"/>
          <w:w w:val="105"/>
          <w:vertAlign w:val="baseline"/>
        </w:rPr>
        <w:t> </w:t>
      </w:r>
      <w:r>
        <w:rPr>
          <w:color w:val="231F20"/>
          <w:w w:val="105"/>
          <w:vertAlign w:val="baseline"/>
        </w:rPr>
        <w:t>form</w:t>
      </w:r>
      <w:r>
        <w:rPr>
          <w:color w:val="231F20"/>
          <w:spacing w:val="-18"/>
          <w:w w:val="105"/>
          <w:vertAlign w:val="baseline"/>
        </w:rPr>
        <w:t> </w:t>
      </w:r>
      <w:r>
        <w:rPr>
          <w:color w:val="231F20"/>
          <w:w w:val="105"/>
          <w:vertAlign w:val="baseline"/>
        </w:rPr>
        <w:t>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r>
        <w:rPr>
          <w:color w:val="231F20"/>
          <w:spacing w:val="-18"/>
          <w:w w:val="105"/>
          <w:vertAlign w:val="baseline"/>
        </w:rPr>
        <w:t> </w:t>
      </w:r>
      <w:r>
        <w:rPr>
          <w:color w:val="231F20"/>
          <w:w w:val="105"/>
          <w:vertAlign w:val="baseline"/>
        </w:rPr>
        <w:t>which</w:t>
      </w:r>
      <w:r>
        <w:rPr>
          <w:color w:val="231F20"/>
          <w:spacing w:val="-19"/>
          <w:w w:val="105"/>
          <w:vertAlign w:val="baseline"/>
        </w:rPr>
        <w:t> </w:t>
      </w:r>
      <w:r>
        <w:rPr>
          <w:color w:val="231F20"/>
          <w:spacing w:val="-6"/>
          <w:w w:val="105"/>
          <w:vertAlign w:val="baseline"/>
        </w:rPr>
        <w:t>dissoci- </w:t>
      </w:r>
      <w:r>
        <w:rPr>
          <w:color w:val="231F20"/>
          <w:w w:val="105"/>
          <w:vertAlign w:val="baseline"/>
        </w:rPr>
        <w:t>ates into HCO </w:t>
      </w:r>
      <w:r>
        <w:rPr>
          <w:rFonts w:ascii="Consolas" w:hAnsi="Consolas"/>
          <w:color w:val="231F20"/>
          <w:w w:val="105"/>
          <w:position w:val="8"/>
          <w:sz w:val="12"/>
          <w:vertAlign w:val="baseline"/>
        </w:rPr>
        <w:t>− </w:t>
      </w:r>
      <w:r>
        <w:rPr>
          <w:color w:val="231F20"/>
          <w:w w:val="105"/>
          <w:vertAlign w:val="baseline"/>
        </w:rPr>
        <w:t>and </w:t>
      </w:r>
      <w:r>
        <w:rPr>
          <w:color w:val="231F20"/>
          <w:spacing w:val="-8"/>
          <w:w w:val="105"/>
          <w:vertAlign w:val="baseline"/>
        </w:rPr>
        <w:t>H</w:t>
      </w:r>
      <w:r>
        <w:rPr>
          <w:rFonts w:ascii="Consolas" w:hAnsi="Consolas"/>
          <w:color w:val="231F20"/>
          <w:spacing w:val="-8"/>
          <w:w w:val="105"/>
          <w:position w:val="8"/>
          <w:sz w:val="12"/>
          <w:vertAlign w:val="baseline"/>
        </w:rPr>
        <w:t>+</w:t>
      </w:r>
      <w:r>
        <w:rPr>
          <w:color w:val="231F20"/>
          <w:spacing w:val="-8"/>
          <w:w w:val="105"/>
          <w:vertAlign w:val="baseline"/>
        </w:rPr>
        <w:t>. </w:t>
      </w:r>
      <w:r>
        <w:rPr>
          <w:color w:val="231F20"/>
          <w:w w:val="105"/>
          <w:vertAlign w:val="baseline"/>
        </w:rPr>
        <w:t>The H</w:t>
      </w:r>
      <w:r>
        <w:rPr>
          <w:rFonts w:ascii="Consolas" w:hAnsi="Consolas"/>
          <w:color w:val="231F20"/>
          <w:w w:val="105"/>
          <w:position w:val="8"/>
          <w:sz w:val="12"/>
          <w:vertAlign w:val="baseline"/>
        </w:rPr>
        <w:t>+</w:t>
      </w:r>
      <w:r>
        <w:rPr>
          <w:rFonts w:ascii="Consolas" w:hAnsi="Consolas"/>
          <w:color w:val="231F20"/>
          <w:spacing w:val="-50"/>
          <w:w w:val="105"/>
          <w:position w:val="8"/>
          <w:sz w:val="12"/>
          <w:vertAlign w:val="baseline"/>
        </w:rPr>
        <w:t> </w:t>
      </w:r>
      <w:r>
        <w:rPr>
          <w:color w:val="231F20"/>
          <w:w w:val="105"/>
          <w:vertAlign w:val="baseline"/>
        </w:rPr>
        <w:t>is secreted from the cell into the tubular lumen by sodium-hydrogen </w:t>
      </w:r>
      <w:r>
        <w:rPr>
          <w:color w:val="231F20"/>
          <w:spacing w:val="-4"/>
          <w:w w:val="105"/>
          <w:vertAlign w:val="baseline"/>
        </w:rPr>
        <w:t>counter- </w:t>
      </w:r>
      <w:r>
        <w:rPr>
          <w:color w:val="231F20"/>
          <w:w w:val="105"/>
          <w:vertAlign w:val="baseline"/>
        </w:rPr>
        <w:t>transport.</w:t>
      </w:r>
      <w:r>
        <w:rPr>
          <w:color w:val="231F20"/>
          <w:spacing w:val="-17"/>
          <w:w w:val="105"/>
          <w:vertAlign w:val="baseline"/>
        </w:rPr>
        <w:t> </w:t>
      </w:r>
      <w:r>
        <w:rPr>
          <w:color w:val="231F20"/>
          <w:w w:val="105"/>
          <w:vertAlign w:val="baseline"/>
        </w:rPr>
        <w:t>That</w:t>
      </w:r>
      <w:r>
        <w:rPr>
          <w:color w:val="231F20"/>
          <w:spacing w:val="-17"/>
          <w:w w:val="105"/>
          <w:vertAlign w:val="baseline"/>
        </w:rPr>
        <w:t> </w:t>
      </w:r>
      <w:r>
        <w:rPr>
          <w:color w:val="231F20"/>
          <w:w w:val="105"/>
          <w:vertAlign w:val="baseline"/>
        </w:rPr>
        <w:t>is,</w:t>
      </w:r>
      <w:r>
        <w:rPr>
          <w:color w:val="231F20"/>
          <w:spacing w:val="-17"/>
          <w:w w:val="105"/>
          <w:vertAlign w:val="baseline"/>
        </w:rPr>
        <w:t> </w:t>
      </w:r>
      <w:r>
        <w:rPr>
          <w:color w:val="231F20"/>
          <w:w w:val="105"/>
          <w:vertAlign w:val="baseline"/>
        </w:rPr>
        <w:t>when</w:t>
      </w:r>
      <w:r>
        <w:rPr>
          <w:color w:val="231F20"/>
          <w:spacing w:val="-17"/>
          <w:w w:val="105"/>
          <w:vertAlign w:val="baseline"/>
        </w:rPr>
        <w:t> </w:t>
      </w:r>
      <w:r>
        <w:rPr>
          <w:color w:val="231F20"/>
          <w:w w:val="105"/>
          <w:vertAlign w:val="baseline"/>
        </w:rPr>
        <w:t>Na</w:t>
      </w:r>
      <w:r>
        <w:rPr>
          <w:rFonts w:ascii="Consolas" w:hAnsi="Consolas"/>
          <w:color w:val="231F20"/>
          <w:w w:val="105"/>
          <w:position w:val="8"/>
          <w:sz w:val="12"/>
          <w:vertAlign w:val="baseline"/>
        </w:rPr>
        <w:t>+</w:t>
      </w:r>
      <w:r>
        <w:rPr>
          <w:rFonts w:ascii="Consolas" w:hAnsi="Consolas"/>
          <w:color w:val="231F20"/>
          <w:spacing w:val="-34"/>
          <w:w w:val="105"/>
          <w:position w:val="8"/>
          <w:sz w:val="12"/>
          <w:vertAlign w:val="baseline"/>
        </w:rPr>
        <w:t> </w:t>
      </w:r>
      <w:r>
        <w:rPr>
          <w:color w:val="231F20"/>
          <w:w w:val="105"/>
          <w:vertAlign w:val="baseline"/>
        </w:rPr>
        <w:t>moves</w:t>
      </w:r>
      <w:r>
        <w:rPr>
          <w:color w:val="231F20"/>
          <w:spacing w:val="-17"/>
          <w:w w:val="105"/>
          <w:vertAlign w:val="baseline"/>
        </w:rPr>
        <w:t> </w:t>
      </w:r>
      <w:r>
        <w:rPr>
          <w:color w:val="231F20"/>
          <w:w w:val="105"/>
          <w:vertAlign w:val="baseline"/>
        </w:rPr>
        <w:t>from</w:t>
      </w:r>
      <w:r>
        <w:rPr>
          <w:color w:val="231F20"/>
          <w:spacing w:val="-17"/>
          <w:w w:val="105"/>
          <w:vertAlign w:val="baseline"/>
        </w:rPr>
        <w:t> </w:t>
      </w:r>
      <w:r>
        <w:rPr>
          <w:color w:val="231F20"/>
          <w:w w:val="105"/>
          <w:vertAlign w:val="baseline"/>
        </w:rPr>
        <w:t>the</w:t>
      </w:r>
      <w:r>
        <w:rPr>
          <w:color w:val="231F20"/>
          <w:spacing w:val="-17"/>
          <w:w w:val="105"/>
          <w:vertAlign w:val="baseline"/>
        </w:rPr>
        <w:t> </w:t>
      </w:r>
      <w:r>
        <w:rPr>
          <w:color w:val="231F20"/>
          <w:w w:val="105"/>
          <w:vertAlign w:val="baseline"/>
        </w:rPr>
        <w:t>lumen</w:t>
      </w:r>
      <w:r>
        <w:rPr>
          <w:color w:val="231F20"/>
          <w:spacing w:val="-17"/>
          <w:w w:val="105"/>
          <w:vertAlign w:val="baseline"/>
        </w:rPr>
        <w:t> </w:t>
      </w:r>
      <w:r>
        <w:rPr>
          <w:color w:val="231F20"/>
          <w:w w:val="105"/>
          <w:vertAlign w:val="baseline"/>
        </w:rPr>
        <w:t>of</w:t>
      </w:r>
      <w:r>
        <w:rPr>
          <w:color w:val="231F20"/>
          <w:spacing w:val="-17"/>
          <w:w w:val="105"/>
          <w:vertAlign w:val="baseline"/>
        </w:rPr>
        <w:t> </w:t>
      </w:r>
      <w:r>
        <w:rPr>
          <w:color w:val="231F20"/>
          <w:w w:val="105"/>
          <w:vertAlign w:val="baseline"/>
        </w:rPr>
        <w:t>the tubule to the interior of the cell, it first combines with </w:t>
      </w:r>
      <w:r>
        <w:rPr>
          <w:color w:val="231F20"/>
          <w:spacing w:val="-12"/>
          <w:w w:val="105"/>
          <w:vertAlign w:val="baseline"/>
        </w:rPr>
        <w:t>a </w:t>
      </w:r>
      <w:r>
        <w:rPr>
          <w:color w:val="231F20"/>
          <w:w w:val="105"/>
          <w:vertAlign w:val="baseline"/>
        </w:rPr>
        <w:t>carrier protein in the luminal border of the cell </w:t>
      </w:r>
      <w:r>
        <w:rPr>
          <w:color w:val="231F20"/>
          <w:spacing w:val="-4"/>
          <w:w w:val="105"/>
          <w:vertAlign w:val="baseline"/>
        </w:rPr>
        <w:t>mem- </w:t>
      </w:r>
      <w:r>
        <w:rPr>
          <w:color w:val="231F20"/>
          <w:w w:val="105"/>
          <w:vertAlign w:val="baseline"/>
        </w:rPr>
        <w:t>brane; at the same time, a H</w:t>
      </w:r>
      <w:r>
        <w:rPr>
          <w:rFonts w:ascii="Consolas" w:hAnsi="Consolas"/>
          <w:color w:val="231F20"/>
          <w:w w:val="105"/>
          <w:position w:val="8"/>
          <w:sz w:val="12"/>
          <w:vertAlign w:val="baseline"/>
        </w:rPr>
        <w:t>+ </w:t>
      </w:r>
      <w:r>
        <w:rPr>
          <w:color w:val="231F20"/>
          <w:w w:val="105"/>
          <w:vertAlign w:val="baseline"/>
        </w:rPr>
        <w:t>in the interior of the </w:t>
      </w:r>
      <w:r>
        <w:rPr>
          <w:color w:val="231F20"/>
          <w:spacing w:val="-4"/>
          <w:w w:val="105"/>
          <w:vertAlign w:val="baseline"/>
        </w:rPr>
        <w:t>cells </w:t>
      </w:r>
      <w:r>
        <w:rPr>
          <w:color w:val="231F20"/>
          <w:w w:val="105"/>
          <w:vertAlign w:val="baseline"/>
        </w:rPr>
        <w:t>combines with the carrier protein. The Na</w:t>
      </w:r>
      <w:r>
        <w:rPr>
          <w:rFonts w:ascii="Consolas" w:hAnsi="Consolas"/>
          <w:color w:val="231F20"/>
          <w:w w:val="105"/>
          <w:position w:val="8"/>
          <w:sz w:val="12"/>
          <w:vertAlign w:val="baseline"/>
        </w:rPr>
        <w:t>+</w:t>
      </w:r>
      <w:r>
        <w:rPr>
          <w:rFonts w:ascii="Consolas" w:hAnsi="Consolas"/>
          <w:color w:val="231F20"/>
          <w:spacing w:val="17"/>
          <w:w w:val="105"/>
          <w:position w:val="8"/>
          <w:sz w:val="12"/>
          <w:vertAlign w:val="baseline"/>
        </w:rPr>
        <w:t> </w:t>
      </w:r>
      <w:r>
        <w:rPr>
          <w:color w:val="231F20"/>
          <w:w w:val="105"/>
          <w:vertAlign w:val="baseline"/>
        </w:rPr>
        <w:t>moves into</w:t>
      </w:r>
    </w:p>
    <w:p>
      <w:pPr>
        <w:pStyle w:val="BodyText"/>
        <w:spacing w:line="225" w:lineRule="exact"/>
        <w:ind w:left="319"/>
        <w:jc w:val="both"/>
      </w:pPr>
      <w:r>
        <w:rPr/>
        <w:br w:type="column"/>
      </w:r>
      <w:r>
        <w:rPr>
          <w:color w:val="231F20"/>
          <w:w w:val="105"/>
        </w:rPr>
        <w:t>therefore not excreted.</w:t>
      </w:r>
    </w:p>
    <w:p>
      <w:pPr>
        <w:pStyle w:val="BodyText"/>
        <w:spacing w:line="247" w:lineRule="auto" w:before="250"/>
        <w:ind w:left="319" w:right="1077"/>
        <w:jc w:val="both"/>
      </w:pPr>
      <w:r>
        <w:rPr/>
        <w:pict>
          <v:shape style="position:absolute;margin-left:344.054199pt;margin-top:17.931461pt;width:3.2pt;height:6.6pt;mso-position-horizontal-relative:page;mso-position-vertical-relative:paragraph;z-index:-272491520" type="#_x0000_t202" filled="false" stroked="false">
            <v:textbox inset="0,0,0,0">
              <w:txbxContent>
                <w:p>
                  <w:pPr>
                    <w:spacing w:before="3"/>
                    <w:ind w:left="0" w:right="0" w:firstLine="0"/>
                    <w:jc w:val="left"/>
                    <w:rPr>
                      <w:rFonts w:ascii="Trebuchet MS"/>
                      <w:b/>
                      <w:sz w:val="11"/>
                    </w:rPr>
                  </w:pPr>
                  <w:r>
                    <w:rPr>
                      <w:rFonts w:ascii="Trebuchet MS"/>
                      <w:b/>
                      <w:color w:val="231F20"/>
                      <w:w w:val="98"/>
                      <w:sz w:val="11"/>
                    </w:rPr>
                    <w:t>3</w:t>
                  </w:r>
                </w:p>
              </w:txbxContent>
            </v:textbox>
            <w10:wrap type="none"/>
          </v:shape>
        </w:pict>
      </w:r>
      <w:r>
        <w:rPr/>
        <w:pict>
          <v:shape style="position:absolute;margin-left:551.754028pt;margin-top:41.761963pt;width:3pt;height:8.7pt;mso-position-horizontal-relative:page;mso-position-vertical-relative:paragraph;z-index:-27249049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01.11969pt;margin-top:89.761963pt;width:3pt;height:8.7pt;mso-position-horizontal-relative:page;mso-position-vertical-relative:paragraph;z-index:-2724894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rFonts w:ascii="Trebuchet MS" w:hAnsi="Trebuchet MS"/>
          <w:b/>
          <w:color w:val="231F20"/>
          <w:w w:val="105"/>
          <w:sz w:val="19"/>
        </w:rPr>
        <w:t>HCO</w:t>
      </w:r>
      <w:r>
        <w:rPr>
          <w:rFonts w:ascii="Trebuchet MS" w:hAnsi="Trebuchet MS"/>
          <w:b/>
          <w:color w:val="231F20"/>
          <w:spacing w:val="-16"/>
          <w:w w:val="105"/>
          <w:sz w:val="19"/>
        </w:rPr>
        <w:t> </w:t>
      </w:r>
      <w:r>
        <w:rPr>
          <w:rFonts w:ascii="Consolas" w:hAnsi="Consolas"/>
          <w:b/>
          <w:color w:val="231F20"/>
          <w:w w:val="105"/>
          <w:sz w:val="19"/>
          <w:vertAlign w:val="superscript"/>
        </w:rPr>
        <w:t>−</w:t>
      </w:r>
      <w:r>
        <w:rPr>
          <w:rFonts w:ascii="Consolas" w:hAnsi="Consolas"/>
          <w:b/>
          <w:color w:val="231F20"/>
          <w:spacing w:val="-67"/>
          <w:w w:val="105"/>
          <w:sz w:val="19"/>
          <w:vertAlign w:val="baseline"/>
        </w:rPr>
        <w:t> </w:t>
      </w:r>
      <w:r>
        <w:rPr>
          <w:rFonts w:ascii="Trebuchet MS" w:hAnsi="Trebuchet MS"/>
          <w:b/>
          <w:color w:val="231F20"/>
          <w:w w:val="105"/>
          <w:sz w:val="19"/>
          <w:vertAlign w:val="baseline"/>
        </w:rPr>
        <w:t>Is</w:t>
      </w:r>
      <w:r>
        <w:rPr>
          <w:rFonts w:ascii="Trebuchet MS" w:hAnsi="Trebuchet MS"/>
          <w:b/>
          <w:color w:val="231F20"/>
          <w:spacing w:val="-18"/>
          <w:w w:val="105"/>
          <w:sz w:val="19"/>
          <w:vertAlign w:val="baseline"/>
        </w:rPr>
        <w:t> </w:t>
      </w:r>
      <w:r>
        <w:rPr>
          <w:rFonts w:ascii="Trebuchet MS" w:hAnsi="Trebuchet MS"/>
          <w:b/>
          <w:color w:val="231F20"/>
          <w:w w:val="105"/>
          <w:sz w:val="19"/>
          <w:vertAlign w:val="baseline"/>
        </w:rPr>
        <w:t>“Titrated”</w:t>
      </w:r>
      <w:r>
        <w:rPr>
          <w:rFonts w:ascii="Trebuchet MS" w:hAnsi="Trebuchet MS"/>
          <w:b/>
          <w:color w:val="231F20"/>
          <w:spacing w:val="-18"/>
          <w:w w:val="105"/>
          <w:sz w:val="19"/>
          <w:vertAlign w:val="baseline"/>
        </w:rPr>
        <w:t> </w:t>
      </w:r>
      <w:r>
        <w:rPr>
          <w:rFonts w:ascii="Trebuchet MS" w:hAnsi="Trebuchet MS"/>
          <w:b/>
          <w:color w:val="231F20"/>
          <w:w w:val="105"/>
          <w:sz w:val="19"/>
          <w:vertAlign w:val="baseline"/>
        </w:rPr>
        <w:t>Against</w:t>
      </w:r>
      <w:r>
        <w:rPr>
          <w:rFonts w:ascii="Trebuchet MS" w:hAnsi="Trebuchet MS"/>
          <w:b/>
          <w:color w:val="231F20"/>
          <w:spacing w:val="-18"/>
          <w:w w:val="105"/>
          <w:sz w:val="19"/>
          <w:vertAlign w:val="baseline"/>
        </w:rPr>
        <w:t> </w:t>
      </w:r>
      <w:r>
        <w:rPr>
          <w:rFonts w:ascii="Trebuchet MS" w:hAnsi="Trebuchet MS"/>
          <w:b/>
          <w:color w:val="231F20"/>
          <w:w w:val="105"/>
          <w:sz w:val="19"/>
          <w:vertAlign w:val="baseline"/>
        </w:rPr>
        <w:t>H</w:t>
      </w:r>
      <w:r>
        <w:rPr>
          <w:rFonts w:ascii="Consolas" w:hAnsi="Consolas"/>
          <w:b/>
          <w:color w:val="231F20"/>
          <w:w w:val="105"/>
          <w:sz w:val="19"/>
          <w:vertAlign w:val="superscript"/>
        </w:rPr>
        <w:t>+</w:t>
      </w:r>
      <w:r>
        <w:rPr>
          <w:rFonts w:ascii="Consolas" w:hAnsi="Consolas"/>
          <w:b/>
          <w:color w:val="231F20"/>
          <w:spacing w:val="-67"/>
          <w:w w:val="105"/>
          <w:sz w:val="19"/>
          <w:vertAlign w:val="baseline"/>
        </w:rPr>
        <w:t> </w:t>
      </w:r>
      <w:r>
        <w:rPr>
          <w:rFonts w:ascii="Trebuchet MS" w:hAnsi="Trebuchet MS"/>
          <w:b/>
          <w:color w:val="231F20"/>
          <w:w w:val="105"/>
          <w:sz w:val="19"/>
          <w:vertAlign w:val="baseline"/>
        </w:rPr>
        <w:t>in</w:t>
      </w:r>
      <w:r>
        <w:rPr>
          <w:rFonts w:ascii="Trebuchet MS" w:hAnsi="Trebuchet MS"/>
          <w:b/>
          <w:color w:val="231F20"/>
          <w:spacing w:val="-18"/>
          <w:w w:val="105"/>
          <w:sz w:val="19"/>
          <w:vertAlign w:val="baseline"/>
        </w:rPr>
        <w:t> </w:t>
      </w:r>
      <w:r>
        <w:rPr>
          <w:rFonts w:ascii="Trebuchet MS" w:hAnsi="Trebuchet MS"/>
          <w:b/>
          <w:color w:val="231F20"/>
          <w:w w:val="105"/>
          <w:sz w:val="19"/>
          <w:vertAlign w:val="baseline"/>
        </w:rPr>
        <w:t>the</w:t>
      </w:r>
      <w:r>
        <w:rPr>
          <w:rFonts w:ascii="Trebuchet MS" w:hAnsi="Trebuchet MS"/>
          <w:b/>
          <w:color w:val="231F20"/>
          <w:spacing w:val="-18"/>
          <w:w w:val="105"/>
          <w:sz w:val="19"/>
          <w:vertAlign w:val="baseline"/>
        </w:rPr>
        <w:t> </w:t>
      </w:r>
      <w:r>
        <w:rPr>
          <w:rFonts w:ascii="Trebuchet MS" w:hAnsi="Trebuchet MS"/>
          <w:b/>
          <w:color w:val="231F20"/>
          <w:spacing w:val="-3"/>
          <w:w w:val="105"/>
          <w:sz w:val="19"/>
          <w:vertAlign w:val="baseline"/>
        </w:rPr>
        <w:t>Tubules.</w:t>
      </w:r>
      <w:r>
        <w:rPr>
          <w:rFonts w:ascii="Trebuchet MS" w:hAnsi="Trebuchet MS"/>
          <w:b/>
          <w:color w:val="231F20"/>
          <w:spacing w:val="7"/>
          <w:w w:val="105"/>
          <w:sz w:val="19"/>
          <w:vertAlign w:val="baseline"/>
        </w:rPr>
        <w:t> </w:t>
      </w:r>
      <w:r>
        <w:rPr>
          <w:color w:val="231F20"/>
          <w:spacing w:val="-5"/>
          <w:w w:val="105"/>
          <w:vertAlign w:val="baseline"/>
        </w:rPr>
        <w:t>Under </w:t>
      </w:r>
      <w:r>
        <w:rPr>
          <w:color w:val="231F20"/>
          <w:w w:val="105"/>
          <w:vertAlign w:val="baseline"/>
        </w:rPr>
        <w:t>normal conditions, the rate of tubular H</w:t>
      </w:r>
      <w:r>
        <w:rPr>
          <w:rFonts w:ascii="Consolas" w:hAnsi="Consolas"/>
          <w:color w:val="231F20"/>
          <w:w w:val="105"/>
          <w:position w:val="8"/>
          <w:sz w:val="12"/>
          <w:vertAlign w:val="baseline"/>
        </w:rPr>
        <w:t>+ </w:t>
      </w:r>
      <w:r>
        <w:rPr>
          <w:color w:val="231F20"/>
          <w:w w:val="105"/>
          <w:vertAlign w:val="baseline"/>
        </w:rPr>
        <w:t>secretion </w:t>
      </w:r>
      <w:r>
        <w:rPr>
          <w:color w:val="231F20"/>
          <w:spacing w:val="-6"/>
          <w:w w:val="105"/>
          <w:vertAlign w:val="baseline"/>
        </w:rPr>
        <w:t>is </w:t>
      </w:r>
      <w:r>
        <w:rPr>
          <w:color w:val="231F20"/>
          <w:w w:val="105"/>
          <w:vertAlign w:val="baseline"/>
        </w:rPr>
        <w:t>about</w:t>
      </w:r>
      <w:r>
        <w:rPr>
          <w:color w:val="231F20"/>
          <w:spacing w:val="-5"/>
          <w:w w:val="105"/>
          <w:vertAlign w:val="baseline"/>
        </w:rPr>
        <w:t> </w:t>
      </w:r>
      <w:r>
        <w:rPr>
          <w:color w:val="231F20"/>
          <w:w w:val="105"/>
          <w:vertAlign w:val="baseline"/>
        </w:rPr>
        <w:t>4400</w:t>
      </w:r>
      <w:r>
        <w:rPr>
          <w:color w:val="231F20"/>
          <w:spacing w:val="-6"/>
          <w:w w:val="105"/>
          <w:vertAlign w:val="baseline"/>
        </w:rPr>
        <w:t> </w:t>
      </w:r>
      <w:r>
        <w:rPr>
          <w:color w:val="231F20"/>
          <w:w w:val="105"/>
          <w:vertAlign w:val="baseline"/>
        </w:rPr>
        <w:t>mEq/day,</w:t>
      </w:r>
      <w:r>
        <w:rPr>
          <w:color w:val="231F20"/>
          <w:spacing w:val="-5"/>
          <w:w w:val="105"/>
          <w:vertAlign w:val="baseline"/>
        </w:rPr>
        <w:t> </w:t>
      </w:r>
      <w:r>
        <w:rPr>
          <w:color w:val="231F20"/>
          <w:w w:val="105"/>
          <w:vertAlign w:val="baseline"/>
        </w:rPr>
        <w:t>and</w:t>
      </w:r>
      <w:r>
        <w:rPr>
          <w:color w:val="231F20"/>
          <w:spacing w:val="-4"/>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rate</w:t>
      </w:r>
      <w:r>
        <w:rPr>
          <w:color w:val="231F20"/>
          <w:spacing w:val="-5"/>
          <w:w w:val="105"/>
          <w:vertAlign w:val="baseline"/>
        </w:rPr>
        <w:t> </w:t>
      </w:r>
      <w:r>
        <w:rPr>
          <w:color w:val="231F20"/>
          <w:w w:val="105"/>
          <w:vertAlign w:val="baseline"/>
        </w:rPr>
        <w:t>of</w:t>
      </w:r>
      <w:r>
        <w:rPr>
          <w:color w:val="231F20"/>
          <w:spacing w:val="-5"/>
          <w:w w:val="105"/>
          <w:vertAlign w:val="baseline"/>
        </w:rPr>
        <w:t> </w:t>
      </w:r>
      <w:r>
        <w:rPr>
          <w:color w:val="231F20"/>
          <w:w w:val="105"/>
          <w:vertAlign w:val="baseline"/>
        </w:rPr>
        <w:t>filtration</w:t>
      </w:r>
      <w:r>
        <w:rPr>
          <w:color w:val="231F20"/>
          <w:spacing w:val="-5"/>
          <w:w w:val="105"/>
          <w:vertAlign w:val="baseline"/>
        </w:rPr>
        <w:t> </w:t>
      </w:r>
      <w:r>
        <w:rPr>
          <w:color w:val="231F20"/>
          <w:w w:val="105"/>
          <w:vertAlign w:val="baseline"/>
        </w:rPr>
        <w:t>by</w:t>
      </w:r>
      <w:r>
        <w:rPr>
          <w:color w:val="231F20"/>
          <w:spacing w:val="-4"/>
          <w:w w:val="105"/>
          <w:vertAlign w:val="baseline"/>
        </w:rPr>
        <w:t> </w:t>
      </w:r>
      <w:r>
        <w:rPr>
          <w:color w:val="231F20"/>
          <w:w w:val="105"/>
          <w:vertAlign w:val="baseline"/>
        </w:rPr>
        <w:t>HCO</w:t>
      </w:r>
      <w:r>
        <w:rPr>
          <w:color w:val="231F20"/>
          <w:spacing w:val="-4"/>
          <w:w w:val="105"/>
          <w:vertAlign w:val="baseline"/>
        </w:rPr>
        <w:t> </w:t>
      </w:r>
      <w:r>
        <w:rPr>
          <w:rFonts w:ascii="Consolas" w:hAnsi="Consolas"/>
          <w:color w:val="231F20"/>
          <w:spacing w:val="-14"/>
          <w:w w:val="105"/>
          <w:position w:val="8"/>
          <w:sz w:val="12"/>
          <w:vertAlign w:val="baseline"/>
        </w:rPr>
        <w:t>− </w:t>
      </w:r>
      <w:r>
        <w:rPr>
          <w:color w:val="231F20"/>
          <w:w w:val="105"/>
          <w:vertAlign w:val="baseline"/>
        </w:rPr>
        <w:t>is about 4320 mEq/day. Thus, the quantities of </w:t>
      </w:r>
      <w:r>
        <w:rPr>
          <w:color w:val="231F20"/>
          <w:spacing w:val="-3"/>
          <w:w w:val="105"/>
          <w:vertAlign w:val="baseline"/>
        </w:rPr>
        <w:t>these </w:t>
      </w:r>
      <w:r>
        <w:rPr>
          <w:color w:val="231F20"/>
          <w:w w:val="105"/>
          <w:vertAlign w:val="baseline"/>
        </w:rPr>
        <w:t>two ions entering the tubules are almost equal, and they combine</w:t>
      </w:r>
      <w:r>
        <w:rPr>
          <w:color w:val="231F20"/>
          <w:spacing w:val="-25"/>
          <w:w w:val="105"/>
          <w:vertAlign w:val="baseline"/>
        </w:rPr>
        <w:t> </w:t>
      </w:r>
      <w:r>
        <w:rPr>
          <w:color w:val="231F20"/>
          <w:w w:val="105"/>
          <w:vertAlign w:val="baseline"/>
        </w:rPr>
        <w:t>with</w:t>
      </w:r>
      <w:r>
        <w:rPr>
          <w:color w:val="231F20"/>
          <w:spacing w:val="-24"/>
          <w:w w:val="105"/>
          <w:vertAlign w:val="baseline"/>
        </w:rPr>
        <w:t> </w:t>
      </w:r>
      <w:r>
        <w:rPr>
          <w:color w:val="231F20"/>
          <w:w w:val="105"/>
          <w:vertAlign w:val="baseline"/>
        </w:rPr>
        <w:t>each</w:t>
      </w:r>
      <w:r>
        <w:rPr>
          <w:color w:val="231F20"/>
          <w:spacing w:val="-24"/>
          <w:w w:val="105"/>
          <w:vertAlign w:val="baseline"/>
        </w:rPr>
        <w:t> </w:t>
      </w:r>
      <w:r>
        <w:rPr>
          <w:color w:val="231F20"/>
          <w:w w:val="105"/>
          <w:vertAlign w:val="baseline"/>
        </w:rPr>
        <w:t>other</w:t>
      </w:r>
      <w:r>
        <w:rPr>
          <w:color w:val="231F20"/>
          <w:spacing w:val="-24"/>
          <w:w w:val="105"/>
          <w:vertAlign w:val="baseline"/>
        </w:rPr>
        <w:t> </w:t>
      </w:r>
      <w:r>
        <w:rPr>
          <w:color w:val="231F20"/>
          <w:w w:val="105"/>
          <w:vertAlign w:val="baseline"/>
        </w:rPr>
        <w:t>to</w:t>
      </w:r>
      <w:r>
        <w:rPr>
          <w:color w:val="231F20"/>
          <w:spacing w:val="-24"/>
          <w:w w:val="105"/>
          <w:vertAlign w:val="baseline"/>
        </w:rPr>
        <w:t> </w:t>
      </w:r>
      <w:r>
        <w:rPr>
          <w:color w:val="231F20"/>
          <w:w w:val="105"/>
          <w:vertAlign w:val="baseline"/>
        </w:rPr>
        <w:t>form</w:t>
      </w:r>
      <w:r>
        <w:rPr>
          <w:color w:val="231F20"/>
          <w:spacing w:val="-24"/>
          <w:w w:val="105"/>
          <w:vertAlign w:val="baseline"/>
        </w:rPr>
        <w:t> </w:t>
      </w:r>
      <w:r>
        <w:rPr>
          <w:color w:val="231F20"/>
          <w:w w:val="105"/>
          <w:vertAlign w:val="baseline"/>
        </w:rPr>
        <w:t>CO</w:t>
      </w:r>
      <w:r>
        <w:rPr>
          <w:color w:val="231F20"/>
          <w:w w:val="105"/>
          <w:vertAlign w:val="subscript"/>
        </w:rPr>
        <w:t>2</w:t>
      </w:r>
      <w:r>
        <w:rPr>
          <w:color w:val="231F20"/>
          <w:spacing w:val="-24"/>
          <w:w w:val="105"/>
          <w:vertAlign w:val="baseline"/>
        </w:rPr>
        <w:t> </w:t>
      </w:r>
      <w:r>
        <w:rPr>
          <w:color w:val="231F20"/>
          <w:w w:val="105"/>
          <w:vertAlign w:val="baseline"/>
        </w:rPr>
        <w:t>and</w:t>
      </w:r>
      <w:r>
        <w:rPr>
          <w:color w:val="231F20"/>
          <w:spacing w:val="-24"/>
          <w:w w:val="105"/>
          <w:vertAlign w:val="baseline"/>
        </w:rPr>
        <w:t> </w:t>
      </w:r>
      <w:r>
        <w:rPr>
          <w:color w:val="231F20"/>
          <w:w w:val="105"/>
          <w:vertAlign w:val="baseline"/>
        </w:rPr>
        <w:t>H</w:t>
      </w:r>
      <w:r>
        <w:rPr>
          <w:color w:val="231F20"/>
          <w:w w:val="105"/>
          <w:vertAlign w:val="subscript"/>
        </w:rPr>
        <w:t>2</w:t>
      </w:r>
      <w:r>
        <w:rPr>
          <w:color w:val="231F20"/>
          <w:w w:val="105"/>
          <w:vertAlign w:val="baseline"/>
        </w:rPr>
        <w:t>O.</w:t>
      </w:r>
      <w:r>
        <w:rPr>
          <w:color w:val="231F20"/>
          <w:spacing w:val="-25"/>
          <w:w w:val="105"/>
          <w:vertAlign w:val="baseline"/>
        </w:rPr>
        <w:t> </w:t>
      </w:r>
      <w:r>
        <w:rPr>
          <w:color w:val="231F20"/>
          <w:spacing w:val="-4"/>
          <w:w w:val="105"/>
          <w:vertAlign w:val="baseline"/>
        </w:rPr>
        <w:t>Therefore, </w:t>
      </w:r>
      <w:r>
        <w:rPr>
          <w:color w:val="231F20"/>
          <w:w w:val="105"/>
          <w:vertAlign w:val="baseline"/>
        </w:rPr>
        <w:t>it</w:t>
      </w:r>
      <w:r>
        <w:rPr>
          <w:color w:val="231F20"/>
          <w:spacing w:val="-10"/>
          <w:w w:val="105"/>
          <w:vertAlign w:val="baseline"/>
        </w:rPr>
        <w:t> </w:t>
      </w:r>
      <w:r>
        <w:rPr>
          <w:color w:val="231F20"/>
          <w:w w:val="105"/>
          <w:vertAlign w:val="baseline"/>
        </w:rPr>
        <w:t>is</w:t>
      </w:r>
      <w:r>
        <w:rPr>
          <w:color w:val="231F20"/>
          <w:spacing w:val="-10"/>
          <w:w w:val="105"/>
          <w:vertAlign w:val="baseline"/>
        </w:rPr>
        <w:t> </w:t>
      </w:r>
      <w:r>
        <w:rPr>
          <w:color w:val="231F20"/>
          <w:w w:val="105"/>
          <w:vertAlign w:val="baseline"/>
        </w:rPr>
        <w:t>said</w:t>
      </w:r>
      <w:r>
        <w:rPr>
          <w:color w:val="231F20"/>
          <w:spacing w:val="-10"/>
          <w:w w:val="105"/>
          <w:vertAlign w:val="baseline"/>
        </w:rPr>
        <w:t> </w:t>
      </w:r>
      <w:r>
        <w:rPr>
          <w:color w:val="231F20"/>
          <w:w w:val="105"/>
          <w:vertAlign w:val="baseline"/>
        </w:rPr>
        <w:t>that</w:t>
      </w:r>
      <w:r>
        <w:rPr>
          <w:color w:val="231F20"/>
          <w:spacing w:val="-10"/>
          <w:w w:val="105"/>
          <w:vertAlign w:val="baseline"/>
        </w:rPr>
        <w:t> </w:t>
      </w:r>
      <w:r>
        <w:rPr>
          <w:color w:val="231F20"/>
          <w:w w:val="105"/>
          <w:vertAlign w:val="baseline"/>
        </w:rPr>
        <w:t>HCO</w:t>
      </w:r>
      <w:r>
        <w:rPr>
          <w:color w:val="231F20"/>
          <w:spacing w:val="-2"/>
          <w:w w:val="105"/>
          <w:vertAlign w:val="baseline"/>
        </w:rPr>
        <w:t> </w:t>
      </w:r>
      <w:r>
        <w:rPr>
          <w:rFonts w:ascii="Consolas" w:hAnsi="Consolas"/>
          <w:color w:val="231F20"/>
          <w:w w:val="105"/>
          <w:position w:val="8"/>
          <w:sz w:val="12"/>
          <w:vertAlign w:val="baseline"/>
        </w:rPr>
        <w:t>−</w:t>
      </w:r>
      <w:r>
        <w:rPr>
          <w:rFonts w:ascii="Consolas" w:hAnsi="Consolas"/>
          <w:color w:val="231F20"/>
          <w:spacing w:val="-26"/>
          <w:w w:val="105"/>
          <w:position w:val="8"/>
          <w:sz w:val="12"/>
          <w:vertAlign w:val="baseline"/>
        </w:rPr>
        <w:t> </w:t>
      </w:r>
      <w:r>
        <w:rPr>
          <w:color w:val="231F20"/>
          <w:w w:val="105"/>
          <w:vertAlign w:val="baseline"/>
        </w:rPr>
        <w:t>and</w:t>
      </w:r>
      <w:r>
        <w:rPr>
          <w:color w:val="231F20"/>
          <w:spacing w:val="-10"/>
          <w:w w:val="105"/>
          <w:vertAlign w:val="baseline"/>
        </w:rPr>
        <w:t> </w:t>
      </w:r>
      <w:r>
        <w:rPr>
          <w:color w:val="231F20"/>
          <w:w w:val="105"/>
          <w:vertAlign w:val="baseline"/>
        </w:rPr>
        <w:t>H</w:t>
      </w:r>
      <w:r>
        <w:rPr>
          <w:rFonts w:ascii="Consolas" w:hAnsi="Consolas"/>
          <w:color w:val="231F20"/>
          <w:w w:val="105"/>
          <w:position w:val="8"/>
          <w:sz w:val="12"/>
          <w:vertAlign w:val="baseline"/>
        </w:rPr>
        <w:t>+</w:t>
      </w:r>
      <w:r>
        <w:rPr>
          <w:rFonts w:ascii="Consolas" w:hAnsi="Consolas"/>
          <w:color w:val="231F20"/>
          <w:spacing w:val="-27"/>
          <w:w w:val="105"/>
          <w:position w:val="8"/>
          <w:sz w:val="12"/>
          <w:vertAlign w:val="baseline"/>
        </w:rPr>
        <w:t> </w:t>
      </w:r>
      <w:r>
        <w:rPr>
          <w:color w:val="231F20"/>
          <w:w w:val="105"/>
          <w:vertAlign w:val="baseline"/>
        </w:rPr>
        <w:t>normally</w:t>
      </w:r>
      <w:r>
        <w:rPr>
          <w:color w:val="231F20"/>
          <w:spacing w:val="-10"/>
          <w:w w:val="105"/>
          <w:vertAlign w:val="baseline"/>
        </w:rPr>
        <w:t> </w:t>
      </w:r>
      <w:r>
        <w:rPr>
          <w:color w:val="231F20"/>
          <w:w w:val="105"/>
          <w:vertAlign w:val="baseline"/>
        </w:rPr>
        <w:t>“titrate”</w:t>
      </w:r>
      <w:r>
        <w:rPr>
          <w:color w:val="231F20"/>
          <w:spacing w:val="-9"/>
          <w:w w:val="105"/>
          <w:vertAlign w:val="baseline"/>
        </w:rPr>
        <w:t> </w:t>
      </w:r>
      <w:r>
        <w:rPr>
          <w:color w:val="231F20"/>
          <w:w w:val="105"/>
          <w:vertAlign w:val="baseline"/>
        </w:rPr>
        <w:t>each</w:t>
      </w:r>
      <w:r>
        <w:rPr>
          <w:color w:val="231F20"/>
          <w:spacing w:val="-10"/>
          <w:w w:val="105"/>
          <w:vertAlign w:val="baseline"/>
        </w:rPr>
        <w:t> </w:t>
      </w:r>
      <w:r>
        <w:rPr>
          <w:color w:val="231F20"/>
          <w:w w:val="105"/>
          <w:vertAlign w:val="baseline"/>
        </w:rPr>
        <w:t>other</w:t>
      </w:r>
    </w:p>
    <w:p>
      <w:pPr>
        <w:spacing w:after="0" w:line="247" w:lineRule="auto"/>
        <w:jc w:val="both"/>
        <w:sectPr>
          <w:type w:val="continuous"/>
          <w:pgSz w:w="12240" w:h="15660"/>
          <w:pgMar w:top="0" w:bottom="760" w:left="0" w:right="0"/>
          <w:cols w:num="2" w:equalWidth="0">
            <w:col w:w="6121" w:space="40"/>
            <w:col w:w="6079"/>
          </w:cols>
        </w:sectPr>
      </w:pPr>
    </w:p>
    <w:p>
      <w:pPr>
        <w:pStyle w:val="BodyText"/>
        <w:spacing w:line="217" w:lineRule="exact"/>
        <w:ind w:left="1439"/>
        <w:jc w:val="both"/>
      </w:pPr>
      <w:r>
        <w:rPr>
          <w:color w:val="231F20"/>
          <w:w w:val="105"/>
        </w:rPr>
        <w:t>the cell down a concentration gradient that has been</w:t>
      </w:r>
    </w:p>
    <w:p>
      <w:pPr>
        <w:pStyle w:val="BodyText"/>
        <w:spacing w:line="249" w:lineRule="auto" w:before="10"/>
        <w:ind w:left="1439"/>
        <w:jc w:val="both"/>
      </w:pPr>
      <w:r>
        <w:rPr>
          <w:color w:val="231F20"/>
          <w:w w:val="105"/>
        </w:rPr>
        <w:t>established by the sodium-potassium ATPase pump in the basolateral membrane. The gradient for Na</w:t>
      </w:r>
      <w:r>
        <w:rPr>
          <w:rFonts w:ascii="Consolas"/>
          <w:color w:val="231F20"/>
          <w:w w:val="105"/>
          <w:position w:val="8"/>
          <w:sz w:val="12"/>
        </w:rPr>
        <w:t>+ </w:t>
      </w:r>
      <w:r>
        <w:rPr>
          <w:color w:val="231F20"/>
          <w:w w:val="105"/>
        </w:rPr>
        <w:t>move- ment into the cell then provides the energy for moving H</w:t>
      </w:r>
      <w:r>
        <w:rPr>
          <w:rFonts w:ascii="Consolas"/>
          <w:color w:val="231F20"/>
          <w:w w:val="105"/>
          <w:position w:val="8"/>
          <w:sz w:val="12"/>
        </w:rPr>
        <w:t>+ </w:t>
      </w:r>
      <w:r>
        <w:rPr>
          <w:color w:val="231F20"/>
          <w:w w:val="105"/>
        </w:rPr>
        <w:t>in the opposite direction from the interior of the cell to the tubular lumen.</w:t>
      </w:r>
    </w:p>
    <w:p>
      <w:pPr>
        <w:pStyle w:val="BodyText"/>
        <w:spacing w:line="249" w:lineRule="auto"/>
        <w:ind w:left="1439" w:firstLine="240"/>
        <w:jc w:val="both"/>
      </w:pPr>
      <w:r>
        <w:rPr/>
        <w:pict>
          <v:shape style="position:absolute;margin-left:124.744797pt;margin-top:5.445525pt;width:3pt;height:8.7pt;mso-position-horizontal-relative:page;mso-position-vertical-relative:paragraph;z-index:-2724884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70.002594pt;margin-top:53.445526pt;width:3pt;height:8.7pt;mso-position-horizontal-relative:page;mso-position-vertical-relative:paragraph;z-index:-27248742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The</w:t>
      </w:r>
      <w:r>
        <w:rPr>
          <w:color w:val="231F20"/>
          <w:spacing w:val="-9"/>
          <w:w w:val="105"/>
        </w:rPr>
        <w:t> </w:t>
      </w:r>
      <w:r>
        <w:rPr>
          <w:color w:val="231F20"/>
          <w:w w:val="105"/>
        </w:rPr>
        <w:t>HCO</w:t>
      </w:r>
      <w:r>
        <w:rPr>
          <w:color w:val="231F20"/>
          <w:spacing w:val="-5"/>
          <w:w w:val="105"/>
        </w:rPr>
        <w:t> </w:t>
      </w:r>
      <w:r>
        <w:rPr>
          <w:rFonts w:ascii="Consolas" w:hAnsi="Consolas"/>
          <w:color w:val="231F20"/>
          <w:w w:val="105"/>
          <w:position w:val="8"/>
          <w:sz w:val="12"/>
        </w:rPr>
        <w:t>−</w:t>
      </w:r>
      <w:r>
        <w:rPr>
          <w:rFonts w:ascii="Consolas" w:hAnsi="Consolas"/>
          <w:color w:val="231F20"/>
          <w:spacing w:val="-26"/>
          <w:w w:val="105"/>
          <w:position w:val="8"/>
          <w:sz w:val="12"/>
        </w:rPr>
        <w:t> </w:t>
      </w:r>
      <w:r>
        <w:rPr>
          <w:color w:val="231F20"/>
          <w:w w:val="105"/>
        </w:rPr>
        <w:t>generated</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9"/>
          <w:w w:val="105"/>
        </w:rPr>
        <w:t> </w:t>
      </w:r>
      <w:r>
        <w:rPr>
          <w:color w:val="231F20"/>
          <w:w w:val="105"/>
        </w:rPr>
        <w:t>cell</w:t>
      </w:r>
      <w:r>
        <w:rPr>
          <w:color w:val="231F20"/>
          <w:spacing w:val="-8"/>
          <w:w w:val="105"/>
        </w:rPr>
        <w:t> </w:t>
      </w:r>
      <w:r>
        <w:rPr>
          <w:color w:val="231F20"/>
          <w:w w:val="105"/>
        </w:rPr>
        <w:t>(when</w:t>
      </w:r>
      <w:r>
        <w:rPr>
          <w:color w:val="231F20"/>
          <w:spacing w:val="-9"/>
          <w:w w:val="105"/>
        </w:rPr>
        <w:t> </w:t>
      </w:r>
      <w:r>
        <w:rPr>
          <w:color w:val="231F20"/>
          <w:w w:val="105"/>
        </w:rPr>
        <w:t>H</w:t>
      </w:r>
      <w:r>
        <w:rPr>
          <w:rFonts w:ascii="Consolas" w:hAnsi="Consolas"/>
          <w:color w:val="231F20"/>
          <w:w w:val="105"/>
          <w:position w:val="8"/>
          <w:sz w:val="12"/>
        </w:rPr>
        <w:t>+</w:t>
      </w:r>
      <w:r>
        <w:rPr>
          <w:rFonts w:ascii="Consolas" w:hAnsi="Consolas"/>
          <w:color w:val="231F20"/>
          <w:spacing w:val="-25"/>
          <w:w w:val="105"/>
          <w:position w:val="8"/>
          <w:sz w:val="12"/>
        </w:rPr>
        <w:t> </w:t>
      </w:r>
      <w:r>
        <w:rPr>
          <w:color w:val="231F20"/>
          <w:w w:val="105"/>
        </w:rPr>
        <w:t>dissociates from</w:t>
      </w:r>
      <w:r>
        <w:rPr>
          <w:color w:val="231F20"/>
          <w:spacing w:val="-8"/>
          <w:w w:val="105"/>
        </w:rPr>
        <w:t> </w:t>
      </w:r>
      <w:r>
        <w:rPr>
          <w:color w:val="231F20"/>
          <w:w w:val="105"/>
        </w:rPr>
        <w:t>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r>
        <w:rPr>
          <w:color w:val="231F20"/>
          <w:spacing w:val="-8"/>
          <w:w w:val="105"/>
          <w:vertAlign w:val="baseline"/>
        </w:rPr>
        <w:t> </w:t>
      </w:r>
      <w:r>
        <w:rPr>
          <w:color w:val="231F20"/>
          <w:w w:val="105"/>
          <w:vertAlign w:val="baseline"/>
        </w:rPr>
        <w:t>then</w:t>
      </w:r>
      <w:r>
        <w:rPr>
          <w:color w:val="231F20"/>
          <w:spacing w:val="-7"/>
          <w:w w:val="105"/>
          <w:vertAlign w:val="baseline"/>
        </w:rPr>
        <w:t> </w:t>
      </w:r>
      <w:r>
        <w:rPr>
          <w:color w:val="231F20"/>
          <w:w w:val="105"/>
          <w:vertAlign w:val="baseline"/>
        </w:rPr>
        <w:t>moves</w:t>
      </w:r>
      <w:r>
        <w:rPr>
          <w:color w:val="231F20"/>
          <w:spacing w:val="-8"/>
          <w:w w:val="105"/>
          <w:vertAlign w:val="baseline"/>
        </w:rPr>
        <w:t> </w:t>
      </w:r>
      <w:r>
        <w:rPr>
          <w:color w:val="231F20"/>
          <w:w w:val="105"/>
          <w:vertAlign w:val="baseline"/>
        </w:rPr>
        <w:t>downhill</w:t>
      </w:r>
      <w:r>
        <w:rPr>
          <w:color w:val="231F20"/>
          <w:spacing w:val="-8"/>
          <w:w w:val="105"/>
          <w:vertAlign w:val="baseline"/>
        </w:rPr>
        <w:t> </w:t>
      </w:r>
      <w:r>
        <w:rPr>
          <w:color w:val="231F20"/>
          <w:w w:val="105"/>
          <w:vertAlign w:val="baseline"/>
        </w:rPr>
        <w:t>across</w:t>
      </w:r>
      <w:r>
        <w:rPr>
          <w:color w:val="231F20"/>
          <w:spacing w:val="-7"/>
          <w:w w:val="105"/>
          <w:vertAlign w:val="baseline"/>
        </w:rPr>
        <w:t> </w:t>
      </w:r>
      <w:r>
        <w:rPr>
          <w:color w:val="231F20"/>
          <w:w w:val="105"/>
          <w:vertAlign w:val="baseline"/>
        </w:rPr>
        <w:t>the</w:t>
      </w:r>
      <w:r>
        <w:rPr>
          <w:color w:val="231F20"/>
          <w:spacing w:val="-8"/>
          <w:w w:val="105"/>
          <w:vertAlign w:val="baseline"/>
        </w:rPr>
        <w:t> </w:t>
      </w:r>
      <w:r>
        <w:rPr>
          <w:color w:val="231F20"/>
          <w:spacing w:val="-5"/>
          <w:w w:val="105"/>
          <w:vertAlign w:val="baseline"/>
        </w:rPr>
        <w:t>basolateral </w:t>
      </w:r>
      <w:r>
        <w:rPr>
          <w:color w:val="231F20"/>
          <w:w w:val="105"/>
          <w:vertAlign w:val="baseline"/>
        </w:rPr>
        <w:t>membrane into the renal interstitial fluid and the </w:t>
      </w:r>
      <w:r>
        <w:rPr>
          <w:color w:val="231F20"/>
          <w:spacing w:val="-3"/>
          <w:w w:val="105"/>
          <w:vertAlign w:val="baseline"/>
        </w:rPr>
        <w:t>peritu- </w:t>
      </w:r>
      <w:r>
        <w:rPr>
          <w:color w:val="231F20"/>
          <w:w w:val="105"/>
          <w:vertAlign w:val="baseline"/>
        </w:rPr>
        <w:t>bular capillary blood. The net result is that for every  H</w:t>
      </w:r>
      <w:r>
        <w:rPr>
          <w:rFonts w:ascii="Consolas" w:hAnsi="Consolas"/>
          <w:color w:val="231F20"/>
          <w:w w:val="105"/>
          <w:position w:val="8"/>
          <w:sz w:val="12"/>
          <w:vertAlign w:val="baseline"/>
        </w:rPr>
        <w:t>+ </w:t>
      </w:r>
      <w:r>
        <w:rPr>
          <w:color w:val="231F20"/>
          <w:w w:val="105"/>
          <w:vertAlign w:val="baseline"/>
        </w:rPr>
        <w:t>secreted into the tubular lumen, an  HCO </w:t>
      </w:r>
      <w:r>
        <w:rPr>
          <w:rFonts w:ascii="Consolas" w:hAnsi="Consolas"/>
          <w:color w:val="231F20"/>
          <w:w w:val="105"/>
          <w:position w:val="8"/>
          <w:sz w:val="12"/>
          <w:vertAlign w:val="baseline"/>
        </w:rPr>
        <w:t>− </w:t>
      </w:r>
      <w:r>
        <w:rPr>
          <w:color w:val="231F20"/>
          <w:spacing w:val="-4"/>
          <w:w w:val="105"/>
          <w:vertAlign w:val="baseline"/>
        </w:rPr>
        <w:t>enters </w:t>
      </w:r>
      <w:r>
        <w:rPr>
          <w:color w:val="231F20"/>
          <w:w w:val="105"/>
          <w:vertAlign w:val="baseline"/>
        </w:rPr>
        <w:t>the</w:t>
      </w:r>
      <w:r>
        <w:rPr>
          <w:color w:val="231F20"/>
          <w:spacing w:val="3"/>
          <w:w w:val="105"/>
          <w:vertAlign w:val="baseline"/>
        </w:rPr>
        <w:t> </w:t>
      </w:r>
      <w:r>
        <w:rPr>
          <w:color w:val="231F20"/>
          <w:w w:val="105"/>
          <w:vertAlign w:val="baseline"/>
        </w:rPr>
        <w:t>blood.</w:t>
      </w:r>
    </w:p>
    <w:p>
      <w:pPr>
        <w:pStyle w:val="BodyText"/>
        <w:spacing w:before="9"/>
        <w:rPr>
          <w:sz w:val="28"/>
        </w:rPr>
      </w:pPr>
    </w:p>
    <w:p>
      <w:pPr>
        <w:pStyle w:val="Heading2"/>
        <w:spacing w:line="226" w:lineRule="exact"/>
        <w:ind w:left="1440"/>
        <w:jc w:val="both"/>
      </w:pPr>
      <w:r>
        <w:rPr/>
        <w:pict>
          <v:shape style="position:absolute;margin-left:144.947205pt;margin-top:5.958486pt;width:3.7pt;height:7.65pt;mso-position-horizontal-relative:page;mso-position-vertical-relative:paragraph;z-index:-272486400" type="#_x0000_t202" filled="false" stroked="false">
            <v:textbox inset="0,0,0,0">
              <w:txbxContent>
                <w:p>
                  <w:pPr>
                    <w:spacing w:before="1"/>
                    <w:ind w:left="0" w:right="0" w:firstLine="0"/>
                    <w:jc w:val="left"/>
                    <w:rPr>
                      <w:rFonts w:ascii="Trebuchet MS"/>
                      <w:b/>
                      <w:sz w:val="13"/>
                    </w:rPr>
                  </w:pPr>
                  <w:r>
                    <w:rPr>
                      <w:rFonts w:ascii="Trebuchet MS"/>
                      <w:b/>
                      <w:color w:val="231F20"/>
                      <w:w w:val="96"/>
                      <w:sz w:val="13"/>
                    </w:rPr>
                    <w:t>3</w:t>
                  </w:r>
                </w:p>
              </w:txbxContent>
            </v:textbox>
            <w10:wrap type="none"/>
          </v:shape>
        </w:pict>
      </w:r>
      <w:r>
        <w:rPr>
          <w:color w:val="231F20"/>
          <w:w w:val="105"/>
        </w:rPr>
        <w:t>FILTERED HCO </w:t>
      </w:r>
      <w:r>
        <w:rPr>
          <w:rFonts w:ascii="Consolas" w:hAnsi="Consolas"/>
          <w:color w:val="231F20"/>
          <w:w w:val="105"/>
          <w:position w:val="9"/>
          <w:sz w:val="13"/>
        </w:rPr>
        <w:t>− </w:t>
      </w:r>
      <w:r>
        <w:rPr>
          <w:color w:val="231F20"/>
          <w:w w:val="105"/>
        </w:rPr>
        <w:t>IS REABSORBED BY</w:t>
      </w:r>
    </w:p>
    <w:p>
      <w:pPr>
        <w:pStyle w:val="BodyText"/>
        <w:spacing w:line="217" w:lineRule="exact"/>
        <w:ind w:left="319"/>
        <w:jc w:val="both"/>
      </w:pPr>
      <w:r>
        <w:rPr/>
        <w:br w:type="column"/>
      </w:r>
      <w:r>
        <w:rPr>
          <w:color w:val="231F20"/>
          <w:w w:val="105"/>
        </w:rPr>
        <w:t>in the tubules.</w:t>
      </w:r>
    </w:p>
    <w:p>
      <w:pPr>
        <w:pStyle w:val="BodyText"/>
        <w:spacing w:line="249" w:lineRule="auto" w:before="10"/>
        <w:ind w:left="319" w:right="1077" w:firstLine="240"/>
        <w:jc w:val="both"/>
      </w:pPr>
      <w:r>
        <w:rPr>
          <w:color w:val="231F20"/>
        </w:rPr>
        <w:t>The titration process is not quite exact because there   is</w:t>
      </w:r>
      <w:r>
        <w:rPr>
          <w:color w:val="231F20"/>
          <w:spacing w:val="-7"/>
        </w:rPr>
        <w:t> </w:t>
      </w:r>
      <w:r>
        <w:rPr>
          <w:color w:val="231F20"/>
        </w:rPr>
        <w:t>usually</w:t>
      </w:r>
      <w:r>
        <w:rPr>
          <w:color w:val="231F20"/>
          <w:spacing w:val="-7"/>
        </w:rPr>
        <w:t> </w:t>
      </w:r>
      <w:r>
        <w:rPr>
          <w:color w:val="231F20"/>
        </w:rPr>
        <w:t>a</w:t>
      </w:r>
      <w:r>
        <w:rPr>
          <w:color w:val="231F20"/>
          <w:spacing w:val="-7"/>
        </w:rPr>
        <w:t> </w:t>
      </w:r>
      <w:r>
        <w:rPr>
          <w:color w:val="231F20"/>
        </w:rPr>
        <w:t>slight</w:t>
      </w:r>
      <w:r>
        <w:rPr>
          <w:color w:val="231F20"/>
          <w:spacing w:val="-6"/>
        </w:rPr>
        <w:t> </w:t>
      </w:r>
      <w:r>
        <w:rPr>
          <w:color w:val="231F20"/>
        </w:rPr>
        <w:t>excess</w:t>
      </w:r>
      <w:r>
        <w:rPr>
          <w:color w:val="231F20"/>
          <w:spacing w:val="-7"/>
        </w:rPr>
        <w:t> </w:t>
      </w:r>
      <w:r>
        <w:rPr>
          <w:color w:val="231F20"/>
        </w:rPr>
        <w:t>of</w:t>
      </w:r>
      <w:r>
        <w:rPr>
          <w:color w:val="231F20"/>
          <w:spacing w:val="-7"/>
        </w:rPr>
        <w:t> </w:t>
      </w:r>
      <w:r>
        <w:rPr>
          <w:color w:val="231F20"/>
        </w:rPr>
        <w:t>H</w:t>
      </w:r>
      <w:r>
        <w:rPr>
          <w:rFonts w:ascii="Consolas"/>
          <w:color w:val="231F20"/>
          <w:position w:val="8"/>
          <w:sz w:val="12"/>
        </w:rPr>
        <w:t>+</w:t>
      </w:r>
      <w:r>
        <w:rPr>
          <w:rFonts w:ascii="Consolas"/>
          <w:color w:val="231F20"/>
          <w:spacing w:val="-22"/>
          <w:position w:val="8"/>
          <w:sz w:val="12"/>
        </w:rPr>
        <w:t> </w:t>
      </w:r>
      <w:r>
        <w:rPr>
          <w:color w:val="231F20"/>
        </w:rPr>
        <w:t>in</w:t>
      </w:r>
      <w:r>
        <w:rPr>
          <w:color w:val="231F20"/>
          <w:spacing w:val="-7"/>
        </w:rPr>
        <w:t> </w:t>
      </w:r>
      <w:r>
        <w:rPr>
          <w:color w:val="231F20"/>
        </w:rPr>
        <w:t>the</w:t>
      </w:r>
      <w:r>
        <w:rPr>
          <w:color w:val="231F20"/>
          <w:spacing w:val="-7"/>
        </w:rPr>
        <w:t> </w:t>
      </w:r>
      <w:r>
        <w:rPr>
          <w:color w:val="231F20"/>
        </w:rPr>
        <w:t>tubules</w:t>
      </w:r>
      <w:r>
        <w:rPr>
          <w:color w:val="231F20"/>
          <w:spacing w:val="-7"/>
        </w:rPr>
        <w:t> </w:t>
      </w:r>
      <w:r>
        <w:rPr>
          <w:color w:val="231F20"/>
        </w:rPr>
        <w:t>to</w:t>
      </w:r>
      <w:r>
        <w:rPr>
          <w:color w:val="231F20"/>
          <w:spacing w:val="-6"/>
        </w:rPr>
        <w:t> </w:t>
      </w:r>
      <w:r>
        <w:rPr>
          <w:color w:val="231F20"/>
        </w:rPr>
        <w:t>be</w:t>
      </w:r>
      <w:r>
        <w:rPr>
          <w:color w:val="231F20"/>
          <w:spacing w:val="-7"/>
        </w:rPr>
        <w:t> </w:t>
      </w:r>
      <w:r>
        <w:rPr>
          <w:color w:val="231F20"/>
        </w:rPr>
        <w:t>excreted in the urine. This excess H</w:t>
      </w:r>
      <w:r>
        <w:rPr>
          <w:rFonts w:ascii="Consolas"/>
          <w:color w:val="231F20"/>
          <w:position w:val="8"/>
          <w:sz w:val="12"/>
        </w:rPr>
        <w:t>+ </w:t>
      </w:r>
      <w:r>
        <w:rPr>
          <w:color w:val="231F20"/>
        </w:rPr>
        <w:t>(about 80 mEq/day) rids </w:t>
      </w:r>
      <w:r>
        <w:rPr>
          <w:color w:val="231F20"/>
          <w:spacing w:val="-5"/>
        </w:rPr>
        <w:t>the </w:t>
      </w:r>
      <w:r>
        <w:rPr>
          <w:color w:val="231F20"/>
        </w:rPr>
        <w:t>body of nonvolatile acids produced by metabolism. </w:t>
      </w:r>
      <w:r>
        <w:rPr>
          <w:color w:val="231F20"/>
          <w:spacing w:val="-5"/>
        </w:rPr>
        <w:t>As </w:t>
      </w:r>
      <w:r>
        <w:rPr>
          <w:color w:val="231F20"/>
        </w:rPr>
        <w:t>discussed </w:t>
      </w:r>
      <w:r>
        <w:rPr>
          <w:color w:val="231F20"/>
          <w:spacing w:val="-4"/>
        </w:rPr>
        <w:t>later, </w:t>
      </w:r>
      <w:r>
        <w:rPr>
          <w:color w:val="231F20"/>
        </w:rPr>
        <w:t>most of this H</w:t>
      </w:r>
      <w:r>
        <w:rPr>
          <w:rFonts w:ascii="Consolas"/>
          <w:color w:val="231F20"/>
          <w:position w:val="8"/>
          <w:sz w:val="12"/>
        </w:rPr>
        <w:t>+ </w:t>
      </w:r>
      <w:r>
        <w:rPr>
          <w:color w:val="231F20"/>
        </w:rPr>
        <w:t>is not excreted as free H</w:t>
      </w:r>
      <w:r>
        <w:rPr>
          <w:rFonts w:ascii="Consolas"/>
          <w:color w:val="231F20"/>
          <w:position w:val="8"/>
          <w:sz w:val="12"/>
        </w:rPr>
        <w:t>+ </w:t>
      </w:r>
      <w:r>
        <w:rPr>
          <w:color w:val="231F20"/>
        </w:rPr>
        <w:t>but rather in combination with other urinary buffers, especially phosphate and</w:t>
      </w:r>
      <w:r>
        <w:rPr>
          <w:color w:val="231F20"/>
          <w:spacing w:val="24"/>
        </w:rPr>
        <w:t> </w:t>
      </w:r>
      <w:r>
        <w:rPr>
          <w:color w:val="231F20"/>
        </w:rPr>
        <w:t>ammonia.</w:t>
      </w:r>
    </w:p>
    <w:p>
      <w:pPr>
        <w:pStyle w:val="BodyText"/>
        <w:spacing w:line="249" w:lineRule="auto"/>
        <w:ind w:left="319" w:right="1077" w:firstLine="240"/>
        <w:jc w:val="both"/>
      </w:pPr>
      <w:r>
        <w:rPr/>
        <w:pict>
          <v:shape style="position:absolute;margin-left:467.482605pt;margin-top:5.445525pt;width:3pt;height:8.7pt;mso-position-horizontal-relative:page;mso-position-vertical-relative:paragraph;z-index:-27248537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21.143372pt;margin-top:17.445524pt;width:3pt;height:8.7pt;mso-position-horizontal-relative:page;mso-position-vertical-relative:paragraph;z-index:-27248435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98.233002pt;margin-top:29.445524pt;width:3pt;height:8.7pt;mso-position-horizontal-relative:page;mso-position-vertical-relative:paragraph;z-index:-27248332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When</w:t>
      </w:r>
      <w:r>
        <w:rPr>
          <w:color w:val="231F20"/>
          <w:spacing w:val="-18"/>
          <w:w w:val="105"/>
        </w:rPr>
        <w:t> </w:t>
      </w:r>
      <w:r>
        <w:rPr>
          <w:color w:val="231F20"/>
          <w:w w:val="105"/>
        </w:rPr>
        <w:t>there</w:t>
      </w:r>
      <w:r>
        <w:rPr>
          <w:color w:val="231F20"/>
          <w:spacing w:val="-18"/>
          <w:w w:val="105"/>
        </w:rPr>
        <w:t> </w:t>
      </w:r>
      <w:r>
        <w:rPr>
          <w:color w:val="231F20"/>
          <w:w w:val="105"/>
        </w:rPr>
        <w:t>is</w:t>
      </w:r>
      <w:r>
        <w:rPr>
          <w:color w:val="231F20"/>
          <w:spacing w:val="-17"/>
          <w:w w:val="105"/>
        </w:rPr>
        <w:t> </w:t>
      </w:r>
      <w:r>
        <w:rPr>
          <w:color w:val="231F20"/>
          <w:w w:val="105"/>
        </w:rPr>
        <w:t>an</w:t>
      </w:r>
      <w:r>
        <w:rPr>
          <w:color w:val="231F20"/>
          <w:spacing w:val="-18"/>
          <w:w w:val="105"/>
        </w:rPr>
        <w:t> </w:t>
      </w:r>
      <w:r>
        <w:rPr>
          <w:color w:val="231F20"/>
          <w:w w:val="105"/>
        </w:rPr>
        <w:t>excess</w:t>
      </w:r>
      <w:r>
        <w:rPr>
          <w:color w:val="231F20"/>
          <w:spacing w:val="-18"/>
          <w:w w:val="105"/>
        </w:rPr>
        <w:t> </w:t>
      </w:r>
      <w:r>
        <w:rPr>
          <w:color w:val="231F20"/>
          <w:w w:val="105"/>
        </w:rPr>
        <w:t>of</w:t>
      </w:r>
      <w:r>
        <w:rPr>
          <w:color w:val="231F20"/>
          <w:spacing w:val="-17"/>
          <w:w w:val="105"/>
        </w:rPr>
        <w:t> </w:t>
      </w:r>
      <w:r>
        <w:rPr>
          <w:color w:val="231F20"/>
          <w:w w:val="105"/>
        </w:rPr>
        <w:t>HCO</w:t>
      </w:r>
      <w:r>
        <w:rPr>
          <w:color w:val="231F20"/>
          <w:spacing w:val="-3"/>
          <w:w w:val="105"/>
        </w:rPr>
        <w:t> </w:t>
      </w:r>
      <w:r>
        <w:rPr>
          <w:rFonts w:ascii="Consolas" w:hAnsi="Consolas"/>
          <w:color w:val="231F20"/>
          <w:w w:val="105"/>
          <w:position w:val="8"/>
          <w:sz w:val="12"/>
        </w:rPr>
        <w:t>−</w:t>
      </w:r>
      <w:r>
        <w:rPr>
          <w:rFonts w:ascii="Consolas" w:hAnsi="Consolas"/>
          <w:color w:val="231F20"/>
          <w:spacing w:val="-34"/>
          <w:w w:val="105"/>
          <w:position w:val="8"/>
          <w:sz w:val="12"/>
        </w:rPr>
        <w:t> </w:t>
      </w:r>
      <w:r>
        <w:rPr>
          <w:color w:val="231F20"/>
          <w:w w:val="105"/>
        </w:rPr>
        <w:t>over</w:t>
      </w:r>
      <w:r>
        <w:rPr>
          <w:color w:val="231F20"/>
          <w:spacing w:val="-18"/>
          <w:w w:val="105"/>
        </w:rPr>
        <w:t> </w:t>
      </w:r>
      <w:r>
        <w:rPr>
          <w:color w:val="231F20"/>
          <w:w w:val="105"/>
        </w:rPr>
        <w:t>H</w:t>
      </w:r>
      <w:r>
        <w:rPr>
          <w:rFonts w:ascii="Consolas" w:hAnsi="Consolas"/>
          <w:color w:val="231F20"/>
          <w:w w:val="105"/>
          <w:position w:val="8"/>
          <w:sz w:val="12"/>
        </w:rPr>
        <w:t>+</w:t>
      </w:r>
      <w:r>
        <w:rPr>
          <w:rFonts w:ascii="Consolas" w:hAnsi="Consolas"/>
          <w:color w:val="231F20"/>
          <w:spacing w:val="-34"/>
          <w:w w:val="105"/>
          <w:position w:val="8"/>
          <w:sz w:val="12"/>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urine, as</w:t>
      </w:r>
      <w:r>
        <w:rPr>
          <w:color w:val="231F20"/>
          <w:spacing w:val="-21"/>
          <w:w w:val="105"/>
        </w:rPr>
        <w:t> </w:t>
      </w:r>
      <w:r>
        <w:rPr>
          <w:color w:val="231F20"/>
          <w:w w:val="105"/>
        </w:rPr>
        <w:t>occurs</w:t>
      </w:r>
      <w:r>
        <w:rPr>
          <w:color w:val="231F20"/>
          <w:spacing w:val="-21"/>
          <w:w w:val="105"/>
        </w:rPr>
        <w:t> </w:t>
      </w:r>
      <w:r>
        <w:rPr>
          <w:color w:val="231F20"/>
          <w:w w:val="105"/>
        </w:rPr>
        <w:t>in</w:t>
      </w:r>
      <w:r>
        <w:rPr>
          <w:color w:val="231F20"/>
          <w:spacing w:val="-21"/>
          <w:w w:val="105"/>
        </w:rPr>
        <w:t> </w:t>
      </w:r>
      <w:r>
        <w:rPr>
          <w:color w:val="231F20"/>
          <w:w w:val="105"/>
        </w:rPr>
        <w:t>metabolic</w:t>
      </w:r>
      <w:r>
        <w:rPr>
          <w:color w:val="231F20"/>
          <w:spacing w:val="-21"/>
          <w:w w:val="105"/>
        </w:rPr>
        <w:t> </w:t>
      </w:r>
      <w:r>
        <w:rPr>
          <w:color w:val="231F20"/>
          <w:w w:val="105"/>
        </w:rPr>
        <w:t>alkalosis,</w:t>
      </w:r>
      <w:r>
        <w:rPr>
          <w:color w:val="231F20"/>
          <w:spacing w:val="-21"/>
          <w:w w:val="105"/>
        </w:rPr>
        <w:t> </w:t>
      </w:r>
      <w:r>
        <w:rPr>
          <w:color w:val="231F20"/>
          <w:w w:val="105"/>
        </w:rPr>
        <w:t>the</w:t>
      </w:r>
      <w:r>
        <w:rPr>
          <w:color w:val="231F20"/>
          <w:spacing w:val="-21"/>
          <w:w w:val="105"/>
        </w:rPr>
        <w:t> </w:t>
      </w:r>
      <w:r>
        <w:rPr>
          <w:color w:val="231F20"/>
          <w:w w:val="105"/>
        </w:rPr>
        <w:t>excess</w:t>
      </w:r>
      <w:r>
        <w:rPr>
          <w:color w:val="231F20"/>
          <w:spacing w:val="-21"/>
          <w:w w:val="105"/>
        </w:rPr>
        <w:t> </w:t>
      </w:r>
      <w:r>
        <w:rPr>
          <w:color w:val="231F20"/>
          <w:w w:val="105"/>
        </w:rPr>
        <w:t>HCO</w:t>
      </w:r>
      <w:r>
        <w:rPr>
          <w:color w:val="231F20"/>
          <w:spacing w:val="-9"/>
          <w:w w:val="105"/>
        </w:rPr>
        <w:t> </w:t>
      </w:r>
      <w:r>
        <w:rPr>
          <w:rFonts w:ascii="Consolas" w:hAnsi="Consolas"/>
          <w:color w:val="231F20"/>
          <w:w w:val="105"/>
          <w:position w:val="8"/>
          <w:sz w:val="12"/>
        </w:rPr>
        <w:t>−</w:t>
      </w:r>
      <w:r>
        <w:rPr>
          <w:rFonts w:ascii="Consolas" w:hAnsi="Consolas"/>
          <w:color w:val="231F20"/>
          <w:spacing w:val="-38"/>
          <w:w w:val="105"/>
          <w:position w:val="8"/>
          <w:sz w:val="12"/>
        </w:rPr>
        <w:t> </w:t>
      </w:r>
      <w:r>
        <w:rPr>
          <w:color w:val="231F20"/>
          <w:w w:val="105"/>
        </w:rPr>
        <w:t>cannot be reabsorbed; therefore, the excess HCO </w:t>
      </w:r>
      <w:r>
        <w:rPr>
          <w:rFonts w:ascii="Consolas" w:hAnsi="Consolas"/>
          <w:color w:val="231F20"/>
          <w:w w:val="105"/>
          <w:position w:val="8"/>
          <w:sz w:val="12"/>
        </w:rPr>
        <w:t>− </w:t>
      </w:r>
      <w:r>
        <w:rPr>
          <w:color w:val="231F20"/>
          <w:w w:val="105"/>
        </w:rPr>
        <w:t>is left in</w:t>
      </w:r>
      <w:r>
        <w:rPr>
          <w:color w:val="231F20"/>
          <w:spacing w:val="-19"/>
          <w:w w:val="105"/>
        </w:rPr>
        <w:t> </w:t>
      </w:r>
      <w:r>
        <w:rPr>
          <w:color w:val="231F20"/>
          <w:w w:val="105"/>
        </w:rPr>
        <w:t>the tubules and eventually excreted into the urine, which helps correct the metabolic</w:t>
      </w:r>
      <w:r>
        <w:rPr>
          <w:color w:val="231F20"/>
          <w:spacing w:val="4"/>
          <w:w w:val="105"/>
        </w:rPr>
        <w:t> </w:t>
      </w:r>
      <w:r>
        <w:rPr>
          <w:color w:val="231F20"/>
          <w:w w:val="105"/>
        </w:rPr>
        <w:t>alkalosis.</w:t>
      </w:r>
    </w:p>
    <w:p>
      <w:pPr>
        <w:pStyle w:val="BodyText"/>
        <w:spacing w:line="227" w:lineRule="exact"/>
        <w:ind w:left="559"/>
        <w:jc w:val="both"/>
      </w:pPr>
      <w:r>
        <w:rPr/>
        <w:pict>
          <v:shape style="position:absolute;margin-left:549.344177pt;margin-top:5.099822pt;width:3pt;height:8.7pt;mso-position-horizontal-relative:page;mso-position-vertical-relative:paragraph;z-index:-27248230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In </w:t>
      </w:r>
      <w:r>
        <w:rPr>
          <w:color w:val="231F20"/>
          <w:spacing w:val="18"/>
        </w:rPr>
        <w:t> </w:t>
      </w:r>
      <w:r>
        <w:rPr>
          <w:color w:val="231F20"/>
        </w:rPr>
        <w:t>acidosis, </w:t>
      </w:r>
      <w:r>
        <w:rPr>
          <w:color w:val="231F20"/>
          <w:spacing w:val="18"/>
        </w:rPr>
        <w:t> </w:t>
      </w:r>
      <w:r>
        <w:rPr>
          <w:color w:val="231F20"/>
        </w:rPr>
        <w:t>there </w:t>
      </w:r>
      <w:r>
        <w:rPr>
          <w:color w:val="231F20"/>
          <w:spacing w:val="19"/>
        </w:rPr>
        <w:t> </w:t>
      </w:r>
      <w:r>
        <w:rPr>
          <w:color w:val="231F20"/>
        </w:rPr>
        <w:t>is </w:t>
      </w:r>
      <w:r>
        <w:rPr>
          <w:color w:val="231F20"/>
          <w:spacing w:val="18"/>
        </w:rPr>
        <w:t> </w:t>
      </w:r>
      <w:r>
        <w:rPr>
          <w:color w:val="231F20"/>
        </w:rPr>
        <w:t>excess </w:t>
      </w:r>
      <w:r>
        <w:rPr>
          <w:color w:val="231F20"/>
          <w:spacing w:val="18"/>
        </w:rPr>
        <w:t> </w:t>
      </w:r>
      <w:r>
        <w:rPr>
          <w:color w:val="231F20"/>
        </w:rPr>
        <w:t>H</w:t>
      </w:r>
      <w:r>
        <w:rPr>
          <w:rFonts w:ascii="Consolas" w:hAnsi="Consolas"/>
          <w:color w:val="231F20"/>
          <w:position w:val="8"/>
          <w:sz w:val="12"/>
        </w:rPr>
        <w:t>+</w:t>
      </w:r>
      <w:r>
        <w:rPr>
          <w:rFonts w:ascii="Consolas" w:hAnsi="Consolas"/>
          <w:color w:val="231F20"/>
          <w:spacing w:val="53"/>
          <w:position w:val="8"/>
          <w:sz w:val="12"/>
        </w:rPr>
        <w:t> </w:t>
      </w:r>
      <w:r>
        <w:rPr>
          <w:color w:val="231F20"/>
        </w:rPr>
        <w:t>relative </w:t>
      </w:r>
      <w:r>
        <w:rPr>
          <w:color w:val="231F20"/>
          <w:spacing w:val="18"/>
        </w:rPr>
        <w:t> </w:t>
      </w:r>
      <w:r>
        <w:rPr>
          <w:color w:val="231F20"/>
        </w:rPr>
        <w:t>to </w:t>
      </w:r>
      <w:r>
        <w:rPr>
          <w:color w:val="231F20"/>
          <w:spacing w:val="18"/>
        </w:rPr>
        <w:t> </w:t>
      </w:r>
      <w:r>
        <w:rPr>
          <w:color w:val="231F20"/>
        </w:rPr>
        <w:t>HCO</w:t>
      </w:r>
      <w:r>
        <w:rPr>
          <w:color w:val="231F20"/>
          <w:spacing w:val="13"/>
        </w:rPr>
        <w:t> </w:t>
      </w:r>
      <w:r>
        <w:rPr>
          <w:rFonts w:ascii="Consolas" w:hAnsi="Consolas"/>
          <w:color w:val="231F20"/>
          <w:position w:val="8"/>
          <w:sz w:val="12"/>
        </w:rPr>
        <w:t>−</w:t>
      </w:r>
      <w:r>
        <w:rPr>
          <w:color w:val="231F20"/>
        </w:rPr>
        <w:t>,</w:t>
      </w:r>
    </w:p>
    <w:p>
      <w:pPr>
        <w:pStyle w:val="BodyText"/>
        <w:spacing w:line="87" w:lineRule="exact"/>
        <w:ind w:left="319"/>
        <w:jc w:val="both"/>
      </w:pPr>
      <w:r>
        <w:rPr>
          <w:color w:val="231F20"/>
          <w:w w:val="105"/>
        </w:rPr>
        <w:t>causing complete reabsorption of the HCO </w:t>
      </w:r>
      <w:r>
        <w:rPr>
          <w:rFonts w:ascii="Consolas" w:hAnsi="Consolas"/>
          <w:color w:val="231F20"/>
          <w:w w:val="105"/>
          <w:position w:val="8"/>
          <w:sz w:val="12"/>
        </w:rPr>
        <w:t>−</w:t>
      </w:r>
      <w:r>
        <w:rPr>
          <w:color w:val="231F20"/>
          <w:w w:val="105"/>
        </w:rPr>
        <w:t>; the</w:t>
      </w:r>
      <w:r>
        <w:rPr>
          <w:color w:val="231F20"/>
          <w:spacing w:val="-18"/>
          <w:w w:val="105"/>
        </w:rPr>
        <w:t> </w:t>
      </w:r>
      <w:r>
        <w:rPr>
          <w:color w:val="231F20"/>
          <w:w w:val="105"/>
        </w:rPr>
        <w:t>excess</w:t>
      </w:r>
    </w:p>
    <w:p>
      <w:pPr>
        <w:spacing w:after="0" w:line="87" w:lineRule="exact"/>
        <w:jc w:val="both"/>
        <w:sectPr>
          <w:type w:val="continuous"/>
          <w:pgSz w:w="12240" w:h="15660"/>
          <w:pgMar w:top="0" w:bottom="760" w:left="0" w:right="0"/>
          <w:cols w:num="2" w:equalWidth="0">
            <w:col w:w="6121" w:space="40"/>
            <w:col w:w="6079"/>
          </w:cols>
        </w:sectPr>
      </w:pPr>
    </w:p>
    <w:p>
      <w:pPr>
        <w:pStyle w:val="Heading2"/>
        <w:spacing w:before="11"/>
        <w:ind w:left="1439"/>
        <w:jc w:val="both"/>
      </w:pPr>
      <w:r>
        <w:rPr>
          <w:color w:val="231F20"/>
        </w:rPr>
        <w:t>INTERACTION WITH H</w:t>
      </w:r>
      <w:r>
        <w:rPr>
          <w:rFonts w:ascii="Consolas"/>
          <w:color w:val="231F20"/>
          <w:position w:val="9"/>
          <w:sz w:val="13"/>
        </w:rPr>
        <w:t>+ </w:t>
      </w:r>
      <w:r>
        <w:rPr>
          <w:color w:val="231F20"/>
        </w:rPr>
        <w:t>IN THE</w:t>
      </w:r>
      <w:r>
        <w:rPr>
          <w:color w:val="231F20"/>
          <w:spacing w:val="58"/>
        </w:rPr>
        <w:t> </w:t>
      </w:r>
      <w:r>
        <w:rPr>
          <w:color w:val="231F20"/>
        </w:rPr>
        <w:t>TUBULES</w:t>
      </w:r>
    </w:p>
    <w:p>
      <w:pPr>
        <w:pStyle w:val="BodyText"/>
        <w:spacing w:line="249" w:lineRule="auto" w:before="124"/>
        <w:ind w:left="1439"/>
        <w:jc w:val="both"/>
      </w:pPr>
      <w:r>
        <w:rPr/>
        <w:pict>
          <v:shape style="position:absolute;margin-left:299.754089pt;margin-top:23.461931pt;width:3pt;height:8.7pt;mso-position-horizontal-relative:page;mso-position-vertical-relative:paragraph;z-index:-27248128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83.451996pt;margin-top:47.461933pt;width:3pt;height:8.7pt;mso-position-horizontal-relative:page;mso-position-vertical-relative:paragraph;z-index:-27248025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Bicarbonate ions do not readily permeate the luminal membranes of the renal tubular cells; therefore, HCO </w:t>
      </w:r>
      <w:r>
        <w:rPr>
          <w:rFonts w:ascii="Consolas" w:hAnsi="Consolas"/>
          <w:color w:val="231F20"/>
          <w:spacing w:val="-12"/>
          <w:w w:val="105"/>
          <w:position w:val="8"/>
          <w:sz w:val="12"/>
        </w:rPr>
        <w:t>− </w:t>
      </w:r>
      <w:r>
        <w:rPr>
          <w:color w:val="231F20"/>
          <w:w w:val="105"/>
        </w:rPr>
        <w:t>that is filtered by the glomerulus cannot be</w:t>
      </w:r>
      <w:r>
        <w:rPr>
          <w:color w:val="231F20"/>
          <w:spacing w:val="27"/>
          <w:w w:val="105"/>
        </w:rPr>
        <w:t> </w:t>
      </w:r>
      <w:r>
        <w:rPr>
          <w:color w:val="231F20"/>
          <w:spacing w:val="-3"/>
          <w:w w:val="105"/>
        </w:rPr>
        <w:t>directly </w:t>
      </w:r>
      <w:r>
        <w:rPr>
          <w:color w:val="231F20"/>
          <w:w w:val="105"/>
        </w:rPr>
        <w:t>reabsorbed. Instead, HCO </w:t>
      </w:r>
      <w:r>
        <w:rPr>
          <w:rFonts w:ascii="Consolas" w:hAnsi="Consolas"/>
          <w:color w:val="231F20"/>
          <w:w w:val="105"/>
          <w:position w:val="8"/>
          <w:sz w:val="12"/>
        </w:rPr>
        <w:t>− </w:t>
      </w:r>
      <w:r>
        <w:rPr>
          <w:color w:val="231F20"/>
          <w:w w:val="105"/>
        </w:rPr>
        <w:t>is reabsorbed by a special process</w:t>
      </w:r>
      <w:r>
        <w:rPr>
          <w:color w:val="231F20"/>
          <w:spacing w:val="-20"/>
          <w:w w:val="105"/>
        </w:rPr>
        <w:t> </w:t>
      </w:r>
      <w:r>
        <w:rPr>
          <w:color w:val="231F20"/>
          <w:w w:val="105"/>
        </w:rPr>
        <w:t>in</w:t>
      </w:r>
      <w:r>
        <w:rPr>
          <w:color w:val="231F20"/>
          <w:spacing w:val="-19"/>
          <w:w w:val="105"/>
        </w:rPr>
        <w:t> </w:t>
      </w:r>
      <w:r>
        <w:rPr>
          <w:color w:val="231F20"/>
          <w:w w:val="105"/>
        </w:rPr>
        <w:t>which</w:t>
      </w:r>
      <w:r>
        <w:rPr>
          <w:color w:val="231F20"/>
          <w:spacing w:val="-19"/>
          <w:w w:val="105"/>
        </w:rPr>
        <w:t> </w:t>
      </w:r>
      <w:r>
        <w:rPr>
          <w:color w:val="231F20"/>
          <w:w w:val="105"/>
        </w:rPr>
        <w:t>it</w:t>
      </w:r>
      <w:r>
        <w:rPr>
          <w:color w:val="231F20"/>
          <w:spacing w:val="-20"/>
          <w:w w:val="105"/>
        </w:rPr>
        <w:t> </w:t>
      </w:r>
      <w:r>
        <w:rPr>
          <w:color w:val="231F20"/>
          <w:w w:val="105"/>
        </w:rPr>
        <w:t>first</w:t>
      </w:r>
      <w:r>
        <w:rPr>
          <w:color w:val="231F20"/>
          <w:spacing w:val="-20"/>
          <w:w w:val="105"/>
        </w:rPr>
        <w:t> </w:t>
      </w:r>
      <w:r>
        <w:rPr>
          <w:color w:val="231F20"/>
          <w:w w:val="105"/>
        </w:rPr>
        <w:t>combines</w:t>
      </w:r>
      <w:r>
        <w:rPr>
          <w:color w:val="231F20"/>
          <w:spacing w:val="-19"/>
          <w:w w:val="105"/>
        </w:rPr>
        <w:t> </w:t>
      </w:r>
      <w:r>
        <w:rPr>
          <w:color w:val="231F20"/>
          <w:w w:val="105"/>
        </w:rPr>
        <w:t>with</w:t>
      </w:r>
      <w:r>
        <w:rPr>
          <w:color w:val="231F20"/>
          <w:spacing w:val="-19"/>
          <w:w w:val="105"/>
        </w:rPr>
        <w:t> </w:t>
      </w:r>
      <w:r>
        <w:rPr>
          <w:color w:val="231F20"/>
          <w:w w:val="105"/>
        </w:rPr>
        <w:t>H</w:t>
      </w:r>
      <w:r>
        <w:rPr>
          <w:rFonts w:ascii="Consolas" w:hAnsi="Consolas"/>
          <w:color w:val="231F20"/>
          <w:w w:val="105"/>
          <w:position w:val="8"/>
          <w:sz w:val="12"/>
        </w:rPr>
        <w:t>+</w:t>
      </w:r>
      <w:r>
        <w:rPr>
          <w:rFonts w:ascii="Consolas" w:hAnsi="Consolas"/>
          <w:color w:val="231F20"/>
          <w:spacing w:val="-36"/>
          <w:w w:val="105"/>
          <w:position w:val="8"/>
          <w:sz w:val="12"/>
        </w:rPr>
        <w:t> </w:t>
      </w:r>
      <w:r>
        <w:rPr>
          <w:color w:val="231F20"/>
          <w:w w:val="105"/>
        </w:rPr>
        <w:t>to</w:t>
      </w:r>
      <w:r>
        <w:rPr>
          <w:color w:val="231F20"/>
          <w:spacing w:val="-20"/>
          <w:w w:val="105"/>
        </w:rPr>
        <w:t> </w:t>
      </w:r>
      <w:r>
        <w:rPr>
          <w:color w:val="231F20"/>
          <w:w w:val="105"/>
        </w:rPr>
        <w:t>form</w:t>
      </w:r>
      <w:r>
        <w:rPr>
          <w:color w:val="231F20"/>
          <w:spacing w:val="-19"/>
          <w:w w:val="105"/>
        </w:rPr>
        <w:t> </w:t>
      </w:r>
      <w:r>
        <w:rPr>
          <w:color w:val="231F20"/>
          <w:spacing w:val="-5"/>
          <w:w w:val="105"/>
        </w:rPr>
        <w:t>H</w:t>
      </w:r>
      <w:r>
        <w:rPr>
          <w:color w:val="231F20"/>
          <w:spacing w:val="-5"/>
          <w:w w:val="105"/>
          <w:vertAlign w:val="subscript"/>
        </w:rPr>
        <w:t>2</w:t>
      </w:r>
      <w:r>
        <w:rPr>
          <w:color w:val="231F20"/>
          <w:spacing w:val="-5"/>
          <w:w w:val="105"/>
          <w:vertAlign w:val="baseline"/>
        </w:rPr>
        <w:t>CO</w:t>
      </w:r>
      <w:r>
        <w:rPr>
          <w:color w:val="231F20"/>
          <w:spacing w:val="-5"/>
          <w:w w:val="105"/>
          <w:vertAlign w:val="subscript"/>
        </w:rPr>
        <w:t>3</w:t>
      </w:r>
      <w:r>
        <w:rPr>
          <w:color w:val="231F20"/>
          <w:spacing w:val="-5"/>
          <w:w w:val="105"/>
          <w:vertAlign w:val="baseline"/>
        </w:rPr>
        <w:t>, </w:t>
      </w:r>
      <w:r>
        <w:rPr>
          <w:color w:val="231F20"/>
          <w:w w:val="105"/>
          <w:vertAlign w:val="baseline"/>
        </w:rPr>
        <w:t>which eventually becomes CO</w:t>
      </w:r>
      <w:r>
        <w:rPr>
          <w:color w:val="231F20"/>
          <w:w w:val="105"/>
          <w:vertAlign w:val="subscript"/>
        </w:rPr>
        <w:t>2</w:t>
      </w:r>
      <w:r>
        <w:rPr>
          <w:color w:val="231F20"/>
          <w:w w:val="105"/>
          <w:vertAlign w:val="baseline"/>
        </w:rPr>
        <w:t> and H</w:t>
      </w:r>
      <w:r>
        <w:rPr>
          <w:color w:val="231F20"/>
          <w:w w:val="105"/>
          <w:vertAlign w:val="subscript"/>
        </w:rPr>
        <w:t>2</w:t>
      </w:r>
      <w:r>
        <w:rPr>
          <w:color w:val="231F20"/>
          <w:w w:val="105"/>
          <w:vertAlign w:val="baseline"/>
        </w:rPr>
        <w:t>O, as shown </w:t>
      </w:r>
      <w:r>
        <w:rPr>
          <w:color w:val="231F20"/>
          <w:spacing w:val="-15"/>
          <w:w w:val="105"/>
          <w:vertAlign w:val="baseline"/>
        </w:rPr>
        <w:t>in </w:t>
      </w:r>
      <w:hyperlink w:history="true" w:anchor="_bookmark106">
        <w:r>
          <w:rPr>
            <w:b/>
            <w:color w:val="0080AC"/>
            <w:w w:val="105"/>
            <w:vertAlign w:val="baseline"/>
          </w:rPr>
          <w:t>Figure</w:t>
        </w:r>
        <w:r>
          <w:rPr>
            <w:b/>
            <w:color w:val="0080AC"/>
            <w:spacing w:val="1"/>
            <w:w w:val="105"/>
            <w:vertAlign w:val="baseline"/>
          </w:rPr>
          <w:t> </w:t>
        </w:r>
        <w:r>
          <w:rPr>
            <w:b/>
            <w:color w:val="0080AC"/>
            <w:w w:val="105"/>
            <w:vertAlign w:val="baseline"/>
          </w:rPr>
          <w:t>31-5</w:t>
        </w:r>
      </w:hyperlink>
      <w:r>
        <w:rPr>
          <w:color w:val="231F20"/>
          <w:w w:val="105"/>
          <w:vertAlign w:val="baseline"/>
        </w:rPr>
        <w:t>.</w:t>
      </w:r>
    </w:p>
    <w:p>
      <w:pPr>
        <w:pStyle w:val="BodyText"/>
        <w:spacing w:line="249" w:lineRule="auto"/>
        <w:ind w:left="1439" w:firstLine="240"/>
        <w:jc w:val="both"/>
      </w:pPr>
      <w:r>
        <w:rPr/>
        <w:pict>
          <v:shape style="position:absolute;margin-left:194.672302pt;margin-top:5.445525pt;width:3pt;height:8.7pt;mso-position-horizontal-relative:page;mso-position-vertical-relative:paragraph;z-index:-27247923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92.031906pt;margin-top:17.445524pt;width:3pt;height:8.7pt;mso-position-horizontal-relative:page;mso-position-vertical-relative:paragraph;z-index:-2724782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52.514801pt;margin-top:101.445526pt;width:3pt;height:8.7pt;mso-position-horizontal-relative:page;mso-position-vertical-relative:paragraph;z-index:-27247411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40.861206pt;margin-top:101.445526pt;width:3pt;height:8.7pt;mso-position-horizontal-relative:page;mso-position-vertical-relative:paragraph;z-index:-27247308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This reabsorption of HCO </w:t>
      </w:r>
      <w:r>
        <w:rPr>
          <w:rFonts w:ascii="Consolas" w:hAnsi="Consolas"/>
          <w:color w:val="231F20"/>
          <w:w w:val="105"/>
          <w:position w:val="8"/>
          <w:sz w:val="12"/>
        </w:rPr>
        <w:t>− </w:t>
      </w:r>
      <w:r>
        <w:rPr>
          <w:color w:val="231F20"/>
          <w:w w:val="105"/>
        </w:rPr>
        <w:t>is initiated by a reaction in the tubules between HCO </w:t>
      </w:r>
      <w:r>
        <w:rPr>
          <w:rFonts w:ascii="Consolas" w:hAnsi="Consolas"/>
          <w:color w:val="231F20"/>
          <w:w w:val="105"/>
          <w:position w:val="8"/>
          <w:sz w:val="12"/>
        </w:rPr>
        <w:t>− </w:t>
      </w:r>
      <w:r>
        <w:rPr>
          <w:color w:val="231F20"/>
          <w:w w:val="105"/>
        </w:rPr>
        <w:t>filtered at the</w:t>
      </w:r>
      <w:r>
        <w:rPr>
          <w:color w:val="231F20"/>
          <w:spacing w:val="-17"/>
          <w:w w:val="105"/>
        </w:rPr>
        <w:t> </w:t>
      </w:r>
      <w:r>
        <w:rPr>
          <w:color w:val="231F20"/>
          <w:w w:val="105"/>
        </w:rPr>
        <w:t>glomerulus and H</w:t>
      </w:r>
      <w:r>
        <w:rPr>
          <w:rFonts w:ascii="Consolas" w:hAnsi="Consolas"/>
          <w:color w:val="231F20"/>
          <w:w w:val="105"/>
          <w:position w:val="8"/>
          <w:sz w:val="12"/>
        </w:rPr>
        <w:t>+ </w:t>
      </w:r>
      <w:r>
        <w:rPr>
          <w:color w:val="231F20"/>
          <w:w w:val="105"/>
        </w:rPr>
        <w:t>secreted by the tubular cells. The H</w:t>
      </w:r>
      <w:r>
        <w:rPr>
          <w:color w:val="231F20"/>
          <w:w w:val="105"/>
          <w:vertAlign w:val="subscript"/>
        </w:rPr>
        <w:t>2</w:t>
      </w:r>
      <w:r>
        <w:rPr>
          <w:color w:val="231F20"/>
          <w:w w:val="105"/>
          <w:vertAlign w:val="baseline"/>
        </w:rPr>
        <w:t>CO</w:t>
      </w:r>
      <w:r>
        <w:rPr>
          <w:color w:val="231F20"/>
          <w:w w:val="105"/>
          <w:vertAlign w:val="subscript"/>
        </w:rPr>
        <w:t>3</w:t>
      </w:r>
      <w:r>
        <w:rPr>
          <w:color w:val="231F20"/>
          <w:spacing w:val="-19"/>
          <w:w w:val="105"/>
          <w:vertAlign w:val="baseline"/>
        </w:rPr>
        <w:t> </w:t>
      </w:r>
      <w:r>
        <w:rPr>
          <w:color w:val="231F20"/>
          <w:spacing w:val="-5"/>
          <w:w w:val="105"/>
          <w:vertAlign w:val="baseline"/>
        </w:rPr>
        <w:t>formed </w:t>
      </w:r>
      <w:r>
        <w:rPr>
          <w:color w:val="231F20"/>
          <w:w w:val="105"/>
          <w:vertAlign w:val="baseline"/>
        </w:rPr>
        <w:t>then dissociates into CO</w:t>
      </w:r>
      <w:r>
        <w:rPr>
          <w:color w:val="231F20"/>
          <w:w w:val="105"/>
          <w:vertAlign w:val="subscript"/>
        </w:rPr>
        <w:t>2</w:t>
      </w:r>
      <w:r>
        <w:rPr>
          <w:color w:val="231F20"/>
          <w:w w:val="105"/>
          <w:vertAlign w:val="baseline"/>
        </w:rPr>
        <w:t> and H</w:t>
      </w:r>
      <w:r>
        <w:rPr>
          <w:color w:val="231F20"/>
          <w:w w:val="105"/>
          <w:vertAlign w:val="subscript"/>
        </w:rPr>
        <w:t>2</w:t>
      </w:r>
      <w:r>
        <w:rPr>
          <w:color w:val="231F20"/>
          <w:w w:val="105"/>
          <w:vertAlign w:val="baseline"/>
        </w:rPr>
        <w:t>O. The CO</w:t>
      </w:r>
      <w:r>
        <w:rPr>
          <w:color w:val="231F20"/>
          <w:w w:val="105"/>
          <w:vertAlign w:val="subscript"/>
        </w:rPr>
        <w:t>2</w:t>
      </w:r>
      <w:r>
        <w:rPr>
          <w:color w:val="231F20"/>
          <w:w w:val="105"/>
          <w:vertAlign w:val="baseline"/>
        </w:rPr>
        <w:t> can </w:t>
      </w:r>
      <w:r>
        <w:rPr>
          <w:color w:val="231F20"/>
          <w:spacing w:val="-11"/>
          <w:w w:val="105"/>
          <w:vertAlign w:val="baseline"/>
        </w:rPr>
        <w:t>move </w:t>
      </w:r>
      <w:r>
        <w:rPr>
          <w:color w:val="231F20"/>
          <w:w w:val="105"/>
          <w:vertAlign w:val="baseline"/>
        </w:rPr>
        <w:t>easily</w:t>
      </w:r>
      <w:r>
        <w:rPr>
          <w:color w:val="231F20"/>
          <w:spacing w:val="-20"/>
          <w:w w:val="105"/>
          <w:vertAlign w:val="baseline"/>
        </w:rPr>
        <w:t> </w:t>
      </w:r>
      <w:r>
        <w:rPr>
          <w:color w:val="231F20"/>
          <w:w w:val="105"/>
          <w:vertAlign w:val="baseline"/>
        </w:rPr>
        <w:t>across</w:t>
      </w:r>
      <w:r>
        <w:rPr>
          <w:color w:val="231F20"/>
          <w:spacing w:val="-19"/>
          <w:w w:val="105"/>
          <w:vertAlign w:val="baseline"/>
        </w:rPr>
        <w:t> </w:t>
      </w:r>
      <w:r>
        <w:rPr>
          <w:color w:val="231F20"/>
          <w:w w:val="105"/>
          <w:vertAlign w:val="baseline"/>
        </w:rPr>
        <w:t>the</w:t>
      </w:r>
      <w:r>
        <w:rPr>
          <w:color w:val="231F20"/>
          <w:spacing w:val="-19"/>
          <w:w w:val="105"/>
          <w:vertAlign w:val="baseline"/>
        </w:rPr>
        <w:t> </w:t>
      </w:r>
      <w:r>
        <w:rPr>
          <w:color w:val="231F20"/>
          <w:w w:val="105"/>
          <w:vertAlign w:val="baseline"/>
        </w:rPr>
        <w:t>tubular</w:t>
      </w:r>
      <w:r>
        <w:rPr>
          <w:color w:val="231F20"/>
          <w:spacing w:val="-19"/>
          <w:w w:val="105"/>
          <w:vertAlign w:val="baseline"/>
        </w:rPr>
        <w:t> </w:t>
      </w:r>
      <w:r>
        <w:rPr>
          <w:color w:val="231F20"/>
          <w:w w:val="105"/>
          <w:vertAlign w:val="baseline"/>
        </w:rPr>
        <w:t>membrane;</w:t>
      </w:r>
      <w:r>
        <w:rPr>
          <w:color w:val="231F20"/>
          <w:spacing w:val="-20"/>
          <w:w w:val="105"/>
          <w:vertAlign w:val="baseline"/>
        </w:rPr>
        <w:t> </w:t>
      </w:r>
      <w:r>
        <w:rPr>
          <w:color w:val="231F20"/>
          <w:w w:val="105"/>
          <w:vertAlign w:val="baseline"/>
        </w:rPr>
        <w:t>therefore,</w:t>
      </w:r>
      <w:r>
        <w:rPr>
          <w:color w:val="231F20"/>
          <w:spacing w:val="-19"/>
          <w:w w:val="105"/>
          <w:vertAlign w:val="baseline"/>
        </w:rPr>
        <w:t> </w:t>
      </w:r>
      <w:r>
        <w:rPr>
          <w:color w:val="231F20"/>
          <w:w w:val="105"/>
          <w:vertAlign w:val="baseline"/>
        </w:rPr>
        <w:t>it</w:t>
      </w:r>
      <w:r>
        <w:rPr>
          <w:color w:val="231F20"/>
          <w:spacing w:val="-19"/>
          <w:w w:val="105"/>
          <w:vertAlign w:val="baseline"/>
        </w:rPr>
        <w:t> </w:t>
      </w:r>
      <w:r>
        <w:rPr>
          <w:color w:val="231F20"/>
          <w:spacing w:val="-3"/>
          <w:w w:val="105"/>
          <w:vertAlign w:val="baseline"/>
        </w:rPr>
        <w:t>instantly </w:t>
      </w:r>
      <w:r>
        <w:rPr>
          <w:color w:val="231F20"/>
          <w:w w:val="105"/>
          <w:vertAlign w:val="baseline"/>
        </w:rPr>
        <w:t>diffuses into the tubular cell, where it recombines with H</w:t>
      </w:r>
      <w:r>
        <w:rPr>
          <w:color w:val="231F20"/>
          <w:w w:val="105"/>
          <w:vertAlign w:val="subscript"/>
        </w:rPr>
        <w:t>2</w:t>
      </w:r>
      <w:r>
        <w:rPr>
          <w:color w:val="231F20"/>
          <w:w w:val="105"/>
          <w:vertAlign w:val="baseline"/>
        </w:rPr>
        <w:t>O,</w:t>
      </w:r>
      <w:r>
        <w:rPr>
          <w:color w:val="231F20"/>
          <w:spacing w:val="-20"/>
          <w:w w:val="105"/>
          <w:vertAlign w:val="baseline"/>
        </w:rPr>
        <w:t> </w:t>
      </w:r>
      <w:r>
        <w:rPr>
          <w:color w:val="231F20"/>
          <w:w w:val="105"/>
          <w:vertAlign w:val="baseline"/>
        </w:rPr>
        <w:t>under</w:t>
      </w:r>
      <w:r>
        <w:rPr>
          <w:color w:val="231F20"/>
          <w:spacing w:val="-20"/>
          <w:w w:val="105"/>
          <w:vertAlign w:val="baseline"/>
        </w:rPr>
        <w:t> </w:t>
      </w:r>
      <w:r>
        <w:rPr>
          <w:color w:val="231F20"/>
          <w:w w:val="105"/>
          <w:vertAlign w:val="baseline"/>
        </w:rPr>
        <w:t>the</w:t>
      </w:r>
      <w:r>
        <w:rPr>
          <w:color w:val="231F20"/>
          <w:spacing w:val="-20"/>
          <w:w w:val="105"/>
          <w:vertAlign w:val="baseline"/>
        </w:rPr>
        <w:t> </w:t>
      </w:r>
      <w:r>
        <w:rPr>
          <w:color w:val="231F20"/>
          <w:w w:val="105"/>
          <w:vertAlign w:val="baseline"/>
        </w:rPr>
        <w:t>influence</w:t>
      </w:r>
      <w:r>
        <w:rPr>
          <w:color w:val="231F20"/>
          <w:spacing w:val="-20"/>
          <w:w w:val="105"/>
          <w:vertAlign w:val="baseline"/>
        </w:rPr>
        <w:t> </w:t>
      </w:r>
      <w:r>
        <w:rPr>
          <w:color w:val="231F20"/>
          <w:w w:val="105"/>
          <w:vertAlign w:val="baseline"/>
        </w:rPr>
        <w:t>of</w:t>
      </w:r>
      <w:r>
        <w:rPr>
          <w:color w:val="231F20"/>
          <w:spacing w:val="-20"/>
          <w:w w:val="105"/>
          <w:vertAlign w:val="baseline"/>
        </w:rPr>
        <w:t> </w:t>
      </w:r>
      <w:r>
        <w:rPr>
          <w:color w:val="231F20"/>
          <w:w w:val="105"/>
          <w:vertAlign w:val="baseline"/>
        </w:rPr>
        <w:t>carbonic</w:t>
      </w:r>
      <w:r>
        <w:rPr>
          <w:color w:val="231F20"/>
          <w:spacing w:val="-20"/>
          <w:w w:val="105"/>
          <w:vertAlign w:val="baseline"/>
        </w:rPr>
        <w:t> </w:t>
      </w:r>
      <w:r>
        <w:rPr>
          <w:color w:val="231F20"/>
          <w:w w:val="105"/>
          <w:vertAlign w:val="baseline"/>
        </w:rPr>
        <w:t>anhydrase,</w:t>
      </w:r>
      <w:r>
        <w:rPr>
          <w:color w:val="231F20"/>
          <w:spacing w:val="-20"/>
          <w:w w:val="105"/>
          <w:vertAlign w:val="baseline"/>
        </w:rPr>
        <w:t> </w:t>
      </w:r>
      <w:r>
        <w:rPr>
          <w:color w:val="231F20"/>
          <w:w w:val="105"/>
          <w:vertAlign w:val="baseline"/>
        </w:rPr>
        <w:t>to</w:t>
      </w:r>
      <w:r>
        <w:rPr>
          <w:color w:val="231F20"/>
          <w:spacing w:val="-20"/>
          <w:w w:val="105"/>
          <w:vertAlign w:val="baseline"/>
        </w:rPr>
        <w:t> </w:t>
      </w:r>
      <w:r>
        <w:rPr>
          <w:color w:val="231F20"/>
          <w:spacing w:val="-6"/>
          <w:w w:val="105"/>
          <w:vertAlign w:val="baseline"/>
        </w:rPr>
        <w:t>gener- </w:t>
      </w:r>
      <w:r>
        <w:rPr>
          <w:color w:val="231F20"/>
          <w:w w:val="105"/>
          <w:vertAlign w:val="baseline"/>
        </w:rPr>
        <w:t>ate a new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molecule. This 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 in turn </w:t>
      </w:r>
      <w:r>
        <w:rPr>
          <w:color w:val="231F20"/>
          <w:spacing w:val="-6"/>
          <w:w w:val="105"/>
          <w:vertAlign w:val="baseline"/>
        </w:rPr>
        <w:t>dissoci- </w:t>
      </w:r>
      <w:r>
        <w:rPr>
          <w:color w:val="231F20"/>
          <w:w w:val="105"/>
          <w:vertAlign w:val="baseline"/>
        </w:rPr>
        <w:t>ates</w:t>
      </w:r>
      <w:r>
        <w:rPr>
          <w:color w:val="231F20"/>
          <w:spacing w:val="32"/>
          <w:w w:val="105"/>
          <w:vertAlign w:val="baseline"/>
        </w:rPr>
        <w:t> </w:t>
      </w:r>
      <w:r>
        <w:rPr>
          <w:color w:val="231F20"/>
          <w:w w:val="105"/>
          <w:vertAlign w:val="baseline"/>
        </w:rPr>
        <w:t>to</w:t>
      </w:r>
      <w:r>
        <w:rPr>
          <w:color w:val="231F20"/>
          <w:spacing w:val="32"/>
          <w:w w:val="105"/>
          <w:vertAlign w:val="baseline"/>
        </w:rPr>
        <w:t> </w:t>
      </w:r>
      <w:r>
        <w:rPr>
          <w:color w:val="231F20"/>
          <w:w w:val="105"/>
          <w:vertAlign w:val="baseline"/>
        </w:rPr>
        <w:t>form</w:t>
      </w:r>
      <w:r>
        <w:rPr>
          <w:color w:val="231F20"/>
          <w:spacing w:val="33"/>
          <w:w w:val="105"/>
          <w:vertAlign w:val="baseline"/>
        </w:rPr>
        <w:t> </w:t>
      </w:r>
      <w:r>
        <w:rPr>
          <w:color w:val="231F20"/>
          <w:w w:val="105"/>
          <w:vertAlign w:val="baseline"/>
        </w:rPr>
        <w:t>HCO</w:t>
      </w:r>
      <w:r>
        <w:rPr>
          <w:color w:val="231F20"/>
          <w:spacing w:val="2"/>
          <w:w w:val="105"/>
          <w:vertAlign w:val="baseline"/>
        </w:rPr>
        <w:t> </w:t>
      </w:r>
      <w:r>
        <w:rPr>
          <w:rFonts w:ascii="Consolas" w:hAnsi="Consolas"/>
          <w:color w:val="231F20"/>
          <w:w w:val="105"/>
          <w:position w:val="8"/>
          <w:sz w:val="12"/>
          <w:vertAlign w:val="baseline"/>
        </w:rPr>
        <w:t>−</w:t>
      </w:r>
      <w:r>
        <w:rPr>
          <w:rFonts w:ascii="Consolas" w:hAnsi="Consolas"/>
          <w:color w:val="231F20"/>
          <w:spacing w:val="16"/>
          <w:w w:val="105"/>
          <w:position w:val="8"/>
          <w:sz w:val="12"/>
          <w:vertAlign w:val="baseline"/>
        </w:rPr>
        <w:t> </w:t>
      </w:r>
      <w:r>
        <w:rPr>
          <w:color w:val="231F20"/>
          <w:w w:val="105"/>
          <w:vertAlign w:val="baseline"/>
        </w:rPr>
        <w:t>and</w:t>
      </w:r>
      <w:r>
        <w:rPr>
          <w:color w:val="231F20"/>
          <w:spacing w:val="32"/>
          <w:w w:val="105"/>
          <w:vertAlign w:val="baseline"/>
        </w:rPr>
        <w:t> </w:t>
      </w:r>
      <w:r>
        <w:rPr>
          <w:color w:val="231F20"/>
          <w:w w:val="105"/>
          <w:vertAlign w:val="baseline"/>
        </w:rPr>
        <w:t>H</w:t>
      </w:r>
      <w:r>
        <w:rPr>
          <w:rFonts w:ascii="Consolas" w:hAnsi="Consolas"/>
          <w:color w:val="231F20"/>
          <w:w w:val="105"/>
          <w:position w:val="8"/>
          <w:sz w:val="12"/>
          <w:vertAlign w:val="baseline"/>
        </w:rPr>
        <w:t>+</w:t>
      </w:r>
      <w:r>
        <w:rPr>
          <w:color w:val="231F20"/>
          <w:w w:val="105"/>
          <w:vertAlign w:val="baseline"/>
        </w:rPr>
        <w:t>;</w:t>
      </w:r>
      <w:r>
        <w:rPr>
          <w:color w:val="231F20"/>
          <w:spacing w:val="33"/>
          <w:w w:val="105"/>
          <w:vertAlign w:val="baseline"/>
        </w:rPr>
        <w:t> </w:t>
      </w:r>
      <w:r>
        <w:rPr>
          <w:color w:val="231F20"/>
          <w:w w:val="105"/>
          <w:vertAlign w:val="baseline"/>
        </w:rPr>
        <w:t>the</w:t>
      </w:r>
      <w:r>
        <w:rPr>
          <w:color w:val="231F20"/>
          <w:spacing w:val="32"/>
          <w:w w:val="105"/>
          <w:vertAlign w:val="baseline"/>
        </w:rPr>
        <w:t> </w:t>
      </w:r>
      <w:r>
        <w:rPr>
          <w:color w:val="231F20"/>
          <w:w w:val="105"/>
          <w:vertAlign w:val="baseline"/>
        </w:rPr>
        <w:t>HCO</w:t>
      </w:r>
      <w:r>
        <w:rPr>
          <w:color w:val="231F20"/>
          <w:spacing w:val="3"/>
          <w:w w:val="105"/>
          <w:vertAlign w:val="baseline"/>
        </w:rPr>
        <w:t> </w:t>
      </w:r>
      <w:r>
        <w:rPr>
          <w:rFonts w:ascii="Consolas" w:hAnsi="Consolas"/>
          <w:color w:val="231F20"/>
          <w:w w:val="105"/>
          <w:position w:val="8"/>
          <w:sz w:val="12"/>
          <w:vertAlign w:val="baseline"/>
        </w:rPr>
        <w:t>−</w:t>
      </w:r>
      <w:r>
        <w:rPr>
          <w:rFonts w:ascii="Consolas" w:hAnsi="Consolas"/>
          <w:color w:val="231F20"/>
          <w:spacing w:val="15"/>
          <w:w w:val="105"/>
          <w:position w:val="8"/>
          <w:sz w:val="12"/>
          <w:vertAlign w:val="baseline"/>
        </w:rPr>
        <w:t> </w:t>
      </w:r>
      <w:r>
        <w:rPr>
          <w:color w:val="231F20"/>
          <w:w w:val="105"/>
          <w:vertAlign w:val="baseline"/>
        </w:rPr>
        <w:t>then</w:t>
      </w:r>
      <w:r>
        <w:rPr>
          <w:color w:val="231F20"/>
          <w:spacing w:val="33"/>
          <w:w w:val="105"/>
          <w:vertAlign w:val="baseline"/>
        </w:rPr>
        <w:t> </w:t>
      </w:r>
      <w:r>
        <w:rPr>
          <w:color w:val="231F20"/>
          <w:w w:val="105"/>
          <w:vertAlign w:val="baseline"/>
        </w:rPr>
        <w:t>diffuses</w:t>
      </w:r>
    </w:p>
    <w:p>
      <w:pPr>
        <w:spacing w:line="135" w:lineRule="exact" w:before="18"/>
        <w:ind w:left="3514" w:right="1672" w:firstLine="0"/>
        <w:jc w:val="center"/>
        <w:rPr>
          <w:sz w:val="12"/>
        </w:rPr>
      </w:pPr>
      <w:r>
        <w:rPr/>
        <w:br w:type="column"/>
      </w:r>
      <w:r>
        <w:rPr>
          <w:color w:val="231F20"/>
          <w:sz w:val="12"/>
        </w:rPr>
        <w:t>3</w:t>
      </w:r>
    </w:p>
    <w:p>
      <w:pPr>
        <w:pStyle w:val="BodyText"/>
        <w:spacing w:line="249" w:lineRule="auto"/>
        <w:ind w:left="319" w:right="1077" w:hanging="1"/>
        <w:jc w:val="both"/>
      </w:pPr>
      <w:r>
        <w:rPr/>
        <w:pict>
          <v:shape style="position:absolute;margin-left:487.915009pt;margin-top:53.445526pt;width:3pt;height:8.7pt;mso-position-horizontal-relative:page;mso-position-vertical-relative:paragraph;z-index:-27247718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H</w:t>
      </w:r>
      <w:r>
        <w:rPr>
          <w:rFonts w:ascii="Consolas" w:hAnsi="Consolas"/>
          <w:color w:val="231F20"/>
          <w:position w:val="8"/>
          <w:sz w:val="12"/>
        </w:rPr>
        <w:t>+ </w:t>
      </w:r>
      <w:r>
        <w:rPr>
          <w:color w:val="231F20"/>
        </w:rPr>
        <w:t>passes into the urine in combination with urinary buffers, especially phosphate and ammonia, and eventu- ally is excreted as salts. Thus, the basic mechanism by which the kidneys correct either acidosis or alkalosis is incomplete titration of H</w:t>
      </w:r>
      <w:r>
        <w:rPr>
          <w:rFonts w:ascii="Consolas" w:hAnsi="Consolas"/>
          <w:color w:val="231F20"/>
          <w:position w:val="8"/>
          <w:sz w:val="12"/>
        </w:rPr>
        <w:t>+ </w:t>
      </w:r>
      <w:r>
        <w:rPr>
          <w:color w:val="231F20"/>
        </w:rPr>
        <w:t>against HCO </w:t>
      </w:r>
      <w:r>
        <w:rPr>
          <w:rFonts w:ascii="Consolas" w:hAnsi="Consolas"/>
          <w:color w:val="231F20"/>
          <w:position w:val="8"/>
          <w:sz w:val="12"/>
        </w:rPr>
        <w:t>−</w:t>
      </w:r>
      <w:r>
        <w:rPr>
          <w:color w:val="231F20"/>
        </w:rPr>
        <w:t>, leaving one or the other to pass into the urine and be removed from the extracellular fluid.</w:t>
      </w:r>
    </w:p>
    <w:p>
      <w:pPr>
        <w:pStyle w:val="BodyText"/>
        <w:spacing w:before="4"/>
        <w:rPr>
          <w:sz w:val="30"/>
        </w:rPr>
      </w:pPr>
    </w:p>
    <w:p>
      <w:pPr>
        <w:pStyle w:val="Heading2"/>
        <w:spacing w:line="225" w:lineRule="auto"/>
        <w:ind w:right="1844"/>
      </w:pPr>
      <w:r>
        <w:rPr>
          <w:color w:val="231F20"/>
        </w:rPr>
        <w:t>PRIMARY ACTIVE SECRETION  OF  H</w:t>
      </w:r>
      <w:r>
        <w:rPr>
          <w:rFonts w:ascii="Consolas"/>
          <w:color w:val="231F20"/>
          <w:position w:val="9"/>
          <w:sz w:val="13"/>
        </w:rPr>
        <w:t>+ </w:t>
      </w:r>
      <w:r>
        <w:rPr>
          <w:color w:val="231F20"/>
        </w:rPr>
        <w:t>IN THE INTERCALATED CELLS OF </w:t>
      </w:r>
      <w:r>
        <w:rPr>
          <w:color w:val="231F20"/>
          <w:spacing w:val="-9"/>
        </w:rPr>
        <w:t>LATE </w:t>
      </w:r>
      <w:r>
        <w:rPr>
          <w:color w:val="231F20"/>
          <w:spacing w:val="-3"/>
        </w:rPr>
        <w:t>DISTAL </w:t>
      </w:r>
      <w:r>
        <w:rPr>
          <w:color w:val="231F20"/>
        </w:rPr>
        <w:t>AND COLLECTING</w:t>
      </w:r>
      <w:r>
        <w:rPr>
          <w:color w:val="231F20"/>
          <w:spacing w:val="-7"/>
        </w:rPr>
        <w:t> </w:t>
      </w:r>
      <w:r>
        <w:rPr>
          <w:color w:val="231F20"/>
        </w:rPr>
        <w:t>TUBULES</w:t>
      </w:r>
    </w:p>
    <w:p>
      <w:pPr>
        <w:pStyle w:val="BodyText"/>
        <w:spacing w:line="249" w:lineRule="auto" w:before="127"/>
        <w:ind w:left="319" w:right="1077"/>
        <w:jc w:val="both"/>
      </w:pPr>
      <w:r>
        <w:rPr>
          <w:color w:val="231F20"/>
          <w:w w:val="105"/>
        </w:rPr>
        <w:t>Beginning in the late distal tubules and </w:t>
      </w:r>
      <w:r>
        <w:rPr>
          <w:color w:val="231F20"/>
          <w:spacing w:val="-3"/>
          <w:w w:val="105"/>
        </w:rPr>
        <w:t>continuing </w:t>
      </w:r>
      <w:r>
        <w:rPr>
          <w:color w:val="231F20"/>
          <w:w w:val="105"/>
        </w:rPr>
        <w:t>through the remainder of the tubular system, the</w:t>
      </w:r>
      <w:r>
        <w:rPr>
          <w:color w:val="231F20"/>
          <w:spacing w:val="-22"/>
          <w:w w:val="105"/>
        </w:rPr>
        <w:t> </w:t>
      </w:r>
      <w:r>
        <w:rPr>
          <w:color w:val="231F20"/>
          <w:w w:val="105"/>
        </w:rPr>
        <w:t>tubular epithelium secretes H</w:t>
      </w:r>
      <w:r>
        <w:rPr>
          <w:rFonts w:ascii="Consolas"/>
          <w:color w:val="231F20"/>
          <w:w w:val="105"/>
          <w:position w:val="8"/>
          <w:sz w:val="12"/>
        </w:rPr>
        <w:t>+</w:t>
      </w:r>
      <w:r>
        <w:rPr>
          <w:rFonts w:ascii="Consolas"/>
          <w:color w:val="231F20"/>
          <w:spacing w:val="-45"/>
          <w:w w:val="105"/>
          <w:position w:val="8"/>
          <w:sz w:val="12"/>
        </w:rPr>
        <w:t> </w:t>
      </w:r>
      <w:r>
        <w:rPr>
          <w:color w:val="231F20"/>
          <w:w w:val="105"/>
        </w:rPr>
        <w:t>by </w:t>
      </w:r>
      <w:r>
        <w:rPr>
          <w:i/>
          <w:color w:val="231F20"/>
          <w:w w:val="105"/>
        </w:rPr>
        <w:t>primary active transport. </w:t>
      </w:r>
      <w:r>
        <w:rPr>
          <w:color w:val="231F20"/>
          <w:w w:val="105"/>
        </w:rPr>
        <w:t>The characteristics of this transport are different from those discussed</w:t>
      </w:r>
      <w:r>
        <w:rPr>
          <w:color w:val="231F20"/>
          <w:spacing w:val="-28"/>
          <w:w w:val="105"/>
        </w:rPr>
        <w:t> </w:t>
      </w:r>
      <w:r>
        <w:rPr>
          <w:color w:val="231F20"/>
          <w:w w:val="105"/>
        </w:rPr>
        <w:t>for</w:t>
      </w:r>
      <w:r>
        <w:rPr>
          <w:color w:val="231F20"/>
          <w:spacing w:val="-28"/>
          <w:w w:val="105"/>
        </w:rPr>
        <w:t> </w:t>
      </w:r>
      <w:r>
        <w:rPr>
          <w:color w:val="231F20"/>
          <w:w w:val="105"/>
        </w:rPr>
        <w:t>the</w:t>
      </w:r>
      <w:r>
        <w:rPr>
          <w:color w:val="231F20"/>
          <w:spacing w:val="-28"/>
          <w:w w:val="105"/>
        </w:rPr>
        <w:t> </w:t>
      </w:r>
      <w:r>
        <w:rPr>
          <w:color w:val="231F20"/>
          <w:w w:val="105"/>
        </w:rPr>
        <w:t>proximal</w:t>
      </w:r>
      <w:r>
        <w:rPr>
          <w:color w:val="231F20"/>
          <w:spacing w:val="-27"/>
          <w:w w:val="105"/>
        </w:rPr>
        <w:t> </w:t>
      </w:r>
      <w:r>
        <w:rPr>
          <w:color w:val="231F20"/>
          <w:w w:val="105"/>
        </w:rPr>
        <w:t>tubule,</w:t>
      </w:r>
      <w:r>
        <w:rPr>
          <w:color w:val="231F20"/>
          <w:spacing w:val="-28"/>
          <w:w w:val="105"/>
        </w:rPr>
        <w:t> </w:t>
      </w:r>
      <w:r>
        <w:rPr>
          <w:color w:val="231F20"/>
          <w:w w:val="105"/>
        </w:rPr>
        <w:t>loop</w:t>
      </w:r>
      <w:r>
        <w:rPr>
          <w:color w:val="231F20"/>
          <w:spacing w:val="-28"/>
          <w:w w:val="105"/>
        </w:rPr>
        <w:t> </w:t>
      </w:r>
      <w:r>
        <w:rPr>
          <w:color w:val="231F20"/>
          <w:w w:val="105"/>
        </w:rPr>
        <w:t>of</w:t>
      </w:r>
      <w:r>
        <w:rPr>
          <w:color w:val="231F20"/>
          <w:spacing w:val="-27"/>
          <w:w w:val="105"/>
        </w:rPr>
        <w:t> </w:t>
      </w:r>
      <w:r>
        <w:rPr>
          <w:color w:val="231F20"/>
          <w:w w:val="105"/>
        </w:rPr>
        <w:t>Henle,</w:t>
      </w:r>
      <w:r>
        <w:rPr>
          <w:color w:val="231F20"/>
          <w:spacing w:val="-28"/>
          <w:w w:val="105"/>
        </w:rPr>
        <w:t> </w:t>
      </w:r>
      <w:r>
        <w:rPr>
          <w:color w:val="231F20"/>
          <w:w w:val="105"/>
        </w:rPr>
        <w:t>and</w:t>
      </w:r>
      <w:r>
        <w:rPr>
          <w:color w:val="231F20"/>
          <w:spacing w:val="-28"/>
          <w:w w:val="105"/>
        </w:rPr>
        <w:t> </w:t>
      </w:r>
      <w:r>
        <w:rPr>
          <w:color w:val="231F20"/>
          <w:spacing w:val="-4"/>
          <w:w w:val="105"/>
        </w:rPr>
        <w:t>early</w:t>
      </w:r>
    </w:p>
    <w:p>
      <w:pPr>
        <w:spacing w:after="0" w:line="249" w:lineRule="auto"/>
        <w:jc w:val="both"/>
        <w:sectPr>
          <w:type w:val="continuous"/>
          <w:pgSz w:w="12240" w:h="15660"/>
          <w:pgMar w:top="0" w:bottom="760" w:left="0" w:right="0"/>
          <w:cols w:num="2" w:equalWidth="0">
            <w:col w:w="6121" w:space="40"/>
            <w:col w:w="6079"/>
          </w:cols>
        </w:sectPr>
      </w:pPr>
    </w:p>
    <w:p>
      <w:pPr>
        <w:pStyle w:val="BodyText"/>
        <w:tabs>
          <w:tab w:pos="6479" w:val="left" w:leader="none"/>
        </w:tabs>
        <w:spacing w:line="218" w:lineRule="exact"/>
        <w:ind w:left="1439"/>
      </w:pPr>
      <w:r>
        <w:rPr/>
        <w:pict>
          <v:group style="position:absolute;margin-left:0pt;margin-top:0pt;width:612pt;height:180pt;mso-position-horizontal-relative:page;mso-position-vertical-relative:page;z-index:-27250176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w10:wrap type="none"/>
          </v:group>
        </w:pict>
      </w:r>
      <w:r>
        <w:rPr>
          <w:color w:val="231F20"/>
          <w:w w:val="105"/>
        </w:rPr>
        <w:t>through  the  basolateral  membrane  into</w:t>
      </w:r>
      <w:r>
        <w:rPr>
          <w:color w:val="231F20"/>
          <w:spacing w:val="-24"/>
          <w:w w:val="105"/>
        </w:rPr>
        <w:t> </w:t>
      </w:r>
      <w:r>
        <w:rPr>
          <w:color w:val="231F20"/>
          <w:w w:val="105"/>
        </w:rPr>
        <w:t>the</w:t>
      </w:r>
      <w:r>
        <w:rPr>
          <w:color w:val="231F20"/>
          <w:spacing w:val="38"/>
          <w:w w:val="105"/>
        </w:rPr>
        <w:t> </w:t>
      </w:r>
      <w:r>
        <w:rPr>
          <w:color w:val="231F20"/>
          <w:w w:val="105"/>
        </w:rPr>
        <w:t>interstitial</w:t>
        <w:tab/>
        <w:t>distal</w:t>
      </w:r>
      <w:r>
        <w:rPr>
          <w:color w:val="231F20"/>
          <w:spacing w:val="3"/>
          <w:w w:val="105"/>
        </w:rPr>
        <w:t> </w:t>
      </w:r>
      <w:r>
        <w:rPr>
          <w:color w:val="231F20"/>
          <w:w w:val="105"/>
        </w:rPr>
        <w:t>tubule.</w:t>
      </w:r>
    </w:p>
    <w:p>
      <w:pPr>
        <w:spacing w:after="0" w:line="218" w:lineRule="exact"/>
        <w:sectPr>
          <w:type w:val="continuous"/>
          <w:pgSz w:w="12240" w:h="15660"/>
          <w:pgMar w:top="0" w:bottom="760" w:left="0" w:right="0"/>
        </w:sectPr>
      </w:pPr>
    </w:p>
    <w:p>
      <w:pPr>
        <w:pStyle w:val="BodyText"/>
        <w:spacing w:before="2"/>
        <w:rPr>
          <w:sz w:val="19"/>
        </w:rPr>
      </w:pPr>
    </w:p>
    <w:p>
      <w:pPr>
        <w:pStyle w:val="BodyText"/>
        <w:spacing w:line="249" w:lineRule="auto" w:before="99"/>
        <w:ind w:left="6120" w:right="1314"/>
      </w:pPr>
      <w:r>
        <w:rPr/>
        <w:pict>
          <v:group style="position:absolute;margin-left:64.2743pt;margin-top:6.360362pt;width:214.5pt;height:187.85pt;mso-position-horizontal-relative:page;mso-position-vertical-relative:paragraph;z-index:252953600" coordorigin="1285,127" coordsize="4290,3757">
            <v:shape style="position:absolute;left:2087;top:149;width:2782;height:799" coordorigin="2087,150" coordsize="2782,799" path="m4869,150l2087,152,2087,576,2101,642,2137,696,2191,732,2257,745,3876,745,3907,746,3984,754,4086,776,4190,817,4243,845,4308,875,4381,904,4457,928,4532,944,4601,948,4665,940,4725,921,4779,888,4822,840,4853,774,4869,687,4869,150xe" filled="true" fillcolor="#feebde" stroked="false">
              <v:path arrowok="t"/>
              <v:fill type="solid"/>
            </v:shape>
            <v:shape style="position:absolute;left:2087;top:149;width:2782;height:799" coordorigin="2087,150" coordsize="2782,799" path="m4869,150l4869,687,4853,774,4822,840,4779,888,4725,921,4665,940,4601,948,4532,944,4457,928,4381,904,4308,875,4243,845,4190,817,4086,776,3984,754,3907,746,3876,745,2257,745,2191,732,2137,696,2101,642,2087,576,2087,152e" filled="false" stroked="true" strokeweight=".5pt" strokecolor="#b7705b">
              <v:path arrowok="t"/>
              <v:stroke dashstyle="solid"/>
            </v:shape>
            <v:shape style="position:absolute;left:2087;top:998;width:2782;height:2880" coordorigin="2087,999" coordsize="2782,2880" path="m4601,999l4532,1003,4457,1018,4381,1043,4308,1072,4243,1102,4190,1129,4111,1171,4053,1192,3984,1200,3876,1201,2257,1201,2191,1215,2137,1251,2101,1305,2087,1371,2087,3506,2101,3572,2137,3626,2191,3663,2257,3676,3876,3676,3907,3677,3984,3685,4086,3706,4190,3748,4243,3776,4308,3806,4381,3835,4457,3859,4532,3875,4601,3879,4665,3871,4725,3851,4779,3819,4822,3771,4853,3704,4869,3617,4869,1260,4853,1173,4822,1107,4779,1058,4725,1026,4665,1007,4601,999xe" filled="true" fillcolor="#feebde" stroked="false">
              <v:path arrowok="t"/>
              <v:fill type="solid"/>
            </v:shape>
            <v:shape style="position:absolute;left:2087;top:998;width:2782;height:2880" coordorigin="2087,999" coordsize="2782,2880" path="m4869,3617l4853,3704,4822,3771,4779,3819,4725,3851,4665,3871,4601,3879,4532,3875,4457,3859,4381,3835,4308,3806,4243,3776,4190,3748,4086,3706,3984,3685,3907,3677,3876,3676,2257,3676,2191,3663,2137,3626,2101,3572,2087,3506,2087,1371,2101,1305,2137,1251,2191,1215,2257,1201,3876,1201,3984,1200,4053,1192,4111,1171,4190,1129,4243,1102,4308,1072,4381,1043,4457,1018,4532,1003,4601,999,4665,1007,4725,1026,4779,1058,4822,1107,4853,1173,4869,1260,4869,3617xe" filled="false" stroked="true" strokeweight=".5pt" strokecolor="#b7705b">
              <v:path arrowok="t"/>
              <v:stroke dashstyle="solid"/>
            </v:shape>
            <v:shape style="position:absolute;left:2005;top:3290;width:165;height:150" type="#_x0000_t75" stroked="false">
              <v:imagedata r:id="rId978" o:title=""/>
            </v:shape>
            <v:shape style="position:absolute;left:2005;top:3270;width:160;height:190" coordorigin="2006,3271" coordsize="160,190" path="m2166,3421l2006,3421,2006,3461,2166,3461,2166,3421m2166,3271l2006,3271,2006,3311,2166,3311,2166,3271e" filled="true" fillcolor="#e2874a" stroked="false">
              <v:path arrowok="t"/>
              <v:fill type="solid"/>
            </v:shape>
            <v:shape style="position:absolute;left:5078;top:1418;width:185;height:120" type="#_x0000_t75" stroked="false">
              <v:imagedata r:id="rId979" o:title=""/>
            </v:shape>
            <v:line style="position:absolute" from="4486,1479" to="5127,1479" stroked="true" strokeweight="1.5pt" strokecolor="#f15b66">
              <v:stroke dashstyle="solid"/>
            </v:line>
            <v:line style="position:absolute" from="3367,1578" to="3367,1677" stroked="true" strokeweight="1pt" strokecolor="#f15b66">
              <v:stroke dashstyle="solid"/>
            </v:line>
            <v:shape style="position:absolute;left:3325;top:1647;width:82;height:100" coordorigin="3326,1648" coordsize="82,100" path="m3326,1648l3367,1747,3398,1671,3367,1671,3326,1648xm3407,1648l3367,1671,3398,1671,3407,1648xe" filled="true" fillcolor="#f15b66" stroked="false">
              <v:path arrowok="t"/>
              <v:fill type="solid"/>
            </v:shape>
            <v:line style="position:absolute" from="3367,1973" to="3367,2072" stroked="true" strokeweight="1pt" strokecolor="#f15b66">
              <v:stroke dashstyle="solid"/>
            </v:line>
            <v:shape style="position:absolute;left:3325;top:2042;width:82;height:100" coordorigin="3326,2043" coordsize="82,100" path="m3326,2043l3367,2142,3398,2066,3367,2066,3326,2043xm3407,2043l3367,2066,3398,2066,3407,2043xe" filled="true" fillcolor="#f15b66" stroked="false">
              <v:path arrowok="t"/>
              <v:fill type="solid"/>
            </v:shape>
            <v:shape style="position:absolute;left:2825;top:3326;width:100;height:82" coordorigin="2825,3327" coordsize="100,82" path="m2925,3327l2825,3367,2925,3408,2901,3367,2925,3327xe" filled="true" fillcolor="#231f20" stroked="false">
              <v:path arrowok="t"/>
              <v:fill type="solid"/>
            </v:shape>
            <v:shape style="position:absolute;left:4677;top:1464;width:367;height:367" type="#_x0000_t75" stroked="false">
              <v:imagedata r:id="rId980" o:title=""/>
            </v:shape>
            <v:shape style="position:absolute;left:5078;top:2943;width:185;height:120" type="#_x0000_t75" stroked="false">
              <v:imagedata r:id="rId981" o:title=""/>
            </v:shape>
            <v:line style="position:absolute" from="4486,3003" to="5127,3003" stroked="true" strokeweight="1.5pt" strokecolor="#f15b66">
              <v:stroke dashstyle="solid"/>
            </v:line>
            <v:shape style="position:absolute;left:4465;top:3296;width:185;height:120" type="#_x0000_t75" stroked="false">
              <v:imagedata r:id="rId982" o:title=""/>
            </v:shape>
            <v:shape style="position:absolute;left:4677;top:2988;width:367;height:367" type="#_x0000_t75" stroked="false">
              <v:imagedata r:id="rId983" o:title=""/>
            </v:shape>
            <v:shape style="position:absolute;left:1608;top:3307;width:185;height:120" type="#_x0000_t75" stroked="false">
              <v:imagedata r:id="rId984" o:title=""/>
            </v:shape>
            <v:line style="position:absolute" from="2545,3367" to="1744,3367" stroked="true" strokeweight="1.5pt" strokecolor="#231f20">
              <v:stroke dashstyle="shortdash"/>
            </v:line>
            <v:shape style="position:absolute;left:4782;top:2154;width:165;height:150" type="#_x0000_t75" stroked="false">
              <v:imagedata r:id="rId985" o:title=""/>
            </v:shape>
            <v:shape style="position:absolute;left:4789;top:2134;width:160;height:190" coordorigin="4790,2134" coordsize="160,190" path="m4950,2284l4790,2284,4790,2324,4950,2324,4950,2284m4950,2134l4790,2134,4790,2174,4950,2174,4950,2134e" filled="true" fillcolor="#e2874a" stroked="false">
              <v:path arrowok="t"/>
              <v:fill type="solid"/>
            </v:shape>
            <v:shape style="position:absolute;left:5079;top:2170;width:185;height:120" type="#_x0000_t75" stroked="false">
              <v:imagedata r:id="rId615" o:title=""/>
            </v:shape>
            <v:line style="position:absolute" from="4488,2230" to="5129,2230" stroked="true" strokeweight="1.5pt" strokecolor="#231f20">
              <v:stroke dashstyle="solid"/>
            </v:line>
            <v:shape style="position:absolute;left:2744;top:1350;width:185;height:120" type="#_x0000_t75" stroked="false">
              <v:imagedata r:id="rId979" o:title=""/>
            </v:shape>
            <v:line style="position:absolute" from="1708,1410" to="2794,1410" stroked="true" strokeweight="1.5pt" strokecolor="#f15b66">
              <v:stroke dashstyle="shortdash"/>
            </v:line>
            <v:shape style="position:absolute;left:1707;top:1490;width:185;height:120" type="#_x0000_t75" stroked="false">
              <v:imagedata r:id="rId986" o:title=""/>
            </v:shape>
            <v:shape style="position:absolute;left:1594;top:2637;width:180;height:117" type="#_x0000_t75" stroked="false">
              <v:imagedata r:id="rId987" o:title=""/>
            </v:shape>
            <v:line style="position:absolute" from="2464,2695" to="1726,2695" stroked="true" strokeweight="1.5pt" strokecolor="#f15b66">
              <v:stroke dashstyle="solid"/>
            </v:line>
            <v:shape style="position:absolute;left:2363;top:3011;width:180;height:117" type="#_x0000_t75" stroked="false">
              <v:imagedata r:id="rId618" o:title=""/>
            </v:shape>
            <v:shape style="position:absolute;left:1891;top:2690;width:381;height:380" type="#_x0000_t75" stroked="false">
              <v:imagedata r:id="rId619" o:title=""/>
            </v:shape>
            <v:shape style="position:absolute;left:2988;top:2312;width:187;height:284" type="#_x0000_t75" stroked="false">
              <v:imagedata r:id="rId988" o:title=""/>
            </v:shape>
            <v:shape style="position:absolute;left:3858;top:1721;width:613;height:1070" coordorigin="3858,1722" coordsize="613,1070" path="m4470,1722l4445,1801,4414,1874,4376,1940,4332,2000,4284,2054,4231,2100,4175,2140,4115,2173,4053,2199,3990,2217,3924,2228,3858,2232,3926,2240,3991,2262,4055,2297,4117,2342,4175,2395,4230,2456,4280,2521,4326,2589,4366,2658,4400,2726,4428,2791e" filled="false" stroked="true" strokeweight="1.25pt" strokecolor="#f15b66">
              <v:path arrowok="t"/>
              <v:stroke dashstyle="solid"/>
            </v:shape>
            <v:shape style="position:absolute;left:4367;top:1635;width:144;height:1240" coordorigin="4368,1635" coordsize="144,1240" path="m4464,2741l4425,2785,4368,2773,4455,2875,4461,2785,4464,2741m4511,1768l4504,1728,4488,1635,4412,1746,4468,1728,4511,1768e" filled="true" fillcolor="#f15b66" stroked="false">
              <v:path arrowok="t"/>
              <v:fill type="solid"/>
            </v:shape>
            <v:shape style="position:absolute;left:1285;top:127;width:69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Renal interstitial</w:t>
                    </w:r>
                    <w:r>
                      <w:rPr>
                        <w:rFonts w:ascii="Helvetica"/>
                        <w:color w:val="231F20"/>
                        <w:w w:val="99"/>
                        <w:sz w:val="16"/>
                      </w:rPr>
                      <w:t> </w:t>
                    </w:r>
                    <w:r>
                      <w:rPr>
                        <w:rFonts w:ascii="Helvetica"/>
                        <w:color w:val="231F20"/>
                        <w:sz w:val="16"/>
                      </w:rPr>
                      <w:t>fluid</w:t>
                    </w:r>
                  </w:p>
                </w:txbxContent>
              </v:textbox>
              <w10:wrap type="none"/>
            </v:shape>
            <v:shape style="position:absolute;left:2907;top:247;width:1132;height:365" type="#_x0000_t202" filled="false" stroked="false">
              <v:textbox inset="0,0,0,0">
                <w:txbxContent>
                  <w:p>
                    <w:pPr>
                      <w:spacing w:line="235" w:lineRule="auto" w:before="2"/>
                      <w:ind w:left="0" w:right="0" w:firstLine="302"/>
                      <w:jc w:val="left"/>
                      <w:rPr>
                        <w:rFonts w:ascii="Helvetica"/>
                        <w:sz w:val="16"/>
                      </w:rPr>
                    </w:pPr>
                    <w:r>
                      <w:rPr>
                        <w:rFonts w:ascii="Helvetica"/>
                        <w:color w:val="231F20"/>
                        <w:sz w:val="16"/>
                      </w:rPr>
                      <w:t>Type A intercalated cell</w:t>
                    </w:r>
                  </w:p>
                </w:txbxContent>
              </v:textbox>
              <w10:wrap type="none"/>
            </v:shape>
            <v:shape style="position:absolute;left:5012;top:127;width:563;height:365" type="#_x0000_t202" filled="false" stroked="false">
              <v:textbox inset="0,0,0,0">
                <w:txbxContent>
                  <w:p>
                    <w:pPr>
                      <w:spacing w:line="235" w:lineRule="auto" w:before="2"/>
                      <w:ind w:left="53" w:right="1" w:hanging="54"/>
                      <w:jc w:val="left"/>
                      <w:rPr>
                        <w:rFonts w:ascii="Helvetica"/>
                        <w:sz w:val="16"/>
                      </w:rPr>
                    </w:pPr>
                    <w:r>
                      <w:rPr>
                        <w:rFonts w:ascii="Helvetica"/>
                        <w:color w:val="231F20"/>
                        <w:sz w:val="16"/>
                      </w:rPr>
                      <w:t>Tubular lumen</w:t>
                    </w:r>
                  </w:p>
                </w:txbxContent>
              </v:textbox>
              <w10:wrap type="none"/>
            </v:shape>
            <v:shape style="position:absolute;left:1352;top:1382;width:2440;height:591" type="#_x0000_t202" filled="false" stroked="false">
              <v:textbox inset="0,0,0,0">
                <w:txbxContent>
                  <w:p>
                    <w:pPr>
                      <w:tabs>
                        <w:tab w:pos="1556" w:val="left" w:leader="none"/>
                      </w:tabs>
                      <w:spacing w:line="183" w:lineRule="exact" w:before="0"/>
                      <w:ind w:left="0" w:right="0" w:firstLine="0"/>
                      <w:jc w:val="left"/>
                      <w:rPr>
                        <w:rFonts w:ascii="Helvetica"/>
                        <w:sz w:val="16"/>
                      </w:rPr>
                    </w:pPr>
                    <w:r>
                      <w:rPr>
                        <w:rFonts w:ascii="Helvetica"/>
                        <w:color w:val="231F20"/>
                        <w:sz w:val="16"/>
                      </w:rPr>
                      <w:t>CO</w:t>
                    </w:r>
                    <w:r>
                      <w:rPr>
                        <w:rFonts w:ascii="Helvetica"/>
                        <w:color w:val="231F20"/>
                        <w:sz w:val="16"/>
                        <w:vertAlign w:val="subscript"/>
                      </w:rPr>
                      <w:t>2</w:t>
                    </w:r>
                    <w:r>
                      <w:rPr>
                        <w:rFonts w:ascii="Helvetica"/>
                        <w:color w:val="231F20"/>
                        <w:sz w:val="16"/>
                        <w:u w:val="thick" w:color="F15B66"/>
                        <w:vertAlign w:val="subscript"/>
                      </w:rPr>
                      <w:t> </w:t>
                    </w:r>
                    <w:r>
                      <w:rPr>
                        <w:rFonts w:ascii="Helvetica"/>
                        <w:color w:val="231F20"/>
                        <w:sz w:val="16"/>
                        <w:u w:val="thick" w:color="F15B66"/>
                        <w:vertAlign w:val="baseline"/>
                      </w:rPr>
                      <w:tab/>
                    </w:r>
                    <w:r>
                      <w:rPr>
                        <w:rFonts w:ascii="Helvetica"/>
                        <w:color w:val="231F20"/>
                        <w:sz w:val="16"/>
                        <w:vertAlign w:val="baseline"/>
                      </w:rPr>
                      <w:t>CO</w:t>
                    </w:r>
                    <w:r>
                      <w:rPr>
                        <w:rFonts w:ascii="Helvetica"/>
                        <w:color w:val="231F20"/>
                        <w:sz w:val="16"/>
                        <w:vertAlign w:val="subscript"/>
                      </w:rPr>
                      <w:t>2</w:t>
                    </w:r>
                    <w:r>
                      <w:rPr>
                        <w:rFonts w:ascii="Helvetica"/>
                        <w:color w:val="231F20"/>
                        <w:sz w:val="16"/>
                        <w:vertAlign w:val="baseline"/>
                      </w:rPr>
                      <w:t> +</w:t>
                    </w:r>
                    <w:r>
                      <w:rPr>
                        <w:rFonts w:ascii="Helvetica"/>
                        <w:color w:val="231F20"/>
                        <w:spacing w:val="-11"/>
                        <w:sz w:val="16"/>
                        <w:vertAlign w:val="baseline"/>
                      </w:rPr>
                      <w:t> </w:t>
                    </w:r>
                    <w:r>
                      <w:rPr>
                        <w:rFonts w:ascii="Helvetica"/>
                        <w:color w:val="231F20"/>
                        <w:sz w:val="16"/>
                        <w:vertAlign w:val="baseline"/>
                      </w:rPr>
                      <w:t>H</w:t>
                    </w:r>
                    <w:r>
                      <w:rPr>
                        <w:rFonts w:ascii="Helvetica"/>
                        <w:color w:val="231F20"/>
                        <w:sz w:val="16"/>
                        <w:vertAlign w:val="subscript"/>
                      </w:rPr>
                      <w:t>2</w:t>
                    </w:r>
                    <w:r>
                      <w:rPr>
                        <w:rFonts w:ascii="Helvetica"/>
                        <w:color w:val="231F20"/>
                        <w:sz w:val="16"/>
                        <w:vertAlign w:val="baseline"/>
                      </w:rPr>
                      <w:t>O</w:t>
                    </w:r>
                  </w:p>
                  <w:p>
                    <w:pPr>
                      <w:spacing w:line="240" w:lineRule="auto" w:before="5"/>
                      <w:rPr>
                        <w:rFonts w:ascii="Helvetica"/>
                        <w:sz w:val="17"/>
                      </w:rPr>
                    </w:pPr>
                  </w:p>
                  <w:p>
                    <w:pPr>
                      <w:spacing w:before="0"/>
                      <w:ind w:left="0" w:right="171" w:firstLine="0"/>
                      <w:jc w:val="right"/>
                      <w:rPr>
                        <w:rFonts w:ascii="Helvetica"/>
                        <w:sz w:val="16"/>
                      </w:rPr>
                    </w:pPr>
                    <w:r>
                      <w:rPr>
                        <w:rFonts w:ascii="Helvetica"/>
                        <w:color w:val="231F20"/>
                        <w:w w:val="95"/>
                        <w:sz w:val="16"/>
                      </w:rPr>
                      <w:t>H</w:t>
                    </w:r>
                    <w:r>
                      <w:rPr>
                        <w:rFonts w:ascii="Helvetica"/>
                        <w:color w:val="231F20"/>
                        <w:w w:val="95"/>
                        <w:sz w:val="16"/>
                        <w:vertAlign w:val="subscript"/>
                      </w:rPr>
                      <w:t>2</w:t>
                    </w:r>
                    <w:r>
                      <w:rPr>
                        <w:rFonts w:ascii="Helvetica"/>
                        <w:color w:val="231F20"/>
                        <w:w w:val="95"/>
                        <w:sz w:val="16"/>
                        <w:vertAlign w:val="baseline"/>
                      </w:rPr>
                      <w:t>CO</w:t>
                    </w:r>
                    <w:r>
                      <w:rPr>
                        <w:rFonts w:ascii="Helvetica"/>
                        <w:color w:val="231F20"/>
                        <w:w w:val="95"/>
                        <w:sz w:val="16"/>
                        <w:vertAlign w:val="subscript"/>
                      </w:rPr>
                      <w:t>3</w:t>
                    </w:r>
                  </w:p>
                </w:txbxContent>
              </v:textbox>
              <w10:wrap type="none"/>
            </v:shape>
            <v:shape style="position:absolute;left:5302;top:1368;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4713;top:1561;width:33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ATP</w:t>
                    </w:r>
                  </w:p>
                </w:txbxContent>
              </v:textbox>
              <w10:wrap type="none"/>
            </v:shape>
            <v:shape style="position:absolute;left:2951;top:2120;width:866;height:208" type="#_x0000_t202" filled="false" stroked="false">
              <v:textbox inset="0,0,0,0">
                <w:txbxContent>
                  <w:p>
                    <w:pPr>
                      <w:spacing w:line="206" w:lineRule="exact" w:before="0"/>
                      <w:ind w:left="0" w:right="0" w:firstLine="0"/>
                      <w:jc w:val="left"/>
                      <w:rPr>
                        <w:rFonts w:ascii="Helvetica" w:hAnsi="Helvetica"/>
                        <w:sz w:val="12"/>
                      </w:rPr>
                    </w:pPr>
                    <w:r>
                      <w:rPr>
                        <w:rFonts w:ascii="Helvetica" w:hAnsi="Helvetica"/>
                        <w:color w:val="231F20"/>
                        <w:sz w:val="16"/>
                      </w:rPr>
                      <w:t>HCO </w:t>
                    </w:r>
                    <w:r>
                      <w:rPr>
                        <w:rFonts w:ascii="Helvetica" w:hAnsi="Helvetica"/>
                        <w:color w:val="231F20"/>
                        <w:position w:val="6"/>
                        <w:sz w:val="12"/>
                      </w:rPr>
                      <w:t>– </w:t>
                    </w:r>
                    <w:r>
                      <w:rPr>
                        <w:rFonts w:ascii="Helvetica" w:hAnsi="Helvetica"/>
                        <w:color w:val="231F20"/>
                        <w:sz w:val="16"/>
                      </w:rPr>
                      <w:t>+ H</w:t>
                    </w:r>
                    <w:r>
                      <w:rPr>
                        <w:rFonts w:ascii="Helvetica" w:hAnsi="Helvetica"/>
                        <w:color w:val="231F20"/>
                        <w:position w:val="5"/>
                        <w:sz w:val="12"/>
                      </w:rPr>
                      <w:t>+</w:t>
                    </w:r>
                  </w:p>
                </w:txbxContent>
              </v:textbox>
              <w10:wrap type="none"/>
            </v:shape>
            <v:shape style="position:absolute;left:3306;top:2220;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3</w:t>
                    </w:r>
                  </w:p>
                </w:txbxContent>
              </v:textbox>
              <w10:wrap type="none"/>
            </v:shape>
            <v:shape style="position:absolute;left:5299;top:2126;width:247;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Cl</w:t>
                    </w:r>
                    <w:r>
                      <w:rPr>
                        <w:rFonts w:ascii="Helvetica" w:hAnsi="Helvetica"/>
                        <w:b/>
                        <w:color w:val="231F20"/>
                        <w:position w:val="5"/>
                        <w:sz w:val="12"/>
                      </w:rPr>
                      <w:t>–</w:t>
                    </w:r>
                  </w:p>
                </w:txbxContent>
              </v:textbox>
              <w10:wrap type="none"/>
            </v:shape>
            <v:shape style="position:absolute;left:2504;top:2571;width:509;height:21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HCO </w:t>
                    </w:r>
                    <w:r>
                      <w:rPr>
                        <w:rFonts w:ascii="Helvetica" w:hAnsi="Helvetica"/>
                        <w:b/>
                        <w:color w:val="231F20"/>
                        <w:position w:val="6"/>
                        <w:sz w:val="12"/>
                      </w:rPr>
                      <w:t>–</w:t>
                    </w:r>
                  </w:p>
                </w:txbxContent>
              </v:textbox>
              <w10:wrap type="none"/>
            </v:shape>
            <v:shape style="position:absolute;left:2860;top:2670;width:87;height:143" type="#_x0000_t202" filled="false" stroked="false">
              <v:textbox inset="0,0,0,0">
                <w:txbxContent>
                  <w:p>
                    <w:pPr>
                      <w:spacing w:before="3"/>
                      <w:ind w:left="0" w:right="0" w:firstLine="0"/>
                      <w:jc w:val="left"/>
                      <w:rPr>
                        <w:rFonts w:ascii="Helvetica"/>
                        <w:b/>
                        <w:sz w:val="12"/>
                      </w:rPr>
                    </w:pPr>
                    <w:r>
                      <w:rPr>
                        <w:rFonts w:ascii="Helvetica"/>
                        <w:b/>
                        <w:color w:val="231F20"/>
                        <w:w w:val="99"/>
                        <w:sz w:val="12"/>
                      </w:rPr>
                      <w:t>3</w:t>
                    </w:r>
                  </w:p>
                </w:txbxContent>
              </v:textbox>
              <w10:wrap type="none"/>
            </v:shape>
            <v:shape style="position:absolute;left:1345;top:2956;width:1086;height:202" type="#_x0000_t202" filled="false" stroked="false">
              <v:textbox inset="0,0,0,0">
                <w:txbxContent>
                  <w:p>
                    <w:pPr>
                      <w:tabs>
                        <w:tab w:pos="1065" w:val="left" w:leader="none"/>
                      </w:tabs>
                      <w:spacing w:before="3"/>
                      <w:ind w:left="0" w:right="0" w:firstLine="0"/>
                      <w:jc w:val="left"/>
                      <w:rPr>
                        <w:rFonts w:ascii="Helvetica" w:hAnsi="Helvetica"/>
                        <w:b/>
                        <w:sz w:val="12"/>
                      </w:rPr>
                    </w:pPr>
                    <w:r>
                      <w:rPr>
                        <w:rFonts w:ascii="Helvetica" w:hAnsi="Helvetica"/>
                        <w:b/>
                        <w:color w:val="231F20"/>
                        <w:position w:val="-4"/>
                        <w:sz w:val="16"/>
                      </w:rPr>
                      <w:t>Cl</w:t>
                    </w:r>
                    <w:r>
                      <w:rPr>
                        <w:rFonts w:ascii="Helvetica" w:hAnsi="Helvetica"/>
                        <w:b/>
                        <w:color w:val="231F20"/>
                        <w:sz w:val="12"/>
                      </w:rPr>
                      <w:t>–</w:t>
                    </w:r>
                    <w:r>
                      <w:rPr>
                        <w:rFonts w:ascii="Helvetica" w:hAnsi="Helvetica"/>
                        <w:b/>
                        <w:color w:val="231F20"/>
                        <w:spacing w:val="8"/>
                        <w:sz w:val="12"/>
                      </w:rPr>
                      <w:t> </w:t>
                    </w:r>
                    <w:r>
                      <w:rPr>
                        <w:rFonts w:ascii="Helvetica" w:hAnsi="Helvetica"/>
                        <w:b/>
                        <w:color w:val="231F20"/>
                        <w:w w:val="100"/>
                        <w:sz w:val="12"/>
                        <w:u w:val="thick" w:color="231F20"/>
                      </w:rPr>
                      <w:t> </w:t>
                    </w:r>
                    <w:r>
                      <w:rPr>
                        <w:rFonts w:ascii="Helvetica" w:hAnsi="Helvetica"/>
                        <w:b/>
                        <w:color w:val="231F20"/>
                        <w:sz w:val="12"/>
                        <w:u w:val="thick" w:color="231F20"/>
                      </w:rPr>
                      <w:tab/>
                    </w:r>
                  </w:p>
                </w:txbxContent>
              </v:textbox>
              <w10:wrap type="none"/>
            </v:shape>
            <v:shape style="position:absolute;left:5302;top:2892;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2605;top:3245;width:1846;height:202" type="#_x0000_t202" filled="false" stroked="false">
              <v:textbox inset="0,0,0,0">
                <w:txbxContent>
                  <w:p>
                    <w:pPr>
                      <w:tabs>
                        <w:tab w:pos="1595" w:val="left" w:leader="none"/>
                      </w:tabs>
                      <w:spacing w:before="3"/>
                      <w:ind w:left="0" w:right="0" w:firstLine="0"/>
                      <w:jc w:val="left"/>
                      <w:rPr>
                        <w:rFonts w:ascii="Helvetica"/>
                        <w:b/>
                        <w:sz w:val="12"/>
                      </w:rPr>
                    </w:pPr>
                    <w:r>
                      <w:rPr>
                        <w:rFonts w:ascii="Helvetica"/>
                        <w:b/>
                        <w:color w:val="231F20"/>
                        <w:position w:val="-4"/>
                        <w:sz w:val="16"/>
                      </w:rPr>
                      <w:t>K</w:t>
                    </w:r>
                    <w:r>
                      <w:rPr>
                        <w:rFonts w:ascii="Helvetica"/>
                        <w:b/>
                        <w:color w:val="231F20"/>
                        <w:sz w:val="12"/>
                      </w:rPr>
                      <w:t>+</w:t>
                    </w:r>
                    <w:r>
                      <w:rPr>
                        <w:rFonts w:ascii="Helvetica"/>
                        <w:b/>
                        <w:color w:val="231F20"/>
                        <w:sz w:val="12"/>
                        <w:u w:val="single" w:color="231F20"/>
                      </w:rPr>
                      <w:t> </w:t>
                      <w:tab/>
                    </w:r>
                    <w:r>
                      <w:rPr>
                        <w:rFonts w:ascii="Helvetica"/>
                        <w:b/>
                        <w:color w:val="231F20"/>
                        <w:position w:val="-4"/>
                        <w:sz w:val="16"/>
                      </w:rPr>
                      <w:t>K</w:t>
                    </w:r>
                    <w:r>
                      <w:rPr>
                        <w:rFonts w:ascii="Helvetica"/>
                        <w:b/>
                        <w:color w:val="231F20"/>
                        <w:sz w:val="12"/>
                      </w:rPr>
                      <w:t>+</w:t>
                    </w:r>
                  </w:p>
                </w:txbxContent>
              </v:textbox>
              <w10:wrap type="none"/>
            </v:shape>
            <v:shape style="position:absolute;left:4601;top:3085;width:682;height:303" type="#_x0000_t202" filled="false" stroked="false">
              <v:textbox inset="0,0,0,0">
                <w:txbxContent>
                  <w:p>
                    <w:pPr>
                      <w:spacing w:line="173" w:lineRule="exact" w:before="0"/>
                      <w:ind w:left="112" w:right="0" w:firstLine="0"/>
                      <w:jc w:val="left"/>
                      <w:rPr>
                        <w:rFonts w:ascii="Helvetica"/>
                        <w:sz w:val="16"/>
                      </w:rPr>
                    </w:pPr>
                    <w:r>
                      <w:rPr>
                        <w:rFonts w:ascii="Helvetica"/>
                        <w:color w:val="231F20"/>
                        <w:sz w:val="16"/>
                      </w:rPr>
                      <w:t>ATP</w:t>
                    </w:r>
                  </w:p>
                  <w:p>
                    <w:pPr>
                      <w:tabs>
                        <w:tab w:pos="661" w:val="left" w:leader="none"/>
                      </w:tabs>
                      <w:spacing w:line="128" w:lineRule="exact" w:before="0"/>
                      <w:ind w:left="0" w:right="0" w:firstLine="0"/>
                      <w:jc w:val="left"/>
                      <w:rPr>
                        <w:rFonts w:ascii="Helvetica"/>
                        <w:b/>
                        <w:sz w:val="12"/>
                      </w:rPr>
                    </w:pPr>
                    <w:r>
                      <w:rPr>
                        <w:rFonts w:ascii="Helvetica"/>
                        <w:b/>
                        <w:color w:val="231F20"/>
                        <w:w w:val="100"/>
                        <w:sz w:val="12"/>
                        <w:u w:val="thick" w:color="231F20"/>
                      </w:rPr>
                      <w:t> </w:t>
                    </w:r>
                    <w:r>
                      <w:rPr>
                        <w:rFonts w:ascii="Helvetica"/>
                        <w:b/>
                        <w:color w:val="231F20"/>
                        <w:sz w:val="12"/>
                        <w:u w:val="thick" w:color="231F20"/>
                      </w:rPr>
                      <w:tab/>
                    </w:r>
                  </w:p>
                </w:txbxContent>
              </v:textbox>
              <w10:wrap type="none"/>
            </v:shape>
            <w10:wrap type="none"/>
          </v:group>
        </w:pict>
      </w:r>
      <w:r>
        <w:rPr>
          <w:color w:val="231F20"/>
        </w:rPr>
        <w:t>about 4.5, which is the lower limit of pH that can be achieved in normal kidneys.</w:t>
      </w:r>
    </w:p>
    <w:p>
      <w:pPr>
        <w:pStyle w:val="BodyText"/>
        <w:spacing w:before="10"/>
        <w:rPr>
          <w:sz w:val="26"/>
        </w:rPr>
      </w:pPr>
    </w:p>
    <w:p>
      <w:pPr>
        <w:pStyle w:val="BodyText"/>
        <w:ind w:left="6115"/>
      </w:pPr>
      <w:r>
        <w:rPr/>
        <w:pict>
          <v:group style="width:234pt;height:52.5pt;mso-position-horizontal-relative:char;mso-position-vertical-relative:line" coordorigin="0,0" coordsize="4680,1050">
            <v:rect style="position:absolute;left:0;top:0;width:4680;height:1045" filled="true" fillcolor="#e8dac8" stroked="false">
              <v:fill type="solid"/>
            </v:rect>
            <v:line style="position:absolute" from="0,1045" to="4680,1045" stroked="true" strokeweight=".5pt" strokecolor="#231f20">
              <v:stroke dashstyle="solid"/>
            </v:line>
            <v:shape style="position:absolute;left:1411;top:867;width:101;height:156" type="#_x0000_t202" filled="false" stroked="false">
              <v:textbox inset="0,0,0,0">
                <w:txbxContent>
                  <w:p>
                    <w:pPr>
                      <w:spacing w:before="4"/>
                      <w:ind w:left="0" w:right="0" w:firstLine="0"/>
                      <w:jc w:val="left"/>
                      <w:rPr>
                        <w:rFonts w:ascii="Trebuchet MS"/>
                        <w:b/>
                        <w:sz w:val="13"/>
                      </w:rPr>
                    </w:pPr>
                    <w:r>
                      <w:rPr>
                        <w:rFonts w:ascii="Trebuchet MS"/>
                        <w:b/>
                        <w:color w:val="231F20"/>
                        <w:w w:val="106"/>
                        <w:sz w:val="13"/>
                      </w:rPr>
                      <w:t>3</w:t>
                    </w:r>
                  </w:p>
                </w:txbxContent>
              </v:textbox>
              <w10:wrap type="none"/>
            </v:shape>
            <v:shape style="position:absolute;left:59;top:736;width:1526;height:273" type="#_x0000_t202" filled="false" stroked="false">
              <v:textbox inset="0,0,0,0">
                <w:txbxContent>
                  <w:p>
                    <w:pPr>
                      <w:spacing w:before="14"/>
                      <w:ind w:left="0" w:right="0" w:firstLine="0"/>
                      <w:jc w:val="left"/>
                      <w:rPr>
                        <w:rFonts w:ascii="Consolas" w:hAnsi="Consolas"/>
                        <w:b/>
                        <w:sz w:val="13"/>
                      </w:rPr>
                    </w:pPr>
                    <w:r>
                      <w:rPr>
                        <w:rFonts w:ascii="Trebuchet MS" w:hAnsi="Trebuchet MS"/>
                        <w:b/>
                        <w:color w:val="231F20"/>
                        <w:w w:val="110"/>
                        <w:sz w:val="22"/>
                      </w:rPr>
                      <w:t>“NEW” HCO </w:t>
                    </w:r>
                    <w:r>
                      <w:rPr>
                        <w:rFonts w:ascii="Consolas" w:hAnsi="Consolas"/>
                        <w:b/>
                        <w:color w:val="231F20"/>
                        <w:w w:val="110"/>
                        <w:position w:val="9"/>
                        <w:sz w:val="13"/>
                      </w:rPr>
                      <w:t>−</w:t>
                    </w:r>
                  </w:p>
                </w:txbxContent>
              </v:textbox>
              <w10:wrap type="none"/>
            </v:shape>
            <v:shape style="position:absolute;left:59;top:16;width:4118;height:753" type="#_x0000_t202" filled="false" stroked="false">
              <v:textbox inset="0,0,0,0">
                <w:txbxContent>
                  <w:p>
                    <w:pPr>
                      <w:spacing w:line="225" w:lineRule="auto" w:before="26"/>
                      <w:ind w:left="0" w:right="18" w:firstLine="0"/>
                      <w:jc w:val="left"/>
                      <w:rPr>
                        <w:rFonts w:ascii="Trebuchet MS"/>
                        <w:b/>
                        <w:sz w:val="22"/>
                      </w:rPr>
                    </w:pPr>
                    <w:r>
                      <w:rPr>
                        <w:rFonts w:ascii="Trebuchet MS"/>
                        <w:b/>
                        <w:color w:val="231F20"/>
                        <w:w w:val="110"/>
                        <w:sz w:val="22"/>
                      </w:rPr>
                      <w:t>COMBINATION OF EXCESS H</w:t>
                    </w:r>
                    <w:r>
                      <w:rPr>
                        <w:rFonts w:ascii="Consolas"/>
                        <w:b/>
                        <w:color w:val="231F20"/>
                        <w:w w:val="110"/>
                        <w:position w:val="9"/>
                        <w:sz w:val="13"/>
                      </w:rPr>
                      <w:t>+ </w:t>
                    </w:r>
                    <w:r>
                      <w:rPr>
                        <w:rFonts w:ascii="Trebuchet MS"/>
                        <w:b/>
                        <w:color w:val="231F20"/>
                        <w:w w:val="110"/>
                        <w:sz w:val="22"/>
                      </w:rPr>
                      <w:t>WITH PHOSPHATE AND AMMONIA BUFFERS IN THE TUBULE</w:t>
                    </w:r>
                    <w:r>
                      <w:rPr>
                        <w:rFonts w:ascii="Trebuchet MS"/>
                        <w:b/>
                        <w:color w:val="231F20"/>
                        <w:spacing w:val="-52"/>
                        <w:w w:val="110"/>
                        <w:sz w:val="22"/>
                      </w:rPr>
                      <w:t> </w:t>
                    </w:r>
                    <w:r>
                      <w:rPr>
                        <w:rFonts w:ascii="Trebuchet MS"/>
                        <w:b/>
                        <w:color w:val="231F20"/>
                        <w:spacing w:val="-4"/>
                        <w:w w:val="110"/>
                        <w:sz w:val="22"/>
                      </w:rPr>
                      <w:t>GENERATES</w:t>
                    </w:r>
                  </w:p>
                </w:txbxContent>
              </v:textbox>
              <w10:wrap type="none"/>
            </v:shape>
          </v:group>
        </w:pict>
      </w:r>
      <w:r>
        <w:rPr/>
      </w:r>
    </w:p>
    <w:p>
      <w:pPr>
        <w:spacing w:after="0"/>
        <w:sectPr>
          <w:headerReference w:type="even" r:id="rId975"/>
          <w:footerReference w:type="even" r:id="rId976"/>
          <w:footerReference w:type="default" r:id="rId977"/>
          <w:pgSz w:w="12240" w:h="15660"/>
          <w:pgMar w:header="0" w:footer="567" w:top="720" w:bottom="760" w:left="0" w:right="0"/>
          <w:pgNumType w:start="418"/>
        </w:sectPr>
      </w:pPr>
    </w:p>
    <w:p>
      <w:pPr>
        <w:pStyle w:val="BodyText"/>
      </w:pPr>
    </w:p>
    <w:p>
      <w:pPr>
        <w:pStyle w:val="BodyText"/>
      </w:pPr>
    </w:p>
    <w:p>
      <w:pPr>
        <w:pStyle w:val="BodyText"/>
      </w:pPr>
    </w:p>
    <w:p>
      <w:pPr>
        <w:pStyle w:val="BodyText"/>
        <w:spacing w:before="6"/>
        <w:rPr>
          <w:sz w:val="21"/>
        </w:rPr>
      </w:pPr>
    </w:p>
    <w:p>
      <w:pPr>
        <w:pStyle w:val="BodyText"/>
      </w:pPr>
      <w:r>
        <w:rPr/>
        <w:pict>
          <v:group style="width:36pt;height:24pt;mso-position-horizontal-relative:char;mso-position-vertical-relative:line" coordorigin="0,0" coordsize="720,480">
            <v:rect style="position:absolute;left:0;top:0;width:720;height:480" filled="true" fillcolor="#e8dac8" stroked="false">
              <v:fill type="solid"/>
            </v:rect>
          </v:group>
        </w:pict>
      </w:r>
      <w:r>
        <w:rPr/>
      </w:r>
    </w:p>
    <w:p>
      <w:pPr>
        <w:pStyle w:val="BodyText"/>
      </w:pPr>
    </w:p>
    <w:p>
      <w:pPr>
        <w:pStyle w:val="BodyText"/>
        <w:spacing w:before="5"/>
        <w:rPr>
          <w:sz w:val="29"/>
        </w:rPr>
      </w:pPr>
    </w:p>
    <w:p>
      <w:pPr>
        <w:spacing w:line="261" w:lineRule="auto" w:before="1"/>
        <w:ind w:left="1080" w:right="0" w:firstLine="0"/>
        <w:jc w:val="both"/>
        <w:rPr>
          <w:rFonts w:ascii="Arial" w:hAnsi="Arial"/>
          <w:sz w:val="16"/>
        </w:rPr>
      </w:pPr>
      <w:r>
        <w:rPr/>
        <w:pict>
          <v:shape style="position:absolute;margin-left:238.910294pt;margin-top:54.388924pt;width:2.7pt;height:5.45pt;mso-position-horizontal-relative:page;mso-position-vertical-relative:paragraph;z-index:-272449536" type="#_x0000_t202" filled="false" stroked="false">
            <v:textbox inset="0,0,0,0">
              <w:txbxContent>
                <w:p>
                  <w:pPr>
                    <w:spacing w:before="3"/>
                    <w:ind w:left="0" w:right="0" w:firstLine="0"/>
                    <w:jc w:val="left"/>
                    <w:rPr>
                      <w:rFonts w:ascii="Arial"/>
                      <w:sz w:val="9"/>
                    </w:rPr>
                  </w:pPr>
                  <w:r>
                    <w:rPr>
                      <w:rFonts w:ascii="Arial"/>
                      <w:color w:val="231F20"/>
                      <w:w w:val="106"/>
                      <w:sz w:val="9"/>
                    </w:rPr>
                    <w:t>3</w:t>
                  </w:r>
                </w:p>
              </w:txbxContent>
            </v:textbox>
            <w10:wrap type="none"/>
          </v:shape>
        </w:pict>
      </w:r>
      <w:bookmarkStart w:name="_bookmark107" w:id="108"/>
      <w:bookmarkEnd w:id="108"/>
      <w:r>
        <w:rPr/>
      </w:r>
      <w:r>
        <w:rPr>
          <w:rFonts w:ascii="Trebuchet MS" w:hAnsi="Trebuchet MS"/>
          <w:b/>
          <w:color w:val="231F20"/>
          <w:sz w:val="16"/>
        </w:rPr>
        <w:t>Figure</w:t>
      </w:r>
      <w:r>
        <w:rPr>
          <w:rFonts w:ascii="Trebuchet MS" w:hAnsi="Trebuchet MS"/>
          <w:b/>
          <w:color w:val="231F20"/>
          <w:spacing w:val="-10"/>
          <w:sz w:val="16"/>
        </w:rPr>
        <w:t> </w:t>
      </w:r>
      <w:r>
        <w:rPr>
          <w:rFonts w:ascii="Trebuchet MS" w:hAnsi="Trebuchet MS"/>
          <w:b/>
          <w:color w:val="231F20"/>
          <w:sz w:val="16"/>
        </w:rPr>
        <w:t>31-6.</w:t>
      </w:r>
      <w:r>
        <w:rPr>
          <w:rFonts w:ascii="Trebuchet MS" w:hAnsi="Trebuchet MS"/>
          <w:b/>
          <w:color w:val="231F20"/>
          <w:spacing w:val="10"/>
          <w:sz w:val="16"/>
        </w:rPr>
        <w:t> </w:t>
      </w:r>
      <w:r>
        <w:rPr>
          <w:rFonts w:ascii="Arial" w:hAnsi="Arial"/>
          <w:color w:val="231F20"/>
          <w:sz w:val="16"/>
        </w:rPr>
        <w:t>Active</w:t>
      </w:r>
      <w:r>
        <w:rPr>
          <w:rFonts w:ascii="Arial" w:hAnsi="Arial"/>
          <w:color w:val="231F20"/>
          <w:spacing w:val="-5"/>
          <w:sz w:val="16"/>
        </w:rPr>
        <w:t> </w:t>
      </w:r>
      <w:r>
        <w:rPr>
          <w:rFonts w:ascii="Arial" w:hAnsi="Arial"/>
          <w:color w:val="231F20"/>
          <w:sz w:val="16"/>
        </w:rPr>
        <w:t>secretion</w:t>
      </w:r>
      <w:r>
        <w:rPr>
          <w:rFonts w:ascii="Arial" w:hAnsi="Arial"/>
          <w:color w:val="231F20"/>
          <w:spacing w:val="-6"/>
          <w:sz w:val="16"/>
        </w:rPr>
        <w:t> </w:t>
      </w:r>
      <w:r>
        <w:rPr>
          <w:rFonts w:ascii="Arial" w:hAnsi="Arial"/>
          <w:color w:val="231F20"/>
          <w:sz w:val="16"/>
        </w:rPr>
        <w:t>of</w:t>
      </w:r>
      <w:r>
        <w:rPr>
          <w:rFonts w:ascii="Arial" w:hAnsi="Arial"/>
          <w:color w:val="231F20"/>
          <w:spacing w:val="-5"/>
          <w:sz w:val="16"/>
        </w:rPr>
        <w:t> </w:t>
      </w:r>
      <w:r>
        <w:rPr>
          <w:rFonts w:ascii="Arial" w:hAnsi="Arial"/>
          <w:color w:val="231F20"/>
          <w:sz w:val="16"/>
        </w:rPr>
        <w:t>H</w:t>
      </w:r>
      <w:r>
        <w:rPr>
          <w:rFonts w:ascii="Consolas" w:hAnsi="Consolas"/>
          <w:color w:val="231F20"/>
          <w:position w:val="6"/>
          <w:sz w:val="9"/>
        </w:rPr>
        <w:t>+</w:t>
      </w:r>
      <w:r>
        <w:rPr>
          <w:rFonts w:ascii="Consolas" w:hAnsi="Consolas"/>
          <w:color w:val="231F20"/>
          <w:spacing w:val="-10"/>
          <w:position w:val="6"/>
          <w:sz w:val="9"/>
        </w:rPr>
        <w:t> </w:t>
      </w:r>
      <w:r>
        <w:rPr>
          <w:rFonts w:ascii="Arial" w:hAnsi="Arial"/>
          <w:color w:val="231F20"/>
          <w:sz w:val="16"/>
        </w:rPr>
        <w:t>through</w:t>
      </w:r>
      <w:r>
        <w:rPr>
          <w:rFonts w:ascii="Arial" w:hAnsi="Arial"/>
          <w:color w:val="231F20"/>
          <w:spacing w:val="-6"/>
          <w:sz w:val="16"/>
        </w:rPr>
        <w:t> </w:t>
      </w:r>
      <w:r>
        <w:rPr>
          <w:rFonts w:ascii="Arial" w:hAnsi="Arial"/>
          <w:color w:val="231F20"/>
          <w:sz w:val="16"/>
        </w:rPr>
        <w:t>the</w:t>
      </w:r>
      <w:r>
        <w:rPr>
          <w:rFonts w:ascii="Arial" w:hAnsi="Arial"/>
          <w:color w:val="231F20"/>
          <w:spacing w:val="-5"/>
          <w:sz w:val="16"/>
        </w:rPr>
        <w:t> </w:t>
      </w:r>
      <w:r>
        <w:rPr>
          <w:rFonts w:ascii="Arial" w:hAnsi="Arial"/>
          <w:color w:val="231F20"/>
          <w:sz w:val="16"/>
        </w:rPr>
        <w:t>luminal</w:t>
      </w:r>
      <w:r>
        <w:rPr>
          <w:rFonts w:ascii="Arial" w:hAnsi="Arial"/>
          <w:color w:val="231F20"/>
          <w:spacing w:val="-5"/>
          <w:sz w:val="16"/>
        </w:rPr>
        <w:t> </w:t>
      </w:r>
      <w:r>
        <w:rPr>
          <w:rFonts w:ascii="Arial" w:hAnsi="Arial"/>
          <w:color w:val="231F20"/>
          <w:sz w:val="16"/>
        </w:rPr>
        <w:t>membrane of the type A intercalated epithelial cells of the late distal and </w:t>
      </w:r>
      <w:r>
        <w:rPr>
          <w:rFonts w:ascii="Arial" w:hAnsi="Arial"/>
          <w:color w:val="231F20"/>
          <w:spacing w:val="-3"/>
          <w:sz w:val="16"/>
        </w:rPr>
        <w:t>col­ </w:t>
      </w:r>
      <w:r>
        <w:rPr>
          <w:rFonts w:ascii="Arial" w:hAnsi="Arial"/>
          <w:color w:val="231F20"/>
          <w:sz w:val="16"/>
        </w:rPr>
        <w:t>lecting tubules. </w:t>
      </w:r>
      <w:r>
        <w:rPr>
          <w:rFonts w:ascii="Arial" w:hAnsi="Arial"/>
          <w:color w:val="231F20"/>
          <w:spacing w:val="-5"/>
          <w:sz w:val="16"/>
        </w:rPr>
        <w:t>Type </w:t>
      </w:r>
      <w:r>
        <w:rPr>
          <w:rFonts w:ascii="Arial" w:hAnsi="Arial"/>
          <w:color w:val="231F20"/>
          <w:sz w:val="16"/>
        </w:rPr>
        <w:t>A cells contain hydrogen–adenosine </w:t>
      </w:r>
      <w:r>
        <w:rPr>
          <w:rFonts w:ascii="Arial" w:hAnsi="Arial"/>
          <w:color w:val="231F20"/>
          <w:spacing w:val="-3"/>
          <w:sz w:val="16"/>
        </w:rPr>
        <w:t>triphos­ </w:t>
      </w:r>
      <w:r>
        <w:rPr>
          <w:rFonts w:ascii="Arial" w:hAnsi="Arial"/>
          <w:color w:val="231F20"/>
          <w:sz w:val="16"/>
        </w:rPr>
        <w:t>phatase (ATPase) and hydrogen­potassium­ATPase in the</w:t>
      </w:r>
      <w:r>
        <w:rPr>
          <w:rFonts w:ascii="Arial" w:hAnsi="Arial"/>
          <w:color w:val="231F20"/>
          <w:spacing w:val="-13"/>
          <w:sz w:val="16"/>
        </w:rPr>
        <w:t> </w:t>
      </w:r>
      <w:r>
        <w:rPr>
          <w:rFonts w:ascii="Arial" w:hAnsi="Arial"/>
          <w:color w:val="231F20"/>
          <w:spacing w:val="-3"/>
          <w:sz w:val="16"/>
        </w:rPr>
        <w:t>luminal </w:t>
      </w:r>
      <w:r>
        <w:rPr>
          <w:rFonts w:ascii="Arial" w:hAnsi="Arial"/>
          <w:color w:val="231F20"/>
          <w:sz w:val="16"/>
        </w:rPr>
        <w:t>membrane</w:t>
      </w:r>
      <w:r>
        <w:rPr>
          <w:rFonts w:ascii="Arial" w:hAnsi="Arial"/>
          <w:color w:val="231F20"/>
          <w:spacing w:val="-29"/>
          <w:sz w:val="16"/>
        </w:rPr>
        <w:t> </w:t>
      </w:r>
      <w:r>
        <w:rPr>
          <w:rFonts w:ascii="Arial" w:hAnsi="Arial"/>
          <w:color w:val="231F20"/>
          <w:sz w:val="16"/>
        </w:rPr>
        <w:t>and</w:t>
      </w:r>
      <w:r>
        <w:rPr>
          <w:rFonts w:ascii="Arial" w:hAnsi="Arial"/>
          <w:color w:val="231F20"/>
          <w:spacing w:val="-29"/>
          <w:sz w:val="16"/>
        </w:rPr>
        <w:t> </w:t>
      </w:r>
      <w:r>
        <w:rPr>
          <w:rFonts w:ascii="Arial" w:hAnsi="Arial"/>
          <w:color w:val="231F20"/>
          <w:sz w:val="16"/>
        </w:rPr>
        <w:t>secrete</w:t>
      </w:r>
      <w:r>
        <w:rPr>
          <w:rFonts w:ascii="Arial" w:hAnsi="Arial"/>
          <w:color w:val="231F20"/>
          <w:spacing w:val="-28"/>
          <w:sz w:val="16"/>
        </w:rPr>
        <w:t> </w:t>
      </w:r>
      <w:r>
        <w:rPr>
          <w:rFonts w:ascii="Arial" w:hAnsi="Arial"/>
          <w:color w:val="231F20"/>
          <w:sz w:val="16"/>
        </w:rPr>
        <w:t>hydrogen</w:t>
      </w:r>
      <w:r>
        <w:rPr>
          <w:rFonts w:ascii="Arial" w:hAnsi="Arial"/>
          <w:color w:val="231F20"/>
          <w:spacing w:val="-29"/>
          <w:sz w:val="16"/>
        </w:rPr>
        <w:t> </w:t>
      </w:r>
      <w:r>
        <w:rPr>
          <w:rFonts w:ascii="Arial" w:hAnsi="Arial"/>
          <w:color w:val="231F20"/>
          <w:sz w:val="16"/>
        </w:rPr>
        <w:t>ions</w:t>
      </w:r>
      <w:r>
        <w:rPr>
          <w:rFonts w:ascii="Arial" w:hAnsi="Arial"/>
          <w:color w:val="231F20"/>
          <w:spacing w:val="-29"/>
          <w:sz w:val="16"/>
        </w:rPr>
        <w:t> </w:t>
      </w:r>
      <w:r>
        <w:rPr>
          <w:rFonts w:ascii="Arial" w:hAnsi="Arial"/>
          <w:color w:val="231F20"/>
          <w:sz w:val="16"/>
        </w:rPr>
        <w:t>while</w:t>
      </w:r>
      <w:r>
        <w:rPr>
          <w:rFonts w:ascii="Arial" w:hAnsi="Arial"/>
          <w:color w:val="231F20"/>
          <w:spacing w:val="-28"/>
          <w:sz w:val="16"/>
        </w:rPr>
        <w:t> </w:t>
      </w:r>
      <w:r>
        <w:rPr>
          <w:rFonts w:ascii="Arial" w:hAnsi="Arial"/>
          <w:color w:val="231F20"/>
          <w:sz w:val="16"/>
        </w:rPr>
        <w:t>reabsorbing</w:t>
      </w:r>
      <w:r>
        <w:rPr>
          <w:rFonts w:ascii="Arial" w:hAnsi="Arial"/>
          <w:color w:val="231F20"/>
          <w:spacing w:val="-29"/>
          <w:sz w:val="16"/>
        </w:rPr>
        <w:t> </w:t>
      </w:r>
      <w:r>
        <w:rPr>
          <w:rFonts w:ascii="Arial" w:hAnsi="Arial"/>
          <w:color w:val="231F20"/>
          <w:sz w:val="16"/>
        </w:rPr>
        <w:t>bicarbonate and potassium ions in acidosis. Note that one HCO </w:t>
      </w:r>
      <w:r>
        <w:rPr>
          <w:rFonts w:ascii="Consolas" w:hAnsi="Consolas"/>
          <w:color w:val="231F20"/>
          <w:position w:val="6"/>
          <w:sz w:val="9"/>
        </w:rPr>
        <w:t>− </w:t>
      </w:r>
      <w:r>
        <w:rPr>
          <w:rFonts w:ascii="Arial" w:hAnsi="Arial"/>
          <w:color w:val="231F20"/>
          <w:sz w:val="16"/>
        </w:rPr>
        <w:t>is absorbed for</w:t>
      </w:r>
      <w:r>
        <w:rPr>
          <w:rFonts w:ascii="Arial" w:hAnsi="Arial"/>
          <w:color w:val="231F20"/>
          <w:spacing w:val="-22"/>
          <w:sz w:val="16"/>
        </w:rPr>
        <w:t> </w:t>
      </w:r>
      <w:r>
        <w:rPr>
          <w:rFonts w:ascii="Arial" w:hAnsi="Arial"/>
          <w:color w:val="231F20"/>
          <w:sz w:val="16"/>
        </w:rPr>
        <w:t>each</w:t>
      </w:r>
      <w:r>
        <w:rPr>
          <w:rFonts w:ascii="Arial" w:hAnsi="Arial"/>
          <w:color w:val="231F20"/>
          <w:spacing w:val="-22"/>
          <w:sz w:val="16"/>
        </w:rPr>
        <w:t> </w:t>
      </w:r>
      <w:r>
        <w:rPr>
          <w:rFonts w:ascii="Arial" w:hAnsi="Arial"/>
          <w:color w:val="231F20"/>
          <w:sz w:val="16"/>
        </w:rPr>
        <w:t>H</w:t>
      </w:r>
      <w:r>
        <w:rPr>
          <w:rFonts w:ascii="Consolas" w:hAnsi="Consolas"/>
          <w:color w:val="231F20"/>
          <w:position w:val="6"/>
          <w:sz w:val="9"/>
        </w:rPr>
        <w:t>+</w:t>
      </w:r>
      <w:r>
        <w:rPr>
          <w:rFonts w:ascii="Consolas" w:hAnsi="Consolas"/>
          <w:color w:val="231F20"/>
          <w:spacing w:val="-27"/>
          <w:position w:val="6"/>
          <w:sz w:val="9"/>
        </w:rPr>
        <w:t> </w:t>
      </w:r>
      <w:r>
        <w:rPr>
          <w:rFonts w:ascii="Arial" w:hAnsi="Arial"/>
          <w:color w:val="231F20"/>
          <w:sz w:val="16"/>
        </w:rPr>
        <w:t>secreted,</w:t>
      </w:r>
      <w:r>
        <w:rPr>
          <w:rFonts w:ascii="Arial" w:hAnsi="Arial"/>
          <w:color w:val="231F20"/>
          <w:spacing w:val="-22"/>
          <w:sz w:val="16"/>
        </w:rPr>
        <w:t> </w:t>
      </w:r>
      <w:r>
        <w:rPr>
          <w:rFonts w:ascii="Arial" w:hAnsi="Arial"/>
          <w:color w:val="231F20"/>
          <w:sz w:val="16"/>
        </w:rPr>
        <w:t>and</w:t>
      </w:r>
      <w:r>
        <w:rPr>
          <w:rFonts w:ascii="Arial" w:hAnsi="Arial"/>
          <w:color w:val="231F20"/>
          <w:spacing w:val="-22"/>
          <w:sz w:val="16"/>
        </w:rPr>
        <w:t> </w:t>
      </w:r>
      <w:r>
        <w:rPr>
          <w:rFonts w:ascii="Arial" w:hAnsi="Arial"/>
          <w:color w:val="231F20"/>
          <w:sz w:val="16"/>
        </w:rPr>
        <w:t>one</w:t>
      </w:r>
      <w:r>
        <w:rPr>
          <w:rFonts w:ascii="Arial" w:hAnsi="Arial"/>
          <w:color w:val="231F20"/>
          <w:spacing w:val="-22"/>
          <w:sz w:val="16"/>
        </w:rPr>
        <w:t> </w:t>
      </w:r>
      <w:r>
        <w:rPr>
          <w:rFonts w:ascii="Arial" w:hAnsi="Arial"/>
          <w:color w:val="231F20"/>
          <w:sz w:val="16"/>
        </w:rPr>
        <w:t>chloride</w:t>
      </w:r>
      <w:r>
        <w:rPr>
          <w:rFonts w:ascii="Arial" w:hAnsi="Arial"/>
          <w:color w:val="231F20"/>
          <w:spacing w:val="-22"/>
          <w:sz w:val="16"/>
        </w:rPr>
        <w:t> </w:t>
      </w:r>
      <w:r>
        <w:rPr>
          <w:rFonts w:ascii="Arial" w:hAnsi="Arial"/>
          <w:color w:val="231F20"/>
          <w:sz w:val="16"/>
        </w:rPr>
        <w:t>ion</w:t>
      </w:r>
      <w:r>
        <w:rPr>
          <w:rFonts w:ascii="Arial" w:hAnsi="Arial"/>
          <w:color w:val="231F20"/>
          <w:spacing w:val="-22"/>
          <w:sz w:val="16"/>
        </w:rPr>
        <w:t> </w:t>
      </w:r>
      <w:r>
        <w:rPr>
          <w:rFonts w:ascii="Arial" w:hAnsi="Arial"/>
          <w:color w:val="231F20"/>
          <w:sz w:val="16"/>
        </w:rPr>
        <w:t>is</w:t>
      </w:r>
      <w:r>
        <w:rPr>
          <w:rFonts w:ascii="Arial" w:hAnsi="Arial"/>
          <w:color w:val="231F20"/>
          <w:spacing w:val="-22"/>
          <w:sz w:val="16"/>
        </w:rPr>
        <w:t> </w:t>
      </w:r>
      <w:r>
        <w:rPr>
          <w:rFonts w:ascii="Arial" w:hAnsi="Arial"/>
          <w:color w:val="231F20"/>
          <w:sz w:val="16"/>
        </w:rPr>
        <w:t>passively</w:t>
      </w:r>
      <w:r>
        <w:rPr>
          <w:rFonts w:ascii="Arial" w:hAnsi="Arial"/>
          <w:color w:val="231F20"/>
          <w:spacing w:val="-22"/>
          <w:sz w:val="16"/>
        </w:rPr>
        <w:t> </w:t>
      </w:r>
      <w:r>
        <w:rPr>
          <w:rFonts w:ascii="Arial" w:hAnsi="Arial"/>
          <w:color w:val="231F20"/>
          <w:sz w:val="16"/>
        </w:rPr>
        <w:t>secreted</w:t>
      </w:r>
      <w:r>
        <w:rPr>
          <w:rFonts w:ascii="Arial" w:hAnsi="Arial"/>
          <w:color w:val="231F20"/>
          <w:spacing w:val="-22"/>
          <w:sz w:val="16"/>
        </w:rPr>
        <w:t> </w:t>
      </w:r>
      <w:r>
        <w:rPr>
          <w:rFonts w:ascii="Arial" w:hAnsi="Arial"/>
          <w:color w:val="231F20"/>
          <w:spacing w:val="-4"/>
          <w:sz w:val="16"/>
        </w:rPr>
        <w:t>along </w:t>
      </w:r>
      <w:r>
        <w:rPr>
          <w:rFonts w:ascii="Arial" w:hAnsi="Arial"/>
          <w:color w:val="231F20"/>
          <w:sz w:val="16"/>
        </w:rPr>
        <w:t>with</w:t>
      </w:r>
      <w:r>
        <w:rPr>
          <w:rFonts w:ascii="Arial" w:hAnsi="Arial"/>
          <w:color w:val="231F20"/>
          <w:spacing w:val="8"/>
          <w:sz w:val="16"/>
        </w:rPr>
        <w:t> </w:t>
      </w:r>
      <w:r>
        <w:rPr>
          <w:rFonts w:ascii="Arial" w:hAnsi="Arial"/>
          <w:color w:val="231F20"/>
          <w:sz w:val="16"/>
        </w:rPr>
        <w:t>H</w:t>
      </w:r>
      <w:r>
        <w:rPr>
          <w:rFonts w:ascii="Consolas" w:hAnsi="Consolas"/>
          <w:color w:val="231F20"/>
          <w:position w:val="6"/>
          <w:sz w:val="9"/>
        </w:rPr>
        <w:t>+</w:t>
      </w:r>
      <w:r>
        <w:rPr>
          <w:rFonts w:ascii="Arial" w:hAnsi="Arial"/>
          <w:color w:val="231F20"/>
          <w:sz w:val="16"/>
        </w:rPr>
        <w:t>.</w:t>
      </w:r>
    </w:p>
    <w:p>
      <w:pPr>
        <w:pStyle w:val="BodyText"/>
        <w:spacing w:before="11"/>
        <w:rPr>
          <w:rFonts w:ascii="Arial"/>
          <w:sz w:val="23"/>
        </w:rPr>
      </w:pPr>
    </w:p>
    <w:p>
      <w:pPr>
        <w:spacing w:line="249" w:lineRule="auto" w:before="0"/>
        <w:ind w:left="1079" w:right="0" w:firstLine="240"/>
        <w:jc w:val="both"/>
        <w:rPr>
          <w:sz w:val="20"/>
        </w:rPr>
      </w:pPr>
      <w:r>
        <w:rPr>
          <w:color w:val="231F20"/>
          <w:sz w:val="20"/>
        </w:rPr>
        <w:t>The mechanism for primary active H</w:t>
      </w:r>
      <w:r>
        <w:rPr>
          <w:rFonts w:ascii="Consolas"/>
          <w:color w:val="231F20"/>
          <w:position w:val="8"/>
          <w:sz w:val="12"/>
        </w:rPr>
        <w:t>+ </w:t>
      </w:r>
      <w:r>
        <w:rPr>
          <w:color w:val="231F20"/>
          <w:sz w:val="20"/>
        </w:rPr>
        <w:t>secretion was discussed in Chapter 28 and is shown in </w:t>
      </w:r>
      <w:hyperlink w:history="true" w:anchor="_bookmark107">
        <w:r>
          <w:rPr>
            <w:b/>
            <w:color w:val="0080AC"/>
            <w:sz w:val="20"/>
          </w:rPr>
          <w:t>Figure 31-6</w:t>
        </w:r>
      </w:hyperlink>
      <w:r>
        <w:rPr>
          <w:color w:val="231F20"/>
          <w:sz w:val="20"/>
        </w:rPr>
        <w:t>. </w:t>
      </w:r>
      <w:r>
        <w:rPr>
          <w:color w:val="231F20"/>
          <w:spacing w:val="-3"/>
          <w:sz w:val="20"/>
        </w:rPr>
        <w:t>It </w:t>
      </w:r>
      <w:r>
        <w:rPr>
          <w:color w:val="231F20"/>
          <w:sz w:val="20"/>
        </w:rPr>
        <w:t>occurs at the luminal membrane of the tubular cell, </w:t>
      </w:r>
      <w:r>
        <w:rPr>
          <w:color w:val="231F20"/>
          <w:spacing w:val="-4"/>
          <w:sz w:val="20"/>
        </w:rPr>
        <w:t>where </w:t>
      </w:r>
      <w:r>
        <w:rPr>
          <w:color w:val="231F20"/>
          <w:sz w:val="20"/>
        </w:rPr>
        <w:t>H</w:t>
      </w:r>
      <w:r>
        <w:rPr>
          <w:rFonts w:ascii="Consolas"/>
          <w:color w:val="231F20"/>
          <w:position w:val="8"/>
          <w:sz w:val="12"/>
        </w:rPr>
        <w:t>+ </w:t>
      </w:r>
      <w:r>
        <w:rPr>
          <w:color w:val="231F20"/>
          <w:sz w:val="20"/>
        </w:rPr>
        <w:t>is transported directly by specific proteins, a </w:t>
      </w:r>
      <w:r>
        <w:rPr>
          <w:i/>
          <w:color w:val="231F20"/>
          <w:spacing w:val="-3"/>
          <w:sz w:val="20"/>
        </w:rPr>
        <w:t>hydrogen- </w:t>
      </w:r>
      <w:r>
        <w:rPr>
          <w:i/>
          <w:color w:val="231F20"/>
          <w:sz w:val="20"/>
        </w:rPr>
        <w:t>transporting </w:t>
      </w:r>
      <w:r>
        <w:rPr>
          <w:i/>
          <w:color w:val="231F20"/>
          <w:spacing w:val="-3"/>
          <w:sz w:val="20"/>
        </w:rPr>
        <w:t>ATPase </w:t>
      </w:r>
      <w:r>
        <w:rPr>
          <w:color w:val="231F20"/>
          <w:sz w:val="20"/>
        </w:rPr>
        <w:t>and a </w:t>
      </w:r>
      <w:r>
        <w:rPr>
          <w:i/>
          <w:color w:val="231F20"/>
          <w:sz w:val="20"/>
        </w:rPr>
        <w:t>hydrogen-potassium-ATPase </w:t>
      </w:r>
      <w:r>
        <w:rPr>
          <w:i/>
          <w:color w:val="231F20"/>
          <w:sz w:val="20"/>
        </w:rPr>
        <w:t>transporter</w:t>
      </w:r>
      <w:r>
        <w:rPr>
          <w:color w:val="231F20"/>
          <w:sz w:val="20"/>
        </w:rPr>
        <w:t>. The energy required for pumping the H</w:t>
      </w:r>
      <w:r>
        <w:rPr>
          <w:rFonts w:ascii="Consolas"/>
          <w:color w:val="231F20"/>
          <w:position w:val="8"/>
          <w:sz w:val="12"/>
        </w:rPr>
        <w:t>+ </w:t>
      </w:r>
      <w:r>
        <w:rPr>
          <w:color w:val="231F20"/>
          <w:sz w:val="20"/>
        </w:rPr>
        <w:t>is derived from the breakdown of </w:t>
      </w:r>
      <w:r>
        <w:rPr>
          <w:color w:val="231F20"/>
          <w:spacing w:val="-5"/>
          <w:sz w:val="20"/>
        </w:rPr>
        <w:t>ATP </w:t>
      </w:r>
      <w:r>
        <w:rPr>
          <w:color w:val="231F20"/>
          <w:sz w:val="20"/>
        </w:rPr>
        <w:t>to adenosine diphosphate.</w:t>
      </w:r>
    </w:p>
    <w:p>
      <w:pPr>
        <w:pStyle w:val="BodyText"/>
        <w:spacing w:line="229" w:lineRule="exact"/>
        <w:ind w:left="1320"/>
        <w:jc w:val="both"/>
      </w:pPr>
      <w:r>
        <w:rPr>
          <w:color w:val="231F20"/>
        </w:rPr>
        <w:t>Primary active secretion of H</w:t>
      </w:r>
      <w:r>
        <w:rPr>
          <w:rFonts w:ascii="Consolas"/>
          <w:color w:val="231F20"/>
          <w:position w:val="8"/>
          <w:sz w:val="12"/>
        </w:rPr>
        <w:t>+ </w:t>
      </w:r>
      <w:r>
        <w:rPr>
          <w:color w:val="231F20"/>
        </w:rPr>
        <w:t>occurs in special</w:t>
      </w:r>
    </w:p>
    <w:p>
      <w:pPr>
        <w:pStyle w:val="BodyText"/>
        <w:spacing w:line="247" w:lineRule="auto" w:before="54"/>
        <w:ind w:left="319" w:right="1437"/>
        <w:jc w:val="both"/>
      </w:pPr>
      <w:r>
        <w:rPr/>
        <w:br w:type="column"/>
      </w:r>
      <w:r>
        <w:rPr>
          <w:color w:val="231F20"/>
          <w:w w:val="105"/>
        </w:rPr>
        <w:t>When</w:t>
      </w:r>
      <w:r>
        <w:rPr>
          <w:color w:val="231F20"/>
          <w:spacing w:val="-5"/>
          <w:w w:val="105"/>
        </w:rPr>
        <w:t> </w:t>
      </w:r>
      <w:r>
        <w:rPr>
          <w:color w:val="231F20"/>
          <w:w w:val="105"/>
        </w:rPr>
        <w:t>H</w:t>
      </w:r>
      <w:r>
        <w:rPr>
          <w:rFonts w:ascii="Consolas" w:hAnsi="Consolas"/>
          <w:color w:val="231F20"/>
          <w:w w:val="105"/>
          <w:position w:val="8"/>
          <w:sz w:val="12"/>
        </w:rPr>
        <w:t>+</w:t>
      </w:r>
      <w:r>
        <w:rPr>
          <w:rFonts w:ascii="Consolas" w:hAnsi="Consolas"/>
          <w:color w:val="231F20"/>
          <w:spacing w:val="-21"/>
          <w:w w:val="105"/>
          <w:position w:val="8"/>
          <w:sz w:val="12"/>
        </w:rPr>
        <w:t> </w:t>
      </w:r>
      <w:r>
        <w:rPr>
          <w:color w:val="231F20"/>
          <w:w w:val="105"/>
        </w:rPr>
        <w:t>is</w:t>
      </w:r>
      <w:r>
        <w:rPr>
          <w:color w:val="231F20"/>
          <w:spacing w:val="-4"/>
          <w:w w:val="105"/>
        </w:rPr>
        <w:t> </w:t>
      </w:r>
      <w:r>
        <w:rPr>
          <w:color w:val="231F20"/>
          <w:w w:val="105"/>
        </w:rPr>
        <w:t>secreted</w:t>
      </w:r>
      <w:r>
        <w:rPr>
          <w:color w:val="231F20"/>
          <w:spacing w:val="-4"/>
          <w:w w:val="105"/>
        </w:rPr>
        <w:t> </w:t>
      </w:r>
      <w:r>
        <w:rPr>
          <w:color w:val="231F20"/>
          <w:w w:val="105"/>
        </w:rPr>
        <w:t>in</w:t>
      </w:r>
      <w:r>
        <w:rPr>
          <w:color w:val="231F20"/>
          <w:spacing w:val="-4"/>
          <w:w w:val="105"/>
        </w:rPr>
        <w:t> </w:t>
      </w:r>
      <w:r>
        <w:rPr>
          <w:color w:val="231F20"/>
          <w:w w:val="105"/>
        </w:rPr>
        <w:t>excess</w:t>
      </w:r>
      <w:r>
        <w:rPr>
          <w:color w:val="231F20"/>
          <w:spacing w:val="-4"/>
          <w:w w:val="105"/>
        </w:rPr>
        <w:t> </w:t>
      </w:r>
      <w:r>
        <w:rPr>
          <w:color w:val="231F20"/>
          <w:w w:val="105"/>
        </w:rPr>
        <w:t>of</w:t>
      </w:r>
      <w:r>
        <w:rPr>
          <w:color w:val="231F20"/>
          <w:spacing w:val="-4"/>
          <w:w w:val="105"/>
        </w:rPr>
        <w:t> </w:t>
      </w:r>
      <w:r>
        <w:rPr>
          <w:color w:val="231F20"/>
          <w:w w:val="105"/>
        </w:rPr>
        <w:t>the</w:t>
      </w:r>
      <w:r>
        <w:rPr>
          <w:color w:val="231F20"/>
          <w:spacing w:val="-5"/>
          <w:w w:val="105"/>
        </w:rPr>
        <w:t> </w:t>
      </w:r>
      <w:r>
        <w:rPr>
          <w:color w:val="231F20"/>
          <w:w w:val="105"/>
        </w:rPr>
        <w:t>HCO</w:t>
      </w:r>
      <w:r>
        <w:rPr>
          <w:color w:val="231F20"/>
          <w:spacing w:val="-2"/>
          <w:w w:val="105"/>
        </w:rPr>
        <w:t> </w:t>
      </w:r>
      <w:r>
        <w:rPr>
          <w:rFonts w:ascii="Consolas" w:hAnsi="Consolas"/>
          <w:color w:val="231F20"/>
          <w:w w:val="105"/>
          <w:position w:val="8"/>
          <w:sz w:val="12"/>
        </w:rPr>
        <w:t>−</w:t>
      </w:r>
      <w:r>
        <w:rPr>
          <w:rFonts w:ascii="Consolas" w:hAnsi="Consolas"/>
          <w:color w:val="231F20"/>
          <w:spacing w:val="-21"/>
          <w:w w:val="105"/>
          <w:position w:val="8"/>
          <w:sz w:val="12"/>
        </w:rPr>
        <w:t> </w:t>
      </w:r>
      <w:r>
        <w:rPr>
          <w:color w:val="231F20"/>
          <w:w w:val="105"/>
        </w:rPr>
        <w:t>filtered</w:t>
      </w:r>
      <w:r>
        <w:rPr>
          <w:color w:val="231F20"/>
          <w:spacing w:val="-4"/>
          <w:w w:val="105"/>
        </w:rPr>
        <w:t> </w:t>
      </w:r>
      <w:r>
        <w:rPr>
          <w:color w:val="231F20"/>
          <w:w w:val="105"/>
        </w:rPr>
        <w:t>into the</w:t>
      </w:r>
      <w:r>
        <w:rPr>
          <w:color w:val="231F20"/>
          <w:spacing w:val="-17"/>
          <w:w w:val="105"/>
        </w:rPr>
        <w:t> </w:t>
      </w:r>
      <w:r>
        <w:rPr>
          <w:color w:val="231F20"/>
          <w:w w:val="105"/>
        </w:rPr>
        <w:t>tubular</w:t>
      </w:r>
      <w:r>
        <w:rPr>
          <w:color w:val="231F20"/>
          <w:spacing w:val="-16"/>
          <w:w w:val="105"/>
        </w:rPr>
        <w:t> </w:t>
      </w:r>
      <w:r>
        <w:rPr>
          <w:color w:val="231F20"/>
          <w:w w:val="105"/>
        </w:rPr>
        <w:t>fluid,</w:t>
      </w:r>
      <w:r>
        <w:rPr>
          <w:color w:val="231F20"/>
          <w:spacing w:val="-16"/>
          <w:w w:val="105"/>
        </w:rPr>
        <w:t> </w:t>
      </w:r>
      <w:r>
        <w:rPr>
          <w:color w:val="231F20"/>
          <w:w w:val="105"/>
        </w:rPr>
        <w:t>only</w:t>
      </w:r>
      <w:r>
        <w:rPr>
          <w:color w:val="231F20"/>
          <w:spacing w:val="-16"/>
          <w:w w:val="105"/>
        </w:rPr>
        <w:t> </w:t>
      </w:r>
      <w:r>
        <w:rPr>
          <w:color w:val="231F20"/>
          <w:w w:val="105"/>
        </w:rPr>
        <w:t>a</w:t>
      </w:r>
      <w:r>
        <w:rPr>
          <w:color w:val="231F20"/>
          <w:spacing w:val="-17"/>
          <w:w w:val="105"/>
        </w:rPr>
        <w:t> </w:t>
      </w:r>
      <w:r>
        <w:rPr>
          <w:color w:val="231F20"/>
          <w:w w:val="105"/>
        </w:rPr>
        <w:t>small</w:t>
      </w:r>
      <w:r>
        <w:rPr>
          <w:color w:val="231F20"/>
          <w:spacing w:val="-16"/>
          <w:w w:val="105"/>
        </w:rPr>
        <w:t> </w:t>
      </w:r>
      <w:r>
        <w:rPr>
          <w:color w:val="231F20"/>
          <w:w w:val="105"/>
        </w:rPr>
        <w:t>part</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7"/>
          <w:w w:val="105"/>
        </w:rPr>
        <w:t> </w:t>
      </w:r>
      <w:r>
        <w:rPr>
          <w:color w:val="231F20"/>
          <w:w w:val="105"/>
        </w:rPr>
        <w:t>excess</w:t>
      </w:r>
      <w:r>
        <w:rPr>
          <w:color w:val="231F20"/>
          <w:spacing w:val="-16"/>
          <w:w w:val="105"/>
        </w:rPr>
        <w:t> </w:t>
      </w:r>
      <w:r>
        <w:rPr>
          <w:color w:val="231F20"/>
          <w:w w:val="105"/>
        </w:rPr>
        <w:t>H</w:t>
      </w:r>
      <w:r>
        <w:rPr>
          <w:rFonts w:ascii="Consolas" w:hAnsi="Consolas"/>
          <w:color w:val="231F20"/>
          <w:w w:val="105"/>
          <w:position w:val="8"/>
          <w:sz w:val="12"/>
        </w:rPr>
        <w:t>+</w:t>
      </w:r>
      <w:r>
        <w:rPr>
          <w:rFonts w:ascii="Consolas" w:hAnsi="Consolas"/>
          <w:color w:val="231F20"/>
          <w:spacing w:val="-33"/>
          <w:w w:val="105"/>
          <w:position w:val="8"/>
          <w:sz w:val="12"/>
        </w:rPr>
        <w:t> </w:t>
      </w:r>
      <w:r>
        <w:rPr>
          <w:color w:val="231F20"/>
          <w:w w:val="105"/>
        </w:rPr>
        <w:t>can</w:t>
      </w:r>
      <w:r>
        <w:rPr>
          <w:color w:val="231F20"/>
          <w:spacing w:val="-16"/>
          <w:w w:val="105"/>
        </w:rPr>
        <w:t> </w:t>
      </w:r>
      <w:r>
        <w:rPr>
          <w:color w:val="231F20"/>
          <w:w w:val="105"/>
        </w:rPr>
        <w:t>be excreted in the ionic form (H</w:t>
      </w:r>
      <w:r>
        <w:rPr>
          <w:rFonts w:ascii="Consolas" w:hAnsi="Consolas"/>
          <w:color w:val="231F20"/>
          <w:w w:val="105"/>
          <w:position w:val="8"/>
          <w:sz w:val="12"/>
        </w:rPr>
        <w:t>+</w:t>
      </w:r>
      <w:r>
        <w:rPr>
          <w:color w:val="231F20"/>
          <w:w w:val="105"/>
        </w:rPr>
        <w:t>) in the urine. This is because</w:t>
      </w:r>
      <w:r>
        <w:rPr>
          <w:color w:val="231F20"/>
          <w:spacing w:val="-23"/>
          <w:w w:val="105"/>
        </w:rPr>
        <w:t> </w:t>
      </w:r>
      <w:r>
        <w:rPr>
          <w:color w:val="231F20"/>
          <w:w w:val="105"/>
        </w:rPr>
        <w:t>the</w:t>
      </w:r>
      <w:r>
        <w:rPr>
          <w:color w:val="231F20"/>
          <w:spacing w:val="-22"/>
          <w:w w:val="105"/>
        </w:rPr>
        <w:t> </w:t>
      </w:r>
      <w:r>
        <w:rPr>
          <w:color w:val="231F20"/>
          <w:w w:val="105"/>
        </w:rPr>
        <w:t>minimal</w:t>
      </w:r>
      <w:r>
        <w:rPr>
          <w:color w:val="231F20"/>
          <w:spacing w:val="-23"/>
          <w:w w:val="105"/>
        </w:rPr>
        <w:t> </w:t>
      </w:r>
      <w:r>
        <w:rPr>
          <w:color w:val="231F20"/>
          <w:w w:val="105"/>
        </w:rPr>
        <w:t>urine</w:t>
      </w:r>
      <w:r>
        <w:rPr>
          <w:color w:val="231F20"/>
          <w:spacing w:val="-22"/>
          <w:w w:val="105"/>
        </w:rPr>
        <w:t> </w:t>
      </w:r>
      <w:r>
        <w:rPr>
          <w:color w:val="231F20"/>
          <w:w w:val="105"/>
        </w:rPr>
        <w:t>pH</w:t>
      </w:r>
      <w:r>
        <w:rPr>
          <w:color w:val="231F20"/>
          <w:spacing w:val="-23"/>
          <w:w w:val="105"/>
        </w:rPr>
        <w:t> </w:t>
      </w:r>
      <w:r>
        <w:rPr>
          <w:color w:val="231F20"/>
          <w:w w:val="105"/>
        </w:rPr>
        <w:t>is</w:t>
      </w:r>
      <w:r>
        <w:rPr>
          <w:color w:val="231F20"/>
          <w:spacing w:val="-22"/>
          <w:w w:val="105"/>
        </w:rPr>
        <w:t> </w:t>
      </w:r>
      <w:r>
        <w:rPr>
          <w:color w:val="231F20"/>
          <w:w w:val="105"/>
        </w:rPr>
        <w:t>about</w:t>
      </w:r>
      <w:r>
        <w:rPr>
          <w:color w:val="231F20"/>
          <w:spacing w:val="-23"/>
          <w:w w:val="105"/>
        </w:rPr>
        <w:t> </w:t>
      </w:r>
      <w:r>
        <w:rPr>
          <w:color w:val="231F20"/>
          <w:w w:val="105"/>
        </w:rPr>
        <w:t>4.5,</w:t>
      </w:r>
      <w:r>
        <w:rPr>
          <w:color w:val="231F20"/>
          <w:spacing w:val="-22"/>
          <w:w w:val="105"/>
        </w:rPr>
        <w:t> </w:t>
      </w:r>
      <w:r>
        <w:rPr>
          <w:color w:val="231F20"/>
          <w:w w:val="105"/>
        </w:rPr>
        <w:t>corresponding to an H</w:t>
      </w:r>
      <w:r>
        <w:rPr>
          <w:rFonts w:ascii="Consolas" w:hAnsi="Consolas"/>
          <w:color w:val="231F20"/>
          <w:w w:val="105"/>
          <w:position w:val="8"/>
          <w:sz w:val="12"/>
        </w:rPr>
        <w:t>+ </w:t>
      </w:r>
      <w:r>
        <w:rPr>
          <w:color w:val="231F20"/>
          <w:w w:val="105"/>
        </w:rPr>
        <w:t>concentration of 10</w:t>
      </w:r>
      <w:r>
        <w:rPr>
          <w:rFonts w:ascii="Consolas" w:hAnsi="Consolas"/>
          <w:color w:val="231F20"/>
          <w:w w:val="105"/>
          <w:position w:val="8"/>
          <w:sz w:val="12"/>
        </w:rPr>
        <w:t>−</w:t>
      </w:r>
      <w:r>
        <w:rPr>
          <w:color w:val="231F20"/>
          <w:w w:val="105"/>
          <w:position w:val="8"/>
          <w:sz w:val="12"/>
        </w:rPr>
        <w:t>4.5 </w:t>
      </w:r>
      <w:r>
        <w:rPr>
          <w:color w:val="231F20"/>
          <w:w w:val="105"/>
        </w:rPr>
        <w:t>mEq/L, or 0.03 mEq/L. Thus,</w:t>
      </w:r>
      <w:r>
        <w:rPr>
          <w:color w:val="231F20"/>
          <w:spacing w:val="-6"/>
          <w:w w:val="105"/>
        </w:rPr>
        <w:t> </w:t>
      </w:r>
      <w:r>
        <w:rPr>
          <w:color w:val="231F20"/>
          <w:w w:val="105"/>
        </w:rPr>
        <w:t>for</w:t>
      </w:r>
      <w:r>
        <w:rPr>
          <w:color w:val="231F20"/>
          <w:spacing w:val="-5"/>
          <w:w w:val="105"/>
        </w:rPr>
        <w:t> </w:t>
      </w:r>
      <w:r>
        <w:rPr>
          <w:color w:val="231F20"/>
          <w:w w:val="105"/>
        </w:rPr>
        <w:t>each</w:t>
      </w:r>
      <w:r>
        <w:rPr>
          <w:color w:val="231F20"/>
          <w:spacing w:val="-5"/>
          <w:w w:val="105"/>
        </w:rPr>
        <w:t> </w:t>
      </w:r>
      <w:r>
        <w:rPr>
          <w:color w:val="231F20"/>
          <w:w w:val="105"/>
        </w:rPr>
        <w:t>liter</w:t>
      </w:r>
      <w:r>
        <w:rPr>
          <w:color w:val="231F20"/>
          <w:spacing w:val="-5"/>
          <w:w w:val="105"/>
        </w:rPr>
        <w:t> </w:t>
      </w:r>
      <w:r>
        <w:rPr>
          <w:color w:val="231F20"/>
          <w:w w:val="105"/>
        </w:rPr>
        <w:t>of</w:t>
      </w:r>
      <w:r>
        <w:rPr>
          <w:color w:val="231F20"/>
          <w:spacing w:val="-5"/>
          <w:w w:val="105"/>
        </w:rPr>
        <w:t> </w:t>
      </w:r>
      <w:r>
        <w:rPr>
          <w:color w:val="231F20"/>
          <w:w w:val="105"/>
        </w:rPr>
        <w:t>urine</w:t>
      </w:r>
      <w:r>
        <w:rPr>
          <w:color w:val="231F20"/>
          <w:spacing w:val="-5"/>
          <w:w w:val="105"/>
        </w:rPr>
        <w:t> </w:t>
      </w:r>
      <w:r>
        <w:rPr>
          <w:color w:val="231F20"/>
          <w:w w:val="105"/>
        </w:rPr>
        <w:t>formed,</w:t>
      </w:r>
      <w:r>
        <w:rPr>
          <w:color w:val="231F20"/>
          <w:spacing w:val="-5"/>
          <w:w w:val="105"/>
        </w:rPr>
        <w:t> </w:t>
      </w:r>
      <w:r>
        <w:rPr>
          <w:color w:val="231F20"/>
          <w:w w:val="105"/>
        </w:rPr>
        <w:t>a</w:t>
      </w:r>
      <w:r>
        <w:rPr>
          <w:color w:val="231F20"/>
          <w:spacing w:val="-6"/>
          <w:w w:val="105"/>
        </w:rPr>
        <w:t> </w:t>
      </w:r>
      <w:r>
        <w:rPr>
          <w:color w:val="231F20"/>
          <w:w w:val="105"/>
        </w:rPr>
        <w:t>maximum</w:t>
      </w:r>
      <w:r>
        <w:rPr>
          <w:color w:val="231F20"/>
          <w:spacing w:val="-5"/>
          <w:w w:val="105"/>
        </w:rPr>
        <w:t> </w:t>
      </w:r>
      <w:r>
        <w:rPr>
          <w:color w:val="231F20"/>
          <w:w w:val="105"/>
        </w:rPr>
        <w:t>of</w:t>
      </w:r>
      <w:r>
        <w:rPr>
          <w:color w:val="231F20"/>
          <w:spacing w:val="-5"/>
          <w:w w:val="105"/>
        </w:rPr>
        <w:t> </w:t>
      </w:r>
      <w:r>
        <w:rPr>
          <w:color w:val="231F20"/>
          <w:w w:val="105"/>
        </w:rPr>
        <w:t>only about</w:t>
      </w:r>
      <w:r>
        <w:rPr>
          <w:color w:val="231F20"/>
          <w:spacing w:val="-19"/>
          <w:w w:val="105"/>
        </w:rPr>
        <w:t> </w:t>
      </w:r>
      <w:r>
        <w:rPr>
          <w:color w:val="231F20"/>
          <w:w w:val="105"/>
        </w:rPr>
        <w:t>0.03</w:t>
      </w:r>
      <w:r>
        <w:rPr>
          <w:color w:val="231F20"/>
          <w:spacing w:val="-8"/>
          <w:w w:val="105"/>
        </w:rPr>
        <w:t> </w:t>
      </w:r>
      <w:r>
        <w:rPr>
          <w:color w:val="231F20"/>
          <w:w w:val="105"/>
        </w:rPr>
        <w:t>mEq</w:t>
      </w:r>
      <w:r>
        <w:rPr>
          <w:color w:val="231F20"/>
          <w:spacing w:val="-18"/>
          <w:w w:val="105"/>
        </w:rPr>
        <w:t> </w:t>
      </w:r>
      <w:r>
        <w:rPr>
          <w:color w:val="231F20"/>
          <w:w w:val="105"/>
        </w:rPr>
        <w:t>of</w:t>
      </w:r>
      <w:r>
        <w:rPr>
          <w:color w:val="231F20"/>
          <w:spacing w:val="-18"/>
          <w:w w:val="105"/>
        </w:rPr>
        <w:t> </w:t>
      </w:r>
      <w:r>
        <w:rPr>
          <w:color w:val="231F20"/>
          <w:w w:val="105"/>
        </w:rPr>
        <w:t>free</w:t>
      </w:r>
      <w:r>
        <w:rPr>
          <w:color w:val="231F20"/>
          <w:spacing w:val="-18"/>
          <w:w w:val="105"/>
        </w:rPr>
        <w:t> </w:t>
      </w:r>
      <w:r>
        <w:rPr>
          <w:color w:val="231F20"/>
          <w:w w:val="105"/>
        </w:rPr>
        <w:t>H</w:t>
      </w:r>
      <w:r>
        <w:rPr>
          <w:rFonts w:ascii="Consolas" w:hAnsi="Consolas"/>
          <w:color w:val="231F20"/>
          <w:w w:val="105"/>
          <w:position w:val="8"/>
          <w:sz w:val="12"/>
        </w:rPr>
        <w:t>+</w:t>
      </w:r>
      <w:r>
        <w:rPr>
          <w:rFonts w:ascii="Consolas" w:hAnsi="Consolas"/>
          <w:color w:val="231F20"/>
          <w:spacing w:val="-35"/>
          <w:w w:val="105"/>
          <w:position w:val="8"/>
          <w:sz w:val="12"/>
        </w:rPr>
        <w:t> </w:t>
      </w:r>
      <w:r>
        <w:rPr>
          <w:color w:val="231F20"/>
          <w:w w:val="105"/>
        </w:rPr>
        <w:t>can</w:t>
      </w:r>
      <w:r>
        <w:rPr>
          <w:color w:val="231F20"/>
          <w:spacing w:val="-18"/>
          <w:w w:val="105"/>
        </w:rPr>
        <w:t> </w:t>
      </w:r>
      <w:r>
        <w:rPr>
          <w:color w:val="231F20"/>
          <w:w w:val="105"/>
        </w:rPr>
        <w:t>be</w:t>
      </w:r>
      <w:r>
        <w:rPr>
          <w:color w:val="231F20"/>
          <w:spacing w:val="-18"/>
          <w:w w:val="105"/>
        </w:rPr>
        <w:t> </w:t>
      </w:r>
      <w:r>
        <w:rPr>
          <w:color w:val="231F20"/>
          <w:w w:val="105"/>
        </w:rPr>
        <w:t>excreted.</w:t>
      </w:r>
      <w:r>
        <w:rPr>
          <w:color w:val="231F20"/>
          <w:spacing w:val="-18"/>
          <w:w w:val="105"/>
        </w:rPr>
        <w:t> </w:t>
      </w:r>
      <w:r>
        <w:rPr>
          <w:color w:val="231F20"/>
          <w:spacing w:val="-11"/>
          <w:w w:val="105"/>
        </w:rPr>
        <w:t>To</w:t>
      </w:r>
      <w:r>
        <w:rPr>
          <w:color w:val="231F20"/>
          <w:spacing w:val="-19"/>
          <w:w w:val="105"/>
        </w:rPr>
        <w:t> </w:t>
      </w:r>
      <w:r>
        <w:rPr>
          <w:color w:val="231F20"/>
          <w:w w:val="105"/>
        </w:rPr>
        <w:t>excrete</w:t>
      </w:r>
      <w:r>
        <w:rPr>
          <w:color w:val="231F20"/>
          <w:spacing w:val="-18"/>
          <w:w w:val="105"/>
        </w:rPr>
        <w:t> </w:t>
      </w:r>
      <w:r>
        <w:rPr>
          <w:color w:val="231F20"/>
          <w:w w:val="105"/>
        </w:rPr>
        <w:t>the 80 mEq of nonvolatile acid formed by metabolism each </w:t>
      </w:r>
      <w:r>
        <w:rPr>
          <w:color w:val="231F20"/>
          <w:spacing w:val="-4"/>
          <w:w w:val="105"/>
        </w:rPr>
        <w:t>day,</w:t>
      </w:r>
      <w:r>
        <w:rPr>
          <w:color w:val="231F20"/>
          <w:spacing w:val="-11"/>
          <w:w w:val="105"/>
        </w:rPr>
        <w:t> </w:t>
      </w:r>
      <w:r>
        <w:rPr>
          <w:color w:val="231F20"/>
          <w:w w:val="105"/>
        </w:rPr>
        <w:t>about</w:t>
      </w:r>
      <w:r>
        <w:rPr>
          <w:color w:val="231F20"/>
          <w:spacing w:val="-10"/>
          <w:w w:val="105"/>
        </w:rPr>
        <w:t> </w:t>
      </w:r>
      <w:r>
        <w:rPr>
          <w:color w:val="231F20"/>
          <w:w w:val="105"/>
        </w:rPr>
        <w:t>2667</w:t>
      </w:r>
      <w:r>
        <w:rPr>
          <w:color w:val="231F20"/>
          <w:spacing w:val="-10"/>
          <w:w w:val="105"/>
        </w:rPr>
        <w:t> </w:t>
      </w:r>
      <w:r>
        <w:rPr>
          <w:color w:val="231F20"/>
          <w:w w:val="105"/>
        </w:rPr>
        <w:t>liters</w:t>
      </w:r>
      <w:r>
        <w:rPr>
          <w:color w:val="231F20"/>
          <w:spacing w:val="-10"/>
          <w:w w:val="105"/>
        </w:rPr>
        <w:t> </w:t>
      </w:r>
      <w:r>
        <w:rPr>
          <w:color w:val="231F20"/>
          <w:w w:val="105"/>
        </w:rPr>
        <w:t>of</w:t>
      </w:r>
      <w:r>
        <w:rPr>
          <w:color w:val="231F20"/>
          <w:spacing w:val="-10"/>
          <w:w w:val="105"/>
        </w:rPr>
        <w:t> </w:t>
      </w:r>
      <w:r>
        <w:rPr>
          <w:color w:val="231F20"/>
          <w:w w:val="105"/>
        </w:rPr>
        <w:t>urine</w:t>
      </w:r>
      <w:r>
        <w:rPr>
          <w:color w:val="231F20"/>
          <w:spacing w:val="-10"/>
          <w:w w:val="105"/>
        </w:rPr>
        <w:t> </w:t>
      </w:r>
      <w:r>
        <w:rPr>
          <w:color w:val="231F20"/>
          <w:w w:val="105"/>
        </w:rPr>
        <w:t>would</w:t>
      </w:r>
      <w:r>
        <w:rPr>
          <w:color w:val="231F20"/>
          <w:spacing w:val="-10"/>
          <w:w w:val="105"/>
        </w:rPr>
        <w:t> </w:t>
      </w:r>
      <w:r>
        <w:rPr>
          <w:color w:val="231F20"/>
          <w:w w:val="105"/>
        </w:rPr>
        <w:t>have</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excreted if the H</w:t>
      </w:r>
      <w:r>
        <w:rPr>
          <w:rFonts w:ascii="Consolas" w:hAnsi="Consolas"/>
          <w:color w:val="231F20"/>
          <w:w w:val="105"/>
          <w:position w:val="8"/>
          <w:sz w:val="12"/>
        </w:rPr>
        <w:t>+ </w:t>
      </w:r>
      <w:r>
        <w:rPr>
          <w:color w:val="231F20"/>
          <w:w w:val="105"/>
        </w:rPr>
        <w:t>remained free in</w:t>
      </w:r>
      <w:r>
        <w:rPr>
          <w:color w:val="231F20"/>
          <w:spacing w:val="-5"/>
          <w:w w:val="105"/>
        </w:rPr>
        <w:t> </w:t>
      </w:r>
      <w:r>
        <w:rPr>
          <w:color w:val="231F20"/>
          <w:w w:val="105"/>
        </w:rPr>
        <w:t>solution.</w:t>
      </w:r>
    </w:p>
    <w:p>
      <w:pPr>
        <w:pStyle w:val="BodyText"/>
        <w:spacing w:line="249" w:lineRule="auto" w:before="8"/>
        <w:ind w:left="319" w:right="1437" w:firstLine="240"/>
        <w:jc w:val="both"/>
      </w:pPr>
      <w:r>
        <w:rPr/>
        <w:pict>
          <v:shape style="position:absolute;margin-left:482.738007pt;margin-top:-114.154472pt;width:3pt;height:8.7pt;mso-position-horizontal-relative:page;mso-position-vertical-relative:paragraph;z-index:-27245056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The excretion of large amounts of H</w:t>
      </w:r>
      <w:r>
        <w:rPr>
          <w:rFonts w:ascii="Consolas"/>
          <w:color w:val="231F20"/>
          <w:position w:val="8"/>
          <w:sz w:val="12"/>
        </w:rPr>
        <w:t>+ </w:t>
      </w:r>
      <w:r>
        <w:rPr>
          <w:color w:val="231F20"/>
        </w:rPr>
        <w:t>(on occasion as much as 500 mEq/day) in the urine is accomplished pri- marily by combining the H</w:t>
      </w:r>
      <w:r>
        <w:rPr>
          <w:rFonts w:ascii="Consolas"/>
          <w:color w:val="231F20"/>
          <w:position w:val="8"/>
          <w:sz w:val="12"/>
        </w:rPr>
        <w:t>+ </w:t>
      </w:r>
      <w:r>
        <w:rPr>
          <w:color w:val="231F20"/>
        </w:rPr>
        <w:t>with buffers in the tubular fluid. The most important buffers are phosphate </w:t>
      </w:r>
      <w:r>
        <w:rPr>
          <w:color w:val="231F20"/>
          <w:spacing w:val="-3"/>
        </w:rPr>
        <w:t>buffer  </w:t>
      </w:r>
      <w:r>
        <w:rPr>
          <w:color w:val="231F20"/>
        </w:rPr>
        <w:t>and ammonia </w:t>
      </w:r>
      <w:r>
        <w:rPr>
          <w:color w:val="231F20"/>
          <w:spacing w:val="-3"/>
        </w:rPr>
        <w:t>buffer. </w:t>
      </w:r>
      <w:r>
        <w:rPr>
          <w:color w:val="231F20"/>
        </w:rPr>
        <w:t>Other weak buffer systems, such as urate and citrate, are much less</w:t>
      </w:r>
      <w:r>
        <w:rPr>
          <w:color w:val="231F20"/>
          <w:spacing w:val="15"/>
        </w:rPr>
        <w:t> </w:t>
      </w:r>
      <w:r>
        <w:rPr>
          <w:color w:val="231F20"/>
        </w:rPr>
        <w:t>important.</w:t>
      </w:r>
    </w:p>
    <w:p>
      <w:pPr>
        <w:pStyle w:val="BodyText"/>
        <w:spacing w:line="247" w:lineRule="auto"/>
        <w:ind w:left="319" w:right="1437" w:firstLine="240"/>
        <w:jc w:val="both"/>
      </w:pPr>
      <w:r>
        <w:rPr/>
        <w:pict>
          <v:shape style="position:absolute;margin-left:531.344299pt;margin-top:5.445525pt;width:3pt;height:8.7pt;mso-position-horizontal-relative:page;mso-position-vertical-relative:paragraph;z-index:-27244851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77.522888pt;margin-top:17.445524pt;width:3pt;height:8.7pt;mso-position-horizontal-relative:page;mso-position-vertical-relative:paragraph;z-index:-27244748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76.594086pt;margin-top:53.445526pt;width:3pt;height:8.7pt;mso-position-horizontal-relative:page;mso-position-vertical-relative:paragraph;z-index:-27244646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28.459595pt;margin-top:65.445526pt;width:3pt;height:8.7pt;mso-position-horizontal-relative:page;mso-position-vertical-relative:paragraph;z-index:-27244544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33.88681pt;margin-top:89.445526pt;width:3pt;height:8.7pt;mso-position-horizontal-relative:page;mso-position-vertical-relative:paragraph;z-index:-27244441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28.459595pt;margin-top:101.445526pt;width:3pt;height:8.7pt;mso-position-horizontal-relative:page;mso-position-vertical-relative:paragraph;z-index:-2724372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94.079712pt;margin-top:101.445526pt;width:3pt;height:8.7pt;mso-position-horizontal-relative:page;mso-position-vertical-relative:paragraph;z-index:-27243622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When H</w:t>
      </w:r>
      <w:r>
        <w:rPr>
          <w:rFonts w:ascii="Consolas" w:hAnsi="Consolas"/>
          <w:color w:val="231F20"/>
          <w:position w:val="8"/>
          <w:sz w:val="12"/>
        </w:rPr>
        <w:t>+ </w:t>
      </w:r>
      <w:r>
        <w:rPr>
          <w:color w:val="231F20"/>
        </w:rPr>
        <w:t>is titrated in the tubular fluid with HCO </w:t>
      </w:r>
      <w:r>
        <w:rPr>
          <w:rFonts w:ascii="Consolas" w:hAnsi="Consolas"/>
          <w:color w:val="231F20"/>
          <w:position w:val="8"/>
          <w:sz w:val="12"/>
        </w:rPr>
        <w:t>−</w:t>
      </w:r>
      <w:r>
        <w:rPr>
          <w:color w:val="231F20"/>
        </w:rPr>
        <w:t>, this leads to reabsorption of one HCO </w:t>
      </w:r>
      <w:r>
        <w:rPr>
          <w:rFonts w:ascii="Consolas" w:hAnsi="Consolas"/>
          <w:color w:val="231F20"/>
          <w:position w:val="8"/>
          <w:sz w:val="12"/>
        </w:rPr>
        <w:t>− </w:t>
      </w:r>
      <w:r>
        <w:rPr>
          <w:color w:val="231F20"/>
        </w:rPr>
        <w:t>for each H</w:t>
      </w:r>
      <w:r>
        <w:rPr>
          <w:rFonts w:ascii="Consolas" w:hAnsi="Consolas"/>
          <w:color w:val="231F20"/>
          <w:position w:val="8"/>
          <w:sz w:val="12"/>
        </w:rPr>
        <w:t>+ </w:t>
      </w:r>
      <w:r>
        <w:rPr>
          <w:color w:val="231F20"/>
        </w:rPr>
        <w:t>secreted, as discussed </w:t>
      </w:r>
      <w:r>
        <w:rPr>
          <w:color w:val="231F20"/>
          <w:spacing w:val="-3"/>
        </w:rPr>
        <w:t>earlier. </w:t>
      </w:r>
      <w:r>
        <w:rPr>
          <w:color w:val="231F20"/>
        </w:rPr>
        <w:t>However, when there is excess H</w:t>
      </w:r>
      <w:r>
        <w:rPr>
          <w:rFonts w:ascii="Consolas" w:hAnsi="Consolas"/>
          <w:color w:val="231F20"/>
          <w:position w:val="8"/>
          <w:sz w:val="12"/>
        </w:rPr>
        <w:t>+ </w:t>
      </w:r>
      <w:r>
        <w:rPr>
          <w:color w:val="231F20"/>
        </w:rPr>
        <w:t>in the tubular fluid, it combines with buffers other than HCO </w:t>
      </w:r>
      <w:r>
        <w:rPr>
          <w:rFonts w:ascii="Consolas" w:hAnsi="Consolas"/>
          <w:color w:val="231F20"/>
          <w:position w:val="8"/>
          <w:sz w:val="12"/>
        </w:rPr>
        <w:t>−</w:t>
      </w:r>
      <w:r>
        <w:rPr>
          <w:color w:val="231F20"/>
        </w:rPr>
        <w:t>, and this leads to generation of </w:t>
      </w:r>
      <w:r>
        <w:rPr>
          <w:color w:val="231F20"/>
          <w:spacing w:val="-4"/>
        </w:rPr>
        <w:t>new </w:t>
      </w:r>
      <w:r>
        <w:rPr>
          <w:color w:val="231F20"/>
        </w:rPr>
        <w:t>HCO </w:t>
      </w:r>
      <w:r>
        <w:rPr>
          <w:rFonts w:ascii="Consolas" w:hAnsi="Consolas"/>
          <w:color w:val="231F20"/>
          <w:position w:val="8"/>
          <w:sz w:val="12"/>
        </w:rPr>
        <w:t>− </w:t>
      </w:r>
      <w:r>
        <w:rPr>
          <w:color w:val="231F20"/>
        </w:rPr>
        <w:t>that can also enter the blood. Thus, when there is excess H</w:t>
      </w:r>
      <w:r>
        <w:rPr>
          <w:rFonts w:ascii="Consolas" w:hAnsi="Consolas"/>
          <w:color w:val="231F20"/>
          <w:position w:val="8"/>
          <w:sz w:val="12"/>
        </w:rPr>
        <w:t>+ </w:t>
      </w:r>
      <w:r>
        <w:rPr>
          <w:color w:val="231F20"/>
        </w:rPr>
        <w:t>in the extracellular fluid, the kidneys not only reabsorb all the filtered HCO </w:t>
      </w:r>
      <w:r>
        <w:rPr>
          <w:rFonts w:ascii="Consolas" w:hAnsi="Consolas"/>
          <w:color w:val="231F20"/>
          <w:position w:val="8"/>
          <w:sz w:val="12"/>
        </w:rPr>
        <w:t>− </w:t>
      </w:r>
      <w:r>
        <w:rPr>
          <w:color w:val="231F20"/>
        </w:rPr>
        <w:t>but also generate new HCO </w:t>
      </w:r>
      <w:r>
        <w:rPr>
          <w:rFonts w:ascii="Consolas" w:hAnsi="Consolas"/>
          <w:color w:val="231F20"/>
          <w:position w:val="8"/>
          <w:sz w:val="12"/>
        </w:rPr>
        <w:t>−</w:t>
      </w:r>
      <w:r>
        <w:rPr>
          <w:color w:val="231F20"/>
        </w:rPr>
        <w:t>, thereby helping to replenish the HCO </w:t>
      </w:r>
      <w:r>
        <w:rPr>
          <w:rFonts w:ascii="Consolas" w:hAnsi="Consolas"/>
          <w:color w:val="231F20"/>
          <w:position w:val="8"/>
          <w:sz w:val="12"/>
        </w:rPr>
        <w:t>− </w:t>
      </w:r>
      <w:r>
        <w:rPr>
          <w:color w:val="231F20"/>
        </w:rPr>
        <w:t>lost</w:t>
      </w:r>
      <w:r>
        <w:rPr>
          <w:color w:val="231F20"/>
          <w:spacing w:val="15"/>
        </w:rPr>
        <w:t> </w:t>
      </w:r>
      <w:r>
        <w:rPr>
          <w:color w:val="231F20"/>
        </w:rPr>
        <w:t>from</w:t>
      </w:r>
    </w:p>
    <w:p>
      <w:pPr>
        <w:spacing w:after="0" w:line="247" w:lineRule="auto"/>
        <w:jc w:val="both"/>
        <w:sectPr>
          <w:type w:val="continuous"/>
          <w:pgSz w:w="12240" w:h="15660"/>
          <w:pgMar w:top="0" w:bottom="760" w:left="0" w:right="0"/>
          <w:cols w:num="2" w:equalWidth="0">
            <w:col w:w="5761" w:space="40"/>
            <w:col w:w="6439"/>
          </w:cols>
        </w:sectPr>
      </w:pPr>
    </w:p>
    <w:p>
      <w:pPr>
        <w:pStyle w:val="BodyText"/>
        <w:spacing w:line="249" w:lineRule="auto"/>
        <w:ind w:left="1079"/>
        <w:jc w:val="both"/>
      </w:pPr>
      <w:r>
        <w:rPr/>
        <w:pict>
          <v:shape style="position:absolute;margin-left:118.278603pt;margin-top:65.261932pt;width:3pt;height:8.7pt;mso-position-horizontal-relative:page;mso-position-vertical-relative:paragraph;z-index:-27244339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81.754089pt;margin-top:101.261932pt;width:3pt;height:8.7pt;mso-position-horizontal-relative:page;mso-position-vertical-relative:paragraph;z-index:-27244236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types of cells called the </w:t>
      </w:r>
      <w:r>
        <w:rPr>
          <w:i/>
          <w:color w:val="231F20"/>
          <w:w w:val="105"/>
        </w:rPr>
        <w:t>type A intercalated cells </w:t>
      </w:r>
      <w:r>
        <w:rPr>
          <w:color w:val="231F20"/>
          <w:w w:val="105"/>
        </w:rPr>
        <w:t>of the late</w:t>
      </w:r>
      <w:r>
        <w:rPr>
          <w:color w:val="231F20"/>
          <w:spacing w:val="-11"/>
          <w:w w:val="105"/>
        </w:rPr>
        <w:t> </w:t>
      </w:r>
      <w:r>
        <w:rPr>
          <w:color w:val="231F20"/>
          <w:w w:val="105"/>
        </w:rPr>
        <w:t>distal</w:t>
      </w:r>
      <w:r>
        <w:rPr>
          <w:color w:val="231F20"/>
          <w:spacing w:val="-10"/>
          <w:w w:val="105"/>
        </w:rPr>
        <w:t> </w:t>
      </w:r>
      <w:r>
        <w:rPr>
          <w:color w:val="231F20"/>
          <w:w w:val="105"/>
        </w:rPr>
        <w:t>tubule</w:t>
      </w:r>
      <w:r>
        <w:rPr>
          <w:color w:val="231F20"/>
          <w:spacing w:val="-10"/>
          <w:w w:val="105"/>
        </w:rPr>
        <w:t> </w:t>
      </w:r>
      <w:r>
        <w:rPr>
          <w:color w:val="231F20"/>
          <w:w w:val="105"/>
        </w:rPr>
        <w:t>and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collecting</w:t>
      </w:r>
      <w:r>
        <w:rPr>
          <w:color w:val="231F20"/>
          <w:spacing w:val="-10"/>
          <w:w w:val="105"/>
        </w:rPr>
        <w:t> </w:t>
      </w:r>
      <w:r>
        <w:rPr>
          <w:color w:val="231F20"/>
          <w:w w:val="105"/>
        </w:rPr>
        <w:t>tubules.</w:t>
      </w:r>
      <w:r>
        <w:rPr>
          <w:color w:val="231F20"/>
          <w:spacing w:val="-10"/>
          <w:w w:val="105"/>
        </w:rPr>
        <w:t> </w:t>
      </w:r>
      <w:r>
        <w:rPr>
          <w:color w:val="231F20"/>
          <w:w w:val="105"/>
        </w:rPr>
        <w:t>Hydrogen ion secretion in these cells is accomplished in two steps: (1) the dissolved CO</w:t>
      </w:r>
      <w:r>
        <w:rPr>
          <w:color w:val="231F20"/>
          <w:w w:val="105"/>
          <w:vertAlign w:val="subscript"/>
        </w:rPr>
        <w:t>2</w:t>
      </w:r>
      <w:r>
        <w:rPr>
          <w:color w:val="231F20"/>
          <w:w w:val="105"/>
          <w:vertAlign w:val="baseline"/>
        </w:rPr>
        <w:t> in  this  cell  </w:t>
      </w:r>
      <w:r>
        <w:rPr>
          <w:color w:val="231F20"/>
          <w:spacing w:val="-4"/>
          <w:w w:val="105"/>
          <w:vertAlign w:val="baseline"/>
        </w:rPr>
        <w:t>combines  </w:t>
      </w:r>
      <w:r>
        <w:rPr>
          <w:color w:val="231F20"/>
          <w:w w:val="105"/>
          <w:vertAlign w:val="baseline"/>
        </w:rPr>
        <w:t>with</w:t>
      </w:r>
      <w:r>
        <w:rPr>
          <w:color w:val="231F20"/>
          <w:spacing w:val="-14"/>
          <w:w w:val="105"/>
          <w:vertAlign w:val="baseline"/>
        </w:rPr>
        <w:t> </w:t>
      </w:r>
      <w:r>
        <w:rPr>
          <w:color w:val="231F20"/>
          <w:w w:val="105"/>
          <w:vertAlign w:val="baseline"/>
        </w:rPr>
        <w:t>H</w:t>
      </w:r>
      <w:r>
        <w:rPr>
          <w:color w:val="231F20"/>
          <w:w w:val="105"/>
          <w:vertAlign w:val="subscript"/>
        </w:rPr>
        <w:t>2</w:t>
      </w:r>
      <w:r>
        <w:rPr>
          <w:color w:val="231F20"/>
          <w:w w:val="105"/>
          <w:vertAlign w:val="baseline"/>
        </w:rPr>
        <w:t>O</w:t>
      </w:r>
      <w:r>
        <w:rPr>
          <w:color w:val="231F20"/>
          <w:spacing w:val="-14"/>
          <w:w w:val="105"/>
          <w:vertAlign w:val="baseline"/>
        </w:rPr>
        <w:t> </w:t>
      </w:r>
      <w:r>
        <w:rPr>
          <w:color w:val="231F20"/>
          <w:w w:val="105"/>
          <w:vertAlign w:val="baseline"/>
        </w:rPr>
        <w:t>to</w:t>
      </w:r>
      <w:r>
        <w:rPr>
          <w:color w:val="231F20"/>
          <w:spacing w:val="-14"/>
          <w:w w:val="105"/>
          <w:vertAlign w:val="baseline"/>
        </w:rPr>
        <w:t> </w:t>
      </w:r>
      <w:r>
        <w:rPr>
          <w:color w:val="231F20"/>
          <w:w w:val="105"/>
          <w:vertAlign w:val="baseline"/>
        </w:rPr>
        <w:t>form</w:t>
      </w:r>
      <w:r>
        <w:rPr>
          <w:color w:val="231F20"/>
          <w:spacing w:val="-14"/>
          <w:w w:val="105"/>
          <w:vertAlign w:val="baseline"/>
        </w:rPr>
        <w:t> </w:t>
      </w:r>
      <w:r>
        <w:rPr>
          <w:color w:val="231F20"/>
          <w:w w:val="105"/>
          <w:vertAlign w:val="baseline"/>
        </w:rPr>
        <w:t>H</w:t>
      </w:r>
      <w:r>
        <w:rPr>
          <w:color w:val="231F20"/>
          <w:w w:val="105"/>
          <w:vertAlign w:val="subscript"/>
        </w:rPr>
        <w:t>2</w:t>
      </w:r>
      <w:r>
        <w:rPr>
          <w:color w:val="231F20"/>
          <w:w w:val="105"/>
          <w:vertAlign w:val="baseline"/>
        </w:rPr>
        <w:t>CO</w:t>
      </w:r>
      <w:r>
        <w:rPr>
          <w:color w:val="231F20"/>
          <w:w w:val="105"/>
          <w:vertAlign w:val="subscript"/>
        </w:rPr>
        <w:t>3</w:t>
      </w:r>
      <w:r>
        <w:rPr>
          <w:color w:val="231F20"/>
          <w:w w:val="105"/>
          <w:vertAlign w:val="baseline"/>
        </w:rPr>
        <w:t>,</w:t>
      </w:r>
      <w:r>
        <w:rPr>
          <w:color w:val="231F20"/>
          <w:spacing w:val="-14"/>
          <w:w w:val="105"/>
          <w:vertAlign w:val="baseline"/>
        </w:rPr>
        <w:t> </w:t>
      </w:r>
      <w:r>
        <w:rPr>
          <w:color w:val="231F20"/>
          <w:w w:val="105"/>
          <w:vertAlign w:val="baseline"/>
        </w:rPr>
        <w:t>and</w:t>
      </w:r>
      <w:r>
        <w:rPr>
          <w:color w:val="231F20"/>
          <w:spacing w:val="-14"/>
          <w:w w:val="105"/>
          <w:vertAlign w:val="baseline"/>
        </w:rPr>
        <w:t> </w:t>
      </w:r>
      <w:r>
        <w:rPr>
          <w:color w:val="231F20"/>
          <w:w w:val="105"/>
          <w:vertAlign w:val="baseline"/>
        </w:rPr>
        <w:t>(2)</w:t>
      </w:r>
      <w:r>
        <w:rPr>
          <w:color w:val="231F20"/>
          <w:spacing w:val="-14"/>
          <w:w w:val="105"/>
          <w:vertAlign w:val="baseline"/>
        </w:rPr>
        <w:t> </w:t>
      </w:r>
      <w:r>
        <w:rPr>
          <w:color w:val="231F20"/>
          <w:w w:val="105"/>
          <w:vertAlign w:val="baseline"/>
        </w:rPr>
        <w:t>the</w:t>
      </w:r>
      <w:r>
        <w:rPr>
          <w:color w:val="231F20"/>
          <w:spacing w:val="-14"/>
          <w:w w:val="105"/>
          <w:vertAlign w:val="baseline"/>
        </w:rPr>
        <w:t> </w:t>
      </w:r>
      <w:r>
        <w:rPr>
          <w:color w:val="231F20"/>
          <w:w w:val="105"/>
          <w:vertAlign w:val="baseline"/>
        </w:rPr>
        <w:t>H</w:t>
      </w:r>
      <w:r>
        <w:rPr>
          <w:color w:val="231F20"/>
          <w:w w:val="105"/>
          <w:vertAlign w:val="subscript"/>
        </w:rPr>
        <w:t>2</w:t>
      </w:r>
      <w:r>
        <w:rPr>
          <w:color w:val="231F20"/>
          <w:w w:val="105"/>
          <w:vertAlign w:val="baseline"/>
        </w:rPr>
        <w:t>CO</w:t>
      </w:r>
      <w:r>
        <w:rPr>
          <w:color w:val="231F20"/>
          <w:w w:val="105"/>
          <w:vertAlign w:val="subscript"/>
        </w:rPr>
        <w:t>3</w:t>
      </w:r>
      <w:r>
        <w:rPr>
          <w:color w:val="231F20"/>
          <w:spacing w:val="-13"/>
          <w:w w:val="105"/>
          <w:vertAlign w:val="baseline"/>
        </w:rPr>
        <w:t> </w:t>
      </w:r>
      <w:r>
        <w:rPr>
          <w:color w:val="231F20"/>
          <w:w w:val="105"/>
          <w:vertAlign w:val="baseline"/>
        </w:rPr>
        <w:t>then</w:t>
      </w:r>
      <w:r>
        <w:rPr>
          <w:color w:val="231F20"/>
          <w:spacing w:val="-14"/>
          <w:w w:val="105"/>
          <w:vertAlign w:val="baseline"/>
        </w:rPr>
        <w:t> </w:t>
      </w:r>
      <w:r>
        <w:rPr>
          <w:color w:val="231F20"/>
          <w:spacing w:val="-9"/>
          <w:w w:val="105"/>
          <w:vertAlign w:val="baseline"/>
        </w:rPr>
        <w:t>dissoci- </w:t>
      </w:r>
      <w:r>
        <w:rPr>
          <w:color w:val="231F20"/>
          <w:w w:val="105"/>
          <w:vertAlign w:val="baseline"/>
        </w:rPr>
        <w:t>ates into HCO </w:t>
      </w:r>
      <w:r>
        <w:rPr>
          <w:rFonts w:ascii="Consolas" w:hAnsi="Consolas"/>
          <w:color w:val="231F20"/>
          <w:w w:val="105"/>
          <w:position w:val="8"/>
          <w:sz w:val="12"/>
          <w:vertAlign w:val="baseline"/>
        </w:rPr>
        <w:t>−</w:t>
      </w:r>
      <w:r>
        <w:rPr>
          <w:color w:val="231F20"/>
          <w:w w:val="105"/>
          <w:vertAlign w:val="baseline"/>
        </w:rPr>
        <w:t>, which is reabsorbed into the blood, plus </w:t>
      </w:r>
      <w:r>
        <w:rPr>
          <w:color w:val="231F20"/>
          <w:spacing w:val="-8"/>
          <w:w w:val="105"/>
          <w:vertAlign w:val="baseline"/>
        </w:rPr>
        <w:t>H</w:t>
      </w:r>
      <w:r>
        <w:rPr>
          <w:rFonts w:ascii="Consolas" w:hAnsi="Consolas"/>
          <w:color w:val="231F20"/>
          <w:spacing w:val="-8"/>
          <w:w w:val="105"/>
          <w:position w:val="8"/>
          <w:sz w:val="12"/>
          <w:vertAlign w:val="baseline"/>
        </w:rPr>
        <w:t>+</w:t>
      </w:r>
      <w:r>
        <w:rPr>
          <w:color w:val="231F20"/>
          <w:spacing w:val="-8"/>
          <w:w w:val="105"/>
          <w:vertAlign w:val="baseline"/>
        </w:rPr>
        <w:t>, </w:t>
      </w:r>
      <w:r>
        <w:rPr>
          <w:color w:val="231F20"/>
          <w:w w:val="105"/>
          <w:vertAlign w:val="baseline"/>
        </w:rPr>
        <w:t>which is secreted into the tubule by means of the hydrogen-ATPase and the hydrogen-potassium- ATPase transporters. </w:t>
      </w:r>
      <w:r>
        <w:rPr>
          <w:color w:val="231F20"/>
          <w:spacing w:val="-3"/>
          <w:w w:val="105"/>
          <w:vertAlign w:val="baseline"/>
        </w:rPr>
        <w:t>For  </w:t>
      </w:r>
      <w:r>
        <w:rPr>
          <w:color w:val="231F20"/>
          <w:w w:val="105"/>
          <w:vertAlign w:val="baseline"/>
        </w:rPr>
        <w:t>each H</w:t>
      </w:r>
      <w:r>
        <w:rPr>
          <w:rFonts w:ascii="Consolas" w:hAnsi="Consolas"/>
          <w:color w:val="231F20"/>
          <w:w w:val="105"/>
          <w:position w:val="8"/>
          <w:sz w:val="12"/>
          <w:vertAlign w:val="baseline"/>
        </w:rPr>
        <w:t>+ </w:t>
      </w:r>
      <w:r>
        <w:rPr>
          <w:color w:val="231F20"/>
          <w:w w:val="105"/>
          <w:vertAlign w:val="baseline"/>
        </w:rPr>
        <w:t>secreted, a HCO </w:t>
      </w:r>
      <w:r>
        <w:rPr>
          <w:rFonts w:ascii="Consolas" w:hAnsi="Consolas"/>
          <w:color w:val="231F20"/>
          <w:w w:val="105"/>
          <w:position w:val="8"/>
          <w:sz w:val="12"/>
          <w:vertAlign w:val="baseline"/>
        </w:rPr>
        <w:t>−  </w:t>
      </w:r>
      <w:r>
        <w:rPr>
          <w:color w:val="231F20"/>
          <w:w w:val="105"/>
          <w:vertAlign w:val="baseline"/>
        </w:rPr>
        <w:t>is reabsorbed, similar to the process in the </w:t>
      </w:r>
      <w:r>
        <w:rPr>
          <w:color w:val="231F20"/>
          <w:spacing w:val="-3"/>
          <w:w w:val="105"/>
          <w:vertAlign w:val="baseline"/>
        </w:rPr>
        <w:t>proximal  </w:t>
      </w:r>
      <w:r>
        <w:rPr>
          <w:color w:val="231F20"/>
          <w:w w:val="105"/>
          <w:vertAlign w:val="baseline"/>
        </w:rPr>
        <w:t>tubules. The main difference is that H</w:t>
      </w:r>
      <w:r>
        <w:rPr>
          <w:rFonts w:ascii="Consolas" w:hAnsi="Consolas"/>
          <w:color w:val="231F20"/>
          <w:w w:val="105"/>
          <w:position w:val="8"/>
          <w:sz w:val="12"/>
          <w:vertAlign w:val="baseline"/>
        </w:rPr>
        <w:t>+ </w:t>
      </w:r>
      <w:r>
        <w:rPr>
          <w:color w:val="231F20"/>
          <w:w w:val="105"/>
          <w:vertAlign w:val="baseline"/>
        </w:rPr>
        <w:t>moves across the luminal membrane by an active H</w:t>
      </w:r>
      <w:r>
        <w:rPr>
          <w:rFonts w:ascii="Consolas" w:hAnsi="Consolas"/>
          <w:color w:val="231F20"/>
          <w:w w:val="105"/>
          <w:position w:val="8"/>
          <w:sz w:val="12"/>
          <w:vertAlign w:val="baseline"/>
        </w:rPr>
        <w:t>+ </w:t>
      </w:r>
      <w:r>
        <w:rPr>
          <w:color w:val="231F20"/>
          <w:w w:val="105"/>
          <w:vertAlign w:val="baseline"/>
        </w:rPr>
        <w:t>pump instead </w:t>
      </w:r>
      <w:r>
        <w:rPr>
          <w:color w:val="231F20"/>
          <w:spacing w:val="-9"/>
          <w:w w:val="105"/>
          <w:vertAlign w:val="baseline"/>
        </w:rPr>
        <w:t>of </w:t>
      </w:r>
      <w:r>
        <w:rPr>
          <w:color w:val="231F20"/>
          <w:w w:val="105"/>
          <w:vertAlign w:val="baseline"/>
        </w:rPr>
        <w:t>by counter-transport, as occurs in the early parts of the nephron.</w:t>
      </w:r>
    </w:p>
    <w:p>
      <w:pPr>
        <w:pStyle w:val="BodyText"/>
        <w:spacing w:line="249" w:lineRule="auto"/>
        <w:ind w:left="1079" w:firstLine="240"/>
        <w:jc w:val="both"/>
      </w:pPr>
      <w:r>
        <w:rPr>
          <w:color w:val="231F20"/>
          <w:w w:val="105"/>
        </w:rPr>
        <w:t>Although the secretion of H</w:t>
      </w:r>
      <w:r>
        <w:rPr>
          <w:rFonts w:ascii="Consolas"/>
          <w:color w:val="231F20"/>
          <w:w w:val="105"/>
          <w:position w:val="8"/>
          <w:sz w:val="12"/>
        </w:rPr>
        <w:t>+ </w:t>
      </w:r>
      <w:r>
        <w:rPr>
          <w:color w:val="231F20"/>
          <w:w w:val="105"/>
        </w:rPr>
        <w:t>in the late distal </w:t>
      </w:r>
      <w:r>
        <w:rPr>
          <w:color w:val="231F20"/>
          <w:spacing w:val="-4"/>
          <w:w w:val="105"/>
        </w:rPr>
        <w:t>tubule </w:t>
      </w:r>
      <w:r>
        <w:rPr>
          <w:color w:val="231F20"/>
          <w:w w:val="105"/>
        </w:rPr>
        <w:t>and collecting tubules accounts for only about 5 </w:t>
      </w:r>
      <w:r>
        <w:rPr>
          <w:color w:val="231F20"/>
          <w:spacing w:val="-3"/>
          <w:w w:val="105"/>
        </w:rPr>
        <w:t>percent </w:t>
      </w:r>
      <w:r>
        <w:rPr>
          <w:color w:val="231F20"/>
          <w:w w:val="105"/>
        </w:rPr>
        <w:t>of the total H</w:t>
      </w:r>
      <w:r>
        <w:rPr>
          <w:rFonts w:ascii="Consolas"/>
          <w:color w:val="231F20"/>
          <w:w w:val="105"/>
          <w:position w:val="8"/>
          <w:sz w:val="12"/>
        </w:rPr>
        <w:t>+ </w:t>
      </w:r>
      <w:r>
        <w:rPr>
          <w:color w:val="231F20"/>
          <w:w w:val="105"/>
        </w:rPr>
        <w:t>secreted, this mechanism is important in forming</w:t>
      </w:r>
      <w:r>
        <w:rPr>
          <w:color w:val="231F20"/>
          <w:spacing w:val="-16"/>
          <w:w w:val="105"/>
        </w:rPr>
        <w:t> </w:t>
      </w:r>
      <w:r>
        <w:rPr>
          <w:color w:val="231F20"/>
          <w:w w:val="105"/>
        </w:rPr>
        <w:t>maximally</w:t>
      </w:r>
      <w:r>
        <w:rPr>
          <w:color w:val="231F20"/>
          <w:spacing w:val="-15"/>
          <w:w w:val="105"/>
        </w:rPr>
        <w:t> </w:t>
      </w:r>
      <w:r>
        <w:rPr>
          <w:color w:val="231F20"/>
          <w:w w:val="105"/>
        </w:rPr>
        <w:t>acidic</w:t>
      </w:r>
      <w:r>
        <w:rPr>
          <w:color w:val="231F20"/>
          <w:spacing w:val="-16"/>
          <w:w w:val="105"/>
        </w:rPr>
        <w:t> </w:t>
      </w:r>
      <w:r>
        <w:rPr>
          <w:color w:val="231F20"/>
          <w:w w:val="105"/>
        </w:rPr>
        <w:t>urine.</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6"/>
          <w:w w:val="105"/>
        </w:rPr>
        <w:t> </w:t>
      </w:r>
      <w:r>
        <w:rPr>
          <w:color w:val="231F20"/>
          <w:w w:val="105"/>
        </w:rPr>
        <w:t>proximal</w:t>
      </w:r>
      <w:r>
        <w:rPr>
          <w:color w:val="231F20"/>
          <w:spacing w:val="-15"/>
          <w:w w:val="105"/>
        </w:rPr>
        <w:t> </w:t>
      </w:r>
      <w:r>
        <w:rPr>
          <w:color w:val="231F20"/>
          <w:w w:val="105"/>
        </w:rPr>
        <w:t>tubules, H</w:t>
      </w:r>
      <w:r>
        <w:rPr>
          <w:rFonts w:ascii="Consolas"/>
          <w:color w:val="231F20"/>
          <w:w w:val="105"/>
          <w:position w:val="8"/>
          <w:sz w:val="12"/>
        </w:rPr>
        <w:t>+ </w:t>
      </w:r>
      <w:r>
        <w:rPr>
          <w:color w:val="231F20"/>
          <w:w w:val="105"/>
        </w:rPr>
        <w:t>concentration can be increased only about </w:t>
      </w:r>
      <w:r>
        <w:rPr>
          <w:color w:val="231F20"/>
          <w:spacing w:val="-3"/>
          <w:w w:val="105"/>
        </w:rPr>
        <w:t>threefold </w:t>
      </w:r>
      <w:r>
        <w:rPr>
          <w:color w:val="231F20"/>
          <w:w w:val="105"/>
        </w:rPr>
        <w:t>to fourfold and the tubular fluid pH can be reduced to only</w:t>
      </w:r>
      <w:r>
        <w:rPr>
          <w:color w:val="231F20"/>
          <w:spacing w:val="-19"/>
          <w:w w:val="105"/>
        </w:rPr>
        <w:t> </w:t>
      </w:r>
      <w:r>
        <w:rPr>
          <w:color w:val="231F20"/>
          <w:w w:val="105"/>
        </w:rPr>
        <w:t>about</w:t>
      </w:r>
      <w:r>
        <w:rPr>
          <w:color w:val="231F20"/>
          <w:spacing w:val="-18"/>
          <w:w w:val="105"/>
        </w:rPr>
        <w:t> </w:t>
      </w:r>
      <w:r>
        <w:rPr>
          <w:color w:val="231F20"/>
          <w:w w:val="105"/>
        </w:rPr>
        <w:t>6.7,</w:t>
      </w:r>
      <w:r>
        <w:rPr>
          <w:color w:val="231F20"/>
          <w:spacing w:val="-19"/>
          <w:w w:val="105"/>
        </w:rPr>
        <w:t> </w:t>
      </w:r>
      <w:r>
        <w:rPr>
          <w:color w:val="231F20"/>
          <w:w w:val="105"/>
        </w:rPr>
        <w:t>although</w:t>
      </w:r>
      <w:r>
        <w:rPr>
          <w:color w:val="231F20"/>
          <w:spacing w:val="-19"/>
          <w:w w:val="105"/>
        </w:rPr>
        <w:t> </w:t>
      </w:r>
      <w:r>
        <w:rPr>
          <w:color w:val="231F20"/>
          <w:w w:val="105"/>
        </w:rPr>
        <w:t>large</w:t>
      </w:r>
      <w:r>
        <w:rPr>
          <w:color w:val="231F20"/>
          <w:spacing w:val="-18"/>
          <w:w w:val="105"/>
        </w:rPr>
        <w:t> </w:t>
      </w:r>
      <w:r>
        <w:rPr>
          <w:i/>
          <w:color w:val="231F20"/>
          <w:w w:val="105"/>
        </w:rPr>
        <w:t>amounts</w:t>
      </w:r>
      <w:r>
        <w:rPr>
          <w:i/>
          <w:color w:val="231F20"/>
          <w:spacing w:val="-19"/>
          <w:w w:val="105"/>
        </w:rPr>
        <w:t> </w:t>
      </w:r>
      <w:r>
        <w:rPr>
          <w:color w:val="231F20"/>
          <w:w w:val="105"/>
        </w:rPr>
        <w:t>of</w:t>
      </w:r>
      <w:r>
        <w:rPr>
          <w:color w:val="231F20"/>
          <w:spacing w:val="-18"/>
          <w:w w:val="105"/>
        </w:rPr>
        <w:t> </w:t>
      </w:r>
      <w:r>
        <w:rPr>
          <w:color w:val="231F20"/>
          <w:w w:val="105"/>
        </w:rPr>
        <w:t>H</w:t>
      </w:r>
      <w:r>
        <w:rPr>
          <w:rFonts w:ascii="Consolas"/>
          <w:color w:val="231F20"/>
          <w:w w:val="105"/>
          <w:position w:val="8"/>
          <w:sz w:val="12"/>
        </w:rPr>
        <w:t>+</w:t>
      </w:r>
      <w:r>
        <w:rPr>
          <w:rFonts w:ascii="Consolas"/>
          <w:color w:val="231F20"/>
          <w:spacing w:val="-35"/>
          <w:w w:val="105"/>
          <w:position w:val="8"/>
          <w:sz w:val="12"/>
        </w:rPr>
        <w:t> </w:t>
      </w:r>
      <w:r>
        <w:rPr>
          <w:color w:val="231F20"/>
          <w:w w:val="105"/>
        </w:rPr>
        <w:t>are</w:t>
      </w:r>
      <w:r>
        <w:rPr>
          <w:color w:val="231F20"/>
          <w:spacing w:val="-19"/>
          <w:w w:val="105"/>
        </w:rPr>
        <w:t> </w:t>
      </w:r>
      <w:r>
        <w:rPr>
          <w:color w:val="231F20"/>
          <w:w w:val="105"/>
        </w:rPr>
        <w:t>secreted by</w:t>
      </w:r>
      <w:r>
        <w:rPr>
          <w:color w:val="231F20"/>
          <w:spacing w:val="-18"/>
          <w:w w:val="105"/>
        </w:rPr>
        <w:t> </w:t>
      </w:r>
      <w:r>
        <w:rPr>
          <w:color w:val="231F20"/>
          <w:w w:val="105"/>
        </w:rPr>
        <w:t>this</w:t>
      </w:r>
      <w:r>
        <w:rPr>
          <w:color w:val="231F20"/>
          <w:spacing w:val="-18"/>
          <w:w w:val="105"/>
        </w:rPr>
        <w:t> </w:t>
      </w:r>
      <w:r>
        <w:rPr>
          <w:color w:val="231F20"/>
          <w:w w:val="105"/>
        </w:rPr>
        <w:t>nephron</w:t>
      </w:r>
      <w:r>
        <w:rPr>
          <w:color w:val="231F20"/>
          <w:spacing w:val="-18"/>
          <w:w w:val="105"/>
        </w:rPr>
        <w:t> </w:t>
      </w:r>
      <w:r>
        <w:rPr>
          <w:color w:val="231F20"/>
          <w:w w:val="105"/>
        </w:rPr>
        <w:t>segment.</w:t>
      </w:r>
      <w:r>
        <w:rPr>
          <w:color w:val="231F20"/>
          <w:spacing w:val="-18"/>
          <w:w w:val="105"/>
        </w:rPr>
        <w:t> </w:t>
      </w:r>
      <w:r>
        <w:rPr>
          <w:color w:val="231F20"/>
          <w:w w:val="105"/>
        </w:rPr>
        <w:t>However,</w:t>
      </w:r>
      <w:r>
        <w:rPr>
          <w:color w:val="231F20"/>
          <w:spacing w:val="-18"/>
          <w:w w:val="105"/>
        </w:rPr>
        <w:t> </w:t>
      </w:r>
      <w:r>
        <w:rPr>
          <w:color w:val="231F20"/>
          <w:w w:val="105"/>
        </w:rPr>
        <w:t>H</w:t>
      </w:r>
      <w:r>
        <w:rPr>
          <w:rFonts w:ascii="Consolas"/>
          <w:color w:val="231F20"/>
          <w:w w:val="105"/>
          <w:position w:val="8"/>
          <w:sz w:val="12"/>
        </w:rPr>
        <w:t>+</w:t>
      </w:r>
      <w:r>
        <w:rPr>
          <w:rFonts w:ascii="Consolas"/>
          <w:color w:val="231F20"/>
          <w:spacing w:val="-34"/>
          <w:w w:val="105"/>
          <w:position w:val="8"/>
          <w:sz w:val="12"/>
        </w:rPr>
        <w:t> </w:t>
      </w:r>
      <w:r>
        <w:rPr>
          <w:color w:val="231F20"/>
          <w:w w:val="105"/>
        </w:rPr>
        <w:t>concentration</w:t>
      </w:r>
      <w:r>
        <w:rPr>
          <w:color w:val="231F20"/>
          <w:spacing w:val="-18"/>
          <w:w w:val="105"/>
        </w:rPr>
        <w:t> </w:t>
      </w:r>
      <w:r>
        <w:rPr>
          <w:color w:val="231F20"/>
          <w:w w:val="105"/>
        </w:rPr>
        <w:t>can be</w:t>
      </w:r>
      <w:r>
        <w:rPr>
          <w:color w:val="231F20"/>
          <w:spacing w:val="-27"/>
          <w:w w:val="105"/>
        </w:rPr>
        <w:t> </w:t>
      </w:r>
      <w:r>
        <w:rPr>
          <w:color w:val="231F20"/>
          <w:w w:val="105"/>
        </w:rPr>
        <w:t>increased</w:t>
      </w:r>
      <w:r>
        <w:rPr>
          <w:color w:val="231F20"/>
          <w:spacing w:val="-27"/>
          <w:w w:val="105"/>
        </w:rPr>
        <w:t> </w:t>
      </w:r>
      <w:r>
        <w:rPr>
          <w:color w:val="231F20"/>
          <w:w w:val="105"/>
        </w:rPr>
        <w:t>as</w:t>
      </w:r>
      <w:r>
        <w:rPr>
          <w:color w:val="231F20"/>
          <w:spacing w:val="-26"/>
          <w:w w:val="105"/>
        </w:rPr>
        <w:t> </w:t>
      </w:r>
      <w:r>
        <w:rPr>
          <w:color w:val="231F20"/>
          <w:w w:val="105"/>
        </w:rPr>
        <w:t>much</w:t>
      </w:r>
      <w:r>
        <w:rPr>
          <w:color w:val="231F20"/>
          <w:spacing w:val="-27"/>
          <w:w w:val="105"/>
        </w:rPr>
        <w:t> </w:t>
      </w:r>
      <w:r>
        <w:rPr>
          <w:color w:val="231F20"/>
          <w:w w:val="105"/>
        </w:rPr>
        <w:t>as</w:t>
      </w:r>
      <w:r>
        <w:rPr>
          <w:color w:val="231F20"/>
          <w:spacing w:val="-26"/>
          <w:w w:val="105"/>
        </w:rPr>
        <w:t> </w:t>
      </w:r>
      <w:r>
        <w:rPr>
          <w:color w:val="231F20"/>
          <w:w w:val="105"/>
        </w:rPr>
        <w:t>900-fold</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collecting</w:t>
      </w:r>
      <w:r>
        <w:rPr>
          <w:color w:val="231F20"/>
          <w:spacing w:val="-27"/>
          <w:w w:val="105"/>
        </w:rPr>
        <w:t> </w:t>
      </w:r>
      <w:r>
        <w:rPr>
          <w:color w:val="231F20"/>
          <w:w w:val="105"/>
        </w:rPr>
        <w:t>tubules. This mechanism decreases the pH of the tubular fluid</w:t>
      </w:r>
      <w:r>
        <w:rPr>
          <w:color w:val="231F20"/>
          <w:spacing w:val="-34"/>
          <w:w w:val="105"/>
        </w:rPr>
        <w:t> </w:t>
      </w:r>
      <w:r>
        <w:rPr>
          <w:color w:val="231F20"/>
          <w:w w:val="105"/>
        </w:rPr>
        <w:t>to</w:t>
      </w:r>
    </w:p>
    <w:p>
      <w:pPr>
        <w:pStyle w:val="BodyText"/>
        <w:spacing w:line="249" w:lineRule="auto"/>
        <w:ind w:left="319" w:right="1437"/>
        <w:jc w:val="both"/>
      </w:pPr>
      <w:r>
        <w:rPr/>
        <w:br w:type="column"/>
      </w:r>
      <w:r>
        <w:rPr>
          <w:color w:val="231F20"/>
        </w:rPr>
        <w:t>the extracellular fluid in acidosis. In the next two sections, we discuss the mechanisms by which phosphate and ammonia  buffers  contribute  to  the   generation   </w:t>
      </w:r>
      <w:r>
        <w:rPr>
          <w:color w:val="231F20"/>
          <w:spacing w:val="-6"/>
        </w:rPr>
        <w:t>of   </w:t>
      </w:r>
      <w:r>
        <w:rPr>
          <w:color w:val="231F20"/>
        </w:rPr>
        <w:t>new HCO</w:t>
      </w:r>
      <w:r>
        <w:rPr>
          <w:color w:val="231F20"/>
          <w:spacing w:val="16"/>
        </w:rPr>
        <w:t> </w:t>
      </w:r>
      <w:r>
        <w:rPr>
          <w:rFonts w:ascii="Consolas" w:hAnsi="Consolas"/>
          <w:color w:val="231F20"/>
          <w:position w:val="8"/>
          <w:sz w:val="12"/>
        </w:rPr>
        <w:t>−</w:t>
      </w:r>
      <w:r>
        <w:rPr>
          <w:color w:val="231F20"/>
        </w:rPr>
        <w:t>.</w:t>
      </w:r>
    </w:p>
    <w:p>
      <w:pPr>
        <w:pStyle w:val="BodyText"/>
        <w:spacing w:before="9"/>
        <w:rPr>
          <w:sz w:val="30"/>
        </w:rPr>
      </w:pPr>
    </w:p>
    <w:p>
      <w:pPr>
        <w:pStyle w:val="Heading2"/>
        <w:spacing w:line="223" w:lineRule="auto"/>
        <w:ind w:right="2083"/>
        <w:rPr>
          <w:rFonts w:ascii="Consolas" w:hAnsi="Consolas"/>
          <w:sz w:val="13"/>
        </w:rPr>
      </w:pPr>
      <w:r>
        <w:rPr/>
        <w:pict>
          <v:shape style="position:absolute;margin-left:348.493286pt;margin-top:-24.468395pt;width:3pt;height:8.7pt;mso-position-horizontal-relative:page;mso-position-vertical-relative:paragraph;z-index:-27244134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21.864288pt;margin-top:29.084604pt;width:3.7pt;height:7.65pt;mso-position-horizontal-relative:page;mso-position-vertical-relative:paragraph;z-index:-272440320" type="#_x0000_t202" filled="false" stroked="false">
            <v:textbox inset="0,0,0,0">
              <w:txbxContent>
                <w:p>
                  <w:pPr>
                    <w:spacing w:before="1"/>
                    <w:ind w:left="0" w:right="0" w:firstLine="0"/>
                    <w:jc w:val="left"/>
                    <w:rPr>
                      <w:rFonts w:ascii="Trebuchet MS"/>
                      <w:b/>
                      <w:sz w:val="13"/>
                    </w:rPr>
                  </w:pPr>
                  <w:r>
                    <w:rPr>
                      <w:rFonts w:ascii="Trebuchet MS"/>
                      <w:b/>
                      <w:color w:val="231F20"/>
                      <w:w w:val="96"/>
                      <w:sz w:val="13"/>
                    </w:rPr>
                    <w:t>3</w:t>
                  </w:r>
                </w:p>
              </w:txbxContent>
            </v:textbox>
            <w10:wrap type="none"/>
          </v:shape>
        </w:pict>
      </w:r>
      <w:r>
        <w:rPr>
          <w:color w:val="231F20"/>
          <w:w w:val="105"/>
        </w:rPr>
        <w:t>PHOSPHATE BUFFER SYSTEM </w:t>
      </w:r>
      <w:r>
        <w:rPr>
          <w:color w:val="231F20"/>
          <w:spacing w:val="-3"/>
          <w:w w:val="105"/>
        </w:rPr>
        <w:t>CARRIES </w:t>
      </w:r>
      <w:r>
        <w:rPr>
          <w:color w:val="231F20"/>
          <w:w w:val="105"/>
        </w:rPr>
        <w:t>EXCESS H</w:t>
      </w:r>
      <w:r>
        <w:rPr>
          <w:rFonts w:ascii="Consolas" w:hAnsi="Consolas"/>
          <w:color w:val="231F20"/>
          <w:w w:val="105"/>
          <w:position w:val="9"/>
          <w:sz w:val="13"/>
        </w:rPr>
        <w:t>+ </w:t>
      </w:r>
      <w:r>
        <w:rPr>
          <w:color w:val="231F20"/>
          <w:w w:val="105"/>
        </w:rPr>
        <w:t>INTO THE URINE AND GENERATES NEW HCO </w:t>
      </w:r>
      <w:r>
        <w:rPr>
          <w:rFonts w:ascii="Consolas" w:hAnsi="Consolas"/>
          <w:color w:val="231F20"/>
          <w:w w:val="105"/>
          <w:position w:val="9"/>
          <w:sz w:val="13"/>
        </w:rPr>
        <w:t>−</w:t>
      </w:r>
    </w:p>
    <w:p>
      <w:pPr>
        <w:pStyle w:val="BodyText"/>
        <w:spacing w:line="249" w:lineRule="auto" w:before="123"/>
        <w:ind w:left="319" w:right="1438"/>
        <w:jc w:val="both"/>
      </w:pPr>
      <w:r>
        <w:rPr/>
        <w:pict>
          <v:shape style="position:absolute;margin-left:515.490784pt;margin-top:11.595525pt;width:3pt;height:8.7pt;mso-position-horizontal-relative:page;mso-position-vertical-relative:paragraph;z-index:-272439296"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330.051514pt;margin-top:23.595526pt;width:3pt;height:8.7pt;mso-position-horizontal-relative:page;mso-position-vertical-relative:paragraph;z-index:-27243827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rPr>
        <w:t>The phosphate buffer system is composed of HPO </w:t>
      </w:r>
      <w:r>
        <w:rPr>
          <w:rFonts w:ascii="Consolas" w:hAnsi="Consolas"/>
          <w:color w:val="231F20"/>
          <w:position w:val="8"/>
          <w:sz w:val="12"/>
        </w:rPr>
        <w:t>= </w:t>
      </w:r>
      <w:r>
        <w:rPr>
          <w:color w:val="231F20"/>
        </w:rPr>
        <w:t>and H</w:t>
      </w:r>
      <w:r>
        <w:rPr>
          <w:color w:val="231F20"/>
          <w:vertAlign w:val="subscript"/>
        </w:rPr>
        <w:t>2</w:t>
      </w:r>
      <w:r>
        <w:rPr>
          <w:color w:val="231F20"/>
          <w:vertAlign w:val="baseline"/>
        </w:rPr>
        <w:t>PO </w:t>
      </w:r>
      <w:r>
        <w:rPr>
          <w:rFonts w:ascii="Consolas" w:hAnsi="Consolas"/>
          <w:color w:val="231F20"/>
          <w:position w:val="8"/>
          <w:sz w:val="12"/>
          <w:vertAlign w:val="baseline"/>
        </w:rPr>
        <w:t>−</w:t>
      </w:r>
      <w:r>
        <w:rPr>
          <w:color w:val="231F20"/>
          <w:vertAlign w:val="baseline"/>
        </w:rPr>
        <w:t>. Both become concentrated in the tubular fluid because water is normally reabsorbed to a greater extent than phosphate by the renal tubules. Therefore, although phosphate is not an important extracellular fluid buffer, it is much more effective as a buffer in the tubular fluid.</w:t>
      </w:r>
    </w:p>
    <w:p>
      <w:pPr>
        <w:pStyle w:val="BodyText"/>
        <w:spacing w:line="249" w:lineRule="auto" w:before="1"/>
        <w:ind w:left="319" w:right="1438" w:firstLine="240"/>
        <w:jc w:val="both"/>
      </w:pPr>
      <w:r>
        <w:rPr>
          <w:color w:val="231F20"/>
          <w:w w:val="105"/>
        </w:rPr>
        <w:t>Another factor that makes phosphate important as a tubular</w:t>
      </w:r>
      <w:r>
        <w:rPr>
          <w:color w:val="231F20"/>
          <w:spacing w:val="-23"/>
          <w:w w:val="105"/>
        </w:rPr>
        <w:t> </w:t>
      </w:r>
      <w:r>
        <w:rPr>
          <w:color w:val="231F20"/>
          <w:w w:val="105"/>
        </w:rPr>
        <w:t>buffer</w:t>
      </w:r>
      <w:r>
        <w:rPr>
          <w:color w:val="231F20"/>
          <w:spacing w:val="-22"/>
          <w:w w:val="105"/>
        </w:rPr>
        <w:t> </w:t>
      </w:r>
      <w:r>
        <w:rPr>
          <w:color w:val="231F20"/>
          <w:w w:val="105"/>
        </w:rPr>
        <w:t>is</w:t>
      </w:r>
      <w:r>
        <w:rPr>
          <w:color w:val="231F20"/>
          <w:spacing w:val="-22"/>
          <w:w w:val="105"/>
        </w:rPr>
        <w:t> </w:t>
      </w:r>
      <w:r>
        <w:rPr>
          <w:color w:val="231F20"/>
          <w:w w:val="105"/>
        </w:rPr>
        <w:t>the</w:t>
      </w:r>
      <w:r>
        <w:rPr>
          <w:color w:val="231F20"/>
          <w:spacing w:val="-22"/>
          <w:w w:val="105"/>
        </w:rPr>
        <w:t> </w:t>
      </w:r>
      <w:r>
        <w:rPr>
          <w:color w:val="231F20"/>
          <w:w w:val="105"/>
        </w:rPr>
        <w:t>fact</w:t>
      </w:r>
      <w:r>
        <w:rPr>
          <w:color w:val="231F20"/>
          <w:spacing w:val="-22"/>
          <w:w w:val="105"/>
        </w:rPr>
        <w:t> </w:t>
      </w:r>
      <w:r>
        <w:rPr>
          <w:color w:val="231F20"/>
          <w:w w:val="105"/>
        </w:rPr>
        <w:t>that</w:t>
      </w:r>
      <w:r>
        <w:rPr>
          <w:color w:val="231F20"/>
          <w:spacing w:val="-22"/>
          <w:w w:val="105"/>
        </w:rPr>
        <w:t> </w:t>
      </w:r>
      <w:r>
        <w:rPr>
          <w:color w:val="231F20"/>
          <w:w w:val="105"/>
        </w:rPr>
        <w:t>the</w:t>
      </w:r>
      <w:r>
        <w:rPr>
          <w:color w:val="231F20"/>
          <w:spacing w:val="-22"/>
          <w:w w:val="105"/>
        </w:rPr>
        <w:t> </w:t>
      </w:r>
      <w:r>
        <w:rPr>
          <w:color w:val="231F20"/>
          <w:w w:val="105"/>
        </w:rPr>
        <w:t>pK</w:t>
      </w:r>
      <w:r>
        <w:rPr>
          <w:color w:val="231F20"/>
          <w:spacing w:val="-22"/>
          <w:w w:val="105"/>
        </w:rPr>
        <w:t> </w:t>
      </w:r>
      <w:r>
        <w:rPr>
          <w:color w:val="231F20"/>
          <w:w w:val="105"/>
        </w:rPr>
        <w:t>of</w:t>
      </w:r>
      <w:r>
        <w:rPr>
          <w:color w:val="231F20"/>
          <w:spacing w:val="-22"/>
          <w:w w:val="105"/>
        </w:rPr>
        <w:t> </w:t>
      </w:r>
      <w:r>
        <w:rPr>
          <w:color w:val="231F20"/>
          <w:w w:val="105"/>
        </w:rPr>
        <w:t>this</w:t>
      </w:r>
      <w:r>
        <w:rPr>
          <w:color w:val="231F20"/>
          <w:spacing w:val="-22"/>
          <w:w w:val="105"/>
        </w:rPr>
        <w:t> </w:t>
      </w:r>
      <w:r>
        <w:rPr>
          <w:color w:val="231F20"/>
          <w:w w:val="105"/>
        </w:rPr>
        <w:t>system</w:t>
      </w:r>
      <w:r>
        <w:rPr>
          <w:color w:val="231F20"/>
          <w:spacing w:val="-22"/>
          <w:w w:val="105"/>
        </w:rPr>
        <w:t> </w:t>
      </w:r>
      <w:r>
        <w:rPr>
          <w:color w:val="231F20"/>
          <w:w w:val="105"/>
        </w:rPr>
        <w:t>is</w:t>
      </w:r>
      <w:r>
        <w:rPr>
          <w:color w:val="231F20"/>
          <w:spacing w:val="-22"/>
          <w:w w:val="105"/>
        </w:rPr>
        <w:t> </w:t>
      </w:r>
      <w:r>
        <w:rPr>
          <w:color w:val="231F20"/>
          <w:spacing w:val="-3"/>
          <w:w w:val="105"/>
        </w:rPr>
        <w:t>about</w:t>
      </w:r>
    </w:p>
    <w:p>
      <w:pPr>
        <w:pStyle w:val="BodyText"/>
        <w:spacing w:line="249" w:lineRule="auto" w:before="2"/>
        <w:ind w:left="319" w:right="1437"/>
        <w:jc w:val="both"/>
      </w:pPr>
      <w:r>
        <w:rPr>
          <w:color w:val="231F20"/>
          <w:w w:val="105"/>
        </w:rPr>
        <w:t>6.8.</w:t>
      </w:r>
      <w:r>
        <w:rPr>
          <w:color w:val="231F20"/>
          <w:spacing w:val="-15"/>
          <w:w w:val="105"/>
        </w:rPr>
        <w:t> </w:t>
      </w:r>
      <w:r>
        <w:rPr>
          <w:color w:val="231F20"/>
          <w:w w:val="105"/>
        </w:rPr>
        <w:t>Under</w:t>
      </w:r>
      <w:r>
        <w:rPr>
          <w:color w:val="231F20"/>
          <w:spacing w:val="-15"/>
          <w:w w:val="105"/>
        </w:rPr>
        <w:t> </w:t>
      </w:r>
      <w:r>
        <w:rPr>
          <w:color w:val="231F20"/>
          <w:w w:val="105"/>
        </w:rPr>
        <w:t>normal</w:t>
      </w:r>
      <w:r>
        <w:rPr>
          <w:color w:val="231F20"/>
          <w:spacing w:val="-15"/>
          <w:w w:val="105"/>
        </w:rPr>
        <w:t> </w:t>
      </w:r>
      <w:r>
        <w:rPr>
          <w:color w:val="231F20"/>
          <w:w w:val="105"/>
        </w:rPr>
        <w:t>conditions,</w:t>
      </w:r>
      <w:r>
        <w:rPr>
          <w:color w:val="231F20"/>
          <w:spacing w:val="-15"/>
          <w:w w:val="105"/>
        </w:rPr>
        <w:t> </w:t>
      </w:r>
      <w:r>
        <w:rPr>
          <w:color w:val="231F20"/>
          <w:w w:val="105"/>
        </w:rPr>
        <w:t>the</w:t>
      </w:r>
      <w:r>
        <w:rPr>
          <w:color w:val="231F20"/>
          <w:spacing w:val="-15"/>
          <w:w w:val="105"/>
        </w:rPr>
        <w:t> </w:t>
      </w:r>
      <w:r>
        <w:rPr>
          <w:color w:val="231F20"/>
          <w:w w:val="105"/>
        </w:rPr>
        <w:t>urine</w:t>
      </w:r>
      <w:r>
        <w:rPr>
          <w:color w:val="231F20"/>
          <w:spacing w:val="-15"/>
          <w:w w:val="105"/>
        </w:rPr>
        <w:t> </w:t>
      </w:r>
      <w:r>
        <w:rPr>
          <w:color w:val="231F20"/>
          <w:w w:val="105"/>
        </w:rPr>
        <w:t>is</w:t>
      </w:r>
      <w:r>
        <w:rPr>
          <w:color w:val="231F20"/>
          <w:spacing w:val="-15"/>
          <w:w w:val="105"/>
        </w:rPr>
        <w:t> </w:t>
      </w:r>
      <w:r>
        <w:rPr>
          <w:color w:val="231F20"/>
          <w:w w:val="105"/>
        </w:rPr>
        <w:t>slightly</w:t>
      </w:r>
      <w:r>
        <w:rPr>
          <w:color w:val="231F20"/>
          <w:spacing w:val="-15"/>
          <w:w w:val="105"/>
        </w:rPr>
        <w:t> </w:t>
      </w:r>
      <w:r>
        <w:rPr>
          <w:color w:val="231F20"/>
          <w:w w:val="105"/>
        </w:rPr>
        <w:t>acidic, and the urine pH is near the pK of the phosphate buffer system. Therefore, in the tubules, the phosphate buffer system normally functions near its most effective </w:t>
      </w:r>
      <w:r>
        <w:rPr>
          <w:color w:val="231F20"/>
          <w:spacing w:val="-4"/>
          <w:w w:val="105"/>
        </w:rPr>
        <w:t>range </w:t>
      </w:r>
      <w:r>
        <w:rPr>
          <w:color w:val="231F20"/>
          <w:w w:val="105"/>
        </w:rPr>
        <w:t>of</w:t>
      </w:r>
      <w:r>
        <w:rPr>
          <w:color w:val="231F20"/>
          <w:spacing w:val="3"/>
          <w:w w:val="105"/>
        </w:rPr>
        <w:t> </w:t>
      </w:r>
      <w:r>
        <w:rPr>
          <w:color w:val="231F20"/>
          <w:w w:val="105"/>
        </w:rPr>
        <w:t>pH.</w:t>
      </w:r>
    </w:p>
    <w:p>
      <w:pPr>
        <w:pStyle w:val="BodyText"/>
        <w:spacing w:line="247" w:lineRule="auto" w:before="4"/>
        <w:ind w:left="319" w:right="1437" w:firstLine="240"/>
        <w:jc w:val="both"/>
      </w:pPr>
      <w:hyperlink w:history="true" w:anchor="_bookmark108">
        <w:r>
          <w:rPr>
            <w:b/>
            <w:color w:val="0080AC"/>
            <w:w w:val="105"/>
          </w:rPr>
          <w:t>Figure 31-7 </w:t>
        </w:r>
      </w:hyperlink>
      <w:r>
        <w:rPr>
          <w:color w:val="231F20"/>
          <w:w w:val="105"/>
        </w:rPr>
        <w:t>shows the sequence of events by </w:t>
      </w:r>
      <w:r>
        <w:rPr>
          <w:color w:val="231F20"/>
          <w:spacing w:val="-4"/>
          <w:w w:val="105"/>
        </w:rPr>
        <w:t>which </w:t>
      </w:r>
      <w:r>
        <w:rPr>
          <w:color w:val="231F20"/>
          <w:w w:val="105"/>
        </w:rPr>
        <w:t>H</w:t>
      </w:r>
      <w:r>
        <w:rPr>
          <w:rFonts w:ascii="Consolas"/>
          <w:color w:val="231F20"/>
          <w:w w:val="105"/>
          <w:position w:val="8"/>
          <w:sz w:val="12"/>
        </w:rPr>
        <w:t>+</w:t>
      </w:r>
      <w:r>
        <w:rPr>
          <w:rFonts w:ascii="Consolas"/>
          <w:color w:val="231F20"/>
          <w:spacing w:val="-26"/>
          <w:w w:val="105"/>
          <w:position w:val="8"/>
          <w:sz w:val="12"/>
        </w:rPr>
        <w:t> </w:t>
      </w:r>
      <w:r>
        <w:rPr>
          <w:color w:val="231F20"/>
          <w:w w:val="105"/>
        </w:rPr>
        <w:t>is</w:t>
      </w:r>
      <w:r>
        <w:rPr>
          <w:color w:val="231F20"/>
          <w:spacing w:val="-9"/>
          <w:w w:val="105"/>
        </w:rPr>
        <w:t> </w:t>
      </w:r>
      <w:r>
        <w:rPr>
          <w:color w:val="231F20"/>
          <w:w w:val="105"/>
        </w:rPr>
        <w:t>excreted</w:t>
      </w:r>
      <w:r>
        <w:rPr>
          <w:color w:val="231F20"/>
          <w:spacing w:val="-9"/>
          <w:w w:val="105"/>
        </w:rPr>
        <w:t> </w:t>
      </w:r>
      <w:r>
        <w:rPr>
          <w:color w:val="231F20"/>
          <w:w w:val="105"/>
        </w:rPr>
        <w:t>in</w:t>
      </w:r>
      <w:r>
        <w:rPr>
          <w:color w:val="231F20"/>
          <w:spacing w:val="-9"/>
          <w:w w:val="105"/>
        </w:rPr>
        <w:t> </w:t>
      </w:r>
      <w:r>
        <w:rPr>
          <w:color w:val="231F20"/>
          <w:w w:val="105"/>
        </w:rPr>
        <w:t>combination</w:t>
      </w:r>
      <w:r>
        <w:rPr>
          <w:color w:val="231F20"/>
          <w:spacing w:val="-9"/>
          <w:w w:val="105"/>
        </w:rPr>
        <w:t> </w:t>
      </w:r>
      <w:r>
        <w:rPr>
          <w:color w:val="231F20"/>
          <w:w w:val="105"/>
        </w:rPr>
        <w:t>with</w:t>
      </w:r>
      <w:r>
        <w:rPr>
          <w:color w:val="231F20"/>
          <w:spacing w:val="-9"/>
          <w:w w:val="105"/>
        </w:rPr>
        <w:t> </w:t>
      </w:r>
      <w:r>
        <w:rPr>
          <w:color w:val="231F20"/>
          <w:w w:val="105"/>
        </w:rPr>
        <w:t>phosphate</w:t>
      </w:r>
      <w:r>
        <w:rPr>
          <w:color w:val="231F20"/>
          <w:spacing w:val="-9"/>
          <w:w w:val="105"/>
        </w:rPr>
        <w:t> </w:t>
      </w:r>
      <w:r>
        <w:rPr>
          <w:color w:val="231F20"/>
          <w:w w:val="105"/>
        </w:rPr>
        <w:t>buffer</w:t>
      </w:r>
      <w:r>
        <w:rPr>
          <w:color w:val="231F20"/>
          <w:spacing w:val="-9"/>
          <w:w w:val="105"/>
        </w:rPr>
        <w:t> </w:t>
      </w:r>
      <w:r>
        <w:rPr>
          <w:color w:val="231F20"/>
          <w:w w:val="105"/>
        </w:rPr>
        <w:t>and</w:t>
      </w:r>
    </w:p>
    <w:p>
      <w:pPr>
        <w:spacing w:after="0" w:line="247"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after="0"/>
        <w:rPr>
          <w:sz w:val="24"/>
        </w:rPr>
        <w:sectPr>
          <w:headerReference w:type="even" r:id="rId989"/>
          <w:pgSz w:w="12240" w:h="15660"/>
          <w:pgMar w:header="0" w:footer="567" w:top="0" w:bottom="760" w:left="0" w:right="0"/>
        </w:sectPr>
      </w:pPr>
    </w:p>
    <w:p>
      <w:pPr>
        <w:spacing w:line="235" w:lineRule="auto" w:before="102"/>
        <w:ind w:left="1467" w:right="456" w:firstLine="0"/>
        <w:jc w:val="center"/>
        <w:rPr>
          <w:rFonts w:ascii="Helvetica"/>
          <w:sz w:val="16"/>
        </w:rPr>
      </w:pPr>
      <w:r>
        <w:rPr/>
        <w:pict>
          <v:group style="position:absolute;margin-left:99.922798pt;margin-top:9.408937pt;width:156.050pt;height:159.35pt;mso-position-horizontal-relative:page;mso-position-vertical-relative:paragraph;z-index:-272432128" coordorigin="1998,188" coordsize="3121,3187">
            <v:shape style="position:absolute;left:2440;top:214;width:2324;height:584" coordorigin="2441,214" coordsize="2324,584" path="m4764,214l2441,216,2441,454,2453,515,2487,565,2536,598,2597,611,3847,611,3875,612,3947,619,4040,639,4137,677,4197,708,4272,742,4355,771,4439,792,4517,798,4588,788,4652,762,4706,718,4745,650,4764,556,4764,214xe" filled="true" fillcolor="#feede3" stroked="false">
              <v:path arrowok="t"/>
              <v:fill type="solid"/>
            </v:shape>
            <v:shape style="position:absolute;left:2440;top:214;width:2324;height:584" coordorigin="2441,214" coordsize="2324,584" path="m4764,556l4745,650,4706,718,4652,762,4588,788,4517,798,4439,792,4355,771,4272,742,4197,708,4137,677,4040,639,3947,619,3875,612,3847,611,2597,611,2536,598,2487,565,2453,515,2441,454,2441,216,4764,214,4764,556xe" filled="false" stroked="true" strokeweight=".75pt" strokecolor="#e2874a">
              <v:path arrowok="t"/>
              <v:stroke dashstyle="solid"/>
            </v:shape>
            <v:shape style="position:absolute;left:2440;top:835;width:2324;height:2532" coordorigin="2441,836" coordsize="2324,2532" path="m4517,836l4439,841,4355,862,4272,892,4197,925,4137,956,4064,995,4010,1014,3947,1022,3847,1023,2597,1023,2536,1035,2487,1069,2453,1118,2441,1179,2441,3023,2453,3084,2487,3134,2536,3167,2597,3180,3847,3180,3875,3181,3947,3188,4040,3208,4137,3246,4197,3277,4272,3311,4355,3341,4439,3361,4517,3367,4588,3357,4652,3331,4706,3287,4745,3220,4764,3126,4764,1077,4745,983,4706,915,4652,871,4588,846,4517,836xe" filled="true" fillcolor="#feede3" stroked="false">
              <v:path arrowok="t"/>
              <v:fill type="solid"/>
            </v:shape>
            <v:shape style="position:absolute;left:2440;top:835;width:2324;height:2532" coordorigin="2441,836" coordsize="2324,2532" path="m4764,3126l4745,3220,4706,3287,4652,3331,4588,3357,4517,3367,4439,3361,4355,3341,4272,3311,4197,3277,4137,3246,4040,3208,3947,3188,3875,3181,3847,3180,2597,3180,2536,3167,2487,3134,2453,3084,2441,3023,2441,1179,2453,1118,2487,1069,2536,1035,2597,1023,3847,1023,3947,1022,4010,1014,4064,995,4137,956,4197,925,4272,892,4355,862,4439,841,4517,836,4588,846,4652,871,4706,915,4745,983,4764,1077,4764,3126xe" filled="false" stroked="true" strokeweight=".75pt" strokecolor="#e2874a">
              <v:path arrowok="t"/>
              <v:stroke dashstyle="solid"/>
            </v:shape>
            <v:shape style="position:absolute;left:2042;top:1138;width:185;height:120" type="#_x0000_t75" stroked="false">
              <v:imagedata r:id="rId856" o:title=""/>
            </v:shape>
            <v:line style="position:absolute" from="2779,1198" to="2178,1198" stroked="true" strokeweight="1.5pt" strokecolor="#231f20">
              <v:stroke dashstyle="solid"/>
            </v:line>
            <v:shape style="position:absolute;left:2606;top:1476;width:185;height:120" type="#_x0000_t75" stroked="false">
              <v:imagedata r:id="rId990" o:title=""/>
            </v:shape>
            <v:shape style="position:absolute;left:1998;top:1633;width:185;height:120" type="#_x0000_t75" stroked="false">
              <v:imagedata r:id="rId991" o:title=""/>
            </v:shape>
            <v:line style="position:absolute" from="2068,1536" to="2670,1536" stroked="true" strokeweight="1.5pt" strokecolor="#231f20">
              <v:stroke dashstyle="solid"/>
            </v:line>
            <v:shape style="position:absolute;left:2254;top:1183;width:367;height:367" type="#_x0000_t75" stroked="false">
              <v:imagedata r:id="rId992" o:title=""/>
            </v:shape>
            <v:line style="position:absolute" from="2377,218" to="4856,218" stroked="true" strokeweight="3pt" strokecolor="#ffffff">
              <v:stroke dashstyle="solid"/>
            </v:line>
            <v:shape style="position:absolute;left:4370;top:1138;width:185;height:120" type="#_x0000_t75" stroked="false">
              <v:imagedata r:id="rId962" o:title=""/>
            </v:shape>
            <v:shape style="position:absolute;left:4934;top:1476;width:185;height:120" type="#_x0000_t75" stroked="false">
              <v:imagedata r:id="rId967" o:title=""/>
            </v:shape>
            <v:line style="position:absolute" from="4396,1536" to="4998,1536" stroked="true" strokeweight="1.5pt" strokecolor="#f0535f">
              <v:stroke dashstyle="solid"/>
            </v:line>
            <v:shape style="position:absolute;left:4581;top:1183;width:367;height:367" type="#_x0000_t75" stroked="false">
              <v:imagedata r:id="rId993" o:title=""/>
            </v:shape>
            <v:shape style="position:absolute;left:3501;top:1839;width:120;height:185" coordorigin="3501,1840" coordsize="120,185" path="m3607,1991l3561,1991,3620,2024,3621,2022,3607,1991xm3561,1840l3539,1933,3501,2022,3502,2024,3561,1991,3607,1991,3583,1933,3561,1840xe" filled="true" fillcolor="#f0535f" stroked="false">
              <v:path arrowok="t"/>
              <v:fill type="solid"/>
            </v:shape>
            <v:line style="position:absolute" from="3561,2107" to="3561,1975" stroked="true" strokeweight="1.5pt" strokecolor="#f0535f">
              <v:stroke dashstyle="solid"/>
            </v:line>
            <v:shape style="position:absolute;left:3501;top:2322;width:120;height:185" coordorigin="3501,2323" coordsize="120,185" path="m3607,2474l3561,2474,3620,2507,3621,2506,3607,2474xm3561,2323l3539,2416,3501,2505,3502,2507,3561,2474,3607,2474,3583,2416,3561,2323xe" filled="true" fillcolor="#f0535f" stroked="false">
              <v:path arrowok="t"/>
              <v:fill type="solid"/>
            </v:shape>
            <v:line style="position:absolute" from="3561,2590" to="3561,2458" stroked="true" strokeweight="1.5pt" strokecolor="#f0535f">
              <v:stroke dashstyle="solid"/>
            </v:line>
            <v:shape style="position:absolute;left:1998;top:2923;width:185;height:120" type="#_x0000_t75" stroked="false">
              <v:imagedata r:id="rId994" o:title=""/>
            </v:shape>
            <v:shape style="position:absolute;left:2794;top:2755;width:185;height:120" type="#_x0000_t75" stroked="false">
              <v:imagedata r:id="rId995" o:title=""/>
            </v:shape>
            <w10:wrap type="none"/>
          </v:group>
        </w:pict>
      </w:r>
      <w:r>
        <w:rPr>
          <w:rFonts w:ascii="Helvetica"/>
          <w:color w:val="231F20"/>
          <w:sz w:val="16"/>
        </w:rPr>
        <w:t>Renal interstitial</w:t>
      </w:r>
      <w:r>
        <w:rPr>
          <w:rFonts w:ascii="Helvetica"/>
          <w:color w:val="231F20"/>
          <w:w w:val="99"/>
          <w:sz w:val="16"/>
        </w:rPr>
        <w:t> </w:t>
      </w:r>
      <w:r>
        <w:rPr>
          <w:rFonts w:ascii="Helvetica"/>
          <w:color w:val="231F20"/>
          <w:sz w:val="16"/>
        </w:rPr>
        <w:t>fluid</w:t>
      </w:r>
    </w:p>
    <w:p>
      <w:pPr>
        <w:pStyle w:val="BodyText"/>
        <w:rPr>
          <w:rFonts w:ascii="Helvetica"/>
          <w:sz w:val="18"/>
        </w:rPr>
      </w:pPr>
    </w:p>
    <w:p>
      <w:pPr>
        <w:pStyle w:val="BodyText"/>
        <w:rPr>
          <w:rFonts w:ascii="Helvetica"/>
          <w:sz w:val="18"/>
        </w:rPr>
      </w:pPr>
    </w:p>
    <w:p>
      <w:pPr>
        <w:pStyle w:val="BodyText"/>
        <w:spacing w:before="4"/>
        <w:rPr>
          <w:rFonts w:ascii="Helvetica"/>
          <w:sz w:val="19"/>
        </w:rPr>
      </w:pPr>
    </w:p>
    <w:p>
      <w:pPr>
        <w:spacing w:line="153" w:lineRule="exact" w:before="0"/>
        <w:ind w:left="2290" w:right="0" w:firstLine="0"/>
        <w:jc w:val="left"/>
        <w:rPr>
          <w:rFonts w:ascii="Helvetica"/>
          <w:sz w:val="16"/>
        </w:rPr>
      </w:pPr>
      <w:r>
        <w:rPr>
          <w:rFonts w:ascii="Helvetica"/>
          <w:color w:val="231F20"/>
          <w:sz w:val="16"/>
        </w:rPr>
        <w:t>ATP</w:t>
      </w:r>
    </w:p>
    <w:p>
      <w:pPr>
        <w:spacing w:line="88" w:lineRule="exact" w:before="0"/>
        <w:ind w:left="1868" w:right="0" w:firstLine="0"/>
        <w:jc w:val="left"/>
        <w:rPr>
          <w:rFonts w:ascii="Kristen ITC"/>
          <w:sz w:val="12"/>
        </w:rPr>
      </w:pPr>
      <w:r>
        <w:rPr>
          <w:rFonts w:ascii="Helvetica"/>
          <w:color w:val="231F20"/>
          <w:position w:val="-4"/>
          <w:sz w:val="16"/>
        </w:rPr>
        <w:t>K</w:t>
      </w:r>
      <w:r>
        <w:rPr>
          <w:rFonts w:ascii="Kristen ITC"/>
          <w:color w:val="231F20"/>
          <w:sz w:val="12"/>
        </w:rPr>
        <w:t>+</w:t>
      </w:r>
    </w:p>
    <w:p>
      <w:pPr>
        <w:pStyle w:val="BodyText"/>
        <w:rPr>
          <w:rFonts w:ascii="Kristen ITC"/>
        </w:rPr>
      </w:pPr>
      <w:r>
        <w:rPr/>
        <w:br w:type="column"/>
      </w:r>
      <w:r>
        <w:rPr>
          <w:rFonts w:ascii="Kristen ITC"/>
        </w:rPr>
      </w:r>
    </w:p>
    <w:p>
      <w:pPr>
        <w:pStyle w:val="BodyText"/>
        <w:rPr>
          <w:rFonts w:ascii="Kristen ITC"/>
        </w:rPr>
      </w:pPr>
    </w:p>
    <w:p>
      <w:pPr>
        <w:pStyle w:val="BodyText"/>
        <w:rPr>
          <w:rFonts w:ascii="Kristen ITC"/>
        </w:rPr>
      </w:pPr>
    </w:p>
    <w:p>
      <w:pPr>
        <w:pStyle w:val="BodyText"/>
        <w:spacing w:before="12"/>
        <w:rPr>
          <w:rFonts w:ascii="Kristen ITC"/>
          <w:sz w:val="19"/>
        </w:rPr>
      </w:pPr>
    </w:p>
    <w:p>
      <w:pPr>
        <w:spacing w:before="0"/>
        <w:ind w:left="168" w:right="0" w:firstLine="0"/>
        <w:jc w:val="left"/>
        <w:rPr>
          <w:rFonts w:ascii="Kristen ITC"/>
          <w:sz w:val="12"/>
        </w:rPr>
      </w:pPr>
      <w:r>
        <w:rPr>
          <w:rFonts w:ascii="Helvetica"/>
          <w:color w:val="231F20"/>
          <w:sz w:val="16"/>
        </w:rPr>
        <w:t>Na</w:t>
      </w:r>
      <w:r>
        <w:rPr>
          <w:rFonts w:ascii="Kristen ITC"/>
          <w:color w:val="231F20"/>
          <w:position w:val="5"/>
          <w:sz w:val="12"/>
        </w:rPr>
        <w:t>+</w:t>
      </w:r>
    </w:p>
    <w:p>
      <w:pPr>
        <w:pStyle w:val="BodyText"/>
        <w:spacing w:before="1"/>
        <w:rPr>
          <w:rFonts w:ascii="Kristen ITC"/>
          <w:sz w:val="23"/>
        </w:rPr>
      </w:pPr>
      <w:r>
        <w:rPr/>
        <w:br w:type="column"/>
      </w:r>
      <w:r>
        <w:rPr>
          <w:rFonts w:ascii="Kristen ITC"/>
          <w:sz w:val="23"/>
        </w:rPr>
      </w:r>
    </w:p>
    <w:p>
      <w:pPr>
        <w:spacing w:before="0"/>
        <w:ind w:left="11" w:right="0" w:firstLine="0"/>
        <w:jc w:val="left"/>
        <w:rPr>
          <w:rFonts w:ascii="Helvetica"/>
          <w:sz w:val="16"/>
        </w:rPr>
      </w:pPr>
      <w:r>
        <w:rPr>
          <w:rFonts w:ascii="Helvetica"/>
          <w:color w:val="231F20"/>
          <w:sz w:val="16"/>
        </w:rPr>
        <w:t>Tubular cells</w:t>
      </w:r>
    </w:p>
    <w:p>
      <w:pPr>
        <w:spacing w:line="235" w:lineRule="auto" w:before="102"/>
        <w:ind w:left="1212" w:right="381" w:hanging="54"/>
        <w:jc w:val="left"/>
        <w:rPr>
          <w:rFonts w:ascii="Helvetica"/>
          <w:sz w:val="16"/>
        </w:rPr>
      </w:pPr>
      <w:r>
        <w:rPr/>
        <w:br w:type="column"/>
      </w:r>
      <w:r>
        <w:rPr>
          <w:rFonts w:ascii="Helvetica"/>
          <w:color w:val="231F20"/>
          <w:sz w:val="16"/>
        </w:rPr>
        <w:t>Tubular lumen</w:t>
      </w:r>
    </w:p>
    <w:p>
      <w:pPr>
        <w:spacing w:before="25"/>
        <w:ind w:left="1055" w:right="0" w:firstLine="0"/>
        <w:jc w:val="left"/>
        <w:rPr>
          <w:rFonts w:ascii="Helvetica"/>
          <w:b/>
          <w:sz w:val="12"/>
        </w:rPr>
      </w:pPr>
      <w:r>
        <w:rPr/>
        <w:pict>
          <v:group style="position:absolute;margin-left:285.553802pt;margin-top:12.215317pt;width:6pt;height:36.85pt;mso-position-horizontal-relative:page;mso-position-vertical-relative:paragraph;z-index:252974080" coordorigin="5711,244" coordsize="120,737">
            <v:shape style="position:absolute;left:5711;top:796;width:120;height:185" type="#_x0000_t75" stroked="false">
              <v:imagedata r:id="rId971" o:title=""/>
            </v:shape>
            <v:line style="position:absolute" from="5771,244" to="5771,846" stroked="true" strokeweight="1.5pt" strokecolor="#f0535f">
              <v:stroke dashstyle="solid"/>
            </v:line>
            <w10:wrap type="none"/>
          </v:group>
        </w:pict>
      </w:r>
      <w:r>
        <w:rPr/>
        <w:pict>
          <v:group style="position:absolute;margin-left:259.916809pt;margin-top:11.987808pt;width:6pt;height:20.25pt;mso-position-horizontal-relative:page;mso-position-vertical-relative:paragraph;z-index:252977152" coordorigin="5198,240" coordsize="120,405">
            <v:shape style="position:absolute;left:5198;top:460;width:120;height:185" coordorigin="5198,460" coordsize="120,185" path="m5200,461l5198,462,5237,552,5259,645,5280,551,5305,494,5258,494,5200,461xm5317,460l5258,494,5305,494,5318,462,5317,460xe" filled="true" fillcolor="#231f20" stroked="false">
              <v:path arrowok="t"/>
              <v:fill type="solid"/>
            </v:shape>
            <v:line style="position:absolute" from="5258,240" to="5258,509" stroked="true" strokeweight="1.5pt" strokecolor="#231f20">
              <v:stroke dashstyle="solid"/>
            </v:line>
            <w10:wrap type="none"/>
          </v:group>
        </w:pict>
      </w:r>
      <w:r>
        <w:rPr>
          <w:rFonts w:ascii="Helvetica"/>
          <w:color w:val="231F20"/>
          <w:sz w:val="16"/>
        </w:rPr>
        <w:t>Na</w:t>
      </w:r>
      <w:r>
        <w:rPr>
          <w:rFonts w:ascii="Kristen ITC"/>
          <w:color w:val="231F20"/>
          <w:position w:val="5"/>
          <w:sz w:val="12"/>
        </w:rPr>
        <w:t>+ </w:t>
      </w:r>
      <w:r>
        <w:rPr>
          <w:rFonts w:ascii="Kristen ITC"/>
          <w:color w:val="231F20"/>
          <w:sz w:val="16"/>
        </w:rPr>
        <w:t>+ </w:t>
      </w:r>
      <w:r>
        <w:rPr>
          <w:rFonts w:ascii="Helvetica"/>
          <w:b/>
          <w:color w:val="231F20"/>
          <w:spacing w:val="-4"/>
          <w:sz w:val="16"/>
        </w:rPr>
        <w:t>NaHPO</w:t>
      </w:r>
      <w:r>
        <w:rPr>
          <w:rFonts w:ascii="Helvetica"/>
          <w:b/>
          <w:color w:val="231F20"/>
          <w:spacing w:val="-4"/>
          <w:position w:val="-3"/>
          <w:sz w:val="12"/>
        </w:rPr>
        <w:t>4</w:t>
      </w:r>
    </w:p>
    <w:p>
      <w:pPr>
        <w:pStyle w:val="BodyText"/>
        <w:spacing w:before="7"/>
        <w:rPr>
          <w:rFonts w:ascii="Helvetica"/>
          <w:b/>
          <w:sz w:val="31"/>
        </w:rPr>
      </w:pPr>
    </w:p>
    <w:p>
      <w:pPr>
        <w:tabs>
          <w:tab w:pos="1027" w:val="left" w:leader="none"/>
        </w:tabs>
        <w:spacing w:before="0"/>
        <w:ind w:left="-11" w:right="0" w:firstLine="0"/>
        <w:jc w:val="left"/>
        <w:rPr>
          <w:rFonts w:ascii="Kristen ITC"/>
          <w:sz w:val="12"/>
        </w:rPr>
      </w:pPr>
      <w:r>
        <w:rPr>
          <w:rFonts w:ascii="Helvetica"/>
          <w:color w:val="231F20"/>
          <w:sz w:val="16"/>
        </w:rPr>
        <w:t>Na</w:t>
      </w:r>
      <w:r>
        <w:rPr>
          <w:rFonts w:ascii="Kristen ITC"/>
          <w:color w:val="231F20"/>
          <w:position w:val="5"/>
          <w:sz w:val="12"/>
        </w:rPr>
        <w:t>+</w:t>
      </w:r>
      <w:r>
        <w:rPr>
          <w:rFonts w:ascii="Kristen ITC"/>
          <w:color w:val="231F20"/>
          <w:position w:val="5"/>
          <w:sz w:val="12"/>
          <w:u w:val="thick" w:color="231F20"/>
        </w:rPr>
        <w:t> </w:t>
        <w:tab/>
      </w:r>
      <w:r>
        <w:rPr>
          <w:rFonts w:ascii="Helvetica"/>
          <w:color w:val="231F20"/>
          <w:sz w:val="16"/>
        </w:rPr>
        <w:t>Na</w:t>
      </w:r>
      <w:r>
        <w:rPr>
          <w:rFonts w:ascii="Kristen ITC"/>
          <w:color w:val="231F20"/>
          <w:position w:val="5"/>
          <w:sz w:val="12"/>
        </w:rPr>
        <w:t>+</w:t>
      </w:r>
    </w:p>
    <w:p>
      <w:pPr>
        <w:spacing w:line="98" w:lineRule="exact" w:before="125"/>
        <w:ind w:left="1055" w:right="0" w:firstLine="0"/>
        <w:jc w:val="left"/>
        <w:rPr>
          <w:rFonts w:ascii="Helvetica"/>
          <w:b/>
          <w:sz w:val="16"/>
        </w:rPr>
      </w:pPr>
      <w:r>
        <w:rPr>
          <w:rFonts w:ascii="Helvetica"/>
          <w:b/>
          <w:color w:val="231F20"/>
          <w:sz w:val="16"/>
        </w:rPr>
        <w:t>H</w:t>
      </w:r>
      <w:r>
        <w:rPr>
          <w:rFonts w:ascii="Kristen ITC"/>
          <w:color w:val="231F20"/>
          <w:position w:val="5"/>
          <w:sz w:val="12"/>
        </w:rPr>
        <w:t>+ </w:t>
      </w:r>
      <w:r>
        <w:rPr>
          <w:rFonts w:ascii="Kristen ITC"/>
          <w:color w:val="231F20"/>
          <w:sz w:val="16"/>
        </w:rPr>
        <w:t>+ </w:t>
      </w:r>
      <w:r>
        <w:rPr>
          <w:rFonts w:ascii="Helvetica"/>
          <w:b/>
          <w:color w:val="231F20"/>
          <w:sz w:val="16"/>
        </w:rPr>
        <w:t>NaHPO</w:t>
      </w:r>
    </w:p>
    <w:p>
      <w:pPr>
        <w:spacing w:line="235" w:lineRule="auto" w:before="102"/>
        <w:ind w:left="411" w:right="0" w:firstLine="0"/>
        <w:jc w:val="center"/>
        <w:rPr>
          <w:rFonts w:ascii="Helvetica"/>
          <w:sz w:val="16"/>
        </w:rPr>
      </w:pPr>
      <w:r>
        <w:rPr/>
        <w:br w:type="column"/>
      </w:r>
      <w:r>
        <w:rPr>
          <w:rFonts w:ascii="Helvetica"/>
          <w:color w:val="231F20"/>
          <w:sz w:val="16"/>
        </w:rPr>
        <w:t>Renal interstitial</w:t>
      </w:r>
      <w:r>
        <w:rPr>
          <w:rFonts w:ascii="Helvetica"/>
          <w:color w:val="231F20"/>
          <w:w w:val="99"/>
          <w:sz w:val="16"/>
        </w:rPr>
        <w:t> </w:t>
      </w:r>
      <w:r>
        <w:rPr>
          <w:rFonts w:ascii="Helvetica"/>
          <w:color w:val="231F20"/>
          <w:sz w:val="16"/>
        </w:rPr>
        <w:t>fluid</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sz w:val="15"/>
        </w:rPr>
      </w:pPr>
    </w:p>
    <w:p>
      <w:pPr>
        <w:spacing w:line="75" w:lineRule="exact" w:before="0"/>
        <w:ind w:left="294" w:right="0" w:firstLine="0"/>
        <w:jc w:val="left"/>
        <w:rPr>
          <w:rFonts w:ascii="Helvetica"/>
          <w:b/>
          <w:sz w:val="16"/>
        </w:rPr>
      </w:pPr>
      <w:r>
        <w:rPr/>
        <w:pict>
          <v:group style="position:absolute;margin-left:357.883301pt;margin-top:-62.860992pt;width:159.65pt;height:159.35pt;mso-position-horizontal-relative:page;mso-position-vertical-relative:paragraph;z-index:-272427008" coordorigin="7158,-1257" coordsize="3193,3187">
            <v:shape style="position:absolute;left:7606;top:-1232;width:2324;height:584" coordorigin="7606,-1231" coordsize="2324,584" path="m9930,-1231l7606,-1229,7606,-992,7619,-931,7652,-881,7702,-847,7763,-835,9013,-835,9041,-834,9112,-826,9206,-807,9302,-768,9363,-737,9438,-704,9521,-674,9605,-653,9682,-648,9753,-658,9818,-683,9872,-728,9911,-795,9930,-889,9930,-1231xe" filled="true" fillcolor="#feede3" stroked="false">
              <v:path arrowok="t"/>
              <v:fill type="solid"/>
            </v:shape>
            <v:shape style="position:absolute;left:7606;top:-1232;width:2324;height:584" coordorigin="7606,-1231" coordsize="2324,584" path="m9930,-889l9911,-795,9872,-728,9818,-683,9753,-658,9682,-648,9605,-653,9521,-674,9438,-704,9363,-737,9302,-768,9206,-807,9112,-826,9041,-834,9013,-835,7763,-835,7702,-847,7652,-881,7619,-931,7606,-992,7606,-1229,9930,-1231,9930,-889xe" filled="false" stroked="true" strokeweight=".75pt" strokecolor="#e2874a">
              <v:path arrowok="t"/>
              <v:stroke dashstyle="solid"/>
            </v:shape>
            <v:shape style="position:absolute;left:7606;top:-610;width:2324;height:2532" coordorigin="7606,-610" coordsize="2324,2532" path="m9682,-610l9605,-604,9521,-583,9438,-554,9363,-520,9302,-489,9230,-451,9176,-431,9112,-424,9013,-423,7763,-423,7702,-410,7652,-377,7619,-327,7606,-266,7606,1577,7619,1639,7652,1688,7702,1722,7763,1734,9013,1734,9041,1735,9112,1743,9206,1762,9302,1801,9363,1832,9438,1865,9521,1895,9605,1916,9682,1921,9753,1911,9818,1886,9872,1842,9911,1774,9930,1680,9930,-369,9911,-463,9872,-530,9818,-574,9753,-600,9682,-610xe" filled="true" fillcolor="#feede3" stroked="false">
              <v:path arrowok="t"/>
              <v:fill type="solid"/>
            </v:shape>
            <v:shape style="position:absolute;left:7606;top:-610;width:2324;height:2532" coordorigin="7606,-610" coordsize="2324,2532" path="m9930,1680l9911,1774,9872,1842,9818,1886,9753,1911,9682,1921,9605,1916,9521,1895,9438,1865,9363,1832,9302,1801,9206,1762,9112,1743,9041,1735,9013,1734,7763,1734,7702,1722,7652,1688,7619,1639,7606,1577,7606,-266,7619,-327,7652,-377,7702,-410,7763,-423,9013,-423,9112,-424,9176,-431,9230,-451,9302,-489,9363,-520,9438,-554,9521,-583,9605,-604,9682,-610,9753,-600,9818,-574,9872,-530,9911,-463,9930,-369,9930,1680xe" filled="false" stroked="true" strokeweight=".75pt" strokecolor="#e2874a">
              <v:path arrowok="t"/>
              <v:stroke dashstyle="solid"/>
            </v:shape>
            <v:shape style="position:absolute;left:8057;top:30;width:185;height:120" type="#_x0000_t75" stroked="false">
              <v:imagedata r:id="rId969" o:title=""/>
            </v:shape>
            <v:line style="position:absolute" from="8092,91" to="7370,91" stroked="true" strokeweight="1.5pt" strokecolor="#f0535f">
              <v:stroke dashstyle="solid"/>
            </v:line>
            <v:line style="position:absolute" from="7543,-1227" to="10022,-1227" stroked="true" strokeweight="3pt" strokecolor="#ffffff">
              <v:stroke dashstyle="solid"/>
            </v:line>
            <v:shape style="position:absolute;left:9278;top:30;width:185;height:120" type="#_x0000_t75" stroked="false">
              <v:imagedata r:id="rId996" o:title=""/>
            </v:shape>
            <v:line style="position:absolute" from="9422,91" to="10224,91" stroked="true" strokeweight="1.5pt" strokecolor="#f0535f">
              <v:stroke dashstyle="solid"/>
            </v:line>
            <v:shape style="position:absolute;left:9276;top:923;width:120;height:185" coordorigin="9277,924" coordsize="120,185" path="m9278,924l9277,926,9315,1015,9332,1085,9337,1108,9353,1038,9359,1015,9383,957,9337,957,9278,924xm9395,924l9337,957,9383,957,9396,926,9395,924xe" filled="true" fillcolor="#f0535f" stroked="false">
              <v:path arrowok="t"/>
              <v:fill type="solid"/>
            </v:shape>
            <v:shape style="position:absolute;left:8913;top:546;width:187;height:151" type="#_x0000_t75" stroked="false">
              <v:imagedata r:id="rId997" o:title=""/>
            </v:shape>
            <v:shape style="position:absolute;left:8358;top:546;width:187;height:151" type="#_x0000_t75" stroked="false">
              <v:imagedata r:id="rId998" o:title=""/>
            </v:shape>
            <v:line style="position:absolute" from="9336,841" to="9336,973" stroked="true" strokeweight="1.5pt" strokecolor="#f0535f">
              <v:stroke dashstyle="solid"/>
            </v:line>
            <v:shape style="position:absolute;left:7157;top:664;width:185;height:120" type="#_x0000_t75" stroked="false">
              <v:imagedata r:id="rId999" o:title=""/>
            </v:shape>
            <v:shape style="position:absolute;left:9561;top:1552;width:185;height:120" type="#_x0000_t75" stroked="false">
              <v:imagedata r:id="rId1000" o:title=""/>
            </v:shape>
            <v:shape style="position:absolute;left:10165;top:1214;width:185;height:120" type="#_x0000_t75" stroked="false">
              <v:imagedata r:id="rId1001" o:title=""/>
            </v:shape>
            <v:shape style="position:absolute;left:9753;top:1260;width:367;height:367" type="#_x0000_t75" stroked="false">
              <v:imagedata r:id="rId1002" o:title=""/>
            </v:shape>
            <v:shape style="position:absolute;left:-244;top:13246;width:488;height:413" coordorigin="-244,13246" coordsize="488,413" path="m8730,202l8730,457m8486,614l8730,457m8974,614l8730,457e" filled="false" stroked="true" strokeweight="1.5pt" strokecolor="#f0535f">
              <v:path arrowok="t"/>
              <v:stroke dashstyle="solid"/>
            </v:shape>
            <w10:wrap type="none"/>
          </v:group>
        </w:pict>
      </w:r>
      <w:r>
        <w:rPr>
          <w:rFonts w:ascii="Helvetica"/>
          <w:b/>
          <w:color w:val="231F20"/>
          <w:sz w:val="16"/>
        </w:rPr>
        <w:t>Glutamine</w:t>
      </w:r>
    </w:p>
    <w:p>
      <w:pPr>
        <w:pStyle w:val="BodyText"/>
        <w:spacing w:before="3"/>
        <w:rPr>
          <w:rFonts w:ascii="Helvetica"/>
          <w:b/>
          <w:sz w:val="15"/>
        </w:rPr>
      </w:pPr>
      <w:r>
        <w:rPr/>
        <w:br w:type="column"/>
      </w:r>
      <w:r>
        <w:rPr>
          <w:rFonts w:ascii="Helvetica"/>
          <w:b/>
          <w:sz w:val="15"/>
        </w:rPr>
      </w:r>
    </w:p>
    <w:p>
      <w:pPr>
        <w:spacing w:line="235" w:lineRule="auto" w:before="0"/>
        <w:ind w:left="997" w:right="0" w:firstLine="0"/>
        <w:jc w:val="center"/>
        <w:rPr>
          <w:rFonts w:ascii="Helvetica"/>
          <w:sz w:val="16"/>
        </w:rPr>
      </w:pPr>
      <w:r>
        <w:rPr>
          <w:rFonts w:ascii="Helvetica"/>
          <w:color w:val="231F20"/>
          <w:sz w:val="16"/>
        </w:rPr>
        <w:t>Proximal tubular </w:t>
      </w:r>
      <w:r>
        <w:rPr>
          <w:rFonts w:ascii="Helvetica"/>
          <w:color w:val="231F20"/>
          <w:spacing w:val="-4"/>
          <w:sz w:val="16"/>
        </w:rPr>
        <w:t>cells</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
        <w:rPr>
          <w:rFonts w:ascii="Helvetica"/>
          <w:sz w:val="25"/>
        </w:rPr>
      </w:pPr>
    </w:p>
    <w:p>
      <w:pPr>
        <w:spacing w:line="75" w:lineRule="exact" w:before="0"/>
        <w:ind w:left="930" w:right="0" w:firstLine="0"/>
        <w:jc w:val="center"/>
        <w:rPr>
          <w:rFonts w:ascii="Helvetica"/>
          <w:b/>
          <w:sz w:val="16"/>
        </w:rPr>
      </w:pPr>
      <w:r>
        <w:rPr>
          <w:rFonts w:ascii="Helvetica"/>
          <w:b/>
          <w:color w:val="231F20"/>
          <w:sz w:val="16"/>
        </w:rPr>
        <w:t>Glutamine</w:t>
      </w:r>
    </w:p>
    <w:p>
      <w:pPr>
        <w:spacing w:line="235" w:lineRule="auto" w:before="102"/>
        <w:ind w:left="1003" w:right="1130" w:firstLine="0"/>
        <w:jc w:val="center"/>
        <w:rPr>
          <w:rFonts w:ascii="Helvetica"/>
          <w:sz w:val="16"/>
        </w:rPr>
      </w:pPr>
      <w:r>
        <w:rPr/>
        <w:br w:type="column"/>
      </w:r>
      <w:r>
        <w:rPr>
          <w:rFonts w:ascii="Helvetica"/>
          <w:color w:val="231F20"/>
          <w:sz w:val="16"/>
        </w:rPr>
        <w:t>Tubular</w:t>
      </w:r>
      <w:r>
        <w:rPr>
          <w:rFonts w:ascii="Helvetica"/>
          <w:color w:val="231F20"/>
          <w:w w:val="99"/>
          <w:sz w:val="16"/>
        </w:rPr>
        <w:t> </w:t>
      </w:r>
      <w:r>
        <w:rPr>
          <w:rFonts w:ascii="Helvetica"/>
          <w:color w:val="231F20"/>
          <w:sz w:val="16"/>
        </w:rPr>
        <w:t>lumen</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75" w:lineRule="exact" w:before="155"/>
        <w:ind w:left="1003" w:right="1174" w:firstLine="0"/>
        <w:jc w:val="center"/>
        <w:rPr>
          <w:rFonts w:ascii="Helvetica"/>
          <w:b/>
          <w:sz w:val="16"/>
        </w:rPr>
      </w:pPr>
      <w:r>
        <w:rPr/>
        <w:pict>
          <v:shape style="position:absolute;margin-left:578.900024pt;margin-top:2.719312pt;width:15.9pt;height:53.35pt;mso-position-horizontal-relative:page;mso-position-vertical-relative:paragraph;z-index:25298534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b/>
          <w:color w:val="231F20"/>
          <w:sz w:val="16"/>
        </w:rPr>
        <w:t>Glutamine</w:t>
      </w:r>
    </w:p>
    <w:p>
      <w:pPr>
        <w:spacing w:after="0" w:line="75" w:lineRule="exact"/>
        <w:jc w:val="center"/>
        <w:rPr>
          <w:rFonts w:ascii="Helvetica"/>
          <w:sz w:val="16"/>
        </w:rPr>
        <w:sectPr>
          <w:type w:val="continuous"/>
          <w:pgSz w:w="12240" w:h="15660"/>
          <w:pgMar w:top="0" w:bottom="760" w:left="0" w:right="0"/>
          <w:cols w:num="7" w:equalWidth="0">
            <w:col w:w="2602" w:space="40"/>
            <w:col w:w="440" w:space="39"/>
            <w:col w:w="919" w:space="40"/>
            <w:col w:w="2102" w:space="39"/>
            <w:col w:w="1088" w:space="40"/>
            <w:col w:w="1852" w:space="39"/>
            <w:col w:w="3000"/>
          </w:cols>
        </w:sectPr>
      </w:pPr>
    </w:p>
    <w:p>
      <w:pPr>
        <w:tabs>
          <w:tab w:pos="2107" w:val="left" w:leader="none"/>
          <w:tab w:pos="3111" w:val="left" w:leader="none"/>
          <w:tab w:pos="6092" w:val="right" w:leader="none"/>
        </w:tabs>
        <w:spacing w:before="3"/>
        <w:ind w:left="1387" w:right="0" w:firstLine="0"/>
        <w:jc w:val="left"/>
        <w:rPr>
          <w:rFonts w:ascii="Helvetica" w:hAnsi="Helvetica"/>
          <w:b/>
          <w:sz w:val="12"/>
        </w:rPr>
      </w:pPr>
      <w:r>
        <w:rPr/>
        <w:pict>
          <v:group style="position:absolute;margin-left:267.053802pt;margin-top:7.208609pt;width:6pt;height:22.25pt;mso-position-horizontal-relative:page;mso-position-vertical-relative:paragraph;z-index:-272430080" coordorigin="5341,144" coordsize="120,445">
            <v:shape style="position:absolute;left:5341;top:403;width:120;height:185" coordorigin="5341,404" coordsize="120,185" path="m5342,404l5341,406,5379,495,5401,588,5423,495,5447,437,5401,437,5342,404xm5460,404l5401,437,5447,437,5461,406,5460,404xe" filled="true" fillcolor="#f0535f" stroked="false">
              <v:path arrowok="t"/>
              <v:fill type="solid"/>
            </v:shape>
            <v:line style="position:absolute" from="5401,144" to="5401,453" stroked="true" strokeweight="1.5pt" strokecolor="#f0535f">
              <v:stroke dashstyle="solid"/>
            </v:line>
            <w10:wrap type="none"/>
          </v:group>
        </w:pict>
      </w:r>
      <w:r>
        <w:rPr/>
        <w:pict>
          <v:shape style="position:absolute;margin-left:87.167297pt;margin-top:8.005905pt;width:91.6pt;height:7.15pt;mso-position-horizontal-relative:page;mso-position-vertical-relative:paragraph;z-index:-272395264" type="#_x0000_t202" filled="false" stroked="false">
            <v:textbox inset="0,0,0,0">
              <w:txbxContent>
                <w:p>
                  <w:pPr>
                    <w:tabs>
                      <w:tab w:pos="1764" w:val="left" w:leader="none"/>
                    </w:tabs>
                    <w:spacing w:before="3"/>
                    <w:ind w:left="0" w:right="0" w:firstLine="0"/>
                    <w:jc w:val="left"/>
                    <w:rPr>
                      <w:rFonts w:ascii="Helvetica"/>
                      <w:b/>
                      <w:sz w:val="12"/>
                    </w:rPr>
                  </w:pPr>
                  <w:r>
                    <w:rPr>
                      <w:rFonts w:ascii="Helvetica"/>
                      <w:b/>
                      <w:color w:val="231F20"/>
                      <w:sz w:val="12"/>
                    </w:rPr>
                    <w:t>3</w:t>
                    <w:tab/>
                  </w:r>
                  <w:r>
                    <w:rPr>
                      <w:rFonts w:ascii="Helvetica"/>
                      <w:b/>
                      <w:color w:val="231F20"/>
                      <w:spacing w:val="-20"/>
                      <w:sz w:val="12"/>
                    </w:rPr>
                    <w:t>3</w:t>
                  </w:r>
                </w:p>
              </w:txbxContent>
            </v:textbox>
            <w10:wrap type="none"/>
          </v:shape>
        </w:pict>
      </w:r>
      <w:r>
        <w:rPr>
          <w:rFonts w:ascii="Helvetica" w:hAnsi="Helvetica"/>
          <w:b/>
          <w:color w:val="231F20"/>
          <w:sz w:val="16"/>
        </w:rPr>
        <w:t>HCO</w:t>
      </w:r>
      <w:r>
        <w:rPr>
          <w:rFonts w:ascii="Helvetica" w:hAnsi="Helvetica"/>
          <w:b/>
          <w:color w:val="231F20"/>
          <w:spacing w:val="21"/>
          <w:sz w:val="16"/>
        </w:rPr>
        <w:t> </w:t>
      </w:r>
      <w:r>
        <w:rPr>
          <w:rFonts w:ascii="Helvetica" w:hAnsi="Helvetica"/>
          <w:b/>
          <w:color w:val="231F20"/>
          <w:position w:val="6"/>
          <w:sz w:val="12"/>
        </w:rPr>
        <w:t>–</w:t>
        <w:tab/>
      </w:r>
      <w:r>
        <w:rPr>
          <w:rFonts w:ascii="Helvetica" w:hAnsi="Helvetica"/>
          <w:b/>
          <w:color w:val="231F20"/>
          <w:position w:val="6"/>
          <w:sz w:val="12"/>
          <w:u w:val="thick" w:color="F0535F"/>
        </w:rPr>
        <w:t> </w:t>
        <w:tab/>
      </w:r>
      <w:r>
        <w:rPr>
          <w:rFonts w:ascii="Helvetica" w:hAnsi="Helvetica"/>
          <w:b/>
          <w:color w:val="231F20"/>
          <w:sz w:val="16"/>
        </w:rPr>
        <w:t>HCO </w:t>
      </w:r>
      <w:r>
        <w:rPr>
          <w:rFonts w:ascii="Helvetica" w:hAnsi="Helvetica"/>
          <w:b/>
          <w:color w:val="231F20"/>
          <w:position w:val="6"/>
          <w:sz w:val="12"/>
        </w:rPr>
        <w:t>–</w:t>
      </w:r>
      <w:r>
        <w:rPr>
          <w:rFonts w:ascii="Helvetica" w:hAnsi="Helvetica"/>
          <w:b/>
          <w:color w:val="231F20"/>
          <w:spacing w:val="-17"/>
          <w:position w:val="6"/>
          <w:sz w:val="12"/>
        </w:rPr>
        <w:t> </w:t>
      </w:r>
      <w:r>
        <w:rPr>
          <w:rFonts w:ascii="Kristen ITC" w:hAnsi="Kristen ITC"/>
          <w:color w:val="231F20"/>
          <w:sz w:val="16"/>
        </w:rPr>
        <w:t>+</w:t>
      </w:r>
      <w:r>
        <w:rPr>
          <w:rFonts w:ascii="Kristen ITC" w:hAnsi="Kristen ITC"/>
          <w:color w:val="231F20"/>
          <w:spacing w:val="-4"/>
          <w:sz w:val="16"/>
        </w:rPr>
        <w:t> </w:t>
      </w:r>
      <w:r>
        <w:rPr>
          <w:rFonts w:ascii="Helvetica" w:hAnsi="Helvetica"/>
          <w:b/>
          <w:color w:val="231F20"/>
          <w:sz w:val="16"/>
        </w:rPr>
        <w:t>H</w:t>
      </w:r>
      <w:r>
        <w:rPr>
          <w:rFonts w:ascii="Kristen ITC" w:hAnsi="Kristen ITC"/>
          <w:color w:val="231F20"/>
          <w:position w:val="5"/>
          <w:sz w:val="12"/>
        </w:rPr>
        <w:t>+</w:t>
        <w:tab/>
      </w:r>
      <w:r>
        <w:rPr>
          <w:rFonts w:ascii="Helvetica" w:hAnsi="Helvetica"/>
          <w:b/>
          <w:color w:val="231F20"/>
          <w:position w:val="12"/>
          <w:sz w:val="12"/>
        </w:rPr>
        <w:t>4</w:t>
      </w:r>
    </w:p>
    <w:p>
      <w:pPr>
        <w:spacing w:line="11" w:lineRule="exact" w:before="305"/>
        <w:ind w:left="0" w:right="418" w:firstLine="0"/>
        <w:jc w:val="right"/>
        <w:rPr>
          <w:rFonts w:ascii="Helvetica"/>
          <w:b/>
          <w:sz w:val="16"/>
        </w:rPr>
      </w:pPr>
      <w:r>
        <w:rPr>
          <w:rFonts w:ascii="Helvetica"/>
          <w:b/>
          <w:color w:val="231F20"/>
          <w:sz w:val="16"/>
        </w:rPr>
        <w:t>NaH PO</w:t>
      </w:r>
    </w:p>
    <w:p>
      <w:pPr>
        <w:tabs>
          <w:tab w:pos="1579" w:val="left" w:leader="none"/>
        </w:tabs>
        <w:spacing w:line="72" w:lineRule="exact" w:before="533"/>
        <w:ind w:left="1134" w:right="0" w:firstLine="0"/>
        <w:jc w:val="left"/>
        <w:rPr>
          <w:rFonts w:ascii="Helvetica" w:hAnsi="Helvetica"/>
          <w:b/>
          <w:sz w:val="12"/>
        </w:rPr>
      </w:pPr>
      <w:r>
        <w:rPr/>
        <w:br w:type="column"/>
      </w:r>
      <w:r>
        <w:rPr>
          <w:rFonts w:ascii="Helvetica" w:hAnsi="Helvetica"/>
          <w:b/>
          <w:color w:val="231F20"/>
          <w:w w:val="100"/>
          <w:sz w:val="16"/>
          <w:u w:val="thick" w:color="F0535F"/>
        </w:rPr>
        <w:t> </w:t>
      </w:r>
      <w:r>
        <w:rPr>
          <w:rFonts w:ascii="Helvetica" w:hAnsi="Helvetica"/>
          <w:b/>
          <w:color w:val="231F20"/>
          <w:sz w:val="16"/>
          <w:u w:val="thick" w:color="F0535F"/>
        </w:rPr>
        <w:tab/>
      </w:r>
      <w:r>
        <w:rPr>
          <w:rFonts w:ascii="Helvetica" w:hAnsi="Helvetica"/>
          <w:b/>
          <w:color w:val="231F20"/>
          <w:spacing w:val="-14"/>
          <w:sz w:val="16"/>
        </w:rPr>
        <w:t> </w:t>
      </w:r>
      <w:r>
        <w:rPr>
          <w:rFonts w:ascii="Helvetica" w:hAnsi="Helvetica"/>
          <w:b/>
          <w:color w:val="231F20"/>
          <w:sz w:val="16"/>
        </w:rPr>
        <w:t>2HCO</w:t>
      </w:r>
      <w:r>
        <w:rPr>
          <w:rFonts w:ascii="Helvetica" w:hAnsi="Helvetica"/>
          <w:b/>
          <w:color w:val="231F20"/>
          <w:spacing w:val="22"/>
          <w:sz w:val="16"/>
        </w:rPr>
        <w:t> </w:t>
      </w:r>
      <w:r>
        <w:rPr>
          <w:rFonts w:ascii="Helvetica" w:hAnsi="Helvetica"/>
          <w:b/>
          <w:color w:val="231F20"/>
          <w:spacing w:val="-19"/>
          <w:position w:val="6"/>
          <w:sz w:val="12"/>
        </w:rPr>
        <w:t>–</w:t>
      </w:r>
    </w:p>
    <w:p>
      <w:pPr>
        <w:spacing w:line="73" w:lineRule="exact" w:before="532"/>
        <w:ind w:left="734" w:right="0" w:firstLine="0"/>
        <w:jc w:val="left"/>
        <w:rPr>
          <w:rFonts w:ascii="Kristen ITC"/>
          <w:sz w:val="12"/>
        </w:rPr>
      </w:pPr>
      <w:r>
        <w:rPr/>
        <w:br w:type="column"/>
      </w:r>
      <w:r>
        <w:rPr>
          <w:rFonts w:ascii="Helvetica"/>
          <w:b/>
          <w:color w:val="231F20"/>
          <w:sz w:val="16"/>
        </w:rPr>
        <w:t>2NH </w:t>
      </w:r>
      <w:r>
        <w:rPr>
          <w:rFonts w:ascii="Kristen ITC"/>
          <w:color w:val="231F20"/>
          <w:position w:val="5"/>
          <w:sz w:val="12"/>
        </w:rPr>
        <w:t>+</w:t>
      </w:r>
    </w:p>
    <w:p>
      <w:pPr>
        <w:spacing w:before="322"/>
        <w:ind w:left="1276" w:right="1118" w:firstLine="0"/>
        <w:jc w:val="center"/>
        <w:rPr>
          <w:rFonts w:ascii="Helvetica" w:hAnsi="Helvetica"/>
          <w:sz w:val="12"/>
        </w:rPr>
      </w:pPr>
      <w:r>
        <w:rPr/>
        <w:br w:type="column"/>
      </w:r>
      <w:r>
        <w:rPr>
          <w:rFonts w:ascii="Helvetica" w:hAnsi="Helvetica"/>
          <w:color w:val="231F20"/>
          <w:sz w:val="16"/>
        </w:rPr>
        <w:t>Cl</w:t>
      </w:r>
      <w:r>
        <w:rPr>
          <w:rFonts w:ascii="Helvetica" w:hAnsi="Helvetica"/>
          <w:color w:val="231F20"/>
          <w:position w:val="6"/>
          <w:sz w:val="12"/>
        </w:rPr>
        <w:t>–</w:t>
      </w:r>
    </w:p>
    <w:p>
      <w:pPr>
        <w:spacing w:after="0"/>
        <w:jc w:val="center"/>
        <w:rPr>
          <w:rFonts w:ascii="Helvetica" w:hAnsi="Helvetica"/>
          <w:sz w:val="12"/>
        </w:rPr>
        <w:sectPr>
          <w:type w:val="continuous"/>
          <w:pgSz w:w="12240" w:h="15660"/>
          <w:pgMar w:top="0" w:bottom="760" w:left="0" w:right="0"/>
          <w:cols w:num="4" w:equalWidth="0">
            <w:col w:w="6093" w:space="40"/>
            <w:col w:w="2189" w:space="39"/>
            <w:col w:w="1188" w:space="39"/>
            <w:col w:w="2652"/>
          </w:cols>
        </w:sectPr>
      </w:pPr>
    </w:p>
    <w:p>
      <w:pPr>
        <w:spacing w:before="4"/>
        <w:ind w:left="0" w:right="0" w:firstLine="0"/>
        <w:jc w:val="right"/>
        <w:rPr>
          <w:rFonts w:ascii="Helvetica"/>
          <w:b/>
          <w:sz w:val="12"/>
        </w:rPr>
      </w:pPr>
      <w:r>
        <w:rPr>
          <w:rFonts w:ascii="Helvetica"/>
          <w:b/>
          <w:color w:val="231F20"/>
          <w:w w:val="95"/>
          <w:sz w:val="16"/>
        </w:rPr>
        <w:t>H</w:t>
      </w:r>
      <w:r>
        <w:rPr>
          <w:rFonts w:ascii="Helvetica"/>
          <w:b/>
          <w:color w:val="231F20"/>
          <w:w w:val="95"/>
          <w:position w:val="-4"/>
          <w:sz w:val="12"/>
        </w:rPr>
        <w:t>2</w:t>
      </w:r>
      <w:r>
        <w:rPr>
          <w:rFonts w:ascii="Helvetica"/>
          <w:b/>
          <w:color w:val="231F20"/>
          <w:w w:val="95"/>
          <w:sz w:val="16"/>
        </w:rPr>
        <w:t>CO</w:t>
      </w:r>
      <w:r>
        <w:rPr>
          <w:rFonts w:ascii="Helvetica"/>
          <w:b/>
          <w:color w:val="231F20"/>
          <w:w w:val="95"/>
          <w:position w:val="-4"/>
          <w:sz w:val="12"/>
        </w:rPr>
        <w:t>3</w:t>
      </w:r>
    </w:p>
    <w:p>
      <w:pPr>
        <w:tabs>
          <w:tab w:pos="2870" w:val="left" w:leader="none"/>
          <w:tab w:pos="3416" w:val="left" w:leader="none"/>
        </w:tabs>
        <w:spacing w:line="85" w:lineRule="exact" w:before="252"/>
        <w:ind w:left="2004" w:right="0" w:firstLine="0"/>
        <w:jc w:val="left"/>
        <w:rPr>
          <w:rFonts w:ascii="Helvetica"/>
          <w:b/>
          <w:sz w:val="16"/>
        </w:rPr>
      </w:pPr>
      <w:r>
        <w:rPr>
          <w:rFonts w:ascii="Helvetica"/>
          <w:b/>
          <w:color w:val="231F20"/>
          <w:w w:val="100"/>
          <w:sz w:val="16"/>
          <w:u w:val="thick" w:color="F0535F"/>
        </w:rPr>
        <w:t> </w:t>
      </w:r>
      <w:r>
        <w:rPr>
          <w:rFonts w:ascii="Helvetica"/>
          <w:b/>
          <w:color w:val="231F20"/>
          <w:sz w:val="16"/>
          <w:u w:val="thick" w:color="F0535F"/>
        </w:rPr>
        <w:tab/>
      </w:r>
      <w:r>
        <w:rPr>
          <w:rFonts w:ascii="Helvetica"/>
          <w:b/>
          <w:color w:val="231F20"/>
          <w:sz w:val="16"/>
        </w:rPr>
        <w:tab/>
        <w:t>H</w:t>
      </w:r>
      <w:r>
        <w:rPr>
          <w:rFonts w:ascii="Helvetica"/>
          <w:b/>
          <w:color w:val="231F20"/>
          <w:spacing w:val="21"/>
          <w:sz w:val="16"/>
        </w:rPr>
        <w:t> </w:t>
      </w:r>
      <w:r>
        <w:rPr>
          <w:rFonts w:ascii="Helvetica"/>
          <w:b/>
          <w:color w:val="231F20"/>
          <w:sz w:val="16"/>
        </w:rPr>
        <w:t>O</w:t>
      </w:r>
    </w:p>
    <w:p>
      <w:pPr>
        <w:tabs>
          <w:tab w:pos="297" w:val="left" w:leader="none"/>
        </w:tabs>
        <w:spacing w:line="121" w:lineRule="exact" w:before="76"/>
        <w:ind w:left="0" w:right="38" w:firstLine="0"/>
        <w:jc w:val="right"/>
        <w:rPr>
          <w:rFonts w:ascii="Helvetica"/>
          <w:b/>
          <w:sz w:val="12"/>
        </w:rPr>
      </w:pPr>
      <w:r>
        <w:rPr/>
        <w:br w:type="column"/>
      </w:r>
      <w:r>
        <w:rPr>
          <w:rFonts w:ascii="Helvetica"/>
          <w:b/>
          <w:color w:val="231F20"/>
          <w:sz w:val="12"/>
        </w:rPr>
        <w:t>2</w:t>
        <w:tab/>
        <w:t>4</w:t>
      </w:r>
    </w:p>
    <w:p>
      <w:pPr>
        <w:spacing w:line="165" w:lineRule="exact" w:before="0"/>
        <w:ind w:left="-14" w:right="0" w:firstLine="0"/>
        <w:jc w:val="left"/>
        <w:rPr>
          <w:rFonts w:ascii="Helvetica"/>
          <w:sz w:val="16"/>
        </w:rPr>
      </w:pPr>
      <w:r>
        <w:rPr/>
        <w:pict>
          <v:group style="position:absolute;margin-left:267.053802pt;margin-top:2.090744pt;width:6pt;height:22.25pt;mso-position-horizontal-relative:page;mso-position-vertical-relative:paragraph;z-index:252976128" coordorigin="5341,42" coordsize="120,445">
            <v:shape style="position:absolute;left:5341;top:301;width:120;height:185" coordorigin="5341,302" coordsize="120,185" path="m5342,302l5341,304,5379,393,5401,486,5423,393,5447,335,5401,335,5342,302xm5460,302l5401,335,5447,335,5461,303,5460,302xe" filled="true" fillcolor="#f0535f" stroked="false">
              <v:path arrowok="t"/>
              <v:fill type="solid"/>
            </v:shape>
            <v:line style="position:absolute" from="5401,42" to="5401,351" stroked="true" strokeweight="1.5pt" strokecolor="#f0535f">
              <v:stroke dashstyle="solid"/>
            </v:line>
            <w10:wrap type="none"/>
          </v:group>
        </w:pict>
      </w:r>
      <w:r>
        <w:rPr>
          <w:rFonts w:ascii="Helvetica"/>
          <w:color w:val="231F20"/>
          <w:sz w:val="16"/>
        </w:rPr>
        <w:t>Carbonic</w:t>
      </w:r>
    </w:p>
    <w:p>
      <w:pPr>
        <w:spacing w:line="182" w:lineRule="exact" w:before="0"/>
        <w:ind w:left="-14" w:right="0" w:firstLine="0"/>
        <w:jc w:val="left"/>
        <w:rPr>
          <w:rFonts w:ascii="Helvetica"/>
          <w:sz w:val="16"/>
        </w:rPr>
      </w:pPr>
      <w:r>
        <w:rPr>
          <w:rFonts w:ascii="Helvetica"/>
          <w:color w:val="231F20"/>
          <w:sz w:val="16"/>
        </w:rPr>
        <w:t>anhydrase</w:t>
      </w:r>
    </w:p>
    <w:p>
      <w:pPr>
        <w:tabs>
          <w:tab w:pos="3232" w:val="left" w:leader="none"/>
        </w:tabs>
        <w:spacing w:before="28"/>
        <w:ind w:left="2004" w:right="0" w:firstLine="0"/>
        <w:jc w:val="left"/>
        <w:rPr>
          <w:rFonts w:ascii="Helvetica"/>
          <w:b/>
          <w:sz w:val="12"/>
        </w:rPr>
      </w:pPr>
      <w:r>
        <w:rPr/>
        <w:br w:type="column"/>
      </w:r>
      <w:r>
        <w:rPr>
          <w:rFonts w:ascii="Helvetica"/>
          <w:b/>
          <w:color w:val="231F20"/>
          <w:position w:val="1"/>
          <w:sz w:val="12"/>
        </w:rPr>
        <w:t>3</w:t>
        <w:tab/>
      </w:r>
      <w:r>
        <w:rPr>
          <w:rFonts w:ascii="Helvetica"/>
          <w:b/>
          <w:color w:val="231F20"/>
          <w:sz w:val="12"/>
        </w:rPr>
        <w:t>4</w:t>
      </w:r>
    </w:p>
    <w:p>
      <w:pPr>
        <w:pStyle w:val="BodyText"/>
        <w:rPr>
          <w:rFonts w:ascii="Helvetica"/>
          <w:b/>
          <w:sz w:val="14"/>
        </w:rPr>
      </w:pPr>
    </w:p>
    <w:p>
      <w:pPr>
        <w:pStyle w:val="BodyText"/>
        <w:spacing w:before="2"/>
        <w:rPr>
          <w:rFonts w:ascii="Helvetica"/>
          <w:b/>
          <w:sz w:val="12"/>
        </w:rPr>
      </w:pPr>
    </w:p>
    <w:p>
      <w:pPr>
        <w:tabs>
          <w:tab w:pos="4046" w:val="left" w:leader="none"/>
        </w:tabs>
        <w:spacing w:line="89" w:lineRule="exact" w:before="0"/>
        <w:ind w:left="2977" w:right="0" w:firstLine="0"/>
        <w:jc w:val="left"/>
        <w:rPr>
          <w:rFonts w:ascii="Helvetica" w:hAnsi="Helvetica"/>
          <w:sz w:val="12"/>
        </w:rPr>
      </w:pPr>
      <w:r>
        <w:rPr/>
        <w:pict>
          <v:group style="position:absolute;margin-left:545.327698pt;margin-top:-25.646301pt;width:6pt;height:25.1pt;mso-position-horizontal-relative:page;mso-position-vertical-relative:paragraph;z-index:252979200" coordorigin="10907,-513" coordsize="120,502">
            <v:shape style="position:absolute;left:10906;top:-196;width:120;height:185" coordorigin="10907,-195" coordsize="120,185" path="m10907,-195l10907,-194,10944,-104,10950,-81,10966,-11,10971,-34,10988,-104,11013,-162,10966,-162,10907,-195xm11025,-195l10966,-162,11013,-162,11026,-193,11025,-195xe" filled="true" fillcolor="#231f20" stroked="false">
              <v:path arrowok="t"/>
              <v:fill type="solid"/>
            </v:shape>
            <v:line style="position:absolute" from="10967,-513" to="10967,-146" stroked="true" strokeweight="1.5pt" strokecolor="#231f20">
              <v:stroke dashstyle="solid"/>
            </v:line>
            <w10:wrap type="none"/>
          </v:group>
        </w:pict>
      </w:r>
      <w:r>
        <w:rPr>
          <w:rFonts w:ascii="Helvetica" w:hAnsi="Helvetica"/>
          <w:b/>
          <w:color w:val="231F20"/>
          <w:sz w:val="16"/>
        </w:rPr>
        <w:t>NH</w:t>
      </w:r>
      <w:r>
        <w:rPr>
          <w:rFonts w:ascii="Helvetica" w:hAnsi="Helvetica"/>
          <w:b/>
          <w:color w:val="231F20"/>
          <w:spacing w:val="21"/>
          <w:sz w:val="16"/>
        </w:rPr>
        <w:t> </w:t>
      </w:r>
      <w:r>
        <w:rPr>
          <w:rFonts w:ascii="Kristen ITC" w:hAnsi="Kristen ITC"/>
          <w:color w:val="231F20"/>
          <w:position w:val="5"/>
          <w:sz w:val="12"/>
        </w:rPr>
        <w:t>+</w:t>
      </w:r>
      <w:r>
        <w:rPr>
          <w:rFonts w:ascii="Kristen ITC" w:hAnsi="Kristen ITC"/>
          <w:color w:val="231F20"/>
          <w:position w:val="5"/>
          <w:sz w:val="12"/>
          <w:u w:val="thick" w:color="F0535F"/>
        </w:rPr>
        <w:t> </w:t>
        <w:tab/>
      </w:r>
      <w:r>
        <w:rPr>
          <w:rFonts w:ascii="Helvetica" w:hAnsi="Helvetica"/>
          <w:b/>
          <w:color w:val="231F20"/>
          <w:sz w:val="16"/>
        </w:rPr>
        <w:t>NH </w:t>
      </w:r>
      <w:r>
        <w:rPr>
          <w:rFonts w:ascii="Kristen ITC" w:hAnsi="Kristen ITC"/>
          <w:color w:val="231F20"/>
          <w:position w:val="5"/>
          <w:sz w:val="12"/>
        </w:rPr>
        <w:t>+ </w:t>
      </w:r>
      <w:r>
        <w:rPr>
          <w:rFonts w:ascii="Kristen ITC" w:hAnsi="Kristen ITC"/>
          <w:color w:val="231F20"/>
          <w:sz w:val="16"/>
        </w:rPr>
        <w:t>+</w:t>
      </w:r>
      <w:r>
        <w:rPr>
          <w:rFonts w:ascii="Kristen ITC" w:hAnsi="Kristen ITC"/>
          <w:color w:val="231F20"/>
          <w:spacing w:val="7"/>
          <w:sz w:val="16"/>
        </w:rPr>
        <w:t> </w:t>
      </w:r>
      <w:r>
        <w:rPr>
          <w:rFonts w:ascii="Helvetica" w:hAnsi="Helvetica"/>
          <w:color w:val="231F20"/>
          <w:sz w:val="16"/>
        </w:rPr>
        <w:t>Cl</w:t>
      </w:r>
      <w:r>
        <w:rPr>
          <w:rFonts w:ascii="Helvetica" w:hAnsi="Helvetica"/>
          <w:color w:val="231F20"/>
          <w:position w:val="6"/>
          <w:sz w:val="12"/>
        </w:rPr>
        <w:t>–</w:t>
      </w:r>
    </w:p>
    <w:p>
      <w:pPr>
        <w:spacing w:after="0" w:line="89" w:lineRule="exact"/>
        <w:jc w:val="left"/>
        <w:rPr>
          <w:rFonts w:ascii="Helvetica" w:hAnsi="Helvetica"/>
          <w:sz w:val="12"/>
        </w:rPr>
        <w:sectPr>
          <w:type w:val="continuous"/>
          <w:pgSz w:w="12240" w:h="15660"/>
          <w:pgMar w:top="0" w:bottom="760" w:left="0" w:right="0"/>
          <w:cols w:num="3" w:equalWidth="0">
            <w:col w:w="3815" w:space="40"/>
            <w:col w:w="1924" w:space="404"/>
            <w:col w:w="6057"/>
          </w:cols>
        </w:sectPr>
      </w:pPr>
    </w:p>
    <w:p>
      <w:pPr>
        <w:spacing w:line="108" w:lineRule="exact" w:before="3"/>
        <w:ind w:left="3384" w:right="0" w:firstLine="0"/>
        <w:jc w:val="center"/>
        <w:rPr>
          <w:rFonts w:ascii="Helvetica"/>
          <w:b/>
          <w:sz w:val="12"/>
        </w:rPr>
      </w:pPr>
      <w:r>
        <w:rPr>
          <w:rFonts w:ascii="Helvetica"/>
          <w:b/>
          <w:color w:val="231F20"/>
          <w:w w:val="99"/>
          <w:sz w:val="12"/>
        </w:rPr>
        <w:t>2</w:t>
      </w:r>
    </w:p>
    <w:p>
      <w:pPr>
        <w:tabs>
          <w:tab w:pos="2973" w:val="left" w:leader="none"/>
          <w:tab w:pos="3518" w:val="left" w:leader="none"/>
        </w:tabs>
        <w:spacing w:line="187" w:lineRule="exact" w:before="0"/>
        <w:ind w:left="1627" w:right="0" w:firstLine="0"/>
        <w:jc w:val="left"/>
        <w:rPr>
          <w:rFonts w:ascii="Kristen ITC"/>
          <w:sz w:val="16"/>
        </w:rPr>
      </w:pPr>
      <w:r>
        <w:rPr>
          <w:rFonts w:ascii="Helvetica"/>
          <w:b/>
          <w:color w:val="231F20"/>
          <w:sz w:val="16"/>
        </w:rPr>
        <w:t>CO</w:t>
      </w:r>
      <w:r>
        <w:rPr>
          <w:rFonts w:ascii="Helvetica"/>
          <w:b/>
          <w:color w:val="231F20"/>
          <w:position w:val="-4"/>
          <w:sz w:val="12"/>
        </w:rPr>
        <w:t>2</w:t>
      </w:r>
      <w:r>
        <w:rPr>
          <w:rFonts w:ascii="Helvetica"/>
          <w:b/>
          <w:color w:val="231F20"/>
          <w:position w:val="-4"/>
          <w:sz w:val="12"/>
          <w:u w:val="thick" w:color="F0535F"/>
        </w:rPr>
        <w:t> </w:t>
        <w:tab/>
      </w:r>
      <w:r>
        <w:rPr>
          <w:rFonts w:ascii="Helvetica"/>
          <w:b/>
          <w:color w:val="231F20"/>
          <w:position w:val="-4"/>
          <w:sz w:val="12"/>
        </w:rPr>
        <w:tab/>
      </w:r>
      <w:r>
        <w:rPr>
          <w:rFonts w:ascii="Kristen ITC"/>
          <w:shadow/>
          <w:color w:val="F0535F"/>
          <w:position w:val="2"/>
          <w:sz w:val="16"/>
        </w:rPr>
        <w:t>+</w:t>
      </w:r>
    </w:p>
    <w:p>
      <w:pPr>
        <w:spacing w:line="170" w:lineRule="auto" w:before="0"/>
        <w:ind w:left="3381" w:right="20" w:firstLine="0"/>
        <w:jc w:val="center"/>
        <w:rPr>
          <w:rFonts w:ascii="Helvetica"/>
          <w:b/>
          <w:sz w:val="12"/>
        </w:rPr>
      </w:pPr>
      <w:r>
        <w:rPr>
          <w:rFonts w:ascii="Helvetica"/>
          <w:b/>
          <w:color w:val="231F20"/>
          <w:sz w:val="16"/>
        </w:rPr>
        <w:t>CO</w:t>
      </w:r>
      <w:r>
        <w:rPr>
          <w:rFonts w:ascii="Helvetica"/>
          <w:b/>
          <w:color w:val="231F20"/>
          <w:position w:val="-4"/>
          <w:sz w:val="12"/>
        </w:rPr>
        <w:t>2</w:t>
      </w:r>
    </w:p>
    <w:p>
      <w:pPr>
        <w:tabs>
          <w:tab w:pos="1374" w:val="left" w:leader="none"/>
        </w:tabs>
        <w:spacing w:before="22"/>
        <w:ind w:left="173" w:right="0" w:firstLine="0"/>
        <w:jc w:val="center"/>
        <w:rPr>
          <w:rFonts w:ascii="Helvetica"/>
          <w:b/>
          <w:sz w:val="12"/>
        </w:rPr>
      </w:pPr>
      <w:r>
        <w:rPr/>
        <w:br w:type="column"/>
      </w:r>
      <w:r>
        <w:rPr>
          <w:rFonts w:ascii="Helvetica"/>
          <w:b/>
          <w:color w:val="231F20"/>
          <w:sz w:val="12"/>
        </w:rPr>
        <w:t>4</w:t>
        <w:tab/>
        <w:t>4</w:t>
      </w:r>
    </w:p>
    <w:p>
      <w:pPr>
        <w:tabs>
          <w:tab w:pos="1099" w:val="left" w:leader="none"/>
        </w:tabs>
        <w:spacing w:before="81"/>
        <w:ind w:left="25" w:right="0" w:firstLine="0"/>
        <w:jc w:val="center"/>
        <w:rPr>
          <w:rFonts w:ascii="Kristen ITC"/>
          <w:sz w:val="12"/>
        </w:rPr>
      </w:pPr>
      <w:r>
        <w:rPr/>
        <w:pict>
          <v:rect style="position:absolute;margin-left:576pt;margin-top:1.020093pt;width:36pt;height:24pt;mso-position-horizontal-relative:page;mso-position-vertical-relative:paragraph;z-index:252972032" filled="true" fillcolor="#e8dac8" stroked="false">
            <v:fill type="solid"/>
            <w10:wrap type="none"/>
          </v:rect>
        </w:pict>
      </w:r>
      <w:r>
        <w:rPr>
          <w:rFonts w:ascii="Helvetica"/>
          <w:color w:val="231F20"/>
          <w:sz w:val="16"/>
        </w:rPr>
        <w:t>Na</w:t>
      </w:r>
      <w:r>
        <w:rPr>
          <w:rFonts w:ascii="Kristen ITC"/>
          <w:color w:val="231F20"/>
          <w:position w:val="5"/>
          <w:sz w:val="12"/>
        </w:rPr>
        <w:t>+</w:t>
      </w:r>
      <w:r>
        <w:rPr>
          <w:rFonts w:ascii="Kristen ITC"/>
          <w:color w:val="231F20"/>
          <w:position w:val="5"/>
          <w:sz w:val="12"/>
          <w:u w:val="thick" w:color="231F20"/>
        </w:rPr>
        <w:t> </w:t>
        <w:tab/>
      </w:r>
      <w:r>
        <w:rPr>
          <w:rFonts w:ascii="Helvetica"/>
          <w:color w:val="231F20"/>
          <w:sz w:val="16"/>
        </w:rPr>
        <w:t>Na</w:t>
      </w:r>
      <w:r>
        <w:rPr>
          <w:rFonts w:ascii="Kristen ITC"/>
          <w:color w:val="231F20"/>
          <w:position w:val="5"/>
          <w:sz w:val="12"/>
        </w:rPr>
        <w:t>+</w:t>
      </w:r>
    </w:p>
    <w:p>
      <w:pPr>
        <w:spacing w:after="0"/>
        <w:jc w:val="center"/>
        <w:rPr>
          <w:rFonts w:ascii="Kristen ITC"/>
          <w:sz w:val="12"/>
        </w:rPr>
        <w:sectPr>
          <w:type w:val="continuous"/>
          <w:pgSz w:w="12240" w:h="15660"/>
          <w:pgMar w:top="0" w:bottom="760" w:left="0" w:right="0"/>
          <w:cols w:num="2" w:equalWidth="0">
            <w:col w:w="3748" w:space="3889"/>
            <w:col w:w="4603"/>
          </w:cols>
        </w:sectPr>
      </w:pPr>
    </w:p>
    <w:p>
      <w:pPr>
        <w:pStyle w:val="BodyText"/>
        <w:spacing w:before="2"/>
        <w:rPr>
          <w:rFonts w:ascii="Kristen ITC"/>
          <w:sz w:val="14"/>
        </w:rPr>
      </w:pPr>
    </w:p>
    <w:p>
      <w:pPr>
        <w:spacing w:after="0"/>
        <w:rPr>
          <w:rFonts w:ascii="Kristen ITC"/>
          <w:sz w:val="14"/>
        </w:rPr>
        <w:sectPr>
          <w:type w:val="continuous"/>
          <w:pgSz w:w="12240" w:h="15660"/>
          <w:pgMar w:top="0" w:bottom="760" w:left="0" w:right="0"/>
        </w:sectPr>
      </w:pPr>
    </w:p>
    <w:p>
      <w:pPr>
        <w:spacing w:line="190" w:lineRule="atLeast" w:before="110"/>
        <w:ind w:left="1438" w:right="-12" w:firstLine="0"/>
        <w:jc w:val="left"/>
        <w:rPr>
          <w:rFonts w:ascii="Arial" w:hAnsi="Arial"/>
          <w:sz w:val="16"/>
        </w:rPr>
      </w:pPr>
      <w:r>
        <w:rPr/>
        <w:pict>
          <v:shape style="position:absolute;margin-left:539.614014pt;margin-top:9.873609pt;width:2.7pt;height:5.45pt;mso-position-horizontal-relative:page;mso-position-vertical-relative:paragraph;z-index:-272418816" type="#_x0000_t202" filled="false" stroked="false">
            <v:textbox inset="0,0,0,0">
              <w:txbxContent>
                <w:p>
                  <w:pPr>
                    <w:spacing w:before="3"/>
                    <w:ind w:left="0" w:right="0" w:firstLine="0"/>
                    <w:jc w:val="left"/>
                    <w:rPr>
                      <w:rFonts w:ascii="Arial"/>
                      <w:sz w:val="9"/>
                    </w:rPr>
                  </w:pPr>
                  <w:r>
                    <w:rPr>
                      <w:rFonts w:ascii="Arial"/>
                      <w:color w:val="231F20"/>
                      <w:w w:val="106"/>
                      <w:sz w:val="9"/>
                    </w:rPr>
                    <w:t>4</w:t>
                  </w:r>
                </w:p>
              </w:txbxContent>
            </v:textbox>
            <w10:wrap type="none"/>
          </v:shape>
        </w:pict>
      </w:r>
      <w:bookmarkStart w:name="_bookmark108" w:id="109"/>
      <w:bookmarkEnd w:id="109"/>
      <w:r>
        <w:rPr/>
      </w:r>
      <w:r>
        <w:rPr>
          <w:rFonts w:ascii="Trebuchet MS" w:hAnsi="Trebuchet MS"/>
          <w:b/>
          <w:color w:val="231F20"/>
          <w:sz w:val="16"/>
        </w:rPr>
        <w:t>Figure</w:t>
      </w:r>
      <w:r>
        <w:rPr>
          <w:rFonts w:ascii="Trebuchet MS" w:hAnsi="Trebuchet MS"/>
          <w:b/>
          <w:color w:val="231F20"/>
          <w:spacing w:val="-37"/>
          <w:sz w:val="16"/>
        </w:rPr>
        <w:t> </w:t>
      </w:r>
      <w:r>
        <w:rPr>
          <w:rFonts w:ascii="Trebuchet MS" w:hAnsi="Trebuchet MS"/>
          <w:b/>
          <w:color w:val="231F20"/>
          <w:sz w:val="16"/>
        </w:rPr>
        <w:t>31-7.</w:t>
      </w:r>
      <w:r>
        <w:rPr>
          <w:rFonts w:ascii="Trebuchet MS" w:hAnsi="Trebuchet MS"/>
          <w:b/>
          <w:color w:val="231F20"/>
          <w:spacing w:val="-17"/>
          <w:sz w:val="16"/>
        </w:rPr>
        <w:t> </w:t>
      </w:r>
      <w:r>
        <w:rPr>
          <w:rFonts w:ascii="Arial" w:hAnsi="Arial"/>
          <w:color w:val="231F20"/>
          <w:sz w:val="16"/>
        </w:rPr>
        <w:t>Buffering</w:t>
      </w:r>
      <w:r>
        <w:rPr>
          <w:rFonts w:ascii="Arial" w:hAnsi="Arial"/>
          <w:color w:val="231F20"/>
          <w:spacing w:val="-33"/>
          <w:sz w:val="16"/>
        </w:rPr>
        <w:t> </w:t>
      </w:r>
      <w:r>
        <w:rPr>
          <w:rFonts w:ascii="Arial" w:hAnsi="Arial"/>
          <w:color w:val="231F20"/>
          <w:sz w:val="16"/>
        </w:rPr>
        <w:t>of</w:t>
      </w:r>
      <w:r>
        <w:rPr>
          <w:rFonts w:ascii="Arial" w:hAnsi="Arial"/>
          <w:color w:val="231F20"/>
          <w:spacing w:val="-33"/>
          <w:sz w:val="16"/>
        </w:rPr>
        <w:t> </w:t>
      </w:r>
      <w:r>
        <w:rPr>
          <w:rFonts w:ascii="Arial" w:hAnsi="Arial"/>
          <w:color w:val="231F20"/>
          <w:sz w:val="16"/>
        </w:rPr>
        <w:t>secreted</w:t>
      </w:r>
      <w:r>
        <w:rPr>
          <w:rFonts w:ascii="Arial" w:hAnsi="Arial"/>
          <w:color w:val="231F20"/>
          <w:spacing w:val="-33"/>
          <w:sz w:val="16"/>
        </w:rPr>
        <w:t> </w:t>
      </w:r>
      <w:r>
        <w:rPr>
          <w:rFonts w:ascii="Arial" w:hAnsi="Arial"/>
          <w:color w:val="231F20"/>
          <w:sz w:val="16"/>
        </w:rPr>
        <w:t>H</w:t>
      </w:r>
      <w:r>
        <w:rPr>
          <w:rFonts w:ascii="Consolas" w:hAnsi="Consolas"/>
          <w:color w:val="231F20"/>
          <w:position w:val="6"/>
          <w:sz w:val="9"/>
        </w:rPr>
        <w:t>+</w:t>
      </w:r>
      <w:r>
        <w:rPr>
          <w:rFonts w:ascii="Consolas" w:hAnsi="Consolas"/>
          <w:color w:val="231F20"/>
          <w:spacing w:val="-38"/>
          <w:position w:val="6"/>
          <w:sz w:val="9"/>
        </w:rPr>
        <w:t> </w:t>
      </w:r>
      <w:r>
        <w:rPr>
          <w:rFonts w:ascii="Arial" w:hAnsi="Arial"/>
          <w:color w:val="231F20"/>
          <w:sz w:val="16"/>
        </w:rPr>
        <w:t>by</w:t>
      </w:r>
      <w:r>
        <w:rPr>
          <w:rFonts w:ascii="Arial" w:hAnsi="Arial"/>
          <w:color w:val="231F20"/>
          <w:spacing w:val="-33"/>
          <w:sz w:val="16"/>
        </w:rPr>
        <w:t> </w:t>
      </w:r>
      <w:r>
        <w:rPr>
          <w:rFonts w:ascii="Arial" w:hAnsi="Arial"/>
          <w:color w:val="231F20"/>
          <w:sz w:val="16"/>
        </w:rPr>
        <w:t>filtered</w:t>
      </w:r>
      <w:r>
        <w:rPr>
          <w:rFonts w:ascii="Arial" w:hAnsi="Arial"/>
          <w:color w:val="231F20"/>
          <w:spacing w:val="-33"/>
          <w:sz w:val="16"/>
        </w:rPr>
        <w:t> </w:t>
      </w:r>
      <w:r>
        <w:rPr>
          <w:rFonts w:ascii="Arial" w:hAnsi="Arial"/>
          <w:color w:val="231F20"/>
          <w:sz w:val="16"/>
        </w:rPr>
        <w:t>phosphate</w:t>
      </w:r>
      <w:r>
        <w:rPr>
          <w:rFonts w:ascii="Arial" w:hAnsi="Arial"/>
          <w:color w:val="231F20"/>
          <w:spacing w:val="-33"/>
          <w:sz w:val="16"/>
        </w:rPr>
        <w:t> </w:t>
      </w:r>
      <w:r>
        <w:rPr>
          <w:rFonts w:ascii="Arial" w:hAnsi="Arial"/>
          <w:color w:val="231F20"/>
          <w:spacing w:val="-3"/>
          <w:sz w:val="16"/>
        </w:rPr>
        <w:t>(NaHPO</w:t>
      </w:r>
      <w:r>
        <w:rPr>
          <w:rFonts w:ascii="Arial" w:hAnsi="Arial"/>
          <w:color w:val="231F20"/>
          <w:spacing w:val="-3"/>
          <w:position w:val="-1"/>
          <w:sz w:val="9"/>
        </w:rPr>
        <w:t>4</w:t>
      </w:r>
      <w:r>
        <w:rPr>
          <w:rFonts w:ascii="Arial" w:hAnsi="Arial"/>
          <w:color w:val="231F20"/>
          <w:spacing w:val="-3"/>
          <w:sz w:val="16"/>
        </w:rPr>
        <w:t>). </w:t>
      </w:r>
      <w:r>
        <w:rPr>
          <w:rFonts w:ascii="Arial" w:hAnsi="Arial"/>
          <w:color w:val="231F20"/>
          <w:sz w:val="16"/>
        </w:rPr>
        <w:t>Note</w:t>
      </w:r>
      <w:r>
        <w:rPr>
          <w:rFonts w:ascii="Arial" w:hAnsi="Arial"/>
          <w:color w:val="231F20"/>
          <w:spacing w:val="9"/>
          <w:sz w:val="16"/>
        </w:rPr>
        <w:t> </w:t>
      </w:r>
      <w:r>
        <w:rPr>
          <w:rFonts w:ascii="Arial" w:hAnsi="Arial"/>
          <w:color w:val="231F20"/>
          <w:sz w:val="16"/>
        </w:rPr>
        <w:t>that</w:t>
      </w:r>
      <w:r>
        <w:rPr>
          <w:rFonts w:ascii="Arial" w:hAnsi="Arial"/>
          <w:color w:val="231F20"/>
          <w:spacing w:val="9"/>
          <w:sz w:val="16"/>
        </w:rPr>
        <w:t> </w:t>
      </w:r>
      <w:r>
        <w:rPr>
          <w:rFonts w:ascii="Arial" w:hAnsi="Arial"/>
          <w:color w:val="231F20"/>
          <w:sz w:val="16"/>
        </w:rPr>
        <w:t>a</w:t>
      </w:r>
      <w:r>
        <w:rPr>
          <w:rFonts w:ascii="Arial" w:hAnsi="Arial"/>
          <w:color w:val="231F20"/>
          <w:spacing w:val="10"/>
          <w:sz w:val="16"/>
        </w:rPr>
        <w:t> </w:t>
      </w:r>
      <w:r>
        <w:rPr>
          <w:rFonts w:ascii="Arial" w:hAnsi="Arial"/>
          <w:color w:val="231F20"/>
          <w:sz w:val="16"/>
        </w:rPr>
        <w:t>new</w:t>
      </w:r>
      <w:r>
        <w:rPr>
          <w:rFonts w:ascii="Arial" w:hAnsi="Arial"/>
          <w:color w:val="231F20"/>
          <w:spacing w:val="9"/>
          <w:sz w:val="16"/>
        </w:rPr>
        <w:t> </w:t>
      </w:r>
      <w:r>
        <w:rPr>
          <w:rFonts w:ascii="Arial" w:hAnsi="Arial"/>
          <w:color w:val="231F20"/>
          <w:sz w:val="16"/>
        </w:rPr>
        <w:t>HCO</w:t>
      </w:r>
      <w:r>
        <w:rPr>
          <w:rFonts w:ascii="Arial" w:hAnsi="Arial"/>
          <w:color w:val="231F20"/>
          <w:spacing w:val="1"/>
          <w:sz w:val="16"/>
        </w:rPr>
        <w:t> </w:t>
      </w:r>
      <w:r>
        <w:rPr>
          <w:rFonts w:ascii="Consolas" w:hAnsi="Consolas"/>
          <w:color w:val="231F20"/>
          <w:position w:val="6"/>
          <w:sz w:val="9"/>
        </w:rPr>
        <w:t>−</w:t>
      </w:r>
      <w:r>
        <w:rPr>
          <w:rFonts w:ascii="Consolas" w:hAnsi="Consolas"/>
          <w:color w:val="231F20"/>
          <w:spacing w:val="4"/>
          <w:position w:val="6"/>
          <w:sz w:val="9"/>
        </w:rPr>
        <w:t> </w:t>
      </w:r>
      <w:r>
        <w:rPr>
          <w:rFonts w:ascii="Arial" w:hAnsi="Arial"/>
          <w:color w:val="231F20"/>
          <w:sz w:val="16"/>
        </w:rPr>
        <w:t>is</w:t>
      </w:r>
      <w:r>
        <w:rPr>
          <w:rFonts w:ascii="Arial" w:hAnsi="Arial"/>
          <w:color w:val="231F20"/>
          <w:spacing w:val="10"/>
          <w:sz w:val="16"/>
        </w:rPr>
        <w:t> </w:t>
      </w:r>
      <w:r>
        <w:rPr>
          <w:rFonts w:ascii="Arial" w:hAnsi="Arial"/>
          <w:color w:val="231F20"/>
          <w:sz w:val="16"/>
        </w:rPr>
        <w:t>returned</w:t>
      </w:r>
      <w:r>
        <w:rPr>
          <w:rFonts w:ascii="Arial" w:hAnsi="Arial"/>
          <w:color w:val="231F20"/>
          <w:spacing w:val="9"/>
          <w:sz w:val="16"/>
        </w:rPr>
        <w:t> </w:t>
      </w:r>
      <w:r>
        <w:rPr>
          <w:rFonts w:ascii="Arial" w:hAnsi="Arial"/>
          <w:color w:val="231F20"/>
          <w:sz w:val="16"/>
        </w:rPr>
        <w:t>to</w:t>
      </w:r>
      <w:r>
        <w:rPr>
          <w:rFonts w:ascii="Arial" w:hAnsi="Arial"/>
          <w:color w:val="231F20"/>
          <w:spacing w:val="10"/>
          <w:sz w:val="16"/>
        </w:rPr>
        <w:t> </w:t>
      </w:r>
      <w:r>
        <w:rPr>
          <w:rFonts w:ascii="Arial" w:hAnsi="Arial"/>
          <w:color w:val="231F20"/>
          <w:sz w:val="16"/>
        </w:rPr>
        <w:t>the</w:t>
      </w:r>
      <w:r>
        <w:rPr>
          <w:rFonts w:ascii="Arial" w:hAnsi="Arial"/>
          <w:color w:val="231F20"/>
          <w:spacing w:val="9"/>
          <w:sz w:val="16"/>
        </w:rPr>
        <w:t> </w:t>
      </w:r>
      <w:r>
        <w:rPr>
          <w:rFonts w:ascii="Arial" w:hAnsi="Arial"/>
          <w:color w:val="231F20"/>
          <w:sz w:val="16"/>
        </w:rPr>
        <w:t>blood</w:t>
      </w:r>
      <w:r>
        <w:rPr>
          <w:rFonts w:ascii="Arial" w:hAnsi="Arial"/>
          <w:color w:val="231F20"/>
          <w:spacing w:val="9"/>
          <w:sz w:val="16"/>
        </w:rPr>
        <w:t> </w:t>
      </w:r>
      <w:r>
        <w:rPr>
          <w:rFonts w:ascii="Arial" w:hAnsi="Arial"/>
          <w:color w:val="231F20"/>
          <w:sz w:val="16"/>
        </w:rPr>
        <w:t>for</w:t>
      </w:r>
      <w:r>
        <w:rPr>
          <w:rFonts w:ascii="Arial" w:hAnsi="Arial"/>
          <w:color w:val="231F20"/>
          <w:spacing w:val="10"/>
          <w:sz w:val="16"/>
        </w:rPr>
        <w:t> </w:t>
      </w:r>
      <w:r>
        <w:rPr>
          <w:rFonts w:ascii="Arial" w:hAnsi="Arial"/>
          <w:color w:val="231F20"/>
          <w:sz w:val="16"/>
        </w:rPr>
        <w:t>each</w:t>
      </w:r>
      <w:r>
        <w:rPr>
          <w:rFonts w:ascii="Arial" w:hAnsi="Arial"/>
          <w:color w:val="231F20"/>
          <w:spacing w:val="9"/>
          <w:sz w:val="16"/>
        </w:rPr>
        <w:t> </w:t>
      </w:r>
      <w:r>
        <w:rPr>
          <w:rFonts w:ascii="Arial" w:hAnsi="Arial"/>
          <w:color w:val="231F20"/>
          <w:sz w:val="16"/>
        </w:rPr>
        <w:t>NaHPO</w:t>
      </w:r>
    </w:p>
    <w:p>
      <w:pPr>
        <w:spacing w:line="200" w:lineRule="atLeast" w:before="96"/>
        <w:ind w:left="321" w:right="1000" w:firstLine="0"/>
        <w:jc w:val="left"/>
        <w:rPr>
          <w:rFonts w:ascii="Arial"/>
          <w:sz w:val="16"/>
        </w:rPr>
      </w:pPr>
      <w:r>
        <w:rPr/>
        <w:br w:type="column"/>
      </w:r>
      <w:bookmarkStart w:name="_bookmark109" w:id="110"/>
      <w:bookmarkEnd w:id="110"/>
      <w:r>
        <w:rPr/>
      </w:r>
      <w:r>
        <w:rPr>
          <w:rFonts w:ascii="Trebuchet MS"/>
          <w:b/>
          <w:color w:val="231F20"/>
          <w:sz w:val="16"/>
        </w:rPr>
        <w:t>Figure 31-8. </w:t>
      </w:r>
      <w:r>
        <w:rPr>
          <w:rFonts w:ascii="Arial"/>
          <w:color w:val="231F20"/>
          <w:sz w:val="16"/>
        </w:rPr>
        <w:t>Production and secretion of ammonium ion (NH </w:t>
      </w:r>
      <w:r>
        <w:rPr>
          <w:rFonts w:ascii="Consolas"/>
          <w:color w:val="231F20"/>
          <w:position w:val="6"/>
          <w:sz w:val="9"/>
        </w:rPr>
        <w:t>+</w:t>
      </w:r>
      <w:r>
        <w:rPr>
          <w:rFonts w:ascii="Arial"/>
          <w:color w:val="231F20"/>
          <w:sz w:val="16"/>
        </w:rPr>
        <w:t>) by proximal tubular cells. Glutamine is metabolized in the cell, yielding</w:t>
      </w:r>
    </w:p>
    <w:p>
      <w:pPr>
        <w:spacing w:after="0" w:line="200" w:lineRule="atLeast"/>
        <w:jc w:val="left"/>
        <w:rPr>
          <w:rFonts w:ascii="Arial"/>
          <w:sz w:val="16"/>
        </w:rPr>
        <w:sectPr>
          <w:type w:val="continuous"/>
          <w:pgSz w:w="12240" w:h="15660"/>
          <w:pgMar w:top="0" w:bottom="760" w:left="0" w:right="0"/>
          <w:cols w:num="2" w:equalWidth="0">
            <w:col w:w="6119" w:space="40"/>
            <w:col w:w="6081"/>
          </w:cols>
        </w:sectPr>
      </w:pPr>
    </w:p>
    <w:p>
      <w:pPr>
        <w:spacing w:line="8" w:lineRule="exact" w:before="0"/>
        <w:ind w:left="0" w:right="512" w:firstLine="0"/>
        <w:jc w:val="right"/>
        <w:rPr>
          <w:rFonts w:ascii="Arial"/>
          <w:sz w:val="9"/>
        </w:rPr>
      </w:pPr>
      <w:r>
        <w:rPr>
          <w:rFonts w:ascii="Arial"/>
          <w:color w:val="231F20"/>
          <w:w w:val="106"/>
          <w:sz w:val="9"/>
        </w:rPr>
        <w:t>3</w:t>
      </w:r>
    </w:p>
    <w:p>
      <w:pPr>
        <w:spacing w:line="87" w:lineRule="exact" w:before="7"/>
        <w:ind w:left="1438" w:right="0" w:firstLine="0"/>
        <w:jc w:val="left"/>
        <w:rPr>
          <w:rFonts w:ascii="Arial"/>
          <w:sz w:val="16"/>
        </w:rPr>
      </w:pPr>
      <w:r>
        <w:rPr>
          <w:rFonts w:ascii="Arial"/>
          <w:color w:val="231F20"/>
          <w:sz w:val="16"/>
        </w:rPr>
        <w:t>that reacts with a secreted H</w:t>
      </w:r>
      <w:r>
        <w:rPr>
          <w:rFonts w:ascii="Consolas"/>
          <w:color w:val="231F20"/>
          <w:position w:val="6"/>
          <w:sz w:val="9"/>
        </w:rPr>
        <w:t>+</w:t>
      </w:r>
      <w:r>
        <w:rPr>
          <w:rFonts w:ascii="Arial"/>
          <w:color w:val="231F20"/>
          <w:sz w:val="16"/>
        </w:rPr>
        <w:t>.</w:t>
      </w:r>
    </w:p>
    <w:p>
      <w:pPr>
        <w:spacing w:line="8" w:lineRule="exact" w:before="0"/>
        <w:ind w:left="1438" w:right="0" w:firstLine="0"/>
        <w:jc w:val="left"/>
        <w:rPr>
          <w:rFonts w:ascii="Arial"/>
          <w:sz w:val="9"/>
        </w:rPr>
      </w:pPr>
      <w:r>
        <w:rPr/>
        <w:br w:type="column"/>
      </w:r>
      <w:r>
        <w:rPr>
          <w:rFonts w:ascii="Arial"/>
          <w:color w:val="231F20"/>
          <w:w w:val="105"/>
          <w:sz w:val="9"/>
        </w:rPr>
        <w:t>4</w:t>
      </w:r>
    </w:p>
    <w:p>
      <w:pPr>
        <w:spacing w:line="87" w:lineRule="exact" w:before="7"/>
        <w:ind w:left="1853" w:right="0" w:firstLine="0"/>
        <w:jc w:val="left"/>
        <w:rPr>
          <w:rFonts w:ascii="Arial"/>
          <w:sz w:val="16"/>
        </w:rPr>
      </w:pPr>
      <w:r>
        <w:rPr>
          <w:rFonts w:ascii="Arial"/>
          <w:color w:val="231F20"/>
          <w:sz w:val="16"/>
        </w:rPr>
        <w:t>NH </w:t>
      </w:r>
      <w:r>
        <w:rPr>
          <w:rFonts w:ascii="Consolas"/>
          <w:color w:val="231F20"/>
          <w:position w:val="6"/>
          <w:sz w:val="9"/>
        </w:rPr>
        <w:t>+ </w:t>
      </w:r>
      <w:r>
        <w:rPr>
          <w:rFonts w:ascii="Arial"/>
          <w:color w:val="231F20"/>
          <w:sz w:val="16"/>
        </w:rPr>
        <w:t>and bicarbonate. The NH </w:t>
      </w:r>
      <w:r>
        <w:rPr>
          <w:rFonts w:ascii="Consolas"/>
          <w:color w:val="231F20"/>
          <w:position w:val="6"/>
          <w:sz w:val="9"/>
        </w:rPr>
        <w:t>+ </w:t>
      </w:r>
      <w:r>
        <w:rPr>
          <w:rFonts w:ascii="Arial"/>
          <w:color w:val="231F20"/>
          <w:sz w:val="16"/>
        </w:rPr>
        <w:t>is secreted into the lumen by a</w:t>
      </w:r>
    </w:p>
    <w:p>
      <w:pPr>
        <w:spacing w:after="0" w:line="87" w:lineRule="exact"/>
        <w:jc w:val="left"/>
        <w:rPr>
          <w:rFonts w:ascii="Arial"/>
          <w:sz w:val="16"/>
        </w:rPr>
        <w:sectPr>
          <w:type w:val="continuous"/>
          <w:pgSz w:w="12240" w:h="15660"/>
          <w:pgMar w:top="0" w:bottom="760" w:left="0" w:right="0"/>
          <w:cols w:num="2" w:equalWidth="0">
            <w:col w:w="3570" w:space="1056"/>
            <w:col w:w="7614"/>
          </w:cols>
        </w:sectPr>
      </w:pPr>
    </w:p>
    <w:p>
      <w:pPr>
        <w:tabs>
          <w:tab w:pos="8686" w:val="left" w:leader="none"/>
        </w:tabs>
        <w:spacing w:line="99" w:lineRule="exact" w:before="3"/>
        <w:ind w:left="6693" w:right="0" w:firstLine="0"/>
        <w:jc w:val="left"/>
        <w:rPr>
          <w:rFonts w:ascii="Arial"/>
          <w:sz w:val="9"/>
        </w:rPr>
      </w:pPr>
      <w:r>
        <w:rPr>
          <w:rFonts w:ascii="Arial"/>
          <w:color w:val="231F20"/>
          <w:w w:val="105"/>
          <w:sz w:val="9"/>
        </w:rPr>
        <w:t>4</w:t>
        <w:tab/>
        <w:t>4</w:t>
      </w:r>
    </w:p>
    <w:p>
      <w:pPr>
        <w:spacing w:line="200" w:lineRule="exact" w:before="1"/>
        <w:ind w:left="6480" w:right="1068" w:firstLine="0"/>
        <w:jc w:val="left"/>
        <w:rPr>
          <w:rFonts w:ascii="Arial" w:hAnsi="Arial"/>
          <w:sz w:val="16"/>
        </w:rPr>
      </w:pPr>
      <w:r>
        <w:rPr/>
        <w:pict>
          <v:shape style="position:absolute;margin-left:362.231598pt;margin-top:4.877222pt;width:2.7pt;height:5.45pt;mso-position-horizontal-relative:page;mso-position-vertical-relative:paragraph;z-index:-272417792" type="#_x0000_t202" filled="false" stroked="false">
            <v:textbox inset="0,0,0,0">
              <w:txbxContent>
                <w:p>
                  <w:pPr>
                    <w:spacing w:before="3"/>
                    <w:ind w:left="0" w:right="0" w:firstLine="0"/>
                    <w:jc w:val="left"/>
                    <w:rPr>
                      <w:rFonts w:ascii="Arial"/>
                      <w:sz w:val="9"/>
                    </w:rPr>
                  </w:pPr>
                  <w:r>
                    <w:rPr>
                      <w:rFonts w:ascii="Arial"/>
                      <w:color w:val="231F20"/>
                      <w:w w:val="106"/>
                      <w:sz w:val="9"/>
                    </w:rPr>
                    <w:t>4</w:t>
                  </w:r>
                </w:p>
              </w:txbxContent>
            </v:textbox>
            <w10:wrap type="none"/>
          </v:shape>
        </w:pict>
      </w:r>
      <w:r>
        <w:rPr>
          <w:rFonts w:ascii="Arial" w:hAnsi="Arial"/>
          <w:color w:val="231F20"/>
          <w:sz w:val="16"/>
        </w:rPr>
        <w:t>sodium­NH</w:t>
      </w:r>
      <w:r>
        <w:rPr>
          <w:rFonts w:ascii="Arial" w:hAnsi="Arial"/>
          <w:color w:val="231F20"/>
          <w:spacing w:val="-16"/>
          <w:sz w:val="16"/>
        </w:rPr>
        <w:t> </w:t>
      </w:r>
      <w:r>
        <w:rPr>
          <w:rFonts w:ascii="Consolas" w:hAnsi="Consolas"/>
          <w:color w:val="231F20"/>
          <w:position w:val="6"/>
          <w:sz w:val="9"/>
        </w:rPr>
        <w:t>+</w:t>
      </w:r>
      <w:r>
        <w:rPr>
          <w:rFonts w:ascii="Consolas" w:hAnsi="Consolas"/>
          <w:color w:val="231F20"/>
          <w:spacing w:val="-17"/>
          <w:position w:val="6"/>
          <w:sz w:val="9"/>
        </w:rPr>
        <w:t> </w:t>
      </w:r>
      <w:r>
        <w:rPr>
          <w:rFonts w:ascii="Arial" w:hAnsi="Arial"/>
          <w:color w:val="231F20"/>
          <w:sz w:val="16"/>
        </w:rPr>
        <w:t>exchanger.</w:t>
      </w:r>
      <w:r>
        <w:rPr>
          <w:rFonts w:ascii="Arial" w:hAnsi="Arial"/>
          <w:color w:val="231F20"/>
          <w:spacing w:val="-11"/>
          <w:sz w:val="16"/>
        </w:rPr>
        <w:t> </w:t>
      </w:r>
      <w:r>
        <w:rPr>
          <w:rFonts w:ascii="Arial" w:hAnsi="Arial"/>
          <w:color w:val="231F20"/>
          <w:sz w:val="16"/>
        </w:rPr>
        <w:t>For</w:t>
      </w:r>
      <w:r>
        <w:rPr>
          <w:rFonts w:ascii="Arial" w:hAnsi="Arial"/>
          <w:color w:val="231F20"/>
          <w:spacing w:val="-12"/>
          <w:sz w:val="16"/>
        </w:rPr>
        <w:t> </w:t>
      </w:r>
      <w:r>
        <w:rPr>
          <w:rFonts w:ascii="Arial" w:hAnsi="Arial"/>
          <w:color w:val="231F20"/>
          <w:sz w:val="16"/>
        </w:rPr>
        <w:t>each</w:t>
      </w:r>
      <w:r>
        <w:rPr>
          <w:rFonts w:ascii="Arial" w:hAnsi="Arial"/>
          <w:color w:val="231F20"/>
          <w:spacing w:val="-11"/>
          <w:sz w:val="16"/>
        </w:rPr>
        <w:t> </w:t>
      </w:r>
      <w:r>
        <w:rPr>
          <w:rFonts w:ascii="Arial" w:hAnsi="Arial"/>
          <w:color w:val="231F20"/>
          <w:sz w:val="16"/>
        </w:rPr>
        <w:t>glutamine</w:t>
      </w:r>
      <w:r>
        <w:rPr>
          <w:rFonts w:ascii="Arial" w:hAnsi="Arial"/>
          <w:color w:val="231F20"/>
          <w:spacing w:val="-12"/>
          <w:sz w:val="16"/>
        </w:rPr>
        <w:t> </w:t>
      </w:r>
      <w:r>
        <w:rPr>
          <w:rFonts w:ascii="Arial" w:hAnsi="Arial"/>
          <w:color w:val="231F20"/>
          <w:sz w:val="16"/>
        </w:rPr>
        <w:t>molecule</w:t>
      </w:r>
      <w:r>
        <w:rPr>
          <w:rFonts w:ascii="Arial" w:hAnsi="Arial"/>
          <w:color w:val="231F20"/>
          <w:spacing w:val="-11"/>
          <w:sz w:val="16"/>
        </w:rPr>
        <w:t> </w:t>
      </w:r>
      <w:r>
        <w:rPr>
          <w:rFonts w:ascii="Arial" w:hAnsi="Arial"/>
          <w:color w:val="231F20"/>
          <w:spacing w:val="-2"/>
          <w:sz w:val="16"/>
        </w:rPr>
        <w:t>metabolized, </w:t>
      </w:r>
      <w:r>
        <w:rPr>
          <w:rFonts w:ascii="Arial" w:hAnsi="Arial"/>
          <w:color w:val="231F20"/>
          <w:sz w:val="16"/>
        </w:rPr>
        <w:t>two</w:t>
      </w:r>
      <w:r>
        <w:rPr>
          <w:rFonts w:ascii="Arial" w:hAnsi="Arial"/>
          <w:color w:val="231F20"/>
          <w:spacing w:val="-8"/>
          <w:sz w:val="16"/>
        </w:rPr>
        <w:t> </w:t>
      </w:r>
      <w:r>
        <w:rPr>
          <w:rFonts w:ascii="Arial" w:hAnsi="Arial"/>
          <w:color w:val="231F20"/>
          <w:sz w:val="16"/>
        </w:rPr>
        <w:t>NH</w:t>
      </w:r>
      <w:r>
        <w:rPr>
          <w:rFonts w:ascii="Arial" w:hAnsi="Arial"/>
          <w:color w:val="231F20"/>
          <w:spacing w:val="-3"/>
          <w:sz w:val="16"/>
        </w:rPr>
        <w:t> </w:t>
      </w:r>
      <w:r>
        <w:rPr>
          <w:rFonts w:ascii="Consolas" w:hAnsi="Consolas"/>
          <w:color w:val="231F20"/>
          <w:position w:val="6"/>
          <w:sz w:val="9"/>
        </w:rPr>
        <w:t>+</w:t>
      </w:r>
      <w:r>
        <w:rPr>
          <w:rFonts w:ascii="Consolas" w:hAnsi="Consolas"/>
          <w:color w:val="231F20"/>
          <w:spacing w:val="-13"/>
          <w:position w:val="6"/>
          <w:sz w:val="9"/>
        </w:rPr>
        <w:t> </w:t>
      </w:r>
      <w:r>
        <w:rPr>
          <w:rFonts w:ascii="Arial" w:hAnsi="Arial"/>
          <w:color w:val="231F20"/>
          <w:sz w:val="16"/>
        </w:rPr>
        <w:t>are</w:t>
      </w:r>
      <w:r>
        <w:rPr>
          <w:rFonts w:ascii="Arial" w:hAnsi="Arial"/>
          <w:color w:val="231F20"/>
          <w:spacing w:val="-7"/>
          <w:sz w:val="16"/>
        </w:rPr>
        <w:t> </w:t>
      </w:r>
      <w:r>
        <w:rPr>
          <w:rFonts w:ascii="Arial" w:hAnsi="Arial"/>
          <w:color w:val="231F20"/>
          <w:sz w:val="16"/>
        </w:rPr>
        <w:t>produced</w:t>
      </w:r>
      <w:r>
        <w:rPr>
          <w:rFonts w:ascii="Arial" w:hAnsi="Arial"/>
          <w:color w:val="231F20"/>
          <w:spacing w:val="-8"/>
          <w:sz w:val="16"/>
        </w:rPr>
        <w:t> </w:t>
      </w:r>
      <w:r>
        <w:rPr>
          <w:rFonts w:ascii="Arial" w:hAnsi="Arial"/>
          <w:color w:val="231F20"/>
          <w:sz w:val="16"/>
        </w:rPr>
        <w:t>and</w:t>
      </w:r>
      <w:r>
        <w:rPr>
          <w:rFonts w:ascii="Arial" w:hAnsi="Arial"/>
          <w:color w:val="231F20"/>
          <w:spacing w:val="-8"/>
          <w:sz w:val="16"/>
        </w:rPr>
        <w:t> </w:t>
      </w:r>
      <w:r>
        <w:rPr>
          <w:rFonts w:ascii="Arial" w:hAnsi="Arial"/>
          <w:color w:val="231F20"/>
          <w:sz w:val="16"/>
        </w:rPr>
        <w:t>secreted</w:t>
      </w:r>
      <w:r>
        <w:rPr>
          <w:rFonts w:ascii="Arial" w:hAnsi="Arial"/>
          <w:color w:val="231F20"/>
          <w:spacing w:val="-7"/>
          <w:sz w:val="16"/>
        </w:rPr>
        <w:t> </w:t>
      </w:r>
      <w:r>
        <w:rPr>
          <w:rFonts w:ascii="Arial" w:hAnsi="Arial"/>
          <w:color w:val="231F20"/>
          <w:sz w:val="16"/>
        </w:rPr>
        <w:t>and</w:t>
      </w:r>
      <w:r>
        <w:rPr>
          <w:rFonts w:ascii="Arial" w:hAnsi="Arial"/>
          <w:color w:val="231F20"/>
          <w:spacing w:val="-8"/>
          <w:sz w:val="16"/>
        </w:rPr>
        <w:t> </w:t>
      </w:r>
      <w:r>
        <w:rPr>
          <w:rFonts w:ascii="Arial" w:hAnsi="Arial"/>
          <w:color w:val="231F20"/>
          <w:sz w:val="16"/>
        </w:rPr>
        <w:t>two</w:t>
      </w:r>
      <w:r>
        <w:rPr>
          <w:rFonts w:ascii="Arial" w:hAnsi="Arial"/>
          <w:color w:val="231F20"/>
          <w:spacing w:val="-7"/>
          <w:sz w:val="16"/>
        </w:rPr>
        <w:t> </w:t>
      </w:r>
      <w:r>
        <w:rPr>
          <w:rFonts w:ascii="Arial" w:hAnsi="Arial"/>
          <w:color w:val="231F20"/>
          <w:sz w:val="16"/>
        </w:rPr>
        <w:t>HCO</w:t>
      </w:r>
      <w:r>
        <w:rPr>
          <w:rFonts w:ascii="Arial" w:hAnsi="Arial"/>
          <w:color w:val="231F20"/>
          <w:spacing w:val="-3"/>
          <w:sz w:val="16"/>
        </w:rPr>
        <w:t> </w:t>
      </w:r>
      <w:r>
        <w:rPr>
          <w:rFonts w:ascii="Consolas" w:hAnsi="Consolas"/>
          <w:color w:val="231F20"/>
          <w:position w:val="6"/>
          <w:sz w:val="9"/>
        </w:rPr>
        <w:t>−</w:t>
      </w:r>
      <w:r>
        <w:rPr>
          <w:rFonts w:ascii="Consolas" w:hAnsi="Consolas"/>
          <w:color w:val="231F20"/>
          <w:spacing w:val="-12"/>
          <w:position w:val="6"/>
          <w:sz w:val="9"/>
        </w:rPr>
        <w:t> </w:t>
      </w:r>
      <w:r>
        <w:rPr>
          <w:rFonts w:ascii="Arial" w:hAnsi="Arial"/>
          <w:color w:val="231F20"/>
          <w:sz w:val="16"/>
        </w:rPr>
        <w:t>are</w:t>
      </w:r>
      <w:r>
        <w:rPr>
          <w:rFonts w:ascii="Arial" w:hAnsi="Arial"/>
          <w:color w:val="231F20"/>
          <w:spacing w:val="-8"/>
          <w:sz w:val="16"/>
        </w:rPr>
        <w:t> </w:t>
      </w:r>
      <w:r>
        <w:rPr>
          <w:rFonts w:ascii="Arial" w:hAnsi="Arial"/>
          <w:color w:val="231F20"/>
          <w:sz w:val="16"/>
        </w:rPr>
        <w:t>returned</w:t>
      </w:r>
      <w:r>
        <w:rPr>
          <w:rFonts w:ascii="Arial" w:hAnsi="Arial"/>
          <w:color w:val="231F20"/>
          <w:spacing w:val="-8"/>
          <w:sz w:val="16"/>
        </w:rPr>
        <w:t> </w:t>
      </w:r>
      <w:r>
        <w:rPr>
          <w:rFonts w:ascii="Arial" w:hAnsi="Arial"/>
          <w:color w:val="231F20"/>
          <w:spacing w:val="-6"/>
          <w:sz w:val="16"/>
        </w:rPr>
        <w:t>to</w:t>
      </w:r>
    </w:p>
    <w:p>
      <w:pPr>
        <w:spacing w:after="0" w:line="200" w:lineRule="exact"/>
        <w:jc w:val="left"/>
        <w:rPr>
          <w:rFonts w:ascii="Arial" w:hAnsi="Arial"/>
          <w:sz w:val="16"/>
        </w:rPr>
        <w:sectPr>
          <w:type w:val="continuous"/>
          <w:pgSz w:w="12240" w:h="15660"/>
          <w:pgMar w:top="0" w:bottom="760" w:left="0" w:right="0"/>
        </w:sectPr>
      </w:pPr>
    </w:p>
    <w:p>
      <w:pPr>
        <w:pStyle w:val="BodyText"/>
        <w:spacing w:line="168" w:lineRule="exact"/>
        <w:ind w:left="1440"/>
        <w:jc w:val="both"/>
      </w:pPr>
      <w:r>
        <w:rPr/>
        <w:pict>
          <v:shape style="position:absolute;margin-left:229.1129pt;margin-top:2.145011pt;width:3pt;height:8.7pt;mso-position-horizontal-relative:page;mso-position-vertical-relative:paragraph;z-index:-27241676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the</w:t>
      </w:r>
      <w:r>
        <w:rPr>
          <w:color w:val="231F20"/>
          <w:spacing w:val="31"/>
          <w:w w:val="105"/>
        </w:rPr>
        <w:t> </w:t>
      </w:r>
      <w:r>
        <w:rPr>
          <w:color w:val="231F20"/>
          <w:w w:val="105"/>
        </w:rPr>
        <w:t>mechanism</w:t>
      </w:r>
      <w:r>
        <w:rPr>
          <w:color w:val="231F20"/>
          <w:spacing w:val="32"/>
          <w:w w:val="105"/>
        </w:rPr>
        <w:t> </w:t>
      </w:r>
      <w:r>
        <w:rPr>
          <w:color w:val="231F20"/>
          <w:w w:val="105"/>
        </w:rPr>
        <w:t>by</w:t>
      </w:r>
      <w:r>
        <w:rPr>
          <w:color w:val="231F20"/>
          <w:spacing w:val="32"/>
          <w:w w:val="105"/>
        </w:rPr>
        <w:t> </w:t>
      </w:r>
      <w:r>
        <w:rPr>
          <w:color w:val="231F20"/>
          <w:w w:val="105"/>
        </w:rPr>
        <w:t>which</w:t>
      </w:r>
      <w:r>
        <w:rPr>
          <w:color w:val="231F20"/>
          <w:spacing w:val="32"/>
          <w:w w:val="105"/>
        </w:rPr>
        <w:t> </w:t>
      </w:r>
      <w:r>
        <w:rPr>
          <w:color w:val="231F20"/>
          <w:w w:val="105"/>
        </w:rPr>
        <w:t>new</w:t>
      </w:r>
      <w:r>
        <w:rPr>
          <w:color w:val="231F20"/>
          <w:spacing w:val="32"/>
          <w:w w:val="105"/>
        </w:rPr>
        <w:t> </w:t>
      </w:r>
      <w:r>
        <w:rPr>
          <w:color w:val="231F20"/>
          <w:w w:val="105"/>
        </w:rPr>
        <w:t>HCO</w:t>
      </w:r>
      <w:r>
        <w:rPr>
          <w:color w:val="231F20"/>
          <w:spacing w:val="3"/>
          <w:w w:val="105"/>
        </w:rPr>
        <w:t> </w:t>
      </w:r>
      <w:r>
        <w:rPr>
          <w:rFonts w:ascii="Consolas" w:hAnsi="Consolas"/>
          <w:color w:val="231F20"/>
          <w:w w:val="105"/>
          <w:position w:val="8"/>
          <w:sz w:val="12"/>
        </w:rPr>
        <w:t>−</w:t>
      </w:r>
      <w:r>
        <w:rPr>
          <w:rFonts w:ascii="Consolas" w:hAnsi="Consolas"/>
          <w:color w:val="231F20"/>
          <w:spacing w:val="15"/>
          <w:w w:val="105"/>
          <w:position w:val="8"/>
          <w:sz w:val="12"/>
        </w:rPr>
        <w:t> </w:t>
      </w:r>
      <w:r>
        <w:rPr>
          <w:color w:val="231F20"/>
          <w:w w:val="105"/>
        </w:rPr>
        <w:t>is</w:t>
      </w:r>
      <w:r>
        <w:rPr>
          <w:color w:val="231F20"/>
          <w:spacing w:val="32"/>
          <w:w w:val="105"/>
        </w:rPr>
        <w:t> </w:t>
      </w:r>
      <w:r>
        <w:rPr>
          <w:color w:val="231F20"/>
          <w:w w:val="105"/>
        </w:rPr>
        <w:t>added</w:t>
      </w:r>
      <w:r>
        <w:rPr>
          <w:color w:val="231F20"/>
          <w:spacing w:val="32"/>
          <w:w w:val="105"/>
        </w:rPr>
        <w:t> </w:t>
      </w:r>
      <w:r>
        <w:rPr>
          <w:color w:val="231F20"/>
          <w:w w:val="105"/>
        </w:rPr>
        <w:t>to</w:t>
      </w:r>
      <w:r>
        <w:rPr>
          <w:color w:val="231F20"/>
          <w:spacing w:val="32"/>
          <w:w w:val="105"/>
        </w:rPr>
        <w:t> </w:t>
      </w:r>
      <w:r>
        <w:rPr>
          <w:color w:val="231F20"/>
          <w:spacing w:val="-5"/>
          <w:w w:val="105"/>
        </w:rPr>
        <w:t>the</w:t>
      </w:r>
    </w:p>
    <w:p>
      <w:pPr>
        <w:pStyle w:val="BodyText"/>
        <w:spacing w:line="240" w:lineRule="atLeast"/>
        <w:ind w:left="1440" w:hanging="1"/>
        <w:jc w:val="both"/>
      </w:pPr>
      <w:r>
        <w:rPr>
          <w:color w:val="231F20"/>
          <w:w w:val="105"/>
        </w:rPr>
        <w:t>blood.</w:t>
      </w:r>
      <w:r>
        <w:rPr>
          <w:color w:val="231F20"/>
          <w:spacing w:val="-8"/>
          <w:w w:val="105"/>
        </w:rPr>
        <w:t> </w:t>
      </w:r>
      <w:r>
        <w:rPr>
          <w:color w:val="231F20"/>
          <w:w w:val="105"/>
        </w:rPr>
        <w:t>The</w:t>
      </w:r>
      <w:r>
        <w:rPr>
          <w:color w:val="231F20"/>
          <w:spacing w:val="-7"/>
          <w:w w:val="105"/>
        </w:rPr>
        <w:t> </w:t>
      </w:r>
      <w:r>
        <w:rPr>
          <w:color w:val="231F20"/>
          <w:w w:val="105"/>
        </w:rPr>
        <w:t>process</w:t>
      </w:r>
      <w:r>
        <w:rPr>
          <w:color w:val="231F20"/>
          <w:spacing w:val="-7"/>
          <w:w w:val="105"/>
        </w:rPr>
        <w:t> </w:t>
      </w:r>
      <w:r>
        <w:rPr>
          <w:color w:val="231F20"/>
          <w:w w:val="105"/>
        </w:rPr>
        <w:t>of</w:t>
      </w:r>
      <w:r>
        <w:rPr>
          <w:color w:val="231F20"/>
          <w:spacing w:val="-7"/>
          <w:w w:val="105"/>
        </w:rPr>
        <w:t> </w:t>
      </w:r>
      <w:r>
        <w:rPr>
          <w:color w:val="231F20"/>
          <w:w w:val="105"/>
        </w:rPr>
        <w:t>H</w:t>
      </w:r>
      <w:r>
        <w:rPr>
          <w:rFonts w:ascii="Consolas" w:hAnsi="Consolas"/>
          <w:color w:val="231F20"/>
          <w:w w:val="105"/>
          <w:position w:val="8"/>
          <w:sz w:val="12"/>
        </w:rPr>
        <w:t>+</w:t>
      </w:r>
      <w:r>
        <w:rPr>
          <w:rFonts w:ascii="Consolas" w:hAnsi="Consolas"/>
          <w:color w:val="231F20"/>
          <w:spacing w:val="-23"/>
          <w:w w:val="105"/>
          <w:position w:val="8"/>
          <w:sz w:val="12"/>
        </w:rPr>
        <w:t> </w:t>
      </w:r>
      <w:r>
        <w:rPr>
          <w:color w:val="231F20"/>
          <w:w w:val="105"/>
        </w:rPr>
        <w:t>secretion</w:t>
      </w:r>
      <w:r>
        <w:rPr>
          <w:color w:val="231F20"/>
          <w:spacing w:val="-7"/>
          <w:w w:val="105"/>
        </w:rPr>
        <w:t> </w:t>
      </w:r>
      <w:r>
        <w:rPr>
          <w:color w:val="231F20"/>
          <w:w w:val="105"/>
        </w:rPr>
        <w:t>into</w:t>
      </w:r>
      <w:r>
        <w:rPr>
          <w:color w:val="231F20"/>
          <w:spacing w:val="-7"/>
          <w:w w:val="105"/>
        </w:rPr>
        <w:t> </w:t>
      </w:r>
      <w:r>
        <w:rPr>
          <w:color w:val="231F20"/>
          <w:w w:val="105"/>
        </w:rPr>
        <w:t>the</w:t>
      </w:r>
      <w:r>
        <w:rPr>
          <w:color w:val="231F20"/>
          <w:spacing w:val="-7"/>
          <w:w w:val="105"/>
        </w:rPr>
        <w:t> </w:t>
      </w:r>
      <w:r>
        <w:rPr>
          <w:color w:val="231F20"/>
          <w:w w:val="105"/>
        </w:rPr>
        <w:t>tubules</w:t>
      </w:r>
      <w:r>
        <w:rPr>
          <w:color w:val="231F20"/>
          <w:spacing w:val="-7"/>
          <w:w w:val="105"/>
        </w:rPr>
        <w:t> </w:t>
      </w:r>
      <w:r>
        <w:rPr>
          <w:color w:val="231F20"/>
          <w:w w:val="105"/>
        </w:rPr>
        <w:t>is</w:t>
      </w:r>
      <w:r>
        <w:rPr>
          <w:color w:val="231F20"/>
          <w:spacing w:val="-8"/>
          <w:w w:val="105"/>
        </w:rPr>
        <w:t> </w:t>
      </w:r>
      <w:r>
        <w:rPr>
          <w:color w:val="231F20"/>
          <w:spacing w:val="-6"/>
          <w:w w:val="105"/>
        </w:rPr>
        <w:t>the </w:t>
      </w:r>
      <w:r>
        <w:rPr>
          <w:color w:val="231F20"/>
          <w:w w:val="105"/>
        </w:rPr>
        <w:t>same as described </w:t>
      </w:r>
      <w:r>
        <w:rPr>
          <w:color w:val="231F20"/>
          <w:spacing w:val="-3"/>
          <w:w w:val="105"/>
        </w:rPr>
        <w:t>earlier. </w:t>
      </w:r>
      <w:r>
        <w:rPr>
          <w:color w:val="231F20"/>
          <w:w w:val="105"/>
        </w:rPr>
        <w:t>As long as there is </w:t>
      </w:r>
      <w:r>
        <w:rPr>
          <w:color w:val="231F20"/>
          <w:spacing w:val="-4"/>
          <w:w w:val="105"/>
        </w:rPr>
        <w:t>excess </w:t>
      </w:r>
      <w:r>
        <w:rPr>
          <w:color w:val="231F20"/>
          <w:w w:val="105"/>
        </w:rPr>
        <w:t>HCO</w:t>
      </w:r>
      <w:r>
        <w:rPr>
          <w:color w:val="231F20"/>
          <w:spacing w:val="1"/>
          <w:w w:val="105"/>
        </w:rPr>
        <w:t> </w:t>
      </w:r>
      <w:r>
        <w:rPr>
          <w:rFonts w:ascii="Consolas" w:hAnsi="Consolas"/>
          <w:color w:val="231F20"/>
          <w:w w:val="105"/>
          <w:position w:val="8"/>
          <w:sz w:val="12"/>
        </w:rPr>
        <w:t>−</w:t>
      </w:r>
      <w:r>
        <w:rPr>
          <w:rFonts w:ascii="Consolas" w:hAnsi="Consolas"/>
          <w:color w:val="231F20"/>
          <w:spacing w:val="-23"/>
          <w:w w:val="105"/>
          <w:position w:val="8"/>
          <w:sz w:val="12"/>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tubular</w:t>
      </w:r>
      <w:r>
        <w:rPr>
          <w:color w:val="231F20"/>
          <w:spacing w:val="-6"/>
          <w:w w:val="105"/>
        </w:rPr>
        <w:t> </w:t>
      </w:r>
      <w:r>
        <w:rPr>
          <w:color w:val="231F20"/>
          <w:w w:val="105"/>
        </w:rPr>
        <w:t>fluid,</w:t>
      </w:r>
      <w:r>
        <w:rPr>
          <w:color w:val="231F20"/>
          <w:spacing w:val="-5"/>
          <w:w w:val="105"/>
        </w:rPr>
        <w:t> </w:t>
      </w:r>
      <w:r>
        <w:rPr>
          <w:color w:val="231F20"/>
          <w:w w:val="105"/>
        </w:rPr>
        <w:t>most</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secreted</w:t>
      </w:r>
      <w:r>
        <w:rPr>
          <w:color w:val="231F20"/>
          <w:spacing w:val="-6"/>
          <w:w w:val="105"/>
        </w:rPr>
        <w:t> </w:t>
      </w:r>
      <w:r>
        <w:rPr>
          <w:color w:val="231F20"/>
          <w:w w:val="105"/>
        </w:rPr>
        <w:t>H</w:t>
      </w:r>
      <w:r>
        <w:rPr>
          <w:rFonts w:ascii="Consolas" w:hAnsi="Consolas"/>
          <w:color w:val="231F20"/>
          <w:w w:val="105"/>
          <w:position w:val="8"/>
          <w:sz w:val="12"/>
        </w:rPr>
        <w:t>+</w:t>
      </w:r>
      <w:r>
        <w:rPr>
          <w:rFonts w:ascii="Consolas" w:hAnsi="Consolas"/>
          <w:color w:val="231F20"/>
          <w:spacing w:val="-23"/>
          <w:w w:val="105"/>
          <w:position w:val="8"/>
          <w:sz w:val="12"/>
        </w:rPr>
        <w:t> </w:t>
      </w:r>
      <w:r>
        <w:rPr>
          <w:color w:val="231F20"/>
          <w:spacing w:val="-4"/>
          <w:w w:val="105"/>
        </w:rPr>
        <w:t>com-</w:t>
      </w:r>
    </w:p>
    <w:p>
      <w:pPr>
        <w:spacing w:line="3" w:lineRule="exact" w:before="0"/>
        <w:ind w:left="0" w:right="129" w:firstLine="0"/>
        <w:jc w:val="right"/>
        <w:rPr>
          <w:rFonts w:ascii="Arial"/>
          <w:sz w:val="9"/>
        </w:rPr>
      </w:pPr>
      <w:r>
        <w:rPr/>
        <w:br w:type="column"/>
      </w:r>
      <w:r>
        <w:rPr>
          <w:rFonts w:ascii="Arial"/>
          <w:color w:val="231F20"/>
          <w:w w:val="105"/>
          <w:sz w:val="9"/>
        </w:rPr>
        <w:t>4</w:t>
      </w:r>
    </w:p>
    <w:p>
      <w:pPr>
        <w:spacing w:before="7"/>
        <w:ind w:left="319" w:right="0" w:firstLine="0"/>
        <w:jc w:val="center"/>
        <w:rPr>
          <w:rFonts w:ascii="Arial"/>
          <w:sz w:val="16"/>
        </w:rPr>
      </w:pPr>
      <w:r>
        <w:rPr>
          <w:rFonts w:ascii="Arial"/>
          <w:color w:val="231F20"/>
          <w:sz w:val="16"/>
        </w:rPr>
        <w:t>the</w:t>
      </w:r>
      <w:r>
        <w:rPr>
          <w:rFonts w:ascii="Arial"/>
          <w:color w:val="231F20"/>
          <w:spacing w:val="13"/>
          <w:sz w:val="16"/>
        </w:rPr>
        <w:t> </w:t>
      </w:r>
      <w:r>
        <w:rPr>
          <w:rFonts w:ascii="Arial"/>
          <w:color w:val="231F20"/>
          <w:spacing w:val="-4"/>
          <w:sz w:val="16"/>
        </w:rPr>
        <w:t>blood.</w:t>
      </w:r>
    </w:p>
    <w:p>
      <w:pPr>
        <w:pStyle w:val="BodyText"/>
        <w:rPr>
          <w:rFonts w:ascii="Arial"/>
          <w:sz w:val="18"/>
        </w:rPr>
      </w:pPr>
    </w:p>
    <w:p>
      <w:pPr>
        <w:spacing w:line="180" w:lineRule="exact" w:before="133"/>
        <w:ind w:left="260" w:right="0" w:firstLine="0"/>
        <w:jc w:val="center"/>
        <w:rPr>
          <w:rFonts w:ascii="Helvetica"/>
          <w:sz w:val="16"/>
        </w:rPr>
      </w:pPr>
      <w:r>
        <w:rPr/>
        <w:pict>
          <v:group style="position:absolute;margin-left:348.919586pt;margin-top:10.805094pt;width:156.050pt;height:159.35pt;mso-position-horizontal-relative:page;mso-position-vertical-relative:paragraph;z-index:-272424960" coordorigin="6978,216" coordsize="3121,3187">
            <v:shape style="position:absolute;left:7420;top:241;width:2324;height:584" coordorigin="7421,242" coordsize="2324,584" path="m9744,242l7421,244,7421,482,7433,543,7467,592,7516,626,7577,638,8827,638,8855,639,8927,647,9020,667,9117,705,9177,736,9252,769,9335,799,9419,820,9497,826,9568,816,9632,790,9686,746,9725,678,9744,584,9744,242xe" filled="true" fillcolor="#feede3" stroked="false">
              <v:path arrowok="t"/>
              <v:fill type="solid"/>
            </v:shape>
            <v:shape style="position:absolute;left:7420;top:241;width:2324;height:584" coordorigin="7421,242" coordsize="2324,584" path="m9744,584l9725,678,9686,746,9632,790,9568,816,9497,826,9419,820,9335,799,9252,769,9177,736,9117,705,9020,667,8927,647,8855,639,8827,638,7577,638,7516,626,7467,592,7433,543,7421,482,7421,244,9744,242,9744,584xe" filled="false" stroked="true" strokeweight=".75pt" strokecolor="#e2874a">
              <v:path arrowok="t"/>
              <v:stroke dashstyle="solid"/>
            </v:shape>
            <v:shape style="position:absolute;left:7420;top:863;width:2324;height:2532" coordorigin="7421,863" coordsize="2324,2532" path="m9497,863l9419,869,9335,890,9252,920,9177,953,9117,984,9044,1022,8990,1042,8927,1049,8827,1050,7577,1050,7516,1063,7467,1096,7433,1146,7421,1207,7421,3051,7433,3112,7467,3162,7516,3195,7577,3208,8827,3208,8855,3209,8927,3216,9020,3236,9117,3274,9177,3305,9252,3339,9335,3368,9419,3389,9497,3395,9568,3385,9632,3359,9686,3315,9725,3248,9744,3153,9744,1105,9725,1011,9686,943,9632,899,9568,874,9497,863xe" filled="true" fillcolor="#feede3" stroked="false">
              <v:path arrowok="t"/>
              <v:fill type="solid"/>
            </v:shape>
            <v:shape style="position:absolute;left:7420;top:863;width:2324;height:2532" coordorigin="7421,863" coordsize="2324,2532" path="m9744,3153l9725,3248,9686,3315,9632,3359,9568,3385,9497,3395,9419,3389,9335,3368,9252,3339,9177,3305,9117,3274,9020,3236,8927,3216,8855,3209,8827,3208,7577,3208,7516,3195,7467,3162,7433,3112,7421,3051,7421,1207,7433,1146,7467,1096,7516,1063,7577,1050,8827,1050,8927,1049,8990,1042,9044,1022,9117,984,9177,953,9252,920,9335,890,9419,869,9497,863,9568,874,9632,899,9686,943,9725,1011,9744,1105,9744,3153xe" filled="false" stroked="true" strokeweight=".75pt" strokecolor="#e2874a">
              <v:path arrowok="t"/>
              <v:stroke dashstyle="solid"/>
            </v:shape>
            <v:shape style="position:absolute;left:7586;top:1504;width:185;height:120" type="#_x0000_t75" stroked="false">
              <v:imagedata r:id="rId990" o:title=""/>
            </v:shape>
            <v:line style="position:absolute" from="7048,1564" to="7650,1564" stroked="true" strokeweight="1.5pt" strokecolor="#231f20">
              <v:stroke dashstyle="solid"/>
            </v:line>
            <v:shape style="position:absolute;left:7022;top:1166;width:185;height:120" type="#_x0000_t75" stroked="false">
              <v:imagedata r:id="rId897" o:title=""/>
            </v:shape>
            <v:shape style="position:absolute;left:7234;top:1211;width:367;height:367" type="#_x0000_t75" stroked="false">
              <v:imagedata r:id="rId1003" o:title=""/>
            </v:shape>
            <v:line style="position:absolute" from="7357,246" to="9836,246" stroked="true" strokeweight="3pt" strokecolor="#ffffff">
              <v:stroke dashstyle="solid"/>
            </v:line>
            <v:shape style="position:absolute;left:9914;top:1799;width:185;height:120" type="#_x0000_t75" stroked="false">
              <v:imagedata r:id="rId1004" o:title=""/>
            </v:shape>
            <v:shape style="position:absolute;left:9561;top:1507;width:367;height:367" type="#_x0000_t75" stroked="false">
              <v:imagedata r:id="rId1005" o:title=""/>
            </v:shape>
            <v:shape style="position:absolute;left:8481;top:1867;width:120;height:185" coordorigin="8481,1868" coordsize="120,185" path="m8587,2019l8541,2019,8600,2052,8601,2050,8587,2019xm8541,1868l8519,1961,8481,2050,8482,2052,8541,2019,8587,2019,8563,1961,8541,1868xe" filled="true" fillcolor="#f0535f" stroked="false">
              <v:path arrowok="t"/>
              <v:fill type="solid"/>
            </v:shape>
            <v:line style="position:absolute" from="8541,2134" to="8541,2003" stroked="true" strokeweight="1.5pt" strokecolor="#f0535f">
              <v:stroke dashstyle="solid"/>
            </v:line>
            <v:shape style="position:absolute;left:8481;top:2350;width:120;height:185" coordorigin="8481,2351" coordsize="120,185" path="m8587,2502l8541,2502,8600,2535,8601,2533,8587,2502xm8541,2351l8519,2444,8481,2533,8482,2535,8541,2502,8587,2502,8563,2444,8541,2351xe" filled="true" fillcolor="#f0535f" stroked="false">
              <v:path arrowok="t"/>
              <v:fill type="solid"/>
            </v:shape>
            <v:line style="position:absolute" from="8541,2618" to="8541,2486" stroked="true" strokeweight="1.5pt" strokecolor="#f0535f">
              <v:stroke dashstyle="solid"/>
            </v:line>
            <v:shape style="position:absolute;left:6978;top:2951;width:185;height:120" type="#_x0000_t75" stroked="false">
              <v:imagedata r:id="rId1006" o:title=""/>
            </v:shape>
            <v:shape style="position:absolute;left:7774;top:2783;width:185;height:120" type="#_x0000_t75" stroked="false">
              <v:imagedata r:id="rId1007" o:title=""/>
            </v:shape>
            <w10:wrap type="none"/>
          </v:group>
        </w:pict>
      </w:r>
      <w:r>
        <w:rPr>
          <w:rFonts w:ascii="Helvetica"/>
          <w:color w:val="231F20"/>
          <w:sz w:val="16"/>
        </w:rPr>
        <w:t>Renal interstitial</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spacing w:before="10"/>
        <w:rPr>
          <w:rFonts w:ascii="Helvetica"/>
          <w:sz w:val="19"/>
        </w:rPr>
      </w:pPr>
    </w:p>
    <w:p>
      <w:pPr>
        <w:spacing w:line="120" w:lineRule="exact" w:before="1"/>
        <w:ind w:left="983" w:right="0" w:firstLine="0"/>
        <w:jc w:val="left"/>
        <w:rPr>
          <w:rFonts w:ascii="Helvetica"/>
          <w:sz w:val="16"/>
        </w:rPr>
      </w:pPr>
      <w:r>
        <w:rPr>
          <w:rFonts w:ascii="Helvetica"/>
          <w:color w:val="231F20"/>
          <w:sz w:val="16"/>
        </w:rPr>
        <w:t>Collecting</w:t>
      </w:r>
    </w:p>
    <w:p>
      <w:pPr>
        <w:spacing w:line="3" w:lineRule="exact" w:before="0"/>
        <w:ind w:left="1017" w:right="0" w:firstLine="0"/>
        <w:jc w:val="left"/>
        <w:rPr>
          <w:rFonts w:ascii="Arial"/>
          <w:sz w:val="9"/>
        </w:rPr>
      </w:pPr>
      <w:r>
        <w:rPr/>
        <w:br w:type="column"/>
      </w:r>
      <w:r>
        <w:rPr>
          <w:rFonts w:ascii="Arial"/>
          <w:color w:val="231F20"/>
          <w:w w:val="105"/>
          <w:sz w:val="9"/>
        </w:rPr>
        <w:t>3</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180" w:lineRule="exact" w:before="71"/>
        <w:ind w:left="1241" w:right="1496" w:firstLine="0"/>
        <w:jc w:val="center"/>
        <w:rPr>
          <w:rFonts w:ascii="Helvetica"/>
          <w:sz w:val="16"/>
        </w:rPr>
      </w:pPr>
      <w:r>
        <w:rPr>
          <w:rFonts w:ascii="Helvetica"/>
          <w:color w:val="231F20"/>
          <w:sz w:val="16"/>
        </w:rPr>
        <w:t>Tubular</w:t>
      </w:r>
      <w:r>
        <w:rPr>
          <w:rFonts w:ascii="Helvetica"/>
          <w:color w:val="231F20"/>
          <w:w w:val="99"/>
          <w:sz w:val="16"/>
        </w:rPr>
        <w:t> </w:t>
      </w:r>
      <w:r>
        <w:rPr>
          <w:rFonts w:ascii="Helvetica"/>
          <w:color w:val="231F20"/>
          <w:sz w:val="16"/>
        </w:rPr>
        <w:t>lumen</w:t>
      </w:r>
    </w:p>
    <w:p>
      <w:pPr>
        <w:spacing w:after="0" w:line="180" w:lineRule="exact"/>
        <w:jc w:val="center"/>
        <w:rPr>
          <w:rFonts w:ascii="Helvetica"/>
          <w:sz w:val="16"/>
        </w:rPr>
        <w:sectPr>
          <w:type w:val="continuous"/>
          <w:pgSz w:w="12240" w:h="15660"/>
          <w:pgMar w:top="0" w:bottom="760" w:left="0" w:right="0"/>
          <w:cols w:num="4" w:equalWidth="0">
            <w:col w:w="6121" w:space="40"/>
            <w:col w:w="1032" w:space="39"/>
            <w:col w:w="1686" w:space="39"/>
            <w:col w:w="3283"/>
          </w:cols>
        </w:sectPr>
      </w:pPr>
    </w:p>
    <w:p>
      <w:pPr>
        <w:spacing w:before="0"/>
        <w:ind w:left="1889" w:right="0" w:firstLine="0"/>
        <w:jc w:val="left"/>
        <w:rPr>
          <w:sz w:val="12"/>
        </w:rPr>
      </w:pPr>
      <w:r>
        <w:rPr>
          <w:color w:val="231F20"/>
          <w:w w:val="98"/>
          <w:sz w:val="12"/>
        </w:rPr>
        <w:t>3</w:t>
      </w:r>
    </w:p>
    <w:p>
      <w:pPr>
        <w:tabs>
          <w:tab w:pos="5292" w:val="left" w:leader="none"/>
          <w:tab w:pos="6658" w:val="left" w:leader="none"/>
        </w:tabs>
        <w:spacing w:line="2" w:lineRule="exact" w:before="0"/>
        <w:ind w:left="2834" w:right="0" w:firstLine="0"/>
        <w:jc w:val="left"/>
        <w:rPr>
          <w:rFonts w:ascii="Helvetica" w:hAnsi="Helvetica"/>
          <w:sz w:val="16"/>
        </w:rPr>
      </w:pPr>
      <w:r>
        <w:rPr>
          <w:rFonts w:ascii="Consolas" w:hAnsi="Consolas"/>
          <w:color w:val="231F20"/>
          <w:position w:val="3"/>
          <w:sz w:val="12"/>
        </w:rPr>
        <w:t>−</w:t>
        <w:tab/>
        <w:t>−</w:t>
        <w:tab/>
      </w:r>
      <w:r>
        <w:rPr>
          <w:rFonts w:ascii="Helvetica" w:hAnsi="Helvetica"/>
          <w:color w:val="231F20"/>
          <w:spacing w:val="-4"/>
          <w:sz w:val="16"/>
        </w:rPr>
        <w:t>fluid</w:t>
      </w:r>
    </w:p>
    <w:p>
      <w:pPr>
        <w:spacing w:line="5" w:lineRule="exact" w:before="0"/>
        <w:ind w:left="1147" w:right="0" w:firstLine="0"/>
        <w:jc w:val="left"/>
        <w:rPr>
          <w:rFonts w:ascii="Helvetica"/>
          <w:sz w:val="16"/>
        </w:rPr>
      </w:pPr>
      <w:r>
        <w:rPr/>
        <w:br w:type="column"/>
      </w:r>
      <w:r>
        <w:rPr>
          <w:rFonts w:ascii="Helvetica"/>
          <w:color w:val="231F20"/>
          <w:sz w:val="16"/>
        </w:rPr>
        <w:t>tubular cells</w:t>
      </w:r>
    </w:p>
    <w:p>
      <w:pPr>
        <w:spacing w:after="0" w:line="5" w:lineRule="exact"/>
        <w:jc w:val="left"/>
        <w:rPr>
          <w:rFonts w:ascii="Helvetica"/>
          <w:sz w:val="16"/>
        </w:rPr>
        <w:sectPr>
          <w:type w:val="continuous"/>
          <w:pgSz w:w="12240" w:h="15660"/>
          <w:pgMar w:top="0" w:bottom="760" w:left="0" w:right="0"/>
          <w:cols w:num="2" w:equalWidth="0">
            <w:col w:w="6952" w:space="40"/>
            <w:col w:w="5248"/>
          </w:cols>
        </w:sectPr>
      </w:pPr>
    </w:p>
    <w:p>
      <w:pPr>
        <w:pStyle w:val="BodyText"/>
        <w:spacing w:line="90" w:lineRule="exact"/>
        <w:ind w:left="1439"/>
      </w:pPr>
      <w:r>
        <w:rPr>
          <w:color w:val="231F20"/>
        </w:rPr>
        <w:t>bines with HCO</w:t>
      </w:r>
      <w:r>
        <w:rPr>
          <w:color w:val="231F20"/>
          <w:vertAlign w:val="subscript"/>
        </w:rPr>
        <w:t>3</w:t>
      </w:r>
      <w:r>
        <w:rPr>
          <w:color w:val="231F20"/>
          <w:vertAlign w:val="baseline"/>
        </w:rPr>
        <w:t> . However, once all the HCO</w:t>
      </w:r>
      <w:r>
        <w:rPr>
          <w:color w:val="231F20"/>
          <w:vertAlign w:val="subscript"/>
        </w:rPr>
        <w:t>3</w:t>
      </w:r>
      <w:r>
        <w:rPr>
          <w:color w:val="231F20"/>
          <w:vertAlign w:val="baseline"/>
        </w:rPr>
        <w:t> has been</w:t>
      </w:r>
    </w:p>
    <w:p>
      <w:pPr>
        <w:spacing w:after="0" w:line="90" w:lineRule="exact"/>
        <w:sectPr>
          <w:type w:val="continuous"/>
          <w:pgSz w:w="12240" w:h="15660"/>
          <w:pgMar w:top="0" w:bottom="760" w:left="0" w:right="0"/>
        </w:sectPr>
      </w:pPr>
    </w:p>
    <w:p>
      <w:pPr>
        <w:pStyle w:val="BodyText"/>
        <w:spacing w:line="240" w:lineRule="atLeast" w:before="4"/>
        <w:ind w:left="1440" w:right="-11"/>
      </w:pPr>
      <w:r>
        <w:rPr>
          <w:color w:val="231F20"/>
          <w:w w:val="105"/>
        </w:rPr>
        <w:t>reabsorbed</w:t>
      </w:r>
      <w:r>
        <w:rPr>
          <w:color w:val="231F20"/>
          <w:spacing w:val="-20"/>
          <w:w w:val="105"/>
        </w:rPr>
        <w:t> </w:t>
      </w:r>
      <w:r>
        <w:rPr>
          <w:color w:val="231F20"/>
          <w:w w:val="105"/>
        </w:rPr>
        <w:t>and</w:t>
      </w:r>
      <w:r>
        <w:rPr>
          <w:color w:val="231F20"/>
          <w:spacing w:val="-20"/>
          <w:w w:val="105"/>
        </w:rPr>
        <w:t> </w:t>
      </w:r>
      <w:r>
        <w:rPr>
          <w:color w:val="231F20"/>
          <w:w w:val="105"/>
        </w:rPr>
        <w:t>is</w:t>
      </w:r>
      <w:r>
        <w:rPr>
          <w:color w:val="231F20"/>
          <w:spacing w:val="-20"/>
          <w:w w:val="105"/>
        </w:rPr>
        <w:t> </w:t>
      </w:r>
      <w:r>
        <w:rPr>
          <w:color w:val="231F20"/>
          <w:w w:val="105"/>
        </w:rPr>
        <w:t>no</w:t>
      </w:r>
      <w:r>
        <w:rPr>
          <w:color w:val="231F20"/>
          <w:spacing w:val="-20"/>
          <w:w w:val="105"/>
        </w:rPr>
        <w:t> </w:t>
      </w:r>
      <w:r>
        <w:rPr>
          <w:color w:val="231F20"/>
          <w:w w:val="105"/>
        </w:rPr>
        <w:t>longer</w:t>
      </w:r>
      <w:r>
        <w:rPr>
          <w:color w:val="231F20"/>
          <w:spacing w:val="-19"/>
          <w:w w:val="105"/>
        </w:rPr>
        <w:t> </w:t>
      </w:r>
      <w:r>
        <w:rPr>
          <w:color w:val="231F20"/>
          <w:w w:val="105"/>
        </w:rPr>
        <w:t>available</w:t>
      </w:r>
      <w:r>
        <w:rPr>
          <w:color w:val="231F20"/>
          <w:spacing w:val="-20"/>
          <w:w w:val="105"/>
        </w:rPr>
        <w:t> </w:t>
      </w:r>
      <w:r>
        <w:rPr>
          <w:color w:val="231F20"/>
          <w:w w:val="105"/>
        </w:rPr>
        <w:t>to</w:t>
      </w:r>
      <w:r>
        <w:rPr>
          <w:color w:val="231F20"/>
          <w:spacing w:val="-20"/>
          <w:w w:val="105"/>
        </w:rPr>
        <w:t> </w:t>
      </w:r>
      <w:r>
        <w:rPr>
          <w:color w:val="231F20"/>
          <w:w w:val="105"/>
        </w:rPr>
        <w:t>combine</w:t>
      </w:r>
      <w:r>
        <w:rPr>
          <w:color w:val="231F20"/>
          <w:spacing w:val="-20"/>
          <w:w w:val="105"/>
        </w:rPr>
        <w:t> </w:t>
      </w:r>
      <w:r>
        <w:rPr>
          <w:color w:val="231F20"/>
          <w:w w:val="105"/>
        </w:rPr>
        <w:t>with</w:t>
      </w:r>
      <w:r>
        <w:rPr>
          <w:color w:val="231F20"/>
          <w:spacing w:val="-20"/>
          <w:w w:val="105"/>
        </w:rPr>
        <w:t> </w:t>
      </w:r>
      <w:r>
        <w:rPr>
          <w:color w:val="231F20"/>
          <w:spacing w:val="-8"/>
          <w:w w:val="105"/>
        </w:rPr>
        <w:t>H</w:t>
      </w:r>
      <w:r>
        <w:rPr>
          <w:rFonts w:ascii="Consolas"/>
          <w:color w:val="231F20"/>
          <w:spacing w:val="-8"/>
          <w:w w:val="105"/>
          <w:position w:val="8"/>
          <w:sz w:val="12"/>
        </w:rPr>
        <w:t>+</w:t>
      </w:r>
      <w:r>
        <w:rPr>
          <w:color w:val="231F20"/>
          <w:spacing w:val="-8"/>
          <w:w w:val="105"/>
        </w:rPr>
        <w:t>, </w:t>
      </w:r>
      <w:r>
        <w:rPr>
          <w:color w:val="231F20"/>
          <w:w w:val="105"/>
        </w:rPr>
        <w:t>any</w:t>
      </w:r>
      <w:r>
        <w:rPr>
          <w:color w:val="231F20"/>
          <w:spacing w:val="-14"/>
          <w:w w:val="105"/>
        </w:rPr>
        <w:t> </w:t>
      </w:r>
      <w:r>
        <w:rPr>
          <w:color w:val="231F20"/>
          <w:w w:val="105"/>
        </w:rPr>
        <w:t>excess</w:t>
      </w:r>
      <w:r>
        <w:rPr>
          <w:color w:val="231F20"/>
          <w:spacing w:val="-13"/>
          <w:w w:val="105"/>
        </w:rPr>
        <w:t> </w:t>
      </w:r>
      <w:r>
        <w:rPr>
          <w:color w:val="231F20"/>
          <w:w w:val="105"/>
        </w:rPr>
        <w:t>H</w:t>
      </w:r>
      <w:r>
        <w:rPr>
          <w:rFonts w:ascii="Consolas"/>
          <w:color w:val="231F20"/>
          <w:w w:val="105"/>
          <w:position w:val="8"/>
          <w:sz w:val="12"/>
        </w:rPr>
        <w:t>+</w:t>
      </w:r>
      <w:r>
        <w:rPr>
          <w:rFonts w:ascii="Consolas"/>
          <w:color w:val="231F20"/>
          <w:spacing w:val="-30"/>
          <w:w w:val="105"/>
          <w:position w:val="8"/>
          <w:sz w:val="12"/>
        </w:rPr>
        <w:t> </w:t>
      </w:r>
      <w:r>
        <w:rPr>
          <w:color w:val="231F20"/>
          <w:w w:val="105"/>
        </w:rPr>
        <w:t>can</w:t>
      </w:r>
      <w:r>
        <w:rPr>
          <w:color w:val="231F20"/>
          <w:spacing w:val="-13"/>
          <w:w w:val="105"/>
        </w:rPr>
        <w:t> </w:t>
      </w:r>
      <w:r>
        <w:rPr>
          <w:color w:val="231F20"/>
          <w:w w:val="105"/>
        </w:rPr>
        <w:t>combine</w:t>
      </w:r>
      <w:r>
        <w:rPr>
          <w:color w:val="231F20"/>
          <w:spacing w:val="-14"/>
          <w:w w:val="105"/>
        </w:rPr>
        <w:t> </w:t>
      </w:r>
      <w:r>
        <w:rPr>
          <w:color w:val="231F20"/>
          <w:w w:val="105"/>
        </w:rPr>
        <w:t>with</w:t>
      </w:r>
      <w:r>
        <w:rPr>
          <w:color w:val="231F20"/>
          <w:spacing w:val="-13"/>
          <w:w w:val="105"/>
        </w:rPr>
        <w:t> </w:t>
      </w:r>
      <w:r>
        <w:rPr>
          <w:color w:val="231F20"/>
          <w:w w:val="105"/>
        </w:rPr>
        <w:t>HPO</w:t>
      </w:r>
      <w:r>
        <w:rPr>
          <w:color w:val="231F20"/>
          <w:spacing w:val="-1"/>
          <w:w w:val="105"/>
        </w:rPr>
        <w:t> </w:t>
      </w:r>
      <w:r>
        <w:rPr>
          <w:rFonts w:ascii="Consolas"/>
          <w:color w:val="231F20"/>
          <w:w w:val="105"/>
          <w:position w:val="8"/>
          <w:sz w:val="12"/>
        </w:rPr>
        <w:t>=</w:t>
      </w:r>
      <w:r>
        <w:rPr>
          <w:rFonts w:ascii="Consolas"/>
          <w:color w:val="231F20"/>
          <w:spacing w:val="-30"/>
          <w:w w:val="105"/>
          <w:position w:val="8"/>
          <w:sz w:val="12"/>
        </w:rPr>
        <w:t> </w:t>
      </w:r>
      <w:r>
        <w:rPr>
          <w:color w:val="231F20"/>
          <w:w w:val="105"/>
        </w:rPr>
        <w:t>and</w:t>
      </w:r>
      <w:r>
        <w:rPr>
          <w:color w:val="231F20"/>
          <w:spacing w:val="-13"/>
          <w:w w:val="105"/>
        </w:rPr>
        <w:t> </w:t>
      </w:r>
      <w:r>
        <w:rPr>
          <w:color w:val="231F20"/>
          <w:w w:val="105"/>
        </w:rPr>
        <w:t>other</w:t>
      </w:r>
      <w:r>
        <w:rPr>
          <w:color w:val="231F20"/>
          <w:spacing w:val="-13"/>
          <w:w w:val="105"/>
        </w:rPr>
        <w:t> </w:t>
      </w:r>
      <w:r>
        <w:rPr>
          <w:color w:val="231F20"/>
          <w:spacing w:val="-3"/>
          <w:w w:val="105"/>
        </w:rPr>
        <w:t>tubular</w:t>
      </w:r>
    </w:p>
    <w:p>
      <w:pPr>
        <w:pStyle w:val="BodyText"/>
        <w:rPr>
          <w:sz w:val="16"/>
        </w:rPr>
      </w:pPr>
      <w:r>
        <w:rPr/>
        <w:br w:type="column"/>
      </w:r>
      <w:r>
        <w:rPr>
          <w:sz w:val="16"/>
        </w:rPr>
      </w:r>
    </w:p>
    <w:p>
      <w:pPr>
        <w:pStyle w:val="BodyText"/>
        <w:spacing w:before="3"/>
        <w:rPr>
          <w:sz w:val="15"/>
        </w:rPr>
      </w:pPr>
    </w:p>
    <w:p>
      <w:pPr>
        <w:tabs>
          <w:tab w:pos="1598" w:val="left" w:leader="none"/>
          <w:tab w:pos="3185" w:val="left" w:leader="none"/>
          <w:tab w:pos="4106" w:val="left" w:leader="none"/>
        </w:tabs>
        <w:spacing w:line="17" w:lineRule="exact" w:before="0"/>
        <w:ind w:left="776" w:right="0" w:firstLine="0"/>
        <w:jc w:val="left"/>
        <w:rPr>
          <w:rFonts w:ascii="Kristen ITC"/>
          <w:sz w:val="12"/>
        </w:rPr>
      </w:pPr>
      <w:r>
        <w:rPr>
          <w:rFonts w:ascii="Kristen ITC"/>
          <w:color w:val="231F20"/>
          <w:sz w:val="12"/>
        </w:rPr>
        <w:t>+   </w:t>
      </w:r>
      <w:r>
        <w:rPr>
          <w:rFonts w:ascii="Kristen ITC"/>
          <w:color w:val="231F20"/>
          <w:spacing w:val="11"/>
          <w:sz w:val="12"/>
        </w:rPr>
        <w:t> </w:t>
      </w:r>
      <w:r>
        <w:rPr>
          <w:rFonts w:ascii="Kristen ITC"/>
          <w:color w:val="231F20"/>
          <w:w w:val="83"/>
          <w:sz w:val="12"/>
          <w:u w:val="thick" w:color="231F20"/>
        </w:rPr>
        <w:t> </w:t>
      </w:r>
      <w:r>
        <w:rPr>
          <w:rFonts w:ascii="Kristen ITC"/>
          <w:color w:val="231F20"/>
          <w:sz w:val="12"/>
          <w:u w:val="thick" w:color="231F20"/>
        </w:rPr>
        <w:tab/>
      </w:r>
      <w:r>
        <w:rPr>
          <w:rFonts w:ascii="Kristen ITC"/>
          <w:color w:val="231F20"/>
          <w:sz w:val="12"/>
        </w:rPr>
        <w:tab/>
      </w:r>
      <w:r>
        <w:rPr>
          <w:rFonts w:ascii="Kristen ITC"/>
          <w:color w:val="231F20"/>
          <w:w w:val="83"/>
          <w:sz w:val="12"/>
          <w:u w:val="thick" w:color="231F20"/>
        </w:rPr>
        <w:t> </w:t>
      </w:r>
      <w:r>
        <w:rPr>
          <w:rFonts w:ascii="Kristen ITC"/>
          <w:color w:val="231F20"/>
          <w:sz w:val="12"/>
          <w:u w:val="thick" w:color="231F20"/>
        </w:rPr>
        <w:tab/>
      </w:r>
    </w:p>
    <w:p>
      <w:pPr>
        <w:pStyle w:val="BodyText"/>
        <w:spacing w:before="13"/>
        <w:rPr>
          <w:rFonts w:ascii="Kristen ITC"/>
          <w:sz w:val="4"/>
        </w:rPr>
      </w:pPr>
    </w:p>
    <w:p>
      <w:pPr>
        <w:pStyle w:val="BodyText"/>
        <w:spacing w:line="117" w:lineRule="exact"/>
        <w:ind w:left="4043"/>
        <w:rPr>
          <w:rFonts w:ascii="Kristen ITC"/>
          <w:sz w:val="11"/>
        </w:rPr>
      </w:pPr>
      <w:r>
        <w:rPr>
          <w:rFonts w:ascii="Kristen ITC"/>
          <w:position w:val="-1"/>
          <w:sz w:val="11"/>
        </w:rPr>
        <w:drawing>
          <wp:inline distT="0" distB="0" distL="0" distR="0">
            <wp:extent cx="115165" cy="74675"/>
            <wp:effectExtent l="0" t="0" r="0" b="0"/>
            <wp:docPr id="25" name="image790.png"/>
            <wp:cNvGraphicFramePr>
              <a:graphicFrameLocks noChangeAspect="1"/>
            </wp:cNvGraphicFramePr>
            <a:graphic>
              <a:graphicData uri="http://schemas.openxmlformats.org/drawingml/2006/picture">
                <pic:pic>
                  <pic:nvPicPr>
                    <pic:cNvPr id="26" name="image790.png"/>
                    <pic:cNvPicPr/>
                  </pic:nvPicPr>
                  <pic:blipFill>
                    <a:blip r:embed="rId1008" cstate="print"/>
                    <a:stretch>
                      <a:fillRect/>
                    </a:stretch>
                  </pic:blipFill>
                  <pic:spPr>
                    <a:xfrm>
                      <a:off x="0" y="0"/>
                      <a:ext cx="115165" cy="74675"/>
                    </a:xfrm>
                    <a:prstGeom prst="rect">
                      <a:avLst/>
                    </a:prstGeom>
                  </pic:spPr>
                </pic:pic>
              </a:graphicData>
            </a:graphic>
          </wp:inline>
        </w:drawing>
      </w:r>
      <w:r>
        <w:rPr>
          <w:rFonts w:ascii="Kristen ITC"/>
          <w:position w:val="-1"/>
          <w:sz w:val="11"/>
        </w:rPr>
      </w:r>
    </w:p>
    <w:p>
      <w:pPr>
        <w:spacing w:after="0" w:line="117" w:lineRule="exact"/>
        <w:rPr>
          <w:rFonts w:ascii="Kristen ITC"/>
          <w:sz w:val="11"/>
        </w:rPr>
        <w:sectPr>
          <w:type w:val="continuous"/>
          <w:pgSz w:w="12240" w:h="15660"/>
          <w:pgMar w:top="0" w:bottom="760" w:left="0" w:right="0"/>
          <w:cols w:num="2" w:equalWidth="0">
            <w:col w:w="6121" w:space="40"/>
            <w:col w:w="6079"/>
          </w:cols>
        </w:sectPr>
      </w:pPr>
    </w:p>
    <w:p>
      <w:pPr>
        <w:tabs>
          <w:tab w:pos="4519" w:val="left" w:leader="none"/>
          <w:tab w:pos="5262" w:val="left" w:leader="none"/>
          <w:tab w:pos="6731" w:val="left" w:leader="none"/>
        </w:tabs>
        <w:spacing w:line="31" w:lineRule="auto" w:before="0"/>
        <w:ind w:left="3227" w:right="0" w:firstLine="0"/>
        <w:jc w:val="left"/>
        <w:rPr>
          <w:rFonts w:ascii="Helvetica"/>
          <w:sz w:val="16"/>
        </w:rPr>
      </w:pPr>
      <w:r>
        <w:rPr/>
        <w:pict>
          <v:group style="position:absolute;margin-left:511.572113pt;margin-top:7.666584pt;width:20pt;height:50.45pt;mso-position-horizontal-relative:page;mso-position-vertical-relative:paragraph;z-index:-272422912" coordorigin="10231,153" coordsize="400,1009">
            <v:shape style="position:absolute;left:10511;top:952;width:120;height:185" type="#_x0000_t75" stroked="false">
              <v:imagedata r:id="rId1009" o:title=""/>
            </v:shape>
            <v:line style="position:absolute" from="10571,153" to="10571,1002" stroked="true" strokeweight="1.5pt" strokecolor="#f0535f">
              <v:stroke dashstyle="solid"/>
            </v:line>
            <v:shape style="position:absolute;left:10231;top:792;width:211;height:370" type="#_x0000_t75" stroked="false">
              <v:imagedata r:id="rId1010" o:title=""/>
            </v:shape>
            <w10:wrap type="none"/>
          </v:group>
        </w:pict>
      </w:r>
      <w:r>
        <w:rPr>
          <w:rFonts w:ascii="Consolas"/>
          <w:color w:val="231F20"/>
          <w:position w:val="-4"/>
          <w:sz w:val="12"/>
        </w:rPr>
        <w:t>+</w:t>
        <w:tab/>
      </w:r>
      <w:r>
        <w:rPr>
          <w:color w:val="231F20"/>
          <w:position w:val="8"/>
          <w:sz w:val="12"/>
        </w:rPr>
        <w:t>4</w:t>
        <w:tab/>
      </w:r>
      <w:r>
        <w:rPr>
          <w:rFonts w:ascii="Consolas"/>
          <w:color w:val="231F20"/>
          <w:position w:val="-4"/>
          <w:sz w:val="12"/>
        </w:rPr>
        <w:t>=</w:t>
        <w:tab/>
      </w:r>
      <w:r>
        <w:rPr>
          <w:rFonts w:ascii="Helvetica"/>
          <w:color w:val="231F20"/>
          <w:spacing w:val="-10"/>
          <w:sz w:val="16"/>
        </w:rPr>
        <w:t>Na</w:t>
      </w:r>
    </w:p>
    <w:p>
      <w:pPr>
        <w:spacing w:line="66" w:lineRule="exact" w:before="0"/>
        <w:ind w:left="0" w:right="0" w:firstLine="0"/>
        <w:jc w:val="right"/>
        <w:rPr>
          <w:rFonts w:ascii="Helvetica"/>
          <w:sz w:val="12"/>
        </w:rPr>
      </w:pPr>
      <w:r>
        <w:rPr/>
        <w:br w:type="column"/>
      </w:r>
      <w:r>
        <w:rPr>
          <w:rFonts w:ascii="Helvetica"/>
          <w:color w:val="231F20"/>
          <w:w w:val="95"/>
          <w:sz w:val="16"/>
        </w:rPr>
        <w:t>NH</w:t>
      </w:r>
      <w:r>
        <w:rPr>
          <w:rFonts w:ascii="Helvetica"/>
          <w:color w:val="231F20"/>
          <w:w w:val="95"/>
          <w:position w:val="-4"/>
          <w:sz w:val="12"/>
        </w:rPr>
        <w:t>3</w:t>
      </w:r>
    </w:p>
    <w:p>
      <w:pPr>
        <w:spacing w:line="28" w:lineRule="auto" w:before="0"/>
        <w:ind w:left="1050" w:right="1492" w:firstLine="0"/>
        <w:jc w:val="center"/>
        <w:rPr>
          <w:rFonts w:ascii="Helvetica"/>
          <w:b/>
          <w:sz w:val="12"/>
        </w:rPr>
      </w:pPr>
      <w:r>
        <w:rPr/>
        <w:br w:type="column"/>
      </w:r>
      <w:r>
        <w:rPr>
          <w:rFonts w:ascii="Helvetica"/>
          <w:b/>
          <w:color w:val="231F20"/>
          <w:sz w:val="16"/>
        </w:rPr>
        <w:t>NH</w:t>
      </w:r>
      <w:r>
        <w:rPr>
          <w:rFonts w:ascii="Helvetica"/>
          <w:b/>
          <w:color w:val="231F20"/>
          <w:position w:val="-4"/>
          <w:sz w:val="12"/>
        </w:rPr>
        <w:t>3</w:t>
      </w:r>
    </w:p>
    <w:p>
      <w:pPr>
        <w:spacing w:after="0" w:line="28" w:lineRule="auto"/>
        <w:jc w:val="center"/>
        <w:rPr>
          <w:rFonts w:ascii="Helvetica"/>
          <w:sz w:val="12"/>
        </w:rPr>
        <w:sectPr>
          <w:type w:val="continuous"/>
          <w:pgSz w:w="12240" w:h="15660"/>
          <w:pgMar w:top="0" w:bottom="760" w:left="0" w:right="0"/>
          <w:cols w:num="3" w:equalWidth="0">
            <w:col w:w="6937" w:space="40"/>
            <w:col w:w="2343" w:space="39"/>
            <w:col w:w="2881"/>
          </w:cols>
        </w:sectPr>
      </w:pPr>
    </w:p>
    <w:p>
      <w:pPr>
        <w:pStyle w:val="BodyText"/>
        <w:spacing w:line="9" w:lineRule="exact"/>
        <w:ind w:left="1439"/>
      </w:pPr>
      <w:r>
        <w:rPr>
          <w:color w:val="231F20"/>
        </w:rPr>
        <w:t>buffers. After the H</w:t>
      </w:r>
    </w:p>
    <w:p>
      <w:pPr>
        <w:pStyle w:val="BodyText"/>
        <w:spacing w:line="9" w:lineRule="exact"/>
        <w:ind w:left="136"/>
      </w:pPr>
      <w:r>
        <w:rPr/>
        <w:br w:type="column"/>
      </w:r>
      <w:r>
        <w:rPr>
          <w:color w:val="231F20"/>
          <w:w w:val="105"/>
        </w:rPr>
        <w:t>combines with HPO</w:t>
      </w:r>
      <w:r>
        <w:rPr>
          <w:color w:val="231F20"/>
          <w:w w:val="105"/>
          <w:vertAlign w:val="subscript"/>
        </w:rPr>
        <w:t>4</w:t>
      </w:r>
    </w:p>
    <w:p>
      <w:pPr>
        <w:pStyle w:val="BodyText"/>
        <w:spacing w:line="9" w:lineRule="exact"/>
        <w:ind w:left="136"/>
      </w:pPr>
      <w:r>
        <w:rPr/>
        <w:br w:type="column"/>
      </w:r>
      <w:r>
        <w:rPr>
          <w:color w:val="231F20"/>
          <w:w w:val="105"/>
        </w:rPr>
        <w:t>to form</w:t>
      </w:r>
    </w:p>
    <w:p>
      <w:pPr>
        <w:tabs>
          <w:tab w:pos="4918" w:val="left" w:leader="none"/>
        </w:tabs>
        <w:spacing w:line="9" w:lineRule="exact" w:before="0"/>
        <w:ind w:left="1110" w:right="0" w:firstLine="0"/>
        <w:jc w:val="left"/>
        <w:rPr>
          <w:rFonts w:ascii="Helvetica" w:hAnsi="Helvetica"/>
          <w:sz w:val="12"/>
        </w:rPr>
      </w:pPr>
      <w:r>
        <w:rPr/>
        <w:br w:type="column"/>
      </w:r>
      <w:r>
        <w:rPr>
          <w:rFonts w:ascii="Helvetica" w:hAnsi="Helvetica"/>
          <w:color w:val="231F20"/>
          <w:sz w:val="16"/>
        </w:rPr>
        <w:t>ATP</w:t>
        <w:tab/>
      </w:r>
      <w:r>
        <w:rPr>
          <w:rFonts w:ascii="Helvetica" w:hAnsi="Helvetica"/>
          <w:color w:val="231F20"/>
          <w:position w:val="-3"/>
          <w:sz w:val="12"/>
        </w:rPr>
        <w:t>–</w:t>
      </w:r>
    </w:p>
    <w:p>
      <w:pPr>
        <w:spacing w:after="0" w:line="9" w:lineRule="exact"/>
        <w:jc w:val="left"/>
        <w:rPr>
          <w:rFonts w:ascii="Helvetica" w:hAnsi="Helvetica"/>
          <w:sz w:val="12"/>
        </w:rPr>
        <w:sectPr>
          <w:type w:val="continuous"/>
          <w:pgSz w:w="12240" w:h="15660"/>
          <w:pgMar w:top="0" w:bottom="760" w:left="0" w:right="0"/>
          <w:cols w:num="4" w:equalWidth="0">
            <w:col w:w="3227" w:space="40"/>
            <w:col w:w="1996" w:space="39"/>
            <w:col w:w="818" w:space="40"/>
            <w:col w:w="6080"/>
          </w:cols>
        </w:sectPr>
      </w:pPr>
    </w:p>
    <w:p>
      <w:pPr>
        <w:pStyle w:val="BodyText"/>
        <w:tabs>
          <w:tab w:pos="7800" w:val="left" w:leader="none"/>
          <w:tab w:pos="10926" w:val="left" w:leader="none"/>
        </w:tabs>
        <w:spacing w:line="155" w:lineRule="exact"/>
        <w:ind w:left="1440"/>
        <w:rPr>
          <w:rFonts w:ascii="Helvetica" w:hAnsi="Helvetica"/>
          <w:sz w:val="16"/>
        </w:rPr>
      </w:pPr>
      <w:r>
        <w:rPr>
          <w:color w:val="231F20"/>
        </w:rPr>
        <w:t>H</w:t>
      </w:r>
      <w:r>
        <w:rPr>
          <w:color w:val="231F20"/>
          <w:vertAlign w:val="subscript"/>
        </w:rPr>
        <w:t>2</w:t>
      </w:r>
      <w:r>
        <w:rPr>
          <w:color w:val="231F20"/>
          <w:vertAlign w:val="baseline"/>
        </w:rPr>
        <w:t>PO</w:t>
      </w:r>
      <w:r>
        <w:rPr>
          <w:color w:val="231F20"/>
          <w:spacing w:val="17"/>
          <w:vertAlign w:val="baseline"/>
        </w:rPr>
        <w:t> </w:t>
      </w:r>
      <w:r>
        <w:rPr>
          <w:rFonts w:ascii="Consolas" w:hAnsi="Consolas"/>
          <w:color w:val="231F20"/>
          <w:position w:val="8"/>
          <w:sz w:val="12"/>
          <w:vertAlign w:val="baseline"/>
        </w:rPr>
        <w:t>−</w:t>
      </w:r>
      <w:r>
        <w:rPr>
          <w:color w:val="231F20"/>
          <w:vertAlign w:val="baseline"/>
        </w:rPr>
        <w:t>,</w:t>
      </w:r>
      <w:r>
        <w:rPr>
          <w:color w:val="231F20"/>
          <w:spacing w:val="28"/>
          <w:vertAlign w:val="baseline"/>
        </w:rPr>
        <w:t> </w:t>
      </w:r>
      <w:r>
        <w:rPr>
          <w:color w:val="231F20"/>
          <w:vertAlign w:val="baseline"/>
        </w:rPr>
        <w:t>it</w:t>
      </w:r>
      <w:r>
        <w:rPr>
          <w:color w:val="231F20"/>
          <w:spacing w:val="29"/>
          <w:vertAlign w:val="baseline"/>
        </w:rPr>
        <w:t> </w:t>
      </w:r>
      <w:r>
        <w:rPr>
          <w:color w:val="231F20"/>
          <w:vertAlign w:val="baseline"/>
        </w:rPr>
        <w:t>can</w:t>
      </w:r>
      <w:r>
        <w:rPr>
          <w:color w:val="231F20"/>
          <w:spacing w:val="28"/>
          <w:vertAlign w:val="baseline"/>
        </w:rPr>
        <w:t> </w:t>
      </w:r>
      <w:r>
        <w:rPr>
          <w:color w:val="231F20"/>
          <w:vertAlign w:val="baseline"/>
        </w:rPr>
        <w:t>be</w:t>
      </w:r>
      <w:r>
        <w:rPr>
          <w:color w:val="231F20"/>
          <w:spacing w:val="28"/>
          <w:vertAlign w:val="baseline"/>
        </w:rPr>
        <w:t> </w:t>
      </w:r>
      <w:r>
        <w:rPr>
          <w:color w:val="231F20"/>
          <w:vertAlign w:val="baseline"/>
        </w:rPr>
        <w:t>excreted</w:t>
      </w:r>
      <w:r>
        <w:rPr>
          <w:color w:val="231F20"/>
          <w:spacing w:val="28"/>
          <w:vertAlign w:val="baseline"/>
        </w:rPr>
        <w:t> </w:t>
      </w:r>
      <w:r>
        <w:rPr>
          <w:color w:val="231F20"/>
          <w:vertAlign w:val="baseline"/>
        </w:rPr>
        <w:t>as</w:t>
      </w:r>
      <w:r>
        <w:rPr>
          <w:color w:val="231F20"/>
          <w:spacing w:val="28"/>
          <w:vertAlign w:val="baseline"/>
        </w:rPr>
        <w:t> </w:t>
      </w:r>
      <w:r>
        <w:rPr>
          <w:color w:val="231F20"/>
          <w:vertAlign w:val="baseline"/>
        </w:rPr>
        <w:t>a</w:t>
      </w:r>
      <w:r>
        <w:rPr>
          <w:color w:val="231F20"/>
          <w:spacing w:val="28"/>
          <w:vertAlign w:val="baseline"/>
        </w:rPr>
        <w:t> </w:t>
      </w:r>
      <w:r>
        <w:rPr>
          <w:color w:val="231F20"/>
          <w:vertAlign w:val="baseline"/>
        </w:rPr>
        <w:t>sodium</w:t>
      </w:r>
      <w:r>
        <w:rPr>
          <w:color w:val="231F20"/>
          <w:spacing w:val="29"/>
          <w:vertAlign w:val="baseline"/>
        </w:rPr>
        <w:t> </w:t>
      </w:r>
      <w:r>
        <w:rPr>
          <w:color w:val="231F20"/>
          <w:vertAlign w:val="baseline"/>
        </w:rPr>
        <w:t>salt</w:t>
      </w:r>
      <w:r>
        <w:rPr>
          <w:color w:val="231F20"/>
          <w:spacing w:val="28"/>
          <w:vertAlign w:val="baseline"/>
        </w:rPr>
        <w:t> </w:t>
      </w:r>
      <w:r>
        <w:rPr>
          <w:color w:val="231F20"/>
          <w:vertAlign w:val="baseline"/>
        </w:rPr>
        <w:t>(NaH</w:t>
      </w:r>
      <w:r>
        <w:rPr>
          <w:color w:val="231F20"/>
          <w:vertAlign w:val="subscript"/>
        </w:rPr>
        <w:t>2</w:t>
      </w:r>
      <w:r>
        <w:rPr>
          <w:color w:val="231F20"/>
          <w:vertAlign w:val="baseline"/>
        </w:rPr>
        <w:t>PO</w:t>
      </w:r>
      <w:r>
        <w:rPr>
          <w:color w:val="231F20"/>
          <w:vertAlign w:val="subscript"/>
        </w:rPr>
        <w:t>4</w:t>
      </w:r>
      <w:r>
        <w:rPr>
          <w:color w:val="231F20"/>
          <w:vertAlign w:val="baseline"/>
        </w:rPr>
        <w:t>),</w:t>
        <w:tab/>
      </w:r>
      <w:r>
        <w:rPr>
          <w:rFonts w:ascii="Helvetica" w:hAnsi="Helvetica"/>
          <w:color w:val="231F20"/>
          <w:position w:val="4"/>
          <w:sz w:val="16"/>
          <w:vertAlign w:val="baseline"/>
        </w:rPr>
        <w:t>K</w:t>
      </w:r>
      <w:r>
        <w:rPr>
          <w:rFonts w:ascii="Kristen ITC" w:hAnsi="Kristen ITC"/>
          <w:color w:val="231F20"/>
          <w:position w:val="9"/>
          <w:sz w:val="12"/>
          <w:vertAlign w:val="baseline"/>
        </w:rPr>
        <w:t>+</w:t>
        <w:tab/>
      </w:r>
      <w:r>
        <w:rPr>
          <w:rFonts w:ascii="Helvetica" w:hAnsi="Helvetica"/>
          <w:color w:val="231F20"/>
          <w:position w:val="9"/>
          <w:sz w:val="16"/>
          <w:vertAlign w:val="baseline"/>
        </w:rPr>
        <w:t>Cl</w:t>
      </w:r>
    </w:p>
    <w:p>
      <w:pPr>
        <w:spacing w:after="0" w:line="155" w:lineRule="exact"/>
        <w:rPr>
          <w:rFonts w:ascii="Helvetica" w:hAnsi="Helvetica"/>
          <w:sz w:val="16"/>
        </w:rPr>
        <w:sectPr>
          <w:type w:val="continuous"/>
          <w:pgSz w:w="12240" w:h="15660"/>
          <w:pgMar w:top="0" w:bottom="760" w:left="0" w:right="0"/>
        </w:sectPr>
      </w:pPr>
    </w:p>
    <w:p>
      <w:pPr>
        <w:tabs>
          <w:tab w:pos="3819" w:val="left" w:leader="none"/>
          <w:tab w:pos="6947" w:val="left" w:leader="none"/>
          <w:tab w:pos="8132" w:val="left" w:leader="none"/>
        </w:tabs>
        <w:spacing w:line="136" w:lineRule="exact" w:before="0"/>
        <w:ind w:left="1921" w:right="0" w:firstLine="0"/>
        <w:jc w:val="left"/>
        <w:rPr>
          <w:rFonts w:ascii="Kristen ITC" w:hAnsi="Kristen ITC"/>
          <w:sz w:val="16"/>
        </w:rPr>
      </w:pPr>
      <w:r>
        <w:rPr/>
        <w:drawing>
          <wp:anchor distT="0" distB="0" distL="0" distR="0" allowOverlap="1" layoutInCell="1" locked="0" behindDoc="0" simplePos="0" relativeHeight="252981248">
            <wp:simplePos x="0" y="0"/>
            <wp:positionH relativeFrom="page">
              <wp:posOffset>4342378</wp:posOffset>
            </wp:positionH>
            <wp:positionV relativeFrom="paragraph">
              <wp:posOffset>63832</wp:posOffset>
            </wp:positionV>
            <wp:extent cx="117182" cy="75984"/>
            <wp:effectExtent l="0" t="0" r="0" b="0"/>
            <wp:wrapNone/>
            <wp:docPr id="27" name="image793.png"/>
            <wp:cNvGraphicFramePr>
              <a:graphicFrameLocks noChangeAspect="1"/>
            </wp:cNvGraphicFramePr>
            <a:graphic>
              <a:graphicData uri="http://schemas.openxmlformats.org/drawingml/2006/picture">
                <pic:pic>
                  <pic:nvPicPr>
                    <pic:cNvPr id="28" name="image793.png"/>
                    <pic:cNvPicPr/>
                  </pic:nvPicPr>
                  <pic:blipFill>
                    <a:blip r:embed="rId1011" cstate="print"/>
                    <a:stretch>
                      <a:fillRect/>
                    </a:stretch>
                  </pic:blipFill>
                  <pic:spPr>
                    <a:xfrm>
                      <a:off x="0" y="0"/>
                      <a:ext cx="117182" cy="75984"/>
                    </a:xfrm>
                    <a:prstGeom prst="rect">
                      <a:avLst/>
                    </a:prstGeom>
                  </pic:spPr>
                </pic:pic>
              </a:graphicData>
            </a:graphic>
          </wp:anchor>
        </w:drawing>
      </w:r>
      <w:r>
        <w:rPr/>
        <w:pict>
          <v:group style="position:absolute;margin-left:548.402222pt;margin-top:3.108903pt;width:6pt;height:34.450pt;mso-position-horizontal-relative:page;mso-position-vertical-relative:paragraph;z-index:252984320" coordorigin="10968,62" coordsize="120,689">
            <v:shape style="position:absolute;left:10968;top:566;width:120;height:185" type="#_x0000_t75" stroked="false">
              <v:imagedata r:id="rId1012" o:title=""/>
            </v:shape>
            <v:line style="position:absolute" from="11028,62" to="11028,616" stroked="true" strokeweight="1.5pt" strokecolor="#231f20">
              <v:stroke dashstyle="solid"/>
            </v:line>
            <w10:wrap type="none"/>
          </v:group>
        </w:pict>
      </w:r>
      <w:r>
        <w:rPr>
          <w:color w:val="231F20"/>
          <w:position w:val="13"/>
          <w:sz w:val="12"/>
        </w:rPr>
        <w:t>4</w:t>
        <w:tab/>
      </w:r>
      <w:r>
        <w:rPr>
          <w:rFonts w:ascii="Consolas" w:hAnsi="Consolas"/>
          <w:color w:val="231F20"/>
          <w:sz w:val="12"/>
        </w:rPr>
        <w:t>+</w:t>
        <w:tab/>
      </w:r>
      <w:r>
        <w:rPr>
          <w:rFonts w:ascii="Consolas" w:hAnsi="Consolas"/>
          <w:color w:val="231F20"/>
          <w:position w:val="8"/>
          <w:sz w:val="12"/>
          <w:u w:val="thick" w:color="F0535F"/>
        </w:rPr>
        <w:t> </w:t>
      </w:r>
      <w:r>
        <w:rPr>
          <w:rFonts w:ascii="Consolas" w:hAnsi="Consolas"/>
          <w:color w:val="231F20"/>
          <w:position w:val="2"/>
          <w:sz w:val="12"/>
        </w:rPr>
        <w:tab/>
      </w:r>
      <w:r>
        <w:rPr>
          <w:rFonts w:ascii="Helvetica" w:hAnsi="Helvetica"/>
          <w:b/>
          <w:color w:val="231F20"/>
          <w:position w:val="2"/>
          <w:sz w:val="16"/>
        </w:rPr>
        <w:t>HCO </w:t>
      </w:r>
      <w:r>
        <w:rPr>
          <w:rFonts w:ascii="Helvetica" w:hAnsi="Helvetica"/>
          <w:b/>
          <w:color w:val="231F20"/>
          <w:position w:val="2"/>
          <w:sz w:val="16"/>
          <w:vertAlign w:val="superscript"/>
        </w:rPr>
        <w:t>–</w:t>
      </w:r>
      <w:r>
        <w:rPr>
          <w:rFonts w:ascii="Helvetica" w:hAnsi="Helvetica"/>
          <w:b/>
          <w:color w:val="231F20"/>
          <w:position w:val="2"/>
          <w:sz w:val="16"/>
          <w:vertAlign w:val="baseline"/>
        </w:rPr>
        <w:t> </w:t>
      </w:r>
      <w:r>
        <w:rPr>
          <w:rFonts w:ascii="Kristen ITC" w:hAnsi="Kristen ITC"/>
          <w:color w:val="231F20"/>
          <w:position w:val="2"/>
          <w:sz w:val="16"/>
          <w:vertAlign w:val="baseline"/>
        </w:rPr>
        <w:t>+</w:t>
      </w:r>
      <w:r>
        <w:rPr>
          <w:rFonts w:ascii="Kristen ITC" w:hAnsi="Kristen ITC"/>
          <w:color w:val="231F20"/>
          <w:spacing w:val="-1"/>
          <w:position w:val="2"/>
          <w:sz w:val="16"/>
          <w:vertAlign w:val="baseline"/>
        </w:rPr>
        <w:t> </w:t>
      </w:r>
      <w:r>
        <w:rPr>
          <w:rFonts w:ascii="Helvetica" w:hAnsi="Helvetica"/>
          <w:b/>
          <w:color w:val="231F20"/>
          <w:position w:val="2"/>
          <w:sz w:val="16"/>
          <w:vertAlign w:val="baseline"/>
        </w:rPr>
        <w:t>H</w:t>
      </w:r>
      <w:r>
        <w:rPr>
          <w:rFonts w:ascii="Kristen ITC" w:hAnsi="Kristen ITC"/>
          <w:color w:val="231F20"/>
          <w:position w:val="2"/>
          <w:sz w:val="16"/>
          <w:vertAlign w:val="superscript"/>
        </w:rPr>
        <w:t>+</w:t>
      </w:r>
    </w:p>
    <w:p>
      <w:pPr>
        <w:spacing w:line="101" w:lineRule="exact" w:before="35"/>
        <w:ind w:left="580" w:right="0" w:firstLine="0"/>
        <w:jc w:val="left"/>
        <w:rPr>
          <w:rFonts w:ascii="Helvetica"/>
          <w:sz w:val="16"/>
        </w:rPr>
      </w:pPr>
      <w:r>
        <w:rPr/>
        <w:br w:type="column"/>
      </w:r>
      <w:r>
        <w:rPr>
          <w:rFonts w:ascii="Helvetica"/>
          <w:color w:val="231F20"/>
          <w:sz w:val="16"/>
        </w:rPr>
        <w:t>ATP</w:t>
      </w:r>
    </w:p>
    <w:p>
      <w:pPr>
        <w:spacing w:after="0" w:line="101" w:lineRule="exact"/>
        <w:jc w:val="left"/>
        <w:rPr>
          <w:rFonts w:ascii="Helvetica"/>
          <w:sz w:val="16"/>
        </w:rPr>
        <w:sectPr>
          <w:type w:val="continuous"/>
          <w:pgSz w:w="12240" w:h="15660"/>
          <w:pgMar w:top="0" w:bottom="760" w:left="0" w:right="0"/>
          <w:cols w:num="2" w:equalWidth="0">
            <w:col w:w="8976" w:space="40"/>
            <w:col w:w="3224"/>
          </w:cols>
        </w:sectPr>
      </w:pPr>
    </w:p>
    <w:p>
      <w:pPr>
        <w:pStyle w:val="BodyText"/>
        <w:spacing w:line="229" w:lineRule="exact"/>
        <w:ind w:left="1440"/>
        <w:jc w:val="both"/>
      </w:pPr>
      <w:r>
        <w:rPr>
          <w:color w:val="231F20"/>
        </w:rPr>
        <w:t>carrying with it the excess H .</w:t>
      </w:r>
    </w:p>
    <w:p>
      <w:pPr>
        <w:pStyle w:val="BodyText"/>
        <w:spacing w:line="247" w:lineRule="auto" w:before="10"/>
        <w:ind w:left="1440" w:right="1727" w:firstLine="240"/>
        <w:jc w:val="both"/>
      </w:pPr>
      <w:r>
        <w:rPr/>
        <w:pict>
          <v:shape style="position:absolute;margin-left:109.964104pt;margin-top:29.76193pt;width:3pt;height:8.7pt;mso-position-horizontal-relative:page;mso-position-vertical-relative:paragraph;z-index:-27241574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There is one important difference in this sequence of H</w:t>
      </w:r>
      <w:r>
        <w:rPr>
          <w:rFonts w:ascii="Consolas" w:hAnsi="Consolas"/>
          <w:color w:val="231F20"/>
          <w:w w:val="105"/>
          <w:position w:val="8"/>
          <w:sz w:val="12"/>
        </w:rPr>
        <w:t>+</w:t>
      </w:r>
      <w:r>
        <w:rPr>
          <w:rFonts w:ascii="Consolas" w:hAnsi="Consolas"/>
          <w:color w:val="231F20"/>
          <w:spacing w:val="-31"/>
          <w:w w:val="105"/>
          <w:position w:val="8"/>
          <w:sz w:val="12"/>
        </w:rPr>
        <w:t> </w:t>
      </w:r>
      <w:r>
        <w:rPr>
          <w:color w:val="231F20"/>
          <w:w w:val="105"/>
        </w:rPr>
        <w:t>excretion</w:t>
      </w:r>
      <w:r>
        <w:rPr>
          <w:color w:val="231F20"/>
          <w:spacing w:val="-14"/>
          <w:w w:val="105"/>
        </w:rPr>
        <w:t> </w:t>
      </w:r>
      <w:r>
        <w:rPr>
          <w:color w:val="231F20"/>
          <w:w w:val="105"/>
        </w:rPr>
        <w:t>from</w:t>
      </w:r>
      <w:r>
        <w:rPr>
          <w:color w:val="231F20"/>
          <w:spacing w:val="-13"/>
          <w:w w:val="105"/>
        </w:rPr>
        <w:t> </w:t>
      </w:r>
      <w:r>
        <w:rPr>
          <w:color w:val="231F20"/>
          <w:w w:val="105"/>
        </w:rPr>
        <w:t>that</w:t>
      </w:r>
      <w:r>
        <w:rPr>
          <w:color w:val="231F20"/>
          <w:spacing w:val="-14"/>
          <w:w w:val="105"/>
        </w:rPr>
        <w:t> </w:t>
      </w:r>
      <w:r>
        <w:rPr>
          <w:color w:val="231F20"/>
          <w:w w:val="105"/>
        </w:rPr>
        <w:t>discussed</w:t>
      </w:r>
      <w:r>
        <w:rPr>
          <w:color w:val="231F20"/>
          <w:spacing w:val="-14"/>
          <w:w w:val="105"/>
        </w:rPr>
        <w:t> </w:t>
      </w:r>
      <w:r>
        <w:rPr>
          <w:color w:val="231F20"/>
          <w:w w:val="105"/>
        </w:rPr>
        <w:t>previously.</w:t>
      </w:r>
      <w:r>
        <w:rPr>
          <w:color w:val="231F20"/>
          <w:spacing w:val="-14"/>
          <w:w w:val="105"/>
        </w:rPr>
        <w:t> </w:t>
      </w:r>
      <w:r>
        <w:rPr>
          <w:color w:val="231F20"/>
          <w:w w:val="105"/>
        </w:rPr>
        <w:t>In</w:t>
      </w:r>
      <w:r>
        <w:rPr>
          <w:color w:val="231F20"/>
          <w:spacing w:val="-13"/>
          <w:w w:val="105"/>
        </w:rPr>
        <w:t> </w:t>
      </w:r>
      <w:r>
        <w:rPr>
          <w:color w:val="231F20"/>
          <w:w w:val="105"/>
        </w:rPr>
        <w:t>this</w:t>
      </w:r>
      <w:r>
        <w:rPr>
          <w:color w:val="231F20"/>
          <w:spacing w:val="-14"/>
          <w:w w:val="105"/>
        </w:rPr>
        <w:t> </w:t>
      </w:r>
      <w:r>
        <w:rPr>
          <w:color w:val="231F20"/>
          <w:w w:val="105"/>
        </w:rPr>
        <w:t>case, the</w:t>
      </w:r>
      <w:r>
        <w:rPr>
          <w:color w:val="231F20"/>
          <w:spacing w:val="-8"/>
          <w:w w:val="105"/>
        </w:rPr>
        <w:t> </w:t>
      </w:r>
      <w:r>
        <w:rPr>
          <w:color w:val="231F20"/>
          <w:w w:val="105"/>
        </w:rPr>
        <w:t>HCO</w:t>
      </w:r>
      <w:r>
        <w:rPr>
          <w:color w:val="231F20"/>
          <w:spacing w:val="3"/>
          <w:w w:val="105"/>
        </w:rPr>
        <w:t> </w:t>
      </w:r>
      <w:r>
        <w:rPr>
          <w:rFonts w:ascii="Consolas" w:hAnsi="Consolas"/>
          <w:color w:val="231F20"/>
          <w:w w:val="105"/>
          <w:position w:val="8"/>
          <w:sz w:val="12"/>
        </w:rPr>
        <w:t>−</w:t>
      </w:r>
      <w:r>
        <w:rPr>
          <w:rFonts w:ascii="Consolas" w:hAnsi="Consolas"/>
          <w:color w:val="231F20"/>
          <w:spacing w:val="-25"/>
          <w:w w:val="105"/>
          <w:position w:val="8"/>
          <w:sz w:val="12"/>
        </w:rPr>
        <w:t> </w:t>
      </w:r>
      <w:r>
        <w:rPr>
          <w:color w:val="231F20"/>
          <w:w w:val="105"/>
        </w:rPr>
        <w:t>that</w:t>
      </w:r>
      <w:r>
        <w:rPr>
          <w:color w:val="231F20"/>
          <w:spacing w:val="-7"/>
          <w:w w:val="105"/>
        </w:rPr>
        <w:t> </w:t>
      </w:r>
      <w:r>
        <w:rPr>
          <w:color w:val="231F20"/>
          <w:w w:val="105"/>
        </w:rPr>
        <w:t>is</w:t>
      </w:r>
      <w:r>
        <w:rPr>
          <w:color w:val="231F20"/>
          <w:spacing w:val="-8"/>
          <w:w w:val="105"/>
        </w:rPr>
        <w:t> </w:t>
      </w:r>
      <w:r>
        <w:rPr>
          <w:color w:val="231F20"/>
          <w:w w:val="105"/>
        </w:rPr>
        <w:t>generated</w:t>
      </w:r>
      <w:r>
        <w:rPr>
          <w:color w:val="231F20"/>
          <w:spacing w:val="-7"/>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tubular</w:t>
      </w:r>
      <w:r>
        <w:rPr>
          <w:color w:val="231F20"/>
          <w:spacing w:val="-7"/>
          <w:w w:val="105"/>
        </w:rPr>
        <w:t> </w:t>
      </w:r>
      <w:r>
        <w:rPr>
          <w:color w:val="231F20"/>
          <w:w w:val="105"/>
        </w:rPr>
        <w:t>cell</w:t>
      </w:r>
      <w:r>
        <w:rPr>
          <w:color w:val="231F20"/>
          <w:spacing w:val="-8"/>
          <w:w w:val="105"/>
        </w:rPr>
        <w:t> </w:t>
      </w:r>
      <w:r>
        <w:rPr>
          <w:color w:val="231F20"/>
          <w:w w:val="105"/>
        </w:rPr>
        <w:t>and</w:t>
      </w:r>
      <w:r>
        <w:rPr>
          <w:color w:val="231F20"/>
          <w:spacing w:val="-7"/>
          <w:w w:val="105"/>
        </w:rPr>
        <w:t> </w:t>
      </w:r>
      <w:r>
        <w:rPr>
          <w:color w:val="231F20"/>
          <w:w w:val="105"/>
        </w:rPr>
        <w:t>enters</w:t>
      </w:r>
    </w:p>
    <w:p>
      <w:pPr>
        <w:pStyle w:val="BodyText"/>
        <w:tabs>
          <w:tab w:pos="6984" w:val="left" w:leader="none"/>
          <w:tab w:pos="7850" w:val="left" w:leader="none"/>
        </w:tabs>
        <w:spacing w:line="107" w:lineRule="exact"/>
        <w:ind w:left="1440"/>
        <w:jc w:val="both"/>
        <w:rPr>
          <w:sz w:val="12"/>
        </w:rPr>
      </w:pPr>
      <w:r>
        <w:rPr>
          <w:color w:val="231F20"/>
          <w:w w:val="105"/>
        </w:rPr>
        <w:t>the</w:t>
      </w:r>
      <w:r>
        <w:rPr>
          <w:color w:val="231F20"/>
          <w:spacing w:val="36"/>
          <w:w w:val="105"/>
        </w:rPr>
        <w:t> </w:t>
      </w:r>
      <w:r>
        <w:rPr>
          <w:color w:val="231F20"/>
          <w:w w:val="105"/>
        </w:rPr>
        <w:t>peritubular</w:t>
      </w:r>
      <w:r>
        <w:rPr>
          <w:color w:val="231F20"/>
          <w:spacing w:val="36"/>
          <w:w w:val="105"/>
        </w:rPr>
        <w:t> </w:t>
      </w:r>
      <w:r>
        <w:rPr>
          <w:color w:val="231F20"/>
          <w:w w:val="105"/>
        </w:rPr>
        <w:t>blood</w:t>
      </w:r>
      <w:r>
        <w:rPr>
          <w:color w:val="231F20"/>
          <w:spacing w:val="36"/>
          <w:w w:val="105"/>
        </w:rPr>
        <w:t> </w:t>
      </w:r>
      <w:r>
        <w:rPr>
          <w:color w:val="231F20"/>
          <w:w w:val="105"/>
        </w:rPr>
        <w:t>represents</w:t>
      </w:r>
      <w:r>
        <w:rPr>
          <w:color w:val="231F20"/>
          <w:spacing w:val="36"/>
          <w:w w:val="105"/>
        </w:rPr>
        <w:t> </w:t>
      </w:r>
      <w:r>
        <w:rPr>
          <w:color w:val="231F20"/>
          <w:w w:val="105"/>
        </w:rPr>
        <w:t>a</w:t>
      </w:r>
      <w:r>
        <w:rPr>
          <w:color w:val="231F20"/>
          <w:spacing w:val="36"/>
          <w:w w:val="105"/>
        </w:rPr>
        <w:t> </w:t>
      </w:r>
      <w:r>
        <w:rPr>
          <w:color w:val="231F20"/>
          <w:w w:val="105"/>
        </w:rPr>
        <w:t>net</w:t>
      </w:r>
      <w:r>
        <w:rPr>
          <w:color w:val="231F20"/>
          <w:spacing w:val="36"/>
          <w:w w:val="105"/>
        </w:rPr>
        <w:t> </w:t>
      </w:r>
      <w:r>
        <w:rPr>
          <w:color w:val="231F20"/>
          <w:w w:val="105"/>
        </w:rPr>
        <w:t>gain</w:t>
      </w:r>
      <w:r>
        <w:rPr>
          <w:color w:val="231F20"/>
          <w:spacing w:val="36"/>
          <w:w w:val="105"/>
        </w:rPr>
        <w:t> </w:t>
      </w:r>
      <w:r>
        <w:rPr>
          <w:color w:val="231F20"/>
          <w:w w:val="105"/>
        </w:rPr>
        <w:t>of</w:t>
      </w:r>
      <w:r>
        <w:rPr>
          <w:color w:val="231F20"/>
          <w:spacing w:val="36"/>
          <w:w w:val="105"/>
        </w:rPr>
        <w:t> </w:t>
      </w:r>
      <w:r>
        <w:rPr>
          <w:color w:val="231F20"/>
          <w:w w:val="105"/>
        </w:rPr>
        <w:t>HCO</w:t>
      </w:r>
      <w:r>
        <w:rPr>
          <w:color w:val="231F20"/>
          <w:spacing w:val="4"/>
          <w:w w:val="105"/>
        </w:rPr>
        <w:t> </w:t>
      </w:r>
      <w:r>
        <w:rPr>
          <w:rFonts w:ascii="Consolas" w:hAnsi="Consolas"/>
          <w:color w:val="231F20"/>
          <w:w w:val="105"/>
          <w:position w:val="8"/>
          <w:sz w:val="12"/>
        </w:rPr>
        <w:t>−</w:t>
      </w:r>
      <w:r>
        <w:rPr>
          <w:rFonts w:ascii="Consolas" w:hAnsi="Consolas"/>
          <w:color w:val="231F20"/>
          <w:position w:val="8"/>
          <w:sz w:val="12"/>
        </w:rPr>
        <w:tab/>
      </w:r>
      <w:r>
        <w:rPr>
          <w:color w:val="231F20"/>
          <w:position w:val="8"/>
          <w:sz w:val="12"/>
          <w:u w:val="thick" w:color="F0535F"/>
        </w:rPr>
        <w:t> </w:t>
        <w:tab/>
      </w:r>
    </w:p>
    <w:p>
      <w:pPr>
        <w:tabs>
          <w:tab w:pos="1485" w:val="left" w:leader="none"/>
          <w:tab w:pos="2087" w:val="left" w:leader="none"/>
        </w:tabs>
        <w:spacing w:before="13"/>
        <w:ind w:left="597" w:right="0" w:firstLine="0"/>
        <w:jc w:val="left"/>
        <w:rPr>
          <w:rFonts w:ascii="Helvetica"/>
          <w:b/>
          <w:sz w:val="12"/>
        </w:rPr>
      </w:pPr>
      <w:r>
        <w:rPr/>
        <w:br w:type="column"/>
      </w:r>
      <w:r>
        <w:rPr>
          <w:rFonts w:ascii="Helvetica"/>
          <w:b/>
          <w:color w:val="231F20"/>
          <w:sz w:val="12"/>
        </w:rPr>
        <w:t>3</w:t>
        <w:tab/>
      </w:r>
      <w:r>
        <w:rPr>
          <w:rFonts w:ascii="Helvetica"/>
          <w:b/>
          <w:color w:val="231F20"/>
          <w:w w:val="100"/>
          <w:sz w:val="12"/>
          <w:u w:val="thick" w:color="F0535F"/>
        </w:rPr>
        <w:t> </w:t>
      </w:r>
      <w:r>
        <w:rPr>
          <w:rFonts w:ascii="Helvetica"/>
          <w:b/>
          <w:color w:val="231F20"/>
          <w:sz w:val="12"/>
          <w:u w:val="thick" w:color="F0535F"/>
        </w:rPr>
        <w:tab/>
      </w:r>
    </w:p>
    <w:p>
      <w:pPr>
        <w:pStyle w:val="BodyText"/>
        <w:rPr>
          <w:rFonts w:ascii="Helvetica"/>
          <w:b/>
          <w:sz w:val="14"/>
        </w:rPr>
      </w:pPr>
    </w:p>
    <w:p>
      <w:pPr>
        <w:pStyle w:val="BodyText"/>
        <w:spacing w:before="9"/>
        <w:rPr>
          <w:rFonts w:ascii="Helvetica"/>
          <w:b/>
          <w:sz w:val="12"/>
        </w:rPr>
      </w:pPr>
    </w:p>
    <w:p>
      <w:pPr>
        <w:spacing w:line="201" w:lineRule="exact" w:before="0"/>
        <w:ind w:left="415" w:right="0" w:firstLine="0"/>
        <w:jc w:val="left"/>
        <w:rPr>
          <w:rFonts w:ascii="Helvetica"/>
          <w:b/>
          <w:sz w:val="12"/>
        </w:rPr>
      </w:pPr>
      <w:r>
        <w:rPr>
          <w:rFonts w:ascii="Helvetica"/>
          <w:b/>
          <w:color w:val="231F20"/>
          <w:sz w:val="16"/>
        </w:rPr>
        <w:t>H</w:t>
      </w:r>
      <w:r>
        <w:rPr>
          <w:rFonts w:ascii="Helvetica"/>
          <w:b/>
          <w:color w:val="231F20"/>
          <w:position w:val="-4"/>
          <w:sz w:val="12"/>
        </w:rPr>
        <w:t>2</w:t>
      </w:r>
      <w:r>
        <w:rPr>
          <w:rFonts w:ascii="Helvetica"/>
          <w:b/>
          <w:color w:val="231F20"/>
          <w:sz w:val="16"/>
        </w:rPr>
        <w:t>CO</w:t>
      </w:r>
      <w:r>
        <w:rPr>
          <w:rFonts w:ascii="Helvetica"/>
          <w:b/>
          <w:color w:val="231F20"/>
          <w:position w:val="-4"/>
          <w:sz w:val="12"/>
        </w:rPr>
        <w:t>3</w:t>
      </w:r>
    </w:p>
    <w:p>
      <w:pPr>
        <w:spacing w:line="157" w:lineRule="exact" w:before="0"/>
        <w:ind w:left="931" w:right="0" w:firstLine="0"/>
        <w:jc w:val="left"/>
        <w:rPr>
          <w:rFonts w:ascii="Helvetica"/>
          <w:sz w:val="16"/>
        </w:rPr>
      </w:pPr>
      <w:r>
        <w:rPr>
          <w:rFonts w:ascii="Helvetica"/>
          <w:color w:val="231F20"/>
          <w:sz w:val="16"/>
        </w:rPr>
        <w:t>Carbonic</w:t>
      </w:r>
    </w:p>
    <w:p>
      <w:pPr>
        <w:spacing w:line="151" w:lineRule="auto" w:before="9"/>
        <w:ind w:left="506" w:right="0" w:firstLine="0"/>
        <w:jc w:val="left"/>
        <w:rPr>
          <w:rFonts w:ascii="Helvetica"/>
          <w:sz w:val="16"/>
        </w:rPr>
      </w:pPr>
      <w:r>
        <w:rPr/>
        <w:pict>
          <v:shape style="position:absolute;margin-left:425.623199pt;margin-top:10.205508pt;width:3.35pt;height:7.15pt;mso-position-horizontal-relative:page;mso-position-vertical-relative:paragraph;z-index:-272414720" type="#_x0000_t202" filled="false" stroked="false">
            <v:textbox inset="0,0,0,0">
              <w:txbxContent>
                <w:p>
                  <w:pPr>
                    <w:spacing w:before="3"/>
                    <w:ind w:left="0" w:right="0" w:firstLine="0"/>
                    <w:jc w:val="left"/>
                    <w:rPr>
                      <w:rFonts w:ascii="Helvetica"/>
                      <w:b/>
                      <w:sz w:val="12"/>
                    </w:rPr>
                  </w:pPr>
                  <w:r>
                    <w:rPr>
                      <w:rFonts w:ascii="Helvetica"/>
                      <w:b/>
                      <w:color w:val="231F20"/>
                      <w:w w:val="99"/>
                      <w:sz w:val="12"/>
                    </w:rPr>
                    <w:t>2</w:t>
                  </w:r>
                </w:p>
              </w:txbxContent>
            </v:textbox>
            <w10:wrap type="none"/>
          </v:shape>
        </w:pict>
      </w:r>
      <w:r>
        <w:rPr>
          <w:rFonts w:ascii="Helvetica"/>
          <w:b/>
          <w:color w:val="231F20"/>
          <w:position w:val="-11"/>
          <w:sz w:val="16"/>
        </w:rPr>
        <w:t>H O </w:t>
      </w:r>
      <w:r>
        <w:rPr>
          <w:rFonts w:ascii="Helvetica"/>
          <w:color w:val="231F20"/>
          <w:sz w:val="16"/>
        </w:rPr>
        <w:t>anhydrase</w:t>
      </w:r>
    </w:p>
    <w:p>
      <w:pPr>
        <w:spacing w:before="49"/>
        <w:ind w:left="102" w:right="0" w:firstLine="0"/>
        <w:jc w:val="left"/>
        <w:rPr>
          <w:rFonts w:ascii="Kristen ITC"/>
          <w:sz w:val="12"/>
        </w:rPr>
      </w:pPr>
      <w:r>
        <w:rPr/>
        <w:br w:type="column"/>
      </w:r>
      <w:r>
        <w:rPr>
          <w:rFonts w:ascii="Helvetica"/>
          <w:b/>
          <w:color w:val="231F20"/>
          <w:position w:val="-4"/>
          <w:sz w:val="16"/>
        </w:rPr>
        <w:t>H</w:t>
      </w:r>
      <w:r>
        <w:rPr>
          <w:rFonts w:ascii="Kristen ITC"/>
          <w:color w:val="231F20"/>
          <w:sz w:val="12"/>
        </w:rPr>
        <w:t>+</w:t>
      </w:r>
    </w:p>
    <w:p>
      <w:pPr>
        <w:pStyle w:val="BodyText"/>
        <w:spacing w:before="8"/>
        <w:rPr>
          <w:rFonts w:ascii="Kristen ITC"/>
          <w:sz w:val="26"/>
        </w:rPr>
      </w:pPr>
    </w:p>
    <w:p>
      <w:pPr>
        <w:spacing w:before="0"/>
        <w:ind w:left="368" w:right="0" w:firstLine="0"/>
        <w:jc w:val="left"/>
        <w:rPr>
          <w:rFonts w:ascii="Kristen ITC"/>
          <w:sz w:val="12"/>
        </w:rPr>
      </w:pPr>
      <w:r>
        <w:rPr/>
        <w:pict>
          <v:shape style="position:absolute;margin-left:530.901184pt;margin-top:5.394983pt;width:3.35pt;height:7.15pt;mso-position-horizontal-relative:page;mso-position-vertical-relative:paragraph;z-index:-272413696" type="#_x0000_t202" filled="false" stroked="false">
            <v:textbox inset="0,0,0,0">
              <w:txbxContent>
                <w:p>
                  <w:pPr>
                    <w:spacing w:before="3"/>
                    <w:ind w:left="0" w:right="0" w:firstLine="0"/>
                    <w:jc w:val="left"/>
                    <w:rPr>
                      <w:rFonts w:ascii="Helvetica"/>
                      <w:b/>
                      <w:sz w:val="12"/>
                    </w:rPr>
                  </w:pPr>
                  <w:r>
                    <w:rPr>
                      <w:rFonts w:ascii="Helvetica"/>
                      <w:b/>
                      <w:color w:val="231F20"/>
                      <w:w w:val="99"/>
                      <w:sz w:val="12"/>
                    </w:rPr>
                    <w:t>4</w:t>
                  </w:r>
                </w:p>
              </w:txbxContent>
            </v:textbox>
            <w10:wrap type="none"/>
          </v:shape>
        </w:pict>
      </w:r>
      <w:r>
        <w:rPr>
          <w:rFonts w:ascii="Helvetica"/>
          <w:b/>
          <w:color w:val="231F20"/>
          <w:sz w:val="16"/>
        </w:rPr>
        <w:t>NH </w:t>
      </w:r>
      <w:r>
        <w:rPr>
          <w:rFonts w:ascii="Kristen ITC"/>
          <w:color w:val="231F20"/>
          <w:position w:val="5"/>
          <w:sz w:val="12"/>
        </w:rPr>
        <w:t>+</w:t>
      </w:r>
    </w:p>
    <w:p>
      <w:pPr>
        <w:pStyle w:val="BodyText"/>
        <w:rPr>
          <w:rFonts w:ascii="Kristen ITC"/>
        </w:rPr>
      </w:pPr>
      <w:r>
        <w:rPr/>
        <w:br w:type="column"/>
      </w:r>
      <w:r>
        <w:rPr>
          <w:rFonts w:ascii="Kristen ITC"/>
        </w:rPr>
      </w:r>
    </w:p>
    <w:p>
      <w:pPr>
        <w:pStyle w:val="BodyText"/>
        <w:spacing w:before="6"/>
        <w:rPr>
          <w:rFonts w:ascii="Kristen ITC"/>
          <w:sz w:val="25"/>
        </w:rPr>
      </w:pPr>
    </w:p>
    <w:p>
      <w:pPr>
        <w:spacing w:before="1"/>
        <w:ind w:left="4" w:right="0" w:firstLine="0"/>
        <w:jc w:val="left"/>
        <w:rPr>
          <w:rFonts w:ascii="Helvetica" w:hAnsi="Helvetica"/>
          <w:sz w:val="12"/>
        </w:rPr>
      </w:pPr>
      <w:r>
        <w:rPr>
          <w:rFonts w:ascii="Helvetica" w:hAnsi="Helvetica"/>
          <w:color w:val="231F20"/>
          <w:sz w:val="16"/>
        </w:rPr>
        <w:t>+ Cl</w:t>
      </w:r>
      <w:r>
        <w:rPr>
          <w:rFonts w:ascii="Helvetica" w:hAnsi="Helvetica"/>
          <w:color w:val="231F20"/>
          <w:position w:val="6"/>
          <w:sz w:val="12"/>
        </w:rPr>
        <w:t>–</w:t>
      </w:r>
    </w:p>
    <w:p>
      <w:pPr>
        <w:spacing w:after="0"/>
        <w:jc w:val="left"/>
        <w:rPr>
          <w:rFonts w:ascii="Helvetica" w:hAnsi="Helvetica"/>
          <w:sz w:val="12"/>
        </w:rPr>
        <w:sectPr>
          <w:type w:val="continuous"/>
          <w:pgSz w:w="12240" w:h="15660"/>
          <w:pgMar w:top="0" w:bottom="760" w:left="0" w:right="0"/>
          <w:cols w:num="4" w:equalWidth="0">
            <w:col w:w="7851" w:space="40"/>
            <w:col w:w="2088" w:space="39"/>
            <w:col w:w="733" w:space="40"/>
            <w:col w:w="1449"/>
          </w:cols>
        </w:sectPr>
      </w:pPr>
    </w:p>
    <w:p>
      <w:pPr>
        <w:spacing w:line="136" w:lineRule="exact" w:before="0"/>
        <w:ind w:left="0" w:right="64" w:firstLine="0"/>
        <w:jc w:val="right"/>
        <w:rPr>
          <w:sz w:val="12"/>
        </w:rPr>
      </w:pPr>
      <w:r>
        <w:rPr>
          <w:color w:val="231F20"/>
          <w:w w:val="98"/>
          <w:sz w:val="12"/>
        </w:rPr>
        <w:t>3</w:t>
      </w:r>
    </w:p>
    <w:p>
      <w:pPr>
        <w:spacing w:line="247" w:lineRule="auto" w:before="0"/>
        <w:ind w:left="1440" w:right="-11" w:firstLine="0"/>
        <w:jc w:val="left"/>
        <w:rPr>
          <w:i/>
          <w:sz w:val="20"/>
        </w:rPr>
      </w:pPr>
      <w:r>
        <w:rPr/>
        <w:pict>
          <v:shape style="position:absolute;margin-left:94.459602pt;margin-top:17.26193pt;width:3pt;height:8.7pt;mso-position-horizontal-relative:page;mso-position-vertical-relative:paragraph;z-index:-2724126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sz w:val="20"/>
        </w:rPr>
        <w:t>by</w:t>
      </w:r>
      <w:r>
        <w:rPr>
          <w:color w:val="231F20"/>
          <w:spacing w:val="-15"/>
          <w:w w:val="105"/>
          <w:sz w:val="20"/>
        </w:rPr>
        <w:t> </w:t>
      </w:r>
      <w:r>
        <w:rPr>
          <w:color w:val="231F20"/>
          <w:w w:val="105"/>
          <w:sz w:val="20"/>
        </w:rPr>
        <w:t>the</w:t>
      </w:r>
      <w:r>
        <w:rPr>
          <w:color w:val="231F20"/>
          <w:spacing w:val="-15"/>
          <w:w w:val="105"/>
          <w:sz w:val="20"/>
        </w:rPr>
        <w:t> </w:t>
      </w:r>
      <w:r>
        <w:rPr>
          <w:color w:val="231F20"/>
          <w:w w:val="105"/>
          <w:sz w:val="20"/>
        </w:rPr>
        <w:t>blood,</w:t>
      </w:r>
      <w:r>
        <w:rPr>
          <w:color w:val="231F20"/>
          <w:spacing w:val="-15"/>
          <w:w w:val="105"/>
          <w:sz w:val="20"/>
        </w:rPr>
        <w:t> </w:t>
      </w:r>
      <w:r>
        <w:rPr>
          <w:color w:val="231F20"/>
          <w:w w:val="105"/>
          <w:sz w:val="20"/>
        </w:rPr>
        <w:t>rather</w:t>
      </w:r>
      <w:r>
        <w:rPr>
          <w:color w:val="231F20"/>
          <w:spacing w:val="-14"/>
          <w:w w:val="105"/>
          <w:sz w:val="20"/>
        </w:rPr>
        <w:t> </w:t>
      </w:r>
      <w:r>
        <w:rPr>
          <w:color w:val="231F20"/>
          <w:w w:val="105"/>
          <w:sz w:val="20"/>
        </w:rPr>
        <w:t>than</w:t>
      </w:r>
      <w:r>
        <w:rPr>
          <w:color w:val="231F20"/>
          <w:spacing w:val="-15"/>
          <w:w w:val="105"/>
          <w:sz w:val="20"/>
        </w:rPr>
        <w:t> </w:t>
      </w:r>
      <w:r>
        <w:rPr>
          <w:color w:val="231F20"/>
          <w:w w:val="105"/>
          <w:sz w:val="20"/>
        </w:rPr>
        <w:t>merely</w:t>
      </w:r>
      <w:r>
        <w:rPr>
          <w:color w:val="231F20"/>
          <w:spacing w:val="-15"/>
          <w:w w:val="105"/>
          <w:sz w:val="20"/>
        </w:rPr>
        <w:t> </w:t>
      </w:r>
      <w:r>
        <w:rPr>
          <w:color w:val="231F20"/>
          <w:w w:val="105"/>
          <w:sz w:val="20"/>
        </w:rPr>
        <w:t>a</w:t>
      </w:r>
      <w:r>
        <w:rPr>
          <w:color w:val="231F20"/>
          <w:spacing w:val="-14"/>
          <w:w w:val="105"/>
          <w:sz w:val="20"/>
        </w:rPr>
        <w:t> </w:t>
      </w:r>
      <w:r>
        <w:rPr>
          <w:color w:val="231F20"/>
          <w:w w:val="105"/>
          <w:sz w:val="20"/>
        </w:rPr>
        <w:t>replacement</w:t>
      </w:r>
      <w:r>
        <w:rPr>
          <w:color w:val="231F20"/>
          <w:spacing w:val="-15"/>
          <w:w w:val="105"/>
          <w:sz w:val="20"/>
        </w:rPr>
        <w:t> </w:t>
      </w:r>
      <w:r>
        <w:rPr>
          <w:color w:val="231F20"/>
          <w:w w:val="105"/>
          <w:sz w:val="20"/>
        </w:rPr>
        <w:t>of</w:t>
      </w:r>
      <w:r>
        <w:rPr>
          <w:color w:val="231F20"/>
          <w:spacing w:val="-15"/>
          <w:w w:val="105"/>
          <w:sz w:val="20"/>
        </w:rPr>
        <w:t> </w:t>
      </w:r>
      <w:r>
        <w:rPr>
          <w:color w:val="231F20"/>
          <w:w w:val="105"/>
          <w:sz w:val="20"/>
        </w:rPr>
        <w:t>filtered HCO </w:t>
      </w:r>
      <w:r>
        <w:rPr>
          <w:rFonts w:ascii="Consolas" w:hAnsi="Consolas"/>
          <w:color w:val="231F20"/>
          <w:w w:val="105"/>
          <w:position w:val="8"/>
          <w:sz w:val="12"/>
        </w:rPr>
        <w:t>−</w:t>
      </w:r>
      <w:r>
        <w:rPr>
          <w:color w:val="231F20"/>
          <w:w w:val="105"/>
          <w:sz w:val="20"/>
        </w:rPr>
        <w:t>. </w:t>
      </w:r>
      <w:r>
        <w:rPr>
          <w:i/>
          <w:color w:val="231F20"/>
          <w:w w:val="105"/>
          <w:sz w:val="20"/>
        </w:rPr>
        <w:t>Therefore, whenever an H</w:t>
      </w:r>
      <w:r>
        <w:rPr>
          <w:rFonts w:ascii="Consolas" w:hAnsi="Consolas"/>
          <w:color w:val="231F20"/>
          <w:w w:val="105"/>
          <w:position w:val="8"/>
          <w:sz w:val="12"/>
        </w:rPr>
        <w:t>+ </w:t>
      </w:r>
      <w:r>
        <w:rPr>
          <w:i/>
          <w:color w:val="231F20"/>
          <w:w w:val="105"/>
          <w:sz w:val="20"/>
        </w:rPr>
        <w:t>secreted into</w:t>
      </w:r>
      <w:r>
        <w:rPr>
          <w:i/>
          <w:color w:val="231F20"/>
          <w:spacing w:val="22"/>
          <w:w w:val="105"/>
          <w:sz w:val="20"/>
        </w:rPr>
        <w:t> </w:t>
      </w:r>
      <w:r>
        <w:rPr>
          <w:i/>
          <w:color w:val="231F20"/>
          <w:spacing w:val="-7"/>
          <w:w w:val="105"/>
          <w:sz w:val="20"/>
        </w:rPr>
        <w:t>the</w:t>
      </w:r>
    </w:p>
    <w:p>
      <w:pPr>
        <w:tabs>
          <w:tab w:pos="1792" w:val="left" w:leader="none"/>
        </w:tabs>
        <w:spacing w:before="72"/>
        <w:ind w:left="447" w:right="0" w:firstLine="0"/>
        <w:jc w:val="left"/>
        <w:rPr>
          <w:rFonts w:ascii="Helvetica"/>
          <w:b/>
          <w:sz w:val="12"/>
        </w:rPr>
      </w:pPr>
      <w:r>
        <w:rPr/>
        <w:br w:type="column"/>
      </w:r>
      <w:r>
        <w:rPr>
          <w:rFonts w:ascii="Helvetica"/>
          <w:b/>
          <w:color w:val="231F20"/>
          <w:sz w:val="16"/>
        </w:rPr>
        <w:t>CO</w:t>
      </w:r>
      <w:r>
        <w:rPr>
          <w:rFonts w:ascii="Helvetica"/>
          <w:b/>
          <w:color w:val="231F20"/>
          <w:position w:val="-4"/>
          <w:sz w:val="12"/>
        </w:rPr>
        <w:t>2    </w:t>
      </w:r>
      <w:r>
        <w:rPr>
          <w:rFonts w:ascii="Helvetica"/>
          <w:b/>
          <w:color w:val="231F20"/>
          <w:spacing w:val="6"/>
          <w:position w:val="-4"/>
          <w:sz w:val="12"/>
        </w:rPr>
        <w:t> </w:t>
      </w:r>
      <w:r>
        <w:rPr>
          <w:rFonts w:ascii="Helvetica"/>
          <w:b/>
          <w:color w:val="231F20"/>
          <w:w w:val="100"/>
          <w:position w:val="-4"/>
          <w:sz w:val="12"/>
          <w:u w:val="thick" w:color="F0535F"/>
        </w:rPr>
        <w:t> </w:t>
      </w:r>
      <w:r>
        <w:rPr>
          <w:rFonts w:ascii="Helvetica"/>
          <w:b/>
          <w:color w:val="231F20"/>
          <w:position w:val="-4"/>
          <w:sz w:val="12"/>
          <w:u w:val="thick" w:color="F0535F"/>
        </w:rPr>
        <w:tab/>
      </w:r>
    </w:p>
    <w:p>
      <w:pPr>
        <w:spacing w:line="197" w:lineRule="exact" w:before="36"/>
        <w:ind w:left="369" w:right="3514" w:firstLine="0"/>
        <w:jc w:val="center"/>
        <w:rPr>
          <w:rFonts w:ascii="Kristen ITC"/>
          <w:sz w:val="16"/>
        </w:rPr>
      </w:pPr>
      <w:r>
        <w:rPr/>
        <w:br w:type="column"/>
      </w:r>
      <w:r>
        <w:rPr>
          <w:rFonts w:ascii="Kristen ITC"/>
          <w:color w:val="231F20"/>
          <w:sz w:val="16"/>
        </w:rPr>
        <w:t>+</w:t>
      </w:r>
    </w:p>
    <w:p>
      <w:pPr>
        <w:spacing w:line="206" w:lineRule="auto" w:before="0"/>
        <w:ind w:left="369" w:right="3531" w:firstLine="0"/>
        <w:jc w:val="center"/>
        <w:rPr>
          <w:rFonts w:ascii="Helvetica"/>
          <w:b/>
          <w:sz w:val="12"/>
        </w:rPr>
      </w:pPr>
      <w:r>
        <w:rPr/>
        <w:pict>
          <v:group style="position:absolute;margin-left:525.589111pt;margin-top:-21.101984pt;width:6pt;height:20.45pt;mso-position-horizontal-relative:page;mso-position-vertical-relative:paragraph;z-index:252983296" coordorigin="10512,-422" coordsize="120,409">
            <v:shape style="position:absolute;left:10511;top:-198;width:120;height:185" coordorigin="10512,-198" coordsize="120,185" path="m10513,-198l10512,-196,10550,-106,10572,-13,10594,-107,10618,-164,10572,-164,10513,-198xm10631,-198l10572,-164,10618,-164,10631,-196,10631,-198xe" filled="true" fillcolor="#f0535f" stroked="false">
              <v:path arrowok="t"/>
              <v:fill type="solid"/>
            </v:shape>
            <v:line style="position:absolute" from="10571,-422" to="10571,-149" stroked="true" strokeweight="1.5pt" strokecolor="#f0535f">
              <v:stroke dashstyle="solid"/>
            </v:line>
            <w10:wrap type="none"/>
          </v:group>
        </w:pict>
      </w:r>
      <w:r>
        <w:rPr>
          <w:rFonts w:ascii="Helvetica"/>
          <w:b/>
          <w:color w:val="231F20"/>
          <w:sz w:val="16"/>
        </w:rPr>
        <w:t>CO</w:t>
      </w:r>
      <w:r>
        <w:rPr>
          <w:rFonts w:ascii="Helvetica"/>
          <w:b/>
          <w:color w:val="231F20"/>
          <w:position w:val="-4"/>
          <w:sz w:val="12"/>
        </w:rPr>
        <w:t>2</w:t>
      </w:r>
    </w:p>
    <w:p>
      <w:pPr>
        <w:spacing w:after="0" w:line="206" w:lineRule="auto"/>
        <w:jc w:val="center"/>
        <w:rPr>
          <w:rFonts w:ascii="Helvetica"/>
          <w:sz w:val="12"/>
        </w:rPr>
        <w:sectPr>
          <w:type w:val="continuous"/>
          <w:pgSz w:w="12240" w:h="15660"/>
          <w:pgMar w:top="0" w:bottom="760" w:left="0" w:right="0"/>
          <w:cols w:num="3" w:equalWidth="0">
            <w:col w:w="6121" w:space="40"/>
            <w:col w:w="1793" w:space="39"/>
            <w:col w:w="4247"/>
          </w:cols>
        </w:sectPr>
      </w:pPr>
    </w:p>
    <w:p>
      <w:pPr>
        <w:spacing w:line="249" w:lineRule="auto" w:before="0"/>
        <w:ind w:left="1439" w:right="0" w:firstLine="0"/>
        <w:jc w:val="both"/>
        <w:rPr>
          <w:sz w:val="20"/>
        </w:rPr>
      </w:pPr>
      <w:r>
        <w:rPr/>
        <w:pict>
          <v:shape style="position:absolute;margin-left:297.466187pt;margin-top:5.445525pt;width:3pt;height:8.7pt;mso-position-horizontal-relative:page;mso-position-vertical-relative:paragraph;z-index:-272411648"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227.747894pt;margin-top:17.445524pt;width:3pt;height:8.7pt;mso-position-horizontal-relative:page;mso-position-vertical-relative:paragraph;z-index:-272410624"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471.519897pt;margin-top:30.307425pt;width:2.7pt;height:5.45pt;mso-position-horizontal-relative:page;mso-position-vertical-relative:paragraph;z-index:-272409600" type="#_x0000_t202" filled="false" stroked="false">
            <v:textbox inset="0,0,0,0">
              <w:txbxContent>
                <w:p>
                  <w:pPr>
                    <w:spacing w:before="3"/>
                    <w:ind w:left="0" w:right="0" w:firstLine="0"/>
                    <w:jc w:val="left"/>
                    <w:rPr>
                      <w:rFonts w:ascii="Arial"/>
                      <w:sz w:val="9"/>
                    </w:rPr>
                  </w:pPr>
                  <w:r>
                    <w:rPr>
                      <w:rFonts w:ascii="Arial"/>
                      <w:color w:val="231F20"/>
                      <w:w w:val="106"/>
                      <w:sz w:val="9"/>
                    </w:rPr>
                    <w:t>4</w:t>
                  </w:r>
                </w:p>
              </w:txbxContent>
            </v:textbox>
            <w10:wrap type="none"/>
          </v:shape>
        </w:pict>
      </w:r>
      <w:r>
        <w:rPr>
          <w:i/>
          <w:color w:val="231F20"/>
          <w:w w:val="105"/>
          <w:sz w:val="20"/>
        </w:rPr>
        <w:t>tubular</w:t>
      </w:r>
      <w:r>
        <w:rPr>
          <w:i/>
          <w:color w:val="231F20"/>
          <w:spacing w:val="-9"/>
          <w:w w:val="105"/>
          <w:sz w:val="20"/>
        </w:rPr>
        <w:t> </w:t>
      </w:r>
      <w:r>
        <w:rPr>
          <w:i/>
          <w:color w:val="231F20"/>
          <w:w w:val="105"/>
          <w:sz w:val="20"/>
        </w:rPr>
        <w:t>lumen</w:t>
      </w:r>
      <w:r>
        <w:rPr>
          <w:i/>
          <w:color w:val="231F20"/>
          <w:spacing w:val="-9"/>
          <w:w w:val="105"/>
          <w:sz w:val="20"/>
        </w:rPr>
        <w:t> </w:t>
      </w:r>
      <w:r>
        <w:rPr>
          <w:i/>
          <w:color w:val="231F20"/>
          <w:w w:val="105"/>
          <w:sz w:val="20"/>
        </w:rPr>
        <w:t>combines</w:t>
      </w:r>
      <w:r>
        <w:rPr>
          <w:i/>
          <w:color w:val="231F20"/>
          <w:spacing w:val="-8"/>
          <w:w w:val="105"/>
          <w:sz w:val="20"/>
        </w:rPr>
        <w:t> </w:t>
      </w:r>
      <w:r>
        <w:rPr>
          <w:i/>
          <w:color w:val="231F20"/>
          <w:w w:val="105"/>
          <w:sz w:val="20"/>
        </w:rPr>
        <w:t>with</w:t>
      </w:r>
      <w:r>
        <w:rPr>
          <w:i/>
          <w:color w:val="231F20"/>
          <w:spacing w:val="-9"/>
          <w:w w:val="105"/>
          <w:sz w:val="20"/>
        </w:rPr>
        <w:t> </w:t>
      </w:r>
      <w:r>
        <w:rPr>
          <w:i/>
          <w:color w:val="231F20"/>
          <w:w w:val="105"/>
          <w:sz w:val="20"/>
        </w:rPr>
        <w:t>a</w:t>
      </w:r>
      <w:r>
        <w:rPr>
          <w:i/>
          <w:color w:val="231F20"/>
          <w:spacing w:val="-9"/>
          <w:w w:val="105"/>
          <w:sz w:val="20"/>
        </w:rPr>
        <w:t> </w:t>
      </w:r>
      <w:r>
        <w:rPr>
          <w:i/>
          <w:color w:val="231F20"/>
          <w:w w:val="105"/>
          <w:sz w:val="20"/>
        </w:rPr>
        <w:t>buffer</w:t>
      </w:r>
      <w:r>
        <w:rPr>
          <w:i/>
          <w:color w:val="231F20"/>
          <w:spacing w:val="-8"/>
          <w:w w:val="105"/>
          <w:sz w:val="20"/>
        </w:rPr>
        <w:t> </w:t>
      </w:r>
      <w:r>
        <w:rPr>
          <w:i/>
          <w:color w:val="231F20"/>
          <w:w w:val="105"/>
          <w:sz w:val="20"/>
        </w:rPr>
        <w:t>other</w:t>
      </w:r>
      <w:r>
        <w:rPr>
          <w:i/>
          <w:color w:val="231F20"/>
          <w:spacing w:val="-9"/>
          <w:w w:val="105"/>
          <w:sz w:val="20"/>
        </w:rPr>
        <w:t> </w:t>
      </w:r>
      <w:r>
        <w:rPr>
          <w:i/>
          <w:color w:val="231F20"/>
          <w:w w:val="105"/>
          <w:sz w:val="20"/>
        </w:rPr>
        <w:t>than</w:t>
      </w:r>
      <w:r>
        <w:rPr>
          <w:i/>
          <w:color w:val="231F20"/>
          <w:spacing w:val="-9"/>
          <w:w w:val="105"/>
          <w:sz w:val="20"/>
        </w:rPr>
        <w:t> </w:t>
      </w:r>
      <w:r>
        <w:rPr>
          <w:i/>
          <w:color w:val="231F20"/>
          <w:w w:val="105"/>
          <w:sz w:val="20"/>
        </w:rPr>
        <w:t>HCO</w:t>
      </w:r>
      <w:r>
        <w:rPr>
          <w:i/>
          <w:color w:val="231F20"/>
          <w:spacing w:val="-6"/>
          <w:w w:val="105"/>
          <w:sz w:val="20"/>
        </w:rPr>
        <w:t> </w:t>
      </w:r>
      <w:r>
        <w:rPr>
          <w:rFonts w:ascii="Consolas" w:hAnsi="Consolas"/>
          <w:i/>
          <w:color w:val="231F20"/>
          <w:w w:val="105"/>
          <w:position w:val="8"/>
          <w:sz w:val="12"/>
        </w:rPr>
        <w:t>−</w:t>
      </w:r>
      <w:r>
        <w:rPr>
          <w:i/>
          <w:color w:val="231F20"/>
          <w:w w:val="105"/>
          <w:sz w:val="20"/>
        </w:rPr>
        <w:t>, </w:t>
      </w:r>
      <w:r>
        <w:rPr>
          <w:i/>
          <w:color w:val="231F20"/>
          <w:w w:val="105"/>
          <w:sz w:val="20"/>
        </w:rPr>
        <w:t>the</w:t>
      </w:r>
      <w:r>
        <w:rPr>
          <w:i/>
          <w:color w:val="231F20"/>
          <w:spacing w:val="-21"/>
          <w:w w:val="105"/>
          <w:sz w:val="20"/>
        </w:rPr>
        <w:t> </w:t>
      </w:r>
      <w:r>
        <w:rPr>
          <w:i/>
          <w:color w:val="231F20"/>
          <w:w w:val="105"/>
          <w:sz w:val="20"/>
        </w:rPr>
        <w:t>net</w:t>
      </w:r>
      <w:r>
        <w:rPr>
          <w:i/>
          <w:color w:val="231F20"/>
          <w:spacing w:val="-20"/>
          <w:w w:val="105"/>
          <w:sz w:val="20"/>
        </w:rPr>
        <w:t> </w:t>
      </w:r>
      <w:r>
        <w:rPr>
          <w:i/>
          <w:color w:val="231F20"/>
          <w:w w:val="105"/>
          <w:sz w:val="20"/>
        </w:rPr>
        <w:t>effect</w:t>
      </w:r>
      <w:r>
        <w:rPr>
          <w:i/>
          <w:color w:val="231F20"/>
          <w:spacing w:val="-20"/>
          <w:w w:val="105"/>
          <w:sz w:val="20"/>
        </w:rPr>
        <w:t> </w:t>
      </w:r>
      <w:r>
        <w:rPr>
          <w:i/>
          <w:color w:val="231F20"/>
          <w:w w:val="105"/>
          <w:sz w:val="20"/>
        </w:rPr>
        <w:t>is</w:t>
      </w:r>
      <w:r>
        <w:rPr>
          <w:i/>
          <w:color w:val="231F20"/>
          <w:spacing w:val="-21"/>
          <w:w w:val="105"/>
          <w:sz w:val="20"/>
        </w:rPr>
        <w:t> </w:t>
      </w:r>
      <w:r>
        <w:rPr>
          <w:i/>
          <w:color w:val="231F20"/>
          <w:w w:val="105"/>
          <w:sz w:val="20"/>
        </w:rPr>
        <w:t>addition</w:t>
      </w:r>
      <w:r>
        <w:rPr>
          <w:i/>
          <w:color w:val="231F20"/>
          <w:spacing w:val="-20"/>
          <w:w w:val="105"/>
          <w:sz w:val="20"/>
        </w:rPr>
        <w:t> </w:t>
      </w:r>
      <w:r>
        <w:rPr>
          <w:i/>
          <w:color w:val="231F20"/>
          <w:w w:val="105"/>
          <w:sz w:val="20"/>
        </w:rPr>
        <w:t>of</w:t>
      </w:r>
      <w:r>
        <w:rPr>
          <w:i/>
          <w:color w:val="231F20"/>
          <w:spacing w:val="-20"/>
          <w:w w:val="105"/>
          <w:sz w:val="20"/>
        </w:rPr>
        <w:t> </w:t>
      </w:r>
      <w:r>
        <w:rPr>
          <w:i/>
          <w:color w:val="231F20"/>
          <w:w w:val="105"/>
          <w:sz w:val="20"/>
        </w:rPr>
        <w:t>a</w:t>
      </w:r>
      <w:r>
        <w:rPr>
          <w:i/>
          <w:color w:val="231F20"/>
          <w:spacing w:val="-21"/>
          <w:w w:val="105"/>
          <w:sz w:val="20"/>
        </w:rPr>
        <w:t> </w:t>
      </w:r>
      <w:r>
        <w:rPr>
          <w:i/>
          <w:color w:val="231F20"/>
          <w:w w:val="105"/>
          <w:sz w:val="20"/>
        </w:rPr>
        <w:t>new</w:t>
      </w:r>
      <w:r>
        <w:rPr>
          <w:i/>
          <w:color w:val="231F20"/>
          <w:spacing w:val="-20"/>
          <w:w w:val="105"/>
          <w:sz w:val="20"/>
        </w:rPr>
        <w:t> </w:t>
      </w:r>
      <w:r>
        <w:rPr>
          <w:i/>
          <w:color w:val="231F20"/>
          <w:w w:val="105"/>
          <w:sz w:val="20"/>
        </w:rPr>
        <w:t>HCO</w:t>
      </w:r>
      <w:r>
        <w:rPr>
          <w:i/>
          <w:color w:val="231F20"/>
          <w:spacing w:val="-11"/>
          <w:w w:val="105"/>
          <w:sz w:val="20"/>
        </w:rPr>
        <w:t> </w:t>
      </w:r>
      <w:r>
        <w:rPr>
          <w:rFonts w:ascii="Consolas" w:hAnsi="Consolas"/>
          <w:i/>
          <w:color w:val="231F20"/>
          <w:w w:val="105"/>
          <w:position w:val="8"/>
          <w:sz w:val="12"/>
        </w:rPr>
        <w:t>−</w:t>
      </w:r>
      <w:r>
        <w:rPr>
          <w:rFonts w:ascii="Consolas" w:hAnsi="Consolas"/>
          <w:i/>
          <w:color w:val="231F20"/>
          <w:spacing w:val="-37"/>
          <w:w w:val="105"/>
          <w:position w:val="8"/>
          <w:sz w:val="12"/>
        </w:rPr>
        <w:t> </w:t>
      </w:r>
      <w:r>
        <w:rPr>
          <w:i/>
          <w:color w:val="231F20"/>
          <w:w w:val="105"/>
          <w:sz w:val="20"/>
        </w:rPr>
        <w:t>to</w:t>
      </w:r>
      <w:r>
        <w:rPr>
          <w:i/>
          <w:color w:val="231F20"/>
          <w:spacing w:val="-20"/>
          <w:w w:val="105"/>
          <w:sz w:val="20"/>
        </w:rPr>
        <w:t> </w:t>
      </w:r>
      <w:r>
        <w:rPr>
          <w:i/>
          <w:color w:val="231F20"/>
          <w:w w:val="105"/>
          <w:sz w:val="20"/>
        </w:rPr>
        <w:t>the</w:t>
      </w:r>
      <w:r>
        <w:rPr>
          <w:i/>
          <w:color w:val="231F20"/>
          <w:spacing w:val="-20"/>
          <w:w w:val="105"/>
          <w:sz w:val="20"/>
        </w:rPr>
        <w:t> </w:t>
      </w:r>
      <w:r>
        <w:rPr>
          <w:i/>
          <w:color w:val="231F20"/>
          <w:w w:val="105"/>
          <w:sz w:val="20"/>
        </w:rPr>
        <w:t>blood</w:t>
      </w:r>
      <w:r>
        <w:rPr>
          <w:color w:val="231F20"/>
          <w:w w:val="105"/>
          <w:sz w:val="20"/>
        </w:rPr>
        <w:t>.</w:t>
      </w:r>
      <w:r>
        <w:rPr>
          <w:color w:val="231F20"/>
          <w:spacing w:val="-21"/>
          <w:w w:val="105"/>
          <w:sz w:val="20"/>
        </w:rPr>
        <w:t> </w:t>
      </w:r>
      <w:r>
        <w:rPr>
          <w:color w:val="231F20"/>
          <w:spacing w:val="-3"/>
          <w:w w:val="105"/>
          <w:sz w:val="20"/>
        </w:rPr>
        <w:t>This </w:t>
      </w:r>
      <w:r>
        <w:rPr>
          <w:color w:val="231F20"/>
          <w:w w:val="105"/>
          <w:sz w:val="20"/>
        </w:rPr>
        <w:t>process</w:t>
      </w:r>
      <w:r>
        <w:rPr>
          <w:color w:val="231F20"/>
          <w:spacing w:val="11"/>
          <w:w w:val="105"/>
          <w:sz w:val="20"/>
        </w:rPr>
        <w:t> </w:t>
      </w:r>
      <w:r>
        <w:rPr>
          <w:color w:val="231F20"/>
          <w:w w:val="105"/>
          <w:sz w:val="20"/>
        </w:rPr>
        <w:t>demonstrates</w:t>
      </w:r>
      <w:r>
        <w:rPr>
          <w:color w:val="231F20"/>
          <w:spacing w:val="12"/>
          <w:w w:val="105"/>
          <w:sz w:val="20"/>
        </w:rPr>
        <w:t> </w:t>
      </w:r>
      <w:r>
        <w:rPr>
          <w:color w:val="231F20"/>
          <w:w w:val="105"/>
          <w:sz w:val="20"/>
        </w:rPr>
        <w:t>one</w:t>
      </w:r>
      <w:r>
        <w:rPr>
          <w:color w:val="231F20"/>
          <w:spacing w:val="12"/>
          <w:w w:val="105"/>
          <w:sz w:val="20"/>
        </w:rPr>
        <w:t> </w:t>
      </w:r>
      <w:r>
        <w:rPr>
          <w:color w:val="231F20"/>
          <w:w w:val="105"/>
          <w:sz w:val="20"/>
        </w:rPr>
        <w:t>of</w:t>
      </w:r>
      <w:r>
        <w:rPr>
          <w:color w:val="231F20"/>
          <w:spacing w:val="12"/>
          <w:w w:val="105"/>
          <w:sz w:val="20"/>
        </w:rPr>
        <w:t> </w:t>
      </w:r>
      <w:r>
        <w:rPr>
          <w:color w:val="231F20"/>
          <w:w w:val="105"/>
          <w:sz w:val="20"/>
        </w:rPr>
        <w:t>the</w:t>
      </w:r>
      <w:r>
        <w:rPr>
          <w:color w:val="231F20"/>
          <w:spacing w:val="11"/>
          <w:w w:val="105"/>
          <w:sz w:val="20"/>
        </w:rPr>
        <w:t> </w:t>
      </w:r>
      <w:r>
        <w:rPr>
          <w:color w:val="231F20"/>
          <w:w w:val="105"/>
          <w:sz w:val="20"/>
        </w:rPr>
        <w:t>mechanisms</w:t>
      </w:r>
      <w:r>
        <w:rPr>
          <w:color w:val="231F20"/>
          <w:spacing w:val="12"/>
          <w:w w:val="105"/>
          <w:sz w:val="20"/>
        </w:rPr>
        <w:t> </w:t>
      </w:r>
      <w:r>
        <w:rPr>
          <w:color w:val="231F20"/>
          <w:w w:val="105"/>
          <w:sz w:val="20"/>
        </w:rPr>
        <w:t>by</w:t>
      </w:r>
      <w:r>
        <w:rPr>
          <w:color w:val="231F20"/>
          <w:spacing w:val="12"/>
          <w:w w:val="105"/>
          <w:sz w:val="20"/>
        </w:rPr>
        <w:t> </w:t>
      </w:r>
      <w:r>
        <w:rPr>
          <w:color w:val="231F20"/>
          <w:spacing w:val="-4"/>
          <w:w w:val="105"/>
          <w:sz w:val="20"/>
        </w:rPr>
        <w:t>which</w:t>
      </w:r>
    </w:p>
    <w:p>
      <w:pPr>
        <w:spacing w:line="200" w:lineRule="exact" w:before="107"/>
        <w:ind w:left="320" w:right="1077" w:firstLine="0"/>
        <w:jc w:val="both"/>
        <w:rPr>
          <w:rFonts w:ascii="Arial" w:hAnsi="Arial"/>
          <w:sz w:val="16"/>
        </w:rPr>
      </w:pPr>
      <w:r>
        <w:rPr/>
        <w:br w:type="column"/>
      </w:r>
      <w:bookmarkStart w:name="_bookmark110" w:id="111"/>
      <w:bookmarkEnd w:id="111"/>
      <w:r>
        <w:rPr/>
      </w:r>
      <w:r>
        <w:rPr>
          <w:rFonts w:ascii="Trebuchet MS" w:hAnsi="Trebuchet MS"/>
          <w:b/>
          <w:color w:val="231F20"/>
          <w:sz w:val="16"/>
        </w:rPr>
        <w:t>Figure</w:t>
      </w:r>
      <w:r>
        <w:rPr>
          <w:rFonts w:ascii="Trebuchet MS" w:hAnsi="Trebuchet MS"/>
          <w:b/>
          <w:color w:val="231F20"/>
          <w:spacing w:val="-19"/>
          <w:sz w:val="16"/>
        </w:rPr>
        <w:t> </w:t>
      </w:r>
      <w:r>
        <w:rPr>
          <w:rFonts w:ascii="Trebuchet MS" w:hAnsi="Trebuchet MS"/>
          <w:b/>
          <w:color w:val="231F20"/>
          <w:sz w:val="16"/>
        </w:rPr>
        <w:t>31-9.</w:t>
      </w:r>
      <w:r>
        <w:rPr>
          <w:rFonts w:ascii="Trebuchet MS" w:hAnsi="Trebuchet MS"/>
          <w:b/>
          <w:color w:val="231F20"/>
          <w:spacing w:val="2"/>
          <w:sz w:val="16"/>
        </w:rPr>
        <w:t> </w:t>
      </w:r>
      <w:r>
        <w:rPr>
          <w:rFonts w:ascii="Arial" w:hAnsi="Arial"/>
          <w:color w:val="231F20"/>
          <w:sz w:val="16"/>
        </w:rPr>
        <w:t>Buffering</w:t>
      </w:r>
      <w:r>
        <w:rPr>
          <w:rFonts w:ascii="Arial" w:hAnsi="Arial"/>
          <w:color w:val="231F20"/>
          <w:spacing w:val="-16"/>
          <w:sz w:val="16"/>
        </w:rPr>
        <w:t> </w:t>
      </w:r>
      <w:r>
        <w:rPr>
          <w:rFonts w:ascii="Arial" w:hAnsi="Arial"/>
          <w:color w:val="231F20"/>
          <w:sz w:val="16"/>
        </w:rPr>
        <w:t>of</w:t>
      </w:r>
      <w:r>
        <w:rPr>
          <w:rFonts w:ascii="Arial" w:hAnsi="Arial"/>
          <w:color w:val="231F20"/>
          <w:spacing w:val="-15"/>
          <w:sz w:val="16"/>
        </w:rPr>
        <w:t> </w:t>
      </w:r>
      <w:r>
        <w:rPr>
          <w:rFonts w:ascii="Arial" w:hAnsi="Arial"/>
          <w:color w:val="231F20"/>
          <w:sz w:val="16"/>
        </w:rPr>
        <w:t>hydrogen</w:t>
      </w:r>
      <w:r>
        <w:rPr>
          <w:rFonts w:ascii="Arial" w:hAnsi="Arial"/>
          <w:color w:val="231F20"/>
          <w:spacing w:val="-16"/>
          <w:sz w:val="16"/>
        </w:rPr>
        <w:t> </w:t>
      </w:r>
      <w:r>
        <w:rPr>
          <w:rFonts w:ascii="Arial" w:hAnsi="Arial"/>
          <w:color w:val="231F20"/>
          <w:sz w:val="16"/>
        </w:rPr>
        <w:t>ion</w:t>
      </w:r>
      <w:r>
        <w:rPr>
          <w:rFonts w:ascii="Arial" w:hAnsi="Arial"/>
          <w:color w:val="231F20"/>
          <w:spacing w:val="-15"/>
          <w:sz w:val="16"/>
        </w:rPr>
        <w:t> </w:t>
      </w:r>
      <w:r>
        <w:rPr>
          <w:rFonts w:ascii="Arial" w:hAnsi="Arial"/>
          <w:color w:val="231F20"/>
          <w:sz w:val="16"/>
        </w:rPr>
        <w:t>secretion</w:t>
      </w:r>
      <w:r>
        <w:rPr>
          <w:rFonts w:ascii="Arial" w:hAnsi="Arial"/>
          <w:color w:val="231F20"/>
          <w:spacing w:val="-16"/>
          <w:sz w:val="16"/>
        </w:rPr>
        <w:t> </w:t>
      </w:r>
      <w:r>
        <w:rPr>
          <w:rFonts w:ascii="Arial" w:hAnsi="Arial"/>
          <w:color w:val="231F20"/>
          <w:sz w:val="16"/>
        </w:rPr>
        <w:t>by</w:t>
      </w:r>
      <w:r>
        <w:rPr>
          <w:rFonts w:ascii="Arial" w:hAnsi="Arial"/>
          <w:color w:val="231F20"/>
          <w:spacing w:val="-16"/>
          <w:sz w:val="16"/>
        </w:rPr>
        <w:t> </w:t>
      </w:r>
      <w:r>
        <w:rPr>
          <w:rFonts w:ascii="Arial" w:hAnsi="Arial"/>
          <w:color w:val="231F20"/>
          <w:sz w:val="16"/>
        </w:rPr>
        <w:t>ammonia</w:t>
      </w:r>
      <w:r>
        <w:rPr>
          <w:rFonts w:ascii="Arial" w:hAnsi="Arial"/>
          <w:color w:val="231F20"/>
          <w:spacing w:val="-15"/>
          <w:sz w:val="16"/>
        </w:rPr>
        <w:t> </w:t>
      </w:r>
      <w:r>
        <w:rPr>
          <w:rFonts w:ascii="Arial" w:hAnsi="Arial"/>
          <w:color w:val="231F20"/>
          <w:sz w:val="16"/>
        </w:rPr>
        <w:t>(NH</w:t>
      </w:r>
      <w:r>
        <w:rPr>
          <w:rFonts w:ascii="Arial" w:hAnsi="Arial"/>
          <w:color w:val="231F20"/>
          <w:position w:val="-1"/>
          <w:sz w:val="9"/>
        </w:rPr>
        <w:t>3</w:t>
      </w:r>
      <w:r>
        <w:rPr>
          <w:rFonts w:ascii="Arial" w:hAnsi="Arial"/>
          <w:color w:val="231F20"/>
          <w:sz w:val="16"/>
        </w:rPr>
        <w:t>) in the collecting tubules. Ammonia diffuses into the tubular lumen, where</w:t>
      </w:r>
      <w:r>
        <w:rPr>
          <w:rFonts w:ascii="Arial" w:hAnsi="Arial"/>
          <w:color w:val="231F20"/>
          <w:spacing w:val="-19"/>
          <w:sz w:val="16"/>
        </w:rPr>
        <w:t> </w:t>
      </w:r>
      <w:r>
        <w:rPr>
          <w:rFonts w:ascii="Arial" w:hAnsi="Arial"/>
          <w:color w:val="231F20"/>
          <w:sz w:val="16"/>
        </w:rPr>
        <w:t>it</w:t>
      </w:r>
      <w:r>
        <w:rPr>
          <w:rFonts w:ascii="Arial" w:hAnsi="Arial"/>
          <w:color w:val="231F20"/>
          <w:spacing w:val="-18"/>
          <w:sz w:val="16"/>
        </w:rPr>
        <w:t> </w:t>
      </w:r>
      <w:r>
        <w:rPr>
          <w:rFonts w:ascii="Arial" w:hAnsi="Arial"/>
          <w:color w:val="231F20"/>
          <w:sz w:val="16"/>
        </w:rPr>
        <w:t>reacts</w:t>
      </w:r>
      <w:r>
        <w:rPr>
          <w:rFonts w:ascii="Arial" w:hAnsi="Arial"/>
          <w:color w:val="231F20"/>
          <w:spacing w:val="-18"/>
          <w:sz w:val="16"/>
        </w:rPr>
        <w:t> </w:t>
      </w:r>
      <w:r>
        <w:rPr>
          <w:rFonts w:ascii="Arial" w:hAnsi="Arial"/>
          <w:color w:val="231F20"/>
          <w:sz w:val="16"/>
        </w:rPr>
        <w:t>with</w:t>
      </w:r>
      <w:r>
        <w:rPr>
          <w:rFonts w:ascii="Arial" w:hAnsi="Arial"/>
          <w:color w:val="231F20"/>
          <w:spacing w:val="-18"/>
          <w:sz w:val="16"/>
        </w:rPr>
        <w:t> </w:t>
      </w:r>
      <w:r>
        <w:rPr>
          <w:rFonts w:ascii="Arial" w:hAnsi="Arial"/>
          <w:color w:val="231F20"/>
          <w:sz w:val="16"/>
        </w:rPr>
        <w:t>secreted</w:t>
      </w:r>
      <w:r>
        <w:rPr>
          <w:rFonts w:ascii="Arial" w:hAnsi="Arial"/>
          <w:color w:val="231F20"/>
          <w:spacing w:val="-18"/>
          <w:sz w:val="16"/>
        </w:rPr>
        <w:t> </w:t>
      </w:r>
      <w:r>
        <w:rPr>
          <w:rFonts w:ascii="Arial" w:hAnsi="Arial"/>
          <w:color w:val="231F20"/>
          <w:sz w:val="16"/>
        </w:rPr>
        <w:t>H</w:t>
      </w:r>
      <w:r>
        <w:rPr>
          <w:rFonts w:ascii="Consolas" w:hAnsi="Consolas"/>
          <w:color w:val="231F20"/>
          <w:position w:val="6"/>
          <w:sz w:val="9"/>
        </w:rPr>
        <w:t>+</w:t>
      </w:r>
      <w:r>
        <w:rPr>
          <w:rFonts w:ascii="Arial" w:hAnsi="Arial"/>
          <w:color w:val="231F20"/>
          <w:sz w:val="16"/>
        </w:rPr>
        <w:t>)</w:t>
      </w:r>
      <w:r>
        <w:rPr>
          <w:rFonts w:ascii="Arial" w:hAnsi="Arial"/>
          <w:color w:val="231F20"/>
          <w:spacing w:val="-19"/>
          <w:sz w:val="16"/>
        </w:rPr>
        <w:t> </w:t>
      </w:r>
      <w:r>
        <w:rPr>
          <w:rFonts w:ascii="Arial" w:hAnsi="Arial"/>
          <w:color w:val="231F20"/>
          <w:sz w:val="16"/>
        </w:rPr>
        <w:t>to</w:t>
      </w:r>
      <w:r>
        <w:rPr>
          <w:rFonts w:ascii="Arial" w:hAnsi="Arial"/>
          <w:color w:val="231F20"/>
          <w:spacing w:val="-18"/>
          <w:sz w:val="16"/>
        </w:rPr>
        <w:t> </w:t>
      </w:r>
      <w:r>
        <w:rPr>
          <w:rFonts w:ascii="Arial" w:hAnsi="Arial"/>
          <w:color w:val="231F20"/>
          <w:sz w:val="16"/>
        </w:rPr>
        <w:t>form</w:t>
      </w:r>
      <w:r>
        <w:rPr>
          <w:rFonts w:ascii="Arial" w:hAnsi="Arial"/>
          <w:color w:val="231F20"/>
          <w:spacing w:val="-18"/>
          <w:sz w:val="16"/>
        </w:rPr>
        <w:t> </w:t>
      </w:r>
      <w:r>
        <w:rPr>
          <w:rFonts w:ascii="Arial" w:hAnsi="Arial"/>
          <w:color w:val="231F20"/>
          <w:sz w:val="16"/>
        </w:rPr>
        <w:t>NH</w:t>
      </w:r>
      <w:r>
        <w:rPr>
          <w:rFonts w:ascii="Arial" w:hAnsi="Arial"/>
          <w:color w:val="231F20"/>
          <w:spacing w:val="-5"/>
          <w:sz w:val="16"/>
        </w:rPr>
        <w:t> </w:t>
      </w:r>
      <w:r>
        <w:rPr>
          <w:rFonts w:ascii="Consolas" w:hAnsi="Consolas"/>
          <w:color w:val="231F20"/>
          <w:position w:val="6"/>
          <w:sz w:val="9"/>
        </w:rPr>
        <w:t>+</w:t>
      </w:r>
      <w:r>
        <w:rPr>
          <w:rFonts w:ascii="Arial" w:hAnsi="Arial"/>
          <w:color w:val="231F20"/>
          <w:sz w:val="16"/>
        </w:rPr>
        <w:t>,</w:t>
      </w:r>
      <w:r>
        <w:rPr>
          <w:rFonts w:ascii="Arial" w:hAnsi="Arial"/>
          <w:color w:val="231F20"/>
          <w:spacing w:val="-19"/>
          <w:sz w:val="16"/>
        </w:rPr>
        <w:t> </w:t>
      </w:r>
      <w:r>
        <w:rPr>
          <w:rFonts w:ascii="Arial" w:hAnsi="Arial"/>
          <w:color w:val="231F20"/>
          <w:sz w:val="16"/>
        </w:rPr>
        <w:t>which</w:t>
      </w:r>
      <w:r>
        <w:rPr>
          <w:rFonts w:ascii="Arial" w:hAnsi="Arial"/>
          <w:color w:val="231F20"/>
          <w:spacing w:val="-18"/>
          <w:sz w:val="16"/>
        </w:rPr>
        <w:t> </w:t>
      </w:r>
      <w:r>
        <w:rPr>
          <w:rFonts w:ascii="Arial" w:hAnsi="Arial"/>
          <w:color w:val="231F20"/>
          <w:sz w:val="16"/>
        </w:rPr>
        <w:t>is</w:t>
      </w:r>
      <w:r>
        <w:rPr>
          <w:rFonts w:ascii="Arial" w:hAnsi="Arial"/>
          <w:color w:val="231F20"/>
          <w:spacing w:val="-18"/>
          <w:sz w:val="16"/>
        </w:rPr>
        <w:t> </w:t>
      </w:r>
      <w:r>
        <w:rPr>
          <w:rFonts w:ascii="Arial" w:hAnsi="Arial"/>
          <w:color w:val="231F20"/>
          <w:sz w:val="16"/>
        </w:rPr>
        <w:t>then</w:t>
      </w:r>
      <w:r>
        <w:rPr>
          <w:rFonts w:ascii="Arial" w:hAnsi="Arial"/>
          <w:color w:val="231F20"/>
          <w:spacing w:val="-18"/>
          <w:sz w:val="16"/>
        </w:rPr>
        <w:t> </w:t>
      </w:r>
      <w:r>
        <w:rPr>
          <w:rFonts w:ascii="Arial" w:hAnsi="Arial"/>
          <w:color w:val="231F20"/>
          <w:spacing w:val="-3"/>
          <w:sz w:val="16"/>
        </w:rPr>
        <w:t>excreted. </w:t>
      </w:r>
      <w:r>
        <w:rPr>
          <w:rFonts w:ascii="Arial" w:hAnsi="Arial"/>
          <w:color w:val="231F20"/>
          <w:sz w:val="16"/>
        </w:rPr>
        <w:t>For each NH </w:t>
      </w:r>
      <w:r>
        <w:rPr>
          <w:rFonts w:ascii="Consolas" w:hAnsi="Consolas"/>
          <w:color w:val="231F20"/>
          <w:position w:val="6"/>
          <w:sz w:val="9"/>
        </w:rPr>
        <w:t>+ </w:t>
      </w:r>
      <w:r>
        <w:rPr>
          <w:rFonts w:ascii="Arial" w:hAnsi="Arial"/>
          <w:color w:val="231F20"/>
          <w:sz w:val="16"/>
        </w:rPr>
        <w:t>excreted, a new HCO </w:t>
      </w:r>
      <w:r>
        <w:rPr>
          <w:rFonts w:ascii="Consolas" w:hAnsi="Consolas"/>
          <w:color w:val="231F20"/>
          <w:position w:val="6"/>
          <w:sz w:val="9"/>
        </w:rPr>
        <w:t>−</w:t>
      </w:r>
      <w:r>
        <w:rPr>
          <w:rFonts w:ascii="Consolas" w:hAnsi="Consolas"/>
          <w:color w:val="231F20"/>
          <w:spacing w:val="-33"/>
          <w:position w:val="6"/>
          <w:sz w:val="9"/>
        </w:rPr>
        <w:t> </w:t>
      </w:r>
      <w:r>
        <w:rPr>
          <w:rFonts w:ascii="Arial" w:hAnsi="Arial"/>
          <w:color w:val="231F20"/>
          <w:sz w:val="16"/>
        </w:rPr>
        <w:t>is formed in the tubular </w:t>
      </w:r>
      <w:r>
        <w:rPr>
          <w:rFonts w:ascii="Arial" w:hAnsi="Arial"/>
          <w:color w:val="231F20"/>
          <w:spacing w:val="-3"/>
          <w:sz w:val="16"/>
        </w:rPr>
        <w:t>cells</w:t>
      </w:r>
    </w:p>
    <w:p>
      <w:pPr>
        <w:spacing w:after="0" w:line="200" w:lineRule="exact"/>
        <w:jc w:val="both"/>
        <w:rPr>
          <w:rFonts w:ascii="Arial" w:hAnsi="Arial"/>
          <w:sz w:val="16"/>
        </w:rPr>
        <w:sectPr>
          <w:type w:val="continuous"/>
          <w:pgSz w:w="12240" w:h="15660"/>
          <w:pgMar w:top="0" w:bottom="760" w:left="0" w:right="0"/>
          <w:cols w:num="2" w:equalWidth="0">
            <w:col w:w="6121" w:space="40"/>
            <w:col w:w="6079"/>
          </w:cols>
        </w:sectPr>
      </w:pPr>
    </w:p>
    <w:p>
      <w:pPr>
        <w:pStyle w:val="BodyText"/>
        <w:spacing w:line="44" w:lineRule="exact"/>
        <w:ind w:left="1439"/>
      </w:pPr>
      <w:r>
        <w:rPr>
          <w:color w:val="231F20"/>
          <w:w w:val="105"/>
        </w:rPr>
        <w:t>the kidneys are able to replenish the extracellular fluid</w:t>
      </w:r>
    </w:p>
    <w:p>
      <w:pPr>
        <w:pStyle w:val="BodyText"/>
        <w:spacing w:before="6"/>
        <w:ind w:left="1439"/>
      </w:pPr>
      <w:r>
        <w:rPr/>
        <w:pict>
          <v:shape style="position:absolute;margin-left:132.407196pt;margin-top:5.745525pt;width:3pt;height:8.7pt;mso-position-horizontal-relative:page;mso-position-vertical-relative:paragraph;z-index:-27240857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stores of HCO </w:t>
      </w:r>
      <w:r>
        <w:rPr>
          <w:rFonts w:ascii="Consolas" w:hAnsi="Consolas"/>
          <w:color w:val="231F20"/>
          <w:position w:val="8"/>
          <w:sz w:val="12"/>
        </w:rPr>
        <w:t>−</w:t>
      </w:r>
      <w:r>
        <w:rPr>
          <w:color w:val="231F20"/>
        </w:rPr>
        <w:t>.</w:t>
      </w:r>
    </w:p>
    <w:p>
      <w:pPr>
        <w:pStyle w:val="BodyText"/>
        <w:spacing w:line="221" w:lineRule="exact" w:before="10"/>
        <w:ind w:left="1680"/>
      </w:pPr>
      <w:r>
        <w:rPr>
          <w:color w:val="231F20"/>
          <w:w w:val="105"/>
        </w:rPr>
        <w:t>Under normal conditions, much of the filtered</w:t>
      </w:r>
      <w:r>
        <w:rPr>
          <w:color w:val="231F20"/>
          <w:spacing w:val="51"/>
          <w:w w:val="105"/>
        </w:rPr>
        <w:t> </w:t>
      </w:r>
      <w:r>
        <w:rPr>
          <w:color w:val="231F20"/>
          <w:spacing w:val="-3"/>
          <w:w w:val="105"/>
        </w:rPr>
        <w:t>phos-</w:t>
      </w:r>
    </w:p>
    <w:p>
      <w:pPr>
        <w:tabs>
          <w:tab w:pos="2836" w:val="left" w:leader="none"/>
        </w:tabs>
        <w:spacing w:line="3" w:lineRule="exact" w:before="0"/>
        <w:ind w:left="1180" w:right="0" w:firstLine="0"/>
        <w:jc w:val="left"/>
        <w:rPr>
          <w:rFonts w:ascii="Arial"/>
          <w:sz w:val="9"/>
        </w:rPr>
      </w:pPr>
      <w:r>
        <w:rPr/>
        <w:br w:type="column"/>
      </w:r>
      <w:r>
        <w:rPr>
          <w:rFonts w:ascii="Arial"/>
          <w:color w:val="231F20"/>
          <w:w w:val="105"/>
          <w:sz w:val="9"/>
        </w:rPr>
        <w:t>4</w:t>
        <w:tab/>
        <w:t>3</w:t>
      </w:r>
    </w:p>
    <w:p>
      <w:pPr>
        <w:spacing w:before="7"/>
        <w:ind w:left="320" w:right="0" w:firstLine="0"/>
        <w:jc w:val="left"/>
        <w:rPr>
          <w:rFonts w:ascii="Arial"/>
          <w:sz w:val="16"/>
        </w:rPr>
      </w:pPr>
      <w:r>
        <w:rPr>
          <w:rFonts w:ascii="Arial"/>
          <w:color w:val="231F20"/>
          <w:sz w:val="16"/>
        </w:rPr>
        <w:t>and returned to the blood.</w:t>
      </w:r>
    </w:p>
    <w:p>
      <w:pPr>
        <w:spacing w:after="0"/>
        <w:jc w:val="left"/>
        <w:rPr>
          <w:rFonts w:ascii="Arial"/>
          <w:sz w:val="16"/>
        </w:rPr>
        <w:sectPr>
          <w:type w:val="continuous"/>
          <w:pgSz w:w="12240" w:h="15660"/>
          <w:pgMar w:top="0" w:bottom="760" w:left="0" w:right="0"/>
          <w:cols w:num="2" w:equalWidth="0">
            <w:col w:w="6121" w:space="40"/>
            <w:col w:w="6079"/>
          </w:cols>
        </w:sectPr>
      </w:pPr>
    </w:p>
    <w:p>
      <w:pPr>
        <w:pStyle w:val="BodyText"/>
        <w:spacing w:line="247" w:lineRule="auto" w:before="19"/>
        <w:ind w:left="1439"/>
        <w:jc w:val="both"/>
      </w:pPr>
      <w:r>
        <w:rPr/>
        <w:pict>
          <v:shape style="position:absolute;margin-left:479.368896pt;margin-top:30.211931pt;width:3pt;height:8.7pt;mso-position-horizontal-relative:page;mso-position-vertical-relative:paragraph;z-index:-27239936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549.344299pt;margin-top:30.211931pt;width:3pt;height:8.7pt;mso-position-horizontal-relative:page;mso-position-vertical-relative:paragraph;z-index:-27239833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phate</w:t>
      </w:r>
      <w:r>
        <w:rPr>
          <w:color w:val="231F20"/>
          <w:spacing w:val="-13"/>
          <w:w w:val="105"/>
        </w:rPr>
        <w:t> </w:t>
      </w:r>
      <w:r>
        <w:rPr>
          <w:color w:val="231F20"/>
          <w:w w:val="105"/>
        </w:rPr>
        <w:t>is</w:t>
      </w:r>
      <w:r>
        <w:rPr>
          <w:color w:val="231F20"/>
          <w:spacing w:val="-12"/>
          <w:w w:val="105"/>
        </w:rPr>
        <w:t> </w:t>
      </w:r>
      <w:r>
        <w:rPr>
          <w:color w:val="231F20"/>
          <w:w w:val="105"/>
        </w:rPr>
        <w:t>reabsorbed</w:t>
      </w:r>
      <w:r>
        <w:rPr>
          <w:color w:val="231F20"/>
          <w:spacing w:val="-13"/>
          <w:w w:val="105"/>
        </w:rPr>
        <w:t> </w:t>
      </w:r>
      <w:r>
        <w:rPr>
          <w:color w:val="231F20"/>
          <w:w w:val="105"/>
        </w:rPr>
        <w:t>and</w:t>
      </w:r>
      <w:r>
        <w:rPr>
          <w:color w:val="231F20"/>
          <w:spacing w:val="-12"/>
          <w:w w:val="105"/>
        </w:rPr>
        <w:t> </w:t>
      </w:r>
      <w:r>
        <w:rPr>
          <w:color w:val="231F20"/>
          <w:w w:val="105"/>
        </w:rPr>
        <w:t>only</w:t>
      </w:r>
      <w:r>
        <w:rPr>
          <w:color w:val="231F20"/>
          <w:spacing w:val="-13"/>
          <w:w w:val="105"/>
        </w:rPr>
        <w:t> </w:t>
      </w:r>
      <w:r>
        <w:rPr>
          <w:color w:val="231F20"/>
          <w:w w:val="105"/>
        </w:rPr>
        <w:t>30</w:t>
      </w:r>
      <w:r>
        <w:rPr>
          <w:color w:val="231F20"/>
          <w:spacing w:val="-12"/>
          <w:w w:val="105"/>
        </w:rPr>
        <w:t> </w:t>
      </w:r>
      <w:r>
        <w:rPr>
          <w:color w:val="231F20"/>
          <w:w w:val="105"/>
        </w:rPr>
        <w:t>to</w:t>
      </w:r>
      <w:r>
        <w:rPr>
          <w:color w:val="231F20"/>
          <w:spacing w:val="-13"/>
          <w:w w:val="105"/>
        </w:rPr>
        <w:t> </w:t>
      </w:r>
      <w:r>
        <w:rPr>
          <w:color w:val="231F20"/>
          <w:w w:val="105"/>
        </w:rPr>
        <w:t>40</w:t>
      </w:r>
      <w:r>
        <w:rPr>
          <w:color w:val="231F20"/>
          <w:spacing w:val="-9"/>
          <w:w w:val="105"/>
        </w:rPr>
        <w:t> </w:t>
      </w:r>
      <w:r>
        <w:rPr>
          <w:color w:val="231F20"/>
          <w:w w:val="105"/>
        </w:rPr>
        <w:t>mEq/day</w:t>
      </w:r>
      <w:r>
        <w:rPr>
          <w:color w:val="231F20"/>
          <w:spacing w:val="-13"/>
          <w:w w:val="105"/>
        </w:rPr>
        <w:t> </w:t>
      </w:r>
      <w:r>
        <w:rPr>
          <w:color w:val="231F20"/>
          <w:w w:val="105"/>
        </w:rPr>
        <w:t>are</w:t>
      </w:r>
      <w:r>
        <w:rPr>
          <w:color w:val="231F20"/>
          <w:spacing w:val="-12"/>
          <w:w w:val="105"/>
        </w:rPr>
        <w:t> </w:t>
      </w:r>
      <w:r>
        <w:rPr>
          <w:color w:val="231F20"/>
          <w:w w:val="105"/>
        </w:rPr>
        <w:t>avail- able</w:t>
      </w:r>
      <w:r>
        <w:rPr>
          <w:color w:val="231F20"/>
          <w:spacing w:val="-18"/>
          <w:w w:val="105"/>
        </w:rPr>
        <w:t> </w:t>
      </w:r>
      <w:r>
        <w:rPr>
          <w:color w:val="231F20"/>
          <w:w w:val="105"/>
        </w:rPr>
        <w:t>for</w:t>
      </w:r>
      <w:r>
        <w:rPr>
          <w:color w:val="231F20"/>
          <w:spacing w:val="-18"/>
          <w:w w:val="105"/>
        </w:rPr>
        <w:t> </w:t>
      </w:r>
      <w:r>
        <w:rPr>
          <w:color w:val="231F20"/>
          <w:w w:val="105"/>
        </w:rPr>
        <w:t>buffering</w:t>
      </w:r>
      <w:r>
        <w:rPr>
          <w:color w:val="231F20"/>
          <w:spacing w:val="-17"/>
          <w:w w:val="105"/>
        </w:rPr>
        <w:t> </w:t>
      </w:r>
      <w:r>
        <w:rPr>
          <w:color w:val="231F20"/>
          <w:spacing w:val="-8"/>
          <w:w w:val="105"/>
        </w:rPr>
        <w:t>H</w:t>
      </w:r>
      <w:r>
        <w:rPr>
          <w:rFonts w:ascii="Consolas"/>
          <w:color w:val="231F20"/>
          <w:spacing w:val="-8"/>
          <w:w w:val="105"/>
          <w:position w:val="8"/>
          <w:sz w:val="12"/>
        </w:rPr>
        <w:t>+</w:t>
      </w:r>
      <w:r>
        <w:rPr>
          <w:color w:val="231F20"/>
          <w:spacing w:val="-8"/>
          <w:w w:val="105"/>
        </w:rPr>
        <w:t>.</w:t>
      </w:r>
      <w:r>
        <w:rPr>
          <w:color w:val="231F20"/>
          <w:spacing w:val="-18"/>
          <w:w w:val="105"/>
        </w:rPr>
        <w:t> </w:t>
      </w:r>
      <w:r>
        <w:rPr>
          <w:color w:val="231F20"/>
          <w:w w:val="105"/>
        </w:rPr>
        <w:t>Therefore,</w:t>
      </w:r>
      <w:r>
        <w:rPr>
          <w:color w:val="231F20"/>
          <w:spacing w:val="-18"/>
          <w:w w:val="105"/>
        </w:rPr>
        <w:t> </w:t>
      </w:r>
      <w:r>
        <w:rPr>
          <w:color w:val="231F20"/>
          <w:w w:val="105"/>
        </w:rPr>
        <w:t>much</w:t>
      </w:r>
      <w:r>
        <w:rPr>
          <w:color w:val="231F20"/>
          <w:spacing w:val="-17"/>
          <w:w w:val="105"/>
        </w:rPr>
        <w:t> </w:t>
      </w:r>
      <w:r>
        <w:rPr>
          <w:color w:val="231F20"/>
          <w:w w:val="105"/>
        </w:rPr>
        <w:t>of</w:t>
      </w:r>
      <w:r>
        <w:rPr>
          <w:color w:val="231F20"/>
          <w:spacing w:val="-18"/>
          <w:w w:val="105"/>
        </w:rPr>
        <w:t> </w:t>
      </w:r>
      <w:r>
        <w:rPr>
          <w:color w:val="231F20"/>
          <w:w w:val="105"/>
        </w:rPr>
        <w:t>the</w:t>
      </w:r>
      <w:r>
        <w:rPr>
          <w:color w:val="231F20"/>
          <w:spacing w:val="-17"/>
          <w:w w:val="105"/>
        </w:rPr>
        <w:t> </w:t>
      </w:r>
      <w:r>
        <w:rPr>
          <w:color w:val="231F20"/>
          <w:w w:val="105"/>
        </w:rPr>
        <w:t>buffering</w:t>
      </w:r>
      <w:r>
        <w:rPr>
          <w:color w:val="231F20"/>
          <w:spacing w:val="-18"/>
          <w:w w:val="105"/>
        </w:rPr>
        <w:t> </w:t>
      </w:r>
      <w:r>
        <w:rPr>
          <w:color w:val="231F20"/>
          <w:w w:val="105"/>
        </w:rPr>
        <w:t>of excess H</w:t>
      </w:r>
      <w:r>
        <w:rPr>
          <w:rFonts w:ascii="Consolas"/>
          <w:color w:val="231F20"/>
          <w:w w:val="105"/>
          <w:position w:val="8"/>
          <w:sz w:val="12"/>
        </w:rPr>
        <w:t>+ </w:t>
      </w:r>
      <w:r>
        <w:rPr>
          <w:color w:val="231F20"/>
          <w:w w:val="105"/>
        </w:rPr>
        <w:t>in the tubular fluid in acidosis occurs</w:t>
      </w:r>
      <w:r>
        <w:rPr>
          <w:color w:val="231F20"/>
          <w:spacing w:val="-26"/>
          <w:w w:val="105"/>
        </w:rPr>
        <w:t> </w:t>
      </w:r>
      <w:r>
        <w:rPr>
          <w:color w:val="231F20"/>
          <w:spacing w:val="-3"/>
          <w:w w:val="105"/>
        </w:rPr>
        <w:t>through</w:t>
      </w:r>
    </w:p>
    <w:p>
      <w:pPr>
        <w:pStyle w:val="BodyText"/>
        <w:spacing w:line="249" w:lineRule="auto" w:before="19"/>
        <w:ind w:left="319" w:right="1079"/>
        <w:jc w:val="both"/>
      </w:pPr>
      <w:r>
        <w:rPr/>
        <w:br w:type="column"/>
      </w:r>
      <w:r>
        <w:rPr>
          <w:color w:val="231F20"/>
        </w:rPr>
        <w:t>and distal tubules (</w:t>
      </w:r>
      <w:hyperlink w:history="true" w:anchor="_bookmark109">
        <w:r>
          <w:rPr>
            <w:b/>
            <w:color w:val="0080AC"/>
          </w:rPr>
          <w:t>Figure 31-8</w:t>
        </w:r>
      </w:hyperlink>
      <w:r>
        <w:rPr>
          <w:color w:val="231F20"/>
        </w:rPr>
        <w:t>). Once inside the </w:t>
      </w:r>
      <w:r>
        <w:rPr>
          <w:color w:val="231F20"/>
          <w:spacing w:val="-4"/>
        </w:rPr>
        <w:t>cell, </w:t>
      </w:r>
      <w:r>
        <w:rPr>
          <w:color w:val="231F20"/>
        </w:rPr>
        <w:t>each molecule of glutamine is metabolized in a series of reactions to ultimately form two NH </w:t>
      </w:r>
      <w:r>
        <w:rPr>
          <w:rFonts w:ascii="Consolas" w:hAnsi="Consolas"/>
          <w:color w:val="231F20"/>
          <w:position w:val="8"/>
          <w:sz w:val="12"/>
        </w:rPr>
        <w:t>+ </w:t>
      </w:r>
      <w:r>
        <w:rPr>
          <w:color w:val="231F20"/>
        </w:rPr>
        <w:t>and two</w:t>
      </w:r>
      <w:r>
        <w:rPr>
          <w:color w:val="231F20"/>
          <w:spacing w:val="-10"/>
        </w:rPr>
        <w:t> </w:t>
      </w:r>
      <w:r>
        <w:rPr>
          <w:color w:val="231F20"/>
        </w:rPr>
        <w:t>HCO </w:t>
      </w:r>
      <w:r>
        <w:rPr>
          <w:rFonts w:ascii="Consolas" w:hAnsi="Consolas"/>
          <w:color w:val="231F20"/>
          <w:spacing w:val="-4"/>
          <w:position w:val="8"/>
          <w:sz w:val="12"/>
        </w:rPr>
        <w:t>−</w:t>
      </w:r>
      <w:r>
        <w:rPr>
          <w:color w:val="231F20"/>
          <w:spacing w:val="-4"/>
        </w:rPr>
        <w:t>.</w:t>
      </w:r>
    </w:p>
    <w:p>
      <w:pPr>
        <w:spacing w:after="0" w:line="249" w:lineRule="auto"/>
        <w:jc w:val="both"/>
        <w:sectPr>
          <w:type w:val="continuous"/>
          <w:pgSz w:w="12240" w:h="15660"/>
          <w:pgMar w:top="0" w:bottom="760" w:left="0" w:right="0"/>
          <w:cols w:num="2" w:equalWidth="0">
            <w:col w:w="6121" w:space="40"/>
            <w:col w:w="6079"/>
          </w:cols>
        </w:sectPr>
      </w:pPr>
    </w:p>
    <w:p>
      <w:pPr>
        <w:pStyle w:val="BodyText"/>
        <w:spacing w:line="229" w:lineRule="exact"/>
        <w:ind w:left="1440"/>
        <w:jc w:val="both"/>
      </w:pPr>
      <w:r>
        <w:rPr/>
        <w:pict>
          <v:shape style="position:absolute;margin-left:357.027405pt;margin-top:5.233812pt;width:3pt;height:8.7pt;mso-position-horizontal-relative:page;mso-position-vertical-relative:paragraph;z-index:-27240652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414.592285pt;margin-top:29.233812pt;width:3pt;height:8.7pt;mso-position-horizontal-relative:page;mso-position-vertical-relative:paragraph;z-index:-27240550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44.981689pt;margin-top:101.23381pt;width:3pt;height:8.7pt;mso-position-horizontal-relative:page;mso-position-vertical-relative:paragraph;z-index:-272396288"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color w:val="231F20"/>
          <w:w w:val="105"/>
        </w:rPr>
        <w:t>the ammonia buffer system.</w:t>
      </w:r>
    </w:p>
    <w:p>
      <w:pPr>
        <w:pStyle w:val="BodyText"/>
        <w:spacing w:before="5"/>
        <w:rPr>
          <w:sz w:val="31"/>
        </w:rPr>
      </w:pPr>
    </w:p>
    <w:p>
      <w:pPr>
        <w:pStyle w:val="Heading2"/>
        <w:spacing w:line="223" w:lineRule="auto"/>
        <w:ind w:left="1439" w:right="932"/>
      </w:pPr>
      <w:r>
        <w:rPr/>
        <w:pict>
          <v:shape style="position:absolute;margin-left:212.917801pt;margin-top:17.235483pt;width:3.7pt;height:7.65pt;mso-position-horizontal-relative:page;mso-position-vertical-relative:paragraph;z-index:-272407552" type="#_x0000_t202" filled="false" stroked="false">
            <v:textbox inset="0,0,0,0">
              <w:txbxContent>
                <w:p>
                  <w:pPr>
                    <w:spacing w:before="1"/>
                    <w:ind w:left="0" w:right="0" w:firstLine="0"/>
                    <w:jc w:val="left"/>
                    <w:rPr>
                      <w:rFonts w:ascii="Trebuchet MS"/>
                      <w:b/>
                      <w:sz w:val="13"/>
                    </w:rPr>
                  </w:pPr>
                  <w:r>
                    <w:rPr>
                      <w:rFonts w:ascii="Trebuchet MS"/>
                      <w:b/>
                      <w:color w:val="231F20"/>
                      <w:w w:val="96"/>
                      <w:sz w:val="13"/>
                    </w:rPr>
                    <w:t>3</w:t>
                  </w:r>
                </w:p>
              </w:txbxContent>
            </v:textbox>
            <w10:wrap type="none"/>
          </v:shape>
        </w:pict>
      </w:r>
      <w:r>
        <w:rPr>
          <w:color w:val="231F20"/>
          <w:w w:val="105"/>
        </w:rPr>
        <w:t>EXCRETION OF EXCESS H</w:t>
      </w:r>
      <w:r>
        <w:rPr>
          <w:rFonts w:ascii="Consolas" w:hAnsi="Consolas"/>
          <w:color w:val="231F20"/>
          <w:w w:val="105"/>
          <w:position w:val="9"/>
          <w:sz w:val="13"/>
        </w:rPr>
        <w:t>+ </w:t>
      </w:r>
      <w:r>
        <w:rPr>
          <w:color w:val="231F20"/>
          <w:w w:val="105"/>
        </w:rPr>
        <w:t>AND GENERATION OF NEW HCO </w:t>
      </w:r>
      <w:r>
        <w:rPr>
          <w:rFonts w:ascii="Consolas" w:hAnsi="Consolas"/>
          <w:color w:val="231F20"/>
          <w:w w:val="105"/>
          <w:position w:val="9"/>
          <w:sz w:val="13"/>
        </w:rPr>
        <w:t>− </w:t>
      </w:r>
      <w:r>
        <w:rPr>
          <w:color w:val="231F20"/>
          <w:w w:val="105"/>
        </w:rPr>
        <w:t>BY THE AMMONIA BUFFER SYSTEM</w:t>
      </w:r>
    </w:p>
    <w:p>
      <w:pPr>
        <w:pStyle w:val="BodyText"/>
        <w:spacing w:line="249" w:lineRule="auto" w:before="130"/>
        <w:ind w:left="1440"/>
        <w:jc w:val="both"/>
      </w:pPr>
      <w:r>
        <w:rPr/>
        <w:pict>
          <v:shape style="position:absolute;margin-left:461.927399pt;margin-top:11.761931pt;width:3pt;height:8.7pt;mso-position-horizontal-relative:page;mso-position-vertical-relative:paragraph;z-index:-27240448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407.121185pt;margin-top:23.76193pt;width:3pt;height:8.7pt;mso-position-horizontal-relative:page;mso-position-vertical-relative:paragraph;z-index:-27240345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45.42981pt;margin-top:35.761932pt;width:3pt;height:8.7pt;mso-position-horizontal-relative:page;mso-position-vertical-relative:paragraph;z-index:-272397312"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color w:val="231F20"/>
          <w:w w:val="105"/>
        </w:rPr>
        <w:t>A second buffer system in the tubular fluid that is even more important quantitatively than the phosphate </w:t>
      </w:r>
      <w:r>
        <w:rPr>
          <w:color w:val="231F20"/>
          <w:spacing w:val="-4"/>
          <w:w w:val="105"/>
        </w:rPr>
        <w:t>buffer </w:t>
      </w:r>
      <w:r>
        <w:rPr>
          <w:color w:val="231F20"/>
          <w:w w:val="105"/>
        </w:rPr>
        <w:t>system is composed of ammonia (NH</w:t>
      </w:r>
      <w:r>
        <w:rPr>
          <w:color w:val="231F20"/>
          <w:w w:val="105"/>
          <w:vertAlign w:val="subscript"/>
        </w:rPr>
        <w:t>3</w:t>
      </w:r>
      <w:r>
        <w:rPr>
          <w:color w:val="231F20"/>
          <w:w w:val="105"/>
          <w:vertAlign w:val="baseline"/>
        </w:rPr>
        <w:t>) and the </w:t>
      </w:r>
      <w:r>
        <w:rPr>
          <w:color w:val="231F20"/>
          <w:spacing w:val="-5"/>
          <w:w w:val="105"/>
          <w:vertAlign w:val="baseline"/>
        </w:rPr>
        <w:t>ammo-</w:t>
      </w:r>
    </w:p>
    <w:p>
      <w:pPr>
        <w:pStyle w:val="BodyText"/>
        <w:spacing w:line="247" w:lineRule="auto"/>
        <w:ind w:left="319" w:right="1077"/>
        <w:jc w:val="both"/>
        <w:rPr>
          <w:i/>
        </w:rPr>
      </w:pPr>
      <w:r>
        <w:rPr/>
        <w:br w:type="column"/>
      </w:r>
      <w:r>
        <w:rPr>
          <w:color w:val="231F20"/>
          <w:w w:val="105"/>
        </w:rPr>
        <w:t>The</w:t>
      </w:r>
      <w:r>
        <w:rPr>
          <w:color w:val="231F20"/>
          <w:spacing w:val="-14"/>
          <w:w w:val="105"/>
        </w:rPr>
        <w:t> </w:t>
      </w:r>
      <w:r>
        <w:rPr>
          <w:color w:val="231F20"/>
          <w:w w:val="105"/>
        </w:rPr>
        <w:t>NH</w:t>
      </w:r>
      <w:r>
        <w:rPr>
          <w:color w:val="231F20"/>
          <w:spacing w:val="-1"/>
          <w:w w:val="105"/>
        </w:rPr>
        <w:t> </w:t>
      </w:r>
      <w:r>
        <w:rPr>
          <w:rFonts w:ascii="Consolas" w:hAnsi="Consolas"/>
          <w:color w:val="231F20"/>
          <w:w w:val="105"/>
          <w:position w:val="8"/>
          <w:sz w:val="12"/>
        </w:rPr>
        <w:t>+</w:t>
      </w:r>
      <w:r>
        <w:rPr>
          <w:rFonts w:ascii="Consolas" w:hAnsi="Consolas"/>
          <w:color w:val="231F20"/>
          <w:spacing w:val="-31"/>
          <w:w w:val="105"/>
          <w:position w:val="8"/>
          <w:sz w:val="12"/>
        </w:rPr>
        <w:t> </w:t>
      </w:r>
      <w:r>
        <w:rPr>
          <w:color w:val="231F20"/>
          <w:w w:val="105"/>
        </w:rPr>
        <w:t>is</w:t>
      </w:r>
      <w:r>
        <w:rPr>
          <w:color w:val="231F20"/>
          <w:spacing w:val="-14"/>
          <w:w w:val="105"/>
        </w:rPr>
        <w:t> </w:t>
      </w:r>
      <w:r>
        <w:rPr>
          <w:color w:val="231F20"/>
          <w:w w:val="105"/>
        </w:rPr>
        <w:t>secreted</w:t>
      </w:r>
      <w:r>
        <w:rPr>
          <w:color w:val="231F20"/>
          <w:spacing w:val="-14"/>
          <w:w w:val="105"/>
        </w:rPr>
        <w:t> </w:t>
      </w:r>
      <w:r>
        <w:rPr>
          <w:color w:val="231F20"/>
          <w:w w:val="105"/>
        </w:rPr>
        <w:t>into</w:t>
      </w:r>
      <w:r>
        <w:rPr>
          <w:color w:val="231F20"/>
          <w:spacing w:val="-14"/>
          <w:w w:val="105"/>
        </w:rPr>
        <w:t> </w:t>
      </w:r>
      <w:r>
        <w:rPr>
          <w:color w:val="231F20"/>
          <w:w w:val="105"/>
        </w:rPr>
        <w:t>the</w:t>
      </w:r>
      <w:r>
        <w:rPr>
          <w:color w:val="231F20"/>
          <w:spacing w:val="-14"/>
          <w:w w:val="105"/>
        </w:rPr>
        <w:t> </w:t>
      </w:r>
      <w:r>
        <w:rPr>
          <w:color w:val="231F20"/>
          <w:w w:val="105"/>
        </w:rPr>
        <w:t>tubular</w:t>
      </w:r>
      <w:r>
        <w:rPr>
          <w:color w:val="231F20"/>
          <w:spacing w:val="-14"/>
          <w:w w:val="105"/>
        </w:rPr>
        <w:t> </w:t>
      </w:r>
      <w:r>
        <w:rPr>
          <w:color w:val="231F20"/>
          <w:w w:val="105"/>
        </w:rPr>
        <w:t>lumen</w:t>
      </w:r>
      <w:r>
        <w:rPr>
          <w:color w:val="231F20"/>
          <w:spacing w:val="-14"/>
          <w:w w:val="105"/>
        </w:rPr>
        <w:t> </w:t>
      </w:r>
      <w:r>
        <w:rPr>
          <w:color w:val="231F20"/>
          <w:w w:val="105"/>
        </w:rPr>
        <w:t>by</w:t>
      </w:r>
      <w:r>
        <w:rPr>
          <w:color w:val="231F20"/>
          <w:spacing w:val="-14"/>
          <w:w w:val="105"/>
        </w:rPr>
        <w:t> </w:t>
      </w:r>
      <w:r>
        <w:rPr>
          <w:color w:val="231F20"/>
          <w:w w:val="105"/>
        </w:rPr>
        <w:t>a</w:t>
      </w:r>
      <w:r>
        <w:rPr>
          <w:color w:val="231F20"/>
          <w:spacing w:val="-14"/>
          <w:w w:val="105"/>
        </w:rPr>
        <w:t> </w:t>
      </w:r>
      <w:r>
        <w:rPr>
          <w:color w:val="231F20"/>
          <w:w w:val="105"/>
        </w:rPr>
        <w:t>counter- transport mechanism in exchange for sodium, which is reabsorbed.</w:t>
      </w:r>
      <w:r>
        <w:rPr>
          <w:color w:val="231F20"/>
          <w:spacing w:val="-14"/>
          <w:w w:val="105"/>
        </w:rPr>
        <w:t> </w:t>
      </w:r>
      <w:r>
        <w:rPr>
          <w:color w:val="231F20"/>
          <w:w w:val="105"/>
        </w:rPr>
        <w:t>The</w:t>
      </w:r>
      <w:r>
        <w:rPr>
          <w:color w:val="231F20"/>
          <w:spacing w:val="-13"/>
          <w:w w:val="105"/>
        </w:rPr>
        <w:t> </w:t>
      </w:r>
      <w:r>
        <w:rPr>
          <w:color w:val="231F20"/>
          <w:w w:val="105"/>
        </w:rPr>
        <w:t>HCO</w:t>
      </w:r>
      <w:r>
        <w:rPr>
          <w:color w:val="231F20"/>
          <w:spacing w:val="-3"/>
          <w:w w:val="105"/>
        </w:rPr>
        <w:t> </w:t>
      </w:r>
      <w:r>
        <w:rPr>
          <w:rFonts w:ascii="Consolas" w:hAnsi="Consolas"/>
          <w:color w:val="231F20"/>
          <w:w w:val="105"/>
          <w:position w:val="8"/>
          <w:sz w:val="12"/>
        </w:rPr>
        <w:t>−</w:t>
      </w:r>
      <w:r>
        <w:rPr>
          <w:rFonts w:ascii="Consolas" w:hAnsi="Consolas"/>
          <w:color w:val="231F20"/>
          <w:spacing w:val="-29"/>
          <w:w w:val="105"/>
          <w:position w:val="8"/>
          <w:sz w:val="12"/>
        </w:rPr>
        <w:t> </w:t>
      </w:r>
      <w:r>
        <w:rPr>
          <w:color w:val="231F20"/>
          <w:w w:val="105"/>
        </w:rPr>
        <w:t>is</w:t>
      </w:r>
      <w:r>
        <w:rPr>
          <w:color w:val="231F20"/>
          <w:spacing w:val="-14"/>
          <w:w w:val="105"/>
        </w:rPr>
        <w:t> </w:t>
      </w:r>
      <w:r>
        <w:rPr>
          <w:color w:val="231F20"/>
          <w:w w:val="105"/>
        </w:rPr>
        <w:t>transported</w:t>
      </w:r>
      <w:r>
        <w:rPr>
          <w:color w:val="231F20"/>
          <w:spacing w:val="-13"/>
          <w:w w:val="105"/>
        </w:rPr>
        <w:t> </w:t>
      </w:r>
      <w:r>
        <w:rPr>
          <w:color w:val="231F20"/>
          <w:w w:val="105"/>
        </w:rPr>
        <w:t>across</w:t>
      </w:r>
      <w:r>
        <w:rPr>
          <w:color w:val="231F20"/>
          <w:spacing w:val="-13"/>
          <w:w w:val="105"/>
        </w:rPr>
        <w:t> </w:t>
      </w:r>
      <w:r>
        <w:rPr>
          <w:color w:val="231F20"/>
          <w:w w:val="105"/>
        </w:rPr>
        <w:t>the</w:t>
      </w:r>
      <w:r>
        <w:rPr>
          <w:color w:val="231F20"/>
          <w:spacing w:val="-13"/>
          <w:w w:val="105"/>
        </w:rPr>
        <w:t> </w:t>
      </w:r>
      <w:r>
        <w:rPr>
          <w:color w:val="231F20"/>
          <w:w w:val="105"/>
        </w:rPr>
        <w:t>basolat- eral membrane, along with the reabsorbed </w:t>
      </w:r>
      <w:r>
        <w:rPr>
          <w:color w:val="231F20"/>
          <w:spacing w:val="-6"/>
          <w:w w:val="105"/>
        </w:rPr>
        <w:t>Na</w:t>
      </w:r>
      <w:r>
        <w:rPr>
          <w:rFonts w:ascii="Consolas" w:hAnsi="Consolas"/>
          <w:color w:val="231F20"/>
          <w:spacing w:val="-6"/>
          <w:w w:val="105"/>
          <w:position w:val="8"/>
          <w:sz w:val="12"/>
        </w:rPr>
        <w:t>+</w:t>
      </w:r>
      <w:r>
        <w:rPr>
          <w:color w:val="231F20"/>
          <w:spacing w:val="-6"/>
          <w:w w:val="105"/>
        </w:rPr>
        <w:t>, </w:t>
      </w:r>
      <w:r>
        <w:rPr>
          <w:color w:val="231F20"/>
          <w:w w:val="105"/>
        </w:rPr>
        <w:t>into the interstitial fluid and is taken up by the peritubular </w:t>
      </w:r>
      <w:r>
        <w:rPr>
          <w:color w:val="231F20"/>
          <w:spacing w:val="-4"/>
          <w:w w:val="105"/>
        </w:rPr>
        <w:t>capil- </w:t>
      </w:r>
      <w:r>
        <w:rPr>
          <w:color w:val="231F20"/>
          <w:w w:val="105"/>
        </w:rPr>
        <w:t>laries.</w:t>
      </w:r>
      <w:r>
        <w:rPr>
          <w:color w:val="231F20"/>
          <w:spacing w:val="-16"/>
          <w:w w:val="105"/>
        </w:rPr>
        <w:t> </w:t>
      </w:r>
      <w:r>
        <w:rPr>
          <w:color w:val="231F20"/>
          <w:w w:val="105"/>
        </w:rPr>
        <w:t>Thus,</w:t>
      </w:r>
      <w:r>
        <w:rPr>
          <w:color w:val="231F20"/>
          <w:spacing w:val="-16"/>
          <w:w w:val="105"/>
        </w:rPr>
        <w:t> </w:t>
      </w:r>
      <w:r>
        <w:rPr>
          <w:color w:val="231F20"/>
          <w:w w:val="105"/>
        </w:rPr>
        <w:t>for</w:t>
      </w:r>
      <w:r>
        <w:rPr>
          <w:color w:val="231F20"/>
          <w:spacing w:val="-16"/>
          <w:w w:val="105"/>
        </w:rPr>
        <w:t> </w:t>
      </w:r>
      <w:r>
        <w:rPr>
          <w:color w:val="231F20"/>
          <w:w w:val="105"/>
        </w:rPr>
        <w:t>each</w:t>
      </w:r>
      <w:r>
        <w:rPr>
          <w:color w:val="231F20"/>
          <w:spacing w:val="-16"/>
          <w:w w:val="105"/>
        </w:rPr>
        <w:t> </w:t>
      </w:r>
      <w:r>
        <w:rPr>
          <w:color w:val="231F20"/>
          <w:w w:val="105"/>
        </w:rPr>
        <w:t>molecule</w:t>
      </w:r>
      <w:r>
        <w:rPr>
          <w:color w:val="231F20"/>
          <w:spacing w:val="-16"/>
          <w:w w:val="105"/>
        </w:rPr>
        <w:t> </w:t>
      </w:r>
      <w:r>
        <w:rPr>
          <w:color w:val="231F20"/>
          <w:w w:val="105"/>
        </w:rPr>
        <w:t>of</w:t>
      </w:r>
      <w:r>
        <w:rPr>
          <w:color w:val="231F20"/>
          <w:spacing w:val="-16"/>
          <w:w w:val="105"/>
        </w:rPr>
        <w:t> </w:t>
      </w:r>
      <w:r>
        <w:rPr>
          <w:color w:val="231F20"/>
          <w:w w:val="105"/>
        </w:rPr>
        <w:t>glutamine</w:t>
      </w:r>
      <w:r>
        <w:rPr>
          <w:color w:val="231F20"/>
          <w:spacing w:val="-16"/>
          <w:w w:val="105"/>
        </w:rPr>
        <w:t> </w:t>
      </w:r>
      <w:r>
        <w:rPr>
          <w:color w:val="231F20"/>
          <w:w w:val="105"/>
        </w:rPr>
        <w:t>metabolized in the proximal tubules, two NH </w:t>
      </w:r>
      <w:r>
        <w:rPr>
          <w:rFonts w:ascii="Consolas" w:hAnsi="Consolas"/>
          <w:color w:val="231F20"/>
          <w:w w:val="105"/>
          <w:position w:val="8"/>
          <w:sz w:val="12"/>
        </w:rPr>
        <w:t>+ </w:t>
      </w:r>
      <w:r>
        <w:rPr>
          <w:color w:val="231F20"/>
          <w:w w:val="105"/>
        </w:rPr>
        <w:t>are secreted into the urine and two HCO </w:t>
      </w:r>
      <w:r>
        <w:rPr>
          <w:rFonts w:ascii="Consolas" w:hAnsi="Consolas"/>
          <w:color w:val="231F20"/>
          <w:w w:val="105"/>
          <w:position w:val="8"/>
          <w:sz w:val="12"/>
        </w:rPr>
        <w:t>−</w:t>
      </w:r>
      <w:r>
        <w:rPr>
          <w:rFonts w:ascii="Consolas" w:hAnsi="Consolas"/>
          <w:color w:val="231F20"/>
          <w:spacing w:val="-43"/>
          <w:w w:val="105"/>
          <w:position w:val="8"/>
          <w:sz w:val="12"/>
        </w:rPr>
        <w:t> </w:t>
      </w:r>
      <w:r>
        <w:rPr>
          <w:color w:val="231F20"/>
          <w:w w:val="105"/>
        </w:rPr>
        <w:t>are reabsorbed into the blood. </w:t>
      </w:r>
      <w:r>
        <w:rPr>
          <w:i/>
          <w:color w:val="231F20"/>
          <w:w w:val="105"/>
        </w:rPr>
        <w:t>The </w:t>
      </w:r>
      <w:r>
        <w:rPr>
          <w:i/>
          <w:color w:val="231F20"/>
          <w:w w:val="105"/>
        </w:rPr>
        <w:t>HCO</w:t>
      </w:r>
      <w:r>
        <w:rPr>
          <w:i/>
          <w:color w:val="231F20"/>
          <w:spacing w:val="-16"/>
          <w:w w:val="105"/>
        </w:rPr>
        <w:t> </w:t>
      </w:r>
      <w:r>
        <w:rPr>
          <w:rFonts w:ascii="Consolas" w:hAnsi="Consolas"/>
          <w:i/>
          <w:color w:val="231F20"/>
          <w:w w:val="105"/>
          <w:position w:val="8"/>
          <w:sz w:val="12"/>
        </w:rPr>
        <w:t>−</w:t>
      </w:r>
      <w:r>
        <w:rPr>
          <w:rFonts w:ascii="Consolas" w:hAnsi="Consolas"/>
          <w:i/>
          <w:color w:val="231F20"/>
          <w:spacing w:val="-34"/>
          <w:w w:val="105"/>
          <w:position w:val="8"/>
          <w:sz w:val="12"/>
        </w:rPr>
        <w:t> </w:t>
      </w:r>
      <w:r>
        <w:rPr>
          <w:i/>
          <w:color w:val="231F20"/>
          <w:w w:val="105"/>
        </w:rPr>
        <w:t>generated</w:t>
      </w:r>
      <w:r>
        <w:rPr>
          <w:i/>
          <w:color w:val="231F20"/>
          <w:spacing w:val="-17"/>
          <w:w w:val="105"/>
        </w:rPr>
        <w:t> </w:t>
      </w:r>
      <w:r>
        <w:rPr>
          <w:i/>
          <w:color w:val="231F20"/>
          <w:w w:val="105"/>
        </w:rPr>
        <w:t>by</w:t>
      </w:r>
      <w:r>
        <w:rPr>
          <w:i/>
          <w:color w:val="231F20"/>
          <w:spacing w:val="-17"/>
          <w:w w:val="105"/>
        </w:rPr>
        <w:t> </w:t>
      </w:r>
      <w:r>
        <w:rPr>
          <w:i/>
          <w:color w:val="231F20"/>
          <w:w w:val="105"/>
        </w:rPr>
        <w:t>this</w:t>
      </w:r>
      <w:r>
        <w:rPr>
          <w:i/>
          <w:color w:val="231F20"/>
          <w:spacing w:val="-18"/>
          <w:w w:val="105"/>
        </w:rPr>
        <w:t> </w:t>
      </w:r>
      <w:r>
        <w:rPr>
          <w:i/>
          <w:color w:val="231F20"/>
          <w:w w:val="105"/>
        </w:rPr>
        <w:t>process</w:t>
      </w:r>
      <w:r>
        <w:rPr>
          <w:i/>
          <w:color w:val="231F20"/>
          <w:spacing w:val="-17"/>
          <w:w w:val="105"/>
        </w:rPr>
        <w:t> </w:t>
      </w:r>
      <w:r>
        <w:rPr>
          <w:i/>
          <w:color w:val="231F20"/>
          <w:w w:val="105"/>
        </w:rPr>
        <w:t>constitutes</w:t>
      </w:r>
      <w:r>
        <w:rPr>
          <w:i/>
          <w:color w:val="231F20"/>
          <w:spacing w:val="-17"/>
          <w:w w:val="105"/>
        </w:rPr>
        <w:t> </w:t>
      </w:r>
      <w:r>
        <w:rPr>
          <w:i/>
          <w:color w:val="231F20"/>
          <w:w w:val="105"/>
        </w:rPr>
        <w:t>new</w:t>
      </w:r>
      <w:r>
        <w:rPr>
          <w:i/>
          <w:color w:val="231F20"/>
          <w:spacing w:val="-17"/>
          <w:w w:val="105"/>
        </w:rPr>
        <w:t> </w:t>
      </w:r>
      <w:r>
        <w:rPr>
          <w:i/>
          <w:color w:val="231F20"/>
          <w:w w:val="105"/>
        </w:rPr>
        <w:t>HCO</w:t>
      </w:r>
      <w:r>
        <w:rPr>
          <w:i/>
          <w:color w:val="231F20"/>
          <w:spacing w:val="-15"/>
          <w:w w:val="105"/>
        </w:rPr>
        <w:t> </w:t>
      </w:r>
      <w:r>
        <w:rPr>
          <w:rFonts w:ascii="Consolas" w:hAnsi="Consolas"/>
          <w:i/>
          <w:color w:val="231F20"/>
          <w:w w:val="105"/>
          <w:position w:val="8"/>
          <w:sz w:val="12"/>
        </w:rPr>
        <w:t>−</w:t>
      </w:r>
      <w:r>
        <w:rPr>
          <w:i/>
          <w:color w:val="231F20"/>
          <w:w w:val="105"/>
        </w:rPr>
        <w:t>.</w:t>
      </w:r>
    </w:p>
    <w:p>
      <w:pPr>
        <w:spacing w:after="0" w:line="247" w:lineRule="auto"/>
        <w:jc w:val="both"/>
        <w:sectPr>
          <w:type w:val="continuous"/>
          <w:pgSz w:w="12240" w:h="15660"/>
          <w:pgMar w:top="0" w:bottom="760" w:left="0" w:right="0"/>
          <w:cols w:num="2" w:equalWidth="0">
            <w:col w:w="6120" w:space="40"/>
            <w:col w:w="6080"/>
          </w:cols>
        </w:sectPr>
      </w:pPr>
    </w:p>
    <w:p>
      <w:pPr>
        <w:pStyle w:val="BodyText"/>
        <w:spacing w:line="249" w:lineRule="auto"/>
        <w:ind w:left="1440" w:hanging="1"/>
        <w:jc w:val="both"/>
      </w:pPr>
      <w:r>
        <w:rPr/>
        <w:pict>
          <v:group style="position:absolute;margin-left:0pt;margin-top:0pt;width:612pt;height:180pt;mso-position-horizontal-relative:page;mso-position-vertical-relative:page;z-index:-27243417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w10:wrap type="none"/>
          </v:group>
        </w:pict>
      </w:r>
      <w:r>
        <w:rPr/>
        <w:pict>
          <v:shape style="position:absolute;margin-left:134.287094pt;margin-top:5.445533pt;width:3pt;height:8.7pt;mso-position-horizontal-relative:page;mso-position-vertical-relative:paragraph;z-index:-27240243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523.692627pt;margin-top:5.445533pt;width:3pt;height:8.7pt;mso-position-horizontal-relative:page;mso-position-vertical-relative:paragraph;z-index:-27240140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362.845093pt;margin-top:53.445534pt;width:3pt;height:8.7pt;mso-position-horizontal-relative:page;mso-position-vertical-relative:paragraph;z-index:-27240038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rPr>
        <w:t>nium ion (NH </w:t>
      </w:r>
      <w:r>
        <w:rPr>
          <w:rFonts w:ascii="Consolas"/>
          <w:color w:val="231F20"/>
          <w:position w:val="8"/>
          <w:sz w:val="12"/>
        </w:rPr>
        <w:t>+</w:t>
      </w:r>
      <w:r>
        <w:rPr>
          <w:color w:val="231F20"/>
        </w:rPr>
        <w:t>). Ammonium ion is synthesized from glutamine, which comes mainly from the metabolism of amino acids in the liver. The glutamine delivered to the kidneys is transported into the epithelial cells of the proxi- mal tubules, thick ascending limb of the loop of Henle,</w:t>
      </w:r>
    </w:p>
    <w:p>
      <w:pPr>
        <w:pStyle w:val="BodyText"/>
        <w:spacing w:line="249" w:lineRule="auto"/>
        <w:ind w:left="319" w:right="1077" w:firstLine="239"/>
        <w:jc w:val="both"/>
      </w:pPr>
      <w:r>
        <w:rPr/>
        <w:br w:type="column"/>
      </w:r>
      <w:r>
        <w:rPr>
          <w:color w:val="231F20"/>
          <w:w w:val="105"/>
        </w:rPr>
        <w:t>In the collecting tubules, the addition of NH </w:t>
      </w:r>
      <w:r>
        <w:rPr>
          <w:rFonts w:ascii="Consolas"/>
          <w:color w:val="231F20"/>
          <w:w w:val="105"/>
          <w:position w:val="8"/>
          <w:sz w:val="12"/>
        </w:rPr>
        <w:t>+ </w:t>
      </w:r>
      <w:r>
        <w:rPr>
          <w:color w:val="231F20"/>
          <w:w w:val="105"/>
        </w:rPr>
        <w:t>to the tubular fluids occurs through a different mechanism (</w:t>
      </w:r>
      <w:hyperlink w:history="true" w:anchor="_bookmark110">
        <w:r>
          <w:rPr>
            <w:b/>
            <w:color w:val="0080AC"/>
            <w:w w:val="105"/>
          </w:rPr>
          <w:t>Figure 31-9</w:t>
        </w:r>
      </w:hyperlink>
      <w:r>
        <w:rPr>
          <w:color w:val="231F20"/>
          <w:w w:val="105"/>
        </w:rPr>
        <w:t>). Here, H</w:t>
      </w:r>
      <w:r>
        <w:rPr>
          <w:rFonts w:ascii="Consolas"/>
          <w:color w:val="231F20"/>
          <w:w w:val="105"/>
          <w:position w:val="8"/>
          <w:sz w:val="12"/>
        </w:rPr>
        <w:t>+</w:t>
      </w:r>
      <w:r>
        <w:rPr>
          <w:rFonts w:ascii="Consolas"/>
          <w:color w:val="231F20"/>
          <w:spacing w:val="-48"/>
          <w:w w:val="105"/>
          <w:position w:val="8"/>
          <w:sz w:val="12"/>
        </w:rPr>
        <w:t> </w:t>
      </w:r>
      <w:r>
        <w:rPr>
          <w:color w:val="231F20"/>
          <w:w w:val="105"/>
        </w:rPr>
        <w:t>is secreted by the tubular mem- brane into the lumen, where it combines with NH</w:t>
      </w:r>
      <w:r>
        <w:rPr>
          <w:color w:val="231F20"/>
          <w:w w:val="105"/>
          <w:vertAlign w:val="subscript"/>
        </w:rPr>
        <w:t>3</w:t>
      </w:r>
      <w:r>
        <w:rPr>
          <w:color w:val="231F20"/>
          <w:w w:val="105"/>
          <w:vertAlign w:val="baseline"/>
        </w:rPr>
        <w:t> </w:t>
      </w:r>
      <w:r>
        <w:rPr>
          <w:color w:val="231F20"/>
          <w:spacing w:val="-10"/>
          <w:w w:val="105"/>
          <w:vertAlign w:val="baseline"/>
        </w:rPr>
        <w:t>to </w:t>
      </w:r>
      <w:r>
        <w:rPr>
          <w:color w:val="231F20"/>
          <w:w w:val="105"/>
          <w:vertAlign w:val="baseline"/>
        </w:rPr>
        <w:t>form NH </w:t>
      </w:r>
      <w:r>
        <w:rPr>
          <w:rFonts w:ascii="Consolas"/>
          <w:color w:val="231F20"/>
          <w:spacing w:val="-11"/>
          <w:w w:val="105"/>
          <w:position w:val="8"/>
          <w:sz w:val="12"/>
          <w:vertAlign w:val="baseline"/>
        </w:rPr>
        <w:t>+</w:t>
      </w:r>
      <w:r>
        <w:rPr>
          <w:color w:val="231F20"/>
          <w:spacing w:val="-11"/>
          <w:w w:val="105"/>
          <w:vertAlign w:val="baseline"/>
        </w:rPr>
        <w:t>, </w:t>
      </w:r>
      <w:r>
        <w:rPr>
          <w:color w:val="231F20"/>
          <w:w w:val="105"/>
          <w:vertAlign w:val="baseline"/>
        </w:rPr>
        <w:t>which is then excreted. The collecting</w:t>
      </w:r>
      <w:r>
        <w:rPr>
          <w:color w:val="231F20"/>
          <w:spacing w:val="-21"/>
          <w:w w:val="105"/>
          <w:vertAlign w:val="baseline"/>
        </w:rPr>
        <w:t> </w:t>
      </w:r>
      <w:r>
        <w:rPr>
          <w:color w:val="231F20"/>
          <w:w w:val="105"/>
          <w:vertAlign w:val="baseline"/>
        </w:rPr>
        <w:t>ducts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1013"/>
          <w:footerReference w:type="even" r:id="rId1014"/>
          <w:footerReference w:type="default" r:id="rId1015"/>
          <w:pgSz w:w="12240" w:h="15660"/>
          <w:pgMar w:header="0" w:footer="567" w:top="720" w:bottom="760" w:left="0" w:right="0"/>
          <w:pgNumType w:start="420"/>
        </w:sectPr>
      </w:pPr>
    </w:p>
    <w:p>
      <w:pPr>
        <w:pStyle w:val="BodyText"/>
        <w:spacing w:line="240" w:lineRule="atLeast" w:before="89"/>
        <w:ind w:left="1079"/>
        <w:jc w:val="both"/>
        <w:rPr>
          <w:i/>
        </w:rPr>
      </w:pPr>
      <w:r>
        <w:rPr/>
        <w:pict>
          <v:shape style="position:absolute;margin-left:252.555695pt;margin-top:34.212940pt;width:3pt;height:8.7pt;mso-position-horizontal-relative:page;mso-position-vertical-relative:paragraph;z-index:-27239116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265.091492pt;margin-top:46.21294pt;width:3pt;height:8.7pt;mso-position-horizontal-relative:page;mso-position-vertical-relative:paragraph;z-index:-27239014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69.339798pt;margin-top:58.21294pt;width:3pt;height:8.7pt;mso-position-horizontal-relative:page;mso-position-vertical-relative:paragraph;z-index:-27238912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rPr>
        <w:t>are permeable to NH</w:t>
      </w:r>
      <w:r>
        <w:rPr>
          <w:color w:val="231F20"/>
          <w:w w:val="105"/>
          <w:vertAlign w:val="subscript"/>
        </w:rPr>
        <w:t>3</w:t>
      </w:r>
      <w:r>
        <w:rPr>
          <w:color w:val="231F20"/>
          <w:w w:val="105"/>
          <w:vertAlign w:val="baseline"/>
        </w:rPr>
        <w:t>, which can easily diffuse into </w:t>
      </w:r>
      <w:r>
        <w:rPr>
          <w:color w:val="231F20"/>
          <w:spacing w:val="-8"/>
          <w:w w:val="105"/>
          <w:vertAlign w:val="baseline"/>
        </w:rPr>
        <w:t>the </w:t>
      </w:r>
      <w:r>
        <w:rPr>
          <w:color w:val="231F20"/>
          <w:w w:val="105"/>
          <w:vertAlign w:val="baseline"/>
        </w:rPr>
        <w:t>tubular lumen. However, the luminal membrane of </w:t>
      </w:r>
      <w:r>
        <w:rPr>
          <w:color w:val="231F20"/>
          <w:spacing w:val="-5"/>
          <w:w w:val="105"/>
          <w:vertAlign w:val="baseline"/>
        </w:rPr>
        <w:t>this </w:t>
      </w:r>
      <w:r>
        <w:rPr>
          <w:color w:val="231F20"/>
          <w:w w:val="105"/>
          <w:vertAlign w:val="baseline"/>
        </w:rPr>
        <w:t>part</w:t>
      </w:r>
      <w:r>
        <w:rPr>
          <w:color w:val="231F20"/>
          <w:spacing w:val="-14"/>
          <w:w w:val="105"/>
          <w:vertAlign w:val="baseline"/>
        </w:rPr>
        <w:t> </w:t>
      </w:r>
      <w:r>
        <w:rPr>
          <w:color w:val="231F20"/>
          <w:w w:val="105"/>
          <w:vertAlign w:val="baseline"/>
        </w:rPr>
        <w:t>of</w:t>
      </w:r>
      <w:r>
        <w:rPr>
          <w:color w:val="231F20"/>
          <w:spacing w:val="-14"/>
          <w:w w:val="105"/>
          <w:vertAlign w:val="baseline"/>
        </w:rPr>
        <w:t> </w:t>
      </w:r>
      <w:r>
        <w:rPr>
          <w:color w:val="231F20"/>
          <w:w w:val="105"/>
          <w:vertAlign w:val="baseline"/>
        </w:rPr>
        <w:t>the</w:t>
      </w:r>
      <w:r>
        <w:rPr>
          <w:color w:val="231F20"/>
          <w:spacing w:val="-14"/>
          <w:w w:val="105"/>
          <w:vertAlign w:val="baseline"/>
        </w:rPr>
        <w:t> </w:t>
      </w:r>
      <w:r>
        <w:rPr>
          <w:color w:val="231F20"/>
          <w:w w:val="105"/>
          <w:vertAlign w:val="baseline"/>
        </w:rPr>
        <w:t>tubules</w:t>
      </w:r>
      <w:r>
        <w:rPr>
          <w:color w:val="231F20"/>
          <w:spacing w:val="-14"/>
          <w:w w:val="105"/>
          <w:vertAlign w:val="baseline"/>
        </w:rPr>
        <w:t> </w:t>
      </w:r>
      <w:r>
        <w:rPr>
          <w:color w:val="231F20"/>
          <w:w w:val="105"/>
          <w:vertAlign w:val="baseline"/>
        </w:rPr>
        <w:t>is</w:t>
      </w:r>
      <w:r>
        <w:rPr>
          <w:color w:val="231F20"/>
          <w:spacing w:val="-14"/>
          <w:w w:val="105"/>
          <w:vertAlign w:val="baseline"/>
        </w:rPr>
        <w:t> </w:t>
      </w:r>
      <w:r>
        <w:rPr>
          <w:color w:val="231F20"/>
          <w:w w:val="105"/>
          <w:vertAlign w:val="baseline"/>
        </w:rPr>
        <w:t>much</w:t>
      </w:r>
      <w:r>
        <w:rPr>
          <w:color w:val="231F20"/>
          <w:spacing w:val="-14"/>
          <w:w w:val="105"/>
          <w:vertAlign w:val="baseline"/>
        </w:rPr>
        <w:t> </w:t>
      </w:r>
      <w:r>
        <w:rPr>
          <w:color w:val="231F20"/>
          <w:w w:val="105"/>
          <w:vertAlign w:val="baseline"/>
        </w:rPr>
        <w:t>less</w:t>
      </w:r>
      <w:r>
        <w:rPr>
          <w:color w:val="231F20"/>
          <w:spacing w:val="-14"/>
          <w:w w:val="105"/>
          <w:vertAlign w:val="baseline"/>
        </w:rPr>
        <w:t> </w:t>
      </w:r>
      <w:r>
        <w:rPr>
          <w:color w:val="231F20"/>
          <w:w w:val="105"/>
          <w:vertAlign w:val="baseline"/>
        </w:rPr>
        <w:t>permeable</w:t>
      </w:r>
      <w:r>
        <w:rPr>
          <w:color w:val="231F20"/>
          <w:spacing w:val="-14"/>
          <w:w w:val="105"/>
          <w:vertAlign w:val="baseline"/>
        </w:rPr>
        <w:t> </w:t>
      </w:r>
      <w:r>
        <w:rPr>
          <w:color w:val="231F20"/>
          <w:w w:val="105"/>
          <w:vertAlign w:val="baseline"/>
        </w:rPr>
        <w:t>to</w:t>
      </w:r>
      <w:r>
        <w:rPr>
          <w:color w:val="231F20"/>
          <w:spacing w:val="-14"/>
          <w:w w:val="105"/>
          <w:vertAlign w:val="baseline"/>
        </w:rPr>
        <w:t> </w:t>
      </w:r>
      <w:r>
        <w:rPr>
          <w:color w:val="231F20"/>
          <w:w w:val="105"/>
          <w:vertAlign w:val="baseline"/>
        </w:rPr>
        <w:t>NH</w:t>
      </w:r>
      <w:r>
        <w:rPr>
          <w:color w:val="231F20"/>
          <w:spacing w:val="-1"/>
          <w:w w:val="105"/>
          <w:vertAlign w:val="baseline"/>
        </w:rPr>
        <w:t> </w:t>
      </w:r>
      <w:r>
        <w:rPr>
          <w:rFonts w:ascii="Consolas" w:hAnsi="Consolas"/>
          <w:color w:val="231F20"/>
          <w:w w:val="105"/>
          <w:position w:val="8"/>
          <w:sz w:val="12"/>
          <w:vertAlign w:val="baseline"/>
        </w:rPr>
        <w:t>+</w:t>
      </w:r>
      <w:r>
        <w:rPr>
          <w:color w:val="231F20"/>
          <w:w w:val="105"/>
          <w:vertAlign w:val="baseline"/>
        </w:rPr>
        <w:t>;</w:t>
      </w:r>
      <w:r>
        <w:rPr>
          <w:color w:val="231F20"/>
          <w:spacing w:val="-14"/>
          <w:w w:val="105"/>
          <w:vertAlign w:val="baseline"/>
        </w:rPr>
        <w:t> </w:t>
      </w:r>
      <w:r>
        <w:rPr>
          <w:color w:val="231F20"/>
          <w:spacing w:val="-3"/>
          <w:w w:val="105"/>
          <w:vertAlign w:val="baseline"/>
        </w:rPr>
        <w:t>there- </w:t>
      </w:r>
      <w:r>
        <w:rPr>
          <w:color w:val="231F20"/>
          <w:w w:val="105"/>
          <w:vertAlign w:val="baseline"/>
        </w:rPr>
        <w:t>fore,</w:t>
      </w:r>
      <w:r>
        <w:rPr>
          <w:color w:val="231F20"/>
          <w:spacing w:val="-7"/>
          <w:w w:val="105"/>
          <w:vertAlign w:val="baseline"/>
        </w:rPr>
        <w:t> </w:t>
      </w:r>
      <w:r>
        <w:rPr>
          <w:color w:val="231F20"/>
          <w:w w:val="105"/>
          <w:vertAlign w:val="baseline"/>
        </w:rPr>
        <w:t>once</w:t>
      </w:r>
      <w:r>
        <w:rPr>
          <w:color w:val="231F20"/>
          <w:spacing w:val="-7"/>
          <w:w w:val="105"/>
          <w:vertAlign w:val="baseline"/>
        </w:rPr>
        <w:t> </w:t>
      </w:r>
      <w:r>
        <w:rPr>
          <w:color w:val="231F20"/>
          <w:w w:val="105"/>
          <w:vertAlign w:val="baseline"/>
        </w:rPr>
        <w:t>the</w:t>
      </w:r>
      <w:r>
        <w:rPr>
          <w:color w:val="231F20"/>
          <w:spacing w:val="-7"/>
          <w:w w:val="105"/>
          <w:vertAlign w:val="baseline"/>
        </w:rPr>
        <w:t> </w:t>
      </w:r>
      <w:r>
        <w:rPr>
          <w:color w:val="231F20"/>
          <w:w w:val="105"/>
          <w:vertAlign w:val="baseline"/>
        </w:rPr>
        <w:t>H</w:t>
      </w:r>
      <w:r>
        <w:rPr>
          <w:rFonts w:ascii="Consolas" w:hAnsi="Consolas"/>
          <w:color w:val="231F20"/>
          <w:w w:val="105"/>
          <w:position w:val="8"/>
          <w:sz w:val="12"/>
          <w:vertAlign w:val="baseline"/>
        </w:rPr>
        <w:t>+</w:t>
      </w:r>
      <w:r>
        <w:rPr>
          <w:rFonts w:ascii="Consolas" w:hAnsi="Consolas"/>
          <w:color w:val="231F20"/>
          <w:spacing w:val="-24"/>
          <w:w w:val="105"/>
          <w:position w:val="8"/>
          <w:sz w:val="12"/>
          <w:vertAlign w:val="baseline"/>
        </w:rPr>
        <w:t> </w:t>
      </w:r>
      <w:r>
        <w:rPr>
          <w:color w:val="231F20"/>
          <w:w w:val="105"/>
          <w:vertAlign w:val="baseline"/>
        </w:rPr>
        <w:t>has</w:t>
      </w:r>
      <w:r>
        <w:rPr>
          <w:color w:val="231F20"/>
          <w:spacing w:val="-6"/>
          <w:w w:val="105"/>
          <w:vertAlign w:val="baseline"/>
        </w:rPr>
        <w:t> </w:t>
      </w:r>
      <w:r>
        <w:rPr>
          <w:color w:val="231F20"/>
          <w:w w:val="105"/>
          <w:vertAlign w:val="baseline"/>
        </w:rPr>
        <w:t>reacted</w:t>
      </w:r>
      <w:r>
        <w:rPr>
          <w:color w:val="231F20"/>
          <w:spacing w:val="-7"/>
          <w:w w:val="105"/>
          <w:vertAlign w:val="baseline"/>
        </w:rPr>
        <w:t> </w:t>
      </w:r>
      <w:r>
        <w:rPr>
          <w:color w:val="231F20"/>
          <w:w w:val="105"/>
          <w:vertAlign w:val="baseline"/>
        </w:rPr>
        <w:t>with</w:t>
      </w:r>
      <w:r>
        <w:rPr>
          <w:color w:val="231F20"/>
          <w:spacing w:val="-7"/>
          <w:w w:val="105"/>
          <w:vertAlign w:val="baseline"/>
        </w:rPr>
        <w:t> </w:t>
      </w:r>
      <w:r>
        <w:rPr>
          <w:color w:val="231F20"/>
          <w:w w:val="105"/>
          <w:vertAlign w:val="baseline"/>
        </w:rPr>
        <w:t>NH</w:t>
      </w:r>
      <w:r>
        <w:rPr>
          <w:color w:val="231F20"/>
          <w:w w:val="105"/>
          <w:vertAlign w:val="subscript"/>
        </w:rPr>
        <w:t>3</w:t>
      </w:r>
      <w:r>
        <w:rPr>
          <w:color w:val="231F20"/>
          <w:spacing w:val="-7"/>
          <w:w w:val="105"/>
          <w:vertAlign w:val="baseline"/>
        </w:rPr>
        <w:t> </w:t>
      </w:r>
      <w:r>
        <w:rPr>
          <w:color w:val="231F20"/>
          <w:w w:val="105"/>
          <w:vertAlign w:val="baseline"/>
        </w:rPr>
        <w:t>to</w:t>
      </w:r>
      <w:r>
        <w:rPr>
          <w:color w:val="231F20"/>
          <w:spacing w:val="-7"/>
          <w:w w:val="105"/>
          <w:vertAlign w:val="baseline"/>
        </w:rPr>
        <w:t> </w:t>
      </w:r>
      <w:r>
        <w:rPr>
          <w:color w:val="231F20"/>
          <w:w w:val="105"/>
          <w:vertAlign w:val="baseline"/>
        </w:rPr>
        <w:t>form</w:t>
      </w:r>
      <w:r>
        <w:rPr>
          <w:color w:val="231F20"/>
          <w:spacing w:val="-7"/>
          <w:w w:val="105"/>
          <w:vertAlign w:val="baseline"/>
        </w:rPr>
        <w:t> </w:t>
      </w:r>
      <w:r>
        <w:rPr>
          <w:color w:val="231F20"/>
          <w:w w:val="105"/>
          <w:vertAlign w:val="baseline"/>
        </w:rPr>
        <w:t>NH</w:t>
      </w:r>
      <w:r>
        <w:rPr>
          <w:color w:val="231F20"/>
          <w:spacing w:val="3"/>
          <w:w w:val="105"/>
          <w:vertAlign w:val="baseline"/>
        </w:rPr>
        <w:t> </w:t>
      </w:r>
      <w:r>
        <w:rPr>
          <w:rFonts w:ascii="Consolas" w:hAnsi="Consolas"/>
          <w:color w:val="231F20"/>
          <w:spacing w:val="-11"/>
          <w:w w:val="105"/>
          <w:position w:val="8"/>
          <w:sz w:val="12"/>
          <w:vertAlign w:val="baseline"/>
        </w:rPr>
        <w:t>+</w:t>
      </w:r>
      <w:r>
        <w:rPr>
          <w:color w:val="231F20"/>
          <w:spacing w:val="-11"/>
          <w:w w:val="105"/>
          <w:vertAlign w:val="baseline"/>
        </w:rPr>
        <w:t>,</w:t>
      </w:r>
      <w:r>
        <w:rPr>
          <w:color w:val="231F20"/>
          <w:spacing w:val="-7"/>
          <w:w w:val="105"/>
          <w:vertAlign w:val="baseline"/>
        </w:rPr>
        <w:t> the </w:t>
      </w:r>
      <w:r>
        <w:rPr>
          <w:color w:val="231F20"/>
          <w:w w:val="105"/>
          <w:vertAlign w:val="baseline"/>
        </w:rPr>
        <w:t>NH </w:t>
      </w:r>
      <w:r>
        <w:rPr>
          <w:rFonts w:ascii="Consolas" w:hAnsi="Consolas"/>
          <w:color w:val="231F20"/>
          <w:w w:val="105"/>
          <w:position w:val="8"/>
          <w:sz w:val="12"/>
          <w:vertAlign w:val="baseline"/>
        </w:rPr>
        <w:t>+ </w:t>
      </w:r>
      <w:r>
        <w:rPr>
          <w:color w:val="231F20"/>
          <w:w w:val="105"/>
          <w:vertAlign w:val="baseline"/>
        </w:rPr>
        <w:t>is trapped in the tubular lumen and eliminated in the</w:t>
      </w:r>
      <w:r>
        <w:rPr>
          <w:color w:val="231F20"/>
          <w:spacing w:val="-16"/>
          <w:w w:val="105"/>
          <w:vertAlign w:val="baseline"/>
        </w:rPr>
        <w:t> </w:t>
      </w:r>
      <w:r>
        <w:rPr>
          <w:color w:val="231F20"/>
          <w:w w:val="105"/>
          <w:vertAlign w:val="baseline"/>
        </w:rPr>
        <w:t>urine.</w:t>
      </w:r>
      <w:r>
        <w:rPr>
          <w:color w:val="231F20"/>
          <w:spacing w:val="-15"/>
          <w:w w:val="105"/>
          <w:vertAlign w:val="baseline"/>
        </w:rPr>
        <w:t> </w:t>
      </w:r>
      <w:r>
        <w:rPr>
          <w:i/>
          <w:color w:val="231F20"/>
          <w:w w:val="105"/>
          <w:vertAlign w:val="baseline"/>
        </w:rPr>
        <w:t>For</w:t>
      </w:r>
      <w:r>
        <w:rPr>
          <w:i/>
          <w:color w:val="231F20"/>
          <w:spacing w:val="-16"/>
          <w:w w:val="105"/>
          <w:vertAlign w:val="baseline"/>
        </w:rPr>
        <w:t> </w:t>
      </w:r>
      <w:r>
        <w:rPr>
          <w:i/>
          <w:color w:val="231F20"/>
          <w:w w:val="105"/>
          <w:vertAlign w:val="baseline"/>
        </w:rPr>
        <w:t>each</w:t>
      </w:r>
      <w:r>
        <w:rPr>
          <w:i/>
          <w:color w:val="231F20"/>
          <w:spacing w:val="-15"/>
          <w:w w:val="105"/>
          <w:vertAlign w:val="baseline"/>
        </w:rPr>
        <w:t> </w:t>
      </w:r>
      <w:r>
        <w:rPr>
          <w:i/>
          <w:color w:val="231F20"/>
          <w:w w:val="105"/>
          <w:vertAlign w:val="baseline"/>
        </w:rPr>
        <w:t>NH</w:t>
      </w:r>
      <w:r>
        <w:rPr>
          <w:i/>
          <w:color w:val="231F20"/>
          <w:spacing w:val="-12"/>
          <w:w w:val="105"/>
          <w:vertAlign w:val="baseline"/>
        </w:rPr>
        <w:t> </w:t>
      </w:r>
      <w:r>
        <w:rPr>
          <w:rFonts w:ascii="Consolas" w:hAnsi="Consolas"/>
          <w:color w:val="231F20"/>
          <w:w w:val="105"/>
          <w:position w:val="8"/>
          <w:sz w:val="12"/>
          <w:vertAlign w:val="baseline"/>
        </w:rPr>
        <w:t>+</w:t>
      </w:r>
      <w:r>
        <w:rPr>
          <w:rFonts w:ascii="Consolas" w:hAnsi="Consolas"/>
          <w:color w:val="231F20"/>
          <w:spacing w:val="-32"/>
          <w:w w:val="105"/>
          <w:position w:val="8"/>
          <w:sz w:val="12"/>
          <w:vertAlign w:val="baseline"/>
        </w:rPr>
        <w:t> </w:t>
      </w:r>
      <w:r>
        <w:rPr>
          <w:i/>
          <w:color w:val="231F20"/>
          <w:w w:val="105"/>
          <w:vertAlign w:val="baseline"/>
        </w:rPr>
        <w:t>excreted,</w:t>
      </w:r>
      <w:r>
        <w:rPr>
          <w:i/>
          <w:color w:val="231F20"/>
          <w:spacing w:val="-16"/>
          <w:w w:val="105"/>
          <w:vertAlign w:val="baseline"/>
        </w:rPr>
        <w:t> </w:t>
      </w:r>
      <w:r>
        <w:rPr>
          <w:i/>
          <w:color w:val="231F20"/>
          <w:w w:val="105"/>
          <w:vertAlign w:val="baseline"/>
        </w:rPr>
        <w:t>a</w:t>
      </w:r>
      <w:r>
        <w:rPr>
          <w:i/>
          <w:color w:val="231F20"/>
          <w:spacing w:val="-15"/>
          <w:w w:val="105"/>
          <w:vertAlign w:val="baseline"/>
        </w:rPr>
        <w:t> </w:t>
      </w:r>
      <w:r>
        <w:rPr>
          <w:i/>
          <w:color w:val="231F20"/>
          <w:w w:val="105"/>
          <w:vertAlign w:val="baseline"/>
        </w:rPr>
        <w:t>new</w:t>
      </w:r>
      <w:r>
        <w:rPr>
          <w:i/>
          <w:color w:val="231F20"/>
          <w:spacing w:val="-16"/>
          <w:w w:val="105"/>
          <w:vertAlign w:val="baseline"/>
        </w:rPr>
        <w:t> </w:t>
      </w:r>
      <w:r>
        <w:rPr>
          <w:i/>
          <w:color w:val="231F20"/>
          <w:w w:val="105"/>
          <w:vertAlign w:val="baseline"/>
        </w:rPr>
        <w:t>HCO</w:t>
      </w:r>
      <w:r>
        <w:rPr>
          <w:i/>
          <w:color w:val="231F20"/>
          <w:spacing w:val="-11"/>
          <w:w w:val="105"/>
          <w:vertAlign w:val="baseline"/>
        </w:rPr>
        <w:t> </w:t>
      </w:r>
      <w:r>
        <w:rPr>
          <w:rFonts w:ascii="Consolas" w:hAnsi="Consolas"/>
          <w:i/>
          <w:color w:val="231F20"/>
          <w:w w:val="105"/>
          <w:position w:val="8"/>
          <w:sz w:val="12"/>
          <w:vertAlign w:val="baseline"/>
        </w:rPr>
        <w:t>−</w:t>
      </w:r>
      <w:r>
        <w:rPr>
          <w:rFonts w:ascii="Consolas" w:hAnsi="Consolas"/>
          <w:i/>
          <w:color w:val="231F20"/>
          <w:spacing w:val="-32"/>
          <w:w w:val="105"/>
          <w:position w:val="8"/>
          <w:sz w:val="12"/>
          <w:vertAlign w:val="baseline"/>
        </w:rPr>
        <w:t> </w:t>
      </w:r>
      <w:r>
        <w:rPr>
          <w:i/>
          <w:color w:val="231F20"/>
          <w:w w:val="105"/>
          <w:vertAlign w:val="baseline"/>
        </w:rPr>
        <w:t>is</w:t>
      </w:r>
      <w:r>
        <w:rPr>
          <w:i/>
          <w:color w:val="231F20"/>
          <w:spacing w:val="-16"/>
          <w:w w:val="105"/>
          <w:vertAlign w:val="baseline"/>
        </w:rPr>
        <w:t> </w:t>
      </w:r>
      <w:r>
        <w:rPr>
          <w:i/>
          <w:color w:val="231F20"/>
          <w:w w:val="105"/>
          <w:vertAlign w:val="baseline"/>
        </w:rPr>
        <w:t>gener-</w:t>
      </w:r>
    </w:p>
    <w:p>
      <w:pPr>
        <w:pStyle w:val="BodyText"/>
        <w:spacing w:line="240" w:lineRule="atLeast" w:before="89"/>
        <w:ind w:left="319" w:right="1437"/>
        <w:jc w:val="both"/>
      </w:pPr>
      <w:r>
        <w:rPr/>
        <w:br w:type="column"/>
      </w:r>
      <w:r>
        <w:rPr>
          <w:color w:val="231F20"/>
          <w:w w:val="105"/>
        </w:rPr>
        <w:t>required to return the urinary pH to 7.4 equals the number of milliequivalents of H</w:t>
      </w:r>
      <w:r>
        <w:rPr>
          <w:rFonts w:ascii="Consolas"/>
          <w:color w:val="231F20"/>
          <w:w w:val="105"/>
          <w:position w:val="8"/>
          <w:sz w:val="12"/>
        </w:rPr>
        <w:t>+ </w:t>
      </w:r>
      <w:r>
        <w:rPr>
          <w:color w:val="231F20"/>
          <w:w w:val="105"/>
        </w:rPr>
        <w:t>added to the </w:t>
      </w:r>
      <w:r>
        <w:rPr>
          <w:color w:val="231F20"/>
          <w:spacing w:val="-3"/>
          <w:w w:val="105"/>
        </w:rPr>
        <w:t>tubular </w:t>
      </w:r>
      <w:r>
        <w:rPr>
          <w:color w:val="231F20"/>
          <w:w w:val="105"/>
        </w:rPr>
        <w:t>fluid that combined with phosphate and other </w:t>
      </w:r>
      <w:r>
        <w:rPr>
          <w:color w:val="231F20"/>
          <w:spacing w:val="-3"/>
          <w:w w:val="105"/>
        </w:rPr>
        <w:t>organic </w:t>
      </w:r>
      <w:r>
        <w:rPr>
          <w:color w:val="231F20"/>
          <w:w w:val="105"/>
        </w:rPr>
        <w:t>buffers.</w:t>
      </w:r>
      <w:r>
        <w:rPr>
          <w:color w:val="231F20"/>
          <w:spacing w:val="-22"/>
          <w:w w:val="105"/>
        </w:rPr>
        <w:t> </w:t>
      </w:r>
      <w:r>
        <w:rPr>
          <w:color w:val="231F20"/>
          <w:w w:val="105"/>
        </w:rPr>
        <w:t>The</w:t>
      </w:r>
      <w:r>
        <w:rPr>
          <w:color w:val="231F20"/>
          <w:spacing w:val="-22"/>
          <w:w w:val="105"/>
        </w:rPr>
        <w:t> </w:t>
      </w:r>
      <w:r>
        <w:rPr>
          <w:color w:val="231F20"/>
          <w:w w:val="105"/>
        </w:rPr>
        <w:t>titratable</w:t>
      </w:r>
      <w:r>
        <w:rPr>
          <w:color w:val="231F20"/>
          <w:spacing w:val="-22"/>
          <w:w w:val="105"/>
        </w:rPr>
        <w:t> </w:t>
      </w:r>
      <w:r>
        <w:rPr>
          <w:color w:val="231F20"/>
          <w:w w:val="105"/>
        </w:rPr>
        <w:t>acid</w:t>
      </w:r>
      <w:r>
        <w:rPr>
          <w:color w:val="231F20"/>
          <w:spacing w:val="-22"/>
          <w:w w:val="105"/>
        </w:rPr>
        <w:t> </w:t>
      </w:r>
      <w:r>
        <w:rPr>
          <w:color w:val="231F20"/>
          <w:w w:val="105"/>
        </w:rPr>
        <w:t>measurement</w:t>
      </w:r>
      <w:r>
        <w:rPr>
          <w:color w:val="231F20"/>
          <w:spacing w:val="-21"/>
          <w:w w:val="105"/>
        </w:rPr>
        <w:t> </w:t>
      </w:r>
      <w:r>
        <w:rPr>
          <w:color w:val="231F20"/>
          <w:w w:val="105"/>
        </w:rPr>
        <w:t>does</w:t>
      </w:r>
      <w:r>
        <w:rPr>
          <w:color w:val="231F20"/>
          <w:spacing w:val="-22"/>
          <w:w w:val="105"/>
        </w:rPr>
        <w:t> </w:t>
      </w:r>
      <w:r>
        <w:rPr>
          <w:color w:val="231F20"/>
          <w:w w:val="105"/>
        </w:rPr>
        <w:t>not</w:t>
      </w:r>
      <w:r>
        <w:rPr>
          <w:color w:val="231F20"/>
          <w:spacing w:val="-22"/>
          <w:w w:val="105"/>
        </w:rPr>
        <w:t> </w:t>
      </w:r>
      <w:r>
        <w:rPr>
          <w:color w:val="231F20"/>
          <w:w w:val="105"/>
        </w:rPr>
        <w:t>include H</w:t>
      </w:r>
      <w:r>
        <w:rPr>
          <w:rFonts w:ascii="Consolas"/>
          <w:color w:val="231F20"/>
          <w:w w:val="105"/>
          <w:position w:val="8"/>
          <w:sz w:val="12"/>
        </w:rPr>
        <w:t>+ </w:t>
      </w:r>
      <w:r>
        <w:rPr>
          <w:color w:val="231F20"/>
          <w:w w:val="105"/>
        </w:rPr>
        <w:t>in association with NH </w:t>
      </w:r>
      <w:r>
        <w:rPr>
          <w:rFonts w:ascii="Consolas"/>
          <w:color w:val="231F20"/>
          <w:w w:val="105"/>
          <w:position w:val="8"/>
          <w:sz w:val="12"/>
        </w:rPr>
        <w:t>+ </w:t>
      </w:r>
      <w:r>
        <w:rPr>
          <w:color w:val="231F20"/>
          <w:w w:val="105"/>
        </w:rPr>
        <w:t>because the pK of </w:t>
      </w:r>
      <w:r>
        <w:rPr>
          <w:color w:val="231F20"/>
          <w:spacing w:val="-5"/>
          <w:w w:val="105"/>
        </w:rPr>
        <w:t>the </w:t>
      </w:r>
      <w:r>
        <w:rPr>
          <w:color w:val="231F20"/>
          <w:w w:val="105"/>
        </w:rPr>
        <w:t>ammonia-ammonium</w:t>
      </w:r>
      <w:r>
        <w:rPr>
          <w:color w:val="231F20"/>
          <w:spacing w:val="14"/>
          <w:w w:val="105"/>
        </w:rPr>
        <w:t> </w:t>
      </w:r>
      <w:r>
        <w:rPr>
          <w:color w:val="231F20"/>
          <w:w w:val="105"/>
        </w:rPr>
        <w:t>reaction</w:t>
      </w:r>
      <w:r>
        <w:rPr>
          <w:color w:val="231F20"/>
          <w:spacing w:val="14"/>
          <w:w w:val="105"/>
        </w:rPr>
        <w:t> </w:t>
      </w:r>
      <w:r>
        <w:rPr>
          <w:color w:val="231F20"/>
          <w:w w:val="105"/>
        </w:rPr>
        <w:t>is</w:t>
      </w:r>
      <w:r>
        <w:rPr>
          <w:color w:val="231F20"/>
          <w:spacing w:val="14"/>
          <w:w w:val="105"/>
        </w:rPr>
        <w:t> </w:t>
      </w:r>
      <w:r>
        <w:rPr>
          <w:color w:val="231F20"/>
          <w:w w:val="105"/>
        </w:rPr>
        <w:t>9.2,</w:t>
      </w:r>
      <w:r>
        <w:rPr>
          <w:color w:val="231F20"/>
          <w:spacing w:val="15"/>
          <w:w w:val="105"/>
        </w:rPr>
        <w:t> </w:t>
      </w:r>
      <w:r>
        <w:rPr>
          <w:color w:val="231F20"/>
          <w:w w:val="105"/>
        </w:rPr>
        <w:t>and</w:t>
      </w:r>
      <w:r>
        <w:rPr>
          <w:color w:val="231F20"/>
          <w:spacing w:val="14"/>
          <w:w w:val="105"/>
        </w:rPr>
        <w:t> </w:t>
      </w:r>
      <w:r>
        <w:rPr>
          <w:color w:val="231F20"/>
          <w:w w:val="105"/>
        </w:rPr>
        <w:t>titration</w:t>
      </w:r>
      <w:r>
        <w:rPr>
          <w:color w:val="231F20"/>
          <w:spacing w:val="14"/>
          <w:w w:val="105"/>
        </w:rPr>
        <w:t> </w:t>
      </w:r>
      <w:r>
        <w:rPr>
          <w:color w:val="231F20"/>
          <w:spacing w:val="-4"/>
          <w:w w:val="105"/>
        </w:rPr>
        <w:t>with</w:t>
      </w:r>
    </w:p>
    <w:p>
      <w:pPr>
        <w:spacing w:after="0" w:line="240" w:lineRule="atLeast"/>
        <w:jc w:val="both"/>
        <w:sectPr>
          <w:type w:val="continuous"/>
          <w:pgSz w:w="12240" w:h="15660"/>
          <w:pgMar w:top="0" w:bottom="760" w:left="0" w:right="0"/>
          <w:cols w:num="2" w:equalWidth="0">
            <w:col w:w="5761" w:space="40"/>
            <w:col w:w="6439"/>
          </w:cols>
        </w:sectPr>
      </w:pPr>
    </w:p>
    <w:p>
      <w:pPr>
        <w:spacing w:line="12" w:lineRule="exact" w:before="0"/>
        <w:ind w:left="0" w:right="459" w:firstLine="0"/>
        <w:jc w:val="right"/>
        <w:rPr>
          <w:i/>
          <w:sz w:val="12"/>
        </w:rPr>
      </w:pPr>
      <w:r>
        <w:rPr>
          <w:i/>
          <w:color w:val="231F20"/>
          <w:w w:val="99"/>
          <w:sz w:val="12"/>
        </w:rPr>
        <w:t>4</w:t>
      </w:r>
    </w:p>
    <w:p>
      <w:pPr>
        <w:spacing w:line="229" w:lineRule="exact" w:before="0"/>
        <w:ind w:left="1079" w:right="0" w:firstLine="0"/>
        <w:jc w:val="left"/>
        <w:rPr>
          <w:i/>
          <w:sz w:val="20"/>
        </w:rPr>
      </w:pPr>
      <w:r>
        <w:rPr>
          <w:i/>
          <w:color w:val="231F20"/>
          <w:w w:val="105"/>
          <w:sz w:val="20"/>
        </w:rPr>
        <w:t>ated and added to the blood.</w:t>
      </w:r>
    </w:p>
    <w:p>
      <w:pPr>
        <w:spacing w:line="10" w:lineRule="exact" w:before="0"/>
        <w:ind w:left="1079" w:right="0" w:firstLine="0"/>
        <w:jc w:val="left"/>
        <w:rPr>
          <w:i/>
          <w:sz w:val="12"/>
        </w:rPr>
      </w:pPr>
      <w:r>
        <w:rPr/>
        <w:br w:type="column"/>
      </w:r>
      <w:r>
        <w:rPr>
          <w:i/>
          <w:color w:val="231F20"/>
          <w:sz w:val="12"/>
        </w:rPr>
        <w:t>3</w:t>
      </w:r>
    </w:p>
    <w:p>
      <w:pPr>
        <w:spacing w:line="249" w:lineRule="auto" w:before="0"/>
        <w:ind w:left="2543" w:right="1126" w:hanging="240"/>
        <w:jc w:val="left"/>
        <w:rPr>
          <w:sz w:val="20"/>
        </w:rPr>
      </w:pPr>
      <w:r>
        <w:rPr/>
        <w:pict>
          <v:shape style="position:absolute;margin-left:426.847992pt;margin-top:-18.554445pt;width:3pt;height:8.7pt;mso-position-horizontal-relative:page;mso-position-vertical-relative:paragraph;z-index:-272388096"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532.622192pt;margin-top:5.445556pt;width:3pt;height:8.7pt;mso-position-horizontal-relative:page;mso-position-vertical-relative:paragraph;z-index:-27238707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sz w:val="20"/>
        </w:rPr>
        <w:t>NaOH to a pH of 7.4 does not remove the H</w:t>
      </w:r>
      <w:r>
        <w:rPr>
          <w:rFonts w:ascii="Consolas"/>
          <w:color w:val="231F20"/>
          <w:position w:val="8"/>
          <w:sz w:val="12"/>
        </w:rPr>
        <w:t>+ </w:t>
      </w:r>
      <w:r>
        <w:rPr>
          <w:color w:val="231F20"/>
          <w:sz w:val="20"/>
        </w:rPr>
        <w:t>from NH </w:t>
      </w:r>
      <w:r>
        <w:rPr>
          <w:rFonts w:ascii="Consolas"/>
          <w:color w:val="231F20"/>
          <w:position w:val="8"/>
          <w:sz w:val="12"/>
        </w:rPr>
        <w:t>+</w:t>
      </w:r>
      <w:r>
        <w:rPr>
          <w:color w:val="231F20"/>
          <w:sz w:val="20"/>
        </w:rPr>
        <w:t>. Thus, the </w:t>
      </w:r>
      <w:r>
        <w:rPr>
          <w:i/>
          <w:color w:val="231F20"/>
          <w:sz w:val="20"/>
        </w:rPr>
        <w:t>net acid excretion </w:t>
      </w:r>
      <w:r>
        <w:rPr>
          <w:color w:val="231F20"/>
          <w:sz w:val="20"/>
        </w:rPr>
        <w:t>by the kidneys can be</w:t>
      </w:r>
    </w:p>
    <w:p>
      <w:pPr>
        <w:spacing w:after="0" w:line="249" w:lineRule="auto"/>
        <w:jc w:val="left"/>
        <w:rPr>
          <w:sz w:val="20"/>
        </w:rPr>
        <w:sectPr>
          <w:type w:val="continuous"/>
          <w:pgSz w:w="12240" w:h="15660"/>
          <w:pgMar w:top="0" w:bottom="760" w:left="0" w:right="0"/>
          <w:cols w:num="2" w:equalWidth="0">
            <w:col w:w="3494" w:space="323"/>
            <w:col w:w="8423"/>
          </w:cols>
        </w:sectPr>
      </w:pPr>
    </w:p>
    <w:p>
      <w:pPr>
        <w:pStyle w:val="BodyText"/>
        <w:spacing w:line="247" w:lineRule="auto"/>
        <w:ind w:left="1079"/>
        <w:jc w:val="both"/>
      </w:pPr>
      <w:r>
        <w:rPr/>
        <w:pict>
          <v:rect style="position:absolute;margin-left:0pt;margin-top:43.985962pt;width:36pt;height:24pt;mso-position-horizontal-relative:page;mso-position-vertical-relative:paragraph;z-index:253012992" filled="true" fillcolor="#e8dac8" stroked="false">
            <v:fill type="solid"/>
            <w10:wrap type="none"/>
          </v:rect>
        </w:pict>
      </w:r>
      <w:r>
        <w:rPr/>
        <w:pict>
          <v:shape style="position:absolute;margin-left:195.693405pt;margin-top:5.431462pt;width:3.2pt;height:6.6pt;mso-position-horizontal-relative:page;mso-position-vertical-relative:paragraph;z-index:-272386048" type="#_x0000_t202" filled="false" stroked="false">
            <v:textbox inset="0,0,0,0">
              <w:txbxContent>
                <w:p>
                  <w:pPr>
                    <w:spacing w:before="3"/>
                    <w:ind w:left="0" w:right="0" w:firstLine="0"/>
                    <w:jc w:val="left"/>
                    <w:rPr>
                      <w:rFonts w:ascii="Trebuchet MS"/>
                      <w:b/>
                      <w:sz w:val="11"/>
                    </w:rPr>
                  </w:pPr>
                  <w:r>
                    <w:rPr>
                      <w:rFonts w:ascii="Trebuchet MS"/>
                      <w:b/>
                      <w:color w:val="231F20"/>
                      <w:w w:val="98"/>
                      <w:sz w:val="11"/>
                    </w:rPr>
                    <w:t>4</w:t>
                  </w:r>
                </w:p>
              </w:txbxContent>
            </v:textbox>
            <w10:wrap type="none"/>
          </v:shape>
        </w:pict>
      </w:r>
      <w:r>
        <w:rPr/>
        <w:pict>
          <v:shape style="position:absolute;margin-left:243.520294pt;margin-top:65.261963pt;width:3pt;height:8.7pt;mso-position-horizontal-relative:page;mso-position-vertical-relative:paragraph;z-index:-27238502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76.459602pt;margin-top:77.261963pt;width:3pt;height:8.7pt;mso-position-horizontal-relative:page;mso-position-vertical-relative:paragraph;z-index:-27238400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rFonts w:ascii="Trebuchet MS" w:hAnsi="Trebuchet MS"/>
          <w:b/>
          <w:color w:val="231F20"/>
          <w:sz w:val="19"/>
        </w:rPr>
        <w:t>Chronic Acidosis Increases NH </w:t>
      </w:r>
      <w:r>
        <w:rPr>
          <w:rFonts w:ascii="Consolas" w:hAnsi="Consolas"/>
          <w:b/>
          <w:color w:val="231F20"/>
          <w:sz w:val="19"/>
          <w:vertAlign w:val="superscript"/>
        </w:rPr>
        <w:t>+</w:t>
      </w:r>
      <w:r>
        <w:rPr>
          <w:rFonts w:ascii="Consolas" w:hAnsi="Consolas"/>
          <w:b/>
          <w:color w:val="231F20"/>
          <w:sz w:val="19"/>
          <w:vertAlign w:val="baseline"/>
        </w:rPr>
        <w:t> </w:t>
      </w:r>
      <w:r>
        <w:rPr>
          <w:rFonts w:ascii="Trebuchet MS" w:hAnsi="Trebuchet MS"/>
          <w:b/>
          <w:color w:val="231F20"/>
          <w:sz w:val="19"/>
          <w:vertAlign w:val="baseline"/>
        </w:rPr>
        <w:t>Excretion. </w:t>
      </w:r>
      <w:r>
        <w:rPr>
          <w:color w:val="231F20"/>
          <w:vertAlign w:val="baseline"/>
        </w:rPr>
        <w:t>One  </w:t>
      </w:r>
      <w:r>
        <w:rPr>
          <w:color w:val="231F20"/>
          <w:spacing w:val="-10"/>
          <w:vertAlign w:val="baseline"/>
        </w:rPr>
        <w:t>of </w:t>
      </w:r>
      <w:r>
        <w:rPr>
          <w:color w:val="231F20"/>
          <w:vertAlign w:val="baseline"/>
        </w:rPr>
        <w:t>the most important features of the renal ammonium- ammonia buffer system is that it is subject to</w:t>
      </w:r>
      <w:r>
        <w:rPr>
          <w:color w:val="231F20"/>
          <w:spacing w:val="29"/>
          <w:vertAlign w:val="baseline"/>
        </w:rPr>
        <w:t> </w:t>
      </w:r>
      <w:r>
        <w:rPr>
          <w:color w:val="231F20"/>
          <w:vertAlign w:val="baseline"/>
        </w:rPr>
        <w:t>physio- logical control. An increase in extracellular fluid H</w:t>
      </w:r>
      <w:r>
        <w:rPr>
          <w:rFonts w:ascii="Consolas" w:hAnsi="Consolas"/>
          <w:color w:val="231F20"/>
          <w:position w:val="8"/>
          <w:sz w:val="12"/>
          <w:vertAlign w:val="baseline"/>
        </w:rPr>
        <w:t>+ </w:t>
      </w:r>
      <w:r>
        <w:rPr>
          <w:color w:val="231F20"/>
          <w:vertAlign w:val="baseline"/>
        </w:rPr>
        <w:t>concentration stimulates renal  glutamine  metabolism and, therefore, increases the formation of NH </w:t>
      </w:r>
      <w:r>
        <w:rPr>
          <w:rFonts w:ascii="Consolas" w:hAnsi="Consolas"/>
          <w:color w:val="231F20"/>
          <w:position w:val="8"/>
          <w:sz w:val="12"/>
          <w:vertAlign w:val="baseline"/>
        </w:rPr>
        <w:t>+ </w:t>
      </w:r>
      <w:r>
        <w:rPr>
          <w:color w:val="231F20"/>
          <w:vertAlign w:val="baseline"/>
        </w:rPr>
        <w:t>and </w:t>
      </w:r>
      <w:r>
        <w:rPr>
          <w:color w:val="231F20"/>
          <w:spacing w:val="-4"/>
          <w:vertAlign w:val="baseline"/>
        </w:rPr>
        <w:t>new </w:t>
      </w:r>
      <w:r>
        <w:rPr>
          <w:color w:val="231F20"/>
          <w:vertAlign w:val="baseline"/>
        </w:rPr>
        <w:t>HCO </w:t>
      </w:r>
      <w:r>
        <w:rPr>
          <w:rFonts w:ascii="Consolas" w:hAnsi="Consolas"/>
          <w:color w:val="231F20"/>
          <w:position w:val="8"/>
          <w:sz w:val="12"/>
          <w:vertAlign w:val="baseline"/>
        </w:rPr>
        <w:t>− </w:t>
      </w:r>
      <w:r>
        <w:rPr>
          <w:color w:val="231F20"/>
          <w:vertAlign w:val="baseline"/>
        </w:rPr>
        <w:t>to be used in H</w:t>
      </w:r>
      <w:r>
        <w:rPr>
          <w:rFonts w:ascii="Consolas" w:hAnsi="Consolas"/>
          <w:color w:val="231F20"/>
          <w:position w:val="8"/>
          <w:sz w:val="12"/>
          <w:vertAlign w:val="baseline"/>
        </w:rPr>
        <w:t>+ </w:t>
      </w:r>
      <w:r>
        <w:rPr>
          <w:color w:val="231F20"/>
          <w:vertAlign w:val="baseline"/>
        </w:rPr>
        <w:t>buffering; a decrease in H</w:t>
      </w:r>
      <w:r>
        <w:rPr>
          <w:rFonts w:ascii="Consolas" w:hAnsi="Consolas"/>
          <w:color w:val="231F20"/>
          <w:position w:val="8"/>
          <w:sz w:val="12"/>
          <w:vertAlign w:val="baseline"/>
        </w:rPr>
        <w:t>+ </w:t>
      </w:r>
      <w:r>
        <w:rPr>
          <w:color w:val="231F20"/>
          <w:spacing w:val="-4"/>
          <w:vertAlign w:val="baseline"/>
        </w:rPr>
        <w:t>con- </w:t>
      </w:r>
      <w:r>
        <w:rPr>
          <w:color w:val="231F20"/>
          <w:vertAlign w:val="baseline"/>
        </w:rPr>
        <w:t>centration has the opposite</w:t>
      </w:r>
      <w:r>
        <w:rPr>
          <w:color w:val="231F20"/>
          <w:spacing w:val="32"/>
          <w:vertAlign w:val="baseline"/>
        </w:rPr>
        <w:t> </w:t>
      </w:r>
      <w:r>
        <w:rPr>
          <w:color w:val="231F20"/>
          <w:vertAlign w:val="baseline"/>
        </w:rPr>
        <w:t>effect.</w:t>
      </w:r>
    </w:p>
    <w:p>
      <w:pPr>
        <w:spacing w:line="240" w:lineRule="exact" w:before="2"/>
        <w:ind w:left="1079" w:right="0" w:firstLine="240"/>
        <w:jc w:val="both"/>
        <w:rPr>
          <w:i/>
          <w:sz w:val="20"/>
        </w:rPr>
      </w:pPr>
      <w:r>
        <w:rPr/>
        <w:pict>
          <v:shape style="position:absolute;margin-left:76.459602pt;margin-top:41.626026pt;width:3pt;height:8.7pt;mso-position-horizontal-relative:page;mso-position-vertical-relative:paragraph;z-index:-27238297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57.359604pt;margin-top:53.626026pt;width:3pt;height:8.7pt;mso-position-horizontal-relative:page;mso-position-vertical-relative:paragraph;z-index:-27238195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sz w:val="20"/>
        </w:rPr>
        <w:t>Under</w:t>
      </w:r>
      <w:r>
        <w:rPr>
          <w:color w:val="231F20"/>
          <w:spacing w:val="-20"/>
          <w:w w:val="105"/>
          <w:sz w:val="20"/>
        </w:rPr>
        <w:t> </w:t>
      </w:r>
      <w:r>
        <w:rPr>
          <w:i/>
          <w:color w:val="231F20"/>
          <w:w w:val="105"/>
          <w:sz w:val="20"/>
        </w:rPr>
        <w:t>normal</w:t>
      </w:r>
      <w:r>
        <w:rPr>
          <w:i/>
          <w:color w:val="231F20"/>
          <w:spacing w:val="-20"/>
          <w:w w:val="105"/>
          <w:sz w:val="20"/>
        </w:rPr>
        <w:t> </w:t>
      </w:r>
      <w:r>
        <w:rPr>
          <w:i/>
          <w:color w:val="231F20"/>
          <w:w w:val="105"/>
          <w:sz w:val="20"/>
        </w:rPr>
        <w:t>conditions,</w:t>
      </w:r>
      <w:r>
        <w:rPr>
          <w:i/>
          <w:color w:val="231F20"/>
          <w:spacing w:val="-20"/>
          <w:w w:val="105"/>
          <w:sz w:val="20"/>
        </w:rPr>
        <w:t> </w:t>
      </w:r>
      <w:r>
        <w:rPr>
          <w:color w:val="231F20"/>
          <w:w w:val="105"/>
          <w:sz w:val="20"/>
        </w:rPr>
        <w:t>the</w:t>
      </w:r>
      <w:r>
        <w:rPr>
          <w:color w:val="231F20"/>
          <w:spacing w:val="-20"/>
          <w:w w:val="105"/>
          <w:sz w:val="20"/>
        </w:rPr>
        <w:t> </w:t>
      </w:r>
      <w:r>
        <w:rPr>
          <w:color w:val="231F20"/>
          <w:w w:val="105"/>
          <w:sz w:val="20"/>
        </w:rPr>
        <w:t>amount</w:t>
      </w:r>
      <w:r>
        <w:rPr>
          <w:color w:val="231F20"/>
          <w:spacing w:val="-20"/>
          <w:w w:val="105"/>
          <w:sz w:val="20"/>
        </w:rPr>
        <w:t> </w:t>
      </w:r>
      <w:r>
        <w:rPr>
          <w:color w:val="231F20"/>
          <w:w w:val="105"/>
          <w:sz w:val="20"/>
        </w:rPr>
        <w:t>of</w:t>
      </w:r>
      <w:r>
        <w:rPr>
          <w:color w:val="231F20"/>
          <w:spacing w:val="-20"/>
          <w:w w:val="105"/>
          <w:sz w:val="20"/>
        </w:rPr>
        <w:t> </w:t>
      </w:r>
      <w:r>
        <w:rPr>
          <w:color w:val="231F20"/>
          <w:w w:val="105"/>
          <w:sz w:val="20"/>
        </w:rPr>
        <w:t>H</w:t>
      </w:r>
      <w:r>
        <w:rPr>
          <w:rFonts w:ascii="Consolas" w:hAnsi="Consolas"/>
          <w:color w:val="231F20"/>
          <w:w w:val="105"/>
          <w:position w:val="8"/>
          <w:sz w:val="12"/>
        </w:rPr>
        <w:t>+</w:t>
      </w:r>
      <w:r>
        <w:rPr>
          <w:rFonts w:ascii="Consolas" w:hAnsi="Consolas"/>
          <w:color w:val="231F20"/>
          <w:spacing w:val="-37"/>
          <w:w w:val="105"/>
          <w:position w:val="8"/>
          <w:sz w:val="12"/>
        </w:rPr>
        <w:t> </w:t>
      </w:r>
      <w:r>
        <w:rPr>
          <w:color w:val="231F20"/>
          <w:spacing w:val="-3"/>
          <w:w w:val="105"/>
          <w:sz w:val="20"/>
        </w:rPr>
        <w:t>eliminated </w:t>
      </w:r>
      <w:r>
        <w:rPr>
          <w:color w:val="231F20"/>
          <w:w w:val="105"/>
          <w:sz w:val="20"/>
        </w:rPr>
        <w:t>by the ammonia buffer system accounts for about </w:t>
      </w:r>
      <w:r>
        <w:rPr>
          <w:color w:val="231F20"/>
          <w:spacing w:val="-6"/>
          <w:w w:val="105"/>
          <w:sz w:val="20"/>
        </w:rPr>
        <w:t>50 </w:t>
      </w:r>
      <w:r>
        <w:rPr>
          <w:color w:val="231F20"/>
          <w:w w:val="105"/>
          <w:sz w:val="20"/>
        </w:rPr>
        <w:t>percent of the acid excreted and 50 percent of the new HCO</w:t>
      </w:r>
      <w:r>
        <w:rPr>
          <w:color w:val="231F20"/>
          <w:spacing w:val="-13"/>
          <w:w w:val="105"/>
          <w:sz w:val="20"/>
        </w:rPr>
        <w:t> </w:t>
      </w:r>
      <w:r>
        <w:rPr>
          <w:rFonts w:ascii="Consolas" w:hAnsi="Consolas"/>
          <w:color w:val="231F20"/>
          <w:w w:val="105"/>
          <w:position w:val="8"/>
          <w:sz w:val="12"/>
        </w:rPr>
        <w:t>−</w:t>
      </w:r>
      <w:r>
        <w:rPr>
          <w:rFonts w:ascii="Consolas" w:hAnsi="Consolas"/>
          <w:color w:val="231F20"/>
          <w:spacing w:val="-27"/>
          <w:w w:val="105"/>
          <w:position w:val="8"/>
          <w:sz w:val="12"/>
        </w:rPr>
        <w:t> </w:t>
      </w:r>
      <w:r>
        <w:rPr>
          <w:color w:val="231F20"/>
          <w:w w:val="105"/>
          <w:sz w:val="20"/>
        </w:rPr>
        <w:t>generated</w:t>
      </w:r>
      <w:r>
        <w:rPr>
          <w:color w:val="231F20"/>
          <w:spacing w:val="-10"/>
          <w:w w:val="105"/>
          <w:sz w:val="20"/>
        </w:rPr>
        <w:t> </w:t>
      </w:r>
      <w:r>
        <w:rPr>
          <w:color w:val="231F20"/>
          <w:w w:val="105"/>
          <w:sz w:val="20"/>
        </w:rPr>
        <w:t>by</w:t>
      </w:r>
      <w:r>
        <w:rPr>
          <w:color w:val="231F20"/>
          <w:spacing w:val="-10"/>
          <w:w w:val="105"/>
          <w:sz w:val="20"/>
        </w:rPr>
        <w:t> </w:t>
      </w:r>
      <w:r>
        <w:rPr>
          <w:color w:val="231F20"/>
          <w:w w:val="105"/>
          <w:sz w:val="20"/>
        </w:rPr>
        <w:t>the</w:t>
      </w:r>
      <w:r>
        <w:rPr>
          <w:color w:val="231F20"/>
          <w:spacing w:val="-11"/>
          <w:w w:val="105"/>
          <w:sz w:val="20"/>
        </w:rPr>
        <w:t> </w:t>
      </w:r>
      <w:r>
        <w:rPr>
          <w:color w:val="231F20"/>
          <w:w w:val="105"/>
          <w:sz w:val="20"/>
        </w:rPr>
        <w:t>kidneys.</w:t>
      </w:r>
      <w:r>
        <w:rPr>
          <w:color w:val="231F20"/>
          <w:spacing w:val="-10"/>
          <w:w w:val="105"/>
          <w:sz w:val="20"/>
        </w:rPr>
        <w:t> </w:t>
      </w:r>
      <w:r>
        <w:rPr>
          <w:color w:val="231F20"/>
          <w:w w:val="105"/>
          <w:sz w:val="20"/>
        </w:rPr>
        <w:t>However,</w:t>
      </w:r>
      <w:r>
        <w:rPr>
          <w:color w:val="231F20"/>
          <w:spacing w:val="-10"/>
          <w:w w:val="105"/>
          <w:sz w:val="20"/>
        </w:rPr>
        <w:t> </w:t>
      </w:r>
      <w:r>
        <w:rPr>
          <w:color w:val="231F20"/>
          <w:w w:val="105"/>
          <w:sz w:val="20"/>
        </w:rPr>
        <w:t>with</w:t>
      </w:r>
      <w:r>
        <w:rPr>
          <w:color w:val="231F20"/>
          <w:spacing w:val="-10"/>
          <w:w w:val="105"/>
          <w:sz w:val="20"/>
        </w:rPr>
        <w:t> </w:t>
      </w:r>
      <w:r>
        <w:rPr>
          <w:i/>
          <w:color w:val="231F20"/>
          <w:w w:val="105"/>
          <w:sz w:val="20"/>
        </w:rPr>
        <w:t>chronic </w:t>
      </w:r>
      <w:r>
        <w:rPr>
          <w:i/>
          <w:color w:val="231F20"/>
          <w:w w:val="105"/>
          <w:sz w:val="20"/>
        </w:rPr>
        <w:t>acidosis, </w:t>
      </w:r>
      <w:r>
        <w:rPr>
          <w:color w:val="231F20"/>
          <w:w w:val="105"/>
          <w:sz w:val="20"/>
        </w:rPr>
        <w:t>the rate of NH </w:t>
      </w:r>
      <w:r>
        <w:rPr>
          <w:rFonts w:ascii="Consolas" w:hAnsi="Consolas"/>
          <w:color w:val="231F20"/>
          <w:w w:val="105"/>
          <w:position w:val="8"/>
          <w:sz w:val="12"/>
        </w:rPr>
        <w:t>+ </w:t>
      </w:r>
      <w:r>
        <w:rPr>
          <w:color w:val="231F20"/>
          <w:w w:val="105"/>
          <w:sz w:val="20"/>
        </w:rPr>
        <w:t>excretion can increase to as much</w:t>
      </w:r>
      <w:r>
        <w:rPr>
          <w:color w:val="231F20"/>
          <w:spacing w:val="-11"/>
          <w:w w:val="105"/>
          <w:sz w:val="20"/>
        </w:rPr>
        <w:t> </w:t>
      </w:r>
      <w:r>
        <w:rPr>
          <w:color w:val="231F20"/>
          <w:w w:val="105"/>
          <w:sz w:val="20"/>
        </w:rPr>
        <w:t>as</w:t>
      </w:r>
      <w:r>
        <w:rPr>
          <w:color w:val="231F20"/>
          <w:spacing w:val="-11"/>
          <w:w w:val="105"/>
          <w:sz w:val="20"/>
        </w:rPr>
        <w:t> </w:t>
      </w:r>
      <w:r>
        <w:rPr>
          <w:color w:val="231F20"/>
          <w:w w:val="105"/>
          <w:sz w:val="20"/>
        </w:rPr>
        <w:t>500</w:t>
      </w:r>
      <w:r>
        <w:rPr>
          <w:color w:val="231F20"/>
          <w:spacing w:val="-23"/>
          <w:w w:val="105"/>
          <w:sz w:val="20"/>
        </w:rPr>
        <w:t> </w:t>
      </w:r>
      <w:r>
        <w:rPr>
          <w:color w:val="231F20"/>
          <w:w w:val="105"/>
          <w:sz w:val="20"/>
        </w:rPr>
        <w:t>mEq/day.</w:t>
      </w:r>
      <w:r>
        <w:rPr>
          <w:color w:val="231F20"/>
          <w:spacing w:val="-11"/>
          <w:w w:val="105"/>
          <w:sz w:val="20"/>
        </w:rPr>
        <w:t> </w:t>
      </w:r>
      <w:r>
        <w:rPr>
          <w:i/>
          <w:color w:val="231F20"/>
          <w:w w:val="105"/>
          <w:sz w:val="20"/>
        </w:rPr>
        <w:t>Therefore,</w:t>
      </w:r>
      <w:r>
        <w:rPr>
          <w:i/>
          <w:color w:val="231F20"/>
          <w:spacing w:val="-11"/>
          <w:w w:val="105"/>
          <w:sz w:val="20"/>
        </w:rPr>
        <w:t> </w:t>
      </w:r>
      <w:r>
        <w:rPr>
          <w:i/>
          <w:color w:val="231F20"/>
          <w:w w:val="105"/>
          <w:sz w:val="20"/>
        </w:rPr>
        <w:t>with</w:t>
      </w:r>
      <w:r>
        <w:rPr>
          <w:i/>
          <w:color w:val="231F20"/>
          <w:spacing w:val="-11"/>
          <w:w w:val="105"/>
          <w:sz w:val="20"/>
        </w:rPr>
        <w:t> </w:t>
      </w:r>
      <w:r>
        <w:rPr>
          <w:i/>
          <w:color w:val="231F20"/>
          <w:w w:val="105"/>
          <w:sz w:val="20"/>
        </w:rPr>
        <w:t>chronic</w:t>
      </w:r>
      <w:r>
        <w:rPr>
          <w:i/>
          <w:color w:val="231F20"/>
          <w:spacing w:val="-11"/>
          <w:w w:val="105"/>
          <w:sz w:val="20"/>
        </w:rPr>
        <w:t> </w:t>
      </w:r>
      <w:r>
        <w:rPr>
          <w:i/>
          <w:color w:val="231F20"/>
          <w:w w:val="105"/>
          <w:sz w:val="20"/>
        </w:rPr>
        <w:t>acidosis,</w:t>
      </w:r>
    </w:p>
    <w:p>
      <w:pPr>
        <w:pStyle w:val="BodyText"/>
        <w:spacing w:line="228" w:lineRule="exact"/>
        <w:ind w:left="319"/>
      </w:pPr>
      <w:r>
        <w:rPr/>
        <w:br w:type="column"/>
      </w:r>
      <w:r>
        <w:rPr>
          <w:color w:val="231F20"/>
        </w:rPr>
        <w:t>assessed as</w:t>
      </w:r>
    </w:p>
    <w:p>
      <w:pPr>
        <w:spacing w:before="138"/>
        <w:ind w:left="462" w:right="0" w:firstLine="0"/>
        <w:jc w:val="left"/>
        <w:rPr>
          <w:rFonts w:ascii="Trebuchet MS" w:hAnsi="Trebuchet MS"/>
          <w:sz w:val="18"/>
        </w:rPr>
      </w:pPr>
      <w:r>
        <w:rPr>
          <w:rFonts w:ascii="Trebuchet MS" w:hAnsi="Trebuchet MS"/>
          <w:sz w:val="18"/>
        </w:rPr>
        <w:t>Net acid excretion </w:t>
      </w:r>
      <w:r>
        <w:rPr>
          <w:rFonts w:ascii="Symbol" w:hAnsi="Symbol"/>
          <w:sz w:val="18"/>
        </w:rPr>
        <w:t></w:t>
      </w:r>
      <w:r>
        <w:rPr>
          <w:sz w:val="18"/>
        </w:rPr>
        <w:t> </w:t>
      </w:r>
      <w:r>
        <w:rPr>
          <w:rFonts w:ascii="Trebuchet MS" w:hAnsi="Trebuchet MS"/>
          <w:sz w:val="18"/>
        </w:rPr>
        <w:t>NH</w:t>
      </w:r>
      <w:r>
        <w:rPr>
          <w:rFonts w:ascii="Trebuchet MS" w:hAnsi="Trebuchet MS"/>
          <w:position w:val="-2"/>
          <w:sz w:val="10"/>
        </w:rPr>
        <w:t>4 </w:t>
      </w:r>
      <w:r>
        <w:rPr>
          <w:rFonts w:ascii="Symbol" w:hAnsi="Symbol"/>
          <w:position w:val="7"/>
          <w:sz w:val="10"/>
        </w:rPr>
        <w:t></w:t>
      </w:r>
      <w:r>
        <w:rPr>
          <w:position w:val="7"/>
          <w:sz w:val="10"/>
        </w:rPr>
        <w:t> </w:t>
      </w:r>
      <w:r>
        <w:rPr>
          <w:rFonts w:ascii="Trebuchet MS" w:hAnsi="Trebuchet MS"/>
          <w:sz w:val="18"/>
        </w:rPr>
        <w:t>excretion </w:t>
      </w:r>
      <w:r>
        <w:rPr>
          <w:rFonts w:ascii="Symbol" w:hAnsi="Symbol"/>
          <w:sz w:val="18"/>
        </w:rPr>
        <w:t></w:t>
      </w:r>
      <w:r>
        <w:rPr>
          <w:sz w:val="18"/>
        </w:rPr>
        <w:t> </w:t>
      </w:r>
      <w:r>
        <w:rPr>
          <w:rFonts w:ascii="Trebuchet MS" w:hAnsi="Trebuchet MS"/>
          <w:sz w:val="18"/>
        </w:rPr>
        <w:t>Urinary</w:t>
      </w:r>
    </w:p>
    <w:p>
      <w:pPr>
        <w:spacing w:before="21"/>
        <w:ind w:left="2165" w:right="0" w:firstLine="0"/>
        <w:jc w:val="left"/>
        <w:rPr>
          <w:rFonts w:ascii="Trebuchet MS" w:hAnsi="Trebuchet MS"/>
          <w:sz w:val="18"/>
        </w:rPr>
      </w:pPr>
      <w:r>
        <w:rPr>
          <w:rFonts w:ascii="Trebuchet MS" w:hAnsi="Trebuchet MS"/>
          <w:sz w:val="18"/>
        </w:rPr>
        <w:t>titratable acid </w:t>
      </w:r>
      <w:r>
        <w:rPr>
          <w:rFonts w:ascii="Symbol" w:hAnsi="Symbol"/>
          <w:sz w:val="18"/>
        </w:rPr>
        <w:t></w:t>
      </w:r>
      <w:r>
        <w:rPr>
          <w:sz w:val="18"/>
        </w:rPr>
        <w:t> </w:t>
      </w:r>
      <w:r>
        <w:rPr>
          <w:rFonts w:ascii="Trebuchet MS" w:hAnsi="Trebuchet MS"/>
          <w:sz w:val="18"/>
        </w:rPr>
        <w:t>HCO</w:t>
      </w:r>
      <w:r>
        <w:rPr>
          <w:rFonts w:ascii="Trebuchet MS" w:hAnsi="Trebuchet MS"/>
          <w:position w:val="-2"/>
          <w:sz w:val="10"/>
        </w:rPr>
        <w:t>3</w:t>
      </w:r>
      <w:r>
        <w:rPr>
          <w:rFonts w:ascii="Symbol" w:hAnsi="Symbol"/>
          <w:position w:val="7"/>
          <w:sz w:val="10"/>
        </w:rPr>
        <w:t></w:t>
      </w:r>
      <w:r>
        <w:rPr>
          <w:position w:val="7"/>
          <w:sz w:val="10"/>
        </w:rPr>
        <w:t> </w:t>
      </w:r>
      <w:r>
        <w:rPr>
          <w:rFonts w:ascii="Trebuchet MS" w:hAnsi="Trebuchet MS"/>
          <w:sz w:val="18"/>
        </w:rPr>
        <w:t>excretion</w:t>
      </w:r>
    </w:p>
    <w:p>
      <w:pPr>
        <w:spacing w:line="240" w:lineRule="atLeast" w:before="94"/>
        <w:ind w:left="319" w:right="1437" w:firstLine="240"/>
        <w:jc w:val="both"/>
        <w:rPr>
          <w:i/>
          <w:sz w:val="20"/>
        </w:rPr>
      </w:pPr>
      <w:r>
        <w:rPr/>
        <w:pict>
          <v:shape style="position:absolute;margin-left:444.066589pt;margin-top:10.462938pt;width:3pt;height:8.7pt;mso-position-horizontal-relative:page;mso-position-vertical-relative:paragraph;z-index:-27238092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59.460999pt;margin-top:22.462938pt;width:3pt;height:8.7pt;mso-position-horizontal-relative:page;mso-position-vertical-relative:paragraph;z-index:-27237990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87.583313pt;margin-top:70.462936pt;width:3pt;height:8.7pt;mso-position-horizontal-relative:page;mso-position-vertical-relative:paragraph;z-index:-27237888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465.85379pt;margin-top:94.462936pt;width:3pt;height:8.7pt;mso-position-horizontal-relative:page;mso-position-vertical-relative:paragraph;z-index:-27237785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sz w:val="20"/>
        </w:rPr>
        <w:t>The reason we subtract HCO </w:t>
      </w:r>
      <w:r>
        <w:rPr>
          <w:rFonts w:ascii="Consolas" w:hAnsi="Consolas"/>
          <w:color w:val="231F20"/>
          <w:position w:val="8"/>
          <w:sz w:val="12"/>
        </w:rPr>
        <w:t>− </w:t>
      </w:r>
      <w:r>
        <w:rPr>
          <w:color w:val="231F20"/>
          <w:sz w:val="20"/>
        </w:rPr>
        <w:t>excretion is that  the loss of HCO </w:t>
      </w:r>
      <w:r>
        <w:rPr>
          <w:rFonts w:ascii="Consolas" w:hAnsi="Consolas"/>
          <w:color w:val="231F20"/>
          <w:position w:val="8"/>
          <w:sz w:val="12"/>
        </w:rPr>
        <w:t>− </w:t>
      </w:r>
      <w:r>
        <w:rPr>
          <w:color w:val="231F20"/>
          <w:sz w:val="20"/>
        </w:rPr>
        <w:t>is the same as the addition of H</w:t>
      </w:r>
      <w:r>
        <w:rPr>
          <w:rFonts w:ascii="Consolas" w:hAnsi="Consolas"/>
          <w:color w:val="231F20"/>
          <w:position w:val="8"/>
          <w:sz w:val="12"/>
        </w:rPr>
        <w:t>+ </w:t>
      </w:r>
      <w:r>
        <w:rPr>
          <w:color w:val="231F20"/>
          <w:sz w:val="20"/>
        </w:rPr>
        <w:t>to the blood. </w:t>
      </w:r>
      <w:r>
        <w:rPr>
          <w:color w:val="231F20"/>
          <w:spacing w:val="-11"/>
          <w:sz w:val="20"/>
        </w:rPr>
        <w:t>To </w:t>
      </w:r>
      <w:r>
        <w:rPr>
          <w:color w:val="231F20"/>
          <w:sz w:val="20"/>
        </w:rPr>
        <w:t>maintain acid-base balance, the net acid </w:t>
      </w:r>
      <w:r>
        <w:rPr>
          <w:color w:val="231F20"/>
          <w:spacing w:val="-4"/>
          <w:sz w:val="20"/>
        </w:rPr>
        <w:t>excre- </w:t>
      </w:r>
      <w:r>
        <w:rPr>
          <w:color w:val="231F20"/>
          <w:sz w:val="20"/>
        </w:rPr>
        <w:t>tion must equal the nonvolatile acid production in the body. In acidosis, the net acid excretion increases mark- edly, especially because of increased NH </w:t>
      </w:r>
      <w:r>
        <w:rPr>
          <w:rFonts w:ascii="Consolas" w:hAnsi="Consolas"/>
          <w:color w:val="231F20"/>
          <w:position w:val="8"/>
          <w:sz w:val="12"/>
        </w:rPr>
        <w:t>+ </w:t>
      </w:r>
      <w:r>
        <w:rPr>
          <w:color w:val="231F20"/>
          <w:sz w:val="20"/>
        </w:rPr>
        <w:t>excretion, thereby removing acid from the blood. The net acid excre- tion also equals the rate of net HCO </w:t>
      </w:r>
      <w:r>
        <w:rPr>
          <w:rFonts w:ascii="Consolas" w:hAnsi="Consolas"/>
          <w:color w:val="231F20"/>
          <w:position w:val="8"/>
          <w:sz w:val="12"/>
        </w:rPr>
        <w:t>− </w:t>
      </w:r>
      <w:r>
        <w:rPr>
          <w:color w:val="231F20"/>
          <w:sz w:val="20"/>
        </w:rPr>
        <w:t>addition to </w:t>
      </w:r>
      <w:r>
        <w:rPr>
          <w:color w:val="231F20"/>
          <w:spacing w:val="-5"/>
          <w:sz w:val="20"/>
        </w:rPr>
        <w:t>the </w:t>
      </w:r>
      <w:r>
        <w:rPr>
          <w:color w:val="231F20"/>
          <w:sz w:val="20"/>
        </w:rPr>
        <w:t>blood. </w:t>
      </w:r>
      <w:r>
        <w:rPr>
          <w:i/>
          <w:color w:val="231F20"/>
          <w:sz w:val="20"/>
        </w:rPr>
        <w:t>Therefore, in acidosis, there is a net addition of </w:t>
      </w:r>
      <w:r>
        <w:rPr>
          <w:i/>
          <w:color w:val="231F20"/>
          <w:sz w:val="20"/>
        </w:rPr>
        <w:t>HCO </w:t>
      </w:r>
      <w:r>
        <w:rPr>
          <w:rFonts w:ascii="Consolas" w:hAnsi="Consolas"/>
          <w:i/>
          <w:color w:val="231F20"/>
          <w:position w:val="8"/>
          <w:sz w:val="12"/>
        </w:rPr>
        <w:t>− </w:t>
      </w:r>
      <w:r>
        <w:rPr>
          <w:i/>
          <w:color w:val="231F20"/>
          <w:sz w:val="20"/>
        </w:rPr>
        <w:t>back to the blood as more NH </w:t>
      </w:r>
      <w:r>
        <w:rPr>
          <w:rFonts w:ascii="Consolas" w:hAnsi="Consolas"/>
          <w:color w:val="231F20"/>
          <w:position w:val="8"/>
          <w:sz w:val="12"/>
        </w:rPr>
        <w:t>+ </w:t>
      </w:r>
      <w:r>
        <w:rPr>
          <w:i/>
          <w:color w:val="231F20"/>
          <w:sz w:val="20"/>
        </w:rPr>
        <w:t>and urinary</w:t>
      </w:r>
      <w:r>
        <w:rPr>
          <w:i/>
          <w:color w:val="231F20"/>
          <w:spacing w:val="14"/>
          <w:sz w:val="20"/>
        </w:rPr>
        <w:t> </w:t>
      </w:r>
      <w:r>
        <w:rPr>
          <w:i/>
          <w:color w:val="231F20"/>
          <w:sz w:val="20"/>
        </w:rPr>
        <w:t>titrat-</w:t>
      </w:r>
    </w:p>
    <w:p>
      <w:pPr>
        <w:spacing w:after="0" w:line="240" w:lineRule="atLeast"/>
        <w:jc w:val="both"/>
        <w:rPr>
          <w:sz w:val="20"/>
        </w:rPr>
        <w:sectPr>
          <w:type w:val="continuous"/>
          <w:pgSz w:w="12240" w:h="15660"/>
          <w:pgMar w:top="0" w:bottom="760" w:left="0" w:right="0"/>
          <w:cols w:num="2" w:equalWidth="0">
            <w:col w:w="5761" w:space="40"/>
            <w:col w:w="6439"/>
          </w:cols>
        </w:sectPr>
      </w:pPr>
    </w:p>
    <w:p>
      <w:pPr>
        <w:spacing w:line="225" w:lineRule="exact" w:before="6"/>
        <w:ind w:left="1079" w:right="0" w:firstLine="0"/>
        <w:jc w:val="left"/>
        <w:rPr>
          <w:i/>
          <w:sz w:val="20"/>
        </w:rPr>
      </w:pPr>
      <w:r>
        <w:rPr>
          <w:i/>
          <w:color w:val="231F20"/>
          <w:sz w:val="20"/>
        </w:rPr>
        <w:t>the dominant mechanism by which acid is eliminated is</w:t>
      </w:r>
    </w:p>
    <w:p>
      <w:pPr>
        <w:tabs>
          <w:tab w:pos="3308" w:val="left" w:leader="none"/>
        </w:tabs>
        <w:spacing w:line="7" w:lineRule="exact" w:before="0"/>
        <w:ind w:left="748" w:right="0" w:firstLine="0"/>
        <w:jc w:val="left"/>
        <w:rPr>
          <w:i/>
          <w:sz w:val="12"/>
        </w:rPr>
      </w:pPr>
      <w:r>
        <w:rPr/>
        <w:br w:type="column"/>
      </w:r>
      <w:r>
        <w:rPr>
          <w:i/>
          <w:color w:val="231F20"/>
          <w:sz w:val="12"/>
        </w:rPr>
        <w:t>3</w:t>
        <w:tab/>
        <w:t>4</w:t>
      </w:r>
    </w:p>
    <w:p>
      <w:pPr>
        <w:spacing w:line="224" w:lineRule="exact" w:before="0"/>
        <w:ind w:left="319" w:right="0" w:firstLine="0"/>
        <w:jc w:val="left"/>
        <w:rPr>
          <w:i/>
          <w:sz w:val="20"/>
        </w:rPr>
      </w:pPr>
      <w:r>
        <w:rPr/>
        <w:pict>
          <v:shape style="position:absolute;margin-left:460.294708pt;margin-top:17.195036pt;width:3pt;height:8.7pt;mso-position-horizontal-relative:page;mso-position-vertical-relative:paragraph;z-index:-27236454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373.987pt;margin-top:29.195036pt;width:3pt;height:8.7pt;mso-position-horizontal-relative:page;mso-position-vertical-relative:paragraph;z-index:-27236352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35.947388pt;margin-top:53.195038pt;width:3pt;height:8.7pt;mso-position-horizontal-relative:page;mso-position-vertical-relative:paragraph;z-index:-27236249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i/>
          <w:color w:val="231F20"/>
          <w:sz w:val="20"/>
        </w:rPr>
        <w:t>able acid are excreted.</w:t>
      </w:r>
    </w:p>
    <w:p>
      <w:pPr>
        <w:spacing w:after="0" w:line="224" w:lineRule="exact"/>
        <w:jc w:val="left"/>
        <w:rPr>
          <w:sz w:val="20"/>
        </w:rPr>
        <w:sectPr>
          <w:type w:val="continuous"/>
          <w:pgSz w:w="12240" w:h="15660"/>
          <w:pgMar w:top="0" w:bottom="760" w:left="0" w:right="0"/>
          <w:cols w:num="2" w:equalWidth="0">
            <w:col w:w="5761" w:space="40"/>
            <w:col w:w="6439"/>
          </w:cols>
        </w:sectPr>
      </w:pPr>
    </w:p>
    <w:p>
      <w:pPr>
        <w:pStyle w:val="BodyText"/>
        <w:spacing w:line="249" w:lineRule="auto" w:before="11"/>
        <w:ind w:left="1079"/>
        <w:jc w:val="both"/>
      </w:pPr>
      <w:r>
        <w:rPr/>
        <w:pict>
          <v:shape style="position:absolute;margin-left:121.447601pt;margin-top:5.995525pt;width:3pt;height:8.7pt;mso-position-horizontal-relative:page;mso-position-vertical-relative:paragraph;z-index:-272376832" type="#_x0000_t202" filled="false" stroked="false">
            <v:textbox inset="0,0,0,0">
              <w:txbxContent>
                <w:p>
                  <w:pPr>
                    <w:spacing w:line="137" w:lineRule="exact" w:before="0"/>
                    <w:ind w:left="0" w:right="0" w:firstLine="0"/>
                    <w:jc w:val="left"/>
                    <w:rPr>
                      <w:i/>
                      <w:sz w:val="12"/>
                    </w:rPr>
                  </w:pPr>
                  <w:r>
                    <w:rPr>
                      <w:i/>
                      <w:color w:val="231F20"/>
                      <w:w w:val="99"/>
                      <w:sz w:val="12"/>
                    </w:rPr>
                    <w:t>4</w:t>
                  </w:r>
                </w:p>
              </w:txbxContent>
            </v:textbox>
            <w10:wrap type="none"/>
          </v:shape>
        </w:pict>
      </w:r>
      <w:r>
        <w:rPr>
          <w:i/>
          <w:color w:val="231F20"/>
          <w:w w:val="105"/>
        </w:rPr>
        <w:t>excretion of NH </w:t>
      </w:r>
      <w:r>
        <w:rPr>
          <w:rFonts w:ascii="Consolas"/>
          <w:color w:val="231F20"/>
          <w:w w:val="105"/>
          <w:position w:val="8"/>
          <w:sz w:val="12"/>
        </w:rPr>
        <w:t>+</w:t>
      </w:r>
      <w:r>
        <w:rPr>
          <w:i/>
          <w:color w:val="231F20"/>
          <w:w w:val="105"/>
        </w:rPr>
        <w:t>. </w:t>
      </w:r>
      <w:r>
        <w:rPr>
          <w:color w:val="231F20"/>
          <w:w w:val="105"/>
        </w:rPr>
        <w:t>This process also provides the most important mechanism for generating new bicarbonate during chronic acidosis.</w:t>
      </w:r>
    </w:p>
    <w:p>
      <w:pPr>
        <w:pStyle w:val="BodyText"/>
        <w:spacing w:before="9"/>
        <w:rPr>
          <w:sz w:val="24"/>
        </w:rPr>
      </w:pPr>
      <w:r>
        <w:rPr/>
        <w:pict>
          <v:shape style="position:absolute;margin-left:54pt;margin-top:15.450898pt;width:234pt;height:28pt;mso-position-horizontal-relative:page;mso-position-vertical-relative:paragraph;z-index:-250305536;mso-wrap-distance-left:0;mso-wrap-distance-right:0" type="#_x0000_t202" filled="true" fillcolor="#e8dac8" stroked="false">
            <v:textbox inset="0,0,0,0">
              <w:txbxContent>
                <w:p>
                  <w:pPr>
                    <w:spacing w:line="225" w:lineRule="auto" w:before="46"/>
                    <w:ind w:left="60" w:right="2055" w:firstLine="0"/>
                    <w:jc w:val="left"/>
                    <w:rPr>
                      <w:rFonts w:ascii="Trebuchet MS"/>
                      <w:b/>
                      <w:sz w:val="22"/>
                    </w:rPr>
                  </w:pPr>
                  <w:r>
                    <w:rPr>
                      <w:rFonts w:ascii="Trebuchet MS"/>
                      <w:b/>
                      <w:color w:val="231F20"/>
                      <w:w w:val="110"/>
                      <w:sz w:val="22"/>
                    </w:rPr>
                    <w:t>QUANTIFYING RENAL ACID-BASE EXCRETION</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pict>
          <v:shape style="position:absolute;margin-left:116.597099pt;margin-top:32.16193pt;width:3pt;height:8.7pt;mso-position-horizontal-relative:page;mso-position-vertical-relative:paragraph;z-index:-2723758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Based on the principles discussed earlier, we can quantify the kidneys’ net excretion of acid or net addition or elimi- nation of HCO </w:t>
      </w:r>
      <w:r>
        <w:rPr>
          <w:rFonts w:ascii="Consolas" w:hAnsi="Consolas"/>
          <w:color w:val="231F20"/>
          <w:position w:val="8"/>
          <w:sz w:val="12"/>
        </w:rPr>
        <w:t>− </w:t>
      </w:r>
      <w:r>
        <w:rPr>
          <w:color w:val="231F20"/>
        </w:rPr>
        <w:t>from the blood as follows.</w:t>
      </w:r>
    </w:p>
    <w:p>
      <w:pPr>
        <w:pStyle w:val="BodyText"/>
        <w:spacing w:line="247" w:lineRule="auto"/>
        <w:ind w:left="1079" w:firstLine="240"/>
        <w:jc w:val="both"/>
      </w:pPr>
      <w:r>
        <w:rPr/>
        <w:pict>
          <v:shape style="position:absolute;margin-left:194.779404pt;margin-top:17.26193pt;width:3pt;height:8.7pt;mso-position-horizontal-relative:page;mso-position-vertical-relative:paragraph;z-index:-27237478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76.459602pt;margin-top:41.261932pt;width:3pt;height:8.7pt;mso-position-horizontal-relative:page;mso-position-vertical-relative:paragraph;z-index:-27237376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56.247986pt;margin-top:53.261932pt;width:3pt;height:8.7pt;mso-position-horizontal-relative:page;mso-position-vertical-relative:paragraph;z-index:-27237273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i/>
          <w:color w:val="231F20"/>
          <w:w w:val="105"/>
        </w:rPr>
        <w:t>Bicarbonate excretion </w:t>
      </w:r>
      <w:r>
        <w:rPr>
          <w:color w:val="231F20"/>
          <w:w w:val="105"/>
        </w:rPr>
        <w:t>is calculated as the urine flow rate multiplied by urinary HCO </w:t>
      </w:r>
      <w:r>
        <w:rPr>
          <w:rFonts w:ascii="Consolas" w:hAnsi="Consolas"/>
          <w:color w:val="231F20"/>
          <w:w w:val="105"/>
          <w:position w:val="8"/>
          <w:sz w:val="12"/>
        </w:rPr>
        <w:t>− </w:t>
      </w:r>
      <w:r>
        <w:rPr>
          <w:color w:val="231F20"/>
          <w:w w:val="105"/>
        </w:rPr>
        <w:t>concentration. </w:t>
      </w:r>
      <w:r>
        <w:rPr>
          <w:color w:val="231F20"/>
          <w:spacing w:val="-4"/>
          <w:w w:val="105"/>
        </w:rPr>
        <w:t>This </w:t>
      </w:r>
      <w:r>
        <w:rPr>
          <w:color w:val="231F20"/>
          <w:w w:val="105"/>
        </w:rPr>
        <w:t>number indicates how rapidly the kidneys are</w:t>
      </w:r>
      <w:r>
        <w:rPr>
          <w:color w:val="231F20"/>
          <w:spacing w:val="-10"/>
          <w:w w:val="105"/>
        </w:rPr>
        <w:t> </w:t>
      </w:r>
      <w:r>
        <w:rPr>
          <w:color w:val="231F20"/>
          <w:w w:val="105"/>
        </w:rPr>
        <w:t>removing HCO </w:t>
      </w:r>
      <w:r>
        <w:rPr>
          <w:rFonts w:ascii="Consolas" w:hAnsi="Consolas"/>
          <w:color w:val="231F20"/>
          <w:w w:val="105"/>
          <w:position w:val="8"/>
          <w:sz w:val="12"/>
        </w:rPr>
        <w:t>− </w:t>
      </w:r>
      <w:r>
        <w:rPr>
          <w:color w:val="231F20"/>
          <w:w w:val="105"/>
        </w:rPr>
        <w:t>from the blood (which is the same as adding </w:t>
      </w:r>
      <w:r>
        <w:rPr>
          <w:color w:val="231F20"/>
          <w:spacing w:val="-6"/>
          <w:w w:val="105"/>
        </w:rPr>
        <w:t>an </w:t>
      </w:r>
      <w:r>
        <w:rPr>
          <w:color w:val="231F20"/>
          <w:w w:val="105"/>
        </w:rPr>
        <w:t>H</w:t>
      </w:r>
      <w:r>
        <w:rPr>
          <w:rFonts w:ascii="Consolas" w:hAnsi="Consolas"/>
          <w:color w:val="231F20"/>
          <w:w w:val="105"/>
          <w:position w:val="8"/>
          <w:sz w:val="12"/>
        </w:rPr>
        <w:t>+ </w:t>
      </w:r>
      <w:r>
        <w:rPr>
          <w:color w:val="231F20"/>
          <w:w w:val="105"/>
        </w:rPr>
        <w:t>to the blood). In alkalosis, the loss of HCO </w:t>
      </w:r>
      <w:r>
        <w:rPr>
          <w:rFonts w:ascii="Consolas" w:hAnsi="Consolas"/>
          <w:color w:val="231F20"/>
          <w:w w:val="105"/>
          <w:position w:val="8"/>
          <w:sz w:val="12"/>
        </w:rPr>
        <w:t>− </w:t>
      </w:r>
      <w:r>
        <w:rPr>
          <w:color w:val="231F20"/>
          <w:spacing w:val="-5"/>
          <w:w w:val="105"/>
        </w:rPr>
        <w:t>helps </w:t>
      </w:r>
      <w:r>
        <w:rPr>
          <w:color w:val="231F20"/>
          <w:w w:val="105"/>
        </w:rPr>
        <w:t>return the plasma pH toward</w:t>
      </w:r>
      <w:r>
        <w:rPr>
          <w:color w:val="231F20"/>
          <w:spacing w:val="16"/>
          <w:w w:val="105"/>
        </w:rPr>
        <w:t> </w:t>
      </w:r>
      <w:r>
        <w:rPr>
          <w:color w:val="231F20"/>
          <w:w w:val="105"/>
        </w:rPr>
        <w:t>normal.</w:t>
      </w:r>
    </w:p>
    <w:p>
      <w:pPr>
        <w:pStyle w:val="BodyText"/>
        <w:spacing w:line="247" w:lineRule="auto" w:before="3"/>
        <w:ind w:left="1079" w:firstLine="240"/>
        <w:jc w:val="both"/>
      </w:pPr>
      <w:r>
        <w:rPr/>
        <w:pict>
          <v:shape style="position:absolute;margin-left:174.691406pt;margin-top:5.595525pt;width:3pt;height:8.7pt;mso-position-horizontal-relative:page;mso-position-vertical-relative:paragraph;z-index:-272371712"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263.801910pt;margin-top:53.595524pt;width:3pt;height:8.7pt;mso-position-horizontal-relative:page;mso-position-vertical-relative:paragraph;z-index:-27237068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228.213501pt;margin-top:65.595528pt;width:3pt;height:8.7pt;mso-position-horizontal-relative:page;mso-position-vertical-relative:paragraph;z-index:-27236966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78.276596pt;margin-top:77.595528pt;width:3pt;height:8.7pt;mso-position-horizontal-relative:page;mso-position-vertical-relative:paragraph;z-index:-27236864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84.748001pt;margin-top:89.595528pt;width:3pt;height:8.7pt;mso-position-horizontal-relative:page;mso-position-vertical-relative:paragraph;z-index:-272367616"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69.339897pt;margin-top:101.595528pt;width:3pt;height:8.7pt;mso-position-horizontal-relative:page;mso-position-vertical-relative:paragraph;z-index:-27236659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i/>
          <w:color w:val="231F20"/>
          <w:w w:val="105"/>
        </w:rPr>
        <w:t>The amount of new HCO </w:t>
      </w:r>
      <w:r>
        <w:rPr>
          <w:rFonts w:ascii="Consolas" w:hAnsi="Consolas"/>
          <w:i/>
          <w:color w:val="231F20"/>
          <w:w w:val="105"/>
          <w:position w:val="8"/>
          <w:sz w:val="12"/>
        </w:rPr>
        <w:t>− </w:t>
      </w:r>
      <w:r>
        <w:rPr>
          <w:i/>
          <w:color w:val="231F20"/>
          <w:w w:val="105"/>
        </w:rPr>
        <w:t>contributed to the blood </w:t>
      </w:r>
      <w:r>
        <w:rPr>
          <w:color w:val="231F20"/>
          <w:w w:val="105"/>
        </w:rPr>
        <w:t>at any given time is equal to the amount of H</w:t>
      </w:r>
      <w:r>
        <w:rPr>
          <w:rFonts w:ascii="Consolas" w:hAnsi="Consolas"/>
          <w:color w:val="231F20"/>
          <w:w w:val="105"/>
          <w:position w:val="8"/>
          <w:sz w:val="12"/>
        </w:rPr>
        <w:t>+ </w:t>
      </w:r>
      <w:r>
        <w:rPr>
          <w:color w:val="231F20"/>
          <w:w w:val="105"/>
        </w:rPr>
        <w:t>secreted that ends up in the tubular lumen with non-bicarbonate urinary buffers. As discussed previously, the primary sources</w:t>
      </w:r>
      <w:r>
        <w:rPr>
          <w:color w:val="231F20"/>
          <w:spacing w:val="-7"/>
          <w:w w:val="105"/>
        </w:rPr>
        <w:t> </w:t>
      </w:r>
      <w:r>
        <w:rPr>
          <w:color w:val="231F20"/>
          <w:w w:val="105"/>
        </w:rPr>
        <w:t>of</w:t>
      </w:r>
      <w:r>
        <w:rPr>
          <w:color w:val="231F20"/>
          <w:spacing w:val="-6"/>
          <w:w w:val="105"/>
        </w:rPr>
        <w:t> </w:t>
      </w:r>
      <w:r>
        <w:rPr>
          <w:color w:val="231F20"/>
          <w:w w:val="105"/>
        </w:rPr>
        <w:t>non-bicarbonate</w:t>
      </w:r>
      <w:r>
        <w:rPr>
          <w:color w:val="231F20"/>
          <w:spacing w:val="-6"/>
          <w:w w:val="105"/>
        </w:rPr>
        <w:t> </w:t>
      </w:r>
      <w:r>
        <w:rPr>
          <w:color w:val="231F20"/>
          <w:w w:val="105"/>
        </w:rPr>
        <w:t>urinary</w:t>
      </w:r>
      <w:r>
        <w:rPr>
          <w:color w:val="231F20"/>
          <w:spacing w:val="-7"/>
          <w:w w:val="105"/>
        </w:rPr>
        <w:t> </w:t>
      </w:r>
      <w:r>
        <w:rPr>
          <w:color w:val="231F20"/>
          <w:w w:val="105"/>
        </w:rPr>
        <w:t>buffers</w:t>
      </w:r>
      <w:r>
        <w:rPr>
          <w:color w:val="231F20"/>
          <w:spacing w:val="-6"/>
          <w:w w:val="105"/>
        </w:rPr>
        <w:t> </w:t>
      </w:r>
      <w:r>
        <w:rPr>
          <w:color w:val="231F20"/>
          <w:w w:val="105"/>
        </w:rPr>
        <w:t>are</w:t>
      </w:r>
      <w:r>
        <w:rPr>
          <w:color w:val="231F20"/>
          <w:spacing w:val="-6"/>
          <w:w w:val="105"/>
        </w:rPr>
        <w:t> </w:t>
      </w:r>
      <w:r>
        <w:rPr>
          <w:color w:val="231F20"/>
          <w:w w:val="105"/>
        </w:rPr>
        <w:t>NH</w:t>
      </w:r>
      <w:r>
        <w:rPr>
          <w:color w:val="231F20"/>
          <w:spacing w:val="-2"/>
          <w:w w:val="105"/>
        </w:rPr>
        <w:t> </w:t>
      </w:r>
      <w:r>
        <w:rPr>
          <w:rFonts w:ascii="Consolas" w:hAnsi="Consolas"/>
          <w:color w:val="231F20"/>
          <w:w w:val="105"/>
          <w:position w:val="8"/>
          <w:sz w:val="12"/>
        </w:rPr>
        <w:t>+</w:t>
      </w:r>
      <w:r>
        <w:rPr>
          <w:rFonts w:ascii="Consolas" w:hAnsi="Consolas"/>
          <w:color w:val="231F20"/>
          <w:spacing w:val="-23"/>
          <w:w w:val="105"/>
          <w:position w:val="8"/>
          <w:sz w:val="12"/>
        </w:rPr>
        <w:t> </w:t>
      </w:r>
      <w:r>
        <w:rPr>
          <w:color w:val="231F20"/>
          <w:spacing w:val="-4"/>
          <w:w w:val="105"/>
        </w:rPr>
        <w:t>and </w:t>
      </w:r>
      <w:r>
        <w:rPr>
          <w:color w:val="231F20"/>
          <w:w w:val="105"/>
        </w:rPr>
        <w:t>phosphate.</w:t>
      </w:r>
      <w:r>
        <w:rPr>
          <w:color w:val="231F20"/>
          <w:spacing w:val="-9"/>
          <w:w w:val="105"/>
        </w:rPr>
        <w:t> </w:t>
      </w:r>
      <w:r>
        <w:rPr>
          <w:color w:val="231F20"/>
          <w:w w:val="105"/>
        </w:rPr>
        <w:t>Therefore,</w:t>
      </w:r>
      <w:r>
        <w:rPr>
          <w:color w:val="231F20"/>
          <w:spacing w:val="-9"/>
          <w:w w:val="105"/>
        </w:rPr>
        <w:t> </w:t>
      </w:r>
      <w:r>
        <w:rPr>
          <w:color w:val="231F20"/>
          <w:w w:val="105"/>
        </w:rPr>
        <w:t>the</w:t>
      </w:r>
      <w:r>
        <w:rPr>
          <w:color w:val="231F20"/>
          <w:spacing w:val="-9"/>
          <w:w w:val="105"/>
        </w:rPr>
        <w:t> </w:t>
      </w:r>
      <w:r>
        <w:rPr>
          <w:color w:val="231F20"/>
          <w:w w:val="105"/>
        </w:rPr>
        <w:t>amount</w:t>
      </w:r>
      <w:r>
        <w:rPr>
          <w:color w:val="231F20"/>
          <w:spacing w:val="-9"/>
          <w:w w:val="105"/>
        </w:rPr>
        <w:t> </w:t>
      </w:r>
      <w:r>
        <w:rPr>
          <w:color w:val="231F20"/>
          <w:w w:val="105"/>
        </w:rPr>
        <w:t>of</w:t>
      </w:r>
      <w:r>
        <w:rPr>
          <w:color w:val="231F20"/>
          <w:spacing w:val="-9"/>
          <w:w w:val="105"/>
        </w:rPr>
        <w:t> </w:t>
      </w:r>
      <w:r>
        <w:rPr>
          <w:color w:val="231F20"/>
          <w:w w:val="105"/>
        </w:rPr>
        <w:t>HCO</w:t>
      </w:r>
      <w:r>
        <w:rPr>
          <w:color w:val="231F20"/>
          <w:spacing w:val="1"/>
          <w:w w:val="105"/>
        </w:rPr>
        <w:t> </w:t>
      </w:r>
      <w:r>
        <w:rPr>
          <w:rFonts w:ascii="Consolas" w:hAnsi="Consolas"/>
          <w:color w:val="231F20"/>
          <w:w w:val="105"/>
          <w:position w:val="8"/>
          <w:sz w:val="12"/>
        </w:rPr>
        <w:t>−</w:t>
      </w:r>
      <w:r>
        <w:rPr>
          <w:rFonts w:ascii="Consolas" w:hAnsi="Consolas"/>
          <w:color w:val="231F20"/>
          <w:spacing w:val="-26"/>
          <w:w w:val="105"/>
          <w:position w:val="8"/>
          <w:sz w:val="12"/>
        </w:rPr>
        <w:t> </w:t>
      </w:r>
      <w:r>
        <w:rPr>
          <w:color w:val="231F20"/>
          <w:w w:val="105"/>
        </w:rPr>
        <w:t>added</w:t>
      </w:r>
      <w:r>
        <w:rPr>
          <w:color w:val="231F20"/>
          <w:spacing w:val="-9"/>
          <w:w w:val="105"/>
        </w:rPr>
        <w:t> </w:t>
      </w:r>
      <w:r>
        <w:rPr>
          <w:color w:val="231F20"/>
          <w:w w:val="105"/>
        </w:rPr>
        <w:t>to</w:t>
      </w:r>
      <w:r>
        <w:rPr>
          <w:color w:val="231F20"/>
          <w:spacing w:val="-9"/>
          <w:w w:val="105"/>
        </w:rPr>
        <w:t> </w:t>
      </w:r>
      <w:r>
        <w:rPr>
          <w:color w:val="231F20"/>
          <w:spacing w:val="-6"/>
          <w:w w:val="105"/>
        </w:rPr>
        <w:t>the </w:t>
      </w:r>
      <w:r>
        <w:rPr>
          <w:color w:val="231F20"/>
          <w:w w:val="105"/>
        </w:rPr>
        <w:t>blood</w:t>
      </w:r>
      <w:r>
        <w:rPr>
          <w:color w:val="231F20"/>
          <w:spacing w:val="-18"/>
          <w:w w:val="105"/>
        </w:rPr>
        <w:t> </w:t>
      </w:r>
      <w:r>
        <w:rPr>
          <w:color w:val="231F20"/>
          <w:w w:val="105"/>
        </w:rPr>
        <w:t>(and</w:t>
      </w:r>
      <w:r>
        <w:rPr>
          <w:color w:val="231F20"/>
          <w:spacing w:val="-18"/>
          <w:w w:val="105"/>
        </w:rPr>
        <w:t> </w:t>
      </w:r>
      <w:r>
        <w:rPr>
          <w:color w:val="231F20"/>
          <w:w w:val="105"/>
        </w:rPr>
        <w:t>H</w:t>
      </w:r>
      <w:r>
        <w:rPr>
          <w:rFonts w:ascii="Consolas" w:hAnsi="Consolas"/>
          <w:color w:val="231F20"/>
          <w:w w:val="105"/>
          <w:position w:val="8"/>
          <w:sz w:val="12"/>
        </w:rPr>
        <w:t>+</w:t>
      </w:r>
      <w:r>
        <w:rPr>
          <w:rFonts w:ascii="Consolas" w:hAnsi="Consolas"/>
          <w:color w:val="231F20"/>
          <w:spacing w:val="-35"/>
          <w:w w:val="105"/>
          <w:position w:val="8"/>
          <w:sz w:val="12"/>
        </w:rPr>
        <w:t> </w:t>
      </w:r>
      <w:r>
        <w:rPr>
          <w:color w:val="231F20"/>
          <w:w w:val="105"/>
        </w:rPr>
        <w:t>excreted</w:t>
      </w:r>
      <w:r>
        <w:rPr>
          <w:color w:val="231F20"/>
          <w:spacing w:val="-18"/>
          <w:w w:val="105"/>
        </w:rPr>
        <w:t> </w:t>
      </w:r>
      <w:r>
        <w:rPr>
          <w:color w:val="231F20"/>
          <w:w w:val="105"/>
        </w:rPr>
        <w:t>by</w:t>
      </w:r>
      <w:r>
        <w:rPr>
          <w:color w:val="231F20"/>
          <w:spacing w:val="-18"/>
          <w:w w:val="105"/>
        </w:rPr>
        <w:t> </w:t>
      </w:r>
      <w:r>
        <w:rPr>
          <w:color w:val="231F20"/>
          <w:w w:val="105"/>
        </w:rPr>
        <w:t>NH</w:t>
      </w:r>
      <w:r>
        <w:rPr>
          <w:color w:val="231F20"/>
          <w:spacing w:val="-7"/>
          <w:w w:val="105"/>
        </w:rPr>
        <w:t> </w:t>
      </w:r>
      <w:r>
        <w:rPr>
          <w:rFonts w:ascii="Consolas" w:hAnsi="Consolas"/>
          <w:color w:val="231F20"/>
          <w:w w:val="105"/>
          <w:position w:val="8"/>
          <w:sz w:val="12"/>
        </w:rPr>
        <w:t>+</w:t>
      </w:r>
      <w:r>
        <w:rPr>
          <w:color w:val="231F20"/>
          <w:w w:val="105"/>
        </w:rPr>
        <w:t>)</w:t>
      </w:r>
      <w:r>
        <w:rPr>
          <w:color w:val="231F20"/>
          <w:spacing w:val="-18"/>
          <w:w w:val="105"/>
        </w:rPr>
        <w:t> </w:t>
      </w:r>
      <w:r>
        <w:rPr>
          <w:color w:val="231F20"/>
          <w:w w:val="105"/>
        </w:rPr>
        <w:t>is</w:t>
      </w:r>
      <w:r>
        <w:rPr>
          <w:color w:val="231F20"/>
          <w:spacing w:val="-17"/>
          <w:w w:val="105"/>
        </w:rPr>
        <w:t> </w:t>
      </w:r>
      <w:r>
        <w:rPr>
          <w:color w:val="231F20"/>
          <w:w w:val="105"/>
        </w:rPr>
        <w:t>calculated</w:t>
      </w:r>
      <w:r>
        <w:rPr>
          <w:color w:val="231F20"/>
          <w:spacing w:val="-18"/>
          <w:w w:val="105"/>
        </w:rPr>
        <w:t> </w:t>
      </w:r>
      <w:r>
        <w:rPr>
          <w:color w:val="231F20"/>
          <w:w w:val="105"/>
        </w:rPr>
        <w:t>by</w:t>
      </w:r>
      <w:r>
        <w:rPr>
          <w:color w:val="231F20"/>
          <w:spacing w:val="-18"/>
          <w:w w:val="105"/>
        </w:rPr>
        <w:t> </w:t>
      </w:r>
      <w:r>
        <w:rPr>
          <w:color w:val="231F20"/>
          <w:w w:val="105"/>
        </w:rPr>
        <w:t>measur- ing</w:t>
      </w:r>
      <w:r>
        <w:rPr>
          <w:color w:val="231F20"/>
          <w:spacing w:val="-13"/>
          <w:w w:val="105"/>
        </w:rPr>
        <w:t> </w:t>
      </w:r>
      <w:r>
        <w:rPr>
          <w:color w:val="231F20"/>
          <w:w w:val="105"/>
        </w:rPr>
        <w:t>NH</w:t>
      </w:r>
      <w:r>
        <w:rPr>
          <w:color w:val="231F20"/>
          <w:spacing w:val="-8"/>
          <w:w w:val="105"/>
        </w:rPr>
        <w:t> </w:t>
      </w:r>
      <w:r>
        <w:rPr>
          <w:rFonts w:ascii="Consolas" w:hAnsi="Consolas"/>
          <w:color w:val="231F20"/>
          <w:w w:val="105"/>
          <w:position w:val="8"/>
          <w:sz w:val="12"/>
        </w:rPr>
        <w:t>+</w:t>
      </w:r>
      <w:r>
        <w:rPr>
          <w:rFonts w:ascii="Consolas" w:hAnsi="Consolas"/>
          <w:color w:val="231F20"/>
          <w:spacing w:val="-30"/>
          <w:w w:val="105"/>
          <w:position w:val="8"/>
          <w:sz w:val="12"/>
        </w:rPr>
        <w:t> </w:t>
      </w:r>
      <w:r>
        <w:rPr>
          <w:color w:val="231F20"/>
          <w:w w:val="105"/>
        </w:rPr>
        <w:t>excretion</w:t>
      </w:r>
      <w:r>
        <w:rPr>
          <w:color w:val="231F20"/>
          <w:spacing w:val="-12"/>
          <w:w w:val="105"/>
        </w:rPr>
        <w:t> </w:t>
      </w:r>
      <w:r>
        <w:rPr>
          <w:color w:val="231F20"/>
          <w:w w:val="105"/>
        </w:rPr>
        <w:t>(urine</w:t>
      </w:r>
      <w:r>
        <w:rPr>
          <w:color w:val="231F20"/>
          <w:spacing w:val="-13"/>
          <w:w w:val="105"/>
        </w:rPr>
        <w:t> </w:t>
      </w:r>
      <w:r>
        <w:rPr>
          <w:color w:val="231F20"/>
          <w:w w:val="105"/>
        </w:rPr>
        <w:t>flow</w:t>
      </w:r>
      <w:r>
        <w:rPr>
          <w:color w:val="231F20"/>
          <w:spacing w:val="-12"/>
          <w:w w:val="105"/>
        </w:rPr>
        <w:t> </w:t>
      </w:r>
      <w:r>
        <w:rPr>
          <w:color w:val="231F20"/>
          <w:w w:val="105"/>
        </w:rPr>
        <w:t>rate</w:t>
      </w:r>
      <w:r>
        <w:rPr>
          <w:color w:val="231F20"/>
          <w:spacing w:val="-13"/>
          <w:w w:val="105"/>
        </w:rPr>
        <w:t> </w:t>
      </w:r>
      <w:r>
        <w:rPr>
          <w:color w:val="231F20"/>
          <w:w w:val="105"/>
        </w:rPr>
        <w:t>multiplied</w:t>
      </w:r>
      <w:r>
        <w:rPr>
          <w:color w:val="231F20"/>
          <w:spacing w:val="-13"/>
          <w:w w:val="105"/>
        </w:rPr>
        <w:t> </w:t>
      </w:r>
      <w:r>
        <w:rPr>
          <w:color w:val="231F20"/>
          <w:w w:val="105"/>
        </w:rPr>
        <w:t>by</w:t>
      </w:r>
      <w:r>
        <w:rPr>
          <w:color w:val="231F20"/>
          <w:spacing w:val="-12"/>
          <w:w w:val="105"/>
        </w:rPr>
        <w:t> </w:t>
      </w:r>
      <w:r>
        <w:rPr>
          <w:color w:val="231F20"/>
          <w:w w:val="105"/>
        </w:rPr>
        <w:t>urinary NH </w:t>
      </w:r>
      <w:r>
        <w:rPr>
          <w:rFonts w:ascii="Consolas" w:hAnsi="Consolas"/>
          <w:color w:val="231F20"/>
          <w:w w:val="105"/>
          <w:position w:val="8"/>
          <w:sz w:val="12"/>
        </w:rPr>
        <w:t>+</w:t>
      </w:r>
      <w:r>
        <w:rPr>
          <w:rFonts w:ascii="Consolas" w:hAnsi="Consolas"/>
          <w:color w:val="231F20"/>
          <w:spacing w:val="-9"/>
          <w:w w:val="105"/>
          <w:position w:val="8"/>
          <w:sz w:val="12"/>
        </w:rPr>
        <w:t> </w:t>
      </w:r>
      <w:r>
        <w:rPr>
          <w:color w:val="231F20"/>
          <w:w w:val="105"/>
        </w:rPr>
        <w:t>concentration).</w:t>
      </w:r>
    </w:p>
    <w:p>
      <w:pPr>
        <w:pStyle w:val="BodyText"/>
        <w:spacing w:line="249" w:lineRule="auto" w:before="2"/>
        <w:ind w:left="1079" w:firstLine="239"/>
        <w:jc w:val="both"/>
      </w:pPr>
      <w:r>
        <w:rPr/>
        <w:pict>
          <v:shape style="position:absolute;margin-left:251.751801pt;margin-top:5.545525pt;width:3pt;height:8.7pt;mso-position-horizontal-relative:page;mso-position-vertical-relative:paragraph;z-index:-27236556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rPr>
        <w:t>The rest of the non-bicarbonate, non-NH </w:t>
      </w:r>
      <w:r>
        <w:rPr>
          <w:rFonts w:ascii="Consolas"/>
          <w:color w:val="231F20"/>
          <w:w w:val="105"/>
          <w:position w:val="8"/>
          <w:sz w:val="12"/>
        </w:rPr>
        <w:t>+ </w:t>
      </w:r>
      <w:r>
        <w:rPr>
          <w:color w:val="231F20"/>
          <w:w w:val="105"/>
        </w:rPr>
        <w:t>buffer excreted</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urine</w:t>
      </w:r>
      <w:r>
        <w:rPr>
          <w:color w:val="231F20"/>
          <w:spacing w:val="-9"/>
          <w:w w:val="105"/>
        </w:rPr>
        <w:t> </w:t>
      </w:r>
      <w:r>
        <w:rPr>
          <w:color w:val="231F20"/>
          <w:w w:val="105"/>
        </w:rPr>
        <w:t>is</w:t>
      </w:r>
      <w:r>
        <w:rPr>
          <w:color w:val="231F20"/>
          <w:spacing w:val="-9"/>
          <w:w w:val="105"/>
        </w:rPr>
        <w:t> </w:t>
      </w:r>
      <w:r>
        <w:rPr>
          <w:color w:val="231F20"/>
          <w:w w:val="105"/>
        </w:rPr>
        <w:t>measured</w:t>
      </w:r>
      <w:r>
        <w:rPr>
          <w:color w:val="231F20"/>
          <w:spacing w:val="-9"/>
          <w:w w:val="105"/>
        </w:rPr>
        <w:t> </w:t>
      </w:r>
      <w:r>
        <w:rPr>
          <w:color w:val="231F20"/>
          <w:w w:val="105"/>
        </w:rPr>
        <w:t>by</w:t>
      </w:r>
      <w:r>
        <w:rPr>
          <w:color w:val="231F20"/>
          <w:spacing w:val="-9"/>
          <w:w w:val="105"/>
        </w:rPr>
        <w:t> </w:t>
      </w:r>
      <w:r>
        <w:rPr>
          <w:color w:val="231F20"/>
          <w:w w:val="105"/>
        </w:rPr>
        <w:t>determining</w:t>
      </w:r>
      <w:r>
        <w:rPr>
          <w:color w:val="231F20"/>
          <w:spacing w:val="-9"/>
          <w:w w:val="105"/>
        </w:rPr>
        <w:t> </w:t>
      </w:r>
      <w:r>
        <w:rPr>
          <w:color w:val="231F20"/>
          <w:w w:val="105"/>
        </w:rPr>
        <w:t>a</w:t>
      </w:r>
      <w:r>
        <w:rPr>
          <w:color w:val="231F20"/>
          <w:spacing w:val="-9"/>
          <w:w w:val="105"/>
        </w:rPr>
        <w:t> </w:t>
      </w:r>
      <w:r>
        <w:rPr>
          <w:color w:val="231F20"/>
          <w:w w:val="105"/>
        </w:rPr>
        <w:t>value known</w:t>
      </w:r>
      <w:r>
        <w:rPr>
          <w:color w:val="231F20"/>
          <w:spacing w:val="-15"/>
          <w:w w:val="105"/>
        </w:rPr>
        <w:t> </w:t>
      </w:r>
      <w:r>
        <w:rPr>
          <w:color w:val="231F20"/>
          <w:w w:val="105"/>
        </w:rPr>
        <w:t>as</w:t>
      </w:r>
      <w:r>
        <w:rPr>
          <w:color w:val="231F20"/>
          <w:spacing w:val="-14"/>
          <w:w w:val="105"/>
        </w:rPr>
        <w:t> </w:t>
      </w:r>
      <w:r>
        <w:rPr>
          <w:i/>
          <w:color w:val="231F20"/>
          <w:w w:val="105"/>
        </w:rPr>
        <w:t>titratable</w:t>
      </w:r>
      <w:r>
        <w:rPr>
          <w:i/>
          <w:color w:val="231F20"/>
          <w:spacing w:val="-14"/>
          <w:w w:val="105"/>
        </w:rPr>
        <w:t> </w:t>
      </w:r>
      <w:r>
        <w:rPr>
          <w:i/>
          <w:color w:val="231F20"/>
          <w:w w:val="105"/>
        </w:rPr>
        <w:t>acid.</w:t>
      </w:r>
      <w:r>
        <w:rPr>
          <w:i/>
          <w:color w:val="231F20"/>
          <w:spacing w:val="-14"/>
          <w:w w:val="105"/>
        </w:rPr>
        <w:t> </w:t>
      </w:r>
      <w:r>
        <w:rPr>
          <w:color w:val="231F20"/>
          <w:w w:val="105"/>
        </w:rPr>
        <w:t>The</w:t>
      </w:r>
      <w:r>
        <w:rPr>
          <w:color w:val="231F20"/>
          <w:spacing w:val="-14"/>
          <w:w w:val="105"/>
        </w:rPr>
        <w:t> </w:t>
      </w:r>
      <w:r>
        <w:rPr>
          <w:color w:val="231F20"/>
          <w:w w:val="105"/>
        </w:rPr>
        <w:t>amount</w:t>
      </w:r>
      <w:r>
        <w:rPr>
          <w:color w:val="231F20"/>
          <w:spacing w:val="-15"/>
          <w:w w:val="105"/>
        </w:rPr>
        <w:t> </w:t>
      </w:r>
      <w:r>
        <w:rPr>
          <w:color w:val="231F20"/>
          <w:w w:val="105"/>
        </w:rPr>
        <w:t>of</w:t>
      </w:r>
      <w:r>
        <w:rPr>
          <w:color w:val="231F20"/>
          <w:spacing w:val="-14"/>
          <w:w w:val="105"/>
        </w:rPr>
        <w:t> </w:t>
      </w:r>
      <w:r>
        <w:rPr>
          <w:color w:val="231F20"/>
          <w:w w:val="105"/>
        </w:rPr>
        <w:t>titratable</w:t>
      </w:r>
      <w:r>
        <w:rPr>
          <w:color w:val="231F20"/>
          <w:spacing w:val="-14"/>
          <w:w w:val="105"/>
        </w:rPr>
        <w:t> </w:t>
      </w:r>
      <w:r>
        <w:rPr>
          <w:color w:val="231F20"/>
          <w:w w:val="105"/>
        </w:rPr>
        <w:t>acid</w:t>
      </w:r>
      <w:r>
        <w:rPr>
          <w:color w:val="231F20"/>
          <w:spacing w:val="-14"/>
          <w:w w:val="105"/>
        </w:rPr>
        <w:t> </w:t>
      </w:r>
      <w:r>
        <w:rPr>
          <w:color w:val="231F20"/>
          <w:spacing w:val="-6"/>
          <w:w w:val="105"/>
        </w:rPr>
        <w:t>in </w:t>
      </w:r>
      <w:r>
        <w:rPr>
          <w:color w:val="231F20"/>
          <w:w w:val="105"/>
        </w:rPr>
        <w:t>the urine is measured by titrating the urine with a</w:t>
      </w:r>
      <w:r>
        <w:rPr>
          <w:color w:val="231F20"/>
          <w:spacing w:val="-26"/>
          <w:w w:val="105"/>
        </w:rPr>
        <w:t> </w:t>
      </w:r>
      <w:r>
        <w:rPr>
          <w:color w:val="231F20"/>
          <w:spacing w:val="-4"/>
          <w:w w:val="105"/>
        </w:rPr>
        <w:t>strong </w:t>
      </w:r>
      <w:r>
        <w:rPr>
          <w:color w:val="231F20"/>
          <w:w w:val="105"/>
        </w:rPr>
        <w:t>base, such as NaOH, to a pH of 7.4, the pH of normal plasma, and the pH of the glomerular filtrate. This </w:t>
      </w:r>
      <w:r>
        <w:rPr>
          <w:color w:val="231F20"/>
          <w:spacing w:val="-3"/>
          <w:w w:val="105"/>
        </w:rPr>
        <w:t>titra- </w:t>
      </w:r>
      <w:r>
        <w:rPr>
          <w:color w:val="231F20"/>
          <w:w w:val="105"/>
        </w:rPr>
        <w:t>tion reverses the events that occurred in the</w:t>
      </w:r>
      <w:r>
        <w:rPr>
          <w:color w:val="231F20"/>
          <w:spacing w:val="23"/>
          <w:w w:val="105"/>
        </w:rPr>
        <w:t> </w:t>
      </w:r>
      <w:r>
        <w:rPr>
          <w:color w:val="231F20"/>
          <w:spacing w:val="-3"/>
          <w:w w:val="105"/>
        </w:rPr>
        <w:t>tubular </w:t>
      </w:r>
      <w:r>
        <w:rPr>
          <w:color w:val="231F20"/>
          <w:w w:val="105"/>
        </w:rPr>
        <w:t>lumen</w:t>
      </w:r>
      <w:r>
        <w:rPr>
          <w:color w:val="231F20"/>
          <w:spacing w:val="-11"/>
          <w:w w:val="105"/>
        </w:rPr>
        <w:t> </w:t>
      </w:r>
      <w:r>
        <w:rPr>
          <w:color w:val="231F20"/>
          <w:w w:val="105"/>
        </w:rPr>
        <w:t>when</w:t>
      </w:r>
      <w:r>
        <w:rPr>
          <w:color w:val="231F20"/>
          <w:spacing w:val="-11"/>
          <w:w w:val="105"/>
        </w:rPr>
        <w:t> </w:t>
      </w:r>
      <w:r>
        <w:rPr>
          <w:color w:val="231F20"/>
          <w:w w:val="105"/>
        </w:rPr>
        <w:t>the</w:t>
      </w:r>
      <w:r>
        <w:rPr>
          <w:color w:val="231F20"/>
          <w:spacing w:val="-11"/>
          <w:w w:val="105"/>
        </w:rPr>
        <w:t> </w:t>
      </w:r>
      <w:r>
        <w:rPr>
          <w:color w:val="231F20"/>
          <w:w w:val="105"/>
        </w:rPr>
        <w:t>tubular</w:t>
      </w:r>
      <w:r>
        <w:rPr>
          <w:color w:val="231F20"/>
          <w:spacing w:val="-11"/>
          <w:w w:val="105"/>
        </w:rPr>
        <w:t> </w:t>
      </w:r>
      <w:r>
        <w:rPr>
          <w:color w:val="231F20"/>
          <w:w w:val="105"/>
        </w:rPr>
        <w:t>fluid</w:t>
      </w:r>
      <w:r>
        <w:rPr>
          <w:color w:val="231F20"/>
          <w:spacing w:val="-10"/>
          <w:w w:val="105"/>
        </w:rPr>
        <w:t> </w:t>
      </w:r>
      <w:r>
        <w:rPr>
          <w:color w:val="231F20"/>
          <w:w w:val="105"/>
        </w:rPr>
        <w:t>was</w:t>
      </w:r>
      <w:r>
        <w:rPr>
          <w:color w:val="231F20"/>
          <w:spacing w:val="-11"/>
          <w:w w:val="105"/>
        </w:rPr>
        <w:t> </w:t>
      </w:r>
      <w:r>
        <w:rPr>
          <w:color w:val="231F20"/>
          <w:w w:val="105"/>
        </w:rPr>
        <w:t>titrated</w:t>
      </w:r>
      <w:r>
        <w:rPr>
          <w:color w:val="231F20"/>
          <w:spacing w:val="-11"/>
          <w:w w:val="105"/>
        </w:rPr>
        <w:t> </w:t>
      </w:r>
      <w:r>
        <w:rPr>
          <w:color w:val="231F20"/>
          <w:w w:val="105"/>
        </w:rPr>
        <w:t>by</w:t>
      </w:r>
      <w:r>
        <w:rPr>
          <w:color w:val="231F20"/>
          <w:spacing w:val="-11"/>
          <w:w w:val="105"/>
        </w:rPr>
        <w:t> </w:t>
      </w:r>
      <w:r>
        <w:rPr>
          <w:color w:val="231F20"/>
          <w:w w:val="105"/>
        </w:rPr>
        <w:t>secreted</w:t>
      </w:r>
      <w:r>
        <w:rPr>
          <w:color w:val="231F20"/>
          <w:spacing w:val="-11"/>
          <w:w w:val="105"/>
        </w:rPr>
        <w:t> </w:t>
      </w:r>
      <w:r>
        <w:rPr>
          <w:color w:val="231F20"/>
          <w:spacing w:val="-8"/>
          <w:w w:val="105"/>
        </w:rPr>
        <w:t>H</w:t>
      </w:r>
      <w:r>
        <w:rPr>
          <w:rFonts w:ascii="Consolas"/>
          <w:color w:val="231F20"/>
          <w:spacing w:val="-8"/>
          <w:w w:val="105"/>
          <w:position w:val="8"/>
          <w:sz w:val="12"/>
        </w:rPr>
        <w:t>+</w:t>
      </w:r>
      <w:r>
        <w:rPr>
          <w:color w:val="231F20"/>
          <w:spacing w:val="-8"/>
          <w:w w:val="105"/>
        </w:rPr>
        <w:t>. </w:t>
      </w:r>
      <w:r>
        <w:rPr>
          <w:color w:val="231F20"/>
          <w:w w:val="105"/>
        </w:rPr>
        <w:t>Therefore, the number of milliequivalents of</w:t>
      </w:r>
      <w:r>
        <w:rPr>
          <w:color w:val="231F20"/>
          <w:spacing w:val="17"/>
          <w:w w:val="105"/>
        </w:rPr>
        <w:t> </w:t>
      </w:r>
      <w:r>
        <w:rPr>
          <w:color w:val="231F20"/>
          <w:spacing w:val="-3"/>
          <w:w w:val="105"/>
        </w:rPr>
        <w:t>NaOH</w:t>
      </w:r>
    </w:p>
    <w:p>
      <w:pPr>
        <w:spacing w:line="247" w:lineRule="auto" w:before="11"/>
        <w:ind w:left="319" w:right="1437" w:firstLine="240"/>
        <w:jc w:val="both"/>
        <w:rPr>
          <w:sz w:val="20"/>
        </w:rPr>
      </w:pPr>
      <w:r>
        <w:rPr/>
        <w:br w:type="column"/>
      </w:r>
      <w:r>
        <w:rPr>
          <w:color w:val="231F20"/>
          <w:sz w:val="20"/>
        </w:rPr>
        <w:t>In alkalosis, titratable acid and NH </w:t>
      </w:r>
      <w:r>
        <w:rPr>
          <w:rFonts w:ascii="Consolas" w:hAnsi="Consolas"/>
          <w:color w:val="231F20"/>
          <w:position w:val="8"/>
          <w:sz w:val="12"/>
        </w:rPr>
        <w:t>+ </w:t>
      </w:r>
      <w:r>
        <w:rPr>
          <w:color w:val="231F20"/>
          <w:sz w:val="20"/>
        </w:rPr>
        <w:t>excretion drop </w:t>
      </w:r>
      <w:r>
        <w:rPr>
          <w:color w:val="231F20"/>
          <w:spacing w:val="-7"/>
          <w:sz w:val="20"/>
        </w:rPr>
        <w:t>to </w:t>
      </w:r>
      <w:r>
        <w:rPr>
          <w:color w:val="231F20"/>
          <w:sz w:val="20"/>
        </w:rPr>
        <w:t>0, whereas HCO </w:t>
      </w:r>
      <w:r>
        <w:rPr>
          <w:rFonts w:ascii="Consolas" w:hAnsi="Consolas"/>
          <w:color w:val="231F20"/>
          <w:position w:val="8"/>
          <w:sz w:val="12"/>
        </w:rPr>
        <w:t>− </w:t>
      </w:r>
      <w:r>
        <w:rPr>
          <w:color w:val="231F20"/>
          <w:sz w:val="20"/>
        </w:rPr>
        <w:t>excretion increases. </w:t>
      </w:r>
      <w:r>
        <w:rPr>
          <w:i/>
          <w:color w:val="231F20"/>
          <w:sz w:val="20"/>
        </w:rPr>
        <w:t>Therefore, in alka- </w:t>
      </w:r>
      <w:r>
        <w:rPr>
          <w:i/>
          <w:color w:val="231F20"/>
          <w:sz w:val="20"/>
        </w:rPr>
        <w:t>losis, there is a negative net acid secretion, </w:t>
      </w:r>
      <w:r>
        <w:rPr>
          <w:color w:val="231F20"/>
          <w:sz w:val="20"/>
        </w:rPr>
        <w:t>which </w:t>
      </w:r>
      <w:r>
        <w:rPr>
          <w:color w:val="231F20"/>
          <w:spacing w:val="-3"/>
          <w:sz w:val="20"/>
        </w:rPr>
        <w:t>means </w:t>
      </w:r>
      <w:r>
        <w:rPr>
          <w:color w:val="231F20"/>
          <w:sz w:val="20"/>
        </w:rPr>
        <w:t>that there is a net loss of HCO </w:t>
      </w:r>
      <w:r>
        <w:rPr>
          <w:rFonts w:ascii="Consolas" w:hAnsi="Consolas"/>
          <w:color w:val="231F20"/>
          <w:position w:val="8"/>
          <w:sz w:val="12"/>
        </w:rPr>
        <w:t>− </w:t>
      </w:r>
      <w:r>
        <w:rPr>
          <w:color w:val="231F20"/>
          <w:sz w:val="20"/>
        </w:rPr>
        <w:t>from the blood (which    is the same as adding H</w:t>
      </w:r>
      <w:r>
        <w:rPr>
          <w:rFonts w:ascii="Consolas" w:hAnsi="Consolas"/>
          <w:color w:val="231F20"/>
          <w:position w:val="8"/>
          <w:sz w:val="12"/>
        </w:rPr>
        <w:t>+ </w:t>
      </w:r>
      <w:r>
        <w:rPr>
          <w:color w:val="231F20"/>
          <w:sz w:val="20"/>
        </w:rPr>
        <w:t>to the blood) and that no new HCO </w:t>
      </w:r>
      <w:r>
        <w:rPr>
          <w:rFonts w:ascii="Consolas" w:hAnsi="Consolas"/>
          <w:color w:val="231F20"/>
          <w:position w:val="8"/>
          <w:sz w:val="12"/>
        </w:rPr>
        <w:t>− </w:t>
      </w:r>
      <w:r>
        <w:rPr>
          <w:color w:val="231F20"/>
          <w:sz w:val="20"/>
        </w:rPr>
        <w:t>is generated by the</w:t>
      </w:r>
      <w:r>
        <w:rPr>
          <w:color w:val="231F20"/>
          <w:spacing w:val="31"/>
          <w:sz w:val="20"/>
        </w:rPr>
        <w:t> </w:t>
      </w:r>
      <w:r>
        <w:rPr>
          <w:color w:val="231F20"/>
          <w:sz w:val="20"/>
        </w:rPr>
        <w:t>kidneys.</w:t>
      </w:r>
    </w:p>
    <w:p>
      <w:pPr>
        <w:pStyle w:val="BodyText"/>
        <w:spacing w:before="2"/>
        <w:rPr>
          <w:sz w:val="31"/>
        </w:rPr>
      </w:pPr>
    </w:p>
    <w:p>
      <w:pPr>
        <w:pStyle w:val="Heading2"/>
        <w:spacing w:line="223" w:lineRule="auto"/>
        <w:ind w:right="2554"/>
      </w:pPr>
      <w:r>
        <w:rPr/>
        <w:pict>
          <v:shape style="position:absolute;margin-left:328.459503pt;margin-top:-24.468395pt;width:3pt;height:8.7pt;mso-position-horizontal-relative:page;mso-position-vertical-relative:paragraph;z-index:-2723614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REGULATION OF RENAL TUBULAR H</w:t>
      </w:r>
      <w:r>
        <w:rPr>
          <w:rFonts w:ascii="Consolas"/>
          <w:color w:val="231F20"/>
          <w:position w:val="9"/>
          <w:sz w:val="13"/>
        </w:rPr>
        <w:t>+ </w:t>
      </w:r>
      <w:r>
        <w:rPr>
          <w:color w:val="231F20"/>
        </w:rPr>
        <w:t>SECRETION</w:t>
      </w:r>
    </w:p>
    <w:p>
      <w:pPr>
        <w:pStyle w:val="BodyText"/>
        <w:spacing w:line="247" w:lineRule="auto" w:before="123"/>
        <w:ind w:left="319" w:right="1437"/>
        <w:jc w:val="both"/>
      </w:pPr>
      <w:r>
        <w:rPr/>
        <w:pict>
          <v:shape style="position:absolute;margin-left:438.881195pt;margin-top:23.595526pt;width:3pt;height:8.7pt;mso-position-horizontal-relative:page;mso-position-vertical-relative:paragraph;z-index:-2723604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98.49469pt;margin-top:35.595524pt;width:3pt;height:8.7pt;mso-position-horizontal-relative:page;mso-position-vertical-relative:paragraph;z-index:-27235942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89.002686pt;margin-top:95.595528pt;width:3pt;height:8.7pt;mso-position-horizontal-relative:page;mso-position-vertical-relative:paragraph;z-index:-27235840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00.197601pt;margin-top:119.595528pt;width:3pt;height:8.7pt;mso-position-horizontal-relative:page;mso-position-vertical-relative:paragraph;z-index:-272357376"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rPr>
        <w:t>As discussed </w:t>
      </w:r>
      <w:r>
        <w:rPr>
          <w:color w:val="231F20"/>
          <w:spacing w:val="-3"/>
          <w:w w:val="105"/>
        </w:rPr>
        <w:t>earlier, </w:t>
      </w:r>
      <w:r>
        <w:rPr>
          <w:color w:val="231F20"/>
          <w:w w:val="105"/>
        </w:rPr>
        <w:t>H</w:t>
      </w:r>
      <w:r>
        <w:rPr>
          <w:rFonts w:ascii="Consolas" w:hAnsi="Consolas"/>
          <w:color w:val="231F20"/>
          <w:w w:val="105"/>
          <w:position w:val="8"/>
          <w:sz w:val="12"/>
        </w:rPr>
        <w:t>+ </w:t>
      </w:r>
      <w:r>
        <w:rPr>
          <w:color w:val="231F20"/>
          <w:w w:val="105"/>
        </w:rPr>
        <w:t>secretion by the tubular epithe- lium is necessary for both HCO </w:t>
      </w:r>
      <w:r>
        <w:rPr>
          <w:rFonts w:ascii="Consolas" w:hAnsi="Consolas"/>
          <w:color w:val="231F20"/>
          <w:w w:val="105"/>
          <w:position w:val="8"/>
          <w:sz w:val="12"/>
        </w:rPr>
        <w:t>− </w:t>
      </w:r>
      <w:r>
        <w:rPr>
          <w:color w:val="231F20"/>
          <w:w w:val="105"/>
        </w:rPr>
        <w:t>reabsorption and </w:t>
      </w:r>
      <w:r>
        <w:rPr>
          <w:color w:val="231F20"/>
          <w:spacing w:val="-4"/>
          <w:w w:val="105"/>
        </w:rPr>
        <w:t>gen- </w:t>
      </w:r>
      <w:r>
        <w:rPr>
          <w:color w:val="231F20"/>
          <w:w w:val="105"/>
        </w:rPr>
        <w:t>eration of new HCO </w:t>
      </w:r>
      <w:r>
        <w:rPr>
          <w:rFonts w:ascii="Consolas" w:hAnsi="Consolas"/>
          <w:color w:val="231F20"/>
          <w:w w:val="105"/>
          <w:position w:val="8"/>
          <w:sz w:val="12"/>
        </w:rPr>
        <w:t>− </w:t>
      </w:r>
      <w:r>
        <w:rPr>
          <w:color w:val="231F20"/>
          <w:w w:val="105"/>
        </w:rPr>
        <w:t>associated with titratable acid formation. Therefore, the rate of H</w:t>
      </w:r>
      <w:r>
        <w:rPr>
          <w:rFonts w:ascii="Consolas" w:hAnsi="Consolas"/>
          <w:color w:val="231F20"/>
          <w:w w:val="105"/>
          <w:position w:val="8"/>
          <w:sz w:val="12"/>
        </w:rPr>
        <w:t>+ </w:t>
      </w:r>
      <w:r>
        <w:rPr>
          <w:color w:val="231F20"/>
          <w:w w:val="105"/>
        </w:rPr>
        <w:t>secretion must </w:t>
      </w:r>
      <w:r>
        <w:rPr>
          <w:color w:val="231F20"/>
          <w:spacing w:val="-5"/>
          <w:w w:val="105"/>
        </w:rPr>
        <w:t>be </w:t>
      </w:r>
      <w:r>
        <w:rPr>
          <w:color w:val="231F20"/>
          <w:w w:val="105"/>
        </w:rPr>
        <w:t>carefully</w:t>
      </w:r>
      <w:r>
        <w:rPr>
          <w:color w:val="231F20"/>
          <w:spacing w:val="-38"/>
          <w:w w:val="105"/>
        </w:rPr>
        <w:t> </w:t>
      </w:r>
      <w:r>
        <w:rPr>
          <w:color w:val="231F20"/>
          <w:w w:val="105"/>
        </w:rPr>
        <w:t>regulated</w:t>
      </w:r>
      <w:r>
        <w:rPr>
          <w:color w:val="231F20"/>
          <w:spacing w:val="-38"/>
          <w:w w:val="105"/>
        </w:rPr>
        <w:t> </w:t>
      </w:r>
      <w:r>
        <w:rPr>
          <w:color w:val="231F20"/>
          <w:w w:val="105"/>
        </w:rPr>
        <w:t>if</w:t>
      </w:r>
      <w:r>
        <w:rPr>
          <w:color w:val="231F20"/>
          <w:spacing w:val="-38"/>
          <w:w w:val="105"/>
        </w:rPr>
        <w:t> </w:t>
      </w:r>
      <w:r>
        <w:rPr>
          <w:color w:val="231F20"/>
          <w:w w:val="105"/>
        </w:rPr>
        <w:t>the</w:t>
      </w:r>
      <w:r>
        <w:rPr>
          <w:color w:val="231F20"/>
          <w:spacing w:val="-38"/>
          <w:w w:val="105"/>
        </w:rPr>
        <w:t> </w:t>
      </w:r>
      <w:r>
        <w:rPr>
          <w:color w:val="231F20"/>
          <w:w w:val="105"/>
        </w:rPr>
        <w:t>kidneys</w:t>
      </w:r>
      <w:r>
        <w:rPr>
          <w:color w:val="231F20"/>
          <w:spacing w:val="-38"/>
          <w:w w:val="105"/>
        </w:rPr>
        <w:t> </w:t>
      </w:r>
      <w:r>
        <w:rPr>
          <w:color w:val="231F20"/>
          <w:w w:val="105"/>
        </w:rPr>
        <w:t>are</w:t>
      </w:r>
      <w:r>
        <w:rPr>
          <w:color w:val="231F20"/>
          <w:spacing w:val="-37"/>
          <w:w w:val="105"/>
        </w:rPr>
        <w:t> </w:t>
      </w:r>
      <w:r>
        <w:rPr>
          <w:color w:val="231F20"/>
          <w:w w:val="105"/>
        </w:rPr>
        <w:t>to</w:t>
      </w:r>
      <w:r>
        <w:rPr>
          <w:color w:val="231F20"/>
          <w:spacing w:val="-38"/>
          <w:w w:val="105"/>
        </w:rPr>
        <w:t> </w:t>
      </w:r>
      <w:r>
        <w:rPr>
          <w:color w:val="231F20"/>
          <w:w w:val="105"/>
        </w:rPr>
        <w:t>effectively</w:t>
      </w:r>
      <w:r>
        <w:rPr>
          <w:color w:val="231F20"/>
          <w:spacing w:val="-38"/>
          <w:w w:val="105"/>
        </w:rPr>
        <w:t> </w:t>
      </w:r>
      <w:r>
        <w:rPr>
          <w:color w:val="231F20"/>
          <w:w w:val="105"/>
        </w:rPr>
        <w:t>perform their functions in acid-base homeostasis. Under </w:t>
      </w:r>
      <w:r>
        <w:rPr>
          <w:color w:val="231F20"/>
          <w:spacing w:val="-3"/>
          <w:w w:val="105"/>
        </w:rPr>
        <w:t>normal </w:t>
      </w:r>
      <w:r>
        <w:rPr>
          <w:color w:val="231F20"/>
          <w:w w:val="105"/>
        </w:rPr>
        <w:t>conditions, the kidney tubules must secrete at least enough H</w:t>
      </w:r>
      <w:r>
        <w:rPr>
          <w:rFonts w:ascii="Consolas" w:hAnsi="Consolas"/>
          <w:color w:val="231F20"/>
          <w:w w:val="105"/>
          <w:position w:val="8"/>
          <w:sz w:val="12"/>
        </w:rPr>
        <w:t>+ </w:t>
      </w:r>
      <w:r>
        <w:rPr>
          <w:color w:val="231F20"/>
          <w:w w:val="105"/>
        </w:rPr>
        <w:t>to reabsorb almost all the HCO </w:t>
      </w:r>
      <w:r>
        <w:rPr>
          <w:rFonts w:ascii="Consolas" w:hAnsi="Consolas"/>
          <w:color w:val="231F20"/>
          <w:w w:val="105"/>
          <w:position w:val="8"/>
          <w:sz w:val="12"/>
        </w:rPr>
        <w:t>− </w:t>
      </w:r>
      <w:r>
        <w:rPr>
          <w:color w:val="231F20"/>
          <w:w w:val="105"/>
        </w:rPr>
        <w:t>that is fil- tered,</w:t>
      </w:r>
      <w:r>
        <w:rPr>
          <w:color w:val="231F20"/>
          <w:spacing w:val="-26"/>
          <w:w w:val="105"/>
        </w:rPr>
        <w:t> </w:t>
      </w:r>
      <w:r>
        <w:rPr>
          <w:color w:val="231F20"/>
          <w:w w:val="105"/>
        </w:rPr>
        <w:t>and</w:t>
      </w:r>
      <w:r>
        <w:rPr>
          <w:color w:val="231F20"/>
          <w:spacing w:val="-25"/>
          <w:w w:val="105"/>
        </w:rPr>
        <w:t> </w:t>
      </w:r>
      <w:r>
        <w:rPr>
          <w:color w:val="231F20"/>
          <w:w w:val="105"/>
        </w:rPr>
        <w:t>there</w:t>
      </w:r>
      <w:r>
        <w:rPr>
          <w:color w:val="231F20"/>
          <w:spacing w:val="-25"/>
          <w:w w:val="105"/>
        </w:rPr>
        <w:t> </w:t>
      </w:r>
      <w:r>
        <w:rPr>
          <w:color w:val="231F20"/>
          <w:w w:val="105"/>
        </w:rPr>
        <w:t>must</w:t>
      </w:r>
      <w:r>
        <w:rPr>
          <w:color w:val="231F20"/>
          <w:spacing w:val="-25"/>
          <w:w w:val="105"/>
        </w:rPr>
        <w:t> </w:t>
      </w:r>
      <w:r>
        <w:rPr>
          <w:color w:val="231F20"/>
          <w:w w:val="105"/>
        </w:rPr>
        <w:t>be</w:t>
      </w:r>
      <w:r>
        <w:rPr>
          <w:color w:val="231F20"/>
          <w:spacing w:val="-26"/>
          <w:w w:val="105"/>
        </w:rPr>
        <w:t> </w:t>
      </w:r>
      <w:r>
        <w:rPr>
          <w:color w:val="231F20"/>
          <w:w w:val="105"/>
        </w:rPr>
        <w:t>enough</w:t>
      </w:r>
      <w:r>
        <w:rPr>
          <w:color w:val="231F20"/>
          <w:spacing w:val="-25"/>
          <w:w w:val="105"/>
        </w:rPr>
        <w:t> </w:t>
      </w:r>
      <w:r>
        <w:rPr>
          <w:color w:val="231F20"/>
          <w:w w:val="105"/>
        </w:rPr>
        <w:t>H</w:t>
      </w:r>
      <w:r>
        <w:rPr>
          <w:rFonts w:ascii="Consolas" w:hAnsi="Consolas"/>
          <w:color w:val="231F20"/>
          <w:w w:val="105"/>
          <w:position w:val="8"/>
          <w:sz w:val="12"/>
        </w:rPr>
        <w:t>+</w:t>
      </w:r>
      <w:r>
        <w:rPr>
          <w:rFonts w:ascii="Consolas" w:hAnsi="Consolas"/>
          <w:color w:val="231F20"/>
          <w:spacing w:val="-42"/>
          <w:w w:val="105"/>
          <w:position w:val="8"/>
          <w:sz w:val="12"/>
        </w:rPr>
        <w:t> </w:t>
      </w:r>
      <w:r>
        <w:rPr>
          <w:color w:val="231F20"/>
          <w:w w:val="105"/>
        </w:rPr>
        <w:t>left</w:t>
      </w:r>
      <w:r>
        <w:rPr>
          <w:color w:val="231F20"/>
          <w:spacing w:val="-25"/>
          <w:w w:val="105"/>
        </w:rPr>
        <w:t> </w:t>
      </w:r>
      <w:r>
        <w:rPr>
          <w:color w:val="231F20"/>
          <w:w w:val="105"/>
        </w:rPr>
        <w:t>over</w:t>
      </w:r>
      <w:r>
        <w:rPr>
          <w:color w:val="231F20"/>
          <w:spacing w:val="-25"/>
          <w:w w:val="105"/>
        </w:rPr>
        <w:t> </w:t>
      </w:r>
      <w:r>
        <w:rPr>
          <w:color w:val="231F20"/>
          <w:w w:val="105"/>
        </w:rPr>
        <w:t>to</w:t>
      </w:r>
      <w:r>
        <w:rPr>
          <w:color w:val="231F20"/>
          <w:spacing w:val="-26"/>
          <w:w w:val="105"/>
        </w:rPr>
        <w:t> </w:t>
      </w:r>
      <w:r>
        <w:rPr>
          <w:color w:val="231F20"/>
          <w:w w:val="105"/>
        </w:rPr>
        <w:t>be</w:t>
      </w:r>
      <w:r>
        <w:rPr>
          <w:color w:val="231F20"/>
          <w:spacing w:val="-25"/>
          <w:w w:val="105"/>
        </w:rPr>
        <w:t> </w:t>
      </w:r>
      <w:r>
        <w:rPr>
          <w:color w:val="231F20"/>
          <w:w w:val="105"/>
        </w:rPr>
        <w:t>excreted as</w:t>
      </w:r>
      <w:r>
        <w:rPr>
          <w:color w:val="231F20"/>
          <w:spacing w:val="-21"/>
          <w:w w:val="105"/>
        </w:rPr>
        <w:t> </w:t>
      </w:r>
      <w:r>
        <w:rPr>
          <w:color w:val="231F20"/>
          <w:w w:val="105"/>
        </w:rPr>
        <w:t>titratable</w:t>
      </w:r>
      <w:r>
        <w:rPr>
          <w:color w:val="231F20"/>
          <w:spacing w:val="-21"/>
          <w:w w:val="105"/>
        </w:rPr>
        <w:t> </w:t>
      </w:r>
      <w:r>
        <w:rPr>
          <w:color w:val="231F20"/>
          <w:w w:val="105"/>
        </w:rPr>
        <w:t>acid</w:t>
      </w:r>
      <w:r>
        <w:rPr>
          <w:color w:val="231F20"/>
          <w:spacing w:val="-21"/>
          <w:w w:val="105"/>
        </w:rPr>
        <w:t> </w:t>
      </w:r>
      <w:r>
        <w:rPr>
          <w:color w:val="231F20"/>
          <w:w w:val="105"/>
        </w:rPr>
        <w:t>or</w:t>
      </w:r>
      <w:r>
        <w:rPr>
          <w:color w:val="231F20"/>
          <w:spacing w:val="-20"/>
          <w:w w:val="105"/>
        </w:rPr>
        <w:t> </w:t>
      </w:r>
      <w:r>
        <w:rPr>
          <w:color w:val="231F20"/>
          <w:w w:val="105"/>
        </w:rPr>
        <w:t>NH</w:t>
      </w:r>
      <w:r>
        <w:rPr>
          <w:color w:val="231F20"/>
          <w:spacing w:val="-4"/>
          <w:w w:val="105"/>
        </w:rPr>
        <w:t> </w:t>
      </w:r>
      <w:r>
        <w:rPr>
          <w:rFonts w:ascii="Consolas" w:hAnsi="Consolas"/>
          <w:color w:val="231F20"/>
          <w:w w:val="105"/>
          <w:position w:val="8"/>
          <w:sz w:val="12"/>
        </w:rPr>
        <w:t>+</w:t>
      </w:r>
      <w:r>
        <w:rPr>
          <w:rFonts w:ascii="Consolas" w:hAnsi="Consolas"/>
          <w:color w:val="231F20"/>
          <w:spacing w:val="-37"/>
          <w:w w:val="105"/>
          <w:position w:val="8"/>
          <w:sz w:val="12"/>
        </w:rPr>
        <w:t> </w:t>
      </w:r>
      <w:r>
        <w:rPr>
          <w:color w:val="231F20"/>
          <w:w w:val="105"/>
        </w:rPr>
        <w:t>to</w:t>
      </w:r>
      <w:r>
        <w:rPr>
          <w:color w:val="231F20"/>
          <w:spacing w:val="-21"/>
          <w:w w:val="105"/>
        </w:rPr>
        <w:t> </w:t>
      </w:r>
      <w:r>
        <w:rPr>
          <w:color w:val="231F20"/>
          <w:w w:val="105"/>
        </w:rPr>
        <w:t>rid</w:t>
      </w:r>
      <w:r>
        <w:rPr>
          <w:color w:val="231F20"/>
          <w:spacing w:val="-21"/>
          <w:w w:val="105"/>
        </w:rPr>
        <w:t> </w:t>
      </w:r>
      <w:r>
        <w:rPr>
          <w:color w:val="231F20"/>
          <w:w w:val="105"/>
        </w:rPr>
        <w:t>the</w:t>
      </w:r>
      <w:r>
        <w:rPr>
          <w:color w:val="231F20"/>
          <w:spacing w:val="-20"/>
          <w:w w:val="105"/>
        </w:rPr>
        <w:t> </w:t>
      </w:r>
      <w:r>
        <w:rPr>
          <w:color w:val="231F20"/>
          <w:w w:val="105"/>
        </w:rPr>
        <w:t>body</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nonvolatile acids produced each day from</w:t>
      </w:r>
      <w:r>
        <w:rPr>
          <w:color w:val="231F20"/>
          <w:spacing w:val="2"/>
          <w:w w:val="105"/>
        </w:rPr>
        <w:t> </w:t>
      </w:r>
      <w:r>
        <w:rPr>
          <w:color w:val="231F20"/>
          <w:w w:val="105"/>
        </w:rPr>
        <w:t>metabolism.</w:t>
      </w:r>
    </w:p>
    <w:p>
      <w:pPr>
        <w:pStyle w:val="BodyText"/>
        <w:spacing w:line="247" w:lineRule="auto" w:before="9"/>
        <w:ind w:left="319" w:right="1437" w:firstLine="240"/>
        <w:jc w:val="both"/>
        <w:rPr>
          <w:i/>
        </w:rPr>
      </w:pPr>
      <w:r>
        <w:rPr/>
        <w:pict>
          <v:shape style="position:absolute;margin-left:476.177887pt;margin-top:17.895525pt;width:3pt;height:8.7pt;mso-position-horizontal-relative:page;mso-position-vertical-relative:paragraph;z-index:-27235635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62.098511pt;margin-top:29.895525pt;width:3pt;height:8.7pt;mso-position-horizontal-relative:page;mso-position-vertical-relative:paragraph;z-index:-27235532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33.754028pt;margin-top:65.895523pt;width:3pt;height:8.7pt;mso-position-horizontal-relative:page;mso-position-vertical-relative:paragraph;z-index:-27235430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87.5047pt;margin-top:101.895523pt;width:3pt;height:8.7pt;mso-position-horizontal-relative:page;mso-position-vertical-relative:paragraph;z-index:-27235328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95.503815pt;margin-top:113.895523pt;width:3pt;height:8.7pt;mso-position-horizontal-relative:page;mso-position-vertical-relative:paragraph;z-index:-272352256"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460.984894pt;margin-top:125.895523pt;width:3pt;height:8.7pt;mso-position-horizontal-relative:page;mso-position-vertical-relative:paragraph;z-index:-27235123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In</w:t>
      </w:r>
      <w:r>
        <w:rPr>
          <w:color w:val="231F20"/>
          <w:spacing w:val="-27"/>
          <w:w w:val="105"/>
        </w:rPr>
        <w:t> </w:t>
      </w:r>
      <w:r>
        <w:rPr>
          <w:color w:val="231F20"/>
          <w:w w:val="105"/>
        </w:rPr>
        <w:t>alkalosis,</w:t>
      </w:r>
      <w:r>
        <w:rPr>
          <w:color w:val="231F20"/>
          <w:spacing w:val="-26"/>
          <w:w w:val="105"/>
        </w:rPr>
        <w:t> </w:t>
      </w:r>
      <w:r>
        <w:rPr>
          <w:color w:val="231F20"/>
          <w:w w:val="105"/>
        </w:rPr>
        <w:t>tubular</w:t>
      </w:r>
      <w:r>
        <w:rPr>
          <w:color w:val="231F20"/>
          <w:spacing w:val="-26"/>
          <w:w w:val="105"/>
        </w:rPr>
        <w:t> </w:t>
      </w:r>
      <w:r>
        <w:rPr>
          <w:color w:val="231F20"/>
          <w:w w:val="105"/>
        </w:rPr>
        <w:t>secretion</w:t>
      </w:r>
      <w:r>
        <w:rPr>
          <w:color w:val="231F20"/>
          <w:spacing w:val="-26"/>
          <w:w w:val="105"/>
        </w:rPr>
        <w:t> </w:t>
      </w:r>
      <w:r>
        <w:rPr>
          <w:color w:val="231F20"/>
          <w:w w:val="105"/>
        </w:rPr>
        <w:t>of</w:t>
      </w:r>
      <w:r>
        <w:rPr>
          <w:color w:val="231F20"/>
          <w:spacing w:val="-26"/>
          <w:w w:val="105"/>
        </w:rPr>
        <w:t> </w:t>
      </w:r>
      <w:r>
        <w:rPr>
          <w:color w:val="231F20"/>
          <w:w w:val="105"/>
        </w:rPr>
        <w:t>H</w:t>
      </w:r>
      <w:r>
        <w:rPr>
          <w:rFonts w:ascii="Consolas" w:hAnsi="Consolas"/>
          <w:color w:val="231F20"/>
          <w:w w:val="105"/>
          <w:position w:val="8"/>
          <w:sz w:val="12"/>
        </w:rPr>
        <w:t>+</w:t>
      </w:r>
      <w:r>
        <w:rPr>
          <w:rFonts w:ascii="Consolas" w:hAnsi="Consolas"/>
          <w:color w:val="231F20"/>
          <w:spacing w:val="-43"/>
          <w:w w:val="105"/>
          <w:position w:val="8"/>
          <w:sz w:val="12"/>
        </w:rPr>
        <w:t> </w:t>
      </w:r>
      <w:r>
        <w:rPr>
          <w:color w:val="231F20"/>
          <w:w w:val="105"/>
        </w:rPr>
        <w:t>is</w:t>
      </w:r>
      <w:r>
        <w:rPr>
          <w:color w:val="231F20"/>
          <w:spacing w:val="-26"/>
          <w:w w:val="105"/>
        </w:rPr>
        <w:t> </w:t>
      </w:r>
      <w:r>
        <w:rPr>
          <w:color w:val="231F20"/>
          <w:w w:val="105"/>
        </w:rPr>
        <w:t>reduced</w:t>
      </w:r>
      <w:r>
        <w:rPr>
          <w:color w:val="231F20"/>
          <w:spacing w:val="-26"/>
          <w:w w:val="105"/>
        </w:rPr>
        <w:t> </w:t>
      </w:r>
      <w:r>
        <w:rPr>
          <w:color w:val="231F20"/>
          <w:w w:val="105"/>
        </w:rPr>
        <w:t>to</w:t>
      </w:r>
      <w:r>
        <w:rPr>
          <w:color w:val="231F20"/>
          <w:spacing w:val="-26"/>
          <w:w w:val="105"/>
        </w:rPr>
        <w:t> </w:t>
      </w:r>
      <w:r>
        <w:rPr>
          <w:color w:val="231F20"/>
          <w:w w:val="105"/>
        </w:rPr>
        <w:t>a</w:t>
      </w:r>
      <w:r>
        <w:rPr>
          <w:color w:val="231F20"/>
          <w:spacing w:val="-26"/>
          <w:w w:val="105"/>
        </w:rPr>
        <w:t> </w:t>
      </w:r>
      <w:r>
        <w:rPr>
          <w:color w:val="231F20"/>
          <w:spacing w:val="-3"/>
          <w:w w:val="105"/>
        </w:rPr>
        <w:t>level </w:t>
      </w:r>
      <w:r>
        <w:rPr>
          <w:color w:val="231F20"/>
          <w:w w:val="105"/>
        </w:rPr>
        <w:t>that is too low to achieve complete HCO </w:t>
      </w:r>
      <w:r>
        <w:rPr>
          <w:rFonts w:ascii="Consolas" w:hAnsi="Consolas"/>
          <w:color w:val="231F20"/>
          <w:w w:val="105"/>
          <w:position w:val="8"/>
          <w:sz w:val="12"/>
        </w:rPr>
        <w:t>−</w:t>
      </w:r>
      <w:r>
        <w:rPr>
          <w:rFonts w:ascii="Consolas" w:hAnsi="Consolas"/>
          <w:color w:val="231F20"/>
          <w:spacing w:val="-44"/>
          <w:w w:val="105"/>
          <w:position w:val="8"/>
          <w:sz w:val="12"/>
        </w:rPr>
        <w:t> </w:t>
      </w:r>
      <w:r>
        <w:rPr>
          <w:color w:val="231F20"/>
          <w:w w:val="105"/>
        </w:rPr>
        <w:t>reabsorption, enabling</w:t>
      </w:r>
      <w:r>
        <w:rPr>
          <w:color w:val="231F20"/>
          <w:spacing w:val="-13"/>
          <w:w w:val="105"/>
        </w:rPr>
        <w:t> </w:t>
      </w:r>
      <w:r>
        <w:rPr>
          <w:color w:val="231F20"/>
          <w:w w:val="105"/>
        </w:rPr>
        <w:t>the</w:t>
      </w:r>
      <w:r>
        <w:rPr>
          <w:color w:val="231F20"/>
          <w:spacing w:val="-13"/>
          <w:w w:val="105"/>
        </w:rPr>
        <w:t> </w:t>
      </w:r>
      <w:r>
        <w:rPr>
          <w:color w:val="231F20"/>
          <w:w w:val="105"/>
        </w:rPr>
        <w:t>kidneys</w:t>
      </w:r>
      <w:r>
        <w:rPr>
          <w:color w:val="231F20"/>
          <w:spacing w:val="-13"/>
          <w:w w:val="105"/>
        </w:rPr>
        <w:t> </w:t>
      </w:r>
      <w:r>
        <w:rPr>
          <w:color w:val="231F20"/>
          <w:w w:val="105"/>
        </w:rPr>
        <w:t>to</w:t>
      </w:r>
      <w:r>
        <w:rPr>
          <w:color w:val="231F20"/>
          <w:spacing w:val="-13"/>
          <w:w w:val="105"/>
        </w:rPr>
        <w:t> </w:t>
      </w:r>
      <w:r>
        <w:rPr>
          <w:color w:val="231F20"/>
          <w:w w:val="105"/>
        </w:rPr>
        <w:t>increase</w:t>
      </w:r>
      <w:r>
        <w:rPr>
          <w:color w:val="231F20"/>
          <w:spacing w:val="-13"/>
          <w:w w:val="105"/>
        </w:rPr>
        <w:t> </w:t>
      </w:r>
      <w:r>
        <w:rPr>
          <w:color w:val="231F20"/>
          <w:w w:val="105"/>
        </w:rPr>
        <w:t>HCO</w:t>
      </w:r>
      <w:r>
        <w:rPr>
          <w:color w:val="231F20"/>
          <w:spacing w:val="-5"/>
          <w:w w:val="105"/>
        </w:rPr>
        <w:t> </w:t>
      </w:r>
      <w:r>
        <w:rPr>
          <w:rFonts w:ascii="Consolas" w:hAnsi="Consolas"/>
          <w:color w:val="231F20"/>
          <w:w w:val="105"/>
          <w:position w:val="8"/>
          <w:sz w:val="12"/>
        </w:rPr>
        <w:t>−</w:t>
      </w:r>
      <w:r>
        <w:rPr>
          <w:rFonts w:ascii="Consolas" w:hAnsi="Consolas"/>
          <w:color w:val="231F20"/>
          <w:spacing w:val="-30"/>
          <w:w w:val="105"/>
          <w:position w:val="8"/>
          <w:sz w:val="12"/>
        </w:rPr>
        <w:t> </w:t>
      </w:r>
      <w:r>
        <w:rPr>
          <w:color w:val="231F20"/>
          <w:w w:val="105"/>
        </w:rPr>
        <w:t>excretion.</w:t>
      </w:r>
      <w:r>
        <w:rPr>
          <w:color w:val="231F20"/>
          <w:spacing w:val="-13"/>
          <w:w w:val="105"/>
        </w:rPr>
        <w:t> </w:t>
      </w:r>
      <w:r>
        <w:rPr>
          <w:color w:val="231F20"/>
          <w:w w:val="105"/>
        </w:rPr>
        <w:t>In</w:t>
      </w:r>
      <w:r>
        <w:rPr>
          <w:color w:val="231F20"/>
          <w:spacing w:val="-13"/>
          <w:w w:val="105"/>
        </w:rPr>
        <w:t> </w:t>
      </w:r>
      <w:r>
        <w:rPr>
          <w:color w:val="231F20"/>
          <w:w w:val="105"/>
        </w:rPr>
        <w:t>this condition, titratable acid and ammonia are not excreted because there is no excess H</w:t>
      </w:r>
      <w:r>
        <w:rPr>
          <w:rFonts w:ascii="Consolas" w:hAnsi="Consolas"/>
          <w:color w:val="231F20"/>
          <w:w w:val="105"/>
          <w:position w:val="8"/>
          <w:sz w:val="12"/>
        </w:rPr>
        <w:t>+ </w:t>
      </w:r>
      <w:r>
        <w:rPr>
          <w:color w:val="231F20"/>
          <w:w w:val="105"/>
        </w:rPr>
        <w:t>available to combine</w:t>
      </w:r>
      <w:r>
        <w:rPr>
          <w:color w:val="231F20"/>
          <w:spacing w:val="-37"/>
          <w:w w:val="105"/>
        </w:rPr>
        <w:t> </w:t>
      </w:r>
      <w:r>
        <w:rPr>
          <w:color w:val="231F20"/>
          <w:w w:val="105"/>
        </w:rPr>
        <w:t>with nonbicarbonate</w:t>
      </w:r>
      <w:r>
        <w:rPr>
          <w:color w:val="231F20"/>
          <w:spacing w:val="-19"/>
          <w:w w:val="105"/>
        </w:rPr>
        <w:t> </w:t>
      </w:r>
      <w:r>
        <w:rPr>
          <w:color w:val="231F20"/>
          <w:w w:val="105"/>
        </w:rPr>
        <w:t>buffers;</w:t>
      </w:r>
      <w:r>
        <w:rPr>
          <w:color w:val="231F20"/>
          <w:spacing w:val="-18"/>
          <w:w w:val="105"/>
        </w:rPr>
        <w:t> </w:t>
      </w:r>
      <w:r>
        <w:rPr>
          <w:color w:val="231F20"/>
          <w:w w:val="105"/>
        </w:rPr>
        <w:t>therefore,</w:t>
      </w:r>
      <w:r>
        <w:rPr>
          <w:color w:val="231F20"/>
          <w:spacing w:val="-18"/>
          <w:w w:val="105"/>
        </w:rPr>
        <w:t> </w:t>
      </w:r>
      <w:r>
        <w:rPr>
          <w:color w:val="231F20"/>
          <w:w w:val="105"/>
        </w:rPr>
        <w:t>there</w:t>
      </w:r>
      <w:r>
        <w:rPr>
          <w:color w:val="231F20"/>
          <w:spacing w:val="-18"/>
          <w:w w:val="105"/>
        </w:rPr>
        <w:t> </w:t>
      </w:r>
      <w:r>
        <w:rPr>
          <w:color w:val="231F20"/>
          <w:w w:val="105"/>
        </w:rPr>
        <w:t>is</w:t>
      </w:r>
      <w:r>
        <w:rPr>
          <w:color w:val="231F20"/>
          <w:spacing w:val="-18"/>
          <w:w w:val="105"/>
        </w:rPr>
        <w:t> </w:t>
      </w:r>
      <w:r>
        <w:rPr>
          <w:color w:val="231F20"/>
          <w:w w:val="105"/>
        </w:rPr>
        <w:t>no</w:t>
      </w:r>
      <w:r>
        <w:rPr>
          <w:color w:val="231F20"/>
          <w:spacing w:val="-18"/>
          <w:w w:val="105"/>
        </w:rPr>
        <w:t> </w:t>
      </w:r>
      <w:r>
        <w:rPr>
          <w:color w:val="231F20"/>
          <w:w w:val="105"/>
        </w:rPr>
        <w:t>new</w:t>
      </w:r>
      <w:r>
        <w:rPr>
          <w:color w:val="231F20"/>
          <w:spacing w:val="-18"/>
          <w:w w:val="105"/>
        </w:rPr>
        <w:t> </w:t>
      </w:r>
      <w:r>
        <w:rPr>
          <w:color w:val="231F20"/>
          <w:w w:val="105"/>
        </w:rPr>
        <w:t>HCO</w:t>
      </w:r>
      <w:r>
        <w:rPr>
          <w:color w:val="231F20"/>
          <w:spacing w:val="-5"/>
          <w:w w:val="105"/>
        </w:rPr>
        <w:t> </w:t>
      </w:r>
      <w:r>
        <w:rPr>
          <w:rFonts w:ascii="Consolas" w:hAnsi="Consolas"/>
          <w:color w:val="231F20"/>
          <w:spacing w:val="-11"/>
          <w:w w:val="105"/>
          <w:position w:val="8"/>
          <w:sz w:val="12"/>
        </w:rPr>
        <w:t>− </w:t>
      </w:r>
      <w:r>
        <w:rPr>
          <w:color w:val="231F20"/>
          <w:w w:val="105"/>
        </w:rPr>
        <w:t>added to the blood in alkalosis. During acidosis, </w:t>
      </w:r>
      <w:r>
        <w:rPr>
          <w:color w:val="231F20"/>
          <w:spacing w:val="-5"/>
          <w:w w:val="105"/>
        </w:rPr>
        <w:t>the </w:t>
      </w:r>
      <w:r>
        <w:rPr>
          <w:color w:val="231F20"/>
          <w:w w:val="105"/>
        </w:rPr>
        <w:t>tubular</w:t>
      </w:r>
      <w:r>
        <w:rPr>
          <w:color w:val="231F20"/>
          <w:spacing w:val="-7"/>
          <w:w w:val="105"/>
        </w:rPr>
        <w:t> </w:t>
      </w:r>
      <w:r>
        <w:rPr>
          <w:color w:val="231F20"/>
          <w:w w:val="105"/>
        </w:rPr>
        <w:t>H</w:t>
      </w:r>
      <w:r>
        <w:rPr>
          <w:rFonts w:ascii="Consolas" w:hAnsi="Consolas"/>
          <w:color w:val="231F20"/>
          <w:w w:val="105"/>
          <w:position w:val="8"/>
          <w:sz w:val="12"/>
        </w:rPr>
        <w:t>+</w:t>
      </w:r>
      <w:r>
        <w:rPr>
          <w:rFonts w:ascii="Consolas" w:hAnsi="Consolas"/>
          <w:color w:val="231F20"/>
          <w:spacing w:val="-23"/>
          <w:w w:val="105"/>
          <w:position w:val="8"/>
          <w:sz w:val="12"/>
        </w:rPr>
        <w:t> </w:t>
      </w:r>
      <w:r>
        <w:rPr>
          <w:color w:val="231F20"/>
          <w:w w:val="105"/>
        </w:rPr>
        <w:t>secretion</w:t>
      </w:r>
      <w:r>
        <w:rPr>
          <w:color w:val="231F20"/>
          <w:spacing w:val="-6"/>
          <w:w w:val="105"/>
        </w:rPr>
        <w:t> </w:t>
      </w:r>
      <w:r>
        <w:rPr>
          <w:color w:val="231F20"/>
          <w:w w:val="105"/>
        </w:rPr>
        <w:t>is</w:t>
      </w:r>
      <w:r>
        <w:rPr>
          <w:color w:val="231F20"/>
          <w:spacing w:val="-6"/>
          <w:w w:val="105"/>
        </w:rPr>
        <w:t> </w:t>
      </w:r>
      <w:r>
        <w:rPr>
          <w:color w:val="231F20"/>
          <w:w w:val="105"/>
        </w:rPr>
        <w:t>increased</w:t>
      </w:r>
      <w:r>
        <w:rPr>
          <w:color w:val="231F20"/>
          <w:spacing w:val="-6"/>
          <w:w w:val="105"/>
        </w:rPr>
        <w:t> </w:t>
      </w:r>
      <w:r>
        <w:rPr>
          <w:color w:val="231F20"/>
          <w:w w:val="105"/>
        </w:rPr>
        <w:t>sufficiently</w:t>
      </w:r>
      <w:r>
        <w:rPr>
          <w:color w:val="231F20"/>
          <w:spacing w:val="-6"/>
          <w:w w:val="105"/>
        </w:rPr>
        <w:t> </w:t>
      </w:r>
      <w:r>
        <w:rPr>
          <w:color w:val="231F20"/>
          <w:w w:val="105"/>
        </w:rPr>
        <w:t>to</w:t>
      </w:r>
      <w:r>
        <w:rPr>
          <w:color w:val="231F20"/>
          <w:spacing w:val="-6"/>
          <w:w w:val="105"/>
        </w:rPr>
        <w:t> </w:t>
      </w:r>
      <w:r>
        <w:rPr>
          <w:color w:val="231F20"/>
          <w:w w:val="105"/>
        </w:rPr>
        <w:t>reabsorb all</w:t>
      </w:r>
      <w:r>
        <w:rPr>
          <w:color w:val="231F20"/>
          <w:spacing w:val="-13"/>
          <w:w w:val="105"/>
        </w:rPr>
        <w:t> </w:t>
      </w:r>
      <w:r>
        <w:rPr>
          <w:color w:val="231F20"/>
          <w:w w:val="105"/>
        </w:rPr>
        <w:t>the</w:t>
      </w:r>
      <w:r>
        <w:rPr>
          <w:color w:val="231F20"/>
          <w:spacing w:val="-12"/>
          <w:w w:val="105"/>
        </w:rPr>
        <w:t> </w:t>
      </w:r>
      <w:r>
        <w:rPr>
          <w:color w:val="231F20"/>
          <w:w w:val="105"/>
        </w:rPr>
        <w:t>filtered</w:t>
      </w:r>
      <w:r>
        <w:rPr>
          <w:color w:val="231F20"/>
          <w:spacing w:val="-12"/>
          <w:w w:val="105"/>
        </w:rPr>
        <w:t> </w:t>
      </w:r>
      <w:r>
        <w:rPr>
          <w:color w:val="231F20"/>
          <w:w w:val="105"/>
        </w:rPr>
        <w:t>HCO</w:t>
      </w:r>
      <w:r>
        <w:rPr>
          <w:color w:val="231F20"/>
          <w:spacing w:val="-4"/>
          <w:w w:val="105"/>
        </w:rPr>
        <w:t> </w:t>
      </w:r>
      <w:r>
        <w:rPr>
          <w:rFonts w:ascii="Consolas" w:hAnsi="Consolas"/>
          <w:color w:val="231F20"/>
          <w:w w:val="105"/>
          <w:position w:val="8"/>
          <w:sz w:val="12"/>
        </w:rPr>
        <w:t>−</w:t>
      </w:r>
      <w:r>
        <w:rPr>
          <w:rFonts w:ascii="Consolas" w:hAnsi="Consolas"/>
          <w:color w:val="231F20"/>
          <w:spacing w:val="-29"/>
          <w:w w:val="105"/>
          <w:position w:val="8"/>
          <w:sz w:val="12"/>
        </w:rPr>
        <w:t> </w:t>
      </w:r>
      <w:r>
        <w:rPr>
          <w:color w:val="231F20"/>
          <w:w w:val="105"/>
        </w:rPr>
        <w:t>with</w:t>
      </w:r>
      <w:r>
        <w:rPr>
          <w:color w:val="231F20"/>
          <w:spacing w:val="-13"/>
          <w:w w:val="105"/>
        </w:rPr>
        <w:t> </w:t>
      </w:r>
      <w:r>
        <w:rPr>
          <w:color w:val="231F20"/>
          <w:w w:val="105"/>
        </w:rPr>
        <w:t>enough</w:t>
      </w:r>
      <w:r>
        <w:rPr>
          <w:color w:val="231F20"/>
          <w:spacing w:val="-12"/>
          <w:w w:val="105"/>
        </w:rPr>
        <w:t> </w:t>
      </w:r>
      <w:r>
        <w:rPr>
          <w:color w:val="231F20"/>
          <w:w w:val="105"/>
        </w:rPr>
        <w:t>H</w:t>
      </w:r>
      <w:r>
        <w:rPr>
          <w:rFonts w:ascii="Consolas" w:hAnsi="Consolas"/>
          <w:color w:val="231F20"/>
          <w:w w:val="105"/>
          <w:position w:val="8"/>
          <w:sz w:val="12"/>
        </w:rPr>
        <w:t>+</w:t>
      </w:r>
      <w:r>
        <w:rPr>
          <w:rFonts w:ascii="Consolas" w:hAnsi="Consolas"/>
          <w:color w:val="231F20"/>
          <w:spacing w:val="-29"/>
          <w:w w:val="105"/>
          <w:position w:val="8"/>
          <w:sz w:val="12"/>
        </w:rPr>
        <w:t> </w:t>
      </w:r>
      <w:r>
        <w:rPr>
          <w:color w:val="231F20"/>
          <w:w w:val="105"/>
        </w:rPr>
        <w:t>left</w:t>
      </w:r>
      <w:r>
        <w:rPr>
          <w:color w:val="231F20"/>
          <w:spacing w:val="-12"/>
          <w:w w:val="105"/>
        </w:rPr>
        <w:t> </w:t>
      </w:r>
      <w:r>
        <w:rPr>
          <w:color w:val="231F20"/>
          <w:w w:val="105"/>
        </w:rPr>
        <w:t>over</w:t>
      </w:r>
      <w:r>
        <w:rPr>
          <w:color w:val="231F20"/>
          <w:spacing w:val="-12"/>
          <w:w w:val="105"/>
        </w:rPr>
        <w:t> </w:t>
      </w:r>
      <w:r>
        <w:rPr>
          <w:color w:val="231F20"/>
          <w:w w:val="105"/>
        </w:rPr>
        <w:t>to</w:t>
      </w:r>
      <w:r>
        <w:rPr>
          <w:color w:val="231F20"/>
          <w:spacing w:val="-13"/>
          <w:w w:val="105"/>
        </w:rPr>
        <w:t> </w:t>
      </w:r>
      <w:r>
        <w:rPr>
          <w:color w:val="231F20"/>
          <w:w w:val="105"/>
        </w:rPr>
        <w:t>excrete large amounts of NH </w:t>
      </w:r>
      <w:r>
        <w:rPr>
          <w:rFonts w:ascii="Consolas" w:hAnsi="Consolas"/>
          <w:color w:val="231F20"/>
          <w:w w:val="105"/>
          <w:position w:val="8"/>
          <w:sz w:val="12"/>
        </w:rPr>
        <w:t>+ </w:t>
      </w:r>
      <w:r>
        <w:rPr>
          <w:color w:val="231F20"/>
          <w:w w:val="105"/>
        </w:rPr>
        <w:t>and titratable acid, thereby con- tributing large amounts of new HCO </w:t>
      </w:r>
      <w:r>
        <w:rPr>
          <w:rFonts w:ascii="Consolas" w:hAnsi="Consolas"/>
          <w:color w:val="231F20"/>
          <w:w w:val="105"/>
          <w:position w:val="8"/>
          <w:sz w:val="12"/>
        </w:rPr>
        <w:t>− </w:t>
      </w:r>
      <w:r>
        <w:rPr>
          <w:color w:val="231F20"/>
          <w:w w:val="105"/>
        </w:rPr>
        <w:t>to the total body extracellular</w:t>
      </w:r>
      <w:r>
        <w:rPr>
          <w:color w:val="231F20"/>
          <w:spacing w:val="-34"/>
          <w:w w:val="105"/>
        </w:rPr>
        <w:t> </w:t>
      </w:r>
      <w:r>
        <w:rPr>
          <w:color w:val="231F20"/>
          <w:w w:val="105"/>
        </w:rPr>
        <w:t>fluid.</w:t>
      </w:r>
      <w:r>
        <w:rPr>
          <w:color w:val="231F20"/>
          <w:spacing w:val="-34"/>
          <w:w w:val="105"/>
        </w:rPr>
        <w:t> </w:t>
      </w:r>
      <w:r>
        <w:rPr>
          <w:i/>
          <w:color w:val="231F20"/>
          <w:w w:val="105"/>
        </w:rPr>
        <w:t>The</w:t>
      </w:r>
      <w:r>
        <w:rPr>
          <w:i/>
          <w:color w:val="231F20"/>
          <w:spacing w:val="-34"/>
          <w:w w:val="105"/>
        </w:rPr>
        <w:t> </w:t>
      </w:r>
      <w:r>
        <w:rPr>
          <w:i/>
          <w:color w:val="231F20"/>
          <w:w w:val="105"/>
        </w:rPr>
        <w:t>most</w:t>
      </w:r>
      <w:r>
        <w:rPr>
          <w:i/>
          <w:color w:val="231F20"/>
          <w:spacing w:val="-34"/>
          <w:w w:val="105"/>
        </w:rPr>
        <w:t> </w:t>
      </w:r>
      <w:r>
        <w:rPr>
          <w:i/>
          <w:color w:val="231F20"/>
          <w:w w:val="105"/>
        </w:rPr>
        <w:t>important</w:t>
      </w:r>
      <w:r>
        <w:rPr>
          <w:i/>
          <w:color w:val="231F20"/>
          <w:spacing w:val="-33"/>
          <w:w w:val="105"/>
        </w:rPr>
        <w:t> </w:t>
      </w:r>
      <w:r>
        <w:rPr>
          <w:i/>
          <w:color w:val="231F20"/>
          <w:w w:val="105"/>
        </w:rPr>
        <w:t>stimuli</w:t>
      </w:r>
      <w:r>
        <w:rPr>
          <w:i/>
          <w:color w:val="231F20"/>
          <w:spacing w:val="-34"/>
          <w:w w:val="105"/>
        </w:rPr>
        <w:t> </w:t>
      </w:r>
      <w:r>
        <w:rPr>
          <w:i/>
          <w:color w:val="231F20"/>
          <w:w w:val="105"/>
        </w:rPr>
        <w:t>for</w:t>
      </w:r>
      <w:r>
        <w:rPr>
          <w:i/>
          <w:color w:val="231F20"/>
          <w:spacing w:val="-34"/>
          <w:w w:val="105"/>
        </w:rPr>
        <w:t> </w:t>
      </w:r>
      <w:r>
        <w:rPr>
          <w:i/>
          <w:color w:val="231F20"/>
          <w:w w:val="105"/>
        </w:rPr>
        <w:t>increas- </w:t>
      </w:r>
      <w:r>
        <w:rPr>
          <w:i/>
          <w:color w:val="231F20"/>
          <w:w w:val="105"/>
        </w:rPr>
        <w:t>ing</w:t>
      </w:r>
      <w:r>
        <w:rPr>
          <w:i/>
          <w:color w:val="231F20"/>
          <w:spacing w:val="24"/>
          <w:w w:val="105"/>
        </w:rPr>
        <w:t> </w:t>
      </w:r>
      <w:r>
        <w:rPr>
          <w:i/>
          <w:color w:val="231F20"/>
          <w:w w:val="105"/>
        </w:rPr>
        <w:t>H</w:t>
      </w:r>
      <w:r>
        <w:rPr>
          <w:rFonts w:ascii="Consolas" w:hAnsi="Consolas"/>
          <w:color w:val="231F20"/>
          <w:w w:val="105"/>
          <w:position w:val="8"/>
          <w:sz w:val="12"/>
        </w:rPr>
        <w:t>+</w:t>
      </w:r>
      <w:r>
        <w:rPr>
          <w:rFonts w:ascii="Consolas" w:hAnsi="Consolas"/>
          <w:color w:val="231F20"/>
          <w:spacing w:val="9"/>
          <w:w w:val="105"/>
          <w:position w:val="8"/>
          <w:sz w:val="12"/>
        </w:rPr>
        <w:t> </w:t>
      </w:r>
      <w:r>
        <w:rPr>
          <w:i/>
          <w:color w:val="231F20"/>
          <w:w w:val="105"/>
        </w:rPr>
        <w:t>secretion</w:t>
      </w:r>
      <w:r>
        <w:rPr>
          <w:i/>
          <w:color w:val="231F20"/>
          <w:spacing w:val="25"/>
          <w:w w:val="105"/>
        </w:rPr>
        <w:t> </w:t>
      </w:r>
      <w:r>
        <w:rPr>
          <w:i/>
          <w:color w:val="231F20"/>
          <w:w w:val="105"/>
        </w:rPr>
        <w:t>by</w:t>
      </w:r>
      <w:r>
        <w:rPr>
          <w:i/>
          <w:color w:val="231F20"/>
          <w:spacing w:val="25"/>
          <w:w w:val="105"/>
        </w:rPr>
        <w:t> </w:t>
      </w:r>
      <w:r>
        <w:rPr>
          <w:i/>
          <w:color w:val="231F20"/>
          <w:w w:val="105"/>
        </w:rPr>
        <w:t>the</w:t>
      </w:r>
      <w:r>
        <w:rPr>
          <w:i/>
          <w:color w:val="231F20"/>
          <w:spacing w:val="25"/>
          <w:w w:val="105"/>
        </w:rPr>
        <w:t> </w:t>
      </w:r>
      <w:r>
        <w:rPr>
          <w:i/>
          <w:color w:val="231F20"/>
          <w:w w:val="105"/>
        </w:rPr>
        <w:t>tubules</w:t>
      </w:r>
      <w:r>
        <w:rPr>
          <w:i/>
          <w:color w:val="231F20"/>
          <w:spacing w:val="25"/>
          <w:w w:val="105"/>
        </w:rPr>
        <w:t> </w:t>
      </w:r>
      <w:r>
        <w:rPr>
          <w:i/>
          <w:color w:val="231F20"/>
          <w:w w:val="105"/>
        </w:rPr>
        <w:t>in</w:t>
      </w:r>
      <w:r>
        <w:rPr>
          <w:i/>
          <w:color w:val="231F20"/>
          <w:spacing w:val="25"/>
          <w:w w:val="105"/>
        </w:rPr>
        <w:t> </w:t>
      </w:r>
      <w:r>
        <w:rPr>
          <w:i/>
          <w:color w:val="231F20"/>
          <w:w w:val="105"/>
        </w:rPr>
        <w:t>acidosis</w:t>
      </w:r>
      <w:r>
        <w:rPr>
          <w:i/>
          <w:color w:val="231F20"/>
          <w:spacing w:val="25"/>
          <w:w w:val="105"/>
        </w:rPr>
        <w:t> </w:t>
      </w:r>
      <w:r>
        <w:rPr>
          <w:i/>
          <w:color w:val="231F20"/>
          <w:w w:val="105"/>
        </w:rPr>
        <w:t>are</w:t>
      </w:r>
      <w:r>
        <w:rPr>
          <w:i/>
          <w:color w:val="231F20"/>
          <w:spacing w:val="25"/>
          <w:w w:val="105"/>
        </w:rPr>
        <w:t> </w:t>
      </w:r>
      <w:r>
        <w:rPr>
          <w:i/>
          <w:color w:val="231F20"/>
          <w:w w:val="105"/>
        </w:rPr>
        <w:t>(1)</w:t>
      </w:r>
      <w:r>
        <w:rPr>
          <w:i/>
          <w:color w:val="231F20"/>
          <w:spacing w:val="24"/>
          <w:w w:val="105"/>
        </w:rPr>
        <w:t> </w:t>
      </w:r>
      <w:r>
        <w:rPr>
          <w:i/>
          <w:color w:val="231F20"/>
          <w:spacing w:val="-7"/>
          <w:w w:val="105"/>
        </w:rPr>
        <w:t>an</w:t>
      </w:r>
    </w:p>
    <w:p>
      <w:pPr>
        <w:spacing w:after="0" w:line="247" w:lineRule="auto"/>
        <w:jc w:val="both"/>
        <w:sectPr>
          <w:type w:val="continuous"/>
          <w:pgSz w:w="12240" w:h="15660"/>
          <w:pgMar w:top="0" w:bottom="760" w:left="0" w:right="0"/>
          <w:cols w:num="2" w:equalWidth="0">
            <w:col w:w="5761" w:space="40"/>
            <w:col w:w="6439"/>
          </w:cols>
        </w:sectPr>
      </w:pPr>
    </w:p>
    <w:p>
      <w:pPr>
        <w:pStyle w:val="BodyText"/>
        <w:rPr>
          <w:i/>
        </w:rPr>
      </w:pPr>
    </w:p>
    <w:p>
      <w:pPr>
        <w:pStyle w:val="BodyText"/>
        <w:rPr>
          <w:i/>
        </w:rPr>
      </w:pPr>
    </w:p>
    <w:p>
      <w:pPr>
        <w:pStyle w:val="BodyText"/>
        <w:rPr>
          <w:i/>
        </w:rPr>
      </w:pPr>
    </w:p>
    <w:p>
      <w:pPr>
        <w:pStyle w:val="BodyText"/>
        <w:spacing w:before="5"/>
        <w:rPr>
          <w:i/>
        </w:rPr>
      </w:pPr>
    </w:p>
    <w:p>
      <w:pPr>
        <w:spacing w:after="0"/>
        <w:sectPr>
          <w:headerReference w:type="even" r:id="rId1016"/>
          <w:pgSz w:w="12240" w:h="15660"/>
          <w:pgMar w:header="0" w:footer="567" w:top="0" w:bottom="760" w:left="0" w:right="0"/>
        </w:sectPr>
      </w:pPr>
    </w:p>
    <w:p>
      <w:pPr>
        <w:spacing w:line="249" w:lineRule="auto" w:before="115"/>
        <w:ind w:left="1439" w:right="0" w:firstLine="0"/>
        <w:jc w:val="both"/>
        <w:rPr>
          <w:i/>
          <w:sz w:val="20"/>
        </w:rPr>
      </w:pPr>
      <w:r>
        <w:rPr>
          <w:i/>
          <w:color w:val="231F20"/>
          <w:sz w:val="20"/>
        </w:rPr>
        <w:t>increase in P</w:t>
      </w:r>
      <w:r>
        <w:rPr>
          <w:i/>
          <w:color w:val="231F20"/>
          <w:sz w:val="16"/>
        </w:rPr>
        <w:t>CO</w:t>
      </w:r>
      <w:r>
        <w:rPr>
          <w:i/>
          <w:color w:val="231F20"/>
          <w:sz w:val="16"/>
          <w:vertAlign w:val="subscript"/>
        </w:rPr>
        <w:t>2</w:t>
      </w:r>
      <w:r>
        <w:rPr>
          <w:i/>
          <w:color w:val="231F20"/>
          <w:sz w:val="16"/>
          <w:vertAlign w:val="baseline"/>
        </w:rPr>
        <w:t> </w:t>
      </w:r>
      <w:r>
        <w:rPr>
          <w:i/>
          <w:color w:val="231F20"/>
          <w:sz w:val="20"/>
          <w:vertAlign w:val="baseline"/>
        </w:rPr>
        <w:t>of the extracellular fluid in respiratory </w:t>
      </w:r>
      <w:r>
        <w:rPr>
          <w:i/>
          <w:color w:val="231F20"/>
          <w:sz w:val="20"/>
          <w:vertAlign w:val="baseline"/>
        </w:rPr>
        <w:t>acidosis and (2) an increase in H</w:t>
      </w:r>
      <w:r>
        <w:rPr>
          <w:rFonts w:ascii="Consolas"/>
          <w:i/>
          <w:color w:val="231F20"/>
          <w:position w:val="8"/>
          <w:sz w:val="12"/>
          <w:vertAlign w:val="baseline"/>
        </w:rPr>
        <w:t>+ </w:t>
      </w:r>
      <w:r>
        <w:rPr>
          <w:i/>
          <w:color w:val="231F20"/>
          <w:sz w:val="20"/>
          <w:vertAlign w:val="baseline"/>
        </w:rPr>
        <w:t>concentration of </w:t>
      </w:r>
      <w:r>
        <w:rPr>
          <w:i/>
          <w:color w:val="231F20"/>
          <w:spacing w:val="-7"/>
          <w:sz w:val="20"/>
          <w:vertAlign w:val="baseline"/>
        </w:rPr>
        <w:t>the </w:t>
      </w:r>
      <w:r>
        <w:rPr>
          <w:i/>
          <w:color w:val="231F20"/>
          <w:sz w:val="20"/>
          <w:vertAlign w:val="baseline"/>
        </w:rPr>
        <w:t>extracellular</w:t>
      </w:r>
      <w:r>
        <w:rPr>
          <w:i/>
          <w:color w:val="231F20"/>
          <w:spacing w:val="-14"/>
          <w:sz w:val="20"/>
          <w:vertAlign w:val="baseline"/>
        </w:rPr>
        <w:t> </w:t>
      </w:r>
      <w:r>
        <w:rPr>
          <w:i/>
          <w:color w:val="231F20"/>
          <w:sz w:val="20"/>
          <w:vertAlign w:val="baseline"/>
        </w:rPr>
        <w:t>fluid</w:t>
      </w:r>
      <w:r>
        <w:rPr>
          <w:i/>
          <w:color w:val="231F20"/>
          <w:spacing w:val="-14"/>
          <w:sz w:val="20"/>
          <w:vertAlign w:val="baseline"/>
        </w:rPr>
        <w:t> </w:t>
      </w:r>
      <w:r>
        <w:rPr>
          <w:i/>
          <w:color w:val="231F20"/>
          <w:sz w:val="20"/>
          <w:vertAlign w:val="baseline"/>
        </w:rPr>
        <w:t>(decreased</w:t>
      </w:r>
      <w:r>
        <w:rPr>
          <w:i/>
          <w:color w:val="231F20"/>
          <w:spacing w:val="-14"/>
          <w:sz w:val="20"/>
          <w:vertAlign w:val="baseline"/>
        </w:rPr>
        <w:t> </w:t>
      </w:r>
      <w:r>
        <w:rPr>
          <w:i/>
          <w:color w:val="231F20"/>
          <w:sz w:val="20"/>
          <w:vertAlign w:val="baseline"/>
        </w:rPr>
        <w:t>pH)</w:t>
      </w:r>
      <w:r>
        <w:rPr>
          <w:i/>
          <w:color w:val="231F20"/>
          <w:spacing w:val="-14"/>
          <w:sz w:val="20"/>
          <w:vertAlign w:val="baseline"/>
        </w:rPr>
        <w:t> </w:t>
      </w:r>
      <w:r>
        <w:rPr>
          <w:i/>
          <w:color w:val="231F20"/>
          <w:sz w:val="20"/>
          <w:vertAlign w:val="baseline"/>
        </w:rPr>
        <w:t>respiratory</w:t>
      </w:r>
      <w:r>
        <w:rPr>
          <w:i/>
          <w:color w:val="231F20"/>
          <w:spacing w:val="-14"/>
          <w:sz w:val="20"/>
          <w:vertAlign w:val="baseline"/>
        </w:rPr>
        <w:t> </w:t>
      </w:r>
      <w:r>
        <w:rPr>
          <w:i/>
          <w:color w:val="231F20"/>
          <w:sz w:val="20"/>
          <w:vertAlign w:val="baseline"/>
        </w:rPr>
        <w:t>or</w:t>
      </w:r>
      <w:r>
        <w:rPr>
          <w:i/>
          <w:color w:val="231F20"/>
          <w:spacing w:val="-14"/>
          <w:sz w:val="20"/>
          <w:vertAlign w:val="baseline"/>
        </w:rPr>
        <w:t> </w:t>
      </w:r>
      <w:r>
        <w:rPr>
          <w:i/>
          <w:color w:val="231F20"/>
          <w:sz w:val="20"/>
          <w:vertAlign w:val="baseline"/>
        </w:rPr>
        <w:t>metabolic acidosis.</w:t>
      </w:r>
    </w:p>
    <w:p>
      <w:pPr>
        <w:pStyle w:val="BodyText"/>
        <w:spacing w:line="247" w:lineRule="auto"/>
        <w:ind w:left="1439" w:firstLine="240"/>
        <w:jc w:val="both"/>
      </w:pPr>
      <w:r>
        <w:rPr>
          <w:color w:val="231F20"/>
        </w:rPr>
        <w:t>The tubular cells respond directly to an increase </w:t>
      </w:r>
      <w:r>
        <w:rPr>
          <w:color w:val="231F20"/>
          <w:spacing w:val="-6"/>
        </w:rPr>
        <w:t>in </w:t>
      </w:r>
      <w:r>
        <w:rPr>
          <w:color w:val="231F20"/>
        </w:rPr>
        <w:t>P</w:t>
      </w:r>
      <w:r>
        <w:rPr>
          <w:color w:val="231F20"/>
          <w:sz w:val="16"/>
        </w:rPr>
        <w:t>CO</w:t>
      </w:r>
      <w:r>
        <w:rPr>
          <w:color w:val="231F20"/>
          <w:sz w:val="16"/>
          <w:vertAlign w:val="subscript"/>
        </w:rPr>
        <w:t>2</w:t>
      </w:r>
      <w:r>
        <w:rPr>
          <w:color w:val="231F20"/>
          <w:sz w:val="16"/>
          <w:vertAlign w:val="baseline"/>
        </w:rPr>
        <w:t> </w:t>
      </w:r>
      <w:r>
        <w:rPr>
          <w:color w:val="231F20"/>
          <w:vertAlign w:val="baseline"/>
        </w:rPr>
        <w:t>of the blood, as occurs in respiratory acidosis, with an increase in the rate of H</w:t>
      </w:r>
      <w:r>
        <w:rPr>
          <w:rFonts w:ascii="Consolas"/>
          <w:color w:val="231F20"/>
          <w:position w:val="8"/>
          <w:sz w:val="12"/>
          <w:vertAlign w:val="baseline"/>
        </w:rPr>
        <w:t>+ </w:t>
      </w:r>
      <w:r>
        <w:rPr>
          <w:color w:val="231F20"/>
          <w:vertAlign w:val="baseline"/>
        </w:rPr>
        <w:t>secretion as follows: The increased P</w:t>
      </w:r>
      <w:r>
        <w:rPr>
          <w:color w:val="231F20"/>
          <w:sz w:val="16"/>
          <w:vertAlign w:val="baseline"/>
        </w:rPr>
        <w:t>CO</w:t>
      </w:r>
      <w:r>
        <w:rPr>
          <w:color w:val="231F20"/>
          <w:sz w:val="16"/>
          <w:vertAlign w:val="subscript"/>
        </w:rPr>
        <w:t>2</w:t>
      </w:r>
      <w:r>
        <w:rPr>
          <w:color w:val="231F20"/>
          <w:sz w:val="16"/>
          <w:vertAlign w:val="baseline"/>
        </w:rPr>
        <w:t> </w:t>
      </w:r>
      <w:r>
        <w:rPr>
          <w:color w:val="231F20"/>
          <w:vertAlign w:val="baseline"/>
        </w:rPr>
        <w:t>raises the P</w:t>
      </w:r>
      <w:r>
        <w:rPr>
          <w:color w:val="231F20"/>
          <w:sz w:val="16"/>
          <w:vertAlign w:val="baseline"/>
        </w:rPr>
        <w:t>CO</w:t>
      </w:r>
      <w:r>
        <w:rPr>
          <w:color w:val="231F20"/>
          <w:sz w:val="16"/>
          <w:vertAlign w:val="subscript"/>
        </w:rPr>
        <w:t>2</w:t>
      </w:r>
      <w:r>
        <w:rPr>
          <w:color w:val="231F20"/>
          <w:sz w:val="16"/>
          <w:vertAlign w:val="baseline"/>
        </w:rPr>
        <w:t> </w:t>
      </w:r>
      <w:r>
        <w:rPr>
          <w:color w:val="231F20"/>
          <w:vertAlign w:val="baseline"/>
        </w:rPr>
        <w:t>of the tubular cells, causing increased formation of H</w:t>
      </w:r>
      <w:r>
        <w:rPr>
          <w:rFonts w:ascii="Consolas"/>
          <w:color w:val="231F20"/>
          <w:position w:val="8"/>
          <w:sz w:val="12"/>
          <w:vertAlign w:val="baseline"/>
        </w:rPr>
        <w:t>+ </w:t>
      </w:r>
      <w:r>
        <w:rPr>
          <w:color w:val="231F20"/>
          <w:vertAlign w:val="baseline"/>
        </w:rPr>
        <w:t>in the tubular cells, which in turn stimulates the secretion of </w:t>
      </w:r>
      <w:r>
        <w:rPr>
          <w:color w:val="231F20"/>
          <w:spacing w:val="-8"/>
          <w:vertAlign w:val="baseline"/>
        </w:rPr>
        <w:t>H</w:t>
      </w:r>
      <w:r>
        <w:rPr>
          <w:rFonts w:ascii="Consolas"/>
          <w:color w:val="231F20"/>
          <w:spacing w:val="-8"/>
          <w:position w:val="8"/>
          <w:sz w:val="12"/>
          <w:vertAlign w:val="baseline"/>
        </w:rPr>
        <w:t>+</w:t>
      </w:r>
      <w:r>
        <w:rPr>
          <w:color w:val="231F20"/>
          <w:spacing w:val="-8"/>
          <w:vertAlign w:val="baseline"/>
        </w:rPr>
        <w:t>. </w:t>
      </w:r>
      <w:r>
        <w:rPr>
          <w:color w:val="231F20"/>
          <w:vertAlign w:val="baseline"/>
        </w:rPr>
        <w:t>The second factor that stimulates H</w:t>
      </w:r>
      <w:r>
        <w:rPr>
          <w:rFonts w:ascii="Consolas"/>
          <w:color w:val="231F20"/>
          <w:position w:val="8"/>
          <w:sz w:val="12"/>
          <w:vertAlign w:val="baseline"/>
        </w:rPr>
        <w:t>+ </w:t>
      </w:r>
      <w:r>
        <w:rPr>
          <w:color w:val="231F20"/>
          <w:vertAlign w:val="baseline"/>
        </w:rPr>
        <w:t>secretion is an increase in extracellular fluid H</w:t>
      </w:r>
      <w:r>
        <w:rPr>
          <w:rFonts w:ascii="Consolas"/>
          <w:color w:val="231F20"/>
          <w:position w:val="8"/>
          <w:sz w:val="12"/>
          <w:vertAlign w:val="baseline"/>
        </w:rPr>
        <w:t>+ </w:t>
      </w:r>
      <w:r>
        <w:rPr>
          <w:color w:val="231F20"/>
          <w:vertAlign w:val="baseline"/>
        </w:rPr>
        <w:t>concentration (decreased</w:t>
      </w:r>
      <w:r>
        <w:rPr>
          <w:color w:val="231F20"/>
          <w:spacing w:val="9"/>
          <w:vertAlign w:val="baseline"/>
        </w:rPr>
        <w:t> </w:t>
      </w:r>
      <w:r>
        <w:rPr>
          <w:color w:val="231F20"/>
          <w:vertAlign w:val="baseline"/>
        </w:rPr>
        <w:t>pH).</w:t>
      </w:r>
    </w:p>
    <w:p>
      <w:pPr>
        <w:pStyle w:val="BodyText"/>
        <w:spacing w:line="249" w:lineRule="auto" w:before="111"/>
        <w:ind w:left="319" w:right="1077"/>
        <w:jc w:val="both"/>
      </w:pPr>
      <w:r>
        <w:rPr/>
        <w:br w:type="column"/>
      </w:r>
      <w:r>
        <w:rPr>
          <w:color w:val="231F20"/>
          <w:w w:val="105"/>
        </w:rPr>
        <w:t>which stimulate H</w:t>
      </w:r>
      <w:r>
        <w:rPr>
          <w:rFonts w:ascii="Consolas" w:hAnsi="Consolas"/>
          <w:color w:val="231F20"/>
          <w:w w:val="105"/>
          <w:position w:val="8"/>
          <w:sz w:val="12"/>
        </w:rPr>
        <w:t>+ </w:t>
      </w:r>
      <w:r>
        <w:rPr>
          <w:color w:val="231F20"/>
          <w:w w:val="105"/>
        </w:rPr>
        <w:t>secretion by the intercalated cells</w:t>
      </w:r>
      <w:r>
        <w:rPr>
          <w:color w:val="231F20"/>
          <w:spacing w:val="-30"/>
          <w:w w:val="105"/>
        </w:rPr>
        <w:t> </w:t>
      </w:r>
      <w:r>
        <w:rPr>
          <w:color w:val="231F20"/>
          <w:w w:val="105"/>
        </w:rPr>
        <w:t>of the cortical collecting tubules. Therefore, extracellular fluid volume depletion tends to cause alkalosis due </w:t>
      </w:r>
      <w:r>
        <w:rPr>
          <w:color w:val="231F20"/>
          <w:spacing w:val="-7"/>
          <w:w w:val="105"/>
        </w:rPr>
        <w:t>to </w:t>
      </w:r>
      <w:r>
        <w:rPr>
          <w:color w:val="231F20"/>
          <w:w w:val="105"/>
        </w:rPr>
        <w:t>excess H</w:t>
      </w:r>
      <w:r>
        <w:rPr>
          <w:rFonts w:ascii="Consolas" w:hAnsi="Consolas"/>
          <w:color w:val="231F20"/>
          <w:w w:val="105"/>
          <w:position w:val="8"/>
          <w:sz w:val="12"/>
        </w:rPr>
        <w:t>+ </w:t>
      </w:r>
      <w:r>
        <w:rPr>
          <w:color w:val="231F20"/>
          <w:w w:val="105"/>
        </w:rPr>
        <w:t>secretion and HCO </w:t>
      </w:r>
      <w:r>
        <w:rPr>
          <w:rFonts w:ascii="Consolas" w:hAnsi="Consolas"/>
          <w:color w:val="231F20"/>
          <w:w w:val="105"/>
          <w:position w:val="8"/>
          <w:sz w:val="12"/>
        </w:rPr>
        <w:t>−</w:t>
      </w:r>
      <w:r>
        <w:rPr>
          <w:rFonts w:ascii="Consolas" w:hAnsi="Consolas"/>
          <w:color w:val="231F20"/>
          <w:spacing w:val="-24"/>
          <w:w w:val="105"/>
          <w:position w:val="8"/>
          <w:sz w:val="12"/>
        </w:rPr>
        <w:t> </w:t>
      </w:r>
      <w:r>
        <w:rPr>
          <w:color w:val="231F20"/>
          <w:w w:val="105"/>
        </w:rPr>
        <w:t>reabsorption.</w:t>
      </w:r>
    </w:p>
    <w:p>
      <w:pPr>
        <w:pStyle w:val="BodyText"/>
        <w:spacing w:line="247" w:lineRule="auto"/>
        <w:ind w:left="319" w:right="1077" w:firstLine="240"/>
        <w:jc w:val="both"/>
      </w:pPr>
      <w:r>
        <w:rPr/>
        <w:pict>
          <v:rect style="position:absolute;margin-left:576pt;margin-top:91.985962pt;width:36pt;height:24pt;mso-position-horizontal-relative:page;mso-position-vertical-relative:paragraph;z-index:253061120" filled="true" fillcolor="#e8dac8" stroked="false">
            <v:fill type="solid"/>
            <w10:wrap type="none"/>
          </v:rect>
        </w:pict>
      </w:r>
      <w:r>
        <w:rPr/>
        <w:pict>
          <v:shape style="position:absolute;margin-left:578.900024pt;margin-top:15.643262pt;width:15.9pt;height:53.35pt;mso-position-horizontal-relative:page;mso-position-vertical-relative:paragraph;z-index:25306214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447.268585pt;margin-top:-6.738038pt;width:3pt;height:8.7pt;mso-position-horizontal-relative:page;mso-position-vertical-relative:paragraph;z-index:-27234201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526.543823pt;margin-top:65.261963pt;width:3pt;height:8.7pt;mso-position-horizontal-relative:page;mso-position-vertical-relative:paragraph;z-index:-27234099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18.01239pt;margin-top:89.261963pt;width:3pt;height:8.7pt;mso-position-horizontal-relative:page;mso-position-vertical-relative:paragraph;z-index:-27233996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Changes in plasma potassium concentration can also influence</w:t>
      </w:r>
      <w:r>
        <w:rPr>
          <w:color w:val="231F20"/>
          <w:spacing w:val="-26"/>
          <w:w w:val="105"/>
        </w:rPr>
        <w:t> </w:t>
      </w:r>
      <w:r>
        <w:rPr>
          <w:color w:val="231F20"/>
          <w:w w:val="105"/>
        </w:rPr>
        <w:t>H</w:t>
      </w:r>
      <w:r>
        <w:rPr>
          <w:rFonts w:ascii="Consolas" w:hAnsi="Consolas"/>
          <w:color w:val="231F20"/>
          <w:w w:val="105"/>
          <w:position w:val="8"/>
          <w:sz w:val="12"/>
        </w:rPr>
        <w:t>+</w:t>
      </w:r>
      <w:r>
        <w:rPr>
          <w:rFonts w:ascii="Consolas" w:hAnsi="Consolas"/>
          <w:color w:val="231F20"/>
          <w:spacing w:val="-42"/>
          <w:w w:val="105"/>
          <w:position w:val="8"/>
          <w:sz w:val="12"/>
        </w:rPr>
        <w:t> </w:t>
      </w:r>
      <w:r>
        <w:rPr>
          <w:color w:val="231F20"/>
          <w:w w:val="105"/>
        </w:rPr>
        <w:t>secretion,</w:t>
      </w:r>
      <w:r>
        <w:rPr>
          <w:color w:val="231F20"/>
          <w:spacing w:val="-25"/>
          <w:w w:val="105"/>
        </w:rPr>
        <w:t> </w:t>
      </w:r>
      <w:r>
        <w:rPr>
          <w:color w:val="231F20"/>
          <w:w w:val="105"/>
        </w:rPr>
        <w:t>with</w:t>
      </w:r>
      <w:r>
        <w:rPr>
          <w:color w:val="231F20"/>
          <w:spacing w:val="-25"/>
          <w:w w:val="105"/>
        </w:rPr>
        <w:t> </w:t>
      </w:r>
      <w:r>
        <w:rPr>
          <w:color w:val="231F20"/>
          <w:w w:val="105"/>
        </w:rPr>
        <w:t>hypokalemia</w:t>
      </w:r>
      <w:r>
        <w:rPr>
          <w:color w:val="231F20"/>
          <w:spacing w:val="-25"/>
          <w:w w:val="105"/>
        </w:rPr>
        <w:t> </w:t>
      </w:r>
      <w:r>
        <w:rPr>
          <w:color w:val="231F20"/>
          <w:w w:val="105"/>
        </w:rPr>
        <w:t>stimulating</w:t>
      </w:r>
      <w:r>
        <w:rPr>
          <w:color w:val="231F20"/>
          <w:spacing w:val="-25"/>
          <w:w w:val="105"/>
        </w:rPr>
        <w:t> </w:t>
      </w:r>
      <w:r>
        <w:rPr>
          <w:color w:val="231F20"/>
          <w:spacing w:val="-4"/>
          <w:w w:val="105"/>
        </w:rPr>
        <w:t>and </w:t>
      </w:r>
      <w:r>
        <w:rPr>
          <w:color w:val="231F20"/>
          <w:w w:val="105"/>
        </w:rPr>
        <w:t>hyperkalemia inhibiting H</w:t>
      </w:r>
      <w:r>
        <w:rPr>
          <w:rFonts w:ascii="Consolas" w:hAnsi="Consolas"/>
          <w:color w:val="231F20"/>
          <w:w w:val="105"/>
          <w:position w:val="8"/>
          <w:sz w:val="12"/>
        </w:rPr>
        <w:t>+ </w:t>
      </w:r>
      <w:r>
        <w:rPr>
          <w:color w:val="231F20"/>
          <w:w w:val="105"/>
        </w:rPr>
        <w:t>secretion in the proximal tubule.</w:t>
      </w:r>
      <w:r>
        <w:rPr>
          <w:color w:val="231F20"/>
          <w:spacing w:val="-15"/>
          <w:w w:val="105"/>
        </w:rPr>
        <w:t> </w:t>
      </w:r>
      <w:r>
        <w:rPr>
          <w:color w:val="231F20"/>
          <w:w w:val="105"/>
        </w:rPr>
        <w:t>Decreased</w:t>
      </w:r>
      <w:r>
        <w:rPr>
          <w:color w:val="231F20"/>
          <w:spacing w:val="-14"/>
          <w:w w:val="105"/>
        </w:rPr>
        <w:t> </w:t>
      </w:r>
      <w:r>
        <w:rPr>
          <w:color w:val="231F20"/>
          <w:w w:val="105"/>
        </w:rPr>
        <w:t>plasma</w:t>
      </w:r>
      <w:r>
        <w:rPr>
          <w:color w:val="231F20"/>
          <w:spacing w:val="-15"/>
          <w:w w:val="105"/>
        </w:rPr>
        <w:t> </w:t>
      </w:r>
      <w:r>
        <w:rPr>
          <w:color w:val="231F20"/>
          <w:w w:val="105"/>
        </w:rPr>
        <w:t>potassium</w:t>
      </w:r>
      <w:r>
        <w:rPr>
          <w:color w:val="231F20"/>
          <w:spacing w:val="-14"/>
          <w:w w:val="105"/>
        </w:rPr>
        <w:t> </w:t>
      </w:r>
      <w:r>
        <w:rPr>
          <w:color w:val="231F20"/>
          <w:w w:val="105"/>
        </w:rPr>
        <w:t>concentration</w:t>
      </w:r>
      <w:r>
        <w:rPr>
          <w:color w:val="231F20"/>
          <w:spacing w:val="-15"/>
          <w:w w:val="105"/>
        </w:rPr>
        <w:t> </w:t>
      </w:r>
      <w:r>
        <w:rPr>
          <w:color w:val="231F20"/>
          <w:w w:val="105"/>
        </w:rPr>
        <w:t>tends to</w:t>
      </w:r>
      <w:r>
        <w:rPr>
          <w:color w:val="231F20"/>
          <w:spacing w:val="-17"/>
          <w:w w:val="105"/>
        </w:rPr>
        <w:t> </w:t>
      </w:r>
      <w:r>
        <w:rPr>
          <w:color w:val="231F20"/>
          <w:w w:val="105"/>
        </w:rPr>
        <w:t>increase</w:t>
      </w:r>
      <w:r>
        <w:rPr>
          <w:color w:val="231F20"/>
          <w:spacing w:val="-16"/>
          <w:w w:val="105"/>
        </w:rPr>
        <w:t> </w:t>
      </w:r>
      <w:r>
        <w:rPr>
          <w:color w:val="231F20"/>
          <w:w w:val="105"/>
        </w:rPr>
        <w:t>the</w:t>
      </w:r>
      <w:r>
        <w:rPr>
          <w:color w:val="231F20"/>
          <w:spacing w:val="-16"/>
          <w:w w:val="105"/>
        </w:rPr>
        <w:t> </w:t>
      </w:r>
      <w:r>
        <w:rPr>
          <w:color w:val="231F20"/>
          <w:w w:val="105"/>
        </w:rPr>
        <w:t>H</w:t>
      </w:r>
      <w:r>
        <w:rPr>
          <w:rFonts w:ascii="Consolas" w:hAnsi="Consolas"/>
          <w:color w:val="231F20"/>
          <w:w w:val="105"/>
          <w:position w:val="8"/>
          <w:sz w:val="12"/>
        </w:rPr>
        <w:t>+</w:t>
      </w:r>
      <w:r>
        <w:rPr>
          <w:rFonts w:ascii="Consolas" w:hAnsi="Consolas"/>
          <w:color w:val="231F20"/>
          <w:spacing w:val="-33"/>
          <w:w w:val="105"/>
          <w:position w:val="8"/>
          <w:sz w:val="12"/>
        </w:rPr>
        <w:t> </w:t>
      </w:r>
      <w:r>
        <w:rPr>
          <w:color w:val="231F20"/>
          <w:w w:val="105"/>
        </w:rPr>
        <w:t>concentration</w:t>
      </w:r>
      <w:r>
        <w:rPr>
          <w:color w:val="231F20"/>
          <w:spacing w:val="-17"/>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renal</w:t>
      </w:r>
      <w:r>
        <w:rPr>
          <w:color w:val="231F20"/>
          <w:spacing w:val="-16"/>
          <w:w w:val="105"/>
        </w:rPr>
        <w:t> </w:t>
      </w:r>
      <w:r>
        <w:rPr>
          <w:color w:val="231F20"/>
          <w:w w:val="105"/>
        </w:rPr>
        <w:t>tubular</w:t>
      </w:r>
      <w:r>
        <w:rPr>
          <w:color w:val="231F20"/>
          <w:spacing w:val="-17"/>
          <w:w w:val="105"/>
        </w:rPr>
        <w:t> </w:t>
      </w:r>
      <w:r>
        <w:rPr>
          <w:color w:val="231F20"/>
          <w:w w:val="105"/>
        </w:rPr>
        <w:t>cells. This, in turn, stimulates H</w:t>
      </w:r>
      <w:r>
        <w:rPr>
          <w:rFonts w:ascii="Consolas" w:hAnsi="Consolas"/>
          <w:color w:val="231F20"/>
          <w:w w:val="105"/>
          <w:position w:val="8"/>
          <w:sz w:val="12"/>
        </w:rPr>
        <w:t>+ </w:t>
      </w:r>
      <w:r>
        <w:rPr>
          <w:color w:val="231F20"/>
          <w:w w:val="105"/>
        </w:rPr>
        <w:t>secretion and HCO </w:t>
      </w:r>
      <w:r>
        <w:rPr>
          <w:rFonts w:ascii="Consolas" w:hAnsi="Consolas"/>
          <w:color w:val="231F20"/>
          <w:w w:val="105"/>
          <w:position w:val="8"/>
          <w:sz w:val="12"/>
        </w:rPr>
        <w:t>− </w:t>
      </w:r>
      <w:r>
        <w:rPr>
          <w:color w:val="231F20"/>
          <w:spacing w:val="-4"/>
          <w:w w:val="105"/>
        </w:rPr>
        <w:t>reab- </w:t>
      </w:r>
      <w:r>
        <w:rPr>
          <w:color w:val="231F20"/>
          <w:w w:val="105"/>
        </w:rPr>
        <w:t>sorption and leads to alkalosis. Hyperkalemia</w:t>
      </w:r>
      <w:r>
        <w:rPr>
          <w:color w:val="231F20"/>
          <w:spacing w:val="-9"/>
          <w:w w:val="105"/>
        </w:rPr>
        <w:t> </w:t>
      </w:r>
      <w:r>
        <w:rPr>
          <w:color w:val="231F20"/>
          <w:w w:val="105"/>
        </w:rPr>
        <w:t>decreases H</w:t>
      </w:r>
      <w:r>
        <w:rPr>
          <w:rFonts w:ascii="Consolas" w:hAnsi="Consolas"/>
          <w:color w:val="231F20"/>
          <w:w w:val="105"/>
          <w:position w:val="8"/>
          <w:sz w:val="12"/>
        </w:rPr>
        <w:t>+ </w:t>
      </w:r>
      <w:r>
        <w:rPr>
          <w:color w:val="231F20"/>
          <w:w w:val="105"/>
        </w:rPr>
        <w:t>secretion and HCO </w:t>
      </w:r>
      <w:r>
        <w:rPr>
          <w:rFonts w:ascii="Consolas" w:hAnsi="Consolas"/>
          <w:color w:val="231F20"/>
          <w:w w:val="105"/>
          <w:position w:val="8"/>
          <w:sz w:val="12"/>
        </w:rPr>
        <w:t>−</w:t>
      </w:r>
      <w:r>
        <w:rPr>
          <w:rFonts w:ascii="Consolas" w:hAnsi="Consolas"/>
          <w:color w:val="231F20"/>
          <w:spacing w:val="-55"/>
          <w:w w:val="105"/>
          <w:position w:val="8"/>
          <w:sz w:val="12"/>
        </w:rPr>
        <w:t> </w:t>
      </w:r>
      <w:r>
        <w:rPr>
          <w:color w:val="231F20"/>
          <w:w w:val="105"/>
        </w:rPr>
        <w:t>reabsorption and tends to cause</w:t>
      </w:r>
    </w:p>
    <w:p>
      <w:pPr>
        <w:spacing w:after="0" w:line="247" w:lineRule="auto"/>
        <w:jc w:val="both"/>
        <w:sectPr>
          <w:type w:val="continuous"/>
          <w:pgSz w:w="12240" w:h="15660"/>
          <w:pgMar w:top="0" w:bottom="760" w:left="0" w:right="0"/>
          <w:cols w:num="2" w:equalWidth="0">
            <w:col w:w="6121" w:space="40"/>
            <w:col w:w="6079"/>
          </w:cols>
        </w:sectPr>
      </w:pPr>
    </w:p>
    <w:p>
      <w:pPr>
        <w:pStyle w:val="BodyText"/>
        <w:spacing w:line="249" w:lineRule="auto" w:before="3"/>
        <w:ind w:left="1439" w:firstLine="240"/>
        <w:jc w:val="both"/>
      </w:pPr>
      <w:r>
        <w:rPr/>
        <w:pict>
          <v:shape style="position:absolute;margin-left:106.408997pt;margin-top:89.595558pt;width:3pt;height:8.7pt;mso-position-horizontal-relative:page;mso-position-vertical-relative:paragraph;z-index:-27233894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rPr>
        <w:t>A special factor that can increase H</w:t>
      </w:r>
      <w:r>
        <w:rPr>
          <w:rFonts w:ascii="Consolas" w:hAnsi="Consolas"/>
          <w:color w:val="231F20"/>
          <w:position w:val="8"/>
          <w:sz w:val="12"/>
        </w:rPr>
        <w:t>+ </w:t>
      </w:r>
      <w:r>
        <w:rPr>
          <w:color w:val="231F20"/>
        </w:rPr>
        <w:t>secretion under some pathophysiological conditions is excessive </w:t>
      </w:r>
      <w:r>
        <w:rPr>
          <w:color w:val="231F20"/>
          <w:spacing w:val="-3"/>
        </w:rPr>
        <w:t>aldoste- </w:t>
      </w:r>
      <w:r>
        <w:rPr>
          <w:color w:val="231F20"/>
        </w:rPr>
        <w:t>rone secretion. Aldosterone stimulates  secretion  of  H</w:t>
      </w:r>
      <w:r>
        <w:rPr>
          <w:rFonts w:ascii="Consolas" w:hAnsi="Consolas"/>
          <w:color w:val="231F20"/>
          <w:position w:val="8"/>
          <w:sz w:val="12"/>
        </w:rPr>
        <w:t>+ </w:t>
      </w:r>
      <w:r>
        <w:rPr>
          <w:color w:val="231F20"/>
        </w:rPr>
        <w:t>by intercalated cells of the collecting duct. Therefore, excessive secretion of aldosterone, as occurs in persons with </w:t>
      </w:r>
      <w:r>
        <w:rPr>
          <w:color w:val="231F20"/>
          <w:spacing w:val="-4"/>
        </w:rPr>
        <w:t>Conn’s </w:t>
      </w:r>
      <w:r>
        <w:rPr>
          <w:color w:val="231F20"/>
        </w:rPr>
        <w:t>syndrome, can increase secretion of H</w:t>
      </w:r>
      <w:r>
        <w:rPr>
          <w:rFonts w:ascii="Consolas" w:hAnsi="Consolas"/>
          <w:color w:val="231F20"/>
          <w:position w:val="8"/>
          <w:sz w:val="12"/>
        </w:rPr>
        <w:t>+ </w:t>
      </w:r>
      <w:r>
        <w:rPr>
          <w:color w:val="231F20"/>
        </w:rPr>
        <w:t>into the tubular fluid and, consequently, increase the </w:t>
      </w:r>
      <w:r>
        <w:rPr>
          <w:color w:val="231F20"/>
          <w:spacing w:val="-4"/>
        </w:rPr>
        <w:t>amount  </w:t>
      </w:r>
      <w:r>
        <w:rPr>
          <w:color w:val="231F20"/>
        </w:rPr>
        <w:t>of HCO </w:t>
      </w:r>
      <w:r>
        <w:rPr>
          <w:rFonts w:ascii="Consolas" w:hAnsi="Consolas"/>
          <w:color w:val="231F20"/>
          <w:position w:val="8"/>
          <w:sz w:val="12"/>
        </w:rPr>
        <w:t>− </w:t>
      </w:r>
      <w:r>
        <w:rPr>
          <w:color w:val="231F20"/>
        </w:rPr>
        <w:t>added back to the blood. This action usually causes alkalosis in patients with excessive aldosterone secretion.</w:t>
      </w:r>
    </w:p>
    <w:p>
      <w:pPr>
        <w:pStyle w:val="BodyText"/>
        <w:spacing w:line="247" w:lineRule="auto"/>
        <w:ind w:left="1439" w:firstLine="240"/>
        <w:jc w:val="both"/>
      </w:pPr>
      <w:r>
        <w:rPr>
          <w:color w:val="231F20"/>
          <w:w w:val="105"/>
        </w:rPr>
        <w:t>The tubular cells usually respond to a decrease in H</w:t>
      </w:r>
      <w:r>
        <w:rPr>
          <w:rFonts w:ascii="Consolas"/>
          <w:color w:val="231F20"/>
          <w:w w:val="105"/>
          <w:position w:val="8"/>
          <w:sz w:val="12"/>
        </w:rPr>
        <w:t>+ </w:t>
      </w:r>
      <w:r>
        <w:rPr>
          <w:color w:val="231F20"/>
          <w:w w:val="105"/>
        </w:rPr>
        <w:t>concentration (alkalosis) by reducing H</w:t>
      </w:r>
      <w:r>
        <w:rPr>
          <w:rFonts w:ascii="Consolas"/>
          <w:color w:val="231F20"/>
          <w:w w:val="105"/>
          <w:position w:val="8"/>
          <w:sz w:val="12"/>
        </w:rPr>
        <w:t>+ </w:t>
      </w:r>
      <w:r>
        <w:rPr>
          <w:color w:val="231F20"/>
          <w:w w:val="105"/>
        </w:rPr>
        <w:t>secretion. The decreased H</w:t>
      </w:r>
      <w:r>
        <w:rPr>
          <w:rFonts w:ascii="Consolas"/>
          <w:color w:val="231F20"/>
          <w:w w:val="105"/>
          <w:position w:val="8"/>
          <w:sz w:val="12"/>
        </w:rPr>
        <w:t>+ </w:t>
      </w:r>
      <w:r>
        <w:rPr>
          <w:color w:val="231F20"/>
          <w:w w:val="105"/>
        </w:rPr>
        <w:t>secretion results from decreased extracel- lular P</w:t>
      </w:r>
      <w:r>
        <w:rPr>
          <w:color w:val="231F20"/>
          <w:w w:val="105"/>
          <w:sz w:val="16"/>
        </w:rPr>
        <w:t>CO</w:t>
      </w:r>
      <w:r>
        <w:rPr>
          <w:color w:val="231F20"/>
          <w:w w:val="105"/>
          <w:sz w:val="16"/>
          <w:vertAlign w:val="subscript"/>
        </w:rPr>
        <w:t>2</w:t>
      </w:r>
      <w:r>
        <w:rPr>
          <w:color w:val="231F20"/>
          <w:w w:val="105"/>
          <w:vertAlign w:val="baseline"/>
        </w:rPr>
        <w:t>, as occurs in respiratory alkalosis, or from a decrease in H</w:t>
      </w:r>
      <w:r>
        <w:rPr>
          <w:rFonts w:ascii="Consolas"/>
          <w:color w:val="231F20"/>
          <w:w w:val="105"/>
          <w:position w:val="8"/>
          <w:sz w:val="12"/>
          <w:vertAlign w:val="baseline"/>
        </w:rPr>
        <w:t>+ </w:t>
      </w:r>
      <w:r>
        <w:rPr>
          <w:color w:val="231F20"/>
          <w:w w:val="105"/>
          <w:vertAlign w:val="baseline"/>
        </w:rPr>
        <w:t>concentration per se, as occurs in both respiratory and metabolic alkalosis.</w:t>
      </w:r>
    </w:p>
    <w:p>
      <w:pPr>
        <w:pStyle w:val="BodyText"/>
        <w:spacing w:line="247" w:lineRule="auto" w:before="1"/>
        <w:ind w:left="1439" w:firstLine="240"/>
        <w:jc w:val="both"/>
      </w:pPr>
      <w:r>
        <w:rPr/>
        <w:pict>
          <v:shape style="position:absolute;margin-left:184.769196pt;margin-top:17.311932pt;width:3pt;height:8.7pt;mso-position-horizontal-relative:page;mso-position-vertical-relative:paragraph;z-index:-27233792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66.874695pt;margin-top:101.311928pt;width:3pt;height:8.7pt;mso-position-horizontal-relative:page;mso-position-vertical-relative:paragraph;z-index:-27233689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hyperlink w:history="true" w:anchor="_bookmark111">
        <w:r>
          <w:rPr>
            <w:b/>
            <w:color w:val="0080AC"/>
            <w:spacing w:val="-4"/>
            <w:w w:val="105"/>
          </w:rPr>
          <w:t>Table </w:t>
        </w:r>
        <w:r>
          <w:rPr>
            <w:b/>
            <w:color w:val="0080AC"/>
            <w:w w:val="105"/>
          </w:rPr>
          <w:t>31-2 </w:t>
        </w:r>
      </w:hyperlink>
      <w:r>
        <w:rPr>
          <w:color w:val="231F20"/>
          <w:w w:val="105"/>
        </w:rPr>
        <w:t>summarizes the major factors that </w:t>
      </w:r>
      <w:r>
        <w:rPr>
          <w:color w:val="231F20"/>
          <w:spacing w:val="-3"/>
          <w:w w:val="105"/>
        </w:rPr>
        <w:t>influ- </w:t>
      </w:r>
      <w:r>
        <w:rPr>
          <w:color w:val="231F20"/>
          <w:w w:val="105"/>
        </w:rPr>
        <w:t>ence</w:t>
      </w:r>
      <w:r>
        <w:rPr>
          <w:color w:val="231F20"/>
          <w:spacing w:val="-20"/>
          <w:w w:val="105"/>
        </w:rPr>
        <w:t> </w:t>
      </w:r>
      <w:r>
        <w:rPr>
          <w:color w:val="231F20"/>
          <w:w w:val="105"/>
        </w:rPr>
        <w:t>H</w:t>
      </w:r>
      <w:r>
        <w:rPr>
          <w:rFonts w:ascii="Consolas" w:hAnsi="Consolas"/>
          <w:color w:val="231F20"/>
          <w:w w:val="105"/>
          <w:position w:val="8"/>
          <w:sz w:val="12"/>
        </w:rPr>
        <w:t>+</w:t>
      </w:r>
      <w:r>
        <w:rPr>
          <w:rFonts w:ascii="Consolas" w:hAnsi="Consolas"/>
          <w:color w:val="231F20"/>
          <w:spacing w:val="-37"/>
          <w:w w:val="105"/>
          <w:position w:val="8"/>
          <w:sz w:val="12"/>
        </w:rPr>
        <w:t> </w:t>
      </w:r>
      <w:r>
        <w:rPr>
          <w:color w:val="231F20"/>
          <w:w w:val="105"/>
        </w:rPr>
        <w:t>secretion</w:t>
      </w:r>
      <w:r>
        <w:rPr>
          <w:color w:val="231F20"/>
          <w:spacing w:val="-19"/>
          <w:w w:val="105"/>
        </w:rPr>
        <w:t> </w:t>
      </w:r>
      <w:r>
        <w:rPr>
          <w:color w:val="231F20"/>
          <w:w w:val="105"/>
        </w:rPr>
        <w:t>and</w:t>
      </w:r>
      <w:r>
        <w:rPr>
          <w:color w:val="231F20"/>
          <w:spacing w:val="-20"/>
          <w:w w:val="105"/>
        </w:rPr>
        <w:t> </w:t>
      </w:r>
      <w:r>
        <w:rPr>
          <w:color w:val="231F20"/>
          <w:w w:val="105"/>
        </w:rPr>
        <w:t>HCO</w:t>
      </w:r>
      <w:r>
        <w:rPr>
          <w:color w:val="231F20"/>
          <w:spacing w:val="-2"/>
          <w:w w:val="105"/>
        </w:rPr>
        <w:t> </w:t>
      </w:r>
      <w:r>
        <w:rPr>
          <w:rFonts w:ascii="Consolas" w:hAnsi="Consolas"/>
          <w:color w:val="231F20"/>
          <w:w w:val="105"/>
          <w:position w:val="8"/>
          <w:sz w:val="12"/>
        </w:rPr>
        <w:t>−</w:t>
      </w:r>
      <w:r>
        <w:rPr>
          <w:rFonts w:ascii="Consolas" w:hAnsi="Consolas"/>
          <w:color w:val="231F20"/>
          <w:spacing w:val="-36"/>
          <w:w w:val="105"/>
          <w:position w:val="8"/>
          <w:sz w:val="12"/>
        </w:rPr>
        <w:t> </w:t>
      </w:r>
      <w:r>
        <w:rPr>
          <w:color w:val="231F20"/>
          <w:w w:val="105"/>
        </w:rPr>
        <w:t>reabsorption.</w:t>
      </w:r>
      <w:r>
        <w:rPr>
          <w:color w:val="231F20"/>
          <w:spacing w:val="-20"/>
          <w:w w:val="105"/>
        </w:rPr>
        <w:t> </w:t>
      </w:r>
      <w:r>
        <w:rPr>
          <w:color w:val="231F20"/>
          <w:w w:val="105"/>
        </w:rPr>
        <w:t>Some</w:t>
      </w:r>
      <w:r>
        <w:rPr>
          <w:color w:val="231F20"/>
          <w:spacing w:val="-20"/>
          <w:w w:val="105"/>
        </w:rPr>
        <w:t> </w:t>
      </w:r>
      <w:r>
        <w:rPr>
          <w:color w:val="231F20"/>
          <w:w w:val="105"/>
        </w:rPr>
        <w:t>of</w:t>
      </w:r>
      <w:r>
        <w:rPr>
          <w:color w:val="231F20"/>
          <w:spacing w:val="-20"/>
          <w:w w:val="105"/>
        </w:rPr>
        <w:t> </w:t>
      </w:r>
      <w:r>
        <w:rPr>
          <w:color w:val="231F20"/>
          <w:spacing w:val="-3"/>
          <w:w w:val="105"/>
        </w:rPr>
        <w:t>these </w:t>
      </w:r>
      <w:r>
        <w:rPr>
          <w:color w:val="231F20"/>
          <w:w w:val="105"/>
        </w:rPr>
        <w:t>factors are not directly related to the regulation of acid- base</w:t>
      </w:r>
      <w:r>
        <w:rPr>
          <w:color w:val="231F20"/>
          <w:spacing w:val="-19"/>
          <w:w w:val="105"/>
        </w:rPr>
        <w:t> </w:t>
      </w:r>
      <w:r>
        <w:rPr>
          <w:color w:val="231F20"/>
          <w:w w:val="105"/>
        </w:rPr>
        <w:t>balance.</w:t>
      </w:r>
      <w:r>
        <w:rPr>
          <w:color w:val="231F20"/>
          <w:spacing w:val="-19"/>
          <w:w w:val="105"/>
        </w:rPr>
        <w:t> </w:t>
      </w:r>
      <w:r>
        <w:rPr>
          <w:color w:val="231F20"/>
          <w:spacing w:val="-3"/>
          <w:w w:val="105"/>
        </w:rPr>
        <w:t>For</w:t>
      </w:r>
      <w:r>
        <w:rPr>
          <w:color w:val="231F20"/>
          <w:spacing w:val="-18"/>
          <w:w w:val="105"/>
        </w:rPr>
        <w:t> </w:t>
      </w:r>
      <w:r>
        <w:rPr>
          <w:color w:val="231F20"/>
          <w:w w:val="105"/>
        </w:rPr>
        <w:t>example,</w:t>
      </w:r>
      <w:r>
        <w:rPr>
          <w:color w:val="231F20"/>
          <w:spacing w:val="-19"/>
          <w:w w:val="105"/>
        </w:rPr>
        <w:t> </w:t>
      </w:r>
      <w:r>
        <w:rPr>
          <w:color w:val="231F20"/>
          <w:w w:val="105"/>
        </w:rPr>
        <w:t>H</w:t>
      </w:r>
      <w:r>
        <w:rPr>
          <w:rFonts w:ascii="Consolas" w:hAnsi="Consolas"/>
          <w:color w:val="231F20"/>
          <w:w w:val="105"/>
          <w:position w:val="8"/>
          <w:sz w:val="12"/>
        </w:rPr>
        <w:t>+</w:t>
      </w:r>
      <w:r>
        <w:rPr>
          <w:rFonts w:ascii="Consolas" w:hAnsi="Consolas"/>
          <w:color w:val="231F20"/>
          <w:spacing w:val="-36"/>
          <w:w w:val="105"/>
          <w:position w:val="8"/>
          <w:sz w:val="12"/>
        </w:rPr>
        <w:t> </w:t>
      </w:r>
      <w:r>
        <w:rPr>
          <w:color w:val="231F20"/>
          <w:w w:val="105"/>
        </w:rPr>
        <w:t>secretion</w:t>
      </w:r>
      <w:r>
        <w:rPr>
          <w:color w:val="231F20"/>
          <w:spacing w:val="-18"/>
          <w:w w:val="105"/>
        </w:rPr>
        <w:t> </w:t>
      </w:r>
      <w:r>
        <w:rPr>
          <w:color w:val="231F20"/>
          <w:w w:val="105"/>
        </w:rPr>
        <w:t>is</w:t>
      </w:r>
      <w:r>
        <w:rPr>
          <w:color w:val="231F20"/>
          <w:spacing w:val="-19"/>
          <w:w w:val="105"/>
        </w:rPr>
        <w:t> </w:t>
      </w:r>
      <w:r>
        <w:rPr>
          <w:color w:val="231F20"/>
          <w:w w:val="105"/>
        </w:rPr>
        <w:t>coupled</w:t>
      </w:r>
      <w:r>
        <w:rPr>
          <w:color w:val="231F20"/>
          <w:spacing w:val="-18"/>
          <w:w w:val="105"/>
        </w:rPr>
        <w:t> </w:t>
      </w:r>
      <w:r>
        <w:rPr>
          <w:color w:val="231F20"/>
          <w:w w:val="105"/>
        </w:rPr>
        <w:t>to</w:t>
      </w:r>
      <w:r>
        <w:rPr>
          <w:color w:val="231F20"/>
          <w:spacing w:val="-19"/>
          <w:w w:val="105"/>
        </w:rPr>
        <w:t> </w:t>
      </w:r>
      <w:r>
        <w:rPr>
          <w:color w:val="231F20"/>
          <w:spacing w:val="-4"/>
          <w:w w:val="105"/>
        </w:rPr>
        <w:t>Na</w:t>
      </w:r>
      <w:r>
        <w:rPr>
          <w:rFonts w:ascii="Consolas" w:hAnsi="Consolas"/>
          <w:color w:val="231F20"/>
          <w:spacing w:val="-4"/>
          <w:w w:val="105"/>
          <w:position w:val="8"/>
          <w:sz w:val="12"/>
        </w:rPr>
        <w:t>+ </w:t>
      </w:r>
      <w:r>
        <w:rPr>
          <w:color w:val="231F20"/>
          <w:w w:val="105"/>
        </w:rPr>
        <w:t>reabsorption by the Na</w:t>
      </w:r>
      <w:r>
        <w:rPr>
          <w:rFonts w:ascii="Consolas" w:hAnsi="Consolas"/>
          <w:color w:val="231F20"/>
          <w:w w:val="105"/>
          <w:position w:val="8"/>
          <w:sz w:val="12"/>
        </w:rPr>
        <w:t>+</w:t>
      </w:r>
      <w:r>
        <w:rPr>
          <w:color w:val="231F20"/>
          <w:w w:val="105"/>
        </w:rPr>
        <w:t>-H</w:t>
      </w:r>
      <w:r>
        <w:rPr>
          <w:rFonts w:ascii="Consolas" w:hAnsi="Consolas"/>
          <w:color w:val="231F20"/>
          <w:w w:val="105"/>
          <w:position w:val="8"/>
          <w:sz w:val="12"/>
        </w:rPr>
        <w:t>+ </w:t>
      </w:r>
      <w:r>
        <w:rPr>
          <w:color w:val="231F20"/>
          <w:w w:val="105"/>
        </w:rPr>
        <w:t>exchanger in the proximal tubule</w:t>
      </w:r>
      <w:r>
        <w:rPr>
          <w:color w:val="231F20"/>
          <w:spacing w:val="-7"/>
          <w:w w:val="105"/>
        </w:rPr>
        <w:t> </w:t>
      </w:r>
      <w:r>
        <w:rPr>
          <w:color w:val="231F20"/>
          <w:w w:val="105"/>
        </w:rPr>
        <w:t>and</w:t>
      </w:r>
      <w:r>
        <w:rPr>
          <w:color w:val="231F20"/>
          <w:spacing w:val="-6"/>
          <w:w w:val="105"/>
        </w:rPr>
        <w:t> </w:t>
      </w:r>
      <w:r>
        <w:rPr>
          <w:color w:val="231F20"/>
          <w:w w:val="105"/>
        </w:rPr>
        <w:t>the</w:t>
      </w:r>
      <w:r>
        <w:rPr>
          <w:color w:val="231F20"/>
          <w:spacing w:val="-7"/>
          <w:w w:val="105"/>
        </w:rPr>
        <w:t> </w:t>
      </w:r>
      <w:r>
        <w:rPr>
          <w:color w:val="231F20"/>
          <w:w w:val="105"/>
        </w:rPr>
        <w:t>thick</w:t>
      </w:r>
      <w:r>
        <w:rPr>
          <w:color w:val="231F20"/>
          <w:spacing w:val="-6"/>
          <w:w w:val="105"/>
        </w:rPr>
        <w:t> </w:t>
      </w:r>
      <w:r>
        <w:rPr>
          <w:color w:val="231F20"/>
          <w:w w:val="105"/>
        </w:rPr>
        <w:t>ascending</w:t>
      </w:r>
      <w:r>
        <w:rPr>
          <w:color w:val="231F20"/>
          <w:spacing w:val="-6"/>
          <w:w w:val="105"/>
        </w:rPr>
        <w:t> </w:t>
      </w:r>
      <w:r>
        <w:rPr>
          <w:color w:val="231F20"/>
          <w:w w:val="105"/>
        </w:rPr>
        <w:t>loop</w:t>
      </w:r>
      <w:r>
        <w:rPr>
          <w:color w:val="231F20"/>
          <w:spacing w:val="-7"/>
          <w:w w:val="105"/>
        </w:rPr>
        <w:t> </w:t>
      </w:r>
      <w:r>
        <w:rPr>
          <w:color w:val="231F20"/>
          <w:w w:val="105"/>
        </w:rPr>
        <w:t>of</w:t>
      </w:r>
      <w:r>
        <w:rPr>
          <w:color w:val="231F20"/>
          <w:spacing w:val="-6"/>
          <w:w w:val="105"/>
        </w:rPr>
        <w:t> </w:t>
      </w:r>
      <w:r>
        <w:rPr>
          <w:color w:val="231F20"/>
          <w:w w:val="105"/>
        </w:rPr>
        <w:t>Henle.</w:t>
      </w:r>
      <w:r>
        <w:rPr>
          <w:color w:val="231F20"/>
          <w:spacing w:val="-7"/>
          <w:w w:val="105"/>
        </w:rPr>
        <w:t> </w:t>
      </w:r>
      <w:r>
        <w:rPr>
          <w:color w:val="231F20"/>
          <w:spacing w:val="-3"/>
          <w:w w:val="105"/>
        </w:rPr>
        <w:t>Therefore, </w:t>
      </w:r>
      <w:r>
        <w:rPr>
          <w:color w:val="231F20"/>
          <w:w w:val="105"/>
        </w:rPr>
        <w:t>factors</w:t>
      </w:r>
      <w:r>
        <w:rPr>
          <w:color w:val="231F20"/>
          <w:spacing w:val="-23"/>
          <w:w w:val="105"/>
        </w:rPr>
        <w:t> </w:t>
      </w:r>
      <w:r>
        <w:rPr>
          <w:color w:val="231F20"/>
          <w:w w:val="105"/>
        </w:rPr>
        <w:t>that</w:t>
      </w:r>
      <w:r>
        <w:rPr>
          <w:color w:val="231F20"/>
          <w:spacing w:val="-22"/>
          <w:w w:val="105"/>
        </w:rPr>
        <w:t> </w:t>
      </w:r>
      <w:r>
        <w:rPr>
          <w:color w:val="231F20"/>
          <w:w w:val="105"/>
        </w:rPr>
        <w:t>stimulate</w:t>
      </w:r>
      <w:r>
        <w:rPr>
          <w:color w:val="231F20"/>
          <w:spacing w:val="-22"/>
          <w:w w:val="105"/>
        </w:rPr>
        <w:t> </w:t>
      </w:r>
      <w:r>
        <w:rPr>
          <w:color w:val="231F20"/>
          <w:w w:val="105"/>
        </w:rPr>
        <w:t>Na</w:t>
      </w:r>
      <w:r>
        <w:rPr>
          <w:rFonts w:ascii="Consolas" w:hAnsi="Consolas"/>
          <w:color w:val="231F20"/>
          <w:w w:val="105"/>
          <w:position w:val="8"/>
          <w:sz w:val="12"/>
        </w:rPr>
        <w:t>+</w:t>
      </w:r>
      <w:r>
        <w:rPr>
          <w:rFonts w:ascii="Consolas" w:hAnsi="Consolas"/>
          <w:color w:val="231F20"/>
          <w:spacing w:val="-39"/>
          <w:w w:val="105"/>
          <w:position w:val="8"/>
          <w:sz w:val="12"/>
        </w:rPr>
        <w:t> </w:t>
      </w:r>
      <w:r>
        <w:rPr>
          <w:color w:val="231F20"/>
          <w:w w:val="105"/>
        </w:rPr>
        <w:t>reabsorption,</w:t>
      </w:r>
      <w:r>
        <w:rPr>
          <w:color w:val="231F20"/>
          <w:spacing w:val="-22"/>
          <w:w w:val="105"/>
        </w:rPr>
        <w:t> </w:t>
      </w:r>
      <w:r>
        <w:rPr>
          <w:color w:val="231F20"/>
          <w:w w:val="105"/>
        </w:rPr>
        <w:t>such</w:t>
      </w:r>
      <w:r>
        <w:rPr>
          <w:color w:val="231F20"/>
          <w:spacing w:val="-22"/>
          <w:w w:val="105"/>
        </w:rPr>
        <w:t> </w:t>
      </w:r>
      <w:r>
        <w:rPr>
          <w:color w:val="231F20"/>
          <w:w w:val="105"/>
        </w:rPr>
        <w:t>as</w:t>
      </w:r>
      <w:r>
        <w:rPr>
          <w:color w:val="231F20"/>
          <w:spacing w:val="-22"/>
          <w:w w:val="105"/>
        </w:rPr>
        <w:t> </w:t>
      </w:r>
      <w:r>
        <w:rPr>
          <w:color w:val="231F20"/>
          <w:w w:val="105"/>
        </w:rPr>
        <w:t>decreased extracellular</w:t>
      </w:r>
      <w:r>
        <w:rPr>
          <w:color w:val="231F20"/>
          <w:spacing w:val="-22"/>
          <w:w w:val="105"/>
        </w:rPr>
        <w:t> </w:t>
      </w:r>
      <w:r>
        <w:rPr>
          <w:color w:val="231F20"/>
          <w:w w:val="105"/>
        </w:rPr>
        <w:t>fluid</w:t>
      </w:r>
      <w:r>
        <w:rPr>
          <w:color w:val="231F20"/>
          <w:spacing w:val="-21"/>
          <w:w w:val="105"/>
        </w:rPr>
        <w:t> </w:t>
      </w:r>
      <w:r>
        <w:rPr>
          <w:color w:val="231F20"/>
          <w:w w:val="105"/>
        </w:rPr>
        <w:t>volume,</w:t>
      </w:r>
      <w:r>
        <w:rPr>
          <w:color w:val="231F20"/>
          <w:spacing w:val="-21"/>
          <w:w w:val="105"/>
        </w:rPr>
        <w:t> </w:t>
      </w:r>
      <w:r>
        <w:rPr>
          <w:color w:val="231F20"/>
          <w:w w:val="105"/>
        </w:rPr>
        <w:t>may</w:t>
      </w:r>
      <w:r>
        <w:rPr>
          <w:color w:val="231F20"/>
          <w:spacing w:val="-21"/>
          <w:w w:val="105"/>
        </w:rPr>
        <w:t> </w:t>
      </w:r>
      <w:r>
        <w:rPr>
          <w:color w:val="231F20"/>
          <w:w w:val="105"/>
        </w:rPr>
        <w:t>also</w:t>
      </w:r>
      <w:r>
        <w:rPr>
          <w:color w:val="231F20"/>
          <w:spacing w:val="-22"/>
          <w:w w:val="105"/>
        </w:rPr>
        <w:t> </w:t>
      </w:r>
      <w:r>
        <w:rPr>
          <w:color w:val="231F20"/>
          <w:w w:val="105"/>
        </w:rPr>
        <w:t>secondarily</w:t>
      </w:r>
      <w:r>
        <w:rPr>
          <w:color w:val="231F20"/>
          <w:spacing w:val="-21"/>
          <w:w w:val="105"/>
        </w:rPr>
        <w:t> </w:t>
      </w:r>
      <w:r>
        <w:rPr>
          <w:color w:val="231F20"/>
          <w:w w:val="105"/>
        </w:rPr>
        <w:t>increase H</w:t>
      </w:r>
      <w:r>
        <w:rPr>
          <w:rFonts w:ascii="Consolas" w:hAnsi="Consolas"/>
          <w:color w:val="231F20"/>
          <w:w w:val="105"/>
          <w:position w:val="8"/>
          <w:sz w:val="12"/>
        </w:rPr>
        <w:t>+ </w:t>
      </w:r>
      <w:r>
        <w:rPr>
          <w:color w:val="231F20"/>
          <w:w w:val="105"/>
        </w:rPr>
        <w:t>secretion and HCO </w:t>
      </w:r>
      <w:r>
        <w:rPr>
          <w:rFonts w:ascii="Consolas" w:hAnsi="Consolas"/>
          <w:color w:val="231F20"/>
          <w:w w:val="105"/>
          <w:position w:val="8"/>
          <w:sz w:val="12"/>
        </w:rPr>
        <w:t>−</w:t>
      </w:r>
      <w:r>
        <w:rPr>
          <w:rFonts w:ascii="Consolas" w:hAnsi="Consolas"/>
          <w:color w:val="231F20"/>
          <w:spacing w:val="-16"/>
          <w:w w:val="105"/>
          <w:position w:val="8"/>
          <w:sz w:val="12"/>
        </w:rPr>
        <w:t> </w:t>
      </w:r>
      <w:r>
        <w:rPr>
          <w:color w:val="231F20"/>
          <w:w w:val="105"/>
        </w:rPr>
        <w:t>reabsorption.</w:t>
      </w:r>
    </w:p>
    <w:p>
      <w:pPr>
        <w:pStyle w:val="BodyText"/>
        <w:spacing w:line="247" w:lineRule="auto" w:before="10"/>
        <w:ind w:left="1439" w:firstLine="240"/>
        <w:jc w:val="both"/>
      </w:pPr>
      <w:r>
        <w:rPr/>
        <w:pict>
          <v:shape style="position:absolute;margin-left:133.8815pt;margin-top:29.76193pt;width:3pt;height:8.7pt;mso-position-horizontal-relative:page;mso-position-vertical-relative:paragraph;z-index:-2723246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Extracellular</w:t>
      </w:r>
      <w:r>
        <w:rPr>
          <w:color w:val="231F20"/>
          <w:spacing w:val="-35"/>
          <w:w w:val="105"/>
        </w:rPr>
        <w:t> </w:t>
      </w:r>
      <w:r>
        <w:rPr>
          <w:color w:val="231F20"/>
          <w:w w:val="105"/>
        </w:rPr>
        <w:t>fluid</w:t>
      </w:r>
      <w:r>
        <w:rPr>
          <w:color w:val="231F20"/>
          <w:spacing w:val="-35"/>
          <w:w w:val="105"/>
        </w:rPr>
        <w:t> </w:t>
      </w:r>
      <w:r>
        <w:rPr>
          <w:color w:val="231F20"/>
          <w:w w:val="105"/>
        </w:rPr>
        <w:t>volume</w:t>
      </w:r>
      <w:r>
        <w:rPr>
          <w:color w:val="231F20"/>
          <w:spacing w:val="-35"/>
          <w:w w:val="105"/>
        </w:rPr>
        <w:t> </w:t>
      </w:r>
      <w:r>
        <w:rPr>
          <w:color w:val="231F20"/>
          <w:w w:val="105"/>
        </w:rPr>
        <w:t>depletion</w:t>
      </w:r>
      <w:r>
        <w:rPr>
          <w:color w:val="231F20"/>
          <w:spacing w:val="-34"/>
          <w:w w:val="105"/>
        </w:rPr>
        <w:t> </w:t>
      </w:r>
      <w:r>
        <w:rPr>
          <w:color w:val="231F20"/>
          <w:w w:val="105"/>
        </w:rPr>
        <w:t>stimulates</w:t>
      </w:r>
      <w:r>
        <w:rPr>
          <w:color w:val="231F20"/>
          <w:spacing w:val="-35"/>
          <w:w w:val="105"/>
        </w:rPr>
        <w:t> </w:t>
      </w:r>
      <w:r>
        <w:rPr>
          <w:color w:val="231F20"/>
          <w:spacing w:val="-3"/>
          <w:w w:val="105"/>
        </w:rPr>
        <w:t>sodium </w:t>
      </w:r>
      <w:r>
        <w:rPr>
          <w:color w:val="231F20"/>
          <w:w w:val="105"/>
        </w:rPr>
        <w:t>reabsorption</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1"/>
          <w:w w:val="105"/>
        </w:rPr>
        <w:t> </w:t>
      </w:r>
      <w:r>
        <w:rPr>
          <w:color w:val="231F20"/>
          <w:w w:val="105"/>
        </w:rPr>
        <w:t>renal</w:t>
      </w:r>
      <w:r>
        <w:rPr>
          <w:color w:val="231F20"/>
          <w:spacing w:val="-12"/>
          <w:w w:val="105"/>
        </w:rPr>
        <w:t> </w:t>
      </w:r>
      <w:r>
        <w:rPr>
          <w:color w:val="231F20"/>
          <w:w w:val="105"/>
        </w:rPr>
        <w:t>tubules</w:t>
      </w:r>
      <w:r>
        <w:rPr>
          <w:color w:val="231F20"/>
          <w:spacing w:val="-11"/>
          <w:w w:val="105"/>
        </w:rPr>
        <w:t> </w:t>
      </w:r>
      <w:r>
        <w:rPr>
          <w:color w:val="231F20"/>
          <w:w w:val="105"/>
        </w:rPr>
        <w:t>and</w:t>
      </w:r>
      <w:r>
        <w:rPr>
          <w:color w:val="231F20"/>
          <w:spacing w:val="-12"/>
          <w:w w:val="105"/>
        </w:rPr>
        <w:t> </w:t>
      </w:r>
      <w:r>
        <w:rPr>
          <w:color w:val="231F20"/>
          <w:w w:val="105"/>
        </w:rPr>
        <w:t>increases</w:t>
      </w:r>
      <w:r>
        <w:rPr>
          <w:color w:val="231F20"/>
          <w:spacing w:val="-12"/>
          <w:w w:val="105"/>
        </w:rPr>
        <w:t> </w:t>
      </w:r>
      <w:r>
        <w:rPr>
          <w:color w:val="231F20"/>
          <w:w w:val="105"/>
        </w:rPr>
        <w:t>H</w:t>
      </w:r>
      <w:r>
        <w:rPr>
          <w:rFonts w:ascii="Consolas" w:hAnsi="Consolas"/>
          <w:color w:val="231F20"/>
          <w:w w:val="105"/>
          <w:position w:val="8"/>
          <w:sz w:val="12"/>
        </w:rPr>
        <w:t>+</w:t>
      </w:r>
      <w:r>
        <w:rPr>
          <w:rFonts w:ascii="Consolas" w:hAnsi="Consolas"/>
          <w:color w:val="231F20"/>
          <w:spacing w:val="-28"/>
          <w:w w:val="105"/>
          <w:position w:val="8"/>
          <w:sz w:val="12"/>
        </w:rPr>
        <w:t> </w:t>
      </w:r>
      <w:r>
        <w:rPr>
          <w:color w:val="231F20"/>
          <w:w w:val="105"/>
        </w:rPr>
        <w:t>secre- tion</w:t>
      </w:r>
      <w:r>
        <w:rPr>
          <w:color w:val="231F20"/>
          <w:spacing w:val="22"/>
          <w:w w:val="105"/>
        </w:rPr>
        <w:t> </w:t>
      </w:r>
      <w:r>
        <w:rPr>
          <w:color w:val="231F20"/>
          <w:w w:val="105"/>
        </w:rPr>
        <w:t>and</w:t>
      </w:r>
      <w:r>
        <w:rPr>
          <w:color w:val="231F20"/>
          <w:spacing w:val="22"/>
          <w:w w:val="105"/>
        </w:rPr>
        <w:t> </w:t>
      </w:r>
      <w:r>
        <w:rPr>
          <w:color w:val="231F20"/>
          <w:w w:val="105"/>
        </w:rPr>
        <w:t>HCO</w:t>
      </w:r>
      <w:r>
        <w:rPr>
          <w:color w:val="231F20"/>
          <w:spacing w:val="5"/>
          <w:w w:val="105"/>
        </w:rPr>
        <w:t> </w:t>
      </w:r>
      <w:r>
        <w:rPr>
          <w:rFonts w:ascii="Consolas" w:hAnsi="Consolas"/>
          <w:color w:val="231F20"/>
          <w:w w:val="105"/>
          <w:position w:val="8"/>
          <w:sz w:val="12"/>
        </w:rPr>
        <w:t>−</w:t>
      </w:r>
      <w:r>
        <w:rPr>
          <w:rFonts w:ascii="Consolas" w:hAnsi="Consolas"/>
          <w:color w:val="231F20"/>
          <w:spacing w:val="5"/>
          <w:w w:val="105"/>
          <w:position w:val="8"/>
          <w:sz w:val="12"/>
        </w:rPr>
        <w:t> </w:t>
      </w:r>
      <w:r>
        <w:rPr>
          <w:color w:val="231F20"/>
          <w:w w:val="105"/>
        </w:rPr>
        <w:t>reabsorption</w:t>
      </w:r>
      <w:r>
        <w:rPr>
          <w:color w:val="231F20"/>
          <w:spacing w:val="23"/>
          <w:w w:val="105"/>
        </w:rPr>
        <w:t> </w:t>
      </w:r>
      <w:r>
        <w:rPr>
          <w:color w:val="231F20"/>
          <w:w w:val="105"/>
        </w:rPr>
        <w:t>through</w:t>
      </w:r>
      <w:r>
        <w:rPr>
          <w:color w:val="231F20"/>
          <w:spacing w:val="22"/>
          <w:w w:val="105"/>
        </w:rPr>
        <w:t> </w:t>
      </w:r>
      <w:r>
        <w:rPr>
          <w:color w:val="231F20"/>
          <w:w w:val="105"/>
        </w:rPr>
        <w:t>multiple</w:t>
      </w:r>
      <w:r>
        <w:rPr>
          <w:color w:val="231F20"/>
          <w:spacing w:val="23"/>
          <w:w w:val="105"/>
        </w:rPr>
        <w:t> </w:t>
      </w:r>
      <w:r>
        <w:rPr>
          <w:color w:val="231F20"/>
          <w:w w:val="105"/>
        </w:rPr>
        <w:t>mecha-</w:t>
      </w:r>
    </w:p>
    <w:p>
      <w:pPr>
        <w:pStyle w:val="BodyText"/>
        <w:spacing w:before="6"/>
        <w:ind w:left="319"/>
      </w:pPr>
      <w:r>
        <w:rPr/>
        <w:br w:type="column"/>
      </w:r>
      <w:r>
        <w:rPr>
          <w:color w:val="231F20"/>
        </w:rPr>
        <w:t>acidosis.</w:t>
      </w:r>
    </w:p>
    <w:p>
      <w:pPr>
        <w:pStyle w:val="BodyText"/>
        <w:spacing w:before="2"/>
        <w:rPr>
          <w:sz w:val="24"/>
        </w:rPr>
      </w:pPr>
      <w:r>
        <w:rPr/>
        <w:pict>
          <v:group style="position:absolute;margin-left:324pt;margin-top:15.865436pt;width:237pt;height:52.5pt;mso-position-horizontal-relative:page;mso-position-vertical-relative:paragraph;z-index:-250258432;mso-wrap-distance-left:0;mso-wrap-distance-right:0" coordorigin="6480,317" coordsize="4740,1050">
            <v:rect style="position:absolute;left:6480;top:317;width:4680;height:1045" filled="true" fillcolor="#e8dac8" stroked="false">
              <v:fill type="solid"/>
            </v:rect>
            <v:line style="position:absolute" from="6540,1362" to="11220,1362" stroked="true" strokeweight=".5pt" strokecolor="#231f20">
              <v:stroke dashstyle="solid"/>
            </v:line>
            <v:shape style="position:absolute;left:6540;top:813;width:3511;height:273" type="#_x0000_t202" filled="false" stroked="false">
              <v:textbox inset="0,0,0,0">
                <w:txbxContent>
                  <w:p>
                    <w:pPr>
                      <w:spacing w:before="13"/>
                      <w:ind w:left="0" w:right="0" w:firstLine="0"/>
                      <w:jc w:val="left"/>
                      <w:rPr>
                        <w:rFonts w:ascii="Consolas" w:hAnsi="Consolas"/>
                        <w:b/>
                        <w:sz w:val="13"/>
                      </w:rPr>
                    </w:pPr>
                    <w:r>
                      <w:rPr>
                        <w:rFonts w:ascii="Trebuchet MS" w:hAnsi="Trebuchet MS"/>
                        <w:b/>
                        <w:color w:val="231F20"/>
                        <w:w w:val="110"/>
                        <w:sz w:val="22"/>
                      </w:rPr>
                      <w:t>OF H</w:t>
                    </w:r>
                    <w:r>
                      <w:rPr>
                        <w:rFonts w:ascii="Consolas" w:hAnsi="Consolas"/>
                        <w:b/>
                        <w:color w:val="231F20"/>
                        <w:w w:val="110"/>
                        <w:position w:val="9"/>
                        <w:sz w:val="13"/>
                      </w:rPr>
                      <w:t>+ </w:t>
                    </w:r>
                    <w:r>
                      <w:rPr>
                        <w:rFonts w:ascii="Trebuchet MS" w:hAnsi="Trebuchet MS"/>
                        <w:b/>
                        <w:color w:val="231F20"/>
                        <w:w w:val="110"/>
                        <w:sz w:val="22"/>
                      </w:rPr>
                      <w:t>AND ADDITION OF HCO</w:t>
                    </w:r>
                    <w:r>
                      <w:rPr>
                        <w:rFonts w:ascii="Trebuchet MS" w:hAnsi="Trebuchet MS"/>
                        <w:b/>
                        <w:color w:val="231F20"/>
                        <w:spacing w:val="65"/>
                        <w:w w:val="110"/>
                        <w:sz w:val="22"/>
                      </w:rPr>
                      <w:t> </w:t>
                    </w:r>
                    <w:r>
                      <w:rPr>
                        <w:rFonts w:ascii="Consolas" w:hAnsi="Consolas"/>
                        <w:b/>
                        <w:color w:val="231F20"/>
                        <w:w w:val="110"/>
                        <w:position w:val="9"/>
                        <w:sz w:val="13"/>
                      </w:rPr>
                      <w:t>−</w:t>
                    </w:r>
                  </w:p>
                </w:txbxContent>
              </v:textbox>
              <w10:wrap type="none"/>
            </v:shape>
            <v:shape style="position:absolute;left:6539;top:944;width:3478;height:382" type="#_x0000_t202" filled="false" stroked="false">
              <v:textbox inset="0,0,0,0">
                <w:txbxContent>
                  <w:p>
                    <w:pPr>
                      <w:spacing w:line="137" w:lineRule="exact" w:before="4"/>
                      <w:ind w:left="0" w:right="57" w:firstLine="0"/>
                      <w:jc w:val="right"/>
                      <w:rPr>
                        <w:rFonts w:ascii="Trebuchet MS"/>
                        <w:b/>
                        <w:sz w:val="13"/>
                      </w:rPr>
                    </w:pPr>
                    <w:r>
                      <w:rPr>
                        <w:rFonts w:ascii="Trebuchet MS"/>
                        <w:b/>
                        <w:color w:val="231F20"/>
                        <w:w w:val="106"/>
                        <w:sz w:val="13"/>
                      </w:rPr>
                      <w:t>3</w:t>
                    </w:r>
                  </w:p>
                  <w:p>
                    <w:pPr>
                      <w:spacing w:line="241" w:lineRule="exact" w:before="0"/>
                      <w:ind w:left="0" w:right="0" w:firstLine="0"/>
                      <w:jc w:val="left"/>
                      <w:rPr>
                        <w:rFonts w:ascii="Trebuchet MS"/>
                        <w:b/>
                        <w:sz w:val="22"/>
                      </w:rPr>
                    </w:pPr>
                    <w:r>
                      <w:rPr>
                        <w:rFonts w:ascii="Trebuchet MS"/>
                        <w:b/>
                        <w:color w:val="231F20"/>
                        <w:w w:val="105"/>
                        <w:sz w:val="22"/>
                      </w:rPr>
                      <w:t>TO THE EXTRACELLULAR FLUID</w:t>
                    </w:r>
                  </w:p>
                </w:txbxContent>
              </v:textbox>
              <w10:wrap type="none"/>
            </v:shape>
            <v:shape style="position:absolute;left:6540;top:347;width:3940;height:499" type="#_x0000_t202" filled="false" stroked="false">
              <v:textbox inset="0,0,0,0">
                <w:txbxContent>
                  <w:p>
                    <w:pPr>
                      <w:spacing w:line="225" w:lineRule="auto" w:before="15"/>
                      <w:ind w:left="0" w:right="0" w:firstLine="0"/>
                      <w:jc w:val="left"/>
                      <w:rPr>
                        <w:rFonts w:ascii="Trebuchet MS" w:hAnsi="Trebuchet MS"/>
                        <w:b/>
                        <w:sz w:val="22"/>
                      </w:rPr>
                    </w:pPr>
                    <w:r>
                      <w:rPr>
                        <w:rFonts w:ascii="Trebuchet MS" w:hAnsi="Trebuchet MS"/>
                        <w:b/>
                        <w:color w:val="231F20"/>
                        <w:w w:val="110"/>
                        <w:sz w:val="22"/>
                      </w:rPr>
                      <w:t>RENAL CORRECTION OF ACIDOSIS—INCREASED EXCRETION</w:t>
                    </w:r>
                  </w:p>
                </w:txbxContent>
              </v:textbox>
              <w10:wrap type="none"/>
            </v:shape>
            <w10:wrap type="topAndBottom"/>
          </v:group>
        </w:pict>
      </w:r>
    </w:p>
    <w:p>
      <w:pPr>
        <w:pStyle w:val="BodyText"/>
        <w:spacing w:line="249" w:lineRule="auto" w:before="54"/>
        <w:ind w:left="319" w:right="1077"/>
        <w:jc w:val="both"/>
      </w:pPr>
      <w:r>
        <w:rPr>
          <w:color w:val="231F20"/>
          <w:w w:val="105"/>
        </w:rPr>
        <w:t>Now that we have described the mechanisms by </w:t>
      </w:r>
      <w:r>
        <w:rPr>
          <w:color w:val="231F20"/>
          <w:spacing w:val="-4"/>
          <w:w w:val="105"/>
        </w:rPr>
        <w:t>which </w:t>
      </w:r>
      <w:r>
        <w:rPr>
          <w:color w:val="231F20"/>
          <w:w w:val="105"/>
        </w:rPr>
        <w:t>the kidneys secrete H</w:t>
      </w:r>
      <w:r>
        <w:rPr>
          <w:rFonts w:ascii="Consolas" w:hAnsi="Consolas"/>
          <w:color w:val="231F20"/>
          <w:w w:val="105"/>
          <w:position w:val="8"/>
          <w:sz w:val="12"/>
        </w:rPr>
        <w:t>+ </w:t>
      </w:r>
      <w:r>
        <w:rPr>
          <w:color w:val="231F20"/>
          <w:w w:val="105"/>
        </w:rPr>
        <w:t>and reabsorb HCO </w:t>
      </w:r>
      <w:r>
        <w:rPr>
          <w:rFonts w:ascii="Consolas" w:hAnsi="Consolas"/>
          <w:color w:val="231F20"/>
          <w:w w:val="105"/>
          <w:position w:val="8"/>
          <w:sz w:val="12"/>
        </w:rPr>
        <w:t>−</w:t>
      </w:r>
      <w:r>
        <w:rPr>
          <w:color w:val="231F20"/>
          <w:w w:val="105"/>
        </w:rPr>
        <w:t>, we can explain how the kidneys readjust the pH of the</w:t>
      </w:r>
      <w:r>
        <w:rPr>
          <w:color w:val="231F20"/>
          <w:spacing w:val="-32"/>
          <w:w w:val="105"/>
        </w:rPr>
        <w:t> </w:t>
      </w:r>
      <w:r>
        <w:rPr>
          <w:color w:val="231F20"/>
          <w:w w:val="105"/>
        </w:rPr>
        <w:t>extracel- lular fluid when it becomes</w:t>
      </w:r>
      <w:r>
        <w:rPr>
          <w:color w:val="231F20"/>
          <w:spacing w:val="6"/>
          <w:w w:val="105"/>
        </w:rPr>
        <w:t> </w:t>
      </w:r>
      <w:r>
        <w:rPr>
          <w:color w:val="231F20"/>
          <w:w w:val="105"/>
        </w:rPr>
        <w:t>abnormal.</w:t>
      </w:r>
    </w:p>
    <w:p>
      <w:pPr>
        <w:pStyle w:val="BodyText"/>
        <w:spacing w:line="249" w:lineRule="auto"/>
        <w:ind w:left="319" w:right="1077" w:firstLine="240"/>
        <w:jc w:val="both"/>
        <w:rPr>
          <w:i/>
        </w:rPr>
      </w:pPr>
      <w:r>
        <w:rPr/>
        <w:pict>
          <v:shape style="position:absolute;margin-left:512.878906pt;margin-top:-30.73807pt;width:3pt;height:8.7pt;mso-position-horizontal-relative:page;mso-position-vertical-relative:paragraph;z-index:-2723358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82.445099pt;margin-top:53.261932pt;width:3pt;height:8.7pt;mso-position-horizontal-relative:page;mso-position-vertical-relative:paragraph;z-index:-2723348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59.434814pt;margin-top:29.26193pt;width:42.1pt;height:8.7pt;mso-position-horizontal-relative:page;mso-position-vertical-relative:paragraph;z-index:-272330752" type="#_x0000_t202" filled="false" stroked="false">
            <v:textbox inset="0,0,0,0">
              <w:txbxContent>
                <w:p>
                  <w:pPr>
                    <w:tabs>
                      <w:tab w:pos="782" w:val="left" w:leader="none"/>
                    </w:tabs>
                    <w:spacing w:line="137" w:lineRule="exact" w:before="0"/>
                    <w:ind w:left="0" w:right="0" w:firstLine="0"/>
                    <w:jc w:val="left"/>
                    <w:rPr>
                      <w:sz w:val="12"/>
                    </w:rPr>
                  </w:pPr>
                  <w:r>
                    <w:rPr>
                      <w:color w:val="231F20"/>
                      <w:sz w:val="12"/>
                    </w:rPr>
                    <w:t>3</w:t>
                    <w:tab/>
                  </w:r>
                  <w:r>
                    <w:rPr>
                      <w:color w:val="231F20"/>
                      <w:spacing w:val="-20"/>
                      <w:sz w:val="12"/>
                    </w:rPr>
                    <w:t>2</w:t>
                  </w:r>
                </w:p>
              </w:txbxContent>
            </v:textbox>
            <w10:wrap type="none"/>
          </v:shape>
        </w:pict>
      </w:r>
      <w:r>
        <w:rPr>
          <w:color w:val="231F20"/>
          <w:w w:val="105"/>
        </w:rPr>
        <w:t>Referring to Equation 8, the Henderson-Hasselbalch equation, we can see that acidosis occurs when the </w:t>
      </w:r>
      <w:r>
        <w:rPr>
          <w:color w:val="231F20"/>
          <w:spacing w:val="-4"/>
          <w:w w:val="105"/>
        </w:rPr>
        <w:t>ratio </w:t>
      </w:r>
      <w:r>
        <w:rPr>
          <w:color w:val="231F20"/>
          <w:w w:val="105"/>
        </w:rPr>
        <w:t>of HCO </w:t>
      </w:r>
      <w:r>
        <w:rPr>
          <w:rFonts w:ascii="Consolas" w:hAnsi="Consolas"/>
          <w:color w:val="231F20"/>
          <w:w w:val="105"/>
          <w:position w:val="8"/>
          <w:sz w:val="12"/>
        </w:rPr>
        <w:t>− </w:t>
      </w:r>
      <w:r>
        <w:rPr>
          <w:color w:val="231F20"/>
          <w:w w:val="105"/>
        </w:rPr>
        <w:t>to CO in the extracellular fluid decreases, thereby</w:t>
      </w:r>
      <w:r>
        <w:rPr>
          <w:color w:val="231F20"/>
          <w:spacing w:val="-7"/>
          <w:w w:val="105"/>
        </w:rPr>
        <w:t> </w:t>
      </w:r>
      <w:r>
        <w:rPr>
          <w:color w:val="231F20"/>
          <w:w w:val="105"/>
        </w:rPr>
        <w:t>decreasing</w:t>
      </w:r>
      <w:r>
        <w:rPr>
          <w:color w:val="231F20"/>
          <w:spacing w:val="-7"/>
          <w:w w:val="105"/>
        </w:rPr>
        <w:t> </w:t>
      </w:r>
      <w:r>
        <w:rPr>
          <w:color w:val="231F20"/>
          <w:w w:val="105"/>
        </w:rPr>
        <w:t>pH.</w:t>
      </w:r>
      <w:r>
        <w:rPr>
          <w:color w:val="231F20"/>
          <w:spacing w:val="-7"/>
          <w:w w:val="105"/>
        </w:rPr>
        <w:t> </w:t>
      </w:r>
      <w:r>
        <w:rPr>
          <w:color w:val="231F20"/>
          <w:w w:val="105"/>
        </w:rPr>
        <w:t>If</w:t>
      </w:r>
      <w:r>
        <w:rPr>
          <w:color w:val="231F20"/>
          <w:spacing w:val="-7"/>
          <w:w w:val="105"/>
        </w:rPr>
        <w:t> </w:t>
      </w:r>
      <w:r>
        <w:rPr>
          <w:color w:val="231F20"/>
          <w:w w:val="105"/>
        </w:rPr>
        <w:t>this</w:t>
      </w:r>
      <w:r>
        <w:rPr>
          <w:color w:val="231F20"/>
          <w:spacing w:val="-6"/>
          <w:w w:val="105"/>
        </w:rPr>
        <w:t> </w:t>
      </w:r>
      <w:r>
        <w:rPr>
          <w:color w:val="231F20"/>
          <w:w w:val="105"/>
        </w:rPr>
        <w:t>ratio</w:t>
      </w:r>
      <w:r>
        <w:rPr>
          <w:color w:val="231F20"/>
          <w:spacing w:val="-7"/>
          <w:w w:val="105"/>
        </w:rPr>
        <w:t> </w:t>
      </w:r>
      <w:r>
        <w:rPr>
          <w:color w:val="231F20"/>
          <w:w w:val="105"/>
        </w:rPr>
        <w:t>decreases</w:t>
      </w:r>
      <w:r>
        <w:rPr>
          <w:color w:val="231F20"/>
          <w:spacing w:val="-7"/>
          <w:w w:val="105"/>
        </w:rPr>
        <w:t> </w:t>
      </w:r>
      <w:r>
        <w:rPr>
          <w:color w:val="231F20"/>
          <w:w w:val="105"/>
        </w:rPr>
        <w:t>because</w:t>
      </w:r>
      <w:r>
        <w:rPr>
          <w:color w:val="231F20"/>
          <w:spacing w:val="-7"/>
          <w:w w:val="105"/>
        </w:rPr>
        <w:t> </w:t>
      </w:r>
      <w:r>
        <w:rPr>
          <w:color w:val="231F20"/>
          <w:w w:val="105"/>
        </w:rPr>
        <w:t>of a fall in HCO </w:t>
      </w:r>
      <w:r>
        <w:rPr>
          <w:rFonts w:ascii="Consolas" w:hAnsi="Consolas"/>
          <w:color w:val="231F20"/>
          <w:w w:val="105"/>
          <w:position w:val="8"/>
          <w:sz w:val="12"/>
        </w:rPr>
        <w:t>−</w:t>
      </w:r>
      <w:r>
        <w:rPr>
          <w:color w:val="231F20"/>
          <w:w w:val="105"/>
        </w:rPr>
        <w:t>, the acidosis is referred to as </w:t>
      </w:r>
      <w:r>
        <w:rPr>
          <w:i/>
          <w:color w:val="231F20"/>
          <w:w w:val="105"/>
        </w:rPr>
        <w:t>metabolic </w:t>
      </w:r>
      <w:r>
        <w:rPr>
          <w:i/>
          <w:color w:val="231F20"/>
          <w:w w:val="105"/>
        </w:rPr>
        <w:t>acidosis. </w:t>
      </w:r>
      <w:r>
        <w:rPr>
          <w:color w:val="231F20"/>
          <w:w w:val="105"/>
        </w:rPr>
        <w:t>If the pH falls because of an increase in P</w:t>
      </w:r>
      <w:r>
        <w:rPr>
          <w:color w:val="231F20"/>
          <w:w w:val="105"/>
          <w:sz w:val="16"/>
        </w:rPr>
        <w:t>CO</w:t>
      </w:r>
      <w:r>
        <w:rPr>
          <w:color w:val="231F20"/>
          <w:w w:val="105"/>
          <w:sz w:val="16"/>
          <w:vertAlign w:val="subscript"/>
        </w:rPr>
        <w:t>2</w:t>
      </w:r>
      <w:r>
        <w:rPr>
          <w:color w:val="231F20"/>
          <w:w w:val="105"/>
          <w:vertAlign w:val="baseline"/>
        </w:rPr>
        <w:t>, the acidosis is referred to as </w:t>
      </w:r>
      <w:r>
        <w:rPr>
          <w:i/>
          <w:color w:val="231F20"/>
          <w:w w:val="105"/>
          <w:vertAlign w:val="baseline"/>
        </w:rPr>
        <w:t>respiratory</w:t>
      </w:r>
      <w:r>
        <w:rPr>
          <w:i/>
          <w:color w:val="231F20"/>
          <w:spacing w:val="-36"/>
          <w:w w:val="105"/>
          <w:vertAlign w:val="baseline"/>
        </w:rPr>
        <w:t> </w:t>
      </w:r>
      <w:r>
        <w:rPr>
          <w:i/>
          <w:color w:val="231F20"/>
          <w:w w:val="105"/>
          <w:vertAlign w:val="baseline"/>
        </w:rPr>
        <w:t>acidosis.</w:t>
      </w:r>
    </w:p>
    <w:p>
      <w:pPr>
        <w:pStyle w:val="BodyText"/>
        <w:spacing w:before="1"/>
        <w:rPr>
          <w:i/>
          <w:sz w:val="29"/>
        </w:rPr>
      </w:pPr>
    </w:p>
    <w:p>
      <w:pPr>
        <w:pStyle w:val="Heading2"/>
        <w:spacing w:line="251" w:lineRule="exact" w:before="1"/>
        <w:jc w:val="both"/>
        <w:rPr>
          <w:rFonts w:ascii="Consolas" w:hAnsi="Consolas"/>
          <w:sz w:val="13"/>
        </w:rPr>
      </w:pPr>
      <w:r>
        <w:rPr/>
        <w:pict>
          <v:shape style="position:absolute;margin-left:487.819214pt;margin-top:6.008486pt;width:3.7pt;height:7.65pt;mso-position-horizontal-relative:page;mso-position-vertical-relative:paragraph;z-index:-272333824" type="#_x0000_t202" filled="false" stroked="false">
            <v:textbox inset="0,0,0,0">
              <w:txbxContent>
                <w:p>
                  <w:pPr>
                    <w:spacing w:before="1"/>
                    <w:ind w:left="0" w:right="0" w:firstLine="0"/>
                    <w:jc w:val="left"/>
                    <w:rPr>
                      <w:rFonts w:ascii="Trebuchet MS"/>
                      <w:b/>
                      <w:sz w:val="13"/>
                    </w:rPr>
                  </w:pPr>
                  <w:r>
                    <w:rPr>
                      <w:rFonts w:ascii="Trebuchet MS"/>
                      <w:b/>
                      <w:color w:val="231F20"/>
                      <w:w w:val="96"/>
                      <w:sz w:val="13"/>
                    </w:rPr>
                    <w:t>3</w:t>
                  </w:r>
                </w:p>
              </w:txbxContent>
            </v:textbox>
            <w10:wrap type="none"/>
          </v:shape>
        </w:pict>
      </w:r>
      <w:r>
        <w:rPr>
          <w:color w:val="231F20"/>
          <w:w w:val="105"/>
        </w:rPr>
        <w:t>ACIDOSIS DECREASES THE HCO </w:t>
      </w:r>
      <w:r>
        <w:rPr>
          <w:rFonts w:ascii="Consolas" w:hAnsi="Consolas"/>
          <w:color w:val="231F20"/>
          <w:w w:val="105"/>
          <w:position w:val="9"/>
          <w:sz w:val="13"/>
        </w:rPr>
        <w:t>−</w:t>
      </w:r>
      <w:r>
        <w:rPr>
          <w:color w:val="231F20"/>
          <w:w w:val="105"/>
        </w:rPr>
        <w:t>/H</w:t>
      </w:r>
      <w:r>
        <w:rPr>
          <w:rFonts w:ascii="Consolas" w:hAnsi="Consolas"/>
          <w:color w:val="231F20"/>
          <w:w w:val="105"/>
          <w:position w:val="9"/>
          <w:sz w:val="13"/>
        </w:rPr>
        <w:t>+</w:t>
      </w:r>
    </w:p>
    <w:p>
      <w:pPr>
        <w:spacing w:line="248" w:lineRule="exact" w:before="0"/>
        <w:ind w:left="319" w:right="0" w:firstLine="0"/>
        <w:jc w:val="both"/>
        <w:rPr>
          <w:rFonts w:ascii="Trebuchet MS"/>
          <w:b/>
          <w:sz w:val="22"/>
        </w:rPr>
      </w:pPr>
      <w:r>
        <w:rPr>
          <w:rFonts w:ascii="Trebuchet MS"/>
          <w:b/>
          <w:color w:val="231F20"/>
          <w:w w:val="105"/>
          <w:sz w:val="22"/>
        </w:rPr>
        <w:t>RATIO IN RENAL TUBULAR FLUID</w:t>
      </w:r>
    </w:p>
    <w:p>
      <w:pPr>
        <w:pStyle w:val="BodyText"/>
        <w:spacing w:line="247" w:lineRule="auto" w:before="124"/>
        <w:ind w:left="319" w:right="1077"/>
        <w:jc w:val="both"/>
      </w:pPr>
      <w:r>
        <w:rPr/>
        <w:pict>
          <v:shape style="position:absolute;margin-left:406.279602pt;margin-top:23.461931pt;width:3pt;height:8.7pt;mso-position-horizontal-relative:page;mso-position-vertical-relative:paragraph;z-index:-27233280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56.316803pt;margin-top:47.461933pt;width:3pt;height:8.7pt;mso-position-horizontal-relative:page;mso-position-vertical-relative:paragraph;z-index:-27233177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39.3396pt;margin-top:71.461929pt;width:3pt;height:8.7pt;mso-position-horizontal-relative:page;mso-position-vertical-relative:paragraph;z-index:-272323584"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387.507904pt;margin-top:71.461929pt;width:3pt;height:8.7pt;mso-position-horizontal-relative:page;mso-position-vertical-relative:paragraph;z-index:-27232256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w w:val="105"/>
        </w:rPr>
        <w:t>Respiratory</w:t>
      </w:r>
      <w:r>
        <w:rPr>
          <w:color w:val="231F20"/>
          <w:spacing w:val="-20"/>
          <w:w w:val="105"/>
        </w:rPr>
        <w:t> </w:t>
      </w:r>
      <w:r>
        <w:rPr>
          <w:color w:val="231F20"/>
          <w:w w:val="105"/>
        </w:rPr>
        <w:t>and</w:t>
      </w:r>
      <w:r>
        <w:rPr>
          <w:color w:val="231F20"/>
          <w:spacing w:val="-19"/>
          <w:w w:val="105"/>
        </w:rPr>
        <w:t> </w:t>
      </w:r>
      <w:r>
        <w:rPr>
          <w:color w:val="231F20"/>
          <w:w w:val="105"/>
        </w:rPr>
        <w:t>metabolic</w:t>
      </w:r>
      <w:r>
        <w:rPr>
          <w:color w:val="231F20"/>
          <w:spacing w:val="-19"/>
          <w:w w:val="105"/>
        </w:rPr>
        <w:t> </w:t>
      </w:r>
      <w:r>
        <w:rPr>
          <w:color w:val="231F20"/>
          <w:w w:val="105"/>
        </w:rPr>
        <w:t>acidosis</w:t>
      </w:r>
      <w:r>
        <w:rPr>
          <w:color w:val="231F20"/>
          <w:spacing w:val="-19"/>
          <w:w w:val="105"/>
        </w:rPr>
        <w:t> </w:t>
      </w:r>
      <w:r>
        <w:rPr>
          <w:color w:val="231F20"/>
          <w:w w:val="105"/>
        </w:rPr>
        <w:t>both</w:t>
      </w:r>
      <w:r>
        <w:rPr>
          <w:color w:val="231F20"/>
          <w:spacing w:val="-19"/>
          <w:w w:val="105"/>
        </w:rPr>
        <w:t> </w:t>
      </w:r>
      <w:r>
        <w:rPr>
          <w:color w:val="231F20"/>
          <w:w w:val="105"/>
        </w:rPr>
        <w:t>cause</w:t>
      </w:r>
      <w:r>
        <w:rPr>
          <w:color w:val="231F20"/>
          <w:spacing w:val="-20"/>
          <w:w w:val="105"/>
        </w:rPr>
        <w:t> </w:t>
      </w:r>
      <w:r>
        <w:rPr>
          <w:color w:val="231F20"/>
          <w:w w:val="105"/>
        </w:rPr>
        <w:t>a</w:t>
      </w:r>
      <w:r>
        <w:rPr>
          <w:color w:val="231F20"/>
          <w:spacing w:val="-19"/>
          <w:w w:val="105"/>
        </w:rPr>
        <w:t> </w:t>
      </w:r>
      <w:r>
        <w:rPr>
          <w:color w:val="231F20"/>
          <w:w w:val="105"/>
        </w:rPr>
        <w:t>decrease in the ratio of HCO </w:t>
      </w:r>
      <w:r>
        <w:rPr>
          <w:rFonts w:ascii="Consolas" w:hAnsi="Consolas"/>
          <w:color w:val="231F20"/>
          <w:w w:val="105"/>
          <w:position w:val="8"/>
          <w:sz w:val="12"/>
        </w:rPr>
        <w:t>− </w:t>
      </w:r>
      <w:r>
        <w:rPr>
          <w:color w:val="231F20"/>
          <w:w w:val="105"/>
        </w:rPr>
        <w:t>to H</w:t>
      </w:r>
      <w:r>
        <w:rPr>
          <w:rFonts w:ascii="Consolas" w:hAnsi="Consolas"/>
          <w:color w:val="231F20"/>
          <w:w w:val="105"/>
          <w:position w:val="8"/>
          <w:sz w:val="12"/>
        </w:rPr>
        <w:t>+ </w:t>
      </w:r>
      <w:r>
        <w:rPr>
          <w:color w:val="231F20"/>
          <w:w w:val="105"/>
        </w:rPr>
        <w:t>in the renal tubular fluid.</w:t>
      </w:r>
      <w:r>
        <w:rPr>
          <w:color w:val="231F20"/>
          <w:spacing w:val="-35"/>
          <w:w w:val="105"/>
        </w:rPr>
        <w:t> </w:t>
      </w:r>
      <w:r>
        <w:rPr>
          <w:color w:val="231F20"/>
          <w:spacing w:val="-5"/>
          <w:w w:val="105"/>
        </w:rPr>
        <w:t>As </w:t>
      </w:r>
      <w:r>
        <w:rPr>
          <w:color w:val="231F20"/>
          <w:w w:val="105"/>
        </w:rPr>
        <w:t>a result, there is excess H</w:t>
      </w:r>
      <w:r>
        <w:rPr>
          <w:rFonts w:ascii="Consolas" w:hAnsi="Consolas"/>
          <w:color w:val="231F20"/>
          <w:w w:val="105"/>
          <w:position w:val="8"/>
          <w:sz w:val="12"/>
        </w:rPr>
        <w:t>+ </w:t>
      </w:r>
      <w:r>
        <w:rPr>
          <w:color w:val="231F20"/>
          <w:w w:val="105"/>
        </w:rPr>
        <w:t>in the renal tubules, </w:t>
      </w:r>
      <w:r>
        <w:rPr>
          <w:color w:val="231F20"/>
          <w:spacing w:val="-3"/>
          <w:w w:val="105"/>
        </w:rPr>
        <w:t>causing </w:t>
      </w:r>
      <w:r>
        <w:rPr>
          <w:color w:val="231F20"/>
          <w:w w:val="105"/>
        </w:rPr>
        <w:t>complete reabsorption of HCO </w:t>
      </w:r>
      <w:r>
        <w:rPr>
          <w:rFonts w:ascii="Consolas" w:hAnsi="Consolas"/>
          <w:color w:val="231F20"/>
          <w:w w:val="105"/>
          <w:position w:val="8"/>
          <w:sz w:val="12"/>
        </w:rPr>
        <w:t>− </w:t>
      </w:r>
      <w:r>
        <w:rPr>
          <w:color w:val="231F20"/>
          <w:w w:val="105"/>
        </w:rPr>
        <w:t>and still leaving addi- tional H</w:t>
      </w:r>
      <w:r>
        <w:rPr>
          <w:rFonts w:ascii="Consolas" w:hAnsi="Consolas"/>
          <w:color w:val="231F20"/>
          <w:w w:val="105"/>
          <w:position w:val="8"/>
          <w:sz w:val="12"/>
        </w:rPr>
        <w:t>+ </w:t>
      </w:r>
      <w:r>
        <w:rPr>
          <w:color w:val="231F20"/>
          <w:w w:val="105"/>
        </w:rPr>
        <w:t>available to combine with the urinary buffers NH</w:t>
      </w:r>
      <w:r>
        <w:rPr>
          <w:color w:val="231F20"/>
          <w:spacing w:val="-3"/>
          <w:w w:val="105"/>
        </w:rPr>
        <w:t> </w:t>
      </w:r>
      <w:r>
        <w:rPr>
          <w:rFonts w:ascii="Consolas" w:hAnsi="Consolas"/>
          <w:color w:val="231F20"/>
          <w:w w:val="105"/>
          <w:position w:val="8"/>
          <w:sz w:val="12"/>
        </w:rPr>
        <w:t>+</w:t>
      </w:r>
      <w:r>
        <w:rPr>
          <w:rFonts w:ascii="Consolas" w:hAnsi="Consolas"/>
          <w:color w:val="231F20"/>
          <w:spacing w:val="-22"/>
          <w:w w:val="105"/>
          <w:position w:val="8"/>
          <w:sz w:val="12"/>
        </w:rPr>
        <w:t> </w:t>
      </w:r>
      <w:r>
        <w:rPr>
          <w:color w:val="231F20"/>
          <w:w w:val="105"/>
        </w:rPr>
        <w:t>and</w:t>
      </w:r>
      <w:r>
        <w:rPr>
          <w:color w:val="231F20"/>
          <w:spacing w:val="-6"/>
          <w:w w:val="105"/>
        </w:rPr>
        <w:t> </w:t>
      </w:r>
      <w:r>
        <w:rPr>
          <w:color w:val="231F20"/>
          <w:w w:val="105"/>
        </w:rPr>
        <w:t>HPO</w:t>
      </w:r>
      <w:r>
        <w:rPr>
          <w:color w:val="231F20"/>
          <w:spacing w:val="-2"/>
          <w:w w:val="105"/>
        </w:rPr>
        <w:t> </w:t>
      </w:r>
      <w:r>
        <w:rPr>
          <w:rFonts w:ascii="Consolas" w:hAnsi="Consolas"/>
          <w:color w:val="231F20"/>
          <w:w w:val="105"/>
          <w:position w:val="8"/>
          <w:sz w:val="12"/>
        </w:rPr>
        <w:t>=</w:t>
      </w:r>
      <w:r>
        <w:rPr>
          <w:color w:val="231F20"/>
          <w:w w:val="105"/>
        </w:rPr>
        <w:t>.</w:t>
      </w:r>
      <w:r>
        <w:rPr>
          <w:color w:val="231F20"/>
          <w:spacing w:val="-6"/>
          <w:w w:val="105"/>
        </w:rPr>
        <w:t> </w:t>
      </w:r>
      <w:r>
        <w:rPr>
          <w:color w:val="231F20"/>
          <w:w w:val="105"/>
        </w:rPr>
        <w:t>Thus,</w:t>
      </w:r>
      <w:r>
        <w:rPr>
          <w:color w:val="231F20"/>
          <w:spacing w:val="-6"/>
          <w:w w:val="105"/>
        </w:rPr>
        <w:t> </w:t>
      </w:r>
      <w:r>
        <w:rPr>
          <w:color w:val="231F20"/>
          <w:w w:val="105"/>
        </w:rPr>
        <w:t>in</w:t>
      </w:r>
      <w:r>
        <w:rPr>
          <w:color w:val="231F20"/>
          <w:spacing w:val="-5"/>
          <w:w w:val="105"/>
        </w:rPr>
        <w:t> </w:t>
      </w:r>
      <w:r>
        <w:rPr>
          <w:color w:val="231F20"/>
          <w:w w:val="105"/>
        </w:rPr>
        <w:t>acidosis,</w:t>
      </w:r>
      <w:r>
        <w:rPr>
          <w:color w:val="231F20"/>
          <w:spacing w:val="-6"/>
          <w:w w:val="105"/>
        </w:rPr>
        <w:t> </w:t>
      </w:r>
      <w:r>
        <w:rPr>
          <w:color w:val="231F20"/>
          <w:w w:val="105"/>
        </w:rPr>
        <w:t>the</w:t>
      </w:r>
      <w:r>
        <w:rPr>
          <w:color w:val="231F20"/>
          <w:spacing w:val="-6"/>
          <w:w w:val="105"/>
        </w:rPr>
        <w:t> </w:t>
      </w:r>
      <w:r>
        <w:rPr>
          <w:color w:val="231F20"/>
          <w:w w:val="105"/>
        </w:rPr>
        <w:t>kidneys</w:t>
      </w:r>
      <w:r>
        <w:rPr>
          <w:color w:val="231F20"/>
          <w:spacing w:val="-5"/>
          <w:w w:val="105"/>
        </w:rPr>
        <w:t> </w:t>
      </w:r>
      <w:r>
        <w:rPr>
          <w:color w:val="231F20"/>
          <w:spacing w:val="-3"/>
          <w:w w:val="105"/>
        </w:rPr>
        <w:t>reabsorb</w:t>
      </w:r>
    </w:p>
    <w:p>
      <w:pPr>
        <w:spacing w:after="0" w:line="247" w:lineRule="auto"/>
        <w:jc w:val="both"/>
        <w:sectPr>
          <w:type w:val="continuous"/>
          <w:pgSz w:w="12240" w:h="15660"/>
          <w:pgMar w:top="0" w:bottom="760" w:left="0" w:right="0"/>
          <w:cols w:num="2" w:equalWidth="0">
            <w:col w:w="6121" w:space="40"/>
            <w:col w:w="6079"/>
          </w:cols>
        </w:sectPr>
      </w:pPr>
    </w:p>
    <w:p>
      <w:pPr>
        <w:pStyle w:val="BodyText"/>
        <w:tabs>
          <w:tab w:pos="6479" w:val="left" w:leader="none"/>
        </w:tabs>
        <w:spacing w:line="106" w:lineRule="exact"/>
        <w:ind w:left="1439"/>
      </w:pPr>
      <w:r>
        <w:rPr>
          <w:color w:val="231F20"/>
          <w:w w:val="105"/>
        </w:rPr>
        <w:t>nisms,</w:t>
      </w:r>
      <w:r>
        <w:rPr>
          <w:color w:val="231F20"/>
          <w:spacing w:val="-27"/>
          <w:w w:val="105"/>
        </w:rPr>
        <w:t> </w:t>
      </w:r>
      <w:r>
        <w:rPr>
          <w:color w:val="231F20"/>
          <w:w w:val="105"/>
        </w:rPr>
        <w:t>including</w:t>
      </w:r>
      <w:r>
        <w:rPr>
          <w:color w:val="231F20"/>
          <w:spacing w:val="-27"/>
          <w:w w:val="105"/>
        </w:rPr>
        <w:t> </w:t>
      </w:r>
      <w:r>
        <w:rPr>
          <w:color w:val="231F20"/>
          <w:w w:val="105"/>
        </w:rPr>
        <w:t>(1)</w:t>
      </w:r>
      <w:r>
        <w:rPr>
          <w:color w:val="231F20"/>
          <w:spacing w:val="-27"/>
          <w:w w:val="105"/>
        </w:rPr>
        <w:t> </w:t>
      </w:r>
      <w:r>
        <w:rPr>
          <w:color w:val="231F20"/>
          <w:w w:val="105"/>
        </w:rPr>
        <w:t>increased</w:t>
      </w:r>
      <w:r>
        <w:rPr>
          <w:color w:val="231F20"/>
          <w:spacing w:val="-27"/>
          <w:w w:val="105"/>
        </w:rPr>
        <w:t> </w:t>
      </w:r>
      <w:r>
        <w:rPr>
          <w:color w:val="231F20"/>
          <w:w w:val="105"/>
        </w:rPr>
        <w:t>angiotensin</w:t>
      </w:r>
      <w:r>
        <w:rPr>
          <w:color w:val="231F20"/>
          <w:spacing w:val="-27"/>
          <w:w w:val="105"/>
        </w:rPr>
        <w:t> </w:t>
      </w:r>
      <w:r>
        <w:rPr>
          <w:color w:val="231F20"/>
          <w:w w:val="105"/>
        </w:rPr>
        <w:t>II</w:t>
      </w:r>
      <w:r>
        <w:rPr>
          <w:color w:val="231F20"/>
          <w:spacing w:val="-27"/>
          <w:w w:val="105"/>
        </w:rPr>
        <w:t> </w:t>
      </w:r>
      <w:r>
        <w:rPr>
          <w:color w:val="231F20"/>
          <w:w w:val="105"/>
        </w:rPr>
        <w:t>levels,</w:t>
      </w:r>
      <w:r>
        <w:rPr>
          <w:color w:val="231F20"/>
          <w:spacing w:val="-27"/>
          <w:w w:val="105"/>
        </w:rPr>
        <w:t> </w:t>
      </w:r>
      <w:r>
        <w:rPr>
          <w:color w:val="231F20"/>
          <w:w w:val="105"/>
        </w:rPr>
        <w:t>which</w:t>
        <w:tab/>
        <w:t>all</w:t>
      </w:r>
      <w:r>
        <w:rPr>
          <w:color w:val="231F20"/>
          <w:spacing w:val="-12"/>
          <w:w w:val="105"/>
        </w:rPr>
        <w:t> </w:t>
      </w:r>
      <w:r>
        <w:rPr>
          <w:color w:val="231F20"/>
          <w:w w:val="105"/>
        </w:rPr>
        <w:t>the</w:t>
      </w:r>
      <w:r>
        <w:rPr>
          <w:color w:val="231F20"/>
          <w:spacing w:val="-11"/>
          <w:w w:val="105"/>
        </w:rPr>
        <w:t> </w:t>
      </w:r>
      <w:r>
        <w:rPr>
          <w:color w:val="231F20"/>
          <w:w w:val="105"/>
        </w:rPr>
        <w:t>filtered</w:t>
      </w:r>
      <w:r>
        <w:rPr>
          <w:color w:val="231F20"/>
          <w:spacing w:val="-12"/>
          <w:w w:val="105"/>
        </w:rPr>
        <w:t> </w:t>
      </w:r>
      <w:r>
        <w:rPr>
          <w:color w:val="231F20"/>
          <w:w w:val="105"/>
        </w:rPr>
        <w:t>HCO</w:t>
      </w:r>
      <w:r>
        <w:rPr>
          <w:color w:val="231F20"/>
          <w:spacing w:val="6"/>
          <w:w w:val="105"/>
        </w:rPr>
        <w:t> </w:t>
      </w:r>
      <w:r>
        <w:rPr>
          <w:rFonts w:ascii="Consolas" w:hAnsi="Consolas"/>
          <w:color w:val="231F20"/>
          <w:w w:val="105"/>
          <w:position w:val="8"/>
          <w:sz w:val="12"/>
        </w:rPr>
        <w:t>−</w:t>
      </w:r>
      <w:r>
        <w:rPr>
          <w:rFonts w:ascii="Consolas" w:hAnsi="Consolas"/>
          <w:color w:val="231F20"/>
          <w:spacing w:val="-29"/>
          <w:w w:val="105"/>
          <w:position w:val="8"/>
          <w:sz w:val="12"/>
        </w:rPr>
        <w:t> </w:t>
      </w:r>
      <w:r>
        <w:rPr>
          <w:color w:val="231F20"/>
          <w:w w:val="105"/>
        </w:rPr>
        <w:t>and</w:t>
      </w:r>
      <w:r>
        <w:rPr>
          <w:color w:val="231F20"/>
          <w:spacing w:val="-11"/>
          <w:w w:val="105"/>
        </w:rPr>
        <w:t> </w:t>
      </w:r>
      <w:r>
        <w:rPr>
          <w:color w:val="231F20"/>
          <w:w w:val="105"/>
        </w:rPr>
        <w:t>contribute</w:t>
      </w:r>
      <w:r>
        <w:rPr>
          <w:color w:val="231F20"/>
          <w:spacing w:val="-12"/>
          <w:w w:val="105"/>
        </w:rPr>
        <w:t> </w:t>
      </w:r>
      <w:r>
        <w:rPr>
          <w:color w:val="231F20"/>
          <w:w w:val="105"/>
        </w:rPr>
        <w:t>new</w:t>
      </w:r>
      <w:r>
        <w:rPr>
          <w:color w:val="231F20"/>
          <w:spacing w:val="-11"/>
          <w:w w:val="105"/>
        </w:rPr>
        <w:t> </w:t>
      </w:r>
      <w:r>
        <w:rPr>
          <w:color w:val="231F20"/>
          <w:w w:val="105"/>
        </w:rPr>
        <w:t>HCO</w:t>
      </w:r>
      <w:r>
        <w:rPr>
          <w:color w:val="231F20"/>
          <w:spacing w:val="5"/>
          <w:w w:val="105"/>
        </w:rPr>
        <w:t> </w:t>
      </w:r>
      <w:r>
        <w:rPr>
          <w:rFonts w:ascii="Consolas" w:hAnsi="Consolas"/>
          <w:color w:val="231F20"/>
          <w:w w:val="105"/>
          <w:position w:val="8"/>
          <w:sz w:val="12"/>
        </w:rPr>
        <w:t>−</w:t>
      </w:r>
      <w:r>
        <w:rPr>
          <w:rFonts w:ascii="Consolas" w:hAnsi="Consolas"/>
          <w:color w:val="231F20"/>
          <w:spacing w:val="-28"/>
          <w:w w:val="105"/>
          <w:position w:val="8"/>
          <w:sz w:val="12"/>
        </w:rPr>
        <w:t> </w:t>
      </w:r>
      <w:r>
        <w:rPr>
          <w:color w:val="231F20"/>
          <w:w w:val="105"/>
        </w:rPr>
        <w:t>through</w:t>
      </w:r>
    </w:p>
    <w:p>
      <w:pPr>
        <w:spacing w:after="0" w:line="106" w:lineRule="exact"/>
        <w:sectPr>
          <w:type w:val="continuous"/>
          <w:pgSz w:w="12240" w:h="15660"/>
          <w:pgMar w:top="0" w:bottom="760" w:left="0" w:right="0"/>
        </w:sectPr>
      </w:pPr>
    </w:p>
    <w:p>
      <w:pPr>
        <w:pStyle w:val="BodyText"/>
        <w:spacing w:line="229" w:lineRule="exact" w:before="131"/>
        <w:ind w:left="1439"/>
      </w:pPr>
      <w:r>
        <w:rPr>
          <w:color w:val="231F20"/>
          <w:w w:val="105"/>
        </w:rPr>
        <w:t>directly</w:t>
      </w:r>
      <w:r>
        <w:rPr>
          <w:color w:val="231F20"/>
          <w:spacing w:val="-13"/>
          <w:w w:val="105"/>
        </w:rPr>
        <w:t> </w:t>
      </w:r>
      <w:r>
        <w:rPr>
          <w:color w:val="231F20"/>
          <w:w w:val="105"/>
        </w:rPr>
        <w:t>stimulate</w:t>
      </w:r>
      <w:r>
        <w:rPr>
          <w:color w:val="231F20"/>
          <w:spacing w:val="-12"/>
          <w:w w:val="105"/>
        </w:rPr>
        <w:t> </w:t>
      </w:r>
      <w:r>
        <w:rPr>
          <w:color w:val="231F20"/>
          <w:w w:val="105"/>
        </w:rPr>
        <w:t>the</w:t>
      </w:r>
      <w:r>
        <w:rPr>
          <w:color w:val="231F20"/>
          <w:spacing w:val="-13"/>
          <w:w w:val="105"/>
        </w:rPr>
        <w:t> </w:t>
      </w:r>
      <w:r>
        <w:rPr>
          <w:color w:val="231F20"/>
          <w:w w:val="105"/>
        </w:rPr>
        <w:t>activity</w:t>
      </w:r>
      <w:r>
        <w:rPr>
          <w:color w:val="231F20"/>
          <w:spacing w:val="-12"/>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Na</w:t>
      </w:r>
      <w:r>
        <w:rPr>
          <w:rFonts w:ascii="Consolas"/>
          <w:color w:val="231F20"/>
          <w:w w:val="105"/>
          <w:position w:val="8"/>
          <w:sz w:val="12"/>
        </w:rPr>
        <w:t>+</w:t>
      </w:r>
      <w:r>
        <w:rPr>
          <w:color w:val="231F20"/>
          <w:w w:val="105"/>
        </w:rPr>
        <w:t>-H</w:t>
      </w:r>
      <w:r>
        <w:rPr>
          <w:rFonts w:ascii="Consolas"/>
          <w:color w:val="231F20"/>
          <w:w w:val="105"/>
          <w:position w:val="8"/>
          <w:sz w:val="12"/>
        </w:rPr>
        <w:t>+</w:t>
      </w:r>
      <w:r>
        <w:rPr>
          <w:rFonts w:ascii="Consolas"/>
          <w:color w:val="231F20"/>
          <w:spacing w:val="-30"/>
          <w:w w:val="105"/>
          <w:position w:val="8"/>
          <w:sz w:val="12"/>
        </w:rPr>
        <w:t> </w:t>
      </w:r>
      <w:r>
        <w:rPr>
          <w:color w:val="231F20"/>
          <w:w w:val="105"/>
        </w:rPr>
        <w:t>exchanger</w:t>
      </w:r>
      <w:r>
        <w:rPr>
          <w:color w:val="231F20"/>
          <w:spacing w:val="-12"/>
          <w:w w:val="105"/>
        </w:rPr>
        <w:t> </w:t>
      </w:r>
      <w:r>
        <w:rPr>
          <w:color w:val="231F20"/>
          <w:spacing w:val="-7"/>
          <w:w w:val="105"/>
        </w:rPr>
        <w:t>in</w:t>
      </w:r>
    </w:p>
    <w:p>
      <w:pPr>
        <w:tabs>
          <w:tab w:pos="4173" w:val="left" w:leader="none"/>
        </w:tabs>
        <w:spacing w:line="134" w:lineRule="exact" w:before="0"/>
        <w:ind w:left="1927" w:right="0" w:firstLine="0"/>
        <w:jc w:val="left"/>
        <w:rPr>
          <w:sz w:val="12"/>
        </w:rPr>
      </w:pPr>
      <w:r>
        <w:rPr/>
        <w:br w:type="column"/>
      </w:r>
      <w:r>
        <w:rPr>
          <w:color w:val="231F20"/>
          <w:sz w:val="12"/>
        </w:rPr>
        <w:t>3</w:t>
        <w:tab/>
        <w:t>3</w:t>
      </w:r>
    </w:p>
    <w:p>
      <w:pPr>
        <w:pStyle w:val="BodyText"/>
        <w:spacing w:line="226" w:lineRule="exact"/>
        <w:ind w:left="319"/>
      </w:pPr>
      <w:r>
        <w:rPr/>
        <w:pict>
          <v:shape style="position:absolute;margin-left:410.060699pt;margin-top:5.286834pt;width:3pt;height:8.7pt;mso-position-horizontal-relative:page;mso-position-vertical-relative:paragraph;z-index:-272329728"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551.753784pt;margin-top:17.286833pt;width:3pt;height:8.7pt;mso-position-horizontal-relative:page;mso-position-vertical-relative:paragraph;z-index:-27232870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the formation of NH </w:t>
      </w:r>
      <w:r>
        <w:rPr>
          <w:rFonts w:ascii="Consolas"/>
          <w:color w:val="231F20"/>
          <w:w w:val="105"/>
          <w:position w:val="8"/>
          <w:sz w:val="12"/>
        </w:rPr>
        <w:t>+ </w:t>
      </w:r>
      <w:r>
        <w:rPr>
          <w:color w:val="231F20"/>
          <w:w w:val="105"/>
        </w:rPr>
        <w:t>and titratable acid.</w:t>
      </w:r>
    </w:p>
    <w:p>
      <w:pPr>
        <w:spacing w:after="0" w:line="226" w:lineRule="exact"/>
        <w:sectPr>
          <w:type w:val="continuous"/>
          <w:pgSz w:w="12240" w:h="15660"/>
          <w:pgMar w:top="0" w:bottom="760" w:left="0" w:right="0"/>
          <w:cols w:num="2" w:equalWidth="0">
            <w:col w:w="6120" w:space="40"/>
            <w:col w:w="6080"/>
          </w:cols>
        </w:sectPr>
      </w:pPr>
    </w:p>
    <w:p>
      <w:pPr>
        <w:pStyle w:val="BodyText"/>
        <w:spacing w:before="14"/>
        <w:ind w:left="1439"/>
      </w:pPr>
      <w:r>
        <w:rPr>
          <w:color w:val="231F20"/>
          <w:w w:val="105"/>
        </w:rPr>
        <w:t>the renal tubules, and (2) increased aldosterone levels,</w:t>
      </w:r>
    </w:p>
    <w:p>
      <w:pPr>
        <w:pStyle w:val="BodyText"/>
        <w:spacing w:line="240" w:lineRule="atLeast" w:before="4"/>
        <w:ind w:left="319" w:right="1078" w:firstLine="239"/>
        <w:jc w:val="both"/>
      </w:pPr>
      <w:r>
        <w:rPr/>
        <w:br w:type="column"/>
      </w:r>
      <w:r>
        <w:rPr>
          <w:color w:val="231F20"/>
        </w:rPr>
        <w:t>In metabolic acidosis, an excess of H</w:t>
      </w:r>
      <w:r>
        <w:rPr>
          <w:rFonts w:ascii="Consolas" w:hAnsi="Consolas"/>
          <w:color w:val="231F20"/>
          <w:position w:val="8"/>
          <w:sz w:val="12"/>
        </w:rPr>
        <w:t>+ </w:t>
      </w:r>
      <w:r>
        <w:rPr>
          <w:color w:val="231F20"/>
        </w:rPr>
        <w:t>over HCO </w:t>
      </w:r>
      <w:r>
        <w:rPr>
          <w:rFonts w:ascii="Consolas" w:hAnsi="Consolas"/>
          <w:color w:val="231F20"/>
          <w:position w:val="8"/>
          <w:sz w:val="12"/>
        </w:rPr>
        <w:t>− </w:t>
      </w:r>
      <w:r>
        <w:rPr>
          <w:color w:val="231F20"/>
        </w:rPr>
        <w:t>occurs in the tubular fluid primarily because of decreased</w:t>
      </w:r>
      <w:bookmarkStart w:name="_bookmark111" w:id="112"/>
      <w:bookmarkEnd w:id="112"/>
      <w:r>
        <w:rPr>
          <w:color w:val="231F20"/>
        </w:rPr>
      </w:r>
      <w:r>
        <w:rPr>
          <w:color w:val="231F20"/>
        </w:rPr>
        <w:t> filtration of HCO </w:t>
      </w:r>
      <w:r>
        <w:rPr>
          <w:rFonts w:ascii="Consolas" w:hAnsi="Consolas"/>
          <w:color w:val="231F20"/>
          <w:position w:val="8"/>
          <w:sz w:val="12"/>
        </w:rPr>
        <w:t>−</w:t>
      </w:r>
      <w:r>
        <w:rPr>
          <w:color w:val="231F20"/>
        </w:rPr>
        <w:t>. This decreased filtration of HCO </w:t>
      </w:r>
      <w:r>
        <w:rPr>
          <w:rFonts w:ascii="Consolas" w:hAnsi="Consolas"/>
          <w:color w:val="231F20"/>
          <w:position w:val="8"/>
          <w:sz w:val="12"/>
        </w:rPr>
        <w:t>− </w:t>
      </w:r>
      <w:r>
        <w:rPr>
          <w:color w:val="231F20"/>
        </w:rPr>
        <w:t>is</w:t>
      </w:r>
    </w:p>
    <w:p>
      <w:pPr>
        <w:spacing w:after="0" w:line="240" w:lineRule="atLeast"/>
        <w:jc w:val="both"/>
        <w:sectPr>
          <w:type w:val="continuous"/>
          <w:pgSz w:w="12240" w:h="15660"/>
          <w:pgMar w:top="0" w:bottom="760" w:left="0" w:right="0"/>
          <w:cols w:num="2" w:equalWidth="0">
            <w:col w:w="6121" w:space="40"/>
            <w:col w:w="6079"/>
          </w:cols>
        </w:sectPr>
      </w:pPr>
    </w:p>
    <w:p>
      <w:pPr>
        <w:tabs>
          <w:tab w:pos="7914" w:val="left" w:leader="none"/>
          <w:tab w:pos="10911" w:val="right" w:leader="none"/>
        </w:tabs>
        <w:spacing w:line="11" w:lineRule="exact" w:before="0"/>
        <w:ind w:left="1440" w:right="0" w:firstLine="0"/>
        <w:jc w:val="left"/>
        <w:rPr>
          <w:sz w:val="12"/>
        </w:rPr>
      </w:pPr>
      <w:r>
        <w:rPr>
          <w:rFonts w:ascii="Trebuchet MS"/>
          <w:b/>
          <w:color w:val="231F20"/>
          <w:spacing w:val="-4"/>
          <w:sz w:val="18"/>
        </w:rPr>
        <w:t>Table </w:t>
      </w:r>
      <w:r>
        <w:rPr>
          <w:rFonts w:ascii="Trebuchet MS"/>
          <w:b/>
          <w:color w:val="231F20"/>
          <w:sz w:val="18"/>
        </w:rPr>
        <w:t>31-2    </w:t>
      </w:r>
      <w:r>
        <w:rPr>
          <w:rFonts w:ascii="Trebuchet MS"/>
          <w:color w:val="231F20"/>
          <w:sz w:val="18"/>
        </w:rPr>
        <w:t>Plasma or Extracellular</w:t>
      </w:r>
      <w:r>
        <w:rPr>
          <w:rFonts w:ascii="Trebuchet MS"/>
          <w:color w:val="231F20"/>
          <w:spacing w:val="1"/>
          <w:sz w:val="18"/>
        </w:rPr>
        <w:t> </w:t>
      </w:r>
      <w:r>
        <w:rPr>
          <w:rFonts w:ascii="Trebuchet MS"/>
          <w:color w:val="231F20"/>
          <w:sz w:val="18"/>
        </w:rPr>
        <w:t>Fluid</w:t>
      </w:r>
      <w:r>
        <w:rPr>
          <w:rFonts w:ascii="Trebuchet MS"/>
          <w:color w:val="231F20"/>
          <w:spacing w:val="7"/>
          <w:sz w:val="18"/>
        </w:rPr>
        <w:t> </w:t>
      </w:r>
      <w:r>
        <w:rPr>
          <w:rFonts w:ascii="Trebuchet MS"/>
          <w:color w:val="231F20"/>
          <w:sz w:val="18"/>
        </w:rPr>
        <w:t>Factors</w:t>
        <w:tab/>
      </w:r>
      <w:r>
        <w:rPr>
          <w:color w:val="231F20"/>
          <w:position w:val="14"/>
          <w:sz w:val="12"/>
        </w:rPr>
        <w:t>3</w:t>
        <w:tab/>
        <w:t>3</w:t>
      </w:r>
    </w:p>
    <w:p>
      <w:pPr>
        <w:spacing w:after="0" w:line="11" w:lineRule="exact"/>
        <w:jc w:val="left"/>
        <w:rPr>
          <w:sz w:val="12"/>
        </w:rPr>
        <w:sectPr>
          <w:type w:val="continuous"/>
          <w:pgSz w:w="12240" w:h="15660"/>
          <w:pgMar w:top="0" w:bottom="760" w:left="0" w:right="0"/>
        </w:sectPr>
      </w:pPr>
    </w:p>
    <w:p>
      <w:pPr>
        <w:spacing w:before="163"/>
        <w:ind w:left="1440" w:right="0" w:firstLine="0"/>
        <w:jc w:val="left"/>
        <w:rPr>
          <w:rFonts w:ascii="Trebuchet MS"/>
          <w:sz w:val="18"/>
        </w:rPr>
      </w:pPr>
      <w:r>
        <w:rPr>
          <w:rFonts w:ascii="Trebuchet MS"/>
          <w:color w:val="231F20"/>
          <w:w w:val="105"/>
          <w:sz w:val="18"/>
        </w:rPr>
        <w:t>That Increase or Decrease H</w:t>
      </w:r>
      <w:r>
        <w:rPr>
          <w:rFonts w:ascii="Consolas"/>
          <w:b/>
          <w:color w:val="231F20"/>
          <w:w w:val="105"/>
          <w:position w:val="7"/>
          <w:sz w:val="11"/>
        </w:rPr>
        <w:t>+ </w:t>
      </w:r>
      <w:r>
        <w:rPr>
          <w:rFonts w:ascii="Trebuchet MS"/>
          <w:color w:val="231F20"/>
          <w:w w:val="105"/>
          <w:sz w:val="18"/>
        </w:rPr>
        <w:t>Secretion</w:t>
      </w:r>
      <w:r>
        <w:rPr>
          <w:rFonts w:ascii="Trebuchet MS"/>
          <w:color w:val="231F20"/>
          <w:spacing w:val="-38"/>
          <w:w w:val="105"/>
          <w:sz w:val="18"/>
        </w:rPr>
        <w:t> </w:t>
      </w:r>
      <w:r>
        <w:rPr>
          <w:rFonts w:ascii="Trebuchet MS"/>
          <w:color w:val="231F20"/>
          <w:spacing w:val="-5"/>
          <w:w w:val="105"/>
          <w:sz w:val="18"/>
        </w:rPr>
        <w:t>and</w:t>
      </w:r>
    </w:p>
    <w:p>
      <w:pPr>
        <w:spacing w:line="37" w:lineRule="exact" w:before="0"/>
        <w:ind w:left="0" w:right="1259" w:firstLine="0"/>
        <w:jc w:val="center"/>
        <w:rPr>
          <w:rFonts w:ascii="Consolas" w:hAnsi="Consolas"/>
          <w:b/>
          <w:sz w:val="11"/>
        </w:rPr>
      </w:pPr>
      <w:r>
        <w:rPr>
          <w:rFonts w:ascii="Consolas" w:hAnsi="Consolas"/>
          <w:b/>
          <w:color w:val="231F20"/>
          <w:w w:val="98"/>
          <w:sz w:val="11"/>
        </w:rPr>
        <w:t>−</w:t>
      </w:r>
    </w:p>
    <w:p>
      <w:pPr>
        <w:pStyle w:val="BodyText"/>
        <w:spacing w:line="229" w:lineRule="exact"/>
        <w:ind w:left="1359"/>
      </w:pPr>
      <w:r>
        <w:rPr/>
        <w:br w:type="column"/>
      </w:r>
      <w:r>
        <w:rPr>
          <w:color w:val="231F20"/>
        </w:rPr>
        <w:t>caused mainly by a decrease in the extracellular fluid con-</w:t>
      </w:r>
    </w:p>
    <w:p>
      <w:pPr>
        <w:pStyle w:val="BodyText"/>
        <w:spacing w:line="109" w:lineRule="exact" w:before="6"/>
        <w:ind w:left="1359"/>
      </w:pPr>
      <w:r>
        <w:rPr>
          <w:color w:val="231F20"/>
          <w:w w:val="105"/>
        </w:rPr>
        <w:t>centration of HCO </w:t>
      </w:r>
      <w:r>
        <w:rPr>
          <w:rFonts w:ascii="Consolas" w:hAnsi="Consolas"/>
          <w:color w:val="231F20"/>
          <w:w w:val="105"/>
          <w:position w:val="8"/>
          <w:sz w:val="12"/>
        </w:rPr>
        <w:t>−</w:t>
      </w:r>
      <w:r>
        <w:rPr>
          <w:color w:val="231F20"/>
          <w:w w:val="105"/>
        </w:rPr>
        <w:t>.</w:t>
      </w:r>
    </w:p>
    <w:p>
      <w:pPr>
        <w:spacing w:after="0" w:line="109" w:lineRule="exact"/>
        <w:sectPr>
          <w:type w:val="continuous"/>
          <w:pgSz w:w="12240" w:h="15660"/>
          <w:pgMar w:top="0" w:bottom="760" w:left="0" w:right="0"/>
          <w:cols w:num="2" w:equalWidth="0">
            <w:col w:w="5081" w:space="39"/>
            <w:col w:w="7120"/>
          </w:cols>
        </w:sectPr>
      </w:pPr>
    </w:p>
    <w:p>
      <w:pPr>
        <w:spacing w:line="183" w:lineRule="exact" w:before="0"/>
        <w:ind w:left="0" w:right="0" w:firstLine="0"/>
        <w:jc w:val="right"/>
        <w:rPr>
          <w:rFonts w:ascii="Trebuchet MS"/>
          <w:sz w:val="18"/>
        </w:rPr>
      </w:pPr>
      <w:r>
        <w:rPr>
          <w:rFonts w:ascii="Trebuchet MS"/>
          <w:color w:val="231F20"/>
          <w:w w:val="110"/>
          <w:sz w:val="18"/>
        </w:rPr>
        <w:t>HCO</w:t>
      </w:r>
      <w:r>
        <w:rPr>
          <w:rFonts w:ascii="Trebuchet MS"/>
          <w:color w:val="231F20"/>
          <w:w w:val="110"/>
          <w:sz w:val="18"/>
          <w:vertAlign w:val="subscript"/>
        </w:rPr>
        <w:t>3</w:t>
      </w:r>
    </w:p>
    <w:p>
      <w:pPr>
        <w:spacing w:line="183" w:lineRule="exact" w:before="0"/>
        <w:ind w:left="79" w:right="0" w:firstLine="0"/>
        <w:jc w:val="left"/>
        <w:rPr>
          <w:rFonts w:ascii="Trebuchet MS"/>
          <w:sz w:val="18"/>
        </w:rPr>
      </w:pPr>
      <w:r>
        <w:rPr/>
        <w:br w:type="column"/>
      </w:r>
      <w:r>
        <w:rPr>
          <w:rFonts w:ascii="Trebuchet MS"/>
          <w:color w:val="231F20"/>
          <w:w w:val="105"/>
          <w:sz w:val="18"/>
        </w:rPr>
        <w:t>Reabsorption by the Renal Tubules</w:t>
      </w:r>
    </w:p>
    <w:p>
      <w:pPr>
        <w:spacing w:line="68" w:lineRule="exact" w:before="0"/>
        <w:ind w:left="2746" w:right="1768" w:firstLine="0"/>
        <w:jc w:val="center"/>
        <w:rPr>
          <w:sz w:val="12"/>
        </w:rPr>
      </w:pPr>
      <w:r>
        <w:rPr/>
        <w:br w:type="column"/>
      </w:r>
      <w:r>
        <w:rPr>
          <w:color w:val="231F20"/>
          <w:sz w:val="12"/>
        </w:rPr>
        <w:t>3</w:t>
      </w:r>
    </w:p>
    <w:p>
      <w:pPr>
        <w:pStyle w:val="BodyText"/>
        <w:spacing w:line="230" w:lineRule="exact"/>
        <w:ind w:left="1440"/>
        <w:rPr>
          <w:rFonts w:ascii="Consolas"/>
          <w:sz w:val="12"/>
        </w:rPr>
      </w:pPr>
      <w:r>
        <w:rPr>
          <w:color w:val="231F20"/>
          <w:w w:val="105"/>
        </w:rPr>
        <w:t>In respiratory acidosis, the excess H</w:t>
      </w:r>
      <w:r>
        <w:rPr>
          <w:rFonts w:ascii="Consolas"/>
          <w:color w:val="231F20"/>
          <w:w w:val="105"/>
          <w:position w:val="8"/>
          <w:sz w:val="12"/>
        </w:rPr>
        <w:t>+</w:t>
      </w:r>
    </w:p>
    <w:p>
      <w:pPr>
        <w:pStyle w:val="BodyText"/>
        <w:spacing w:before="68"/>
        <w:ind w:left="42"/>
      </w:pPr>
      <w:r>
        <w:rPr/>
        <w:br w:type="column"/>
      </w:r>
      <w:r>
        <w:rPr>
          <w:color w:val="231F20"/>
          <w:w w:val="105"/>
        </w:rPr>
        <w:t>in the tubular</w:t>
      </w:r>
    </w:p>
    <w:p>
      <w:pPr>
        <w:spacing w:after="0"/>
        <w:sectPr>
          <w:type w:val="continuous"/>
          <w:pgSz w:w="12240" w:h="15660"/>
          <w:pgMar w:top="0" w:bottom="760" w:left="0" w:right="0"/>
          <w:cols w:num="4" w:equalWidth="0">
            <w:col w:w="1881" w:space="40"/>
            <w:col w:w="3068" w:space="291"/>
            <w:col w:w="4614" w:space="40"/>
            <w:col w:w="2306"/>
          </w:cols>
        </w:sectPr>
      </w:pPr>
    </w:p>
    <w:p>
      <w:pPr>
        <w:pStyle w:val="BodyText"/>
        <w:spacing w:before="10"/>
        <w:ind w:left="6479"/>
      </w:pPr>
      <w:r>
        <w:rPr/>
        <w:pict>
          <v:group style="position:absolute;margin-left:0pt;margin-top:0pt;width:612pt;height:180pt;mso-position-horizontal-relative:page;mso-position-vertical-relative:page;z-index:-27234508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before="451"/>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w10:wrap type="none"/>
          </v:group>
        </w:pict>
      </w:r>
      <w:r>
        <w:rPr/>
        <w:pict>
          <v:shape style="position:absolute;margin-left:72pt;margin-top:.267931pt;width:234pt;height:105.6pt;mso-position-horizontal-relative:page;mso-position-vertical-relative:paragraph;z-index:2530836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0"/>
                    <w:gridCol w:w="2350"/>
                  </w:tblGrid>
                  <w:tr>
                    <w:trPr>
                      <w:trHeight w:val="464" w:hRule="atLeast"/>
                    </w:trPr>
                    <w:tc>
                      <w:tcPr>
                        <w:tcW w:w="2330" w:type="dxa"/>
                        <w:shd w:val="clear" w:color="auto" w:fill="D1DDF1"/>
                      </w:tcPr>
                      <w:p>
                        <w:pPr>
                          <w:pStyle w:val="TableParagraph"/>
                          <w:spacing w:line="200" w:lineRule="atLeast" w:before="20"/>
                          <w:ind w:left="119" w:right="193"/>
                          <w:rPr>
                            <w:b/>
                            <w:sz w:val="16"/>
                          </w:rPr>
                        </w:pPr>
                        <w:r>
                          <w:rPr>
                            <w:b/>
                            <w:color w:val="231F20"/>
                            <w:w w:val="105"/>
                            <w:sz w:val="16"/>
                          </w:rPr>
                          <w:t>Increase H</w:t>
                        </w:r>
                        <w:r>
                          <w:rPr>
                            <w:rFonts w:ascii="Consolas" w:hAnsi="Consolas"/>
                            <w:b/>
                            <w:color w:val="231F20"/>
                            <w:w w:val="105"/>
                            <w:position w:val="6"/>
                            <w:sz w:val="9"/>
                          </w:rPr>
                          <w:t>+ </w:t>
                        </w:r>
                        <w:r>
                          <w:rPr>
                            <w:b/>
                            <w:color w:val="231F20"/>
                            <w:w w:val="105"/>
                            <w:sz w:val="16"/>
                          </w:rPr>
                          <w:t>Secretion </w:t>
                        </w:r>
                        <w:r>
                          <w:rPr>
                            <w:b/>
                            <w:color w:val="231F20"/>
                            <w:spacing w:val="-5"/>
                            <w:w w:val="105"/>
                            <w:sz w:val="16"/>
                          </w:rPr>
                          <w:t>and </w:t>
                        </w:r>
                        <w:r>
                          <w:rPr>
                            <w:b/>
                            <w:color w:val="231F20"/>
                            <w:w w:val="105"/>
                            <w:sz w:val="16"/>
                          </w:rPr>
                          <w:t>HCO </w:t>
                        </w:r>
                        <w:r>
                          <w:rPr>
                            <w:rFonts w:ascii="Consolas" w:hAnsi="Consolas"/>
                            <w:b/>
                            <w:color w:val="231F20"/>
                            <w:w w:val="105"/>
                            <w:position w:val="6"/>
                            <w:sz w:val="9"/>
                          </w:rPr>
                          <w:t>− </w:t>
                        </w:r>
                        <w:r>
                          <w:rPr>
                            <w:b/>
                            <w:color w:val="231F20"/>
                            <w:w w:val="105"/>
                            <w:sz w:val="16"/>
                          </w:rPr>
                          <w:t>Reabsorption</w:t>
                        </w:r>
                      </w:p>
                      <w:p>
                        <w:pPr>
                          <w:pStyle w:val="TableParagraph"/>
                          <w:spacing w:line="8" w:lineRule="exact" w:before="0"/>
                          <w:ind w:left="457"/>
                          <w:rPr>
                            <w:b/>
                            <w:sz w:val="9"/>
                          </w:rPr>
                        </w:pPr>
                        <w:r>
                          <w:rPr>
                            <w:b/>
                            <w:color w:val="231F20"/>
                            <w:w w:val="101"/>
                            <w:sz w:val="9"/>
                          </w:rPr>
                          <w:t>3</w:t>
                        </w:r>
                      </w:p>
                    </w:tc>
                    <w:tc>
                      <w:tcPr>
                        <w:tcW w:w="2350" w:type="dxa"/>
                        <w:shd w:val="clear" w:color="auto" w:fill="D1DDF1"/>
                      </w:tcPr>
                      <w:p>
                        <w:pPr>
                          <w:pStyle w:val="TableParagraph"/>
                          <w:spacing w:line="200" w:lineRule="atLeast" w:before="20"/>
                          <w:ind w:left="129" w:right="144"/>
                          <w:rPr>
                            <w:b/>
                            <w:sz w:val="16"/>
                          </w:rPr>
                        </w:pPr>
                        <w:r>
                          <w:rPr>
                            <w:b/>
                            <w:color w:val="231F20"/>
                            <w:w w:val="105"/>
                            <w:sz w:val="16"/>
                          </w:rPr>
                          <w:t>Decrease H</w:t>
                        </w:r>
                        <w:r>
                          <w:rPr>
                            <w:rFonts w:ascii="Consolas" w:hAnsi="Consolas"/>
                            <w:b/>
                            <w:color w:val="231F20"/>
                            <w:w w:val="105"/>
                            <w:position w:val="6"/>
                            <w:sz w:val="9"/>
                          </w:rPr>
                          <w:t>+ </w:t>
                        </w:r>
                        <w:r>
                          <w:rPr>
                            <w:b/>
                            <w:color w:val="231F20"/>
                            <w:w w:val="105"/>
                            <w:sz w:val="16"/>
                          </w:rPr>
                          <w:t>Secretion </w:t>
                        </w:r>
                        <w:r>
                          <w:rPr>
                            <w:b/>
                            <w:color w:val="231F20"/>
                            <w:spacing w:val="-5"/>
                            <w:w w:val="105"/>
                            <w:sz w:val="16"/>
                          </w:rPr>
                          <w:t>and </w:t>
                        </w:r>
                        <w:r>
                          <w:rPr>
                            <w:b/>
                            <w:color w:val="231F20"/>
                            <w:w w:val="105"/>
                            <w:sz w:val="16"/>
                          </w:rPr>
                          <w:t>HCO </w:t>
                        </w:r>
                        <w:r>
                          <w:rPr>
                            <w:rFonts w:ascii="Consolas" w:hAnsi="Consolas"/>
                            <w:b/>
                            <w:color w:val="231F20"/>
                            <w:w w:val="105"/>
                            <w:position w:val="6"/>
                            <w:sz w:val="9"/>
                          </w:rPr>
                          <w:t>− </w:t>
                        </w:r>
                        <w:r>
                          <w:rPr>
                            <w:b/>
                            <w:color w:val="231F20"/>
                            <w:w w:val="105"/>
                            <w:sz w:val="16"/>
                          </w:rPr>
                          <w:t>Reabsorption</w:t>
                        </w:r>
                      </w:p>
                      <w:p>
                        <w:pPr>
                          <w:pStyle w:val="TableParagraph"/>
                          <w:spacing w:line="8" w:lineRule="exact" w:before="0"/>
                          <w:ind w:left="467"/>
                          <w:rPr>
                            <w:b/>
                            <w:sz w:val="9"/>
                          </w:rPr>
                        </w:pPr>
                        <w:r>
                          <w:rPr>
                            <w:b/>
                            <w:color w:val="231F20"/>
                            <w:w w:val="101"/>
                            <w:sz w:val="9"/>
                          </w:rPr>
                          <w:t>3</w:t>
                        </w:r>
                      </w:p>
                    </w:tc>
                  </w:tr>
                  <w:tr>
                    <w:trPr>
                      <w:trHeight w:val="259" w:hRule="atLeast"/>
                    </w:trPr>
                    <w:tc>
                      <w:tcPr>
                        <w:tcW w:w="2330" w:type="dxa"/>
                        <w:tcBorders>
                          <w:bottom w:val="single" w:sz="4" w:space="0" w:color="FFFFFF"/>
                        </w:tcBorders>
                        <w:shd w:val="clear" w:color="auto" w:fill="E6ECF7"/>
                      </w:tcPr>
                      <w:p>
                        <w:pPr>
                          <w:pStyle w:val="TableParagraph"/>
                          <w:spacing w:before="24"/>
                          <w:ind w:left="119"/>
                          <w:rPr>
                            <w:sz w:val="13"/>
                          </w:rPr>
                        </w:pPr>
                        <w:r>
                          <w:rPr>
                            <w:rFonts w:ascii="Consolas" w:hAnsi="Consolas"/>
                            <w:color w:val="231F20"/>
                            <w:w w:val="105"/>
                            <w:sz w:val="16"/>
                          </w:rPr>
                          <w:t>↑ </w:t>
                        </w:r>
                        <w:r>
                          <w:rPr>
                            <w:color w:val="231F20"/>
                            <w:w w:val="105"/>
                            <w:sz w:val="16"/>
                          </w:rPr>
                          <w:t>P</w:t>
                        </w:r>
                        <w:r>
                          <w:rPr>
                            <w:color w:val="231F20"/>
                            <w:w w:val="105"/>
                            <w:sz w:val="13"/>
                          </w:rPr>
                          <w:t>CO</w:t>
                        </w:r>
                        <w:r>
                          <w:rPr>
                            <w:color w:val="231F20"/>
                            <w:w w:val="105"/>
                            <w:sz w:val="13"/>
                            <w:vertAlign w:val="subscript"/>
                          </w:rPr>
                          <w:t>2</w:t>
                        </w:r>
                      </w:p>
                    </w:tc>
                    <w:tc>
                      <w:tcPr>
                        <w:tcW w:w="2350" w:type="dxa"/>
                        <w:tcBorders>
                          <w:bottom w:val="single" w:sz="4" w:space="0" w:color="FFFFFF"/>
                        </w:tcBorders>
                        <w:shd w:val="clear" w:color="auto" w:fill="E6ECF7"/>
                      </w:tcPr>
                      <w:p>
                        <w:pPr>
                          <w:pStyle w:val="TableParagraph"/>
                          <w:spacing w:before="24"/>
                          <w:ind w:left="130"/>
                          <w:rPr>
                            <w:sz w:val="13"/>
                          </w:rPr>
                        </w:pPr>
                        <w:r>
                          <w:rPr>
                            <w:rFonts w:ascii="Consolas" w:hAnsi="Consolas"/>
                            <w:color w:val="231F20"/>
                            <w:w w:val="105"/>
                            <w:sz w:val="16"/>
                          </w:rPr>
                          <w:t>↓ </w:t>
                        </w:r>
                        <w:r>
                          <w:rPr>
                            <w:color w:val="231F20"/>
                            <w:w w:val="105"/>
                            <w:sz w:val="16"/>
                          </w:rPr>
                          <w:t>P</w:t>
                        </w:r>
                        <w:r>
                          <w:rPr>
                            <w:color w:val="231F20"/>
                            <w:w w:val="105"/>
                            <w:sz w:val="13"/>
                          </w:rPr>
                          <w:t>CO</w:t>
                        </w:r>
                        <w:r>
                          <w:rPr>
                            <w:color w:val="231F20"/>
                            <w:w w:val="105"/>
                            <w:sz w:val="13"/>
                            <w:vertAlign w:val="subscript"/>
                          </w:rPr>
                          <w:t>2</w:t>
                        </w:r>
                      </w:p>
                    </w:tc>
                  </w:tr>
                  <w:tr>
                    <w:trPr>
                      <w:trHeight w:val="264" w:hRule="atLeast"/>
                    </w:trPr>
                    <w:tc>
                      <w:tcPr>
                        <w:tcW w:w="2330" w:type="dxa"/>
                        <w:tcBorders>
                          <w:top w:val="single" w:sz="4" w:space="0" w:color="FFFFFF"/>
                          <w:bottom w:val="single" w:sz="4" w:space="0" w:color="FFFFFF"/>
                        </w:tcBorders>
                        <w:shd w:val="clear" w:color="auto" w:fill="E6ECF7"/>
                      </w:tcPr>
                      <w:p>
                        <w:pPr>
                          <w:pStyle w:val="TableParagraph"/>
                          <w:spacing w:line="140" w:lineRule="exact"/>
                          <w:ind w:left="120"/>
                          <w:rPr>
                            <w:rFonts w:ascii="Consolas" w:hAnsi="Consolas"/>
                            <w:sz w:val="9"/>
                          </w:rPr>
                        </w:pPr>
                        <w:r>
                          <w:rPr>
                            <w:rFonts w:ascii="Consolas" w:hAnsi="Consolas"/>
                            <w:color w:val="231F20"/>
                            <w:w w:val="110"/>
                            <w:sz w:val="16"/>
                          </w:rPr>
                          <w:t>↑ </w:t>
                        </w:r>
                        <w:r>
                          <w:rPr>
                            <w:color w:val="231F20"/>
                            <w:w w:val="110"/>
                            <w:sz w:val="16"/>
                          </w:rPr>
                          <w:t>H</w:t>
                        </w:r>
                        <w:r>
                          <w:rPr>
                            <w:rFonts w:ascii="Consolas" w:hAnsi="Consolas"/>
                            <w:color w:val="231F20"/>
                            <w:w w:val="110"/>
                            <w:position w:val="6"/>
                            <w:sz w:val="9"/>
                          </w:rPr>
                          <w:t>+</w:t>
                        </w:r>
                        <w:r>
                          <w:rPr>
                            <w:color w:val="231F20"/>
                            <w:w w:val="110"/>
                            <w:sz w:val="16"/>
                          </w:rPr>
                          <w:t>, </w:t>
                        </w:r>
                        <w:r>
                          <w:rPr>
                            <w:rFonts w:ascii="Consolas" w:hAnsi="Consolas"/>
                            <w:color w:val="231F20"/>
                            <w:w w:val="110"/>
                            <w:sz w:val="16"/>
                          </w:rPr>
                          <w:t>↓ </w:t>
                        </w:r>
                        <w:r>
                          <w:rPr>
                            <w:color w:val="231F20"/>
                            <w:w w:val="110"/>
                            <w:sz w:val="16"/>
                          </w:rPr>
                          <w:t>HCO </w:t>
                        </w:r>
                        <w:r>
                          <w:rPr>
                            <w:rFonts w:ascii="Consolas" w:hAnsi="Consolas"/>
                            <w:color w:val="231F20"/>
                            <w:w w:val="110"/>
                            <w:position w:val="6"/>
                            <w:sz w:val="9"/>
                          </w:rPr>
                          <w:t>−</w:t>
                        </w:r>
                      </w:p>
                      <w:p>
                        <w:pPr>
                          <w:pStyle w:val="TableParagraph"/>
                          <w:spacing w:line="54" w:lineRule="exact" w:before="0"/>
                          <w:ind w:right="227"/>
                          <w:jc w:val="center"/>
                          <w:rPr>
                            <w:sz w:val="9"/>
                          </w:rPr>
                        </w:pPr>
                        <w:r>
                          <w:rPr>
                            <w:color w:val="231F20"/>
                            <w:w w:val="113"/>
                            <w:sz w:val="9"/>
                          </w:rPr>
                          <w:t>3</w:t>
                        </w:r>
                      </w:p>
                    </w:tc>
                    <w:tc>
                      <w:tcPr>
                        <w:tcW w:w="2350" w:type="dxa"/>
                        <w:tcBorders>
                          <w:top w:val="single" w:sz="4" w:space="0" w:color="FFFFFF"/>
                          <w:bottom w:val="single" w:sz="4" w:space="0" w:color="FFFFFF"/>
                        </w:tcBorders>
                        <w:shd w:val="clear" w:color="auto" w:fill="E6ECF7"/>
                      </w:tcPr>
                      <w:p>
                        <w:pPr>
                          <w:pStyle w:val="TableParagraph"/>
                          <w:spacing w:line="140" w:lineRule="exact"/>
                          <w:ind w:left="130"/>
                          <w:rPr>
                            <w:rFonts w:ascii="Consolas" w:hAnsi="Consolas"/>
                            <w:sz w:val="9"/>
                          </w:rPr>
                        </w:pPr>
                        <w:r>
                          <w:rPr>
                            <w:rFonts w:ascii="Consolas" w:hAnsi="Consolas"/>
                            <w:color w:val="231F20"/>
                            <w:w w:val="110"/>
                            <w:sz w:val="16"/>
                          </w:rPr>
                          <w:t>↓ </w:t>
                        </w:r>
                        <w:r>
                          <w:rPr>
                            <w:color w:val="231F20"/>
                            <w:w w:val="110"/>
                            <w:sz w:val="16"/>
                          </w:rPr>
                          <w:t>H</w:t>
                        </w:r>
                        <w:r>
                          <w:rPr>
                            <w:rFonts w:ascii="Consolas" w:hAnsi="Consolas"/>
                            <w:color w:val="231F20"/>
                            <w:w w:val="110"/>
                            <w:position w:val="6"/>
                            <w:sz w:val="9"/>
                          </w:rPr>
                          <w:t>+ </w:t>
                        </w:r>
                        <w:r>
                          <w:rPr>
                            <w:rFonts w:ascii="Consolas" w:hAnsi="Consolas"/>
                            <w:color w:val="231F20"/>
                            <w:w w:val="110"/>
                            <w:sz w:val="16"/>
                          </w:rPr>
                          <w:t>↑</w:t>
                        </w:r>
                        <w:r>
                          <w:rPr>
                            <w:rFonts w:ascii="Consolas" w:hAnsi="Consolas"/>
                            <w:color w:val="231F20"/>
                            <w:spacing w:val="-63"/>
                            <w:w w:val="110"/>
                            <w:sz w:val="16"/>
                          </w:rPr>
                          <w:t> </w:t>
                        </w:r>
                        <w:r>
                          <w:rPr>
                            <w:color w:val="231F20"/>
                            <w:w w:val="110"/>
                            <w:sz w:val="16"/>
                          </w:rPr>
                          <w:t>HCO </w:t>
                        </w:r>
                        <w:r>
                          <w:rPr>
                            <w:rFonts w:ascii="Consolas" w:hAnsi="Consolas"/>
                            <w:color w:val="231F20"/>
                            <w:w w:val="110"/>
                            <w:position w:val="6"/>
                            <w:sz w:val="9"/>
                          </w:rPr>
                          <w:t>−</w:t>
                        </w:r>
                      </w:p>
                      <w:p>
                        <w:pPr>
                          <w:pStyle w:val="TableParagraph"/>
                          <w:tabs>
                            <w:tab w:pos="1015" w:val="left" w:leader="none"/>
                          </w:tabs>
                          <w:spacing w:line="54" w:lineRule="exact" w:before="0"/>
                          <w:ind w:left="448"/>
                          <w:rPr>
                            <w:sz w:val="9"/>
                          </w:rPr>
                        </w:pPr>
                        <w:r>
                          <w:rPr>
                            <w:color w:val="231F20"/>
                            <w:sz w:val="9"/>
                          </w:rPr>
                          <w:t>,</w:t>
                          <w:tab/>
                          <w:t>3</w:t>
                        </w:r>
                      </w:p>
                    </w:tc>
                  </w:tr>
                  <w:tr>
                    <w:trPr>
                      <w:trHeight w:val="264" w:hRule="atLeast"/>
                    </w:trPr>
                    <w:tc>
                      <w:tcPr>
                        <w:tcW w:w="2330" w:type="dxa"/>
                        <w:tcBorders>
                          <w:top w:val="single" w:sz="4" w:space="0" w:color="FFFFFF"/>
                          <w:bottom w:val="single" w:sz="4" w:space="0" w:color="FFFFFF"/>
                        </w:tcBorders>
                        <w:shd w:val="clear" w:color="auto" w:fill="E6ECF7"/>
                      </w:tcPr>
                      <w:p>
                        <w:pPr>
                          <w:pStyle w:val="TableParagraph"/>
                          <w:ind w:left="120"/>
                          <w:rPr>
                            <w:sz w:val="16"/>
                          </w:rPr>
                        </w:pPr>
                        <w:r>
                          <w:rPr>
                            <w:rFonts w:ascii="Consolas" w:hAnsi="Consolas"/>
                            <w:color w:val="231F20"/>
                            <w:w w:val="105"/>
                            <w:sz w:val="16"/>
                          </w:rPr>
                          <w:t>↓ </w:t>
                        </w:r>
                        <w:r>
                          <w:rPr>
                            <w:color w:val="231F20"/>
                            <w:w w:val="105"/>
                            <w:sz w:val="16"/>
                          </w:rPr>
                          <w:t>Extracellular fluid volume</w:t>
                        </w:r>
                      </w:p>
                    </w:tc>
                    <w:tc>
                      <w:tcPr>
                        <w:tcW w:w="2350" w:type="dxa"/>
                        <w:tcBorders>
                          <w:top w:val="single" w:sz="4" w:space="0" w:color="FFFFFF"/>
                          <w:bottom w:val="single" w:sz="4" w:space="0" w:color="FFFFFF"/>
                        </w:tcBorders>
                        <w:shd w:val="clear" w:color="auto" w:fill="E6ECF7"/>
                      </w:tcPr>
                      <w:p>
                        <w:pPr>
                          <w:pStyle w:val="TableParagraph"/>
                          <w:ind w:left="130"/>
                          <w:rPr>
                            <w:sz w:val="16"/>
                          </w:rPr>
                        </w:pPr>
                        <w:r>
                          <w:rPr>
                            <w:rFonts w:ascii="Consolas" w:hAnsi="Consolas"/>
                            <w:color w:val="231F20"/>
                            <w:w w:val="105"/>
                            <w:sz w:val="16"/>
                          </w:rPr>
                          <w:t>↑ </w:t>
                        </w:r>
                        <w:r>
                          <w:rPr>
                            <w:color w:val="231F20"/>
                            <w:w w:val="105"/>
                            <w:sz w:val="16"/>
                          </w:rPr>
                          <w:t>Extracellular fluid volume</w:t>
                        </w:r>
                      </w:p>
                    </w:tc>
                  </w:tr>
                  <w:tr>
                    <w:trPr>
                      <w:trHeight w:val="264" w:hRule="atLeast"/>
                    </w:trPr>
                    <w:tc>
                      <w:tcPr>
                        <w:tcW w:w="2330" w:type="dxa"/>
                        <w:tcBorders>
                          <w:top w:val="single" w:sz="4" w:space="0" w:color="FFFFFF"/>
                          <w:bottom w:val="single" w:sz="4" w:space="0" w:color="FFFFFF"/>
                        </w:tcBorders>
                        <w:shd w:val="clear" w:color="auto" w:fill="E6ECF7"/>
                      </w:tcPr>
                      <w:p>
                        <w:pPr>
                          <w:pStyle w:val="TableParagraph"/>
                          <w:ind w:left="120"/>
                          <w:rPr>
                            <w:sz w:val="16"/>
                          </w:rPr>
                        </w:pPr>
                        <w:r>
                          <w:rPr>
                            <w:rFonts w:ascii="Consolas" w:hAnsi="Consolas"/>
                            <w:color w:val="231F20"/>
                            <w:w w:val="110"/>
                            <w:sz w:val="16"/>
                          </w:rPr>
                          <w:t>↑ </w:t>
                        </w:r>
                        <w:r>
                          <w:rPr>
                            <w:color w:val="231F20"/>
                            <w:w w:val="110"/>
                            <w:sz w:val="16"/>
                          </w:rPr>
                          <w:t>Angiotensin II</w:t>
                        </w:r>
                      </w:p>
                    </w:tc>
                    <w:tc>
                      <w:tcPr>
                        <w:tcW w:w="2350" w:type="dxa"/>
                        <w:tcBorders>
                          <w:top w:val="single" w:sz="4" w:space="0" w:color="FFFFFF"/>
                          <w:bottom w:val="single" w:sz="4" w:space="0" w:color="FFFFFF"/>
                        </w:tcBorders>
                        <w:shd w:val="clear" w:color="auto" w:fill="E6ECF7"/>
                      </w:tcPr>
                      <w:p>
                        <w:pPr>
                          <w:pStyle w:val="TableParagraph"/>
                          <w:ind w:left="130"/>
                          <w:rPr>
                            <w:sz w:val="16"/>
                          </w:rPr>
                        </w:pPr>
                        <w:r>
                          <w:rPr>
                            <w:rFonts w:ascii="Consolas" w:hAnsi="Consolas"/>
                            <w:color w:val="231F20"/>
                            <w:w w:val="110"/>
                            <w:sz w:val="16"/>
                          </w:rPr>
                          <w:t>↓ </w:t>
                        </w:r>
                        <w:r>
                          <w:rPr>
                            <w:color w:val="231F20"/>
                            <w:w w:val="110"/>
                            <w:sz w:val="16"/>
                          </w:rPr>
                          <w:t>Angiotensin II</w:t>
                        </w:r>
                      </w:p>
                    </w:tc>
                  </w:tr>
                  <w:tr>
                    <w:trPr>
                      <w:trHeight w:val="264" w:hRule="atLeast"/>
                    </w:trPr>
                    <w:tc>
                      <w:tcPr>
                        <w:tcW w:w="2330" w:type="dxa"/>
                        <w:tcBorders>
                          <w:top w:val="single" w:sz="4" w:space="0" w:color="FFFFFF"/>
                          <w:bottom w:val="single" w:sz="4" w:space="0" w:color="FFFFFF"/>
                        </w:tcBorders>
                        <w:shd w:val="clear" w:color="auto" w:fill="E6ECF7"/>
                      </w:tcPr>
                      <w:p>
                        <w:pPr>
                          <w:pStyle w:val="TableParagraph"/>
                          <w:ind w:left="120"/>
                          <w:rPr>
                            <w:sz w:val="16"/>
                          </w:rPr>
                        </w:pPr>
                        <w:r>
                          <w:rPr>
                            <w:rFonts w:ascii="Consolas" w:hAnsi="Consolas"/>
                            <w:color w:val="231F20"/>
                            <w:w w:val="110"/>
                            <w:sz w:val="16"/>
                          </w:rPr>
                          <w:t>↑ </w:t>
                        </w:r>
                        <w:r>
                          <w:rPr>
                            <w:color w:val="231F20"/>
                            <w:w w:val="110"/>
                            <w:sz w:val="16"/>
                          </w:rPr>
                          <w:t>Aldosterone</w:t>
                        </w:r>
                      </w:p>
                    </w:tc>
                    <w:tc>
                      <w:tcPr>
                        <w:tcW w:w="2350" w:type="dxa"/>
                        <w:tcBorders>
                          <w:top w:val="single" w:sz="4" w:space="0" w:color="FFFFFF"/>
                          <w:bottom w:val="single" w:sz="4" w:space="0" w:color="FFFFFF"/>
                        </w:tcBorders>
                        <w:shd w:val="clear" w:color="auto" w:fill="E6ECF7"/>
                      </w:tcPr>
                      <w:p>
                        <w:pPr>
                          <w:pStyle w:val="TableParagraph"/>
                          <w:ind w:left="130"/>
                          <w:rPr>
                            <w:sz w:val="16"/>
                          </w:rPr>
                        </w:pPr>
                        <w:r>
                          <w:rPr>
                            <w:rFonts w:ascii="Consolas" w:hAnsi="Consolas"/>
                            <w:color w:val="231F20"/>
                            <w:w w:val="110"/>
                            <w:sz w:val="16"/>
                          </w:rPr>
                          <w:t>↓ </w:t>
                        </w:r>
                        <w:r>
                          <w:rPr>
                            <w:color w:val="231F20"/>
                            <w:w w:val="110"/>
                            <w:sz w:val="16"/>
                          </w:rPr>
                          <w:t>Aldosterone</w:t>
                        </w:r>
                      </w:p>
                    </w:tc>
                  </w:tr>
                  <w:tr>
                    <w:trPr>
                      <w:trHeight w:val="279" w:hRule="atLeast"/>
                    </w:trPr>
                    <w:tc>
                      <w:tcPr>
                        <w:tcW w:w="2330" w:type="dxa"/>
                        <w:tcBorders>
                          <w:top w:val="single" w:sz="4" w:space="0" w:color="FFFFFF"/>
                        </w:tcBorders>
                        <w:shd w:val="clear" w:color="auto" w:fill="E6ECF7"/>
                      </w:tcPr>
                      <w:p>
                        <w:pPr>
                          <w:pStyle w:val="TableParagraph"/>
                          <w:ind w:left="120"/>
                          <w:rPr>
                            <w:sz w:val="16"/>
                          </w:rPr>
                        </w:pPr>
                        <w:r>
                          <w:rPr>
                            <w:color w:val="231F20"/>
                            <w:w w:val="105"/>
                            <w:sz w:val="16"/>
                          </w:rPr>
                          <w:t>Hypokalemia</w:t>
                        </w:r>
                      </w:p>
                    </w:tc>
                    <w:tc>
                      <w:tcPr>
                        <w:tcW w:w="2350" w:type="dxa"/>
                        <w:tcBorders>
                          <w:top w:val="single" w:sz="4" w:space="0" w:color="FFFFFF"/>
                        </w:tcBorders>
                        <w:shd w:val="clear" w:color="auto" w:fill="E6ECF7"/>
                      </w:tcPr>
                      <w:p>
                        <w:pPr>
                          <w:pStyle w:val="TableParagraph"/>
                          <w:ind w:left="130"/>
                          <w:rPr>
                            <w:sz w:val="16"/>
                          </w:rPr>
                        </w:pPr>
                        <w:r>
                          <w:rPr>
                            <w:color w:val="231F20"/>
                            <w:w w:val="105"/>
                            <w:sz w:val="16"/>
                          </w:rPr>
                          <w:t>Hyperkalemia</w:t>
                        </w:r>
                      </w:p>
                    </w:tc>
                  </w:tr>
                </w:tbl>
                <w:p>
                  <w:pPr>
                    <w:pStyle w:val="BodyText"/>
                  </w:pPr>
                </w:p>
              </w:txbxContent>
            </v:textbox>
            <w10:wrap type="none"/>
          </v:shape>
        </w:pict>
      </w:r>
      <w:r>
        <w:rPr>
          <w:color w:val="231F20"/>
        </w:rPr>
        <w:t>fluid is due mainly to the rise in extracellular fluid P</w:t>
      </w:r>
      <w:r>
        <w:rPr>
          <w:color w:val="231F20"/>
          <w:sz w:val="16"/>
        </w:rPr>
        <w:t>CO</w:t>
      </w:r>
      <w:r>
        <w:rPr>
          <w:color w:val="231F20"/>
          <w:sz w:val="16"/>
          <w:vertAlign w:val="subscript"/>
        </w:rPr>
        <w:t>2</w:t>
      </w:r>
      <w:r>
        <w:rPr>
          <w:color w:val="231F20"/>
          <w:vertAlign w:val="baseline"/>
        </w:rPr>
        <w:t>,</w:t>
      </w:r>
    </w:p>
    <w:p>
      <w:pPr>
        <w:spacing w:line="5" w:lineRule="exact" w:before="6"/>
        <w:ind w:left="3979" w:right="0" w:firstLine="0"/>
        <w:jc w:val="center"/>
        <w:rPr>
          <w:rFonts w:ascii="Consolas"/>
          <w:sz w:val="12"/>
        </w:rPr>
      </w:pPr>
      <w:r>
        <w:rPr>
          <w:rFonts w:ascii="Consolas"/>
          <w:color w:val="231F20"/>
          <w:w w:val="99"/>
          <w:sz w:val="12"/>
        </w:rPr>
        <w:t>+</w:t>
      </w:r>
    </w:p>
    <w:p>
      <w:pPr>
        <w:pStyle w:val="BodyText"/>
        <w:spacing w:line="229" w:lineRule="exact"/>
        <w:ind w:left="6479"/>
      </w:pPr>
      <w:r>
        <w:rPr>
          <w:color w:val="231F20"/>
          <w:w w:val="105"/>
        </w:rPr>
        <w:t>which stimulates H secretion.</w:t>
      </w:r>
    </w:p>
    <w:p>
      <w:pPr>
        <w:pStyle w:val="BodyText"/>
        <w:spacing w:line="247" w:lineRule="auto" w:before="10"/>
        <w:ind w:left="6479" w:right="1077" w:firstLine="240"/>
        <w:jc w:val="both"/>
      </w:pPr>
      <w:r>
        <w:rPr/>
        <w:pict>
          <v:shape style="position:absolute;margin-left:466.807007pt;margin-top:29.761938pt;width:3pt;height:8.7pt;mso-position-horizontal-relative:page;mso-position-vertical-relative:paragraph;z-index:-272327680"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pict>
          <v:shape style="position:absolute;margin-left:475.516296pt;margin-top:59.77594pt;width:3.3pt;height:7.85pt;mso-position-horizontal-relative:page;mso-position-vertical-relative:paragraph;z-index:-272326656" type="#_x0000_t202" filled="false" stroked="false">
            <v:textbox inset="0,0,0,0">
              <w:txbxContent>
                <w:p>
                  <w:pPr>
                    <w:spacing w:before="11"/>
                    <w:ind w:left="0" w:right="0" w:firstLine="0"/>
                    <w:jc w:val="left"/>
                    <w:rPr>
                      <w:rFonts w:ascii="Consolas"/>
                      <w:sz w:val="12"/>
                    </w:rPr>
                  </w:pPr>
                  <w:r>
                    <w:rPr>
                      <w:rFonts w:ascii="Consolas"/>
                      <w:color w:val="231F20"/>
                      <w:w w:val="99"/>
                      <w:sz w:val="12"/>
                    </w:rPr>
                    <w:t>+</w:t>
                  </w:r>
                </w:p>
              </w:txbxContent>
            </v:textbox>
            <w10:wrap type="none"/>
          </v:shape>
        </w:pict>
      </w:r>
      <w:r>
        <w:rPr/>
        <w:pict>
          <v:shape style="position:absolute;margin-left:476.275604pt;margin-top:77.76194pt;width:3pt;height:8.7pt;mso-position-horizontal-relative:page;mso-position-vertical-relative:paragraph;z-index:-272325632" type="#_x0000_t202" filled="false" stroked="false">
            <v:textbox inset="0,0,0,0">
              <w:txbxContent>
                <w:p>
                  <w:pPr>
                    <w:spacing w:line="137" w:lineRule="exact" w:before="0"/>
                    <w:ind w:left="0" w:right="0" w:firstLine="0"/>
                    <w:jc w:val="left"/>
                    <w:rPr>
                      <w:sz w:val="12"/>
                    </w:rPr>
                  </w:pPr>
                  <w:r>
                    <w:rPr>
                      <w:color w:val="231F20"/>
                      <w:w w:val="98"/>
                      <w:sz w:val="12"/>
                    </w:rPr>
                    <w:t>4</w:t>
                  </w:r>
                </w:p>
              </w:txbxContent>
            </v:textbox>
            <w10:wrap type="none"/>
          </v:shape>
        </w:pict>
      </w:r>
      <w:r>
        <w:rPr>
          <w:color w:val="231F20"/>
        </w:rPr>
        <w:t>As discussed previously, with chronic acidosis, regard- less of whether it is respiratory or metabolic, there is an increase in the production of NH </w:t>
      </w:r>
      <w:r>
        <w:rPr>
          <w:rFonts w:ascii="Consolas" w:hAnsi="Consolas"/>
          <w:color w:val="231F20"/>
          <w:spacing w:val="-11"/>
          <w:position w:val="8"/>
          <w:sz w:val="12"/>
        </w:rPr>
        <w:t>+</w:t>
      </w:r>
      <w:r>
        <w:rPr>
          <w:color w:val="231F20"/>
          <w:spacing w:val="-11"/>
        </w:rPr>
        <w:t>, </w:t>
      </w:r>
      <w:r>
        <w:rPr>
          <w:color w:val="231F20"/>
        </w:rPr>
        <w:t>which further con- tributes to the excretion of H</w:t>
      </w:r>
      <w:r>
        <w:rPr>
          <w:rFonts w:ascii="Consolas" w:hAnsi="Consolas"/>
          <w:color w:val="231F20"/>
          <w:position w:val="8"/>
          <w:sz w:val="12"/>
        </w:rPr>
        <w:t>+ </w:t>
      </w:r>
      <w:r>
        <w:rPr>
          <w:color w:val="231F20"/>
        </w:rPr>
        <w:t>and the addition of new HCO</w:t>
      </w:r>
      <w:r>
        <w:rPr>
          <w:color w:val="231F20"/>
          <w:vertAlign w:val="subscript"/>
        </w:rPr>
        <w:t>3</w:t>
      </w:r>
      <w:r>
        <w:rPr>
          <w:rFonts w:ascii="Consolas" w:hAnsi="Consolas"/>
          <w:color w:val="231F20"/>
          <w:position w:val="8"/>
          <w:sz w:val="12"/>
          <w:vertAlign w:val="baseline"/>
        </w:rPr>
        <w:t>− </w:t>
      </w:r>
      <w:r>
        <w:rPr>
          <w:color w:val="231F20"/>
          <w:vertAlign w:val="baseline"/>
        </w:rPr>
        <w:t>to the extracellular fluid. </w:t>
      </w:r>
      <w:r>
        <w:rPr>
          <w:color w:val="231F20"/>
          <w:spacing w:val="-3"/>
          <w:vertAlign w:val="baseline"/>
        </w:rPr>
        <w:t>With </w:t>
      </w:r>
      <w:r>
        <w:rPr>
          <w:color w:val="231F20"/>
          <w:vertAlign w:val="baseline"/>
        </w:rPr>
        <w:t>severe chronic </w:t>
      </w:r>
      <w:r>
        <w:rPr>
          <w:color w:val="231F20"/>
          <w:spacing w:val="-4"/>
          <w:vertAlign w:val="baseline"/>
        </w:rPr>
        <w:t>aci- </w:t>
      </w:r>
      <w:r>
        <w:rPr>
          <w:color w:val="231F20"/>
          <w:vertAlign w:val="baseline"/>
        </w:rPr>
        <w:t>dosis, as much as 500 mEq/day of H can be excreted in the</w:t>
      </w:r>
      <w:r>
        <w:rPr>
          <w:color w:val="231F20"/>
          <w:spacing w:val="23"/>
          <w:vertAlign w:val="baseline"/>
        </w:rPr>
        <w:t> </w:t>
      </w:r>
      <w:r>
        <w:rPr>
          <w:color w:val="231F20"/>
          <w:vertAlign w:val="baseline"/>
        </w:rPr>
        <w:t>urine,</w:t>
      </w:r>
      <w:r>
        <w:rPr>
          <w:color w:val="231F20"/>
          <w:spacing w:val="23"/>
          <w:vertAlign w:val="baseline"/>
        </w:rPr>
        <w:t> </w:t>
      </w:r>
      <w:r>
        <w:rPr>
          <w:color w:val="231F20"/>
          <w:vertAlign w:val="baseline"/>
        </w:rPr>
        <w:t>mainly</w:t>
      </w:r>
      <w:r>
        <w:rPr>
          <w:color w:val="231F20"/>
          <w:spacing w:val="23"/>
          <w:vertAlign w:val="baseline"/>
        </w:rPr>
        <w:t> </w:t>
      </w:r>
      <w:r>
        <w:rPr>
          <w:color w:val="231F20"/>
          <w:vertAlign w:val="baseline"/>
        </w:rPr>
        <w:t>in</w:t>
      </w:r>
      <w:r>
        <w:rPr>
          <w:color w:val="231F20"/>
          <w:spacing w:val="24"/>
          <w:vertAlign w:val="baseline"/>
        </w:rPr>
        <w:t> </w:t>
      </w:r>
      <w:r>
        <w:rPr>
          <w:color w:val="231F20"/>
          <w:vertAlign w:val="baseline"/>
        </w:rPr>
        <w:t>the</w:t>
      </w:r>
      <w:r>
        <w:rPr>
          <w:color w:val="231F20"/>
          <w:spacing w:val="23"/>
          <w:vertAlign w:val="baseline"/>
        </w:rPr>
        <w:t> </w:t>
      </w:r>
      <w:r>
        <w:rPr>
          <w:color w:val="231F20"/>
          <w:vertAlign w:val="baseline"/>
        </w:rPr>
        <w:t>form</w:t>
      </w:r>
      <w:r>
        <w:rPr>
          <w:color w:val="231F20"/>
          <w:spacing w:val="23"/>
          <w:vertAlign w:val="baseline"/>
        </w:rPr>
        <w:t> </w:t>
      </w:r>
      <w:r>
        <w:rPr>
          <w:color w:val="231F20"/>
          <w:vertAlign w:val="baseline"/>
        </w:rPr>
        <w:t>of</w:t>
      </w:r>
      <w:r>
        <w:rPr>
          <w:color w:val="231F20"/>
          <w:spacing w:val="23"/>
          <w:vertAlign w:val="baseline"/>
        </w:rPr>
        <w:t> </w:t>
      </w:r>
      <w:r>
        <w:rPr>
          <w:color w:val="231F20"/>
          <w:vertAlign w:val="baseline"/>
        </w:rPr>
        <w:t>NH</w:t>
      </w:r>
      <w:r>
        <w:rPr>
          <w:color w:val="231F20"/>
          <w:spacing w:val="17"/>
          <w:vertAlign w:val="baseline"/>
        </w:rPr>
        <w:t> </w:t>
      </w:r>
      <w:r>
        <w:rPr>
          <w:rFonts w:ascii="Consolas" w:hAnsi="Consolas"/>
          <w:color w:val="231F20"/>
          <w:position w:val="8"/>
          <w:sz w:val="12"/>
          <w:vertAlign w:val="baseline"/>
        </w:rPr>
        <w:t>+</w:t>
      </w:r>
      <w:r>
        <w:rPr>
          <w:color w:val="231F20"/>
          <w:vertAlign w:val="baseline"/>
        </w:rPr>
        <w:t>;</w:t>
      </w:r>
      <w:r>
        <w:rPr>
          <w:color w:val="231F20"/>
          <w:spacing w:val="23"/>
          <w:vertAlign w:val="baseline"/>
        </w:rPr>
        <w:t> </w:t>
      </w:r>
      <w:r>
        <w:rPr>
          <w:color w:val="231F20"/>
          <w:vertAlign w:val="baseline"/>
        </w:rPr>
        <w:t>this</w:t>
      </w:r>
      <w:r>
        <w:rPr>
          <w:color w:val="231F20"/>
          <w:spacing w:val="23"/>
          <w:vertAlign w:val="baseline"/>
        </w:rPr>
        <w:t> </w:t>
      </w:r>
      <w:r>
        <w:rPr>
          <w:color w:val="231F20"/>
          <w:vertAlign w:val="baseline"/>
        </w:rPr>
        <w:t>excretion,</w:t>
      </w:r>
      <w:r>
        <w:rPr>
          <w:color w:val="231F20"/>
          <w:spacing w:val="24"/>
          <w:vertAlign w:val="baseline"/>
        </w:rPr>
        <w:t> </w:t>
      </w:r>
      <w:r>
        <w:rPr>
          <w:color w:val="231F20"/>
          <w:vertAlign w:val="baseline"/>
        </w:rPr>
        <w:t>in</w:t>
      </w:r>
    </w:p>
    <w:p>
      <w:pPr>
        <w:spacing w:after="0" w:line="247" w:lineRule="auto"/>
        <w:jc w:val="both"/>
        <w:sectPr>
          <w:type w:val="continuous"/>
          <w:pgSz w:w="12240" w:h="15660"/>
          <w:pgMar w:top="0" w:bottom="760" w:left="0" w:right="0"/>
        </w:sectPr>
      </w:pPr>
    </w:p>
    <w:p>
      <w:pPr>
        <w:pStyle w:val="BodyText"/>
        <w:spacing w:before="10"/>
        <w:rPr>
          <w:sz w:val="17"/>
        </w:rPr>
      </w:pPr>
    </w:p>
    <w:p>
      <w:pPr>
        <w:spacing w:after="0"/>
        <w:rPr>
          <w:sz w:val="17"/>
        </w:rPr>
        <w:sectPr>
          <w:headerReference w:type="even" r:id="rId1017"/>
          <w:footerReference w:type="even" r:id="rId1018"/>
          <w:footerReference w:type="default" r:id="rId1019"/>
          <w:pgSz w:w="12240" w:h="15660"/>
          <w:pgMar w:header="0" w:footer="567" w:top="720" w:bottom="760" w:left="0" w:right="0"/>
          <w:pgNumType w:start="422"/>
        </w:sectPr>
      </w:pPr>
    </w:p>
    <w:p>
      <w:pPr>
        <w:spacing w:line="252" w:lineRule="auto" w:before="125"/>
        <w:ind w:left="1080" w:right="38" w:firstLine="0"/>
        <w:jc w:val="left"/>
        <w:rPr>
          <w:rFonts w:ascii="Trebuchet MS"/>
          <w:sz w:val="18"/>
        </w:rPr>
      </w:pPr>
      <w:bookmarkStart w:name="_bookmark112" w:id="113"/>
      <w:bookmarkEnd w:id="113"/>
      <w:r>
        <w:rPr/>
      </w:r>
      <w:r>
        <w:rPr>
          <w:rFonts w:ascii="Trebuchet MS"/>
          <w:b/>
          <w:color w:val="231F20"/>
          <w:sz w:val="18"/>
        </w:rPr>
        <w:t>Table 31-3 </w:t>
      </w:r>
      <w:r>
        <w:rPr>
          <w:rFonts w:ascii="Trebuchet MS"/>
          <w:color w:val="231F20"/>
          <w:sz w:val="18"/>
        </w:rPr>
        <w:t>Characteristics of Primary Acid-Base Disturbances</w:t>
      </w:r>
    </w:p>
    <w:p>
      <w:pPr>
        <w:pStyle w:val="BodyText"/>
        <w:spacing w:line="249" w:lineRule="auto" w:before="111"/>
        <w:ind w:left="1080" w:right="1437"/>
        <w:jc w:val="both"/>
      </w:pPr>
      <w:r>
        <w:rPr/>
        <w:br w:type="column"/>
      </w:r>
      <w:r>
        <w:rPr>
          <w:color w:val="231F20"/>
          <w:w w:val="105"/>
        </w:rPr>
        <w:t>ratio</w:t>
      </w:r>
      <w:r>
        <w:rPr>
          <w:color w:val="231F20"/>
          <w:spacing w:val="-13"/>
          <w:w w:val="105"/>
        </w:rPr>
        <w:t> </w:t>
      </w:r>
      <w:r>
        <w:rPr>
          <w:color w:val="231F20"/>
          <w:w w:val="105"/>
        </w:rPr>
        <w:t>of</w:t>
      </w:r>
      <w:r>
        <w:rPr>
          <w:color w:val="231F20"/>
          <w:spacing w:val="-13"/>
          <w:w w:val="105"/>
        </w:rPr>
        <w:t> </w:t>
      </w:r>
      <w:r>
        <w:rPr>
          <w:color w:val="231F20"/>
          <w:w w:val="105"/>
        </w:rPr>
        <w:t>HCO</w:t>
      </w:r>
      <w:r>
        <w:rPr>
          <w:color w:val="231F20"/>
          <w:spacing w:val="-4"/>
          <w:w w:val="105"/>
        </w:rPr>
        <w:t> </w:t>
      </w:r>
      <w:r>
        <w:rPr>
          <w:rFonts w:ascii="Consolas" w:hAnsi="Consolas"/>
          <w:color w:val="231F20"/>
          <w:w w:val="105"/>
          <w:position w:val="8"/>
          <w:sz w:val="12"/>
        </w:rPr>
        <w:t>−</w:t>
      </w:r>
      <w:r>
        <w:rPr>
          <w:rFonts w:ascii="Consolas" w:hAnsi="Consolas"/>
          <w:color w:val="231F20"/>
          <w:spacing w:val="-29"/>
          <w:w w:val="105"/>
          <w:position w:val="8"/>
          <w:sz w:val="12"/>
        </w:rPr>
        <w:t> </w:t>
      </w:r>
      <w:r>
        <w:rPr>
          <w:color w:val="231F20"/>
          <w:w w:val="105"/>
        </w:rPr>
        <w:t>to</w:t>
      </w:r>
      <w:r>
        <w:rPr>
          <w:color w:val="231F20"/>
          <w:spacing w:val="-13"/>
          <w:w w:val="105"/>
        </w:rPr>
        <w:t> </w:t>
      </w:r>
      <w:r>
        <w:rPr>
          <w:color w:val="231F20"/>
          <w:w w:val="105"/>
        </w:rPr>
        <w:t>CO</w:t>
      </w:r>
      <w:r>
        <w:rPr>
          <w:color w:val="231F20"/>
          <w:spacing w:val="37"/>
          <w:w w:val="105"/>
        </w:rPr>
        <w:t> </w:t>
      </w:r>
      <w:r>
        <w:rPr>
          <w:color w:val="231F20"/>
          <w:w w:val="105"/>
        </w:rPr>
        <w:t>in</w:t>
      </w:r>
      <w:r>
        <w:rPr>
          <w:color w:val="231F20"/>
          <w:spacing w:val="-12"/>
          <w:w w:val="105"/>
        </w:rPr>
        <w:t> </w:t>
      </w:r>
      <w:r>
        <w:rPr>
          <w:color w:val="231F20"/>
          <w:w w:val="105"/>
        </w:rPr>
        <w:t>the</w:t>
      </w:r>
      <w:r>
        <w:rPr>
          <w:color w:val="231F20"/>
          <w:spacing w:val="-13"/>
          <w:w w:val="105"/>
        </w:rPr>
        <w:t> </w:t>
      </w:r>
      <w:r>
        <w:rPr>
          <w:color w:val="231F20"/>
          <w:w w:val="105"/>
        </w:rPr>
        <w:t>extracellular</w:t>
      </w:r>
      <w:r>
        <w:rPr>
          <w:color w:val="231F20"/>
          <w:spacing w:val="-13"/>
          <w:w w:val="105"/>
        </w:rPr>
        <w:t> </w:t>
      </w:r>
      <w:r>
        <w:rPr>
          <w:color w:val="231F20"/>
          <w:w w:val="105"/>
        </w:rPr>
        <w:t>fluid</w:t>
      </w:r>
      <w:r>
        <w:rPr>
          <w:color w:val="231F20"/>
          <w:spacing w:val="-12"/>
          <w:w w:val="105"/>
        </w:rPr>
        <w:t> </w:t>
      </w:r>
      <w:r>
        <w:rPr>
          <w:color w:val="231F20"/>
          <w:w w:val="105"/>
        </w:rPr>
        <w:t>increases, causing a rise in pH (a decrease in H</w:t>
      </w:r>
      <w:r>
        <w:rPr>
          <w:rFonts w:ascii="Consolas" w:hAnsi="Consolas"/>
          <w:color w:val="231F20"/>
          <w:w w:val="105"/>
          <w:position w:val="8"/>
          <w:sz w:val="12"/>
        </w:rPr>
        <w:t>+</w:t>
      </w:r>
      <w:r>
        <w:rPr>
          <w:rFonts w:ascii="Consolas" w:hAnsi="Consolas"/>
          <w:color w:val="231F20"/>
          <w:spacing w:val="-38"/>
          <w:w w:val="105"/>
          <w:position w:val="8"/>
          <w:sz w:val="12"/>
        </w:rPr>
        <w:t> </w:t>
      </w:r>
      <w:r>
        <w:rPr>
          <w:color w:val="231F20"/>
          <w:w w:val="105"/>
        </w:rPr>
        <w:t>concentration), as is evident from the Henderson-Hasselbalch</w:t>
      </w:r>
      <w:r>
        <w:rPr>
          <w:color w:val="231F20"/>
          <w:spacing w:val="-21"/>
          <w:w w:val="105"/>
        </w:rPr>
        <w:t> </w:t>
      </w:r>
      <w:r>
        <w:rPr>
          <w:color w:val="231F20"/>
          <w:w w:val="105"/>
        </w:rPr>
        <w:t>equation.</w:t>
      </w:r>
    </w:p>
    <w:p>
      <w:pPr>
        <w:pStyle w:val="BodyText"/>
        <w:spacing w:before="2"/>
        <w:rPr>
          <w:sz w:val="29"/>
        </w:rPr>
      </w:pPr>
    </w:p>
    <w:p>
      <w:pPr>
        <w:pStyle w:val="Heading2"/>
        <w:spacing w:line="251" w:lineRule="exact"/>
        <w:ind w:left="1080"/>
        <w:jc w:val="both"/>
        <w:rPr>
          <w:rFonts w:ascii="Consolas" w:hAnsi="Consolas"/>
          <w:sz w:val="13"/>
        </w:rPr>
      </w:pPr>
      <w:r>
        <w:rPr/>
        <w:pict>
          <v:shape style="position:absolute;margin-left:475.319397pt;margin-top:5.958517pt;width:3.7pt;height:7.65pt;mso-position-horizontal-relative:page;mso-position-vertical-relative:paragraph;z-index:-272314368" type="#_x0000_t202" filled="false" stroked="false">
            <v:textbox inset="0,0,0,0">
              <w:txbxContent>
                <w:p>
                  <w:pPr>
                    <w:spacing w:before="1"/>
                    <w:ind w:left="0" w:right="0" w:firstLine="0"/>
                    <w:jc w:val="left"/>
                    <w:rPr>
                      <w:rFonts w:ascii="Trebuchet MS"/>
                      <w:b/>
                      <w:sz w:val="13"/>
                    </w:rPr>
                  </w:pPr>
                  <w:r>
                    <w:rPr>
                      <w:rFonts w:ascii="Trebuchet MS"/>
                      <w:b/>
                      <w:color w:val="231F20"/>
                      <w:w w:val="96"/>
                      <w:sz w:val="13"/>
                    </w:rPr>
                    <w:t>3</w:t>
                  </w:r>
                </w:p>
              </w:txbxContent>
            </v:textbox>
            <w10:wrap type="none"/>
          </v:shape>
        </w:pict>
      </w:r>
      <w:r>
        <w:rPr/>
        <w:pict>
          <v:shape style="position:absolute;margin-left:360.515808pt;margin-top:-47.594482pt;width:3pt;height:8.7pt;mso-position-horizontal-relative:page;mso-position-vertical-relative:paragraph;z-index:-27229184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94.718109pt;margin-top:-47.594482pt;width:3pt;height:8.7pt;mso-position-horizontal-relative:page;mso-position-vertical-relative:paragraph;z-index:-272290816" type="#_x0000_t202" filled="false" stroked="false">
            <v:textbox inset="0,0,0,0">
              <w:txbxContent>
                <w:p>
                  <w:pPr>
                    <w:spacing w:line="137" w:lineRule="exact" w:before="0"/>
                    <w:ind w:left="0" w:right="0" w:firstLine="0"/>
                    <w:jc w:val="left"/>
                    <w:rPr>
                      <w:sz w:val="12"/>
                    </w:rPr>
                  </w:pPr>
                  <w:r>
                    <w:rPr>
                      <w:color w:val="231F20"/>
                      <w:w w:val="98"/>
                      <w:sz w:val="12"/>
                    </w:rPr>
                    <w:t>2</w:t>
                  </w:r>
                </w:p>
              </w:txbxContent>
            </v:textbox>
            <w10:wrap type="none"/>
          </v:shape>
        </w:pict>
      </w:r>
      <w:r>
        <w:rPr/>
        <w:pict>
          <v:shape style="position:absolute;margin-left:54pt;margin-top:-24.868483pt;width:234pt;height:123.95pt;mso-position-horizontal-relative:page;mso-position-vertical-relative:paragraph;z-index:2531153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7"/>
                    <w:gridCol w:w="526"/>
                    <w:gridCol w:w="979"/>
                    <w:gridCol w:w="1079"/>
                    <w:gridCol w:w="979"/>
                  </w:tblGrid>
                  <w:tr>
                    <w:trPr>
                      <w:trHeight w:val="306" w:hRule="atLeast"/>
                    </w:trPr>
                    <w:tc>
                      <w:tcPr>
                        <w:tcW w:w="1643" w:type="dxa"/>
                        <w:gridSpan w:val="2"/>
                        <w:shd w:val="clear" w:color="auto" w:fill="D1DDF1"/>
                      </w:tcPr>
                      <w:p>
                        <w:pPr>
                          <w:pStyle w:val="TableParagraph"/>
                          <w:spacing w:before="76"/>
                          <w:ind w:right="144"/>
                          <w:jc w:val="right"/>
                          <w:rPr>
                            <w:b/>
                            <w:sz w:val="16"/>
                          </w:rPr>
                        </w:pPr>
                        <w:r>
                          <w:rPr>
                            <w:b/>
                            <w:color w:val="231F20"/>
                            <w:w w:val="105"/>
                            <w:sz w:val="16"/>
                          </w:rPr>
                          <w:t>pH</w:t>
                        </w:r>
                      </w:p>
                    </w:tc>
                    <w:tc>
                      <w:tcPr>
                        <w:tcW w:w="979" w:type="dxa"/>
                        <w:shd w:val="clear" w:color="auto" w:fill="D1DDF1"/>
                      </w:tcPr>
                      <w:p>
                        <w:pPr>
                          <w:pStyle w:val="TableParagraph"/>
                          <w:spacing w:before="72"/>
                          <w:ind w:left="125" w:right="111"/>
                          <w:jc w:val="center"/>
                          <w:rPr>
                            <w:rFonts w:ascii="Consolas"/>
                            <w:b/>
                            <w:sz w:val="9"/>
                          </w:rPr>
                        </w:pPr>
                        <w:r>
                          <w:rPr>
                            <w:b/>
                            <w:color w:val="231F20"/>
                            <w:w w:val="105"/>
                            <w:position w:val="-5"/>
                            <w:sz w:val="16"/>
                          </w:rPr>
                          <w:t>H</w:t>
                        </w:r>
                        <w:r>
                          <w:rPr>
                            <w:rFonts w:ascii="Consolas"/>
                            <w:b/>
                            <w:color w:val="231F20"/>
                            <w:w w:val="105"/>
                            <w:sz w:val="9"/>
                          </w:rPr>
                          <w:t>+</w:t>
                        </w:r>
                      </w:p>
                    </w:tc>
                    <w:tc>
                      <w:tcPr>
                        <w:tcW w:w="1079" w:type="dxa"/>
                        <w:shd w:val="clear" w:color="auto" w:fill="D1DDF1"/>
                      </w:tcPr>
                      <w:p>
                        <w:pPr>
                          <w:pStyle w:val="TableParagraph"/>
                          <w:spacing w:before="76"/>
                          <w:ind w:left="126" w:right="109"/>
                          <w:jc w:val="center"/>
                          <w:rPr>
                            <w:b/>
                            <w:sz w:val="13"/>
                          </w:rPr>
                        </w:pPr>
                        <w:r>
                          <w:rPr>
                            <w:b/>
                            <w:color w:val="231F20"/>
                            <w:sz w:val="16"/>
                          </w:rPr>
                          <w:t>P</w:t>
                        </w:r>
                        <w:r>
                          <w:rPr>
                            <w:b/>
                            <w:color w:val="231F20"/>
                            <w:sz w:val="13"/>
                          </w:rPr>
                          <w:t>CO</w:t>
                        </w:r>
                        <w:r>
                          <w:rPr>
                            <w:b/>
                            <w:color w:val="231F20"/>
                            <w:sz w:val="13"/>
                            <w:vertAlign w:val="subscript"/>
                          </w:rPr>
                          <w:t>2</w:t>
                        </w:r>
                      </w:p>
                    </w:tc>
                    <w:tc>
                      <w:tcPr>
                        <w:tcW w:w="979" w:type="dxa"/>
                        <w:shd w:val="clear" w:color="auto" w:fill="D1DDF1"/>
                      </w:tcPr>
                      <w:p>
                        <w:pPr>
                          <w:pStyle w:val="TableParagraph"/>
                          <w:spacing w:line="138" w:lineRule="exact" w:before="76"/>
                          <w:ind w:left="282"/>
                          <w:rPr>
                            <w:rFonts w:ascii="Consolas" w:hAnsi="Consolas"/>
                            <w:b/>
                            <w:sz w:val="9"/>
                          </w:rPr>
                        </w:pPr>
                        <w:r>
                          <w:rPr>
                            <w:b/>
                            <w:color w:val="231F20"/>
                            <w:w w:val="105"/>
                            <w:sz w:val="16"/>
                          </w:rPr>
                          <w:t>HCO </w:t>
                        </w:r>
                        <w:r>
                          <w:rPr>
                            <w:rFonts w:ascii="Consolas" w:hAnsi="Consolas"/>
                            <w:b/>
                            <w:color w:val="231F20"/>
                            <w:w w:val="105"/>
                            <w:position w:val="6"/>
                            <w:sz w:val="9"/>
                          </w:rPr>
                          <w:t>−</w:t>
                        </w:r>
                      </w:p>
                      <w:p>
                        <w:pPr>
                          <w:pStyle w:val="TableParagraph"/>
                          <w:spacing w:line="56" w:lineRule="exact" w:before="0"/>
                          <w:ind w:left="619"/>
                          <w:rPr>
                            <w:b/>
                            <w:sz w:val="9"/>
                          </w:rPr>
                        </w:pPr>
                        <w:r>
                          <w:rPr>
                            <w:b/>
                            <w:color w:val="231F20"/>
                            <w:w w:val="101"/>
                            <w:sz w:val="9"/>
                          </w:rPr>
                          <w:t>3</w:t>
                        </w:r>
                      </w:p>
                    </w:tc>
                  </w:tr>
                  <w:tr>
                    <w:trPr>
                      <w:trHeight w:val="259" w:hRule="atLeast"/>
                    </w:trPr>
                    <w:tc>
                      <w:tcPr>
                        <w:tcW w:w="1117" w:type="dxa"/>
                        <w:tcBorders>
                          <w:bottom w:val="single" w:sz="4" w:space="0" w:color="FFFFFF"/>
                        </w:tcBorders>
                        <w:shd w:val="clear" w:color="auto" w:fill="E6ECF7"/>
                      </w:tcPr>
                      <w:p>
                        <w:pPr>
                          <w:pStyle w:val="TableParagraph"/>
                          <w:spacing w:before="24"/>
                          <w:ind w:left="120"/>
                          <w:rPr>
                            <w:sz w:val="16"/>
                          </w:rPr>
                        </w:pPr>
                        <w:r>
                          <w:rPr>
                            <w:color w:val="231F20"/>
                            <w:w w:val="105"/>
                            <w:sz w:val="16"/>
                          </w:rPr>
                          <w:t>Normal</w:t>
                        </w:r>
                      </w:p>
                    </w:tc>
                    <w:tc>
                      <w:tcPr>
                        <w:tcW w:w="526" w:type="dxa"/>
                        <w:tcBorders>
                          <w:bottom w:val="single" w:sz="4" w:space="0" w:color="FFFFFF"/>
                        </w:tcBorders>
                        <w:shd w:val="clear" w:color="auto" w:fill="E6ECF7"/>
                      </w:tcPr>
                      <w:p>
                        <w:pPr>
                          <w:pStyle w:val="TableParagraph"/>
                          <w:spacing w:before="24"/>
                          <w:ind w:left="130" w:right="128"/>
                          <w:jc w:val="center"/>
                          <w:rPr>
                            <w:sz w:val="16"/>
                          </w:rPr>
                        </w:pPr>
                        <w:r>
                          <w:rPr>
                            <w:color w:val="231F20"/>
                            <w:sz w:val="16"/>
                          </w:rPr>
                          <w:t>7.4</w:t>
                        </w:r>
                      </w:p>
                    </w:tc>
                    <w:tc>
                      <w:tcPr>
                        <w:tcW w:w="979" w:type="dxa"/>
                        <w:tcBorders>
                          <w:bottom w:val="single" w:sz="4" w:space="0" w:color="FFFFFF"/>
                        </w:tcBorders>
                        <w:shd w:val="clear" w:color="auto" w:fill="E6ECF7"/>
                      </w:tcPr>
                      <w:p>
                        <w:pPr>
                          <w:pStyle w:val="TableParagraph"/>
                          <w:spacing w:before="24"/>
                          <w:ind w:left="123" w:right="123"/>
                          <w:jc w:val="center"/>
                          <w:rPr>
                            <w:sz w:val="16"/>
                          </w:rPr>
                        </w:pPr>
                        <w:r>
                          <w:rPr>
                            <w:color w:val="231F20"/>
                            <w:sz w:val="16"/>
                          </w:rPr>
                          <w:t>40 mEq/L</w:t>
                        </w:r>
                      </w:p>
                    </w:tc>
                    <w:tc>
                      <w:tcPr>
                        <w:tcW w:w="1079" w:type="dxa"/>
                        <w:tcBorders>
                          <w:bottom w:val="single" w:sz="4" w:space="0" w:color="FFFFFF"/>
                        </w:tcBorders>
                        <w:shd w:val="clear" w:color="auto" w:fill="E6ECF7"/>
                      </w:tcPr>
                      <w:p>
                        <w:pPr>
                          <w:pStyle w:val="TableParagraph"/>
                          <w:spacing w:before="24"/>
                          <w:ind w:left="126" w:right="126"/>
                          <w:jc w:val="center"/>
                          <w:rPr>
                            <w:sz w:val="16"/>
                          </w:rPr>
                        </w:pPr>
                        <w:r>
                          <w:rPr>
                            <w:color w:val="231F20"/>
                            <w:w w:val="110"/>
                            <w:sz w:val="16"/>
                          </w:rPr>
                          <w:t>40 mm Hg</w:t>
                        </w:r>
                      </w:p>
                    </w:tc>
                    <w:tc>
                      <w:tcPr>
                        <w:tcW w:w="979" w:type="dxa"/>
                        <w:tcBorders>
                          <w:bottom w:val="single" w:sz="4" w:space="0" w:color="FFFFFF"/>
                        </w:tcBorders>
                        <w:shd w:val="clear" w:color="auto" w:fill="E6ECF7"/>
                      </w:tcPr>
                      <w:p>
                        <w:pPr>
                          <w:pStyle w:val="TableParagraph"/>
                          <w:spacing w:before="24"/>
                          <w:ind w:left="125" w:right="122"/>
                          <w:jc w:val="center"/>
                          <w:rPr>
                            <w:sz w:val="16"/>
                          </w:rPr>
                        </w:pPr>
                        <w:r>
                          <w:rPr>
                            <w:color w:val="231F20"/>
                            <w:sz w:val="16"/>
                          </w:rPr>
                          <w:t>24 mEq/L</w:t>
                        </w:r>
                      </w:p>
                    </w:tc>
                  </w:tr>
                  <w:tr>
                    <w:trPr>
                      <w:trHeight w:val="464" w:hRule="atLeast"/>
                    </w:trPr>
                    <w:tc>
                      <w:tcPr>
                        <w:tcW w:w="1117" w:type="dxa"/>
                        <w:tcBorders>
                          <w:top w:val="single" w:sz="4" w:space="0" w:color="FFFFFF"/>
                          <w:bottom w:val="single" w:sz="4" w:space="0" w:color="FFFFFF"/>
                        </w:tcBorders>
                        <w:shd w:val="clear" w:color="auto" w:fill="E6ECF7"/>
                      </w:tcPr>
                      <w:p>
                        <w:pPr>
                          <w:pStyle w:val="TableParagraph"/>
                          <w:spacing w:line="259" w:lineRule="auto"/>
                          <w:ind w:left="280" w:hanging="160"/>
                          <w:rPr>
                            <w:sz w:val="16"/>
                          </w:rPr>
                        </w:pPr>
                        <w:r>
                          <w:rPr>
                            <w:color w:val="231F20"/>
                            <w:sz w:val="16"/>
                          </w:rPr>
                          <w:t>Respiratory </w:t>
                        </w:r>
                        <w:r>
                          <w:rPr>
                            <w:color w:val="231F20"/>
                            <w:w w:val="105"/>
                            <w:sz w:val="16"/>
                          </w:rPr>
                          <w:t>acidosis</w:t>
                        </w:r>
                      </w:p>
                    </w:tc>
                    <w:tc>
                      <w:tcPr>
                        <w:tcW w:w="526" w:type="dxa"/>
                        <w:tcBorders>
                          <w:top w:val="single" w:sz="4" w:space="0" w:color="FFFFFF"/>
                          <w:bottom w:val="single" w:sz="4" w:space="0" w:color="FFFFFF"/>
                        </w:tcBorders>
                        <w:shd w:val="clear" w:color="auto" w:fill="E6ECF7"/>
                      </w:tcPr>
                      <w:p>
                        <w:pPr>
                          <w:pStyle w:val="TableParagraph"/>
                          <w:spacing w:before="32"/>
                          <w:ind w:left="20"/>
                          <w:jc w:val="center"/>
                          <w:rPr>
                            <w:rFonts w:ascii="Consolas" w:hAnsi="Consolas"/>
                            <w:sz w:val="16"/>
                          </w:rPr>
                        </w:pPr>
                        <w:r>
                          <w:rPr>
                            <w:rFonts w:ascii="Consolas" w:hAnsi="Consolas"/>
                            <w:color w:val="231F20"/>
                            <w:w w:val="109"/>
                            <w:sz w:val="16"/>
                          </w:rPr>
                          <w:t>↓</w:t>
                        </w:r>
                      </w:p>
                    </w:tc>
                    <w:tc>
                      <w:tcPr>
                        <w:tcW w:w="979" w:type="dxa"/>
                        <w:tcBorders>
                          <w:top w:val="single" w:sz="4" w:space="0" w:color="FFFFFF"/>
                          <w:bottom w:val="single" w:sz="4" w:space="0" w:color="FFFFFF"/>
                        </w:tcBorders>
                        <w:shd w:val="clear" w:color="auto" w:fill="E6ECF7"/>
                      </w:tcPr>
                      <w:p>
                        <w:pPr>
                          <w:pStyle w:val="TableParagraph"/>
                          <w:spacing w:before="32"/>
                          <w:ind w:left="14"/>
                          <w:jc w:val="center"/>
                          <w:rPr>
                            <w:rFonts w:ascii="Consolas" w:hAnsi="Consolas"/>
                            <w:sz w:val="16"/>
                          </w:rPr>
                        </w:pPr>
                        <w:r>
                          <w:rPr>
                            <w:rFonts w:ascii="Consolas" w:hAnsi="Consolas"/>
                            <w:color w:val="231F20"/>
                            <w:w w:val="109"/>
                            <w:sz w:val="16"/>
                          </w:rPr>
                          <w:t>↑</w:t>
                        </w:r>
                      </w:p>
                    </w:tc>
                    <w:tc>
                      <w:tcPr>
                        <w:tcW w:w="1079" w:type="dxa"/>
                        <w:tcBorders>
                          <w:top w:val="single" w:sz="4" w:space="0" w:color="FFFFFF"/>
                          <w:bottom w:val="single" w:sz="4" w:space="0" w:color="FFFFFF"/>
                        </w:tcBorders>
                        <w:shd w:val="clear" w:color="auto" w:fill="E6ECF7"/>
                      </w:tcPr>
                      <w:p>
                        <w:pPr>
                          <w:pStyle w:val="TableParagraph"/>
                          <w:spacing w:before="32"/>
                          <w:ind w:left="126" w:right="110"/>
                          <w:jc w:val="center"/>
                          <w:rPr>
                            <w:rFonts w:ascii="Consolas" w:hAnsi="Consolas"/>
                            <w:sz w:val="16"/>
                          </w:rPr>
                        </w:pPr>
                        <w:r>
                          <w:rPr>
                            <w:rFonts w:ascii="Consolas" w:hAnsi="Consolas"/>
                            <w:color w:val="231F20"/>
                            <w:w w:val="110"/>
                            <w:sz w:val="16"/>
                          </w:rPr>
                          <w:t>↑↑</w:t>
                        </w:r>
                      </w:p>
                    </w:tc>
                    <w:tc>
                      <w:tcPr>
                        <w:tcW w:w="979" w:type="dxa"/>
                        <w:tcBorders>
                          <w:top w:val="single" w:sz="4" w:space="0" w:color="FFFFFF"/>
                          <w:bottom w:val="single" w:sz="4" w:space="0" w:color="FFFFFF"/>
                        </w:tcBorders>
                        <w:shd w:val="clear" w:color="auto" w:fill="E6ECF7"/>
                      </w:tcPr>
                      <w:p>
                        <w:pPr>
                          <w:pStyle w:val="TableParagraph"/>
                          <w:spacing w:before="32"/>
                          <w:ind w:left="28"/>
                          <w:jc w:val="center"/>
                          <w:rPr>
                            <w:rFonts w:ascii="Consolas" w:hAnsi="Consolas"/>
                            <w:sz w:val="16"/>
                          </w:rPr>
                        </w:pPr>
                        <w:r>
                          <w:rPr>
                            <w:rFonts w:ascii="Consolas" w:hAnsi="Consolas"/>
                            <w:color w:val="231F20"/>
                            <w:w w:val="109"/>
                            <w:sz w:val="16"/>
                          </w:rPr>
                          <w:t>↑</w:t>
                        </w:r>
                      </w:p>
                    </w:tc>
                  </w:tr>
                  <w:tr>
                    <w:trPr>
                      <w:trHeight w:val="464" w:hRule="atLeast"/>
                    </w:trPr>
                    <w:tc>
                      <w:tcPr>
                        <w:tcW w:w="1117" w:type="dxa"/>
                        <w:tcBorders>
                          <w:top w:val="single" w:sz="4" w:space="0" w:color="FFFFFF"/>
                          <w:bottom w:val="single" w:sz="4" w:space="0" w:color="FFFFFF"/>
                        </w:tcBorders>
                        <w:shd w:val="clear" w:color="auto" w:fill="E6ECF7"/>
                      </w:tcPr>
                      <w:p>
                        <w:pPr>
                          <w:pStyle w:val="TableParagraph"/>
                          <w:spacing w:line="259" w:lineRule="auto"/>
                          <w:ind w:left="280" w:hanging="160"/>
                          <w:rPr>
                            <w:sz w:val="16"/>
                          </w:rPr>
                        </w:pPr>
                        <w:r>
                          <w:rPr>
                            <w:color w:val="231F20"/>
                            <w:sz w:val="16"/>
                          </w:rPr>
                          <w:t>Respiratory </w:t>
                        </w:r>
                        <w:r>
                          <w:rPr>
                            <w:color w:val="231F20"/>
                            <w:w w:val="105"/>
                            <w:sz w:val="16"/>
                          </w:rPr>
                          <w:t>alkalosis</w:t>
                        </w:r>
                      </w:p>
                    </w:tc>
                    <w:tc>
                      <w:tcPr>
                        <w:tcW w:w="526" w:type="dxa"/>
                        <w:tcBorders>
                          <w:top w:val="single" w:sz="4" w:space="0" w:color="FFFFFF"/>
                          <w:bottom w:val="single" w:sz="4" w:space="0" w:color="FFFFFF"/>
                        </w:tcBorders>
                        <w:shd w:val="clear" w:color="auto" w:fill="E6ECF7"/>
                      </w:tcPr>
                      <w:p>
                        <w:pPr>
                          <w:pStyle w:val="TableParagraph"/>
                          <w:spacing w:before="32"/>
                          <w:ind w:left="20"/>
                          <w:jc w:val="center"/>
                          <w:rPr>
                            <w:rFonts w:ascii="Consolas" w:hAnsi="Consolas"/>
                            <w:sz w:val="16"/>
                          </w:rPr>
                        </w:pPr>
                        <w:r>
                          <w:rPr>
                            <w:rFonts w:ascii="Consolas" w:hAnsi="Consolas"/>
                            <w:color w:val="231F20"/>
                            <w:w w:val="109"/>
                            <w:sz w:val="16"/>
                          </w:rPr>
                          <w:t>↑</w:t>
                        </w:r>
                      </w:p>
                    </w:tc>
                    <w:tc>
                      <w:tcPr>
                        <w:tcW w:w="979" w:type="dxa"/>
                        <w:tcBorders>
                          <w:top w:val="single" w:sz="4" w:space="0" w:color="FFFFFF"/>
                          <w:bottom w:val="single" w:sz="4" w:space="0" w:color="FFFFFF"/>
                        </w:tcBorders>
                        <w:shd w:val="clear" w:color="auto" w:fill="E6ECF7"/>
                      </w:tcPr>
                      <w:p>
                        <w:pPr>
                          <w:pStyle w:val="TableParagraph"/>
                          <w:spacing w:before="32"/>
                          <w:ind w:left="14"/>
                          <w:jc w:val="center"/>
                          <w:rPr>
                            <w:rFonts w:ascii="Consolas" w:hAnsi="Consolas"/>
                            <w:sz w:val="16"/>
                          </w:rPr>
                        </w:pPr>
                        <w:r>
                          <w:rPr>
                            <w:rFonts w:ascii="Consolas" w:hAnsi="Consolas"/>
                            <w:color w:val="231F20"/>
                            <w:w w:val="109"/>
                            <w:sz w:val="16"/>
                          </w:rPr>
                          <w:t>↓</w:t>
                        </w:r>
                      </w:p>
                    </w:tc>
                    <w:tc>
                      <w:tcPr>
                        <w:tcW w:w="1079" w:type="dxa"/>
                        <w:tcBorders>
                          <w:top w:val="single" w:sz="4" w:space="0" w:color="FFFFFF"/>
                          <w:bottom w:val="single" w:sz="4" w:space="0" w:color="FFFFFF"/>
                        </w:tcBorders>
                        <w:shd w:val="clear" w:color="auto" w:fill="E6ECF7"/>
                      </w:tcPr>
                      <w:p>
                        <w:pPr>
                          <w:pStyle w:val="TableParagraph"/>
                          <w:spacing w:before="32"/>
                          <w:ind w:left="126" w:right="110"/>
                          <w:jc w:val="center"/>
                          <w:rPr>
                            <w:rFonts w:ascii="Consolas" w:hAnsi="Consolas"/>
                            <w:sz w:val="16"/>
                          </w:rPr>
                        </w:pPr>
                        <w:r>
                          <w:rPr>
                            <w:rFonts w:ascii="Consolas" w:hAnsi="Consolas"/>
                            <w:color w:val="231F20"/>
                            <w:w w:val="110"/>
                            <w:sz w:val="16"/>
                          </w:rPr>
                          <w:t>↓↓</w:t>
                        </w:r>
                      </w:p>
                    </w:tc>
                    <w:tc>
                      <w:tcPr>
                        <w:tcW w:w="979" w:type="dxa"/>
                        <w:tcBorders>
                          <w:top w:val="single" w:sz="4" w:space="0" w:color="FFFFFF"/>
                          <w:bottom w:val="single" w:sz="4" w:space="0" w:color="FFFFFF"/>
                        </w:tcBorders>
                        <w:shd w:val="clear" w:color="auto" w:fill="E6ECF7"/>
                      </w:tcPr>
                      <w:p>
                        <w:pPr>
                          <w:pStyle w:val="TableParagraph"/>
                          <w:spacing w:before="32"/>
                          <w:ind w:left="28"/>
                          <w:jc w:val="center"/>
                          <w:rPr>
                            <w:rFonts w:ascii="Consolas" w:hAnsi="Consolas"/>
                            <w:sz w:val="16"/>
                          </w:rPr>
                        </w:pPr>
                        <w:r>
                          <w:rPr>
                            <w:rFonts w:ascii="Consolas" w:hAnsi="Consolas"/>
                            <w:color w:val="231F20"/>
                            <w:w w:val="109"/>
                            <w:sz w:val="16"/>
                          </w:rPr>
                          <w:t>↓</w:t>
                        </w:r>
                      </w:p>
                    </w:tc>
                  </w:tr>
                  <w:tr>
                    <w:trPr>
                      <w:trHeight w:val="464" w:hRule="atLeast"/>
                    </w:trPr>
                    <w:tc>
                      <w:tcPr>
                        <w:tcW w:w="1117" w:type="dxa"/>
                        <w:tcBorders>
                          <w:top w:val="single" w:sz="4" w:space="0" w:color="FFFFFF"/>
                          <w:bottom w:val="single" w:sz="4" w:space="0" w:color="FFFFFF"/>
                        </w:tcBorders>
                        <w:shd w:val="clear" w:color="auto" w:fill="E6ECF7"/>
                      </w:tcPr>
                      <w:p>
                        <w:pPr>
                          <w:pStyle w:val="TableParagraph"/>
                          <w:spacing w:line="259" w:lineRule="auto"/>
                          <w:ind w:left="280" w:right="246" w:hanging="160"/>
                          <w:rPr>
                            <w:sz w:val="16"/>
                          </w:rPr>
                        </w:pPr>
                        <w:r>
                          <w:rPr>
                            <w:color w:val="231F20"/>
                            <w:w w:val="105"/>
                            <w:sz w:val="16"/>
                          </w:rPr>
                          <w:t>Metabolic </w:t>
                        </w:r>
                        <w:r>
                          <w:rPr>
                            <w:color w:val="231F20"/>
                            <w:sz w:val="16"/>
                          </w:rPr>
                          <w:t>acidosis</w:t>
                        </w:r>
                      </w:p>
                    </w:tc>
                    <w:tc>
                      <w:tcPr>
                        <w:tcW w:w="526" w:type="dxa"/>
                        <w:tcBorders>
                          <w:top w:val="single" w:sz="4" w:space="0" w:color="FFFFFF"/>
                          <w:bottom w:val="single" w:sz="4" w:space="0" w:color="FFFFFF"/>
                        </w:tcBorders>
                        <w:shd w:val="clear" w:color="auto" w:fill="E6ECF7"/>
                      </w:tcPr>
                      <w:p>
                        <w:pPr>
                          <w:pStyle w:val="TableParagraph"/>
                          <w:spacing w:before="32"/>
                          <w:ind w:left="20"/>
                          <w:jc w:val="center"/>
                          <w:rPr>
                            <w:rFonts w:ascii="Consolas" w:hAnsi="Consolas"/>
                            <w:sz w:val="16"/>
                          </w:rPr>
                        </w:pPr>
                        <w:r>
                          <w:rPr>
                            <w:rFonts w:ascii="Consolas" w:hAnsi="Consolas"/>
                            <w:color w:val="231F20"/>
                            <w:w w:val="109"/>
                            <w:sz w:val="16"/>
                          </w:rPr>
                          <w:t>↓</w:t>
                        </w:r>
                      </w:p>
                    </w:tc>
                    <w:tc>
                      <w:tcPr>
                        <w:tcW w:w="979" w:type="dxa"/>
                        <w:tcBorders>
                          <w:top w:val="single" w:sz="4" w:space="0" w:color="FFFFFF"/>
                          <w:bottom w:val="single" w:sz="4" w:space="0" w:color="FFFFFF"/>
                        </w:tcBorders>
                        <w:shd w:val="clear" w:color="auto" w:fill="E6ECF7"/>
                      </w:tcPr>
                      <w:p>
                        <w:pPr>
                          <w:pStyle w:val="TableParagraph"/>
                          <w:spacing w:before="32"/>
                          <w:ind w:left="14"/>
                          <w:jc w:val="center"/>
                          <w:rPr>
                            <w:rFonts w:ascii="Consolas" w:hAnsi="Consolas"/>
                            <w:sz w:val="16"/>
                          </w:rPr>
                        </w:pPr>
                        <w:r>
                          <w:rPr>
                            <w:rFonts w:ascii="Consolas" w:hAnsi="Consolas"/>
                            <w:color w:val="231F20"/>
                            <w:w w:val="109"/>
                            <w:sz w:val="16"/>
                          </w:rPr>
                          <w:t>↑</w:t>
                        </w:r>
                      </w:p>
                    </w:tc>
                    <w:tc>
                      <w:tcPr>
                        <w:tcW w:w="1079" w:type="dxa"/>
                        <w:tcBorders>
                          <w:top w:val="single" w:sz="4" w:space="0" w:color="FFFFFF"/>
                          <w:bottom w:val="single" w:sz="4" w:space="0" w:color="FFFFFF"/>
                        </w:tcBorders>
                        <w:shd w:val="clear" w:color="auto" w:fill="E6ECF7"/>
                      </w:tcPr>
                      <w:p>
                        <w:pPr>
                          <w:pStyle w:val="TableParagraph"/>
                          <w:spacing w:before="32"/>
                          <w:ind w:left="16"/>
                          <w:jc w:val="center"/>
                          <w:rPr>
                            <w:rFonts w:ascii="Consolas" w:hAnsi="Consolas"/>
                            <w:sz w:val="16"/>
                          </w:rPr>
                        </w:pPr>
                        <w:r>
                          <w:rPr>
                            <w:rFonts w:ascii="Consolas" w:hAnsi="Consolas"/>
                            <w:color w:val="231F20"/>
                            <w:w w:val="109"/>
                            <w:sz w:val="16"/>
                          </w:rPr>
                          <w:t>↓</w:t>
                        </w:r>
                      </w:p>
                    </w:tc>
                    <w:tc>
                      <w:tcPr>
                        <w:tcW w:w="979" w:type="dxa"/>
                        <w:tcBorders>
                          <w:top w:val="single" w:sz="4" w:space="0" w:color="FFFFFF"/>
                          <w:bottom w:val="single" w:sz="4" w:space="0" w:color="FFFFFF"/>
                        </w:tcBorders>
                        <w:shd w:val="clear" w:color="auto" w:fill="E6ECF7"/>
                      </w:tcPr>
                      <w:p>
                        <w:pPr>
                          <w:pStyle w:val="TableParagraph"/>
                          <w:spacing w:before="32"/>
                          <w:ind w:left="125" w:right="97"/>
                          <w:jc w:val="center"/>
                          <w:rPr>
                            <w:rFonts w:ascii="Consolas" w:hAnsi="Consolas"/>
                            <w:sz w:val="16"/>
                          </w:rPr>
                        </w:pPr>
                        <w:r>
                          <w:rPr>
                            <w:rFonts w:ascii="Consolas" w:hAnsi="Consolas"/>
                            <w:color w:val="231F20"/>
                            <w:w w:val="110"/>
                            <w:sz w:val="16"/>
                          </w:rPr>
                          <w:t>↓↓</w:t>
                        </w:r>
                      </w:p>
                    </w:tc>
                  </w:tr>
                  <w:tr>
                    <w:trPr>
                      <w:trHeight w:val="479" w:hRule="atLeast"/>
                    </w:trPr>
                    <w:tc>
                      <w:tcPr>
                        <w:tcW w:w="1117" w:type="dxa"/>
                        <w:tcBorders>
                          <w:top w:val="single" w:sz="4" w:space="0" w:color="FFFFFF"/>
                        </w:tcBorders>
                        <w:shd w:val="clear" w:color="auto" w:fill="E6ECF7"/>
                      </w:tcPr>
                      <w:p>
                        <w:pPr>
                          <w:pStyle w:val="TableParagraph"/>
                          <w:spacing w:line="259" w:lineRule="auto"/>
                          <w:ind w:left="280" w:hanging="160"/>
                          <w:rPr>
                            <w:sz w:val="16"/>
                          </w:rPr>
                        </w:pPr>
                        <w:r>
                          <w:rPr>
                            <w:color w:val="231F20"/>
                            <w:w w:val="105"/>
                            <w:sz w:val="16"/>
                          </w:rPr>
                          <w:t>Metabolic </w:t>
                        </w:r>
                        <w:r>
                          <w:rPr>
                            <w:color w:val="231F20"/>
                            <w:sz w:val="16"/>
                          </w:rPr>
                          <w:t>alkalosis</w:t>
                        </w:r>
                      </w:p>
                    </w:tc>
                    <w:tc>
                      <w:tcPr>
                        <w:tcW w:w="526" w:type="dxa"/>
                        <w:tcBorders>
                          <w:top w:val="single" w:sz="4" w:space="0" w:color="FFFFFF"/>
                        </w:tcBorders>
                        <w:shd w:val="clear" w:color="auto" w:fill="E6ECF7"/>
                      </w:tcPr>
                      <w:p>
                        <w:pPr>
                          <w:pStyle w:val="TableParagraph"/>
                          <w:spacing w:before="32"/>
                          <w:ind w:left="20"/>
                          <w:jc w:val="center"/>
                          <w:rPr>
                            <w:rFonts w:ascii="Consolas" w:hAnsi="Consolas"/>
                            <w:sz w:val="16"/>
                          </w:rPr>
                        </w:pPr>
                        <w:r>
                          <w:rPr>
                            <w:rFonts w:ascii="Consolas" w:hAnsi="Consolas"/>
                            <w:color w:val="231F20"/>
                            <w:w w:val="109"/>
                            <w:sz w:val="16"/>
                          </w:rPr>
                          <w:t>↑</w:t>
                        </w:r>
                      </w:p>
                    </w:tc>
                    <w:tc>
                      <w:tcPr>
                        <w:tcW w:w="979" w:type="dxa"/>
                        <w:tcBorders>
                          <w:top w:val="single" w:sz="4" w:space="0" w:color="FFFFFF"/>
                        </w:tcBorders>
                        <w:shd w:val="clear" w:color="auto" w:fill="E6ECF7"/>
                      </w:tcPr>
                      <w:p>
                        <w:pPr>
                          <w:pStyle w:val="TableParagraph"/>
                          <w:spacing w:before="32"/>
                          <w:ind w:left="14"/>
                          <w:jc w:val="center"/>
                          <w:rPr>
                            <w:rFonts w:ascii="Consolas" w:hAnsi="Consolas"/>
                            <w:sz w:val="16"/>
                          </w:rPr>
                        </w:pPr>
                        <w:r>
                          <w:rPr>
                            <w:rFonts w:ascii="Consolas" w:hAnsi="Consolas"/>
                            <w:color w:val="231F20"/>
                            <w:w w:val="109"/>
                            <w:sz w:val="16"/>
                          </w:rPr>
                          <w:t>↓</w:t>
                        </w:r>
                      </w:p>
                    </w:tc>
                    <w:tc>
                      <w:tcPr>
                        <w:tcW w:w="1079" w:type="dxa"/>
                        <w:tcBorders>
                          <w:top w:val="single" w:sz="4" w:space="0" w:color="FFFFFF"/>
                        </w:tcBorders>
                        <w:shd w:val="clear" w:color="auto" w:fill="E6ECF7"/>
                      </w:tcPr>
                      <w:p>
                        <w:pPr>
                          <w:pStyle w:val="TableParagraph"/>
                          <w:spacing w:before="32"/>
                          <w:ind w:left="16"/>
                          <w:jc w:val="center"/>
                          <w:rPr>
                            <w:rFonts w:ascii="Consolas" w:hAnsi="Consolas"/>
                            <w:sz w:val="16"/>
                          </w:rPr>
                        </w:pPr>
                        <w:r>
                          <w:rPr>
                            <w:rFonts w:ascii="Consolas" w:hAnsi="Consolas"/>
                            <w:color w:val="231F20"/>
                            <w:w w:val="109"/>
                            <w:sz w:val="16"/>
                          </w:rPr>
                          <w:t>↑</w:t>
                        </w:r>
                      </w:p>
                    </w:tc>
                    <w:tc>
                      <w:tcPr>
                        <w:tcW w:w="979" w:type="dxa"/>
                        <w:tcBorders>
                          <w:top w:val="single" w:sz="4" w:space="0" w:color="FFFFFF"/>
                        </w:tcBorders>
                        <w:shd w:val="clear" w:color="auto" w:fill="E6ECF7"/>
                      </w:tcPr>
                      <w:p>
                        <w:pPr>
                          <w:pStyle w:val="TableParagraph"/>
                          <w:spacing w:before="32"/>
                          <w:ind w:left="125" w:right="97"/>
                          <w:jc w:val="center"/>
                          <w:rPr>
                            <w:rFonts w:ascii="Consolas" w:hAnsi="Consolas"/>
                            <w:sz w:val="16"/>
                          </w:rPr>
                        </w:pPr>
                        <w:r>
                          <w:rPr>
                            <w:rFonts w:ascii="Consolas" w:hAnsi="Consolas"/>
                            <w:color w:val="231F20"/>
                            <w:w w:val="110"/>
                            <w:sz w:val="16"/>
                          </w:rPr>
                          <w:t>↑↑</w:t>
                        </w:r>
                      </w:p>
                    </w:tc>
                  </w:tr>
                </w:tbl>
                <w:p>
                  <w:pPr>
                    <w:pStyle w:val="BodyText"/>
                  </w:pPr>
                </w:p>
              </w:txbxContent>
            </v:textbox>
            <w10:wrap type="none"/>
          </v:shape>
        </w:pict>
      </w:r>
      <w:r>
        <w:rPr>
          <w:color w:val="231F20"/>
          <w:w w:val="105"/>
        </w:rPr>
        <w:t>ALKALOSIS INCREASES THE HCO </w:t>
      </w:r>
      <w:r>
        <w:rPr>
          <w:rFonts w:ascii="Consolas" w:hAnsi="Consolas"/>
          <w:color w:val="231F20"/>
          <w:w w:val="105"/>
          <w:position w:val="9"/>
          <w:sz w:val="13"/>
        </w:rPr>
        <w:t>−</w:t>
      </w:r>
      <w:r>
        <w:rPr>
          <w:color w:val="231F20"/>
          <w:w w:val="105"/>
        </w:rPr>
        <w:t>/H</w:t>
      </w:r>
      <w:r>
        <w:rPr>
          <w:rFonts w:ascii="Consolas" w:hAnsi="Consolas"/>
          <w:color w:val="231F20"/>
          <w:w w:val="105"/>
          <w:position w:val="9"/>
          <w:sz w:val="13"/>
        </w:rPr>
        <w:t>+</w:t>
      </w:r>
    </w:p>
    <w:p>
      <w:pPr>
        <w:spacing w:line="248" w:lineRule="exact" w:before="0"/>
        <w:ind w:left="1080" w:right="0" w:firstLine="0"/>
        <w:jc w:val="both"/>
        <w:rPr>
          <w:rFonts w:ascii="Trebuchet MS"/>
          <w:b/>
          <w:sz w:val="22"/>
        </w:rPr>
      </w:pPr>
      <w:r>
        <w:rPr>
          <w:rFonts w:ascii="Trebuchet MS"/>
          <w:b/>
          <w:color w:val="231F20"/>
          <w:w w:val="105"/>
          <w:sz w:val="22"/>
        </w:rPr>
        <w:t>RATIO IN RENAL TUBULAR FLUID</w:t>
      </w:r>
    </w:p>
    <w:p>
      <w:pPr>
        <w:pStyle w:val="BodyText"/>
        <w:spacing w:line="240" w:lineRule="atLeast" w:before="115"/>
        <w:ind w:left="1080" w:right="1437"/>
        <w:jc w:val="both"/>
      </w:pPr>
      <w:r>
        <w:rPr>
          <w:color w:val="231F20"/>
        </w:rPr>
        <w:t>Regardless of whether the alkalosis is caused by</w:t>
      </w:r>
      <w:r>
        <w:rPr>
          <w:color w:val="231F20"/>
          <w:spacing w:val="-30"/>
        </w:rPr>
        <w:t> </w:t>
      </w:r>
      <w:r>
        <w:rPr>
          <w:color w:val="231F20"/>
        </w:rPr>
        <w:t>metabolic or respiratory abnormalities, there is still an increase </w:t>
      </w:r>
      <w:r>
        <w:rPr>
          <w:color w:val="231F20"/>
          <w:spacing w:val="-7"/>
        </w:rPr>
        <w:t>in</w:t>
      </w:r>
      <w:r>
        <w:rPr>
          <w:color w:val="231F20"/>
          <w:spacing w:val="36"/>
        </w:rPr>
        <w:t> </w:t>
      </w:r>
      <w:r>
        <w:rPr>
          <w:color w:val="231F20"/>
        </w:rPr>
        <w:t>the</w:t>
      </w:r>
      <w:r>
        <w:rPr>
          <w:color w:val="231F20"/>
          <w:spacing w:val="29"/>
        </w:rPr>
        <w:t> </w:t>
      </w:r>
      <w:r>
        <w:rPr>
          <w:color w:val="231F20"/>
        </w:rPr>
        <w:t>ratio</w:t>
      </w:r>
      <w:r>
        <w:rPr>
          <w:color w:val="231F20"/>
          <w:spacing w:val="29"/>
        </w:rPr>
        <w:t> </w:t>
      </w:r>
      <w:r>
        <w:rPr>
          <w:color w:val="231F20"/>
        </w:rPr>
        <w:t>of</w:t>
      </w:r>
      <w:r>
        <w:rPr>
          <w:color w:val="231F20"/>
          <w:spacing w:val="29"/>
        </w:rPr>
        <w:t> </w:t>
      </w:r>
      <w:r>
        <w:rPr>
          <w:color w:val="231F20"/>
        </w:rPr>
        <w:t>HCO</w:t>
      </w:r>
      <w:r>
        <w:rPr>
          <w:color w:val="231F20"/>
          <w:spacing w:val="17"/>
        </w:rPr>
        <w:t> </w:t>
      </w:r>
      <w:r>
        <w:rPr>
          <w:rFonts w:ascii="Consolas" w:hAnsi="Consolas"/>
          <w:color w:val="231F20"/>
          <w:position w:val="8"/>
          <w:sz w:val="12"/>
        </w:rPr>
        <w:t>−</w:t>
      </w:r>
      <w:r>
        <w:rPr>
          <w:rFonts w:ascii="Consolas" w:hAnsi="Consolas"/>
          <w:color w:val="231F20"/>
          <w:spacing w:val="13"/>
          <w:position w:val="8"/>
          <w:sz w:val="12"/>
        </w:rPr>
        <w:t> </w:t>
      </w:r>
      <w:r>
        <w:rPr>
          <w:color w:val="231F20"/>
        </w:rPr>
        <w:t>to</w:t>
      </w:r>
      <w:r>
        <w:rPr>
          <w:color w:val="231F20"/>
          <w:spacing w:val="29"/>
        </w:rPr>
        <w:t> </w:t>
      </w:r>
      <w:r>
        <w:rPr>
          <w:color w:val="231F20"/>
        </w:rPr>
        <w:t>H</w:t>
      </w:r>
      <w:r>
        <w:rPr>
          <w:rFonts w:ascii="Consolas" w:hAnsi="Consolas"/>
          <w:color w:val="231F20"/>
          <w:position w:val="8"/>
          <w:sz w:val="12"/>
        </w:rPr>
        <w:t>+</w:t>
      </w:r>
      <w:r>
        <w:rPr>
          <w:rFonts w:ascii="Consolas" w:hAnsi="Consolas"/>
          <w:color w:val="231F20"/>
          <w:spacing w:val="14"/>
          <w:position w:val="8"/>
          <w:sz w:val="12"/>
        </w:rPr>
        <w:t> </w:t>
      </w:r>
      <w:r>
        <w:rPr>
          <w:color w:val="231F20"/>
        </w:rPr>
        <w:t>in</w:t>
      </w:r>
      <w:r>
        <w:rPr>
          <w:color w:val="231F20"/>
          <w:spacing w:val="29"/>
        </w:rPr>
        <w:t> </w:t>
      </w:r>
      <w:r>
        <w:rPr>
          <w:color w:val="231F20"/>
        </w:rPr>
        <w:t>the</w:t>
      </w:r>
      <w:r>
        <w:rPr>
          <w:color w:val="231F20"/>
          <w:spacing w:val="29"/>
        </w:rPr>
        <w:t> </w:t>
      </w:r>
      <w:r>
        <w:rPr>
          <w:color w:val="231F20"/>
        </w:rPr>
        <w:t>renal</w:t>
      </w:r>
      <w:r>
        <w:rPr>
          <w:color w:val="231F20"/>
          <w:spacing w:val="30"/>
        </w:rPr>
        <w:t> </w:t>
      </w:r>
      <w:r>
        <w:rPr>
          <w:color w:val="231F20"/>
        </w:rPr>
        <w:t>tubular</w:t>
      </w:r>
      <w:r>
        <w:rPr>
          <w:color w:val="231F20"/>
          <w:spacing w:val="29"/>
        </w:rPr>
        <w:t> </w:t>
      </w:r>
      <w:r>
        <w:rPr>
          <w:color w:val="231F20"/>
        </w:rPr>
        <w:t>fluid.</w:t>
      </w:r>
      <w:r>
        <w:rPr>
          <w:color w:val="231F20"/>
          <w:spacing w:val="29"/>
        </w:rPr>
        <w:t> </w:t>
      </w:r>
      <w:r>
        <w:rPr>
          <w:color w:val="231F20"/>
          <w:spacing w:val="-5"/>
        </w:rPr>
        <w:t>The</w:t>
      </w:r>
    </w:p>
    <w:p>
      <w:pPr>
        <w:spacing w:after="0" w:line="240" w:lineRule="atLeast"/>
        <w:jc w:val="both"/>
        <w:sectPr>
          <w:type w:val="continuous"/>
          <w:pgSz w:w="12240" w:h="15660"/>
          <w:pgMar w:top="0" w:bottom="760" w:left="0" w:right="0"/>
          <w:cols w:num="2" w:equalWidth="0">
            <w:col w:w="4302" w:space="738"/>
            <w:col w:w="7200"/>
          </w:cols>
        </w:sectPr>
      </w:pPr>
    </w:p>
    <w:p>
      <w:pPr>
        <w:spacing w:line="9" w:lineRule="exact" w:before="0"/>
        <w:ind w:left="2982" w:right="0" w:firstLine="0"/>
        <w:jc w:val="center"/>
        <w:rPr>
          <w:sz w:val="12"/>
        </w:rPr>
      </w:pPr>
      <w:r>
        <w:rPr>
          <w:color w:val="231F20"/>
          <w:w w:val="98"/>
          <w:sz w:val="12"/>
        </w:rPr>
        <w:t>3</w:t>
      </w:r>
    </w:p>
    <w:p>
      <w:pPr>
        <w:spacing w:line="1" w:lineRule="exact" w:before="0"/>
        <w:ind w:left="0" w:right="2755" w:firstLine="0"/>
        <w:jc w:val="right"/>
        <w:rPr>
          <w:rFonts w:ascii="Consolas" w:hAnsi="Consolas"/>
          <w:sz w:val="12"/>
        </w:rPr>
      </w:pPr>
      <w:r>
        <w:rPr>
          <w:rFonts w:ascii="Consolas" w:hAnsi="Consolas"/>
          <w:color w:val="231F20"/>
          <w:w w:val="99"/>
          <w:sz w:val="12"/>
        </w:rPr>
        <w:t>−</w:t>
      </w:r>
    </w:p>
    <w:p>
      <w:pPr>
        <w:pStyle w:val="BodyText"/>
        <w:spacing w:line="229" w:lineRule="exact"/>
        <w:ind w:left="6120"/>
      </w:pPr>
      <w:r>
        <w:rPr>
          <w:color w:val="231F20"/>
          <w:w w:val="105"/>
        </w:rPr>
        <w:t>net effect of this is an excess of HCO</w:t>
      </w:r>
      <w:r>
        <w:rPr>
          <w:color w:val="231F20"/>
          <w:w w:val="105"/>
          <w:vertAlign w:val="subscript"/>
        </w:rPr>
        <w:t>3</w:t>
      </w:r>
      <w:r>
        <w:rPr>
          <w:color w:val="231F20"/>
          <w:w w:val="105"/>
          <w:vertAlign w:val="baseline"/>
        </w:rPr>
        <w:t> that cannot be</w:t>
      </w:r>
    </w:p>
    <w:p>
      <w:pPr>
        <w:spacing w:after="0" w:line="229" w:lineRule="exact"/>
        <w:sectPr>
          <w:type w:val="continuous"/>
          <w:pgSz w:w="12240" w:h="15660"/>
          <w:pgMar w:top="0" w:bottom="760" w:left="0" w:right="0"/>
        </w:sectPr>
      </w:pPr>
    </w:p>
    <w:p>
      <w:pPr>
        <w:pStyle w:val="BodyText"/>
      </w:pPr>
    </w:p>
    <w:p>
      <w:pPr>
        <w:pStyle w:val="BodyText"/>
        <w:spacing w:before="1"/>
        <w:rPr>
          <w:sz w:val="18"/>
        </w:rPr>
      </w:pPr>
    </w:p>
    <w:p>
      <w:pPr>
        <w:spacing w:line="259" w:lineRule="auto" w:before="0"/>
        <w:ind w:left="1240" w:right="249" w:hanging="160"/>
        <w:jc w:val="left"/>
        <w:rPr>
          <w:rFonts w:ascii="Arial" w:hAnsi="Arial"/>
          <w:sz w:val="16"/>
        </w:rPr>
      </w:pPr>
      <w:r>
        <w:rPr/>
        <w:pict>
          <v:rect style="position:absolute;margin-left:0pt;margin-top:-13.438416pt;width:36pt;height:24pt;mso-position-horizontal-relative:page;mso-position-vertical-relative:paragraph;z-index:253088768" filled="true" fillcolor="#e8dac8" stroked="false">
            <v:fill type="solid"/>
            <w10:wrap type="none"/>
          </v:rect>
        </w:pict>
      </w:r>
      <w:r>
        <w:rPr/>
        <w:pict>
          <v:shape style="position:absolute;margin-left:211.504105pt;margin-top:34.331085pt;width:2.7pt;height:5.45pt;mso-position-horizontal-relative:page;mso-position-vertical-relative:paragraph;z-index:-272313344" type="#_x0000_t202" filled="false" stroked="false">
            <v:textbox inset="0,0,0,0">
              <w:txbxContent>
                <w:p>
                  <w:pPr>
                    <w:spacing w:before="3"/>
                    <w:ind w:left="0" w:right="0" w:firstLine="0"/>
                    <w:jc w:val="left"/>
                    <w:rPr>
                      <w:rFonts w:ascii="Arial"/>
                      <w:sz w:val="9"/>
                    </w:rPr>
                  </w:pPr>
                  <w:r>
                    <w:rPr>
                      <w:rFonts w:ascii="Arial"/>
                      <w:color w:val="231F20"/>
                      <w:w w:val="106"/>
                      <w:sz w:val="9"/>
                    </w:rPr>
                    <w:t>3</w:t>
                  </w:r>
                </w:p>
              </w:txbxContent>
            </v:textbox>
            <w10:wrap type="none"/>
          </v:shape>
        </w:pict>
      </w:r>
      <w:r>
        <w:rPr>
          <w:rFonts w:ascii="Arial" w:hAnsi="Arial"/>
          <w:color w:val="231F20"/>
          <w:sz w:val="16"/>
        </w:rPr>
        <w:t>The primary event is indicated by the double arrows (</w:t>
      </w:r>
      <w:r>
        <w:rPr>
          <w:rFonts w:ascii="Consolas" w:hAnsi="Consolas"/>
          <w:color w:val="231F20"/>
          <w:sz w:val="16"/>
        </w:rPr>
        <w:t>↑↑</w:t>
      </w:r>
      <w:r>
        <w:rPr>
          <w:rFonts w:ascii="Consolas" w:hAnsi="Consolas"/>
          <w:color w:val="231F20"/>
          <w:spacing w:val="-75"/>
          <w:sz w:val="16"/>
        </w:rPr>
        <w:t> </w:t>
      </w:r>
      <w:r>
        <w:rPr>
          <w:rFonts w:ascii="Arial" w:hAnsi="Arial"/>
          <w:color w:val="231F20"/>
          <w:sz w:val="16"/>
        </w:rPr>
        <w:t>or </w:t>
      </w:r>
      <w:r>
        <w:rPr>
          <w:rFonts w:ascii="Consolas" w:hAnsi="Consolas"/>
          <w:color w:val="231F20"/>
          <w:sz w:val="16"/>
        </w:rPr>
        <w:t>↓↓</w:t>
      </w:r>
      <w:r>
        <w:rPr>
          <w:rFonts w:ascii="Arial" w:hAnsi="Arial"/>
          <w:color w:val="231F20"/>
          <w:sz w:val="16"/>
        </w:rPr>
        <w:t>). Note that respiratory acid­base disorders are initiated by an increase</w:t>
      </w:r>
      <w:r>
        <w:rPr>
          <w:rFonts w:ascii="Arial" w:hAnsi="Arial"/>
          <w:color w:val="231F20"/>
          <w:spacing w:val="-26"/>
          <w:sz w:val="16"/>
        </w:rPr>
        <w:t> </w:t>
      </w:r>
      <w:r>
        <w:rPr>
          <w:rFonts w:ascii="Arial" w:hAnsi="Arial"/>
          <w:color w:val="231F20"/>
          <w:sz w:val="16"/>
        </w:rPr>
        <w:t>or</w:t>
      </w:r>
      <w:r>
        <w:rPr>
          <w:rFonts w:ascii="Arial" w:hAnsi="Arial"/>
          <w:color w:val="231F20"/>
          <w:spacing w:val="-26"/>
          <w:sz w:val="16"/>
        </w:rPr>
        <w:t> </w:t>
      </w:r>
      <w:r>
        <w:rPr>
          <w:rFonts w:ascii="Arial" w:hAnsi="Arial"/>
          <w:color w:val="231F20"/>
          <w:sz w:val="16"/>
        </w:rPr>
        <w:t>decrease</w:t>
      </w:r>
      <w:r>
        <w:rPr>
          <w:rFonts w:ascii="Arial" w:hAnsi="Arial"/>
          <w:color w:val="231F20"/>
          <w:spacing w:val="-26"/>
          <w:sz w:val="16"/>
        </w:rPr>
        <w:t> </w:t>
      </w:r>
      <w:r>
        <w:rPr>
          <w:rFonts w:ascii="Arial" w:hAnsi="Arial"/>
          <w:color w:val="231F20"/>
          <w:sz w:val="16"/>
        </w:rPr>
        <w:t>in</w:t>
      </w:r>
      <w:r>
        <w:rPr>
          <w:rFonts w:ascii="Arial" w:hAnsi="Arial"/>
          <w:color w:val="231F20"/>
          <w:spacing w:val="-26"/>
          <w:sz w:val="16"/>
        </w:rPr>
        <w:t> </w:t>
      </w:r>
      <w:r>
        <w:rPr>
          <w:rFonts w:ascii="Arial" w:hAnsi="Arial"/>
          <w:color w:val="231F20"/>
          <w:sz w:val="16"/>
        </w:rPr>
        <w:t>P</w:t>
      </w:r>
      <w:r>
        <w:rPr>
          <w:rFonts w:ascii="Arial" w:hAnsi="Arial"/>
          <w:color w:val="231F20"/>
          <w:sz w:val="13"/>
        </w:rPr>
        <w:t>CO</w:t>
      </w:r>
      <w:r>
        <w:rPr>
          <w:rFonts w:ascii="Arial" w:hAnsi="Arial"/>
          <w:color w:val="231F20"/>
          <w:sz w:val="13"/>
          <w:vertAlign w:val="subscript"/>
        </w:rPr>
        <w:t>2</w:t>
      </w:r>
      <w:r>
        <w:rPr>
          <w:rFonts w:ascii="Arial" w:hAnsi="Arial"/>
          <w:color w:val="231F20"/>
          <w:sz w:val="16"/>
          <w:vertAlign w:val="baseline"/>
        </w:rPr>
        <w:t>,</w:t>
      </w:r>
      <w:r>
        <w:rPr>
          <w:rFonts w:ascii="Arial" w:hAnsi="Arial"/>
          <w:color w:val="231F20"/>
          <w:spacing w:val="-26"/>
          <w:sz w:val="16"/>
          <w:vertAlign w:val="baseline"/>
        </w:rPr>
        <w:t> </w:t>
      </w:r>
      <w:r>
        <w:rPr>
          <w:rFonts w:ascii="Arial" w:hAnsi="Arial"/>
          <w:color w:val="231F20"/>
          <w:sz w:val="16"/>
          <w:vertAlign w:val="baseline"/>
        </w:rPr>
        <w:t>whereas</w:t>
      </w:r>
      <w:r>
        <w:rPr>
          <w:rFonts w:ascii="Arial" w:hAnsi="Arial"/>
          <w:color w:val="231F20"/>
          <w:spacing w:val="-26"/>
          <w:sz w:val="16"/>
          <w:vertAlign w:val="baseline"/>
        </w:rPr>
        <w:t> </w:t>
      </w:r>
      <w:r>
        <w:rPr>
          <w:rFonts w:ascii="Arial" w:hAnsi="Arial"/>
          <w:color w:val="231F20"/>
          <w:sz w:val="16"/>
          <w:vertAlign w:val="baseline"/>
        </w:rPr>
        <w:t>metabolic</w:t>
      </w:r>
      <w:r>
        <w:rPr>
          <w:rFonts w:ascii="Arial" w:hAnsi="Arial"/>
          <w:color w:val="231F20"/>
          <w:spacing w:val="-26"/>
          <w:sz w:val="16"/>
          <w:vertAlign w:val="baseline"/>
        </w:rPr>
        <w:t> </w:t>
      </w:r>
      <w:r>
        <w:rPr>
          <w:rFonts w:ascii="Arial" w:hAnsi="Arial"/>
          <w:color w:val="231F20"/>
          <w:sz w:val="16"/>
          <w:vertAlign w:val="baseline"/>
        </w:rPr>
        <w:t>disorders</w:t>
      </w:r>
      <w:r>
        <w:rPr>
          <w:rFonts w:ascii="Arial" w:hAnsi="Arial"/>
          <w:color w:val="231F20"/>
          <w:spacing w:val="-26"/>
          <w:sz w:val="16"/>
          <w:vertAlign w:val="baseline"/>
        </w:rPr>
        <w:t> </w:t>
      </w:r>
      <w:r>
        <w:rPr>
          <w:rFonts w:ascii="Arial" w:hAnsi="Arial"/>
          <w:color w:val="231F20"/>
          <w:sz w:val="16"/>
          <w:vertAlign w:val="baseline"/>
        </w:rPr>
        <w:t>are initiated by an increase or decrease in HCO</w:t>
      </w:r>
      <w:r>
        <w:rPr>
          <w:rFonts w:ascii="Arial" w:hAnsi="Arial"/>
          <w:color w:val="231F20"/>
          <w:spacing w:val="19"/>
          <w:sz w:val="16"/>
          <w:vertAlign w:val="baseline"/>
        </w:rPr>
        <w:t> </w:t>
      </w:r>
      <w:r>
        <w:rPr>
          <w:rFonts w:ascii="Consolas" w:hAnsi="Consolas"/>
          <w:color w:val="231F20"/>
          <w:position w:val="6"/>
          <w:sz w:val="9"/>
          <w:vertAlign w:val="baseline"/>
        </w:rPr>
        <w:t>−</w:t>
      </w:r>
      <w:r>
        <w:rPr>
          <w:rFonts w:ascii="Arial" w:hAnsi="Arial"/>
          <w:color w:val="231F20"/>
          <w:sz w:val="16"/>
          <w:vertAlign w:val="baseline"/>
        </w:rPr>
        <w:t>.</w:t>
      </w:r>
    </w:p>
    <w:p>
      <w:pPr>
        <w:pStyle w:val="BodyText"/>
        <w:rPr>
          <w:rFonts w:ascii="Arial"/>
        </w:rPr>
      </w:pPr>
    </w:p>
    <w:p>
      <w:pPr>
        <w:pStyle w:val="BodyText"/>
        <w:spacing w:before="10"/>
        <w:rPr>
          <w:rFonts w:ascii="Arial"/>
          <w:sz w:val="18"/>
        </w:rPr>
      </w:pPr>
    </w:p>
    <w:p>
      <w:pPr>
        <w:pStyle w:val="BodyText"/>
        <w:spacing w:line="249" w:lineRule="auto"/>
        <w:ind w:left="1079" w:right="-3"/>
      </w:pPr>
      <w:r>
        <w:rPr/>
        <w:pict>
          <v:shape style="position:absolute;margin-left:262.582489pt;margin-top:5.445525pt;width:3pt;height:8.7pt;mso-position-horizontal-relative:page;mso-position-vertical-relative:paragraph;z-index:-27231232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turn, contributes up to 500 mEq/day of new HCO </w:t>
      </w:r>
      <w:r>
        <w:rPr>
          <w:rFonts w:ascii="Consolas" w:hAnsi="Consolas"/>
          <w:color w:val="231F20"/>
          <w:w w:val="105"/>
          <w:position w:val="8"/>
          <w:sz w:val="12"/>
        </w:rPr>
        <w:t>− </w:t>
      </w:r>
      <w:r>
        <w:rPr>
          <w:color w:val="231F20"/>
          <w:w w:val="105"/>
        </w:rPr>
        <w:t>that is added to the blood.</w:t>
      </w:r>
    </w:p>
    <w:p>
      <w:pPr>
        <w:pStyle w:val="BodyText"/>
        <w:spacing w:line="247" w:lineRule="auto"/>
        <w:ind w:left="1080" w:right="-10" w:firstLine="239"/>
      </w:pPr>
      <w:r>
        <w:rPr>
          <w:color w:val="231F20"/>
          <w:w w:val="105"/>
        </w:rPr>
        <w:t>Thus,</w:t>
      </w:r>
      <w:r>
        <w:rPr>
          <w:color w:val="231F20"/>
          <w:spacing w:val="-13"/>
          <w:w w:val="105"/>
        </w:rPr>
        <w:t> </w:t>
      </w:r>
      <w:r>
        <w:rPr>
          <w:color w:val="231F20"/>
          <w:w w:val="105"/>
        </w:rPr>
        <w:t>with</w:t>
      </w:r>
      <w:r>
        <w:rPr>
          <w:color w:val="231F20"/>
          <w:spacing w:val="-12"/>
          <w:w w:val="105"/>
        </w:rPr>
        <w:t> </w:t>
      </w:r>
      <w:r>
        <w:rPr>
          <w:color w:val="231F20"/>
          <w:w w:val="105"/>
        </w:rPr>
        <w:t>chronic</w:t>
      </w:r>
      <w:r>
        <w:rPr>
          <w:color w:val="231F20"/>
          <w:spacing w:val="-13"/>
          <w:w w:val="105"/>
        </w:rPr>
        <w:t> </w:t>
      </w:r>
      <w:r>
        <w:rPr>
          <w:color w:val="231F20"/>
          <w:w w:val="105"/>
        </w:rPr>
        <w:t>acidosis,</w:t>
      </w:r>
      <w:r>
        <w:rPr>
          <w:color w:val="231F20"/>
          <w:spacing w:val="-12"/>
          <w:w w:val="105"/>
        </w:rPr>
        <w:t> </w:t>
      </w:r>
      <w:r>
        <w:rPr>
          <w:color w:val="231F20"/>
          <w:w w:val="105"/>
        </w:rPr>
        <w:t>increased</w:t>
      </w:r>
      <w:r>
        <w:rPr>
          <w:color w:val="231F20"/>
          <w:spacing w:val="-13"/>
          <w:w w:val="105"/>
        </w:rPr>
        <w:t> </w:t>
      </w:r>
      <w:r>
        <w:rPr>
          <w:color w:val="231F20"/>
          <w:w w:val="105"/>
        </w:rPr>
        <w:t>secretion</w:t>
      </w:r>
      <w:r>
        <w:rPr>
          <w:color w:val="231F20"/>
          <w:spacing w:val="-12"/>
          <w:w w:val="105"/>
        </w:rPr>
        <w:t> </w:t>
      </w:r>
      <w:r>
        <w:rPr>
          <w:color w:val="231F20"/>
          <w:w w:val="105"/>
        </w:rPr>
        <w:t>of</w:t>
      </w:r>
      <w:r>
        <w:rPr>
          <w:color w:val="231F20"/>
          <w:spacing w:val="-12"/>
          <w:w w:val="105"/>
        </w:rPr>
        <w:t> </w:t>
      </w:r>
      <w:r>
        <w:rPr>
          <w:color w:val="231F20"/>
          <w:w w:val="105"/>
        </w:rPr>
        <w:t>H</w:t>
      </w:r>
      <w:r>
        <w:rPr>
          <w:rFonts w:ascii="Consolas"/>
          <w:color w:val="231F20"/>
          <w:w w:val="105"/>
          <w:position w:val="8"/>
          <w:sz w:val="12"/>
        </w:rPr>
        <w:t>+ </w:t>
      </w:r>
      <w:r>
        <w:rPr>
          <w:color w:val="231F20"/>
          <w:w w:val="105"/>
        </w:rPr>
        <w:t>by the tubules helps eliminate excess H</w:t>
      </w:r>
      <w:r>
        <w:rPr>
          <w:rFonts w:ascii="Consolas"/>
          <w:color w:val="231F20"/>
          <w:w w:val="105"/>
          <w:position w:val="8"/>
          <w:sz w:val="12"/>
        </w:rPr>
        <w:t>+ </w:t>
      </w:r>
      <w:r>
        <w:rPr>
          <w:color w:val="231F20"/>
          <w:w w:val="105"/>
        </w:rPr>
        <w:t>from the</w:t>
      </w:r>
      <w:r>
        <w:rPr>
          <w:color w:val="231F20"/>
          <w:spacing w:val="34"/>
          <w:w w:val="105"/>
        </w:rPr>
        <w:t> </w:t>
      </w:r>
      <w:r>
        <w:rPr>
          <w:color w:val="231F20"/>
          <w:spacing w:val="-3"/>
          <w:w w:val="105"/>
        </w:rPr>
        <w:t>body</w:t>
      </w:r>
    </w:p>
    <w:p>
      <w:pPr>
        <w:pStyle w:val="BodyText"/>
        <w:spacing w:line="247" w:lineRule="auto" w:before="10"/>
        <w:ind w:left="319" w:right="1437"/>
        <w:jc w:val="both"/>
      </w:pPr>
      <w:r>
        <w:rPr/>
        <w:br w:type="column"/>
      </w:r>
      <w:r>
        <w:rPr>
          <w:color w:val="231F20"/>
          <w:w w:val="105"/>
        </w:rPr>
        <w:t>reabsorbed</w:t>
      </w:r>
      <w:r>
        <w:rPr>
          <w:color w:val="231F20"/>
          <w:spacing w:val="-16"/>
          <w:w w:val="105"/>
        </w:rPr>
        <w:t> </w:t>
      </w:r>
      <w:r>
        <w:rPr>
          <w:color w:val="231F20"/>
          <w:w w:val="105"/>
        </w:rPr>
        <w:t>from</w:t>
      </w:r>
      <w:r>
        <w:rPr>
          <w:color w:val="231F20"/>
          <w:spacing w:val="-15"/>
          <w:w w:val="105"/>
        </w:rPr>
        <w:t> </w:t>
      </w:r>
      <w:r>
        <w:rPr>
          <w:color w:val="231F20"/>
          <w:w w:val="105"/>
        </w:rPr>
        <w:t>the</w:t>
      </w:r>
      <w:r>
        <w:rPr>
          <w:color w:val="231F20"/>
          <w:spacing w:val="-16"/>
          <w:w w:val="105"/>
        </w:rPr>
        <w:t> </w:t>
      </w:r>
      <w:r>
        <w:rPr>
          <w:color w:val="231F20"/>
          <w:w w:val="105"/>
        </w:rPr>
        <w:t>tubules</w:t>
      </w:r>
      <w:r>
        <w:rPr>
          <w:color w:val="231F20"/>
          <w:spacing w:val="-15"/>
          <w:w w:val="105"/>
        </w:rPr>
        <w:t> </w:t>
      </w:r>
      <w:r>
        <w:rPr>
          <w:color w:val="231F20"/>
          <w:w w:val="105"/>
        </w:rPr>
        <w:t>and</w:t>
      </w:r>
      <w:r>
        <w:rPr>
          <w:color w:val="231F20"/>
          <w:spacing w:val="-15"/>
          <w:w w:val="105"/>
        </w:rPr>
        <w:t> </w:t>
      </w:r>
      <w:r>
        <w:rPr>
          <w:color w:val="231F20"/>
          <w:w w:val="105"/>
        </w:rPr>
        <w:t>is,</w:t>
      </w:r>
      <w:r>
        <w:rPr>
          <w:color w:val="231F20"/>
          <w:spacing w:val="-16"/>
          <w:w w:val="105"/>
        </w:rPr>
        <w:t> </w:t>
      </w:r>
      <w:r>
        <w:rPr>
          <w:color w:val="231F20"/>
          <w:w w:val="105"/>
        </w:rPr>
        <w:t>therefore,</w:t>
      </w:r>
      <w:r>
        <w:rPr>
          <w:color w:val="231F20"/>
          <w:spacing w:val="-15"/>
          <w:w w:val="105"/>
        </w:rPr>
        <w:t> </w:t>
      </w:r>
      <w:r>
        <w:rPr>
          <w:color w:val="231F20"/>
          <w:w w:val="105"/>
        </w:rPr>
        <w:t>excreted</w:t>
      </w:r>
      <w:r>
        <w:rPr>
          <w:color w:val="231F20"/>
          <w:spacing w:val="-15"/>
          <w:w w:val="105"/>
        </w:rPr>
        <w:t> </w:t>
      </w:r>
      <w:r>
        <w:rPr>
          <w:color w:val="231F20"/>
          <w:w w:val="105"/>
        </w:rPr>
        <w:t>in the</w:t>
      </w:r>
      <w:r>
        <w:rPr>
          <w:color w:val="231F20"/>
          <w:spacing w:val="-7"/>
          <w:w w:val="105"/>
        </w:rPr>
        <w:t> </w:t>
      </w:r>
      <w:r>
        <w:rPr>
          <w:color w:val="231F20"/>
          <w:w w:val="105"/>
        </w:rPr>
        <w:t>urine.</w:t>
      </w:r>
      <w:r>
        <w:rPr>
          <w:color w:val="231F20"/>
          <w:spacing w:val="-6"/>
          <w:w w:val="105"/>
        </w:rPr>
        <w:t> </w:t>
      </w:r>
      <w:r>
        <w:rPr>
          <w:color w:val="231F20"/>
          <w:w w:val="105"/>
        </w:rPr>
        <w:t>Thus,</w:t>
      </w:r>
      <w:r>
        <w:rPr>
          <w:color w:val="231F20"/>
          <w:spacing w:val="-6"/>
          <w:w w:val="105"/>
        </w:rPr>
        <w:t> </w:t>
      </w:r>
      <w:r>
        <w:rPr>
          <w:color w:val="231F20"/>
          <w:w w:val="105"/>
        </w:rPr>
        <w:t>in</w:t>
      </w:r>
      <w:r>
        <w:rPr>
          <w:color w:val="231F20"/>
          <w:spacing w:val="-6"/>
          <w:w w:val="105"/>
        </w:rPr>
        <w:t> </w:t>
      </w:r>
      <w:r>
        <w:rPr>
          <w:color w:val="231F20"/>
          <w:w w:val="105"/>
        </w:rPr>
        <w:t>alkalosis,</w:t>
      </w:r>
      <w:r>
        <w:rPr>
          <w:color w:val="231F20"/>
          <w:spacing w:val="-6"/>
          <w:w w:val="105"/>
        </w:rPr>
        <w:t> </w:t>
      </w:r>
      <w:r>
        <w:rPr>
          <w:color w:val="231F20"/>
          <w:w w:val="105"/>
        </w:rPr>
        <w:t>HCO</w:t>
      </w:r>
      <w:r>
        <w:rPr>
          <w:color w:val="231F20"/>
          <w:spacing w:val="-4"/>
          <w:w w:val="105"/>
        </w:rPr>
        <w:t> </w:t>
      </w:r>
      <w:r>
        <w:rPr>
          <w:rFonts w:ascii="Consolas" w:hAnsi="Consolas"/>
          <w:color w:val="231F20"/>
          <w:w w:val="105"/>
          <w:position w:val="8"/>
          <w:sz w:val="12"/>
        </w:rPr>
        <w:t>−</w:t>
      </w:r>
      <w:r>
        <w:rPr>
          <w:rFonts w:ascii="Consolas" w:hAnsi="Consolas"/>
          <w:color w:val="231F20"/>
          <w:spacing w:val="-23"/>
          <w:w w:val="105"/>
          <w:position w:val="8"/>
          <w:sz w:val="12"/>
        </w:rPr>
        <w:t> </w:t>
      </w:r>
      <w:r>
        <w:rPr>
          <w:color w:val="231F20"/>
          <w:w w:val="105"/>
        </w:rPr>
        <w:t>is</w:t>
      </w:r>
      <w:r>
        <w:rPr>
          <w:color w:val="231F20"/>
          <w:spacing w:val="-6"/>
          <w:w w:val="105"/>
        </w:rPr>
        <w:t> </w:t>
      </w:r>
      <w:r>
        <w:rPr>
          <w:color w:val="231F20"/>
          <w:w w:val="105"/>
        </w:rPr>
        <w:t>removed</w:t>
      </w:r>
      <w:r>
        <w:rPr>
          <w:color w:val="231F20"/>
          <w:spacing w:val="-6"/>
          <w:w w:val="105"/>
        </w:rPr>
        <w:t> </w:t>
      </w:r>
      <w:r>
        <w:rPr>
          <w:color w:val="231F20"/>
          <w:w w:val="105"/>
        </w:rPr>
        <w:t>from</w:t>
      </w:r>
      <w:r>
        <w:rPr>
          <w:color w:val="231F20"/>
          <w:spacing w:val="-6"/>
          <w:w w:val="105"/>
        </w:rPr>
        <w:t> </w:t>
      </w:r>
      <w:r>
        <w:rPr>
          <w:color w:val="231F20"/>
          <w:spacing w:val="-5"/>
          <w:w w:val="105"/>
        </w:rPr>
        <w:t>the </w:t>
      </w:r>
      <w:r>
        <w:rPr>
          <w:color w:val="231F20"/>
          <w:w w:val="105"/>
        </w:rPr>
        <w:t>extracellular</w:t>
      </w:r>
      <w:r>
        <w:rPr>
          <w:color w:val="231F20"/>
          <w:spacing w:val="-17"/>
          <w:w w:val="105"/>
        </w:rPr>
        <w:t> </w:t>
      </w:r>
      <w:r>
        <w:rPr>
          <w:color w:val="231F20"/>
          <w:w w:val="105"/>
        </w:rPr>
        <w:t>fluid</w:t>
      </w:r>
      <w:r>
        <w:rPr>
          <w:color w:val="231F20"/>
          <w:spacing w:val="-17"/>
          <w:w w:val="105"/>
        </w:rPr>
        <w:t> </w:t>
      </w:r>
      <w:r>
        <w:rPr>
          <w:color w:val="231F20"/>
          <w:w w:val="105"/>
        </w:rPr>
        <w:t>by</w:t>
      </w:r>
      <w:r>
        <w:rPr>
          <w:color w:val="231F20"/>
          <w:spacing w:val="-17"/>
          <w:w w:val="105"/>
        </w:rPr>
        <w:t> </w:t>
      </w:r>
      <w:r>
        <w:rPr>
          <w:color w:val="231F20"/>
          <w:w w:val="105"/>
        </w:rPr>
        <w:t>renal</w:t>
      </w:r>
      <w:r>
        <w:rPr>
          <w:color w:val="231F20"/>
          <w:spacing w:val="-17"/>
          <w:w w:val="105"/>
        </w:rPr>
        <w:t> </w:t>
      </w:r>
      <w:r>
        <w:rPr>
          <w:color w:val="231F20"/>
          <w:w w:val="105"/>
        </w:rPr>
        <w:t>excretion,</w:t>
      </w:r>
      <w:r>
        <w:rPr>
          <w:color w:val="231F20"/>
          <w:spacing w:val="-17"/>
          <w:w w:val="105"/>
        </w:rPr>
        <w:t> </w:t>
      </w:r>
      <w:r>
        <w:rPr>
          <w:color w:val="231F20"/>
          <w:w w:val="105"/>
        </w:rPr>
        <w:t>which</w:t>
      </w:r>
      <w:r>
        <w:rPr>
          <w:color w:val="231F20"/>
          <w:spacing w:val="-17"/>
          <w:w w:val="105"/>
        </w:rPr>
        <w:t> </w:t>
      </w:r>
      <w:r>
        <w:rPr>
          <w:color w:val="231F20"/>
          <w:w w:val="105"/>
        </w:rPr>
        <w:t>has</w:t>
      </w:r>
      <w:r>
        <w:rPr>
          <w:color w:val="231F20"/>
          <w:spacing w:val="-17"/>
          <w:w w:val="105"/>
        </w:rPr>
        <w:t> </w:t>
      </w:r>
      <w:r>
        <w:rPr>
          <w:color w:val="231F20"/>
          <w:w w:val="105"/>
        </w:rPr>
        <w:t>the</w:t>
      </w:r>
      <w:r>
        <w:rPr>
          <w:color w:val="231F20"/>
          <w:spacing w:val="-17"/>
          <w:w w:val="105"/>
        </w:rPr>
        <w:t> </w:t>
      </w:r>
      <w:r>
        <w:rPr>
          <w:color w:val="231F20"/>
          <w:w w:val="105"/>
        </w:rPr>
        <w:t>same effect as adding an H</w:t>
      </w:r>
      <w:r>
        <w:rPr>
          <w:rFonts w:ascii="Consolas" w:hAnsi="Consolas"/>
          <w:color w:val="231F20"/>
          <w:w w:val="105"/>
          <w:position w:val="8"/>
          <w:sz w:val="12"/>
        </w:rPr>
        <w:t>+ </w:t>
      </w:r>
      <w:r>
        <w:rPr>
          <w:color w:val="231F20"/>
          <w:w w:val="105"/>
        </w:rPr>
        <w:t>to the extracellular fluid. This process</w:t>
      </w:r>
      <w:r>
        <w:rPr>
          <w:color w:val="231F20"/>
          <w:spacing w:val="-12"/>
          <w:w w:val="105"/>
        </w:rPr>
        <w:t> </w:t>
      </w:r>
      <w:r>
        <w:rPr>
          <w:color w:val="231F20"/>
          <w:w w:val="105"/>
        </w:rPr>
        <w:t>helps</w:t>
      </w:r>
      <w:r>
        <w:rPr>
          <w:color w:val="231F20"/>
          <w:spacing w:val="-11"/>
          <w:w w:val="105"/>
        </w:rPr>
        <w:t> </w:t>
      </w:r>
      <w:r>
        <w:rPr>
          <w:color w:val="231F20"/>
          <w:w w:val="105"/>
        </w:rPr>
        <w:t>return</w:t>
      </w:r>
      <w:r>
        <w:rPr>
          <w:color w:val="231F20"/>
          <w:spacing w:val="-11"/>
          <w:w w:val="105"/>
        </w:rPr>
        <w:t> </w:t>
      </w:r>
      <w:r>
        <w:rPr>
          <w:color w:val="231F20"/>
          <w:w w:val="105"/>
        </w:rPr>
        <w:t>the</w:t>
      </w:r>
      <w:r>
        <w:rPr>
          <w:color w:val="231F20"/>
          <w:spacing w:val="-11"/>
          <w:w w:val="105"/>
        </w:rPr>
        <w:t> </w:t>
      </w:r>
      <w:r>
        <w:rPr>
          <w:color w:val="231F20"/>
          <w:w w:val="105"/>
        </w:rPr>
        <w:t>H</w:t>
      </w:r>
      <w:r>
        <w:rPr>
          <w:rFonts w:ascii="Consolas" w:hAnsi="Consolas"/>
          <w:color w:val="231F20"/>
          <w:w w:val="105"/>
          <w:position w:val="8"/>
          <w:sz w:val="12"/>
        </w:rPr>
        <w:t>+</w:t>
      </w:r>
      <w:r>
        <w:rPr>
          <w:rFonts w:ascii="Consolas" w:hAnsi="Consolas"/>
          <w:color w:val="231F20"/>
          <w:spacing w:val="-28"/>
          <w:w w:val="105"/>
          <w:position w:val="8"/>
          <w:sz w:val="12"/>
        </w:rPr>
        <w:t> </w:t>
      </w:r>
      <w:r>
        <w:rPr>
          <w:color w:val="231F20"/>
          <w:w w:val="105"/>
        </w:rPr>
        <w:t>concentration</w:t>
      </w:r>
      <w:r>
        <w:rPr>
          <w:color w:val="231F20"/>
          <w:spacing w:val="-12"/>
          <w:w w:val="105"/>
        </w:rPr>
        <w:t> </w:t>
      </w:r>
      <w:r>
        <w:rPr>
          <w:color w:val="231F20"/>
          <w:w w:val="105"/>
        </w:rPr>
        <w:t>and</w:t>
      </w:r>
      <w:r>
        <w:rPr>
          <w:color w:val="231F20"/>
          <w:spacing w:val="-11"/>
          <w:w w:val="105"/>
        </w:rPr>
        <w:t> </w:t>
      </w:r>
      <w:r>
        <w:rPr>
          <w:color w:val="231F20"/>
          <w:w w:val="105"/>
        </w:rPr>
        <w:t>pH</w:t>
      </w:r>
      <w:r>
        <w:rPr>
          <w:color w:val="231F20"/>
          <w:spacing w:val="-11"/>
          <w:w w:val="105"/>
        </w:rPr>
        <w:t> </w:t>
      </w:r>
      <w:r>
        <w:rPr>
          <w:color w:val="231F20"/>
          <w:w w:val="105"/>
        </w:rPr>
        <w:t>toward normal.</w:t>
      </w:r>
    </w:p>
    <w:p>
      <w:pPr>
        <w:spacing w:line="249" w:lineRule="auto" w:before="7"/>
        <w:ind w:left="319" w:right="1437" w:firstLine="240"/>
        <w:jc w:val="both"/>
        <w:rPr>
          <w:sz w:val="20"/>
        </w:rPr>
      </w:pPr>
      <w:r>
        <w:rPr/>
        <w:pict>
          <v:shape style="position:absolute;margin-left:446.819611pt;margin-top:-54.388039pt;width:3pt;height:8.7pt;mso-position-horizontal-relative:page;mso-position-vertical-relative:paragraph;z-index:-27231129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hyperlink w:history="true" w:anchor="_bookmark112">
        <w:r>
          <w:rPr>
            <w:b/>
            <w:color w:val="0080AC"/>
            <w:spacing w:val="-4"/>
            <w:sz w:val="20"/>
          </w:rPr>
          <w:t>Table </w:t>
        </w:r>
        <w:r>
          <w:rPr>
            <w:b/>
            <w:color w:val="0080AC"/>
            <w:sz w:val="20"/>
          </w:rPr>
          <w:t>31-3 </w:t>
        </w:r>
      </w:hyperlink>
      <w:r>
        <w:rPr>
          <w:color w:val="231F20"/>
          <w:sz w:val="20"/>
        </w:rPr>
        <w:t>shows the overall characteristics of respi- ratory and metabolic alkalosis. In </w:t>
      </w:r>
      <w:r>
        <w:rPr>
          <w:i/>
          <w:color w:val="231F20"/>
          <w:sz w:val="20"/>
        </w:rPr>
        <w:t>respiratory alkalosis, </w:t>
      </w:r>
      <w:r>
        <w:rPr>
          <w:color w:val="231F20"/>
          <w:sz w:val="20"/>
        </w:rPr>
        <w:t>there</w:t>
      </w:r>
      <w:r>
        <w:rPr>
          <w:color w:val="231F20"/>
          <w:spacing w:val="-7"/>
          <w:sz w:val="20"/>
        </w:rPr>
        <w:t> </w:t>
      </w:r>
      <w:r>
        <w:rPr>
          <w:color w:val="231F20"/>
          <w:sz w:val="20"/>
        </w:rPr>
        <w:t>is</w:t>
      </w:r>
      <w:r>
        <w:rPr>
          <w:color w:val="231F20"/>
          <w:spacing w:val="-6"/>
          <w:sz w:val="20"/>
        </w:rPr>
        <w:t> </w:t>
      </w:r>
      <w:r>
        <w:rPr>
          <w:color w:val="231F20"/>
          <w:sz w:val="20"/>
        </w:rPr>
        <w:t>an</w:t>
      </w:r>
      <w:r>
        <w:rPr>
          <w:color w:val="231F20"/>
          <w:spacing w:val="-6"/>
          <w:sz w:val="20"/>
        </w:rPr>
        <w:t> </w:t>
      </w:r>
      <w:r>
        <w:rPr>
          <w:color w:val="231F20"/>
          <w:sz w:val="20"/>
        </w:rPr>
        <w:t>increase</w:t>
      </w:r>
      <w:r>
        <w:rPr>
          <w:color w:val="231F20"/>
          <w:spacing w:val="-6"/>
          <w:sz w:val="20"/>
        </w:rPr>
        <w:t> </w:t>
      </w:r>
      <w:r>
        <w:rPr>
          <w:color w:val="231F20"/>
          <w:sz w:val="20"/>
        </w:rPr>
        <w:t>in</w:t>
      </w:r>
      <w:r>
        <w:rPr>
          <w:color w:val="231F20"/>
          <w:spacing w:val="-6"/>
          <w:sz w:val="20"/>
        </w:rPr>
        <w:t> </w:t>
      </w:r>
      <w:r>
        <w:rPr>
          <w:color w:val="231F20"/>
          <w:sz w:val="20"/>
        </w:rPr>
        <w:t>extracellular</w:t>
      </w:r>
      <w:r>
        <w:rPr>
          <w:color w:val="231F20"/>
          <w:spacing w:val="-6"/>
          <w:sz w:val="20"/>
        </w:rPr>
        <w:t> </w:t>
      </w:r>
      <w:r>
        <w:rPr>
          <w:color w:val="231F20"/>
          <w:sz w:val="20"/>
        </w:rPr>
        <w:t>fluid</w:t>
      </w:r>
      <w:r>
        <w:rPr>
          <w:color w:val="231F20"/>
          <w:spacing w:val="-6"/>
          <w:sz w:val="20"/>
        </w:rPr>
        <w:t> </w:t>
      </w:r>
      <w:r>
        <w:rPr>
          <w:color w:val="231F20"/>
          <w:sz w:val="20"/>
        </w:rPr>
        <w:t>pH</w:t>
      </w:r>
      <w:r>
        <w:rPr>
          <w:color w:val="231F20"/>
          <w:spacing w:val="-6"/>
          <w:sz w:val="20"/>
        </w:rPr>
        <w:t> </w:t>
      </w:r>
      <w:r>
        <w:rPr>
          <w:color w:val="231F20"/>
          <w:sz w:val="20"/>
        </w:rPr>
        <w:t>and</w:t>
      </w:r>
      <w:r>
        <w:rPr>
          <w:color w:val="231F20"/>
          <w:spacing w:val="-6"/>
          <w:sz w:val="20"/>
        </w:rPr>
        <w:t> </w:t>
      </w:r>
      <w:r>
        <w:rPr>
          <w:color w:val="231F20"/>
          <w:sz w:val="20"/>
        </w:rPr>
        <w:t>a</w:t>
      </w:r>
      <w:r>
        <w:rPr>
          <w:color w:val="231F20"/>
          <w:spacing w:val="-6"/>
          <w:sz w:val="20"/>
        </w:rPr>
        <w:t> </w:t>
      </w:r>
      <w:r>
        <w:rPr>
          <w:color w:val="231F20"/>
          <w:sz w:val="20"/>
        </w:rPr>
        <w:t>decrease in</w:t>
      </w:r>
      <w:r>
        <w:rPr>
          <w:color w:val="231F20"/>
          <w:spacing w:val="-11"/>
          <w:sz w:val="20"/>
        </w:rPr>
        <w:t> </w:t>
      </w:r>
      <w:r>
        <w:rPr>
          <w:color w:val="231F20"/>
          <w:sz w:val="20"/>
        </w:rPr>
        <w:t>H</w:t>
      </w:r>
      <w:r>
        <w:rPr>
          <w:rFonts w:ascii="Consolas"/>
          <w:color w:val="231F20"/>
          <w:position w:val="8"/>
          <w:sz w:val="12"/>
        </w:rPr>
        <w:t>+</w:t>
      </w:r>
      <w:r>
        <w:rPr>
          <w:rFonts w:ascii="Consolas"/>
          <w:color w:val="231F20"/>
          <w:spacing w:val="-26"/>
          <w:position w:val="8"/>
          <w:sz w:val="12"/>
        </w:rPr>
        <w:t> </w:t>
      </w:r>
      <w:r>
        <w:rPr>
          <w:color w:val="231F20"/>
          <w:sz w:val="20"/>
        </w:rPr>
        <w:t>concentration.</w:t>
      </w:r>
      <w:r>
        <w:rPr>
          <w:color w:val="231F20"/>
          <w:spacing w:val="-10"/>
          <w:sz w:val="20"/>
        </w:rPr>
        <w:t> </w:t>
      </w:r>
      <w:r>
        <w:rPr>
          <w:i/>
          <w:color w:val="231F20"/>
          <w:sz w:val="20"/>
        </w:rPr>
        <w:t>The</w:t>
      </w:r>
      <w:r>
        <w:rPr>
          <w:i/>
          <w:color w:val="231F20"/>
          <w:spacing w:val="-11"/>
          <w:sz w:val="20"/>
        </w:rPr>
        <w:t> </w:t>
      </w:r>
      <w:r>
        <w:rPr>
          <w:i/>
          <w:color w:val="231F20"/>
          <w:sz w:val="20"/>
        </w:rPr>
        <w:t>cause</w:t>
      </w:r>
      <w:r>
        <w:rPr>
          <w:i/>
          <w:color w:val="231F20"/>
          <w:spacing w:val="-10"/>
          <w:sz w:val="20"/>
        </w:rPr>
        <w:t> </w:t>
      </w:r>
      <w:r>
        <w:rPr>
          <w:i/>
          <w:color w:val="231F20"/>
          <w:sz w:val="20"/>
        </w:rPr>
        <w:t>of</w:t>
      </w:r>
      <w:r>
        <w:rPr>
          <w:i/>
          <w:color w:val="231F20"/>
          <w:spacing w:val="-10"/>
          <w:sz w:val="20"/>
        </w:rPr>
        <w:t> </w:t>
      </w:r>
      <w:r>
        <w:rPr>
          <w:i/>
          <w:color w:val="231F20"/>
          <w:sz w:val="20"/>
        </w:rPr>
        <w:t>the</w:t>
      </w:r>
      <w:r>
        <w:rPr>
          <w:i/>
          <w:color w:val="231F20"/>
          <w:spacing w:val="-11"/>
          <w:sz w:val="20"/>
        </w:rPr>
        <w:t> </w:t>
      </w:r>
      <w:r>
        <w:rPr>
          <w:i/>
          <w:color w:val="231F20"/>
          <w:sz w:val="20"/>
        </w:rPr>
        <w:t>alkalosis</w:t>
      </w:r>
      <w:r>
        <w:rPr>
          <w:i/>
          <w:color w:val="231F20"/>
          <w:spacing w:val="-10"/>
          <w:sz w:val="20"/>
        </w:rPr>
        <w:t> </w:t>
      </w:r>
      <w:r>
        <w:rPr>
          <w:i/>
          <w:color w:val="231F20"/>
          <w:sz w:val="20"/>
        </w:rPr>
        <w:t>is</w:t>
      </w:r>
      <w:r>
        <w:rPr>
          <w:i/>
          <w:color w:val="231F20"/>
          <w:spacing w:val="-10"/>
          <w:sz w:val="20"/>
        </w:rPr>
        <w:t> </w:t>
      </w:r>
      <w:r>
        <w:rPr>
          <w:i/>
          <w:color w:val="231F20"/>
          <w:sz w:val="20"/>
        </w:rPr>
        <w:t>decreased </w:t>
      </w:r>
      <w:r>
        <w:rPr>
          <w:i/>
          <w:color w:val="231F20"/>
          <w:sz w:val="20"/>
        </w:rPr>
        <w:t>plasma P</w:t>
      </w:r>
      <w:r>
        <w:rPr>
          <w:i/>
          <w:color w:val="231F20"/>
          <w:sz w:val="16"/>
        </w:rPr>
        <w:t>CO</w:t>
      </w:r>
      <w:r>
        <w:rPr>
          <w:i/>
          <w:color w:val="231F20"/>
          <w:sz w:val="16"/>
          <w:vertAlign w:val="subscript"/>
        </w:rPr>
        <w:t>2</w:t>
      </w:r>
      <w:r>
        <w:rPr>
          <w:i/>
          <w:color w:val="231F20"/>
          <w:sz w:val="20"/>
          <w:vertAlign w:val="baseline"/>
        </w:rPr>
        <w:t>, caused by hyperventilation. </w:t>
      </w:r>
      <w:r>
        <w:rPr>
          <w:color w:val="231F20"/>
          <w:sz w:val="20"/>
          <w:vertAlign w:val="baseline"/>
        </w:rPr>
        <w:t>Reduction</w:t>
      </w:r>
      <w:r>
        <w:rPr>
          <w:color w:val="231F20"/>
          <w:spacing w:val="-5"/>
          <w:sz w:val="20"/>
          <w:vertAlign w:val="baseline"/>
        </w:rPr>
        <w:t> </w:t>
      </w:r>
      <w:r>
        <w:rPr>
          <w:color w:val="231F20"/>
          <w:sz w:val="20"/>
          <w:vertAlign w:val="baseline"/>
        </w:rPr>
        <w:t>in</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spacing w:line="226" w:lineRule="exact"/>
        <w:ind w:left="1080"/>
      </w:pPr>
      <w:r>
        <w:rPr/>
        <w:pict>
          <v:shape style="position:absolute;margin-left:200.513397pt;margin-top:5.293349pt;width:3pt;height:8.7pt;mso-position-horizontal-relative:page;mso-position-vertical-relative:paragraph;z-index:-27231027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and increases the quantity of HCO </w:t>
      </w:r>
      <w:r>
        <w:rPr>
          <w:rFonts w:ascii="Consolas" w:hAnsi="Consolas"/>
          <w:color w:val="231F20"/>
          <w:w w:val="105"/>
          <w:position w:val="8"/>
          <w:sz w:val="12"/>
        </w:rPr>
        <w:t>− </w:t>
      </w:r>
      <w:r>
        <w:rPr>
          <w:color w:val="231F20"/>
          <w:w w:val="105"/>
        </w:rPr>
        <w:t>in the extracellular</w:t>
      </w:r>
    </w:p>
    <w:p>
      <w:pPr>
        <w:pStyle w:val="BodyText"/>
        <w:spacing w:line="226" w:lineRule="exact"/>
        <w:ind w:left="319"/>
      </w:pPr>
      <w:r>
        <w:rPr/>
        <w:br w:type="column"/>
      </w:r>
      <w:r>
        <w:rPr>
          <w:color w:val="231F20"/>
          <w:w w:val="105"/>
        </w:rPr>
        <w:t>P</w:t>
      </w:r>
      <w:r>
        <w:rPr>
          <w:color w:val="231F20"/>
          <w:w w:val="105"/>
          <w:sz w:val="16"/>
        </w:rPr>
        <w:t>CO</w:t>
      </w:r>
      <w:r>
        <w:rPr>
          <w:color w:val="231F20"/>
          <w:w w:val="105"/>
          <w:sz w:val="16"/>
          <w:vertAlign w:val="subscript"/>
        </w:rPr>
        <w:t>2</w:t>
      </w:r>
      <w:r>
        <w:rPr>
          <w:color w:val="231F20"/>
          <w:w w:val="105"/>
          <w:sz w:val="16"/>
          <w:vertAlign w:val="baseline"/>
        </w:rPr>
        <w:t> </w:t>
      </w:r>
      <w:r>
        <w:rPr>
          <w:color w:val="231F20"/>
          <w:w w:val="105"/>
          <w:vertAlign w:val="baseline"/>
        </w:rPr>
        <w:t>then leads to decreased renal tubular H</w:t>
      </w:r>
      <w:r>
        <w:rPr>
          <w:rFonts w:ascii="Consolas"/>
          <w:color w:val="231F20"/>
          <w:w w:val="105"/>
          <w:position w:val="8"/>
          <w:sz w:val="12"/>
          <w:vertAlign w:val="baseline"/>
        </w:rPr>
        <w:t>+ </w:t>
      </w:r>
      <w:r>
        <w:rPr>
          <w:color w:val="231F20"/>
          <w:w w:val="105"/>
          <w:vertAlign w:val="baseline"/>
        </w:rPr>
        <w:t>secretion.</w:t>
      </w:r>
    </w:p>
    <w:p>
      <w:pPr>
        <w:spacing w:after="0" w:line="226" w:lineRule="exact"/>
        <w:sectPr>
          <w:type w:val="continuous"/>
          <w:pgSz w:w="12240" w:h="15660"/>
          <w:pgMar w:top="0" w:bottom="760" w:left="0" w:right="0"/>
          <w:cols w:num="2" w:equalWidth="0">
            <w:col w:w="5761" w:space="40"/>
            <w:col w:w="6439"/>
          </w:cols>
        </w:sectPr>
      </w:pPr>
    </w:p>
    <w:p>
      <w:pPr>
        <w:pStyle w:val="BodyText"/>
        <w:spacing w:line="249" w:lineRule="auto" w:before="11"/>
        <w:ind w:left="1080" w:hanging="1"/>
        <w:jc w:val="both"/>
      </w:pPr>
      <w:r>
        <w:rPr/>
        <w:pict>
          <v:shape style="position:absolute;margin-left:209.308502pt;margin-top:5.995525pt;width:3pt;height:8.7pt;mso-position-horizontal-relative:page;mso-position-vertical-relative:paragraph;z-index:-27230924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fluid.</w:t>
      </w:r>
      <w:r>
        <w:rPr>
          <w:color w:val="231F20"/>
          <w:spacing w:val="-10"/>
          <w:w w:val="105"/>
        </w:rPr>
        <w:t> </w:t>
      </w:r>
      <w:r>
        <w:rPr>
          <w:color w:val="231F20"/>
          <w:w w:val="105"/>
        </w:rPr>
        <w:t>This</w:t>
      </w:r>
      <w:r>
        <w:rPr>
          <w:color w:val="231F20"/>
          <w:spacing w:val="-10"/>
          <w:w w:val="105"/>
        </w:rPr>
        <w:t> </w:t>
      </w:r>
      <w:r>
        <w:rPr>
          <w:color w:val="231F20"/>
          <w:w w:val="105"/>
        </w:rPr>
        <w:t>process</w:t>
      </w:r>
      <w:r>
        <w:rPr>
          <w:color w:val="231F20"/>
          <w:spacing w:val="-10"/>
          <w:w w:val="105"/>
        </w:rPr>
        <w:t> </w:t>
      </w:r>
      <w:r>
        <w:rPr>
          <w:color w:val="231F20"/>
          <w:w w:val="105"/>
        </w:rPr>
        <w:t>increases</w:t>
      </w:r>
      <w:r>
        <w:rPr>
          <w:color w:val="231F20"/>
          <w:spacing w:val="-10"/>
          <w:w w:val="105"/>
        </w:rPr>
        <w:t> </w:t>
      </w:r>
      <w:r>
        <w:rPr>
          <w:color w:val="231F20"/>
          <w:w w:val="105"/>
        </w:rPr>
        <w:t>the</w:t>
      </w:r>
      <w:r>
        <w:rPr>
          <w:color w:val="231F20"/>
          <w:spacing w:val="-10"/>
          <w:w w:val="105"/>
        </w:rPr>
        <w:t> </w:t>
      </w:r>
      <w:r>
        <w:rPr>
          <w:color w:val="231F20"/>
          <w:w w:val="105"/>
        </w:rPr>
        <w:t>HCO</w:t>
      </w:r>
      <w:r>
        <w:rPr>
          <w:color w:val="231F20"/>
          <w:spacing w:val="-4"/>
          <w:w w:val="105"/>
        </w:rPr>
        <w:t> </w:t>
      </w:r>
      <w:r>
        <w:rPr>
          <w:rFonts w:ascii="Consolas" w:hAnsi="Consolas"/>
          <w:color w:val="231F20"/>
          <w:w w:val="105"/>
          <w:position w:val="8"/>
          <w:sz w:val="12"/>
        </w:rPr>
        <w:t>−</w:t>
      </w:r>
      <w:r>
        <w:rPr>
          <w:rFonts w:ascii="Consolas" w:hAnsi="Consolas"/>
          <w:color w:val="231F20"/>
          <w:spacing w:val="-26"/>
          <w:w w:val="105"/>
          <w:position w:val="8"/>
          <w:sz w:val="12"/>
        </w:rPr>
        <w:t> </w:t>
      </w:r>
      <w:r>
        <w:rPr>
          <w:color w:val="231F20"/>
          <w:w w:val="105"/>
        </w:rPr>
        <w:t>part</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bicar- bonate buffer system which, in accordance with</w:t>
      </w:r>
      <w:r>
        <w:rPr>
          <w:color w:val="231F20"/>
          <w:spacing w:val="29"/>
          <w:w w:val="105"/>
        </w:rPr>
        <w:t> </w:t>
      </w:r>
      <w:r>
        <w:rPr>
          <w:color w:val="231F20"/>
          <w:w w:val="105"/>
        </w:rPr>
        <w:t>the Henderson-Hasselbalch equation, helps raise the extra- cellular pH and corrects the acidosis. If the acidosis </w:t>
      </w:r>
      <w:r>
        <w:rPr>
          <w:color w:val="231F20"/>
          <w:spacing w:val="-8"/>
          <w:w w:val="105"/>
        </w:rPr>
        <w:t>is </w:t>
      </w:r>
      <w:r>
        <w:rPr>
          <w:color w:val="231F20"/>
          <w:w w:val="105"/>
        </w:rPr>
        <w:t>metabolically mediated, additional compensation by</w:t>
      </w:r>
      <w:r>
        <w:rPr>
          <w:color w:val="231F20"/>
          <w:spacing w:val="-16"/>
          <w:w w:val="105"/>
        </w:rPr>
        <w:t> </w:t>
      </w:r>
      <w:r>
        <w:rPr>
          <w:color w:val="231F20"/>
          <w:spacing w:val="-6"/>
          <w:w w:val="105"/>
        </w:rPr>
        <w:t>the </w:t>
      </w:r>
      <w:r>
        <w:rPr>
          <w:color w:val="231F20"/>
          <w:w w:val="105"/>
        </w:rPr>
        <w:t>lungs</w:t>
      </w:r>
      <w:r>
        <w:rPr>
          <w:color w:val="231F20"/>
          <w:spacing w:val="-5"/>
          <w:w w:val="105"/>
        </w:rPr>
        <w:t> </w:t>
      </w:r>
      <w:r>
        <w:rPr>
          <w:color w:val="231F20"/>
          <w:w w:val="105"/>
        </w:rPr>
        <w:t>causes</w:t>
      </w:r>
      <w:r>
        <w:rPr>
          <w:color w:val="231F20"/>
          <w:spacing w:val="-4"/>
          <w:w w:val="105"/>
        </w:rPr>
        <w:t> </w:t>
      </w:r>
      <w:r>
        <w:rPr>
          <w:color w:val="231F20"/>
          <w:w w:val="105"/>
        </w:rPr>
        <w:t>a</w:t>
      </w:r>
      <w:r>
        <w:rPr>
          <w:color w:val="231F20"/>
          <w:spacing w:val="-5"/>
          <w:w w:val="105"/>
        </w:rPr>
        <w:t> </w:t>
      </w:r>
      <w:r>
        <w:rPr>
          <w:color w:val="231F20"/>
          <w:w w:val="105"/>
        </w:rPr>
        <w:t>reduction</w:t>
      </w:r>
      <w:r>
        <w:rPr>
          <w:color w:val="231F20"/>
          <w:spacing w:val="-4"/>
          <w:w w:val="105"/>
        </w:rPr>
        <w:t> </w:t>
      </w:r>
      <w:r>
        <w:rPr>
          <w:color w:val="231F20"/>
          <w:w w:val="105"/>
        </w:rPr>
        <w:t>in</w:t>
      </w:r>
      <w:r>
        <w:rPr>
          <w:color w:val="231F20"/>
          <w:spacing w:val="-4"/>
          <w:w w:val="105"/>
        </w:rPr>
        <w:t> </w:t>
      </w:r>
      <w:r>
        <w:rPr>
          <w:color w:val="231F20"/>
          <w:w w:val="105"/>
        </w:rPr>
        <w:t>P</w:t>
      </w:r>
      <w:r>
        <w:rPr>
          <w:color w:val="231F20"/>
          <w:w w:val="105"/>
          <w:sz w:val="16"/>
        </w:rPr>
        <w:t>CO</w:t>
      </w:r>
      <w:r>
        <w:rPr>
          <w:color w:val="231F20"/>
          <w:w w:val="105"/>
          <w:sz w:val="16"/>
          <w:vertAlign w:val="subscript"/>
        </w:rPr>
        <w:t>2</w:t>
      </w:r>
      <w:r>
        <w:rPr>
          <w:color w:val="231F20"/>
          <w:w w:val="105"/>
          <w:vertAlign w:val="baseline"/>
        </w:rPr>
        <w:t>,</w:t>
      </w:r>
      <w:r>
        <w:rPr>
          <w:color w:val="231F20"/>
          <w:spacing w:val="-5"/>
          <w:w w:val="105"/>
          <w:vertAlign w:val="baseline"/>
        </w:rPr>
        <w:t> </w:t>
      </w:r>
      <w:r>
        <w:rPr>
          <w:color w:val="231F20"/>
          <w:w w:val="105"/>
          <w:vertAlign w:val="baseline"/>
        </w:rPr>
        <w:t>also</w:t>
      </w:r>
      <w:r>
        <w:rPr>
          <w:color w:val="231F20"/>
          <w:spacing w:val="-4"/>
          <w:w w:val="105"/>
          <w:vertAlign w:val="baseline"/>
        </w:rPr>
        <w:t> </w:t>
      </w:r>
      <w:r>
        <w:rPr>
          <w:color w:val="231F20"/>
          <w:w w:val="105"/>
          <w:vertAlign w:val="baseline"/>
        </w:rPr>
        <w:t>helping</w:t>
      </w:r>
      <w:r>
        <w:rPr>
          <w:color w:val="231F20"/>
          <w:spacing w:val="-4"/>
          <w:w w:val="105"/>
          <w:vertAlign w:val="baseline"/>
        </w:rPr>
        <w:t> </w:t>
      </w:r>
      <w:r>
        <w:rPr>
          <w:color w:val="231F20"/>
          <w:w w:val="105"/>
          <w:vertAlign w:val="baseline"/>
        </w:rPr>
        <w:t>to</w:t>
      </w:r>
      <w:r>
        <w:rPr>
          <w:color w:val="231F20"/>
          <w:spacing w:val="-5"/>
          <w:w w:val="105"/>
          <w:vertAlign w:val="baseline"/>
        </w:rPr>
        <w:t> </w:t>
      </w:r>
      <w:r>
        <w:rPr>
          <w:color w:val="231F20"/>
          <w:w w:val="105"/>
          <w:vertAlign w:val="baseline"/>
        </w:rPr>
        <w:t>correct the</w:t>
      </w:r>
      <w:r>
        <w:rPr>
          <w:color w:val="231F20"/>
          <w:spacing w:val="3"/>
          <w:w w:val="105"/>
          <w:vertAlign w:val="baseline"/>
        </w:rPr>
        <w:t> </w:t>
      </w:r>
      <w:r>
        <w:rPr>
          <w:color w:val="231F20"/>
          <w:w w:val="105"/>
          <w:vertAlign w:val="baseline"/>
        </w:rPr>
        <w:t>acidosis.</w:t>
      </w:r>
    </w:p>
    <w:p>
      <w:pPr>
        <w:pStyle w:val="BodyText"/>
        <w:spacing w:line="249" w:lineRule="auto" w:before="5"/>
        <w:ind w:left="1079" w:firstLine="240"/>
        <w:jc w:val="both"/>
        <w:rPr>
          <w:i/>
        </w:rPr>
      </w:pPr>
      <w:hyperlink w:history="true" w:anchor="_bookmark112">
        <w:r>
          <w:rPr>
            <w:b/>
            <w:color w:val="0080AC"/>
            <w:spacing w:val="-4"/>
            <w:w w:val="105"/>
          </w:rPr>
          <w:t>Table </w:t>
        </w:r>
        <w:r>
          <w:rPr>
            <w:b/>
            <w:color w:val="0080AC"/>
            <w:w w:val="105"/>
          </w:rPr>
          <w:t>31-3 </w:t>
        </w:r>
      </w:hyperlink>
      <w:r>
        <w:rPr>
          <w:color w:val="231F20"/>
          <w:w w:val="105"/>
        </w:rPr>
        <w:t>summarizes the characteristics</w:t>
      </w:r>
      <w:r>
        <w:rPr>
          <w:color w:val="231F20"/>
          <w:spacing w:val="-29"/>
          <w:w w:val="105"/>
        </w:rPr>
        <w:t> </w:t>
      </w:r>
      <w:r>
        <w:rPr>
          <w:color w:val="231F20"/>
          <w:w w:val="105"/>
        </w:rPr>
        <w:t>associated with</w:t>
      </w:r>
      <w:r>
        <w:rPr>
          <w:color w:val="231F20"/>
          <w:spacing w:val="-28"/>
          <w:w w:val="105"/>
        </w:rPr>
        <w:t> </w:t>
      </w:r>
      <w:r>
        <w:rPr>
          <w:color w:val="231F20"/>
          <w:w w:val="105"/>
        </w:rPr>
        <w:t>respiratory</w:t>
      </w:r>
      <w:r>
        <w:rPr>
          <w:color w:val="231F20"/>
          <w:spacing w:val="-28"/>
          <w:w w:val="105"/>
        </w:rPr>
        <w:t> </w:t>
      </w:r>
      <w:r>
        <w:rPr>
          <w:color w:val="231F20"/>
          <w:w w:val="105"/>
        </w:rPr>
        <w:t>and</w:t>
      </w:r>
      <w:r>
        <w:rPr>
          <w:color w:val="231F20"/>
          <w:spacing w:val="-28"/>
          <w:w w:val="105"/>
        </w:rPr>
        <w:t> </w:t>
      </w:r>
      <w:r>
        <w:rPr>
          <w:color w:val="231F20"/>
          <w:w w:val="105"/>
        </w:rPr>
        <w:t>metabolic</w:t>
      </w:r>
      <w:r>
        <w:rPr>
          <w:color w:val="231F20"/>
          <w:spacing w:val="-28"/>
          <w:w w:val="105"/>
        </w:rPr>
        <w:t> </w:t>
      </w:r>
      <w:r>
        <w:rPr>
          <w:color w:val="231F20"/>
          <w:w w:val="105"/>
        </w:rPr>
        <w:t>acidosis,</w:t>
      </w:r>
      <w:r>
        <w:rPr>
          <w:color w:val="231F20"/>
          <w:spacing w:val="-28"/>
          <w:w w:val="105"/>
        </w:rPr>
        <w:t> </w:t>
      </w:r>
      <w:r>
        <w:rPr>
          <w:color w:val="231F20"/>
          <w:w w:val="105"/>
        </w:rPr>
        <w:t>as</w:t>
      </w:r>
      <w:r>
        <w:rPr>
          <w:color w:val="231F20"/>
          <w:spacing w:val="-28"/>
          <w:w w:val="105"/>
        </w:rPr>
        <w:t> </w:t>
      </w:r>
      <w:r>
        <w:rPr>
          <w:color w:val="231F20"/>
          <w:w w:val="105"/>
        </w:rPr>
        <w:t>well</w:t>
      </w:r>
      <w:r>
        <w:rPr>
          <w:color w:val="231F20"/>
          <w:spacing w:val="-28"/>
          <w:w w:val="105"/>
        </w:rPr>
        <w:t> </w:t>
      </w:r>
      <w:r>
        <w:rPr>
          <w:color w:val="231F20"/>
          <w:w w:val="105"/>
        </w:rPr>
        <w:t>as</w:t>
      </w:r>
      <w:r>
        <w:rPr>
          <w:color w:val="231F20"/>
          <w:spacing w:val="-28"/>
          <w:w w:val="105"/>
        </w:rPr>
        <w:t> </w:t>
      </w:r>
      <w:r>
        <w:rPr>
          <w:color w:val="231F20"/>
          <w:spacing w:val="-3"/>
          <w:w w:val="105"/>
        </w:rPr>
        <w:t>respira- </w:t>
      </w:r>
      <w:r>
        <w:rPr>
          <w:color w:val="231F20"/>
          <w:w w:val="105"/>
        </w:rPr>
        <w:t>tory and metabolic alkalosis, which are discussed in the next section. Note that in </w:t>
      </w:r>
      <w:r>
        <w:rPr>
          <w:i/>
          <w:color w:val="231F20"/>
          <w:w w:val="105"/>
        </w:rPr>
        <w:t>respiratory acidosis, </w:t>
      </w:r>
      <w:r>
        <w:rPr>
          <w:color w:val="231F20"/>
          <w:w w:val="105"/>
        </w:rPr>
        <w:t>there is</w:t>
      </w:r>
      <w:r>
        <w:rPr>
          <w:color w:val="231F20"/>
          <w:spacing w:val="-34"/>
          <w:w w:val="105"/>
        </w:rPr>
        <w:t> </w:t>
      </w:r>
      <w:r>
        <w:rPr>
          <w:color w:val="231F20"/>
          <w:w w:val="105"/>
        </w:rPr>
        <w:t>a reduction</w:t>
      </w:r>
      <w:r>
        <w:rPr>
          <w:color w:val="231F20"/>
          <w:spacing w:val="-18"/>
          <w:w w:val="105"/>
        </w:rPr>
        <w:t> </w:t>
      </w:r>
      <w:r>
        <w:rPr>
          <w:color w:val="231F20"/>
          <w:w w:val="105"/>
        </w:rPr>
        <w:t>in</w:t>
      </w:r>
      <w:r>
        <w:rPr>
          <w:color w:val="231F20"/>
          <w:spacing w:val="-17"/>
          <w:w w:val="105"/>
        </w:rPr>
        <w:t> </w:t>
      </w:r>
      <w:r>
        <w:rPr>
          <w:color w:val="231F20"/>
          <w:w w:val="105"/>
        </w:rPr>
        <w:t>pH,</w:t>
      </w:r>
      <w:r>
        <w:rPr>
          <w:color w:val="231F20"/>
          <w:spacing w:val="-17"/>
          <w:w w:val="105"/>
        </w:rPr>
        <w:t> </w:t>
      </w:r>
      <w:r>
        <w:rPr>
          <w:color w:val="231F20"/>
          <w:w w:val="105"/>
        </w:rPr>
        <w:t>an</w:t>
      </w:r>
      <w:r>
        <w:rPr>
          <w:color w:val="231F20"/>
          <w:spacing w:val="-17"/>
          <w:w w:val="105"/>
        </w:rPr>
        <w:t> </w:t>
      </w:r>
      <w:r>
        <w:rPr>
          <w:color w:val="231F20"/>
          <w:w w:val="105"/>
        </w:rPr>
        <w:t>increase</w:t>
      </w:r>
      <w:r>
        <w:rPr>
          <w:color w:val="231F20"/>
          <w:spacing w:val="-17"/>
          <w:w w:val="105"/>
        </w:rPr>
        <w:t> </w:t>
      </w:r>
      <w:r>
        <w:rPr>
          <w:color w:val="231F20"/>
          <w:w w:val="105"/>
        </w:rPr>
        <w:t>in</w:t>
      </w:r>
      <w:r>
        <w:rPr>
          <w:color w:val="231F20"/>
          <w:spacing w:val="-17"/>
          <w:w w:val="105"/>
        </w:rPr>
        <w:t> </w:t>
      </w:r>
      <w:r>
        <w:rPr>
          <w:color w:val="231F20"/>
          <w:w w:val="105"/>
        </w:rPr>
        <w:t>extracellular</w:t>
      </w:r>
      <w:r>
        <w:rPr>
          <w:color w:val="231F20"/>
          <w:spacing w:val="-17"/>
          <w:w w:val="105"/>
        </w:rPr>
        <w:t> </w:t>
      </w:r>
      <w:r>
        <w:rPr>
          <w:color w:val="231F20"/>
          <w:w w:val="105"/>
        </w:rPr>
        <w:t>fluid</w:t>
      </w:r>
      <w:r>
        <w:rPr>
          <w:color w:val="231F20"/>
          <w:spacing w:val="-17"/>
          <w:w w:val="105"/>
        </w:rPr>
        <w:t> </w:t>
      </w:r>
      <w:r>
        <w:rPr>
          <w:color w:val="231F20"/>
          <w:w w:val="105"/>
        </w:rPr>
        <w:t>H</w:t>
      </w:r>
      <w:r>
        <w:rPr>
          <w:rFonts w:ascii="Consolas"/>
          <w:color w:val="231F20"/>
          <w:w w:val="105"/>
          <w:position w:val="8"/>
          <w:sz w:val="12"/>
        </w:rPr>
        <w:t>+</w:t>
      </w:r>
      <w:r>
        <w:rPr>
          <w:rFonts w:ascii="Consolas"/>
          <w:color w:val="231F20"/>
          <w:spacing w:val="-34"/>
          <w:w w:val="105"/>
          <w:position w:val="8"/>
          <w:sz w:val="12"/>
        </w:rPr>
        <w:t> </w:t>
      </w:r>
      <w:r>
        <w:rPr>
          <w:color w:val="231F20"/>
          <w:w w:val="105"/>
        </w:rPr>
        <w:t>con- centration, and an increase in P</w:t>
      </w:r>
      <w:r>
        <w:rPr>
          <w:color w:val="231F20"/>
          <w:w w:val="105"/>
          <w:sz w:val="16"/>
        </w:rPr>
        <w:t>CO</w:t>
      </w:r>
      <w:r>
        <w:rPr>
          <w:color w:val="231F20"/>
          <w:w w:val="105"/>
          <w:sz w:val="16"/>
          <w:vertAlign w:val="subscript"/>
        </w:rPr>
        <w:t>2</w:t>
      </w:r>
      <w:r>
        <w:rPr>
          <w:color w:val="231F20"/>
          <w:w w:val="105"/>
          <w:vertAlign w:val="baseline"/>
        </w:rPr>
        <w:t>, which is the initial cause of the acidosis. </w:t>
      </w:r>
      <w:r>
        <w:rPr>
          <w:i/>
          <w:color w:val="231F20"/>
          <w:w w:val="105"/>
          <w:vertAlign w:val="baseline"/>
        </w:rPr>
        <w:t>The compensatory response is</w:t>
      </w:r>
      <w:r>
        <w:rPr>
          <w:i/>
          <w:color w:val="231F20"/>
          <w:spacing w:val="46"/>
          <w:w w:val="105"/>
          <w:vertAlign w:val="baseline"/>
        </w:rPr>
        <w:t> </w:t>
      </w:r>
      <w:r>
        <w:rPr>
          <w:i/>
          <w:color w:val="231F20"/>
          <w:spacing w:val="-8"/>
          <w:w w:val="105"/>
          <w:vertAlign w:val="baseline"/>
        </w:rPr>
        <w:t>an</w:t>
      </w:r>
    </w:p>
    <w:p>
      <w:pPr>
        <w:spacing w:line="247" w:lineRule="auto" w:before="11"/>
        <w:ind w:left="319" w:right="1437" w:firstLine="0"/>
        <w:jc w:val="both"/>
        <w:rPr>
          <w:i/>
          <w:sz w:val="20"/>
        </w:rPr>
      </w:pPr>
      <w:r>
        <w:rPr/>
        <w:br w:type="column"/>
      </w:r>
      <w:r>
        <w:rPr>
          <w:color w:val="231F20"/>
          <w:sz w:val="20"/>
        </w:rPr>
        <w:t>Consequently, there is not enough H</w:t>
      </w:r>
      <w:r>
        <w:rPr>
          <w:rFonts w:ascii="Consolas" w:hAnsi="Consolas"/>
          <w:color w:val="231F20"/>
          <w:position w:val="8"/>
          <w:sz w:val="12"/>
        </w:rPr>
        <w:t>+ </w:t>
      </w:r>
      <w:r>
        <w:rPr>
          <w:color w:val="231F20"/>
          <w:sz w:val="20"/>
        </w:rPr>
        <w:t>in the renal </w:t>
      </w:r>
      <w:r>
        <w:rPr>
          <w:color w:val="231F20"/>
          <w:spacing w:val="-3"/>
          <w:sz w:val="20"/>
        </w:rPr>
        <w:t>tubular </w:t>
      </w:r>
      <w:r>
        <w:rPr>
          <w:color w:val="231F20"/>
          <w:sz w:val="20"/>
        </w:rPr>
        <w:t>fluid to react with all the HCO </w:t>
      </w:r>
      <w:r>
        <w:rPr>
          <w:rFonts w:ascii="Consolas" w:hAnsi="Consolas"/>
          <w:color w:val="231F20"/>
          <w:position w:val="8"/>
          <w:sz w:val="12"/>
        </w:rPr>
        <w:t>− </w:t>
      </w:r>
      <w:r>
        <w:rPr>
          <w:color w:val="231F20"/>
          <w:sz w:val="20"/>
        </w:rPr>
        <w:t>that is filtered. Therefore, the HCO </w:t>
      </w:r>
      <w:r>
        <w:rPr>
          <w:rFonts w:ascii="Consolas" w:hAnsi="Consolas"/>
          <w:color w:val="231F20"/>
          <w:position w:val="8"/>
          <w:sz w:val="12"/>
        </w:rPr>
        <w:t>− </w:t>
      </w:r>
      <w:r>
        <w:rPr>
          <w:color w:val="231F20"/>
          <w:sz w:val="20"/>
        </w:rPr>
        <w:t>that cannot react with H</w:t>
      </w:r>
      <w:r>
        <w:rPr>
          <w:rFonts w:ascii="Consolas" w:hAnsi="Consolas"/>
          <w:color w:val="231F20"/>
          <w:position w:val="8"/>
          <w:sz w:val="12"/>
        </w:rPr>
        <w:t>+ </w:t>
      </w:r>
      <w:r>
        <w:rPr>
          <w:color w:val="231F20"/>
          <w:sz w:val="20"/>
        </w:rPr>
        <w:t>is not  reabsorbed and is excreted in the urine. This results in</w:t>
      </w:r>
      <w:r>
        <w:rPr>
          <w:color w:val="231F20"/>
          <w:spacing w:val="33"/>
          <w:sz w:val="20"/>
        </w:rPr>
        <w:t> </w:t>
      </w:r>
      <w:r>
        <w:rPr>
          <w:color w:val="231F20"/>
          <w:sz w:val="20"/>
        </w:rPr>
        <w:t>decreased plasma HCO </w:t>
      </w:r>
      <w:r>
        <w:rPr>
          <w:rFonts w:ascii="Consolas" w:hAnsi="Consolas"/>
          <w:color w:val="231F20"/>
          <w:position w:val="8"/>
          <w:sz w:val="12"/>
        </w:rPr>
        <w:t>− </w:t>
      </w:r>
      <w:r>
        <w:rPr>
          <w:color w:val="231F20"/>
          <w:sz w:val="20"/>
        </w:rPr>
        <w:t>concentration and correction of the alka- losis. </w:t>
      </w:r>
      <w:r>
        <w:rPr>
          <w:i/>
          <w:color w:val="231F20"/>
          <w:sz w:val="20"/>
        </w:rPr>
        <w:t>Therefore, the compensatory response to a primary </w:t>
      </w:r>
      <w:r>
        <w:rPr>
          <w:i/>
          <w:color w:val="231F20"/>
          <w:sz w:val="20"/>
        </w:rPr>
        <w:t>reduction in P</w:t>
      </w:r>
      <w:r>
        <w:rPr>
          <w:i/>
          <w:color w:val="231F20"/>
          <w:sz w:val="16"/>
        </w:rPr>
        <w:t>CO</w:t>
      </w:r>
      <w:r>
        <w:rPr>
          <w:i/>
          <w:color w:val="231F20"/>
          <w:sz w:val="16"/>
          <w:vertAlign w:val="subscript"/>
        </w:rPr>
        <w:t>2</w:t>
      </w:r>
      <w:r>
        <w:rPr>
          <w:i/>
          <w:color w:val="231F20"/>
          <w:sz w:val="16"/>
          <w:vertAlign w:val="baseline"/>
        </w:rPr>
        <w:t> </w:t>
      </w:r>
      <w:r>
        <w:rPr>
          <w:i/>
          <w:color w:val="231F20"/>
          <w:sz w:val="20"/>
          <w:vertAlign w:val="baseline"/>
        </w:rPr>
        <w:t>in respiratory alkalosis is a reduction</w:t>
      </w:r>
      <w:r>
        <w:rPr>
          <w:i/>
          <w:color w:val="231F20"/>
          <w:spacing w:val="-27"/>
          <w:sz w:val="20"/>
          <w:vertAlign w:val="baseline"/>
        </w:rPr>
        <w:t> </w:t>
      </w:r>
      <w:r>
        <w:rPr>
          <w:i/>
          <w:color w:val="231F20"/>
          <w:sz w:val="20"/>
          <w:vertAlign w:val="baseline"/>
        </w:rPr>
        <w:t>in plasma HCO </w:t>
      </w:r>
      <w:r>
        <w:rPr>
          <w:rFonts w:ascii="Consolas" w:hAnsi="Consolas"/>
          <w:i/>
          <w:color w:val="231F20"/>
          <w:position w:val="8"/>
          <w:sz w:val="12"/>
          <w:vertAlign w:val="baseline"/>
        </w:rPr>
        <w:t>− </w:t>
      </w:r>
      <w:r>
        <w:rPr>
          <w:i/>
          <w:color w:val="231F20"/>
          <w:sz w:val="20"/>
          <w:vertAlign w:val="baseline"/>
        </w:rPr>
        <w:t>concentration, caused by increased </w:t>
      </w:r>
      <w:r>
        <w:rPr>
          <w:i/>
          <w:color w:val="231F20"/>
          <w:spacing w:val="-4"/>
          <w:sz w:val="20"/>
          <w:vertAlign w:val="baseline"/>
        </w:rPr>
        <w:t>renal </w:t>
      </w:r>
      <w:r>
        <w:rPr>
          <w:i/>
          <w:color w:val="231F20"/>
          <w:sz w:val="20"/>
          <w:vertAlign w:val="baseline"/>
        </w:rPr>
        <w:t>excretion of HCO</w:t>
      </w:r>
      <w:r>
        <w:rPr>
          <w:i/>
          <w:color w:val="231F20"/>
          <w:spacing w:val="20"/>
          <w:sz w:val="20"/>
          <w:vertAlign w:val="baseline"/>
        </w:rPr>
        <w:t> </w:t>
      </w:r>
      <w:r>
        <w:rPr>
          <w:rFonts w:ascii="Consolas" w:hAnsi="Consolas"/>
          <w:i/>
          <w:color w:val="231F20"/>
          <w:position w:val="8"/>
          <w:sz w:val="12"/>
          <w:vertAlign w:val="baseline"/>
        </w:rPr>
        <w:t>−</w:t>
      </w:r>
      <w:r>
        <w:rPr>
          <w:i/>
          <w:color w:val="231F20"/>
          <w:sz w:val="20"/>
          <w:vertAlign w:val="baseline"/>
        </w:rPr>
        <w:t>.</w:t>
      </w:r>
    </w:p>
    <w:p>
      <w:pPr>
        <w:spacing w:line="249" w:lineRule="auto" w:before="9"/>
        <w:ind w:left="319" w:right="1437" w:firstLine="240"/>
        <w:jc w:val="both"/>
        <w:rPr>
          <w:sz w:val="20"/>
        </w:rPr>
      </w:pPr>
      <w:r>
        <w:rPr/>
        <w:pict>
          <v:shape style="position:absolute;margin-left:429.408295pt;margin-top:-90.288071pt;width:3pt;height:8.7pt;mso-position-horizontal-relative:page;mso-position-vertical-relative:paragraph;z-index:-27230822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45.056488pt;margin-top:-78.288071pt;width:3pt;height:8.7pt;mso-position-horizontal-relative:page;mso-position-vertical-relative:paragraph;z-index:-27230720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60.298615pt;margin-top:-54.288067pt;width:3pt;height:8.7pt;mso-position-horizontal-relative:page;mso-position-vertical-relative:paragraph;z-index:-272306176"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361.225311pt;margin-top:-18.288069pt;width:3pt;height:8.7pt;mso-position-horizontal-relative:page;mso-position-vertical-relative:paragraph;z-index:-272305152"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377.446503pt;margin-top:-6.288069pt;width:3pt;height:8.7pt;mso-position-horizontal-relative:page;mso-position-vertical-relative:paragraph;z-index:-272304128"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327.429688pt;margin-top:41.711933pt;width:3pt;height:8.7pt;mso-position-horizontal-relative:page;mso-position-vertical-relative:paragraph;z-index:-272303104"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color w:val="231F20"/>
          <w:sz w:val="20"/>
        </w:rPr>
        <w:t>In </w:t>
      </w:r>
      <w:r>
        <w:rPr>
          <w:i/>
          <w:color w:val="231F20"/>
          <w:sz w:val="20"/>
        </w:rPr>
        <w:t>metabolic alkalosis, </w:t>
      </w:r>
      <w:r>
        <w:rPr>
          <w:color w:val="231F20"/>
          <w:sz w:val="20"/>
        </w:rPr>
        <w:t>there is also decreased plasma H</w:t>
      </w:r>
      <w:r>
        <w:rPr>
          <w:rFonts w:ascii="Consolas" w:hAnsi="Consolas"/>
          <w:color w:val="231F20"/>
          <w:position w:val="8"/>
          <w:sz w:val="12"/>
        </w:rPr>
        <w:t>+ </w:t>
      </w:r>
      <w:r>
        <w:rPr>
          <w:color w:val="231F20"/>
          <w:sz w:val="20"/>
        </w:rPr>
        <w:t>concentration and increased pH. </w:t>
      </w:r>
      <w:r>
        <w:rPr>
          <w:i/>
          <w:color w:val="231F20"/>
          <w:sz w:val="20"/>
        </w:rPr>
        <w:t>The cause of meta- </w:t>
      </w:r>
      <w:r>
        <w:rPr>
          <w:i/>
          <w:color w:val="231F20"/>
          <w:sz w:val="20"/>
        </w:rPr>
        <w:t>bolic alkalosis, however, is a rise in the extracellular fluid HCO </w:t>
      </w:r>
      <w:r>
        <w:rPr>
          <w:rFonts w:ascii="Consolas" w:hAnsi="Consolas"/>
          <w:i/>
          <w:color w:val="231F20"/>
          <w:position w:val="8"/>
          <w:sz w:val="12"/>
        </w:rPr>
        <w:t>− </w:t>
      </w:r>
      <w:r>
        <w:rPr>
          <w:i/>
          <w:color w:val="231F20"/>
          <w:sz w:val="20"/>
        </w:rPr>
        <w:t>concentration. </w:t>
      </w:r>
      <w:r>
        <w:rPr>
          <w:color w:val="231F20"/>
          <w:sz w:val="20"/>
        </w:rPr>
        <w:t>This rise is partly compensated for by a reduction in the respiration rate, which increases</w:t>
      </w:r>
    </w:p>
    <w:p>
      <w:pPr>
        <w:spacing w:after="0" w:line="249" w:lineRule="auto"/>
        <w:jc w:val="both"/>
        <w:rPr>
          <w:sz w:val="20"/>
        </w:rPr>
        <w:sectPr>
          <w:type w:val="continuous"/>
          <w:pgSz w:w="12240" w:h="15660"/>
          <w:pgMar w:top="0" w:bottom="760" w:left="0" w:right="0"/>
          <w:cols w:num="2" w:equalWidth="0">
            <w:col w:w="5761" w:space="40"/>
            <w:col w:w="6439"/>
          </w:cols>
        </w:sectPr>
      </w:pPr>
    </w:p>
    <w:p>
      <w:pPr>
        <w:spacing w:line="223" w:lineRule="exact" w:before="0"/>
        <w:ind w:left="1080" w:right="0" w:firstLine="0"/>
        <w:jc w:val="left"/>
        <w:rPr>
          <w:i/>
          <w:sz w:val="20"/>
        </w:rPr>
      </w:pPr>
      <w:r>
        <w:rPr/>
        <w:pict>
          <v:shape style="position:absolute;margin-left:154.985001pt;margin-top:5.128381pt;width:3pt;height:8.7pt;mso-position-horizontal-relative:page;mso-position-vertical-relative:paragraph;z-index:-272302080"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i/>
          <w:color w:val="231F20"/>
          <w:sz w:val="20"/>
        </w:rPr>
        <w:t>increase in plasma HCO </w:t>
      </w:r>
      <w:r>
        <w:rPr>
          <w:rFonts w:ascii="Consolas" w:hAnsi="Consolas"/>
          <w:i/>
          <w:color w:val="231F20"/>
          <w:position w:val="8"/>
          <w:sz w:val="12"/>
        </w:rPr>
        <w:t>−</w:t>
      </w:r>
      <w:r>
        <w:rPr>
          <w:i/>
          <w:color w:val="231F20"/>
          <w:sz w:val="20"/>
        </w:rPr>
        <w:t>, caused by the addition of new</w:t>
      </w:r>
    </w:p>
    <w:p>
      <w:pPr>
        <w:pStyle w:val="BodyText"/>
        <w:spacing w:line="223" w:lineRule="exact"/>
        <w:ind w:left="320"/>
      </w:pPr>
      <w:r>
        <w:rPr/>
        <w:br w:type="column"/>
      </w:r>
      <w:r>
        <w:rPr>
          <w:color w:val="231F20"/>
          <w:w w:val="105"/>
        </w:rPr>
        <w:t>P</w:t>
      </w:r>
      <w:r>
        <w:rPr>
          <w:color w:val="231F20"/>
          <w:w w:val="105"/>
          <w:sz w:val="16"/>
        </w:rPr>
        <w:t>CO</w:t>
      </w:r>
      <w:r>
        <w:rPr>
          <w:color w:val="231F20"/>
          <w:w w:val="105"/>
          <w:sz w:val="16"/>
          <w:vertAlign w:val="subscript"/>
        </w:rPr>
        <w:t>2</w:t>
      </w:r>
      <w:r>
        <w:rPr>
          <w:color w:val="231F20"/>
          <w:w w:val="105"/>
          <w:sz w:val="16"/>
          <w:vertAlign w:val="baseline"/>
        </w:rPr>
        <w:t> </w:t>
      </w:r>
      <w:r>
        <w:rPr>
          <w:color w:val="231F20"/>
          <w:w w:val="105"/>
          <w:vertAlign w:val="baseline"/>
        </w:rPr>
        <w:t>and helps return the extracellular fluid pH toward</w:t>
      </w:r>
    </w:p>
    <w:p>
      <w:pPr>
        <w:spacing w:after="0" w:line="223" w:lineRule="exact"/>
        <w:sectPr>
          <w:type w:val="continuous"/>
          <w:pgSz w:w="12240" w:h="15660"/>
          <w:pgMar w:top="0" w:bottom="760" w:left="0" w:right="0"/>
          <w:cols w:num="2" w:equalWidth="0">
            <w:col w:w="5760" w:space="40"/>
            <w:col w:w="6440"/>
          </w:cols>
        </w:sectPr>
      </w:pPr>
    </w:p>
    <w:p>
      <w:pPr>
        <w:spacing w:line="240" w:lineRule="atLeast" w:before="4"/>
        <w:ind w:left="1080" w:right="153" w:hanging="1"/>
        <w:jc w:val="left"/>
        <w:rPr>
          <w:sz w:val="20"/>
        </w:rPr>
      </w:pPr>
      <w:r>
        <w:rPr/>
        <w:pict>
          <v:shape style="position:absolute;margin-left:75.429703pt;margin-top:5.962908pt;width:3pt;height:8.7pt;mso-position-horizontal-relative:page;mso-position-vertical-relative:paragraph;z-index:-272301056"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i/>
          <w:color w:val="231F20"/>
          <w:sz w:val="20"/>
        </w:rPr>
        <w:t>HCO </w:t>
      </w:r>
      <w:r>
        <w:rPr>
          <w:rFonts w:ascii="Consolas" w:hAnsi="Consolas"/>
          <w:i/>
          <w:color w:val="231F20"/>
          <w:position w:val="8"/>
          <w:sz w:val="12"/>
        </w:rPr>
        <w:t>− </w:t>
      </w:r>
      <w:r>
        <w:rPr>
          <w:i/>
          <w:color w:val="231F20"/>
          <w:sz w:val="20"/>
        </w:rPr>
        <w:t>to the extracellular fluid by the kidneys. </w:t>
      </w:r>
      <w:r>
        <w:rPr>
          <w:color w:val="231F20"/>
          <w:sz w:val="20"/>
        </w:rPr>
        <w:t>The rise in</w:t>
      </w:r>
      <w:r>
        <w:rPr>
          <w:color w:val="231F20"/>
          <w:spacing w:val="22"/>
          <w:sz w:val="20"/>
        </w:rPr>
        <w:t> </w:t>
      </w:r>
      <w:r>
        <w:rPr>
          <w:color w:val="231F20"/>
          <w:sz w:val="20"/>
        </w:rPr>
        <w:t>HCO</w:t>
      </w:r>
      <w:r>
        <w:rPr>
          <w:color w:val="231F20"/>
          <w:spacing w:val="14"/>
          <w:sz w:val="20"/>
        </w:rPr>
        <w:t> </w:t>
      </w:r>
      <w:r>
        <w:rPr>
          <w:rFonts w:ascii="Consolas" w:hAnsi="Consolas"/>
          <w:color w:val="231F20"/>
          <w:position w:val="8"/>
          <w:sz w:val="12"/>
        </w:rPr>
        <w:t>−</w:t>
      </w:r>
      <w:r>
        <w:rPr>
          <w:rFonts w:ascii="Consolas" w:hAnsi="Consolas"/>
          <w:color w:val="231F20"/>
          <w:spacing w:val="56"/>
          <w:position w:val="8"/>
          <w:sz w:val="12"/>
        </w:rPr>
        <w:t> </w:t>
      </w:r>
      <w:r>
        <w:rPr>
          <w:color w:val="231F20"/>
          <w:sz w:val="20"/>
        </w:rPr>
        <w:t>helps</w:t>
      </w:r>
      <w:r>
        <w:rPr>
          <w:color w:val="231F20"/>
          <w:spacing w:val="23"/>
          <w:sz w:val="20"/>
        </w:rPr>
        <w:t> </w:t>
      </w:r>
      <w:r>
        <w:rPr>
          <w:color w:val="231F20"/>
          <w:sz w:val="20"/>
        </w:rPr>
        <w:t>offset</w:t>
      </w:r>
      <w:r>
        <w:rPr>
          <w:color w:val="231F20"/>
          <w:spacing w:val="23"/>
          <w:sz w:val="20"/>
        </w:rPr>
        <w:t> </w:t>
      </w:r>
      <w:r>
        <w:rPr>
          <w:color w:val="231F20"/>
          <w:sz w:val="20"/>
        </w:rPr>
        <w:t>the</w:t>
      </w:r>
      <w:r>
        <w:rPr>
          <w:color w:val="231F20"/>
          <w:spacing w:val="22"/>
          <w:sz w:val="20"/>
        </w:rPr>
        <w:t> </w:t>
      </w:r>
      <w:r>
        <w:rPr>
          <w:color w:val="231F20"/>
          <w:sz w:val="20"/>
        </w:rPr>
        <w:t>increase</w:t>
      </w:r>
      <w:r>
        <w:rPr>
          <w:color w:val="231F20"/>
          <w:spacing w:val="23"/>
          <w:sz w:val="20"/>
        </w:rPr>
        <w:t> </w:t>
      </w:r>
      <w:r>
        <w:rPr>
          <w:color w:val="231F20"/>
          <w:sz w:val="20"/>
        </w:rPr>
        <w:t>in</w:t>
      </w:r>
      <w:r>
        <w:rPr>
          <w:color w:val="231F20"/>
          <w:spacing w:val="23"/>
          <w:sz w:val="20"/>
        </w:rPr>
        <w:t> </w:t>
      </w:r>
      <w:r>
        <w:rPr>
          <w:color w:val="231F20"/>
          <w:sz w:val="20"/>
        </w:rPr>
        <w:t>P</w:t>
      </w:r>
      <w:r>
        <w:rPr>
          <w:color w:val="231F20"/>
          <w:sz w:val="16"/>
        </w:rPr>
        <w:t>CO</w:t>
      </w:r>
      <w:r>
        <w:rPr>
          <w:color w:val="231F20"/>
          <w:spacing w:val="24"/>
          <w:sz w:val="16"/>
        </w:rPr>
        <w:t> </w:t>
      </w:r>
      <w:r>
        <w:rPr>
          <w:color w:val="231F20"/>
          <w:sz w:val="20"/>
        </w:rPr>
        <w:t>,</w:t>
      </w:r>
      <w:r>
        <w:rPr>
          <w:color w:val="231F20"/>
          <w:spacing w:val="23"/>
          <w:sz w:val="20"/>
        </w:rPr>
        <w:t> </w:t>
      </w:r>
      <w:r>
        <w:rPr>
          <w:color w:val="231F20"/>
          <w:sz w:val="20"/>
        </w:rPr>
        <w:t>thereby</w:t>
      </w:r>
    </w:p>
    <w:p>
      <w:pPr>
        <w:pStyle w:val="BodyText"/>
        <w:spacing w:line="240" w:lineRule="atLeast" w:before="4"/>
        <w:ind w:left="320" w:right="1437" w:hanging="1"/>
      </w:pPr>
      <w:r>
        <w:rPr/>
        <w:br w:type="column"/>
      </w:r>
      <w:r>
        <w:rPr>
          <w:color w:val="231F20"/>
        </w:rPr>
        <w:t>normal. In addition, increased HCO </w:t>
      </w:r>
      <w:r>
        <w:rPr>
          <w:rFonts w:ascii="Consolas" w:hAnsi="Consolas"/>
          <w:color w:val="231F20"/>
          <w:position w:val="8"/>
          <w:sz w:val="12"/>
        </w:rPr>
        <w:t>− </w:t>
      </w:r>
      <w:r>
        <w:rPr>
          <w:color w:val="231F20"/>
        </w:rPr>
        <w:t>concentration  in the extracellular fluid increases the filtered load of HCO</w:t>
      </w:r>
      <w:r>
        <w:rPr>
          <w:color w:val="231F20"/>
          <w:spacing w:val="-13"/>
        </w:rPr>
        <w:t> </w:t>
      </w:r>
      <w:r>
        <w:rPr>
          <w:rFonts w:ascii="Consolas" w:hAnsi="Consolas"/>
          <w:color w:val="231F20"/>
          <w:position w:val="8"/>
          <w:sz w:val="12"/>
        </w:rPr>
        <w:t>−</w:t>
      </w:r>
      <w:r>
        <w:rPr>
          <w:color w:val="231F20"/>
        </w:rPr>
        <w:t>,</w:t>
      </w:r>
    </w:p>
    <w:p>
      <w:pPr>
        <w:spacing w:after="0" w:line="240" w:lineRule="atLeast"/>
        <w:sectPr>
          <w:type w:val="continuous"/>
          <w:pgSz w:w="12240" w:h="15660"/>
          <w:pgMar w:top="0" w:bottom="760" w:left="0" w:right="0"/>
          <w:cols w:num="2" w:equalWidth="0">
            <w:col w:w="5760" w:space="40"/>
            <w:col w:w="6440"/>
          </w:cols>
        </w:sectPr>
      </w:pPr>
    </w:p>
    <w:p>
      <w:pPr>
        <w:tabs>
          <w:tab w:pos="4929" w:val="left" w:leader="none"/>
        </w:tabs>
        <w:spacing w:line="12" w:lineRule="exact" w:before="0"/>
        <w:ind w:left="1803" w:right="0" w:firstLine="0"/>
        <w:jc w:val="left"/>
        <w:rPr>
          <w:sz w:val="12"/>
        </w:rPr>
      </w:pPr>
      <w:r>
        <w:rPr>
          <w:color w:val="231F20"/>
          <w:sz w:val="12"/>
        </w:rPr>
        <w:t>3</w:t>
        <w:tab/>
      </w:r>
      <w:r>
        <w:rPr>
          <w:color w:val="231F20"/>
          <w:spacing w:val="-20"/>
          <w:sz w:val="12"/>
        </w:rPr>
        <w:t>2</w:t>
      </w:r>
    </w:p>
    <w:p>
      <w:pPr>
        <w:pStyle w:val="BodyText"/>
        <w:spacing w:line="224" w:lineRule="exact"/>
        <w:ind w:left="1079"/>
      </w:pPr>
      <w:r>
        <w:rPr>
          <w:color w:val="231F20"/>
          <w:w w:val="105"/>
        </w:rPr>
        <w:t>returning the plasma pH toward normal.</w:t>
      </w:r>
    </w:p>
    <w:p>
      <w:pPr>
        <w:spacing w:line="10" w:lineRule="exact" w:before="0"/>
        <w:ind w:left="0" w:right="1552" w:firstLine="0"/>
        <w:jc w:val="right"/>
        <w:rPr>
          <w:sz w:val="12"/>
        </w:rPr>
      </w:pPr>
      <w:r>
        <w:rPr/>
        <w:br w:type="column"/>
      </w:r>
      <w:r>
        <w:rPr>
          <w:color w:val="231F20"/>
          <w:w w:val="95"/>
          <w:sz w:val="12"/>
        </w:rPr>
        <w:t>3</w:t>
      </w:r>
    </w:p>
    <w:p>
      <w:pPr>
        <w:pStyle w:val="BodyText"/>
        <w:spacing w:line="226" w:lineRule="exact"/>
        <w:ind w:left="1034" w:right="1392"/>
        <w:jc w:val="center"/>
      </w:pPr>
      <w:r>
        <w:rPr/>
        <w:pict>
          <v:shape style="position:absolute;margin-left:460.588898pt;margin-top:-18.713167pt;width:3pt;height:8.7pt;mso-position-horizontal-relative:page;mso-position-vertical-relative:paragraph;z-index:-27230003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50.571991pt;margin-top:5.286834pt;width:3pt;height:8.7pt;mso-position-horizontal-relative:page;mso-position-vertical-relative:paragraph;z-index:-2722990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73.1492pt;margin-top:17.286833pt;width:3pt;height:8.7pt;mso-position-horizontal-relative:page;mso-position-vertical-relative:paragraph;z-index:-27229491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491.165405pt;margin-top:65.286835pt;width:3pt;height:8.7pt;mso-position-horizontal-relative:page;mso-position-vertical-relative:paragraph;z-index:-272293888"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349.093506pt;margin-top:89.286835pt;width:3pt;height:8.7pt;mso-position-horizontal-relative:page;mso-position-vertical-relative:paragraph;z-index:-272292864"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color w:val="231F20"/>
          <w:w w:val="105"/>
        </w:rPr>
        <w:t>which, in turn, causes excess HCO </w:t>
      </w:r>
      <w:r>
        <w:rPr>
          <w:rFonts w:ascii="Consolas" w:hAnsi="Consolas"/>
          <w:color w:val="231F20"/>
          <w:w w:val="105"/>
          <w:position w:val="8"/>
          <w:sz w:val="12"/>
        </w:rPr>
        <w:t>− </w:t>
      </w:r>
      <w:r>
        <w:rPr>
          <w:color w:val="231F20"/>
          <w:w w:val="105"/>
        </w:rPr>
        <w:t>over H</w:t>
      </w:r>
      <w:r>
        <w:rPr>
          <w:rFonts w:ascii="Consolas" w:hAnsi="Consolas"/>
          <w:color w:val="231F20"/>
          <w:w w:val="105"/>
          <w:position w:val="8"/>
          <w:sz w:val="12"/>
        </w:rPr>
        <w:t>+ </w:t>
      </w:r>
      <w:r>
        <w:rPr>
          <w:color w:val="231F20"/>
          <w:w w:val="105"/>
        </w:rPr>
        <w:t>secreted in</w:t>
      </w:r>
    </w:p>
    <w:p>
      <w:pPr>
        <w:spacing w:after="0" w:line="226" w:lineRule="exact"/>
        <w:jc w:val="center"/>
        <w:sectPr>
          <w:type w:val="continuous"/>
          <w:pgSz w:w="12240" w:h="15660"/>
          <w:pgMar w:top="0" w:bottom="760" w:left="0" w:right="0"/>
          <w:cols w:num="2" w:equalWidth="0">
            <w:col w:w="4989" w:space="51"/>
            <w:col w:w="7200"/>
          </w:cols>
        </w:sectPr>
      </w:pPr>
    </w:p>
    <w:p>
      <w:pPr>
        <w:spacing w:line="247" w:lineRule="auto" w:before="14"/>
        <w:ind w:left="1079" w:right="0" w:firstLine="240"/>
        <w:jc w:val="both"/>
        <w:rPr>
          <w:i/>
          <w:sz w:val="20"/>
        </w:rPr>
      </w:pPr>
      <w:r>
        <w:rPr/>
        <w:pict>
          <v:shape style="position:absolute;margin-left:112.654602pt;margin-top:41.961933pt;width:3pt;height:8.7pt;mso-position-horizontal-relative:page;mso-position-vertical-relative:paragraph;z-index:-27229798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28.087204pt;margin-top:65.961929pt;width:3pt;height:8.7pt;mso-position-horizontal-relative:page;mso-position-vertical-relative:paragraph;z-index:-272296960"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pict>
          <v:shape style="position:absolute;margin-left:98.133202pt;margin-top:89.961929pt;width:3pt;height:8.7pt;mso-position-horizontal-relative:page;mso-position-vertical-relative:paragraph;z-index:-272295936" type="#_x0000_t202" filled="false" stroked="false">
            <v:textbox inset="0,0,0,0">
              <w:txbxContent>
                <w:p>
                  <w:pPr>
                    <w:spacing w:line="137" w:lineRule="exact" w:before="0"/>
                    <w:ind w:left="0" w:right="0" w:firstLine="0"/>
                    <w:jc w:val="left"/>
                    <w:rPr>
                      <w:i/>
                      <w:sz w:val="12"/>
                    </w:rPr>
                  </w:pPr>
                  <w:r>
                    <w:rPr>
                      <w:i/>
                      <w:color w:val="231F20"/>
                      <w:w w:val="99"/>
                      <w:sz w:val="12"/>
                    </w:rPr>
                    <w:t>3</w:t>
                  </w:r>
                </w:p>
              </w:txbxContent>
            </v:textbox>
            <w10:wrap type="none"/>
          </v:shape>
        </w:pict>
      </w:r>
      <w:r>
        <w:rPr>
          <w:color w:val="231F20"/>
          <w:sz w:val="20"/>
        </w:rPr>
        <w:t>In </w:t>
      </w:r>
      <w:r>
        <w:rPr>
          <w:i/>
          <w:color w:val="231F20"/>
          <w:sz w:val="20"/>
        </w:rPr>
        <w:t>metabolic acidosis, </w:t>
      </w:r>
      <w:r>
        <w:rPr>
          <w:color w:val="231F20"/>
          <w:sz w:val="20"/>
        </w:rPr>
        <w:t>there is also a decrease in pH and</w:t>
      </w:r>
      <w:r>
        <w:rPr>
          <w:color w:val="231F20"/>
          <w:spacing w:val="-9"/>
          <w:sz w:val="20"/>
        </w:rPr>
        <w:t> </w:t>
      </w:r>
      <w:r>
        <w:rPr>
          <w:color w:val="231F20"/>
          <w:sz w:val="20"/>
        </w:rPr>
        <w:t>a</w:t>
      </w:r>
      <w:r>
        <w:rPr>
          <w:color w:val="231F20"/>
          <w:spacing w:val="-8"/>
          <w:sz w:val="20"/>
        </w:rPr>
        <w:t> </w:t>
      </w:r>
      <w:r>
        <w:rPr>
          <w:color w:val="231F20"/>
          <w:sz w:val="20"/>
        </w:rPr>
        <w:t>rise</w:t>
      </w:r>
      <w:r>
        <w:rPr>
          <w:color w:val="231F20"/>
          <w:spacing w:val="-8"/>
          <w:sz w:val="20"/>
        </w:rPr>
        <w:t> </w:t>
      </w:r>
      <w:r>
        <w:rPr>
          <w:color w:val="231F20"/>
          <w:sz w:val="20"/>
        </w:rPr>
        <w:t>in</w:t>
      </w:r>
      <w:r>
        <w:rPr>
          <w:color w:val="231F20"/>
          <w:spacing w:val="-8"/>
          <w:sz w:val="20"/>
        </w:rPr>
        <w:t> </w:t>
      </w:r>
      <w:r>
        <w:rPr>
          <w:color w:val="231F20"/>
          <w:sz w:val="20"/>
        </w:rPr>
        <w:t>extracellular</w:t>
      </w:r>
      <w:r>
        <w:rPr>
          <w:color w:val="231F20"/>
          <w:spacing w:val="-8"/>
          <w:sz w:val="20"/>
        </w:rPr>
        <w:t> </w:t>
      </w:r>
      <w:r>
        <w:rPr>
          <w:color w:val="231F20"/>
          <w:sz w:val="20"/>
        </w:rPr>
        <w:t>fluid</w:t>
      </w:r>
      <w:r>
        <w:rPr>
          <w:color w:val="231F20"/>
          <w:spacing w:val="-8"/>
          <w:sz w:val="20"/>
        </w:rPr>
        <w:t> </w:t>
      </w:r>
      <w:r>
        <w:rPr>
          <w:color w:val="231F20"/>
          <w:sz w:val="20"/>
        </w:rPr>
        <w:t>H</w:t>
      </w:r>
      <w:r>
        <w:rPr>
          <w:rFonts w:ascii="Consolas" w:hAnsi="Consolas"/>
          <w:color w:val="231F20"/>
          <w:position w:val="8"/>
          <w:sz w:val="12"/>
        </w:rPr>
        <w:t>+</w:t>
      </w:r>
      <w:r>
        <w:rPr>
          <w:rFonts w:ascii="Consolas" w:hAnsi="Consolas"/>
          <w:color w:val="231F20"/>
          <w:spacing w:val="-24"/>
          <w:position w:val="8"/>
          <w:sz w:val="12"/>
        </w:rPr>
        <w:t> </w:t>
      </w:r>
      <w:r>
        <w:rPr>
          <w:color w:val="231F20"/>
          <w:sz w:val="20"/>
        </w:rPr>
        <w:t>concentration.</w:t>
      </w:r>
      <w:r>
        <w:rPr>
          <w:color w:val="231F20"/>
          <w:spacing w:val="-8"/>
          <w:sz w:val="20"/>
        </w:rPr>
        <w:t> </w:t>
      </w:r>
      <w:r>
        <w:rPr>
          <w:color w:val="231F20"/>
          <w:sz w:val="20"/>
        </w:rPr>
        <w:t>However, in this case, the primary abnormality is a decrease </w:t>
      </w:r>
      <w:r>
        <w:rPr>
          <w:color w:val="231F20"/>
          <w:spacing w:val="-7"/>
          <w:sz w:val="20"/>
        </w:rPr>
        <w:t>in </w:t>
      </w:r>
      <w:r>
        <w:rPr>
          <w:color w:val="231F20"/>
          <w:sz w:val="20"/>
        </w:rPr>
        <w:t>plasma HCO </w:t>
      </w:r>
      <w:r>
        <w:rPr>
          <w:rFonts w:ascii="Consolas" w:hAnsi="Consolas"/>
          <w:color w:val="231F20"/>
          <w:position w:val="8"/>
          <w:sz w:val="12"/>
        </w:rPr>
        <w:t>−</w:t>
      </w:r>
      <w:r>
        <w:rPr>
          <w:color w:val="231F20"/>
          <w:sz w:val="20"/>
        </w:rPr>
        <w:t>. </w:t>
      </w:r>
      <w:r>
        <w:rPr>
          <w:i/>
          <w:color w:val="231F20"/>
          <w:sz w:val="20"/>
        </w:rPr>
        <w:t>The primary compensations </w:t>
      </w:r>
      <w:r>
        <w:rPr>
          <w:i/>
          <w:color w:val="231F20"/>
          <w:spacing w:val="-3"/>
          <w:sz w:val="20"/>
        </w:rPr>
        <w:t>include </w:t>
      </w:r>
      <w:r>
        <w:rPr>
          <w:i/>
          <w:color w:val="231F20"/>
          <w:sz w:val="20"/>
        </w:rPr>
        <w:t>increased ventilation rate, which reduces P</w:t>
      </w:r>
      <w:r>
        <w:rPr>
          <w:i/>
          <w:color w:val="231F20"/>
          <w:sz w:val="16"/>
        </w:rPr>
        <w:t>CO</w:t>
      </w:r>
      <w:r>
        <w:rPr>
          <w:i/>
          <w:color w:val="231F20"/>
          <w:sz w:val="16"/>
          <w:vertAlign w:val="subscript"/>
        </w:rPr>
        <w:t>2</w:t>
      </w:r>
      <w:r>
        <w:rPr>
          <w:i/>
          <w:color w:val="231F20"/>
          <w:sz w:val="20"/>
          <w:vertAlign w:val="baseline"/>
        </w:rPr>
        <w:t>, and renal compensation, which, by adding new HCO </w:t>
      </w:r>
      <w:r>
        <w:rPr>
          <w:rFonts w:ascii="Consolas" w:hAnsi="Consolas"/>
          <w:i/>
          <w:color w:val="231F20"/>
          <w:position w:val="8"/>
          <w:sz w:val="12"/>
          <w:vertAlign w:val="baseline"/>
        </w:rPr>
        <w:t>− </w:t>
      </w:r>
      <w:r>
        <w:rPr>
          <w:i/>
          <w:color w:val="231F20"/>
          <w:sz w:val="20"/>
          <w:vertAlign w:val="baseline"/>
        </w:rPr>
        <w:t>to the </w:t>
      </w:r>
      <w:r>
        <w:rPr>
          <w:i/>
          <w:color w:val="231F20"/>
          <w:spacing w:val="-3"/>
          <w:sz w:val="20"/>
          <w:vertAlign w:val="baseline"/>
        </w:rPr>
        <w:t>extra- </w:t>
      </w:r>
      <w:r>
        <w:rPr>
          <w:i/>
          <w:color w:val="231F20"/>
          <w:sz w:val="20"/>
          <w:vertAlign w:val="baseline"/>
        </w:rPr>
        <w:t>cellular fluid, helps minimize the initial fall in extracel- lular HCO </w:t>
      </w:r>
      <w:r>
        <w:rPr>
          <w:rFonts w:ascii="Consolas" w:hAnsi="Consolas"/>
          <w:i/>
          <w:color w:val="231F20"/>
          <w:position w:val="8"/>
          <w:sz w:val="12"/>
          <w:vertAlign w:val="baseline"/>
        </w:rPr>
        <w:t>−</w:t>
      </w:r>
      <w:r>
        <w:rPr>
          <w:rFonts w:ascii="Consolas" w:hAnsi="Consolas"/>
          <w:i/>
          <w:color w:val="231F20"/>
          <w:spacing w:val="6"/>
          <w:position w:val="8"/>
          <w:sz w:val="12"/>
          <w:vertAlign w:val="baseline"/>
        </w:rPr>
        <w:t> </w:t>
      </w:r>
      <w:r>
        <w:rPr>
          <w:i/>
          <w:color w:val="231F20"/>
          <w:sz w:val="20"/>
          <w:vertAlign w:val="baseline"/>
        </w:rPr>
        <w:t>concentration.</w:t>
      </w:r>
    </w:p>
    <w:p>
      <w:pPr>
        <w:spacing w:line="249" w:lineRule="auto" w:before="11"/>
        <w:ind w:left="319" w:right="1437" w:firstLine="0"/>
        <w:jc w:val="both"/>
        <w:rPr>
          <w:i/>
          <w:sz w:val="20"/>
        </w:rPr>
      </w:pPr>
      <w:r>
        <w:rPr/>
        <w:br w:type="column"/>
      </w:r>
      <w:r>
        <w:rPr>
          <w:color w:val="231F20"/>
          <w:sz w:val="20"/>
        </w:rPr>
        <w:t>the renal tubular fluid. The excess HCO </w:t>
      </w:r>
      <w:r>
        <w:rPr>
          <w:rFonts w:ascii="Consolas" w:hAnsi="Consolas"/>
          <w:color w:val="231F20"/>
          <w:position w:val="8"/>
          <w:sz w:val="12"/>
        </w:rPr>
        <w:t>− </w:t>
      </w:r>
      <w:r>
        <w:rPr>
          <w:color w:val="231F20"/>
          <w:sz w:val="20"/>
        </w:rPr>
        <w:t>in the tubular fluid fails to be reabsorbed because there is no H</w:t>
      </w:r>
      <w:r>
        <w:rPr>
          <w:rFonts w:ascii="Consolas" w:hAnsi="Consolas"/>
          <w:color w:val="231F20"/>
          <w:position w:val="8"/>
          <w:sz w:val="12"/>
        </w:rPr>
        <w:t>+ </w:t>
      </w:r>
      <w:r>
        <w:rPr>
          <w:color w:val="231F20"/>
          <w:sz w:val="20"/>
        </w:rPr>
        <w:t>to react with, and it is excreted in the urine. </w:t>
      </w:r>
      <w:r>
        <w:rPr>
          <w:i/>
          <w:color w:val="231F20"/>
          <w:sz w:val="20"/>
        </w:rPr>
        <w:t>In metabolic</w:t>
      </w:r>
      <w:r>
        <w:rPr>
          <w:i/>
          <w:color w:val="231F20"/>
          <w:spacing w:val="-25"/>
          <w:sz w:val="20"/>
        </w:rPr>
        <w:t> </w:t>
      </w:r>
      <w:r>
        <w:rPr>
          <w:i/>
          <w:color w:val="231F20"/>
          <w:sz w:val="20"/>
        </w:rPr>
        <w:t>alkalosis, </w:t>
      </w:r>
      <w:r>
        <w:rPr>
          <w:i/>
          <w:color w:val="231F20"/>
          <w:sz w:val="20"/>
        </w:rPr>
        <w:t>the primary compensations are decreased ventilation, which raises P</w:t>
      </w:r>
      <w:r>
        <w:rPr>
          <w:i/>
          <w:color w:val="231F20"/>
          <w:sz w:val="16"/>
        </w:rPr>
        <w:t>CO</w:t>
      </w:r>
      <w:r>
        <w:rPr>
          <w:i/>
          <w:color w:val="231F20"/>
          <w:sz w:val="16"/>
          <w:vertAlign w:val="subscript"/>
        </w:rPr>
        <w:t>2</w:t>
      </w:r>
      <w:r>
        <w:rPr>
          <w:i/>
          <w:color w:val="231F20"/>
          <w:sz w:val="20"/>
          <w:vertAlign w:val="baseline"/>
        </w:rPr>
        <w:t>, and increased renal HCO </w:t>
      </w:r>
      <w:r>
        <w:rPr>
          <w:rFonts w:ascii="Consolas" w:hAnsi="Consolas"/>
          <w:i/>
          <w:color w:val="231F20"/>
          <w:position w:val="8"/>
          <w:sz w:val="12"/>
          <w:vertAlign w:val="baseline"/>
        </w:rPr>
        <w:t>− </w:t>
      </w:r>
      <w:r>
        <w:rPr>
          <w:i/>
          <w:color w:val="231F20"/>
          <w:sz w:val="20"/>
          <w:vertAlign w:val="baseline"/>
        </w:rPr>
        <w:t>excretion, </w:t>
      </w:r>
      <w:r>
        <w:rPr>
          <w:i/>
          <w:color w:val="231F20"/>
          <w:sz w:val="20"/>
          <w:vertAlign w:val="baseline"/>
        </w:rPr>
        <w:t>which helps compensate for the initial rise in</w:t>
      </w:r>
      <w:r>
        <w:rPr>
          <w:i/>
          <w:color w:val="231F20"/>
          <w:spacing w:val="-17"/>
          <w:sz w:val="20"/>
          <w:vertAlign w:val="baseline"/>
        </w:rPr>
        <w:t> </w:t>
      </w:r>
      <w:r>
        <w:rPr>
          <w:i/>
          <w:color w:val="231F20"/>
          <w:sz w:val="20"/>
          <w:vertAlign w:val="baseline"/>
        </w:rPr>
        <w:t>extracellular fluid HCO </w:t>
      </w:r>
      <w:r>
        <w:rPr>
          <w:rFonts w:ascii="Consolas" w:hAnsi="Consolas"/>
          <w:i/>
          <w:color w:val="231F20"/>
          <w:position w:val="8"/>
          <w:sz w:val="12"/>
          <w:vertAlign w:val="baseline"/>
        </w:rPr>
        <w:t>−</w:t>
      </w:r>
      <w:r>
        <w:rPr>
          <w:rFonts w:ascii="Consolas" w:hAnsi="Consolas"/>
          <w:i/>
          <w:color w:val="231F20"/>
          <w:spacing w:val="5"/>
          <w:position w:val="8"/>
          <w:sz w:val="12"/>
          <w:vertAlign w:val="baseline"/>
        </w:rPr>
        <w:t> </w:t>
      </w:r>
      <w:r>
        <w:rPr>
          <w:i/>
          <w:color w:val="231F20"/>
          <w:sz w:val="20"/>
          <w:vertAlign w:val="baseline"/>
        </w:rPr>
        <w:t>concentration.</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spacing w:before="7"/>
        <w:rPr>
          <w:i/>
          <w:sz w:val="27"/>
        </w:rPr>
      </w:pPr>
    </w:p>
    <w:p>
      <w:pPr>
        <w:pStyle w:val="BodyText"/>
        <w:ind w:left="1075"/>
      </w:pPr>
      <w:r>
        <w:rPr/>
        <w:pict>
          <v:group style="width:234pt;height:52.5pt;mso-position-horizontal-relative:char;mso-position-vertical-relative:line" coordorigin="0,0" coordsize="4680,1050">
            <v:rect style="position:absolute;left:0;top:0;width:4680;height:1045" filled="true" fillcolor="#e8dac8" stroked="false">
              <v:fill type="solid"/>
            </v:rect>
            <v:line style="position:absolute" from="0,1045" to="4680,1045" stroked="true" strokeweight=".5pt" strokecolor="#231f20">
              <v:stroke dashstyle="solid"/>
            </v:line>
            <v:shape style="position:absolute;left:3615;top:867;width:101;height:156" type="#_x0000_t202" filled="false" stroked="false">
              <v:textbox inset="0,0,0,0">
                <w:txbxContent>
                  <w:p>
                    <w:pPr>
                      <w:spacing w:before="4"/>
                      <w:ind w:left="0" w:right="0" w:firstLine="0"/>
                      <w:jc w:val="left"/>
                      <w:rPr>
                        <w:rFonts w:ascii="Trebuchet MS"/>
                        <w:b/>
                        <w:sz w:val="13"/>
                      </w:rPr>
                    </w:pPr>
                    <w:r>
                      <w:rPr>
                        <w:rFonts w:ascii="Trebuchet MS"/>
                        <w:b/>
                        <w:color w:val="231F20"/>
                        <w:w w:val="106"/>
                        <w:sz w:val="13"/>
                      </w:rPr>
                      <w:t>3</w:t>
                    </w:r>
                  </w:p>
                </w:txbxContent>
              </v:textbox>
              <w10:wrap type="none"/>
            </v:shape>
            <v:shape style="position:absolute;left:59;top:736;width:3729;height:273" type="#_x0000_t202" filled="false" stroked="false">
              <v:textbox inset="0,0,0,0">
                <w:txbxContent>
                  <w:p>
                    <w:pPr>
                      <w:spacing w:before="13"/>
                      <w:ind w:left="0" w:right="0" w:firstLine="0"/>
                      <w:jc w:val="left"/>
                      <w:rPr>
                        <w:rFonts w:ascii="Consolas" w:hAnsi="Consolas"/>
                        <w:b/>
                        <w:sz w:val="13"/>
                      </w:rPr>
                    </w:pPr>
                    <w:r>
                      <w:rPr>
                        <w:rFonts w:ascii="Trebuchet MS" w:hAnsi="Trebuchet MS"/>
                        <w:b/>
                        <w:color w:val="231F20"/>
                        <w:w w:val="110"/>
                        <w:sz w:val="22"/>
                      </w:rPr>
                      <w:t>INCREASED EXCRETION OF HCO </w:t>
                    </w:r>
                    <w:r>
                      <w:rPr>
                        <w:rFonts w:ascii="Consolas" w:hAnsi="Consolas"/>
                        <w:b/>
                        <w:color w:val="231F20"/>
                        <w:w w:val="110"/>
                        <w:position w:val="9"/>
                        <w:sz w:val="13"/>
                      </w:rPr>
                      <w:t>−</w:t>
                    </w:r>
                  </w:p>
                </w:txbxContent>
              </v:textbox>
              <w10:wrap type="none"/>
            </v:shape>
            <v:shape style="position:absolute;left:60;top:30;width:3644;height:739" type="#_x0000_t202" filled="false" stroked="false">
              <v:textbox inset="0,0,0,0">
                <w:txbxContent>
                  <w:p>
                    <w:pPr>
                      <w:spacing w:line="223" w:lineRule="auto" w:before="17"/>
                      <w:ind w:left="0" w:right="3" w:firstLine="0"/>
                      <w:jc w:val="left"/>
                      <w:rPr>
                        <w:rFonts w:ascii="Trebuchet MS" w:hAnsi="Trebuchet MS"/>
                        <w:b/>
                        <w:sz w:val="22"/>
                      </w:rPr>
                    </w:pPr>
                    <w:r>
                      <w:rPr>
                        <w:rFonts w:ascii="Trebuchet MS" w:hAnsi="Trebuchet MS"/>
                        <w:b/>
                        <w:color w:val="231F20"/>
                        <w:w w:val="110"/>
                        <w:sz w:val="22"/>
                      </w:rPr>
                      <w:t>RENAL CORRECTION OF ALKALOSIS—DECREASED TUBULAR SECRETION OF H</w:t>
                    </w:r>
                    <w:r>
                      <w:rPr>
                        <w:rFonts w:ascii="Consolas" w:hAnsi="Consolas"/>
                        <w:b/>
                        <w:color w:val="231F20"/>
                        <w:w w:val="110"/>
                        <w:position w:val="9"/>
                        <w:sz w:val="13"/>
                      </w:rPr>
                      <w:t>+ </w:t>
                    </w:r>
                    <w:r>
                      <w:rPr>
                        <w:rFonts w:ascii="Trebuchet MS" w:hAnsi="Trebuchet MS"/>
                        <w:b/>
                        <w:color w:val="231F20"/>
                        <w:w w:val="110"/>
                        <w:sz w:val="22"/>
                      </w:rPr>
                      <w:t>AND</w:t>
                    </w:r>
                  </w:p>
                </w:txbxContent>
              </v:textbox>
              <w10:wrap type="none"/>
            </v:shape>
          </v:group>
        </w:pict>
      </w:r>
      <w:r>
        <w:rPr/>
      </w:r>
    </w:p>
    <w:p>
      <w:pPr>
        <w:pStyle w:val="BodyText"/>
        <w:spacing w:line="249" w:lineRule="auto" w:before="58"/>
        <w:ind w:left="1080" w:right="6354"/>
      </w:pPr>
      <w:r>
        <w:rPr/>
        <w:pict>
          <v:shape style="position:absolute;margin-left:306pt;margin-top:-73.764053pt;width:234pt;height:98pt;mso-position-horizontal-relative:page;mso-position-vertical-relative:paragraph;z-index:253089792" type="#_x0000_t202" filled="true" fillcolor="#f0eef6" stroked="false">
            <v:textbox inset="0,0,0,0">
              <w:txbxContent>
                <w:p>
                  <w:pPr>
                    <w:spacing w:before="112"/>
                    <w:ind w:left="179" w:right="0" w:firstLine="0"/>
                    <w:jc w:val="left"/>
                    <w:rPr>
                      <w:rFonts w:ascii="Trebuchet MS"/>
                      <w:b/>
                      <w:sz w:val="20"/>
                    </w:rPr>
                  </w:pPr>
                  <w:r>
                    <w:rPr>
                      <w:rFonts w:ascii="Trebuchet MS"/>
                      <w:b/>
                      <w:color w:val="231F20"/>
                      <w:sz w:val="20"/>
                    </w:rPr>
                    <w:t>Clinical Causes of Acid-Base Disorders</w:t>
                  </w:r>
                </w:p>
                <w:p>
                  <w:pPr>
                    <w:spacing w:line="252" w:lineRule="auto" w:before="86"/>
                    <w:ind w:left="180" w:right="0" w:firstLine="0"/>
                    <w:jc w:val="left"/>
                    <w:rPr>
                      <w:rFonts w:ascii="Trebuchet MS"/>
                      <w:b/>
                      <w:sz w:val="18"/>
                    </w:rPr>
                  </w:pPr>
                  <w:r>
                    <w:rPr>
                      <w:rFonts w:ascii="Trebuchet MS"/>
                      <w:b/>
                      <w:color w:val="231F20"/>
                      <w:sz w:val="18"/>
                    </w:rPr>
                    <w:t>Respiratory Acidosis Results from Decreased Ventilation and Increased Pco</w:t>
                  </w:r>
                  <w:r>
                    <w:rPr>
                      <w:rFonts w:ascii="Trebuchet MS"/>
                      <w:b/>
                      <w:color w:val="231F20"/>
                      <w:sz w:val="18"/>
                      <w:vertAlign w:val="subscript"/>
                    </w:rPr>
                    <w:t>2</w:t>
                  </w:r>
                </w:p>
                <w:p>
                  <w:pPr>
                    <w:spacing w:line="247" w:lineRule="auto" w:before="83"/>
                    <w:ind w:left="180" w:right="177" w:firstLine="0"/>
                    <w:jc w:val="both"/>
                    <w:rPr>
                      <w:sz w:val="18"/>
                    </w:rPr>
                  </w:pPr>
                  <w:r>
                    <w:rPr>
                      <w:color w:val="231F20"/>
                      <w:w w:val="105"/>
                      <w:sz w:val="18"/>
                    </w:rPr>
                    <w:t>From</w:t>
                  </w:r>
                  <w:r>
                    <w:rPr>
                      <w:color w:val="231F20"/>
                      <w:spacing w:val="-8"/>
                      <w:w w:val="105"/>
                      <w:sz w:val="18"/>
                    </w:rPr>
                    <w:t> </w:t>
                  </w:r>
                  <w:r>
                    <w:rPr>
                      <w:color w:val="231F20"/>
                      <w:w w:val="105"/>
                      <w:sz w:val="18"/>
                    </w:rPr>
                    <w:t>the</w:t>
                  </w:r>
                  <w:r>
                    <w:rPr>
                      <w:color w:val="231F20"/>
                      <w:spacing w:val="-7"/>
                      <w:w w:val="105"/>
                      <w:sz w:val="18"/>
                    </w:rPr>
                    <w:t> </w:t>
                  </w:r>
                  <w:r>
                    <w:rPr>
                      <w:color w:val="231F20"/>
                      <w:w w:val="105"/>
                      <w:sz w:val="18"/>
                    </w:rPr>
                    <w:t>previous</w:t>
                  </w:r>
                  <w:r>
                    <w:rPr>
                      <w:color w:val="231F20"/>
                      <w:spacing w:val="-7"/>
                      <w:w w:val="105"/>
                      <w:sz w:val="18"/>
                    </w:rPr>
                    <w:t> </w:t>
                  </w:r>
                  <w:r>
                    <w:rPr>
                      <w:color w:val="231F20"/>
                      <w:w w:val="105"/>
                      <w:sz w:val="18"/>
                    </w:rPr>
                    <w:t>discussion,</w:t>
                  </w:r>
                  <w:r>
                    <w:rPr>
                      <w:color w:val="231F20"/>
                      <w:spacing w:val="-7"/>
                      <w:w w:val="105"/>
                      <w:sz w:val="18"/>
                    </w:rPr>
                    <w:t> </w:t>
                  </w:r>
                  <w:r>
                    <w:rPr>
                      <w:color w:val="231F20"/>
                      <w:w w:val="105"/>
                      <w:sz w:val="18"/>
                    </w:rPr>
                    <w:t>it</w:t>
                  </w:r>
                  <w:r>
                    <w:rPr>
                      <w:color w:val="231F20"/>
                      <w:spacing w:val="-7"/>
                      <w:w w:val="105"/>
                      <w:sz w:val="18"/>
                    </w:rPr>
                    <w:t> </w:t>
                  </w:r>
                  <w:r>
                    <w:rPr>
                      <w:color w:val="231F20"/>
                      <w:w w:val="105"/>
                      <w:sz w:val="18"/>
                    </w:rPr>
                    <w:t>is</w:t>
                  </w:r>
                  <w:r>
                    <w:rPr>
                      <w:color w:val="231F20"/>
                      <w:spacing w:val="-7"/>
                      <w:w w:val="105"/>
                      <w:sz w:val="18"/>
                    </w:rPr>
                    <w:t> </w:t>
                  </w:r>
                  <w:r>
                    <w:rPr>
                      <w:color w:val="231F20"/>
                      <w:w w:val="105"/>
                      <w:sz w:val="18"/>
                    </w:rPr>
                    <w:t>obvious</w:t>
                  </w:r>
                  <w:r>
                    <w:rPr>
                      <w:color w:val="231F20"/>
                      <w:spacing w:val="-7"/>
                      <w:w w:val="105"/>
                      <w:sz w:val="18"/>
                    </w:rPr>
                    <w:t> </w:t>
                  </w:r>
                  <w:r>
                    <w:rPr>
                      <w:color w:val="231F20"/>
                      <w:w w:val="105"/>
                      <w:sz w:val="18"/>
                    </w:rPr>
                    <w:t>that</w:t>
                  </w:r>
                  <w:r>
                    <w:rPr>
                      <w:color w:val="231F20"/>
                      <w:spacing w:val="-7"/>
                      <w:w w:val="105"/>
                      <w:sz w:val="18"/>
                    </w:rPr>
                    <w:t> </w:t>
                  </w:r>
                  <w:r>
                    <w:rPr>
                      <w:color w:val="231F20"/>
                      <w:w w:val="105"/>
                      <w:sz w:val="18"/>
                    </w:rPr>
                    <w:t>any</w:t>
                  </w:r>
                  <w:r>
                    <w:rPr>
                      <w:color w:val="231F20"/>
                      <w:spacing w:val="-7"/>
                      <w:w w:val="105"/>
                      <w:sz w:val="18"/>
                    </w:rPr>
                    <w:t> </w:t>
                  </w:r>
                  <w:r>
                    <w:rPr>
                      <w:color w:val="231F20"/>
                      <w:w w:val="105"/>
                      <w:sz w:val="18"/>
                    </w:rPr>
                    <w:t>factor that decreases the rate of pulmonary ventilation also increases the P</w:t>
                  </w:r>
                  <w:r>
                    <w:rPr>
                      <w:color w:val="231F20"/>
                      <w:w w:val="105"/>
                      <w:sz w:val="14"/>
                    </w:rPr>
                    <w:t>CO</w:t>
                  </w:r>
                  <w:r>
                    <w:rPr>
                      <w:color w:val="231F20"/>
                      <w:w w:val="105"/>
                      <w:position w:val="-2"/>
                      <w:sz w:val="11"/>
                    </w:rPr>
                    <w:t>2 </w:t>
                  </w:r>
                  <w:r>
                    <w:rPr>
                      <w:color w:val="231F20"/>
                      <w:w w:val="105"/>
                      <w:sz w:val="18"/>
                    </w:rPr>
                    <w:t>of extracellular fluid. This causes an increase in H</w:t>
                  </w:r>
                  <w:r>
                    <w:rPr>
                      <w:color w:val="231F20"/>
                      <w:w w:val="105"/>
                      <w:sz w:val="18"/>
                      <w:vertAlign w:val="subscript"/>
                    </w:rPr>
                    <w:t>2</w:t>
                  </w:r>
                  <w:r>
                    <w:rPr>
                      <w:color w:val="231F20"/>
                      <w:w w:val="105"/>
                      <w:sz w:val="18"/>
                      <w:vertAlign w:val="baseline"/>
                    </w:rPr>
                    <w:t>CO</w:t>
                  </w:r>
                  <w:r>
                    <w:rPr>
                      <w:color w:val="231F20"/>
                      <w:w w:val="105"/>
                      <w:sz w:val="18"/>
                      <w:vertAlign w:val="subscript"/>
                    </w:rPr>
                    <w:t>3</w:t>
                  </w:r>
                  <w:r>
                    <w:rPr>
                      <w:color w:val="231F20"/>
                      <w:w w:val="105"/>
                      <w:sz w:val="18"/>
                      <w:vertAlign w:val="baseline"/>
                    </w:rPr>
                    <w:t> and H</w:t>
                  </w:r>
                  <w:r>
                    <w:rPr>
                      <w:rFonts w:ascii="Consolas"/>
                      <w:color w:val="231F20"/>
                      <w:w w:val="105"/>
                      <w:position w:val="7"/>
                      <w:sz w:val="11"/>
                      <w:vertAlign w:val="baseline"/>
                    </w:rPr>
                    <w:t>+ </w:t>
                  </w:r>
                  <w:r>
                    <w:rPr>
                      <w:color w:val="231F20"/>
                      <w:w w:val="105"/>
                      <w:sz w:val="18"/>
                      <w:vertAlign w:val="baseline"/>
                    </w:rPr>
                    <w:t>concentration, thus resulting</w:t>
                  </w:r>
                  <w:r>
                    <w:rPr>
                      <w:color w:val="231F20"/>
                      <w:spacing w:val="-26"/>
                      <w:w w:val="105"/>
                      <w:sz w:val="18"/>
                      <w:vertAlign w:val="baseline"/>
                    </w:rPr>
                    <w:t> </w:t>
                  </w:r>
                  <w:r>
                    <w:rPr>
                      <w:color w:val="231F20"/>
                      <w:spacing w:val="-12"/>
                      <w:w w:val="105"/>
                      <w:sz w:val="18"/>
                      <w:vertAlign w:val="baseline"/>
                    </w:rPr>
                    <w:t>in</w:t>
                  </w:r>
                </w:p>
              </w:txbxContent>
            </v:textbox>
            <v:fill type="solid"/>
            <w10:wrap type="none"/>
          </v:shape>
        </w:pict>
      </w:r>
      <w:r>
        <w:rPr>
          <w:color w:val="231F20"/>
          <w:w w:val="105"/>
        </w:rPr>
        <w:t>The compensatory responses to alkalosis are basically opposite to those that occur in acidosis. In alkalosis, the</w:t>
      </w:r>
    </w:p>
    <w:p>
      <w:pPr>
        <w:spacing w:after="0" w:line="249" w:lineRule="auto"/>
        <w:sectPr>
          <w:type w:val="continuous"/>
          <w:pgSz w:w="12240" w:h="15660"/>
          <w:pgMar w:top="0" w:bottom="760" w:left="0" w:right="0"/>
        </w:sectPr>
      </w:pPr>
    </w:p>
    <w:p>
      <w:pPr>
        <w:pStyle w:val="BodyText"/>
      </w:pPr>
    </w:p>
    <w:p>
      <w:pPr>
        <w:pStyle w:val="BodyText"/>
      </w:pPr>
    </w:p>
    <w:p>
      <w:pPr>
        <w:pStyle w:val="BodyText"/>
      </w:pPr>
    </w:p>
    <w:p>
      <w:pPr>
        <w:pStyle w:val="BodyText"/>
      </w:pPr>
    </w:p>
    <w:p>
      <w:pPr>
        <w:pStyle w:val="BodyText"/>
        <w:spacing w:before="7"/>
        <w:rPr>
          <w:sz w:val="16"/>
        </w:rPr>
      </w:pPr>
    </w:p>
    <w:p>
      <w:pPr>
        <w:spacing w:after="0"/>
        <w:rPr>
          <w:sz w:val="16"/>
        </w:rPr>
        <w:sectPr>
          <w:headerReference w:type="even" r:id="rId1020"/>
          <w:pgSz w:w="12240" w:h="15660"/>
          <w:pgMar w:header="0" w:footer="567" w:top="0" w:bottom="760" w:left="0" w:right="0"/>
        </w:sectPr>
      </w:pPr>
    </w:p>
    <w:p>
      <w:pPr>
        <w:spacing w:line="254" w:lineRule="auto" w:before="99"/>
        <w:ind w:left="1620" w:right="0" w:firstLine="0"/>
        <w:jc w:val="both"/>
        <w:rPr>
          <w:i/>
          <w:sz w:val="18"/>
        </w:rPr>
      </w:pPr>
      <w:r>
        <w:rPr/>
        <w:pict>
          <v:group style="position:absolute;margin-left:0pt;margin-top:0pt;width:612pt;height:180pt;mso-position-horizontal-relative:page;mso-position-vertical-relative:page;z-index:-27228774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w10:wrap type="none"/>
          </v:group>
        </w:pict>
      </w:r>
      <w:r>
        <w:rPr/>
        <w:pict>
          <v:rect style="position:absolute;margin-left:324pt;margin-top:54pt;width:234pt;height:679.35pt;mso-position-horizontal-relative:page;mso-position-vertical-relative:page;z-index:-272285696" filled="true" fillcolor="#f0eef6" stroked="false">
            <v:fill type="solid"/>
            <w10:wrap type="none"/>
          </v:rect>
        </w:pict>
      </w:r>
      <w:r>
        <w:rPr/>
        <w:pict>
          <v:rect style="position:absolute;margin-left:72pt;margin-top:54pt;width:234pt;height:679.35pt;mso-position-horizontal-relative:page;mso-position-vertical-relative:page;z-index:-272284672" filled="true" fillcolor="#f0eef6" stroked="false">
            <v:fill type="solid"/>
            <w10:wrap type="none"/>
          </v:rect>
        </w:pict>
      </w:r>
      <w:r>
        <w:rPr>
          <w:color w:val="231F20"/>
          <w:sz w:val="18"/>
        </w:rPr>
        <w:t>acidosis. Because the acidosis is caused by an abnormality in respiration, it is called </w:t>
      </w:r>
      <w:r>
        <w:rPr>
          <w:i/>
          <w:color w:val="231F20"/>
          <w:sz w:val="18"/>
        </w:rPr>
        <w:t>respiratory acidosis.</w:t>
      </w:r>
    </w:p>
    <w:p>
      <w:pPr>
        <w:spacing w:line="254" w:lineRule="auto" w:before="1"/>
        <w:ind w:left="1619" w:right="0" w:firstLine="239"/>
        <w:jc w:val="both"/>
        <w:rPr>
          <w:sz w:val="18"/>
        </w:rPr>
      </w:pPr>
      <w:r>
        <w:rPr>
          <w:color w:val="231F20"/>
          <w:sz w:val="18"/>
        </w:rPr>
        <w:t>Respiratory acidosis can occur from pathological condi- tions that damage the respiratory centers or that decrease the ability of the lungs to eliminate CO</w:t>
      </w:r>
      <w:r>
        <w:rPr>
          <w:color w:val="231F20"/>
          <w:sz w:val="18"/>
          <w:vertAlign w:val="subscript"/>
        </w:rPr>
        <w:t>2</w:t>
      </w:r>
      <w:r>
        <w:rPr>
          <w:color w:val="231F20"/>
          <w:sz w:val="18"/>
          <w:vertAlign w:val="baseline"/>
        </w:rPr>
        <w:t>. </w:t>
      </w:r>
      <w:r>
        <w:rPr>
          <w:color w:val="231F20"/>
          <w:spacing w:val="-3"/>
          <w:sz w:val="18"/>
          <w:vertAlign w:val="baseline"/>
        </w:rPr>
        <w:t>For </w:t>
      </w:r>
      <w:r>
        <w:rPr>
          <w:color w:val="231F20"/>
          <w:spacing w:val="-4"/>
          <w:sz w:val="18"/>
          <w:vertAlign w:val="baseline"/>
        </w:rPr>
        <w:t>example, </w:t>
      </w:r>
      <w:r>
        <w:rPr>
          <w:color w:val="231F20"/>
          <w:sz w:val="18"/>
          <w:vertAlign w:val="baseline"/>
        </w:rPr>
        <w:t>damage to the respiratory center in the medulla oblongata can lead to respiratory acidosis. Also, obstruction of the passageways of the respiratory tract, pneumonia, emphy- sema, or decreased pulmonary membrane surface area, as well as any factor that interferes with the exchange of gases between the blood and the alveolar </w:t>
      </w:r>
      <w:r>
        <w:rPr>
          <w:color w:val="231F20"/>
          <w:spacing w:val="-4"/>
          <w:sz w:val="18"/>
          <w:vertAlign w:val="baseline"/>
        </w:rPr>
        <w:t>air, </w:t>
      </w:r>
      <w:r>
        <w:rPr>
          <w:color w:val="231F20"/>
          <w:sz w:val="18"/>
          <w:vertAlign w:val="baseline"/>
        </w:rPr>
        <w:t>can cause respira- tory</w:t>
      </w:r>
      <w:r>
        <w:rPr>
          <w:color w:val="231F20"/>
          <w:spacing w:val="6"/>
          <w:sz w:val="18"/>
          <w:vertAlign w:val="baseline"/>
        </w:rPr>
        <w:t> </w:t>
      </w:r>
      <w:r>
        <w:rPr>
          <w:color w:val="231F20"/>
          <w:sz w:val="18"/>
          <w:vertAlign w:val="baseline"/>
        </w:rPr>
        <w:t>acidosis.</w:t>
      </w:r>
    </w:p>
    <w:p>
      <w:pPr>
        <w:spacing w:line="254" w:lineRule="auto" w:before="6"/>
        <w:ind w:left="1619" w:right="0" w:firstLine="239"/>
        <w:jc w:val="both"/>
        <w:rPr>
          <w:sz w:val="18"/>
        </w:rPr>
      </w:pPr>
      <w:r>
        <w:rPr>
          <w:color w:val="231F20"/>
          <w:w w:val="105"/>
          <w:sz w:val="18"/>
        </w:rPr>
        <w:t>In respiratory acidosis, the compensatory responses available are (1) the buffers of the body fluids and (2)</w:t>
      </w:r>
      <w:r>
        <w:rPr>
          <w:color w:val="231F20"/>
          <w:spacing w:val="-32"/>
          <w:w w:val="105"/>
          <w:sz w:val="18"/>
        </w:rPr>
        <w:t> </w:t>
      </w:r>
      <w:r>
        <w:rPr>
          <w:color w:val="231F20"/>
          <w:w w:val="105"/>
          <w:sz w:val="18"/>
        </w:rPr>
        <w:t>the kidneys,</w:t>
      </w:r>
      <w:r>
        <w:rPr>
          <w:color w:val="231F20"/>
          <w:spacing w:val="-10"/>
          <w:w w:val="105"/>
          <w:sz w:val="18"/>
        </w:rPr>
        <w:t> </w:t>
      </w:r>
      <w:r>
        <w:rPr>
          <w:color w:val="231F20"/>
          <w:w w:val="105"/>
          <w:sz w:val="18"/>
        </w:rPr>
        <w:t>which</w:t>
      </w:r>
      <w:r>
        <w:rPr>
          <w:color w:val="231F20"/>
          <w:spacing w:val="-9"/>
          <w:w w:val="105"/>
          <w:sz w:val="18"/>
        </w:rPr>
        <w:t> </w:t>
      </w:r>
      <w:r>
        <w:rPr>
          <w:color w:val="231F20"/>
          <w:w w:val="105"/>
          <w:sz w:val="18"/>
        </w:rPr>
        <w:t>require</w:t>
      </w:r>
      <w:r>
        <w:rPr>
          <w:color w:val="231F20"/>
          <w:spacing w:val="-9"/>
          <w:w w:val="105"/>
          <w:sz w:val="18"/>
        </w:rPr>
        <w:t> </w:t>
      </w:r>
      <w:r>
        <w:rPr>
          <w:color w:val="231F20"/>
          <w:w w:val="105"/>
          <w:sz w:val="18"/>
        </w:rPr>
        <w:t>several</w:t>
      </w:r>
      <w:r>
        <w:rPr>
          <w:color w:val="231F20"/>
          <w:spacing w:val="-9"/>
          <w:w w:val="105"/>
          <w:sz w:val="18"/>
        </w:rPr>
        <w:t> </w:t>
      </w:r>
      <w:r>
        <w:rPr>
          <w:color w:val="231F20"/>
          <w:w w:val="105"/>
          <w:sz w:val="18"/>
        </w:rPr>
        <w:t>days</w:t>
      </w:r>
      <w:r>
        <w:rPr>
          <w:color w:val="231F20"/>
          <w:spacing w:val="-10"/>
          <w:w w:val="105"/>
          <w:sz w:val="18"/>
        </w:rPr>
        <w:t> </w:t>
      </w:r>
      <w:r>
        <w:rPr>
          <w:color w:val="231F20"/>
          <w:w w:val="105"/>
          <w:sz w:val="18"/>
        </w:rPr>
        <w:t>to</w:t>
      </w:r>
      <w:r>
        <w:rPr>
          <w:color w:val="231F20"/>
          <w:spacing w:val="-9"/>
          <w:w w:val="105"/>
          <w:sz w:val="18"/>
        </w:rPr>
        <w:t> </w:t>
      </w:r>
      <w:r>
        <w:rPr>
          <w:color w:val="231F20"/>
          <w:w w:val="105"/>
          <w:sz w:val="18"/>
        </w:rPr>
        <w:t>compensate</w:t>
      </w:r>
      <w:r>
        <w:rPr>
          <w:color w:val="231F20"/>
          <w:spacing w:val="-9"/>
          <w:w w:val="105"/>
          <w:sz w:val="18"/>
        </w:rPr>
        <w:t> </w:t>
      </w:r>
      <w:r>
        <w:rPr>
          <w:color w:val="231F20"/>
          <w:w w:val="105"/>
          <w:sz w:val="18"/>
        </w:rPr>
        <w:t>for</w:t>
      </w:r>
      <w:r>
        <w:rPr>
          <w:color w:val="231F20"/>
          <w:spacing w:val="-9"/>
          <w:w w:val="105"/>
          <w:sz w:val="18"/>
        </w:rPr>
        <w:t> </w:t>
      </w:r>
      <w:r>
        <w:rPr>
          <w:color w:val="231F20"/>
          <w:w w:val="105"/>
          <w:sz w:val="18"/>
        </w:rPr>
        <w:t>the disorder.</w:t>
      </w:r>
    </w:p>
    <w:p>
      <w:pPr>
        <w:spacing w:line="252" w:lineRule="auto" w:before="101"/>
        <w:ind w:left="1619" w:right="0" w:firstLine="0"/>
        <w:jc w:val="left"/>
        <w:rPr>
          <w:rFonts w:ascii="Trebuchet MS"/>
          <w:b/>
          <w:sz w:val="18"/>
        </w:rPr>
      </w:pPr>
      <w:r>
        <w:rPr>
          <w:rFonts w:ascii="Trebuchet MS"/>
          <w:b/>
          <w:color w:val="231F20"/>
          <w:sz w:val="18"/>
        </w:rPr>
        <w:t>Respiratory Alkalosis Results from Increased Ventilation and Decreased Pco</w:t>
      </w:r>
      <w:r>
        <w:rPr>
          <w:rFonts w:ascii="Trebuchet MS"/>
          <w:b/>
          <w:color w:val="231F20"/>
          <w:sz w:val="18"/>
          <w:vertAlign w:val="subscript"/>
        </w:rPr>
        <w:t>2</w:t>
      </w:r>
    </w:p>
    <w:p>
      <w:pPr>
        <w:spacing w:line="254" w:lineRule="auto" w:before="83"/>
        <w:ind w:left="1620" w:right="0" w:firstLine="0"/>
        <w:jc w:val="both"/>
        <w:rPr>
          <w:sz w:val="18"/>
        </w:rPr>
      </w:pPr>
      <w:r>
        <w:rPr>
          <w:color w:val="231F20"/>
          <w:sz w:val="18"/>
        </w:rPr>
        <w:t>Respiratory alkalosis is caused by excessive ventilation by the lungs. Rarely does this occur because of physical patho- logical conditions. However, a psychoneurosis can occa- sionally increase breathing to the extent that a person becomes alkalotic.</w:t>
      </w:r>
    </w:p>
    <w:p>
      <w:pPr>
        <w:spacing w:line="254" w:lineRule="auto" w:before="3"/>
        <w:ind w:left="1619" w:right="0" w:firstLine="239"/>
        <w:jc w:val="both"/>
        <w:rPr>
          <w:sz w:val="18"/>
        </w:rPr>
      </w:pPr>
      <w:r>
        <w:rPr/>
        <w:pict>
          <v:shape style="position:absolute;margin-left:134.129700pt;margin-top:70.895752pt;width:2.7pt;height:7.8pt;mso-position-horizontal-relative:page;mso-position-vertical-relative:paragraph;z-index:-272282624"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color w:val="231F20"/>
          <w:w w:val="105"/>
          <w:sz w:val="18"/>
        </w:rPr>
        <w:t>A physiological type of respiratory alkalosis occurs when a person ascends to high altitude. The low </w:t>
      </w:r>
      <w:r>
        <w:rPr>
          <w:color w:val="231F20"/>
          <w:spacing w:val="-4"/>
          <w:w w:val="105"/>
          <w:sz w:val="18"/>
        </w:rPr>
        <w:t>oxygen </w:t>
      </w:r>
      <w:r>
        <w:rPr>
          <w:color w:val="231F20"/>
          <w:w w:val="105"/>
          <w:sz w:val="18"/>
        </w:rPr>
        <w:t>content</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the</w:t>
      </w:r>
      <w:r>
        <w:rPr>
          <w:color w:val="231F20"/>
          <w:spacing w:val="-10"/>
          <w:w w:val="105"/>
          <w:sz w:val="18"/>
        </w:rPr>
        <w:t> </w:t>
      </w:r>
      <w:r>
        <w:rPr>
          <w:color w:val="231F20"/>
          <w:w w:val="105"/>
          <w:sz w:val="18"/>
        </w:rPr>
        <w:t>air</w:t>
      </w:r>
      <w:r>
        <w:rPr>
          <w:color w:val="231F20"/>
          <w:spacing w:val="-11"/>
          <w:w w:val="105"/>
          <w:sz w:val="18"/>
        </w:rPr>
        <w:t> </w:t>
      </w:r>
      <w:r>
        <w:rPr>
          <w:color w:val="231F20"/>
          <w:w w:val="105"/>
          <w:sz w:val="18"/>
        </w:rPr>
        <w:t>stimulates</w:t>
      </w:r>
      <w:r>
        <w:rPr>
          <w:color w:val="231F20"/>
          <w:spacing w:val="-10"/>
          <w:w w:val="105"/>
          <w:sz w:val="18"/>
        </w:rPr>
        <w:t> </w:t>
      </w:r>
      <w:r>
        <w:rPr>
          <w:color w:val="231F20"/>
          <w:w w:val="105"/>
          <w:sz w:val="18"/>
        </w:rPr>
        <w:t>respiration,</w:t>
      </w:r>
      <w:r>
        <w:rPr>
          <w:color w:val="231F20"/>
          <w:spacing w:val="-11"/>
          <w:w w:val="105"/>
          <w:sz w:val="18"/>
        </w:rPr>
        <w:t> </w:t>
      </w:r>
      <w:r>
        <w:rPr>
          <w:color w:val="231F20"/>
          <w:w w:val="105"/>
          <w:sz w:val="18"/>
        </w:rPr>
        <w:t>which</w:t>
      </w:r>
      <w:r>
        <w:rPr>
          <w:color w:val="231F20"/>
          <w:spacing w:val="-10"/>
          <w:w w:val="105"/>
          <w:sz w:val="18"/>
        </w:rPr>
        <w:t> </w:t>
      </w:r>
      <w:r>
        <w:rPr>
          <w:color w:val="231F20"/>
          <w:w w:val="105"/>
          <w:sz w:val="18"/>
        </w:rPr>
        <w:t>causes</w:t>
      </w:r>
      <w:r>
        <w:rPr>
          <w:color w:val="231F20"/>
          <w:spacing w:val="-11"/>
          <w:w w:val="105"/>
          <w:sz w:val="18"/>
        </w:rPr>
        <w:t> </w:t>
      </w:r>
      <w:r>
        <w:rPr>
          <w:color w:val="231F20"/>
          <w:w w:val="105"/>
          <w:sz w:val="18"/>
        </w:rPr>
        <w:t>loss of CO</w:t>
      </w:r>
      <w:r>
        <w:rPr>
          <w:color w:val="231F20"/>
          <w:w w:val="105"/>
          <w:sz w:val="18"/>
          <w:vertAlign w:val="subscript"/>
        </w:rPr>
        <w:t>2</w:t>
      </w:r>
      <w:r>
        <w:rPr>
          <w:color w:val="231F20"/>
          <w:w w:val="105"/>
          <w:sz w:val="18"/>
          <w:vertAlign w:val="baseline"/>
        </w:rPr>
        <w:t> and development of mild respiratory alkalosis. Again,</w:t>
      </w:r>
      <w:r>
        <w:rPr>
          <w:color w:val="231F20"/>
          <w:spacing w:val="-19"/>
          <w:w w:val="105"/>
          <w:sz w:val="18"/>
          <w:vertAlign w:val="baseline"/>
        </w:rPr>
        <w:t> </w:t>
      </w:r>
      <w:r>
        <w:rPr>
          <w:color w:val="231F20"/>
          <w:w w:val="105"/>
          <w:sz w:val="18"/>
          <w:vertAlign w:val="baseline"/>
        </w:rPr>
        <w:t>the</w:t>
      </w:r>
      <w:r>
        <w:rPr>
          <w:color w:val="231F20"/>
          <w:spacing w:val="-18"/>
          <w:w w:val="105"/>
          <w:sz w:val="18"/>
          <w:vertAlign w:val="baseline"/>
        </w:rPr>
        <w:t> </w:t>
      </w:r>
      <w:r>
        <w:rPr>
          <w:color w:val="231F20"/>
          <w:w w:val="105"/>
          <w:sz w:val="18"/>
          <w:vertAlign w:val="baseline"/>
        </w:rPr>
        <w:t>major</w:t>
      </w:r>
      <w:r>
        <w:rPr>
          <w:color w:val="231F20"/>
          <w:spacing w:val="-18"/>
          <w:w w:val="105"/>
          <w:sz w:val="18"/>
          <w:vertAlign w:val="baseline"/>
        </w:rPr>
        <w:t> </w:t>
      </w:r>
      <w:r>
        <w:rPr>
          <w:color w:val="231F20"/>
          <w:w w:val="105"/>
          <w:sz w:val="18"/>
          <w:vertAlign w:val="baseline"/>
        </w:rPr>
        <w:t>means</w:t>
      </w:r>
      <w:r>
        <w:rPr>
          <w:color w:val="231F20"/>
          <w:spacing w:val="-18"/>
          <w:w w:val="105"/>
          <w:sz w:val="18"/>
          <w:vertAlign w:val="baseline"/>
        </w:rPr>
        <w:t> </w:t>
      </w:r>
      <w:r>
        <w:rPr>
          <w:color w:val="231F20"/>
          <w:w w:val="105"/>
          <w:sz w:val="18"/>
          <w:vertAlign w:val="baseline"/>
        </w:rPr>
        <w:t>for</w:t>
      </w:r>
      <w:r>
        <w:rPr>
          <w:color w:val="231F20"/>
          <w:spacing w:val="-18"/>
          <w:w w:val="105"/>
          <w:sz w:val="18"/>
          <w:vertAlign w:val="baseline"/>
        </w:rPr>
        <w:t> </w:t>
      </w:r>
      <w:r>
        <w:rPr>
          <w:color w:val="231F20"/>
          <w:w w:val="105"/>
          <w:sz w:val="18"/>
          <w:vertAlign w:val="baseline"/>
        </w:rPr>
        <w:t>compensation</w:t>
      </w:r>
      <w:r>
        <w:rPr>
          <w:color w:val="231F20"/>
          <w:spacing w:val="-18"/>
          <w:w w:val="105"/>
          <w:sz w:val="18"/>
          <w:vertAlign w:val="baseline"/>
        </w:rPr>
        <w:t> </w:t>
      </w:r>
      <w:r>
        <w:rPr>
          <w:color w:val="231F20"/>
          <w:w w:val="105"/>
          <w:sz w:val="18"/>
          <w:vertAlign w:val="baseline"/>
        </w:rPr>
        <w:t>are</w:t>
      </w:r>
      <w:r>
        <w:rPr>
          <w:color w:val="231F20"/>
          <w:spacing w:val="-18"/>
          <w:w w:val="105"/>
          <w:sz w:val="18"/>
          <w:vertAlign w:val="baseline"/>
        </w:rPr>
        <w:t> </w:t>
      </w:r>
      <w:r>
        <w:rPr>
          <w:color w:val="231F20"/>
          <w:w w:val="105"/>
          <w:sz w:val="18"/>
          <w:vertAlign w:val="baseline"/>
        </w:rPr>
        <w:t>the</w:t>
      </w:r>
      <w:r>
        <w:rPr>
          <w:color w:val="231F20"/>
          <w:spacing w:val="-18"/>
          <w:w w:val="105"/>
          <w:sz w:val="18"/>
          <w:vertAlign w:val="baseline"/>
        </w:rPr>
        <w:t> </w:t>
      </w:r>
      <w:r>
        <w:rPr>
          <w:color w:val="231F20"/>
          <w:w w:val="105"/>
          <w:sz w:val="18"/>
          <w:vertAlign w:val="baseline"/>
        </w:rPr>
        <w:t>chemical buffers</w:t>
      </w:r>
      <w:r>
        <w:rPr>
          <w:color w:val="231F20"/>
          <w:spacing w:val="-5"/>
          <w:w w:val="105"/>
          <w:sz w:val="18"/>
          <w:vertAlign w:val="baseline"/>
        </w:rPr>
        <w:t> </w:t>
      </w:r>
      <w:r>
        <w:rPr>
          <w:color w:val="231F20"/>
          <w:w w:val="105"/>
          <w:sz w:val="18"/>
          <w:vertAlign w:val="baseline"/>
        </w:rPr>
        <w:t>of</w:t>
      </w:r>
      <w:r>
        <w:rPr>
          <w:color w:val="231F20"/>
          <w:spacing w:val="-4"/>
          <w:w w:val="105"/>
          <w:sz w:val="18"/>
          <w:vertAlign w:val="baseline"/>
        </w:rPr>
        <w:t> </w:t>
      </w:r>
      <w:r>
        <w:rPr>
          <w:color w:val="231F20"/>
          <w:w w:val="105"/>
          <w:sz w:val="18"/>
          <w:vertAlign w:val="baseline"/>
        </w:rPr>
        <w:t>the</w:t>
      </w:r>
      <w:r>
        <w:rPr>
          <w:color w:val="231F20"/>
          <w:spacing w:val="-5"/>
          <w:w w:val="105"/>
          <w:sz w:val="18"/>
          <w:vertAlign w:val="baseline"/>
        </w:rPr>
        <w:t> </w:t>
      </w:r>
      <w:r>
        <w:rPr>
          <w:color w:val="231F20"/>
          <w:w w:val="105"/>
          <w:sz w:val="18"/>
          <w:vertAlign w:val="baseline"/>
        </w:rPr>
        <w:t>body</w:t>
      </w:r>
      <w:r>
        <w:rPr>
          <w:color w:val="231F20"/>
          <w:spacing w:val="-4"/>
          <w:w w:val="105"/>
          <w:sz w:val="18"/>
          <w:vertAlign w:val="baseline"/>
        </w:rPr>
        <w:t> </w:t>
      </w:r>
      <w:r>
        <w:rPr>
          <w:color w:val="231F20"/>
          <w:w w:val="105"/>
          <w:sz w:val="18"/>
          <w:vertAlign w:val="baseline"/>
        </w:rPr>
        <w:t>fluids</w:t>
      </w:r>
      <w:r>
        <w:rPr>
          <w:color w:val="231F20"/>
          <w:spacing w:val="-4"/>
          <w:w w:val="105"/>
          <w:sz w:val="18"/>
          <w:vertAlign w:val="baseline"/>
        </w:rPr>
        <w:t> </w:t>
      </w:r>
      <w:r>
        <w:rPr>
          <w:color w:val="231F20"/>
          <w:w w:val="105"/>
          <w:sz w:val="18"/>
          <w:vertAlign w:val="baseline"/>
        </w:rPr>
        <w:t>and</w:t>
      </w:r>
      <w:r>
        <w:rPr>
          <w:color w:val="231F20"/>
          <w:spacing w:val="-5"/>
          <w:w w:val="105"/>
          <w:sz w:val="18"/>
          <w:vertAlign w:val="baseline"/>
        </w:rPr>
        <w:t> </w:t>
      </w:r>
      <w:r>
        <w:rPr>
          <w:color w:val="231F20"/>
          <w:w w:val="105"/>
          <w:sz w:val="18"/>
          <w:vertAlign w:val="baseline"/>
        </w:rPr>
        <w:t>the</w:t>
      </w:r>
      <w:r>
        <w:rPr>
          <w:color w:val="231F20"/>
          <w:spacing w:val="-4"/>
          <w:w w:val="105"/>
          <w:sz w:val="18"/>
          <w:vertAlign w:val="baseline"/>
        </w:rPr>
        <w:t> </w:t>
      </w:r>
      <w:r>
        <w:rPr>
          <w:color w:val="231F20"/>
          <w:w w:val="105"/>
          <w:sz w:val="18"/>
          <w:vertAlign w:val="baseline"/>
        </w:rPr>
        <w:t>ability</w:t>
      </w:r>
      <w:r>
        <w:rPr>
          <w:color w:val="231F20"/>
          <w:spacing w:val="-4"/>
          <w:w w:val="105"/>
          <w:sz w:val="18"/>
          <w:vertAlign w:val="baseline"/>
        </w:rPr>
        <w:t> </w:t>
      </w:r>
      <w:r>
        <w:rPr>
          <w:color w:val="231F20"/>
          <w:w w:val="105"/>
          <w:sz w:val="18"/>
          <w:vertAlign w:val="baseline"/>
        </w:rPr>
        <w:t>of</w:t>
      </w:r>
      <w:r>
        <w:rPr>
          <w:color w:val="231F20"/>
          <w:spacing w:val="-5"/>
          <w:w w:val="105"/>
          <w:sz w:val="18"/>
          <w:vertAlign w:val="baseline"/>
        </w:rPr>
        <w:t> </w:t>
      </w:r>
      <w:r>
        <w:rPr>
          <w:color w:val="231F20"/>
          <w:w w:val="105"/>
          <w:sz w:val="18"/>
          <w:vertAlign w:val="baseline"/>
        </w:rPr>
        <w:t>the</w:t>
      </w:r>
      <w:r>
        <w:rPr>
          <w:color w:val="231F20"/>
          <w:spacing w:val="-4"/>
          <w:w w:val="105"/>
          <w:sz w:val="18"/>
          <w:vertAlign w:val="baseline"/>
        </w:rPr>
        <w:t> </w:t>
      </w:r>
      <w:r>
        <w:rPr>
          <w:color w:val="231F20"/>
          <w:w w:val="105"/>
          <w:sz w:val="18"/>
          <w:vertAlign w:val="baseline"/>
        </w:rPr>
        <w:t>kidneys</w:t>
      </w:r>
      <w:r>
        <w:rPr>
          <w:color w:val="231F20"/>
          <w:spacing w:val="-5"/>
          <w:w w:val="105"/>
          <w:sz w:val="18"/>
          <w:vertAlign w:val="baseline"/>
        </w:rPr>
        <w:t> </w:t>
      </w:r>
      <w:r>
        <w:rPr>
          <w:color w:val="231F20"/>
          <w:w w:val="105"/>
          <w:sz w:val="18"/>
          <w:vertAlign w:val="baseline"/>
        </w:rPr>
        <w:t>to increase HCO </w:t>
      </w:r>
      <w:r>
        <w:rPr>
          <w:rFonts w:ascii="Consolas" w:hAnsi="Consolas"/>
          <w:color w:val="231F20"/>
          <w:w w:val="105"/>
          <w:position w:val="7"/>
          <w:sz w:val="11"/>
          <w:vertAlign w:val="baseline"/>
        </w:rPr>
        <w:t>−</w:t>
      </w:r>
      <w:r>
        <w:rPr>
          <w:rFonts w:ascii="Consolas" w:hAnsi="Consolas"/>
          <w:color w:val="231F20"/>
          <w:spacing w:val="-6"/>
          <w:w w:val="105"/>
          <w:position w:val="7"/>
          <w:sz w:val="11"/>
          <w:vertAlign w:val="baseline"/>
        </w:rPr>
        <w:t> </w:t>
      </w:r>
      <w:r>
        <w:rPr>
          <w:color w:val="231F20"/>
          <w:w w:val="105"/>
          <w:sz w:val="18"/>
          <w:vertAlign w:val="baseline"/>
        </w:rPr>
        <w:t>excretion.</w:t>
      </w:r>
    </w:p>
    <w:p>
      <w:pPr>
        <w:spacing w:line="249" w:lineRule="auto" w:before="80"/>
        <w:ind w:left="1619" w:right="0" w:firstLine="0"/>
        <w:jc w:val="left"/>
        <w:rPr>
          <w:rFonts w:ascii="Trebuchet MS" w:hAnsi="Trebuchet MS"/>
          <w:b/>
          <w:sz w:val="18"/>
        </w:rPr>
      </w:pPr>
      <w:r>
        <w:rPr/>
        <w:pict>
          <v:shape style="position:absolute;margin-left:179.029007pt;margin-top:19.748693pt;width:3.05pt;height:6.25pt;mso-position-horizontal-relative:page;mso-position-vertical-relative:paragraph;z-index:-272281600" type="#_x0000_t202" filled="false" stroked="false">
            <v:textbox inset="0,0,0,0">
              <w:txbxContent>
                <w:p>
                  <w:pPr>
                    <w:spacing w:line="125" w:lineRule="exact" w:before="0"/>
                    <w:ind w:left="0" w:right="0" w:firstLine="0"/>
                    <w:jc w:val="left"/>
                    <w:rPr>
                      <w:rFonts w:ascii="Trebuchet MS"/>
                      <w:b/>
                      <w:sz w:val="11"/>
                    </w:rPr>
                  </w:pPr>
                  <w:r>
                    <w:rPr>
                      <w:rFonts w:ascii="Trebuchet MS"/>
                      <w:b/>
                      <w:color w:val="231F20"/>
                      <w:w w:val="93"/>
                      <w:sz w:val="11"/>
                    </w:rPr>
                    <w:t>3</w:t>
                  </w:r>
                </w:p>
              </w:txbxContent>
            </v:textbox>
            <w10:wrap type="none"/>
          </v:shape>
        </w:pict>
      </w:r>
      <w:r>
        <w:rPr>
          <w:rFonts w:ascii="Trebuchet MS" w:hAnsi="Trebuchet MS"/>
          <w:b/>
          <w:color w:val="231F20"/>
          <w:sz w:val="18"/>
        </w:rPr>
        <w:t>Metabolic Acidosis Results from Decreased Extracellular Fluid HCO </w:t>
      </w:r>
      <w:r>
        <w:rPr>
          <w:rFonts w:ascii="Consolas" w:hAnsi="Consolas"/>
          <w:b/>
          <w:color w:val="231F20"/>
          <w:position w:val="7"/>
          <w:sz w:val="11"/>
        </w:rPr>
        <w:t>− </w:t>
      </w:r>
      <w:r>
        <w:rPr>
          <w:rFonts w:ascii="Trebuchet MS" w:hAnsi="Trebuchet MS"/>
          <w:b/>
          <w:color w:val="231F20"/>
          <w:sz w:val="18"/>
        </w:rPr>
        <w:t>Concentration</w:t>
      </w:r>
    </w:p>
    <w:p>
      <w:pPr>
        <w:spacing w:line="254" w:lineRule="auto" w:before="84"/>
        <w:ind w:left="1620" w:right="0" w:firstLine="0"/>
        <w:jc w:val="both"/>
        <w:rPr>
          <w:sz w:val="18"/>
        </w:rPr>
      </w:pPr>
      <w:r>
        <w:rPr>
          <w:color w:val="231F20"/>
          <w:w w:val="105"/>
          <w:sz w:val="18"/>
        </w:rPr>
        <w:t>The term </w:t>
      </w:r>
      <w:r>
        <w:rPr>
          <w:i/>
          <w:color w:val="231F20"/>
          <w:w w:val="105"/>
          <w:sz w:val="18"/>
        </w:rPr>
        <w:t>metabolic acidosis </w:t>
      </w:r>
      <w:r>
        <w:rPr>
          <w:color w:val="231F20"/>
          <w:w w:val="105"/>
          <w:sz w:val="18"/>
        </w:rPr>
        <w:t>refers to all other types of acidosis besides those caused by excess CO</w:t>
      </w:r>
      <w:r>
        <w:rPr>
          <w:color w:val="231F20"/>
          <w:w w:val="105"/>
          <w:sz w:val="18"/>
          <w:vertAlign w:val="subscript"/>
        </w:rPr>
        <w:t>2</w:t>
      </w:r>
      <w:r>
        <w:rPr>
          <w:color w:val="231F20"/>
          <w:w w:val="105"/>
          <w:sz w:val="18"/>
          <w:vertAlign w:val="baseline"/>
        </w:rPr>
        <w:t> in the </w:t>
      </w:r>
      <w:r>
        <w:rPr>
          <w:color w:val="231F20"/>
          <w:spacing w:val="-3"/>
          <w:w w:val="105"/>
          <w:sz w:val="18"/>
          <w:vertAlign w:val="baseline"/>
        </w:rPr>
        <w:t>body </w:t>
      </w:r>
      <w:r>
        <w:rPr>
          <w:color w:val="231F20"/>
          <w:w w:val="105"/>
          <w:sz w:val="18"/>
          <w:vertAlign w:val="baseline"/>
        </w:rPr>
        <w:t>fluids. Metabolic acidosis can result from several </w:t>
      </w:r>
      <w:r>
        <w:rPr>
          <w:color w:val="231F20"/>
          <w:spacing w:val="-3"/>
          <w:w w:val="105"/>
          <w:sz w:val="18"/>
          <w:vertAlign w:val="baseline"/>
        </w:rPr>
        <w:t>general </w:t>
      </w:r>
      <w:r>
        <w:rPr>
          <w:color w:val="231F20"/>
          <w:w w:val="105"/>
          <w:sz w:val="18"/>
          <w:vertAlign w:val="baseline"/>
        </w:rPr>
        <w:t>causes:</w:t>
      </w:r>
      <w:r>
        <w:rPr>
          <w:color w:val="231F20"/>
          <w:spacing w:val="-20"/>
          <w:w w:val="105"/>
          <w:sz w:val="18"/>
          <w:vertAlign w:val="baseline"/>
        </w:rPr>
        <w:t> </w:t>
      </w:r>
      <w:r>
        <w:rPr>
          <w:color w:val="231F20"/>
          <w:w w:val="105"/>
          <w:sz w:val="18"/>
          <w:vertAlign w:val="baseline"/>
        </w:rPr>
        <w:t>(1)</w:t>
      </w:r>
      <w:r>
        <w:rPr>
          <w:color w:val="231F20"/>
          <w:spacing w:val="-19"/>
          <w:w w:val="105"/>
          <w:sz w:val="18"/>
          <w:vertAlign w:val="baseline"/>
        </w:rPr>
        <w:t> </w:t>
      </w:r>
      <w:r>
        <w:rPr>
          <w:color w:val="231F20"/>
          <w:w w:val="105"/>
          <w:sz w:val="18"/>
          <w:vertAlign w:val="baseline"/>
        </w:rPr>
        <w:t>failure</w:t>
      </w:r>
      <w:r>
        <w:rPr>
          <w:color w:val="231F20"/>
          <w:spacing w:val="-20"/>
          <w:w w:val="105"/>
          <w:sz w:val="18"/>
          <w:vertAlign w:val="baseline"/>
        </w:rPr>
        <w:t> </w:t>
      </w:r>
      <w:r>
        <w:rPr>
          <w:color w:val="231F20"/>
          <w:w w:val="105"/>
          <w:sz w:val="18"/>
          <w:vertAlign w:val="baseline"/>
        </w:rPr>
        <w:t>of</w:t>
      </w:r>
      <w:r>
        <w:rPr>
          <w:color w:val="231F20"/>
          <w:spacing w:val="-19"/>
          <w:w w:val="105"/>
          <w:sz w:val="18"/>
          <w:vertAlign w:val="baseline"/>
        </w:rPr>
        <w:t> </w:t>
      </w:r>
      <w:r>
        <w:rPr>
          <w:color w:val="231F20"/>
          <w:w w:val="105"/>
          <w:sz w:val="18"/>
          <w:vertAlign w:val="baseline"/>
        </w:rPr>
        <w:t>the</w:t>
      </w:r>
      <w:r>
        <w:rPr>
          <w:color w:val="231F20"/>
          <w:spacing w:val="-20"/>
          <w:w w:val="105"/>
          <w:sz w:val="18"/>
          <w:vertAlign w:val="baseline"/>
        </w:rPr>
        <w:t> </w:t>
      </w:r>
      <w:r>
        <w:rPr>
          <w:color w:val="231F20"/>
          <w:w w:val="105"/>
          <w:sz w:val="18"/>
          <w:vertAlign w:val="baseline"/>
        </w:rPr>
        <w:t>kidneys</w:t>
      </w:r>
      <w:r>
        <w:rPr>
          <w:color w:val="231F20"/>
          <w:spacing w:val="-19"/>
          <w:w w:val="105"/>
          <w:sz w:val="18"/>
          <w:vertAlign w:val="baseline"/>
        </w:rPr>
        <w:t> </w:t>
      </w:r>
      <w:r>
        <w:rPr>
          <w:color w:val="231F20"/>
          <w:w w:val="105"/>
          <w:sz w:val="18"/>
          <w:vertAlign w:val="baseline"/>
        </w:rPr>
        <w:t>to</w:t>
      </w:r>
      <w:r>
        <w:rPr>
          <w:color w:val="231F20"/>
          <w:spacing w:val="-20"/>
          <w:w w:val="105"/>
          <w:sz w:val="18"/>
          <w:vertAlign w:val="baseline"/>
        </w:rPr>
        <w:t> </w:t>
      </w:r>
      <w:r>
        <w:rPr>
          <w:color w:val="231F20"/>
          <w:w w:val="105"/>
          <w:sz w:val="18"/>
          <w:vertAlign w:val="baseline"/>
        </w:rPr>
        <w:t>excrete</w:t>
      </w:r>
      <w:r>
        <w:rPr>
          <w:color w:val="231F20"/>
          <w:spacing w:val="-19"/>
          <w:w w:val="105"/>
          <w:sz w:val="18"/>
          <w:vertAlign w:val="baseline"/>
        </w:rPr>
        <w:t> </w:t>
      </w:r>
      <w:r>
        <w:rPr>
          <w:color w:val="231F20"/>
          <w:w w:val="105"/>
          <w:sz w:val="18"/>
          <w:vertAlign w:val="baseline"/>
        </w:rPr>
        <w:t>metabolic</w:t>
      </w:r>
      <w:r>
        <w:rPr>
          <w:color w:val="231F20"/>
          <w:spacing w:val="-20"/>
          <w:w w:val="105"/>
          <w:sz w:val="18"/>
          <w:vertAlign w:val="baseline"/>
        </w:rPr>
        <w:t> </w:t>
      </w:r>
      <w:r>
        <w:rPr>
          <w:color w:val="231F20"/>
          <w:w w:val="105"/>
          <w:sz w:val="18"/>
          <w:vertAlign w:val="baseline"/>
        </w:rPr>
        <w:t>acids normally</w:t>
      </w:r>
      <w:r>
        <w:rPr>
          <w:color w:val="231F20"/>
          <w:spacing w:val="-22"/>
          <w:w w:val="105"/>
          <w:sz w:val="18"/>
          <w:vertAlign w:val="baseline"/>
        </w:rPr>
        <w:t> </w:t>
      </w:r>
      <w:r>
        <w:rPr>
          <w:color w:val="231F20"/>
          <w:w w:val="105"/>
          <w:sz w:val="18"/>
          <w:vertAlign w:val="baseline"/>
        </w:rPr>
        <w:t>formed</w:t>
      </w:r>
      <w:r>
        <w:rPr>
          <w:color w:val="231F20"/>
          <w:spacing w:val="-21"/>
          <w:w w:val="105"/>
          <w:sz w:val="18"/>
          <w:vertAlign w:val="baseline"/>
        </w:rPr>
        <w:t> </w:t>
      </w:r>
      <w:r>
        <w:rPr>
          <w:color w:val="231F20"/>
          <w:w w:val="105"/>
          <w:sz w:val="18"/>
          <w:vertAlign w:val="baseline"/>
        </w:rPr>
        <w:t>in</w:t>
      </w:r>
      <w:r>
        <w:rPr>
          <w:color w:val="231F20"/>
          <w:spacing w:val="-21"/>
          <w:w w:val="105"/>
          <w:sz w:val="18"/>
          <w:vertAlign w:val="baseline"/>
        </w:rPr>
        <w:t> </w:t>
      </w:r>
      <w:r>
        <w:rPr>
          <w:color w:val="231F20"/>
          <w:w w:val="105"/>
          <w:sz w:val="18"/>
          <w:vertAlign w:val="baseline"/>
        </w:rPr>
        <w:t>the</w:t>
      </w:r>
      <w:r>
        <w:rPr>
          <w:color w:val="231F20"/>
          <w:spacing w:val="-21"/>
          <w:w w:val="105"/>
          <w:sz w:val="18"/>
          <w:vertAlign w:val="baseline"/>
        </w:rPr>
        <w:t> </w:t>
      </w:r>
      <w:r>
        <w:rPr>
          <w:color w:val="231F20"/>
          <w:w w:val="105"/>
          <w:sz w:val="18"/>
          <w:vertAlign w:val="baseline"/>
        </w:rPr>
        <w:t>body,</w:t>
      </w:r>
      <w:r>
        <w:rPr>
          <w:color w:val="231F20"/>
          <w:spacing w:val="-21"/>
          <w:w w:val="105"/>
          <w:sz w:val="18"/>
          <w:vertAlign w:val="baseline"/>
        </w:rPr>
        <w:t> </w:t>
      </w:r>
      <w:r>
        <w:rPr>
          <w:color w:val="231F20"/>
          <w:w w:val="105"/>
          <w:sz w:val="18"/>
          <w:vertAlign w:val="baseline"/>
        </w:rPr>
        <w:t>(2)</w:t>
      </w:r>
      <w:r>
        <w:rPr>
          <w:color w:val="231F20"/>
          <w:spacing w:val="-21"/>
          <w:w w:val="105"/>
          <w:sz w:val="18"/>
          <w:vertAlign w:val="baseline"/>
        </w:rPr>
        <w:t> </w:t>
      </w:r>
      <w:r>
        <w:rPr>
          <w:color w:val="231F20"/>
          <w:w w:val="105"/>
          <w:sz w:val="18"/>
          <w:vertAlign w:val="baseline"/>
        </w:rPr>
        <w:t>formation</w:t>
      </w:r>
      <w:r>
        <w:rPr>
          <w:color w:val="231F20"/>
          <w:spacing w:val="-22"/>
          <w:w w:val="105"/>
          <w:sz w:val="18"/>
          <w:vertAlign w:val="baseline"/>
        </w:rPr>
        <w:t> </w:t>
      </w:r>
      <w:r>
        <w:rPr>
          <w:color w:val="231F20"/>
          <w:w w:val="105"/>
          <w:sz w:val="18"/>
          <w:vertAlign w:val="baseline"/>
        </w:rPr>
        <w:t>of</w:t>
      </w:r>
      <w:r>
        <w:rPr>
          <w:color w:val="231F20"/>
          <w:spacing w:val="-21"/>
          <w:w w:val="105"/>
          <w:sz w:val="18"/>
          <w:vertAlign w:val="baseline"/>
        </w:rPr>
        <w:t> </w:t>
      </w:r>
      <w:r>
        <w:rPr>
          <w:color w:val="231F20"/>
          <w:w w:val="105"/>
          <w:sz w:val="18"/>
          <w:vertAlign w:val="baseline"/>
        </w:rPr>
        <w:t>excess</w:t>
      </w:r>
      <w:r>
        <w:rPr>
          <w:color w:val="231F20"/>
          <w:spacing w:val="-21"/>
          <w:w w:val="105"/>
          <w:sz w:val="18"/>
          <w:vertAlign w:val="baseline"/>
        </w:rPr>
        <w:t> </w:t>
      </w:r>
      <w:r>
        <w:rPr>
          <w:color w:val="231F20"/>
          <w:w w:val="105"/>
          <w:sz w:val="18"/>
          <w:vertAlign w:val="baseline"/>
        </w:rPr>
        <w:t>quan- tities</w:t>
      </w:r>
      <w:r>
        <w:rPr>
          <w:color w:val="231F20"/>
          <w:spacing w:val="-5"/>
          <w:w w:val="105"/>
          <w:sz w:val="18"/>
          <w:vertAlign w:val="baseline"/>
        </w:rPr>
        <w:t> </w:t>
      </w:r>
      <w:r>
        <w:rPr>
          <w:color w:val="231F20"/>
          <w:w w:val="105"/>
          <w:sz w:val="18"/>
          <w:vertAlign w:val="baseline"/>
        </w:rPr>
        <w:t>of</w:t>
      </w:r>
      <w:r>
        <w:rPr>
          <w:color w:val="231F20"/>
          <w:spacing w:val="-4"/>
          <w:w w:val="105"/>
          <w:sz w:val="18"/>
          <w:vertAlign w:val="baseline"/>
        </w:rPr>
        <w:t> </w:t>
      </w:r>
      <w:r>
        <w:rPr>
          <w:color w:val="231F20"/>
          <w:w w:val="105"/>
          <w:sz w:val="18"/>
          <w:vertAlign w:val="baseline"/>
        </w:rPr>
        <w:t>metabolic</w:t>
      </w:r>
      <w:r>
        <w:rPr>
          <w:color w:val="231F20"/>
          <w:spacing w:val="-4"/>
          <w:w w:val="105"/>
          <w:sz w:val="18"/>
          <w:vertAlign w:val="baseline"/>
        </w:rPr>
        <w:t> </w:t>
      </w:r>
      <w:r>
        <w:rPr>
          <w:color w:val="231F20"/>
          <w:w w:val="105"/>
          <w:sz w:val="18"/>
          <w:vertAlign w:val="baseline"/>
        </w:rPr>
        <w:t>acids</w:t>
      </w:r>
      <w:r>
        <w:rPr>
          <w:color w:val="231F20"/>
          <w:spacing w:val="-4"/>
          <w:w w:val="105"/>
          <w:sz w:val="18"/>
          <w:vertAlign w:val="baseline"/>
        </w:rPr>
        <w:t> </w:t>
      </w:r>
      <w:r>
        <w:rPr>
          <w:color w:val="231F20"/>
          <w:w w:val="105"/>
          <w:sz w:val="18"/>
          <w:vertAlign w:val="baseline"/>
        </w:rPr>
        <w:t>in</w:t>
      </w:r>
      <w:r>
        <w:rPr>
          <w:color w:val="231F20"/>
          <w:spacing w:val="-5"/>
          <w:w w:val="105"/>
          <w:sz w:val="18"/>
          <w:vertAlign w:val="baseline"/>
        </w:rPr>
        <w:t> </w:t>
      </w:r>
      <w:r>
        <w:rPr>
          <w:color w:val="231F20"/>
          <w:w w:val="105"/>
          <w:sz w:val="18"/>
          <w:vertAlign w:val="baseline"/>
        </w:rPr>
        <w:t>the</w:t>
      </w:r>
      <w:r>
        <w:rPr>
          <w:color w:val="231F20"/>
          <w:spacing w:val="-4"/>
          <w:w w:val="105"/>
          <w:sz w:val="18"/>
          <w:vertAlign w:val="baseline"/>
        </w:rPr>
        <w:t> </w:t>
      </w:r>
      <w:r>
        <w:rPr>
          <w:color w:val="231F20"/>
          <w:w w:val="105"/>
          <w:sz w:val="18"/>
          <w:vertAlign w:val="baseline"/>
        </w:rPr>
        <w:t>body,</w:t>
      </w:r>
      <w:r>
        <w:rPr>
          <w:color w:val="231F20"/>
          <w:spacing w:val="-4"/>
          <w:w w:val="105"/>
          <w:sz w:val="18"/>
          <w:vertAlign w:val="baseline"/>
        </w:rPr>
        <w:t> </w:t>
      </w:r>
      <w:r>
        <w:rPr>
          <w:color w:val="231F20"/>
          <w:w w:val="105"/>
          <w:sz w:val="18"/>
          <w:vertAlign w:val="baseline"/>
        </w:rPr>
        <w:t>(3)</w:t>
      </w:r>
      <w:r>
        <w:rPr>
          <w:color w:val="231F20"/>
          <w:spacing w:val="-4"/>
          <w:w w:val="105"/>
          <w:sz w:val="18"/>
          <w:vertAlign w:val="baseline"/>
        </w:rPr>
        <w:t> </w:t>
      </w:r>
      <w:r>
        <w:rPr>
          <w:color w:val="231F20"/>
          <w:w w:val="105"/>
          <w:sz w:val="18"/>
          <w:vertAlign w:val="baseline"/>
        </w:rPr>
        <w:t>addition</w:t>
      </w:r>
      <w:r>
        <w:rPr>
          <w:color w:val="231F20"/>
          <w:spacing w:val="-4"/>
          <w:w w:val="105"/>
          <w:sz w:val="18"/>
          <w:vertAlign w:val="baseline"/>
        </w:rPr>
        <w:t> </w:t>
      </w:r>
      <w:r>
        <w:rPr>
          <w:color w:val="231F20"/>
          <w:w w:val="105"/>
          <w:sz w:val="18"/>
          <w:vertAlign w:val="baseline"/>
        </w:rPr>
        <w:t>of</w:t>
      </w:r>
      <w:r>
        <w:rPr>
          <w:color w:val="231F20"/>
          <w:spacing w:val="-5"/>
          <w:w w:val="105"/>
          <w:sz w:val="18"/>
          <w:vertAlign w:val="baseline"/>
        </w:rPr>
        <w:t> </w:t>
      </w:r>
      <w:r>
        <w:rPr>
          <w:color w:val="231F20"/>
          <w:spacing w:val="-3"/>
          <w:w w:val="105"/>
          <w:sz w:val="18"/>
          <w:vertAlign w:val="baseline"/>
        </w:rPr>
        <w:t>meta- </w:t>
      </w:r>
      <w:r>
        <w:rPr>
          <w:color w:val="231F20"/>
          <w:w w:val="105"/>
          <w:sz w:val="18"/>
          <w:vertAlign w:val="baseline"/>
        </w:rPr>
        <w:t>bolic acids to the body by ingestion or infusion of acids, and (4) loss of base from the body fluids, which has </w:t>
      </w:r>
      <w:r>
        <w:rPr>
          <w:color w:val="231F20"/>
          <w:spacing w:val="-6"/>
          <w:w w:val="105"/>
          <w:sz w:val="18"/>
          <w:vertAlign w:val="baseline"/>
        </w:rPr>
        <w:t>the </w:t>
      </w:r>
      <w:r>
        <w:rPr>
          <w:color w:val="231F20"/>
          <w:w w:val="105"/>
          <w:sz w:val="18"/>
          <w:vertAlign w:val="baseline"/>
        </w:rPr>
        <w:t>same effect as adding an acid to the body fluids. Some specific conditions that cause metabolic acidosis are described in the following</w:t>
      </w:r>
      <w:r>
        <w:rPr>
          <w:color w:val="231F20"/>
          <w:spacing w:val="7"/>
          <w:w w:val="105"/>
          <w:sz w:val="18"/>
          <w:vertAlign w:val="baseline"/>
        </w:rPr>
        <w:t> </w:t>
      </w:r>
      <w:r>
        <w:rPr>
          <w:color w:val="231F20"/>
          <w:w w:val="105"/>
          <w:sz w:val="18"/>
          <w:vertAlign w:val="baseline"/>
        </w:rPr>
        <w:t>sections.</w:t>
      </w:r>
    </w:p>
    <w:p>
      <w:pPr>
        <w:spacing w:line="254" w:lineRule="auto" w:before="7"/>
        <w:ind w:left="1619" w:right="0" w:firstLine="240"/>
        <w:jc w:val="both"/>
        <w:rPr>
          <w:sz w:val="18"/>
        </w:rPr>
      </w:pPr>
      <w:r>
        <w:rPr/>
        <w:pict>
          <v:shape style="position:absolute;margin-left:112.077103pt;margin-top:27.085743pt;width:2.7pt;height:7.8pt;mso-position-horizontal-relative:page;mso-position-vertical-relative:paragraph;z-index:-27228057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pict>
          <v:shape style="position:absolute;margin-left:240.294495pt;margin-top:38.085743pt;width:2.7pt;height:7.8pt;mso-position-horizontal-relative:page;mso-position-vertical-relative:paragraph;z-index:-272279552"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pict>
          <v:shape style="position:absolute;margin-left:159.285706pt;margin-top:49.085743pt;width:2.7pt;height:7.8pt;mso-position-horizontal-relative:page;mso-position-vertical-relative:paragraph;z-index:-272278528"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pict>
          <v:shape style="position:absolute;margin-left:94.805801pt;margin-top:93.085747pt;width:2.7pt;height:7.8pt;mso-position-horizontal-relative:page;mso-position-vertical-relative:paragraph;z-index:-272277504" type="#_x0000_t202" filled="false" stroked="false">
            <v:textbox inset="0,0,0,0">
              <w:txbxContent>
                <w:p>
                  <w:pPr>
                    <w:spacing w:line="124" w:lineRule="exact" w:before="0"/>
                    <w:ind w:left="0" w:right="0" w:firstLine="0"/>
                    <w:jc w:val="left"/>
                    <w:rPr>
                      <w:sz w:val="11"/>
                    </w:rPr>
                  </w:pPr>
                  <w:r>
                    <w:rPr>
                      <w:color w:val="231F20"/>
                      <w:w w:val="96"/>
                      <w:sz w:val="11"/>
                    </w:rPr>
                    <w:t>4</w:t>
                  </w:r>
                </w:p>
              </w:txbxContent>
            </v:textbox>
            <w10:wrap type="none"/>
          </v:shape>
        </w:pict>
      </w:r>
      <w:r>
        <w:rPr>
          <w:rFonts w:ascii="Trebuchet MS" w:hAnsi="Trebuchet MS"/>
          <w:b/>
          <w:color w:val="231F20"/>
          <w:w w:val="105"/>
          <w:sz w:val="16"/>
        </w:rPr>
        <w:t>Renal </w:t>
      </w:r>
      <w:r>
        <w:rPr>
          <w:rFonts w:ascii="Trebuchet MS" w:hAnsi="Trebuchet MS"/>
          <w:b/>
          <w:color w:val="231F20"/>
          <w:spacing w:val="-3"/>
          <w:w w:val="105"/>
          <w:sz w:val="16"/>
        </w:rPr>
        <w:t>Tubular </w:t>
      </w:r>
      <w:r>
        <w:rPr>
          <w:rFonts w:ascii="Trebuchet MS" w:hAnsi="Trebuchet MS"/>
          <w:b/>
          <w:color w:val="231F20"/>
          <w:w w:val="105"/>
          <w:sz w:val="16"/>
        </w:rPr>
        <w:t>Acidosis. </w:t>
      </w:r>
      <w:r>
        <w:rPr>
          <w:color w:val="231F20"/>
          <w:w w:val="105"/>
          <w:sz w:val="18"/>
        </w:rPr>
        <w:t>Renal tubular acidosis</w:t>
      </w:r>
      <w:r>
        <w:rPr>
          <w:color w:val="231F20"/>
          <w:spacing w:val="-19"/>
          <w:w w:val="105"/>
          <w:sz w:val="18"/>
        </w:rPr>
        <w:t> </w:t>
      </w:r>
      <w:r>
        <w:rPr>
          <w:color w:val="231F20"/>
          <w:w w:val="105"/>
          <w:sz w:val="18"/>
        </w:rPr>
        <w:t>results from a defect in renal secretion of H</w:t>
      </w:r>
      <w:r>
        <w:rPr>
          <w:rFonts w:ascii="Consolas" w:hAnsi="Consolas"/>
          <w:color w:val="231F20"/>
          <w:w w:val="105"/>
          <w:position w:val="7"/>
          <w:sz w:val="11"/>
        </w:rPr>
        <w:t>+ </w:t>
      </w:r>
      <w:r>
        <w:rPr>
          <w:color w:val="231F20"/>
          <w:w w:val="105"/>
          <w:sz w:val="18"/>
        </w:rPr>
        <w:t>or in reabsorption of HCO </w:t>
      </w:r>
      <w:r>
        <w:rPr>
          <w:rFonts w:ascii="Consolas" w:hAnsi="Consolas"/>
          <w:color w:val="231F20"/>
          <w:w w:val="105"/>
          <w:position w:val="7"/>
          <w:sz w:val="11"/>
        </w:rPr>
        <w:t>−</w:t>
      </w:r>
      <w:r>
        <w:rPr>
          <w:color w:val="231F20"/>
          <w:w w:val="105"/>
          <w:sz w:val="18"/>
        </w:rPr>
        <w:t>, or both. These disorders are generally of two types:</w:t>
      </w:r>
      <w:r>
        <w:rPr>
          <w:color w:val="231F20"/>
          <w:spacing w:val="-19"/>
          <w:w w:val="105"/>
          <w:sz w:val="18"/>
        </w:rPr>
        <w:t> </w:t>
      </w:r>
      <w:r>
        <w:rPr>
          <w:color w:val="231F20"/>
          <w:w w:val="105"/>
          <w:sz w:val="18"/>
        </w:rPr>
        <w:t>(1)</w:t>
      </w:r>
      <w:r>
        <w:rPr>
          <w:color w:val="231F20"/>
          <w:spacing w:val="-19"/>
          <w:w w:val="105"/>
          <w:sz w:val="18"/>
        </w:rPr>
        <w:t> </w:t>
      </w:r>
      <w:r>
        <w:rPr>
          <w:color w:val="231F20"/>
          <w:w w:val="105"/>
          <w:sz w:val="18"/>
        </w:rPr>
        <w:t>impairment</w:t>
      </w:r>
      <w:r>
        <w:rPr>
          <w:color w:val="231F20"/>
          <w:spacing w:val="-18"/>
          <w:w w:val="105"/>
          <w:sz w:val="18"/>
        </w:rPr>
        <w:t> </w:t>
      </w:r>
      <w:r>
        <w:rPr>
          <w:color w:val="231F20"/>
          <w:w w:val="105"/>
          <w:sz w:val="18"/>
        </w:rPr>
        <w:t>of</w:t>
      </w:r>
      <w:r>
        <w:rPr>
          <w:color w:val="231F20"/>
          <w:spacing w:val="-19"/>
          <w:w w:val="105"/>
          <w:sz w:val="18"/>
        </w:rPr>
        <w:t> </w:t>
      </w:r>
      <w:r>
        <w:rPr>
          <w:color w:val="231F20"/>
          <w:w w:val="105"/>
          <w:sz w:val="18"/>
        </w:rPr>
        <w:t>renal</w:t>
      </w:r>
      <w:r>
        <w:rPr>
          <w:color w:val="231F20"/>
          <w:spacing w:val="-19"/>
          <w:w w:val="105"/>
          <w:sz w:val="18"/>
        </w:rPr>
        <w:t> </w:t>
      </w:r>
      <w:r>
        <w:rPr>
          <w:color w:val="231F20"/>
          <w:w w:val="105"/>
          <w:sz w:val="18"/>
        </w:rPr>
        <w:t>tubular</w:t>
      </w:r>
      <w:r>
        <w:rPr>
          <w:color w:val="231F20"/>
          <w:spacing w:val="-18"/>
          <w:w w:val="105"/>
          <w:sz w:val="18"/>
        </w:rPr>
        <w:t> </w:t>
      </w:r>
      <w:r>
        <w:rPr>
          <w:color w:val="231F20"/>
          <w:w w:val="105"/>
          <w:sz w:val="18"/>
        </w:rPr>
        <w:t>HCO</w:t>
      </w:r>
      <w:r>
        <w:rPr>
          <w:color w:val="231F20"/>
          <w:spacing w:val="-5"/>
          <w:w w:val="105"/>
          <w:sz w:val="18"/>
        </w:rPr>
        <w:t> </w:t>
      </w:r>
      <w:r>
        <w:rPr>
          <w:rFonts w:ascii="Consolas" w:hAnsi="Consolas"/>
          <w:color w:val="231F20"/>
          <w:w w:val="105"/>
          <w:position w:val="7"/>
          <w:sz w:val="11"/>
        </w:rPr>
        <w:t>−</w:t>
      </w:r>
      <w:r>
        <w:rPr>
          <w:rFonts w:ascii="Consolas" w:hAnsi="Consolas"/>
          <w:color w:val="231F20"/>
          <w:spacing w:val="-35"/>
          <w:w w:val="105"/>
          <w:position w:val="7"/>
          <w:sz w:val="11"/>
        </w:rPr>
        <w:t> </w:t>
      </w:r>
      <w:r>
        <w:rPr>
          <w:color w:val="231F20"/>
          <w:w w:val="105"/>
          <w:sz w:val="18"/>
        </w:rPr>
        <w:t>reabsorption, causing loss of HCO </w:t>
      </w:r>
      <w:r>
        <w:rPr>
          <w:rFonts w:ascii="Consolas" w:hAnsi="Consolas"/>
          <w:color w:val="231F20"/>
          <w:w w:val="105"/>
          <w:position w:val="7"/>
          <w:sz w:val="11"/>
        </w:rPr>
        <w:t>− </w:t>
      </w:r>
      <w:r>
        <w:rPr>
          <w:color w:val="231F20"/>
          <w:w w:val="105"/>
          <w:sz w:val="18"/>
        </w:rPr>
        <w:t>in the urine, or (2) inability of </w:t>
      </w:r>
      <w:r>
        <w:rPr>
          <w:color w:val="231F20"/>
          <w:spacing w:val="-6"/>
          <w:w w:val="105"/>
          <w:sz w:val="18"/>
        </w:rPr>
        <w:t>the </w:t>
      </w:r>
      <w:r>
        <w:rPr>
          <w:color w:val="231F20"/>
          <w:w w:val="105"/>
          <w:sz w:val="18"/>
        </w:rPr>
        <w:t>renal</w:t>
      </w:r>
      <w:r>
        <w:rPr>
          <w:color w:val="231F20"/>
          <w:spacing w:val="-6"/>
          <w:w w:val="105"/>
          <w:sz w:val="18"/>
        </w:rPr>
        <w:t> </w:t>
      </w:r>
      <w:r>
        <w:rPr>
          <w:color w:val="231F20"/>
          <w:w w:val="105"/>
          <w:sz w:val="18"/>
        </w:rPr>
        <w:t>tubular</w:t>
      </w:r>
      <w:r>
        <w:rPr>
          <w:color w:val="231F20"/>
          <w:spacing w:val="-5"/>
          <w:w w:val="105"/>
          <w:sz w:val="18"/>
        </w:rPr>
        <w:t> </w:t>
      </w:r>
      <w:r>
        <w:rPr>
          <w:color w:val="231F20"/>
          <w:w w:val="105"/>
          <w:sz w:val="18"/>
        </w:rPr>
        <w:t>H</w:t>
      </w:r>
      <w:r>
        <w:rPr>
          <w:rFonts w:ascii="Consolas" w:hAnsi="Consolas"/>
          <w:color w:val="231F20"/>
          <w:w w:val="105"/>
          <w:position w:val="7"/>
          <w:sz w:val="11"/>
        </w:rPr>
        <w:t>+</w:t>
      </w:r>
      <w:r>
        <w:rPr>
          <w:rFonts w:ascii="Consolas" w:hAnsi="Consolas"/>
          <w:color w:val="231F20"/>
          <w:spacing w:val="-22"/>
          <w:w w:val="105"/>
          <w:position w:val="7"/>
          <w:sz w:val="11"/>
        </w:rPr>
        <w:t> </w:t>
      </w:r>
      <w:r>
        <w:rPr>
          <w:color w:val="231F20"/>
          <w:w w:val="105"/>
          <w:sz w:val="18"/>
        </w:rPr>
        <w:t>secretory</w:t>
      </w:r>
      <w:r>
        <w:rPr>
          <w:color w:val="231F20"/>
          <w:spacing w:val="-5"/>
          <w:w w:val="105"/>
          <w:sz w:val="18"/>
        </w:rPr>
        <w:t> </w:t>
      </w:r>
      <w:r>
        <w:rPr>
          <w:color w:val="231F20"/>
          <w:w w:val="105"/>
          <w:sz w:val="18"/>
        </w:rPr>
        <w:t>mechanism</w:t>
      </w:r>
      <w:r>
        <w:rPr>
          <w:color w:val="231F20"/>
          <w:spacing w:val="-5"/>
          <w:w w:val="105"/>
          <w:sz w:val="18"/>
        </w:rPr>
        <w:t> </w:t>
      </w:r>
      <w:r>
        <w:rPr>
          <w:color w:val="231F20"/>
          <w:w w:val="105"/>
          <w:sz w:val="18"/>
        </w:rPr>
        <w:t>to</w:t>
      </w:r>
      <w:r>
        <w:rPr>
          <w:color w:val="231F20"/>
          <w:spacing w:val="-5"/>
          <w:w w:val="105"/>
          <w:sz w:val="18"/>
        </w:rPr>
        <w:t> </w:t>
      </w:r>
      <w:r>
        <w:rPr>
          <w:color w:val="231F20"/>
          <w:w w:val="105"/>
          <w:sz w:val="18"/>
        </w:rPr>
        <w:t>establish</w:t>
      </w:r>
      <w:r>
        <w:rPr>
          <w:color w:val="231F20"/>
          <w:spacing w:val="-5"/>
          <w:w w:val="105"/>
          <w:sz w:val="18"/>
        </w:rPr>
        <w:t> </w:t>
      </w:r>
      <w:r>
        <w:rPr>
          <w:color w:val="231F20"/>
          <w:w w:val="105"/>
          <w:sz w:val="18"/>
        </w:rPr>
        <w:t>normal acidic urine, causing the excretion of alkaline urine. In these cases, inadequate amounts of titratable acid and NH </w:t>
      </w:r>
      <w:r>
        <w:rPr>
          <w:rFonts w:ascii="Consolas" w:hAnsi="Consolas"/>
          <w:color w:val="231F20"/>
          <w:w w:val="105"/>
          <w:position w:val="7"/>
          <w:sz w:val="11"/>
        </w:rPr>
        <w:t>+ </w:t>
      </w:r>
      <w:r>
        <w:rPr>
          <w:color w:val="231F20"/>
          <w:w w:val="105"/>
          <w:sz w:val="18"/>
        </w:rPr>
        <w:t>are excreted, so there is net accumulation of acid</w:t>
      </w:r>
      <w:r>
        <w:rPr>
          <w:color w:val="231F20"/>
          <w:spacing w:val="-22"/>
          <w:w w:val="105"/>
          <w:sz w:val="18"/>
        </w:rPr>
        <w:t> </w:t>
      </w:r>
      <w:r>
        <w:rPr>
          <w:color w:val="231F20"/>
          <w:w w:val="105"/>
          <w:sz w:val="18"/>
        </w:rPr>
        <w:t>in the body fluids. Some causes of renal tubular acidosis include</w:t>
      </w:r>
      <w:r>
        <w:rPr>
          <w:color w:val="231F20"/>
          <w:spacing w:val="-32"/>
          <w:w w:val="105"/>
          <w:sz w:val="18"/>
        </w:rPr>
        <w:t> </w:t>
      </w:r>
      <w:r>
        <w:rPr>
          <w:color w:val="231F20"/>
          <w:w w:val="105"/>
          <w:sz w:val="18"/>
        </w:rPr>
        <w:t>chronic</w:t>
      </w:r>
      <w:r>
        <w:rPr>
          <w:color w:val="231F20"/>
          <w:spacing w:val="-32"/>
          <w:w w:val="105"/>
          <w:sz w:val="18"/>
        </w:rPr>
        <w:t> </w:t>
      </w:r>
      <w:r>
        <w:rPr>
          <w:color w:val="231F20"/>
          <w:w w:val="105"/>
          <w:sz w:val="18"/>
        </w:rPr>
        <w:t>renal</w:t>
      </w:r>
      <w:r>
        <w:rPr>
          <w:color w:val="231F20"/>
          <w:spacing w:val="-32"/>
          <w:w w:val="105"/>
          <w:sz w:val="18"/>
        </w:rPr>
        <w:t> </w:t>
      </w:r>
      <w:r>
        <w:rPr>
          <w:color w:val="231F20"/>
          <w:w w:val="105"/>
          <w:sz w:val="18"/>
        </w:rPr>
        <w:t>failure,</w:t>
      </w:r>
      <w:r>
        <w:rPr>
          <w:color w:val="231F20"/>
          <w:spacing w:val="-32"/>
          <w:w w:val="105"/>
          <w:sz w:val="18"/>
        </w:rPr>
        <w:t> </w:t>
      </w:r>
      <w:r>
        <w:rPr>
          <w:color w:val="231F20"/>
          <w:w w:val="105"/>
          <w:sz w:val="18"/>
        </w:rPr>
        <w:t>insufficient</w:t>
      </w:r>
      <w:r>
        <w:rPr>
          <w:color w:val="231F20"/>
          <w:spacing w:val="-32"/>
          <w:w w:val="105"/>
          <w:sz w:val="18"/>
        </w:rPr>
        <w:t> </w:t>
      </w:r>
      <w:r>
        <w:rPr>
          <w:color w:val="231F20"/>
          <w:w w:val="105"/>
          <w:sz w:val="18"/>
        </w:rPr>
        <w:t>aldosterone</w:t>
      </w:r>
      <w:r>
        <w:rPr>
          <w:color w:val="231F20"/>
          <w:spacing w:val="-32"/>
          <w:w w:val="105"/>
          <w:sz w:val="18"/>
        </w:rPr>
        <w:t> </w:t>
      </w:r>
      <w:r>
        <w:rPr>
          <w:color w:val="231F20"/>
          <w:w w:val="105"/>
          <w:sz w:val="18"/>
        </w:rPr>
        <w:t>secre- tion </w:t>
      </w:r>
      <w:r>
        <w:rPr>
          <w:color w:val="231F20"/>
          <w:spacing w:val="-3"/>
          <w:w w:val="105"/>
          <w:sz w:val="18"/>
        </w:rPr>
        <w:t>(Addison’s </w:t>
      </w:r>
      <w:r>
        <w:rPr>
          <w:color w:val="231F20"/>
          <w:w w:val="105"/>
          <w:sz w:val="18"/>
        </w:rPr>
        <w:t>disease), and several hereditary </w:t>
      </w:r>
      <w:r>
        <w:rPr>
          <w:color w:val="231F20"/>
          <w:spacing w:val="-4"/>
          <w:w w:val="105"/>
          <w:sz w:val="18"/>
        </w:rPr>
        <w:t>and </w:t>
      </w:r>
      <w:r>
        <w:rPr>
          <w:color w:val="231F20"/>
          <w:w w:val="105"/>
          <w:sz w:val="18"/>
        </w:rPr>
        <w:t>acquired disorders that impair tubular function, such </w:t>
      </w:r>
      <w:r>
        <w:rPr>
          <w:color w:val="231F20"/>
          <w:spacing w:val="-6"/>
          <w:w w:val="105"/>
          <w:sz w:val="18"/>
        </w:rPr>
        <w:t>as </w:t>
      </w:r>
      <w:r>
        <w:rPr>
          <w:color w:val="231F20"/>
          <w:spacing w:val="-3"/>
          <w:w w:val="105"/>
          <w:sz w:val="18"/>
        </w:rPr>
        <w:t>Fanconi’s </w:t>
      </w:r>
      <w:r>
        <w:rPr>
          <w:color w:val="231F20"/>
          <w:w w:val="105"/>
          <w:sz w:val="18"/>
        </w:rPr>
        <w:t>syndrome (see Chapter</w:t>
      </w:r>
      <w:r>
        <w:rPr>
          <w:color w:val="231F20"/>
          <w:spacing w:val="7"/>
          <w:w w:val="105"/>
          <w:sz w:val="18"/>
        </w:rPr>
        <w:t> </w:t>
      </w:r>
      <w:r>
        <w:rPr>
          <w:color w:val="231F20"/>
          <w:w w:val="105"/>
          <w:sz w:val="18"/>
        </w:rPr>
        <w:t>32).</w:t>
      </w:r>
    </w:p>
    <w:p>
      <w:pPr>
        <w:spacing w:line="196" w:lineRule="exact" w:before="0"/>
        <w:ind w:left="0" w:right="0" w:firstLine="0"/>
        <w:jc w:val="right"/>
        <w:rPr>
          <w:sz w:val="18"/>
        </w:rPr>
      </w:pPr>
      <w:r>
        <w:rPr>
          <w:rFonts w:ascii="Trebuchet MS"/>
          <w:b/>
          <w:color w:val="231F20"/>
          <w:w w:val="105"/>
          <w:sz w:val="16"/>
        </w:rPr>
        <w:t>Diarrhea.</w:t>
      </w:r>
      <w:r>
        <w:rPr>
          <w:rFonts w:ascii="Trebuchet MS"/>
          <w:b/>
          <w:color w:val="231F20"/>
          <w:spacing w:val="-4"/>
          <w:w w:val="105"/>
          <w:sz w:val="16"/>
        </w:rPr>
        <w:t> </w:t>
      </w:r>
      <w:r>
        <w:rPr>
          <w:color w:val="231F20"/>
          <w:w w:val="105"/>
          <w:sz w:val="18"/>
        </w:rPr>
        <w:t>Severe</w:t>
      </w:r>
      <w:r>
        <w:rPr>
          <w:color w:val="231F20"/>
          <w:spacing w:val="-26"/>
          <w:w w:val="105"/>
          <w:sz w:val="18"/>
        </w:rPr>
        <w:t> </w:t>
      </w:r>
      <w:r>
        <w:rPr>
          <w:color w:val="231F20"/>
          <w:w w:val="105"/>
          <w:sz w:val="18"/>
        </w:rPr>
        <w:t>diarrhea</w:t>
      </w:r>
      <w:r>
        <w:rPr>
          <w:color w:val="231F20"/>
          <w:spacing w:val="-27"/>
          <w:w w:val="105"/>
          <w:sz w:val="18"/>
        </w:rPr>
        <w:t> </w:t>
      </w:r>
      <w:r>
        <w:rPr>
          <w:color w:val="231F20"/>
          <w:w w:val="105"/>
          <w:sz w:val="18"/>
        </w:rPr>
        <w:t>is</w:t>
      </w:r>
      <w:r>
        <w:rPr>
          <w:color w:val="231F20"/>
          <w:spacing w:val="-27"/>
          <w:w w:val="105"/>
          <w:sz w:val="18"/>
        </w:rPr>
        <w:t> </w:t>
      </w:r>
      <w:r>
        <w:rPr>
          <w:color w:val="231F20"/>
          <w:w w:val="105"/>
          <w:sz w:val="18"/>
        </w:rPr>
        <w:t>probably</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most</w:t>
      </w:r>
      <w:r>
        <w:rPr>
          <w:color w:val="231F20"/>
          <w:spacing w:val="-27"/>
          <w:w w:val="105"/>
          <w:sz w:val="18"/>
        </w:rPr>
        <w:t> </w:t>
      </w:r>
      <w:r>
        <w:rPr>
          <w:color w:val="231F20"/>
          <w:w w:val="105"/>
          <w:sz w:val="18"/>
        </w:rPr>
        <w:t>frequent</w:t>
      </w:r>
    </w:p>
    <w:p>
      <w:pPr>
        <w:spacing w:before="13"/>
        <w:ind w:left="0" w:right="0" w:firstLine="0"/>
        <w:jc w:val="right"/>
        <w:rPr>
          <w:i/>
          <w:sz w:val="18"/>
        </w:rPr>
      </w:pPr>
      <w:r>
        <w:rPr>
          <w:color w:val="231F20"/>
          <w:sz w:val="18"/>
        </w:rPr>
        <w:t>cause</w:t>
      </w:r>
      <w:r>
        <w:rPr>
          <w:color w:val="231F20"/>
          <w:spacing w:val="-4"/>
          <w:sz w:val="18"/>
        </w:rPr>
        <w:t> </w:t>
      </w:r>
      <w:r>
        <w:rPr>
          <w:color w:val="231F20"/>
          <w:sz w:val="18"/>
        </w:rPr>
        <w:t>of</w:t>
      </w:r>
      <w:r>
        <w:rPr>
          <w:color w:val="231F20"/>
          <w:spacing w:val="-4"/>
          <w:sz w:val="18"/>
        </w:rPr>
        <w:t> </w:t>
      </w:r>
      <w:r>
        <w:rPr>
          <w:color w:val="231F20"/>
          <w:sz w:val="18"/>
        </w:rPr>
        <w:t>metabolic</w:t>
      </w:r>
      <w:r>
        <w:rPr>
          <w:color w:val="231F20"/>
          <w:spacing w:val="-3"/>
          <w:sz w:val="18"/>
        </w:rPr>
        <w:t> </w:t>
      </w:r>
      <w:r>
        <w:rPr>
          <w:color w:val="231F20"/>
          <w:sz w:val="18"/>
        </w:rPr>
        <w:t>acidosis.</w:t>
      </w:r>
      <w:r>
        <w:rPr>
          <w:color w:val="231F20"/>
          <w:spacing w:val="-4"/>
          <w:sz w:val="18"/>
        </w:rPr>
        <w:t> </w:t>
      </w:r>
      <w:r>
        <w:rPr>
          <w:i/>
          <w:color w:val="231F20"/>
          <w:sz w:val="18"/>
        </w:rPr>
        <w:t>The</w:t>
      </w:r>
      <w:r>
        <w:rPr>
          <w:i/>
          <w:color w:val="231F20"/>
          <w:spacing w:val="-3"/>
          <w:sz w:val="18"/>
        </w:rPr>
        <w:t> </w:t>
      </w:r>
      <w:r>
        <w:rPr>
          <w:i/>
          <w:color w:val="231F20"/>
          <w:sz w:val="18"/>
        </w:rPr>
        <w:t>cause</w:t>
      </w:r>
      <w:r>
        <w:rPr>
          <w:i/>
          <w:color w:val="231F20"/>
          <w:spacing w:val="-4"/>
          <w:sz w:val="18"/>
        </w:rPr>
        <w:t> </w:t>
      </w:r>
      <w:r>
        <w:rPr>
          <w:i/>
          <w:color w:val="231F20"/>
          <w:sz w:val="18"/>
        </w:rPr>
        <w:t>of</w:t>
      </w:r>
      <w:r>
        <w:rPr>
          <w:i/>
          <w:color w:val="231F20"/>
          <w:spacing w:val="-4"/>
          <w:sz w:val="18"/>
        </w:rPr>
        <w:t> </w:t>
      </w:r>
      <w:r>
        <w:rPr>
          <w:i/>
          <w:color w:val="231F20"/>
          <w:sz w:val="18"/>
        </w:rPr>
        <w:t>this</w:t>
      </w:r>
      <w:r>
        <w:rPr>
          <w:i/>
          <w:color w:val="231F20"/>
          <w:spacing w:val="-3"/>
          <w:sz w:val="18"/>
        </w:rPr>
        <w:t> </w:t>
      </w:r>
      <w:r>
        <w:rPr>
          <w:i/>
          <w:color w:val="231F20"/>
          <w:sz w:val="18"/>
        </w:rPr>
        <w:t>acidosis</w:t>
      </w:r>
      <w:r>
        <w:rPr>
          <w:i/>
          <w:color w:val="231F20"/>
          <w:spacing w:val="-4"/>
          <w:sz w:val="18"/>
        </w:rPr>
        <w:t> </w:t>
      </w:r>
      <w:r>
        <w:rPr>
          <w:i/>
          <w:color w:val="231F20"/>
          <w:sz w:val="18"/>
        </w:rPr>
        <w:t>is</w:t>
      </w:r>
      <w:r>
        <w:rPr>
          <w:i/>
          <w:color w:val="231F20"/>
          <w:spacing w:val="-3"/>
          <w:sz w:val="18"/>
        </w:rPr>
        <w:t> </w:t>
      </w:r>
      <w:r>
        <w:rPr>
          <w:i/>
          <w:color w:val="231F20"/>
          <w:sz w:val="18"/>
        </w:rPr>
        <w:t>the</w:t>
      </w:r>
    </w:p>
    <w:p>
      <w:pPr>
        <w:spacing w:line="254" w:lineRule="auto" w:before="99"/>
        <w:ind w:left="679" w:right="1257" w:firstLine="0"/>
        <w:jc w:val="both"/>
        <w:rPr>
          <w:sz w:val="18"/>
        </w:rPr>
      </w:pPr>
      <w:r>
        <w:rPr/>
        <w:br w:type="column"/>
      </w:r>
      <w:r>
        <w:rPr>
          <w:i/>
          <w:color w:val="231F20"/>
          <w:w w:val="105"/>
          <w:sz w:val="18"/>
        </w:rPr>
        <w:t>loss</w:t>
      </w:r>
      <w:r>
        <w:rPr>
          <w:i/>
          <w:color w:val="231F20"/>
          <w:spacing w:val="-17"/>
          <w:w w:val="105"/>
          <w:sz w:val="18"/>
        </w:rPr>
        <w:t> </w:t>
      </w:r>
      <w:r>
        <w:rPr>
          <w:i/>
          <w:color w:val="231F20"/>
          <w:w w:val="105"/>
          <w:sz w:val="18"/>
        </w:rPr>
        <w:t>of</w:t>
      </w:r>
      <w:r>
        <w:rPr>
          <w:i/>
          <w:color w:val="231F20"/>
          <w:spacing w:val="-17"/>
          <w:w w:val="105"/>
          <w:sz w:val="18"/>
        </w:rPr>
        <w:t> </w:t>
      </w:r>
      <w:r>
        <w:rPr>
          <w:i/>
          <w:color w:val="231F20"/>
          <w:w w:val="105"/>
          <w:sz w:val="18"/>
        </w:rPr>
        <w:t>large</w:t>
      </w:r>
      <w:r>
        <w:rPr>
          <w:i/>
          <w:color w:val="231F20"/>
          <w:spacing w:val="-17"/>
          <w:w w:val="105"/>
          <w:sz w:val="18"/>
        </w:rPr>
        <w:t> </w:t>
      </w:r>
      <w:r>
        <w:rPr>
          <w:i/>
          <w:color w:val="231F20"/>
          <w:w w:val="105"/>
          <w:sz w:val="18"/>
        </w:rPr>
        <w:t>amounts</w:t>
      </w:r>
      <w:r>
        <w:rPr>
          <w:i/>
          <w:color w:val="231F20"/>
          <w:spacing w:val="-16"/>
          <w:w w:val="105"/>
          <w:sz w:val="18"/>
        </w:rPr>
        <w:t> </w:t>
      </w:r>
      <w:r>
        <w:rPr>
          <w:i/>
          <w:color w:val="231F20"/>
          <w:w w:val="105"/>
          <w:sz w:val="18"/>
        </w:rPr>
        <w:t>of</w:t>
      </w:r>
      <w:r>
        <w:rPr>
          <w:i/>
          <w:color w:val="231F20"/>
          <w:spacing w:val="-17"/>
          <w:w w:val="105"/>
          <w:sz w:val="18"/>
        </w:rPr>
        <w:t> </w:t>
      </w:r>
      <w:r>
        <w:rPr>
          <w:i/>
          <w:color w:val="231F20"/>
          <w:w w:val="105"/>
          <w:sz w:val="18"/>
        </w:rPr>
        <w:t>sodium</w:t>
      </w:r>
      <w:r>
        <w:rPr>
          <w:i/>
          <w:color w:val="231F20"/>
          <w:spacing w:val="-17"/>
          <w:w w:val="105"/>
          <w:sz w:val="18"/>
        </w:rPr>
        <w:t> </w:t>
      </w:r>
      <w:r>
        <w:rPr>
          <w:i/>
          <w:color w:val="231F20"/>
          <w:w w:val="105"/>
          <w:sz w:val="18"/>
        </w:rPr>
        <w:t>bicarbonate</w:t>
      </w:r>
      <w:r>
        <w:rPr>
          <w:i/>
          <w:color w:val="231F20"/>
          <w:spacing w:val="-16"/>
          <w:w w:val="105"/>
          <w:sz w:val="18"/>
        </w:rPr>
        <w:t> </w:t>
      </w:r>
      <w:r>
        <w:rPr>
          <w:i/>
          <w:color w:val="231F20"/>
          <w:w w:val="105"/>
          <w:sz w:val="18"/>
        </w:rPr>
        <w:t>into</w:t>
      </w:r>
      <w:r>
        <w:rPr>
          <w:i/>
          <w:color w:val="231F20"/>
          <w:spacing w:val="-17"/>
          <w:w w:val="105"/>
          <w:sz w:val="18"/>
        </w:rPr>
        <w:t> </w:t>
      </w:r>
      <w:r>
        <w:rPr>
          <w:i/>
          <w:color w:val="231F20"/>
          <w:w w:val="105"/>
          <w:sz w:val="18"/>
        </w:rPr>
        <w:t>the</w:t>
      </w:r>
      <w:r>
        <w:rPr>
          <w:i/>
          <w:color w:val="231F20"/>
          <w:spacing w:val="-17"/>
          <w:w w:val="105"/>
          <w:sz w:val="18"/>
        </w:rPr>
        <w:t> </w:t>
      </w:r>
      <w:r>
        <w:rPr>
          <w:i/>
          <w:color w:val="231F20"/>
          <w:w w:val="105"/>
          <w:sz w:val="18"/>
        </w:rPr>
        <w:t>feces. </w:t>
      </w:r>
      <w:r>
        <w:rPr>
          <w:color w:val="231F20"/>
          <w:w w:val="105"/>
          <w:sz w:val="18"/>
        </w:rPr>
        <w:t>The gastrointestinal secretions normally contain large amounts</w:t>
      </w:r>
      <w:r>
        <w:rPr>
          <w:color w:val="231F20"/>
          <w:spacing w:val="-7"/>
          <w:w w:val="105"/>
          <w:sz w:val="18"/>
        </w:rPr>
        <w:t> </w:t>
      </w:r>
      <w:r>
        <w:rPr>
          <w:color w:val="231F20"/>
          <w:w w:val="105"/>
          <w:sz w:val="18"/>
        </w:rPr>
        <w:t>of</w:t>
      </w:r>
      <w:r>
        <w:rPr>
          <w:color w:val="231F20"/>
          <w:spacing w:val="-6"/>
          <w:w w:val="105"/>
          <w:sz w:val="18"/>
        </w:rPr>
        <w:t> </w:t>
      </w:r>
      <w:r>
        <w:rPr>
          <w:color w:val="231F20"/>
          <w:w w:val="105"/>
          <w:sz w:val="18"/>
        </w:rPr>
        <w:t>bicarbonate,</w:t>
      </w:r>
      <w:r>
        <w:rPr>
          <w:color w:val="231F20"/>
          <w:spacing w:val="-6"/>
          <w:w w:val="105"/>
          <w:sz w:val="18"/>
        </w:rPr>
        <w:t> </w:t>
      </w:r>
      <w:r>
        <w:rPr>
          <w:color w:val="231F20"/>
          <w:w w:val="105"/>
          <w:sz w:val="18"/>
        </w:rPr>
        <w:t>and</w:t>
      </w:r>
      <w:r>
        <w:rPr>
          <w:color w:val="231F20"/>
          <w:spacing w:val="-6"/>
          <w:w w:val="105"/>
          <w:sz w:val="18"/>
        </w:rPr>
        <w:t> </w:t>
      </w:r>
      <w:r>
        <w:rPr>
          <w:color w:val="231F20"/>
          <w:w w:val="105"/>
          <w:sz w:val="18"/>
        </w:rPr>
        <w:t>diarrhea</w:t>
      </w:r>
      <w:r>
        <w:rPr>
          <w:color w:val="231F20"/>
          <w:spacing w:val="-6"/>
          <w:w w:val="105"/>
          <w:sz w:val="18"/>
        </w:rPr>
        <w:t> </w:t>
      </w:r>
      <w:r>
        <w:rPr>
          <w:color w:val="231F20"/>
          <w:w w:val="105"/>
          <w:sz w:val="18"/>
        </w:rPr>
        <w:t>results</w:t>
      </w:r>
      <w:r>
        <w:rPr>
          <w:color w:val="231F20"/>
          <w:spacing w:val="-6"/>
          <w:w w:val="105"/>
          <w:sz w:val="18"/>
        </w:rPr>
        <w:t> </w:t>
      </w:r>
      <w:r>
        <w:rPr>
          <w:color w:val="231F20"/>
          <w:w w:val="105"/>
          <w:sz w:val="18"/>
        </w:rPr>
        <w:t>in</w:t>
      </w:r>
      <w:r>
        <w:rPr>
          <w:color w:val="231F20"/>
          <w:spacing w:val="-6"/>
          <w:w w:val="105"/>
          <w:sz w:val="18"/>
        </w:rPr>
        <w:t> </w:t>
      </w:r>
      <w:r>
        <w:rPr>
          <w:color w:val="231F20"/>
          <w:w w:val="105"/>
          <w:sz w:val="18"/>
        </w:rPr>
        <w:t>the</w:t>
      </w:r>
      <w:r>
        <w:rPr>
          <w:color w:val="231F20"/>
          <w:spacing w:val="-6"/>
          <w:w w:val="105"/>
          <w:sz w:val="18"/>
        </w:rPr>
        <w:t> </w:t>
      </w:r>
      <w:r>
        <w:rPr>
          <w:color w:val="231F20"/>
          <w:w w:val="105"/>
          <w:sz w:val="18"/>
        </w:rPr>
        <w:t>loss</w:t>
      </w:r>
      <w:r>
        <w:rPr>
          <w:color w:val="231F20"/>
          <w:spacing w:val="-6"/>
          <w:w w:val="105"/>
          <w:sz w:val="18"/>
        </w:rPr>
        <w:t> </w:t>
      </w:r>
      <w:r>
        <w:rPr>
          <w:color w:val="231F20"/>
          <w:w w:val="105"/>
          <w:sz w:val="18"/>
        </w:rPr>
        <w:t>of HCO</w:t>
      </w:r>
      <w:r>
        <w:rPr>
          <w:color w:val="231F20"/>
          <w:spacing w:val="-5"/>
          <w:w w:val="105"/>
          <w:sz w:val="18"/>
        </w:rPr>
        <w:t> </w:t>
      </w:r>
      <w:r>
        <w:rPr>
          <w:rFonts w:ascii="Consolas" w:hAnsi="Consolas"/>
          <w:color w:val="231F20"/>
          <w:w w:val="105"/>
          <w:position w:val="7"/>
          <w:sz w:val="11"/>
        </w:rPr>
        <w:t>−</w:t>
      </w:r>
      <w:r>
        <w:rPr>
          <w:rFonts w:ascii="Consolas" w:hAnsi="Consolas"/>
          <w:color w:val="231F20"/>
          <w:spacing w:val="-24"/>
          <w:w w:val="105"/>
          <w:position w:val="7"/>
          <w:sz w:val="11"/>
        </w:rPr>
        <w:t> </w:t>
      </w:r>
      <w:r>
        <w:rPr>
          <w:color w:val="231F20"/>
          <w:w w:val="105"/>
          <w:sz w:val="18"/>
        </w:rPr>
        <w:t>from</w:t>
      </w:r>
      <w:r>
        <w:rPr>
          <w:color w:val="231F20"/>
          <w:spacing w:val="-8"/>
          <w:w w:val="105"/>
          <w:sz w:val="18"/>
        </w:rPr>
        <w:t> </w:t>
      </w:r>
      <w:r>
        <w:rPr>
          <w:color w:val="231F20"/>
          <w:w w:val="105"/>
          <w:sz w:val="18"/>
        </w:rPr>
        <w:t>the</w:t>
      </w:r>
      <w:r>
        <w:rPr>
          <w:color w:val="231F20"/>
          <w:spacing w:val="-7"/>
          <w:w w:val="105"/>
          <w:sz w:val="18"/>
        </w:rPr>
        <w:t> </w:t>
      </w:r>
      <w:r>
        <w:rPr>
          <w:color w:val="231F20"/>
          <w:w w:val="105"/>
          <w:sz w:val="18"/>
        </w:rPr>
        <w:t>body,</w:t>
      </w:r>
      <w:r>
        <w:rPr>
          <w:color w:val="231F20"/>
          <w:spacing w:val="-8"/>
          <w:w w:val="105"/>
          <w:sz w:val="18"/>
        </w:rPr>
        <w:t> </w:t>
      </w:r>
      <w:r>
        <w:rPr>
          <w:color w:val="231F20"/>
          <w:w w:val="105"/>
          <w:sz w:val="18"/>
        </w:rPr>
        <w:t>which</w:t>
      </w:r>
      <w:r>
        <w:rPr>
          <w:color w:val="231F20"/>
          <w:spacing w:val="-7"/>
          <w:w w:val="105"/>
          <w:sz w:val="18"/>
        </w:rPr>
        <w:t> </w:t>
      </w:r>
      <w:r>
        <w:rPr>
          <w:color w:val="231F20"/>
          <w:w w:val="105"/>
          <w:sz w:val="18"/>
        </w:rPr>
        <w:t>has</w:t>
      </w:r>
      <w:r>
        <w:rPr>
          <w:color w:val="231F20"/>
          <w:spacing w:val="-7"/>
          <w:w w:val="105"/>
          <w:sz w:val="18"/>
        </w:rPr>
        <w:t> </w:t>
      </w:r>
      <w:r>
        <w:rPr>
          <w:color w:val="231F20"/>
          <w:w w:val="105"/>
          <w:sz w:val="18"/>
        </w:rPr>
        <w:t>the</w:t>
      </w:r>
      <w:r>
        <w:rPr>
          <w:color w:val="231F20"/>
          <w:spacing w:val="-8"/>
          <w:w w:val="105"/>
          <w:sz w:val="18"/>
        </w:rPr>
        <w:t> </w:t>
      </w:r>
      <w:r>
        <w:rPr>
          <w:color w:val="231F20"/>
          <w:w w:val="105"/>
          <w:sz w:val="18"/>
        </w:rPr>
        <w:t>same</w:t>
      </w:r>
      <w:r>
        <w:rPr>
          <w:color w:val="231F20"/>
          <w:spacing w:val="-7"/>
          <w:w w:val="105"/>
          <w:sz w:val="18"/>
        </w:rPr>
        <w:t> </w:t>
      </w:r>
      <w:r>
        <w:rPr>
          <w:color w:val="231F20"/>
          <w:w w:val="105"/>
          <w:sz w:val="18"/>
        </w:rPr>
        <w:t>effect</w:t>
      </w:r>
      <w:r>
        <w:rPr>
          <w:color w:val="231F20"/>
          <w:spacing w:val="-7"/>
          <w:w w:val="105"/>
          <w:sz w:val="18"/>
        </w:rPr>
        <w:t> </w:t>
      </w:r>
      <w:r>
        <w:rPr>
          <w:color w:val="231F20"/>
          <w:w w:val="105"/>
          <w:sz w:val="18"/>
        </w:rPr>
        <w:t>as</w:t>
      </w:r>
      <w:r>
        <w:rPr>
          <w:color w:val="231F20"/>
          <w:spacing w:val="-8"/>
          <w:w w:val="105"/>
          <w:sz w:val="18"/>
        </w:rPr>
        <w:t> </w:t>
      </w:r>
      <w:r>
        <w:rPr>
          <w:color w:val="231F20"/>
          <w:w w:val="105"/>
          <w:sz w:val="18"/>
        </w:rPr>
        <w:t>losing large amounts of bicarbonate in the urine. This form </w:t>
      </w:r>
      <w:r>
        <w:rPr>
          <w:color w:val="231F20"/>
          <w:spacing w:val="-6"/>
          <w:w w:val="105"/>
          <w:sz w:val="18"/>
        </w:rPr>
        <w:t>of </w:t>
      </w:r>
      <w:r>
        <w:rPr>
          <w:color w:val="231F20"/>
          <w:w w:val="105"/>
          <w:sz w:val="18"/>
        </w:rPr>
        <w:t>metabolic acidosis can be particularly serious and can cause death, especially in young children.</w:t>
      </w:r>
    </w:p>
    <w:p>
      <w:pPr>
        <w:spacing w:line="254" w:lineRule="auto" w:before="1"/>
        <w:ind w:left="679" w:right="1257" w:firstLine="240"/>
        <w:jc w:val="both"/>
        <w:rPr>
          <w:sz w:val="18"/>
        </w:rPr>
      </w:pPr>
      <w:r>
        <w:rPr/>
        <w:pict>
          <v:rect style="position:absolute;margin-left:576pt;margin-top:54.526073pt;width:36pt;height:24pt;mso-position-horizontal-relative:page;mso-position-vertical-relative:paragraph;z-index:253118464" filled="true" fillcolor="#e8dac8" stroked="false">
            <v:fill type="solid"/>
            <w10:wrap type="none"/>
          </v:rect>
        </w:pict>
      </w:r>
      <w:r>
        <w:rPr/>
        <w:pict>
          <v:shape style="position:absolute;margin-left:578.900024pt;margin-top:-21.816626pt;width:15.9pt;height:53.35pt;mso-position-horizontal-relative:page;mso-position-vertical-relative:paragraph;z-index:25312153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353.213593pt;margin-top:-39.214325pt;width:2.7pt;height:7.8pt;mso-position-horizontal-relative:page;mso-position-vertical-relative:paragraph;z-index:-272276480"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rFonts w:ascii="Trebuchet MS"/>
          <w:b/>
          <w:color w:val="231F20"/>
          <w:w w:val="105"/>
          <w:sz w:val="16"/>
        </w:rPr>
        <w:t>Vomiting of Intestinal Contents. </w:t>
      </w:r>
      <w:r>
        <w:rPr>
          <w:color w:val="231F20"/>
          <w:w w:val="105"/>
          <w:sz w:val="18"/>
        </w:rPr>
        <w:t>Vomiting of gastric contents alone would cause loss of acid and a tendency toward</w:t>
      </w:r>
      <w:r>
        <w:rPr>
          <w:color w:val="231F20"/>
          <w:spacing w:val="-20"/>
          <w:w w:val="105"/>
          <w:sz w:val="18"/>
        </w:rPr>
        <w:t> </w:t>
      </w:r>
      <w:r>
        <w:rPr>
          <w:color w:val="231F20"/>
          <w:w w:val="105"/>
          <w:sz w:val="18"/>
        </w:rPr>
        <w:t>alkalosis</w:t>
      </w:r>
      <w:r>
        <w:rPr>
          <w:color w:val="231F20"/>
          <w:spacing w:val="-19"/>
          <w:w w:val="105"/>
          <w:sz w:val="18"/>
        </w:rPr>
        <w:t> </w:t>
      </w:r>
      <w:r>
        <w:rPr>
          <w:color w:val="231F20"/>
          <w:w w:val="105"/>
          <w:sz w:val="18"/>
        </w:rPr>
        <w:t>because</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stomach</w:t>
      </w:r>
      <w:r>
        <w:rPr>
          <w:color w:val="231F20"/>
          <w:spacing w:val="-20"/>
          <w:w w:val="105"/>
          <w:sz w:val="18"/>
        </w:rPr>
        <w:t> </w:t>
      </w:r>
      <w:r>
        <w:rPr>
          <w:color w:val="231F20"/>
          <w:w w:val="105"/>
          <w:sz w:val="18"/>
        </w:rPr>
        <w:t>secretions</w:t>
      </w:r>
      <w:r>
        <w:rPr>
          <w:color w:val="231F20"/>
          <w:spacing w:val="-19"/>
          <w:w w:val="105"/>
          <w:sz w:val="18"/>
        </w:rPr>
        <w:t> </w:t>
      </w:r>
      <w:r>
        <w:rPr>
          <w:color w:val="231F20"/>
          <w:w w:val="105"/>
          <w:sz w:val="18"/>
        </w:rPr>
        <w:t>are</w:t>
      </w:r>
      <w:r>
        <w:rPr>
          <w:color w:val="231F20"/>
          <w:spacing w:val="-19"/>
          <w:w w:val="105"/>
          <w:sz w:val="18"/>
        </w:rPr>
        <w:t> </w:t>
      </w:r>
      <w:r>
        <w:rPr>
          <w:color w:val="231F20"/>
          <w:w w:val="105"/>
          <w:sz w:val="18"/>
        </w:rPr>
        <w:t>highly acidic. However, vomiting large amounts from deeper in the</w:t>
      </w:r>
      <w:r>
        <w:rPr>
          <w:color w:val="231F20"/>
          <w:spacing w:val="-7"/>
          <w:w w:val="105"/>
          <w:sz w:val="18"/>
        </w:rPr>
        <w:t> </w:t>
      </w:r>
      <w:r>
        <w:rPr>
          <w:color w:val="231F20"/>
          <w:w w:val="105"/>
          <w:sz w:val="18"/>
        </w:rPr>
        <w:t>gastrointestinal</w:t>
      </w:r>
      <w:r>
        <w:rPr>
          <w:color w:val="231F20"/>
          <w:spacing w:val="-7"/>
          <w:w w:val="105"/>
          <w:sz w:val="18"/>
        </w:rPr>
        <w:t> </w:t>
      </w:r>
      <w:r>
        <w:rPr>
          <w:color w:val="231F20"/>
          <w:w w:val="105"/>
          <w:sz w:val="18"/>
        </w:rPr>
        <w:t>tract,</w:t>
      </w:r>
      <w:r>
        <w:rPr>
          <w:color w:val="231F20"/>
          <w:spacing w:val="-7"/>
          <w:w w:val="105"/>
          <w:sz w:val="18"/>
        </w:rPr>
        <w:t> </w:t>
      </w:r>
      <w:r>
        <w:rPr>
          <w:color w:val="231F20"/>
          <w:w w:val="105"/>
          <w:sz w:val="18"/>
        </w:rPr>
        <w:t>which</w:t>
      </w:r>
      <w:r>
        <w:rPr>
          <w:color w:val="231F20"/>
          <w:spacing w:val="-7"/>
          <w:w w:val="105"/>
          <w:sz w:val="18"/>
        </w:rPr>
        <w:t> </w:t>
      </w:r>
      <w:r>
        <w:rPr>
          <w:color w:val="231F20"/>
          <w:w w:val="105"/>
          <w:sz w:val="18"/>
        </w:rPr>
        <w:t>sometimes</w:t>
      </w:r>
      <w:r>
        <w:rPr>
          <w:color w:val="231F20"/>
          <w:spacing w:val="-7"/>
          <w:w w:val="105"/>
          <w:sz w:val="18"/>
        </w:rPr>
        <w:t> </w:t>
      </w:r>
      <w:r>
        <w:rPr>
          <w:color w:val="231F20"/>
          <w:w w:val="105"/>
          <w:sz w:val="18"/>
        </w:rPr>
        <w:t>occurs,</w:t>
      </w:r>
      <w:r>
        <w:rPr>
          <w:color w:val="231F20"/>
          <w:spacing w:val="-7"/>
          <w:w w:val="105"/>
          <w:sz w:val="18"/>
        </w:rPr>
        <w:t> </w:t>
      </w:r>
      <w:r>
        <w:rPr>
          <w:color w:val="231F20"/>
          <w:w w:val="105"/>
          <w:sz w:val="18"/>
        </w:rPr>
        <w:t>causes loss</w:t>
      </w:r>
      <w:r>
        <w:rPr>
          <w:color w:val="231F20"/>
          <w:spacing w:val="-11"/>
          <w:w w:val="105"/>
          <w:sz w:val="18"/>
        </w:rPr>
        <w:t> </w:t>
      </w:r>
      <w:r>
        <w:rPr>
          <w:color w:val="231F20"/>
          <w:w w:val="105"/>
          <w:sz w:val="18"/>
        </w:rPr>
        <w:t>of</w:t>
      </w:r>
      <w:r>
        <w:rPr>
          <w:color w:val="231F20"/>
          <w:spacing w:val="-10"/>
          <w:w w:val="105"/>
          <w:sz w:val="18"/>
        </w:rPr>
        <w:t> </w:t>
      </w:r>
      <w:r>
        <w:rPr>
          <w:color w:val="231F20"/>
          <w:w w:val="105"/>
          <w:sz w:val="18"/>
        </w:rPr>
        <w:t>bicarbonate</w:t>
      </w:r>
      <w:r>
        <w:rPr>
          <w:color w:val="231F20"/>
          <w:spacing w:val="-10"/>
          <w:w w:val="105"/>
          <w:sz w:val="18"/>
        </w:rPr>
        <w:t> </w:t>
      </w:r>
      <w:r>
        <w:rPr>
          <w:color w:val="231F20"/>
          <w:w w:val="105"/>
          <w:sz w:val="18"/>
        </w:rPr>
        <w:t>and</w:t>
      </w:r>
      <w:r>
        <w:rPr>
          <w:color w:val="231F20"/>
          <w:spacing w:val="-10"/>
          <w:w w:val="105"/>
          <w:sz w:val="18"/>
        </w:rPr>
        <w:t> </w:t>
      </w:r>
      <w:r>
        <w:rPr>
          <w:color w:val="231F20"/>
          <w:w w:val="105"/>
          <w:sz w:val="18"/>
        </w:rPr>
        <w:t>results</w:t>
      </w:r>
      <w:r>
        <w:rPr>
          <w:color w:val="231F20"/>
          <w:spacing w:val="-10"/>
          <w:w w:val="105"/>
          <w:sz w:val="18"/>
        </w:rPr>
        <w:t> </w:t>
      </w:r>
      <w:r>
        <w:rPr>
          <w:color w:val="231F20"/>
          <w:w w:val="105"/>
          <w:sz w:val="18"/>
        </w:rPr>
        <w:t>in</w:t>
      </w:r>
      <w:r>
        <w:rPr>
          <w:color w:val="231F20"/>
          <w:spacing w:val="-10"/>
          <w:w w:val="105"/>
          <w:sz w:val="18"/>
        </w:rPr>
        <w:t> </w:t>
      </w:r>
      <w:r>
        <w:rPr>
          <w:color w:val="231F20"/>
          <w:w w:val="105"/>
          <w:sz w:val="18"/>
        </w:rPr>
        <w:t>metabolic</w:t>
      </w:r>
      <w:r>
        <w:rPr>
          <w:color w:val="231F20"/>
          <w:spacing w:val="-10"/>
          <w:w w:val="105"/>
          <w:sz w:val="18"/>
        </w:rPr>
        <w:t> </w:t>
      </w:r>
      <w:r>
        <w:rPr>
          <w:color w:val="231F20"/>
          <w:w w:val="105"/>
          <w:sz w:val="18"/>
        </w:rPr>
        <w:t>acidosis</w:t>
      </w:r>
      <w:r>
        <w:rPr>
          <w:color w:val="231F20"/>
          <w:spacing w:val="-10"/>
          <w:w w:val="105"/>
          <w:sz w:val="18"/>
        </w:rPr>
        <w:t> </w:t>
      </w:r>
      <w:r>
        <w:rPr>
          <w:color w:val="231F20"/>
          <w:w w:val="105"/>
          <w:sz w:val="18"/>
        </w:rPr>
        <w:t>in</w:t>
      </w:r>
      <w:r>
        <w:rPr>
          <w:color w:val="231F20"/>
          <w:spacing w:val="-10"/>
          <w:w w:val="105"/>
          <w:sz w:val="18"/>
        </w:rPr>
        <w:t> </w:t>
      </w:r>
      <w:r>
        <w:rPr>
          <w:color w:val="231F20"/>
          <w:w w:val="105"/>
          <w:sz w:val="18"/>
        </w:rPr>
        <w:t>the same way that diarrhea causes</w:t>
      </w:r>
      <w:r>
        <w:rPr>
          <w:color w:val="231F20"/>
          <w:spacing w:val="5"/>
          <w:w w:val="105"/>
          <w:sz w:val="18"/>
        </w:rPr>
        <w:t> </w:t>
      </w:r>
      <w:r>
        <w:rPr>
          <w:color w:val="231F20"/>
          <w:w w:val="105"/>
          <w:sz w:val="18"/>
        </w:rPr>
        <w:t>acidosis.</w:t>
      </w:r>
    </w:p>
    <w:p>
      <w:pPr>
        <w:spacing w:line="254" w:lineRule="auto" w:before="5"/>
        <w:ind w:left="679" w:right="1257" w:firstLine="240"/>
        <w:jc w:val="both"/>
        <w:rPr>
          <w:sz w:val="18"/>
        </w:rPr>
      </w:pPr>
      <w:r>
        <w:rPr>
          <w:rFonts w:ascii="Trebuchet MS" w:hAnsi="Trebuchet MS"/>
          <w:b/>
          <w:color w:val="231F20"/>
          <w:w w:val="105"/>
          <w:sz w:val="16"/>
        </w:rPr>
        <w:t>Diabetes Mellitus. </w:t>
      </w:r>
      <w:r>
        <w:rPr>
          <w:color w:val="231F20"/>
          <w:w w:val="105"/>
          <w:sz w:val="18"/>
        </w:rPr>
        <w:t>Diabetes mellitus is caused </w:t>
      </w:r>
      <w:r>
        <w:rPr>
          <w:color w:val="231F20"/>
          <w:spacing w:val="-6"/>
          <w:w w:val="105"/>
          <w:sz w:val="18"/>
        </w:rPr>
        <w:t>by  </w:t>
      </w:r>
      <w:r>
        <w:rPr>
          <w:color w:val="231F20"/>
          <w:w w:val="105"/>
          <w:sz w:val="18"/>
        </w:rPr>
        <w:t>lack of insulin secretion by the pancreas (type 1</w:t>
      </w:r>
      <w:r>
        <w:rPr>
          <w:color w:val="231F20"/>
          <w:spacing w:val="-30"/>
          <w:w w:val="105"/>
          <w:sz w:val="18"/>
        </w:rPr>
        <w:t> </w:t>
      </w:r>
      <w:r>
        <w:rPr>
          <w:color w:val="231F20"/>
          <w:w w:val="105"/>
          <w:sz w:val="18"/>
        </w:rPr>
        <w:t>diabetes) or by insufficient insulin secretion to compensate</w:t>
      </w:r>
      <w:r>
        <w:rPr>
          <w:color w:val="231F20"/>
          <w:spacing w:val="31"/>
          <w:w w:val="105"/>
          <w:sz w:val="18"/>
        </w:rPr>
        <w:t> </w:t>
      </w:r>
      <w:r>
        <w:rPr>
          <w:color w:val="231F20"/>
          <w:w w:val="105"/>
          <w:sz w:val="18"/>
        </w:rPr>
        <w:t>for decreased</w:t>
      </w:r>
      <w:r>
        <w:rPr>
          <w:color w:val="231F20"/>
          <w:spacing w:val="-16"/>
          <w:w w:val="105"/>
          <w:sz w:val="18"/>
        </w:rPr>
        <w:t> </w:t>
      </w:r>
      <w:r>
        <w:rPr>
          <w:color w:val="231F20"/>
          <w:w w:val="105"/>
          <w:sz w:val="18"/>
        </w:rPr>
        <w:t>sensitivity</w:t>
      </w:r>
      <w:r>
        <w:rPr>
          <w:color w:val="231F20"/>
          <w:spacing w:val="-16"/>
          <w:w w:val="105"/>
          <w:sz w:val="18"/>
        </w:rPr>
        <w:t> </w:t>
      </w:r>
      <w:r>
        <w:rPr>
          <w:color w:val="231F20"/>
          <w:w w:val="105"/>
          <w:sz w:val="18"/>
        </w:rPr>
        <w:t>to</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effects</w:t>
      </w:r>
      <w:r>
        <w:rPr>
          <w:color w:val="231F20"/>
          <w:spacing w:val="-16"/>
          <w:w w:val="105"/>
          <w:sz w:val="18"/>
        </w:rPr>
        <w:t> </w:t>
      </w:r>
      <w:r>
        <w:rPr>
          <w:color w:val="231F20"/>
          <w:w w:val="105"/>
          <w:sz w:val="18"/>
        </w:rPr>
        <w:t>of</w:t>
      </w:r>
      <w:r>
        <w:rPr>
          <w:color w:val="231F20"/>
          <w:spacing w:val="-16"/>
          <w:w w:val="105"/>
          <w:sz w:val="18"/>
        </w:rPr>
        <w:t> </w:t>
      </w:r>
      <w:r>
        <w:rPr>
          <w:color w:val="231F20"/>
          <w:w w:val="105"/>
          <w:sz w:val="18"/>
        </w:rPr>
        <w:t>insulin</w:t>
      </w:r>
      <w:r>
        <w:rPr>
          <w:color w:val="231F20"/>
          <w:spacing w:val="-16"/>
          <w:w w:val="105"/>
          <w:sz w:val="18"/>
        </w:rPr>
        <w:t> </w:t>
      </w:r>
      <w:r>
        <w:rPr>
          <w:color w:val="231F20"/>
          <w:w w:val="105"/>
          <w:sz w:val="18"/>
        </w:rPr>
        <w:t>(type</w:t>
      </w:r>
      <w:r>
        <w:rPr>
          <w:color w:val="231F20"/>
          <w:spacing w:val="-16"/>
          <w:w w:val="105"/>
          <w:sz w:val="18"/>
        </w:rPr>
        <w:t> </w:t>
      </w:r>
      <w:r>
        <w:rPr>
          <w:color w:val="231F20"/>
          <w:w w:val="105"/>
          <w:sz w:val="18"/>
        </w:rPr>
        <w:t>2</w:t>
      </w:r>
      <w:r>
        <w:rPr>
          <w:color w:val="231F20"/>
          <w:spacing w:val="-16"/>
          <w:w w:val="105"/>
          <w:sz w:val="18"/>
        </w:rPr>
        <w:t> </w:t>
      </w:r>
      <w:r>
        <w:rPr>
          <w:color w:val="231F20"/>
          <w:w w:val="105"/>
          <w:sz w:val="18"/>
        </w:rPr>
        <w:t>diabe- tes). In the absence of sufficient insulin, the normal use of glucose for metabolism is prevented. Instead, some of the fats are split into acetoacetic acid, and this acid is metabolized by the tissues for energy in place of</w:t>
      </w:r>
      <w:r>
        <w:rPr>
          <w:color w:val="231F20"/>
          <w:spacing w:val="-25"/>
          <w:w w:val="105"/>
          <w:sz w:val="18"/>
        </w:rPr>
        <w:t> </w:t>
      </w:r>
      <w:r>
        <w:rPr>
          <w:color w:val="231F20"/>
          <w:w w:val="105"/>
          <w:sz w:val="18"/>
        </w:rPr>
        <w:t>glucose. </w:t>
      </w:r>
      <w:r>
        <w:rPr>
          <w:color w:val="231F20"/>
          <w:spacing w:val="-3"/>
          <w:w w:val="105"/>
          <w:sz w:val="18"/>
        </w:rPr>
        <w:t>With</w:t>
      </w:r>
      <w:r>
        <w:rPr>
          <w:color w:val="231F20"/>
          <w:spacing w:val="-24"/>
          <w:w w:val="105"/>
          <w:sz w:val="18"/>
        </w:rPr>
        <w:t> </w:t>
      </w:r>
      <w:r>
        <w:rPr>
          <w:color w:val="231F20"/>
          <w:w w:val="105"/>
          <w:sz w:val="18"/>
        </w:rPr>
        <w:t>severe</w:t>
      </w:r>
      <w:r>
        <w:rPr>
          <w:color w:val="231F20"/>
          <w:spacing w:val="-24"/>
          <w:w w:val="105"/>
          <w:sz w:val="18"/>
        </w:rPr>
        <w:t> </w:t>
      </w:r>
      <w:r>
        <w:rPr>
          <w:color w:val="231F20"/>
          <w:w w:val="105"/>
          <w:sz w:val="18"/>
        </w:rPr>
        <w:t>diabetes</w:t>
      </w:r>
      <w:r>
        <w:rPr>
          <w:color w:val="231F20"/>
          <w:spacing w:val="-23"/>
          <w:w w:val="105"/>
          <w:sz w:val="18"/>
        </w:rPr>
        <w:t> </w:t>
      </w:r>
      <w:r>
        <w:rPr>
          <w:color w:val="231F20"/>
          <w:w w:val="105"/>
          <w:sz w:val="18"/>
        </w:rPr>
        <w:t>mellitus,</w:t>
      </w:r>
      <w:r>
        <w:rPr>
          <w:color w:val="231F20"/>
          <w:spacing w:val="-24"/>
          <w:w w:val="105"/>
          <w:sz w:val="18"/>
        </w:rPr>
        <w:t> </w:t>
      </w:r>
      <w:r>
        <w:rPr>
          <w:color w:val="231F20"/>
          <w:w w:val="105"/>
          <w:sz w:val="18"/>
        </w:rPr>
        <w:t>blood</w:t>
      </w:r>
      <w:r>
        <w:rPr>
          <w:color w:val="231F20"/>
          <w:spacing w:val="-23"/>
          <w:w w:val="105"/>
          <w:sz w:val="18"/>
        </w:rPr>
        <w:t> </w:t>
      </w:r>
      <w:r>
        <w:rPr>
          <w:color w:val="231F20"/>
          <w:w w:val="105"/>
          <w:sz w:val="18"/>
        </w:rPr>
        <w:t>acetoacetic</w:t>
      </w:r>
      <w:r>
        <w:rPr>
          <w:color w:val="231F20"/>
          <w:spacing w:val="-24"/>
          <w:w w:val="105"/>
          <w:sz w:val="18"/>
        </w:rPr>
        <w:t> </w:t>
      </w:r>
      <w:r>
        <w:rPr>
          <w:color w:val="231F20"/>
          <w:w w:val="105"/>
          <w:sz w:val="18"/>
        </w:rPr>
        <w:t>acid</w:t>
      </w:r>
      <w:r>
        <w:rPr>
          <w:color w:val="231F20"/>
          <w:spacing w:val="-24"/>
          <w:w w:val="105"/>
          <w:sz w:val="18"/>
        </w:rPr>
        <w:t> </w:t>
      </w:r>
      <w:r>
        <w:rPr>
          <w:color w:val="231F20"/>
          <w:w w:val="105"/>
          <w:sz w:val="18"/>
        </w:rPr>
        <w:t>levels can rise very high, causing severe metabolic acidosis. In an attempt to compensate for this acidosis, large</w:t>
      </w:r>
      <w:r>
        <w:rPr>
          <w:color w:val="231F20"/>
          <w:spacing w:val="-20"/>
          <w:w w:val="105"/>
          <w:sz w:val="18"/>
        </w:rPr>
        <w:t> </w:t>
      </w:r>
      <w:r>
        <w:rPr>
          <w:color w:val="231F20"/>
          <w:w w:val="105"/>
          <w:sz w:val="18"/>
        </w:rPr>
        <w:t>amounts of acid are excreted in the urine—sometimes as much as 500</w:t>
      </w:r>
      <w:r>
        <w:rPr>
          <w:color w:val="231F20"/>
          <w:spacing w:val="3"/>
          <w:w w:val="105"/>
          <w:sz w:val="18"/>
        </w:rPr>
        <w:t> </w:t>
      </w:r>
      <w:r>
        <w:rPr>
          <w:color w:val="231F20"/>
          <w:w w:val="105"/>
          <w:sz w:val="18"/>
        </w:rPr>
        <w:t>mmol/day.</w:t>
      </w:r>
    </w:p>
    <w:p>
      <w:pPr>
        <w:spacing w:line="254" w:lineRule="auto" w:before="7"/>
        <w:ind w:left="679" w:right="1257" w:firstLine="239"/>
        <w:jc w:val="both"/>
        <w:rPr>
          <w:sz w:val="18"/>
        </w:rPr>
      </w:pPr>
      <w:r>
        <w:rPr>
          <w:rFonts w:ascii="Trebuchet MS"/>
          <w:b/>
          <w:color w:val="231F20"/>
          <w:sz w:val="16"/>
        </w:rPr>
        <w:t>Ingestion of Acids. </w:t>
      </w:r>
      <w:r>
        <w:rPr>
          <w:color w:val="231F20"/>
          <w:sz w:val="18"/>
        </w:rPr>
        <w:t>Rarely are large amounts of acids ingested in normal foods. However, severe metabolic aci- dosis occasionally results from the ingestion of certain acidic poisons. Some of these substances include acetylsali- cylics (aspirin) and methyl alcohol (which forms formic acid when it is metabolized).</w:t>
      </w:r>
    </w:p>
    <w:p>
      <w:pPr>
        <w:spacing w:line="254" w:lineRule="auto" w:before="4"/>
        <w:ind w:left="679" w:right="1257" w:firstLine="240"/>
        <w:jc w:val="both"/>
        <w:rPr>
          <w:sz w:val="18"/>
        </w:rPr>
      </w:pPr>
      <w:r>
        <w:rPr/>
        <w:pict>
          <v:shape style="position:absolute;margin-left:486.042511pt;margin-top:48.935745pt;width:2.7pt;height:7.8pt;mso-position-horizontal-relative:page;mso-position-vertical-relative:paragraph;z-index:-272275456" type="#_x0000_t202" filled="false" stroked="false">
            <v:textbox inset="0,0,0,0">
              <w:txbxContent>
                <w:p>
                  <w:pPr>
                    <w:spacing w:line="124" w:lineRule="exact" w:before="0"/>
                    <w:ind w:left="0" w:right="0" w:firstLine="0"/>
                    <w:jc w:val="left"/>
                    <w:rPr>
                      <w:sz w:val="11"/>
                    </w:rPr>
                  </w:pPr>
                  <w:r>
                    <w:rPr>
                      <w:color w:val="231F20"/>
                      <w:w w:val="96"/>
                      <w:sz w:val="11"/>
                    </w:rPr>
                    <w:t>4</w:t>
                  </w:r>
                </w:p>
              </w:txbxContent>
            </v:textbox>
            <w10:wrap type="none"/>
          </v:shape>
        </w:pict>
      </w:r>
      <w:r>
        <w:rPr/>
        <w:pict>
          <v:shape style="position:absolute;margin-left:407.779297pt;margin-top:59.935745pt;width:2.7pt;height:7.8pt;mso-position-horizontal-relative:page;mso-position-vertical-relative:paragraph;z-index:-272274432"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rFonts w:ascii="Trebuchet MS" w:hAnsi="Trebuchet MS"/>
          <w:b/>
          <w:color w:val="231F20"/>
          <w:w w:val="105"/>
          <w:sz w:val="16"/>
        </w:rPr>
        <w:t>Chronic</w:t>
      </w:r>
      <w:r>
        <w:rPr>
          <w:rFonts w:ascii="Trebuchet MS" w:hAnsi="Trebuchet MS"/>
          <w:b/>
          <w:color w:val="231F20"/>
          <w:spacing w:val="-19"/>
          <w:w w:val="105"/>
          <w:sz w:val="16"/>
        </w:rPr>
        <w:t> </w:t>
      </w:r>
      <w:r>
        <w:rPr>
          <w:rFonts w:ascii="Trebuchet MS" w:hAnsi="Trebuchet MS"/>
          <w:b/>
          <w:color w:val="231F20"/>
          <w:w w:val="105"/>
          <w:sz w:val="16"/>
        </w:rPr>
        <w:t>Renal</w:t>
      </w:r>
      <w:r>
        <w:rPr>
          <w:rFonts w:ascii="Trebuchet MS" w:hAnsi="Trebuchet MS"/>
          <w:b/>
          <w:color w:val="231F20"/>
          <w:spacing w:val="-18"/>
          <w:w w:val="105"/>
          <w:sz w:val="16"/>
        </w:rPr>
        <w:t> </w:t>
      </w:r>
      <w:r>
        <w:rPr>
          <w:rFonts w:ascii="Trebuchet MS" w:hAnsi="Trebuchet MS"/>
          <w:b/>
          <w:color w:val="231F20"/>
          <w:w w:val="105"/>
          <w:sz w:val="16"/>
        </w:rPr>
        <w:t>Failure.</w:t>
      </w:r>
      <w:r>
        <w:rPr>
          <w:rFonts w:ascii="Trebuchet MS" w:hAnsi="Trebuchet MS"/>
          <w:b/>
          <w:color w:val="231F20"/>
          <w:spacing w:val="-8"/>
          <w:w w:val="105"/>
          <w:sz w:val="16"/>
        </w:rPr>
        <w:t> </w:t>
      </w:r>
      <w:r>
        <w:rPr>
          <w:color w:val="231F20"/>
          <w:w w:val="105"/>
          <w:sz w:val="18"/>
        </w:rPr>
        <w:t>When</w:t>
      </w:r>
      <w:r>
        <w:rPr>
          <w:color w:val="231F20"/>
          <w:spacing w:val="-16"/>
          <w:w w:val="105"/>
          <w:sz w:val="18"/>
        </w:rPr>
        <w:t> </w:t>
      </w:r>
      <w:r>
        <w:rPr>
          <w:color w:val="231F20"/>
          <w:w w:val="105"/>
          <w:sz w:val="18"/>
        </w:rPr>
        <w:t>kidney</w:t>
      </w:r>
      <w:r>
        <w:rPr>
          <w:color w:val="231F20"/>
          <w:spacing w:val="-17"/>
          <w:w w:val="105"/>
          <w:sz w:val="18"/>
        </w:rPr>
        <w:t> </w:t>
      </w:r>
      <w:r>
        <w:rPr>
          <w:color w:val="231F20"/>
          <w:w w:val="105"/>
          <w:sz w:val="18"/>
        </w:rPr>
        <w:t>function</w:t>
      </w:r>
      <w:r>
        <w:rPr>
          <w:color w:val="231F20"/>
          <w:spacing w:val="-17"/>
          <w:w w:val="105"/>
          <w:sz w:val="18"/>
        </w:rPr>
        <w:t> </w:t>
      </w:r>
      <w:r>
        <w:rPr>
          <w:color w:val="231F20"/>
          <w:w w:val="105"/>
          <w:sz w:val="18"/>
        </w:rPr>
        <w:t>declines markedly,</w:t>
      </w:r>
      <w:r>
        <w:rPr>
          <w:color w:val="231F20"/>
          <w:spacing w:val="-10"/>
          <w:w w:val="105"/>
          <w:sz w:val="18"/>
        </w:rPr>
        <w:t> </w:t>
      </w:r>
      <w:r>
        <w:rPr>
          <w:color w:val="231F20"/>
          <w:w w:val="105"/>
          <w:sz w:val="18"/>
        </w:rPr>
        <w:t>there</w:t>
      </w:r>
      <w:r>
        <w:rPr>
          <w:color w:val="231F20"/>
          <w:spacing w:val="-9"/>
          <w:w w:val="105"/>
          <w:sz w:val="18"/>
        </w:rPr>
        <w:t> </w:t>
      </w:r>
      <w:r>
        <w:rPr>
          <w:color w:val="231F20"/>
          <w:w w:val="105"/>
          <w:sz w:val="18"/>
        </w:rPr>
        <w:t>is</w:t>
      </w:r>
      <w:r>
        <w:rPr>
          <w:color w:val="231F20"/>
          <w:spacing w:val="-9"/>
          <w:w w:val="105"/>
          <w:sz w:val="18"/>
        </w:rPr>
        <w:t> </w:t>
      </w:r>
      <w:r>
        <w:rPr>
          <w:color w:val="231F20"/>
          <w:w w:val="105"/>
          <w:sz w:val="18"/>
        </w:rPr>
        <w:t>a</w:t>
      </w:r>
      <w:r>
        <w:rPr>
          <w:color w:val="231F20"/>
          <w:spacing w:val="-9"/>
          <w:w w:val="105"/>
          <w:sz w:val="18"/>
        </w:rPr>
        <w:t> </w:t>
      </w:r>
      <w:r>
        <w:rPr>
          <w:color w:val="231F20"/>
          <w:w w:val="105"/>
          <w:sz w:val="18"/>
        </w:rPr>
        <w:t>buildup</w:t>
      </w:r>
      <w:r>
        <w:rPr>
          <w:color w:val="231F20"/>
          <w:spacing w:val="-9"/>
          <w:w w:val="105"/>
          <w:sz w:val="18"/>
        </w:rPr>
        <w:t> </w:t>
      </w:r>
      <w:r>
        <w:rPr>
          <w:color w:val="231F20"/>
          <w:w w:val="105"/>
          <w:sz w:val="18"/>
        </w:rPr>
        <w:t>of</w:t>
      </w:r>
      <w:r>
        <w:rPr>
          <w:color w:val="231F20"/>
          <w:spacing w:val="-9"/>
          <w:w w:val="105"/>
          <w:sz w:val="18"/>
        </w:rPr>
        <w:t> </w:t>
      </w:r>
      <w:r>
        <w:rPr>
          <w:color w:val="231F20"/>
          <w:w w:val="105"/>
          <w:sz w:val="18"/>
        </w:rPr>
        <w:t>the</w:t>
      </w:r>
      <w:r>
        <w:rPr>
          <w:color w:val="231F20"/>
          <w:spacing w:val="-9"/>
          <w:w w:val="105"/>
          <w:sz w:val="18"/>
        </w:rPr>
        <w:t> </w:t>
      </w:r>
      <w:r>
        <w:rPr>
          <w:color w:val="231F20"/>
          <w:w w:val="105"/>
          <w:sz w:val="18"/>
        </w:rPr>
        <w:t>anions</w:t>
      </w:r>
      <w:r>
        <w:rPr>
          <w:color w:val="231F20"/>
          <w:spacing w:val="-9"/>
          <w:w w:val="105"/>
          <w:sz w:val="18"/>
        </w:rPr>
        <w:t> </w:t>
      </w:r>
      <w:r>
        <w:rPr>
          <w:color w:val="231F20"/>
          <w:w w:val="105"/>
          <w:sz w:val="18"/>
        </w:rPr>
        <w:t>of</w:t>
      </w:r>
      <w:r>
        <w:rPr>
          <w:color w:val="231F20"/>
          <w:spacing w:val="-9"/>
          <w:w w:val="105"/>
          <w:sz w:val="18"/>
        </w:rPr>
        <w:t> </w:t>
      </w:r>
      <w:r>
        <w:rPr>
          <w:color w:val="231F20"/>
          <w:w w:val="105"/>
          <w:sz w:val="18"/>
        </w:rPr>
        <w:t>weak</w:t>
      </w:r>
      <w:r>
        <w:rPr>
          <w:color w:val="231F20"/>
          <w:spacing w:val="-9"/>
          <w:w w:val="105"/>
          <w:sz w:val="18"/>
        </w:rPr>
        <w:t> </w:t>
      </w:r>
      <w:r>
        <w:rPr>
          <w:color w:val="231F20"/>
          <w:w w:val="105"/>
          <w:sz w:val="18"/>
        </w:rPr>
        <w:t>acids</w:t>
      </w:r>
      <w:r>
        <w:rPr>
          <w:color w:val="231F20"/>
          <w:spacing w:val="-9"/>
          <w:w w:val="105"/>
          <w:sz w:val="18"/>
        </w:rPr>
        <w:t> </w:t>
      </w:r>
      <w:r>
        <w:rPr>
          <w:color w:val="231F20"/>
          <w:spacing w:val="-6"/>
          <w:w w:val="105"/>
          <w:sz w:val="18"/>
        </w:rPr>
        <w:t>in </w:t>
      </w:r>
      <w:r>
        <w:rPr>
          <w:color w:val="231F20"/>
          <w:w w:val="105"/>
          <w:sz w:val="18"/>
        </w:rPr>
        <w:t>the</w:t>
      </w:r>
      <w:r>
        <w:rPr>
          <w:color w:val="231F20"/>
          <w:spacing w:val="-8"/>
          <w:w w:val="105"/>
          <w:sz w:val="18"/>
        </w:rPr>
        <w:t> </w:t>
      </w:r>
      <w:r>
        <w:rPr>
          <w:color w:val="231F20"/>
          <w:w w:val="105"/>
          <w:sz w:val="18"/>
        </w:rPr>
        <w:t>body</w:t>
      </w:r>
      <w:r>
        <w:rPr>
          <w:color w:val="231F20"/>
          <w:spacing w:val="-7"/>
          <w:w w:val="105"/>
          <w:sz w:val="18"/>
        </w:rPr>
        <w:t> </w:t>
      </w:r>
      <w:r>
        <w:rPr>
          <w:color w:val="231F20"/>
          <w:w w:val="105"/>
          <w:sz w:val="18"/>
        </w:rPr>
        <w:t>fluids</w:t>
      </w:r>
      <w:r>
        <w:rPr>
          <w:color w:val="231F20"/>
          <w:spacing w:val="-8"/>
          <w:w w:val="105"/>
          <w:sz w:val="18"/>
        </w:rPr>
        <w:t> </w:t>
      </w:r>
      <w:r>
        <w:rPr>
          <w:color w:val="231F20"/>
          <w:w w:val="105"/>
          <w:sz w:val="18"/>
        </w:rPr>
        <w:t>that</w:t>
      </w:r>
      <w:r>
        <w:rPr>
          <w:color w:val="231F20"/>
          <w:spacing w:val="-7"/>
          <w:w w:val="105"/>
          <w:sz w:val="18"/>
        </w:rPr>
        <w:t> </w:t>
      </w:r>
      <w:r>
        <w:rPr>
          <w:color w:val="231F20"/>
          <w:w w:val="105"/>
          <w:sz w:val="18"/>
        </w:rPr>
        <w:t>are</w:t>
      </w:r>
      <w:r>
        <w:rPr>
          <w:color w:val="231F20"/>
          <w:spacing w:val="-7"/>
          <w:w w:val="105"/>
          <w:sz w:val="18"/>
        </w:rPr>
        <w:t> </w:t>
      </w:r>
      <w:r>
        <w:rPr>
          <w:color w:val="231F20"/>
          <w:w w:val="105"/>
          <w:sz w:val="18"/>
        </w:rPr>
        <w:t>not</w:t>
      </w:r>
      <w:r>
        <w:rPr>
          <w:color w:val="231F20"/>
          <w:spacing w:val="-8"/>
          <w:w w:val="105"/>
          <w:sz w:val="18"/>
        </w:rPr>
        <w:t> </w:t>
      </w:r>
      <w:r>
        <w:rPr>
          <w:color w:val="231F20"/>
          <w:w w:val="105"/>
          <w:sz w:val="18"/>
        </w:rPr>
        <w:t>being</w:t>
      </w:r>
      <w:r>
        <w:rPr>
          <w:color w:val="231F20"/>
          <w:spacing w:val="-7"/>
          <w:w w:val="105"/>
          <w:sz w:val="18"/>
        </w:rPr>
        <w:t> </w:t>
      </w:r>
      <w:r>
        <w:rPr>
          <w:color w:val="231F20"/>
          <w:w w:val="105"/>
          <w:sz w:val="18"/>
        </w:rPr>
        <w:t>excreted</w:t>
      </w:r>
      <w:r>
        <w:rPr>
          <w:color w:val="231F20"/>
          <w:spacing w:val="-8"/>
          <w:w w:val="105"/>
          <w:sz w:val="18"/>
        </w:rPr>
        <w:t> </w:t>
      </w:r>
      <w:r>
        <w:rPr>
          <w:color w:val="231F20"/>
          <w:w w:val="105"/>
          <w:sz w:val="18"/>
        </w:rPr>
        <w:t>by</w:t>
      </w:r>
      <w:r>
        <w:rPr>
          <w:color w:val="231F20"/>
          <w:spacing w:val="-7"/>
          <w:w w:val="105"/>
          <w:sz w:val="18"/>
        </w:rPr>
        <w:t> </w:t>
      </w:r>
      <w:r>
        <w:rPr>
          <w:color w:val="231F20"/>
          <w:w w:val="105"/>
          <w:sz w:val="18"/>
        </w:rPr>
        <w:t>the</w:t>
      </w:r>
      <w:r>
        <w:rPr>
          <w:color w:val="231F20"/>
          <w:spacing w:val="-7"/>
          <w:w w:val="105"/>
          <w:sz w:val="18"/>
        </w:rPr>
        <w:t> </w:t>
      </w:r>
      <w:r>
        <w:rPr>
          <w:color w:val="231F20"/>
          <w:w w:val="105"/>
          <w:sz w:val="18"/>
        </w:rPr>
        <w:t>kidneys. In addition, the decreased glomerular filtration rate reduces excretion of phosphates and NH </w:t>
      </w:r>
      <w:r>
        <w:rPr>
          <w:rFonts w:ascii="Consolas" w:hAnsi="Consolas"/>
          <w:color w:val="231F20"/>
          <w:spacing w:val="-10"/>
          <w:w w:val="105"/>
          <w:position w:val="7"/>
          <w:sz w:val="11"/>
        </w:rPr>
        <w:t>+</w:t>
      </w:r>
      <w:r>
        <w:rPr>
          <w:color w:val="231F20"/>
          <w:spacing w:val="-10"/>
          <w:w w:val="105"/>
          <w:sz w:val="18"/>
        </w:rPr>
        <w:t>, </w:t>
      </w:r>
      <w:r>
        <w:rPr>
          <w:color w:val="231F20"/>
          <w:w w:val="105"/>
          <w:sz w:val="18"/>
        </w:rPr>
        <w:t>which</w:t>
      </w:r>
      <w:r>
        <w:rPr>
          <w:color w:val="231F20"/>
          <w:spacing w:val="-14"/>
          <w:w w:val="105"/>
          <w:sz w:val="18"/>
        </w:rPr>
        <w:t> </w:t>
      </w:r>
      <w:r>
        <w:rPr>
          <w:color w:val="231F20"/>
          <w:w w:val="105"/>
          <w:sz w:val="18"/>
        </w:rPr>
        <w:t>reduces the</w:t>
      </w:r>
      <w:r>
        <w:rPr>
          <w:color w:val="231F20"/>
          <w:spacing w:val="-9"/>
          <w:w w:val="105"/>
          <w:sz w:val="18"/>
        </w:rPr>
        <w:t> </w:t>
      </w:r>
      <w:r>
        <w:rPr>
          <w:color w:val="231F20"/>
          <w:w w:val="105"/>
          <w:sz w:val="18"/>
        </w:rPr>
        <w:t>amount</w:t>
      </w:r>
      <w:r>
        <w:rPr>
          <w:color w:val="231F20"/>
          <w:spacing w:val="-9"/>
          <w:w w:val="105"/>
          <w:sz w:val="18"/>
        </w:rPr>
        <w:t> </w:t>
      </w:r>
      <w:r>
        <w:rPr>
          <w:color w:val="231F20"/>
          <w:w w:val="105"/>
          <w:sz w:val="18"/>
        </w:rPr>
        <w:t>of</w:t>
      </w:r>
      <w:r>
        <w:rPr>
          <w:color w:val="231F20"/>
          <w:spacing w:val="-9"/>
          <w:w w:val="105"/>
          <w:sz w:val="18"/>
        </w:rPr>
        <w:t> </w:t>
      </w:r>
      <w:r>
        <w:rPr>
          <w:color w:val="231F20"/>
          <w:w w:val="105"/>
          <w:sz w:val="18"/>
        </w:rPr>
        <w:t>HCO</w:t>
      </w:r>
      <w:r>
        <w:rPr>
          <w:color w:val="231F20"/>
          <w:spacing w:val="-2"/>
          <w:w w:val="105"/>
          <w:sz w:val="18"/>
        </w:rPr>
        <w:t> </w:t>
      </w:r>
      <w:r>
        <w:rPr>
          <w:rFonts w:ascii="Consolas" w:hAnsi="Consolas"/>
          <w:color w:val="231F20"/>
          <w:w w:val="105"/>
          <w:position w:val="7"/>
          <w:sz w:val="11"/>
        </w:rPr>
        <w:t>−</w:t>
      </w:r>
      <w:r>
        <w:rPr>
          <w:rFonts w:ascii="Consolas" w:hAnsi="Consolas"/>
          <w:color w:val="231F20"/>
          <w:spacing w:val="-26"/>
          <w:w w:val="105"/>
          <w:position w:val="7"/>
          <w:sz w:val="11"/>
        </w:rPr>
        <w:t> </w:t>
      </w:r>
      <w:r>
        <w:rPr>
          <w:color w:val="231F20"/>
          <w:w w:val="105"/>
          <w:sz w:val="18"/>
        </w:rPr>
        <w:t>added</w:t>
      </w:r>
      <w:r>
        <w:rPr>
          <w:color w:val="231F20"/>
          <w:spacing w:val="-9"/>
          <w:w w:val="105"/>
          <w:sz w:val="18"/>
        </w:rPr>
        <w:t> </w:t>
      </w:r>
      <w:r>
        <w:rPr>
          <w:color w:val="231F20"/>
          <w:w w:val="105"/>
          <w:sz w:val="18"/>
        </w:rPr>
        <w:t>back</w:t>
      </w:r>
      <w:r>
        <w:rPr>
          <w:color w:val="231F20"/>
          <w:spacing w:val="-8"/>
          <w:w w:val="105"/>
          <w:sz w:val="18"/>
        </w:rPr>
        <w:t> </w:t>
      </w:r>
      <w:r>
        <w:rPr>
          <w:color w:val="231F20"/>
          <w:w w:val="105"/>
          <w:sz w:val="18"/>
        </w:rPr>
        <w:t>to</w:t>
      </w:r>
      <w:r>
        <w:rPr>
          <w:color w:val="231F20"/>
          <w:spacing w:val="-9"/>
          <w:w w:val="105"/>
          <w:sz w:val="18"/>
        </w:rPr>
        <w:t> </w:t>
      </w:r>
      <w:r>
        <w:rPr>
          <w:color w:val="231F20"/>
          <w:w w:val="105"/>
          <w:sz w:val="18"/>
        </w:rPr>
        <w:t>the</w:t>
      </w:r>
      <w:r>
        <w:rPr>
          <w:color w:val="231F20"/>
          <w:spacing w:val="-9"/>
          <w:w w:val="105"/>
          <w:sz w:val="18"/>
        </w:rPr>
        <w:t> </w:t>
      </w:r>
      <w:r>
        <w:rPr>
          <w:color w:val="231F20"/>
          <w:w w:val="105"/>
          <w:sz w:val="18"/>
        </w:rPr>
        <w:t>body</w:t>
      </w:r>
      <w:r>
        <w:rPr>
          <w:color w:val="231F20"/>
          <w:spacing w:val="-9"/>
          <w:w w:val="105"/>
          <w:sz w:val="18"/>
        </w:rPr>
        <w:t> </w:t>
      </w:r>
      <w:r>
        <w:rPr>
          <w:color w:val="231F20"/>
          <w:w w:val="105"/>
          <w:sz w:val="18"/>
        </w:rPr>
        <w:t>fluids.</w:t>
      </w:r>
      <w:r>
        <w:rPr>
          <w:color w:val="231F20"/>
          <w:spacing w:val="-9"/>
          <w:w w:val="105"/>
          <w:sz w:val="18"/>
        </w:rPr>
        <w:t> </w:t>
      </w:r>
      <w:r>
        <w:rPr>
          <w:color w:val="231F20"/>
          <w:w w:val="105"/>
          <w:sz w:val="18"/>
        </w:rPr>
        <w:t>Thus, chronic renal failure can be associated with severe meta- bolic</w:t>
      </w:r>
      <w:r>
        <w:rPr>
          <w:color w:val="231F20"/>
          <w:spacing w:val="3"/>
          <w:w w:val="105"/>
          <w:sz w:val="18"/>
        </w:rPr>
        <w:t> </w:t>
      </w:r>
      <w:r>
        <w:rPr>
          <w:color w:val="231F20"/>
          <w:w w:val="105"/>
          <w:sz w:val="18"/>
        </w:rPr>
        <w:t>acidosis.</w:t>
      </w:r>
    </w:p>
    <w:p>
      <w:pPr>
        <w:pStyle w:val="BodyText"/>
        <w:spacing w:before="4"/>
        <w:rPr>
          <w:sz w:val="22"/>
        </w:rPr>
      </w:pPr>
    </w:p>
    <w:p>
      <w:pPr>
        <w:spacing w:line="249" w:lineRule="auto" w:before="0"/>
        <w:ind w:left="679" w:right="958" w:firstLine="0"/>
        <w:jc w:val="left"/>
        <w:rPr>
          <w:rFonts w:ascii="Trebuchet MS" w:hAnsi="Trebuchet MS"/>
          <w:b/>
          <w:sz w:val="18"/>
        </w:rPr>
      </w:pPr>
      <w:r>
        <w:rPr/>
        <w:pict>
          <v:shape style="position:absolute;margin-left:431.028992pt;margin-top:15.75269pt;width:3.05pt;height:6.25pt;mso-position-horizontal-relative:page;mso-position-vertical-relative:paragraph;z-index:-272273408" type="#_x0000_t202" filled="false" stroked="false">
            <v:textbox inset="0,0,0,0">
              <w:txbxContent>
                <w:p>
                  <w:pPr>
                    <w:spacing w:line="125" w:lineRule="exact" w:before="0"/>
                    <w:ind w:left="0" w:right="0" w:firstLine="0"/>
                    <w:jc w:val="left"/>
                    <w:rPr>
                      <w:rFonts w:ascii="Trebuchet MS"/>
                      <w:b/>
                      <w:sz w:val="11"/>
                    </w:rPr>
                  </w:pPr>
                  <w:r>
                    <w:rPr>
                      <w:rFonts w:ascii="Trebuchet MS"/>
                      <w:b/>
                      <w:color w:val="231F20"/>
                      <w:w w:val="93"/>
                      <w:sz w:val="11"/>
                    </w:rPr>
                    <w:t>3</w:t>
                  </w:r>
                </w:p>
              </w:txbxContent>
            </v:textbox>
            <w10:wrap type="none"/>
          </v:shape>
        </w:pict>
      </w:r>
      <w:r>
        <w:rPr>
          <w:rFonts w:ascii="Trebuchet MS" w:hAnsi="Trebuchet MS"/>
          <w:b/>
          <w:color w:val="231F20"/>
          <w:sz w:val="18"/>
        </w:rPr>
        <w:t>Metabolic Alkalosis Results from Increased Extracellular Fluid HCO </w:t>
      </w:r>
      <w:r>
        <w:rPr>
          <w:rFonts w:ascii="Consolas" w:hAnsi="Consolas"/>
          <w:b/>
          <w:color w:val="231F20"/>
          <w:position w:val="7"/>
          <w:sz w:val="11"/>
        </w:rPr>
        <w:t>− </w:t>
      </w:r>
      <w:r>
        <w:rPr>
          <w:rFonts w:ascii="Trebuchet MS" w:hAnsi="Trebuchet MS"/>
          <w:b/>
          <w:color w:val="231F20"/>
          <w:sz w:val="18"/>
        </w:rPr>
        <w:t>Concentration</w:t>
      </w:r>
    </w:p>
    <w:p>
      <w:pPr>
        <w:spacing w:line="254" w:lineRule="auto" w:before="81"/>
        <w:ind w:left="679" w:right="1257" w:hanging="1"/>
        <w:jc w:val="both"/>
        <w:rPr>
          <w:sz w:val="18"/>
        </w:rPr>
      </w:pPr>
      <w:r>
        <w:rPr/>
        <w:pict>
          <v:shape style="position:absolute;margin-left:429.854187pt;margin-top:8.939964pt;width:2.7pt;height:7.8pt;mso-position-horizontal-relative:page;mso-position-vertical-relative:paragraph;z-index:-272272384"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color w:val="231F20"/>
          <w:sz w:val="18"/>
        </w:rPr>
        <w:t>Excess retention of HCO </w:t>
      </w:r>
      <w:r>
        <w:rPr>
          <w:rFonts w:ascii="Consolas" w:hAnsi="Consolas"/>
          <w:color w:val="231F20"/>
          <w:position w:val="7"/>
          <w:sz w:val="11"/>
        </w:rPr>
        <w:t>− </w:t>
      </w:r>
      <w:r>
        <w:rPr>
          <w:color w:val="231F20"/>
          <w:sz w:val="18"/>
        </w:rPr>
        <w:t>or loss of H</w:t>
      </w:r>
      <w:r>
        <w:rPr>
          <w:rFonts w:ascii="Consolas" w:hAnsi="Consolas"/>
          <w:color w:val="231F20"/>
          <w:position w:val="7"/>
          <w:sz w:val="11"/>
        </w:rPr>
        <w:t>+ </w:t>
      </w:r>
      <w:r>
        <w:rPr>
          <w:color w:val="231F20"/>
          <w:sz w:val="18"/>
        </w:rPr>
        <w:t>from the body causes metabolic alkalosis. Metabolic alkalosis is not</w:t>
      </w:r>
      <w:r>
        <w:rPr>
          <w:color w:val="231F20"/>
          <w:spacing w:val="-18"/>
          <w:sz w:val="18"/>
        </w:rPr>
        <w:t> </w:t>
      </w:r>
      <w:r>
        <w:rPr>
          <w:color w:val="231F20"/>
          <w:sz w:val="18"/>
        </w:rPr>
        <w:t>nearly as common as metabolic acidosis, but some of the causes  of metabolic alkalosis are described in the following sections.</w:t>
      </w:r>
    </w:p>
    <w:p>
      <w:pPr>
        <w:spacing w:line="254" w:lineRule="auto" w:before="21"/>
        <w:ind w:left="679" w:right="1257" w:firstLine="240"/>
        <w:jc w:val="both"/>
        <w:rPr>
          <w:sz w:val="18"/>
        </w:rPr>
      </w:pPr>
      <w:r>
        <w:rPr>
          <w:rFonts w:ascii="Trebuchet MS"/>
          <w:b/>
          <w:color w:val="231F20"/>
          <w:sz w:val="16"/>
        </w:rPr>
        <w:t>Administration</w:t>
      </w:r>
      <w:r>
        <w:rPr>
          <w:rFonts w:ascii="Trebuchet MS"/>
          <w:b/>
          <w:color w:val="231F20"/>
          <w:spacing w:val="-8"/>
          <w:sz w:val="16"/>
        </w:rPr>
        <w:t> </w:t>
      </w:r>
      <w:r>
        <w:rPr>
          <w:rFonts w:ascii="Trebuchet MS"/>
          <w:b/>
          <w:color w:val="231F20"/>
          <w:sz w:val="16"/>
        </w:rPr>
        <w:t>of</w:t>
      </w:r>
      <w:r>
        <w:rPr>
          <w:rFonts w:ascii="Trebuchet MS"/>
          <w:b/>
          <w:color w:val="231F20"/>
          <w:spacing w:val="-8"/>
          <w:sz w:val="16"/>
        </w:rPr>
        <w:t> </w:t>
      </w:r>
      <w:r>
        <w:rPr>
          <w:rFonts w:ascii="Trebuchet MS"/>
          <w:b/>
          <w:color w:val="231F20"/>
          <w:sz w:val="16"/>
        </w:rPr>
        <w:t>Diuretics</w:t>
      </w:r>
      <w:r>
        <w:rPr>
          <w:rFonts w:ascii="Trebuchet MS"/>
          <w:b/>
          <w:color w:val="231F20"/>
          <w:spacing w:val="-8"/>
          <w:sz w:val="16"/>
        </w:rPr>
        <w:t> </w:t>
      </w:r>
      <w:r>
        <w:rPr>
          <w:rFonts w:ascii="Trebuchet MS"/>
          <w:b/>
          <w:color w:val="231F20"/>
          <w:sz w:val="16"/>
        </w:rPr>
        <w:t>(Except</w:t>
      </w:r>
      <w:r>
        <w:rPr>
          <w:rFonts w:ascii="Trebuchet MS"/>
          <w:b/>
          <w:color w:val="231F20"/>
          <w:spacing w:val="-7"/>
          <w:sz w:val="16"/>
        </w:rPr>
        <w:t> </w:t>
      </w:r>
      <w:r>
        <w:rPr>
          <w:rFonts w:ascii="Trebuchet MS"/>
          <w:b/>
          <w:color w:val="231F20"/>
          <w:sz w:val="16"/>
        </w:rPr>
        <w:t>the</w:t>
      </w:r>
      <w:r>
        <w:rPr>
          <w:rFonts w:ascii="Trebuchet MS"/>
          <w:b/>
          <w:color w:val="231F20"/>
          <w:spacing w:val="-8"/>
          <w:sz w:val="16"/>
        </w:rPr>
        <w:t> </w:t>
      </w:r>
      <w:r>
        <w:rPr>
          <w:rFonts w:ascii="Trebuchet MS"/>
          <w:b/>
          <w:color w:val="231F20"/>
          <w:sz w:val="16"/>
        </w:rPr>
        <w:t>Carbonic</w:t>
      </w:r>
      <w:r>
        <w:rPr>
          <w:rFonts w:ascii="Trebuchet MS"/>
          <w:b/>
          <w:color w:val="231F20"/>
          <w:spacing w:val="-8"/>
          <w:sz w:val="16"/>
        </w:rPr>
        <w:t> </w:t>
      </w:r>
      <w:r>
        <w:rPr>
          <w:rFonts w:ascii="Trebuchet MS"/>
          <w:b/>
          <w:color w:val="231F20"/>
          <w:spacing w:val="-3"/>
          <w:sz w:val="16"/>
        </w:rPr>
        <w:t>Anhy- </w:t>
      </w:r>
      <w:r>
        <w:rPr>
          <w:rFonts w:ascii="Trebuchet MS"/>
          <w:b/>
          <w:color w:val="231F20"/>
          <w:sz w:val="16"/>
        </w:rPr>
        <w:t>drase Inhibitors). </w:t>
      </w:r>
      <w:r>
        <w:rPr>
          <w:color w:val="231F20"/>
          <w:sz w:val="18"/>
        </w:rPr>
        <w:t>All diuretics cause increased flow of fluid along the tubules, usually increasing flow in the distal and collecting tubules. This effect leads to increased reab- sorption of Na</w:t>
      </w:r>
      <w:r>
        <w:rPr>
          <w:rFonts w:ascii="Consolas"/>
          <w:color w:val="231F20"/>
          <w:position w:val="7"/>
          <w:sz w:val="11"/>
        </w:rPr>
        <w:t>+ </w:t>
      </w:r>
      <w:r>
        <w:rPr>
          <w:color w:val="231F20"/>
          <w:sz w:val="18"/>
        </w:rPr>
        <w:t>from these parts of the nephrons. Because the sodium reabsorption here is coupled with H</w:t>
      </w:r>
      <w:r>
        <w:rPr>
          <w:rFonts w:ascii="Consolas"/>
          <w:color w:val="231F20"/>
          <w:position w:val="7"/>
          <w:sz w:val="11"/>
        </w:rPr>
        <w:t>+ </w:t>
      </w:r>
      <w:r>
        <w:rPr>
          <w:color w:val="231F20"/>
          <w:sz w:val="18"/>
        </w:rPr>
        <w:t>secretion, the enhanced sodium reabsorption also leads to an increase in H</w:t>
      </w:r>
      <w:r>
        <w:rPr>
          <w:rFonts w:ascii="Consolas"/>
          <w:color w:val="231F20"/>
          <w:position w:val="7"/>
          <w:sz w:val="11"/>
        </w:rPr>
        <w:t>+ </w:t>
      </w:r>
      <w:r>
        <w:rPr>
          <w:color w:val="231F20"/>
          <w:sz w:val="18"/>
        </w:rPr>
        <w:t>secretion and an increase in bicarbonate reabsorp- tion. These changes lead to the development of alkalosis, which is characterized by increased extracellular fluid bicarbonate</w:t>
      </w:r>
      <w:r>
        <w:rPr>
          <w:color w:val="231F20"/>
          <w:spacing w:val="7"/>
          <w:sz w:val="18"/>
        </w:rPr>
        <w:t> </w:t>
      </w:r>
      <w:r>
        <w:rPr>
          <w:color w:val="231F20"/>
          <w:sz w:val="18"/>
        </w:rPr>
        <w:t>concentration.</w:t>
      </w:r>
    </w:p>
    <w:p>
      <w:pPr>
        <w:spacing w:after="0" w:line="254" w:lineRule="auto"/>
        <w:jc w:val="both"/>
        <w:rPr>
          <w:sz w:val="18"/>
        </w:rPr>
        <w:sectPr>
          <w:type w:val="continuous"/>
          <w:pgSz w:w="12240" w:h="15660"/>
          <w:pgMar w:top="0" w:bottom="760" w:left="0" w:right="0"/>
          <w:cols w:num="2" w:equalWidth="0">
            <w:col w:w="5941" w:space="40"/>
            <w:col w:w="6259"/>
          </w:cols>
        </w:sectPr>
      </w:pPr>
    </w:p>
    <w:p>
      <w:pPr>
        <w:pStyle w:val="BodyText"/>
      </w:pPr>
    </w:p>
    <w:p>
      <w:pPr>
        <w:spacing w:after="0"/>
        <w:sectPr>
          <w:headerReference w:type="even" r:id="rId1021"/>
          <w:footerReference w:type="even" r:id="rId1022"/>
          <w:footerReference w:type="default" r:id="rId1023"/>
          <w:pgSz w:w="12240" w:h="15660"/>
          <w:pgMar w:header="0" w:footer="567" w:top="720" w:bottom="760" w:left="0" w:right="0"/>
          <w:pgNumType w:start="424"/>
        </w:sectPr>
      </w:pPr>
    </w:p>
    <w:p>
      <w:pPr>
        <w:pStyle w:val="BodyText"/>
        <w:spacing w:before="7"/>
        <w:rPr>
          <w:sz w:val="22"/>
        </w:rPr>
      </w:pPr>
    </w:p>
    <w:p>
      <w:pPr>
        <w:spacing w:line="254" w:lineRule="auto" w:before="0"/>
        <w:ind w:left="1259" w:right="0" w:firstLine="240"/>
        <w:jc w:val="both"/>
        <w:rPr>
          <w:sz w:val="18"/>
        </w:rPr>
      </w:pPr>
      <w:r>
        <w:rPr>
          <w:rFonts w:ascii="Trebuchet MS"/>
          <w:b/>
          <w:color w:val="231F20"/>
          <w:sz w:val="16"/>
        </w:rPr>
        <w:t>Excess Aldosterone. </w:t>
      </w:r>
      <w:r>
        <w:rPr>
          <w:color w:val="231F20"/>
          <w:sz w:val="18"/>
        </w:rPr>
        <w:t>When large amounts of </w:t>
      </w:r>
      <w:r>
        <w:rPr>
          <w:color w:val="231F20"/>
          <w:spacing w:val="-3"/>
          <w:sz w:val="18"/>
        </w:rPr>
        <w:t>aldoste- </w:t>
      </w:r>
      <w:r>
        <w:rPr>
          <w:color w:val="231F20"/>
          <w:sz w:val="18"/>
        </w:rPr>
        <w:t>rone are secreted by the adrenal glands, a mild metabolic alkalosis develops. As discussed previously, aldosterone promotes extensive reabsorption of Na</w:t>
      </w:r>
      <w:r>
        <w:rPr>
          <w:rFonts w:ascii="Consolas"/>
          <w:color w:val="231F20"/>
          <w:position w:val="7"/>
          <w:sz w:val="11"/>
        </w:rPr>
        <w:t>+ </w:t>
      </w:r>
      <w:r>
        <w:rPr>
          <w:color w:val="231F20"/>
          <w:sz w:val="18"/>
        </w:rPr>
        <w:t>from  the  distal and collecting tubules and at the same time </w:t>
      </w:r>
      <w:r>
        <w:rPr>
          <w:color w:val="231F20"/>
          <w:spacing w:val="-3"/>
          <w:sz w:val="18"/>
        </w:rPr>
        <w:t>stimulates </w:t>
      </w:r>
      <w:r>
        <w:rPr>
          <w:color w:val="231F20"/>
          <w:sz w:val="18"/>
        </w:rPr>
        <w:t>secretion of H</w:t>
      </w:r>
      <w:r>
        <w:rPr>
          <w:rFonts w:ascii="Consolas"/>
          <w:color w:val="231F20"/>
          <w:position w:val="7"/>
          <w:sz w:val="11"/>
        </w:rPr>
        <w:t>+ </w:t>
      </w:r>
      <w:r>
        <w:rPr>
          <w:color w:val="231F20"/>
          <w:sz w:val="18"/>
        </w:rPr>
        <w:t>by the intercalated cells of the collecting tubules. This increased secretion of H</w:t>
      </w:r>
      <w:r>
        <w:rPr>
          <w:rFonts w:ascii="Consolas"/>
          <w:color w:val="231F20"/>
          <w:position w:val="7"/>
          <w:sz w:val="11"/>
        </w:rPr>
        <w:t>+</w:t>
      </w:r>
      <w:r>
        <w:rPr>
          <w:rFonts w:ascii="Consolas"/>
          <w:color w:val="231F20"/>
          <w:spacing w:val="-42"/>
          <w:position w:val="7"/>
          <w:sz w:val="11"/>
        </w:rPr>
        <w:t> </w:t>
      </w:r>
      <w:r>
        <w:rPr>
          <w:color w:val="231F20"/>
          <w:sz w:val="18"/>
        </w:rPr>
        <w:t>leads to its increased excretion by the kidneys and, therefore, metabolic  alkalosis.</w:t>
      </w:r>
    </w:p>
    <w:p>
      <w:pPr>
        <w:spacing w:line="254" w:lineRule="auto" w:before="0"/>
        <w:ind w:left="1259" w:right="0" w:firstLine="240"/>
        <w:jc w:val="both"/>
        <w:rPr>
          <w:sz w:val="18"/>
        </w:rPr>
      </w:pPr>
      <w:r>
        <w:rPr/>
        <w:pict>
          <v:rect style="position:absolute;margin-left:0pt;margin-top:32.490234pt;width:36pt;height:24pt;mso-position-horizontal-relative:page;mso-position-vertical-relative:paragraph;z-index:253133824" filled="true" fillcolor="#e8dac8" stroked="false">
            <v:fill type="solid"/>
            <w10:wrap type="none"/>
          </v:rect>
        </w:pict>
      </w:r>
      <w:r>
        <w:rPr>
          <w:rFonts w:ascii="Trebuchet MS"/>
          <w:b/>
          <w:color w:val="231F20"/>
          <w:sz w:val="16"/>
        </w:rPr>
        <w:t>Vomiting of Gastric Contents. </w:t>
      </w:r>
      <w:r>
        <w:rPr>
          <w:color w:val="231F20"/>
          <w:sz w:val="18"/>
        </w:rPr>
        <w:t>Vomiting of the gastric contents alone, without vomiting of the lower gastrointes- tinal contents, causes loss of the HCl secreted by the stomach mucosa. The net result is a loss of acid from the extracellular fluid and development of metabolic alkalosis. This type of alkalosis occurs especially in neonates who have pyloric stenosis caused by hypertrophied pyloric sphincter muscles.</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03" w:lineRule="exact" w:before="158"/>
        <w:ind w:left="633" w:right="0" w:firstLine="0"/>
        <w:jc w:val="center"/>
        <w:rPr>
          <w:rFonts w:ascii="Helvetica"/>
          <w:sz w:val="12"/>
        </w:rPr>
      </w:pPr>
      <w:r>
        <w:rPr/>
        <w:pict>
          <v:group style="position:absolute;margin-left:307.154999pt;margin-top:-170.61203pt;width:231.7pt;height:176.95pt;mso-position-horizontal-relative:page;mso-position-vertical-relative:paragraph;z-index:253180928" coordorigin="6143,-3412" coordsize="4634,3539">
            <v:shape style="position:absolute;left:8125;top:-2546;width:1927;height:1073" coordorigin="8126,-2545" coordsize="1927,1073" path="m8899,-2545l8126,-2545,8126,-2126,8899,-2126,8899,-2545m10052,-1892l9278,-1892,9278,-1473,10052,-1473,10052,-1892e" filled="true" fillcolor="#95aac4" stroked="false">
              <v:path arrowok="t"/>
              <v:fill type="solid"/>
            </v:shape>
            <v:shape style="position:absolute;left:9545;top:-2139;width:120;height:185" type="#_x0000_t75" stroked="false">
              <v:imagedata r:id="rId1024" o:title=""/>
            </v:shape>
            <v:rect style="position:absolute;left:6930;top:-1893;width:774;height:420" filled="true" fillcolor="#95aac4" stroked="false">
              <v:fill type="solid"/>
            </v:rect>
            <v:shape style="position:absolute;left:7197;top:-2139;width:120;height:185" type="#_x0000_t75" stroked="false">
              <v:imagedata r:id="rId877" o:title=""/>
            </v:shape>
            <v:shape style="position:absolute;left:7257;top:-2398;width:2348;height:381" coordorigin="7257,-2397" coordsize="2348,381" path="m7257,-2016l7257,-2397,9605,-2397,9605,-2016e" filled="false" stroked="true" strokeweight="1.5pt" strokecolor="#ed1c24">
              <v:path arrowok="t"/>
              <v:stroke dashstyle="solid"/>
            </v:shape>
            <v:shape style="position:absolute;left:8393;top:-2795;width:120;height:185" coordorigin="8393,-2795" coordsize="120,185" path="m8394,-2795l8393,-2793,8431,-2703,8452,-2610,8475,-2704,8499,-2761,8453,-2761,8394,-2795xm8512,-2794l8453,-2761,8499,-2761,8513,-2792,8512,-2794xe" filled="true" fillcolor="#f0535f" stroked="false">
              <v:path arrowok="t"/>
              <v:fill type="solid"/>
            </v:shape>
            <v:rect style="position:absolute;left:7725;top:-3353;width:1574;height:420" filled="true" fillcolor="#95aac4" stroked="false">
              <v:fill type="solid"/>
            </v:rect>
            <v:rect style="position:absolute;left:7665;top:-3413;width:1574;height:420" filled="true" fillcolor="#d4e5f3" stroked="false">
              <v:fill type="solid"/>
            </v:rect>
            <v:line style="position:absolute" from="8452,-2993" to="8452,-2672" stroked="true" strokeweight="1.5pt" strokecolor="#ed1c24">
              <v:stroke dashstyle="solid"/>
            </v:line>
            <v:rect style="position:absolute;left:6203;top:-1095;width:1054;height:420" filled="true" fillcolor="#95aac4" stroked="false">
              <v:fill type="solid"/>
            </v:rect>
            <v:rect style="position:absolute;left:6143;top:-1155;width:1054;height:420" filled="true" fillcolor="#d4e5f3" stroked="false">
              <v:fill type="solid"/>
            </v:rect>
            <v:rect style="position:absolute;left:7376;top:-1095;width:1054;height:420" filled="true" fillcolor="#95aac4" stroked="false">
              <v:fill type="solid"/>
            </v:rect>
            <v:rect style="position:absolute;left:7316;top:-1155;width:1054;height:420" filled="true" fillcolor="#d4e5f3" stroked="false">
              <v:fill type="solid"/>
            </v:rect>
            <v:rect style="position:absolute;left:8549;top:-1095;width:1054;height:420" filled="true" fillcolor="#95aac4" stroked="false">
              <v:fill type="solid"/>
            </v:rect>
            <v:rect style="position:absolute;left:8489;top:-1155;width:1054;height:420" filled="true" fillcolor="#d4e5f3" stroked="false">
              <v:fill type="solid"/>
            </v:rect>
            <v:rect style="position:absolute;left:9723;top:-1095;width:1054;height:420" filled="true" fillcolor="#95aac4" stroked="false">
              <v:fill type="solid"/>
            </v:rect>
            <v:rect style="position:absolute;left:9663;top:-1155;width:1054;height:420" filled="true" fillcolor="#d4e5f3" stroked="false">
              <v:fill type="solid"/>
            </v:rect>
            <v:shape style="position:absolute;left:10130;top:-537;width:120;height:185" coordorigin="10131,-537" coordsize="120,185" path="m10132,-537l10131,-535,10168,-446,10190,-352,10212,-446,10237,-504,10190,-504,10132,-537xm10249,-537l10190,-504,10237,-504,10250,-535,10249,-537xe" filled="true" fillcolor="#f0535f" stroked="false">
              <v:path arrowok="t"/>
              <v:fill type="solid"/>
            </v:shape>
            <v:line style="position:absolute" from="10190,-736" to="10190,-415" stroked="true" strokeweight="1.5pt" strokecolor="#ed1c24">
              <v:stroke dashstyle="solid"/>
            </v:line>
            <v:shape style="position:absolute;left:8957;top:-537;width:120;height:185" coordorigin="8957,-537" coordsize="120,185" path="m8958,-537l8957,-535,8995,-446,9017,-352,9039,-446,9064,-504,9017,-504,8958,-537xm9076,-537l9017,-504,9064,-504,9077,-535,9076,-537xe" filled="true" fillcolor="#f0535f" stroked="false">
              <v:path arrowok="t"/>
              <v:fill type="solid"/>
            </v:shape>
            <v:line style="position:absolute" from="9017,-736" to="9017,-415" stroked="true" strokeweight="1.5pt" strokecolor="#ed1c24">
              <v:stroke dashstyle="solid"/>
            </v:line>
            <v:shape style="position:absolute;left:7784;top:-537;width:120;height:185" coordorigin="7784,-537" coordsize="120,185" path="m7785,-537l7784,-535,7822,-446,7843,-352,7866,-446,7890,-504,7844,-504,7785,-537xm7902,-537l7844,-504,7890,-504,7904,-535,7902,-537xe" filled="true" fillcolor="#f0535f" stroked="false">
              <v:path arrowok="t"/>
              <v:fill type="solid"/>
            </v:shape>
            <v:line style="position:absolute" from="7843,-736" to="7843,-415" stroked="true" strokeweight="1.5pt" strokecolor="#ed1c24">
              <v:stroke dashstyle="solid"/>
            </v:line>
            <v:shape style="position:absolute;left:6610;top:-537;width:120;height:185" coordorigin="6611,-537" coordsize="120,185" path="m6612,-537l6611,-535,6648,-446,6670,-352,6692,-446,6717,-504,6670,-504,6612,-537xm6729,-537l6670,-504,6717,-504,6730,-535,6729,-537xe" filled="true" fillcolor="#f0535f" stroked="false">
              <v:path arrowok="t"/>
              <v:fill type="solid"/>
            </v:shape>
            <v:line style="position:absolute" from="6670,-736" to="6670,-415" stroked="true" strokeweight="1.5pt" strokecolor="#ed1c24">
              <v:stroke dashstyle="solid"/>
            </v:line>
            <v:shape style="position:absolute;left:9757;top:-1333;width:120;height:185" coordorigin="9757,-1333" coordsize="120,185" path="m9758,-1333l9757,-1331,9795,-1241,9817,-1148,9839,-1241,9864,-1299,9817,-1299,9758,-1333xm9876,-1332l9817,-1299,9864,-1299,9877,-1330,9876,-1332xe" filled="true" fillcolor="#f0535f" stroked="false">
              <v:path arrowok="t"/>
              <v:fill type="solid"/>
            </v:shape>
            <v:line style="position:absolute" from="9817,-1531" to="9817,-1210" stroked="true" strokeweight="1.5pt" strokecolor="#ed1c24">
              <v:stroke dashstyle="solid"/>
            </v:line>
            <v:shape style="position:absolute;left:9333;top:-1333;width:120;height:185" coordorigin="9334,-1333" coordsize="120,185" path="m9335,-1333l9334,-1331,9371,-1241,9393,-1148,9415,-1241,9440,-1299,9394,-1299,9335,-1333xm9452,-1332l9394,-1299,9440,-1299,9453,-1330,9452,-1332xe" filled="true" fillcolor="#f0535f" stroked="false">
              <v:path arrowok="t"/>
              <v:fill type="solid"/>
            </v:shape>
            <v:line style="position:absolute" from="9393,-1531" to="9393,-1210" stroked="true" strokeweight="1.5pt" strokecolor="#ed1c24">
              <v:stroke dashstyle="solid"/>
            </v:line>
            <v:shape style="position:absolute;left:7411;top:-1333;width:120;height:185" coordorigin="7411,-1333" coordsize="120,185" path="m7412,-1333l7411,-1331,7449,-1241,7471,-1148,7493,-1241,7518,-1299,7471,-1299,7412,-1333xm7530,-1332l7471,-1299,7518,-1299,7531,-1330,7530,-1332xe" filled="true" fillcolor="#f0535f" stroked="false">
              <v:path arrowok="t"/>
              <v:fill type="solid"/>
            </v:shape>
            <v:line style="position:absolute" from="7471,-1531" to="7471,-1210" stroked="true" strokeweight="1.5pt" strokecolor="#ed1c24">
              <v:stroke dashstyle="solid"/>
            </v:line>
            <v:shape style="position:absolute;left:6983;top:-1333;width:120;height:185" coordorigin="6984,-1333" coordsize="120,185" path="m6985,-1333l6984,-1331,7021,-1241,7043,-1148,7065,-1241,7090,-1299,7044,-1299,6985,-1333xm7102,-1332l7044,-1299,7090,-1299,7103,-1330,7102,-1332xe" filled="true" fillcolor="#f0535f" stroked="false">
              <v:path arrowok="t"/>
              <v:fill type="solid"/>
            </v:shape>
            <v:line style="position:absolute" from="7043,-1531" to="7043,-1210" stroked="true" strokeweight="1.5pt" strokecolor="#ed1c24">
              <v:stroke dashstyle="solid"/>
            </v:line>
            <v:shape style="position:absolute;left:6870;top:-2605;width:3122;height:1072" coordorigin="6870,-2605" coordsize="3122,1072" path="m7644,-1952l6870,-1952,6870,-1533,7644,-1533,7644,-1952m8839,-2605l8066,-2605,8066,-2186,8839,-2186,8839,-2605m9992,-1952l9218,-1952,9218,-1533,9992,-1533,9992,-1952e" filled="true" fillcolor="#d4e5f3" stroked="false">
              <v:path arrowok="t"/>
              <v:fill type="solid"/>
            </v:shape>
            <v:rect style="position:absolute;left:6203;top:-293;width:1054;height:420" filled="true" fillcolor="#95aac4" stroked="false">
              <v:fill type="solid"/>
            </v:rect>
            <v:rect style="position:absolute;left:6143;top:-353;width:1054;height:420" filled="true" fillcolor="#d4e5f3" stroked="false">
              <v:fill type="solid"/>
            </v:rect>
            <v:shape style="position:absolute;left:7376;top:-293;width:3401;height:420" coordorigin="7376,-293" coordsize="3401,420" path="m8430,-292l7376,-292,7376,127,8430,127,8430,-292m9604,-292l8550,-292,8550,127,9604,127,9604,-292m10777,-293l9723,-293,9723,127,10777,127,10777,-293e" filled="true" fillcolor="#95aac4" stroked="false">
              <v:path arrowok="t"/>
              <v:fill type="solid"/>
            </v:shape>
            <v:shape style="position:absolute;left:7316;top:-353;width:3401;height:420" coordorigin="7316,-352" coordsize="3401,420" path="m8370,-352l7316,-352,7316,67,8370,67,8370,-352m9544,-352l8490,-352,8490,67,9544,67,9544,-352m10717,-352l9663,-352,9663,67,10717,67,10717,-352e" filled="true" fillcolor="#d4e5f3" stroked="false">
              <v:path arrowok="t"/>
              <v:fill type="solid"/>
            </v:shape>
            <v:shape style="position:absolute;left:7523;top:-2595;width:3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&lt;7.4</w:t>
                    </w:r>
                  </w:p>
                </w:txbxContent>
              </v:textbox>
              <w10:wrap type="none"/>
            </v:shape>
            <v:shape style="position:absolute;left:8309;top:-2497;width:31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pH?</w:t>
                    </w:r>
                  </w:p>
                </w:txbxContent>
              </v:textbox>
              <w10:wrap type="none"/>
            </v:shape>
            <v:shape style="position:absolute;left:9075;top:-2595;width:3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&gt;7.4</w:t>
                    </w:r>
                  </w:p>
                </w:txbxContent>
              </v:textbox>
              <w10:wrap type="none"/>
            </v:shape>
            <v:shape style="position:absolute;left:6207;top:-1465;width:799;height:288" type="#_x0000_t202" filled="false" stroked="false">
              <v:textbox inset="0,0,0,0">
                <w:txbxContent>
                  <w:p>
                    <w:pPr>
                      <w:spacing w:line="119" w:lineRule="exact" w:before="0"/>
                      <w:ind w:left="501" w:right="0" w:firstLine="0"/>
                      <w:jc w:val="left"/>
                      <w:rPr>
                        <w:rFonts w:ascii="Helvetica"/>
                        <w:sz w:val="12"/>
                      </w:rPr>
                    </w:pPr>
                    <w:r>
                      <w:rPr>
                        <w:rFonts w:ascii="Helvetica"/>
                        <w:color w:val="231F20"/>
                        <w:w w:val="99"/>
                        <w:sz w:val="12"/>
                      </w:rPr>
                      <w:t>3</w:t>
                    </w:r>
                  </w:p>
                  <w:p>
                    <w:pPr>
                      <w:spacing w:line="166" w:lineRule="exact" w:before="0"/>
                      <w:ind w:left="0" w:right="0" w:firstLine="0"/>
                      <w:jc w:val="left"/>
                      <w:rPr>
                        <w:rFonts w:ascii="Helvetica"/>
                        <w:sz w:val="16"/>
                      </w:rPr>
                    </w:pPr>
                    <w:r>
                      <w:rPr>
                        <w:rFonts w:ascii="Helvetica"/>
                        <w:color w:val="231F20"/>
                        <w:sz w:val="16"/>
                      </w:rPr>
                      <w:t>&lt;24 mEq/L</w:t>
                    </w:r>
                  </w:p>
                </w:txbxContent>
              </v:textbox>
              <w10:wrap type="none"/>
            </v:shape>
            <v:shape style="position:absolute;left:6353;top:-1565;width:507;height:208" type="#_x0000_t202" filled="false" stroked="false">
              <v:textbox inset="0,0,0,0">
                <w:txbxContent>
                  <w:p>
                    <w:pPr>
                      <w:spacing w:line="206" w:lineRule="exact" w:before="0"/>
                      <w:ind w:left="0" w:right="0" w:firstLine="0"/>
                      <w:jc w:val="left"/>
                      <w:rPr>
                        <w:rFonts w:ascii="Helvetica" w:hAnsi="Helvetica"/>
                        <w:sz w:val="12"/>
                      </w:rPr>
                    </w:pPr>
                    <w:r>
                      <w:rPr>
                        <w:rFonts w:ascii="Helvetica" w:hAnsi="Helvetica"/>
                        <w:color w:val="231F20"/>
                        <w:sz w:val="16"/>
                      </w:rPr>
                      <w:t>HCO </w:t>
                    </w:r>
                    <w:r>
                      <w:rPr>
                        <w:rFonts w:ascii="Helvetica" w:hAnsi="Helvetica"/>
                        <w:color w:val="231F20"/>
                        <w:position w:val="6"/>
                        <w:sz w:val="12"/>
                      </w:rPr>
                      <w:t>–</w:t>
                    </w:r>
                  </w:p>
                </w:txbxContent>
              </v:textbox>
              <w10:wrap type="none"/>
            </v:shape>
            <v:shape style="position:absolute;left:7791;top:-1542;width:29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w:t>
                    </w:r>
                    <w:r>
                      <w:rPr>
                        <w:rFonts w:ascii="Helvetica"/>
                        <w:color w:val="231F20"/>
                        <w:sz w:val="16"/>
                        <w:vertAlign w:val="subscript"/>
                      </w:rPr>
                      <w:t>CO</w:t>
                    </w:r>
                  </w:p>
                </w:txbxContent>
              </v:textbox>
              <w10:wrap type="none"/>
            </v:shape>
            <v:shape style="position:absolute;left:8693;top:-1565;width:507;height:208" type="#_x0000_t202" filled="false" stroked="false">
              <v:textbox inset="0,0,0,0">
                <w:txbxContent>
                  <w:p>
                    <w:pPr>
                      <w:spacing w:line="205" w:lineRule="exact" w:before="0"/>
                      <w:ind w:left="0" w:right="0" w:firstLine="0"/>
                      <w:jc w:val="left"/>
                      <w:rPr>
                        <w:rFonts w:ascii="Helvetica" w:hAnsi="Helvetica"/>
                        <w:sz w:val="12"/>
                      </w:rPr>
                    </w:pPr>
                    <w:r>
                      <w:rPr>
                        <w:rFonts w:ascii="Helvetica" w:hAnsi="Helvetica"/>
                        <w:color w:val="231F20"/>
                        <w:sz w:val="16"/>
                      </w:rPr>
                      <w:t>HCO </w:t>
                    </w:r>
                    <w:r>
                      <w:rPr>
                        <w:rFonts w:ascii="Helvetica" w:hAnsi="Helvetica"/>
                        <w:color w:val="231F20"/>
                        <w:position w:val="6"/>
                        <w:sz w:val="12"/>
                      </w:rPr>
                      <w:t>–</w:t>
                    </w:r>
                  </w:p>
                </w:txbxContent>
              </v:textbox>
              <w10:wrap type="none"/>
            </v:shape>
            <v:shape style="position:absolute;left:10146;top:-1543;width:29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w:t>
                    </w:r>
                    <w:r>
                      <w:rPr>
                        <w:rFonts w:ascii="Helvetica"/>
                        <w:color w:val="231F20"/>
                        <w:sz w:val="16"/>
                        <w:vertAlign w:val="subscript"/>
                      </w:rPr>
                      <w:t>CO</w:t>
                    </w:r>
                  </w:p>
                </w:txbxContent>
              </v:textbox>
              <w10:wrap type="none"/>
            </v:shape>
            <v:shape style="position:absolute;left:7546;top:-1363;width:85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&gt;40 mm Hg</w:t>
                    </w:r>
                  </w:p>
                </w:txbxContent>
              </v:textbox>
              <w10:wrap type="none"/>
            </v:shape>
            <v:shape style="position:absolute;left:8065;top:-1455;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2</w:t>
                    </w:r>
                  </w:p>
                </w:txbxContent>
              </v:textbox>
              <w10:wrap type="none"/>
            </v:shape>
            <v:shape style="position:absolute;left:8547;top:-1465;width:799;height:288" type="#_x0000_t202" filled="false" stroked="false">
              <v:textbox inset="0,0,0,0">
                <w:txbxContent>
                  <w:p>
                    <w:pPr>
                      <w:spacing w:line="119" w:lineRule="exact" w:before="0"/>
                      <w:ind w:left="501" w:right="0" w:firstLine="0"/>
                      <w:jc w:val="left"/>
                      <w:rPr>
                        <w:rFonts w:ascii="Helvetica"/>
                        <w:sz w:val="12"/>
                      </w:rPr>
                    </w:pPr>
                    <w:r>
                      <w:rPr>
                        <w:rFonts w:ascii="Helvetica"/>
                        <w:color w:val="231F20"/>
                        <w:w w:val="99"/>
                        <w:sz w:val="12"/>
                      </w:rPr>
                      <w:t>3</w:t>
                    </w:r>
                  </w:p>
                  <w:p>
                    <w:pPr>
                      <w:spacing w:line="166" w:lineRule="exact" w:before="0"/>
                      <w:ind w:left="0" w:right="0" w:firstLine="0"/>
                      <w:jc w:val="left"/>
                      <w:rPr>
                        <w:rFonts w:ascii="Helvetica"/>
                        <w:sz w:val="16"/>
                      </w:rPr>
                    </w:pPr>
                    <w:r>
                      <w:rPr>
                        <w:rFonts w:ascii="Helvetica"/>
                        <w:color w:val="231F20"/>
                        <w:sz w:val="16"/>
                      </w:rPr>
                      <w:t>&gt;24 mEq/L</w:t>
                    </w:r>
                  </w:p>
                </w:txbxContent>
              </v:textbox>
              <w10:wrap type="none"/>
            </v:shape>
            <v:shape style="position:absolute;left:9901;top:-1363;width:85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&lt;40 mm Hg</w:t>
                    </w:r>
                  </w:p>
                </w:txbxContent>
              </v:textbox>
              <w10:wrap type="none"/>
            </v:shape>
            <v:shape style="position:absolute;left:10420;top:-1455;width:87;height:139"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2</w:t>
                    </w:r>
                  </w:p>
                </w:txbxContent>
              </v:textbox>
              <w10:wrap type="none"/>
            </v:shape>
            <v:shape style="position:absolute;left:6175;top:-333;width:4531;height:365" type="#_x0000_t202" filled="false" stroked="false">
              <v:textbox inset="0,0,0,0">
                <w:txbxContent>
                  <w:p>
                    <w:pPr>
                      <w:tabs>
                        <w:tab w:pos="1462" w:val="left" w:leader="none"/>
                        <w:tab w:pos="2442" w:val="left" w:leader="none"/>
                        <w:tab w:pos="3803" w:val="left" w:leader="none"/>
                      </w:tabs>
                      <w:spacing w:line="235" w:lineRule="auto" w:before="2"/>
                      <w:ind w:left="0" w:right="18" w:firstLine="89"/>
                      <w:jc w:val="left"/>
                      <w:rPr>
                        <w:rFonts w:ascii="Helvetica"/>
                        <w:sz w:val="16"/>
                      </w:rPr>
                    </w:pPr>
                    <w:r>
                      <w:rPr>
                        <w:rFonts w:ascii="Helvetica"/>
                        <w:color w:val="231F20"/>
                        <w:sz w:val="16"/>
                      </w:rPr>
                      <w:t>Respiratory</w:t>
                      <w:tab/>
                      <w:t>Renal</w:t>
                      <w:tab/>
                      <w:t>Respiratory</w:t>
                      <w:tab/>
                      <w:t>Renal compensation compensation compensation</w:t>
                    </w:r>
                    <w:r>
                      <w:rPr>
                        <w:rFonts w:ascii="Helvetica"/>
                        <w:color w:val="231F20"/>
                        <w:spacing w:val="42"/>
                        <w:sz w:val="16"/>
                      </w:rPr>
                      <w:t> </w:t>
                    </w:r>
                    <w:r>
                      <w:rPr>
                        <w:rFonts w:ascii="Helvetica"/>
                        <w:color w:val="231F20"/>
                        <w:spacing w:val="-2"/>
                        <w:sz w:val="16"/>
                      </w:rPr>
                      <w:t>compensation</w:t>
                    </w:r>
                  </w:p>
                </w:txbxContent>
              </v:textbox>
              <w10:wrap type="none"/>
            </v:shape>
            <v:shape style="position:absolute;left:9723;top:-1095;width:1054;height:420" type="#_x0000_t202" filled="false" stroked="false">
              <v:textbox inset="0,0,0,0">
                <w:txbxContent>
                  <w:p>
                    <w:pPr>
                      <w:spacing w:before="55"/>
                      <w:ind w:left="66" w:right="0" w:firstLine="0"/>
                      <w:jc w:val="left"/>
                      <w:rPr>
                        <w:rFonts w:ascii="Helvetica"/>
                        <w:sz w:val="16"/>
                      </w:rPr>
                    </w:pPr>
                    <w:r>
                      <w:rPr>
                        <w:rFonts w:ascii="Helvetica"/>
                        <w:color w:val="231F20"/>
                        <w:sz w:val="16"/>
                      </w:rPr>
                      <w:t>Respiratory</w:t>
                    </w:r>
                  </w:p>
                </w:txbxContent>
              </v:textbox>
              <w10:wrap type="none"/>
            </v:shape>
            <v:shape style="position:absolute;left:8549;top:-1095;width:1054;height:420" type="#_x0000_t202" filled="false" stroked="false">
              <v:textbox inset="0,0,0,0">
                <w:txbxContent>
                  <w:p>
                    <w:pPr>
                      <w:spacing w:before="55"/>
                      <w:ind w:left="139" w:right="0" w:firstLine="0"/>
                      <w:jc w:val="left"/>
                      <w:rPr>
                        <w:rFonts w:ascii="Helvetica"/>
                        <w:sz w:val="16"/>
                      </w:rPr>
                    </w:pPr>
                    <w:r>
                      <w:rPr>
                        <w:rFonts w:ascii="Helvetica"/>
                        <w:color w:val="231F20"/>
                        <w:sz w:val="16"/>
                      </w:rPr>
                      <w:t>Metabolic</w:t>
                    </w:r>
                  </w:p>
                </w:txbxContent>
              </v:textbox>
              <w10:wrap type="none"/>
            </v:shape>
            <v:shape style="position:absolute;left:7376;top:-1095;width:1054;height:420" type="#_x0000_t202" filled="false" stroked="false">
              <v:textbox inset="0,0,0,0">
                <w:txbxContent>
                  <w:p>
                    <w:pPr>
                      <w:spacing w:before="55"/>
                      <w:ind w:left="59" w:right="0" w:firstLine="0"/>
                      <w:jc w:val="left"/>
                      <w:rPr>
                        <w:rFonts w:ascii="Helvetica"/>
                        <w:sz w:val="16"/>
                      </w:rPr>
                    </w:pPr>
                    <w:r>
                      <w:rPr>
                        <w:rFonts w:ascii="Helvetica"/>
                        <w:color w:val="231F20"/>
                        <w:sz w:val="16"/>
                      </w:rPr>
                      <w:t>Respiratory</w:t>
                    </w:r>
                  </w:p>
                </w:txbxContent>
              </v:textbox>
              <w10:wrap type="none"/>
            </v:shape>
            <v:shape style="position:absolute;left:6203;top:-1095;width:1054;height:420" type="#_x0000_t202" filled="false" stroked="false">
              <v:textbox inset="0,0,0,0">
                <w:txbxContent>
                  <w:p>
                    <w:pPr>
                      <w:spacing w:before="55"/>
                      <w:ind w:left="68" w:right="0" w:firstLine="0"/>
                      <w:jc w:val="left"/>
                      <w:rPr>
                        <w:rFonts w:ascii="Helvetica"/>
                        <w:sz w:val="16"/>
                      </w:rPr>
                    </w:pPr>
                    <w:r>
                      <w:rPr>
                        <w:rFonts w:ascii="Helvetica"/>
                        <w:color w:val="231F20"/>
                        <w:sz w:val="16"/>
                      </w:rPr>
                      <w:t>Metabolic</w:t>
                    </w:r>
                  </w:p>
                </w:txbxContent>
              </v:textbox>
              <w10:wrap type="none"/>
            </v:shape>
            <v:shape style="position:absolute;left:9278;top:-1893;width:774;height:420" type="#_x0000_t202" filled="false" stroked="false">
              <v:textbox inset="0,0,0,0">
                <w:txbxContent>
                  <w:p>
                    <w:pPr>
                      <w:spacing w:before="47"/>
                      <w:ind w:left="14" w:right="0" w:firstLine="0"/>
                      <w:jc w:val="left"/>
                      <w:rPr>
                        <w:rFonts w:ascii="Helvetica"/>
                        <w:sz w:val="16"/>
                      </w:rPr>
                    </w:pPr>
                    <w:r>
                      <w:rPr>
                        <w:rFonts w:ascii="Helvetica"/>
                        <w:color w:val="231F20"/>
                        <w:sz w:val="16"/>
                      </w:rPr>
                      <w:t>Alkalosis</w:t>
                    </w:r>
                  </w:p>
                </w:txbxContent>
              </v:textbox>
              <w10:wrap type="none"/>
            </v:shape>
            <v:shape style="position:absolute;left:6930;top:-1893;width:774;height:420" type="#_x0000_t202" filled="false" stroked="false">
              <v:textbox inset="0,0,0,0">
                <w:txbxContent>
                  <w:p>
                    <w:pPr>
                      <w:spacing w:before="47"/>
                      <w:ind w:left="32" w:right="0" w:firstLine="0"/>
                      <w:jc w:val="left"/>
                      <w:rPr>
                        <w:rFonts w:ascii="Helvetica"/>
                        <w:sz w:val="16"/>
                      </w:rPr>
                    </w:pPr>
                    <w:r>
                      <w:rPr>
                        <w:rFonts w:ascii="Helvetica"/>
                        <w:color w:val="231F20"/>
                        <w:sz w:val="16"/>
                      </w:rPr>
                      <w:t>Acidosis</w:t>
                    </w:r>
                  </w:p>
                </w:txbxContent>
              </v:textbox>
              <w10:wrap type="none"/>
            </v:shape>
            <v:shape style="position:absolute;left:7725;top:-3353;width:1574;height:420" type="#_x0000_t202" filled="false" stroked="false">
              <v:textbox inset="0,0,0,0">
                <w:txbxContent>
                  <w:p>
                    <w:pPr>
                      <w:spacing w:before="47"/>
                      <w:ind w:left="-21" w:right="0" w:firstLine="0"/>
                      <w:jc w:val="left"/>
                      <w:rPr>
                        <w:rFonts w:ascii="Helvetica"/>
                        <w:sz w:val="16"/>
                      </w:rPr>
                    </w:pPr>
                    <w:r>
                      <w:rPr>
                        <w:rFonts w:ascii="Helvetica"/>
                        <w:color w:val="231F20"/>
                        <w:sz w:val="16"/>
                      </w:rPr>
                      <w:t>Arterial blood sample</w:t>
                    </w:r>
                  </w:p>
                </w:txbxContent>
              </v:textbox>
              <w10:wrap type="none"/>
            </v:shape>
            <w10:wrap type="none"/>
          </v:group>
        </w:pict>
      </w:r>
      <w:r>
        <w:rPr>
          <w:rFonts w:ascii="Helvetica"/>
          <w:color w:val="231F20"/>
          <w:sz w:val="16"/>
        </w:rPr>
        <w:t>P</w:t>
      </w:r>
      <w:r>
        <w:rPr>
          <w:rFonts w:ascii="Helvetica"/>
          <w:color w:val="231F20"/>
          <w:sz w:val="16"/>
          <w:vertAlign w:val="subscript"/>
        </w:rPr>
        <w:t>CO</w:t>
      </w:r>
      <w:r>
        <w:rPr>
          <w:rFonts w:ascii="Helvetica"/>
          <w:color w:val="231F20"/>
          <w:position w:val="-4"/>
          <w:sz w:val="12"/>
          <w:vertAlign w:val="baseline"/>
        </w:rPr>
        <w:t>2</w:t>
      </w:r>
    </w:p>
    <w:p>
      <w:pPr>
        <w:spacing w:line="98" w:lineRule="exact" w:before="0"/>
        <w:ind w:left="633" w:right="0" w:firstLine="0"/>
        <w:jc w:val="center"/>
        <w:rPr>
          <w:rFonts w:ascii="Helvetica"/>
          <w:sz w:val="16"/>
        </w:rPr>
      </w:pPr>
      <w:r>
        <w:rPr>
          <w:rFonts w:ascii="Helvetica"/>
          <w:color w:val="231F20"/>
          <w:sz w:val="16"/>
        </w:rPr>
        <w:t>&lt;40 mm Hg</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9"/>
        <w:rPr>
          <w:rFonts w:ascii="Helvetica"/>
          <w:sz w:val="19"/>
        </w:rPr>
      </w:pPr>
    </w:p>
    <w:p>
      <w:pPr>
        <w:spacing w:line="205" w:lineRule="exact" w:before="0"/>
        <w:ind w:left="328" w:right="0" w:firstLine="0"/>
        <w:jc w:val="center"/>
        <w:rPr>
          <w:rFonts w:ascii="Helvetica" w:hAnsi="Helvetica"/>
          <w:sz w:val="12"/>
        </w:rPr>
      </w:pPr>
      <w:r>
        <w:rPr>
          <w:rFonts w:ascii="Helvetica" w:hAnsi="Helvetica"/>
          <w:color w:val="231F20"/>
          <w:sz w:val="16"/>
        </w:rPr>
        <w:t>HCO </w:t>
      </w:r>
      <w:r>
        <w:rPr>
          <w:rFonts w:ascii="Helvetica" w:hAnsi="Helvetica"/>
          <w:color w:val="231F20"/>
          <w:position w:val="6"/>
          <w:sz w:val="12"/>
        </w:rPr>
        <w:t>–</w:t>
      </w:r>
    </w:p>
    <w:p>
      <w:pPr>
        <w:spacing w:line="119" w:lineRule="exact" w:before="0"/>
        <w:ind w:left="328" w:right="0" w:firstLine="0"/>
        <w:jc w:val="center"/>
        <w:rPr>
          <w:rFonts w:ascii="Helvetica"/>
          <w:sz w:val="16"/>
        </w:rPr>
      </w:pPr>
      <w:r>
        <w:rPr/>
        <w:pict>
          <v:shape style="position:absolute;margin-left:397.781097pt;margin-top:-5.180207pt;width:3.35pt;height:6.95pt;mso-position-horizontal-relative:page;mso-position-vertical-relative:paragraph;z-index:-272223232"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3</w:t>
                  </w:r>
                </w:p>
              </w:txbxContent>
            </v:textbox>
            <w10:wrap type="none"/>
          </v:shape>
        </w:pict>
      </w:r>
      <w:r>
        <w:rPr>
          <w:rFonts w:ascii="Helvetica"/>
          <w:color w:val="231F20"/>
          <w:sz w:val="16"/>
        </w:rPr>
        <w:t>&gt;24 mEq/L</w:t>
      </w:r>
    </w:p>
    <w:p>
      <w:pPr>
        <w:pStyle w:val="BodyText"/>
        <w:rPr>
          <w:rFonts w:ascii="Helvetica"/>
          <w:sz w:val="22"/>
        </w:rPr>
      </w:pPr>
      <w:r>
        <w:rPr/>
        <w:br w:type="column"/>
      </w:r>
      <w:r>
        <w:rPr>
          <w:rFonts w:ascii="Helvetica"/>
          <w:sz w:val="22"/>
        </w:rPr>
      </w: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pStyle w:val="BodyText"/>
        <w:rPr>
          <w:rFonts w:ascii="Helvetica"/>
          <w:sz w:val="22"/>
        </w:rPr>
      </w:pPr>
    </w:p>
    <w:p>
      <w:pPr>
        <w:spacing w:line="203" w:lineRule="exact" w:before="158"/>
        <w:ind w:left="328" w:right="0" w:firstLine="0"/>
        <w:jc w:val="center"/>
        <w:rPr>
          <w:rFonts w:ascii="Helvetica"/>
          <w:sz w:val="12"/>
        </w:rPr>
      </w:pPr>
      <w:r>
        <w:rPr>
          <w:rFonts w:ascii="Helvetica"/>
          <w:color w:val="231F20"/>
          <w:sz w:val="16"/>
        </w:rPr>
        <w:t>P</w:t>
      </w:r>
      <w:r>
        <w:rPr>
          <w:rFonts w:ascii="Helvetica"/>
          <w:color w:val="231F20"/>
          <w:sz w:val="16"/>
          <w:vertAlign w:val="subscript"/>
        </w:rPr>
        <w:t>CO</w:t>
      </w:r>
      <w:r>
        <w:rPr>
          <w:rFonts w:ascii="Helvetica"/>
          <w:color w:val="231F20"/>
          <w:position w:val="-4"/>
          <w:sz w:val="12"/>
          <w:vertAlign w:val="baseline"/>
        </w:rPr>
        <w:t>2</w:t>
      </w:r>
    </w:p>
    <w:p>
      <w:pPr>
        <w:spacing w:line="98" w:lineRule="exact" w:before="0"/>
        <w:ind w:left="328" w:right="0" w:firstLine="0"/>
        <w:jc w:val="center"/>
        <w:rPr>
          <w:rFonts w:ascii="Helvetica"/>
          <w:sz w:val="16"/>
        </w:rPr>
      </w:pPr>
      <w:r>
        <w:rPr>
          <w:rFonts w:ascii="Helvetica"/>
          <w:color w:val="231F20"/>
          <w:sz w:val="16"/>
        </w:rPr>
        <w:t>&gt;40 mm Hg</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9"/>
        <w:rPr>
          <w:rFonts w:ascii="Helvetica"/>
          <w:sz w:val="19"/>
        </w:rPr>
      </w:pPr>
    </w:p>
    <w:p>
      <w:pPr>
        <w:spacing w:line="204" w:lineRule="exact" w:before="0"/>
        <w:ind w:left="309" w:right="1639" w:firstLine="0"/>
        <w:jc w:val="center"/>
        <w:rPr>
          <w:rFonts w:ascii="Helvetica" w:hAnsi="Helvetica"/>
          <w:sz w:val="12"/>
        </w:rPr>
      </w:pPr>
      <w:r>
        <w:rPr>
          <w:rFonts w:ascii="Helvetica" w:hAnsi="Helvetica"/>
          <w:color w:val="231F20"/>
          <w:sz w:val="16"/>
        </w:rPr>
        <w:t>HCO </w:t>
      </w:r>
      <w:r>
        <w:rPr>
          <w:rFonts w:ascii="Helvetica" w:hAnsi="Helvetica"/>
          <w:color w:val="231F20"/>
          <w:position w:val="6"/>
          <w:sz w:val="12"/>
        </w:rPr>
        <w:t>–</w:t>
      </w:r>
    </w:p>
    <w:p>
      <w:pPr>
        <w:spacing w:line="119" w:lineRule="exact" w:before="0"/>
        <w:ind w:left="309" w:right="1639" w:firstLine="0"/>
        <w:jc w:val="center"/>
        <w:rPr>
          <w:rFonts w:ascii="Helvetica"/>
          <w:sz w:val="16"/>
        </w:rPr>
      </w:pPr>
      <w:r>
        <w:rPr/>
        <w:pict>
          <v:shape style="position:absolute;margin-left:515.112488pt;margin-top:-5.181733pt;width:3.35pt;height:6.95pt;mso-position-horizontal-relative:page;mso-position-vertical-relative:paragraph;z-index:-272222208" type="#_x0000_t202" filled="false" stroked="false">
            <v:textbox inset="0,0,0,0">
              <w:txbxContent>
                <w:p>
                  <w:pPr>
                    <w:spacing w:line="137" w:lineRule="exact" w:before="0"/>
                    <w:ind w:left="0" w:right="0" w:firstLine="0"/>
                    <w:jc w:val="left"/>
                    <w:rPr>
                      <w:rFonts w:ascii="Helvetica"/>
                      <w:sz w:val="12"/>
                    </w:rPr>
                  </w:pPr>
                  <w:r>
                    <w:rPr>
                      <w:rFonts w:ascii="Helvetica"/>
                      <w:color w:val="231F20"/>
                      <w:w w:val="99"/>
                      <w:sz w:val="12"/>
                    </w:rPr>
                    <w:t>3</w:t>
                  </w:r>
                </w:p>
              </w:txbxContent>
            </v:textbox>
            <w10:wrap type="none"/>
          </v:shape>
        </w:pict>
      </w:r>
      <w:r>
        <w:rPr>
          <w:rFonts w:ascii="Helvetica"/>
          <w:color w:val="231F20"/>
          <w:sz w:val="16"/>
        </w:rPr>
        <w:t>&lt;24 mEq/L</w:t>
      </w:r>
    </w:p>
    <w:p>
      <w:pPr>
        <w:spacing w:after="0" w:line="119" w:lineRule="exact"/>
        <w:jc w:val="center"/>
        <w:rPr>
          <w:rFonts w:ascii="Helvetica"/>
          <w:sz w:val="16"/>
        </w:rPr>
        <w:sectPr>
          <w:type w:val="continuous"/>
          <w:pgSz w:w="12240" w:h="15660"/>
          <w:pgMar w:top="0" w:bottom="760" w:left="0" w:right="0"/>
          <w:cols w:num="5" w:equalWidth="0">
            <w:col w:w="5581" w:space="40"/>
            <w:col w:w="1466" w:space="39"/>
            <w:col w:w="1107" w:space="39"/>
            <w:col w:w="1160" w:space="40"/>
            <w:col w:w="2768"/>
          </w:cols>
        </w:sectPr>
      </w:pPr>
    </w:p>
    <w:p>
      <w:pPr>
        <w:spacing w:line="254" w:lineRule="auto" w:before="0"/>
        <w:ind w:left="1259" w:right="0" w:firstLine="240"/>
        <w:jc w:val="both"/>
        <w:rPr>
          <w:sz w:val="18"/>
        </w:rPr>
      </w:pPr>
      <w:r>
        <w:rPr>
          <w:rFonts w:ascii="Trebuchet MS"/>
          <w:b/>
          <w:color w:val="231F20"/>
          <w:w w:val="105"/>
          <w:sz w:val="16"/>
        </w:rPr>
        <w:t>Ingestion</w:t>
      </w:r>
      <w:r>
        <w:rPr>
          <w:rFonts w:ascii="Trebuchet MS"/>
          <w:b/>
          <w:color w:val="231F20"/>
          <w:spacing w:val="-20"/>
          <w:w w:val="105"/>
          <w:sz w:val="16"/>
        </w:rPr>
        <w:t> </w:t>
      </w:r>
      <w:r>
        <w:rPr>
          <w:rFonts w:ascii="Trebuchet MS"/>
          <w:b/>
          <w:color w:val="231F20"/>
          <w:w w:val="105"/>
          <w:sz w:val="16"/>
        </w:rPr>
        <w:t>of</w:t>
      </w:r>
      <w:r>
        <w:rPr>
          <w:rFonts w:ascii="Trebuchet MS"/>
          <w:b/>
          <w:color w:val="231F20"/>
          <w:spacing w:val="-19"/>
          <w:w w:val="105"/>
          <w:sz w:val="16"/>
        </w:rPr>
        <w:t> </w:t>
      </w:r>
      <w:r>
        <w:rPr>
          <w:rFonts w:ascii="Trebuchet MS"/>
          <w:b/>
          <w:color w:val="231F20"/>
          <w:w w:val="105"/>
          <w:sz w:val="16"/>
        </w:rPr>
        <w:t>Alkaline</w:t>
      </w:r>
      <w:r>
        <w:rPr>
          <w:rFonts w:ascii="Trebuchet MS"/>
          <w:b/>
          <w:color w:val="231F20"/>
          <w:spacing w:val="-20"/>
          <w:w w:val="105"/>
          <w:sz w:val="16"/>
        </w:rPr>
        <w:t> </w:t>
      </w:r>
      <w:r>
        <w:rPr>
          <w:rFonts w:ascii="Trebuchet MS"/>
          <w:b/>
          <w:color w:val="231F20"/>
          <w:w w:val="105"/>
          <w:sz w:val="16"/>
        </w:rPr>
        <w:t>Drugs.</w:t>
      </w:r>
      <w:r>
        <w:rPr>
          <w:rFonts w:ascii="Trebuchet MS"/>
          <w:b/>
          <w:color w:val="231F20"/>
          <w:spacing w:val="16"/>
          <w:w w:val="105"/>
          <w:sz w:val="16"/>
        </w:rPr>
        <w:t> </w:t>
      </w:r>
      <w:r>
        <w:rPr>
          <w:color w:val="231F20"/>
          <w:w w:val="105"/>
          <w:sz w:val="18"/>
        </w:rPr>
        <w:t>A</w:t>
      </w:r>
      <w:r>
        <w:rPr>
          <w:color w:val="231F20"/>
          <w:spacing w:val="-18"/>
          <w:w w:val="105"/>
          <w:sz w:val="18"/>
        </w:rPr>
        <w:t> </w:t>
      </w:r>
      <w:r>
        <w:rPr>
          <w:color w:val="231F20"/>
          <w:w w:val="105"/>
          <w:sz w:val="18"/>
        </w:rPr>
        <w:t>common</w:t>
      </w:r>
      <w:r>
        <w:rPr>
          <w:color w:val="231F20"/>
          <w:spacing w:val="-18"/>
          <w:w w:val="105"/>
          <w:sz w:val="18"/>
        </w:rPr>
        <w:t> </w:t>
      </w:r>
      <w:r>
        <w:rPr>
          <w:color w:val="231F20"/>
          <w:w w:val="105"/>
          <w:sz w:val="18"/>
        </w:rPr>
        <w:t>cause</w:t>
      </w:r>
      <w:r>
        <w:rPr>
          <w:color w:val="231F20"/>
          <w:spacing w:val="-18"/>
          <w:w w:val="105"/>
          <w:sz w:val="18"/>
        </w:rPr>
        <w:t> </w:t>
      </w:r>
      <w:r>
        <w:rPr>
          <w:color w:val="231F20"/>
          <w:w w:val="105"/>
          <w:sz w:val="18"/>
        </w:rPr>
        <w:t>of</w:t>
      </w:r>
      <w:r>
        <w:rPr>
          <w:color w:val="231F20"/>
          <w:spacing w:val="-18"/>
          <w:w w:val="105"/>
          <w:sz w:val="18"/>
        </w:rPr>
        <w:t> </w:t>
      </w:r>
      <w:r>
        <w:rPr>
          <w:color w:val="231F20"/>
          <w:spacing w:val="-3"/>
          <w:w w:val="105"/>
          <w:sz w:val="18"/>
        </w:rPr>
        <w:t>meta- </w:t>
      </w:r>
      <w:r>
        <w:rPr>
          <w:color w:val="231F20"/>
          <w:w w:val="105"/>
          <w:sz w:val="18"/>
        </w:rPr>
        <w:t>bolic</w:t>
      </w:r>
      <w:r>
        <w:rPr>
          <w:color w:val="231F20"/>
          <w:spacing w:val="-29"/>
          <w:w w:val="105"/>
          <w:sz w:val="18"/>
        </w:rPr>
        <w:t> </w:t>
      </w:r>
      <w:r>
        <w:rPr>
          <w:color w:val="231F20"/>
          <w:w w:val="105"/>
          <w:sz w:val="18"/>
        </w:rPr>
        <w:t>alkalosis</w:t>
      </w:r>
      <w:r>
        <w:rPr>
          <w:color w:val="231F20"/>
          <w:spacing w:val="-28"/>
          <w:w w:val="105"/>
          <w:sz w:val="18"/>
        </w:rPr>
        <w:t> </w:t>
      </w:r>
      <w:r>
        <w:rPr>
          <w:color w:val="231F20"/>
          <w:w w:val="105"/>
          <w:sz w:val="18"/>
        </w:rPr>
        <w:t>is</w:t>
      </w:r>
      <w:r>
        <w:rPr>
          <w:color w:val="231F20"/>
          <w:spacing w:val="-29"/>
          <w:w w:val="105"/>
          <w:sz w:val="18"/>
        </w:rPr>
        <w:t> </w:t>
      </w:r>
      <w:r>
        <w:rPr>
          <w:color w:val="231F20"/>
          <w:w w:val="105"/>
          <w:sz w:val="18"/>
        </w:rPr>
        <w:t>ingestion</w:t>
      </w:r>
      <w:r>
        <w:rPr>
          <w:color w:val="231F20"/>
          <w:spacing w:val="-28"/>
          <w:w w:val="105"/>
          <w:sz w:val="18"/>
        </w:rPr>
        <w:t> </w:t>
      </w:r>
      <w:r>
        <w:rPr>
          <w:color w:val="231F20"/>
          <w:w w:val="105"/>
          <w:sz w:val="18"/>
        </w:rPr>
        <w:t>of</w:t>
      </w:r>
      <w:r>
        <w:rPr>
          <w:color w:val="231F20"/>
          <w:spacing w:val="-29"/>
          <w:w w:val="105"/>
          <w:sz w:val="18"/>
        </w:rPr>
        <w:t> </w:t>
      </w:r>
      <w:r>
        <w:rPr>
          <w:color w:val="231F20"/>
          <w:w w:val="105"/>
          <w:sz w:val="18"/>
        </w:rPr>
        <w:t>alkaline</w:t>
      </w:r>
      <w:r>
        <w:rPr>
          <w:color w:val="231F20"/>
          <w:spacing w:val="-28"/>
          <w:w w:val="105"/>
          <w:sz w:val="18"/>
        </w:rPr>
        <w:t> </w:t>
      </w:r>
      <w:r>
        <w:rPr>
          <w:color w:val="231F20"/>
          <w:w w:val="105"/>
          <w:sz w:val="18"/>
        </w:rPr>
        <w:t>drugs,</w:t>
      </w:r>
      <w:r>
        <w:rPr>
          <w:color w:val="231F20"/>
          <w:spacing w:val="-28"/>
          <w:w w:val="105"/>
          <w:sz w:val="18"/>
        </w:rPr>
        <w:t> </w:t>
      </w:r>
      <w:r>
        <w:rPr>
          <w:color w:val="231F20"/>
          <w:w w:val="105"/>
          <w:sz w:val="18"/>
        </w:rPr>
        <w:t>such</w:t>
      </w:r>
      <w:r>
        <w:rPr>
          <w:color w:val="231F20"/>
          <w:spacing w:val="-28"/>
          <w:w w:val="105"/>
          <w:sz w:val="18"/>
        </w:rPr>
        <w:t> </w:t>
      </w:r>
      <w:r>
        <w:rPr>
          <w:color w:val="231F20"/>
          <w:w w:val="105"/>
          <w:sz w:val="18"/>
        </w:rPr>
        <w:t>as</w:t>
      </w:r>
      <w:r>
        <w:rPr>
          <w:color w:val="231F20"/>
          <w:spacing w:val="-29"/>
          <w:w w:val="105"/>
          <w:sz w:val="18"/>
        </w:rPr>
        <w:t> </w:t>
      </w:r>
      <w:r>
        <w:rPr>
          <w:color w:val="231F20"/>
          <w:w w:val="105"/>
          <w:sz w:val="18"/>
        </w:rPr>
        <w:t>sodium bicarbonate, for the treatment of gastritis or peptic</w:t>
      </w:r>
      <w:r>
        <w:rPr>
          <w:color w:val="231F20"/>
          <w:spacing w:val="-13"/>
          <w:w w:val="105"/>
          <w:sz w:val="18"/>
        </w:rPr>
        <w:t> </w:t>
      </w:r>
      <w:r>
        <w:rPr>
          <w:color w:val="231F20"/>
          <w:spacing w:val="-3"/>
          <w:w w:val="105"/>
          <w:sz w:val="18"/>
        </w:rPr>
        <w:t>ulcer.</w:t>
      </w:r>
    </w:p>
    <w:p>
      <w:pPr>
        <w:spacing w:before="200"/>
        <w:ind w:left="1259" w:right="0" w:firstLine="0"/>
        <w:jc w:val="both"/>
        <w:rPr>
          <w:rFonts w:ascii="Trebuchet MS"/>
          <w:b/>
          <w:sz w:val="18"/>
        </w:rPr>
      </w:pPr>
      <w:r>
        <w:rPr>
          <w:rFonts w:ascii="Trebuchet MS"/>
          <w:b/>
          <w:color w:val="231F20"/>
          <w:sz w:val="18"/>
        </w:rPr>
        <w:t>Treatment of Acidosis or Alkalosis</w:t>
      </w:r>
    </w:p>
    <w:p>
      <w:pPr>
        <w:spacing w:line="254" w:lineRule="auto" w:before="92"/>
        <w:ind w:left="1259" w:right="0" w:firstLine="0"/>
        <w:jc w:val="both"/>
        <w:rPr>
          <w:sz w:val="18"/>
        </w:rPr>
      </w:pPr>
      <w:r>
        <w:rPr>
          <w:color w:val="231F20"/>
          <w:w w:val="105"/>
          <w:sz w:val="18"/>
        </w:rPr>
        <w:t>The</w:t>
      </w:r>
      <w:r>
        <w:rPr>
          <w:color w:val="231F20"/>
          <w:spacing w:val="-16"/>
          <w:w w:val="105"/>
          <w:sz w:val="18"/>
        </w:rPr>
        <w:t> </w:t>
      </w:r>
      <w:r>
        <w:rPr>
          <w:color w:val="231F20"/>
          <w:w w:val="105"/>
          <w:sz w:val="18"/>
        </w:rPr>
        <w:t>best</w:t>
      </w:r>
      <w:r>
        <w:rPr>
          <w:color w:val="231F20"/>
          <w:spacing w:val="-15"/>
          <w:w w:val="105"/>
          <w:sz w:val="18"/>
        </w:rPr>
        <w:t> </w:t>
      </w:r>
      <w:r>
        <w:rPr>
          <w:color w:val="231F20"/>
          <w:w w:val="105"/>
          <w:sz w:val="18"/>
        </w:rPr>
        <w:t>treatment</w:t>
      </w:r>
      <w:r>
        <w:rPr>
          <w:color w:val="231F20"/>
          <w:spacing w:val="-15"/>
          <w:w w:val="105"/>
          <w:sz w:val="18"/>
        </w:rPr>
        <w:t> </w:t>
      </w:r>
      <w:r>
        <w:rPr>
          <w:color w:val="231F20"/>
          <w:w w:val="105"/>
          <w:sz w:val="18"/>
        </w:rPr>
        <w:t>for</w:t>
      </w:r>
      <w:r>
        <w:rPr>
          <w:color w:val="231F20"/>
          <w:spacing w:val="-16"/>
          <w:w w:val="105"/>
          <w:sz w:val="18"/>
        </w:rPr>
        <w:t> </w:t>
      </w:r>
      <w:r>
        <w:rPr>
          <w:color w:val="231F20"/>
          <w:w w:val="105"/>
          <w:sz w:val="18"/>
        </w:rPr>
        <w:t>acidosis</w:t>
      </w:r>
      <w:r>
        <w:rPr>
          <w:color w:val="231F20"/>
          <w:spacing w:val="-15"/>
          <w:w w:val="105"/>
          <w:sz w:val="18"/>
        </w:rPr>
        <w:t> </w:t>
      </w:r>
      <w:r>
        <w:rPr>
          <w:color w:val="231F20"/>
          <w:w w:val="105"/>
          <w:sz w:val="18"/>
        </w:rPr>
        <w:t>or</w:t>
      </w:r>
      <w:r>
        <w:rPr>
          <w:color w:val="231F20"/>
          <w:spacing w:val="-15"/>
          <w:w w:val="105"/>
          <w:sz w:val="18"/>
        </w:rPr>
        <w:t> </w:t>
      </w:r>
      <w:r>
        <w:rPr>
          <w:color w:val="231F20"/>
          <w:w w:val="105"/>
          <w:sz w:val="18"/>
        </w:rPr>
        <w:t>alkalosis</w:t>
      </w:r>
      <w:r>
        <w:rPr>
          <w:color w:val="231F20"/>
          <w:spacing w:val="-15"/>
          <w:w w:val="105"/>
          <w:sz w:val="18"/>
        </w:rPr>
        <w:t> </w:t>
      </w:r>
      <w:r>
        <w:rPr>
          <w:color w:val="231F20"/>
          <w:w w:val="105"/>
          <w:sz w:val="18"/>
        </w:rPr>
        <w:t>is</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correct</w:t>
      </w:r>
      <w:r>
        <w:rPr>
          <w:color w:val="231F20"/>
          <w:spacing w:val="-15"/>
          <w:w w:val="105"/>
          <w:sz w:val="18"/>
        </w:rPr>
        <w:t> </w:t>
      </w:r>
      <w:r>
        <w:rPr>
          <w:color w:val="231F20"/>
          <w:w w:val="105"/>
          <w:sz w:val="18"/>
        </w:rPr>
        <w:t>the condition that caused the abnormality. This is often diffi- cult,</w:t>
      </w:r>
      <w:r>
        <w:rPr>
          <w:color w:val="231F20"/>
          <w:spacing w:val="-25"/>
          <w:w w:val="105"/>
          <w:sz w:val="18"/>
        </w:rPr>
        <w:t> </w:t>
      </w:r>
      <w:r>
        <w:rPr>
          <w:color w:val="231F20"/>
          <w:w w:val="105"/>
          <w:sz w:val="18"/>
        </w:rPr>
        <w:t>especially</w:t>
      </w:r>
      <w:r>
        <w:rPr>
          <w:color w:val="231F20"/>
          <w:spacing w:val="-24"/>
          <w:w w:val="105"/>
          <w:sz w:val="18"/>
        </w:rPr>
        <w:t> </w:t>
      </w:r>
      <w:r>
        <w:rPr>
          <w:color w:val="231F20"/>
          <w:w w:val="105"/>
          <w:sz w:val="18"/>
        </w:rPr>
        <w:t>in</w:t>
      </w:r>
      <w:r>
        <w:rPr>
          <w:color w:val="231F20"/>
          <w:spacing w:val="-24"/>
          <w:w w:val="105"/>
          <w:sz w:val="18"/>
        </w:rPr>
        <w:t> </w:t>
      </w:r>
      <w:r>
        <w:rPr>
          <w:color w:val="231F20"/>
          <w:w w:val="105"/>
          <w:sz w:val="18"/>
        </w:rPr>
        <w:t>chronic</w:t>
      </w:r>
      <w:r>
        <w:rPr>
          <w:color w:val="231F20"/>
          <w:spacing w:val="-24"/>
          <w:w w:val="105"/>
          <w:sz w:val="18"/>
        </w:rPr>
        <w:t> </w:t>
      </w:r>
      <w:r>
        <w:rPr>
          <w:color w:val="231F20"/>
          <w:w w:val="105"/>
          <w:sz w:val="18"/>
        </w:rPr>
        <w:t>diseases</w:t>
      </w:r>
      <w:r>
        <w:rPr>
          <w:color w:val="231F20"/>
          <w:spacing w:val="-24"/>
          <w:w w:val="105"/>
          <w:sz w:val="18"/>
        </w:rPr>
        <w:t> </w:t>
      </w:r>
      <w:r>
        <w:rPr>
          <w:color w:val="231F20"/>
          <w:w w:val="105"/>
          <w:sz w:val="18"/>
        </w:rPr>
        <w:t>that</w:t>
      </w:r>
      <w:r>
        <w:rPr>
          <w:color w:val="231F20"/>
          <w:spacing w:val="-25"/>
          <w:w w:val="105"/>
          <w:sz w:val="18"/>
        </w:rPr>
        <w:t> </w:t>
      </w:r>
      <w:r>
        <w:rPr>
          <w:color w:val="231F20"/>
          <w:w w:val="105"/>
          <w:sz w:val="18"/>
        </w:rPr>
        <w:t>cause</w:t>
      </w:r>
      <w:r>
        <w:rPr>
          <w:color w:val="231F20"/>
          <w:spacing w:val="-24"/>
          <w:w w:val="105"/>
          <w:sz w:val="18"/>
        </w:rPr>
        <w:t> </w:t>
      </w:r>
      <w:r>
        <w:rPr>
          <w:color w:val="231F20"/>
          <w:w w:val="105"/>
          <w:sz w:val="18"/>
        </w:rPr>
        <w:t>impaired</w:t>
      </w:r>
      <w:r>
        <w:rPr>
          <w:color w:val="231F20"/>
          <w:spacing w:val="-24"/>
          <w:w w:val="105"/>
          <w:sz w:val="18"/>
        </w:rPr>
        <w:t> </w:t>
      </w:r>
      <w:r>
        <w:rPr>
          <w:color w:val="231F20"/>
          <w:w w:val="105"/>
          <w:sz w:val="18"/>
        </w:rPr>
        <w:t>lung function</w:t>
      </w:r>
      <w:r>
        <w:rPr>
          <w:color w:val="231F20"/>
          <w:spacing w:val="-12"/>
          <w:w w:val="105"/>
          <w:sz w:val="18"/>
        </w:rPr>
        <w:t> </w:t>
      </w:r>
      <w:r>
        <w:rPr>
          <w:color w:val="231F20"/>
          <w:w w:val="105"/>
          <w:sz w:val="18"/>
        </w:rPr>
        <w:t>or</w:t>
      </w:r>
      <w:r>
        <w:rPr>
          <w:color w:val="231F20"/>
          <w:spacing w:val="-11"/>
          <w:w w:val="105"/>
          <w:sz w:val="18"/>
        </w:rPr>
        <w:t> </w:t>
      </w:r>
      <w:r>
        <w:rPr>
          <w:color w:val="231F20"/>
          <w:w w:val="105"/>
          <w:sz w:val="18"/>
        </w:rPr>
        <w:t>kidney</w:t>
      </w:r>
      <w:r>
        <w:rPr>
          <w:color w:val="231F20"/>
          <w:spacing w:val="-12"/>
          <w:w w:val="105"/>
          <w:sz w:val="18"/>
        </w:rPr>
        <w:t> </w:t>
      </w:r>
      <w:r>
        <w:rPr>
          <w:color w:val="231F20"/>
          <w:w w:val="105"/>
          <w:sz w:val="18"/>
        </w:rPr>
        <w:t>failure.</w:t>
      </w:r>
      <w:r>
        <w:rPr>
          <w:color w:val="231F20"/>
          <w:spacing w:val="-11"/>
          <w:w w:val="105"/>
          <w:sz w:val="18"/>
        </w:rPr>
        <w:t> </w:t>
      </w:r>
      <w:r>
        <w:rPr>
          <w:color w:val="231F20"/>
          <w:w w:val="105"/>
          <w:sz w:val="18"/>
        </w:rPr>
        <w:t>In</w:t>
      </w:r>
      <w:r>
        <w:rPr>
          <w:color w:val="231F20"/>
          <w:spacing w:val="-12"/>
          <w:w w:val="105"/>
          <w:sz w:val="18"/>
        </w:rPr>
        <w:t> </w:t>
      </w:r>
      <w:r>
        <w:rPr>
          <w:color w:val="231F20"/>
          <w:w w:val="105"/>
          <w:sz w:val="18"/>
        </w:rPr>
        <w:t>these</w:t>
      </w:r>
      <w:r>
        <w:rPr>
          <w:color w:val="231F20"/>
          <w:spacing w:val="-11"/>
          <w:w w:val="105"/>
          <w:sz w:val="18"/>
        </w:rPr>
        <w:t> </w:t>
      </w:r>
      <w:r>
        <w:rPr>
          <w:color w:val="231F20"/>
          <w:w w:val="105"/>
          <w:sz w:val="18"/>
        </w:rPr>
        <w:t>circumstances,</w:t>
      </w:r>
      <w:r>
        <w:rPr>
          <w:color w:val="231F20"/>
          <w:spacing w:val="-11"/>
          <w:w w:val="105"/>
          <w:sz w:val="18"/>
        </w:rPr>
        <w:t> </w:t>
      </w:r>
      <w:r>
        <w:rPr>
          <w:color w:val="231F20"/>
          <w:w w:val="105"/>
          <w:sz w:val="18"/>
        </w:rPr>
        <w:t>various agents</w:t>
      </w:r>
      <w:r>
        <w:rPr>
          <w:color w:val="231F20"/>
          <w:spacing w:val="-5"/>
          <w:w w:val="105"/>
          <w:sz w:val="18"/>
        </w:rPr>
        <w:t> </w:t>
      </w:r>
      <w:r>
        <w:rPr>
          <w:color w:val="231F20"/>
          <w:w w:val="105"/>
          <w:sz w:val="18"/>
        </w:rPr>
        <w:t>can</w:t>
      </w:r>
      <w:r>
        <w:rPr>
          <w:color w:val="231F20"/>
          <w:spacing w:val="-4"/>
          <w:w w:val="105"/>
          <w:sz w:val="18"/>
        </w:rPr>
        <w:t> </w:t>
      </w:r>
      <w:r>
        <w:rPr>
          <w:color w:val="231F20"/>
          <w:w w:val="105"/>
          <w:sz w:val="18"/>
        </w:rPr>
        <w:t>be</w:t>
      </w:r>
      <w:r>
        <w:rPr>
          <w:color w:val="231F20"/>
          <w:spacing w:val="-5"/>
          <w:w w:val="105"/>
          <w:sz w:val="18"/>
        </w:rPr>
        <w:t> </w:t>
      </w:r>
      <w:r>
        <w:rPr>
          <w:color w:val="231F20"/>
          <w:w w:val="105"/>
          <w:sz w:val="18"/>
        </w:rPr>
        <w:t>used</w:t>
      </w:r>
      <w:r>
        <w:rPr>
          <w:color w:val="231F20"/>
          <w:spacing w:val="-4"/>
          <w:w w:val="105"/>
          <w:sz w:val="18"/>
        </w:rPr>
        <w:t> </w:t>
      </w:r>
      <w:r>
        <w:rPr>
          <w:color w:val="231F20"/>
          <w:w w:val="105"/>
          <w:sz w:val="18"/>
        </w:rPr>
        <w:t>to</w:t>
      </w:r>
      <w:r>
        <w:rPr>
          <w:color w:val="231F20"/>
          <w:spacing w:val="-5"/>
          <w:w w:val="105"/>
          <w:sz w:val="18"/>
        </w:rPr>
        <w:t> </w:t>
      </w:r>
      <w:r>
        <w:rPr>
          <w:color w:val="231F20"/>
          <w:w w:val="105"/>
          <w:sz w:val="18"/>
        </w:rPr>
        <w:t>neutralize</w:t>
      </w:r>
      <w:r>
        <w:rPr>
          <w:color w:val="231F20"/>
          <w:spacing w:val="-4"/>
          <w:w w:val="105"/>
          <w:sz w:val="18"/>
        </w:rPr>
        <w:t> </w:t>
      </w:r>
      <w:r>
        <w:rPr>
          <w:color w:val="231F20"/>
          <w:w w:val="105"/>
          <w:sz w:val="18"/>
        </w:rPr>
        <w:t>the</w:t>
      </w:r>
      <w:r>
        <w:rPr>
          <w:color w:val="231F20"/>
          <w:spacing w:val="-5"/>
          <w:w w:val="105"/>
          <w:sz w:val="18"/>
        </w:rPr>
        <w:t> </w:t>
      </w:r>
      <w:r>
        <w:rPr>
          <w:color w:val="231F20"/>
          <w:w w:val="105"/>
          <w:sz w:val="18"/>
        </w:rPr>
        <w:t>excess</w:t>
      </w:r>
      <w:r>
        <w:rPr>
          <w:color w:val="231F20"/>
          <w:spacing w:val="-4"/>
          <w:w w:val="105"/>
          <w:sz w:val="18"/>
        </w:rPr>
        <w:t> </w:t>
      </w:r>
      <w:r>
        <w:rPr>
          <w:color w:val="231F20"/>
          <w:w w:val="105"/>
          <w:sz w:val="18"/>
        </w:rPr>
        <w:t>acid</w:t>
      </w:r>
      <w:r>
        <w:rPr>
          <w:color w:val="231F20"/>
          <w:spacing w:val="-5"/>
          <w:w w:val="105"/>
          <w:sz w:val="18"/>
        </w:rPr>
        <w:t> </w:t>
      </w:r>
      <w:r>
        <w:rPr>
          <w:color w:val="231F20"/>
          <w:w w:val="105"/>
          <w:sz w:val="18"/>
        </w:rPr>
        <w:t>or</w:t>
      </w:r>
      <w:r>
        <w:rPr>
          <w:color w:val="231F20"/>
          <w:spacing w:val="-4"/>
          <w:w w:val="105"/>
          <w:sz w:val="18"/>
        </w:rPr>
        <w:t> </w:t>
      </w:r>
      <w:r>
        <w:rPr>
          <w:color w:val="231F20"/>
          <w:w w:val="105"/>
          <w:sz w:val="18"/>
        </w:rPr>
        <w:t>base</w:t>
      </w:r>
      <w:r>
        <w:rPr>
          <w:color w:val="231F20"/>
          <w:spacing w:val="-5"/>
          <w:w w:val="105"/>
          <w:sz w:val="18"/>
        </w:rPr>
        <w:t> </w:t>
      </w:r>
      <w:r>
        <w:rPr>
          <w:color w:val="231F20"/>
          <w:w w:val="105"/>
          <w:sz w:val="18"/>
        </w:rPr>
        <w:t>in the extracellular</w:t>
      </w:r>
      <w:r>
        <w:rPr>
          <w:color w:val="231F20"/>
          <w:spacing w:val="5"/>
          <w:w w:val="105"/>
          <w:sz w:val="18"/>
        </w:rPr>
        <w:t> </w:t>
      </w:r>
      <w:r>
        <w:rPr>
          <w:color w:val="231F20"/>
          <w:w w:val="105"/>
          <w:sz w:val="18"/>
        </w:rPr>
        <w:t>fluid.</w:t>
      </w:r>
    </w:p>
    <w:p>
      <w:pPr>
        <w:spacing w:line="254" w:lineRule="auto" w:before="3"/>
        <w:ind w:left="1259" w:right="0" w:firstLine="239"/>
        <w:jc w:val="both"/>
        <w:rPr>
          <w:sz w:val="18"/>
        </w:rPr>
      </w:pPr>
      <w:r>
        <w:rPr/>
        <w:pict>
          <v:shape style="position:absolute;margin-left:173.301102pt;margin-top:37.901756pt;width:2.7pt;height:7.8pt;mso-position-horizontal-relative:page;mso-position-vertical-relative:paragraph;z-index:-272221184"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w:pict>
      </w:r>
      <w:r>
        <w:rPr>
          <w:color w:val="231F20"/>
          <w:spacing w:val="-10"/>
          <w:w w:val="105"/>
          <w:sz w:val="18"/>
        </w:rPr>
        <w:t>To </w:t>
      </w:r>
      <w:r>
        <w:rPr>
          <w:color w:val="231F20"/>
          <w:w w:val="105"/>
          <w:sz w:val="18"/>
        </w:rPr>
        <w:t>neutralize excess acid, large amounts of </w:t>
      </w:r>
      <w:r>
        <w:rPr>
          <w:i/>
          <w:color w:val="231F20"/>
          <w:w w:val="105"/>
          <w:sz w:val="18"/>
        </w:rPr>
        <w:t>sodium </w:t>
      </w:r>
      <w:r>
        <w:rPr>
          <w:i/>
          <w:color w:val="231F20"/>
          <w:w w:val="105"/>
          <w:sz w:val="18"/>
        </w:rPr>
        <w:t>bicarbonate</w:t>
      </w:r>
      <w:r>
        <w:rPr>
          <w:i/>
          <w:color w:val="231F20"/>
          <w:spacing w:val="-8"/>
          <w:w w:val="105"/>
          <w:sz w:val="18"/>
        </w:rPr>
        <w:t> </w:t>
      </w:r>
      <w:r>
        <w:rPr>
          <w:color w:val="231F20"/>
          <w:w w:val="105"/>
          <w:sz w:val="18"/>
        </w:rPr>
        <w:t>can</w:t>
      </w:r>
      <w:r>
        <w:rPr>
          <w:color w:val="231F20"/>
          <w:spacing w:val="-7"/>
          <w:w w:val="105"/>
          <w:sz w:val="18"/>
        </w:rPr>
        <w:t> </w:t>
      </w:r>
      <w:r>
        <w:rPr>
          <w:color w:val="231F20"/>
          <w:w w:val="105"/>
          <w:sz w:val="18"/>
        </w:rPr>
        <w:t>be</w:t>
      </w:r>
      <w:r>
        <w:rPr>
          <w:color w:val="231F20"/>
          <w:spacing w:val="-8"/>
          <w:w w:val="105"/>
          <w:sz w:val="18"/>
        </w:rPr>
        <w:t> </w:t>
      </w:r>
      <w:r>
        <w:rPr>
          <w:color w:val="231F20"/>
          <w:w w:val="105"/>
          <w:sz w:val="18"/>
        </w:rPr>
        <w:t>ingested</w:t>
      </w:r>
      <w:r>
        <w:rPr>
          <w:color w:val="231F20"/>
          <w:spacing w:val="-7"/>
          <w:w w:val="105"/>
          <w:sz w:val="18"/>
        </w:rPr>
        <w:t> </w:t>
      </w:r>
      <w:r>
        <w:rPr>
          <w:color w:val="231F20"/>
          <w:w w:val="105"/>
          <w:sz w:val="18"/>
        </w:rPr>
        <w:t>by</w:t>
      </w:r>
      <w:r>
        <w:rPr>
          <w:color w:val="231F20"/>
          <w:spacing w:val="-7"/>
          <w:w w:val="105"/>
          <w:sz w:val="18"/>
        </w:rPr>
        <w:t> </w:t>
      </w:r>
      <w:r>
        <w:rPr>
          <w:color w:val="231F20"/>
          <w:w w:val="105"/>
          <w:sz w:val="18"/>
        </w:rPr>
        <w:t>mouth.</w:t>
      </w:r>
      <w:r>
        <w:rPr>
          <w:color w:val="231F20"/>
          <w:spacing w:val="-8"/>
          <w:w w:val="105"/>
          <w:sz w:val="18"/>
        </w:rPr>
        <w:t> </w:t>
      </w:r>
      <w:r>
        <w:rPr>
          <w:color w:val="231F20"/>
          <w:w w:val="105"/>
          <w:sz w:val="18"/>
        </w:rPr>
        <w:t>The</w:t>
      </w:r>
      <w:r>
        <w:rPr>
          <w:color w:val="231F20"/>
          <w:spacing w:val="-7"/>
          <w:w w:val="105"/>
          <w:sz w:val="18"/>
        </w:rPr>
        <w:t> </w:t>
      </w:r>
      <w:r>
        <w:rPr>
          <w:color w:val="231F20"/>
          <w:w w:val="105"/>
          <w:sz w:val="18"/>
        </w:rPr>
        <w:t>sodium</w:t>
      </w:r>
      <w:r>
        <w:rPr>
          <w:color w:val="231F20"/>
          <w:spacing w:val="-7"/>
          <w:w w:val="105"/>
          <w:sz w:val="18"/>
        </w:rPr>
        <w:t> </w:t>
      </w:r>
      <w:r>
        <w:rPr>
          <w:color w:val="231F20"/>
          <w:w w:val="105"/>
          <w:sz w:val="18"/>
        </w:rPr>
        <w:t>bicar- bonate is absorbed from the gastrointestinal tract into the blood and increases the HCO </w:t>
      </w:r>
      <w:r>
        <w:rPr>
          <w:rFonts w:ascii="Consolas" w:hAnsi="Consolas"/>
          <w:color w:val="231F20"/>
          <w:w w:val="105"/>
          <w:position w:val="7"/>
          <w:sz w:val="11"/>
        </w:rPr>
        <w:t>−</w:t>
      </w:r>
      <w:r>
        <w:rPr>
          <w:rFonts w:ascii="Consolas" w:hAnsi="Consolas"/>
          <w:color w:val="231F20"/>
          <w:spacing w:val="-40"/>
          <w:w w:val="105"/>
          <w:position w:val="7"/>
          <w:sz w:val="11"/>
        </w:rPr>
        <w:t> </w:t>
      </w:r>
      <w:r>
        <w:rPr>
          <w:color w:val="231F20"/>
          <w:w w:val="105"/>
          <w:sz w:val="18"/>
        </w:rPr>
        <w:t>portion of the bicarbonate buffer system, thereby increasing pH toward normal. Sodium</w:t>
      </w:r>
      <w:r>
        <w:rPr>
          <w:color w:val="231F20"/>
          <w:spacing w:val="-15"/>
          <w:w w:val="105"/>
          <w:sz w:val="18"/>
        </w:rPr>
        <w:t> </w:t>
      </w:r>
      <w:r>
        <w:rPr>
          <w:color w:val="231F20"/>
          <w:w w:val="105"/>
          <w:sz w:val="18"/>
        </w:rPr>
        <w:t>bicarbonate</w:t>
      </w:r>
      <w:r>
        <w:rPr>
          <w:color w:val="231F20"/>
          <w:spacing w:val="-14"/>
          <w:w w:val="105"/>
          <w:sz w:val="18"/>
        </w:rPr>
        <w:t> </w:t>
      </w:r>
      <w:r>
        <w:rPr>
          <w:color w:val="231F20"/>
          <w:w w:val="105"/>
          <w:sz w:val="18"/>
        </w:rPr>
        <w:t>can</w:t>
      </w:r>
      <w:r>
        <w:rPr>
          <w:color w:val="231F20"/>
          <w:spacing w:val="-14"/>
          <w:w w:val="105"/>
          <w:sz w:val="18"/>
        </w:rPr>
        <w:t> </w:t>
      </w:r>
      <w:r>
        <w:rPr>
          <w:color w:val="231F20"/>
          <w:w w:val="105"/>
          <w:sz w:val="18"/>
        </w:rPr>
        <w:t>also</w:t>
      </w:r>
      <w:r>
        <w:rPr>
          <w:color w:val="231F20"/>
          <w:spacing w:val="-14"/>
          <w:w w:val="105"/>
          <w:sz w:val="18"/>
        </w:rPr>
        <w:t> </w:t>
      </w:r>
      <w:r>
        <w:rPr>
          <w:color w:val="231F20"/>
          <w:w w:val="105"/>
          <w:sz w:val="18"/>
        </w:rPr>
        <w:t>be</w:t>
      </w:r>
      <w:r>
        <w:rPr>
          <w:color w:val="231F20"/>
          <w:spacing w:val="-15"/>
          <w:w w:val="105"/>
          <w:sz w:val="18"/>
        </w:rPr>
        <w:t> </w:t>
      </w:r>
      <w:r>
        <w:rPr>
          <w:color w:val="231F20"/>
          <w:w w:val="105"/>
          <w:sz w:val="18"/>
        </w:rPr>
        <w:t>infused</w:t>
      </w:r>
      <w:r>
        <w:rPr>
          <w:color w:val="231F20"/>
          <w:spacing w:val="-14"/>
          <w:w w:val="105"/>
          <w:sz w:val="18"/>
        </w:rPr>
        <w:t> </w:t>
      </w:r>
      <w:r>
        <w:rPr>
          <w:color w:val="231F20"/>
          <w:w w:val="105"/>
          <w:sz w:val="18"/>
        </w:rPr>
        <w:t>intravenously,</w:t>
      </w:r>
      <w:r>
        <w:rPr>
          <w:color w:val="231F20"/>
          <w:spacing w:val="-14"/>
          <w:w w:val="105"/>
          <w:sz w:val="18"/>
        </w:rPr>
        <w:t> </w:t>
      </w:r>
      <w:r>
        <w:rPr>
          <w:color w:val="231F20"/>
          <w:spacing w:val="-4"/>
          <w:w w:val="105"/>
          <w:sz w:val="18"/>
        </w:rPr>
        <w:t>but </w:t>
      </w:r>
      <w:r>
        <w:rPr>
          <w:color w:val="231F20"/>
          <w:w w:val="105"/>
          <w:sz w:val="18"/>
        </w:rPr>
        <w:t>because</w:t>
      </w:r>
      <w:r>
        <w:rPr>
          <w:color w:val="231F20"/>
          <w:spacing w:val="-11"/>
          <w:w w:val="105"/>
          <w:sz w:val="18"/>
        </w:rPr>
        <w:t> </w:t>
      </w:r>
      <w:r>
        <w:rPr>
          <w:color w:val="231F20"/>
          <w:w w:val="105"/>
          <w:sz w:val="18"/>
        </w:rPr>
        <w:t>of</w:t>
      </w:r>
      <w:r>
        <w:rPr>
          <w:color w:val="231F20"/>
          <w:spacing w:val="-10"/>
          <w:w w:val="105"/>
          <w:sz w:val="18"/>
        </w:rPr>
        <w:t> </w:t>
      </w:r>
      <w:r>
        <w:rPr>
          <w:color w:val="231F20"/>
          <w:w w:val="105"/>
          <w:sz w:val="18"/>
        </w:rPr>
        <w:t>the</w:t>
      </w:r>
      <w:r>
        <w:rPr>
          <w:color w:val="231F20"/>
          <w:spacing w:val="-11"/>
          <w:w w:val="105"/>
          <w:sz w:val="18"/>
        </w:rPr>
        <w:t> </w:t>
      </w:r>
      <w:r>
        <w:rPr>
          <w:color w:val="231F20"/>
          <w:w w:val="105"/>
          <w:sz w:val="18"/>
        </w:rPr>
        <w:t>potentially</w:t>
      </w:r>
      <w:r>
        <w:rPr>
          <w:color w:val="231F20"/>
          <w:spacing w:val="-10"/>
          <w:w w:val="105"/>
          <w:sz w:val="18"/>
        </w:rPr>
        <w:t> </w:t>
      </w:r>
      <w:r>
        <w:rPr>
          <w:color w:val="231F20"/>
          <w:w w:val="105"/>
          <w:sz w:val="18"/>
        </w:rPr>
        <w:t>dangerous</w:t>
      </w:r>
      <w:r>
        <w:rPr>
          <w:color w:val="231F20"/>
          <w:spacing w:val="-11"/>
          <w:w w:val="105"/>
          <w:sz w:val="18"/>
        </w:rPr>
        <w:t> </w:t>
      </w:r>
      <w:r>
        <w:rPr>
          <w:color w:val="231F20"/>
          <w:w w:val="105"/>
          <w:sz w:val="18"/>
        </w:rPr>
        <w:t>physiological</w:t>
      </w:r>
      <w:r>
        <w:rPr>
          <w:color w:val="231F20"/>
          <w:spacing w:val="-10"/>
          <w:w w:val="105"/>
          <w:sz w:val="18"/>
        </w:rPr>
        <w:t> </w:t>
      </w:r>
      <w:r>
        <w:rPr>
          <w:color w:val="231F20"/>
          <w:w w:val="105"/>
          <w:sz w:val="18"/>
        </w:rPr>
        <w:t>effects of</w:t>
      </w:r>
      <w:r>
        <w:rPr>
          <w:color w:val="231F20"/>
          <w:spacing w:val="-10"/>
          <w:w w:val="105"/>
          <w:sz w:val="18"/>
        </w:rPr>
        <w:t> </w:t>
      </w:r>
      <w:r>
        <w:rPr>
          <w:color w:val="231F20"/>
          <w:w w:val="105"/>
          <w:sz w:val="18"/>
        </w:rPr>
        <w:t>such</w:t>
      </w:r>
      <w:r>
        <w:rPr>
          <w:color w:val="231F20"/>
          <w:spacing w:val="-10"/>
          <w:w w:val="105"/>
          <w:sz w:val="18"/>
        </w:rPr>
        <w:t> </w:t>
      </w:r>
      <w:r>
        <w:rPr>
          <w:color w:val="231F20"/>
          <w:w w:val="105"/>
          <w:sz w:val="18"/>
        </w:rPr>
        <w:t>treatment,</w:t>
      </w:r>
      <w:r>
        <w:rPr>
          <w:color w:val="231F20"/>
          <w:spacing w:val="-9"/>
          <w:w w:val="105"/>
          <w:sz w:val="18"/>
        </w:rPr>
        <w:t> </w:t>
      </w:r>
      <w:r>
        <w:rPr>
          <w:color w:val="231F20"/>
          <w:w w:val="105"/>
          <w:sz w:val="18"/>
        </w:rPr>
        <w:t>other</w:t>
      </w:r>
      <w:r>
        <w:rPr>
          <w:color w:val="231F20"/>
          <w:spacing w:val="-10"/>
          <w:w w:val="105"/>
          <w:sz w:val="18"/>
        </w:rPr>
        <w:t> </w:t>
      </w:r>
      <w:r>
        <w:rPr>
          <w:color w:val="231F20"/>
          <w:w w:val="105"/>
          <w:sz w:val="18"/>
        </w:rPr>
        <w:t>substances</w:t>
      </w:r>
      <w:r>
        <w:rPr>
          <w:color w:val="231F20"/>
          <w:spacing w:val="-10"/>
          <w:w w:val="105"/>
          <w:sz w:val="18"/>
        </w:rPr>
        <w:t> </w:t>
      </w:r>
      <w:r>
        <w:rPr>
          <w:color w:val="231F20"/>
          <w:w w:val="105"/>
          <w:sz w:val="18"/>
        </w:rPr>
        <w:t>are</w:t>
      </w:r>
      <w:r>
        <w:rPr>
          <w:color w:val="231F20"/>
          <w:spacing w:val="-9"/>
          <w:w w:val="105"/>
          <w:sz w:val="18"/>
        </w:rPr>
        <w:t> </w:t>
      </w:r>
      <w:r>
        <w:rPr>
          <w:color w:val="231F20"/>
          <w:w w:val="105"/>
          <w:sz w:val="18"/>
        </w:rPr>
        <w:t>often</w:t>
      </w:r>
      <w:r>
        <w:rPr>
          <w:color w:val="231F20"/>
          <w:spacing w:val="-10"/>
          <w:w w:val="105"/>
          <w:sz w:val="18"/>
        </w:rPr>
        <w:t> </w:t>
      </w:r>
      <w:r>
        <w:rPr>
          <w:color w:val="231F20"/>
          <w:w w:val="105"/>
          <w:sz w:val="18"/>
        </w:rPr>
        <w:t>used</w:t>
      </w:r>
      <w:r>
        <w:rPr>
          <w:color w:val="231F20"/>
          <w:spacing w:val="-9"/>
          <w:w w:val="105"/>
          <w:sz w:val="18"/>
        </w:rPr>
        <w:t> </w:t>
      </w:r>
      <w:r>
        <w:rPr>
          <w:color w:val="231F20"/>
          <w:w w:val="105"/>
          <w:sz w:val="18"/>
        </w:rPr>
        <w:t>instead, such as </w:t>
      </w:r>
      <w:r>
        <w:rPr>
          <w:i/>
          <w:color w:val="231F20"/>
          <w:w w:val="105"/>
          <w:sz w:val="18"/>
        </w:rPr>
        <w:t>sodium lactate </w:t>
      </w:r>
      <w:r>
        <w:rPr>
          <w:color w:val="231F20"/>
          <w:w w:val="105"/>
          <w:sz w:val="18"/>
        </w:rPr>
        <w:t>and </w:t>
      </w:r>
      <w:r>
        <w:rPr>
          <w:i/>
          <w:color w:val="231F20"/>
          <w:w w:val="105"/>
          <w:sz w:val="18"/>
        </w:rPr>
        <w:t>sodium gluconate. </w:t>
      </w:r>
      <w:r>
        <w:rPr>
          <w:color w:val="231F20"/>
          <w:w w:val="105"/>
          <w:sz w:val="18"/>
        </w:rPr>
        <w:t>The</w:t>
      </w:r>
      <w:r>
        <w:rPr>
          <w:color w:val="231F20"/>
          <w:spacing w:val="-28"/>
          <w:w w:val="105"/>
          <w:sz w:val="18"/>
        </w:rPr>
        <w:t> </w:t>
      </w:r>
      <w:r>
        <w:rPr>
          <w:color w:val="231F20"/>
          <w:w w:val="105"/>
          <w:sz w:val="18"/>
        </w:rPr>
        <w:t>lactate and gluconate portions of the molecules are metabolized in</w:t>
      </w:r>
      <w:r>
        <w:rPr>
          <w:color w:val="231F20"/>
          <w:spacing w:val="-14"/>
          <w:w w:val="105"/>
          <w:sz w:val="18"/>
        </w:rPr>
        <w:t> </w:t>
      </w:r>
      <w:r>
        <w:rPr>
          <w:color w:val="231F20"/>
          <w:w w:val="105"/>
          <w:sz w:val="18"/>
        </w:rPr>
        <w:t>the</w:t>
      </w:r>
      <w:r>
        <w:rPr>
          <w:color w:val="231F20"/>
          <w:spacing w:val="-13"/>
          <w:w w:val="105"/>
          <w:sz w:val="18"/>
        </w:rPr>
        <w:t> </w:t>
      </w:r>
      <w:r>
        <w:rPr>
          <w:color w:val="231F20"/>
          <w:w w:val="105"/>
          <w:sz w:val="18"/>
        </w:rPr>
        <w:t>body,</w:t>
      </w:r>
      <w:r>
        <w:rPr>
          <w:color w:val="231F20"/>
          <w:spacing w:val="-14"/>
          <w:w w:val="105"/>
          <w:sz w:val="18"/>
        </w:rPr>
        <w:t> </w:t>
      </w:r>
      <w:r>
        <w:rPr>
          <w:color w:val="231F20"/>
          <w:w w:val="105"/>
          <w:sz w:val="18"/>
        </w:rPr>
        <w:t>leaving</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sodium</w:t>
      </w:r>
      <w:r>
        <w:rPr>
          <w:color w:val="231F20"/>
          <w:spacing w:val="-13"/>
          <w:w w:val="105"/>
          <w:sz w:val="18"/>
        </w:rPr>
        <w:t> </w:t>
      </w:r>
      <w:r>
        <w:rPr>
          <w:color w:val="231F20"/>
          <w:w w:val="105"/>
          <w:sz w:val="18"/>
        </w:rPr>
        <w:t>in</w:t>
      </w:r>
      <w:r>
        <w:rPr>
          <w:color w:val="231F20"/>
          <w:spacing w:val="-14"/>
          <w:w w:val="105"/>
          <w:sz w:val="18"/>
        </w:rPr>
        <w:t> </w:t>
      </w:r>
      <w:r>
        <w:rPr>
          <w:color w:val="231F20"/>
          <w:w w:val="105"/>
          <w:sz w:val="18"/>
        </w:rPr>
        <w:t>the</w:t>
      </w:r>
      <w:r>
        <w:rPr>
          <w:color w:val="231F20"/>
          <w:spacing w:val="-13"/>
          <w:w w:val="105"/>
          <w:sz w:val="18"/>
        </w:rPr>
        <w:t> </w:t>
      </w:r>
      <w:r>
        <w:rPr>
          <w:color w:val="231F20"/>
          <w:w w:val="105"/>
          <w:sz w:val="18"/>
        </w:rPr>
        <w:t>extracellular</w:t>
      </w:r>
      <w:r>
        <w:rPr>
          <w:color w:val="231F20"/>
          <w:spacing w:val="-13"/>
          <w:w w:val="105"/>
          <w:sz w:val="18"/>
        </w:rPr>
        <w:t> </w:t>
      </w:r>
      <w:r>
        <w:rPr>
          <w:color w:val="231F20"/>
          <w:w w:val="105"/>
          <w:sz w:val="18"/>
        </w:rPr>
        <w:t>fluid</w:t>
      </w:r>
      <w:r>
        <w:rPr>
          <w:color w:val="231F20"/>
          <w:spacing w:val="-14"/>
          <w:w w:val="105"/>
          <w:sz w:val="18"/>
        </w:rPr>
        <w:t> </w:t>
      </w:r>
      <w:r>
        <w:rPr>
          <w:color w:val="231F20"/>
          <w:w w:val="105"/>
          <w:sz w:val="18"/>
        </w:rPr>
        <w:t>in the</w:t>
      </w:r>
      <w:r>
        <w:rPr>
          <w:color w:val="231F20"/>
          <w:spacing w:val="-14"/>
          <w:w w:val="105"/>
          <w:sz w:val="18"/>
        </w:rPr>
        <w:t> </w:t>
      </w:r>
      <w:r>
        <w:rPr>
          <w:color w:val="231F20"/>
          <w:w w:val="105"/>
          <w:sz w:val="18"/>
        </w:rPr>
        <w:t>form</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sodium</w:t>
      </w:r>
      <w:r>
        <w:rPr>
          <w:color w:val="231F20"/>
          <w:spacing w:val="-14"/>
          <w:w w:val="105"/>
          <w:sz w:val="18"/>
        </w:rPr>
        <w:t> </w:t>
      </w:r>
      <w:r>
        <w:rPr>
          <w:color w:val="231F20"/>
          <w:w w:val="105"/>
          <w:sz w:val="18"/>
        </w:rPr>
        <w:t>bicarbonate</w:t>
      </w:r>
      <w:r>
        <w:rPr>
          <w:color w:val="231F20"/>
          <w:spacing w:val="-13"/>
          <w:w w:val="105"/>
          <w:sz w:val="18"/>
        </w:rPr>
        <w:t> </w:t>
      </w:r>
      <w:r>
        <w:rPr>
          <w:color w:val="231F20"/>
          <w:w w:val="105"/>
          <w:sz w:val="18"/>
        </w:rPr>
        <w:t>and</w:t>
      </w:r>
      <w:r>
        <w:rPr>
          <w:color w:val="231F20"/>
          <w:spacing w:val="-14"/>
          <w:w w:val="105"/>
          <w:sz w:val="18"/>
        </w:rPr>
        <w:t> </w:t>
      </w:r>
      <w:r>
        <w:rPr>
          <w:color w:val="231F20"/>
          <w:w w:val="105"/>
          <w:sz w:val="18"/>
        </w:rPr>
        <w:t>thereby</w:t>
      </w:r>
      <w:r>
        <w:rPr>
          <w:color w:val="231F20"/>
          <w:spacing w:val="-13"/>
          <w:w w:val="105"/>
          <w:sz w:val="18"/>
        </w:rPr>
        <w:t> </w:t>
      </w:r>
      <w:r>
        <w:rPr>
          <w:color w:val="231F20"/>
          <w:w w:val="105"/>
          <w:sz w:val="18"/>
        </w:rPr>
        <w:t>increasing</w:t>
      </w:r>
      <w:r>
        <w:rPr>
          <w:color w:val="231F20"/>
          <w:spacing w:val="-14"/>
          <w:w w:val="105"/>
          <w:sz w:val="18"/>
        </w:rPr>
        <w:t> </w:t>
      </w:r>
      <w:r>
        <w:rPr>
          <w:color w:val="231F20"/>
          <w:w w:val="105"/>
          <w:sz w:val="18"/>
        </w:rPr>
        <w:t>the pH of the fluid toward</w:t>
      </w:r>
      <w:r>
        <w:rPr>
          <w:color w:val="231F20"/>
          <w:spacing w:val="14"/>
          <w:w w:val="105"/>
          <w:sz w:val="18"/>
        </w:rPr>
        <w:t> </w:t>
      </w:r>
      <w:r>
        <w:rPr>
          <w:color w:val="231F20"/>
          <w:w w:val="105"/>
          <w:sz w:val="18"/>
        </w:rPr>
        <w:t>normal.</w:t>
      </w:r>
    </w:p>
    <w:p>
      <w:pPr>
        <w:spacing w:line="254" w:lineRule="auto" w:before="5"/>
        <w:ind w:left="1260" w:right="0" w:firstLine="239"/>
        <w:jc w:val="both"/>
        <w:rPr>
          <w:sz w:val="18"/>
        </w:rPr>
      </w:pPr>
      <w:r>
        <w:rPr>
          <w:color w:val="231F20"/>
          <w:spacing w:val="-3"/>
          <w:w w:val="105"/>
          <w:sz w:val="18"/>
        </w:rPr>
        <w:t>For</w:t>
      </w:r>
      <w:r>
        <w:rPr>
          <w:color w:val="231F20"/>
          <w:spacing w:val="-8"/>
          <w:w w:val="105"/>
          <w:sz w:val="18"/>
        </w:rPr>
        <w:t> </w:t>
      </w:r>
      <w:r>
        <w:rPr>
          <w:color w:val="231F20"/>
          <w:w w:val="105"/>
          <w:sz w:val="18"/>
        </w:rPr>
        <w:t>the</w:t>
      </w:r>
      <w:r>
        <w:rPr>
          <w:color w:val="231F20"/>
          <w:spacing w:val="-8"/>
          <w:w w:val="105"/>
          <w:sz w:val="18"/>
        </w:rPr>
        <w:t> </w:t>
      </w:r>
      <w:r>
        <w:rPr>
          <w:color w:val="231F20"/>
          <w:w w:val="105"/>
          <w:sz w:val="18"/>
        </w:rPr>
        <w:t>treatment</w:t>
      </w:r>
      <w:r>
        <w:rPr>
          <w:color w:val="231F20"/>
          <w:spacing w:val="-8"/>
          <w:w w:val="105"/>
          <w:sz w:val="18"/>
        </w:rPr>
        <w:t> </w:t>
      </w:r>
      <w:r>
        <w:rPr>
          <w:color w:val="231F20"/>
          <w:w w:val="105"/>
          <w:sz w:val="18"/>
        </w:rPr>
        <w:t>of</w:t>
      </w:r>
      <w:r>
        <w:rPr>
          <w:color w:val="231F20"/>
          <w:spacing w:val="-8"/>
          <w:w w:val="105"/>
          <w:sz w:val="18"/>
        </w:rPr>
        <w:t> </w:t>
      </w:r>
      <w:r>
        <w:rPr>
          <w:color w:val="231F20"/>
          <w:w w:val="105"/>
          <w:sz w:val="18"/>
        </w:rPr>
        <w:t>alkalosis,</w:t>
      </w:r>
      <w:r>
        <w:rPr>
          <w:color w:val="231F20"/>
          <w:spacing w:val="-8"/>
          <w:w w:val="105"/>
          <w:sz w:val="18"/>
        </w:rPr>
        <w:t> </w:t>
      </w:r>
      <w:r>
        <w:rPr>
          <w:i/>
          <w:color w:val="231F20"/>
          <w:w w:val="105"/>
          <w:sz w:val="18"/>
        </w:rPr>
        <w:t>ammonium</w:t>
      </w:r>
      <w:r>
        <w:rPr>
          <w:i/>
          <w:color w:val="231F20"/>
          <w:spacing w:val="-8"/>
          <w:w w:val="105"/>
          <w:sz w:val="18"/>
        </w:rPr>
        <w:t> </w:t>
      </w:r>
      <w:r>
        <w:rPr>
          <w:i/>
          <w:color w:val="231F20"/>
          <w:w w:val="105"/>
          <w:sz w:val="18"/>
        </w:rPr>
        <w:t>chloride</w:t>
      </w:r>
      <w:r>
        <w:rPr>
          <w:i/>
          <w:color w:val="231F20"/>
          <w:spacing w:val="-7"/>
          <w:w w:val="105"/>
          <w:sz w:val="18"/>
        </w:rPr>
        <w:t> </w:t>
      </w:r>
      <w:r>
        <w:rPr>
          <w:color w:val="231F20"/>
          <w:w w:val="105"/>
          <w:sz w:val="18"/>
        </w:rPr>
        <w:t>can be administered by mouth. When ammonium </w:t>
      </w:r>
      <w:r>
        <w:rPr>
          <w:color w:val="231F20"/>
          <w:spacing w:val="-3"/>
          <w:w w:val="105"/>
          <w:sz w:val="18"/>
        </w:rPr>
        <w:t>chloride    </w:t>
      </w:r>
      <w:r>
        <w:rPr>
          <w:color w:val="231F20"/>
          <w:w w:val="105"/>
          <w:sz w:val="18"/>
        </w:rPr>
        <w:t>is absorbed into the blood, the ammonia portion is con- verted by the liver into urea. This reaction liberates HCl, which</w:t>
      </w:r>
      <w:r>
        <w:rPr>
          <w:color w:val="231F20"/>
          <w:spacing w:val="26"/>
          <w:w w:val="105"/>
          <w:sz w:val="18"/>
        </w:rPr>
        <w:t> </w:t>
      </w:r>
      <w:r>
        <w:rPr>
          <w:color w:val="231F20"/>
          <w:w w:val="105"/>
          <w:sz w:val="18"/>
        </w:rPr>
        <w:t>immediately</w:t>
      </w:r>
      <w:r>
        <w:rPr>
          <w:color w:val="231F20"/>
          <w:spacing w:val="27"/>
          <w:w w:val="105"/>
          <w:sz w:val="18"/>
        </w:rPr>
        <w:t> </w:t>
      </w:r>
      <w:r>
        <w:rPr>
          <w:color w:val="231F20"/>
          <w:w w:val="105"/>
          <w:sz w:val="18"/>
        </w:rPr>
        <w:t>reacts</w:t>
      </w:r>
      <w:r>
        <w:rPr>
          <w:color w:val="231F20"/>
          <w:spacing w:val="27"/>
          <w:w w:val="105"/>
          <w:sz w:val="18"/>
        </w:rPr>
        <w:t> </w:t>
      </w:r>
      <w:r>
        <w:rPr>
          <w:color w:val="231F20"/>
          <w:w w:val="105"/>
          <w:sz w:val="18"/>
        </w:rPr>
        <w:t>with</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buffers</w:t>
      </w:r>
      <w:r>
        <w:rPr>
          <w:color w:val="231F20"/>
          <w:spacing w:val="27"/>
          <w:w w:val="105"/>
          <w:sz w:val="18"/>
        </w:rPr>
        <w:t> </w:t>
      </w:r>
      <w:r>
        <w:rPr>
          <w:color w:val="231F20"/>
          <w:w w:val="105"/>
          <w:sz w:val="18"/>
        </w:rPr>
        <w:t>of</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body</w:t>
      </w:r>
    </w:p>
    <w:p>
      <w:pPr>
        <w:spacing w:line="4" w:lineRule="exact" w:before="0"/>
        <w:ind w:left="0" w:right="86" w:firstLine="0"/>
        <w:jc w:val="center"/>
        <w:rPr>
          <w:rFonts w:ascii="Consolas"/>
          <w:sz w:val="11"/>
        </w:rPr>
      </w:pPr>
      <w:r>
        <w:rPr/>
        <w:pict>
          <v:group style="position:absolute;margin-left:306pt;margin-top:-256.371094pt;width:234pt;height:420.4pt;mso-position-horizontal-relative:page;mso-position-vertical-relative:paragraph;z-index:253157376" coordorigin="6120,-5127" coordsize="4680,8408">
            <v:rect style="position:absolute;left:6120;top:-5128;width:4680;height:8408" filled="true" fillcolor="#f0eef6" stroked="false">
              <v:fill type="solid"/>
            </v:rect>
            <v:shape style="position:absolute;left:6300;top:2798;width:4340;height:386" type="#_x0000_t202" filled="false" stroked="false">
              <v:textbox inset="0,0,0,0">
                <w:txbxContent>
                  <w:p>
                    <w:pPr>
                      <w:spacing w:line="124" w:lineRule="exact" w:before="0"/>
                      <w:ind w:left="498" w:right="0" w:firstLine="0"/>
                      <w:jc w:val="center"/>
                      <w:rPr>
                        <w:sz w:val="11"/>
                      </w:rPr>
                    </w:pPr>
                    <w:r>
                      <w:rPr>
                        <w:color w:val="231F20"/>
                        <w:w w:val="96"/>
                        <w:sz w:val="11"/>
                      </w:rPr>
                      <w:t>3</w:t>
                    </w:r>
                  </w:p>
                  <w:p>
                    <w:pPr>
                      <w:spacing w:before="1"/>
                      <w:ind w:left="0" w:right="0" w:firstLine="0"/>
                      <w:jc w:val="left"/>
                      <w:rPr>
                        <w:i/>
                        <w:sz w:val="18"/>
                      </w:rPr>
                    </w:pPr>
                    <w:r>
                      <w:rPr>
                        <w:color w:val="231F20"/>
                        <w:w w:val="105"/>
                        <w:sz w:val="18"/>
                      </w:rPr>
                      <w:t>bolic component to the alkalosis. </w:t>
                    </w:r>
                    <w:r>
                      <w:rPr>
                        <w:i/>
                        <w:color w:val="231F20"/>
                        <w:w w:val="105"/>
                        <w:sz w:val="18"/>
                      </w:rPr>
                      <w:t>Therefore, in simple</w:t>
                    </w:r>
                  </w:p>
                </w:txbxContent>
              </v:textbox>
              <w10:wrap type="none"/>
            </v:shape>
            <v:shape style="position:absolute;left:6300;top:2691;width:4340;height:274" type="#_x0000_t202" filled="false" stroked="false">
              <v:textbox inset="0,0,0,0">
                <w:txbxContent>
                  <w:p>
                    <w:pPr>
                      <w:spacing w:before="10"/>
                      <w:ind w:left="0" w:right="0" w:firstLine="0"/>
                      <w:jc w:val="left"/>
                      <w:rPr>
                        <w:sz w:val="18"/>
                      </w:rPr>
                    </w:pPr>
                    <w:r>
                      <w:rPr>
                        <w:color w:val="231F20"/>
                        <w:sz w:val="18"/>
                      </w:rPr>
                      <w:t>associated with increased HCO </w:t>
                    </w:r>
                    <w:r>
                      <w:rPr>
                        <w:rFonts w:ascii="Consolas" w:hAnsi="Consolas"/>
                        <w:color w:val="231F20"/>
                        <w:position w:val="7"/>
                        <w:sz w:val="11"/>
                      </w:rPr>
                      <w:t>−</w:t>
                    </w:r>
                    <w:r>
                      <w:rPr>
                        <w:color w:val="231F20"/>
                        <w:sz w:val="18"/>
                      </w:rPr>
                      <w:t>, there must be a meta-</w:t>
                    </w:r>
                  </w:p>
                </w:txbxContent>
              </v:textbox>
              <w10:wrap type="none"/>
            </v:shape>
            <v:shape style="position:absolute;left:6299;top:1385;width:4341;height:1360" type="#_x0000_t202" filled="false" stroked="false">
              <v:textbox inset="0,0,0,0">
                <w:txbxContent>
                  <w:p>
                    <w:pPr>
                      <w:spacing w:line="220" w:lineRule="exact" w:before="0"/>
                      <w:ind w:left="0" w:right="0" w:firstLine="0"/>
                      <w:jc w:val="both"/>
                      <w:rPr>
                        <w:i/>
                        <w:sz w:val="18"/>
                      </w:rPr>
                    </w:pPr>
                    <w:r>
                      <w:rPr>
                        <w:i/>
                        <w:color w:val="231F20"/>
                        <w:sz w:val="18"/>
                      </w:rPr>
                      <w:t>reduction in P</w:t>
                    </w:r>
                    <w:r>
                      <w:rPr>
                        <w:i/>
                        <w:color w:val="231F20"/>
                        <w:sz w:val="14"/>
                      </w:rPr>
                      <w:t>CO</w:t>
                    </w:r>
                    <w:r>
                      <w:rPr>
                        <w:i/>
                        <w:color w:val="231F20"/>
                        <w:position w:val="-2"/>
                        <w:sz w:val="11"/>
                      </w:rPr>
                      <w:t>2 </w:t>
                    </w:r>
                    <w:r>
                      <w:rPr>
                        <w:i/>
                        <w:color w:val="231F20"/>
                        <w:sz w:val="18"/>
                      </w:rPr>
                      <w:t>after partial respiratory compensation.</w:t>
                    </w:r>
                  </w:p>
                  <w:p>
                    <w:pPr>
                      <w:spacing w:line="249" w:lineRule="auto" w:before="0"/>
                      <w:ind w:left="0" w:right="18" w:firstLine="239"/>
                      <w:jc w:val="both"/>
                      <w:rPr>
                        <w:sz w:val="18"/>
                      </w:rPr>
                    </w:pPr>
                    <w:r>
                      <w:rPr>
                        <w:color w:val="231F20"/>
                        <w:sz w:val="18"/>
                      </w:rPr>
                      <w:t>The procedures for categorizing the types of alkalosis involve the same basic steps. First, alkalosis implies that there is an increase in plasma pH. If the increase in pH      is associated with decreased P</w:t>
                    </w:r>
                    <w:r>
                      <w:rPr>
                        <w:color w:val="231F20"/>
                        <w:sz w:val="14"/>
                      </w:rPr>
                      <w:t>CO</w:t>
                    </w:r>
                    <w:r>
                      <w:rPr>
                        <w:color w:val="231F20"/>
                        <w:position w:val="-2"/>
                        <w:sz w:val="11"/>
                      </w:rPr>
                      <w:t>2</w:t>
                    </w:r>
                    <w:r>
                      <w:rPr>
                        <w:color w:val="231F20"/>
                        <w:sz w:val="18"/>
                      </w:rPr>
                      <w:t>, there must be a respi- ratory</w:t>
                    </w:r>
                    <w:r>
                      <w:rPr>
                        <w:color w:val="231F20"/>
                        <w:spacing w:val="6"/>
                        <w:sz w:val="18"/>
                      </w:rPr>
                      <w:t> </w:t>
                    </w:r>
                    <w:r>
                      <w:rPr>
                        <w:color w:val="231F20"/>
                        <w:sz w:val="18"/>
                      </w:rPr>
                      <w:t>component</w:t>
                    </w:r>
                    <w:r>
                      <w:rPr>
                        <w:color w:val="231F20"/>
                        <w:spacing w:val="7"/>
                        <w:sz w:val="18"/>
                      </w:rPr>
                      <w:t> </w:t>
                    </w:r>
                    <w:r>
                      <w:rPr>
                        <w:color w:val="231F20"/>
                        <w:sz w:val="18"/>
                      </w:rPr>
                      <w:t>to</w:t>
                    </w:r>
                    <w:r>
                      <w:rPr>
                        <w:color w:val="231F20"/>
                        <w:spacing w:val="6"/>
                        <w:sz w:val="18"/>
                      </w:rPr>
                      <w:t> </w:t>
                    </w:r>
                    <w:r>
                      <w:rPr>
                        <w:color w:val="231F20"/>
                        <w:sz w:val="18"/>
                      </w:rPr>
                      <w:t>the</w:t>
                    </w:r>
                    <w:r>
                      <w:rPr>
                        <w:color w:val="231F20"/>
                        <w:spacing w:val="7"/>
                        <w:sz w:val="18"/>
                      </w:rPr>
                      <w:t> </w:t>
                    </w:r>
                    <w:r>
                      <w:rPr>
                        <w:color w:val="231F20"/>
                        <w:sz w:val="18"/>
                      </w:rPr>
                      <w:t>alkalosis.</w:t>
                    </w:r>
                    <w:r>
                      <w:rPr>
                        <w:color w:val="231F20"/>
                        <w:spacing w:val="6"/>
                        <w:sz w:val="18"/>
                      </w:rPr>
                      <w:t> </w:t>
                    </w:r>
                    <w:r>
                      <w:rPr>
                        <w:color w:val="231F20"/>
                        <w:sz w:val="18"/>
                      </w:rPr>
                      <w:t>If</w:t>
                    </w:r>
                    <w:r>
                      <w:rPr>
                        <w:color w:val="231F20"/>
                        <w:spacing w:val="7"/>
                        <w:sz w:val="18"/>
                      </w:rPr>
                      <w:t> </w:t>
                    </w:r>
                    <w:r>
                      <w:rPr>
                        <w:color w:val="231F20"/>
                        <w:sz w:val="18"/>
                      </w:rPr>
                      <w:t>the</w:t>
                    </w:r>
                    <w:r>
                      <w:rPr>
                        <w:color w:val="231F20"/>
                        <w:spacing w:val="6"/>
                        <w:sz w:val="18"/>
                      </w:rPr>
                      <w:t> </w:t>
                    </w:r>
                    <w:r>
                      <w:rPr>
                        <w:color w:val="231F20"/>
                        <w:sz w:val="18"/>
                      </w:rPr>
                      <w:t>rise</w:t>
                    </w:r>
                    <w:r>
                      <w:rPr>
                        <w:color w:val="231F20"/>
                        <w:spacing w:val="7"/>
                        <w:sz w:val="18"/>
                      </w:rPr>
                      <w:t> </w:t>
                    </w:r>
                    <w:r>
                      <w:rPr>
                        <w:color w:val="231F20"/>
                        <w:sz w:val="18"/>
                      </w:rPr>
                      <w:t>in</w:t>
                    </w:r>
                    <w:r>
                      <w:rPr>
                        <w:color w:val="231F20"/>
                        <w:spacing w:val="6"/>
                        <w:sz w:val="18"/>
                      </w:rPr>
                      <w:t> </w:t>
                    </w:r>
                    <w:r>
                      <w:rPr>
                        <w:color w:val="231F20"/>
                        <w:sz w:val="18"/>
                      </w:rPr>
                      <w:t>pH</w:t>
                    </w:r>
                    <w:r>
                      <w:rPr>
                        <w:color w:val="231F20"/>
                        <w:spacing w:val="7"/>
                        <w:sz w:val="18"/>
                      </w:rPr>
                      <w:t> </w:t>
                    </w:r>
                    <w:r>
                      <w:rPr>
                        <w:color w:val="231F20"/>
                        <w:sz w:val="18"/>
                      </w:rPr>
                      <w:t>is</w:t>
                    </w:r>
                  </w:p>
                </w:txbxContent>
              </v:textbox>
              <w10:wrap type="none"/>
            </v:shape>
            <v:shape style="position:absolute;left:6299;top:1151;width:4341;height:274" type="#_x0000_t202" filled="false" stroked="false">
              <v:textbox inset="0,0,0,0">
                <w:txbxContent>
                  <w:p>
                    <w:pPr>
                      <w:spacing w:line="153" w:lineRule="exact" w:before="10"/>
                      <w:ind w:left="0" w:right="0" w:firstLine="0"/>
                      <w:jc w:val="left"/>
                      <w:rPr>
                        <w:i/>
                        <w:sz w:val="18"/>
                      </w:rPr>
                    </w:pPr>
                    <w:r>
                      <w:rPr>
                        <w:i/>
                        <w:color w:val="231F20"/>
                        <w:sz w:val="18"/>
                      </w:rPr>
                      <w:t>find a low pH, a low plasma HCO </w:t>
                    </w:r>
                    <w:r>
                      <w:rPr>
                        <w:rFonts w:ascii="Consolas" w:hAnsi="Consolas"/>
                        <w:i/>
                        <w:color w:val="231F20"/>
                        <w:position w:val="7"/>
                        <w:sz w:val="11"/>
                      </w:rPr>
                      <w:t>− </w:t>
                    </w:r>
                    <w:r>
                      <w:rPr>
                        <w:i/>
                        <w:color w:val="231F20"/>
                        <w:sz w:val="18"/>
                      </w:rPr>
                      <w:t>concentration, and a</w:t>
                    </w:r>
                  </w:p>
                  <w:p>
                    <w:pPr>
                      <w:spacing w:line="69" w:lineRule="exact" w:before="0"/>
                      <w:ind w:left="922" w:right="0" w:firstLine="0"/>
                      <w:jc w:val="center"/>
                      <w:rPr>
                        <w:i/>
                        <w:sz w:val="11"/>
                      </w:rPr>
                    </w:pPr>
                    <w:r>
                      <w:rPr>
                        <w:i/>
                        <w:color w:val="231F20"/>
                        <w:w w:val="97"/>
                        <w:sz w:val="11"/>
                      </w:rPr>
                      <w:t>3</w:t>
                    </w:r>
                  </w:p>
                </w:txbxContent>
              </v:textbox>
              <w10:wrap type="none"/>
            </v:shape>
            <v:shape style="position:absolute;left:6299;top:285;width:4341;height:920" type="#_x0000_t202" filled="false" stroked="false">
              <v:textbox inset="0,0,0,0">
                <w:txbxContent>
                  <w:p>
                    <w:pPr>
                      <w:spacing w:line="244" w:lineRule="auto" w:before="0"/>
                      <w:ind w:left="0" w:right="18" w:hanging="1"/>
                      <w:jc w:val="both"/>
                      <w:rPr>
                        <w:i/>
                        <w:sz w:val="18"/>
                      </w:rPr>
                    </w:pPr>
                    <w:r>
                      <w:rPr>
                        <w:color w:val="231F20"/>
                        <w:w w:val="105"/>
                        <w:sz w:val="18"/>
                      </w:rPr>
                      <w:t>nent</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acidosis.</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simple</w:t>
                    </w:r>
                    <w:r>
                      <w:rPr>
                        <w:color w:val="231F20"/>
                        <w:spacing w:val="-15"/>
                        <w:w w:val="105"/>
                        <w:sz w:val="18"/>
                      </w:rPr>
                      <w:t> </w:t>
                    </w:r>
                    <w:r>
                      <w:rPr>
                        <w:color w:val="231F20"/>
                        <w:w w:val="105"/>
                        <w:sz w:val="18"/>
                      </w:rPr>
                      <w:t>metabolic</w:t>
                    </w:r>
                    <w:r>
                      <w:rPr>
                        <w:color w:val="231F20"/>
                        <w:spacing w:val="-15"/>
                        <w:w w:val="105"/>
                        <w:sz w:val="18"/>
                      </w:rPr>
                      <w:t> </w:t>
                    </w:r>
                    <w:r>
                      <w:rPr>
                        <w:color w:val="231F20"/>
                        <w:w w:val="105"/>
                        <w:sz w:val="18"/>
                      </w:rPr>
                      <w:t>acidosis,</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P</w:t>
                    </w:r>
                    <w:r>
                      <w:rPr>
                        <w:color w:val="231F20"/>
                        <w:w w:val="105"/>
                        <w:sz w:val="14"/>
                      </w:rPr>
                      <w:t>CO</w:t>
                    </w:r>
                    <w:r>
                      <w:rPr>
                        <w:color w:val="231F20"/>
                        <w:w w:val="105"/>
                        <w:position w:val="-2"/>
                        <w:sz w:val="11"/>
                      </w:rPr>
                      <w:t>2 </w:t>
                    </w:r>
                    <w:r>
                      <w:rPr>
                        <w:color w:val="231F20"/>
                        <w:w w:val="105"/>
                        <w:sz w:val="18"/>
                      </w:rPr>
                      <w:t>is</w:t>
                    </w:r>
                    <w:r>
                      <w:rPr>
                        <w:color w:val="231F20"/>
                        <w:spacing w:val="-7"/>
                        <w:w w:val="105"/>
                        <w:sz w:val="18"/>
                      </w:rPr>
                      <w:t> </w:t>
                    </w:r>
                    <w:r>
                      <w:rPr>
                        <w:color w:val="231F20"/>
                        <w:w w:val="105"/>
                        <w:sz w:val="18"/>
                      </w:rPr>
                      <w:t>reduced</w:t>
                    </w:r>
                    <w:r>
                      <w:rPr>
                        <w:color w:val="231F20"/>
                        <w:spacing w:val="-6"/>
                        <w:w w:val="105"/>
                        <w:sz w:val="18"/>
                      </w:rPr>
                      <w:t> </w:t>
                    </w:r>
                    <w:r>
                      <w:rPr>
                        <w:color w:val="231F20"/>
                        <w:w w:val="105"/>
                        <w:sz w:val="18"/>
                      </w:rPr>
                      <w:t>because</w:t>
                    </w:r>
                    <w:r>
                      <w:rPr>
                        <w:color w:val="231F20"/>
                        <w:spacing w:val="-6"/>
                        <w:w w:val="105"/>
                        <w:sz w:val="18"/>
                      </w:rPr>
                      <w:t> </w:t>
                    </w:r>
                    <w:r>
                      <w:rPr>
                        <w:color w:val="231F20"/>
                        <w:w w:val="105"/>
                        <w:sz w:val="18"/>
                      </w:rPr>
                      <w:t>of</w:t>
                    </w:r>
                    <w:r>
                      <w:rPr>
                        <w:color w:val="231F20"/>
                        <w:spacing w:val="-7"/>
                        <w:w w:val="105"/>
                        <w:sz w:val="18"/>
                      </w:rPr>
                      <w:t> </w:t>
                    </w:r>
                    <w:r>
                      <w:rPr>
                        <w:color w:val="231F20"/>
                        <w:w w:val="105"/>
                        <w:sz w:val="18"/>
                      </w:rPr>
                      <w:t>partial</w:t>
                    </w:r>
                    <w:r>
                      <w:rPr>
                        <w:color w:val="231F20"/>
                        <w:spacing w:val="-6"/>
                        <w:w w:val="105"/>
                        <w:sz w:val="18"/>
                      </w:rPr>
                      <w:t> </w:t>
                    </w:r>
                    <w:r>
                      <w:rPr>
                        <w:color w:val="231F20"/>
                        <w:w w:val="105"/>
                        <w:sz w:val="18"/>
                      </w:rPr>
                      <w:t>respiratory</w:t>
                    </w:r>
                    <w:r>
                      <w:rPr>
                        <w:color w:val="231F20"/>
                        <w:spacing w:val="-6"/>
                        <w:w w:val="105"/>
                        <w:sz w:val="18"/>
                      </w:rPr>
                      <w:t> </w:t>
                    </w:r>
                    <w:r>
                      <w:rPr>
                        <w:color w:val="231F20"/>
                        <w:w w:val="105"/>
                        <w:sz w:val="18"/>
                      </w:rPr>
                      <w:t>compensation,</w:t>
                    </w:r>
                    <w:r>
                      <w:rPr>
                        <w:color w:val="231F20"/>
                        <w:spacing w:val="-7"/>
                        <w:w w:val="105"/>
                        <w:sz w:val="18"/>
                      </w:rPr>
                      <w:t> </w:t>
                    </w:r>
                    <w:r>
                      <w:rPr>
                        <w:color w:val="231F20"/>
                        <w:w w:val="105"/>
                        <w:sz w:val="18"/>
                      </w:rPr>
                      <w:t>in contrast</w:t>
                    </w:r>
                    <w:r>
                      <w:rPr>
                        <w:color w:val="231F20"/>
                        <w:spacing w:val="-20"/>
                        <w:w w:val="105"/>
                        <w:sz w:val="18"/>
                      </w:rPr>
                      <w:t> </w:t>
                    </w:r>
                    <w:r>
                      <w:rPr>
                        <w:color w:val="231F20"/>
                        <w:w w:val="105"/>
                        <w:sz w:val="18"/>
                      </w:rPr>
                      <w:t>to</w:t>
                    </w:r>
                    <w:r>
                      <w:rPr>
                        <w:color w:val="231F20"/>
                        <w:spacing w:val="-19"/>
                        <w:w w:val="105"/>
                        <w:sz w:val="18"/>
                      </w:rPr>
                      <w:t> </w:t>
                    </w:r>
                    <w:r>
                      <w:rPr>
                        <w:color w:val="231F20"/>
                        <w:w w:val="105"/>
                        <w:sz w:val="18"/>
                      </w:rPr>
                      <w:t>respiratory</w:t>
                    </w:r>
                    <w:r>
                      <w:rPr>
                        <w:color w:val="231F20"/>
                        <w:spacing w:val="-19"/>
                        <w:w w:val="105"/>
                        <w:sz w:val="18"/>
                      </w:rPr>
                      <w:t> </w:t>
                    </w:r>
                    <w:r>
                      <w:rPr>
                        <w:color w:val="231F20"/>
                        <w:w w:val="105"/>
                        <w:sz w:val="18"/>
                      </w:rPr>
                      <w:t>acidosis,</w:t>
                    </w:r>
                    <w:r>
                      <w:rPr>
                        <w:color w:val="231F20"/>
                        <w:spacing w:val="-19"/>
                        <w:w w:val="105"/>
                        <w:sz w:val="18"/>
                      </w:rPr>
                      <w:t> </w:t>
                    </w:r>
                    <w:r>
                      <w:rPr>
                        <w:color w:val="231F20"/>
                        <w:w w:val="105"/>
                        <w:sz w:val="18"/>
                      </w:rPr>
                      <w:t>in</w:t>
                    </w:r>
                    <w:r>
                      <w:rPr>
                        <w:color w:val="231F20"/>
                        <w:spacing w:val="-20"/>
                        <w:w w:val="105"/>
                        <w:sz w:val="18"/>
                      </w:rPr>
                      <w:t> </w:t>
                    </w:r>
                    <w:r>
                      <w:rPr>
                        <w:color w:val="231F20"/>
                        <w:w w:val="105"/>
                        <w:sz w:val="18"/>
                      </w:rPr>
                      <w:t>which</w:t>
                    </w:r>
                    <w:r>
                      <w:rPr>
                        <w:color w:val="231F20"/>
                        <w:spacing w:val="-19"/>
                        <w:w w:val="105"/>
                        <w:sz w:val="18"/>
                      </w:rPr>
                      <w:t> </w:t>
                    </w:r>
                    <w:r>
                      <w:rPr>
                        <w:color w:val="231F20"/>
                        <w:w w:val="105"/>
                        <w:sz w:val="18"/>
                      </w:rPr>
                      <w:t>P</w:t>
                    </w:r>
                    <w:r>
                      <w:rPr>
                        <w:color w:val="231F20"/>
                        <w:w w:val="105"/>
                        <w:sz w:val="14"/>
                      </w:rPr>
                      <w:t>CO</w:t>
                    </w:r>
                    <w:r>
                      <w:rPr>
                        <w:color w:val="231F20"/>
                        <w:w w:val="105"/>
                        <w:position w:val="-2"/>
                        <w:sz w:val="11"/>
                      </w:rPr>
                      <w:t>2 </w:t>
                    </w:r>
                    <w:r>
                      <w:rPr>
                        <w:color w:val="231F20"/>
                        <w:w w:val="105"/>
                        <w:sz w:val="18"/>
                      </w:rPr>
                      <w:t>is</w:t>
                    </w:r>
                    <w:r>
                      <w:rPr>
                        <w:color w:val="231F20"/>
                        <w:spacing w:val="-20"/>
                        <w:w w:val="105"/>
                        <w:sz w:val="18"/>
                      </w:rPr>
                      <w:t> </w:t>
                    </w:r>
                    <w:r>
                      <w:rPr>
                        <w:color w:val="231F20"/>
                        <w:w w:val="105"/>
                        <w:sz w:val="18"/>
                      </w:rPr>
                      <w:t>increased. </w:t>
                    </w:r>
                    <w:r>
                      <w:rPr>
                        <w:i/>
                        <w:color w:val="231F20"/>
                        <w:w w:val="105"/>
                        <w:sz w:val="18"/>
                      </w:rPr>
                      <w:t>Therefore,</w:t>
                    </w:r>
                    <w:r>
                      <w:rPr>
                        <w:i/>
                        <w:color w:val="231F20"/>
                        <w:spacing w:val="-28"/>
                        <w:w w:val="105"/>
                        <w:sz w:val="18"/>
                      </w:rPr>
                      <w:t> </w:t>
                    </w:r>
                    <w:r>
                      <w:rPr>
                        <w:i/>
                        <w:color w:val="231F20"/>
                        <w:w w:val="105"/>
                        <w:sz w:val="18"/>
                      </w:rPr>
                      <w:t>in</w:t>
                    </w:r>
                    <w:r>
                      <w:rPr>
                        <w:i/>
                        <w:color w:val="231F20"/>
                        <w:spacing w:val="-28"/>
                        <w:w w:val="105"/>
                        <w:sz w:val="18"/>
                      </w:rPr>
                      <w:t> </w:t>
                    </w:r>
                    <w:r>
                      <w:rPr>
                        <w:i/>
                        <w:color w:val="231F20"/>
                        <w:w w:val="105"/>
                        <w:sz w:val="18"/>
                      </w:rPr>
                      <w:t>simple</w:t>
                    </w:r>
                    <w:r>
                      <w:rPr>
                        <w:i/>
                        <w:color w:val="231F20"/>
                        <w:spacing w:val="-28"/>
                        <w:w w:val="105"/>
                        <w:sz w:val="18"/>
                      </w:rPr>
                      <w:t> </w:t>
                    </w:r>
                    <w:r>
                      <w:rPr>
                        <w:i/>
                        <w:color w:val="231F20"/>
                        <w:w w:val="105"/>
                        <w:sz w:val="18"/>
                      </w:rPr>
                      <w:t>metabolic</w:t>
                    </w:r>
                    <w:r>
                      <w:rPr>
                        <w:i/>
                        <w:color w:val="231F20"/>
                        <w:spacing w:val="-28"/>
                        <w:w w:val="105"/>
                        <w:sz w:val="18"/>
                      </w:rPr>
                      <w:t> </w:t>
                    </w:r>
                    <w:r>
                      <w:rPr>
                        <w:i/>
                        <w:color w:val="231F20"/>
                        <w:w w:val="105"/>
                        <w:sz w:val="18"/>
                      </w:rPr>
                      <w:t>acidosis</w:t>
                    </w:r>
                    <w:r>
                      <w:rPr>
                        <w:i/>
                        <w:color w:val="231F20"/>
                        <w:spacing w:val="-28"/>
                        <w:w w:val="105"/>
                        <w:sz w:val="18"/>
                      </w:rPr>
                      <w:t> </w:t>
                    </w:r>
                    <w:r>
                      <w:rPr>
                        <w:i/>
                        <w:color w:val="231F20"/>
                        <w:w w:val="105"/>
                        <w:sz w:val="18"/>
                      </w:rPr>
                      <w:t>one</w:t>
                    </w:r>
                    <w:r>
                      <w:rPr>
                        <w:i/>
                        <w:color w:val="231F20"/>
                        <w:spacing w:val="-28"/>
                        <w:w w:val="105"/>
                        <w:sz w:val="18"/>
                      </w:rPr>
                      <w:t> </w:t>
                    </w:r>
                    <w:r>
                      <w:rPr>
                        <w:i/>
                        <w:color w:val="231F20"/>
                        <w:w w:val="105"/>
                        <w:sz w:val="18"/>
                      </w:rPr>
                      <w:t>would</w:t>
                    </w:r>
                    <w:r>
                      <w:rPr>
                        <w:i/>
                        <w:color w:val="231F20"/>
                        <w:spacing w:val="-28"/>
                        <w:w w:val="105"/>
                        <w:sz w:val="18"/>
                      </w:rPr>
                      <w:t> </w:t>
                    </w:r>
                    <w:r>
                      <w:rPr>
                        <w:i/>
                        <w:color w:val="231F20"/>
                        <w:w w:val="105"/>
                        <w:sz w:val="18"/>
                      </w:rPr>
                      <w:t>expect</w:t>
                    </w:r>
                    <w:r>
                      <w:rPr>
                        <w:i/>
                        <w:color w:val="231F20"/>
                        <w:spacing w:val="-27"/>
                        <w:w w:val="105"/>
                        <w:sz w:val="18"/>
                      </w:rPr>
                      <w:t> </w:t>
                    </w:r>
                    <w:r>
                      <w:rPr>
                        <w:i/>
                        <w:color w:val="231F20"/>
                        <w:w w:val="105"/>
                        <w:sz w:val="18"/>
                      </w:rPr>
                      <w:t>to</w:t>
                    </w:r>
                  </w:p>
                </w:txbxContent>
              </v:textbox>
              <w10:wrap type="none"/>
            </v:shape>
            <v:shape style="position:absolute;left:6299;top:51;width:4340;height:274" type="#_x0000_t202" filled="false" stroked="false">
              <v:textbox inset="0,0,0,0">
                <w:txbxContent>
                  <w:p>
                    <w:pPr>
                      <w:spacing w:line="153" w:lineRule="exact" w:before="10"/>
                      <w:ind w:left="0" w:right="0" w:firstLine="0"/>
                      <w:jc w:val="left"/>
                      <w:rPr>
                        <w:sz w:val="18"/>
                      </w:rPr>
                    </w:pPr>
                    <w:r>
                      <w:rPr>
                        <w:color w:val="231F20"/>
                        <w:w w:val="105"/>
                        <w:sz w:val="18"/>
                      </w:rPr>
                      <w:t>HCO </w:t>
                    </w:r>
                    <w:r>
                      <w:rPr>
                        <w:rFonts w:ascii="Consolas" w:hAnsi="Consolas"/>
                        <w:color w:val="231F20"/>
                        <w:w w:val="105"/>
                        <w:position w:val="7"/>
                        <w:sz w:val="11"/>
                      </w:rPr>
                      <w:t>− </w:t>
                    </w:r>
                    <w:r>
                      <w:rPr>
                        <w:color w:val="231F20"/>
                        <w:w w:val="105"/>
                        <w:sz w:val="18"/>
                      </w:rPr>
                      <w:t>concentration, there must be a metabolic compo-</w:t>
                    </w:r>
                  </w:p>
                  <w:p>
                    <w:pPr>
                      <w:spacing w:line="69" w:lineRule="exact" w:before="0"/>
                      <w:ind w:left="404" w:right="0" w:firstLine="0"/>
                      <w:jc w:val="left"/>
                      <w:rPr>
                        <w:sz w:val="11"/>
                      </w:rPr>
                    </w:pPr>
                    <w:r>
                      <w:rPr>
                        <w:color w:val="231F20"/>
                        <w:w w:val="96"/>
                        <w:sz w:val="11"/>
                      </w:rPr>
                      <w:t>3</w:t>
                    </w:r>
                  </w:p>
                </w:txbxContent>
              </v:textbox>
              <w10:wrap type="none"/>
            </v:shape>
            <v:shape style="position:absolute;left:6299;top:-155;width:4341;height:260" type="#_x0000_t202" filled="false" stroked="false">
              <v:textbox inset="0,0,0,0">
                <w:txbxContent>
                  <w:p>
                    <w:pPr>
                      <w:spacing w:line="206" w:lineRule="exact" w:before="0"/>
                      <w:ind w:left="0" w:right="0" w:firstLine="0"/>
                      <w:jc w:val="left"/>
                      <w:rPr>
                        <w:sz w:val="18"/>
                      </w:rPr>
                    </w:pPr>
                    <w:r>
                      <w:rPr>
                        <w:color w:val="231F20"/>
                        <w:sz w:val="18"/>
                      </w:rPr>
                      <w:t>centration. Therefore, if a low pH is associated with a low</w:t>
                    </w:r>
                  </w:p>
                </w:txbxContent>
              </v:textbox>
              <w10:wrap type="none"/>
            </v:shape>
            <v:shape style="position:absolute;left:6300;top:-389;width:4340;height:274" type="#_x0000_t202" filled="false" stroked="false">
              <v:textbox inset="0,0,0,0">
                <w:txbxContent>
                  <w:p>
                    <w:pPr>
                      <w:spacing w:line="153" w:lineRule="exact" w:before="9"/>
                      <w:ind w:left="0" w:right="0" w:firstLine="0"/>
                      <w:jc w:val="left"/>
                      <w:rPr>
                        <w:sz w:val="18"/>
                      </w:rPr>
                    </w:pPr>
                    <w:r>
                      <w:rPr>
                        <w:color w:val="231F20"/>
                        <w:sz w:val="18"/>
                      </w:rPr>
                      <w:t>primary abnormality is a decrease in plasma HCO </w:t>
                    </w:r>
                    <w:r>
                      <w:rPr>
                        <w:rFonts w:ascii="Consolas" w:hAnsi="Consolas"/>
                        <w:color w:val="231F20"/>
                        <w:position w:val="7"/>
                        <w:sz w:val="11"/>
                      </w:rPr>
                      <w:t>− </w:t>
                    </w:r>
                    <w:r>
                      <w:rPr>
                        <w:color w:val="231F20"/>
                        <w:sz w:val="18"/>
                      </w:rPr>
                      <w:t>con-</w:t>
                    </w:r>
                  </w:p>
                  <w:p>
                    <w:pPr>
                      <w:spacing w:line="69" w:lineRule="exact" w:before="0"/>
                      <w:ind w:left="0" w:right="473" w:firstLine="0"/>
                      <w:jc w:val="right"/>
                      <w:rPr>
                        <w:sz w:val="11"/>
                      </w:rPr>
                    </w:pPr>
                    <w:r>
                      <w:rPr>
                        <w:color w:val="231F20"/>
                        <w:w w:val="96"/>
                        <w:sz w:val="11"/>
                      </w:rPr>
                      <w:t>3</w:t>
                    </w:r>
                  </w:p>
                </w:txbxContent>
              </v:textbox>
              <w10:wrap type="none"/>
            </v:shape>
            <v:shape style="position:absolute;left:6300;top:-596;width:4340;height:260" type="#_x0000_t202" filled="false" stroked="false">
              <v:textbox inset="0,0,0,0">
                <w:txbxContent>
                  <w:p>
                    <w:pPr>
                      <w:spacing w:line="206" w:lineRule="exact" w:before="0"/>
                      <w:ind w:left="0" w:right="0" w:firstLine="0"/>
                      <w:jc w:val="left"/>
                      <w:rPr>
                        <w:sz w:val="18"/>
                      </w:rPr>
                    </w:pPr>
                    <w:r>
                      <w:rPr>
                        <w:color w:val="231F20"/>
                        <w:w w:val="105"/>
                        <w:sz w:val="18"/>
                      </w:rPr>
                      <w:t>in plasma pH. However, with metabolic acidosis, the</w:t>
                    </w:r>
                  </w:p>
                </w:txbxContent>
              </v:textbox>
              <w10:wrap type="none"/>
            </v:shape>
            <v:shape style="position:absolute;left:6299;top:-1269;width:4341;height:714" type="#_x0000_t202" filled="false" stroked="false">
              <v:textbox inset="0,0,0,0">
                <w:txbxContent>
                  <w:p>
                    <w:pPr>
                      <w:spacing w:line="160" w:lineRule="exact" w:before="9"/>
                      <w:ind w:left="0" w:right="0" w:firstLine="0"/>
                      <w:jc w:val="left"/>
                      <w:rPr>
                        <w:i/>
                        <w:sz w:val="18"/>
                      </w:rPr>
                    </w:pPr>
                    <w:r>
                      <w:rPr>
                        <w:i/>
                        <w:color w:val="231F20"/>
                        <w:sz w:val="18"/>
                      </w:rPr>
                      <w:t>P</w:t>
                    </w:r>
                    <w:r>
                      <w:rPr>
                        <w:i/>
                        <w:color w:val="231F20"/>
                        <w:sz w:val="14"/>
                      </w:rPr>
                      <w:t>CO</w:t>
                    </w:r>
                    <w:r>
                      <w:rPr>
                        <w:i/>
                        <w:color w:val="231F20"/>
                        <w:position w:val="-2"/>
                        <w:sz w:val="11"/>
                      </w:rPr>
                      <w:t>2</w:t>
                    </w:r>
                    <w:r>
                      <w:rPr>
                        <w:i/>
                        <w:color w:val="231F20"/>
                        <w:sz w:val="18"/>
                      </w:rPr>
                      <w:t>, and increased plasma HCO </w:t>
                    </w:r>
                    <w:r>
                      <w:rPr>
                        <w:rFonts w:ascii="Consolas" w:hAnsi="Consolas"/>
                        <w:i/>
                        <w:color w:val="231F20"/>
                        <w:position w:val="7"/>
                        <w:sz w:val="11"/>
                      </w:rPr>
                      <w:t>− </w:t>
                    </w:r>
                    <w:r>
                      <w:rPr>
                        <w:i/>
                        <w:color w:val="231F20"/>
                        <w:sz w:val="18"/>
                      </w:rPr>
                      <w:t>concentration after</w:t>
                    </w:r>
                  </w:p>
                  <w:p>
                    <w:pPr>
                      <w:spacing w:line="62" w:lineRule="exact" w:before="0"/>
                      <w:ind w:left="1071" w:right="0" w:firstLine="0"/>
                      <w:jc w:val="center"/>
                      <w:rPr>
                        <w:i/>
                        <w:sz w:val="11"/>
                      </w:rPr>
                    </w:pPr>
                    <w:r>
                      <w:rPr>
                        <w:i/>
                        <w:color w:val="231F20"/>
                        <w:w w:val="97"/>
                        <w:sz w:val="11"/>
                      </w:rPr>
                      <w:t>3</w:t>
                    </w:r>
                  </w:p>
                  <w:p>
                    <w:pPr>
                      <w:spacing w:before="2"/>
                      <w:ind w:left="0" w:right="0" w:firstLine="0"/>
                      <w:jc w:val="left"/>
                      <w:rPr>
                        <w:i/>
                        <w:sz w:val="18"/>
                      </w:rPr>
                    </w:pPr>
                    <w:r>
                      <w:rPr>
                        <w:i/>
                        <w:color w:val="231F20"/>
                        <w:sz w:val="18"/>
                      </w:rPr>
                      <w:t>partial renal compensation.</w:t>
                    </w:r>
                  </w:p>
                  <w:p>
                    <w:pPr>
                      <w:spacing w:before="13"/>
                      <w:ind w:left="240" w:right="0" w:firstLine="0"/>
                      <w:jc w:val="left"/>
                      <w:rPr>
                        <w:sz w:val="18"/>
                      </w:rPr>
                    </w:pPr>
                    <w:r>
                      <w:rPr>
                        <w:color w:val="231F20"/>
                        <w:sz w:val="18"/>
                      </w:rPr>
                      <w:t>For metabolic acidosis, there would also be a decrease</w:t>
                    </w:r>
                  </w:p>
                </w:txbxContent>
              </v:textbox>
              <w10:wrap type="none"/>
            </v:shape>
            <v:shape style="position:absolute;left:6299;top:-1915;width:4341;height:700" type="#_x0000_t202" filled="false" stroked="false">
              <v:textbox inset="0,0,0,0">
                <w:txbxContent>
                  <w:p>
                    <w:pPr>
                      <w:spacing w:line="254" w:lineRule="auto" w:before="0"/>
                      <w:ind w:left="0" w:right="18" w:firstLine="0"/>
                      <w:jc w:val="both"/>
                      <w:rPr>
                        <w:i/>
                        <w:sz w:val="18"/>
                      </w:rPr>
                    </w:pPr>
                    <w:r>
                      <w:rPr>
                        <w:color w:val="231F20"/>
                        <w:sz w:val="18"/>
                      </w:rPr>
                      <w:t>centration in respiratory acidosis would tend to increase above normal. </w:t>
                    </w:r>
                    <w:r>
                      <w:rPr>
                        <w:i/>
                        <w:color w:val="231F20"/>
                        <w:sz w:val="18"/>
                      </w:rPr>
                      <w:t>Therefore, the expected values for a simple </w:t>
                    </w:r>
                    <w:r>
                      <w:rPr>
                        <w:i/>
                        <w:color w:val="231F20"/>
                        <w:sz w:val="18"/>
                      </w:rPr>
                      <w:t>respiratory</w:t>
                    </w:r>
                    <w:r>
                      <w:rPr>
                        <w:i/>
                        <w:color w:val="231F20"/>
                        <w:spacing w:val="-12"/>
                        <w:sz w:val="18"/>
                      </w:rPr>
                      <w:t> </w:t>
                    </w:r>
                    <w:r>
                      <w:rPr>
                        <w:i/>
                        <w:color w:val="231F20"/>
                        <w:sz w:val="18"/>
                      </w:rPr>
                      <w:t>acidosis</w:t>
                    </w:r>
                    <w:r>
                      <w:rPr>
                        <w:i/>
                        <w:color w:val="231F20"/>
                        <w:spacing w:val="-12"/>
                        <w:sz w:val="18"/>
                      </w:rPr>
                      <w:t> </w:t>
                    </w:r>
                    <w:r>
                      <w:rPr>
                        <w:i/>
                        <w:color w:val="231F20"/>
                        <w:sz w:val="18"/>
                      </w:rPr>
                      <w:t>would</w:t>
                    </w:r>
                    <w:r>
                      <w:rPr>
                        <w:i/>
                        <w:color w:val="231F20"/>
                        <w:spacing w:val="-12"/>
                        <w:sz w:val="18"/>
                      </w:rPr>
                      <w:t> </w:t>
                    </w:r>
                    <w:r>
                      <w:rPr>
                        <w:i/>
                        <w:color w:val="231F20"/>
                        <w:sz w:val="18"/>
                      </w:rPr>
                      <w:t>be</w:t>
                    </w:r>
                    <w:r>
                      <w:rPr>
                        <w:i/>
                        <w:color w:val="231F20"/>
                        <w:spacing w:val="-11"/>
                        <w:sz w:val="18"/>
                      </w:rPr>
                      <w:t> </w:t>
                    </w:r>
                    <w:r>
                      <w:rPr>
                        <w:i/>
                        <w:color w:val="231F20"/>
                        <w:sz w:val="18"/>
                      </w:rPr>
                      <w:t>reduced</w:t>
                    </w:r>
                    <w:r>
                      <w:rPr>
                        <w:i/>
                        <w:color w:val="231F20"/>
                        <w:spacing w:val="-12"/>
                        <w:sz w:val="18"/>
                      </w:rPr>
                      <w:t> </w:t>
                    </w:r>
                    <w:r>
                      <w:rPr>
                        <w:i/>
                        <w:color w:val="231F20"/>
                        <w:sz w:val="18"/>
                      </w:rPr>
                      <w:t>plasma</w:t>
                    </w:r>
                    <w:r>
                      <w:rPr>
                        <w:i/>
                        <w:color w:val="231F20"/>
                        <w:spacing w:val="-12"/>
                        <w:sz w:val="18"/>
                      </w:rPr>
                      <w:t> </w:t>
                    </w:r>
                    <w:r>
                      <w:rPr>
                        <w:i/>
                        <w:color w:val="231F20"/>
                        <w:sz w:val="18"/>
                      </w:rPr>
                      <w:t>pH,</w:t>
                    </w:r>
                    <w:r>
                      <w:rPr>
                        <w:i/>
                        <w:color w:val="231F20"/>
                        <w:spacing w:val="-11"/>
                        <w:sz w:val="18"/>
                      </w:rPr>
                      <w:t> </w:t>
                    </w:r>
                    <w:r>
                      <w:rPr>
                        <w:i/>
                        <w:color w:val="231F20"/>
                        <w:sz w:val="18"/>
                      </w:rPr>
                      <w:t>increased</w:t>
                    </w:r>
                  </w:p>
                </w:txbxContent>
              </v:textbox>
              <w10:wrap type="none"/>
            </v:shape>
            <v:shape style="position:absolute;left:6300;top:-2149;width:4340;height:274" type="#_x0000_t202" filled="false" stroked="false">
              <v:textbox inset="0,0,0,0">
                <w:txbxContent>
                  <w:p>
                    <w:pPr>
                      <w:spacing w:line="153" w:lineRule="exact" w:before="10"/>
                      <w:ind w:left="0" w:right="0" w:firstLine="0"/>
                      <w:jc w:val="left"/>
                      <w:rPr>
                        <w:sz w:val="18"/>
                      </w:rPr>
                    </w:pPr>
                    <w:r>
                      <w:rPr>
                        <w:color w:val="231F20"/>
                        <w:w w:val="105"/>
                        <w:sz w:val="18"/>
                      </w:rPr>
                      <w:t>acidosis.</w:t>
                    </w:r>
                    <w:r>
                      <w:rPr>
                        <w:color w:val="231F20"/>
                        <w:spacing w:val="-22"/>
                        <w:w w:val="105"/>
                        <w:sz w:val="18"/>
                      </w:rPr>
                      <w:t> </w:t>
                    </w:r>
                    <w:r>
                      <w:rPr>
                        <w:color w:val="231F20"/>
                        <w:w w:val="105"/>
                        <w:sz w:val="18"/>
                      </w:rPr>
                      <w:t>After</w:t>
                    </w:r>
                    <w:r>
                      <w:rPr>
                        <w:color w:val="231F20"/>
                        <w:spacing w:val="-21"/>
                        <w:w w:val="105"/>
                        <w:sz w:val="18"/>
                      </w:rPr>
                      <w:t> </w:t>
                    </w:r>
                    <w:r>
                      <w:rPr>
                        <w:color w:val="231F20"/>
                        <w:w w:val="105"/>
                        <w:sz w:val="18"/>
                      </w:rPr>
                      <w:t>renal</w:t>
                    </w:r>
                    <w:r>
                      <w:rPr>
                        <w:color w:val="231F20"/>
                        <w:spacing w:val="-21"/>
                        <w:w w:val="105"/>
                        <w:sz w:val="18"/>
                      </w:rPr>
                      <w:t> </w:t>
                    </w:r>
                    <w:r>
                      <w:rPr>
                        <w:color w:val="231F20"/>
                        <w:w w:val="105"/>
                        <w:sz w:val="18"/>
                      </w:rPr>
                      <w:t>compensation,</w:t>
                    </w:r>
                    <w:r>
                      <w:rPr>
                        <w:color w:val="231F20"/>
                        <w:spacing w:val="-21"/>
                        <w:w w:val="105"/>
                        <w:sz w:val="18"/>
                      </w:rPr>
                      <w:t> </w:t>
                    </w:r>
                    <w:r>
                      <w:rPr>
                        <w:color w:val="231F20"/>
                        <w:w w:val="105"/>
                        <w:sz w:val="18"/>
                      </w:rPr>
                      <w:t>the</w:t>
                    </w:r>
                    <w:r>
                      <w:rPr>
                        <w:color w:val="231F20"/>
                        <w:spacing w:val="-21"/>
                        <w:w w:val="105"/>
                        <w:sz w:val="18"/>
                      </w:rPr>
                      <w:t> </w:t>
                    </w:r>
                    <w:r>
                      <w:rPr>
                        <w:color w:val="231F20"/>
                        <w:w w:val="105"/>
                        <w:sz w:val="18"/>
                      </w:rPr>
                      <w:t>plasma</w:t>
                    </w:r>
                    <w:r>
                      <w:rPr>
                        <w:color w:val="231F20"/>
                        <w:spacing w:val="-21"/>
                        <w:w w:val="105"/>
                        <w:sz w:val="18"/>
                      </w:rPr>
                      <w:t> </w:t>
                    </w:r>
                    <w:r>
                      <w:rPr>
                        <w:color w:val="231F20"/>
                        <w:w w:val="105"/>
                        <w:sz w:val="18"/>
                      </w:rPr>
                      <w:t>HCO</w:t>
                    </w:r>
                    <w:r>
                      <w:rPr>
                        <w:color w:val="231F20"/>
                        <w:spacing w:val="-8"/>
                        <w:w w:val="105"/>
                        <w:sz w:val="18"/>
                      </w:rPr>
                      <w:t> </w:t>
                    </w:r>
                    <w:r>
                      <w:rPr>
                        <w:rFonts w:ascii="Consolas" w:hAnsi="Consolas"/>
                        <w:color w:val="231F20"/>
                        <w:w w:val="105"/>
                        <w:position w:val="7"/>
                        <w:sz w:val="11"/>
                      </w:rPr>
                      <w:t>−</w:t>
                    </w:r>
                    <w:r>
                      <w:rPr>
                        <w:rFonts w:ascii="Consolas" w:hAnsi="Consolas"/>
                        <w:color w:val="231F20"/>
                        <w:spacing w:val="-38"/>
                        <w:w w:val="105"/>
                        <w:position w:val="7"/>
                        <w:sz w:val="11"/>
                      </w:rPr>
                      <w:t> </w:t>
                    </w:r>
                    <w:r>
                      <w:rPr>
                        <w:color w:val="231F20"/>
                        <w:w w:val="105"/>
                        <w:sz w:val="18"/>
                      </w:rPr>
                      <w:t>con-</w:t>
                    </w:r>
                  </w:p>
                  <w:p>
                    <w:pPr>
                      <w:spacing w:line="69" w:lineRule="exact" w:before="0"/>
                      <w:ind w:left="0" w:right="450" w:firstLine="0"/>
                      <w:jc w:val="right"/>
                      <w:rPr>
                        <w:sz w:val="11"/>
                      </w:rPr>
                    </w:pPr>
                    <w:r>
                      <w:rPr>
                        <w:color w:val="231F20"/>
                        <w:w w:val="96"/>
                        <w:sz w:val="11"/>
                      </w:rPr>
                      <w:t>3</w:t>
                    </w:r>
                  </w:p>
                </w:txbxContent>
              </v:textbox>
              <w10:wrap type="none"/>
            </v:shape>
            <v:shape style="position:absolute;left:6300;top:-2575;width:4341;height:480" type="#_x0000_t202" filled="false" stroked="false">
              <v:textbox inset="0,0,0,0">
                <w:txbxContent>
                  <w:p>
                    <w:pPr>
                      <w:spacing w:before="0"/>
                      <w:ind w:left="0" w:right="0" w:hanging="1"/>
                      <w:jc w:val="left"/>
                      <w:rPr>
                        <w:sz w:val="18"/>
                      </w:rPr>
                    </w:pPr>
                    <w:r>
                      <w:rPr>
                        <w:color w:val="231F20"/>
                        <w:w w:val="105"/>
                        <w:sz w:val="18"/>
                      </w:rPr>
                      <w:t>has been characterized as acidosis and the plasma P</w:t>
                    </w:r>
                    <w:r>
                      <w:rPr>
                        <w:color w:val="231F20"/>
                        <w:w w:val="105"/>
                        <w:sz w:val="14"/>
                      </w:rPr>
                      <w:t>CO</w:t>
                    </w:r>
                    <w:r>
                      <w:rPr>
                        <w:color w:val="231F20"/>
                        <w:w w:val="105"/>
                        <w:position w:val="-2"/>
                        <w:sz w:val="11"/>
                      </w:rPr>
                      <w:t>2 </w:t>
                    </w:r>
                    <w:r>
                      <w:rPr>
                        <w:color w:val="231F20"/>
                        <w:w w:val="105"/>
                        <w:sz w:val="18"/>
                      </w:rPr>
                      <w:t>is increased, there must be a respiratory component to the</w:t>
                    </w:r>
                  </w:p>
                </w:txbxContent>
              </v:textbox>
              <w10:wrap type="none"/>
            </v:shape>
            <v:shape style="position:absolute;left:8191;top:-2702;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9925;top:-2922;width:74;height:156" type="#_x0000_t202" filled="false" stroked="false">
              <v:textbox inset="0,0,0,0">
                <w:txbxContent>
                  <w:p>
                    <w:pPr>
                      <w:spacing w:line="124" w:lineRule="exact" w:before="0"/>
                      <w:ind w:left="0" w:right="0" w:firstLine="0"/>
                      <w:jc w:val="left"/>
                      <w:rPr>
                        <w:sz w:val="11"/>
                      </w:rPr>
                    </w:pPr>
                    <w:r>
                      <w:rPr>
                        <w:color w:val="231F20"/>
                        <w:w w:val="96"/>
                        <w:sz w:val="11"/>
                      </w:rPr>
                      <w:t>2</w:t>
                    </w:r>
                  </w:p>
                </w:txbxContent>
              </v:textbox>
              <w10:wrap type="none"/>
            </v:shape>
            <v:shape style="position:absolute;left:6704;top:-2922;width:74;height:156" type="#_x0000_t202" filled="false" stroked="false">
              <v:textbox inset="0,0,0,0">
                <w:txbxContent>
                  <w:p>
                    <w:pPr>
                      <w:spacing w:line="124" w:lineRule="exact" w:before="0"/>
                      <w:ind w:left="0" w:right="0" w:firstLine="0"/>
                      <w:jc w:val="left"/>
                      <w:rPr>
                        <w:sz w:val="11"/>
                      </w:rPr>
                    </w:pPr>
                    <w:r>
                      <w:rPr>
                        <w:color w:val="231F20"/>
                        <w:w w:val="96"/>
                        <w:sz w:val="11"/>
                      </w:rPr>
                      <w:t>3</w:t>
                    </w:r>
                  </w:p>
                </w:txbxContent>
              </v:textbox>
              <w10:wrap type="none"/>
            </v:shape>
            <v:shape style="position:absolute;left:6540;top:-4335;width:4101;height:260" type="#_x0000_t202" filled="false" stroked="false">
              <v:textbox inset="0,0,0,0">
                <w:txbxContent>
                  <w:p>
                    <w:pPr>
                      <w:spacing w:line="206" w:lineRule="exact" w:before="0"/>
                      <w:ind w:left="0" w:right="0" w:firstLine="0"/>
                      <w:jc w:val="left"/>
                      <w:rPr>
                        <w:sz w:val="18"/>
                      </w:rPr>
                    </w:pPr>
                    <w:r>
                      <w:rPr>
                        <w:color w:val="231F20"/>
                        <w:sz w:val="18"/>
                      </w:rPr>
                      <w:t>The diagnosis of simple acid-base disorders involves</w:t>
                    </w:r>
                  </w:p>
                </w:txbxContent>
              </v:textbox>
              <w10:wrap type="none"/>
            </v:shape>
            <v:shape style="position:absolute;left:6300;top:-4134;width:4341;height:1159" type="#_x0000_t202" filled="false" stroked="false">
              <v:textbox inset="0,0,0,0">
                <w:txbxContent>
                  <w:p>
                    <w:pPr>
                      <w:spacing w:line="254" w:lineRule="auto" w:before="17"/>
                      <w:ind w:left="0" w:right="18" w:firstLine="0"/>
                      <w:jc w:val="both"/>
                      <w:rPr>
                        <w:sz w:val="18"/>
                      </w:rPr>
                    </w:pPr>
                    <w:r>
                      <w:rPr>
                        <w:color w:val="231F20"/>
                        <w:sz w:val="18"/>
                      </w:rPr>
                      <w:t>several steps, as shown in </w:t>
                    </w:r>
                    <w:hyperlink w:history="true" w:anchor="_bookmark113">
                      <w:r>
                        <w:rPr>
                          <w:b/>
                          <w:color w:val="0080AC"/>
                          <w:sz w:val="18"/>
                        </w:rPr>
                        <w:t>Figure 31-10</w:t>
                      </w:r>
                    </w:hyperlink>
                    <w:r>
                      <w:rPr>
                        <w:color w:val="231F20"/>
                        <w:sz w:val="18"/>
                      </w:rPr>
                      <w:t>. By examining the pH, one can determine whether the disorder is acidosis or alkalosis. A pH less than 7.4 indicates acidosis, whereas a pH greater than 7.4 indicates alkalosis.</w:t>
                    </w:r>
                  </w:p>
                  <w:p>
                    <w:pPr>
                      <w:spacing w:before="3"/>
                      <w:ind w:left="239" w:right="0" w:firstLine="0"/>
                      <w:jc w:val="both"/>
                      <w:rPr>
                        <w:sz w:val="18"/>
                      </w:rPr>
                    </w:pPr>
                    <w:r>
                      <w:rPr>
                        <w:color w:val="231F20"/>
                        <w:w w:val="105"/>
                        <w:sz w:val="18"/>
                      </w:rPr>
                      <w:t>The second step is to examine the plasma P</w:t>
                    </w:r>
                    <w:r>
                      <w:rPr>
                        <w:color w:val="231F20"/>
                        <w:w w:val="105"/>
                        <w:sz w:val="14"/>
                      </w:rPr>
                      <w:t>CO</w:t>
                    </w:r>
                    <w:r>
                      <w:rPr>
                        <w:color w:val="231F20"/>
                        <w:w w:val="105"/>
                        <w:position w:val="-2"/>
                        <w:sz w:val="11"/>
                      </w:rPr>
                      <w:t>2 </w:t>
                    </w:r>
                    <w:r>
                      <w:rPr>
                        <w:color w:val="231F20"/>
                        <w:w w:val="105"/>
                        <w:sz w:val="18"/>
                      </w:rPr>
                      <w:t>and</w:t>
                    </w:r>
                  </w:p>
                </w:txbxContent>
              </v:textbox>
              <w10:wrap type="none"/>
            </v:shape>
            <v:shape style="position:absolute;left:6300;top:-3029;width:4340;height:274" type="#_x0000_t202" filled="false" stroked="false">
              <v:textbox inset="0,0,0,0">
                <w:txbxContent>
                  <w:p>
                    <w:pPr>
                      <w:spacing w:before="10"/>
                      <w:ind w:left="0" w:right="0" w:firstLine="0"/>
                      <w:jc w:val="left"/>
                      <w:rPr>
                        <w:sz w:val="18"/>
                      </w:rPr>
                    </w:pPr>
                    <w:r>
                      <w:rPr>
                        <w:color w:val="231F20"/>
                        <w:w w:val="105"/>
                        <w:sz w:val="18"/>
                      </w:rPr>
                      <w:t>HCO </w:t>
                    </w:r>
                    <w:r>
                      <w:rPr>
                        <w:rFonts w:ascii="Consolas" w:hAnsi="Consolas"/>
                        <w:color w:val="231F20"/>
                        <w:w w:val="105"/>
                        <w:position w:val="7"/>
                        <w:sz w:val="11"/>
                      </w:rPr>
                      <w:t>− </w:t>
                    </w:r>
                    <w:r>
                      <w:rPr>
                        <w:color w:val="231F20"/>
                        <w:w w:val="105"/>
                        <w:sz w:val="18"/>
                      </w:rPr>
                      <w:t>concentration. The normal value for P</w:t>
                    </w:r>
                    <w:r>
                      <w:rPr>
                        <w:color w:val="231F20"/>
                        <w:w w:val="105"/>
                        <w:sz w:val="14"/>
                      </w:rPr>
                      <w:t>CO </w:t>
                    </w:r>
                    <w:r>
                      <w:rPr>
                        <w:color w:val="231F20"/>
                        <w:w w:val="105"/>
                        <w:sz w:val="18"/>
                      </w:rPr>
                      <w:t>is about</w:t>
                    </w:r>
                  </w:p>
                </w:txbxContent>
              </v:textbox>
              <w10:wrap type="none"/>
            </v:shape>
            <v:shape style="position:absolute;left:6300;top:-2809;width:4340;height:274" type="#_x0000_t202" filled="false" stroked="false">
              <v:textbox inset="0,0,0,0">
                <w:txbxContent>
                  <w:p>
                    <w:pPr>
                      <w:spacing w:before="10"/>
                      <w:ind w:left="0" w:right="0" w:firstLine="0"/>
                      <w:jc w:val="left"/>
                      <w:rPr>
                        <w:sz w:val="18"/>
                      </w:rPr>
                    </w:pPr>
                    <w:r>
                      <w:rPr>
                        <w:color w:val="231F20"/>
                        <w:w w:val="105"/>
                        <w:sz w:val="18"/>
                      </w:rPr>
                      <w:t>40</w:t>
                    </w:r>
                    <w:r>
                      <w:rPr>
                        <w:color w:val="231F20"/>
                        <w:spacing w:val="-3"/>
                        <w:w w:val="105"/>
                        <w:sz w:val="18"/>
                      </w:rPr>
                      <w:t> </w:t>
                    </w:r>
                    <w:r>
                      <w:rPr>
                        <w:color w:val="231F20"/>
                        <w:w w:val="105"/>
                        <w:sz w:val="18"/>
                      </w:rPr>
                      <w:t>mm</w:t>
                    </w:r>
                    <w:r>
                      <w:rPr>
                        <w:color w:val="231F20"/>
                        <w:spacing w:val="-3"/>
                        <w:w w:val="105"/>
                        <w:sz w:val="18"/>
                      </w:rPr>
                      <w:t> </w:t>
                    </w:r>
                    <w:r>
                      <w:rPr>
                        <w:color w:val="231F20"/>
                        <w:w w:val="105"/>
                        <w:sz w:val="18"/>
                      </w:rPr>
                      <w:t>Hg,</w:t>
                    </w:r>
                    <w:r>
                      <w:rPr>
                        <w:color w:val="231F20"/>
                        <w:spacing w:val="-3"/>
                        <w:w w:val="105"/>
                        <w:sz w:val="18"/>
                      </w:rPr>
                      <w:t> </w:t>
                    </w:r>
                    <w:r>
                      <w:rPr>
                        <w:color w:val="231F20"/>
                        <w:w w:val="105"/>
                        <w:sz w:val="18"/>
                      </w:rPr>
                      <w:t>and</w:t>
                    </w:r>
                    <w:r>
                      <w:rPr>
                        <w:color w:val="231F20"/>
                        <w:spacing w:val="-3"/>
                        <w:w w:val="105"/>
                        <w:sz w:val="18"/>
                      </w:rPr>
                      <w:t> </w:t>
                    </w:r>
                    <w:r>
                      <w:rPr>
                        <w:color w:val="231F20"/>
                        <w:w w:val="105"/>
                        <w:sz w:val="18"/>
                      </w:rPr>
                      <w:t>for</w:t>
                    </w:r>
                    <w:r>
                      <w:rPr>
                        <w:color w:val="231F20"/>
                        <w:spacing w:val="-2"/>
                        <w:w w:val="105"/>
                        <w:sz w:val="18"/>
                      </w:rPr>
                      <w:t> </w:t>
                    </w:r>
                    <w:r>
                      <w:rPr>
                        <w:color w:val="231F20"/>
                        <w:w w:val="105"/>
                        <w:sz w:val="18"/>
                      </w:rPr>
                      <w:t>HCO</w:t>
                    </w:r>
                    <w:r>
                      <w:rPr>
                        <w:color w:val="231F20"/>
                        <w:spacing w:val="-1"/>
                        <w:w w:val="105"/>
                        <w:sz w:val="18"/>
                      </w:rPr>
                      <w:t> </w:t>
                    </w:r>
                    <w:r>
                      <w:rPr>
                        <w:rFonts w:ascii="Consolas" w:hAnsi="Consolas"/>
                        <w:color w:val="231F20"/>
                        <w:w w:val="105"/>
                        <w:position w:val="7"/>
                        <w:sz w:val="11"/>
                      </w:rPr>
                      <w:t>−</w:t>
                    </w:r>
                    <w:r>
                      <w:rPr>
                        <w:color w:val="231F20"/>
                        <w:w w:val="105"/>
                        <w:sz w:val="18"/>
                      </w:rPr>
                      <w:t>,</w:t>
                    </w:r>
                    <w:r>
                      <w:rPr>
                        <w:color w:val="231F20"/>
                        <w:spacing w:val="-3"/>
                        <w:w w:val="105"/>
                        <w:sz w:val="18"/>
                      </w:rPr>
                      <w:t> </w:t>
                    </w:r>
                    <w:r>
                      <w:rPr>
                        <w:color w:val="231F20"/>
                        <w:w w:val="105"/>
                        <w:sz w:val="18"/>
                      </w:rPr>
                      <w:t>it</w:t>
                    </w:r>
                    <w:r>
                      <w:rPr>
                        <w:color w:val="231F20"/>
                        <w:spacing w:val="-3"/>
                        <w:w w:val="105"/>
                        <w:sz w:val="18"/>
                      </w:rPr>
                      <w:t> </w:t>
                    </w:r>
                    <w:r>
                      <w:rPr>
                        <w:color w:val="231F20"/>
                        <w:w w:val="105"/>
                        <w:sz w:val="18"/>
                      </w:rPr>
                      <w:t>is</w:t>
                    </w:r>
                    <w:r>
                      <w:rPr>
                        <w:color w:val="231F20"/>
                        <w:spacing w:val="-3"/>
                        <w:w w:val="105"/>
                        <w:sz w:val="18"/>
                      </w:rPr>
                      <w:t> </w:t>
                    </w:r>
                    <w:r>
                      <w:rPr>
                        <w:color w:val="231F20"/>
                        <w:w w:val="105"/>
                        <w:sz w:val="18"/>
                      </w:rPr>
                      <w:t>24</w:t>
                    </w:r>
                    <w:r>
                      <w:rPr>
                        <w:color w:val="231F20"/>
                        <w:spacing w:val="-2"/>
                        <w:w w:val="105"/>
                        <w:sz w:val="18"/>
                      </w:rPr>
                      <w:t> </w:t>
                    </w:r>
                    <w:r>
                      <w:rPr>
                        <w:color w:val="231F20"/>
                        <w:w w:val="105"/>
                        <w:sz w:val="18"/>
                      </w:rPr>
                      <w:t>mEq/L.</w:t>
                    </w:r>
                    <w:r>
                      <w:rPr>
                        <w:color w:val="231F20"/>
                        <w:spacing w:val="-3"/>
                        <w:w w:val="105"/>
                        <w:sz w:val="18"/>
                      </w:rPr>
                      <w:t> </w:t>
                    </w:r>
                    <w:r>
                      <w:rPr>
                        <w:color w:val="231F20"/>
                        <w:w w:val="105"/>
                        <w:sz w:val="18"/>
                      </w:rPr>
                      <w:t>If</w:t>
                    </w:r>
                    <w:r>
                      <w:rPr>
                        <w:color w:val="231F20"/>
                        <w:spacing w:val="-3"/>
                        <w:w w:val="105"/>
                        <w:sz w:val="18"/>
                      </w:rPr>
                      <w:t> </w:t>
                    </w:r>
                    <w:r>
                      <w:rPr>
                        <w:color w:val="231F20"/>
                        <w:w w:val="105"/>
                        <w:sz w:val="18"/>
                      </w:rPr>
                      <w:t>the</w:t>
                    </w:r>
                    <w:r>
                      <w:rPr>
                        <w:color w:val="231F20"/>
                        <w:spacing w:val="-3"/>
                        <w:w w:val="105"/>
                        <w:sz w:val="18"/>
                      </w:rPr>
                      <w:t> </w:t>
                    </w:r>
                    <w:r>
                      <w:rPr>
                        <w:color w:val="231F20"/>
                        <w:w w:val="105"/>
                        <w:sz w:val="18"/>
                      </w:rPr>
                      <w:t>disorder</w:t>
                    </w:r>
                  </w:p>
                </w:txbxContent>
              </v:textbox>
              <w10:wrap type="none"/>
            </v:shape>
            <v:shape style="position:absolute;left:6300;top:-4789;width:4340;height:494" type="#_x0000_t202" filled="false" stroked="false">
              <v:textbox inset="0,0,0,0">
                <w:txbxContent>
                  <w:p>
                    <w:pPr>
                      <w:spacing w:line="153" w:lineRule="exact" w:before="10"/>
                      <w:ind w:left="0" w:right="0" w:firstLine="0"/>
                      <w:jc w:val="left"/>
                      <w:rPr>
                        <w:rFonts w:ascii="Consolas" w:hAnsi="Consolas"/>
                        <w:sz w:val="11"/>
                      </w:rPr>
                    </w:pPr>
                    <w:r>
                      <w:rPr>
                        <w:color w:val="231F20"/>
                        <w:w w:val="105"/>
                        <w:sz w:val="18"/>
                      </w:rPr>
                      <w:t>ments from an arterial blood sample: pH, plasma HCO </w:t>
                    </w:r>
                    <w:r>
                      <w:rPr>
                        <w:rFonts w:ascii="Consolas" w:hAnsi="Consolas"/>
                        <w:color w:val="231F20"/>
                        <w:w w:val="105"/>
                        <w:position w:val="7"/>
                        <w:sz w:val="11"/>
                      </w:rPr>
                      <w:t>−</w:t>
                    </w:r>
                  </w:p>
                  <w:p>
                    <w:pPr>
                      <w:spacing w:line="69" w:lineRule="exact" w:before="0"/>
                      <w:ind w:left="0" w:right="77" w:firstLine="0"/>
                      <w:jc w:val="right"/>
                      <w:rPr>
                        <w:sz w:val="11"/>
                      </w:rPr>
                    </w:pPr>
                    <w:r>
                      <w:rPr>
                        <w:color w:val="231F20"/>
                        <w:w w:val="96"/>
                        <w:sz w:val="11"/>
                      </w:rPr>
                      <w:t>3</w:t>
                    </w:r>
                  </w:p>
                  <w:p>
                    <w:pPr>
                      <w:spacing w:before="1"/>
                      <w:ind w:left="0" w:right="0" w:firstLine="0"/>
                      <w:jc w:val="left"/>
                      <w:rPr>
                        <w:sz w:val="18"/>
                      </w:rPr>
                    </w:pPr>
                    <w:r>
                      <w:rPr>
                        <w:color w:val="231F20"/>
                        <w:w w:val="105"/>
                        <w:sz w:val="18"/>
                      </w:rPr>
                      <w:t>concentration, and P</w:t>
                    </w:r>
                    <w:r>
                      <w:rPr>
                        <w:color w:val="231F20"/>
                        <w:w w:val="105"/>
                        <w:sz w:val="14"/>
                      </w:rPr>
                      <w:t>CO</w:t>
                    </w:r>
                    <w:r>
                      <w:rPr>
                        <w:color w:val="231F20"/>
                        <w:w w:val="105"/>
                        <w:position w:val="-2"/>
                        <w:sz w:val="11"/>
                      </w:rPr>
                      <w:t>2</w:t>
                    </w:r>
                    <w:r>
                      <w:rPr>
                        <w:color w:val="231F20"/>
                        <w:w w:val="105"/>
                        <w:sz w:val="18"/>
                      </w:rPr>
                      <w:t>.</w:t>
                    </w:r>
                  </w:p>
                </w:txbxContent>
              </v:textbox>
              <w10:wrap type="none"/>
            </v:shape>
            <v:shape style="position:absolute;left:6300;top:-4995;width:4340;height:260" type="#_x0000_t202" filled="false" stroked="false">
              <v:textbox inset="0,0,0,0">
                <w:txbxContent>
                  <w:p>
                    <w:pPr>
                      <w:spacing w:line="206" w:lineRule="exact" w:before="0"/>
                      <w:ind w:left="0" w:right="0" w:firstLine="0"/>
                      <w:jc w:val="left"/>
                      <w:rPr>
                        <w:sz w:val="18"/>
                      </w:rPr>
                    </w:pPr>
                    <w:r>
                      <w:rPr>
                        <w:color w:val="231F20"/>
                        <w:sz w:val="18"/>
                      </w:rPr>
                      <w:t>previously can be diagnosed by analyzing three measure-</w:t>
                    </w:r>
                  </w:p>
                </w:txbxContent>
              </v:textbox>
              <w10:wrap type="none"/>
            </v:shape>
            <w10:wrap type="none"/>
          </v:group>
        </w:pict>
      </w:r>
      <w:r>
        <w:rPr>
          <w:rFonts w:ascii="Consolas"/>
          <w:color w:val="231F20"/>
          <w:w w:val="98"/>
          <w:sz w:val="11"/>
        </w:rPr>
        <w:t>+</w:t>
      </w:r>
    </w:p>
    <w:p>
      <w:pPr>
        <w:spacing w:line="259" w:lineRule="auto" w:before="155"/>
        <w:ind w:left="499" w:right="1437" w:firstLine="0"/>
        <w:jc w:val="both"/>
        <w:rPr>
          <w:rFonts w:ascii="Arial" w:hAnsi="Arial"/>
          <w:sz w:val="16"/>
        </w:rPr>
      </w:pPr>
      <w:r>
        <w:rPr/>
        <w:br w:type="column"/>
      </w:r>
      <w:bookmarkStart w:name="_bookmark113" w:id="114"/>
      <w:bookmarkEnd w:id="114"/>
      <w:r>
        <w:rPr/>
      </w:r>
      <w:r>
        <w:rPr>
          <w:rFonts w:ascii="Trebuchet MS" w:hAnsi="Trebuchet MS"/>
          <w:b/>
          <w:color w:val="231F20"/>
          <w:sz w:val="16"/>
        </w:rPr>
        <w:t>Figure 31-10. </w:t>
      </w:r>
      <w:r>
        <w:rPr>
          <w:rFonts w:ascii="Arial" w:hAnsi="Arial"/>
          <w:color w:val="231F20"/>
          <w:sz w:val="16"/>
        </w:rPr>
        <w:t>Analysis of simple acid­base disorders. If the com­ pensatory responses are markedly different from those shown at the bottom of the figure, one should suspect a mixed acid­base disorder.</w:t>
      </w:r>
    </w:p>
    <w:p>
      <w:pPr>
        <w:spacing w:after="0" w:line="259" w:lineRule="auto"/>
        <w:jc w:val="both"/>
        <w:rPr>
          <w:rFonts w:ascii="Arial" w:hAnsi="Arial"/>
          <w:sz w:val="16"/>
        </w:rPr>
        <w:sectPr>
          <w:type w:val="continuous"/>
          <w:pgSz w:w="12240" w:h="15660"/>
          <w:pgMar w:top="0" w:bottom="760" w:left="0" w:right="0"/>
          <w:cols w:num="2" w:equalWidth="0">
            <w:col w:w="5581" w:space="40"/>
            <w:col w:w="6619"/>
          </w:cols>
        </w:sectPr>
      </w:pPr>
    </w:p>
    <w:p>
      <w:pPr>
        <w:spacing w:before="0"/>
        <w:ind w:left="1260" w:right="0" w:firstLine="0"/>
        <w:jc w:val="left"/>
        <w:rPr>
          <w:sz w:val="18"/>
        </w:rPr>
      </w:pPr>
      <w:r>
        <w:rPr/>
        <w:pict>
          <v:rect style="position:absolute;margin-left:54pt;margin-top:54pt;width:234pt;height:679.35pt;mso-position-horizontal-relative:page;mso-position-vertical-relative:page;z-index:-272246784" filled="true" fillcolor="#f0eef6" stroked="false">
            <v:fill type="solid"/>
            <w10:wrap type="none"/>
          </v:rect>
        </w:pict>
      </w:r>
      <w:r>
        <w:rPr>
          <w:color w:val="231F20"/>
          <w:w w:val="105"/>
          <w:sz w:val="18"/>
        </w:rPr>
        <w:t>fluids to shift the H concentration in the acidic direction.</w:t>
      </w:r>
    </w:p>
    <w:p>
      <w:pPr>
        <w:spacing w:line="254" w:lineRule="auto" w:before="13"/>
        <w:ind w:left="1259" w:right="6657" w:firstLine="0"/>
        <w:jc w:val="both"/>
        <w:rPr>
          <w:sz w:val="18"/>
        </w:rPr>
      </w:pPr>
      <w:r>
        <w:rPr/>
        <w:pict>
          <v:shape style="position:absolute;margin-left:91.243103pt;margin-top:16.387749pt;width:2.7pt;height:7.8pt;mso-position-horizontal-relative:page;mso-position-vertical-relative:paragraph;z-index:-272220160" type="#_x0000_t202" filled="false" stroked="false">
            <v:textbox inset="0,0,0,0">
              <w:txbxContent>
                <w:p>
                  <w:pPr>
                    <w:spacing w:line="124" w:lineRule="exact" w:before="0"/>
                    <w:ind w:left="0" w:right="0" w:firstLine="0"/>
                    <w:jc w:val="left"/>
                    <w:rPr>
                      <w:sz w:val="11"/>
                    </w:rPr>
                  </w:pPr>
                  <w:r>
                    <w:rPr>
                      <w:color w:val="231F20"/>
                      <w:w w:val="96"/>
                      <w:sz w:val="11"/>
                    </w:rPr>
                    <w:t>4</w:t>
                  </w:r>
                </w:p>
              </w:txbxContent>
            </v:textbox>
            <w10:wrap type="none"/>
          </v:shape>
        </w:pict>
      </w:r>
      <w:r>
        <w:rPr>
          <w:color w:val="231F20"/>
          <w:sz w:val="18"/>
        </w:rPr>
        <w:t>Ammonium chloride occasionally is infused intravenously, but NH </w:t>
      </w:r>
      <w:r>
        <w:rPr>
          <w:rFonts w:ascii="Consolas"/>
          <w:color w:val="231F20"/>
          <w:position w:val="7"/>
          <w:sz w:val="11"/>
        </w:rPr>
        <w:t>+ </w:t>
      </w:r>
      <w:r>
        <w:rPr>
          <w:color w:val="231F20"/>
          <w:sz w:val="18"/>
        </w:rPr>
        <w:t>is highly toxic, and this procedure can be danger- ous. The most appropriate treatment is to reverse the underlying cause of the alkalosis. </w:t>
      </w:r>
      <w:r>
        <w:rPr>
          <w:color w:val="231F20"/>
          <w:spacing w:val="-3"/>
          <w:sz w:val="18"/>
        </w:rPr>
        <w:t>For </w:t>
      </w:r>
      <w:r>
        <w:rPr>
          <w:color w:val="231F20"/>
          <w:sz w:val="18"/>
        </w:rPr>
        <w:t>example, if metabolic alkalosis</w:t>
      </w:r>
      <w:r>
        <w:rPr>
          <w:color w:val="231F20"/>
          <w:spacing w:val="-7"/>
          <w:sz w:val="18"/>
        </w:rPr>
        <w:t> </w:t>
      </w:r>
      <w:r>
        <w:rPr>
          <w:color w:val="231F20"/>
          <w:sz w:val="18"/>
        </w:rPr>
        <w:t>is</w:t>
      </w:r>
      <w:r>
        <w:rPr>
          <w:color w:val="231F20"/>
          <w:spacing w:val="-6"/>
          <w:sz w:val="18"/>
        </w:rPr>
        <w:t> </w:t>
      </w:r>
      <w:r>
        <w:rPr>
          <w:color w:val="231F20"/>
          <w:sz w:val="18"/>
        </w:rPr>
        <w:t>associated</w:t>
      </w:r>
      <w:r>
        <w:rPr>
          <w:color w:val="231F20"/>
          <w:spacing w:val="-7"/>
          <w:sz w:val="18"/>
        </w:rPr>
        <w:t> </w:t>
      </w:r>
      <w:r>
        <w:rPr>
          <w:color w:val="231F20"/>
          <w:sz w:val="18"/>
        </w:rPr>
        <w:t>with</w:t>
      </w:r>
      <w:r>
        <w:rPr>
          <w:color w:val="231F20"/>
          <w:spacing w:val="-6"/>
          <w:sz w:val="18"/>
        </w:rPr>
        <w:t> </w:t>
      </w:r>
      <w:r>
        <w:rPr>
          <w:color w:val="231F20"/>
          <w:sz w:val="18"/>
        </w:rPr>
        <w:t>extracellular</w:t>
      </w:r>
      <w:r>
        <w:rPr>
          <w:color w:val="231F20"/>
          <w:spacing w:val="-7"/>
          <w:sz w:val="18"/>
        </w:rPr>
        <w:t> </w:t>
      </w:r>
      <w:r>
        <w:rPr>
          <w:color w:val="231F20"/>
          <w:sz w:val="18"/>
        </w:rPr>
        <w:t>fluid</w:t>
      </w:r>
      <w:r>
        <w:rPr>
          <w:color w:val="231F20"/>
          <w:spacing w:val="-6"/>
          <w:sz w:val="18"/>
        </w:rPr>
        <w:t> </w:t>
      </w:r>
      <w:r>
        <w:rPr>
          <w:color w:val="231F20"/>
          <w:sz w:val="18"/>
        </w:rPr>
        <w:t>volume</w:t>
      </w:r>
      <w:r>
        <w:rPr>
          <w:color w:val="231F20"/>
          <w:spacing w:val="-7"/>
          <w:sz w:val="18"/>
        </w:rPr>
        <w:t> </w:t>
      </w:r>
      <w:r>
        <w:rPr>
          <w:color w:val="231F20"/>
          <w:sz w:val="18"/>
        </w:rPr>
        <w:t>deple- tion, but not heart failure, appropriate repletion of volume by infusion of isotonic saline solution is often beneficial in correcting the</w:t>
      </w:r>
      <w:r>
        <w:rPr>
          <w:color w:val="231F20"/>
          <w:spacing w:val="13"/>
          <w:sz w:val="18"/>
        </w:rPr>
        <w:t> </w:t>
      </w:r>
      <w:r>
        <w:rPr>
          <w:color w:val="231F20"/>
          <w:sz w:val="18"/>
        </w:rPr>
        <w:t>alkalosis.</w:t>
      </w:r>
    </w:p>
    <w:p>
      <w:pPr>
        <w:spacing w:line="252" w:lineRule="auto" w:before="200"/>
        <w:ind w:left="1259" w:right="7840" w:firstLine="0"/>
        <w:jc w:val="left"/>
        <w:rPr>
          <w:rFonts w:ascii="Trebuchet MS"/>
          <w:b/>
          <w:sz w:val="18"/>
        </w:rPr>
      </w:pPr>
      <w:r>
        <w:rPr>
          <w:rFonts w:ascii="Trebuchet MS"/>
          <w:b/>
          <w:color w:val="231F20"/>
          <w:w w:val="105"/>
          <w:sz w:val="18"/>
        </w:rPr>
        <w:t>Clinical Measurements and Analysis of Acid-Base Disorders</w:t>
      </w:r>
    </w:p>
    <w:p>
      <w:pPr>
        <w:spacing w:line="254" w:lineRule="auto" w:before="83"/>
        <w:ind w:left="1260" w:right="6657" w:firstLine="0"/>
        <w:jc w:val="both"/>
        <w:rPr>
          <w:sz w:val="18"/>
        </w:rPr>
      </w:pPr>
      <w:r>
        <w:rPr>
          <w:color w:val="231F20"/>
          <w:w w:val="105"/>
          <w:sz w:val="18"/>
        </w:rPr>
        <w:t>Appropriate therapy of acid-base disorders requires</w:t>
      </w:r>
      <w:r>
        <w:rPr>
          <w:color w:val="231F20"/>
          <w:spacing w:val="-32"/>
          <w:w w:val="105"/>
          <w:sz w:val="18"/>
        </w:rPr>
        <w:t> </w:t>
      </w:r>
      <w:r>
        <w:rPr>
          <w:color w:val="231F20"/>
          <w:w w:val="105"/>
          <w:sz w:val="18"/>
        </w:rPr>
        <w:t>prop- er</w:t>
      </w:r>
      <w:r>
        <w:rPr>
          <w:color w:val="231F20"/>
          <w:spacing w:val="32"/>
          <w:w w:val="105"/>
          <w:sz w:val="18"/>
        </w:rPr>
        <w:t> </w:t>
      </w:r>
      <w:r>
        <w:rPr>
          <w:color w:val="231F20"/>
          <w:w w:val="105"/>
          <w:sz w:val="18"/>
        </w:rPr>
        <w:t>diagnosis.</w:t>
      </w:r>
      <w:r>
        <w:rPr>
          <w:color w:val="231F20"/>
          <w:spacing w:val="32"/>
          <w:w w:val="105"/>
          <w:sz w:val="18"/>
        </w:rPr>
        <w:t> </w:t>
      </w:r>
      <w:r>
        <w:rPr>
          <w:color w:val="231F20"/>
          <w:w w:val="105"/>
          <w:sz w:val="18"/>
        </w:rPr>
        <w:t>The</w:t>
      </w:r>
      <w:r>
        <w:rPr>
          <w:color w:val="231F20"/>
          <w:spacing w:val="32"/>
          <w:w w:val="105"/>
          <w:sz w:val="18"/>
        </w:rPr>
        <w:t> </w:t>
      </w:r>
      <w:r>
        <w:rPr>
          <w:color w:val="231F20"/>
          <w:w w:val="105"/>
          <w:sz w:val="18"/>
        </w:rPr>
        <w:t>simple</w:t>
      </w:r>
      <w:r>
        <w:rPr>
          <w:color w:val="231F20"/>
          <w:spacing w:val="32"/>
          <w:w w:val="105"/>
          <w:sz w:val="18"/>
        </w:rPr>
        <w:t> </w:t>
      </w:r>
      <w:r>
        <w:rPr>
          <w:color w:val="231F20"/>
          <w:w w:val="105"/>
          <w:sz w:val="18"/>
        </w:rPr>
        <w:t>acid-base</w:t>
      </w:r>
      <w:r>
        <w:rPr>
          <w:color w:val="231F20"/>
          <w:spacing w:val="32"/>
          <w:w w:val="105"/>
          <w:sz w:val="18"/>
        </w:rPr>
        <w:t> </w:t>
      </w:r>
      <w:r>
        <w:rPr>
          <w:color w:val="231F20"/>
          <w:w w:val="105"/>
          <w:sz w:val="18"/>
        </w:rPr>
        <w:t>disorders</w:t>
      </w:r>
      <w:r>
        <w:rPr>
          <w:color w:val="231F20"/>
          <w:spacing w:val="32"/>
          <w:w w:val="105"/>
          <w:sz w:val="18"/>
        </w:rPr>
        <w:t> </w:t>
      </w:r>
      <w:r>
        <w:rPr>
          <w:color w:val="231F20"/>
          <w:w w:val="105"/>
          <w:sz w:val="18"/>
        </w:rPr>
        <w:t>described</w:t>
      </w:r>
    </w:p>
    <w:p>
      <w:pPr>
        <w:spacing w:after="0" w:line="254" w:lineRule="auto"/>
        <w:jc w:val="both"/>
        <w:rPr>
          <w:sz w:val="18"/>
        </w:rPr>
        <w:sectPr>
          <w:type w:val="continuous"/>
          <w:pgSz w:w="12240" w:h="15660"/>
          <w:pgMar w:top="0" w:bottom="760" w:left="0" w:right="0"/>
        </w:sectPr>
      </w:pPr>
    </w:p>
    <w:p>
      <w:pPr>
        <w:pStyle w:val="BodyText"/>
      </w:pPr>
    </w:p>
    <w:p>
      <w:pPr>
        <w:pStyle w:val="BodyText"/>
      </w:pPr>
    </w:p>
    <w:p>
      <w:pPr>
        <w:pStyle w:val="BodyText"/>
      </w:pPr>
    </w:p>
    <w:p>
      <w:pPr>
        <w:pStyle w:val="BodyText"/>
        <w:spacing w:before="2"/>
        <w:rPr>
          <w:sz w:val="24"/>
        </w:rPr>
      </w:pPr>
    </w:p>
    <w:p>
      <w:pPr>
        <w:spacing w:before="99"/>
        <w:ind w:left="1967" w:right="2221" w:firstLine="0"/>
        <w:jc w:val="center"/>
        <w:rPr>
          <w:rFonts w:ascii="Helvetica"/>
          <w:sz w:val="16"/>
        </w:rPr>
      </w:pPr>
      <w:r>
        <w:rPr/>
        <w:pict>
          <v:group style="position:absolute;margin-left:306.515106pt;margin-top:9.120395pt;width:244.95pt;height:221.5pt;mso-position-horizontal-relative:page;mso-position-vertical-relative:paragraph;z-index:253225984" coordorigin="6130,182" coordsize="4899,4430">
            <v:shape style="position:absolute;left:-73;top:14691;width:73;height:290" coordorigin="-73,14692" coordsize="73,290" path="m6203,192l6130,192m6203,482l6130,482e" filled="false" stroked="true" strokeweight="1pt" strokecolor="#231f20">
              <v:path arrowok="t"/>
              <v:stroke dashstyle="solid"/>
            </v:shape>
            <v:line style="position:absolute" from="11005,482" to="6203,482" stroked="true" strokeweight="1pt" strokecolor="#bcbec0">
              <v:stroke dashstyle="solid"/>
            </v:line>
            <v:line style="position:absolute" from="6203,772" to="6130,772" stroked="true" strokeweight="1pt" strokecolor="#231f20">
              <v:stroke dashstyle="solid"/>
            </v:line>
            <v:line style="position:absolute" from="11005,772" to="6203,772" stroked="true" strokeweight="1pt" strokecolor="#bcbec0">
              <v:stroke dashstyle="solid"/>
            </v:line>
            <v:shape style="position:absolute;left:6503;top:209;width:600;height:703" coordorigin="6503,209" coordsize="600,703" path="m6503,209l6503,911m6803,209l6803,911m7103,209l7103,911e" filled="false" stroked="true" strokeweight="1pt" strokecolor="#bcbec0">
              <v:path arrowok="t"/>
              <v:stroke dashstyle="solid"/>
            </v:shape>
            <v:line style="position:absolute" from="6203,1352" to="6130,1352" stroked="true" strokeweight="1pt" strokecolor="#231f20">
              <v:stroke dashstyle="solid"/>
            </v:line>
            <v:line style="position:absolute" from="11005,1352" to="6203,1352" stroked="true" strokeweight="1pt" strokecolor="#bcbec0">
              <v:stroke dashstyle="solid"/>
            </v:line>
            <v:line style="position:absolute" from="6203,1641" to="6130,1641" stroked="true" strokeweight="1pt" strokecolor="#231f20">
              <v:stroke dashstyle="solid"/>
            </v:line>
            <v:line style="position:absolute" from="11005,1641" to="6203,1641" stroked="true" strokeweight="1pt" strokecolor="#bcbec0">
              <v:stroke dashstyle="solid"/>
            </v:line>
            <v:shape style="position:absolute;left:6503;top:1170;width:600;height:607" coordorigin="6503,1170" coordsize="600,607" path="m6503,1170l6503,1777m6803,1170l6803,1777m7103,1170l7103,1777e" filled="false" stroked="true" strokeweight="1pt" strokecolor="#bcbec0">
              <v:path arrowok="t"/>
              <v:stroke dashstyle="solid"/>
            </v:shape>
            <v:line style="position:absolute" from="6203,2511" to="6130,2511" stroked="true" strokeweight="1pt" strokecolor="#231f20">
              <v:stroke dashstyle="solid"/>
            </v:line>
            <v:line style="position:absolute" from="11005,2511" to="6203,2511" stroked="true" strokeweight="1pt" strokecolor="#bcbec0">
              <v:stroke dashstyle="solid"/>
            </v:line>
            <v:line style="position:absolute" from="6203,2800" to="6130,2800" stroked="true" strokeweight="1pt" strokecolor="#231f20">
              <v:stroke dashstyle="solid"/>
            </v:line>
            <v:line style="position:absolute" from="11005,2800" to="6203,2800" stroked="true" strokeweight="1pt" strokecolor="#bcbec0">
              <v:stroke dashstyle="solid"/>
            </v:line>
            <v:line style="position:absolute" from="6203,3090" to="6130,3090" stroked="true" strokeweight="1pt" strokecolor="#231f20">
              <v:stroke dashstyle="solid"/>
            </v:line>
            <v:line style="position:absolute" from="11005,3090" to="6203,3090" stroked="true" strokeweight="1pt" strokecolor="#bcbec0">
              <v:stroke dashstyle="solid"/>
            </v:line>
            <v:line style="position:absolute" from="6203,3380" to="6130,3380" stroked="true" strokeweight="1pt" strokecolor="#231f20">
              <v:stroke dashstyle="solid"/>
            </v:line>
            <v:line style="position:absolute" from="11005,3380" to="6203,3380" stroked="true" strokeweight="1pt" strokecolor="#bcbec0">
              <v:stroke dashstyle="solid"/>
            </v:line>
            <v:line style="position:absolute" from="6203,3670" to="6130,3670" stroked="true" strokeweight="1pt" strokecolor="#231f20">
              <v:stroke dashstyle="solid"/>
            </v:line>
            <v:line style="position:absolute" from="11005,3670" to="6203,3670" stroked="true" strokeweight="1pt" strokecolor="#bcbec0">
              <v:stroke dashstyle="solid"/>
            </v:line>
            <v:line style="position:absolute" from="6203,3960" to="6130,3960" stroked="true" strokeweight="1pt" strokecolor="#231f20">
              <v:stroke dashstyle="solid"/>
            </v:line>
            <v:line style="position:absolute" from="6203,3960" to="8545,3960" stroked="true" strokeweight="1pt" strokecolor="#bcbec0">
              <v:stroke dashstyle="solid"/>
            </v:line>
            <v:line style="position:absolute" from="6203,4249" to="6130,4249" stroked="true" strokeweight="1pt" strokecolor="#231f20">
              <v:stroke dashstyle="solid"/>
            </v:line>
            <v:line style="position:absolute" from="6203,4249" to="8545,4249" stroked="true" strokeweight="1pt" strokecolor="#bcbec0">
              <v:stroke dashstyle="solid"/>
            </v:line>
            <v:line style="position:absolute" from="6503,4539" to="6503,4612" stroked="true" strokeweight="1pt" strokecolor="#231f20">
              <v:stroke dashstyle="solid"/>
            </v:line>
            <v:line style="position:absolute" from="6503,2313" to="6503,4509" stroked="true" strokeweight="1pt" strokecolor="#bcbec0">
              <v:stroke dashstyle="solid"/>
            </v:line>
            <v:line style="position:absolute" from="6803,4539" to="6803,4612" stroked="true" strokeweight="1pt" strokecolor="#231f20">
              <v:stroke dashstyle="solid"/>
            </v:line>
            <v:line style="position:absolute" from="6803,2313" to="6803,4509" stroked="true" strokeweight="1pt" strokecolor="#bcbec0">
              <v:stroke dashstyle="solid"/>
            </v:line>
            <v:line style="position:absolute" from="7103,4539" to="7103,4612" stroked="true" strokeweight="1pt" strokecolor="#231f20">
              <v:stroke dashstyle="solid"/>
            </v:line>
            <v:shape style="position:absolute;left:7103;top:1061;width:3902;height:3448" coordorigin="7103,1062" coordsize="3902,3448" path="m7103,2313l7103,4509m7359,1062l11005,1062m7185,1931l11005,1931m7185,2221l11005,2221e" filled="false" stroked="true" strokeweight="1pt" strokecolor="#bcbec0">
              <v:path arrowok="t"/>
              <v:stroke dashstyle="solid"/>
            </v:shape>
            <v:line style="position:absolute" from="7403,4539" to="7403,4612" stroked="true" strokeweight="1pt" strokecolor="#231f20">
              <v:stroke dashstyle="solid"/>
            </v:line>
            <v:line style="position:absolute" from="7403,209" to="7403,4509" stroked="true" strokeweight="1pt" strokecolor="#bcbec0">
              <v:stroke dashstyle="solid"/>
            </v:line>
            <v:line style="position:absolute" from="7703,4539" to="7703,4612" stroked="true" strokeweight="1pt" strokecolor="#231f20">
              <v:stroke dashstyle="solid"/>
            </v:line>
            <v:line style="position:absolute" from="7703,209" to="7703,4509" stroked="true" strokeweight="1pt" strokecolor="#bcbec0">
              <v:stroke dashstyle="solid"/>
            </v:line>
            <v:line style="position:absolute" from="8003,4539" to="8003,4612" stroked="true" strokeweight="1pt" strokecolor="#231f20">
              <v:stroke dashstyle="solid"/>
            </v:line>
            <v:line style="position:absolute" from="8003,209" to="8003,4509" stroked="true" strokeweight="1pt" strokecolor="#bcbec0">
              <v:stroke dashstyle="solid"/>
            </v:line>
            <v:line style="position:absolute" from="8303,4539" to="8303,4612" stroked="true" strokeweight="1pt" strokecolor="#231f20">
              <v:stroke dashstyle="solid"/>
            </v:line>
            <v:line style="position:absolute" from="8303,209" to="8303,4509" stroked="true" strokeweight="1pt" strokecolor="#bcbec0">
              <v:stroke dashstyle="solid"/>
            </v:line>
            <v:line style="position:absolute" from="8603,209" to="8603,3727" stroked="true" strokeweight="1pt" strokecolor="#bcbec0">
              <v:stroke dashstyle="solid"/>
            </v:line>
            <v:line style="position:absolute" from="8603,4539" to="8603,4612" stroked="true" strokeweight="1pt" strokecolor="#231f20">
              <v:stroke dashstyle="solid"/>
            </v:line>
            <v:shape style="position:absolute;left:8603;top:209;width:300;height:4300" coordorigin="8603,209" coordsize="300,4300" path="m8603,4263l8603,4509m8903,209l8903,3727e" filled="false" stroked="true" strokeweight="1pt" strokecolor="#bcbec0">
              <v:path arrowok="t"/>
              <v:stroke dashstyle="solid"/>
            </v:shape>
            <v:line style="position:absolute" from="8903,4539" to="8903,4612" stroked="true" strokeweight="1pt" strokecolor="#231f20">
              <v:stroke dashstyle="solid"/>
            </v:line>
            <v:shape style="position:absolute;left:8903;top:209;width:300;height:4300" coordorigin="8903,209" coordsize="300,4300" path="m8903,4263l8903,4509m9203,209l9203,3727e" filled="false" stroked="true" strokeweight="1pt" strokecolor="#bcbec0">
              <v:path arrowok="t"/>
              <v:stroke dashstyle="solid"/>
            </v:shape>
            <v:line style="position:absolute" from="9203,4539" to="9203,4612" stroked="true" strokeweight="1pt" strokecolor="#231f20">
              <v:stroke dashstyle="solid"/>
            </v:line>
            <v:shape style="position:absolute;left:9203;top:3959;width:1802;height:550" coordorigin="9203,3960" coordsize="1802,550" path="m9203,4263l9203,4509m9342,3960l11005,3960m9342,4249l9710,4249e" filled="false" stroked="true" strokeweight="1pt" strokecolor="#bcbec0">
              <v:path arrowok="t"/>
              <v:stroke dashstyle="solid"/>
            </v:shape>
            <v:line style="position:absolute" from="9503,4539" to="9503,4612" stroked="true" strokeweight="1pt" strokecolor="#231f20">
              <v:stroke dashstyle="solid"/>
            </v:line>
            <v:line style="position:absolute" from="9503,209" to="9503,4509" stroked="true" strokeweight="1pt" strokecolor="#bcbec0">
              <v:stroke dashstyle="solid"/>
            </v:line>
            <v:line style="position:absolute" from="9803,209" to="9803,4044" stroked="true" strokeweight="1pt" strokecolor="#bcbec0">
              <v:stroke dashstyle="solid"/>
            </v:line>
            <v:line style="position:absolute" from="9803,4539" to="9803,4612" stroked="true" strokeweight="1pt" strokecolor="#231f20">
              <v:stroke dashstyle="solid"/>
            </v:line>
            <v:shape style="position:absolute;left:9803;top:209;width:300;height:4300" coordorigin="9803,209" coordsize="300,4300" path="m9803,4302l9803,4509m10103,209l10103,4044e" filled="false" stroked="true" strokeweight="1pt" strokecolor="#bcbec0">
              <v:path arrowok="t"/>
              <v:stroke dashstyle="solid"/>
            </v:shape>
            <v:line style="position:absolute" from="10103,4539" to="10103,4612" stroked="true" strokeweight="1pt" strokecolor="#231f20">
              <v:stroke dashstyle="solid"/>
            </v:line>
            <v:shape style="position:absolute;left:10103;top:209;width:300;height:4300" coordorigin="10103,209" coordsize="300,4300" path="m10103,4302l10103,4509m10403,209l10403,4044e" filled="false" stroked="true" strokeweight="1pt" strokecolor="#bcbec0">
              <v:path arrowok="t"/>
              <v:stroke dashstyle="solid"/>
            </v:shape>
            <v:line style="position:absolute" from="10403,4539" to="10403,4612" stroked="true" strokeweight="1pt" strokecolor="#231f20">
              <v:stroke dashstyle="solid"/>
            </v:line>
            <v:shape style="position:absolute;left:10403;top:209;width:301;height:4300" coordorigin="10403,209" coordsize="301,4300" path="m10403,4302l10403,4509m10703,209l10703,4044e" filled="false" stroked="true" strokeweight="1pt" strokecolor="#bcbec0">
              <v:path arrowok="t"/>
              <v:stroke dashstyle="solid"/>
            </v:shape>
            <v:line style="position:absolute" from="10703,4539" to="10703,4612" stroked="true" strokeweight="1pt" strokecolor="#231f20">
              <v:stroke dashstyle="solid"/>
            </v:line>
            <v:line style="position:absolute" from="10703,4302" to="10703,4509" stroked="true" strokeweight="1pt" strokecolor="#bcbec0">
              <v:stroke dashstyle="solid"/>
            </v:line>
            <v:line style="position:absolute" from="11003,4539" to="11003,4612" stroked="true" strokeweight="1pt" strokecolor="#231f20">
              <v:stroke dashstyle="solid"/>
            </v:line>
            <v:line style="position:absolute" from="6203,1062" to="6130,1062" stroked="true" strokeweight="1pt" strokecolor="#231f20">
              <v:stroke dashstyle="solid"/>
            </v:line>
            <v:line style="position:absolute" from="6203,1062" to="6266,1062" stroked="true" strokeweight="1pt" strokecolor="#bcbec0">
              <v:stroke dashstyle="solid"/>
            </v:line>
            <v:line style="position:absolute" from="6203,1931" to="6130,1931" stroked="true" strokeweight="1pt" strokecolor="#231f20">
              <v:stroke dashstyle="solid"/>
            </v:line>
            <v:line style="position:absolute" from="6203,1931" to="6388,1931" stroked="true" strokeweight="1pt" strokecolor="#bcbec0">
              <v:stroke dashstyle="solid"/>
            </v:line>
            <v:line style="position:absolute" from="6203,2221" to="6130,2221" stroked="true" strokeweight="1pt" strokecolor="#231f20">
              <v:stroke dashstyle="solid"/>
            </v:line>
            <v:shape style="position:absolute;left:6203;top:2220;width:4802;height:2029" coordorigin="6203,2221" coordsize="4802,2029" path="m6203,2221l6388,2221m10803,4249l11005,4249e" filled="false" stroked="true" strokeweight="1pt" strokecolor="#bcbec0">
              <v:path arrowok="t"/>
              <v:stroke dashstyle="solid"/>
            </v:shape>
            <v:shape style="position:absolute;left:-73;top:14691;width:73;height:73" coordorigin="-73,14692" coordsize="73,73" path="m6203,4539l6130,4539m6203,4539l6203,4612e" filled="false" stroked="true" strokeweight="1pt" strokecolor="#231f20">
              <v:path arrowok="t"/>
              <v:stroke dashstyle="solid"/>
            </v:shape>
            <v:rect style="position:absolute;left:6203;top:192;width:4800;height:4347" filled="false" stroked="true" strokeweight="1pt" strokecolor="#231f20">
              <v:stroke dashstyle="solid"/>
            </v:rect>
            <v:shape style="position:absolute;left:-37;top:12688;width:4690;height:4090" coordorigin="-37,12688" coordsize="4690,4090" path="m6363,2212l6601,2130,6754,2056,6888,1946,7070,1759,7104,1722,7140,1682,7178,1639,7218,1592,7259,1543,7302,1490,7346,1433,7392,1374,7438,1312,7486,1247,7534,1179,7583,1108,7633,1035,7684,958,7734,879,7785,798,7837,713,7888,627,7939,537,7990,446m6383,2432l6712,2335,6948,2200,7205,1937,7596,1452,7665,1365,7730,1281,7790,1201,7846,1124,7899,1051,7947,982,7992,917,8033,855,8070,798,8104,745,8135,697,8162,652m8483,446l8280,940,8086,1274,7788,1601,7270,2072,6948,2341,6744,2497,6571,2598,6343,2706m8756,439l8511,990,8293,1351,7979,1681,7446,2139,7061,2438,6710,2675,6455,2832,6356,2889m9096,429l8782,1040,8494,1459,8067,1881,7336,2499,7084,2676,6761,2869,6484,3025,6366,3089m9386,429l9134,985,8866,1385,8419,1825,7626,2499,7213,2810,6943,2999,6697,3143,6356,3319m9756,439l9331,1077,9039,1473,8742,1792,8306,2199,8220,2277,8132,2353,8044,2426,7955,2497,7865,2565,7776,2632,7687,2696,7599,2757,7511,2816,7424,2873,7339,2927,7255,2979,7173,3029,7094,3076,7016,3120,6942,3162,6870,3202,6802,3239,6737,3273,6675,3305,6618,3334,6565,3361,6517,3385,6473,3406,6434,3425,6401,3441,6373,3455,6351,3466,6336,3474,6326,3479m10316,419l9921,1030,9550,1479,8990,1988,8026,2779,7533,3091,7194,3289,6851,3457,6346,3679m10979,245l10984,235,10989,226,10993,217,10996,209m6346,3849l7063,3595,7544,3389,8006,3123,8666,2689,9479,2028,10172,1304,10655,719,10836,479,10845,466,10851,456,10858,445,10870,426m10827,993l10798,1030,10768,1069,10735,1110,10701,1153,10664,1198,10626,1244,10586,1292,10544,1342,10501,1393,10455,1445,10408,1498,10359,1553,10309,1608,10257,1665,10203,1722,10148,1780,10091,1839,10032,1898,9972,1958,9910,2018,9847,2078,9783,2139,9717,2199,9650,2259,9581,2320,9511,2380,9440,2439,9367,2499,9294,2557,9218,2615,9142,2673,9065,2729,8986,2785,8906,2839,8798,2911,8692,2980,8588,3046,8488,3108,8390,3167,8295,3223,8202,3276,8112,3326,8024,3374,7939,3418,7856,3460,7775,3500,7696,3537,7619,3573,7545,3605,7472,3636,7401,3665,7333,3692,7266,3718,7200,3742,7137,3764,7075,3784,7015,3804,6956,3822,6898,3839,6842,3855,6788,3870,6734,3885,6682,3898,6631,3911,6581,3924,6532,3936,6484,3948,6436,3959m11006,749l10998,762,10991,772,10981,785,10966,807m10819,1447l10787,1479,10752,1514,10715,1550,10676,1588,10635,1628,10592,1670,10546,1713,10498,1758,10449,1804,10397,1851,10343,1900,10287,1950,10230,2001,10170,2053,10109,2106,10045,2160,9980,2214,9913,2269,9845,2325,9774,2381,9702,2438,9628,2495,9553,2553,9476,2610,9397,2668,9317,2726,9236,2784,9153,2841,9068,2899,8982,2956,8895,3013,8806,3069,8721,3122,8635,3173,8549,3222,8461,3270,8374,3316,8286,3361,8198,3404,8111,3446,8023,3486,7936,3525,7850,3563,7764,3599,7678,3634,7594,3667,7511,3699,7429,3730,7349,3759,7269,3788,7192,3815,7116,3840,7043,3865,6971,3888,6902,3910,6835,3931,6770,3950,6709,3969,6650,3986,6593,4003,6540,4018,6491,4032,6444,4046,6401,4058,6362,4069,6326,4079m11016,1239l11007,1250,10999,1258,10989,1270,10971,1289m10795,2034l10759,2061,10721,2090,10680,2120,10637,2152,10592,2186,10544,2221,10494,2257,10442,2294,10388,2332,10332,2372,10273,2413,10213,2454,10152,2496,10088,2540,10022,2583,9955,2628,9887,2673,9817,2718,9745,2764,9672,2810,9598,2856,9522,2902,9445,2949,9367,2995,9288,3041,9208,3087,9126,3133,9044,3179,8961,3224,8878,3269,8793,3313,8708,3356,8622,3399,8536,3441,8449,3482,8362,3522,8274,3561,8186,3599m11006,1869l10999,1875,10992,1880,10984,1887,10970,1898m10766,2559l9998,3063,9455,3364,8881,3583,8016,3839m10786,3109l9713,3558,9020,3809,8409,3956,7576,4089m10790,3549l10754,3562,10714,3576,10672,3591,10627,3606,10579,3622,10529,3639,10475,3656,10419,3674,10361,3692,10299,3711,10235,3730,10168,3749,10098,3769,10026,3788,9952,3808,9874,3829,9794,3849,9712,3869,9627,3890,9539,3910,9449,3930,9357,3950,9262,3970,9164,3990,9065,4010,8963,4029,8858,4048,8751,4066,8642,4084,8530,4102,8416,4119,7772,4202,7223,4258,6840,4289,6696,4299m10996,3469l10988,3473,10988,3473,10972,3479e" filled="false" stroked="true" strokeweight="1.25pt" strokecolor="#f0535f">
              <v:path arrowok="t"/>
              <v:stroke dashstyle="solid"/>
            </v:shape>
            <v:shape style="position:absolute;left:6202;top:548;width:4394;height:3839" coordorigin="6202,548" coordsize="4394,3839" path="m7138,2351l6752,2649,7167,2664,7461,2698,7773,2778,8244,2930,8209,2986,8170,3043,8127,3100,8082,3157,8033,3214,7981,3271,7926,3328,7869,3384,7810,3438,7749,3492,7686,3545,7621,3595,7556,3644,7489,3691,7421,3736,7352,3778,7283,3818,7214,3855,6965,3979,6776,4057,6553,4124,6202,4211,6202,4387,6263,4383,6421,4371,6636,4347,6869,4311,7058,4274,7242,4233,8027,4042,8243,3877,8370,3730,8459,3518,8560,3158,9017,3158,8934,3006,10370,3006,10197,2932,9725,2815,8852,2632,8922,2618,8976,2585,8244,2585,8065,2516,7891,2468,7616,2420,7138,2351xm9017,3158l8560,3158,8559,3195,8572,3255,8613,3381,8694,3615,8738,3598,8800,3572,9156,3416,9017,3158xm10370,3006l8934,3006,9765,3504,10596,3170,10433,3033,10370,3006xm8186,548l8162,561,8085,671,7912,918,7727,1175,7618,1315,7584,1347,7566,1367,7558,1385,7553,1409,7581,1487,7643,1663,7711,1851,7758,1965,7786,2011,7845,2091,7983,2263,8244,2585,8976,2585,8993,2575,9061,2514,9121,2449,9170,2392,9203,2357,9220,2341,9248,2312,9285,2271,9330,2221,9369,2176,8741,2176,8744,2151,8746,2109,8747,2051,8745,1978,8739,1891,8727,1792,8709,1682,8683,1561,8660,1481,8629,1394,8593,1303,8553,1210,8510,1116,8465,1025,8421,937,8378,855,8338,781,8302,717,8273,664,8251,625,8238,602,8217,565,8202,548,8186,548xm10057,555l9262,555,9260,601,9251,670,9238,740,9227,789,9221,806,9209,843,9190,898,9166,968,9138,1050,9071,1243,8958,1568,8885,1778,8851,1875,8820,1962,8793,2037,8771,2099,8754,2144,8744,2171,8741,2176,9369,2176,9382,2161,9438,2095,9498,2022,9560,1945,9623,1865,9684,1783,9743,1700,9798,1618,9847,1538,9962,1332,10022,1160,10048,932,10057,555xe" filled="true" fillcolor="#d4e5f3" stroked="false">
              <v:path arrowok="t"/>
              <v:fill type="solid"/>
            </v:shape>
            <v:shape style="position:absolute;left:6202;top:548;width:4394;height:3839" coordorigin="6202,548" coordsize="4394,3839" path="m7138,2351l7616,2420,7891,2468,8065,2516,8244,2585,7983,2263,7845,2091,7786,2011,7711,1851,7643,1663,7581,1487,7553,1409,7558,1385,7566,1367,7584,1347,7618,1315,7727,1175,7912,918,8085,671,8162,561,8186,548,8202,548,8217,565,8238,602,8251,625,8273,664,8302,717,8338,781,8378,855,8421,937,8465,1025,8510,1116,8553,1210,8593,1303,8629,1394,8660,1481,8683,1561,8709,1682,8727,1792,8739,1891,8745,1978,8747,2051,8746,2109,8744,2151,8741,2176,8744,2171,8771,2099,8793,2037,8820,1962,8851,1875,8885,1778,8921,1675,8958,1568,8996,1458,9034,1349,9071,1243,9106,1143,9138,1050,9166,968,9190,898,9221,806,9238,740,9251,670,9260,601,9262,555,10057,555,10048,932,10022,1160,9962,1332,9847,1538,9798,1618,9743,1700,9684,1783,9623,1865,9560,1945,9498,2022,9438,2095,9382,2161,9330,2221,9285,2271,9220,2341,9203,2357,9170,2392,9121,2449,9061,2514,8993,2575,8922,2618,8852,2632,9725,2815,10197,2932,10433,3033,10596,3170,9765,3504,9318,3236,9082,3095,8980,3034,8934,3006,9156,3416,8925,3518,8800,3572,8738,3598,8694,3615,8613,3381,8572,3255,8559,3195,8560,3158,8459,3518,8370,3730,8243,3877,8027,4042,7529,4164,7242,4233,7058,4274,6869,4311,6636,4347,6421,4371,6263,4383,6202,4387,6202,4211,6553,4124,6776,4057,6965,3979,7214,3855,7283,3818,7352,3778,7421,3736,7489,3691,7556,3644,7621,3595,7686,3545,7749,3492,7810,3438,7869,3384,7926,3328,7981,3271,8033,3214,8082,3157,8127,3100,8170,3043,8209,2986,8244,2930,7773,2778,7461,2698,7167,2664,6752,2649,7138,2351xe" filled="false" stroked="true" strokeweight="1.25pt" strokecolor="#95aac4">
              <v:path arrowok="t"/>
              <v:stroke dashstyle="solid"/>
            </v:shape>
            <v:shape style="position:absolute;left:8214;top:2651;width:701;height:306" coordorigin="8215,2651" coordsize="701,306" path="m8565,2651l8472,2657,8388,2672,8317,2696,8262,2727,8215,2804,8227,2845,8317,2912,8388,2936,8472,2951,8565,2957,8658,2951,8742,2936,8812,2912,8867,2881,8915,2804,8903,2763,8812,2696,8742,2672,8658,2657,8565,2651xe" filled="true" fillcolor="#ffffff" stroked="false">
              <v:path arrowok="t"/>
              <v:fill type="solid"/>
            </v:shape>
            <v:shape style="position:absolute;left:8214;top:2651;width:701;height:306" coordorigin="8215,2651" coordsize="701,306" path="m8915,2804l8867,2881,8812,2912,8742,2936,8658,2951,8565,2957,8472,2951,8388,2936,8317,2912,8262,2881,8215,2804,8227,2763,8317,2696,8388,2672,8472,2657,8565,2651,8658,2657,8742,2672,8812,2696,8867,2727,8915,2804xe" filled="false" stroked="true" strokeweight="1.25pt" strokecolor="#95aac4">
              <v:path arrowok="t"/>
              <v:stroke dashstyle="solid"/>
            </v:shape>
            <v:shape style="position:absolute;left:6387;top:1776;width:4416;height:2526" coordorigin="6388,1777" coordsize="4416,2526" path="m7185,1777l6388,1777,6388,2313,7185,2313,7185,1777m9342,3727l8545,3727,8545,4263,9342,4263,9342,3727m10803,4044l9710,4044,9710,4302,10803,4302,10803,4044e" filled="true" fillcolor="#ffffff" stroked="false">
              <v:path arrowok="t"/>
              <v:fill type="solid"/>
            </v:shape>
            <v:shape style="position:absolute;left:-20;top:13615;width:2927;height:2957" coordorigin="-20,13615" coordsize="2927,2957" path="m7136,2206l7376,2552m8936,3712l8816,3326m10043,4086l9950,3832m7117,1129l7374,1375e" filled="false" stroked="true" strokeweight=".75pt" strokecolor="#231f20">
              <v:path arrowok="t"/>
              <v:stroke dashstyle="solid"/>
            </v:shape>
            <v:shape style="position:absolute;left:7887;top:229;width:3103;height:760" type="#_x0000_t202" filled="false" stroked="false">
              <v:textbox inset="0,0,0,0">
                <w:txbxContent>
                  <w:p>
                    <w:pPr>
                      <w:tabs>
                        <w:tab w:pos="474" w:val="left" w:leader="none"/>
                        <w:tab w:pos="2379" w:val="left" w:leader="none"/>
                        <w:tab w:pos="2904" w:val="left" w:leader="none"/>
                      </w:tabs>
                      <w:spacing w:line="158" w:lineRule="exact" w:before="0"/>
                      <w:ind w:left="0" w:right="0" w:firstLine="0"/>
                      <w:jc w:val="left"/>
                      <w:rPr>
                        <w:rFonts w:ascii="Helvetica"/>
                        <w:sz w:val="16"/>
                      </w:rPr>
                    </w:pPr>
                    <w:r>
                      <w:rPr>
                        <w:rFonts w:ascii="Helvetica"/>
                        <w:color w:val="231F20"/>
                        <w:sz w:val="16"/>
                      </w:rPr>
                      <w:t>120</w:t>
                      <w:tab/>
                      <w:t>100  90    80 </w:t>
                    </w:r>
                    <w:r>
                      <w:rPr>
                        <w:rFonts w:ascii="Helvetica"/>
                        <w:color w:val="231F20"/>
                        <w:spacing w:val="18"/>
                        <w:sz w:val="16"/>
                      </w:rPr>
                      <w:t> </w:t>
                    </w:r>
                    <w:r>
                      <w:rPr>
                        <w:rFonts w:ascii="Helvetica"/>
                        <w:color w:val="231F20"/>
                        <w:sz w:val="16"/>
                      </w:rPr>
                      <w:t>70  </w:t>
                    </w:r>
                    <w:r>
                      <w:rPr>
                        <w:rFonts w:ascii="Helvetica"/>
                        <w:color w:val="231F20"/>
                        <w:spacing w:val="39"/>
                        <w:sz w:val="16"/>
                      </w:rPr>
                      <w:t> </w:t>
                    </w:r>
                    <w:r>
                      <w:rPr>
                        <w:rFonts w:ascii="Helvetica"/>
                        <w:color w:val="231F20"/>
                        <w:sz w:val="16"/>
                      </w:rPr>
                      <w:t>60</w:t>
                      <w:tab/>
                      <w:t>50</w:t>
                      <w:tab/>
                      <w:t>40</w:t>
                    </w:r>
                  </w:p>
                  <w:p>
                    <w:pPr>
                      <w:spacing w:line="160" w:lineRule="exact" w:before="0"/>
                      <w:ind w:left="220" w:right="0" w:firstLine="0"/>
                      <w:jc w:val="left"/>
                      <w:rPr>
                        <w:rFonts w:ascii="Helvetica"/>
                        <w:sz w:val="16"/>
                      </w:rPr>
                    </w:pPr>
                    <w:r>
                      <w:rPr>
                        <w:rFonts w:ascii="Helvetica"/>
                        <w:color w:val="231F20"/>
                        <w:sz w:val="16"/>
                      </w:rPr>
                      <w:t>110</w:t>
                    </w:r>
                  </w:p>
                  <w:p>
                    <w:pPr>
                      <w:spacing w:line="240" w:lineRule="auto" w:before="3"/>
                      <w:rPr>
                        <w:rFonts w:ascii="Helvetica"/>
                        <w:sz w:val="22"/>
                      </w:rPr>
                    </w:pPr>
                  </w:p>
                  <w:p>
                    <w:pPr>
                      <w:spacing w:before="0"/>
                      <w:ind w:left="0" w:right="18" w:firstLine="0"/>
                      <w:jc w:val="right"/>
                      <w:rPr>
                        <w:rFonts w:ascii="Helvetica"/>
                        <w:sz w:val="16"/>
                      </w:rPr>
                    </w:pPr>
                    <w:r>
                      <w:rPr>
                        <w:rFonts w:ascii="Helvetica"/>
                        <w:color w:val="231F20"/>
                        <w:w w:val="95"/>
                        <w:sz w:val="16"/>
                      </w:rPr>
                      <w:t>35</w:t>
                    </w:r>
                  </w:p>
                </w:txbxContent>
              </v:textbox>
              <w10:wrap type="none"/>
            </v:shape>
            <v:shape style="position:absolute;left:7762;top:1288;width:77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Chronic respiratory</w:t>
                    </w:r>
                    <w:r>
                      <w:rPr>
                        <w:rFonts w:ascii="Helvetica"/>
                        <w:color w:val="231F20"/>
                        <w:w w:val="99"/>
                        <w:sz w:val="16"/>
                      </w:rPr>
                      <w:t> </w:t>
                    </w:r>
                    <w:r>
                      <w:rPr>
                        <w:rFonts w:ascii="Helvetica"/>
                        <w:color w:val="231F20"/>
                        <w:sz w:val="16"/>
                      </w:rPr>
                      <w:t>acidosis</w:t>
                    </w:r>
                  </w:p>
                </w:txbxContent>
              </v:textbox>
              <w10:wrap type="none"/>
            </v:shape>
            <v:shape style="position:absolute;left:9183;top:1092;width:705;height:365" type="#_x0000_t202" filled="false" stroked="false">
              <v:textbox inset="0,0,0,0">
                <w:txbxContent>
                  <w:p>
                    <w:pPr>
                      <w:spacing w:line="235" w:lineRule="auto" w:before="2"/>
                      <w:ind w:left="35" w:right="1" w:hanging="36"/>
                      <w:jc w:val="left"/>
                      <w:rPr>
                        <w:rFonts w:ascii="Helvetica"/>
                        <w:sz w:val="16"/>
                      </w:rPr>
                    </w:pPr>
                    <w:r>
                      <w:rPr>
                        <w:rFonts w:ascii="Helvetica"/>
                        <w:color w:val="231F20"/>
                        <w:sz w:val="16"/>
                      </w:rPr>
                      <w:t>Metabolic alkalosis</w:t>
                    </w:r>
                  </w:p>
                </w:txbxContent>
              </v:textbox>
              <w10:wrap type="none"/>
            </v:shape>
            <v:shape style="position:absolute;left:10792;top:1260;width:19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30</w:t>
                    </w:r>
                  </w:p>
                </w:txbxContent>
              </v:textbox>
              <w10:wrap type="none"/>
            </v:shape>
            <v:shape style="position:absolute;left:10792;top:1864;width:198;height:73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25</w:t>
                    </w:r>
                  </w:p>
                  <w:p>
                    <w:pPr>
                      <w:spacing w:line="240" w:lineRule="auto" w:before="0"/>
                      <w:rPr>
                        <w:rFonts w:ascii="Helvetica"/>
                        <w:sz w:val="18"/>
                      </w:rPr>
                    </w:pPr>
                  </w:p>
                  <w:p>
                    <w:pPr>
                      <w:spacing w:before="159"/>
                      <w:ind w:left="0" w:right="0" w:firstLine="0"/>
                      <w:jc w:val="left"/>
                      <w:rPr>
                        <w:rFonts w:ascii="Helvetica"/>
                        <w:sz w:val="16"/>
                      </w:rPr>
                    </w:pPr>
                    <w:r>
                      <w:rPr>
                        <w:rFonts w:ascii="Helvetica"/>
                        <w:color w:val="231F20"/>
                        <w:sz w:val="16"/>
                      </w:rPr>
                      <w:t>20</w:t>
                    </w:r>
                  </w:p>
                </w:txbxContent>
              </v:textbox>
              <w10:wrap type="none"/>
            </v:shape>
            <v:shape style="position:absolute;left:8309;top:2708;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9439;top:2852;width:77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Acute respiratory</w:t>
                    </w:r>
                    <w:r>
                      <w:rPr>
                        <w:rFonts w:ascii="Helvetica"/>
                        <w:color w:val="231F20"/>
                        <w:w w:val="99"/>
                        <w:sz w:val="16"/>
                      </w:rPr>
                      <w:t> </w:t>
                    </w:r>
                    <w:r>
                      <w:rPr>
                        <w:rFonts w:ascii="Helvetica"/>
                        <w:color w:val="231F20"/>
                        <w:sz w:val="16"/>
                      </w:rPr>
                      <w:t>alkalosis</w:t>
                    </w:r>
                  </w:p>
                </w:txbxContent>
              </v:textbox>
              <w10:wrap type="none"/>
            </v:shape>
            <v:shape style="position:absolute;left:10792;top:2990;width:198;height:620"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15</w:t>
                    </w:r>
                  </w:p>
                  <w:p>
                    <w:pPr>
                      <w:spacing w:line="240" w:lineRule="auto" w:before="9"/>
                      <w:rPr>
                        <w:rFonts w:ascii="Helvetica"/>
                        <w:sz w:val="21"/>
                      </w:rPr>
                    </w:pPr>
                  </w:p>
                  <w:p>
                    <w:pPr>
                      <w:spacing w:before="0"/>
                      <w:ind w:left="0" w:right="0" w:firstLine="0"/>
                      <w:jc w:val="left"/>
                      <w:rPr>
                        <w:rFonts w:ascii="Helvetica"/>
                        <w:sz w:val="16"/>
                      </w:rPr>
                    </w:pPr>
                    <w:r>
                      <w:rPr>
                        <w:rFonts w:ascii="Helvetica"/>
                        <w:color w:val="231F20"/>
                        <w:sz w:val="16"/>
                      </w:rPr>
                      <w:t>10</w:t>
                    </w:r>
                  </w:p>
                </w:txbxContent>
              </v:textbox>
              <w10:wrap type="none"/>
            </v:shape>
            <v:shape style="position:absolute;left:7467;top:3662;width:705;height:365" type="#_x0000_t202" filled="false" stroked="false">
              <v:textbox inset="0,0,0,0">
                <w:txbxContent>
                  <w:p>
                    <w:pPr>
                      <w:spacing w:line="235" w:lineRule="auto" w:before="2"/>
                      <w:ind w:left="53" w:right="1" w:hanging="54"/>
                      <w:jc w:val="left"/>
                      <w:rPr>
                        <w:rFonts w:ascii="Helvetica"/>
                        <w:sz w:val="16"/>
                      </w:rPr>
                    </w:pPr>
                    <w:r>
                      <w:rPr>
                        <w:rFonts w:ascii="Helvetica"/>
                        <w:color w:val="231F20"/>
                        <w:sz w:val="16"/>
                      </w:rPr>
                      <w:t>Metabolic acidosis</w:t>
                    </w:r>
                  </w:p>
                </w:txbxContent>
              </v:textbox>
              <w10:wrap type="none"/>
            </v:shape>
            <v:shape style="position:absolute;left:8564;top:3709;width:776;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Chronic respiratory</w:t>
                    </w:r>
                    <w:r>
                      <w:rPr>
                        <w:rFonts w:ascii="Helvetica"/>
                        <w:color w:val="231F20"/>
                        <w:w w:val="99"/>
                        <w:sz w:val="16"/>
                      </w:rPr>
                      <w:t> </w:t>
                    </w:r>
                    <w:r>
                      <w:rPr>
                        <w:rFonts w:ascii="Helvetica"/>
                        <w:color w:val="231F20"/>
                        <w:sz w:val="16"/>
                      </w:rPr>
                      <w:t>alkalosis</w:t>
                    </w:r>
                  </w:p>
                </w:txbxContent>
              </v:textbox>
              <w10:wrap type="none"/>
            </v:shape>
            <v:shape style="position:absolute;left:9756;top:4069;width:1028;height:227" type="#_x0000_t202" filled="false" stroked="false">
              <v:textbox inset="0,0,0,0">
                <w:txbxContent>
                  <w:p>
                    <w:pPr>
                      <w:spacing w:line="237" w:lineRule="auto" w:before="0"/>
                      <w:ind w:left="0" w:right="0" w:firstLine="0"/>
                      <w:jc w:val="left"/>
                      <w:rPr>
                        <w:rFonts w:ascii="Helvetica"/>
                        <w:sz w:val="16"/>
                      </w:rPr>
                    </w:pPr>
                    <w:r>
                      <w:rPr>
                        <w:rFonts w:ascii="Helvetica"/>
                        <w:color w:val="231F20"/>
                        <w:sz w:val="16"/>
                      </w:rPr>
                      <w:t>P</w:t>
                    </w:r>
                    <w:r>
                      <w:rPr>
                        <w:rFonts w:ascii="Helvetica"/>
                        <w:color w:val="231F20"/>
                        <w:sz w:val="16"/>
                        <w:vertAlign w:val="subscript"/>
                      </w:rPr>
                      <w:t>CO</w:t>
                    </w:r>
                    <w:r>
                      <w:rPr>
                        <w:rFonts w:ascii="Helvetica"/>
                        <w:color w:val="231F20"/>
                        <w:position w:val="-4"/>
                        <w:sz w:val="12"/>
                        <w:vertAlign w:val="baseline"/>
                      </w:rPr>
                      <w:t>2 </w:t>
                    </w:r>
                    <w:r>
                      <w:rPr>
                        <w:rFonts w:ascii="Helvetica"/>
                        <w:color w:val="231F20"/>
                        <w:sz w:val="16"/>
                        <w:vertAlign w:val="baseline"/>
                      </w:rPr>
                      <w:t>(mm Hg)</w:t>
                    </w:r>
                  </w:p>
                </w:txbxContent>
              </v:textbox>
              <w10:wrap type="none"/>
            </v:shape>
            <w10:wrap type="none"/>
          </v:group>
        </w:pict>
      </w:r>
      <w:r>
        <w:rPr>
          <w:rFonts w:ascii="Helvetica"/>
          <w:color w:val="231F20"/>
          <w:sz w:val="16"/>
        </w:rPr>
        <w:t>60</w:t>
      </w:r>
    </w:p>
    <w:p>
      <w:pPr>
        <w:spacing w:before="110"/>
        <w:ind w:left="1967" w:right="2221" w:firstLine="0"/>
        <w:jc w:val="center"/>
        <w:rPr>
          <w:rFonts w:ascii="Helvetica"/>
          <w:sz w:val="16"/>
        </w:rPr>
      </w:pPr>
      <w:r>
        <w:rPr>
          <w:rFonts w:ascii="Helvetica"/>
          <w:color w:val="231F20"/>
          <w:sz w:val="16"/>
        </w:rPr>
        <w:t>56</w:t>
      </w:r>
    </w:p>
    <w:p>
      <w:pPr>
        <w:spacing w:before="102"/>
        <w:ind w:left="1967" w:right="2221" w:firstLine="0"/>
        <w:jc w:val="center"/>
        <w:rPr>
          <w:rFonts w:ascii="Helvetica"/>
          <w:sz w:val="16"/>
        </w:rPr>
      </w:pPr>
      <w:r>
        <w:rPr>
          <w:rFonts w:ascii="Helvetica"/>
          <w:color w:val="231F20"/>
          <w:sz w:val="16"/>
        </w:rPr>
        <w:t>52</w:t>
      </w:r>
    </w:p>
    <w:p>
      <w:pPr>
        <w:spacing w:before="113"/>
        <w:ind w:left="1967" w:right="2221" w:firstLine="0"/>
        <w:jc w:val="center"/>
        <w:rPr>
          <w:rFonts w:ascii="Helvetica"/>
          <w:sz w:val="16"/>
        </w:rPr>
      </w:pPr>
      <w:r>
        <w:rPr/>
        <w:pict>
          <v:shape style="position:absolute;margin-left:278.381714pt;margin-top:11.685627pt;width:13.15pt;height:123.8pt;mso-position-horizontal-relative:page;mso-position-vertical-relative:paragraph;z-index:-272177152" type="#_x0000_t202" filled="false" stroked="false">
            <v:textbox inset="0,0,0,0" style="layout-flow:vertical;mso-layout-flow-alt:bottom-to-top">
              <w:txbxContent>
                <w:p>
                  <w:pPr>
                    <w:spacing w:line="70" w:lineRule="exact" w:before="23"/>
                    <w:ind w:left="0" w:right="711" w:firstLine="0"/>
                    <w:jc w:val="right"/>
                    <w:rPr>
                      <w:rFonts w:ascii="Helvetica" w:hAnsi="Helvetica"/>
                      <w:b/>
                      <w:sz w:val="12"/>
                    </w:rPr>
                  </w:pPr>
                  <w:r>
                    <w:rPr>
                      <w:rFonts w:ascii="Helvetica" w:hAnsi="Helvetica"/>
                      <w:b/>
                      <w:color w:val="231F20"/>
                      <w:w w:val="99"/>
                      <w:sz w:val="12"/>
                    </w:rPr>
                    <w:t>–</w:t>
                  </w:r>
                </w:p>
                <w:p>
                  <w:pPr>
                    <w:spacing w:line="129" w:lineRule="auto" w:before="0"/>
                    <w:ind w:left="20" w:right="0" w:firstLine="0"/>
                    <w:jc w:val="left"/>
                    <w:rPr>
                      <w:rFonts w:ascii="Helvetica"/>
                      <w:b/>
                      <w:sz w:val="16"/>
                    </w:rPr>
                  </w:pPr>
                  <w:r>
                    <w:rPr>
                      <w:rFonts w:ascii="Helvetica"/>
                      <w:b/>
                      <w:color w:val="231F20"/>
                      <w:sz w:val="16"/>
                    </w:rPr>
                    <w:t>Arterial plasma [HCO</w:t>
                  </w:r>
                  <w:r>
                    <w:rPr>
                      <w:rFonts w:ascii="Helvetica"/>
                      <w:b/>
                      <w:color w:val="231F20"/>
                      <w:position w:val="-3"/>
                      <w:sz w:val="12"/>
                    </w:rPr>
                    <w:t>3 </w:t>
                  </w:r>
                  <w:r>
                    <w:rPr>
                      <w:rFonts w:ascii="Helvetica"/>
                      <w:b/>
                      <w:color w:val="231F20"/>
                      <w:sz w:val="16"/>
                    </w:rPr>
                    <w:t>] (mEq/L)</w:t>
                  </w:r>
                </w:p>
              </w:txbxContent>
            </v:textbox>
            <w10:wrap type="none"/>
          </v:shape>
        </w:pict>
      </w:r>
      <w:r>
        <w:rPr>
          <w:rFonts w:ascii="Helvetica"/>
          <w:color w:val="231F20"/>
          <w:sz w:val="16"/>
        </w:rPr>
        <w:t>48</w:t>
      </w:r>
    </w:p>
    <w:p>
      <w:pPr>
        <w:spacing w:before="100"/>
        <w:ind w:left="1967" w:right="2221" w:firstLine="0"/>
        <w:jc w:val="center"/>
        <w:rPr>
          <w:rFonts w:ascii="Helvetica"/>
          <w:sz w:val="16"/>
        </w:rPr>
      </w:pPr>
      <w:r>
        <w:rPr/>
        <w:pict>
          <v:shape style="position:absolute;margin-left:578.900024pt;margin-top:9.273999pt;width:15.9pt;height:53.35pt;mso-position-horizontal-relative:page;mso-position-vertical-relative:paragraph;z-index:25322700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44</w:t>
      </w:r>
    </w:p>
    <w:p>
      <w:pPr>
        <w:spacing w:before="109"/>
        <w:ind w:left="1967" w:right="2221" w:firstLine="0"/>
        <w:jc w:val="center"/>
        <w:rPr>
          <w:rFonts w:ascii="Helvetica"/>
          <w:sz w:val="16"/>
        </w:rPr>
      </w:pPr>
      <w:r>
        <w:rPr>
          <w:rFonts w:ascii="Helvetica"/>
          <w:color w:val="231F20"/>
          <w:sz w:val="16"/>
        </w:rPr>
        <w:t>40</w:t>
      </w:r>
    </w:p>
    <w:p>
      <w:pPr>
        <w:spacing w:before="99"/>
        <w:ind w:left="1967" w:right="2221" w:firstLine="0"/>
        <w:jc w:val="center"/>
        <w:rPr>
          <w:rFonts w:ascii="Helvetica"/>
          <w:sz w:val="16"/>
        </w:rPr>
      </w:pPr>
      <w:r>
        <w:rPr>
          <w:rFonts w:ascii="Helvetica"/>
          <w:color w:val="231F20"/>
          <w:sz w:val="16"/>
        </w:rPr>
        <w:t>36</w:t>
      </w:r>
    </w:p>
    <w:p>
      <w:pPr>
        <w:spacing w:before="109"/>
        <w:ind w:left="1967" w:right="2221" w:firstLine="0"/>
        <w:jc w:val="center"/>
        <w:rPr>
          <w:rFonts w:ascii="Helvetica"/>
          <w:sz w:val="16"/>
        </w:rPr>
      </w:pPr>
      <w:r>
        <w:rPr>
          <w:rFonts w:ascii="Helvetica"/>
          <w:color w:val="231F20"/>
          <w:sz w:val="16"/>
        </w:rPr>
        <w:t>32</w:t>
      </w:r>
    </w:p>
    <w:p>
      <w:pPr>
        <w:spacing w:before="110"/>
        <w:ind w:left="1967" w:right="2221" w:firstLine="0"/>
        <w:jc w:val="center"/>
        <w:rPr>
          <w:rFonts w:ascii="Helvetica"/>
          <w:sz w:val="16"/>
        </w:rPr>
      </w:pPr>
      <w:r>
        <w:rPr>
          <w:rFonts w:ascii="Helvetica"/>
          <w:color w:val="231F20"/>
          <w:sz w:val="16"/>
        </w:rPr>
        <w:t>28</w:t>
      </w:r>
    </w:p>
    <w:p>
      <w:pPr>
        <w:spacing w:before="106"/>
        <w:ind w:left="1967" w:right="2221" w:firstLine="0"/>
        <w:jc w:val="center"/>
        <w:rPr>
          <w:rFonts w:ascii="Helvetica"/>
          <w:sz w:val="16"/>
        </w:rPr>
      </w:pPr>
      <w:r>
        <w:rPr/>
        <w:pict>
          <v:rect style="position:absolute;margin-left:576pt;margin-top:13.260694pt;width:36pt;height:24pt;mso-position-horizontal-relative:page;mso-position-vertical-relative:paragraph;z-index:253213696" filled="true" fillcolor="#e8dac8" stroked="false">
            <v:fill type="solid"/>
            <w10:wrap type="none"/>
          </v:rect>
        </w:pict>
      </w:r>
      <w:r>
        <w:rPr>
          <w:rFonts w:ascii="Helvetica"/>
          <w:color w:val="231F20"/>
          <w:sz w:val="16"/>
        </w:rPr>
        <w:t>24</w:t>
      </w:r>
    </w:p>
    <w:p>
      <w:pPr>
        <w:tabs>
          <w:tab w:pos="6080" w:val="right" w:leader="none"/>
        </w:tabs>
        <w:spacing w:line="285" w:lineRule="exact" w:before="106"/>
        <w:ind w:left="1440" w:right="0" w:firstLine="0"/>
        <w:jc w:val="left"/>
        <w:rPr>
          <w:rFonts w:ascii="Helvetica" w:hAnsi="Helvetica"/>
          <w:sz w:val="16"/>
        </w:rPr>
      </w:pPr>
      <w:bookmarkStart w:name="_bookmark114" w:id="115"/>
      <w:bookmarkEnd w:id="115"/>
      <w:r>
        <w:rPr/>
      </w:r>
      <w:r>
        <w:rPr>
          <w:rFonts w:ascii="Trebuchet MS" w:hAnsi="Trebuchet MS"/>
          <w:b/>
          <w:color w:val="231F20"/>
          <w:sz w:val="16"/>
        </w:rPr>
        <w:t>Figure  31-11.  </w:t>
      </w:r>
      <w:r>
        <w:rPr>
          <w:rFonts w:ascii="Arial" w:hAnsi="Arial"/>
          <w:color w:val="231F20"/>
          <w:sz w:val="16"/>
        </w:rPr>
        <w:t>Acid­base  nomogram</w:t>
      </w:r>
      <w:r>
        <w:rPr>
          <w:rFonts w:ascii="Arial" w:hAnsi="Arial"/>
          <w:color w:val="231F20"/>
          <w:spacing w:val="15"/>
          <w:sz w:val="16"/>
        </w:rPr>
        <w:t> </w:t>
      </w:r>
      <w:r>
        <w:rPr>
          <w:rFonts w:ascii="Arial" w:hAnsi="Arial"/>
          <w:color w:val="231F20"/>
          <w:sz w:val="16"/>
        </w:rPr>
        <w:t>showing </w:t>
      </w:r>
      <w:r>
        <w:rPr>
          <w:rFonts w:ascii="Arial" w:hAnsi="Arial"/>
          <w:color w:val="231F20"/>
          <w:spacing w:val="1"/>
          <w:sz w:val="16"/>
        </w:rPr>
        <w:t> </w:t>
      </w:r>
      <w:r>
        <w:rPr>
          <w:rFonts w:ascii="Arial" w:hAnsi="Arial"/>
          <w:color w:val="231F20"/>
          <w:sz w:val="16"/>
        </w:rPr>
        <w:t>arterial</w:t>
        <w:tab/>
      </w:r>
      <w:r>
        <w:rPr>
          <w:rFonts w:ascii="Helvetica" w:hAnsi="Helvetica"/>
          <w:color w:val="231F20"/>
          <w:position w:val="10"/>
          <w:sz w:val="16"/>
        </w:rPr>
        <w:t>20</w:t>
      </w:r>
    </w:p>
    <w:p>
      <w:pPr>
        <w:tabs>
          <w:tab w:pos="6080" w:val="right" w:leader="none"/>
        </w:tabs>
        <w:spacing w:line="102" w:lineRule="exact" w:before="0"/>
        <w:ind w:left="1440" w:right="0" w:firstLine="0"/>
        <w:jc w:val="left"/>
        <w:rPr>
          <w:rFonts w:ascii="Helvetica" w:hAnsi="Helvetica"/>
          <w:sz w:val="16"/>
        </w:rPr>
      </w:pPr>
      <w:r>
        <w:rPr>
          <w:rFonts w:ascii="Arial" w:hAnsi="Arial"/>
          <w:color w:val="231F20"/>
          <w:sz w:val="16"/>
        </w:rPr>
        <w:t>blood pH, arterial plasma HCO </w:t>
      </w:r>
      <w:r>
        <w:rPr>
          <w:rFonts w:ascii="Consolas" w:hAnsi="Consolas"/>
          <w:color w:val="231F20"/>
          <w:position w:val="6"/>
          <w:sz w:val="9"/>
        </w:rPr>
        <w:t>−</w:t>
      </w:r>
      <w:r>
        <w:rPr>
          <w:rFonts w:ascii="Arial" w:hAnsi="Arial"/>
          <w:color w:val="231F20"/>
          <w:sz w:val="16"/>
        </w:rPr>
        <w:t>, and </w:t>
      </w:r>
      <w:r>
        <w:rPr>
          <w:rFonts w:ascii="Arial" w:hAnsi="Arial"/>
          <w:color w:val="231F20"/>
          <w:spacing w:val="17"/>
          <w:sz w:val="16"/>
        </w:rPr>
        <w:t> </w:t>
      </w:r>
      <w:r>
        <w:rPr>
          <w:rFonts w:ascii="Arial" w:hAnsi="Arial"/>
          <w:color w:val="231F20"/>
          <w:sz w:val="16"/>
        </w:rPr>
        <w:t>P</w:t>
      </w:r>
      <w:r>
        <w:rPr>
          <w:rFonts w:ascii="Arial" w:hAnsi="Arial"/>
          <w:color w:val="231F20"/>
          <w:sz w:val="13"/>
        </w:rPr>
        <w:t>CO   </w:t>
      </w:r>
      <w:r>
        <w:rPr>
          <w:rFonts w:ascii="Arial" w:hAnsi="Arial"/>
          <w:color w:val="231F20"/>
          <w:sz w:val="16"/>
        </w:rPr>
        <w:t>values.</w:t>
      </w:r>
      <w:r>
        <w:rPr>
          <w:rFonts w:ascii="Arial" w:hAnsi="Arial"/>
          <w:color w:val="231F20"/>
          <w:spacing w:val="11"/>
          <w:sz w:val="16"/>
        </w:rPr>
        <w:t> </w:t>
      </w:r>
      <w:r>
        <w:rPr>
          <w:rFonts w:ascii="Arial" w:hAnsi="Arial"/>
          <w:color w:val="231F20"/>
          <w:sz w:val="16"/>
        </w:rPr>
        <w:t>The</w:t>
        <w:tab/>
      </w:r>
      <w:r>
        <w:rPr>
          <w:rFonts w:ascii="Helvetica" w:hAnsi="Helvetica"/>
          <w:color w:val="231F20"/>
          <w:position w:val="2"/>
          <w:sz w:val="16"/>
        </w:rPr>
        <w:t>16</w:t>
      </w:r>
    </w:p>
    <w:p>
      <w:pPr>
        <w:tabs>
          <w:tab w:pos="4425" w:val="left" w:leader="none"/>
        </w:tabs>
        <w:spacing w:before="3"/>
        <w:ind w:left="3623" w:right="0" w:firstLine="0"/>
        <w:jc w:val="left"/>
        <w:rPr>
          <w:rFonts w:ascii="Arial"/>
          <w:sz w:val="9"/>
        </w:rPr>
      </w:pPr>
      <w:r>
        <w:rPr>
          <w:rFonts w:ascii="Arial"/>
          <w:color w:val="231F20"/>
          <w:w w:val="105"/>
          <w:sz w:val="9"/>
        </w:rPr>
        <w:t>3</w:t>
        <w:tab/>
        <w:t>2</w:t>
      </w:r>
    </w:p>
    <w:p>
      <w:pPr>
        <w:spacing w:after="0"/>
        <w:jc w:val="left"/>
        <w:rPr>
          <w:rFonts w:ascii="Arial"/>
          <w:sz w:val="9"/>
        </w:rPr>
        <w:sectPr>
          <w:headerReference w:type="even" r:id="rId1025"/>
          <w:pgSz w:w="12240" w:h="15660"/>
          <w:pgMar w:header="0" w:footer="567" w:top="0" w:bottom="760" w:left="0" w:right="0"/>
        </w:sectPr>
      </w:pPr>
    </w:p>
    <w:p>
      <w:pPr>
        <w:spacing w:line="259" w:lineRule="auto" w:before="7"/>
        <w:ind w:left="1440" w:right="0" w:firstLine="0"/>
        <w:jc w:val="both"/>
        <w:rPr>
          <w:rFonts w:ascii="Lucida Sans" w:hAnsi="Lucida Sans"/>
          <w:i/>
          <w:sz w:val="16"/>
        </w:rPr>
      </w:pPr>
      <w:r>
        <w:rPr>
          <w:rFonts w:ascii="Arial" w:hAnsi="Arial"/>
          <w:color w:val="231F20"/>
          <w:sz w:val="16"/>
        </w:rPr>
        <w:t>central</w:t>
      </w:r>
      <w:r>
        <w:rPr>
          <w:rFonts w:ascii="Arial" w:hAnsi="Arial"/>
          <w:color w:val="231F20"/>
          <w:spacing w:val="-17"/>
          <w:sz w:val="16"/>
        </w:rPr>
        <w:t> </w:t>
      </w:r>
      <w:r>
        <w:rPr>
          <w:rFonts w:ascii="Arial" w:hAnsi="Arial"/>
          <w:color w:val="231F20"/>
          <w:sz w:val="16"/>
        </w:rPr>
        <w:t>open</w:t>
      </w:r>
      <w:r>
        <w:rPr>
          <w:rFonts w:ascii="Arial" w:hAnsi="Arial"/>
          <w:color w:val="231F20"/>
          <w:spacing w:val="-16"/>
          <w:sz w:val="16"/>
        </w:rPr>
        <w:t> </w:t>
      </w:r>
      <w:r>
        <w:rPr>
          <w:rFonts w:ascii="Arial" w:hAnsi="Arial"/>
          <w:color w:val="231F20"/>
          <w:sz w:val="16"/>
        </w:rPr>
        <w:t>circle</w:t>
      </w:r>
      <w:r>
        <w:rPr>
          <w:rFonts w:ascii="Arial" w:hAnsi="Arial"/>
          <w:color w:val="231F20"/>
          <w:spacing w:val="-17"/>
          <w:sz w:val="16"/>
        </w:rPr>
        <w:t> </w:t>
      </w:r>
      <w:r>
        <w:rPr>
          <w:rFonts w:ascii="Arial" w:hAnsi="Arial"/>
          <w:color w:val="231F20"/>
          <w:sz w:val="16"/>
        </w:rPr>
        <w:t>shows</w:t>
      </w:r>
      <w:r>
        <w:rPr>
          <w:rFonts w:ascii="Arial" w:hAnsi="Arial"/>
          <w:color w:val="231F20"/>
          <w:spacing w:val="-16"/>
          <w:sz w:val="16"/>
        </w:rPr>
        <w:t> </w:t>
      </w:r>
      <w:r>
        <w:rPr>
          <w:rFonts w:ascii="Arial" w:hAnsi="Arial"/>
          <w:color w:val="231F20"/>
          <w:sz w:val="16"/>
        </w:rPr>
        <w:t>the</w:t>
      </w:r>
      <w:r>
        <w:rPr>
          <w:rFonts w:ascii="Arial" w:hAnsi="Arial"/>
          <w:color w:val="231F20"/>
          <w:spacing w:val="-16"/>
          <w:sz w:val="16"/>
        </w:rPr>
        <w:t> </w:t>
      </w:r>
      <w:r>
        <w:rPr>
          <w:rFonts w:ascii="Arial" w:hAnsi="Arial"/>
          <w:color w:val="231F20"/>
          <w:sz w:val="16"/>
        </w:rPr>
        <w:t>approximate</w:t>
      </w:r>
      <w:r>
        <w:rPr>
          <w:rFonts w:ascii="Arial" w:hAnsi="Arial"/>
          <w:color w:val="231F20"/>
          <w:spacing w:val="-17"/>
          <w:sz w:val="16"/>
        </w:rPr>
        <w:t> </w:t>
      </w:r>
      <w:r>
        <w:rPr>
          <w:rFonts w:ascii="Arial" w:hAnsi="Arial"/>
          <w:color w:val="231F20"/>
          <w:sz w:val="16"/>
        </w:rPr>
        <w:t>limits</w:t>
      </w:r>
      <w:r>
        <w:rPr>
          <w:rFonts w:ascii="Arial" w:hAnsi="Arial"/>
          <w:color w:val="231F20"/>
          <w:spacing w:val="-16"/>
          <w:sz w:val="16"/>
        </w:rPr>
        <w:t> </w:t>
      </w:r>
      <w:r>
        <w:rPr>
          <w:rFonts w:ascii="Arial" w:hAnsi="Arial"/>
          <w:color w:val="231F20"/>
          <w:sz w:val="16"/>
        </w:rPr>
        <w:t>for</w:t>
      </w:r>
      <w:r>
        <w:rPr>
          <w:rFonts w:ascii="Arial" w:hAnsi="Arial"/>
          <w:color w:val="231F20"/>
          <w:spacing w:val="-16"/>
          <w:sz w:val="16"/>
        </w:rPr>
        <w:t> </w:t>
      </w:r>
      <w:r>
        <w:rPr>
          <w:rFonts w:ascii="Arial" w:hAnsi="Arial"/>
          <w:color w:val="231F20"/>
          <w:spacing w:val="-3"/>
          <w:sz w:val="16"/>
        </w:rPr>
        <w:t>acid­ </w:t>
      </w:r>
      <w:r>
        <w:rPr>
          <w:rFonts w:ascii="Arial" w:hAnsi="Arial"/>
          <w:color w:val="231F20"/>
          <w:sz w:val="16"/>
        </w:rPr>
        <w:t>base status in normal people. The shaded areas in </w:t>
      </w:r>
      <w:r>
        <w:rPr>
          <w:rFonts w:ascii="Arial" w:hAnsi="Arial"/>
          <w:color w:val="231F20"/>
          <w:spacing w:val="-5"/>
          <w:sz w:val="16"/>
        </w:rPr>
        <w:t>the </w:t>
      </w:r>
      <w:r>
        <w:rPr>
          <w:rFonts w:ascii="Arial" w:hAnsi="Arial"/>
          <w:color w:val="231F20"/>
          <w:sz w:val="16"/>
        </w:rPr>
        <w:t>nomogram show the approximate limits for the </w:t>
      </w:r>
      <w:r>
        <w:rPr>
          <w:rFonts w:ascii="Arial" w:hAnsi="Arial"/>
          <w:color w:val="231F20"/>
          <w:spacing w:val="-3"/>
          <w:sz w:val="16"/>
        </w:rPr>
        <w:t>normal </w:t>
      </w:r>
      <w:r>
        <w:rPr>
          <w:rFonts w:ascii="Arial" w:hAnsi="Arial"/>
          <w:color w:val="231F20"/>
          <w:sz w:val="16"/>
        </w:rPr>
        <w:t>compensations</w:t>
      </w:r>
      <w:r>
        <w:rPr>
          <w:rFonts w:ascii="Arial" w:hAnsi="Arial"/>
          <w:color w:val="231F20"/>
          <w:spacing w:val="-14"/>
          <w:sz w:val="16"/>
        </w:rPr>
        <w:t> </w:t>
      </w:r>
      <w:r>
        <w:rPr>
          <w:rFonts w:ascii="Arial" w:hAnsi="Arial"/>
          <w:color w:val="231F20"/>
          <w:sz w:val="16"/>
        </w:rPr>
        <w:t>caused</w:t>
      </w:r>
      <w:r>
        <w:rPr>
          <w:rFonts w:ascii="Arial" w:hAnsi="Arial"/>
          <w:color w:val="231F20"/>
          <w:spacing w:val="-14"/>
          <w:sz w:val="16"/>
        </w:rPr>
        <w:t> </w:t>
      </w:r>
      <w:r>
        <w:rPr>
          <w:rFonts w:ascii="Arial" w:hAnsi="Arial"/>
          <w:color w:val="231F20"/>
          <w:sz w:val="16"/>
        </w:rPr>
        <w:t>by</w:t>
      </w:r>
      <w:r>
        <w:rPr>
          <w:rFonts w:ascii="Arial" w:hAnsi="Arial"/>
          <w:color w:val="231F20"/>
          <w:spacing w:val="-14"/>
          <w:sz w:val="16"/>
        </w:rPr>
        <w:t> </w:t>
      </w:r>
      <w:r>
        <w:rPr>
          <w:rFonts w:ascii="Arial" w:hAnsi="Arial"/>
          <w:color w:val="231F20"/>
          <w:sz w:val="16"/>
        </w:rPr>
        <w:t>simple</w:t>
      </w:r>
      <w:r>
        <w:rPr>
          <w:rFonts w:ascii="Arial" w:hAnsi="Arial"/>
          <w:color w:val="231F20"/>
          <w:spacing w:val="-14"/>
          <w:sz w:val="16"/>
        </w:rPr>
        <w:t> </w:t>
      </w:r>
      <w:r>
        <w:rPr>
          <w:rFonts w:ascii="Arial" w:hAnsi="Arial"/>
          <w:color w:val="231F20"/>
          <w:sz w:val="16"/>
        </w:rPr>
        <w:t>metabolic</w:t>
      </w:r>
      <w:r>
        <w:rPr>
          <w:rFonts w:ascii="Arial" w:hAnsi="Arial"/>
          <w:color w:val="231F20"/>
          <w:spacing w:val="-14"/>
          <w:sz w:val="16"/>
        </w:rPr>
        <w:t> </w:t>
      </w:r>
      <w:r>
        <w:rPr>
          <w:rFonts w:ascii="Arial" w:hAnsi="Arial"/>
          <w:color w:val="231F20"/>
          <w:sz w:val="16"/>
        </w:rPr>
        <w:t>and</w:t>
      </w:r>
      <w:r>
        <w:rPr>
          <w:rFonts w:ascii="Arial" w:hAnsi="Arial"/>
          <w:color w:val="231F20"/>
          <w:spacing w:val="-14"/>
          <w:sz w:val="16"/>
        </w:rPr>
        <w:t> </w:t>
      </w:r>
      <w:r>
        <w:rPr>
          <w:rFonts w:ascii="Arial" w:hAnsi="Arial"/>
          <w:color w:val="231F20"/>
          <w:spacing w:val="-3"/>
          <w:sz w:val="16"/>
        </w:rPr>
        <w:t>respira­ </w:t>
      </w:r>
      <w:r>
        <w:rPr>
          <w:rFonts w:ascii="Arial" w:hAnsi="Arial"/>
          <w:color w:val="231F20"/>
          <w:sz w:val="16"/>
        </w:rPr>
        <w:t>tory</w:t>
      </w:r>
      <w:r>
        <w:rPr>
          <w:rFonts w:ascii="Arial" w:hAnsi="Arial"/>
          <w:color w:val="231F20"/>
          <w:spacing w:val="-21"/>
          <w:sz w:val="16"/>
        </w:rPr>
        <w:t> </w:t>
      </w:r>
      <w:r>
        <w:rPr>
          <w:rFonts w:ascii="Arial" w:hAnsi="Arial"/>
          <w:color w:val="231F20"/>
          <w:sz w:val="16"/>
        </w:rPr>
        <w:t>disorders.</w:t>
      </w:r>
      <w:r>
        <w:rPr>
          <w:rFonts w:ascii="Arial" w:hAnsi="Arial"/>
          <w:color w:val="231F20"/>
          <w:spacing w:val="-20"/>
          <w:sz w:val="16"/>
        </w:rPr>
        <w:t> </w:t>
      </w:r>
      <w:r>
        <w:rPr>
          <w:rFonts w:ascii="Arial" w:hAnsi="Arial"/>
          <w:color w:val="231F20"/>
          <w:sz w:val="16"/>
        </w:rPr>
        <w:t>For</w:t>
      </w:r>
      <w:r>
        <w:rPr>
          <w:rFonts w:ascii="Arial" w:hAnsi="Arial"/>
          <w:color w:val="231F20"/>
          <w:spacing w:val="-21"/>
          <w:sz w:val="16"/>
        </w:rPr>
        <w:t> </w:t>
      </w:r>
      <w:r>
        <w:rPr>
          <w:rFonts w:ascii="Arial" w:hAnsi="Arial"/>
          <w:color w:val="231F20"/>
          <w:sz w:val="16"/>
        </w:rPr>
        <w:t>values</w:t>
      </w:r>
      <w:r>
        <w:rPr>
          <w:rFonts w:ascii="Arial" w:hAnsi="Arial"/>
          <w:color w:val="231F20"/>
          <w:spacing w:val="-20"/>
          <w:sz w:val="16"/>
        </w:rPr>
        <w:t> </w:t>
      </w:r>
      <w:r>
        <w:rPr>
          <w:rFonts w:ascii="Arial" w:hAnsi="Arial"/>
          <w:color w:val="231F20"/>
          <w:sz w:val="16"/>
        </w:rPr>
        <w:t>lying</w:t>
      </w:r>
      <w:r>
        <w:rPr>
          <w:rFonts w:ascii="Arial" w:hAnsi="Arial"/>
          <w:color w:val="231F20"/>
          <w:spacing w:val="-21"/>
          <w:sz w:val="16"/>
        </w:rPr>
        <w:t> </w:t>
      </w:r>
      <w:r>
        <w:rPr>
          <w:rFonts w:ascii="Arial" w:hAnsi="Arial"/>
          <w:color w:val="231F20"/>
          <w:sz w:val="16"/>
        </w:rPr>
        <w:t>outside</w:t>
      </w:r>
      <w:r>
        <w:rPr>
          <w:rFonts w:ascii="Arial" w:hAnsi="Arial"/>
          <w:color w:val="231F20"/>
          <w:spacing w:val="-20"/>
          <w:sz w:val="16"/>
        </w:rPr>
        <w:t> </w:t>
      </w:r>
      <w:r>
        <w:rPr>
          <w:rFonts w:ascii="Arial" w:hAnsi="Arial"/>
          <w:color w:val="231F20"/>
          <w:sz w:val="16"/>
        </w:rPr>
        <w:t>the</w:t>
      </w:r>
      <w:r>
        <w:rPr>
          <w:rFonts w:ascii="Arial" w:hAnsi="Arial"/>
          <w:color w:val="231F20"/>
          <w:spacing w:val="-20"/>
          <w:sz w:val="16"/>
        </w:rPr>
        <w:t> </w:t>
      </w:r>
      <w:r>
        <w:rPr>
          <w:rFonts w:ascii="Arial" w:hAnsi="Arial"/>
          <w:color w:val="231F20"/>
          <w:sz w:val="16"/>
        </w:rPr>
        <w:t>shaded</w:t>
      </w:r>
      <w:r>
        <w:rPr>
          <w:rFonts w:ascii="Arial" w:hAnsi="Arial"/>
          <w:color w:val="231F20"/>
          <w:spacing w:val="-21"/>
          <w:sz w:val="16"/>
        </w:rPr>
        <w:t> </w:t>
      </w:r>
      <w:r>
        <w:rPr>
          <w:rFonts w:ascii="Arial" w:hAnsi="Arial"/>
          <w:color w:val="231F20"/>
          <w:spacing w:val="-4"/>
          <w:sz w:val="16"/>
        </w:rPr>
        <w:t>areas, </w:t>
      </w:r>
      <w:r>
        <w:rPr>
          <w:rFonts w:ascii="Arial" w:hAnsi="Arial"/>
          <w:color w:val="231F20"/>
          <w:w w:val="95"/>
          <w:sz w:val="16"/>
        </w:rPr>
        <w:t>one</w:t>
      </w:r>
      <w:r>
        <w:rPr>
          <w:rFonts w:ascii="Arial" w:hAnsi="Arial"/>
          <w:color w:val="231F20"/>
          <w:spacing w:val="-10"/>
          <w:w w:val="95"/>
          <w:sz w:val="16"/>
        </w:rPr>
        <w:t> </w:t>
      </w:r>
      <w:r>
        <w:rPr>
          <w:rFonts w:ascii="Arial" w:hAnsi="Arial"/>
          <w:color w:val="231F20"/>
          <w:w w:val="95"/>
          <w:sz w:val="16"/>
        </w:rPr>
        <w:t>should</w:t>
      </w:r>
      <w:r>
        <w:rPr>
          <w:rFonts w:ascii="Arial" w:hAnsi="Arial"/>
          <w:color w:val="231F20"/>
          <w:spacing w:val="-9"/>
          <w:w w:val="95"/>
          <w:sz w:val="16"/>
        </w:rPr>
        <w:t> </w:t>
      </w:r>
      <w:r>
        <w:rPr>
          <w:rFonts w:ascii="Arial" w:hAnsi="Arial"/>
          <w:color w:val="231F20"/>
          <w:w w:val="95"/>
          <w:sz w:val="16"/>
        </w:rPr>
        <w:t>suspect</w:t>
      </w:r>
      <w:r>
        <w:rPr>
          <w:rFonts w:ascii="Arial" w:hAnsi="Arial"/>
          <w:color w:val="231F20"/>
          <w:spacing w:val="-9"/>
          <w:w w:val="95"/>
          <w:sz w:val="16"/>
        </w:rPr>
        <w:t> </w:t>
      </w:r>
      <w:r>
        <w:rPr>
          <w:rFonts w:ascii="Arial" w:hAnsi="Arial"/>
          <w:color w:val="231F20"/>
          <w:w w:val="95"/>
          <w:sz w:val="16"/>
        </w:rPr>
        <w:t>a</w:t>
      </w:r>
      <w:r>
        <w:rPr>
          <w:rFonts w:ascii="Arial" w:hAnsi="Arial"/>
          <w:color w:val="231F20"/>
          <w:spacing w:val="-9"/>
          <w:w w:val="95"/>
          <w:sz w:val="16"/>
        </w:rPr>
        <w:t> </w:t>
      </w:r>
      <w:r>
        <w:rPr>
          <w:rFonts w:ascii="Arial" w:hAnsi="Arial"/>
          <w:color w:val="231F20"/>
          <w:w w:val="95"/>
          <w:sz w:val="16"/>
        </w:rPr>
        <w:t>mixed</w:t>
      </w:r>
      <w:r>
        <w:rPr>
          <w:rFonts w:ascii="Arial" w:hAnsi="Arial"/>
          <w:color w:val="231F20"/>
          <w:spacing w:val="-9"/>
          <w:w w:val="95"/>
          <w:sz w:val="16"/>
        </w:rPr>
        <w:t> </w:t>
      </w:r>
      <w:r>
        <w:rPr>
          <w:rFonts w:ascii="Arial" w:hAnsi="Arial"/>
          <w:color w:val="231F20"/>
          <w:w w:val="95"/>
          <w:sz w:val="16"/>
        </w:rPr>
        <w:t>acid­base</w:t>
      </w:r>
      <w:r>
        <w:rPr>
          <w:rFonts w:ascii="Arial" w:hAnsi="Arial"/>
          <w:color w:val="231F20"/>
          <w:spacing w:val="-9"/>
          <w:w w:val="95"/>
          <w:sz w:val="16"/>
        </w:rPr>
        <w:t> </w:t>
      </w:r>
      <w:r>
        <w:rPr>
          <w:rFonts w:ascii="Arial" w:hAnsi="Arial"/>
          <w:color w:val="231F20"/>
          <w:w w:val="95"/>
          <w:sz w:val="16"/>
        </w:rPr>
        <w:t>disorder.</w:t>
      </w:r>
      <w:r>
        <w:rPr>
          <w:rFonts w:ascii="Arial" w:hAnsi="Arial"/>
          <w:color w:val="231F20"/>
          <w:spacing w:val="-9"/>
          <w:w w:val="95"/>
          <w:sz w:val="16"/>
        </w:rPr>
        <w:t> </w:t>
      </w:r>
      <w:r>
        <w:rPr>
          <w:rFonts w:ascii="Lucida Sans" w:hAnsi="Lucida Sans"/>
          <w:i/>
          <w:color w:val="231F20"/>
          <w:w w:val="95"/>
          <w:sz w:val="16"/>
        </w:rPr>
        <w:t>(Modified </w:t>
      </w:r>
      <w:r>
        <w:rPr>
          <w:rFonts w:ascii="Lucida Sans" w:hAnsi="Lucida Sans"/>
          <w:i/>
          <w:color w:val="231F20"/>
          <w:w w:val="95"/>
          <w:sz w:val="16"/>
        </w:rPr>
        <w:t>from</w:t>
      </w:r>
      <w:r>
        <w:rPr>
          <w:rFonts w:ascii="Lucida Sans" w:hAnsi="Lucida Sans"/>
          <w:i/>
          <w:color w:val="231F20"/>
          <w:spacing w:val="-31"/>
          <w:w w:val="95"/>
          <w:sz w:val="16"/>
        </w:rPr>
        <w:t> </w:t>
      </w:r>
      <w:r>
        <w:rPr>
          <w:rFonts w:ascii="Lucida Sans" w:hAnsi="Lucida Sans"/>
          <w:i/>
          <w:color w:val="231F20"/>
          <w:w w:val="95"/>
          <w:sz w:val="16"/>
        </w:rPr>
        <w:t>Cogan</w:t>
      </w:r>
      <w:r>
        <w:rPr>
          <w:rFonts w:ascii="Lucida Sans" w:hAnsi="Lucida Sans"/>
          <w:i/>
          <w:color w:val="231F20"/>
          <w:spacing w:val="-30"/>
          <w:w w:val="95"/>
          <w:sz w:val="16"/>
        </w:rPr>
        <w:t> </w:t>
      </w:r>
      <w:r>
        <w:rPr>
          <w:rFonts w:ascii="Lucida Sans" w:hAnsi="Lucida Sans"/>
          <w:i/>
          <w:color w:val="231F20"/>
          <w:w w:val="95"/>
          <w:sz w:val="16"/>
        </w:rPr>
        <w:t>MG,</w:t>
      </w:r>
      <w:r>
        <w:rPr>
          <w:rFonts w:ascii="Lucida Sans" w:hAnsi="Lucida Sans"/>
          <w:i/>
          <w:color w:val="231F20"/>
          <w:spacing w:val="-30"/>
          <w:w w:val="95"/>
          <w:sz w:val="16"/>
        </w:rPr>
        <w:t> </w:t>
      </w:r>
      <w:r>
        <w:rPr>
          <w:rFonts w:ascii="Lucida Sans" w:hAnsi="Lucida Sans"/>
          <w:i/>
          <w:color w:val="231F20"/>
          <w:w w:val="95"/>
          <w:sz w:val="16"/>
        </w:rPr>
        <w:t>Rector</w:t>
      </w:r>
      <w:r>
        <w:rPr>
          <w:rFonts w:ascii="Lucida Sans" w:hAnsi="Lucida Sans"/>
          <w:i/>
          <w:color w:val="231F20"/>
          <w:spacing w:val="-30"/>
          <w:w w:val="95"/>
          <w:sz w:val="16"/>
        </w:rPr>
        <w:t> </w:t>
      </w:r>
      <w:r>
        <w:rPr>
          <w:rFonts w:ascii="Lucida Sans" w:hAnsi="Lucida Sans"/>
          <w:i/>
          <w:color w:val="231F20"/>
          <w:w w:val="95"/>
          <w:sz w:val="16"/>
        </w:rPr>
        <w:t>FC</w:t>
      </w:r>
      <w:r>
        <w:rPr>
          <w:rFonts w:ascii="Lucida Sans" w:hAnsi="Lucida Sans"/>
          <w:i/>
          <w:color w:val="231F20"/>
          <w:spacing w:val="-30"/>
          <w:w w:val="95"/>
          <w:sz w:val="16"/>
        </w:rPr>
        <w:t> </w:t>
      </w:r>
      <w:r>
        <w:rPr>
          <w:rFonts w:ascii="Lucida Sans" w:hAnsi="Lucida Sans"/>
          <w:i/>
          <w:color w:val="231F20"/>
          <w:w w:val="95"/>
          <w:sz w:val="16"/>
        </w:rPr>
        <w:t>Jr:</w:t>
      </w:r>
      <w:r>
        <w:rPr>
          <w:rFonts w:ascii="Lucida Sans" w:hAnsi="Lucida Sans"/>
          <w:i/>
          <w:color w:val="231F20"/>
          <w:spacing w:val="-30"/>
          <w:w w:val="95"/>
          <w:sz w:val="16"/>
        </w:rPr>
        <w:t> </w:t>
      </w:r>
      <w:r>
        <w:rPr>
          <w:rFonts w:ascii="Lucida Sans" w:hAnsi="Lucida Sans"/>
          <w:i/>
          <w:color w:val="231F20"/>
          <w:w w:val="95"/>
          <w:sz w:val="16"/>
        </w:rPr>
        <w:t>Acid-Base</w:t>
      </w:r>
      <w:r>
        <w:rPr>
          <w:rFonts w:ascii="Lucida Sans" w:hAnsi="Lucida Sans"/>
          <w:i/>
          <w:color w:val="231F20"/>
          <w:spacing w:val="-30"/>
          <w:w w:val="95"/>
          <w:sz w:val="16"/>
        </w:rPr>
        <w:t> </w:t>
      </w:r>
      <w:r>
        <w:rPr>
          <w:rFonts w:ascii="Lucida Sans" w:hAnsi="Lucida Sans"/>
          <w:i/>
          <w:color w:val="231F20"/>
          <w:w w:val="95"/>
          <w:sz w:val="16"/>
        </w:rPr>
        <w:t>Disorders</w:t>
      </w:r>
      <w:r>
        <w:rPr>
          <w:rFonts w:ascii="Lucida Sans" w:hAnsi="Lucida Sans"/>
          <w:i/>
          <w:color w:val="231F20"/>
          <w:spacing w:val="-30"/>
          <w:w w:val="95"/>
          <w:sz w:val="16"/>
        </w:rPr>
        <w:t> </w:t>
      </w:r>
      <w:r>
        <w:rPr>
          <w:rFonts w:ascii="Lucida Sans" w:hAnsi="Lucida Sans"/>
          <w:i/>
          <w:color w:val="231F20"/>
          <w:w w:val="95"/>
          <w:sz w:val="16"/>
        </w:rPr>
        <w:t>in</w:t>
      </w:r>
      <w:r>
        <w:rPr>
          <w:rFonts w:ascii="Lucida Sans" w:hAnsi="Lucida Sans"/>
          <w:i/>
          <w:color w:val="231F20"/>
          <w:spacing w:val="-30"/>
          <w:w w:val="95"/>
          <w:sz w:val="16"/>
        </w:rPr>
        <w:t> </w:t>
      </w:r>
      <w:r>
        <w:rPr>
          <w:rFonts w:ascii="Lucida Sans" w:hAnsi="Lucida Sans"/>
          <w:i/>
          <w:color w:val="231F20"/>
          <w:spacing w:val="-4"/>
          <w:w w:val="95"/>
          <w:sz w:val="16"/>
        </w:rPr>
        <w:t>the </w:t>
      </w:r>
      <w:r>
        <w:rPr>
          <w:rFonts w:ascii="Lucida Sans" w:hAnsi="Lucida Sans"/>
          <w:i/>
          <w:color w:val="231F20"/>
          <w:spacing w:val="-3"/>
          <w:sz w:val="16"/>
        </w:rPr>
        <w:t>Kidney,</w:t>
      </w:r>
      <w:r>
        <w:rPr>
          <w:rFonts w:ascii="Lucida Sans" w:hAnsi="Lucida Sans"/>
          <w:i/>
          <w:color w:val="231F20"/>
          <w:spacing w:val="-28"/>
          <w:sz w:val="16"/>
        </w:rPr>
        <w:t> </w:t>
      </w:r>
      <w:r>
        <w:rPr>
          <w:rFonts w:ascii="Lucida Sans" w:hAnsi="Lucida Sans"/>
          <w:i/>
          <w:color w:val="231F20"/>
          <w:sz w:val="16"/>
        </w:rPr>
        <w:t>3rd</w:t>
      </w:r>
      <w:r>
        <w:rPr>
          <w:rFonts w:ascii="Lucida Sans" w:hAnsi="Lucida Sans"/>
          <w:i/>
          <w:color w:val="231F20"/>
          <w:spacing w:val="-29"/>
          <w:sz w:val="16"/>
        </w:rPr>
        <w:t> </w:t>
      </w:r>
      <w:r>
        <w:rPr>
          <w:rFonts w:ascii="Lucida Sans" w:hAnsi="Lucida Sans"/>
          <w:i/>
          <w:color w:val="231F20"/>
          <w:sz w:val="16"/>
        </w:rPr>
        <w:t>ed.</w:t>
      </w:r>
      <w:r>
        <w:rPr>
          <w:rFonts w:ascii="Lucida Sans" w:hAnsi="Lucida Sans"/>
          <w:i/>
          <w:color w:val="231F20"/>
          <w:spacing w:val="-28"/>
          <w:sz w:val="16"/>
        </w:rPr>
        <w:t> </w:t>
      </w:r>
      <w:r>
        <w:rPr>
          <w:rFonts w:ascii="Lucida Sans" w:hAnsi="Lucida Sans"/>
          <w:i/>
          <w:color w:val="231F20"/>
          <w:sz w:val="16"/>
        </w:rPr>
        <w:t>Philadelphia:</w:t>
      </w:r>
      <w:r>
        <w:rPr>
          <w:rFonts w:ascii="Lucida Sans" w:hAnsi="Lucida Sans"/>
          <w:i/>
          <w:color w:val="231F20"/>
          <w:spacing w:val="-28"/>
          <w:sz w:val="16"/>
        </w:rPr>
        <w:t> </w:t>
      </w:r>
      <w:r>
        <w:rPr>
          <w:rFonts w:ascii="Lucida Sans" w:hAnsi="Lucida Sans"/>
          <w:i/>
          <w:color w:val="231F20"/>
          <w:sz w:val="16"/>
        </w:rPr>
        <w:t>WB</w:t>
      </w:r>
      <w:r>
        <w:rPr>
          <w:rFonts w:ascii="Lucida Sans" w:hAnsi="Lucida Sans"/>
          <w:i/>
          <w:color w:val="231F20"/>
          <w:spacing w:val="-28"/>
          <w:sz w:val="16"/>
        </w:rPr>
        <w:t> </w:t>
      </w:r>
      <w:r>
        <w:rPr>
          <w:rFonts w:ascii="Lucida Sans" w:hAnsi="Lucida Sans"/>
          <w:i/>
          <w:color w:val="231F20"/>
          <w:sz w:val="16"/>
        </w:rPr>
        <w:t>Saunders,</w:t>
      </w:r>
      <w:r>
        <w:rPr>
          <w:rFonts w:ascii="Lucida Sans" w:hAnsi="Lucida Sans"/>
          <w:i/>
          <w:color w:val="231F20"/>
          <w:spacing w:val="-28"/>
          <w:sz w:val="16"/>
        </w:rPr>
        <w:t> </w:t>
      </w:r>
      <w:r>
        <w:rPr>
          <w:rFonts w:ascii="Lucida Sans" w:hAnsi="Lucida Sans"/>
          <w:i/>
          <w:color w:val="231F20"/>
          <w:sz w:val="16"/>
        </w:rPr>
        <w:t>1986.)</w:t>
      </w:r>
    </w:p>
    <w:p>
      <w:pPr>
        <w:spacing w:before="82"/>
        <w:ind w:left="536" w:right="0" w:firstLine="0"/>
        <w:jc w:val="left"/>
        <w:rPr>
          <w:rFonts w:ascii="Helvetica"/>
          <w:sz w:val="16"/>
        </w:rPr>
      </w:pPr>
      <w:r>
        <w:rPr/>
        <w:br w:type="column"/>
      </w:r>
      <w:r>
        <w:rPr>
          <w:rFonts w:ascii="Helvetica"/>
          <w:color w:val="231F20"/>
          <w:sz w:val="16"/>
        </w:rPr>
        <w:t>12</w:t>
      </w:r>
    </w:p>
    <w:p>
      <w:pPr>
        <w:spacing w:before="98"/>
        <w:ind w:left="625" w:right="0" w:firstLine="0"/>
        <w:jc w:val="left"/>
        <w:rPr>
          <w:rFonts w:ascii="Helvetica"/>
          <w:sz w:val="16"/>
        </w:rPr>
      </w:pPr>
      <w:r>
        <w:rPr>
          <w:rFonts w:ascii="Helvetica"/>
          <w:color w:val="231F20"/>
          <w:w w:val="99"/>
          <w:sz w:val="16"/>
        </w:rPr>
        <w:t>8</w:t>
      </w:r>
    </w:p>
    <w:p>
      <w:pPr>
        <w:spacing w:before="108"/>
        <w:ind w:left="625" w:right="0" w:firstLine="0"/>
        <w:jc w:val="left"/>
        <w:rPr>
          <w:rFonts w:ascii="Helvetica"/>
          <w:sz w:val="16"/>
        </w:rPr>
      </w:pPr>
      <w:r>
        <w:rPr>
          <w:rFonts w:ascii="Helvetica"/>
          <w:color w:val="231F20"/>
          <w:w w:val="99"/>
          <w:sz w:val="16"/>
        </w:rPr>
        <w:t>4</w:t>
      </w:r>
    </w:p>
    <w:p>
      <w:pPr>
        <w:spacing w:before="107"/>
        <w:ind w:left="625" w:right="0" w:firstLine="0"/>
        <w:jc w:val="left"/>
        <w:rPr>
          <w:rFonts w:ascii="Helvetica"/>
          <w:sz w:val="16"/>
        </w:rPr>
      </w:pPr>
      <w:r>
        <w:rPr>
          <w:rFonts w:ascii="Helvetica"/>
          <w:color w:val="231F20"/>
          <w:w w:val="99"/>
          <w:sz w:val="16"/>
        </w:rPr>
        <w:t>0</w:t>
      </w:r>
    </w:p>
    <w:p>
      <w:pPr>
        <w:spacing w:before="6"/>
        <w:ind w:left="666" w:right="0" w:firstLine="0"/>
        <w:jc w:val="left"/>
        <w:rPr>
          <w:rFonts w:ascii="Helvetica"/>
          <w:sz w:val="16"/>
        </w:rPr>
      </w:pPr>
      <w:r>
        <w:rPr>
          <w:rFonts w:ascii="Helvetica"/>
          <w:color w:val="231F20"/>
          <w:sz w:val="16"/>
        </w:rPr>
        <w:t>7.00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6"/>
        </w:rPr>
      </w:pPr>
    </w:p>
    <w:p>
      <w:pPr>
        <w:spacing w:before="0"/>
        <w:ind w:left="261" w:right="0" w:firstLine="0"/>
        <w:jc w:val="left"/>
        <w:rPr>
          <w:rFonts w:ascii="Helvetica"/>
          <w:sz w:val="16"/>
        </w:rPr>
      </w:pPr>
      <w:r>
        <w:rPr>
          <w:rFonts w:ascii="Helvetica"/>
          <w:color w:val="231F20"/>
          <w:sz w:val="16"/>
        </w:rPr>
        <w:t>7.10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6"/>
        </w:rPr>
      </w:pPr>
    </w:p>
    <w:p>
      <w:pPr>
        <w:spacing w:before="0"/>
        <w:ind w:left="247" w:right="0" w:firstLine="0"/>
        <w:jc w:val="left"/>
        <w:rPr>
          <w:rFonts w:ascii="Helvetica"/>
          <w:sz w:val="16"/>
        </w:rPr>
      </w:pPr>
      <w:r>
        <w:rPr>
          <w:rFonts w:ascii="Helvetica"/>
          <w:color w:val="231F20"/>
          <w:sz w:val="16"/>
        </w:rPr>
        <w:t>7.20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6"/>
        </w:rPr>
      </w:pPr>
    </w:p>
    <w:p>
      <w:pPr>
        <w:tabs>
          <w:tab w:pos="849" w:val="left" w:leader="none"/>
          <w:tab w:pos="1450" w:val="left" w:leader="none"/>
        </w:tabs>
        <w:spacing w:before="0"/>
        <w:ind w:left="249" w:right="0" w:firstLine="0"/>
        <w:jc w:val="center"/>
        <w:rPr>
          <w:rFonts w:ascii="Helvetica"/>
          <w:sz w:val="16"/>
        </w:rPr>
      </w:pPr>
      <w:r>
        <w:rPr>
          <w:rFonts w:ascii="Helvetica"/>
          <w:color w:val="231F20"/>
          <w:sz w:val="16"/>
        </w:rPr>
        <w:t>7.30</w:t>
        <w:tab/>
        <w:t>7.40</w:t>
        <w:tab/>
      </w:r>
      <w:r>
        <w:rPr>
          <w:rFonts w:ascii="Helvetica"/>
          <w:color w:val="231F20"/>
          <w:spacing w:val="-5"/>
          <w:sz w:val="16"/>
        </w:rPr>
        <w:t>7.50</w:t>
      </w:r>
    </w:p>
    <w:p>
      <w:pPr>
        <w:spacing w:before="49"/>
        <w:ind w:left="262" w:right="0" w:firstLine="0"/>
        <w:jc w:val="center"/>
        <w:rPr>
          <w:rFonts w:ascii="Helvetica"/>
          <w:b/>
          <w:sz w:val="16"/>
        </w:rPr>
      </w:pPr>
      <w:r>
        <w:rPr>
          <w:rFonts w:ascii="Helvetica"/>
          <w:b/>
          <w:color w:val="231F20"/>
          <w:sz w:val="16"/>
        </w:rPr>
        <w:t>Arterial blood pH</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spacing w:before="10"/>
        <w:rPr>
          <w:rFonts w:ascii="Helvetica"/>
          <w:b/>
          <w:sz w:val="26"/>
        </w:rPr>
      </w:pPr>
    </w:p>
    <w:p>
      <w:pPr>
        <w:spacing w:before="0"/>
        <w:ind w:left="242" w:right="0" w:firstLine="0"/>
        <w:jc w:val="left"/>
        <w:rPr>
          <w:rFonts w:ascii="Helvetica"/>
          <w:sz w:val="16"/>
        </w:rPr>
      </w:pPr>
      <w:r>
        <w:rPr>
          <w:rFonts w:ascii="Helvetica"/>
          <w:color w:val="231F20"/>
          <w:sz w:val="16"/>
        </w:rPr>
        <w:t>7.60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6"/>
        </w:rPr>
      </w:pPr>
    </w:p>
    <w:p>
      <w:pPr>
        <w:spacing w:before="0"/>
        <w:ind w:left="255" w:right="0" w:firstLine="0"/>
        <w:jc w:val="left"/>
        <w:rPr>
          <w:rFonts w:ascii="Helvetica"/>
          <w:sz w:val="16"/>
        </w:rPr>
      </w:pPr>
      <w:r>
        <w:rPr>
          <w:rFonts w:ascii="Helvetica"/>
          <w:color w:val="231F20"/>
          <w:sz w:val="16"/>
        </w:rPr>
        <w:t>7.70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6"/>
        </w:rPr>
      </w:pPr>
    </w:p>
    <w:p>
      <w:pPr>
        <w:spacing w:before="0"/>
        <w:ind w:left="249" w:right="0" w:firstLine="0"/>
        <w:jc w:val="left"/>
        <w:rPr>
          <w:rFonts w:ascii="Helvetica"/>
          <w:sz w:val="16"/>
        </w:rPr>
      </w:pPr>
      <w:r>
        <w:rPr>
          <w:rFonts w:ascii="Helvetica"/>
          <w:color w:val="231F20"/>
          <w:sz w:val="16"/>
        </w:rPr>
        <w:t>7.80</w:t>
      </w:r>
    </w:p>
    <w:p>
      <w:pPr>
        <w:spacing w:after="0"/>
        <w:jc w:val="left"/>
        <w:rPr>
          <w:rFonts w:ascii="Helvetica"/>
          <w:sz w:val="16"/>
        </w:rPr>
        <w:sectPr>
          <w:type w:val="continuous"/>
          <w:pgSz w:w="12240" w:h="15660"/>
          <w:pgMar w:top="0" w:bottom="760" w:left="0" w:right="0"/>
          <w:cols w:num="8" w:equalWidth="0">
            <w:col w:w="5327" w:space="40"/>
            <w:col w:w="978" w:space="39"/>
            <w:col w:w="573" w:space="39"/>
            <w:col w:w="560" w:space="40"/>
            <w:col w:w="1762" w:space="39"/>
            <w:col w:w="555" w:space="40"/>
            <w:col w:w="568" w:space="40"/>
            <w:col w:w="1640"/>
          </w:cols>
        </w:sectPr>
      </w:pPr>
    </w:p>
    <w:p>
      <w:pPr>
        <w:pStyle w:val="BodyText"/>
        <w:rPr>
          <w:rFonts w:ascii="Helvetica"/>
        </w:rPr>
      </w:pPr>
      <w:r>
        <w:rPr/>
        <w:pict>
          <v:group style="position:absolute;margin-left:0pt;margin-top:0pt;width:612pt;height:180pt;mso-position-horizontal-relative:page;mso-position-vertical-relative:page;z-index:-272192512"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Helvetica"/>
                        <w:sz w:val="20"/>
                      </w:rPr>
                    </w:pPr>
                  </w:p>
                  <w:p>
                    <w:pPr>
                      <w:spacing w:line="240" w:lineRule="auto" w:before="2"/>
                      <w:rPr>
                        <w:rFonts w:ascii="Helvetica"/>
                        <w:sz w:val="19"/>
                      </w:rPr>
                    </w:pPr>
                  </w:p>
                  <w:p>
                    <w:pPr>
                      <w:spacing w:before="0"/>
                      <w:ind w:left="0" w:right="357" w:firstLine="0"/>
                      <w:jc w:val="right"/>
                      <w:rPr>
                        <w:rFonts w:ascii="Trebuchet MS"/>
                        <w:sz w:val="18"/>
                      </w:rPr>
                    </w:pPr>
                    <w:r>
                      <w:rPr>
                        <w:rFonts w:ascii="Trebuchet MS"/>
                        <w:b/>
                        <w:color w:val="231F20"/>
                        <w:sz w:val="18"/>
                      </w:rPr>
                      <w:t>Chapter 31 </w:t>
                    </w:r>
                    <w:r>
                      <w:rPr>
                        <w:rFonts w:ascii="Trebuchet MS"/>
                        <w:color w:val="231F20"/>
                        <w:sz w:val="18"/>
                      </w:rPr>
                      <w:t>Acid-Base Regulation</w:t>
                    </w:r>
                  </w:p>
                </w:txbxContent>
              </v:textbox>
              <v:fill type="solid"/>
              <w10:wrap type="none"/>
            </v:shape>
            <v:shape style="position:absolute;left:6387;top:2745;width:798;height:537" type="#_x0000_t202" filled="false" stroked="false">
              <v:textbox inset="0,0,0,0">
                <w:txbxContent>
                  <w:p>
                    <w:pPr>
                      <w:spacing w:line="164" w:lineRule="exact" w:before="0"/>
                      <w:ind w:left="19" w:right="20" w:firstLine="0"/>
                      <w:jc w:val="center"/>
                      <w:rPr>
                        <w:rFonts w:ascii="Helvetica"/>
                        <w:sz w:val="16"/>
                      </w:rPr>
                    </w:pPr>
                    <w:r>
                      <w:rPr>
                        <w:rFonts w:ascii="Helvetica"/>
                        <w:color w:val="231F20"/>
                        <w:sz w:val="16"/>
                      </w:rPr>
                      <w:t>Acute</w:t>
                    </w:r>
                  </w:p>
                  <w:p>
                    <w:pPr>
                      <w:spacing w:line="235" w:lineRule="auto" w:before="1"/>
                      <w:ind w:left="19" w:right="20" w:firstLine="0"/>
                      <w:jc w:val="center"/>
                      <w:rPr>
                        <w:rFonts w:ascii="Helvetica"/>
                        <w:sz w:val="16"/>
                      </w:rPr>
                    </w:pPr>
                    <w:r>
                      <w:rPr>
                        <w:rFonts w:ascii="Helvetica"/>
                        <w:color w:val="231F20"/>
                        <w:sz w:val="16"/>
                      </w:rPr>
                      <w:t>respiratory</w:t>
                    </w:r>
                    <w:r>
                      <w:rPr>
                        <w:rFonts w:ascii="Helvetica"/>
                        <w:color w:val="231F20"/>
                        <w:w w:val="99"/>
                        <w:sz w:val="16"/>
                      </w:rPr>
                      <w:t> </w:t>
                    </w:r>
                    <w:r>
                      <w:rPr>
                        <w:rFonts w:ascii="Helvetica"/>
                        <w:color w:val="231F20"/>
                        <w:sz w:val="16"/>
                      </w:rPr>
                      <w:t>acidosis</w:t>
                    </w:r>
                  </w:p>
                </w:txbxContent>
              </v:textbox>
              <w10:wrap type="none"/>
            </v:shape>
            <v:shape style="position:absolute;left:6265;top:1879;width:1094;height:259" type="#_x0000_t202" filled="true" fillcolor="#ffffff" stroked="false">
              <v:textbox inset="0,0,0,0">
                <w:txbxContent>
                  <w:p>
                    <w:pPr>
                      <w:spacing w:before="25"/>
                      <w:ind w:left="46" w:right="0" w:firstLine="0"/>
                      <w:jc w:val="left"/>
                      <w:rPr>
                        <w:rFonts w:ascii="Helvetica"/>
                        <w:sz w:val="16"/>
                      </w:rPr>
                    </w:pPr>
                    <w:r>
                      <w:rPr>
                        <w:rFonts w:ascii="Helvetica"/>
                        <w:color w:val="231F20"/>
                        <w:sz w:val="16"/>
                      </w:rPr>
                      <w:t>P</w:t>
                    </w:r>
                    <w:r>
                      <w:rPr>
                        <w:rFonts w:ascii="Helvetica"/>
                        <w:color w:val="231F20"/>
                        <w:sz w:val="16"/>
                        <w:vertAlign w:val="subscript"/>
                      </w:rPr>
                      <w:t>CO</w:t>
                    </w:r>
                    <w:r>
                      <w:rPr>
                        <w:rFonts w:ascii="Helvetica"/>
                        <w:color w:val="231F20"/>
                        <w:position w:val="-4"/>
                        <w:sz w:val="12"/>
                        <w:vertAlign w:val="baseline"/>
                      </w:rPr>
                      <w:t>2 </w:t>
                    </w:r>
                    <w:r>
                      <w:rPr>
                        <w:rFonts w:ascii="Helvetica"/>
                        <w:color w:val="231F20"/>
                        <w:sz w:val="16"/>
                        <w:vertAlign w:val="baseline"/>
                      </w:rPr>
                      <w:t>(mm Hg)</w:t>
                    </w:r>
                  </w:p>
                </w:txbxContent>
              </v:textbox>
              <v:fill type="solid"/>
              <w10:wrap type="none"/>
            </v:shape>
            <w10:wrap type="none"/>
          </v:group>
        </w:pict>
      </w:r>
    </w:p>
    <w:p>
      <w:pPr>
        <w:pStyle w:val="BodyText"/>
        <w:spacing w:before="10" w:after="1"/>
        <w:rPr>
          <w:rFonts w:ascii="Helvetica"/>
          <w:sz w:val="15"/>
        </w:rPr>
      </w:pPr>
    </w:p>
    <w:p>
      <w:pPr>
        <w:pStyle w:val="BodyText"/>
        <w:tabs>
          <w:tab w:pos="6480" w:val="left" w:leader="none"/>
        </w:tabs>
        <w:ind w:left="1440"/>
        <w:rPr>
          <w:rFonts w:ascii="Helvetica"/>
        </w:rPr>
      </w:pPr>
      <w:r>
        <w:rPr>
          <w:rFonts w:ascii="Helvetica"/>
        </w:rPr>
        <w:pict>
          <v:group style="width:234pt;height:408.9pt;mso-position-horizontal-relative:char;mso-position-vertical-relative:line" coordorigin="0,0" coordsize="4680,8178">
            <v:rect style="position:absolute;left:0;top:0;width:4680;height:8178" filled="true" fillcolor="#f0eef6" stroked="false">
              <v:fill type="solid"/>
            </v:rect>
            <v:shape style="position:absolute;left:179;top:6727;width:4341;height:1360" type="#_x0000_t202" filled="false" stroked="false">
              <v:textbox inset="0,0,0,0">
                <w:txbxContent>
                  <w:p>
                    <w:pPr>
                      <w:spacing w:line="254" w:lineRule="auto" w:before="0"/>
                      <w:ind w:left="0" w:right="18" w:firstLine="0"/>
                      <w:jc w:val="both"/>
                      <w:rPr>
                        <w:sz w:val="18"/>
                      </w:rPr>
                    </w:pPr>
                    <w:r>
                      <w:rPr>
                        <w:color w:val="231F20"/>
                        <w:w w:val="105"/>
                        <w:sz w:val="18"/>
                      </w:rPr>
                      <w:t>according to the Henderson-Hasselbalch equation. The central</w:t>
                    </w:r>
                    <w:r>
                      <w:rPr>
                        <w:color w:val="231F20"/>
                        <w:spacing w:val="-18"/>
                        <w:w w:val="105"/>
                        <w:sz w:val="18"/>
                      </w:rPr>
                      <w:t> </w:t>
                    </w:r>
                    <w:r>
                      <w:rPr>
                        <w:color w:val="231F20"/>
                        <w:w w:val="105"/>
                        <w:sz w:val="18"/>
                      </w:rPr>
                      <w:t>open</w:t>
                    </w:r>
                    <w:r>
                      <w:rPr>
                        <w:color w:val="231F20"/>
                        <w:spacing w:val="-17"/>
                        <w:w w:val="105"/>
                        <w:sz w:val="18"/>
                      </w:rPr>
                      <w:t> </w:t>
                    </w:r>
                    <w:r>
                      <w:rPr>
                        <w:color w:val="231F20"/>
                        <w:w w:val="105"/>
                        <w:sz w:val="18"/>
                      </w:rPr>
                      <w:t>circle</w:t>
                    </w:r>
                    <w:r>
                      <w:rPr>
                        <w:color w:val="231F20"/>
                        <w:spacing w:val="-17"/>
                        <w:w w:val="105"/>
                        <w:sz w:val="18"/>
                      </w:rPr>
                      <w:t> </w:t>
                    </w:r>
                    <w:r>
                      <w:rPr>
                        <w:color w:val="231F20"/>
                        <w:w w:val="105"/>
                        <w:sz w:val="18"/>
                      </w:rPr>
                      <w:t>shows</w:t>
                    </w:r>
                    <w:r>
                      <w:rPr>
                        <w:color w:val="231F20"/>
                        <w:spacing w:val="-17"/>
                        <w:w w:val="105"/>
                        <w:sz w:val="18"/>
                      </w:rPr>
                      <w:t> </w:t>
                    </w:r>
                    <w:r>
                      <w:rPr>
                        <w:color w:val="231F20"/>
                        <w:w w:val="105"/>
                        <w:sz w:val="18"/>
                      </w:rPr>
                      <w:t>normal</w:t>
                    </w:r>
                    <w:r>
                      <w:rPr>
                        <w:color w:val="231F20"/>
                        <w:spacing w:val="-17"/>
                        <w:w w:val="105"/>
                        <w:sz w:val="18"/>
                      </w:rPr>
                      <w:t> </w:t>
                    </w:r>
                    <w:r>
                      <w:rPr>
                        <w:color w:val="231F20"/>
                        <w:w w:val="105"/>
                        <w:sz w:val="18"/>
                      </w:rPr>
                      <w:t>values</w:t>
                    </w:r>
                    <w:r>
                      <w:rPr>
                        <w:color w:val="231F20"/>
                        <w:spacing w:val="-18"/>
                        <w:w w:val="105"/>
                        <w:sz w:val="18"/>
                      </w:rPr>
                      <w:t> </w:t>
                    </w:r>
                    <w:r>
                      <w:rPr>
                        <w:color w:val="231F20"/>
                        <w:w w:val="105"/>
                        <w:sz w:val="18"/>
                      </w:rPr>
                      <w:t>and</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deviations that can still be considered within the normal range. The shaded areas of the diagram show the 95 percent confi- dence</w:t>
                    </w:r>
                    <w:r>
                      <w:rPr>
                        <w:color w:val="231F20"/>
                        <w:spacing w:val="-15"/>
                        <w:w w:val="105"/>
                        <w:sz w:val="18"/>
                      </w:rPr>
                      <w:t> </w:t>
                    </w:r>
                    <w:r>
                      <w:rPr>
                        <w:color w:val="231F20"/>
                        <w:w w:val="105"/>
                        <w:sz w:val="18"/>
                      </w:rPr>
                      <w:t>limits</w:t>
                    </w:r>
                    <w:r>
                      <w:rPr>
                        <w:color w:val="231F20"/>
                        <w:spacing w:val="-15"/>
                        <w:w w:val="105"/>
                        <w:sz w:val="18"/>
                      </w:rPr>
                      <w:t> </w:t>
                    </w:r>
                    <w:r>
                      <w:rPr>
                        <w:color w:val="231F20"/>
                        <w:w w:val="105"/>
                        <w:sz w:val="18"/>
                      </w:rPr>
                      <w:t>for</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normal</w:t>
                    </w:r>
                    <w:r>
                      <w:rPr>
                        <w:color w:val="231F20"/>
                        <w:spacing w:val="-15"/>
                        <w:w w:val="105"/>
                        <w:sz w:val="18"/>
                      </w:rPr>
                      <w:t> </w:t>
                    </w:r>
                    <w:r>
                      <w:rPr>
                        <w:color w:val="231F20"/>
                        <w:w w:val="105"/>
                        <w:sz w:val="18"/>
                      </w:rPr>
                      <w:t>compensations</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simple</w:t>
                    </w:r>
                    <w:r>
                      <w:rPr>
                        <w:color w:val="231F20"/>
                        <w:spacing w:val="-15"/>
                        <w:w w:val="105"/>
                        <w:sz w:val="18"/>
                      </w:rPr>
                      <w:t> </w:t>
                    </w:r>
                    <w:r>
                      <w:rPr>
                        <w:color w:val="231F20"/>
                        <w:spacing w:val="-3"/>
                        <w:w w:val="105"/>
                        <w:sz w:val="18"/>
                      </w:rPr>
                      <w:t>meta- </w:t>
                    </w:r>
                    <w:r>
                      <w:rPr>
                        <w:color w:val="231F20"/>
                        <w:w w:val="105"/>
                        <w:sz w:val="18"/>
                      </w:rPr>
                      <w:t>bolic and respiratory</w:t>
                    </w:r>
                    <w:r>
                      <w:rPr>
                        <w:color w:val="231F20"/>
                        <w:spacing w:val="8"/>
                        <w:w w:val="105"/>
                        <w:sz w:val="18"/>
                      </w:rPr>
                      <w:t> </w:t>
                    </w:r>
                    <w:r>
                      <w:rPr>
                        <w:color w:val="231F20"/>
                        <w:w w:val="105"/>
                        <w:sz w:val="18"/>
                      </w:rPr>
                      <w:t>disorders.</w:t>
                    </w:r>
                  </w:p>
                </w:txbxContent>
              </v:textbox>
              <w10:wrap type="none"/>
            </v:shape>
            <v:shape style="position:absolute;left:180;top:6493;width:4340;height:274" type="#_x0000_t202" filled="false" stroked="false">
              <v:textbox inset="0,0,0,0">
                <w:txbxContent>
                  <w:p>
                    <w:pPr>
                      <w:spacing w:line="153" w:lineRule="exact" w:before="10"/>
                      <w:ind w:left="0" w:right="18" w:firstLine="0"/>
                      <w:jc w:val="center"/>
                      <w:rPr>
                        <w:sz w:val="18"/>
                      </w:rPr>
                    </w:pPr>
                    <w:r>
                      <w:rPr>
                        <w:color w:val="231F20"/>
                        <w:w w:val="105"/>
                        <w:sz w:val="18"/>
                      </w:rPr>
                      <w:t>gram,</w:t>
                    </w:r>
                    <w:r>
                      <w:rPr>
                        <w:color w:val="231F20"/>
                        <w:spacing w:val="-11"/>
                        <w:w w:val="105"/>
                        <w:sz w:val="18"/>
                      </w:rPr>
                      <w:t> </w:t>
                    </w:r>
                    <w:r>
                      <w:rPr>
                        <w:color w:val="231F20"/>
                        <w:w w:val="105"/>
                        <w:sz w:val="18"/>
                      </w:rPr>
                      <w:t>pH,</w:t>
                    </w:r>
                    <w:r>
                      <w:rPr>
                        <w:color w:val="231F20"/>
                        <w:spacing w:val="-11"/>
                        <w:w w:val="105"/>
                        <w:sz w:val="18"/>
                      </w:rPr>
                      <w:t> </w:t>
                    </w:r>
                    <w:r>
                      <w:rPr>
                        <w:color w:val="231F20"/>
                        <w:w w:val="105"/>
                        <w:sz w:val="18"/>
                      </w:rPr>
                      <w:t>HCO</w:t>
                    </w:r>
                    <w:r>
                      <w:rPr>
                        <w:color w:val="231F20"/>
                        <w:spacing w:val="-1"/>
                        <w:w w:val="105"/>
                        <w:sz w:val="18"/>
                      </w:rPr>
                      <w:t> </w:t>
                    </w:r>
                    <w:r>
                      <w:rPr>
                        <w:rFonts w:ascii="Consolas" w:hAnsi="Consolas"/>
                        <w:color w:val="231F20"/>
                        <w:w w:val="105"/>
                        <w:position w:val="7"/>
                        <w:sz w:val="11"/>
                      </w:rPr>
                      <w:t>−</w:t>
                    </w:r>
                    <w:r>
                      <w:rPr>
                        <w:rFonts w:ascii="Consolas" w:hAnsi="Consolas"/>
                        <w:color w:val="231F20"/>
                        <w:spacing w:val="-26"/>
                        <w:w w:val="105"/>
                        <w:position w:val="7"/>
                        <w:sz w:val="11"/>
                      </w:rPr>
                      <w:t> </w:t>
                    </w:r>
                    <w:r>
                      <w:rPr>
                        <w:color w:val="231F20"/>
                        <w:w w:val="105"/>
                        <w:sz w:val="18"/>
                      </w:rPr>
                      <w:t>concentration,</w:t>
                    </w:r>
                    <w:r>
                      <w:rPr>
                        <w:color w:val="231F20"/>
                        <w:spacing w:val="-11"/>
                        <w:w w:val="105"/>
                        <w:sz w:val="18"/>
                      </w:rPr>
                      <w:t> </w:t>
                    </w:r>
                    <w:r>
                      <w:rPr>
                        <w:color w:val="231F20"/>
                        <w:w w:val="105"/>
                        <w:sz w:val="18"/>
                      </w:rPr>
                      <w:t>and</w:t>
                    </w:r>
                    <w:r>
                      <w:rPr>
                        <w:color w:val="231F20"/>
                        <w:spacing w:val="-10"/>
                        <w:w w:val="105"/>
                        <w:sz w:val="18"/>
                      </w:rPr>
                      <w:t> </w:t>
                    </w:r>
                    <w:r>
                      <w:rPr>
                        <w:color w:val="231F20"/>
                        <w:w w:val="105"/>
                        <w:sz w:val="18"/>
                      </w:rPr>
                      <w:t>P</w:t>
                    </w:r>
                    <w:r>
                      <w:rPr>
                        <w:color w:val="231F20"/>
                        <w:w w:val="105"/>
                        <w:sz w:val="14"/>
                      </w:rPr>
                      <w:t>CO</w:t>
                    </w:r>
                    <w:r>
                      <w:rPr>
                        <w:color w:val="231F20"/>
                        <w:spacing w:val="10"/>
                        <w:w w:val="105"/>
                        <w:sz w:val="14"/>
                      </w:rPr>
                      <w:t> </w:t>
                    </w:r>
                    <w:r>
                      <w:rPr>
                        <w:color w:val="231F20"/>
                        <w:w w:val="105"/>
                        <w:sz w:val="18"/>
                      </w:rPr>
                      <w:t>values</w:t>
                    </w:r>
                    <w:r>
                      <w:rPr>
                        <w:color w:val="231F20"/>
                        <w:spacing w:val="-10"/>
                        <w:w w:val="105"/>
                        <w:sz w:val="18"/>
                      </w:rPr>
                      <w:t> </w:t>
                    </w:r>
                    <w:r>
                      <w:rPr>
                        <w:color w:val="231F20"/>
                        <w:w w:val="105"/>
                        <w:sz w:val="18"/>
                      </w:rPr>
                      <w:t>intersect</w:t>
                    </w:r>
                  </w:p>
                  <w:p>
                    <w:pPr>
                      <w:tabs>
                        <w:tab w:pos="1897" w:val="left" w:leader="none"/>
                      </w:tabs>
                      <w:spacing w:line="69" w:lineRule="exact" w:before="0"/>
                      <w:ind w:left="0" w:right="14" w:firstLine="0"/>
                      <w:jc w:val="center"/>
                      <w:rPr>
                        <w:sz w:val="11"/>
                      </w:rPr>
                    </w:pPr>
                    <w:r>
                      <w:rPr>
                        <w:color w:val="231F20"/>
                        <w:sz w:val="11"/>
                      </w:rPr>
                      <w:t>3</w:t>
                      <w:tab/>
                      <w:t>2</w:t>
                    </w:r>
                  </w:p>
                </w:txbxContent>
              </v:textbox>
              <w10:wrap type="none"/>
            </v:shape>
            <v:shape style="position:absolute;left:180;top:5187;width:4341;height:1360" type="#_x0000_t202" filled="false" stroked="false">
              <v:textbox inset="0,0,0,0">
                <w:txbxContent>
                  <w:p>
                    <w:pPr>
                      <w:spacing w:line="254" w:lineRule="auto" w:before="0"/>
                      <w:ind w:left="0" w:right="18" w:firstLine="0"/>
                      <w:jc w:val="both"/>
                      <w:rPr>
                        <w:sz w:val="18"/>
                      </w:rPr>
                    </w:pPr>
                    <w:r>
                      <w:rPr>
                        <w:color w:val="231F20"/>
                        <w:w w:val="105"/>
                        <w:sz w:val="18"/>
                      </w:rPr>
                      <w:t>from the gastrointestinal tract because of diarrhea (meta- bolic acidosis) and emphysema (respiratory acidosis).</w:t>
                    </w:r>
                  </w:p>
                  <w:p>
                    <w:pPr>
                      <w:spacing w:line="254" w:lineRule="auto" w:before="0"/>
                      <w:ind w:left="0" w:right="18" w:firstLine="239"/>
                      <w:jc w:val="both"/>
                      <w:rPr>
                        <w:sz w:val="18"/>
                      </w:rPr>
                    </w:pPr>
                    <w:r>
                      <w:rPr>
                        <w:color w:val="231F20"/>
                        <w:w w:val="105"/>
                        <w:sz w:val="18"/>
                      </w:rPr>
                      <w:t>A</w:t>
                    </w:r>
                    <w:r>
                      <w:rPr>
                        <w:color w:val="231F20"/>
                        <w:spacing w:val="-11"/>
                        <w:w w:val="105"/>
                        <w:sz w:val="18"/>
                      </w:rPr>
                      <w:t> </w:t>
                    </w:r>
                    <w:r>
                      <w:rPr>
                        <w:color w:val="231F20"/>
                        <w:w w:val="105"/>
                        <w:sz w:val="18"/>
                      </w:rPr>
                      <w:t>convenient</w:t>
                    </w:r>
                    <w:r>
                      <w:rPr>
                        <w:color w:val="231F20"/>
                        <w:spacing w:val="-11"/>
                        <w:w w:val="105"/>
                        <w:sz w:val="18"/>
                      </w:rPr>
                      <w:t> </w:t>
                    </w:r>
                    <w:r>
                      <w:rPr>
                        <w:color w:val="231F20"/>
                        <w:w w:val="105"/>
                        <w:sz w:val="18"/>
                      </w:rPr>
                      <w:t>way</w:t>
                    </w:r>
                    <w:r>
                      <w:rPr>
                        <w:color w:val="231F20"/>
                        <w:spacing w:val="-11"/>
                        <w:w w:val="105"/>
                        <w:sz w:val="18"/>
                      </w:rPr>
                      <w:t> </w:t>
                    </w:r>
                    <w:r>
                      <w:rPr>
                        <w:color w:val="231F20"/>
                        <w:w w:val="105"/>
                        <w:sz w:val="18"/>
                      </w:rPr>
                      <w:t>to</w:t>
                    </w:r>
                    <w:r>
                      <w:rPr>
                        <w:color w:val="231F20"/>
                        <w:spacing w:val="-11"/>
                        <w:w w:val="105"/>
                        <w:sz w:val="18"/>
                      </w:rPr>
                      <w:t> </w:t>
                    </w:r>
                    <w:r>
                      <w:rPr>
                        <w:color w:val="231F20"/>
                        <w:w w:val="105"/>
                        <w:sz w:val="18"/>
                      </w:rPr>
                      <w:t>diagnose</w:t>
                    </w:r>
                    <w:r>
                      <w:rPr>
                        <w:color w:val="231F20"/>
                        <w:spacing w:val="-11"/>
                        <w:w w:val="105"/>
                        <w:sz w:val="18"/>
                      </w:rPr>
                      <w:t> </w:t>
                    </w:r>
                    <w:r>
                      <w:rPr>
                        <w:color w:val="231F20"/>
                        <w:w w:val="105"/>
                        <w:sz w:val="18"/>
                      </w:rPr>
                      <w:t>acid-base</w:t>
                    </w:r>
                    <w:r>
                      <w:rPr>
                        <w:color w:val="231F20"/>
                        <w:spacing w:val="-11"/>
                        <w:w w:val="105"/>
                        <w:sz w:val="18"/>
                      </w:rPr>
                      <w:t> </w:t>
                    </w:r>
                    <w:r>
                      <w:rPr>
                        <w:color w:val="231F20"/>
                        <w:w w:val="105"/>
                        <w:sz w:val="18"/>
                      </w:rPr>
                      <w:t>disorders</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to use an acid-base nomogram, as shown in </w:t>
                    </w:r>
                    <w:hyperlink w:history="true" w:anchor="_bookmark114">
                      <w:r>
                        <w:rPr>
                          <w:b/>
                          <w:color w:val="0080AC"/>
                          <w:w w:val="105"/>
                          <w:sz w:val="18"/>
                        </w:rPr>
                        <w:t>Figure 31-11</w:t>
                      </w:r>
                    </w:hyperlink>
                    <w:r>
                      <w:rPr>
                        <w:color w:val="231F20"/>
                        <w:w w:val="105"/>
                        <w:sz w:val="18"/>
                      </w:rPr>
                      <w:t>. This</w:t>
                    </w:r>
                    <w:r>
                      <w:rPr>
                        <w:color w:val="231F20"/>
                        <w:spacing w:val="-14"/>
                        <w:w w:val="105"/>
                        <w:sz w:val="18"/>
                      </w:rPr>
                      <w:t> </w:t>
                    </w:r>
                    <w:r>
                      <w:rPr>
                        <w:color w:val="231F20"/>
                        <w:w w:val="105"/>
                        <w:sz w:val="18"/>
                      </w:rPr>
                      <w:t>diagram</w:t>
                    </w:r>
                    <w:r>
                      <w:rPr>
                        <w:color w:val="231F20"/>
                        <w:spacing w:val="-13"/>
                        <w:w w:val="105"/>
                        <w:sz w:val="18"/>
                      </w:rPr>
                      <w:t> </w:t>
                    </w:r>
                    <w:r>
                      <w:rPr>
                        <w:color w:val="231F20"/>
                        <w:w w:val="105"/>
                        <w:sz w:val="18"/>
                      </w:rPr>
                      <w:t>can</w:t>
                    </w:r>
                    <w:r>
                      <w:rPr>
                        <w:color w:val="231F20"/>
                        <w:spacing w:val="-13"/>
                        <w:w w:val="105"/>
                        <w:sz w:val="18"/>
                      </w:rPr>
                      <w:t> </w:t>
                    </w:r>
                    <w:r>
                      <w:rPr>
                        <w:color w:val="231F20"/>
                        <w:w w:val="105"/>
                        <w:sz w:val="18"/>
                      </w:rPr>
                      <w:t>be</w:t>
                    </w:r>
                    <w:r>
                      <w:rPr>
                        <w:color w:val="231F20"/>
                        <w:spacing w:val="-13"/>
                        <w:w w:val="105"/>
                        <w:sz w:val="18"/>
                      </w:rPr>
                      <w:t> </w:t>
                    </w:r>
                    <w:r>
                      <w:rPr>
                        <w:color w:val="231F20"/>
                        <w:w w:val="105"/>
                        <w:sz w:val="18"/>
                      </w:rPr>
                      <w:t>used</w:t>
                    </w:r>
                    <w:r>
                      <w:rPr>
                        <w:color w:val="231F20"/>
                        <w:spacing w:val="-13"/>
                        <w:w w:val="105"/>
                        <w:sz w:val="18"/>
                      </w:rPr>
                      <w:t> </w:t>
                    </w:r>
                    <w:r>
                      <w:rPr>
                        <w:color w:val="231F20"/>
                        <w:w w:val="105"/>
                        <w:sz w:val="18"/>
                      </w:rPr>
                      <w:t>to</w:t>
                    </w:r>
                    <w:r>
                      <w:rPr>
                        <w:color w:val="231F20"/>
                        <w:spacing w:val="-13"/>
                        <w:w w:val="105"/>
                        <w:sz w:val="18"/>
                      </w:rPr>
                      <w:t> </w:t>
                    </w:r>
                    <w:r>
                      <w:rPr>
                        <w:color w:val="231F20"/>
                        <w:w w:val="105"/>
                        <w:sz w:val="18"/>
                      </w:rPr>
                      <w:t>determine</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type</w:t>
                    </w:r>
                    <w:r>
                      <w:rPr>
                        <w:color w:val="231F20"/>
                        <w:spacing w:val="-13"/>
                        <w:w w:val="105"/>
                        <w:sz w:val="18"/>
                      </w:rPr>
                      <w:t> </w:t>
                    </w:r>
                    <w:r>
                      <w:rPr>
                        <w:color w:val="231F20"/>
                        <w:w w:val="105"/>
                        <w:sz w:val="18"/>
                      </w:rPr>
                      <w:t>of</w:t>
                    </w:r>
                    <w:r>
                      <w:rPr>
                        <w:color w:val="231F20"/>
                        <w:spacing w:val="-14"/>
                        <w:w w:val="105"/>
                        <w:sz w:val="18"/>
                      </w:rPr>
                      <w:t> </w:t>
                    </w:r>
                    <w:r>
                      <w:rPr>
                        <w:color w:val="231F20"/>
                        <w:w w:val="105"/>
                        <w:sz w:val="18"/>
                      </w:rPr>
                      <w:t>acidosis or</w:t>
                    </w:r>
                    <w:r>
                      <w:rPr>
                        <w:color w:val="231F20"/>
                        <w:spacing w:val="7"/>
                        <w:w w:val="105"/>
                        <w:sz w:val="18"/>
                      </w:rPr>
                      <w:t> </w:t>
                    </w:r>
                    <w:r>
                      <w:rPr>
                        <w:color w:val="231F20"/>
                        <w:w w:val="105"/>
                        <w:sz w:val="18"/>
                      </w:rPr>
                      <w:t>alkalosis,</w:t>
                    </w:r>
                    <w:r>
                      <w:rPr>
                        <w:color w:val="231F20"/>
                        <w:spacing w:val="7"/>
                        <w:w w:val="105"/>
                        <w:sz w:val="18"/>
                      </w:rPr>
                      <w:t> </w:t>
                    </w:r>
                    <w:r>
                      <w:rPr>
                        <w:color w:val="231F20"/>
                        <w:w w:val="105"/>
                        <w:sz w:val="18"/>
                      </w:rPr>
                      <w:t>as</w:t>
                    </w:r>
                    <w:r>
                      <w:rPr>
                        <w:color w:val="231F20"/>
                        <w:spacing w:val="7"/>
                        <w:w w:val="105"/>
                        <w:sz w:val="18"/>
                      </w:rPr>
                      <w:t> </w:t>
                    </w:r>
                    <w:r>
                      <w:rPr>
                        <w:color w:val="231F20"/>
                        <w:w w:val="105"/>
                        <w:sz w:val="18"/>
                      </w:rPr>
                      <w:t>well</w:t>
                    </w:r>
                    <w:r>
                      <w:rPr>
                        <w:color w:val="231F20"/>
                        <w:spacing w:val="7"/>
                        <w:w w:val="105"/>
                        <w:sz w:val="18"/>
                      </w:rPr>
                      <w:t> </w:t>
                    </w:r>
                    <w:r>
                      <w:rPr>
                        <w:color w:val="231F20"/>
                        <w:w w:val="105"/>
                        <w:sz w:val="18"/>
                      </w:rPr>
                      <w:t>as</w:t>
                    </w:r>
                    <w:r>
                      <w:rPr>
                        <w:color w:val="231F20"/>
                        <w:spacing w:val="7"/>
                        <w:w w:val="105"/>
                        <w:sz w:val="18"/>
                      </w:rPr>
                      <w:t> </w:t>
                    </w:r>
                    <w:r>
                      <w:rPr>
                        <w:color w:val="231F20"/>
                        <w:w w:val="105"/>
                        <w:sz w:val="18"/>
                      </w:rPr>
                      <w:t>its</w:t>
                    </w:r>
                    <w:r>
                      <w:rPr>
                        <w:color w:val="231F20"/>
                        <w:spacing w:val="8"/>
                        <w:w w:val="105"/>
                        <w:sz w:val="18"/>
                      </w:rPr>
                      <w:t> </w:t>
                    </w:r>
                    <w:r>
                      <w:rPr>
                        <w:color w:val="231F20"/>
                        <w:w w:val="105"/>
                        <w:sz w:val="18"/>
                      </w:rPr>
                      <w:t>severity.</w:t>
                    </w:r>
                    <w:r>
                      <w:rPr>
                        <w:color w:val="231F20"/>
                        <w:spacing w:val="7"/>
                        <w:w w:val="105"/>
                        <w:sz w:val="18"/>
                      </w:rPr>
                      <w:t> </w:t>
                    </w:r>
                    <w:r>
                      <w:rPr>
                        <w:color w:val="231F20"/>
                        <w:w w:val="105"/>
                        <w:sz w:val="18"/>
                      </w:rPr>
                      <w:t>In</w:t>
                    </w:r>
                    <w:r>
                      <w:rPr>
                        <w:color w:val="231F20"/>
                        <w:spacing w:val="7"/>
                        <w:w w:val="105"/>
                        <w:sz w:val="18"/>
                      </w:rPr>
                      <w:t> </w:t>
                    </w:r>
                    <w:r>
                      <w:rPr>
                        <w:color w:val="231F20"/>
                        <w:w w:val="105"/>
                        <w:sz w:val="18"/>
                      </w:rPr>
                      <w:t>this</w:t>
                    </w:r>
                    <w:r>
                      <w:rPr>
                        <w:color w:val="231F20"/>
                        <w:spacing w:val="7"/>
                        <w:w w:val="105"/>
                        <w:sz w:val="18"/>
                      </w:rPr>
                      <w:t> </w:t>
                    </w:r>
                    <w:r>
                      <w:rPr>
                        <w:color w:val="231F20"/>
                        <w:w w:val="105"/>
                        <w:sz w:val="18"/>
                      </w:rPr>
                      <w:t>acid-base</w:t>
                    </w:r>
                    <w:r>
                      <w:rPr>
                        <w:color w:val="231F20"/>
                        <w:spacing w:val="7"/>
                        <w:w w:val="105"/>
                        <w:sz w:val="18"/>
                      </w:rPr>
                      <w:t> </w:t>
                    </w:r>
                    <w:r>
                      <w:rPr>
                        <w:color w:val="231F20"/>
                        <w:w w:val="105"/>
                        <w:sz w:val="18"/>
                      </w:rPr>
                      <w:t>dia-</w:t>
                    </w:r>
                  </w:p>
                </w:txbxContent>
              </v:textbox>
              <w10:wrap type="none"/>
            </v:shape>
            <v:shape style="position:absolute;left:180;top:4953;width:4341;height:274" type="#_x0000_t202" filled="false" stroked="false">
              <v:textbox inset="0,0,0,0">
                <w:txbxContent>
                  <w:p>
                    <w:pPr>
                      <w:spacing w:line="153" w:lineRule="exact" w:before="9"/>
                      <w:ind w:left="0" w:right="0" w:firstLine="0"/>
                      <w:jc w:val="left"/>
                      <w:rPr>
                        <w:sz w:val="18"/>
                      </w:rPr>
                    </w:pPr>
                    <w:r>
                      <w:rPr>
                        <w:color w:val="231F20"/>
                        <w:sz w:val="18"/>
                      </w:rPr>
                      <w:t>could </w:t>
                    </w:r>
                    <w:r>
                      <w:rPr>
                        <w:color w:val="231F20"/>
                        <w:spacing w:val="-3"/>
                        <w:sz w:val="18"/>
                      </w:rPr>
                      <w:t>occur, </w:t>
                    </w:r>
                    <w:r>
                      <w:rPr>
                        <w:color w:val="231F20"/>
                        <w:sz w:val="18"/>
                      </w:rPr>
                      <w:t>for example, in a patient with acute HCO </w:t>
                    </w:r>
                    <w:r>
                      <w:rPr>
                        <w:rFonts w:ascii="Consolas" w:hAnsi="Consolas"/>
                        <w:color w:val="231F20"/>
                        <w:position w:val="7"/>
                        <w:sz w:val="11"/>
                      </w:rPr>
                      <w:t>− </w:t>
                    </w:r>
                    <w:r>
                      <w:rPr>
                        <w:color w:val="231F20"/>
                        <w:sz w:val="18"/>
                      </w:rPr>
                      <w:t>loss</w:t>
                    </w:r>
                  </w:p>
                  <w:p>
                    <w:pPr>
                      <w:spacing w:line="69" w:lineRule="exact" w:before="0"/>
                      <w:ind w:left="0" w:right="387" w:firstLine="0"/>
                      <w:jc w:val="right"/>
                      <w:rPr>
                        <w:sz w:val="11"/>
                      </w:rPr>
                    </w:pPr>
                    <w:r>
                      <w:rPr>
                        <w:color w:val="231F20"/>
                        <w:w w:val="96"/>
                        <w:sz w:val="11"/>
                      </w:rPr>
                      <w:t>3</w:t>
                    </w:r>
                  </w:p>
                </w:txbxContent>
              </v:textbox>
              <w10:wrap type="none"/>
            </v:shape>
            <v:shape style="position:absolute;left:180;top:4307;width:4341;height:700" type="#_x0000_t202" filled="false" stroked="false">
              <v:textbox inset="0,0,0,0">
                <w:txbxContent>
                  <w:p>
                    <w:pPr>
                      <w:spacing w:line="254" w:lineRule="auto" w:before="0"/>
                      <w:ind w:left="0" w:right="18" w:firstLine="0"/>
                      <w:jc w:val="both"/>
                      <w:rPr>
                        <w:sz w:val="18"/>
                      </w:rPr>
                    </w:pPr>
                    <w:r>
                      <w:rPr>
                        <w:color w:val="231F20"/>
                        <w:sz w:val="18"/>
                      </w:rPr>
                      <w:t>one would suspect a respiratory component to the acidosis, as well as a metabolic component. Therefore, this disorder would be categorized as a mixed acidosis. This disorder</w:t>
                    </w:r>
                  </w:p>
                </w:txbxContent>
              </v:textbox>
              <w10:wrap type="none"/>
            </v:shape>
            <v:shape style="position:absolute;left:584;top:4181;width:3897;height:156" type="#_x0000_t202" filled="false" stroked="false">
              <v:textbox inset="0,0,0,0">
                <w:txbxContent>
                  <w:p>
                    <w:pPr>
                      <w:tabs>
                        <w:tab w:pos="3822" w:val="left" w:leader="none"/>
                      </w:tabs>
                      <w:spacing w:line="124" w:lineRule="exact" w:before="0"/>
                      <w:ind w:left="0" w:right="0" w:firstLine="0"/>
                      <w:jc w:val="left"/>
                      <w:rPr>
                        <w:sz w:val="11"/>
                      </w:rPr>
                    </w:pPr>
                    <w:r>
                      <w:rPr>
                        <w:color w:val="231F20"/>
                        <w:sz w:val="11"/>
                      </w:rPr>
                      <w:t>3</w:t>
                      <w:tab/>
                      <w:t>2</w:t>
                    </w:r>
                  </w:p>
                </w:txbxContent>
              </v:textbox>
              <w10:wrap type="none"/>
            </v:shape>
            <v:shape style="position:absolute;left:180;top:3647;width:4341;height:480" type="#_x0000_t202" filled="false" stroked="false">
              <v:textbox inset="0,0,0,0">
                <w:txbxContent>
                  <w:p>
                    <w:pPr>
                      <w:spacing w:line="254" w:lineRule="auto" w:before="0"/>
                      <w:ind w:left="0" w:right="-15" w:firstLine="0"/>
                      <w:jc w:val="left"/>
                      <w:rPr>
                        <w:sz w:val="18"/>
                      </w:rPr>
                    </w:pPr>
                    <w:r>
                      <w:rPr>
                        <w:color w:val="231F20"/>
                        <w:w w:val="105"/>
                        <w:sz w:val="18"/>
                      </w:rPr>
                      <w:t>centration and, after appropriate respiratory compensa- tion, a low P</w:t>
                    </w:r>
                    <w:r>
                      <w:rPr>
                        <w:color w:val="231F20"/>
                        <w:w w:val="105"/>
                        <w:sz w:val="14"/>
                      </w:rPr>
                      <w:t>CO</w:t>
                    </w:r>
                    <w:r>
                      <w:rPr>
                        <w:color w:val="231F20"/>
                        <w:w w:val="105"/>
                        <w:position w:val="-2"/>
                        <w:sz w:val="11"/>
                      </w:rPr>
                      <w:t>2</w:t>
                    </w:r>
                    <w:r>
                      <w:rPr>
                        <w:color w:val="231F20"/>
                        <w:w w:val="105"/>
                        <w:sz w:val="18"/>
                      </w:rPr>
                      <w:t>. However, if the low plasma pH and low</w:t>
                    </w:r>
                  </w:p>
                </w:txbxContent>
              </v:textbox>
              <w10:wrap type="none"/>
            </v:shape>
            <v:shape style="position:absolute;left:180;top:4073;width:4340;height:274" type="#_x0000_t202" filled="false" stroked="false">
              <v:textbox inset="0,0,0,0">
                <w:txbxContent>
                  <w:p>
                    <w:pPr>
                      <w:spacing w:before="10"/>
                      <w:ind w:left="0" w:right="0" w:firstLine="0"/>
                      <w:jc w:val="left"/>
                      <w:rPr>
                        <w:sz w:val="18"/>
                      </w:rPr>
                    </w:pPr>
                    <w:r>
                      <w:rPr>
                        <w:color w:val="231F20"/>
                        <w:w w:val="105"/>
                        <w:sz w:val="18"/>
                      </w:rPr>
                      <w:t>HCO </w:t>
                    </w:r>
                    <w:r>
                      <w:rPr>
                        <w:rFonts w:ascii="Consolas" w:hAnsi="Consolas"/>
                        <w:color w:val="231F20"/>
                        <w:w w:val="105"/>
                        <w:position w:val="7"/>
                        <w:sz w:val="11"/>
                      </w:rPr>
                      <w:t>− </w:t>
                    </w:r>
                    <w:r>
                      <w:rPr>
                        <w:color w:val="231F20"/>
                        <w:w w:val="105"/>
                        <w:sz w:val="18"/>
                      </w:rPr>
                      <w:t>concentration are associated with elevated P</w:t>
                    </w:r>
                    <w:r>
                      <w:rPr>
                        <w:color w:val="231F20"/>
                        <w:w w:val="105"/>
                        <w:sz w:val="14"/>
                      </w:rPr>
                      <w:t>CO </w:t>
                    </w:r>
                    <w:r>
                      <w:rPr>
                        <w:color w:val="231F20"/>
                        <w:w w:val="105"/>
                        <w:sz w:val="18"/>
                      </w:rPr>
                      <w:t>,</w:t>
                    </w:r>
                  </w:p>
                </w:txbxContent>
              </v:textbox>
              <w10:wrap type="none"/>
            </v:shape>
            <v:shape style="position:absolute;left:180;top:3413;width:4340;height:274" type="#_x0000_t202" filled="false" stroked="false">
              <v:textbox inset="0,0,0,0">
                <w:txbxContent>
                  <w:p>
                    <w:pPr>
                      <w:spacing w:line="153" w:lineRule="exact" w:before="10"/>
                      <w:ind w:left="0" w:right="0" w:firstLine="0"/>
                      <w:jc w:val="left"/>
                      <w:rPr>
                        <w:sz w:val="18"/>
                      </w:rPr>
                    </w:pPr>
                    <w:r>
                      <w:rPr>
                        <w:color w:val="231F20"/>
                        <w:sz w:val="18"/>
                      </w:rPr>
                      <w:t>would also be accompanied by a low plasma HCO </w:t>
                    </w:r>
                    <w:r>
                      <w:rPr>
                        <w:rFonts w:ascii="Consolas" w:hAnsi="Consolas"/>
                        <w:color w:val="231F20"/>
                        <w:position w:val="7"/>
                        <w:sz w:val="11"/>
                      </w:rPr>
                      <w:t>− </w:t>
                    </w:r>
                    <w:r>
                      <w:rPr>
                        <w:color w:val="231F20"/>
                        <w:sz w:val="18"/>
                      </w:rPr>
                      <w:t>con-</w:t>
                    </w:r>
                  </w:p>
                  <w:p>
                    <w:pPr>
                      <w:spacing w:line="69" w:lineRule="exact" w:before="0"/>
                      <w:ind w:left="0" w:right="472" w:firstLine="0"/>
                      <w:jc w:val="right"/>
                      <w:rPr>
                        <w:sz w:val="11"/>
                      </w:rPr>
                    </w:pPr>
                    <w:r>
                      <w:rPr>
                        <w:color w:val="231F20"/>
                        <w:w w:val="96"/>
                        <w:sz w:val="11"/>
                      </w:rPr>
                      <w:t>3</w:t>
                    </w:r>
                  </w:p>
                </w:txbxContent>
              </v:textbox>
              <w10:wrap type="none"/>
            </v:shape>
            <v:shape style="position:absolute;left:180;top:1366;width:4341;height:2101" type="#_x0000_t202" filled="false" stroked="false">
              <v:textbox inset="0,0,0,0">
                <w:txbxContent>
                  <w:p>
                    <w:pPr>
                      <w:spacing w:line="252" w:lineRule="auto" w:before="0"/>
                      <w:ind w:left="0" w:right="406" w:firstLine="0"/>
                      <w:jc w:val="left"/>
                      <w:rPr>
                        <w:rFonts w:ascii="Trebuchet MS"/>
                        <w:b/>
                        <w:sz w:val="18"/>
                      </w:rPr>
                    </w:pPr>
                    <w:r>
                      <w:rPr>
                        <w:rFonts w:ascii="Trebuchet MS"/>
                        <w:b/>
                        <w:color w:val="231F20"/>
                        <w:w w:val="105"/>
                        <w:sz w:val="18"/>
                      </w:rPr>
                      <w:t>Complex Acid-Base Disorders and Use of the Acid-Base Nomogram for Diagnosis</w:t>
                    </w:r>
                  </w:p>
                  <w:p>
                    <w:pPr>
                      <w:spacing w:line="254" w:lineRule="auto" w:before="81"/>
                      <w:ind w:left="0" w:right="18" w:firstLine="0"/>
                      <w:jc w:val="both"/>
                      <w:rPr>
                        <w:sz w:val="18"/>
                      </w:rPr>
                    </w:pPr>
                    <w:r>
                      <w:rPr>
                        <w:color w:val="231F20"/>
                        <w:w w:val="105"/>
                        <w:sz w:val="18"/>
                      </w:rPr>
                      <w:t>In some instances, acid-base disorders are not </w:t>
                    </w:r>
                    <w:r>
                      <w:rPr>
                        <w:color w:val="231F20"/>
                        <w:spacing w:val="-3"/>
                        <w:w w:val="105"/>
                        <w:sz w:val="18"/>
                      </w:rPr>
                      <w:t>accompa- </w:t>
                    </w:r>
                    <w:r>
                      <w:rPr>
                        <w:color w:val="231F20"/>
                        <w:w w:val="105"/>
                        <w:sz w:val="18"/>
                      </w:rPr>
                      <w:t>nied by appropriate compensatory responses. When this situation occurs, the abnormality is referred to as a</w:t>
                    </w:r>
                    <w:r>
                      <w:rPr>
                        <w:color w:val="231F20"/>
                        <w:spacing w:val="-15"/>
                        <w:w w:val="105"/>
                        <w:sz w:val="18"/>
                      </w:rPr>
                      <w:t> </w:t>
                    </w:r>
                    <w:r>
                      <w:rPr>
                        <w:i/>
                        <w:color w:val="231F20"/>
                        <w:w w:val="105"/>
                        <w:sz w:val="18"/>
                      </w:rPr>
                      <w:t>mixed </w:t>
                    </w:r>
                    <w:r>
                      <w:rPr>
                        <w:i/>
                        <w:color w:val="231F20"/>
                        <w:w w:val="105"/>
                        <w:sz w:val="18"/>
                      </w:rPr>
                      <w:t>acid-base disorder, </w:t>
                    </w:r>
                    <w:r>
                      <w:rPr>
                        <w:color w:val="231F20"/>
                        <w:w w:val="105"/>
                        <w:sz w:val="18"/>
                      </w:rPr>
                      <w:t>which means that there are two or more</w:t>
                    </w:r>
                    <w:r>
                      <w:rPr>
                        <w:color w:val="231F20"/>
                        <w:spacing w:val="-9"/>
                        <w:w w:val="105"/>
                        <w:sz w:val="18"/>
                      </w:rPr>
                      <w:t> </w:t>
                    </w:r>
                    <w:r>
                      <w:rPr>
                        <w:color w:val="231F20"/>
                        <w:w w:val="105"/>
                        <w:sz w:val="18"/>
                      </w:rPr>
                      <w:t>underlying</w:t>
                    </w:r>
                    <w:r>
                      <w:rPr>
                        <w:color w:val="231F20"/>
                        <w:spacing w:val="-8"/>
                        <w:w w:val="105"/>
                        <w:sz w:val="18"/>
                      </w:rPr>
                      <w:t> </w:t>
                    </w:r>
                    <w:r>
                      <w:rPr>
                        <w:color w:val="231F20"/>
                        <w:w w:val="105"/>
                        <w:sz w:val="18"/>
                      </w:rPr>
                      <w:t>causes</w:t>
                    </w:r>
                    <w:r>
                      <w:rPr>
                        <w:color w:val="231F20"/>
                        <w:spacing w:val="-8"/>
                        <w:w w:val="105"/>
                        <w:sz w:val="18"/>
                      </w:rPr>
                      <w:t> </w:t>
                    </w:r>
                    <w:r>
                      <w:rPr>
                        <w:color w:val="231F20"/>
                        <w:w w:val="105"/>
                        <w:sz w:val="18"/>
                      </w:rPr>
                      <w:t>for</w:t>
                    </w:r>
                    <w:r>
                      <w:rPr>
                        <w:color w:val="231F20"/>
                        <w:spacing w:val="-8"/>
                        <w:w w:val="105"/>
                        <w:sz w:val="18"/>
                      </w:rPr>
                      <w:t> </w:t>
                    </w:r>
                    <w:r>
                      <w:rPr>
                        <w:color w:val="231F20"/>
                        <w:w w:val="105"/>
                        <w:sz w:val="18"/>
                      </w:rPr>
                      <w:t>the</w:t>
                    </w:r>
                    <w:r>
                      <w:rPr>
                        <w:color w:val="231F20"/>
                        <w:spacing w:val="-8"/>
                        <w:w w:val="105"/>
                        <w:sz w:val="18"/>
                      </w:rPr>
                      <w:t> </w:t>
                    </w:r>
                    <w:r>
                      <w:rPr>
                        <w:color w:val="231F20"/>
                        <w:w w:val="105"/>
                        <w:sz w:val="18"/>
                      </w:rPr>
                      <w:t>acid-base</w:t>
                    </w:r>
                    <w:r>
                      <w:rPr>
                        <w:color w:val="231F20"/>
                        <w:spacing w:val="-8"/>
                        <w:w w:val="105"/>
                        <w:sz w:val="18"/>
                      </w:rPr>
                      <w:t> </w:t>
                    </w:r>
                    <w:r>
                      <w:rPr>
                        <w:color w:val="231F20"/>
                        <w:w w:val="105"/>
                        <w:sz w:val="18"/>
                      </w:rPr>
                      <w:t>disturbance.</w:t>
                    </w:r>
                    <w:r>
                      <w:rPr>
                        <w:color w:val="231F20"/>
                        <w:spacing w:val="-8"/>
                        <w:w w:val="105"/>
                        <w:sz w:val="18"/>
                      </w:rPr>
                      <w:t> </w:t>
                    </w:r>
                    <w:r>
                      <w:rPr>
                        <w:color w:val="231F20"/>
                        <w:spacing w:val="-3"/>
                        <w:w w:val="105"/>
                        <w:sz w:val="18"/>
                      </w:rPr>
                      <w:t>For </w:t>
                    </w:r>
                    <w:r>
                      <w:rPr>
                        <w:color w:val="231F20"/>
                        <w:w w:val="105"/>
                        <w:sz w:val="18"/>
                      </w:rPr>
                      <w:t>example, a patient with low pH would be categorized as acidotic. If the disorder was metabolically mediated,</w:t>
                    </w:r>
                    <w:r>
                      <w:rPr>
                        <w:color w:val="231F20"/>
                        <w:spacing w:val="22"/>
                        <w:w w:val="105"/>
                        <w:sz w:val="18"/>
                      </w:rPr>
                      <w:t> </w:t>
                    </w:r>
                    <w:r>
                      <w:rPr>
                        <w:color w:val="231F20"/>
                        <w:w w:val="105"/>
                        <w:sz w:val="18"/>
                      </w:rPr>
                      <w:t>this</w:t>
                    </w:r>
                  </w:p>
                </w:txbxContent>
              </v:textbox>
              <w10:wrap type="none"/>
            </v:shape>
            <v:shape style="position:absolute;left:180;top:773;width:4341;height:494" type="#_x0000_t202" filled="false" stroked="false">
              <v:textbox inset="0,0,0,0">
                <w:txbxContent>
                  <w:p>
                    <w:pPr>
                      <w:spacing w:line="153" w:lineRule="exact" w:before="10"/>
                      <w:ind w:left="0" w:right="0" w:firstLine="0"/>
                      <w:jc w:val="left"/>
                      <w:rPr>
                        <w:i/>
                        <w:sz w:val="18"/>
                      </w:rPr>
                    </w:pPr>
                    <w:r>
                      <w:rPr>
                        <w:i/>
                        <w:color w:val="231F20"/>
                        <w:sz w:val="18"/>
                      </w:rPr>
                      <w:t>to find increased pH, increased plasma HCO </w:t>
                    </w:r>
                    <w:r>
                      <w:rPr>
                        <w:rFonts w:ascii="Consolas" w:hAnsi="Consolas"/>
                        <w:i/>
                        <w:color w:val="231F20"/>
                        <w:position w:val="7"/>
                        <w:sz w:val="11"/>
                      </w:rPr>
                      <w:t>−</w:t>
                    </w:r>
                    <w:r>
                      <w:rPr>
                        <w:i/>
                        <w:color w:val="231F20"/>
                        <w:sz w:val="18"/>
                      </w:rPr>
                      <w:t>, and</w:t>
                    </w:r>
                  </w:p>
                  <w:p>
                    <w:pPr>
                      <w:spacing w:line="69" w:lineRule="exact" w:before="0"/>
                      <w:ind w:left="0" w:right="527" w:firstLine="0"/>
                      <w:jc w:val="right"/>
                      <w:rPr>
                        <w:i/>
                        <w:sz w:val="11"/>
                      </w:rPr>
                    </w:pPr>
                    <w:r>
                      <w:rPr>
                        <w:i/>
                        <w:color w:val="231F20"/>
                        <w:w w:val="97"/>
                        <w:sz w:val="11"/>
                      </w:rPr>
                      <w:t>3</w:t>
                    </w:r>
                  </w:p>
                  <w:p>
                    <w:pPr>
                      <w:spacing w:before="1"/>
                      <w:ind w:left="0" w:right="0" w:firstLine="0"/>
                      <w:jc w:val="left"/>
                      <w:rPr>
                        <w:sz w:val="18"/>
                      </w:rPr>
                    </w:pPr>
                    <w:r>
                      <w:rPr>
                        <w:i/>
                        <w:color w:val="231F20"/>
                        <w:sz w:val="18"/>
                      </w:rPr>
                      <w:t>increased P</w:t>
                    </w:r>
                    <w:r>
                      <w:rPr>
                        <w:i/>
                        <w:color w:val="231F20"/>
                        <w:sz w:val="14"/>
                      </w:rPr>
                      <w:t>CO</w:t>
                    </w:r>
                    <w:r>
                      <w:rPr>
                        <w:i/>
                        <w:color w:val="231F20"/>
                        <w:position w:val="-2"/>
                        <w:sz w:val="11"/>
                      </w:rPr>
                      <w:t>2</w:t>
                    </w:r>
                    <w:r>
                      <w:rPr>
                        <w:color w:val="231F20"/>
                        <w:sz w:val="18"/>
                      </w:rPr>
                      <w:t>.</w:t>
                    </w:r>
                  </w:p>
                </w:txbxContent>
              </v:textbox>
              <w10:wrap type="none"/>
            </v:shape>
            <v:shape style="position:absolute;left:180;top:567;width:4341;height:260" type="#_x0000_t202" filled="false" stroked="false">
              <v:textbox inset="0,0,0,0">
                <w:txbxContent>
                  <w:p>
                    <w:pPr>
                      <w:spacing w:line="206" w:lineRule="exact" w:before="0"/>
                      <w:ind w:left="0" w:right="0" w:firstLine="0"/>
                      <w:jc w:val="left"/>
                      <w:rPr>
                        <w:i/>
                        <w:sz w:val="18"/>
                      </w:rPr>
                    </w:pPr>
                    <w:r>
                      <w:rPr>
                        <w:i/>
                        <w:color w:val="231F20"/>
                        <w:sz w:val="18"/>
                      </w:rPr>
                      <w:t>the plasma. In simple metabolic alkalosis, one would expect</w:t>
                    </w:r>
                  </w:p>
                </w:txbxContent>
              </v:textbox>
              <w10:wrap type="none"/>
            </v:shape>
            <v:shape style="position:absolute;left:180;top:333;width:4341;height:274" type="#_x0000_t202" filled="false" stroked="false">
              <v:textbox inset="0,0,0,0">
                <w:txbxContent>
                  <w:p>
                    <w:pPr>
                      <w:spacing w:line="160" w:lineRule="exact" w:before="9"/>
                      <w:ind w:left="0" w:right="0" w:firstLine="0"/>
                      <w:jc w:val="left"/>
                      <w:rPr>
                        <w:i/>
                        <w:sz w:val="18"/>
                      </w:rPr>
                    </w:pPr>
                    <w:r>
                      <w:rPr>
                        <w:i/>
                        <w:color w:val="231F20"/>
                        <w:sz w:val="18"/>
                      </w:rPr>
                      <w:t>pH, decreased P</w:t>
                    </w:r>
                    <w:r>
                      <w:rPr>
                        <w:i/>
                        <w:color w:val="231F20"/>
                        <w:sz w:val="14"/>
                      </w:rPr>
                      <w:t>CO</w:t>
                    </w:r>
                    <w:r>
                      <w:rPr>
                        <w:i/>
                        <w:color w:val="231F20"/>
                        <w:position w:val="-2"/>
                        <w:sz w:val="11"/>
                      </w:rPr>
                      <w:t>2</w:t>
                    </w:r>
                    <w:r>
                      <w:rPr>
                        <w:i/>
                        <w:color w:val="231F20"/>
                        <w:sz w:val="18"/>
                      </w:rPr>
                      <w:t>, and decreased HCO </w:t>
                    </w:r>
                    <w:r>
                      <w:rPr>
                        <w:rFonts w:ascii="Consolas" w:hAnsi="Consolas"/>
                        <w:i/>
                        <w:color w:val="231F20"/>
                        <w:position w:val="7"/>
                        <w:sz w:val="11"/>
                      </w:rPr>
                      <w:t>−</w:t>
                    </w:r>
                    <w:r>
                      <w:rPr>
                        <w:rFonts w:ascii="Consolas" w:hAnsi="Consolas"/>
                        <w:i/>
                        <w:color w:val="231F20"/>
                        <w:spacing w:val="-46"/>
                        <w:position w:val="7"/>
                        <w:sz w:val="11"/>
                      </w:rPr>
                      <w:t> </w:t>
                    </w:r>
                    <w:r>
                      <w:rPr>
                        <w:i/>
                        <w:color w:val="231F20"/>
                        <w:sz w:val="18"/>
                      </w:rPr>
                      <w:t>concentration in</w:t>
                    </w:r>
                  </w:p>
                  <w:p>
                    <w:pPr>
                      <w:spacing w:line="62" w:lineRule="exact" w:before="0"/>
                      <w:ind w:left="0" w:right="1308" w:firstLine="0"/>
                      <w:jc w:val="right"/>
                      <w:rPr>
                        <w:i/>
                        <w:sz w:val="11"/>
                      </w:rPr>
                    </w:pPr>
                    <w:r>
                      <w:rPr>
                        <w:i/>
                        <w:color w:val="231F20"/>
                        <w:w w:val="97"/>
                        <w:sz w:val="11"/>
                      </w:rPr>
                      <w:t>3</w:t>
                    </w:r>
                  </w:p>
                </w:txbxContent>
              </v:textbox>
              <w10:wrap type="none"/>
            </v:shape>
            <v:shape style="position:absolute;left:180;top:127;width:4341;height:260" type="#_x0000_t202" filled="false" stroked="false">
              <v:textbox inset="0,0,0,0">
                <w:txbxContent>
                  <w:p>
                    <w:pPr>
                      <w:spacing w:line="206" w:lineRule="exact" w:before="0"/>
                      <w:ind w:left="0" w:right="0" w:firstLine="0"/>
                      <w:jc w:val="left"/>
                      <w:rPr>
                        <w:i/>
                        <w:sz w:val="18"/>
                      </w:rPr>
                    </w:pPr>
                    <w:r>
                      <w:rPr>
                        <w:i/>
                        <w:color w:val="231F20"/>
                        <w:sz w:val="18"/>
                      </w:rPr>
                      <w:t>respiratory alkalosis, one would expect to find increased</w:t>
                    </w:r>
                  </w:p>
                </w:txbxContent>
              </v:textbox>
              <w10:wrap type="none"/>
            </v:shape>
          </v:group>
        </w:pict>
      </w:r>
      <w:r>
        <w:rPr>
          <w:rFonts w:ascii="Helvetica"/>
        </w:rPr>
      </w:r>
      <w:r>
        <w:rPr>
          <w:rFonts w:ascii="Helvetica"/>
        </w:rPr>
        <w:tab/>
      </w:r>
      <w:r>
        <w:rPr>
          <w:rFonts w:ascii="Helvetica"/>
        </w:rPr>
        <w:pict>
          <v:group style="width:234pt;height:408.9pt;mso-position-horizontal-relative:char;mso-position-vertical-relative:line" coordorigin="0,0" coordsize="4680,8178">
            <v:rect style="position:absolute;left:0;top:0;width:4680;height:8178" filled="true" fillcolor="#f0eef6" stroked="false">
              <v:fill type="solid"/>
            </v:rect>
            <v:shape style="position:absolute;left:180;top:6161;width:4341;height:1926" type="#_x0000_t202" filled="false" stroked="false">
              <v:textbox inset="0,0,0,0">
                <w:txbxContent>
                  <w:p>
                    <w:pPr>
                      <w:spacing w:line="124" w:lineRule="exact" w:before="0"/>
                      <w:ind w:left="0" w:right="303" w:firstLine="0"/>
                      <w:jc w:val="center"/>
                      <w:rPr>
                        <w:sz w:val="11"/>
                      </w:rPr>
                    </w:pPr>
                    <w:r>
                      <w:rPr>
                        <w:color w:val="231F20"/>
                        <w:w w:val="96"/>
                        <w:sz w:val="11"/>
                      </w:rPr>
                      <w:t>3</w:t>
                    </w:r>
                  </w:p>
                  <w:p>
                    <w:pPr>
                      <w:spacing w:line="247" w:lineRule="auto" w:before="1"/>
                      <w:ind w:left="0" w:right="18" w:firstLine="0"/>
                      <w:jc w:val="both"/>
                      <w:rPr>
                        <w:sz w:val="18"/>
                      </w:rPr>
                    </w:pPr>
                    <w:r>
                      <w:rPr>
                        <w:color w:val="231F20"/>
                        <w:w w:val="105"/>
                        <w:sz w:val="18"/>
                      </w:rPr>
                      <w:t>the normal value of 24 mEq/L. However, the respiratory compensation that would normally reduce P</w:t>
                    </w:r>
                    <w:r>
                      <w:rPr>
                        <w:color w:val="231F20"/>
                        <w:w w:val="105"/>
                        <w:sz w:val="14"/>
                      </w:rPr>
                      <w:t>CO</w:t>
                    </w:r>
                    <w:r>
                      <w:rPr>
                        <w:color w:val="231F20"/>
                        <w:w w:val="105"/>
                        <w:position w:val="-2"/>
                        <w:sz w:val="11"/>
                      </w:rPr>
                      <w:t>2 </w:t>
                    </w:r>
                    <w:r>
                      <w:rPr>
                        <w:color w:val="231F20"/>
                        <w:w w:val="105"/>
                        <w:sz w:val="18"/>
                      </w:rPr>
                      <w:t>is absent and P</w:t>
                    </w:r>
                    <w:r>
                      <w:rPr>
                        <w:color w:val="231F20"/>
                        <w:w w:val="105"/>
                        <w:sz w:val="14"/>
                      </w:rPr>
                      <w:t>CO</w:t>
                    </w:r>
                    <w:r>
                      <w:rPr>
                        <w:color w:val="231F20"/>
                        <w:w w:val="105"/>
                        <w:position w:val="-2"/>
                        <w:sz w:val="11"/>
                      </w:rPr>
                      <w:t>2 </w:t>
                    </w:r>
                    <w:r>
                      <w:rPr>
                        <w:color w:val="231F20"/>
                        <w:w w:val="105"/>
                        <w:sz w:val="18"/>
                      </w:rPr>
                      <w:t>is slightly increased above the normal value of 40 mm Hg. This finding is consistent with a mixed acid- base disturbance consisting of metabolic acidosis, as</w:t>
                    </w:r>
                    <w:r>
                      <w:rPr>
                        <w:color w:val="231F20"/>
                        <w:spacing w:val="-31"/>
                        <w:w w:val="105"/>
                        <w:sz w:val="18"/>
                      </w:rPr>
                      <w:t> </w:t>
                    </w:r>
                    <w:r>
                      <w:rPr>
                        <w:color w:val="231F20"/>
                        <w:w w:val="105"/>
                        <w:sz w:val="18"/>
                      </w:rPr>
                      <w:t>well as a respiratory</w:t>
                    </w:r>
                    <w:r>
                      <w:rPr>
                        <w:color w:val="231F20"/>
                        <w:spacing w:val="9"/>
                        <w:w w:val="105"/>
                        <w:sz w:val="18"/>
                      </w:rPr>
                      <w:t> </w:t>
                    </w:r>
                    <w:r>
                      <w:rPr>
                        <w:color w:val="231F20"/>
                        <w:w w:val="105"/>
                        <w:sz w:val="18"/>
                      </w:rPr>
                      <w:t>component.</w:t>
                    </w:r>
                  </w:p>
                  <w:p>
                    <w:pPr>
                      <w:spacing w:line="254" w:lineRule="auto" w:before="11"/>
                      <w:ind w:left="0" w:right="18" w:firstLine="239"/>
                      <w:jc w:val="both"/>
                      <w:rPr>
                        <w:sz w:val="18"/>
                      </w:rPr>
                    </w:pPr>
                    <w:r>
                      <w:rPr>
                        <w:color w:val="231F20"/>
                        <w:w w:val="105"/>
                        <w:sz w:val="18"/>
                      </w:rPr>
                      <w:t>The</w:t>
                    </w:r>
                    <w:r>
                      <w:rPr>
                        <w:color w:val="231F20"/>
                        <w:spacing w:val="-27"/>
                        <w:w w:val="105"/>
                        <w:sz w:val="18"/>
                      </w:rPr>
                      <w:t> </w:t>
                    </w:r>
                    <w:r>
                      <w:rPr>
                        <w:color w:val="231F20"/>
                        <w:w w:val="105"/>
                        <w:sz w:val="18"/>
                      </w:rPr>
                      <w:t>acid-base</w:t>
                    </w:r>
                    <w:r>
                      <w:rPr>
                        <w:color w:val="231F20"/>
                        <w:spacing w:val="-26"/>
                        <w:w w:val="105"/>
                        <w:sz w:val="18"/>
                      </w:rPr>
                      <w:t> </w:t>
                    </w:r>
                    <w:r>
                      <w:rPr>
                        <w:color w:val="231F20"/>
                        <w:w w:val="105"/>
                        <w:sz w:val="18"/>
                      </w:rPr>
                      <w:t>nomogram</w:t>
                    </w:r>
                    <w:r>
                      <w:rPr>
                        <w:color w:val="231F20"/>
                        <w:spacing w:val="-26"/>
                        <w:w w:val="105"/>
                        <w:sz w:val="18"/>
                      </w:rPr>
                      <w:t> </w:t>
                    </w:r>
                    <w:r>
                      <w:rPr>
                        <w:color w:val="231F20"/>
                        <w:w w:val="105"/>
                        <w:sz w:val="18"/>
                      </w:rPr>
                      <w:t>serves</w:t>
                    </w:r>
                    <w:r>
                      <w:rPr>
                        <w:color w:val="231F20"/>
                        <w:spacing w:val="-26"/>
                        <w:w w:val="105"/>
                        <w:sz w:val="18"/>
                      </w:rPr>
                      <w:t> </w:t>
                    </w:r>
                    <w:r>
                      <w:rPr>
                        <w:color w:val="231F20"/>
                        <w:w w:val="105"/>
                        <w:sz w:val="18"/>
                      </w:rPr>
                      <w:t>as</w:t>
                    </w:r>
                    <w:r>
                      <w:rPr>
                        <w:color w:val="231F20"/>
                        <w:spacing w:val="-26"/>
                        <w:w w:val="105"/>
                        <w:sz w:val="18"/>
                      </w:rPr>
                      <w:t> </w:t>
                    </w:r>
                    <w:r>
                      <w:rPr>
                        <w:color w:val="231F20"/>
                        <w:w w:val="105"/>
                        <w:sz w:val="18"/>
                      </w:rPr>
                      <w:t>a</w:t>
                    </w:r>
                    <w:r>
                      <w:rPr>
                        <w:color w:val="231F20"/>
                        <w:spacing w:val="-26"/>
                        <w:w w:val="105"/>
                        <w:sz w:val="18"/>
                      </w:rPr>
                      <w:t> </w:t>
                    </w:r>
                    <w:r>
                      <w:rPr>
                        <w:color w:val="231F20"/>
                        <w:w w:val="105"/>
                        <w:sz w:val="18"/>
                      </w:rPr>
                      <w:t>quick</w:t>
                    </w:r>
                    <w:r>
                      <w:rPr>
                        <w:color w:val="231F20"/>
                        <w:spacing w:val="-26"/>
                        <w:w w:val="105"/>
                        <w:sz w:val="18"/>
                      </w:rPr>
                      <w:t> </w:t>
                    </w:r>
                    <w:r>
                      <w:rPr>
                        <w:color w:val="231F20"/>
                        <w:w w:val="105"/>
                        <w:sz w:val="18"/>
                      </w:rPr>
                      <w:t>way</w:t>
                    </w:r>
                    <w:r>
                      <w:rPr>
                        <w:color w:val="231F20"/>
                        <w:spacing w:val="-26"/>
                        <w:w w:val="105"/>
                        <w:sz w:val="18"/>
                      </w:rPr>
                      <w:t> </w:t>
                    </w:r>
                    <w:r>
                      <w:rPr>
                        <w:color w:val="231F20"/>
                        <w:w w:val="105"/>
                        <w:sz w:val="18"/>
                      </w:rPr>
                      <w:t>to</w:t>
                    </w:r>
                    <w:r>
                      <w:rPr>
                        <w:color w:val="231F20"/>
                        <w:spacing w:val="-26"/>
                        <w:w w:val="105"/>
                        <w:sz w:val="18"/>
                      </w:rPr>
                      <w:t> </w:t>
                    </w:r>
                    <w:r>
                      <w:rPr>
                        <w:color w:val="231F20"/>
                        <w:w w:val="105"/>
                        <w:sz w:val="18"/>
                      </w:rPr>
                      <w:t>assess the</w:t>
                    </w:r>
                    <w:r>
                      <w:rPr>
                        <w:color w:val="231F20"/>
                        <w:spacing w:val="-12"/>
                        <w:w w:val="105"/>
                        <w:sz w:val="18"/>
                      </w:rPr>
                      <w:t> </w:t>
                    </w:r>
                    <w:r>
                      <w:rPr>
                        <w:color w:val="231F20"/>
                        <w:w w:val="105"/>
                        <w:sz w:val="18"/>
                      </w:rPr>
                      <w:t>type</w:t>
                    </w:r>
                    <w:r>
                      <w:rPr>
                        <w:color w:val="231F20"/>
                        <w:spacing w:val="-12"/>
                        <w:w w:val="105"/>
                        <w:sz w:val="18"/>
                      </w:rPr>
                      <w:t> </w:t>
                    </w:r>
                    <w:r>
                      <w:rPr>
                        <w:color w:val="231F20"/>
                        <w:w w:val="105"/>
                        <w:sz w:val="18"/>
                      </w:rPr>
                      <w:t>and</w:t>
                    </w:r>
                    <w:r>
                      <w:rPr>
                        <w:color w:val="231F20"/>
                        <w:spacing w:val="-11"/>
                        <w:w w:val="105"/>
                        <w:sz w:val="18"/>
                      </w:rPr>
                      <w:t> </w:t>
                    </w:r>
                    <w:r>
                      <w:rPr>
                        <w:color w:val="231F20"/>
                        <w:w w:val="105"/>
                        <w:sz w:val="18"/>
                      </w:rPr>
                      <w:t>severity</w:t>
                    </w:r>
                    <w:r>
                      <w:rPr>
                        <w:color w:val="231F20"/>
                        <w:spacing w:val="-12"/>
                        <w:w w:val="105"/>
                        <w:sz w:val="18"/>
                      </w:rPr>
                      <w:t> </w:t>
                    </w:r>
                    <w:r>
                      <w:rPr>
                        <w:color w:val="231F20"/>
                        <w:w w:val="105"/>
                        <w:sz w:val="18"/>
                      </w:rPr>
                      <w:t>of</w:t>
                    </w:r>
                    <w:r>
                      <w:rPr>
                        <w:color w:val="231F20"/>
                        <w:spacing w:val="-11"/>
                        <w:w w:val="105"/>
                        <w:sz w:val="18"/>
                      </w:rPr>
                      <w:t> </w:t>
                    </w:r>
                    <w:r>
                      <w:rPr>
                        <w:color w:val="231F20"/>
                        <w:w w:val="105"/>
                        <w:sz w:val="18"/>
                      </w:rPr>
                      <w:t>disorders</w:t>
                    </w:r>
                    <w:r>
                      <w:rPr>
                        <w:color w:val="231F20"/>
                        <w:spacing w:val="-12"/>
                        <w:w w:val="105"/>
                        <w:sz w:val="18"/>
                      </w:rPr>
                      <w:t> </w:t>
                    </w:r>
                    <w:r>
                      <w:rPr>
                        <w:color w:val="231F20"/>
                        <w:w w:val="105"/>
                        <w:sz w:val="18"/>
                      </w:rPr>
                      <w:t>that</w:t>
                    </w:r>
                    <w:r>
                      <w:rPr>
                        <w:color w:val="231F20"/>
                        <w:spacing w:val="-11"/>
                        <w:w w:val="105"/>
                        <w:sz w:val="18"/>
                      </w:rPr>
                      <w:t> </w:t>
                    </w:r>
                    <w:r>
                      <w:rPr>
                        <w:color w:val="231F20"/>
                        <w:w w:val="105"/>
                        <w:sz w:val="18"/>
                      </w:rPr>
                      <w:t>may</w:t>
                    </w:r>
                    <w:r>
                      <w:rPr>
                        <w:color w:val="231F20"/>
                        <w:spacing w:val="-12"/>
                        <w:w w:val="105"/>
                        <w:sz w:val="18"/>
                      </w:rPr>
                      <w:t> </w:t>
                    </w:r>
                    <w:r>
                      <w:rPr>
                        <w:color w:val="231F20"/>
                        <w:w w:val="105"/>
                        <w:sz w:val="18"/>
                      </w:rPr>
                      <w:t>be</w:t>
                    </w:r>
                    <w:r>
                      <w:rPr>
                        <w:color w:val="231F20"/>
                        <w:spacing w:val="-11"/>
                        <w:w w:val="105"/>
                        <w:sz w:val="18"/>
                      </w:rPr>
                      <w:t> </w:t>
                    </w:r>
                    <w:r>
                      <w:rPr>
                        <w:color w:val="231F20"/>
                        <w:w w:val="105"/>
                        <w:sz w:val="18"/>
                      </w:rPr>
                      <w:t>contributing</w:t>
                    </w:r>
                  </w:p>
                </w:txbxContent>
              </v:textbox>
              <w10:wrap type="none"/>
            </v:shape>
            <v:shape style="position:absolute;left:180;top:6053;width:4340;height:274" type="#_x0000_t202" filled="false" stroked="false">
              <v:textbox inset="0,0,0,0">
                <w:txbxContent>
                  <w:p>
                    <w:pPr>
                      <w:spacing w:before="10"/>
                      <w:ind w:left="0" w:right="0" w:firstLine="0"/>
                      <w:jc w:val="left"/>
                      <w:rPr>
                        <w:sz w:val="18"/>
                      </w:rPr>
                    </w:pPr>
                    <w:r>
                      <w:rPr>
                        <w:color w:val="231F20"/>
                        <w:w w:val="105"/>
                        <w:sz w:val="18"/>
                      </w:rPr>
                      <w:t>because the plasma HCO </w:t>
                    </w:r>
                    <w:r>
                      <w:rPr>
                        <w:rFonts w:ascii="Consolas" w:hAnsi="Consolas"/>
                        <w:color w:val="231F20"/>
                        <w:w w:val="105"/>
                        <w:position w:val="7"/>
                        <w:sz w:val="11"/>
                      </w:rPr>
                      <w:t>− </w:t>
                    </w:r>
                    <w:r>
                      <w:rPr>
                        <w:color w:val="231F20"/>
                        <w:w w:val="105"/>
                        <w:sz w:val="18"/>
                      </w:rPr>
                      <w:t>concentration is lower than</w:t>
                    </w:r>
                  </w:p>
                </w:txbxContent>
              </v:textbox>
              <w10:wrap type="none"/>
            </v:shape>
            <v:shape style="position:absolute;left:180;top:5627;width:4340;height:480" type="#_x0000_t202" filled="false" stroked="false">
              <v:textbox inset="0,0,0,0">
                <w:txbxContent>
                  <w:p>
                    <w:pPr>
                      <w:spacing w:before="0"/>
                      <w:ind w:left="0" w:right="0" w:firstLine="0"/>
                      <w:jc w:val="left"/>
                      <w:rPr>
                        <w:sz w:val="18"/>
                      </w:rPr>
                    </w:pPr>
                    <w:r>
                      <w:rPr>
                        <w:color w:val="231F20"/>
                        <w:w w:val="105"/>
                        <w:sz w:val="18"/>
                      </w:rPr>
                      <w:t>and plasma P</w:t>
                    </w:r>
                    <w:r>
                      <w:rPr>
                        <w:color w:val="231F20"/>
                        <w:w w:val="105"/>
                        <w:sz w:val="14"/>
                      </w:rPr>
                      <w:t>CO</w:t>
                    </w:r>
                    <w:r>
                      <w:rPr>
                        <w:color w:val="231F20"/>
                        <w:w w:val="105"/>
                        <w:position w:val="-2"/>
                        <w:sz w:val="11"/>
                      </w:rPr>
                      <w:t>2</w:t>
                    </w:r>
                    <w:r>
                      <w:rPr>
                        <w:color w:val="231F20"/>
                        <w:w w:val="105"/>
                        <w:sz w:val="18"/>
                      </w:rPr>
                      <w:t>, 50 mm Hg. In this example, the patient is</w:t>
                    </w:r>
                    <w:r>
                      <w:rPr>
                        <w:color w:val="231F20"/>
                        <w:spacing w:val="-12"/>
                        <w:w w:val="105"/>
                        <w:sz w:val="18"/>
                      </w:rPr>
                      <w:t> </w:t>
                    </w:r>
                    <w:r>
                      <w:rPr>
                        <w:color w:val="231F20"/>
                        <w:w w:val="105"/>
                        <w:sz w:val="18"/>
                      </w:rPr>
                      <w:t>acidotic,</w:t>
                    </w:r>
                    <w:r>
                      <w:rPr>
                        <w:color w:val="231F20"/>
                        <w:spacing w:val="-12"/>
                        <w:w w:val="105"/>
                        <w:sz w:val="18"/>
                      </w:rPr>
                      <w:t> </w:t>
                    </w:r>
                    <w:r>
                      <w:rPr>
                        <w:color w:val="231F20"/>
                        <w:w w:val="105"/>
                        <w:sz w:val="18"/>
                      </w:rPr>
                      <w:t>and</w:t>
                    </w:r>
                    <w:r>
                      <w:rPr>
                        <w:color w:val="231F20"/>
                        <w:spacing w:val="-12"/>
                        <w:w w:val="105"/>
                        <w:sz w:val="18"/>
                      </w:rPr>
                      <w:t> </w:t>
                    </w:r>
                    <w:r>
                      <w:rPr>
                        <w:color w:val="231F20"/>
                        <w:w w:val="105"/>
                        <w:sz w:val="18"/>
                      </w:rPr>
                      <w:t>there</w:t>
                    </w:r>
                    <w:r>
                      <w:rPr>
                        <w:color w:val="231F20"/>
                        <w:spacing w:val="-12"/>
                        <w:w w:val="105"/>
                        <w:sz w:val="18"/>
                      </w:rPr>
                      <w:t> </w:t>
                    </w:r>
                    <w:r>
                      <w:rPr>
                        <w:color w:val="231F20"/>
                        <w:w w:val="105"/>
                        <w:sz w:val="18"/>
                      </w:rPr>
                      <w:t>appears</w:t>
                    </w:r>
                    <w:r>
                      <w:rPr>
                        <w:color w:val="231F20"/>
                        <w:spacing w:val="-12"/>
                        <w:w w:val="105"/>
                        <w:sz w:val="18"/>
                      </w:rPr>
                      <w:t> </w:t>
                    </w:r>
                    <w:r>
                      <w:rPr>
                        <w:color w:val="231F20"/>
                        <w:w w:val="105"/>
                        <w:sz w:val="18"/>
                      </w:rPr>
                      <w:t>to</w:t>
                    </w:r>
                    <w:r>
                      <w:rPr>
                        <w:color w:val="231F20"/>
                        <w:spacing w:val="-12"/>
                        <w:w w:val="105"/>
                        <w:sz w:val="18"/>
                      </w:rPr>
                      <w:t> </w:t>
                    </w:r>
                    <w:r>
                      <w:rPr>
                        <w:color w:val="231F20"/>
                        <w:w w:val="105"/>
                        <w:sz w:val="18"/>
                      </w:rPr>
                      <w:t>be</w:t>
                    </w:r>
                    <w:r>
                      <w:rPr>
                        <w:color w:val="231F20"/>
                        <w:spacing w:val="-12"/>
                        <w:w w:val="105"/>
                        <w:sz w:val="18"/>
                      </w:rPr>
                      <w:t> </w:t>
                    </w:r>
                    <w:r>
                      <w:rPr>
                        <w:color w:val="231F20"/>
                        <w:w w:val="105"/>
                        <w:sz w:val="18"/>
                      </w:rPr>
                      <w:t>a</w:t>
                    </w:r>
                    <w:r>
                      <w:rPr>
                        <w:color w:val="231F20"/>
                        <w:spacing w:val="-12"/>
                        <w:w w:val="105"/>
                        <w:sz w:val="18"/>
                      </w:rPr>
                      <w:t> </w:t>
                    </w:r>
                    <w:r>
                      <w:rPr>
                        <w:color w:val="231F20"/>
                        <w:w w:val="105"/>
                        <w:sz w:val="18"/>
                      </w:rPr>
                      <w:t>metabolic</w:t>
                    </w:r>
                    <w:r>
                      <w:rPr>
                        <w:color w:val="231F20"/>
                        <w:spacing w:val="-12"/>
                        <w:w w:val="105"/>
                        <w:sz w:val="18"/>
                      </w:rPr>
                      <w:t> </w:t>
                    </w:r>
                    <w:r>
                      <w:rPr>
                        <w:color w:val="231F20"/>
                        <w:w w:val="105"/>
                        <w:sz w:val="18"/>
                      </w:rPr>
                      <w:t>component</w:t>
                    </w:r>
                  </w:p>
                </w:txbxContent>
              </v:textbox>
              <w10:wrap type="none"/>
            </v:shape>
            <v:shape style="position:absolute;left:180;top:5393;width:4340;height:274" type="#_x0000_t202" filled="false" stroked="false">
              <v:textbox inset="0,0,0,0">
                <w:txbxContent>
                  <w:p>
                    <w:pPr>
                      <w:spacing w:line="153" w:lineRule="exact" w:before="10"/>
                      <w:ind w:left="0" w:right="0" w:firstLine="0"/>
                      <w:jc w:val="left"/>
                      <w:rPr>
                        <w:sz w:val="18"/>
                      </w:rPr>
                    </w:pPr>
                    <w:r>
                      <w:rPr>
                        <w:color w:val="231F20"/>
                        <w:sz w:val="18"/>
                      </w:rPr>
                      <w:t>values: pH, 7.15; plasma HCO </w:t>
                    </w:r>
                    <w:r>
                      <w:rPr>
                        <w:rFonts w:ascii="Consolas" w:hAnsi="Consolas"/>
                        <w:color w:val="231F20"/>
                        <w:position w:val="7"/>
                        <w:sz w:val="11"/>
                      </w:rPr>
                      <w:t>− </w:t>
                    </w:r>
                    <w:r>
                      <w:rPr>
                        <w:color w:val="231F20"/>
                        <w:sz w:val="18"/>
                      </w:rPr>
                      <w:t>concentration, 7 mEq/L;</w:t>
                    </w:r>
                  </w:p>
                  <w:p>
                    <w:pPr>
                      <w:spacing w:line="69" w:lineRule="exact" w:before="0"/>
                      <w:ind w:left="341" w:right="0" w:firstLine="0"/>
                      <w:jc w:val="center"/>
                      <w:rPr>
                        <w:sz w:val="11"/>
                      </w:rPr>
                    </w:pPr>
                    <w:r>
                      <w:rPr>
                        <w:color w:val="231F20"/>
                        <w:w w:val="96"/>
                        <w:sz w:val="11"/>
                      </w:rPr>
                      <w:t>3</w:t>
                    </w:r>
                  </w:p>
                </w:txbxContent>
              </v:textbox>
              <w10:wrap type="none"/>
            </v:shape>
            <v:shape style="position:absolute;left:180;top:4087;width:4341;height:1360" type="#_x0000_t202" filled="false" stroked="false">
              <v:textbox inset="0,0,0,0">
                <w:txbxContent>
                  <w:p>
                    <w:pPr>
                      <w:spacing w:line="249" w:lineRule="auto" w:before="0"/>
                      <w:ind w:left="0" w:right="18" w:firstLine="0"/>
                      <w:jc w:val="both"/>
                      <w:rPr>
                        <w:sz w:val="18"/>
                      </w:rPr>
                    </w:pPr>
                    <w:r>
                      <w:rPr>
                        <w:color w:val="231F20"/>
                        <w:w w:val="105"/>
                        <w:sz w:val="18"/>
                      </w:rPr>
                      <w:t>concentration, 12.0 mEq/L; and plasma P</w:t>
                    </w:r>
                    <w:r>
                      <w:rPr>
                        <w:color w:val="231F20"/>
                        <w:w w:val="105"/>
                        <w:sz w:val="14"/>
                      </w:rPr>
                      <w:t>CO</w:t>
                    </w:r>
                    <w:r>
                      <w:rPr>
                        <w:color w:val="231F20"/>
                        <w:w w:val="105"/>
                        <w:position w:val="-2"/>
                        <w:sz w:val="11"/>
                      </w:rPr>
                      <w:t>2</w:t>
                    </w:r>
                    <w:r>
                      <w:rPr>
                        <w:color w:val="231F20"/>
                        <w:w w:val="105"/>
                        <w:sz w:val="18"/>
                      </w:rPr>
                      <w:t>, 25 mm</w:t>
                    </w:r>
                    <w:r>
                      <w:rPr>
                        <w:color w:val="231F20"/>
                        <w:spacing w:val="-30"/>
                        <w:w w:val="105"/>
                        <w:sz w:val="18"/>
                      </w:rPr>
                      <w:t> </w:t>
                    </w:r>
                    <w:r>
                      <w:rPr>
                        <w:color w:val="231F20"/>
                        <w:spacing w:val="-3"/>
                        <w:w w:val="105"/>
                        <w:sz w:val="18"/>
                      </w:rPr>
                      <w:t>Hg. With </w:t>
                    </w:r>
                    <w:r>
                      <w:rPr>
                        <w:color w:val="231F20"/>
                        <w:w w:val="105"/>
                        <w:sz w:val="18"/>
                      </w:rPr>
                      <w:t>these values, one can look at  the  diagram  and find that this represents a simple metabolic acidosis,</w:t>
                    </w:r>
                    <w:r>
                      <w:rPr>
                        <w:color w:val="231F20"/>
                        <w:spacing w:val="-18"/>
                        <w:w w:val="105"/>
                        <w:sz w:val="18"/>
                      </w:rPr>
                      <w:t> </w:t>
                    </w:r>
                    <w:r>
                      <w:rPr>
                        <w:color w:val="231F20"/>
                        <w:w w:val="105"/>
                        <w:sz w:val="18"/>
                      </w:rPr>
                      <w:t>with appropriate respiratory compensation that reduces the P</w:t>
                    </w:r>
                    <w:r>
                      <w:rPr>
                        <w:color w:val="231F20"/>
                        <w:w w:val="105"/>
                        <w:sz w:val="14"/>
                      </w:rPr>
                      <w:t>CO</w:t>
                    </w:r>
                    <w:r>
                      <w:rPr>
                        <w:color w:val="231F20"/>
                        <w:w w:val="105"/>
                        <w:position w:val="-2"/>
                        <w:sz w:val="11"/>
                      </w:rPr>
                      <w:t>2 </w:t>
                    </w:r>
                    <w:r>
                      <w:rPr>
                        <w:color w:val="231F20"/>
                        <w:w w:val="105"/>
                        <w:sz w:val="18"/>
                      </w:rPr>
                      <w:t>from its normal value of 40 mm Hg to 25 mm</w:t>
                    </w:r>
                    <w:r>
                      <w:rPr>
                        <w:color w:val="231F20"/>
                        <w:spacing w:val="-25"/>
                        <w:w w:val="105"/>
                        <w:sz w:val="18"/>
                      </w:rPr>
                      <w:t> </w:t>
                    </w:r>
                    <w:r>
                      <w:rPr>
                        <w:color w:val="231F20"/>
                        <w:w w:val="105"/>
                        <w:sz w:val="18"/>
                      </w:rPr>
                      <w:t>Hg.</w:t>
                    </w:r>
                  </w:p>
                  <w:p>
                    <w:pPr>
                      <w:spacing w:line="201" w:lineRule="exact" w:before="0"/>
                      <w:ind w:left="240" w:right="0" w:firstLine="0"/>
                      <w:jc w:val="both"/>
                      <w:rPr>
                        <w:sz w:val="18"/>
                      </w:rPr>
                    </w:pPr>
                    <w:r>
                      <w:rPr>
                        <w:color w:val="231F20"/>
                        <w:sz w:val="18"/>
                      </w:rPr>
                      <w:t>A second example would be a patient with the following</w:t>
                    </w:r>
                  </w:p>
                </w:txbxContent>
              </v:textbox>
              <w10:wrap type="none"/>
            </v:shape>
            <v:shape style="position:absolute;left:179;top:3853;width:4341;height:274" type="#_x0000_t202" filled="false" stroked="false">
              <v:textbox inset="0,0,0,0">
                <w:txbxContent>
                  <w:p>
                    <w:pPr>
                      <w:spacing w:line="153" w:lineRule="exact" w:before="9"/>
                      <w:ind w:left="0" w:right="0" w:firstLine="0"/>
                      <w:jc w:val="left"/>
                      <w:rPr>
                        <w:rFonts w:ascii="Consolas" w:hAnsi="Consolas"/>
                        <w:sz w:val="11"/>
                      </w:rPr>
                    </w:pPr>
                    <w:r>
                      <w:rPr>
                        <w:color w:val="231F20"/>
                        <w:sz w:val="18"/>
                      </w:rPr>
                      <w:t>patient yields the following values: pH, 7.30; plasma HCO </w:t>
                    </w:r>
                    <w:r>
                      <w:rPr>
                        <w:rFonts w:ascii="Consolas" w:hAnsi="Consolas"/>
                        <w:color w:val="231F20"/>
                        <w:position w:val="7"/>
                        <w:sz w:val="11"/>
                      </w:rPr>
                      <w:t>−</w:t>
                    </w:r>
                  </w:p>
                  <w:p>
                    <w:pPr>
                      <w:spacing w:line="69" w:lineRule="exact" w:before="0"/>
                      <w:ind w:left="0" w:right="77" w:firstLine="0"/>
                      <w:jc w:val="right"/>
                      <w:rPr>
                        <w:sz w:val="11"/>
                      </w:rPr>
                    </w:pPr>
                    <w:r>
                      <w:rPr>
                        <w:color w:val="231F20"/>
                        <w:w w:val="96"/>
                        <w:sz w:val="11"/>
                      </w:rPr>
                      <w:t>3</w:t>
                    </w:r>
                  </w:p>
                </w:txbxContent>
              </v:textbox>
              <w10:wrap type="none"/>
            </v:shape>
            <v:shape style="position:absolute;left:179;top:127;width:4341;height:3780" type="#_x0000_t202" filled="false" stroked="false">
              <v:textbox inset="0,0,0,0">
                <w:txbxContent>
                  <w:p>
                    <w:pPr>
                      <w:spacing w:line="252" w:lineRule="auto" w:before="0"/>
                      <w:ind w:left="0" w:right="18" w:firstLine="240"/>
                      <w:jc w:val="both"/>
                      <w:rPr>
                        <w:sz w:val="18"/>
                      </w:rPr>
                    </w:pPr>
                    <w:r>
                      <w:rPr>
                        <w:color w:val="231F20"/>
                        <w:w w:val="105"/>
                        <w:sz w:val="18"/>
                      </w:rPr>
                      <w:t>When using this diagram, one must assume that suffi- cient time has elapsed for a full compensatory response, which</w:t>
                    </w:r>
                    <w:r>
                      <w:rPr>
                        <w:color w:val="231F20"/>
                        <w:spacing w:val="-14"/>
                        <w:w w:val="105"/>
                        <w:sz w:val="18"/>
                      </w:rPr>
                      <w:t> </w:t>
                    </w:r>
                    <w:r>
                      <w:rPr>
                        <w:color w:val="231F20"/>
                        <w:w w:val="105"/>
                        <w:sz w:val="18"/>
                      </w:rPr>
                      <w:t>is</w:t>
                    </w:r>
                    <w:r>
                      <w:rPr>
                        <w:color w:val="231F20"/>
                        <w:spacing w:val="-14"/>
                        <w:w w:val="105"/>
                        <w:sz w:val="18"/>
                      </w:rPr>
                      <w:t> </w:t>
                    </w:r>
                    <w:r>
                      <w:rPr>
                        <w:color w:val="231F20"/>
                        <w:w w:val="105"/>
                        <w:sz w:val="18"/>
                      </w:rPr>
                      <w:t>6</w:t>
                    </w:r>
                    <w:r>
                      <w:rPr>
                        <w:color w:val="231F20"/>
                        <w:spacing w:val="-13"/>
                        <w:w w:val="105"/>
                        <w:sz w:val="18"/>
                      </w:rPr>
                      <w:t> </w:t>
                    </w:r>
                    <w:r>
                      <w:rPr>
                        <w:color w:val="231F20"/>
                        <w:w w:val="105"/>
                        <w:sz w:val="18"/>
                      </w:rPr>
                      <w:t>to</w:t>
                    </w:r>
                    <w:r>
                      <w:rPr>
                        <w:color w:val="231F20"/>
                        <w:spacing w:val="-14"/>
                        <w:w w:val="105"/>
                        <w:sz w:val="18"/>
                      </w:rPr>
                      <w:t> </w:t>
                    </w:r>
                    <w:r>
                      <w:rPr>
                        <w:color w:val="231F20"/>
                        <w:w w:val="105"/>
                        <w:sz w:val="18"/>
                      </w:rPr>
                      <w:t>12</w:t>
                    </w:r>
                    <w:r>
                      <w:rPr>
                        <w:color w:val="231F20"/>
                        <w:spacing w:val="-14"/>
                        <w:w w:val="105"/>
                        <w:sz w:val="18"/>
                      </w:rPr>
                      <w:t> </w:t>
                    </w:r>
                    <w:r>
                      <w:rPr>
                        <w:color w:val="231F20"/>
                        <w:w w:val="105"/>
                        <w:sz w:val="18"/>
                      </w:rPr>
                      <w:t>hours</w:t>
                    </w:r>
                    <w:r>
                      <w:rPr>
                        <w:color w:val="231F20"/>
                        <w:spacing w:val="-13"/>
                        <w:w w:val="105"/>
                        <w:sz w:val="18"/>
                      </w:rPr>
                      <w:t> </w:t>
                    </w:r>
                    <w:r>
                      <w:rPr>
                        <w:color w:val="231F20"/>
                        <w:w w:val="105"/>
                        <w:sz w:val="18"/>
                      </w:rPr>
                      <w:t>for</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ventilatory</w:t>
                    </w:r>
                    <w:r>
                      <w:rPr>
                        <w:color w:val="231F20"/>
                        <w:spacing w:val="-13"/>
                        <w:w w:val="105"/>
                        <w:sz w:val="18"/>
                      </w:rPr>
                      <w:t> </w:t>
                    </w:r>
                    <w:r>
                      <w:rPr>
                        <w:color w:val="231F20"/>
                        <w:w w:val="105"/>
                        <w:sz w:val="18"/>
                      </w:rPr>
                      <w:t>compensations</w:t>
                    </w:r>
                    <w:r>
                      <w:rPr>
                        <w:color w:val="231F20"/>
                        <w:spacing w:val="-14"/>
                        <w:w w:val="105"/>
                        <w:sz w:val="18"/>
                      </w:rPr>
                      <w:t> </w:t>
                    </w:r>
                    <w:r>
                      <w:rPr>
                        <w:color w:val="231F20"/>
                        <w:w w:val="105"/>
                        <w:sz w:val="18"/>
                      </w:rPr>
                      <w:t>in primary metabolic disorders and 3 to 5 days for the</w:t>
                    </w:r>
                    <w:r>
                      <w:rPr>
                        <w:color w:val="231F20"/>
                        <w:spacing w:val="-34"/>
                        <w:w w:val="105"/>
                        <w:sz w:val="18"/>
                      </w:rPr>
                      <w:t> </w:t>
                    </w:r>
                    <w:r>
                      <w:rPr>
                        <w:color w:val="231F20"/>
                        <w:w w:val="105"/>
                        <w:sz w:val="18"/>
                      </w:rPr>
                      <w:t>meta- bolic compensations in primary respiratory disorders. </w:t>
                    </w:r>
                    <w:r>
                      <w:rPr>
                        <w:color w:val="231F20"/>
                        <w:spacing w:val="-6"/>
                        <w:w w:val="105"/>
                        <w:sz w:val="18"/>
                      </w:rPr>
                      <w:t>If </w:t>
                    </w:r>
                    <w:r>
                      <w:rPr>
                        <w:color w:val="231F20"/>
                        <w:w w:val="105"/>
                        <w:sz w:val="18"/>
                      </w:rPr>
                      <w:t>a value is within the shaded area, this suggests that there is</w:t>
                    </w:r>
                    <w:r>
                      <w:rPr>
                        <w:color w:val="231F20"/>
                        <w:spacing w:val="-19"/>
                        <w:w w:val="105"/>
                        <w:sz w:val="18"/>
                      </w:rPr>
                      <w:t> </w:t>
                    </w:r>
                    <w:r>
                      <w:rPr>
                        <w:color w:val="231F20"/>
                        <w:w w:val="105"/>
                        <w:sz w:val="18"/>
                      </w:rPr>
                      <w:t>a</w:t>
                    </w:r>
                    <w:r>
                      <w:rPr>
                        <w:color w:val="231F20"/>
                        <w:spacing w:val="-18"/>
                        <w:w w:val="105"/>
                        <w:sz w:val="18"/>
                      </w:rPr>
                      <w:t> </w:t>
                    </w:r>
                    <w:r>
                      <w:rPr>
                        <w:color w:val="231F20"/>
                        <w:w w:val="105"/>
                        <w:sz w:val="18"/>
                      </w:rPr>
                      <w:t>simple</w:t>
                    </w:r>
                    <w:r>
                      <w:rPr>
                        <w:color w:val="231F20"/>
                        <w:spacing w:val="-19"/>
                        <w:w w:val="105"/>
                        <w:sz w:val="18"/>
                      </w:rPr>
                      <w:t> </w:t>
                    </w:r>
                    <w:r>
                      <w:rPr>
                        <w:color w:val="231F20"/>
                        <w:w w:val="105"/>
                        <w:sz w:val="18"/>
                      </w:rPr>
                      <w:t>acid-base</w:t>
                    </w:r>
                    <w:r>
                      <w:rPr>
                        <w:color w:val="231F20"/>
                        <w:spacing w:val="-18"/>
                        <w:w w:val="105"/>
                        <w:sz w:val="18"/>
                      </w:rPr>
                      <w:t> </w:t>
                    </w:r>
                    <w:r>
                      <w:rPr>
                        <w:color w:val="231F20"/>
                        <w:w w:val="105"/>
                        <w:sz w:val="18"/>
                      </w:rPr>
                      <w:t>disturbance.</w:t>
                    </w:r>
                    <w:r>
                      <w:rPr>
                        <w:color w:val="231F20"/>
                        <w:spacing w:val="-18"/>
                        <w:w w:val="105"/>
                        <w:sz w:val="18"/>
                      </w:rPr>
                      <w:t> </w:t>
                    </w:r>
                    <w:r>
                      <w:rPr>
                        <w:color w:val="231F20"/>
                        <w:w w:val="105"/>
                        <w:sz w:val="18"/>
                      </w:rPr>
                      <w:t>Conversely,</w:t>
                    </w:r>
                    <w:r>
                      <w:rPr>
                        <w:color w:val="231F20"/>
                        <w:spacing w:val="-19"/>
                        <w:w w:val="105"/>
                        <w:sz w:val="18"/>
                      </w:rPr>
                      <w:t> </w:t>
                    </w:r>
                    <w:r>
                      <w:rPr>
                        <w:color w:val="231F20"/>
                        <w:w w:val="105"/>
                        <w:sz w:val="18"/>
                      </w:rPr>
                      <w:t>if</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values for pH, bicarbonate, or P</w:t>
                    </w:r>
                    <w:r>
                      <w:rPr>
                        <w:color w:val="231F20"/>
                        <w:w w:val="105"/>
                        <w:sz w:val="14"/>
                      </w:rPr>
                      <w:t>CO</w:t>
                    </w:r>
                    <w:r>
                      <w:rPr>
                        <w:color w:val="231F20"/>
                        <w:w w:val="105"/>
                        <w:position w:val="-2"/>
                        <w:sz w:val="11"/>
                      </w:rPr>
                      <w:t>2 </w:t>
                    </w:r>
                    <w:r>
                      <w:rPr>
                        <w:color w:val="231F20"/>
                        <w:w w:val="105"/>
                        <w:sz w:val="18"/>
                      </w:rPr>
                      <w:t>lie outside the shaded area, this suggests that the patient may have a mixed acid-base disorder.</w:t>
                    </w:r>
                  </w:p>
                  <w:p>
                    <w:pPr>
                      <w:spacing w:line="254" w:lineRule="auto" w:before="11"/>
                      <w:ind w:left="0" w:right="18" w:firstLine="239"/>
                      <w:jc w:val="both"/>
                      <w:rPr>
                        <w:sz w:val="18"/>
                      </w:rPr>
                    </w:pPr>
                    <w:r>
                      <w:rPr>
                        <w:color w:val="231F20"/>
                        <w:w w:val="105"/>
                        <w:sz w:val="18"/>
                      </w:rPr>
                      <w:t>It is important to recognize that an acid-base value within</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shaded</w:t>
                    </w:r>
                    <w:r>
                      <w:rPr>
                        <w:color w:val="231F20"/>
                        <w:spacing w:val="-11"/>
                        <w:w w:val="105"/>
                        <w:sz w:val="18"/>
                      </w:rPr>
                      <w:t> </w:t>
                    </w:r>
                    <w:r>
                      <w:rPr>
                        <w:color w:val="231F20"/>
                        <w:w w:val="105"/>
                        <w:sz w:val="18"/>
                      </w:rPr>
                      <w:t>area</w:t>
                    </w:r>
                    <w:r>
                      <w:rPr>
                        <w:color w:val="231F20"/>
                        <w:spacing w:val="-11"/>
                        <w:w w:val="105"/>
                        <w:sz w:val="18"/>
                      </w:rPr>
                      <w:t> </w:t>
                    </w:r>
                    <w:r>
                      <w:rPr>
                        <w:color w:val="231F20"/>
                        <w:w w:val="105"/>
                        <w:sz w:val="18"/>
                      </w:rPr>
                      <w:t>does</w:t>
                    </w:r>
                    <w:r>
                      <w:rPr>
                        <w:color w:val="231F20"/>
                        <w:spacing w:val="-11"/>
                        <w:w w:val="105"/>
                        <w:sz w:val="18"/>
                      </w:rPr>
                      <w:t> </w:t>
                    </w:r>
                    <w:r>
                      <w:rPr>
                        <w:color w:val="231F20"/>
                        <w:w w:val="105"/>
                        <w:sz w:val="18"/>
                      </w:rPr>
                      <w:t>not</w:t>
                    </w:r>
                    <w:r>
                      <w:rPr>
                        <w:color w:val="231F20"/>
                        <w:spacing w:val="-11"/>
                        <w:w w:val="105"/>
                        <w:sz w:val="18"/>
                      </w:rPr>
                      <w:t> </w:t>
                    </w:r>
                    <w:r>
                      <w:rPr>
                        <w:i/>
                        <w:color w:val="231F20"/>
                        <w:w w:val="105"/>
                        <w:sz w:val="18"/>
                      </w:rPr>
                      <w:t>always</w:t>
                    </w:r>
                    <w:r>
                      <w:rPr>
                        <w:i/>
                        <w:color w:val="231F20"/>
                        <w:spacing w:val="-11"/>
                        <w:w w:val="105"/>
                        <w:sz w:val="18"/>
                      </w:rPr>
                      <w:t> </w:t>
                    </w:r>
                    <w:r>
                      <w:rPr>
                        <w:color w:val="231F20"/>
                        <w:w w:val="105"/>
                        <w:sz w:val="18"/>
                      </w:rPr>
                      <w:t>mean</w:t>
                    </w:r>
                    <w:r>
                      <w:rPr>
                        <w:color w:val="231F20"/>
                        <w:spacing w:val="-10"/>
                        <w:w w:val="105"/>
                        <w:sz w:val="18"/>
                      </w:rPr>
                      <w:t> </w:t>
                    </w:r>
                    <w:r>
                      <w:rPr>
                        <w:color w:val="231F20"/>
                        <w:w w:val="105"/>
                        <w:sz w:val="18"/>
                      </w:rPr>
                      <w:t>that</w:t>
                    </w:r>
                    <w:r>
                      <w:rPr>
                        <w:color w:val="231F20"/>
                        <w:spacing w:val="-11"/>
                        <w:w w:val="105"/>
                        <w:sz w:val="18"/>
                      </w:rPr>
                      <w:t> </w:t>
                    </w:r>
                    <w:r>
                      <w:rPr>
                        <w:color w:val="231F20"/>
                        <w:w w:val="105"/>
                        <w:sz w:val="18"/>
                      </w:rPr>
                      <w:t>a</w:t>
                    </w:r>
                    <w:r>
                      <w:rPr>
                        <w:color w:val="231F20"/>
                        <w:spacing w:val="-11"/>
                        <w:w w:val="105"/>
                        <w:sz w:val="18"/>
                      </w:rPr>
                      <w:t> </w:t>
                    </w:r>
                    <w:r>
                      <w:rPr>
                        <w:color w:val="231F20"/>
                        <w:w w:val="105"/>
                        <w:sz w:val="18"/>
                      </w:rPr>
                      <w:t>simple acid-base disorder is present. </w:t>
                    </w:r>
                    <w:r>
                      <w:rPr>
                        <w:color w:val="231F20"/>
                        <w:spacing w:val="-3"/>
                        <w:w w:val="105"/>
                        <w:sz w:val="18"/>
                      </w:rPr>
                      <w:t>With </w:t>
                    </w:r>
                    <w:r>
                      <w:rPr>
                        <w:color w:val="231F20"/>
                        <w:w w:val="105"/>
                        <w:sz w:val="18"/>
                      </w:rPr>
                      <w:t>this reservation in mind,</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acid-base</w:t>
                    </w:r>
                    <w:r>
                      <w:rPr>
                        <w:color w:val="231F20"/>
                        <w:spacing w:val="-15"/>
                        <w:w w:val="105"/>
                        <w:sz w:val="18"/>
                      </w:rPr>
                      <w:t> </w:t>
                    </w:r>
                    <w:r>
                      <w:rPr>
                        <w:color w:val="231F20"/>
                        <w:w w:val="105"/>
                        <w:sz w:val="18"/>
                      </w:rPr>
                      <w:t>diagrams</w:t>
                    </w:r>
                    <w:r>
                      <w:rPr>
                        <w:color w:val="231F20"/>
                        <w:spacing w:val="-16"/>
                        <w:w w:val="105"/>
                        <w:sz w:val="18"/>
                      </w:rPr>
                      <w:t> </w:t>
                    </w:r>
                    <w:r>
                      <w:rPr>
                        <w:color w:val="231F20"/>
                        <w:w w:val="105"/>
                        <w:sz w:val="18"/>
                      </w:rPr>
                      <w:t>can</w:t>
                    </w:r>
                    <w:r>
                      <w:rPr>
                        <w:color w:val="231F20"/>
                        <w:spacing w:val="-15"/>
                        <w:w w:val="105"/>
                        <w:sz w:val="18"/>
                      </w:rPr>
                      <w:t> </w:t>
                    </w:r>
                    <w:r>
                      <w:rPr>
                        <w:color w:val="231F20"/>
                        <w:w w:val="105"/>
                        <w:sz w:val="18"/>
                      </w:rPr>
                      <w:t>be</w:t>
                    </w:r>
                    <w:r>
                      <w:rPr>
                        <w:color w:val="231F20"/>
                        <w:spacing w:val="-16"/>
                        <w:w w:val="105"/>
                        <w:sz w:val="18"/>
                      </w:rPr>
                      <w:t> </w:t>
                    </w:r>
                    <w:r>
                      <w:rPr>
                        <w:color w:val="231F20"/>
                        <w:w w:val="105"/>
                        <w:sz w:val="18"/>
                      </w:rPr>
                      <w:t>used</w:t>
                    </w:r>
                    <w:r>
                      <w:rPr>
                        <w:color w:val="231F20"/>
                        <w:spacing w:val="-15"/>
                        <w:w w:val="105"/>
                        <w:sz w:val="18"/>
                      </w:rPr>
                      <w:t> </w:t>
                    </w:r>
                    <w:r>
                      <w:rPr>
                        <w:color w:val="231F20"/>
                        <w:w w:val="105"/>
                        <w:sz w:val="18"/>
                      </w:rPr>
                      <w:t>as</w:t>
                    </w:r>
                    <w:r>
                      <w:rPr>
                        <w:color w:val="231F20"/>
                        <w:spacing w:val="-16"/>
                        <w:w w:val="105"/>
                        <w:sz w:val="18"/>
                      </w:rPr>
                      <w:t> </w:t>
                    </w:r>
                    <w:r>
                      <w:rPr>
                        <w:color w:val="231F20"/>
                        <w:w w:val="105"/>
                        <w:sz w:val="18"/>
                      </w:rPr>
                      <w:t>a</w:t>
                    </w:r>
                    <w:r>
                      <w:rPr>
                        <w:color w:val="231F20"/>
                        <w:spacing w:val="-15"/>
                        <w:w w:val="105"/>
                        <w:sz w:val="18"/>
                      </w:rPr>
                      <w:t> </w:t>
                    </w:r>
                    <w:r>
                      <w:rPr>
                        <w:color w:val="231F20"/>
                        <w:w w:val="105"/>
                        <w:sz w:val="18"/>
                      </w:rPr>
                      <w:t>quick</w:t>
                    </w:r>
                    <w:r>
                      <w:rPr>
                        <w:color w:val="231F20"/>
                        <w:spacing w:val="-16"/>
                        <w:w w:val="105"/>
                        <w:sz w:val="18"/>
                      </w:rPr>
                      <w:t> </w:t>
                    </w:r>
                    <w:r>
                      <w:rPr>
                        <w:color w:val="231F20"/>
                        <w:spacing w:val="-3"/>
                        <w:w w:val="105"/>
                        <w:sz w:val="18"/>
                      </w:rPr>
                      <w:t>means </w:t>
                    </w:r>
                    <w:r>
                      <w:rPr>
                        <w:color w:val="231F20"/>
                        <w:w w:val="105"/>
                        <w:sz w:val="18"/>
                      </w:rPr>
                      <w:t>of determining the specific type and severity of an acid- base</w:t>
                    </w:r>
                    <w:r>
                      <w:rPr>
                        <w:color w:val="231F20"/>
                        <w:spacing w:val="3"/>
                        <w:w w:val="105"/>
                        <w:sz w:val="18"/>
                      </w:rPr>
                      <w:t> </w:t>
                    </w:r>
                    <w:r>
                      <w:rPr>
                        <w:color w:val="231F20"/>
                        <w:w w:val="105"/>
                        <w:sz w:val="18"/>
                      </w:rPr>
                      <w:t>disorder.</w:t>
                    </w:r>
                  </w:p>
                  <w:p>
                    <w:pPr>
                      <w:spacing w:before="3"/>
                      <w:ind w:left="239" w:right="0" w:firstLine="0"/>
                      <w:jc w:val="both"/>
                      <w:rPr>
                        <w:sz w:val="18"/>
                      </w:rPr>
                    </w:pPr>
                    <w:r>
                      <w:rPr>
                        <w:color w:val="231F20"/>
                        <w:w w:val="105"/>
                        <w:sz w:val="18"/>
                      </w:rPr>
                      <w:t>For example, assume that the arterial plasma from a</w:t>
                    </w:r>
                  </w:p>
                </w:txbxContent>
              </v:textbox>
              <w10:wrap type="none"/>
            </v:shape>
          </v:group>
        </w:pict>
      </w:r>
      <w:r>
        <w:rPr>
          <w:rFonts w:ascii="Helvetica"/>
        </w:rPr>
      </w:r>
    </w:p>
    <w:p>
      <w:pPr>
        <w:spacing w:after="0"/>
        <w:rPr>
          <w:rFonts w:ascii="Helvetica"/>
        </w:rPr>
        <w:sectPr>
          <w:type w:val="continuous"/>
          <w:pgSz w:w="12240" w:h="15660"/>
          <w:pgMar w:top="0" w:bottom="760" w:left="0" w:right="0"/>
        </w:sectPr>
      </w:pPr>
    </w:p>
    <w:p>
      <w:pPr>
        <w:pStyle w:val="BodyText"/>
        <w:spacing w:before="1"/>
        <w:rPr>
          <w:rFonts w:ascii="Helvetica"/>
        </w:rPr>
      </w:pPr>
    </w:p>
    <w:p>
      <w:pPr>
        <w:spacing w:after="0"/>
        <w:rPr>
          <w:rFonts w:ascii="Helvetica"/>
        </w:rPr>
        <w:sectPr>
          <w:headerReference w:type="even" r:id="rId1026"/>
          <w:footerReference w:type="even" r:id="rId1027"/>
          <w:footerReference w:type="default" r:id="rId1028"/>
          <w:pgSz w:w="12240" w:h="15660"/>
          <w:pgMar w:header="0" w:footer="567" w:top="720" w:bottom="760" w:left="0" w:right="0"/>
          <w:pgNumType w:start="426"/>
        </w:sectPr>
      </w:pPr>
    </w:p>
    <w:p>
      <w:pPr>
        <w:spacing w:line="252" w:lineRule="auto" w:before="100"/>
        <w:ind w:left="1080" w:right="153" w:firstLine="0"/>
        <w:jc w:val="left"/>
        <w:rPr>
          <w:rFonts w:ascii="Trebuchet MS"/>
          <w:sz w:val="18"/>
        </w:rPr>
      </w:pPr>
      <w:r>
        <w:rPr/>
        <w:pict>
          <v:rect style="position:absolute;margin-left:0pt;margin-top:144.448669pt;width:36pt;height:24pt;mso-position-horizontal-relative:page;mso-position-vertical-relative:paragraph;z-index:-250087424;mso-wrap-distance-left:0;mso-wrap-distance-right:0" filled="true" fillcolor="#e8dac8" stroked="false">
            <v:fill type="solid"/>
            <w10:wrap type="topAndBottom"/>
          </v:rect>
        </w:pict>
      </w:r>
      <w:r>
        <w:rPr/>
        <w:pict>
          <v:shape style="position:absolute;margin-left:54pt;margin-top:32.450668pt;width:234pt;height:139.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7"/>
                    <w:gridCol w:w="1994"/>
                  </w:tblGrid>
                  <w:tr>
                    <w:trPr>
                      <w:trHeight w:val="464" w:hRule="atLeast"/>
                    </w:trPr>
                    <w:tc>
                      <w:tcPr>
                        <w:tcW w:w="2687" w:type="dxa"/>
                        <w:shd w:val="clear" w:color="auto" w:fill="D1DDF1"/>
                      </w:tcPr>
                      <w:p>
                        <w:pPr>
                          <w:pStyle w:val="TableParagraph"/>
                          <w:spacing w:line="259" w:lineRule="auto" w:before="34"/>
                          <w:ind w:left="120"/>
                          <w:rPr>
                            <w:b/>
                            <w:sz w:val="16"/>
                          </w:rPr>
                        </w:pPr>
                        <w:r>
                          <w:rPr>
                            <w:b/>
                            <w:color w:val="231F20"/>
                            <w:sz w:val="16"/>
                          </w:rPr>
                          <w:t>Increased Anion Gap (Normochloremia)</w:t>
                        </w:r>
                      </w:p>
                    </w:tc>
                    <w:tc>
                      <w:tcPr>
                        <w:tcW w:w="1994" w:type="dxa"/>
                        <w:shd w:val="clear" w:color="auto" w:fill="D1DDF1"/>
                      </w:tcPr>
                      <w:p>
                        <w:pPr>
                          <w:pStyle w:val="TableParagraph"/>
                          <w:spacing w:line="259" w:lineRule="auto" w:before="34"/>
                          <w:ind w:left="210"/>
                          <w:rPr>
                            <w:b/>
                            <w:sz w:val="16"/>
                          </w:rPr>
                        </w:pPr>
                        <w:r>
                          <w:rPr>
                            <w:b/>
                            <w:color w:val="231F20"/>
                            <w:sz w:val="16"/>
                          </w:rPr>
                          <w:t>Normal Anion Gap (Hyperchloremia)</w:t>
                        </w:r>
                      </w:p>
                    </w:tc>
                  </w:tr>
                  <w:tr>
                    <w:trPr>
                      <w:trHeight w:val="259" w:hRule="atLeast"/>
                    </w:trPr>
                    <w:tc>
                      <w:tcPr>
                        <w:tcW w:w="2687" w:type="dxa"/>
                        <w:tcBorders>
                          <w:bottom w:val="single" w:sz="4" w:space="0" w:color="FFFFFF"/>
                        </w:tcBorders>
                        <w:shd w:val="clear" w:color="auto" w:fill="E6ECF7"/>
                      </w:tcPr>
                      <w:p>
                        <w:pPr>
                          <w:pStyle w:val="TableParagraph"/>
                          <w:spacing w:before="24"/>
                          <w:ind w:left="120"/>
                          <w:rPr>
                            <w:sz w:val="16"/>
                          </w:rPr>
                        </w:pPr>
                        <w:r>
                          <w:rPr>
                            <w:color w:val="231F20"/>
                            <w:w w:val="105"/>
                            <w:sz w:val="16"/>
                          </w:rPr>
                          <w:t>Diabetes mellitus (ketoacidosis)</w:t>
                        </w:r>
                      </w:p>
                    </w:tc>
                    <w:tc>
                      <w:tcPr>
                        <w:tcW w:w="1994" w:type="dxa"/>
                        <w:tcBorders>
                          <w:bottom w:val="single" w:sz="4" w:space="0" w:color="FFFFFF"/>
                        </w:tcBorders>
                        <w:shd w:val="clear" w:color="auto" w:fill="E6ECF7"/>
                      </w:tcPr>
                      <w:p>
                        <w:pPr>
                          <w:pStyle w:val="TableParagraph"/>
                          <w:spacing w:before="24"/>
                          <w:ind w:left="210"/>
                          <w:rPr>
                            <w:sz w:val="16"/>
                          </w:rPr>
                        </w:pPr>
                        <w:r>
                          <w:rPr>
                            <w:color w:val="231F20"/>
                            <w:w w:val="105"/>
                            <w:sz w:val="16"/>
                          </w:rPr>
                          <w:t>Diarrhea</w:t>
                        </w:r>
                      </w:p>
                    </w:tc>
                  </w:tr>
                  <w:tr>
                    <w:trPr>
                      <w:trHeight w:val="264" w:hRule="atLeast"/>
                    </w:trPr>
                    <w:tc>
                      <w:tcPr>
                        <w:tcW w:w="2687"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Lactic acidosis</w:t>
                        </w:r>
                      </w:p>
                    </w:tc>
                    <w:tc>
                      <w:tcPr>
                        <w:tcW w:w="1994" w:type="dxa"/>
                        <w:tcBorders>
                          <w:top w:val="single" w:sz="4" w:space="0" w:color="FFFFFF"/>
                          <w:bottom w:val="single" w:sz="4" w:space="0" w:color="FFFFFF"/>
                        </w:tcBorders>
                        <w:shd w:val="clear" w:color="auto" w:fill="E6ECF7"/>
                      </w:tcPr>
                      <w:p>
                        <w:pPr>
                          <w:pStyle w:val="TableParagraph"/>
                          <w:ind w:left="210"/>
                          <w:rPr>
                            <w:sz w:val="16"/>
                          </w:rPr>
                        </w:pPr>
                        <w:r>
                          <w:rPr>
                            <w:color w:val="231F20"/>
                            <w:w w:val="105"/>
                            <w:sz w:val="16"/>
                          </w:rPr>
                          <w:t>Renal tubular acidosis</w:t>
                        </w:r>
                      </w:p>
                    </w:tc>
                  </w:tr>
                  <w:tr>
                    <w:trPr>
                      <w:trHeight w:val="464" w:hRule="atLeast"/>
                    </w:trPr>
                    <w:tc>
                      <w:tcPr>
                        <w:tcW w:w="268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Chronic renal failure</w:t>
                        </w:r>
                      </w:p>
                    </w:tc>
                    <w:tc>
                      <w:tcPr>
                        <w:tcW w:w="1994" w:type="dxa"/>
                        <w:tcBorders>
                          <w:top w:val="single" w:sz="4" w:space="0" w:color="FFFFFF"/>
                          <w:bottom w:val="single" w:sz="4" w:space="0" w:color="FFFFFF"/>
                        </w:tcBorders>
                        <w:shd w:val="clear" w:color="auto" w:fill="E6ECF7"/>
                      </w:tcPr>
                      <w:p>
                        <w:pPr>
                          <w:pStyle w:val="TableParagraph"/>
                          <w:spacing w:line="259" w:lineRule="auto"/>
                          <w:ind w:left="370" w:right="291" w:hanging="160"/>
                          <w:rPr>
                            <w:sz w:val="16"/>
                          </w:rPr>
                        </w:pPr>
                        <w:r>
                          <w:rPr>
                            <w:color w:val="231F20"/>
                            <w:w w:val="105"/>
                            <w:sz w:val="16"/>
                          </w:rPr>
                          <w:t>Carbonic anhydrase inhibitors</w:t>
                        </w:r>
                      </w:p>
                    </w:tc>
                  </w:tr>
                  <w:tr>
                    <w:trPr>
                      <w:trHeight w:val="464" w:hRule="atLeast"/>
                    </w:trPr>
                    <w:tc>
                      <w:tcPr>
                        <w:tcW w:w="2687" w:type="dxa"/>
                        <w:tcBorders>
                          <w:top w:val="single" w:sz="4" w:space="0" w:color="FFFFFF"/>
                          <w:bottom w:val="single" w:sz="4" w:space="0" w:color="FFFFFF"/>
                        </w:tcBorders>
                        <w:shd w:val="clear" w:color="auto" w:fill="E6ECF7"/>
                      </w:tcPr>
                      <w:p>
                        <w:pPr>
                          <w:pStyle w:val="TableParagraph"/>
                          <w:spacing w:line="259" w:lineRule="auto"/>
                          <w:ind w:left="280" w:right="534" w:hanging="160"/>
                          <w:rPr>
                            <w:sz w:val="16"/>
                          </w:rPr>
                        </w:pPr>
                        <w:r>
                          <w:rPr>
                            <w:color w:val="231F20"/>
                            <w:sz w:val="16"/>
                          </w:rPr>
                          <w:t>Aspirin (acetylsalicylic acid) </w:t>
                        </w:r>
                        <w:r>
                          <w:rPr>
                            <w:color w:val="231F20"/>
                            <w:w w:val="105"/>
                            <w:sz w:val="16"/>
                          </w:rPr>
                          <w:t>poisoning</w:t>
                        </w:r>
                      </w:p>
                    </w:tc>
                    <w:tc>
                      <w:tcPr>
                        <w:tcW w:w="1994" w:type="dxa"/>
                        <w:tcBorders>
                          <w:top w:val="single" w:sz="4" w:space="0" w:color="FFFFFF"/>
                          <w:bottom w:val="single" w:sz="4" w:space="0" w:color="FFFFFF"/>
                        </w:tcBorders>
                        <w:shd w:val="clear" w:color="auto" w:fill="E6ECF7"/>
                      </w:tcPr>
                      <w:p>
                        <w:pPr>
                          <w:pStyle w:val="TableParagraph"/>
                          <w:ind w:left="210"/>
                          <w:rPr>
                            <w:sz w:val="16"/>
                          </w:rPr>
                        </w:pPr>
                        <w:r>
                          <w:rPr>
                            <w:color w:val="231F20"/>
                            <w:w w:val="105"/>
                            <w:sz w:val="16"/>
                          </w:rPr>
                          <w:t>Addison’s disease</w:t>
                        </w:r>
                      </w:p>
                    </w:tc>
                  </w:tr>
                  <w:tr>
                    <w:trPr>
                      <w:trHeight w:val="264" w:hRule="atLeast"/>
                    </w:trPr>
                    <w:tc>
                      <w:tcPr>
                        <w:tcW w:w="4681" w:type="dxa"/>
                        <w:gridSpan w:val="2"/>
                        <w:tcBorders>
                          <w:top w:val="single" w:sz="4" w:space="0" w:color="FFFFFF"/>
                          <w:bottom w:val="single" w:sz="4" w:space="0" w:color="FFFFFF"/>
                        </w:tcBorders>
                        <w:shd w:val="clear" w:color="auto" w:fill="E6ECF7"/>
                      </w:tcPr>
                      <w:p>
                        <w:pPr>
                          <w:pStyle w:val="TableParagraph"/>
                          <w:ind w:left="120"/>
                          <w:rPr>
                            <w:sz w:val="16"/>
                          </w:rPr>
                        </w:pPr>
                        <w:r>
                          <w:rPr>
                            <w:color w:val="231F20"/>
                            <w:w w:val="110"/>
                            <w:sz w:val="16"/>
                          </w:rPr>
                          <w:t>Methanol poisoning</w:t>
                        </w:r>
                      </w:p>
                    </w:tc>
                  </w:tr>
                  <w:tr>
                    <w:trPr>
                      <w:trHeight w:val="264" w:hRule="atLeast"/>
                    </w:trPr>
                    <w:tc>
                      <w:tcPr>
                        <w:tcW w:w="4681" w:type="dxa"/>
                        <w:gridSpan w:val="2"/>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Ethylene glycol poisoning</w:t>
                        </w:r>
                      </w:p>
                    </w:tc>
                  </w:tr>
                  <w:tr>
                    <w:trPr>
                      <w:trHeight w:val="279" w:hRule="atLeast"/>
                    </w:trPr>
                    <w:tc>
                      <w:tcPr>
                        <w:tcW w:w="4681" w:type="dxa"/>
                        <w:gridSpan w:val="2"/>
                        <w:tcBorders>
                          <w:top w:val="single" w:sz="4" w:space="0" w:color="FFFFFF"/>
                        </w:tcBorders>
                        <w:shd w:val="clear" w:color="auto" w:fill="E6ECF7"/>
                      </w:tcPr>
                      <w:p>
                        <w:pPr>
                          <w:pStyle w:val="TableParagraph"/>
                          <w:ind w:left="120"/>
                          <w:rPr>
                            <w:sz w:val="16"/>
                          </w:rPr>
                        </w:pPr>
                        <w:r>
                          <w:rPr>
                            <w:color w:val="231F20"/>
                            <w:w w:val="105"/>
                            <w:sz w:val="16"/>
                          </w:rPr>
                          <w:t>Starvation</w:t>
                        </w:r>
                      </w:p>
                    </w:tc>
                  </w:tr>
                </w:tbl>
                <w:p>
                  <w:pPr>
                    <w:pStyle w:val="BodyText"/>
                  </w:pPr>
                </w:p>
              </w:txbxContent>
            </v:textbox>
            <w10:wrap type="topAndBottom"/>
          </v:shape>
        </w:pict>
      </w:r>
      <w:r>
        <w:rPr/>
        <w:pict>
          <v:group style="position:absolute;margin-left:54pt;margin-top:191.467667pt;width:234pt;height:399pt;mso-position-horizontal-relative:page;mso-position-vertical-relative:paragraph;z-index:-250079232;mso-wrap-distance-left:0;mso-wrap-distance-right:0" coordorigin="1080,3829" coordsize="4680,7980">
            <v:rect style="position:absolute;left:1080;top:3829;width:4680;height:7980" filled="true" fillcolor="#f0eef6" stroked="false">
              <v:fill type="solid"/>
            </v:rect>
            <v:shape style="position:absolute;left:1260;top:11112;width:4340;height:606" type="#_x0000_t202" filled="false" stroked="false">
              <v:textbox inset="0,0,0,0">
                <w:txbxContent>
                  <w:p>
                    <w:pPr>
                      <w:spacing w:line="124" w:lineRule="exact" w:before="0"/>
                      <w:ind w:left="1088" w:right="0" w:firstLine="0"/>
                      <w:jc w:val="center"/>
                      <w:rPr>
                        <w:sz w:val="11"/>
                      </w:rPr>
                    </w:pPr>
                    <w:r>
                      <w:rPr>
                        <w:color w:val="231F20"/>
                        <w:w w:val="96"/>
                        <w:sz w:val="11"/>
                      </w:rPr>
                      <w:t>3</w:t>
                    </w:r>
                  </w:p>
                  <w:p>
                    <w:pPr>
                      <w:spacing w:line="254" w:lineRule="auto" w:before="1"/>
                      <w:ind w:left="0" w:right="0" w:firstLine="0"/>
                      <w:jc w:val="left"/>
                      <w:rPr>
                        <w:i/>
                        <w:sz w:val="18"/>
                      </w:rPr>
                    </w:pPr>
                    <w:r>
                      <w:rPr>
                        <w:color w:val="231F20"/>
                        <w:sz w:val="18"/>
                      </w:rPr>
                      <w:t>remain normal. This is often referred to as </w:t>
                    </w:r>
                    <w:r>
                      <w:rPr>
                        <w:i/>
                        <w:color w:val="231F20"/>
                        <w:sz w:val="18"/>
                      </w:rPr>
                      <w:t>hyperchloremic </w:t>
                    </w:r>
                    <w:r>
                      <w:rPr>
                        <w:i/>
                        <w:color w:val="231F20"/>
                        <w:sz w:val="18"/>
                      </w:rPr>
                      <w:t>metabolic acidosis.</w:t>
                    </w:r>
                  </w:p>
                </w:txbxContent>
              </v:textbox>
              <w10:wrap type="none"/>
            </v:shape>
            <v:shape style="position:absolute;left:1260;top:10358;width:4341;height:700" type="#_x0000_t202" filled="false" stroked="false">
              <v:textbox inset="0,0,0,0">
                <w:txbxContent>
                  <w:p>
                    <w:pPr>
                      <w:spacing w:line="252" w:lineRule="auto" w:before="0"/>
                      <w:ind w:left="0" w:right="18" w:firstLine="0"/>
                      <w:jc w:val="both"/>
                      <w:rPr>
                        <w:sz w:val="18"/>
                      </w:rPr>
                    </w:pPr>
                    <w:r>
                      <w:rPr>
                        <w:color w:val="231F20"/>
                        <w:w w:val="105"/>
                        <w:sz w:val="18"/>
                      </w:rPr>
                      <w:t>concentration is unchanged, the concentration of anions (either Cl</w:t>
                    </w:r>
                    <w:r>
                      <w:rPr>
                        <w:rFonts w:ascii="Consolas" w:hAnsi="Consolas"/>
                        <w:color w:val="231F20"/>
                        <w:w w:val="105"/>
                        <w:position w:val="7"/>
                        <w:sz w:val="11"/>
                      </w:rPr>
                      <w:t>− </w:t>
                    </w:r>
                    <w:r>
                      <w:rPr>
                        <w:color w:val="231F20"/>
                        <w:w w:val="105"/>
                        <w:sz w:val="18"/>
                      </w:rPr>
                      <w:t>or an unmeasured anion) must increase to maintain electroneutrality. If plasma Cl</w:t>
                    </w:r>
                    <w:r>
                      <w:rPr>
                        <w:rFonts w:ascii="Consolas" w:hAnsi="Consolas"/>
                        <w:color w:val="231F20"/>
                        <w:w w:val="105"/>
                        <w:position w:val="7"/>
                        <w:sz w:val="11"/>
                      </w:rPr>
                      <w:t>−</w:t>
                    </w:r>
                    <w:r>
                      <w:rPr>
                        <w:rFonts w:ascii="Consolas" w:hAnsi="Consolas"/>
                        <w:color w:val="231F20"/>
                        <w:spacing w:val="-39"/>
                        <w:w w:val="105"/>
                        <w:position w:val="7"/>
                        <w:sz w:val="11"/>
                      </w:rPr>
                      <w:t> </w:t>
                    </w:r>
                    <w:r>
                      <w:rPr>
                        <w:color w:val="231F20"/>
                        <w:w w:val="105"/>
                        <w:sz w:val="18"/>
                      </w:rPr>
                      <w:t>increases in pro-</w:t>
                    </w:r>
                  </w:p>
                </w:txbxContent>
              </v:textbox>
              <w10:wrap type="none"/>
            </v:shape>
            <v:shape style="position:absolute;left:1259;top:11004;width:4341;height:274" type="#_x0000_t202" filled="false" stroked="false">
              <v:textbox inset="0,0,0,0">
                <w:txbxContent>
                  <w:p>
                    <w:pPr>
                      <w:spacing w:before="10"/>
                      <w:ind w:left="0" w:right="0" w:firstLine="0"/>
                      <w:jc w:val="left"/>
                      <w:rPr>
                        <w:sz w:val="18"/>
                      </w:rPr>
                    </w:pPr>
                    <w:r>
                      <w:rPr>
                        <w:color w:val="231F20"/>
                        <w:sz w:val="18"/>
                      </w:rPr>
                      <w:t>portion to the fall in plasma HCO </w:t>
                    </w:r>
                    <w:r>
                      <w:rPr>
                        <w:rFonts w:ascii="Consolas" w:hAnsi="Consolas"/>
                        <w:color w:val="231F20"/>
                        <w:position w:val="7"/>
                        <w:sz w:val="11"/>
                      </w:rPr>
                      <w:t>−</w:t>
                    </w:r>
                    <w:r>
                      <w:rPr>
                        <w:color w:val="231F20"/>
                        <w:sz w:val="18"/>
                      </w:rPr>
                      <w:t>, the anion gap will</w:t>
                    </w:r>
                  </w:p>
                </w:txbxContent>
              </v:textbox>
              <w10:wrap type="none"/>
            </v:shape>
            <v:shape style="position:absolute;left:1260;top:10124;width:4340;height:274" type="#_x0000_t202" filled="false" stroked="false">
              <v:textbox inset="0,0,0,0">
                <w:txbxContent>
                  <w:p>
                    <w:pPr>
                      <w:spacing w:line="153" w:lineRule="exact" w:before="10"/>
                      <w:ind w:left="0" w:right="0" w:firstLine="0"/>
                      <w:jc w:val="left"/>
                      <w:rPr>
                        <w:sz w:val="18"/>
                      </w:rPr>
                    </w:pPr>
                    <w:r>
                      <w:rPr>
                        <w:color w:val="231F20"/>
                        <w:w w:val="105"/>
                        <w:sz w:val="18"/>
                      </w:rPr>
                      <w:t>plasma</w:t>
                    </w:r>
                    <w:r>
                      <w:rPr>
                        <w:color w:val="231F20"/>
                        <w:spacing w:val="-11"/>
                        <w:w w:val="105"/>
                        <w:sz w:val="18"/>
                      </w:rPr>
                      <w:t> </w:t>
                    </w:r>
                    <w:r>
                      <w:rPr>
                        <w:color w:val="231F20"/>
                        <w:w w:val="105"/>
                        <w:sz w:val="18"/>
                      </w:rPr>
                      <w:t>HCO</w:t>
                    </w:r>
                    <w:r>
                      <w:rPr>
                        <w:color w:val="231F20"/>
                        <w:spacing w:val="-4"/>
                        <w:w w:val="105"/>
                        <w:sz w:val="18"/>
                      </w:rPr>
                      <w:t> </w:t>
                    </w:r>
                    <w:r>
                      <w:rPr>
                        <w:rFonts w:ascii="Consolas" w:hAnsi="Consolas"/>
                        <w:color w:val="231F20"/>
                        <w:w w:val="105"/>
                        <w:position w:val="7"/>
                        <w:sz w:val="11"/>
                      </w:rPr>
                      <w:t>−</w:t>
                    </w:r>
                    <w:r>
                      <w:rPr>
                        <w:rFonts w:ascii="Consolas" w:hAnsi="Consolas"/>
                        <w:color w:val="231F20"/>
                        <w:spacing w:val="-27"/>
                        <w:w w:val="105"/>
                        <w:position w:val="7"/>
                        <w:sz w:val="11"/>
                      </w:rPr>
                      <w:t> </w:t>
                    </w:r>
                    <w:r>
                      <w:rPr>
                        <w:color w:val="231F20"/>
                        <w:w w:val="105"/>
                        <w:sz w:val="18"/>
                      </w:rPr>
                      <w:t>concentration</w:t>
                    </w:r>
                    <w:r>
                      <w:rPr>
                        <w:color w:val="231F20"/>
                        <w:spacing w:val="-11"/>
                        <w:w w:val="105"/>
                        <w:sz w:val="18"/>
                      </w:rPr>
                      <w:t> </w:t>
                    </w:r>
                    <w:r>
                      <w:rPr>
                        <w:color w:val="231F20"/>
                        <w:w w:val="105"/>
                        <w:sz w:val="18"/>
                      </w:rPr>
                      <w:t>is</w:t>
                    </w:r>
                    <w:r>
                      <w:rPr>
                        <w:color w:val="231F20"/>
                        <w:spacing w:val="-10"/>
                        <w:w w:val="105"/>
                        <w:sz w:val="18"/>
                      </w:rPr>
                      <w:t> </w:t>
                    </w:r>
                    <w:r>
                      <w:rPr>
                        <w:color w:val="231F20"/>
                        <w:w w:val="105"/>
                        <w:sz w:val="18"/>
                      </w:rPr>
                      <w:t>reduced.</w:t>
                    </w:r>
                    <w:r>
                      <w:rPr>
                        <w:color w:val="231F20"/>
                        <w:spacing w:val="-11"/>
                        <w:w w:val="105"/>
                        <w:sz w:val="18"/>
                      </w:rPr>
                      <w:t> </w:t>
                    </w:r>
                    <w:r>
                      <w:rPr>
                        <w:color w:val="231F20"/>
                        <w:w w:val="105"/>
                        <w:sz w:val="18"/>
                      </w:rPr>
                      <w:t>If</w:t>
                    </w:r>
                    <w:r>
                      <w:rPr>
                        <w:color w:val="231F20"/>
                        <w:spacing w:val="-11"/>
                        <w:w w:val="105"/>
                        <w:sz w:val="18"/>
                      </w:rPr>
                      <w:t> </w:t>
                    </w:r>
                    <w:r>
                      <w:rPr>
                        <w:color w:val="231F20"/>
                        <w:w w:val="105"/>
                        <w:sz w:val="18"/>
                      </w:rPr>
                      <w:t>plasma</w:t>
                    </w:r>
                    <w:r>
                      <w:rPr>
                        <w:color w:val="231F20"/>
                        <w:spacing w:val="-10"/>
                        <w:w w:val="105"/>
                        <w:sz w:val="18"/>
                      </w:rPr>
                      <w:t> </w:t>
                    </w:r>
                    <w:r>
                      <w:rPr>
                        <w:color w:val="231F20"/>
                        <w:w w:val="105"/>
                        <w:sz w:val="18"/>
                      </w:rPr>
                      <w:t>sodium</w:t>
                    </w:r>
                  </w:p>
                  <w:p>
                    <w:pPr>
                      <w:spacing w:line="69" w:lineRule="exact" w:before="0"/>
                      <w:ind w:left="970" w:right="0" w:firstLine="0"/>
                      <w:jc w:val="left"/>
                      <w:rPr>
                        <w:sz w:val="11"/>
                      </w:rPr>
                    </w:pPr>
                    <w:r>
                      <w:rPr>
                        <w:color w:val="231F20"/>
                        <w:w w:val="96"/>
                        <w:sz w:val="11"/>
                      </w:rPr>
                      <w:t>3</w:t>
                    </w:r>
                  </w:p>
                </w:txbxContent>
              </v:textbox>
              <w10:wrap type="none"/>
            </v:shape>
            <v:shape style="position:absolute;left:1260;top:6818;width:4341;height:3360" type="#_x0000_t202" filled="false" stroked="false">
              <v:textbox inset="0,0,0,0">
                <w:txbxContent>
                  <w:p>
                    <w:pPr>
                      <w:spacing w:line="254" w:lineRule="auto" w:before="0"/>
                      <w:ind w:left="0" w:right="18" w:firstLine="0"/>
                      <w:jc w:val="both"/>
                      <w:rPr>
                        <w:sz w:val="18"/>
                      </w:rPr>
                    </w:pPr>
                    <w:r>
                      <w:rPr>
                        <w:color w:val="231F20"/>
                        <w:sz w:val="18"/>
                      </w:rPr>
                      <w:t>is only a diagnostic concept) is the difference between unmeasured anions and unmeasured cations and is esti- mated as</w:t>
                    </w:r>
                  </w:p>
                  <w:p>
                    <w:pPr>
                      <w:spacing w:before="100"/>
                      <w:ind w:left="193" w:right="0" w:firstLine="0"/>
                      <w:jc w:val="left"/>
                      <w:rPr>
                        <w:rFonts w:ascii="Trebuchet MS" w:hAnsi="Trebuchet MS"/>
                        <w:sz w:val="18"/>
                      </w:rPr>
                    </w:pPr>
                    <w:r>
                      <w:rPr>
                        <w:rFonts w:ascii="Trebuchet MS" w:hAnsi="Trebuchet MS"/>
                        <w:sz w:val="18"/>
                      </w:rPr>
                      <w:t>Plasma anion gap </w:t>
                    </w:r>
                    <w:r>
                      <w:rPr>
                        <w:rFonts w:ascii="Symbol" w:hAnsi="Symbol"/>
                        <w:sz w:val="18"/>
                      </w:rPr>
                      <w:t></w:t>
                    </w:r>
                    <w:r>
                      <w:rPr>
                        <w:sz w:val="18"/>
                      </w:rPr>
                      <w:t> </w:t>
                    </w:r>
                    <w:r>
                      <w:rPr>
                        <w:rFonts w:ascii="Trebuchet MS" w:hAnsi="Trebuchet MS"/>
                        <w:sz w:val="18"/>
                      </w:rPr>
                      <w:t>[Na</w:t>
                    </w:r>
                    <w:r>
                      <w:rPr>
                        <w:rFonts w:ascii="Symbol" w:hAnsi="Symbol"/>
                        <w:position w:val="7"/>
                        <w:sz w:val="10"/>
                      </w:rPr>
                      <w:t></w:t>
                    </w:r>
                    <w:r>
                      <w:rPr>
                        <w:position w:val="7"/>
                        <w:sz w:val="10"/>
                      </w:rPr>
                      <w:t> </w:t>
                    </w:r>
                    <w:r>
                      <w:rPr>
                        <w:rFonts w:ascii="Trebuchet MS" w:hAnsi="Trebuchet MS"/>
                        <w:sz w:val="18"/>
                      </w:rPr>
                      <w:t>] </w:t>
                    </w:r>
                    <w:r>
                      <w:rPr>
                        <w:rFonts w:ascii="Symbol" w:hAnsi="Symbol"/>
                        <w:sz w:val="18"/>
                      </w:rPr>
                      <w:t></w:t>
                    </w:r>
                    <w:r>
                      <w:rPr>
                        <w:sz w:val="18"/>
                      </w:rPr>
                      <w:t> </w:t>
                    </w:r>
                    <w:r>
                      <w:rPr>
                        <w:rFonts w:ascii="Trebuchet MS" w:hAnsi="Trebuchet MS"/>
                        <w:sz w:val="18"/>
                      </w:rPr>
                      <w:t>[HCO</w:t>
                    </w:r>
                    <w:r>
                      <w:rPr>
                        <w:rFonts w:ascii="Trebuchet MS" w:hAnsi="Trebuchet MS"/>
                        <w:position w:val="-2"/>
                        <w:sz w:val="10"/>
                      </w:rPr>
                      <w:t>3</w:t>
                    </w:r>
                    <w:r>
                      <w:rPr>
                        <w:rFonts w:ascii="Symbol" w:hAnsi="Symbol"/>
                        <w:position w:val="7"/>
                        <w:sz w:val="10"/>
                      </w:rPr>
                      <w:t></w:t>
                    </w:r>
                    <w:r>
                      <w:rPr>
                        <w:position w:val="7"/>
                        <w:sz w:val="10"/>
                      </w:rPr>
                      <w:t> </w:t>
                    </w:r>
                    <w:r>
                      <w:rPr>
                        <w:rFonts w:ascii="Trebuchet MS" w:hAnsi="Trebuchet MS"/>
                        <w:sz w:val="18"/>
                      </w:rPr>
                      <w:t>] </w:t>
                    </w:r>
                    <w:r>
                      <w:rPr>
                        <w:rFonts w:ascii="Symbol" w:hAnsi="Symbol"/>
                        <w:sz w:val="18"/>
                      </w:rPr>
                      <w:t></w:t>
                    </w:r>
                    <w:r>
                      <w:rPr>
                        <w:sz w:val="18"/>
                      </w:rPr>
                      <w:t> </w:t>
                    </w:r>
                    <w:r>
                      <w:rPr>
                        <w:rFonts w:ascii="Trebuchet MS" w:hAnsi="Trebuchet MS"/>
                        <w:sz w:val="18"/>
                      </w:rPr>
                      <w:t>[Cl</w:t>
                    </w:r>
                    <w:r>
                      <w:rPr>
                        <w:rFonts w:ascii="Symbol" w:hAnsi="Symbol"/>
                        <w:position w:val="7"/>
                        <w:sz w:val="10"/>
                      </w:rPr>
                      <w:t></w:t>
                    </w:r>
                    <w:r>
                      <w:rPr>
                        <w:position w:val="7"/>
                        <w:sz w:val="10"/>
                      </w:rPr>
                      <w:t> </w:t>
                    </w:r>
                    <w:r>
                      <w:rPr>
                        <w:rFonts w:ascii="Trebuchet MS" w:hAnsi="Trebuchet MS"/>
                        <w:sz w:val="18"/>
                      </w:rPr>
                      <w:t>]</w:t>
                    </w:r>
                  </w:p>
                  <w:p>
                    <w:pPr>
                      <w:spacing w:before="7"/>
                      <w:ind w:left="1702" w:right="0" w:firstLine="0"/>
                      <w:jc w:val="left"/>
                      <w:rPr>
                        <w:rFonts w:ascii="Trebuchet MS" w:hAnsi="Trebuchet MS"/>
                        <w:sz w:val="18"/>
                      </w:rPr>
                    </w:pPr>
                    <w:r>
                      <w:rPr>
                        <w:rFonts w:ascii="Symbol" w:hAnsi="Symbol"/>
                        <w:w w:val="100"/>
                        <w:sz w:val="18"/>
                      </w:rPr>
                      <w:t></w:t>
                    </w:r>
                    <w:r>
                      <w:rPr>
                        <w:spacing w:val="-8"/>
                        <w:sz w:val="18"/>
                      </w:rPr>
                      <w:t> </w:t>
                    </w:r>
                    <w:r>
                      <w:rPr>
                        <w:rFonts w:ascii="Trebuchet MS" w:hAnsi="Trebuchet MS"/>
                        <w:spacing w:val="1"/>
                        <w:w w:val="106"/>
                        <w:sz w:val="18"/>
                      </w:rPr>
                      <w:t>14</w:t>
                    </w:r>
                    <w:r>
                      <w:rPr>
                        <w:rFonts w:ascii="Trebuchet MS" w:hAnsi="Trebuchet MS"/>
                        <w:w w:val="106"/>
                        <w:sz w:val="18"/>
                      </w:rPr>
                      <w:t>4</w:t>
                    </w:r>
                    <w:r>
                      <w:rPr>
                        <w:rFonts w:ascii="Trebuchet MS" w:hAnsi="Trebuchet MS"/>
                        <w:spacing w:val="-17"/>
                        <w:sz w:val="18"/>
                      </w:rPr>
                      <w:t> </w:t>
                    </w:r>
                    <w:r>
                      <w:rPr>
                        <w:rFonts w:ascii="Symbol" w:hAnsi="Symbol"/>
                        <w:w w:val="100"/>
                        <w:sz w:val="18"/>
                      </w:rPr>
                      <w:t></w:t>
                    </w:r>
                    <w:r>
                      <w:rPr>
                        <w:spacing w:val="-12"/>
                        <w:sz w:val="18"/>
                      </w:rPr>
                      <w:t> </w:t>
                    </w:r>
                    <w:r>
                      <w:rPr>
                        <w:rFonts w:ascii="Trebuchet MS" w:hAnsi="Trebuchet MS"/>
                        <w:spacing w:val="1"/>
                        <w:w w:val="106"/>
                        <w:sz w:val="18"/>
                      </w:rPr>
                      <w:t>2</w:t>
                    </w:r>
                    <w:r>
                      <w:rPr>
                        <w:rFonts w:ascii="Trebuchet MS" w:hAnsi="Trebuchet MS"/>
                        <w:w w:val="106"/>
                        <w:sz w:val="18"/>
                      </w:rPr>
                      <w:t>4</w:t>
                    </w:r>
                    <w:r>
                      <w:rPr>
                        <w:rFonts w:ascii="Trebuchet MS" w:hAnsi="Trebuchet MS"/>
                        <w:spacing w:val="-17"/>
                        <w:sz w:val="18"/>
                      </w:rPr>
                      <w:t> </w:t>
                    </w:r>
                    <w:r>
                      <w:rPr>
                        <w:rFonts w:ascii="Symbol" w:hAnsi="Symbol"/>
                        <w:w w:val="100"/>
                        <w:sz w:val="18"/>
                      </w:rPr>
                      <w:t></w:t>
                    </w:r>
                    <w:r>
                      <w:rPr>
                        <w:spacing w:val="-23"/>
                        <w:sz w:val="18"/>
                      </w:rPr>
                      <w:t> </w:t>
                    </w:r>
                    <w:r>
                      <w:rPr>
                        <w:rFonts w:ascii="Trebuchet MS" w:hAnsi="Trebuchet MS"/>
                        <w:spacing w:val="1"/>
                        <w:w w:val="106"/>
                        <w:sz w:val="18"/>
                      </w:rPr>
                      <w:t>10</w:t>
                    </w:r>
                    <w:r>
                      <w:rPr>
                        <w:rFonts w:ascii="Trebuchet MS" w:hAnsi="Trebuchet MS"/>
                        <w:w w:val="106"/>
                        <w:sz w:val="18"/>
                      </w:rPr>
                      <w:t>8</w:t>
                    </w:r>
                    <w:r>
                      <w:rPr>
                        <w:rFonts w:ascii="Trebuchet MS" w:hAnsi="Trebuchet MS"/>
                        <w:spacing w:val="-5"/>
                        <w:sz w:val="18"/>
                      </w:rPr>
                      <w:t> </w:t>
                    </w:r>
                    <w:r>
                      <w:rPr>
                        <w:rFonts w:ascii="Symbol" w:hAnsi="Symbol"/>
                        <w:w w:val="100"/>
                        <w:sz w:val="18"/>
                      </w:rPr>
                      <w:t></w:t>
                    </w:r>
                    <w:r>
                      <w:rPr>
                        <w:spacing w:val="-8"/>
                        <w:sz w:val="18"/>
                      </w:rPr>
                      <w:t> </w:t>
                    </w:r>
                    <w:r>
                      <w:rPr>
                        <w:rFonts w:ascii="Trebuchet MS" w:hAnsi="Trebuchet MS"/>
                        <w:spacing w:val="1"/>
                        <w:w w:val="106"/>
                        <w:sz w:val="18"/>
                      </w:rPr>
                      <w:t>1</w:t>
                    </w:r>
                    <w:r>
                      <w:rPr>
                        <w:rFonts w:ascii="Trebuchet MS" w:hAnsi="Trebuchet MS"/>
                        <w:w w:val="106"/>
                        <w:sz w:val="18"/>
                      </w:rPr>
                      <w:t>2</w:t>
                    </w:r>
                    <w:r>
                      <w:rPr>
                        <w:rFonts w:ascii="Trebuchet MS" w:hAnsi="Trebuchet MS"/>
                        <w:spacing w:val="-18"/>
                        <w:sz w:val="18"/>
                      </w:rPr>
                      <w:t> </w:t>
                    </w:r>
                    <w:r>
                      <w:rPr>
                        <w:rFonts w:ascii="Trebuchet MS" w:hAnsi="Trebuchet MS"/>
                        <w:w w:val="105"/>
                        <w:sz w:val="18"/>
                      </w:rPr>
                      <w:t>m</w:t>
                    </w:r>
                    <w:r>
                      <w:rPr>
                        <w:rFonts w:ascii="Trebuchet MS" w:hAnsi="Trebuchet MS"/>
                        <w:spacing w:val="1"/>
                        <w:w w:val="105"/>
                        <w:sz w:val="18"/>
                      </w:rPr>
                      <w:t>E</w:t>
                    </w:r>
                    <w:r>
                      <w:rPr>
                        <w:rFonts w:ascii="Trebuchet MS" w:hAnsi="Trebuchet MS"/>
                        <w:spacing w:val="11"/>
                        <w:w w:val="109"/>
                        <w:sz w:val="18"/>
                      </w:rPr>
                      <w:t>q</w:t>
                    </w:r>
                    <w:r>
                      <w:rPr>
                        <w:rFonts w:ascii="Trebuchet MS" w:hAnsi="Trebuchet MS"/>
                        <w:spacing w:val="6"/>
                        <w:w w:val="53"/>
                        <w:sz w:val="18"/>
                      </w:rPr>
                      <w:t>/</w:t>
                    </w:r>
                    <w:r>
                      <w:rPr>
                        <w:rFonts w:ascii="Trebuchet MS" w:hAnsi="Trebuchet MS"/>
                        <w:w w:val="98"/>
                        <w:sz w:val="18"/>
                      </w:rPr>
                      <w:t>L</w:t>
                    </w:r>
                  </w:p>
                  <w:p>
                    <w:pPr>
                      <w:spacing w:line="254" w:lineRule="auto" w:before="120"/>
                      <w:ind w:left="0" w:right="18" w:firstLine="240"/>
                      <w:jc w:val="both"/>
                      <w:rPr>
                        <w:sz w:val="18"/>
                      </w:rPr>
                    </w:pPr>
                    <w:r>
                      <w:rPr>
                        <w:color w:val="231F20"/>
                        <w:sz w:val="18"/>
                      </w:rPr>
                      <w:t>The anion gap will increase if unmeasured anions rise  or if unmeasured cations fall. The most important unmea- sured cations include calcium, magnesium, and potassium, and the major unmeasured anions are albumin, phosphate, sulfate, and other organic anions. Usually the unmeasured anions exceed the unmeasured cations, and the anion gap ranges between 8 and 16</w:t>
                    </w:r>
                    <w:r>
                      <w:rPr>
                        <w:color w:val="231F20"/>
                        <w:spacing w:val="36"/>
                        <w:sz w:val="18"/>
                      </w:rPr>
                      <w:t> </w:t>
                    </w:r>
                    <w:r>
                      <w:rPr>
                        <w:color w:val="231F20"/>
                        <w:sz w:val="18"/>
                      </w:rPr>
                      <w:t>mEq/L.</w:t>
                    </w:r>
                  </w:p>
                  <w:p>
                    <w:pPr>
                      <w:spacing w:line="254" w:lineRule="auto" w:before="4"/>
                      <w:ind w:left="0" w:right="18" w:firstLine="239"/>
                      <w:jc w:val="both"/>
                      <w:rPr>
                        <w:sz w:val="18"/>
                      </w:rPr>
                    </w:pPr>
                    <w:r>
                      <w:rPr>
                        <w:color w:val="231F20"/>
                        <w:sz w:val="18"/>
                      </w:rPr>
                      <w:t>The plasma anion gap is used mainly in diagnosing dif- ferent causes of metabolic acidosis. In metabolic acidosis,</w:t>
                    </w:r>
                  </w:p>
                </w:txbxContent>
              </v:textbox>
              <w10:wrap type="none"/>
            </v:shape>
            <v:shape style="position:absolute;left:1260;top:6584;width:4340;height:274" type="#_x0000_t202" filled="false" stroked="false">
              <v:textbox inset="0,0,0,0">
                <w:txbxContent>
                  <w:p>
                    <w:pPr>
                      <w:spacing w:line="153" w:lineRule="exact" w:before="10"/>
                      <w:ind w:left="0" w:right="0" w:firstLine="0"/>
                      <w:jc w:val="left"/>
                      <w:rPr>
                        <w:sz w:val="18"/>
                      </w:rPr>
                    </w:pPr>
                    <w:r>
                      <w:rPr>
                        <w:color w:val="231F20"/>
                        <w:sz w:val="18"/>
                      </w:rPr>
                      <w:t>anions are usually Cl</w:t>
                    </w:r>
                    <w:r>
                      <w:rPr>
                        <w:rFonts w:ascii="Consolas" w:hAnsi="Consolas"/>
                        <w:color w:val="231F20"/>
                        <w:position w:val="7"/>
                        <w:sz w:val="11"/>
                      </w:rPr>
                      <w:t>− </w:t>
                    </w:r>
                    <w:r>
                      <w:rPr>
                        <w:color w:val="231F20"/>
                        <w:sz w:val="18"/>
                      </w:rPr>
                      <w:t>and HCO </w:t>
                    </w:r>
                    <w:r>
                      <w:rPr>
                        <w:rFonts w:ascii="Consolas" w:hAnsi="Consolas"/>
                        <w:color w:val="231F20"/>
                        <w:position w:val="7"/>
                        <w:sz w:val="11"/>
                      </w:rPr>
                      <w:t>−</w:t>
                    </w:r>
                    <w:r>
                      <w:rPr>
                        <w:color w:val="231F20"/>
                        <w:sz w:val="18"/>
                      </w:rPr>
                      <w:t>. The “anion gap” (which</w:t>
                    </w:r>
                  </w:p>
                  <w:p>
                    <w:pPr>
                      <w:spacing w:line="69" w:lineRule="exact" w:before="0"/>
                      <w:ind w:left="481" w:right="0" w:firstLine="0"/>
                      <w:jc w:val="center"/>
                      <w:rPr>
                        <w:sz w:val="11"/>
                      </w:rPr>
                    </w:pPr>
                    <w:r>
                      <w:rPr>
                        <w:color w:val="231F20"/>
                        <w:w w:val="96"/>
                        <w:sz w:val="11"/>
                      </w:rPr>
                      <w:t>3</w:t>
                    </w:r>
                  </w:p>
                </w:txbxContent>
              </v:textbox>
              <w10:wrap type="none"/>
            </v:shape>
            <v:shape style="position:absolute;left:1260;top:3958;width:4341;height:2680" type="#_x0000_t202" filled="false" stroked="false">
              <v:textbox inset="0,0,0,0">
                <w:txbxContent>
                  <w:p>
                    <w:pPr>
                      <w:spacing w:line="249" w:lineRule="auto" w:before="0"/>
                      <w:ind w:left="0" w:right="18" w:firstLine="0"/>
                      <w:jc w:val="both"/>
                      <w:rPr>
                        <w:sz w:val="18"/>
                      </w:rPr>
                    </w:pPr>
                    <w:r>
                      <w:rPr>
                        <w:color w:val="231F20"/>
                        <w:w w:val="105"/>
                        <w:sz w:val="18"/>
                      </w:rPr>
                      <w:t>to abnormal pH, P</w:t>
                    </w:r>
                    <w:r>
                      <w:rPr>
                        <w:color w:val="231F20"/>
                        <w:w w:val="105"/>
                        <w:sz w:val="14"/>
                      </w:rPr>
                      <w:t>CO</w:t>
                    </w:r>
                    <w:r>
                      <w:rPr>
                        <w:color w:val="231F20"/>
                        <w:w w:val="105"/>
                        <w:position w:val="-2"/>
                        <w:sz w:val="11"/>
                      </w:rPr>
                      <w:t>2</w:t>
                    </w:r>
                    <w:r>
                      <w:rPr>
                        <w:color w:val="231F20"/>
                        <w:w w:val="105"/>
                        <w:sz w:val="18"/>
                      </w:rPr>
                      <w:t>, and plasma bicarbonate concen- trations.</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a</w:t>
                    </w:r>
                    <w:r>
                      <w:rPr>
                        <w:color w:val="231F20"/>
                        <w:spacing w:val="-16"/>
                        <w:w w:val="105"/>
                        <w:sz w:val="18"/>
                      </w:rPr>
                      <w:t> </w:t>
                    </w:r>
                    <w:r>
                      <w:rPr>
                        <w:color w:val="231F20"/>
                        <w:w w:val="105"/>
                        <w:sz w:val="18"/>
                      </w:rPr>
                      <w:t>clinical</w:t>
                    </w:r>
                    <w:r>
                      <w:rPr>
                        <w:color w:val="231F20"/>
                        <w:spacing w:val="-16"/>
                        <w:w w:val="105"/>
                        <w:sz w:val="18"/>
                      </w:rPr>
                      <w:t> </w:t>
                    </w:r>
                    <w:r>
                      <w:rPr>
                        <w:color w:val="231F20"/>
                        <w:w w:val="105"/>
                        <w:sz w:val="18"/>
                      </w:rPr>
                      <w:t>setting,</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patient’s</w:t>
                    </w:r>
                    <w:r>
                      <w:rPr>
                        <w:color w:val="231F20"/>
                        <w:spacing w:val="-15"/>
                        <w:w w:val="105"/>
                        <w:sz w:val="18"/>
                      </w:rPr>
                      <w:t> </w:t>
                    </w:r>
                    <w:r>
                      <w:rPr>
                        <w:color w:val="231F20"/>
                        <w:w w:val="105"/>
                        <w:sz w:val="18"/>
                      </w:rPr>
                      <w:t>history</w:t>
                    </w:r>
                    <w:r>
                      <w:rPr>
                        <w:color w:val="231F20"/>
                        <w:spacing w:val="-16"/>
                        <w:w w:val="105"/>
                        <w:sz w:val="18"/>
                      </w:rPr>
                      <w:t> </w:t>
                    </w:r>
                    <w:r>
                      <w:rPr>
                        <w:color w:val="231F20"/>
                        <w:w w:val="105"/>
                        <w:sz w:val="18"/>
                      </w:rPr>
                      <w:t>and</w:t>
                    </w:r>
                    <w:r>
                      <w:rPr>
                        <w:color w:val="231F20"/>
                        <w:spacing w:val="-16"/>
                        <w:w w:val="105"/>
                        <w:sz w:val="18"/>
                      </w:rPr>
                      <w:t> </w:t>
                    </w:r>
                    <w:r>
                      <w:rPr>
                        <w:color w:val="231F20"/>
                        <w:w w:val="105"/>
                        <w:sz w:val="18"/>
                      </w:rPr>
                      <w:t>other physical</w:t>
                    </w:r>
                    <w:r>
                      <w:rPr>
                        <w:color w:val="231F20"/>
                        <w:spacing w:val="-11"/>
                        <w:w w:val="105"/>
                        <w:sz w:val="18"/>
                      </w:rPr>
                      <w:t> </w:t>
                    </w:r>
                    <w:r>
                      <w:rPr>
                        <w:color w:val="231F20"/>
                        <w:w w:val="105"/>
                        <w:sz w:val="18"/>
                      </w:rPr>
                      <w:t>findings</w:t>
                    </w:r>
                    <w:r>
                      <w:rPr>
                        <w:color w:val="231F20"/>
                        <w:spacing w:val="-11"/>
                        <w:w w:val="105"/>
                        <w:sz w:val="18"/>
                      </w:rPr>
                      <w:t> </w:t>
                    </w:r>
                    <w:r>
                      <w:rPr>
                        <w:color w:val="231F20"/>
                        <w:w w:val="105"/>
                        <w:sz w:val="18"/>
                      </w:rPr>
                      <w:t>also</w:t>
                    </w:r>
                    <w:r>
                      <w:rPr>
                        <w:color w:val="231F20"/>
                        <w:spacing w:val="-11"/>
                        <w:w w:val="105"/>
                        <w:sz w:val="18"/>
                      </w:rPr>
                      <w:t> </w:t>
                    </w:r>
                    <w:r>
                      <w:rPr>
                        <w:color w:val="231F20"/>
                        <w:w w:val="105"/>
                        <w:sz w:val="18"/>
                      </w:rPr>
                      <w:t>provide</w:t>
                    </w:r>
                    <w:r>
                      <w:rPr>
                        <w:color w:val="231F20"/>
                        <w:spacing w:val="-11"/>
                        <w:w w:val="105"/>
                        <w:sz w:val="18"/>
                      </w:rPr>
                      <w:t> </w:t>
                    </w:r>
                    <w:r>
                      <w:rPr>
                        <w:color w:val="231F20"/>
                        <w:w w:val="105"/>
                        <w:sz w:val="18"/>
                      </w:rPr>
                      <w:t>important</w:t>
                    </w:r>
                    <w:r>
                      <w:rPr>
                        <w:color w:val="231F20"/>
                        <w:spacing w:val="-11"/>
                        <w:w w:val="105"/>
                        <w:sz w:val="18"/>
                      </w:rPr>
                      <w:t> </w:t>
                    </w:r>
                    <w:r>
                      <w:rPr>
                        <w:color w:val="231F20"/>
                        <w:w w:val="105"/>
                        <w:sz w:val="18"/>
                      </w:rPr>
                      <w:t>clues</w:t>
                    </w:r>
                    <w:r>
                      <w:rPr>
                        <w:color w:val="231F20"/>
                        <w:spacing w:val="-11"/>
                        <w:w w:val="105"/>
                        <w:sz w:val="18"/>
                      </w:rPr>
                      <w:t> </w:t>
                    </w:r>
                    <w:r>
                      <w:rPr>
                        <w:color w:val="231F20"/>
                        <w:w w:val="105"/>
                        <w:sz w:val="18"/>
                      </w:rPr>
                      <w:t>concerning causes and treatment of the acid-base</w:t>
                    </w:r>
                    <w:r>
                      <w:rPr>
                        <w:color w:val="231F20"/>
                        <w:spacing w:val="9"/>
                        <w:w w:val="105"/>
                        <w:sz w:val="18"/>
                      </w:rPr>
                      <w:t> </w:t>
                    </w:r>
                    <w:r>
                      <w:rPr>
                        <w:color w:val="231F20"/>
                        <w:w w:val="105"/>
                        <w:sz w:val="18"/>
                      </w:rPr>
                      <w:t>disorders.</w:t>
                    </w:r>
                  </w:p>
                  <w:p>
                    <w:pPr>
                      <w:spacing w:line="252" w:lineRule="auto" w:before="142"/>
                      <w:ind w:left="0" w:right="1728" w:firstLine="0"/>
                      <w:jc w:val="left"/>
                      <w:rPr>
                        <w:rFonts w:ascii="Trebuchet MS"/>
                        <w:b/>
                        <w:sz w:val="18"/>
                      </w:rPr>
                    </w:pPr>
                    <w:r>
                      <w:rPr>
                        <w:rFonts w:ascii="Trebuchet MS"/>
                        <w:b/>
                        <w:color w:val="231F20"/>
                        <w:w w:val="105"/>
                        <w:sz w:val="18"/>
                      </w:rPr>
                      <w:t>Use of Anion Gap to Diagnose Acid-Base Disorders</w:t>
                    </w:r>
                  </w:p>
                  <w:p>
                    <w:pPr>
                      <w:spacing w:line="254" w:lineRule="auto" w:before="82"/>
                      <w:ind w:left="0" w:right="18" w:firstLine="0"/>
                      <w:jc w:val="both"/>
                      <w:rPr>
                        <w:sz w:val="18"/>
                      </w:rPr>
                    </w:pPr>
                    <w:r>
                      <w:rPr>
                        <w:color w:val="231F20"/>
                        <w:w w:val="105"/>
                        <w:sz w:val="18"/>
                      </w:rPr>
                      <w:t>The concentrations of anions and cations in plasma </w:t>
                    </w:r>
                    <w:r>
                      <w:rPr>
                        <w:color w:val="231F20"/>
                        <w:spacing w:val="-5"/>
                        <w:w w:val="105"/>
                        <w:sz w:val="18"/>
                      </w:rPr>
                      <w:t>must </w:t>
                    </w:r>
                    <w:r>
                      <w:rPr>
                        <w:color w:val="231F20"/>
                        <w:w w:val="105"/>
                        <w:sz w:val="18"/>
                      </w:rPr>
                      <w:t>be</w:t>
                    </w:r>
                    <w:r>
                      <w:rPr>
                        <w:color w:val="231F20"/>
                        <w:spacing w:val="-7"/>
                        <w:w w:val="105"/>
                        <w:sz w:val="18"/>
                      </w:rPr>
                      <w:t> </w:t>
                    </w:r>
                    <w:r>
                      <w:rPr>
                        <w:color w:val="231F20"/>
                        <w:w w:val="105"/>
                        <w:sz w:val="18"/>
                      </w:rPr>
                      <w:t>equal</w:t>
                    </w:r>
                    <w:r>
                      <w:rPr>
                        <w:color w:val="231F20"/>
                        <w:spacing w:val="-7"/>
                        <w:w w:val="105"/>
                        <w:sz w:val="18"/>
                      </w:rPr>
                      <w:t> </w:t>
                    </w:r>
                    <w:r>
                      <w:rPr>
                        <w:color w:val="231F20"/>
                        <w:w w:val="105"/>
                        <w:sz w:val="18"/>
                      </w:rPr>
                      <w:t>to</w:t>
                    </w:r>
                    <w:r>
                      <w:rPr>
                        <w:color w:val="231F20"/>
                        <w:spacing w:val="-6"/>
                        <w:w w:val="105"/>
                        <w:sz w:val="18"/>
                      </w:rPr>
                      <w:t> </w:t>
                    </w:r>
                    <w:r>
                      <w:rPr>
                        <w:color w:val="231F20"/>
                        <w:w w:val="105"/>
                        <w:sz w:val="18"/>
                      </w:rPr>
                      <w:t>maintain</w:t>
                    </w:r>
                    <w:r>
                      <w:rPr>
                        <w:color w:val="231F20"/>
                        <w:spacing w:val="-7"/>
                        <w:w w:val="105"/>
                        <w:sz w:val="18"/>
                      </w:rPr>
                      <w:t> </w:t>
                    </w:r>
                    <w:r>
                      <w:rPr>
                        <w:color w:val="231F20"/>
                        <w:w w:val="105"/>
                        <w:sz w:val="18"/>
                      </w:rPr>
                      <w:t>electrical</w:t>
                    </w:r>
                    <w:r>
                      <w:rPr>
                        <w:color w:val="231F20"/>
                        <w:spacing w:val="-6"/>
                        <w:w w:val="105"/>
                        <w:sz w:val="18"/>
                      </w:rPr>
                      <w:t> </w:t>
                    </w:r>
                    <w:r>
                      <w:rPr>
                        <w:color w:val="231F20"/>
                        <w:w w:val="105"/>
                        <w:sz w:val="18"/>
                      </w:rPr>
                      <w:t>neutrality.</w:t>
                    </w:r>
                    <w:r>
                      <w:rPr>
                        <w:color w:val="231F20"/>
                        <w:spacing w:val="-7"/>
                        <w:w w:val="105"/>
                        <w:sz w:val="18"/>
                      </w:rPr>
                      <w:t> </w:t>
                    </w:r>
                    <w:r>
                      <w:rPr>
                        <w:color w:val="231F20"/>
                        <w:w w:val="105"/>
                        <w:sz w:val="18"/>
                      </w:rPr>
                      <w:t>Therefore,</w:t>
                    </w:r>
                    <w:r>
                      <w:rPr>
                        <w:color w:val="231F20"/>
                        <w:spacing w:val="-6"/>
                        <w:w w:val="105"/>
                        <w:sz w:val="18"/>
                      </w:rPr>
                      <w:t> </w:t>
                    </w:r>
                    <w:r>
                      <w:rPr>
                        <w:color w:val="231F20"/>
                        <w:w w:val="105"/>
                        <w:sz w:val="18"/>
                      </w:rPr>
                      <w:t>there is</w:t>
                    </w:r>
                    <w:r>
                      <w:rPr>
                        <w:color w:val="231F20"/>
                        <w:spacing w:val="-17"/>
                        <w:w w:val="105"/>
                        <w:sz w:val="18"/>
                      </w:rPr>
                      <w:t> </w:t>
                    </w:r>
                    <w:r>
                      <w:rPr>
                        <w:color w:val="231F20"/>
                        <w:w w:val="105"/>
                        <w:sz w:val="18"/>
                      </w:rPr>
                      <w:t>no</w:t>
                    </w:r>
                    <w:r>
                      <w:rPr>
                        <w:color w:val="231F20"/>
                        <w:spacing w:val="-17"/>
                        <w:w w:val="105"/>
                        <w:sz w:val="18"/>
                      </w:rPr>
                      <w:t> </w:t>
                    </w:r>
                    <w:r>
                      <w:rPr>
                        <w:color w:val="231F20"/>
                        <w:w w:val="105"/>
                        <w:sz w:val="18"/>
                      </w:rPr>
                      <w:t>real</w:t>
                    </w:r>
                    <w:r>
                      <w:rPr>
                        <w:color w:val="231F20"/>
                        <w:spacing w:val="-17"/>
                        <w:w w:val="105"/>
                        <w:sz w:val="18"/>
                      </w:rPr>
                      <w:t> </w:t>
                    </w:r>
                    <w:r>
                      <w:rPr>
                        <w:color w:val="231F20"/>
                        <w:w w:val="105"/>
                        <w:sz w:val="18"/>
                      </w:rPr>
                      <w:t>“anion</w:t>
                    </w:r>
                    <w:r>
                      <w:rPr>
                        <w:color w:val="231F20"/>
                        <w:spacing w:val="-17"/>
                        <w:w w:val="105"/>
                        <w:sz w:val="18"/>
                      </w:rPr>
                      <w:t> </w:t>
                    </w:r>
                    <w:r>
                      <w:rPr>
                        <w:color w:val="231F20"/>
                        <w:w w:val="105"/>
                        <w:sz w:val="18"/>
                      </w:rPr>
                      <w:t>gap”</w:t>
                    </w:r>
                    <w:r>
                      <w:rPr>
                        <w:color w:val="231F20"/>
                        <w:spacing w:val="-16"/>
                        <w:w w:val="105"/>
                        <w:sz w:val="18"/>
                      </w:rPr>
                      <w:t> </w:t>
                    </w:r>
                    <w:r>
                      <w:rPr>
                        <w:color w:val="231F20"/>
                        <w:w w:val="105"/>
                        <w:sz w:val="18"/>
                      </w:rPr>
                      <w:t>in</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plasma.</w:t>
                    </w:r>
                    <w:r>
                      <w:rPr>
                        <w:color w:val="231F20"/>
                        <w:spacing w:val="-17"/>
                        <w:w w:val="105"/>
                        <w:sz w:val="18"/>
                      </w:rPr>
                      <w:t> </w:t>
                    </w:r>
                    <w:r>
                      <w:rPr>
                        <w:color w:val="231F20"/>
                        <w:w w:val="105"/>
                        <w:sz w:val="18"/>
                      </w:rPr>
                      <w:t>However,</w:t>
                    </w:r>
                    <w:r>
                      <w:rPr>
                        <w:color w:val="231F20"/>
                        <w:spacing w:val="-16"/>
                        <w:w w:val="105"/>
                        <w:sz w:val="18"/>
                      </w:rPr>
                      <w:t> </w:t>
                    </w:r>
                    <w:r>
                      <w:rPr>
                        <w:color w:val="231F20"/>
                        <w:w w:val="105"/>
                        <w:sz w:val="18"/>
                      </w:rPr>
                      <w:t>only</w:t>
                    </w:r>
                    <w:r>
                      <w:rPr>
                        <w:color w:val="231F20"/>
                        <w:spacing w:val="-17"/>
                        <w:w w:val="105"/>
                        <w:sz w:val="18"/>
                      </w:rPr>
                      <w:t> </w:t>
                    </w:r>
                    <w:r>
                      <w:rPr>
                        <w:color w:val="231F20"/>
                        <w:w w:val="105"/>
                        <w:sz w:val="18"/>
                      </w:rPr>
                      <w:t>certain cations and anions are routinely measured in the clinical laboratory. The cation normally measured is </w:t>
                    </w:r>
                    <w:r>
                      <w:rPr>
                        <w:color w:val="231F20"/>
                        <w:spacing w:val="-6"/>
                        <w:w w:val="105"/>
                        <w:sz w:val="18"/>
                      </w:rPr>
                      <w:t>Na</w:t>
                    </w:r>
                    <w:r>
                      <w:rPr>
                        <w:rFonts w:ascii="Consolas" w:hAnsi="Consolas"/>
                        <w:color w:val="231F20"/>
                        <w:spacing w:val="-6"/>
                        <w:w w:val="105"/>
                        <w:position w:val="7"/>
                        <w:sz w:val="11"/>
                      </w:rPr>
                      <w:t>+</w:t>
                    </w:r>
                    <w:r>
                      <w:rPr>
                        <w:color w:val="231F20"/>
                        <w:spacing w:val="-6"/>
                        <w:w w:val="105"/>
                        <w:sz w:val="18"/>
                      </w:rPr>
                      <w:t>, </w:t>
                    </w:r>
                    <w:r>
                      <w:rPr>
                        <w:color w:val="231F20"/>
                        <w:w w:val="105"/>
                        <w:sz w:val="18"/>
                      </w:rPr>
                      <w:t>and</w:t>
                    </w:r>
                    <w:r>
                      <w:rPr>
                        <w:color w:val="231F20"/>
                        <w:spacing w:val="16"/>
                        <w:w w:val="105"/>
                        <w:sz w:val="18"/>
                      </w:rPr>
                      <w:t> </w:t>
                    </w:r>
                    <w:r>
                      <w:rPr>
                        <w:color w:val="231F20"/>
                        <w:w w:val="105"/>
                        <w:sz w:val="18"/>
                      </w:rPr>
                      <w:t>the</w:t>
                    </w:r>
                  </w:p>
                </w:txbxContent>
              </v:textbox>
              <w10:wrap type="none"/>
            </v:shape>
            <w10:wrap type="topAndBottom"/>
          </v:group>
        </w:pict>
      </w:r>
      <w:bookmarkStart w:name="_bookmark115" w:id="116"/>
      <w:bookmarkEnd w:id="116"/>
      <w:r>
        <w:rPr/>
      </w:r>
      <w:r>
        <w:rPr>
          <w:rFonts w:ascii="Trebuchet MS"/>
          <w:b/>
          <w:color w:val="231F20"/>
          <w:w w:val="105"/>
          <w:sz w:val="18"/>
        </w:rPr>
        <w:t>Table 31-4 </w:t>
      </w:r>
      <w:r>
        <w:rPr>
          <w:rFonts w:ascii="Trebuchet MS"/>
          <w:color w:val="231F20"/>
          <w:w w:val="105"/>
          <w:sz w:val="18"/>
        </w:rPr>
        <w:t>Metabolic Acidosis Associated with Normal or Increased Plasma Anion Gap</w:t>
      </w:r>
    </w:p>
    <w:p>
      <w:pPr>
        <w:pStyle w:val="BodyText"/>
        <w:spacing w:before="1"/>
        <w:rPr>
          <w:rFonts w:ascii="Trebuchet MS"/>
          <w:sz w:val="28"/>
        </w:rPr>
      </w:pPr>
    </w:p>
    <w:p>
      <w:pPr>
        <w:pStyle w:val="BodyText"/>
        <w:spacing w:before="1"/>
        <w:rPr>
          <w:rFonts w:ascii="Trebuchet MS"/>
          <w:sz w:val="11"/>
        </w:rPr>
      </w:pPr>
      <w:r>
        <w:rPr/>
        <w:br w:type="column"/>
      </w:r>
      <w:r>
        <w:rPr>
          <w:rFonts w:ascii="Trebuchet MS"/>
          <w:sz w:val="11"/>
        </w:rPr>
      </w:r>
    </w:p>
    <w:p>
      <w:pPr>
        <w:pStyle w:val="BodyText"/>
        <w:ind w:left="320"/>
        <w:rPr>
          <w:rFonts w:ascii="Trebuchet MS"/>
        </w:rPr>
      </w:pPr>
      <w:r>
        <w:rPr>
          <w:rFonts w:ascii="Trebuchet MS"/>
        </w:rPr>
        <w:pict>
          <v:group style="width:234pt;height:134.1pt;mso-position-horizontal-relative:char;mso-position-vertical-relative:line" coordorigin="0,0" coordsize="4680,2682">
            <v:rect style="position:absolute;left:0;top:0;width:4680;height:2682" filled="true" fillcolor="#f0eef6" stroked="false">
              <v:fill type="solid"/>
            </v:rect>
            <v:shape style="position:absolute;left:4397;top:1438;width:80;height:141" type="#_x0000_t202" filled="false" stroked="false">
              <v:textbox inset="0,0,0,0">
                <w:txbxContent>
                  <w:p>
                    <w:pPr>
                      <w:spacing w:before="8"/>
                      <w:ind w:left="0" w:right="0" w:firstLine="0"/>
                      <w:jc w:val="left"/>
                      <w:rPr>
                        <w:rFonts w:ascii="Consolas" w:hAnsi="Consolas"/>
                        <w:sz w:val="11"/>
                      </w:rPr>
                    </w:pPr>
                    <w:r>
                      <w:rPr>
                        <w:rFonts w:ascii="Consolas" w:hAnsi="Consolas"/>
                        <w:color w:val="231F20"/>
                        <w:w w:val="98"/>
                        <w:sz w:val="11"/>
                      </w:rPr>
                      <w:t>−</w:t>
                    </w:r>
                  </w:p>
                </w:txbxContent>
              </v:textbox>
              <w10:wrap type="none"/>
            </v:shape>
            <v:shape style="position:absolute;left:1125;top:1438;width:80;height:141" type="#_x0000_t202" filled="false" stroked="false">
              <v:textbox inset="0,0,0,0">
                <w:txbxContent>
                  <w:p>
                    <w:pPr>
                      <w:spacing w:before="8"/>
                      <w:ind w:left="0" w:right="0" w:firstLine="0"/>
                      <w:jc w:val="left"/>
                      <w:rPr>
                        <w:rFonts w:ascii="Consolas" w:hAnsi="Consolas"/>
                        <w:sz w:val="11"/>
                      </w:rPr>
                    </w:pPr>
                    <w:r>
                      <w:rPr>
                        <w:rFonts w:ascii="Consolas" w:hAnsi="Consolas"/>
                        <w:color w:val="231F20"/>
                        <w:w w:val="98"/>
                        <w:sz w:val="11"/>
                      </w:rPr>
                      <w:t>−</w:t>
                    </w:r>
                  </w:p>
                </w:txbxContent>
              </v:textbox>
              <w10:wrap type="none"/>
            </v:shape>
            <v:shape style="position:absolute;left:180;top:1452;width:4341;height:1140" type="#_x0000_t202" filled="false" stroked="false">
              <v:textbox inset="0,0,0,0">
                <w:txbxContent>
                  <w:p>
                    <w:pPr>
                      <w:spacing w:line="254" w:lineRule="auto" w:before="0"/>
                      <w:ind w:left="0" w:right="18" w:firstLine="0"/>
                      <w:jc w:val="both"/>
                      <w:rPr>
                        <w:sz w:val="18"/>
                      </w:rPr>
                    </w:pPr>
                    <w:r>
                      <w:rPr>
                        <w:color w:val="231F20"/>
                        <w:sz w:val="18"/>
                      </w:rPr>
                      <w:t>fall in HCO</w:t>
                    </w:r>
                    <w:r>
                      <w:rPr>
                        <w:color w:val="231F20"/>
                        <w:sz w:val="18"/>
                        <w:vertAlign w:val="subscript"/>
                      </w:rPr>
                      <w:t>3</w:t>
                    </w:r>
                    <w:r>
                      <w:rPr>
                        <w:color w:val="231F20"/>
                        <w:sz w:val="18"/>
                        <w:vertAlign w:val="baseline"/>
                      </w:rPr>
                      <w:t> is not matched by an equal increase in Cl </w:t>
                    </w:r>
                    <w:r>
                      <w:rPr>
                        <w:color w:val="231F20"/>
                        <w:spacing w:val="-15"/>
                        <w:sz w:val="18"/>
                        <w:vertAlign w:val="baseline"/>
                      </w:rPr>
                      <w:t>. </w:t>
                    </w:r>
                    <w:r>
                      <w:rPr>
                        <w:color w:val="231F20"/>
                        <w:sz w:val="18"/>
                        <w:vertAlign w:val="baseline"/>
                      </w:rPr>
                      <w:t>Some examples of metabolic acidosis associated with a normal or increased anion gap are shown in </w:t>
                    </w:r>
                    <w:hyperlink w:history="true" w:anchor="_bookmark115">
                      <w:r>
                        <w:rPr>
                          <w:b/>
                          <w:color w:val="0080AC"/>
                          <w:spacing w:val="-3"/>
                          <w:sz w:val="18"/>
                          <w:vertAlign w:val="baseline"/>
                        </w:rPr>
                        <w:t>Table  </w:t>
                      </w:r>
                      <w:r>
                        <w:rPr>
                          <w:b/>
                          <w:color w:val="0080AC"/>
                          <w:sz w:val="18"/>
                          <w:vertAlign w:val="baseline"/>
                        </w:rPr>
                        <w:t>31-4</w:t>
                      </w:r>
                    </w:hyperlink>
                    <w:r>
                      <w:rPr>
                        <w:color w:val="231F20"/>
                        <w:sz w:val="18"/>
                        <w:vertAlign w:val="baseline"/>
                      </w:rPr>
                      <w:t>. By calculating the anion gap, one can narrow some of </w:t>
                    </w:r>
                    <w:r>
                      <w:rPr>
                        <w:color w:val="231F20"/>
                        <w:spacing w:val="-5"/>
                        <w:sz w:val="18"/>
                        <w:vertAlign w:val="baseline"/>
                      </w:rPr>
                      <w:t>the </w:t>
                    </w:r>
                    <w:r>
                      <w:rPr>
                        <w:color w:val="231F20"/>
                        <w:sz w:val="18"/>
                        <w:vertAlign w:val="baseline"/>
                      </w:rPr>
                      <w:t>potential causes of metabolic</w:t>
                    </w:r>
                    <w:r>
                      <w:rPr>
                        <w:color w:val="231F20"/>
                        <w:spacing w:val="29"/>
                        <w:sz w:val="18"/>
                        <w:vertAlign w:val="baseline"/>
                      </w:rPr>
                      <w:t> </w:t>
                    </w:r>
                    <w:r>
                      <w:rPr>
                        <w:color w:val="231F20"/>
                        <w:sz w:val="18"/>
                        <w:vertAlign w:val="baseline"/>
                      </w:rPr>
                      <w:t>acidosis.</w:t>
                    </w:r>
                  </w:p>
                </w:txbxContent>
              </v:textbox>
              <w10:wrap type="none"/>
            </v:shape>
            <v:shape style="position:absolute;left:180;top:1232;width:4340;height:260" type="#_x0000_t202" filled="false" stroked="false">
              <v:textbox inset="0,0,0,0">
                <w:txbxContent>
                  <w:p>
                    <w:pPr>
                      <w:spacing w:line="206" w:lineRule="exact" w:before="0"/>
                      <w:ind w:left="0" w:right="0" w:firstLine="0"/>
                      <w:jc w:val="left"/>
                      <w:rPr>
                        <w:sz w:val="18"/>
                      </w:rPr>
                    </w:pPr>
                    <w:r>
                      <w:rPr>
                        <w:color w:val="231F20"/>
                        <w:w w:val="105"/>
                        <w:sz w:val="18"/>
                      </w:rPr>
                      <w:t>associated</w:t>
                    </w:r>
                    <w:r>
                      <w:rPr>
                        <w:color w:val="231F20"/>
                        <w:spacing w:val="-16"/>
                        <w:w w:val="105"/>
                        <w:sz w:val="18"/>
                      </w:rPr>
                      <w:t> </w:t>
                    </w:r>
                    <w:r>
                      <w:rPr>
                        <w:color w:val="231F20"/>
                        <w:w w:val="105"/>
                        <w:sz w:val="18"/>
                      </w:rPr>
                      <w:t>with</w:t>
                    </w:r>
                    <w:r>
                      <w:rPr>
                        <w:color w:val="231F20"/>
                        <w:spacing w:val="-16"/>
                        <w:w w:val="105"/>
                        <w:sz w:val="18"/>
                      </w:rPr>
                      <w:t> </w:t>
                    </w:r>
                    <w:r>
                      <w:rPr>
                        <w:color w:val="231F20"/>
                        <w:w w:val="105"/>
                        <w:sz w:val="18"/>
                      </w:rPr>
                      <w:t>an</w:t>
                    </w:r>
                    <w:r>
                      <w:rPr>
                        <w:color w:val="231F20"/>
                        <w:spacing w:val="-16"/>
                        <w:w w:val="105"/>
                        <w:sz w:val="18"/>
                      </w:rPr>
                      <w:t> </w:t>
                    </w:r>
                    <w:r>
                      <w:rPr>
                        <w:color w:val="231F20"/>
                        <w:w w:val="105"/>
                        <w:sz w:val="18"/>
                      </w:rPr>
                      <w:t>increased</w:t>
                    </w:r>
                    <w:r>
                      <w:rPr>
                        <w:color w:val="231F20"/>
                        <w:spacing w:val="-15"/>
                        <w:w w:val="105"/>
                        <w:sz w:val="18"/>
                      </w:rPr>
                      <w:t> </w:t>
                    </w:r>
                    <w:r>
                      <w:rPr>
                        <w:color w:val="231F20"/>
                        <w:w w:val="105"/>
                        <w:sz w:val="18"/>
                      </w:rPr>
                      <w:t>plasma</w:t>
                    </w:r>
                    <w:r>
                      <w:rPr>
                        <w:color w:val="231F20"/>
                        <w:spacing w:val="-16"/>
                        <w:w w:val="105"/>
                        <w:sz w:val="18"/>
                      </w:rPr>
                      <w:t> </w:t>
                    </w:r>
                    <w:r>
                      <w:rPr>
                        <w:color w:val="231F20"/>
                        <w:w w:val="105"/>
                        <w:sz w:val="18"/>
                      </w:rPr>
                      <w:t>anion</w:t>
                    </w:r>
                    <w:r>
                      <w:rPr>
                        <w:color w:val="231F20"/>
                        <w:spacing w:val="-16"/>
                        <w:w w:val="105"/>
                        <w:sz w:val="18"/>
                      </w:rPr>
                      <w:t> </w:t>
                    </w:r>
                    <w:r>
                      <w:rPr>
                        <w:color w:val="231F20"/>
                        <w:w w:val="105"/>
                        <w:sz w:val="18"/>
                      </w:rPr>
                      <w:t>gap</w:t>
                    </w:r>
                    <w:r>
                      <w:rPr>
                        <w:color w:val="231F20"/>
                        <w:spacing w:val="-15"/>
                        <w:w w:val="105"/>
                        <w:sz w:val="18"/>
                      </w:rPr>
                      <w:t> </w:t>
                    </w:r>
                    <w:r>
                      <w:rPr>
                        <w:color w:val="231F20"/>
                        <w:w w:val="105"/>
                        <w:sz w:val="18"/>
                      </w:rPr>
                      <w:t>because</w:t>
                    </w:r>
                    <w:r>
                      <w:rPr>
                        <w:color w:val="231F20"/>
                        <w:spacing w:val="-16"/>
                        <w:w w:val="105"/>
                        <w:sz w:val="18"/>
                      </w:rPr>
                      <w:t> </w:t>
                    </w:r>
                    <w:r>
                      <w:rPr>
                        <w:color w:val="231F20"/>
                        <w:w w:val="105"/>
                        <w:sz w:val="18"/>
                      </w:rPr>
                      <w:t>the</w:t>
                    </w:r>
                  </w:p>
                </w:txbxContent>
              </v:textbox>
              <w10:wrap type="none"/>
            </v:shape>
            <v:shape style="position:absolute;left:2884;top:118;width:80;height:141" type="#_x0000_t202" filled="false" stroked="false">
              <v:textbox inset="0,0,0,0">
                <w:txbxContent>
                  <w:p>
                    <w:pPr>
                      <w:spacing w:before="8"/>
                      <w:ind w:left="0" w:right="0" w:firstLine="0"/>
                      <w:jc w:val="left"/>
                      <w:rPr>
                        <w:rFonts w:ascii="Consolas" w:hAnsi="Consolas"/>
                        <w:sz w:val="11"/>
                      </w:rPr>
                    </w:pPr>
                    <w:r>
                      <w:rPr>
                        <w:rFonts w:ascii="Consolas" w:hAnsi="Consolas"/>
                        <w:color w:val="231F20"/>
                        <w:w w:val="98"/>
                        <w:sz w:val="11"/>
                      </w:rPr>
                      <w:t>−</w:t>
                    </w:r>
                  </w:p>
                </w:txbxContent>
              </v:textbox>
              <w10:wrap type="none"/>
            </v:shape>
            <v:shape style="position:absolute;left:179;top:132;width:4341;height:1140" type="#_x0000_t202" filled="false" stroked="false">
              <v:textbox inset="0,0,0,0">
                <w:txbxContent>
                  <w:p>
                    <w:pPr>
                      <w:spacing w:line="254" w:lineRule="auto" w:before="0"/>
                      <w:ind w:left="0" w:right="18" w:firstLine="240"/>
                      <w:jc w:val="both"/>
                      <w:rPr>
                        <w:sz w:val="18"/>
                      </w:rPr>
                    </w:pPr>
                    <w:r>
                      <w:rPr>
                        <w:color w:val="231F20"/>
                        <w:w w:val="105"/>
                        <w:sz w:val="18"/>
                      </w:rPr>
                      <w:t>If the decrease in plasma HCO</w:t>
                    </w:r>
                    <w:r>
                      <w:rPr>
                        <w:color w:val="231F20"/>
                        <w:w w:val="105"/>
                        <w:sz w:val="18"/>
                        <w:vertAlign w:val="subscript"/>
                      </w:rPr>
                      <w:t>3</w:t>
                    </w:r>
                    <w:r>
                      <w:rPr>
                        <w:color w:val="231F20"/>
                        <w:w w:val="105"/>
                        <w:sz w:val="18"/>
                        <w:vertAlign w:val="baseline"/>
                      </w:rPr>
                      <w:t> is not accompanied by</w:t>
                    </w:r>
                    <w:r>
                      <w:rPr>
                        <w:color w:val="231F20"/>
                        <w:spacing w:val="-13"/>
                        <w:w w:val="105"/>
                        <w:sz w:val="18"/>
                        <w:vertAlign w:val="baseline"/>
                      </w:rPr>
                      <w:t> </w:t>
                    </w:r>
                    <w:r>
                      <w:rPr>
                        <w:color w:val="231F20"/>
                        <w:w w:val="105"/>
                        <w:sz w:val="18"/>
                        <w:vertAlign w:val="baseline"/>
                      </w:rPr>
                      <w:t>increased</w:t>
                    </w:r>
                    <w:r>
                      <w:rPr>
                        <w:color w:val="231F20"/>
                        <w:spacing w:val="-13"/>
                        <w:w w:val="105"/>
                        <w:sz w:val="18"/>
                        <w:vertAlign w:val="baseline"/>
                      </w:rPr>
                      <w:t> </w:t>
                    </w:r>
                    <w:r>
                      <w:rPr>
                        <w:color w:val="231F20"/>
                        <w:w w:val="105"/>
                        <w:sz w:val="18"/>
                        <w:vertAlign w:val="baseline"/>
                      </w:rPr>
                      <w:t>Cl</w:t>
                    </w:r>
                    <w:r>
                      <w:rPr>
                        <w:rFonts w:ascii="Consolas" w:hAnsi="Consolas"/>
                        <w:color w:val="231F20"/>
                        <w:w w:val="105"/>
                        <w:position w:val="7"/>
                        <w:sz w:val="11"/>
                        <w:vertAlign w:val="baseline"/>
                      </w:rPr>
                      <w:t>−</w:t>
                    </w:r>
                    <w:r>
                      <w:rPr>
                        <w:color w:val="231F20"/>
                        <w:w w:val="105"/>
                        <w:sz w:val="18"/>
                        <w:vertAlign w:val="baseline"/>
                      </w:rPr>
                      <w:t>,</w:t>
                    </w:r>
                    <w:r>
                      <w:rPr>
                        <w:color w:val="231F20"/>
                        <w:spacing w:val="-12"/>
                        <w:w w:val="105"/>
                        <w:sz w:val="18"/>
                        <w:vertAlign w:val="baseline"/>
                      </w:rPr>
                      <w:t> </w:t>
                    </w:r>
                    <w:r>
                      <w:rPr>
                        <w:color w:val="231F20"/>
                        <w:w w:val="105"/>
                        <w:sz w:val="18"/>
                        <w:vertAlign w:val="baseline"/>
                      </w:rPr>
                      <w:t>there</w:t>
                    </w:r>
                    <w:r>
                      <w:rPr>
                        <w:color w:val="231F20"/>
                        <w:spacing w:val="-13"/>
                        <w:w w:val="105"/>
                        <w:sz w:val="18"/>
                        <w:vertAlign w:val="baseline"/>
                      </w:rPr>
                      <w:t> </w:t>
                    </w:r>
                    <w:r>
                      <w:rPr>
                        <w:color w:val="231F20"/>
                        <w:w w:val="105"/>
                        <w:sz w:val="18"/>
                        <w:vertAlign w:val="baseline"/>
                      </w:rPr>
                      <w:t>must</w:t>
                    </w:r>
                    <w:r>
                      <w:rPr>
                        <w:color w:val="231F20"/>
                        <w:spacing w:val="-13"/>
                        <w:w w:val="105"/>
                        <w:sz w:val="18"/>
                        <w:vertAlign w:val="baseline"/>
                      </w:rPr>
                      <w:t> </w:t>
                    </w:r>
                    <w:r>
                      <w:rPr>
                        <w:color w:val="231F20"/>
                        <w:w w:val="105"/>
                        <w:sz w:val="18"/>
                        <w:vertAlign w:val="baseline"/>
                      </w:rPr>
                      <w:t>be</w:t>
                    </w:r>
                    <w:r>
                      <w:rPr>
                        <w:color w:val="231F20"/>
                        <w:spacing w:val="-12"/>
                        <w:w w:val="105"/>
                        <w:sz w:val="18"/>
                        <w:vertAlign w:val="baseline"/>
                      </w:rPr>
                      <w:t> </w:t>
                    </w:r>
                    <w:r>
                      <w:rPr>
                        <w:color w:val="231F20"/>
                        <w:w w:val="105"/>
                        <w:sz w:val="18"/>
                        <w:vertAlign w:val="baseline"/>
                      </w:rPr>
                      <w:t>increased</w:t>
                    </w:r>
                    <w:r>
                      <w:rPr>
                        <w:color w:val="231F20"/>
                        <w:spacing w:val="-13"/>
                        <w:w w:val="105"/>
                        <w:sz w:val="18"/>
                        <w:vertAlign w:val="baseline"/>
                      </w:rPr>
                      <w:t> </w:t>
                    </w:r>
                    <w:r>
                      <w:rPr>
                        <w:color w:val="231F20"/>
                        <w:w w:val="105"/>
                        <w:sz w:val="18"/>
                        <w:vertAlign w:val="baseline"/>
                      </w:rPr>
                      <w:t>levels</w:t>
                    </w:r>
                    <w:r>
                      <w:rPr>
                        <w:color w:val="231F20"/>
                        <w:spacing w:val="-12"/>
                        <w:w w:val="105"/>
                        <w:sz w:val="18"/>
                        <w:vertAlign w:val="baseline"/>
                      </w:rPr>
                      <w:t> </w:t>
                    </w:r>
                    <w:r>
                      <w:rPr>
                        <w:color w:val="231F20"/>
                        <w:w w:val="105"/>
                        <w:sz w:val="18"/>
                        <w:vertAlign w:val="baseline"/>
                      </w:rPr>
                      <w:t>of</w:t>
                    </w:r>
                    <w:r>
                      <w:rPr>
                        <w:color w:val="231F20"/>
                        <w:spacing w:val="-13"/>
                        <w:w w:val="105"/>
                        <w:sz w:val="18"/>
                        <w:vertAlign w:val="baseline"/>
                      </w:rPr>
                      <w:t> </w:t>
                    </w:r>
                    <w:r>
                      <w:rPr>
                        <w:color w:val="231F20"/>
                        <w:w w:val="105"/>
                        <w:sz w:val="18"/>
                        <w:vertAlign w:val="baseline"/>
                      </w:rPr>
                      <w:t>unmea- sured anions and therefore an increase in the calculated anion</w:t>
                    </w:r>
                    <w:r>
                      <w:rPr>
                        <w:color w:val="231F20"/>
                        <w:spacing w:val="-26"/>
                        <w:w w:val="105"/>
                        <w:sz w:val="18"/>
                        <w:vertAlign w:val="baseline"/>
                      </w:rPr>
                      <w:t> </w:t>
                    </w:r>
                    <w:r>
                      <w:rPr>
                        <w:color w:val="231F20"/>
                        <w:w w:val="105"/>
                        <w:sz w:val="18"/>
                        <w:vertAlign w:val="baseline"/>
                      </w:rPr>
                      <w:t>gap.</w:t>
                    </w:r>
                    <w:r>
                      <w:rPr>
                        <w:color w:val="231F20"/>
                        <w:spacing w:val="-25"/>
                        <w:w w:val="105"/>
                        <w:sz w:val="18"/>
                        <w:vertAlign w:val="baseline"/>
                      </w:rPr>
                      <w:t> </w:t>
                    </w:r>
                    <w:r>
                      <w:rPr>
                        <w:color w:val="231F20"/>
                        <w:w w:val="105"/>
                        <w:sz w:val="18"/>
                        <w:vertAlign w:val="baseline"/>
                      </w:rPr>
                      <w:t>Metabolic</w:t>
                    </w:r>
                    <w:r>
                      <w:rPr>
                        <w:color w:val="231F20"/>
                        <w:spacing w:val="-25"/>
                        <w:w w:val="105"/>
                        <w:sz w:val="18"/>
                        <w:vertAlign w:val="baseline"/>
                      </w:rPr>
                      <w:t> </w:t>
                    </w:r>
                    <w:r>
                      <w:rPr>
                        <w:color w:val="231F20"/>
                        <w:w w:val="105"/>
                        <w:sz w:val="18"/>
                        <w:vertAlign w:val="baseline"/>
                      </w:rPr>
                      <w:t>acidosis</w:t>
                    </w:r>
                    <w:r>
                      <w:rPr>
                        <w:color w:val="231F20"/>
                        <w:spacing w:val="-25"/>
                        <w:w w:val="105"/>
                        <w:sz w:val="18"/>
                        <w:vertAlign w:val="baseline"/>
                      </w:rPr>
                      <w:t> </w:t>
                    </w:r>
                    <w:r>
                      <w:rPr>
                        <w:color w:val="231F20"/>
                        <w:w w:val="105"/>
                        <w:sz w:val="18"/>
                        <w:vertAlign w:val="baseline"/>
                      </w:rPr>
                      <w:t>caused</w:t>
                    </w:r>
                    <w:r>
                      <w:rPr>
                        <w:color w:val="231F20"/>
                        <w:spacing w:val="-25"/>
                        <w:w w:val="105"/>
                        <w:sz w:val="18"/>
                        <w:vertAlign w:val="baseline"/>
                      </w:rPr>
                      <w:t> </w:t>
                    </w:r>
                    <w:r>
                      <w:rPr>
                        <w:color w:val="231F20"/>
                        <w:w w:val="105"/>
                        <w:sz w:val="18"/>
                        <w:vertAlign w:val="baseline"/>
                      </w:rPr>
                      <w:t>by</w:t>
                    </w:r>
                    <w:r>
                      <w:rPr>
                        <w:color w:val="231F20"/>
                        <w:spacing w:val="-25"/>
                        <w:w w:val="105"/>
                        <w:sz w:val="18"/>
                        <w:vertAlign w:val="baseline"/>
                      </w:rPr>
                      <w:t> </w:t>
                    </w:r>
                    <w:r>
                      <w:rPr>
                        <w:color w:val="231F20"/>
                        <w:w w:val="105"/>
                        <w:sz w:val="18"/>
                        <w:vertAlign w:val="baseline"/>
                      </w:rPr>
                      <w:t>excess</w:t>
                    </w:r>
                    <w:r>
                      <w:rPr>
                        <w:color w:val="231F20"/>
                        <w:spacing w:val="-25"/>
                        <w:w w:val="105"/>
                        <w:sz w:val="18"/>
                        <w:vertAlign w:val="baseline"/>
                      </w:rPr>
                      <w:t> </w:t>
                    </w:r>
                    <w:r>
                      <w:rPr>
                        <w:color w:val="231F20"/>
                        <w:w w:val="105"/>
                        <w:sz w:val="18"/>
                        <w:vertAlign w:val="baseline"/>
                      </w:rPr>
                      <w:t>nonvolatile acids</w:t>
                    </w:r>
                    <w:r>
                      <w:rPr>
                        <w:color w:val="231F20"/>
                        <w:spacing w:val="19"/>
                        <w:w w:val="105"/>
                        <w:sz w:val="18"/>
                        <w:vertAlign w:val="baseline"/>
                      </w:rPr>
                      <w:t> </w:t>
                    </w:r>
                    <w:r>
                      <w:rPr>
                        <w:color w:val="231F20"/>
                        <w:w w:val="105"/>
                        <w:sz w:val="18"/>
                        <w:vertAlign w:val="baseline"/>
                      </w:rPr>
                      <w:t>(besides</w:t>
                    </w:r>
                    <w:r>
                      <w:rPr>
                        <w:color w:val="231F20"/>
                        <w:spacing w:val="20"/>
                        <w:w w:val="105"/>
                        <w:sz w:val="18"/>
                        <w:vertAlign w:val="baseline"/>
                      </w:rPr>
                      <w:t> </w:t>
                    </w:r>
                    <w:r>
                      <w:rPr>
                        <w:color w:val="231F20"/>
                        <w:w w:val="105"/>
                        <w:sz w:val="18"/>
                        <w:vertAlign w:val="baseline"/>
                      </w:rPr>
                      <w:t>HCl),</w:t>
                    </w:r>
                    <w:r>
                      <w:rPr>
                        <w:color w:val="231F20"/>
                        <w:spacing w:val="20"/>
                        <w:w w:val="105"/>
                        <w:sz w:val="18"/>
                        <w:vertAlign w:val="baseline"/>
                      </w:rPr>
                      <w:t> </w:t>
                    </w:r>
                    <w:r>
                      <w:rPr>
                        <w:color w:val="231F20"/>
                        <w:w w:val="105"/>
                        <w:sz w:val="18"/>
                        <w:vertAlign w:val="baseline"/>
                      </w:rPr>
                      <w:t>such</w:t>
                    </w:r>
                    <w:r>
                      <w:rPr>
                        <w:color w:val="231F20"/>
                        <w:spacing w:val="20"/>
                        <w:w w:val="105"/>
                        <w:sz w:val="18"/>
                        <w:vertAlign w:val="baseline"/>
                      </w:rPr>
                      <w:t> </w:t>
                    </w:r>
                    <w:r>
                      <w:rPr>
                        <w:color w:val="231F20"/>
                        <w:w w:val="105"/>
                        <w:sz w:val="18"/>
                        <w:vertAlign w:val="baseline"/>
                      </w:rPr>
                      <w:t>as</w:t>
                    </w:r>
                    <w:r>
                      <w:rPr>
                        <w:color w:val="231F20"/>
                        <w:spacing w:val="20"/>
                        <w:w w:val="105"/>
                        <w:sz w:val="18"/>
                        <w:vertAlign w:val="baseline"/>
                      </w:rPr>
                      <w:t> </w:t>
                    </w:r>
                    <w:r>
                      <w:rPr>
                        <w:color w:val="231F20"/>
                        <w:w w:val="105"/>
                        <w:sz w:val="18"/>
                        <w:vertAlign w:val="baseline"/>
                      </w:rPr>
                      <w:t>lactic</w:t>
                    </w:r>
                    <w:r>
                      <w:rPr>
                        <w:color w:val="231F20"/>
                        <w:spacing w:val="20"/>
                        <w:w w:val="105"/>
                        <w:sz w:val="18"/>
                        <w:vertAlign w:val="baseline"/>
                      </w:rPr>
                      <w:t> </w:t>
                    </w:r>
                    <w:r>
                      <w:rPr>
                        <w:color w:val="231F20"/>
                        <w:w w:val="105"/>
                        <w:sz w:val="18"/>
                        <w:vertAlign w:val="baseline"/>
                      </w:rPr>
                      <w:t>acid</w:t>
                    </w:r>
                    <w:r>
                      <w:rPr>
                        <w:color w:val="231F20"/>
                        <w:spacing w:val="20"/>
                        <w:w w:val="105"/>
                        <w:sz w:val="18"/>
                        <w:vertAlign w:val="baseline"/>
                      </w:rPr>
                      <w:t> </w:t>
                    </w:r>
                    <w:r>
                      <w:rPr>
                        <w:color w:val="231F20"/>
                        <w:w w:val="105"/>
                        <w:sz w:val="18"/>
                        <w:vertAlign w:val="baseline"/>
                      </w:rPr>
                      <w:t>or</w:t>
                    </w:r>
                    <w:r>
                      <w:rPr>
                        <w:color w:val="231F20"/>
                        <w:spacing w:val="20"/>
                        <w:w w:val="105"/>
                        <w:sz w:val="18"/>
                        <w:vertAlign w:val="baseline"/>
                      </w:rPr>
                      <w:t> </w:t>
                    </w:r>
                    <w:r>
                      <w:rPr>
                        <w:color w:val="231F20"/>
                        <w:w w:val="105"/>
                        <w:sz w:val="18"/>
                        <w:vertAlign w:val="baseline"/>
                      </w:rPr>
                      <w:t>ketoacids,</w:t>
                    </w:r>
                    <w:r>
                      <w:rPr>
                        <w:color w:val="231F20"/>
                        <w:spacing w:val="19"/>
                        <w:w w:val="105"/>
                        <w:sz w:val="18"/>
                        <w:vertAlign w:val="baseline"/>
                      </w:rPr>
                      <w:t> </w:t>
                    </w:r>
                    <w:r>
                      <w:rPr>
                        <w:color w:val="231F20"/>
                        <w:w w:val="105"/>
                        <w:sz w:val="18"/>
                        <w:vertAlign w:val="baseline"/>
                      </w:rPr>
                      <w:t>is</w:t>
                    </w:r>
                  </w:p>
                </w:txbxContent>
              </v:textbox>
              <w10:wrap type="none"/>
            </v:shape>
          </v:group>
        </w:pict>
      </w:r>
      <w:r>
        <w:rPr>
          <w:rFonts w:ascii="Trebuchet MS"/>
        </w:rPr>
      </w:r>
    </w:p>
    <w:p>
      <w:pPr>
        <w:pStyle w:val="BodyText"/>
        <w:spacing w:before="1"/>
        <w:rPr>
          <w:rFonts w:ascii="Trebuchet MS"/>
          <w:sz w:val="21"/>
        </w:rPr>
      </w:pPr>
    </w:p>
    <w:p>
      <w:pPr>
        <w:pStyle w:val="Heading1"/>
        <w:ind w:left="320"/>
      </w:pPr>
      <w:r>
        <w:rPr>
          <w:color w:val="231F20"/>
        </w:rPr>
        <w:t>Bibliography</w:t>
      </w:r>
    </w:p>
    <w:p>
      <w:pPr>
        <w:spacing w:line="261" w:lineRule="auto" w:before="99"/>
        <w:ind w:left="480" w:right="1438" w:hanging="160"/>
        <w:jc w:val="both"/>
        <w:rPr>
          <w:rFonts w:ascii="Arial" w:hAnsi="Arial"/>
          <w:sz w:val="16"/>
        </w:rPr>
      </w:pPr>
      <w:r>
        <w:rPr>
          <w:rFonts w:ascii="Arial" w:hAnsi="Arial"/>
          <w:color w:val="231F20"/>
          <w:sz w:val="16"/>
        </w:rPr>
        <w:t>Al­Awqati</w:t>
      </w:r>
      <w:r>
        <w:rPr>
          <w:rFonts w:ascii="Arial" w:hAnsi="Arial"/>
          <w:color w:val="231F20"/>
          <w:spacing w:val="-10"/>
          <w:sz w:val="16"/>
        </w:rPr>
        <w:t> </w:t>
      </w:r>
      <w:r>
        <w:rPr>
          <w:rFonts w:ascii="Arial" w:hAnsi="Arial"/>
          <w:color w:val="231F20"/>
          <w:sz w:val="16"/>
        </w:rPr>
        <w:t>Q:</w:t>
      </w:r>
      <w:r>
        <w:rPr>
          <w:rFonts w:ascii="Arial" w:hAnsi="Arial"/>
          <w:color w:val="231F20"/>
          <w:spacing w:val="-10"/>
          <w:sz w:val="16"/>
        </w:rPr>
        <w:t> </w:t>
      </w:r>
      <w:r>
        <w:rPr>
          <w:rFonts w:ascii="Arial" w:hAnsi="Arial"/>
          <w:color w:val="231F20"/>
          <w:sz w:val="16"/>
        </w:rPr>
        <w:t>Cell</w:t>
      </w:r>
      <w:r>
        <w:rPr>
          <w:rFonts w:ascii="Arial" w:hAnsi="Arial"/>
          <w:color w:val="231F20"/>
          <w:spacing w:val="-9"/>
          <w:sz w:val="16"/>
        </w:rPr>
        <w:t> </w:t>
      </w:r>
      <w:r>
        <w:rPr>
          <w:rFonts w:ascii="Arial" w:hAnsi="Arial"/>
          <w:color w:val="231F20"/>
          <w:sz w:val="16"/>
        </w:rPr>
        <w:t>biology</w:t>
      </w:r>
      <w:r>
        <w:rPr>
          <w:rFonts w:ascii="Arial" w:hAnsi="Arial"/>
          <w:color w:val="231F20"/>
          <w:spacing w:val="-10"/>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the</w:t>
      </w:r>
      <w:r>
        <w:rPr>
          <w:rFonts w:ascii="Arial" w:hAnsi="Arial"/>
          <w:color w:val="231F20"/>
          <w:spacing w:val="-9"/>
          <w:sz w:val="16"/>
        </w:rPr>
        <w:t> </w:t>
      </w:r>
      <w:r>
        <w:rPr>
          <w:rFonts w:ascii="Arial" w:hAnsi="Arial"/>
          <w:color w:val="231F20"/>
          <w:sz w:val="16"/>
        </w:rPr>
        <w:t>intercalated</w:t>
      </w:r>
      <w:r>
        <w:rPr>
          <w:rFonts w:ascii="Arial" w:hAnsi="Arial"/>
          <w:color w:val="231F20"/>
          <w:spacing w:val="-10"/>
          <w:sz w:val="16"/>
        </w:rPr>
        <w:t> </w:t>
      </w:r>
      <w:r>
        <w:rPr>
          <w:rFonts w:ascii="Arial" w:hAnsi="Arial"/>
          <w:color w:val="231F20"/>
          <w:sz w:val="16"/>
        </w:rPr>
        <w:t>cell</w:t>
      </w:r>
      <w:r>
        <w:rPr>
          <w:rFonts w:ascii="Arial" w:hAnsi="Arial"/>
          <w:color w:val="231F20"/>
          <w:spacing w:val="-10"/>
          <w:sz w:val="16"/>
        </w:rPr>
        <w:t> </w:t>
      </w:r>
      <w:r>
        <w:rPr>
          <w:rFonts w:ascii="Arial" w:hAnsi="Arial"/>
          <w:color w:val="231F20"/>
          <w:sz w:val="16"/>
        </w:rPr>
        <w:t>in</w:t>
      </w:r>
      <w:r>
        <w:rPr>
          <w:rFonts w:ascii="Arial" w:hAnsi="Arial"/>
          <w:color w:val="231F20"/>
          <w:spacing w:val="-9"/>
          <w:sz w:val="16"/>
        </w:rPr>
        <w:t> </w:t>
      </w:r>
      <w:r>
        <w:rPr>
          <w:rFonts w:ascii="Arial" w:hAnsi="Arial"/>
          <w:color w:val="231F20"/>
          <w:sz w:val="16"/>
        </w:rPr>
        <w:t>the</w:t>
      </w:r>
      <w:r>
        <w:rPr>
          <w:rFonts w:ascii="Arial" w:hAnsi="Arial"/>
          <w:color w:val="231F20"/>
          <w:spacing w:val="-10"/>
          <w:sz w:val="16"/>
        </w:rPr>
        <w:t> </w:t>
      </w:r>
      <w:r>
        <w:rPr>
          <w:rFonts w:ascii="Arial" w:hAnsi="Arial"/>
          <w:color w:val="231F20"/>
          <w:spacing w:val="-3"/>
          <w:sz w:val="16"/>
        </w:rPr>
        <w:t>kidney.</w:t>
      </w:r>
      <w:r>
        <w:rPr>
          <w:rFonts w:ascii="Arial" w:hAnsi="Arial"/>
          <w:color w:val="231F20"/>
          <w:spacing w:val="-10"/>
          <w:sz w:val="16"/>
        </w:rPr>
        <w:t> </w:t>
      </w:r>
      <w:r>
        <w:rPr>
          <w:rFonts w:ascii="Arial" w:hAnsi="Arial"/>
          <w:color w:val="231F20"/>
          <w:spacing w:val="-4"/>
          <w:sz w:val="16"/>
        </w:rPr>
        <w:t>FEBS </w:t>
      </w:r>
      <w:r>
        <w:rPr>
          <w:rFonts w:ascii="Arial" w:hAnsi="Arial"/>
          <w:color w:val="231F20"/>
          <w:sz w:val="16"/>
        </w:rPr>
        <w:t>Lett 587:1911,</w:t>
      </w:r>
      <w:r>
        <w:rPr>
          <w:rFonts w:ascii="Arial" w:hAnsi="Arial"/>
          <w:color w:val="231F20"/>
          <w:spacing w:val="15"/>
          <w:sz w:val="16"/>
        </w:rPr>
        <w:t> </w:t>
      </w:r>
      <w:r>
        <w:rPr>
          <w:rFonts w:ascii="Arial" w:hAnsi="Arial"/>
          <w:color w:val="231F20"/>
          <w:sz w:val="16"/>
        </w:rPr>
        <w:t>2013.</w:t>
      </w:r>
    </w:p>
    <w:p>
      <w:pPr>
        <w:spacing w:line="183" w:lineRule="exact" w:before="0"/>
        <w:ind w:left="320" w:right="0" w:firstLine="0"/>
        <w:jc w:val="both"/>
        <w:rPr>
          <w:rFonts w:ascii="Arial" w:hAnsi="Arial"/>
          <w:sz w:val="16"/>
        </w:rPr>
      </w:pPr>
      <w:r>
        <w:rPr>
          <w:rFonts w:ascii="Arial" w:hAnsi="Arial"/>
          <w:color w:val="231F20"/>
          <w:sz w:val="16"/>
        </w:rPr>
        <w:t>Attmane­Elakeb A, Amlal H, Bichara M: Ammonium carriers in med­</w:t>
      </w:r>
    </w:p>
    <w:p>
      <w:pPr>
        <w:spacing w:line="200" w:lineRule="atLeast" w:before="0"/>
        <w:ind w:left="480" w:right="1438" w:firstLine="0"/>
        <w:jc w:val="both"/>
        <w:rPr>
          <w:rFonts w:ascii="Arial"/>
          <w:sz w:val="16"/>
        </w:rPr>
      </w:pPr>
      <w:r>
        <w:rPr>
          <w:rFonts w:ascii="Arial"/>
          <w:color w:val="231F20"/>
          <w:sz w:val="16"/>
        </w:rPr>
        <w:t>ullary thick ascending limb. Am J Physiol Renal Physiol 280:F1, 2001.</w:t>
      </w:r>
    </w:p>
    <w:p>
      <w:pPr>
        <w:spacing w:line="261" w:lineRule="auto" w:before="16"/>
        <w:ind w:left="480" w:right="1438" w:hanging="160"/>
        <w:jc w:val="both"/>
        <w:rPr>
          <w:rFonts w:ascii="Arial"/>
          <w:sz w:val="16"/>
        </w:rPr>
      </w:pPr>
      <w:r>
        <w:rPr>
          <w:rFonts w:ascii="Arial"/>
          <w:color w:val="231F20"/>
          <w:sz w:val="16"/>
        </w:rPr>
        <w:t>Batlle</w:t>
      </w:r>
      <w:r>
        <w:rPr>
          <w:rFonts w:ascii="Arial"/>
          <w:color w:val="231F20"/>
          <w:spacing w:val="-15"/>
          <w:sz w:val="16"/>
        </w:rPr>
        <w:t> </w:t>
      </w:r>
      <w:r>
        <w:rPr>
          <w:rFonts w:ascii="Arial"/>
          <w:color w:val="231F20"/>
          <w:sz w:val="16"/>
        </w:rPr>
        <w:t>D,</w:t>
      </w:r>
      <w:r>
        <w:rPr>
          <w:rFonts w:ascii="Arial"/>
          <w:color w:val="231F20"/>
          <w:spacing w:val="-14"/>
          <w:sz w:val="16"/>
        </w:rPr>
        <w:t> </w:t>
      </w:r>
      <w:r>
        <w:rPr>
          <w:rFonts w:ascii="Arial"/>
          <w:color w:val="231F20"/>
          <w:sz w:val="16"/>
        </w:rPr>
        <w:t>Haque</w:t>
      </w:r>
      <w:r>
        <w:rPr>
          <w:rFonts w:ascii="Arial"/>
          <w:color w:val="231F20"/>
          <w:spacing w:val="-15"/>
          <w:sz w:val="16"/>
        </w:rPr>
        <w:t> </w:t>
      </w:r>
      <w:r>
        <w:rPr>
          <w:rFonts w:ascii="Arial"/>
          <w:color w:val="231F20"/>
          <w:sz w:val="16"/>
        </w:rPr>
        <w:t>SK:</w:t>
      </w:r>
      <w:r>
        <w:rPr>
          <w:rFonts w:ascii="Arial"/>
          <w:color w:val="231F20"/>
          <w:spacing w:val="-14"/>
          <w:sz w:val="16"/>
        </w:rPr>
        <w:t> </w:t>
      </w:r>
      <w:r>
        <w:rPr>
          <w:rFonts w:ascii="Arial"/>
          <w:color w:val="231F20"/>
          <w:sz w:val="16"/>
        </w:rPr>
        <w:t>Genetic</w:t>
      </w:r>
      <w:r>
        <w:rPr>
          <w:rFonts w:ascii="Arial"/>
          <w:color w:val="231F20"/>
          <w:spacing w:val="-15"/>
          <w:sz w:val="16"/>
        </w:rPr>
        <w:t> </w:t>
      </w:r>
      <w:r>
        <w:rPr>
          <w:rFonts w:ascii="Arial"/>
          <w:color w:val="231F20"/>
          <w:sz w:val="16"/>
        </w:rPr>
        <w:t>causes</w:t>
      </w:r>
      <w:r>
        <w:rPr>
          <w:rFonts w:ascii="Arial"/>
          <w:color w:val="231F20"/>
          <w:spacing w:val="-14"/>
          <w:sz w:val="16"/>
        </w:rPr>
        <w:t> </w:t>
      </w:r>
      <w:r>
        <w:rPr>
          <w:rFonts w:ascii="Arial"/>
          <w:color w:val="231F20"/>
          <w:sz w:val="16"/>
        </w:rPr>
        <w:t>and</w:t>
      </w:r>
      <w:r>
        <w:rPr>
          <w:rFonts w:ascii="Arial"/>
          <w:color w:val="231F20"/>
          <w:spacing w:val="-14"/>
          <w:sz w:val="16"/>
        </w:rPr>
        <w:t> </w:t>
      </w:r>
      <w:r>
        <w:rPr>
          <w:rFonts w:ascii="Arial"/>
          <w:color w:val="231F20"/>
          <w:sz w:val="16"/>
        </w:rPr>
        <w:t>mechanisms</w:t>
      </w:r>
      <w:r>
        <w:rPr>
          <w:rFonts w:ascii="Arial"/>
          <w:color w:val="231F20"/>
          <w:spacing w:val="-15"/>
          <w:sz w:val="16"/>
        </w:rPr>
        <w:t> </w:t>
      </w:r>
      <w:r>
        <w:rPr>
          <w:rFonts w:ascii="Arial"/>
          <w:color w:val="231F20"/>
          <w:sz w:val="16"/>
        </w:rPr>
        <w:t>of</w:t>
      </w:r>
      <w:r>
        <w:rPr>
          <w:rFonts w:ascii="Arial"/>
          <w:color w:val="231F20"/>
          <w:spacing w:val="-14"/>
          <w:sz w:val="16"/>
        </w:rPr>
        <w:t> </w:t>
      </w:r>
      <w:r>
        <w:rPr>
          <w:rFonts w:ascii="Arial"/>
          <w:color w:val="231F20"/>
          <w:sz w:val="16"/>
        </w:rPr>
        <w:t>distal</w:t>
      </w:r>
      <w:r>
        <w:rPr>
          <w:rFonts w:ascii="Arial"/>
          <w:color w:val="231F20"/>
          <w:spacing w:val="-15"/>
          <w:sz w:val="16"/>
        </w:rPr>
        <w:t> </w:t>
      </w:r>
      <w:r>
        <w:rPr>
          <w:rFonts w:ascii="Arial"/>
          <w:color w:val="231F20"/>
          <w:sz w:val="16"/>
        </w:rPr>
        <w:t>renal tubular acidosis. Nephrol Dial Transplant 27:3691,</w:t>
      </w:r>
      <w:r>
        <w:rPr>
          <w:rFonts w:ascii="Arial"/>
          <w:color w:val="231F20"/>
          <w:spacing w:val="-3"/>
          <w:sz w:val="16"/>
        </w:rPr>
        <w:t> </w:t>
      </w:r>
      <w:r>
        <w:rPr>
          <w:rFonts w:ascii="Arial"/>
          <w:color w:val="231F20"/>
          <w:sz w:val="16"/>
        </w:rPr>
        <w:t>2012.</w:t>
      </w:r>
    </w:p>
    <w:p>
      <w:pPr>
        <w:spacing w:line="183" w:lineRule="exact" w:before="0"/>
        <w:ind w:left="320" w:right="0" w:firstLine="0"/>
        <w:jc w:val="both"/>
        <w:rPr>
          <w:rFonts w:ascii="Arial"/>
          <w:sz w:val="16"/>
        </w:rPr>
      </w:pPr>
      <w:r>
        <w:rPr>
          <w:rFonts w:ascii="Arial"/>
          <w:color w:val="231F20"/>
          <w:sz w:val="16"/>
        </w:rPr>
        <w:t>Breton S, Brown D: Regulation of luminal acidification by the</w:t>
      </w:r>
    </w:p>
    <w:p>
      <w:pPr>
        <w:spacing w:before="16"/>
        <w:ind w:left="480" w:right="0" w:firstLine="0"/>
        <w:jc w:val="both"/>
        <w:rPr>
          <w:rFonts w:ascii="Arial" w:hAnsi="Arial"/>
          <w:sz w:val="16"/>
        </w:rPr>
      </w:pPr>
      <w:r>
        <w:rPr>
          <w:rFonts w:ascii="Arial" w:hAnsi="Arial"/>
          <w:color w:val="231F20"/>
          <w:sz w:val="16"/>
        </w:rPr>
        <w:t>V­ATPase. Physiology (Bethesda) 28:318, 2013.</w:t>
      </w:r>
    </w:p>
    <w:p>
      <w:pPr>
        <w:spacing w:line="261" w:lineRule="auto" w:before="16"/>
        <w:ind w:left="480" w:right="1438" w:hanging="160"/>
        <w:jc w:val="both"/>
        <w:rPr>
          <w:rFonts w:ascii="Arial" w:hAnsi="Arial"/>
          <w:sz w:val="16"/>
        </w:rPr>
      </w:pPr>
      <w:r>
        <w:rPr>
          <w:rFonts w:ascii="Arial" w:hAnsi="Arial"/>
          <w:color w:val="231F20"/>
          <w:sz w:val="16"/>
        </w:rPr>
        <w:t>Brown</w:t>
      </w:r>
      <w:r>
        <w:rPr>
          <w:rFonts w:ascii="Arial" w:hAnsi="Arial"/>
          <w:color w:val="231F20"/>
          <w:spacing w:val="-29"/>
          <w:sz w:val="16"/>
        </w:rPr>
        <w:t> </w:t>
      </w:r>
      <w:r>
        <w:rPr>
          <w:rFonts w:ascii="Arial" w:hAnsi="Arial"/>
          <w:color w:val="231F20"/>
          <w:sz w:val="16"/>
        </w:rPr>
        <w:t>D,</w:t>
      </w:r>
      <w:r>
        <w:rPr>
          <w:rFonts w:ascii="Arial" w:hAnsi="Arial"/>
          <w:color w:val="231F20"/>
          <w:spacing w:val="-28"/>
          <w:sz w:val="16"/>
        </w:rPr>
        <w:t> </w:t>
      </w:r>
      <w:r>
        <w:rPr>
          <w:rFonts w:ascii="Arial" w:hAnsi="Arial"/>
          <w:color w:val="231F20"/>
          <w:sz w:val="16"/>
        </w:rPr>
        <w:t>Bouley</w:t>
      </w:r>
      <w:r>
        <w:rPr>
          <w:rFonts w:ascii="Arial" w:hAnsi="Arial"/>
          <w:color w:val="231F20"/>
          <w:spacing w:val="-28"/>
          <w:sz w:val="16"/>
        </w:rPr>
        <w:t> </w:t>
      </w:r>
      <w:r>
        <w:rPr>
          <w:rFonts w:ascii="Arial" w:hAnsi="Arial"/>
          <w:color w:val="231F20"/>
          <w:sz w:val="16"/>
        </w:rPr>
        <w:t>R,</w:t>
      </w:r>
      <w:r>
        <w:rPr>
          <w:rFonts w:ascii="Arial" w:hAnsi="Arial"/>
          <w:color w:val="231F20"/>
          <w:spacing w:val="-29"/>
          <w:sz w:val="16"/>
        </w:rPr>
        <w:t> </w:t>
      </w:r>
      <w:r>
        <w:rPr>
          <w:rFonts w:ascii="Arial" w:hAnsi="Arial"/>
          <w:color w:val="231F20"/>
          <w:spacing w:val="-20"/>
          <w:sz w:val="16"/>
        </w:rPr>
        <w:t>Pa˘</w:t>
      </w:r>
      <w:r>
        <w:rPr>
          <w:rFonts w:ascii="Arial" w:hAnsi="Arial"/>
          <w:color w:val="231F20"/>
          <w:spacing w:val="-37"/>
          <w:sz w:val="16"/>
        </w:rPr>
        <w:t> </w:t>
      </w:r>
      <w:r>
        <w:rPr>
          <w:rFonts w:ascii="Arial" w:hAnsi="Arial"/>
          <w:color w:val="231F20"/>
          <w:sz w:val="16"/>
        </w:rPr>
        <w:t>unescu</w:t>
      </w:r>
      <w:r>
        <w:rPr>
          <w:rFonts w:ascii="Arial" w:hAnsi="Arial"/>
          <w:color w:val="231F20"/>
          <w:spacing w:val="-29"/>
          <w:sz w:val="16"/>
        </w:rPr>
        <w:t> </w:t>
      </w:r>
      <w:r>
        <w:rPr>
          <w:rFonts w:ascii="Arial" w:hAnsi="Arial"/>
          <w:color w:val="231F20"/>
          <w:sz w:val="16"/>
        </w:rPr>
        <w:t>TG,</w:t>
      </w:r>
      <w:r>
        <w:rPr>
          <w:rFonts w:ascii="Arial" w:hAnsi="Arial"/>
          <w:color w:val="231F20"/>
          <w:spacing w:val="-28"/>
          <w:sz w:val="16"/>
        </w:rPr>
        <w:t> </w:t>
      </w:r>
      <w:r>
        <w:rPr>
          <w:rFonts w:ascii="Arial" w:hAnsi="Arial"/>
          <w:color w:val="231F20"/>
          <w:sz w:val="16"/>
        </w:rPr>
        <w:t>et</w:t>
      </w:r>
      <w:r>
        <w:rPr>
          <w:rFonts w:ascii="Arial" w:hAnsi="Arial"/>
          <w:color w:val="231F20"/>
          <w:spacing w:val="-28"/>
          <w:sz w:val="16"/>
        </w:rPr>
        <w:t> </w:t>
      </w:r>
      <w:r>
        <w:rPr>
          <w:rFonts w:ascii="Arial" w:hAnsi="Arial"/>
          <w:color w:val="231F20"/>
          <w:sz w:val="16"/>
        </w:rPr>
        <w:t>al:</w:t>
      </w:r>
      <w:r>
        <w:rPr>
          <w:rFonts w:ascii="Arial" w:hAnsi="Arial"/>
          <w:color w:val="231F20"/>
          <w:spacing w:val="-29"/>
          <w:sz w:val="16"/>
        </w:rPr>
        <w:t> </w:t>
      </w:r>
      <w:r>
        <w:rPr>
          <w:rFonts w:ascii="Arial" w:hAnsi="Arial"/>
          <w:color w:val="231F20"/>
          <w:sz w:val="16"/>
        </w:rPr>
        <w:t>New</w:t>
      </w:r>
      <w:r>
        <w:rPr>
          <w:rFonts w:ascii="Arial" w:hAnsi="Arial"/>
          <w:color w:val="231F20"/>
          <w:spacing w:val="-28"/>
          <w:sz w:val="16"/>
        </w:rPr>
        <w:t> </w:t>
      </w:r>
      <w:r>
        <w:rPr>
          <w:rFonts w:ascii="Arial" w:hAnsi="Arial"/>
          <w:color w:val="231F20"/>
          <w:sz w:val="16"/>
        </w:rPr>
        <w:t>insights</w:t>
      </w:r>
      <w:r>
        <w:rPr>
          <w:rFonts w:ascii="Arial" w:hAnsi="Arial"/>
          <w:color w:val="231F20"/>
          <w:spacing w:val="-28"/>
          <w:sz w:val="16"/>
        </w:rPr>
        <w:t> </w:t>
      </w:r>
      <w:r>
        <w:rPr>
          <w:rFonts w:ascii="Arial" w:hAnsi="Arial"/>
          <w:color w:val="231F20"/>
          <w:sz w:val="16"/>
        </w:rPr>
        <w:t>into</w:t>
      </w:r>
      <w:r>
        <w:rPr>
          <w:rFonts w:ascii="Arial" w:hAnsi="Arial"/>
          <w:color w:val="231F20"/>
          <w:spacing w:val="-29"/>
          <w:sz w:val="16"/>
        </w:rPr>
        <w:t> </w:t>
      </w:r>
      <w:r>
        <w:rPr>
          <w:rFonts w:ascii="Arial" w:hAnsi="Arial"/>
          <w:color w:val="231F20"/>
          <w:sz w:val="16"/>
        </w:rPr>
        <w:t>the</w:t>
      </w:r>
      <w:r>
        <w:rPr>
          <w:rFonts w:ascii="Arial" w:hAnsi="Arial"/>
          <w:color w:val="231F20"/>
          <w:spacing w:val="-28"/>
          <w:sz w:val="16"/>
        </w:rPr>
        <w:t> </w:t>
      </w:r>
      <w:r>
        <w:rPr>
          <w:rFonts w:ascii="Arial" w:hAnsi="Arial"/>
          <w:color w:val="231F20"/>
          <w:sz w:val="16"/>
        </w:rPr>
        <w:t>dynamic regulation</w:t>
      </w:r>
      <w:r>
        <w:rPr>
          <w:rFonts w:ascii="Arial" w:hAnsi="Arial"/>
          <w:color w:val="231F20"/>
          <w:spacing w:val="-16"/>
          <w:sz w:val="16"/>
        </w:rPr>
        <w:t> </w:t>
      </w:r>
      <w:r>
        <w:rPr>
          <w:rFonts w:ascii="Arial" w:hAnsi="Arial"/>
          <w:color w:val="231F20"/>
          <w:sz w:val="16"/>
        </w:rPr>
        <w:t>of</w:t>
      </w:r>
      <w:r>
        <w:rPr>
          <w:rFonts w:ascii="Arial" w:hAnsi="Arial"/>
          <w:color w:val="231F20"/>
          <w:spacing w:val="-16"/>
          <w:sz w:val="16"/>
        </w:rPr>
        <w:t> </w:t>
      </w:r>
      <w:r>
        <w:rPr>
          <w:rFonts w:ascii="Arial" w:hAnsi="Arial"/>
          <w:color w:val="231F20"/>
          <w:sz w:val="16"/>
        </w:rPr>
        <w:t>water</w:t>
      </w:r>
      <w:r>
        <w:rPr>
          <w:rFonts w:ascii="Arial" w:hAnsi="Arial"/>
          <w:color w:val="231F20"/>
          <w:spacing w:val="-16"/>
          <w:sz w:val="16"/>
        </w:rPr>
        <w:t> </w:t>
      </w:r>
      <w:r>
        <w:rPr>
          <w:rFonts w:ascii="Arial" w:hAnsi="Arial"/>
          <w:color w:val="231F20"/>
          <w:sz w:val="16"/>
        </w:rPr>
        <w:t>and</w:t>
      </w:r>
      <w:r>
        <w:rPr>
          <w:rFonts w:ascii="Arial" w:hAnsi="Arial"/>
          <w:color w:val="231F20"/>
          <w:spacing w:val="-15"/>
          <w:sz w:val="16"/>
        </w:rPr>
        <w:t> </w:t>
      </w:r>
      <w:r>
        <w:rPr>
          <w:rFonts w:ascii="Arial" w:hAnsi="Arial"/>
          <w:color w:val="231F20"/>
          <w:sz w:val="16"/>
        </w:rPr>
        <w:t>acid­base</w:t>
      </w:r>
      <w:r>
        <w:rPr>
          <w:rFonts w:ascii="Arial" w:hAnsi="Arial"/>
          <w:color w:val="231F20"/>
          <w:spacing w:val="-16"/>
          <w:sz w:val="16"/>
        </w:rPr>
        <w:t> </w:t>
      </w:r>
      <w:r>
        <w:rPr>
          <w:rFonts w:ascii="Arial" w:hAnsi="Arial"/>
          <w:color w:val="231F20"/>
          <w:sz w:val="16"/>
        </w:rPr>
        <w:t>balance</w:t>
      </w:r>
      <w:r>
        <w:rPr>
          <w:rFonts w:ascii="Arial" w:hAnsi="Arial"/>
          <w:color w:val="231F20"/>
          <w:spacing w:val="-16"/>
          <w:sz w:val="16"/>
        </w:rPr>
        <w:t> </w:t>
      </w:r>
      <w:r>
        <w:rPr>
          <w:rFonts w:ascii="Arial" w:hAnsi="Arial"/>
          <w:color w:val="231F20"/>
          <w:sz w:val="16"/>
        </w:rPr>
        <w:t>by</w:t>
      </w:r>
      <w:r>
        <w:rPr>
          <w:rFonts w:ascii="Arial" w:hAnsi="Arial"/>
          <w:color w:val="231F20"/>
          <w:spacing w:val="-15"/>
          <w:sz w:val="16"/>
        </w:rPr>
        <w:t> </w:t>
      </w:r>
      <w:r>
        <w:rPr>
          <w:rFonts w:ascii="Arial" w:hAnsi="Arial"/>
          <w:color w:val="231F20"/>
          <w:sz w:val="16"/>
        </w:rPr>
        <w:t>renal</w:t>
      </w:r>
      <w:r>
        <w:rPr>
          <w:rFonts w:ascii="Arial" w:hAnsi="Arial"/>
          <w:color w:val="231F20"/>
          <w:spacing w:val="-16"/>
          <w:sz w:val="16"/>
        </w:rPr>
        <w:t> </w:t>
      </w:r>
      <w:r>
        <w:rPr>
          <w:rFonts w:ascii="Arial" w:hAnsi="Arial"/>
          <w:color w:val="231F20"/>
          <w:sz w:val="16"/>
        </w:rPr>
        <w:t>epithelial</w:t>
      </w:r>
      <w:r>
        <w:rPr>
          <w:rFonts w:ascii="Arial" w:hAnsi="Arial"/>
          <w:color w:val="231F20"/>
          <w:spacing w:val="-16"/>
          <w:sz w:val="16"/>
        </w:rPr>
        <w:t> </w:t>
      </w:r>
      <w:r>
        <w:rPr>
          <w:rFonts w:ascii="Arial" w:hAnsi="Arial"/>
          <w:color w:val="231F20"/>
          <w:spacing w:val="-3"/>
          <w:sz w:val="16"/>
        </w:rPr>
        <w:t>cells. </w:t>
      </w:r>
      <w:r>
        <w:rPr>
          <w:rFonts w:ascii="Arial" w:hAnsi="Arial"/>
          <w:color w:val="231F20"/>
          <w:sz w:val="16"/>
        </w:rPr>
        <w:t>Am J Physiol Cell Physiol 302:C1421,</w:t>
      </w:r>
      <w:r>
        <w:rPr>
          <w:rFonts w:ascii="Arial" w:hAnsi="Arial"/>
          <w:color w:val="231F20"/>
          <w:spacing w:val="20"/>
          <w:sz w:val="16"/>
        </w:rPr>
        <w:t> </w:t>
      </w:r>
      <w:r>
        <w:rPr>
          <w:rFonts w:ascii="Arial" w:hAnsi="Arial"/>
          <w:color w:val="231F20"/>
          <w:sz w:val="16"/>
        </w:rPr>
        <w:t>2012.</w:t>
      </w:r>
    </w:p>
    <w:p>
      <w:pPr>
        <w:spacing w:line="182" w:lineRule="exact" w:before="0"/>
        <w:ind w:left="320" w:right="0" w:firstLine="0"/>
        <w:jc w:val="both"/>
        <w:rPr>
          <w:rFonts w:ascii="Arial" w:hAnsi="Arial"/>
          <w:sz w:val="16"/>
        </w:rPr>
      </w:pPr>
      <w:r>
        <w:rPr>
          <w:rFonts w:ascii="Arial" w:hAnsi="Arial"/>
          <w:color w:val="231F20"/>
          <w:sz w:val="16"/>
        </w:rPr>
        <w:t>Brown D, Wagner CA: Molecular mechanisms of acid­base sensing</w:t>
      </w:r>
    </w:p>
    <w:p>
      <w:pPr>
        <w:spacing w:before="16"/>
        <w:ind w:left="480" w:right="0" w:firstLine="0"/>
        <w:jc w:val="both"/>
        <w:rPr>
          <w:rFonts w:ascii="Arial"/>
          <w:sz w:val="16"/>
        </w:rPr>
      </w:pPr>
      <w:r>
        <w:rPr>
          <w:rFonts w:ascii="Arial"/>
          <w:color w:val="231F20"/>
          <w:sz w:val="16"/>
        </w:rPr>
        <w:t>by the kidney. J Am Soc Nephrol 23:774, 2012.</w:t>
      </w:r>
    </w:p>
    <w:p>
      <w:pPr>
        <w:spacing w:line="261" w:lineRule="auto" w:before="16"/>
        <w:ind w:left="0" w:right="1437" w:firstLine="0"/>
        <w:jc w:val="right"/>
        <w:rPr>
          <w:rFonts w:ascii="Arial" w:hAnsi="Arial"/>
          <w:sz w:val="16"/>
        </w:rPr>
      </w:pPr>
      <w:r>
        <w:rPr>
          <w:rFonts w:ascii="Arial" w:hAnsi="Arial"/>
          <w:color w:val="231F20"/>
          <w:sz w:val="16"/>
        </w:rPr>
        <w:t>Cerdá J, Tolwani AJ, Warnock DG: Critical care nephrology: man­</w:t>
      </w:r>
      <w:r>
        <w:rPr>
          <w:rFonts w:ascii="Arial" w:hAnsi="Arial"/>
          <w:color w:val="231F20"/>
          <w:w w:val="97"/>
          <w:sz w:val="16"/>
        </w:rPr>
        <w:t> </w:t>
      </w:r>
      <w:r>
        <w:rPr>
          <w:rFonts w:ascii="Arial" w:hAnsi="Arial"/>
          <w:color w:val="231F20"/>
          <w:sz w:val="16"/>
        </w:rPr>
        <w:t>agement of acid­base disorders with CRRT. Kidney Int 82:9, 2012.</w:t>
      </w:r>
      <w:r>
        <w:rPr>
          <w:rFonts w:ascii="Arial" w:hAnsi="Arial"/>
          <w:color w:val="231F20"/>
          <w:w w:val="99"/>
          <w:sz w:val="16"/>
        </w:rPr>
        <w:t> </w:t>
      </w:r>
      <w:r>
        <w:rPr>
          <w:rFonts w:ascii="Arial" w:hAnsi="Arial"/>
          <w:color w:val="231F20"/>
          <w:sz w:val="16"/>
        </w:rPr>
        <w:t>DeCoursey TE. Voltage­gated proton channels: molecular biology,</w:t>
      </w:r>
      <w:r>
        <w:rPr>
          <w:rFonts w:ascii="Arial" w:hAnsi="Arial"/>
          <w:color w:val="231F20"/>
          <w:w w:val="100"/>
          <w:sz w:val="16"/>
        </w:rPr>
        <w:t> </w:t>
      </w:r>
      <w:r>
        <w:rPr>
          <w:rFonts w:ascii="Arial" w:hAnsi="Arial"/>
          <w:color w:val="231F20"/>
          <w:sz w:val="16"/>
        </w:rPr>
        <w:t>physiology, and pathophysiology of the H(V) family. Physiol Rev</w:t>
      </w:r>
    </w:p>
    <w:p>
      <w:pPr>
        <w:spacing w:line="182" w:lineRule="exact" w:before="0"/>
        <w:ind w:left="480" w:right="0" w:firstLine="0"/>
        <w:jc w:val="left"/>
        <w:rPr>
          <w:rFonts w:ascii="Arial"/>
          <w:sz w:val="16"/>
        </w:rPr>
      </w:pPr>
      <w:r>
        <w:rPr>
          <w:rFonts w:ascii="Arial"/>
          <w:color w:val="231F20"/>
          <w:sz w:val="16"/>
        </w:rPr>
        <w:t>93:599,</w:t>
      </w:r>
      <w:r>
        <w:rPr>
          <w:rFonts w:ascii="Arial"/>
          <w:color w:val="231F20"/>
          <w:spacing w:val="7"/>
          <w:sz w:val="16"/>
        </w:rPr>
        <w:t> </w:t>
      </w:r>
      <w:r>
        <w:rPr>
          <w:rFonts w:ascii="Arial"/>
          <w:color w:val="231F20"/>
          <w:sz w:val="16"/>
        </w:rPr>
        <w:t>2013.</w:t>
      </w:r>
    </w:p>
    <w:p>
      <w:pPr>
        <w:spacing w:line="261" w:lineRule="auto" w:before="16"/>
        <w:ind w:left="480" w:right="1422" w:hanging="160"/>
        <w:jc w:val="left"/>
        <w:rPr>
          <w:rFonts w:ascii="Arial"/>
          <w:sz w:val="16"/>
        </w:rPr>
      </w:pPr>
      <w:r>
        <w:rPr>
          <w:rFonts w:ascii="Arial"/>
          <w:color w:val="231F20"/>
          <w:sz w:val="16"/>
        </w:rPr>
        <w:t>Fry AC, Karet FE: Inherited renal acidoses. Physiology</w:t>
      </w:r>
      <w:r>
        <w:rPr>
          <w:rFonts w:ascii="Arial"/>
          <w:color w:val="231F20"/>
          <w:spacing w:val="-18"/>
          <w:sz w:val="16"/>
        </w:rPr>
        <w:t> </w:t>
      </w:r>
      <w:r>
        <w:rPr>
          <w:rFonts w:ascii="Arial"/>
          <w:color w:val="231F20"/>
          <w:sz w:val="16"/>
        </w:rPr>
        <w:t>(Bethesda) 22:202,</w:t>
      </w:r>
      <w:r>
        <w:rPr>
          <w:rFonts w:ascii="Arial"/>
          <w:color w:val="231F20"/>
          <w:spacing w:val="8"/>
          <w:sz w:val="16"/>
        </w:rPr>
        <w:t> </w:t>
      </w:r>
      <w:r>
        <w:rPr>
          <w:rFonts w:ascii="Arial"/>
          <w:color w:val="231F20"/>
          <w:sz w:val="16"/>
        </w:rPr>
        <w:t>2007.</w:t>
      </w:r>
    </w:p>
    <w:p>
      <w:pPr>
        <w:spacing w:line="261" w:lineRule="auto" w:before="0"/>
        <w:ind w:left="480" w:right="1352" w:hanging="160"/>
        <w:jc w:val="left"/>
        <w:rPr>
          <w:rFonts w:ascii="Arial" w:hAnsi="Arial"/>
          <w:sz w:val="16"/>
        </w:rPr>
      </w:pPr>
      <w:r>
        <w:rPr>
          <w:rFonts w:ascii="Arial" w:hAnsi="Arial"/>
          <w:color w:val="231F20"/>
          <w:sz w:val="16"/>
        </w:rPr>
        <w:t>Hamm L, Hering­Smith KS, Nakhoul NL: Acid­base and potassium homeostasis. Semin Nephrol 33:257, 2013.</w:t>
      </w:r>
    </w:p>
    <w:p>
      <w:pPr>
        <w:spacing w:line="183" w:lineRule="exact" w:before="0"/>
        <w:ind w:left="320" w:right="0" w:firstLine="0"/>
        <w:jc w:val="left"/>
        <w:rPr>
          <w:rFonts w:ascii="Arial"/>
          <w:sz w:val="16"/>
        </w:rPr>
      </w:pPr>
      <w:r>
        <w:rPr>
          <w:rFonts w:ascii="Arial"/>
          <w:color w:val="231F20"/>
          <w:sz w:val="16"/>
        </w:rPr>
        <w:t>Haque SK, Ariceta G, Batlle D: Proximal renal tubular acidosis: a not</w:t>
      </w:r>
    </w:p>
    <w:p>
      <w:pPr>
        <w:spacing w:line="200" w:lineRule="atLeast" w:before="0"/>
        <w:ind w:left="480" w:right="1437" w:firstLine="0"/>
        <w:jc w:val="left"/>
        <w:rPr>
          <w:rFonts w:ascii="Arial"/>
          <w:sz w:val="16"/>
        </w:rPr>
      </w:pPr>
      <w:r>
        <w:rPr>
          <w:rFonts w:ascii="Arial"/>
          <w:color w:val="231F20"/>
          <w:sz w:val="16"/>
        </w:rPr>
        <w:t>so rare disorder of multiple etiologies. Nephrol Dial Transplant 27:4273, 2012.</w:t>
      </w:r>
    </w:p>
    <w:p>
      <w:pPr>
        <w:spacing w:line="261" w:lineRule="auto" w:before="15"/>
        <w:ind w:left="480" w:right="1438" w:hanging="160"/>
        <w:jc w:val="both"/>
        <w:rPr>
          <w:rFonts w:ascii="Arial"/>
          <w:sz w:val="16"/>
        </w:rPr>
      </w:pPr>
      <w:r>
        <w:rPr>
          <w:rFonts w:ascii="Arial"/>
          <w:color w:val="231F20"/>
          <w:sz w:val="16"/>
        </w:rPr>
        <w:t>Igarashi I, Sekine </w:t>
      </w:r>
      <w:r>
        <w:rPr>
          <w:rFonts w:ascii="Arial"/>
          <w:color w:val="231F20"/>
          <w:spacing w:val="-9"/>
          <w:sz w:val="16"/>
        </w:rPr>
        <w:t>T, </w:t>
      </w:r>
      <w:r>
        <w:rPr>
          <w:rFonts w:ascii="Arial"/>
          <w:color w:val="231F20"/>
          <w:sz w:val="16"/>
        </w:rPr>
        <w:t>Inatomi J, Seki G: Unraveling the molecular pathogenesis</w:t>
      </w:r>
      <w:r>
        <w:rPr>
          <w:rFonts w:ascii="Arial"/>
          <w:color w:val="231F20"/>
          <w:spacing w:val="-21"/>
          <w:sz w:val="16"/>
        </w:rPr>
        <w:t> </w:t>
      </w:r>
      <w:r>
        <w:rPr>
          <w:rFonts w:ascii="Arial"/>
          <w:color w:val="231F20"/>
          <w:sz w:val="16"/>
        </w:rPr>
        <w:t>of</w:t>
      </w:r>
      <w:r>
        <w:rPr>
          <w:rFonts w:ascii="Arial"/>
          <w:color w:val="231F20"/>
          <w:spacing w:val="-21"/>
          <w:sz w:val="16"/>
        </w:rPr>
        <w:t> </w:t>
      </w:r>
      <w:r>
        <w:rPr>
          <w:rFonts w:ascii="Arial"/>
          <w:color w:val="231F20"/>
          <w:sz w:val="16"/>
        </w:rPr>
        <w:t>isolated</w:t>
      </w:r>
      <w:r>
        <w:rPr>
          <w:rFonts w:ascii="Arial"/>
          <w:color w:val="231F20"/>
          <w:spacing w:val="-21"/>
          <w:sz w:val="16"/>
        </w:rPr>
        <w:t> </w:t>
      </w:r>
      <w:r>
        <w:rPr>
          <w:rFonts w:ascii="Arial"/>
          <w:color w:val="231F20"/>
          <w:sz w:val="16"/>
        </w:rPr>
        <w:t>proximal</w:t>
      </w:r>
      <w:r>
        <w:rPr>
          <w:rFonts w:ascii="Arial"/>
          <w:color w:val="231F20"/>
          <w:spacing w:val="-21"/>
          <w:sz w:val="16"/>
        </w:rPr>
        <w:t> </w:t>
      </w:r>
      <w:r>
        <w:rPr>
          <w:rFonts w:ascii="Arial"/>
          <w:color w:val="231F20"/>
          <w:sz w:val="16"/>
        </w:rPr>
        <w:t>renal</w:t>
      </w:r>
      <w:r>
        <w:rPr>
          <w:rFonts w:ascii="Arial"/>
          <w:color w:val="231F20"/>
          <w:spacing w:val="-21"/>
          <w:sz w:val="16"/>
        </w:rPr>
        <w:t> </w:t>
      </w:r>
      <w:r>
        <w:rPr>
          <w:rFonts w:ascii="Arial"/>
          <w:color w:val="231F20"/>
          <w:sz w:val="16"/>
        </w:rPr>
        <w:t>tubular</w:t>
      </w:r>
      <w:r>
        <w:rPr>
          <w:rFonts w:ascii="Arial"/>
          <w:color w:val="231F20"/>
          <w:spacing w:val="-21"/>
          <w:sz w:val="16"/>
        </w:rPr>
        <w:t> </w:t>
      </w:r>
      <w:r>
        <w:rPr>
          <w:rFonts w:ascii="Arial"/>
          <w:color w:val="231F20"/>
          <w:sz w:val="16"/>
        </w:rPr>
        <w:t>acidosis.</w:t>
      </w:r>
      <w:r>
        <w:rPr>
          <w:rFonts w:ascii="Arial"/>
          <w:color w:val="231F20"/>
          <w:spacing w:val="-21"/>
          <w:sz w:val="16"/>
        </w:rPr>
        <w:t> </w:t>
      </w:r>
      <w:r>
        <w:rPr>
          <w:rFonts w:ascii="Arial"/>
          <w:color w:val="231F20"/>
          <w:sz w:val="16"/>
        </w:rPr>
        <w:t>J</w:t>
      </w:r>
      <w:r>
        <w:rPr>
          <w:rFonts w:ascii="Arial"/>
          <w:color w:val="231F20"/>
          <w:spacing w:val="-21"/>
          <w:sz w:val="16"/>
        </w:rPr>
        <w:t> </w:t>
      </w:r>
      <w:r>
        <w:rPr>
          <w:rFonts w:ascii="Arial"/>
          <w:color w:val="231F20"/>
          <w:sz w:val="16"/>
        </w:rPr>
        <w:t>Am</w:t>
      </w:r>
      <w:r>
        <w:rPr>
          <w:rFonts w:ascii="Arial"/>
          <w:color w:val="231F20"/>
          <w:spacing w:val="-21"/>
          <w:sz w:val="16"/>
        </w:rPr>
        <w:t> </w:t>
      </w:r>
      <w:r>
        <w:rPr>
          <w:rFonts w:ascii="Arial"/>
          <w:color w:val="231F20"/>
          <w:sz w:val="16"/>
        </w:rPr>
        <w:t>Soc Nephrol 13:2171,</w:t>
      </w:r>
      <w:r>
        <w:rPr>
          <w:rFonts w:ascii="Arial"/>
          <w:color w:val="231F20"/>
          <w:spacing w:val="15"/>
          <w:sz w:val="16"/>
        </w:rPr>
        <w:t> </w:t>
      </w:r>
      <w:r>
        <w:rPr>
          <w:rFonts w:ascii="Arial"/>
          <w:color w:val="231F20"/>
          <w:sz w:val="16"/>
        </w:rPr>
        <w:t>2002.</w:t>
      </w:r>
    </w:p>
    <w:p>
      <w:pPr>
        <w:spacing w:line="261" w:lineRule="auto" w:before="0"/>
        <w:ind w:left="480" w:right="1437" w:hanging="160"/>
        <w:jc w:val="both"/>
        <w:rPr>
          <w:rFonts w:ascii="Arial"/>
          <w:sz w:val="16"/>
        </w:rPr>
      </w:pPr>
      <w:r>
        <w:rPr>
          <w:rFonts w:ascii="Arial"/>
          <w:color w:val="231F20"/>
          <w:sz w:val="16"/>
        </w:rPr>
        <w:t>Kraut JA, Madias NE: Differential diagnosis of nongap metabolic acidosis:</w:t>
      </w:r>
      <w:r>
        <w:rPr>
          <w:rFonts w:ascii="Arial"/>
          <w:color w:val="231F20"/>
          <w:spacing w:val="-4"/>
          <w:sz w:val="16"/>
        </w:rPr>
        <w:t> </w:t>
      </w:r>
      <w:r>
        <w:rPr>
          <w:rFonts w:ascii="Arial"/>
          <w:color w:val="231F20"/>
          <w:sz w:val="16"/>
        </w:rPr>
        <w:t>value</w:t>
      </w:r>
      <w:r>
        <w:rPr>
          <w:rFonts w:ascii="Arial"/>
          <w:color w:val="231F20"/>
          <w:spacing w:val="-4"/>
          <w:sz w:val="16"/>
        </w:rPr>
        <w:t> </w:t>
      </w:r>
      <w:r>
        <w:rPr>
          <w:rFonts w:ascii="Arial"/>
          <w:color w:val="231F20"/>
          <w:sz w:val="16"/>
        </w:rPr>
        <w:t>of</w:t>
      </w:r>
      <w:r>
        <w:rPr>
          <w:rFonts w:ascii="Arial"/>
          <w:color w:val="231F20"/>
          <w:spacing w:val="-4"/>
          <w:sz w:val="16"/>
        </w:rPr>
        <w:t> </w:t>
      </w:r>
      <w:r>
        <w:rPr>
          <w:rFonts w:ascii="Arial"/>
          <w:color w:val="231F20"/>
          <w:sz w:val="16"/>
        </w:rPr>
        <w:t>a</w:t>
      </w:r>
      <w:r>
        <w:rPr>
          <w:rFonts w:ascii="Arial"/>
          <w:color w:val="231F20"/>
          <w:spacing w:val="-4"/>
          <w:sz w:val="16"/>
        </w:rPr>
        <w:t> </w:t>
      </w:r>
      <w:r>
        <w:rPr>
          <w:rFonts w:ascii="Arial"/>
          <w:color w:val="231F20"/>
          <w:sz w:val="16"/>
        </w:rPr>
        <w:t>systematic</w:t>
      </w:r>
      <w:r>
        <w:rPr>
          <w:rFonts w:ascii="Arial"/>
          <w:color w:val="231F20"/>
          <w:spacing w:val="-4"/>
          <w:sz w:val="16"/>
        </w:rPr>
        <w:t> </w:t>
      </w:r>
      <w:r>
        <w:rPr>
          <w:rFonts w:ascii="Arial"/>
          <w:color w:val="231F20"/>
          <w:sz w:val="16"/>
        </w:rPr>
        <w:t>approach.</w:t>
      </w:r>
      <w:r>
        <w:rPr>
          <w:rFonts w:ascii="Arial"/>
          <w:color w:val="231F20"/>
          <w:spacing w:val="-4"/>
          <w:sz w:val="16"/>
        </w:rPr>
        <w:t> </w:t>
      </w:r>
      <w:r>
        <w:rPr>
          <w:rFonts w:ascii="Arial"/>
          <w:color w:val="231F20"/>
          <w:sz w:val="16"/>
        </w:rPr>
        <w:t>Clin</w:t>
      </w:r>
      <w:r>
        <w:rPr>
          <w:rFonts w:ascii="Arial"/>
          <w:color w:val="231F20"/>
          <w:spacing w:val="-4"/>
          <w:sz w:val="16"/>
        </w:rPr>
        <w:t> </w:t>
      </w:r>
      <w:r>
        <w:rPr>
          <w:rFonts w:ascii="Arial"/>
          <w:color w:val="231F20"/>
          <w:sz w:val="16"/>
        </w:rPr>
        <w:t>J</w:t>
      </w:r>
      <w:r>
        <w:rPr>
          <w:rFonts w:ascii="Arial"/>
          <w:color w:val="231F20"/>
          <w:spacing w:val="-4"/>
          <w:sz w:val="16"/>
        </w:rPr>
        <w:t> </w:t>
      </w:r>
      <w:r>
        <w:rPr>
          <w:rFonts w:ascii="Arial"/>
          <w:color w:val="231F20"/>
          <w:sz w:val="16"/>
        </w:rPr>
        <w:t>Am</w:t>
      </w:r>
      <w:r>
        <w:rPr>
          <w:rFonts w:ascii="Arial"/>
          <w:color w:val="231F20"/>
          <w:spacing w:val="-4"/>
          <w:sz w:val="16"/>
        </w:rPr>
        <w:t> </w:t>
      </w:r>
      <w:r>
        <w:rPr>
          <w:rFonts w:ascii="Arial"/>
          <w:color w:val="231F20"/>
          <w:sz w:val="16"/>
        </w:rPr>
        <w:t>Soc</w:t>
      </w:r>
      <w:r>
        <w:rPr>
          <w:rFonts w:ascii="Arial"/>
          <w:color w:val="231F20"/>
          <w:spacing w:val="-4"/>
          <w:sz w:val="16"/>
        </w:rPr>
        <w:t> </w:t>
      </w:r>
      <w:r>
        <w:rPr>
          <w:rFonts w:ascii="Arial"/>
          <w:color w:val="231F20"/>
          <w:spacing w:val="-3"/>
          <w:sz w:val="16"/>
        </w:rPr>
        <w:t>Nephrol </w:t>
      </w:r>
      <w:r>
        <w:rPr>
          <w:rFonts w:ascii="Arial"/>
          <w:color w:val="231F20"/>
          <w:sz w:val="16"/>
        </w:rPr>
        <w:t>7:671,</w:t>
      </w:r>
      <w:r>
        <w:rPr>
          <w:rFonts w:ascii="Arial"/>
          <w:color w:val="231F20"/>
          <w:spacing w:val="8"/>
          <w:sz w:val="16"/>
        </w:rPr>
        <w:t> </w:t>
      </w:r>
      <w:r>
        <w:rPr>
          <w:rFonts w:ascii="Arial"/>
          <w:color w:val="231F20"/>
          <w:sz w:val="16"/>
        </w:rPr>
        <w:t>2012.</w:t>
      </w:r>
    </w:p>
    <w:p>
      <w:pPr>
        <w:spacing w:line="182" w:lineRule="exact" w:before="0"/>
        <w:ind w:left="320" w:right="0" w:firstLine="0"/>
        <w:jc w:val="both"/>
        <w:rPr>
          <w:rFonts w:ascii="Arial"/>
          <w:sz w:val="16"/>
        </w:rPr>
      </w:pPr>
      <w:r>
        <w:rPr>
          <w:rFonts w:ascii="Arial"/>
          <w:color w:val="231F20"/>
          <w:sz w:val="16"/>
        </w:rPr>
        <w:t>Laffey JG, Kavanagh BP: Hypocapnia. N Engl J Med 347:43, 2002.</w:t>
      </w:r>
    </w:p>
    <w:p>
      <w:pPr>
        <w:spacing w:line="200" w:lineRule="atLeast" w:before="0"/>
        <w:ind w:left="480" w:right="1438" w:hanging="160"/>
        <w:jc w:val="both"/>
        <w:rPr>
          <w:rFonts w:ascii="Arial"/>
          <w:sz w:val="16"/>
        </w:rPr>
      </w:pPr>
      <w:r>
        <w:rPr>
          <w:rFonts w:ascii="Arial"/>
          <w:color w:val="231F20"/>
          <w:sz w:val="16"/>
        </w:rPr>
        <w:t>Purkerson</w:t>
      </w:r>
      <w:r>
        <w:rPr>
          <w:rFonts w:ascii="Arial"/>
          <w:color w:val="231F20"/>
          <w:spacing w:val="-24"/>
          <w:sz w:val="16"/>
        </w:rPr>
        <w:t> </w:t>
      </w:r>
      <w:r>
        <w:rPr>
          <w:rFonts w:ascii="Arial"/>
          <w:color w:val="231F20"/>
          <w:sz w:val="16"/>
        </w:rPr>
        <w:t>JM,</w:t>
      </w:r>
      <w:r>
        <w:rPr>
          <w:rFonts w:ascii="Arial"/>
          <w:color w:val="231F20"/>
          <w:spacing w:val="-23"/>
          <w:sz w:val="16"/>
        </w:rPr>
        <w:t> </w:t>
      </w:r>
      <w:r>
        <w:rPr>
          <w:rFonts w:ascii="Arial"/>
          <w:color w:val="231F20"/>
          <w:sz w:val="16"/>
        </w:rPr>
        <w:t>Schwartz</w:t>
      </w:r>
      <w:r>
        <w:rPr>
          <w:rFonts w:ascii="Arial"/>
          <w:color w:val="231F20"/>
          <w:spacing w:val="-23"/>
          <w:sz w:val="16"/>
        </w:rPr>
        <w:t> </w:t>
      </w:r>
      <w:r>
        <w:rPr>
          <w:rFonts w:ascii="Arial"/>
          <w:color w:val="231F20"/>
          <w:sz w:val="16"/>
        </w:rPr>
        <w:t>GJ:</w:t>
      </w:r>
      <w:r>
        <w:rPr>
          <w:rFonts w:ascii="Arial"/>
          <w:color w:val="231F20"/>
          <w:spacing w:val="-24"/>
          <w:sz w:val="16"/>
        </w:rPr>
        <w:t> </w:t>
      </w:r>
      <w:r>
        <w:rPr>
          <w:rFonts w:ascii="Arial"/>
          <w:color w:val="231F20"/>
          <w:sz w:val="16"/>
        </w:rPr>
        <w:t>The</w:t>
      </w:r>
      <w:r>
        <w:rPr>
          <w:rFonts w:ascii="Arial"/>
          <w:color w:val="231F20"/>
          <w:spacing w:val="-23"/>
          <w:sz w:val="16"/>
        </w:rPr>
        <w:t> </w:t>
      </w:r>
      <w:r>
        <w:rPr>
          <w:rFonts w:ascii="Arial"/>
          <w:color w:val="231F20"/>
          <w:sz w:val="16"/>
        </w:rPr>
        <w:t>role</w:t>
      </w:r>
      <w:r>
        <w:rPr>
          <w:rFonts w:ascii="Arial"/>
          <w:color w:val="231F20"/>
          <w:spacing w:val="-23"/>
          <w:sz w:val="16"/>
        </w:rPr>
        <w:t> </w:t>
      </w:r>
      <w:r>
        <w:rPr>
          <w:rFonts w:ascii="Arial"/>
          <w:color w:val="231F20"/>
          <w:sz w:val="16"/>
        </w:rPr>
        <w:t>of</w:t>
      </w:r>
      <w:r>
        <w:rPr>
          <w:rFonts w:ascii="Arial"/>
          <w:color w:val="231F20"/>
          <w:spacing w:val="-24"/>
          <w:sz w:val="16"/>
        </w:rPr>
        <w:t> </w:t>
      </w:r>
      <w:r>
        <w:rPr>
          <w:rFonts w:ascii="Arial"/>
          <w:color w:val="231F20"/>
          <w:sz w:val="16"/>
        </w:rPr>
        <w:t>carbonic</w:t>
      </w:r>
      <w:r>
        <w:rPr>
          <w:rFonts w:ascii="Arial"/>
          <w:color w:val="231F20"/>
          <w:spacing w:val="-23"/>
          <w:sz w:val="16"/>
        </w:rPr>
        <w:t> </w:t>
      </w:r>
      <w:r>
        <w:rPr>
          <w:rFonts w:ascii="Arial"/>
          <w:color w:val="231F20"/>
          <w:sz w:val="16"/>
        </w:rPr>
        <w:t>anhydrases</w:t>
      </w:r>
      <w:r>
        <w:rPr>
          <w:rFonts w:ascii="Arial"/>
          <w:color w:val="231F20"/>
          <w:spacing w:val="-23"/>
          <w:sz w:val="16"/>
        </w:rPr>
        <w:t> </w:t>
      </w:r>
      <w:r>
        <w:rPr>
          <w:rFonts w:ascii="Arial"/>
          <w:color w:val="231F20"/>
          <w:sz w:val="16"/>
        </w:rPr>
        <w:t>in</w:t>
      </w:r>
      <w:r>
        <w:rPr>
          <w:rFonts w:ascii="Arial"/>
          <w:color w:val="231F20"/>
          <w:spacing w:val="-24"/>
          <w:sz w:val="16"/>
        </w:rPr>
        <w:t> </w:t>
      </w:r>
      <w:r>
        <w:rPr>
          <w:rFonts w:ascii="Arial"/>
          <w:color w:val="231F20"/>
          <w:spacing w:val="-4"/>
          <w:sz w:val="16"/>
        </w:rPr>
        <w:t>renal </w:t>
      </w:r>
      <w:r>
        <w:rPr>
          <w:rFonts w:ascii="Arial"/>
          <w:color w:val="231F20"/>
          <w:sz w:val="16"/>
        </w:rPr>
        <w:t>physiology. Kidney Int 71:103,</w:t>
      </w:r>
      <w:r>
        <w:rPr>
          <w:rFonts w:ascii="Arial"/>
          <w:color w:val="231F20"/>
          <w:spacing w:val="24"/>
          <w:sz w:val="16"/>
        </w:rPr>
        <w:t> </w:t>
      </w:r>
      <w:r>
        <w:rPr>
          <w:rFonts w:ascii="Arial"/>
          <w:color w:val="231F20"/>
          <w:sz w:val="16"/>
        </w:rPr>
        <w:t>2007.</w:t>
      </w:r>
    </w:p>
    <w:p>
      <w:pPr>
        <w:spacing w:line="200" w:lineRule="atLeast" w:before="0"/>
        <w:ind w:left="480" w:right="1437" w:hanging="160"/>
        <w:jc w:val="both"/>
        <w:rPr>
          <w:rFonts w:ascii="Arial"/>
          <w:sz w:val="16"/>
        </w:rPr>
      </w:pPr>
      <w:r>
        <w:rPr>
          <w:rFonts w:ascii="Arial"/>
          <w:color w:val="231F20"/>
          <w:sz w:val="16"/>
        </w:rPr>
        <w:t>Vandenberg RJ, Ryan RM: Mechanisms of glutamate transport. Physiol Rev 93:1621,</w:t>
      </w:r>
      <w:r>
        <w:rPr>
          <w:rFonts w:ascii="Arial"/>
          <w:color w:val="231F20"/>
          <w:spacing w:val="18"/>
          <w:sz w:val="16"/>
        </w:rPr>
        <w:t> </w:t>
      </w:r>
      <w:r>
        <w:rPr>
          <w:rFonts w:ascii="Arial"/>
          <w:color w:val="231F20"/>
          <w:sz w:val="16"/>
        </w:rPr>
        <w:t>2013.</w:t>
      </w:r>
    </w:p>
    <w:p>
      <w:pPr>
        <w:spacing w:line="261" w:lineRule="auto" w:before="14"/>
        <w:ind w:left="480" w:right="1439" w:hanging="160"/>
        <w:jc w:val="both"/>
        <w:rPr>
          <w:rFonts w:ascii="Arial" w:hAnsi="Arial"/>
          <w:sz w:val="16"/>
        </w:rPr>
      </w:pPr>
      <w:r>
        <w:rPr>
          <w:rFonts w:ascii="Arial" w:hAnsi="Arial"/>
          <w:color w:val="231F20"/>
          <w:sz w:val="16"/>
        </w:rPr>
        <w:t>Wagner</w:t>
      </w:r>
      <w:r>
        <w:rPr>
          <w:rFonts w:ascii="Arial" w:hAnsi="Arial"/>
          <w:color w:val="231F20"/>
          <w:spacing w:val="-15"/>
          <w:sz w:val="16"/>
        </w:rPr>
        <w:t> </w:t>
      </w:r>
      <w:r>
        <w:rPr>
          <w:rFonts w:ascii="Arial" w:hAnsi="Arial"/>
          <w:color w:val="231F20"/>
          <w:sz w:val="16"/>
        </w:rPr>
        <w:t>CA,</w:t>
      </w:r>
      <w:r>
        <w:rPr>
          <w:rFonts w:ascii="Arial" w:hAnsi="Arial"/>
          <w:color w:val="231F20"/>
          <w:spacing w:val="-14"/>
          <w:sz w:val="16"/>
        </w:rPr>
        <w:t> </w:t>
      </w:r>
      <w:r>
        <w:rPr>
          <w:rFonts w:ascii="Arial" w:hAnsi="Arial"/>
          <w:color w:val="231F20"/>
          <w:sz w:val="16"/>
        </w:rPr>
        <w:t>Finberg</w:t>
      </w:r>
      <w:r>
        <w:rPr>
          <w:rFonts w:ascii="Arial" w:hAnsi="Arial"/>
          <w:color w:val="231F20"/>
          <w:spacing w:val="-14"/>
          <w:sz w:val="16"/>
        </w:rPr>
        <w:t> </w:t>
      </w:r>
      <w:r>
        <w:rPr>
          <w:rFonts w:ascii="Arial" w:hAnsi="Arial"/>
          <w:color w:val="231F20"/>
          <w:sz w:val="16"/>
        </w:rPr>
        <w:t>KE,</w:t>
      </w:r>
      <w:r>
        <w:rPr>
          <w:rFonts w:ascii="Arial" w:hAnsi="Arial"/>
          <w:color w:val="231F20"/>
          <w:spacing w:val="-14"/>
          <w:sz w:val="16"/>
        </w:rPr>
        <w:t> </w:t>
      </w:r>
      <w:r>
        <w:rPr>
          <w:rFonts w:ascii="Arial" w:hAnsi="Arial"/>
          <w:color w:val="231F20"/>
          <w:sz w:val="16"/>
        </w:rPr>
        <w:t>Breton</w:t>
      </w:r>
      <w:r>
        <w:rPr>
          <w:rFonts w:ascii="Arial" w:hAnsi="Arial"/>
          <w:color w:val="231F20"/>
          <w:spacing w:val="-14"/>
          <w:sz w:val="16"/>
        </w:rPr>
        <w:t> </w:t>
      </w:r>
      <w:r>
        <w:rPr>
          <w:rFonts w:ascii="Arial" w:hAnsi="Arial"/>
          <w:color w:val="231F20"/>
          <w:sz w:val="16"/>
        </w:rPr>
        <w:t>S,</w:t>
      </w:r>
      <w:r>
        <w:rPr>
          <w:rFonts w:ascii="Arial" w:hAnsi="Arial"/>
          <w:color w:val="231F20"/>
          <w:spacing w:val="-14"/>
          <w:sz w:val="16"/>
        </w:rPr>
        <w:t> </w:t>
      </w:r>
      <w:r>
        <w:rPr>
          <w:rFonts w:ascii="Arial" w:hAnsi="Arial"/>
          <w:color w:val="231F20"/>
          <w:sz w:val="16"/>
        </w:rPr>
        <w:t>et</w:t>
      </w:r>
      <w:r>
        <w:rPr>
          <w:rFonts w:ascii="Arial" w:hAnsi="Arial"/>
          <w:color w:val="231F20"/>
          <w:spacing w:val="-14"/>
          <w:sz w:val="16"/>
        </w:rPr>
        <w:t> </w:t>
      </w:r>
      <w:r>
        <w:rPr>
          <w:rFonts w:ascii="Arial" w:hAnsi="Arial"/>
          <w:color w:val="231F20"/>
          <w:sz w:val="16"/>
        </w:rPr>
        <w:t>al:</w:t>
      </w:r>
      <w:r>
        <w:rPr>
          <w:rFonts w:ascii="Arial" w:hAnsi="Arial"/>
          <w:color w:val="231F20"/>
          <w:spacing w:val="-14"/>
          <w:sz w:val="16"/>
        </w:rPr>
        <w:t> </w:t>
      </w:r>
      <w:r>
        <w:rPr>
          <w:rFonts w:ascii="Arial" w:hAnsi="Arial"/>
          <w:color w:val="231F20"/>
          <w:sz w:val="16"/>
        </w:rPr>
        <w:t>Renal</w:t>
      </w:r>
      <w:r>
        <w:rPr>
          <w:rFonts w:ascii="Arial" w:hAnsi="Arial"/>
          <w:color w:val="231F20"/>
          <w:spacing w:val="-14"/>
          <w:sz w:val="16"/>
        </w:rPr>
        <w:t> </w:t>
      </w:r>
      <w:r>
        <w:rPr>
          <w:rFonts w:ascii="Arial" w:hAnsi="Arial"/>
          <w:color w:val="231F20"/>
          <w:sz w:val="16"/>
        </w:rPr>
        <w:t>vacuolar</w:t>
      </w:r>
      <w:r>
        <w:rPr>
          <w:rFonts w:ascii="Arial" w:hAnsi="Arial"/>
          <w:color w:val="231F20"/>
          <w:spacing w:val="-14"/>
          <w:sz w:val="16"/>
        </w:rPr>
        <w:t> </w:t>
      </w:r>
      <w:r>
        <w:rPr>
          <w:rFonts w:ascii="Arial" w:hAnsi="Arial"/>
          <w:color w:val="231F20"/>
          <w:spacing w:val="-4"/>
          <w:sz w:val="16"/>
        </w:rPr>
        <w:t>H</w:t>
      </w:r>
      <w:r>
        <w:rPr>
          <w:rFonts w:ascii="Consolas" w:hAnsi="Consolas"/>
          <w:color w:val="231F20"/>
          <w:spacing w:val="-4"/>
          <w:position w:val="6"/>
          <w:sz w:val="9"/>
        </w:rPr>
        <w:t>+</w:t>
      </w:r>
      <w:r>
        <w:rPr>
          <w:rFonts w:ascii="Arial" w:hAnsi="Arial"/>
          <w:color w:val="231F20"/>
          <w:spacing w:val="-4"/>
          <w:sz w:val="16"/>
        </w:rPr>
        <w:t>­ATPase. </w:t>
      </w:r>
      <w:r>
        <w:rPr>
          <w:rFonts w:ascii="Arial" w:hAnsi="Arial"/>
          <w:color w:val="231F20"/>
          <w:sz w:val="16"/>
        </w:rPr>
        <w:t>Physiol Rev 84:1263,</w:t>
      </w:r>
      <w:r>
        <w:rPr>
          <w:rFonts w:ascii="Arial" w:hAnsi="Arial"/>
          <w:color w:val="231F20"/>
          <w:spacing w:val="18"/>
          <w:sz w:val="16"/>
        </w:rPr>
        <w:t> </w:t>
      </w:r>
      <w:r>
        <w:rPr>
          <w:rFonts w:ascii="Arial" w:hAnsi="Arial"/>
          <w:color w:val="231F20"/>
          <w:sz w:val="16"/>
        </w:rPr>
        <w:t>2004.</w:t>
      </w:r>
    </w:p>
    <w:p>
      <w:pPr>
        <w:spacing w:line="256" w:lineRule="auto" w:before="0"/>
        <w:ind w:left="480" w:right="1438" w:hanging="160"/>
        <w:jc w:val="both"/>
        <w:rPr>
          <w:rFonts w:ascii="Arial" w:hAnsi="Arial"/>
          <w:sz w:val="16"/>
        </w:rPr>
      </w:pPr>
      <w:r>
        <w:rPr>
          <w:rFonts w:ascii="Arial" w:hAnsi="Arial"/>
          <w:color w:val="231F20"/>
          <w:sz w:val="16"/>
        </w:rPr>
        <w:t>Weiner ID, Verlander JW: Role of NH</w:t>
      </w:r>
      <w:r>
        <w:rPr>
          <w:rFonts w:ascii="Arial" w:hAnsi="Arial"/>
          <w:color w:val="231F20"/>
          <w:position w:val="-1"/>
          <w:sz w:val="9"/>
        </w:rPr>
        <w:t>3 </w:t>
      </w:r>
      <w:r>
        <w:rPr>
          <w:rFonts w:ascii="Arial" w:hAnsi="Arial"/>
          <w:color w:val="231F20"/>
          <w:sz w:val="16"/>
        </w:rPr>
        <w:t>and NH4</w:t>
      </w:r>
      <w:r>
        <w:rPr>
          <w:rFonts w:ascii="Consolas" w:hAnsi="Consolas"/>
          <w:color w:val="231F20"/>
          <w:position w:val="6"/>
          <w:sz w:val="9"/>
        </w:rPr>
        <w:t>+ </w:t>
      </w:r>
      <w:r>
        <w:rPr>
          <w:rFonts w:ascii="Arial" w:hAnsi="Arial"/>
          <w:color w:val="231F20"/>
          <w:sz w:val="16"/>
        </w:rPr>
        <w:t>transporters in renal acid­base transport. Am J Physiol Renal Physiol 300:F11, 2011.</w:t>
      </w:r>
    </w:p>
    <w:p>
      <w:pPr>
        <w:spacing w:after="0" w:line="256" w:lineRule="auto"/>
        <w:jc w:val="both"/>
        <w:rPr>
          <w:rFonts w:ascii="Arial" w:hAnsi="Arial"/>
          <w:sz w:val="16"/>
        </w:rPr>
        <w:sectPr>
          <w:type w:val="continuous"/>
          <w:pgSz w:w="12240" w:h="15660"/>
          <w:pgMar w:top="0" w:bottom="760" w:left="0" w:right="0"/>
          <w:cols w:num="2" w:equalWidth="0">
            <w:col w:w="5760" w:space="40"/>
            <w:col w:w="6440"/>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even" r:id="rId1029"/>
          <w:pgSz w:w="12240" w:h="15660"/>
          <w:pgMar w:header="0" w:footer="567" w:top="0" w:bottom="760" w:left="0" w:right="0"/>
        </w:sectPr>
      </w:pPr>
    </w:p>
    <w:p>
      <w:pPr>
        <w:pStyle w:val="BodyText"/>
        <w:spacing w:before="6"/>
        <w:rPr>
          <w:rFonts w:ascii="Arial"/>
          <w:sz w:val="27"/>
        </w:rPr>
      </w:pPr>
      <w:r>
        <w:rPr/>
        <w:pict>
          <v:group style="position:absolute;margin-left:0pt;margin-top:0pt;width:612pt;height:180pt;mso-position-horizontal-relative:page;mso-position-vertical-relative:page;z-index:253248512" coordorigin="0,0" coordsize="12240,3600">
            <v:rect style="position:absolute;left:0;top:0;width:11520;height:3600" filled="true" fillcolor="#f2eae0" stroked="false">
              <v:fill type="solid"/>
            </v:rect>
            <v:rect style="position:absolute;left:11520;top:0;width:720;height:3600" filled="true" fillcolor="#d7802a"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1030" o:title=""/>
            </v:shape>
            <v:shape style="position:absolute;left:5368;top:2704;width:5813;height:848" type="#_x0000_t202" filled="false" stroked="false">
              <v:textbox inset="0,0,0,0">
                <w:txbxContent>
                  <w:p>
                    <w:pPr>
                      <w:spacing w:before="50"/>
                      <w:ind w:left="0" w:right="0" w:firstLine="0"/>
                      <w:jc w:val="left"/>
                      <w:rPr>
                        <w:b/>
                        <w:sz w:val="52"/>
                      </w:rPr>
                    </w:pPr>
                    <w:r>
                      <w:rPr>
                        <w:b/>
                        <w:color w:val="231F20"/>
                        <w:sz w:val="52"/>
                      </w:rPr>
                      <w:t>Diuretics,</w:t>
                    </w:r>
                    <w:r>
                      <w:rPr>
                        <w:b/>
                        <w:color w:val="231F20"/>
                        <w:spacing w:val="-60"/>
                        <w:sz w:val="52"/>
                      </w:rPr>
                      <w:t> </w:t>
                    </w:r>
                    <w:r>
                      <w:rPr>
                        <w:b/>
                        <w:color w:val="231F20"/>
                        <w:spacing w:val="2"/>
                        <w:sz w:val="52"/>
                      </w:rPr>
                      <w:t>Kidney</w:t>
                    </w:r>
                    <w:r>
                      <w:rPr>
                        <w:b/>
                        <w:color w:val="231F20"/>
                        <w:spacing w:val="-60"/>
                        <w:sz w:val="52"/>
                      </w:rPr>
                      <w:t> </w:t>
                    </w:r>
                    <w:r>
                      <w:rPr>
                        <w:b/>
                        <w:color w:val="231F20"/>
                        <w:spacing w:val="3"/>
                        <w:sz w:val="52"/>
                      </w:rPr>
                      <w:t>Diseases</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3</w:t>
                    </w:r>
                    <w:r>
                      <w:rPr>
                        <w:rFonts w:ascii="Trebuchet MS"/>
                        <w:b/>
                        <w:color w:val="231F20"/>
                        <w:spacing w:val="-44"/>
                        <w:w w:val="105"/>
                        <w:sz w:val="36"/>
                      </w:rPr>
                      <w:t> </w:t>
                    </w:r>
                    <w:r>
                      <w:rPr>
                        <w:rFonts w:ascii="Trebuchet MS"/>
                        <w:b/>
                        <w:color w:val="231F20"/>
                        <w:w w:val="105"/>
                        <w:sz w:val="36"/>
                      </w:rPr>
                      <w:t>2</w:t>
                    </w:r>
                  </w:p>
                </w:txbxContent>
              </v:textbox>
              <w10:wrap type="none"/>
            </v:shape>
            <w10:wrap type="none"/>
          </v:group>
        </w:pict>
      </w:r>
    </w:p>
    <w:p>
      <w:pPr>
        <w:pStyle w:val="BodyText"/>
        <w:ind w:left="1440" w:right="-58"/>
        <w:rPr>
          <w:rFonts w:ascii="Arial"/>
        </w:rPr>
      </w:pPr>
      <w:r>
        <w:rPr>
          <w:rFonts w:ascii="Arial"/>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596" w:firstLine="0"/>
                    <w:jc w:val="left"/>
                    <w:rPr>
                      <w:rFonts w:ascii="Trebuchet MS"/>
                      <w:b/>
                      <w:sz w:val="22"/>
                    </w:rPr>
                  </w:pPr>
                  <w:r>
                    <w:rPr>
                      <w:rFonts w:ascii="Trebuchet MS"/>
                      <w:b/>
                      <w:color w:val="231F20"/>
                      <w:w w:val="110"/>
                      <w:sz w:val="22"/>
                    </w:rPr>
                    <w:t>DIURETICS AND THEIR MECHANISMS OF ACTION</w:t>
                  </w:r>
                </w:p>
              </w:txbxContent>
            </v:textbox>
            <v:fill type="solid"/>
          </v:shape>
        </w:pict>
      </w:r>
      <w:r>
        <w:rPr>
          <w:rFonts w:ascii="Arial"/>
        </w:rPr>
      </w:r>
    </w:p>
    <w:p>
      <w:pPr>
        <w:pStyle w:val="BodyText"/>
        <w:spacing w:line="249" w:lineRule="auto" w:before="69"/>
        <w:ind w:left="1440"/>
        <w:jc w:val="both"/>
      </w:pPr>
      <w:r>
        <w:rPr/>
        <w:pict>
          <v:line style="position:absolute;mso-position-horizontal-relative:page;mso-position-vertical-relative:paragraph;z-index:253250560" from="72pt,-1.002682pt" to="306pt,-1.002682pt" stroked="true" strokeweight=".5pt" strokecolor="#231f20">
            <v:stroke dashstyle="solid"/>
            <w10:wrap type="none"/>
          </v:line>
        </w:pict>
      </w:r>
      <w:r>
        <w:rPr/>
        <w:pict>
          <v:shape style="position:absolute;margin-left:578.900024pt;margin-top:-124.906677pt;width:15.9pt;height:53.35pt;mso-position-horizontal-relative:page;mso-position-vertical-relative:paragraph;z-index:25325158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w w:val="105"/>
        </w:rPr>
        <w:t>Diuretics increase the rate of urine volume output, </w:t>
      </w:r>
      <w:r>
        <w:rPr>
          <w:color w:val="231F20"/>
          <w:spacing w:val="-6"/>
          <w:w w:val="105"/>
        </w:rPr>
        <w:t>as </w:t>
      </w:r>
      <w:r>
        <w:rPr>
          <w:color w:val="231F20"/>
          <w:w w:val="105"/>
        </w:rPr>
        <w:t>the name implies. Most diuretics also increase urinary excretion of solutes, especially sodium and chloride. </w:t>
      </w:r>
      <w:r>
        <w:rPr>
          <w:color w:val="231F20"/>
          <w:spacing w:val="-6"/>
          <w:w w:val="105"/>
        </w:rPr>
        <w:t>In </w:t>
      </w:r>
      <w:r>
        <w:rPr>
          <w:color w:val="231F20"/>
          <w:w w:val="105"/>
        </w:rPr>
        <w:t>fact,</w:t>
      </w:r>
      <w:r>
        <w:rPr>
          <w:color w:val="231F20"/>
          <w:spacing w:val="-22"/>
          <w:w w:val="105"/>
        </w:rPr>
        <w:t> </w:t>
      </w:r>
      <w:r>
        <w:rPr>
          <w:color w:val="231F20"/>
          <w:w w:val="105"/>
        </w:rPr>
        <w:t>most</w:t>
      </w:r>
      <w:r>
        <w:rPr>
          <w:color w:val="231F20"/>
          <w:spacing w:val="-22"/>
          <w:w w:val="105"/>
        </w:rPr>
        <w:t> </w:t>
      </w:r>
      <w:r>
        <w:rPr>
          <w:color w:val="231F20"/>
          <w:w w:val="105"/>
        </w:rPr>
        <w:t>diuretics</w:t>
      </w:r>
      <w:r>
        <w:rPr>
          <w:color w:val="231F20"/>
          <w:spacing w:val="-22"/>
          <w:w w:val="105"/>
        </w:rPr>
        <w:t> </w:t>
      </w:r>
      <w:r>
        <w:rPr>
          <w:color w:val="231F20"/>
          <w:w w:val="105"/>
        </w:rPr>
        <w:t>that</w:t>
      </w:r>
      <w:r>
        <w:rPr>
          <w:color w:val="231F20"/>
          <w:spacing w:val="-22"/>
          <w:w w:val="105"/>
        </w:rPr>
        <w:t> </w:t>
      </w:r>
      <w:r>
        <w:rPr>
          <w:color w:val="231F20"/>
          <w:w w:val="105"/>
        </w:rPr>
        <w:t>are</w:t>
      </w:r>
      <w:r>
        <w:rPr>
          <w:color w:val="231F20"/>
          <w:spacing w:val="-22"/>
          <w:w w:val="105"/>
        </w:rPr>
        <w:t> </w:t>
      </w:r>
      <w:r>
        <w:rPr>
          <w:color w:val="231F20"/>
          <w:w w:val="105"/>
        </w:rPr>
        <w:t>used</w:t>
      </w:r>
      <w:r>
        <w:rPr>
          <w:color w:val="231F20"/>
          <w:spacing w:val="-22"/>
          <w:w w:val="105"/>
        </w:rPr>
        <w:t> </w:t>
      </w:r>
      <w:r>
        <w:rPr>
          <w:color w:val="231F20"/>
          <w:w w:val="105"/>
        </w:rPr>
        <w:t>clinically</w:t>
      </w:r>
      <w:r>
        <w:rPr>
          <w:color w:val="231F20"/>
          <w:spacing w:val="-21"/>
          <w:w w:val="105"/>
        </w:rPr>
        <w:t> </w:t>
      </w:r>
      <w:r>
        <w:rPr>
          <w:color w:val="231F20"/>
          <w:w w:val="105"/>
        </w:rPr>
        <w:t>act</w:t>
      </w:r>
      <w:r>
        <w:rPr>
          <w:color w:val="231F20"/>
          <w:spacing w:val="-22"/>
          <w:w w:val="105"/>
        </w:rPr>
        <w:t> </w:t>
      </w:r>
      <w:r>
        <w:rPr>
          <w:color w:val="231F20"/>
          <w:w w:val="105"/>
        </w:rPr>
        <w:t>by</w:t>
      </w:r>
      <w:r>
        <w:rPr>
          <w:color w:val="231F20"/>
          <w:spacing w:val="-22"/>
          <w:w w:val="105"/>
        </w:rPr>
        <w:t> </w:t>
      </w:r>
      <w:r>
        <w:rPr>
          <w:color w:val="231F20"/>
          <w:w w:val="105"/>
        </w:rPr>
        <w:t>decreas­ ing renal tubular sodium reabsorption, which </w:t>
      </w:r>
      <w:r>
        <w:rPr>
          <w:color w:val="231F20"/>
          <w:spacing w:val="-3"/>
          <w:w w:val="105"/>
        </w:rPr>
        <w:t>causes </w:t>
      </w:r>
      <w:r>
        <w:rPr>
          <w:color w:val="231F20"/>
          <w:w w:val="105"/>
        </w:rPr>
        <w:t>natriuresis (increased sodium output), in turn causing diuresis</w:t>
      </w:r>
      <w:r>
        <w:rPr>
          <w:color w:val="231F20"/>
          <w:spacing w:val="-6"/>
          <w:w w:val="105"/>
        </w:rPr>
        <w:t> </w:t>
      </w:r>
      <w:r>
        <w:rPr>
          <w:color w:val="231F20"/>
          <w:w w:val="105"/>
        </w:rPr>
        <w:t>(increased</w:t>
      </w:r>
      <w:r>
        <w:rPr>
          <w:color w:val="231F20"/>
          <w:spacing w:val="-5"/>
          <w:w w:val="105"/>
        </w:rPr>
        <w:t> </w:t>
      </w:r>
      <w:r>
        <w:rPr>
          <w:color w:val="231F20"/>
          <w:w w:val="105"/>
        </w:rPr>
        <w:t>water</w:t>
      </w:r>
      <w:r>
        <w:rPr>
          <w:color w:val="231F20"/>
          <w:spacing w:val="-5"/>
          <w:w w:val="105"/>
        </w:rPr>
        <w:t> </w:t>
      </w:r>
      <w:r>
        <w:rPr>
          <w:color w:val="231F20"/>
          <w:w w:val="105"/>
        </w:rPr>
        <w:t>output).</w:t>
      </w:r>
      <w:r>
        <w:rPr>
          <w:color w:val="231F20"/>
          <w:spacing w:val="-5"/>
          <w:w w:val="105"/>
        </w:rPr>
        <w:t> </w:t>
      </w:r>
      <w:r>
        <w:rPr>
          <w:color w:val="231F20"/>
          <w:w w:val="105"/>
        </w:rPr>
        <w:t>That</w:t>
      </w:r>
      <w:r>
        <w:rPr>
          <w:color w:val="231F20"/>
          <w:spacing w:val="-5"/>
          <w:w w:val="105"/>
        </w:rPr>
        <w:t> </w:t>
      </w:r>
      <w:r>
        <w:rPr>
          <w:color w:val="231F20"/>
          <w:w w:val="105"/>
        </w:rPr>
        <w:t>is,</w:t>
      </w:r>
      <w:r>
        <w:rPr>
          <w:color w:val="231F20"/>
          <w:spacing w:val="-5"/>
          <w:w w:val="105"/>
        </w:rPr>
        <w:t> </w:t>
      </w:r>
      <w:r>
        <w:rPr>
          <w:color w:val="231F20"/>
          <w:w w:val="105"/>
        </w:rPr>
        <w:t>in</w:t>
      </w:r>
      <w:r>
        <w:rPr>
          <w:color w:val="231F20"/>
          <w:spacing w:val="-6"/>
          <w:w w:val="105"/>
        </w:rPr>
        <w:t> </w:t>
      </w:r>
      <w:r>
        <w:rPr>
          <w:color w:val="231F20"/>
          <w:w w:val="105"/>
        </w:rPr>
        <w:t>most</w:t>
      </w:r>
      <w:r>
        <w:rPr>
          <w:color w:val="231F20"/>
          <w:spacing w:val="-5"/>
          <w:w w:val="105"/>
        </w:rPr>
        <w:t> </w:t>
      </w:r>
      <w:r>
        <w:rPr>
          <w:color w:val="231F20"/>
          <w:w w:val="105"/>
        </w:rPr>
        <w:t>cases, increased</w:t>
      </w:r>
      <w:r>
        <w:rPr>
          <w:color w:val="231F20"/>
          <w:spacing w:val="-11"/>
          <w:w w:val="105"/>
        </w:rPr>
        <w:t> </w:t>
      </w:r>
      <w:r>
        <w:rPr>
          <w:color w:val="231F20"/>
          <w:w w:val="105"/>
        </w:rPr>
        <w:t>water</w:t>
      </w:r>
      <w:r>
        <w:rPr>
          <w:color w:val="231F20"/>
          <w:spacing w:val="-10"/>
          <w:w w:val="105"/>
        </w:rPr>
        <w:t> </w:t>
      </w:r>
      <w:r>
        <w:rPr>
          <w:color w:val="231F20"/>
          <w:w w:val="105"/>
        </w:rPr>
        <w:t>excretion</w:t>
      </w:r>
      <w:r>
        <w:rPr>
          <w:color w:val="231F20"/>
          <w:spacing w:val="-11"/>
          <w:w w:val="105"/>
        </w:rPr>
        <w:t> </w:t>
      </w:r>
      <w:r>
        <w:rPr>
          <w:color w:val="231F20"/>
          <w:w w:val="105"/>
        </w:rPr>
        <w:t>occurs</w:t>
      </w:r>
      <w:r>
        <w:rPr>
          <w:color w:val="231F20"/>
          <w:spacing w:val="-10"/>
          <w:w w:val="105"/>
        </w:rPr>
        <w:t> </w:t>
      </w:r>
      <w:r>
        <w:rPr>
          <w:color w:val="231F20"/>
          <w:w w:val="105"/>
        </w:rPr>
        <w:t>secondary</w:t>
      </w:r>
      <w:r>
        <w:rPr>
          <w:color w:val="231F20"/>
          <w:spacing w:val="-11"/>
          <w:w w:val="105"/>
        </w:rPr>
        <w:t> </w:t>
      </w:r>
      <w:r>
        <w:rPr>
          <w:color w:val="231F20"/>
          <w:w w:val="105"/>
        </w:rPr>
        <w:t>to</w:t>
      </w:r>
      <w:r>
        <w:rPr>
          <w:color w:val="231F20"/>
          <w:spacing w:val="-10"/>
          <w:w w:val="105"/>
        </w:rPr>
        <w:t> </w:t>
      </w:r>
      <w:r>
        <w:rPr>
          <w:color w:val="231F20"/>
          <w:w w:val="105"/>
        </w:rPr>
        <w:t>inhibition of tubular sodium reabsorption because sodium</w:t>
      </w:r>
      <w:r>
        <w:rPr>
          <w:color w:val="231F20"/>
          <w:spacing w:val="-18"/>
          <w:w w:val="105"/>
        </w:rPr>
        <w:t> </w:t>
      </w:r>
      <w:r>
        <w:rPr>
          <w:color w:val="231F20"/>
          <w:w w:val="105"/>
        </w:rPr>
        <w:t>remain­ ing in the tubules acts osmotically to decrease water reabsorption.</w:t>
      </w:r>
      <w:r>
        <w:rPr>
          <w:color w:val="231F20"/>
          <w:spacing w:val="-23"/>
          <w:w w:val="105"/>
        </w:rPr>
        <w:t> </w:t>
      </w:r>
      <w:r>
        <w:rPr>
          <w:color w:val="231F20"/>
          <w:w w:val="105"/>
        </w:rPr>
        <w:t>Because</w:t>
      </w:r>
      <w:r>
        <w:rPr>
          <w:color w:val="231F20"/>
          <w:spacing w:val="-23"/>
          <w:w w:val="105"/>
        </w:rPr>
        <w:t> </w:t>
      </w:r>
      <w:r>
        <w:rPr>
          <w:color w:val="231F20"/>
          <w:w w:val="105"/>
        </w:rPr>
        <w:t>renal</w:t>
      </w:r>
      <w:r>
        <w:rPr>
          <w:color w:val="231F20"/>
          <w:spacing w:val="-23"/>
          <w:w w:val="105"/>
        </w:rPr>
        <w:t> </w:t>
      </w:r>
      <w:r>
        <w:rPr>
          <w:color w:val="231F20"/>
          <w:w w:val="105"/>
        </w:rPr>
        <w:t>tubular</w:t>
      </w:r>
      <w:r>
        <w:rPr>
          <w:color w:val="231F20"/>
          <w:spacing w:val="-22"/>
          <w:w w:val="105"/>
        </w:rPr>
        <w:t> </w:t>
      </w:r>
      <w:r>
        <w:rPr>
          <w:color w:val="231F20"/>
          <w:w w:val="105"/>
        </w:rPr>
        <w:t>reabsorption</w:t>
      </w:r>
      <w:r>
        <w:rPr>
          <w:color w:val="231F20"/>
          <w:spacing w:val="-23"/>
          <w:w w:val="105"/>
        </w:rPr>
        <w:t> </w:t>
      </w:r>
      <w:r>
        <w:rPr>
          <w:color w:val="231F20"/>
          <w:w w:val="105"/>
        </w:rPr>
        <w:t>of</w:t>
      </w:r>
      <w:r>
        <w:rPr>
          <w:color w:val="231F20"/>
          <w:spacing w:val="-23"/>
          <w:w w:val="105"/>
        </w:rPr>
        <w:t> </w:t>
      </w:r>
      <w:r>
        <w:rPr>
          <w:color w:val="231F20"/>
          <w:spacing w:val="-5"/>
          <w:w w:val="105"/>
        </w:rPr>
        <w:t>many </w:t>
      </w:r>
      <w:r>
        <w:rPr>
          <w:color w:val="231F20"/>
          <w:w w:val="105"/>
        </w:rPr>
        <w:t>solutes, such as potassium, chloride, magnesium, </w:t>
      </w:r>
      <w:r>
        <w:rPr>
          <w:color w:val="231F20"/>
          <w:spacing w:val="-5"/>
          <w:w w:val="105"/>
        </w:rPr>
        <w:t>and </w:t>
      </w:r>
      <w:r>
        <w:rPr>
          <w:color w:val="231F20"/>
          <w:w w:val="105"/>
        </w:rPr>
        <w:t>calcium, is also influenced secondarily by sodium reab­ sorption, many diuretics raise the renal output of </w:t>
      </w:r>
      <w:r>
        <w:rPr>
          <w:color w:val="231F20"/>
          <w:spacing w:val="-3"/>
          <w:w w:val="105"/>
        </w:rPr>
        <w:t>these </w:t>
      </w:r>
      <w:r>
        <w:rPr>
          <w:color w:val="231F20"/>
          <w:w w:val="105"/>
        </w:rPr>
        <w:t>solutes as</w:t>
      </w:r>
      <w:r>
        <w:rPr>
          <w:color w:val="231F20"/>
          <w:spacing w:val="4"/>
          <w:w w:val="105"/>
        </w:rPr>
        <w:t> </w:t>
      </w:r>
      <w:r>
        <w:rPr>
          <w:color w:val="231F20"/>
          <w:w w:val="105"/>
        </w:rPr>
        <w:t>well.</w:t>
      </w:r>
    </w:p>
    <w:p>
      <w:pPr>
        <w:pStyle w:val="BodyText"/>
        <w:spacing w:line="249" w:lineRule="auto" w:before="12"/>
        <w:ind w:left="1440" w:firstLine="240"/>
        <w:jc w:val="both"/>
      </w:pPr>
      <w:r>
        <w:rPr>
          <w:color w:val="231F20"/>
        </w:rPr>
        <w:t>The most common clinical use of diuretics is to </w:t>
      </w:r>
      <w:r>
        <w:rPr>
          <w:color w:val="231F20"/>
          <w:spacing w:val="-3"/>
        </w:rPr>
        <w:t>reduce </w:t>
      </w:r>
      <w:r>
        <w:rPr>
          <w:color w:val="231F20"/>
        </w:rPr>
        <w:t>extracellular fluid volume, especially in diseases </w:t>
      </w:r>
      <w:r>
        <w:rPr>
          <w:color w:val="231F20"/>
          <w:spacing w:val="-3"/>
        </w:rPr>
        <w:t>asso­ </w:t>
      </w:r>
      <w:r>
        <w:rPr>
          <w:color w:val="231F20"/>
        </w:rPr>
        <w:t>ciated with edema and hypertension. As discussed in Chapter</w:t>
      </w:r>
      <w:r>
        <w:rPr>
          <w:color w:val="231F20"/>
          <w:spacing w:val="-12"/>
        </w:rPr>
        <w:t> </w:t>
      </w:r>
      <w:r>
        <w:rPr>
          <w:color w:val="231F20"/>
        </w:rPr>
        <w:t>25,</w:t>
      </w:r>
      <w:r>
        <w:rPr>
          <w:color w:val="231F20"/>
          <w:spacing w:val="-11"/>
        </w:rPr>
        <w:t> </w:t>
      </w:r>
      <w:r>
        <w:rPr>
          <w:color w:val="231F20"/>
        </w:rPr>
        <w:t>loss</w:t>
      </w:r>
      <w:r>
        <w:rPr>
          <w:color w:val="231F20"/>
          <w:spacing w:val="-11"/>
        </w:rPr>
        <w:t> </w:t>
      </w:r>
      <w:r>
        <w:rPr>
          <w:color w:val="231F20"/>
        </w:rPr>
        <w:t>of</w:t>
      </w:r>
      <w:r>
        <w:rPr>
          <w:color w:val="231F20"/>
          <w:spacing w:val="-11"/>
        </w:rPr>
        <w:t> </w:t>
      </w:r>
      <w:r>
        <w:rPr>
          <w:color w:val="231F20"/>
        </w:rPr>
        <w:t>sodium</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body</w:t>
      </w:r>
      <w:r>
        <w:rPr>
          <w:color w:val="231F20"/>
          <w:spacing w:val="-11"/>
        </w:rPr>
        <w:t> </w:t>
      </w:r>
      <w:r>
        <w:rPr>
          <w:color w:val="231F20"/>
        </w:rPr>
        <w:t>mainly</w:t>
      </w:r>
      <w:r>
        <w:rPr>
          <w:color w:val="231F20"/>
          <w:spacing w:val="-12"/>
        </w:rPr>
        <w:t> </w:t>
      </w:r>
      <w:r>
        <w:rPr>
          <w:color w:val="231F20"/>
        </w:rPr>
        <w:t>decreases extracellular fluid volume; therefore, diuretics are most often administered in clinical conditions in which extra­ cellular fluid volume is</w:t>
      </w:r>
      <w:r>
        <w:rPr>
          <w:color w:val="231F20"/>
          <w:spacing w:val="25"/>
        </w:rPr>
        <w:t> </w:t>
      </w:r>
      <w:r>
        <w:rPr>
          <w:color w:val="231F20"/>
        </w:rPr>
        <w:t>expanded.</w:t>
      </w:r>
    </w:p>
    <w:p>
      <w:pPr>
        <w:pStyle w:val="BodyText"/>
        <w:spacing w:line="249" w:lineRule="auto" w:before="6"/>
        <w:ind w:left="1440" w:firstLine="240"/>
        <w:jc w:val="both"/>
      </w:pPr>
      <w:r>
        <w:rPr>
          <w:color w:val="231F20"/>
          <w:w w:val="105"/>
        </w:rPr>
        <w:t>Some diuretics can increase urine output more </w:t>
      </w:r>
      <w:r>
        <w:rPr>
          <w:color w:val="231F20"/>
          <w:spacing w:val="-5"/>
          <w:w w:val="105"/>
        </w:rPr>
        <w:t>than </w:t>
      </w:r>
      <w:r>
        <w:rPr>
          <w:color w:val="231F20"/>
          <w:w w:val="105"/>
        </w:rPr>
        <w:t>20­fold</w:t>
      </w:r>
      <w:r>
        <w:rPr>
          <w:color w:val="231F20"/>
          <w:spacing w:val="-16"/>
          <w:w w:val="105"/>
        </w:rPr>
        <w:t> </w:t>
      </w:r>
      <w:r>
        <w:rPr>
          <w:color w:val="231F20"/>
          <w:w w:val="105"/>
        </w:rPr>
        <w:t>within</w:t>
      </w:r>
      <w:r>
        <w:rPr>
          <w:color w:val="231F20"/>
          <w:spacing w:val="-15"/>
          <w:w w:val="105"/>
        </w:rPr>
        <w:t> </w:t>
      </w:r>
      <w:r>
        <w:rPr>
          <w:color w:val="231F20"/>
          <w:w w:val="105"/>
        </w:rPr>
        <w:t>a</w:t>
      </w:r>
      <w:r>
        <w:rPr>
          <w:color w:val="231F20"/>
          <w:spacing w:val="-15"/>
          <w:w w:val="105"/>
        </w:rPr>
        <w:t> </w:t>
      </w:r>
      <w:r>
        <w:rPr>
          <w:color w:val="231F20"/>
          <w:w w:val="105"/>
        </w:rPr>
        <w:t>few</w:t>
      </w:r>
      <w:r>
        <w:rPr>
          <w:color w:val="231F20"/>
          <w:spacing w:val="-15"/>
          <w:w w:val="105"/>
        </w:rPr>
        <w:t> </w:t>
      </w:r>
      <w:r>
        <w:rPr>
          <w:color w:val="231F20"/>
          <w:w w:val="105"/>
        </w:rPr>
        <w:t>minutes</w:t>
      </w:r>
      <w:r>
        <w:rPr>
          <w:color w:val="231F20"/>
          <w:spacing w:val="-15"/>
          <w:w w:val="105"/>
        </w:rPr>
        <w:t> </w:t>
      </w:r>
      <w:r>
        <w:rPr>
          <w:color w:val="231F20"/>
          <w:w w:val="105"/>
        </w:rPr>
        <w:t>after</w:t>
      </w:r>
      <w:r>
        <w:rPr>
          <w:color w:val="231F20"/>
          <w:spacing w:val="-15"/>
          <w:w w:val="105"/>
        </w:rPr>
        <w:t> </w:t>
      </w:r>
      <w:r>
        <w:rPr>
          <w:color w:val="231F20"/>
          <w:w w:val="105"/>
        </w:rPr>
        <w:t>they</w:t>
      </w:r>
      <w:r>
        <w:rPr>
          <w:color w:val="231F20"/>
          <w:spacing w:val="-16"/>
          <w:w w:val="105"/>
        </w:rPr>
        <w:t> </w:t>
      </w:r>
      <w:r>
        <w:rPr>
          <w:color w:val="231F20"/>
          <w:w w:val="105"/>
        </w:rPr>
        <w:t>are</w:t>
      </w:r>
      <w:r>
        <w:rPr>
          <w:color w:val="231F20"/>
          <w:spacing w:val="-15"/>
          <w:w w:val="105"/>
        </w:rPr>
        <w:t> </w:t>
      </w:r>
      <w:r>
        <w:rPr>
          <w:color w:val="231F20"/>
          <w:w w:val="105"/>
        </w:rPr>
        <w:t>administered. However, the effect of most diuretics on renal output </w:t>
      </w:r>
      <w:r>
        <w:rPr>
          <w:color w:val="231F20"/>
          <w:spacing w:val="-6"/>
          <w:w w:val="105"/>
        </w:rPr>
        <w:t>of </w:t>
      </w:r>
      <w:r>
        <w:rPr>
          <w:color w:val="231F20"/>
          <w:w w:val="105"/>
        </w:rPr>
        <w:t>salt</w:t>
      </w:r>
      <w:r>
        <w:rPr>
          <w:color w:val="231F20"/>
          <w:spacing w:val="-9"/>
          <w:w w:val="105"/>
        </w:rPr>
        <w:t> </w:t>
      </w:r>
      <w:r>
        <w:rPr>
          <w:color w:val="231F20"/>
          <w:w w:val="105"/>
        </w:rPr>
        <w:t>and</w:t>
      </w:r>
      <w:r>
        <w:rPr>
          <w:color w:val="231F20"/>
          <w:spacing w:val="-8"/>
          <w:w w:val="105"/>
        </w:rPr>
        <w:t> </w:t>
      </w:r>
      <w:r>
        <w:rPr>
          <w:color w:val="231F20"/>
          <w:w w:val="105"/>
        </w:rPr>
        <w:t>water</w:t>
      </w:r>
      <w:r>
        <w:rPr>
          <w:color w:val="231F20"/>
          <w:spacing w:val="-8"/>
          <w:w w:val="105"/>
        </w:rPr>
        <w:t> </w:t>
      </w:r>
      <w:r>
        <w:rPr>
          <w:color w:val="231F20"/>
          <w:w w:val="105"/>
        </w:rPr>
        <w:t>subsides</w:t>
      </w:r>
      <w:r>
        <w:rPr>
          <w:color w:val="231F20"/>
          <w:spacing w:val="-8"/>
          <w:w w:val="105"/>
        </w:rPr>
        <w:t> </w:t>
      </w:r>
      <w:r>
        <w:rPr>
          <w:color w:val="231F20"/>
          <w:w w:val="105"/>
        </w:rPr>
        <w:t>within</w:t>
      </w:r>
      <w:r>
        <w:rPr>
          <w:color w:val="231F20"/>
          <w:spacing w:val="-8"/>
          <w:w w:val="105"/>
        </w:rPr>
        <w:t> </w:t>
      </w:r>
      <w:r>
        <w:rPr>
          <w:color w:val="231F20"/>
          <w:w w:val="105"/>
        </w:rPr>
        <w:t>a</w:t>
      </w:r>
      <w:r>
        <w:rPr>
          <w:color w:val="231F20"/>
          <w:spacing w:val="-8"/>
          <w:w w:val="105"/>
        </w:rPr>
        <w:t> </w:t>
      </w:r>
      <w:r>
        <w:rPr>
          <w:color w:val="231F20"/>
          <w:w w:val="105"/>
        </w:rPr>
        <w:t>few</w:t>
      </w:r>
      <w:r>
        <w:rPr>
          <w:color w:val="231F20"/>
          <w:spacing w:val="-8"/>
          <w:w w:val="105"/>
        </w:rPr>
        <w:t> </w:t>
      </w:r>
      <w:r>
        <w:rPr>
          <w:color w:val="231F20"/>
          <w:w w:val="105"/>
        </w:rPr>
        <w:t>days</w:t>
      </w:r>
      <w:r>
        <w:rPr>
          <w:color w:val="231F20"/>
          <w:spacing w:val="-8"/>
          <w:w w:val="105"/>
        </w:rPr>
        <w:t> </w:t>
      </w:r>
      <w:r>
        <w:rPr>
          <w:color w:val="231F20"/>
          <w:w w:val="105"/>
        </w:rPr>
        <w:t>(</w:t>
      </w:r>
      <w:hyperlink w:history="true" w:anchor="_bookmark116">
        <w:r>
          <w:rPr>
            <w:b/>
            <w:color w:val="0080AC"/>
            <w:w w:val="105"/>
          </w:rPr>
          <w:t>Figure</w:t>
        </w:r>
        <w:r>
          <w:rPr>
            <w:b/>
            <w:color w:val="0080AC"/>
            <w:spacing w:val="-10"/>
            <w:w w:val="105"/>
          </w:rPr>
          <w:t> </w:t>
        </w:r>
        <w:r>
          <w:rPr>
            <w:b/>
            <w:color w:val="0080AC"/>
            <w:w w:val="105"/>
          </w:rPr>
          <w:t>32-1</w:t>
        </w:r>
      </w:hyperlink>
      <w:r>
        <w:rPr>
          <w:color w:val="231F20"/>
          <w:w w:val="105"/>
        </w:rPr>
        <w:t>). This is due to activation of compensatory </w:t>
      </w:r>
      <w:r>
        <w:rPr>
          <w:color w:val="231F20"/>
          <w:spacing w:val="-2"/>
          <w:w w:val="105"/>
        </w:rPr>
        <w:t>mechanisms </w:t>
      </w:r>
      <w:r>
        <w:rPr>
          <w:color w:val="231F20"/>
          <w:w w:val="105"/>
        </w:rPr>
        <w:t>initiated by decreased extracellular fluid volume. </w:t>
      </w:r>
      <w:r>
        <w:rPr>
          <w:color w:val="231F20"/>
          <w:spacing w:val="-7"/>
          <w:w w:val="105"/>
        </w:rPr>
        <w:t>For </w:t>
      </w:r>
      <w:r>
        <w:rPr>
          <w:color w:val="231F20"/>
          <w:w w:val="105"/>
        </w:rPr>
        <w:t>example, a decrease in extracellular fluid volume </w:t>
      </w:r>
      <w:r>
        <w:rPr>
          <w:color w:val="231F20"/>
          <w:spacing w:val="-6"/>
          <w:w w:val="105"/>
        </w:rPr>
        <w:t>may </w:t>
      </w:r>
      <w:r>
        <w:rPr>
          <w:color w:val="231F20"/>
          <w:w w:val="105"/>
        </w:rPr>
        <w:t>reduce</w:t>
      </w:r>
      <w:r>
        <w:rPr>
          <w:color w:val="231F20"/>
          <w:spacing w:val="-12"/>
          <w:w w:val="105"/>
        </w:rPr>
        <w:t> </w:t>
      </w:r>
      <w:r>
        <w:rPr>
          <w:color w:val="231F20"/>
          <w:w w:val="105"/>
        </w:rPr>
        <w:t>arterial</w:t>
      </w:r>
      <w:r>
        <w:rPr>
          <w:color w:val="231F20"/>
          <w:spacing w:val="-12"/>
          <w:w w:val="105"/>
        </w:rPr>
        <w:t> </w:t>
      </w:r>
      <w:r>
        <w:rPr>
          <w:color w:val="231F20"/>
          <w:w w:val="105"/>
        </w:rPr>
        <w:t>pressure</w:t>
      </w:r>
      <w:r>
        <w:rPr>
          <w:color w:val="231F20"/>
          <w:spacing w:val="-11"/>
          <w:w w:val="105"/>
        </w:rPr>
        <w:t> </w:t>
      </w:r>
      <w:r>
        <w:rPr>
          <w:color w:val="231F20"/>
          <w:w w:val="105"/>
        </w:rPr>
        <w:t>and</w:t>
      </w:r>
      <w:r>
        <w:rPr>
          <w:color w:val="231F20"/>
          <w:spacing w:val="-12"/>
          <w:w w:val="105"/>
        </w:rPr>
        <w:t> </w:t>
      </w:r>
      <w:r>
        <w:rPr>
          <w:color w:val="231F20"/>
          <w:w w:val="105"/>
        </w:rPr>
        <w:t>the</w:t>
      </w:r>
      <w:r>
        <w:rPr>
          <w:color w:val="231F20"/>
          <w:spacing w:val="-11"/>
          <w:w w:val="105"/>
        </w:rPr>
        <w:t> </w:t>
      </w:r>
      <w:r>
        <w:rPr>
          <w:color w:val="231F20"/>
          <w:w w:val="105"/>
        </w:rPr>
        <w:t>glomerular</w:t>
      </w:r>
      <w:r>
        <w:rPr>
          <w:color w:val="231F20"/>
          <w:spacing w:val="-12"/>
          <w:w w:val="105"/>
        </w:rPr>
        <w:t> </w:t>
      </w:r>
      <w:r>
        <w:rPr>
          <w:color w:val="231F20"/>
          <w:w w:val="105"/>
        </w:rPr>
        <w:t>filtration</w:t>
      </w:r>
      <w:r>
        <w:rPr>
          <w:color w:val="231F20"/>
          <w:spacing w:val="-11"/>
          <w:w w:val="105"/>
        </w:rPr>
        <w:t> </w:t>
      </w:r>
      <w:r>
        <w:rPr>
          <w:color w:val="231F20"/>
          <w:w w:val="105"/>
        </w:rPr>
        <w:t>rate (GFR) and increase renin secretion and angiotensin </w:t>
      </w:r>
      <w:r>
        <w:rPr>
          <w:color w:val="231F20"/>
          <w:spacing w:val="-8"/>
          <w:w w:val="105"/>
        </w:rPr>
        <w:t>II </w:t>
      </w:r>
      <w:r>
        <w:rPr>
          <w:color w:val="231F20"/>
          <w:w w:val="105"/>
        </w:rPr>
        <w:t>formation; all these responses together eventually </w:t>
      </w:r>
      <w:r>
        <w:rPr>
          <w:color w:val="231F20"/>
          <w:spacing w:val="-5"/>
          <w:w w:val="105"/>
        </w:rPr>
        <w:t>over­ </w:t>
      </w:r>
      <w:r>
        <w:rPr>
          <w:color w:val="231F20"/>
          <w:w w:val="105"/>
        </w:rPr>
        <w:t>ride the chronic effects of the diuretic on urine output. Thus, in the steady state, urine output becomes equal to intake, but only after reductions in arterial pressure and extracellular fluid volume have occurred, relieving </w:t>
      </w:r>
      <w:r>
        <w:rPr>
          <w:color w:val="231F20"/>
          <w:spacing w:val="-6"/>
          <w:w w:val="105"/>
        </w:rPr>
        <w:t>the </w:t>
      </w:r>
      <w:r>
        <w:rPr>
          <w:color w:val="231F20"/>
          <w:w w:val="105"/>
        </w:rPr>
        <w:t>hypertension</w:t>
      </w:r>
      <w:r>
        <w:rPr>
          <w:color w:val="231F20"/>
          <w:spacing w:val="-15"/>
          <w:w w:val="105"/>
        </w:rPr>
        <w:t> </w:t>
      </w:r>
      <w:r>
        <w:rPr>
          <w:color w:val="231F20"/>
          <w:w w:val="105"/>
        </w:rPr>
        <w:t>or</w:t>
      </w:r>
      <w:r>
        <w:rPr>
          <w:color w:val="231F20"/>
          <w:spacing w:val="-14"/>
          <w:w w:val="105"/>
        </w:rPr>
        <w:t> </w:t>
      </w:r>
      <w:r>
        <w:rPr>
          <w:color w:val="231F20"/>
          <w:w w:val="105"/>
        </w:rPr>
        <w:t>edema</w:t>
      </w:r>
      <w:r>
        <w:rPr>
          <w:color w:val="231F20"/>
          <w:spacing w:val="-14"/>
          <w:w w:val="105"/>
        </w:rPr>
        <w:t> </w:t>
      </w:r>
      <w:r>
        <w:rPr>
          <w:color w:val="231F20"/>
          <w:w w:val="105"/>
        </w:rPr>
        <w:t>that</w:t>
      </w:r>
      <w:r>
        <w:rPr>
          <w:color w:val="231F20"/>
          <w:spacing w:val="-14"/>
          <w:w w:val="105"/>
        </w:rPr>
        <w:t> </w:t>
      </w:r>
      <w:r>
        <w:rPr>
          <w:color w:val="231F20"/>
          <w:w w:val="105"/>
        </w:rPr>
        <w:t>prompted</w:t>
      </w:r>
      <w:r>
        <w:rPr>
          <w:color w:val="231F20"/>
          <w:spacing w:val="-14"/>
          <w:w w:val="105"/>
        </w:rPr>
        <w:t> </w:t>
      </w:r>
      <w:r>
        <w:rPr>
          <w:color w:val="231F20"/>
          <w:w w:val="105"/>
        </w:rPr>
        <w:t>the</w:t>
      </w:r>
      <w:r>
        <w:rPr>
          <w:color w:val="231F20"/>
          <w:spacing w:val="-15"/>
          <w:w w:val="105"/>
        </w:rPr>
        <w:t> </w:t>
      </w:r>
      <w:r>
        <w:rPr>
          <w:color w:val="231F20"/>
          <w:w w:val="105"/>
        </w:rPr>
        <w:t>use</w:t>
      </w:r>
      <w:r>
        <w:rPr>
          <w:color w:val="231F20"/>
          <w:spacing w:val="-14"/>
          <w:w w:val="105"/>
        </w:rPr>
        <w:t> </w:t>
      </w:r>
      <w:r>
        <w:rPr>
          <w:color w:val="231F20"/>
          <w:w w:val="105"/>
        </w:rPr>
        <w:t>of</w:t>
      </w:r>
      <w:r>
        <w:rPr>
          <w:color w:val="231F20"/>
          <w:spacing w:val="-14"/>
          <w:w w:val="105"/>
        </w:rPr>
        <w:t> </w:t>
      </w:r>
      <w:r>
        <w:rPr>
          <w:color w:val="231F20"/>
          <w:w w:val="105"/>
        </w:rPr>
        <w:t>diuretics in the first</w:t>
      </w:r>
      <w:r>
        <w:rPr>
          <w:color w:val="231F20"/>
          <w:spacing w:val="8"/>
          <w:w w:val="105"/>
        </w:rPr>
        <w:t> </w:t>
      </w:r>
      <w:r>
        <w:rPr>
          <w:color w:val="231F20"/>
          <w:w w:val="105"/>
        </w:rPr>
        <w:t>place.</w:t>
      </w:r>
    </w:p>
    <w:p>
      <w:pPr>
        <w:pStyle w:val="BodyText"/>
        <w:spacing w:line="249" w:lineRule="auto" w:before="13"/>
        <w:ind w:left="1440" w:firstLine="240"/>
        <w:jc w:val="both"/>
      </w:pPr>
      <w:r>
        <w:rPr>
          <w:color w:val="231F20"/>
          <w:w w:val="105"/>
        </w:rPr>
        <w:t>The</w:t>
      </w:r>
      <w:r>
        <w:rPr>
          <w:color w:val="231F20"/>
          <w:spacing w:val="-12"/>
          <w:w w:val="105"/>
        </w:rPr>
        <w:t> </w:t>
      </w:r>
      <w:r>
        <w:rPr>
          <w:color w:val="231F20"/>
          <w:w w:val="105"/>
        </w:rPr>
        <w:t>many</w:t>
      </w:r>
      <w:r>
        <w:rPr>
          <w:color w:val="231F20"/>
          <w:spacing w:val="-12"/>
          <w:w w:val="105"/>
        </w:rPr>
        <w:t> </w:t>
      </w:r>
      <w:r>
        <w:rPr>
          <w:color w:val="231F20"/>
          <w:w w:val="105"/>
        </w:rPr>
        <w:t>diuretics</w:t>
      </w:r>
      <w:r>
        <w:rPr>
          <w:color w:val="231F20"/>
          <w:spacing w:val="-11"/>
          <w:w w:val="105"/>
        </w:rPr>
        <w:t> </w:t>
      </w:r>
      <w:r>
        <w:rPr>
          <w:color w:val="231F20"/>
          <w:w w:val="105"/>
        </w:rPr>
        <w:t>available</w:t>
      </w:r>
      <w:r>
        <w:rPr>
          <w:color w:val="231F20"/>
          <w:spacing w:val="-12"/>
          <w:w w:val="105"/>
        </w:rPr>
        <w:t> </w:t>
      </w:r>
      <w:r>
        <w:rPr>
          <w:color w:val="231F20"/>
          <w:w w:val="105"/>
        </w:rPr>
        <w:t>for</w:t>
      </w:r>
      <w:r>
        <w:rPr>
          <w:color w:val="231F20"/>
          <w:spacing w:val="-11"/>
          <w:w w:val="105"/>
        </w:rPr>
        <w:t> </w:t>
      </w:r>
      <w:r>
        <w:rPr>
          <w:color w:val="231F20"/>
          <w:w w:val="105"/>
        </w:rPr>
        <w:t>clinical</w:t>
      </w:r>
      <w:r>
        <w:rPr>
          <w:color w:val="231F20"/>
          <w:spacing w:val="-12"/>
          <w:w w:val="105"/>
        </w:rPr>
        <w:t> </w:t>
      </w:r>
      <w:r>
        <w:rPr>
          <w:color w:val="231F20"/>
          <w:w w:val="105"/>
        </w:rPr>
        <w:t>use</w:t>
      </w:r>
      <w:r>
        <w:rPr>
          <w:color w:val="231F20"/>
          <w:spacing w:val="-12"/>
          <w:w w:val="105"/>
        </w:rPr>
        <w:t> </w:t>
      </w:r>
      <w:r>
        <w:rPr>
          <w:color w:val="231F20"/>
          <w:w w:val="105"/>
        </w:rPr>
        <w:t>have</w:t>
      </w:r>
      <w:r>
        <w:rPr>
          <w:color w:val="231F20"/>
          <w:spacing w:val="-11"/>
          <w:w w:val="105"/>
        </w:rPr>
        <w:t> </w:t>
      </w:r>
      <w:r>
        <w:rPr>
          <w:color w:val="231F20"/>
          <w:spacing w:val="-4"/>
          <w:w w:val="105"/>
        </w:rPr>
        <w:t>dif­ </w:t>
      </w:r>
      <w:r>
        <w:rPr>
          <w:color w:val="231F20"/>
          <w:w w:val="105"/>
        </w:rPr>
        <w:t>ferent</w:t>
      </w:r>
      <w:r>
        <w:rPr>
          <w:color w:val="231F20"/>
          <w:spacing w:val="-30"/>
          <w:w w:val="105"/>
        </w:rPr>
        <w:t> </w:t>
      </w:r>
      <w:r>
        <w:rPr>
          <w:color w:val="231F20"/>
          <w:w w:val="105"/>
        </w:rPr>
        <w:t>mechanisms</w:t>
      </w:r>
      <w:r>
        <w:rPr>
          <w:color w:val="231F20"/>
          <w:spacing w:val="-29"/>
          <w:w w:val="105"/>
        </w:rPr>
        <w:t> </w:t>
      </w:r>
      <w:r>
        <w:rPr>
          <w:color w:val="231F20"/>
          <w:w w:val="105"/>
        </w:rPr>
        <w:t>of</w:t>
      </w:r>
      <w:r>
        <w:rPr>
          <w:color w:val="231F20"/>
          <w:spacing w:val="-29"/>
          <w:w w:val="105"/>
        </w:rPr>
        <w:t> </w:t>
      </w:r>
      <w:r>
        <w:rPr>
          <w:color w:val="231F20"/>
          <w:w w:val="105"/>
        </w:rPr>
        <w:t>action</w:t>
      </w:r>
      <w:r>
        <w:rPr>
          <w:color w:val="231F20"/>
          <w:spacing w:val="-30"/>
          <w:w w:val="105"/>
        </w:rPr>
        <w:t> </w:t>
      </w:r>
      <w:r>
        <w:rPr>
          <w:color w:val="231F20"/>
          <w:w w:val="105"/>
        </w:rPr>
        <w:t>and,</w:t>
      </w:r>
      <w:r>
        <w:rPr>
          <w:color w:val="231F20"/>
          <w:spacing w:val="-29"/>
          <w:w w:val="105"/>
        </w:rPr>
        <w:t> </w:t>
      </w:r>
      <w:r>
        <w:rPr>
          <w:color w:val="231F20"/>
          <w:w w:val="105"/>
        </w:rPr>
        <w:t>therefore,</w:t>
      </w:r>
      <w:r>
        <w:rPr>
          <w:color w:val="231F20"/>
          <w:spacing w:val="-29"/>
          <w:w w:val="105"/>
        </w:rPr>
        <w:t> </w:t>
      </w:r>
      <w:r>
        <w:rPr>
          <w:color w:val="231F20"/>
          <w:w w:val="105"/>
        </w:rPr>
        <w:t>inhibit</w:t>
      </w:r>
      <w:r>
        <w:rPr>
          <w:color w:val="231F20"/>
          <w:spacing w:val="-30"/>
          <w:w w:val="105"/>
        </w:rPr>
        <w:t> </w:t>
      </w:r>
      <w:r>
        <w:rPr>
          <w:color w:val="231F20"/>
          <w:spacing w:val="-3"/>
          <w:w w:val="105"/>
        </w:rPr>
        <w:t>tubular </w:t>
      </w:r>
      <w:r>
        <w:rPr>
          <w:color w:val="231F20"/>
          <w:w w:val="105"/>
        </w:rPr>
        <w:t>reabsorption</w:t>
      </w:r>
      <w:r>
        <w:rPr>
          <w:color w:val="231F20"/>
          <w:spacing w:val="17"/>
          <w:w w:val="105"/>
        </w:rPr>
        <w:t> </w:t>
      </w:r>
      <w:r>
        <w:rPr>
          <w:color w:val="231F20"/>
          <w:w w:val="105"/>
        </w:rPr>
        <w:t>at</w:t>
      </w:r>
      <w:r>
        <w:rPr>
          <w:color w:val="231F20"/>
          <w:spacing w:val="17"/>
          <w:w w:val="105"/>
        </w:rPr>
        <w:t> </w:t>
      </w:r>
      <w:r>
        <w:rPr>
          <w:color w:val="231F20"/>
          <w:w w:val="105"/>
        </w:rPr>
        <w:t>different</w:t>
      </w:r>
      <w:r>
        <w:rPr>
          <w:color w:val="231F20"/>
          <w:spacing w:val="18"/>
          <w:w w:val="105"/>
        </w:rPr>
        <w:t> </w:t>
      </w:r>
      <w:r>
        <w:rPr>
          <w:color w:val="231F20"/>
          <w:w w:val="105"/>
        </w:rPr>
        <w:t>sites</w:t>
      </w:r>
      <w:r>
        <w:rPr>
          <w:color w:val="231F20"/>
          <w:spacing w:val="17"/>
          <w:w w:val="105"/>
        </w:rPr>
        <w:t> </w:t>
      </w:r>
      <w:r>
        <w:rPr>
          <w:color w:val="231F20"/>
          <w:w w:val="105"/>
        </w:rPr>
        <w:t>along</w:t>
      </w:r>
      <w:r>
        <w:rPr>
          <w:color w:val="231F20"/>
          <w:spacing w:val="18"/>
          <w:w w:val="105"/>
        </w:rPr>
        <w:t> </w:t>
      </w:r>
      <w:r>
        <w:rPr>
          <w:color w:val="231F20"/>
          <w:w w:val="105"/>
        </w:rPr>
        <w:t>the</w:t>
      </w:r>
      <w:r>
        <w:rPr>
          <w:color w:val="231F20"/>
          <w:spacing w:val="17"/>
          <w:w w:val="105"/>
        </w:rPr>
        <w:t> </w:t>
      </w:r>
      <w:r>
        <w:rPr>
          <w:color w:val="231F20"/>
          <w:w w:val="105"/>
        </w:rPr>
        <w:t>renal</w:t>
      </w:r>
      <w:r>
        <w:rPr>
          <w:color w:val="231F20"/>
          <w:spacing w:val="18"/>
          <w:w w:val="105"/>
        </w:rPr>
        <w:t> </w:t>
      </w:r>
      <w:r>
        <w:rPr>
          <w:color w:val="231F20"/>
          <w:w w:val="105"/>
        </w:rPr>
        <w:t>nephron.</w:t>
      </w:r>
    </w:p>
    <w:p>
      <w:pPr>
        <w:pStyle w:val="BodyText"/>
        <w:spacing w:line="249" w:lineRule="auto" w:before="250"/>
        <w:ind w:left="319" w:right="1078"/>
        <w:jc w:val="both"/>
      </w:pPr>
      <w:r>
        <w:rPr/>
        <w:br w:type="column"/>
      </w:r>
      <w:r>
        <w:rPr>
          <w:color w:val="231F20"/>
          <w:w w:val="105"/>
        </w:rPr>
        <w:t>The general classes of diuretics, their mechanisms of action, and their tubular sites of action are shown in </w:t>
      </w:r>
      <w:hyperlink w:history="true" w:anchor="_bookmark117">
        <w:r>
          <w:rPr>
            <w:b/>
            <w:color w:val="0080AC"/>
            <w:w w:val="105"/>
          </w:rPr>
          <w:t>Table 32-1</w:t>
        </w:r>
      </w:hyperlink>
      <w:r>
        <w:rPr>
          <w:color w:val="231F20"/>
          <w:w w:val="105"/>
        </w:rPr>
        <w:t>.</w:t>
      </w:r>
    </w:p>
    <w:p>
      <w:pPr>
        <w:pStyle w:val="BodyText"/>
        <w:spacing w:before="10"/>
        <w:rPr>
          <w:sz w:val="30"/>
        </w:rPr>
      </w:pPr>
    </w:p>
    <w:p>
      <w:pPr>
        <w:pStyle w:val="Heading2"/>
        <w:spacing w:line="225" w:lineRule="auto"/>
        <w:ind w:right="1490"/>
      </w:pPr>
      <w:r>
        <w:rPr/>
        <w:pict>
          <v:rect style="position:absolute;margin-left:576pt;margin-top:-69.641113pt;width:36pt;height:24pt;mso-position-horizontal-relative:page;mso-position-vertical-relative:paragraph;z-index:253249536" filled="true" fillcolor="#e8dac8" stroked="false">
            <v:fill type="solid"/>
            <w10:wrap type="none"/>
          </v:rect>
        </w:pict>
      </w:r>
      <w:r>
        <w:rPr>
          <w:color w:val="231F20"/>
          <w:w w:val="105"/>
        </w:rPr>
        <w:t>OSMOTIC DIURETICS DECREASE WATER REABSORPTION BY INCREASING THE OSMOTIC PRESSURE OF TUBULAR FLUID</w:t>
      </w:r>
    </w:p>
    <w:p>
      <w:pPr>
        <w:pStyle w:val="BodyText"/>
        <w:spacing w:line="249" w:lineRule="auto" w:before="127"/>
        <w:ind w:left="319" w:right="1079"/>
        <w:jc w:val="both"/>
      </w:pPr>
      <w:r>
        <w:rPr>
          <w:color w:val="231F20"/>
          <w:w w:val="105"/>
        </w:rPr>
        <w:t>Injection</w:t>
      </w:r>
      <w:r>
        <w:rPr>
          <w:color w:val="231F20"/>
          <w:spacing w:val="-9"/>
          <w:w w:val="105"/>
        </w:rPr>
        <w:t> </w:t>
      </w:r>
      <w:r>
        <w:rPr>
          <w:color w:val="231F20"/>
          <w:w w:val="105"/>
        </w:rPr>
        <w:t>into</w:t>
      </w:r>
      <w:r>
        <w:rPr>
          <w:color w:val="231F20"/>
          <w:spacing w:val="-9"/>
          <w:w w:val="105"/>
        </w:rPr>
        <w:t> </w:t>
      </w:r>
      <w:r>
        <w:rPr>
          <w:color w:val="231F20"/>
          <w:w w:val="105"/>
        </w:rPr>
        <w:t>the</w:t>
      </w:r>
      <w:r>
        <w:rPr>
          <w:color w:val="231F20"/>
          <w:spacing w:val="-9"/>
          <w:w w:val="105"/>
        </w:rPr>
        <w:t> </w:t>
      </w:r>
      <w:r>
        <w:rPr>
          <w:color w:val="231F20"/>
          <w:w w:val="105"/>
        </w:rPr>
        <w:t>blood</w:t>
      </w:r>
      <w:r>
        <w:rPr>
          <w:color w:val="231F20"/>
          <w:spacing w:val="-8"/>
          <w:w w:val="105"/>
        </w:rPr>
        <w:t> </w:t>
      </w:r>
      <w:r>
        <w:rPr>
          <w:color w:val="231F20"/>
          <w:w w:val="105"/>
        </w:rPr>
        <w:t>stream</w:t>
      </w:r>
      <w:r>
        <w:rPr>
          <w:color w:val="231F20"/>
          <w:spacing w:val="-9"/>
          <w:w w:val="105"/>
        </w:rPr>
        <w:t> </w:t>
      </w:r>
      <w:r>
        <w:rPr>
          <w:color w:val="231F20"/>
          <w:w w:val="105"/>
        </w:rPr>
        <w:t>of</w:t>
      </w:r>
      <w:r>
        <w:rPr>
          <w:color w:val="231F20"/>
          <w:spacing w:val="-9"/>
          <w:w w:val="105"/>
        </w:rPr>
        <w:t> </w:t>
      </w:r>
      <w:r>
        <w:rPr>
          <w:color w:val="231F20"/>
          <w:w w:val="105"/>
        </w:rPr>
        <w:t>substances</w:t>
      </w:r>
      <w:r>
        <w:rPr>
          <w:color w:val="231F20"/>
          <w:spacing w:val="-8"/>
          <w:w w:val="105"/>
        </w:rPr>
        <w:t> </w:t>
      </w:r>
      <w:r>
        <w:rPr>
          <w:color w:val="231F20"/>
          <w:w w:val="105"/>
        </w:rPr>
        <w:t>that</w:t>
      </w:r>
      <w:r>
        <w:rPr>
          <w:color w:val="231F20"/>
          <w:spacing w:val="-9"/>
          <w:w w:val="105"/>
        </w:rPr>
        <w:t> </w:t>
      </w:r>
      <w:r>
        <w:rPr>
          <w:color w:val="231F20"/>
          <w:w w:val="105"/>
        </w:rPr>
        <w:t>are</w:t>
      </w:r>
      <w:r>
        <w:rPr>
          <w:color w:val="231F20"/>
          <w:spacing w:val="-9"/>
          <w:w w:val="105"/>
        </w:rPr>
        <w:t> </w:t>
      </w:r>
      <w:r>
        <w:rPr>
          <w:color w:val="231F20"/>
          <w:spacing w:val="-4"/>
          <w:w w:val="105"/>
        </w:rPr>
        <w:t>not </w:t>
      </w:r>
      <w:r>
        <w:rPr>
          <w:color w:val="231F20"/>
          <w:w w:val="105"/>
        </w:rPr>
        <w:t>easily</w:t>
      </w:r>
      <w:r>
        <w:rPr>
          <w:color w:val="231F20"/>
          <w:spacing w:val="-18"/>
          <w:w w:val="105"/>
        </w:rPr>
        <w:t> </w:t>
      </w:r>
      <w:r>
        <w:rPr>
          <w:color w:val="231F20"/>
          <w:w w:val="105"/>
        </w:rPr>
        <w:t>reabsorbed</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8"/>
          <w:w w:val="105"/>
        </w:rPr>
        <w:t> </w:t>
      </w:r>
      <w:r>
        <w:rPr>
          <w:color w:val="231F20"/>
          <w:w w:val="105"/>
        </w:rPr>
        <w:t>renal</w:t>
      </w:r>
      <w:r>
        <w:rPr>
          <w:color w:val="231F20"/>
          <w:spacing w:val="-18"/>
          <w:w w:val="105"/>
        </w:rPr>
        <w:t> </w:t>
      </w:r>
      <w:r>
        <w:rPr>
          <w:color w:val="231F20"/>
          <w:w w:val="105"/>
        </w:rPr>
        <w:t>tubules,</w:t>
      </w:r>
      <w:r>
        <w:rPr>
          <w:color w:val="231F20"/>
          <w:spacing w:val="-18"/>
          <w:w w:val="105"/>
        </w:rPr>
        <w:t> </w:t>
      </w:r>
      <w:r>
        <w:rPr>
          <w:color w:val="231F20"/>
          <w:w w:val="105"/>
        </w:rPr>
        <w:t>such</w:t>
      </w:r>
      <w:r>
        <w:rPr>
          <w:color w:val="231F20"/>
          <w:spacing w:val="-17"/>
          <w:w w:val="105"/>
        </w:rPr>
        <w:t> </w:t>
      </w:r>
      <w:r>
        <w:rPr>
          <w:color w:val="231F20"/>
          <w:w w:val="105"/>
        </w:rPr>
        <w:t>as</w:t>
      </w:r>
      <w:r>
        <w:rPr>
          <w:color w:val="231F20"/>
          <w:spacing w:val="-18"/>
          <w:w w:val="105"/>
        </w:rPr>
        <w:t> </w:t>
      </w:r>
      <w:r>
        <w:rPr>
          <w:color w:val="231F20"/>
          <w:w w:val="105"/>
        </w:rPr>
        <w:t>urea,</w:t>
      </w:r>
      <w:r>
        <w:rPr>
          <w:color w:val="231F20"/>
          <w:spacing w:val="-18"/>
          <w:w w:val="105"/>
        </w:rPr>
        <w:t> </w:t>
      </w:r>
      <w:r>
        <w:rPr>
          <w:color w:val="231F20"/>
          <w:w w:val="105"/>
        </w:rPr>
        <w:t>man­ nitol, and sucrose, causes a marked increase in the </w:t>
      </w:r>
      <w:r>
        <w:rPr>
          <w:color w:val="231F20"/>
          <w:spacing w:val="-4"/>
          <w:w w:val="105"/>
        </w:rPr>
        <w:t>con­ </w:t>
      </w:r>
      <w:r>
        <w:rPr>
          <w:color w:val="231F20"/>
          <w:w w:val="105"/>
        </w:rPr>
        <w:t>centration</w:t>
      </w:r>
      <w:r>
        <w:rPr>
          <w:color w:val="231F20"/>
          <w:spacing w:val="-18"/>
          <w:w w:val="105"/>
        </w:rPr>
        <w:t> </w:t>
      </w:r>
      <w:r>
        <w:rPr>
          <w:color w:val="231F20"/>
          <w:w w:val="105"/>
        </w:rPr>
        <w:t>of</w:t>
      </w:r>
      <w:r>
        <w:rPr>
          <w:color w:val="231F20"/>
          <w:spacing w:val="-18"/>
          <w:w w:val="105"/>
        </w:rPr>
        <w:t> </w:t>
      </w:r>
      <w:r>
        <w:rPr>
          <w:color w:val="231F20"/>
          <w:w w:val="105"/>
        </w:rPr>
        <w:t>osmotically</w:t>
      </w:r>
      <w:r>
        <w:rPr>
          <w:color w:val="231F20"/>
          <w:spacing w:val="-18"/>
          <w:w w:val="105"/>
        </w:rPr>
        <w:t> </w:t>
      </w:r>
      <w:r>
        <w:rPr>
          <w:color w:val="231F20"/>
          <w:w w:val="105"/>
        </w:rPr>
        <w:t>active</w:t>
      </w:r>
      <w:r>
        <w:rPr>
          <w:color w:val="231F20"/>
          <w:spacing w:val="-18"/>
          <w:w w:val="105"/>
        </w:rPr>
        <w:t> </w:t>
      </w:r>
      <w:r>
        <w:rPr>
          <w:color w:val="231F20"/>
          <w:w w:val="105"/>
        </w:rPr>
        <w:t>molecules</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tubules. The</w:t>
      </w:r>
      <w:r>
        <w:rPr>
          <w:color w:val="231F20"/>
          <w:spacing w:val="-11"/>
          <w:w w:val="105"/>
        </w:rPr>
        <w:t> </w:t>
      </w:r>
      <w:r>
        <w:rPr>
          <w:color w:val="231F20"/>
          <w:w w:val="105"/>
        </w:rPr>
        <w:t>osmotic</w:t>
      </w:r>
      <w:r>
        <w:rPr>
          <w:color w:val="231F20"/>
          <w:spacing w:val="-11"/>
          <w:w w:val="105"/>
        </w:rPr>
        <w:t> </w:t>
      </w:r>
      <w:r>
        <w:rPr>
          <w:color w:val="231F20"/>
          <w:w w:val="105"/>
        </w:rPr>
        <w:t>pressure</w:t>
      </w:r>
      <w:r>
        <w:rPr>
          <w:color w:val="231F20"/>
          <w:spacing w:val="-11"/>
          <w:w w:val="105"/>
        </w:rPr>
        <w:t> </w:t>
      </w:r>
      <w:r>
        <w:rPr>
          <w:color w:val="231F20"/>
          <w:w w:val="105"/>
        </w:rPr>
        <w:t>of</w:t>
      </w:r>
      <w:r>
        <w:rPr>
          <w:color w:val="231F20"/>
          <w:spacing w:val="-10"/>
          <w:w w:val="105"/>
        </w:rPr>
        <w:t> </w:t>
      </w:r>
      <w:r>
        <w:rPr>
          <w:color w:val="231F20"/>
          <w:w w:val="105"/>
        </w:rPr>
        <w:t>these</w:t>
      </w:r>
      <w:r>
        <w:rPr>
          <w:color w:val="231F20"/>
          <w:spacing w:val="-11"/>
          <w:w w:val="105"/>
        </w:rPr>
        <w:t> </w:t>
      </w:r>
      <w:r>
        <w:rPr>
          <w:color w:val="231F20"/>
          <w:w w:val="105"/>
        </w:rPr>
        <w:t>solutes</w:t>
      </w:r>
      <w:r>
        <w:rPr>
          <w:color w:val="231F20"/>
          <w:spacing w:val="-11"/>
          <w:w w:val="105"/>
        </w:rPr>
        <w:t> </w:t>
      </w:r>
      <w:r>
        <w:rPr>
          <w:color w:val="231F20"/>
          <w:w w:val="105"/>
        </w:rPr>
        <w:t>then</w:t>
      </w:r>
      <w:r>
        <w:rPr>
          <w:color w:val="231F20"/>
          <w:spacing w:val="-10"/>
          <w:w w:val="105"/>
        </w:rPr>
        <w:t> </w:t>
      </w:r>
      <w:r>
        <w:rPr>
          <w:color w:val="231F20"/>
          <w:w w:val="105"/>
        </w:rPr>
        <w:t>reduces</w:t>
      </w:r>
      <w:r>
        <w:rPr>
          <w:color w:val="231F20"/>
          <w:spacing w:val="-11"/>
          <w:w w:val="105"/>
        </w:rPr>
        <w:t> </w:t>
      </w:r>
      <w:r>
        <w:rPr>
          <w:color w:val="231F20"/>
          <w:spacing w:val="-4"/>
          <w:w w:val="105"/>
        </w:rPr>
        <w:t>water </w:t>
      </w:r>
      <w:r>
        <w:rPr>
          <w:color w:val="231F20"/>
          <w:w w:val="105"/>
        </w:rPr>
        <w:t>reabsorption,</w:t>
      </w:r>
      <w:r>
        <w:rPr>
          <w:color w:val="231F20"/>
          <w:spacing w:val="-16"/>
          <w:w w:val="105"/>
        </w:rPr>
        <w:t> </w:t>
      </w:r>
      <w:r>
        <w:rPr>
          <w:color w:val="231F20"/>
          <w:w w:val="105"/>
        </w:rPr>
        <w:t>flushing</w:t>
      </w:r>
      <w:r>
        <w:rPr>
          <w:color w:val="231F20"/>
          <w:spacing w:val="-16"/>
          <w:w w:val="105"/>
        </w:rPr>
        <w:t> </w:t>
      </w:r>
      <w:r>
        <w:rPr>
          <w:color w:val="231F20"/>
          <w:w w:val="105"/>
        </w:rPr>
        <w:t>large</w:t>
      </w:r>
      <w:r>
        <w:rPr>
          <w:color w:val="231F20"/>
          <w:spacing w:val="-15"/>
          <w:w w:val="105"/>
        </w:rPr>
        <w:t> </w:t>
      </w:r>
      <w:r>
        <w:rPr>
          <w:color w:val="231F20"/>
          <w:w w:val="105"/>
        </w:rPr>
        <w:t>amounts</w:t>
      </w:r>
      <w:r>
        <w:rPr>
          <w:color w:val="231F20"/>
          <w:spacing w:val="-16"/>
          <w:w w:val="105"/>
        </w:rPr>
        <w:t> </w:t>
      </w:r>
      <w:r>
        <w:rPr>
          <w:color w:val="231F20"/>
          <w:w w:val="105"/>
        </w:rPr>
        <w:t>of</w:t>
      </w:r>
      <w:r>
        <w:rPr>
          <w:color w:val="231F20"/>
          <w:spacing w:val="-15"/>
          <w:w w:val="105"/>
        </w:rPr>
        <w:t> </w:t>
      </w:r>
      <w:r>
        <w:rPr>
          <w:color w:val="231F20"/>
          <w:w w:val="105"/>
        </w:rPr>
        <w:t>tubular</w:t>
      </w:r>
      <w:r>
        <w:rPr>
          <w:color w:val="231F20"/>
          <w:spacing w:val="-16"/>
          <w:w w:val="105"/>
        </w:rPr>
        <w:t> </w:t>
      </w:r>
      <w:r>
        <w:rPr>
          <w:color w:val="231F20"/>
          <w:w w:val="105"/>
        </w:rPr>
        <w:t>fluid</w:t>
      </w:r>
      <w:r>
        <w:rPr>
          <w:color w:val="231F20"/>
          <w:spacing w:val="-15"/>
          <w:w w:val="105"/>
        </w:rPr>
        <w:t> </w:t>
      </w:r>
      <w:r>
        <w:rPr>
          <w:color w:val="231F20"/>
          <w:w w:val="105"/>
        </w:rPr>
        <w:t>into the</w:t>
      </w:r>
      <w:r>
        <w:rPr>
          <w:color w:val="231F20"/>
          <w:spacing w:val="3"/>
          <w:w w:val="105"/>
        </w:rPr>
        <w:t> </w:t>
      </w:r>
      <w:r>
        <w:rPr>
          <w:color w:val="231F20"/>
          <w:w w:val="105"/>
        </w:rPr>
        <w:t>urine.</w:t>
      </w:r>
    </w:p>
    <w:p>
      <w:pPr>
        <w:pStyle w:val="BodyText"/>
        <w:spacing w:line="249" w:lineRule="auto" w:before="6"/>
        <w:ind w:left="319" w:right="1077" w:firstLine="240"/>
        <w:jc w:val="both"/>
      </w:pPr>
      <w:r>
        <w:rPr>
          <w:color w:val="231F20"/>
        </w:rPr>
        <w:t>Large volumes of urine are also formed in certain dis­ eases associated with excess solutes that fail to be reab­ sorbed from the tubular fluid. For example, when blood glucose concentration rises to high levels in diabetes mel­ litus, the increased filtered load of glucose into the tubules exceeds their capacity to reabsorb glucose (i.e., exceeds their </w:t>
      </w:r>
      <w:r>
        <w:rPr>
          <w:i/>
          <w:color w:val="231F20"/>
        </w:rPr>
        <w:t>transport maximum </w:t>
      </w:r>
      <w:r>
        <w:rPr>
          <w:color w:val="231F20"/>
        </w:rPr>
        <w:t>for glucose). Above a plasma glucose concentration of about 250 mg/dl, little of the extra glucose is reabsorbed by the tubules; instead, the excess glucose remains in the tubules, acts as an osmotic diuretic, and causes rapid loss of fluid into the urine. Therefore, one of the hallmarks of uncontrolled diabetes mellitus is </w:t>
      </w:r>
      <w:r>
        <w:rPr>
          <w:i/>
          <w:color w:val="231F20"/>
        </w:rPr>
        <w:t>polyuria </w:t>
      </w:r>
      <w:r>
        <w:rPr>
          <w:color w:val="231F20"/>
        </w:rPr>
        <w:t>(frequent urination), which is bal­ anced by a high level of fluid intake </w:t>
      </w:r>
      <w:r>
        <w:rPr>
          <w:i/>
          <w:color w:val="231F20"/>
        </w:rPr>
        <w:t>(polydipsia) </w:t>
      </w:r>
      <w:r>
        <w:rPr>
          <w:color w:val="231F20"/>
        </w:rPr>
        <w:t>due to dehydration, increased extracellular fluid osmolarity, and subsequent activation of the thirst mechanism.</w:t>
      </w:r>
    </w:p>
    <w:p>
      <w:pPr>
        <w:pStyle w:val="BodyText"/>
        <w:spacing w:before="9"/>
        <w:rPr>
          <w:sz w:val="31"/>
        </w:rPr>
      </w:pPr>
    </w:p>
    <w:p>
      <w:pPr>
        <w:pStyle w:val="Heading2"/>
        <w:spacing w:line="225" w:lineRule="auto"/>
        <w:ind w:right="1853"/>
      </w:pPr>
      <w:r>
        <w:rPr>
          <w:color w:val="231F20"/>
          <w:w w:val="105"/>
        </w:rPr>
        <w:t>“LOOP”</w:t>
      </w:r>
      <w:r>
        <w:rPr>
          <w:color w:val="231F20"/>
          <w:spacing w:val="-39"/>
          <w:w w:val="105"/>
        </w:rPr>
        <w:t> </w:t>
      </w:r>
      <w:r>
        <w:rPr>
          <w:color w:val="231F20"/>
          <w:w w:val="105"/>
        </w:rPr>
        <w:t>DIURETICS</w:t>
      </w:r>
      <w:r>
        <w:rPr>
          <w:color w:val="231F20"/>
          <w:spacing w:val="-38"/>
          <w:w w:val="105"/>
        </w:rPr>
        <w:t> </w:t>
      </w:r>
      <w:r>
        <w:rPr>
          <w:color w:val="231F20"/>
          <w:w w:val="105"/>
        </w:rPr>
        <w:t>DECREASE</w:t>
      </w:r>
      <w:r>
        <w:rPr>
          <w:color w:val="231F20"/>
          <w:spacing w:val="-39"/>
          <w:w w:val="105"/>
        </w:rPr>
        <w:t> </w:t>
      </w:r>
      <w:r>
        <w:rPr>
          <w:color w:val="231F20"/>
          <w:spacing w:val="-3"/>
          <w:w w:val="105"/>
        </w:rPr>
        <w:t>ACTIVE </w:t>
      </w:r>
      <w:r>
        <w:rPr>
          <w:color w:val="231F20"/>
          <w:w w:val="105"/>
        </w:rPr>
        <w:t>SODIUM-CHLORIDE-POTASSIUM REABSORPTION IN THE THICK ASCENDING LOOP OF</w:t>
      </w:r>
      <w:r>
        <w:rPr>
          <w:color w:val="231F20"/>
          <w:spacing w:val="2"/>
          <w:w w:val="105"/>
        </w:rPr>
        <w:t> </w:t>
      </w:r>
      <w:r>
        <w:rPr>
          <w:color w:val="231F20"/>
          <w:w w:val="105"/>
        </w:rPr>
        <w:t>HENLE</w:t>
      </w:r>
    </w:p>
    <w:p>
      <w:pPr>
        <w:pStyle w:val="BodyText"/>
        <w:spacing w:line="249" w:lineRule="auto" w:before="127"/>
        <w:ind w:left="319" w:right="1077"/>
        <w:jc w:val="both"/>
      </w:pPr>
      <w:r>
        <w:rPr>
          <w:i/>
          <w:color w:val="231F20"/>
          <w:w w:val="105"/>
        </w:rPr>
        <w:t>Furosemide,</w:t>
      </w:r>
      <w:r>
        <w:rPr>
          <w:i/>
          <w:color w:val="231F20"/>
          <w:spacing w:val="-22"/>
          <w:w w:val="105"/>
        </w:rPr>
        <w:t> </w:t>
      </w:r>
      <w:r>
        <w:rPr>
          <w:i/>
          <w:color w:val="231F20"/>
          <w:w w:val="105"/>
        </w:rPr>
        <w:t>ethacrynic</w:t>
      </w:r>
      <w:r>
        <w:rPr>
          <w:i/>
          <w:color w:val="231F20"/>
          <w:spacing w:val="-21"/>
          <w:w w:val="105"/>
        </w:rPr>
        <w:t> </w:t>
      </w:r>
      <w:r>
        <w:rPr>
          <w:i/>
          <w:color w:val="231F20"/>
          <w:w w:val="105"/>
        </w:rPr>
        <w:t>acid,</w:t>
      </w:r>
      <w:r>
        <w:rPr>
          <w:i/>
          <w:color w:val="231F20"/>
          <w:spacing w:val="-22"/>
          <w:w w:val="105"/>
        </w:rPr>
        <w:t> </w:t>
      </w:r>
      <w:r>
        <w:rPr>
          <w:color w:val="231F20"/>
          <w:w w:val="105"/>
        </w:rPr>
        <w:t>and</w:t>
      </w:r>
      <w:r>
        <w:rPr>
          <w:color w:val="231F20"/>
          <w:spacing w:val="-21"/>
          <w:w w:val="105"/>
        </w:rPr>
        <w:t> </w:t>
      </w:r>
      <w:r>
        <w:rPr>
          <w:i/>
          <w:color w:val="231F20"/>
          <w:w w:val="105"/>
        </w:rPr>
        <w:t>bumetanide</w:t>
      </w:r>
      <w:r>
        <w:rPr>
          <w:i/>
          <w:color w:val="231F20"/>
          <w:spacing w:val="-22"/>
          <w:w w:val="105"/>
        </w:rPr>
        <w:t> </w:t>
      </w:r>
      <w:r>
        <w:rPr>
          <w:color w:val="231F20"/>
          <w:w w:val="105"/>
        </w:rPr>
        <w:t>are</w:t>
      </w:r>
      <w:r>
        <w:rPr>
          <w:color w:val="231F20"/>
          <w:spacing w:val="-21"/>
          <w:w w:val="105"/>
        </w:rPr>
        <w:t> </w:t>
      </w:r>
      <w:r>
        <w:rPr>
          <w:color w:val="231F20"/>
          <w:w w:val="105"/>
        </w:rPr>
        <w:t>power­ ful</w:t>
      </w:r>
      <w:r>
        <w:rPr>
          <w:color w:val="231F20"/>
          <w:spacing w:val="-17"/>
          <w:w w:val="105"/>
        </w:rPr>
        <w:t> </w:t>
      </w:r>
      <w:r>
        <w:rPr>
          <w:color w:val="231F20"/>
          <w:w w:val="105"/>
        </w:rPr>
        <w:t>diuretics</w:t>
      </w:r>
      <w:r>
        <w:rPr>
          <w:color w:val="231F20"/>
          <w:spacing w:val="-17"/>
          <w:w w:val="105"/>
        </w:rPr>
        <w:t> </w:t>
      </w:r>
      <w:r>
        <w:rPr>
          <w:color w:val="231F20"/>
          <w:w w:val="105"/>
        </w:rPr>
        <w:t>that</w:t>
      </w:r>
      <w:r>
        <w:rPr>
          <w:color w:val="231F20"/>
          <w:spacing w:val="-16"/>
          <w:w w:val="105"/>
        </w:rPr>
        <w:t> </w:t>
      </w:r>
      <w:r>
        <w:rPr>
          <w:color w:val="231F20"/>
          <w:w w:val="105"/>
        </w:rPr>
        <w:t>decrease</w:t>
      </w:r>
      <w:r>
        <w:rPr>
          <w:color w:val="231F20"/>
          <w:spacing w:val="-17"/>
          <w:w w:val="105"/>
        </w:rPr>
        <w:t> </w:t>
      </w:r>
      <w:r>
        <w:rPr>
          <w:color w:val="231F20"/>
          <w:w w:val="105"/>
        </w:rPr>
        <w:t>active</w:t>
      </w:r>
      <w:r>
        <w:rPr>
          <w:color w:val="231F20"/>
          <w:spacing w:val="-16"/>
          <w:w w:val="105"/>
        </w:rPr>
        <w:t> </w:t>
      </w:r>
      <w:r>
        <w:rPr>
          <w:color w:val="231F20"/>
          <w:w w:val="105"/>
        </w:rPr>
        <w:t>reabsorption</w:t>
      </w:r>
      <w:r>
        <w:rPr>
          <w:color w:val="231F20"/>
          <w:spacing w:val="-17"/>
          <w:w w:val="105"/>
        </w:rPr>
        <w:t> </w:t>
      </w:r>
      <w:r>
        <w:rPr>
          <w:color w:val="231F20"/>
          <w:w w:val="105"/>
        </w:rPr>
        <w:t>in</w:t>
      </w:r>
      <w:r>
        <w:rPr>
          <w:color w:val="231F20"/>
          <w:spacing w:val="-16"/>
          <w:w w:val="105"/>
        </w:rPr>
        <w:t> </w:t>
      </w:r>
      <w:r>
        <w:rPr>
          <w:color w:val="231F20"/>
          <w:w w:val="105"/>
        </w:rPr>
        <w:t>the</w:t>
      </w:r>
      <w:r>
        <w:rPr>
          <w:color w:val="231F20"/>
          <w:spacing w:val="-17"/>
          <w:w w:val="105"/>
        </w:rPr>
        <w:t> </w:t>
      </w:r>
      <w:r>
        <w:rPr>
          <w:color w:val="231F20"/>
          <w:w w:val="105"/>
        </w:rPr>
        <w:t>thick ascending limb of the loop of Henle by blocking </w:t>
      </w:r>
      <w:r>
        <w:rPr>
          <w:color w:val="231F20"/>
          <w:spacing w:val="-5"/>
          <w:w w:val="105"/>
        </w:rPr>
        <w:t>the </w:t>
      </w:r>
      <w:r>
        <w:rPr>
          <w:color w:val="231F20"/>
          <w:w w:val="105"/>
        </w:rPr>
        <w:t>1­sodium,</w:t>
      </w:r>
      <w:r>
        <w:rPr>
          <w:color w:val="231F20"/>
          <w:spacing w:val="-28"/>
          <w:w w:val="105"/>
        </w:rPr>
        <w:t> </w:t>
      </w:r>
      <w:r>
        <w:rPr>
          <w:color w:val="231F20"/>
          <w:w w:val="105"/>
        </w:rPr>
        <w:t>2­chloride,</w:t>
      </w:r>
      <w:r>
        <w:rPr>
          <w:color w:val="231F20"/>
          <w:spacing w:val="-27"/>
          <w:w w:val="105"/>
        </w:rPr>
        <w:t> </w:t>
      </w:r>
      <w:r>
        <w:rPr>
          <w:color w:val="231F20"/>
          <w:w w:val="105"/>
        </w:rPr>
        <w:t>1­potassium</w:t>
      </w:r>
      <w:r>
        <w:rPr>
          <w:color w:val="231F20"/>
          <w:spacing w:val="-27"/>
          <w:w w:val="105"/>
        </w:rPr>
        <w:t> </w:t>
      </w:r>
      <w:r>
        <w:rPr>
          <w:color w:val="231F20"/>
          <w:w w:val="105"/>
        </w:rPr>
        <w:t>co­transporter</w:t>
      </w:r>
      <w:r>
        <w:rPr>
          <w:color w:val="231F20"/>
          <w:spacing w:val="-27"/>
          <w:w w:val="105"/>
        </w:rPr>
        <w:t> </w:t>
      </w:r>
      <w:r>
        <w:rPr>
          <w:color w:val="231F20"/>
          <w:w w:val="105"/>
        </w:rPr>
        <w:t>located in the luminal membrane of the epithelial cells. These “loop”</w:t>
      </w:r>
      <w:r>
        <w:rPr>
          <w:color w:val="231F20"/>
          <w:spacing w:val="-24"/>
          <w:w w:val="105"/>
        </w:rPr>
        <w:t> </w:t>
      </w:r>
      <w:r>
        <w:rPr>
          <w:color w:val="231F20"/>
          <w:w w:val="105"/>
        </w:rPr>
        <w:t>diuretics</w:t>
      </w:r>
      <w:r>
        <w:rPr>
          <w:color w:val="231F20"/>
          <w:spacing w:val="-23"/>
          <w:w w:val="105"/>
        </w:rPr>
        <w:t> </w:t>
      </w:r>
      <w:r>
        <w:rPr>
          <w:color w:val="231F20"/>
          <w:w w:val="105"/>
        </w:rPr>
        <w:t>are</w:t>
      </w:r>
      <w:r>
        <w:rPr>
          <w:color w:val="231F20"/>
          <w:spacing w:val="-23"/>
          <w:w w:val="105"/>
        </w:rPr>
        <w:t> </w:t>
      </w:r>
      <w:r>
        <w:rPr>
          <w:color w:val="231F20"/>
          <w:w w:val="105"/>
        </w:rPr>
        <w:t>among</w:t>
      </w:r>
      <w:r>
        <w:rPr>
          <w:color w:val="231F20"/>
          <w:spacing w:val="-23"/>
          <w:w w:val="105"/>
        </w:rPr>
        <w:t> </w:t>
      </w:r>
      <w:r>
        <w:rPr>
          <w:color w:val="231F20"/>
          <w:w w:val="105"/>
        </w:rPr>
        <w:t>the</w:t>
      </w:r>
      <w:r>
        <w:rPr>
          <w:color w:val="231F20"/>
          <w:spacing w:val="-23"/>
          <w:w w:val="105"/>
        </w:rPr>
        <w:t> </w:t>
      </w:r>
      <w:r>
        <w:rPr>
          <w:color w:val="231F20"/>
          <w:w w:val="105"/>
        </w:rPr>
        <w:t>most</w:t>
      </w:r>
      <w:r>
        <w:rPr>
          <w:color w:val="231F20"/>
          <w:spacing w:val="-23"/>
          <w:w w:val="105"/>
        </w:rPr>
        <w:t> </w:t>
      </w:r>
      <w:r>
        <w:rPr>
          <w:color w:val="231F20"/>
          <w:w w:val="105"/>
        </w:rPr>
        <w:t>powerful</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clini­ cally used</w:t>
      </w:r>
      <w:r>
        <w:rPr>
          <w:color w:val="231F20"/>
          <w:spacing w:val="5"/>
          <w:w w:val="105"/>
        </w:rPr>
        <w:t> </w:t>
      </w:r>
      <w:r>
        <w:rPr>
          <w:color w:val="231F20"/>
          <w:w w:val="105"/>
        </w:rPr>
        <w:t>diuretics.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1031"/>
          <w:footerReference w:type="even" r:id="rId1032"/>
          <w:footerReference w:type="default" r:id="rId1033"/>
          <w:pgSz w:w="12240" w:h="15660"/>
          <w:pgMar w:header="0" w:footer="567" w:top="720" w:bottom="760" w:left="0" w:right="0"/>
          <w:pgNumType w:start="428"/>
        </w:sectPr>
      </w:pPr>
    </w:p>
    <w:p>
      <w:pPr>
        <w:pStyle w:val="BodyText"/>
        <w:spacing w:line="249" w:lineRule="auto" w:before="99"/>
        <w:ind w:left="1080" w:firstLine="240"/>
        <w:jc w:val="both"/>
      </w:pPr>
      <w:r>
        <w:rPr/>
        <w:pict>
          <v:rect style="position:absolute;margin-left:0pt;margin-top:144.935959pt;width:36pt;height:24pt;mso-position-horizontal-relative:page;mso-position-vertical-relative:paragraph;z-index:253252608" filled="true" fillcolor="#e8dac8" stroked="false">
            <v:fill type="solid"/>
            <w10:wrap type="none"/>
          </v:rect>
        </w:pict>
      </w:r>
      <w:r>
        <w:rPr/>
        <w:pict>
          <v:group style="position:absolute;margin-left:114.079803pt;margin-top:170.290955pt;width:152.15pt;height:227.9pt;mso-position-horizontal-relative:page;mso-position-vertical-relative:paragraph;z-index:253256704" coordorigin="2282,3406" coordsize="3043,4558">
            <v:line style="position:absolute" from="5307,5010" to="2419,5010" stroked="true" strokeweight="2pt" strokecolor="#2384c6">
              <v:stroke dashstyle="shortdash"/>
            </v:line>
            <v:line style="position:absolute" from="3528,3742" to="3528,7882" stroked="true" strokeweight="1pt" strokecolor="#231f20">
              <v:stroke dashstyle="shortdash"/>
            </v:line>
            <v:shape style="position:absolute;left:0;top:13832;width:2888;height:3340" coordorigin="0,13832" coordsize="2888,3340" path="m2417,4968l3527,4968,3527,4235,3524,4150,3534,4106,3566,4088,3630,4082,3664,4093,3693,4124,3716,4166,3737,4208,3743,4221,3756,4245,3774,4280,3797,4322,3827,4372,3862,4427,3902,4486,3948,4547,3999,4610,4055,4672,4116,4733,4182,4790,4253,4843,4329,4889,4409,4927,4494,4957,4583,4975,4677,4982,5297,4982m2426,6847l3451,6847,3488,6839,3523,6853,3579,6902,3675,7001,3704,7030,3747,7070,3801,7117,3864,7169,3934,7223,4010,7275,4090,7323,4172,7365,4255,7397,4335,7417,4412,7421,5304,7421e" filled="false" stroked="true" strokeweight="2pt" strokecolor="#f0535f">
              <v:path arrowok="t"/>
              <v:stroke dashstyle="solid"/>
            </v:shape>
            <v:shape style="position:absolute;left:-85;top:14718;width:2975;height:4038" coordorigin="-84,14719" coordsize="2975,4038" path="m2414,3925l2414,5945,5304,5945m5304,6045l2414,6045,2414,7875,5304,7875m2409,4163l2329,4163m2409,5010l2329,5010m2409,6263l2329,6263m2409,6847l2329,6847m2409,7430l2329,7430m5304,7883l5304,7963m5106,7883l5106,7963m4909,7883l4909,7963m4712,7883l4712,7963m4514,7883l4514,7963m4317,7883l4317,7963m4120,7883l4120,7963m3923,7883l3923,7963m3725,7883l3725,7963m3528,7883l3528,7963m3331,7883l3331,7963m3133,7883l3133,7963m2936,7883l2936,7963m2739,7883l2739,7963m2541,7883l2541,7963e" filled="false" stroked="true" strokeweight="1pt" strokecolor="#231f20">
              <v:path arrowok="t"/>
              <v:stroke dashstyle="solid"/>
            </v:shape>
            <v:line style="position:absolute" from="5304,3742" to="5304,7882" stroked="true" strokeweight="1pt" strokecolor="#231f20">
              <v:stroke dashstyle="shortdash"/>
            </v:line>
            <v:rect style="position:absolute;left:3522;top:3415;width:1781;height:343" filled="true" fillcolor="#d4e5f3" stroked="false">
              <v:fill type="solid"/>
            </v:rect>
            <v:rect style="position:absolute;left:3522;top:3415;width:1781;height:343" filled="false" stroked="true" strokeweight="1pt" strokecolor="#231f20">
              <v:stroke dashstyle="solid"/>
            </v:rect>
            <v:shape style="position:absolute;left:2281;top:7600;width:260;height:215" type="#_x0000_t75" stroked="false">
              <v:imagedata r:id="rId1034" o:title=""/>
            </v:shape>
            <v:shape style="position:absolute;left:2281;top:5437;width:260;height:215" type="#_x0000_t75" stroked="false">
              <v:imagedata r:id="rId1035" o:title=""/>
            </v:shape>
            <v:shape style="position:absolute;left:-144;top:13850;width:201;height:869" coordorigin="-144,13850" coordsize="201,869" path="m3944,5165l3944,5011m4001,4296l3800,4296e" filled="false" stroked="true" strokeweight=".75pt" strokecolor="#231f20">
              <v:path arrowok="t"/>
              <v:stroke dashstyle="solid"/>
            </v:shape>
            <v:shape style="position:absolute;left:3874;top:3481;width:114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Diuretic therapy</w:t>
                    </w:r>
                  </w:p>
                </w:txbxContent>
              </v:textbox>
              <w10:wrap type="none"/>
            </v:shape>
            <v:shape style="position:absolute;left:4021;top:4201;width:68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Excretion</w:t>
                    </w:r>
                  </w:p>
                </w:txbxContent>
              </v:textbox>
              <w10:wrap type="none"/>
            </v:shape>
            <v:shape style="position:absolute;left:3726;top:5154;width:45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Intake</w:t>
                    </w:r>
                  </w:p>
                </w:txbxContent>
              </v:textbox>
              <w10:wrap type="none"/>
            </v:shape>
            <w10:wrap type="none"/>
          </v:group>
        </w:pict>
      </w:r>
      <w:r>
        <w:rPr>
          <w:color w:val="231F20"/>
          <w:w w:val="105"/>
        </w:rPr>
        <w:t>By blocking sodium­chloride­potassium</w:t>
      </w:r>
      <w:r>
        <w:rPr>
          <w:color w:val="231F20"/>
          <w:spacing w:val="-23"/>
          <w:w w:val="105"/>
        </w:rPr>
        <w:t> </w:t>
      </w:r>
      <w:r>
        <w:rPr>
          <w:color w:val="231F20"/>
          <w:w w:val="105"/>
        </w:rPr>
        <w:t>co­transport in the luminal membrane of the loop of  Henle,  </w:t>
      </w:r>
      <w:r>
        <w:rPr>
          <w:color w:val="231F20"/>
          <w:spacing w:val="-7"/>
          <w:w w:val="105"/>
        </w:rPr>
        <w:t>the </w:t>
      </w:r>
      <w:r>
        <w:rPr>
          <w:color w:val="231F20"/>
          <w:w w:val="105"/>
        </w:rPr>
        <w:t>loop diuretics increase urine output of sodium,</w:t>
      </w:r>
      <w:r>
        <w:rPr>
          <w:color w:val="231F20"/>
          <w:spacing w:val="-17"/>
          <w:w w:val="105"/>
        </w:rPr>
        <w:t> </w:t>
      </w:r>
      <w:r>
        <w:rPr>
          <w:color w:val="231F20"/>
          <w:spacing w:val="-3"/>
          <w:w w:val="105"/>
        </w:rPr>
        <w:t>chloride, </w:t>
      </w:r>
      <w:r>
        <w:rPr>
          <w:color w:val="231F20"/>
          <w:w w:val="105"/>
        </w:rPr>
        <w:t>potassium,</w:t>
      </w:r>
      <w:r>
        <w:rPr>
          <w:color w:val="231F20"/>
          <w:spacing w:val="-26"/>
          <w:w w:val="105"/>
        </w:rPr>
        <w:t> </w:t>
      </w:r>
      <w:r>
        <w:rPr>
          <w:color w:val="231F20"/>
          <w:w w:val="105"/>
        </w:rPr>
        <w:t>and</w:t>
      </w:r>
      <w:r>
        <w:rPr>
          <w:color w:val="231F20"/>
          <w:spacing w:val="-26"/>
          <w:w w:val="105"/>
        </w:rPr>
        <w:t> </w:t>
      </w:r>
      <w:r>
        <w:rPr>
          <w:color w:val="231F20"/>
          <w:w w:val="105"/>
        </w:rPr>
        <w:t>other</w:t>
      </w:r>
      <w:r>
        <w:rPr>
          <w:color w:val="231F20"/>
          <w:spacing w:val="-26"/>
          <w:w w:val="105"/>
        </w:rPr>
        <w:t> </w:t>
      </w:r>
      <w:r>
        <w:rPr>
          <w:color w:val="231F20"/>
          <w:w w:val="105"/>
        </w:rPr>
        <w:t>electrolytes,</w:t>
      </w:r>
      <w:r>
        <w:rPr>
          <w:color w:val="231F20"/>
          <w:spacing w:val="-25"/>
          <w:w w:val="105"/>
        </w:rPr>
        <w:t> </w:t>
      </w:r>
      <w:r>
        <w:rPr>
          <w:color w:val="231F20"/>
          <w:w w:val="105"/>
        </w:rPr>
        <w:t>as</w:t>
      </w:r>
      <w:r>
        <w:rPr>
          <w:color w:val="231F20"/>
          <w:spacing w:val="-26"/>
          <w:w w:val="105"/>
        </w:rPr>
        <w:t> </w:t>
      </w:r>
      <w:r>
        <w:rPr>
          <w:color w:val="231F20"/>
          <w:w w:val="105"/>
        </w:rPr>
        <w:t>well</w:t>
      </w:r>
      <w:r>
        <w:rPr>
          <w:color w:val="231F20"/>
          <w:spacing w:val="-26"/>
          <w:w w:val="105"/>
        </w:rPr>
        <w:t> </w:t>
      </w:r>
      <w:r>
        <w:rPr>
          <w:color w:val="231F20"/>
          <w:w w:val="105"/>
        </w:rPr>
        <w:t>as</w:t>
      </w:r>
      <w:r>
        <w:rPr>
          <w:color w:val="231F20"/>
          <w:spacing w:val="-26"/>
          <w:w w:val="105"/>
        </w:rPr>
        <w:t> </w:t>
      </w:r>
      <w:r>
        <w:rPr>
          <w:color w:val="231F20"/>
          <w:spacing w:val="-3"/>
          <w:w w:val="105"/>
        </w:rPr>
        <w:t>water,</w:t>
      </w:r>
      <w:r>
        <w:rPr>
          <w:color w:val="231F20"/>
          <w:spacing w:val="-25"/>
          <w:w w:val="105"/>
        </w:rPr>
        <w:t> </w:t>
      </w:r>
      <w:r>
        <w:rPr>
          <w:color w:val="231F20"/>
          <w:w w:val="105"/>
        </w:rPr>
        <w:t>for</w:t>
      </w:r>
      <w:r>
        <w:rPr>
          <w:color w:val="231F20"/>
          <w:spacing w:val="-26"/>
          <w:w w:val="105"/>
        </w:rPr>
        <w:t> </w:t>
      </w:r>
      <w:r>
        <w:rPr>
          <w:color w:val="231F20"/>
          <w:w w:val="105"/>
        </w:rPr>
        <w:t>two reasons:</w:t>
      </w:r>
      <w:r>
        <w:rPr>
          <w:color w:val="231F20"/>
          <w:spacing w:val="-19"/>
          <w:w w:val="105"/>
        </w:rPr>
        <w:t> </w:t>
      </w:r>
      <w:r>
        <w:rPr>
          <w:color w:val="231F20"/>
          <w:w w:val="105"/>
        </w:rPr>
        <w:t>(1)</w:t>
      </w:r>
      <w:r>
        <w:rPr>
          <w:color w:val="231F20"/>
          <w:spacing w:val="-19"/>
          <w:w w:val="105"/>
        </w:rPr>
        <w:t> </w:t>
      </w:r>
      <w:r>
        <w:rPr>
          <w:color w:val="231F20"/>
          <w:w w:val="105"/>
        </w:rPr>
        <w:t>they</w:t>
      </w:r>
      <w:r>
        <w:rPr>
          <w:color w:val="231F20"/>
          <w:spacing w:val="-19"/>
          <w:w w:val="105"/>
        </w:rPr>
        <w:t> </w:t>
      </w:r>
      <w:r>
        <w:rPr>
          <w:color w:val="231F20"/>
          <w:w w:val="105"/>
        </w:rPr>
        <w:t>greatly</w:t>
      </w:r>
      <w:r>
        <w:rPr>
          <w:color w:val="231F20"/>
          <w:spacing w:val="-18"/>
          <w:w w:val="105"/>
        </w:rPr>
        <w:t> </w:t>
      </w:r>
      <w:r>
        <w:rPr>
          <w:color w:val="231F20"/>
          <w:w w:val="105"/>
        </w:rPr>
        <w:t>increase</w:t>
      </w:r>
      <w:r>
        <w:rPr>
          <w:color w:val="231F20"/>
          <w:spacing w:val="-19"/>
          <w:w w:val="105"/>
        </w:rPr>
        <w:t> </w:t>
      </w:r>
      <w:r>
        <w:rPr>
          <w:color w:val="231F20"/>
          <w:w w:val="105"/>
        </w:rPr>
        <w:t>the</w:t>
      </w:r>
      <w:r>
        <w:rPr>
          <w:color w:val="231F20"/>
          <w:spacing w:val="-19"/>
          <w:w w:val="105"/>
        </w:rPr>
        <w:t> </w:t>
      </w:r>
      <w:r>
        <w:rPr>
          <w:color w:val="231F20"/>
          <w:w w:val="105"/>
        </w:rPr>
        <w:t>quantities</w:t>
      </w:r>
      <w:r>
        <w:rPr>
          <w:color w:val="231F20"/>
          <w:spacing w:val="-18"/>
          <w:w w:val="105"/>
        </w:rPr>
        <w:t> </w:t>
      </w:r>
      <w:r>
        <w:rPr>
          <w:color w:val="231F20"/>
          <w:w w:val="105"/>
        </w:rPr>
        <w:t>of</w:t>
      </w:r>
      <w:r>
        <w:rPr>
          <w:color w:val="231F20"/>
          <w:spacing w:val="-19"/>
          <w:w w:val="105"/>
        </w:rPr>
        <w:t> </w:t>
      </w:r>
      <w:r>
        <w:rPr>
          <w:color w:val="231F20"/>
          <w:w w:val="105"/>
        </w:rPr>
        <w:t>solutes delivered to the distal parts of the nephrons, and </w:t>
      </w:r>
      <w:r>
        <w:rPr>
          <w:color w:val="231F20"/>
          <w:spacing w:val="-3"/>
          <w:w w:val="105"/>
        </w:rPr>
        <w:t>these </w:t>
      </w:r>
      <w:r>
        <w:rPr>
          <w:color w:val="231F20"/>
          <w:w w:val="105"/>
        </w:rPr>
        <w:t>solutes act as osmotic agents to prevent water reabsorp­ tion</w:t>
      </w:r>
      <w:r>
        <w:rPr>
          <w:color w:val="231F20"/>
          <w:spacing w:val="-10"/>
          <w:w w:val="105"/>
        </w:rPr>
        <w:t> </w:t>
      </w:r>
      <w:r>
        <w:rPr>
          <w:color w:val="231F20"/>
          <w:w w:val="105"/>
        </w:rPr>
        <w:t>as</w:t>
      </w:r>
      <w:r>
        <w:rPr>
          <w:color w:val="231F20"/>
          <w:spacing w:val="-10"/>
          <w:w w:val="105"/>
        </w:rPr>
        <w:t> </w:t>
      </w:r>
      <w:r>
        <w:rPr>
          <w:color w:val="231F20"/>
          <w:w w:val="105"/>
        </w:rPr>
        <w:t>well;</w:t>
      </w:r>
      <w:r>
        <w:rPr>
          <w:color w:val="231F20"/>
          <w:spacing w:val="-9"/>
          <w:w w:val="105"/>
        </w:rPr>
        <w:t> </w:t>
      </w:r>
      <w:r>
        <w:rPr>
          <w:color w:val="231F20"/>
          <w:w w:val="105"/>
        </w:rPr>
        <w:t>and</w:t>
      </w:r>
      <w:r>
        <w:rPr>
          <w:color w:val="231F20"/>
          <w:spacing w:val="-10"/>
          <w:w w:val="105"/>
        </w:rPr>
        <w:t> </w:t>
      </w:r>
      <w:r>
        <w:rPr>
          <w:color w:val="231F20"/>
          <w:w w:val="105"/>
        </w:rPr>
        <w:t>(2)</w:t>
      </w:r>
      <w:r>
        <w:rPr>
          <w:color w:val="231F20"/>
          <w:spacing w:val="-9"/>
          <w:w w:val="105"/>
        </w:rPr>
        <w:t> </w:t>
      </w:r>
      <w:r>
        <w:rPr>
          <w:color w:val="231F20"/>
          <w:w w:val="105"/>
        </w:rPr>
        <w:t>they</w:t>
      </w:r>
      <w:r>
        <w:rPr>
          <w:color w:val="231F20"/>
          <w:spacing w:val="-10"/>
          <w:w w:val="105"/>
        </w:rPr>
        <w:t> </w:t>
      </w:r>
      <w:r>
        <w:rPr>
          <w:color w:val="231F20"/>
          <w:w w:val="105"/>
        </w:rPr>
        <w:t>disrupt</w:t>
      </w:r>
      <w:r>
        <w:rPr>
          <w:color w:val="231F20"/>
          <w:spacing w:val="-9"/>
          <w:w w:val="105"/>
        </w:rPr>
        <w:t> </w:t>
      </w:r>
      <w:r>
        <w:rPr>
          <w:color w:val="231F20"/>
          <w:w w:val="105"/>
        </w:rPr>
        <w:t>the</w:t>
      </w:r>
      <w:r>
        <w:rPr>
          <w:color w:val="231F20"/>
          <w:spacing w:val="-10"/>
          <w:w w:val="105"/>
        </w:rPr>
        <w:t> </w:t>
      </w:r>
      <w:r>
        <w:rPr>
          <w:color w:val="231F20"/>
          <w:w w:val="105"/>
        </w:rPr>
        <w:t>countercurrent</w:t>
      </w:r>
      <w:r>
        <w:rPr>
          <w:color w:val="231F20"/>
          <w:spacing w:val="-9"/>
          <w:w w:val="105"/>
        </w:rPr>
        <w:t> </w:t>
      </w:r>
      <w:r>
        <w:rPr>
          <w:color w:val="231F20"/>
          <w:spacing w:val="-4"/>
          <w:w w:val="105"/>
        </w:rPr>
        <w:t>mul­ </w:t>
      </w:r>
      <w:r>
        <w:rPr>
          <w:color w:val="231F20"/>
          <w:w w:val="105"/>
        </w:rPr>
        <w:t>tiplier system by decreasing absorption of ions from </w:t>
      </w:r>
      <w:r>
        <w:rPr>
          <w:color w:val="231F20"/>
          <w:spacing w:val="-6"/>
          <w:w w:val="105"/>
        </w:rPr>
        <w:t>the </w:t>
      </w:r>
      <w:r>
        <w:rPr>
          <w:color w:val="231F20"/>
          <w:w w:val="105"/>
        </w:rPr>
        <w:t>loop of Henle into the medullary interstitium, </w:t>
      </w:r>
      <w:r>
        <w:rPr>
          <w:color w:val="231F20"/>
          <w:spacing w:val="-3"/>
          <w:w w:val="105"/>
        </w:rPr>
        <w:t>thereby </w:t>
      </w:r>
      <w:r>
        <w:rPr>
          <w:color w:val="231F20"/>
          <w:w w:val="105"/>
        </w:rPr>
        <w:t>decreasing the osmolarity of the medullary </w:t>
      </w:r>
      <w:r>
        <w:rPr>
          <w:color w:val="231F20"/>
          <w:spacing w:val="-3"/>
          <w:w w:val="105"/>
        </w:rPr>
        <w:t>interstitial </w:t>
      </w:r>
      <w:r>
        <w:rPr>
          <w:color w:val="231F20"/>
          <w:w w:val="105"/>
        </w:rPr>
        <w:t>fluid.</w:t>
      </w:r>
      <w:r>
        <w:rPr>
          <w:color w:val="231F20"/>
          <w:spacing w:val="25"/>
          <w:w w:val="105"/>
        </w:rPr>
        <w:t> </w:t>
      </w:r>
      <w:r>
        <w:rPr>
          <w:color w:val="231F20"/>
          <w:w w:val="105"/>
        </w:rPr>
        <w:t>Because</w:t>
      </w:r>
      <w:r>
        <w:rPr>
          <w:color w:val="231F20"/>
          <w:spacing w:val="25"/>
          <w:w w:val="105"/>
        </w:rPr>
        <w:t> </w:t>
      </w:r>
      <w:r>
        <w:rPr>
          <w:color w:val="231F20"/>
          <w:w w:val="105"/>
        </w:rPr>
        <w:t>of</w:t>
      </w:r>
      <w:r>
        <w:rPr>
          <w:color w:val="231F20"/>
          <w:spacing w:val="25"/>
          <w:w w:val="105"/>
        </w:rPr>
        <w:t> </w:t>
      </w:r>
      <w:r>
        <w:rPr>
          <w:color w:val="231F20"/>
          <w:w w:val="105"/>
        </w:rPr>
        <w:t>this</w:t>
      </w:r>
      <w:r>
        <w:rPr>
          <w:color w:val="231F20"/>
          <w:spacing w:val="25"/>
          <w:w w:val="105"/>
        </w:rPr>
        <w:t> </w:t>
      </w:r>
      <w:r>
        <w:rPr>
          <w:color w:val="231F20"/>
          <w:w w:val="105"/>
        </w:rPr>
        <w:t>effect,</w:t>
      </w:r>
      <w:r>
        <w:rPr>
          <w:color w:val="231F20"/>
          <w:spacing w:val="25"/>
          <w:w w:val="105"/>
        </w:rPr>
        <w:t> </w:t>
      </w:r>
      <w:r>
        <w:rPr>
          <w:color w:val="231F20"/>
          <w:w w:val="105"/>
        </w:rPr>
        <w:t>loop</w:t>
      </w:r>
      <w:r>
        <w:rPr>
          <w:color w:val="231F20"/>
          <w:spacing w:val="25"/>
          <w:w w:val="105"/>
        </w:rPr>
        <w:t> </w:t>
      </w:r>
      <w:r>
        <w:rPr>
          <w:color w:val="231F20"/>
          <w:w w:val="105"/>
        </w:rPr>
        <w:t>diuretics</w:t>
      </w:r>
      <w:r>
        <w:rPr>
          <w:color w:val="231F20"/>
          <w:spacing w:val="25"/>
          <w:w w:val="105"/>
        </w:rPr>
        <w:t> </w:t>
      </w:r>
      <w:r>
        <w:rPr>
          <w:color w:val="231F20"/>
          <w:w w:val="105"/>
        </w:rPr>
        <w:t>impair</w:t>
      </w:r>
      <w:r>
        <w:rPr>
          <w:color w:val="231F20"/>
          <w:spacing w:val="25"/>
          <w:w w:val="105"/>
        </w:rPr>
        <w:t> </w:t>
      </w:r>
      <w:r>
        <w:rPr>
          <w:color w:val="231F20"/>
          <w:spacing w:val="-5"/>
          <w:w w:val="105"/>
        </w:rPr>
        <w:t>the</w:t>
      </w:r>
    </w:p>
    <w:p>
      <w:pPr>
        <w:pStyle w:val="BodyText"/>
        <w:rPr>
          <w:sz w:val="28"/>
        </w:rPr>
      </w:pPr>
    </w:p>
    <w:p>
      <w:pPr>
        <w:pStyle w:val="BodyText"/>
        <w:rPr>
          <w:sz w:val="28"/>
        </w:rPr>
      </w:pPr>
    </w:p>
    <w:p>
      <w:pPr>
        <w:pStyle w:val="BodyText"/>
        <w:spacing w:before="2"/>
        <w:rPr>
          <w:sz w:val="40"/>
        </w:rPr>
      </w:pPr>
    </w:p>
    <w:p>
      <w:pPr>
        <w:spacing w:before="1"/>
        <w:ind w:left="1289" w:right="2767" w:firstLine="0"/>
        <w:jc w:val="center"/>
        <w:rPr>
          <w:rFonts w:ascii="Helvetica"/>
          <w:sz w:val="16"/>
        </w:rPr>
      </w:pPr>
      <w:r>
        <w:rPr/>
        <w:pict>
          <v:shape style="position:absolute;margin-left:74.489799pt;margin-top:-3.301688pt;width:20.55pt;height:96.7pt;mso-position-horizontal-relative:page;mso-position-vertical-relative:paragraph;z-index:253258752" type="#_x0000_t202" filled="false" stroked="false">
            <v:textbox inset="0,0,0,0" style="layout-flow:vertical;mso-layout-flow-alt:bottom-to-top">
              <w:txbxContent>
                <w:p>
                  <w:pPr>
                    <w:spacing w:line="235" w:lineRule="auto" w:before="27"/>
                    <w:ind w:left="20" w:right="0" w:firstLine="173"/>
                    <w:jc w:val="left"/>
                    <w:rPr>
                      <w:rFonts w:ascii="Helvetica"/>
                      <w:b/>
                      <w:sz w:val="16"/>
                    </w:rPr>
                  </w:pPr>
                  <w:r>
                    <w:rPr>
                      <w:rFonts w:ascii="Helvetica"/>
                      <w:b/>
                      <w:color w:val="231F20"/>
                      <w:sz w:val="16"/>
                    </w:rPr>
                    <w:t>Sodium excretion or sodium intake (mEq/day)</w:t>
                  </w:r>
                </w:p>
              </w:txbxContent>
            </v:textbox>
            <w10:wrap type="none"/>
          </v:shape>
        </w:pict>
      </w:r>
      <w:r>
        <w:rPr>
          <w:rFonts w:ascii="Helvetica"/>
          <w:color w:val="231F20"/>
          <w:sz w:val="16"/>
        </w:rPr>
        <w:t>200</w:t>
      </w:r>
    </w:p>
    <w:p>
      <w:pPr>
        <w:pStyle w:val="BodyText"/>
        <w:spacing w:line="249" w:lineRule="auto" w:before="99"/>
        <w:ind w:left="319" w:right="1437"/>
        <w:jc w:val="both"/>
      </w:pPr>
      <w:r>
        <w:rPr/>
        <w:br w:type="column"/>
      </w:r>
      <w:r>
        <w:rPr>
          <w:color w:val="231F20"/>
        </w:rPr>
        <w:t>ability of the kidneys to either concentrate or dilute the urine. Urinary dilution is impaired because the inhibition of sodium and chloride reabsorption in the  loop  of  Henle causes more of these ions to be  excreted</w:t>
      </w:r>
      <w:r>
        <w:rPr>
          <w:color w:val="231F20"/>
          <w:spacing w:val="27"/>
        </w:rPr>
        <w:t> </w:t>
      </w:r>
      <w:r>
        <w:rPr>
          <w:color w:val="231F20"/>
        </w:rPr>
        <w:t>along with increased water excretion. Urinary concentration is impaired because the renal medullary interstitial </w:t>
      </w:r>
      <w:r>
        <w:rPr>
          <w:color w:val="231F20"/>
          <w:spacing w:val="-3"/>
        </w:rPr>
        <w:t>fluid </w:t>
      </w:r>
      <w:r>
        <w:rPr>
          <w:color w:val="231F20"/>
        </w:rPr>
        <w:t>concentration of these ions, and therefore renal medul­ lary osmolarity, is reduced.  Consequently,</w:t>
      </w:r>
      <w:r>
        <w:rPr>
          <w:color w:val="231F20"/>
          <w:spacing w:val="36"/>
        </w:rPr>
        <w:t> </w:t>
      </w:r>
      <w:r>
        <w:rPr>
          <w:color w:val="231F20"/>
        </w:rPr>
        <w:t>reabsorption of fluid from the collecting ducts is decreased, so</w:t>
      </w:r>
      <w:r>
        <w:rPr>
          <w:color w:val="231F20"/>
          <w:spacing w:val="32"/>
        </w:rPr>
        <w:t> </w:t>
      </w:r>
      <w:r>
        <w:rPr>
          <w:color w:val="231F20"/>
        </w:rPr>
        <w:t>the maximal</w:t>
      </w:r>
      <w:r>
        <w:rPr>
          <w:color w:val="231F20"/>
          <w:spacing w:val="-10"/>
        </w:rPr>
        <w:t> </w:t>
      </w:r>
      <w:r>
        <w:rPr>
          <w:color w:val="231F20"/>
        </w:rPr>
        <w:t>concentrating</w:t>
      </w:r>
      <w:r>
        <w:rPr>
          <w:color w:val="231F20"/>
          <w:spacing w:val="-9"/>
        </w:rPr>
        <w:t> </w:t>
      </w:r>
      <w:r>
        <w:rPr>
          <w:color w:val="231F20"/>
        </w:rPr>
        <w:t>ability</w:t>
      </w:r>
      <w:r>
        <w:rPr>
          <w:color w:val="231F20"/>
          <w:spacing w:val="-9"/>
        </w:rPr>
        <w:t> </w:t>
      </w:r>
      <w:r>
        <w:rPr>
          <w:color w:val="231F20"/>
        </w:rPr>
        <w:t>of</w:t>
      </w:r>
      <w:r>
        <w:rPr>
          <w:color w:val="231F20"/>
          <w:spacing w:val="-9"/>
        </w:rPr>
        <w:t> </w:t>
      </w:r>
      <w:r>
        <w:rPr>
          <w:color w:val="231F20"/>
        </w:rPr>
        <w:t>the</w:t>
      </w:r>
      <w:r>
        <w:rPr>
          <w:color w:val="231F20"/>
          <w:spacing w:val="-10"/>
        </w:rPr>
        <w:t> </w:t>
      </w:r>
      <w:r>
        <w:rPr>
          <w:color w:val="231F20"/>
        </w:rPr>
        <w:t>kidneys</w:t>
      </w:r>
      <w:r>
        <w:rPr>
          <w:color w:val="231F20"/>
          <w:spacing w:val="-9"/>
        </w:rPr>
        <w:t> </w:t>
      </w:r>
      <w:r>
        <w:rPr>
          <w:color w:val="231F20"/>
        </w:rPr>
        <w:t>is</w:t>
      </w:r>
      <w:r>
        <w:rPr>
          <w:color w:val="231F20"/>
          <w:spacing w:val="-9"/>
        </w:rPr>
        <w:t> </w:t>
      </w:r>
      <w:r>
        <w:rPr>
          <w:color w:val="231F20"/>
        </w:rPr>
        <w:t>also</w:t>
      </w:r>
      <w:r>
        <w:rPr>
          <w:color w:val="231F20"/>
          <w:spacing w:val="-9"/>
        </w:rPr>
        <w:t> </w:t>
      </w:r>
      <w:r>
        <w:rPr>
          <w:color w:val="231F20"/>
        </w:rPr>
        <w:t>greatly reduced. In addition, decreased renal medullary intersti­ tial fluid osmolarity reduces absorption of water from </w:t>
      </w:r>
      <w:r>
        <w:rPr>
          <w:color w:val="231F20"/>
          <w:spacing w:val="-5"/>
        </w:rPr>
        <w:t>the </w:t>
      </w:r>
      <w:r>
        <w:rPr>
          <w:color w:val="231F20"/>
        </w:rPr>
        <w:t>descending loop of Henle. Because of these </w:t>
      </w:r>
      <w:r>
        <w:rPr>
          <w:color w:val="231F20"/>
          <w:spacing w:val="-3"/>
        </w:rPr>
        <w:t>multiple </w:t>
      </w:r>
      <w:r>
        <w:rPr>
          <w:color w:val="231F20"/>
        </w:rPr>
        <w:t>effects, 20 to 30 percent of the glomerular filtrate may be delivered into the urine, causing urine output,  </w:t>
      </w:r>
      <w:r>
        <w:rPr>
          <w:color w:val="231F20"/>
          <w:spacing w:val="-3"/>
        </w:rPr>
        <w:t>under  </w:t>
      </w:r>
      <w:r>
        <w:rPr>
          <w:color w:val="231F20"/>
        </w:rPr>
        <w:t>acute conditions, to be as great as 25 times normal for at least a few</w:t>
      </w:r>
      <w:r>
        <w:rPr>
          <w:color w:val="231F20"/>
          <w:spacing w:val="19"/>
        </w:rPr>
        <w:t> </w:t>
      </w:r>
      <w:r>
        <w:rPr>
          <w:color w:val="231F20"/>
        </w:rPr>
        <w:t>minutes.</w:t>
      </w:r>
    </w:p>
    <w:p>
      <w:pPr>
        <w:spacing w:after="0" w:line="249" w:lineRule="auto"/>
        <w:jc w:val="both"/>
        <w:sectPr>
          <w:type w:val="continuous"/>
          <w:pgSz w:w="12240" w:h="15660"/>
          <w:pgMar w:top="0" w:bottom="760" w:left="0" w:right="0"/>
          <w:cols w:num="2" w:equalWidth="0">
            <w:col w:w="5761" w:space="40"/>
            <w:col w:w="6439"/>
          </w:cols>
        </w:sectPr>
      </w:pPr>
    </w:p>
    <w:p>
      <w:pPr>
        <w:pStyle w:val="BodyText"/>
        <w:spacing w:before="11"/>
        <w:rPr>
          <w:sz w:val="13"/>
        </w:rPr>
      </w:pPr>
    </w:p>
    <w:p>
      <w:pPr>
        <w:spacing w:after="0"/>
        <w:rPr>
          <w:sz w:val="13"/>
        </w:rPr>
        <w:sectPr>
          <w:type w:val="continuous"/>
          <w:pgSz w:w="12240" w:h="15660"/>
          <w:pgMar w:top="0" w:bottom="760" w:left="0" w:right="0"/>
        </w:sectPr>
      </w:pPr>
    </w:p>
    <w:p>
      <w:pPr>
        <w:pStyle w:val="BodyText"/>
        <w:rPr>
          <w:sz w:val="18"/>
        </w:rPr>
      </w:pPr>
    </w:p>
    <w:p>
      <w:pPr>
        <w:pStyle w:val="BodyText"/>
        <w:spacing w:before="10"/>
        <w:rPr>
          <w:sz w:val="24"/>
        </w:rPr>
      </w:pPr>
    </w:p>
    <w:p>
      <w:pPr>
        <w:spacing w:before="0"/>
        <w:ind w:left="0" w:right="0" w:firstLine="0"/>
        <w:jc w:val="right"/>
        <w:rPr>
          <w:rFonts w:ascii="Helvetica"/>
          <w:sz w:val="16"/>
        </w:rPr>
      </w:pPr>
      <w:r>
        <w:rPr>
          <w:rFonts w:ascii="Helvetica"/>
          <w:color w:val="231F20"/>
          <w:spacing w:val="-1"/>
          <w:sz w:val="16"/>
        </w:rPr>
        <w:t>100</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21"/>
        </w:rPr>
      </w:pPr>
    </w:p>
    <w:p>
      <w:pPr>
        <w:spacing w:before="0"/>
        <w:ind w:left="0" w:right="0" w:firstLine="0"/>
        <w:jc w:val="right"/>
        <w:rPr>
          <w:rFonts w:ascii="Helvetica"/>
          <w:sz w:val="16"/>
        </w:rPr>
      </w:pPr>
      <w:r>
        <w:rPr/>
        <w:pict>
          <v:shape style="position:absolute;margin-left:74.489799pt;margin-top:.880307pt;width:20.55pt;height:69.150pt;mso-position-horizontal-relative:page;mso-position-vertical-relative:paragraph;z-index:253257728" type="#_x0000_t202" filled="false" stroked="false">
            <v:textbox inset="0,0,0,0" style="layout-flow:vertical;mso-layout-flow-alt:bottom-to-top">
              <w:txbxContent>
                <w:p>
                  <w:pPr>
                    <w:spacing w:line="235" w:lineRule="auto" w:before="27"/>
                    <w:ind w:left="144" w:right="1" w:hanging="125"/>
                    <w:jc w:val="left"/>
                    <w:rPr>
                      <w:rFonts w:ascii="Helvetica"/>
                      <w:b/>
                      <w:sz w:val="16"/>
                    </w:rPr>
                  </w:pPr>
                  <w:r>
                    <w:rPr>
                      <w:rFonts w:ascii="Helvetica"/>
                      <w:b/>
                      <w:color w:val="231F20"/>
                      <w:sz w:val="16"/>
                    </w:rPr>
                    <w:t>Extracellular fluid volume (liters)</w:t>
                  </w:r>
                </w:p>
              </w:txbxContent>
            </v:textbox>
            <w10:wrap type="none"/>
          </v:shape>
        </w:pict>
      </w:r>
      <w:r>
        <w:rPr>
          <w:rFonts w:ascii="Helvetica"/>
          <w:color w:val="231F20"/>
          <w:w w:val="95"/>
          <w:sz w:val="16"/>
        </w:rPr>
        <w:t>15.0</w:t>
      </w:r>
    </w:p>
    <w:p>
      <w:pPr>
        <w:pStyle w:val="BodyText"/>
        <w:rPr>
          <w:rFonts w:ascii="Helvetica"/>
          <w:sz w:val="18"/>
        </w:rPr>
      </w:pPr>
    </w:p>
    <w:p>
      <w:pPr>
        <w:pStyle w:val="BodyText"/>
        <w:spacing w:before="11"/>
        <w:rPr>
          <w:rFonts w:ascii="Helvetica"/>
          <w:sz w:val="16"/>
        </w:rPr>
      </w:pPr>
    </w:p>
    <w:p>
      <w:pPr>
        <w:spacing w:before="0"/>
        <w:ind w:left="0" w:right="0" w:firstLine="0"/>
        <w:jc w:val="right"/>
        <w:rPr>
          <w:rFonts w:ascii="Helvetica"/>
          <w:sz w:val="16"/>
        </w:rPr>
      </w:pPr>
      <w:r>
        <w:rPr>
          <w:rFonts w:ascii="Helvetica"/>
          <w:color w:val="231F20"/>
          <w:w w:val="95"/>
          <w:sz w:val="16"/>
        </w:rPr>
        <w:t>14.0</w:t>
      </w:r>
    </w:p>
    <w:p>
      <w:pPr>
        <w:pStyle w:val="BodyText"/>
        <w:rPr>
          <w:rFonts w:ascii="Helvetica"/>
          <w:sz w:val="18"/>
        </w:rPr>
      </w:pPr>
    </w:p>
    <w:p>
      <w:pPr>
        <w:pStyle w:val="BodyText"/>
        <w:spacing w:before="2"/>
        <w:rPr>
          <w:rFonts w:ascii="Helvetica"/>
          <w:sz w:val="17"/>
        </w:rPr>
      </w:pPr>
    </w:p>
    <w:p>
      <w:pPr>
        <w:spacing w:before="0"/>
        <w:ind w:left="0" w:right="0" w:firstLine="0"/>
        <w:jc w:val="right"/>
        <w:rPr>
          <w:rFonts w:ascii="Helvetica"/>
          <w:sz w:val="16"/>
        </w:rPr>
      </w:pPr>
      <w:r>
        <w:rPr>
          <w:rFonts w:ascii="Helvetica"/>
          <w:color w:val="231F20"/>
          <w:w w:val="95"/>
          <w:sz w:val="16"/>
        </w:rPr>
        <w:t>13.0</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1"/>
        <w:rPr>
          <w:rFonts w:ascii="Helvetica"/>
          <w:sz w:val="29"/>
        </w:rPr>
      </w:pPr>
    </w:p>
    <w:p>
      <w:pPr>
        <w:tabs>
          <w:tab w:pos="687" w:val="left" w:leader="none"/>
        </w:tabs>
        <w:spacing w:line="146" w:lineRule="exact" w:before="0"/>
        <w:ind w:left="301" w:right="0" w:firstLine="0"/>
        <w:jc w:val="left"/>
        <w:rPr>
          <w:rFonts w:ascii="Helvetica" w:hAnsi="Helvetica"/>
          <w:sz w:val="16"/>
        </w:rPr>
      </w:pPr>
      <w:r>
        <w:rPr>
          <w:rFonts w:ascii="Symbol" w:hAnsi="Symbol"/>
          <w:color w:val="231F20"/>
          <w:sz w:val="16"/>
        </w:rPr>
        <w:t></w:t>
      </w:r>
      <w:r>
        <w:rPr>
          <w:rFonts w:ascii="Helvetica" w:hAnsi="Helvetica"/>
          <w:color w:val="231F20"/>
          <w:sz w:val="16"/>
        </w:rPr>
        <w:t>4</w:t>
        <w:tab/>
      </w:r>
      <w:r>
        <w:rPr>
          <w:rFonts w:ascii="Symbol" w:hAnsi="Symbol"/>
          <w:color w:val="231F20"/>
          <w:spacing w:val="-10"/>
          <w:sz w:val="16"/>
        </w:rPr>
        <w:t></w:t>
      </w:r>
      <w:r>
        <w:rPr>
          <w:rFonts w:ascii="Helvetica" w:hAnsi="Helvetica"/>
          <w:color w:val="231F20"/>
          <w:spacing w:val="-10"/>
          <w:sz w:val="16"/>
        </w:rPr>
        <w:t>2</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22"/>
        </w:rPr>
      </w:pPr>
    </w:p>
    <w:p>
      <w:pPr>
        <w:tabs>
          <w:tab w:pos="659" w:val="left" w:leader="none"/>
          <w:tab w:pos="1051" w:val="left" w:leader="none"/>
          <w:tab w:pos="1453" w:val="left" w:leader="none"/>
          <w:tab w:pos="1845" w:val="left" w:leader="none"/>
        </w:tabs>
        <w:spacing w:line="135" w:lineRule="exact" w:before="0"/>
        <w:ind w:left="268" w:right="0" w:firstLine="0"/>
        <w:jc w:val="left"/>
        <w:rPr>
          <w:rFonts w:ascii="Helvetica"/>
          <w:sz w:val="16"/>
        </w:rPr>
      </w:pPr>
      <w:r>
        <w:rPr>
          <w:rFonts w:ascii="Helvetica"/>
          <w:color w:val="231F20"/>
          <w:sz w:val="16"/>
        </w:rPr>
        <w:t>0</w:t>
        <w:tab/>
        <w:t>2</w:t>
        <w:tab/>
        <w:t>4</w:t>
        <w:tab/>
        <w:t>6</w:t>
        <w:tab/>
      </w:r>
      <w:r>
        <w:rPr>
          <w:rFonts w:ascii="Helvetica"/>
          <w:color w:val="231F20"/>
          <w:spacing w:val="-20"/>
          <w:sz w:val="16"/>
        </w:rPr>
        <w:t>8</w:t>
      </w:r>
    </w:p>
    <w:p>
      <w:pPr>
        <w:pStyle w:val="Heading2"/>
        <w:spacing w:line="225" w:lineRule="auto" w:before="112"/>
        <w:ind w:left="927" w:right="2426"/>
      </w:pPr>
      <w:r>
        <w:rPr>
          <w:b w:val="0"/>
        </w:rPr>
        <w:br w:type="column"/>
      </w:r>
      <w:r>
        <w:rPr>
          <w:color w:val="231F20"/>
          <w:w w:val="105"/>
        </w:rPr>
        <w:t>THIAZIDE DIURETICS INHIBIT SODIUM-CHLORIDE REABSORPTION IN THE EARLY DISTAL TUBULE</w:t>
      </w:r>
    </w:p>
    <w:p>
      <w:pPr>
        <w:pStyle w:val="BodyText"/>
        <w:spacing w:line="249" w:lineRule="auto" w:before="127"/>
        <w:ind w:left="927" w:right="1437"/>
        <w:jc w:val="both"/>
      </w:pPr>
      <w:r>
        <w:rPr>
          <w:color w:val="231F20"/>
          <w:w w:val="105"/>
        </w:rPr>
        <w:t>The thiazide derivatives, such as chlorothiazide, </w:t>
      </w:r>
      <w:r>
        <w:rPr>
          <w:color w:val="231F20"/>
          <w:spacing w:val="-4"/>
          <w:w w:val="105"/>
        </w:rPr>
        <w:t>act </w:t>
      </w:r>
      <w:r>
        <w:rPr>
          <w:color w:val="231F20"/>
          <w:w w:val="105"/>
        </w:rPr>
        <w:t>mainly on the early distal tubules to block the sodium­ chloride co­transporter in the luminal membrane of the tubular cells. Under favorable conditions these agents may</w:t>
      </w:r>
      <w:r>
        <w:rPr>
          <w:color w:val="231F20"/>
          <w:spacing w:val="-14"/>
          <w:w w:val="105"/>
        </w:rPr>
        <w:t> </w:t>
      </w:r>
      <w:r>
        <w:rPr>
          <w:color w:val="231F20"/>
          <w:w w:val="105"/>
        </w:rPr>
        <w:t>cause</w:t>
      </w:r>
      <w:r>
        <w:rPr>
          <w:color w:val="231F20"/>
          <w:spacing w:val="-14"/>
          <w:w w:val="105"/>
        </w:rPr>
        <w:t> </w:t>
      </w:r>
      <w:r>
        <w:rPr>
          <w:color w:val="231F20"/>
          <w:w w:val="105"/>
        </w:rPr>
        <w:t>a</w:t>
      </w:r>
      <w:r>
        <w:rPr>
          <w:color w:val="231F20"/>
          <w:spacing w:val="-13"/>
          <w:w w:val="105"/>
        </w:rPr>
        <w:t> </w:t>
      </w:r>
      <w:r>
        <w:rPr>
          <w:color w:val="231F20"/>
          <w:w w:val="105"/>
        </w:rPr>
        <w:t>maximum</w:t>
      </w:r>
      <w:r>
        <w:rPr>
          <w:color w:val="231F20"/>
          <w:spacing w:val="-14"/>
          <w:w w:val="105"/>
        </w:rPr>
        <w:t> </w:t>
      </w:r>
      <w:r>
        <w:rPr>
          <w:color w:val="231F20"/>
          <w:w w:val="105"/>
        </w:rPr>
        <w:t>of</w:t>
      </w:r>
      <w:r>
        <w:rPr>
          <w:color w:val="231F20"/>
          <w:spacing w:val="-13"/>
          <w:w w:val="105"/>
        </w:rPr>
        <w:t> </w:t>
      </w:r>
      <w:r>
        <w:rPr>
          <w:color w:val="231F20"/>
          <w:w w:val="105"/>
        </w:rPr>
        <w:t>5</w:t>
      </w:r>
      <w:r>
        <w:rPr>
          <w:color w:val="231F20"/>
          <w:spacing w:val="-14"/>
          <w:w w:val="105"/>
        </w:rPr>
        <w:t> </w:t>
      </w:r>
      <w:r>
        <w:rPr>
          <w:color w:val="231F20"/>
          <w:w w:val="105"/>
        </w:rPr>
        <w:t>to</w:t>
      </w:r>
      <w:r>
        <w:rPr>
          <w:color w:val="231F20"/>
          <w:spacing w:val="-13"/>
          <w:w w:val="105"/>
        </w:rPr>
        <w:t> </w:t>
      </w:r>
      <w:r>
        <w:rPr>
          <w:color w:val="231F20"/>
          <w:w w:val="105"/>
        </w:rPr>
        <w:t>10</w:t>
      </w:r>
      <w:r>
        <w:rPr>
          <w:color w:val="231F20"/>
          <w:spacing w:val="-14"/>
          <w:w w:val="105"/>
        </w:rPr>
        <w:t> </w:t>
      </w:r>
      <w:r>
        <w:rPr>
          <w:color w:val="231F20"/>
          <w:w w:val="105"/>
        </w:rPr>
        <w:t>percent</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4"/>
          <w:w w:val="105"/>
        </w:rPr>
        <w:t> </w:t>
      </w:r>
      <w:r>
        <w:rPr>
          <w:color w:val="231F20"/>
          <w:w w:val="105"/>
        </w:rPr>
        <w:t>glomeru­ lar</w:t>
      </w:r>
      <w:r>
        <w:rPr>
          <w:color w:val="231F20"/>
          <w:spacing w:val="-8"/>
          <w:w w:val="105"/>
        </w:rPr>
        <w:t> </w:t>
      </w:r>
      <w:r>
        <w:rPr>
          <w:color w:val="231F20"/>
          <w:w w:val="105"/>
        </w:rPr>
        <w:t>filtrate</w:t>
      </w:r>
      <w:r>
        <w:rPr>
          <w:color w:val="231F20"/>
          <w:spacing w:val="-8"/>
          <w:w w:val="105"/>
        </w:rPr>
        <w:t> </w:t>
      </w:r>
      <w:r>
        <w:rPr>
          <w:color w:val="231F20"/>
          <w:w w:val="105"/>
        </w:rPr>
        <w:t>to</w:t>
      </w:r>
      <w:r>
        <w:rPr>
          <w:color w:val="231F20"/>
          <w:spacing w:val="-8"/>
          <w:w w:val="105"/>
        </w:rPr>
        <w:t> </w:t>
      </w:r>
      <w:r>
        <w:rPr>
          <w:color w:val="231F20"/>
          <w:w w:val="105"/>
        </w:rPr>
        <w:t>pass</w:t>
      </w:r>
      <w:r>
        <w:rPr>
          <w:color w:val="231F20"/>
          <w:spacing w:val="-8"/>
          <w:w w:val="105"/>
        </w:rPr>
        <w:t> </w:t>
      </w:r>
      <w:r>
        <w:rPr>
          <w:color w:val="231F20"/>
          <w:w w:val="105"/>
        </w:rPr>
        <w:t>into</w:t>
      </w:r>
      <w:r>
        <w:rPr>
          <w:color w:val="231F20"/>
          <w:spacing w:val="-8"/>
          <w:w w:val="105"/>
        </w:rPr>
        <w:t> </w:t>
      </w:r>
      <w:r>
        <w:rPr>
          <w:color w:val="231F20"/>
          <w:w w:val="105"/>
        </w:rPr>
        <w:t>the</w:t>
      </w:r>
      <w:r>
        <w:rPr>
          <w:color w:val="231F20"/>
          <w:spacing w:val="-8"/>
          <w:w w:val="105"/>
        </w:rPr>
        <w:t> </w:t>
      </w:r>
      <w:r>
        <w:rPr>
          <w:color w:val="231F20"/>
          <w:w w:val="105"/>
        </w:rPr>
        <w:t>urine,</w:t>
      </w:r>
      <w:r>
        <w:rPr>
          <w:color w:val="231F20"/>
          <w:spacing w:val="-8"/>
          <w:w w:val="105"/>
        </w:rPr>
        <w:t> </w:t>
      </w:r>
      <w:r>
        <w:rPr>
          <w:color w:val="231F20"/>
          <w:w w:val="105"/>
        </w:rPr>
        <w:t>which</w:t>
      </w:r>
      <w:r>
        <w:rPr>
          <w:color w:val="231F20"/>
          <w:spacing w:val="-8"/>
          <w:w w:val="105"/>
        </w:rPr>
        <w:t> </w:t>
      </w:r>
      <w:r>
        <w:rPr>
          <w:color w:val="231F20"/>
          <w:w w:val="105"/>
        </w:rPr>
        <w:t>is</w:t>
      </w:r>
      <w:r>
        <w:rPr>
          <w:color w:val="231F20"/>
          <w:spacing w:val="-8"/>
          <w:w w:val="105"/>
        </w:rPr>
        <w:t> </w:t>
      </w:r>
      <w:r>
        <w:rPr>
          <w:color w:val="231F20"/>
          <w:w w:val="105"/>
        </w:rPr>
        <w:t>about</w:t>
      </w:r>
      <w:r>
        <w:rPr>
          <w:color w:val="231F20"/>
          <w:spacing w:val="-8"/>
          <w:w w:val="105"/>
        </w:rPr>
        <w:t> </w:t>
      </w:r>
      <w:r>
        <w:rPr>
          <w:color w:val="231F20"/>
          <w:w w:val="105"/>
        </w:rPr>
        <w:t>the</w:t>
      </w:r>
      <w:r>
        <w:rPr>
          <w:color w:val="231F20"/>
          <w:spacing w:val="-8"/>
          <w:w w:val="105"/>
        </w:rPr>
        <w:t> </w:t>
      </w:r>
      <w:r>
        <w:rPr>
          <w:color w:val="231F20"/>
          <w:w w:val="105"/>
        </w:rPr>
        <w:t>same amount of sodium normally reabsorbed by the distal tubules.</w:t>
      </w:r>
    </w:p>
    <w:p>
      <w:pPr>
        <w:pStyle w:val="BodyText"/>
        <w:spacing w:before="2"/>
        <w:rPr>
          <w:sz w:val="31"/>
        </w:rPr>
      </w:pPr>
    </w:p>
    <w:p>
      <w:pPr>
        <w:pStyle w:val="Heading2"/>
        <w:spacing w:line="225" w:lineRule="auto"/>
        <w:ind w:left="927" w:right="1711"/>
      </w:pPr>
      <w:r>
        <w:rPr>
          <w:color w:val="231F20"/>
          <w:w w:val="105"/>
        </w:rPr>
        <w:t>CARBONIC ANHYDRASE INHIBITORS BLOCK SODIUM BICARBONATE</w:t>
      </w:r>
    </w:p>
    <w:p>
      <w:pPr>
        <w:spacing w:after="0" w:line="225" w:lineRule="auto"/>
        <w:sectPr>
          <w:type w:val="continuous"/>
          <w:pgSz w:w="12240" w:h="15660"/>
          <w:pgMar w:top="0" w:bottom="760" w:left="0" w:right="0"/>
          <w:cols w:num="4" w:equalWidth="0">
            <w:col w:w="2274" w:space="40"/>
            <w:col w:w="865" w:space="39"/>
            <w:col w:w="1935" w:space="39"/>
            <w:col w:w="7048"/>
          </w:cols>
        </w:sectPr>
      </w:pPr>
    </w:p>
    <w:p>
      <w:pPr>
        <w:spacing w:before="88"/>
        <w:ind w:left="3422" w:right="0" w:firstLine="0"/>
        <w:jc w:val="left"/>
        <w:rPr>
          <w:rFonts w:ascii="Helvetica"/>
          <w:b/>
          <w:sz w:val="16"/>
        </w:rPr>
      </w:pPr>
      <w:r>
        <w:rPr>
          <w:rFonts w:ascii="Helvetica"/>
          <w:b/>
          <w:color w:val="231F20"/>
          <w:sz w:val="16"/>
        </w:rPr>
        <w:t>Time (days)</w:t>
      </w:r>
    </w:p>
    <w:p>
      <w:pPr>
        <w:spacing w:line="261" w:lineRule="auto" w:before="92"/>
        <w:ind w:left="1080" w:right="0" w:firstLine="0"/>
        <w:jc w:val="both"/>
        <w:rPr>
          <w:rFonts w:ascii="Arial"/>
          <w:sz w:val="16"/>
        </w:rPr>
      </w:pPr>
      <w:bookmarkStart w:name="_bookmark116" w:id="117"/>
      <w:bookmarkEnd w:id="117"/>
      <w:r>
        <w:rPr/>
      </w:r>
      <w:r>
        <w:rPr>
          <w:rFonts w:ascii="Trebuchet MS"/>
          <w:b/>
          <w:color w:val="231F20"/>
          <w:sz w:val="16"/>
        </w:rPr>
        <w:t>Figure</w:t>
      </w:r>
      <w:r>
        <w:rPr>
          <w:rFonts w:ascii="Trebuchet MS"/>
          <w:b/>
          <w:color w:val="231F20"/>
          <w:spacing w:val="-22"/>
          <w:sz w:val="16"/>
        </w:rPr>
        <w:t> </w:t>
      </w:r>
      <w:r>
        <w:rPr>
          <w:rFonts w:ascii="Trebuchet MS"/>
          <w:b/>
          <w:color w:val="231F20"/>
          <w:sz w:val="16"/>
        </w:rPr>
        <w:t>32-1. </w:t>
      </w:r>
      <w:r>
        <w:rPr>
          <w:rFonts w:ascii="Arial"/>
          <w:color w:val="231F20"/>
          <w:sz w:val="16"/>
        </w:rPr>
        <w:t>Sodium</w:t>
      </w:r>
      <w:r>
        <w:rPr>
          <w:rFonts w:ascii="Arial"/>
          <w:color w:val="231F20"/>
          <w:spacing w:val="-18"/>
          <w:sz w:val="16"/>
        </w:rPr>
        <w:t> </w:t>
      </w:r>
      <w:r>
        <w:rPr>
          <w:rFonts w:ascii="Arial"/>
          <w:color w:val="231F20"/>
          <w:sz w:val="16"/>
        </w:rPr>
        <w:t>excretion</w:t>
      </w:r>
      <w:r>
        <w:rPr>
          <w:rFonts w:ascii="Arial"/>
          <w:color w:val="231F20"/>
          <w:spacing w:val="-17"/>
          <w:sz w:val="16"/>
        </w:rPr>
        <w:t> </w:t>
      </w:r>
      <w:r>
        <w:rPr>
          <w:rFonts w:ascii="Arial"/>
          <w:color w:val="231F20"/>
          <w:sz w:val="16"/>
        </w:rPr>
        <w:t>and</w:t>
      </w:r>
      <w:r>
        <w:rPr>
          <w:rFonts w:ascii="Arial"/>
          <w:color w:val="231F20"/>
          <w:spacing w:val="-18"/>
          <w:sz w:val="16"/>
        </w:rPr>
        <w:t> </w:t>
      </w:r>
      <w:r>
        <w:rPr>
          <w:rFonts w:ascii="Arial"/>
          <w:color w:val="231F20"/>
          <w:sz w:val="16"/>
        </w:rPr>
        <w:t>extracellular</w:t>
      </w:r>
      <w:r>
        <w:rPr>
          <w:rFonts w:ascii="Arial"/>
          <w:color w:val="231F20"/>
          <w:spacing w:val="-17"/>
          <w:sz w:val="16"/>
        </w:rPr>
        <w:t> </w:t>
      </w:r>
      <w:r>
        <w:rPr>
          <w:rFonts w:ascii="Arial"/>
          <w:color w:val="231F20"/>
          <w:sz w:val="16"/>
        </w:rPr>
        <w:t>fluid</w:t>
      </w:r>
      <w:r>
        <w:rPr>
          <w:rFonts w:ascii="Arial"/>
          <w:color w:val="231F20"/>
          <w:spacing w:val="-18"/>
          <w:sz w:val="16"/>
        </w:rPr>
        <w:t> </w:t>
      </w:r>
      <w:r>
        <w:rPr>
          <w:rFonts w:ascii="Arial"/>
          <w:color w:val="231F20"/>
          <w:sz w:val="16"/>
        </w:rPr>
        <w:t>volume</w:t>
      </w:r>
      <w:r>
        <w:rPr>
          <w:rFonts w:ascii="Arial"/>
          <w:color w:val="231F20"/>
          <w:spacing w:val="-17"/>
          <w:sz w:val="16"/>
        </w:rPr>
        <w:t> </w:t>
      </w:r>
      <w:r>
        <w:rPr>
          <w:rFonts w:ascii="Arial"/>
          <w:color w:val="231F20"/>
          <w:spacing w:val="-3"/>
          <w:sz w:val="16"/>
        </w:rPr>
        <w:t>during </w:t>
      </w:r>
      <w:r>
        <w:rPr>
          <w:rFonts w:ascii="Arial"/>
          <w:color w:val="231F20"/>
          <w:sz w:val="16"/>
        </w:rPr>
        <w:t>diuretic</w:t>
      </w:r>
      <w:r>
        <w:rPr>
          <w:rFonts w:ascii="Arial"/>
          <w:color w:val="231F20"/>
          <w:spacing w:val="-11"/>
          <w:sz w:val="16"/>
        </w:rPr>
        <w:t> </w:t>
      </w:r>
      <w:r>
        <w:rPr>
          <w:rFonts w:ascii="Arial"/>
          <w:color w:val="231F20"/>
          <w:sz w:val="16"/>
        </w:rPr>
        <w:t>administration.</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immediate</w:t>
      </w:r>
      <w:r>
        <w:rPr>
          <w:rFonts w:ascii="Arial"/>
          <w:color w:val="231F20"/>
          <w:spacing w:val="-10"/>
          <w:sz w:val="16"/>
        </w:rPr>
        <w:t> </w:t>
      </w:r>
      <w:r>
        <w:rPr>
          <w:rFonts w:ascii="Arial"/>
          <w:color w:val="231F20"/>
          <w:sz w:val="16"/>
        </w:rPr>
        <w:t>increase</w:t>
      </w:r>
      <w:r>
        <w:rPr>
          <w:rFonts w:ascii="Arial"/>
          <w:color w:val="231F20"/>
          <w:spacing w:val="-10"/>
          <w:sz w:val="16"/>
        </w:rPr>
        <w:t> </w:t>
      </w:r>
      <w:r>
        <w:rPr>
          <w:rFonts w:ascii="Arial"/>
          <w:color w:val="231F20"/>
          <w:sz w:val="16"/>
        </w:rPr>
        <w:t>in</w:t>
      </w:r>
      <w:r>
        <w:rPr>
          <w:rFonts w:ascii="Arial"/>
          <w:color w:val="231F20"/>
          <w:spacing w:val="-10"/>
          <w:sz w:val="16"/>
        </w:rPr>
        <w:t> </w:t>
      </w:r>
      <w:r>
        <w:rPr>
          <w:rFonts w:ascii="Arial"/>
          <w:color w:val="231F20"/>
          <w:sz w:val="16"/>
        </w:rPr>
        <w:t>sodium</w:t>
      </w:r>
      <w:r>
        <w:rPr>
          <w:rFonts w:ascii="Arial"/>
          <w:color w:val="231F20"/>
          <w:spacing w:val="-10"/>
          <w:sz w:val="16"/>
        </w:rPr>
        <w:t> </w:t>
      </w:r>
      <w:r>
        <w:rPr>
          <w:rFonts w:ascii="Arial"/>
          <w:color w:val="231F20"/>
          <w:spacing w:val="-4"/>
          <w:sz w:val="16"/>
        </w:rPr>
        <w:t>excretion </w:t>
      </w:r>
      <w:r>
        <w:rPr>
          <w:rFonts w:ascii="Arial"/>
          <w:color w:val="231F20"/>
          <w:sz w:val="16"/>
        </w:rPr>
        <w:t>is</w:t>
      </w:r>
      <w:r>
        <w:rPr>
          <w:rFonts w:ascii="Arial"/>
          <w:color w:val="231F20"/>
          <w:spacing w:val="-19"/>
          <w:sz w:val="16"/>
        </w:rPr>
        <w:t> </w:t>
      </w:r>
      <w:r>
        <w:rPr>
          <w:rFonts w:ascii="Arial"/>
          <w:color w:val="231F20"/>
          <w:sz w:val="16"/>
        </w:rPr>
        <w:t>accompanied</w:t>
      </w:r>
      <w:r>
        <w:rPr>
          <w:rFonts w:ascii="Arial"/>
          <w:color w:val="231F20"/>
          <w:spacing w:val="-19"/>
          <w:sz w:val="16"/>
        </w:rPr>
        <w:t> </w:t>
      </w:r>
      <w:r>
        <w:rPr>
          <w:rFonts w:ascii="Arial"/>
          <w:color w:val="231F20"/>
          <w:sz w:val="16"/>
        </w:rPr>
        <w:t>by</w:t>
      </w:r>
      <w:r>
        <w:rPr>
          <w:rFonts w:ascii="Arial"/>
          <w:color w:val="231F20"/>
          <w:spacing w:val="-18"/>
          <w:sz w:val="16"/>
        </w:rPr>
        <w:t> </w:t>
      </w:r>
      <w:r>
        <w:rPr>
          <w:rFonts w:ascii="Arial"/>
          <w:color w:val="231F20"/>
          <w:sz w:val="16"/>
        </w:rPr>
        <w:t>a</w:t>
      </w:r>
      <w:r>
        <w:rPr>
          <w:rFonts w:ascii="Arial"/>
          <w:color w:val="231F20"/>
          <w:spacing w:val="-19"/>
          <w:sz w:val="16"/>
        </w:rPr>
        <w:t> </w:t>
      </w:r>
      <w:r>
        <w:rPr>
          <w:rFonts w:ascii="Arial"/>
          <w:color w:val="231F20"/>
          <w:sz w:val="16"/>
        </w:rPr>
        <w:t>decrease</w:t>
      </w:r>
      <w:r>
        <w:rPr>
          <w:rFonts w:ascii="Arial"/>
          <w:color w:val="231F20"/>
          <w:spacing w:val="-19"/>
          <w:sz w:val="16"/>
        </w:rPr>
        <w:t> </w:t>
      </w:r>
      <w:r>
        <w:rPr>
          <w:rFonts w:ascii="Arial"/>
          <w:color w:val="231F20"/>
          <w:sz w:val="16"/>
        </w:rPr>
        <w:t>in</w:t>
      </w:r>
      <w:r>
        <w:rPr>
          <w:rFonts w:ascii="Arial"/>
          <w:color w:val="231F20"/>
          <w:spacing w:val="-18"/>
          <w:sz w:val="16"/>
        </w:rPr>
        <w:t> </w:t>
      </w:r>
      <w:r>
        <w:rPr>
          <w:rFonts w:ascii="Arial"/>
          <w:color w:val="231F20"/>
          <w:sz w:val="16"/>
        </w:rPr>
        <w:t>extracellular</w:t>
      </w:r>
      <w:r>
        <w:rPr>
          <w:rFonts w:ascii="Arial"/>
          <w:color w:val="231F20"/>
          <w:spacing w:val="-19"/>
          <w:sz w:val="16"/>
        </w:rPr>
        <w:t> </w:t>
      </w:r>
      <w:r>
        <w:rPr>
          <w:rFonts w:ascii="Arial"/>
          <w:color w:val="231F20"/>
          <w:sz w:val="16"/>
        </w:rPr>
        <w:t>fluid</w:t>
      </w:r>
      <w:r>
        <w:rPr>
          <w:rFonts w:ascii="Arial"/>
          <w:color w:val="231F20"/>
          <w:spacing w:val="-18"/>
          <w:sz w:val="16"/>
        </w:rPr>
        <w:t> </w:t>
      </w:r>
      <w:r>
        <w:rPr>
          <w:rFonts w:ascii="Arial"/>
          <w:color w:val="231F20"/>
          <w:sz w:val="16"/>
        </w:rPr>
        <w:t>volume.</w:t>
      </w:r>
      <w:r>
        <w:rPr>
          <w:rFonts w:ascii="Arial"/>
          <w:color w:val="231F20"/>
          <w:spacing w:val="-19"/>
          <w:sz w:val="16"/>
        </w:rPr>
        <w:t> </w:t>
      </w:r>
      <w:r>
        <w:rPr>
          <w:rFonts w:ascii="Arial"/>
          <w:color w:val="231F20"/>
          <w:sz w:val="16"/>
        </w:rPr>
        <w:t>If</w:t>
      </w:r>
      <w:r>
        <w:rPr>
          <w:rFonts w:ascii="Arial"/>
          <w:color w:val="231F20"/>
          <w:spacing w:val="-19"/>
          <w:sz w:val="16"/>
        </w:rPr>
        <w:t> </w:t>
      </w:r>
      <w:r>
        <w:rPr>
          <w:rFonts w:ascii="Arial"/>
          <w:color w:val="231F20"/>
          <w:spacing w:val="-3"/>
          <w:sz w:val="16"/>
        </w:rPr>
        <w:t>sodium </w:t>
      </w:r>
      <w:r>
        <w:rPr>
          <w:rFonts w:ascii="Arial"/>
          <w:color w:val="231F20"/>
          <w:sz w:val="16"/>
        </w:rPr>
        <w:t>intake is held constant, compensatory mechanisms will eventually return</w:t>
      </w:r>
      <w:r>
        <w:rPr>
          <w:rFonts w:ascii="Arial"/>
          <w:color w:val="231F20"/>
          <w:spacing w:val="-16"/>
          <w:sz w:val="16"/>
        </w:rPr>
        <w:t> </w:t>
      </w:r>
      <w:r>
        <w:rPr>
          <w:rFonts w:ascii="Arial"/>
          <w:color w:val="231F20"/>
          <w:sz w:val="16"/>
        </w:rPr>
        <w:t>sodium</w:t>
      </w:r>
      <w:r>
        <w:rPr>
          <w:rFonts w:ascii="Arial"/>
          <w:color w:val="231F20"/>
          <w:spacing w:val="-16"/>
          <w:sz w:val="16"/>
        </w:rPr>
        <w:t> </w:t>
      </w:r>
      <w:r>
        <w:rPr>
          <w:rFonts w:ascii="Arial"/>
          <w:color w:val="231F20"/>
          <w:sz w:val="16"/>
        </w:rPr>
        <w:t>excretion</w:t>
      </w:r>
      <w:r>
        <w:rPr>
          <w:rFonts w:ascii="Arial"/>
          <w:color w:val="231F20"/>
          <w:spacing w:val="-15"/>
          <w:sz w:val="16"/>
        </w:rPr>
        <w:t> </w:t>
      </w:r>
      <w:r>
        <w:rPr>
          <w:rFonts w:ascii="Arial"/>
          <w:color w:val="231F20"/>
          <w:sz w:val="16"/>
        </w:rPr>
        <w:t>to</w:t>
      </w:r>
      <w:r>
        <w:rPr>
          <w:rFonts w:ascii="Arial"/>
          <w:color w:val="231F20"/>
          <w:spacing w:val="-16"/>
          <w:sz w:val="16"/>
        </w:rPr>
        <w:t> </w:t>
      </w:r>
      <w:r>
        <w:rPr>
          <w:rFonts w:ascii="Arial"/>
          <w:color w:val="231F20"/>
          <w:sz w:val="16"/>
        </w:rPr>
        <w:t>equal</w:t>
      </w:r>
      <w:r>
        <w:rPr>
          <w:rFonts w:ascii="Arial"/>
          <w:color w:val="231F20"/>
          <w:spacing w:val="-16"/>
          <w:sz w:val="16"/>
        </w:rPr>
        <w:t> </w:t>
      </w:r>
      <w:r>
        <w:rPr>
          <w:rFonts w:ascii="Arial"/>
          <w:color w:val="231F20"/>
          <w:sz w:val="16"/>
        </w:rPr>
        <w:t>sodium</w:t>
      </w:r>
      <w:r>
        <w:rPr>
          <w:rFonts w:ascii="Arial"/>
          <w:color w:val="231F20"/>
          <w:spacing w:val="-15"/>
          <w:sz w:val="16"/>
        </w:rPr>
        <w:t> </w:t>
      </w:r>
      <w:r>
        <w:rPr>
          <w:rFonts w:ascii="Arial"/>
          <w:color w:val="231F20"/>
          <w:sz w:val="16"/>
        </w:rPr>
        <w:t>intake,</w:t>
      </w:r>
      <w:r>
        <w:rPr>
          <w:rFonts w:ascii="Arial"/>
          <w:color w:val="231F20"/>
          <w:spacing w:val="-16"/>
          <w:sz w:val="16"/>
        </w:rPr>
        <w:t> </w:t>
      </w:r>
      <w:r>
        <w:rPr>
          <w:rFonts w:ascii="Arial"/>
          <w:color w:val="231F20"/>
          <w:sz w:val="16"/>
        </w:rPr>
        <w:t>thus</w:t>
      </w:r>
      <w:r>
        <w:rPr>
          <w:rFonts w:ascii="Arial"/>
          <w:color w:val="231F20"/>
          <w:spacing w:val="-15"/>
          <w:sz w:val="16"/>
        </w:rPr>
        <w:t> </w:t>
      </w:r>
      <w:r>
        <w:rPr>
          <w:rFonts w:ascii="Arial"/>
          <w:color w:val="231F20"/>
          <w:sz w:val="16"/>
        </w:rPr>
        <w:t>re-establishing sodium</w:t>
      </w:r>
      <w:r>
        <w:rPr>
          <w:rFonts w:ascii="Arial"/>
          <w:color w:val="231F20"/>
          <w:spacing w:val="7"/>
          <w:sz w:val="16"/>
        </w:rPr>
        <w:t> </w:t>
      </w:r>
      <w:r>
        <w:rPr>
          <w:rFonts w:ascii="Arial"/>
          <w:color w:val="231F20"/>
          <w:sz w:val="16"/>
        </w:rPr>
        <w:t>balance.</w:t>
      </w:r>
    </w:p>
    <w:p>
      <w:pPr>
        <w:pStyle w:val="Heading2"/>
        <w:spacing w:line="225" w:lineRule="auto"/>
        <w:ind w:right="2868"/>
      </w:pPr>
      <w:r>
        <w:rPr>
          <w:b w:val="0"/>
        </w:rPr>
        <w:br w:type="column"/>
      </w:r>
      <w:r>
        <w:rPr>
          <w:color w:val="231F20"/>
          <w:w w:val="105"/>
        </w:rPr>
        <w:t>REABSORPTION IN THE PROXIMAL TUBULES</w:t>
      </w:r>
    </w:p>
    <w:p>
      <w:pPr>
        <w:spacing w:line="249" w:lineRule="auto" w:before="127"/>
        <w:ind w:left="319" w:right="1437" w:firstLine="0"/>
        <w:jc w:val="both"/>
        <w:rPr>
          <w:sz w:val="20"/>
        </w:rPr>
      </w:pPr>
      <w:r>
        <w:rPr/>
        <w:pict>
          <v:shape style="position:absolute;margin-left:331.689514pt;margin-top:35.611931pt;width:3pt;height:8.7pt;mso-position-horizontal-relative:page;mso-position-vertical-relative:paragraph;z-index:-27214540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i/>
          <w:color w:val="231F20"/>
          <w:sz w:val="20"/>
        </w:rPr>
        <w:t>Acetazolamide </w:t>
      </w:r>
      <w:r>
        <w:rPr>
          <w:color w:val="231F20"/>
          <w:sz w:val="20"/>
        </w:rPr>
        <w:t>inhibits the enzyme </w:t>
      </w:r>
      <w:r>
        <w:rPr>
          <w:i/>
          <w:color w:val="231F20"/>
          <w:sz w:val="20"/>
        </w:rPr>
        <w:t>carbonic anhydrase, </w:t>
      </w:r>
      <w:r>
        <w:rPr>
          <w:color w:val="231F20"/>
          <w:sz w:val="20"/>
        </w:rPr>
        <w:t>which is critical for the reabsorption of bicarbonate  (HCO</w:t>
      </w:r>
      <w:r>
        <w:rPr>
          <w:color w:val="231F20"/>
          <w:spacing w:val="22"/>
          <w:sz w:val="20"/>
        </w:rPr>
        <w:t> </w:t>
      </w:r>
      <w:r>
        <w:rPr>
          <w:rFonts w:ascii="Consolas" w:hAnsi="Consolas"/>
          <w:color w:val="231F20"/>
          <w:position w:val="8"/>
          <w:sz w:val="12"/>
        </w:rPr>
        <w:t>−</w:t>
      </w:r>
      <w:r>
        <w:rPr>
          <w:color w:val="231F20"/>
          <w:sz w:val="20"/>
        </w:rPr>
        <w:t>)</w:t>
      </w:r>
      <w:r>
        <w:rPr>
          <w:color w:val="231F20"/>
          <w:spacing w:val="23"/>
          <w:sz w:val="20"/>
        </w:rPr>
        <w:t> </w:t>
      </w:r>
      <w:r>
        <w:rPr>
          <w:color w:val="231F20"/>
          <w:sz w:val="20"/>
        </w:rPr>
        <w:t>in</w:t>
      </w:r>
      <w:r>
        <w:rPr>
          <w:color w:val="231F20"/>
          <w:spacing w:val="22"/>
          <w:sz w:val="20"/>
        </w:rPr>
        <w:t> </w:t>
      </w:r>
      <w:r>
        <w:rPr>
          <w:color w:val="231F20"/>
          <w:sz w:val="20"/>
        </w:rPr>
        <w:t>the</w:t>
      </w:r>
      <w:r>
        <w:rPr>
          <w:color w:val="231F20"/>
          <w:spacing w:val="23"/>
          <w:sz w:val="20"/>
        </w:rPr>
        <w:t> </w:t>
      </w:r>
      <w:r>
        <w:rPr>
          <w:color w:val="231F20"/>
          <w:sz w:val="20"/>
        </w:rPr>
        <w:t>proximal</w:t>
      </w:r>
      <w:r>
        <w:rPr>
          <w:color w:val="231F20"/>
          <w:spacing w:val="22"/>
          <w:sz w:val="20"/>
        </w:rPr>
        <w:t> </w:t>
      </w:r>
      <w:r>
        <w:rPr>
          <w:color w:val="231F20"/>
          <w:sz w:val="20"/>
        </w:rPr>
        <w:t>tubule,</w:t>
      </w:r>
      <w:r>
        <w:rPr>
          <w:color w:val="231F20"/>
          <w:spacing w:val="23"/>
          <w:sz w:val="20"/>
        </w:rPr>
        <w:t> </w:t>
      </w:r>
      <w:r>
        <w:rPr>
          <w:color w:val="231F20"/>
          <w:sz w:val="20"/>
        </w:rPr>
        <w:t>as</w:t>
      </w:r>
      <w:r>
        <w:rPr>
          <w:color w:val="231F20"/>
          <w:spacing w:val="22"/>
          <w:sz w:val="20"/>
        </w:rPr>
        <w:t> </w:t>
      </w:r>
      <w:r>
        <w:rPr>
          <w:color w:val="231F20"/>
          <w:sz w:val="20"/>
        </w:rPr>
        <w:t>discussed</w:t>
      </w:r>
      <w:r>
        <w:rPr>
          <w:color w:val="231F20"/>
          <w:spacing w:val="23"/>
          <w:sz w:val="20"/>
        </w:rPr>
        <w:t> </w:t>
      </w:r>
      <w:r>
        <w:rPr>
          <w:color w:val="231F20"/>
          <w:sz w:val="20"/>
        </w:rPr>
        <w:t>in</w:t>
      </w:r>
      <w:r>
        <w:rPr>
          <w:color w:val="231F20"/>
          <w:spacing w:val="22"/>
          <w:sz w:val="20"/>
        </w:rPr>
        <w:t> </w:t>
      </w:r>
      <w:r>
        <w:rPr>
          <w:color w:val="231F20"/>
          <w:sz w:val="20"/>
        </w:rPr>
        <w:t>Chapter</w:t>
      </w:r>
    </w:p>
    <w:p>
      <w:pPr>
        <w:pStyle w:val="ListParagraph"/>
        <w:numPr>
          <w:ilvl w:val="0"/>
          <w:numId w:val="28"/>
        </w:numPr>
        <w:tabs>
          <w:tab w:pos="672" w:val="left" w:leader="none"/>
        </w:tabs>
        <w:spacing w:line="229" w:lineRule="exact" w:before="0" w:after="0"/>
        <w:ind w:left="671" w:right="0" w:hanging="353"/>
        <w:jc w:val="both"/>
        <w:rPr>
          <w:sz w:val="20"/>
        </w:rPr>
      </w:pPr>
      <w:r>
        <w:rPr>
          <w:color w:val="231F20"/>
          <w:w w:val="105"/>
          <w:sz w:val="20"/>
        </w:rPr>
        <w:t>Carbonic anhydrase is abundant in the</w:t>
      </w:r>
      <w:r>
        <w:rPr>
          <w:color w:val="231F20"/>
          <w:spacing w:val="18"/>
          <w:w w:val="105"/>
          <w:sz w:val="20"/>
        </w:rPr>
        <w:t> </w:t>
      </w:r>
      <w:r>
        <w:rPr>
          <w:color w:val="231F20"/>
          <w:w w:val="105"/>
          <w:sz w:val="20"/>
        </w:rPr>
        <w:t>proximal</w:t>
      </w:r>
    </w:p>
    <w:p>
      <w:pPr>
        <w:spacing w:after="0" w:line="229" w:lineRule="exact"/>
        <w:jc w:val="both"/>
        <w:rPr>
          <w:sz w:val="20"/>
        </w:rPr>
        <w:sectPr>
          <w:type w:val="continuous"/>
          <w:pgSz w:w="12240" w:h="15660"/>
          <w:pgMar w:top="0" w:bottom="760" w:left="0" w:right="0"/>
          <w:cols w:num="2" w:equalWidth="0">
            <w:col w:w="5761" w:space="40"/>
            <w:col w:w="6439"/>
          </w:cols>
        </w:sectPr>
      </w:pPr>
    </w:p>
    <w:p>
      <w:pPr>
        <w:pStyle w:val="BodyText"/>
        <w:spacing w:before="9"/>
        <w:rPr>
          <w:sz w:val="24"/>
        </w:rPr>
      </w:pPr>
    </w:p>
    <w:p>
      <w:pPr>
        <w:spacing w:before="100"/>
        <w:ind w:left="1080" w:right="0" w:firstLine="0"/>
        <w:jc w:val="left"/>
        <w:rPr>
          <w:rFonts w:ascii="Trebuchet MS"/>
          <w:sz w:val="18"/>
        </w:rPr>
      </w:pPr>
      <w:bookmarkStart w:name="_bookmark117" w:id="118"/>
      <w:bookmarkEnd w:id="118"/>
      <w:r>
        <w:rPr/>
      </w:r>
      <w:r>
        <w:rPr>
          <w:rFonts w:ascii="Trebuchet MS"/>
          <w:b/>
          <w:color w:val="231F20"/>
          <w:w w:val="105"/>
          <w:sz w:val="18"/>
        </w:rPr>
        <w:t>Table 32-1 </w:t>
      </w:r>
      <w:r>
        <w:rPr>
          <w:rFonts w:ascii="Trebuchet MS"/>
          <w:color w:val="231F20"/>
          <w:w w:val="105"/>
          <w:sz w:val="18"/>
        </w:rPr>
        <w:t>Classes of Diuretics, Their Mechanisms of Action, and Tubular Sites of Action</w:t>
      </w:r>
    </w:p>
    <w:p>
      <w:pPr>
        <w:pStyle w:val="BodyText"/>
        <w:spacing w:before="3" w:after="1"/>
        <w:rPr>
          <w:rFonts w:ascii="Trebuchet MS"/>
          <w:sz w:val="1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9"/>
        <w:gridCol w:w="4411"/>
        <w:gridCol w:w="2090"/>
      </w:tblGrid>
      <w:tr>
        <w:trPr>
          <w:trHeight w:val="264" w:hRule="atLeast"/>
        </w:trPr>
        <w:tc>
          <w:tcPr>
            <w:tcW w:w="3219" w:type="dxa"/>
            <w:shd w:val="clear" w:color="auto" w:fill="D1DDF1"/>
          </w:tcPr>
          <w:p>
            <w:pPr>
              <w:pStyle w:val="TableParagraph"/>
              <w:spacing w:before="34"/>
              <w:ind w:left="120"/>
              <w:rPr>
                <w:b/>
                <w:sz w:val="16"/>
              </w:rPr>
            </w:pPr>
            <w:r>
              <w:rPr>
                <w:b/>
                <w:color w:val="231F20"/>
                <w:sz w:val="16"/>
              </w:rPr>
              <w:t>Class of Diuretic</w:t>
            </w:r>
          </w:p>
        </w:tc>
        <w:tc>
          <w:tcPr>
            <w:tcW w:w="4411" w:type="dxa"/>
            <w:shd w:val="clear" w:color="auto" w:fill="D1DDF1"/>
          </w:tcPr>
          <w:p>
            <w:pPr>
              <w:pStyle w:val="TableParagraph"/>
              <w:spacing w:before="34"/>
              <w:ind w:left="121"/>
              <w:rPr>
                <w:b/>
                <w:sz w:val="16"/>
              </w:rPr>
            </w:pPr>
            <w:r>
              <w:rPr>
                <w:b/>
                <w:color w:val="231F20"/>
                <w:w w:val="105"/>
                <w:sz w:val="16"/>
              </w:rPr>
              <w:t>Mechanism of Action</w:t>
            </w:r>
          </w:p>
        </w:tc>
        <w:tc>
          <w:tcPr>
            <w:tcW w:w="2090" w:type="dxa"/>
            <w:shd w:val="clear" w:color="auto" w:fill="D1DDF1"/>
          </w:tcPr>
          <w:p>
            <w:pPr>
              <w:pStyle w:val="TableParagraph"/>
              <w:spacing w:before="34"/>
              <w:ind w:left="130"/>
              <w:rPr>
                <w:b/>
                <w:sz w:val="16"/>
              </w:rPr>
            </w:pPr>
            <w:r>
              <w:rPr>
                <w:b/>
                <w:color w:val="231F20"/>
                <w:sz w:val="16"/>
              </w:rPr>
              <w:t>Tubular Site of Action</w:t>
            </w:r>
          </w:p>
        </w:tc>
      </w:tr>
      <w:tr>
        <w:trPr>
          <w:trHeight w:val="459" w:hRule="atLeast"/>
        </w:trPr>
        <w:tc>
          <w:tcPr>
            <w:tcW w:w="3219" w:type="dxa"/>
            <w:tcBorders>
              <w:bottom w:val="single" w:sz="4" w:space="0" w:color="FFFFFF"/>
            </w:tcBorders>
            <w:shd w:val="clear" w:color="auto" w:fill="E6ECF7"/>
          </w:tcPr>
          <w:p>
            <w:pPr>
              <w:pStyle w:val="TableParagraph"/>
              <w:spacing w:before="24"/>
              <w:ind w:left="120"/>
              <w:rPr>
                <w:sz w:val="16"/>
              </w:rPr>
            </w:pPr>
            <w:r>
              <w:rPr>
                <w:color w:val="231F20"/>
                <w:w w:val="105"/>
                <w:sz w:val="16"/>
              </w:rPr>
              <w:t>Osmotic diuretics (mannitol)</w:t>
            </w:r>
          </w:p>
        </w:tc>
        <w:tc>
          <w:tcPr>
            <w:tcW w:w="4411" w:type="dxa"/>
            <w:tcBorders>
              <w:bottom w:val="single" w:sz="4" w:space="0" w:color="FFFFFF"/>
            </w:tcBorders>
            <w:shd w:val="clear" w:color="auto" w:fill="E6ECF7"/>
          </w:tcPr>
          <w:p>
            <w:pPr>
              <w:pStyle w:val="TableParagraph"/>
              <w:spacing w:line="259" w:lineRule="auto" w:before="24"/>
              <w:ind w:left="281" w:hanging="160"/>
              <w:rPr>
                <w:sz w:val="16"/>
              </w:rPr>
            </w:pPr>
            <w:r>
              <w:rPr>
                <w:color w:val="231F20"/>
                <w:w w:val="105"/>
                <w:sz w:val="16"/>
              </w:rPr>
              <w:t>Inhibit water and solute reabsorption by increasing osmolarity of tubular fluid</w:t>
            </w:r>
          </w:p>
        </w:tc>
        <w:tc>
          <w:tcPr>
            <w:tcW w:w="2090" w:type="dxa"/>
            <w:tcBorders>
              <w:bottom w:val="single" w:sz="4" w:space="0" w:color="FFFFFF"/>
            </w:tcBorders>
            <w:shd w:val="clear" w:color="auto" w:fill="E6ECF7"/>
          </w:tcPr>
          <w:p>
            <w:pPr>
              <w:pStyle w:val="TableParagraph"/>
              <w:spacing w:before="24"/>
              <w:ind w:left="130"/>
              <w:rPr>
                <w:sz w:val="16"/>
              </w:rPr>
            </w:pPr>
            <w:r>
              <w:rPr>
                <w:color w:val="231F20"/>
                <w:w w:val="105"/>
                <w:sz w:val="16"/>
              </w:rPr>
              <w:t>Mainly proximal tubules</w:t>
            </w:r>
          </w:p>
        </w:tc>
      </w:tr>
      <w:tr>
        <w:trPr>
          <w:trHeight w:val="464" w:hRule="atLeast"/>
        </w:trPr>
        <w:tc>
          <w:tcPr>
            <w:tcW w:w="3219" w:type="dxa"/>
            <w:tcBorders>
              <w:top w:val="single" w:sz="4" w:space="0" w:color="FFFFFF"/>
              <w:bottom w:val="single" w:sz="4" w:space="0" w:color="FFFFFF"/>
            </w:tcBorders>
            <w:shd w:val="clear" w:color="auto" w:fill="E6ECF7"/>
          </w:tcPr>
          <w:p>
            <w:pPr>
              <w:pStyle w:val="TableParagraph"/>
              <w:spacing w:line="259" w:lineRule="auto"/>
              <w:ind w:left="280" w:right="844" w:hanging="160"/>
              <w:rPr>
                <w:sz w:val="16"/>
              </w:rPr>
            </w:pPr>
            <w:r>
              <w:rPr>
                <w:color w:val="231F20"/>
                <w:w w:val="105"/>
                <w:sz w:val="16"/>
              </w:rPr>
              <w:t>Loop diuretics (furosemide, bumetanide)</w:t>
            </w:r>
          </w:p>
        </w:tc>
        <w:tc>
          <w:tcPr>
            <w:tcW w:w="4411" w:type="dxa"/>
            <w:tcBorders>
              <w:top w:val="single" w:sz="4" w:space="0" w:color="FFFFFF"/>
              <w:bottom w:val="single" w:sz="4" w:space="0" w:color="FFFFFF"/>
            </w:tcBorders>
            <w:shd w:val="clear" w:color="auto" w:fill="E6ECF7"/>
          </w:tcPr>
          <w:p>
            <w:pPr>
              <w:pStyle w:val="TableParagraph"/>
              <w:ind w:left="121"/>
              <w:rPr>
                <w:sz w:val="16"/>
              </w:rPr>
            </w:pPr>
            <w:r>
              <w:rPr>
                <w:color w:val="231F20"/>
                <w:w w:val="105"/>
                <w:sz w:val="16"/>
              </w:rPr>
              <w:t>Inhibit Na</w:t>
            </w:r>
            <w:r>
              <w:rPr>
                <w:rFonts w:ascii="Consolas" w:hAnsi="Consolas"/>
                <w:color w:val="231F20"/>
                <w:w w:val="105"/>
                <w:position w:val="6"/>
                <w:sz w:val="9"/>
              </w:rPr>
              <w:t>+</w:t>
            </w:r>
            <w:r>
              <w:rPr>
                <w:color w:val="231F20"/>
                <w:w w:val="105"/>
                <w:sz w:val="16"/>
              </w:rPr>
              <w:t>-K</w:t>
            </w:r>
            <w:r>
              <w:rPr>
                <w:rFonts w:ascii="Consolas" w:hAnsi="Consolas"/>
                <w:color w:val="231F20"/>
                <w:w w:val="105"/>
                <w:position w:val="6"/>
                <w:sz w:val="9"/>
              </w:rPr>
              <w:t>+</w:t>
            </w:r>
            <w:r>
              <w:rPr>
                <w:color w:val="231F20"/>
                <w:w w:val="105"/>
                <w:sz w:val="16"/>
              </w:rPr>
              <w:t>-Cl</w:t>
            </w:r>
            <w:r>
              <w:rPr>
                <w:rFonts w:ascii="Consolas" w:hAnsi="Consolas"/>
                <w:color w:val="231F20"/>
                <w:w w:val="105"/>
                <w:position w:val="6"/>
                <w:sz w:val="9"/>
              </w:rPr>
              <w:t>− </w:t>
            </w:r>
            <w:r>
              <w:rPr>
                <w:color w:val="231F20"/>
                <w:w w:val="105"/>
                <w:sz w:val="16"/>
              </w:rPr>
              <w:t>co-transport in luminal membrane</w:t>
            </w:r>
          </w:p>
        </w:tc>
        <w:tc>
          <w:tcPr>
            <w:tcW w:w="2090" w:type="dxa"/>
            <w:tcBorders>
              <w:top w:val="single" w:sz="4" w:space="0" w:color="FFFFFF"/>
              <w:bottom w:val="single" w:sz="4" w:space="0" w:color="FFFFFF"/>
            </w:tcBorders>
            <w:shd w:val="clear" w:color="auto" w:fill="E6ECF7"/>
          </w:tcPr>
          <w:p>
            <w:pPr>
              <w:pStyle w:val="TableParagraph"/>
              <w:spacing w:line="259" w:lineRule="auto"/>
              <w:ind w:left="290" w:right="369" w:hanging="160"/>
              <w:rPr>
                <w:sz w:val="16"/>
              </w:rPr>
            </w:pPr>
            <w:r>
              <w:rPr>
                <w:color w:val="231F20"/>
                <w:w w:val="105"/>
                <w:sz w:val="16"/>
              </w:rPr>
              <w:t>Thick ascending loop of Henle</w:t>
            </w:r>
          </w:p>
        </w:tc>
      </w:tr>
      <w:tr>
        <w:trPr>
          <w:trHeight w:val="464" w:hRule="atLeast"/>
        </w:trPr>
        <w:tc>
          <w:tcPr>
            <w:tcW w:w="3219" w:type="dxa"/>
            <w:tcBorders>
              <w:top w:val="single" w:sz="4" w:space="0" w:color="FFFFFF"/>
              <w:bottom w:val="single" w:sz="4" w:space="0" w:color="FFFFFF"/>
            </w:tcBorders>
            <w:shd w:val="clear" w:color="auto" w:fill="E6ECF7"/>
          </w:tcPr>
          <w:p>
            <w:pPr>
              <w:pStyle w:val="TableParagraph"/>
              <w:spacing w:line="259" w:lineRule="auto"/>
              <w:ind w:left="280" w:hanging="160"/>
              <w:rPr>
                <w:sz w:val="16"/>
              </w:rPr>
            </w:pPr>
            <w:r>
              <w:rPr>
                <w:color w:val="231F20"/>
                <w:w w:val="105"/>
                <w:sz w:val="16"/>
              </w:rPr>
              <w:t>Thiazide diuretics (hydrochlorothiazide, chlorthalidone)</w:t>
            </w:r>
          </w:p>
        </w:tc>
        <w:tc>
          <w:tcPr>
            <w:tcW w:w="4411" w:type="dxa"/>
            <w:tcBorders>
              <w:top w:val="single" w:sz="4" w:space="0" w:color="FFFFFF"/>
              <w:bottom w:val="single" w:sz="4" w:space="0" w:color="FFFFFF"/>
            </w:tcBorders>
            <w:shd w:val="clear" w:color="auto" w:fill="E6ECF7"/>
          </w:tcPr>
          <w:p>
            <w:pPr>
              <w:pStyle w:val="TableParagraph"/>
              <w:ind w:left="121"/>
              <w:rPr>
                <w:sz w:val="16"/>
              </w:rPr>
            </w:pPr>
            <w:r>
              <w:rPr>
                <w:color w:val="231F20"/>
                <w:w w:val="105"/>
                <w:sz w:val="16"/>
              </w:rPr>
              <w:t>Inhibit Na</w:t>
            </w:r>
            <w:r>
              <w:rPr>
                <w:rFonts w:ascii="Consolas" w:hAnsi="Consolas"/>
                <w:color w:val="231F20"/>
                <w:w w:val="105"/>
                <w:position w:val="6"/>
                <w:sz w:val="9"/>
              </w:rPr>
              <w:t>+</w:t>
            </w:r>
            <w:r>
              <w:rPr>
                <w:color w:val="231F20"/>
                <w:w w:val="105"/>
                <w:sz w:val="16"/>
              </w:rPr>
              <w:t>-Cl</w:t>
            </w:r>
            <w:r>
              <w:rPr>
                <w:rFonts w:ascii="Consolas" w:hAnsi="Consolas"/>
                <w:color w:val="231F20"/>
                <w:w w:val="105"/>
                <w:position w:val="6"/>
                <w:sz w:val="9"/>
              </w:rPr>
              <w:t>− </w:t>
            </w:r>
            <w:r>
              <w:rPr>
                <w:color w:val="231F20"/>
                <w:w w:val="105"/>
                <w:sz w:val="16"/>
              </w:rPr>
              <w:t>co-transport in luminal membrane</w:t>
            </w:r>
          </w:p>
        </w:tc>
        <w:tc>
          <w:tcPr>
            <w:tcW w:w="2090" w:type="dxa"/>
            <w:tcBorders>
              <w:top w:val="single" w:sz="4" w:space="0" w:color="FFFFFF"/>
              <w:bottom w:val="single" w:sz="4" w:space="0" w:color="FFFFFF"/>
            </w:tcBorders>
            <w:shd w:val="clear" w:color="auto" w:fill="E6ECF7"/>
          </w:tcPr>
          <w:p>
            <w:pPr>
              <w:pStyle w:val="TableParagraph"/>
              <w:ind w:left="130"/>
              <w:rPr>
                <w:sz w:val="16"/>
              </w:rPr>
            </w:pPr>
            <w:r>
              <w:rPr>
                <w:color w:val="231F20"/>
                <w:w w:val="105"/>
                <w:sz w:val="16"/>
              </w:rPr>
              <w:t>Early distal tubules</w:t>
            </w:r>
          </w:p>
        </w:tc>
      </w:tr>
      <w:tr>
        <w:trPr>
          <w:trHeight w:val="464" w:hRule="atLeast"/>
        </w:trPr>
        <w:tc>
          <w:tcPr>
            <w:tcW w:w="3219" w:type="dxa"/>
            <w:tcBorders>
              <w:top w:val="single" w:sz="4" w:space="0" w:color="FFFFFF"/>
              <w:bottom w:val="single" w:sz="4" w:space="0" w:color="FFFFFF"/>
            </w:tcBorders>
            <w:shd w:val="clear" w:color="auto" w:fill="E6ECF7"/>
          </w:tcPr>
          <w:p>
            <w:pPr>
              <w:pStyle w:val="TableParagraph"/>
              <w:spacing w:line="259" w:lineRule="auto"/>
              <w:ind w:left="280" w:right="844" w:hanging="160"/>
              <w:rPr>
                <w:sz w:val="16"/>
              </w:rPr>
            </w:pPr>
            <w:r>
              <w:rPr>
                <w:color w:val="231F20"/>
                <w:w w:val="105"/>
                <w:sz w:val="16"/>
              </w:rPr>
              <w:t>Carbonic anhydrase inhibitors (acetazolamide)</w:t>
            </w:r>
          </w:p>
        </w:tc>
        <w:tc>
          <w:tcPr>
            <w:tcW w:w="4411" w:type="dxa"/>
            <w:tcBorders>
              <w:top w:val="single" w:sz="4" w:space="0" w:color="FFFFFF"/>
              <w:bottom w:val="single" w:sz="4" w:space="0" w:color="FFFFFF"/>
            </w:tcBorders>
            <w:shd w:val="clear" w:color="auto" w:fill="E6ECF7"/>
          </w:tcPr>
          <w:p>
            <w:pPr>
              <w:pStyle w:val="TableParagraph"/>
              <w:spacing w:line="138" w:lineRule="exact"/>
              <w:ind w:left="121"/>
              <w:rPr>
                <w:sz w:val="16"/>
              </w:rPr>
            </w:pPr>
            <w:r>
              <w:rPr>
                <w:color w:val="231F20"/>
                <w:w w:val="105"/>
                <w:sz w:val="16"/>
              </w:rPr>
              <w:t>Inhibit H</w:t>
            </w:r>
            <w:r>
              <w:rPr>
                <w:rFonts w:ascii="Consolas" w:hAnsi="Consolas"/>
                <w:color w:val="231F20"/>
                <w:w w:val="105"/>
                <w:position w:val="6"/>
                <w:sz w:val="9"/>
              </w:rPr>
              <w:t>+ </w:t>
            </w:r>
            <w:r>
              <w:rPr>
                <w:color w:val="231F20"/>
                <w:w w:val="105"/>
                <w:sz w:val="16"/>
              </w:rPr>
              <w:t>secretion and HCO </w:t>
            </w:r>
            <w:r>
              <w:rPr>
                <w:rFonts w:ascii="Consolas" w:hAnsi="Consolas"/>
                <w:color w:val="231F20"/>
                <w:w w:val="105"/>
                <w:position w:val="6"/>
                <w:sz w:val="9"/>
              </w:rPr>
              <w:t>− </w:t>
            </w:r>
            <w:r>
              <w:rPr>
                <w:color w:val="231F20"/>
                <w:w w:val="105"/>
                <w:sz w:val="16"/>
              </w:rPr>
              <w:t>reabsorption, which</w:t>
            </w:r>
          </w:p>
          <w:p>
            <w:pPr>
              <w:pStyle w:val="TableParagraph"/>
              <w:spacing w:line="56" w:lineRule="exact" w:before="0"/>
              <w:ind w:left="221"/>
              <w:jc w:val="center"/>
              <w:rPr>
                <w:sz w:val="9"/>
              </w:rPr>
            </w:pPr>
            <w:r>
              <w:rPr>
                <w:color w:val="231F20"/>
                <w:w w:val="113"/>
                <w:sz w:val="9"/>
              </w:rPr>
              <w:t>3</w:t>
            </w:r>
          </w:p>
          <w:p>
            <w:pPr>
              <w:pStyle w:val="TableParagraph"/>
              <w:spacing w:before="6"/>
              <w:ind w:left="281"/>
              <w:rPr>
                <w:sz w:val="16"/>
              </w:rPr>
            </w:pPr>
            <w:r>
              <w:rPr>
                <w:color w:val="231F20"/>
                <w:w w:val="105"/>
                <w:sz w:val="16"/>
              </w:rPr>
              <w:t>reduces Na</w:t>
            </w:r>
            <w:r>
              <w:rPr>
                <w:rFonts w:ascii="Consolas"/>
                <w:color w:val="231F20"/>
                <w:w w:val="105"/>
                <w:position w:val="6"/>
                <w:sz w:val="9"/>
              </w:rPr>
              <w:t>+ </w:t>
            </w:r>
            <w:r>
              <w:rPr>
                <w:color w:val="231F20"/>
                <w:w w:val="105"/>
                <w:sz w:val="16"/>
              </w:rPr>
              <w:t>reabsorption</w:t>
            </w:r>
          </w:p>
        </w:tc>
        <w:tc>
          <w:tcPr>
            <w:tcW w:w="2090" w:type="dxa"/>
            <w:tcBorders>
              <w:top w:val="single" w:sz="4" w:space="0" w:color="FFFFFF"/>
              <w:bottom w:val="single" w:sz="4" w:space="0" w:color="FFFFFF"/>
            </w:tcBorders>
            <w:shd w:val="clear" w:color="auto" w:fill="E6ECF7"/>
          </w:tcPr>
          <w:p>
            <w:pPr>
              <w:pStyle w:val="TableParagraph"/>
              <w:ind w:left="130"/>
              <w:rPr>
                <w:sz w:val="16"/>
              </w:rPr>
            </w:pPr>
            <w:r>
              <w:rPr>
                <w:color w:val="231F20"/>
                <w:w w:val="105"/>
                <w:sz w:val="16"/>
              </w:rPr>
              <w:t>Proximal tubules</w:t>
            </w:r>
          </w:p>
        </w:tc>
      </w:tr>
      <w:tr>
        <w:trPr>
          <w:trHeight w:val="464" w:hRule="atLeast"/>
        </w:trPr>
        <w:tc>
          <w:tcPr>
            <w:tcW w:w="3219" w:type="dxa"/>
            <w:tcBorders>
              <w:top w:val="single" w:sz="4" w:space="0" w:color="FFFFFF"/>
              <w:bottom w:val="single" w:sz="4" w:space="0" w:color="FFFFFF"/>
            </w:tcBorders>
            <w:shd w:val="clear" w:color="auto" w:fill="E6ECF7"/>
          </w:tcPr>
          <w:p>
            <w:pPr>
              <w:pStyle w:val="TableParagraph"/>
              <w:spacing w:line="259" w:lineRule="auto"/>
              <w:ind w:left="280" w:right="87" w:hanging="160"/>
              <w:rPr>
                <w:sz w:val="16"/>
              </w:rPr>
            </w:pPr>
            <w:r>
              <w:rPr>
                <w:color w:val="231F20"/>
                <w:w w:val="105"/>
                <w:sz w:val="16"/>
              </w:rPr>
              <w:t>Aldosterone antagonists (spironolactone, eplerenone)</w:t>
            </w:r>
          </w:p>
        </w:tc>
        <w:tc>
          <w:tcPr>
            <w:tcW w:w="4411" w:type="dxa"/>
            <w:tcBorders>
              <w:top w:val="single" w:sz="4" w:space="0" w:color="FFFFFF"/>
              <w:bottom w:val="single" w:sz="4" w:space="0" w:color="FFFFFF"/>
            </w:tcBorders>
            <w:shd w:val="clear" w:color="auto" w:fill="E6ECF7"/>
          </w:tcPr>
          <w:p>
            <w:pPr>
              <w:pStyle w:val="TableParagraph"/>
              <w:spacing w:line="259" w:lineRule="auto"/>
              <w:ind w:left="281" w:hanging="160"/>
              <w:rPr>
                <w:sz w:val="16"/>
              </w:rPr>
            </w:pPr>
            <w:r>
              <w:rPr>
                <w:color w:val="231F20"/>
                <w:w w:val="105"/>
                <w:sz w:val="16"/>
              </w:rPr>
              <w:t>Inhibit action of aldosterone on tubular receptor, decrease Na</w:t>
            </w:r>
            <w:r>
              <w:rPr>
                <w:rFonts w:ascii="Consolas"/>
                <w:color w:val="231F20"/>
                <w:w w:val="105"/>
                <w:position w:val="6"/>
                <w:sz w:val="9"/>
              </w:rPr>
              <w:t>+ </w:t>
            </w:r>
            <w:r>
              <w:rPr>
                <w:color w:val="231F20"/>
                <w:w w:val="105"/>
                <w:sz w:val="16"/>
              </w:rPr>
              <w:t>reabsorption, and decrease K</w:t>
            </w:r>
            <w:r>
              <w:rPr>
                <w:rFonts w:ascii="Consolas"/>
                <w:color w:val="231F20"/>
                <w:w w:val="105"/>
                <w:position w:val="6"/>
                <w:sz w:val="9"/>
              </w:rPr>
              <w:t>+ </w:t>
            </w:r>
            <w:r>
              <w:rPr>
                <w:color w:val="231F20"/>
                <w:w w:val="105"/>
                <w:sz w:val="16"/>
              </w:rPr>
              <w:t>secretion</w:t>
            </w:r>
          </w:p>
        </w:tc>
        <w:tc>
          <w:tcPr>
            <w:tcW w:w="2090" w:type="dxa"/>
            <w:tcBorders>
              <w:top w:val="single" w:sz="4" w:space="0" w:color="FFFFFF"/>
              <w:bottom w:val="single" w:sz="4" w:space="0" w:color="FFFFFF"/>
            </w:tcBorders>
            <w:shd w:val="clear" w:color="auto" w:fill="E6ECF7"/>
          </w:tcPr>
          <w:p>
            <w:pPr>
              <w:pStyle w:val="TableParagraph"/>
              <w:ind w:left="130"/>
              <w:rPr>
                <w:sz w:val="16"/>
              </w:rPr>
            </w:pPr>
            <w:r>
              <w:rPr>
                <w:color w:val="231F20"/>
                <w:w w:val="105"/>
                <w:sz w:val="16"/>
              </w:rPr>
              <w:t>Collecting tubules</w:t>
            </w:r>
          </w:p>
        </w:tc>
      </w:tr>
      <w:tr>
        <w:trPr>
          <w:trHeight w:val="679" w:hRule="atLeast"/>
        </w:trPr>
        <w:tc>
          <w:tcPr>
            <w:tcW w:w="3219" w:type="dxa"/>
            <w:tcBorders>
              <w:top w:val="single" w:sz="4" w:space="0" w:color="FFFFFF"/>
            </w:tcBorders>
            <w:shd w:val="clear" w:color="auto" w:fill="E6ECF7"/>
          </w:tcPr>
          <w:p>
            <w:pPr>
              <w:pStyle w:val="TableParagraph"/>
              <w:spacing w:line="259" w:lineRule="auto"/>
              <w:ind w:left="280" w:hanging="160"/>
              <w:rPr>
                <w:sz w:val="16"/>
              </w:rPr>
            </w:pPr>
            <w:r>
              <w:rPr>
                <w:color w:val="231F20"/>
                <w:w w:val="105"/>
                <w:sz w:val="16"/>
              </w:rPr>
              <w:t>Sodium channel blockers (triamterene, amiloride)</w:t>
            </w:r>
          </w:p>
        </w:tc>
        <w:tc>
          <w:tcPr>
            <w:tcW w:w="4411" w:type="dxa"/>
            <w:tcBorders>
              <w:top w:val="single" w:sz="4" w:space="0" w:color="FFFFFF"/>
            </w:tcBorders>
            <w:shd w:val="clear" w:color="auto" w:fill="E6ECF7"/>
          </w:tcPr>
          <w:p>
            <w:pPr>
              <w:pStyle w:val="TableParagraph"/>
              <w:spacing w:line="259" w:lineRule="auto"/>
              <w:ind w:left="281" w:right="2" w:hanging="160"/>
              <w:rPr>
                <w:sz w:val="16"/>
              </w:rPr>
            </w:pPr>
            <w:r>
              <w:rPr>
                <w:color w:val="231F20"/>
                <w:w w:val="105"/>
                <w:sz w:val="16"/>
              </w:rPr>
              <w:t>Block entry of Na</w:t>
            </w:r>
            <w:r>
              <w:rPr>
                <w:rFonts w:ascii="Consolas"/>
                <w:color w:val="231F20"/>
                <w:w w:val="105"/>
                <w:position w:val="6"/>
                <w:sz w:val="9"/>
              </w:rPr>
              <w:t>+ </w:t>
            </w:r>
            <w:r>
              <w:rPr>
                <w:color w:val="231F20"/>
                <w:w w:val="105"/>
                <w:sz w:val="16"/>
              </w:rPr>
              <w:t>into Na</w:t>
            </w:r>
            <w:r>
              <w:rPr>
                <w:rFonts w:ascii="Consolas"/>
                <w:color w:val="231F20"/>
                <w:w w:val="105"/>
                <w:position w:val="6"/>
                <w:sz w:val="9"/>
              </w:rPr>
              <w:t>+ </w:t>
            </w:r>
            <w:r>
              <w:rPr>
                <w:color w:val="231F20"/>
                <w:w w:val="105"/>
                <w:sz w:val="16"/>
              </w:rPr>
              <w:t>channels of luminal membrane, decrease Na</w:t>
            </w:r>
            <w:r>
              <w:rPr>
                <w:rFonts w:ascii="Consolas"/>
                <w:color w:val="231F20"/>
                <w:w w:val="105"/>
                <w:position w:val="6"/>
                <w:sz w:val="9"/>
              </w:rPr>
              <w:t>+ </w:t>
            </w:r>
            <w:r>
              <w:rPr>
                <w:color w:val="231F20"/>
                <w:w w:val="105"/>
                <w:sz w:val="16"/>
              </w:rPr>
              <w:t>reabsorption, and decrease K</w:t>
            </w:r>
            <w:r>
              <w:rPr>
                <w:rFonts w:ascii="Consolas"/>
                <w:color w:val="231F20"/>
                <w:w w:val="105"/>
                <w:position w:val="6"/>
                <w:sz w:val="9"/>
              </w:rPr>
              <w:t>+ </w:t>
            </w:r>
            <w:r>
              <w:rPr>
                <w:color w:val="231F20"/>
                <w:w w:val="105"/>
                <w:sz w:val="16"/>
              </w:rPr>
              <w:t>secretion</w:t>
            </w:r>
          </w:p>
        </w:tc>
        <w:tc>
          <w:tcPr>
            <w:tcW w:w="2090" w:type="dxa"/>
            <w:tcBorders>
              <w:top w:val="single" w:sz="4" w:space="0" w:color="FFFFFF"/>
            </w:tcBorders>
            <w:shd w:val="clear" w:color="auto" w:fill="E6ECF7"/>
          </w:tcPr>
          <w:p>
            <w:pPr>
              <w:pStyle w:val="TableParagraph"/>
              <w:ind w:left="130"/>
              <w:rPr>
                <w:sz w:val="16"/>
              </w:rPr>
            </w:pPr>
            <w:r>
              <w:rPr>
                <w:color w:val="231F20"/>
                <w:w w:val="105"/>
                <w:sz w:val="16"/>
              </w:rPr>
              <w:t>Collecting tubules</w:t>
            </w:r>
          </w:p>
        </w:tc>
      </w:tr>
    </w:tbl>
    <w:p>
      <w:pPr>
        <w:spacing w:after="0"/>
        <w:rPr>
          <w:sz w:val="16"/>
        </w:rPr>
        <w:sectPr>
          <w:type w:val="continuous"/>
          <w:pgSz w:w="12240" w:h="15660"/>
          <w:pgMar w:top="0" w:bottom="760" w:left="0" w:right="0"/>
        </w:sect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sz w:val="21"/>
        </w:rPr>
      </w:pPr>
    </w:p>
    <w:p>
      <w:pPr>
        <w:spacing w:after="0"/>
        <w:rPr>
          <w:rFonts w:ascii="Trebuchet MS"/>
          <w:sz w:val="21"/>
        </w:rPr>
        <w:sectPr>
          <w:headerReference w:type="even" r:id="rId1036"/>
          <w:pgSz w:w="12240" w:h="15660"/>
          <w:pgMar w:header="0" w:footer="567" w:top="0" w:bottom="760" w:left="0" w:right="0"/>
        </w:sectPr>
      </w:pPr>
    </w:p>
    <w:p>
      <w:pPr>
        <w:pStyle w:val="BodyText"/>
        <w:spacing w:line="249" w:lineRule="auto" w:before="99"/>
        <w:ind w:left="1440"/>
        <w:jc w:val="both"/>
      </w:pPr>
      <w:r>
        <w:rPr/>
        <w:pict>
          <v:group style="position:absolute;margin-left:0pt;margin-top:0pt;width:612pt;height:180pt;mso-position-horizontal-relative:page;mso-position-vertical-relative:page;z-index:-27213926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v:shape style="position:absolute;left:6480;top:2787;width:4680;height:32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5"/>
                        <w:sz w:val="22"/>
                      </w:rPr>
                      <w:t>KIDNEY DISEASES</w:t>
                    </w:r>
                  </w:p>
                </w:txbxContent>
              </v:textbox>
              <v:fill type="solid"/>
              <w10:wrap type="none"/>
            </v:shape>
            <w10:wrap type="none"/>
          </v:group>
        </w:pict>
      </w:r>
      <w:r>
        <w:rPr>
          <w:color w:val="231F20"/>
        </w:rPr>
        <w:t>tubule, the primary site of action of carbonic anhydrase inhibitors. Some carbonic anhydrase is also present in other tubular cells, such as in the intercalated cells of the collecting tubule.</w:t>
      </w:r>
    </w:p>
    <w:p>
      <w:pPr>
        <w:pStyle w:val="BodyText"/>
        <w:spacing w:line="249" w:lineRule="auto"/>
        <w:ind w:left="1439" w:firstLine="240"/>
        <w:jc w:val="both"/>
      </w:pPr>
      <w:r>
        <w:rPr/>
        <w:pict>
          <v:shape style="position:absolute;margin-left:276.008087pt;margin-top:5.445556pt;width:3pt;height:8.7pt;mso-position-horizontal-relative:page;mso-position-vertical-relative:paragraph;z-index:-272136192"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108.4105pt;margin-top:53.445557pt;width:3pt;height:8.7pt;mso-position-horizontal-relative:page;mso-position-vertical-relative:paragraph;z-index:-272135168"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219.318893pt;margin-top:65.445557pt;width:3pt;height:8.7pt;mso-position-horizontal-relative:page;mso-position-vertical-relative:paragraph;z-index:-272134144"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pict>
          <v:shape style="position:absolute;margin-left:94.459503pt;margin-top:125.445557pt;width:3pt;height:8.7pt;mso-position-horizontal-relative:page;mso-position-vertical-relative:paragraph;z-index:-272133120" type="#_x0000_t202" filled="false" stroked="false">
            <v:textbox inset="0,0,0,0">
              <w:txbxContent>
                <w:p>
                  <w:pPr>
                    <w:spacing w:line="137" w:lineRule="exact" w:before="0"/>
                    <w:ind w:left="0" w:right="0" w:firstLine="0"/>
                    <w:jc w:val="left"/>
                    <w:rPr>
                      <w:sz w:val="12"/>
                    </w:rPr>
                  </w:pPr>
                  <w:r>
                    <w:rPr>
                      <w:color w:val="231F20"/>
                      <w:w w:val="98"/>
                      <w:sz w:val="12"/>
                    </w:rPr>
                    <w:t>3</w:t>
                  </w:r>
                </w:p>
              </w:txbxContent>
            </v:textbox>
            <w10:wrap type="none"/>
          </v:shape>
        </w:pict>
      </w:r>
      <w:r>
        <w:rPr>
          <w:color w:val="231F20"/>
          <w:w w:val="105"/>
        </w:rPr>
        <w:t>Because</w:t>
      </w:r>
      <w:r>
        <w:rPr>
          <w:color w:val="231F20"/>
          <w:spacing w:val="-16"/>
          <w:w w:val="105"/>
        </w:rPr>
        <w:t> </w:t>
      </w:r>
      <w:r>
        <w:rPr>
          <w:color w:val="231F20"/>
          <w:w w:val="105"/>
        </w:rPr>
        <w:t>hydrogen</w:t>
      </w:r>
      <w:r>
        <w:rPr>
          <w:color w:val="231F20"/>
          <w:spacing w:val="-16"/>
          <w:w w:val="105"/>
        </w:rPr>
        <w:t> </w:t>
      </w:r>
      <w:r>
        <w:rPr>
          <w:color w:val="231F20"/>
          <w:w w:val="105"/>
        </w:rPr>
        <w:t>ion</w:t>
      </w:r>
      <w:r>
        <w:rPr>
          <w:color w:val="231F20"/>
          <w:spacing w:val="-16"/>
          <w:w w:val="105"/>
        </w:rPr>
        <w:t> </w:t>
      </w:r>
      <w:r>
        <w:rPr>
          <w:color w:val="231F20"/>
          <w:w w:val="105"/>
        </w:rPr>
        <w:t>(H</w:t>
      </w:r>
      <w:r>
        <w:rPr>
          <w:rFonts w:ascii="Consolas" w:hAnsi="Consolas"/>
          <w:color w:val="231F20"/>
          <w:w w:val="105"/>
          <w:position w:val="8"/>
          <w:sz w:val="12"/>
        </w:rPr>
        <w:t>+</w:t>
      </w:r>
      <w:r>
        <w:rPr>
          <w:color w:val="231F20"/>
          <w:w w:val="105"/>
        </w:rPr>
        <w:t>)</w:t>
      </w:r>
      <w:r>
        <w:rPr>
          <w:color w:val="231F20"/>
          <w:spacing w:val="-16"/>
          <w:w w:val="105"/>
        </w:rPr>
        <w:t> </w:t>
      </w:r>
      <w:r>
        <w:rPr>
          <w:color w:val="231F20"/>
          <w:w w:val="105"/>
        </w:rPr>
        <w:t>secretion</w:t>
      </w:r>
      <w:r>
        <w:rPr>
          <w:color w:val="231F20"/>
          <w:spacing w:val="-16"/>
          <w:w w:val="105"/>
        </w:rPr>
        <w:t> </w:t>
      </w:r>
      <w:r>
        <w:rPr>
          <w:color w:val="231F20"/>
          <w:w w:val="105"/>
        </w:rPr>
        <w:t>and</w:t>
      </w:r>
      <w:r>
        <w:rPr>
          <w:color w:val="231F20"/>
          <w:spacing w:val="-16"/>
          <w:w w:val="105"/>
        </w:rPr>
        <w:t> </w:t>
      </w:r>
      <w:r>
        <w:rPr>
          <w:color w:val="231F20"/>
          <w:w w:val="105"/>
        </w:rPr>
        <w:t>HCO</w:t>
      </w:r>
      <w:r>
        <w:rPr>
          <w:color w:val="231F20"/>
          <w:spacing w:val="-6"/>
          <w:w w:val="105"/>
        </w:rPr>
        <w:t> </w:t>
      </w:r>
      <w:r>
        <w:rPr>
          <w:rFonts w:ascii="Consolas" w:hAnsi="Consolas"/>
          <w:color w:val="231F20"/>
          <w:w w:val="105"/>
          <w:position w:val="8"/>
          <w:sz w:val="12"/>
        </w:rPr>
        <w:t>−</w:t>
      </w:r>
      <w:r>
        <w:rPr>
          <w:rFonts w:ascii="Consolas" w:hAnsi="Consolas"/>
          <w:color w:val="231F20"/>
          <w:spacing w:val="-33"/>
          <w:w w:val="105"/>
          <w:position w:val="8"/>
          <w:sz w:val="12"/>
        </w:rPr>
        <w:t> </w:t>
      </w:r>
      <w:r>
        <w:rPr>
          <w:color w:val="231F20"/>
          <w:w w:val="105"/>
        </w:rPr>
        <w:t>reab­ sorption in the proximal tubules are coupled to sodium reabsorption through the sodium­hydrogen ion counter­ transport</w:t>
      </w:r>
      <w:r>
        <w:rPr>
          <w:color w:val="231F20"/>
          <w:spacing w:val="-8"/>
          <w:w w:val="105"/>
        </w:rPr>
        <w:t> </w:t>
      </w:r>
      <w:r>
        <w:rPr>
          <w:color w:val="231F20"/>
          <w:w w:val="105"/>
        </w:rPr>
        <w:t>mechanism</w:t>
      </w:r>
      <w:r>
        <w:rPr>
          <w:color w:val="231F20"/>
          <w:spacing w:val="-8"/>
          <w:w w:val="105"/>
        </w:rPr>
        <w:t> </w:t>
      </w:r>
      <w:r>
        <w:rPr>
          <w:color w:val="231F20"/>
          <w:w w:val="105"/>
        </w:rPr>
        <w:t>in</w:t>
      </w:r>
      <w:r>
        <w:rPr>
          <w:color w:val="231F20"/>
          <w:spacing w:val="-7"/>
          <w:w w:val="105"/>
        </w:rPr>
        <w:t> </w:t>
      </w:r>
      <w:r>
        <w:rPr>
          <w:color w:val="231F20"/>
          <w:w w:val="105"/>
        </w:rPr>
        <w:t>the</w:t>
      </w:r>
      <w:r>
        <w:rPr>
          <w:color w:val="231F20"/>
          <w:spacing w:val="-8"/>
          <w:w w:val="105"/>
        </w:rPr>
        <w:t> </w:t>
      </w:r>
      <w:r>
        <w:rPr>
          <w:color w:val="231F20"/>
          <w:w w:val="105"/>
        </w:rPr>
        <w:t>luminal</w:t>
      </w:r>
      <w:r>
        <w:rPr>
          <w:color w:val="231F20"/>
          <w:spacing w:val="-8"/>
          <w:w w:val="105"/>
        </w:rPr>
        <w:t> </w:t>
      </w:r>
      <w:r>
        <w:rPr>
          <w:color w:val="231F20"/>
          <w:w w:val="105"/>
        </w:rPr>
        <w:t>membrane,</w:t>
      </w:r>
      <w:r>
        <w:rPr>
          <w:color w:val="231F20"/>
          <w:spacing w:val="-7"/>
          <w:w w:val="105"/>
        </w:rPr>
        <w:t> </w:t>
      </w:r>
      <w:r>
        <w:rPr>
          <w:color w:val="231F20"/>
          <w:w w:val="105"/>
        </w:rPr>
        <w:t>decreas­ ing</w:t>
      </w:r>
      <w:r>
        <w:rPr>
          <w:color w:val="231F20"/>
          <w:spacing w:val="-37"/>
          <w:w w:val="105"/>
        </w:rPr>
        <w:t> </w:t>
      </w:r>
      <w:r>
        <w:rPr>
          <w:color w:val="231F20"/>
          <w:w w:val="105"/>
        </w:rPr>
        <w:t>HCO</w:t>
      </w:r>
      <w:r>
        <w:rPr>
          <w:color w:val="231F20"/>
          <w:spacing w:val="-12"/>
          <w:w w:val="105"/>
        </w:rPr>
        <w:t> </w:t>
      </w:r>
      <w:r>
        <w:rPr>
          <w:rFonts w:ascii="Consolas" w:hAnsi="Consolas"/>
          <w:color w:val="231F20"/>
          <w:w w:val="105"/>
          <w:position w:val="8"/>
          <w:sz w:val="12"/>
        </w:rPr>
        <w:t>−</w:t>
      </w:r>
      <w:r>
        <w:rPr>
          <w:rFonts w:ascii="Consolas" w:hAnsi="Consolas"/>
          <w:color w:val="231F20"/>
          <w:spacing w:val="-53"/>
          <w:w w:val="105"/>
          <w:position w:val="8"/>
          <w:sz w:val="12"/>
        </w:rPr>
        <w:t> </w:t>
      </w:r>
      <w:r>
        <w:rPr>
          <w:color w:val="231F20"/>
          <w:w w:val="105"/>
        </w:rPr>
        <w:t>reabsorption</w:t>
      </w:r>
      <w:r>
        <w:rPr>
          <w:color w:val="231F20"/>
          <w:spacing w:val="-36"/>
          <w:w w:val="105"/>
        </w:rPr>
        <w:t> </w:t>
      </w:r>
      <w:r>
        <w:rPr>
          <w:color w:val="231F20"/>
          <w:w w:val="105"/>
        </w:rPr>
        <w:t>also</w:t>
      </w:r>
      <w:r>
        <w:rPr>
          <w:color w:val="231F20"/>
          <w:spacing w:val="-37"/>
          <w:w w:val="105"/>
        </w:rPr>
        <w:t> </w:t>
      </w:r>
      <w:r>
        <w:rPr>
          <w:color w:val="231F20"/>
          <w:w w:val="105"/>
        </w:rPr>
        <w:t>reduces</w:t>
      </w:r>
      <w:r>
        <w:rPr>
          <w:color w:val="231F20"/>
          <w:spacing w:val="-36"/>
          <w:w w:val="105"/>
        </w:rPr>
        <w:t> </w:t>
      </w:r>
      <w:r>
        <w:rPr>
          <w:color w:val="231F20"/>
          <w:w w:val="105"/>
        </w:rPr>
        <w:t>sodium</w:t>
      </w:r>
      <w:r>
        <w:rPr>
          <w:color w:val="231F20"/>
          <w:spacing w:val="-37"/>
          <w:w w:val="105"/>
        </w:rPr>
        <w:t> </w:t>
      </w:r>
      <w:r>
        <w:rPr>
          <w:color w:val="231F20"/>
          <w:w w:val="105"/>
        </w:rPr>
        <w:t>reabsorption. The blockage of sodium and HCO </w:t>
      </w:r>
      <w:r>
        <w:rPr>
          <w:rFonts w:ascii="Consolas" w:hAnsi="Consolas"/>
          <w:color w:val="231F20"/>
          <w:w w:val="105"/>
          <w:position w:val="8"/>
          <w:sz w:val="12"/>
        </w:rPr>
        <w:t>− </w:t>
      </w:r>
      <w:r>
        <w:rPr>
          <w:color w:val="231F20"/>
          <w:w w:val="105"/>
        </w:rPr>
        <w:t>reabsorption from the</w:t>
      </w:r>
      <w:r>
        <w:rPr>
          <w:color w:val="231F20"/>
          <w:spacing w:val="-21"/>
          <w:w w:val="105"/>
        </w:rPr>
        <w:t> </w:t>
      </w:r>
      <w:r>
        <w:rPr>
          <w:color w:val="231F20"/>
          <w:w w:val="105"/>
        </w:rPr>
        <w:t>tubular</w:t>
      </w:r>
      <w:r>
        <w:rPr>
          <w:color w:val="231F20"/>
          <w:spacing w:val="-20"/>
          <w:w w:val="105"/>
        </w:rPr>
        <w:t> </w:t>
      </w:r>
      <w:r>
        <w:rPr>
          <w:color w:val="231F20"/>
          <w:w w:val="105"/>
        </w:rPr>
        <w:t>fluid</w:t>
      </w:r>
      <w:r>
        <w:rPr>
          <w:color w:val="231F20"/>
          <w:spacing w:val="-20"/>
          <w:w w:val="105"/>
        </w:rPr>
        <w:t> </w:t>
      </w:r>
      <w:r>
        <w:rPr>
          <w:color w:val="231F20"/>
          <w:w w:val="105"/>
        </w:rPr>
        <w:t>causes</w:t>
      </w:r>
      <w:r>
        <w:rPr>
          <w:color w:val="231F20"/>
          <w:spacing w:val="-20"/>
          <w:w w:val="105"/>
        </w:rPr>
        <w:t> </w:t>
      </w:r>
      <w:r>
        <w:rPr>
          <w:color w:val="231F20"/>
          <w:w w:val="105"/>
        </w:rPr>
        <w:t>these</w:t>
      </w:r>
      <w:r>
        <w:rPr>
          <w:color w:val="231F20"/>
          <w:spacing w:val="-21"/>
          <w:w w:val="105"/>
        </w:rPr>
        <w:t> </w:t>
      </w:r>
      <w:r>
        <w:rPr>
          <w:color w:val="231F20"/>
          <w:w w:val="105"/>
        </w:rPr>
        <w:t>ions</w:t>
      </w:r>
      <w:r>
        <w:rPr>
          <w:color w:val="231F20"/>
          <w:spacing w:val="-20"/>
          <w:w w:val="105"/>
        </w:rPr>
        <w:t> </w:t>
      </w:r>
      <w:r>
        <w:rPr>
          <w:color w:val="231F20"/>
          <w:w w:val="105"/>
        </w:rPr>
        <w:t>to</w:t>
      </w:r>
      <w:r>
        <w:rPr>
          <w:color w:val="231F20"/>
          <w:spacing w:val="-20"/>
          <w:w w:val="105"/>
        </w:rPr>
        <w:t> </w:t>
      </w:r>
      <w:r>
        <w:rPr>
          <w:color w:val="231F20"/>
          <w:w w:val="105"/>
        </w:rPr>
        <w:t>remain</w:t>
      </w:r>
      <w:r>
        <w:rPr>
          <w:color w:val="231F20"/>
          <w:spacing w:val="-20"/>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tubules and</w:t>
      </w:r>
      <w:r>
        <w:rPr>
          <w:color w:val="231F20"/>
          <w:spacing w:val="-28"/>
          <w:w w:val="105"/>
        </w:rPr>
        <w:t> </w:t>
      </w:r>
      <w:r>
        <w:rPr>
          <w:color w:val="231F20"/>
          <w:w w:val="105"/>
        </w:rPr>
        <w:t>act</w:t>
      </w:r>
      <w:r>
        <w:rPr>
          <w:color w:val="231F20"/>
          <w:spacing w:val="-28"/>
          <w:w w:val="105"/>
        </w:rPr>
        <w:t> </w:t>
      </w:r>
      <w:r>
        <w:rPr>
          <w:color w:val="231F20"/>
          <w:w w:val="105"/>
        </w:rPr>
        <w:t>as</w:t>
      </w:r>
      <w:r>
        <w:rPr>
          <w:color w:val="231F20"/>
          <w:spacing w:val="-28"/>
          <w:w w:val="105"/>
        </w:rPr>
        <w:t> </w:t>
      </w:r>
      <w:r>
        <w:rPr>
          <w:color w:val="231F20"/>
          <w:w w:val="105"/>
        </w:rPr>
        <w:t>an</w:t>
      </w:r>
      <w:r>
        <w:rPr>
          <w:color w:val="231F20"/>
          <w:spacing w:val="-28"/>
          <w:w w:val="105"/>
        </w:rPr>
        <w:t> </w:t>
      </w:r>
      <w:r>
        <w:rPr>
          <w:color w:val="231F20"/>
          <w:w w:val="105"/>
        </w:rPr>
        <w:t>osmotic</w:t>
      </w:r>
      <w:r>
        <w:rPr>
          <w:color w:val="231F20"/>
          <w:spacing w:val="-28"/>
          <w:w w:val="105"/>
        </w:rPr>
        <w:t> </w:t>
      </w:r>
      <w:r>
        <w:rPr>
          <w:color w:val="231F20"/>
          <w:w w:val="105"/>
        </w:rPr>
        <w:t>diuretic.</w:t>
      </w:r>
      <w:r>
        <w:rPr>
          <w:color w:val="231F20"/>
          <w:spacing w:val="-28"/>
          <w:w w:val="105"/>
        </w:rPr>
        <w:t> </w:t>
      </w:r>
      <w:r>
        <w:rPr>
          <w:color w:val="231F20"/>
          <w:w w:val="105"/>
        </w:rPr>
        <w:t>Predictably,</w:t>
      </w:r>
      <w:r>
        <w:rPr>
          <w:color w:val="231F20"/>
          <w:spacing w:val="-28"/>
          <w:w w:val="105"/>
        </w:rPr>
        <w:t> </w:t>
      </w:r>
      <w:r>
        <w:rPr>
          <w:color w:val="231F20"/>
          <w:w w:val="105"/>
        </w:rPr>
        <w:t>a</w:t>
      </w:r>
      <w:r>
        <w:rPr>
          <w:color w:val="231F20"/>
          <w:spacing w:val="-28"/>
          <w:w w:val="105"/>
        </w:rPr>
        <w:t> </w:t>
      </w:r>
      <w:r>
        <w:rPr>
          <w:color w:val="231F20"/>
          <w:w w:val="105"/>
        </w:rPr>
        <w:t>disadvantage of the carbonic anhydrase inhibitors is that they </w:t>
      </w:r>
      <w:r>
        <w:rPr>
          <w:color w:val="231F20"/>
          <w:spacing w:val="-3"/>
          <w:w w:val="105"/>
        </w:rPr>
        <w:t>cause </w:t>
      </w:r>
      <w:r>
        <w:rPr>
          <w:color w:val="231F20"/>
          <w:w w:val="105"/>
        </w:rPr>
        <w:t>some</w:t>
      </w:r>
      <w:r>
        <w:rPr>
          <w:color w:val="231F20"/>
          <w:spacing w:val="-7"/>
          <w:w w:val="105"/>
        </w:rPr>
        <w:t> </w:t>
      </w:r>
      <w:r>
        <w:rPr>
          <w:color w:val="231F20"/>
          <w:w w:val="105"/>
        </w:rPr>
        <w:t>degree</w:t>
      </w:r>
      <w:r>
        <w:rPr>
          <w:color w:val="231F20"/>
          <w:spacing w:val="-6"/>
          <w:w w:val="105"/>
        </w:rPr>
        <w:t> </w:t>
      </w:r>
      <w:r>
        <w:rPr>
          <w:color w:val="231F20"/>
          <w:w w:val="105"/>
        </w:rPr>
        <w:t>of</w:t>
      </w:r>
      <w:r>
        <w:rPr>
          <w:color w:val="231F20"/>
          <w:spacing w:val="-7"/>
          <w:w w:val="105"/>
        </w:rPr>
        <w:t> </w:t>
      </w:r>
      <w:r>
        <w:rPr>
          <w:color w:val="231F20"/>
          <w:w w:val="105"/>
        </w:rPr>
        <w:t>acidosis</w:t>
      </w:r>
      <w:r>
        <w:rPr>
          <w:color w:val="231F20"/>
          <w:spacing w:val="-6"/>
          <w:w w:val="105"/>
        </w:rPr>
        <w:t> </w:t>
      </w:r>
      <w:r>
        <w:rPr>
          <w:color w:val="231F20"/>
          <w:w w:val="105"/>
        </w:rPr>
        <w:t>because</w:t>
      </w:r>
      <w:r>
        <w:rPr>
          <w:color w:val="231F20"/>
          <w:spacing w:val="-7"/>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excessive</w:t>
      </w:r>
      <w:r>
        <w:rPr>
          <w:color w:val="231F20"/>
          <w:spacing w:val="-7"/>
          <w:w w:val="105"/>
        </w:rPr>
        <w:t> </w:t>
      </w:r>
      <w:r>
        <w:rPr>
          <w:color w:val="231F20"/>
          <w:w w:val="105"/>
        </w:rPr>
        <w:t>loss</w:t>
      </w:r>
      <w:r>
        <w:rPr>
          <w:color w:val="231F20"/>
          <w:spacing w:val="-6"/>
          <w:w w:val="105"/>
        </w:rPr>
        <w:t> </w:t>
      </w:r>
      <w:r>
        <w:rPr>
          <w:color w:val="231F20"/>
          <w:w w:val="105"/>
        </w:rPr>
        <w:t>of HCO </w:t>
      </w:r>
      <w:r>
        <w:rPr>
          <w:rFonts w:ascii="Consolas" w:hAnsi="Consolas"/>
          <w:color w:val="231F20"/>
          <w:w w:val="105"/>
          <w:position w:val="8"/>
          <w:sz w:val="12"/>
        </w:rPr>
        <w:t>− </w:t>
      </w:r>
      <w:r>
        <w:rPr>
          <w:color w:val="231F20"/>
          <w:w w:val="105"/>
        </w:rPr>
        <w:t>in the</w:t>
      </w:r>
      <w:r>
        <w:rPr>
          <w:color w:val="231F20"/>
          <w:spacing w:val="-1"/>
          <w:w w:val="105"/>
        </w:rPr>
        <w:t> </w:t>
      </w:r>
      <w:r>
        <w:rPr>
          <w:color w:val="231F20"/>
          <w:w w:val="105"/>
        </w:rPr>
        <w:t>urine.</w:t>
      </w:r>
    </w:p>
    <w:p>
      <w:pPr>
        <w:pStyle w:val="BodyText"/>
        <w:spacing w:before="5"/>
        <w:rPr>
          <w:sz w:val="30"/>
        </w:rPr>
      </w:pPr>
    </w:p>
    <w:p>
      <w:pPr>
        <w:pStyle w:val="Heading2"/>
        <w:spacing w:line="225" w:lineRule="auto" w:before="1"/>
        <w:ind w:left="1440" w:right="1040"/>
      </w:pPr>
      <w:r>
        <w:rPr>
          <w:color w:val="231F20"/>
          <w:w w:val="105"/>
        </w:rPr>
        <w:t>MINERALOCORTICOID RECEPTOR ANTAGONISTS DECREASE SODIUM REABSORPTION FROM AND POTASSIUM SECRETION INTO</w:t>
      </w:r>
    </w:p>
    <w:p>
      <w:pPr>
        <w:spacing w:line="243" w:lineRule="exact" w:before="0"/>
        <w:ind w:left="1440" w:right="0" w:firstLine="0"/>
        <w:jc w:val="left"/>
        <w:rPr>
          <w:rFonts w:ascii="Trebuchet MS"/>
          <w:b/>
          <w:sz w:val="22"/>
        </w:rPr>
      </w:pPr>
      <w:r>
        <w:rPr>
          <w:rFonts w:ascii="Trebuchet MS"/>
          <w:b/>
          <w:color w:val="231F20"/>
          <w:sz w:val="22"/>
        </w:rPr>
        <w:t>THE COLLECTING TUBULES</w:t>
      </w:r>
    </w:p>
    <w:p>
      <w:pPr>
        <w:pStyle w:val="BodyText"/>
        <w:spacing w:line="249" w:lineRule="auto" w:before="124"/>
        <w:ind w:left="1440"/>
        <w:jc w:val="both"/>
      </w:pPr>
      <w:r>
        <w:rPr>
          <w:i/>
          <w:color w:val="231F20"/>
          <w:w w:val="105"/>
        </w:rPr>
        <w:t>Spironolactone </w:t>
      </w:r>
      <w:r>
        <w:rPr>
          <w:color w:val="231F20"/>
          <w:w w:val="105"/>
        </w:rPr>
        <w:t>and </w:t>
      </w:r>
      <w:r>
        <w:rPr>
          <w:i/>
          <w:color w:val="231F20"/>
          <w:w w:val="105"/>
        </w:rPr>
        <w:t>eplerenone </w:t>
      </w:r>
      <w:r>
        <w:rPr>
          <w:color w:val="231F20"/>
          <w:w w:val="105"/>
        </w:rPr>
        <w:t>are mineralocorticoid receptor antagonists that compete with aldosterone for receptor binding sites in the collecting tubule </w:t>
      </w:r>
      <w:r>
        <w:rPr>
          <w:color w:val="231F20"/>
          <w:spacing w:val="-3"/>
          <w:w w:val="105"/>
        </w:rPr>
        <w:t>epithelial </w:t>
      </w:r>
      <w:r>
        <w:rPr>
          <w:color w:val="231F20"/>
          <w:w w:val="105"/>
        </w:rPr>
        <w:t>cells and, therefore, can decrease the reabsorption </w:t>
      </w:r>
      <w:r>
        <w:rPr>
          <w:color w:val="231F20"/>
          <w:spacing w:val="-6"/>
          <w:w w:val="105"/>
        </w:rPr>
        <w:t>of </w:t>
      </w:r>
      <w:r>
        <w:rPr>
          <w:color w:val="231F20"/>
          <w:w w:val="105"/>
        </w:rPr>
        <w:t>sodium and secretion of potassium in this </w:t>
      </w:r>
      <w:r>
        <w:rPr>
          <w:color w:val="231F20"/>
          <w:spacing w:val="-3"/>
          <w:w w:val="105"/>
        </w:rPr>
        <w:t>tubular </w:t>
      </w:r>
      <w:r>
        <w:rPr>
          <w:color w:val="231F20"/>
          <w:w w:val="105"/>
        </w:rPr>
        <w:t>segment. As a consequence, sodium remains in the tubules</w:t>
      </w:r>
      <w:r>
        <w:rPr>
          <w:color w:val="231F20"/>
          <w:spacing w:val="-19"/>
          <w:w w:val="105"/>
        </w:rPr>
        <w:t> </w:t>
      </w:r>
      <w:r>
        <w:rPr>
          <w:color w:val="231F20"/>
          <w:w w:val="105"/>
        </w:rPr>
        <w:t>and</w:t>
      </w:r>
      <w:r>
        <w:rPr>
          <w:color w:val="231F20"/>
          <w:spacing w:val="-19"/>
          <w:w w:val="105"/>
        </w:rPr>
        <w:t> </w:t>
      </w:r>
      <w:r>
        <w:rPr>
          <w:color w:val="231F20"/>
          <w:w w:val="105"/>
        </w:rPr>
        <w:t>acts</w:t>
      </w:r>
      <w:r>
        <w:rPr>
          <w:color w:val="231F20"/>
          <w:spacing w:val="-19"/>
          <w:w w:val="105"/>
        </w:rPr>
        <w:t> </w:t>
      </w:r>
      <w:r>
        <w:rPr>
          <w:color w:val="231F20"/>
          <w:w w:val="105"/>
        </w:rPr>
        <w:t>as</w:t>
      </w:r>
      <w:r>
        <w:rPr>
          <w:color w:val="231F20"/>
          <w:spacing w:val="-18"/>
          <w:w w:val="105"/>
        </w:rPr>
        <w:t> </w:t>
      </w:r>
      <w:r>
        <w:rPr>
          <w:color w:val="231F20"/>
          <w:w w:val="105"/>
        </w:rPr>
        <w:t>an</w:t>
      </w:r>
      <w:r>
        <w:rPr>
          <w:color w:val="231F20"/>
          <w:spacing w:val="-19"/>
          <w:w w:val="105"/>
        </w:rPr>
        <w:t> </w:t>
      </w:r>
      <w:r>
        <w:rPr>
          <w:color w:val="231F20"/>
          <w:w w:val="105"/>
        </w:rPr>
        <w:t>osmotic</w:t>
      </w:r>
      <w:r>
        <w:rPr>
          <w:color w:val="231F20"/>
          <w:spacing w:val="-19"/>
          <w:w w:val="105"/>
        </w:rPr>
        <w:t> </w:t>
      </w:r>
      <w:r>
        <w:rPr>
          <w:color w:val="231F20"/>
          <w:w w:val="105"/>
        </w:rPr>
        <w:t>diuretic,</w:t>
      </w:r>
      <w:r>
        <w:rPr>
          <w:color w:val="231F20"/>
          <w:spacing w:val="-19"/>
          <w:w w:val="105"/>
        </w:rPr>
        <w:t> </w:t>
      </w:r>
      <w:r>
        <w:rPr>
          <w:color w:val="231F20"/>
          <w:w w:val="105"/>
        </w:rPr>
        <w:t>causing</w:t>
      </w:r>
      <w:r>
        <w:rPr>
          <w:color w:val="231F20"/>
          <w:spacing w:val="-18"/>
          <w:w w:val="105"/>
        </w:rPr>
        <w:t> </w:t>
      </w:r>
      <w:r>
        <w:rPr>
          <w:color w:val="231F20"/>
          <w:w w:val="105"/>
        </w:rPr>
        <w:t>increased excretion</w:t>
      </w:r>
      <w:r>
        <w:rPr>
          <w:color w:val="231F20"/>
          <w:spacing w:val="-26"/>
          <w:w w:val="105"/>
        </w:rPr>
        <w:t> </w:t>
      </w:r>
      <w:r>
        <w:rPr>
          <w:color w:val="231F20"/>
          <w:w w:val="105"/>
        </w:rPr>
        <w:t>of</w:t>
      </w:r>
      <w:r>
        <w:rPr>
          <w:color w:val="231F20"/>
          <w:spacing w:val="-25"/>
          <w:w w:val="105"/>
        </w:rPr>
        <w:t> </w:t>
      </w:r>
      <w:r>
        <w:rPr>
          <w:color w:val="231F20"/>
          <w:spacing w:val="-3"/>
          <w:w w:val="105"/>
        </w:rPr>
        <w:t>water,</w:t>
      </w:r>
      <w:r>
        <w:rPr>
          <w:color w:val="231F20"/>
          <w:spacing w:val="-25"/>
          <w:w w:val="105"/>
        </w:rPr>
        <w:t> </w:t>
      </w:r>
      <w:r>
        <w:rPr>
          <w:color w:val="231F20"/>
          <w:w w:val="105"/>
        </w:rPr>
        <w:t>as</w:t>
      </w:r>
      <w:r>
        <w:rPr>
          <w:color w:val="231F20"/>
          <w:spacing w:val="-25"/>
          <w:w w:val="105"/>
        </w:rPr>
        <w:t> </w:t>
      </w:r>
      <w:r>
        <w:rPr>
          <w:color w:val="231F20"/>
          <w:w w:val="105"/>
        </w:rPr>
        <w:t>well</w:t>
      </w:r>
      <w:r>
        <w:rPr>
          <w:color w:val="231F20"/>
          <w:spacing w:val="-25"/>
          <w:w w:val="105"/>
        </w:rPr>
        <w:t> </w:t>
      </w:r>
      <w:r>
        <w:rPr>
          <w:color w:val="231F20"/>
          <w:w w:val="105"/>
        </w:rPr>
        <w:t>as</w:t>
      </w:r>
      <w:r>
        <w:rPr>
          <w:color w:val="231F20"/>
          <w:spacing w:val="-26"/>
          <w:w w:val="105"/>
        </w:rPr>
        <w:t> </w:t>
      </w:r>
      <w:r>
        <w:rPr>
          <w:color w:val="231F20"/>
          <w:w w:val="105"/>
        </w:rPr>
        <w:t>sodium.</w:t>
      </w:r>
      <w:r>
        <w:rPr>
          <w:color w:val="231F20"/>
          <w:spacing w:val="-25"/>
          <w:w w:val="105"/>
        </w:rPr>
        <w:t> </w:t>
      </w:r>
      <w:r>
        <w:rPr>
          <w:color w:val="231F20"/>
          <w:w w:val="105"/>
        </w:rPr>
        <w:t>Because</w:t>
      </w:r>
      <w:r>
        <w:rPr>
          <w:color w:val="231F20"/>
          <w:spacing w:val="-25"/>
          <w:w w:val="105"/>
        </w:rPr>
        <w:t> </w:t>
      </w:r>
      <w:r>
        <w:rPr>
          <w:color w:val="231F20"/>
          <w:w w:val="105"/>
        </w:rPr>
        <w:t>these</w:t>
      </w:r>
      <w:r>
        <w:rPr>
          <w:color w:val="231F20"/>
          <w:spacing w:val="-25"/>
          <w:w w:val="105"/>
        </w:rPr>
        <w:t> </w:t>
      </w:r>
      <w:r>
        <w:rPr>
          <w:color w:val="231F20"/>
          <w:spacing w:val="-3"/>
          <w:w w:val="105"/>
        </w:rPr>
        <w:t>drugs </w:t>
      </w:r>
      <w:r>
        <w:rPr>
          <w:color w:val="231F20"/>
          <w:w w:val="105"/>
        </w:rPr>
        <w:t>also</w:t>
      </w:r>
      <w:r>
        <w:rPr>
          <w:color w:val="231F20"/>
          <w:spacing w:val="-19"/>
          <w:w w:val="105"/>
        </w:rPr>
        <w:t> </w:t>
      </w:r>
      <w:r>
        <w:rPr>
          <w:color w:val="231F20"/>
          <w:w w:val="105"/>
        </w:rPr>
        <w:t>block</w:t>
      </w:r>
      <w:r>
        <w:rPr>
          <w:color w:val="231F20"/>
          <w:spacing w:val="-19"/>
          <w:w w:val="105"/>
        </w:rPr>
        <w:t> </w:t>
      </w:r>
      <w:r>
        <w:rPr>
          <w:color w:val="231F20"/>
          <w:w w:val="105"/>
        </w:rPr>
        <w:t>the</w:t>
      </w:r>
      <w:r>
        <w:rPr>
          <w:color w:val="231F20"/>
          <w:spacing w:val="-19"/>
          <w:w w:val="105"/>
        </w:rPr>
        <w:t> </w:t>
      </w:r>
      <w:r>
        <w:rPr>
          <w:color w:val="231F20"/>
          <w:w w:val="105"/>
        </w:rPr>
        <w:t>effect</w:t>
      </w:r>
      <w:r>
        <w:rPr>
          <w:color w:val="231F20"/>
          <w:spacing w:val="-19"/>
          <w:w w:val="105"/>
        </w:rPr>
        <w:t> </w:t>
      </w:r>
      <w:r>
        <w:rPr>
          <w:color w:val="231F20"/>
          <w:w w:val="105"/>
        </w:rPr>
        <w:t>of</w:t>
      </w:r>
      <w:r>
        <w:rPr>
          <w:color w:val="231F20"/>
          <w:spacing w:val="-19"/>
          <w:w w:val="105"/>
        </w:rPr>
        <w:t> </w:t>
      </w:r>
      <w:r>
        <w:rPr>
          <w:color w:val="231F20"/>
          <w:w w:val="105"/>
        </w:rPr>
        <w:t>aldosterone</w:t>
      </w:r>
      <w:r>
        <w:rPr>
          <w:color w:val="231F20"/>
          <w:spacing w:val="-19"/>
          <w:w w:val="105"/>
        </w:rPr>
        <w:t> </w:t>
      </w:r>
      <w:r>
        <w:rPr>
          <w:color w:val="231F20"/>
          <w:w w:val="105"/>
        </w:rPr>
        <w:t>to</w:t>
      </w:r>
      <w:r>
        <w:rPr>
          <w:color w:val="231F20"/>
          <w:spacing w:val="-19"/>
          <w:w w:val="105"/>
        </w:rPr>
        <w:t> </w:t>
      </w:r>
      <w:r>
        <w:rPr>
          <w:color w:val="231F20"/>
          <w:w w:val="105"/>
        </w:rPr>
        <w:t>promote</w:t>
      </w:r>
      <w:r>
        <w:rPr>
          <w:color w:val="231F20"/>
          <w:spacing w:val="-18"/>
          <w:w w:val="105"/>
        </w:rPr>
        <w:t> </w:t>
      </w:r>
      <w:r>
        <w:rPr>
          <w:color w:val="231F20"/>
          <w:w w:val="105"/>
        </w:rPr>
        <w:t>potassium secretion in the tubules, they decrease the excretion </w:t>
      </w:r>
      <w:r>
        <w:rPr>
          <w:color w:val="231F20"/>
          <w:spacing w:val="-6"/>
          <w:w w:val="105"/>
        </w:rPr>
        <w:t>of </w:t>
      </w:r>
      <w:r>
        <w:rPr>
          <w:color w:val="231F20"/>
          <w:w w:val="105"/>
        </w:rPr>
        <w:t>potassium. Mineralocorticoid receptor antagonists </w:t>
      </w:r>
      <w:r>
        <w:rPr>
          <w:color w:val="231F20"/>
          <w:spacing w:val="-4"/>
          <w:w w:val="105"/>
        </w:rPr>
        <w:t>also </w:t>
      </w:r>
      <w:r>
        <w:rPr>
          <w:color w:val="231F20"/>
          <w:w w:val="105"/>
        </w:rPr>
        <w:t>cause</w:t>
      </w:r>
      <w:r>
        <w:rPr>
          <w:color w:val="231F20"/>
          <w:spacing w:val="-16"/>
          <w:w w:val="105"/>
        </w:rPr>
        <w:t> </w:t>
      </w:r>
      <w:r>
        <w:rPr>
          <w:color w:val="231F20"/>
          <w:w w:val="105"/>
        </w:rPr>
        <w:t>movement</w:t>
      </w:r>
      <w:r>
        <w:rPr>
          <w:color w:val="231F20"/>
          <w:spacing w:val="-16"/>
          <w:w w:val="105"/>
        </w:rPr>
        <w:t> </w:t>
      </w:r>
      <w:r>
        <w:rPr>
          <w:color w:val="231F20"/>
          <w:w w:val="105"/>
        </w:rPr>
        <w:t>of</w:t>
      </w:r>
      <w:r>
        <w:rPr>
          <w:color w:val="231F20"/>
          <w:spacing w:val="-15"/>
          <w:w w:val="105"/>
        </w:rPr>
        <w:t> </w:t>
      </w:r>
      <w:r>
        <w:rPr>
          <w:color w:val="231F20"/>
          <w:w w:val="105"/>
        </w:rPr>
        <w:t>potassium</w:t>
      </w:r>
      <w:r>
        <w:rPr>
          <w:color w:val="231F20"/>
          <w:spacing w:val="-16"/>
          <w:w w:val="105"/>
        </w:rPr>
        <w:t> </w:t>
      </w:r>
      <w:r>
        <w:rPr>
          <w:color w:val="231F20"/>
          <w:w w:val="105"/>
        </w:rPr>
        <w:t>from</w:t>
      </w:r>
      <w:r>
        <w:rPr>
          <w:color w:val="231F20"/>
          <w:spacing w:val="-15"/>
          <w:w w:val="105"/>
        </w:rPr>
        <w:t> </w:t>
      </w:r>
      <w:r>
        <w:rPr>
          <w:color w:val="231F20"/>
          <w:w w:val="105"/>
        </w:rPr>
        <w:t>the</w:t>
      </w:r>
      <w:r>
        <w:rPr>
          <w:color w:val="231F20"/>
          <w:spacing w:val="-16"/>
          <w:w w:val="105"/>
        </w:rPr>
        <w:t> </w:t>
      </w:r>
      <w:r>
        <w:rPr>
          <w:color w:val="231F20"/>
          <w:w w:val="105"/>
        </w:rPr>
        <w:t>cells</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6"/>
          <w:w w:val="105"/>
        </w:rPr>
        <w:t> </w:t>
      </w:r>
      <w:r>
        <w:rPr>
          <w:color w:val="231F20"/>
          <w:w w:val="105"/>
        </w:rPr>
        <w:t>extra­ cellular fluid. In some instances, this movement </w:t>
      </w:r>
      <w:r>
        <w:rPr>
          <w:color w:val="231F20"/>
          <w:spacing w:val="-3"/>
          <w:w w:val="105"/>
        </w:rPr>
        <w:t>causes </w:t>
      </w:r>
      <w:r>
        <w:rPr>
          <w:color w:val="231F20"/>
          <w:w w:val="105"/>
        </w:rPr>
        <w:t>extracellular fluid potassium concentration to increase excessively. </w:t>
      </w:r>
      <w:r>
        <w:rPr>
          <w:color w:val="231F20"/>
          <w:spacing w:val="-3"/>
          <w:w w:val="105"/>
        </w:rPr>
        <w:t>For </w:t>
      </w:r>
      <w:r>
        <w:rPr>
          <w:color w:val="231F20"/>
          <w:w w:val="105"/>
        </w:rPr>
        <w:t>this reason, spironolactone and other mineralocorticoid receptor antagonists are referred to</w:t>
      </w:r>
      <w:r>
        <w:rPr>
          <w:color w:val="231F20"/>
          <w:spacing w:val="-30"/>
          <w:w w:val="105"/>
        </w:rPr>
        <w:t> </w:t>
      </w:r>
      <w:r>
        <w:rPr>
          <w:color w:val="231F20"/>
          <w:w w:val="105"/>
        </w:rPr>
        <w:t>as </w:t>
      </w:r>
      <w:r>
        <w:rPr>
          <w:i/>
          <w:color w:val="231F20"/>
          <w:w w:val="105"/>
        </w:rPr>
        <w:t>potassium-sparing</w:t>
      </w:r>
      <w:r>
        <w:rPr>
          <w:i/>
          <w:color w:val="231F20"/>
          <w:spacing w:val="-12"/>
          <w:w w:val="105"/>
        </w:rPr>
        <w:t> </w:t>
      </w:r>
      <w:r>
        <w:rPr>
          <w:i/>
          <w:color w:val="231F20"/>
          <w:w w:val="105"/>
        </w:rPr>
        <w:t>diuretics.</w:t>
      </w:r>
      <w:r>
        <w:rPr>
          <w:i/>
          <w:color w:val="231F20"/>
          <w:spacing w:val="-12"/>
          <w:w w:val="105"/>
        </w:rPr>
        <w:t> </w:t>
      </w:r>
      <w:r>
        <w:rPr>
          <w:color w:val="231F20"/>
          <w:w w:val="105"/>
        </w:rPr>
        <w:t>Many</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other</w:t>
      </w:r>
      <w:r>
        <w:rPr>
          <w:color w:val="231F20"/>
          <w:spacing w:val="-12"/>
          <w:w w:val="105"/>
        </w:rPr>
        <w:t> </w:t>
      </w:r>
      <w:r>
        <w:rPr>
          <w:color w:val="231F20"/>
          <w:w w:val="105"/>
        </w:rPr>
        <w:t>diuretics cause loss of potassium in the urine, in contrast to </w:t>
      </w:r>
      <w:r>
        <w:rPr>
          <w:color w:val="231F20"/>
          <w:spacing w:val="-6"/>
          <w:w w:val="105"/>
        </w:rPr>
        <w:t>the </w:t>
      </w:r>
      <w:r>
        <w:rPr>
          <w:color w:val="231F20"/>
          <w:w w:val="105"/>
        </w:rPr>
        <w:t>mineralocorticoid</w:t>
      </w:r>
      <w:r>
        <w:rPr>
          <w:color w:val="231F20"/>
          <w:spacing w:val="-31"/>
          <w:w w:val="105"/>
        </w:rPr>
        <w:t> </w:t>
      </w:r>
      <w:r>
        <w:rPr>
          <w:color w:val="231F20"/>
          <w:w w:val="105"/>
        </w:rPr>
        <w:t>receptor</w:t>
      </w:r>
      <w:r>
        <w:rPr>
          <w:color w:val="231F20"/>
          <w:spacing w:val="-31"/>
          <w:w w:val="105"/>
        </w:rPr>
        <w:t> </w:t>
      </w:r>
      <w:r>
        <w:rPr>
          <w:color w:val="231F20"/>
          <w:w w:val="105"/>
        </w:rPr>
        <w:t>antagonists,</w:t>
      </w:r>
      <w:r>
        <w:rPr>
          <w:color w:val="231F20"/>
          <w:spacing w:val="-31"/>
          <w:w w:val="105"/>
        </w:rPr>
        <w:t> </w:t>
      </w:r>
      <w:r>
        <w:rPr>
          <w:color w:val="231F20"/>
          <w:w w:val="105"/>
        </w:rPr>
        <w:t>which</w:t>
      </w:r>
      <w:r>
        <w:rPr>
          <w:color w:val="231F20"/>
          <w:spacing w:val="-31"/>
          <w:w w:val="105"/>
        </w:rPr>
        <w:t> </w:t>
      </w:r>
      <w:r>
        <w:rPr>
          <w:color w:val="231F20"/>
          <w:w w:val="105"/>
        </w:rPr>
        <w:t>“spare”</w:t>
      </w:r>
      <w:r>
        <w:rPr>
          <w:color w:val="231F20"/>
          <w:spacing w:val="-31"/>
          <w:w w:val="105"/>
        </w:rPr>
        <w:t> </w:t>
      </w:r>
      <w:r>
        <w:rPr>
          <w:color w:val="231F20"/>
          <w:spacing w:val="-5"/>
          <w:w w:val="105"/>
        </w:rPr>
        <w:t>the </w:t>
      </w:r>
      <w:r>
        <w:rPr>
          <w:color w:val="231F20"/>
          <w:w w:val="105"/>
        </w:rPr>
        <w:t>loss of</w:t>
      </w:r>
      <w:r>
        <w:rPr>
          <w:color w:val="231F20"/>
          <w:spacing w:val="5"/>
          <w:w w:val="105"/>
        </w:rPr>
        <w:t> </w:t>
      </w:r>
      <w:r>
        <w:rPr>
          <w:color w:val="231F20"/>
          <w:w w:val="105"/>
        </w:rPr>
        <w:t>potassium.</w:t>
      </w:r>
    </w:p>
    <w:p>
      <w:pPr>
        <w:pStyle w:val="BodyText"/>
        <w:spacing w:before="1"/>
        <w:rPr>
          <w:sz w:val="32"/>
        </w:rPr>
      </w:pPr>
    </w:p>
    <w:p>
      <w:pPr>
        <w:pStyle w:val="Heading2"/>
        <w:spacing w:line="225" w:lineRule="auto"/>
        <w:ind w:left="1440" w:right="796"/>
      </w:pPr>
      <w:r>
        <w:rPr>
          <w:color w:val="231F20"/>
          <w:w w:val="105"/>
        </w:rPr>
        <w:t>SODIUM CHANNEL BLOCKERS DECREASE SODIUM REABSORPTION IN THE COLLECTING TUBULES</w:t>
      </w:r>
    </w:p>
    <w:p>
      <w:pPr>
        <w:pStyle w:val="BodyText"/>
        <w:spacing w:line="249" w:lineRule="auto" w:before="127"/>
        <w:ind w:left="1440"/>
        <w:jc w:val="both"/>
      </w:pPr>
      <w:r>
        <w:rPr>
          <w:i/>
          <w:color w:val="231F20"/>
          <w:w w:val="105"/>
        </w:rPr>
        <w:t>Amiloride</w:t>
      </w:r>
      <w:r>
        <w:rPr>
          <w:i/>
          <w:color w:val="231F20"/>
          <w:spacing w:val="-12"/>
          <w:w w:val="105"/>
        </w:rPr>
        <w:t> </w:t>
      </w:r>
      <w:r>
        <w:rPr>
          <w:color w:val="231F20"/>
          <w:w w:val="105"/>
        </w:rPr>
        <w:t>and</w:t>
      </w:r>
      <w:r>
        <w:rPr>
          <w:color w:val="231F20"/>
          <w:spacing w:val="-12"/>
          <w:w w:val="105"/>
        </w:rPr>
        <w:t> </w:t>
      </w:r>
      <w:r>
        <w:rPr>
          <w:i/>
          <w:color w:val="231F20"/>
          <w:w w:val="105"/>
        </w:rPr>
        <w:t>triamterene</w:t>
      </w:r>
      <w:r>
        <w:rPr>
          <w:i/>
          <w:color w:val="231F20"/>
          <w:spacing w:val="-11"/>
          <w:w w:val="105"/>
        </w:rPr>
        <w:t> </w:t>
      </w:r>
      <w:r>
        <w:rPr>
          <w:color w:val="231F20"/>
          <w:w w:val="105"/>
        </w:rPr>
        <w:t>also</w:t>
      </w:r>
      <w:r>
        <w:rPr>
          <w:color w:val="231F20"/>
          <w:spacing w:val="-12"/>
          <w:w w:val="105"/>
        </w:rPr>
        <w:t> </w:t>
      </w:r>
      <w:r>
        <w:rPr>
          <w:color w:val="231F20"/>
          <w:w w:val="105"/>
        </w:rPr>
        <w:t>inhibit</w:t>
      </w:r>
      <w:r>
        <w:rPr>
          <w:color w:val="231F20"/>
          <w:spacing w:val="-12"/>
          <w:w w:val="105"/>
        </w:rPr>
        <w:t> </w:t>
      </w:r>
      <w:r>
        <w:rPr>
          <w:color w:val="231F20"/>
          <w:w w:val="105"/>
        </w:rPr>
        <w:t>sodium</w:t>
      </w:r>
      <w:r>
        <w:rPr>
          <w:color w:val="231F20"/>
          <w:spacing w:val="-11"/>
          <w:w w:val="105"/>
        </w:rPr>
        <w:t> </w:t>
      </w:r>
      <w:r>
        <w:rPr>
          <w:color w:val="231F20"/>
          <w:w w:val="105"/>
        </w:rPr>
        <w:t>reabsorp­ tion and potassium secretion in the collecting tubules, similar to the effects of spironolactone. However, at the cellular level, these drugs act directly to block the entry of</w:t>
      </w:r>
      <w:r>
        <w:rPr>
          <w:color w:val="231F20"/>
          <w:spacing w:val="-11"/>
          <w:w w:val="105"/>
        </w:rPr>
        <w:t> </w:t>
      </w:r>
      <w:r>
        <w:rPr>
          <w:color w:val="231F20"/>
          <w:w w:val="105"/>
        </w:rPr>
        <w:t>sodium</w:t>
      </w:r>
      <w:r>
        <w:rPr>
          <w:color w:val="231F20"/>
          <w:spacing w:val="-10"/>
          <w:w w:val="105"/>
        </w:rPr>
        <w:t> </w:t>
      </w:r>
      <w:r>
        <w:rPr>
          <w:color w:val="231F20"/>
          <w:w w:val="105"/>
        </w:rPr>
        <w:t>into</w:t>
      </w:r>
      <w:r>
        <w:rPr>
          <w:color w:val="231F20"/>
          <w:spacing w:val="-11"/>
          <w:w w:val="105"/>
        </w:rPr>
        <w:t> </w:t>
      </w:r>
      <w:r>
        <w:rPr>
          <w:color w:val="231F20"/>
          <w:w w:val="105"/>
        </w:rPr>
        <w:t>the</w:t>
      </w:r>
      <w:r>
        <w:rPr>
          <w:color w:val="231F20"/>
          <w:spacing w:val="-10"/>
          <w:w w:val="105"/>
        </w:rPr>
        <w:t> </w:t>
      </w:r>
      <w:r>
        <w:rPr>
          <w:color w:val="231F20"/>
          <w:w w:val="105"/>
        </w:rPr>
        <w:t>sodium</w:t>
      </w:r>
      <w:r>
        <w:rPr>
          <w:color w:val="231F20"/>
          <w:spacing w:val="-11"/>
          <w:w w:val="105"/>
        </w:rPr>
        <w:t> </w:t>
      </w:r>
      <w:r>
        <w:rPr>
          <w:color w:val="231F20"/>
          <w:w w:val="105"/>
        </w:rPr>
        <w:t>channels</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luminal</w:t>
      </w:r>
      <w:r>
        <w:rPr>
          <w:color w:val="231F20"/>
          <w:spacing w:val="-11"/>
          <w:w w:val="105"/>
        </w:rPr>
        <w:t> </w:t>
      </w:r>
      <w:r>
        <w:rPr>
          <w:color w:val="231F20"/>
          <w:w w:val="105"/>
        </w:rPr>
        <w:t>mem­ brane</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collecting</w:t>
      </w:r>
      <w:r>
        <w:rPr>
          <w:color w:val="231F20"/>
          <w:spacing w:val="-11"/>
          <w:w w:val="105"/>
        </w:rPr>
        <w:t> </w:t>
      </w:r>
      <w:r>
        <w:rPr>
          <w:color w:val="231F20"/>
          <w:w w:val="105"/>
        </w:rPr>
        <w:t>tubule</w:t>
      </w:r>
      <w:r>
        <w:rPr>
          <w:color w:val="231F20"/>
          <w:spacing w:val="-10"/>
          <w:w w:val="105"/>
        </w:rPr>
        <w:t> </w:t>
      </w:r>
      <w:r>
        <w:rPr>
          <w:color w:val="231F20"/>
          <w:w w:val="105"/>
        </w:rPr>
        <w:t>epithelial</w:t>
      </w:r>
      <w:r>
        <w:rPr>
          <w:color w:val="231F20"/>
          <w:spacing w:val="-11"/>
          <w:w w:val="105"/>
        </w:rPr>
        <w:t> </w:t>
      </w:r>
      <w:r>
        <w:rPr>
          <w:color w:val="231F20"/>
          <w:w w:val="105"/>
        </w:rPr>
        <w:t>cells.</w:t>
      </w:r>
      <w:r>
        <w:rPr>
          <w:color w:val="231F20"/>
          <w:spacing w:val="-11"/>
          <w:w w:val="105"/>
        </w:rPr>
        <w:t> </w:t>
      </w:r>
      <w:r>
        <w:rPr>
          <w:color w:val="231F20"/>
          <w:w w:val="105"/>
        </w:rPr>
        <w:t>Because</w:t>
      </w:r>
      <w:r>
        <w:rPr>
          <w:color w:val="231F20"/>
          <w:spacing w:val="-10"/>
          <w:w w:val="105"/>
        </w:rPr>
        <w:t> </w:t>
      </w:r>
      <w:r>
        <w:rPr>
          <w:color w:val="231F20"/>
          <w:spacing w:val="-6"/>
          <w:w w:val="105"/>
        </w:rPr>
        <w:t>of </w:t>
      </w:r>
      <w:r>
        <w:rPr>
          <w:color w:val="231F20"/>
          <w:w w:val="105"/>
        </w:rPr>
        <w:t>this</w:t>
      </w:r>
      <w:r>
        <w:rPr>
          <w:color w:val="231F20"/>
          <w:spacing w:val="-18"/>
          <w:w w:val="105"/>
        </w:rPr>
        <w:t> </w:t>
      </w:r>
      <w:r>
        <w:rPr>
          <w:color w:val="231F20"/>
          <w:w w:val="105"/>
        </w:rPr>
        <w:t>decreased</w:t>
      </w:r>
      <w:r>
        <w:rPr>
          <w:color w:val="231F20"/>
          <w:spacing w:val="-17"/>
          <w:w w:val="105"/>
        </w:rPr>
        <w:t> </w:t>
      </w:r>
      <w:r>
        <w:rPr>
          <w:color w:val="231F20"/>
          <w:w w:val="105"/>
        </w:rPr>
        <w:t>sodium</w:t>
      </w:r>
      <w:r>
        <w:rPr>
          <w:color w:val="231F20"/>
          <w:spacing w:val="-17"/>
          <w:w w:val="105"/>
        </w:rPr>
        <w:t> </w:t>
      </w:r>
      <w:r>
        <w:rPr>
          <w:color w:val="231F20"/>
          <w:w w:val="105"/>
        </w:rPr>
        <w:t>entry</w:t>
      </w:r>
      <w:r>
        <w:rPr>
          <w:color w:val="231F20"/>
          <w:spacing w:val="-17"/>
          <w:w w:val="105"/>
        </w:rPr>
        <w:t> </w:t>
      </w:r>
      <w:r>
        <w:rPr>
          <w:color w:val="231F20"/>
          <w:w w:val="105"/>
        </w:rPr>
        <w:t>into</w:t>
      </w:r>
      <w:r>
        <w:rPr>
          <w:color w:val="231F20"/>
          <w:spacing w:val="-18"/>
          <w:w w:val="105"/>
        </w:rPr>
        <w:t> </w:t>
      </w:r>
      <w:r>
        <w:rPr>
          <w:color w:val="231F20"/>
          <w:w w:val="105"/>
        </w:rPr>
        <w:t>the</w:t>
      </w:r>
      <w:r>
        <w:rPr>
          <w:color w:val="231F20"/>
          <w:spacing w:val="-17"/>
          <w:w w:val="105"/>
        </w:rPr>
        <w:t> </w:t>
      </w:r>
      <w:r>
        <w:rPr>
          <w:color w:val="231F20"/>
          <w:w w:val="105"/>
        </w:rPr>
        <w:t>epithelial</w:t>
      </w:r>
      <w:r>
        <w:rPr>
          <w:color w:val="231F20"/>
          <w:spacing w:val="-17"/>
          <w:w w:val="105"/>
        </w:rPr>
        <w:t> </w:t>
      </w:r>
      <w:r>
        <w:rPr>
          <w:color w:val="231F20"/>
          <w:w w:val="105"/>
        </w:rPr>
        <w:t>cells,</w:t>
      </w:r>
      <w:r>
        <w:rPr>
          <w:color w:val="231F20"/>
          <w:spacing w:val="-17"/>
          <w:w w:val="105"/>
        </w:rPr>
        <w:t> </w:t>
      </w:r>
      <w:r>
        <w:rPr>
          <w:color w:val="231F20"/>
          <w:spacing w:val="-4"/>
          <w:w w:val="105"/>
        </w:rPr>
        <w:t>there </w:t>
      </w:r>
      <w:r>
        <w:rPr>
          <w:color w:val="231F20"/>
          <w:w w:val="105"/>
        </w:rPr>
        <w:t>is</w:t>
      </w:r>
      <w:r>
        <w:rPr>
          <w:color w:val="231F20"/>
          <w:spacing w:val="-13"/>
          <w:w w:val="105"/>
        </w:rPr>
        <w:t> </w:t>
      </w:r>
      <w:r>
        <w:rPr>
          <w:color w:val="231F20"/>
          <w:w w:val="105"/>
        </w:rPr>
        <w:t>also</w:t>
      </w:r>
      <w:r>
        <w:rPr>
          <w:color w:val="231F20"/>
          <w:spacing w:val="-13"/>
          <w:w w:val="105"/>
        </w:rPr>
        <w:t> </w:t>
      </w:r>
      <w:r>
        <w:rPr>
          <w:color w:val="231F20"/>
          <w:w w:val="105"/>
        </w:rPr>
        <w:t>decreased</w:t>
      </w:r>
      <w:r>
        <w:rPr>
          <w:color w:val="231F20"/>
          <w:spacing w:val="-13"/>
          <w:w w:val="105"/>
        </w:rPr>
        <w:t> </w:t>
      </w:r>
      <w:r>
        <w:rPr>
          <w:color w:val="231F20"/>
          <w:w w:val="105"/>
        </w:rPr>
        <w:t>sodium</w:t>
      </w:r>
      <w:r>
        <w:rPr>
          <w:color w:val="231F20"/>
          <w:spacing w:val="-12"/>
          <w:w w:val="105"/>
        </w:rPr>
        <w:t> </w:t>
      </w:r>
      <w:r>
        <w:rPr>
          <w:color w:val="231F20"/>
          <w:w w:val="105"/>
        </w:rPr>
        <w:t>transport</w:t>
      </w:r>
      <w:r>
        <w:rPr>
          <w:color w:val="231F20"/>
          <w:spacing w:val="-13"/>
          <w:w w:val="105"/>
        </w:rPr>
        <w:t> </w:t>
      </w:r>
      <w:r>
        <w:rPr>
          <w:color w:val="231F20"/>
          <w:w w:val="105"/>
        </w:rPr>
        <w:t>across</w:t>
      </w:r>
      <w:r>
        <w:rPr>
          <w:color w:val="231F20"/>
          <w:spacing w:val="-13"/>
          <w:w w:val="105"/>
        </w:rPr>
        <w:t> </w:t>
      </w:r>
      <w:r>
        <w:rPr>
          <w:color w:val="231F20"/>
          <w:w w:val="105"/>
        </w:rPr>
        <w:t>the</w:t>
      </w:r>
      <w:r>
        <w:rPr>
          <w:color w:val="231F20"/>
          <w:spacing w:val="-12"/>
          <w:w w:val="105"/>
        </w:rPr>
        <w:t> </w:t>
      </w:r>
      <w:r>
        <w:rPr>
          <w:color w:val="231F20"/>
          <w:w w:val="105"/>
        </w:rPr>
        <w:t>cells’</w:t>
      </w:r>
      <w:r>
        <w:rPr>
          <w:color w:val="231F20"/>
          <w:spacing w:val="-13"/>
          <w:w w:val="105"/>
        </w:rPr>
        <w:t> </w:t>
      </w:r>
      <w:r>
        <w:rPr>
          <w:color w:val="231F20"/>
          <w:spacing w:val="-3"/>
          <w:w w:val="105"/>
        </w:rPr>
        <w:t>baso­ </w:t>
      </w:r>
      <w:r>
        <w:rPr>
          <w:color w:val="231F20"/>
          <w:w w:val="105"/>
        </w:rPr>
        <w:t>lateral membranes and, therefore, decreased activity of the sodium­potassium–adenosine triphosphatase</w:t>
      </w:r>
      <w:r>
        <w:rPr>
          <w:color w:val="231F20"/>
          <w:spacing w:val="37"/>
          <w:w w:val="105"/>
        </w:rPr>
        <w:t> </w:t>
      </w:r>
      <w:r>
        <w:rPr>
          <w:color w:val="231F20"/>
          <w:spacing w:val="-4"/>
          <w:w w:val="105"/>
        </w:rPr>
        <w:t>pump.</w:t>
      </w:r>
    </w:p>
    <w:p>
      <w:pPr>
        <w:pStyle w:val="BodyText"/>
        <w:spacing w:line="249" w:lineRule="auto" w:before="99"/>
        <w:ind w:left="319" w:right="1077"/>
        <w:jc w:val="both"/>
      </w:pPr>
      <w:r>
        <w:rPr/>
        <w:br w:type="column"/>
      </w:r>
      <w:r>
        <w:rPr>
          <w:color w:val="231F20"/>
          <w:w w:val="105"/>
        </w:rPr>
        <w:t>This decreased activity reduces the transport of potas­ sium</w:t>
      </w:r>
      <w:r>
        <w:rPr>
          <w:color w:val="231F20"/>
          <w:spacing w:val="-13"/>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cells</w:t>
      </w:r>
      <w:r>
        <w:rPr>
          <w:color w:val="231F20"/>
          <w:spacing w:val="-12"/>
          <w:w w:val="105"/>
        </w:rPr>
        <w:t> </w:t>
      </w:r>
      <w:r>
        <w:rPr>
          <w:color w:val="231F20"/>
          <w:w w:val="105"/>
        </w:rPr>
        <w:t>and</w:t>
      </w:r>
      <w:r>
        <w:rPr>
          <w:color w:val="231F20"/>
          <w:spacing w:val="-13"/>
          <w:w w:val="105"/>
        </w:rPr>
        <w:t> </w:t>
      </w:r>
      <w:r>
        <w:rPr>
          <w:color w:val="231F20"/>
          <w:w w:val="105"/>
        </w:rPr>
        <w:t>ultimately</w:t>
      </w:r>
      <w:r>
        <w:rPr>
          <w:color w:val="231F20"/>
          <w:spacing w:val="-12"/>
          <w:w w:val="105"/>
        </w:rPr>
        <w:t> </w:t>
      </w:r>
      <w:r>
        <w:rPr>
          <w:color w:val="231F20"/>
          <w:w w:val="105"/>
        </w:rPr>
        <w:t>decreases</w:t>
      </w:r>
      <w:r>
        <w:rPr>
          <w:color w:val="231F20"/>
          <w:spacing w:val="-12"/>
          <w:w w:val="105"/>
        </w:rPr>
        <w:t> </w:t>
      </w:r>
      <w:r>
        <w:rPr>
          <w:color w:val="231F20"/>
          <w:w w:val="105"/>
        </w:rPr>
        <w:t>the</w:t>
      </w:r>
      <w:r>
        <w:rPr>
          <w:color w:val="231F20"/>
          <w:spacing w:val="-12"/>
          <w:w w:val="105"/>
        </w:rPr>
        <w:t> </w:t>
      </w:r>
      <w:r>
        <w:rPr>
          <w:color w:val="231F20"/>
          <w:w w:val="105"/>
        </w:rPr>
        <w:t>secretion of potassium into the tubular fluid.  </w:t>
      </w:r>
      <w:r>
        <w:rPr>
          <w:color w:val="231F20"/>
          <w:spacing w:val="-3"/>
          <w:w w:val="105"/>
        </w:rPr>
        <w:t>For  </w:t>
      </w:r>
      <w:r>
        <w:rPr>
          <w:color w:val="231F20"/>
          <w:w w:val="105"/>
        </w:rPr>
        <w:t>this  reason, the sodium channel blockers are also</w:t>
      </w:r>
      <w:r>
        <w:rPr>
          <w:color w:val="231F20"/>
          <w:spacing w:val="-14"/>
          <w:w w:val="105"/>
        </w:rPr>
        <w:t> </w:t>
      </w:r>
      <w:r>
        <w:rPr>
          <w:color w:val="231F20"/>
          <w:w w:val="105"/>
        </w:rPr>
        <w:t>potassium­sparing diuretics and decrease the urinary excretion rate of potassium.</w:t>
      </w:r>
    </w:p>
    <w:p>
      <w:pPr>
        <w:pStyle w:val="BodyText"/>
      </w:pPr>
    </w:p>
    <w:p>
      <w:pPr>
        <w:pStyle w:val="BodyText"/>
      </w:pPr>
    </w:p>
    <w:p>
      <w:pPr>
        <w:pStyle w:val="BodyText"/>
        <w:spacing w:before="6"/>
        <w:rPr>
          <w:sz w:val="11"/>
        </w:rPr>
      </w:pPr>
      <w:r>
        <w:rPr/>
        <w:pict>
          <v:shape style="position:absolute;margin-left:324pt;margin-top:8.872168pt;width:234pt;height:.1pt;mso-position-horizontal-relative:page;mso-position-vertical-relative:paragraph;z-index:-250055680;mso-wrap-distance-left:0;mso-wrap-distance-right:0" coordorigin="6480,177" coordsize="4680,0" path="m6480,177l11160,177e" filled="false" stroked="true" strokeweight=".5pt" strokecolor="#231f20">
            <v:path arrowok="t"/>
            <v:stroke dashstyle="solid"/>
            <w10:wrap type="topAndBottom"/>
          </v:shape>
        </w:pict>
      </w:r>
    </w:p>
    <w:p>
      <w:pPr>
        <w:pStyle w:val="BodyText"/>
        <w:spacing w:line="249" w:lineRule="auto" w:before="54"/>
        <w:ind w:left="319" w:right="1077"/>
        <w:jc w:val="both"/>
      </w:pPr>
      <w:r>
        <w:rPr>
          <w:color w:val="231F20"/>
        </w:rPr>
        <w:t>Diseases of the kidneys are among the most important causes of death and disability in many countries through­ out the world. </w:t>
      </w:r>
      <w:r>
        <w:rPr>
          <w:color w:val="231F20"/>
          <w:spacing w:val="-3"/>
        </w:rPr>
        <w:t>For </w:t>
      </w:r>
      <w:r>
        <w:rPr>
          <w:color w:val="231F20"/>
        </w:rPr>
        <w:t>example, in 2014, more than 10 percent of adults in the United States, or more than 26 million people, were estimated to have chronic kidney disease, and many more millions have acute renal injury or less severe forms of kidney</w:t>
      </w:r>
      <w:r>
        <w:rPr>
          <w:color w:val="231F20"/>
          <w:spacing w:val="27"/>
        </w:rPr>
        <w:t> </w:t>
      </w:r>
      <w:r>
        <w:rPr>
          <w:color w:val="231F20"/>
        </w:rPr>
        <w:t>dysfunction.</w:t>
      </w:r>
    </w:p>
    <w:p>
      <w:pPr>
        <w:pStyle w:val="BodyText"/>
        <w:spacing w:line="249" w:lineRule="auto" w:before="6"/>
        <w:ind w:left="319" w:right="1077" w:firstLine="240"/>
        <w:jc w:val="both"/>
      </w:pPr>
      <w:r>
        <w:rPr/>
        <w:pict>
          <v:rect style="position:absolute;margin-left:576pt;margin-top:-51.714039pt;width:36pt;height:24pt;mso-position-horizontal-relative:page;mso-position-vertical-relative:paragraph;z-index:253266944" filled="true" fillcolor="#e8dac8" stroked="false">
            <v:fill type="solid"/>
            <w10:wrap type="none"/>
          </v:rect>
        </w:pict>
      </w:r>
      <w:r>
        <w:rPr/>
        <w:pict>
          <v:shape style="position:absolute;margin-left:578.900024pt;margin-top:-128.056732pt;width:15.9pt;height:53.35pt;mso-position-horizontal-relative:page;mso-position-vertical-relative:paragraph;z-index:25326796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color w:val="231F20"/>
        </w:rPr>
        <w:t>Severe kidney diseases can be divided into two main categories:</w:t>
      </w:r>
    </w:p>
    <w:p>
      <w:pPr>
        <w:pStyle w:val="ListParagraph"/>
        <w:numPr>
          <w:ilvl w:val="1"/>
          <w:numId w:val="28"/>
        </w:numPr>
        <w:tabs>
          <w:tab w:pos="802" w:val="left" w:leader="none"/>
        </w:tabs>
        <w:spacing w:line="249" w:lineRule="auto" w:before="1" w:after="0"/>
        <w:ind w:left="801" w:right="1077" w:hanging="243"/>
        <w:jc w:val="both"/>
        <w:rPr>
          <w:sz w:val="20"/>
        </w:rPr>
      </w:pPr>
      <w:r>
        <w:rPr>
          <w:i/>
          <w:color w:val="231F20"/>
          <w:sz w:val="20"/>
        </w:rPr>
        <w:t>Acute kidney injury (AKI), </w:t>
      </w:r>
      <w:r>
        <w:rPr>
          <w:color w:val="231F20"/>
          <w:sz w:val="20"/>
        </w:rPr>
        <w:t>in which there is an abrupt loss of kidney function within a few days; the term </w:t>
      </w:r>
      <w:r>
        <w:rPr>
          <w:i/>
          <w:color w:val="231F20"/>
          <w:sz w:val="20"/>
        </w:rPr>
        <w:t>acute renal failure </w:t>
      </w:r>
      <w:r>
        <w:rPr>
          <w:color w:val="231F20"/>
          <w:sz w:val="20"/>
        </w:rPr>
        <w:t>is usually reserved for severe acute kidney injury where the kidneys </w:t>
      </w:r>
      <w:r>
        <w:rPr>
          <w:color w:val="231F20"/>
          <w:spacing w:val="-5"/>
          <w:sz w:val="20"/>
        </w:rPr>
        <w:t>may </w:t>
      </w:r>
      <w:r>
        <w:rPr>
          <w:color w:val="231F20"/>
          <w:sz w:val="20"/>
        </w:rPr>
        <w:t>abruptly stop working entirely or almost </w:t>
      </w:r>
      <w:r>
        <w:rPr>
          <w:color w:val="231F20"/>
          <w:spacing w:val="-4"/>
          <w:sz w:val="20"/>
        </w:rPr>
        <w:t>entirely, </w:t>
      </w:r>
      <w:r>
        <w:rPr>
          <w:color w:val="231F20"/>
          <w:sz w:val="20"/>
        </w:rPr>
        <w:t>necessitating renal replacement therapy such </w:t>
      </w:r>
      <w:r>
        <w:rPr>
          <w:color w:val="231F20"/>
          <w:spacing w:val="-5"/>
          <w:sz w:val="20"/>
        </w:rPr>
        <w:t>as </w:t>
      </w:r>
      <w:r>
        <w:rPr>
          <w:color w:val="231F20"/>
          <w:sz w:val="20"/>
        </w:rPr>
        <w:t>dialysis, as discussed later in the </w:t>
      </w:r>
      <w:r>
        <w:rPr>
          <w:color w:val="231F20"/>
          <w:spacing w:val="-3"/>
          <w:sz w:val="20"/>
        </w:rPr>
        <w:t>chapter. </w:t>
      </w:r>
      <w:r>
        <w:rPr>
          <w:color w:val="231F20"/>
          <w:sz w:val="20"/>
        </w:rPr>
        <w:t>In </w:t>
      </w:r>
      <w:r>
        <w:rPr>
          <w:color w:val="231F20"/>
          <w:spacing w:val="-3"/>
          <w:sz w:val="20"/>
        </w:rPr>
        <w:t>some </w:t>
      </w:r>
      <w:r>
        <w:rPr>
          <w:color w:val="231F20"/>
          <w:sz w:val="20"/>
        </w:rPr>
        <w:t>instances, patients with AKI may eventually recover nearly normal kidney</w:t>
      </w:r>
      <w:r>
        <w:rPr>
          <w:color w:val="231F20"/>
          <w:spacing w:val="23"/>
          <w:sz w:val="20"/>
        </w:rPr>
        <w:t> </w:t>
      </w:r>
      <w:r>
        <w:rPr>
          <w:color w:val="231F20"/>
          <w:sz w:val="20"/>
        </w:rPr>
        <w:t>function.</w:t>
      </w:r>
    </w:p>
    <w:p>
      <w:pPr>
        <w:pStyle w:val="ListParagraph"/>
        <w:numPr>
          <w:ilvl w:val="1"/>
          <w:numId w:val="28"/>
        </w:numPr>
        <w:tabs>
          <w:tab w:pos="802" w:val="left" w:leader="none"/>
        </w:tabs>
        <w:spacing w:line="249" w:lineRule="auto" w:before="8" w:after="0"/>
        <w:ind w:left="801" w:right="1077" w:hanging="243"/>
        <w:jc w:val="both"/>
        <w:rPr>
          <w:sz w:val="20"/>
        </w:rPr>
      </w:pPr>
      <w:r>
        <w:rPr>
          <w:i/>
          <w:color w:val="231F20"/>
          <w:sz w:val="20"/>
        </w:rPr>
        <w:t>Chronic kidney disease (CKD), </w:t>
      </w:r>
      <w:r>
        <w:rPr>
          <w:color w:val="231F20"/>
          <w:sz w:val="20"/>
        </w:rPr>
        <w:t>in which there is progressive loss of function of more and </w:t>
      </w:r>
      <w:r>
        <w:rPr>
          <w:color w:val="231F20"/>
          <w:spacing w:val="-5"/>
          <w:sz w:val="20"/>
        </w:rPr>
        <w:t>more </w:t>
      </w:r>
      <w:r>
        <w:rPr>
          <w:color w:val="231F20"/>
          <w:sz w:val="20"/>
        </w:rPr>
        <w:t>nephrons that gradually decreases overall </w:t>
      </w:r>
      <w:r>
        <w:rPr>
          <w:color w:val="231F20"/>
          <w:spacing w:val="-3"/>
          <w:sz w:val="20"/>
        </w:rPr>
        <w:t>kidney </w:t>
      </w:r>
      <w:r>
        <w:rPr>
          <w:color w:val="231F20"/>
          <w:sz w:val="20"/>
        </w:rPr>
        <w:t>function.</w:t>
      </w:r>
    </w:p>
    <w:p>
      <w:pPr>
        <w:pStyle w:val="BodyText"/>
        <w:spacing w:line="249" w:lineRule="auto" w:before="3"/>
        <w:ind w:left="319" w:right="1077" w:firstLine="240"/>
        <w:jc w:val="both"/>
      </w:pPr>
      <w:r>
        <w:rPr>
          <w:color w:val="231F20"/>
          <w:w w:val="105"/>
        </w:rPr>
        <w:t>Within these two general categories, there are many specific</w:t>
      </w:r>
      <w:r>
        <w:rPr>
          <w:color w:val="231F20"/>
          <w:spacing w:val="-7"/>
          <w:w w:val="105"/>
        </w:rPr>
        <w:t> </w:t>
      </w:r>
      <w:r>
        <w:rPr>
          <w:color w:val="231F20"/>
          <w:w w:val="105"/>
        </w:rPr>
        <w:t>kidney</w:t>
      </w:r>
      <w:r>
        <w:rPr>
          <w:color w:val="231F20"/>
          <w:spacing w:val="-6"/>
          <w:w w:val="105"/>
        </w:rPr>
        <w:t> </w:t>
      </w:r>
      <w:r>
        <w:rPr>
          <w:color w:val="231F20"/>
          <w:w w:val="105"/>
        </w:rPr>
        <w:t>diseases</w:t>
      </w:r>
      <w:r>
        <w:rPr>
          <w:color w:val="231F20"/>
          <w:spacing w:val="-6"/>
          <w:w w:val="105"/>
        </w:rPr>
        <w:t> </w:t>
      </w:r>
      <w:r>
        <w:rPr>
          <w:color w:val="231F20"/>
          <w:w w:val="105"/>
        </w:rPr>
        <w:t>that</w:t>
      </w:r>
      <w:r>
        <w:rPr>
          <w:color w:val="231F20"/>
          <w:spacing w:val="-7"/>
          <w:w w:val="105"/>
        </w:rPr>
        <w:t> </w:t>
      </w:r>
      <w:r>
        <w:rPr>
          <w:color w:val="231F20"/>
          <w:w w:val="105"/>
        </w:rPr>
        <w:t>can</w:t>
      </w:r>
      <w:r>
        <w:rPr>
          <w:color w:val="231F20"/>
          <w:spacing w:val="-6"/>
          <w:w w:val="105"/>
        </w:rPr>
        <w:t> </w:t>
      </w:r>
      <w:r>
        <w:rPr>
          <w:color w:val="231F20"/>
          <w:w w:val="105"/>
        </w:rPr>
        <w:t>affect</w:t>
      </w:r>
      <w:r>
        <w:rPr>
          <w:color w:val="231F20"/>
          <w:spacing w:val="-6"/>
          <w:w w:val="105"/>
        </w:rPr>
        <w:t> </w:t>
      </w:r>
      <w:r>
        <w:rPr>
          <w:color w:val="231F20"/>
          <w:w w:val="105"/>
        </w:rPr>
        <w:t>the</w:t>
      </w:r>
      <w:r>
        <w:rPr>
          <w:color w:val="231F20"/>
          <w:spacing w:val="-6"/>
          <w:w w:val="105"/>
        </w:rPr>
        <w:t> </w:t>
      </w:r>
      <w:r>
        <w:rPr>
          <w:color w:val="231F20"/>
          <w:w w:val="105"/>
        </w:rPr>
        <w:t>kidney</w:t>
      </w:r>
      <w:r>
        <w:rPr>
          <w:color w:val="231F20"/>
          <w:spacing w:val="-7"/>
          <w:w w:val="105"/>
        </w:rPr>
        <w:t> </w:t>
      </w:r>
      <w:r>
        <w:rPr>
          <w:color w:val="231F20"/>
          <w:w w:val="105"/>
        </w:rPr>
        <w:t>blood vessels,</w:t>
      </w:r>
      <w:r>
        <w:rPr>
          <w:color w:val="231F20"/>
          <w:spacing w:val="-28"/>
          <w:w w:val="105"/>
        </w:rPr>
        <w:t> </w:t>
      </w:r>
      <w:r>
        <w:rPr>
          <w:color w:val="231F20"/>
          <w:w w:val="105"/>
        </w:rPr>
        <w:t>glomeruli,</w:t>
      </w:r>
      <w:r>
        <w:rPr>
          <w:color w:val="231F20"/>
          <w:spacing w:val="-28"/>
          <w:w w:val="105"/>
        </w:rPr>
        <w:t> </w:t>
      </w:r>
      <w:r>
        <w:rPr>
          <w:color w:val="231F20"/>
          <w:w w:val="105"/>
        </w:rPr>
        <w:t>tubules,</w:t>
      </w:r>
      <w:r>
        <w:rPr>
          <w:color w:val="231F20"/>
          <w:spacing w:val="-27"/>
          <w:w w:val="105"/>
        </w:rPr>
        <w:t> </w:t>
      </w:r>
      <w:r>
        <w:rPr>
          <w:color w:val="231F20"/>
          <w:w w:val="105"/>
        </w:rPr>
        <w:t>renal</w:t>
      </w:r>
      <w:r>
        <w:rPr>
          <w:color w:val="231F20"/>
          <w:spacing w:val="-28"/>
          <w:w w:val="105"/>
        </w:rPr>
        <w:t> </w:t>
      </w:r>
      <w:r>
        <w:rPr>
          <w:color w:val="231F20"/>
          <w:w w:val="105"/>
        </w:rPr>
        <w:t>interstitium,</w:t>
      </w:r>
      <w:r>
        <w:rPr>
          <w:color w:val="231F20"/>
          <w:spacing w:val="-27"/>
          <w:w w:val="105"/>
        </w:rPr>
        <w:t> </w:t>
      </w:r>
      <w:r>
        <w:rPr>
          <w:color w:val="231F20"/>
          <w:w w:val="105"/>
        </w:rPr>
        <w:t>and</w:t>
      </w:r>
      <w:r>
        <w:rPr>
          <w:color w:val="231F20"/>
          <w:spacing w:val="-28"/>
          <w:w w:val="105"/>
        </w:rPr>
        <w:t> </w:t>
      </w:r>
      <w:r>
        <w:rPr>
          <w:color w:val="231F20"/>
          <w:w w:val="105"/>
        </w:rPr>
        <w:t>parts</w:t>
      </w:r>
      <w:r>
        <w:rPr>
          <w:color w:val="231F20"/>
          <w:spacing w:val="-28"/>
          <w:w w:val="105"/>
        </w:rPr>
        <w:t> </w:t>
      </w:r>
      <w:r>
        <w:rPr>
          <w:color w:val="231F20"/>
          <w:w w:val="105"/>
        </w:rPr>
        <w:t>of the</w:t>
      </w:r>
      <w:r>
        <w:rPr>
          <w:color w:val="231F20"/>
          <w:spacing w:val="-12"/>
          <w:w w:val="105"/>
        </w:rPr>
        <w:t> </w:t>
      </w:r>
      <w:r>
        <w:rPr>
          <w:color w:val="231F20"/>
          <w:w w:val="105"/>
        </w:rPr>
        <w:t>urinary</w:t>
      </w:r>
      <w:r>
        <w:rPr>
          <w:color w:val="231F20"/>
          <w:spacing w:val="-11"/>
          <w:w w:val="105"/>
        </w:rPr>
        <w:t> </w:t>
      </w:r>
      <w:r>
        <w:rPr>
          <w:color w:val="231F20"/>
          <w:w w:val="105"/>
        </w:rPr>
        <w:t>tract</w:t>
      </w:r>
      <w:r>
        <w:rPr>
          <w:color w:val="231F20"/>
          <w:spacing w:val="-12"/>
          <w:w w:val="105"/>
        </w:rPr>
        <w:t> </w:t>
      </w:r>
      <w:r>
        <w:rPr>
          <w:color w:val="231F20"/>
          <w:w w:val="105"/>
        </w:rPr>
        <w:t>outside</w:t>
      </w:r>
      <w:r>
        <w:rPr>
          <w:color w:val="231F20"/>
          <w:spacing w:val="-11"/>
          <w:w w:val="105"/>
        </w:rPr>
        <w:t> </w:t>
      </w:r>
      <w:r>
        <w:rPr>
          <w:color w:val="231F20"/>
          <w:w w:val="105"/>
        </w:rPr>
        <w:t>the</w:t>
      </w:r>
      <w:r>
        <w:rPr>
          <w:color w:val="231F20"/>
          <w:spacing w:val="-11"/>
          <w:w w:val="105"/>
        </w:rPr>
        <w:t> </w:t>
      </w:r>
      <w:r>
        <w:rPr>
          <w:color w:val="231F20"/>
          <w:w w:val="105"/>
        </w:rPr>
        <w:t>kidney,</w:t>
      </w:r>
      <w:r>
        <w:rPr>
          <w:color w:val="231F20"/>
          <w:spacing w:val="-12"/>
          <w:w w:val="105"/>
        </w:rPr>
        <w:t> </w:t>
      </w:r>
      <w:r>
        <w:rPr>
          <w:color w:val="231F20"/>
          <w:w w:val="105"/>
        </w:rPr>
        <w:t>including</w:t>
      </w:r>
      <w:r>
        <w:rPr>
          <w:color w:val="231F20"/>
          <w:spacing w:val="-11"/>
          <w:w w:val="105"/>
        </w:rPr>
        <w:t> </w:t>
      </w:r>
      <w:r>
        <w:rPr>
          <w:color w:val="231F20"/>
          <w:w w:val="105"/>
        </w:rPr>
        <w:t>the</w:t>
      </w:r>
      <w:r>
        <w:rPr>
          <w:color w:val="231F20"/>
          <w:spacing w:val="-11"/>
          <w:w w:val="105"/>
        </w:rPr>
        <w:t> </w:t>
      </w:r>
      <w:r>
        <w:rPr>
          <w:color w:val="231F20"/>
          <w:w w:val="105"/>
        </w:rPr>
        <w:t>ureters and bladder. In this </w:t>
      </w:r>
      <w:r>
        <w:rPr>
          <w:color w:val="231F20"/>
          <w:spacing w:val="-3"/>
          <w:w w:val="105"/>
        </w:rPr>
        <w:t>chapter, </w:t>
      </w:r>
      <w:r>
        <w:rPr>
          <w:color w:val="231F20"/>
          <w:w w:val="105"/>
        </w:rPr>
        <w:t>we discuss specific physio­ logic</w:t>
      </w:r>
      <w:r>
        <w:rPr>
          <w:color w:val="231F20"/>
          <w:spacing w:val="-21"/>
          <w:w w:val="105"/>
        </w:rPr>
        <w:t> </w:t>
      </w:r>
      <w:r>
        <w:rPr>
          <w:color w:val="231F20"/>
          <w:w w:val="105"/>
        </w:rPr>
        <w:t>abnormalities</w:t>
      </w:r>
      <w:r>
        <w:rPr>
          <w:color w:val="231F20"/>
          <w:spacing w:val="-20"/>
          <w:w w:val="105"/>
        </w:rPr>
        <w:t> </w:t>
      </w:r>
      <w:r>
        <w:rPr>
          <w:color w:val="231F20"/>
          <w:w w:val="105"/>
        </w:rPr>
        <w:t>that</w:t>
      </w:r>
      <w:r>
        <w:rPr>
          <w:color w:val="231F20"/>
          <w:spacing w:val="-21"/>
          <w:w w:val="105"/>
        </w:rPr>
        <w:t> </w:t>
      </w:r>
      <w:r>
        <w:rPr>
          <w:color w:val="231F20"/>
          <w:w w:val="105"/>
        </w:rPr>
        <w:t>occur</w:t>
      </w:r>
      <w:r>
        <w:rPr>
          <w:color w:val="231F20"/>
          <w:spacing w:val="-20"/>
          <w:w w:val="105"/>
        </w:rPr>
        <w:t> </w:t>
      </w:r>
      <w:r>
        <w:rPr>
          <w:color w:val="231F20"/>
          <w:w w:val="105"/>
        </w:rPr>
        <w:t>in</w:t>
      </w:r>
      <w:r>
        <w:rPr>
          <w:color w:val="231F20"/>
          <w:spacing w:val="-21"/>
          <w:w w:val="105"/>
        </w:rPr>
        <w:t> </w:t>
      </w:r>
      <w:r>
        <w:rPr>
          <w:color w:val="231F20"/>
          <w:w w:val="105"/>
        </w:rPr>
        <w:t>a</w:t>
      </w:r>
      <w:r>
        <w:rPr>
          <w:color w:val="231F20"/>
          <w:spacing w:val="-20"/>
          <w:w w:val="105"/>
        </w:rPr>
        <w:t> </w:t>
      </w:r>
      <w:r>
        <w:rPr>
          <w:color w:val="231F20"/>
          <w:w w:val="105"/>
        </w:rPr>
        <w:t>few</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1"/>
          <w:w w:val="105"/>
        </w:rPr>
        <w:t> </w:t>
      </w:r>
      <w:r>
        <w:rPr>
          <w:color w:val="231F20"/>
          <w:w w:val="105"/>
        </w:rPr>
        <w:t>more</w:t>
      </w:r>
      <w:r>
        <w:rPr>
          <w:color w:val="231F20"/>
          <w:spacing w:val="-20"/>
          <w:w w:val="105"/>
        </w:rPr>
        <w:t> </w:t>
      </w:r>
      <w:r>
        <w:rPr>
          <w:color w:val="231F20"/>
          <w:w w:val="105"/>
        </w:rPr>
        <w:t>impor­ tant types of kidney</w:t>
      </w:r>
      <w:r>
        <w:rPr>
          <w:color w:val="231F20"/>
          <w:spacing w:val="8"/>
          <w:w w:val="105"/>
        </w:rPr>
        <w:t> </w:t>
      </w:r>
      <w:r>
        <w:rPr>
          <w:color w:val="231F20"/>
          <w:w w:val="105"/>
        </w:rPr>
        <w:t>diseases.</w:t>
      </w:r>
    </w:p>
    <w:p>
      <w:pPr>
        <w:pStyle w:val="BodyText"/>
        <w:spacing w:before="1"/>
        <w:rPr>
          <w:sz w:val="25"/>
        </w:rPr>
      </w:pPr>
      <w:r>
        <w:rPr/>
        <w:pict>
          <v:shape style="position:absolute;margin-left:324pt;margin-top:15.639453pt;width:234pt;height:16pt;mso-position-horizontal-relative:page;mso-position-vertical-relative:paragraph;z-index:-250054656;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ACUTE KIDNEY INJURY</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078"/>
        <w:jc w:val="both"/>
      </w:pPr>
      <w:r>
        <w:rPr>
          <w:color w:val="231F20"/>
        </w:rPr>
        <w:t>The causes of AKI can be divided into three main categories:</w:t>
      </w:r>
    </w:p>
    <w:p>
      <w:pPr>
        <w:pStyle w:val="ListParagraph"/>
        <w:numPr>
          <w:ilvl w:val="0"/>
          <w:numId w:val="29"/>
        </w:numPr>
        <w:tabs>
          <w:tab w:pos="802" w:val="left" w:leader="none"/>
        </w:tabs>
        <w:spacing w:line="249" w:lineRule="auto" w:before="2" w:after="0"/>
        <w:ind w:left="801" w:right="1077" w:hanging="243"/>
        <w:jc w:val="both"/>
        <w:rPr>
          <w:sz w:val="20"/>
        </w:rPr>
      </w:pPr>
      <w:r>
        <w:rPr>
          <w:color w:val="231F20"/>
          <w:w w:val="105"/>
          <w:sz w:val="20"/>
        </w:rPr>
        <w:t>AKI resulting from decreased blood supply  to the kidneys. This condition is often referred to   as</w:t>
      </w:r>
      <w:r>
        <w:rPr>
          <w:color w:val="231F20"/>
          <w:spacing w:val="-7"/>
          <w:w w:val="105"/>
          <w:sz w:val="20"/>
        </w:rPr>
        <w:t> </w:t>
      </w:r>
      <w:r>
        <w:rPr>
          <w:i/>
          <w:color w:val="231F20"/>
          <w:w w:val="105"/>
          <w:sz w:val="20"/>
        </w:rPr>
        <w:t>prerenal</w:t>
      </w:r>
      <w:r>
        <w:rPr>
          <w:i/>
          <w:color w:val="231F20"/>
          <w:spacing w:val="-7"/>
          <w:w w:val="105"/>
          <w:sz w:val="20"/>
        </w:rPr>
        <w:t> </w:t>
      </w:r>
      <w:r>
        <w:rPr>
          <w:i/>
          <w:color w:val="231F20"/>
          <w:w w:val="105"/>
          <w:sz w:val="20"/>
        </w:rPr>
        <w:t>AKI</w:t>
      </w:r>
      <w:r>
        <w:rPr>
          <w:i/>
          <w:color w:val="231F20"/>
          <w:spacing w:val="-7"/>
          <w:w w:val="105"/>
          <w:sz w:val="20"/>
        </w:rPr>
        <w:t> </w:t>
      </w:r>
      <w:r>
        <w:rPr>
          <w:color w:val="231F20"/>
          <w:w w:val="105"/>
          <w:sz w:val="20"/>
        </w:rPr>
        <w:t>to</w:t>
      </w:r>
      <w:r>
        <w:rPr>
          <w:color w:val="231F20"/>
          <w:spacing w:val="-6"/>
          <w:w w:val="105"/>
          <w:sz w:val="20"/>
        </w:rPr>
        <w:t> </w:t>
      </w:r>
      <w:r>
        <w:rPr>
          <w:color w:val="231F20"/>
          <w:w w:val="105"/>
          <w:sz w:val="20"/>
        </w:rPr>
        <w:t>reflect</w:t>
      </w:r>
      <w:r>
        <w:rPr>
          <w:color w:val="231F20"/>
          <w:spacing w:val="-7"/>
          <w:w w:val="105"/>
          <w:sz w:val="20"/>
        </w:rPr>
        <w:t> </w:t>
      </w:r>
      <w:r>
        <w:rPr>
          <w:color w:val="231F20"/>
          <w:w w:val="105"/>
          <w:sz w:val="20"/>
        </w:rPr>
        <w:t>an</w:t>
      </w:r>
      <w:r>
        <w:rPr>
          <w:color w:val="231F20"/>
          <w:spacing w:val="-7"/>
          <w:w w:val="105"/>
          <w:sz w:val="20"/>
        </w:rPr>
        <w:t> </w:t>
      </w:r>
      <w:r>
        <w:rPr>
          <w:color w:val="231F20"/>
          <w:w w:val="105"/>
          <w:sz w:val="20"/>
        </w:rPr>
        <w:t>abnormality</w:t>
      </w:r>
      <w:r>
        <w:rPr>
          <w:color w:val="231F20"/>
          <w:spacing w:val="-7"/>
          <w:w w:val="105"/>
          <w:sz w:val="20"/>
        </w:rPr>
        <w:t> </w:t>
      </w:r>
      <w:r>
        <w:rPr>
          <w:color w:val="231F20"/>
          <w:w w:val="105"/>
          <w:sz w:val="20"/>
        </w:rPr>
        <w:t>originat­ ing outside the kidneys. </w:t>
      </w:r>
      <w:r>
        <w:rPr>
          <w:color w:val="231F20"/>
          <w:spacing w:val="-3"/>
          <w:w w:val="105"/>
          <w:sz w:val="20"/>
        </w:rPr>
        <w:t>For </w:t>
      </w:r>
      <w:r>
        <w:rPr>
          <w:color w:val="231F20"/>
          <w:w w:val="105"/>
          <w:sz w:val="20"/>
        </w:rPr>
        <w:t>example, </w:t>
      </w:r>
      <w:r>
        <w:rPr>
          <w:color w:val="231F20"/>
          <w:spacing w:val="-3"/>
          <w:w w:val="105"/>
          <w:sz w:val="20"/>
        </w:rPr>
        <w:t>prerenal </w:t>
      </w:r>
      <w:r>
        <w:rPr>
          <w:color w:val="231F20"/>
          <w:w w:val="105"/>
          <w:sz w:val="20"/>
        </w:rPr>
        <w:t>AKI can be a consequence of heart failure with reduced cardiac output and low blood </w:t>
      </w:r>
      <w:r>
        <w:rPr>
          <w:color w:val="231F20"/>
          <w:spacing w:val="-3"/>
          <w:w w:val="105"/>
          <w:sz w:val="20"/>
        </w:rPr>
        <w:t>pressure   </w:t>
      </w:r>
      <w:r>
        <w:rPr>
          <w:color w:val="231F20"/>
          <w:w w:val="105"/>
          <w:sz w:val="20"/>
        </w:rPr>
        <w:t>or conditions associated with diminished blood volume and low blood pressure, such as severe hemorrhage.</w:t>
      </w:r>
    </w:p>
    <w:p>
      <w:pPr>
        <w:pStyle w:val="ListParagraph"/>
        <w:numPr>
          <w:ilvl w:val="0"/>
          <w:numId w:val="29"/>
        </w:numPr>
        <w:tabs>
          <w:tab w:pos="802" w:val="left" w:leader="none"/>
        </w:tabs>
        <w:spacing w:line="249" w:lineRule="auto" w:before="7" w:after="0"/>
        <w:ind w:left="801" w:right="1079" w:hanging="243"/>
        <w:jc w:val="both"/>
        <w:rPr>
          <w:sz w:val="20"/>
        </w:rPr>
      </w:pPr>
      <w:r>
        <w:rPr>
          <w:i/>
          <w:color w:val="231F20"/>
          <w:w w:val="105"/>
          <w:sz w:val="20"/>
        </w:rPr>
        <w:t>Intrarenal</w:t>
      </w:r>
      <w:r>
        <w:rPr>
          <w:i/>
          <w:color w:val="231F20"/>
          <w:spacing w:val="-20"/>
          <w:w w:val="105"/>
          <w:sz w:val="20"/>
        </w:rPr>
        <w:t> </w:t>
      </w:r>
      <w:r>
        <w:rPr>
          <w:i/>
          <w:color w:val="231F20"/>
          <w:w w:val="105"/>
          <w:sz w:val="20"/>
        </w:rPr>
        <w:t>AKI</w:t>
      </w:r>
      <w:r>
        <w:rPr>
          <w:i/>
          <w:color w:val="231F20"/>
          <w:spacing w:val="-19"/>
          <w:w w:val="105"/>
          <w:sz w:val="20"/>
        </w:rPr>
        <w:t> </w:t>
      </w:r>
      <w:r>
        <w:rPr>
          <w:color w:val="231F20"/>
          <w:w w:val="105"/>
          <w:sz w:val="20"/>
        </w:rPr>
        <w:t>resulting</w:t>
      </w:r>
      <w:r>
        <w:rPr>
          <w:color w:val="231F20"/>
          <w:spacing w:val="-19"/>
          <w:w w:val="105"/>
          <w:sz w:val="20"/>
        </w:rPr>
        <w:t> </w:t>
      </w:r>
      <w:r>
        <w:rPr>
          <w:color w:val="231F20"/>
          <w:w w:val="105"/>
          <w:sz w:val="20"/>
        </w:rPr>
        <w:t>from</w:t>
      </w:r>
      <w:r>
        <w:rPr>
          <w:color w:val="231F20"/>
          <w:spacing w:val="-19"/>
          <w:w w:val="105"/>
          <w:sz w:val="20"/>
        </w:rPr>
        <w:t> </w:t>
      </w:r>
      <w:r>
        <w:rPr>
          <w:color w:val="231F20"/>
          <w:w w:val="105"/>
          <w:sz w:val="20"/>
        </w:rPr>
        <w:t>abnormalities</w:t>
      </w:r>
      <w:r>
        <w:rPr>
          <w:color w:val="231F20"/>
          <w:spacing w:val="-19"/>
          <w:w w:val="105"/>
          <w:sz w:val="20"/>
        </w:rPr>
        <w:t> </w:t>
      </w:r>
      <w:r>
        <w:rPr>
          <w:color w:val="231F20"/>
          <w:w w:val="105"/>
          <w:sz w:val="20"/>
        </w:rPr>
        <w:t>within the kidney itself, including those that affect the blood vessels, glomeruli, or</w:t>
      </w:r>
      <w:r>
        <w:rPr>
          <w:color w:val="231F20"/>
          <w:spacing w:val="-2"/>
          <w:w w:val="105"/>
          <w:sz w:val="20"/>
        </w:rPr>
        <w:t> </w:t>
      </w:r>
      <w:r>
        <w:rPr>
          <w:color w:val="231F20"/>
          <w:w w:val="105"/>
          <w:sz w:val="20"/>
        </w:rPr>
        <w:t>tubules.</w:t>
      </w:r>
    </w:p>
    <w:p>
      <w:pPr>
        <w:pStyle w:val="ListParagraph"/>
        <w:numPr>
          <w:ilvl w:val="0"/>
          <w:numId w:val="29"/>
        </w:numPr>
        <w:tabs>
          <w:tab w:pos="802" w:val="left" w:leader="none"/>
        </w:tabs>
        <w:spacing w:line="249" w:lineRule="auto" w:before="2" w:after="0"/>
        <w:ind w:left="801" w:right="1079" w:hanging="243"/>
        <w:jc w:val="both"/>
        <w:rPr>
          <w:sz w:val="20"/>
        </w:rPr>
      </w:pPr>
      <w:r>
        <w:rPr>
          <w:i/>
          <w:color w:val="231F20"/>
          <w:sz w:val="20"/>
        </w:rPr>
        <w:t>Postrenal AKI, </w:t>
      </w:r>
      <w:r>
        <w:rPr>
          <w:color w:val="231F20"/>
          <w:sz w:val="20"/>
        </w:rPr>
        <w:t>resulting from obstruction of </w:t>
      </w:r>
      <w:r>
        <w:rPr>
          <w:color w:val="231F20"/>
          <w:spacing w:val="-5"/>
          <w:sz w:val="20"/>
        </w:rPr>
        <w:t>the </w:t>
      </w:r>
      <w:r>
        <w:rPr>
          <w:color w:val="231F20"/>
          <w:sz w:val="20"/>
        </w:rPr>
        <w:t>urinary</w:t>
      </w:r>
      <w:r>
        <w:rPr>
          <w:color w:val="231F20"/>
          <w:spacing w:val="-7"/>
          <w:sz w:val="20"/>
        </w:rPr>
        <w:t> </w:t>
      </w:r>
      <w:r>
        <w:rPr>
          <w:color w:val="231F20"/>
          <w:sz w:val="20"/>
        </w:rPr>
        <w:t>collecting</w:t>
      </w:r>
      <w:r>
        <w:rPr>
          <w:color w:val="231F20"/>
          <w:spacing w:val="-7"/>
          <w:sz w:val="20"/>
        </w:rPr>
        <w:t> </w:t>
      </w:r>
      <w:r>
        <w:rPr>
          <w:color w:val="231F20"/>
          <w:sz w:val="20"/>
        </w:rPr>
        <w:t>system</w:t>
      </w:r>
      <w:r>
        <w:rPr>
          <w:color w:val="231F20"/>
          <w:spacing w:val="-6"/>
          <w:sz w:val="20"/>
        </w:rPr>
        <w:t> </w:t>
      </w:r>
      <w:r>
        <w:rPr>
          <w:color w:val="231F20"/>
          <w:sz w:val="20"/>
        </w:rPr>
        <w:t>anywhere</w:t>
      </w:r>
      <w:r>
        <w:rPr>
          <w:color w:val="231F20"/>
          <w:spacing w:val="-7"/>
          <w:sz w:val="20"/>
        </w:rPr>
        <w:t> </w:t>
      </w:r>
      <w:r>
        <w:rPr>
          <w:color w:val="231F20"/>
          <w:sz w:val="20"/>
        </w:rPr>
        <w:t>from</w:t>
      </w:r>
      <w:r>
        <w:rPr>
          <w:color w:val="231F20"/>
          <w:spacing w:val="-6"/>
          <w:sz w:val="20"/>
        </w:rPr>
        <w:t> </w:t>
      </w:r>
      <w:r>
        <w:rPr>
          <w:color w:val="231F20"/>
          <w:sz w:val="20"/>
        </w:rPr>
        <w:t>the</w:t>
      </w:r>
      <w:r>
        <w:rPr>
          <w:color w:val="231F20"/>
          <w:spacing w:val="-7"/>
          <w:sz w:val="20"/>
        </w:rPr>
        <w:t> </w:t>
      </w:r>
      <w:r>
        <w:rPr>
          <w:color w:val="231F20"/>
          <w:sz w:val="20"/>
        </w:rPr>
        <w:t>calyces</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1037"/>
          <w:footerReference w:type="even" r:id="rId1038"/>
          <w:footerReference w:type="default" r:id="rId1039"/>
          <w:pgSz w:w="12240" w:h="15660"/>
          <w:pgMar w:header="0" w:footer="567" w:top="720" w:bottom="760" w:left="0" w:right="0"/>
          <w:pgNumType w:start="430"/>
        </w:sectPr>
      </w:pPr>
    </w:p>
    <w:p>
      <w:pPr>
        <w:pStyle w:val="BodyText"/>
        <w:spacing w:line="249" w:lineRule="auto" w:before="99"/>
        <w:ind w:left="1562"/>
        <w:jc w:val="both"/>
      </w:pPr>
      <w:r>
        <w:rPr>
          <w:color w:val="231F20"/>
          <w:w w:val="105"/>
        </w:rPr>
        <w:t>to</w:t>
      </w:r>
      <w:r>
        <w:rPr>
          <w:color w:val="231F20"/>
          <w:spacing w:val="-14"/>
          <w:w w:val="105"/>
        </w:rPr>
        <w:t> </w:t>
      </w:r>
      <w:r>
        <w:rPr>
          <w:color w:val="231F20"/>
          <w:w w:val="105"/>
        </w:rPr>
        <w:t>the</w:t>
      </w:r>
      <w:r>
        <w:rPr>
          <w:color w:val="231F20"/>
          <w:spacing w:val="-13"/>
          <w:w w:val="105"/>
        </w:rPr>
        <w:t> </w:t>
      </w:r>
      <w:r>
        <w:rPr>
          <w:color w:val="231F20"/>
          <w:w w:val="105"/>
        </w:rPr>
        <w:t>outflow</w:t>
      </w:r>
      <w:r>
        <w:rPr>
          <w:color w:val="231F20"/>
          <w:spacing w:val="-13"/>
          <w:w w:val="105"/>
        </w:rPr>
        <w:t> </w:t>
      </w:r>
      <w:r>
        <w:rPr>
          <w:color w:val="231F20"/>
          <w:w w:val="105"/>
        </w:rPr>
        <w:t>from</w:t>
      </w:r>
      <w:r>
        <w:rPr>
          <w:color w:val="231F20"/>
          <w:spacing w:val="-13"/>
          <w:w w:val="105"/>
        </w:rPr>
        <w:t> </w:t>
      </w:r>
      <w:r>
        <w:rPr>
          <w:color w:val="231F20"/>
          <w:w w:val="105"/>
        </w:rPr>
        <w:t>the</w:t>
      </w:r>
      <w:r>
        <w:rPr>
          <w:color w:val="231F20"/>
          <w:spacing w:val="-13"/>
          <w:w w:val="105"/>
        </w:rPr>
        <w:t> </w:t>
      </w:r>
      <w:r>
        <w:rPr>
          <w:color w:val="231F20"/>
          <w:w w:val="105"/>
        </w:rPr>
        <w:t>bladder.</w:t>
      </w:r>
      <w:r>
        <w:rPr>
          <w:color w:val="231F20"/>
          <w:spacing w:val="-13"/>
          <w:w w:val="105"/>
        </w:rPr>
        <w:t> </w:t>
      </w:r>
      <w:r>
        <w:rPr>
          <w:color w:val="231F20"/>
          <w:w w:val="105"/>
        </w:rPr>
        <w:t>The</w:t>
      </w:r>
      <w:r>
        <w:rPr>
          <w:color w:val="231F20"/>
          <w:spacing w:val="-13"/>
          <w:w w:val="105"/>
        </w:rPr>
        <w:t> </w:t>
      </w:r>
      <w:r>
        <w:rPr>
          <w:color w:val="231F20"/>
          <w:w w:val="105"/>
        </w:rPr>
        <w:t>most</w:t>
      </w:r>
      <w:r>
        <w:rPr>
          <w:color w:val="231F20"/>
          <w:spacing w:val="-13"/>
          <w:w w:val="105"/>
        </w:rPr>
        <w:t> </w:t>
      </w:r>
      <w:r>
        <w:rPr>
          <w:color w:val="231F20"/>
          <w:spacing w:val="-4"/>
          <w:w w:val="105"/>
        </w:rPr>
        <w:t>common </w:t>
      </w:r>
      <w:r>
        <w:rPr>
          <w:color w:val="231F20"/>
          <w:w w:val="105"/>
        </w:rPr>
        <w:t>causes of obstruction of the urinary tract </w:t>
      </w:r>
      <w:r>
        <w:rPr>
          <w:color w:val="231F20"/>
          <w:spacing w:val="-3"/>
          <w:w w:val="105"/>
        </w:rPr>
        <w:t>outside </w:t>
      </w:r>
      <w:r>
        <w:rPr>
          <w:color w:val="231F20"/>
          <w:w w:val="105"/>
        </w:rPr>
        <w:t>the kidney are kidney stones, caused by precipita­ tion of calcium, urate, or</w:t>
      </w:r>
      <w:r>
        <w:rPr>
          <w:color w:val="231F20"/>
          <w:spacing w:val="6"/>
          <w:w w:val="105"/>
        </w:rPr>
        <w:t> </w:t>
      </w:r>
      <w:r>
        <w:rPr>
          <w:color w:val="231F20"/>
          <w:w w:val="105"/>
        </w:rPr>
        <w:t>cystine.</w:t>
      </w:r>
    </w:p>
    <w:p>
      <w:pPr>
        <w:pStyle w:val="BodyText"/>
        <w:rPr>
          <w:sz w:val="31"/>
        </w:rPr>
      </w:pPr>
    </w:p>
    <w:p>
      <w:pPr>
        <w:pStyle w:val="Heading2"/>
        <w:spacing w:line="225" w:lineRule="auto"/>
        <w:ind w:left="1080" w:right="1093"/>
      </w:pPr>
      <w:r>
        <w:rPr>
          <w:color w:val="231F20"/>
          <w:w w:val="105"/>
        </w:rPr>
        <w:t>PRERENAL ACUTE KIDNEY </w:t>
      </w:r>
      <w:r>
        <w:rPr>
          <w:color w:val="231F20"/>
          <w:spacing w:val="-5"/>
          <w:w w:val="105"/>
        </w:rPr>
        <w:t>INJURY </w:t>
      </w:r>
      <w:r>
        <w:rPr>
          <w:color w:val="231F20"/>
          <w:w w:val="105"/>
        </w:rPr>
        <w:t>CAUSED BY DECREASED BLOOD FLOW TO THE KIDNEY</w:t>
      </w:r>
    </w:p>
    <w:p>
      <w:pPr>
        <w:pStyle w:val="BodyText"/>
        <w:spacing w:line="249" w:lineRule="auto" w:before="127"/>
        <w:ind w:left="1080"/>
        <w:jc w:val="both"/>
        <w:rPr>
          <w:i/>
        </w:rPr>
      </w:pPr>
      <w:r>
        <w:rPr/>
        <w:pict>
          <v:rect style="position:absolute;margin-left:0pt;margin-top:38.33596pt;width:36pt;height:24pt;mso-position-horizontal-relative:page;mso-position-vertical-relative:paragraph;z-index:253273088" filled="true" fillcolor="#e8dac8" stroked="false">
            <v:fill type="solid"/>
            <w10:wrap type="none"/>
          </v:rect>
        </w:pict>
      </w:r>
      <w:r>
        <w:rPr>
          <w:color w:val="231F20"/>
        </w:rPr>
        <w:t>The kidneys normally receive an abundant blood </w:t>
      </w:r>
      <w:r>
        <w:rPr>
          <w:color w:val="231F20"/>
          <w:spacing w:val="-3"/>
        </w:rPr>
        <w:t>supply </w:t>
      </w:r>
      <w:r>
        <w:rPr>
          <w:color w:val="231F20"/>
        </w:rPr>
        <w:t>of about 1100 ml/min,  or  about  20  to  25  percent  </w:t>
      </w:r>
      <w:r>
        <w:rPr>
          <w:color w:val="231F20"/>
          <w:spacing w:val="-7"/>
        </w:rPr>
        <w:t>of</w:t>
      </w:r>
      <w:r>
        <w:rPr>
          <w:color w:val="231F20"/>
          <w:spacing w:val="36"/>
        </w:rPr>
        <w:t> </w:t>
      </w:r>
      <w:r>
        <w:rPr>
          <w:color w:val="231F20"/>
        </w:rPr>
        <w:t>the cardiac output. The main purpose of this high </w:t>
      </w:r>
      <w:r>
        <w:rPr>
          <w:color w:val="231F20"/>
          <w:spacing w:val="-3"/>
        </w:rPr>
        <w:t>blood </w:t>
      </w:r>
      <w:r>
        <w:rPr>
          <w:color w:val="231F20"/>
        </w:rPr>
        <w:t>flow to the kidneys is to provide enough plasma for the high rates of glomerular filtration needed for effective regulation of body fluid volumes and solute </w:t>
      </w:r>
      <w:r>
        <w:rPr>
          <w:color w:val="231F20"/>
          <w:spacing w:val="-3"/>
        </w:rPr>
        <w:t>concentra­  </w:t>
      </w:r>
      <w:r>
        <w:rPr>
          <w:color w:val="231F20"/>
        </w:rPr>
        <w:t>tions. Therefore, decreased renal blood flow is usually accompanied by decreased GFR and decreased </w:t>
      </w:r>
      <w:r>
        <w:rPr>
          <w:color w:val="231F20"/>
          <w:spacing w:val="-3"/>
        </w:rPr>
        <w:t>urine </w:t>
      </w:r>
      <w:r>
        <w:rPr>
          <w:color w:val="231F20"/>
        </w:rPr>
        <w:t>output of water and solutes. Consequently,  </w:t>
      </w:r>
      <w:r>
        <w:rPr>
          <w:color w:val="231F20"/>
          <w:spacing w:val="-3"/>
        </w:rPr>
        <w:t>conditions  </w:t>
      </w:r>
      <w:r>
        <w:rPr>
          <w:color w:val="231F20"/>
        </w:rPr>
        <w:t>that acutely diminish blood flow to the kidneys </w:t>
      </w:r>
      <w:r>
        <w:rPr>
          <w:color w:val="231F20"/>
          <w:spacing w:val="-3"/>
        </w:rPr>
        <w:t>usually </w:t>
      </w:r>
      <w:r>
        <w:rPr>
          <w:color w:val="231F20"/>
        </w:rPr>
        <w:t>cause </w:t>
      </w:r>
      <w:r>
        <w:rPr>
          <w:i/>
          <w:color w:val="231F20"/>
        </w:rPr>
        <w:t>oliguria, </w:t>
      </w:r>
      <w:r>
        <w:rPr>
          <w:color w:val="231F20"/>
        </w:rPr>
        <w:t>which refers to diminished urine output below the level of intake of water and solutes. This </w:t>
      </w:r>
      <w:r>
        <w:rPr>
          <w:color w:val="231F20"/>
          <w:spacing w:val="-3"/>
        </w:rPr>
        <w:t>condi­ </w:t>
      </w:r>
      <w:r>
        <w:rPr>
          <w:color w:val="231F20"/>
        </w:rPr>
        <w:t>tion causes accumulation of water and solutes in the body fluids. If renal blood flow is markedly reduced, total ces­ sation of urine output can </w:t>
      </w:r>
      <w:r>
        <w:rPr>
          <w:color w:val="231F20"/>
          <w:spacing w:val="-3"/>
        </w:rPr>
        <w:t>occur,  </w:t>
      </w:r>
      <w:r>
        <w:rPr>
          <w:color w:val="231F20"/>
        </w:rPr>
        <w:t>a condition referred to  as</w:t>
      </w:r>
      <w:r>
        <w:rPr>
          <w:color w:val="231F20"/>
          <w:spacing w:val="6"/>
        </w:rPr>
        <w:t> </w:t>
      </w:r>
      <w:r>
        <w:rPr>
          <w:i/>
          <w:color w:val="231F20"/>
        </w:rPr>
        <w:t>anuria.</w:t>
      </w:r>
    </w:p>
    <w:p>
      <w:pPr>
        <w:pStyle w:val="BodyText"/>
        <w:spacing w:line="249" w:lineRule="auto" w:before="13"/>
        <w:ind w:left="1080" w:firstLine="240"/>
        <w:jc w:val="both"/>
      </w:pPr>
      <w:r>
        <w:rPr>
          <w:color w:val="231F20"/>
        </w:rPr>
        <w:t>As long as renal blood flow does not fall below about 20 to 25 percent of normal, AKI can usually be reversed  if the cause of the ischemia is corrected before damage </w:t>
      </w:r>
      <w:r>
        <w:rPr>
          <w:color w:val="231F20"/>
          <w:spacing w:val="-7"/>
        </w:rPr>
        <w:t>to </w:t>
      </w:r>
      <w:r>
        <w:rPr>
          <w:color w:val="231F20"/>
        </w:rPr>
        <w:t>the renal cells has occurred. Unlike some tissues, the kidney can endure a relatively large reduction in </w:t>
      </w:r>
      <w:r>
        <w:rPr>
          <w:color w:val="231F20"/>
          <w:spacing w:val="-4"/>
        </w:rPr>
        <w:t>blood </w:t>
      </w:r>
      <w:r>
        <w:rPr>
          <w:color w:val="231F20"/>
        </w:rPr>
        <w:t>flow before actual damage to the renal cells occurs. </w:t>
      </w:r>
      <w:r>
        <w:rPr>
          <w:color w:val="231F20"/>
          <w:spacing w:val="-4"/>
        </w:rPr>
        <w:t>The </w:t>
      </w:r>
      <w:r>
        <w:rPr>
          <w:color w:val="231F20"/>
        </w:rPr>
        <w:t>reason for this phenomenon is that as renal blood flow </w:t>
      </w:r>
      <w:r>
        <w:rPr>
          <w:color w:val="231F20"/>
          <w:spacing w:val="-8"/>
        </w:rPr>
        <w:t>is </w:t>
      </w:r>
      <w:r>
        <w:rPr>
          <w:color w:val="231F20"/>
        </w:rPr>
        <w:t>reduced, the GFR and the amount of sodium </w:t>
      </w:r>
      <w:r>
        <w:rPr>
          <w:color w:val="231F20"/>
          <w:spacing w:val="-3"/>
        </w:rPr>
        <w:t>chloride </w:t>
      </w:r>
      <w:r>
        <w:rPr>
          <w:color w:val="231F20"/>
        </w:rPr>
        <w:t>filtered by the glomeruli (as well as the filtration rate </w:t>
      </w:r>
      <w:r>
        <w:rPr>
          <w:color w:val="231F20"/>
          <w:spacing w:val="-7"/>
        </w:rPr>
        <w:t>of </w:t>
      </w:r>
      <w:r>
        <w:rPr>
          <w:color w:val="231F20"/>
        </w:rPr>
        <w:t>water and other electrolytes) are reduced. This decreases the amount of sodium chloride that must be reabsorbed  by the tubules, which use most of the energy and oxygen consumed by the normal kidney. Therefore, as renal </w:t>
      </w:r>
      <w:r>
        <w:rPr>
          <w:color w:val="231F20"/>
          <w:spacing w:val="-3"/>
        </w:rPr>
        <w:t>blood </w:t>
      </w:r>
      <w:r>
        <w:rPr>
          <w:color w:val="231F20"/>
        </w:rPr>
        <w:t>flow and GFR fall, the requirement for renal oxygen con­ sumption is also reduced. As the GFR approaches zero, oxygen consumption of the kidney approaches the </w:t>
      </w:r>
      <w:r>
        <w:rPr>
          <w:color w:val="231F20"/>
          <w:spacing w:val="-5"/>
        </w:rPr>
        <w:t>rate </w:t>
      </w:r>
      <w:r>
        <w:rPr>
          <w:color w:val="231F20"/>
        </w:rPr>
        <w:t>that is required to keep the renal tubular cells alive even when they are not reabsorbing sodium. When blood flow is reduced below this basal requirement, which is usually less than 20 to 25 percent of the normal renal blood </w:t>
      </w:r>
      <w:r>
        <w:rPr>
          <w:color w:val="231F20"/>
          <w:spacing w:val="-3"/>
        </w:rPr>
        <w:t>flow, </w:t>
      </w:r>
      <w:r>
        <w:rPr>
          <w:color w:val="231F20"/>
        </w:rPr>
        <w:t>the renal cells become hypoxic, and further decreases in renal blood </w:t>
      </w:r>
      <w:r>
        <w:rPr>
          <w:color w:val="231F20"/>
          <w:spacing w:val="-3"/>
        </w:rPr>
        <w:t>flow, </w:t>
      </w:r>
      <w:r>
        <w:rPr>
          <w:color w:val="231F20"/>
        </w:rPr>
        <w:t>if prolonged, will cause damage or </w:t>
      </w:r>
      <w:r>
        <w:rPr>
          <w:color w:val="231F20"/>
          <w:spacing w:val="-3"/>
        </w:rPr>
        <w:t>even </w:t>
      </w:r>
      <w:r>
        <w:rPr>
          <w:color w:val="231F20"/>
        </w:rPr>
        <w:t>death of the renal cells, especially the tubular </w:t>
      </w:r>
      <w:r>
        <w:rPr>
          <w:color w:val="231F20"/>
          <w:spacing w:val="-3"/>
        </w:rPr>
        <w:t>epithelial </w:t>
      </w:r>
      <w:r>
        <w:rPr>
          <w:color w:val="231F20"/>
        </w:rPr>
        <w:t>cells.</w:t>
      </w:r>
    </w:p>
    <w:p>
      <w:pPr>
        <w:pStyle w:val="BodyText"/>
        <w:spacing w:line="249" w:lineRule="auto" w:before="20"/>
        <w:ind w:left="1080" w:firstLine="240"/>
        <w:jc w:val="both"/>
      </w:pPr>
      <w:r>
        <w:rPr>
          <w:color w:val="231F20"/>
        </w:rPr>
        <w:t>If the cause of prerenal AKI is not corrected and isch­ emia of the kidney persists longer than a few hours, this type of renal failure can evolve into intrarenal AKI, as discussed later. Acute reduction of renal blood flow is a common cause of AKI in hospitalized patients, especially those who have sustained severe injuries. </w:t>
      </w:r>
      <w:hyperlink w:history="true" w:anchor="_bookmark118">
        <w:r>
          <w:rPr>
            <w:b/>
            <w:color w:val="0080AC"/>
          </w:rPr>
          <w:t>Table 32-2</w:t>
        </w:r>
      </w:hyperlink>
      <w:r>
        <w:rPr>
          <w:b/>
          <w:color w:val="0080AC"/>
        </w:rPr>
        <w:t> </w:t>
      </w:r>
      <w:r>
        <w:rPr>
          <w:color w:val="231F20"/>
        </w:rPr>
        <w:t>shows some of the common causes of decreased renal blood flow and prerenal AKI.</w:t>
      </w:r>
    </w:p>
    <w:p>
      <w:pPr>
        <w:spacing w:line="252" w:lineRule="auto" w:before="110"/>
        <w:ind w:left="319" w:right="2063" w:firstLine="0"/>
        <w:jc w:val="left"/>
        <w:rPr>
          <w:rFonts w:ascii="Trebuchet MS"/>
          <w:sz w:val="18"/>
        </w:rPr>
      </w:pPr>
      <w:r>
        <w:rPr/>
        <w:br w:type="column"/>
      </w:r>
      <w:bookmarkStart w:name="_bookmark118" w:id="119"/>
      <w:bookmarkEnd w:id="119"/>
      <w:r>
        <w:rPr/>
      </w:r>
      <w:r>
        <w:rPr>
          <w:rFonts w:ascii="Trebuchet MS"/>
          <w:b/>
          <w:color w:val="231F20"/>
          <w:spacing w:val="-4"/>
          <w:w w:val="105"/>
          <w:sz w:val="18"/>
        </w:rPr>
        <w:t>Table </w:t>
      </w:r>
      <w:r>
        <w:rPr>
          <w:rFonts w:ascii="Trebuchet MS"/>
          <w:b/>
          <w:color w:val="231F20"/>
          <w:w w:val="105"/>
          <w:sz w:val="18"/>
        </w:rPr>
        <w:t>32-2 </w:t>
      </w:r>
      <w:r>
        <w:rPr>
          <w:rFonts w:ascii="Trebuchet MS"/>
          <w:color w:val="231F20"/>
          <w:w w:val="105"/>
          <w:sz w:val="18"/>
        </w:rPr>
        <w:t>Some Causes of Prerenal </w:t>
      </w:r>
      <w:r>
        <w:rPr>
          <w:rFonts w:ascii="Trebuchet MS"/>
          <w:color w:val="231F20"/>
          <w:spacing w:val="-3"/>
          <w:w w:val="105"/>
          <w:sz w:val="18"/>
        </w:rPr>
        <w:t>Acute </w:t>
      </w:r>
      <w:r>
        <w:rPr>
          <w:rFonts w:ascii="Trebuchet MS"/>
          <w:color w:val="231F20"/>
          <w:w w:val="105"/>
          <w:sz w:val="18"/>
        </w:rPr>
        <w:t>Kidney</w:t>
      </w:r>
      <w:r>
        <w:rPr>
          <w:rFonts w:ascii="Trebuchet MS"/>
          <w:color w:val="231F20"/>
          <w:spacing w:val="2"/>
          <w:w w:val="105"/>
          <w:sz w:val="18"/>
        </w:rPr>
        <w:t> </w:t>
      </w:r>
      <w:r>
        <w:rPr>
          <w:rFonts w:ascii="Trebuchet MS"/>
          <w:color w:val="231F20"/>
          <w:w w:val="105"/>
          <w:sz w:val="18"/>
        </w:rPr>
        <w:t>Injury</w:t>
      </w:r>
    </w:p>
    <w:p>
      <w:pPr>
        <w:pStyle w:val="BodyText"/>
        <w:spacing w:before="6"/>
        <w:rPr>
          <w:rFonts w:ascii="Trebuchet MS"/>
          <w:sz w:val="9"/>
        </w:rPr>
      </w:pPr>
    </w:p>
    <w:tbl>
      <w:tblPr>
        <w:tblW w:w="0" w:type="auto"/>
        <w:jc w:val="left"/>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0"/>
      </w:tblGrid>
      <w:tr>
        <w:trPr>
          <w:trHeight w:val="743" w:hRule="atLeast"/>
        </w:trPr>
        <w:tc>
          <w:tcPr>
            <w:tcW w:w="4680" w:type="dxa"/>
            <w:tcBorders>
              <w:bottom w:val="single" w:sz="4" w:space="0" w:color="FFFFFF"/>
            </w:tcBorders>
            <w:shd w:val="clear" w:color="auto" w:fill="E6ECF7"/>
          </w:tcPr>
          <w:p>
            <w:pPr>
              <w:pStyle w:val="TableParagraph"/>
              <w:spacing w:before="34"/>
              <w:ind w:left="120"/>
              <w:rPr>
                <w:b/>
                <w:sz w:val="16"/>
              </w:rPr>
            </w:pPr>
            <w:r>
              <w:rPr>
                <w:b/>
                <w:color w:val="231F20"/>
                <w:sz w:val="16"/>
              </w:rPr>
              <w:t>Intravascular Volume Depletion</w:t>
            </w:r>
          </w:p>
          <w:p>
            <w:pPr>
              <w:pStyle w:val="TableParagraph"/>
              <w:spacing w:line="259" w:lineRule="auto" w:before="89"/>
              <w:ind w:left="280" w:right="633" w:hanging="160"/>
              <w:rPr>
                <w:sz w:val="16"/>
              </w:rPr>
            </w:pPr>
            <w:r>
              <w:rPr>
                <w:color w:val="231F20"/>
                <w:w w:val="105"/>
                <w:sz w:val="16"/>
              </w:rPr>
              <w:t>Hemorrhage (trauma, surgery, postpartum, gastrointestinal)</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Diarrhea or vomiting</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Burns</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Cardiac Failure</w:t>
            </w:r>
          </w:p>
          <w:p>
            <w:pPr>
              <w:pStyle w:val="TableParagraph"/>
              <w:spacing w:before="89"/>
              <w:ind w:left="120"/>
              <w:rPr>
                <w:sz w:val="16"/>
              </w:rPr>
            </w:pPr>
            <w:r>
              <w:rPr>
                <w:color w:val="231F20"/>
                <w:w w:val="105"/>
                <w:sz w:val="16"/>
              </w:rPr>
              <w:t>Myocardial infarction</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Valvular damage</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Peripheral Vasodilation and Resultant Hypotension</w:t>
            </w:r>
          </w:p>
          <w:p>
            <w:pPr>
              <w:pStyle w:val="TableParagraph"/>
              <w:spacing w:before="89"/>
              <w:ind w:left="120"/>
              <w:rPr>
                <w:sz w:val="16"/>
              </w:rPr>
            </w:pPr>
            <w:r>
              <w:rPr>
                <w:color w:val="231F20"/>
                <w:w w:val="105"/>
                <w:sz w:val="16"/>
              </w:rPr>
              <w:t>Anaphylactic shock</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Anesthesia</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rPr>
                <w:sz w:val="16"/>
              </w:rPr>
            </w:pPr>
            <w:r>
              <w:rPr>
                <w:rFonts w:ascii="Times New Roman"/>
                <w:color w:val="231F20"/>
                <w:w w:val="94"/>
                <w:position w:val="-9"/>
                <w:sz w:val="20"/>
                <w:u w:val="single" w:color="FFFFFF"/>
              </w:rPr>
              <w:t> </w:t>
            </w:r>
            <w:r>
              <w:rPr>
                <w:rFonts w:ascii="Times New Roman"/>
                <w:color w:val="231F20"/>
                <w:position w:val="-9"/>
                <w:sz w:val="20"/>
                <w:u w:val="single" w:color="FFFFFF"/>
              </w:rPr>
              <w:t> </w:t>
            </w:r>
            <w:r>
              <w:rPr>
                <w:color w:val="231F20"/>
                <w:sz w:val="16"/>
              </w:rPr>
              <w:t>Sepsis, severe infections</w:t>
            </w:r>
          </w:p>
          <w:p>
            <w:pPr>
              <w:pStyle w:val="TableParagraph"/>
              <w:spacing w:before="89"/>
              <w:ind w:left="120"/>
              <w:rPr>
                <w:sz w:val="16"/>
              </w:rPr>
            </w:pPr>
            <w:r>
              <w:rPr>
                <w:color w:val="231F20"/>
                <w:w w:val="105"/>
                <w:sz w:val="16"/>
              </w:rPr>
              <w:t>Primary renal hemodynamic abnormalities</w:t>
            </w:r>
          </w:p>
        </w:tc>
      </w:tr>
      <w:tr>
        <w:trPr>
          <w:trHeight w:val="479" w:hRule="atLeast"/>
        </w:trPr>
        <w:tc>
          <w:tcPr>
            <w:tcW w:w="4680" w:type="dxa"/>
            <w:tcBorders>
              <w:top w:val="single" w:sz="4" w:space="0" w:color="FFFFFF"/>
            </w:tcBorders>
            <w:shd w:val="clear" w:color="auto" w:fill="E6ECF7"/>
          </w:tcPr>
          <w:p>
            <w:pPr>
              <w:pStyle w:val="TableParagraph"/>
              <w:spacing w:line="259" w:lineRule="auto"/>
              <w:ind w:left="280" w:hanging="160"/>
              <w:rPr>
                <w:sz w:val="16"/>
              </w:rPr>
            </w:pPr>
            <w:r>
              <w:rPr>
                <w:color w:val="231F20"/>
                <w:w w:val="105"/>
                <w:sz w:val="16"/>
              </w:rPr>
              <w:t>Renal artery stenosis, embolism, or thrombosis of renal artery or vein</w:t>
            </w:r>
          </w:p>
        </w:tc>
      </w:tr>
    </w:tbl>
    <w:p>
      <w:pPr>
        <w:pStyle w:val="BodyText"/>
        <w:rPr>
          <w:rFonts w:ascii="Trebuchet MS"/>
        </w:rPr>
      </w:pPr>
    </w:p>
    <w:p>
      <w:pPr>
        <w:pStyle w:val="BodyText"/>
        <w:spacing w:before="8"/>
        <w:rPr>
          <w:rFonts w:ascii="Trebuchet MS"/>
          <w:sz w:val="19"/>
        </w:rPr>
      </w:pPr>
    </w:p>
    <w:p>
      <w:pPr>
        <w:spacing w:line="252" w:lineRule="auto" w:before="0"/>
        <w:ind w:left="319" w:right="2063" w:firstLine="0"/>
        <w:jc w:val="left"/>
        <w:rPr>
          <w:rFonts w:ascii="Trebuchet MS"/>
          <w:sz w:val="18"/>
        </w:rPr>
      </w:pPr>
      <w:bookmarkStart w:name="_bookmark119" w:id="120"/>
      <w:bookmarkEnd w:id="120"/>
      <w:r>
        <w:rPr/>
      </w:r>
      <w:r>
        <w:rPr>
          <w:rFonts w:ascii="Trebuchet MS"/>
          <w:b/>
          <w:color w:val="231F20"/>
          <w:spacing w:val="-4"/>
          <w:w w:val="105"/>
          <w:sz w:val="18"/>
        </w:rPr>
        <w:t>Table </w:t>
      </w:r>
      <w:r>
        <w:rPr>
          <w:rFonts w:ascii="Trebuchet MS"/>
          <w:b/>
          <w:color w:val="231F20"/>
          <w:w w:val="105"/>
          <w:sz w:val="18"/>
        </w:rPr>
        <w:t>32-3 </w:t>
      </w:r>
      <w:r>
        <w:rPr>
          <w:rFonts w:ascii="Trebuchet MS"/>
          <w:color w:val="231F20"/>
          <w:w w:val="105"/>
          <w:sz w:val="18"/>
        </w:rPr>
        <w:t>Some Causes of Intrarenal </w:t>
      </w:r>
      <w:r>
        <w:rPr>
          <w:rFonts w:ascii="Trebuchet MS"/>
          <w:color w:val="231F20"/>
          <w:spacing w:val="-3"/>
          <w:w w:val="105"/>
          <w:sz w:val="18"/>
        </w:rPr>
        <w:t>Acute </w:t>
      </w:r>
      <w:r>
        <w:rPr>
          <w:rFonts w:ascii="Trebuchet MS"/>
          <w:color w:val="231F20"/>
          <w:w w:val="105"/>
          <w:sz w:val="18"/>
        </w:rPr>
        <w:t>Kidney</w:t>
      </w:r>
      <w:r>
        <w:rPr>
          <w:rFonts w:ascii="Trebuchet MS"/>
          <w:color w:val="231F20"/>
          <w:spacing w:val="2"/>
          <w:w w:val="105"/>
          <w:sz w:val="18"/>
        </w:rPr>
        <w:t> </w:t>
      </w:r>
      <w:r>
        <w:rPr>
          <w:rFonts w:ascii="Trebuchet MS"/>
          <w:color w:val="231F20"/>
          <w:w w:val="105"/>
          <w:sz w:val="18"/>
        </w:rPr>
        <w:t>Injury</w:t>
      </w:r>
    </w:p>
    <w:p>
      <w:pPr>
        <w:pStyle w:val="BodyText"/>
        <w:spacing w:before="5" w:after="1"/>
        <w:rPr>
          <w:rFonts w:ascii="Trebuchet MS"/>
          <w:sz w:val="9"/>
        </w:rPr>
      </w:pPr>
    </w:p>
    <w:tbl>
      <w:tblPr>
        <w:tblW w:w="0" w:type="auto"/>
        <w:jc w:val="left"/>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0"/>
      </w:tblGrid>
      <w:tr>
        <w:trPr>
          <w:trHeight w:val="543" w:hRule="atLeast"/>
        </w:trPr>
        <w:tc>
          <w:tcPr>
            <w:tcW w:w="4680" w:type="dxa"/>
            <w:tcBorders>
              <w:bottom w:val="single" w:sz="4" w:space="0" w:color="FFFFFF"/>
            </w:tcBorders>
            <w:shd w:val="clear" w:color="auto" w:fill="E6ECF7"/>
          </w:tcPr>
          <w:p>
            <w:pPr>
              <w:pStyle w:val="TableParagraph"/>
              <w:spacing w:before="34"/>
              <w:ind w:left="120"/>
              <w:rPr>
                <w:b/>
                <w:sz w:val="16"/>
              </w:rPr>
            </w:pPr>
            <w:r>
              <w:rPr>
                <w:b/>
                <w:color w:val="231F20"/>
                <w:sz w:val="16"/>
              </w:rPr>
              <w:t>Small Vessel and/or Glomerular Injury</w:t>
            </w:r>
          </w:p>
          <w:p>
            <w:pPr>
              <w:pStyle w:val="TableParagraph"/>
              <w:spacing w:before="89"/>
              <w:ind w:left="120"/>
              <w:rPr>
                <w:sz w:val="16"/>
              </w:rPr>
            </w:pPr>
            <w:r>
              <w:rPr>
                <w:color w:val="231F20"/>
                <w:w w:val="105"/>
                <w:sz w:val="16"/>
              </w:rPr>
              <w:t>Vasculitis (polyarteritis nodosa)</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Cholesterol emboli</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rPr>
                <w:sz w:val="16"/>
              </w:rPr>
            </w:pPr>
            <w:r>
              <w:rPr>
                <w:rFonts w:ascii="Times New Roman"/>
                <w:color w:val="231F20"/>
                <w:w w:val="94"/>
                <w:position w:val="-10"/>
                <w:sz w:val="20"/>
                <w:u w:val="single" w:color="FFFFFF"/>
              </w:rPr>
              <w:t> </w:t>
            </w:r>
            <w:r>
              <w:rPr>
                <w:rFonts w:ascii="Times New Roman"/>
                <w:color w:val="231F20"/>
                <w:position w:val="-10"/>
                <w:sz w:val="20"/>
                <w:u w:val="single" w:color="FFFFFF"/>
              </w:rPr>
              <w:t> </w:t>
            </w:r>
            <w:r>
              <w:rPr>
                <w:color w:val="231F20"/>
                <w:w w:val="110"/>
                <w:sz w:val="16"/>
              </w:rPr>
              <w:t>Malignant hypertension</w:t>
            </w:r>
          </w:p>
          <w:p>
            <w:pPr>
              <w:pStyle w:val="TableParagraph"/>
              <w:spacing w:before="89"/>
              <w:ind w:left="120"/>
              <w:rPr>
                <w:sz w:val="16"/>
              </w:rPr>
            </w:pPr>
            <w:r>
              <w:rPr>
                <w:color w:val="231F20"/>
                <w:w w:val="105"/>
                <w:sz w:val="16"/>
              </w:rPr>
              <w:t>Acute glomerulonephritis</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Tubular Epithelial Injury (Tubular Necrosis)</w:t>
            </w:r>
          </w:p>
          <w:p>
            <w:pPr>
              <w:pStyle w:val="TableParagraph"/>
              <w:spacing w:before="89"/>
              <w:ind w:left="120"/>
              <w:rPr>
                <w:sz w:val="16"/>
              </w:rPr>
            </w:pPr>
            <w:r>
              <w:rPr>
                <w:color w:val="231F20"/>
                <w:w w:val="105"/>
                <w:sz w:val="16"/>
              </w:rPr>
              <w:t>Acute tubular necrosis due to ischemia</w:t>
            </w:r>
          </w:p>
        </w:tc>
      </w:tr>
      <w:tr>
        <w:trPr>
          <w:trHeight w:val="664" w:hRule="atLeast"/>
        </w:trPr>
        <w:tc>
          <w:tcPr>
            <w:tcW w:w="4680" w:type="dxa"/>
            <w:tcBorders>
              <w:top w:val="single" w:sz="4" w:space="0" w:color="FFFFFF"/>
              <w:bottom w:val="single" w:sz="4" w:space="0" w:color="FFFFFF"/>
            </w:tcBorders>
            <w:shd w:val="clear" w:color="auto" w:fill="E6ECF7"/>
          </w:tcPr>
          <w:p>
            <w:pPr>
              <w:pStyle w:val="TableParagraph"/>
              <w:spacing w:line="259" w:lineRule="auto"/>
              <w:ind w:left="280" w:right="233" w:hanging="160"/>
              <w:rPr>
                <w:sz w:val="16"/>
              </w:rPr>
            </w:pPr>
            <w:r>
              <w:rPr>
                <w:color w:val="231F20"/>
                <w:sz w:val="16"/>
              </w:rPr>
              <w:t>Acute tubular necrosis due to toxins (heavy metals, ethylene glycol, insecticides, poison mushrooms, </w:t>
            </w:r>
            <w:r>
              <w:rPr>
                <w:color w:val="231F20"/>
                <w:spacing w:val="-3"/>
                <w:sz w:val="16"/>
              </w:rPr>
              <w:t>carbon </w:t>
            </w:r>
            <w:r>
              <w:rPr>
                <w:color w:val="231F20"/>
                <w:sz w:val="16"/>
              </w:rPr>
              <w:t>tetrachloride)</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Renal Interstitial Injury</w:t>
            </w:r>
          </w:p>
          <w:p>
            <w:pPr>
              <w:pStyle w:val="TableParagraph"/>
              <w:spacing w:before="89"/>
              <w:ind w:left="120"/>
              <w:rPr>
                <w:sz w:val="16"/>
              </w:rPr>
            </w:pPr>
            <w:r>
              <w:rPr>
                <w:color w:val="231F20"/>
                <w:w w:val="105"/>
                <w:sz w:val="16"/>
              </w:rPr>
              <w:t>Acute pyelonephritis</w:t>
            </w:r>
          </w:p>
        </w:tc>
      </w:tr>
      <w:tr>
        <w:trPr>
          <w:trHeight w:val="279" w:hRule="atLeast"/>
        </w:trPr>
        <w:tc>
          <w:tcPr>
            <w:tcW w:w="4680" w:type="dxa"/>
            <w:tcBorders>
              <w:top w:val="single" w:sz="4" w:space="0" w:color="FFFFFF"/>
            </w:tcBorders>
            <w:shd w:val="clear" w:color="auto" w:fill="E6ECF7"/>
          </w:tcPr>
          <w:p>
            <w:pPr>
              <w:pStyle w:val="TableParagraph"/>
              <w:ind w:left="120"/>
              <w:rPr>
                <w:sz w:val="16"/>
              </w:rPr>
            </w:pPr>
            <w:r>
              <w:rPr>
                <w:color w:val="231F20"/>
                <w:w w:val="105"/>
                <w:sz w:val="16"/>
              </w:rPr>
              <w:t>Acute allergic interstitial nephritis</w:t>
            </w:r>
          </w:p>
        </w:tc>
      </w:tr>
    </w:tbl>
    <w:p>
      <w:pPr>
        <w:pStyle w:val="BodyText"/>
        <w:rPr>
          <w:rFonts w:ascii="Trebuchet MS"/>
        </w:rPr>
      </w:pPr>
    </w:p>
    <w:p>
      <w:pPr>
        <w:pStyle w:val="BodyText"/>
        <w:spacing w:before="6"/>
        <w:rPr>
          <w:rFonts w:ascii="Trebuchet MS"/>
          <w:sz w:val="22"/>
        </w:rPr>
      </w:pPr>
    </w:p>
    <w:p>
      <w:pPr>
        <w:pStyle w:val="Heading2"/>
        <w:spacing w:line="225" w:lineRule="auto"/>
        <w:ind w:right="2063"/>
      </w:pPr>
      <w:r>
        <w:rPr>
          <w:color w:val="231F20"/>
          <w:w w:val="105"/>
        </w:rPr>
        <w:t>INTRARENAL ACUTE KIDNEY INJURY CAUSED BY ABNORMALITIES WITHIN THE KIDNEY</w:t>
      </w:r>
    </w:p>
    <w:p>
      <w:pPr>
        <w:pStyle w:val="BodyText"/>
        <w:spacing w:line="249" w:lineRule="auto" w:before="128"/>
        <w:ind w:left="319" w:right="1437"/>
        <w:jc w:val="both"/>
      </w:pPr>
      <w:r>
        <w:rPr>
          <w:color w:val="231F20"/>
          <w:w w:val="105"/>
        </w:rPr>
        <w:t>Abnormalities that originate within the kidney  and  that abruptly diminish urine output fall into the </w:t>
      </w:r>
      <w:r>
        <w:rPr>
          <w:color w:val="231F20"/>
          <w:spacing w:val="-3"/>
          <w:w w:val="105"/>
        </w:rPr>
        <w:t>general </w:t>
      </w:r>
      <w:r>
        <w:rPr>
          <w:color w:val="231F20"/>
          <w:w w:val="105"/>
        </w:rPr>
        <w:t>category of </w:t>
      </w:r>
      <w:r>
        <w:rPr>
          <w:i/>
          <w:color w:val="231F20"/>
          <w:w w:val="105"/>
        </w:rPr>
        <w:t>intrarenal AKI. </w:t>
      </w:r>
      <w:r>
        <w:rPr>
          <w:color w:val="231F20"/>
          <w:w w:val="105"/>
        </w:rPr>
        <w:t>This category of AKI can be further divided into (1) conditions that injure the glomerular</w:t>
      </w:r>
      <w:r>
        <w:rPr>
          <w:color w:val="231F20"/>
          <w:spacing w:val="20"/>
          <w:w w:val="105"/>
        </w:rPr>
        <w:t> </w:t>
      </w:r>
      <w:r>
        <w:rPr>
          <w:color w:val="231F20"/>
          <w:w w:val="105"/>
        </w:rPr>
        <w:t>capillaries</w:t>
      </w:r>
      <w:r>
        <w:rPr>
          <w:color w:val="231F20"/>
          <w:spacing w:val="21"/>
          <w:w w:val="105"/>
        </w:rPr>
        <w:t> </w:t>
      </w:r>
      <w:r>
        <w:rPr>
          <w:color w:val="231F20"/>
          <w:w w:val="105"/>
        </w:rPr>
        <w:t>or</w:t>
      </w:r>
      <w:r>
        <w:rPr>
          <w:color w:val="231F20"/>
          <w:spacing w:val="20"/>
          <w:w w:val="105"/>
        </w:rPr>
        <w:t> </w:t>
      </w:r>
      <w:r>
        <w:rPr>
          <w:color w:val="231F20"/>
          <w:w w:val="105"/>
        </w:rPr>
        <w:t>other</w:t>
      </w:r>
      <w:r>
        <w:rPr>
          <w:color w:val="231F20"/>
          <w:spacing w:val="21"/>
          <w:w w:val="105"/>
        </w:rPr>
        <w:t> </w:t>
      </w:r>
      <w:r>
        <w:rPr>
          <w:color w:val="231F20"/>
          <w:w w:val="105"/>
        </w:rPr>
        <w:t>small</w:t>
      </w:r>
      <w:r>
        <w:rPr>
          <w:color w:val="231F20"/>
          <w:spacing w:val="21"/>
          <w:w w:val="105"/>
        </w:rPr>
        <w:t> </w:t>
      </w:r>
      <w:r>
        <w:rPr>
          <w:color w:val="231F20"/>
          <w:w w:val="105"/>
        </w:rPr>
        <w:t>renal</w:t>
      </w:r>
      <w:r>
        <w:rPr>
          <w:color w:val="231F20"/>
          <w:spacing w:val="20"/>
          <w:w w:val="105"/>
        </w:rPr>
        <w:t> </w:t>
      </w:r>
      <w:r>
        <w:rPr>
          <w:color w:val="231F20"/>
          <w:w w:val="105"/>
        </w:rPr>
        <w:t>vessels,</w:t>
      </w:r>
    </w:p>
    <w:p>
      <w:pPr>
        <w:pStyle w:val="ListParagraph"/>
        <w:numPr>
          <w:ilvl w:val="0"/>
          <w:numId w:val="26"/>
        </w:numPr>
        <w:tabs>
          <w:tab w:pos="610" w:val="left" w:leader="none"/>
        </w:tabs>
        <w:spacing w:line="249" w:lineRule="auto" w:before="4" w:after="0"/>
        <w:ind w:left="319" w:right="1437" w:firstLine="0"/>
        <w:jc w:val="both"/>
        <w:rPr>
          <w:sz w:val="20"/>
        </w:rPr>
      </w:pPr>
      <w:r>
        <w:rPr>
          <w:color w:val="231F20"/>
          <w:w w:val="105"/>
          <w:sz w:val="20"/>
        </w:rPr>
        <w:t>conditions that damage the renal tubular </w:t>
      </w:r>
      <w:r>
        <w:rPr>
          <w:color w:val="231F20"/>
          <w:spacing w:val="-3"/>
          <w:w w:val="105"/>
          <w:sz w:val="20"/>
        </w:rPr>
        <w:t>epithelium, </w:t>
      </w:r>
      <w:r>
        <w:rPr>
          <w:color w:val="231F20"/>
          <w:w w:val="105"/>
          <w:sz w:val="20"/>
        </w:rPr>
        <w:t>and (3) conditions that cause damage to the renal inter­ stitium. This type of classification refers to the primary site of injury, but because the renal vasculature and tubular system are functionally interdependent, </w:t>
      </w:r>
      <w:r>
        <w:rPr>
          <w:color w:val="231F20"/>
          <w:spacing w:val="-3"/>
          <w:w w:val="105"/>
          <w:sz w:val="20"/>
        </w:rPr>
        <w:t>damage </w:t>
      </w:r>
      <w:r>
        <w:rPr>
          <w:color w:val="231F20"/>
          <w:w w:val="105"/>
          <w:sz w:val="20"/>
        </w:rPr>
        <w:t>to</w:t>
      </w:r>
      <w:r>
        <w:rPr>
          <w:color w:val="231F20"/>
          <w:spacing w:val="-18"/>
          <w:w w:val="105"/>
          <w:sz w:val="20"/>
        </w:rPr>
        <w:t> </w:t>
      </w:r>
      <w:r>
        <w:rPr>
          <w:color w:val="231F20"/>
          <w:w w:val="105"/>
          <w:sz w:val="20"/>
        </w:rPr>
        <w:t>the</w:t>
      </w:r>
      <w:r>
        <w:rPr>
          <w:color w:val="231F20"/>
          <w:spacing w:val="-18"/>
          <w:w w:val="105"/>
          <w:sz w:val="20"/>
        </w:rPr>
        <w:t> </w:t>
      </w:r>
      <w:r>
        <w:rPr>
          <w:color w:val="231F20"/>
          <w:w w:val="105"/>
          <w:sz w:val="20"/>
        </w:rPr>
        <w:t>renal</w:t>
      </w:r>
      <w:r>
        <w:rPr>
          <w:color w:val="231F20"/>
          <w:spacing w:val="-17"/>
          <w:w w:val="105"/>
          <w:sz w:val="20"/>
        </w:rPr>
        <w:t> </w:t>
      </w:r>
      <w:r>
        <w:rPr>
          <w:color w:val="231F20"/>
          <w:w w:val="105"/>
          <w:sz w:val="20"/>
        </w:rPr>
        <w:t>blood</w:t>
      </w:r>
      <w:r>
        <w:rPr>
          <w:color w:val="231F20"/>
          <w:spacing w:val="-18"/>
          <w:w w:val="105"/>
          <w:sz w:val="20"/>
        </w:rPr>
        <w:t> </w:t>
      </w:r>
      <w:r>
        <w:rPr>
          <w:color w:val="231F20"/>
          <w:w w:val="105"/>
          <w:sz w:val="20"/>
        </w:rPr>
        <w:t>vessels</w:t>
      </w:r>
      <w:r>
        <w:rPr>
          <w:color w:val="231F20"/>
          <w:spacing w:val="-17"/>
          <w:w w:val="105"/>
          <w:sz w:val="20"/>
        </w:rPr>
        <w:t> </w:t>
      </w:r>
      <w:r>
        <w:rPr>
          <w:color w:val="231F20"/>
          <w:w w:val="105"/>
          <w:sz w:val="20"/>
        </w:rPr>
        <w:t>can</w:t>
      </w:r>
      <w:r>
        <w:rPr>
          <w:color w:val="231F20"/>
          <w:spacing w:val="-18"/>
          <w:w w:val="105"/>
          <w:sz w:val="20"/>
        </w:rPr>
        <w:t> </w:t>
      </w:r>
      <w:r>
        <w:rPr>
          <w:color w:val="231F20"/>
          <w:w w:val="105"/>
          <w:sz w:val="20"/>
        </w:rPr>
        <w:t>lead</w:t>
      </w:r>
      <w:r>
        <w:rPr>
          <w:color w:val="231F20"/>
          <w:spacing w:val="-18"/>
          <w:w w:val="105"/>
          <w:sz w:val="20"/>
        </w:rPr>
        <w:t> </w:t>
      </w:r>
      <w:r>
        <w:rPr>
          <w:color w:val="231F20"/>
          <w:w w:val="105"/>
          <w:sz w:val="20"/>
        </w:rPr>
        <w:t>to</w:t>
      </w:r>
      <w:r>
        <w:rPr>
          <w:color w:val="231F20"/>
          <w:spacing w:val="-17"/>
          <w:w w:val="105"/>
          <w:sz w:val="20"/>
        </w:rPr>
        <w:t> </w:t>
      </w:r>
      <w:r>
        <w:rPr>
          <w:color w:val="231F20"/>
          <w:w w:val="105"/>
          <w:sz w:val="20"/>
        </w:rPr>
        <w:t>tubular</w:t>
      </w:r>
      <w:r>
        <w:rPr>
          <w:color w:val="231F20"/>
          <w:spacing w:val="-18"/>
          <w:w w:val="105"/>
          <w:sz w:val="20"/>
        </w:rPr>
        <w:t> </w:t>
      </w:r>
      <w:r>
        <w:rPr>
          <w:color w:val="231F20"/>
          <w:w w:val="105"/>
          <w:sz w:val="20"/>
        </w:rPr>
        <w:t>damage,</w:t>
      </w:r>
      <w:r>
        <w:rPr>
          <w:color w:val="231F20"/>
          <w:spacing w:val="-17"/>
          <w:w w:val="105"/>
          <w:sz w:val="20"/>
        </w:rPr>
        <w:t> </w:t>
      </w:r>
      <w:r>
        <w:rPr>
          <w:color w:val="231F20"/>
          <w:w w:val="105"/>
          <w:sz w:val="20"/>
        </w:rPr>
        <w:t>and primary tubular damage can lead to damage of the</w:t>
      </w:r>
      <w:r>
        <w:rPr>
          <w:color w:val="231F20"/>
          <w:spacing w:val="-24"/>
          <w:w w:val="105"/>
          <w:sz w:val="20"/>
        </w:rPr>
        <w:t> </w:t>
      </w:r>
      <w:r>
        <w:rPr>
          <w:color w:val="231F20"/>
          <w:w w:val="105"/>
          <w:sz w:val="20"/>
        </w:rPr>
        <w:t>renal blood vessels. Some causes of intrarenal acute kidney injury are listed in </w:t>
      </w:r>
      <w:hyperlink w:history="true" w:anchor="_bookmark119">
        <w:r>
          <w:rPr>
            <w:b/>
            <w:color w:val="0080AC"/>
            <w:spacing w:val="-4"/>
            <w:w w:val="105"/>
            <w:sz w:val="20"/>
          </w:rPr>
          <w:t>Table</w:t>
        </w:r>
        <w:r>
          <w:rPr>
            <w:b/>
            <w:color w:val="0080AC"/>
            <w:spacing w:val="11"/>
            <w:w w:val="105"/>
            <w:sz w:val="20"/>
          </w:rPr>
          <w:t> </w:t>
        </w:r>
        <w:r>
          <w:rPr>
            <w:b/>
            <w:color w:val="0080AC"/>
            <w:w w:val="105"/>
            <w:sz w:val="20"/>
          </w:rPr>
          <w:t>32-3</w:t>
        </w:r>
      </w:hyperlink>
      <w:r>
        <w:rPr>
          <w:color w:val="231F20"/>
          <w:w w:val="105"/>
          <w:sz w:val="20"/>
        </w:rPr>
        <w:t>.</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1040"/>
          <w:pgSz w:w="12240" w:h="15660"/>
          <w:pgMar w:header="0" w:footer="567" w:top="0" w:bottom="760" w:left="0" w:right="0"/>
        </w:sectPr>
      </w:pPr>
    </w:p>
    <w:p>
      <w:pPr>
        <w:pStyle w:val="BodyText"/>
        <w:spacing w:before="9"/>
        <w:rPr>
          <w:sz w:val="21"/>
        </w:rPr>
      </w:pPr>
      <w:r>
        <w:rPr/>
        <w:pict>
          <v:group style="position:absolute;margin-left:0pt;margin-top:0pt;width:612pt;height:180pt;mso-position-horizontal-relative:page;mso-position-vertical-relative:page;z-index:-27213004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w10:wrap type="none"/>
          </v:group>
        </w:pict>
      </w:r>
    </w:p>
    <w:p>
      <w:pPr>
        <w:pStyle w:val="Heading2"/>
        <w:spacing w:line="225" w:lineRule="auto"/>
        <w:ind w:left="1440" w:right="1672"/>
      </w:pPr>
      <w:r>
        <w:rPr>
          <w:color w:val="231F20"/>
        </w:rPr>
        <w:t>Acute Kidney Injury Caused by Glomerulonephritis</w:t>
      </w:r>
    </w:p>
    <w:p>
      <w:pPr>
        <w:pStyle w:val="BodyText"/>
        <w:spacing w:line="249" w:lineRule="auto" w:before="89"/>
        <w:ind w:left="1440"/>
        <w:jc w:val="both"/>
      </w:pPr>
      <w:r>
        <w:rPr>
          <w:color w:val="231F20"/>
          <w:w w:val="105"/>
        </w:rPr>
        <w:t>Acute glomerulonephritis is a type of </w:t>
      </w:r>
      <w:r>
        <w:rPr>
          <w:i/>
          <w:color w:val="231F20"/>
          <w:w w:val="105"/>
        </w:rPr>
        <w:t>intrarenal </w:t>
      </w:r>
      <w:r>
        <w:rPr>
          <w:color w:val="231F20"/>
          <w:spacing w:val="-4"/>
          <w:w w:val="105"/>
        </w:rPr>
        <w:t>AKI </w:t>
      </w:r>
      <w:r>
        <w:rPr>
          <w:color w:val="231F20"/>
          <w:w w:val="105"/>
        </w:rPr>
        <w:t>usually caused by an abnormal immune reaction </w:t>
      </w:r>
      <w:r>
        <w:rPr>
          <w:color w:val="231F20"/>
          <w:spacing w:val="-4"/>
          <w:w w:val="105"/>
        </w:rPr>
        <w:t>that </w:t>
      </w:r>
      <w:r>
        <w:rPr>
          <w:color w:val="231F20"/>
          <w:w w:val="105"/>
        </w:rPr>
        <w:t>damages</w:t>
      </w:r>
      <w:r>
        <w:rPr>
          <w:color w:val="231F20"/>
          <w:spacing w:val="-24"/>
          <w:w w:val="105"/>
        </w:rPr>
        <w:t> </w:t>
      </w:r>
      <w:r>
        <w:rPr>
          <w:color w:val="231F20"/>
          <w:w w:val="105"/>
        </w:rPr>
        <w:t>the</w:t>
      </w:r>
      <w:r>
        <w:rPr>
          <w:color w:val="231F20"/>
          <w:spacing w:val="-24"/>
          <w:w w:val="105"/>
        </w:rPr>
        <w:t> </w:t>
      </w:r>
      <w:r>
        <w:rPr>
          <w:color w:val="231F20"/>
          <w:w w:val="105"/>
        </w:rPr>
        <w:t>glomeruli.</w:t>
      </w:r>
      <w:r>
        <w:rPr>
          <w:color w:val="231F20"/>
          <w:spacing w:val="-24"/>
          <w:w w:val="105"/>
        </w:rPr>
        <w:t> </w:t>
      </w:r>
      <w:r>
        <w:rPr>
          <w:color w:val="231F20"/>
          <w:w w:val="105"/>
        </w:rPr>
        <w:t>In</w:t>
      </w:r>
      <w:r>
        <w:rPr>
          <w:color w:val="231F20"/>
          <w:spacing w:val="-24"/>
          <w:w w:val="105"/>
        </w:rPr>
        <w:t> </w:t>
      </w:r>
      <w:r>
        <w:rPr>
          <w:color w:val="231F20"/>
          <w:w w:val="105"/>
        </w:rPr>
        <w:t>about</w:t>
      </w:r>
      <w:r>
        <w:rPr>
          <w:color w:val="231F20"/>
          <w:spacing w:val="-24"/>
          <w:w w:val="105"/>
        </w:rPr>
        <w:t> </w:t>
      </w:r>
      <w:r>
        <w:rPr>
          <w:color w:val="231F20"/>
          <w:w w:val="105"/>
        </w:rPr>
        <w:t>95</w:t>
      </w:r>
      <w:r>
        <w:rPr>
          <w:color w:val="231F20"/>
          <w:spacing w:val="-24"/>
          <w:w w:val="105"/>
        </w:rPr>
        <w:t> </w:t>
      </w:r>
      <w:r>
        <w:rPr>
          <w:color w:val="231F20"/>
          <w:w w:val="105"/>
        </w:rPr>
        <w:t>percent</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patients with this disease, damage to the glomeruli occurs 1 to 3 weeks after an infection elsewhere in the body, usually caused by certain types of group A beta streptococci. The</w:t>
      </w:r>
      <w:r>
        <w:rPr>
          <w:color w:val="231F20"/>
          <w:spacing w:val="-9"/>
          <w:w w:val="105"/>
        </w:rPr>
        <w:t> </w:t>
      </w:r>
      <w:r>
        <w:rPr>
          <w:color w:val="231F20"/>
          <w:w w:val="105"/>
        </w:rPr>
        <w:t>infection</w:t>
      </w:r>
      <w:r>
        <w:rPr>
          <w:color w:val="231F20"/>
          <w:spacing w:val="-9"/>
          <w:w w:val="105"/>
        </w:rPr>
        <w:t> </w:t>
      </w:r>
      <w:r>
        <w:rPr>
          <w:color w:val="231F20"/>
          <w:w w:val="105"/>
        </w:rPr>
        <w:t>may</w:t>
      </w:r>
      <w:r>
        <w:rPr>
          <w:color w:val="231F20"/>
          <w:spacing w:val="-8"/>
          <w:w w:val="105"/>
        </w:rPr>
        <w:t> </w:t>
      </w:r>
      <w:r>
        <w:rPr>
          <w:color w:val="231F20"/>
          <w:w w:val="105"/>
        </w:rPr>
        <w:t>have</w:t>
      </w:r>
      <w:r>
        <w:rPr>
          <w:color w:val="231F20"/>
          <w:spacing w:val="-9"/>
          <w:w w:val="105"/>
        </w:rPr>
        <w:t> </w:t>
      </w:r>
      <w:r>
        <w:rPr>
          <w:color w:val="231F20"/>
          <w:w w:val="105"/>
        </w:rPr>
        <w:t>been</w:t>
      </w:r>
      <w:r>
        <w:rPr>
          <w:color w:val="231F20"/>
          <w:spacing w:val="-8"/>
          <w:w w:val="105"/>
        </w:rPr>
        <w:t> </w:t>
      </w:r>
      <w:r>
        <w:rPr>
          <w:color w:val="231F20"/>
          <w:w w:val="105"/>
        </w:rPr>
        <w:t>a</w:t>
      </w:r>
      <w:r>
        <w:rPr>
          <w:color w:val="231F20"/>
          <w:spacing w:val="-9"/>
          <w:w w:val="105"/>
        </w:rPr>
        <w:t> </w:t>
      </w:r>
      <w:r>
        <w:rPr>
          <w:color w:val="231F20"/>
          <w:w w:val="105"/>
        </w:rPr>
        <w:t>streptococcal</w:t>
      </w:r>
      <w:r>
        <w:rPr>
          <w:color w:val="231F20"/>
          <w:spacing w:val="-8"/>
          <w:w w:val="105"/>
        </w:rPr>
        <w:t> </w:t>
      </w:r>
      <w:r>
        <w:rPr>
          <w:color w:val="231F20"/>
          <w:w w:val="105"/>
        </w:rPr>
        <w:t>sore</w:t>
      </w:r>
      <w:r>
        <w:rPr>
          <w:color w:val="231F20"/>
          <w:spacing w:val="-9"/>
          <w:w w:val="105"/>
        </w:rPr>
        <w:t> </w:t>
      </w:r>
      <w:r>
        <w:rPr>
          <w:color w:val="231F20"/>
          <w:w w:val="105"/>
        </w:rPr>
        <w:t>throat, streptococcal tonsillitis, or even streptococcal infection of the skin. </w:t>
      </w:r>
      <w:r>
        <w:rPr>
          <w:color w:val="231F20"/>
          <w:spacing w:val="-3"/>
          <w:w w:val="105"/>
        </w:rPr>
        <w:t>It </w:t>
      </w:r>
      <w:r>
        <w:rPr>
          <w:color w:val="231F20"/>
          <w:w w:val="105"/>
        </w:rPr>
        <w:t>is not the infection itself that damages  the kidneys. Instead, over a few weeks, as antibodies develop</w:t>
      </w:r>
      <w:r>
        <w:rPr>
          <w:color w:val="231F20"/>
          <w:spacing w:val="-10"/>
          <w:w w:val="105"/>
        </w:rPr>
        <w:t> </w:t>
      </w:r>
      <w:r>
        <w:rPr>
          <w:color w:val="231F20"/>
          <w:w w:val="105"/>
        </w:rPr>
        <w:t>against</w:t>
      </w:r>
      <w:r>
        <w:rPr>
          <w:color w:val="231F20"/>
          <w:spacing w:val="-9"/>
          <w:w w:val="105"/>
        </w:rPr>
        <w:t> </w:t>
      </w:r>
      <w:r>
        <w:rPr>
          <w:color w:val="231F20"/>
          <w:w w:val="105"/>
        </w:rPr>
        <w:t>the</w:t>
      </w:r>
      <w:r>
        <w:rPr>
          <w:color w:val="231F20"/>
          <w:spacing w:val="-10"/>
          <w:w w:val="105"/>
        </w:rPr>
        <w:t> </w:t>
      </w:r>
      <w:r>
        <w:rPr>
          <w:color w:val="231F20"/>
          <w:w w:val="105"/>
        </w:rPr>
        <w:t>streptococcal</w:t>
      </w:r>
      <w:r>
        <w:rPr>
          <w:color w:val="231F20"/>
          <w:spacing w:val="-9"/>
          <w:w w:val="105"/>
        </w:rPr>
        <w:t> </w:t>
      </w:r>
      <w:r>
        <w:rPr>
          <w:color w:val="231F20"/>
          <w:w w:val="105"/>
        </w:rPr>
        <w:t>antigen,</w:t>
      </w:r>
      <w:r>
        <w:rPr>
          <w:color w:val="231F20"/>
          <w:spacing w:val="-10"/>
          <w:w w:val="105"/>
        </w:rPr>
        <w:t> </w:t>
      </w:r>
      <w:r>
        <w:rPr>
          <w:color w:val="231F20"/>
          <w:w w:val="105"/>
        </w:rPr>
        <w:t>the</w:t>
      </w:r>
      <w:r>
        <w:rPr>
          <w:color w:val="231F20"/>
          <w:spacing w:val="-9"/>
          <w:w w:val="105"/>
        </w:rPr>
        <w:t> </w:t>
      </w:r>
      <w:r>
        <w:rPr>
          <w:color w:val="231F20"/>
          <w:w w:val="105"/>
        </w:rPr>
        <w:t>antibodies and antigen react with each other to form an insoluble immune complex that becomes entrapped in the glo­ meruli, especially in the basement membrane portion </w:t>
      </w:r>
      <w:r>
        <w:rPr>
          <w:color w:val="231F20"/>
          <w:spacing w:val="-7"/>
          <w:w w:val="105"/>
        </w:rPr>
        <w:t>of </w:t>
      </w:r>
      <w:r>
        <w:rPr>
          <w:color w:val="231F20"/>
          <w:w w:val="105"/>
        </w:rPr>
        <w:t>the</w:t>
      </w:r>
      <w:r>
        <w:rPr>
          <w:color w:val="231F20"/>
          <w:spacing w:val="3"/>
          <w:w w:val="105"/>
        </w:rPr>
        <w:t> </w:t>
      </w:r>
      <w:r>
        <w:rPr>
          <w:color w:val="231F20"/>
          <w:w w:val="105"/>
        </w:rPr>
        <w:t>glomeruli.</w:t>
      </w:r>
    </w:p>
    <w:p>
      <w:pPr>
        <w:pStyle w:val="BodyText"/>
        <w:spacing w:line="249" w:lineRule="auto" w:before="12"/>
        <w:ind w:left="1440" w:firstLine="240"/>
        <w:jc w:val="both"/>
      </w:pPr>
      <w:r>
        <w:rPr>
          <w:color w:val="231F20"/>
          <w:w w:val="105"/>
        </w:rPr>
        <w:t>Once the immune complex has deposited in the glo­ meruli,</w:t>
      </w:r>
      <w:r>
        <w:rPr>
          <w:color w:val="231F20"/>
          <w:spacing w:val="-16"/>
          <w:w w:val="105"/>
        </w:rPr>
        <w:t> </w:t>
      </w:r>
      <w:r>
        <w:rPr>
          <w:color w:val="231F20"/>
          <w:w w:val="105"/>
        </w:rPr>
        <w:t>many</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cells</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glomeruli</w:t>
      </w:r>
      <w:r>
        <w:rPr>
          <w:color w:val="231F20"/>
          <w:spacing w:val="-15"/>
          <w:w w:val="105"/>
        </w:rPr>
        <w:t> </w:t>
      </w:r>
      <w:r>
        <w:rPr>
          <w:color w:val="231F20"/>
          <w:w w:val="105"/>
        </w:rPr>
        <w:t>begin</w:t>
      </w:r>
      <w:r>
        <w:rPr>
          <w:color w:val="231F20"/>
          <w:spacing w:val="-15"/>
          <w:w w:val="105"/>
        </w:rPr>
        <w:t> </w:t>
      </w:r>
      <w:r>
        <w:rPr>
          <w:color w:val="231F20"/>
          <w:w w:val="105"/>
        </w:rPr>
        <w:t>to</w:t>
      </w:r>
      <w:r>
        <w:rPr>
          <w:color w:val="231F20"/>
          <w:spacing w:val="-15"/>
          <w:w w:val="105"/>
        </w:rPr>
        <w:t> </w:t>
      </w:r>
      <w:r>
        <w:rPr>
          <w:color w:val="231F20"/>
          <w:w w:val="105"/>
        </w:rPr>
        <w:t>prolif­ erate, but mainly the mesangial cells that lie between the endothelium and the epithelium. In addition, </w:t>
      </w:r>
      <w:r>
        <w:rPr>
          <w:color w:val="231F20"/>
          <w:spacing w:val="-4"/>
          <w:w w:val="105"/>
        </w:rPr>
        <w:t>large </w:t>
      </w:r>
      <w:r>
        <w:rPr>
          <w:color w:val="231F20"/>
          <w:w w:val="105"/>
        </w:rPr>
        <w:t>numbers of white blood cells become entrapped in </w:t>
      </w:r>
      <w:r>
        <w:rPr>
          <w:color w:val="231F20"/>
          <w:spacing w:val="-5"/>
          <w:w w:val="105"/>
        </w:rPr>
        <w:t>the </w:t>
      </w:r>
      <w:r>
        <w:rPr>
          <w:color w:val="231F20"/>
          <w:w w:val="105"/>
        </w:rPr>
        <w:t>glomeruli.</w:t>
      </w:r>
      <w:r>
        <w:rPr>
          <w:color w:val="231F20"/>
          <w:spacing w:val="-23"/>
          <w:w w:val="105"/>
        </w:rPr>
        <w:t> </w:t>
      </w:r>
      <w:r>
        <w:rPr>
          <w:color w:val="231F20"/>
          <w:w w:val="105"/>
        </w:rPr>
        <w:t>Many</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glomeruli</w:t>
      </w:r>
      <w:r>
        <w:rPr>
          <w:color w:val="231F20"/>
          <w:spacing w:val="-23"/>
          <w:w w:val="105"/>
        </w:rPr>
        <w:t> </w:t>
      </w:r>
      <w:r>
        <w:rPr>
          <w:color w:val="231F20"/>
          <w:w w:val="105"/>
        </w:rPr>
        <w:t>become</w:t>
      </w:r>
      <w:r>
        <w:rPr>
          <w:color w:val="231F20"/>
          <w:spacing w:val="-23"/>
          <w:w w:val="105"/>
        </w:rPr>
        <w:t> </w:t>
      </w:r>
      <w:r>
        <w:rPr>
          <w:color w:val="231F20"/>
          <w:w w:val="105"/>
        </w:rPr>
        <w:t>blocked</w:t>
      </w:r>
      <w:r>
        <w:rPr>
          <w:color w:val="231F20"/>
          <w:spacing w:val="-23"/>
          <w:w w:val="105"/>
        </w:rPr>
        <w:t> </w:t>
      </w:r>
      <w:r>
        <w:rPr>
          <w:color w:val="231F20"/>
          <w:w w:val="105"/>
        </w:rPr>
        <w:t>by</w:t>
      </w:r>
      <w:r>
        <w:rPr>
          <w:color w:val="231F20"/>
          <w:spacing w:val="-23"/>
          <w:w w:val="105"/>
        </w:rPr>
        <w:t> </w:t>
      </w:r>
      <w:r>
        <w:rPr>
          <w:color w:val="231F20"/>
          <w:w w:val="105"/>
        </w:rPr>
        <w:t>this inflammatory reaction, and those that are not blocked usually become excessively permeable, allowing both protein and red blood cells to leak from the blood </w:t>
      </w:r>
      <w:r>
        <w:rPr>
          <w:color w:val="231F20"/>
          <w:spacing w:val="-6"/>
          <w:w w:val="105"/>
        </w:rPr>
        <w:t>of  </w:t>
      </w:r>
      <w:r>
        <w:rPr>
          <w:color w:val="231F20"/>
          <w:w w:val="105"/>
        </w:rPr>
        <w:t>the glomerular capillaries into the glomerular filtrate.</w:t>
      </w:r>
      <w:r>
        <w:rPr>
          <w:color w:val="231F20"/>
          <w:spacing w:val="-19"/>
          <w:w w:val="105"/>
        </w:rPr>
        <w:t> </w:t>
      </w:r>
      <w:r>
        <w:rPr>
          <w:color w:val="231F20"/>
          <w:spacing w:val="-8"/>
          <w:w w:val="105"/>
        </w:rPr>
        <w:t>In </w:t>
      </w:r>
      <w:r>
        <w:rPr>
          <w:color w:val="231F20"/>
          <w:w w:val="105"/>
        </w:rPr>
        <w:t>severe cases, either total or almost complete renal </w:t>
      </w:r>
      <w:r>
        <w:rPr>
          <w:color w:val="231F20"/>
          <w:spacing w:val="-5"/>
          <w:w w:val="105"/>
        </w:rPr>
        <w:t>shut­ </w:t>
      </w:r>
      <w:r>
        <w:rPr>
          <w:color w:val="231F20"/>
          <w:w w:val="105"/>
        </w:rPr>
        <w:t>down</w:t>
      </w:r>
      <w:r>
        <w:rPr>
          <w:color w:val="231F20"/>
          <w:spacing w:val="3"/>
          <w:w w:val="105"/>
        </w:rPr>
        <w:t> </w:t>
      </w:r>
      <w:r>
        <w:rPr>
          <w:color w:val="231F20"/>
          <w:w w:val="105"/>
        </w:rPr>
        <w:t>occurs.</w:t>
      </w:r>
    </w:p>
    <w:p>
      <w:pPr>
        <w:pStyle w:val="BodyText"/>
        <w:spacing w:line="249" w:lineRule="auto" w:before="10"/>
        <w:ind w:left="1440" w:firstLine="240"/>
        <w:jc w:val="both"/>
      </w:pPr>
      <w:r>
        <w:rPr>
          <w:color w:val="231F20"/>
          <w:w w:val="105"/>
        </w:rPr>
        <w:t>The</w:t>
      </w:r>
      <w:r>
        <w:rPr>
          <w:color w:val="231F20"/>
          <w:spacing w:val="-7"/>
          <w:w w:val="105"/>
        </w:rPr>
        <w:t> </w:t>
      </w:r>
      <w:r>
        <w:rPr>
          <w:color w:val="231F20"/>
          <w:w w:val="105"/>
        </w:rPr>
        <w:t>acute</w:t>
      </w:r>
      <w:r>
        <w:rPr>
          <w:color w:val="231F20"/>
          <w:spacing w:val="-6"/>
          <w:w w:val="105"/>
        </w:rPr>
        <w:t> </w:t>
      </w:r>
      <w:r>
        <w:rPr>
          <w:color w:val="231F20"/>
          <w:w w:val="105"/>
        </w:rPr>
        <w:t>inflammation</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glomeruli</w:t>
      </w:r>
      <w:r>
        <w:rPr>
          <w:color w:val="231F20"/>
          <w:spacing w:val="-6"/>
          <w:w w:val="105"/>
        </w:rPr>
        <w:t> </w:t>
      </w:r>
      <w:r>
        <w:rPr>
          <w:color w:val="231F20"/>
          <w:w w:val="105"/>
        </w:rPr>
        <w:t>usually</w:t>
      </w:r>
      <w:r>
        <w:rPr>
          <w:color w:val="231F20"/>
          <w:spacing w:val="-6"/>
          <w:w w:val="105"/>
        </w:rPr>
        <w:t> </w:t>
      </w:r>
      <w:r>
        <w:rPr>
          <w:color w:val="231F20"/>
          <w:spacing w:val="-4"/>
          <w:w w:val="105"/>
        </w:rPr>
        <w:t>sub­ </w:t>
      </w:r>
      <w:r>
        <w:rPr>
          <w:color w:val="231F20"/>
          <w:w w:val="105"/>
        </w:rPr>
        <w:t>sides</w:t>
      </w:r>
      <w:r>
        <w:rPr>
          <w:color w:val="231F20"/>
          <w:spacing w:val="-9"/>
          <w:w w:val="105"/>
        </w:rPr>
        <w:t> </w:t>
      </w:r>
      <w:r>
        <w:rPr>
          <w:color w:val="231F20"/>
          <w:w w:val="105"/>
        </w:rPr>
        <w:t>in</w:t>
      </w:r>
      <w:r>
        <w:rPr>
          <w:color w:val="231F20"/>
          <w:spacing w:val="-8"/>
          <w:w w:val="105"/>
        </w:rPr>
        <w:t> </w:t>
      </w:r>
      <w:r>
        <w:rPr>
          <w:color w:val="231F20"/>
          <w:w w:val="105"/>
        </w:rPr>
        <w:t>about</w:t>
      </w:r>
      <w:r>
        <w:rPr>
          <w:color w:val="231F20"/>
          <w:spacing w:val="-8"/>
          <w:w w:val="105"/>
        </w:rPr>
        <w:t> </w:t>
      </w:r>
      <w:r>
        <w:rPr>
          <w:color w:val="231F20"/>
          <w:w w:val="105"/>
        </w:rPr>
        <w:t>2</w:t>
      </w:r>
      <w:r>
        <w:rPr>
          <w:color w:val="231F20"/>
          <w:spacing w:val="-9"/>
          <w:w w:val="105"/>
        </w:rPr>
        <w:t> </w:t>
      </w:r>
      <w:r>
        <w:rPr>
          <w:color w:val="231F20"/>
          <w:w w:val="105"/>
        </w:rPr>
        <w:t>weeks</w:t>
      </w:r>
      <w:r>
        <w:rPr>
          <w:color w:val="231F20"/>
          <w:spacing w:val="-8"/>
          <w:w w:val="105"/>
        </w:rPr>
        <w:t> </w:t>
      </w:r>
      <w:r>
        <w:rPr>
          <w:color w:val="231F20"/>
          <w:w w:val="105"/>
        </w:rPr>
        <w:t>and,</w:t>
      </w:r>
      <w:r>
        <w:rPr>
          <w:color w:val="231F20"/>
          <w:spacing w:val="-8"/>
          <w:w w:val="105"/>
        </w:rPr>
        <w:t> </w:t>
      </w:r>
      <w:r>
        <w:rPr>
          <w:color w:val="231F20"/>
          <w:w w:val="105"/>
        </w:rPr>
        <w:t>in</w:t>
      </w:r>
      <w:r>
        <w:rPr>
          <w:color w:val="231F20"/>
          <w:spacing w:val="-9"/>
          <w:w w:val="105"/>
        </w:rPr>
        <w:t> </w:t>
      </w:r>
      <w:r>
        <w:rPr>
          <w:color w:val="231F20"/>
          <w:w w:val="105"/>
        </w:rPr>
        <w:t>most</w:t>
      </w:r>
      <w:r>
        <w:rPr>
          <w:color w:val="231F20"/>
          <w:spacing w:val="-8"/>
          <w:w w:val="105"/>
        </w:rPr>
        <w:t> </w:t>
      </w:r>
      <w:r>
        <w:rPr>
          <w:color w:val="231F20"/>
          <w:w w:val="105"/>
        </w:rPr>
        <w:t>patients,</w:t>
      </w:r>
      <w:r>
        <w:rPr>
          <w:color w:val="231F20"/>
          <w:spacing w:val="-8"/>
          <w:w w:val="105"/>
        </w:rPr>
        <w:t> </w:t>
      </w:r>
      <w:r>
        <w:rPr>
          <w:color w:val="231F20"/>
          <w:w w:val="105"/>
        </w:rPr>
        <w:t>the</w:t>
      </w:r>
      <w:r>
        <w:rPr>
          <w:color w:val="231F20"/>
          <w:spacing w:val="-9"/>
          <w:w w:val="105"/>
        </w:rPr>
        <w:t> </w:t>
      </w:r>
      <w:r>
        <w:rPr>
          <w:color w:val="231F20"/>
          <w:w w:val="105"/>
        </w:rPr>
        <w:t>kidneys return to almost normal function within the next few weeks</w:t>
      </w:r>
      <w:r>
        <w:rPr>
          <w:color w:val="231F20"/>
          <w:spacing w:val="-9"/>
          <w:w w:val="105"/>
        </w:rPr>
        <w:t> </w:t>
      </w:r>
      <w:r>
        <w:rPr>
          <w:color w:val="231F20"/>
          <w:w w:val="105"/>
        </w:rPr>
        <w:t>to</w:t>
      </w:r>
      <w:r>
        <w:rPr>
          <w:color w:val="231F20"/>
          <w:spacing w:val="-9"/>
          <w:w w:val="105"/>
        </w:rPr>
        <w:t> </w:t>
      </w:r>
      <w:r>
        <w:rPr>
          <w:color w:val="231F20"/>
          <w:w w:val="105"/>
        </w:rPr>
        <w:t>few</w:t>
      </w:r>
      <w:r>
        <w:rPr>
          <w:color w:val="231F20"/>
          <w:spacing w:val="-8"/>
          <w:w w:val="105"/>
        </w:rPr>
        <w:t> </w:t>
      </w:r>
      <w:r>
        <w:rPr>
          <w:color w:val="231F20"/>
          <w:w w:val="105"/>
        </w:rPr>
        <w:t>months.</w:t>
      </w:r>
      <w:r>
        <w:rPr>
          <w:color w:val="231F20"/>
          <w:spacing w:val="-9"/>
          <w:w w:val="105"/>
        </w:rPr>
        <w:t> </w:t>
      </w:r>
      <w:r>
        <w:rPr>
          <w:color w:val="231F20"/>
          <w:w w:val="105"/>
        </w:rPr>
        <w:t>Sometimes,</w:t>
      </w:r>
      <w:r>
        <w:rPr>
          <w:color w:val="231F20"/>
          <w:spacing w:val="-9"/>
          <w:w w:val="105"/>
        </w:rPr>
        <w:t> </w:t>
      </w:r>
      <w:r>
        <w:rPr>
          <w:color w:val="231F20"/>
          <w:w w:val="105"/>
        </w:rPr>
        <w:t>however,</w:t>
      </w:r>
      <w:r>
        <w:rPr>
          <w:color w:val="231F20"/>
          <w:spacing w:val="-8"/>
          <w:w w:val="105"/>
        </w:rPr>
        <w:t> </w:t>
      </w:r>
      <w:r>
        <w:rPr>
          <w:color w:val="231F20"/>
          <w:w w:val="105"/>
        </w:rPr>
        <w:t>many</w:t>
      </w:r>
      <w:r>
        <w:rPr>
          <w:color w:val="231F20"/>
          <w:spacing w:val="-9"/>
          <w:w w:val="105"/>
        </w:rPr>
        <w:t> </w:t>
      </w:r>
      <w:r>
        <w:rPr>
          <w:color w:val="231F20"/>
          <w:w w:val="105"/>
        </w:rPr>
        <w:t>of</w:t>
      </w:r>
      <w:r>
        <w:rPr>
          <w:color w:val="231F20"/>
          <w:spacing w:val="-8"/>
          <w:w w:val="105"/>
        </w:rPr>
        <w:t> </w:t>
      </w:r>
      <w:r>
        <w:rPr>
          <w:color w:val="231F20"/>
          <w:spacing w:val="-6"/>
          <w:w w:val="105"/>
        </w:rPr>
        <w:t>the </w:t>
      </w:r>
      <w:r>
        <w:rPr>
          <w:color w:val="231F20"/>
          <w:w w:val="105"/>
        </w:rPr>
        <w:t>glomeruli are destroyed beyond </w:t>
      </w:r>
      <w:r>
        <w:rPr>
          <w:color w:val="231F20"/>
          <w:spacing w:val="-3"/>
          <w:w w:val="105"/>
        </w:rPr>
        <w:t>repair, </w:t>
      </w:r>
      <w:r>
        <w:rPr>
          <w:color w:val="231F20"/>
          <w:w w:val="105"/>
        </w:rPr>
        <w:t>and in a </w:t>
      </w:r>
      <w:r>
        <w:rPr>
          <w:color w:val="231F20"/>
          <w:spacing w:val="-3"/>
          <w:w w:val="105"/>
        </w:rPr>
        <w:t>small </w:t>
      </w:r>
      <w:r>
        <w:rPr>
          <w:color w:val="231F20"/>
          <w:w w:val="105"/>
        </w:rPr>
        <w:t>percentage of patients, progressive renal deterioration continues indefinitely, leading to CKD as described in</w:t>
      </w:r>
      <w:r>
        <w:rPr>
          <w:color w:val="231F20"/>
          <w:spacing w:val="-29"/>
          <w:w w:val="105"/>
        </w:rPr>
        <w:t> </w:t>
      </w:r>
      <w:r>
        <w:rPr>
          <w:color w:val="231F20"/>
          <w:spacing w:val="-12"/>
          <w:w w:val="105"/>
        </w:rPr>
        <w:t>a </w:t>
      </w:r>
      <w:r>
        <w:rPr>
          <w:color w:val="231F20"/>
          <w:w w:val="105"/>
        </w:rPr>
        <w:t>subsequent section of this</w:t>
      </w:r>
      <w:r>
        <w:rPr>
          <w:color w:val="231F20"/>
          <w:spacing w:val="10"/>
          <w:w w:val="105"/>
        </w:rPr>
        <w:t> </w:t>
      </w:r>
      <w:r>
        <w:rPr>
          <w:color w:val="231F20"/>
          <w:spacing w:val="-3"/>
          <w:w w:val="105"/>
        </w:rPr>
        <w:t>chapter.</w:t>
      </w:r>
    </w:p>
    <w:p>
      <w:pPr>
        <w:pStyle w:val="Heading2"/>
        <w:spacing w:line="225" w:lineRule="auto" w:before="159"/>
        <w:ind w:left="1440" w:right="455"/>
      </w:pPr>
      <w:r>
        <w:rPr>
          <w:color w:val="231F20"/>
        </w:rPr>
        <w:t>Tubular Necrosis as a Cause of Acute Kidney Injury</w:t>
      </w:r>
    </w:p>
    <w:p>
      <w:pPr>
        <w:pStyle w:val="BodyText"/>
        <w:spacing w:line="249" w:lineRule="auto" w:before="87"/>
        <w:ind w:left="1440"/>
        <w:jc w:val="both"/>
      </w:pPr>
      <w:r>
        <w:rPr>
          <w:color w:val="231F20"/>
          <w:w w:val="105"/>
        </w:rPr>
        <w:t>Another</w:t>
      </w:r>
      <w:r>
        <w:rPr>
          <w:color w:val="231F20"/>
          <w:spacing w:val="-7"/>
          <w:w w:val="105"/>
        </w:rPr>
        <w:t> </w:t>
      </w:r>
      <w:r>
        <w:rPr>
          <w:color w:val="231F20"/>
          <w:w w:val="105"/>
        </w:rPr>
        <w:t>cause</w:t>
      </w:r>
      <w:r>
        <w:rPr>
          <w:color w:val="231F20"/>
          <w:spacing w:val="-6"/>
          <w:w w:val="105"/>
        </w:rPr>
        <w:t> </w:t>
      </w:r>
      <w:r>
        <w:rPr>
          <w:color w:val="231F20"/>
          <w:w w:val="105"/>
        </w:rPr>
        <w:t>of</w:t>
      </w:r>
      <w:r>
        <w:rPr>
          <w:color w:val="231F20"/>
          <w:spacing w:val="-6"/>
          <w:w w:val="105"/>
        </w:rPr>
        <w:t> </w:t>
      </w:r>
      <w:r>
        <w:rPr>
          <w:color w:val="231F20"/>
          <w:w w:val="105"/>
        </w:rPr>
        <w:t>intrarenal</w:t>
      </w:r>
      <w:r>
        <w:rPr>
          <w:color w:val="231F20"/>
          <w:spacing w:val="-7"/>
          <w:w w:val="105"/>
        </w:rPr>
        <w:t> </w:t>
      </w:r>
      <w:r>
        <w:rPr>
          <w:color w:val="231F20"/>
          <w:w w:val="105"/>
        </w:rPr>
        <w:t>acute</w:t>
      </w:r>
      <w:r>
        <w:rPr>
          <w:color w:val="231F20"/>
          <w:spacing w:val="-6"/>
          <w:w w:val="105"/>
        </w:rPr>
        <w:t> </w:t>
      </w:r>
      <w:r>
        <w:rPr>
          <w:color w:val="231F20"/>
          <w:w w:val="105"/>
        </w:rPr>
        <w:t>renal</w:t>
      </w:r>
      <w:r>
        <w:rPr>
          <w:color w:val="231F20"/>
          <w:spacing w:val="-6"/>
          <w:w w:val="105"/>
        </w:rPr>
        <w:t> </w:t>
      </w:r>
      <w:r>
        <w:rPr>
          <w:color w:val="231F20"/>
          <w:w w:val="105"/>
        </w:rPr>
        <w:t>failure</w:t>
      </w:r>
      <w:r>
        <w:rPr>
          <w:color w:val="231F20"/>
          <w:spacing w:val="-7"/>
          <w:w w:val="105"/>
        </w:rPr>
        <w:t> </w:t>
      </w:r>
      <w:r>
        <w:rPr>
          <w:color w:val="231F20"/>
          <w:w w:val="105"/>
        </w:rPr>
        <w:t>is</w:t>
      </w:r>
      <w:r>
        <w:rPr>
          <w:color w:val="231F20"/>
          <w:spacing w:val="-6"/>
          <w:w w:val="105"/>
        </w:rPr>
        <w:t> </w:t>
      </w:r>
      <w:r>
        <w:rPr>
          <w:i/>
          <w:color w:val="231F20"/>
          <w:w w:val="105"/>
        </w:rPr>
        <w:t>tubular </w:t>
      </w:r>
      <w:r>
        <w:rPr>
          <w:i/>
          <w:color w:val="231F20"/>
          <w:w w:val="105"/>
        </w:rPr>
        <w:t>necrosis, </w:t>
      </w:r>
      <w:r>
        <w:rPr>
          <w:color w:val="231F20"/>
          <w:w w:val="105"/>
        </w:rPr>
        <w:t>which means destruction of epithelial cells in the tubules. Some common causes of tubular necrosis are</w:t>
      </w:r>
      <w:r>
        <w:rPr>
          <w:color w:val="231F20"/>
          <w:spacing w:val="-11"/>
          <w:w w:val="105"/>
        </w:rPr>
        <w:t> </w:t>
      </w:r>
      <w:r>
        <w:rPr>
          <w:color w:val="231F20"/>
          <w:w w:val="105"/>
        </w:rPr>
        <w:t>(1)</w:t>
      </w:r>
      <w:r>
        <w:rPr>
          <w:color w:val="231F20"/>
          <w:spacing w:val="-11"/>
          <w:w w:val="105"/>
        </w:rPr>
        <w:t> </w:t>
      </w:r>
      <w:r>
        <w:rPr>
          <w:color w:val="231F20"/>
          <w:w w:val="105"/>
        </w:rPr>
        <w:t>severe</w:t>
      </w:r>
      <w:r>
        <w:rPr>
          <w:color w:val="231F20"/>
          <w:spacing w:val="-10"/>
          <w:w w:val="105"/>
        </w:rPr>
        <w:t> </w:t>
      </w:r>
      <w:r>
        <w:rPr>
          <w:color w:val="231F20"/>
          <w:w w:val="105"/>
        </w:rPr>
        <w:t>ischemia</w:t>
      </w:r>
      <w:r>
        <w:rPr>
          <w:color w:val="231F20"/>
          <w:spacing w:val="-11"/>
          <w:w w:val="105"/>
        </w:rPr>
        <w:t> </w:t>
      </w:r>
      <w:r>
        <w:rPr>
          <w:color w:val="231F20"/>
          <w:w w:val="105"/>
        </w:rPr>
        <w:t>and</w:t>
      </w:r>
      <w:r>
        <w:rPr>
          <w:color w:val="231F20"/>
          <w:spacing w:val="-11"/>
          <w:w w:val="105"/>
        </w:rPr>
        <w:t> </w:t>
      </w:r>
      <w:r>
        <w:rPr>
          <w:color w:val="231F20"/>
          <w:w w:val="105"/>
        </w:rPr>
        <w:t>inadequate</w:t>
      </w:r>
      <w:r>
        <w:rPr>
          <w:color w:val="231F20"/>
          <w:spacing w:val="-10"/>
          <w:w w:val="105"/>
        </w:rPr>
        <w:t> </w:t>
      </w:r>
      <w:r>
        <w:rPr>
          <w:color w:val="231F20"/>
          <w:w w:val="105"/>
        </w:rPr>
        <w:t>supply</w:t>
      </w:r>
      <w:r>
        <w:rPr>
          <w:color w:val="231F20"/>
          <w:spacing w:val="-11"/>
          <w:w w:val="105"/>
        </w:rPr>
        <w:t> </w:t>
      </w:r>
      <w:r>
        <w:rPr>
          <w:color w:val="231F20"/>
          <w:w w:val="105"/>
        </w:rPr>
        <w:t>of</w:t>
      </w:r>
      <w:r>
        <w:rPr>
          <w:color w:val="231F20"/>
          <w:spacing w:val="-10"/>
          <w:w w:val="105"/>
        </w:rPr>
        <w:t> </w:t>
      </w:r>
      <w:r>
        <w:rPr>
          <w:color w:val="231F20"/>
          <w:spacing w:val="-3"/>
          <w:w w:val="105"/>
        </w:rPr>
        <w:t>oxygen </w:t>
      </w:r>
      <w:r>
        <w:rPr>
          <w:color w:val="231F20"/>
          <w:w w:val="105"/>
        </w:rPr>
        <w:t>and</w:t>
      </w:r>
      <w:r>
        <w:rPr>
          <w:color w:val="231F20"/>
          <w:spacing w:val="-30"/>
          <w:w w:val="105"/>
        </w:rPr>
        <w:t> </w:t>
      </w:r>
      <w:r>
        <w:rPr>
          <w:color w:val="231F20"/>
          <w:w w:val="105"/>
        </w:rPr>
        <w:t>nutrients</w:t>
      </w:r>
      <w:r>
        <w:rPr>
          <w:color w:val="231F20"/>
          <w:spacing w:val="-30"/>
          <w:w w:val="105"/>
        </w:rPr>
        <w:t> </w:t>
      </w:r>
      <w:r>
        <w:rPr>
          <w:color w:val="231F20"/>
          <w:w w:val="105"/>
        </w:rPr>
        <w:t>to</w:t>
      </w:r>
      <w:r>
        <w:rPr>
          <w:color w:val="231F20"/>
          <w:spacing w:val="-30"/>
          <w:w w:val="105"/>
        </w:rPr>
        <w:t> </w:t>
      </w:r>
      <w:r>
        <w:rPr>
          <w:color w:val="231F20"/>
          <w:w w:val="105"/>
        </w:rPr>
        <w:t>the</w:t>
      </w:r>
      <w:r>
        <w:rPr>
          <w:color w:val="231F20"/>
          <w:spacing w:val="-29"/>
          <w:w w:val="105"/>
        </w:rPr>
        <w:t> </w:t>
      </w:r>
      <w:r>
        <w:rPr>
          <w:color w:val="231F20"/>
          <w:w w:val="105"/>
        </w:rPr>
        <w:t>tubular</w:t>
      </w:r>
      <w:r>
        <w:rPr>
          <w:color w:val="231F20"/>
          <w:spacing w:val="-30"/>
          <w:w w:val="105"/>
        </w:rPr>
        <w:t> </w:t>
      </w:r>
      <w:r>
        <w:rPr>
          <w:color w:val="231F20"/>
          <w:w w:val="105"/>
        </w:rPr>
        <w:t>epithelial</w:t>
      </w:r>
      <w:r>
        <w:rPr>
          <w:color w:val="231F20"/>
          <w:spacing w:val="-30"/>
          <w:w w:val="105"/>
        </w:rPr>
        <w:t> </w:t>
      </w:r>
      <w:r>
        <w:rPr>
          <w:color w:val="231F20"/>
          <w:w w:val="105"/>
        </w:rPr>
        <w:t>cells</w:t>
      </w:r>
      <w:r>
        <w:rPr>
          <w:color w:val="231F20"/>
          <w:spacing w:val="-29"/>
          <w:w w:val="105"/>
        </w:rPr>
        <w:t> </w:t>
      </w:r>
      <w:r>
        <w:rPr>
          <w:color w:val="231F20"/>
          <w:w w:val="105"/>
        </w:rPr>
        <w:t>and</w:t>
      </w:r>
      <w:r>
        <w:rPr>
          <w:color w:val="231F20"/>
          <w:spacing w:val="-30"/>
          <w:w w:val="105"/>
        </w:rPr>
        <w:t> </w:t>
      </w:r>
      <w:r>
        <w:rPr>
          <w:color w:val="231F20"/>
          <w:w w:val="105"/>
        </w:rPr>
        <w:t>(2)</w:t>
      </w:r>
      <w:r>
        <w:rPr>
          <w:color w:val="231F20"/>
          <w:spacing w:val="-30"/>
          <w:w w:val="105"/>
        </w:rPr>
        <w:t> </w:t>
      </w:r>
      <w:r>
        <w:rPr>
          <w:color w:val="231F20"/>
          <w:w w:val="105"/>
        </w:rPr>
        <w:t>poisons, toxins, or medications that destroy the tubular epithe­ lial</w:t>
      </w:r>
      <w:r>
        <w:rPr>
          <w:color w:val="231F20"/>
          <w:spacing w:val="38"/>
          <w:w w:val="105"/>
        </w:rPr>
        <w:t> </w:t>
      </w:r>
      <w:r>
        <w:rPr>
          <w:color w:val="231F20"/>
          <w:w w:val="105"/>
        </w:rPr>
        <w:t>cells.</w:t>
      </w:r>
    </w:p>
    <w:p>
      <w:pPr>
        <w:pStyle w:val="BodyText"/>
        <w:spacing w:before="1"/>
        <w:rPr>
          <w:sz w:val="22"/>
        </w:rPr>
      </w:pPr>
    </w:p>
    <w:p>
      <w:pPr>
        <w:pStyle w:val="BodyText"/>
        <w:spacing w:line="249" w:lineRule="auto"/>
        <w:ind w:left="1440"/>
        <w:jc w:val="both"/>
      </w:pPr>
      <w:r>
        <w:rPr>
          <w:rFonts w:ascii="Trebuchet MS" w:hAnsi="Trebuchet MS"/>
          <w:b/>
          <w:color w:val="231F20"/>
          <w:w w:val="105"/>
          <w:sz w:val="19"/>
        </w:rPr>
        <w:t>Acute</w:t>
      </w:r>
      <w:r>
        <w:rPr>
          <w:rFonts w:ascii="Trebuchet MS" w:hAnsi="Trebuchet MS"/>
          <w:b/>
          <w:color w:val="231F20"/>
          <w:spacing w:val="-34"/>
          <w:w w:val="105"/>
          <w:sz w:val="19"/>
        </w:rPr>
        <w:t> </w:t>
      </w:r>
      <w:r>
        <w:rPr>
          <w:rFonts w:ascii="Trebuchet MS" w:hAnsi="Trebuchet MS"/>
          <w:b/>
          <w:color w:val="231F20"/>
          <w:spacing w:val="-3"/>
          <w:w w:val="105"/>
          <w:sz w:val="19"/>
        </w:rPr>
        <w:t>Tubular</w:t>
      </w:r>
      <w:r>
        <w:rPr>
          <w:rFonts w:ascii="Trebuchet MS" w:hAnsi="Trebuchet MS"/>
          <w:b/>
          <w:color w:val="231F20"/>
          <w:spacing w:val="-33"/>
          <w:w w:val="105"/>
          <w:sz w:val="19"/>
        </w:rPr>
        <w:t> </w:t>
      </w:r>
      <w:r>
        <w:rPr>
          <w:rFonts w:ascii="Trebuchet MS" w:hAnsi="Trebuchet MS"/>
          <w:b/>
          <w:color w:val="231F20"/>
          <w:w w:val="105"/>
          <w:sz w:val="19"/>
        </w:rPr>
        <w:t>Necrosis</w:t>
      </w:r>
      <w:r>
        <w:rPr>
          <w:rFonts w:ascii="Trebuchet MS" w:hAnsi="Trebuchet MS"/>
          <w:b/>
          <w:color w:val="231F20"/>
          <w:spacing w:val="-33"/>
          <w:w w:val="105"/>
          <w:sz w:val="19"/>
        </w:rPr>
        <w:t> </w:t>
      </w:r>
      <w:r>
        <w:rPr>
          <w:rFonts w:ascii="Trebuchet MS" w:hAnsi="Trebuchet MS"/>
          <w:b/>
          <w:color w:val="231F20"/>
          <w:w w:val="105"/>
          <w:sz w:val="19"/>
        </w:rPr>
        <w:t>Caused</w:t>
      </w:r>
      <w:r>
        <w:rPr>
          <w:rFonts w:ascii="Trebuchet MS" w:hAnsi="Trebuchet MS"/>
          <w:b/>
          <w:color w:val="231F20"/>
          <w:spacing w:val="-34"/>
          <w:w w:val="105"/>
          <w:sz w:val="19"/>
        </w:rPr>
        <w:t> </w:t>
      </w:r>
      <w:r>
        <w:rPr>
          <w:rFonts w:ascii="Trebuchet MS" w:hAnsi="Trebuchet MS"/>
          <w:b/>
          <w:color w:val="231F20"/>
          <w:w w:val="105"/>
          <w:sz w:val="19"/>
        </w:rPr>
        <w:t>by</w:t>
      </w:r>
      <w:r>
        <w:rPr>
          <w:rFonts w:ascii="Trebuchet MS" w:hAnsi="Trebuchet MS"/>
          <w:b/>
          <w:color w:val="231F20"/>
          <w:spacing w:val="-33"/>
          <w:w w:val="105"/>
          <w:sz w:val="19"/>
        </w:rPr>
        <w:t> </w:t>
      </w:r>
      <w:r>
        <w:rPr>
          <w:rFonts w:ascii="Trebuchet MS" w:hAnsi="Trebuchet MS"/>
          <w:b/>
          <w:color w:val="231F20"/>
          <w:w w:val="105"/>
          <w:sz w:val="19"/>
        </w:rPr>
        <w:t>Severe</w:t>
      </w:r>
      <w:r>
        <w:rPr>
          <w:rFonts w:ascii="Trebuchet MS" w:hAnsi="Trebuchet MS"/>
          <w:b/>
          <w:color w:val="231F20"/>
          <w:spacing w:val="-33"/>
          <w:w w:val="105"/>
          <w:sz w:val="19"/>
        </w:rPr>
        <w:t> </w:t>
      </w:r>
      <w:r>
        <w:rPr>
          <w:rFonts w:ascii="Trebuchet MS" w:hAnsi="Trebuchet MS"/>
          <w:b/>
          <w:color w:val="231F20"/>
          <w:w w:val="105"/>
          <w:sz w:val="19"/>
        </w:rPr>
        <w:t>Renal</w:t>
      </w:r>
      <w:r>
        <w:rPr>
          <w:rFonts w:ascii="Trebuchet MS" w:hAnsi="Trebuchet MS"/>
          <w:b/>
          <w:color w:val="231F20"/>
          <w:spacing w:val="-33"/>
          <w:w w:val="105"/>
          <w:sz w:val="19"/>
        </w:rPr>
        <w:t> </w:t>
      </w:r>
      <w:r>
        <w:rPr>
          <w:rFonts w:ascii="Trebuchet MS" w:hAnsi="Trebuchet MS"/>
          <w:b/>
          <w:color w:val="231F20"/>
          <w:spacing w:val="-3"/>
          <w:w w:val="105"/>
          <w:sz w:val="19"/>
        </w:rPr>
        <w:t>Isch- </w:t>
      </w:r>
      <w:r>
        <w:rPr>
          <w:rFonts w:ascii="Trebuchet MS" w:hAnsi="Trebuchet MS"/>
          <w:b/>
          <w:color w:val="231F20"/>
          <w:w w:val="105"/>
          <w:sz w:val="19"/>
        </w:rPr>
        <w:t>emia.</w:t>
      </w:r>
      <w:r>
        <w:rPr>
          <w:rFonts w:ascii="Trebuchet MS" w:hAnsi="Trebuchet MS"/>
          <w:b/>
          <w:color w:val="231F20"/>
          <w:spacing w:val="10"/>
          <w:w w:val="105"/>
          <w:sz w:val="19"/>
        </w:rPr>
        <w:t> </w:t>
      </w:r>
      <w:r>
        <w:rPr>
          <w:color w:val="231F20"/>
          <w:w w:val="105"/>
        </w:rPr>
        <w:t>Severe</w:t>
      </w:r>
      <w:r>
        <w:rPr>
          <w:color w:val="231F20"/>
          <w:spacing w:val="-13"/>
          <w:w w:val="105"/>
        </w:rPr>
        <w:t> </w:t>
      </w:r>
      <w:r>
        <w:rPr>
          <w:color w:val="231F20"/>
          <w:w w:val="105"/>
        </w:rPr>
        <w:t>ischemia</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kidney</w:t>
      </w:r>
      <w:r>
        <w:rPr>
          <w:color w:val="231F20"/>
          <w:spacing w:val="-13"/>
          <w:w w:val="105"/>
        </w:rPr>
        <w:t> </w:t>
      </w:r>
      <w:r>
        <w:rPr>
          <w:color w:val="231F20"/>
          <w:w w:val="105"/>
        </w:rPr>
        <w:t>can</w:t>
      </w:r>
      <w:r>
        <w:rPr>
          <w:color w:val="231F20"/>
          <w:spacing w:val="-13"/>
          <w:w w:val="105"/>
        </w:rPr>
        <w:t> </w:t>
      </w:r>
      <w:r>
        <w:rPr>
          <w:color w:val="231F20"/>
          <w:w w:val="105"/>
        </w:rPr>
        <w:t>result</w:t>
      </w:r>
      <w:r>
        <w:rPr>
          <w:color w:val="231F20"/>
          <w:spacing w:val="-13"/>
          <w:w w:val="105"/>
        </w:rPr>
        <w:t> </w:t>
      </w:r>
      <w:r>
        <w:rPr>
          <w:color w:val="231F20"/>
          <w:w w:val="105"/>
        </w:rPr>
        <w:t>from</w:t>
      </w:r>
      <w:r>
        <w:rPr>
          <w:color w:val="231F20"/>
          <w:spacing w:val="-13"/>
          <w:w w:val="105"/>
        </w:rPr>
        <w:t> </w:t>
      </w:r>
      <w:r>
        <w:rPr>
          <w:color w:val="231F20"/>
          <w:spacing w:val="-6"/>
          <w:w w:val="105"/>
        </w:rPr>
        <w:t>cir­ </w:t>
      </w:r>
      <w:r>
        <w:rPr>
          <w:color w:val="231F20"/>
          <w:w w:val="105"/>
        </w:rPr>
        <w:t>culatory</w:t>
      </w:r>
      <w:r>
        <w:rPr>
          <w:color w:val="231F20"/>
          <w:spacing w:val="-14"/>
          <w:w w:val="105"/>
        </w:rPr>
        <w:t> </w:t>
      </w:r>
      <w:r>
        <w:rPr>
          <w:color w:val="231F20"/>
          <w:w w:val="105"/>
        </w:rPr>
        <w:t>shock</w:t>
      </w:r>
      <w:r>
        <w:rPr>
          <w:color w:val="231F20"/>
          <w:spacing w:val="-13"/>
          <w:w w:val="105"/>
        </w:rPr>
        <w:t> </w:t>
      </w:r>
      <w:r>
        <w:rPr>
          <w:color w:val="231F20"/>
          <w:w w:val="105"/>
        </w:rPr>
        <w:t>or</w:t>
      </w:r>
      <w:r>
        <w:rPr>
          <w:color w:val="231F20"/>
          <w:spacing w:val="-13"/>
          <w:w w:val="105"/>
        </w:rPr>
        <w:t> </w:t>
      </w:r>
      <w:r>
        <w:rPr>
          <w:color w:val="231F20"/>
          <w:w w:val="105"/>
        </w:rPr>
        <w:t>other</w:t>
      </w:r>
      <w:r>
        <w:rPr>
          <w:color w:val="231F20"/>
          <w:spacing w:val="-13"/>
          <w:w w:val="105"/>
        </w:rPr>
        <w:t> </w:t>
      </w:r>
      <w:r>
        <w:rPr>
          <w:color w:val="231F20"/>
          <w:w w:val="105"/>
        </w:rPr>
        <w:t>disturbances</w:t>
      </w:r>
      <w:r>
        <w:rPr>
          <w:color w:val="231F20"/>
          <w:spacing w:val="-13"/>
          <w:w w:val="105"/>
        </w:rPr>
        <w:t> </w:t>
      </w:r>
      <w:r>
        <w:rPr>
          <w:color w:val="231F20"/>
          <w:w w:val="105"/>
        </w:rPr>
        <w:t>that</w:t>
      </w:r>
      <w:r>
        <w:rPr>
          <w:color w:val="231F20"/>
          <w:spacing w:val="-13"/>
          <w:w w:val="105"/>
        </w:rPr>
        <w:t> </w:t>
      </w:r>
      <w:r>
        <w:rPr>
          <w:color w:val="231F20"/>
          <w:w w:val="105"/>
        </w:rPr>
        <w:t>severely</w:t>
      </w:r>
      <w:r>
        <w:rPr>
          <w:color w:val="231F20"/>
          <w:spacing w:val="-13"/>
          <w:w w:val="105"/>
        </w:rPr>
        <w:t> </w:t>
      </w:r>
      <w:r>
        <w:rPr>
          <w:color w:val="231F20"/>
          <w:w w:val="105"/>
        </w:rPr>
        <w:t>impair the</w:t>
      </w:r>
      <w:r>
        <w:rPr>
          <w:color w:val="231F20"/>
          <w:spacing w:val="-9"/>
          <w:w w:val="105"/>
        </w:rPr>
        <w:t> </w:t>
      </w:r>
      <w:r>
        <w:rPr>
          <w:color w:val="231F20"/>
          <w:w w:val="105"/>
        </w:rPr>
        <w:t>blood</w:t>
      </w:r>
      <w:r>
        <w:rPr>
          <w:color w:val="231F20"/>
          <w:spacing w:val="-8"/>
          <w:w w:val="105"/>
        </w:rPr>
        <w:t> </w:t>
      </w:r>
      <w:r>
        <w:rPr>
          <w:color w:val="231F20"/>
          <w:w w:val="105"/>
        </w:rPr>
        <w:t>supply</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kidneys.</w:t>
      </w:r>
      <w:r>
        <w:rPr>
          <w:color w:val="231F20"/>
          <w:spacing w:val="-9"/>
          <w:w w:val="105"/>
        </w:rPr>
        <w:t> </w:t>
      </w:r>
      <w:r>
        <w:rPr>
          <w:color w:val="231F20"/>
          <w:w w:val="105"/>
        </w:rPr>
        <w:t>If</w:t>
      </w:r>
      <w:r>
        <w:rPr>
          <w:color w:val="231F20"/>
          <w:spacing w:val="-8"/>
          <w:w w:val="105"/>
        </w:rPr>
        <w:t> </w:t>
      </w:r>
      <w:r>
        <w:rPr>
          <w:color w:val="231F20"/>
          <w:w w:val="105"/>
        </w:rPr>
        <w:t>the</w:t>
      </w:r>
      <w:r>
        <w:rPr>
          <w:color w:val="231F20"/>
          <w:spacing w:val="-8"/>
          <w:w w:val="105"/>
        </w:rPr>
        <w:t> </w:t>
      </w:r>
      <w:r>
        <w:rPr>
          <w:color w:val="231F20"/>
          <w:w w:val="105"/>
        </w:rPr>
        <w:t>ischemia</w:t>
      </w:r>
      <w:r>
        <w:rPr>
          <w:color w:val="231F20"/>
          <w:spacing w:val="-8"/>
          <w:w w:val="105"/>
        </w:rPr>
        <w:t> </w:t>
      </w:r>
      <w:r>
        <w:rPr>
          <w:color w:val="231F20"/>
          <w:w w:val="105"/>
        </w:rPr>
        <w:t>is</w:t>
      </w:r>
      <w:r>
        <w:rPr>
          <w:color w:val="231F20"/>
          <w:spacing w:val="-8"/>
          <w:w w:val="105"/>
        </w:rPr>
        <w:t> </w:t>
      </w:r>
      <w:r>
        <w:rPr>
          <w:color w:val="231F20"/>
          <w:spacing w:val="-3"/>
          <w:w w:val="105"/>
        </w:rPr>
        <w:t>severe </w:t>
      </w:r>
      <w:r>
        <w:rPr>
          <w:color w:val="231F20"/>
          <w:w w:val="105"/>
        </w:rPr>
        <w:t>enough to seriously impair the delivery of nutrients </w:t>
      </w:r>
      <w:r>
        <w:rPr>
          <w:color w:val="231F20"/>
          <w:spacing w:val="-5"/>
          <w:w w:val="105"/>
        </w:rPr>
        <w:t>and </w:t>
      </w:r>
      <w:r>
        <w:rPr>
          <w:color w:val="231F20"/>
          <w:w w:val="105"/>
        </w:rPr>
        <w:t>oxygen</w:t>
      </w:r>
      <w:r>
        <w:rPr>
          <w:color w:val="231F20"/>
          <w:spacing w:val="-27"/>
          <w:w w:val="105"/>
        </w:rPr>
        <w:t> </w:t>
      </w:r>
      <w:r>
        <w:rPr>
          <w:color w:val="231F20"/>
          <w:w w:val="105"/>
        </w:rPr>
        <w:t>to</w:t>
      </w:r>
      <w:r>
        <w:rPr>
          <w:color w:val="231F20"/>
          <w:spacing w:val="-27"/>
          <w:w w:val="105"/>
        </w:rPr>
        <w:t> </w:t>
      </w:r>
      <w:r>
        <w:rPr>
          <w:color w:val="231F20"/>
          <w:w w:val="105"/>
        </w:rPr>
        <w:t>the</w:t>
      </w:r>
      <w:r>
        <w:rPr>
          <w:color w:val="231F20"/>
          <w:spacing w:val="-26"/>
          <w:w w:val="105"/>
        </w:rPr>
        <w:t> </w:t>
      </w:r>
      <w:r>
        <w:rPr>
          <w:color w:val="231F20"/>
          <w:w w:val="105"/>
        </w:rPr>
        <w:t>renal</w:t>
      </w:r>
      <w:r>
        <w:rPr>
          <w:color w:val="231F20"/>
          <w:spacing w:val="-27"/>
          <w:w w:val="105"/>
        </w:rPr>
        <w:t> </w:t>
      </w:r>
      <w:r>
        <w:rPr>
          <w:color w:val="231F20"/>
          <w:w w:val="105"/>
        </w:rPr>
        <w:t>tubular</w:t>
      </w:r>
      <w:r>
        <w:rPr>
          <w:color w:val="231F20"/>
          <w:spacing w:val="-26"/>
          <w:w w:val="105"/>
        </w:rPr>
        <w:t> </w:t>
      </w:r>
      <w:r>
        <w:rPr>
          <w:color w:val="231F20"/>
          <w:w w:val="105"/>
        </w:rPr>
        <w:t>epithelial</w:t>
      </w:r>
      <w:r>
        <w:rPr>
          <w:color w:val="231F20"/>
          <w:spacing w:val="-27"/>
          <w:w w:val="105"/>
        </w:rPr>
        <w:t> </w:t>
      </w:r>
      <w:r>
        <w:rPr>
          <w:color w:val="231F20"/>
          <w:w w:val="105"/>
        </w:rPr>
        <w:t>cells,</w:t>
      </w:r>
      <w:r>
        <w:rPr>
          <w:color w:val="231F20"/>
          <w:spacing w:val="-27"/>
          <w:w w:val="105"/>
        </w:rPr>
        <w:t> </w:t>
      </w:r>
      <w:r>
        <w:rPr>
          <w:color w:val="231F20"/>
          <w:w w:val="105"/>
        </w:rPr>
        <w:t>and</w:t>
      </w:r>
      <w:r>
        <w:rPr>
          <w:color w:val="231F20"/>
          <w:spacing w:val="-26"/>
          <w:w w:val="105"/>
        </w:rPr>
        <w:t> </w:t>
      </w:r>
      <w:r>
        <w:rPr>
          <w:color w:val="231F20"/>
          <w:w w:val="105"/>
        </w:rPr>
        <w:t>if</w:t>
      </w:r>
      <w:r>
        <w:rPr>
          <w:color w:val="231F20"/>
          <w:spacing w:val="-27"/>
          <w:w w:val="105"/>
        </w:rPr>
        <w:t> </w:t>
      </w:r>
      <w:r>
        <w:rPr>
          <w:color w:val="231F20"/>
          <w:w w:val="105"/>
        </w:rPr>
        <w:t>the</w:t>
      </w:r>
      <w:r>
        <w:rPr>
          <w:color w:val="231F20"/>
          <w:spacing w:val="-26"/>
          <w:w w:val="105"/>
        </w:rPr>
        <w:t> </w:t>
      </w:r>
      <w:r>
        <w:rPr>
          <w:color w:val="231F20"/>
          <w:spacing w:val="-3"/>
          <w:w w:val="105"/>
        </w:rPr>
        <w:t>insult </w:t>
      </w:r>
      <w:r>
        <w:rPr>
          <w:color w:val="231F20"/>
          <w:w w:val="105"/>
        </w:rPr>
        <w:t>is prolonged, damage or eventual destruction of the </w:t>
      </w:r>
      <w:r>
        <w:rPr>
          <w:color w:val="231F20"/>
          <w:spacing w:val="-4"/>
          <w:w w:val="105"/>
        </w:rPr>
        <w:t>epi­ </w:t>
      </w:r>
      <w:r>
        <w:rPr>
          <w:color w:val="231F20"/>
          <w:w w:val="105"/>
        </w:rPr>
        <w:t>thelial</w:t>
      </w:r>
      <w:r>
        <w:rPr>
          <w:color w:val="231F20"/>
          <w:spacing w:val="-14"/>
          <w:w w:val="105"/>
        </w:rPr>
        <w:t> </w:t>
      </w:r>
      <w:r>
        <w:rPr>
          <w:color w:val="231F20"/>
          <w:w w:val="105"/>
        </w:rPr>
        <w:t>cells</w:t>
      </w:r>
      <w:r>
        <w:rPr>
          <w:color w:val="231F20"/>
          <w:spacing w:val="-13"/>
          <w:w w:val="105"/>
        </w:rPr>
        <w:t> </w:t>
      </w:r>
      <w:r>
        <w:rPr>
          <w:color w:val="231F20"/>
          <w:w w:val="105"/>
        </w:rPr>
        <w:t>can</w:t>
      </w:r>
      <w:r>
        <w:rPr>
          <w:color w:val="231F20"/>
          <w:spacing w:val="-13"/>
          <w:w w:val="105"/>
        </w:rPr>
        <w:t> </w:t>
      </w:r>
      <w:r>
        <w:rPr>
          <w:color w:val="231F20"/>
          <w:spacing w:val="-3"/>
          <w:w w:val="105"/>
        </w:rPr>
        <w:t>occur.</w:t>
      </w:r>
      <w:r>
        <w:rPr>
          <w:color w:val="231F20"/>
          <w:spacing w:val="-13"/>
          <w:w w:val="105"/>
        </w:rPr>
        <w:t> </w:t>
      </w:r>
      <w:r>
        <w:rPr>
          <w:color w:val="231F20"/>
          <w:w w:val="105"/>
        </w:rPr>
        <w:t>When</w:t>
      </w:r>
      <w:r>
        <w:rPr>
          <w:color w:val="231F20"/>
          <w:spacing w:val="-13"/>
          <w:w w:val="105"/>
        </w:rPr>
        <w:t> </w:t>
      </w:r>
      <w:r>
        <w:rPr>
          <w:color w:val="231F20"/>
          <w:w w:val="105"/>
        </w:rPr>
        <w:t>this</w:t>
      </w:r>
      <w:r>
        <w:rPr>
          <w:color w:val="231F20"/>
          <w:spacing w:val="-13"/>
          <w:w w:val="105"/>
        </w:rPr>
        <w:t> </w:t>
      </w:r>
      <w:r>
        <w:rPr>
          <w:color w:val="231F20"/>
          <w:w w:val="105"/>
        </w:rPr>
        <w:t>damage</w:t>
      </w:r>
      <w:r>
        <w:rPr>
          <w:color w:val="231F20"/>
          <w:spacing w:val="-13"/>
          <w:w w:val="105"/>
        </w:rPr>
        <w:t> </w:t>
      </w:r>
      <w:r>
        <w:rPr>
          <w:color w:val="231F20"/>
          <w:w w:val="105"/>
        </w:rPr>
        <w:t>occurs,</w:t>
      </w:r>
      <w:r>
        <w:rPr>
          <w:color w:val="231F20"/>
          <w:spacing w:val="-13"/>
          <w:w w:val="105"/>
        </w:rPr>
        <w:t> </w:t>
      </w:r>
      <w:r>
        <w:rPr>
          <w:color w:val="231F20"/>
          <w:w w:val="105"/>
        </w:rPr>
        <w:t>tubular</w:t>
      </w:r>
    </w:p>
    <w:p>
      <w:pPr>
        <w:pStyle w:val="BodyText"/>
        <w:spacing w:line="249" w:lineRule="auto" w:before="100"/>
        <w:ind w:left="319" w:right="1079"/>
        <w:jc w:val="both"/>
      </w:pPr>
      <w:r>
        <w:rPr/>
        <w:br w:type="column"/>
      </w:r>
      <w:r>
        <w:rPr>
          <w:color w:val="231F20"/>
          <w:w w:val="105"/>
        </w:rPr>
        <w:t>cells</w:t>
      </w:r>
      <w:r>
        <w:rPr>
          <w:color w:val="231F20"/>
          <w:spacing w:val="-15"/>
          <w:w w:val="105"/>
        </w:rPr>
        <w:t> </w:t>
      </w:r>
      <w:r>
        <w:rPr>
          <w:color w:val="231F20"/>
          <w:w w:val="105"/>
        </w:rPr>
        <w:t>“slough</w:t>
      </w:r>
      <w:r>
        <w:rPr>
          <w:color w:val="231F20"/>
          <w:spacing w:val="-15"/>
          <w:w w:val="105"/>
        </w:rPr>
        <w:t> </w:t>
      </w:r>
      <w:r>
        <w:rPr>
          <w:color w:val="231F20"/>
          <w:spacing w:val="5"/>
          <w:w w:val="105"/>
        </w:rPr>
        <w:t>off”</w:t>
      </w:r>
      <w:r>
        <w:rPr>
          <w:color w:val="231F20"/>
          <w:spacing w:val="-15"/>
          <w:w w:val="105"/>
        </w:rPr>
        <w:t> </w:t>
      </w:r>
      <w:r>
        <w:rPr>
          <w:color w:val="231F20"/>
          <w:w w:val="105"/>
        </w:rPr>
        <w:t>and</w:t>
      </w:r>
      <w:r>
        <w:rPr>
          <w:color w:val="231F20"/>
          <w:spacing w:val="-15"/>
          <w:w w:val="105"/>
        </w:rPr>
        <w:t> </w:t>
      </w:r>
      <w:r>
        <w:rPr>
          <w:color w:val="231F20"/>
          <w:w w:val="105"/>
        </w:rPr>
        <w:t>plug</w:t>
      </w:r>
      <w:r>
        <w:rPr>
          <w:color w:val="231F20"/>
          <w:spacing w:val="-15"/>
          <w:w w:val="105"/>
        </w:rPr>
        <w:t> </w:t>
      </w:r>
      <w:r>
        <w:rPr>
          <w:color w:val="231F20"/>
          <w:w w:val="105"/>
        </w:rPr>
        <w:t>many</w:t>
      </w:r>
      <w:r>
        <w:rPr>
          <w:color w:val="231F20"/>
          <w:spacing w:val="-14"/>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nephrons,</w:t>
      </w:r>
      <w:r>
        <w:rPr>
          <w:color w:val="231F20"/>
          <w:spacing w:val="-15"/>
          <w:w w:val="105"/>
        </w:rPr>
        <w:t> </w:t>
      </w:r>
      <w:r>
        <w:rPr>
          <w:color w:val="231F20"/>
          <w:w w:val="105"/>
        </w:rPr>
        <w:t>so</w:t>
      </w:r>
      <w:r>
        <w:rPr>
          <w:color w:val="231F20"/>
          <w:spacing w:val="-15"/>
          <w:w w:val="105"/>
        </w:rPr>
        <w:t> </w:t>
      </w:r>
      <w:r>
        <w:rPr>
          <w:color w:val="231F20"/>
          <w:w w:val="105"/>
        </w:rPr>
        <w:t>that there is no urine output from the blocked nephrons; the affected nephrons often fail to excrete urine even when renal blood flow is restored to normal, as long as the tubules remain plugged. The most common causes </w:t>
      </w:r>
      <w:r>
        <w:rPr>
          <w:color w:val="231F20"/>
          <w:spacing w:val="-7"/>
          <w:w w:val="105"/>
        </w:rPr>
        <w:t>of </w:t>
      </w:r>
      <w:r>
        <w:rPr>
          <w:color w:val="231F20"/>
          <w:w w:val="105"/>
        </w:rPr>
        <w:t>ischemic damage to the tubular epithelium are the </w:t>
      </w:r>
      <w:r>
        <w:rPr>
          <w:color w:val="231F20"/>
          <w:spacing w:val="-4"/>
          <w:w w:val="105"/>
        </w:rPr>
        <w:t>pre­ </w:t>
      </w:r>
      <w:r>
        <w:rPr>
          <w:color w:val="231F20"/>
          <w:w w:val="105"/>
        </w:rPr>
        <w:t>renal</w:t>
      </w:r>
      <w:r>
        <w:rPr>
          <w:color w:val="231F20"/>
          <w:spacing w:val="-16"/>
          <w:w w:val="105"/>
        </w:rPr>
        <w:t> </w:t>
      </w:r>
      <w:r>
        <w:rPr>
          <w:color w:val="231F20"/>
          <w:w w:val="105"/>
        </w:rPr>
        <w:t>causes</w:t>
      </w:r>
      <w:r>
        <w:rPr>
          <w:color w:val="231F20"/>
          <w:spacing w:val="-16"/>
          <w:w w:val="105"/>
        </w:rPr>
        <w:t> </w:t>
      </w:r>
      <w:r>
        <w:rPr>
          <w:color w:val="231F20"/>
          <w:w w:val="105"/>
        </w:rPr>
        <w:t>of</w:t>
      </w:r>
      <w:r>
        <w:rPr>
          <w:color w:val="231F20"/>
          <w:spacing w:val="-16"/>
          <w:w w:val="105"/>
        </w:rPr>
        <w:t> </w:t>
      </w:r>
      <w:r>
        <w:rPr>
          <w:color w:val="231F20"/>
          <w:w w:val="105"/>
        </w:rPr>
        <w:t>AKI</w:t>
      </w:r>
      <w:r>
        <w:rPr>
          <w:color w:val="231F20"/>
          <w:spacing w:val="-15"/>
          <w:w w:val="105"/>
        </w:rPr>
        <w:t> </w:t>
      </w:r>
      <w:r>
        <w:rPr>
          <w:color w:val="231F20"/>
          <w:w w:val="105"/>
        </w:rPr>
        <w:t>associated</w:t>
      </w:r>
      <w:r>
        <w:rPr>
          <w:color w:val="231F20"/>
          <w:spacing w:val="-16"/>
          <w:w w:val="105"/>
        </w:rPr>
        <w:t> </w:t>
      </w:r>
      <w:r>
        <w:rPr>
          <w:color w:val="231F20"/>
          <w:w w:val="105"/>
        </w:rPr>
        <w:t>with</w:t>
      </w:r>
      <w:r>
        <w:rPr>
          <w:color w:val="231F20"/>
          <w:spacing w:val="-16"/>
          <w:w w:val="105"/>
        </w:rPr>
        <w:t> </w:t>
      </w:r>
      <w:r>
        <w:rPr>
          <w:color w:val="231F20"/>
          <w:w w:val="105"/>
        </w:rPr>
        <w:t>circulatory</w:t>
      </w:r>
      <w:r>
        <w:rPr>
          <w:color w:val="231F20"/>
          <w:spacing w:val="-15"/>
          <w:w w:val="105"/>
        </w:rPr>
        <w:t> </w:t>
      </w:r>
      <w:r>
        <w:rPr>
          <w:color w:val="231F20"/>
          <w:w w:val="105"/>
        </w:rPr>
        <w:t>shock,</w:t>
      </w:r>
      <w:r>
        <w:rPr>
          <w:color w:val="231F20"/>
          <w:spacing w:val="-16"/>
          <w:w w:val="105"/>
        </w:rPr>
        <w:t> </w:t>
      </w:r>
      <w:r>
        <w:rPr>
          <w:color w:val="231F20"/>
          <w:w w:val="105"/>
        </w:rPr>
        <w:t>as discussed earlier in this</w:t>
      </w:r>
      <w:r>
        <w:rPr>
          <w:color w:val="231F20"/>
          <w:spacing w:val="9"/>
          <w:w w:val="105"/>
        </w:rPr>
        <w:t> </w:t>
      </w:r>
      <w:r>
        <w:rPr>
          <w:color w:val="231F20"/>
          <w:spacing w:val="-3"/>
          <w:w w:val="105"/>
        </w:rPr>
        <w:t>chapter.</w:t>
      </w:r>
    </w:p>
    <w:p>
      <w:pPr>
        <w:pStyle w:val="BodyText"/>
        <w:spacing w:before="1"/>
        <w:rPr>
          <w:sz w:val="22"/>
        </w:rPr>
      </w:pPr>
    </w:p>
    <w:p>
      <w:pPr>
        <w:pStyle w:val="BodyText"/>
        <w:spacing w:line="249" w:lineRule="auto"/>
        <w:ind w:left="319" w:right="1077"/>
        <w:jc w:val="both"/>
      </w:pPr>
      <w:r>
        <w:rPr/>
        <w:pict>
          <v:rect style="position:absolute;margin-left:576pt;margin-top:31.57019pt;width:36pt;height:24pt;mso-position-horizontal-relative:page;mso-position-vertical-relative:paragraph;z-index:253276160" filled="true" fillcolor="#e8dac8" stroked="false">
            <v:fill type="solid"/>
            <w10:wrap type="none"/>
          </v:rect>
        </w:pict>
      </w:r>
      <w:r>
        <w:rPr/>
        <w:pict>
          <v:shape style="position:absolute;margin-left:578.900024pt;margin-top:-44.772511pt;width:15.9pt;height:53.35pt;mso-position-horizontal-relative:page;mso-position-vertical-relative:paragraph;z-index:25327718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Trebuchet MS" w:hAnsi="Trebuchet MS"/>
          <w:b/>
          <w:color w:val="231F20"/>
          <w:sz w:val="19"/>
        </w:rPr>
        <w:t>Acute </w:t>
      </w:r>
      <w:r>
        <w:rPr>
          <w:rFonts w:ascii="Trebuchet MS" w:hAnsi="Trebuchet MS"/>
          <w:b/>
          <w:color w:val="231F20"/>
          <w:spacing w:val="-3"/>
          <w:sz w:val="19"/>
        </w:rPr>
        <w:t>Tubular </w:t>
      </w:r>
      <w:r>
        <w:rPr>
          <w:rFonts w:ascii="Trebuchet MS" w:hAnsi="Trebuchet MS"/>
          <w:b/>
          <w:color w:val="231F20"/>
          <w:sz w:val="19"/>
        </w:rPr>
        <w:t>Necrosis Caused by </w:t>
      </w:r>
      <w:r>
        <w:rPr>
          <w:rFonts w:ascii="Trebuchet MS" w:hAnsi="Trebuchet MS"/>
          <w:b/>
          <w:color w:val="231F20"/>
          <w:spacing w:val="-4"/>
          <w:sz w:val="19"/>
        </w:rPr>
        <w:t>Toxins </w:t>
      </w:r>
      <w:r>
        <w:rPr>
          <w:rFonts w:ascii="Trebuchet MS" w:hAnsi="Trebuchet MS"/>
          <w:b/>
          <w:color w:val="231F20"/>
          <w:sz w:val="19"/>
        </w:rPr>
        <w:t>or </w:t>
      </w:r>
      <w:r>
        <w:rPr>
          <w:rFonts w:ascii="Trebuchet MS" w:hAnsi="Trebuchet MS"/>
          <w:b/>
          <w:color w:val="231F20"/>
          <w:spacing w:val="-3"/>
          <w:sz w:val="19"/>
        </w:rPr>
        <w:t>Medi- </w:t>
      </w:r>
      <w:r>
        <w:rPr>
          <w:rFonts w:ascii="Trebuchet MS" w:hAnsi="Trebuchet MS"/>
          <w:b/>
          <w:color w:val="231F20"/>
          <w:sz w:val="19"/>
        </w:rPr>
        <w:t>cations. </w:t>
      </w:r>
      <w:r>
        <w:rPr>
          <w:color w:val="231F20"/>
        </w:rPr>
        <w:t>There is a long list of renal poisons and medica­ tions that can damage the tubular epithelium and </w:t>
      </w:r>
      <w:r>
        <w:rPr>
          <w:color w:val="231F20"/>
          <w:spacing w:val="-3"/>
        </w:rPr>
        <w:t>cause  </w:t>
      </w:r>
      <w:r>
        <w:rPr>
          <w:color w:val="231F20"/>
        </w:rPr>
        <w:t>AKI. Some of these substances are </w:t>
      </w:r>
      <w:r>
        <w:rPr>
          <w:i/>
          <w:color w:val="231F20"/>
        </w:rPr>
        <w:t>carbon tetrachloride, </w:t>
      </w:r>
      <w:r>
        <w:rPr>
          <w:i/>
          <w:color w:val="231F20"/>
        </w:rPr>
        <w:t>heavy metals </w:t>
      </w:r>
      <w:r>
        <w:rPr>
          <w:color w:val="231F20"/>
        </w:rPr>
        <w:t>(such as mercury and lead), </w:t>
      </w:r>
      <w:r>
        <w:rPr>
          <w:i/>
          <w:color w:val="231F20"/>
        </w:rPr>
        <w:t>ethylene glycol </w:t>
      </w:r>
      <w:r>
        <w:rPr>
          <w:color w:val="231F20"/>
        </w:rPr>
        <w:t>(which is a major component in antifreeze), various </w:t>
      </w:r>
      <w:r>
        <w:rPr>
          <w:i/>
          <w:color w:val="231F20"/>
        </w:rPr>
        <w:t>insec- </w:t>
      </w:r>
      <w:r>
        <w:rPr>
          <w:i/>
          <w:color w:val="231F20"/>
        </w:rPr>
        <w:t>ticides, </w:t>
      </w:r>
      <w:r>
        <w:rPr>
          <w:color w:val="231F20"/>
        </w:rPr>
        <w:t>some </w:t>
      </w:r>
      <w:r>
        <w:rPr>
          <w:i/>
          <w:color w:val="231F20"/>
        </w:rPr>
        <w:t>medications </w:t>
      </w:r>
      <w:r>
        <w:rPr>
          <w:color w:val="231F20"/>
        </w:rPr>
        <w:t>(such as tetracyclines) used as antibiotics, and </w:t>
      </w:r>
      <w:r>
        <w:rPr>
          <w:i/>
          <w:color w:val="231F20"/>
        </w:rPr>
        <w:t>cis-platinum</w:t>
      </w:r>
      <w:r>
        <w:rPr>
          <w:color w:val="231F20"/>
        </w:rPr>
        <w:t>, which is used in treating certain cancers. Each of these substances has a specific toxic action on the renal tubular epithelial cells, </w:t>
      </w:r>
      <w:r>
        <w:rPr>
          <w:color w:val="231F20"/>
          <w:spacing w:val="-3"/>
        </w:rPr>
        <w:t>causing </w:t>
      </w:r>
      <w:r>
        <w:rPr>
          <w:color w:val="231F20"/>
        </w:rPr>
        <w:t>death of many of them. As a result, the epithelial cells slough away from the basement membrane and plug </w:t>
      </w:r>
      <w:r>
        <w:rPr>
          <w:color w:val="231F20"/>
          <w:spacing w:val="-5"/>
        </w:rPr>
        <w:t>the </w:t>
      </w:r>
      <w:r>
        <w:rPr>
          <w:color w:val="231F20"/>
        </w:rPr>
        <w:t>tubules. In some instances, the basement membrane also is destroyed. If the basement membrane remains intact, new tubular epithelial cells can grow along the surface of the membrane, so the tubule may repair itself within </w:t>
      </w:r>
      <w:r>
        <w:rPr>
          <w:color w:val="231F20"/>
          <w:spacing w:val="-6"/>
        </w:rPr>
        <w:t>10   </w:t>
      </w:r>
      <w:r>
        <w:rPr>
          <w:color w:val="231F20"/>
        </w:rPr>
        <w:t>to 20</w:t>
      </w:r>
      <w:r>
        <w:rPr>
          <w:color w:val="231F20"/>
          <w:spacing w:val="11"/>
        </w:rPr>
        <w:t> </w:t>
      </w:r>
      <w:r>
        <w:rPr>
          <w:color w:val="231F20"/>
        </w:rPr>
        <w:t>days.</w:t>
      </w:r>
    </w:p>
    <w:p>
      <w:pPr>
        <w:pStyle w:val="BodyText"/>
        <w:rPr>
          <w:sz w:val="32"/>
        </w:rPr>
      </w:pPr>
    </w:p>
    <w:p>
      <w:pPr>
        <w:pStyle w:val="Heading2"/>
        <w:spacing w:line="225" w:lineRule="auto"/>
        <w:ind w:right="1995"/>
      </w:pPr>
      <w:r>
        <w:rPr>
          <w:color w:val="231F20"/>
          <w:w w:val="105"/>
        </w:rPr>
        <w:t>POSTRENAL ACUTE KIDNEY INJURY CAUSED BY ABNORMALITIES OF THE LOWER URINARY TRACT</w:t>
      </w:r>
    </w:p>
    <w:p>
      <w:pPr>
        <w:pStyle w:val="BodyText"/>
        <w:spacing w:line="249" w:lineRule="auto" w:before="127"/>
        <w:ind w:left="319" w:right="1077"/>
        <w:jc w:val="both"/>
      </w:pPr>
      <w:r>
        <w:rPr>
          <w:color w:val="231F20"/>
          <w:w w:val="105"/>
        </w:rPr>
        <w:t>Multiple abnormalities in the lower urinary tract </w:t>
      </w:r>
      <w:r>
        <w:rPr>
          <w:color w:val="231F20"/>
          <w:spacing w:val="-5"/>
          <w:w w:val="105"/>
        </w:rPr>
        <w:t>can </w:t>
      </w:r>
      <w:r>
        <w:rPr>
          <w:color w:val="231F20"/>
          <w:w w:val="105"/>
        </w:rPr>
        <w:t>block or partially block urine flow and therefore lead to AKI</w:t>
      </w:r>
      <w:r>
        <w:rPr>
          <w:color w:val="231F20"/>
          <w:spacing w:val="-25"/>
          <w:w w:val="105"/>
        </w:rPr>
        <w:t> </w:t>
      </w:r>
      <w:r>
        <w:rPr>
          <w:color w:val="231F20"/>
          <w:w w:val="105"/>
        </w:rPr>
        <w:t>even</w:t>
      </w:r>
      <w:r>
        <w:rPr>
          <w:color w:val="231F20"/>
          <w:spacing w:val="-24"/>
          <w:w w:val="105"/>
        </w:rPr>
        <w:t> </w:t>
      </w:r>
      <w:r>
        <w:rPr>
          <w:color w:val="231F20"/>
          <w:w w:val="105"/>
        </w:rPr>
        <w:t>when</w:t>
      </w:r>
      <w:r>
        <w:rPr>
          <w:color w:val="231F20"/>
          <w:spacing w:val="-24"/>
          <w:w w:val="105"/>
        </w:rPr>
        <w:t> </w:t>
      </w:r>
      <w:r>
        <w:rPr>
          <w:color w:val="231F20"/>
          <w:w w:val="105"/>
        </w:rPr>
        <w:t>the</w:t>
      </w:r>
      <w:r>
        <w:rPr>
          <w:color w:val="231F20"/>
          <w:spacing w:val="-24"/>
          <w:w w:val="105"/>
        </w:rPr>
        <w:t> </w:t>
      </w:r>
      <w:r>
        <w:rPr>
          <w:color w:val="231F20"/>
          <w:w w:val="105"/>
        </w:rPr>
        <w:t>kidneys’</w:t>
      </w:r>
      <w:r>
        <w:rPr>
          <w:color w:val="231F20"/>
          <w:spacing w:val="-24"/>
          <w:w w:val="105"/>
        </w:rPr>
        <w:t> </w:t>
      </w:r>
      <w:r>
        <w:rPr>
          <w:color w:val="231F20"/>
          <w:w w:val="105"/>
        </w:rPr>
        <w:t>blood</w:t>
      </w:r>
      <w:r>
        <w:rPr>
          <w:color w:val="231F20"/>
          <w:spacing w:val="-24"/>
          <w:w w:val="105"/>
        </w:rPr>
        <w:t> </w:t>
      </w:r>
      <w:r>
        <w:rPr>
          <w:color w:val="231F20"/>
          <w:w w:val="105"/>
        </w:rPr>
        <w:t>supply</w:t>
      </w:r>
      <w:r>
        <w:rPr>
          <w:color w:val="231F20"/>
          <w:spacing w:val="-25"/>
          <w:w w:val="105"/>
        </w:rPr>
        <w:t> </w:t>
      </w:r>
      <w:r>
        <w:rPr>
          <w:color w:val="231F20"/>
          <w:w w:val="105"/>
        </w:rPr>
        <w:t>and</w:t>
      </w:r>
      <w:r>
        <w:rPr>
          <w:color w:val="231F20"/>
          <w:spacing w:val="-24"/>
          <w:w w:val="105"/>
        </w:rPr>
        <w:t> </w:t>
      </w:r>
      <w:r>
        <w:rPr>
          <w:color w:val="231F20"/>
          <w:w w:val="105"/>
        </w:rPr>
        <w:t>other</w:t>
      </w:r>
      <w:r>
        <w:rPr>
          <w:color w:val="231F20"/>
          <w:spacing w:val="-24"/>
          <w:w w:val="105"/>
        </w:rPr>
        <w:t> </w:t>
      </w:r>
      <w:r>
        <w:rPr>
          <w:color w:val="231F20"/>
          <w:w w:val="105"/>
        </w:rPr>
        <w:t>func­ tions are initially normal. If the urine output of only</w:t>
      </w:r>
      <w:r>
        <w:rPr>
          <w:color w:val="231F20"/>
          <w:spacing w:val="-29"/>
          <w:w w:val="105"/>
        </w:rPr>
        <w:t> </w:t>
      </w:r>
      <w:r>
        <w:rPr>
          <w:color w:val="231F20"/>
          <w:spacing w:val="-4"/>
          <w:w w:val="105"/>
        </w:rPr>
        <w:t>one </w:t>
      </w:r>
      <w:r>
        <w:rPr>
          <w:color w:val="231F20"/>
          <w:w w:val="105"/>
        </w:rPr>
        <w:t>kidney</w:t>
      </w:r>
      <w:r>
        <w:rPr>
          <w:color w:val="231F20"/>
          <w:spacing w:val="-23"/>
          <w:w w:val="105"/>
        </w:rPr>
        <w:t> </w:t>
      </w:r>
      <w:r>
        <w:rPr>
          <w:color w:val="231F20"/>
          <w:w w:val="105"/>
        </w:rPr>
        <w:t>is</w:t>
      </w:r>
      <w:r>
        <w:rPr>
          <w:color w:val="231F20"/>
          <w:spacing w:val="-22"/>
          <w:w w:val="105"/>
        </w:rPr>
        <w:t> </w:t>
      </w:r>
      <w:r>
        <w:rPr>
          <w:color w:val="231F20"/>
          <w:w w:val="105"/>
        </w:rPr>
        <w:t>diminished,</w:t>
      </w:r>
      <w:r>
        <w:rPr>
          <w:color w:val="231F20"/>
          <w:spacing w:val="-23"/>
          <w:w w:val="105"/>
        </w:rPr>
        <w:t> </w:t>
      </w:r>
      <w:r>
        <w:rPr>
          <w:color w:val="231F20"/>
          <w:w w:val="105"/>
        </w:rPr>
        <w:t>no</w:t>
      </w:r>
      <w:r>
        <w:rPr>
          <w:color w:val="231F20"/>
          <w:spacing w:val="-22"/>
          <w:w w:val="105"/>
        </w:rPr>
        <w:t> </w:t>
      </w:r>
      <w:r>
        <w:rPr>
          <w:color w:val="231F20"/>
          <w:w w:val="105"/>
        </w:rPr>
        <w:t>major</w:t>
      </w:r>
      <w:r>
        <w:rPr>
          <w:color w:val="231F20"/>
          <w:spacing w:val="-23"/>
          <w:w w:val="105"/>
        </w:rPr>
        <w:t> </w:t>
      </w:r>
      <w:r>
        <w:rPr>
          <w:color w:val="231F20"/>
          <w:w w:val="105"/>
        </w:rPr>
        <w:t>change</w:t>
      </w:r>
      <w:r>
        <w:rPr>
          <w:color w:val="231F20"/>
          <w:spacing w:val="-22"/>
          <w:w w:val="105"/>
        </w:rPr>
        <w:t> </w:t>
      </w:r>
      <w:r>
        <w:rPr>
          <w:color w:val="231F20"/>
          <w:w w:val="105"/>
        </w:rPr>
        <w:t>in</w:t>
      </w:r>
      <w:r>
        <w:rPr>
          <w:color w:val="231F20"/>
          <w:spacing w:val="-22"/>
          <w:w w:val="105"/>
        </w:rPr>
        <w:t> </w:t>
      </w:r>
      <w:r>
        <w:rPr>
          <w:color w:val="231F20"/>
          <w:w w:val="105"/>
        </w:rPr>
        <w:t>body</w:t>
      </w:r>
      <w:r>
        <w:rPr>
          <w:color w:val="231F20"/>
          <w:spacing w:val="-23"/>
          <w:w w:val="105"/>
        </w:rPr>
        <w:t> </w:t>
      </w:r>
      <w:r>
        <w:rPr>
          <w:color w:val="231F20"/>
          <w:w w:val="105"/>
        </w:rPr>
        <w:t>fluid</w:t>
      </w:r>
      <w:r>
        <w:rPr>
          <w:color w:val="231F20"/>
          <w:spacing w:val="-22"/>
          <w:w w:val="105"/>
        </w:rPr>
        <w:t> </w:t>
      </w:r>
      <w:r>
        <w:rPr>
          <w:color w:val="231F20"/>
          <w:w w:val="105"/>
        </w:rPr>
        <w:t>com­ position will occur because the contralateral kidney can increase</w:t>
      </w:r>
      <w:r>
        <w:rPr>
          <w:color w:val="231F20"/>
          <w:spacing w:val="-25"/>
          <w:w w:val="105"/>
        </w:rPr>
        <w:t> </w:t>
      </w:r>
      <w:r>
        <w:rPr>
          <w:color w:val="231F20"/>
          <w:w w:val="105"/>
        </w:rPr>
        <w:t>its</w:t>
      </w:r>
      <w:r>
        <w:rPr>
          <w:color w:val="231F20"/>
          <w:spacing w:val="-24"/>
          <w:w w:val="105"/>
        </w:rPr>
        <w:t> </w:t>
      </w:r>
      <w:r>
        <w:rPr>
          <w:color w:val="231F20"/>
          <w:w w:val="105"/>
        </w:rPr>
        <w:t>urine</w:t>
      </w:r>
      <w:r>
        <w:rPr>
          <w:color w:val="231F20"/>
          <w:spacing w:val="-24"/>
          <w:w w:val="105"/>
        </w:rPr>
        <w:t> </w:t>
      </w:r>
      <w:r>
        <w:rPr>
          <w:color w:val="231F20"/>
          <w:w w:val="105"/>
        </w:rPr>
        <w:t>output</w:t>
      </w:r>
      <w:r>
        <w:rPr>
          <w:color w:val="231F20"/>
          <w:spacing w:val="-24"/>
          <w:w w:val="105"/>
        </w:rPr>
        <w:t> </w:t>
      </w:r>
      <w:r>
        <w:rPr>
          <w:color w:val="231F20"/>
          <w:w w:val="105"/>
        </w:rPr>
        <w:t>sufficiently</w:t>
      </w:r>
      <w:r>
        <w:rPr>
          <w:color w:val="231F20"/>
          <w:spacing w:val="-24"/>
          <w:w w:val="105"/>
        </w:rPr>
        <w:t> </w:t>
      </w:r>
      <w:r>
        <w:rPr>
          <w:color w:val="231F20"/>
          <w:w w:val="105"/>
        </w:rPr>
        <w:t>to</w:t>
      </w:r>
      <w:r>
        <w:rPr>
          <w:color w:val="231F20"/>
          <w:spacing w:val="-25"/>
          <w:w w:val="105"/>
        </w:rPr>
        <w:t> </w:t>
      </w:r>
      <w:r>
        <w:rPr>
          <w:color w:val="231F20"/>
          <w:w w:val="105"/>
        </w:rPr>
        <w:t>maintain</w:t>
      </w:r>
      <w:r>
        <w:rPr>
          <w:color w:val="231F20"/>
          <w:spacing w:val="-24"/>
          <w:w w:val="105"/>
        </w:rPr>
        <w:t> </w:t>
      </w:r>
      <w:r>
        <w:rPr>
          <w:color w:val="231F20"/>
          <w:spacing w:val="-3"/>
          <w:w w:val="105"/>
        </w:rPr>
        <w:t>relatively </w:t>
      </w:r>
      <w:r>
        <w:rPr>
          <w:color w:val="231F20"/>
          <w:w w:val="105"/>
        </w:rPr>
        <w:t>normal</w:t>
      </w:r>
      <w:r>
        <w:rPr>
          <w:color w:val="231F20"/>
          <w:spacing w:val="-13"/>
          <w:w w:val="105"/>
        </w:rPr>
        <w:t> </w:t>
      </w:r>
      <w:r>
        <w:rPr>
          <w:color w:val="231F20"/>
          <w:w w:val="105"/>
        </w:rPr>
        <w:t>levels</w:t>
      </w:r>
      <w:r>
        <w:rPr>
          <w:color w:val="231F20"/>
          <w:spacing w:val="-12"/>
          <w:w w:val="105"/>
        </w:rPr>
        <w:t> </w:t>
      </w:r>
      <w:r>
        <w:rPr>
          <w:color w:val="231F20"/>
          <w:w w:val="105"/>
        </w:rPr>
        <w:t>of</w:t>
      </w:r>
      <w:r>
        <w:rPr>
          <w:color w:val="231F20"/>
          <w:spacing w:val="-12"/>
          <w:w w:val="105"/>
        </w:rPr>
        <w:t> </w:t>
      </w:r>
      <w:r>
        <w:rPr>
          <w:color w:val="231F20"/>
          <w:w w:val="105"/>
        </w:rPr>
        <w:t>extracellular</w:t>
      </w:r>
      <w:r>
        <w:rPr>
          <w:color w:val="231F20"/>
          <w:spacing w:val="-12"/>
          <w:w w:val="105"/>
        </w:rPr>
        <w:t> </w:t>
      </w:r>
      <w:r>
        <w:rPr>
          <w:color w:val="231F20"/>
          <w:w w:val="105"/>
        </w:rPr>
        <w:t>electrolytes</w:t>
      </w:r>
      <w:r>
        <w:rPr>
          <w:color w:val="231F20"/>
          <w:spacing w:val="-12"/>
          <w:w w:val="105"/>
        </w:rPr>
        <w:t> </w:t>
      </w:r>
      <w:r>
        <w:rPr>
          <w:color w:val="231F20"/>
          <w:w w:val="105"/>
        </w:rPr>
        <w:t>and</w:t>
      </w:r>
      <w:r>
        <w:rPr>
          <w:color w:val="231F20"/>
          <w:spacing w:val="-13"/>
          <w:w w:val="105"/>
        </w:rPr>
        <w:t> </w:t>
      </w:r>
      <w:r>
        <w:rPr>
          <w:color w:val="231F20"/>
          <w:w w:val="105"/>
        </w:rPr>
        <w:t>solutes,</w:t>
      </w:r>
      <w:r>
        <w:rPr>
          <w:color w:val="231F20"/>
          <w:spacing w:val="-12"/>
          <w:w w:val="105"/>
        </w:rPr>
        <w:t> </w:t>
      </w:r>
      <w:r>
        <w:rPr>
          <w:color w:val="231F20"/>
          <w:w w:val="105"/>
        </w:rPr>
        <w:t>as well</w:t>
      </w:r>
      <w:r>
        <w:rPr>
          <w:color w:val="231F20"/>
          <w:spacing w:val="-11"/>
          <w:w w:val="105"/>
        </w:rPr>
        <w:t> </w:t>
      </w:r>
      <w:r>
        <w:rPr>
          <w:color w:val="231F20"/>
          <w:w w:val="105"/>
        </w:rPr>
        <w:t>as</w:t>
      </w:r>
      <w:r>
        <w:rPr>
          <w:color w:val="231F20"/>
          <w:spacing w:val="-10"/>
          <w:w w:val="105"/>
        </w:rPr>
        <w:t> </w:t>
      </w:r>
      <w:r>
        <w:rPr>
          <w:color w:val="231F20"/>
          <w:w w:val="105"/>
        </w:rPr>
        <w:t>normal</w:t>
      </w:r>
      <w:r>
        <w:rPr>
          <w:color w:val="231F20"/>
          <w:spacing w:val="-11"/>
          <w:w w:val="105"/>
        </w:rPr>
        <w:t> </w:t>
      </w:r>
      <w:r>
        <w:rPr>
          <w:color w:val="231F20"/>
          <w:w w:val="105"/>
        </w:rPr>
        <w:t>extracellular</w:t>
      </w:r>
      <w:r>
        <w:rPr>
          <w:color w:val="231F20"/>
          <w:spacing w:val="-10"/>
          <w:w w:val="105"/>
        </w:rPr>
        <w:t> </w:t>
      </w:r>
      <w:r>
        <w:rPr>
          <w:color w:val="231F20"/>
          <w:w w:val="105"/>
        </w:rPr>
        <w:t>fluid</w:t>
      </w:r>
      <w:r>
        <w:rPr>
          <w:color w:val="231F20"/>
          <w:spacing w:val="-11"/>
          <w:w w:val="105"/>
        </w:rPr>
        <w:t> </w:t>
      </w:r>
      <w:r>
        <w:rPr>
          <w:color w:val="231F20"/>
          <w:w w:val="105"/>
        </w:rPr>
        <w:t>volume.</w:t>
      </w:r>
      <w:r>
        <w:rPr>
          <w:color w:val="231F20"/>
          <w:spacing w:val="-10"/>
          <w:w w:val="105"/>
        </w:rPr>
        <w:t> </w:t>
      </w:r>
      <w:r>
        <w:rPr>
          <w:color w:val="231F20"/>
          <w:spacing w:val="-3"/>
          <w:w w:val="105"/>
        </w:rPr>
        <w:t>With</w:t>
      </w:r>
      <w:r>
        <w:rPr>
          <w:color w:val="231F20"/>
          <w:spacing w:val="-10"/>
          <w:w w:val="105"/>
        </w:rPr>
        <w:t> </w:t>
      </w:r>
      <w:r>
        <w:rPr>
          <w:color w:val="231F20"/>
          <w:w w:val="105"/>
        </w:rPr>
        <w:t>this</w:t>
      </w:r>
      <w:r>
        <w:rPr>
          <w:color w:val="231F20"/>
          <w:spacing w:val="-11"/>
          <w:w w:val="105"/>
        </w:rPr>
        <w:t> </w:t>
      </w:r>
      <w:r>
        <w:rPr>
          <w:color w:val="231F20"/>
          <w:w w:val="105"/>
        </w:rPr>
        <w:t>type of</w:t>
      </w:r>
      <w:r>
        <w:rPr>
          <w:color w:val="231F20"/>
          <w:spacing w:val="-12"/>
          <w:w w:val="105"/>
        </w:rPr>
        <w:t> </w:t>
      </w:r>
      <w:r>
        <w:rPr>
          <w:color w:val="231F20"/>
          <w:w w:val="105"/>
        </w:rPr>
        <w:t>renal</w:t>
      </w:r>
      <w:r>
        <w:rPr>
          <w:color w:val="231F20"/>
          <w:spacing w:val="-12"/>
          <w:w w:val="105"/>
        </w:rPr>
        <w:t> </w:t>
      </w:r>
      <w:r>
        <w:rPr>
          <w:color w:val="231F20"/>
          <w:w w:val="105"/>
        </w:rPr>
        <w:t>injury,</w:t>
      </w:r>
      <w:r>
        <w:rPr>
          <w:color w:val="231F20"/>
          <w:spacing w:val="-12"/>
          <w:w w:val="105"/>
        </w:rPr>
        <w:t> </w:t>
      </w:r>
      <w:r>
        <w:rPr>
          <w:color w:val="231F20"/>
          <w:w w:val="105"/>
        </w:rPr>
        <w:t>normal</w:t>
      </w:r>
      <w:r>
        <w:rPr>
          <w:color w:val="231F20"/>
          <w:spacing w:val="-12"/>
          <w:w w:val="105"/>
        </w:rPr>
        <w:t> </w:t>
      </w:r>
      <w:r>
        <w:rPr>
          <w:color w:val="231F20"/>
          <w:w w:val="105"/>
        </w:rPr>
        <w:t>kidney</w:t>
      </w:r>
      <w:r>
        <w:rPr>
          <w:color w:val="231F20"/>
          <w:spacing w:val="-12"/>
          <w:w w:val="105"/>
        </w:rPr>
        <w:t> </w:t>
      </w:r>
      <w:r>
        <w:rPr>
          <w:color w:val="231F20"/>
          <w:w w:val="105"/>
        </w:rPr>
        <w:t>function</w:t>
      </w:r>
      <w:r>
        <w:rPr>
          <w:color w:val="231F20"/>
          <w:spacing w:val="-12"/>
          <w:w w:val="105"/>
        </w:rPr>
        <w:t> </w:t>
      </w:r>
      <w:r>
        <w:rPr>
          <w:color w:val="231F20"/>
          <w:w w:val="105"/>
        </w:rPr>
        <w:t>can</w:t>
      </w:r>
      <w:r>
        <w:rPr>
          <w:color w:val="231F20"/>
          <w:spacing w:val="-12"/>
          <w:w w:val="105"/>
        </w:rPr>
        <w:t> </w:t>
      </w:r>
      <w:r>
        <w:rPr>
          <w:color w:val="231F20"/>
          <w:w w:val="105"/>
        </w:rPr>
        <w:t>be</w:t>
      </w:r>
      <w:r>
        <w:rPr>
          <w:color w:val="231F20"/>
          <w:spacing w:val="-12"/>
          <w:w w:val="105"/>
        </w:rPr>
        <w:t> </w:t>
      </w:r>
      <w:r>
        <w:rPr>
          <w:color w:val="231F20"/>
          <w:w w:val="105"/>
        </w:rPr>
        <w:t>restored</w:t>
      </w:r>
      <w:r>
        <w:rPr>
          <w:color w:val="231F20"/>
          <w:spacing w:val="-12"/>
          <w:w w:val="105"/>
        </w:rPr>
        <w:t> </w:t>
      </w:r>
      <w:r>
        <w:rPr>
          <w:color w:val="231F20"/>
          <w:w w:val="105"/>
        </w:rPr>
        <w:t>if the basic cause of the problem is corrected within a few hours. However, chronic obstruction of the urinary </w:t>
      </w:r>
      <w:r>
        <w:rPr>
          <w:color w:val="231F20"/>
          <w:spacing w:val="-3"/>
          <w:w w:val="105"/>
        </w:rPr>
        <w:t>tract </w:t>
      </w:r>
      <w:r>
        <w:rPr>
          <w:color w:val="231F20"/>
          <w:w w:val="105"/>
        </w:rPr>
        <w:t>that</w:t>
      </w:r>
      <w:r>
        <w:rPr>
          <w:color w:val="231F20"/>
          <w:spacing w:val="-23"/>
          <w:w w:val="105"/>
        </w:rPr>
        <w:t> </w:t>
      </w:r>
      <w:r>
        <w:rPr>
          <w:color w:val="231F20"/>
          <w:w w:val="105"/>
        </w:rPr>
        <w:t>lasts</w:t>
      </w:r>
      <w:r>
        <w:rPr>
          <w:color w:val="231F20"/>
          <w:spacing w:val="-22"/>
          <w:w w:val="105"/>
        </w:rPr>
        <w:t> </w:t>
      </w:r>
      <w:r>
        <w:rPr>
          <w:color w:val="231F20"/>
          <w:w w:val="105"/>
        </w:rPr>
        <w:t>for</w:t>
      </w:r>
      <w:r>
        <w:rPr>
          <w:color w:val="231F20"/>
          <w:spacing w:val="-22"/>
          <w:w w:val="105"/>
        </w:rPr>
        <w:t> </w:t>
      </w:r>
      <w:r>
        <w:rPr>
          <w:color w:val="231F20"/>
          <w:w w:val="105"/>
        </w:rPr>
        <w:t>several</w:t>
      </w:r>
      <w:r>
        <w:rPr>
          <w:color w:val="231F20"/>
          <w:spacing w:val="-23"/>
          <w:w w:val="105"/>
        </w:rPr>
        <w:t> </w:t>
      </w:r>
      <w:r>
        <w:rPr>
          <w:color w:val="231F20"/>
          <w:w w:val="105"/>
        </w:rPr>
        <w:t>days</w:t>
      </w:r>
      <w:r>
        <w:rPr>
          <w:color w:val="231F20"/>
          <w:spacing w:val="-22"/>
          <w:w w:val="105"/>
        </w:rPr>
        <w:t> </w:t>
      </w:r>
      <w:r>
        <w:rPr>
          <w:color w:val="231F20"/>
          <w:w w:val="105"/>
        </w:rPr>
        <w:t>or</w:t>
      </w:r>
      <w:r>
        <w:rPr>
          <w:color w:val="231F20"/>
          <w:spacing w:val="-22"/>
          <w:w w:val="105"/>
        </w:rPr>
        <w:t> </w:t>
      </w:r>
      <w:r>
        <w:rPr>
          <w:color w:val="231F20"/>
          <w:w w:val="105"/>
        </w:rPr>
        <w:t>weeks</w:t>
      </w:r>
      <w:r>
        <w:rPr>
          <w:color w:val="231F20"/>
          <w:spacing w:val="-23"/>
          <w:w w:val="105"/>
        </w:rPr>
        <w:t> </w:t>
      </w:r>
      <w:r>
        <w:rPr>
          <w:color w:val="231F20"/>
          <w:w w:val="105"/>
        </w:rPr>
        <w:t>can</w:t>
      </w:r>
      <w:r>
        <w:rPr>
          <w:color w:val="231F20"/>
          <w:spacing w:val="-22"/>
          <w:w w:val="105"/>
        </w:rPr>
        <w:t> </w:t>
      </w:r>
      <w:r>
        <w:rPr>
          <w:color w:val="231F20"/>
          <w:w w:val="105"/>
        </w:rPr>
        <w:t>lead</w:t>
      </w:r>
      <w:r>
        <w:rPr>
          <w:color w:val="231F20"/>
          <w:spacing w:val="-22"/>
          <w:w w:val="105"/>
        </w:rPr>
        <w:t> </w:t>
      </w:r>
      <w:r>
        <w:rPr>
          <w:color w:val="231F20"/>
          <w:w w:val="105"/>
        </w:rPr>
        <w:t>to</w:t>
      </w:r>
      <w:r>
        <w:rPr>
          <w:color w:val="231F20"/>
          <w:spacing w:val="-22"/>
          <w:w w:val="105"/>
        </w:rPr>
        <w:t> </w:t>
      </w:r>
      <w:r>
        <w:rPr>
          <w:color w:val="231F20"/>
          <w:w w:val="105"/>
        </w:rPr>
        <w:t>irreversible kidney damage. Some of the causes of postrenal AKI include (1) bilateral obstruction of the ureters or </w:t>
      </w:r>
      <w:r>
        <w:rPr>
          <w:color w:val="231F20"/>
          <w:spacing w:val="-4"/>
          <w:w w:val="105"/>
        </w:rPr>
        <w:t>renal </w:t>
      </w:r>
      <w:r>
        <w:rPr>
          <w:color w:val="231F20"/>
          <w:w w:val="105"/>
        </w:rPr>
        <w:t>pelvises</w:t>
      </w:r>
      <w:r>
        <w:rPr>
          <w:color w:val="231F20"/>
          <w:spacing w:val="-20"/>
          <w:w w:val="105"/>
        </w:rPr>
        <w:t> </w:t>
      </w:r>
      <w:r>
        <w:rPr>
          <w:color w:val="231F20"/>
          <w:w w:val="105"/>
        </w:rPr>
        <w:t>caused</w:t>
      </w:r>
      <w:r>
        <w:rPr>
          <w:color w:val="231F20"/>
          <w:spacing w:val="-20"/>
          <w:w w:val="105"/>
        </w:rPr>
        <w:t> </w:t>
      </w:r>
      <w:r>
        <w:rPr>
          <w:color w:val="231F20"/>
          <w:w w:val="105"/>
        </w:rPr>
        <w:t>by</w:t>
      </w:r>
      <w:r>
        <w:rPr>
          <w:color w:val="231F20"/>
          <w:spacing w:val="-19"/>
          <w:w w:val="105"/>
        </w:rPr>
        <w:t> </w:t>
      </w:r>
      <w:r>
        <w:rPr>
          <w:color w:val="231F20"/>
          <w:w w:val="105"/>
        </w:rPr>
        <w:t>large</w:t>
      </w:r>
      <w:r>
        <w:rPr>
          <w:color w:val="231F20"/>
          <w:spacing w:val="-20"/>
          <w:w w:val="105"/>
        </w:rPr>
        <w:t> </w:t>
      </w:r>
      <w:r>
        <w:rPr>
          <w:color w:val="231F20"/>
          <w:w w:val="105"/>
        </w:rPr>
        <w:t>stones</w:t>
      </w:r>
      <w:r>
        <w:rPr>
          <w:color w:val="231F20"/>
          <w:spacing w:val="-20"/>
          <w:w w:val="105"/>
        </w:rPr>
        <w:t> </w:t>
      </w:r>
      <w:r>
        <w:rPr>
          <w:color w:val="231F20"/>
          <w:w w:val="105"/>
        </w:rPr>
        <w:t>or</w:t>
      </w:r>
      <w:r>
        <w:rPr>
          <w:color w:val="231F20"/>
          <w:spacing w:val="-19"/>
          <w:w w:val="105"/>
        </w:rPr>
        <w:t> </w:t>
      </w:r>
      <w:r>
        <w:rPr>
          <w:color w:val="231F20"/>
          <w:w w:val="105"/>
        </w:rPr>
        <w:t>blood</w:t>
      </w:r>
      <w:r>
        <w:rPr>
          <w:color w:val="231F20"/>
          <w:spacing w:val="-20"/>
          <w:w w:val="105"/>
        </w:rPr>
        <w:t> </w:t>
      </w:r>
      <w:r>
        <w:rPr>
          <w:color w:val="231F20"/>
          <w:w w:val="105"/>
        </w:rPr>
        <w:t>clots,</w:t>
      </w:r>
      <w:r>
        <w:rPr>
          <w:color w:val="231F20"/>
          <w:spacing w:val="-20"/>
          <w:w w:val="105"/>
        </w:rPr>
        <w:t> </w:t>
      </w:r>
      <w:r>
        <w:rPr>
          <w:color w:val="231F20"/>
          <w:w w:val="105"/>
        </w:rPr>
        <w:t>(2)</w:t>
      </w:r>
      <w:r>
        <w:rPr>
          <w:color w:val="231F20"/>
          <w:spacing w:val="-19"/>
          <w:w w:val="105"/>
        </w:rPr>
        <w:t> </w:t>
      </w:r>
      <w:r>
        <w:rPr>
          <w:color w:val="231F20"/>
          <w:w w:val="105"/>
        </w:rPr>
        <w:t>bladder obstruction, and (3) obstruction of the</w:t>
      </w:r>
      <w:r>
        <w:rPr>
          <w:color w:val="231F20"/>
          <w:spacing w:val="18"/>
          <w:w w:val="105"/>
        </w:rPr>
        <w:t> </w:t>
      </w:r>
      <w:r>
        <w:rPr>
          <w:color w:val="231F20"/>
          <w:w w:val="105"/>
        </w:rPr>
        <w:t>urethra.</w:t>
      </w:r>
    </w:p>
    <w:p>
      <w:pPr>
        <w:pStyle w:val="BodyText"/>
        <w:spacing w:before="10"/>
        <w:rPr>
          <w:sz w:val="31"/>
        </w:rPr>
      </w:pPr>
    </w:p>
    <w:p>
      <w:pPr>
        <w:pStyle w:val="Heading2"/>
        <w:spacing w:line="225" w:lineRule="auto" w:before="1"/>
        <w:ind w:right="1490"/>
      </w:pPr>
      <w:r>
        <w:rPr>
          <w:color w:val="231F20"/>
        </w:rPr>
        <w:t>PHYSIOLOGICAL EFFECTS OF ACUTE KIDNEY INJURY</w:t>
      </w:r>
    </w:p>
    <w:p>
      <w:pPr>
        <w:pStyle w:val="BodyText"/>
        <w:spacing w:line="249" w:lineRule="auto" w:before="127"/>
        <w:ind w:left="319" w:right="1077"/>
        <w:jc w:val="both"/>
      </w:pPr>
      <w:r>
        <w:rPr>
          <w:color w:val="231F20"/>
          <w:w w:val="105"/>
        </w:rPr>
        <w:t>A major physiological effect of acute renal failure is</w:t>
      </w:r>
      <w:r>
        <w:rPr>
          <w:color w:val="231F20"/>
          <w:spacing w:val="-34"/>
          <w:w w:val="105"/>
        </w:rPr>
        <w:t> </w:t>
      </w:r>
      <w:r>
        <w:rPr>
          <w:color w:val="231F20"/>
          <w:w w:val="105"/>
        </w:rPr>
        <w:t>the retention of </w:t>
      </w:r>
      <w:r>
        <w:rPr>
          <w:color w:val="231F20"/>
          <w:spacing w:val="-3"/>
          <w:w w:val="105"/>
        </w:rPr>
        <w:t>water, </w:t>
      </w:r>
      <w:r>
        <w:rPr>
          <w:color w:val="231F20"/>
          <w:w w:val="105"/>
        </w:rPr>
        <w:t>waste products of metabolism, and electrolytes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blood</w:t>
      </w:r>
      <w:r>
        <w:rPr>
          <w:color w:val="231F20"/>
          <w:spacing w:val="-9"/>
          <w:w w:val="105"/>
        </w:rPr>
        <w:t> </w:t>
      </w:r>
      <w:r>
        <w:rPr>
          <w:color w:val="231F20"/>
          <w:w w:val="105"/>
        </w:rPr>
        <w:t>and</w:t>
      </w:r>
      <w:r>
        <w:rPr>
          <w:color w:val="231F20"/>
          <w:spacing w:val="-10"/>
          <w:w w:val="105"/>
        </w:rPr>
        <w:t> </w:t>
      </w:r>
      <w:r>
        <w:rPr>
          <w:color w:val="231F20"/>
          <w:w w:val="105"/>
        </w:rPr>
        <w:t>extracellular</w:t>
      </w:r>
      <w:r>
        <w:rPr>
          <w:color w:val="231F20"/>
          <w:spacing w:val="-10"/>
          <w:w w:val="105"/>
        </w:rPr>
        <w:t> </w:t>
      </w:r>
      <w:r>
        <w:rPr>
          <w:color w:val="231F20"/>
          <w:w w:val="105"/>
        </w:rPr>
        <w:t>fluid.</w:t>
      </w:r>
      <w:r>
        <w:rPr>
          <w:color w:val="231F20"/>
          <w:spacing w:val="-9"/>
          <w:w w:val="105"/>
        </w:rPr>
        <w:t> </w:t>
      </w:r>
      <w:r>
        <w:rPr>
          <w:color w:val="231F20"/>
          <w:w w:val="105"/>
        </w:rPr>
        <w:t>This</w:t>
      </w:r>
      <w:r>
        <w:rPr>
          <w:color w:val="231F20"/>
          <w:spacing w:val="-10"/>
          <w:w w:val="105"/>
        </w:rPr>
        <w:t> </w:t>
      </w:r>
      <w:r>
        <w:rPr>
          <w:color w:val="231F20"/>
          <w:w w:val="105"/>
        </w:rPr>
        <w:t>can lead to water and salt overload, which, in turn, can </w:t>
      </w:r>
      <w:r>
        <w:rPr>
          <w:color w:val="231F20"/>
          <w:spacing w:val="-3"/>
          <w:w w:val="105"/>
        </w:rPr>
        <w:t>lead </w:t>
      </w:r>
      <w:r>
        <w:rPr>
          <w:color w:val="231F20"/>
          <w:w w:val="105"/>
        </w:rPr>
        <w:t>to</w:t>
      </w:r>
      <w:r>
        <w:rPr>
          <w:color w:val="231F20"/>
          <w:spacing w:val="22"/>
          <w:w w:val="105"/>
        </w:rPr>
        <w:t> </w:t>
      </w:r>
      <w:r>
        <w:rPr>
          <w:color w:val="231F20"/>
          <w:w w:val="105"/>
        </w:rPr>
        <w:t>edema</w:t>
      </w:r>
      <w:r>
        <w:rPr>
          <w:color w:val="231F20"/>
          <w:spacing w:val="22"/>
          <w:w w:val="105"/>
        </w:rPr>
        <w:t> </w:t>
      </w:r>
      <w:r>
        <w:rPr>
          <w:color w:val="231F20"/>
          <w:w w:val="105"/>
        </w:rPr>
        <w:t>and</w:t>
      </w:r>
      <w:r>
        <w:rPr>
          <w:color w:val="231F20"/>
          <w:spacing w:val="23"/>
          <w:w w:val="105"/>
        </w:rPr>
        <w:t> </w:t>
      </w:r>
      <w:r>
        <w:rPr>
          <w:color w:val="231F20"/>
          <w:w w:val="105"/>
        </w:rPr>
        <w:t>hypertension.</w:t>
      </w:r>
      <w:r>
        <w:rPr>
          <w:color w:val="231F20"/>
          <w:spacing w:val="22"/>
          <w:w w:val="105"/>
        </w:rPr>
        <w:t> </w:t>
      </w:r>
      <w:r>
        <w:rPr>
          <w:color w:val="231F20"/>
          <w:w w:val="105"/>
        </w:rPr>
        <w:t>Excessive</w:t>
      </w:r>
      <w:r>
        <w:rPr>
          <w:color w:val="231F20"/>
          <w:spacing w:val="23"/>
          <w:w w:val="105"/>
        </w:rPr>
        <w:t> </w:t>
      </w:r>
      <w:r>
        <w:rPr>
          <w:color w:val="231F20"/>
          <w:w w:val="105"/>
        </w:rPr>
        <w:t>retention</w:t>
      </w:r>
      <w:r>
        <w:rPr>
          <w:color w:val="231F20"/>
          <w:spacing w:val="22"/>
          <w:w w:val="105"/>
        </w:rPr>
        <w:t> </w:t>
      </w:r>
      <w:r>
        <w:rPr>
          <w:color w:val="231F20"/>
          <w:spacing w:val="-6"/>
          <w:w w:val="105"/>
        </w:rPr>
        <w:t>of</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1041"/>
          <w:footerReference w:type="even" r:id="rId1042"/>
          <w:footerReference w:type="default" r:id="rId1043"/>
          <w:pgSz w:w="12240" w:h="15660"/>
          <w:pgMar w:header="0" w:footer="567" w:top="720" w:bottom="760" w:left="0" w:right="0"/>
          <w:pgNumType w:start="432"/>
        </w:sectPr>
      </w:pPr>
    </w:p>
    <w:p>
      <w:pPr>
        <w:pStyle w:val="BodyText"/>
        <w:spacing w:line="249" w:lineRule="auto" w:before="99"/>
        <w:ind w:left="1080"/>
        <w:jc w:val="both"/>
      </w:pPr>
      <w:r>
        <w:rPr>
          <w:color w:val="231F20"/>
        </w:rPr>
        <w:t>potassium, however, is often a more serious threat </w:t>
      </w:r>
      <w:r>
        <w:rPr>
          <w:color w:val="231F20"/>
          <w:spacing w:val="-8"/>
        </w:rPr>
        <w:t>to </w:t>
      </w:r>
      <w:r>
        <w:rPr>
          <w:color w:val="231F20"/>
        </w:rPr>
        <w:t>patients with AKI because increases in plasma potassium concentration (hyperkalemia) above 8 mEq/L (only </w:t>
      </w:r>
      <w:r>
        <w:rPr>
          <w:color w:val="231F20"/>
          <w:spacing w:val="-4"/>
        </w:rPr>
        <w:t>twice </w:t>
      </w:r>
      <w:r>
        <w:rPr>
          <w:color w:val="231F20"/>
        </w:rPr>
        <w:t>normal) can be fatal. Because the kidneys are also unable to</w:t>
      </w:r>
      <w:r>
        <w:rPr>
          <w:color w:val="231F20"/>
          <w:spacing w:val="-5"/>
        </w:rPr>
        <w:t> </w:t>
      </w:r>
      <w:r>
        <w:rPr>
          <w:color w:val="231F20"/>
        </w:rPr>
        <w:t>excrete</w:t>
      </w:r>
      <w:r>
        <w:rPr>
          <w:color w:val="231F20"/>
          <w:spacing w:val="-5"/>
        </w:rPr>
        <w:t> </w:t>
      </w:r>
      <w:r>
        <w:rPr>
          <w:color w:val="231F20"/>
        </w:rPr>
        <w:t>sufficient</w:t>
      </w:r>
      <w:r>
        <w:rPr>
          <w:color w:val="231F20"/>
          <w:spacing w:val="-5"/>
        </w:rPr>
        <w:t> </w:t>
      </w:r>
      <w:r>
        <w:rPr>
          <w:color w:val="231F20"/>
        </w:rPr>
        <w:t>hydrogen</w:t>
      </w:r>
      <w:r>
        <w:rPr>
          <w:color w:val="231F20"/>
          <w:spacing w:val="-5"/>
        </w:rPr>
        <w:t> </w:t>
      </w:r>
      <w:r>
        <w:rPr>
          <w:color w:val="231F20"/>
        </w:rPr>
        <w:t>ions,</w:t>
      </w:r>
      <w:r>
        <w:rPr>
          <w:color w:val="231F20"/>
          <w:spacing w:val="-5"/>
        </w:rPr>
        <w:t> </w:t>
      </w:r>
      <w:r>
        <w:rPr>
          <w:color w:val="231F20"/>
        </w:rPr>
        <w:t>patients</w:t>
      </w:r>
      <w:r>
        <w:rPr>
          <w:color w:val="231F20"/>
          <w:spacing w:val="-5"/>
        </w:rPr>
        <w:t> </w:t>
      </w:r>
      <w:r>
        <w:rPr>
          <w:color w:val="231F20"/>
        </w:rPr>
        <w:t>with</w:t>
      </w:r>
      <w:r>
        <w:rPr>
          <w:color w:val="231F20"/>
          <w:spacing w:val="-5"/>
        </w:rPr>
        <w:t> </w:t>
      </w:r>
      <w:r>
        <w:rPr>
          <w:color w:val="231F20"/>
        </w:rPr>
        <w:t>AKI</w:t>
      </w:r>
      <w:r>
        <w:rPr>
          <w:color w:val="231F20"/>
          <w:spacing w:val="-5"/>
        </w:rPr>
        <w:t> </w:t>
      </w:r>
      <w:r>
        <w:rPr>
          <w:color w:val="231F20"/>
        </w:rPr>
        <w:t>may experience metabolic acidosis, which in itself can </w:t>
      </w:r>
      <w:r>
        <w:rPr>
          <w:color w:val="231F20"/>
          <w:spacing w:val="-5"/>
        </w:rPr>
        <w:t>be </w:t>
      </w:r>
      <w:r>
        <w:rPr>
          <w:color w:val="231F20"/>
        </w:rPr>
        <w:t>lethal or can aggravate the</w:t>
      </w:r>
      <w:r>
        <w:rPr>
          <w:color w:val="231F20"/>
          <w:spacing w:val="40"/>
        </w:rPr>
        <w:t> </w:t>
      </w:r>
      <w:r>
        <w:rPr>
          <w:color w:val="231F20"/>
        </w:rPr>
        <w:t>hyperkalemia.</w:t>
      </w:r>
    </w:p>
    <w:p>
      <w:pPr>
        <w:pStyle w:val="BodyText"/>
        <w:spacing w:line="249" w:lineRule="auto" w:before="6"/>
        <w:ind w:left="1080" w:firstLine="240"/>
        <w:jc w:val="both"/>
      </w:pPr>
      <w:r>
        <w:rPr/>
        <w:pict>
          <v:rect style="position:absolute;margin-left:0pt;margin-top:56.285961pt;width:36pt;height:24pt;mso-position-horizontal-relative:page;mso-position-vertical-relative:paragraph;z-index:253280256" filled="true" fillcolor="#e8dac8" stroked="false">
            <v:fill type="solid"/>
            <w10:wrap type="none"/>
          </v:rect>
        </w:pict>
      </w:r>
      <w:r>
        <w:rPr>
          <w:color w:val="231F20"/>
        </w:rPr>
        <w:t>In the most severe cases of AKI, complete </w:t>
      </w:r>
      <w:r>
        <w:rPr>
          <w:color w:val="231F20"/>
          <w:spacing w:val="-3"/>
        </w:rPr>
        <w:t>anuria </w:t>
      </w:r>
      <w:r>
        <w:rPr>
          <w:color w:val="231F20"/>
        </w:rPr>
        <w:t>occurs. The patient will die in 8 to 14 days unless kidney function is restored or unless an artificial kidney is used  to rid the body of the excessive retained </w:t>
      </w:r>
      <w:r>
        <w:rPr>
          <w:color w:val="231F20"/>
          <w:spacing w:val="-3"/>
        </w:rPr>
        <w:t>water, </w:t>
      </w:r>
      <w:r>
        <w:rPr>
          <w:color w:val="231F20"/>
        </w:rPr>
        <w:t>electro­ lytes, and waste products of metabolism. Other effects of diminished urine output, as well as treatment with an artificial kidney, are discussed in the next section in rela­ tion to</w:t>
      </w:r>
      <w:r>
        <w:rPr>
          <w:color w:val="231F20"/>
          <w:spacing w:val="12"/>
        </w:rPr>
        <w:t> </w:t>
      </w:r>
      <w:r>
        <w:rPr>
          <w:color w:val="231F20"/>
        </w:rPr>
        <w:t>CKD.</w:t>
      </w:r>
    </w:p>
    <w:p>
      <w:pPr>
        <w:pStyle w:val="BodyText"/>
        <w:spacing w:before="2"/>
        <w:rPr>
          <w:sz w:val="25"/>
        </w:rPr>
      </w:pPr>
      <w:r>
        <w:rPr/>
        <w:pict>
          <v:shape style="position:absolute;margin-left:54pt;margin-top:15.691168pt;width:234pt;height:40pt;mso-position-horizontal-relative:page;mso-position-vertical-relative:paragraph;z-index:-250038272;mso-wrap-distance-left:0;mso-wrap-distance-right:0" type="#_x0000_t202" filled="true" fillcolor="#e8dac8" stroked="false">
            <v:textbox inset="0,0,0,0">
              <w:txbxContent>
                <w:p>
                  <w:pPr>
                    <w:spacing w:line="225" w:lineRule="auto" w:before="46"/>
                    <w:ind w:left="60" w:right="596" w:firstLine="0"/>
                    <w:jc w:val="left"/>
                    <w:rPr>
                      <w:rFonts w:ascii="Trebuchet MS"/>
                      <w:b/>
                      <w:sz w:val="22"/>
                    </w:rPr>
                  </w:pPr>
                  <w:r>
                    <w:rPr>
                      <w:rFonts w:ascii="Trebuchet MS"/>
                      <w:b/>
                      <w:color w:val="231F20"/>
                      <w:w w:val="110"/>
                      <w:sz w:val="22"/>
                    </w:rPr>
                    <w:t>CHRONIC KIDNEY DISEASE IS OFTEN ASSOCIATED WITH IRREVERSIBLE LOSS OF FUNCTIONAL NEPHRONS</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080"/>
        <w:jc w:val="both"/>
      </w:pPr>
      <w:r>
        <w:rPr>
          <w:i/>
          <w:color w:val="231F20"/>
          <w:w w:val="105"/>
        </w:rPr>
        <w:t>CKD</w:t>
      </w:r>
      <w:r>
        <w:rPr>
          <w:i/>
          <w:color w:val="231F20"/>
          <w:spacing w:val="-20"/>
          <w:w w:val="105"/>
        </w:rPr>
        <w:t> </w:t>
      </w:r>
      <w:r>
        <w:rPr>
          <w:color w:val="231F20"/>
          <w:w w:val="105"/>
        </w:rPr>
        <w:t>is</w:t>
      </w:r>
      <w:r>
        <w:rPr>
          <w:color w:val="231F20"/>
          <w:spacing w:val="-19"/>
          <w:w w:val="105"/>
        </w:rPr>
        <w:t> </w:t>
      </w:r>
      <w:r>
        <w:rPr>
          <w:color w:val="231F20"/>
          <w:w w:val="105"/>
        </w:rPr>
        <w:t>usually</w:t>
      </w:r>
      <w:r>
        <w:rPr>
          <w:color w:val="231F20"/>
          <w:spacing w:val="-19"/>
          <w:w w:val="105"/>
        </w:rPr>
        <w:t> </w:t>
      </w:r>
      <w:r>
        <w:rPr>
          <w:color w:val="231F20"/>
          <w:w w:val="105"/>
        </w:rPr>
        <w:t>defined</w:t>
      </w:r>
      <w:r>
        <w:rPr>
          <w:color w:val="231F20"/>
          <w:spacing w:val="-19"/>
          <w:w w:val="105"/>
        </w:rPr>
        <w:t> </w:t>
      </w:r>
      <w:r>
        <w:rPr>
          <w:color w:val="231F20"/>
          <w:w w:val="105"/>
        </w:rPr>
        <w:t>as</w:t>
      </w:r>
      <w:r>
        <w:rPr>
          <w:color w:val="231F20"/>
          <w:spacing w:val="-19"/>
          <w:w w:val="105"/>
        </w:rPr>
        <w:t> </w:t>
      </w:r>
      <w:r>
        <w:rPr>
          <w:color w:val="231F20"/>
          <w:w w:val="105"/>
        </w:rPr>
        <w:t>the</w:t>
      </w:r>
      <w:r>
        <w:rPr>
          <w:color w:val="231F20"/>
          <w:spacing w:val="-19"/>
          <w:w w:val="105"/>
        </w:rPr>
        <w:t> </w:t>
      </w:r>
      <w:r>
        <w:rPr>
          <w:color w:val="231F20"/>
          <w:w w:val="105"/>
        </w:rPr>
        <w:t>presence</w:t>
      </w:r>
      <w:r>
        <w:rPr>
          <w:color w:val="231F20"/>
          <w:spacing w:val="-19"/>
          <w:w w:val="105"/>
        </w:rPr>
        <w:t> </w:t>
      </w:r>
      <w:r>
        <w:rPr>
          <w:color w:val="231F20"/>
          <w:w w:val="105"/>
        </w:rPr>
        <w:t>of</w:t>
      </w:r>
      <w:r>
        <w:rPr>
          <w:color w:val="231F20"/>
          <w:spacing w:val="-20"/>
          <w:w w:val="105"/>
        </w:rPr>
        <w:t> </w:t>
      </w:r>
      <w:r>
        <w:rPr>
          <w:color w:val="231F20"/>
          <w:w w:val="105"/>
        </w:rPr>
        <w:t>kidney</w:t>
      </w:r>
      <w:r>
        <w:rPr>
          <w:color w:val="231F20"/>
          <w:spacing w:val="-19"/>
          <w:w w:val="105"/>
        </w:rPr>
        <w:t> </w:t>
      </w:r>
      <w:r>
        <w:rPr>
          <w:color w:val="231F20"/>
          <w:w w:val="105"/>
        </w:rPr>
        <w:t>damage or decreased kidney function that persists for at least </w:t>
      </w:r>
      <w:r>
        <w:rPr>
          <w:color w:val="231F20"/>
          <w:spacing w:val="-12"/>
          <w:w w:val="105"/>
        </w:rPr>
        <w:t>3 </w:t>
      </w:r>
      <w:r>
        <w:rPr>
          <w:color w:val="231F20"/>
          <w:w w:val="105"/>
        </w:rPr>
        <w:t>months. CKD is often associated with progressive and irreversible loss of large numbers of functioning </w:t>
      </w:r>
      <w:r>
        <w:rPr>
          <w:color w:val="231F20"/>
          <w:spacing w:val="-3"/>
          <w:w w:val="105"/>
        </w:rPr>
        <w:t>neph­ </w:t>
      </w:r>
      <w:r>
        <w:rPr>
          <w:color w:val="231F20"/>
          <w:w w:val="105"/>
        </w:rPr>
        <w:t>rons.</w:t>
      </w:r>
      <w:r>
        <w:rPr>
          <w:color w:val="231F20"/>
          <w:spacing w:val="-25"/>
          <w:w w:val="105"/>
        </w:rPr>
        <w:t> </w:t>
      </w:r>
      <w:r>
        <w:rPr>
          <w:color w:val="231F20"/>
          <w:w w:val="105"/>
        </w:rPr>
        <w:t>Serious</w:t>
      </w:r>
      <w:r>
        <w:rPr>
          <w:color w:val="231F20"/>
          <w:spacing w:val="-24"/>
          <w:w w:val="105"/>
        </w:rPr>
        <w:t> </w:t>
      </w:r>
      <w:r>
        <w:rPr>
          <w:color w:val="231F20"/>
          <w:w w:val="105"/>
        </w:rPr>
        <w:t>clinical</w:t>
      </w:r>
      <w:r>
        <w:rPr>
          <w:color w:val="231F20"/>
          <w:spacing w:val="-25"/>
          <w:w w:val="105"/>
        </w:rPr>
        <w:t> </w:t>
      </w:r>
      <w:r>
        <w:rPr>
          <w:color w:val="231F20"/>
          <w:w w:val="105"/>
        </w:rPr>
        <w:t>symptoms</w:t>
      </w:r>
      <w:r>
        <w:rPr>
          <w:color w:val="231F20"/>
          <w:spacing w:val="-24"/>
          <w:w w:val="105"/>
        </w:rPr>
        <w:t> </w:t>
      </w:r>
      <w:r>
        <w:rPr>
          <w:color w:val="231F20"/>
          <w:w w:val="105"/>
        </w:rPr>
        <w:t>usually</w:t>
      </w:r>
      <w:r>
        <w:rPr>
          <w:color w:val="231F20"/>
          <w:spacing w:val="-24"/>
          <w:w w:val="105"/>
        </w:rPr>
        <w:t> </w:t>
      </w:r>
      <w:r>
        <w:rPr>
          <w:color w:val="231F20"/>
          <w:w w:val="105"/>
        </w:rPr>
        <w:t>do</w:t>
      </w:r>
      <w:r>
        <w:rPr>
          <w:color w:val="231F20"/>
          <w:spacing w:val="-25"/>
          <w:w w:val="105"/>
        </w:rPr>
        <w:t> </w:t>
      </w:r>
      <w:r>
        <w:rPr>
          <w:color w:val="231F20"/>
          <w:w w:val="105"/>
        </w:rPr>
        <w:t>not</w:t>
      </w:r>
      <w:r>
        <w:rPr>
          <w:color w:val="231F20"/>
          <w:spacing w:val="-24"/>
          <w:w w:val="105"/>
        </w:rPr>
        <w:t> </w:t>
      </w:r>
      <w:r>
        <w:rPr>
          <w:color w:val="231F20"/>
          <w:w w:val="105"/>
        </w:rPr>
        <w:t>occur</w:t>
      </w:r>
      <w:r>
        <w:rPr>
          <w:color w:val="231F20"/>
          <w:spacing w:val="-25"/>
          <w:w w:val="105"/>
        </w:rPr>
        <w:t> </w:t>
      </w:r>
      <w:r>
        <w:rPr>
          <w:color w:val="231F20"/>
          <w:spacing w:val="-4"/>
          <w:w w:val="105"/>
        </w:rPr>
        <w:t>until </w:t>
      </w:r>
      <w:r>
        <w:rPr>
          <w:color w:val="231F20"/>
          <w:w w:val="105"/>
        </w:rPr>
        <w:t>the number of functional nephrons falls to at least 70 to 75</w:t>
      </w:r>
      <w:r>
        <w:rPr>
          <w:color w:val="231F20"/>
          <w:spacing w:val="-19"/>
          <w:w w:val="105"/>
        </w:rPr>
        <w:t> </w:t>
      </w:r>
      <w:r>
        <w:rPr>
          <w:color w:val="231F20"/>
          <w:w w:val="105"/>
        </w:rPr>
        <w:t>percent</w:t>
      </w:r>
      <w:r>
        <w:rPr>
          <w:color w:val="231F20"/>
          <w:spacing w:val="-18"/>
          <w:w w:val="105"/>
        </w:rPr>
        <w:t> </w:t>
      </w:r>
      <w:r>
        <w:rPr>
          <w:color w:val="231F20"/>
          <w:w w:val="105"/>
        </w:rPr>
        <w:t>below</w:t>
      </w:r>
      <w:r>
        <w:rPr>
          <w:color w:val="231F20"/>
          <w:spacing w:val="-18"/>
          <w:w w:val="105"/>
        </w:rPr>
        <w:t> </w:t>
      </w:r>
      <w:r>
        <w:rPr>
          <w:color w:val="231F20"/>
          <w:w w:val="105"/>
        </w:rPr>
        <w:t>normal.</w:t>
      </w:r>
      <w:r>
        <w:rPr>
          <w:color w:val="231F20"/>
          <w:spacing w:val="-18"/>
          <w:w w:val="105"/>
        </w:rPr>
        <w:t> </w:t>
      </w:r>
      <w:r>
        <w:rPr>
          <w:color w:val="231F20"/>
          <w:w w:val="105"/>
        </w:rPr>
        <w:t>In</w:t>
      </w:r>
      <w:r>
        <w:rPr>
          <w:color w:val="231F20"/>
          <w:spacing w:val="-18"/>
          <w:w w:val="105"/>
        </w:rPr>
        <w:t> </w:t>
      </w:r>
      <w:r>
        <w:rPr>
          <w:color w:val="231F20"/>
          <w:w w:val="105"/>
        </w:rPr>
        <w:t>fact,</w:t>
      </w:r>
      <w:r>
        <w:rPr>
          <w:color w:val="231F20"/>
          <w:spacing w:val="-18"/>
          <w:w w:val="105"/>
        </w:rPr>
        <w:t> </w:t>
      </w:r>
      <w:r>
        <w:rPr>
          <w:color w:val="231F20"/>
          <w:w w:val="105"/>
        </w:rPr>
        <w:t>relatively</w:t>
      </w:r>
      <w:r>
        <w:rPr>
          <w:color w:val="231F20"/>
          <w:spacing w:val="-18"/>
          <w:w w:val="105"/>
        </w:rPr>
        <w:t> </w:t>
      </w:r>
      <w:r>
        <w:rPr>
          <w:color w:val="231F20"/>
          <w:w w:val="105"/>
        </w:rPr>
        <w:t>normal</w:t>
      </w:r>
      <w:r>
        <w:rPr>
          <w:color w:val="231F20"/>
          <w:spacing w:val="-19"/>
          <w:w w:val="105"/>
        </w:rPr>
        <w:t> </w:t>
      </w:r>
      <w:r>
        <w:rPr>
          <w:color w:val="231F20"/>
          <w:w w:val="105"/>
        </w:rPr>
        <w:t>blood concentrations of most electrolytes and normal body fluid</w:t>
      </w:r>
      <w:r>
        <w:rPr>
          <w:color w:val="231F20"/>
          <w:spacing w:val="-12"/>
          <w:w w:val="105"/>
        </w:rPr>
        <w:t> </w:t>
      </w:r>
      <w:r>
        <w:rPr>
          <w:color w:val="231F20"/>
          <w:w w:val="105"/>
        </w:rPr>
        <w:t>volumes</w:t>
      </w:r>
      <w:r>
        <w:rPr>
          <w:color w:val="231F20"/>
          <w:spacing w:val="-12"/>
          <w:w w:val="105"/>
        </w:rPr>
        <w:t> </w:t>
      </w:r>
      <w:r>
        <w:rPr>
          <w:color w:val="231F20"/>
          <w:w w:val="105"/>
        </w:rPr>
        <w:t>can</w:t>
      </w:r>
      <w:r>
        <w:rPr>
          <w:color w:val="231F20"/>
          <w:spacing w:val="-11"/>
          <w:w w:val="105"/>
        </w:rPr>
        <w:t> </w:t>
      </w:r>
      <w:r>
        <w:rPr>
          <w:color w:val="231F20"/>
          <w:w w:val="105"/>
        </w:rPr>
        <w:t>still</w:t>
      </w:r>
      <w:r>
        <w:rPr>
          <w:color w:val="231F20"/>
          <w:spacing w:val="-12"/>
          <w:w w:val="105"/>
        </w:rPr>
        <w:t> </w:t>
      </w:r>
      <w:r>
        <w:rPr>
          <w:color w:val="231F20"/>
          <w:w w:val="105"/>
        </w:rPr>
        <w:t>be</w:t>
      </w:r>
      <w:r>
        <w:rPr>
          <w:color w:val="231F20"/>
          <w:spacing w:val="-11"/>
          <w:w w:val="105"/>
        </w:rPr>
        <w:t> </w:t>
      </w:r>
      <w:r>
        <w:rPr>
          <w:color w:val="231F20"/>
          <w:w w:val="105"/>
        </w:rPr>
        <w:t>maintained</w:t>
      </w:r>
      <w:r>
        <w:rPr>
          <w:color w:val="231F20"/>
          <w:spacing w:val="-12"/>
          <w:w w:val="105"/>
        </w:rPr>
        <w:t> </w:t>
      </w:r>
      <w:r>
        <w:rPr>
          <w:color w:val="231F20"/>
          <w:w w:val="105"/>
        </w:rPr>
        <w:t>until</w:t>
      </w:r>
      <w:r>
        <w:rPr>
          <w:color w:val="231F20"/>
          <w:spacing w:val="-12"/>
          <w:w w:val="105"/>
        </w:rPr>
        <w:t> </w:t>
      </w:r>
      <w:r>
        <w:rPr>
          <w:color w:val="231F20"/>
          <w:w w:val="105"/>
        </w:rPr>
        <w:t>the</w:t>
      </w:r>
      <w:r>
        <w:rPr>
          <w:color w:val="231F20"/>
          <w:spacing w:val="-11"/>
          <w:w w:val="105"/>
        </w:rPr>
        <w:t> </w:t>
      </w:r>
      <w:r>
        <w:rPr>
          <w:color w:val="231F20"/>
          <w:w w:val="105"/>
        </w:rPr>
        <w:t>number</w:t>
      </w:r>
      <w:r>
        <w:rPr>
          <w:color w:val="231F20"/>
          <w:spacing w:val="-12"/>
          <w:w w:val="105"/>
        </w:rPr>
        <w:t> </w:t>
      </w:r>
      <w:r>
        <w:rPr>
          <w:color w:val="231F20"/>
          <w:w w:val="105"/>
        </w:rPr>
        <w:t>of functioning nephrons decreases below 20 to 25 </w:t>
      </w:r>
      <w:r>
        <w:rPr>
          <w:color w:val="231F20"/>
          <w:spacing w:val="-3"/>
          <w:w w:val="105"/>
        </w:rPr>
        <w:t>percent </w:t>
      </w:r>
      <w:r>
        <w:rPr>
          <w:color w:val="231F20"/>
          <w:w w:val="105"/>
        </w:rPr>
        <w:t>of</w:t>
      </w:r>
      <w:r>
        <w:rPr>
          <w:color w:val="231F20"/>
          <w:spacing w:val="3"/>
          <w:w w:val="105"/>
        </w:rPr>
        <w:t> </w:t>
      </w:r>
      <w:r>
        <w:rPr>
          <w:color w:val="231F20"/>
          <w:w w:val="105"/>
        </w:rPr>
        <w:t>normal.</w:t>
      </w:r>
    </w:p>
    <w:p>
      <w:pPr>
        <w:pStyle w:val="BodyText"/>
        <w:spacing w:line="249" w:lineRule="auto" w:before="9"/>
        <w:ind w:left="1080" w:firstLine="240"/>
        <w:jc w:val="both"/>
      </w:pPr>
      <w:hyperlink w:history="true" w:anchor="_bookmark120">
        <w:r>
          <w:rPr>
            <w:b/>
            <w:color w:val="0080AC"/>
            <w:spacing w:val="-4"/>
            <w:w w:val="105"/>
          </w:rPr>
          <w:t>Table </w:t>
        </w:r>
        <w:r>
          <w:rPr>
            <w:b/>
            <w:color w:val="0080AC"/>
            <w:w w:val="105"/>
          </w:rPr>
          <w:t>32-4</w:t>
        </w:r>
      </w:hyperlink>
      <w:r>
        <w:rPr>
          <w:b/>
          <w:color w:val="0080AC"/>
          <w:w w:val="105"/>
        </w:rPr>
        <w:t> </w:t>
      </w:r>
      <w:r>
        <w:rPr>
          <w:color w:val="231F20"/>
          <w:w w:val="105"/>
        </w:rPr>
        <w:t>lists some of the most important </w:t>
      </w:r>
      <w:r>
        <w:rPr>
          <w:color w:val="231F20"/>
          <w:spacing w:val="-3"/>
          <w:w w:val="105"/>
        </w:rPr>
        <w:t>causes </w:t>
      </w:r>
      <w:r>
        <w:rPr>
          <w:color w:val="231F20"/>
          <w:w w:val="105"/>
        </w:rPr>
        <w:t>of CKD. In general, CKD, like AKI, can occur because of</w:t>
      </w:r>
      <w:r>
        <w:rPr>
          <w:color w:val="231F20"/>
          <w:spacing w:val="-25"/>
          <w:w w:val="105"/>
        </w:rPr>
        <w:t> </w:t>
      </w:r>
      <w:r>
        <w:rPr>
          <w:color w:val="231F20"/>
          <w:w w:val="105"/>
        </w:rPr>
        <w:t>disorders</w:t>
      </w:r>
      <w:r>
        <w:rPr>
          <w:color w:val="231F20"/>
          <w:spacing w:val="-24"/>
          <w:w w:val="105"/>
        </w:rPr>
        <w:t> </w:t>
      </w:r>
      <w:r>
        <w:rPr>
          <w:color w:val="231F20"/>
          <w:w w:val="105"/>
        </w:rPr>
        <w:t>of</w:t>
      </w:r>
      <w:r>
        <w:rPr>
          <w:color w:val="231F20"/>
          <w:spacing w:val="-25"/>
          <w:w w:val="105"/>
        </w:rPr>
        <w:t> </w:t>
      </w:r>
      <w:r>
        <w:rPr>
          <w:color w:val="231F20"/>
          <w:w w:val="105"/>
        </w:rPr>
        <w:t>the</w:t>
      </w:r>
      <w:r>
        <w:rPr>
          <w:color w:val="231F20"/>
          <w:spacing w:val="-24"/>
          <w:w w:val="105"/>
        </w:rPr>
        <w:t> </w:t>
      </w:r>
      <w:r>
        <w:rPr>
          <w:color w:val="231F20"/>
          <w:w w:val="105"/>
        </w:rPr>
        <w:t>blood</w:t>
      </w:r>
      <w:r>
        <w:rPr>
          <w:color w:val="231F20"/>
          <w:spacing w:val="-25"/>
          <w:w w:val="105"/>
        </w:rPr>
        <w:t> </w:t>
      </w:r>
      <w:r>
        <w:rPr>
          <w:color w:val="231F20"/>
          <w:w w:val="105"/>
        </w:rPr>
        <w:t>vessels,</w:t>
      </w:r>
      <w:r>
        <w:rPr>
          <w:color w:val="231F20"/>
          <w:spacing w:val="-24"/>
          <w:w w:val="105"/>
        </w:rPr>
        <w:t> </w:t>
      </w:r>
      <w:r>
        <w:rPr>
          <w:color w:val="231F20"/>
          <w:w w:val="105"/>
        </w:rPr>
        <w:t>glomeruli,</w:t>
      </w:r>
      <w:r>
        <w:rPr>
          <w:color w:val="231F20"/>
          <w:spacing w:val="-24"/>
          <w:w w:val="105"/>
        </w:rPr>
        <w:t> </w:t>
      </w:r>
      <w:r>
        <w:rPr>
          <w:color w:val="231F20"/>
          <w:w w:val="105"/>
        </w:rPr>
        <w:t>tubules,</w:t>
      </w:r>
      <w:r>
        <w:rPr>
          <w:color w:val="231F20"/>
          <w:spacing w:val="-25"/>
          <w:w w:val="105"/>
        </w:rPr>
        <w:t> </w:t>
      </w:r>
      <w:r>
        <w:rPr>
          <w:color w:val="231F20"/>
          <w:w w:val="105"/>
        </w:rPr>
        <w:t>renal interstitium, and lower urinary tract. Despite the </w:t>
      </w:r>
      <w:r>
        <w:rPr>
          <w:color w:val="231F20"/>
          <w:spacing w:val="-4"/>
          <w:w w:val="105"/>
        </w:rPr>
        <w:t>wide </w:t>
      </w:r>
      <w:r>
        <w:rPr>
          <w:color w:val="231F20"/>
          <w:w w:val="105"/>
        </w:rPr>
        <w:t>variety</w:t>
      </w:r>
      <w:r>
        <w:rPr>
          <w:color w:val="231F20"/>
          <w:spacing w:val="-13"/>
          <w:w w:val="105"/>
        </w:rPr>
        <w:t> </w:t>
      </w:r>
      <w:r>
        <w:rPr>
          <w:color w:val="231F20"/>
          <w:w w:val="105"/>
        </w:rPr>
        <w:t>of</w:t>
      </w:r>
      <w:r>
        <w:rPr>
          <w:color w:val="231F20"/>
          <w:spacing w:val="-12"/>
          <w:w w:val="105"/>
        </w:rPr>
        <w:t> </w:t>
      </w:r>
      <w:r>
        <w:rPr>
          <w:color w:val="231F20"/>
          <w:w w:val="105"/>
        </w:rPr>
        <w:t>diseases</w:t>
      </w:r>
      <w:r>
        <w:rPr>
          <w:color w:val="231F20"/>
          <w:spacing w:val="-12"/>
          <w:w w:val="105"/>
        </w:rPr>
        <w:t> </w:t>
      </w:r>
      <w:r>
        <w:rPr>
          <w:color w:val="231F20"/>
          <w:w w:val="105"/>
        </w:rPr>
        <w:t>that</w:t>
      </w:r>
      <w:r>
        <w:rPr>
          <w:color w:val="231F20"/>
          <w:spacing w:val="-13"/>
          <w:w w:val="105"/>
        </w:rPr>
        <w:t> </w:t>
      </w:r>
      <w:r>
        <w:rPr>
          <w:color w:val="231F20"/>
          <w:w w:val="105"/>
        </w:rPr>
        <w:t>can</w:t>
      </w:r>
      <w:r>
        <w:rPr>
          <w:color w:val="231F20"/>
          <w:spacing w:val="-12"/>
          <w:w w:val="105"/>
        </w:rPr>
        <w:t> </w:t>
      </w:r>
      <w:r>
        <w:rPr>
          <w:color w:val="231F20"/>
          <w:w w:val="105"/>
        </w:rPr>
        <w:t>lead</w:t>
      </w:r>
      <w:r>
        <w:rPr>
          <w:color w:val="231F20"/>
          <w:spacing w:val="-12"/>
          <w:w w:val="105"/>
        </w:rPr>
        <w:t> </w:t>
      </w:r>
      <w:r>
        <w:rPr>
          <w:color w:val="231F20"/>
          <w:w w:val="105"/>
        </w:rPr>
        <w:t>to</w:t>
      </w:r>
      <w:r>
        <w:rPr>
          <w:color w:val="231F20"/>
          <w:spacing w:val="-13"/>
          <w:w w:val="105"/>
        </w:rPr>
        <w:t> </w:t>
      </w:r>
      <w:r>
        <w:rPr>
          <w:color w:val="231F20"/>
          <w:w w:val="105"/>
        </w:rPr>
        <w:t>CKD,</w:t>
      </w:r>
      <w:r>
        <w:rPr>
          <w:color w:val="231F20"/>
          <w:spacing w:val="-12"/>
          <w:w w:val="105"/>
        </w:rPr>
        <w:t> </w:t>
      </w:r>
      <w:r>
        <w:rPr>
          <w:color w:val="231F20"/>
          <w:w w:val="105"/>
        </w:rPr>
        <w:t>the</w:t>
      </w:r>
      <w:r>
        <w:rPr>
          <w:color w:val="231F20"/>
          <w:spacing w:val="-12"/>
          <w:w w:val="105"/>
        </w:rPr>
        <w:t> </w:t>
      </w:r>
      <w:r>
        <w:rPr>
          <w:color w:val="231F20"/>
          <w:w w:val="105"/>
        </w:rPr>
        <w:t>end</w:t>
      </w:r>
      <w:r>
        <w:rPr>
          <w:color w:val="231F20"/>
          <w:spacing w:val="-13"/>
          <w:w w:val="105"/>
        </w:rPr>
        <w:t> </w:t>
      </w:r>
      <w:r>
        <w:rPr>
          <w:color w:val="231F20"/>
          <w:w w:val="105"/>
        </w:rPr>
        <w:t>result</w:t>
      </w:r>
      <w:r>
        <w:rPr>
          <w:color w:val="231F20"/>
          <w:spacing w:val="-12"/>
          <w:w w:val="105"/>
        </w:rPr>
        <w:t> </w:t>
      </w:r>
      <w:r>
        <w:rPr>
          <w:color w:val="231F20"/>
          <w:w w:val="105"/>
        </w:rPr>
        <w:t>is essentially the same—a decrease in the number of</w:t>
      </w:r>
      <w:r>
        <w:rPr>
          <w:color w:val="231F20"/>
          <w:spacing w:val="-29"/>
          <w:w w:val="105"/>
        </w:rPr>
        <w:t> </w:t>
      </w:r>
      <w:r>
        <w:rPr>
          <w:color w:val="231F20"/>
          <w:w w:val="105"/>
        </w:rPr>
        <w:t>func­ tional</w:t>
      </w:r>
      <w:r>
        <w:rPr>
          <w:color w:val="231F20"/>
          <w:spacing w:val="3"/>
          <w:w w:val="105"/>
        </w:rPr>
        <w:t> </w:t>
      </w:r>
      <w:r>
        <w:rPr>
          <w:color w:val="231F20"/>
          <w:w w:val="105"/>
        </w:rPr>
        <w:t>nephrons.</w:t>
      </w:r>
    </w:p>
    <w:p>
      <w:pPr>
        <w:pStyle w:val="BodyText"/>
        <w:spacing w:before="2"/>
        <w:rPr>
          <w:sz w:val="31"/>
        </w:rPr>
      </w:pPr>
    </w:p>
    <w:p>
      <w:pPr>
        <w:pStyle w:val="Heading2"/>
        <w:spacing w:line="225" w:lineRule="auto"/>
        <w:ind w:left="1080" w:right="630"/>
      </w:pPr>
      <w:r>
        <w:rPr>
          <w:color w:val="231F20"/>
          <w:w w:val="105"/>
        </w:rPr>
        <w:t>VICIOUS CYCLE OF CHRONIC KIDNEY DISEASE LEADING TO END-STAGE RENAL DISEASE</w:t>
      </w:r>
    </w:p>
    <w:p>
      <w:pPr>
        <w:pStyle w:val="BodyText"/>
        <w:spacing w:line="249" w:lineRule="auto" w:before="127"/>
        <w:ind w:left="1080"/>
        <w:jc w:val="both"/>
        <w:rPr>
          <w:i/>
        </w:rPr>
      </w:pPr>
      <w:r>
        <w:rPr>
          <w:color w:val="231F20"/>
          <w:w w:val="105"/>
        </w:rPr>
        <w:t>In</w:t>
      </w:r>
      <w:r>
        <w:rPr>
          <w:color w:val="231F20"/>
          <w:spacing w:val="-9"/>
          <w:w w:val="105"/>
        </w:rPr>
        <w:t> </w:t>
      </w:r>
      <w:r>
        <w:rPr>
          <w:color w:val="231F20"/>
          <w:w w:val="105"/>
        </w:rPr>
        <w:t>some</w:t>
      </w:r>
      <w:r>
        <w:rPr>
          <w:color w:val="231F20"/>
          <w:spacing w:val="-9"/>
          <w:w w:val="105"/>
        </w:rPr>
        <w:t> </w:t>
      </w:r>
      <w:r>
        <w:rPr>
          <w:color w:val="231F20"/>
          <w:w w:val="105"/>
        </w:rPr>
        <w:t>cases,</w:t>
      </w:r>
      <w:r>
        <w:rPr>
          <w:color w:val="231F20"/>
          <w:spacing w:val="-9"/>
          <w:w w:val="105"/>
        </w:rPr>
        <w:t> </w:t>
      </w:r>
      <w:r>
        <w:rPr>
          <w:color w:val="231F20"/>
          <w:w w:val="105"/>
        </w:rPr>
        <w:t>an</w:t>
      </w:r>
      <w:r>
        <w:rPr>
          <w:color w:val="231F20"/>
          <w:spacing w:val="-9"/>
          <w:w w:val="105"/>
        </w:rPr>
        <w:t> </w:t>
      </w:r>
      <w:r>
        <w:rPr>
          <w:color w:val="231F20"/>
          <w:w w:val="105"/>
        </w:rPr>
        <w:t>initial</w:t>
      </w:r>
      <w:r>
        <w:rPr>
          <w:color w:val="231F20"/>
          <w:spacing w:val="-9"/>
          <w:w w:val="105"/>
        </w:rPr>
        <w:t> </w:t>
      </w:r>
      <w:r>
        <w:rPr>
          <w:color w:val="231F20"/>
          <w:w w:val="105"/>
        </w:rPr>
        <w:t>insult</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kidney</w:t>
      </w:r>
      <w:r>
        <w:rPr>
          <w:color w:val="231F20"/>
          <w:spacing w:val="-9"/>
          <w:w w:val="105"/>
        </w:rPr>
        <w:t> </w:t>
      </w:r>
      <w:r>
        <w:rPr>
          <w:color w:val="231F20"/>
          <w:w w:val="105"/>
        </w:rPr>
        <w:t>leads</w:t>
      </w:r>
      <w:r>
        <w:rPr>
          <w:color w:val="231F20"/>
          <w:spacing w:val="-9"/>
          <w:w w:val="105"/>
        </w:rPr>
        <w:t> </w:t>
      </w:r>
      <w:r>
        <w:rPr>
          <w:color w:val="231F20"/>
          <w:w w:val="105"/>
        </w:rPr>
        <w:t>to</w:t>
      </w:r>
      <w:r>
        <w:rPr>
          <w:color w:val="231F20"/>
          <w:spacing w:val="-9"/>
          <w:w w:val="105"/>
        </w:rPr>
        <w:t> </w:t>
      </w:r>
      <w:r>
        <w:rPr>
          <w:color w:val="231F20"/>
          <w:spacing w:val="-5"/>
          <w:w w:val="105"/>
        </w:rPr>
        <w:t>pro­ </w:t>
      </w:r>
      <w:r>
        <w:rPr>
          <w:color w:val="231F20"/>
          <w:w w:val="105"/>
        </w:rPr>
        <w:t>gressive</w:t>
      </w:r>
      <w:r>
        <w:rPr>
          <w:color w:val="231F20"/>
          <w:spacing w:val="-14"/>
          <w:w w:val="105"/>
        </w:rPr>
        <w:t> </w:t>
      </w:r>
      <w:r>
        <w:rPr>
          <w:color w:val="231F20"/>
          <w:w w:val="105"/>
        </w:rPr>
        <w:t>deterioration</w:t>
      </w:r>
      <w:r>
        <w:rPr>
          <w:color w:val="231F20"/>
          <w:spacing w:val="-14"/>
          <w:w w:val="105"/>
        </w:rPr>
        <w:t> </w:t>
      </w:r>
      <w:r>
        <w:rPr>
          <w:color w:val="231F20"/>
          <w:w w:val="105"/>
        </w:rPr>
        <w:t>of</w:t>
      </w:r>
      <w:r>
        <w:rPr>
          <w:color w:val="231F20"/>
          <w:spacing w:val="-13"/>
          <w:w w:val="105"/>
        </w:rPr>
        <w:t> </w:t>
      </w:r>
      <w:r>
        <w:rPr>
          <w:color w:val="231F20"/>
          <w:w w:val="105"/>
        </w:rPr>
        <w:t>kidney</w:t>
      </w:r>
      <w:r>
        <w:rPr>
          <w:color w:val="231F20"/>
          <w:spacing w:val="-14"/>
          <w:w w:val="105"/>
        </w:rPr>
        <w:t> </w:t>
      </w:r>
      <w:r>
        <w:rPr>
          <w:color w:val="231F20"/>
          <w:w w:val="105"/>
        </w:rPr>
        <w:t>function</w:t>
      </w:r>
      <w:r>
        <w:rPr>
          <w:color w:val="231F20"/>
          <w:spacing w:val="-13"/>
          <w:w w:val="105"/>
        </w:rPr>
        <w:t> </w:t>
      </w:r>
      <w:r>
        <w:rPr>
          <w:color w:val="231F20"/>
          <w:w w:val="105"/>
        </w:rPr>
        <w:t>and</w:t>
      </w:r>
      <w:r>
        <w:rPr>
          <w:color w:val="231F20"/>
          <w:spacing w:val="-14"/>
          <w:w w:val="105"/>
        </w:rPr>
        <w:t> </w:t>
      </w:r>
      <w:r>
        <w:rPr>
          <w:color w:val="231F20"/>
          <w:w w:val="105"/>
        </w:rPr>
        <w:t>further</w:t>
      </w:r>
      <w:r>
        <w:rPr>
          <w:color w:val="231F20"/>
          <w:spacing w:val="-13"/>
          <w:w w:val="105"/>
        </w:rPr>
        <w:t> </w:t>
      </w:r>
      <w:r>
        <w:rPr>
          <w:color w:val="231F20"/>
          <w:spacing w:val="-4"/>
          <w:w w:val="105"/>
        </w:rPr>
        <w:t>loss </w:t>
      </w:r>
      <w:r>
        <w:rPr>
          <w:color w:val="231F20"/>
          <w:w w:val="105"/>
        </w:rPr>
        <w:t>of nephrons to the point where the person must receive dialysis</w:t>
      </w:r>
      <w:r>
        <w:rPr>
          <w:color w:val="231F20"/>
          <w:spacing w:val="-20"/>
          <w:w w:val="105"/>
        </w:rPr>
        <w:t> </w:t>
      </w:r>
      <w:r>
        <w:rPr>
          <w:color w:val="231F20"/>
          <w:w w:val="105"/>
        </w:rPr>
        <w:t>treatment</w:t>
      </w:r>
      <w:r>
        <w:rPr>
          <w:color w:val="231F20"/>
          <w:spacing w:val="-20"/>
          <w:w w:val="105"/>
        </w:rPr>
        <w:t> </w:t>
      </w:r>
      <w:r>
        <w:rPr>
          <w:color w:val="231F20"/>
          <w:w w:val="105"/>
        </w:rPr>
        <w:t>or</w:t>
      </w:r>
      <w:r>
        <w:rPr>
          <w:color w:val="231F20"/>
          <w:spacing w:val="-20"/>
          <w:w w:val="105"/>
        </w:rPr>
        <w:t> </w:t>
      </w:r>
      <w:r>
        <w:rPr>
          <w:color w:val="231F20"/>
          <w:w w:val="105"/>
        </w:rPr>
        <w:t>undergo</w:t>
      </w:r>
      <w:r>
        <w:rPr>
          <w:color w:val="231F20"/>
          <w:spacing w:val="-20"/>
          <w:w w:val="105"/>
        </w:rPr>
        <w:t> </w:t>
      </w:r>
      <w:r>
        <w:rPr>
          <w:color w:val="231F20"/>
          <w:w w:val="105"/>
        </w:rPr>
        <w:t>transplantation</w:t>
      </w:r>
      <w:r>
        <w:rPr>
          <w:color w:val="231F20"/>
          <w:spacing w:val="-20"/>
          <w:w w:val="105"/>
        </w:rPr>
        <w:t> </w:t>
      </w:r>
      <w:r>
        <w:rPr>
          <w:color w:val="231F20"/>
          <w:w w:val="105"/>
        </w:rPr>
        <w:t>with</w:t>
      </w:r>
      <w:r>
        <w:rPr>
          <w:color w:val="231F20"/>
          <w:spacing w:val="-19"/>
          <w:w w:val="105"/>
        </w:rPr>
        <w:t> </w:t>
      </w:r>
      <w:r>
        <w:rPr>
          <w:color w:val="231F20"/>
          <w:w w:val="105"/>
        </w:rPr>
        <w:t>a</w:t>
      </w:r>
      <w:r>
        <w:rPr>
          <w:color w:val="231F20"/>
          <w:spacing w:val="-20"/>
          <w:w w:val="105"/>
        </w:rPr>
        <w:t> </w:t>
      </w:r>
      <w:r>
        <w:rPr>
          <w:color w:val="231F20"/>
          <w:spacing w:val="-4"/>
          <w:w w:val="105"/>
        </w:rPr>
        <w:t>func­ </w:t>
      </w:r>
      <w:r>
        <w:rPr>
          <w:color w:val="231F20"/>
          <w:w w:val="105"/>
        </w:rPr>
        <w:t>tional kidney to survive. This condition is referred to as </w:t>
      </w:r>
      <w:r>
        <w:rPr>
          <w:i/>
          <w:color w:val="231F20"/>
          <w:w w:val="105"/>
        </w:rPr>
        <w:t>end-stage renal disease</w:t>
      </w:r>
      <w:r>
        <w:rPr>
          <w:i/>
          <w:color w:val="231F20"/>
          <w:spacing w:val="-3"/>
          <w:w w:val="105"/>
        </w:rPr>
        <w:t> </w:t>
      </w:r>
      <w:r>
        <w:rPr>
          <w:i/>
          <w:color w:val="231F20"/>
          <w:w w:val="105"/>
        </w:rPr>
        <w:t>(ESRD).</w:t>
      </w:r>
    </w:p>
    <w:p>
      <w:pPr>
        <w:pStyle w:val="BodyText"/>
        <w:spacing w:line="249" w:lineRule="auto" w:before="5"/>
        <w:ind w:left="1080" w:firstLine="240"/>
        <w:jc w:val="both"/>
      </w:pPr>
      <w:r>
        <w:rPr>
          <w:color w:val="231F20"/>
          <w:w w:val="105"/>
        </w:rPr>
        <w:t>Studies</w:t>
      </w:r>
      <w:r>
        <w:rPr>
          <w:color w:val="231F20"/>
          <w:spacing w:val="-24"/>
          <w:w w:val="105"/>
        </w:rPr>
        <w:t> </w:t>
      </w:r>
      <w:r>
        <w:rPr>
          <w:color w:val="231F20"/>
          <w:w w:val="105"/>
        </w:rPr>
        <w:t>in</w:t>
      </w:r>
      <w:r>
        <w:rPr>
          <w:color w:val="231F20"/>
          <w:spacing w:val="-23"/>
          <w:w w:val="105"/>
        </w:rPr>
        <w:t> </w:t>
      </w:r>
      <w:r>
        <w:rPr>
          <w:color w:val="231F20"/>
          <w:w w:val="105"/>
        </w:rPr>
        <w:t>laboratory</w:t>
      </w:r>
      <w:r>
        <w:rPr>
          <w:color w:val="231F20"/>
          <w:spacing w:val="-23"/>
          <w:w w:val="105"/>
        </w:rPr>
        <w:t> </w:t>
      </w:r>
      <w:r>
        <w:rPr>
          <w:color w:val="231F20"/>
          <w:w w:val="105"/>
        </w:rPr>
        <w:t>animals</w:t>
      </w:r>
      <w:r>
        <w:rPr>
          <w:color w:val="231F20"/>
          <w:spacing w:val="-23"/>
          <w:w w:val="105"/>
        </w:rPr>
        <w:t> </w:t>
      </w:r>
      <w:r>
        <w:rPr>
          <w:color w:val="231F20"/>
          <w:w w:val="105"/>
        </w:rPr>
        <w:t>have</w:t>
      </w:r>
      <w:r>
        <w:rPr>
          <w:color w:val="231F20"/>
          <w:spacing w:val="-23"/>
          <w:w w:val="105"/>
        </w:rPr>
        <w:t> </w:t>
      </w:r>
      <w:r>
        <w:rPr>
          <w:color w:val="231F20"/>
          <w:w w:val="105"/>
        </w:rPr>
        <w:t>shown</w:t>
      </w:r>
      <w:r>
        <w:rPr>
          <w:color w:val="231F20"/>
          <w:spacing w:val="-23"/>
          <w:w w:val="105"/>
        </w:rPr>
        <w:t> </w:t>
      </w:r>
      <w:r>
        <w:rPr>
          <w:color w:val="231F20"/>
          <w:w w:val="105"/>
        </w:rPr>
        <w:t>that</w:t>
      </w:r>
      <w:r>
        <w:rPr>
          <w:color w:val="231F20"/>
          <w:spacing w:val="-23"/>
          <w:w w:val="105"/>
        </w:rPr>
        <w:t> </w:t>
      </w:r>
      <w:r>
        <w:rPr>
          <w:color w:val="231F20"/>
          <w:w w:val="105"/>
        </w:rPr>
        <w:t>surgical removal of large portions of the kidney initially </w:t>
      </w:r>
      <w:r>
        <w:rPr>
          <w:color w:val="231F20"/>
          <w:spacing w:val="-3"/>
          <w:w w:val="105"/>
        </w:rPr>
        <w:t>causes </w:t>
      </w:r>
      <w:r>
        <w:rPr>
          <w:color w:val="231F20"/>
          <w:w w:val="105"/>
        </w:rPr>
        <w:t>adaptive changes in the remaining nephrons that lead </w:t>
      </w:r>
      <w:r>
        <w:rPr>
          <w:color w:val="231F20"/>
          <w:spacing w:val="-8"/>
          <w:w w:val="105"/>
        </w:rPr>
        <w:t>to </w:t>
      </w:r>
      <w:r>
        <w:rPr>
          <w:color w:val="231F20"/>
          <w:w w:val="105"/>
        </w:rPr>
        <w:t>increased</w:t>
      </w:r>
      <w:r>
        <w:rPr>
          <w:color w:val="231F20"/>
          <w:spacing w:val="-25"/>
          <w:w w:val="105"/>
        </w:rPr>
        <w:t> </w:t>
      </w:r>
      <w:r>
        <w:rPr>
          <w:color w:val="231F20"/>
          <w:w w:val="105"/>
        </w:rPr>
        <w:t>blood</w:t>
      </w:r>
      <w:r>
        <w:rPr>
          <w:color w:val="231F20"/>
          <w:spacing w:val="-24"/>
          <w:w w:val="105"/>
        </w:rPr>
        <w:t> </w:t>
      </w:r>
      <w:r>
        <w:rPr>
          <w:color w:val="231F20"/>
          <w:spacing w:val="-3"/>
          <w:w w:val="105"/>
        </w:rPr>
        <w:t>flow,</w:t>
      </w:r>
      <w:r>
        <w:rPr>
          <w:color w:val="231F20"/>
          <w:spacing w:val="-24"/>
          <w:w w:val="105"/>
        </w:rPr>
        <w:t> </w:t>
      </w:r>
      <w:r>
        <w:rPr>
          <w:color w:val="231F20"/>
          <w:w w:val="105"/>
        </w:rPr>
        <w:t>increased</w:t>
      </w:r>
      <w:r>
        <w:rPr>
          <w:color w:val="231F20"/>
          <w:spacing w:val="-24"/>
          <w:w w:val="105"/>
        </w:rPr>
        <w:t> </w:t>
      </w:r>
      <w:r>
        <w:rPr>
          <w:color w:val="231F20"/>
          <w:w w:val="105"/>
        </w:rPr>
        <w:t>GFR,</w:t>
      </w:r>
      <w:r>
        <w:rPr>
          <w:color w:val="231F20"/>
          <w:spacing w:val="-24"/>
          <w:w w:val="105"/>
        </w:rPr>
        <w:t> </w:t>
      </w:r>
      <w:r>
        <w:rPr>
          <w:color w:val="231F20"/>
          <w:w w:val="105"/>
        </w:rPr>
        <w:t>and</w:t>
      </w:r>
      <w:r>
        <w:rPr>
          <w:color w:val="231F20"/>
          <w:spacing w:val="-24"/>
          <w:w w:val="105"/>
        </w:rPr>
        <w:t> </w:t>
      </w:r>
      <w:r>
        <w:rPr>
          <w:color w:val="231F20"/>
          <w:w w:val="105"/>
        </w:rPr>
        <w:t>increased</w:t>
      </w:r>
      <w:r>
        <w:rPr>
          <w:color w:val="231F20"/>
          <w:spacing w:val="-24"/>
          <w:w w:val="105"/>
        </w:rPr>
        <w:t> </w:t>
      </w:r>
      <w:r>
        <w:rPr>
          <w:color w:val="231F20"/>
          <w:w w:val="105"/>
        </w:rPr>
        <w:t>urine output</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surviving</w:t>
      </w:r>
      <w:r>
        <w:rPr>
          <w:color w:val="231F20"/>
          <w:spacing w:val="-9"/>
          <w:w w:val="105"/>
        </w:rPr>
        <w:t> </w:t>
      </w:r>
      <w:r>
        <w:rPr>
          <w:color w:val="231F20"/>
          <w:w w:val="105"/>
        </w:rPr>
        <w:t>nephrons.</w:t>
      </w:r>
      <w:r>
        <w:rPr>
          <w:color w:val="231F20"/>
          <w:spacing w:val="-9"/>
          <w:w w:val="105"/>
        </w:rPr>
        <w:t> </w:t>
      </w:r>
      <w:r>
        <w:rPr>
          <w:color w:val="231F20"/>
          <w:w w:val="105"/>
        </w:rPr>
        <w:t>The</w:t>
      </w:r>
      <w:r>
        <w:rPr>
          <w:color w:val="231F20"/>
          <w:spacing w:val="-9"/>
          <w:w w:val="105"/>
        </w:rPr>
        <w:t> </w:t>
      </w:r>
      <w:r>
        <w:rPr>
          <w:color w:val="231F20"/>
          <w:w w:val="105"/>
        </w:rPr>
        <w:t>exact</w:t>
      </w:r>
      <w:r>
        <w:rPr>
          <w:color w:val="231F20"/>
          <w:spacing w:val="-9"/>
          <w:w w:val="105"/>
        </w:rPr>
        <w:t> </w:t>
      </w:r>
      <w:r>
        <w:rPr>
          <w:color w:val="231F20"/>
          <w:spacing w:val="-2"/>
          <w:w w:val="105"/>
        </w:rPr>
        <w:t>mechanisms </w:t>
      </w:r>
      <w:r>
        <w:rPr>
          <w:color w:val="231F20"/>
          <w:w w:val="105"/>
        </w:rPr>
        <w:t>responsible</w:t>
      </w:r>
      <w:r>
        <w:rPr>
          <w:color w:val="231F20"/>
          <w:spacing w:val="-19"/>
          <w:w w:val="105"/>
        </w:rPr>
        <w:t> </w:t>
      </w:r>
      <w:r>
        <w:rPr>
          <w:color w:val="231F20"/>
          <w:w w:val="105"/>
        </w:rPr>
        <w:t>for</w:t>
      </w:r>
      <w:r>
        <w:rPr>
          <w:color w:val="231F20"/>
          <w:spacing w:val="-18"/>
          <w:w w:val="105"/>
        </w:rPr>
        <w:t> </w:t>
      </w:r>
      <w:r>
        <w:rPr>
          <w:color w:val="231F20"/>
          <w:w w:val="105"/>
        </w:rPr>
        <w:t>these</w:t>
      </w:r>
      <w:r>
        <w:rPr>
          <w:color w:val="231F20"/>
          <w:spacing w:val="-18"/>
          <w:w w:val="105"/>
        </w:rPr>
        <w:t> </w:t>
      </w:r>
      <w:r>
        <w:rPr>
          <w:color w:val="231F20"/>
          <w:w w:val="105"/>
        </w:rPr>
        <w:t>changes</w:t>
      </w:r>
      <w:r>
        <w:rPr>
          <w:color w:val="231F20"/>
          <w:spacing w:val="-18"/>
          <w:w w:val="105"/>
        </w:rPr>
        <w:t> </w:t>
      </w:r>
      <w:r>
        <w:rPr>
          <w:color w:val="231F20"/>
          <w:w w:val="105"/>
        </w:rPr>
        <w:t>are</w:t>
      </w:r>
      <w:r>
        <w:rPr>
          <w:color w:val="231F20"/>
          <w:spacing w:val="-18"/>
          <w:w w:val="105"/>
        </w:rPr>
        <w:t> </w:t>
      </w:r>
      <w:r>
        <w:rPr>
          <w:color w:val="231F20"/>
          <w:w w:val="105"/>
        </w:rPr>
        <w:t>not</w:t>
      </w:r>
      <w:r>
        <w:rPr>
          <w:color w:val="231F20"/>
          <w:spacing w:val="-18"/>
          <w:w w:val="105"/>
        </w:rPr>
        <w:t> </w:t>
      </w:r>
      <w:r>
        <w:rPr>
          <w:color w:val="231F20"/>
          <w:w w:val="105"/>
        </w:rPr>
        <w:t>well</w:t>
      </w:r>
      <w:r>
        <w:rPr>
          <w:color w:val="231F20"/>
          <w:spacing w:val="-18"/>
          <w:w w:val="105"/>
        </w:rPr>
        <w:t> </w:t>
      </w:r>
      <w:r>
        <w:rPr>
          <w:color w:val="231F20"/>
          <w:w w:val="105"/>
        </w:rPr>
        <w:t>understood</w:t>
      </w:r>
      <w:r>
        <w:rPr>
          <w:color w:val="231F20"/>
          <w:spacing w:val="-19"/>
          <w:w w:val="105"/>
        </w:rPr>
        <w:t> </w:t>
      </w:r>
      <w:r>
        <w:rPr>
          <w:color w:val="231F20"/>
          <w:w w:val="105"/>
        </w:rPr>
        <w:t>but involve hypertrophy (growth of the various structures of</w:t>
      </w:r>
      <w:r>
        <w:rPr>
          <w:color w:val="231F20"/>
          <w:spacing w:val="-13"/>
          <w:w w:val="105"/>
        </w:rPr>
        <w:t> </w:t>
      </w:r>
      <w:r>
        <w:rPr>
          <w:color w:val="231F20"/>
          <w:w w:val="105"/>
        </w:rPr>
        <w:t>the</w:t>
      </w:r>
      <w:r>
        <w:rPr>
          <w:color w:val="231F20"/>
          <w:spacing w:val="-13"/>
          <w:w w:val="105"/>
        </w:rPr>
        <w:t> </w:t>
      </w:r>
      <w:r>
        <w:rPr>
          <w:color w:val="231F20"/>
          <w:w w:val="105"/>
        </w:rPr>
        <w:t>surviving</w:t>
      </w:r>
      <w:r>
        <w:rPr>
          <w:color w:val="231F20"/>
          <w:spacing w:val="-13"/>
          <w:w w:val="105"/>
        </w:rPr>
        <w:t> </w:t>
      </w:r>
      <w:r>
        <w:rPr>
          <w:color w:val="231F20"/>
          <w:w w:val="105"/>
        </w:rPr>
        <w:t>nephrons),</w:t>
      </w:r>
      <w:r>
        <w:rPr>
          <w:color w:val="231F20"/>
          <w:spacing w:val="-13"/>
          <w:w w:val="105"/>
        </w:rPr>
        <w:t> </w:t>
      </w:r>
      <w:r>
        <w:rPr>
          <w:color w:val="231F20"/>
          <w:w w:val="105"/>
        </w:rPr>
        <w:t>as</w:t>
      </w:r>
      <w:r>
        <w:rPr>
          <w:color w:val="231F20"/>
          <w:spacing w:val="-13"/>
          <w:w w:val="105"/>
        </w:rPr>
        <w:t> </w:t>
      </w:r>
      <w:r>
        <w:rPr>
          <w:color w:val="231F20"/>
          <w:w w:val="105"/>
        </w:rPr>
        <w:t>well</w:t>
      </w:r>
      <w:r>
        <w:rPr>
          <w:color w:val="231F20"/>
          <w:spacing w:val="-12"/>
          <w:w w:val="105"/>
        </w:rPr>
        <w:t> </w:t>
      </w:r>
      <w:r>
        <w:rPr>
          <w:color w:val="231F20"/>
          <w:w w:val="105"/>
        </w:rPr>
        <w:t>as</w:t>
      </w:r>
      <w:r>
        <w:rPr>
          <w:color w:val="231F20"/>
          <w:spacing w:val="-13"/>
          <w:w w:val="105"/>
        </w:rPr>
        <w:t> </w:t>
      </w:r>
      <w:r>
        <w:rPr>
          <w:color w:val="231F20"/>
          <w:w w:val="105"/>
        </w:rPr>
        <w:t>functional</w:t>
      </w:r>
      <w:r>
        <w:rPr>
          <w:color w:val="231F20"/>
          <w:spacing w:val="-13"/>
          <w:w w:val="105"/>
        </w:rPr>
        <w:t> </w:t>
      </w:r>
      <w:r>
        <w:rPr>
          <w:color w:val="231F20"/>
          <w:w w:val="105"/>
        </w:rPr>
        <w:t>changes</w:t>
      </w:r>
    </w:p>
    <w:p>
      <w:pPr>
        <w:spacing w:line="252" w:lineRule="auto" w:before="110"/>
        <w:ind w:left="319" w:right="2868" w:firstLine="0"/>
        <w:jc w:val="left"/>
        <w:rPr>
          <w:rFonts w:ascii="Trebuchet MS"/>
          <w:sz w:val="18"/>
        </w:rPr>
      </w:pPr>
      <w:r>
        <w:rPr/>
        <w:br w:type="column"/>
      </w:r>
      <w:bookmarkStart w:name="_bookmark120" w:id="121"/>
      <w:bookmarkEnd w:id="121"/>
      <w:r>
        <w:rPr/>
      </w:r>
      <w:r>
        <w:rPr>
          <w:rFonts w:ascii="Trebuchet MS"/>
          <w:b/>
          <w:color w:val="231F20"/>
          <w:w w:val="105"/>
          <w:sz w:val="18"/>
        </w:rPr>
        <w:t>Table 32-4 </w:t>
      </w:r>
      <w:r>
        <w:rPr>
          <w:rFonts w:ascii="Trebuchet MS"/>
          <w:color w:val="231F20"/>
          <w:w w:val="105"/>
          <w:sz w:val="18"/>
        </w:rPr>
        <w:t>Some Causes of Chronic Kidney Disease</w:t>
      </w:r>
    </w:p>
    <w:p>
      <w:pPr>
        <w:pStyle w:val="BodyText"/>
        <w:spacing w:before="6"/>
        <w:rPr>
          <w:rFonts w:ascii="Trebuchet MS"/>
          <w:sz w:val="9"/>
        </w:rPr>
      </w:pPr>
    </w:p>
    <w:tbl>
      <w:tblPr>
        <w:tblW w:w="0" w:type="auto"/>
        <w:jc w:val="left"/>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0"/>
      </w:tblGrid>
      <w:tr>
        <w:trPr>
          <w:trHeight w:val="543" w:hRule="atLeast"/>
        </w:trPr>
        <w:tc>
          <w:tcPr>
            <w:tcW w:w="4680" w:type="dxa"/>
            <w:tcBorders>
              <w:bottom w:val="single" w:sz="4" w:space="0" w:color="FFFFFF"/>
            </w:tcBorders>
            <w:shd w:val="clear" w:color="auto" w:fill="E6ECF7"/>
          </w:tcPr>
          <w:p>
            <w:pPr>
              <w:pStyle w:val="TableParagraph"/>
              <w:spacing w:before="34"/>
              <w:ind w:left="120"/>
              <w:rPr>
                <w:b/>
                <w:sz w:val="16"/>
              </w:rPr>
            </w:pPr>
            <w:r>
              <w:rPr>
                <w:b/>
                <w:color w:val="231F20"/>
                <w:w w:val="105"/>
                <w:sz w:val="16"/>
              </w:rPr>
              <w:t>Metabolic Disorders</w:t>
            </w:r>
          </w:p>
          <w:p>
            <w:pPr>
              <w:pStyle w:val="TableParagraph"/>
              <w:spacing w:before="89"/>
              <w:ind w:left="120"/>
              <w:rPr>
                <w:sz w:val="16"/>
              </w:rPr>
            </w:pPr>
            <w:r>
              <w:rPr>
                <w:color w:val="231F20"/>
                <w:w w:val="105"/>
                <w:sz w:val="16"/>
              </w:rPr>
              <w:t>Diabetes mellitus</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rPr>
                <w:sz w:val="16"/>
              </w:rPr>
            </w:pPr>
            <w:r>
              <w:rPr>
                <w:rFonts w:ascii="Times New Roman"/>
                <w:color w:val="231F20"/>
                <w:w w:val="94"/>
                <w:position w:val="-8"/>
                <w:sz w:val="20"/>
                <w:u w:val="single" w:color="FFFFFF"/>
              </w:rPr>
              <w:t> </w:t>
            </w:r>
            <w:r>
              <w:rPr>
                <w:rFonts w:ascii="Times New Roman"/>
                <w:color w:val="231F20"/>
                <w:position w:val="-8"/>
                <w:sz w:val="20"/>
                <w:u w:val="single" w:color="FFFFFF"/>
              </w:rPr>
              <w:t> </w:t>
            </w:r>
            <w:r>
              <w:rPr>
                <w:color w:val="231F20"/>
                <w:w w:val="105"/>
                <w:sz w:val="16"/>
              </w:rPr>
              <w:t>Obesity</w:t>
            </w:r>
          </w:p>
          <w:p>
            <w:pPr>
              <w:pStyle w:val="TableParagraph"/>
              <w:spacing w:before="89"/>
              <w:ind w:left="120"/>
              <w:rPr>
                <w:sz w:val="16"/>
              </w:rPr>
            </w:pPr>
            <w:r>
              <w:rPr>
                <w:color w:val="231F20"/>
                <w:w w:val="105"/>
                <w:sz w:val="16"/>
              </w:rPr>
              <w:t>Amyloidosis</w:t>
            </w:r>
          </w:p>
        </w:tc>
      </w:tr>
      <w:tr>
        <w:trPr>
          <w:trHeight w:val="813"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Hypertension</w:t>
            </w:r>
          </w:p>
          <w:p>
            <w:pPr>
              <w:pStyle w:val="TableParagraph"/>
              <w:spacing w:before="89"/>
              <w:ind w:left="120"/>
              <w:rPr>
                <w:b/>
                <w:sz w:val="16"/>
              </w:rPr>
            </w:pPr>
            <w:r>
              <w:rPr>
                <w:b/>
                <w:color w:val="231F20"/>
                <w:sz w:val="16"/>
              </w:rPr>
              <w:t>Renal Vascular Disorders</w:t>
            </w:r>
          </w:p>
          <w:p>
            <w:pPr>
              <w:pStyle w:val="TableParagraph"/>
              <w:spacing w:before="89"/>
              <w:ind w:left="120"/>
              <w:rPr>
                <w:sz w:val="16"/>
              </w:rPr>
            </w:pPr>
            <w:r>
              <w:rPr>
                <w:color w:val="231F20"/>
                <w:w w:val="105"/>
                <w:sz w:val="16"/>
              </w:rPr>
              <w:t>Atherosclerosis</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Nephrosclerosis-hypertension</w:t>
            </w:r>
          </w:p>
        </w:tc>
      </w:tr>
      <w:tr>
        <w:trPr>
          <w:trHeight w:val="813"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Immunological Disorders</w:t>
            </w:r>
          </w:p>
          <w:p>
            <w:pPr>
              <w:pStyle w:val="TableParagraph"/>
              <w:spacing w:line="270" w:lineRule="atLeast" w:before="5"/>
              <w:ind w:left="120" w:right="2251" w:hanging="120"/>
              <w:rPr>
                <w:sz w:val="16"/>
              </w:rPr>
            </w:pPr>
            <w:r>
              <w:rPr>
                <w:rFonts w:ascii="Times New Roman"/>
                <w:color w:val="231F20"/>
                <w:w w:val="94"/>
                <w:position w:val="-8"/>
                <w:sz w:val="20"/>
                <w:u w:val="single" w:color="FFFFFF"/>
              </w:rPr>
              <w:t> </w:t>
            </w:r>
            <w:r>
              <w:rPr>
                <w:rFonts w:ascii="Times New Roman"/>
                <w:color w:val="231F20"/>
                <w:position w:val="-8"/>
                <w:sz w:val="20"/>
                <w:u w:val="single" w:color="FFFFFF"/>
              </w:rPr>
              <w:t> </w:t>
            </w:r>
            <w:r>
              <w:rPr>
                <w:color w:val="231F20"/>
                <w:w w:val="105"/>
                <w:sz w:val="16"/>
              </w:rPr>
              <w:t>Glomerulonephritis Polyarteritis nodosa</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Lupus erythematosus</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Infections</w:t>
            </w:r>
          </w:p>
          <w:p>
            <w:pPr>
              <w:pStyle w:val="TableParagraph"/>
              <w:spacing w:before="89"/>
              <w:ind w:left="120"/>
              <w:rPr>
                <w:sz w:val="16"/>
              </w:rPr>
            </w:pPr>
            <w:r>
              <w:rPr>
                <w:color w:val="231F20"/>
                <w:w w:val="105"/>
                <w:sz w:val="16"/>
              </w:rPr>
              <w:t>Pyelonephritis</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Tuberculosis</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Primary Tubular Disorders</w:t>
            </w:r>
          </w:p>
          <w:p>
            <w:pPr>
              <w:pStyle w:val="TableParagraph"/>
              <w:spacing w:before="89"/>
              <w:ind w:left="120"/>
              <w:rPr>
                <w:sz w:val="16"/>
              </w:rPr>
            </w:pPr>
            <w:r>
              <w:rPr>
                <w:color w:val="231F20"/>
                <w:w w:val="105"/>
                <w:sz w:val="16"/>
              </w:rPr>
              <w:t>Nephrotoxins (analgesics, heavy metals)</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Urinary Tract Obstruction</w:t>
            </w:r>
          </w:p>
          <w:p>
            <w:pPr>
              <w:pStyle w:val="TableParagraph"/>
              <w:spacing w:before="89"/>
              <w:ind w:left="120"/>
              <w:rPr>
                <w:sz w:val="16"/>
              </w:rPr>
            </w:pPr>
            <w:r>
              <w:rPr>
                <w:color w:val="231F20"/>
                <w:sz w:val="16"/>
              </w:rPr>
              <w:t>Renal calculi</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Hypertrophy of prostate</w:t>
            </w:r>
          </w:p>
        </w:tc>
      </w:tr>
      <w:tr>
        <w:trPr>
          <w:trHeight w:val="264" w:hRule="atLeast"/>
        </w:trPr>
        <w:tc>
          <w:tcPr>
            <w:tcW w:w="468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Urethral constriction</w:t>
            </w:r>
          </w:p>
        </w:tc>
      </w:tr>
      <w:tr>
        <w:trPr>
          <w:trHeight w:val="538" w:hRule="atLeast"/>
        </w:trPr>
        <w:tc>
          <w:tcPr>
            <w:tcW w:w="468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Congenital Disorders</w:t>
            </w:r>
          </w:p>
          <w:p>
            <w:pPr>
              <w:pStyle w:val="TableParagraph"/>
              <w:spacing w:before="89"/>
              <w:ind w:left="120"/>
              <w:rPr>
                <w:sz w:val="16"/>
              </w:rPr>
            </w:pPr>
            <w:r>
              <w:rPr>
                <w:color w:val="231F20"/>
                <w:sz w:val="16"/>
              </w:rPr>
              <w:t>Polycystic disease</w:t>
            </w:r>
          </w:p>
        </w:tc>
      </w:tr>
      <w:tr>
        <w:trPr>
          <w:trHeight w:val="279" w:hRule="atLeast"/>
        </w:trPr>
        <w:tc>
          <w:tcPr>
            <w:tcW w:w="4680" w:type="dxa"/>
            <w:tcBorders>
              <w:top w:val="single" w:sz="4" w:space="0" w:color="FFFFFF"/>
            </w:tcBorders>
            <w:shd w:val="clear" w:color="auto" w:fill="E6ECF7"/>
          </w:tcPr>
          <w:p>
            <w:pPr>
              <w:pStyle w:val="TableParagraph"/>
              <w:ind w:left="120"/>
              <w:rPr>
                <w:sz w:val="16"/>
              </w:rPr>
            </w:pPr>
            <w:r>
              <w:rPr>
                <w:color w:val="231F20"/>
                <w:w w:val="105"/>
                <w:sz w:val="16"/>
              </w:rPr>
              <w:t>Congenital absence of kidney tissue (renal hypoplasia)</w:t>
            </w:r>
          </w:p>
        </w:tc>
      </w:tr>
    </w:tbl>
    <w:p>
      <w:pPr>
        <w:pStyle w:val="BodyText"/>
        <w:spacing w:before="4"/>
        <w:rPr>
          <w:rFonts w:ascii="Trebuchet MS"/>
          <w:sz w:val="24"/>
        </w:rPr>
      </w:pPr>
    </w:p>
    <w:p>
      <w:pPr>
        <w:pStyle w:val="BodyText"/>
        <w:spacing w:line="249" w:lineRule="auto"/>
        <w:ind w:left="319" w:right="1437"/>
        <w:jc w:val="both"/>
      </w:pPr>
      <w:r>
        <w:rPr>
          <w:color w:val="231F20"/>
        </w:rPr>
        <w:t>that decrease vascular resistance and tubular reabsorp­ tion in the surviving nephrons. These adaptive </w:t>
      </w:r>
      <w:r>
        <w:rPr>
          <w:color w:val="231F20"/>
          <w:spacing w:val="-3"/>
        </w:rPr>
        <w:t>changes  </w:t>
      </w:r>
      <w:r>
        <w:rPr>
          <w:color w:val="231F20"/>
        </w:rPr>
        <w:t>permit a person to excrete normal amounts of water </w:t>
      </w:r>
      <w:r>
        <w:rPr>
          <w:color w:val="231F20"/>
          <w:spacing w:val="-4"/>
        </w:rPr>
        <w:t>and </w:t>
      </w:r>
      <w:r>
        <w:rPr>
          <w:color w:val="231F20"/>
        </w:rPr>
        <w:t>solutes even when kidney mass is reduced to 20 to </w:t>
      </w:r>
      <w:r>
        <w:rPr>
          <w:color w:val="231F20"/>
          <w:spacing w:val="-6"/>
        </w:rPr>
        <w:t>25 </w:t>
      </w:r>
      <w:r>
        <w:rPr>
          <w:color w:val="231F20"/>
        </w:rPr>
        <w:t>percent</w:t>
      </w:r>
      <w:r>
        <w:rPr>
          <w:color w:val="231F20"/>
          <w:spacing w:val="-11"/>
        </w:rPr>
        <w:t> </w:t>
      </w:r>
      <w:r>
        <w:rPr>
          <w:color w:val="231F20"/>
        </w:rPr>
        <w:t>of</w:t>
      </w:r>
      <w:r>
        <w:rPr>
          <w:color w:val="231F20"/>
          <w:spacing w:val="-11"/>
        </w:rPr>
        <w:t> </w:t>
      </w:r>
      <w:r>
        <w:rPr>
          <w:color w:val="231F20"/>
        </w:rPr>
        <w:t>normal.</w:t>
      </w:r>
      <w:r>
        <w:rPr>
          <w:color w:val="231F20"/>
          <w:spacing w:val="-11"/>
        </w:rPr>
        <w:t> </w:t>
      </w:r>
      <w:r>
        <w:rPr>
          <w:color w:val="231F20"/>
        </w:rPr>
        <w:t>Over</w:t>
      </w:r>
      <w:r>
        <w:rPr>
          <w:color w:val="231F20"/>
          <w:spacing w:val="-11"/>
        </w:rPr>
        <w:t> </w:t>
      </w:r>
      <w:r>
        <w:rPr>
          <w:color w:val="231F20"/>
        </w:rPr>
        <w:t>a</w:t>
      </w:r>
      <w:r>
        <w:rPr>
          <w:color w:val="231F20"/>
          <w:spacing w:val="-11"/>
        </w:rPr>
        <w:t> </w:t>
      </w:r>
      <w:r>
        <w:rPr>
          <w:color w:val="231F20"/>
        </w:rPr>
        <w:t>period</w:t>
      </w:r>
      <w:r>
        <w:rPr>
          <w:color w:val="231F20"/>
          <w:spacing w:val="-11"/>
        </w:rPr>
        <w:t> </w:t>
      </w:r>
      <w:r>
        <w:rPr>
          <w:color w:val="231F20"/>
        </w:rPr>
        <w:t>of</w:t>
      </w:r>
      <w:r>
        <w:rPr>
          <w:color w:val="231F20"/>
          <w:spacing w:val="-11"/>
        </w:rPr>
        <w:t> </w:t>
      </w:r>
      <w:r>
        <w:rPr>
          <w:color w:val="231F20"/>
        </w:rPr>
        <w:t>several</w:t>
      </w:r>
      <w:r>
        <w:rPr>
          <w:color w:val="231F20"/>
          <w:spacing w:val="-11"/>
        </w:rPr>
        <w:t> </w:t>
      </w:r>
      <w:r>
        <w:rPr>
          <w:color w:val="231F20"/>
        </w:rPr>
        <w:t>years,</w:t>
      </w:r>
      <w:r>
        <w:rPr>
          <w:color w:val="231F20"/>
          <w:spacing w:val="-11"/>
        </w:rPr>
        <w:t> </w:t>
      </w:r>
      <w:r>
        <w:rPr>
          <w:color w:val="231F20"/>
        </w:rPr>
        <w:t>however, these renal adaptive changes may lead to further injury   of the remaining nephrons, particularly to the glomeruli  of these</w:t>
      </w:r>
      <w:r>
        <w:rPr>
          <w:color w:val="231F20"/>
          <w:spacing w:val="13"/>
        </w:rPr>
        <w:t> </w:t>
      </w:r>
      <w:r>
        <w:rPr>
          <w:color w:val="231F20"/>
        </w:rPr>
        <w:t>nephrons.</w:t>
      </w:r>
    </w:p>
    <w:p>
      <w:pPr>
        <w:pStyle w:val="BodyText"/>
        <w:spacing w:line="249" w:lineRule="auto" w:before="6"/>
        <w:ind w:left="319" w:right="1437" w:firstLine="240"/>
        <w:jc w:val="both"/>
      </w:pPr>
      <w:r>
        <w:rPr>
          <w:color w:val="231F20"/>
        </w:rPr>
        <w:t>The cause of this additional injury is not fully under­ stood, but some investigators believe it may be related in part to increased pressure or stretch of the remaining glomeruli, which occurs as a result of functional vasodila­ tion or increased blood pressure. The chronic increase in pressure and stretch of the small arterioles and glomeruli are believed to cause injury and sclerosis of these vessels (replacement of normal tissue with connective tissue). These sclerotic lesions can eventually obliterate the glo­ merulus, leading to further reduction in kidney function, further adaptive changes in the remaining nephrons, and  a slowly progressing vicious cycle that eventually </w:t>
      </w:r>
      <w:r>
        <w:rPr>
          <w:color w:val="231F20"/>
          <w:spacing w:val="-4"/>
        </w:rPr>
        <w:t>termi­ </w:t>
      </w:r>
      <w:r>
        <w:rPr>
          <w:color w:val="231F20"/>
        </w:rPr>
        <w:t>nates in ESRD (</w:t>
      </w:r>
      <w:hyperlink w:history="true" w:anchor="_bookmark122">
        <w:r>
          <w:rPr>
            <w:b/>
            <w:color w:val="0080AC"/>
          </w:rPr>
          <w:t>Figure 32-2</w:t>
        </w:r>
      </w:hyperlink>
      <w:r>
        <w:rPr>
          <w:color w:val="231F20"/>
        </w:rPr>
        <w:t>). The most effective method of slowing down this progressive loss of kidney function is to lower arterial pressure and glomerular hydrostatic pressure, especially by using drugs such as angiotensin­ converting enzyme inhibitors or angiotensin II receptor antagonists.</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2"/>
        <w:rPr>
          <w:sz w:val="24"/>
        </w:rPr>
      </w:pPr>
    </w:p>
    <w:p>
      <w:pPr>
        <w:spacing w:before="99"/>
        <w:ind w:left="3110" w:right="623" w:firstLine="0"/>
        <w:jc w:val="center"/>
        <w:rPr>
          <w:rFonts w:ascii="Helvetica"/>
          <w:sz w:val="16"/>
        </w:rPr>
      </w:pPr>
      <w:r>
        <w:rPr/>
        <w:pict>
          <v:group style="position:absolute;margin-left:72pt;margin-top:5.581592pt;width:234.35pt;height:243.75pt;mso-position-horizontal-relative:page;mso-position-vertical-relative:paragraph;z-index:253290496" coordorigin="1440,112" coordsize="4687,4875">
            <v:shape style="position:absolute;left:3027;top:1135;width:194;height:121" type="#_x0000_t75" stroked="false">
              <v:imagedata r:id="rId1045" o:title=""/>
            </v:shape>
            <v:rect style="position:absolute;left:3278;top:975;width:1174;height:420" filled="true" fillcolor="#95aac4" stroked="false">
              <v:fill type="solid"/>
            </v:rect>
            <v:shape style="position:absolute;left:5650;top:3387;width:117;height:193" type="#_x0000_t75" stroked="false">
              <v:imagedata r:id="rId1046" o:title=""/>
            </v:shape>
            <v:rect style="position:absolute;left:5273;top:3640;width:854;height:420" filled="true" fillcolor="#95aac4" stroked="false">
              <v:fill type="solid"/>
            </v:rect>
            <v:shape style="position:absolute;left:5306;top:2314;width:117;height:193" type="#_x0000_t75" stroked="false">
              <v:imagedata r:id="rId1047" o:title=""/>
            </v:shape>
            <v:shape style="position:absolute;left:3319;top:2567;width:2261;height:2420" coordorigin="3320,2567" coordsize="2261,2420" path="m4414,4160l3320,4160,3320,4986,4414,4986,4414,4160m5580,2567l4307,2567,4307,3366,5580,3366,5580,2567e" filled="true" fillcolor="#95aac4" stroked="false">
              <v:path arrowok="t"/>
              <v:fill type="solid"/>
            </v:shape>
            <v:shape style="position:absolute;left:4351;top:4719;width:194;height:119" type="#_x0000_t75" stroked="false">
              <v:imagedata r:id="rId1048" o:title=""/>
            </v:shape>
            <v:shape style="position:absolute;left:4356;top:4108;width:192;height:134" type="#_x0000_t75" stroked="false">
              <v:imagedata r:id="rId1049" o:title=""/>
            </v:shape>
            <v:shape style="position:absolute;left:-1133;top:11872;width:1396;height:3661" coordorigin="-1133,11873" coordsize="1396,3661" path="m5494,3948l5453,4015,5409,4080,5363,4143,5314,4204,5263,4264,5209,4321,5153,4376,5095,4429,5035,4479,4973,4527,4908,4572,4842,4615,4774,4656,4705,4693,4633,4728,4560,4760,4486,4789m4361,1129l4434,1152,4506,1177,4576,1205,4644,1236,4712,1269,4778,1305,4842,1343,4904,1384,4965,1427,5024,1472,5082,1519,5137,1568,5191,1620,5242,1673,5292,1728,5339,1785,5384,1844,5427,1905,5467,1967,5505,2031,5541,2096,5574,2163,5605,2232,5633,2301,5658,2372,5681,2444,5701,2518,5718,2592,5732,2668,5743,2745,5750,2822,5755,2900,5757,2980,5755,3067,5749,3154,5739,3240,5726,3324,5709,3407,5688,3489e" filled="false" stroked="true" strokeweight="1.5pt" strokecolor="#ed1c24">
              <v:path arrowok="t"/>
              <v:stroke dashstyle="solid"/>
            </v:shape>
            <v:rect style="position:absolute;left:1500;top:2819;width:934;height:420" filled="true" fillcolor="#95aac4" stroked="false">
              <v:fill type="solid"/>
            </v:rect>
            <v:shape style="position:absolute;left:1836;top:3182;width:118;height:193" type="#_x0000_t75" stroked="false">
              <v:imagedata r:id="rId1050" o:title=""/>
            </v:shape>
            <v:shape style="position:absolute;left:-3632;top:11926;width:1439;height:3662" coordorigin="-3631,11926" coordsize="1439,3662" path="m1863,2828l1870,2751,1881,2674,1895,2599,1911,2525,1931,2451,1953,2379,1978,2308,2006,2239,2036,2171,2069,2104,2104,2039,2142,1975,2182,1913,2224,1852,2269,1793,2315,1736,2364,1681,2415,1627,2468,1576,2523,1527,2580,1479,2639,1434,2699,1391,2761,1350,2825,1312,2890,1276,2957,1242,3025,1211,3095,1182m3302,4844l3228,4823,3156,4799,3085,4773,3015,4744,2947,4712,2880,4678,2815,4642,2751,4603,2689,4561,2629,4518,2571,4472,2514,4424,2459,4375,2406,4323,2356,4269,2307,4213,2260,4155,2216,4096,2174,4035,2134,3972,2097,3908,2062,3842,2030,3775,2000,3706,1973,3636,1948,3565,1927,3492,1908,3419,1892,3344,1884,3297e" filled="false" stroked="true" strokeweight="1.5pt" strokecolor="#ed1c24">
              <v:path arrowok="t"/>
              <v:stroke dashstyle="solid"/>
            </v:shape>
            <v:shape style="position:absolute;left:1440;top:2760;width:2914;height:2167" coordorigin="1440,2760" coordsize="2914,2167" path="m2374,2760l1440,2760,1440,3179,2374,3179,2374,2760m4354,4100l3260,4100,3260,4926,4354,4926,4354,4100e" filled="true" fillcolor="#d4e5f3" stroked="false">
              <v:path arrowok="t"/>
              <v:fill type="solid"/>
            </v:shape>
            <v:shape style="position:absolute;left:3352;top:4214;width:120;height:185" coordorigin="3352,4214" coordsize="120,185" path="m3411,4214l3390,4307,3352,4397,3353,4399,3412,4365,3458,4365,3434,4307,3411,4214xm3458,4365l3412,4365,3470,4398,3472,4396,3458,4365xe" filled="true" fillcolor="#f0535f" stroked="false">
              <v:path arrowok="t"/>
              <v:fill type="solid"/>
            </v:shape>
            <v:line style="position:absolute" from="3411,4497" to="3411,4276" stroked="true" strokeweight="1.5pt" strokecolor="#ed1c24">
              <v:stroke dashstyle="solid"/>
            </v:line>
            <v:shape style="position:absolute;left:3352;top:4567;width:120;height:185" coordorigin="3352,4567" coordsize="120,185" path="m3411,4567l3390,4660,3352,4750,3353,4752,3412,4718,3458,4718,3434,4660,3411,4567xm3458,4718l3412,4718,3470,4751,3472,4749,3458,4718xe" filled="true" fillcolor="#f0535f" stroked="false">
              <v:path arrowok="t"/>
              <v:fill type="solid"/>
            </v:shape>
            <v:line style="position:absolute" from="3411,4850" to="3411,4629" stroked="true" strokeweight="1.5pt" strokecolor="#ed1c24">
              <v:stroke dashstyle="solid"/>
            </v:line>
            <v:rect style="position:absolute;left:5213;top:3580;width:854;height:420" filled="true" fillcolor="#d4e5f3" stroked="false">
              <v:fill type="solid"/>
            </v:rect>
            <v:shape style="position:absolute;left:5257;top:3654;width:120;height:185" coordorigin="5257,3654" coordsize="120,185" path="m5316,3654l5295,3747,5257,3837,5258,3839,5317,3805,5363,3805,5339,3747,5316,3654xm5363,3805l5317,3805,5375,3838,5377,3836,5363,3805xe" filled="true" fillcolor="#f0535f" stroked="false">
              <v:path arrowok="t"/>
              <v:fill type="solid"/>
            </v:shape>
            <v:shape style="position:absolute;left:-1581;top:11796;width:1650;height:3153" coordorigin="-1581,11796" coordsize="1650,3153" path="m5316,3937l5316,3716m5337,3201l5311,3276,5281,3349,5247,3421,5210,3490,5170,3558,5126,3624,5080,3688,5030,3750,4977,3810,4922,3867,4863,3922,4802,3974,4739,4024,4673,4071,4605,4115,4534,4156,4462,4194m3736,1042l3816,1049,3895,1059,3972,1072,4049,1088,4124,1107,4198,1129,4270,1154,4341,1182,4411,1212,4479,1245,4545,1281,4609,1319,4671,1359,4732,1402,4790,1447,4846,1494,4900,1544,4952,1595,5002,1649,5049,1704,5093,1761,5135,1820,5175,1881,5211,1943,5245,2007,5276,2072,5304,2139,5329,2207,5351,2276,5370,2347,5386,2419e" filled="false" stroked="true" strokeweight="1.5pt" strokecolor="#ed1c24">
              <v:path arrowok="t"/>
              <v:stroke dashstyle="solid"/>
            </v:shape>
            <v:rect style="position:absolute;left:3218;top:915;width:1174;height:420" filled="true" fillcolor="#d4e5f3" stroked="false">
              <v:fill type="solid"/>
            </v:rect>
            <v:shape style="position:absolute;left:2728;top:930;width:209;height:209" type="#_x0000_t75" stroked="false">
              <v:imagedata r:id="rId1051" o:title=""/>
            </v:shape>
            <v:shape style="position:absolute;left:3745;top:730;width:120;height:185" coordorigin="3746,731" coordsize="120,185" path="m3747,731l3746,733,3783,822,3805,915,3827,822,3852,764,3806,764,3747,731xm3864,731l3806,764,3852,764,3865,733,3864,731xe" filled="true" fillcolor="#f0535f" stroked="false">
              <v:path arrowok="t"/>
              <v:fill type="solid"/>
            </v:shape>
            <v:rect style="position:absolute;left:3278;top:171;width:1174;height:420" filled="true" fillcolor="#95aac4" stroked="false">
              <v:fill type="solid"/>
            </v:rect>
            <v:line style="position:absolute" from="3805,532" to="3805,853" stroked="true" strokeweight="1.5pt" strokecolor="#ed1c24">
              <v:stroke dashstyle="solid"/>
            </v:line>
            <v:shape style="position:absolute;left:3398;top:1101;width:120;height:185" coordorigin="3399,1102" coordsize="120,185" path="m3400,1102l3399,1103,3436,1193,3458,1286,3480,1193,3505,1135,3459,1135,3400,1102xm3517,1102l3459,1135,3505,1135,3518,1104,3517,1102xe" filled="true" fillcolor="#f0535f" stroked="false">
              <v:path arrowok="t"/>
              <v:fill type="solid"/>
            </v:shape>
            <v:line style="position:absolute" from="3458,983" to="3458,1224" stroked="true" strokeweight="1.5pt" strokecolor="#ed1c24">
              <v:stroke dashstyle="solid"/>
            </v:line>
            <v:shape style="position:absolute;left:3218;top:111;width:2302;height:3195" coordorigin="3218,112" coordsize="2302,3195" path="m4392,112l3218,112,3218,531,4392,531,4392,112m5520,2507l4247,2507,4247,3306,5520,3306,5520,2507e" filled="true" fillcolor="#d4e5f3" stroked="false">
              <v:path arrowok="t"/>
              <v:fill type="solid"/>
            </v:shape>
            <v:shape style="position:absolute;left:2774;top:894;width:137;height:238" type="#_x0000_t202" filled="false" stroked="false">
              <v:textbox inset="0,0,0,0">
                <w:txbxContent>
                  <w:p>
                    <w:pPr>
                      <w:spacing w:before="5"/>
                      <w:ind w:left="0" w:right="0" w:firstLine="0"/>
                      <w:jc w:val="left"/>
                      <w:rPr>
                        <w:rFonts w:ascii="Helvetica"/>
                        <w:b/>
                        <w:sz w:val="20"/>
                      </w:rPr>
                    </w:pPr>
                    <w:r>
                      <w:rPr>
                        <w:rFonts w:ascii="Helvetica"/>
                        <w:b/>
                        <w:color w:val="231F20"/>
                        <w:w w:val="100"/>
                        <w:sz w:val="20"/>
                      </w:rPr>
                      <w:t>+</w:t>
                    </w:r>
                  </w:p>
                </w:txbxContent>
              </v:textbox>
              <w10:wrap type="none"/>
            </v:shape>
            <v:shape style="position:absolute;left:3576;top:934;width:634;height:365" type="#_x0000_t202" filled="false" stroked="false">
              <v:textbox inset="0,0,0,0">
                <w:txbxContent>
                  <w:p>
                    <w:pPr>
                      <w:spacing w:line="235" w:lineRule="auto" w:before="2"/>
                      <w:ind w:left="35" w:right="1" w:hanging="36"/>
                      <w:jc w:val="left"/>
                      <w:rPr>
                        <w:rFonts w:ascii="Helvetica"/>
                        <w:sz w:val="16"/>
                      </w:rPr>
                    </w:pPr>
                    <w:r>
                      <w:rPr>
                        <w:rFonts w:ascii="Helvetica"/>
                        <w:color w:val="231F20"/>
                        <w:sz w:val="16"/>
                      </w:rPr>
                      <w:t>Nephron number</w:t>
                    </w:r>
                  </w:p>
                </w:txbxContent>
              </v:textbox>
              <w10:wrap type="none"/>
            </v:shape>
            <v:shape style="position:absolute;left:1509;top:2779;width:812;height:365" type="#_x0000_t202" filled="false" stroked="false">
              <v:textbox inset="0,0,0,0">
                <w:txbxContent>
                  <w:p>
                    <w:pPr>
                      <w:spacing w:line="235" w:lineRule="auto" w:before="2"/>
                      <w:ind w:left="84" w:right="1" w:hanging="85"/>
                      <w:jc w:val="left"/>
                      <w:rPr>
                        <w:rFonts w:ascii="Helvetica"/>
                        <w:sz w:val="16"/>
                      </w:rPr>
                    </w:pPr>
                    <w:r>
                      <w:rPr>
                        <w:rFonts w:ascii="Helvetica"/>
                        <w:color w:val="231F20"/>
                        <w:sz w:val="16"/>
                      </w:rPr>
                      <w:t>Glomerular sclerosis</w:t>
                    </w:r>
                  </w:p>
                </w:txbxContent>
              </v:textbox>
              <w10:wrap type="none"/>
            </v:shape>
            <v:shape style="position:absolute;left:4308;top:2530;width:1730;height:1435" type="#_x0000_t202" filled="false" stroked="false">
              <v:textbox inset="0,0,0,0">
                <w:txbxContent>
                  <w:p>
                    <w:pPr>
                      <w:spacing w:line="235" w:lineRule="auto" w:before="2"/>
                      <w:ind w:left="10" w:right="581" w:firstLine="0"/>
                      <w:jc w:val="center"/>
                      <w:rPr>
                        <w:rFonts w:ascii="Helvetica"/>
                        <w:sz w:val="16"/>
                      </w:rPr>
                    </w:pPr>
                    <w:r>
                      <w:rPr>
                        <w:rFonts w:ascii="Helvetica"/>
                        <w:color w:val="231F20"/>
                        <w:sz w:val="16"/>
                      </w:rPr>
                      <w:t>Hypertrophy and </w:t>
                    </w:r>
                    <w:r>
                      <w:rPr>
                        <w:rFonts w:ascii="Helvetica"/>
                        <w:color w:val="231F20"/>
                        <w:spacing w:val="-2"/>
                        <w:sz w:val="16"/>
                      </w:rPr>
                      <w:t>vasodilation </w:t>
                    </w:r>
                    <w:r>
                      <w:rPr>
                        <w:rFonts w:ascii="Helvetica"/>
                        <w:color w:val="231F20"/>
                        <w:sz w:val="16"/>
                      </w:rPr>
                      <w:t>of surviving nephrons</w:t>
                    </w:r>
                  </w:p>
                  <w:p>
                    <w:pPr>
                      <w:spacing w:line="240" w:lineRule="auto" w:before="0"/>
                      <w:rPr>
                        <w:rFonts w:ascii="Helvetica"/>
                        <w:sz w:val="18"/>
                      </w:rPr>
                    </w:pPr>
                  </w:p>
                  <w:p>
                    <w:pPr>
                      <w:spacing w:line="235" w:lineRule="auto" w:before="141"/>
                      <w:ind w:left="1087" w:right="0" w:firstLine="57"/>
                      <w:jc w:val="left"/>
                      <w:rPr>
                        <w:rFonts w:ascii="Helvetica"/>
                        <w:sz w:val="16"/>
                      </w:rPr>
                    </w:pPr>
                    <w:r>
                      <w:rPr>
                        <w:rFonts w:ascii="Helvetica"/>
                        <w:color w:val="231F20"/>
                        <w:sz w:val="16"/>
                      </w:rPr>
                      <w:t>Arterial pressure</w:t>
                    </w:r>
                  </w:p>
                </w:txbxContent>
              </v:textbox>
              <w10:wrap type="none"/>
            </v:shape>
            <v:shape style="position:absolute;left:3509;top:4159;width:812;height:72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Glomerular</w:t>
                    </w:r>
                    <w:r>
                      <w:rPr>
                        <w:rFonts w:ascii="Helvetica"/>
                        <w:color w:val="231F20"/>
                        <w:w w:val="99"/>
                        <w:sz w:val="16"/>
                      </w:rPr>
                      <w:t> </w:t>
                    </w:r>
                    <w:r>
                      <w:rPr>
                        <w:rFonts w:ascii="Helvetica"/>
                        <w:color w:val="231F20"/>
                        <w:sz w:val="16"/>
                      </w:rPr>
                      <w:t>pressure and/or filtration</w:t>
                    </w:r>
                  </w:p>
                </w:txbxContent>
              </v:textbox>
              <w10:wrap type="none"/>
            </v:shape>
            <w10:wrap type="none"/>
          </v:group>
        </w:pict>
      </w:r>
      <w:r>
        <w:rPr/>
        <w:pict>
          <v:group style="position:absolute;margin-left:376.529297pt;margin-top:8.453792pt;width:156pt;height:119.1pt;mso-position-horizontal-relative:page;mso-position-vertical-relative:paragraph;z-index:253291520" coordorigin="7531,169" coordsize="3120,2382">
            <v:shape style="position:absolute;left:7610;top:694;width:3020;height:850" coordorigin="7611,694" coordsize="3020,850" path="m7611,694l8731,694,8783,698,8900,713,8967,726,9044,744,9129,769,9226,802,9336,844,9433,884,9546,934,9609,962,9674,993,9743,1026,9815,1062,9889,1099,9966,1139,10044,1182,10125,1226,10207,1274,10290,1323,10374,1375,10459,1429,10545,1485,10631,1544e" filled="false" stroked="true" strokeweight="2pt" strokecolor="#f0535f">
              <v:path arrowok="t"/>
              <v:stroke dashstyle="solid"/>
            </v:shape>
            <v:shape style="position:absolute;left:-80;top:12399;width:3098;height:2372" coordorigin="-80,12400" coordsize="3098,2372" path="m7611,1558l7531,1558m7611,1101l7531,1101m7611,645l7531,645m7611,2471l7531,2471m7611,2471l7611,2551m7611,2014l7531,2014m7611,188l7531,188m7986,2471l7986,2551m8362,2471l8362,2551m8738,2471l8738,2551m9114,2471l9114,2551m9490,2471l9490,2551m9866,2471l9866,2551m10241,2471l10241,2551m10617,2471l10617,2551m7611,179l7611,2472,10628,2471e" filled="false" stroked="true" strokeweight="1pt" strokecolor="#231f20">
              <v:path arrowok="t"/>
              <v:stroke dashstyle="solid"/>
            </v:shape>
            <w10:wrap type="none"/>
          </v:group>
        </w:pict>
      </w:r>
      <w:r>
        <w:rPr>
          <w:rFonts w:ascii="Helvetica"/>
          <w:color w:val="231F20"/>
          <w:sz w:val="16"/>
        </w:rPr>
        <w:t>2.5</w:t>
      </w:r>
    </w:p>
    <w:p>
      <w:pPr>
        <w:pStyle w:val="BodyText"/>
        <w:spacing w:before="2"/>
        <w:rPr>
          <w:rFonts w:ascii="Helvetica"/>
          <w:sz w:val="15"/>
        </w:rPr>
      </w:pPr>
    </w:p>
    <w:p>
      <w:pPr>
        <w:spacing w:before="99"/>
        <w:ind w:left="3110" w:right="623" w:firstLine="0"/>
        <w:jc w:val="center"/>
        <w:rPr>
          <w:rFonts w:ascii="Helvetica"/>
          <w:sz w:val="16"/>
        </w:rPr>
      </w:pPr>
      <w:r>
        <w:rPr/>
        <w:pict>
          <v:shape style="position:absolute;margin-left:346.727997pt;margin-top:12.423035pt;width:12.8pt;height:63.55pt;mso-position-horizontal-relative:page;mso-position-vertical-relative:paragraph;z-index:253293568" type="#_x0000_t202" filled="false" stroked="false">
            <v:textbox inset="0,0,0,0" style="layout-flow:vertical;mso-layout-flow-alt:bottom-to-top">
              <w:txbxContent>
                <w:p>
                  <w:pPr>
                    <w:spacing w:before="23"/>
                    <w:ind w:left="20" w:right="0" w:firstLine="0"/>
                    <w:jc w:val="left"/>
                    <w:rPr>
                      <w:rFonts w:ascii="Helvetica" w:hAnsi="Helvetica"/>
                      <w:b/>
                      <w:sz w:val="16"/>
                    </w:rPr>
                  </w:pPr>
                  <w:r>
                    <w:rPr>
                      <w:rFonts w:ascii="Helvetica" w:hAnsi="Helvetica"/>
                      <w:b/>
                      <w:color w:val="231F20"/>
                      <w:sz w:val="16"/>
                    </w:rPr>
                    <w:t>Glomeruli (</w:t>
                  </w:r>
                  <w:r>
                    <w:rPr>
                      <w:rFonts w:ascii="Ink Free" w:hAnsi="Ink Free"/>
                      <w:color w:val="231F20"/>
                      <w:sz w:val="16"/>
                    </w:rPr>
                    <w:t>¥</w:t>
                  </w:r>
                  <w:r>
                    <w:rPr>
                      <w:rFonts w:ascii="Helvetica" w:hAnsi="Helvetica"/>
                      <w:b/>
                      <w:color w:val="231F20"/>
                      <w:sz w:val="16"/>
                    </w:rPr>
                    <w:t>10</w:t>
                  </w:r>
                  <w:r>
                    <w:rPr>
                      <w:rFonts w:ascii="Helvetica" w:hAnsi="Helvetica"/>
                      <w:b/>
                      <w:color w:val="231F20"/>
                      <w:position w:val="5"/>
                      <w:sz w:val="12"/>
                    </w:rPr>
                    <w:t>6</w:t>
                  </w:r>
                  <w:r>
                    <w:rPr>
                      <w:rFonts w:ascii="Helvetica" w:hAnsi="Helvetica"/>
                      <w:b/>
                      <w:color w:val="231F20"/>
                      <w:sz w:val="16"/>
                    </w:rPr>
                    <w:t>)</w:t>
                  </w:r>
                </w:p>
              </w:txbxContent>
            </v:textbox>
            <w10:wrap type="none"/>
          </v:shape>
        </w:pict>
      </w:r>
      <w:r>
        <w:rPr>
          <w:rFonts w:ascii="Helvetica"/>
          <w:color w:val="231F20"/>
          <w:sz w:val="16"/>
        </w:rPr>
        <w:t>2.0</w:t>
      </w:r>
    </w:p>
    <w:p>
      <w:pPr>
        <w:pStyle w:val="BodyText"/>
        <w:spacing w:before="11"/>
        <w:rPr>
          <w:rFonts w:ascii="Helvetica"/>
          <w:sz w:val="22"/>
        </w:rPr>
      </w:pPr>
    </w:p>
    <w:p>
      <w:pPr>
        <w:spacing w:before="0"/>
        <w:ind w:left="3110" w:right="623" w:firstLine="0"/>
        <w:jc w:val="center"/>
        <w:rPr>
          <w:rFonts w:ascii="Helvetica"/>
          <w:sz w:val="16"/>
        </w:rPr>
      </w:pPr>
      <w:r>
        <w:rPr>
          <w:rFonts w:ascii="Helvetica"/>
          <w:color w:val="231F20"/>
          <w:sz w:val="16"/>
        </w:rPr>
        <w:t>1.5</w:t>
      </w:r>
    </w:p>
    <w:p>
      <w:pPr>
        <w:pStyle w:val="BodyText"/>
        <w:spacing w:before="6"/>
        <w:rPr>
          <w:rFonts w:ascii="Helvetica"/>
          <w:sz w:val="15"/>
        </w:rPr>
      </w:pPr>
    </w:p>
    <w:p>
      <w:pPr>
        <w:spacing w:before="99"/>
        <w:ind w:left="3110" w:right="623" w:firstLine="0"/>
        <w:jc w:val="center"/>
        <w:rPr>
          <w:rFonts w:ascii="Helvetica"/>
          <w:sz w:val="16"/>
        </w:rPr>
      </w:pPr>
      <w:r>
        <w:rPr/>
        <w:pict>
          <v:shape style="position:absolute;margin-left:578.900024pt;margin-top:-1.121094pt;width:15.9pt;height:53.35pt;mso-position-horizontal-relative:page;mso-position-vertical-relative:paragraph;z-index:253292544"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1.0</w:t>
      </w:r>
    </w:p>
    <w:p>
      <w:pPr>
        <w:pStyle w:val="BodyText"/>
        <w:spacing w:before="9"/>
        <w:rPr>
          <w:rFonts w:ascii="Helvetica"/>
          <w:sz w:val="14"/>
        </w:rPr>
      </w:pPr>
    </w:p>
    <w:p>
      <w:pPr>
        <w:spacing w:before="99"/>
        <w:ind w:left="3110" w:right="623" w:firstLine="0"/>
        <w:jc w:val="center"/>
        <w:rPr>
          <w:rFonts w:ascii="Helvetica"/>
          <w:sz w:val="16"/>
        </w:rPr>
      </w:pPr>
      <w:r>
        <w:rPr>
          <w:rFonts w:ascii="Helvetica"/>
          <w:color w:val="231F20"/>
          <w:sz w:val="16"/>
        </w:rPr>
        <w:t>0.5</w:t>
      </w:r>
    </w:p>
    <w:p>
      <w:pPr>
        <w:pStyle w:val="BodyText"/>
        <w:spacing w:before="7"/>
        <w:rPr>
          <w:rFonts w:ascii="Helvetica"/>
          <w:sz w:val="15"/>
        </w:rPr>
      </w:pPr>
    </w:p>
    <w:p>
      <w:pPr>
        <w:spacing w:before="99"/>
        <w:ind w:left="3110" w:right="623" w:firstLine="0"/>
        <w:jc w:val="center"/>
        <w:rPr>
          <w:rFonts w:ascii="Helvetica"/>
          <w:sz w:val="16"/>
        </w:rPr>
      </w:pPr>
      <w:r>
        <w:rPr>
          <w:rFonts w:ascii="Helvetica"/>
          <w:color w:val="231F20"/>
          <w:sz w:val="16"/>
        </w:rPr>
        <w:t>0.0</w:t>
      </w:r>
    </w:p>
    <w:p>
      <w:pPr>
        <w:tabs>
          <w:tab w:pos="6739" w:val="left" w:leader="none"/>
          <w:tab w:pos="7492" w:val="left" w:leader="none"/>
          <w:tab w:pos="8245" w:val="left" w:leader="none"/>
          <w:tab w:pos="8997" w:val="left" w:leader="none"/>
        </w:tabs>
        <w:spacing w:before="3"/>
        <w:ind w:left="6034" w:right="0" w:firstLine="0"/>
        <w:jc w:val="center"/>
        <w:rPr>
          <w:rFonts w:ascii="Helvetica"/>
          <w:sz w:val="16"/>
        </w:rPr>
      </w:pPr>
      <w:r>
        <w:rPr>
          <w:rFonts w:ascii="Helvetica"/>
          <w:color w:val="231F20"/>
          <w:sz w:val="16"/>
        </w:rPr>
        <w:t>0</w:t>
        <w:tab/>
        <w:t>20</w:t>
        <w:tab/>
        <w:t>40</w:t>
        <w:tab/>
        <w:t>60</w:t>
        <w:tab/>
        <w:t>80</w:t>
      </w:r>
    </w:p>
    <w:p>
      <w:pPr>
        <w:spacing w:before="55"/>
        <w:ind w:left="6034" w:right="42" w:firstLine="0"/>
        <w:jc w:val="center"/>
        <w:rPr>
          <w:rFonts w:ascii="Helvetica"/>
          <w:b/>
          <w:sz w:val="16"/>
        </w:rPr>
      </w:pPr>
      <w:r>
        <w:rPr/>
        <w:pict>
          <v:rect style="position:absolute;margin-left:576pt;margin-top:5.963623pt;width:36pt;height:24pt;mso-position-horizontal-relative:page;mso-position-vertical-relative:paragraph;z-index:253284352" filled="true" fillcolor="#e8dac8" stroked="false">
            <v:fill type="solid"/>
            <w10:wrap type="none"/>
          </v:rect>
        </w:pict>
      </w:r>
      <w:r>
        <w:rPr>
          <w:rFonts w:ascii="Helvetica"/>
          <w:b/>
          <w:color w:val="231F20"/>
          <w:sz w:val="16"/>
        </w:rPr>
        <w:t>Age (years)</w:t>
      </w:r>
    </w:p>
    <w:p>
      <w:pPr>
        <w:spacing w:line="259" w:lineRule="auto" w:before="92"/>
        <w:ind w:left="6480" w:right="1314" w:hanging="1"/>
        <w:jc w:val="left"/>
        <w:rPr>
          <w:rFonts w:ascii="Arial"/>
          <w:sz w:val="16"/>
        </w:rPr>
      </w:pPr>
      <w:bookmarkStart w:name="_bookmark121" w:id="122"/>
      <w:bookmarkEnd w:id="122"/>
      <w:r>
        <w:rPr/>
      </w:r>
      <w:r>
        <w:rPr>
          <w:rFonts w:ascii="Trebuchet MS"/>
          <w:b/>
          <w:color w:val="231F20"/>
          <w:sz w:val="16"/>
        </w:rPr>
        <w:t>Figure 32-3. </w:t>
      </w:r>
      <w:r>
        <w:rPr>
          <w:rFonts w:ascii="Arial"/>
          <w:color w:val="231F20"/>
          <w:sz w:val="16"/>
        </w:rPr>
        <w:t>Effect of aging on the number of functional glomeruli.</w:t>
      </w:r>
    </w:p>
    <w:p>
      <w:pPr>
        <w:pStyle w:val="BodyText"/>
        <w:spacing w:before="6"/>
        <w:rPr>
          <w:rFonts w:ascii="Arial"/>
          <w:sz w:val="16"/>
        </w:rPr>
      </w:pPr>
    </w:p>
    <w:p>
      <w:pPr>
        <w:spacing w:after="0"/>
        <w:rPr>
          <w:rFonts w:ascii="Arial"/>
          <w:sz w:val="16"/>
        </w:rPr>
        <w:sectPr>
          <w:headerReference w:type="even" r:id="rId1044"/>
          <w:pgSz w:w="12240" w:h="15660"/>
          <w:pgMar w:header="0" w:footer="567" w:top="0" w:bottom="760" w:left="0" w:right="0"/>
        </w:sectPr>
      </w:pPr>
    </w:p>
    <w:p>
      <w:pPr>
        <w:pStyle w:val="BodyText"/>
        <w:rPr>
          <w:rFonts w:ascii="Arial"/>
          <w:sz w:val="18"/>
        </w:rPr>
      </w:pPr>
      <w:r>
        <w:rPr/>
        <w:pict>
          <v:group style="position:absolute;margin-left:0pt;margin-top:0pt;width:612pt;height:180pt;mso-position-horizontal-relative:page;mso-position-vertical-relative:page;z-index:-272121856"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v:shape style="position:absolute;left:3278;top:1139;width:1174;height:420" type="#_x0000_t202" filled="false" stroked="false">
              <v:textbox inset="0,0,0,0">
                <w:txbxContent>
                  <w:p>
                    <w:pPr>
                      <w:spacing w:line="141" w:lineRule="exact" w:before="0"/>
                      <w:ind w:left="230" w:right="352" w:firstLine="0"/>
                      <w:jc w:val="center"/>
                      <w:rPr>
                        <w:rFonts w:ascii="Helvetica"/>
                        <w:sz w:val="16"/>
                      </w:rPr>
                    </w:pPr>
                    <w:r>
                      <w:rPr>
                        <w:rFonts w:ascii="Helvetica"/>
                        <w:color w:val="231F20"/>
                        <w:sz w:val="16"/>
                      </w:rPr>
                      <w:t>Primary</w:t>
                    </w:r>
                  </w:p>
                  <w:p>
                    <w:pPr>
                      <w:spacing w:line="182" w:lineRule="exact" w:before="0"/>
                      <w:ind w:left="-5" w:right="117" w:firstLine="0"/>
                      <w:jc w:val="center"/>
                      <w:rPr>
                        <w:rFonts w:ascii="Helvetica"/>
                        <w:sz w:val="16"/>
                      </w:rPr>
                    </w:pPr>
                    <w:r>
                      <w:rPr>
                        <w:rFonts w:ascii="Helvetica"/>
                        <w:color w:val="231F20"/>
                        <w:sz w:val="16"/>
                      </w:rPr>
                      <w:t>kidney</w:t>
                    </w:r>
                    <w:r>
                      <w:rPr>
                        <w:rFonts w:ascii="Helvetica"/>
                        <w:color w:val="231F20"/>
                        <w:spacing w:val="3"/>
                        <w:sz w:val="16"/>
                      </w:rPr>
                      <w:t> </w:t>
                    </w:r>
                    <w:r>
                      <w:rPr>
                        <w:rFonts w:ascii="Helvetica"/>
                        <w:color w:val="231F20"/>
                        <w:spacing w:val="-3"/>
                        <w:sz w:val="16"/>
                      </w:rPr>
                      <w:t>disease</w:t>
                    </w:r>
                  </w:p>
                </w:txbxContent>
              </v:textbox>
              <w10:wrap type="none"/>
            </v:shape>
            <w10:wrap type="none"/>
          </v:group>
        </w:pic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line="259" w:lineRule="auto" w:before="161"/>
        <w:ind w:left="1443" w:right="0" w:firstLine="0"/>
        <w:jc w:val="both"/>
        <w:rPr>
          <w:rFonts w:ascii="Arial" w:hAnsi="Arial"/>
          <w:sz w:val="16"/>
        </w:rPr>
      </w:pPr>
      <w:bookmarkStart w:name="_bookmark122" w:id="123"/>
      <w:bookmarkEnd w:id="123"/>
      <w:r>
        <w:rPr/>
      </w:r>
      <w:r>
        <w:rPr>
          <w:rFonts w:ascii="Trebuchet MS" w:hAnsi="Trebuchet MS"/>
          <w:b/>
          <w:color w:val="231F20"/>
          <w:sz w:val="16"/>
        </w:rPr>
        <w:t>Figure 32-2. </w:t>
      </w:r>
      <w:r>
        <w:rPr>
          <w:rFonts w:ascii="Arial" w:hAnsi="Arial"/>
          <w:color w:val="231F20"/>
          <w:sz w:val="16"/>
        </w:rPr>
        <w:t>The vicious circle that can occur with primary kidney </w:t>
      </w:r>
      <w:r>
        <w:rPr>
          <w:rFonts w:ascii="Arial" w:hAnsi="Arial"/>
          <w:color w:val="231F20"/>
          <w:w w:val="95"/>
          <w:sz w:val="16"/>
        </w:rPr>
        <w:t>disease. Loss of nephrons because of disease may increase</w:t>
      </w:r>
      <w:r>
        <w:rPr>
          <w:rFonts w:ascii="Arial" w:hAnsi="Arial"/>
          <w:color w:val="231F20"/>
          <w:spacing w:val="-16"/>
          <w:w w:val="95"/>
          <w:sz w:val="16"/>
        </w:rPr>
        <w:t> </w:t>
      </w:r>
      <w:r>
        <w:rPr>
          <w:rFonts w:ascii="Arial" w:hAnsi="Arial"/>
          <w:color w:val="231F20"/>
          <w:spacing w:val="-3"/>
          <w:w w:val="95"/>
          <w:sz w:val="16"/>
        </w:rPr>
        <w:t>pressure </w:t>
      </w:r>
      <w:r>
        <w:rPr>
          <w:rFonts w:ascii="Arial" w:hAnsi="Arial"/>
          <w:color w:val="231F20"/>
          <w:sz w:val="16"/>
        </w:rPr>
        <w:t>and flow in the surviving glomerular capillaries, which in turn </w:t>
      </w:r>
      <w:r>
        <w:rPr>
          <w:rFonts w:ascii="Arial" w:hAnsi="Arial"/>
          <w:color w:val="231F20"/>
          <w:spacing w:val="-4"/>
          <w:sz w:val="16"/>
        </w:rPr>
        <w:t>may </w:t>
      </w:r>
      <w:r>
        <w:rPr>
          <w:rFonts w:ascii="Arial" w:hAnsi="Arial"/>
          <w:color w:val="231F20"/>
          <w:sz w:val="16"/>
        </w:rPr>
        <w:t>eventually injure these “normal” capillaries as well, thus </w:t>
      </w:r>
      <w:r>
        <w:rPr>
          <w:rFonts w:ascii="Arial" w:hAnsi="Arial"/>
          <w:color w:val="231F20"/>
          <w:spacing w:val="-3"/>
          <w:sz w:val="16"/>
        </w:rPr>
        <w:t>causing </w:t>
      </w:r>
      <w:r>
        <w:rPr>
          <w:rFonts w:ascii="Arial" w:hAnsi="Arial"/>
          <w:color w:val="231F20"/>
          <w:sz w:val="16"/>
        </w:rPr>
        <w:t>progressive sclerosis and eventual loss of these</w:t>
      </w:r>
      <w:r>
        <w:rPr>
          <w:rFonts w:ascii="Arial" w:hAnsi="Arial"/>
          <w:color w:val="231F20"/>
          <w:spacing w:val="-25"/>
          <w:sz w:val="16"/>
        </w:rPr>
        <w:t> </w:t>
      </w:r>
      <w:r>
        <w:rPr>
          <w:rFonts w:ascii="Arial" w:hAnsi="Arial"/>
          <w:color w:val="231F20"/>
          <w:sz w:val="16"/>
        </w:rPr>
        <w:t>glomeruli.</w:t>
      </w:r>
    </w:p>
    <w:p>
      <w:pPr>
        <w:pStyle w:val="BodyText"/>
        <w:rPr>
          <w:rFonts w:ascii="Arial"/>
          <w:sz w:val="18"/>
        </w:rPr>
      </w:pPr>
    </w:p>
    <w:p>
      <w:pPr>
        <w:pStyle w:val="BodyText"/>
        <w:spacing w:before="4"/>
        <w:rPr>
          <w:rFonts w:ascii="Arial"/>
          <w:sz w:val="21"/>
        </w:rPr>
      </w:pPr>
    </w:p>
    <w:p>
      <w:pPr>
        <w:spacing w:line="252" w:lineRule="auto" w:before="0"/>
        <w:ind w:left="1440" w:right="293" w:firstLine="0"/>
        <w:jc w:val="left"/>
        <w:rPr>
          <w:rFonts w:ascii="Trebuchet MS"/>
          <w:sz w:val="18"/>
        </w:rPr>
      </w:pPr>
      <w:bookmarkStart w:name="_bookmark123" w:id="124"/>
      <w:bookmarkEnd w:id="124"/>
      <w:r>
        <w:rPr/>
      </w:r>
      <w:r>
        <w:rPr>
          <w:rFonts w:ascii="Trebuchet MS"/>
          <w:b/>
          <w:color w:val="231F20"/>
          <w:w w:val="105"/>
          <w:sz w:val="18"/>
        </w:rPr>
        <w:t>Table 32-5 </w:t>
      </w:r>
      <w:r>
        <w:rPr>
          <w:rFonts w:ascii="Trebuchet MS"/>
          <w:color w:val="231F20"/>
          <w:w w:val="105"/>
          <w:sz w:val="18"/>
        </w:rPr>
        <w:t>Most Common Causes of End-Stage Renal Disease</w:t>
      </w:r>
    </w:p>
    <w:p>
      <w:pPr>
        <w:pStyle w:val="BodyText"/>
        <w:spacing w:before="5" w:after="1"/>
        <w:rPr>
          <w:rFonts w:ascii="Trebuchet MS"/>
          <w:sz w:val="9"/>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0"/>
        <w:gridCol w:w="2529"/>
      </w:tblGrid>
      <w:tr>
        <w:trPr>
          <w:trHeight w:val="264" w:hRule="atLeast"/>
        </w:trPr>
        <w:tc>
          <w:tcPr>
            <w:tcW w:w="2150" w:type="dxa"/>
            <w:shd w:val="clear" w:color="auto" w:fill="D1DDF1"/>
          </w:tcPr>
          <w:p>
            <w:pPr>
              <w:pStyle w:val="TableParagraph"/>
              <w:spacing w:before="34"/>
              <w:ind w:left="120"/>
              <w:rPr>
                <w:b/>
                <w:sz w:val="16"/>
              </w:rPr>
            </w:pPr>
            <w:r>
              <w:rPr>
                <w:b/>
                <w:color w:val="231F20"/>
                <w:sz w:val="16"/>
              </w:rPr>
              <w:t>Cause</w:t>
            </w:r>
          </w:p>
        </w:tc>
        <w:tc>
          <w:tcPr>
            <w:tcW w:w="2529" w:type="dxa"/>
            <w:shd w:val="clear" w:color="auto" w:fill="D1DDF1"/>
          </w:tcPr>
          <w:p>
            <w:pPr>
              <w:pStyle w:val="TableParagraph"/>
              <w:spacing w:before="34"/>
              <w:ind w:left="151" w:right="113"/>
              <w:jc w:val="center"/>
              <w:rPr>
                <w:b/>
                <w:sz w:val="16"/>
              </w:rPr>
            </w:pPr>
            <w:r>
              <w:rPr>
                <w:b/>
                <w:color w:val="231F20"/>
                <w:w w:val="105"/>
                <w:sz w:val="16"/>
              </w:rPr>
              <w:t>Total Patients with ESRD (%)</w:t>
            </w:r>
          </w:p>
        </w:tc>
      </w:tr>
      <w:tr>
        <w:trPr>
          <w:trHeight w:val="259" w:hRule="atLeast"/>
        </w:trPr>
        <w:tc>
          <w:tcPr>
            <w:tcW w:w="2150" w:type="dxa"/>
            <w:tcBorders>
              <w:bottom w:val="single" w:sz="4" w:space="0" w:color="FFFFFF"/>
            </w:tcBorders>
            <w:shd w:val="clear" w:color="auto" w:fill="E6ECF7"/>
          </w:tcPr>
          <w:p>
            <w:pPr>
              <w:pStyle w:val="TableParagraph"/>
              <w:spacing w:before="24"/>
              <w:ind w:left="120"/>
              <w:rPr>
                <w:sz w:val="16"/>
              </w:rPr>
            </w:pPr>
            <w:r>
              <w:rPr>
                <w:color w:val="231F20"/>
                <w:w w:val="105"/>
                <w:sz w:val="16"/>
              </w:rPr>
              <w:t>Diabetes mellitus</w:t>
            </w:r>
          </w:p>
        </w:tc>
        <w:tc>
          <w:tcPr>
            <w:tcW w:w="2529" w:type="dxa"/>
            <w:tcBorders>
              <w:bottom w:val="single" w:sz="4" w:space="0" w:color="FFFFFF"/>
            </w:tcBorders>
            <w:shd w:val="clear" w:color="auto" w:fill="E6ECF7"/>
          </w:tcPr>
          <w:p>
            <w:pPr>
              <w:pStyle w:val="TableParagraph"/>
              <w:spacing w:before="24"/>
              <w:ind w:left="151" w:right="80"/>
              <w:jc w:val="center"/>
              <w:rPr>
                <w:sz w:val="16"/>
              </w:rPr>
            </w:pPr>
            <w:r>
              <w:rPr>
                <w:color w:val="231F20"/>
                <w:w w:val="105"/>
                <w:sz w:val="16"/>
              </w:rPr>
              <w:t>45</w:t>
            </w:r>
          </w:p>
        </w:tc>
      </w:tr>
      <w:tr>
        <w:trPr>
          <w:trHeight w:val="264" w:hRule="atLeast"/>
        </w:trPr>
        <w:tc>
          <w:tcPr>
            <w:tcW w:w="215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Hypertension</w:t>
            </w:r>
          </w:p>
        </w:tc>
        <w:tc>
          <w:tcPr>
            <w:tcW w:w="2529" w:type="dxa"/>
            <w:tcBorders>
              <w:top w:val="single" w:sz="4" w:space="0" w:color="FFFFFF"/>
              <w:bottom w:val="single" w:sz="4" w:space="0" w:color="FFFFFF"/>
            </w:tcBorders>
            <w:shd w:val="clear" w:color="auto" w:fill="E6ECF7"/>
          </w:tcPr>
          <w:p>
            <w:pPr>
              <w:pStyle w:val="TableParagraph"/>
              <w:ind w:left="151" w:right="80"/>
              <w:jc w:val="center"/>
              <w:rPr>
                <w:sz w:val="16"/>
              </w:rPr>
            </w:pPr>
            <w:r>
              <w:rPr>
                <w:color w:val="231F20"/>
                <w:w w:val="105"/>
                <w:sz w:val="16"/>
              </w:rPr>
              <w:t>27</w:t>
            </w:r>
          </w:p>
        </w:tc>
      </w:tr>
      <w:tr>
        <w:trPr>
          <w:trHeight w:val="264" w:hRule="atLeast"/>
        </w:trPr>
        <w:tc>
          <w:tcPr>
            <w:tcW w:w="215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Glomerulonephritis</w:t>
            </w:r>
          </w:p>
        </w:tc>
        <w:tc>
          <w:tcPr>
            <w:tcW w:w="2529" w:type="dxa"/>
            <w:tcBorders>
              <w:top w:val="single" w:sz="4" w:space="0" w:color="FFFFFF"/>
              <w:bottom w:val="single" w:sz="4" w:space="0" w:color="FFFFFF"/>
            </w:tcBorders>
            <w:shd w:val="clear" w:color="auto" w:fill="E6ECF7"/>
          </w:tcPr>
          <w:p>
            <w:pPr>
              <w:pStyle w:val="TableParagraph"/>
              <w:ind w:left="153"/>
              <w:jc w:val="center"/>
              <w:rPr>
                <w:sz w:val="16"/>
              </w:rPr>
            </w:pPr>
            <w:r>
              <w:rPr>
                <w:color w:val="231F20"/>
                <w:w w:val="106"/>
                <w:sz w:val="16"/>
              </w:rPr>
              <w:t>8</w:t>
            </w:r>
          </w:p>
        </w:tc>
      </w:tr>
      <w:tr>
        <w:trPr>
          <w:trHeight w:val="264" w:hRule="atLeast"/>
        </w:trPr>
        <w:tc>
          <w:tcPr>
            <w:tcW w:w="2150"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Polycystic kidney disease</w:t>
            </w:r>
          </w:p>
        </w:tc>
        <w:tc>
          <w:tcPr>
            <w:tcW w:w="2529" w:type="dxa"/>
            <w:tcBorders>
              <w:top w:val="single" w:sz="4" w:space="0" w:color="FFFFFF"/>
              <w:bottom w:val="single" w:sz="4" w:space="0" w:color="FFFFFF"/>
            </w:tcBorders>
            <w:shd w:val="clear" w:color="auto" w:fill="E6ECF7"/>
          </w:tcPr>
          <w:p>
            <w:pPr>
              <w:pStyle w:val="TableParagraph"/>
              <w:ind w:left="153"/>
              <w:jc w:val="center"/>
              <w:rPr>
                <w:sz w:val="16"/>
              </w:rPr>
            </w:pPr>
            <w:r>
              <w:rPr>
                <w:color w:val="231F20"/>
                <w:w w:val="106"/>
                <w:sz w:val="16"/>
              </w:rPr>
              <w:t>2</w:t>
            </w:r>
          </w:p>
        </w:tc>
      </w:tr>
      <w:tr>
        <w:trPr>
          <w:trHeight w:val="279" w:hRule="atLeast"/>
        </w:trPr>
        <w:tc>
          <w:tcPr>
            <w:tcW w:w="2150" w:type="dxa"/>
            <w:tcBorders>
              <w:top w:val="single" w:sz="4" w:space="0" w:color="FFFFFF"/>
            </w:tcBorders>
            <w:shd w:val="clear" w:color="auto" w:fill="E6ECF7"/>
          </w:tcPr>
          <w:p>
            <w:pPr>
              <w:pStyle w:val="TableParagraph"/>
              <w:ind w:left="120"/>
              <w:rPr>
                <w:sz w:val="16"/>
              </w:rPr>
            </w:pPr>
            <w:r>
              <w:rPr>
                <w:color w:val="231F20"/>
                <w:w w:val="105"/>
                <w:sz w:val="16"/>
              </w:rPr>
              <w:t>Other/unknown</w:t>
            </w:r>
          </w:p>
        </w:tc>
        <w:tc>
          <w:tcPr>
            <w:tcW w:w="2529" w:type="dxa"/>
            <w:tcBorders>
              <w:top w:val="single" w:sz="4" w:space="0" w:color="FFFFFF"/>
            </w:tcBorders>
            <w:shd w:val="clear" w:color="auto" w:fill="E6ECF7"/>
          </w:tcPr>
          <w:p>
            <w:pPr>
              <w:pStyle w:val="TableParagraph"/>
              <w:ind w:left="151" w:right="81"/>
              <w:jc w:val="center"/>
              <w:rPr>
                <w:sz w:val="16"/>
              </w:rPr>
            </w:pPr>
            <w:r>
              <w:rPr>
                <w:color w:val="231F20"/>
                <w:w w:val="105"/>
                <w:sz w:val="16"/>
              </w:rPr>
              <w:t>18</w:t>
            </w:r>
          </w:p>
        </w:tc>
      </w:tr>
    </w:tbl>
    <w:p>
      <w:pPr>
        <w:pStyle w:val="BodyText"/>
        <w:rPr>
          <w:rFonts w:ascii="Trebuchet MS"/>
        </w:rPr>
      </w:pPr>
    </w:p>
    <w:p>
      <w:pPr>
        <w:pStyle w:val="BodyText"/>
        <w:spacing w:before="6"/>
        <w:rPr>
          <w:rFonts w:ascii="Trebuchet MS"/>
          <w:sz w:val="21"/>
        </w:rPr>
      </w:pPr>
    </w:p>
    <w:p>
      <w:pPr>
        <w:pStyle w:val="BodyText"/>
        <w:spacing w:line="249" w:lineRule="auto"/>
        <w:ind w:left="1440" w:right="1" w:firstLine="240"/>
        <w:jc w:val="both"/>
      </w:pPr>
      <w:hyperlink w:history="true" w:anchor="_bookmark123">
        <w:r>
          <w:rPr>
            <w:b/>
            <w:color w:val="0080AC"/>
            <w:spacing w:val="-4"/>
          </w:rPr>
          <w:t>Table  </w:t>
        </w:r>
        <w:r>
          <w:rPr>
            <w:b/>
            <w:color w:val="0080AC"/>
          </w:rPr>
          <w:t>32-5</w:t>
        </w:r>
      </w:hyperlink>
      <w:r>
        <w:rPr>
          <w:b/>
          <w:color w:val="0080AC"/>
        </w:rPr>
        <w:t> </w:t>
      </w:r>
      <w:r>
        <w:rPr>
          <w:color w:val="231F20"/>
        </w:rPr>
        <w:t>lists the most common causes of ESRD.  In the early 1980s, </w:t>
      </w:r>
      <w:r>
        <w:rPr>
          <w:i/>
          <w:color w:val="231F20"/>
        </w:rPr>
        <w:t>glomerulonephritis </w:t>
      </w:r>
      <w:r>
        <w:rPr>
          <w:color w:val="231F20"/>
        </w:rPr>
        <w:t>in all its various forms was believed to be the most common initiating cause of ESRD. In recent years, </w:t>
      </w:r>
      <w:r>
        <w:rPr>
          <w:i/>
          <w:color w:val="231F20"/>
        </w:rPr>
        <w:t>diabetes mellitus</w:t>
      </w:r>
      <w:r>
        <w:rPr>
          <w:i/>
          <w:color w:val="231F20"/>
          <w:spacing w:val="34"/>
        </w:rPr>
        <w:t> </w:t>
      </w:r>
      <w:r>
        <w:rPr>
          <w:color w:val="231F20"/>
        </w:rPr>
        <w:t>and </w:t>
      </w:r>
      <w:r>
        <w:rPr>
          <w:i/>
          <w:color w:val="231F20"/>
        </w:rPr>
        <w:t>hypertension </w:t>
      </w:r>
      <w:r>
        <w:rPr>
          <w:color w:val="231F20"/>
        </w:rPr>
        <w:t>have become recognized as the leading causes of ESRD, together accounting for more than 70 percent of all</w:t>
      </w:r>
      <w:r>
        <w:rPr>
          <w:color w:val="231F20"/>
          <w:spacing w:val="16"/>
        </w:rPr>
        <w:t> </w:t>
      </w:r>
      <w:r>
        <w:rPr>
          <w:color w:val="231F20"/>
        </w:rPr>
        <w:t>ESRD.</w:t>
      </w:r>
    </w:p>
    <w:p>
      <w:pPr>
        <w:pStyle w:val="BodyText"/>
        <w:spacing w:line="249" w:lineRule="auto" w:before="6"/>
        <w:ind w:left="1440" w:firstLine="240"/>
        <w:jc w:val="both"/>
      </w:pPr>
      <w:r>
        <w:rPr>
          <w:color w:val="231F20"/>
          <w:w w:val="105"/>
        </w:rPr>
        <w:t>Excessive</w:t>
      </w:r>
      <w:r>
        <w:rPr>
          <w:color w:val="231F20"/>
          <w:spacing w:val="-21"/>
          <w:w w:val="105"/>
        </w:rPr>
        <w:t> </w:t>
      </w:r>
      <w:r>
        <w:rPr>
          <w:color w:val="231F20"/>
          <w:w w:val="105"/>
        </w:rPr>
        <w:t>weight</w:t>
      </w:r>
      <w:r>
        <w:rPr>
          <w:color w:val="231F20"/>
          <w:spacing w:val="-20"/>
          <w:w w:val="105"/>
        </w:rPr>
        <w:t> </w:t>
      </w:r>
      <w:r>
        <w:rPr>
          <w:color w:val="231F20"/>
          <w:w w:val="105"/>
        </w:rPr>
        <w:t>gain</w:t>
      </w:r>
      <w:r>
        <w:rPr>
          <w:color w:val="231F20"/>
          <w:spacing w:val="-21"/>
          <w:w w:val="105"/>
        </w:rPr>
        <w:t> </w:t>
      </w:r>
      <w:r>
        <w:rPr>
          <w:color w:val="231F20"/>
          <w:w w:val="105"/>
        </w:rPr>
        <w:t>(obesity)</w:t>
      </w:r>
      <w:r>
        <w:rPr>
          <w:color w:val="231F20"/>
          <w:spacing w:val="-21"/>
          <w:w w:val="105"/>
        </w:rPr>
        <w:t> </w:t>
      </w:r>
      <w:r>
        <w:rPr>
          <w:color w:val="231F20"/>
          <w:w w:val="105"/>
        </w:rPr>
        <w:t>appears</w:t>
      </w:r>
      <w:r>
        <w:rPr>
          <w:color w:val="231F20"/>
          <w:spacing w:val="-20"/>
          <w:w w:val="105"/>
        </w:rPr>
        <w:t> </w:t>
      </w:r>
      <w:r>
        <w:rPr>
          <w:color w:val="231F20"/>
          <w:w w:val="105"/>
        </w:rPr>
        <w:t>to</w:t>
      </w:r>
      <w:r>
        <w:rPr>
          <w:color w:val="231F20"/>
          <w:spacing w:val="-21"/>
          <w:w w:val="105"/>
        </w:rPr>
        <w:t> </w:t>
      </w:r>
      <w:r>
        <w:rPr>
          <w:color w:val="231F20"/>
          <w:w w:val="105"/>
        </w:rPr>
        <w:t>be</w:t>
      </w:r>
      <w:r>
        <w:rPr>
          <w:color w:val="231F20"/>
          <w:spacing w:val="-20"/>
          <w:w w:val="105"/>
        </w:rPr>
        <w:t> </w:t>
      </w:r>
      <w:r>
        <w:rPr>
          <w:color w:val="231F20"/>
          <w:w w:val="105"/>
        </w:rPr>
        <w:t>the</w:t>
      </w:r>
      <w:r>
        <w:rPr>
          <w:color w:val="231F20"/>
          <w:spacing w:val="-21"/>
          <w:w w:val="105"/>
        </w:rPr>
        <w:t> </w:t>
      </w:r>
      <w:r>
        <w:rPr>
          <w:color w:val="231F20"/>
          <w:spacing w:val="-3"/>
          <w:w w:val="105"/>
        </w:rPr>
        <w:t>most </w:t>
      </w:r>
      <w:r>
        <w:rPr>
          <w:color w:val="231F20"/>
          <w:w w:val="105"/>
        </w:rPr>
        <w:t>important</w:t>
      </w:r>
      <w:r>
        <w:rPr>
          <w:color w:val="231F20"/>
          <w:spacing w:val="-15"/>
          <w:w w:val="105"/>
        </w:rPr>
        <w:t> </w:t>
      </w:r>
      <w:r>
        <w:rPr>
          <w:color w:val="231F20"/>
          <w:w w:val="105"/>
        </w:rPr>
        <w:t>risk</w:t>
      </w:r>
      <w:r>
        <w:rPr>
          <w:color w:val="231F20"/>
          <w:spacing w:val="-14"/>
          <w:w w:val="105"/>
        </w:rPr>
        <w:t> </w:t>
      </w:r>
      <w:r>
        <w:rPr>
          <w:color w:val="231F20"/>
          <w:w w:val="105"/>
        </w:rPr>
        <w:t>factor</w:t>
      </w:r>
      <w:r>
        <w:rPr>
          <w:color w:val="231F20"/>
          <w:spacing w:val="-14"/>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w w:val="105"/>
        </w:rPr>
        <w:t>two</w:t>
      </w:r>
      <w:r>
        <w:rPr>
          <w:color w:val="231F20"/>
          <w:spacing w:val="-14"/>
          <w:w w:val="105"/>
        </w:rPr>
        <w:t> </w:t>
      </w:r>
      <w:r>
        <w:rPr>
          <w:color w:val="231F20"/>
          <w:w w:val="105"/>
        </w:rPr>
        <w:t>main</w:t>
      </w:r>
      <w:r>
        <w:rPr>
          <w:color w:val="231F20"/>
          <w:spacing w:val="-14"/>
          <w:w w:val="105"/>
        </w:rPr>
        <w:t> </w:t>
      </w:r>
      <w:r>
        <w:rPr>
          <w:color w:val="231F20"/>
          <w:w w:val="105"/>
        </w:rPr>
        <w:t>causes</w:t>
      </w:r>
      <w:r>
        <w:rPr>
          <w:color w:val="231F20"/>
          <w:spacing w:val="-15"/>
          <w:w w:val="105"/>
        </w:rPr>
        <w:t> </w:t>
      </w:r>
      <w:r>
        <w:rPr>
          <w:color w:val="231F20"/>
          <w:w w:val="105"/>
        </w:rPr>
        <w:t>of</w:t>
      </w:r>
      <w:r>
        <w:rPr>
          <w:color w:val="231F20"/>
          <w:spacing w:val="-14"/>
          <w:w w:val="105"/>
        </w:rPr>
        <w:t> </w:t>
      </w:r>
      <w:r>
        <w:rPr>
          <w:color w:val="231F20"/>
          <w:w w:val="105"/>
        </w:rPr>
        <w:t>ESRD— diabetes and hypertension. As discussed in Chapter </w:t>
      </w:r>
      <w:r>
        <w:rPr>
          <w:color w:val="231F20"/>
          <w:spacing w:val="-4"/>
          <w:w w:val="105"/>
        </w:rPr>
        <w:t>79, </w:t>
      </w:r>
      <w:r>
        <w:rPr>
          <w:color w:val="231F20"/>
          <w:w w:val="105"/>
        </w:rPr>
        <w:t>type</w:t>
      </w:r>
      <w:r>
        <w:rPr>
          <w:color w:val="231F20"/>
          <w:spacing w:val="-41"/>
          <w:w w:val="105"/>
        </w:rPr>
        <w:t> </w:t>
      </w:r>
      <w:r>
        <w:rPr>
          <w:color w:val="231F20"/>
          <w:w w:val="105"/>
        </w:rPr>
        <w:t>II</w:t>
      </w:r>
      <w:r>
        <w:rPr>
          <w:color w:val="231F20"/>
          <w:spacing w:val="-41"/>
          <w:w w:val="105"/>
        </w:rPr>
        <w:t> </w:t>
      </w:r>
      <w:r>
        <w:rPr>
          <w:color w:val="231F20"/>
          <w:w w:val="105"/>
        </w:rPr>
        <w:t>diabetes,</w:t>
      </w:r>
      <w:r>
        <w:rPr>
          <w:color w:val="231F20"/>
          <w:spacing w:val="-41"/>
          <w:w w:val="105"/>
        </w:rPr>
        <w:t> </w:t>
      </w:r>
      <w:r>
        <w:rPr>
          <w:color w:val="231F20"/>
          <w:w w:val="105"/>
        </w:rPr>
        <w:t>which</w:t>
      </w:r>
      <w:r>
        <w:rPr>
          <w:color w:val="231F20"/>
          <w:spacing w:val="-41"/>
          <w:w w:val="105"/>
        </w:rPr>
        <w:t> </w:t>
      </w:r>
      <w:r>
        <w:rPr>
          <w:color w:val="231F20"/>
          <w:w w:val="105"/>
        </w:rPr>
        <w:t>is</w:t>
      </w:r>
      <w:r>
        <w:rPr>
          <w:color w:val="231F20"/>
          <w:spacing w:val="-40"/>
          <w:w w:val="105"/>
        </w:rPr>
        <w:t> </w:t>
      </w:r>
      <w:r>
        <w:rPr>
          <w:color w:val="231F20"/>
          <w:w w:val="105"/>
        </w:rPr>
        <w:t>closely</w:t>
      </w:r>
      <w:r>
        <w:rPr>
          <w:color w:val="231F20"/>
          <w:spacing w:val="-41"/>
          <w:w w:val="105"/>
        </w:rPr>
        <w:t> </w:t>
      </w:r>
      <w:r>
        <w:rPr>
          <w:color w:val="231F20"/>
          <w:w w:val="105"/>
        </w:rPr>
        <w:t>linked</w:t>
      </w:r>
      <w:r>
        <w:rPr>
          <w:color w:val="231F20"/>
          <w:spacing w:val="-41"/>
          <w:w w:val="105"/>
        </w:rPr>
        <w:t> </w:t>
      </w:r>
      <w:r>
        <w:rPr>
          <w:color w:val="231F20"/>
          <w:w w:val="105"/>
        </w:rPr>
        <w:t>to</w:t>
      </w:r>
      <w:r>
        <w:rPr>
          <w:color w:val="231F20"/>
          <w:spacing w:val="-41"/>
          <w:w w:val="105"/>
        </w:rPr>
        <w:t> </w:t>
      </w:r>
      <w:r>
        <w:rPr>
          <w:color w:val="231F20"/>
          <w:w w:val="105"/>
        </w:rPr>
        <w:t>obesity,</w:t>
      </w:r>
      <w:r>
        <w:rPr>
          <w:color w:val="231F20"/>
          <w:spacing w:val="-41"/>
          <w:w w:val="105"/>
        </w:rPr>
        <w:t> </w:t>
      </w:r>
      <w:r>
        <w:rPr>
          <w:color w:val="231F20"/>
          <w:w w:val="105"/>
        </w:rPr>
        <w:t>accounts for</w:t>
      </w:r>
      <w:r>
        <w:rPr>
          <w:color w:val="231F20"/>
          <w:spacing w:val="-14"/>
          <w:w w:val="105"/>
        </w:rPr>
        <w:t> </w:t>
      </w:r>
      <w:r>
        <w:rPr>
          <w:color w:val="231F20"/>
          <w:w w:val="105"/>
        </w:rPr>
        <w:t>more</w:t>
      </w:r>
      <w:r>
        <w:rPr>
          <w:color w:val="231F20"/>
          <w:spacing w:val="-14"/>
          <w:w w:val="105"/>
        </w:rPr>
        <w:t> </w:t>
      </w:r>
      <w:r>
        <w:rPr>
          <w:color w:val="231F20"/>
          <w:w w:val="105"/>
        </w:rPr>
        <w:t>than</w:t>
      </w:r>
      <w:r>
        <w:rPr>
          <w:color w:val="231F20"/>
          <w:spacing w:val="-13"/>
          <w:w w:val="105"/>
        </w:rPr>
        <w:t> </w:t>
      </w:r>
      <w:r>
        <w:rPr>
          <w:color w:val="231F20"/>
          <w:w w:val="105"/>
        </w:rPr>
        <w:t>90</w:t>
      </w:r>
      <w:r>
        <w:rPr>
          <w:color w:val="231F20"/>
          <w:spacing w:val="-14"/>
          <w:w w:val="105"/>
        </w:rPr>
        <w:t> </w:t>
      </w:r>
      <w:r>
        <w:rPr>
          <w:color w:val="231F20"/>
          <w:w w:val="105"/>
        </w:rPr>
        <w:t>percent</w:t>
      </w:r>
      <w:r>
        <w:rPr>
          <w:color w:val="231F20"/>
          <w:spacing w:val="-13"/>
          <w:w w:val="105"/>
        </w:rPr>
        <w:t> </w:t>
      </w:r>
      <w:r>
        <w:rPr>
          <w:color w:val="231F20"/>
          <w:w w:val="105"/>
        </w:rPr>
        <w:t>of</w:t>
      </w:r>
      <w:r>
        <w:rPr>
          <w:color w:val="231F20"/>
          <w:spacing w:val="-14"/>
          <w:w w:val="105"/>
        </w:rPr>
        <w:t> </w:t>
      </w:r>
      <w:r>
        <w:rPr>
          <w:color w:val="231F20"/>
          <w:w w:val="105"/>
        </w:rPr>
        <w:t>all</w:t>
      </w:r>
      <w:r>
        <w:rPr>
          <w:color w:val="231F20"/>
          <w:spacing w:val="-13"/>
          <w:w w:val="105"/>
        </w:rPr>
        <w:t> </w:t>
      </w:r>
      <w:r>
        <w:rPr>
          <w:color w:val="231F20"/>
          <w:w w:val="105"/>
        </w:rPr>
        <w:t>cases</w:t>
      </w:r>
      <w:r>
        <w:rPr>
          <w:color w:val="231F20"/>
          <w:spacing w:val="-14"/>
          <w:w w:val="105"/>
        </w:rPr>
        <w:t> </w:t>
      </w:r>
      <w:r>
        <w:rPr>
          <w:color w:val="231F20"/>
          <w:w w:val="105"/>
        </w:rPr>
        <w:t>of</w:t>
      </w:r>
      <w:r>
        <w:rPr>
          <w:color w:val="231F20"/>
          <w:spacing w:val="-13"/>
          <w:w w:val="105"/>
        </w:rPr>
        <w:t> </w:t>
      </w:r>
      <w:r>
        <w:rPr>
          <w:color w:val="231F20"/>
          <w:w w:val="105"/>
        </w:rPr>
        <w:t>diabetes</w:t>
      </w:r>
      <w:r>
        <w:rPr>
          <w:color w:val="231F20"/>
          <w:spacing w:val="-14"/>
          <w:w w:val="105"/>
        </w:rPr>
        <w:t> </w:t>
      </w:r>
      <w:r>
        <w:rPr>
          <w:color w:val="231F20"/>
          <w:w w:val="105"/>
        </w:rPr>
        <w:t>mellitus. Excess weight gain is also a major cause of essential hypertension,</w:t>
      </w:r>
      <w:r>
        <w:rPr>
          <w:color w:val="231F20"/>
          <w:spacing w:val="-14"/>
          <w:w w:val="105"/>
        </w:rPr>
        <w:t> </w:t>
      </w:r>
      <w:r>
        <w:rPr>
          <w:color w:val="231F20"/>
          <w:w w:val="105"/>
        </w:rPr>
        <w:t>accounting</w:t>
      </w:r>
      <w:r>
        <w:rPr>
          <w:color w:val="231F20"/>
          <w:spacing w:val="-13"/>
          <w:w w:val="105"/>
        </w:rPr>
        <w:t> </w:t>
      </w:r>
      <w:r>
        <w:rPr>
          <w:color w:val="231F20"/>
          <w:w w:val="105"/>
        </w:rPr>
        <w:t>for</w:t>
      </w:r>
      <w:r>
        <w:rPr>
          <w:color w:val="231F20"/>
          <w:spacing w:val="-14"/>
          <w:w w:val="105"/>
        </w:rPr>
        <w:t> </w:t>
      </w:r>
      <w:r>
        <w:rPr>
          <w:color w:val="231F20"/>
          <w:w w:val="105"/>
        </w:rPr>
        <w:t>as</w:t>
      </w:r>
      <w:r>
        <w:rPr>
          <w:color w:val="231F20"/>
          <w:spacing w:val="-13"/>
          <w:w w:val="105"/>
        </w:rPr>
        <w:t> </w:t>
      </w:r>
      <w:r>
        <w:rPr>
          <w:color w:val="231F20"/>
          <w:w w:val="105"/>
        </w:rPr>
        <w:t>much</w:t>
      </w:r>
      <w:r>
        <w:rPr>
          <w:color w:val="231F20"/>
          <w:spacing w:val="-14"/>
          <w:w w:val="105"/>
        </w:rPr>
        <w:t> </w:t>
      </w:r>
      <w:r>
        <w:rPr>
          <w:color w:val="231F20"/>
          <w:w w:val="105"/>
        </w:rPr>
        <w:t>as</w:t>
      </w:r>
      <w:r>
        <w:rPr>
          <w:color w:val="231F20"/>
          <w:spacing w:val="-13"/>
          <w:w w:val="105"/>
        </w:rPr>
        <w:t> </w:t>
      </w:r>
      <w:r>
        <w:rPr>
          <w:color w:val="231F20"/>
          <w:w w:val="105"/>
        </w:rPr>
        <w:t>65</w:t>
      </w:r>
      <w:r>
        <w:rPr>
          <w:color w:val="231F20"/>
          <w:spacing w:val="-14"/>
          <w:w w:val="105"/>
        </w:rPr>
        <w:t> </w:t>
      </w:r>
      <w:r>
        <w:rPr>
          <w:color w:val="231F20"/>
          <w:w w:val="105"/>
        </w:rPr>
        <w:t>to</w:t>
      </w:r>
      <w:r>
        <w:rPr>
          <w:color w:val="231F20"/>
          <w:spacing w:val="-13"/>
          <w:w w:val="105"/>
        </w:rPr>
        <w:t> </w:t>
      </w:r>
      <w:r>
        <w:rPr>
          <w:color w:val="231F20"/>
          <w:w w:val="105"/>
        </w:rPr>
        <w:t>75</w:t>
      </w:r>
      <w:r>
        <w:rPr>
          <w:color w:val="231F20"/>
          <w:spacing w:val="-14"/>
          <w:w w:val="105"/>
        </w:rPr>
        <w:t> </w:t>
      </w:r>
      <w:r>
        <w:rPr>
          <w:color w:val="231F20"/>
          <w:w w:val="105"/>
        </w:rPr>
        <w:t>percent of</w:t>
      </w:r>
      <w:r>
        <w:rPr>
          <w:color w:val="231F20"/>
          <w:spacing w:val="-14"/>
          <w:w w:val="105"/>
        </w:rPr>
        <w:t> </w:t>
      </w:r>
      <w:r>
        <w:rPr>
          <w:color w:val="231F20"/>
          <w:w w:val="105"/>
        </w:rPr>
        <w:t>the</w:t>
      </w:r>
      <w:r>
        <w:rPr>
          <w:color w:val="231F20"/>
          <w:spacing w:val="-14"/>
          <w:w w:val="105"/>
        </w:rPr>
        <w:t> </w:t>
      </w:r>
      <w:r>
        <w:rPr>
          <w:color w:val="231F20"/>
          <w:w w:val="105"/>
        </w:rPr>
        <w:t>risk</w:t>
      </w:r>
      <w:r>
        <w:rPr>
          <w:color w:val="231F20"/>
          <w:spacing w:val="-13"/>
          <w:w w:val="105"/>
        </w:rPr>
        <w:t> </w:t>
      </w:r>
      <w:r>
        <w:rPr>
          <w:color w:val="231F20"/>
          <w:w w:val="105"/>
        </w:rPr>
        <w:t>for</w:t>
      </w:r>
      <w:r>
        <w:rPr>
          <w:color w:val="231F20"/>
          <w:spacing w:val="-14"/>
          <w:w w:val="105"/>
        </w:rPr>
        <w:t> </w:t>
      </w:r>
      <w:r>
        <w:rPr>
          <w:color w:val="231F20"/>
          <w:w w:val="105"/>
        </w:rPr>
        <w:t>developing</w:t>
      </w:r>
      <w:r>
        <w:rPr>
          <w:color w:val="231F20"/>
          <w:spacing w:val="-14"/>
          <w:w w:val="105"/>
        </w:rPr>
        <w:t> </w:t>
      </w:r>
      <w:r>
        <w:rPr>
          <w:color w:val="231F20"/>
          <w:w w:val="105"/>
        </w:rPr>
        <w:t>hypertension</w:t>
      </w:r>
      <w:r>
        <w:rPr>
          <w:color w:val="231F20"/>
          <w:spacing w:val="-13"/>
          <w:w w:val="105"/>
        </w:rPr>
        <w:t> </w:t>
      </w:r>
      <w:r>
        <w:rPr>
          <w:color w:val="231F20"/>
          <w:w w:val="105"/>
        </w:rPr>
        <w:t>in</w:t>
      </w:r>
      <w:r>
        <w:rPr>
          <w:color w:val="231F20"/>
          <w:spacing w:val="-14"/>
          <w:w w:val="105"/>
        </w:rPr>
        <w:t> </w:t>
      </w:r>
      <w:r>
        <w:rPr>
          <w:color w:val="231F20"/>
          <w:w w:val="105"/>
        </w:rPr>
        <w:t>adults.</w:t>
      </w:r>
      <w:r>
        <w:rPr>
          <w:color w:val="231F20"/>
          <w:spacing w:val="-13"/>
          <w:w w:val="105"/>
        </w:rPr>
        <w:t> </w:t>
      </w:r>
      <w:r>
        <w:rPr>
          <w:color w:val="231F20"/>
          <w:w w:val="105"/>
        </w:rPr>
        <w:t>In</w:t>
      </w:r>
      <w:r>
        <w:rPr>
          <w:color w:val="231F20"/>
          <w:spacing w:val="-14"/>
          <w:w w:val="105"/>
        </w:rPr>
        <w:t> </w:t>
      </w:r>
      <w:r>
        <w:rPr>
          <w:color w:val="231F20"/>
          <w:spacing w:val="-3"/>
          <w:w w:val="105"/>
        </w:rPr>
        <w:t>addi­ </w:t>
      </w:r>
      <w:r>
        <w:rPr>
          <w:color w:val="231F20"/>
          <w:w w:val="105"/>
        </w:rPr>
        <w:t>tion to causing renal injury through diabetes and hyper­ tension, obesity may have additive or synergistic</w:t>
      </w:r>
      <w:r>
        <w:rPr>
          <w:color w:val="231F20"/>
          <w:spacing w:val="-36"/>
          <w:w w:val="105"/>
        </w:rPr>
        <w:t> </w:t>
      </w:r>
      <w:r>
        <w:rPr>
          <w:color w:val="231F20"/>
          <w:w w:val="105"/>
        </w:rPr>
        <w:t>effects to worsen renal function in patients with pre­existing kidney</w:t>
      </w:r>
      <w:r>
        <w:rPr>
          <w:color w:val="231F20"/>
          <w:spacing w:val="2"/>
          <w:w w:val="105"/>
        </w:rPr>
        <w:t> </w:t>
      </w:r>
      <w:r>
        <w:rPr>
          <w:color w:val="231F20"/>
          <w:w w:val="105"/>
        </w:rPr>
        <w:t>disease.</w:t>
      </w:r>
    </w:p>
    <w:p>
      <w:pPr>
        <w:pStyle w:val="Heading2"/>
        <w:spacing w:line="225" w:lineRule="auto" w:before="111"/>
        <w:ind w:left="316" w:right="1423"/>
      </w:pPr>
      <w:r>
        <w:rPr>
          <w:b w:val="0"/>
        </w:rPr>
        <w:br w:type="column"/>
      </w:r>
      <w:r>
        <w:rPr>
          <w:color w:val="231F20"/>
          <w:w w:val="105"/>
        </w:rPr>
        <w:t>INJURY TO THE RENAL </w:t>
      </w:r>
      <w:r>
        <w:rPr>
          <w:color w:val="231F20"/>
          <w:spacing w:val="-4"/>
          <w:w w:val="105"/>
        </w:rPr>
        <w:t>VASCULATURE </w:t>
      </w:r>
      <w:r>
        <w:rPr>
          <w:color w:val="231F20"/>
          <w:spacing w:val="-7"/>
          <w:w w:val="105"/>
        </w:rPr>
        <w:t>AS </w:t>
      </w:r>
      <w:r>
        <w:rPr>
          <w:color w:val="231F20"/>
          <w:w w:val="105"/>
        </w:rPr>
        <w:t>A CAUSE OF CHRONIC KIDNEY DISEASE</w:t>
      </w:r>
    </w:p>
    <w:p>
      <w:pPr>
        <w:pStyle w:val="BodyText"/>
        <w:spacing w:line="249" w:lineRule="auto" w:before="128"/>
        <w:ind w:left="316" w:right="1077"/>
        <w:jc w:val="both"/>
      </w:pPr>
      <w:r>
        <w:rPr>
          <w:color w:val="231F20"/>
          <w:w w:val="105"/>
        </w:rPr>
        <w:t>Many</w:t>
      </w:r>
      <w:r>
        <w:rPr>
          <w:color w:val="231F20"/>
          <w:spacing w:val="-18"/>
          <w:w w:val="105"/>
        </w:rPr>
        <w:t> </w:t>
      </w:r>
      <w:r>
        <w:rPr>
          <w:color w:val="231F20"/>
          <w:w w:val="105"/>
        </w:rPr>
        <w:t>types</w:t>
      </w:r>
      <w:r>
        <w:rPr>
          <w:color w:val="231F20"/>
          <w:spacing w:val="-18"/>
          <w:w w:val="105"/>
        </w:rPr>
        <w:t> </w:t>
      </w:r>
      <w:r>
        <w:rPr>
          <w:color w:val="231F20"/>
          <w:w w:val="105"/>
        </w:rPr>
        <w:t>of</w:t>
      </w:r>
      <w:r>
        <w:rPr>
          <w:color w:val="231F20"/>
          <w:spacing w:val="-17"/>
          <w:w w:val="105"/>
        </w:rPr>
        <w:t> </w:t>
      </w:r>
      <w:r>
        <w:rPr>
          <w:color w:val="231F20"/>
          <w:w w:val="105"/>
        </w:rPr>
        <w:t>vascular</w:t>
      </w:r>
      <w:r>
        <w:rPr>
          <w:color w:val="231F20"/>
          <w:spacing w:val="-18"/>
          <w:w w:val="105"/>
        </w:rPr>
        <w:t> </w:t>
      </w:r>
      <w:r>
        <w:rPr>
          <w:color w:val="231F20"/>
          <w:w w:val="105"/>
        </w:rPr>
        <w:t>lesions</w:t>
      </w:r>
      <w:r>
        <w:rPr>
          <w:color w:val="231F20"/>
          <w:spacing w:val="-18"/>
          <w:w w:val="105"/>
        </w:rPr>
        <w:t> </w:t>
      </w:r>
      <w:r>
        <w:rPr>
          <w:color w:val="231F20"/>
          <w:w w:val="105"/>
        </w:rPr>
        <w:t>can</w:t>
      </w:r>
      <w:r>
        <w:rPr>
          <w:color w:val="231F20"/>
          <w:spacing w:val="-17"/>
          <w:w w:val="105"/>
        </w:rPr>
        <w:t> </w:t>
      </w:r>
      <w:r>
        <w:rPr>
          <w:color w:val="231F20"/>
          <w:w w:val="105"/>
        </w:rPr>
        <w:t>lead</w:t>
      </w:r>
      <w:r>
        <w:rPr>
          <w:color w:val="231F20"/>
          <w:spacing w:val="-18"/>
          <w:w w:val="105"/>
        </w:rPr>
        <w:t> </w:t>
      </w:r>
      <w:r>
        <w:rPr>
          <w:color w:val="231F20"/>
          <w:w w:val="105"/>
        </w:rPr>
        <w:t>to</w:t>
      </w:r>
      <w:r>
        <w:rPr>
          <w:color w:val="231F20"/>
          <w:spacing w:val="-17"/>
          <w:w w:val="105"/>
        </w:rPr>
        <w:t> </w:t>
      </w:r>
      <w:r>
        <w:rPr>
          <w:color w:val="231F20"/>
          <w:w w:val="105"/>
        </w:rPr>
        <w:t>renal</w:t>
      </w:r>
      <w:r>
        <w:rPr>
          <w:color w:val="231F20"/>
          <w:spacing w:val="-18"/>
          <w:w w:val="105"/>
        </w:rPr>
        <w:t> </w:t>
      </w:r>
      <w:r>
        <w:rPr>
          <w:color w:val="231F20"/>
          <w:w w:val="105"/>
        </w:rPr>
        <w:t>ischemia and death of kidney tissue. The most common of </w:t>
      </w:r>
      <w:r>
        <w:rPr>
          <w:color w:val="231F20"/>
          <w:spacing w:val="-3"/>
          <w:w w:val="105"/>
        </w:rPr>
        <w:t>these </w:t>
      </w:r>
      <w:r>
        <w:rPr>
          <w:color w:val="231F20"/>
          <w:w w:val="105"/>
        </w:rPr>
        <w:t>lesions</w:t>
      </w:r>
      <w:r>
        <w:rPr>
          <w:color w:val="231F20"/>
          <w:spacing w:val="-16"/>
          <w:w w:val="105"/>
        </w:rPr>
        <w:t> </w:t>
      </w:r>
      <w:r>
        <w:rPr>
          <w:color w:val="231F20"/>
          <w:w w:val="105"/>
        </w:rPr>
        <w:t>are</w:t>
      </w:r>
      <w:r>
        <w:rPr>
          <w:color w:val="231F20"/>
          <w:spacing w:val="-15"/>
          <w:w w:val="105"/>
        </w:rPr>
        <w:t> </w:t>
      </w:r>
      <w:r>
        <w:rPr>
          <w:color w:val="231F20"/>
          <w:w w:val="105"/>
        </w:rPr>
        <w:t>(1)</w:t>
      </w:r>
      <w:r>
        <w:rPr>
          <w:color w:val="231F20"/>
          <w:spacing w:val="-15"/>
          <w:w w:val="105"/>
        </w:rPr>
        <w:t> </w:t>
      </w:r>
      <w:r>
        <w:rPr>
          <w:i/>
          <w:color w:val="231F20"/>
          <w:w w:val="105"/>
        </w:rPr>
        <w:t>atherosclerosis</w:t>
      </w:r>
      <w:r>
        <w:rPr>
          <w:i/>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larger</w:t>
      </w:r>
      <w:r>
        <w:rPr>
          <w:color w:val="231F20"/>
          <w:spacing w:val="-15"/>
          <w:w w:val="105"/>
        </w:rPr>
        <w:t> </w:t>
      </w:r>
      <w:r>
        <w:rPr>
          <w:color w:val="231F20"/>
          <w:w w:val="105"/>
        </w:rPr>
        <w:t>renal</w:t>
      </w:r>
      <w:r>
        <w:rPr>
          <w:color w:val="231F20"/>
          <w:spacing w:val="-16"/>
          <w:w w:val="105"/>
        </w:rPr>
        <w:t> </w:t>
      </w:r>
      <w:r>
        <w:rPr>
          <w:color w:val="231F20"/>
          <w:w w:val="105"/>
        </w:rPr>
        <w:t>arteries, with</w:t>
      </w:r>
      <w:r>
        <w:rPr>
          <w:color w:val="231F20"/>
          <w:spacing w:val="37"/>
          <w:w w:val="105"/>
        </w:rPr>
        <w:t> </w:t>
      </w:r>
      <w:r>
        <w:rPr>
          <w:color w:val="231F20"/>
          <w:w w:val="105"/>
        </w:rPr>
        <w:t>progressive</w:t>
      </w:r>
      <w:r>
        <w:rPr>
          <w:color w:val="231F20"/>
          <w:spacing w:val="38"/>
          <w:w w:val="105"/>
        </w:rPr>
        <w:t> </w:t>
      </w:r>
      <w:r>
        <w:rPr>
          <w:color w:val="231F20"/>
          <w:w w:val="105"/>
        </w:rPr>
        <w:t>sclerotic</w:t>
      </w:r>
      <w:r>
        <w:rPr>
          <w:color w:val="231F20"/>
          <w:spacing w:val="37"/>
          <w:w w:val="105"/>
        </w:rPr>
        <w:t> </w:t>
      </w:r>
      <w:r>
        <w:rPr>
          <w:color w:val="231F20"/>
          <w:w w:val="105"/>
        </w:rPr>
        <w:t>constriction</w:t>
      </w:r>
      <w:r>
        <w:rPr>
          <w:color w:val="231F20"/>
          <w:spacing w:val="38"/>
          <w:w w:val="105"/>
        </w:rPr>
        <w:t> </w:t>
      </w:r>
      <w:r>
        <w:rPr>
          <w:color w:val="231F20"/>
          <w:w w:val="105"/>
        </w:rPr>
        <w:t>of</w:t>
      </w:r>
      <w:r>
        <w:rPr>
          <w:color w:val="231F20"/>
          <w:spacing w:val="38"/>
          <w:w w:val="105"/>
        </w:rPr>
        <w:t> </w:t>
      </w:r>
      <w:r>
        <w:rPr>
          <w:color w:val="231F20"/>
          <w:w w:val="105"/>
        </w:rPr>
        <w:t>the</w:t>
      </w:r>
      <w:r>
        <w:rPr>
          <w:color w:val="231F20"/>
          <w:spacing w:val="37"/>
          <w:w w:val="105"/>
        </w:rPr>
        <w:t> </w:t>
      </w:r>
      <w:r>
        <w:rPr>
          <w:color w:val="231F20"/>
          <w:w w:val="105"/>
        </w:rPr>
        <w:t>vessels;</w:t>
      </w:r>
    </w:p>
    <w:p>
      <w:pPr>
        <w:pStyle w:val="ListParagraph"/>
        <w:numPr>
          <w:ilvl w:val="0"/>
          <w:numId w:val="30"/>
        </w:numPr>
        <w:tabs>
          <w:tab w:pos="596" w:val="left" w:leader="none"/>
        </w:tabs>
        <w:spacing w:line="249" w:lineRule="auto" w:before="3" w:after="0"/>
        <w:ind w:left="316" w:right="1079" w:firstLine="0"/>
        <w:jc w:val="both"/>
        <w:rPr>
          <w:sz w:val="20"/>
        </w:rPr>
      </w:pPr>
      <w:r>
        <w:rPr>
          <w:i/>
          <w:color w:val="231F20"/>
          <w:sz w:val="20"/>
        </w:rPr>
        <w:t>fibromuscular hyperplasia </w:t>
      </w:r>
      <w:r>
        <w:rPr>
          <w:color w:val="231F20"/>
          <w:sz w:val="20"/>
        </w:rPr>
        <w:t>of one or more of the </w:t>
      </w:r>
      <w:r>
        <w:rPr>
          <w:color w:val="231F20"/>
          <w:spacing w:val="-4"/>
          <w:sz w:val="20"/>
        </w:rPr>
        <w:t>large </w:t>
      </w:r>
      <w:r>
        <w:rPr>
          <w:color w:val="231F20"/>
          <w:sz w:val="20"/>
        </w:rPr>
        <w:t>arteries,</w:t>
      </w:r>
      <w:r>
        <w:rPr>
          <w:color w:val="231F20"/>
          <w:spacing w:val="26"/>
          <w:sz w:val="20"/>
        </w:rPr>
        <w:t> </w:t>
      </w:r>
      <w:r>
        <w:rPr>
          <w:color w:val="231F20"/>
          <w:sz w:val="20"/>
        </w:rPr>
        <w:t>which</w:t>
      </w:r>
      <w:r>
        <w:rPr>
          <w:color w:val="231F20"/>
          <w:spacing w:val="27"/>
          <w:sz w:val="20"/>
        </w:rPr>
        <w:t> </w:t>
      </w:r>
      <w:r>
        <w:rPr>
          <w:color w:val="231F20"/>
          <w:sz w:val="20"/>
        </w:rPr>
        <w:t>also</w:t>
      </w:r>
      <w:r>
        <w:rPr>
          <w:color w:val="231F20"/>
          <w:spacing w:val="27"/>
          <w:sz w:val="20"/>
        </w:rPr>
        <w:t> </w:t>
      </w:r>
      <w:r>
        <w:rPr>
          <w:color w:val="231F20"/>
          <w:sz w:val="20"/>
        </w:rPr>
        <w:t>causes</w:t>
      </w:r>
      <w:r>
        <w:rPr>
          <w:color w:val="231F20"/>
          <w:spacing w:val="26"/>
          <w:sz w:val="20"/>
        </w:rPr>
        <w:t> </w:t>
      </w:r>
      <w:r>
        <w:rPr>
          <w:color w:val="231F20"/>
          <w:sz w:val="20"/>
        </w:rPr>
        <w:t>occlusion</w:t>
      </w:r>
      <w:r>
        <w:rPr>
          <w:color w:val="231F20"/>
          <w:spacing w:val="27"/>
          <w:sz w:val="20"/>
        </w:rPr>
        <w:t> </w:t>
      </w:r>
      <w:r>
        <w:rPr>
          <w:color w:val="231F20"/>
          <w:sz w:val="20"/>
        </w:rPr>
        <w:t>of</w:t>
      </w:r>
      <w:r>
        <w:rPr>
          <w:color w:val="231F20"/>
          <w:spacing w:val="27"/>
          <w:sz w:val="20"/>
        </w:rPr>
        <w:t> </w:t>
      </w:r>
      <w:r>
        <w:rPr>
          <w:color w:val="231F20"/>
          <w:sz w:val="20"/>
        </w:rPr>
        <w:t>the</w:t>
      </w:r>
      <w:r>
        <w:rPr>
          <w:color w:val="231F20"/>
          <w:spacing w:val="26"/>
          <w:sz w:val="20"/>
        </w:rPr>
        <w:t> </w:t>
      </w:r>
      <w:r>
        <w:rPr>
          <w:color w:val="231F20"/>
          <w:sz w:val="20"/>
        </w:rPr>
        <w:t>vessels;</w:t>
      </w:r>
      <w:r>
        <w:rPr>
          <w:color w:val="231F20"/>
          <w:spacing w:val="27"/>
          <w:sz w:val="20"/>
        </w:rPr>
        <w:t> </w:t>
      </w:r>
      <w:r>
        <w:rPr>
          <w:color w:val="231F20"/>
          <w:spacing w:val="-4"/>
          <w:sz w:val="20"/>
        </w:rPr>
        <w:t>and</w:t>
      </w:r>
    </w:p>
    <w:p>
      <w:pPr>
        <w:pStyle w:val="ListParagraph"/>
        <w:numPr>
          <w:ilvl w:val="0"/>
          <w:numId w:val="30"/>
        </w:numPr>
        <w:tabs>
          <w:tab w:pos="654" w:val="left" w:leader="none"/>
        </w:tabs>
        <w:spacing w:line="249" w:lineRule="auto" w:before="2" w:after="0"/>
        <w:ind w:left="316" w:right="1078" w:firstLine="0"/>
        <w:jc w:val="both"/>
        <w:rPr>
          <w:sz w:val="20"/>
        </w:rPr>
      </w:pPr>
      <w:r>
        <w:rPr>
          <w:i/>
          <w:color w:val="231F20"/>
          <w:sz w:val="20"/>
        </w:rPr>
        <w:t>nephrosclerosis, </w:t>
      </w:r>
      <w:r>
        <w:rPr>
          <w:color w:val="231F20"/>
          <w:sz w:val="20"/>
        </w:rPr>
        <w:t>caused by sclerotic lesions of </w:t>
      </w:r>
      <w:r>
        <w:rPr>
          <w:color w:val="231F20"/>
          <w:spacing w:val="-6"/>
          <w:sz w:val="20"/>
        </w:rPr>
        <w:t>the </w:t>
      </w:r>
      <w:r>
        <w:rPr>
          <w:color w:val="231F20"/>
          <w:sz w:val="20"/>
        </w:rPr>
        <w:t>smaller arteries, arterioles, and</w:t>
      </w:r>
      <w:r>
        <w:rPr>
          <w:color w:val="231F20"/>
          <w:spacing w:val="35"/>
          <w:sz w:val="20"/>
        </w:rPr>
        <w:t> </w:t>
      </w:r>
      <w:r>
        <w:rPr>
          <w:color w:val="231F20"/>
          <w:sz w:val="20"/>
        </w:rPr>
        <w:t>glomeruli.</w:t>
      </w:r>
    </w:p>
    <w:p>
      <w:pPr>
        <w:pStyle w:val="BodyText"/>
        <w:spacing w:line="249" w:lineRule="auto" w:before="2"/>
        <w:ind w:left="316" w:right="1077" w:firstLine="240"/>
        <w:jc w:val="both"/>
      </w:pPr>
      <w:r>
        <w:rPr>
          <w:color w:val="231F20"/>
          <w:w w:val="105"/>
        </w:rPr>
        <w:t>Atherosclerotic or hyperplastic lesions of the </w:t>
      </w:r>
      <w:r>
        <w:rPr>
          <w:color w:val="231F20"/>
          <w:spacing w:val="-4"/>
          <w:w w:val="105"/>
        </w:rPr>
        <w:t>large </w:t>
      </w:r>
      <w:r>
        <w:rPr>
          <w:color w:val="231F20"/>
          <w:w w:val="105"/>
        </w:rPr>
        <w:t>arteries</w:t>
      </w:r>
      <w:r>
        <w:rPr>
          <w:color w:val="231F20"/>
          <w:spacing w:val="-8"/>
          <w:w w:val="105"/>
        </w:rPr>
        <w:t> </w:t>
      </w:r>
      <w:r>
        <w:rPr>
          <w:color w:val="231F20"/>
          <w:w w:val="105"/>
        </w:rPr>
        <w:t>frequently</w:t>
      </w:r>
      <w:r>
        <w:rPr>
          <w:color w:val="231F20"/>
          <w:spacing w:val="-8"/>
          <w:w w:val="105"/>
        </w:rPr>
        <w:t> </w:t>
      </w:r>
      <w:r>
        <w:rPr>
          <w:color w:val="231F20"/>
          <w:w w:val="105"/>
        </w:rPr>
        <w:t>affect</w:t>
      </w:r>
      <w:r>
        <w:rPr>
          <w:color w:val="231F20"/>
          <w:spacing w:val="-7"/>
          <w:w w:val="105"/>
        </w:rPr>
        <w:t> </w:t>
      </w:r>
      <w:r>
        <w:rPr>
          <w:color w:val="231F20"/>
          <w:w w:val="105"/>
        </w:rPr>
        <w:t>one</w:t>
      </w:r>
      <w:r>
        <w:rPr>
          <w:color w:val="231F20"/>
          <w:spacing w:val="-8"/>
          <w:w w:val="105"/>
        </w:rPr>
        <w:t> </w:t>
      </w:r>
      <w:r>
        <w:rPr>
          <w:color w:val="231F20"/>
          <w:w w:val="105"/>
        </w:rPr>
        <w:t>kidney</w:t>
      </w:r>
      <w:r>
        <w:rPr>
          <w:color w:val="231F20"/>
          <w:spacing w:val="-7"/>
          <w:w w:val="105"/>
        </w:rPr>
        <w:t> </w:t>
      </w:r>
      <w:r>
        <w:rPr>
          <w:color w:val="231F20"/>
          <w:w w:val="105"/>
        </w:rPr>
        <w:t>more</w:t>
      </w:r>
      <w:r>
        <w:rPr>
          <w:color w:val="231F20"/>
          <w:spacing w:val="-8"/>
          <w:w w:val="105"/>
        </w:rPr>
        <w:t> </w:t>
      </w:r>
      <w:r>
        <w:rPr>
          <w:color w:val="231F20"/>
          <w:w w:val="105"/>
        </w:rPr>
        <w:t>than</w:t>
      </w:r>
      <w:r>
        <w:rPr>
          <w:color w:val="231F20"/>
          <w:spacing w:val="-7"/>
          <w:w w:val="105"/>
        </w:rPr>
        <w:t> </w:t>
      </w:r>
      <w:r>
        <w:rPr>
          <w:color w:val="231F20"/>
          <w:w w:val="105"/>
        </w:rPr>
        <w:t>the</w:t>
      </w:r>
      <w:r>
        <w:rPr>
          <w:color w:val="231F20"/>
          <w:spacing w:val="-8"/>
          <w:w w:val="105"/>
        </w:rPr>
        <w:t> </w:t>
      </w:r>
      <w:r>
        <w:rPr>
          <w:color w:val="231F20"/>
          <w:w w:val="105"/>
        </w:rPr>
        <w:t>other and,</w:t>
      </w:r>
      <w:r>
        <w:rPr>
          <w:color w:val="231F20"/>
          <w:spacing w:val="-30"/>
          <w:w w:val="105"/>
        </w:rPr>
        <w:t> </w:t>
      </w:r>
      <w:r>
        <w:rPr>
          <w:color w:val="231F20"/>
          <w:w w:val="105"/>
        </w:rPr>
        <w:t>therefore,</w:t>
      </w:r>
      <w:r>
        <w:rPr>
          <w:color w:val="231F20"/>
          <w:spacing w:val="-29"/>
          <w:w w:val="105"/>
        </w:rPr>
        <w:t> </w:t>
      </w:r>
      <w:r>
        <w:rPr>
          <w:color w:val="231F20"/>
          <w:w w:val="105"/>
        </w:rPr>
        <w:t>cause</w:t>
      </w:r>
      <w:r>
        <w:rPr>
          <w:color w:val="231F20"/>
          <w:spacing w:val="-29"/>
          <w:w w:val="105"/>
        </w:rPr>
        <w:t> </w:t>
      </w:r>
      <w:r>
        <w:rPr>
          <w:color w:val="231F20"/>
          <w:w w:val="105"/>
        </w:rPr>
        <w:t>unilaterally</w:t>
      </w:r>
      <w:r>
        <w:rPr>
          <w:color w:val="231F20"/>
          <w:spacing w:val="-29"/>
          <w:w w:val="105"/>
        </w:rPr>
        <w:t> </w:t>
      </w:r>
      <w:r>
        <w:rPr>
          <w:color w:val="231F20"/>
          <w:w w:val="105"/>
        </w:rPr>
        <w:t>diminished</w:t>
      </w:r>
      <w:r>
        <w:rPr>
          <w:color w:val="231F20"/>
          <w:spacing w:val="-29"/>
          <w:w w:val="105"/>
        </w:rPr>
        <w:t> </w:t>
      </w:r>
      <w:r>
        <w:rPr>
          <w:color w:val="231F20"/>
          <w:w w:val="105"/>
        </w:rPr>
        <w:t>kidney</w:t>
      </w:r>
      <w:r>
        <w:rPr>
          <w:color w:val="231F20"/>
          <w:spacing w:val="-30"/>
          <w:w w:val="105"/>
        </w:rPr>
        <w:t> </w:t>
      </w:r>
      <w:r>
        <w:rPr>
          <w:color w:val="231F20"/>
          <w:w w:val="105"/>
        </w:rPr>
        <w:t>func­ tion. As discussed in Chapter 19, hypertension often occurs</w:t>
      </w:r>
      <w:r>
        <w:rPr>
          <w:color w:val="231F20"/>
          <w:spacing w:val="-14"/>
          <w:w w:val="105"/>
        </w:rPr>
        <w:t> </w:t>
      </w:r>
      <w:r>
        <w:rPr>
          <w:color w:val="231F20"/>
          <w:w w:val="105"/>
        </w:rPr>
        <w:t>when</w:t>
      </w:r>
      <w:r>
        <w:rPr>
          <w:color w:val="231F20"/>
          <w:spacing w:val="-14"/>
          <w:w w:val="105"/>
        </w:rPr>
        <w:t> </w:t>
      </w:r>
      <w:r>
        <w:rPr>
          <w:color w:val="231F20"/>
          <w:w w:val="105"/>
        </w:rPr>
        <w:t>the</w:t>
      </w:r>
      <w:r>
        <w:rPr>
          <w:color w:val="231F20"/>
          <w:spacing w:val="-14"/>
          <w:w w:val="105"/>
        </w:rPr>
        <w:t> </w:t>
      </w:r>
      <w:r>
        <w:rPr>
          <w:color w:val="231F20"/>
          <w:w w:val="105"/>
        </w:rPr>
        <w:t>artery</w:t>
      </w:r>
      <w:r>
        <w:rPr>
          <w:color w:val="231F20"/>
          <w:spacing w:val="-14"/>
          <w:w w:val="105"/>
        </w:rPr>
        <w:t> </w:t>
      </w:r>
      <w:r>
        <w:rPr>
          <w:color w:val="231F20"/>
          <w:w w:val="105"/>
        </w:rPr>
        <w:t>of</w:t>
      </w:r>
      <w:r>
        <w:rPr>
          <w:color w:val="231F20"/>
          <w:spacing w:val="-14"/>
          <w:w w:val="105"/>
        </w:rPr>
        <w:t> </w:t>
      </w:r>
      <w:r>
        <w:rPr>
          <w:color w:val="231F20"/>
          <w:w w:val="105"/>
        </w:rPr>
        <w:t>one</w:t>
      </w:r>
      <w:r>
        <w:rPr>
          <w:color w:val="231F20"/>
          <w:spacing w:val="-14"/>
          <w:w w:val="105"/>
        </w:rPr>
        <w:t> </w:t>
      </w:r>
      <w:r>
        <w:rPr>
          <w:color w:val="231F20"/>
          <w:w w:val="105"/>
        </w:rPr>
        <w:t>kidney</w:t>
      </w:r>
      <w:r>
        <w:rPr>
          <w:color w:val="231F20"/>
          <w:spacing w:val="-14"/>
          <w:w w:val="105"/>
        </w:rPr>
        <w:t> </w:t>
      </w:r>
      <w:r>
        <w:rPr>
          <w:color w:val="231F20"/>
          <w:w w:val="105"/>
        </w:rPr>
        <w:t>is</w:t>
      </w:r>
      <w:r>
        <w:rPr>
          <w:color w:val="231F20"/>
          <w:spacing w:val="-13"/>
          <w:w w:val="105"/>
        </w:rPr>
        <w:t> </w:t>
      </w:r>
      <w:r>
        <w:rPr>
          <w:color w:val="231F20"/>
          <w:w w:val="105"/>
        </w:rPr>
        <w:t>constricted</w:t>
      </w:r>
      <w:r>
        <w:rPr>
          <w:color w:val="231F20"/>
          <w:spacing w:val="-14"/>
          <w:w w:val="105"/>
        </w:rPr>
        <w:t> </w:t>
      </w:r>
      <w:r>
        <w:rPr>
          <w:color w:val="231F20"/>
          <w:w w:val="105"/>
        </w:rPr>
        <w:t>while the artery of the other kidney is still normal, a</w:t>
      </w:r>
      <w:r>
        <w:rPr>
          <w:color w:val="231F20"/>
          <w:spacing w:val="-24"/>
          <w:w w:val="105"/>
        </w:rPr>
        <w:t> </w:t>
      </w:r>
      <w:r>
        <w:rPr>
          <w:color w:val="231F20"/>
          <w:w w:val="105"/>
        </w:rPr>
        <w:t>condition analogous to “two­kidney” Goldblatt</w:t>
      </w:r>
      <w:r>
        <w:rPr>
          <w:color w:val="231F20"/>
          <w:spacing w:val="-25"/>
          <w:w w:val="105"/>
        </w:rPr>
        <w:t> </w:t>
      </w:r>
      <w:r>
        <w:rPr>
          <w:color w:val="231F20"/>
          <w:w w:val="105"/>
        </w:rPr>
        <w:t>hypertension.</w:t>
      </w:r>
    </w:p>
    <w:p>
      <w:pPr>
        <w:pStyle w:val="BodyText"/>
        <w:spacing w:line="249" w:lineRule="auto" w:before="5"/>
        <w:ind w:left="316" w:right="1077" w:firstLine="240"/>
        <w:jc w:val="both"/>
        <w:rPr>
          <w:i/>
        </w:rPr>
      </w:pPr>
      <w:r>
        <w:rPr>
          <w:i/>
          <w:color w:val="231F20"/>
        </w:rPr>
        <w:t>Benign nephrosclerosis, </w:t>
      </w:r>
      <w:r>
        <w:rPr>
          <w:color w:val="231F20"/>
        </w:rPr>
        <w:t>the most common form of</w:t>
      </w:r>
      <w:r>
        <w:rPr>
          <w:color w:val="231F20"/>
          <w:spacing w:val="-12"/>
        </w:rPr>
        <w:t> </w:t>
      </w:r>
      <w:r>
        <w:rPr>
          <w:color w:val="231F20"/>
        </w:rPr>
        <w:t>kid­ ney disease, is seen  to  at  least  some  extent  in  about  70 percent of postmortem examinations in people who  die after the age of 60 years. This type of vascular lesion occurs in the smaller interlobular arteries and in the afferent arterioles of the kidney. </w:t>
      </w:r>
      <w:r>
        <w:rPr>
          <w:color w:val="231F20"/>
          <w:spacing w:val="-3"/>
        </w:rPr>
        <w:t>It </w:t>
      </w:r>
      <w:r>
        <w:rPr>
          <w:color w:val="231F20"/>
        </w:rPr>
        <w:t>is believed to begin with leakage of plasma through the intimal membrane </w:t>
      </w:r>
      <w:r>
        <w:rPr>
          <w:color w:val="231F20"/>
          <w:spacing w:val="-6"/>
        </w:rPr>
        <w:t>of </w:t>
      </w:r>
      <w:r>
        <w:rPr>
          <w:color w:val="231F20"/>
        </w:rPr>
        <w:t>these vessels. This leakage causes fibrinoid deposits to develop in the medial layers of these vessels, followed by progressive thickening of the vessel wall that eventually constricts the vessels and, in  some  cases,  </w:t>
      </w:r>
      <w:r>
        <w:rPr>
          <w:color w:val="231F20"/>
          <w:spacing w:val="-3"/>
        </w:rPr>
        <w:t>occludes   </w:t>
      </w:r>
      <w:r>
        <w:rPr>
          <w:color w:val="231F20"/>
        </w:rPr>
        <w:t>them. Because there is essentially no collateral circulation among the smaller renal arteries, occlusion of one </w:t>
      </w:r>
      <w:r>
        <w:rPr>
          <w:color w:val="231F20"/>
          <w:spacing w:val="-7"/>
        </w:rPr>
        <w:t>or  </w:t>
      </w:r>
      <w:r>
        <w:rPr>
          <w:color w:val="231F20"/>
        </w:rPr>
        <w:t>more of them causes destruction of a comparable num­ ber of nephrons. Therefore, much of the kidney</w:t>
      </w:r>
      <w:r>
        <w:rPr>
          <w:color w:val="231F20"/>
          <w:spacing w:val="22"/>
        </w:rPr>
        <w:t> </w:t>
      </w:r>
      <w:r>
        <w:rPr>
          <w:color w:val="231F20"/>
        </w:rPr>
        <w:t>tissue becomes replaced by small amounts of fibrous tissue. When sclerosis occurs in the glomeruli, the injury is re­ ferred to as</w:t>
      </w:r>
      <w:r>
        <w:rPr>
          <w:color w:val="231F20"/>
          <w:spacing w:val="16"/>
        </w:rPr>
        <w:t> </w:t>
      </w:r>
      <w:r>
        <w:rPr>
          <w:i/>
          <w:color w:val="231F20"/>
        </w:rPr>
        <w:t>glomerulosclerosis.</w:t>
      </w:r>
    </w:p>
    <w:p>
      <w:pPr>
        <w:pStyle w:val="BodyText"/>
        <w:spacing w:line="249" w:lineRule="auto" w:before="15"/>
        <w:ind w:left="316" w:right="1077" w:firstLine="240"/>
        <w:jc w:val="both"/>
      </w:pPr>
      <w:r>
        <w:rPr>
          <w:color w:val="231F20"/>
        </w:rPr>
        <w:t>Nephrosclerosis and glomerulosclerosis  occur  </w:t>
      </w:r>
      <w:r>
        <w:rPr>
          <w:color w:val="231F20"/>
          <w:spacing w:val="-7"/>
        </w:rPr>
        <w:t>to</w:t>
      </w:r>
      <w:r>
        <w:rPr>
          <w:color w:val="231F20"/>
          <w:spacing w:val="36"/>
        </w:rPr>
        <w:t> </w:t>
      </w:r>
      <w:r>
        <w:rPr>
          <w:color w:val="231F20"/>
        </w:rPr>
        <w:t>some extent in most people after the fourth decade of   life, causing about a 10 percent decrease in the number   of functional nephrons each  10  years  after  age  40  years (</w:t>
      </w:r>
      <w:hyperlink w:history="true" w:anchor="_bookmark121">
        <w:r>
          <w:rPr>
            <w:b/>
            <w:color w:val="0080AC"/>
          </w:rPr>
          <w:t>Figure 32-3</w:t>
        </w:r>
      </w:hyperlink>
      <w:r>
        <w:rPr>
          <w:color w:val="231F20"/>
        </w:rPr>
        <w:t>). This loss of glomeruli and overall nephron</w:t>
      </w:r>
      <w:r>
        <w:rPr>
          <w:color w:val="231F20"/>
          <w:spacing w:val="37"/>
        </w:rPr>
        <w:t> </w:t>
      </w:r>
      <w:r>
        <w:rPr>
          <w:color w:val="231F20"/>
        </w:rPr>
        <w:t>function</w:t>
      </w:r>
      <w:r>
        <w:rPr>
          <w:color w:val="231F20"/>
          <w:spacing w:val="37"/>
        </w:rPr>
        <w:t> </w:t>
      </w:r>
      <w:r>
        <w:rPr>
          <w:color w:val="231F20"/>
        </w:rPr>
        <w:t>is</w:t>
      </w:r>
      <w:r>
        <w:rPr>
          <w:color w:val="231F20"/>
          <w:spacing w:val="37"/>
        </w:rPr>
        <w:t> </w:t>
      </w:r>
      <w:r>
        <w:rPr>
          <w:color w:val="231F20"/>
        </w:rPr>
        <w:t>reflected</w:t>
      </w:r>
      <w:r>
        <w:rPr>
          <w:color w:val="231F20"/>
          <w:spacing w:val="38"/>
        </w:rPr>
        <w:t> </w:t>
      </w:r>
      <w:r>
        <w:rPr>
          <w:color w:val="231F20"/>
        </w:rPr>
        <w:t>by</w:t>
      </w:r>
      <w:r>
        <w:rPr>
          <w:color w:val="231F20"/>
          <w:spacing w:val="37"/>
        </w:rPr>
        <w:t> </w:t>
      </w:r>
      <w:r>
        <w:rPr>
          <w:color w:val="231F20"/>
        </w:rPr>
        <w:t>a</w:t>
      </w:r>
      <w:r>
        <w:rPr>
          <w:color w:val="231F20"/>
          <w:spacing w:val="37"/>
        </w:rPr>
        <w:t> </w:t>
      </w:r>
      <w:r>
        <w:rPr>
          <w:color w:val="231F20"/>
        </w:rPr>
        <w:t>progressive</w:t>
      </w:r>
      <w:r>
        <w:rPr>
          <w:color w:val="231F20"/>
          <w:spacing w:val="37"/>
        </w:rPr>
        <w:t> </w:t>
      </w:r>
      <w:r>
        <w:rPr>
          <w:color w:val="231F20"/>
        </w:rPr>
        <w:t>decrease</w:t>
      </w:r>
    </w:p>
    <w:p>
      <w:pPr>
        <w:spacing w:after="0" w:line="249" w:lineRule="auto"/>
        <w:jc w:val="both"/>
        <w:sectPr>
          <w:type w:val="continuous"/>
          <w:pgSz w:w="12240" w:h="15660"/>
          <w:pgMar w:top="0" w:bottom="760" w:left="0" w:right="0"/>
          <w:cols w:num="2" w:equalWidth="0">
            <w:col w:w="6124" w:space="40"/>
            <w:col w:w="6076"/>
          </w:cols>
        </w:sectPr>
      </w:pPr>
    </w:p>
    <w:p>
      <w:pPr>
        <w:pStyle w:val="BodyText"/>
        <w:spacing w:before="2"/>
        <w:rPr>
          <w:sz w:val="19"/>
        </w:rPr>
      </w:pPr>
    </w:p>
    <w:p>
      <w:pPr>
        <w:spacing w:after="0"/>
        <w:rPr>
          <w:sz w:val="19"/>
        </w:rPr>
        <w:sectPr>
          <w:headerReference w:type="even" r:id="rId1052"/>
          <w:footerReference w:type="even" r:id="rId1053"/>
          <w:footerReference w:type="default" r:id="rId1054"/>
          <w:pgSz w:w="12240" w:h="15660"/>
          <w:pgMar w:header="0" w:footer="567" w:top="720" w:bottom="760" w:left="0" w:right="0"/>
          <w:pgNumType w:start="434"/>
        </w:sectPr>
      </w:pPr>
    </w:p>
    <w:p>
      <w:pPr>
        <w:pStyle w:val="BodyText"/>
        <w:spacing w:line="249" w:lineRule="auto" w:before="99"/>
        <w:ind w:left="1080"/>
        <w:jc w:val="both"/>
      </w:pPr>
      <w:r>
        <w:rPr>
          <w:color w:val="231F20"/>
          <w:w w:val="105"/>
        </w:rPr>
        <w:t>in both renal blood flow and GFR. Even in healthy</w:t>
      </w:r>
      <w:r>
        <w:rPr>
          <w:color w:val="231F20"/>
          <w:spacing w:val="-26"/>
          <w:w w:val="105"/>
        </w:rPr>
        <w:t> </w:t>
      </w:r>
      <w:r>
        <w:rPr>
          <w:color w:val="231F20"/>
          <w:w w:val="105"/>
        </w:rPr>
        <w:t>peo­ ple without underlying hypertension or diabetes, renal plasma</w:t>
      </w:r>
      <w:r>
        <w:rPr>
          <w:color w:val="231F20"/>
          <w:spacing w:val="-21"/>
          <w:w w:val="105"/>
        </w:rPr>
        <w:t> </w:t>
      </w:r>
      <w:r>
        <w:rPr>
          <w:color w:val="231F20"/>
          <w:w w:val="105"/>
        </w:rPr>
        <w:t>flow</w:t>
      </w:r>
      <w:r>
        <w:rPr>
          <w:color w:val="231F20"/>
          <w:spacing w:val="-20"/>
          <w:w w:val="105"/>
        </w:rPr>
        <w:t> </w:t>
      </w:r>
      <w:r>
        <w:rPr>
          <w:color w:val="231F20"/>
          <w:w w:val="105"/>
        </w:rPr>
        <w:t>and</w:t>
      </w:r>
      <w:r>
        <w:rPr>
          <w:color w:val="231F20"/>
          <w:spacing w:val="-20"/>
          <w:w w:val="105"/>
        </w:rPr>
        <w:t> </w:t>
      </w:r>
      <w:r>
        <w:rPr>
          <w:color w:val="231F20"/>
          <w:w w:val="105"/>
        </w:rPr>
        <w:t>GFR</w:t>
      </w:r>
      <w:r>
        <w:rPr>
          <w:color w:val="231F20"/>
          <w:spacing w:val="-20"/>
          <w:w w:val="105"/>
        </w:rPr>
        <w:t> </w:t>
      </w:r>
      <w:r>
        <w:rPr>
          <w:color w:val="231F20"/>
          <w:w w:val="105"/>
        </w:rPr>
        <w:t>decrease</w:t>
      </w:r>
      <w:r>
        <w:rPr>
          <w:color w:val="231F20"/>
          <w:spacing w:val="-21"/>
          <w:w w:val="105"/>
        </w:rPr>
        <w:t> </w:t>
      </w:r>
      <w:r>
        <w:rPr>
          <w:color w:val="231F20"/>
          <w:w w:val="105"/>
        </w:rPr>
        <w:t>by</w:t>
      </w:r>
      <w:r>
        <w:rPr>
          <w:color w:val="231F20"/>
          <w:spacing w:val="-20"/>
          <w:w w:val="105"/>
        </w:rPr>
        <w:t> </w:t>
      </w:r>
      <w:r>
        <w:rPr>
          <w:color w:val="231F20"/>
          <w:w w:val="105"/>
        </w:rPr>
        <w:t>40</w:t>
      </w:r>
      <w:r>
        <w:rPr>
          <w:color w:val="231F20"/>
          <w:spacing w:val="-20"/>
          <w:w w:val="105"/>
        </w:rPr>
        <w:t> </w:t>
      </w:r>
      <w:r>
        <w:rPr>
          <w:color w:val="231F20"/>
          <w:w w:val="105"/>
        </w:rPr>
        <w:t>to</w:t>
      </w:r>
      <w:r>
        <w:rPr>
          <w:color w:val="231F20"/>
          <w:spacing w:val="-20"/>
          <w:w w:val="105"/>
        </w:rPr>
        <w:t> </w:t>
      </w:r>
      <w:r>
        <w:rPr>
          <w:color w:val="231F20"/>
          <w:w w:val="105"/>
        </w:rPr>
        <w:t>50</w:t>
      </w:r>
      <w:r>
        <w:rPr>
          <w:color w:val="231F20"/>
          <w:spacing w:val="-20"/>
          <w:w w:val="105"/>
        </w:rPr>
        <w:t> </w:t>
      </w:r>
      <w:r>
        <w:rPr>
          <w:color w:val="231F20"/>
          <w:w w:val="105"/>
        </w:rPr>
        <w:t>percent</w:t>
      </w:r>
      <w:r>
        <w:rPr>
          <w:color w:val="231F20"/>
          <w:spacing w:val="-21"/>
          <w:w w:val="105"/>
        </w:rPr>
        <w:t> </w:t>
      </w:r>
      <w:r>
        <w:rPr>
          <w:color w:val="231F20"/>
          <w:w w:val="105"/>
        </w:rPr>
        <w:t>by</w:t>
      </w:r>
      <w:r>
        <w:rPr>
          <w:color w:val="231F20"/>
          <w:spacing w:val="-20"/>
          <w:w w:val="105"/>
        </w:rPr>
        <w:t> </w:t>
      </w:r>
      <w:r>
        <w:rPr>
          <w:color w:val="231F20"/>
          <w:spacing w:val="-5"/>
          <w:w w:val="105"/>
        </w:rPr>
        <w:t>age </w:t>
      </w:r>
      <w:r>
        <w:rPr>
          <w:color w:val="231F20"/>
          <w:w w:val="105"/>
        </w:rPr>
        <w:t>80</w:t>
      </w:r>
      <w:r>
        <w:rPr>
          <w:color w:val="231F20"/>
          <w:spacing w:val="2"/>
          <w:w w:val="105"/>
        </w:rPr>
        <w:t> </w:t>
      </w:r>
      <w:r>
        <w:rPr>
          <w:color w:val="231F20"/>
          <w:w w:val="105"/>
        </w:rPr>
        <w:t>years.</w:t>
      </w:r>
    </w:p>
    <w:p>
      <w:pPr>
        <w:pStyle w:val="BodyText"/>
        <w:spacing w:line="249" w:lineRule="auto" w:before="4"/>
        <w:ind w:left="1079" w:firstLine="240"/>
        <w:jc w:val="both"/>
      </w:pPr>
      <w:r>
        <w:rPr/>
        <w:pict>
          <v:rect style="position:absolute;margin-left:0pt;margin-top:92.185959pt;width:36pt;height:24pt;mso-position-horizontal-relative:page;mso-position-vertical-relative:paragraph;z-index:253294592" filled="true" fillcolor="#e8dac8" stroked="false">
            <v:fill type="solid"/>
            <w10:wrap type="none"/>
          </v:rect>
        </w:pict>
      </w:r>
      <w:r>
        <w:rPr>
          <w:color w:val="231F20"/>
        </w:rPr>
        <w:t>The frequency and severity of nephrosclerosis and glomerulosclerosis are greatly increased by </w:t>
      </w:r>
      <w:r>
        <w:rPr>
          <w:color w:val="231F20"/>
          <w:spacing w:val="-3"/>
        </w:rPr>
        <w:t>concurrent </w:t>
      </w:r>
      <w:r>
        <w:rPr>
          <w:i/>
          <w:color w:val="231F20"/>
        </w:rPr>
        <w:t>hypertension </w:t>
      </w:r>
      <w:r>
        <w:rPr>
          <w:color w:val="231F20"/>
        </w:rPr>
        <w:t>or </w:t>
      </w:r>
      <w:r>
        <w:rPr>
          <w:i/>
          <w:color w:val="231F20"/>
        </w:rPr>
        <w:t>diabetes mellitus. </w:t>
      </w:r>
      <w:r>
        <w:rPr>
          <w:color w:val="231F20"/>
        </w:rPr>
        <w:t>In fact, diabetes melli­ tus and hypertension are the two most important causes  of ESRD, as discussed previously. Thus, benign </w:t>
      </w:r>
      <w:r>
        <w:rPr>
          <w:color w:val="231F20"/>
          <w:spacing w:val="-3"/>
        </w:rPr>
        <w:t>nephro­ </w:t>
      </w:r>
      <w:r>
        <w:rPr>
          <w:color w:val="231F20"/>
        </w:rPr>
        <w:t>sclerosis in association with severe hypertension can lead to a rapidly progressing </w:t>
      </w:r>
      <w:r>
        <w:rPr>
          <w:i/>
          <w:color w:val="231F20"/>
        </w:rPr>
        <w:t>malignant nephrosclerosis. </w:t>
      </w:r>
      <w:r>
        <w:rPr>
          <w:color w:val="231F20"/>
        </w:rPr>
        <w:t>The characteristic histological features of malignant </w:t>
      </w:r>
      <w:r>
        <w:rPr>
          <w:color w:val="231F20"/>
          <w:spacing w:val="-3"/>
        </w:rPr>
        <w:t>nephro­ </w:t>
      </w:r>
      <w:r>
        <w:rPr>
          <w:color w:val="231F20"/>
        </w:rPr>
        <w:t>sclerosis include large amounts of fibrinoid deposits </w:t>
      </w:r>
      <w:r>
        <w:rPr>
          <w:color w:val="231F20"/>
          <w:spacing w:val="-6"/>
        </w:rPr>
        <w:t>in  </w:t>
      </w:r>
      <w:r>
        <w:rPr>
          <w:color w:val="231F20"/>
        </w:rPr>
        <w:t>the arterioles and progressive thickening of the vessels, with severe ischemia occurring in the affected nephrons. </w:t>
      </w:r>
      <w:r>
        <w:rPr>
          <w:color w:val="231F20"/>
          <w:spacing w:val="-3"/>
        </w:rPr>
        <w:t>For </w:t>
      </w:r>
      <w:r>
        <w:rPr>
          <w:color w:val="231F20"/>
        </w:rPr>
        <w:t>unknown reasons, the incidence of malignant </w:t>
      </w:r>
      <w:r>
        <w:rPr>
          <w:color w:val="231F20"/>
          <w:spacing w:val="-3"/>
        </w:rPr>
        <w:t>neph­ </w:t>
      </w:r>
      <w:r>
        <w:rPr>
          <w:color w:val="231F20"/>
        </w:rPr>
        <w:t>rosclerosis and severe glomerulosclerosis is significantly higher in blacks than in whites of similar ages who have similar</w:t>
      </w:r>
      <w:r>
        <w:rPr>
          <w:color w:val="231F20"/>
          <w:spacing w:val="13"/>
        </w:rPr>
        <w:t> </w:t>
      </w:r>
      <w:r>
        <w:rPr>
          <w:color w:val="231F20"/>
        </w:rPr>
        <w:t>degrees</w:t>
      </w:r>
      <w:r>
        <w:rPr>
          <w:color w:val="231F20"/>
          <w:spacing w:val="14"/>
        </w:rPr>
        <w:t> </w:t>
      </w:r>
      <w:r>
        <w:rPr>
          <w:color w:val="231F20"/>
        </w:rPr>
        <w:t>of</w:t>
      </w:r>
      <w:r>
        <w:rPr>
          <w:color w:val="231F20"/>
          <w:spacing w:val="13"/>
        </w:rPr>
        <w:t> </w:t>
      </w:r>
      <w:r>
        <w:rPr>
          <w:color w:val="231F20"/>
        </w:rPr>
        <w:t>severity</w:t>
      </w:r>
      <w:r>
        <w:rPr>
          <w:color w:val="231F20"/>
          <w:spacing w:val="14"/>
        </w:rPr>
        <w:t> </w:t>
      </w:r>
      <w:r>
        <w:rPr>
          <w:color w:val="231F20"/>
        </w:rPr>
        <w:t>of</w:t>
      </w:r>
      <w:r>
        <w:rPr>
          <w:color w:val="231F20"/>
          <w:spacing w:val="14"/>
        </w:rPr>
        <w:t> </w:t>
      </w:r>
      <w:r>
        <w:rPr>
          <w:color w:val="231F20"/>
        </w:rPr>
        <w:t>hypertension</w:t>
      </w:r>
      <w:r>
        <w:rPr>
          <w:color w:val="231F20"/>
          <w:spacing w:val="13"/>
        </w:rPr>
        <w:t> </w:t>
      </w:r>
      <w:r>
        <w:rPr>
          <w:color w:val="231F20"/>
        </w:rPr>
        <w:t>or</w:t>
      </w:r>
      <w:r>
        <w:rPr>
          <w:color w:val="231F20"/>
          <w:spacing w:val="14"/>
        </w:rPr>
        <w:t> </w:t>
      </w:r>
      <w:r>
        <w:rPr>
          <w:color w:val="231F20"/>
        </w:rPr>
        <w:t>diabetes.</w:t>
      </w:r>
    </w:p>
    <w:p>
      <w:pPr>
        <w:pStyle w:val="BodyText"/>
        <w:spacing w:before="8"/>
        <w:rPr>
          <w:sz w:val="31"/>
        </w:rPr>
      </w:pPr>
    </w:p>
    <w:p>
      <w:pPr>
        <w:pStyle w:val="Heading2"/>
        <w:spacing w:line="225" w:lineRule="auto"/>
        <w:ind w:left="1080" w:right="1364"/>
      </w:pPr>
      <w:r>
        <w:rPr>
          <w:color w:val="231F20"/>
          <w:w w:val="105"/>
        </w:rPr>
        <w:t>INJURY TO THE GLOMERULI AS A CAUSE OF CHRONIC KIDNEY</w:t>
      </w:r>
    </w:p>
    <w:p>
      <w:pPr>
        <w:spacing w:line="243" w:lineRule="exact" w:before="0"/>
        <w:ind w:left="1080" w:right="0" w:firstLine="0"/>
        <w:jc w:val="left"/>
        <w:rPr>
          <w:rFonts w:ascii="Trebuchet MS" w:hAnsi="Trebuchet MS"/>
          <w:b/>
          <w:sz w:val="22"/>
        </w:rPr>
      </w:pPr>
      <w:r>
        <w:rPr>
          <w:rFonts w:ascii="Trebuchet MS" w:hAnsi="Trebuchet MS"/>
          <w:b/>
          <w:color w:val="231F20"/>
          <w:w w:val="105"/>
          <w:sz w:val="22"/>
        </w:rPr>
        <w:t>DISEASE—GLOMERULONEPHRITIS</w:t>
      </w:r>
    </w:p>
    <w:p>
      <w:pPr>
        <w:pStyle w:val="BodyText"/>
        <w:spacing w:line="249" w:lineRule="auto" w:before="125"/>
        <w:ind w:left="1080"/>
        <w:jc w:val="both"/>
        <w:rPr>
          <w:i/>
        </w:rPr>
      </w:pPr>
      <w:r>
        <w:rPr>
          <w:color w:val="231F20"/>
        </w:rPr>
        <w:t>Chronic glomerulonephritis can be caused by several </w:t>
      </w:r>
      <w:r>
        <w:rPr>
          <w:color w:val="231F20"/>
          <w:spacing w:val="-3"/>
        </w:rPr>
        <w:t>dis­ </w:t>
      </w:r>
      <w:r>
        <w:rPr>
          <w:color w:val="231F20"/>
        </w:rPr>
        <w:t>eases that cause inflammation and damage to the capillary loops in the glomeruli of the kidneys. In contrast to </w:t>
      </w:r>
      <w:r>
        <w:rPr>
          <w:color w:val="231F20"/>
          <w:spacing w:val="-6"/>
        </w:rPr>
        <w:t>the </w:t>
      </w:r>
      <w:r>
        <w:rPr>
          <w:color w:val="231F20"/>
        </w:rPr>
        <w:t>acute form of this disease, chronic glomerulonephritis </w:t>
      </w:r>
      <w:r>
        <w:rPr>
          <w:color w:val="231F20"/>
          <w:spacing w:val="-5"/>
        </w:rPr>
        <w:t>is   </w:t>
      </w:r>
      <w:r>
        <w:rPr>
          <w:color w:val="231F20"/>
        </w:rPr>
        <w:t>a</w:t>
      </w:r>
      <w:r>
        <w:rPr>
          <w:color w:val="231F20"/>
          <w:spacing w:val="-7"/>
        </w:rPr>
        <w:t> </w:t>
      </w:r>
      <w:r>
        <w:rPr>
          <w:color w:val="231F20"/>
        </w:rPr>
        <w:t>slowly</w:t>
      </w:r>
      <w:r>
        <w:rPr>
          <w:color w:val="231F20"/>
          <w:spacing w:val="-6"/>
        </w:rPr>
        <w:t> </w:t>
      </w:r>
      <w:r>
        <w:rPr>
          <w:color w:val="231F20"/>
        </w:rPr>
        <w:t>progressive</w:t>
      </w:r>
      <w:r>
        <w:rPr>
          <w:color w:val="231F20"/>
          <w:spacing w:val="-7"/>
        </w:rPr>
        <w:t> </w:t>
      </w:r>
      <w:r>
        <w:rPr>
          <w:color w:val="231F20"/>
        </w:rPr>
        <w:t>disease</w:t>
      </w:r>
      <w:r>
        <w:rPr>
          <w:color w:val="231F20"/>
          <w:spacing w:val="-6"/>
        </w:rPr>
        <w:t> </w:t>
      </w:r>
      <w:r>
        <w:rPr>
          <w:color w:val="231F20"/>
        </w:rPr>
        <w:t>that</w:t>
      </w:r>
      <w:r>
        <w:rPr>
          <w:color w:val="231F20"/>
          <w:spacing w:val="-7"/>
        </w:rPr>
        <w:t> </w:t>
      </w:r>
      <w:r>
        <w:rPr>
          <w:color w:val="231F20"/>
        </w:rPr>
        <w:t>often</w:t>
      </w:r>
      <w:r>
        <w:rPr>
          <w:color w:val="231F20"/>
          <w:spacing w:val="-6"/>
        </w:rPr>
        <w:t> </w:t>
      </w:r>
      <w:r>
        <w:rPr>
          <w:color w:val="231F20"/>
        </w:rPr>
        <w:t>leads</w:t>
      </w:r>
      <w:r>
        <w:rPr>
          <w:color w:val="231F20"/>
          <w:spacing w:val="-7"/>
        </w:rPr>
        <w:t> </w:t>
      </w:r>
      <w:r>
        <w:rPr>
          <w:color w:val="231F20"/>
        </w:rPr>
        <w:t>to</w:t>
      </w:r>
      <w:r>
        <w:rPr>
          <w:color w:val="231F20"/>
          <w:spacing w:val="-6"/>
        </w:rPr>
        <w:t> </w:t>
      </w:r>
      <w:r>
        <w:rPr>
          <w:color w:val="231F20"/>
        </w:rPr>
        <w:t>irreversible renal</w:t>
      </w:r>
      <w:r>
        <w:rPr>
          <w:color w:val="231F20"/>
          <w:spacing w:val="-9"/>
        </w:rPr>
        <w:t> </w:t>
      </w:r>
      <w:r>
        <w:rPr>
          <w:color w:val="231F20"/>
        </w:rPr>
        <w:t>failure.</w:t>
      </w:r>
      <w:r>
        <w:rPr>
          <w:color w:val="231F20"/>
          <w:spacing w:val="-8"/>
        </w:rPr>
        <w:t> </w:t>
      </w:r>
      <w:r>
        <w:rPr>
          <w:color w:val="231F20"/>
          <w:spacing w:val="-3"/>
        </w:rPr>
        <w:t>It</w:t>
      </w:r>
      <w:r>
        <w:rPr>
          <w:color w:val="231F20"/>
          <w:spacing w:val="-9"/>
        </w:rPr>
        <w:t> </w:t>
      </w:r>
      <w:r>
        <w:rPr>
          <w:color w:val="231F20"/>
        </w:rPr>
        <w:t>may</w:t>
      </w:r>
      <w:r>
        <w:rPr>
          <w:color w:val="231F20"/>
          <w:spacing w:val="-8"/>
        </w:rPr>
        <w:t> </w:t>
      </w:r>
      <w:r>
        <w:rPr>
          <w:color w:val="231F20"/>
        </w:rPr>
        <w:t>be</w:t>
      </w:r>
      <w:r>
        <w:rPr>
          <w:color w:val="231F20"/>
          <w:spacing w:val="-9"/>
        </w:rPr>
        <w:t> </w:t>
      </w:r>
      <w:r>
        <w:rPr>
          <w:color w:val="231F20"/>
        </w:rPr>
        <w:t>a</w:t>
      </w:r>
      <w:r>
        <w:rPr>
          <w:color w:val="231F20"/>
          <w:spacing w:val="-8"/>
        </w:rPr>
        <w:t> </w:t>
      </w:r>
      <w:r>
        <w:rPr>
          <w:color w:val="231F20"/>
        </w:rPr>
        <w:t>primary</w:t>
      </w:r>
      <w:r>
        <w:rPr>
          <w:color w:val="231F20"/>
          <w:spacing w:val="-9"/>
        </w:rPr>
        <w:t> </w:t>
      </w:r>
      <w:r>
        <w:rPr>
          <w:color w:val="231F20"/>
        </w:rPr>
        <w:t>kidney</w:t>
      </w:r>
      <w:r>
        <w:rPr>
          <w:color w:val="231F20"/>
          <w:spacing w:val="-8"/>
        </w:rPr>
        <w:t> </w:t>
      </w:r>
      <w:r>
        <w:rPr>
          <w:color w:val="231F20"/>
        </w:rPr>
        <w:t>disease,</w:t>
      </w:r>
      <w:r>
        <w:rPr>
          <w:color w:val="231F20"/>
          <w:spacing w:val="-9"/>
        </w:rPr>
        <w:t> </w:t>
      </w:r>
      <w:r>
        <w:rPr>
          <w:color w:val="231F20"/>
        </w:rPr>
        <w:t>following acute glomerulonephritis, or it may be secondary to </w:t>
      </w:r>
      <w:r>
        <w:rPr>
          <w:color w:val="231F20"/>
          <w:spacing w:val="-4"/>
        </w:rPr>
        <w:t>sys­ </w:t>
      </w:r>
      <w:r>
        <w:rPr>
          <w:color w:val="231F20"/>
        </w:rPr>
        <w:t>temic diseases, such as </w:t>
      </w:r>
      <w:r>
        <w:rPr>
          <w:i/>
          <w:color w:val="231F20"/>
        </w:rPr>
        <w:t>systemic lupus</w:t>
      </w:r>
      <w:r>
        <w:rPr>
          <w:i/>
          <w:color w:val="231F20"/>
          <w:spacing w:val="19"/>
        </w:rPr>
        <w:t> </w:t>
      </w:r>
      <w:r>
        <w:rPr>
          <w:i/>
          <w:color w:val="231F20"/>
        </w:rPr>
        <w:t>erythematosus.</w:t>
      </w:r>
    </w:p>
    <w:p>
      <w:pPr>
        <w:pStyle w:val="BodyText"/>
        <w:spacing w:line="249" w:lineRule="auto" w:before="6"/>
        <w:ind w:left="1080" w:firstLine="240"/>
        <w:jc w:val="both"/>
      </w:pPr>
      <w:r>
        <w:rPr>
          <w:color w:val="231F20"/>
        </w:rPr>
        <w:t>In most cases,  chronic  glomerulonephritis  begins with accumulation of precipitated antigen­antibody </w:t>
      </w:r>
      <w:r>
        <w:rPr>
          <w:color w:val="231F20"/>
          <w:spacing w:val="-4"/>
        </w:rPr>
        <w:t>com­ </w:t>
      </w:r>
      <w:r>
        <w:rPr>
          <w:color w:val="231F20"/>
        </w:rPr>
        <w:t>plexes in the glomerular membrane. In contrast to </w:t>
      </w:r>
      <w:r>
        <w:rPr>
          <w:color w:val="231F20"/>
          <w:spacing w:val="-4"/>
        </w:rPr>
        <w:t>acute </w:t>
      </w:r>
      <w:r>
        <w:rPr>
          <w:color w:val="231F20"/>
        </w:rPr>
        <w:t>glomerulonephritis, streptococcal infections account </w:t>
      </w:r>
      <w:r>
        <w:rPr>
          <w:color w:val="231F20"/>
          <w:spacing w:val="-5"/>
        </w:rPr>
        <w:t>for </w:t>
      </w:r>
      <w:r>
        <w:rPr>
          <w:color w:val="231F20"/>
        </w:rPr>
        <w:t>only a small percentage of patients with the chronic </w:t>
      </w:r>
      <w:r>
        <w:rPr>
          <w:color w:val="231F20"/>
          <w:spacing w:val="-4"/>
        </w:rPr>
        <w:t>form </w:t>
      </w:r>
      <w:r>
        <w:rPr>
          <w:color w:val="231F20"/>
        </w:rPr>
        <w:t>of glomerulonephritis. Accumulation of antigen­antibody complex in the glomerular membranes causes </w:t>
      </w:r>
      <w:r>
        <w:rPr>
          <w:color w:val="231F20"/>
          <w:spacing w:val="-3"/>
        </w:rPr>
        <w:t>inflam­ </w:t>
      </w:r>
      <w:r>
        <w:rPr>
          <w:color w:val="231F20"/>
        </w:rPr>
        <w:t>mation, progressive thickening of the membranes, </w:t>
      </w:r>
      <w:r>
        <w:rPr>
          <w:color w:val="231F20"/>
          <w:spacing w:val="-6"/>
        </w:rPr>
        <w:t>and </w:t>
      </w:r>
      <w:r>
        <w:rPr>
          <w:color w:val="231F20"/>
        </w:rPr>
        <w:t>eventual invasion of the glomeruli by fibrous tissue. </w:t>
      </w:r>
      <w:r>
        <w:rPr>
          <w:color w:val="231F20"/>
          <w:spacing w:val="-9"/>
        </w:rPr>
        <w:t>In</w:t>
      </w:r>
      <w:r>
        <w:rPr>
          <w:color w:val="231F20"/>
          <w:spacing w:val="32"/>
        </w:rPr>
        <w:t> </w:t>
      </w:r>
      <w:r>
        <w:rPr>
          <w:color w:val="231F20"/>
        </w:rPr>
        <w:t>the later stages of the disease, the glomerular capillary filtration coefficient becomes greatly reduced because of decreased numbers of filtering capillaries in the glomeru­ lar tufts and because of thickened glomerular membranes. In the final stages of the disease, many glomeruli </w:t>
      </w:r>
      <w:r>
        <w:rPr>
          <w:color w:val="231F20"/>
          <w:spacing w:val="-5"/>
        </w:rPr>
        <w:t>are </w:t>
      </w:r>
      <w:r>
        <w:rPr>
          <w:color w:val="231F20"/>
        </w:rPr>
        <w:t>replaced by fibrous tissue and are, therefore, unable </w:t>
      </w:r>
      <w:r>
        <w:rPr>
          <w:color w:val="231F20"/>
          <w:spacing w:val="-8"/>
        </w:rPr>
        <w:t>to </w:t>
      </w:r>
      <w:r>
        <w:rPr>
          <w:color w:val="231F20"/>
        </w:rPr>
        <w:t>filter</w:t>
      </w:r>
      <w:r>
        <w:rPr>
          <w:color w:val="231F20"/>
          <w:spacing w:val="5"/>
        </w:rPr>
        <w:t> </w:t>
      </w:r>
      <w:r>
        <w:rPr>
          <w:color w:val="231F20"/>
        </w:rPr>
        <w:t>fluid.</w:t>
      </w:r>
    </w:p>
    <w:p>
      <w:pPr>
        <w:pStyle w:val="BodyText"/>
        <w:spacing w:before="9"/>
        <w:rPr>
          <w:sz w:val="31"/>
        </w:rPr>
      </w:pPr>
    </w:p>
    <w:p>
      <w:pPr>
        <w:pStyle w:val="Heading2"/>
        <w:spacing w:line="225" w:lineRule="auto"/>
        <w:ind w:left="1080" w:right="358"/>
      </w:pPr>
      <w:r>
        <w:rPr>
          <w:color w:val="231F20"/>
          <w:w w:val="105"/>
        </w:rPr>
        <w:t>INJURY TO THE RENAL INTERSTITIUM </w:t>
      </w:r>
      <w:r>
        <w:rPr>
          <w:color w:val="231F20"/>
          <w:spacing w:val="-8"/>
          <w:w w:val="105"/>
        </w:rPr>
        <w:t>AS </w:t>
      </w:r>
      <w:r>
        <w:rPr>
          <w:color w:val="231F20"/>
          <w:w w:val="105"/>
        </w:rPr>
        <w:t>A CAUSE OF CHRONIC KIDNEY DISEASE—INTERSTITIAL NEPHRITIS</w:t>
      </w:r>
    </w:p>
    <w:p>
      <w:pPr>
        <w:pStyle w:val="BodyText"/>
        <w:spacing w:line="249" w:lineRule="auto" w:before="127"/>
        <w:ind w:left="1080"/>
        <w:jc w:val="both"/>
      </w:pPr>
      <w:r>
        <w:rPr>
          <w:color w:val="231F20"/>
          <w:w w:val="105"/>
        </w:rPr>
        <w:t>Primary or secondary disease of the renal </w:t>
      </w:r>
      <w:r>
        <w:rPr>
          <w:color w:val="231F20"/>
          <w:spacing w:val="-3"/>
          <w:w w:val="105"/>
        </w:rPr>
        <w:t>interstitium  </w:t>
      </w:r>
      <w:r>
        <w:rPr>
          <w:color w:val="231F20"/>
          <w:w w:val="105"/>
        </w:rPr>
        <w:t>is referred to as </w:t>
      </w:r>
      <w:r>
        <w:rPr>
          <w:i/>
          <w:color w:val="231F20"/>
          <w:w w:val="105"/>
        </w:rPr>
        <w:t>interstitial nephritis. </w:t>
      </w:r>
      <w:r>
        <w:rPr>
          <w:color w:val="231F20"/>
          <w:w w:val="105"/>
        </w:rPr>
        <w:t>In general, </w:t>
      </w:r>
      <w:r>
        <w:rPr>
          <w:color w:val="231F20"/>
          <w:spacing w:val="-4"/>
          <w:w w:val="105"/>
        </w:rPr>
        <w:t>this </w:t>
      </w:r>
      <w:r>
        <w:rPr>
          <w:color w:val="231F20"/>
          <w:w w:val="105"/>
        </w:rPr>
        <w:t>condition can result from vascular, glomerular, or </w:t>
      </w:r>
      <w:r>
        <w:rPr>
          <w:color w:val="231F20"/>
          <w:spacing w:val="-4"/>
          <w:w w:val="105"/>
        </w:rPr>
        <w:t>tubu­ </w:t>
      </w:r>
      <w:r>
        <w:rPr>
          <w:color w:val="231F20"/>
          <w:w w:val="105"/>
        </w:rPr>
        <w:t>lar</w:t>
      </w:r>
      <w:r>
        <w:rPr>
          <w:color w:val="231F20"/>
          <w:spacing w:val="13"/>
          <w:w w:val="105"/>
        </w:rPr>
        <w:t> </w:t>
      </w:r>
      <w:r>
        <w:rPr>
          <w:color w:val="231F20"/>
          <w:w w:val="105"/>
        </w:rPr>
        <w:t>damage</w:t>
      </w:r>
      <w:r>
        <w:rPr>
          <w:color w:val="231F20"/>
          <w:spacing w:val="14"/>
          <w:w w:val="105"/>
        </w:rPr>
        <w:t> </w:t>
      </w:r>
      <w:r>
        <w:rPr>
          <w:color w:val="231F20"/>
          <w:w w:val="105"/>
        </w:rPr>
        <w:t>that</w:t>
      </w:r>
      <w:r>
        <w:rPr>
          <w:color w:val="231F20"/>
          <w:spacing w:val="13"/>
          <w:w w:val="105"/>
        </w:rPr>
        <w:t> </w:t>
      </w:r>
      <w:r>
        <w:rPr>
          <w:color w:val="231F20"/>
          <w:w w:val="105"/>
        </w:rPr>
        <w:t>destroys</w:t>
      </w:r>
      <w:r>
        <w:rPr>
          <w:color w:val="231F20"/>
          <w:spacing w:val="14"/>
          <w:w w:val="105"/>
        </w:rPr>
        <w:t> </w:t>
      </w:r>
      <w:r>
        <w:rPr>
          <w:color w:val="231F20"/>
          <w:w w:val="105"/>
        </w:rPr>
        <w:t>individual</w:t>
      </w:r>
      <w:r>
        <w:rPr>
          <w:color w:val="231F20"/>
          <w:spacing w:val="13"/>
          <w:w w:val="105"/>
        </w:rPr>
        <w:t> </w:t>
      </w:r>
      <w:r>
        <w:rPr>
          <w:color w:val="231F20"/>
          <w:w w:val="105"/>
        </w:rPr>
        <w:t>nephrons,</w:t>
      </w:r>
      <w:r>
        <w:rPr>
          <w:color w:val="231F20"/>
          <w:spacing w:val="14"/>
          <w:w w:val="105"/>
        </w:rPr>
        <w:t> </w:t>
      </w:r>
      <w:r>
        <w:rPr>
          <w:color w:val="231F20"/>
          <w:w w:val="105"/>
        </w:rPr>
        <w:t>or</w:t>
      </w:r>
      <w:r>
        <w:rPr>
          <w:color w:val="231F20"/>
          <w:spacing w:val="13"/>
          <w:w w:val="105"/>
        </w:rPr>
        <w:t> </w:t>
      </w:r>
      <w:r>
        <w:rPr>
          <w:color w:val="231F20"/>
          <w:w w:val="105"/>
        </w:rPr>
        <w:t>it</w:t>
      </w:r>
      <w:r>
        <w:rPr>
          <w:color w:val="231F20"/>
          <w:spacing w:val="14"/>
          <w:w w:val="105"/>
        </w:rPr>
        <w:t> </w:t>
      </w:r>
      <w:r>
        <w:rPr>
          <w:color w:val="231F20"/>
          <w:spacing w:val="-4"/>
          <w:w w:val="105"/>
        </w:rPr>
        <w:t>can</w:t>
      </w:r>
    </w:p>
    <w:p>
      <w:pPr>
        <w:pStyle w:val="BodyText"/>
        <w:spacing w:line="249" w:lineRule="auto" w:before="99"/>
        <w:ind w:left="319" w:right="1437"/>
        <w:jc w:val="both"/>
      </w:pPr>
      <w:r>
        <w:rPr/>
        <w:br w:type="column"/>
      </w:r>
      <w:r>
        <w:rPr>
          <w:color w:val="231F20"/>
          <w:w w:val="105"/>
        </w:rPr>
        <w:t>involve primary damage to the renal interstitium by poisons, drugs, and bacterial infections.</w:t>
      </w:r>
    </w:p>
    <w:p>
      <w:pPr>
        <w:pStyle w:val="BodyText"/>
        <w:spacing w:line="249" w:lineRule="auto" w:before="2"/>
        <w:ind w:left="319" w:right="1437" w:firstLine="240"/>
        <w:jc w:val="both"/>
      </w:pPr>
      <w:r>
        <w:rPr>
          <w:color w:val="231F20"/>
        </w:rPr>
        <w:t>Renal interstitial injury caused by bacterial infection   is called </w:t>
      </w:r>
      <w:r>
        <w:rPr>
          <w:i/>
          <w:color w:val="231F20"/>
        </w:rPr>
        <w:t>pyelonephritis. </w:t>
      </w:r>
      <w:r>
        <w:rPr>
          <w:color w:val="231F20"/>
        </w:rPr>
        <w:t>The infection can result from dif­ ferent types of bacteria but especially from </w:t>
      </w:r>
      <w:r>
        <w:rPr>
          <w:i/>
          <w:color w:val="231F20"/>
        </w:rPr>
        <w:t>Escherichia </w:t>
      </w:r>
      <w:r>
        <w:rPr>
          <w:i/>
          <w:color w:val="231F20"/>
        </w:rPr>
        <w:t>coli </w:t>
      </w:r>
      <w:r>
        <w:rPr>
          <w:color w:val="231F20"/>
        </w:rPr>
        <w:t>that originate from fecal contamination of the urinary tract. These bacteria reach  the  kidneys  either  by  way  of the blood stream </w:t>
      </w:r>
      <w:r>
        <w:rPr>
          <w:color w:val="231F20"/>
          <w:spacing w:val="-6"/>
        </w:rPr>
        <w:t>or, </w:t>
      </w:r>
      <w:r>
        <w:rPr>
          <w:color w:val="231F20"/>
        </w:rPr>
        <w:t>more commonly, by ascension from the lower urinary tract by way of the ureters to </w:t>
      </w:r>
      <w:r>
        <w:rPr>
          <w:color w:val="231F20"/>
          <w:spacing w:val="-5"/>
        </w:rPr>
        <w:t>the </w:t>
      </w:r>
      <w:r>
        <w:rPr>
          <w:color w:val="231F20"/>
        </w:rPr>
        <w:t>kidneys.</w:t>
      </w:r>
    </w:p>
    <w:p>
      <w:pPr>
        <w:pStyle w:val="BodyText"/>
        <w:spacing w:line="249" w:lineRule="auto" w:before="7"/>
        <w:ind w:left="319" w:right="1437" w:firstLine="240"/>
        <w:jc w:val="both"/>
      </w:pPr>
      <w:r>
        <w:rPr>
          <w:color w:val="231F20"/>
        </w:rPr>
        <w:t>Although the normal bladder is able to clear bacteria readily, there are two general clinical conditions that </w:t>
      </w:r>
      <w:r>
        <w:rPr>
          <w:color w:val="231F20"/>
          <w:spacing w:val="-5"/>
        </w:rPr>
        <w:t>may </w:t>
      </w:r>
      <w:r>
        <w:rPr>
          <w:color w:val="231F20"/>
        </w:rPr>
        <w:t>interfere with the normal flushing of bacteria from the bladder: (1) the inability of the bladder to empty com­ pletely, leaving residual urine in the bladder, and </w:t>
      </w:r>
      <w:r>
        <w:rPr>
          <w:color w:val="231F20"/>
          <w:spacing w:val="-4"/>
        </w:rPr>
        <w:t>(2) </w:t>
      </w:r>
      <w:r>
        <w:rPr>
          <w:color w:val="231F20"/>
        </w:rPr>
        <w:t>obstruction of urine outflow. </w:t>
      </w:r>
      <w:r>
        <w:rPr>
          <w:color w:val="231F20"/>
          <w:spacing w:val="-3"/>
        </w:rPr>
        <w:t>With </w:t>
      </w:r>
      <w:r>
        <w:rPr>
          <w:color w:val="231F20"/>
        </w:rPr>
        <w:t>impaired ability to flush bacteria from the bladder, the bacteria multiply and the bladder becomes inflamed, a condition termed </w:t>
      </w:r>
      <w:r>
        <w:rPr>
          <w:i/>
          <w:color w:val="231F20"/>
        </w:rPr>
        <w:t>cysti- </w:t>
      </w:r>
      <w:r>
        <w:rPr>
          <w:i/>
          <w:color w:val="231F20"/>
        </w:rPr>
        <w:t>tis. </w:t>
      </w:r>
      <w:r>
        <w:rPr>
          <w:color w:val="231F20"/>
        </w:rPr>
        <w:t>Once cystitis has occurred, it may remain localized without ascending to the kidney, or in some people, </w:t>
      </w:r>
      <w:r>
        <w:rPr>
          <w:color w:val="231F20"/>
          <w:spacing w:val="-4"/>
        </w:rPr>
        <w:t>bac­ </w:t>
      </w:r>
      <w:r>
        <w:rPr>
          <w:color w:val="231F20"/>
        </w:rPr>
        <w:t>teria may reach the renal pelvis because of a pathological condition in which urine is propelled up one or both of  the ureters during micturition. This condition is </w:t>
      </w:r>
      <w:r>
        <w:rPr>
          <w:color w:val="231F20"/>
          <w:spacing w:val="-3"/>
        </w:rPr>
        <w:t>called </w:t>
      </w:r>
      <w:r>
        <w:rPr>
          <w:i/>
          <w:color w:val="231F20"/>
        </w:rPr>
        <w:t>vesicoureteral</w:t>
      </w:r>
      <w:r>
        <w:rPr>
          <w:i/>
          <w:color w:val="231F20"/>
          <w:spacing w:val="-9"/>
        </w:rPr>
        <w:t> </w:t>
      </w:r>
      <w:r>
        <w:rPr>
          <w:i/>
          <w:color w:val="231F20"/>
        </w:rPr>
        <w:t>reflux</w:t>
      </w:r>
      <w:r>
        <w:rPr>
          <w:i/>
          <w:color w:val="231F20"/>
          <w:spacing w:val="-9"/>
        </w:rPr>
        <w:t> </w:t>
      </w:r>
      <w:r>
        <w:rPr>
          <w:color w:val="231F20"/>
        </w:rPr>
        <w:t>and</w:t>
      </w:r>
      <w:r>
        <w:rPr>
          <w:color w:val="231F20"/>
          <w:spacing w:val="-9"/>
        </w:rPr>
        <w:t> </w:t>
      </w:r>
      <w:r>
        <w:rPr>
          <w:color w:val="231F20"/>
        </w:rPr>
        <w:t>is</w:t>
      </w:r>
      <w:r>
        <w:rPr>
          <w:color w:val="231F20"/>
          <w:spacing w:val="-9"/>
        </w:rPr>
        <w:t> </w:t>
      </w:r>
      <w:r>
        <w:rPr>
          <w:color w:val="231F20"/>
        </w:rPr>
        <w:t>due</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failure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bladder wall to occlude the ureter during micturition; as a result, some of the urine is propelled upward toward the kidney, carrying with it bacteria that can reach the renal pelvis and renal medulla, where they can initiate the infection and inflammation associated with</w:t>
      </w:r>
      <w:r>
        <w:rPr>
          <w:color w:val="231F20"/>
          <w:spacing w:val="1"/>
        </w:rPr>
        <w:t> </w:t>
      </w:r>
      <w:r>
        <w:rPr>
          <w:color w:val="231F20"/>
        </w:rPr>
        <w:t>pyelonephritis.</w:t>
      </w:r>
    </w:p>
    <w:p>
      <w:pPr>
        <w:pStyle w:val="BodyText"/>
        <w:spacing w:line="249" w:lineRule="auto" w:before="15"/>
        <w:ind w:left="319" w:right="1439" w:firstLine="240"/>
        <w:jc w:val="both"/>
      </w:pPr>
      <w:r>
        <w:rPr>
          <w:color w:val="231F20"/>
          <w:w w:val="105"/>
        </w:rPr>
        <w:t>Pyelonephritis begins in the renal medulla and </w:t>
      </w:r>
      <w:r>
        <w:rPr>
          <w:color w:val="231F20"/>
          <w:spacing w:val="-3"/>
          <w:w w:val="105"/>
        </w:rPr>
        <w:t>there­ </w:t>
      </w:r>
      <w:r>
        <w:rPr>
          <w:color w:val="231F20"/>
          <w:w w:val="105"/>
        </w:rPr>
        <w:t>fore</w:t>
      </w:r>
      <w:r>
        <w:rPr>
          <w:color w:val="231F20"/>
          <w:spacing w:val="-17"/>
          <w:w w:val="105"/>
        </w:rPr>
        <w:t> </w:t>
      </w:r>
      <w:r>
        <w:rPr>
          <w:color w:val="231F20"/>
          <w:w w:val="105"/>
        </w:rPr>
        <w:t>usually</w:t>
      </w:r>
      <w:r>
        <w:rPr>
          <w:color w:val="231F20"/>
          <w:spacing w:val="-16"/>
          <w:w w:val="105"/>
        </w:rPr>
        <w:t> </w:t>
      </w:r>
      <w:r>
        <w:rPr>
          <w:color w:val="231F20"/>
          <w:w w:val="105"/>
        </w:rPr>
        <w:t>affects</w:t>
      </w:r>
      <w:r>
        <w:rPr>
          <w:color w:val="231F20"/>
          <w:spacing w:val="-17"/>
          <w:w w:val="105"/>
        </w:rPr>
        <w:t> </w:t>
      </w:r>
      <w:r>
        <w:rPr>
          <w:color w:val="231F20"/>
          <w:w w:val="105"/>
        </w:rPr>
        <w:t>the</w:t>
      </w:r>
      <w:r>
        <w:rPr>
          <w:color w:val="231F20"/>
          <w:spacing w:val="-16"/>
          <w:w w:val="105"/>
        </w:rPr>
        <w:t> </w:t>
      </w:r>
      <w:r>
        <w:rPr>
          <w:color w:val="231F20"/>
          <w:w w:val="105"/>
        </w:rPr>
        <w:t>function</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7"/>
          <w:w w:val="105"/>
        </w:rPr>
        <w:t> </w:t>
      </w:r>
      <w:r>
        <w:rPr>
          <w:color w:val="231F20"/>
          <w:w w:val="105"/>
        </w:rPr>
        <w:t>medulla</w:t>
      </w:r>
      <w:r>
        <w:rPr>
          <w:color w:val="231F20"/>
          <w:spacing w:val="-16"/>
          <w:w w:val="105"/>
        </w:rPr>
        <w:t> </w:t>
      </w:r>
      <w:r>
        <w:rPr>
          <w:color w:val="231F20"/>
          <w:w w:val="105"/>
        </w:rPr>
        <w:t>more</w:t>
      </w:r>
      <w:r>
        <w:rPr>
          <w:color w:val="231F20"/>
          <w:spacing w:val="-17"/>
          <w:w w:val="105"/>
        </w:rPr>
        <w:t> </w:t>
      </w:r>
      <w:r>
        <w:rPr>
          <w:color w:val="231F20"/>
          <w:spacing w:val="-5"/>
          <w:w w:val="105"/>
        </w:rPr>
        <w:t>than </w:t>
      </w:r>
      <w:r>
        <w:rPr>
          <w:color w:val="231F20"/>
          <w:w w:val="105"/>
        </w:rPr>
        <w:t>it</w:t>
      </w:r>
      <w:r>
        <w:rPr>
          <w:color w:val="231F20"/>
          <w:spacing w:val="-8"/>
          <w:w w:val="105"/>
        </w:rPr>
        <w:t> </w:t>
      </w:r>
      <w:r>
        <w:rPr>
          <w:color w:val="231F20"/>
          <w:w w:val="105"/>
        </w:rPr>
        <w:t>affects</w:t>
      </w:r>
      <w:r>
        <w:rPr>
          <w:color w:val="231F20"/>
          <w:spacing w:val="-8"/>
          <w:w w:val="105"/>
        </w:rPr>
        <w:t> </w:t>
      </w:r>
      <w:r>
        <w:rPr>
          <w:color w:val="231F20"/>
          <w:w w:val="105"/>
        </w:rPr>
        <w:t>the</w:t>
      </w:r>
      <w:r>
        <w:rPr>
          <w:color w:val="231F20"/>
          <w:spacing w:val="-8"/>
          <w:w w:val="105"/>
        </w:rPr>
        <w:t> </w:t>
      </w:r>
      <w:r>
        <w:rPr>
          <w:color w:val="231F20"/>
          <w:w w:val="105"/>
        </w:rPr>
        <w:t>cortex,</w:t>
      </w:r>
      <w:r>
        <w:rPr>
          <w:color w:val="231F20"/>
          <w:spacing w:val="-8"/>
          <w:w w:val="105"/>
        </w:rPr>
        <w:t> </w:t>
      </w:r>
      <w:r>
        <w:rPr>
          <w:color w:val="231F20"/>
          <w:w w:val="105"/>
        </w:rPr>
        <w:t>at</w:t>
      </w:r>
      <w:r>
        <w:rPr>
          <w:color w:val="231F20"/>
          <w:spacing w:val="-7"/>
          <w:w w:val="105"/>
        </w:rPr>
        <w:t> </w:t>
      </w:r>
      <w:r>
        <w:rPr>
          <w:color w:val="231F20"/>
          <w:w w:val="105"/>
        </w:rPr>
        <w:t>least</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initial</w:t>
      </w:r>
      <w:r>
        <w:rPr>
          <w:color w:val="231F20"/>
          <w:spacing w:val="-8"/>
          <w:w w:val="105"/>
        </w:rPr>
        <w:t> </w:t>
      </w:r>
      <w:r>
        <w:rPr>
          <w:color w:val="231F20"/>
          <w:w w:val="105"/>
        </w:rPr>
        <w:t>stages.</w:t>
      </w:r>
      <w:r>
        <w:rPr>
          <w:color w:val="231F20"/>
          <w:spacing w:val="-8"/>
          <w:w w:val="105"/>
        </w:rPr>
        <w:t> </w:t>
      </w:r>
      <w:r>
        <w:rPr>
          <w:color w:val="231F20"/>
          <w:w w:val="105"/>
        </w:rPr>
        <w:t>Because one</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primary</w:t>
      </w:r>
      <w:r>
        <w:rPr>
          <w:color w:val="231F20"/>
          <w:spacing w:val="-9"/>
          <w:w w:val="105"/>
        </w:rPr>
        <w:t> </w:t>
      </w:r>
      <w:r>
        <w:rPr>
          <w:color w:val="231F20"/>
          <w:w w:val="105"/>
        </w:rPr>
        <w:t>functions</w:t>
      </w:r>
      <w:r>
        <w:rPr>
          <w:color w:val="231F20"/>
          <w:spacing w:val="-8"/>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medulla</w:t>
      </w:r>
      <w:r>
        <w:rPr>
          <w:color w:val="231F20"/>
          <w:spacing w:val="-9"/>
          <w:w w:val="105"/>
        </w:rPr>
        <w:t> </w:t>
      </w:r>
      <w:r>
        <w:rPr>
          <w:color w:val="231F20"/>
          <w:w w:val="105"/>
        </w:rPr>
        <w:t>is</w:t>
      </w:r>
      <w:r>
        <w:rPr>
          <w:color w:val="231F20"/>
          <w:spacing w:val="-8"/>
          <w:w w:val="105"/>
        </w:rPr>
        <w:t> </w:t>
      </w:r>
      <w:r>
        <w:rPr>
          <w:color w:val="231F20"/>
          <w:w w:val="105"/>
        </w:rPr>
        <w:t>to</w:t>
      </w:r>
      <w:r>
        <w:rPr>
          <w:color w:val="231F20"/>
          <w:spacing w:val="-9"/>
          <w:w w:val="105"/>
        </w:rPr>
        <w:t> </w:t>
      </w:r>
      <w:r>
        <w:rPr>
          <w:color w:val="231F20"/>
          <w:w w:val="105"/>
        </w:rPr>
        <w:t>provide the countercurrent mechanism for concentrating urine, patients with pyelonephritis frequently have markedly impaired ability to concentrate the</w:t>
      </w:r>
      <w:r>
        <w:rPr>
          <w:color w:val="231F20"/>
          <w:spacing w:val="8"/>
          <w:w w:val="105"/>
        </w:rPr>
        <w:t> </w:t>
      </w:r>
      <w:r>
        <w:rPr>
          <w:color w:val="231F20"/>
          <w:w w:val="105"/>
        </w:rPr>
        <w:t>urine.</w:t>
      </w:r>
    </w:p>
    <w:p>
      <w:pPr>
        <w:pStyle w:val="BodyText"/>
        <w:spacing w:line="249" w:lineRule="auto" w:before="6"/>
        <w:ind w:left="319" w:right="1437" w:firstLine="240"/>
        <w:jc w:val="both"/>
      </w:pPr>
      <w:r>
        <w:rPr>
          <w:color w:val="231F20"/>
          <w:spacing w:val="-3"/>
          <w:w w:val="105"/>
        </w:rPr>
        <w:t>With </w:t>
      </w:r>
      <w:r>
        <w:rPr>
          <w:color w:val="231F20"/>
          <w:w w:val="105"/>
        </w:rPr>
        <w:t>long­standing pyelonephritis, invasion of the kidneys by bacteria not only causes damage to the</w:t>
      </w:r>
      <w:r>
        <w:rPr>
          <w:color w:val="231F20"/>
          <w:spacing w:val="-11"/>
          <w:w w:val="105"/>
        </w:rPr>
        <w:t> </w:t>
      </w:r>
      <w:r>
        <w:rPr>
          <w:color w:val="231F20"/>
          <w:w w:val="105"/>
        </w:rPr>
        <w:t>renal medulla interstitium but also results in progressive damage of renal tubules, glomeruli, and other </w:t>
      </w:r>
      <w:r>
        <w:rPr>
          <w:color w:val="231F20"/>
          <w:spacing w:val="-3"/>
          <w:w w:val="105"/>
        </w:rPr>
        <w:t>structures </w:t>
      </w:r>
      <w:r>
        <w:rPr>
          <w:color w:val="231F20"/>
          <w:w w:val="105"/>
        </w:rPr>
        <w:t>throughout</w:t>
      </w:r>
      <w:r>
        <w:rPr>
          <w:color w:val="231F20"/>
          <w:spacing w:val="-20"/>
          <w:w w:val="105"/>
        </w:rPr>
        <w:t> </w:t>
      </w:r>
      <w:r>
        <w:rPr>
          <w:color w:val="231F20"/>
          <w:w w:val="105"/>
        </w:rPr>
        <w:t>the</w:t>
      </w:r>
      <w:r>
        <w:rPr>
          <w:color w:val="231F20"/>
          <w:spacing w:val="-19"/>
          <w:w w:val="105"/>
        </w:rPr>
        <w:t> </w:t>
      </w:r>
      <w:r>
        <w:rPr>
          <w:color w:val="231F20"/>
          <w:w w:val="105"/>
        </w:rPr>
        <w:t>kidney.</w:t>
      </w:r>
      <w:r>
        <w:rPr>
          <w:color w:val="231F20"/>
          <w:spacing w:val="-19"/>
          <w:w w:val="105"/>
        </w:rPr>
        <w:t> </w:t>
      </w:r>
      <w:r>
        <w:rPr>
          <w:color w:val="231F20"/>
          <w:w w:val="105"/>
        </w:rPr>
        <w:t>Consequently,</w:t>
      </w:r>
      <w:r>
        <w:rPr>
          <w:color w:val="231F20"/>
          <w:spacing w:val="-19"/>
          <w:w w:val="105"/>
        </w:rPr>
        <w:t> </w:t>
      </w:r>
      <w:r>
        <w:rPr>
          <w:color w:val="231F20"/>
          <w:w w:val="105"/>
        </w:rPr>
        <w:t>large</w:t>
      </w:r>
      <w:r>
        <w:rPr>
          <w:color w:val="231F20"/>
          <w:spacing w:val="-19"/>
          <w:w w:val="105"/>
        </w:rPr>
        <w:t> </w:t>
      </w:r>
      <w:r>
        <w:rPr>
          <w:color w:val="231F20"/>
          <w:w w:val="105"/>
        </w:rPr>
        <w:t>parts</w:t>
      </w:r>
      <w:r>
        <w:rPr>
          <w:color w:val="231F20"/>
          <w:spacing w:val="-19"/>
          <w:w w:val="105"/>
        </w:rPr>
        <w:t> </w:t>
      </w:r>
      <w:r>
        <w:rPr>
          <w:color w:val="231F20"/>
          <w:w w:val="105"/>
        </w:rPr>
        <w:t>of</w:t>
      </w:r>
      <w:r>
        <w:rPr>
          <w:color w:val="231F20"/>
          <w:spacing w:val="-19"/>
          <w:w w:val="105"/>
        </w:rPr>
        <w:t> </w:t>
      </w:r>
      <w:r>
        <w:rPr>
          <w:color w:val="231F20"/>
          <w:spacing w:val="-4"/>
          <w:w w:val="105"/>
        </w:rPr>
        <w:t>func­ </w:t>
      </w:r>
      <w:r>
        <w:rPr>
          <w:color w:val="231F20"/>
          <w:w w:val="105"/>
        </w:rPr>
        <w:t>tional renal tissue are lost and CKD can</w:t>
      </w:r>
      <w:r>
        <w:rPr>
          <w:color w:val="231F20"/>
          <w:spacing w:val="-14"/>
          <w:w w:val="105"/>
        </w:rPr>
        <w:t> </w:t>
      </w:r>
      <w:r>
        <w:rPr>
          <w:color w:val="231F20"/>
          <w:w w:val="105"/>
        </w:rPr>
        <w:t>develop.</w:t>
      </w:r>
    </w:p>
    <w:p>
      <w:pPr>
        <w:pStyle w:val="BodyText"/>
        <w:spacing w:before="1"/>
        <w:rPr>
          <w:sz w:val="31"/>
        </w:rPr>
      </w:pPr>
    </w:p>
    <w:p>
      <w:pPr>
        <w:pStyle w:val="Heading2"/>
        <w:spacing w:line="225" w:lineRule="auto"/>
        <w:ind w:right="2004"/>
      </w:pPr>
      <w:r>
        <w:rPr>
          <w:color w:val="231F20"/>
          <w:w w:val="105"/>
        </w:rPr>
        <w:t>NEPHROTIC SYNDROME—EXCRETION OF</w:t>
      </w:r>
      <w:r>
        <w:rPr>
          <w:color w:val="231F20"/>
          <w:spacing w:val="-15"/>
          <w:w w:val="105"/>
        </w:rPr>
        <w:t> </w:t>
      </w:r>
      <w:r>
        <w:rPr>
          <w:color w:val="231F20"/>
          <w:w w:val="105"/>
        </w:rPr>
        <w:t>PROTEIN</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5"/>
          <w:w w:val="105"/>
        </w:rPr>
        <w:t> </w:t>
      </w:r>
      <w:r>
        <w:rPr>
          <w:color w:val="231F20"/>
          <w:w w:val="105"/>
        </w:rPr>
        <w:t>URINE</w:t>
      </w:r>
      <w:r>
        <w:rPr>
          <w:color w:val="231F20"/>
          <w:spacing w:val="-15"/>
          <w:w w:val="105"/>
        </w:rPr>
        <w:t> </w:t>
      </w:r>
      <w:r>
        <w:rPr>
          <w:color w:val="231F20"/>
          <w:w w:val="105"/>
        </w:rPr>
        <w:t>BECAUSE</w:t>
      </w:r>
      <w:r>
        <w:rPr>
          <w:color w:val="231F20"/>
          <w:spacing w:val="-15"/>
          <w:w w:val="105"/>
        </w:rPr>
        <w:t> </w:t>
      </w:r>
      <w:r>
        <w:rPr>
          <w:color w:val="231F20"/>
          <w:spacing w:val="-8"/>
          <w:w w:val="105"/>
        </w:rPr>
        <w:t>OF</w:t>
      </w:r>
    </w:p>
    <w:p>
      <w:pPr>
        <w:spacing w:line="243" w:lineRule="exact" w:before="0"/>
        <w:ind w:left="319" w:right="0" w:firstLine="0"/>
        <w:jc w:val="left"/>
        <w:rPr>
          <w:rFonts w:ascii="Trebuchet MS"/>
          <w:b/>
          <w:sz w:val="22"/>
        </w:rPr>
      </w:pPr>
      <w:r>
        <w:rPr>
          <w:rFonts w:ascii="Trebuchet MS"/>
          <w:b/>
          <w:color w:val="231F20"/>
          <w:w w:val="105"/>
          <w:sz w:val="22"/>
        </w:rPr>
        <w:t>INCREASED GLOMERULAR PERMEABILITY</w:t>
      </w:r>
    </w:p>
    <w:p>
      <w:pPr>
        <w:pStyle w:val="BodyText"/>
        <w:spacing w:line="249" w:lineRule="auto" w:before="124"/>
        <w:ind w:left="319" w:right="1437"/>
        <w:jc w:val="both"/>
      </w:pPr>
      <w:r>
        <w:rPr>
          <w:i/>
          <w:color w:val="231F20"/>
          <w:w w:val="105"/>
        </w:rPr>
        <w:t>Nephrotic syndrome</w:t>
      </w:r>
      <w:r>
        <w:rPr>
          <w:color w:val="231F20"/>
          <w:w w:val="105"/>
        </w:rPr>
        <w:t>, which is  characterized  by  </w:t>
      </w:r>
      <w:r>
        <w:rPr>
          <w:color w:val="231F20"/>
          <w:spacing w:val="-3"/>
          <w:w w:val="105"/>
        </w:rPr>
        <w:t>loss </w:t>
      </w:r>
      <w:r>
        <w:rPr>
          <w:color w:val="231F20"/>
          <w:w w:val="105"/>
        </w:rPr>
        <w:t>of large quantities of plasma proteins into the urine, develops in many patients with kidney disease. In </w:t>
      </w:r>
      <w:r>
        <w:rPr>
          <w:color w:val="231F20"/>
          <w:spacing w:val="-4"/>
          <w:w w:val="105"/>
        </w:rPr>
        <w:t>some </w:t>
      </w:r>
      <w:r>
        <w:rPr>
          <w:color w:val="231F20"/>
          <w:w w:val="105"/>
        </w:rPr>
        <w:t>instances, this syndrome occurs without evidence of other major abnormalities of kidney function, but </w:t>
      </w:r>
      <w:r>
        <w:rPr>
          <w:color w:val="231F20"/>
          <w:spacing w:val="-5"/>
          <w:w w:val="105"/>
        </w:rPr>
        <w:t>more </w:t>
      </w:r>
      <w:r>
        <w:rPr>
          <w:color w:val="231F20"/>
          <w:w w:val="105"/>
        </w:rPr>
        <w:t>often it is associated with some degree of</w:t>
      </w:r>
      <w:r>
        <w:rPr>
          <w:color w:val="231F20"/>
          <w:spacing w:val="-17"/>
          <w:w w:val="105"/>
        </w:rPr>
        <w:t> </w:t>
      </w:r>
      <w:r>
        <w:rPr>
          <w:color w:val="231F20"/>
          <w:w w:val="105"/>
        </w:rPr>
        <w:t>CKD.</w:t>
      </w:r>
    </w:p>
    <w:p>
      <w:pPr>
        <w:pStyle w:val="BodyText"/>
        <w:spacing w:line="249" w:lineRule="auto" w:before="5"/>
        <w:ind w:left="319" w:right="1437" w:firstLine="240"/>
        <w:jc w:val="both"/>
      </w:pPr>
      <w:r>
        <w:rPr>
          <w:color w:val="231F20"/>
        </w:rPr>
        <w:t>The cause of the protein loss in the urine is increased permeability of the glomerular membrane. Therefore, any disease that increases the permeability of this membrane can cause the nephrotic syndrome. Such diseases include</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1055"/>
          <w:pgSz w:w="12240" w:h="15660"/>
          <w:pgMar w:header="0" w:footer="567" w:top="0" w:bottom="760" w:left="0" w:right="0"/>
        </w:sectPr>
      </w:pPr>
    </w:p>
    <w:p>
      <w:pPr>
        <w:pStyle w:val="ListParagraph"/>
        <w:numPr>
          <w:ilvl w:val="1"/>
          <w:numId w:val="30"/>
        </w:numPr>
        <w:tabs>
          <w:tab w:pos="1768" w:val="left" w:leader="none"/>
        </w:tabs>
        <w:spacing w:line="249" w:lineRule="auto" w:before="100" w:after="0"/>
        <w:ind w:left="1440" w:right="0" w:firstLine="0"/>
        <w:jc w:val="both"/>
        <w:rPr>
          <w:sz w:val="20"/>
        </w:rPr>
      </w:pPr>
      <w:r>
        <w:rPr>
          <w:i/>
          <w:color w:val="231F20"/>
          <w:sz w:val="20"/>
        </w:rPr>
        <w:t>chronic glomerulonephritis, </w:t>
      </w:r>
      <w:r>
        <w:rPr>
          <w:color w:val="231F20"/>
          <w:sz w:val="20"/>
        </w:rPr>
        <w:t>which affects primarily the glomeruli and often causes greatly increased perme­ ability of the glomerular membrane; (2) </w:t>
      </w:r>
      <w:r>
        <w:rPr>
          <w:i/>
          <w:color w:val="231F20"/>
          <w:spacing w:val="-3"/>
          <w:sz w:val="20"/>
        </w:rPr>
        <w:t>amyloidosis, </w:t>
      </w:r>
      <w:r>
        <w:rPr>
          <w:color w:val="231F20"/>
          <w:sz w:val="20"/>
        </w:rPr>
        <w:t>which results from deposition of an abnormal </w:t>
      </w:r>
      <w:r>
        <w:rPr>
          <w:color w:val="231F20"/>
          <w:spacing w:val="-3"/>
          <w:sz w:val="20"/>
        </w:rPr>
        <w:t>proteinoid </w:t>
      </w:r>
      <w:r>
        <w:rPr>
          <w:color w:val="231F20"/>
          <w:sz w:val="20"/>
        </w:rPr>
        <w:t>substance in the walls of the blood vessels and seriously damages</w:t>
      </w:r>
      <w:r>
        <w:rPr>
          <w:color w:val="231F20"/>
          <w:spacing w:val="34"/>
          <w:sz w:val="20"/>
        </w:rPr>
        <w:t> </w:t>
      </w:r>
      <w:r>
        <w:rPr>
          <w:color w:val="231F20"/>
          <w:sz w:val="20"/>
        </w:rPr>
        <w:t>the</w:t>
      </w:r>
      <w:r>
        <w:rPr>
          <w:color w:val="231F20"/>
          <w:spacing w:val="34"/>
          <w:sz w:val="20"/>
        </w:rPr>
        <w:t> </w:t>
      </w:r>
      <w:r>
        <w:rPr>
          <w:color w:val="231F20"/>
          <w:sz w:val="20"/>
        </w:rPr>
        <w:t>basement</w:t>
      </w:r>
      <w:r>
        <w:rPr>
          <w:color w:val="231F20"/>
          <w:spacing w:val="35"/>
          <w:sz w:val="20"/>
        </w:rPr>
        <w:t> </w:t>
      </w:r>
      <w:r>
        <w:rPr>
          <w:color w:val="231F20"/>
          <w:sz w:val="20"/>
        </w:rPr>
        <w:t>membrane</w:t>
      </w:r>
      <w:r>
        <w:rPr>
          <w:color w:val="231F20"/>
          <w:spacing w:val="34"/>
          <w:sz w:val="20"/>
        </w:rPr>
        <w:t> </w:t>
      </w:r>
      <w:r>
        <w:rPr>
          <w:color w:val="231F20"/>
          <w:sz w:val="20"/>
        </w:rPr>
        <w:t>of</w:t>
      </w:r>
      <w:r>
        <w:rPr>
          <w:color w:val="231F20"/>
          <w:spacing w:val="34"/>
          <w:sz w:val="20"/>
        </w:rPr>
        <w:t> </w:t>
      </w:r>
      <w:r>
        <w:rPr>
          <w:color w:val="231F20"/>
          <w:sz w:val="20"/>
        </w:rPr>
        <w:t>the</w:t>
      </w:r>
      <w:r>
        <w:rPr>
          <w:color w:val="231F20"/>
          <w:spacing w:val="35"/>
          <w:sz w:val="20"/>
        </w:rPr>
        <w:t> </w:t>
      </w:r>
      <w:r>
        <w:rPr>
          <w:color w:val="231F20"/>
          <w:sz w:val="20"/>
        </w:rPr>
        <w:t>glomeruli;</w:t>
      </w:r>
      <w:r>
        <w:rPr>
          <w:color w:val="231F20"/>
          <w:spacing w:val="34"/>
          <w:sz w:val="20"/>
        </w:rPr>
        <w:t> </w:t>
      </w:r>
      <w:r>
        <w:rPr>
          <w:color w:val="231F20"/>
          <w:spacing w:val="-4"/>
          <w:sz w:val="20"/>
        </w:rPr>
        <w:t>and</w:t>
      </w:r>
    </w:p>
    <w:p>
      <w:pPr>
        <w:pStyle w:val="BodyText"/>
        <w:spacing w:line="249" w:lineRule="auto" w:before="4"/>
        <w:ind w:left="1440"/>
        <w:jc w:val="both"/>
      </w:pPr>
      <w:r>
        <w:rPr>
          <w:color w:val="231F20"/>
        </w:rPr>
        <w:t>(3) </w:t>
      </w:r>
      <w:r>
        <w:rPr>
          <w:i/>
          <w:color w:val="231F20"/>
        </w:rPr>
        <w:t>minimal change nephrotic syndrome, </w:t>
      </w:r>
      <w:r>
        <w:rPr>
          <w:color w:val="231F20"/>
        </w:rPr>
        <w:t>which is associ­ ated with no major abnormality in the glomerular </w:t>
      </w:r>
      <w:r>
        <w:rPr>
          <w:color w:val="231F20"/>
          <w:spacing w:val="-3"/>
        </w:rPr>
        <w:t>capil­ </w:t>
      </w:r>
      <w:r>
        <w:rPr>
          <w:color w:val="231F20"/>
        </w:rPr>
        <w:t>lary membrane that can be detected with light </w:t>
      </w:r>
      <w:r>
        <w:rPr>
          <w:color w:val="231F20"/>
          <w:spacing w:val="-4"/>
        </w:rPr>
        <w:t>microscopy. </w:t>
      </w:r>
      <w:r>
        <w:rPr>
          <w:color w:val="231F20"/>
        </w:rPr>
        <w:t>As discussed in Chapter 27, minimal change </w:t>
      </w:r>
      <w:r>
        <w:rPr>
          <w:color w:val="231F20"/>
          <w:spacing w:val="-3"/>
        </w:rPr>
        <w:t>nephropathy </w:t>
      </w:r>
      <w:r>
        <w:rPr>
          <w:color w:val="231F20"/>
        </w:rPr>
        <w:t>has been found to be associated with loss of the </w:t>
      </w:r>
      <w:r>
        <w:rPr>
          <w:color w:val="231F20"/>
          <w:spacing w:val="-3"/>
        </w:rPr>
        <w:t>negative </w:t>
      </w:r>
      <w:r>
        <w:rPr>
          <w:color w:val="231F20"/>
        </w:rPr>
        <w:t>charges that are normally present in the glomerular </w:t>
      </w:r>
      <w:r>
        <w:rPr>
          <w:color w:val="231F20"/>
          <w:spacing w:val="-3"/>
        </w:rPr>
        <w:t>capil­ </w:t>
      </w:r>
      <w:r>
        <w:rPr>
          <w:color w:val="231F20"/>
        </w:rPr>
        <w:t>lary basement membrane. Immunological studies </w:t>
      </w:r>
      <w:r>
        <w:rPr>
          <w:color w:val="231F20"/>
          <w:spacing w:val="-6"/>
        </w:rPr>
        <w:t>have </w:t>
      </w:r>
      <w:r>
        <w:rPr>
          <w:color w:val="231F20"/>
        </w:rPr>
        <w:t>also shown abnormal immune reactions in some cases, suggesting that the loss of the negative charges may </w:t>
      </w:r>
      <w:r>
        <w:rPr>
          <w:color w:val="231F20"/>
          <w:spacing w:val="-5"/>
        </w:rPr>
        <w:t>have </w:t>
      </w:r>
      <w:r>
        <w:rPr>
          <w:color w:val="231F20"/>
        </w:rPr>
        <w:t>resulted from antibody attack on the membrane. Loss </w:t>
      </w:r>
      <w:r>
        <w:rPr>
          <w:color w:val="231F20"/>
          <w:spacing w:val="-6"/>
        </w:rPr>
        <w:t>of </w:t>
      </w:r>
      <w:r>
        <w:rPr>
          <w:color w:val="231F20"/>
        </w:rPr>
        <w:t>normal negative charges in the basement membrane of </w:t>
      </w:r>
      <w:r>
        <w:rPr>
          <w:color w:val="231F20"/>
          <w:spacing w:val="-5"/>
        </w:rPr>
        <w:t>the </w:t>
      </w:r>
      <w:r>
        <w:rPr>
          <w:color w:val="231F20"/>
        </w:rPr>
        <w:t>glomerular capillaries allows proteins, especially albumin, to pass through the glomerular membrane with </w:t>
      </w:r>
      <w:r>
        <w:rPr>
          <w:color w:val="231F20"/>
          <w:spacing w:val="-3"/>
        </w:rPr>
        <w:t>ease </w:t>
      </w:r>
      <w:r>
        <w:rPr>
          <w:color w:val="231F20"/>
        </w:rPr>
        <w:t>because the negative charges in the basement membrane normally repel the negatively charged plasma</w:t>
      </w:r>
      <w:r>
        <w:rPr>
          <w:color w:val="231F20"/>
          <w:spacing w:val="10"/>
        </w:rPr>
        <w:t> </w:t>
      </w:r>
      <w:r>
        <w:rPr>
          <w:color w:val="231F20"/>
        </w:rPr>
        <w:t>proteins.</w:t>
      </w:r>
    </w:p>
    <w:p>
      <w:pPr>
        <w:pStyle w:val="BodyText"/>
        <w:spacing w:line="249" w:lineRule="auto" w:before="13"/>
        <w:ind w:left="1440" w:firstLine="240"/>
        <w:jc w:val="both"/>
      </w:pPr>
      <w:r>
        <w:rPr>
          <w:color w:val="231F20"/>
          <w:w w:val="105"/>
        </w:rPr>
        <w:t>Minimal­change</w:t>
      </w:r>
      <w:r>
        <w:rPr>
          <w:color w:val="231F20"/>
          <w:spacing w:val="-10"/>
          <w:w w:val="105"/>
        </w:rPr>
        <w:t> </w:t>
      </w:r>
      <w:r>
        <w:rPr>
          <w:color w:val="231F20"/>
          <w:w w:val="105"/>
        </w:rPr>
        <w:t>nephropathy</w:t>
      </w:r>
      <w:r>
        <w:rPr>
          <w:color w:val="231F20"/>
          <w:spacing w:val="-10"/>
          <w:w w:val="105"/>
        </w:rPr>
        <w:t> </w:t>
      </w:r>
      <w:r>
        <w:rPr>
          <w:color w:val="231F20"/>
          <w:w w:val="105"/>
        </w:rPr>
        <w:t>can</w:t>
      </w:r>
      <w:r>
        <w:rPr>
          <w:color w:val="231F20"/>
          <w:spacing w:val="-9"/>
          <w:w w:val="105"/>
        </w:rPr>
        <w:t> </w:t>
      </w:r>
      <w:r>
        <w:rPr>
          <w:color w:val="231F20"/>
          <w:w w:val="105"/>
        </w:rPr>
        <w:t>occur</w:t>
      </w:r>
      <w:r>
        <w:rPr>
          <w:color w:val="231F20"/>
          <w:spacing w:val="-10"/>
          <w:w w:val="105"/>
        </w:rPr>
        <w:t> </w:t>
      </w:r>
      <w:r>
        <w:rPr>
          <w:color w:val="231F20"/>
          <w:w w:val="105"/>
        </w:rPr>
        <w:t>in</w:t>
      </w:r>
      <w:r>
        <w:rPr>
          <w:color w:val="231F20"/>
          <w:spacing w:val="-10"/>
          <w:w w:val="105"/>
        </w:rPr>
        <w:t> </w:t>
      </w:r>
      <w:r>
        <w:rPr>
          <w:color w:val="231F20"/>
          <w:w w:val="105"/>
        </w:rPr>
        <w:t>adults,</w:t>
      </w:r>
      <w:r>
        <w:rPr>
          <w:color w:val="231F20"/>
          <w:spacing w:val="-9"/>
          <w:w w:val="105"/>
        </w:rPr>
        <w:t> </w:t>
      </w:r>
      <w:r>
        <w:rPr>
          <w:color w:val="231F20"/>
          <w:spacing w:val="-5"/>
          <w:w w:val="105"/>
        </w:rPr>
        <w:t>but </w:t>
      </w:r>
      <w:r>
        <w:rPr>
          <w:color w:val="231F20"/>
          <w:w w:val="105"/>
        </w:rPr>
        <w:t>more</w:t>
      </w:r>
      <w:r>
        <w:rPr>
          <w:color w:val="231F20"/>
          <w:spacing w:val="-14"/>
          <w:w w:val="105"/>
        </w:rPr>
        <w:t> </w:t>
      </w:r>
      <w:r>
        <w:rPr>
          <w:color w:val="231F20"/>
          <w:w w:val="105"/>
        </w:rPr>
        <w:t>frequently</w:t>
      </w:r>
      <w:r>
        <w:rPr>
          <w:color w:val="231F20"/>
          <w:spacing w:val="-13"/>
          <w:w w:val="105"/>
        </w:rPr>
        <w:t> </w:t>
      </w:r>
      <w:r>
        <w:rPr>
          <w:color w:val="231F20"/>
          <w:w w:val="105"/>
        </w:rPr>
        <w:t>it</w:t>
      </w:r>
      <w:r>
        <w:rPr>
          <w:color w:val="231F20"/>
          <w:spacing w:val="-13"/>
          <w:w w:val="105"/>
        </w:rPr>
        <w:t> </w:t>
      </w:r>
      <w:r>
        <w:rPr>
          <w:color w:val="231F20"/>
          <w:w w:val="105"/>
        </w:rPr>
        <w:t>occurs</w:t>
      </w:r>
      <w:r>
        <w:rPr>
          <w:color w:val="231F20"/>
          <w:spacing w:val="-13"/>
          <w:w w:val="105"/>
        </w:rPr>
        <w:t> </w:t>
      </w:r>
      <w:r>
        <w:rPr>
          <w:color w:val="231F20"/>
          <w:w w:val="105"/>
        </w:rPr>
        <w:t>in</w:t>
      </w:r>
      <w:r>
        <w:rPr>
          <w:color w:val="231F20"/>
          <w:spacing w:val="-14"/>
          <w:w w:val="105"/>
        </w:rPr>
        <w:t> </w:t>
      </w:r>
      <w:r>
        <w:rPr>
          <w:color w:val="231F20"/>
          <w:w w:val="105"/>
        </w:rPr>
        <w:t>children</w:t>
      </w:r>
      <w:r>
        <w:rPr>
          <w:color w:val="231F20"/>
          <w:spacing w:val="-13"/>
          <w:w w:val="105"/>
        </w:rPr>
        <w:t> </w:t>
      </w:r>
      <w:r>
        <w:rPr>
          <w:color w:val="231F20"/>
          <w:w w:val="105"/>
        </w:rPr>
        <w:t>between</w:t>
      </w:r>
      <w:r>
        <w:rPr>
          <w:color w:val="231F20"/>
          <w:spacing w:val="-13"/>
          <w:w w:val="105"/>
        </w:rPr>
        <w:t> </w:t>
      </w:r>
      <w:r>
        <w:rPr>
          <w:color w:val="231F20"/>
          <w:w w:val="105"/>
        </w:rPr>
        <w:t>the</w:t>
      </w:r>
      <w:r>
        <w:rPr>
          <w:color w:val="231F20"/>
          <w:spacing w:val="-13"/>
          <w:w w:val="105"/>
        </w:rPr>
        <w:t> </w:t>
      </w:r>
      <w:r>
        <w:rPr>
          <w:color w:val="231F20"/>
          <w:w w:val="105"/>
        </w:rPr>
        <w:t>ages</w:t>
      </w:r>
      <w:r>
        <w:rPr>
          <w:color w:val="231F20"/>
          <w:spacing w:val="-14"/>
          <w:w w:val="105"/>
        </w:rPr>
        <w:t> </w:t>
      </w:r>
      <w:r>
        <w:rPr>
          <w:color w:val="231F20"/>
          <w:w w:val="105"/>
        </w:rPr>
        <w:t>of 2 and 6 years. Increased permeability of the glomerular capillary membrane occasionally allows as much as </w:t>
      </w:r>
      <w:r>
        <w:rPr>
          <w:color w:val="231F20"/>
          <w:spacing w:val="-6"/>
          <w:w w:val="105"/>
        </w:rPr>
        <w:t>40 </w:t>
      </w:r>
      <w:r>
        <w:rPr>
          <w:color w:val="231F20"/>
          <w:w w:val="105"/>
        </w:rPr>
        <w:t>grams of plasma protein loss into the urine each </w:t>
      </w:r>
      <w:r>
        <w:rPr>
          <w:color w:val="231F20"/>
          <w:spacing w:val="-4"/>
          <w:w w:val="105"/>
        </w:rPr>
        <w:t>day, </w:t>
      </w:r>
      <w:r>
        <w:rPr>
          <w:color w:val="231F20"/>
          <w:w w:val="105"/>
        </w:rPr>
        <w:t>which</w:t>
      </w:r>
      <w:r>
        <w:rPr>
          <w:color w:val="231F20"/>
          <w:spacing w:val="-17"/>
          <w:w w:val="105"/>
        </w:rPr>
        <w:t> </w:t>
      </w:r>
      <w:r>
        <w:rPr>
          <w:color w:val="231F20"/>
          <w:w w:val="105"/>
        </w:rPr>
        <w:t>is</w:t>
      </w:r>
      <w:r>
        <w:rPr>
          <w:color w:val="231F20"/>
          <w:spacing w:val="-17"/>
          <w:w w:val="105"/>
        </w:rPr>
        <w:t> </w:t>
      </w:r>
      <w:r>
        <w:rPr>
          <w:color w:val="231F20"/>
          <w:w w:val="105"/>
        </w:rPr>
        <w:t>an</w:t>
      </w:r>
      <w:r>
        <w:rPr>
          <w:color w:val="231F20"/>
          <w:spacing w:val="-17"/>
          <w:w w:val="105"/>
        </w:rPr>
        <w:t> </w:t>
      </w:r>
      <w:r>
        <w:rPr>
          <w:color w:val="231F20"/>
          <w:w w:val="105"/>
        </w:rPr>
        <w:t>extreme</w:t>
      </w:r>
      <w:r>
        <w:rPr>
          <w:color w:val="231F20"/>
          <w:spacing w:val="-16"/>
          <w:w w:val="105"/>
        </w:rPr>
        <w:t> </w:t>
      </w:r>
      <w:r>
        <w:rPr>
          <w:color w:val="231F20"/>
          <w:w w:val="105"/>
        </w:rPr>
        <w:t>amount</w:t>
      </w:r>
      <w:r>
        <w:rPr>
          <w:color w:val="231F20"/>
          <w:spacing w:val="-16"/>
          <w:w w:val="105"/>
        </w:rPr>
        <w:t> </w:t>
      </w:r>
      <w:r>
        <w:rPr>
          <w:color w:val="231F20"/>
          <w:w w:val="105"/>
        </w:rPr>
        <w:t>for</w:t>
      </w:r>
      <w:r>
        <w:rPr>
          <w:color w:val="231F20"/>
          <w:spacing w:val="-17"/>
          <w:w w:val="105"/>
        </w:rPr>
        <w:t> </w:t>
      </w:r>
      <w:r>
        <w:rPr>
          <w:color w:val="231F20"/>
          <w:w w:val="105"/>
        </w:rPr>
        <w:t>a</w:t>
      </w:r>
      <w:r>
        <w:rPr>
          <w:color w:val="231F20"/>
          <w:spacing w:val="-16"/>
          <w:w w:val="105"/>
        </w:rPr>
        <w:t> </w:t>
      </w:r>
      <w:r>
        <w:rPr>
          <w:color w:val="231F20"/>
          <w:w w:val="105"/>
        </w:rPr>
        <w:t>young</w:t>
      </w:r>
      <w:r>
        <w:rPr>
          <w:color w:val="231F20"/>
          <w:spacing w:val="-18"/>
          <w:w w:val="105"/>
        </w:rPr>
        <w:t> </w:t>
      </w:r>
      <w:r>
        <w:rPr>
          <w:color w:val="231F20"/>
          <w:w w:val="105"/>
        </w:rPr>
        <w:t>child.</w:t>
      </w:r>
      <w:r>
        <w:rPr>
          <w:color w:val="231F20"/>
          <w:spacing w:val="-17"/>
          <w:w w:val="105"/>
        </w:rPr>
        <w:t> </w:t>
      </w:r>
      <w:r>
        <w:rPr>
          <w:color w:val="231F20"/>
          <w:spacing w:val="-3"/>
          <w:w w:val="105"/>
        </w:rPr>
        <w:t>Therefore,</w:t>
      </w:r>
    </w:p>
    <w:p>
      <w:pPr>
        <w:spacing w:before="127"/>
        <w:ind w:left="0" w:right="244" w:firstLine="0"/>
        <w:jc w:val="right"/>
        <w:rPr>
          <w:rFonts w:ascii="Helvetica"/>
          <w:sz w:val="16"/>
        </w:rPr>
      </w:pPr>
      <w:r>
        <w:rPr/>
        <w:br w:type="column"/>
      </w:r>
      <w:r>
        <w:rPr>
          <w:rFonts w:ascii="Helvetica"/>
          <w:color w:val="231F20"/>
          <w:w w:val="95"/>
          <w:sz w:val="16"/>
        </w:rPr>
        <w:t>100</w:t>
      </w:r>
    </w:p>
    <w:p>
      <w:pPr>
        <w:pStyle w:val="BodyText"/>
        <w:rPr>
          <w:rFonts w:ascii="Helvetica"/>
          <w:sz w:val="18"/>
        </w:rPr>
      </w:pPr>
    </w:p>
    <w:p>
      <w:pPr>
        <w:pStyle w:val="BodyText"/>
        <w:rPr>
          <w:rFonts w:ascii="Helvetica"/>
          <w:sz w:val="18"/>
        </w:rPr>
      </w:pPr>
    </w:p>
    <w:p>
      <w:pPr>
        <w:spacing w:before="121"/>
        <w:ind w:left="0" w:right="244" w:firstLine="0"/>
        <w:jc w:val="right"/>
        <w:rPr>
          <w:rFonts w:ascii="Helvetica"/>
          <w:sz w:val="16"/>
        </w:rPr>
      </w:pPr>
      <w:r>
        <w:rPr/>
        <w:pict>
          <v:group style="position:absolute;margin-left:378.112305pt;margin-top:-26.739567pt;width:154.7pt;height:77.6pt;mso-position-horizontal-relative:page;mso-position-vertical-relative:paragraph;z-index:253300736" coordorigin="7562,-535" coordsize="3094,1552">
            <v:shape style="position:absolute;left:-75;top:13985;width:3082;height:1533" coordorigin="-74,13985" coordsize="3082,1533" path="m7637,-506l7562,-506m7637,211l7562,211m7637,928l7562,928m7700,943l7700,1017m7637,-516l7637,937m8433,942l8433,1016m9167,941l9167,1015m9901,940l9901,1014m10634,939l10634,1013m7630,938l10643,938e" filled="false" stroked="true" strokeweight="1pt" strokecolor="#231f20">
              <v:path arrowok="t"/>
              <v:stroke dashstyle="solid"/>
            </v:shape>
            <v:shape style="position:absolute;left:7763;top:-515;width:2873;height:788" coordorigin="7763,-515" coordsize="2873,788" path="m7763,-515l8422,-515,8422,273,10636,273e" filled="false" stroked="true" strokeweight="2pt" strokecolor="#f0535f">
              <v:path arrowok="t"/>
              <v:stroke dashstyle="solid"/>
            </v:shape>
            <w10:wrap type="none"/>
          </v:group>
        </w:pict>
      </w:r>
      <w:r>
        <w:rPr/>
        <w:pict>
          <v:shape style="position:absolute;margin-left:346.679688pt;margin-top:-15.641368pt;width:11.55pt;height:52.25pt;mso-position-horizontal-relative:page;mso-position-vertical-relative:paragraph;z-index:253304832"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GFR (ml/min)</w:t>
                  </w:r>
                </w:p>
              </w:txbxContent>
            </v:textbox>
            <w10:wrap type="none"/>
          </v:shape>
        </w:pict>
      </w:r>
      <w:r>
        <w:rPr>
          <w:rFonts w:ascii="Helvetica"/>
          <w:color w:val="231F20"/>
          <w:w w:val="95"/>
          <w:sz w:val="16"/>
        </w:rPr>
        <w:t>50</w:t>
      </w:r>
    </w:p>
    <w:p>
      <w:pPr>
        <w:pStyle w:val="BodyText"/>
        <w:rPr>
          <w:rFonts w:ascii="Helvetica"/>
          <w:sz w:val="18"/>
        </w:rPr>
      </w:pPr>
    </w:p>
    <w:p>
      <w:pPr>
        <w:pStyle w:val="BodyText"/>
        <w:rPr>
          <w:rFonts w:ascii="Helvetica"/>
          <w:sz w:val="18"/>
        </w:rPr>
      </w:pPr>
    </w:p>
    <w:p>
      <w:pPr>
        <w:spacing w:before="122"/>
        <w:ind w:left="0" w:right="244" w:firstLine="0"/>
        <w:jc w:val="right"/>
        <w:rPr>
          <w:rFonts w:ascii="Helvetica"/>
          <w:sz w:val="16"/>
        </w:rPr>
      </w:pPr>
      <w:r>
        <w:rPr>
          <w:rFonts w:ascii="Helvetica"/>
          <w:color w:val="231F20"/>
          <w:w w:val="99"/>
          <w:sz w:val="16"/>
        </w:rPr>
        <w:t>0</w:t>
      </w:r>
    </w:p>
    <w:p>
      <w:pPr>
        <w:pStyle w:val="BodyText"/>
        <w:rPr>
          <w:rFonts w:ascii="Helvetica"/>
          <w:sz w:val="18"/>
        </w:rPr>
      </w:pPr>
    </w:p>
    <w:p>
      <w:pPr>
        <w:pStyle w:val="BodyText"/>
        <w:rPr>
          <w:rFonts w:ascii="Helvetica"/>
          <w:sz w:val="18"/>
        </w:rPr>
      </w:pPr>
    </w:p>
    <w:p>
      <w:pPr>
        <w:spacing w:before="145"/>
        <w:ind w:left="0" w:right="244" w:firstLine="0"/>
        <w:jc w:val="right"/>
        <w:rPr>
          <w:rFonts w:ascii="Helvetica"/>
          <w:sz w:val="16"/>
        </w:rPr>
      </w:pPr>
      <w:r>
        <w:rPr/>
        <w:pict>
          <v:group style="position:absolute;margin-left:378.112305pt;margin-top:11.337936pt;width:154.75pt;height:76.7pt;mso-position-horizontal-relative:page;mso-position-vertical-relative:paragraph;z-index:253299712" coordorigin="7562,227" coordsize="3095,1534">
            <v:shape style="position:absolute;left:-75;top:12545;width:3082;height:1533" coordorigin="-74,12546" coordsize="3082,1533" path="m7637,237l7562,237m7637,954l7562,954m7637,1671l7562,1671m7700,1686l7700,1760m7637,227l7637,1680m8433,1685l8433,1759m9167,1684l9167,1758m9901,1683l9901,1757m10634,1682l10634,1756m7630,1681l10643,1681e" filled="false" stroked="true" strokeweight="1pt" strokecolor="#231f20">
              <v:path arrowok="t"/>
              <v:stroke dashstyle="solid"/>
            </v:shape>
            <v:shape style="position:absolute;left:7736;top:270;width:2900;height:687" coordorigin="7737,271" coordsize="2900,687" path="m7737,957l8427,957,8492,661,8610,497,8870,409,9357,337,9911,283,10312,271,10555,280,10637,287e" filled="false" stroked="true" strokeweight="2pt" strokecolor="#f0535f">
              <v:path arrowok="t"/>
              <v:stroke dashstyle="solid"/>
            </v:shape>
            <w10:wrap type="none"/>
          </v:group>
        </w:pict>
      </w:r>
      <w:r>
        <w:rPr/>
        <w:pict>
          <v:shape style="position:absolute;margin-left:345.929688pt;margin-top:4.719927pt;width:20.55pt;height:83.8pt;mso-position-horizontal-relative:page;mso-position-vertical-relative:paragraph;z-index:253303808" type="#_x0000_t202" filled="false" stroked="false">
            <v:textbox inset="0,0,0,0" style="layout-flow:vertical;mso-layout-flow-alt:bottom-to-top">
              <w:txbxContent>
                <w:p>
                  <w:pPr>
                    <w:spacing w:line="235" w:lineRule="auto" w:before="27"/>
                    <w:ind w:left="20" w:right="0" w:firstLine="168"/>
                    <w:jc w:val="left"/>
                    <w:rPr>
                      <w:rFonts w:ascii="Helvetica"/>
                      <w:b/>
                      <w:sz w:val="16"/>
                    </w:rPr>
                  </w:pPr>
                  <w:r>
                    <w:rPr>
                      <w:rFonts w:ascii="Helvetica"/>
                      <w:b/>
                      <w:color w:val="231F20"/>
                      <w:sz w:val="16"/>
                    </w:rPr>
                    <w:t>Serum creatinine concentration (mg/dl)</w:t>
                  </w:r>
                </w:p>
              </w:txbxContent>
            </v:textbox>
            <w10:wrap type="none"/>
          </v:shape>
        </w:pict>
      </w:r>
      <w:r>
        <w:rPr>
          <w:rFonts w:ascii="Helvetica"/>
          <w:color w:val="231F20"/>
          <w:w w:val="99"/>
          <w:sz w:val="16"/>
        </w:rPr>
        <w:t>2</w:t>
      </w:r>
    </w:p>
    <w:p>
      <w:pPr>
        <w:pStyle w:val="BodyText"/>
        <w:rPr>
          <w:rFonts w:ascii="Helvetica"/>
          <w:sz w:val="18"/>
        </w:rPr>
      </w:pPr>
    </w:p>
    <w:p>
      <w:pPr>
        <w:pStyle w:val="BodyText"/>
        <w:rPr>
          <w:rFonts w:ascii="Helvetica"/>
          <w:sz w:val="18"/>
        </w:rPr>
      </w:pPr>
    </w:p>
    <w:p>
      <w:pPr>
        <w:spacing w:before="121"/>
        <w:ind w:left="0" w:right="244" w:firstLine="0"/>
        <w:jc w:val="right"/>
        <w:rPr>
          <w:rFonts w:ascii="Helvetica"/>
          <w:sz w:val="16"/>
        </w:rPr>
      </w:pPr>
      <w:r>
        <w:rPr>
          <w:rFonts w:ascii="Helvetica"/>
          <w:color w:val="231F20"/>
          <w:w w:val="99"/>
          <w:sz w:val="16"/>
        </w:rPr>
        <w:t>1</w:t>
      </w:r>
    </w:p>
    <w:p>
      <w:pPr>
        <w:pStyle w:val="BodyText"/>
        <w:rPr>
          <w:rFonts w:ascii="Helvetica"/>
          <w:sz w:val="18"/>
        </w:rPr>
      </w:pPr>
    </w:p>
    <w:p>
      <w:pPr>
        <w:pStyle w:val="BodyText"/>
        <w:rPr>
          <w:rFonts w:ascii="Helvetica"/>
          <w:sz w:val="18"/>
        </w:rPr>
      </w:pPr>
    </w:p>
    <w:p>
      <w:pPr>
        <w:spacing w:before="122"/>
        <w:ind w:left="0" w:right="244" w:firstLine="0"/>
        <w:jc w:val="right"/>
        <w:rPr>
          <w:rFonts w:ascii="Helvetica"/>
          <w:sz w:val="16"/>
        </w:rPr>
      </w:pPr>
      <w:r>
        <w:rPr>
          <w:rFonts w:ascii="Helvetica"/>
          <w:color w:val="231F20"/>
          <w:w w:val="99"/>
          <w:sz w:val="16"/>
        </w:rPr>
        <w:t>0</w:t>
      </w:r>
    </w:p>
    <w:p>
      <w:pPr>
        <w:pStyle w:val="BodyText"/>
        <w:rPr>
          <w:rFonts w:ascii="Helvetica"/>
          <w:sz w:val="18"/>
        </w:rPr>
      </w:pPr>
    </w:p>
    <w:p>
      <w:pPr>
        <w:pStyle w:val="BodyText"/>
        <w:rPr>
          <w:rFonts w:ascii="Helvetica"/>
          <w:sz w:val="18"/>
        </w:rPr>
      </w:pPr>
    </w:p>
    <w:p>
      <w:pPr>
        <w:pStyle w:val="BodyText"/>
        <w:spacing w:before="6"/>
        <w:rPr>
          <w:rFonts w:ascii="Helvetica"/>
          <w:sz w:val="16"/>
        </w:rPr>
      </w:pPr>
    </w:p>
    <w:p>
      <w:pPr>
        <w:spacing w:before="0"/>
        <w:ind w:left="0" w:right="244" w:firstLine="0"/>
        <w:jc w:val="right"/>
        <w:rPr>
          <w:rFonts w:ascii="Helvetica"/>
          <w:sz w:val="16"/>
        </w:rPr>
      </w:pPr>
      <w:r>
        <w:rPr/>
        <w:pict>
          <v:group style="position:absolute;margin-left:378.112305pt;margin-top:.109909pt;width:154.1pt;height:80.650pt;mso-position-horizontal-relative:page;mso-position-vertical-relative:paragraph;z-index:-272106496" coordorigin="7562,2" coordsize="3082,1613">
            <v:shape style="position:absolute;left:-75;top:10174;width:3082;height:1533" coordorigin="-74,10174" coordsize="3082,1533" path="m7637,92l7562,92m7637,809l7562,809m7637,1526l7562,1526m7700,1541l7700,1615m7637,82l7637,1535m8433,1540l8433,1614m9167,1539l9167,1613m9901,1538l9901,1612m10634,1537l10634,1611m7630,1536l10643,1536e" filled="false" stroked="true" strokeweight="1pt" strokecolor="#231f20">
              <v:path arrowok="t"/>
              <v:stroke dashstyle="solid"/>
            </v:shape>
            <v:shape style="position:absolute;left:8387;top:179;width:906;height:691" coordorigin="8387,180" coordsize="906,691" path="m9292,180l8387,181,8387,870,8537,515,8681,328,8905,248,9292,213,9292,180xe" filled="true" fillcolor="#d4e5f3" stroked="false">
              <v:path arrowok="t"/>
              <v:fill type="solid"/>
            </v:shape>
            <v:shape style="position:absolute;left:7742;top:213;width:2871;height:658" coordorigin="7742,213" coordsize="2871,658" path="m7742,213l8387,213,8387,870,8537,515,8681,328,8905,248,9292,213,10613,213e" filled="false" stroked="true" strokeweight="1.25pt" strokecolor="#f0535f">
              <v:path arrowok="t"/>
              <v:stroke dashstyle="solid"/>
            </v:shape>
            <v:shape style="position:absolute;left:0;top:10145;width:94;height:38" coordorigin="0,10146" coordsize="94,38" path="m9393,639l9487,639m9485,604l9472,615,9464,619,9454,616,9440,607,9422,601,9408,603,9398,608,9394,611e" filled="false" stroked="true" strokeweight=".5pt" strokecolor="#231f20">
              <v:path arrowok="t"/>
              <v:stroke dashstyle="solid"/>
            </v:shape>
            <v:shape style="position:absolute;left:0;top:10183;width:254;height:520" coordorigin="0,10184" coordsize="254,520" path="m8697,2l8697,282m8950,522l8843,349e" filled="false" stroked="true" strokeweight=".75pt" strokecolor="#231f20">
              <v:path arrowok="t"/>
              <v:stroke dashstyle="solid"/>
            </v:shape>
            <w10:wrap type="none"/>
          </v:group>
        </w:pict>
      </w:r>
      <w:r>
        <w:rPr/>
        <w:pict>
          <v:shape style="position:absolute;margin-left:345.929688pt;margin-top:-11.423089pt;width:20.55pt;height:101.6pt;mso-position-horizontal-relative:page;mso-position-vertical-relative:paragraph;z-index:253302784" type="#_x0000_t202" filled="false" stroked="false">
            <v:textbox inset="0,0,0,0" style="layout-flow:vertical;mso-layout-flow-alt:bottom-to-top">
              <w:txbxContent>
                <w:p>
                  <w:pPr>
                    <w:spacing w:line="235" w:lineRule="auto" w:before="27"/>
                    <w:ind w:left="162" w:right="1" w:hanging="143"/>
                    <w:jc w:val="left"/>
                    <w:rPr>
                      <w:rFonts w:ascii="Helvetica"/>
                      <w:b/>
                      <w:sz w:val="16"/>
                    </w:rPr>
                  </w:pPr>
                  <w:r>
                    <w:rPr>
                      <w:rFonts w:ascii="Helvetica"/>
                      <w:b/>
                      <w:color w:val="231F20"/>
                      <w:sz w:val="16"/>
                    </w:rPr>
                    <w:t>Creatinine production and renal excretion (g/day)</w:t>
                  </w:r>
                </w:p>
              </w:txbxContent>
            </v:textbox>
            <w10:wrap type="none"/>
          </v:shape>
        </w:pict>
      </w:r>
      <w:r>
        <w:rPr/>
        <w:pict>
          <v:shape style="position:absolute;margin-left:386.491516pt;margin-top:-.515091pt;width:146.050pt;height:10.3pt;mso-position-horizontal-relative:page;mso-position-vertical-relative:paragraph;z-index:2533058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4"/>
                    <w:gridCol w:w="1426"/>
                    <w:gridCol w:w="501"/>
                  </w:tblGrid>
                  <w:tr>
                    <w:trPr>
                      <w:trHeight w:val="165" w:hRule="atLeast"/>
                    </w:trPr>
                    <w:tc>
                      <w:tcPr>
                        <w:tcW w:w="954" w:type="dxa"/>
                        <w:tcBorders>
                          <w:bottom w:val="dashSmallGap" w:sz="12" w:space="0" w:color="F0535F"/>
                          <w:right w:val="single" w:sz="6" w:space="0" w:color="231F20"/>
                        </w:tcBorders>
                      </w:tcPr>
                      <w:p>
                        <w:pPr>
                          <w:pStyle w:val="TableParagraph"/>
                          <w:spacing w:before="0"/>
                          <w:rPr>
                            <w:rFonts w:ascii="Times New Roman"/>
                            <w:sz w:val="10"/>
                          </w:rPr>
                        </w:pPr>
                      </w:p>
                    </w:tc>
                    <w:tc>
                      <w:tcPr>
                        <w:tcW w:w="1426" w:type="dxa"/>
                        <w:tcBorders>
                          <w:left w:val="single" w:sz="6" w:space="0" w:color="231F20"/>
                          <w:bottom w:val="dashSmallGap" w:sz="12" w:space="0" w:color="F0535F"/>
                          <w:right w:val="single" w:sz="6" w:space="0" w:color="231F20"/>
                        </w:tcBorders>
                      </w:tcPr>
                      <w:p>
                        <w:pPr>
                          <w:pStyle w:val="TableParagraph"/>
                          <w:spacing w:before="0"/>
                          <w:rPr>
                            <w:rFonts w:ascii="Times New Roman"/>
                            <w:sz w:val="10"/>
                          </w:rPr>
                        </w:pPr>
                      </w:p>
                    </w:tc>
                    <w:tc>
                      <w:tcPr>
                        <w:tcW w:w="501" w:type="dxa"/>
                        <w:tcBorders>
                          <w:left w:val="single" w:sz="6" w:space="0" w:color="231F20"/>
                          <w:bottom w:val="dashSmallGap" w:sz="12" w:space="0" w:color="F0535F"/>
                        </w:tcBorders>
                      </w:tcPr>
                      <w:p>
                        <w:pPr>
                          <w:pStyle w:val="TableParagraph"/>
                          <w:spacing w:before="0"/>
                          <w:rPr>
                            <w:rFonts w:ascii="Times New Roman"/>
                            <w:sz w:val="10"/>
                          </w:rPr>
                        </w:pPr>
                      </w:p>
                    </w:tc>
                  </w:tr>
                </w:tbl>
                <w:p>
                  <w:pPr>
                    <w:pStyle w:val="BodyText"/>
                  </w:pPr>
                </w:p>
              </w:txbxContent>
            </v:textbox>
            <w10:wrap type="none"/>
          </v:shape>
        </w:pict>
      </w:r>
      <w:r>
        <w:rPr>
          <w:rFonts w:ascii="Helvetica"/>
          <w:color w:val="231F20"/>
          <w:w w:val="99"/>
          <w:sz w:val="16"/>
        </w:rPr>
        <w:t>2</w:t>
      </w:r>
    </w:p>
    <w:p>
      <w:pPr>
        <w:pStyle w:val="BodyText"/>
        <w:rPr>
          <w:rFonts w:ascii="Helvetica"/>
          <w:sz w:val="18"/>
        </w:rPr>
      </w:pPr>
    </w:p>
    <w:p>
      <w:pPr>
        <w:pStyle w:val="BodyText"/>
        <w:rPr>
          <w:rFonts w:ascii="Helvetica"/>
          <w:sz w:val="18"/>
        </w:rPr>
      </w:pPr>
    </w:p>
    <w:p>
      <w:pPr>
        <w:spacing w:before="121"/>
        <w:ind w:left="0" w:right="244" w:firstLine="0"/>
        <w:jc w:val="right"/>
        <w:rPr>
          <w:rFonts w:ascii="Helvetica"/>
          <w:sz w:val="16"/>
        </w:rPr>
      </w:pPr>
      <w:r>
        <w:rPr>
          <w:rFonts w:ascii="Helvetica"/>
          <w:color w:val="231F20"/>
          <w:w w:val="99"/>
          <w:sz w:val="16"/>
        </w:rPr>
        <w:t>1</w:t>
      </w:r>
    </w:p>
    <w:p>
      <w:pPr>
        <w:pStyle w:val="BodyText"/>
        <w:rPr>
          <w:rFonts w:ascii="Helvetica"/>
          <w:sz w:val="18"/>
        </w:rPr>
      </w:pPr>
    </w:p>
    <w:p>
      <w:pPr>
        <w:pStyle w:val="BodyText"/>
        <w:rPr>
          <w:rFonts w:ascii="Helvetica"/>
          <w:sz w:val="18"/>
        </w:rPr>
      </w:pPr>
    </w:p>
    <w:p>
      <w:pPr>
        <w:spacing w:before="122"/>
        <w:ind w:left="1249" w:right="0" w:firstLine="0"/>
        <w:jc w:val="left"/>
        <w:rPr>
          <w:rFonts w:ascii="Helvetica"/>
          <w:sz w:val="16"/>
        </w:rPr>
      </w:pPr>
      <w:r>
        <w:rPr>
          <w:rFonts w:ascii="Helvetica"/>
          <w:color w:val="231F20"/>
          <w:w w:val="99"/>
          <w:sz w:val="16"/>
        </w:rPr>
        <w:t>0</w:t>
      </w:r>
    </w:p>
    <w:p>
      <w:pPr>
        <w:spacing w:before="14"/>
        <w:ind w:left="1495" w:right="0" w:firstLine="0"/>
        <w:jc w:val="lef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18"/>
        </w:rPr>
      </w:pPr>
    </w:p>
    <w:p>
      <w:pPr>
        <w:tabs>
          <w:tab w:pos="1961" w:val="left" w:leader="none"/>
        </w:tabs>
        <w:spacing w:before="0"/>
        <w:ind w:left="329" w:right="0" w:firstLine="0"/>
        <w:jc w:val="left"/>
        <w:rPr>
          <w:rFonts w:ascii="Helvetica"/>
          <w:sz w:val="16"/>
        </w:rPr>
      </w:pPr>
      <w:r>
        <w:rPr/>
        <w:pict>
          <v:rect style="position:absolute;margin-left:576pt;margin-top:-72.881805pt;width:36pt;height:24pt;mso-position-horizontal-relative:page;mso-position-vertical-relative:paragraph;z-index:253297664" filled="true" fillcolor="#e8dac8" stroked="false">
            <v:fill type="solid"/>
            <w10:wrap type="none"/>
          </v:rect>
        </w:pict>
      </w:r>
      <w:r>
        <w:rPr/>
        <w:pict>
          <v:shape style="position:absolute;margin-left:578.900024pt;margin-top:-149.224503pt;width:15.9pt;height:53.35pt;mso-position-horizontal-relative:page;mso-position-vertical-relative:paragraph;z-index:25330176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Helvetica"/>
          <w:color w:val="231F20"/>
          <w:sz w:val="16"/>
        </w:rPr>
        <w:t>Positive</w:t>
      </w:r>
      <w:r>
        <w:rPr>
          <w:rFonts w:ascii="Helvetica"/>
          <w:color w:val="231F20"/>
          <w:spacing w:val="-1"/>
          <w:sz w:val="16"/>
        </w:rPr>
        <w:t> </w:t>
      </w:r>
      <w:r>
        <w:rPr>
          <w:rFonts w:ascii="Helvetica"/>
          <w:color w:val="231F20"/>
          <w:sz w:val="16"/>
        </w:rPr>
        <w:t>balance</w:t>
        <w:tab/>
        <w:t>Production</w:t>
      </w:r>
    </w:p>
    <w:p>
      <w:pPr>
        <w:pStyle w:val="BodyText"/>
        <w:rPr>
          <w:rFonts w:ascii="Helvetica"/>
          <w:sz w:val="18"/>
        </w:rPr>
      </w:pPr>
    </w:p>
    <w:p>
      <w:pPr>
        <w:pStyle w:val="BodyText"/>
        <w:spacing w:before="1"/>
        <w:rPr>
          <w:rFonts w:ascii="Helvetica"/>
          <w:sz w:val="26"/>
        </w:rPr>
      </w:pPr>
    </w:p>
    <w:p>
      <w:pPr>
        <w:spacing w:before="0"/>
        <w:ind w:left="890" w:right="0" w:firstLine="0"/>
        <w:jc w:val="left"/>
        <w:rPr>
          <w:rFonts w:ascii="Helvetica" w:hAnsi="Helvetica"/>
          <w:sz w:val="12"/>
        </w:rPr>
      </w:pPr>
      <w:r>
        <w:rPr>
          <w:rFonts w:ascii="Helvetica" w:hAnsi="Helvetica"/>
          <w:color w:val="231F20"/>
          <w:sz w:val="16"/>
        </w:rPr>
        <w:t>Excretion    GFR </w:t>
      </w:r>
      <w:r>
        <w:rPr>
          <w:rFonts w:ascii="Symbol" w:hAnsi="Symbol"/>
          <w:color w:val="231F20"/>
          <w:sz w:val="16"/>
        </w:rPr>
        <w:t></w:t>
      </w:r>
      <w:r>
        <w:rPr>
          <w:color w:val="231F20"/>
          <w:spacing w:val="3"/>
          <w:sz w:val="16"/>
        </w:rPr>
        <w:t> </w:t>
      </w:r>
      <w:r>
        <w:rPr>
          <w:rFonts w:ascii="Helvetica" w:hAnsi="Helvetica"/>
          <w:color w:val="231F20"/>
          <w:sz w:val="16"/>
        </w:rPr>
        <w:t>P</w:t>
      </w:r>
      <w:r>
        <w:rPr>
          <w:rFonts w:ascii="Helvetica" w:hAnsi="Helvetica"/>
          <w:color w:val="231F20"/>
          <w:position w:val="-4"/>
          <w:sz w:val="12"/>
        </w:rPr>
        <w:t>Creatinine</w:t>
      </w:r>
    </w:p>
    <w:p>
      <w:pPr>
        <w:pStyle w:val="BodyText"/>
        <w:rPr>
          <w:rFonts w:ascii="Helvetica"/>
          <w:sz w:val="24"/>
        </w:rPr>
      </w:pPr>
    </w:p>
    <w:p>
      <w:pPr>
        <w:pStyle w:val="BodyText"/>
        <w:rPr>
          <w:rFonts w:ascii="Helvetica"/>
          <w:sz w:val="24"/>
        </w:rPr>
      </w:pPr>
    </w:p>
    <w:p>
      <w:pPr>
        <w:pStyle w:val="BodyText"/>
        <w:spacing w:before="3"/>
        <w:rPr>
          <w:rFonts w:ascii="Helvetica"/>
          <w:sz w:val="29"/>
        </w:rPr>
      </w:pPr>
    </w:p>
    <w:p>
      <w:pPr>
        <w:tabs>
          <w:tab w:pos="1340" w:val="left" w:leader="none"/>
          <w:tab w:pos="2073" w:val="left" w:leader="none"/>
          <w:tab w:pos="2800" w:val="left" w:leader="none"/>
        </w:tabs>
        <w:spacing w:before="0"/>
        <w:ind w:left="600" w:right="0" w:firstLine="0"/>
        <w:jc w:val="left"/>
        <w:rPr>
          <w:rFonts w:ascii="Helvetica"/>
          <w:sz w:val="16"/>
        </w:rPr>
      </w:pPr>
      <w:r>
        <w:rPr>
          <w:rFonts w:ascii="Helvetica"/>
          <w:color w:val="231F20"/>
          <w:sz w:val="16"/>
        </w:rPr>
        <w:t>1</w:t>
        <w:tab/>
        <w:t>2</w:t>
        <w:tab/>
        <w:t>3</w:t>
        <w:tab/>
        <w:t>4</w:t>
      </w:r>
    </w:p>
    <w:p>
      <w:pPr>
        <w:spacing w:line="176" w:lineRule="exact" w:before="48"/>
        <w:ind w:left="1151" w:right="0" w:firstLine="0"/>
        <w:jc w:val="left"/>
        <w:rPr>
          <w:rFonts w:ascii="Helvetica"/>
          <w:b/>
          <w:sz w:val="16"/>
        </w:rPr>
      </w:pPr>
      <w:r>
        <w:rPr>
          <w:rFonts w:ascii="Helvetica"/>
          <w:b/>
          <w:color w:val="231F20"/>
          <w:sz w:val="16"/>
        </w:rPr>
        <w:t>Days</w:t>
      </w:r>
    </w:p>
    <w:p>
      <w:pPr>
        <w:spacing w:after="0" w:line="176" w:lineRule="exact"/>
        <w:jc w:val="left"/>
        <w:rPr>
          <w:rFonts w:ascii="Helvetica"/>
          <w:sz w:val="16"/>
        </w:rPr>
        <w:sectPr>
          <w:type w:val="continuous"/>
          <w:pgSz w:w="12240" w:h="15660"/>
          <w:pgMar w:top="0" w:bottom="760" w:left="0" w:right="0"/>
          <w:cols w:num="3" w:equalWidth="0">
            <w:col w:w="6121" w:space="40"/>
            <w:col w:w="1585" w:space="39"/>
            <w:col w:w="4455"/>
          </w:cols>
        </w:sectPr>
      </w:pPr>
    </w:p>
    <w:p>
      <w:pPr>
        <w:pStyle w:val="BodyText"/>
        <w:spacing w:line="249" w:lineRule="auto"/>
        <w:ind w:left="1440"/>
        <w:jc w:val="both"/>
      </w:pPr>
      <w:r>
        <w:rPr/>
        <w:pict>
          <v:group style="position:absolute;margin-left:0pt;margin-top:0pt;width:612pt;height:180pt;mso-position-horizontal-relative:page;mso-position-vertical-relative:page;z-index:-272108544"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w10:wrap type="none"/>
          </v:group>
        </w:pict>
      </w:r>
      <w:r>
        <w:rPr>
          <w:color w:val="231F20"/>
          <w:w w:val="105"/>
        </w:rPr>
        <w:t>the</w:t>
      </w:r>
      <w:r>
        <w:rPr>
          <w:color w:val="231F20"/>
          <w:spacing w:val="-19"/>
          <w:w w:val="105"/>
        </w:rPr>
        <w:t> </w:t>
      </w:r>
      <w:r>
        <w:rPr>
          <w:color w:val="231F20"/>
          <w:spacing w:val="-3"/>
          <w:w w:val="105"/>
        </w:rPr>
        <w:t>child’s</w:t>
      </w:r>
      <w:r>
        <w:rPr>
          <w:color w:val="231F20"/>
          <w:spacing w:val="-19"/>
          <w:w w:val="105"/>
        </w:rPr>
        <w:t> </w:t>
      </w:r>
      <w:r>
        <w:rPr>
          <w:color w:val="231F20"/>
          <w:w w:val="105"/>
        </w:rPr>
        <w:t>plasma</w:t>
      </w:r>
      <w:r>
        <w:rPr>
          <w:color w:val="231F20"/>
          <w:spacing w:val="-19"/>
          <w:w w:val="105"/>
        </w:rPr>
        <w:t> </w:t>
      </w:r>
      <w:r>
        <w:rPr>
          <w:color w:val="231F20"/>
          <w:w w:val="105"/>
        </w:rPr>
        <w:t>protein</w:t>
      </w:r>
      <w:r>
        <w:rPr>
          <w:color w:val="231F20"/>
          <w:spacing w:val="-18"/>
          <w:w w:val="105"/>
        </w:rPr>
        <w:t> </w:t>
      </w:r>
      <w:r>
        <w:rPr>
          <w:color w:val="231F20"/>
          <w:w w:val="105"/>
        </w:rPr>
        <w:t>concentration</w:t>
      </w:r>
      <w:r>
        <w:rPr>
          <w:color w:val="231F20"/>
          <w:spacing w:val="-19"/>
          <w:w w:val="105"/>
        </w:rPr>
        <w:t> </w:t>
      </w:r>
      <w:r>
        <w:rPr>
          <w:color w:val="231F20"/>
          <w:w w:val="105"/>
        </w:rPr>
        <w:t>often</w:t>
      </w:r>
      <w:r>
        <w:rPr>
          <w:color w:val="231F20"/>
          <w:spacing w:val="-19"/>
          <w:w w:val="105"/>
        </w:rPr>
        <w:t> </w:t>
      </w:r>
      <w:r>
        <w:rPr>
          <w:color w:val="231F20"/>
          <w:w w:val="105"/>
        </w:rPr>
        <w:t>falls</w:t>
      </w:r>
      <w:r>
        <w:rPr>
          <w:color w:val="231F20"/>
          <w:spacing w:val="-19"/>
          <w:w w:val="105"/>
        </w:rPr>
        <w:t> </w:t>
      </w:r>
      <w:r>
        <w:rPr>
          <w:color w:val="231F20"/>
          <w:spacing w:val="-3"/>
          <w:w w:val="105"/>
        </w:rPr>
        <w:t>below </w:t>
      </w:r>
      <w:r>
        <w:rPr>
          <w:color w:val="231F20"/>
          <w:w w:val="105"/>
        </w:rPr>
        <w:t>2</w:t>
      </w:r>
      <w:r>
        <w:rPr>
          <w:color w:val="231F20"/>
          <w:spacing w:val="-11"/>
          <w:w w:val="105"/>
        </w:rPr>
        <w:t> </w:t>
      </w:r>
      <w:r>
        <w:rPr>
          <w:color w:val="231F20"/>
          <w:w w:val="105"/>
        </w:rPr>
        <w:t>g/dl</w:t>
      </w:r>
      <w:r>
        <w:rPr>
          <w:color w:val="231F20"/>
          <w:spacing w:val="-27"/>
          <w:w w:val="105"/>
        </w:rPr>
        <w:t> </w:t>
      </w:r>
      <w:r>
        <w:rPr>
          <w:color w:val="231F20"/>
          <w:w w:val="105"/>
        </w:rPr>
        <w:t>and</w:t>
      </w:r>
      <w:r>
        <w:rPr>
          <w:color w:val="231F20"/>
          <w:spacing w:val="-27"/>
          <w:w w:val="105"/>
        </w:rPr>
        <w:t> </w:t>
      </w:r>
      <w:r>
        <w:rPr>
          <w:color w:val="231F20"/>
          <w:w w:val="105"/>
        </w:rPr>
        <w:t>the</w:t>
      </w:r>
      <w:r>
        <w:rPr>
          <w:color w:val="231F20"/>
          <w:spacing w:val="-26"/>
          <w:w w:val="105"/>
        </w:rPr>
        <w:t> </w:t>
      </w:r>
      <w:r>
        <w:rPr>
          <w:color w:val="231F20"/>
          <w:w w:val="105"/>
        </w:rPr>
        <w:t>colloid</w:t>
      </w:r>
      <w:r>
        <w:rPr>
          <w:color w:val="231F20"/>
          <w:spacing w:val="-27"/>
          <w:w w:val="105"/>
        </w:rPr>
        <w:t> </w:t>
      </w:r>
      <w:r>
        <w:rPr>
          <w:color w:val="231F20"/>
          <w:w w:val="105"/>
        </w:rPr>
        <w:t>osmotic</w:t>
      </w:r>
      <w:r>
        <w:rPr>
          <w:color w:val="231F20"/>
          <w:spacing w:val="-26"/>
          <w:w w:val="105"/>
        </w:rPr>
        <w:t> </w:t>
      </w:r>
      <w:r>
        <w:rPr>
          <w:color w:val="231F20"/>
          <w:w w:val="105"/>
        </w:rPr>
        <w:t>pressure</w:t>
      </w:r>
      <w:r>
        <w:rPr>
          <w:color w:val="231F20"/>
          <w:spacing w:val="-27"/>
          <w:w w:val="105"/>
        </w:rPr>
        <w:t> </w:t>
      </w:r>
      <w:r>
        <w:rPr>
          <w:color w:val="231F20"/>
          <w:w w:val="105"/>
        </w:rPr>
        <w:t>falls</w:t>
      </w:r>
      <w:r>
        <w:rPr>
          <w:color w:val="231F20"/>
          <w:spacing w:val="-26"/>
          <w:w w:val="105"/>
        </w:rPr>
        <w:t> </w:t>
      </w:r>
      <w:r>
        <w:rPr>
          <w:color w:val="231F20"/>
          <w:w w:val="105"/>
        </w:rPr>
        <w:t>from</w:t>
      </w:r>
      <w:r>
        <w:rPr>
          <w:color w:val="231F20"/>
          <w:spacing w:val="-27"/>
          <w:w w:val="105"/>
        </w:rPr>
        <w:t> </w:t>
      </w:r>
      <w:r>
        <w:rPr>
          <w:color w:val="231F20"/>
          <w:w w:val="105"/>
        </w:rPr>
        <w:t>a</w:t>
      </w:r>
      <w:r>
        <w:rPr>
          <w:color w:val="231F20"/>
          <w:spacing w:val="-26"/>
          <w:w w:val="105"/>
        </w:rPr>
        <w:t> </w:t>
      </w:r>
      <w:r>
        <w:rPr>
          <w:color w:val="231F20"/>
          <w:w w:val="105"/>
        </w:rPr>
        <w:t>normal value</w:t>
      </w:r>
      <w:r>
        <w:rPr>
          <w:color w:val="231F20"/>
          <w:spacing w:val="-5"/>
          <w:w w:val="105"/>
        </w:rPr>
        <w:t> </w:t>
      </w:r>
      <w:r>
        <w:rPr>
          <w:color w:val="231F20"/>
          <w:w w:val="105"/>
        </w:rPr>
        <w:t>of</w:t>
      </w:r>
      <w:r>
        <w:rPr>
          <w:color w:val="231F20"/>
          <w:spacing w:val="-4"/>
          <w:w w:val="105"/>
        </w:rPr>
        <w:t> </w:t>
      </w:r>
      <w:r>
        <w:rPr>
          <w:color w:val="231F20"/>
          <w:w w:val="105"/>
        </w:rPr>
        <w:t>28</w:t>
      </w:r>
      <w:r>
        <w:rPr>
          <w:color w:val="231F20"/>
          <w:spacing w:val="-4"/>
          <w:w w:val="105"/>
        </w:rPr>
        <w:t> </w:t>
      </w:r>
      <w:r>
        <w:rPr>
          <w:color w:val="231F20"/>
          <w:w w:val="105"/>
        </w:rPr>
        <w:t>to</w:t>
      </w:r>
      <w:r>
        <w:rPr>
          <w:color w:val="231F20"/>
          <w:spacing w:val="-4"/>
          <w:w w:val="105"/>
        </w:rPr>
        <w:t> </w:t>
      </w:r>
      <w:r>
        <w:rPr>
          <w:color w:val="231F20"/>
          <w:w w:val="105"/>
        </w:rPr>
        <w:t>less</w:t>
      </w:r>
      <w:r>
        <w:rPr>
          <w:color w:val="231F20"/>
          <w:spacing w:val="-4"/>
          <w:w w:val="105"/>
        </w:rPr>
        <w:t> </w:t>
      </w:r>
      <w:r>
        <w:rPr>
          <w:color w:val="231F20"/>
          <w:w w:val="105"/>
        </w:rPr>
        <w:t>than</w:t>
      </w:r>
      <w:r>
        <w:rPr>
          <w:color w:val="231F20"/>
          <w:spacing w:val="-4"/>
          <w:w w:val="105"/>
        </w:rPr>
        <w:t> </w:t>
      </w:r>
      <w:r>
        <w:rPr>
          <w:color w:val="231F20"/>
          <w:w w:val="105"/>
        </w:rPr>
        <w:t>10</w:t>
      </w:r>
      <w:r>
        <w:rPr>
          <w:color w:val="231F20"/>
          <w:spacing w:val="-6"/>
          <w:w w:val="105"/>
        </w:rPr>
        <w:t> </w:t>
      </w:r>
      <w:r>
        <w:rPr>
          <w:color w:val="231F20"/>
          <w:w w:val="105"/>
        </w:rPr>
        <w:t>mm</w:t>
      </w:r>
      <w:r>
        <w:rPr>
          <w:color w:val="231F20"/>
          <w:spacing w:val="-6"/>
          <w:w w:val="105"/>
        </w:rPr>
        <w:t> </w:t>
      </w:r>
      <w:r>
        <w:rPr>
          <w:color w:val="231F20"/>
          <w:w w:val="105"/>
        </w:rPr>
        <w:t>Hg.</w:t>
      </w:r>
      <w:r>
        <w:rPr>
          <w:color w:val="231F20"/>
          <w:spacing w:val="-5"/>
          <w:w w:val="105"/>
        </w:rPr>
        <w:t> </w:t>
      </w:r>
      <w:r>
        <w:rPr>
          <w:color w:val="231F20"/>
          <w:w w:val="105"/>
        </w:rPr>
        <w:t>As</w:t>
      </w:r>
      <w:r>
        <w:rPr>
          <w:color w:val="231F20"/>
          <w:spacing w:val="-4"/>
          <w:w w:val="105"/>
        </w:rPr>
        <w:t> </w:t>
      </w:r>
      <w:r>
        <w:rPr>
          <w:color w:val="231F20"/>
          <w:w w:val="105"/>
        </w:rPr>
        <w:t>a</w:t>
      </w:r>
      <w:r>
        <w:rPr>
          <w:color w:val="231F20"/>
          <w:spacing w:val="-4"/>
          <w:w w:val="105"/>
        </w:rPr>
        <w:t> </w:t>
      </w:r>
      <w:r>
        <w:rPr>
          <w:color w:val="231F20"/>
          <w:w w:val="105"/>
        </w:rPr>
        <w:t>consequence</w:t>
      </w:r>
      <w:r>
        <w:rPr>
          <w:color w:val="231F20"/>
          <w:spacing w:val="-4"/>
          <w:w w:val="105"/>
        </w:rPr>
        <w:t> </w:t>
      </w:r>
      <w:r>
        <w:rPr>
          <w:color w:val="231F20"/>
          <w:spacing w:val="-6"/>
          <w:w w:val="105"/>
        </w:rPr>
        <w:t>of </w:t>
      </w:r>
      <w:r>
        <w:rPr>
          <w:color w:val="231F20"/>
          <w:w w:val="105"/>
        </w:rPr>
        <w:t>this low colloid osmotic pressure in the plasma, </w:t>
      </w:r>
      <w:r>
        <w:rPr>
          <w:color w:val="231F20"/>
          <w:spacing w:val="-4"/>
          <w:w w:val="105"/>
        </w:rPr>
        <w:t>large </w:t>
      </w:r>
      <w:r>
        <w:rPr>
          <w:color w:val="231F20"/>
          <w:w w:val="105"/>
        </w:rPr>
        <w:t>amounts</w:t>
      </w:r>
      <w:r>
        <w:rPr>
          <w:color w:val="231F20"/>
          <w:spacing w:val="-28"/>
          <w:w w:val="105"/>
        </w:rPr>
        <w:t> </w:t>
      </w:r>
      <w:r>
        <w:rPr>
          <w:color w:val="231F20"/>
          <w:w w:val="105"/>
        </w:rPr>
        <w:t>of</w:t>
      </w:r>
      <w:r>
        <w:rPr>
          <w:color w:val="231F20"/>
          <w:spacing w:val="-27"/>
          <w:w w:val="105"/>
        </w:rPr>
        <w:t> </w:t>
      </w:r>
      <w:r>
        <w:rPr>
          <w:color w:val="231F20"/>
          <w:w w:val="105"/>
        </w:rPr>
        <w:t>fluid</w:t>
      </w:r>
      <w:r>
        <w:rPr>
          <w:color w:val="231F20"/>
          <w:spacing w:val="-27"/>
          <w:w w:val="105"/>
        </w:rPr>
        <w:t> </w:t>
      </w:r>
      <w:r>
        <w:rPr>
          <w:color w:val="231F20"/>
          <w:w w:val="105"/>
        </w:rPr>
        <w:t>leak</w:t>
      </w:r>
      <w:r>
        <w:rPr>
          <w:color w:val="231F20"/>
          <w:spacing w:val="-28"/>
          <w:w w:val="105"/>
        </w:rPr>
        <w:t> </w:t>
      </w:r>
      <w:r>
        <w:rPr>
          <w:color w:val="231F20"/>
          <w:w w:val="105"/>
        </w:rPr>
        <w:t>from</w:t>
      </w:r>
      <w:r>
        <w:rPr>
          <w:color w:val="231F20"/>
          <w:spacing w:val="-27"/>
          <w:w w:val="105"/>
        </w:rPr>
        <w:t> </w:t>
      </w:r>
      <w:r>
        <w:rPr>
          <w:color w:val="231F20"/>
          <w:w w:val="105"/>
        </w:rPr>
        <w:t>the</w:t>
      </w:r>
      <w:r>
        <w:rPr>
          <w:color w:val="231F20"/>
          <w:spacing w:val="-27"/>
          <w:w w:val="105"/>
        </w:rPr>
        <w:t> </w:t>
      </w:r>
      <w:r>
        <w:rPr>
          <w:color w:val="231F20"/>
          <w:w w:val="105"/>
        </w:rPr>
        <w:t>capillaries</w:t>
      </w:r>
      <w:r>
        <w:rPr>
          <w:color w:val="231F20"/>
          <w:spacing w:val="-27"/>
          <w:w w:val="105"/>
        </w:rPr>
        <w:t> </w:t>
      </w:r>
      <w:r>
        <w:rPr>
          <w:color w:val="231F20"/>
          <w:w w:val="105"/>
        </w:rPr>
        <w:t>all</w:t>
      </w:r>
      <w:r>
        <w:rPr>
          <w:color w:val="231F20"/>
          <w:spacing w:val="-28"/>
          <w:w w:val="105"/>
        </w:rPr>
        <w:t> </w:t>
      </w:r>
      <w:r>
        <w:rPr>
          <w:color w:val="231F20"/>
          <w:w w:val="105"/>
        </w:rPr>
        <w:t>over</w:t>
      </w:r>
      <w:r>
        <w:rPr>
          <w:color w:val="231F20"/>
          <w:spacing w:val="-27"/>
          <w:w w:val="105"/>
        </w:rPr>
        <w:t> </w:t>
      </w:r>
      <w:r>
        <w:rPr>
          <w:color w:val="231F20"/>
          <w:w w:val="105"/>
        </w:rPr>
        <w:t>the</w:t>
      </w:r>
      <w:r>
        <w:rPr>
          <w:color w:val="231F20"/>
          <w:spacing w:val="-27"/>
          <w:w w:val="105"/>
        </w:rPr>
        <w:t> </w:t>
      </w:r>
      <w:r>
        <w:rPr>
          <w:color w:val="231F20"/>
          <w:w w:val="105"/>
        </w:rPr>
        <w:t>body into most of the tissues, causing severe edema, as dis­ cussed in Chapter</w:t>
      </w:r>
      <w:r>
        <w:rPr>
          <w:color w:val="231F20"/>
          <w:spacing w:val="8"/>
          <w:w w:val="105"/>
        </w:rPr>
        <w:t> </w:t>
      </w:r>
      <w:r>
        <w:rPr>
          <w:color w:val="231F20"/>
          <w:w w:val="105"/>
        </w:rPr>
        <w:t>25.</w:t>
      </w:r>
    </w:p>
    <w:p>
      <w:pPr>
        <w:pStyle w:val="BodyText"/>
        <w:spacing w:before="1"/>
        <w:rPr>
          <w:sz w:val="31"/>
        </w:rPr>
      </w:pPr>
    </w:p>
    <w:p>
      <w:pPr>
        <w:pStyle w:val="Heading2"/>
        <w:spacing w:line="225" w:lineRule="auto"/>
        <w:ind w:left="1440" w:right="455"/>
      </w:pPr>
      <w:r>
        <w:rPr>
          <w:color w:val="231F20"/>
          <w:w w:val="105"/>
        </w:rPr>
        <w:t>NEPHRON FUNCTION IN CHRONIC KIDNEY DISEASE</w:t>
      </w:r>
    </w:p>
    <w:p>
      <w:pPr>
        <w:pStyle w:val="BodyText"/>
        <w:spacing w:line="249" w:lineRule="auto" w:before="135"/>
        <w:ind w:left="1440"/>
        <w:jc w:val="both"/>
      </w:pPr>
      <w:r>
        <w:rPr>
          <w:rFonts w:ascii="Trebuchet MS" w:hAnsi="Trebuchet MS"/>
          <w:b/>
          <w:color w:val="231F20"/>
          <w:sz w:val="19"/>
        </w:rPr>
        <w:t>Loss of Functional Nephrons Requires Surviving Nephrons to Excrete More Water and Solutes. </w:t>
      </w:r>
      <w:r>
        <w:rPr>
          <w:color w:val="231F20"/>
          <w:spacing w:val="-9"/>
        </w:rPr>
        <w:t>It </w:t>
      </w:r>
      <w:r>
        <w:rPr>
          <w:color w:val="231F20"/>
        </w:rPr>
        <w:t>would be reasonable to suspect that decreasing the number of functional nephrons, which reduces the </w:t>
      </w:r>
      <w:r>
        <w:rPr>
          <w:color w:val="231F20"/>
          <w:spacing w:val="-3"/>
        </w:rPr>
        <w:t>GFR, </w:t>
      </w:r>
      <w:r>
        <w:rPr>
          <w:color w:val="231F20"/>
        </w:rPr>
        <w:t>would also cause major decreases in renal excretion of water and solutes. </w:t>
      </w:r>
      <w:r>
        <w:rPr>
          <w:color w:val="231F20"/>
          <w:spacing w:val="-6"/>
        </w:rPr>
        <w:t>Yet </w:t>
      </w:r>
      <w:r>
        <w:rPr>
          <w:color w:val="231F20"/>
        </w:rPr>
        <w:t>patients who have lost up to 75 </w:t>
      </w:r>
      <w:r>
        <w:rPr>
          <w:color w:val="231F20"/>
          <w:spacing w:val="-8"/>
        </w:rPr>
        <w:t>to </w:t>
      </w:r>
      <w:r>
        <w:rPr>
          <w:color w:val="231F20"/>
        </w:rPr>
        <w:t>80 percent of their nephrons are able to excrete normal amounts of water and electrolytes without serious accu­ mulation of fluid or most electrolytes in the body fluids. Further reduction in the number of nephrons, </w:t>
      </w:r>
      <w:r>
        <w:rPr>
          <w:color w:val="231F20"/>
          <w:spacing w:val="-4"/>
        </w:rPr>
        <w:t>however, </w:t>
      </w:r>
      <w:r>
        <w:rPr>
          <w:color w:val="231F20"/>
        </w:rPr>
        <w:t>leads to electrolyte and fluid retention, and death usually ensues when the number of nephrons falls below 5 to </w:t>
      </w:r>
      <w:r>
        <w:rPr>
          <w:color w:val="231F20"/>
          <w:spacing w:val="-6"/>
        </w:rPr>
        <w:t>10 </w:t>
      </w:r>
      <w:r>
        <w:rPr>
          <w:color w:val="231F20"/>
        </w:rPr>
        <w:t>percent of</w:t>
      </w:r>
      <w:r>
        <w:rPr>
          <w:color w:val="231F20"/>
          <w:spacing w:val="13"/>
        </w:rPr>
        <w:t> </w:t>
      </w:r>
      <w:r>
        <w:rPr>
          <w:color w:val="231F20"/>
        </w:rPr>
        <w:t>normal.</w:t>
      </w:r>
    </w:p>
    <w:p>
      <w:pPr>
        <w:pStyle w:val="BodyText"/>
        <w:spacing w:line="249" w:lineRule="auto" w:before="13"/>
        <w:ind w:left="1440" w:firstLine="240"/>
        <w:jc w:val="both"/>
      </w:pPr>
      <w:r>
        <w:rPr>
          <w:color w:val="231F20"/>
        </w:rPr>
        <w:t>In contrast to the electrolytes, many of the waste </w:t>
      </w:r>
      <w:r>
        <w:rPr>
          <w:color w:val="231F20"/>
          <w:spacing w:val="-3"/>
        </w:rPr>
        <w:t>prod­ </w:t>
      </w:r>
      <w:r>
        <w:rPr>
          <w:color w:val="231F20"/>
        </w:rPr>
        <w:t>ucts of metabolism, such as urea and creatinine, accumu­ late almost in proportion to  the  number  of  </w:t>
      </w:r>
      <w:r>
        <w:rPr>
          <w:color w:val="231F20"/>
          <w:spacing w:val="-3"/>
        </w:rPr>
        <w:t>nephrons  </w:t>
      </w:r>
      <w:r>
        <w:rPr>
          <w:color w:val="231F20"/>
        </w:rPr>
        <w:t>that have been destroyed. The reason for this is that </w:t>
      </w:r>
      <w:r>
        <w:rPr>
          <w:color w:val="231F20"/>
          <w:spacing w:val="-3"/>
        </w:rPr>
        <w:t>sub­ </w:t>
      </w:r>
      <w:r>
        <w:rPr>
          <w:color w:val="231F20"/>
        </w:rPr>
        <w:t>stances such as creatinine and urea depend largely </w:t>
      </w:r>
      <w:r>
        <w:rPr>
          <w:color w:val="231F20"/>
          <w:spacing w:val="-7"/>
        </w:rPr>
        <w:t>on </w:t>
      </w:r>
      <w:r>
        <w:rPr>
          <w:color w:val="231F20"/>
        </w:rPr>
        <w:t>glomerular</w:t>
      </w:r>
      <w:r>
        <w:rPr>
          <w:color w:val="231F20"/>
          <w:spacing w:val="21"/>
        </w:rPr>
        <w:t> </w:t>
      </w:r>
      <w:r>
        <w:rPr>
          <w:color w:val="231F20"/>
        </w:rPr>
        <w:t>filtration</w:t>
      </w:r>
      <w:r>
        <w:rPr>
          <w:color w:val="231F20"/>
          <w:spacing w:val="20"/>
        </w:rPr>
        <w:t> </w:t>
      </w:r>
      <w:r>
        <w:rPr>
          <w:color w:val="231F20"/>
        </w:rPr>
        <w:t>for</w:t>
      </w:r>
      <w:r>
        <w:rPr>
          <w:color w:val="231F20"/>
          <w:spacing w:val="21"/>
        </w:rPr>
        <w:t> </w:t>
      </w:r>
      <w:r>
        <w:rPr>
          <w:color w:val="231F20"/>
        </w:rPr>
        <w:t>their</w:t>
      </w:r>
      <w:r>
        <w:rPr>
          <w:color w:val="231F20"/>
          <w:spacing w:val="20"/>
        </w:rPr>
        <w:t> </w:t>
      </w:r>
      <w:r>
        <w:rPr>
          <w:color w:val="231F20"/>
        </w:rPr>
        <w:t>excretion,</w:t>
      </w:r>
      <w:r>
        <w:rPr>
          <w:color w:val="231F20"/>
          <w:spacing w:val="19"/>
        </w:rPr>
        <w:t> </w:t>
      </w:r>
      <w:r>
        <w:rPr>
          <w:color w:val="231F20"/>
        </w:rPr>
        <w:t>and</w:t>
      </w:r>
      <w:r>
        <w:rPr>
          <w:color w:val="231F20"/>
          <w:spacing w:val="22"/>
        </w:rPr>
        <w:t> </w:t>
      </w:r>
      <w:r>
        <w:rPr>
          <w:color w:val="231F20"/>
        </w:rPr>
        <w:t>they</w:t>
      </w:r>
      <w:r>
        <w:rPr>
          <w:color w:val="231F20"/>
          <w:spacing w:val="19"/>
        </w:rPr>
        <w:t> </w:t>
      </w:r>
      <w:r>
        <w:rPr>
          <w:color w:val="231F20"/>
        </w:rPr>
        <w:t>are</w:t>
      </w:r>
      <w:r>
        <w:rPr>
          <w:color w:val="231F20"/>
          <w:spacing w:val="20"/>
        </w:rPr>
        <w:t> </w:t>
      </w:r>
      <w:r>
        <w:rPr>
          <w:color w:val="231F20"/>
          <w:spacing w:val="-4"/>
        </w:rPr>
        <w:t>not</w:t>
      </w:r>
    </w:p>
    <w:p>
      <w:pPr>
        <w:spacing w:line="259" w:lineRule="auto" w:before="95"/>
        <w:ind w:left="319" w:right="1077" w:firstLine="0"/>
        <w:jc w:val="both"/>
        <w:rPr>
          <w:rFonts w:ascii="Arial"/>
          <w:sz w:val="16"/>
        </w:rPr>
      </w:pPr>
      <w:r>
        <w:rPr/>
        <w:br w:type="column"/>
      </w:r>
      <w:bookmarkStart w:name="_bookmark124" w:id="125"/>
      <w:bookmarkEnd w:id="125"/>
      <w:r>
        <w:rPr/>
      </w:r>
      <w:r>
        <w:rPr>
          <w:rFonts w:ascii="Trebuchet MS"/>
          <w:b/>
          <w:color w:val="231F20"/>
          <w:sz w:val="16"/>
        </w:rPr>
        <w:t>Figure 32-4. </w:t>
      </w:r>
      <w:r>
        <w:rPr>
          <w:rFonts w:ascii="Arial"/>
          <w:color w:val="231F20"/>
          <w:sz w:val="16"/>
        </w:rPr>
        <w:t>Effect of reducing the glomerular filtration rate </w:t>
      </w:r>
      <w:r>
        <w:rPr>
          <w:rFonts w:ascii="Lucida Sans"/>
          <w:i/>
          <w:color w:val="231F20"/>
          <w:sz w:val="16"/>
        </w:rPr>
        <w:t>(GFR) </w:t>
      </w:r>
      <w:r>
        <w:rPr>
          <w:rFonts w:ascii="Arial"/>
          <w:color w:val="231F20"/>
          <w:sz w:val="16"/>
        </w:rPr>
        <w:t>by 50 percent on serum creatinine concentration and on </w:t>
      </w:r>
      <w:r>
        <w:rPr>
          <w:rFonts w:ascii="Arial"/>
          <w:color w:val="231F20"/>
          <w:spacing w:val="-3"/>
          <w:sz w:val="16"/>
        </w:rPr>
        <w:t>creatinine </w:t>
      </w:r>
      <w:r>
        <w:rPr>
          <w:rFonts w:ascii="Arial"/>
          <w:color w:val="231F20"/>
          <w:sz w:val="16"/>
        </w:rPr>
        <w:t>excretion rate when the production rate of creatinine </w:t>
      </w:r>
      <w:r>
        <w:rPr>
          <w:rFonts w:ascii="Arial"/>
          <w:color w:val="231F20"/>
          <w:spacing w:val="-3"/>
          <w:sz w:val="16"/>
        </w:rPr>
        <w:t>remains </w:t>
      </w:r>
      <w:r>
        <w:rPr>
          <w:rFonts w:ascii="Arial"/>
          <w:color w:val="231F20"/>
          <w:sz w:val="16"/>
        </w:rPr>
        <w:t>constant.</w:t>
      </w:r>
    </w:p>
    <w:p>
      <w:pPr>
        <w:pStyle w:val="BodyText"/>
        <w:spacing w:before="4"/>
        <w:rPr>
          <w:rFonts w:ascii="Arial"/>
          <w:sz w:val="26"/>
        </w:rPr>
      </w:pPr>
    </w:p>
    <w:p>
      <w:pPr>
        <w:pStyle w:val="BodyText"/>
        <w:spacing w:line="249" w:lineRule="auto"/>
        <w:ind w:left="319" w:right="1077"/>
        <w:jc w:val="both"/>
      </w:pPr>
      <w:r>
        <w:rPr>
          <w:color w:val="231F20"/>
        </w:rPr>
        <w:t>reabsorbed as avidly as are the electrolytes. Creatinine,</w:t>
      </w:r>
      <w:r>
        <w:rPr>
          <w:color w:val="231F20"/>
          <w:spacing w:val="-25"/>
        </w:rPr>
        <w:t> </w:t>
      </w:r>
      <w:r>
        <w:rPr>
          <w:color w:val="231F20"/>
        </w:rPr>
        <w:t>for example, is not reabsorbed at all, and the excretion rate   is</w:t>
      </w:r>
      <w:r>
        <w:rPr>
          <w:color w:val="231F20"/>
          <w:spacing w:val="11"/>
        </w:rPr>
        <w:t> </w:t>
      </w:r>
      <w:r>
        <w:rPr>
          <w:color w:val="231F20"/>
        </w:rPr>
        <w:t>approximately</w:t>
      </w:r>
      <w:r>
        <w:rPr>
          <w:color w:val="231F20"/>
          <w:spacing w:val="11"/>
        </w:rPr>
        <w:t> </w:t>
      </w:r>
      <w:r>
        <w:rPr>
          <w:color w:val="231F20"/>
        </w:rPr>
        <w:t>equal</w:t>
      </w:r>
      <w:r>
        <w:rPr>
          <w:color w:val="231F20"/>
          <w:spacing w:val="12"/>
        </w:rPr>
        <w:t> </w:t>
      </w:r>
      <w:r>
        <w:rPr>
          <w:color w:val="231F20"/>
        </w:rPr>
        <w:t>to</w:t>
      </w:r>
      <w:r>
        <w:rPr>
          <w:color w:val="231F20"/>
          <w:spacing w:val="11"/>
        </w:rPr>
        <w:t> </w:t>
      </w:r>
      <w:r>
        <w:rPr>
          <w:color w:val="231F20"/>
        </w:rPr>
        <w:t>the</w:t>
      </w:r>
      <w:r>
        <w:rPr>
          <w:color w:val="231F20"/>
          <w:spacing w:val="12"/>
        </w:rPr>
        <w:t> </w:t>
      </w:r>
      <w:r>
        <w:rPr>
          <w:color w:val="231F20"/>
        </w:rPr>
        <w:t>rate</w:t>
      </w:r>
      <w:r>
        <w:rPr>
          <w:color w:val="231F20"/>
          <w:spacing w:val="11"/>
        </w:rPr>
        <w:t> </w:t>
      </w:r>
      <w:r>
        <w:rPr>
          <w:color w:val="231F20"/>
        </w:rPr>
        <w:t>at</w:t>
      </w:r>
      <w:r>
        <w:rPr>
          <w:color w:val="231F20"/>
          <w:spacing w:val="12"/>
        </w:rPr>
        <w:t> </w:t>
      </w:r>
      <w:r>
        <w:rPr>
          <w:color w:val="231F20"/>
        </w:rPr>
        <w:t>which</w:t>
      </w:r>
      <w:r>
        <w:rPr>
          <w:color w:val="231F20"/>
          <w:spacing w:val="11"/>
        </w:rPr>
        <w:t> </w:t>
      </w:r>
      <w:r>
        <w:rPr>
          <w:color w:val="231F20"/>
        </w:rPr>
        <w:t>it</w:t>
      </w:r>
      <w:r>
        <w:rPr>
          <w:color w:val="231F20"/>
          <w:spacing w:val="12"/>
        </w:rPr>
        <w:t> </w:t>
      </w:r>
      <w:r>
        <w:rPr>
          <w:color w:val="231F20"/>
        </w:rPr>
        <w:t>is</w:t>
      </w:r>
      <w:r>
        <w:rPr>
          <w:color w:val="231F20"/>
          <w:spacing w:val="11"/>
        </w:rPr>
        <w:t> </w:t>
      </w:r>
      <w:r>
        <w:rPr>
          <w:color w:val="231F20"/>
        </w:rPr>
        <w:t>filtered.</w:t>
      </w:r>
    </w:p>
    <w:p>
      <w:pPr>
        <w:spacing w:before="139"/>
        <w:ind w:left="901" w:right="0" w:firstLine="0"/>
        <w:jc w:val="left"/>
        <w:rPr>
          <w:rFonts w:ascii="Trebuchet MS"/>
          <w:sz w:val="18"/>
        </w:rPr>
      </w:pPr>
      <w:r>
        <w:rPr>
          <w:rFonts w:ascii="Trebuchet MS"/>
          <w:w w:val="105"/>
          <w:sz w:val="18"/>
        </w:rPr>
        <w:t>Creatinine filtration rate</w:t>
      </w:r>
    </w:p>
    <w:p>
      <w:pPr>
        <w:spacing w:before="19"/>
        <w:ind w:left="1109" w:right="0" w:firstLine="0"/>
        <w:jc w:val="left"/>
        <w:rPr>
          <w:rFonts w:ascii="Trebuchet MS" w:hAnsi="Trebuchet MS"/>
          <w:sz w:val="18"/>
        </w:rPr>
      </w:pPr>
      <w:r>
        <w:rPr>
          <w:rFonts w:ascii="Symbol" w:hAnsi="Symbol"/>
          <w:sz w:val="18"/>
        </w:rPr>
        <w:t></w:t>
      </w:r>
      <w:r>
        <w:rPr>
          <w:sz w:val="18"/>
        </w:rPr>
        <w:t> </w:t>
      </w:r>
      <w:r>
        <w:rPr>
          <w:rFonts w:ascii="Trebuchet MS" w:hAnsi="Trebuchet MS"/>
          <w:sz w:val="18"/>
        </w:rPr>
        <w:t>GFR </w:t>
      </w:r>
      <w:r>
        <w:rPr>
          <w:rFonts w:ascii="Symbol" w:hAnsi="Symbol"/>
          <w:sz w:val="18"/>
        </w:rPr>
        <w:t></w:t>
      </w:r>
      <w:r>
        <w:rPr>
          <w:sz w:val="18"/>
        </w:rPr>
        <w:t> </w:t>
      </w:r>
      <w:r>
        <w:rPr>
          <w:rFonts w:ascii="Trebuchet MS" w:hAnsi="Trebuchet MS"/>
          <w:sz w:val="18"/>
        </w:rPr>
        <w:t>Plasma creatinine concentration</w:t>
      </w:r>
    </w:p>
    <w:p>
      <w:pPr>
        <w:spacing w:before="19"/>
        <w:ind w:left="1109" w:right="0" w:firstLine="0"/>
        <w:jc w:val="left"/>
        <w:rPr>
          <w:rFonts w:ascii="Trebuchet MS" w:hAnsi="Trebuchet MS"/>
          <w:sz w:val="18"/>
        </w:rPr>
      </w:pPr>
      <w:r>
        <w:rPr>
          <w:rFonts w:ascii="Symbol" w:hAnsi="Symbol"/>
          <w:sz w:val="18"/>
        </w:rPr>
        <w:t></w:t>
      </w:r>
      <w:r>
        <w:rPr>
          <w:sz w:val="18"/>
        </w:rPr>
        <w:t> </w:t>
      </w:r>
      <w:r>
        <w:rPr>
          <w:rFonts w:ascii="Trebuchet MS" w:hAnsi="Trebuchet MS"/>
          <w:sz w:val="18"/>
        </w:rPr>
        <w:t>Creatinine excretion rate</w:t>
      </w:r>
    </w:p>
    <w:p>
      <w:pPr>
        <w:pStyle w:val="BodyText"/>
        <w:spacing w:line="249" w:lineRule="auto" w:before="134"/>
        <w:ind w:left="319" w:right="1077" w:firstLine="240"/>
        <w:jc w:val="both"/>
      </w:pPr>
      <w:r>
        <w:rPr>
          <w:color w:val="231F20"/>
          <w:w w:val="105"/>
        </w:rPr>
        <w:t>Therefore,</w:t>
      </w:r>
      <w:r>
        <w:rPr>
          <w:color w:val="231F20"/>
          <w:spacing w:val="-13"/>
          <w:w w:val="105"/>
        </w:rPr>
        <w:t> </w:t>
      </w:r>
      <w:r>
        <w:rPr>
          <w:color w:val="231F20"/>
          <w:w w:val="105"/>
        </w:rPr>
        <w:t>if</w:t>
      </w:r>
      <w:r>
        <w:rPr>
          <w:color w:val="231F20"/>
          <w:spacing w:val="-13"/>
          <w:w w:val="105"/>
        </w:rPr>
        <w:t> </w:t>
      </w:r>
      <w:r>
        <w:rPr>
          <w:color w:val="231F20"/>
          <w:w w:val="105"/>
        </w:rPr>
        <w:t>GFR</w:t>
      </w:r>
      <w:r>
        <w:rPr>
          <w:color w:val="231F20"/>
          <w:spacing w:val="-13"/>
          <w:w w:val="105"/>
        </w:rPr>
        <w:t> </w:t>
      </w:r>
      <w:r>
        <w:rPr>
          <w:color w:val="231F20"/>
          <w:w w:val="105"/>
        </w:rPr>
        <w:t>decreases,</w:t>
      </w:r>
      <w:r>
        <w:rPr>
          <w:color w:val="231F20"/>
          <w:spacing w:val="-12"/>
          <w:w w:val="105"/>
        </w:rPr>
        <w:t> </w:t>
      </w:r>
      <w:r>
        <w:rPr>
          <w:color w:val="231F20"/>
          <w:w w:val="105"/>
        </w:rPr>
        <w:t>creatinine</w:t>
      </w:r>
      <w:r>
        <w:rPr>
          <w:color w:val="231F20"/>
          <w:spacing w:val="-13"/>
          <w:w w:val="105"/>
        </w:rPr>
        <w:t> </w:t>
      </w:r>
      <w:r>
        <w:rPr>
          <w:color w:val="231F20"/>
          <w:w w:val="105"/>
        </w:rPr>
        <w:t>excretion</w:t>
      </w:r>
      <w:r>
        <w:rPr>
          <w:color w:val="231F20"/>
          <w:spacing w:val="-13"/>
          <w:w w:val="105"/>
        </w:rPr>
        <w:t> </w:t>
      </w:r>
      <w:r>
        <w:rPr>
          <w:color w:val="231F20"/>
          <w:w w:val="105"/>
        </w:rPr>
        <w:t>rate also transiently decreases, causing accumulation of cre­ atinine in the body fluids and raising plasma concentra­ tion until excretion rate of creatinine returns </w:t>
      </w:r>
      <w:r>
        <w:rPr>
          <w:color w:val="231F20"/>
          <w:spacing w:val="-7"/>
          <w:w w:val="105"/>
        </w:rPr>
        <w:t>to </w:t>
      </w:r>
      <w:r>
        <w:rPr>
          <w:color w:val="231F20"/>
          <w:w w:val="105"/>
        </w:rPr>
        <w:t>normal—the</w:t>
      </w:r>
      <w:r>
        <w:rPr>
          <w:color w:val="231F20"/>
          <w:spacing w:val="-17"/>
          <w:w w:val="105"/>
        </w:rPr>
        <w:t> </w:t>
      </w:r>
      <w:r>
        <w:rPr>
          <w:color w:val="231F20"/>
          <w:w w:val="105"/>
        </w:rPr>
        <w:t>same</w:t>
      </w:r>
      <w:r>
        <w:rPr>
          <w:color w:val="231F20"/>
          <w:spacing w:val="-16"/>
          <w:w w:val="105"/>
        </w:rPr>
        <w:t> </w:t>
      </w:r>
      <w:r>
        <w:rPr>
          <w:color w:val="231F20"/>
          <w:w w:val="105"/>
        </w:rPr>
        <w:t>rate</w:t>
      </w:r>
      <w:r>
        <w:rPr>
          <w:color w:val="231F20"/>
          <w:spacing w:val="-17"/>
          <w:w w:val="105"/>
        </w:rPr>
        <w:t> </w:t>
      </w:r>
      <w:r>
        <w:rPr>
          <w:color w:val="231F20"/>
          <w:w w:val="105"/>
        </w:rPr>
        <w:t>at</w:t>
      </w:r>
      <w:r>
        <w:rPr>
          <w:color w:val="231F20"/>
          <w:spacing w:val="-16"/>
          <w:w w:val="105"/>
        </w:rPr>
        <w:t> </w:t>
      </w:r>
      <w:r>
        <w:rPr>
          <w:color w:val="231F20"/>
          <w:w w:val="105"/>
        </w:rPr>
        <w:t>which</w:t>
      </w:r>
      <w:r>
        <w:rPr>
          <w:color w:val="231F20"/>
          <w:spacing w:val="-17"/>
          <w:w w:val="105"/>
        </w:rPr>
        <w:t> </w:t>
      </w:r>
      <w:r>
        <w:rPr>
          <w:color w:val="231F20"/>
          <w:w w:val="105"/>
        </w:rPr>
        <w:t>creatinine</w:t>
      </w:r>
      <w:r>
        <w:rPr>
          <w:color w:val="231F20"/>
          <w:spacing w:val="-16"/>
          <w:w w:val="105"/>
        </w:rPr>
        <w:t> </w:t>
      </w:r>
      <w:r>
        <w:rPr>
          <w:color w:val="231F20"/>
          <w:w w:val="105"/>
        </w:rPr>
        <w:t>is</w:t>
      </w:r>
      <w:r>
        <w:rPr>
          <w:color w:val="231F20"/>
          <w:spacing w:val="-17"/>
          <w:w w:val="105"/>
        </w:rPr>
        <w:t> </w:t>
      </w:r>
      <w:r>
        <w:rPr>
          <w:color w:val="231F20"/>
          <w:w w:val="105"/>
        </w:rPr>
        <w:t>produced</w:t>
      </w:r>
      <w:r>
        <w:rPr>
          <w:color w:val="231F20"/>
          <w:spacing w:val="-16"/>
          <w:w w:val="105"/>
        </w:rPr>
        <w:t> </w:t>
      </w:r>
      <w:r>
        <w:rPr>
          <w:color w:val="231F20"/>
          <w:w w:val="105"/>
        </w:rPr>
        <w:t>in the body (</w:t>
      </w:r>
      <w:hyperlink w:history="true" w:anchor="_bookmark124">
        <w:r>
          <w:rPr>
            <w:b/>
            <w:color w:val="0080AC"/>
            <w:w w:val="105"/>
          </w:rPr>
          <w:t>Figure 32-4</w:t>
        </w:r>
      </w:hyperlink>
      <w:r>
        <w:rPr>
          <w:color w:val="231F20"/>
          <w:w w:val="105"/>
        </w:rPr>
        <w:t>). Thus, under steady­state</w:t>
      </w:r>
      <w:r>
        <w:rPr>
          <w:color w:val="231F20"/>
          <w:spacing w:val="-24"/>
          <w:w w:val="105"/>
        </w:rPr>
        <w:t> </w:t>
      </w:r>
      <w:r>
        <w:rPr>
          <w:color w:val="231F20"/>
          <w:w w:val="105"/>
        </w:rPr>
        <w:t>condi­ tions creatinine excretion rate equals the rate of creati­ nine</w:t>
      </w:r>
      <w:r>
        <w:rPr>
          <w:color w:val="231F20"/>
          <w:spacing w:val="-27"/>
          <w:w w:val="105"/>
        </w:rPr>
        <w:t> </w:t>
      </w:r>
      <w:r>
        <w:rPr>
          <w:color w:val="231F20"/>
          <w:w w:val="105"/>
        </w:rPr>
        <w:t>production,</w:t>
      </w:r>
      <w:r>
        <w:rPr>
          <w:color w:val="231F20"/>
          <w:spacing w:val="-26"/>
          <w:w w:val="105"/>
        </w:rPr>
        <w:t> </w:t>
      </w:r>
      <w:r>
        <w:rPr>
          <w:color w:val="231F20"/>
          <w:w w:val="105"/>
        </w:rPr>
        <w:t>despite</w:t>
      </w:r>
      <w:r>
        <w:rPr>
          <w:color w:val="231F20"/>
          <w:spacing w:val="-26"/>
          <w:w w:val="105"/>
        </w:rPr>
        <w:t> </w:t>
      </w:r>
      <w:r>
        <w:rPr>
          <w:color w:val="231F20"/>
          <w:w w:val="105"/>
        </w:rPr>
        <w:t>reductions</w:t>
      </w:r>
      <w:r>
        <w:rPr>
          <w:color w:val="231F20"/>
          <w:spacing w:val="-26"/>
          <w:w w:val="105"/>
        </w:rPr>
        <w:t> </w:t>
      </w:r>
      <w:r>
        <w:rPr>
          <w:color w:val="231F20"/>
          <w:w w:val="105"/>
        </w:rPr>
        <w:t>in</w:t>
      </w:r>
      <w:r>
        <w:rPr>
          <w:color w:val="231F20"/>
          <w:spacing w:val="-27"/>
          <w:w w:val="105"/>
        </w:rPr>
        <w:t> </w:t>
      </w:r>
      <w:r>
        <w:rPr>
          <w:color w:val="231F20"/>
          <w:w w:val="105"/>
        </w:rPr>
        <w:t>GFR;</w:t>
      </w:r>
      <w:r>
        <w:rPr>
          <w:color w:val="231F20"/>
          <w:spacing w:val="-26"/>
          <w:w w:val="105"/>
        </w:rPr>
        <w:t> </w:t>
      </w:r>
      <w:r>
        <w:rPr>
          <w:color w:val="231F20"/>
          <w:w w:val="105"/>
        </w:rPr>
        <w:t>however,</w:t>
      </w:r>
      <w:r>
        <w:rPr>
          <w:color w:val="231F20"/>
          <w:spacing w:val="-26"/>
          <w:w w:val="105"/>
        </w:rPr>
        <w:t> </w:t>
      </w:r>
      <w:r>
        <w:rPr>
          <w:color w:val="231F20"/>
          <w:spacing w:val="-4"/>
          <w:w w:val="105"/>
        </w:rPr>
        <w:t>this </w:t>
      </w:r>
      <w:r>
        <w:rPr>
          <w:color w:val="231F20"/>
          <w:w w:val="105"/>
        </w:rPr>
        <w:t>normal</w:t>
      </w:r>
      <w:r>
        <w:rPr>
          <w:color w:val="231F20"/>
          <w:spacing w:val="-10"/>
          <w:w w:val="105"/>
        </w:rPr>
        <w:t> </w:t>
      </w:r>
      <w:r>
        <w:rPr>
          <w:color w:val="231F20"/>
          <w:w w:val="105"/>
        </w:rPr>
        <w:t>rate</w:t>
      </w:r>
      <w:r>
        <w:rPr>
          <w:color w:val="231F20"/>
          <w:spacing w:val="-9"/>
          <w:w w:val="105"/>
        </w:rPr>
        <w:t> </w:t>
      </w:r>
      <w:r>
        <w:rPr>
          <w:color w:val="231F20"/>
          <w:w w:val="105"/>
        </w:rPr>
        <w:t>of</w:t>
      </w:r>
      <w:r>
        <w:rPr>
          <w:color w:val="231F20"/>
          <w:spacing w:val="-9"/>
          <w:w w:val="105"/>
        </w:rPr>
        <w:t> </w:t>
      </w:r>
      <w:r>
        <w:rPr>
          <w:color w:val="231F20"/>
          <w:w w:val="105"/>
        </w:rPr>
        <w:t>creatinine</w:t>
      </w:r>
      <w:r>
        <w:rPr>
          <w:color w:val="231F20"/>
          <w:spacing w:val="-9"/>
          <w:w w:val="105"/>
        </w:rPr>
        <w:t> </w:t>
      </w:r>
      <w:r>
        <w:rPr>
          <w:color w:val="231F20"/>
          <w:w w:val="105"/>
        </w:rPr>
        <w:t>excretion</w:t>
      </w:r>
      <w:r>
        <w:rPr>
          <w:color w:val="231F20"/>
          <w:spacing w:val="-9"/>
          <w:w w:val="105"/>
        </w:rPr>
        <w:t> </w:t>
      </w:r>
      <w:r>
        <w:rPr>
          <w:color w:val="231F20"/>
          <w:w w:val="105"/>
        </w:rPr>
        <w:t>occurs</w:t>
      </w:r>
      <w:r>
        <w:rPr>
          <w:color w:val="231F20"/>
          <w:spacing w:val="-10"/>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expense of</w:t>
      </w:r>
      <w:r>
        <w:rPr>
          <w:color w:val="231F20"/>
          <w:spacing w:val="-11"/>
          <w:w w:val="105"/>
        </w:rPr>
        <w:t> </w:t>
      </w:r>
      <w:r>
        <w:rPr>
          <w:color w:val="231F20"/>
          <w:w w:val="105"/>
        </w:rPr>
        <w:t>elevated</w:t>
      </w:r>
      <w:r>
        <w:rPr>
          <w:color w:val="231F20"/>
          <w:spacing w:val="-10"/>
          <w:w w:val="105"/>
        </w:rPr>
        <w:t> </w:t>
      </w:r>
      <w:r>
        <w:rPr>
          <w:color w:val="231F20"/>
          <w:w w:val="105"/>
        </w:rPr>
        <w:t>plasma</w:t>
      </w:r>
      <w:r>
        <w:rPr>
          <w:color w:val="231F20"/>
          <w:spacing w:val="-10"/>
          <w:w w:val="105"/>
        </w:rPr>
        <w:t> </w:t>
      </w:r>
      <w:r>
        <w:rPr>
          <w:color w:val="231F20"/>
          <w:w w:val="105"/>
        </w:rPr>
        <w:t>creatinine</w:t>
      </w:r>
      <w:r>
        <w:rPr>
          <w:color w:val="231F20"/>
          <w:spacing w:val="-11"/>
          <w:w w:val="105"/>
        </w:rPr>
        <w:t> </w:t>
      </w:r>
      <w:r>
        <w:rPr>
          <w:color w:val="231F20"/>
          <w:w w:val="105"/>
        </w:rPr>
        <w:t>concentration,</w:t>
      </w:r>
      <w:r>
        <w:rPr>
          <w:color w:val="231F20"/>
          <w:spacing w:val="-10"/>
          <w:w w:val="105"/>
        </w:rPr>
        <w:t> </w:t>
      </w:r>
      <w:r>
        <w:rPr>
          <w:color w:val="231F20"/>
          <w:w w:val="105"/>
        </w:rPr>
        <w:t>as</w:t>
      </w:r>
      <w:r>
        <w:rPr>
          <w:color w:val="231F20"/>
          <w:spacing w:val="-10"/>
          <w:w w:val="105"/>
        </w:rPr>
        <w:t> </w:t>
      </w:r>
      <w:r>
        <w:rPr>
          <w:color w:val="231F20"/>
          <w:w w:val="105"/>
        </w:rPr>
        <w:t>shown</w:t>
      </w:r>
      <w:r>
        <w:rPr>
          <w:color w:val="231F20"/>
          <w:spacing w:val="-11"/>
          <w:w w:val="105"/>
        </w:rPr>
        <w:t> </w:t>
      </w:r>
      <w:r>
        <w:rPr>
          <w:color w:val="231F20"/>
          <w:w w:val="105"/>
        </w:rPr>
        <w:t>in curve A of </w:t>
      </w:r>
      <w:hyperlink w:history="true" w:anchor="_bookmark126">
        <w:r>
          <w:rPr>
            <w:b/>
            <w:color w:val="0080AC"/>
            <w:w w:val="105"/>
          </w:rPr>
          <w:t>Figure</w:t>
        </w:r>
        <w:r>
          <w:rPr>
            <w:b/>
            <w:color w:val="0080AC"/>
            <w:spacing w:val="9"/>
            <w:w w:val="105"/>
          </w:rPr>
          <w:t> </w:t>
        </w:r>
        <w:r>
          <w:rPr>
            <w:b/>
            <w:color w:val="0080AC"/>
            <w:w w:val="105"/>
          </w:rPr>
          <w:t>32-5</w:t>
        </w:r>
      </w:hyperlink>
      <w:r>
        <w:rPr>
          <w:color w:val="231F20"/>
          <w:w w:val="105"/>
        </w:rPr>
        <w:t>.</w:t>
      </w:r>
    </w:p>
    <w:p>
      <w:pPr>
        <w:pStyle w:val="BodyText"/>
        <w:spacing w:line="249" w:lineRule="auto" w:before="9"/>
        <w:ind w:left="319" w:right="1077" w:firstLine="240"/>
        <w:jc w:val="both"/>
      </w:pPr>
      <w:r>
        <w:rPr>
          <w:color w:val="231F20"/>
          <w:w w:val="105"/>
        </w:rPr>
        <w:t>Some</w:t>
      </w:r>
      <w:r>
        <w:rPr>
          <w:color w:val="231F20"/>
          <w:spacing w:val="-12"/>
          <w:w w:val="105"/>
        </w:rPr>
        <w:t> </w:t>
      </w:r>
      <w:r>
        <w:rPr>
          <w:color w:val="231F20"/>
          <w:w w:val="105"/>
        </w:rPr>
        <w:t>solutes,</w:t>
      </w:r>
      <w:r>
        <w:rPr>
          <w:color w:val="231F20"/>
          <w:spacing w:val="-12"/>
          <w:w w:val="105"/>
        </w:rPr>
        <w:t> </w:t>
      </w:r>
      <w:r>
        <w:rPr>
          <w:color w:val="231F20"/>
          <w:w w:val="105"/>
        </w:rPr>
        <w:t>such</w:t>
      </w:r>
      <w:r>
        <w:rPr>
          <w:color w:val="231F20"/>
          <w:spacing w:val="-12"/>
          <w:w w:val="105"/>
        </w:rPr>
        <w:t> </w:t>
      </w:r>
      <w:r>
        <w:rPr>
          <w:color w:val="231F20"/>
          <w:w w:val="105"/>
        </w:rPr>
        <w:t>as</w:t>
      </w:r>
      <w:r>
        <w:rPr>
          <w:color w:val="231F20"/>
          <w:spacing w:val="-11"/>
          <w:w w:val="105"/>
        </w:rPr>
        <w:t> </w:t>
      </w:r>
      <w:r>
        <w:rPr>
          <w:color w:val="231F20"/>
          <w:w w:val="105"/>
        </w:rPr>
        <w:t>phosphate,</w:t>
      </w:r>
      <w:r>
        <w:rPr>
          <w:color w:val="231F20"/>
          <w:spacing w:val="-12"/>
          <w:w w:val="105"/>
        </w:rPr>
        <w:t> </w:t>
      </w:r>
      <w:r>
        <w:rPr>
          <w:color w:val="231F20"/>
          <w:w w:val="105"/>
        </w:rPr>
        <w:t>urate,</w:t>
      </w:r>
      <w:r>
        <w:rPr>
          <w:color w:val="231F20"/>
          <w:spacing w:val="-12"/>
          <w:w w:val="105"/>
        </w:rPr>
        <w:t> </w:t>
      </w:r>
      <w:r>
        <w:rPr>
          <w:color w:val="231F20"/>
          <w:w w:val="105"/>
        </w:rPr>
        <w:t>and</w:t>
      </w:r>
      <w:r>
        <w:rPr>
          <w:color w:val="231F20"/>
          <w:spacing w:val="-11"/>
          <w:w w:val="105"/>
        </w:rPr>
        <w:t> </w:t>
      </w:r>
      <w:r>
        <w:rPr>
          <w:color w:val="231F20"/>
          <w:w w:val="105"/>
        </w:rPr>
        <w:t>hydrogen ions, are often maintained near the normal range until GFR falls below 20 to 30 percent of normal.</w:t>
      </w:r>
      <w:r>
        <w:rPr>
          <w:color w:val="231F20"/>
          <w:spacing w:val="-32"/>
          <w:w w:val="105"/>
        </w:rPr>
        <w:t> </w:t>
      </w:r>
      <w:r>
        <w:rPr>
          <w:color w:val="231F20"/>
          <w:w w:val="105"/>
        </w:rPr>
        <w:t>Thereafter, the plasma concentrations of these substances rise, </w:t>
      </w:r>
      <w:r>
        <w:rPr>
          <w:color w:val="231F20"/>
          <w:spacing w:val="-4"/>
          <w:w w:val="105"/>
        </w:rPr>
        <w:t>but </w:t>
      </w:r>
      <w:r>
        <w:rPr>
          <w:color w:val="231F20"/>
          <w:w w:val="105"/>
        </w:rPr>
        <w:t>not in proportion to the fall in GFR, as shown in curve B of </w:t>
      </w:r>
      <w:hyperlink w:history="true" w:anchor="_bookmark126">
        <w:r>
          <w:rPr>
            <w:b/>
            <w:color w:val="0080AC"/>
            <w:w w:val="105"/>
          </w:rPr>
          <w:t>Figure 32-5</w:t>
        </w:r>
      </w:hyperlink>
      <w:r>
        <w:rPr>
          <w:color w:val="231F20"/>
          <w:w w:val="105"/>
        </w:rPr>
        <w:t>. Maintenance of relatively constant plasma</w:t>
      </w:r>
      <w:r>
        <w:rPr>
          <w:color w:val="231F20"/>
          <w:spacing w:val="-21"/>
          <w:w w:val="105"/>
        </w:rPr>
        <w:t> </w:t>
      </w:r>
      <w:r>
        <w:rPr>
          <w:color w:val="231F20"/>
          <w:w w:val="105"/>
        </w:rPr>
        <w:t>concentrations</w:t>
      </w:r>
      <w:r>
        <w:rPr>
          <w:color w:val="231F20"/>
          <w:spacing w:val="-21"/>
          <w:w w:val="105"/>
        </w:rPr>
        <w:t> </w:t>
      </w:r>
      <w:r>
        <w:rPr>
          <w:color w:val="231F20"/>
          <w:w w:val="105"/>
        </w:rPr>
        <w:t>of</w:t>
      </w:r>
      <w:r>
        <w:rPr>
          <w:color w:val="231F20"/>
          <w:spacing w:val="-21"/>
          <w:w w:val="105"/>
        </w:rPr>
        <w:t> </w:t>
      </w:r>
      <w:r>
        <w:rPr>
          <w:color w:val="231F20"/>
          <w:w w:val="105"/>
        </w:rPr>
        <w:t>these</w:t>
      </w:r>
      <w:r>
        <w:rPr>
          <w:color w:val="231F20"/>
          <w:spacing w:val="-21"/>
          <w:w w:val="105"/>
        </w:rPr>
        <w:t> </w:t>
      </w:r>
      <w:r>
        <w:rPr>
          <w:color w:val="231F20"/>
          <w:w w:val="105"/>
        </w:rPr>
        <w:t>solutes</w:t>
      </w:r>
      <w:r>
        <w:rPr>
          <w:color w:val="231F20"/>
          <w:spacing w:val="-20"/>
          <w:w w:val="105"/>
        </w:rPr>
        <w:t> </w:t>
      </w:r>
      <w:r>
        <w:rPr>
          <w:color w:val="231F20"/>
          <w:w w:val="105"/>
        </w:rPr>
        <w:t>as</w:t>
      </w:r>
      <w:r>
        <w:rPr>
          <w:color w:val="231F20"/>
          <w:spacing w:val="-21"/>
          <w:w w:val="105"/>
        </w:rPr>
        <w:t> </w:t>
      </w:r>
      <w:r>
        <w:rPr>
          <w:color w:val="231F20"/>
          <w:w w:val="105"/>
        </w:rPr>
        <w:t>GFR</w:t>
      </w:r>
      <w:r>
        <w:rPr>
          <w:color w:val="231F20"/>
          <w:spacing w:val="-21"/>
          <w:w w:val="105"/>
        </w:rPr>
        <w:t> </w:t>
      </w:r>
      <w:r>
        <w:rPr>
          <w:color w:val="231F20"/>
          <w:w w:val="105"/>
        </w:rPr>
        <w:t>declines</w:t>
      </w:r>
      <w:r>
        <w:rPr>
          <w:color w:val="231F20"/>
          <w:spacing w:val="-21"/>
          <w:w w:val="105"/>
        </w:rPr>
        <w:t> </w:t>
      </w:r>
      <w:r>
        <w:rPr>
          <w:color w:val="231F20"/>
          <w:w w:val="105"/>
        </w:rPr>
        <w:t>is</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7"/>
        <w:rPr>
          <w:sz w:val="21"/>
        </w:rPr>
      </w:pPr>
    </w:p>
    <w:p>
      <w:pPr>
        <w:spacing w:before="99"/>
        <w:ind w:left="3110" w:right="1327" w:firstLine="0"/>
        <w:jc w:val="center"/>
        <w:rPr>
          <w:rFonts w:ascii="Helvetica"/>
          <w:sz w:val="16"/>
        </w:rPr>
      </w:pPr>
      <w:r>
        <w:rPr/>
        <w:pict>
          <v:group style="position:absolute;margin-left:89.655502pt;margin-top:5.081295pt;width:170pt;height:181.85pt;mso-position-horizontal-relative:page;mso-position-vertical-relative:paragraph;z-index:253313024" coordorigin="1793,102" coordsize="3400,3637">
            <v:shape style="position:absolute;left:0;top:11144;width:3363;height:3627" coordorigin="0,11145" coordsize="3363,3627" path="m1803,3658l1803,3738m2642,3658l2642,3738m3480,3658l3480,3738m4318,3658l4318,3738m5157,3658l5157,3738m1803,112l1803,3658,5166,3658e" filled="false" stroked="true" strokeweight="1pt" strokecolor="#231f20">
              <v:path arrowok="t"/>
              <v:stroke dashstyle="solid"/>
            </v:shape>
            <v:shape style="position:absolute;left:1959;top:157;width:3220;height:3208" coordorigin="1960,158" coordsize="3220,3208" path="m1960,2005l1960,2585,2372,2853,2636,3001,2864,3084,3170,3155,1960,3155,1960,3365,5180,3365,5180,3165,4540,3165,4417,3136,3821,3136,3788,3136,3751,3135,3710,3133,3666,3130,3618,3125,3567,3119,3512,3110,3455,3099,3396,3086,3333,3069,3268,3050,3201,3027,3132,3001,3061,2971,2988,2937,2913,2899,2838,2856,2761,2808,2682,2755,2603,2696,2524,2632,2443,2562,2363,2486,2282,2404,2201,2315,2120,2219,2040,2116,1960,2005xm1960,158l1960,1628,2392,2342,2755,2737,3245,2954,4060,3135,3910,3135,3850,3136,3821,3136,4417,3136,3696,2969,3186,2721,2802,2258,2340,1415,2304,1342,2270,1264,2238,1182,2208,1098,2179,1011,2153,924,2128,836,2105,749,2083,664,2063,582,2044,503,2027,429,2011,360,1996,298,1983,243,1971,196,1960,158xe" filled="true" fillcolor="#d4e5f3" stroked="false">
              <v:path arrowok="t"/>
              <v:fill type="solid"/>
            </v:shape>
            <v:shape style="position:absolute;left:1959;top:157;width:3220;height:3208" coordorigin="1960,158" coordsize="3220,3208" path="m1960,158l1960,1628,2392,2342,2755,2737,3245,2954,4060,3135,3910,3135,3894,3135,3874,3136,3850,3136,3821,3136,3788,3136,3751,3135,3666,3130,3567,3119,3455,3099,3396,3086,3333,3069,3268,3050,3201,3027,3132,3001,3061,2971,2988,2937,2913,2899,2838,2856,2761,2808,2682,2755,2603,2696,2524,2632,2443,2562,2363,2486,2282,2404,2201,2315,2120,2219,2040,2116,1960,2005,1960,2585,2372,2853,2636,3001,2864,3084,3170,3155,1960,3155,1960,3365,5180,3365,5180,3165,4540,3165,3696,2969,3186,2721,2802,2258,2340,1415,2304,1342,2270,1264,2238,1182,2208,1098,2179,1011,2153,924,2128,836,2105,749,2083,664,2063,582,2044,503,2027,429,2011,360,1996,298,1983,243,1971,196,1960,158xe" filled="false" stroked="true" strokeweight="1.25pt" strokecolor="#5271ad">
              <v:path arrowok="t"/>
              <v:stroke dashstyle="solid"/>
            </v:shape>
            <v:shape style="position:absolute;left:1992;top:1072;width:803;height:511" type="#_x0000_t202" filled="false" stroked="false">
              <v:textbox inset="0,0,0,0">
                <w:txbxContent>
                  <w:p>
                    <w:pPr>
                      <w:spacing w:line="162" w:lineRule="exact" w:before="4"/>
                      <w:ind w:left="0" w:right="0" w:firstLine="0"/>
                      <w:jc w:val="left"/>
                      <w:rPr>
                        <w:rFonts w:ascii="Helvetica"/>
                        <w:b/>
                        <w:sz w:val="16"/>
                      </w:rPr>
                    </w:pPr>
                    <w:r>
                      <w:rPr>
                        <w:rFonts w:ascii="Helvetica"/>
                        <w:b/>
                        <w:color w:val="231F20"/>
                        <w:w w:val="99"/>
                        <w:sz w:val="16"/>
                      </w:rPr>
                      <w:t>A</w:t>
                    </w:r>
                  </w:p>
                  <w:p>
                    <w:pPr>
                      <w:spacing w:line="160" w:lineRule="exact" w:before="0"/>
                      <w:ind w:left="0" w:right="0" w:firstLine="0"/>
                      <w:jc w:val="left"/>
                      <w:rPr>
                        <w:rFonts w:ascii="Helvetica"/>
                        <w:b/>
                        <w:sz w:val="16"/>
                      </w:rPr>
                    </w:pPr>
                    <w:r>
                      <w:rPr>
                        <w:rFonts w:ascii="Helvetica"/>
                        <w:b/>
                        <w:color w:val="231F20"/>
                        <w:sz w:val="16"/>
                      </w:rPr>
                      <w:t>Creatinine</w:t>
                    </w:r>
                  </w:p>
                  <w:p>
                    <w:pPr>
                      <w:spacing w:line="182" w:lineRule="exact" w:before="0"/>
                      <w:ind w:left="0" w:right="0" w:firstLine="0"/>
                      <w:jc w:val="left"/>
                      <w:rPr>
                        <w:rFonts w:ascii="Helvetica"/>
                        <w:b/>
                        <w:sz w:val="16"/>
                      </w:rPr>
                    </w:pPr>
                    <w:r>
                      <w:rPr>
                        <w:rFonts w:ascii="Helvetica"/>
                        <w:b/>
                        <w:color w:val="231F20"/>
                        <w:sz w:val="16"/>
                      </w:rPr>
                      <w:t>Urea</w:t>
                    </w:r>
                  </w:p>
                </w:txbxContent>
              </v:textbox>
              <w10:wrap type="none"/>
            </v:shape>
            <v:shape style="position:absolute;left:2029;top:2309;width:318;height:412" type="#_x0000_t202" filled="false" stroked="false">
              <v:textbox inset="0,0,0,0">
                <w:txbxContent>
                  <w:p>
                    <w:pPr>
                      <w:spacing w:line="235" w:lineRule="auto" w:before="7"/>
                      <w:ind w:left="0" w:right="0" w:firstLine="0"/>
                      <w:jc w:val="left"/>
                      <w:rPr>
                        <w:rFonts w:ascii="Helvetica"/>
                        <w:b/>
                        <w:sz w:val="12"/>
                      </w:rPr>
                    </w:pPr>
                    <w:r>
                      <w:rPr>
                        <w:rFonts w:ascii="Helvetica"/>
                        <w:b/>
                        <w:color w:val="231F20"/>
                        <w:sz w:val="16"/>
                      </w:rPr>
                      <w:t>B PO</w:t>
                    </w:r>
                    <w:r>
                      <w:rPr>
                        <w:rFonts w:ascii="Helvetica"/>
                        <w:b/>
                        <w:color w:val="231F20"/>
                        <w:position w:val="-4"/>
                        <w:sz w:val="12"/>
                      </w:rPr>
                      <w:t>4</w:t>
                    </w:r>
                  </w:p>
                </w:txbxContent>
              </v:textbox>
              <w10:wrap type="none"/>
            </v:shape>
            <v:shape style="position:absolute;left:2385;top:2658;width:206;height:202" type="#_x0000_t202" filled="false" stroked="false">
              <v:textbox inset="0,0,0,0">
                <w:txbxContent>
                  <w:p>
                    <w:pPr>
                      <w:spacing w:before="3"/>
                      <w:ind w:left="0" w:right="0" w:firstLine="0"/>
                      <w:jc w:val="left"/>
                      <w:rPr>
                        <w:rFonts w:ascii="Helvetica"/>
                        <w:b/>
                        <w:sz w:val="12"/>
                      </w:rPr>
                    </w:pPr>
                    <w:r>
                      <w:rPr>
                        <w:rFonts w:ascii="Helvetica"/>
                        <w:b/>
                        <w:color w:val="231F20"/>
                        <w:position w:val="-4"/>
                        <w:sz w:val="16"/>
                      </w:rPr>
                      <w:t>H</w:t>
                    </w:r>
                    <w:r>
                      <w:rPr>
                        <w:rFonts w:ascii="Helvetica"/>
                        <w:b/>
                        <w:color w:val="231F20"/>
                        <w:sz w:val="12"/>
                      </w:rPr>
                      <w:t>+</w:t>
                    </w:r>
                  </w:p>
                </w:txbxContent>
              </v:textbox>
              <w10:wrap type="none"/>
            </v:shape>
            <v:shape style="position:absolute;left:2029;top:3149;width:815;height:202" type="#_x0000_t202" filled="false" stroked="false">
              <v:textbox inset="0,0,0,0">
                <w:txbxContent>
                  <w:p>
                    <w:pPr>
                      <w:spacing w:before="3"/>
                      <w:ind w:left="0" w:right="0" w:firstLine="0"/>
                      <w:jc w:val="left"/>
                      <w:rPr>
                        <w:rFonts w:ascii="Helvetica" w:hAnsi="Helvetica"/>
                        <w:b/>
                        <w:sz w:val="12"/>
                      </w:rPr>
                    </w:pPr>
                    <w:r>
                      <w:rPr>
                        <w:rFonts w:ascii="Helvetica" w:hAnsi="Helvetica"/>
                        <w:b/>
                        <w:color w:val="231F20"/>
                        <w:sz w:val="16"/>
                      </w:rPr>
                      <w:t>C Na</w:t>
                    </w:r>
                    <w:r>
                      <w:rPr>
                        <w:rFonts w:ascii="Helvetica" w:hAnsi="Helvetica"/>
                        <w:b/>
                        <w:color w:val="231F20"/>
                        <w:position w:val="5"/>
                        <w:sz w:val="12"/>
                      </w:rPr>
                      <w:t>+</w:t>
                    </w:r>
                    <w:r>
                      <w:rPr>
                        <w:rFonts w:ascii="Helvetica" w:hAnsi="Helvetica"/>
                        <w:b/>
                        <w:color w:val="231F20"/>
                        <w:sz w:val="16"/>
                      </w:rPr>
                      <w:t>, Cl</w:t>
                    </w:r>
                    <w:r>
                      <w:rPr>
                        <w:rFonts w:ascii="Helvetica" w:hAnsi="Helvetica"/>
                        <w:b/>
                        <w:color w:val="231F20"/>
                        <w:position w:val="5"/>
                        <w:sz w:val="12"/>
                      </w:rPr>
                      <w:t>–</w:t>
                    </w:r>
                  </w:p>
                </w:txbxContent>
              </v:textbox>
              <w10:wrap type="none"/>
            </v:shape>
            <w10:wrap type="none"/>
          </v:group>
        </w:pict>
      </w:r>
      <w:r>
        <w:rPr/>
        <w:pict>
          <v:group style="position:absolute;margin-left:362.43631pt;margin-top:8.64339pt;width:155.950pt;height:123.05pt;mso-position-horizontal-relative:page;mso-position-vertical-relative:paragraph;z-index:253317120" coordorigin="7249,173" coordsize="3119,2461">
            <v:shape style="position:absolute;left:7336;top:2104;width:2972;height:373" coordorigin="7336,2104" coordsize="2972,373" path="m10307,2104l7337,2104,7336,2474,8251,2477,8543,2476,8605,2475,8879,2459,9129,2438,9321,2419,9420,2408,9521,2396,9621,2383,9719,2368,9815,2353,9907,2336,9993,2318,10073,2298,10145,2278,10208,2256,10303,2207,10307,2104xe" filled="true" fillcolor="#efbd98" stroked="false">
              <v:path arrowok="t"/>
              <v:fill type="solid"/>
            </v:shape>
            <v:shape style="position:absolute;left:7336;top:419;width:2977;height:1685" coordorigin="7337,420" coordsize="2977,1685" path="m7598,420l7535,421,7471,423,7406,428,7339,434,7337,2104,10307,2104,10313,1987,10214,1922,9964,1749,9638,1504,9306,1221,9260,1178,9213,1135,9165,1091,9115,1047,9063,1003,9010,958,8955,915,8898,871,8839,829,8779,787,8716,747,8652,708,8585,670,8516,634,8445,601,8372,569,8296,540,8218,513,8138,490,8055,469,7969,452,7880,438,7789,428,7695,422,7598,420xe" filled="true" fillcolor="#f8a7a0" stroked="false">
              <v:path arrowok="t"/>
              <v:fill type="solid"/>
            </v:shape>
            <v:line style="position:absolute" from="7329,2104" to="10313,2104" stroked="true" strokeweight="1pt" strokecolor="#2384c6">
              <v:stroke dashstyle="solid"/>
            </v:line>
            <v:shape style="position:absolute;left:7325;top:2196;width:2989;height:291" coordorigin="7326,2196" coordsize="2989,291" path="m7331,2464l7326,2468,7326,2480,7330,2484,8251,2487,8543,2486,8605,2485,8643,2484,8900,2467,8251,2467,7331,2464xm10301,2196l10297,2199,10270,2216,10238,2232,10201,2248,10158,2263,10098,2281,10031,2298,9959,2315,9882,2330,9801,2345,9718,2358,9632,2371,9544,2383,9457,2394,9283,2413,9058,2434,8864,2450,8642,2464,8605,2465,8543,2466,8251,2467,8900,2467,8917,2466,9102,2451,9312,2430,9500,2409,9579,2399,9658,2388,9735,2376,9810,2364,9883,2351,9953,2337,10011,2324,10066,2310,10117,2296,10165,2282,10208,2266,10247,2250,10280,2233,10308,2216,10313,2212,10314,2206,10308,2197,10301,2196xe" filled="true" fillcolor="#e2874a" stroked="false">
              <v:path arrowok="t"/>
              <v:fill type="solid"/>
            </v:shape>
            <v:shape style="position:absolute;left:7328;top:409;width:2996;height:1590" coordorigin="7329,410" coordsize="2996,1590" path="m7891,430l7598,430,7695,432,7788,438,7879,448,7967,462,8052,479,8135,499,8215,523,8293,549,8368,578,8441,610,8512,643,8580,679,8647,716,8711,755,8773,795,8834,837,8892,879,8949,922,9003,966,9056,1010,9108,1054,9158,1098,9206,1142,9253,1185,9299,1228,9379,1301,9461,1372,9546,1443,9631,1512,9717,1578,9800,1641,9881,1701,9959,1757,10031,1809,10097,1855,10157,1896,10208,1930,10281,1979,10312,1999,10318,1997,10324,1988,10323,1982,10309,1973,10225,1918,10125,1850,10065,1808,10000,1762,9930,1712,9856,1658,9779,1600,9701,1540,9621,1478,9542,1413,9463,1348,9387,1281,9313,1213,9267,1171,9220,1127,9171,1084,9121,1039,9069,995,9016,951,8961,907,8904,863,8845,821,8784,779,8722,738,8657,699,8590,661,8521,625,8450,591,8376,560,8300,530,8221,504,8140,480,8057,459,7971,442,7891,430xm7598,410l7535,411,7471,413,7405,418,7338,424,7333,425,7329,430,7329,431,7330,441,7335,445,7340,444,7407,438,7472,433,7536,431,7598,430,7891,430,7882,428,7790,418,7696,412,7598,410xe" filled="true" fillcolor="#f0535f" stroked="false">
              <v:path arrowok="t"/>
              <v:fill type="solid"/>
            </v:shape>
            <v:shape style="position:absolute;left:7248;top:648;width:3090;height:1985" coordorigin="7249,648" coordsize="3090,1985" path="m7349,2534l7344,2530,7253,2530,7249,2534,7249,2545,7253,2550,7329,2550,7329,2628,7333,2633,7344,2633,7349,2628,7349,2545,7349,2537,7349,2534m7349,2060l7344,2055,7253,2055,7249,2060,7249,2071,7253,2075,7344,2075,7349,2071,7349,2060m7349,1591l7344,1586,7253,1586,7249,1591,7249,1602,7253,1606,7344,1606,7349,1602,7349,1591m7349,1122l7344,1117,7253,1117,7249,1122,7249,1133,7253,1137,7344,1137,7349,1133,7349,1122m7349,653l7344,648,7253,648,7249,653,7249,664,7253,668,7344,668,7349,664,7349,653m8096,2537l8092,2533,8081,2533,8076,2537,8076,2628,8081,2633,8092,2633,8096,2628,8096,2537m8844,2537l8839,2533,8828,2533,8824,2537,8824,2628,8828,2633,8839,2633,8844,2628,8844,2537m9591,2537l9587,2533,9576,2533,9571,2537,9571,2628,9576,2633,9587,2633,9591,2628,9591,2537m10339,2537l10334,2533,10323,2533,10319,2537,10319,2628,10323,2633,10334,2633,10339,2628,10339,2537e" filled="true" fillcolor="#231f20" stroked="false">
              <v:path arrowok="t"/>
              <v:fill type="solid"/>
            </v:shape>
            <v:shape style="position:absolute;left:9980;top:1607;width:343;height:120" type="#_x0000_t75" stroked="false">
              <v:imagedata r:id="rId1059" o:title=""/>
            </v:shape>
            <v:shape style="position:absolute;left:7248;top:172;width:3090;height:2380" coordorigin="7249,173" coordsize="3090,2380" path="m10158,1603l9941,1323,9929,1332,10146,1612,10158,1603m10339,2537l10334,2533,7349,2533,7349,195,7349,184,7349,177,7344,173,7333,173,7329,177,7329,179,7253,179,7249,184,7249,195,7253,199,7329,199,7329,2545,7330,2548,7334,2552,7336,2553,10334,2553,10339,2548,10339,2537e" filled="true" fillcolor="#231f20" stroked="false">
              <v:path arrowok="t"/>
              <v:fill type="solid"/>
            </v:shape>
            <v:shape style="position:absolute;left:7397;top:213;width:61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Maximal</w:t>
                    </w:r>
                  </w:p>
                </w:txbxContent>
              </v:textbox>
              <w10:wrap type="none"/>
            </v:shape>
            <v:shape style="position:absolute;left:9476;top:1125;width:8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Isosthenuria</w:t>
                    </w:r>
                  </w:p>
                </w:txbxContent>
              </v:textbox>
              <w10:wrap type="none"/>
            </v:shape>
            <v:shape style="position:absolute;left:7396;top:1895;width:2385;height:579"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Glomerular filtrate specific gravity</w:t>
                    </w:r>
                  </w:p>
                  <w:p>
                    <w:pPr>
                      <w:spacing w:line="240" w:lineRule="auto" w:before="2"/>
                      <w:rPr>
                        <w:rFonts w:ascii="Helvetica"/>
                        <w:sz w:val="18"/>
                      </w:rPr>
                    </w:pPr>
                  </w:p>
                  <w:p>
                    <w:pPr>
                      <w:spacing w:before="0"/>
                      <w:ind w:left="1" w:right="0" w:firstLine="0"/>
                      <w:jc w:val="left"/>
                      <w:rPr>
                        <w:rFonts w:ascii="Helvetica"/>
                        <w:sz w:val="16"/>
                      </w:rPr>
                    </w:pPr>
                    <w:r>
                      <w:rPr>
                        <w:rFonts w:ascii="Helvetica"/>
                        <w:color w:val="231F20"/>
                        <w:sz w:val="16"/>
                      </w:rPr>
                      <w:t>Minimal</w:t>
                    </w:r>
                  </w:p>
                </w:txbxContent>
              </v:textbox>
              <w10:wrap type="none"/>
            </v:shape>
            <w10:wrap type="none"/>
          </v:group>
        </w:pict>
      </w:r>
      <w:r>
        <w:rPr>
          <w:rFonts w:ascii="Helvetica"/>
          <w:color w:val="231F20"/>
          <w:sz w:val="16"/>
        </w:rPr>
        <w:t>1.050</w:t>
      </w:r>
    </w:p>
    <w:p>
      <w:pPr>
        <w:pStyle w:val="BodyText"/>
        <w:spacing w:before="9"/>
        <w:rPr>
          <w:rFonts w:ascii="Helvetica"/>
          <w:sz w:val="24"/>
        </w:rPr>
      </w:pPr>
    </w:p>
    <w:p>
      <w:pPr>
        <w:spacing w:before="1"/>
        <w:ind w:left="3110" w:right="1327" w:firstLine="0"/>
        <w:jc w:val="center"/>
        <w:rPr>
          <w:rFonts w:ascii="Helvetica"/>
          <w:sz w:val="16"/>
        </w:rPr>
      </w:pPr>
      <w:r>
        <w:rPr/>
        <w:pict>
          <v:shape style="position:absolute;margin-left:325.489807pt;margin-top:-7.045189pt;width:11.55pt;height:92.7pt;mso-position-horizontal-relative:page;mso-position-vertical-relative:paragraph;z-index:25331916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Specific gravity of urine</w:t>
                  </w:r>
                </w:p>
              </w:txbxContent>
            </v:textbox>
            <w10:wrap type="none"/>
          </v:shape>
        </w:pict>
      </w:r>
      <w:r>
        <w:rPr>
          <w:rFonts w:ascii="Helvetica"/>
          <w:color w:val="231F20"/>
          <w:sz w:val="16"/>
        </w:rPr>
        <w:t>1.040</w:t>
      </w:r>
    </w:p>
    <w:p>
      <w:pPr>
        <w:pStyle w:val="BodyText"/>
        <w:spacing w:before="3"/>
        <w:rPr>
          <w:rFonts w:ascii="Helvetica"/>
          <w:sz w:val="16"/>
        </w:rPr>
      </w:pPr>
    </w:p>
    <w:p>
      <w:pPr>
        <w:spacing w:before="99"/>
        <w:ind w:left="3110" w:right="1327" w:firstLine="0"/>
        <w:jc w:val="center"/>
        <w:rPr>
          <w:rFonts w:ascii="Helvetica"/>
          <w:sz w:val="16"/>
        </w:rPr>
      </w:pPr>
      <w:r>
        <w:rPr/>
        <w:pict>
          <v:shape style="position:absolute;margin-left:75.597198pt;margin-top:3.851279pt;width:11.55pt;height:85.15pt;mso-position-horizontal-relative:page;mso-position-vertical-relative:paragraph;z-index:25331814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Plasma concentration</w:t>
                  </w:r>
                </w:p>
              </w:txbxContent>
            </v:textbox>
            <w10:wrap type="none"/>
          </v:shape>
        </w:pict>
      </w:r>
      <w:r>
        <w:rPr>
          <w:rFonts w:ascii="Helvetica"/>
          <w:color w:val="231F20"/>
          <w:sz w:val="16"/>
        </w:rPr>
        <w:t>1.030</w:t>
      </w:r>
    </w:p>
    <w:p>
      <w:pPr>
        <w:pStyle w:val="BodyText"/>
        <w:spacing w:before="10"/>
        <w:rPr>
          <w:rFonts w:ascii="Helvetica"/>
          <w:sz w:val="24"/>
        </w:rPr>
      </w:pPr>
    </w:p>
    <w:p>
      <w:pPr>
        <w:spacing w:before="0"/>
        <w:ind w:left="3110" w:right="1327" w:firstLine="0"/>
        <w:jc w:val="center"/>
        <w:rPr>
          <w:rFonts w:ascii="Helvetica"/>
          <w:sz w:val="16"/>
        </w:rPr>
      </w:pPr>
      <w:r>
        <w:rPr>
          <w:rFonts w:ascii="Helvetica"/>
          <w:color w:val="231F20"/>
          <w:sz w:val="16"/>
        </w:rPr>
        <w:t>1.020</w:t>
      </w:r>
    </w:p>
    <w:p>
      <w:pPr>
        <w:pStyle w:val="BodyText"/>
        <w:rPr>
          <w:rFonts w:ascii="Helvetica"/>
          <w:sz w:val="24"/>
        </w:rPr>
      </w:pPr>
    </w:p>
    <w:p>
      <w:pPr>
        <w:spacing w:before="0"/>
        <w:ind w:left="3110" w:right="1327" w:firstLine="0"/>
        <w:jc w:val="center"/>
        <w:rPr>
          <w:rFonts w:ascii="Helvetica"/>
          <w:sz w:val="16"/>
        </w:rPr>
      </w:pPr>
      <w:r>
        <w:rPr>
          <w:rFonts w:ascii="Helvetica"/>
          <w:color w:val="231F20"/>
          <w:sz w:val="16"/>
        </w:rPr>
        <w:t>1.010</w:t>
      </w:r>
    </w:p>
    <w:p>
      <w:pPr>
        <w:pStyle w:val="BodyText"/>
        <w:rPr>
          <w:rFonts w:ascii="Helvetica"/>
          <w:sz w:val="17"/>
        </w:rPr>
      </w:pPr>
    </w:p>
    <w:p>
      <w:pPr>
        <w:spacing w:after="0"/>
        <w:rPr>
          <w:rFonts w:ascii="Helvetica"/>
          <w:sz w:val="17"/>
        </w:rPr>
        <w:sectPr>
          <w:headerReference w:type="even" r:id="rId1056"/>
          <w:footerReference w:type="even" r:id="rId1057"/>
          <w:footerReference w:type="default" r:id="rId1058"/>
          <w:pgSz w:w="12240" w:h="15660"/>
          <w:pgMar w:header="0" w:footer="567" w:top="720" w:bottom="760" w:left="0" w:right="0"/>
          <w:pgNumType w:start="436"/>
        </w:sectPr>
      </w:pPr>
    </w:p>
    <w:p>
      <w:pPr>
        <w:spacing w:before="99"/>
        <w:ind w:left="6811" w:right="0" w:firstLine="0"/>
        <w:jc w:val="left"/>
        <w:rPr>
          <w:rFonts w:ascii="Helvetica"/>
          <w:sz w:val="16"/>
        </w:rPr>
      </w:pPr>
      <w:r>
        <w:rPr>
          <w:rFonts w:ascii="Helvetica"/>
          <w:color w:val="231F20"/>
          <w:sz w:val="16"/>
        </w:rPr>
        <w:t>1.000</w:t>
      </w:r>
    </w:p>
    <w:p>
      <w:pPr>
        <w:spacing w:before="13"/>
        <w:ind w:left="6963" w:right="0" w:firstLine="0"/>
        <w:jc w:val="left"/>
        <w:rPr>
          <w:rFonts w:ascii="Helvetica"/>
          <w:sz w:val="16"/>
        </w:rPr>
      </w:pPr>
      <w:r>
        <w:rPr>
          <w:rFonts w:ascii="Helvetica"/>
          <w:color w:val="231F20"/>
          <w:sz w:val="16"/>
        </w:rPr>
        <w:t>2,000,000 1,500,000 </w:t>
      </w:r>
      <w:r>
        <w:rPr>
          <w:rFonts w:ascii="Helvetica"/>
          <w:color w:val="231F20"/>
          <w:spacing w:val="-3"/>
          <w:sz w:val="16"/>
        </w:rPr>
        <w:t>1,000,000</w:t>
      </w:r>
    </w:p>
    <w:p>
      <w:pPr>
        <w:pStyle w:val="BodyText"/>
        <w:spacing w:before="8"/>
        <w:rPr>
          <w:rFonts w:ascii="Helvetica"/>
          <w:sz w:val="25"/>
        </w:rPr>
      </w:pPr>
      <w:r>
        <w:rPr/>
        <w:br w:type="column"/>
      </w:r>
      <w:r>
        <w:rPr>
          <w:rFonts w:ascii="Helvetica"/>
          <w:sz w:val="25"/>
        </w:rPr>
      </w:r>
    </w:p>
    <w:p>
      <w:pPr>
        <w:tabs>
          <w:tab w:pos="1060" w:val="left" w:leader="none"/>
        </w:tabs>
        <w:spacing w:before="1"/>
        <w:ind w:left="68" w:right="0" w:firstLine="0"/>
        <w:jc w:val="left"/>
        <w:rPr>
          <w:rFonts w:ascii="Helvetica"/>
          <w:sz w:val="16"/>
        </w:rPr>
      </w:pPr>
      <w:r>
        <w:rPr>
          <w:rFonts w:ascii="Helvetica"/>
          <w:color w:val="231F20"/>
          <w:sz w:val="16"/>
        </w:rPr>
        <w:t>500,000</w:t>
        <w:tab/>
        <w:t>0</w:t>
      </w:r>
    </w:p>
    <w:p>
      <w:pPr>
        <w:spacing w:after="0"/>
        <w:jc w:val="left"/>
        <w:rPr>
          <w:rFonts w:ascii="Helvetica"/>
          <w:sz w:val="16"/>
        </w:rPr>
        <w:sectPr>
          <w:type w:val="continuous"/>
          <w:pgSz w:w="12240" w:h="15660"/>
          <w:pgMar w:top="0" w:bottom="760" w:left="0" w:right="0"/>
          <w:cols w:num="2" w:equalWidth="0">
            <w:col w:w="9185" w:space="40"/>
            <w:col w:w="3015"/>
          </w:cols>
        </w:sectPr>
      </w:pPr>
    </w:p>
    <w:p>
      <w:pPr>
        <w:spacing w:before="68"/>
        <w:ind w:left="7412" w:right="0" w:firstLine="0"/>
        <w:jc w:val="left"/>
        <w:rPr>
          <w:rFonts w:ascii="Helvetica"/>
          <w:b/>
          <w:sz w:val="16"/>
        </w:rPr>
      </w:pPr>
      <w:r>
        <w:rPr/>
        <w:pict>
          <v:rect style="position:absolute;margin-left:0pt;margin-top:2.114722pt;width:36pt;height:24pt;mso-position-horizontal-relative:page;mso-position-vertical-relative:paragraph;z-index:253307904" filled="true" fillcolor="#e8dac8" stroked="false">
            <v:fill type="solid"/>
            <w10:wrap type="none"/>
          </v:rect>
        </w:pict>
      </w:r>
      <w:r>
        <w:rPr>
          <w:rFonts w:ascii="Helvetica"/>
          <w:b/>
          <w:color w:val="231F20"/>
          <w:sz w:val="16"/>
        </w:rPr>
        <w:t>Number of nephrons in both kidneys</w:t>
      </w:r>
    </w:p>
    <w:p>
      <w:pPr>
        <w:spacing w:line="259" w:lineRule="auto" w:before="92"/>
        <w:ind w:left="6120" w:right="1428" w:hanging="1"/>
        <w:jc w:val="left"/>
        <w:rPr>
          <w:rFonts w:ascii="Arial"/>
          <w:sz w:val="16"/>
        </w:rPr>
      </w:pPr>
      <w:bookmarkStart w:name="_bookmark125" w:id="126"/>
      <w:bookmarkEnd w:id="126"/>
      <w:r>
        <w:rPr/>
      </w:r>
      <w:r>
        <w:rPr>
          <w:rFonts w:ascii="Trebuchet MS"/>
          <w:b/>
          <w:color w:val="231F20"/>
          <w:sz w:val="16"/>
        </w:rPr>
        <w:t>Figure</w:t>
      </w:r>
      <w:r>
        <w:rPr>
          <w:rFonts w:ascii="Trebuchet MS"/>
          <w:b/>
          <w:color w:val="231F20"/>
          <w:spacing w:val="-34"/>
          <w:sz w:val="16"/>
        </w:rPr>
        <w:t> </w:t>
      </w:r>
      <w:r>
        <w:rPr>
          <w:rFonts w:ascii="Trebuchet MS"/>
          <w:b/>
          <w:color w:val="231F20"/>
          <w:sz w:val="16"/>
        </w:rPr>
        <w:t>32-6.</w:t>
      </w:r>
      <w:r>
        <w:rPr>
          <w:rFonts w:ascii="Trebuchet MS"/>
          <w:b/>
          <w:color w:val="231F20"/>
          <w:spacing w:val="-7"/>
          <w:sz w:val="16"/>
        </w:rPr>
        <w:t> </w:t>
      </w:r>
      <w:r>
        <w:rPr>
          <w:rFonts w:ascii="Arial"/>
          <w:color w:val="231F20"/>
          <w:sz w:val="16"/>
        </w:rPr>
        <w:t>Development</w:t>
      </w:r>
      <w:r>
        <w:rPr>
          <w:rFonts w:ascii="Arial"/>
          <w:color w:val="231F20"/>
          <w:spacing w:val="-29"/>
          <w:sz w:val="16"/>
        </w:rPr>
        <w:t> </w:t>
      </w:r>
      <w:r>
        <w:rPr>
          <w:rFonts w:ascii="Arial"/>
          <w:color w:val="231F20"/>
          <w:sz w:val="16"/>
        </w:rPr>
        <w:t>of</w:t>
      </w:r>
      <w:r>
        <w:rPr>
          <w:rFonts w:ascii="Arial"/>
          <w:color w:val="231F20"/>
          <w:spacing w:val="-30"/>
          <w:sz w:val="16"/>
        </w:rPr>
        <w:t> </w:t>
      </w:r>
      <w:r>
        <w:rPr>
          <w:rFonts w:ascii="Arial"/>
          <w:color w:val="231F20"/>
          <w:sz w:val="16"/>
        </w:rPr>
        <w:t>isosthenuria</w:t>
      </w:r>
      <w:r>
        <w:rPr>
          <w:rFonts w:ascii="Arial"/>
          <w:color w:val="231F20"/>
          <w:spacing w:val="-30"/>
          <w:sz w:val="16"/>
        </w:rPr>
        <w:t> </w:t>
      </w:r>
      <w:r>
        <w:rPr>
          <w:rFonts w:ascii="Arial"/>
          <w:color w:val="231F20"/>
          <w:sz w:val="16"/>
        </w:rPr>
        <w:t>in</w:t>
      </w:r>
      <w:r>
        <w:rPr>
          <w:rFonts w:ascii="Arial"/>
          <w:color w:val="231F20"/>
          <w:spacing w:val="-29"/>
          <w:sz w:val="16"/>
        </w:rPr>
        <w:t> </w:t>
      </w:r>
      <w:r>
        <w:rPr>
          <w:rFonts w:ascii="Arial"/>
          <w:color w:val="231F20"/>
          <w:sz w:val="16"/>
        </w:rPr>
        <w:t>a</w:t>
      </w:r>
      <w:r>
        <w:rPr>
          <w:rFonts w:ascii="Arial"/>
          <w:color w:val="231F20"/>
          <w:spacing w:val="-30"/>
          <w:sz w:val="16"/>
        </w:rPr>
        <w:t> </w:t>
      </w:r>
      <w:r>
        <w:rPr>
          <w:rFonts w:ascii="Arial"/>
          <w:color w:val="231F20"/>
          <w:sz w:val="16"/>
        </w:rPr>
        <w:t>patient</w:t>
      </w:r>
      <w:r>
        <w:rPr>
          <w:rFonts w:ascii="Arial"/>
          <w:color w:val="231F20"/>
          <w:spacing w:val="-29"/>
          <w:sz w:val="16"/>
        </w:rPr>
        <w:t> </w:t>
      </w:r>
      <w:r>
        <w:rPr>
          <w:rFonts w:ascii="Arial"/>
          <w:color w:val="231F20"/>
          <w:sz w:val="16"/>
        </w:rPr>
        <w:t>with</w:t>
      </w:r>
      <w:r>
        <w:rPr>
          <w:rFonts w:ascii="Arial"/>
          <w:color w:val="231F20"/>
          <w:spacing w:val="-30"/>
          <w:sz w:val="16"/>
        </w:rPr>
        <w:t> </w:t>
      </w:r>
      <w:r>
        <w:rPr>
          <w:rFonts w:ascii="Arial"/>
          <w:color w:val="231F20"/>
          <w:spacing w:val="-3"/>
          <w:sz w:val="16"/>
        </w:rPr>
        <w:t>decreased </w:t>
      </w:r>
      <w:r>
        <w:rPr>
          <w:rFonts w:ascii="Arial"/>
          <w:color w:val="231F20"/>
          <w:sz w:val="16"/>
        </w:rPr>
        <w:t>numbers of functional</w:t>
      </w:r>
      <w:r>
        <w:rPr>
          <w:rFonts w:ascii="Arial"/>
          <w:color w:val="231F20"/>
          <w:spacing w:val="21"/>
          <w:sz w:val="16"/>
        </w:rPr>
        <w:t> </w:t>
      </w:r>
      <w:r>
        <w:rPr>
          <w:rFonts w:ascii="Arial"/>
          <w:color w:val="231F20"/>
          <w:sz w:val="16"/>
        </w:rPr>
        <w:t>nephrons.</w:t>
      </w:r>
    </w:p>
    <w:p>
      <w:pPr>
        <w:spacing w:after="0" w:line="259" w:lineRule="auto"/>
        <w:jc w:val="left"/>
        <w:rPr>
          <w:rFonts w:ascii="Arial"/>
          <w:sz w:val="16"/>
        </w:rPr>
        <w:sectPr>
          <w:type w:val="continuous"/>
          <w:pgSz w:w="12240" w:h="15660"/>
          <w:pgMar w:top="0" w:bottom="760" w:left="0" w:right="0"/>
        </w:sectPr>
      </w:pPr>
    </w:p>
    <w:p>
      <w:pPr>
        <w:pStyle w:val="BodyText"/>
        <w:spacing w:before="10"/>
        <w:rPr>
          <w:rFonts w:ascii="Arial"/>
          <w:sz w:val="16"/>
        </w:rPr>
      </w:pPr>
    </w:p>
    <w:p>
      <w:pPr>
        <w:tabs>
          <w:tab w:pos="2078" w:val="left" w:leader="none"/>
          <w:tab w:pos="2918" w:val="left" w:leader="none"/>
          <w:tab w:pos="3758" w:val="left" w:leader="none"/>
          <w:tab w:pos="4555" w:val="left" w:leader="none"/>
        </w:tabs>
        <w:spacing w:before="0"/>
        <w:ind w:left="1289" w:right="0" w:firstLine="0"/>
        <w:jc w:val="center"/>
        <w:rPr>
          <w:rFonts w:ascii="Helvetica"/>
          <w:sz w:val="16"/>
        </w:rPr>
      </w:pPr>
      <w:r>
        <w:rPr>
          <w:rFonts w:ascii="Helvetica"/>
          <w:color w:val="231F20"/>
          <w:sz w:val="16"/>
        </w:rPr>
        <w:t>0</w:t>
        <w:tab/>
        <w:t>25</w:t>
        <w:tab/>
        <w:t>50</w:t>
        <w:tab/>
        <w:t>75</w:t>
        <w:tab/>
        <w:t>100</w:t>
      </w:r>
    </w:p>
    <w:p>
      <w:pPr>
        <w:spacing w:line="235" w:lineRule="auto" w:before="67"/>
        <w:ind w:left="2551" w:right="1331" w:firstLine="0"/>
        <w:jc w:val="center"/>
        <w:rPr>
          <w:rFonts w:ascii="Helvetica"/>
          <w:b/>
          <w:sz w:val="16"/>
        </w:rPr>
      </w:pPr>
      <w:r>
        <w:rPr>
          <w:rFonts w:ascii="Helvetica"/>
          <w:b/>
          <w:color w:val="231F20"/>
          <w:sz w:val="16"/>
        </w:rPr>
        <w:t>Glomerular filtration rate (percentage of normal)</w:t>
      </w:r>
    </w:p>
    <w:p>
      <w:pPr>
        <w:spacing w:line="261" w:lineRule="auto" w:before="93"/>
        <w:ind w:left="1080" w:right="0" w:firstLine="0"/>
        <w:jc w:val="both"/>
        <w:rPr>
          <w:rFonts w:ascii="Arial"/>
          <w:sz w:val="16"/>
        </w:rPr>
      </w:pPr>
      <w:bookmarkStart w:name="_bookmark126" w:id="127"/>
      <w:bookmarkEnd w:id="127"/>
      <w:r>
        <w:rPr/>
      </w:r>
      <w:r>
        <w:rPr>
          <w:rFonts w:ascii="Trebuchet MS"/>
          <w:b/>
          <w:color w:val="231F20"/>
          <w:sz w:val="16"/>
        </w:rPr>
        <w:t>Figure 32-5. </w:t>
      </w:r>
      <w:r>
        <w:rPr>
          <w:rFonts w:ascii="Arial"/>
          <w:color w:val="231F20"/>
          <w:sz w:val="16"/>
        </w:rPr>
        <w:t>Representative patterns of adaptation for </w:t>
      </w:r>
      <w:r>
        <w:rPr>
          <w:rFonts w:ascii="Arial"/>
          <w:color w:val="231F20"/>
          <w:spacing w:val="-3"/>
          <w:sz w:val="16"/>
        </w:rPr>
        <w:t>different </w:t>
      </w:r>
      <w:r>
        <w:rPr>
          <w:rFonts w:ascii="Arial"/>
          <w:color w:val="231F20"/>
          <w:sz w:val="16"/>
        </w:rPr>
        <w:t>types</w:t>
      </w:r>
      <w:r>
        <w:rPr>
          <w:rFonts w:ascii="Arial"/>
          <w:color w:val="231F20"/>
          <w:spacing w:val="-10"/>
          <w:sz w:val="16"/>
        </w:rPr>
        <w:t> </w:t>
      </w:r>
      <w:r>
        <w:rPr>
          <w:rFonts w:ascii="Arial"/>
          <w:color w:val="231F20"/>
          <w:sz w:val="16"/>
        </w:rPr>
        <w:t>of</w:t>
      </w:r>
      <w:r>
        <w:rPr>
          <w:rFonts w:ascii="Arial"/>
          <w:color w:val="231F20"/>
          <w:spacing w:val="-9"/>
          <w:sz w:val="16"/>
        </w:rPr>
        <w:t> </w:t>
      </w:r>
      <w:r>
        <w:rPr>
          <w:rFonts w:ascii="Arial"/>
          <w:color w:val="231F20"/>
          <w:sz w:val="16"/>
        </w:rPr>
        <w:t>solutes</w:t>
      </w:r>
      <w:r>
        <w:rPr>
          <w:rFonts w:ascii="Arial"/>
          <w:color w:val="231F20"/>
          <w:spacing w:val="-9"/>
          <w:sz w:val="16"/>
        </w:rPr>
        <w:t> </w:t>
      </w:r>
      <w:r>
        <w:rPr>
          <w:rFonts w:ascii="Arial"/>
          <w:color w:val="231F20"/>
          <w:sz w:val="16"/>
        </w:rPr>
        <w:t>in</w:t>
      </w:r>
      <w:r>
        <w:rPr>
          <w:rFonts w:ascii="Arial"/>
          <w:color w:val="231F20"/>
          <w:spacing w:val="-10"/>
          <w:sz w:val="16"/>
        </w:rPr>
        <w:t> </w:t>
      </w:r>
      <w:r>
        <w:rPr>
          <w:rFonts w:ascii="Arial"/>
          <w:color w:val="231F20"/>
          <w:sz w:val="16"/>
        </w:rPr>
        <w:t>chronic</w:t>
      </w:r>
      <w:r>
        <w:rPr>
          <w:rFonts w:ascii="Arial"/>
          <w:color w:val="231F20"/>
          <w:spacing w:val="-9"/>
          <w:sz w:val="16"/>
        </w:rPr>
        <w:t> </w:t>
      </w:r>
      <w:r>
        <w:rPr>
          <w:rFonts w:ascii="Arial"/>
          <w:color w:val="231F20"/>
          <w:sz w:val="16"/>
        </w:rPr>
        <w:t>renal</w:t>
      </w:r>
      <w:r>
        <w:rPr>
          <w:rFonts w:ascii="Arial"/>
          <w:color w:val="231F20"/>
          <w:spacing w:val="-9"/>
          <w:sz w:val="16"/>
        </w:rPr>
        <w:t> </w:t>
      </w:r>
      <w:r>
        <w:rPr>
          <w:rFonts w:ascii="Arial"/>
          <w:color w:val="231F20"/>
          <w:sz w:val="16"/>
        </w:rPr>
        <w:t>failure.</w:t>
      </w:r>
      <w:r>
        <w:rPr>
          <w:rFonts w:ascii="Arial"/>
          <w:color w:val="231F20"/>
          <w:spacing w:val="-10"/>
          <w:sz w:val="16"/>
        </w:rPr>
        <w:t> </w:t>
      </w:r>
      <w:r>
        <w:rPr>
          <w:rFonts w:ascii="Arial"/>
          <w:color w:val="231F20"/>
          <w:sz w:val="16"/>
        </w:rPr>
        <w:t>Curve</w:t>
      </w:r>
      <w:r>
        <w:rPr>
          <w:rFonts w:ascii="Arial"/>
          <w:color w:val="231F20"/>
          <w:spacing w:val="-9"/>
          <w:sz w:val="16"/>
        </w:rPr>
        <w:t> </w:t>
      </w:r>
      <w:r>
        <w:rPr>
          <w:rFonts w:ascii="Arial"/>
          <w:color w:val="231F20"/>
          <w:sz w:val="16"/>
        </w:rPr>
        <w:t>A</w:t>
      </w:r>
      <w:r>
        <w:rPr>
          <w:rFonts w:ascii="Arial"/>
          <w:color w:val="231F20"/>
          <w:spacing w:val="-9"/>
          <w:sz w:val="16"/>
        </w:rPr>
        <w:t> </w:t>
      </w:r>
      <w:r>
        <w:rPr>
          <w:rFonts w:ascii="Arial"/>
          <w:color w:val="231F20"/>
          <w:sz w:val="16"/>
        </w:rPr>
        <w:t>shows</w:t>
      </w:r>
      <w:r>
        <w:rPr>
          <w:rFonts w:ascii="Arial"/>
          <w:color w:val="231F20"/>
          <w:spacing w:val="-9"/>
          <w:sz w:val="16"/>
        </w:rPr>
        <w:t> </w:t>
      </w:r>
      <w:r>
        <w:rPr>
          <w:rFonts w:ascii="Arial"/>
          <w:color w:val="231F20"/>
          <w:sz w:val="16"/>
        </w:rPr>
        <w:t>the</w:t>
      </w:r>
      <w:r>
        <w:rPr>
          <w:rFonts w:ascii="Arial"/>
          <w:color w:val="231F20"/>
          <w:spacing w:val="-10"/>
          <w:sz w:val="16"/>
        </w:rPr>
        <w:t> </w:t>
      </w:r>
      <w:r>
        <w:rPr>
          <w:rFonts w:ascii="Arial"/>
          <w:color w:val="231F20"/>
          <w:sz w:val="16"/>
        </w:rPr>
        <w:t>approxi- mate</w:t>
      </w:r>
      <w:r>
        <w:rPr>
          <w:rFonts w:ascii="Arial"/>
          <w:color w:val="231F20"/>
          <w:spacing w:val="-21"/>
          <w:sz w:val="16"/>
        </w:rPr>
        <w:t> </w:t>
      </w:r>
      <w:r>
        <w:rPr>
          <w:rFonts w:ascii="Arial"/>
          <w:color w:val="231F20"/>
          <w:sz w:val="16"/>
        </w:rPr>
        <w:t>changes</w:t>
      </w:r>
      <w:r>
        <w:rPr>
          <w:rFonts w:ascii="Arial"/>
          <w:color w:val="231F20"/>
          <w:spacing w:val="-21"/>
          <w:sz w:val="16"/>
        </w:rPr>
        <w:t> </w:t>
      </w:r>
      <w:r>
        <w:rPr>
          <w:rFonts w:ascii="Arial"/>
          <w:color w:val="231F20"/>
          <w:sz w:val="16"/>
        </w:rPr>
        <w:t>in</w:t>
      </w:r>
      <w:r>
        <w:rPr>
          <w:rFonts w:ascii="Arial"/>
          <w:color w:val="231F20"/>
          <w:spacing w:val="-21"/>
          <w:sz w:val="16"/>
        </w:rPr>
        <w:t> </w:t>
      </w:r>
      <w:r>
        <w:rPr>
          <w:rFonts w:ascii="Arial"/>
          <w:color w:val="231F20"/>
          <w:sz w:val="16"/>
        </w:rPr>
        <w:t>the</w:t>
      </w:r>
      <w:r>
        <w:rPr>
          <w:rFonts w:ascii="Arial"/>
          <w:color w:val="231F20"/>
          <w:spacing w:val="-21"/>
          <w:sz w:val="16"/>
        </w:rPr>
        <w:t> </w:t>
      </w:r>
      <w:r>
        <w:rPr>
          <w:rFonts w:ascii="Arial"/>
          <w:color w:val="231F20"/>
          <w:sz w:val="16"/>
        </w:rPr>
        <w:t>plasma</w:t>
      </w:r>
      <w:r>
        <w:rPr>
          <w:rFonts w:ascii="Arial"/>
          <w:color w:val="231F20"/>
          <w:spacing w:val="-21"/>
          <w:sz w:val="16"/>
        </w:rPr>
        <w:t> </w:t>
      </w:r>
      <w:r>
        <w:rPr>
          <w:rFonts w:ascii="Arial"/>
          <w:color w:val="231F20"/>
          <w:sz w:val="16"/>
        </w:rPr>
        <w:t>concentrations</w:t>
      </w:r>
      <w:r>
        <w:rPr>
          <w:rFonts w:ascii="Arial"/>
          <w:color w:val="231F20"/>
          <w:spacing w:val="-21"/>
          <w:sz w:val="16"/>
        </w:rPr>
        <w:t> </w:t>
      </w:r>
      <w:r>
        <w:rPr>
          <w:rFonts w:ascii="Arial"/>
          <w:color w:val="231F20"/>
          <w:sz w:val="16"/>
        </w:rPr>
        <w:t>of</w:t>
      </w:r>
      <w:r>
        <w:rPr>
          <w:rFonts w:ascii="Arial"/>
          <w:color w:val="231F20"/>
          <w:spacing w:val="-21"/>
          <w:sz w:val="16"/>
        </w:rPr>
        <w:t> </w:t>
      </w:r>
      <w:r>
        <w:rPr>
          <w:rFonts w:ascii="Arial"/>
          <w:color w:val="231F20"/>
          <w:sz w:val="16"/>
        </w:rPr>
        <w:t>solutes</w:t>
      </w:r>
      <w:r>
        <w:rPr>
          <w:rFonts w:ascii="Arial"/>
          <w:color w:val="231F20"/>
          <w:spacing w:val="-21"/>
          <w:sz w:val="16"/>
        </w:rPr>
        <w:t> </w:t>
      </w:r>
      <w:r>
        <w:rPr>
          <w:rFonts w:ascii="Arial"/>
          <w:color w:val="231F20"/>
          <w:sz w:val="16"/>
        </w:rPr>
        <w:t>such</w:t>
      </w:r>
      <w:r>
        <w:rPr>
          <w:rFonts w:ascii="Arial"/>
          <w:color w:val="231F20"/>
          <w:spacing w:val="-21"/>
          <w:sz w:val="16"/>
        </w:rPr>
        <w:t> </w:t>
      </w:r>
      <w:r>
        <w:rPr>
          <w:rFonts w:ascii="Arial"/>
          <w:color w:val="231F20"/>
          <w:sz w:val="16"/>
        </w:rPr>
        <w:t>as</w:t>
      </w:r>
      <w:r>
        <w:rPr>
          <w:rFonts w:ascii="Arial"/>
          <w:color w:val="231F20"/>
          <w:spacing w:val="-21"/>
          <w:sz w:val="16"/>
        </w:rPr>
        <w:t> </w:t>
      </w:r>
      <w:r>
        <w:rPr>
          <w:rFonts w:ascii="Arial"/>
          <w:color w:val="231F20"/>
          <w:spacing w:val="-3"/>
          <w:sz w:val="16"/>
        </w:rPr>
        <w:t>creati- </w:t>
      </w:r>
      <w:r>
        <w:rPr>
          <w:rFonts w:ascii="Arial"/>
          <w:color w:val="231F20"/>
          <w:sz w:val="16"/>
        </w:rPr>
        <w:t>nine</w:t>
      </w:r>
      <w:r>
        <w:rPr>
          <w:rFonts w:ascii="Arial"/>
          <w:color w:val="231F20"/>
          <w:spacing w:val="-20"/>
          <w:sz w:val="16"/>
        </w:rPr>
        <w:t> </w:t>
      </w:r>
      <w:r>
        <w:rPr>
          <w:rFonts w:ascii="Arial"/>
          <w:color w:val="231F20"/>
          <w:sz w:val="16"/>
        </w:rPr>
        <w:t>and</w:t>
      </w:r>
      <w:r>
        <w:rPr>
          <w:rFonts w:ascii="Arial"/>
          <w:color w:val="231F20"/>
          <w:spacing w:val="-19"/>
          <w:sz w:val="16"/>
        </w:rPr>
        <w:t> </w:t>
      </w:r>
      <w:r>
        <w:rPr>
          <w:rFonts w:ascii="Arial"/>
          <w:color w:val="231F20"/>
          <w:sz w:val="16"/>
        </w:rPr>
        <w:t>urea</w:t>
      </w:r>
      <w:r>
        <w:rPr>
          <w:rFonts w:ascii="Arial"/>
          <w:color w:val="231F20"/>
          <w:spacing w:val="-19"/>
          <w:sz w:val="16"/>
        </w:rPr>
        <w:t> </w:t>
      </w:r>
      <w:r>
        <w:rPr>
          <w:rFonts w:ascii="Arial"/>
          <w:color w:val="231F20"/>
          <w:sz w:val="16"/>
        </w:rPr>
        <w:t>that</w:t>
      </w:r>
      <w:r>
        <w:rPr>
          <w:rFonts w:ascii="Arial"/>
          <w:color w:val="231F20"/>
          <w:spacing w:val="-20"/>
          <w:sz w:val="16"/>
        </w:rPr>
        <w:t> </w:t>
      </w:r>
      <w:r>
        <w:rPr>
          <w:rFonts w:ascii="Arial"/>
          <w:color w:val="231F20"/>
          <w:sz w:val="16"/>
        </w:rPr>
        <w:t>are</w:t>
      </w:r>
      <w:r>
        <w:rPr>
          <w:rFonts w:ascii="Arial"/>
          <w:color w:val="231F20"/>
          <w:spacing w:val="-19"/>
          <w:sz w:val="16"/>
        </w:rPr>
        <w:t> </w:t>
      </w:r>
      <w:r>
        <w:rPr>
          <w:rFonts w:ascii="Arial"/>
          <w:color w:val="231F20"/>
          <w:sz w:val="16"/>
        </w:rPr>
        <w:t>filtered</w:t>
      </w:r>
      <w:r>
        <w:rPr>
          <w:rFonts w:ascii="Arial"/>
          <w:color w:val="231F20"/>
          <w:spacing w:val="-19"/>
          <w:sz w:val="16"/>
        </w:rPr>
        <w:t> </w:t>
      </w:r>
      <w:r>
        <w:rPr>
          <w:rFonts w:ascii="Arial"/>
          <w:color w:val="231F20"/>
          <w:sz w:val="16"/>
        </w:rPr>
        <w:t>and</w:t>
      </w:r>
      <w:r>
        <w:rPr>
          <w:rFonts w:ascii="Arial"/>
          <w:color w:val="231F20"/>
          <w:spacing w:val="-19"/>
          <w:sz w:val="16"/>
        </w:rPr>
        <w:t> </w:t>
      </w:r>
      <w:r>
        <w:rPr>
          <w:rFonts w:ascii="Arial"/>
          <w:color w:val="231F20"/>
          <w:sz w:val="16"/>
        </w:rPr>
        <w:t>poorly</w:t>
      </w:r>
      <w:r>
        <w:rPr>
          <w:rFonts w:ascii="Arial"/>
          <w:color w:val="231F20"/>
          <w:spacing w:val="-20"/>
          <w:sz w:val="16"/>
        </w:rPr>
        <w:t> </w:t>
      </w:r>
      <w:r>
        <w:rPr>
          <w:rFonts w:ascii="Arial"/>
          <w:color w:val="231F20"/>
          <w:sz w:val="16"/>
        </w:rPr>
        <w:t>reabsorbed.</w:t>
      </w:r>
      <w:r>
        <w:rPr>
          <w:rFonts w:ascii="Arial"/>
          <w:color w:val="231F20"/>
          <w:spacing w:val="-19"/>
          <w:sz w:val="16"/>
        </w:rPr>
        <w:t> </w:t>
      </w:r>
      <w:r>
        <w:rPr>
          <w:rFonts w:ascii="Arial"/>
          <w:color w:val="231F20"/>
          <w:sz w:val="16"/>
        </w:rPr>
        <w:t>Curve</w:t>
      </w:r>
      <w:r>
        <w:rPr>
          <w:rFonts w:ascii="Arial"/>
          <w:color w:val="231F20"/>
          <w:spacing w:val="-19"/>
          <w:sz w:val="16"/>
        </w:rPr>
        <w:t> </w:t>
      </w:r>
      <w:r>
        <w:rPr>
          <w:rFonts w:ascii="Arial"/>
          <w:color w:val="231F20"/>
          <w:sz w:val="16"/>
        </w:rPr>
        <w:t>B</w:t>
      </w:r>
      <w:r>
        <w:rPr>
          <w:rFonts w:ascii="Arial"/>
          <w:color w:val="231F20"/>
          <w:spacing w:val="-19"/>
          <w:sz w:val="16"/>
        </w:rPr>
        <w:t> </w:t>
      </w:r>
      <w:r>
        <w:rPr>
          <w:rFonts w:ascii="Arial"/>
          <w:color w:val="231F20"/>
          <w:spacing w:val="-4"/>
          <w:sz w:val="16"/>
        </w:rPr>
        <w:t>shows </w:t>
      </w:r>
      <w:r>
        <w:rPr>
          <w:rFonts w:ascii="Arial"/>
          <w:color w:val="231F20"/>
          <w:sz w:val="16"/>
        </w:rPr>
        <w:t>the</w:t>
      </w:r>
      <w:r>
        <w:rPr>
          <w:rFonts w:ascii="Arial"/>
          <w:color w:val="231F20"/>
          <w:spacing w:val="-27"/>
          <w:sz w:val="16"/>
        </w:rPr>
        <w:t> </w:t>
      </w:r>
      <w:r>
        <w:rPr>
          <w:rFonts w:ascii="Arial"/>
          <w:color w:val="231F20"/>
          <w:sz w:val="16"/>
        </w:rPr>
        <w:t>approximate</w:t>
      </w:r>
      <w:r>
        <w:rPr>
          <w:rFonts w:ascii="Arial"/>
          <w:color w:val="231F20"/>
          <w:spacing w:val="-26"/>
          <w:sz w:val="16"/>
        </w:rPr>
        <w:t> </w:t>
      </w:r>
      <w:r>
        <w:rPr>
          <w:rFonts w:ascii="Arial"/>
          <w:color w:val="231F20"/>
          <w:sz w:val="16"/>
        </w:rPr>
        <w:t>concentrations</w:t>
      </w:r>
      <w:r>
        <w:rPr>
          <w:rFonts w:ascii="Arial"/>
          <w:color w:val="231F20"/>
          <w:spacing w:val="-27"/>
          <w:sz w:val="16"/>
        </w:rPr>
        <w:t> </w:t>
      </w:r>
      <w:r>
        <w:rPr>
          <w:rFonts w:ascii="Arial"/>
          <w:color w:val="231F20"/>
          <w:sz w:val="16"/>
        </w:rPr>
        <w:t>for</w:t>
      </w:r>
      <w:r>
        <w:rPr>
          <w:rFonts w:ascii="Arial"/>
          <w:color w:val="231F20"/>
          <w:spacing w:val="-26"/>
          <w:sz w:val="16"/>
        </w:rPr>
        <w:t> </w:t>
      </w:r>
      <w:r>
        <w:rPr>
          <w:rFonts w:ascii="Arial"/>
          <w:color w:val="231F20"/>
          <w:sz w:val="16"/>
        </w:rPr>
        <w:t>solutes</w:t>
      </w:r>
      <w:r>
        <w:rPr>
          <w:rFonts w:ascii="Arial"/>
          <w:color w:val="231F20"/>
          <w:spacing w:val="-26"/>
          <w:sz w:val="16"/>
        </w:rPr>
        <w:t> </w:t>
      </w:r>
      <w:r>
        <w:rPr>
          <w:rFonts w:ascii="Arial"/>
          <w:color w:val="231F20"/>
          <w:sz w:val="16"/>
        </w:rPr>
        <w:t>such</w:t>
      </w:r>
      <w:r>
        <w:rPr>
          <w:rFonts w:ascii="Arial"/>
          <w:color w:val="231F20"/>
          <w:spacing w:val="-27"/>
          <w:sz w:val="16"/>
        </w:rPr>
        <w:t> </w:t>
      </w:r>
      <w:r>
        <w:rPr>
          <w:rFonts w:ascii="Arial"/>
          <w:color w:val="231F20"/>
          <w:sz w:val="16"/>
        </w:rPr>
        <w:t>as</w:t>
      </w:r>
      <w:r>
        <w:rPr>
          <w:rFonts w:ascii="Arial"/>
          <w:color w:val="231F20"/>
          <w:spacing w:val="-26"/>
          <w:sz w:val="16"/>
        </w:rPr>
        <w:t> </w:t>
      </w:r>
      <w:r>
        <w:rPr>
          <w:rFonts w:ascii="Arial"/>
          <w:color w:val="231F20"/>
          <w:sz w:val="16"/>
        </w:rPr>
        <w:t>phosphate,</w:t>
      </w:r>
      <w:r>
        <w:rPr>
          <w:rFonts w:ascii="Arial"/>
          <w:color w:val="231F20"/>
          <w:spacing w:val="-26"/>
          <w:sz w:val="16"/>
        </w:rPr>
        <w:t> </w:t>
      </w:r>
      <w:r>
        <w:rPr>
          <w:rFonts w:ascii="Arial"/>
          <w:color w:val="231F20"/>
          <w:spacing w:val="-3"/>
          <w:sz w:val="16"/>
        </w:rPr>
        <w:t>urate, </w:t>
      </w:r>
      <w:r>
        <w:rPr>
          <w:rFonts w:ascii="Arial"/>
          <w:color w:val="231F20"/>
          <w:sz w:val="16"/>
        </w:rPr>
        <w:t>and hydrogen ion. Curve C shows the approximate</w:t>
      </w:r>
      <w:r>
        <w:rPr>
          <w:rFonts w:ascii="Arial"/>
          <w:color w:val="231F20"/>
          <w:spacing w:val="-20"/>
          <w:sz w:val="16"/>
        </w:rPr>
        <w:t> </w:t>
      </w:r>
      <w:r>
        <w:rPr>
          <w:rFonts w:ascii="Arial"/>
          <w:color w:val="231F20"/>
          <w:sz w:val="16"/>
        </w:rPr>
        <w:t>concentrations for solutes such as sodium and</w:t>
      </w:r>
      <w:r>
        <w:rPr>
          <w:rFonts w:ascii="Arial"/>
          <w:color w:val="231F20"/>
          <w:spacing w:val="30"/>
          <w:sz w:val="16"/>
        </w:rPr>
        <w:t> </w:t>
      </w:r>
      <w:r>
        <w:rPr>
          <w:rFonts w:ascii="Arial"/>
          <w:color w:val="231F20"/>
          <w:sz w:val="16"/>
        </w:rPr>
        <w:t>chloride.</w:t>
      </w:r>
    </w:p>
    <w:p>
      <w:pPr>
        <w:pStyle w:val="BodyText"/>
        <w:spacing w:before="7"/>
        <w:rPr>
          <w:rFonts w:ascii="Arial"/>
          <w:sz w:val="23"/>
        </w:rPr>
      </w:pPr>
    </w:p>
    <w:p>
      <w:pPr>
        <w:spacing w:line="252" w:lineRule="auto" w:before="0"/>
        <w:ind w:left="1080" w:right="511" w:firstLine="0"/>
        <w:jc w:val="left"/>
        <w:rPr>
          <w:rFonts w:ascii="Trebuchet MS"/>
          <w:sz w:val="18"/>
        </w:rPr>
      </w:pPr>
      <w:bookmarkStart w:name="_bookmark127" w:id="128"/>
      <w:bookmarkEnd w:id="128"/>
      <w:r>
        <w:rPr/>
      </w:r>
      <w:r>
        <w:rPr>
          <w:rFonts w:ascii="Trebuchet MS"/>
          <w:b/>
          <w:color w:val="231F20"/>
          <w:w w:val="105"/>
          <w:sz w:val="18"/>
        </w:rPr>
        <w:t>Table 32-6 </w:t>
      </w:r>
      <w:r>
        <w:rPr>
          <w:rFonts w:ascii="Trebuchet MS"/>
          <w:color w:val="231F20"/>
          <w:w w:val="105"/>
          <w:sz w:val="18"/>
        </w:rPr>
        <w:t>Total Kidney Excretion and Excretion per Nephron in Kidney Disease</w:t>
      </w:r>
    </w:p>
    <w:p>
      <w:pPr>
        <w:pStyle w:val="BodyText"/>
        <w:spacing w:before="5"/>
        <w:rPr>
          <w:rFonts w:ascii="Trebuchet MS"/>
          <w:sz w:val="9"/>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7"/>
        <w:gridCol w:w="1047"/>
        <w:gridCol w:w="1225"/>
      </w:tblGrid>
      <w:tr>
        <w:trPr>
          <w:trHeight w:val="464" w:hRule="atLeast"/>
        </w:trPr>
        <w:tc>
          <w:tcPr>
            <w:tcW w:w="3454" w:type="dxa"/>
            <w:gridSpan w:val="2"/>
            <w:shd w:val="clear" w:color="auto" w:fill="D1DDF1"/>
          </w:tcPr>
          <w:p>
            <w:pPr>
              <w:pStyle w:val="TableParagraph"/>
              <w:spacing w:before="2"/>
              <w:rPr>
                <w:sz w:val="20"/>
              </w:rPr>
            </w:pPr>
          </w:p>
          <w:p>
            <w:pPr>
              <w:pStyle w:val="TableParagraph"/>
              <w:spacing w:before="0"/>
              <w:ind w:right="236"/>
              <w:jc w:val="right"/>
              <w:rPr>
                <w:b/>
                <w:sz w:val="16"/>
              </w:rPr>
            </w:pPr>
            <w:r>
              <w:rPr>
                <w:b/>
                <w:color w:val="231F20"/>
                <w:sz w:val="16"/>
              </w:rPr>
              <w:t>Normal</w:t>
            </w:r>
          </w:p>
        </w:tc>
        <w:tc>
          <w:tcPr>
            <w:tcW w:w="1225" w:type="dxa"/>
            <w:shd w:val="clear" w:color="auto" w:fill="D1DDF1"/>
          </w:tcPr>
          <w:p>
            <w:pPr>
              <w:pStyle w:val="TableParagraph"/>
              <w:spacing w:line="259" w:lineRule="auto" w:before="34"/>
              <w:ind w:left="273" w:hanging="100"/>
              <w:rPr>
                <w:b/>
                <w:sz w:val="16"/>
              </w:rPr>
            </w:pPr>
            <w:r>
              <w:rPr>
                <w:b/>
                <w:color w:val="231F20"/>
                <w:w w:val="105"/>
                <w:sz w:val="16"/>
              </w:rPr>
              <w:t>75% Loss of Nephrons</w:t>
            </w:r>
          </w:p>
        </w:tc>
      </w:tr>
      <w:tr>
        <w:trPr>
          <w:trHeight w:val="259" w:hRule="atLeast"/>
        </w:trPr>
        <w:tc>
          <w:tcPr>
            <w:tcW w:w="2407" w:type="dxa"/>
            <w:tcBorders>
              <w:bottom w:val="single" w:sz="4" w:space="0" w:color="FFFFFF"/>
            </w:tcBorders>
            <w:shd w:val="clear" w:color="auto" w:fill="E6ECF7"/>
          </w:tcPr>
          <w:p>
            <w:pPr>
              <w:pStyle w:val="TableParagraph"/>
              <w:spacing w:before="24"/>
              <w:ind w:left="120"/>
              <w:rPr>
                <w:sz w:val="16"/>
              </w:rPr>
            </w:pPr>
            <w:r>
              <w:rPr>
                <w:color w:val="231F20"/>
                <w:w w:val="110"/>
                <w:sz w:val="16"/>
              </w:rPr>
              <w:t>Number of nephrons</w:t>
            </w:r>
          </w:p>
        </w:tc>
        <w:tc>
          <w:tcPr>
            <w:tcW w:w="1047" w:type="dxa"/>
            <w:tcBorders>
              <w:bottom w:val="single" w:sz="4" w:space="0" w:color="FFFFFF"/>
            </w:tcBorders>
            <w:shd w:val="clear" w:color="auto" w:fill="E6ECF7"/>
          </w:tcPr>
          <w:p>
            <w:pPr>
              <w:pStyle w:val="TableParagraph"/>
              <w:spacing w:before="24"/>
              <w:ind w:left="163"/>
              <w:rPr>
                <w:sz w:val="16"/>
              </w:rPr>
            </w:pPr>
            <w:r>
              <w:rPr>
                <w:color w:val="231F20"/>
                <w:sz w:val="16"/>
              </w:rPr>
              <w:t>2,000,000</w:t>
            </w:r>
          </w:p>
        </w:tc>
        <w:tc>
          <w:tcPr>
            <w:tcW w:w="1225" w:type="dxa"/>
            <w:tcBorders>
              <w:bottom w:val="single" w:sz="4" w:space="0" w:color="FFFFFF"/>
            </w:tcBorders>
            <w:shd w:val="clear" w:color="auto" w:fill="E6ECF7"/>
          </w:tcPr>
          <w:p>
            <w:pPr>
              <w:pStyle w:val="TableParagraph"/>
              <w:spacing w:before="24"/>
              <w:ind w:left="305"/>
              <w:rPr>
                <w:sz w:val="16"/>
              </w:rPr>
            </w:pPr>
            <w:r>
              <w:rPr>
                <w:color w:val="231F20"/>
                <w:w w:val="105"/>
                <w:sz w:val="16"/>
              </w:rPr>
              <w:t>500,000</w:t>
            </w:r>
          </w:p>
        </w:tc>
      </w:tr>
      <w:tr>
        <w:trPr>
          <w:trHeight w:val="264" w:hRule="atLeast"/>
        </w:trPr>
        <w:tc>
          <w:tcPr>
            <w:tcW w:w="2407" w:type="dxa"/>
            <w:tcBorders>
              <w:top w:val="single" w:sz="4" w:space="0" w:color="FFFFFF"/>
              <w:bottom w:val="single" w:sz="4" w:space="0" w:color="FFFFFF"/>
            </w:tcBorders>
            <w:shd w:val="clear" w:color="auto" w:fill="E6ECF7"/>
          </w:tcPr>
          <w:p>
            <w:pPr>
              <w:pStyle w:val="TableParagraph"/>
              <w:ind w:left="120"/>
              <w:rPr>
                <w:sz w:val="16"/>
              </w:rPr>
            </w:pPr>
            <w:r>
              <w:rPr>
                <w:color w:val="231F20"/>
                <w:sz w:val="16"/>
              </w:rPr>
              <w:t>Total GFR (ml/min)</w:t>
            </w:r>
          </w:p>
        </w:tc>
        <w:tc>
          <w:tcPr>
            <w:tcW w:w="1047" w:type="dxa"/>
            <w:tcBorders>
              <w:top w:val="single" w:sz="4" w:space="0" w:color="FFFFFF"/>
              <w:bottom w:val="single" w:sz="4" w:space="0" w:color="FFFFFF"/>
            </w:tcBorders>
            <w:shd w:val="clear" w:color="auto" w:fill="E6ECF7"/>
          </w:tcPr>
          <w:p>
            <w:pPr>
              <w:pStyle w:val="TableParagraph"/>
              <w:ind w:left="163"/>
              <w:rPr>
                <w:sz w:val="16"/>
              </w:rPr>
            </w:pPr>
            <w:r>
              <w:rPr>
                <w:color w:val="231F20"/>
                <w:w w:val="105"/>
                <w:sz w:val="16"/>
              </w:rPr>
              <w:t>125</w:t>
            </w:r>
          </w:p>
        </w:tc>
        <w:tc>
          <w:tcPr>
            <w:tcW w:w="1225" w:type="dxa"/>
            <w:tcBorders>
              <w:top w:val="single" w:sz="4" w:space="0" w:color="FFFFFF"/>
              <w:bottom w:val="single" w:sz="4" w:space="0" w:color="FFFFFF"/>
            </w:tcBorders>
            <w:shd w:val="clear" w:color="auto" w:fill="E6ECF7"/>
          </w:tcPr>
          <w:p>
            <w:pPr>
              <w:pStyle w:val="TableParagraph"/>
              <w:ind w:left="305"/>
              <w:rPr>
                <w:sz w:val="16"/>
              </w:rPr>
            </w:pPr>
            <w:r>
              <w:rPr>
                <w:color w:val="231F20"/>
                <w:w w:val="105"/>
                <w:sz w:val="16"/>
              </w:rPr>
              <w:t>40</w:t>
            </w:r>
          </w:p>
        </w:tc>
      </w:tr>
      <w:tr>
        <w:trPr>
          <w:trHeight w:val="264" w:hRule="atLeast"/>
        </w:trPr>
        <w:tc>
          <w:tcPr>
            <w:tcW w:w="2407"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Single nephron GFR (nl/min)</w:t>
            </w:r>
          </w:p>
        </w:tc>
        <w:tc>
          <w:tcPr>
            <w:tcW w:w="1047" w:type="dxa"/>
            <w:tcBorders>
              <w:top w:val="single" w:sz="4" w:space="0" w:color="FFFFFF"/>
              <w:bottom w:val="single" w:sz="4" w:space="0" w:color="FFFFFF"/>
            </w:tcBorders>
            <w:shd w:val="clear" w:color="auto" w:fill="E6ECF7"/>
          </w:tcPr>
          <w:p>
            <w:pPr>
              <w:pStyle w:val="TableParagraph"/>
              <w:ind w:left="163"/>
              <w:rPr>
                <w:sz w:val="16"/>
              </w:rPr>
            </w:pPr>
            <w:r>
              <w:rPr>
                <w:color w:val="231F20"/>
                <w:sz w:val="16"/>
              </w:rPr>
              <w:t>62.5</w:t>
            </w:r>
          </w:p>
        </w:tc>
        <w:tc>
          <w:tcPr>
            <w:tcW w:w="1225" w:type="dxa"/>
            <w:tcBorders>
              <w:top w:val="single" w:sz="4" w:space="0" w:color="FFFFFF"/>
              <w:bottom w:val="single" w:sz="4" w:space="0" w:color="FFFFFF"/>
            </w:tcBorders>
            <w:shd w:val="clear" w:color="auto" w:fill="E6ECF7"/>
          </w:tcPr>
          <w:p>
            <w:pPr>
              <w:pStyle w:val="TableParagraph"/>
              <w:ind w:left="305"/>
              <w:rPr>
                <w:sz w:val="16"/>
              </w:rPr>
            </w:pPr>
            <w:r>
              <w:rPr>
                <w:color w:val="231F20"/>
                <w:w w:val="105"/>
                <w:sz w:val="16"/>
              </w:rPr>
              <w:t>80</w:t>
            </w:r>
          </w:p>
        </w:tc>
      </w:tr>
      <w:tr>
        <w:trPr>
          <w:trHeight w:val="464" w:hRule="atLeast"/>
        </w:trPr>
        <w:tc>
          <w:tcPr>
            <w:tcW w:w="2407" w:type="dxa"/>
            <w:tcBorders>
              <w:top w:val="single" w:sz="4" w:space="0" w:color="FFFFFF"/>
              <w:bottom w:val="single" w:sz="4" w:space="0" w:color="FFFFFF"/>
            </w:tcBorders>
            <w:shd w:val="clear" w:color="auto" w:fill="E6ECF7"/>
          </w:tcPr>
          <w:p>
            <w:pPr>
              <w:pStyle w:val="TableParagraph"/>
              <w:spacing w:line="259" w:lineRule="auto"/>
              <w:ind w:left="280" w:hanging="160"/>
              <w:rPr>
                <w:sz w:val="16"/>
              </w:rPr>
            </w:pPr>
            <w:r>
              <w:rPr>
                <w:color w:val="231F20"/>
                <w:w w:val="105"/>
                <w:sz w:val="16"/>
              </w:rPr>
              <w:t>Volume excreted for all nephrons (ml/min)</w:t>
            </w:r>
          </w:p>
        </w:tc>
        <w:tc>
          <w:tcPr>
            <w:tcW w:w="1047" w:type="dxa"/>
            <w:tcBorders>
              <w:top w:val="single" w:sz="4" w:space="0" w:color="FFFFFF"/>
              <w:bottom w:val="single" w:sz="4" w:space="0" w:color="FFFFFF"/>
            </w:tcBorders>
            <w:shd w:val="clear" w:color="auto" w:fill="E6ECF7"/>
          </w:tcPr>
          <w:p>
            <w:pPr>
              <w:pStyle w:val="TableParagraph"/>
              <w:ind w:left="163"/>
              <w:rPr>
                <w:sz w:val="16"/>
              </w:rPr>
            </w:pPr>
            <w:r>
              <w:rPr>
                <w:color w:val="231F20"/>
                <w:sz w:val="16"/>
              </w:rPr>
              <w:t>1.5</w:t>
            </w:r>
          </w:p>
        </w:tc>
        <w:tc>
          <w:tcPr>
            <w:tcW w:w="1225" w:type="dxa"/>
            <w:tcBorders>
              <w:top w:val="single" w:sz="4" w:space="0" w:color="FFFFFF"/>
              <w:bottom w:val="single" w:sz="4" w:space="0" w:color="FFFFFF"/>
            </w:tcBorders>
            <w:shd w:val="clear" w:color="auto" w:fill="E6ECF7"/>
          </w:tcPr>
          <w:p>
            <w:pPr>
              <w:pStyle w:val="TableParagraph"/>
              <w:ind w:left="305"/>
              <w:rPr>
                <w:sz w:val="16"/>
              </w:rPr>
            </w:pPr>
            <w:r>
              <w:rPr>
                <w:color w:val="231F20"/>
                <w:sz w:val="16"/>
              </w:rPr>
              <w:t>1.5</w:t>
            </w:r>
          </w:p>
        </w:tc>
      </w:tr>
      <w:tr>
        <w:trPr>
          <w:trHeight w:val="479" w:hRule="atLeast"/>
        </w:trPr>
        <w:tc>
          <w:tcPr>
            <w:tcW w:w="2407" w:type="dxa"/>
            <w:tcBorders>
              <w:top w:val="single" w:sz="4" w:space="0" w:color="FFFFFF"/>
            </w:tcBorders>
            <w:shd w:val="clear" w:color="auto" w:fill="E6ECF7"/>
          </w:tcPr>
          <w:p>
            <w:pPr>
              <w:pStyle w:val="TableParagraph"/>
              <w:spacing w:line="259" w:lineRule="auto"/>
              <w:ind w:left="280" w:right="110" w:hanging="160"/>
              <w:rPr>
                <w:sz w:val="16"/>
              </w:rPr>
            </w:pPr>
            <w:r>
              <w:rPr>
                <w:color w:val="231F20"/>
                <w:w w:val="105"/>
                <w:sz w:val="16"/>
              </w:rPr>
              <w:t>Volume excreted per nephron (nl/min)</w:t>
            </w:r>
          </w:p>
        </w:tc>
        <w:tc>
          <w:tcPr>
            <w:tcW w:w="1047" w:type="dxa"/>
            <w:tcBorders>
              <w:top w:val="single" w:sz="4" w:space="0" w:color="FFFFFF"/>
            </w:tcBorders>
            <w:shd w:val="clear" w:color="auto" w:fill="E6ECF7"/>
          </w:tcPr>
          <w:p>
            <w:pPr>
              <w:pStyle w:val="TableParagraph"/>
              <w:ind w:left="163"/>
              <w:rPr>
                <w:sz w:val="16"/>
              </w:rPr>
            </w:pPr>
            <w:r>
              <w:rPr>
                <w:color w:val="231F20"/>
                <w:sz w:val="16"/>
              </w:rPr>
              <w:t>0.75</w:t>
            </w:r>
          </w:p>
        </w:tc>
        <w:tc>
          <w:tcPr>
            <w:tcW w:w="1225" w:type="dxa"/>
            <w:tcBorders>
              <w:top w:val="single" w:sz="4" w:space="0" w:color="FFFFFF"/>
            </w:tcBorders>
            <w:shd w:val="clear" w:color="auto" w:fill="E6ECF7"/>
          </w:tcPr>
          <w:p>
            <w:pPr>
              <w:pStyle w:val="TableParagraph"/>
              <w:ind w:left="305"/>
              <w:rPr>
                <w:sz w:val="16"/>
              </w:rPr>
            </w:pPr>
            <w:r>
              <w:rPr>
                <w:color w:val="231F20"/>
                <w:sz w:val="16"/>
              </w:rPr>
              <w:t>3.0</w:t>
            </w:r>
          </w:p>
        </w:tc>
      </w:tr>
    </w:tbl>
    <w:p>
      <w:pPr>
        <w:pStyle w:val="BodyText"/>
        <w:spacing w:before="2"/>
        <w:rPr>
          <w:rFonts w:ascii="Trebuchet MS"/>
          <w:sz w:val="22"/>
        </w:rPr>
      </w:pPr>
    </w:p>
    <w:p>
      <w:pPr>
        <w:pStyle w:val="BodyText"/>
        <w:spacing w:line="249" w:lineRule="auto"/>
        <w:ind w:left="1080"/>
        <w:jc w:val="both"/>
      </w:pPr>
      <w:r>
        <w:rPr>
          <w:color w:val="231F20"/>
          <w:w w:val="105"/>
        </w:rPr>
        <w:t>accomplished</w:t>
      </w:r>
      <w:r>
        <w:rPr>
          <w:color w:val="231F20"/>
          <w:spacing w:val="-18"/>
          <w:w w:val="105"/>
        </w:rPr>
        <w:t> </w:t>
      </w:r>
      <w:r>
        <w:rPr>
          <w:color w:val="231F20"/>
          <w:w w:val="105"/>
        </w:rPr>
        <w:t>by</w:t>
      </w:r>
      <w:r>
        <w:rPr>
          <w:color w:val="231F20"/>
          <w:spacing w:val="-18"/>
          <w:w w:val="105"/>
        </w:rPr>
        <w:t> </w:t>
      </w:r>
      <w:r>
        <w:rPr>
          <w:color w:val="231F20"/>
          <w:w w:val="105"/>
        </w:rPr>
        <w:t>excreting</w:t>
      </w:r>
      <w:r>
        <w:rPr>
          <w:color w:val="231F20"/>
          <w:spacing w:val="-18"/>
          <w:w w:val="105"/>
        </w:rPr>
        <w:t> </w:t>
      </w:r>
      <w:r>
        <w:rPr>
          <w:color w:val="231F20"/>
          <w:w w:val="105"/>
        </w:rPr>
        <w:t>progressively</w:t>
      </w:r>
      <w:r>
        <w:rPr>
          <w:color w:val="231F20"/>
          <w:spacing w:val="-17"/>
          <w:w w:val="105"/>
        </w:rPr>
        <w:t> </w:t>
      </w:r>
      <w:r>
        <w:rPr>
          <w:color w:val="231F20"/>
          <w:w w:val="105"/>
        </w:rPr>
        <w:t>larger</w:t>
      </w:r>
      <w:r>
        <w:rPr>
          <w:color w:val="231F20"/>
          <w:spacing w:val="-18"/>
          <w:w w:val="105"/>
        </w:rPr>
        <w:t> </w:t>
      </w:r>
      <w:r>
        <w:rPr>
          <w:color w:val="231F20"/>
          <w:w w:val="105"/>
        </w:rPr>
        <w:t>fractions of the amounts of these solutes that are filtered at </w:t>
      </w:r>
      <w:r>
        <w:rPr>
          <w:color w:val="231F20"/>
          <w:spacing w:val="-6"/>
          <w:w w:val="105"/>
        </w:rPr>
        <w:t>the </w:t>
      </w:r>
      <w:r>
        <w:rPr>
          <w:color w:val="231F20"/>
          <w:w w:val="105"/>
        </w:rPr>
        <w:t>glomerular</w:t>
      </w:r>
      <w:r>
        <w:rPr>
          <w:color w:val="231F20"/>
          <w:spacing w:val="-8"/>
          <w:w w:val="105"/>
        </w:rPr>
        <w:t> </w:t>
      </w:r>
      <w:r>
        <w:rPr>
          <w:color w:val="231F20"/>
          <w:w w:val="105"/>
        </w:rPr>
        <w:t>capillaries;</w:t>
      </w:r>
      <w:r>
        <w:rPr>
          <w:color w:val="231F20"/>
          <w:spacing w:val="-8"/>
          <w:w w:val="105"/>
        </w:rPr>
        <w:t> </w:t>
      </w:r>
      <w:r>
        <w:rPr>
          <w:color w:val="231F20"/>
          <w:w w:val="105"/>
        </w:rPr>
        <w:t>this</w:t>
      </w:r>
      <w:r>
        <w:rPr>
          <w:color w:val="231F20"/>
          <w:spacing w:val="-8"/>
          <w:w w:val="105"/>
        </w:rPr>
        <w:t> </w:t>
      </w:r>
      <w:r>
        <w:rPr>
          <w:color w:val="231F20"/>
          <w:w w:val="105"/>
        </w:rPr>
        <w:t>occurs</w:t>
      </w:r>
      <w:r>
        <w:rPr>
          <w:color w:val="231F20"/>
          <w:spacing w:val="-8"/>
          <w:w w:val="105"/>
        </w:rPr>
        <w:t> </w:t>
      </w:r>
      <w:r>
        <w:rPr>
          <w:color w:val="231F20"/>
          <w:w w:val="105"/>
        </w:rPr>
        <w:t>by</w:t>
      </w:r>
      <w:r>
        <w:rPr>
          <w:color w:val="231F20"/>
          <w:spacing w:val="-8"/>
          <w:w w:val="105"/>
        </w:rPr>
        <w:t> </w:t>
      </w:r>
      <w:r>
        <w:rPr>
          <w:color w:val="231F20"/>
          <w:w w:val="105"/>
        </w:rPr>
        <w:t>decreasing</w:t>
      </w:r>
      <w:r>
        <w:rPr>
          <w:color w:val="231F20"/>
          <w:spacing w:val="-7"/>
          <w:w w:val="105"/>
        </w:rPr>
        <w:t> </w:t>
      </w:r>
      <w:r>
        <w:rPr>
          <w:color w:val="231F20"/>
          <w:w w:val="105"/>
        </w:rPr>
        <w:t>the</w:t>
      </w:r>
      <w:r>
        <w:rPr>
          <w:color w:val="231F20"/>
          <w:spacing w:val="-8"/>
          <w:w w:val="105"/>
        </w:rPr>
        <w:t> </w:t>
      </w:r>
      <w:r>
        <w:rPr>
          <w:color w:val="231F20"/>
          <w:spacing w:val="-5"/>
          <w:w w:val="105"/>
        </w:rPr>
        <w:t>rate </w:t>
      </w:r>
      <w:r>
        <w:rPr>
          <w:color w:val="231F20"/>
          <w:w w:val="105"/>
        </w:rPr>
        <w:t>of</w:t>
      </w:r>
      <w:r>
        <w:rPr>
          <w:color w:val="231F20"/>
          <w:spacing w:val="-11"/>
          <w:w w:val="105"/>
        </w:rPr>
        <w:t> </w:t>
      </w:r>
      <w:r>
        <w:rPr>
          <w:color w:val="231F20"/>
          <w:w w:val="105"/>
        </w:rPr>
        <w:t>tubular</w:t>
      </w:r>
      <w:r>
        <w:rPr>
          <w:color w:val="231F20"/>
          <w:spacing w:val="-11"/>
          <w:w w:val="105"/>
        </w:rPr>
        <w:t> </w:t>
      </w:r>
      <w:r>
        <w:rPr>
          <w:color w:val="231F20"/>
          <w:w w:val="105"/>
        </w:rPr>
        <w:t>reabsorption</w:t>
      </w:r>
      <w:r>
        <w:rPr>
          <w:color w:val="231F20"/>
          <w:spacing w:val="-11"/>
          <w:w w:val="105"/>
        </w:rPr>
        <w:t> </w:t>
      </w:r>
      <w:r>
        <w:rPr>
          <w:color w:val="231F20"/>
          <w:spacing w:val="-6"/>
          <w:w w:val="105"/>
        </w:rPr>
        <w:t>or,</w:t>
      </w:r>
      <w:r>
        <w:rPr>
          <w:color w:val="231F20"/>
          <w:spacing w:val="-11"/>
          <w:w w:val="105"/>
        </w:rPr>
        <w:t> </w:t>
      </w:r>
      <w:r>
        <w:rPr>
          <w:color w:val="231F20"/>
          <w:w w:val="105"/>
        </w:rPr>
        <w:t>in</w:t>
      </w:r>
      <w:r>
        <w:rPr>
          <w:color w:val="231F20"/>
          <w:spacing w:val="-11"/>
          <w:w w:val="105"/>
        </w:rPr>
        <w:t> </w:t>
      </w:r>
      <w:r>
        <w:rPr>
          <w:color w:val="231F20"/>
          <w:w w:val="105"/>
        </w:rPr>
        <w:t>some</w:t>
      </w:r>
      <w:r>
        <w:rPr>
          <w:color w:val="231F20"/>
          <w:spacing w:val="-11"/>
          <w:w w:val="105"/>
        </w:rPr>
        <w:t> </w:t>
      </w:r>
      <w:r>
        <w:rPr>
          <w:color w:val="231F20"/>
          <w:w w:val="105"/>
        </w:rPr>
        <w:t>instances,</w:t>
      </w:r>
      <w:r>
        <w:rPr>
          <w:color w:val="231F20"/>
          <w:spacing w:val="-11"/>
          <w:w w:val="105"/>
        </w:rPr>
        <w:t> </w:t>
      </w:r>
      <w:r>
        <w:rPr>
          <w:color w:val="231F20"/>
          <w:w w:val="105"/>
        </w:rPr>
        <w:t>by</w:t>
      </w:r>
      <w:r>
        <w:rPr>
          <w:color w:val="231F20"/>
          <w:spacing w:val="-11"/>
          <w:w w:val="105"/>
        </w:rPr>
        <w:t> </w:t>
      </w:r>
      <w:r>
        <w:rPr>
          <w:color w:val="231F20"/>
          <w:w w:val="105"/>
        </w:rPr>
        <w:t>increas­ ing tubular secretion</w:t>
      </w:r>
      <w:r>
        <w:rPr>
          <w:color w:val="231F20"/>
          <w:spacing w:val="8"/>
          <w:w w:val="105"/>
        </w:rPr>
        <w:t> </w:t>
      </w:r>
      <w:r>
        <w:rPr>
          <w:color w:val="231F20"/>
          <w:w w:val="105"/>
        </w:rPr>
        <w:t>rates.</w:t>
      </w:r>
    </w:p>
    <w:p>
      <w:pPr>
        <w:pStyle w:val="BodyText"/>
        <w:spacing w:line="249" w:lineRule="auto" w:before="4"/>
        <w:ind w:left="1080" w:firstLine="240"/>
        <w:jc w:val="both"/>
      </w:pPr>
      <w:r>
        <w:rPr>
          <w:color w:val="231F20"/>
        </w:rPr>
        <w:t>In the case of sodium and chloride ions, their </w:t>
      </w:r>
      <w:r>
        <w:rPr>
          <w:color w:val="231F20"/>
          <w:spacing w:val="-3"/>
        </w:rPr>
        <w:t>plasma </w:t>
      </w:r>
      <w:r>
        <w:rPr>
          <w:color w:val="231F20"/>
        </w:rPr>
        <w:t>concentrations are maintained virtually constant </w:t>
      </w:r>
      <w:r>
        <w:rPr>
          <w:color w:val="231F20"/>
          <w:spacing w:val="-3"/>
        </w:rPr>
        <w:t>even  </w:t>
      </w:r>
      <w:r>
        <w:rPr>
          <w:color w:val="231F20"/>
        </w:rPr>
        <w:t>with severe decreases in GFR (see curve C of </w:t>
      </w:r>
      <w:hyperlink w:history="true" w:anchor="_bookmark126">
        <w:r>
          <w:rPr>
            <w:b/>
            <w:color w:val="0080AC"/>
          </w:rPr>
          <w:t>Figure</w:t>
        </w:r>
      </w:hyperlink>
      <w:r>
        <w:rPr>
          <w:b/>
          <w:color w:val="0080AC"/>
        </w:rPr>
        <w:t> </w:t>
      </w:r>
      <w:hyperlink w:history="true" w:anchor="_bookmark126">
        <w:r>
          <w:rPr>
            <w:b/>
            <w:color w:val="0080AC"/>
          </w:rPr>
          <w:t>32-5</w:t>
        </w:r>
      </w:hyperlink>
      <w:r>
        <w:rPr>
          <w:color w:val="231F20"/>
        </w:rPr>
        <w:t>). This maintenance is accomplished by </w:t>
      </w:r>
      <w:r>
        <w:rPr>
          <w:color w:val="231F20"/>
          <w:spacing w:val="-3"/>
        </w:rPr>
        <w:t>greatly </w:t>
      </w:r>
      <w:r>
        <w:rPr>
          <w:color w:val="231F20"/>
        </w:rPr>
        <w:t>decreasing</w:t>
      </w:r>
      <w:r>
        <w:rPr>
          <w:color w:val="231F20"/>
          <w:spacing w:val="17"/>
        </w:rPr>
        <w:t> </w:t>
      </w:r>
      <w:r>
        <w:rPr>
          <w:color w:val="231F20"/>
        </w:rPr>
        <w:t>tubular</w:t>
      </w:r>
      <w:r>
        <w:rPr>
          <w:color w:val="231F20"/>
          <w:spacing w:val="17"/>
        </w:rPr>
        <w:t> </w:t>
      </w:r>
      <w:r>
        <w:rPr>
          <w:color w:val="231F20"/>
        </w:rPr>
        <w:t>reabsorption</w:t>
      </w:r>
      <w:r>
        <w:rPr>
          <w:color w:val="231F20"/>
          <w:spacing w:val="17"/>
        </w:rPr>
        <w:t> </w:t>
      </w:r>
      <w:r>
        <w:rPr>
          <w:color w:val="231F20"/>
        </w:rPr>
        <w:t>of</w:t>
      </w:r>
      <w:r>
        <w:rPr>
          <w:color w:val="231F20"/>
          <w:spacing w:val="17"/>
        </w:rPr>
        <w:t> </w:t>
      </w:r>
      <w:r>
        <w:rPr>
          <w:color w:val="231F20"/>
        </w:rPr>
        <w:t>these</w:t>
      </w:r>
      <w:r>
        <w:rPr>
          <w:color w:val="231F20"/>
          <w:spacing w:val="18"/>
        </w:rPr>
        <w:t> </w:t>
      </w:r>
      <w:r>
        <w:rPr>
          <w:color w:val="231F20"/>
        </w:rPr>
        <w:t>electrolytes.</w:t>
      </w:r>
    </w:p>
    <w:p>
      <w:pPr>
        <w:pStyle w:val="BodyText"/>
        <w:spacing w:line="249" w:lineRule="auto" w:before="4"/>
        <w:ind w:left="1080" w:firstLine="240"/>
        <w:jc w:val="both"/>
      </w:pPr>
      <w:r>
        <w:rPr>
          <w:color w:val="231F20"/>
          <w:spacing w:val="-3"/>
          <w:w w:val="105"/>
        </w:rPr>
        <w:t>For</w:t>
      </w:r>
      <w:r>
        <w:rPr>
          <w:color w:val="231F20"/>
          <w:spacing w:val="-23"/>
          <w:w w:val="105"/>
        </w:rPr>
        <w:t> </w:t>
      </w:r>
      <w:r>
        <w:rPr>
          <w:color w:val="231F20"/>
          <w:w w:val="105"/>
        </w:rPr>
        <w:t>example,</w:t>
      </w:r>
      <w:r>
        <w:rPr>
          <w:color w:val="231F20"/>
          <w:spacing w:val="-23"/>
          <w:w w:val="105"/>
        </w:rPr>
        <w:t> </w:t>
      </w:r>
      <w:r>
        <w:rPr>
          <w:color w:val="231F20"/>
          <w:w w:val="105"/>
        </w:rPr>
        <w:t>with</w:t>
      </w:r>
      <w:r>
        <w:rPr>
          <w:color w:val="231F20"/>
          <w:spacing w:val="-22"/>
          <w:w w:val="105"/>
        </w:rPr>
        <w:t> </w:t>
      </w:r>
      <w:r>
        <w:rPr>
          <w:color w:val="231F20"/>
          <w:w w:val="105"/>
        </w:rPr>
        <w:t>a</w:t>
      </w:r>
      <w:r>
        <w:rPr>
          <w:color w:val="231F20"/>
          <w:spacing w:val="-23"/>
          <w:w w:val="105"/>
        </w:rPr>
        <w:t> </w:t>
      </w:r>
      <w:r>
        <w:rPr>
          <w:color w:val="231F20"/>
          <w:w w:val="105"/>
        </w:rPr>
        <w:t>75</w:t>
      </w:r>
      <w:r>
        <w:rPr>
          <w:color w:val="231F20"/>
          <w:spacing w:val="-23"/>
          <w:w w:val="105"/>
        </w:rPr>
        <w:t> </w:t>
      </w:r>
      <w:r>
        <w:rPr>
          <w:color w:val="231F20"/>
          <w:w w:val="105"/>
        </w:rPr>
        <w:t>percent</w:t>
      </w:r>
      <w:r>
        <w:rPr>
          <w:color w:val="231F20"/>
          <w:spacing w:val="-22"/>
          <w:w w:val="105"/>
        </w:rPr>
        <w:t> </w:t>
      </w:r>
      <w:r>
        <w:rPr>
          <w:color w:val="231F20"/>
          <w:w w:val="105"/>
        </w:rPr>
        <w:t>loss</w:t>
      </w:r>
      <w:r>
        <w:rPr>
          <w:color w:val="231F20"/>
          <w:spacing w:val="-23"/>
          <w:w w:val="105"/>
        </w:rPr>
        <w:t> </w:t>
      </w:r>
      <w:r>
        <w:rPr>
          <w:color w:val="231F20"/>
          <w:w w:val="105"/>
        </w:rPr>
        <w:t>of</w:t>
      </w:r>
      <w:r>
        <w:rPr>
          <w:color w:val="231F20"/>
          <w:spacing w:val="-22"/>
          <w:w w:val="105"/>
        </w:rPr>
        <w:t> </w:t>
      </w:r>
      <w:r>
        <w:rPr>
          <w:color w:val="231F20"/>
          <w:w w:val="105"/>
        </w:rPr>
        <w:t>functional</w:t>
      </w:r>
      <w:r>
        <w:rPr>
          <w:color w:val="231F20"/>
          <w:spacing w:val="-23"/>
          <w:w w:val="105"/>
        </w:rPr>
        <w:t> </w:t>
      </w:r>
      <w:r>
        <w:rPr>
          <w:color w:val="231F20"/>
          <w:spacing w:val="-3"/>
          <w:w w:val="105"/>
        </w:rPr>
        <w:t>neph­ </w:t>
      </w:r>
      <w:r>
        <w:rPr>
          <w:color w:val="231F20"/>
          <w:w w:val="105"/>
        </w:rPr>
        <w:t>rons, each surviving nephron must excrete four times</w:t>
      </w:r>
      <w:r>
        <w:rPr>
          <w:color w:val="231F20"/>
          <w:spacing w:val="-23"/>
          <w:w w:val="105"/>
        </w:rPr>
        <w:t> </w:t>
      </w:r>
      <w:r>
        <w:rPr>
          <w:color w:val="231F20"/>
          <w:w w:val="105"/>
        </w:rPr>
        <w:t>as much sodium and four times as much volume as under normal conditions </w:t>
      </w:r>
      <w:r>
        <w:rPr>
          <w:color w:val="231F20"/>
          <w:spacing w:val="-3"/>
          <w:w w:val="105"/>
        </w:rPr>
        <w:t>(</w:t>
      </w:r>
      <w:hyperlink w:history="true" w:anchor="_bookmark127">
        <w:r>
          <w:rPr>
            <w:b/>
            <w:color w:val="0080AC"/>
            <w:spacing w:val="-3"/>
            <w:w w:val="105"/>
          </w:rPr>
          <w:t>Table</w:t>
        </w:r>
        <w:r>
          <w:rPr>
            <w:b/>
            <w:color w:val="0080AC"/>
            <w:spacing w:val="6"/>
            <w:w w:val="105"/>
          </w:rPr>
          <w:t> </w:t>
        </w:r>
        <w:r>
          <w:rPr>
            <w:b/>
            <w:color w:val="0080AC"/>
            <w:w w:val="105"/>
          </w:rPr>
          <w:t>32-6</w:t>
        </w:r>
      </w:hyperlink>
      <w:r>
        <w:rPr>
          <w:color w:val="231F20"/>
          <w:w w:val="105"/>
        </w:rPr>
        <w:t>).</w:t>
      </w:r>
    </w:p>
    <w:p>
      <w:pPr>
        <w:pStyle w:val="BodyText"/>
        <w:spacing w:line="249" w:lineRule="auto" w:before="4"/>
        <w:ind w:left="1080" w:firstLine="240"/>
        <w:jc w:val="both"/>
      </w:pPr>
      <w:r>
        <w:rPr>
          <w:color w:val="231F20"/>
          <w:w w:val="105"/>
        </w:rPr>
        <w:t>Part of this adaptation occurs because of increased blood flow and increased GFR in each of the surviving nephrons, owing to hypertrophy of the blood vessels and glomeruli, as well as functional changes that cause the blood vessels to dilate. Even with large decreases in</w:t>
      </w:r>
    </w:p>
    <w:p>
      <w:pPr>
        <w:pStyle w:val="BodyText"/>
        <w:spacing w:before="6"/>
        <w:rPr>
          <w:sz w:val="29"/>
        </w:rPr>
      </w:pPr>
      <w:r>
        <w:rPr/>
        <w:br w:type="column"/>
      </w:r>
      <w:r>
        <w:rPr>
          <w:sz w:val="29"/>
        </w:rPr>
      </w:r>
    </w:p>
    <w:p>
      <w:pPr>
        <w:pStyle w:val="BodyText"/>
        <w:spacing w:line="249" w:lineRule="auto"/>
        <w:ind w:left="319" w:right="1437"/>
        <w:jc w:val="both"/>
      </w:pPr>
      <w:r>
        <w:rPr>
          <w:color w:val="231F20"/>
          <w:w w:val="105"/>
        </w:rPr>
        <w:t>the</w:t>
      </w:r>
      <w:r>
        <w:rPr>
          <w:color w:val="231F20"/>
          <w:spacing w:val="-12"/>
          <w:w w:val="105"/>
        </w:rPr>
        <w:t> </w:t>
      </w:r>
      <w:r>
        <w:rPr>
          <w:color w:val="231F20"/>
          <w:w w:val="105"/>
        </w:rPr>
        <w:t>total</w:t>
      </w:r>
      <w:r>
        <w:rPr>
          <w:color w:val="231F20"/>
          <w:spacing w:val="-12"/>
          <w:w w:val="105"/>
        </w:rPr>
        <w:t> </w:t>
      </w:r>
      <w:r>
        <w:rPr>
          <w:color w:val="231F20"/>
          <w:w w:val="105"/>
        </w:rPr>
        <w:t>GFR,</w:t>
      </w:r>
      <w:r>
        <w:rPr>
          <w:color w:val="231F20"/>
          <w:spacing w:val="-11"/>
          <w:w w:val="105"/>
        </w:rPr>
        <w:t> </w:t>
      </w:r>
      <w:r>
        <w:rPr>
          <w:color w:val="231F20"/>
          <w:w w:val="105"/>
        </w:rPr>
        <w:t>normal</w:t>
      </w:r>
      <w:r>
        <w:rPr>
          <w:color w:val="231F20"/>
          <w:spacing w:val="-12"/>
          <w:w w:val="105"/>
        </w:rPr>
        <w:t> </w:t>
      </w:r>
      <w:r>
        <w:rPr>
          <w:color w:val="231F20"/>
          <w:w w:val="105"/>
        </w:rPr>
        <w:t>rates</w:t>
      </w:r>
      <w:r>
        <w:rPr>
          <w:color w:val="231F20"/>
          <w:spacing w:val="-11"/>
          <w:w w:val="105"/>
        </w:rPr>
        <w:t> </w:t>
      </w:r>
      <w:r>
        <w:rPr>
          <w:color w:val="231F20"/>
          <w:w w:val="105"/>
        </w:rPr>
        <w:t>of</w:t>
      </w:r>
      <w:r>
        <w:rPr>
          <w:color w:val="231F20"/>
          <w:spacing w:val="-12"/>
          <w:w w:val="105"/>
        </w:rPr>
        <w:t> </w:t>
      </w:r>
      <w:r>
        <w:rPr>
          <w:color w:val="231F20"/>
          <w:w w:val="105"/>
        </w:rPr>
        <w:t>renal</w:t>
      </w:r>
      <w:r>
        <w:rPr>
          <w:color w:val="231F20"/>
          <w:spacing w:val="-11"/>
          <w:w w:val="105"/>
        </w:rPr>
        <w:t> </w:t>
      </w:r>
      <w:r>
        <w:rPr>
          <w:color w:val="231F20"/>
          <w:w w:val="105"/>
        </w:rPr>
        <w:t>excretion</w:t>
      </w:r>
      <w:r>
        <w:rPr>
          <w:color w:val="231F20"/>
          <w:spacing w:val="-12"/>
          <w:w w:val="105"/>
        </w:rPr>
        <w:t> </w:t>
      </w:r>
      <w:r>
        <w:rPr>
          <w:color w:val="231F20"/>
          <w:w w:val="105"/>
        </w:rPr>
        <w:t>can</w:t>
      </w:r>
      <w:r>
        <w:rPr>
          <w:color w:val="231F20"/>
          <w:spacing w:val="-11"/>
          <w:w w:val="105"/>
        </w:rPr>
        <w:t> </w:t>
      </w:r>
      <w:r>
        <w:rPr>
          <w:color w:val="231F20"/>
          <w:w w:val="105"/>
        </w:rPr>
        <w:t>still</w:t>
      </w:r>
      <w:r>
        <w:rPr>
          <w:color w:val="231F20"/>
          <w:spacing w:val="-12"/>
          <w:w w:val="105"/>
        </w:rPr>
        <w:t> </w:t>
      </w:r>
      <w:r>
        <w:rPr>
          <w:color w:val="231F20"/>
          <w:w w:val="105"/>
        </w:rPr>
        <w:t>be maintained by decreasing the rate at which the tubules reabsorb water and</w:t>
      </w:r>
      <w:r>
        <w:rPr>
          <w:color w:val="231F20"/>
          <w:spacing w:val="8"/>
          <w:w w:val="105"/>
        </w:rPr>
        <w:t> </w:t>
      </w:r>
      <w:r>
        <w:rPr>
          <w:color w:val="231F20"/>
          <w:w w:val="105"/>
        </w:rPr>
        <w:t>solutes.</w:t>
      </w:r>
    </w:p>
    <w:p>
      <w:pPr>
        <w:spacing w:line="249" w:lineRule="auto" w:before="251"/>
        <w:ind w:left="319" w:right="1437" w:firstLine="0"/>
        <w:jc w:val="both"/>
        <w:rPr>
          <w:sz w:val="20"/>
        </w:rPr>
      </w:pPr>
      <w:r>
        <w:rPr>
          <w:rFonts w:ascii="Trebuchet MS" w:hAnsi="Trebuchet MS"/>
          <w:b/>
          <w:color w:val="231F20"/>
          <w:w w:val="105"/>
          <w:sz w:val="19"/>
        </w:rPr>
        <w:t>Isosthenuria—Inability</w:t>
      </w:r>
      <w:r>
        <w:rPr>
          <w:rFonts w:ascii="Trebuchet MS" w:hAnsi="Trebuchet MS"/>
          <w:b/>
          <w:color w:val="231F20"/>
          <w:spacing w:val="-31"/>
          <w:w w:val="105"/>
          <w:sz w:val="19"/>
        </w:rPr>
        <w:t> </w:t>
      </w:r>
      <w:r>
        <w:rPr>
          <w:rFonts w:ascii="Trebuchet MS" w:hAnsi="Trebuchet MS"/>
          <w:b/>
          <w:color w:val="231F20"/>
          <w:w w:val="105"/>
          <w:sz w:val="19"/>
        </w:rPr>
        <w:t>of</w:t>
      </w:r>
      <w:r>
        <w:rPr>
          <w:rFonts w:ascii="Trebuchet MS" w:hAnsi="Trebuchet MS"/>
          <w:b/>
          <w:color w:val="231F20"/>
          <w:spacing w:val="-30"/>
          <w:w w:val="105"/>
          <w:sz w:val="19"/>
        </w:rPr>
        <w:t> </w:t>
      </w:r>
      <w:r>
        <w:rPr>
          <w:rFonts w:ascii="Trebuchet MS" w:hAnsi="Trebuchet MS"/>
          <w:b/>
          <w:color w:val="231F20"/>
          <w:w w:val="105"/>
          <w:sz w:val="19"/>
        </w:rPr>
        <w:t>the</w:t>
      </w:r>
      <w:r>
        <w:rPr>
          <w:rFonts w:ascii="Trebuchet MS" w:hAnsi="Trebuchet MS"/>
          <w:b/>
          <w:color w:val="231F20"/>
          <w:spacing w:val="-31"/>
          <w:w w:val="105"/>
          <w:sz w:val="19"/>
        </w:rPr>
        <w:t> </w:t>
      </w:r>
      <w:r>
        <w:rPr>
          <w:rFonts w:ascii="Trebuchet MS" w:hAnsi="Trebuchet MS"/>
          <w:b/>
          <w:color w:val="231F20"/>
          <w:w w:val="105"/>
          <w:sz w:val="19"/>
        </w:rPr>
        <w:t>Kidney</w:t>
      </w:r>
      <w:r>
        <w:rPr>
          <w:rFonts w:ascii="Trebuchet MS" w:hAnsi="Trebuchet MS"/>
          <w:b/>
          <w:color w:val="231F20"/>
          <w:spacing w:val="-30"/>
          <w:w w:val="105"/>
          <w:sz w:val="19"/>
        </w:rPr>
        <w:t> </w:t>
      </w:r>
      <w:r>
        <w:rPr>
          <w:rFonts w:ascii="Trebuchet MS" w:hAnsi="Trebuchet MS"/>
          <w:b/>
          <w:color w:val="231F20"/>
          <w:w w:val="105"/>
          <w:sz w:val="19"/>
        </w:rPr>
        <w:t>to</w:t>
      </w:r>
      <w:r>
        <w:rPr>
          <w:rFonts w:ascii="Trebuchet MS" w:hAnsi="Trebuchet MS"/>
          <w:b/>
          <w:color w:val="231F20"/>
          <w:spacing w:val="-31"/>
          <w:w w:val="105"/>
          <w:sz w:val="19"/>
        </w:rPr>
        <w:t> </w:t>
      </w:r>
      <w:r>
        <w:rPr>
          <w:rFonts w:ascii="Trebuchet MS" w:hAnsi="Trebuchet MS"/>
          <w:b/>
          <w:color w:val="231F20"/>
          <w:w w:val="105"/>
          <w:sz w:val="19"/>
        </w:rPr>
        <w:t>Concentrate or Dilute the Urine. </w:t>
      </w:r>
      <w:r>
        <w:rPr>
          <w:color w:val="231F20"/>
          <w:w w:val="105"/>
          <w:sz w:val="20"/>
        </w:rPr>
        <w:t>One important effect of the </w:t>
      </w:r>
      <w:r>
        <w:rPr>
          <w:color w:val="231F20"/>
          <w:spacing w:val="-4"/>
          <w:w w:val="105"/>
          <w:sz w:val="20"/>
        </w:rPr>
        <w:t>rapid </w:t>
      </w:r>
      <w:r>
        <w:rPr>
          <w:color w:val="231F20"/>
          <w:w w:val="105"/>
          <w:sz w:val="20"/>
        </w:rPr>
        <w:t>rate</w:t>
      </w:r>
      <w:r>
        <w:rPr>
          <w:color w:val="231F20"/>
          <w:spacing w:val="-20"/>
          <w:w w:val="105"/>
          <w:sz w:val="20"/>
        </w:rPr>
        <w:t> </w:t>
      </w:r>
      <w:r>
        <w:rPr>
          <w:color w:val="231F20"/>
          <w:w w:val="105"/>
          <w:sz w:val="20"/>
        </w:rPr>
        <w:t>of</w:t>
      </w:r>
      <w:r>
        <w:rPr>
          <w:color w:val="231F20"/>
          <w:spacing w:val="-19"/>
          <w:w w:val="105"/>
          <w:sz w:val="20"/>
        </w:rPr>
        <w:t> </w:t>
      </w:r>
      <w:r>
        <w:rPr>
          <w:color w:val="231F20"/>
          <w:w w:val="105"/>
          <w:sz w:val="20"/>
        </w:rPr>
        <w:t>tubular</w:t>
      </w:r>
      <w:r>
        <w:rPr>
          <w:color w:val="231F20"/>
          <w:spacing w:val="-19"/>
          <w:w w:val="105"/>
          <w:sz w:val="20"/>
        </w:rPr>
        <w:t> </w:t>
      </w:r>
      <w:r>
        <w:rPr>
          <w:color w:val="231F20"/>
          <w:w w:val="105"/>
          <w:sz w:val="20"/>
        </w:rPr>
        <w:t>flow</w:t>
      </w:r>
      <w:r>
        <w:rPr>
          <w:color w:val="231F20"/>
          <w:spacing w:val="-19"/>
          <w:w w:val="105"/>
          <w:sz w:val="20"/>
        </w:rPr>
        <w:t> </w:t>
      </w:r>
      <w:r>
        <w:rPr>
          <w:color w:val="231F20"/>
          <w:w w:val="105"/>
          <w:sz w:val="20"/>
        </w:rPr>
        <w:t>that</w:t>
      </w:r>
      <w:r>
        <w:rPr>
          <w:color w:val="231F20"/>
          <w:spacing w:val="-19"/>
          <w:w w:val="105"/>
          <w:sz w:val="20"/>
        </w:rPr>
        <w:t> </w:t>
      </w:r>
      <w:r>
        <w:rPr>
          <w:color w:val="231F20"/>
          <w:w w:val="105"/>
          <w:sz w:val="20"/>
        </w:rPr>
        <w:t>occurs</w:t>
      </w:r>
      <w:r>
        <w:rPr>
          <w:color w:val="231F20"/>
          <w:spacing w:val="-19"/>
          <w:w w:val="105"/>
          <w:sz w:val="20"/>
        </w:rPr>
        <w:t> </w:t>
      </w:r>
      <w:r>
        <w:rPr>
          <w:color w:val="231F20"/>
          <w:w w:val="105"/>
          <w:sz w:val="20"/>
        </w:rPr>
        <w:t>in</w:t>
      </w:r>
      <w:r>
        <w:rPr>
          <w:color w:val="231F20"/>
          <w:spacing w:val="-19"/>
          <w:w w:val="105"/>
          <w:sz w:val="20"/>
        </w:rPr>
        <w:t> </w:t>
      </w:r>
      <w:r>
        <w:rPr>
          <w:color w:val="231F20"/>
          <w:w w:val="105"/>
          <w:sz w:val="20"/>
        </w:rPr>
        <w:t>the</w:t>
      </w:r>
      <w:r>
        <w:rPr>
          <w:color w:val="231F20"/>
          <w:spacing w:val="-19"/>
          <w:w w:val="105"/>
          <w:sz w:val="20"/>
        </w:rPr>
        <w:t> </w:t>
      </w:r>
      <w:r>
        <w:rPr>
          <w:color w:val="231F20"/>
          <w:w w:val="105"/>
          <w:sz w:val="20"/>
        </w:rPr>
        <w:t>remaining</w:t>
      </w:r>
      <w:r>
        <w:rPr>
          <w:color w:val="231F20"/>
          <w:spacing w:val="-19"/>
          <w:w w:val="105"/>
          <w:sz w:val="20"/>
        </w:rPr>
        <w:t> </w:t>
      </w:r>
      <w:r>
        <w:rPr>
          <w:color w:val="231F20"/>
          <w:w w:val="105"/>
          <w:sz w:val="20"/>
        </w:rPr>
        <w:t>nephrons of diseased kidneys is that the renal tubules lose their ability to fully concentrate or dilute the urine. The con­ centrating</w:t>
      </w:r>
      <w:r>
        <w:rPr>
          <w:color w:val="231F20"/>
          <w:spacing w:val="-33"/>
          <w:w w:val="105"/>
          <w:sz w:val="20"/>
        </w:rPr>
        <w:t> </w:t>
      </w:r>
      <w:r>
        <w:rPr>
          <w:color w:val="231F20"/>
          <w:w w:val="105"/>
          <w:sz w:val="20"/>
        </w:rPr>
        <w:t>ability</w:t>
      </w:r>
      <w:r>
        <w:rPr>
          <w:color w:val="231F20"/>
          <w:spacing w:val="-33"/>
          <w:w w:val="105"/>
          <w:sz w:val="20"/>
        </w:rPr>
        <w:t> </w:t>
      </w:r>
      <w:r>
        <w:rPr>
          <w:color w:val="231F20"/>
          <w:w w:val="105"/>
          <w:sz w:val="20"/>
        </w:rPr>
        <w:t>of</w:t>
      </w:r>
      <w:r>
        <w:rPr>
          <w:color w:val="231F20"/>
          <w:spacing w:val="-32"/>
          <w:w w:val="105"/>
          <w:sz w:val="20"/>
        </w:rPr>
        <w:t> </w:t>
      </w:r>
      <w:r>
        <w:rPr>
          <w:color w:val="231F20"/>
          <w:w w:val="105"/>
          <w:sz w:val="20"/>
        </w:rPr>
        <w:t>the</w:t>
      </w:r>
      <w:r>
        <w:rPr>
          <w:color w:val="231F20"/>
          <w:spacing w:val="-33"/>
          <w:w w:val="105"/>
          <w:sz w:val="20"/>
        </w:rPr>
        <w:t> </w:t>
      </w:r>
      <w:r>
        <w:rPr>
          <w:color w:val="231F20"/>
          <w:w w:val="105"/>
          <w:sz w:val="20"/>
        </w:rPr>
        <w:t>kidney</w:t>
      </w:r>
      <w:r>
        <w:rPr>
          <w:color w:val="231F20"/>
          <w:spacing w:val="-33"/>
          <w:w w:val="105"/>
          <w:sz w:val="20"/>
        </w:rPr>
        <w:t> </w:t>
      </w:r>
      <w:r>
        <w:rPr>
          <w:color w:val="231F20"/>
          <w:w w:val="105"/>
          <w:sz w:val="20"/>
        </w:rPr>
        <w:t>is</w:t>
      </w:r>
      <w:r>
        <w:rPr>
          <w:color w:val="231F20"/>
          <w:spacing w:val="-32"/>
          <w:w w:val="105"/>
          <w:sz w:val="20"/>
        </w:rPr>
        <w:t> </w:t>
      </w:r>
      <w:r>
        <w:rPr>
          <w:color w:val="231F20"/>
          <w:w w:val="105"/>
          <w:sz w:val="20"/>
        </w:rPr>
        <w:t>impaired</w:t>
      </w:r>
      <w:r>
        <w:rPr>
          <w:color w:val="231F20"/>
          <w:spacing w:val="-33"/>
          <w:w w:val="105"/>
          <w:sz w:val="20"/>
        </w:rPr>
        <w:t> </w:t>
      </w:r>
      <w:r>
        <w:rPr>
          <w:color w:val="231F20"/>
          <w:w w:val="105"/>
          <w:sz w:val="20"/>
        </w:rPr>
        <w:t>mainly</w:t>
      </w:r>
      <w:r>
        <w:rPr>
          <w:color w:val="231F20"/>
          <w:spacing w:val="-32"/>
          <w:w w:val="105"/>
          <w:sz w:val="20"/>
        </w:rPr>
        <w:t> </w:t>
      </w:r>
      <w:r>
        <w:rPr>
          <w:color w:val="231F20"/>
          <w:w w:val="105"/>
          <w:sz w:val="20"/>
        </w:rPr>
        <w:t>because</w:t>
      </w:r>
    </w:p>
    <w:p>
      <w:pPr>
        <w:pStyle w:val="ListParagraph"/>
        <w:numPr>
          <w:ilvl w:val="0"/>
          <w:numId w:val="31"/>
        </w:numPr>
        <w:tabs>
          <w:tab w:pos="611" w:val="left" w:leader="none"/>
        </w:tabs>
        <w:spacing w:line="249" w:lineRule="auto" w:before="6" w:after="0"/>
        <w:ind w:left="319" w:right="1437" w:firstLine="0"/>
        <w:jc w:val="both"/>
        <w:rPr>
          <w:sz w:val="20"/>
        </w:rPr>
      </w:pPr>
      <w:r>
        <w:rPr>
          <w:color w:val="231F20"/>
          <w:w w:val="105"/>
          <w:sz w:val="20"/>
        </w:rPr>
        <w:t>the rapid flow of tubular fluid through the </w:t>
      </w:r>
      <w:r>
        <w:rPr>
          <w:color w:val="231F20"/>
          <w:spacing w:val="-3"/>
          <w:w w:val="105"/>
          <w:sz w:val="20"/>
        </w:rPr>
        <w:t>collecting </w:t>
      </w:r>
      <w:r>
        <w:rPr>
          <w:color w:val="231F20"/>
          <w:w w:val="105"/>
          <w:sz w:val="20"/>
        </w:rPr>
        <w:t>ducts prevents adequate water reabsorption and (2) the rapid flow through both the loop of Henle and the col­ lecting ducts prevents the countercurrent mechanism from operating effectively to concentrate the medullary interstitial</w:t>
      </w:r>
      <w:r>
        <w:rPr>
          <w:color w:val="231F20"/>
          <w:spacing w:val="-24"/>
          <w:w w:val="105"/>
          <w:sz w:val="20"/>
        </w:rPr>
        <w:t> </w:t>
      </w:r>
      <w:r>
        <w:rPr>
          <w:color w:val="231F20"/>
          <w:w w:val="105"/>
          <w:sz w:val="20"/>
        </w:rPr>
        <w:t>fluid</w:t>
      </w:r>
      <w:r>
        <w:rPr>
          <w:color w:val="231F20"/>
          <w:spacing w:val="-23"/>
          <w:w w:val="105"/>
          <w:sz w:val="20"/>
        </w:rPr>
        <w:t> </w:t>
      </w:r>
      <w:r>
        <w:rPr>
          <w:color w:val="231F20"/>
          <w:w w:val="105"/>
          <w:sz w:val="20"/>
        </w:rPr>
        <w:t>solutes.</w:t>
      </w:r>
      <w:r>
        <w:rPr>
          <w:color w:val="231F20"/>
          <w:spacing w:val="-23"/>
          <w:w w:val="105"/>
          <w:sz w:val="20"/>
        </w:rPr>
        <w:t> </w:t>
      </w:r>
      <w:r>
        <w:rPr>
          <w:color w:val="231F20"/>
          <w:w w:val="105"/>
          <w:sz w:val="20"/>
        </w:rPr>
        <w:t>Therefore,</w:t>
      </w:r>
      <w:r>
        <w:rPr>
          <w:color w:val="231F20"/>
          <w:spacing w:val="-24"/>
          <w:w w:val="105"/>
          <w:sz w:val="20"/>
        </w:rPr>
        <w:t> </w:t>
      </w:r>
      <w:r>
        <w:rPr>
          <w:color w:val="231F20"/>
          <w:w w:val="105"/>
          <w:sz w:val="20"/>
        </w:rPr>
        <w:t>as</w:t>
      </w:r>
      <w:r>
        <w:rPr>
          <w:color w:val="231F20"/>
          <w:spacing w:val="-23"/>
          <w:w w:val="105"/>
          <w:sz w:val="20"/>
        </w:rPr>
        <w:t> </w:t>
      </w:r>
      <w:r>
        <w:rPr>
          <w:color w:val="231F20"/>
          <w:w w:val="105"/>
          <w:sz w:val="20"/>
        </w:rPr>
        <w:t>progressively</w:t>
      </w:r>
      <w:r>
        <w:rPr>
          <w:color w:val="231F20"/>
          <w:spacing w:val="-23"/>
          <w:w w:val="105"/>
          <w:sz w:val="20"/>
        </w:rPr>
        <w:t> </w:t>
      </w:r>
      <w:r>
        <w:rPr>
          <w:color w:val="231F20"/>
          <w:w w:val="105"/>
          <w:sz w:val="20"/>
        </w:rPr>
        <w:t>more nephrons are destroyed, the maximum concentrating ability of the kidney declines and urine osmolarity </w:t>
      </w:r>
      <w:r>
        <w:rPr>
          <w:color w:val="231F20"/>
          <w:spacing w:val="-4"/>
          <w:w w:val="105"/>
          <w:sz w:val="20"/>
        </w:rPr>
        <w:t>and </w:t>
      </w:r>
      <w:r>
        <w:rPr>
          <w:color w:val="231F20"/>
          <w:w w:val="105"/>
          <w:sz w:val="20"/>
        </w:rPr>
        <w:t>specific</w:t>
      </w:r>
      <w:r>
        <w:rPr>
          <w:color w:val="231F20"/>
          <w:spacing w:val="-7"/>
          <w:w w:val="105"/>
          <w:sz w:val="20"/>
        </w:rPr>
        <w:t> </w:t>
      </w:r>
      <w:r>
        <w:rPr>
          <w:color w:val="231F20"/>
          <w:w w:val="105"/>
          <w:sz w:val="20"/>
        </w:rPr>
        <w:t>gravity</w:t>
      </w:r>
      <w:r>
        <w:rPr>
          <w:color w:val="231F20"/>
          <w:spacing w:val="-6"/>
          <w:w w:val="105"/>
          <w:sz w:val="20"/>
        </w:rPr>
        <w:t> </w:t>
      </w:r>
      <w:r>
        <w:rPr>
          <w:color w:val="231F20"/>
          <w:w w:val="105"/>
          <w:sz w:val="20"/>
        </w:rPr>
        <w:t>(a</w:t>
      </w:r>
      <w:r>
        <w:rPr>
          <w:color w:val="231F20"/>
          <w:spacing w:val="-6"/>
          <w:w w:val="105"/>
          <w:sz w:val="20"/>
        </w:rPr>
        <w:t> </w:t>
      </w:r>
      <w:r>
        <w:rPr>
          <w:color w:val="231F20"/>
          <w:w w:val="105"/>
          <w:sz w:val="20"/>
        </w:rPr>
        <w:t>measure</w:t>
      </w:r>
      <w:r>
        <w:rPr>
          <w:color w:val="231F20"/>
          <w:spacing w:val="-6"/>
          <w:w w:val="105"/>
          <w:sz w:val="20"/>
        </w:rPr>
        <w:t> </w:t>
      </w:r>
      <w:r>
        <w:rPr>
          <w:color w:val="231F20"/>
          <w:w w:val="105"/>
          <w:sz w:val="20"/>
        </w:rPr>
        <w:t>of</w:t>
      </w:r>
      <w:r>
        <w:rPr>
          <w:color w:val="231F20"/>
          <w:spacing w:val="-6"/>
          <w:w w:val="105"/>
          <w:sz w:val="20"/>
        </w:rPr>
        <w:t> </w:t>
      </w:r>
      <w:r>
        <w:rPr>
          <w:color w:val="231F20"/>
          <w:w w:val="105"/>
          <w:sz w:val="20"/>
        </w:rPr>
        <w:t>the</w:t>
      </w:r>
      <w:r>
        <w:rPr>
          <w:color w:val="231F20"/>
          <w:spacing w:val="-6"/>
          <w:w w:val="105"/>
          <w:sz w:val="20"/>
        </w:rPr>
        <w:t> </w:t>
      </w:r>
      <w:r>
        <w:rPr>
          <w:color w:val="231F20"/>
          <w:w w:val="105"/>
          <w:sz w:val="20"/>
        </w:rPr>
        <w:t>total</w:t>
      </w:r>
      <w:r>
        <w:rPr>
          <w:color w:val="231F20"/>
          <w:spacing w:val="-6"/>
          <w:w w:val="105"/>
          <w:sz w:val="20"/>
        </w:rPr>
        <w:t> </w:t>
      </w:r>
      <w:r>
        <w:rPr>
          <w:color w:val="231F20"/>
          <w:w w:val="105"/>
          <w:sz w:val="20"/>
        </w:rPr>
        <w:t>solute</w:t>
      </w:r>
      <w:r>
        <w:rPr>
          <w:color w:val="231F20"/>
          <w:spacing w:val="-6"/>
          <w:w w:val="105"/>
          <w:sz w:val="20"/>
        </w:rPr>
        <w:t> </w:t>
      </w:r>
      <w:r>
        <w:rPr>
          <w:color w:val="231F20"/>
          <w:w w:val="105"/>
          <w:sz w:val="20"/>
        </w:rPr>
        <w:t>concentra­ tion)</w:t>
      </w:r>
      <w:r>
        <w:rPr>
          <w:color w:val="231F20"/>
          <w:spacing w:val="-7"/>
          <w:w w:val="105"/>
          <w:sz w:val="20"/>
        </w:rPr>
        <w:t> </w:t>
      </w:r>
      <w:r>
        <w:rPr>
          <w:color w:val="231F20"/>
          <w:w w:val="105"/>
          <w:sz w:val="20"/>
        </w:rPr>
        <w:t>approach</w:t>
      </w:r>
      <w:r>
        <w:rPr>
          <w:color w:val="231F20"/>
          <w:spacing w:val="-6"/>
          <w:w w:val="105"/>
          <w:sz w:val="20"/>
        </w:rPr>
        <w:t> </w:t>
      </w:r>
      <w:r>
        <w:rPr>
          <w:color w:val="231F20"/>
          <w:w w:val="105"/>
          <w:sz w:val="20"/>
        </w:rPr>
        <w:t>the</w:t>
      </w:r>
      <w:r>
        <w:rPr>
          <w:color w:val="231F20"/>
          <w:spacing w:val="-6"/>
          <w:w w:val="105"/>
          <w:sz w:val="20"/>
        </w:rPr>
        <w:t> </w:t>
      </w:r>
      <w:r>
        <w:rPr>
          <w:color w:val="231F20"/>
          <w:w w:val="105"/>
          <w:sz w:val="20"/>
        </w:rPr>
        <w:t>osmolarity</w:t>
      </w:r>
      <w:r>
        <w:rPr>
          <w:color w:val="231F20"/>
          <w:spacing w:val="-6"/>
          <w:w w:val="105"/>
          <w:sz w:val="20"/>
        </w:rPr>
        <w:t> </w:t>
      </w:r>
      <w:r>
        <w:rPr>
          <w:color w:val="231F20"/>
          <w:w w:val="105"/>
          <w:sz w:val="20"/>
        </w:rPr>
        <w:t>and</w:t>
      </w:r>
      <w:r>
        <w:rPr>
          <w:color w:val="231F20"/>
          <w:spacing w:val="-6"/>
          <w:w w:val="105"/>
          <w:sz w:val="20"/>
        </w:rPr>
        <w:t> </w:t>
      </w:r>
      <w:r>
        <w:rPr>
          <w:color w:val="231F20"/>
          <w:w w:val="105"/>
          <w:sz w:val="20"/>
        </w:rPr>
        <w:t>specific</w:t>
      </w:r>
      <w:r>
        <w:rPr>
          <w:color w:val="231F20"/>
          <w:spacing w:val="-7"/>
          <w:w w:val="105"/>
          <w:sz w:val="20"/>
        </w:rPr>
        <w:t> </w:t>
      </w:r>
      <w:r>
        <w:rPr>
          <w:color w:val="231F20"/>
          <w:w w:val="105"/>
          <w:sz w:val="20"/>
        </w:rPr>
        <w:t>gravity</w:t>
      </w:r>
      <w:r>
        <w:rPr>
          <w:color w:val="231F20"/>
          <w:spacing w:val="-6"/>
          <w:w w:val="105"/>
          <w:sz w:val="20"/>
        </w:rPr>
        <w:t> </w:t>
      </w:r>
      <w:r>
        <w:rPr>
          <w:color w:val="231F20"/>
          <w:w w:val="105"/>
          <w:sz w:val="20"/>
        </w:rPr>
        <w:t>of</w:t>
      </w:r>
      <w:r>
        <w:rPr>
          <w:color w:val="231F20"/>
          <w:spacing w:val="-6"/>
          <w:w w:val="105"/>
          <w:sz w:val="20"/>
        </w:rPr>
        <w:t> </w:t>
      </w:r>
      <w:r>
        <w:rPr>
          <w:color w:val="231F20"/>
          <w:w w:val="105"/>
          <w:sz w:val="20"/>
        </w:rPr>
        <w:t>the glomerular filtrate, as shown in </w:t>
      </w:r>
      <w:hyperlink w:history="true" w:anchor="_bookmark125">
        <w:r>
          <w:rPr>
            <w:b/>
            <w:color w:val="0080AC"/>
            <w:w w:val="105"/>
            <w:sz w:val="20"/>
          </w:rPr>
          <w:t>Figure</w:t>
        </w:r>
        <w:r>
          <w:rPr>
            <w:b/>
            <w:color w:val="0080AC"/>
            <w:spacing w:val="-2"/>
            <w:w w:val="105"/>
            <w:sz w:val="20"/>
          </w:rPr>
          <w:t> </w:t>
        </w:r>
        <w:r>
          <w:rPr>
            <w:b/>
            <w:color w:val="0080AC"/>
            <w:w w:val="105"/>
            <w:sz w:val="20"/>
          </w:rPr>
          <w:t>32-6</w:t>
        </w:r>
      </w:hyperlink>
      <w:r>
        <w:rPr>
          <w:color w:val="231F20"/>
          <w:w w:val="105"/>
          <w:sz w:val="20"/>
        </w:rPr>
        <w:t>.</w:t>
      </w:r>
    </w:p>
    <w:p>
      <w:pPr>
        <w:pStyle w:val="BodyText"/>
        <w:spacing w:line="249" w:lineRule="auto" w:before="9"/>
        <w:ind w:left="319" w:right="1437" w:firstLine="240"/>
        <w:jc w:val="both"/>
      </w:pPr>
      <w:r>
        <w:rPr>
          <w:color w:val="231F20"/>
          <w:w w:val="105"/>
        </w:rPr>
        <w:t>The</w:t>
      </w:r>
      <w:r>
        <w:rPr>
          <w:color w:val="231F20"/>
          <w:spacing w:val="-18"/>
          <w:w w:val="105"/>
        </w:rPr>
        <w:t> </w:t>
      </w:r>
      <w:r>
        <w:rPr>
          <w:color w:val="231F20"/>
          <w:w w:val="105"/>
        </w:rPr>
        <w:t>diluting</w:t>
      </w:r>
      <w:r>
        <w:rPr>
          <w:color w:val="231F20"/>
          <w:spacing w:val="-17"/>
          <w:w w:val="105"/>
        </w:rPr>
        <w:t> </w:t>
      </w:r>
      <w:r>
        <w:rPr>
          <w:color w:val="231F20"/>
          <w:w w:val="105"/>
        </w:rPr>
        <w:t>mechanism</w:t>
      </w:r>
      <w:r>
        <w:rPr>
          <w:color w:val="231F20"/>
          <w:spacing w:val="-18"/>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kidney</w:t>
      </w:r>
      <w:r>
        <w:rPr>
          <w:color w:val="231F20"/>
          <w:spacing w:val="-18"/>
          <w:w w:val="105"/>
        </w:rPr>
        <w:t> </w:t>
      </w:r>
      <w:r>
        <w:rPr>
          <w:color w:val="231F20"/>
          <w:w w:val="105"/>
        </w:rPr>
        <w:t>is</w:t>
      </w:r>
      <w:r>
        <w:rPr>
          <w:color w:val="231F20"/>
          <w:spacing w:val="-17"/>
          <w:w w:val="105"/>
        </w:rPr>
        <w:t> </w:t>
      </w:r>
      <w:r>
        <w:rPr>
          <w:color w:val="231F20"/>
          <w:w w:val="105"/>
        </w:rPr>
        <w:t>also</w:t>
      </w:r>
      <w:r>
        <w:rPr>
          <w:color w:val="231F20"/>
          <w:spacing w:val="-17"/>
          <w:w w:val="105"/>
        </w:rPr>
        <w:t> </w:t>
      </w:r>
      <w:r>
        <w:rPr>
          <w:color w:val="231F20"/>
          <w:w w:val="105"/>
        </w:rPr>
        <w:t>impaired when the number of nephrons decreases </w:t>
      </w:r>
      <w:r>
        <w:rPr>
          <w:color w:val="231F20"/>
          <w:spacing w:val="-3"/>
          <w:w w:val="105"/>
        </w:rPr>
        <w:t>markedly </w:t>
      </w:r>
      <w:r>
        <w:rPr>
          <w:color w:val="231F20"/>
          <w:w w:val="105"/>
        </w:rPr>
        <w:t>because the rapid flushing of fluid through the loops </w:t>
      </w:r>
      <w:r>
        <w:rPr>
          <w:color w:val="231F20"/>
          <w:spacing w:val="-6"/>
          <w:w w:val="105"/>
        </w:rPr>
        <w:t>of </w:t>
      </w:r>
      <w:r>
        <w:rPr>
          <w:color w:val="231F20"/>
          <w:w w:val="105"/>
        </w:rPr>
        <w:t>Henle and the high load of solutes such as urea cause a relatively</w:t>
      </w:r>
      <w:r>
        <w:rPr>
          <w:color w:val="231F20"/>
          <w:spacing w:val="-18"/>
          <w:w w:val="105"/>
        </w:rPr>
        <w:t> </w:t>
      </w:r>
      <w:r>
        <w:rPr>
          <w:color w:val="231F20"/>
          <w:w w:val="105"/>
        </w:rPr>
        <w:t>high</w:t>
      </w:r>
      <w:r>
        <w:rPr>
          <w:color w:val="231F20"/>
          <w:spacing w:val="-18"/>
          <w:w w:val="105"/>
        </w:rPr>
        <w:t> </w:t>
      </w:r>
      <w:r>
        <w:rPr>
          <w:color w:val="231F20"/>
          <w:w w:val="105"/>
        </w:rPr>
        <w:t>solute</w:t>
      </w:r>
      <w:r>
        <w:rPr>
          <w:color w:val="231F20"/>
          <w:spacing w:val="-18"/>
          <w:w w:val="105"/>
        </w:rPr>
        <w:t> </w:t>
      </w:r>
      <w:r>
        <w:rPr>
          <w:color w:val="231F20"/>
          <w:w w:val="105"/>
        </w:rPr>
        <w:t>concentration</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tubular</w:t>
      </w:r>
      <w:r>
        <w:rPr>
          <w:color w:val="231F20"/>
          <w:spacing w:val="-17"/>
          <w:w w:val="105"/>
        </w:rPr>
        <w:t> </w:t>
      </w:r>
      <w:r>
        <w:rPr>
          <w:color w:val="231F20"/>
          <w:w w:val="105"/>
        </w:rPr>
        <w:t>fluid</w:t>
      </w:r>
      <w:r>
        <w:rPr>
          <w:color w:val="231F20"/>
          <w:spacing w:val="-18"/>
          <w:w w:val="105"/>
        </w:rPr>
        <w:t> </w:t>
      </w:r>
      <w:r>
        <w:rPr>
          <w:color w:val="231F20"/>
          <w:w w:val="105"/>
        </w:rPr>
        <w:t>of this part of the nephron. As a consequence, the diluting capacity</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kidney</w:t>
      </w:r>
      <w:r>
        <w:rPr>
          <w:color w:val="231F20"/>
          <w:spacing w:val="-8"/>
          <w:w w:val="105"/>
        </w:rPr>
        <w:t> </w:t>
      </w:r>
      <w:r>
        <w:rPr>
          <w:color w:val="231F20"/>
          <w:w w:val="105"/>
        </w:rPr>
        <w:t>is</w:t>
      </w:r>
      <w:r>
        <w:rPr>
          <w:color w:val="231F20"/>
          <w:spacing w:val="-8"/>
          <w:w w:val="105"/>
        </w:rPr>
        <w:t> </w:t>
      </w:r>
      <w:r>
        <w:rPr>
          <w:color w:val="231F20"/>
          <w:w w:val="105"/>
        </w:rPr>
        <w:t>impaired</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minimal</w:t>
      </w:r>
      <w:r>
        <w:rPr>
          <w:color w:val="231F20"/>
          <w:spacing w:val="-8"/>
          <w:w w:val="105"/>
        </w:rPr>
        <w:t> </w:t>
      </w:r>
      <w:r>
        <w:rPr>
          <w:color w:val="231F20"/>
          <w:spacing w:val="-3"/>
          <w:w w:val="105"/>
        </w:rPr>
        <w:t>urine </w:t>
      </w:r>
      <w:r>
        <w:rPr>
          <w:color w:val="231F20"/>
          <w:w w:val="105"/>
        </w:rPr>
        <w:t>osmolality</w:t>
      </w:r>
      <w:r>
        <w:rPr>
          <w:color w:val="231F20"/>
          <w:spacing w:val="-21"/>
          <w:w w:val="105"/>
        </w:rPr>
        <w:t> </w:t>
      </w:r>
      <w:r>
        <w:rPr>
          <w:color w:val="231F20"/>
          <w:w w:val="105"/>
        </w:rPr>
        <w:t>and</w:t>
      </w:r>
      <w:r>
        <w:rPr>
          <w:color w:val="231F20"/>
          <w:spacing w:val="-20"/>
          <w:w w:val="105"/>
        </w:rPr>
        <w:t> </w:t>
      </w:r>
      <w:r>
        <w:rPr>
          <w:color w:val="231F20"/>
          <w:w w:val="105"/>
        </w:rPr>
        <w:t>specific</w:t>
      </w:r>
      <w:r>
        <w:rPr>
          <w:color w:val="231F20"/>
          <w:spacing w:val="-21"/>
          <w:w w:val="105"/>
        </w:rPr>
        <w:t> </w:t>
      </w:r>
      <w:r>
        <w:rPr>
          <w:color w:val="231F20"/>
          <w:w w:val="105"/>
        </w:rPr>
        <w:t>gravity</w:t>
      </w:r>
      <w:r>
        <w:rPr>
          <w:color w:val="231F20"/>
          <w:spacing w:val="-21"/>
          <w:w w:val="105"/>
        </w:rPr>
        <w:t> </w:t>
      </w:r>
      <w:r>
        <w:rPr>
          <w:color w:val="231F20"/>
          <w:w w:val="105"/>
        </w:rPr>
        <w:t>approach</w:t>
      </w:r>
      <w:r>
        <w:rPr>
          <w:color w:val="231F20"/>
          <w:spacing w:val="-20"/>
          <w:w w:val="105"/>
        </w:rPr>
        <w:t> </w:t>
      </w:r>
      <w:r>
        <w:rPr>
          <w:color w:val="231F20"/>
          <w:w w:val="105"/>
        </w:rPr>
        <w:t>those</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1"/>
          <w:w w:val="105"/>
        </w:rPr>
        <w:t> </w:t>
      </w:r>
      <w:r>
        <w:rPr>
          <w:color w:val="231F20"/>
          <w:w w:val="105"/>
        </w:rPr>
        <w:t>glo­ merular filtrate. Because the concentrating mechanism becomes</w:t>
      </w:r>
      <w:r>
        <w:rPr>
          <w:color w:val="231F20"/>
          <w:spacing w:val="-11"/>
          <w:w w:val="105"/>
        </w:rPr>
        <w:t> </w:t>
      </w:r>
      <w:r>
        <w:rPr>
          <w:color w:val="231F20"/>
          <w:w w:val="105"/>
        </w:rPr>
        <w:t>impaired</w:t>
      </w:r>
      <w:r>
        <w:rPr>
          <w:color w:val="231F20"/>
          <w:spacing w:val="-11"/>
          <w:w w:val="105"/>
        </w:rPr>
        <w:t> </w:t>
      </w:r>
      <w:r>
        <w:rPr>
          <w:color w:val="231F20"/>
          <w:w w:val="105"/>
        </w:rPr>
        <w:t>to</w:t>
      </w:r>
      <w:r>
        <w:rPr>
          <w:color w:val="231F20"/>
          <w:spacing w:val="-10"/>
          <w:w w:val="105"/>
        </w:rPr>
        <w:t> </w:t>
      </w:r>
      <w:r>
        <w:rPr>
          <w:color w:val="231F20"/>
          <w:w w:val="105"/>
        </w:rPr>
        <w:t>a</w:t>
      </w:r>
      <w:r>
        <w:rPr>
          <w:color w:val="231F20"/>
          <w:spacing w:val="-11"/>
          <w:w w:val="105"/>
        </w:rPr>
        <w:t> </w:t>
      </w:r>
      <w:r>
        <w:rPr>
          <w:color w:val="231F20"/>
          <w:w w:val="105"/>
        </w:rPr>
        <w:t>greater</w:t>
      </w:r>
      <w:r>
        <w:rPr>
          <w:color w:val="231F20"/>
          <w:spacing w:val="-10"/>
          <w:w w:val="105"/>
        </w:rPr>
        <w:t> </w:t>
      </w:r>
      <w:r>
        <w:rPr>
          <w:color w:val="231F20"/>
          <w:w w:val="105"/>
        </w:rPr>
        <w:t>extent</w:t>
      </w:r>
      <w:r>
        <w:rPr>
          <w:color w:val="231F20"/>
          <w:spacing w:val="-11"/>
          <w:w w:val="105"/>
        </w:rPr>
        <w:t> </w:t>
      </w:r>
      <w:r>
        <w:rPr>
          <w:color w:val="231F20"/>
          <w:w w:val="105"/>
        </w:rPr>
        <w:t>than</w:t>
      </w:r>
      <w:r>
        <w:rPr>
          <w:color w:val="231F20"/>
          <w:spacing w:val="-10"/>
          <w:w w:val="105"/>
        </w:rPr>
        <w:t> </w:t>
      </w:r>
      <w:r>
        <w:rPr>
          <w:color w:val="231F20"/>
          <w:w w:val="105"/>
        </w:rPr>
        <w:t>does</w:t>
      </w:r>
      <w:r>
        <w:rPr>
          <w:color w:val="231F20"/>
          <w:spacing w:val="-11"/>
          <w:w w:val="105"/>
        </w:rPr>
        <w:t> </w:t>
      </w:r>
      <w:r>
        <w:rPr>
          <w:color w:val="231F20"/>
          <w:w w:val="105"/>
        </w:rPr>
        <w:t>the</w:t>
      </w:r>
      <w:r>
        <w:rPr>
          <w:color w:val="231F20"/>
          <w:spacing w:val="-10"/>
          <w:w w:val="105"/>
        </w:rPr>
        <w:t> </w:t>
      </w:r>
      <w:r>
        <w:rPr>
          <w:color w:val="231F20"/>
          <w:w w:val="105"/>
        </w:rPr>
        <w:t>dilut­ ing</w:t>
      </w:r>
      <w:r>
        <w:rPr>
          <w:color w:val="231F20"/>
          <w:spacing w:val="-23"/>
          <w:w w:val="105"/>
        </w:rPr>
        <w:t> </w:t>
      </w:r>
      <w:r>
        <w:rPr>
          <w:color w:val="231F20"/>
          <w:w w:val="105"/>
        </w:rPr>
        <w:t>mechanism</w:t>
      </w:r>
      <w:r>
        <w:rPr>
          <w:color w:val="231F20"/>
          <w:spacing w:val="-22"/>
          <w:w w:val="105"/>
        </w:rPr>
        <w:t> </w:t>
      </w:r>
      <w:r>
        <w:rPr>
          <w:color w:val="231F20"/>
          <w:w w:val="105"/>
        </w:rPr>
        <w:t>in</w:t>
      </w:r>
      <w:r>
        <w:rPr>
          <w:color w:val="231F20"/>
          <w:spacing w:val="-22"/>
          <w:w w:val="105"/>
        </w:rPr>
        <w:t> </w:t>
      </w:r>
      <w:r>
        <w:rPr>
          <w:color w:val="231F20"/>
          <w:w w:val="105"/>
        </w:rPr>
        <w:t>CKD,</w:t>
      </w:r>
      <w:r>
        <w:rPr>
          <w:color w:val="231F20"/>
          <w:spacing w:val="-23"/>
          <w:w w:val="105"/>
        </w:rPr>
        <w:t> </w:t>
      </w:r>
      <w:r>
        <w:rPr>
          <w:color w:val="231F20"/>
          <w:w w:val="105"/>
        </w:rPr>
        <w:t>an</w:t>
      </w:r>
      <w:r>
        <w:rPr>
          <w:color w:val="231F20"/>
          <w:spacing w:val="-22"/>
          <w:w w:val="105"/>
        </w:rPr>
        <w:t> </w:t>
      </w:r>
      <w:r>
        <w:rPr>
          <w:color w:val="231F20"/>
          <w:w w:val="105"/>
        </w:rPr>
        <w:t>important</w:t>
      </w:r>
      <w:r>
        <w:rPr>
          <w:color w:val="231F20"/>
          <w:spacing w:val="-22"/>
          <w:w w:val="105"/>
        </w:rPr>
        <w:t> </w:t>
      </w:r>
      <w:r>
        <w:rPr>
          <w:color w:val="231F20"/>
          <w:w w:val="105"/>
        </w:rPr>
        <w:t>clinical</w:t>
      </w:r>
      <w:r>
        <w:rPr>
          <w:color w:val="231F20"/>
          <w:spacing w:val="-23"/>
          <w:w w:val="105"/>
        </w:rPr>
        <w:t> </w:t>
      </w:r>
      <w:r>
        <w:rPr>
          <w:color w:val="231F20"/>
          <w:w w:val="105"/>
        </w:rPr>
        <w:t>test</w:t>
      </w:r>
      <w:r>
        <w:rPr>
          <w:color w:val="231F20"/>
          <w:spacing w:val="-22"/>
          <w:w w:val="105"/>
        </w:rPr>
        <w:t> </w:t>
      </w:r>
      <w:r>
        <w:rPr>
          <w:color w:val="231F20"/>
          <w:w w:val="105"/>
        </w:rPr>
        <w:t>of</w:t>
      </w:r>
      <w:r>
        <w:rPr>
          <w:color w:val="231F20"/>
          <w:spacing w:val="-22"/>
          <w:w w:val="105"/>
        </w:rPr>
        <w:t> </w:t>
      </w:r>
      <w:r>
        <w:rPr>
          <w:color w:val="231F20"/>
          <w:w w:val="105"/>
        </w:rPr>
        <w:t>renal function is to determine how well the kidneys can </w:t>
      </w:r>
      <w:r>
        <w:rPr>
          <w:color w:val="231F20"/>
          <w:spacing w:val="-5"/>
          <w:w w:val="105"/>
        </w:rPr>
        <w:t>con­ </w:t>
      </w:r>
      <w:r>
        <w:rPr>
          <w:color w:val="231F20"/>
          <w:w w:val="105"/>
        </w:rPr>
        <w:t>centrate urine when a </w:t>
      </w:r>
      <w:r>
        <w:rPr>
          <w:color w:val="231F20"/>
          <w:spacing w:val="-3"/>
          <w:w w:val="105"/>
        </w:rPr>
        <w:t>person’s </w:t>
      </w:r>
      <w:r>
        <w:rPr>
          <w:color w:val="231F20"/>
          <w:w w:val="105"/>
        </w:rPr>
        <w:t>water intake is restricted for 12 or more</w:t>
      </w:r>
      <w:r>
        <w:rPr>
          <w:color w:val="231F20"/>
          <w:spacing w:val="12"/>
          <w:w w:val="105"/>
        </w:rPr>
        <w:t> </w:t>
      </w:r>
      <w:r>
        <w:rPr>
          <w:color w:val="231F20"/>
          <w:w w:val="105"/>
        </w:rPr>
        <w:t>hours.</w:t>
      </w:r>
    </w:p>
    <w:p>
      <w:pPr>
        <w:pStyle w:val="BodyText"/>
        <w:spacing w:before="10"/>
        <w:rPr>
          <w:sz w:val="13"/>
        </w:rPr>
      </w:pPr>
      <w:r>
        <w:rPr/>
        <w:pict>
          <v:shape style="position:absolute;margin-left:306pt;margin-top:9.196438pt;width:234pt;height:60.75pt;mso-position-horizontal-relative:page;mso-position-vertical-relative:paragraph;z-index:-250009600;mso-wrap-distance-left:0;mso-wrap-distance-right:0" type="#_x0000_t202" filled="true" fillcolor="#f0eef6" stroked="false">
            <v:textbox inset="0,0,0,0">
              <w:txbxContent>
                <w:p>
                  <w:pPr>
                    <w:spacing w:line="252" w:lineRule="auto" w:before="125"/>
                    <w:ind w:left="180" w:right="1416" w:firstLine="0"/>
                    <w:jc w:val="left"/>
                    <w:rPr>
                      <w:rFonts w:ascii="Trebuchet MS" w:hAnsi="Trebuchet MS"/>
                      <w:b/>
                      <w:sz w:val="18"/>
                    </w:rPr>
                  </w:pPr>
                  <w:r>
                    <w:rPr>
                      <w:rFonts w:ascii="Trebuchet MS" w:hAnsi="Trebuchet MS"/>
                      <w:b/>
                      <w:color w:val="231F20"/>
                      <w:w w:val="105"/>
                      <w:sz w:val="18"/>
                    </w:rPr>
                    <w:t>Effects</w:t>
                  </w:r>
                  <w:r>
                    <w:rPr>
                      <w:rFonts w:ascii="Trebuchet MS" w:hAnsi="Trebuchet MS"/>
                      <w:b/>
                      <w:color w:val="231F20"/>
                      <w:spacing w:val="-19"/>
                      <w:w w:val="105"/>
                      <w:sz w:val="18"/>
                    </w:rPr>
                    <w:t> </w:t>
                  </w:r>
                  <w:r>
                    <w:rPr>
                      <w:rFonts w:ascii="Trebuchet MS" w:hAnsi="Trebuchet MS"/>
                      <w:b/>
                      <w:color w:val="231F20"/>
                      <w:w w:val="105"/>
                      <w:sz w:val="18"/>
                    </w:rPr>
                    <w:t>of</w:t>
                  </w:r>
                  <w:r>
                    <w:rPr>
                      <w:rFonts w:ascii="Trebuchet MS" w:hAnsi="Trebuchet MS"/>
                      <w:b/>
                      <w:color w:val="231F20"/>
                      <w:spacing w:val="-19"/>
                      <w:w w:val="105"/>
                      <w:sz w:val="18"/>
                    </w:rPr>
                    <w:t> </w:t>
                  </w:r>
                  <w:r>
                    <w:rPr>
                      <w:rFonts w:ascii="Trebuchet MS" w:hAnsi="Trebuchet MS"/>
                      <w:b/>
                      <w:color w:val="231F20"/>
                      <w:w w:val="105"/>
                      <w:sz w:val="18"/>
                    </w:rPr>
                    <w:t>Renal</w:t>
                  </w:r>
                  <w:r>
                    <w:rPr>
                      <w:rFonts w:ascii="Trebuchet MS" w:hAnsi="Trebuchet MS"/>
                      <w:b/>
                      <w:color w:val="231F20"/>
                      <w:spacing w:val="-18"/>
                      <w:w w:val="105"/>
                      <w:sz w:val="18"/>
                    </w:rPr>
                    <w:t> </w:t>
                  </w:r>
                  <w:r>
                    <w:rPr>
                      <w:rFonts w:ascii="Trebuchet MS" w:hAnsi="Trebuchet MS"/>
                      <w:b/>
                      <w:color w:val="231F20"/>
                      <w:w w:val="105"/>
                      <w:sz w:val="18"/>
                    </w:rPr>
                    <w:t>Failure</w:t>
                  </w:r>
                  <w:r>
                    <w:rPr>
                      <w:rFonts w:ascii="Trebuchet MS" w:hAnsi="Trebuchet MS"/>
                      <w:b/>
                      <w:color w:val="231F20"/>
                      <w:spacing w:val="-19"/>
                      <w:w w:val="105"/>
                      <w:sz w:val="18"/>
                    </w:rPr>
                    <w:t> </w:t>
                  </w:r>
                  <w:r>
                    <w:rPr>
                      <w:rFonts w:ascii="Trebuchet MS" w:hAnsi="Trebuchet MS"/>
                      <w:b/>
                      <w:color w:val="231F20"/>
                      <w:w w:val="105"/>
                      <w:sz w:val="18"/>
                    </w:rPr>
                    <w:t>on</w:t>
                  </w:r>
                  <w:r>
                    <w:rPr>
                      <w:rFonts w:ascii="Trebuchet MS" w:hAnsi="Trebuchet MS"/>
                      <w:b/>
                      <w:color w:val="231F20"/>
                      <w:spacing w:val="-19"/>
                      <w:w w:val="105"/>
                      <w:sz w:val="18"/>
                    </w:rPr>
                    <w:t> </w:t>
                  </w:r>
                  <w:r>
                    <w:rPr>
                      <w:rFonts w:ascii="Trebuchet MS" w:hAnsi="Trebuchet MS"/>
                      <w:b/>
                      <w:color w:val="231F20"/>
                      <w:w w:val="105"/>
                      <w:sz w:val="18"/>
                    </w:rPr>
                    <w:t>the</w:t>
                  </w:r>
                  <w:r>
                    <w:rPr>
                      <w:rFonts w:ascii="Trebuchet MS" w:hAnsi="Trebuchet MS"/>
                      <w:b/>
                      <w:color w:val="231F20"/>
                      <w:spacing w:val="-18"/>
                      <w:w w:val="105"/>
                      <w:sz w:val="18"/>
                    </w:rPr>
                    <w:t> </w:t>
                  </w:r>
                  <w:r>
                    <w:rPr>
                      <w:rFonts w:ascii="Trebuchet MS" w:hAnsi="Trebuchet MS"/>
                      <w:b/>
                      <w:color w:val="231F20"/>
                      <w:spacing w:val="-3"/>
                      <w:w w:val="105"/>
                      <w:sz w:val="18"/>
                    </w:rPr>
                    <w:t>Body </w:t>
                  </w:r>
                  <w:r>
                    <w:rPr>
                      <w:rFonts w:ascii="Trebuchet MS" w:hAnsi="Trebuchet MS"/>
                      <w:b/>
                      <w:color w:val="231F20"/>
                      <w:w w:val="105"/>
                      <w:sz w:val="18"/>
                    </w:rPr>
                    <w:t>Fluids—Uremia</w:t>
                  </w:r>
                </w:p>
                <w:p>
                  <w:pPr>
                    <w:spacing w:line="254" w:lineRule="auto" w:before="82"/>
                    <w:ind w:left="180" w:right="167" w:firstLine="0"/>
                    <w:jc w:val="left"/>
                    <w:rPr>
                      <w:sz w:val="18"/>
                    </w:rPr>
                  </w:pPr>
                  <w:r>
                    <w:rPr>
                      <w:color w:val="231F20"/>
                      <w:w w:val="105"/>
                      <w:sz w:val="18"/>
                    </w:rPr>
                    <w:t>The</w:t>
                  </w:r>
                  <w:r>
                    <w:rPr>
                      <w:color w:val="231F20"/>
                      <w:spacing w:val="-15"/>
                      <w:w w:val="105"/>
                      <w:sz w:val="18"/>
                    </w:rPr>
                    <w:t> </w:t>
                  </w:r>
                  <w:r>
                    <w:rPr>
                      <w:color w:val="231F20"/>
                      <w:w w:val="105"/>
                      <w:sz w:val="18"/>
                    </w:rPr>
                    <w:t>effect</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CKD</w:t>
                  </w:r>
                  <w:r>
                    <w:rPr>
                      <w:color w:val="231F20"/>
                      <w:spacing w:val="-15"/>
                      <w:w w:val="105"/>
                      <w:sz w:val="18"/>
                    </w:rPr>
                    <w:t> </w:t>
                  </w:r>
                  <w:r>
                    <w:rPr>
                      <w:color w:val="231F20"/>
                      <w:w w:val="105"/>
                      <w:sz w:val="18"/>
                    </w:rPr>
                    <w:t>on</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body</w:t>
                  </w:r>
                  <w:r>
                    <w:rPr>
                      <w:color w:val="231F20"/>
                      <w:spacing w:val="-14"/>
                      <w:w w:val="105"/>
                      <w:sz w:val="18"/>
                    </w:rPr>
                    <w:t> </w:t>
                  </w:r>
                  <w:r>
                    <w:rPr>
                      <w:color w:val="231F20"/>
                      <w:w w:val="105"/>
                      <w:sz w:val="18"/>
                    </w:rPr>
                    <w:t>fluids</w:t>
                  </w:r>
                  <w:r>
                    <w:rPr>
                      <w:color w:val="231F20"/>
                      <w:spacing w:val="-15"/>
                      <w:w w:val="105"/>
                      <w:sz w:val="18"/>
                    </w:rPr>
                    <w:t> </w:t>
                  </w:r>
                  <w:r>
                    <w:rPr>
                      <w:color w:val="231F20"/>
                      <w:w w:val="105"/>
                      <w:sz w:val="18"/>
                    </w:rPr>
                    <w:t>depends</w:t>
                  </w:r>
                  <w:r>
                    <w:rPr>
                      <w:color w:val="231F20"/>
                      <w:spacing w:val="-15"/>
                      <w:w w:val="105"/>
                      <w:sz w:val="18"/>
                    </w:rPr>
                    <w:t> </w:t>
                  </w:r>
                  <w:r>
                    <w:rPr>
                      <w:color w:val="231F20"/>
                      <w:w w:val="105"/>
                      <w:sz w:val="18"/>
                    </w:rPr>
                    <w:t>on</w:t>
                  </w:r>
                  <w:r>
                    <w:rPr>
                      <w:color w:val="231F20"/>
                      <w:spacing w:val="-15"/>
                      <w:w w:val="105"/>
                      <w:sz w:val="18"/>
                    </w:rPr>
                    <w:t> </w:t>
                  </w:r>
                  <w:r>
                    <w:rPr>
                      <w:color w:val="231F20"/>
                      <w:w w:val="105"/>
                      <w:sz w:val="18"/>
                    </w:rPr>
                    <w:t>(1)</w:t>
                  </w:r>
                  <w:r>
                    <w:rPr>
                      <w:color w:val="231F20"/>
                      <w:spacing w:val="-15"/>
                      <w:w w:val="105"/>
                      <w:sz w:val="18"/>
                    </w:rPr>
                    <w:t> </w:t>
                  </w:r>
                  <w:r>
                    <w:rPr>
                      <w:color w:val="231F20"/>
                      <w:w w:val="105"/>
                      <w:sz w:val="18"/>
                    </w:rPr>
                    <w:t>water and</w:t>
                  </w:r>
                  <w:r>
                    <w:rPr>
                      <w:color w:val="231F20"/>
                      <w:spacing w:val="-4"/>
                      <w:w w:val="105"/>
                      <w:sz w:val="18"/>
                    </w:rPr>
                    <w:t> </w:t>
                  </w:r>
                  <w:r>
                    <w:rPr>
                      <w:color w:val="231F20"/>
                      <w:w w:val="105"/>
                      <w:sz w:val="18"/>
                    </w:rPr>
                    <w:t>food</w:t>
                  </w:r>
                  <w:r>
                    <w:rPr>
                      <w:color w:val="231F20"/>
                      <w:spacing w:val="-4"/>
                      <w:w w:val="105"/>
                      <w:sz w:val="18"/>
                    </w:rPr>
                    <w:t> </w:t>
                  </w:r>
                  <w:r>
                    <w:rPr>
                      <w:color w:val="231F20"/>
                      <w:w w:val="105"/>
                      <w:sz w:val="18"/>
                    </w:rPr>
                    <w:t>intake</w:t>
                  </w:r>
                  <w:r>
                    <w:rPr>
                      <w:color w:val="231F20"/>
                      <w:spacing w:val="-4"/>
                      <w:w w:val="105"/>
                      <w:sz w:val="18"/>
                    </w:rPr>
                    <w:t> </w:t>
                  </w:r>
                  <w:r>
                    <w:rPr>
                      <w:color w:val="231F20"/>
                      <w:w w:val="105"/>
                      <w:sz w:val="18"/>
                    </w:rPr>
                    <w:t>and</w:t>
                  </w:r>
                  <w:r>
                    <w:rPr>
                      <w:color w:val="231F20"/>
                      <w:spacing w:val="-3"/>
                      <w:w w:val="105"/>
                      <w:sz w:val="18"/>
                    </w:rPr>
                    <w:t> </w:t>
                  </w:r>
                  <w:r>
                    <w:rPr>
                      <w:color w:val="231F20"/>
                      <w:w w:val="105"/>
                      <w:sz w:val="18"/>
                    </w:rPr>
                    <w:t>(2)</w:t>
                  </w:r>
                  <w:r>
                    <w:rPr>
                      <w:color w:val="231F20"/>
                      <w:spacing w:val="-4"/>
                      <w:w w:val="105"/>
                      <w:sz w:val="18"/>
                    </w:rPr>
                    <w:t> </w:t>
                  </w:r>
                  <w:r>
                    <w:rPr>
                      <w:color w:val="231F20"/>
                      <w:w w:val="105"/>
                      <w:sz w:val="18"/>
                    </w:rPr>
                    <w:t>the</w:t>
                  </w:r>
                  <w:r>
                    <w:rPr>
                      <w:color w:val="231F20"/>
                      <w:spacing w:val="-4"/>
                      <w:w w:val="105"/>
                      <w:sz w:val="18"/>
                    </w:rPr>
                    <w:t> </w:t>
                  </w:r>
                  <w:r>
                    <w:rPr>
                      <w:color w:val="231F20"/>
                      <w:w w:val="105"/>
                      <w:sz w:val="18"/>
                    </w:rPr>
                    <w:t>degree</w:t>
                  </w:r>
                  <w:r>
                    <w:rPr>
                      <w:color w:val="231F20"/>
                      <w:spacing w:val="-3"/>
                      <w:w w:val="105"/>
                      <w:sz w:val="18"/>
                    </w:rPr>
                    <w:t> </w:t>
                  </w:r>
                  <w:r>
                    <w:rPr>
                      <w:color w:val="231F20"/>
                      <w:w w:val="105"/>
                      <w:sz w:val="18"/>
                    </w:rPr>
                    <w:t>of</w:t>
                  </w:r>
                  <w:r>
                    <w:rPr>
                      <w:color w:val="231F20"/>
                      <w:spacing w:val="-4"/>
                      <w:w w:val="105"/>
                      <w:sz w:val="18"/>
                    </w:rPr>
                    <w:t> </w:t>
                  </w:r>
                  <w:r>
                    <w:rPr>
                      <w:color w:val="231F20"/>
                      <w:w w:val="105"/>
                      <w:sz w:val="18"/>
                    </w:rPr>
                    <w:t>impairment</w:t>
                  </w:r>
                  <w:r>
                    <w:rPr>
                      <w:color w:val="231F20"/>
                      <w:spacing w:val="-4"/>
                      <w:w w:val="105"/>
                      <w:sz w:val="18"/>
                    </w:rPr>
                    <w:t> </w:t>
                  </w:r>
                  <w:r>
                    <w:rPr>
                      <w:color w:val="231F20"/>
                      <w:w w:val="105"/>
                      <w:sz w:val="18"/>
                    </w:rPr>
                    <w:t>of</w:t>
                  </w:r>
                  <w:r>
                    <w:rPr>
                      <w:color w:val="231F20"/>
                      <w:spacing w:val="-4"/>
                      <w:w w:val="105"/>
                      <w:sz w:val="18"/>
                    </w:rPr>
                    <w:t> </w:t>
                  </w:r>
                  <w:r>
                    <w:rPr>
                      <w:color w:val="231F20"/>
                      <w:w w:val="105"/>
                      <w:sz w:val="18"/>
                    </w:rPr>
                    <w:t>renal</w:t>
                  </w:r>
                </w:p>
              </w:txbxContent>
            </v:textbox>
            <v:fill type="solid"/>
            <w10:wrap type="topAndBottom"/>
          </v:shape>
        </w:pict>
      </w:r>
    </w:p>
    <w:p>
      <w:pPr>
        <w:spacing w:after="0"/>
        <w:rPr>
          <w:sz w:val="13"/>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spacing w:after="0"/>
        <w:sectPr>
          <w:headerReference w:type="even" r:id="rId1060"/>
          <w:pgSz w:w="12240" w:h="15660"/>
          <w:pgMar w:header="0" w:footer="567" w:top="0" w:bottom="760" w:left="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4"/>
        </w:rPr>
      </w:pPr>
    </w:p>
    <w:p>
      <w:pPr>
        <w:tabs>
          <w:tab w:pos="3526" w:val="left" w:leader="none"/>
          <w:tab w:pos="4163" w:val="left" w:leader="none"/>
        </w:tabs>
        <w:spacing w:before="0"/>
        <w:ind w:left="2886" w:right="0" w:firstLine="0"/>
        <w:jc w:val="left"/>
        <w:rPr>
          <w:rFonts w:ascii="Helvetica"/>
          <w:sz w:val="16"/>
        </w:rPr>
      </w:pPr>
      <w:r>
        <w:rPr/>
        <w:pict>
          <v:group style="position:absolute;margin-left:107.376404pt;margin-top:-145.017105pt;width:172.55pt;height:143.950pt;mso-position-horizontal-relative:page;mso-position-vertical-relative:paragraph;z-index:253326336" coordorigin="2148,-2900" coordsize="3451,2879">
            <v:line style="position:absolute" from="2931,-102" to="2931,-22" stroked="true" strokeweight="1pt" strokecolor="#231f20">
              <v:stroke dashstyle="solid"/>
            </v:line>
            <v:line style="position:absolute" from="2931,-1160" to="2931,-100" stroked="true" strokeweight="2.666pt" strokecolor="#f0535f">
              <v:stroke dashstyle="solid"/>
            </v:line>
            <v:shape style="position:absolute;left:636;top:11679;width:1910;height:80" coordorigin="637,11680" coordsize="1910,80" path="m3567,-102l3567,-22m4204,-102l4204,-22m4841,-102l4841,-22m5477,-102l5477,-22e" filled="false" stroked="true" strokeweight="1pt" strokecolor="#231f20">
              <v:path arrowok="t"/>
              <v:stroke dashstyle="solid"/>
            </v:shape>
            <v:shape style="position:absolute;left:2157;top:-2891;width:3330;height:2790" coordorigin="2158,-2890" coordsize="3330,2790" path="m2158,-2890l2158,-100,5488,-102e" filled="false" stroked="true" strokeweight="1pt" strokecolor="#231f20">
              <v:path arrowok="t"/>
              <v:stroke dashstyle="solid"/>
            </v:shape>
            <v:line style="position:absolute" from="2931,-2900" to="2931,-1264" stroked="true" strokeweight="2.666pt" strokecolor="#f0535f">
              <v:stroke dashstyle="solid"/>
            </v:line>
            <v:shape style="position:absolute;left:2217;top:-1201;width:3325;height:835" coordorigin="2218,-1200" coordsize="3325,835" path="m2218,-1200l3013,-1200,5543,-365e" filled="false" stroked="true" strokeweight="1.5pt" strokecolor="#f0535f">
              <v:path arrowok="t"/>
              <v:stroke dashstyle="solid"/>
            </v:shape>
            <v:line style="position:absolute" from="3013,-1200" to="5573,-1780" stroked="true" strokeweight="1.5pt" strokecolor="#c63231">
              <v:stroke dashstyle="solid"/>
            </v:line>
            <v:line style="position:absolute" from="3013,-1200" to="5583,-2380" stroked="true" strokeweight="1.5pt" strokecolor="#2384c6">
              <v:stroke dashstyle="solid"/>
            </v:line>
            <v:line style="position:absolute" from="3028,-1200" to="5583,-2010" stroked="true" strokeweight="1.5pt" strokecolor="#df7c9a">
              <v:stroke dashstyle="solid"/>
            </v:line>
            <v:line style="position:absolute" from="3577,-227" to="3079,-227" stroked="true" strokeweight=".75pt" strokecolor="#231f20">
              <v:stroke dashstyle="solid"/>
            </v:line>
            <v:shape style="position:absolute;left:2970;top:-278;width:157;height:102" type="#_x0000_t75" stroked="false">
              <v:imagedata r:id="rId1061" o:title=""/>
            </v:shape>
            <v:line style="position:absolute" from="4883,-227" to="5381,-227" stroked="true" strokeweight=".75pt" strokecolor="#231f20">
              <v:stroke dashstyle="solid"/>
            </v:line>
            <v:shape style="position:absolute;left:5332;top:-278;width:157;height:102" type="#_x0000_t75" stroked="false">
              <v:imagedata r:id="rId1062" o:title=""/>
            </v:shape>
            <v:line style="position:absolute" from="5583,-2790" to="3013,-1200" stroked="true" strokeweight="1.5pt" strokecolor="#0cb14b">
              <v:stroke dashstyle="solid"/>
            </v:line>
            <v:line style="position:absolute" from="3013,-1200" to="5583,-2190" stroked="true" strokeweight="1.5pt" strokecolor="#e2874a">
              <v:stroke dashstyle="solid"/>
            </v:line>
            <v:line style="position:absolute" from="5583,-1500" to="3013,-1200" stroked="true" strokeweight="1.5pt" strokecolor="#7b7eac">
              <v:stroke dashstyle="solid"/>
            </v:line>
            <v:shape style="position:absolute;left:2266;top:-1430;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Normal</w:t>
                    </w:r>
                  </w:p>
                </w:txbxContent>
              </v:textbox>
              <w10:wrap type="none"/>
            </v:shape>
            <v:shape style="position:absolute;left:3620;top:-323;width:123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Kidney shutdown</w:t>
                    </w:r>
                  </w:p>
                </w:txbxContent>
              </v:textbox>
              <w10:wrap type="none"/>
            </v:shape>
            <w10:wrap type="none"/>
          </v:group>
        </w:pict>
      </w:r>
      <w:r>
        <w:rPr/>
        <w:pict>
          <v:shape style="position:absolute;margin-left:219.135071pt;margin-top:-50.138672pt;width:3.4pt;height:6pt;mso-position-horizontal-relative:page;mso-position-vertical-relative:paragraph;z-index:253328384;rotation:16" type="#_x0000_t136" fillcolor="#231f20" stroked="f">
            <o:extrusion v:ext="view" autorotationcenter="t"/>
            <v:textpath style="font-family:&quot;Symbol&quot;;font-size:6pt;v-text-kern:t;mso-text-shadow:auto" string=""/>
            <w10:wrap type="none"/>
          </v:shape>
        </w:pict>
      </w:r>
      <w:r>
        <w:rPr/>
        <w:pict>
          <v:shape style="position:absolute;margin-left:198.070572pt;margin-top:-54.039154pt;width:17.9pt;height:9.450pt;mso-position-horizontal-relative:page;mso-position-vertical-relative:paragraph;z-index:253329408;rotation:16" type="#_x0000_t136" fillcolor="#231f20" stroked="f">
            <o:extrusion v:ext="view" autorotationcenter="t"/>
            <v:textpath style="font-family:&quot;Helvetica&quot;;font-size:8pt;v-text-kern:t;mso-text-shadow:auto" string="HCO"/>
            <w10:wrap type="none"/>
          </v:shape>
        </w:pict>
      </w:r>
      <w:r>
        <w:rPr/>
        <w:pict>
          <v:shape style="position:absolute;margin-left:214.509186pt;margin-top:-46.741318pt;width:3.4pt;height:7pt;mso-position-horizontal-relative:page;mso-position-vertical-relative:paragraph;z-index:253330432;rotation:16" type="#_x0000_t136" fillcolor="#231f20" stroked="f">
            <o:extrusion v:ext="view" autorotationcenter="t"/>
            <v:textpath style="font-family:&quot;Helvetica&quot;;font-size:6pt;v-text-kern:t;mso-text-shadow:auto" string="3"/>
            <w10:wrap type="none"/>
          </v:shape>
        </w:pict>
      </w:r>
      <w:r>
        <w:rPr/>
        <w:pict>
          <v:shape style="position:absolute;margin-left:95.180397pt;margin-top:-53.471115pt;width:11.55pt;height:37.6pt;mso-position-horizontal-relative:page;mso-position-vertical-relative:paragraph;z-index:25333248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Decrease</w:t>
                  </w:r>
                </w:p>
              </w:txbxContent>
            </v:textbox>
            <w10:wrap type="none"/>
          </v:shape>
        </w:pict>
      </w:r>
      <w:r>
        <w:rPr/>
        <w:pict>
          <v:shape style="position:absolute;margin-left:95.180397pt;margin-top:-108.911118pt;width:11.55pt;height:34.5pt;mso-position-horizontal-relative:page;mso-position-vertical-relative:paragraph;z-index:25333350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Increase</w:t>
                  </w:r>
                </w:p>
              </w:txbxContent>
            </v:textbox>
            <w10:wrap type="none"/>
          </v:shape>
        </w:pict>
      </w:r>
      <w:r>
        <w:rPr/>
        <w:pict>
          <v:shape style="position:absolute;margin-left:199.516678pt;margin-top:-106.484421pt;width:17pt;height:8pt;mso-position-horizontal-relative:page;mso-position-vertical-relative:paragraph;z-index:253334528;rotation:330" type="#_x0000_t136" fillcolor="#231f20" stroked="f">
            <o:extrusion v:ext="view" autorotationcenter="t"/>
            <v:textpath style="font-family:&quot;Helvetica&quot;;font-size:8pt;v-text-kern:t;mso-text-shadow:auto" string="NPN"/>
            <w10:wrap type="none"/>
          </v:shape>
        </w:pict>
      </w:r>
      <w:r>
        <w:rPr/>
        <w:pict>
          <v:shape style="position:absolute;margin-left:214.846542pt;margin-top:-101.274956pt;width:5.45pt;height:9.35pt;mso-position-horizontal-relative:page;mso-position-vertical-relative:paragraph;z-index:253335552;rotation:337" type="#_x0000_t136" fillcolor="#231f20" stroked="f">
            <o:extrusion v:ext="view" autorotationcenter="t"/>
            <v:textpath style="font-family:&quot;Helvetica&quot;;font-size:8pt;v-text-kern:t;mso-text-shadow:auto" string="K"/>
            <w10:wrap type="none"/>
          </v:shape>
        </w:pict>
      </w:r>
      <w:r>
        <w:rPr/>
        <w:pict>
          <v:shape style="position:absolute;margin-left:219.092117pt;margin-top:-103.955223pt;width:3.4pt;height:7.9pt;mso-position-horizontal-relative:page;mso-position-vertical-relative:paragraph;z-index:253336576;rotation:337" type="#_x0000_t136" fillcolor="#231f20" stroked="f">
            <o:extrusion v:ext="view" autorotationcenter="t"/>
            <v:textpath style="font-family:&quot;Symbol&quot;;font-size:6pt;v-text-kern:t;mso-text-shadow:auto" string=""/>
            <w10:wrap type="none"/>
          </v:shape>
        </w:pict>
      </w:r>
      <w:r>
        <w:rPr/>
        <w:pict>
          <v:shape style="position:absolute;margin-left:216.173157pt;margin-top:-67.509346pt;width:17.45pt;height:9.450pt;mso-position-horizontal-relative:page;mso-position-vertical-relative:paragraph;z-index:253347840;rotation:357" type="#_x0000_t136" fillcolor="#231f20" stroked="f">
            <o:extrusion v:ext="view" autorotationcenter="t"/>
            <v:textpath style="font-family:&quot;Helvetica&quot;;font-size:8pt;v-text-kern:t;mso-text-shadow:auto" string="HPO"/>
            <w10:wrap type="none"/>
          </v:shape>
        </w:pict>
      </w:r>
      <w:r>
        <w:rPr>
          <w:rFonts w:ascii="Helvetica"/>
          <w:color w:val="231F20"/>
          <w:sz w:val="16"/>
        </w:rPr>
        <w:t>0</w:t>
        <w:tab/>
        <w:t>3</w:t>
        <w:tab/>
        <w:t>6</w:t>
      </w:r>
    </w:p>
    <w:p>
      <w:pPr>
        <w:spacing w:before="31"/>
        <w:ind w:left="4031" w:right="0" w:firstLine="0"/>
        <w:jc w:val="left"/>
        <w:rPr>
          <w:rFonts w:ascii="Helvetica"/>
          <w:b/>
          <w:sz w:val="16"/>
        </w:rPr>
      </w:pPr>
      <w:r>
        <w:rPr>
          <w:rFonts w:ascii="Helvetica"/>
          <w:b/>
          <w:color w:val="231F20"/>
          <w:sz w:val="16"/>
        </w:rPr>
        <w:t>Days</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spacing w:before="1"/>
        <w:rPr>
          <w:rFonts w:ascii="Helvetica"/>
          <w:b/>
          <w:sz w:val="14"/>
        </w:rPr>
      </w:pPr>
    </w:p>
    <w:p>
      <w:pPr>
        <w:tabs>
          <w:tab w:pos="935" w:val="left" w:leader="none"/>
        </w:tabs>
        <w:spacing w:before="0"/>
        <w:ind w:left="338" w:right="0" w:firstLine="0"/>
        <w:jc w:val="left"/>
        <w:rPr>
          <w:rFonts w:ascii="Helvetica"/>
          <w:sz w:val="16"/>
        </w:rPr>
      </w:pPr>
      <w:r>
        <w:rPr/>
        <w:pict>
          <v:shape style="position:absolute;margin-left:263.827423pt;margin-top:-70.458275pt;width:3.4pt;height:6pt;mso-position-horizontal-relative:page;mso-position-vertical-relative:paragraph;z-index:253343744;rotation:357" type="#_x0000_t136" fillcolor="#231f20" stroked="f">
            <o:extrusion v:ext="view" autorotationcenter="t"/>
            <v:textpath style="font-family:&quot;Symbol&quot;;font-size:6pt;v-text-kern:t;mso-text-shadow:auto" string=""/>
            <w10:wrap type="none"/>
          </v:shape>
        </w:pict>
      </w:r>
      <w:r>
        <w:rPr/>
        <w:pict>
          <v:shape style="position:absolute;margin-left:249.060608pt;margin-top:-69.64473pt;width:11.7pt;height:9.4pt;mso-position-horizontal-relative:page;mso-position-vertical-relative:paragraph;z-index:253344768;rotation:357" type="#_x0000_t136" fillcolor="#231f20" stroked="f">
            <o:extrusion v:ext="view" autorotationcenter="t"/>
            <v:textpath style="font-family:&quot;Helvetica&quot;;font-size:8pt;v-text-kern:t;mso-text-shadow:auto" string="SO"/>
            <w10:wrap type="none"/>
          </v:shape>
        </w:pict>
      </w:r>
      <w:r>
        <w:rPr/>
        <w:pict>
          <v:shape style="position:absolute;margin-left:260.819153pt;margin-top:-65.714272pt;width:3.45pt;height:7pt;mso-position-horizontal-relative:page;mso-position-vertical-relative:paragraph;z-index:253345792;rotation:357" type="#_x0000_t136" fillcolor="#231f20" stroked="f">
            <o:extrusion v:ext="view" autorotationcenter="t"/>
            <v:textpath style="font-family:&quot;Helvetica&quot;;font-size:6pt;v-text-kern:t;mso-text-shadow:auto" string="4"/>
            <w10:wrap type="none"/>
          </v:shape>
        </w:pict>
      </w:r>
      <w:r>
        <w:rPr/>
        <w:pict>
          <v:shape style="position:absolute;margin-left:236.710419pt;margin-top:-68.473877pt;width:3.4pt;height:6pt;mso-position-horizontal-relative:page;mso-position-vertical-relative:paragraph;z-index:253346816;rotation:357" type="#_x0000_t136" fillcolor="#231f20" stroked="f">
            <o:extrusion v:ext="view" autorotationcenter="t"/>
            <v:textpath style="font-family:&quot;Symbol&quot;;font-size:6pt;v-text-kern:t;mso-text-shadow:auto" string=""/>
            <w10:wrap type="none"/>
          </v:shape>
        </w:pict>
      </w:r>
      <w:r>
        <w:rPr/>
        <w:pict>
          <v:shape style="position:absolute;margin-left:233.702164pt;margin-top:-63.72987pt;width:3.45pt;height:7pt;mso-position-horizontal-relative:page;mso-position-vertical-relative:paragraph;z-index:253348864;rotation:357" type="#_x0000_t136" fillcolor="#231f20" stroked="f">
            <o:extrusion v:ext="view" autorotationcenter="t"/>
            <v:textpath style="font-family:&quot;Helvetica&quot;;font-size:6pt;v-text-kern:t;mso-text-shadow:auto" string="4"/>
            <w10:wrap type="none"/>
          </v:shape>
        </w:pict>
      </w:r>
      <w:r>
        <w:rPr>
          <w:rFonts w:ascii="Helvetica"/>
          <w:color w:val="231F20"/>
          <w:sz w:val="16"/>
        </w:rPr>
        <w:t>9</w:t>
        <w:tab/>
      </w:r>
      <w:r>
        <w:rPr>
          <w:rFonts w:ascii="Helvetica"/>
          <w:color w:val="231F20"/>
          <w:spacing w:val="-10"/>
          <w:sz w:val="16"/>
        </w:rPr>
        <w:t>12</w:t>
      </w:r>
    </w:p>
    <w:p>
      <w:pPr>
        <w:pStyle w:val="BodyText"/>
        <w:spacing w:before="1"/>
        <w:rPr>
          <w:rFonts w:ascii="Helvetica"/>
          <w:sz w:val="23"/>
        </w:rPr>
      </w:pPr>
      <w:r>
        <w:rPr/>
        <w:br w:type="column"/>
      </w:r>
      <w:r>
        <w:rPr>
          <w:rFonts w:ascii="Helvetica"/>
          <w:sz w:val="23"/>
        </w:rPr>
      </w:r>
    </w:p>
    <w:p>
      <w:pPr>
        <w:spacing w:line="254" w:lineRule="auto" w:before="0"/>
        <w:ind w:left="1052" w:right="1257" w:firstLine="240"/>
        <w:jc w:val="both"/>
        <w:rPr>
          <w:sz w:val="18"/>
        </w:rPr>
      </w:pPr>
      <w:r>
        <w:rPr>
          <w:rFonts w:ascii="Trebuchet MS" w:hAnsi="Trebuchet MS"/>
          <w:b/>
          <w:color w:val="231F20"/>
          <w:sz w:val="16"/>
        </w:rPr>
        <w:t>Increase in Urea and Other Nonprotein </w:t>
      </w:r>
      <w:r>
        <w:rPr>
          <w:rFonts w:ascii="Trebuchet MS" w:hAnsi="Trebuchet MS"/>
          <w:b/>
          <w:color w:val="231F20"/>
          <w:spacing w:val="-3"/>
          <w:sz w:val="16"/>
        </w:rPr>
        <w:t>Nitrogens </w:t>
      </w:r>
      <w:r>
        <w:rPr>
          <w:rFonts w:ascii="Trebuchet MS" w:hAnsi="Trebuchet MS"/>
          <w:b/>
          <w:color w:val="231F20"/>
          <w:sz w:val="16"/>
        </w:rPr>
        <w:t>(Azotemia). </w:t>
      </w:r>
      <w:r>
        <w:rPr>
          <w:color w:val="231F20"/>
          <w:sz w:val="18"/>
        </w:rPr>
        <w:t>The nonprotein nitrogens include urea, uric acid, creatinine, and a few less important compounds. These nonprotein nitrogens, in general, are the end prod­ ucts of protein metabolism and must be removed from the body to ensure continued normal protein  metabolism  in the cells. The concentrations of these nonprotein nitrogens, particularly of urea, can rise to as high as 10 times normal during 1 to 2 weeks of total renal failure. </w:t>
      </w:r>
      <w:r>
        <w:rPr>
          <w:color w:val="231F20"/>
          <w:spacing w:val="-3"/>
          <w:sz w:val="18"/>
        </w:rPr>
        <w:t>With </w:t>
      </w:r>
      <w:r>
        <w:rPr>
          <w:color w:val="231F20"/>
          <w:sz w:val="18"/>
        </w:rPr>
        <w:t>CKD, the concentrations rise approximately in proportion to the degree of reduction in functional nephrons. </w:t>
      </w:r>
      <w:r>
        <w:rPr>
          <w:color w:val="231F20"/>
          <w:spacing w:val="-3"/>
          <w:sz w:val="18"/>
        </w:rPr>
        <w:t>For </w:t>
      </w:r>
      <w:r>
        <w:rPr>
          <w:color w:val="231F20"/>
          <w:sz w:val="18"/>
        </w:rPr>
        <w:t>this reason, measuring the concentrations of these substances, espe­ cially of urea and creatinine, provides an important means for assessing the severity of</w:t>
      </w:r>
      <w:r>
        <w:rPr>
          <w:color w:val="231F20"/>
          <w:spacing w:val="29"/>
          <w:sz w:val="18"/>
        </w:rPr>
        <w:t> </w:t>
      </w:r>
      <w:r>
        <w:rPr>
          <w:color w:val="231F20"/>
          <w:sz w:val="18"/>
        </w:rPr>
        <w:t>CKD.</w:t>
      </w:r>
    </w:p>
    <w:p>
      <w:pPr>
        <w:spacing w:before="13"/>
        <w:ind w:left="1504" w:right="1472" w:firstLine="0"/>
        <w:jc w:val="center"/>
        <w:rPr>
          <w:sz w:val="18"/>
        </w:rPr>
      </w:pPr>
      <w:r>
        <w:rPr/>
        <w:pict>
          <v:rect style="position:absolute;margin-left:576pt;margin-top:-19.754236pt;width:36pt;height:24pt;mso-position-horizontal-relative:page;mso-position-vertical-relative:paragraph;z-index:253322240" filled="true" fillcolor="#e8dac8" stroked="false">
            <v:fill type="solid"/>
            <w10:wrap type="none"/>
          </v:rect>
        </w:pict>
      </w:r>
      <w:r>
        <w:rPr/>
        <w:pict>
          <v:shape style="position:absolute;margin-left:578.900024pt;margin-top:-96.096939pt;width:15.9pt;height:53.35pt;mso-position-horizontal-relative:page;mso-position-vertical-relative:paragraph;z-index:253331456"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pict>
          <v:shape style="position:absolute;margin-left:258.66983pt;margin-top:-126.897934pt;width:21.45pt;height:8pt;mso-position-horizontal-relative:page;mso-position-vertical-relative:paragraph;z-index:253337600;rotation:340" type="#_x0000_t136" fillcolor="#231f20" stroked="f">
            <o:extrusion v:ext="view" autorotationcenter="t"/>
            <v:textpath style="font-family:&quot;Helvetica&quot;;font-size:8pt;v-text-kern:t;mso-text-shadow:auto" string="Water"/>
            <w10:wrap type="none"/>
          </v:shape>
        </w:pict>
      </w:r>
      <w:r>
        <w:rPr/>
        <w:pict>
          <v:shape style="position:absolute;margin-left:263.18808pt;margin-top:-118.569763pt;width:10.4pt;height:9.4pt;mso-position-horizontal-relative:page;mso-position-vertical-relative:paragraph;z-index:253338624;rotation:344" type="#_x0000_t136" fillcolor="#231f20" stroked="f">
            <o:extrusion v:ext="view" autorotationcenter="t"/>
            <v:textpath style="font-family:&quot;Helvetica&quot;;font-size:8pt;v-text-kern:t;mso-text-shadow:auto" string="Na"/>
            <w10:wrap type="none"/>
          </v:shape>
        </w:pict>
      </w:r>
      <w:r>
        <w:rPr/>
        <w:pict>
          <v:shape style="position:absolute;margin-left:272.604065pt;margin-top:-121.508911pt;width:3.45pt;height:7.9pt;mso-position-horizontal-relative:page;mso-position-vertical-relative:paragraph;z-index:253339648;rotation:344" type="#_x0000_t136" fillcolor="#231f20" stroked="f">
            <o:extrusion v:ext="view" autorotationcenter="t"/>
            <v:textpath style="font-family:&quot;Symbol&quot;;font-size:6pt;v-text-kern:t;mso-text-shadow:auto" string=""/>
            <w10:wrap type="none"/>
          </v:shape>
        </w:pict>
      </w:r>
      <w:r>
        <w:rPr/>
        <w:pict>
          <v:shape style="position:absolute;margin-left:259.890411pt;margin-top:-107.838593pt;width:5.95pt;height:9.35pt;mso-position-horizontal-relative:page;mso-position-vertical-relative:paragraph;z-index:253340672;rotation:348" type="#_x0000_t136" fillcolor="#231f20" stroked="f">
            <o:extrusion v:ext="view" autorotationcenter="t"/>
            <v:textpath style="font-family:&quot;Helvetica&quot;;font-size:8pt;v-text-kern:t;mso-text-shadow:auto" string="H"/>
            <w10:wrap type="none"/>
          </v:shape>
        </w:pict>
      </w:r>
      <w:r>
        <w:rPr/>
        <w:pict>
          <v:shape style="position:absolute;margin-left:265.156464pt;margin-top:-109.896507pt;width:3.45pt;height:7.9pt;mso-position-horizontal-relative:page;mso-position-vertical-relative:paragraph;z-index:253341696;rotation:348" type="#_x0000_t136" fillcolor="#231f20" stroked="f">
            <o:extrusion v:ext="view" autorotationcenter="t"/>
            <v:textpath style="font-family:&quot;Symbol&quot;;font-size:6pt;v-text-kern:t;mso-text-shadow:auto" string=""/>
            <w10:wrap type="none"/>
          </v:shape>
        </w:pict>
      </w:r>
      <w:r>
        <w:rPr/>
        <w:pict>
          <v:shape style="position:absolute;margin-left:249.36084pt;margin-top:-95.055183pt;width:28.95pt;height:8pt;mso-position-horizontal-relative:page;mso-position-vertical-relative:paragraph;z-index:253342720;rotation:354" type="#_x0000_t136" fillcolor="#231f20" stroked="f">
            <o:extrusion v:ext="view" autorotationcenter="t"/>
            <v:textpath style="font-family:&quot;Helvetica&quot;;font-size:8pt;v-text-kern:t;mso-text-shadow:auto" string="Phenols"/>
            <w10:wrap type="none"/>
          </v:shape>
        </w:pict>
      </w:r>
      <w:r>
        <w:rPr>
          <w:rFonts w:ascii="Trebuchet MS"/>
          <w:b/>
          <w:color w:val="231F20"/>
          <w:sz w:val="16"/>
        </w:rPr>
        <w:t>Acidosis in Chronic Kidney Disease.</w:t>
      </w:r>
      <w:bookmarkStart w:name="_bookmark128" w:id="129"/>
      <w:bookmarkEnd w:id="129"/>
      <w:r>
        <w:rPr>
          <w:rFonts w:ascii="Trebuchet MS"/>
          <w:b/>
          <w:color w:val="231F20"/>
          <w:sz w:val="16"/>
        </w:rPr>
      </w:r>
      <w:r>
        <w:rPr>
          <w:rFonts w:ascii="Trebuchet MS"/>
          <w:b/>
          <w:color w:val="231F20"/>
          <w:sz w:val="16"/>
        </w:rPr>
        <w:t> </w:t>
      </w:r>
      <w:r>
        <w:rPr>
          <w:color w:val="231F20"/>
          <w:sz w:val="18"/>
        </w:rPr>
        <w:t>Each day the</w:t>
      </w:r>
    </w:p>
    <w:p>
      <w:pPr>
        <w:spacing w:after="0"/>
        <w:jc w:val="center"/>
        <w:rPr>
          <w:sz w:val="18"/>
        </w:rPr>
        <w:sectPr>
          <w:type w:val="continuous"/>
          <w:pgSz w:w="12240" w:h="15660"/>
          <w:pgMar w:top="0" w:bottom="760" w:left="0" w:right="0"/>
          <w:cols w:num="3" w:equalWidth="0">
            <w:col w:w="4415" w:space="40"/>
            <w:col w:w="1114" w:space="39"/>
            <w:col w:w="6632"/>
          </w:cols>
        </w:sectPr>
      </w:pPr>
    </w:p>
    <w:p>
      <w:pPr>
        <w:spacing w:line="259" w:lineRule="auto" w:before="16"/>
        <w:ind w:left="1440" w:right="-2" w:firstLine="0"/>
        <w:jc w:val="left"/>
        <w:rPr>
          <w:rFonts w:ascii="Arial"/>
          <w:sz w:val="16"/>
        </w:rPr>
      </w:pPr>
      <w:r>
        <w:rPr/>
        <w:pict>
          <v:group style="position:absolute;margin-left:0pt;margin-top:0pt;width:612pt;height:180pt;mso-position-horizontal-relative:page;mso-position-vertical-relative:page;z-index:-272083968"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w10:wrap type="none"/>
          </v:group>
        </w:pict>
      </w:r>
      <w:r>
        <w:rPr/>
        <w:pict>
          <v:rect style="position:absolute;margin-left:324pt;margin-top:54pt;width:234pt;height:679.35pt;mso-position-horizontal-relative:page;mso-position-vertical-relative:page;z-index:-272081920" filled="true" fillcolor="#f0eef6" stroked="false">
            <v:fill type="solid"/>
            <w10:wrap type="none"/>
          </v:rect>
        </w:pict>
      </w:r>
      <w:r>
        <w:rPr/>
        <w:pict>
          <v:shape style="position:absolute;margin-left:72pt;margin-top:38.415619pt;width:234pt;height:472.2pt;mso-position-horizontal-relative:page;mso-position-vertical-relative:paragraph;z-index:253327360" type="#_x0000_t202" filled="true" fillcolor="#f0eef6" stroked="false">
            <v:textbox inset="0,0,0,0">
              <w:txbxContent>
                <w:p>
                  <w:pPr>
                    <w:spacing w:line="254" w:lineRule="auto" w:before="123"/>
                    <w:ind w:left="179" w:right="177" w:firstLine="0"/>
                    <w:jc w:val="both"/>
                    <w:rPr>
                      <w:sz w:val="18"/>
                    </w:rPr>
                  </w:pPr>
                  <w:r>
                    <w:rPr>
                      <w:color w:val="231F20"/>
                      <w:sz w:val="18"/>
                    </w:rPr>
                    <w:t>function. Assuming that a person with complete </w:t>
                  </w:r>
                  <w:r>
                    <w:rPr>
                      <w:color w:val="231F20"/>
                      <w:spacing w:val="-4"/>
                      <w:sz w:val="18"/>
                    </w:rPr>
                    <w:t>renal </w:t>
                  </w:r>
                  <w:r>
                    <w:rPr>
                      <w:color w:val="231F20"/>
                      <w:sz w:val="18"/>
                    </w:rPr>
                    <w:t>failure continues to ingest the  same  amounts  of  water  and food, the concentrations of  different  substances  in  the extracellular fluid are approximately those shown in </w:t>
                  </w:r>
                  <w:hyperlink w:history="true" w:anchor="_bookmark128">
                    <w:r>
                      <w:rPr>
                        <w:b/>
                        <w:color w:val="0080AC"/>
                        <w:sz w:val="18"/>
                      </w:rPr>
                      <w:t>Figure 32-7</w:t>
                    </w:r>
                  </w:hyperlink>
                  <w:r>
                    <w:rPr>
                      <w:color w:val="231F20"/>
                      <w:sz w:val="18"/>
                    </w:rPr>
                    <w:t>. Important effects include (1) </w:t>
                  </w:r>
                  <w:r>
                    <w:rPr>
                      <w:i/>
                      <w:color w:val="231F20"/>
                      <w:sz w:val="18"/>
                    </w:rPr>
                    <w:t>generalized </w:t>
                  </w:r>
                  <w:r>
                    <w:rPr>
                      <w:i/>
                      <w:color w:val="231F20"/>
                      <w:sz w:val="18"/>
                    </w:rPr>
                    <w:t>edema </w:t>
                  </w:r>
                  <w:r>
                    <w:rPr>
                      <w:color w:val="231F20"/>
                      <w:sz w:val="18"/>
                    </w:rPr>
                    <w:t>resulting from water and salt retention; (2) </w:t>
                  </w:r>
                  <w:r>
                    <w:rPr>
                      <w:i/>
                      <w:color w:val="231F20"/>
                      <w:sz w:val="18"/>
                    </w:rPr>
                    <w:t>acidosis </w:t>
                  </w:r>
                  <w:r>
                    <w:rPr>
                      <w:color w:val="231F20"/>
                      <w:sz w:val="18"/>
                    </w:rPr>
                    <w:t>resulting from failure of the kidneys to rid the body of normal acidic products; (3) </w:t>
                  </w:r>
                  <w:r>
                    <w:rPr>
                      <w:i/>
                      <w:color w:val="231F20"/>
                      <w:sz w:val="18"/>
                    </w:rPr>
                    <w:t>high concentration of the non- </w:t>
                  </w:r>
                  <w:r>
                    <w:rPr>
                      <w:i/>
                      <w:color w:val="231F20"/>
                      <w:sz w:val="18"/>
                    </w:rPr>
                    <w:t>protein nitrogens</w:t>
                  </w:r>
                  <w:r>
                    <w:rPr>
                      <w:color w:val="231F20"/>
                      <w:sz w:val="18"/>
                    </w:rPr>
                    <w:t>—especially urea, creatinine, and uric acid—resulting from failure of the body to excrete the metabolic end products of proteins; and (4) </w:t>
                  </w:r>
                  <w:r>
                    <w:rPr>
                      <w:i/>
                      <w:color w:val="231F20"/>
                      <w:sz w:val="18"/>
                    </w:rPr>
                    <w:t>high concentra- </w:t>
                  </w:r>
                  <w:r>
                    <w:rPr>
                      <w:i/>
                      <w:color w:val="231F20"/>
                      <w:sz w:val="18"/>
                    </w:rPr>
                    <w:t>tions of other substances </w:t>
                  </w:r>
                  <w:r>
                    <w:rPr>
                      <w:color w:val="231F20"/>
                      <w:sz w:val="18"/>
                    </w:rPr>
                    <w:t>excreted by the kidney, including </w:t>
                  </w:r>
                  <w:r>
                    <w:rPr>
                      <w:i/>
                      <w:color w:val="231F20"/>
                      <w:sz w:val="18"/>
                    </w:rPr>
                    <w:t>phenols, sulfates, phosphates, potassium, </w:t>
                  </w:r>
                  <w:r>
                    <w:rPr>
                      <w:color w:val="231F20"/>
                      <w:sz w:val="18"/>
                    </w:rPr>
                    <w:t>and </w:t>
                  </w:r>
                  <w:r>
                    <w:rPr>
                      <w:i/>
                      <w:color w:val="231F20"/>
                      <w:sz w:val="18"/>
                    </w:rPr>
                    <w:t>guanidine </w:t>
                  </w:r>
                  <w:r>
                    <w:rPr>
                      <w:i/>
                      <w:color w:val="231F20"/>
                      <w:sz w:val="18"/>
                    </w:rPr>
                    <w:t>bases. </w:t>
                  </w:r>
                  <w:r>
                    <w:rPr>
                      <w:color w:val="231F20"/>
                      <w:sz w:val="18"/>
                    </w:rPr>
                    <w:t>This total condition is called </w:t>
                  </w:r>
                  <w:r>
                    <w:rPr>
                      <w:i/>
                      <w:color w:val="231F20"/>
                      <w:sz w:val="18"/>
                    </w:rPr>
                    <w:t>uremia </w:t>
                  </w:r>
                  <w:r>
                    <w:rPr>
                      <w:color w:val="231F20"/>
                      <w:sz w:val="18"/>
                    </w:rPr>
                    <w:t>because of the high</w:t>
                  </w:r>
                  <w:r>
                    <w:rPr>
                      <w:color w:val="231F20"/>
                      <w:spacing w:val="9"/>
                      <w:sz w:val="18"/>
                    </w:rPr>
                    <w:t> </w:t>
                  </w:r>
                  <w:r>
                    <w:rPr>
                      <w:color w:val="231F20"/>
                      <w:sz w:val="18"/>
                    </w:rPr>
                    <w:t>concentration</w:t>
                  </w:r>
                  <w:r>
                    <w:rPr>
                      <w:color w:val="231F20"/>
                      <w:spacing w:val="9"/>
                      <w:sz w:val="18"/>
                    </w:rPr>
                    <w:t> </w:t>
                  </w:r>
                  <w:r>
                    <w:rPr>
                      <w:color w:val="231F20"/>
                      <w:sz w:val="18"/>
                    </w:rPr>
                    <w:t>of</w:t>
                  </w:r>
                  <w:r>
                    <w:rPr>
                      <w:color w:val="231F20"/>
                      <w:spacing w:val="9"/>
                      <w:sz w:val="18"/>
                    </w:rPr>
                    <w:t> </w:t>
                  </w:r>
                  <w:r>
                    <w:rPr>
                      <w:color w:val="231F20"/>
                      <w:sz w:val="18"/>
                    </w:rPr>
                    <w:t>urea</w:t>
                  </w:r>
                  <w:r>
                    <w:rPr>
                      <w:color w:val="231F20"/>
                      <w:spacing w:val="9"/>
                      <w:sz w:val="18"/>
                    </w:rPr>
                    <w:t> </w:t>
                  </w:r>
                  <w:r>
                    <w:rPr>
                      <w:color w:val="231F20"/>
                      <w:sz w:val="18"/>
                    </w:rPr>
                    <w:t>in</w:t>
                  </w:r>
                  <w:r>
                    <w:rPr>
                      <w:color w:val="231F20"/>
                      <w:spacing w:val="9"/>
                      <w:sz w:val="18"/>
                    </w:rPr>
                    <w:t> </w:t>
                  </w:r>
                  <w:r>
                    <w:rPr>
                      <w:color w:val="231F20"/>
                      <w:sz w:val="18"/>
                    </w:rPr>
                    <w:t>the</w:t>
                  </w:r>
                  <w:r>
                    <w:rPr>
                      <w:color w:val="231F20"/>
                      <w:spacing w:val="10"/>
                      <w:sz w:val="18"/>
                    </w:rPr>
                    <w:t> </w:t>
                  </w:r>
                  <w:r>
                    <w:rPr>
                      <w:color w:val="231F20"/>
                      <w:sz w:val="18"/>
                    </w:rPr>
                    <w:t>body</w:t>
                  </w:r>
                  <w:r>
                    <w:rPr>
                      <w:color w:val="231F20"/>
                      <w:spacing w:val="9"/>
                      <w:sz w:val="18"/>
                    </w:rPr>
                    <w:t> </w:t>
                  </w:r>
                  <w:r>
                    <w:rPr>
                      <w:color w:val="231F20"/>
                      <w:sz w:val="18"/>
                    </w:rPr>
                    <w:t>fluids.</w:t>
                  </w:r>
                </w:p>
                <w:p>
                  <w:pPr>
                    <w:spacing w:line="256" w:lineRule="auto" w:before="27"/>
                    <w:ind w:left="180" w:right="177" w:firstLine="240"/>
                    <w:jc w:val="both"/>
                    <w:rPr>
                      <w:sz w:val="18"/>
                    </w:rPr>
                  </w:pPr>
                  <w:r>
                    <w:rPr>
                      <w:rFonts w:ascii="Trebuchet MS" w:hAnsi="Trebuchet MS"/>
                      <w:b/>
                      <w:color w:val="231F20"/>
                      <w:sz w:val="16"/>
                    </w:rPr>
                    <w:t>Water Retention and Development of Edema in Chron- ic Kidney Disease. </w:t>
                  </w:r>
                  <w:r>
                    <w:rPr>
                      <w:color w:val="231F20"/>
                      <w:sz w:val="18"/>
                    </w:rPr>
                    <w:t>If water intake is restricted immediately after acute kidney injury begins, the total body fluid con­ tent may become only slightly increased. If fluid intake is not limited and the patient drinks in response to the normal thirst mechanisms, the body fluids begin to increase im­ mediately and rapidly.</w:t>
                  </w:r>
                </w:p>
                <w:p>
                  <w:pPr>
                    <w:spacing w:line="254" w:lineRule="auto" w:before="0"/>
                    <w:ind w:left="180" w:right="177" w:firstLine="240"/>
                    <w:jc w:val="both"/>
                    <w:rPr>
                      <w:sz w:val="18"/>
                    </w:rPr>
                  </w:pPr>
                  <w:r>
                    <w:rPr>
                      <w:color w:val="231F20"/>
                      <w:spacing w:val="-3"/>
                      <w:w w:val="105"/>
                      <w:sz w:val="18"/>
                    </w:rPr>
                    <w:t>With</w:t>
                  </w:r>
                  <w:r>
                    <w:rPr>
                      <w:color w:val="231F20"/>
                      <w:spacing w:val="-21"/>
                      <w:w w:val="105"/>
                      <w:sz w:val="18"/>
                    </w:rPr>
                    <w:t> </w:t>
                  </w:r>
                  <w:r>
                    <w:rPr>
                      <w:color w:val="231F20"/>
                      <w:w w:val="105"/>
                      <w:sz w:val="18"/>
                    </w:rPr>
                    <w:t>CKD,</w:t>
                  </w:r>
                  <w:r>
                    <w:rPr>
                      <w:color w:val="231F20"/>
                      <w:spacing w:val="-20"/>
                      <w:w w:val="105"/>
                      <w:sz w:val="18"/>
                    </w:rPr>
                    <w:t> </w:t>
                  </w:r>
                  <w:r>
                    <w:rPr>
                      <w:color w:val="231F20"/>
                      <w:w w:val="105"/>
                      <w:sz w:val="18"/>
                    </w:rPr>
                    <w:t>as</w:t>
                  </w:r>
                  <w:r>
                    <w:rPr>
                      <w:color w:val="231F20"/>
                      <w:spacing w:val="-21"/>
                      <w:w w:val="105"/>
                      <w:sz w:val="18"/>
                    </w:rPr>
                    <w:t> </w:t>
                  </w:r>
                  <w:r>
                    <w:rPr>
                      <w:color w:val="231F20"/>
                      <w:w w:val="105"/>
                      <w:sz w:val="18"/>
                    </w:rPr>
                    <w:t>long</w:t>
                  </w:r>
                  <w:r>
                    <w:rPr>
                      <w:color w:val="231F20"/>
                      <w:spacing w:val="-20"/>
                      <w:w w:val="105"/>
                      <w:sz w:val="18"/>
                    </w:rPr>
                    <w:t> </w:t>
                  </w:r>
                  <w:r>
                    <w:rPr>
                      <w:color w:val="231F20"/>
                      <w:w w:val="105"/>
                      <w:sz w:val="18"/>
                    </w:rPr>
                    <w:t>as</w:t>
                  </w:r>
                  <w:r>
                    <w:rPr>
                      <w:color w:val="231F20"/>
                      <w:spacing w:val="-20"/>
                      <w:w w:val="105"/>
                      <w:sz w:val="18"/>
                    </w:rPr>
                    <w:t> </w:t>
                  </w:r>
                  <w:r>
                    <w:rPr>
                      <w:color w:val="231F20"/>
                      <w:w w:val="105"/>
                      <w:sz w:val="18"/>
                    </w:rPr>
                    <w:t>salt</w:t>
                  </w:r>
                  <w:r>
                    <w:rPr>
                      <w:color w:val="231F20"/>
                      <w:spacing w:val="-21"/>
                      <w:w w:val="105"/>
                      <w:sz w:val="18"/>
                    </w:rPr>
                    <w:t> </w:t>
                  </w:r>
                  <w:r>
                    <w:rPr>
                      <w:color w:val="231F20"/>
                      <w:w w:val="105"/>
                      <w:sz w:val="18"/>
                    </w:rPr>
                    <w:t>and</w:t>
                  </w:r>
                  <w:r>
                    <w:rPr>
                      <w:color w:val="231F20"/>
                      <w:spacing w:val="-20"/>
                      <w:w w:val="105"/>
                      <w:sz w:val="18"/>
                    </w:rPr>
                    <w:t> </w:t>
                  </w:r>
                  <w:r>
                    <w:rPr>
                      <w:color w:val="231F20"/>
                      <w:w w:val="105"/>
                      <w:sz w:val="18"/>
                    </w:rPr>
                    <w:t>fluid</w:t>
                  </w:r>
                  <w:r>
                    <w:rPr>
                      <w:color w:val="231F20"/>
                      <w:spacing w:val="-21"/>
                      <w:w w:val="105"/>
                      <w:sz w:val="18"/>
                    </w:rPr>
                    <w:t> </w:t>
                  </w:r>
                  <w:r>
                    <w:rPr>
                      <w:color w:val="231F20"/>
                      <w:w w:val="105"/>
                      <w:sz w:val="18"/>
                    </w:rPr>
                    <w:t>intake</w:t>
                  </w:r>
                  <w:r>
                    <w:rPr>
                      <w:color w:val="231F20"/>
                      <w:spacing w:val="-20"/>
                      <w:w w:val="105"/>
                      <w:sz w:val="18"/>
                    </w:rPr>
                    <w:t> </w:t>
                  </w:r>
                  <w:r>
                    <w:rPr>
                      <w:color w:val="231F20"/>
                      <w:w w:val="105"/>
                      <w:sz w:val="18"/>
                    </w:rPr>
                    <w:t>are</w:t>
                  </w:r>
                  <w:r>
                    <w:rPr>
                      <w:color w:val="231F20"/>
                      <w:spacing w:val="-20"/>
                      <w:w w:val="105"/>
                      <w:sz w:val="18"/>
                    </w:rPr>
                    <w:t> </w:t>
                  </w:r>
                  <w:r>
                    <w:rPr>
                      <w:color w:val="231F20"/>
                      <w:w w:val="105"/>
                      <w:sz w:val="18"/>
                    </w:rPr>
                    <w:t>not</w:t>
                  </w:r>
                  <w:r>
                    <w:rPr>
                      <w:color w:val="231F20"/>
                      <w:spacing w:val="-20"/>
                      <w:w w:val="105"/>
                      <w:sz w:val="18"/>
                    </w:rPr>
                    <w:t> </w:t>
                  </w:r>
                  <w:r>
                    <w:rPr>
                      <w:color w:val="231F20"/>
                      <w:w w:val="105"/>
                      <w:sz w:val="18"/>
                    </w:rPr>
                    <w:t>exces­ sive,</w:t>
                  </w:r>
                  <w:r>
                    <w:rPr>
                      <w:color w:val="231F20"/>
                      <w:spacing w:val="-10"/>
                      <w:w w:val="105"/>
                      <w:sz w:val="18"/>
                    </w:rPr>
                    <w:t> </w:t>
                  </w:r>
                  <w:r>
                    <w:rPr>
                      <w:color w:val="231F20"/>
                      <w:w w:val="105"/>
                      <w:sz w:val="18"/>
                    </w:rPr>
                    <w:t>accumulation</w:t>
                  </w:r>
                  <w:r>
                    <w:rPr>
                      <w:color w:val="231F20"/>
                      <w:spacing w:val="-10"/>
                      <w:w w:val="105"/>
                      <w:sz w:val="18"/>
                    </w:rPr>
                    <w:t> </w:t>
                  </w:r>
                  <w:r>
                    <w:rPr>
                      <w:color w:val="231F20"/>
                      <w:w w:val="105"/>
                      <w:sz w:val="18"/>
                    </w:rPr>
                    <w:t>of</w:t>
                  </w:r>
                  <w:r>
                    <w:rPr>
                      <w:color w:val="231F20"/>
                      <w:spacing w:val="-9"/>
                      <w:w w:val="105"/>
                      <w:sz w:val="18"/>
                    </w:rPr>
                    <w:t> </w:t>
                  </w:r>
                  <w:r>
                    <w:rPr>
                      <w:color w:val="231F20"/>
                      <w:w w:val="105"/>
                      <w:sz w:val="18"/>
                    </w:rPr>
                    <w:t>fluid</w:t>
                  </w:r>
                  <w:r>
                    <w:rPr>
                      <w:color w:val="231F20"/>
                      <w:spacing w:val="-10"/>
                      <w:w w:val="105"/>
                      <w:sz w:val="18"/>
                    </w:rPr>
                    <w:t> </w:t>
                  </w:r>
                  <w:r>
                    <w:rPr>
                      <w:color w:val="231F20"/>
                      <w:w w:val="105"/>
                      <w:sz w:val="18"/>
                    </w:rPr>
                    <w:t>may</w:t>
                  </w:r>
                  <w:r>
                    <w:rPr>
                      <w:color w:val="231F20"/>
                      <w:spacing w:val="-9"/>
                      <w:w w:val="105"/>
                      <w:sz w:val="18"/>
                    </w:rPr>
                    <w:t> </w:t>
                  </w:r>
                  <w:r>
                    <w:rPr>
                      <w:color w:val="231F20"/>
                      <w:w w:val="105"/>
                      <w:sz w:val="18"/>
                    </w:rPr>
                    <w:t>not</w:t>
                  </w:r>
                  <w:r>
                    <w:rPr>
                      <w:color w:val="231F20"/>
                      <w:spacing w:val="-10"/>
                      <w:w w:val="105"/>
                      <w:sz w:val="18"/>
                    </w:rPr>
                    <w:t> </w:t>
                  </w:r>
                  <w:r>
                    <w:rPr>
                      <w:color w:val="231F20"/>
                      <w:w w:val="105"/>
                      <w:sz w:val="18"/>
                    </w:rPr>
                    <w:t>be</w:t>
                  </w:r>
                  <w:r>
                    <w:rPr>
                      <w:color w:val="231F20"/>
                      <w:spacing w:val="-9"/>
                      <w:w w:val="105"/>
                      <w:sz w:val="18"/>
                    </w:rPr>
                    <w:t> </w:t>
                  </w:r>
                  <w:r>
                    <w:rPr>
                      <w:color w:val="231F20"/>
                      <w:w w:val="105"/>
                      <w:sz w:val="18"/>
                    </w:rPr>
                    <w:t>severe</w:t>
                  </w:r>
                  <w:r>
                    <w:rPr>
                      <w:color w:val="231F20"/>
                      <w:spacing w:val="-10"/>
                      <w:w w:val="105"/>
                      <w:sz w:val="18"/>
                    </w:rPr>
                    <w:t> </w:t>
                  </w:r>
                  <w:r>
                    <w:rPr>
                      <w:color w:val="231F20"/>
                      <w:w w:val="105"/>
                      <w:sz w:val="18"/>
                    </w:rPr>
                    <w:t>until</w:t>
                  </w:r>
                  <w:r>
                    <w:rPr>
                      <w:color w:val="231F20"/>
                      <w:spacing w:val="-10"/>
                      <w:w w:val="105"/>
                      <w:sz w:val="18"/>
                    </w:rPr>
                    <w:t> </w:t>
                  </w:r>
                  <w:r>
                    <w:rPr>
                      <w:color w:val="231F20"/>
                      <w:w w:val="105"/>
                      <w:sz w:val="18"/>
                    </w:rPr>
                    <w:t>kidney function</w:t>
                  </w:r>
                  <w:r>
                    <w:rPr>
                      <w:color w:val="231F20"/>
                      <w:spacing w:val="-11"/>
                      <w:w w:val="105"/>
                      <w:sz w:val="18"/>
                    </w:rPr>
                    <w:t> </w:t>
                  </w:r>
                  <w:r>
                    <w:rPr>
                      <w:color w:val="231F20"/>
                      <w:w w:val="105"/>
                      <w:sz w:val="18"/>
                    </w:rPr>
                    <w:t>falls</w:t>
                  </w:r>
                  <w:r>
                    <w:rPr>
                      <w:color w:val="231F20"/>
                      <w:spacing w:val="-10"/>
                      <w:w w:val="105"/>
                      <w:sz w:val="18"/>
                    </w:rPr>
                    <w:t> </w:t>
                  </w:r>
                  <w:r>
                    <w:rPr>
                      <w:color w:val="231F20"/>
                      <w:w w:val="105"/>
                      <w:sz w:val="18"/>
                    </w:rPr>
                    <w:t>to</w:t>
                  </w:r>
                  <w:r>
                    <w:rPr>
                      <w:color w:val="231F20"/>
                      <w:spacing w:val="-10"/>
                      <w:w w:val="105"/>
                      <w:sz w:val="18"/>
                    </w:rPr>
                    <w:t> </w:t>
                  </w:r>
                  <w:r>
                    <w:rPr>
                      <w:color w:val="231F20"/>
                      <w:w w:val="105"/>
                      <w:sz w:val="18"/>
                    </w:rPr>
                    <w:t>25</w:t>
                  </w:r>
                  <w:r>
                    <w:rPr>
                      <w:color w:val="231F20"/>
                      <w:spacing w:val="-10"/>
                      <w:w w:val="105"/>
                      <w:sz w:val="18"/>
                    </w:rPr>
                    <w:t> </w:t>
                  </w:r>
                  <w:r>
                    <w:rPr>
                      <w:color w:val="231F20"/>
                      <w:w w:val="105"/>
                      <w:sz w:val="18"/>
                    </w:rPr>
                    <w:t>percent</w:t>
                  </w:r>
                  <w:r>
                    <w:rPr>
                      <w:color w:val="231F20"/>
                      <w:spacing w:val="-10"/>
                      <w:w w:val="105"/>
                      <w:sz w:val="18"/>
                    </w:rPr>
                    <w:t> </w:t>
                  </w:r>
                  <w:r>
                    <w:rPr>
                      <w:color w:val="231F20"/>
                      <w:w w:val="105"/>
                      <w:sz w:val="18"/>
                    </w:rPr>
                    <w:t>of</w:t>
                  </w:r>
                  <w:r>
                    <w:rPr>
                      <w:color w:val="231F20"/>
                      <w:spacing w:val="-11"/>
                      <w:w w:val="105"/>
                      <w:sz w:val="18"/>
                    </w:rPr>
                    <w:t> </w:t>
                  </w:r>
                  <w:r>
                    <w:rPr>
                      <w:color w:val="231F20"/>
                      <w:w w:val="105"/>
                      <w:sz w:val="18"/>
                    </w:rPr>
                    <w:t>normal</w:t>
                  </w:r>
                  <w:r>
                    <w:rPr>
                      <w:color w:val="231F20"/>
                      <w:spacing w:val="-10"/>
                      <w:w w:val="105"/>
                      <w:sz w:val="18"/>
                    </w:rPr>
                    <w:t> </w:t>
                  </w:r>
                  <w:r>
                    <w:rPr>
                      <w:color w:val="231F20"/>
                      <w:w w:val="105"/>
                      <w:sz w:val="18"/>
                    </w:rPr>
                    <w:t>or</w:t>
                  </w:r>
                  <w:r>
                    <w:rPr>
                      <w:color w:val="231F20"/>
                      <w:spacing w:val="-10"/>
                      <w:w w:val="105"/>
                      <w:sz w:val="18"/>
                    </w:rPr>
                    <w:t> </w:t>
                  </w:r>
                  <w:r>
                    <w:rPr>
                      <w:color w:val="231F20"/>
                      <w:spacing w:val="-3"/>
                      <w:w w:val="105"/>
                      <w:sz w:val="18"/>
                    </w:rPr>
                    <w:t>lower.</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reason for</w:t>
                  </w:r>
                  <w:r>
                    <w:rPr>
                      <w:color w:val="231F20"/>
                      <w:spacing w:val="-19"/>
                      <w:w w:val="105"/>
                      <w:sz w:val="18"/>
                    </w:rPr>
                    <w:t> </w:t>
                  </w:r>
                  <w:r>
                    <w:rPr>
                      <w:color w:val="231F20"/>
                      <w:w w:val="105"/>
                      <w:sz w:val="18"/>
                    </w:rPr>
                    <w:t>this,</w:t>
                  </w:r>
                  <w:r>
                    <w:rPr>
                      <w:color w:val="231F20"/>
                      <w:spacing w:val="-18"/>
                      <w:w w:val="105"/>
                      <w:sz w:val="18"/>
                    </w:rPr>
                    <w:t> </w:t>
                  </w:r>
                  <w:r>
                    <w:rPr>
                      <w:color w:val="231F20"/>
                      <w:w w:val="105"/>
                      <w:sz w:val="18"/>
                    </w:rPr>
                    <w:t>as</w:t>
                  </w:r>
                  <w:r>
                    <w:rPr>
                      <w:color w:val="231F20"/>
                      <w:spacing w:val="-19"/>
                      <w:w w:val="105"/>
                      <w:sz w:val="18"/>
                    </w:rPr>
                    <w:t> </w:t>
                  </w:r>
                  <w:r>
                    <w:rPr>
                      <w:color w:val="231F20"/>
                      <w:w w:val="105"/>
                      <w:sz w:val="18"/>
                    </w:rPr>
                    <w:t>discussed</w:t>
                  </w:r>
                  <w:r>
                    <w:rPr>
                      <w:color w:val="231F20"/>
                      <w:spacing w:val="-18"/>
                      <w:w w:val="105"/>
                      <w:sz w:val="18"/>
                    </w:rPr>
                    <w:t> </w:t>
                  </w:r>
                  <w:r>
                    <w:rPr>
                      <w:color w:val="231F20"/>
                      <w:w w:val="105"/>
                      <w:sz w:val="18"/>
                    </w:rPr>
                    <w:t>previously,</w:t>
                  </w:r>
                  <w:r>
                    <w:rPr>
                      <w:color w:val="231F20"/>
                      <w:spacing w:val="-19"/>
                      <w:w w:val="105"/>
                      <w:sz w:val="18"/>
                    </w:rPr>
                    <w:t> </w:t>
                  </w:r>
                  <w:r>
                    <w:rPr>
                      <w:color w:val="231F20"/>
                      <w:w w:val="105"/>
                      <w:sz w:val="18"/>
                    </w:rPr>
                    <w:t>is</w:t>
                  </w:r>
                  <w:r>
                    <w:rPr>
                      <w:color w:val="231F20"/>
                      <w:spacing w:val="-18"/>
                      <w:w w:val="105"/>
                      <w:sz w:val="18"/>
                    </w:rPr>
                    <w:t> </w:t>
                  </w:r>
                  <w:r>
                    <w:rPr>
                      <w:color w:val="231F20"/>
                      <w:w w:val="105"/>
                      <w:sz w:val="18"/>
                    </w:rPr>
                    <w:t>that</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surviving</w:t>
                  </w:r>
                  <w:r>
                    <w:rPr>
                      <w:color w:val="231F20"/>
                      <w:spacing w:val="-18"/>
                      <w:w w:val="105"/>
                      <w:sz w:val="18"/>
                    </w:rPr>
                    <w:t> </w:t>
                  </w:r>
                  <w:r>
                    <w:rPr>
                      <w:color w:val="231F20"/>
                      <w:w w:val="105"/>
                      <w:sz w:val="18"/>
                    </w:rPr>
                    <w:t>neph­ rons excrete larger amounts of salt and </w:t>
                  </w:r>
                  <w:r>
                    <w:rPr>
                      <w:color w:val="231F20"/>
                      <w:spacing w:val="-3"/>
                      <w:w w:val="105"/>
                      <w:sz w:val="18"/>
                    </w:rPr>
                    <w:t>water. </w:t>
                  </w:r>
                  <w:r>
                    <w:rPr>
                      <w:color w:val="231F20"/>
                      <w:w w:val="105"/>
                      <w:sz w:val="18"/>
                    </w:rPr>
                    <w:t>Even the small</w:t>
                  </w:r>
                  <w:r>
                    <w:rPr>
                      <w:color w:val="231F20"/>
                      <w:spacing w:val="-7"/>
                      <w:w w:val="105"/>
                      <w:sz w:val="18"/>
                    </w:rPr>
                    <w:t> </w:t>
                  </w:r>
                  <w:r>
                    <w:rPr>
                      <w:color w:val="231F20"/>
                      <w:w w:val="105"/>
                      <w:sz w:val="18"/>
                    </w:rPr>
                    <w:t>fluid</w:t>
                  </w:r>
                  <w:r>
                    <w:rPr>
                      <w:color w:val="231F20"/>
                      <w:spacing w:val="-7"/>
                      <w:w w:val="105"/>
                      <w:sz w:val="18"/>
                    </w:rPr>
                    <w:t> </w:t>
                  </w:r>
                  <w:r>
                    <w:rPr>
                      <w:color w:val="231F20"/>
                      <w:w w:val="105"/>
                      <w:sz w:val="18"/>
                    </w:rPr>
                    <w:t>retention</w:t>
                  </w:r>
                  <w:r>
                    <w:rPr>
                      <w:color w:val="231F20"/>
                      <w:spacing w:val="-6"/>
                      <w:w w:val="105"/>
                      <w:sz w:val="18"/>
                    </w:rPr>
                    <w:t> </w:t>
                  </w:r>
                  <w:r>
                    <w:rPr>
                      <w:color w:val="231F20"/>
                      <w:w w:val="105"/>
                      <w:sz w:val="18"/>
                    </w:rPr>
                    <w:t>that</w:t>
                  </w:r>
                  <w:r>
                    <w:rPr>
                      <w:color w:val="231F20"/>
                      <w:spacing w:val="-7"/>
                      <w:w w:val="105"/>
                      <w:sz w:val="18"/>
                    </w:rPr>
                    <w:t> </w:t>
                  </w:r>
                  <w:r>
                    <w:rPr>
                      <w:color w:val="231F20"/>
                      <w:w w:val="105"/>
                      <w:sz w:val="18"/>
                    </w:rPr>
                    <w:t>does</w:t>
                  </w:r>
                  <w:r>
                    <w:rPr>
                      <w:color w:val="231F20"/>
                      <w:spacing w:val="-7"/>
                      <w:w w:val="105"/>
                      <w:sz w:val="18"/>
                    </w:rPr>
                    <w:t> </w:t>
                  </w:r>
                  <w:r>
                    <w:rPr>
                      <w:color w:val="231F20"/>
                      <w:spacing w:val="-3"/>
                      <w:w w:val="105"/>
                      <w:sz w:val="18"/>
                    </w:rPr>
                    <w:t>occur,</w:t>
                  </w:r>
                  <w:r>
                    <w:rPr>
                      <w:color w:val="231F20"/>
                      <w:spacing w:val="-6"/>
                      <w:w w:val="105"/>
                      <w:sz w:val="18"/>
                    </w:rPr>
                    <w:t> </w:t>
                  </w:r>
                  <w:r>
                    <w:rPr>
                      <w:color w:val="231F20"/>
                      <w:w w:val="105"/>
                      <w:sz w:val="18"/>
                    </w:rPr>
                    <w:t>along</w:t>
                  </w:r>
                  <w:r>
                    <w:rPr>
                      <w:color w:val="231F20"/>
                      <w:spacing w:val="-7"/>
                      <w:w w:val="105"/>
                      <w:sz w:val="18"/>
                    </w:rPr>
                    <w:t> </w:t>
                  </w:r>
                  <w:r>
                    <w:rPr>
                      <w:color w:val="231F20"/>
                      <w:w w:val="105"/>
                      <w:sz w:val="18"/>
                    </w:rPr>
                    <w:t>with</w:t>
                  </w:r>
                  <w:r>
                    <w:rPr>
                      <w:color w:val="231F20"/>
                      <w:spacing w:val="-7"/>
                      <w:w w:val="105"/>
                      <w:sz w:val="18"/>
                    </w:rPr>
                    <w:t> </w:t>
                  </w:r>
                  <w:r>
                    <w:rPr>
                      <w:color w:val="231F20"/>
                      <w:w w:val="105"/>
                      <w:sz w:val="18"/>
                    </w:rPr>
                    <w:t>increased secretion</w:t>
                  </w:r>
                  <w:r>
                    <w:rPr>
                      <w:color w:val="231F20"/>
                      <w:spacing w:val="-10"/>
                      <w:w w:val="105"/>
                      <w:sz w:val="18"/>
                    </w:rPr>
                    <w:t> </w:t>
                  </w:r>
                  <w:r>
                    <w:rPr>
                      <w:color w:val="231F20"/>
                      <w:w w:val="105"/>
                      <w:sz w:val="18"/>
                    </w:rPr>
                    <w:t>of</w:t>
                  </w:r>
                  <w:r>
                    <w:rPr>
                      <w:color w:val="231F20"/>
                      <w:spacing w:val="-9"/>
                      <w:w w:val="105"/>
                      <w:sz w:val="18"/>
                    </w:rPr>
                    <w:t> </w:t>
                  </w:r>
                  <w:r>
                    <w:rPr>
                      <w:color w:val="231F20"/>
                      <w:w w:val="105"/>
                      <w:sz w:val="18"/>
                    </w:rPr>
                    <w:t>renin</w:t>
                  </w:r>
                  <w:r>
                    <w:rPr>
                      <w:color w:val="231F20"/>
                      <w:spacing w:val="-9"/>
                      <w:w w:val="105"/>
                      <w:sz w:val="18"/>
                    </w:rPr>
                    <w:t> </w:t>
                  </w:r>
                  <w:r>
                    <w:rPr>
                      <w:color w:val="231F20"/>
                      <w:w w:val="105"/>
                      <w:sz w:val="18"/>
                    </w:rPr>
                    <w:t>and</w:t>
                  </w:r>
                  <w:r>
                    <w:rPr>
                      <w:color w:val="231F20"/>
                      <w:spacing w:val="-9"/>
                      <w:w w:val="105"/>
                      <w:sz w:val="18"/>
                    </w:rPr>
                    <w:t> </w:t>
                  </w:r>
                  <w:r>
                    <w:rPr>
                      <w:color w:val="231F20"/>
                      <w:w w:val="105"/>
                      <w:sz w:val="18"/>
                    </w:rPr>
                    <w:t>angiotensin</w:t>
                  </w:r>
                  <w:r>
                    <w:rPr>
                      <w:color w:val="231F20"/>
                      <w:spacing w:val="-9"/>
                      <w:w w:val="105"/>
                      <w:sz w:val="18"/>
                    </w:rPr>
                    <w:t> </w:t>
                  </w:r>
                  <w:r>
                    <w:rPr>
                      <w:color w:val="231F20"/>
                      <w:w w:val="105"/>
                      <w:sz w:val="18"/>
                    </w:rPr>
                    <w:t>II</w:t>
                  </w:r>
                  <w:r>
                    <w:rPr>
                      <w:color w:val="231F20"/>
                      <w:spacing w:val="-9"/>
                      <w:w w:val="105"/>
                      <w:sz w:val="18"/>
                    </w:rPr>
                    <w:t> </w:t>
                  </w:r>
                  <w:r>
                    <w:rPr>
                      <w:color w:val="231F20"/>
                      <w:w w:val="105"/>
                      <w:sz w:val="18"/>
                    </w:rPr>
                    <w:t>that</w:t>
                  </w:r>
                  <w:r>
                    <w:rPr>
                      <w:color w:val="231F20"/>
                      <w:spacing w:val="-9"/>
                      <w:w w:val="105"/>
                      <w:sz w:val="18"/>
                    </w:rPr>
                    <w:t> </w:t>
                  </w:r>
                  <w:r>
                    <w:rPr>
                      <w:color w:val="231F20"/>
                      <w:w w:val="105"/>
                      <w:sz w:val="18"/>
                    </w:rPr>
                    <w:t>usually</w:t>
                  </w:r>
                  <w:r>
                    <w:rPr>
                      <w:color w:val="231F20"/>
                      <w:spacing w:val="-9"/>
                      <w:w w:val="105"/>
                      <w:sz w:val="18"/>
                    </w:rPr>
                    <w:t> </w:t>
                  </w:r>
                  <w:r>
                    <w:rPr>
                      <w:color w:val="231F20"/>
                      <w:w w:val="105"/>
                      <w:sz w:val="18"/>
                    </w:rPr>
                    <w:t>occurs</w:t>
                  </w:r>
                  <w:r>
                    <w:rPr>
                      <w:color w:val="231F20"/>
                      <w:spacing w:val="-9"/>
                      <w:w w:val="105"/>
                      <w:sz w:val="18"/>
                    </w:rPr>
                    <w:t> </w:t>
                  </w:r>
                  <w:r>
                    <w:rPr>
                      <w:color w:val="231F20"/>
                      <w:w w:val="105"/>
                      <w:sz w:val="18"/>
                    </w:rPr>
                    <w:t>in ischemic</w:t>
                  </w:r>
                  <w:r>
                    <w:rPr>
                      <w:color w:val="231F20"/>
                      <w:spacing w:val="-16"/>
                      <w:w w:val="105"/>
                      <w:sz w:val="18"/>
                    </w:rPr>
                    <w:t> </w:t>
                  </w:r>
                  <w:r>
                    <w:rPr>
                      <w:color w:val="231F20"/>
                      <w:w w:val="105"/>
                      <w:sz w:val="18"/>
                    </w:rPr>
                    <w:t>kidney</w:t>
                  </w:r>
                  <w:r>
                    <w:rPr>
                      <w:color w:val="231F20"/>
                      <w:spacing w:val="-15"/>
                      <w:w w:val="105"/>
                      <w:sz w:val="18"/>
                    </w:rPr>
                    <w:t> </w:t>
                  </w:r>
                  <w:r>
                    <w:rPr>
                      <w:color w:val="231F20"/>
                      <w:w w:val="105"/>
                      <w:sz w:val="18"/>
                    </w:rPr>
                    <w:t>disease,</w:t>
                  </w:r>
                  <w:r>
                    <w:rPr>
                      <w:color w:val="231F20"/>
                      <w:spacing w:val="-15"/>
                      <w:w w:val="105"/>
                      <w:sz w:val="18"/>
                    </w:rPr>
                    <w:t> </w:t>
                  </w:r>
                  <w:r>
                    <w:rPr>
                      <w:color w:val="231F20"/>
                      <w:w w:val="105"/>
                      <w:sz w:val="18"/>
                    </w:rPr>
                    <w:t>often</w:t>
                  </w:r>
                  <w:r>
                    <w:rPr>
                      <w:color w:val="231F20"/>
                      <w:spacing w:val="-15"/>
                      <w:w w:val="105"/>
                      <w:sz w:val="18"/>
                    </w:rPr>
                    <w:t> </w:t>
                  </w:r>
                  <w:r>
                    <w:rPr>
                      <w:color w:val="231F20"/>
                      <w:w w:val="105"/>
                      <w:sz w:val="18"/>
                    </w:rPr>
                    <w:t>causes</w:t>
                  </w:r>
                  <w:r>
                    <w:rPr>
                      <w:color w:val="231F20"/>
                      <w:spacing w:val="-15"/>
                      <w:w w:val="105"/>
                      <w:sz w:val="18"/>
                    </w:rPr>
                    <w:t> </w:t>
                  </w:r>
                  <w:r>
                    <w:rPr>
                      <w:color w:val="231F20"/>
                      <w:w w:val="105"/>
                      <w:sz w:val="18"/>
                    </w:rPr>
                    <w:t>severe</w:t>
                  </w:r>
                  <w:r>
                    <w:rPr>
                      <w:color w:val="231F20"/>
                      <w:spacing w:val="-15"/>
                      <w:w w:val="105"/>
                      <w:sz w:val="18"/>
                    </w:rPr>
                    <w:t> </w:t>
                  </w:r>
                  <w:r>
                    <w:rPr>
                      <w:color w:val="231F20"/>
                      <w:w w:val="105"/>
                      <w:sz w:val="18"/>
                    </w:rPr>
                    <w:t>hypertension in persons with CKD. Hypertension develops in almost all patients with kidney function that is so reduced that dialysis is required to preserve life. In many of these patients,</w:t>
                  </w:r>
                  <w:r>
                    <w:rPr>
                      <w:color w:val="231F20"/>
                      <w:spacing w:val="-23"/>
                      <w:w w:val="105"/>
                      <w:sz w:val="18"/>
                    </w:rPr>
                    <w:t> </w:t>
                  </w:r>
                  <w:r>
                    <w:rPr>
                      <w:color w:val="231F20"/>
                      <w:w w:val="105"/>
                      <w:sz w:val="18"/>
                    </w:rPr>
                    <w:t>severe</w:t>
                  </w:r>
                  <w:r>
                    <w:rPr>
                      <w:color w:val="231F20"/>
                      <w:spacing w:val="-22"/>
                      <w:w w:val="105"/>
                      <w:sz w:val="18"/>
                    </w:rPr>
                    <w:t> </w:t>
                  </w:r>
                  <w:r>
                    <w:rPr>
                      <w:color w:val="231F20"/>
                      <w:w w:val="105"/>
                      <w:sz w:val="18"/>
                    </w:rPr>
                    <w:t>reduction</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salt</w:t>
                  </w:r>
                  <w:r>
                    <w:rPr>
                      <w:color w:val="231F20"/>
                      <w:spacing w:val="-22"/>
                      <w:w w:val="105"/>
                      <w:sz w:val="18"/>
                    </w:rPr>
                    <w:t> </w:t>
                  </w:r>
                  <w:r>
                    <w:rPr>
                      <w:color w:val="231F20"/>
                      <w:w w:val="105"/>
                      <w:sz w:val="18"/>
                    </w:rPr>
                    <w:t>intake</w:t>
                  </w:r>
                  <w:r>
                    <w:rPr>
                      <w:color w:val="231F20"/>
                      <w:spacing w:val="-23"/>
                      <w:w w:val="105"/>
                      <w:sz w:val="18"/>
                    </w:rPr>
                    <w:t> </w:t>
                  </w:r>
                  <w:r>
                    <w:rPr>
                      <w:color w:val="231F20"/>
                      <w:w w:val="105"/>
                      <w:sz w:val="18"/>
                    </w:rPr>
                    <w:t>or</w:t>
                  </w:r>
                  <w:r>
                    <w:rPr>
                      <w:color w:val="231F20"/>
                      <w:spacing w:val="-22"/>
                      <w:w w:val="105"/>
                      <w:sz w:val="18"/>
                    </w:rPr>
                    <w:t> </w:t>
                  </w:r>
                  <w:r>
                    <w:rPr>
                      <w:color w:val="231F20"/>
                      <w:w w:val="105"/>
                      <w:sz w:val="18"/>
                    </w:rPr>
                    <w:t>removal</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extra­ cellular</w:t>
                  </w:r>
                  <w:r>
                    <w:rPr>
                      <w:color w:val="231F20"/>
                      <w:spacing w:val="-13"/>
                      <w:w w:val="105"/>
                      <w:sz w:val="18"/>
                    </w:rPr>
                    <w:t> </w:t>
                  </w:r>
                  <w:r>
                    <w:rPr>
                      <w:color w:val="231F20"/>
                      <w:w w:val="105"/>
                      <w:sz w:val="18"/>
                    </w:rPr>
                    <w:t>fluid</w:t>
                  </w:r>
                  <w:r>
                    <w:rPr>
                      <w:color w:val="231F20"/>
                      <w:spacing w:val="-12"/>
                      <w:w w:val="105"/>
                      <w:sz w:val="18"/>
                    </w:rPr>
                    <w:t> </w:t>
                  </w:r>
                  <w:r>
                    <w:rPr>
                      <w:color w:val="231F20"/>
                      <w:w w:val="105"/>
                      <w:sz w:val="18"/>
                    </w:rPr>
                    <w:t>by</w:t>
                  </w:r>
                  <w:r>
                    <w:rPr>
                      <w:color w:val="231F20"/>
                      <w:spacing w:val="-12"/>
                      <w:w w:val="105"/>
                      <w:sz w:val="18"/>
                    </w:rPr>
                    <w:t> </w:t>
                  </w:r>
                  <w:r>
                    <w:rPr>
                      <w:color w:val="231F20"/>
                      <w:w w:val="105"/>
                      <w:sz w:val="18"/>
                    </w:rPr>
                    <w:t>dialysis</w:t>
                  </w:r>
                  <w:r>
                    <w:rPr>
                      <w:color w:val="231F20"/>
                      <w:spacing w:val="-12"/>
                      <w:w w:val="105"/>
                      <w:sz w:val="18"/>
                    </w:rPr>
                    <w:t> </w:t>
                  </w:r>
                  <w:r>
                    <w:rPr>
                      <w:color w:val="231F20"/>
                      <w:w w:val="105"/>
                      <w:sz w:val="18"/>
                    </w:rPr>
                    <w:t>can</w:t>
                  </w:r>
                  <w:r>
                    <w:rPr>
                      <w:color w:val="231F20"/>
                      <w:spacing w:val="-13"/>
                      <w:w w:val="105"/>
                      <w:sz w:val="18"/>
                    </w:rPr>
                    <w:t> </w:t>
                  </w:r>
                  <w:r>
                    <w:rPr>
                      <w:color w:val="231F20"/>
                      <w:w w:val="105"/>
                      <w:sz w:val="18"/>
                    </w:rPr>
                    <w:t>control</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hypertension.</w:t>
                  </w:r>
                  <w:r>
                    <w:rPr>
                      <w:color w:val="231F20"/>
                      <w:spacing w:val="-12"/>
                      <w:w w:val="105"/>
                      <w:sz w:val="18"/>
                    </w:rPr>
                    <w:t> </w:t>
                  </w:r>
                  <w:r>
                    <w:rPr>
                      <w:color w:val="231F20"/>
                      <w:w w:val="105"/>
                      <w:sz w:val="18"/>
                    </w:rPr>
                    <w:t>The remaining patients continue to have hypertension even after excess sodium has been removed by dialysis. In</w:t>
                  </w:r>
                  <w:r>
                    <w:rPr>
                      <w:color w:val="231F20"/>
                      <w:spacing w:val="-22"/>
                      <w:w w:val="105"/>
                      <w:sz w:val="18"/>
                    </w:rPr>
                    <w:t> </w:t>
                  </w:r>
                  <w:r>
                    <w:rPr>
                      <w:color w:val="231F20"/>
                      <w:w w:val="105"/>
                      <w:sz w:val="18"/>
                    </w:rPr>
                    <w:t>this group, removal of the ischemic kidneys usually corrects the hypertension (as long as fluid retention is prevented by dialysis) because it removes the source of excessive renin secretion and subsequent increased angiotensin II formation.</w:t>
                  </w:r>
                </w:p>
              </w:txbxContent>
            </v:textbox>
            <v:fill type="solid"/>
            <w10:wrap type="none"/>
          </v:shape>
        </w:pict>
      </w:r>
      <w:r>
        <w:rPr>
          <w:rFonts w:ascii="Trebuchet MS"/>
          <w:b/>
          <w:color w:val="231F20"/>
          <w:sz w:val="16"/>
        </w:rPr>
        <w:t>Figure 32-7. </w:t>
      </w:r>
      <w:r>
        <w:rPr>
          <w:rFonts w:ascii="Arial"/>
          <w:color w:val="231F20"/>
          <w:sz w:val="16"/>
        </w:rPr>
        <w:t>Effect of kidney failure on extracellular fluid constitu- ents. NPN, nonprotein nitrogens.</w:t>
      </w:r>
    </w:p>
    <w:p>
      <w:pPr>
        <w:spacing w:line="254" w:lineRule="auto" w:before="13"/>
        <w:ind w:left="499" w:right="1257" w:firstLine="0"/>
        <w:jc w:val="both"/>
        <w:rPr>
          <w:sz w:val="18"/>
        </w:rPr>
      </w:pPr>
      <w:r>
        <w:rPr/>
        <w:br w:type="column"/>
      </w:r>
      <w:r>
        <w:rPr>
          <w:color w:val="231F20"/>
          <w:w w:val="105"/>
          <w:sz w:val="18"/>
        </w:rPr>
        <w:t>body normally produces about 50 to 80 millimoles more metabolic</w:t>
      </w:r>
      <w:r>
        <w:rPr>
          <w:color w:val="231F20"/>
          <w:spacing w:val="-7"/>
          <w:w w:val="105"/>
          <w:sz w:val="18"/>
        </w:rPr>
        <w:t> </w:t>
      </w:r>
      <w:r>
        <w:rPr>
          <w:color w:val="231F20"/>
          <w:w w:val="105"/>
          <w:sz w:val="18"/>
        </w:rPr>
        <w:t>acid</w:t>
      </w:r>
      <w:r>
        <w:rPr>
          <w:color w:val="231F20"/>
          <w:spacing w:val="-6"/>
          <w:w w:val="105"/>
          <w:sz w:val="18"/>
        </w:rPr>
        <w:t> </w:t>
      </w:r>
      <w:r>
        <w:rPr>
          <w:color w:val="231F20"/>
          <w:w w:val="105"/>
          <w:sz w:val="18"/>
        </w:rPr>
        <w:t>than</w:t>
      </w:r>
      <w:r>
        <w:rPr>
          <w:color w:val="231F20"/>
          <w:spacing w:val="-7"/>
          <w:w w:val="105"/>
          <w:sz w:val="18"/>
        </w:rPr>
        <w:t> </w:t>
      </w:r>
      <w:r>
        <w:rPr>
          <w:color w:val="231F20"/>
          <w:w w:val="105"/>
          <w:sz w:val="18"/>
        </w:rPr>
        <w:t>metabolic</w:t>
      </w:r>
      <w:r>
        <w:rPr>
          <w:color w:val="231F20"/>
          <w:spacing w:val="-6"/>
          <w:w w:val="105"/>
          <w:sz w:val="18"/>
        </w:rPr>
        <w:t> </w:t>
      </w:r>
      <w:r>
        <w:rPr>
          <w:color w:val="231F20"/>
          <w:w w:val="105"/>
          <w:sz w:val="18"/>
        </w:rPr>
        <w:t>alkali.</w:t>
      </w:r>
      <w:r>
        <w:rPr>
          <w:color w:val="231F20"/>
          <w:spacing w:val="-7"/>
          <w:w w:val="105"/>
          <w:sz w:val="18"/>
        </w:rPr>
        <w:t> </w:t>
      </w:r>
      <w:r>
        <w:rPr>
          <w:color w:val="231F20"/>
          <w:w w:val="105"/>
          <w:sz w:val="18"/>
        </w:rPr>
        <w:t>Therefore,</w:t>
      </w:r>
      <w:r>
        <w:rPr>
          <w:color w:val="231F20"/>
          <w:spacing w:val="-6"/>
          <w:w w:val="105"/>
          <w:sz w:val="18"/>
        </w:rPr>
        <w:t> </w:t>
      </w:r>
      <w:r>
        <w:rPr>
          <w:color w:val="231F20"/>
          <w:w w:val="105"/>
          <w:sz w:val="18"/>
        </w:rPr>
        <w:t>when</w:t>
      </w:r>
      <w:r>
        <w:rPr>
          <w:color w:val="231F20"/>
          <w:spacing w:val="-7"/>
          <w:w w:val="105"/>
          <w:sz w:val="18"/>
        </w:rPr>
        <w:t> </w:t>
      </w:r>
      <w:r>
        <w:rPr>
          <w:color w:val="231F20"/>
          <w:w w:val="105"/>
          <w:sz w:val="18"/>
        </w:rPr>
        <w:t>the kidneys fail to function, acid accumulates in the body fluids. The buffers of the body fluids normally can</w:t>
      </w:r>
      <w:r>
        <w:rPr>
          <w:color w:val="231F20"/>
          <w:spacing w:val="-22"/>
          <w:w w:val="105"/>
          <w:sz w:val="18"/>
        </w:rPr>
        <w:t> </w:t>
      </w:r>
      <w:r>
        <w:rPr>
          <w:color w:val="231F20"/>
          <w:w w:val="105"/>
          <w:sz w:val="18"/>
        </w:rPr>
        <w:t>buffer 500 to 1000 millimoles of acid without lethal increases in extracellular fluid H</w:t>
      </w:r>
      <w:r>
        <w:rPr>
          <w:rFonts w:ascii="Consolas"/>
          <w:color w:val="231F20"/>
          <w:w w:val="105"/>
          <w:position w:val="7"/>
          <w:sz w:val="11"/>
        </w:rPr>
        <w:t>+ </w:t>
      </w:r>
      <w:r>
        <w:rPr>
          <w:color w:val="231F20"/>
          <w:w w:val="105"/>
          <w:sz w:val="18"/>
        </w:rPr>
        <w:t>concentration, and the</w:t>
      </w:r>
      <w:r>
        <w:rPr>
          <w:color w:val="231F20"/>
          <w:spacing w:val="-29"/>
          <w:w w:val="105"/>
          <w:sz w:val="18"/>
        </w:rPr>
        <w:t> </w:t>
      </w:r>
      <w:r>
        <w:rPr>
          <w:color w:val="231F20"/>
          <w:w w:val="105"/>
          <w:sz w:val="18"/>
        </w:rPr>
        <w:t>phosphate compounds in the bones can buffer an additional few thousand millimoles of </w:t>
      </w:r>
      <w:r>
        <w:rPr>
          <w:color w:val="231F20"/>
          <w:spacing w:val="-7"/>
          <w:w w:val="105"/>
          <w:sz w:val="18"/>
        </w:rPr>
        <w:t>H</w:t>
      </w:r>
      <w:r>
        <w:rPr>
          <w:rFonts w:ascii="Consolas"/>
          <w:color w:val="231F20"/>
          <w:spacing w:val="-7"/>
          <w:w w:val="105"/>
          <w:position w:val="7"/>
          <w:sz w:val="11"/>
        </w:rPr>
        <w:t>+</w:t>
      </w:r>
      <w:r>
        <w:rPr>
          <w:color w:val="231F20"/>
          <w:spacing w:val="-7"/>
          <w:w w:val="105"/>
          <w:sz w:val="18"/>
        </w:rPr>
        <w:t>. </w:t>
      </w:r>
      <w:r>
        <w:rPr>
          <w:color w:val="231F20"/>
          <w:w w:val="105"/>
          <w:sz w:val="18"/>
        </w:rPr>
        <w:t>However, when this</w:t>
      </w:r>
      <w:r>
        <w:rPr>
          <w:color w:val="231F20"/>
          <w:spacing w:val="-9"/>
          <w:w w:val="105"/>
          <w:sz w:val="18"/>
        </w:rPr>
        <w:t> </w:t>
      </w:r>
      <w:r>
        <w:rPr>
          <w:color w:val="231F20"/>
          <w:w w:val="105"/>
          <w:sz w:val="18"/>
        </w:rPr>
        <w:t>buffering power is used up, the blood pH falls drastically and the patient</w:t>
      </w:r>
      <w:r>
        <w:rPr>
          <w:color w:val="231F20"/>
          <w:spacing w:val="-14"/>
          <w:w w:val="105"/>
          <w:sz w:val="18"/>
        </w:rPr>
        <w:t> </w:t>
      </w:r>
      <w:r>
        <w:rPr>
          <w:color w:val="231F20"/>
          <w:w w:val="105"/>
          <w:sz w:val="18"/>
        </w:rPr>
        <w:t>will</w:t>
      </w:r>
      <w:r>
        <w:rPr>
          <w:color w:val="231F20"/>
          <w:spacing w:val="-14"/>
          <w:w w:val="105"/>
          <w:sz w:val="18"/>
        </w:rPr>
        <w:t> </w:t>
      </w:r>
      <w:r>
        <w:rPr>
          <w:color w:val="231F20"/>
          <w:w w:val="105"/>
          <w:sz w:val="18"/>
        </w:rPr>
        <w:t>become</w:t>
      </w:r>
      <w:r>
        <w:rPr>
          <w:color w:val="231F20"/>
          <w:spacing w:val="-14"/>
          <w:w w:val="105"/>
          <w:sz w:val="18"/>
        </w:rPr>
        <w:t> </w:t>
      </w:r>
      <w:r>
        <w:rPr>
          <w:color w:val="231F20"/>
          <w:w w:val="105"/>
          <w:sz w:val="18"/>
        </w:rPr>
        <w:t>comatose</w:t>
      </w:r>
      <w:r>
        <w:rPr>
          <w:color w:val="231F20"/>
          <w:spacing w:val="-13"/>
          <w:w w:val="105"/>
          <w:sz w:val="18"/>
        </w:rPr>
        <w:t> </w:t>
      </w:r>
      <w:r>
        <w:rPr>
          <w:color w:val="231F20"/>
          <w:w w:val="105"/>
          <w:sz w:val="18"/>
        </w:rPr>
        <w:t>and</w:t>
      </w:r>
      <w:r>
        <w:rPr>
          <w:color w:val="231F20"/>
          <w:spacing w:val="-14"/>
          <w:w w:val="105"/>
          <w:sz w:val="18"/>
        </w:rPr>
        <w:t> </w:t>
      </w:r>
      <w:r>
        <w:rPr>
          <w:color w:val="231F20"/>
          <w:w w:val="105"/>
          <w:sz w:val="18"/>
        </w:rPr>
        <w:t>die</w:t>
      </w:r>
      <w:r>
        <w:rPr>
          <w:color w:val="231F20"/>
          <w:spacing w:val="-14"/>
          <w:w w:val="105"/>
          <w:sz w:val="18"/>
        </w:rPr>
        <w:t> </w:t>
      </w:r>
      <w:r>
        <w:rPr>
          <w:color w:val="231F20"/>
          <w:w w:val="105"/>
          <w:sz w:val="18"/>
        </w:rPr>
        <w:t>if</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pH</w:t>
      </w:r>
      <w:r>
        <w:rPr>
          <w:color w:val="231F20"/>
          <w:spacing w:val="-14"/>
          <w:w w:val="105"/>
          <w:sz w:val="18"/>
        </w:rPr>
        <w:t> </w:t>
      </w:r>
      <w:r>
        <w:rPr>
          <w:color w:val="231F20"/>
          <w:w w:val="105"/>
          <w:sz w:val="18"/>
        </w:rPr>
        <w:t>falls</w:t>
      </w:r>
      <w:r>
        <w:rPr>
          <w:color w:val="231F20"/>
          <w:spacing w:val="-13"/>
          <w:w w:val="105"/>
          <w:sz w:val="18"/>
        </w:rPr>
        <w:t> </w:t>
      </w:r>
      <w:r>
        <w:rPr>
          <w:color w:val="231F20"/>
          <w:w w:val="105"/>
          <w:sz w:val="18"/>
        </w:rPr>
        <w:t>below about</w:t>
      </w:r>
      <w:r>
        <w:rPr>
          <w:color w:val="231F20"/>
          <w:spacing w:val="3"/>
          <w:w w:val="105"/>
          <w:sz w:val="18"/>
        </w:rPr>
        <w:t> </w:t>
      </w:r>
      <w:r>
        <w:rPr>
          <w:color w:val="231F20"/>
          <w:w w:val="105"/>
          <w:sz w:val="18"/>
        </w:rPr>
        <w:t>6.8.</w:t>
      </w:r>
    </w:p>
    <w:p>
      <w:pPr>
        <w:spacing w:line="256" w:lineRule="auto" w:before="18"/>
        <w:ind w:left="499" w:right="1257" w:firstLine="240"/>
        <w:jc w:val="both"/>
        <w:rPr>
          <w:sz w:val="18"/>
        </w:rPr>
      </w:pPr>
      <w:r>
        <w:rPr>
          <w:rFonts w:ascii="Trebuchet MS"/>
          <w:b/>
          <w:color w:val="231F20"/>
          <w:w w:val="105"/>
          <w:sz w:val="16"/>
        </w:rPr>
        <w:t>Anemia</w:t>
      </w:r>
      <w:r>
        <w:rPr>
          <w:rFonts w:ascii="Trebuchet MS"/>
          <w:b/>
          <w:color w:val="231F20"/>
          <w:spacing w:val="-40"/>
          <w:w w:val="105"/>
          <w:sz w:val="16"/>
        </w:rPr>
        <w:t> </w:t>
      </w:r>
      <w:r>
        <w:rPr>
          <w:rFonts w:ascii="Trebuchet MS"/>
          <w:b/>
          <w:color w:val="231F20"/>
          <w:w w:val="105"/>
          <w:sz w:val="16"/>
        </w:rPr>
        <w:t>in</w:t>
      </w:r>
      <w:r>
        <w:rPr>
          <w:rFonts w:ascii="Trebuchet MS"/>
          <w:b/>
          <w:color w:val="231F20"/>
          <w:spacing w:val="-39"/>
          <w:w w:val="105"/>
          <w:sz w:val="16"/>
        </w:rPr>
        <w:t> </w:t>
      </w:r>
      <w:r>
        <w:rPr>
          <w:rFonts w:ascii="Trebuchet MS"/>
          <w:b/>
          <w:color w:val="231F20"/>
          <w:w w:val="105"/>
          <w:sz w:val="16"/>
        </w:rPr>
        <w:t>Chronic</w:t>
      </w:r>
      <w:r>
        <w:rPr>
          <w:rFonts w:ascii="Trebuchet MS"/>
          <w:b/>
          <w:color w:val="231F20"/>
          <w:spacing w:val="-39"/>
          <w:w w:val="105"/>
          <w:sz w:val="16"/>
        </w:rPr>
        <w:t> </w:t>
      </w:r>
      <w:r>
        <w:rPr>
          <w:rFonts w:ascii="Trebuchet MS"/>
          <w:b/>
          <w:color w:val="231F20"/>
          <w:w w:val="105"/>
          <w:sz w:val="16"/>
        </w:rPr>
        <w:t>Kidney</w:t>
      </w:r>
      <w:r>
        <w:rPr>
          <w:rFonts w:ascii="Trebuchet MS"/>
          <w:b/>
          <w:color w:val="231F20"/>
          <w:spacing w:val="-39"/>
          <w:w w:val="105"/>
          <w:sz w:val="16"/>
        </w:rPr>
        <w:t> </w:t>
      </w:r>
      <w:r>
        <w:rPr>
          <w:rFonts w:ascii="Trebuchet MS"/>
          <w:b/>
          <w:color w:val="231F20"/>
          <w:w w:val="105"/>
          <w:sz w:val="16"/>
        </w:rPr>
        <w:t>Disease</w:t>
      </w:r>
      <w:r>
        <w:rPr>
          <w:rFonts w:ascii="Trebuchet MS"/>
          <w:b/>
          <w:color w:val="231F20"/>
          <w:spacing w:val="-39"/>
          <w:w w:val="105"/>
          <w:sz w:val="16"/>
        </w:rPr>
        <w:t> </w:t>
      </w:r>
      <w:r>
        <w:rPr>
          <w:rFonts w:ascii="Trebuchet MS"/>
          <w:b/>
          <w:color w:val="231F20"/>
          <w:w w:val="105"/>
          <w:sz w:val="16"/>
        </w:rPr>
        <w:t>Caused</w:t>
      </w:r>
      <w:r>
        <w:rPr>
          <w:rFonts w:ascii="Trebuchet MS"/>
          <w:b/>
          <w:color w:val="231F20"/>
          <w:spacing w:val="-39"/>
          <w:w w:val="105"/>
          <w:sz w:val="16"/>
        </w:rPr>
        <w:t> </w:t>
      </w:r>
      <w:r>
        <w:rPr>
          <w:rFonts w:ascii="Trebuchet MS"/>
          <w:b/>
          <w:color w:val="231F20"/>
          <w:w w:val="105"/>
          <w:sz w:val="16"/>
        </w:rPr>
        <w:t>by</w:t>
      </w:r>
      <w:r>
        <w:rPr>
          <w:rFonts w:ascii="Trebuchet MS"/>
          <w:b/>
          <w:color w:val="231F20"/>
          <w:spacing w:val="-40"/>
          <w:w w:val="105"/>
          <w:sz w:val="16"/>
        </w:rPr>
        <w:t> </w:t>
      </w:r>
      <w:r>
        <w:rPr>
          <w:rFonts w:ascii="Trebuchet MS"/>
          <w:b/>
          <w:color w:val="231F20"/>
          <w:spacing w:val="-3"/>
          <w:w w:val="105"/>
          <w:sz w:val="16"/>
        </w:rPr>
        <w:t>Decreased </w:t>
      </w:r>
      <w:r>
        <w:rPr>
          <w:rFonts w:ascii="Trebuchet MS"/>
          <w:b/>
          <w:color w:val="231F20"/>
          <w:sz w:val="16"/>
        </w:rPr>
        <w:t>Erythropoietin Secretion. </w:t>
      </w:r>
      <w:r>
        <w:rPr>
          <w:color w:val="231F20"/>
          <w:sz w:val="18"/>
        </w:rPr>
        <w:t>Anemia almost always develops </w:t>
      </w:r>
      <w:r>
        <w:rPr>
          <w:color w:val="231F20"/>
          <w:w w:val="105"/>
          <w:sz w:val="18"/>
        </w:rPr>
        <w:t>in</w:t>
      </w:r>
      <w:r>
        <w:rPr>
          <w:color w:val="231F20"/>
          <w:spacing w:val="-10"/>
          <w:w w:val="105"/>
          <w:sz w:val="18"/>
        </w:rPr>
        <w:t> </w:t>
      </w:r>
      <w:r>
        <w:rPr>
          <w:color w:val="231F20"/>
          <w:w w:val="105"/>
          <w:sz w:val="18"/>
        </w:rPr>
        <w:t>patients</w:t>
      </w:r>
      <w:r>
        <w:rPr>
          <w:color w:val="231F20"/>
          <w:spacing w:val="-10"/>
          <w:w w:val="105"/>
          <w:sz w:val="18"/>
        </w:rPr>
        <w:t> </w:t>
      </w:r>
      <w:r>
        <w:rPr>
          <w:color w:val="231F20"/>
          <w:w w:val="105"/>
          <w:sz w:val="18"/>
        </w:rPr>
        <w:t>with</w:t>
      </w:r>
      <w:r>
        <w:rPr>
          <w:color w:val="231F20"/>
          <w:spacing w:val="-9"/>
          <w:w w:val="105"/>
          <w:sz w:val="18"/>
        </w:rPr>
        <w:t> </w:t>
      </w:r>
      <w:r>
        <w:rPr>
          <w:color w:val="231F20"/>
          <w:w w:val="105"/>
          <w:sz w:val="18"/>
        </w:rPr>
        <w:t>severe</w:t>
      </w:r>
      <w:r>
        <w:rPr>
          <w:color w:val="231F20"/>
          <w:spacing w:val="-10"/>
          <w:w w:val="105"/>
          <w:sz w:val="18"/>
        </w:rPr>
        <w:t> </w:t>
      </w:r>
      <w:r>
        <w:rPr>
          <w:color w:val="231F20"/>
          <w:w w:val="105"/>
          <w:sz w:val="18"/>
        </w:rPr>
        <w:t>CKD</w:t>
      </w:r>
      <w:r>
        <w:rPr>
          <w:i/>
          <w:color w:val="231F20"/>
          <w:w w:val="105"/>
          <w:sz w:val="18"/>
        </w:rPr>
        <w:t>.</w:t>
      </w:r>
      <w:r>
        <w:rPr>
          <w:i/>
          <w:color w:val="231F20"/>
          <w:spacing w:val="-10"/>
          <w:w w:val="105"/>
          <w:sz w:val="18"/>
        </w:rPr>
        <w:t> </w:t>
      </w:r>
      <w:r>
        <w:rPr>
          <w:color w:val="231F20"/>
          <w:w w:val="105"/>
          <w:sz w:val="18"/>
        </w:rPr>
        <w:t>The</w:t>
      </w:r>
      <w:r>
        <w:rPr>
          <w:color w:val="231F20"/>
          <w:spacing w:val="-9"/>
          <w:w w:val="105"/>
          <w:sz w:val="18"/>
        </w:rPr>
        <w:t> </w:t>
      </w:r>
      <w:r>
        <w:rPr>
          <w:color w:val="231F20"/>
          <w:w w:val="105"/>
          <w:sz w:val="18"/>
        </w:rPr>
        <w:t>most</w:t>
      </w:r>
      <w:r>
        <w:rPr>
          <w:color w:val="231F20"/>
          <w:spacing w:val="-10"/>
          <w:w w:val="105"/>
          <w:sz w:val="18"/>
        </w:rPr>
        <w:t> </w:t>
      </w:r>
      <w:r>
        <w:rPr>
          <w:color w:val="231F20"/>
          <w:w w:val="105"/>
          <w:sz w:val="18"/>
        </w:rPr>
        <w:t>important</w:t>
      </w:r>
      <w:r>
        <w:rPr>
          <w:color w:val="231F20"/>
          <w:spacing w:val="-10"/>
          <w:w w:val="105"/>
          <w:sz w:val="18"/>
        </w:rPr>
        <w:t> </w:t>
      </w:r>
      <w:r>
        <w:rPr>
          <w:color w:val="231F20"/>
          <w:w w:val="105"/>
          <w:sz w:val="18"/>
        </w:rPr>
        <w:t>cause</w:t>
      </w:r>
      <w:r>
        <w:rPr>
          <w:color w:val="231F20"/>
          <w:spacing w:val="-9"/>
          <w:w w:val="105"/>
          <w:sz w:val="18"/>
        </w:rPr>
        <w:t> </w:t>
      </w:r>
      <w:r>
        <w:rPr>
          <w:color w:val="231F20"/>
          <w:w w:val="105"/>
          <w:sz w:val="18"/>
        </w:rPr>
        <w:t>of this</w:t>
      </w:r>
      <w:r>
        <w:rPr>
          <w:color w:val="231F20"/>
          <w:spacing w:val="-9"/>
          <w:w w:val="105"/>
          <w:sz w:val="18"/>
        </w:rPr>
        <w:t> </w:t>
      </w:r>
      <w:r>
        <w:rPr>
          <w:color w:val="231F20"/>
          <w:w w:val="105"/>
          <w:sz w:val="18"/>
        </w:rPr>
        <w:t>anemia</w:t>
      </w:r>
      <w:r>
        <w:rPr>
          <w:color w:val="231F20"/>
          <w:spacing w:val="-8"/>
          <w:w w:val="105"/>
          <w:sz w:val="18"/>
        </w:rPr>
        <w:t> </w:t>
      </w:r>
      <w:r>
        <w:rPr>
          <w:color w:val="231F20"/>
          <w:w w:val="105"/>
          <w:sz w:val="18"/>
        </w:rPr>
        <w:t>is</w:t>
      </w:r>
      <w:r>
        <w:rPr>
          <w:color w:val="231F20"/>
          <w:spacing w:val="-8"/>
          <w:w w:val="105"/>
          <w:sz w:val="18"/>
        </w:rPr>
        <w:t> </w:t>
      </w:r>
      <w:r>
        <w:rPr>
          <w:color w:val="231F20"/>
          <w:w w:val="105"/>
          <w:sz w:val="18"/>
        </w:rPr>
        <w:t>decreased</w:t>
      </w:r>
      <w:r>
        <w:rPr>
          <w:color w:val="231F20"/>
          <w:spacing w:val="-9"/>
          <w:w w:val="105"/>
          <w:sz w:val="18"/>
        </w:rPr>
        <w:t> </w:t>
      </w:r>
      <w:r>
        <w:rPr>
          <w:color w:val="231F20"/>
          <w:w w:val="105"/>
          <w:sz w:val="18"/>
        </w:rPr>
        <w:t>renal</w:t>
      </w:r>
      <w:r>
        <w:rPr>
          <w:color w:val="231F20"/>
          <w:spacing w:val="-8"/>
          <w:w w:val="105"/>
          <w:sz w:val="18"/>
        </w:rPr>
        <w:t> </w:t>
      </w:r>
      <w:r>
        <w:rPr>
          <w:color w:val="231F20"/>
          <w:w w:val="105"/>
          <w:sz w:val="18"/>
        </w:rPr>
        <w:t>secretion</w:t>
      </w:r>
      <w:r>
        <w:rPr>
          <w:color w:val="231F20"/>
          <w:spacing w:val="-8"/>
          <w:w w:val="105"/>
          <w:sz w:val="18"/>
        </w:rPr>
        <w:t> </w:t>
      </w:r>
      <w:r>
        <w:rPr>
          <w:color w:val="231F20"/>
          <w:w w:val="105"/>
          <w:sz w:val="18"/>
        </w:rPr>
        <w:t>of</w:t>
      </w:r>
      <w:r>
        <w:rPr>
          <w:color w:val="231F20"/>
          <w:spacing w:val="-8"/>
          <w:w w:val="105"/>
          <w:sz w:val="18"/>
        </w:rPr>
        <w:t> </w:t>
      </w:r>
      <w:r>
        <w:rPr>
          <w:i/>
          <w:color w:val="231F20"/>
          <w:w w:val="105"/>
          <w:sz w:val="18"/>
        </w:rPr>
        <w:t>erythropoietin, </w:t>
      </w:r>
      <w:r>
        <w:rPr>
          <w:color w:val="231F20"/>
          <w:w w:val="105"/>
          <w:sz w:val="18"/>
        </w:rPr>
        <w:t>which stimulates the bone marrow to produce red blood cells.</w:t>
      </w:r>
      <w:r>
        <w:rPr>
          <w:color w:val="231F20"/>
          <w:spacing w:val="-18"/>
          <w:w w:val="105"/>
          <w:sz w:val="18"/>
        </w:rPr>
        <w:t> </w:t>
      </w:r>
      <w:r>
        <w:rPr>
          <w:color w:val="231F20"/>
          <w:w w:val="105"/>
          <w:sz w:val="18"/>
        </w:rPr>
        <w:t>If</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kidneys</w:t>
      </w:r>
      <w:r>
        <w:rPr>
          <w:color w:val="231F20"/>
          <w:spacing w:val="-17"/>
          <w:w w:val="105"/>
          <w:sz w:val="18"/>
        </w:rPr>
        <w:t> </w:t>
      </w:r>
      <w:r>
        <w:rPr>
          <w:color w:val="231F20"/>
          <w:w w:val="105"/>
          <w:sz w:val="18"/>
        </w:rPr>
        <w:t>are</w:t>
      </w:r>
      <w:r>
        <w:rPr>
          <w:color w:val="231F20"/>
          <w:spacing w:val="-17"/>
          <w:w w:val="105"/>
          <w:sz w:val="18"/>
        </w:rPr>
        <w:t> </w:t>
      </w:r>
      <w:r>
        <w:rPr>
          <w:color w:val="231F20"/>
          <w:w w:val="105"/>
          <w:sz w:val="18"/>
        </w:rPr>
        <w:t>seriously</w:t>
      </w:r>
      <w:r>
        <w:rPr>
          <w:color w:val="231F20"/>
          <w:spacing w:val="-17"/>
          <w:w w:val="105"/>
          <w:sz w:val="18"/>
        </w:rPr>
        <w:t> </w:t>
      </w:r>
      <w:r>
        <w:rPr>
          <w:color w:val="231F20"/>
          <w:w w:val="105"/>
          <w:sz w:val="18"/>
        </w:rPr>
        <w:t>damaged,</w:t>
      </w:r>
      <w:r>
        <w:rPr>
          <w:color w:val="231F20"/>
          <w:spacing w:val="-17"/>
          <w:w w:val="105"/>
          <w:sz w:val="18"/>
        </w:rPr>
        <w:t> </w:t>
      </w:r>
      <w:r>
        <w:rPr>
          <w:color w:val="231F20"/>
          <w:w w:val="105"/>
          <w:sz w:val="18"/>
        </w:rPr>
        <w:t>they</w:t>
      </w:r>
      <w:r>
        <w:rPr>
          <w:color w:val="231F20"/>
          <w:spacing w:val="-17"/>
          <w:w w:val="105"/>
          <w:sz w:val="18"/>
        </w:rPr>
        <w:t> </w:t>
      </w:r>
      <w:r>
        <w:rPr>
          <w:color w:val="231F20"/>
          <w:w w:val="105"/>
          <w:sz w:val="18"/>
        </w:rPr>
        <w:t>are</w:t>
      </w:r>
      <w:r>
        <w:rPr>
          <w:color w:val="231F20"/>
          <w:spacing w:val="-17"/>
          <w:w w:val="105"/>
          <w:sz w:val="18"/>
        </w:rPr>
        <w:t> </w:t>
      </w:r>
      <w:r>
        <w:rPr>
          <w:color w:val="231F20"/>
          <w:w w:val="105"/>
          <w:sz w:val="18"/>
        </w:rPr>
        <w:t>unable to</w:t>
      </w:r>
      <w:r>
        <w:rPr>
          <w:color w:val="231F20"/>
          <w:spacing w:val="-10"/>
          <w:w w:val="105"/>
          <w:sz w:val="18"/>
        </w:rPr>
        <w:t> </w:t>
      </w:r>
      <w:r>
        <w:rPr>
          <w:color w:val="231F20"/>
          <w:w w:val="105"/>
          <w:sz w:val="18"/>
        </w:rPr>
        <w:t>form</w:t>
      </w:r>
      <w:r>
        <w:rPr>
          <w:color w:val="231F20"/>
          <w:spacing w:val="-9"/>
          <w:w w:val="105"/>
          <w:sz w:val="18"/>
        </w:rPr>
        <w:t> </w:t>
      </w:r>
      <w:r>
        <w:rPr>
          <w:color w:val="231F20"/>
          <w:w w:val="105"/>
          <w:sz w:val="18"/>
        </w:rPr>
        <w:t>adequate</w:t>
      </w:r>
      <w:r>
        <w:rPr>
          <w:color w:val="231F20"/>
          <w:spacing w:val="-9"/>
          <w:w w:val="105"/>
          <w:sz w:val="18"/>
        </w:rPr>
        <w:t> </w:t>
      </w:r>
      <w:r>
        <w:rPr>
          <w:color w:val="231F20"/>
          <w:w w:val="105"/>
          <w:sz w:val="18"/>
        </w:rPr>
        <w:t>quantities</w:t>
      </w:r>
      <w:r>
        <w:rPr>
          <w:color w:val="231F20"/>
          <w:spacing w:val="-9"/>
          <w:w w:val="105"/>
          <w:sz w:val="18"/>
        </w:rPr>
        <w:t> </w:t>
      </w:r>
      <w:r>
        <w:rPr>
          <w:color w:val="231F20"/>
          <w:w w:val="105"/>
          <w:sz w:val="18"/>
        </w:rPr>
        <w:t>of</w:t>
      </w:r>
      <w:r>
        <w:rPr>
          <w:color w:val="231F20"/>
          <w:spacing w:val="-9"/>
          <w:w w:val="105"/>
          <w:sz w:val="18"/>
        </w:rPr>
        <w:t> </w:t>
      </w:r>
      <w:r>
        <w:rPr>
          <w:color w:val="231F20"/>
          <w:w w:val="105"/>
          <w:sz w:val="18"/>
        </w:rPr>
        <w:t>erythropoietin,</w:t>
      </w:r>
      <w:r>
        <w:rPr>
          <w:color w:val="231F20"/>
          <w:spacing w:val="-9"/>
          <w:w w:val="105"/>
          <w:sz w:val="18"/>
        </w:rPr>
        <w:t> </w:t>
      </w:r>
      <w:r>
        <w:rPr>
          <w:color w:val="231F20"/>
          <w:w w:val="105"/>
          <w:sz w:val="18"/>
        </w:rPr>
        <w:t>which</w:t>
      </w:r>
      <w:r>
        <w:rPr>
          <w:color w:val="231F20"/>
          <w:spacing w:val="-9"/>
          <w:w w:val="105"/>
          <w:sz w:val="18"/>
        </w:rPr>
        <w:t> </w:t>
      </w:r>
      <w:r>
        <w:rPr>
          <w:color w:val="231F20"/>
          <w:w w:val="105"/>
          <w:sz w:val="18"/>
        </w:rPr>
        <w:t>leads to diminished red blood cell production and consequent anemia.</w:t>
      </w:r>
    </w:p>
    <w:p>
      <w:pPr>
        <w:spacing w:line="254" w:lineRule="auto" w:before="0"/>
        <w:ind w:left="499" w:right="1258" w:firstLine="239"/>
        <w:jc w:val="both"/>
        <w:rPr>
          <w:sz w:val="18"/>
        </w:rPr>
      </w:pPr>
      <w:r>
        <w:rPr>
          <w:color w:val="231F20"/>
          <w:w w:val="105"/>
          <w:sz w:val="18"/>
        </w:rPr>
        <w:t>The</w:t>
      </w:r>
      <w:r>
        <w:rPr>
          <w:color w:val="231F20"/>
          <w:spacing w:val="-12"/>
          <w:w w:val="105"/>
          <w:sz w:val="18"/>
        </w:rPr>
        <w:t> </w:t>
      </w:r>
      <w:r>
        <w:rPr>
          <w:color w:val="231F20"/>
          <w:w w:val="105"/>
          <w:sz w:val="18"/>
        </w:rPr>
        <w:t>availability</w:t>
      </w:r>
      <w:r>
        <w:rPr>
          <w:color w:val="231F20"/>
          <w:spacing w:val="-12"/>
          <w:w w:val="105"/>
          <w:sz w:val="18"/>
        </w:rPr>
        <w:t> </w:t>
      </w:r>
      <w:r>
        <w:rPr>
          <w:color w:val="231F20"/>
          <w:w w:val="105"/>
          <w:sz w:val="18"/>
        </w:rPr>
        <w:t>since</w:t>
      </w:r>
      <w:r>
        <w:rPr>
          <w:color w:val="231F20"/>
          <w:spacing w:val="-12"/>
          <w:w w:val="105"/>
          <w:sz w:val="18"/>
        </w:rPr>
        <w:t> </w:t>
      </w:r>
      <w:r>
        <w:rPr>
          <w:color w:val="231F20"/>
          <w:w w:val="105"/>
          <w:sz w:val="18"/>
        </w:rPr>
        <w:t>1989</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recombinant</w:t>
      </w:r>
      <w:r>
        <w:rPr>
          <w:color w:val="231F20"/>
          <w:spacing w:val="-12"/>
          <w:w w:val="105"/>
          <w:sz w:val="18"/>
        </w:rPr>
        <w:t> </w:t>
      </w:r>
      <w:r>
        <w:rPr>
          <w:color w:val="231F20"/>
          <w:w w:val="105"/>
          <w:sz w:val="18"/>
        </w:rPr>
        <w:t>erythropoi­ etin,</w:t>
      </w:r>
      <w:r>
        <w:rPr>
          <w:color w:val="231F20"/>
          <w:spacing w:val="-6"/>
          <w:w w:val="105"/>
          <w:sz w:val="18"/>
        </w:rPr>
        <w:t> </w:t>
      </w:r>
      <w:r>
        <w:rPr>
          <w:color w:val="231F20"/>
          <w:w w:val="105"/>
          <w:sz w:val="18"/>
        </w:rPr>
        <w:t>however,</w:t>
      </w:r>
      <w:r>
        <w:rPr>
          <w:color w:val="231F20"/>
          <w:spacing w:val="-6"/>
          <w:w w:val="105"/>
          <w:sz w:val="18"/>
        </w:rPr>
        <w:t> </w:t>
      </w:r>
      <w:r>
        <w:rPr>
          <w:color w:val="231F20"/>
          <w:w w:val="105"/>
          <w:sz w:val="18"/>
        </w:rPr>
        <w:t>has</w:t>
      </w:r>
      <w:r>
        <w:rPr>
          <w:color w:val="231F20"/>
          <w:spacing w:val="-6"/>
          <w:w w:val="105"/>
          <w:sz w:val="18"/>
        </w:rPr>
        <w:t> </w:t>
      </w:r>
      <w:r>
        <w:rPr>
          <w:color w:val="231F20"/>
          <w:w w:val="105"/>
          <w:sz w:val="18"/>
        </w:rPr>
        <w:t>provided</w:t>
      </w:r>
      <w:r>
        <w:rPr>
          <w:color w:val="231F20"/>
          <w:spacing w:val="-6"/>
          <w:w w:val="105"/>
          <w:sz w:val="18"/>
        </w:rPr>
        <w:t> </w:t>
      </w:r>
      <w:r>
        <w:rPr>
          <w:color w:val="231F20"/>
          <w:w w:val="105"/>
          <w:sz w:val="18"/>
        </w:rPr>
        <w:t>a</w:t>
      </w:r>
      <w:r>
        <w:rPr>
          <w:color w:val="231F20"/>
          <w:spacing w:val="-6"/>
          <w:w w:val="105"/>
          <w:sz w:val="18"/>
        </w:rPr>
        <w:t> </w:t>
      </w:r>
      <w:r>
        <w:rPr>
          <w:color w:val="231F20"/>
          <w:w w:val="105"/>
          <w:sz w:val="18"/>
        </w:rPr>
        <w:t>means</w:t>
      </w:r>
      <w:r>
        <w:rPr>
          <w:color w:val="231F20"/>
          <w:spacing w:val="-6"/>
          <w:w w:val="105"/>
          <w:sz w:val="18"/>
        </w:rPr>
        <w:t> </w:t>
      </w:r>
      <w:r>
        <w:rPr>
          <w:color w:val="231F20"/>
          <w:w w:val="105"/>
          <w:sz w:val="18"/>
        </w:rPr>
        <w:t>of</w:t>
      </w:r>
      <w:r>
        <w:rPr>
          <w:color w:val="231F20"/>
          <w:spacing w:val="-6"/>
          <w:w w:val="105"/>
          <w:sz w:val="18"/>
        </w:rPr>
        <w:t> </w:t>
      </w:r>
      <w:r>
        <w:rPr>
          <w:color w:val="231F20"/>
          <w:w w:val="105"/>
          <w:sz w:val="18"/>
        </w:rPr>
        <w:t>treating</w:t>
      </w:r>
      <w:r>
        <w:rPr>
          <w:color w:val="231F20"/>
          <w:spacing w:val="-5"/>
          <w:w w:val="105"/>
          <w:sz w:val="18"/>
        </w:rPr>
        <w:t> </w:t>
      </w:r>
      <w:r>
        <w:rPr>
          <w:color w:val="231F20"/>
          <w:w w:val="105"/>
          <w:sz w:val="18"/>
        </w:rPr>
        <w:t>anemia</w:t>
      </w:r>
      <w:r>
        <w:rPr>
          <w:color w:val="231F20"/>
          <w:spacing w:val="-6"/>
          <w:w w:val="105"/>
          <w:sz w:val="18"/>
        </w:rPr>
        <w:t> in </w:t>
      </w:r>
      <w:r>
        <w:rPr>
          <w:color w:val="231F20"/>
          <w:w w:val="105"/>
          <w:sz w:val="18"/>
        </w:rPr>
        <w:t>patients with chronic renal</w:t>
      </w:r>
      <w:r>
        <w:rPr>
          <w:color w:val="231F20"/>
          <w:spacing w:val="9"/>
          <w:w w:val="105"/>
          <w:sz w:val="18"/>
        </w:rPr>
        <w:t> </w:t>
      </w:r>
      <w:r>
        <w:rPr>
          <w:color w:val="231F20"/>
          <w:w w:val="105"/>
          <w:sz w:val="18"/>
        </w:rPr>
        <w:t>failure.</w:t>
      </w:r>
    </w:p>
    <w:p>
      <w:pPr>
        <w:spacing w:line="261" w:lineRule="auto" w:before="12"/>
        <w:ind w:left="499" w:right="1257" w:firstLine="240"/>
        <w:jc w:val="both"/>
        <w:rPr>
          <w:sz w:val="18"/>
        </w:rPr>
      </w:pPr>
      <w:r>
        <w:rPr>
          <w:rFonts w:ascii="Trebuchet MS" w:hAnsi="Trebuchet MS"/>
          <w:b/>
          <w:color w:val="231F20"/>
          <w:sz w:val="16"/>
        </w:rPr>
        <w:t>Osteomalacia in Chronic Kidney Disease Caused </w:t>
      </w:r>
      <w:r>
        <w:rPr>
          <w:rFonts w:ascii="Trebuchet MS" w:hAnsi="Trebuchet MS"/>
          <w:b/>
          <w:color w:val="231F20"/>
          <w:spacing w:val="-6"/>
          <w:sz w:val="16"/>
        </w:rPr>
        <w:t>by </w:t>
      </w:r>
      <w:r>
        <w:rPr>
          <w:rFonts w:ascii="Trebuchet MS" w:hAnsi="Trebuchet MS"/>
          <w:b/>
          <w:color w:val="231F20"/>
          <w:sz w:val="16"/>
        </w:rPr>
        <w:t>Decreased Production of Active Vitamin D and by Phos- phate Retention by the Kidneys. </w:t>
      </w:r>
      <w:r>
        <w:rPr>
          <w:color w:val="231F20"/>
          <w:sz w:val="18"/>
        </w:rPr>
        <w:t>Prolonged CKD </w:t>
      </w:r>
      <w:r>
        <w:rPr>
          <w:color w:val="231F20"/>
          <w:spacing w:val="-3"/>
          <w:sz w:val="18"/>
        </w:rPr>
        <w:t>also </w:t>
      </w:r>
      <w:r>
        <w:rPr>
          <w:color w:val="231F20"/>
          <w:sz w:val="18"/>
        </w:rPr>
        <w:t>causes </w:t>
      </w:r>
      <w:r>
        <w:rPr>
          <w:i/>
          <w:color w:val="231F20"/>
          <w:sz w:val="18"/>
        </w:rPr>
        <w:t>osteomalacia,  </w:t>
      </w:r>
      <w:r>
        <w:rPr>
          <w:color w:val="231F20"/>
          <w:sz w:val="18"/>
        </w:rPr>
        <w:t>a  condition  in  which  the  bones  are partially absorbed and, therefore, become greatly weakened. An important cause of this condition is the following:</w:t>
      </w:r>
      <w:r>
        <w:rPr>
          <w:color w:val="231F20"/>
          <w:spacing w:val="35"/>
          <w:sz w:val="18"/>
        </w:rPr>
        <w:t> </w:t>
      </w:r>
      <w:r>
        <w:rPr>
          <w:color w:val="231F20"/>
          <w:sz w:val="18"/>
        </w:rPr>
        <w:t>Vitamin</w:t>
      </w:r>
      <w:r>
        <w:rPr>
          <w:color w:val="231F20"/>
          <w:spacing w:val="35"/>
          <w:sz w:val="18"/>
        </w:rPr>
        <w:t> </w:t>
      </w:r>
      <w:r>
        <w:rPr>
          <w:color w:val="231F20"/>
          <w:sz w:val="18"/>
        </w:rPr>
        <w:t>D</w:t>
      </w:r>
      <w:r>
        <w:rPr>
          <w:color w:val="231F20"/>
          <w:spacing w:val="36"/>
          <w:sz w:val="18"/>
        </w:rPr>
        <w:t> </w:t>
      </w:r>
      <w:r>
        <w:rPr>
          <w:color w:val="231F20"/>
          <w:sz w:val="18"/>
        </w:rPr>
        <w:t>must</w:t>
      </w:r>
      <w:r>
        <w:rPr>
          <w:color w:val="231F20"/>
          <w:spacing w:val="35"/>
          <w:sz w:val="18"/>
        </w:rPr>
        <w:t> </w:t>
      </w:r>
      <w:r>
        <w:rPr>
          <w:color w:val="231F20"/>
          <w:sz w:val="18"/>
        </w:rPr>
        <w:t>be</w:t>
      </w:r>
      <w:r>
        <w:rPr>
          <w:color w:val="231F20"/>
          <w:spacing w:val="36"/>
          <w:sz w:val="18"/>
        </w:rPr>
        <w:t> </w:t>
      </w:r>
      <w:r>
        <w:rPr>
          <w:color w:val="231F20"/>
          <w:sz w:val="18"/>
        </w:rPr>
        <w:t>converted</w:t>
      </w:r>
      <w:r>
        <w:rPr>
          <w:color w:val="231F20"/>
          <w:spacing w:val="35"/>
          <w:sz w:val="18"/>
        </w:rPr>
        <w:t> </w:t>
      </w:r>
      <w:r>
        <w:rPr>
          <w:color w:val="231F20"/>
          <w:sz w:val="18"/>
        </w:rPr>
        <w:t>by</w:t>
      </w:r>
      <w:r>
        <w:rPr>
          <w:color w:val="231F20"/>
          <w:spacing w:val="36"/>
          <w:sz w:val="18"/>
        </w:rPr>
        <w:t> </w:t>
      </w:r>
      <w:r>
        <w:rPr>
          <w:color w:val="231F20"/>
          <w:sz w:val="18"/>
        </w:rPr>
        <w:t>a</w:t>
      </w:r>
      <w:r>
        <w:rPr>
          <w:color w:val="231F20"/>
          <w:spacing w:val="35"/>
          <w:sz w:val="18"/>
        </w:rPr>
        <w:t> </w:t>
      </w:r>
      <w:r>
        <w:rPr>
          <w:color w:val="231F20"/>
          <w:sz w:val="18"/>
        </w:rPr>
        <w:t>two­stage</w:t>
      </w:r>
    </w:p>
    <w:p>
      <w:pPr>
        <w:spacing w:line="254" w:lineRule="auto" w:before="0"/>
        <w:ind w:left="499" w:right="1257" w:firstLine="0"/>
        <w:jc w:val="both"/>
        <w:rPr>
          <w:sz w:val="18"/>
        </w:rPr>
      </w:pPr>
      <w:r>
        <w:rPr>
          <w:color w:val="231F20"/>
          <w:sz w:val="18"/>
        </w:rPr>
        <w:t>process, first in the liver and then in the kidneys, into 1,25­dihydroxycholecalciferol before it is able to promote calcium absorption from the intestine. Therefore, serious damage to the kidney greatly reduces the blood concentra­ tion of </w:t>
      </w:r>
      <w:r>
        <w:rPr>
          <w:i/>
          <w:color w:val="231F20"/>
          <w:sz w:val="18"/>
        </w:rPr>
        <w:t>active </w:t>
      </w:r>
      <w:r>
        <w:rPr>
          <w:color w:val="231F20"/>
          <w:sz w:val="18"/>
        </w:rPr>
        <w:t>vitamin </w:t>
      </w:r>
      <w:r>
        <w:rPr>
          <w:color w:val="231F20"/>
          <w:spacing w:val="-3"/>
          <w:sz w:val="18"/>
        </w:rPr>
        <w:t>D, </w:t>
      </w:r>
      <w:r>
        <w:rPr>
          <w:color w:val="231F20"/>
          <w:sz w:val="18"/>
        </w:rPr>
        <w:t>which in turn decreases intestinal absorption of calcium and the availability of calcium to   the</w:t>
      </w:r>
      <w:r>
        <w:rPr>
          <w:color w:val="231F20"/>
          <w:spacing w:val="6"/>
          <w:sz w:val="18"/>
        </w:rPr>
        <w:t> </w:t>
      </w:r>
      <w:r>
        <w:rPr>
          <w:color w:val="231F20"/>
          <w:sz w:val="18"/>
        </w:rPr>
        <w:t>bones.</w:t>
      </w:r>
    </w:p>
    <w:p>
      <w:pPr>
        <w:spacing w:line="254" w:lineRule="auto" w:before="0"/>
        <w:ind w:left="499" w:right="1257" w:firstLine="239"/>
        <w:jc w:val="both"/>
        <w:rPr>
          <w:sz w:val="18"/>
        </w:rPr>
      </w:pPr>
      <w:r>
        <w:rPr>
          <w:color w:val="231F20"/>
          <w:w w:val="105"/>
          <w:sz w:val="18"/>
        </w:rPr>
        <w:t>Another important cause of demineralization of the skeleton</w:t>
      </w:r>
      <w:r>
        <w:rPr>
          <w:color w:val="231F20"/>
          <w:spacing w:val="-11"/>
          <w:w w:val="105"/>
          <w:sz w:val="18"/>
        </w:rPr>
        <w:t> </w:t>
      </w:r>
      <w:r>
        <w:rPr>
          <w:color w:val="231F20"/>
          <w:w w:val="105"/>
          <w:sz w:val="18"/>
        </w:rPr>
        <w:t>in</w:t>
      </w:r>
      <w:r>
        <w:rPr>
          <w:color w:val="231F20"/>
          <w:spacing w:val="-11"/>
          <w:w w:val="105"/>
          <w:sz w:val="18"/>
        </w:rPr>
        <w:t> </w:t>
      </w:r>
      <w:r>
        <w:rPr>
          <w:color w:val="231F20"/>
          <w:w w:val="105"/>
          <w:sz w:val="18"/>
        </w:rPr>
        <w:t>CKD</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rise</w:t>
      </w:r>
      <w:r>
        <w:rPr>
          <w:color w:val="231F20"/>
          <w:spacing w:val="-11"/>
          <w:w w:val="105"/>
          <w:sz w:val="18"/>
        </w:rPr>
        <w:t> </w:t>
      </w:r>
      <w:r>
        <w:rPr>
          <w:color w:val="231F20"/>
          <w:w w:val="105"/>
          <w:sz w:val="18"/>
        </w:rPr>
        <w:t>in</w:t>
      </w:r>
      <w:r>
        <w:rPr>
          <w:color w:val="231F20"/>
          <w:spacing w:val="-11"/>
          <w:w w:val="105"/>
          <w:sz w:val="18"/>
        </w:rPr>
        <w:t> </w:t>
      </w:r>
      <w:r>
        <w:rPr>
          <w:color w:val="231F20"/>
          <w:w w:val="105"/>
          <w:sz w:val="18"/>
        </w:rPr>
        <w:t>serum</w:t>
      </w:r>
      <w:r>
        <w:rPr>
          <w:color w:val="231F20"/>
          <w:spacing w:val="-11"/>
          <w:w w:val="105"/>
          <w:sz w:val="18"/>
        </w:rPr>
        <w:t> </w:t>
      </w:r>
      <w:r>
        <w:rPr>
          <w:color w:val="231F20"/>
          <w:w w:val="105"/>
          <w:sz w:val="18"/>
        </w:rPr>
        <w:t>phosphate</w:t>
      </w:r>
      <w:r>
        <w:rPr>
          <w:color w:val="231F20"/>
          <w:spacing w:val="-10"/>
          <w:w w:val="105"/>
          <w:sz w:val="18"/>
        </w:rPr>
        <w:t> </w:t>
      </w:r>
      <w:r>
        <w:rPr>
          <w:color w:val="231F20"/>
          <w:w w:val="105"/>
          <w:sz w:val="18"/>
        </w:rPr>
        <w:t>concentra­ tion that occurs as a result of decreased GFR. This rise</w:t>
      </w:r>
      <w:r>
        <w:rPr>
          <w:color w:val="231F20"/>
          <w:spacing w:val="-13"/>
          <w:w w:val="105"/>
          <w:sz w:val="18"/>
        </w:rPr>
        <w:t> </w:t>
      </w:r>
      <w:r>
        <w:rPr>
          <w:color w:val="231F20"/>
          <w:w w:val="105"/>
          <w:sz w:val="18"/>
        </w:rPr>
        <w:t>in serum phosphate increases binding of phosphate</w:t>
      </w:r>
      <w:r>
        <w:rPr>
          <w:color w:val="231F20"/>
          <w:spacing w:val="31"/>
          <w:w w:val="105"/>
          <w:sz w:val="18"/>
        </w:rPr>
        <w:t> </w:t>
      </w:r>
      <w:r>
        <w:rPr>
          <w:color w:val="231F20"/>
          <w:w w:val="105"/>
          <w:sz w:val="18"/>
        </w:rPr>
        <w:t>with calcium in the plasma, thus decreasing the plasma serum </w:t>
      </w:r>
      <w:r>
        <w:rPr>
          <w:i/>
          <w:color w:val="231F20"/>
          <w:w w:val="105"/>
          <w:sz w:val="18"/>
        </w:rPr>
        <w:t>ionized </w:t>
      </w:r>
      <w:r>
        <w:rPr>
          <w:color w:val="231F20"/>
          <w:w w:val="105"/>
          <w:sz w:val="18"/>
        </w:rPr>
        <w:t>calcium concentration, which, in turn, stimulates </w:t>
      </w:r>
      <w:r>
        <w:rPr>
          <w:i/>
          <w:color w:val="231F20"/>
          <w:w w:val="105"/>
          <w:sz w:val="18"/>
        </w:rPr>
        <w:t>parathyroid</w:t>
      </w:r>
      <w:r>
        <w:rPr>
          <w:i/>
          <w:color w:val="231F20"/>
          <w:spacing w:val="-30"/>
          <w:w w:val="105"/>
          <w:sz w:val="18"/>
        </w:rPr>
        <w:t> </w:t>
      </w:r>
      <w:r>
        <w:rPr>
          <w:i/>
          <w:color w:val="231F20"/>
          <w:w w:val="105"/>
          <w:sz w:val="18"/>
        </w:rPr>
        <w:t>hormone</w:t>
      </w:r>
      <w:r>
        <w:rPr>
          <w:i/>
          <w:color w:val="231F20"/>
          <w:spacing w:val="-29"/>
          <w:w w:val="105"/>
          <w:sz w:val="18"/>
        </w:rPr>
        <w:t> </w:t>
      </w:r>
      <w:r>
        <w:rPr>
          <w:color w:val="231F20"/>
          <w:w w:val="105"/>
          <w:sz w:val="18"/>
        </w:rPr>
        <w:t>secretion.</w:t>
      </w:r>
      <w:r>
        <w:rPr>
          <w:color w:val="231F20"/>
          <w:spacing w:val="-29"/>
          <w:w w:val="105"/>
          <w:sz w:val="18"/>
        </w:rPr>
        <w:t> </w:t>
      </w:r>
      <w:r>
        <w:rPr>
          <w:color w:val="231F20"/>
          <w:w w:val="105"/>
          <w:sz w:val="18"/>
        </w:rPr>
        <w:t>This</w:t>
      </w:r>
      <w:r>
        <w:rPr>
          <w:color w:val="231F20"/>
          <w:spacing w:val="-29"/>
          <w:w w:val="105"/>
          <w:sz w:val="18"/>
        </w:rPr>
        <w:t> </w:t>
      </w:r>
      <w:r>
        <w:rPr>
          <w:color w:val="231F20"/>
          <w:w w:val="105"/>
          <w:sz w:val="18"/>
        </w:rPr>
        <w:t>secondary</w:t>
      </w:r>
      <w:r>
        <w:rPr>
          <w:color w:val="231F20"/>
          <w:spacing w:val="-29"/>
          <w:w w:val="105"/>
          <w:sz w:val="18"/>
        </w:rPr>
        <w:t> </w:t>
      </w:r>
      <w:r>
        <w:rPr>
          <w:color w:val="231F20"/>
          <w:w w:val="105"/>
          <w:sz w:val="18"/>
        </w:rPr>
        <w:t>hyperpara­ thyroidism then stimulates the release of calcium from bones, causing further demineralization of the</w:t>
      </w:r>
      <w:r>
        <w:rPr>
          <w:color w:val="231F20"/>
          <w:spacing w:val="-6"/>
          <w:w w:val="105"/>
          <w:sz w:val="18"/>
        </w:rPr>
        <w:t> </w:t>
      </w:r>
      <w:r>
        <w:rPr>
          <w:color w:val="231F20"/>
          <w:w w:val="105"/>
          <w:sz w:val="18"/>
        </w:rPr>
        <w:t>bones.</w:t>
      </w:r>
    </w:p>
    <w:p>
      <w:pPr>
        <w:spacing w:after="0" w:line="254" w:lineRule="auto"/>
        <w:jc w:val="both"/>
        <w:rPr>
          <w:sz w:val="18"/>
        </w:rPr>
        <w:sectPr>
          <w:type w:val="continuous"/>
          <w:pgSz w:w="12240" w:h="15660"/>
          <w:pgMar w:top="0" w:bottom="760" w:left="0" w:right="0"/>
          <w:cols w:num="2" w:equalWidth="0">
            <w:col w:w="6121" w:space="40"/>
            <w:col w:w="6079"/>
          </w:cols>
        </w:sectPr>
      </w:pPr>
    </w:p>
    <w:p>
      <w:pPr>
        <w:pStyle w:val="BodyText"/>
      </w:pPr>
    </w:p>
    <w:p>
      <w:pPr>
        <w:spacing w:after="0"/>
        <w:sectPr>
          <w:headerReference w:type="even" r:id="rId1063"/>
          <w:footerReference w:type="even" r:id="rId1064"/>
          <w:footerReference w:type="default" r:id="rId1065"/>
          <w:pgSz w:w="12240" w:h="15660"/>
          <w:pgMar w:header="0" w:footer="567" w:top="720" w:bottom="760" w:left="0" w:right="0"/>
          <w:pgNumType w:start="438"/>
        </w:sectPr>
      </w:pPr>
    </w:p>
    <w:p>
      <w:pPr>
        <w:pStyle w:val="BodyText"/>
        <w:spacing w:before="7"/>
        <w:rPr>
          <w:sz w:val="18"/>
        </w:rPr>
      </w:pPr>
      <w:r>
        <w:rPr/>
        <w:pict>
          <v:rect style="position:absolute;margin-left:54pt;margin-top:54pt;width:234pt;height:663pt;mso-position-horizontal-relative:page;mso-position-vertical-relative:page;z-index:-272054272" filled="true" fillcolor="#f0eef6" stroked="false">
            <v:fill type="solid"/>
            <w10:wrap type="none"/>
          </v:rect>
        </w:pict>
      </w:r>
      <w:r>
        <w:rPr/>
        <w:pict>
          <v:rect style="position:absolute;margin-left:306pt;margin-top:54pt;width:234pt;height:663pt;mso-position-horizontal-relative:page;mso-position-vertical-relative:page;z-index:-272053248" filled="true" fillcolor="#f0eef6" stroked="false">
            <v:fill type="solid"/>
            <w10:wrap type="none"/>
          </v:rect>
        </w:pict>
      </w:r>
    </w:p>
    <w:p>
      <w:pPr>
        <w:spacing w:before="0"/>
        <w:ind w:left="1260" w:right="0" w:firstLine="0"/>
        <w:jc w:val="both"/>
        <w:rPr>
          <w:rFonts w:ascii="Trebuchet MS"/>
          <w:b/>
          <w:sz w:val="18"/>
        </w:rPr>
      </w:pPr>
      <w:r>
        <w:rPr>
          <w:rFonts w:ascii="Trebuchet MS"/>
          <w:b/>
          <w:color w:val="231F20"/>
          <w:w w:val="105"/>
          <w:sz w:val="18"/>
        </w:rPr>
        <w:t>Hypertension and Kidney Disease</w:t>
      </w:r>
    </w:p>
    <w:p>
      <w:pPr>
        <w:spacing w:line="254" w:lineRule="auto" w:before="92"/>
        <w:ind w:left="1260" w:right="0" w:firstLine="0"/>
        <w:jc w:val="both"/>
        <w:rPr>
          <w:sz w:val="18"/>
        </w:rPr>
      </w:pPr>
      <w:r>
        <w:rPr>
          <w:color w:val="231F20"/>
          <w:sz w:val="18"/>
        </w:rPr>
        <w:t>As discussed earlier in this </w:t>
      </w:r>
      <w:r>
        <w:rPr>
          <w:color w:val="231F20"/>
          <w:spacing w:val="-3"/>
          <w:sz w:val="18"/>
        </w:rPr>
        <w:t>chapter, </w:t>
      </w:r>
      <w:r>
        <w:rPr>
          <w:color w:val="231F20"/>
          <w:sz w:val="18"/>
        </w:rPr>
        <w:t>hypertension can exac­ erbate injury to the glomeruli and blood vessels of </w:t>
      </w:r>
      <w:r>
        <w:rPr>
          <w:color w:val="231F20"/>
          <w:spacing w:val="-5"/>
          <w:sz w:val="18"/>
        </w:rPr>
        <w:t>the </w:t>
      </w:r>
      <w:r>
        <w:rPr>
          <w:color w:val="231F20"/>
          <w:sz w:val="18"/>
        </w:rPr>
        <w:t>kidneys and is a major cause of ESRD. Abnormalities </w:t>
      </w:r>
      <w:r>
        <w:rPr>
          <w:color w:val="231F20"/>
          <w:spacing w:val="-6"/>
          <w:sz w:val="18"/>
        </w:rPr>
        <w:t>of </w:t>
      </w:r>
      <w:r>
        <w:rPr>
          <w:color w:val="231F20"/>
          <w:sz w:val="18"/>
        </w:rPr>
        <w:t>kidney function can also cause hypertension, as discussed in detail in Chapter 19. Thus, the relation between hyper­ tension and kidney disease can, in some instances, propa­ gate a vicious cycle: primary kidney damage leads to increased blood pressure, which causes further damage to the kidneys, further increases in blood pressure, and so forth, until ESRD</w:t>
      </w:r>
      <w:r>
        <w:rPr>
          <w:color w:val="231F20"/>
          <w:spacing w:val="17"/>
          <w:sz w:val="18"/>
        </w:rPr>
        <w:t> </w:t>
      </w:r>
      <w:r>
        <w:rPr>
          <w:color w:val="231F20"/>
          <w:sz w:val="18"/>
        </w:rPr>
        <w:t>develops.</w:t>
      </w:r>
    </w:p>
    <w:p>
      <w:pPr>
        <w:spacing w:line="254" w:lineRule="auto" w:before="6"/>
        <w:ind w:left="1260" w:right="0" w:firstLine="239"/>
        <w:jc w:val="both"/>
        <w:rPr>
          <w:sz w:val="18"/>
        </w:rPr>
      </w:pPr>
      <w:r>
        <w:rPr/>
        <w:pict>
          <v:rect style="position:absolute;margin-left:0pt;margin-top:9.027234pt;width:36pt;height:24pt;mso-position-horizontal-relative:page;mso-position-vertical-relative:paragraph;z-index:253349888" filled="true" fillcolor="#e8dac8" stroked="false">
            <v:fill type="solid"/>
            <w10:wrap type="none"/>
          </v:rect>
        </w:pict>
      </w:r>
      <w:r>
        <w:rPr>
          <w:color w:val="231F20"/>
          <w:w w:val="105"/>
          <w:sz w:val="18"/>
        </w:rPr>
        <w:t>Not all types of kidney disease cause hypertension because damage to certain portions of the kidney causes uremia</w:t>
      </w:r>
      <w:r>
        <w:rPr>
          <w:color w:val="231F20"/>
          <w:spacing w:val="-13"/>
          <w:w w:val="105"/>
          <w:sz w:val="18"/>
        </w:rPr>
        <w:t> </w:t>
      </w:r>
      <w:r>
        <w:rPr>
          <w:color w:val="231F20"/>
          <w:w w:val="105"/>
          <w:sz w:val="18"/>
        </w:rPr>
        <w:t>without</w:t>
      </w:r>
      <w:r>
        <w:rPr>
          <w:color w:val="231F20"/>
          <w:spacing w:val="-13"/>
          <w:w w:val="105"/>
          <w:sz w:val="18"/>
        </w:rPr>
        <w:t> </w:t>
      </w:r>
      <w:r>
        <w:rPr>
          <w:color w:val="231F20"/>
          <w:w w:val="105"/>
          <w:sz w:val="18"/>
        </w:rPr>
        <w:t>hypertension.</w:t>
      </w:r>
      <w:r>
        <w:rPr>
          <w:color w:val="231F20"/>
          <w:spacing w:val="-12"/>
          <w:w w:val="105"/>
          <w:sz w:val="18"/>
        </w:rPr>
        <w:t> </w:t>
      </w:r>
      <w:r>
        <w:rPr>
          <w:color w:val="231F20"/>
          <w:w w:val="105"/>
          <w:sz w:val="18"/>
        </w:rPr>
        <w:t>Nevertheless,</w:t>
      </w:r>
      <w:r>
        <w:rPr>
          <w:color w:val="231F20"/>
          <w:spacing w:val="-13"/>
          <w:w w:val="105"/>
          <w:sz w:val="18"/>
        </w:rPr>
        <w:t> </w:t>
      </w:r>
      <w:r>
        <w:rPr>
          <w:color w:val="231F20"/>
          <w:w w:val="105"/>
          <w:sz w:val="18"/>
        </w:rPr>
        <w:t>some</w:t>
      </w:r>
      <w:r>
        <w:rPr>
          <w:color w:val="231F20"/>
          <w:spacing w:val="-12"/>
          <w:w w:val="105"/>
          <w:sz w:val="18"/>
        </w:rPr>
        <w:t> </w:t>
      </w:r>
      <w:r>
        <w:rPr>
          <w:color w:val="231F20"/>
          <w:w w:val="105"/>
          <w:sz w:val="18"/>
        </w:rPr>
        <w:t>types</w:t>
      </w:r>
      <w:r>
        <w:rPr>
          <w:color w:val="231F20"/>
          <w:spacing w:val="-13"/>
          <w:w w:val="105"/>
          <w:sz w:val="18"/>
        </w:rPr>
        <w:t> </w:t>
      </w:r>
      <w:r>
        <w:rPr>
          <w:color w:val="231F20"/>
          <w:w w:val="105"/>
          <w:sz w:val="18"/>
        </w:rPr>
        <w:t>of renal</w:t>
      </w:r>
      <w:r>
        <w:rPr>
          <w:color w:val="231F20"/>
          <w:spacing w:val="-16"/>
          <w:w w:val="105"/>
          <w:sz w:val="18"/>
        </w:rPr>
        <w:t> </w:t>
      </w:r>
      <w:r>
        <w:rPr>
          <w:color w:val="231F20"/>
          <w:w w:val="105"/>
          <w:sz w:val="18"/>
        </w:rPr>
        <w:t>damage</w:t>
      </w:r>
      <w:r>
        <w:rPr>
          <w:color w:val="231F20"/>
          <w:spacing w:val="-16"/>
          <w:w w:val="105"/>
          <w:sz w:val="18"/>
        </w:rPr>
        <w:t> </w:t>
      </w:r>
      <w:r>
        <w:rPr>
          <w:color w:val="231F20"/>
          <w:w w:val="105"/>
          <w:sz w:val="18"/>
        </w:rPr>
        <w:t>are</w:t>
      </w:r>
      <w:r>
        <w:rPr>
          <w:color w:val="231F20"/>
          <w:spacing w:val="-15"/>
          <w:w w:val="105"/>
          <w:sz w:val="18"/>
        </w:rPr>
        <w:t> </w:t>
      </w:r>
      <w:r>
        <w:rPr>
          <w:color w:val="231F20"/>
          <w:w w:val="105"/>
          <w:sz w:val="18"/>
        </w:rPr>
        <w:t>particularly</w:t>
      </w:r>
      <w:r>
        <w:rPr>
          <w:color w:val="231F20"/>
          <w:spacing w:val="-16"/>
          <w:w w:val="105"/>
          <w:sz w:val="18"/>
        </w:rPr>
        <w:t> </w:t>
      </w:r>
      <w:r>
        <w:rPr>
          <w:color w:val="231F20"/>
          <w:w w:val="105"/>
          <w:sz w:val="18"/>
        </w:rPr>
        <w:t>prone</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cause</w:t>
      </w:r>
      <w:r>
        <w:rPr>
          <w:color w:val="231F20"/>
          <w:spacing w:val="-16"/>
          <w:w w:val="105"/>
          <w:sz w:val="18"/>
        </w:rPr>
        <w:t> </w:t>
      </w:r>
      <w:r>
        <w:rPr>
          <w:color w:val="231F20"/>
          <w:w w:val="105"/>
          <w:sz w:val="18"/>
        </w:rPr>
        <w:t>hypertension. A</w:t>
      </w:r>
      <w:r>
        <w:rPr>
          <w:color w:val="231F20"/>
          <w:spacing w:val="-8"/>
          <w:w w:val="105"/>
          <w:sz w:val="18"/>
        </w:rPr>
        <w:t> </w:t>
      </w:r>
      <w:r>
        <w:rPr>
          <w:color w:val="231F20"/>
          <w:w w:val="105"/>
          <w:sz w:val="18"/>
        </w:rPr>
        <w:t>classification</w:t>
      </w:r>
      <w:r>
        <w:rPr>
          <w:color w:val="231F20"/>
          <w:spacing w:val="-7"/>
          <w:w w:val="105"/>
          <w:sz w:val="18"/>
        </w:rPr>
        <w:t> </w:t>
      </w:r>
      <w:r>
        <w:rPr>
          <w:color w:val="231F20"/>
          <w:w w:val="105"/>
          <w:sz w:val="18"/>
        </w:rPr>
        <w:t>of</w:t>
      </w:r>
      <w:r>
        <w:rPr>
          <w:color w:val="231F20"/>
          <w:spacing w:val="-7"/>
          <w:w w:val="105"/>
          <w:sz w:val="18"/>
        </w:rPr>
        <w:t> </w:t>
      </w:r>
      <w:r>
        <w:rPr>
          <w:color w:val="231F20"/>
          <w:w w:val="105"/>
          <w:sz w:val="18"/>
        </w:rPr>
        <w:t>kidney</w:t>
      </w:r>
      <w:r>
        <w:rPr>
          <w:color w:val="231F20"/>
          <w:spacing w:val="-8"/>
          <w:w w:val="105"/>
          <w:sz w:val="18"/>
        </w:rPr>
        <w:t> </w:t>
      </w:r>
      <w:r>
        <w:rPr>
          <w:color w:val="231F20"/>
          <w:w w:val="105"/>
          <w:sz w:val="18"/>
        </w:rPr>
        <w:t>disease</w:t>
      </w:r>
      <w:r>
        <w:rPr>
          <w:color w:val="231F20"/>
          <w:spacing w:val="-7"/>
          <w:w w:val="105"/>
          <w:sz w:val="18"/>
        </w:rPr>
        <w:t> </w:t>
      </w:r>
      <w:r>
        <w:rPr>
          <w:color w:val="231F20"/>
          <w:w w:val="105"/>
          <w:sz w:val="18"/>
        </w:rPr>
        <w:t>relative</w:t>
      </w:r>
      <w:r>
        <w:rPr>
          <w:color w:val="231F20"/>
          <w:spacing w:val="-7"/>
          <w:w w:val="105"/>
          <w:sz w:val="18"/>
        </w:rPr>
        <w:t> </w:t>
      </w:r>
      <w:r>
        <w:rPr>
          <w:color w:val="231F20"/>
          <w:w w:val="105"/>
          <w:sz w:val="18"/>
        </w:rPr>
        <w:t>to</w:t>
      </w:r>
      <w:r>
        <w:rPr>
          <w:color w:val="231F20"/>
          <w:spacing w:val="-8"/>
          <w:w w:val="105"/>
          <w:sz w:val="18"/>
        </w:rPr>
        <w:t> </w:t>
      </w:r>
      <w:r>
        <w:rPr>
          <w:color w:val="231F20"/>
          <w:w w:val="105"/>
          <w:sz w:val="18"/>
        </w:rPr>
        <w:t>hypertensive or nonhypertensive effects is provided in the following sections.</w:t>
      </w:r>
    </w:p>
    <w:p>
      <w:pPr>
        <w:spacing w:line="261" w:lineRule="auto" w:before="22"/>
        <w:ind w:left="1260" w:right="0" w:firstLine="240"/>
        <w:jc w:val="both"/>
        <w:rPr>
          <w:sz w:val="18"/>
        </w:rPr>
      </w:pPr>
      <w:r>
        <w:rPr>
          <w:rFonts w:ascii="Trebuchet MS" w:hAnsi="Trebuchet MS"/>
          <w:b/>
          <w:color w:val="231F20"/>
          <w:sz w:val="16"/>
        </w:rPr>
        <w:t>Renal Lesions That Reduce the Ability of the Kidneys to Excrete Sodium and Water Promote Hypertension. </w:t>
      </w:r>
      <w:r>
        <w:rPr>
          <w:color w:val="231F20"/>
          <w:sz w:val="18"/>
        </w:rPr>
        <w:t>Renal lesions that decrease the ability of the kidneys to excrete sodium and water almost invariably cause hyper­ tension. Therefore, lesions that either </w:t>
      </w:r>
      <w:r>
        <w:rPr>
          <w:i/>
          <w:color w:val="231F20"/>
          <w:sz w:val="18"/>
        </w:rPr>
        <w:t>decrease GFR </w:t>
      </w:r>
      <w:r>
        <w:rPr>
          <w:color w:val="231F20"/>
          <w:sz w:val="18"/>
        </w:rPr>
        <w:t>or </w:t>
      </w:r>
      <w:r>
        <w:rPr>
          <w:i/>
          <w:color w:val="231F20"/>
          <w:sz w:val="18"/>
        </w:rPr>
        <w:t>increase tubular reabsorption </w:t>
      </w:r>
      <w:r>
        <w:rPr>
          <w:color w:val="231F20"/>
          <w:sz w:val="18"/>
        </w:rPr>
        <w:t>usually lead to hypertension</w:t>
      </w:r>
    </w:p>
    <w:p>
      <w:pPr>
        <w:spacing w:line="254" w:lineRule="auto" w:before="0"/>
        <w:ind w:left="1260" w:right="0" w:firstLine="0"/>
        <w:jc w:val="both"/>
        <w:rPr>
          <w:sz w:val="18"/>
        </w:rPr>
      </w:pPr>
      <w:r>
        <w:rPr>
          <w:color w:val="231F20"/>
          <w:w w:val="105"/>
          <w:sz w:val="18"/>
        </w:rPr>
        <w:t>of</w:t>
      </w:r>
      <w:r>
        <w:rPr>
          <w:color w:val="231F20"/>
          <w:spacing w:val="-26"/>
          <w:w w:val="105"/>
          <w:sz w:val="18"/>
        </w:rPr>
        <w:t> </w:t>
      </w:r>
      <w:r>
        <w:rPr>
          <w:color w:val="231F20"/>
          <w:w w:val="105"/>
          <w:sz w:val="18"/>
        </w:rPr>
        <w:t>varying</w:t>
      </w:r>
      <w:r>
        <w:rPr>
          <w:color w:val="231F20"/>
          <w:spacing w:val="-26"/>
          <w:w w:val="105"/>
          <w:sz w:val="18"/>
        </w:rPr>
        <w:t> </w:t>
      </w:r>
      <w:r>
        <w:rPr>
          <w:color w:val="231F20"/>
          <w:w w:val="105"/>
          <w:sz w:val="18"/>
        </w:rPr>
        <w:t>degrees.</w:t>
      </w:r>
      <w:r>
        <w:rPr>
          <w:color w:val="231F20"/>
          <w:spacing w:val="-26"/>
          <w:w w:val="105"/>
          <w:sz w:val="18"/>
        </w:rPr>
        <w:t> </w:t>
      </w:r>
      <w:r>
        <w:rPr>
          <w:color w:val="231F20"/>
          <w:w w:val="105"/>
          <w:sz w:val="18"/>
        </w:rPr>
        <w:t>Some</w:t>
      </w:r>
      <w:r>
        <w:rPr>
          <w:color w:val="231F20"/>
          <w:spacing w:val="-26"/>
          <w:w w:val="105"/>
          <w:sz w:val="18"/>
        </w:rPr>
        <w:t> </w:t>
      </w:r>
      <w:r>
        <w:rPr>
          <w:color w:val="231F20"/>
          <w:w w:val="105"/>
          <w:sz w:val="18"/>
        </w:rPr>
        <w:t>specific</w:t>
      </w:r>
      <w:r>
        <w:rPr>
          <w:color w:val="231F20"/>
          <w:spacing w:val="-26"/>
          <w:w w:val="105"/>
          <w:sz w:val="18"/>
        </w:rPr>
        <w:t> </w:t>
      </w:r>
      <w:r>
        <w:rPr>
          <w:color w:val="231F20"/>
          <w:w w:val="105"/>
          <w:sz w:val="18"/>
        </w:rPr>
        <w:t>types</w:t>
      </w:r>
      <w:r>
        <w:rPr>
          <w:color w:val="231F20"/>
          <w:spacing w:val="-26"/>
          <w:w w:val="105"/>
          <w:sz w:val="18"/>
        </w:rPr>
        <w:t> </w:t>
      </w:r>
      <w:r>
        <w:rPr>
          <w:color w:val="231F20"/>
          <w:w w:val="105"/>
          <w:sz w:val="18"/>
        </w:rPr>
        <w:t>of</w:t>
      </w:r>
      <w:r>
        <w:rPr>
          <w:color w:val="231F20"/>
          <w:spacing w:val="-26"/>
          <w:w w:val="105"/>
          <w:sz w:val="18"/>
        </w:rPr>
        <w:t> </w:t>
      </w:r>
      <w:r>
        <w:rPr>
          <w:color w:val="231F20"/>
          <w:w w:val="105"/>
          <w:sz w:val="18"/>
        </w:rPr>
        <w:t>renal</w:t>
      </w:r>
      <w:r>
        <w:rPr>
          <w:color w:val="231F20"/>
          <w:spacing w:val="-26"/>
          <w:w w:val="105"/>
          <w:sz w:val="18"/>
        </w:rPr>
        <w:t> </w:t>
      </w:r>
      <w:r>
        <w:rPr>
          <w:color w:val="231F20"/>
          <w:w w:val="105"/>
          <w:sz w:val="18"/>
        </w:rPr>
        <w:t>abnormali­ ties that can cause hypertension are as</w:t>
      </w:r>
      <w:r>
        <w:rPr>
          <w:color w:val="231F20"/>
          <w:spacing w:val="-1"/>
          <w:w w:val="105"/>
          <w:sz w:val="18"/>
        </w:rPr>
        <w:t> </w:t>
      </w:r>
      <w:r>
        <w:rPr>
          <w:color w:val="231F20"/>
          <w:w w:val="105"/>
          <w:sz w:val="18"/>
        </w:rPr>
        <w:t>follows:</w:t>
      </w:r>
    </w:p>
    <w:p>
      <w:pPr>
        <w:pStyle w:val="ListParagraph"/>
        <w:numPr>
          <w:ilvl w:val="1"/>
          <w:numId w:val="31"/>
        </w:numPr>
        <w:tabs>
          <w:tab w:pos="1719" w:val="left" w:leader="none"/>
        </w:tabs>
        <w:spacing w:line="254" w:lineRule="auto" w:before="0" w:after="0"/>
        <w:ind w:left="1718" w:right="0" w:hanging="219"/>
        <w:jc w:val="both"/>
        <w:rPr>
          <w:sz w:val="18"/>
        </w:rPr>
      </w:pPr>
      <w:r>
        <w:rPr>
          <w:i/>
          <w:color w:val="231F20"/>
          <w:sz w:val="18"/>
        </w:rPr>
        <w:t>Increased renal vascular resistance, </w:t>
      </w:r>
      <w:r>
        <w:rPr>
          <w:color w:val="231F20"/>
          <w:sz w:val="18"/>
        </w:rPr>
        <w:t>which reduces renal blood flow and GFR. An example is hyperten­ sion caused by renal artery</w:t>
      </w:r>
      <w:r>
        <w:rPr>
          <w:color w:val="231F20"/>
          <w:spacing w:val="39"/>
          <w:sz w:val="18"/>
        </w:rPr>
        <w:t> </w:t>
      </w:r>
      <w:r>
        <w:rPr>
          <w:color w:val="231F20"/>
          <w:sz w:val="18"/>
        </w:rPr>
        <w:t>stenosis.</w:t>
      </w:r>
    </w:p>
    <w:p>
      <w:pPr>
        <w:pStyle w:val="ListParagraph"/>
        <w:numPr>
          <w:ilvl w:val="1"/>
          <w:numId w:val="31"/>
        </w:numPr>
        <w:tabs>
          <w:tab w:pos="1719" w:val="left" w:leader="none"/>
        </w:tabs>
        <w:spacing w:line="254" w:lineRule="auto" w:before="0" w:after="0"/>
        <w:ind w:left="1718" w:right="0" w:hanging="219"/>
        <w:jc w:val="both"/>
        <w:rPr>
          <w:sz w:val="18"/>
        </w:rPr>
      </w:pPr>
      <w:r>
        <w:rPr>
          <w:i/>
          <w:color w:val="231F20"/>
          <w:sz w:val="18"/>
        </w:rPr>
        <w:t>Decreased glomerular capillary filtration coefficient, </w:t>
      </w:r>
      <w:r>
        <w:rPr>
          <w:i/>
          <w:color w:val="231F20"/>
          <w:sz w:val="18"/>
        </w:rPr>
        <w:t>which reduces GFR</w:t>
      </w:r>
      <w:r>
        <w:rPr>
          <w:color w:val="231F20"/>
          <w:sz w:val="18"/>
        </w:rPr>
        <w:t>. An example is chronic </w:t>
      </w:r>
      <w:r>
        <w:rPr>
          <w:color w:val="231F20"/>
          <w:spacing w:val="-3"/>
          <w:sz w:val="18"/>
        </w:rPr>
        <w:t>glo­ </w:t>
      </w:r>
      <w:r>
        <w:rPr>
          <w:color w:val="231F20"/>
          <w:sz w:val="18"/>
        </w:rPr>
        <w:t>merulonephritis, which causes inflammation </w:t>
      </w:r>
      <w:r>
        <w:rPr>
          <w:color w:val="231F20"/>
          <w:spacing w:val="-6"/>
          <w:sz w:val="18"/>
        </w:rPr>
        <w:t>and </w:t>
      </w:r>
      <w:r>
        <w:rPr>
          <w:color w:val="231F20"/>
          <w:sz w:val="18"/>
        </w:rPr>
        <w:t>thickening of the glomerular capillary membranes, thereby reducing the glomerular capillary </w:t>
      </w:r>
      <w:r>
        <w:rPr>
          <w:color w:val="231F20"/>
          <w:spacing w:val="-3"/>
          <w:sz w:val="18"/>
        </w:rPr>
        <w:t>filtration </w:t>
      </w:r>
      <w:r>
        <w:rPr>
          <w:color w:val="231F20"/>
          <w:sz w:val="18"/>
        </w:rPr>
        <w:t>coefficient.</w:t>
      </w:r>
    </w:p>
    <w:p>
      <w:pPr>
        <w:pStyle w:val="ListParagraph"/>
        <w:numPr>
          <w:ilvl w:val="1"/>
          <w:numId w:val="31"/>
        </w:numPr>
        <w:tabs>
          <w:tab w:pos="1719" w:val="left" w:leader="none"/>
        </w:tabs>
        <w:spacing w:line="254" w:lineRule="auto" w:before="2" w:after="0"/>
        <w:ind w:left="1718" w:right="0" w:hanging="219"/>
        <w:jc w:val="both"/>
        <w:rPr>
          <w:sz w:val="18"/>
        </w:rPr>
      </w:pPr>
      <w:r>
        <w:rPr>
          <w:i/>
          <w:color w:val="231F20"/>
          <w:w w:val="105"/>
          <w:sz w:val="18"/>
        </w:rPr>
        <w:t>Excessive</w:t>
      </w:r>
      <w:r>
        <w:rPr>
          <w:i/>
          <w:color w:val="231F20"/>
          <w:spacing w:val="-23"/>
          <w:w w:val="105"/>
          <w:sz w:val="18"/>
        </w:rPr>
        <w:t> </w:t>
      </w:r>
      <w:r>
        <w:rPr>
          <w:i/>
          <w:color w:val="231F20"/>
          <w:w w:val="105"/>
          <w:sz w:val="18"/>
        </w:rPr>
        <w:t>tubular</w:t>
      </w:r>
      <w:r>
        <w:rPr>
          <w:i/>
          <w:color w:val="231F20"/>
          <w:spacing w:val="-22"/>
          <w:w w:val="105"/>
          <w:sz w:val="18"/>
        </w:rPr>
        <w:t> </w:t>
      </w:r>
      <w:r>
        <w:rPr>
          <w:i/>
          <w:color w:val="231F20"/>
          <w:w w:val="105"/>
          <w:sz w:val="18"/>
        </w:rPr>
        <w:t>sodium</w:t>
      </w:r>
      <w:r>
        <w:rPr>
          <w:i/>
          <w:color w:val="231F20"/>
          <w:spacing w:val="-22"/>
          <w:w w:val="105"/>
          <w:sz w:val="18"/>
        </w:rPr>
        <w:t> </w:t>
      </w:r>
      <w:r>
        <w:rPr>
          <w:i/>
          <w:color w:val="231F20"/>
          <w:w w:val="105"/>
          <w:sz w:val="18"/>
        </w:rPr>
        <w:t>reabsorption.</w:t>
      </w:r>
      <w:r>
        <w:rPr>
          <w:i/>
          <w:color w:val="231F20"/>
          <w:spacing w:val="-22"/>
          <w:w w:val="105"/>
          <w:sz w:val="18"/>
        </w:rPr>
        <w:t> </w:t>
      </w:r>
      <w:r>
        <w:rPr>
          <w:color w:val="231F20"/>
          <w:w w:val="105"/>
          <w:sz w:val="18"/>
        </w:rPr>
        <w:t>An</w:t>
      </w:r>
      <w:r>
        <w:rPr>
          <w:color w:val="231F20"/>
          <w:spacing w:val="-23"/>
          <w:w w:val="105"/>
          <w:sz w:val="18"/>
        </w:rPr>
        <w:t> </w:t>
      </w:r>
      <w:r>
        <w:rPr>
          <w:color w:val="231F20"/>
          <w:w w:val="105"/>
          <w:sz w:val="18"/>
        </w:rPr>
        <w:t>example is hypertension caused by excessive aldosterone secretion, which increases sodium reabsorption mainly in the cortical collecting tubules.</w:t>
      </w:r>
    </w:p>
    <w:p>
      <w:pPr>
        <w:spacing w:line="254" w:lineRule="auto" w:before="2"/>
        <w:ind w:left="1260" w:right="0" w:firstLine="239"/>
        <w:jc w:val="both"/>
        <w:rPr>
          <w:sz w:val="18"/>
        </w:rPr>
      </w:pPr>
      <w:r>
        <w:rPr>
          <w:color w:val="231F20"/>
          <w:w w:val="105"/>
          <w:sz w:val="18"/>
        </w:rPr>
        <w:t>Once hypertension has developed,  renal  excretion  of sodium and water returns to normal because the high arterial pressure causes pressure natriuresis and pressure diuresis,</w:t>
      </w:r>
      <w:r>
        <w:rPr>
          <w:color w:val="231F20"/>
          <w:spacing w:val="-15"/>
          <w:w w:val="105"/>
          <w:sz w:val="18"/>
        </w:rPr>
        <w:t> </w:t>
      </w:r>
      <w:r>
        <w:rPr>
          <w:color w:val="231F20"/>
          <w:w w:val="105"/>
          <w:sz w:val="18"/>
        </w:rPr>
        <w:t>so</w:t>
      </w:r>
      <w:r>
        <w:rPr>
          <w:color w:val="231F20"/>
          <w:spacing w:val="-15"/>
          <w:w w:val="105"/>
          <w:sz w:val="18"/>
        </w:rPr>
        <w:t> </w:t>
      </w:r>
      <w:r>
        <w:rPr>
          <w:color w:val="231F20"/>
          <w:w w:val="105"/>
          <w:sz w:val="18"/>
        </w:rPr>
        <w:t>intake</w:t>
      </w:r>
      <w:r>
        <w:rPr>
          <w:color w:val="231F20"/>
          <w:spacing w:val="-14"/>
          <w:w w:val="105"/>
          <w:sz w:val="18"/>
        </w:rPr>
        <w:t> </w:t>
      </w:r>
      <w:r>
        <w:rPr>
          <w:color w:val="231F20"/>
          <w:w w:val="105"/>
          <w:sz w:val="18"/>
        </w:rPr>
        <w:t>and</w:t>
      </w:r>
      <w:r>
        <w:rPr>
          <w:color w:val="231F20"/>
          <w:spacing w:val="-15"/>
          <w:w w:val="105"/>
          <w:sz w:val="18"/>
        </w:rPr>
        <w:t> </w:t>
      </w:r>
      <w:r>
        <w:rPr>
          <w:color w:val="231F20"/>
          <w:w w:val="105"/>
          <w:sz w:val="18"/>
        </w:rPr>
        <w:t>output</w:t>
      </w:r>
      <w:r>
        <w:rPr>
          <w:color w:val="231F20"/>
          <w:spacing w:val="-14"/>
          <w:w w:val="105"/>
          <w:sz w:val="18"/>
        </w:rPr>
        <w:t> </w:t>
      </w:r>
      <w:r>
        <w:rPr>
          <w:color w:val="231F20"/>
          <w:w w:val="105"/>
          <w:sz w:val="18"/>
        </w:rPr>
        <w:t>of</w:t>
      </w:r>
      <w:r>
        <w:rPr>
          <w:color w:val="231F20"/>
          <w:spacing w:val="-15"/>
          <w:w w:val="105"/>
          <w:sz w:val="18"/>
        </w:rPr>
        <w:t> </w:t>
      </w:r>
      <w:r>
        <w:rPr>
          <w:color w:val="231F20"/>
          <w:w w:val="105"/>
          <w:sz w:val="18"/>
        </w:rPr>
        <w:t>sodium</w:t>
      </w:r>
      <w:r>
        <w:rPr>
          <w:color w:val="231F20"/>
          <w:spacing w:val="-14"/>
          <w:w w:val="105"/>
          <w:sz w:val="18"/>
        </w:rPr>
        <w:t> </w:t>
      </w:r>
      <w:r>
        <w:rPr>
          <w:color w:val="231F20"/>
          <w:w w:val="105"/>
          <w:sz w:val="18"/>
        </w:rPr>
        <w:t>and</w:t>
      </w:r>
      <w:r>
        <w:rPr>
          <w:color w:val="231F20"/>
          <w:spacing w:val="-15"/>
          <w:w w:val="105"/>
          <w:sz w:val="18"/>
        </w:rPr>
        <w:t> </w:t>
      </w:r>
      <w:r>
        <w:rPr>
          <w:color w:val="231F20"/>
          <w:w w:val="105"/>
          <w:sz w:val="18"/>
        </w:rPr>
        <w:t>water</w:t>
      </w:r>
      <w:r>
        <w:rPr>
          <w:color w:val="231F20"/>
          <w:spacing w:val="-15"/>
          <w:w w:val="105"/>
          <w:sz w:val="18"/>
        </w:rPr>
        <w:t> </w:t>
      </w:r>
      <w:r>
        <w:rPr>
          <w:color w:val="231F20"/>
          <w:w w:val="105"/>
          <w:sz w:val="18"/>
        </w:rPr>
        <w:t>become balanced once again. Even when there are large</w:t>
      </w:r>
      <w:r>
        <w:rPr>
          <w:color w:val="231F20"/>
          <w:spacing w:val="-29"/>
          <w:w w:val="105"/>
          <w:sz w:val="18"/>
        </w:rPr>
        <w:t> </w:t>
      </w:r>
      <w:r>
        <w:rPr>
          <w:color w:val="231F20"/>
          <w:w w:val="105"/>
          <w:sz w:val="18"/>
        </w:rPr>
        <w:t>increases in</w:t>
      </w:r>
      <w:r>
        <w:rPr>
          <w:color w:val="231F20"/>
          <w:spacing w:val="-8"/>
          <w:w w:val="105"/>
          <w:sz w:val="18"/>
        </w:rPr>
        <w:t> </w:t>
      </w:r>
      <w:r>
        <w:rPr>
          <w:color w:val="231F20"/>
          <w:w w:val="105"/>
          <w:sz w:val="18"/>
        </w:rPr>
        <w:t>renal</w:t>
      </w:r>
      <w:r>
        <w:rPr>
          <w:color w:val="231F20"/>
          <w:spacing w:val="-7"/>
          <w:w w:val="105"/>
          <w:sz w:val="18"/>
        </w:rPr>
        <w:t> </w:t>
      </w:r>
      <w:r>
        <w:rPr>
          <w:color w:val="231F20"/>
          <w:w w:val="105"/>
          <w:sz w:val="18"/>
        </w:rPr>
        <w:t>vascular</w:t>
      </w:r>
      <w:r>
        <w:rPr>
          <w:color w:val="231F20"/>
          <w:spacing w:val="-7"/>
          <w:w w:val="105"/>
          <w:sz w:val="18"/>
        </w:rPr>
        <w:t> </w:t>
      </w:r>
      <w:r>
        <w:rPr>
          <w:color w:val="231F20"/>
          <w:w w:val="105"/>
          <w:sz w:val="18"/>
        </w:rPr>
        <w:t>resistance</w:t>
      </w:r>
      <w:r>
        <w:rPr>
          <w:color w:val="231F20"/>
          <w:spacing w:val="-7"/>
          <w:w w:val="105"/>
          <w:sz w:val="18"/>
        </w:rPr>
        <w:t> </w:t>
      </w:r>
      <w:r>
        <w:rPr>
          <w:color w:val="231F20"/>
          <w:w w:val="105"/>
          <w:sz w:val="18"/>
        </w:rPr>
        <w:t>or</w:t>
      </w:r>
      <w:r>
        <w:rPr>
          <w:color w:val="231F20"/>
          <w:spacing w:val="-7"/>
          <w:w w:val="105"/>
          <w:sz w:val="18"/>
        </w:rPr>
        <w:t> </w:t>
      </w:r>
      <w:r>
        <w:rPr>
          <w:color w:val="231F20"/>
          <w:w w:val="105"/>
          <w:sz w:val="18"/>
        </w:rPr>
        <w:t>decreases</w:t>
      </w:r>
      <w:r>
        <w:rPr>
          <w:color w:val="231F20"/>
          <w:spacing w:val="-8"/>
          <w:w w:val="105"/>
          <w:sz w:val="18"/>
        </w:rPr>
        <w:t> </w:t>
      </w:r>
      <w:r>
        <w:rPr>
          <w:color w:val="231F20"/>
          <w:w w:val="105"/>
          <w:sz w:val="18"/>
        </w:rPr>
        <w:t>in</w:t>
      </w:r>
      <w:r>
        <w:rPr>
          <w:color w:val="231F20"/>
          <w:spacing w:val="-7"/>
          <w:w w:val="105"/>
          <w:sz w:val="18"/>
        </w:rPr>
        <w:t> </w:t>
      </w:r>
      <w:r>
        <w:rPr>
          <w:color w:val="231F20"/>
          <w:w w:val="105"/>
          <w:sz w:val="18"/>
        </w:rPr>
        <w:t>the</w:t>
      </w:r>
      <w:r>
        <w:rPr>
          <w:color w:val="231F20"/>
          <w:spacing w:val="-7"/>
          <w:w w:val="105"/>
          <w:sz w:val="18"/>
        </w:rPr>
        <w:t> </w:t>
      </w:r>
      <w:r>
        <w:rPr>
          <w:color w:val="231F20"/>
          <w:w w:val="105"/>
          <w:sz w:val="18"/>
        </w:rPr>
        <w:t>glomerular capillary</w:t>
      </w:r>
      <w:r>
        <w:rPr>
          <w:color w:val="231F20"/>
          <w:spacing w:val="-21"/>
          <w:w w:val="105"/>
          <w:sz w:val="18"/>
        </w:rPr>
        <w:t> </w:t>
      </w:r>
      <w:r>
        <w:rPr>
          <w:color w:val="231F20"/>
          <w:w w:val="105"/>
          <w:sz w:val="18"/>
        </w:rPr>
        <w:t>coefficient,</w:t>
      </w:r>
      <w:r>
        <w:rPr>
          <w:color w:val="231F20"/>
          <w:spacing w:val="-21"/>
          <w:w w:val="105"/>
          <w:sz w:val="18"/>
        </w:rPr>
        <w:t> </w:t>
      </w:r>
      <w:r>
        <w:rPr>
          <w:color w:val="231F20"/>
          <w:w w:val="105"/>
          <w:sz w:val="18"/>
        </w:rPr>
        <w:t>GFR</w:t>
      </w:r>
      <w:r>
        <w:rPr>
          <w:color w:val="231F20"/>
          <w:spacing w:val="-21"/>
          <w:w w:val="105"/>
          <w:sz w:val="18"/>
        </w:rPr>
        <w:t> </w:t>
      </w:r>
      <w:r>
        <w:rPr>
          <w:color w:val="231F20"/>
          <w:w w:val="105"/>
          <w:sz w:val="18"/>
        </w:rPr>
        <w:t>may</w:t>
      </w:r>
      <w:r>
        <w:rPr>
          <w:color w:val="231F20"/>
          <w:spacing w:val="-20"/>
          <w:w w:val="105"/>
          <w:sz w:val="18"/>
        </w:rPr>
        <w:t> </w:t>
      </w:r>
      <w:r>
        <w:rPr>
          <w:color w:val="231F20"/>
          <w:w w:val="105"/>
          <w:sz w:val="18"/>
        </w:rPr>
        <w:t>still</w:t>
      </w:r>
      <w:r>
        <w:rPr>
          <w:color w:val="231F20"/>
          <w:spacing w:val="-21"/>
          <w:w w:val="105"/>
          <w:sz w:val="18"/>
        </w:rPr>
        <w:t> </w:t>
      </w:r>
      <w:r>
        <w:rPr>
          <w:color w:val="231F20"/>
          <w:w w:val="105"/>
          <w:sz w:val="18"/>
        </w:rPr>
        <w:t>return</w:t>
      </w:r>
      <w:r>
        <w:rPr>
          <w:color w:val="231F20"/>
          <w:spacing w:val="-21"/>
          <w:w w:val="105"/>
          <w:sz w:val="18"/>
        </w:rPr>
        <w:t> </w:t>
      </w:r>
      <w:r>
        <w:rPr>
          <w:color w:val="231F20"/>
          <w:w w:val="105"/>
          <w:sz w:val="18"/>
        </w:rPr>
        <w:t>to</w:t>
      </w:r>
      <w:r>
        <w:rPr>
          <w:color w:val="231F20"/>
          <w:spacing w:val="-20"/>
          <w:w w:val="105"/>
          <w:sz w:val="18"/>
        </w:rPr>
        <w:t> </w:t>
      </w:r>
      <w:r>
        <w:rPr>
          <w:color w:val="231F20"/>
          <w:w w:val="105"/>
          <w:sz w:val="18"/>
        </w:rPr>
        <w:t>nearly</w:t>
      </w:r>
      <w:r>
        <w:rPr>
          <w:color w:val="231F20"/>
          <w:spacing w:val="-21"/>
          <w:w w:val="105"/>
          <w:sz w:val="18"/>
        </w:rPr>
        <w:t> </w:t>
      </w:r>
      <w:r>
        <w:rPr>
          <w:color w:val="231F20"/>
          <w:w w:val="105"/>
          <w:sz w:val="18"/>
        </w:rPr>
        <w:t>normal levels after the arterial blood pressure rises. Likewise, when tubular reabsorption is increased, as occurs with excessive</w:t>
      </w:r>
      <w:r>
        <w:rPr>
          <w:color w:val="231F20"/>
          <w:spacing w:val="-11"/>
          <w:w w:val="105"/>
          <w:sz w:val="18"/>
        </w:rPr>
        <w:t> </w:t>
      </w:r>
      <w:r>
        <w:rPr>
          <w:color w:val="231F20"/>
          <w:w w:val="105"/>
          <w:sz w:val="18"/>
        </w:rPr>
        <w:t>aldosterone</w:t>
      </w:r>
      <w:r>
        <w:rPr>
          <w:color w:val="231F20"/>
          <w:spacing w:val="-10"/>
          <w:w w:val="105"/>
          <w:sz w:val="18"/>
        </w:rPr>
        <w:t> </w:t>
      </w:r>
      <w:r>
        <w:rPr>
          <w:color w:val="231F20"/>
          <w:w w:val="105"/>
          <w:sz w:val="18"/>
        </w:rPr>
        <w:t>secretion,</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urinary</w:t>
      </w:r>
      <w:r>
        <w:rPr>
          <w:color w:val="231F20"/>
          <w:spacing w:val="-10"/>
          <w:w w:val="105"/>
          <w:sz w:val="18"/>
        </w:rPr>
        <w:t> </w:t>
      </w:r>
      <w:r>
        <w:rPr>
          <w:color w:val="231F20"/>
          <w:w w:val="105"/>
          <w:sz w:val="18"/>
        </w:rPr>
        <w:t>excretion</w:t>
      </w:r>
      <w:r>
        <w:rPr>
          <w:color w:val="231F20"/>
          <w:spacing w:val="-10"/>
          <w:w w:val="105"/>
          <w:sz w:val="18"/>
        </w:rPr>
        <w:t> </w:t>
      </w:r>
      <w:r>
        <w:rPr>
          <w:color w:val="231F20"/>
          <w:w w:val="105"/>
          <w:sz w:val="18"/>
        </w:rPr>
        <w:t>rate is initially reduced but then returns to normal as arterial pressure rises. Thus, after hypertension develops, there may be no obvious sign of impaired excretion of sodium and water other than the hypertension. As explained in Chapter 19, normal excretion of sodium and water at </w:t>
      </w:r>
      <w:r>
        <w:rPr>
          <w:color w:val="231F20"/>
          <w:spacing w:val="-6"/>
          <w:w w:val="105"/>
          <w:sz w:val="18"/>
        </w:rPr>
        <w:t>an </w:t>
      </w:r>
      <w:r>
        <w:rPr>
          <w:color w:val="231F20"/>
          <w:w w:val="105"/>
          <w:sz w:val="18"/>
        </w:rPr>
        <w:t>elevated arterial pressure means that pressure natriuresis and pressure diuresis have been reset to a higher </w:t>
      </w:r>
      <w:r>
        <w:rPr>
          <w:color w:val="231F20"/>
          <w:spacing w:val="-2"/>
          <w:w w:val="105"/>
          <w:sz w:val="18"/>
        </w:rPr>
        <w:t>arterial </w:t>
      </w:r>
      <w:r>
        <w:rPr>
          <w:color w:val="231F20"/>
          <w:w w:val="105"/>
          <w:sz w:val="18"/>
        </w:rPr>
        <w:t>pressure.</w:t>
      </w:r>
    </w:p>
    <w:p>
      <w:pPr>
        <w:spacing w:line="261" w:lineRule="auto" w:before="29"/>
        <w:ind w:left="1260" w:right="0" w:firstLine="240"/>
        <w:jc w:val="both"/>
        <w:rPr>
          <w:sz w:val="18"/>
        </w:rPr>
      </w:pPr>
      <w:r>
        <w:rPr>
          <w:rFonts w:ascii="Trebuchet MS"/>
          <w:b/>
          <w:color w:val="231F20"/>
          <w:sz w:val="16"/>
        </w:rPr>
        <w:t>Hypertension Caused by Patchy Renal Damage and Increased Renal Secretion of Renin. </w:t>
      </w:r>
      <w:r>
        <w:rPr>
          <w:color w:val="231F20"/>
          <w:sz w:val="18"/>
        </w:rPr>
        <w:t>If one part of the</w:t>
      </w:r>
    </w:p>
    <w:p>
      <w:pPr>
        <w:spacing w:line="254" w:lineRule="auto" w:before="218"/>
        <w:ind w:left="679" w:right="1617" w:firstLine="0"/>
        <w:jc w:val="both"/>
        <w:rPr>
          <w:sz w:val="18"/>
        </w:rPr>
      </w:pPr>
      <w:r>
        <w:rPr/>
        <w:br w:type="column"/>
      </w:r>
      <w:r>
        <w:rPr>
          <w:color w:val="231F20"/>
          <w:w w:val="105"/>
          <w:sz w:val="18"/>
        </w:rPr>
        <w:t>kidney</w:t>
      </w:r>
      <w:r>
        <w:rPr>
          <w:color w:val="231F20"/>
          <w:spacing w:val="-15"/>
          <w:w w:val="105"/>
          <w:sz w:val="18"/>
        </w:rPr>
        <w:t> </w:t>
      </w:r>
      <w:r>
        <w:rPr>
          <w:color w:val="231F20"/>
          <w:w w:val="105"/>
          <w:sz w:val="18"/>
        </w:rPr>
        <w:t>is</w:t>
      </w:r>
      <w:r>
        <w:rPr>
          <w:color w:val="231F20"/>
          <w:spacing w:val="-14"/>
          <w:w w:val="105"/>
          <w:sz w:val="18"/>
        </w:rPr>
        <w:t> </w:t>
      </w:r>
      <w:r>
        <w:rPr>
          <w:color w:val="231F20"/>
          <w:w w:val="105"/>
          <w:sz w:val="18"/>
        </w:rPr>
        <w:t>ischemic</w:t>
      </w:r>
      <w:r>
        <w:rPr>
          <w:color w:val="231F20"/>
          <w:spacing w:val="-14"/>
          <w:w w:val="105"/>
          <w:sz w:val="18"/>
        </w:rPr>
        <w:t> </w:t>
      </w:r>
      <w:r>
        <w:rPr>
          <w:color w:val="231F20"/>
          <w:w w:val="105"/>
          <w:sz w:val="18"/>
        </w:rPr>
        <w:t>and</w:t>
      </w:r>
      <w:r>
        <w:rPr>
          <w:color w:val="231F20"/>
          <w:spacing w:val="-15"/>
          <w:w w:val="105"/>
          <w:sz w:val="18"/>
        </w:rPr>
        <w:t> </w:t>
      </w:r>
      <w:r>
        <w:rPr>
          <w:color w:val="231F20"/>
          <w:w w:val="105"/>
          <w:sz w:val="18"/>
        </w:rPr>
        <w:t>the</w:t>
      </w:r>
      <w:r>
        <w:rPr>
          <w:color w:val="231F20"/>
          <w:spacing w:val="-14"/>
          <w:w w:val="105"/>
          <w:sz w:val="18"/>
        </w:rPr>
        <w:t> </w:t>
      </w:r>
      <w:r>
        <w:rPr>
          <w:color w:val="231F20"/>
          <w:w w:val="105"/>
          <w:sz w:val="18"/>
        </w:rPr>
        <w:t>remainder</w:t>
      </w:r>
      <w:r>
        <w:rPr>
          <w:color w:val="231F20"/>
          <w:spacing w:val="-14"/>
          <w:w w:val="105"/>
          <w:sz w:val="18"/>
        </w:rPr>
        <w:t> </w:t>
      </w:r>
      <w:r>
        <w:rPr>
          <w:color w:val="231F20"/>
          <w:w w:val="105"/>
          <w:sz w:val="18"/>
        </w:rPr>
        <w:t>is</w:t>
      </w:r>
      <w:r>
        <w:rPr>
          <w:color w:val="231F20"/>
          <w:spacing w:val="-15"/>
          <w:w w:val="105"/>
          <w:sz w:val="18"/>
        </w:rPr>
        <w:t> </w:t>
      </w:r>
      <w:r>
        <w:rPr>
          <w:color w:val="231F20"/>
          <w:w w:val="105"/>
          <w:sz w:val="18"/>
        </w:rPr>
        <w:t>not</w:t>
      </w:r>
      <w:r>
        <w:rPr>
          <w:color w:val="231F20"/>
          <w:spacing w:val="-14"/>
          <w:w w:val="105"/>
          <w:sz w:val="18"/>
        </w:rPr>
        <w:t> </w:t>
      </w:r>
      <w:r>
        <w:rPr>
          <w:color w:val="231F20"/>
          <w:w w:val="105"/>
          <w:sz w:val="18"/>
        </w:rPr>
        <w:t>ischemic,</w:t>
      </w:r>
      <w:r>
        <w:rPr>
          <w:color w:val="231F20"/>
          <w:spacing w:val="-14"/>
          <w:w w:val="105"/>
          <w:sz w:val="18"/>
        </w:rPr>
        <w:t> </w:t>
      </w:r>
      <w:r>
        <w:rPr>
          <w:color w:val="231F20"/>
          <w:w w:val="105"/>
          <w:sz w:val="18"/>
        </w:rPr>
        <w:t>such as occurs when one renal artery is severely constricted, the</w:t>
      </w:r>
      <w:r>
        <w:rPr>
          <w:color w:val="231F20"/>
          <w:spacing w:val="-11"/>
          <w:w w:val="105"/>
          <w:sz w:val="18"/>
        </w:rPr>
        <w:t> </w:t>
      </w:r>
      <w:r>
        <w:rPr>
          <w:color w:val="231F20"/>
          <w:w w:val="105"/>
          <w:sz w:val="18"/>
        </w:rPr>
        <w:t>ischemic</w:t>
      </w:r>
      <w:r>
        <w:rPr>
          <w:color w:val="231F20"/>
          <w:spacing w:val="-10"/>
          <w:w w:val="105"/>
          <w:sz w:val="18"/>
        </w:rPr>
        <w:t> </w:t>
      </w:r>
      <w:r>
        <w:rPr>
          <w:color w:val="231F20"/>
          <w:w w:val="105"/>
          <w:sz w:val="18"/>
        </w:rPr>
        <w:t>renal</w:t>
      </w:r>
      <w:r>
        <w:rPr>
          <w:color w:val="231F20"/>
          <w:spacing w:val="-10"/>
          <w:w w:val="105"/>
          <w:sz w:val="18"/>
        </w:rPr>
        <w:t> </w:t>
      </w:r>
      <w:r>
        <w:rPr>
          <w:color w:val="231F20"/>
          <w:w w:val="105"/>
          <w:sz w:val="18"/>
        </w:rPr>
        <w:t>tissue</w:t>
      </w:r>
      <w:r>
        <w:rPr>
          <w:color w:val="231F20"/>
          <w:spacing w:val="-10"/>
          <w:w w:val="105"/>
          <w:sz w:val="18"/>
        </w:rPr>
        <w:t> </w:t>
      </w:r>
      <w:r>
        <w:rPr>
          <w:color w:val="231F20"/>
          <w:w w:val="105"/>
          <w:sz w:val="18"/>
        </w:rPr>
        <w:t>secretes</w:t>
      </w:r>
      <w:r>
        <w:rPr>
          <w:color w:val="231F20"/>
          <w:spacing w:val="-10"/>
          <w:w w:val="105"/>
          <w:sz w:val="18"/>
        </w:rPr>
        <w:t> </w:t>
      </w:r>
      <w:r>
        <w:rPr>
          <w:color w:val="231F20"/>
          <w:w w:val="105"/>
          <w:sz w:val="18"/>
        </w:rPr>
        <w:t>large</w:t>
      </w:r>
      <w:r>
        <w:rPr>
          <w:color w:val="231F20"/>
          <w:spacing w:val="-10"/>
          <w:w w:val="105"/>
          <w:sz w:val="18"/>
        </w:rPr>
        <w:t> </w:t>
      </w:r>
      <w:r>
        <w:rPr>
          <w:color w:val="231F20"/>
          <w:w w:val="105"/>
          <w:sz w:val="18"/>
        </w:rPr>
        <w:t>quantities</w:t>
      </w:r>
      <w:r>
        <w:rPr>
          <w:color w:val="231F20"/>
          <w:spacing w:val="-11"/>
          <w:w w:val="105"/>
          <w:sz w:val="18"/>
        </w:rPr>
        <w:t> </w:t>
      </w:r>
      <w:r>
        <w:rPr>
          <w:color w:val="231F20"/>
          <w:w w:val="105"/>
          <w:sz w:val="18"/>
        </w:rPr>
        <w:t>of</w:t>
      </w:r>
      <w:r>
        <w:rPr>
          <w:color w:val="231F20"/>
          <w:spacing w:val="-10"/>
          <w:w w:val="105"/>
          <w:sz w:val="18"/>
        </w:rPr>
        <w:t> </w:t>
      </w:r>
      <w:r>
        <w:rPr>
          <w:color w:val="231F20"/>
          <w:w w:val="105"/>
          <w:sz w:val="18"/>
        </w:rPr>
        <w:t>renin. This</w:t>
      </w:r>
      <w:r>
        <w:rPr>
          <w:color w:val="231F20"/>
          <w:spacing w:val="-9"/>
          <w:w w:val="105"/>
          <w:sz w:val="18"/>
        </w:rPr>
        <w:t> </w:t>
      </w:r>
      <w:r>
        <w:rPr>
          <w:color w:val="231F20"/>
          <w:w w:val="105"/>
          <w:sz w:val="18"/>
        </w:rPr>
        <w:t>secretion</w:t>
      </w:r>
      <w:r>
        <w:rPr>
          <w:color w:val="231F20"/>
          <w:spacing w:val="-9"/>
          <w:w w:val="105"/>
          <w:sz w:val="18"/>
        </w:rPr>
        <w:t> </w:t>
      </w:r>
      <w:r>
        <w:rPr>
          <w:color w:val="231F20"/>
          <w:w w:val="105"/>
          <w:sz w:val="18"/>
        </w:rPr>
        <w:t>leads</w:t>
      </w:r>
      <w:r>
        <w:rPr>
          <w:color w:val="231F20"/>
          <w:spacing w:val="-9"/>
          <w:w w:val="105"/>
          <w:sz w:val="18"/>
        </w:rPr>
        <w:t> </w:t>
      </w:r>
      <w:r>
        <w:rPr>
          <w:color w:val="231F20"/>
          <w:w w:val="105"/>
          <w:sz w:val="18"/>
        </w:rPr>
        <w:t>to</w:t>
      </w:r>
      <w:r>
        <w:rPr>
          <w:color w:val="231F20"/>
          <w:spacing w:val="-8"/>
          <w:w w:val="105"/>
          <w:sz w:val="18"/>
        </w:rPr>
        <w:t> </w:t>
      </w:r>
      <w:r>
        <w:rPr>
          <w:color w:val="231F20"/>
          <w:w w:val="105"/>
          <w:sz w:val="18"/>
        </w:rPr>
        <w:t>increased</w:t>
      </w:r>
      <w:r>
        <w:rPr>
          <w:color w:val="231F20"/>
          <w:spacing w:val="-9"/>
          <w:w w:val="105"/>
          <w:sz w:val="18"/>
        </w:rPr>
        <w:t> </w:t>
      </w:r>
      <w:r>
        <w:rPr>
          <w:color w:val="231F20"/>
          <w:w w:val="105"/>
          <w:sz w:val="18"/>
        </w:rPr>
        <w:t>formation</w:t>
      </w:r>
      <w:r>
        <w:rPr>
          <w:color w:val="231F20"/>
          <w:spacing w:val="-9"/>
          <w:w w:val="105"/>
          <w:sz w:val="18"/>
        </w:rPr>
        <w:t> </w:t>
      </w:r>
      <w:r>
        <w:rPr>
          <w:color w:val="231F20"/>
          <w:w w:val="105"/>
          <w:sz w:val="18"/>
        </w:rPr>
        <w:t>of</w:t>
      </w:r>
      <w:r>
        <w:rPr>
          <w:color w:val="231F20"/>
          <w:spacing w:val="-9"/>
          <w:w w:val="105"/>
          <w:sz w:val="18"/>
        </w:rPr>
        <w:t> </w:t>
      </w:r>
      <w:r>
        <w:rPr>
          <w:color w:val="231F20"/>
          <w:w w:val="105"/>
          <w:sz w:val="18"/>
        </w:rPr>
        <w:t>angiotensin II,</w:t>
      </w:r>
      <w:r>
        <w:rPr>
          <w:color w:val="231F20"/>
          <w:spacing w:val="-24"/>
          <w:w w:val="105"/>
          <w:sz w:val="18"/>
        </w:rPr>
        <w:t> </w:t>
      </w:r>
      <w:r>
        <w:rPr>
          <w:color w:val="231F20"/>
          <w:w w:val="105"/>
          <w:sz w:val="18"/>
        </w:rPr>
        <w:t>which</w:t>
      </w:r>
      <w:r>
        <w:rPr>
          <w:color w:val="231F20"/>
          <w:spacing w:val="-24"/>
          <w:w w:val="105"/>
          <w:sz w:val="18"/>
        </w:rPr>
        <w:t> </w:t>
      </w:r>
      <w:r>
        <w:rPr>
          <w:color w:val="231F20"/>
          <w:w w:val="105"/>
          <w:sz w:val="18"/>
        </w:rPr>
        <w:t>can</w:t>
      </w:r>
      <w:r>
        <w:rPr>
          <w:color w:val="231F20"/>
          <w:spacing w:val="-23"/>
          <w:w w:val="105"/>
          <w:sz w:val="18"/>
        </w:rPr>
        <w:t> </w:t>
      </w:r>
      <w:r>
        <w:rPr>
          <w:color w:val="231F20"/>
          <w:w w:val="105"/>
          <w:sz w:val="18"/>
        </w:rPr>
        <w:t>cause</w:t>
      </w:r>
      <w:r>
        <w:rPr>
          <w:color w:val="231F20"/>
          <w:spacing w:val="-24"/>
          <w:w w:val="105"/>
          <w:sz w:val="18"/>
        </w:rPr>
        <w:t> </w:t>
      </w:r>
      <w:r>
        <w:rPr>
          <w:color w:val="231F20"/>
          <w:w w:val="105"/>
          <w:sz w:val="18"/>
        </w:rPr>
        <w:t>hypertension.</w:t>
      </w:r>
      <w:r>
        <w:rPr>
          <w:color w:val="231F20"/>
          <w:spacing w:val="-23"/>
          <w:w w:val="105"/>
          <w:sz w:val="18"/>
        </w:rPr>
        <w:t> </w:t>
      </w:r>
      <w:r>
        <w:rPr>
          <w:color w:val="231F20"/>
          <w:w w:val="105"/>
          <w:sz w:val="18"/>
        </w:rPr>
        <w:t>The</w:t>
      </w:r>
      <w:r>
        <w:rPr>
          <w:color w:val="231F20"/>
          <w:spacing w:val="-24"/>
          <w:w w:val="105"/>
          <w:sz w:val="18"/>
        </w:rPr>
        <w:t> </w:t>
      </w:r>
      <w:r>
        <w:rPr>
          <w:color w:val="231F20"/>
          <w:w w:val="105"/>
          <w:sz w:val="18"/>
        </w:rPr>
        <w:t>most</w:t>
      </w:r>
      <w:r>
        <w:rPr>
          <w:color w:val="231F20"/>
          <w:spacing w:val="-24"/>
          <w:w w:val="105"/>
          <w:sz w:val="18"/>
        </w:rPr>
        <w:t> </w:t>
      </w:r>
      <w:r>
        <w:rPr>
          <w:color w:val="231F20"/>
          <w:w w:val="105"/>
          <w:sz w:val="18"/>
        </w:rPr>
        <w:t>likely</w:t>
      </w:r>
      <w:r>
        <w:rPr>
          <w:color w:val="231F20"/>
          <w:spacing w:val="-23"/>
          <w:w w:val="105"/>
          <w:sz w:val="18"/>
        </w:rPr>
        <w:t> </w:t>
      </w:r>
      <w:r>
        <w:rPr>
          <w:color w:val="231F20"/>
          <w:w w:val="105"/>
          <w:sz w:val="18"/>
        </w:rPr>
        <w:t>sequence of events in causing this hypertension, as discussed in Chapter</w:t>
      </w:r>
      <w:r>
        <w:rPr>
          <w:color w:val="231F20"/>
          <w:spacing w:val="-6"/>
          <w:w w:val="105"/>
          <w:sz w:val="18"/>
        </w:rPr>
        <w:t> </w:t>
      </w:r>
      <w:r>
        <w:rPr>
          <w:color w:val="231F20"/>
          <w:w w:val="105"/>
          <w:sz w:val="18"/>
        </w:rPr>
        <w:t>19,</w:t>
      </w:r>
      <w:r>
        <w:rPr>
          <w:color w:val="231F20"/>
          <w:spacing w:val="-5"/>
          <w:w w:val="105"/>
          <w:sz w:val="18"/>
        </w:rPr>
        <w:t> </w:t>
      </w:r>
      <w:r>
        <w:rPr>
          <w:color w:val="231F20"/>
          <w:w w:val="105"/>
          <w:sz w:val="18"/>
        </w:rPr>
        <w:t>is</w:t>
      </w:r>
      <w:r>
        <w:rPr>
          <w:color w:val="231F20"/>
          <w:spacing w:val="-5"/>
          <w:w w:val="105"/>
          <w:sz w:val="18"/>
        </w:rPr>
        <w:t> </w:t>
      </w:r>
      <w:r>
        <w:rPr>
          <w:color w:val="231F20"/>
          <w:w w:val="105"/>
          <w:sz w:val="18"/>
        </w:rPr>
        <w:t>(1)</w:t>
      </w:r>
      <w:r>
        <w:rPr>
          <w:color w:val="231F20"/>
          <w:spacing w:val="-6"/>
          <w:w w:val="105"/>
          <w:sz w:val="18"/>
        </w:rPr>
        <w:t> </w:t>
      </w:r>
      <w:r>
        <w:rPr>
          <w:color w:val="231F20"/>
          <w:w w:val="105"/>
          <w:sz w:val="18"/>
        </w:rPr>
        <w:t>the</w:t>
      </w:r>
      <w:r>
        <w:rPr>
          <w:color w:val="231F20"/>
          <w:spacing w:val="-5"/>
          <w:w w:val="105"/>
          <w:sz w:val="18"/>
        </w:rPr>
        <w:t> </w:t>
      </w:r>
      <w:r>
        <w:rPr>
          <w:color w:val="231F20"/>
          <w:w w:val="105"/>
          <w:sz w:val="18"/>
        </w:rPr>
        <w:t>ischemic</w:t>
      </w:r>
      <w:r>
        <w:rPr>
          <w:color w:val="231F20"/>
          <w:spacing w:val="-5"/>
          <w:w w:val="105"/>
          <w:sz w:val="18"/>
        </w:rPr>
        <w:t> </w:t>
      </w:r>
      <w:r>
        <w:rPr>
          <w:color w:val="231F20"/>
          <w:w w:val="105"/>
          <w:sz w:val="18"/>
        </w:rPr>
        <w:t>kidney</w:t>
      </w:r>
      <w:r>
        <w:rPr>
          <w:color w:val="231F20"/>
          <w:spacing w:val="-5"/>
          <w:w w:val="105"/>
          <w:sz w:val="18"/>
        </w:rPr>
        <w:t> </w:t>
      </w:r>
      <w:r>
        <w:rPr>
          <w:color w:val="231F20"/>
          <w:w w:val="105"/>
          <w:sz w:val="18"/>
        </w:rPr>
        <w:t>tissue</w:t>
      </w:r>
      <w:r>
        <w:rPr>
          <w:color w:val="231F20"/>
          <w:spacing w:val="-6"/>
          <w:w w:val="105"/>
          <w:sz w:val="18"/>
        </w:rPr>
        <w:t> </w:t>
      </w:r>
      <w:r>
        <w:rPr>
          <w:color w:val="231F20"/>
          <w:w w:val="105"/>
          <w:sz w:val="18"/>
        </w:rPr>
        <w:t>excretes</w:t>
      </w:r>
      <w:r>
        <w:rPr>
          <w:color w:val="231F20"/>
          <w:spacing w:val="-5"/>
          <w:w w:val="105"/>
          <w:sz w:val="18"/>
        </w:rPr>
        <w:t> </w:t>
      </w:r>
      <w:r>
        <w:rPr>
          <w:color w:val="231F20"/>
          <w:w w:val="105"/>
          <w:sz w:val="18"/>
        </w:rPr>
        <w:t>less than normal amounts of water and salt; (2) the renin secreted</w:t>
      </w:r>
      <w:r>
        <w:rPr>
          <w:color w:val="231F20"/>
          <w:spacing w:val="-12"/>
          <w:w w:val="105"/>
          <w:sz w:val="18"/>
        </w:rPr>
        <w:t> </w:t>
      </w:r>
      <w:r>
        <w:rPr>
          <w:color w:val="231F20"/>
          <w:w w:val="105"/>
          <w:sz w:val="18"/>
        </w:rPr>
        <w:t>by</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ischemic</w:t>
      </w:r>
      <w:r>
        <w:rPr>
          <w:color w:val="231F20"/>
          <w:spacing w:val="-11"/>
          <w:w w:val="105"/>
          <w:sz w:val="18"/>
        </w:rPr>
        <w:t> </w:t>
      </w:r>
      <w:r>
        <w:rPr>
          <w:color w:val="231F20"/>
          <w:w w:val="105"/>
          <w:sz w:val="18"/>
        </w:rPr>
        <w:t>kidney,</w:t>
      </w:r>
      <w:r>
        <w:rPr>
          <w:color w:val="231F20"/>
          <w:spacing w:val="-11"/>
          <w:w w:val="105"/>
          <w:sz w:val="18"/>
        </w:rPr>
        <w:t> </w:t>
      </w:r>
      <w:r>
        <w:rPr>
          <w:color w:val="231F20"/>
          <w:w w:val="105"/>
          <w:sz w:val="18"/>
        </w:rPr>
        <w:t>as</w:t>
      </w:r>
      <w:r>
        <w:rPr>
          <w:color w:val="231F20"/>
          <w:spacing w:val="-12"/>
          <w:w w:val="105"/>
          <w:sz w:val="18"/>
        </w:rPr>
        <w:t> </w:t>
      </w:r>
      <w:r>
        <w:rPr>
          <w:color w:val="231F20"/>
          <w:w w:val="105"/>
          <w:sz w:val="18"/>
        </w:rPr>
        <w:t>well</w:t>
      </w:r>
      <w:r>
        <w:rPr>
          <w:color w:val="231F20"/>
          <w:spacing w:val="-11"/>
          <w:w w:val="105"/>
          <w:sz w:val="18"/>
        </w:rPr>
        <w:t> </w:t>
      </w:r>
      <w:r>
        <w:rPr>
          <w:color w:val="231F20"/>
          <w:w w:val="105"/>
          <w:sz w:val="18"/>
        </w:rPr>
        <w:t>as</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subsequent increased</w:t>
      </w:r>
      <w:r>
        <w:rPr>
          <w:color w:val="231F20"/>
          <w:spacing w:val="-27"/>
          <w:w w:val="105"/>
          <w:sz w:val="18"/>
        </w:rPr>
        <w:t> </w:t>
      </w:r>
      <w:r>
        <w:rPr>
          <w:color w:val="231F20"/>
          <w:w w:val="105"/>
          <w:sz w:val="18"/>
        </w:rPr>
        <w:t>angiotensin</w:t>
      </w:r>
      <w:r>
        <w:rPr>
          <w:color w:val="231F20"/>
          <w:spacing w:val="-27"/>
          <w:w w:val="105"/>
          <w:sz w:val="18"/>
        </w:rPr>
        <w:t> </w:t>
      </w:r>
      <w:r>
        <w:rPr>
          <w:color w:val="231F20"/>
          <w:w w:val="105"/>
          <w:sz w:val="18"/>
        </w:rPr>
        <w:t>II</w:t>
      </w:r>
      <w:r>
        <w:rPr>
          <w:color w:val="231F20"/>
          <w:spacing w:val="-27"/>
          <w:w w:val="105"/>
          <w:sz w:val="18"/>
        </w:rPr>
        <w:t> </w:t>
      </w:r>
      <w:r>
        <w:rPr>
          <w:color w:val="231F20"/>
          <w:w w:val="105"/>
          <w:sz w:val="18"/>
        </w:rPr>
        <w:t>formation,</w:t>
      </w:r>
      <w:r>
        <w:rPr>
          <w:color w:val="231F20"/>
          <w:spacing w:val="-27"/>
          <w:w w:val="105"/>
          <w:sz w:val="18"/>
        </w:rPr>
        <w:t> </w:t>
      </w:r>
      <w:r>
        <w:rPr>
          <w:color w:val="231F20"/>
          <w:w w:val="105"/>
          <w:sz w:val="18"/>
        </w:rPr>
        <w:t>affects</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nonischemic kidney tissue, causing it also to retain salt and water;</w:t>
      </w:r>
      <w:r>
        <w:rPr>
          <w:color w:val="231F20"/>
          <w:spacing w:val="-1"/>
          <w:w w:val="105"/>
          <w:sz w:val="18"/>
        </w:rPr>
        <w:t> </w:t>
      </w:r>
      <w:r>
        <w:rPr>
          <w:color w:val="231F20"/>
          <w:w w:val="105"/>
          <w:sz w:val="18"/>
        </w:rPr>
        <w:t>and</w:t>
      </w:r>
    </w:p>
    <w:p>
      <w:pPr>
        <w:spacing w:line="254" w:lineRule="auto" w:before="6"/>
        <w:ind w:left="679" w:right="1618" w:firstLine="0"/>
        <w:jc w:val="both"/>
        <w:rPr>
          <w:sz w:val="18"/>
        </w:rPr>
      </w:pPr>
      <w:r>
        <w:rPr>
          <w:color w:val="231F20"/>
          <w:w w:val="105"/>
          <w:sz w:val="18"/>
        </w:rPr>
        <w:t>(3) excess salt and water cause hypertension in the usual manner.</w:t>
      </w:r>
    </w:p>
    <w:p>
      <w:pPr>
        <w:spacing w:line="254" w:lineRule="auto" w:before="1"/>
        <w:ind w:left="679" w:right="1617" w:firstLine="239"/>
        <w:jc w:val="both"/>
        <w:rPr>
          <w:sz w:val="18"/>
        </w:rPr>
      </w:pPr>
      <w:r>
        <w:rPr>
          <w:color w:val="231F20"/>
          <w:w w:val="105"/>
          <w:sz w:val="18"/>
        </w:rPr>
        <w:t>A similar type of hypertension can result when</w:t>
      </w:r>
      <w:r>
        <w:rPr>
          <w:color w:val="231F20"/>
          <w:spacing w:val="-24"/>
          <w:w w:val="105"/>
          <w:sz w:val="18"/>
        </w:rPr>
        <w:t> </w:t>
      </w:r>
      <w:r>
        <w:rPr>
          <w:color w:val="231F20"/>
          <w:w w:val="105"/>
          <w:sz w:val="18"/>
        </w:rPr>
        <w:t>patchy areas of one or both kidneys become ischemic as a result of</w:t>
      </w:r>
      <w:r>
        <w:rPr>
          <w:color w:val="231F20"/>
          <w:spacing w:val="-16"/>
          <w:w w:val="105"/>
          <w:sz w:val="18"/>
        </w:rPr>
        <w:t> </w:t>
      </w:r>
      <w:r>
        <w:rPr>
          <w:color w:val="231F20"/>
          <w:w w:val="105"/>
          <w:sz w:val="18"/>
        </w:rPr>
        <w:t>arteriosclerosis</w:t>
      </w:r>
      <w:r>
        <w:rPr>
          <w:color w:val="231F20"/>
          <w:spacing w:val="-15"/>
          <w:w w:val="105"/>
          <w:sz w:val="18"/>
        </w:rPr>
        <w:t> </w:t>
      </w:r>
      <w:r>
        <w:rPr>
          <w:color w:val="231F20"/>
          <w:w w:val="105"/>
          <w:sz w:val="18"/>
        </w:rPr>
        <w:t>or</w:t>
      </w:r>
      <w:r>
        <w:rPr>
          <w:color w:val="231F20"/>
          <w:spacing w:val="-15"/>
          <w:w w:val="105"/>
          <w:sz w:val="18"/>
        </w:rPr>
        <w:t> </w:t>
      </w:r>
      <w:r>
        <w:rPr>
          <w:color w:val="231F20"/>
          <w:w w:val="105"/>
          <w:sz w:val="18"/>
        </w:rPr>
        <w:t>vascular</w:t>
      </w:r>
      <w:r>
        <w:rPr>
          <w:color w:val="231F20"/>
          <w:spacing w:val="-15"/>
          <w:w w:val="105"/>
          <w:sz w:val="18"/>
        </w:rPr>
        <w:t> </w:t>
      </w:r>
      <w:r>
        <w:rPr>
          <w:color w:val="231F20"/>
          <w:w w:val="105"/>
          <w:sz w:val="18"/>
        </w:rPr>
        <w:t>injury</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specific</w:t>
      </w:r>
      <w:r>
        <w:rPr>
          <w:color w:val="231F20"/>
          <w:spacing w:val="-15"/>
          <w:w w:val="105"/>
          <w:sz w:val="18"/>
        </w:rPr>
        <w:t> </w:t>
      </w:r>
      <w:r>
        <w:rPr>
          <w:color w:val="231F20"/>
          <w:w w:val="105"/>
          <w:sz w:val="18"/>
        </w:rPr>
        <w:t>portions</w:t>
      </w:r>
      <w:r>
        <w:rPr>
          <w:color w:val="231F20"/>
          <w:spacing w:val="-15"/>
          <w:w w:val="105"/>
          <w:sz w:val="18"/>
        </w:rPr>
        <w:t> </w:t>
      </w:r>
      <w:r>
        <w:rPr>
          <w:color w:val="231F20"/>
          <w:w w:val="105"/>
          <w:sz w:val="18"/>
        </w:rPr>
        <w:t>of the kidneys. When this occurs, the ischemic nephrons excrete less salt and water but secrete greater amounts of renin, which causes increased angiotensin II formation. The</w:t>
      </w:r>
      <w:r>
        <w:rPr>
          <w:color w:val="231F20"/>
          <w:spacing w:val="-7"/>
          <w:w w:val="105"/>
          <w:sz w:val="18"/>
        </w:rPr>
        <w:t> </w:t>
      </w:r>
      <w:r>
        <w:rPr>
          <w:color w:val="231F20"/>
          <w:w w:val="105"/>
          <w:sz w:val="18"/>
        </w:rPr>
        <w:t>high</w:t>
      </w:r>
      <w:r>
        <w:rPr>
          <w:color w:val="231F20"/>
          <w:spacing w:val="-7"/>
          <w:w w:val="105"/>
          <w:sz w:val="18"/>
        </w:rPr>
        <w:t> </w:t>
      </w:r>
      <w:r>
        <w:rPr>
          <w:color w:val="231F20"/>
          <w:w w:val="105"/>
          <w:sz w:val="18"/>
        </w:rPr>
        <w:t>levels</w:t>
      </w:r>
      <w:r>
        <w:rPr>
          <w:color w:val="231F20"/>
          <w:spacing w:val="-7"/>
          <w:w w:val="105"/>
          <w:sz w:val="18"/>
        </w:rPr>
        <w:t> </w:t>
      </w:r>
      <w:r>
        <w:rPr>
          <w:color w:val="231F20"/>
          <w:w w:val="105"/>
          <w:sz w:val="18"/>
        </w:rPr>
        <w:t>of</w:t>
      </w:r>
      <w:r>
        <w:rPr>
          <w:color w:val="231F20"/>
          <w:spacing w:val="-7"/>
          <w:w w:val="105"/>
          <w:sz w:val="18"/>
        </w:rPr>
        <w:t> </w:t>
      </w:r>
      <w:r>
        <w:rPr>
          <w:color w:val="231F20"/>
          <w:w w:val="105"/>
          <w:sz w:val="18"/>
        </w:rPr>
        <w:t>angiotensin</w:t>
      </w:r>
      <w:r>
        <w:rPr>
          <w:color w:val="231F20"/>
          <w:spacing w:val="-6"/>
          <w:w w:val="105"/>
          <w:sz w:val="18"/>
        </w:rPr>
        <w:t> </w:t>
      </w:r>
      <w:r>
        <w:rPr>
          <w:color w:val="231F20"/>
          <w:w w:val="105"/>
          <w:sz w:val="18"/>
        </w:rPr>
        <w:t>II</w:t>
      </w:r>
      <w:r>
        <w:rPr>
          <w:color w:val="231F20"/>
          <w:spacing w:val="-7"/>
          <w:w w:val="105"/>
          <w:sz w:val="18"/>
        </w:rPr>
        <w:t> </w:t>
      </w:r>
      <w:r>
        <w:rPr>
          <w:color w:val="231F20"/>
          <w:w w:val="105"/>
          <w:sz w:val="18"/>
        </w:rPr>
        <w:t>then</w:t>
      </w:r>
      <w:r>
        <w:rPr>
          <w:color w:val="231F20"/>
          <w:spacing w:val="-7"/>
          <w:w w:val="105"/>
          <w:sz w:val="18"/>
        </w:rPr>
        <w:t> </w:t>
      </w:r>
      <w:r>
        <w:rPr>
          <w:color w:val="231F20"/>
          <w:w w:val="105"/>
          <w:sz w:val="18"/>
        </w:rPr>
        <w:t>impair</w:t>
      </w:r>
      <w:r>
        <w:rPr>
          <w:color w:val="231F20"/>
          <w:spacing w:val="-7"/>
          <w:w w:val="105"/>
          <w:sz w:val="18"/>
        </w:rPr>
        <w:t> </w:t>
      </w:r>
      <w:r>
        <w:rPr>
          <w:color w:val="231F20"/>
          <w:w w:val="105"/>
          <w:sz w:val="18"/>
        </w:rPr>
        <w:t>the</w:t>
      </w:r>
      <w:r>
        <w:rPr>
          <w:color w:val="231F20"/>
          <w:spacing w:val="-6"/>
          <w:w w:val="105"/>
          <w:sz w:val="18"/>
        </w:rPr>
        <w:t> </w:t>
      </w:r>
      <w:r>
        <w:rPr>
          <w:color w:val="231F20"/>
          <w:w w:val="105"/>
          <w:sz w:val="18"/>
        </w:rPr>
        <w:t>ability</w:t>
      </w:r>
      <w:r>
        <w:rPr>
          <w:color w:val="231F20"/>
          <w:spacing w:val="-7"/>
          <w:w w:val="105"/>
          <w:sz w:val="18"/>
        </w:rPr>
        <w:t> </w:t>
      </w:r>
      <w:r>
        <w:rPr>
          <w:color w:val="231F20"/>
          <w:spacing w:val="-6"/>
          <w:w w:val="105"/>
          <w:sz w:val="18"/>
        </w:rPr>
        <w:t>of </w:t>
      </w:r>
      <w:r>
        <w:rPr>
          <w:color w:val="231F20"/>
          <w:w w:val="105"/>
          <w:sz w:val="18"/>
        </w:rPr>
        <w:t>the surrounding, otherwise normal nephrons to excrete sodium and </w:t>
      </w:r>
      <w:r>
        <w:rPr>
          <w:color w:val="231F20"/>
          <w:spacing w:val="-3"/>
          <w:w w:val="105"/>
          <w:sz w:val="18"/>
        </w:rPr>
        <w:t>water. </w:t>
      </w:r>
      <w:r>
        <w:rPr>
          <w:color w:val="231F20"/>
          <w:w w:val="105"/>
          <w:sz w:val="18"/>
        </w:rPr>
        <w:t>As a result, hypertension develops, which restores the overall excretion of sodium and water by</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kidney,</w:t>
      </w:r>
      <w:r>
        <w:rPr>
          <w:color w:val="231F20"/>
          <w:spacing w:val="-15"/>
          <w:w w:val="105"/>
          <w:sz w:val="18"/>
        </w:rPr>
        <w:t> </w:t>
      </w:r>
      <w:r>
        <w:rPr>
          <w:color w:val="231F20"/>
          <w:w w:val="105"/>
          <w:sz w:val="18"/>
        </w:rPr>
        <w:t>so</w:t>
      </w:r>
      <w:r>
        <w:rPr>
          <w:color w:val="231F20"/>
          <w:spacing w:val="-16"/>
          <w:w w:val="105"/>
          <w:sz w:val="18"/>
        </w:rPr>
        <w:t> </w:t>
      </w:r>
      <w:r>
        <w:rPr>
          <w:color w:val="231F20"/>
          <w:w w:val="105"/>
          <w:sz w:val="18"/>
        </w:rPr>
        <w:t>balance</w:t>
      </w:r>
      <w:r>
        <w:rPr>
          <w:color w:val="231F20"/>
          <w:spacing w:val="-15"/>
          <w:w w:val="105"/>
          <w:sz w:val="18"/>
        </w:rPr>
        <w:t> </w:t>
      </w:r>
      <w:r>
        <w:rPr>
          <w:color w:val="231F20"/>
          <w:w w:val="105"/>
          <w:sz w:val="18"/>
        </w:rPr>
        <w:t>between</w:t>
      </w:r>
      <w:r>
        <w:rPr>
          <w:color w:val="231F20"/>
          <w:spacing w:val="-15"/>
          <w:w w:val="105"/>
          <w:sz w:val="18"/>
        </w:rPr>
        <w:t> </w:t>
      </w:r>
      <w:r>
        <w:rPr>
          <w:color w:val="231F20"/>
          <w:w w:val="105"/>
          <w:sz w:val="18"/>
        </w:rPr>
        <w:t>intake</w:t>
      </w:r>
      <w:r>
        <w:rPr>
          <w:color w:val="231F20"/>
          <w:spacing w:val="-15"/>
          <w:w w:val="105"/>
          <w:sz w:val="18"/>
        </w:rPr>
        <w:t> </w:t>
      </w:r>
      <w:r>
        <w:rPr>
          <w:color w:val="231F20"/>
          <w:w w:val="105"/>
          <w:sz w:val="18"/>
        </w:rPr>
        <w:t>and</w:t>
      </w:r>
      <w:r>
        <w:rPr>
          <w:color w:val="231F20"/>
          <w:spacing w:val="-16"/>
          <w:w w:val="105"/>
          <w:sz w:val="18"/>
        </w:rPr>
        <w:t> </w:t>
      </w:r>
      <w:r>
        <w:rPr>
          <w:color w:val="231F20"/>
          <w:w w:val="105"/>
          <w:sz w:val="18"/>
        </w:rPr>
        <w:t>output</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salt and water is maintained, but at the expense of high blood pressure.</w:t>
      </w:r>
    </w:p>
    <w:p>
      <w:pPr>
        <w:spacing w:line="252" w:lineRule="auto" w:before="206"/>
        <w:ind w:left="679" w:right="2350" w:firstLine="0"/>
        <w:jc w:val="both"/>
        <w:rPr>
          <w:rFonts w:ascii="Trebuchet MS"/>
          <w:b/>
          <w:sz w:val="18"/>
        </w:rPr>
      </w:pPr>
      <w:r>
        <w:rPr>
          <w:rFonts w:ascii="Trebuchet MS"/>
          <w:b/>
          <w:color w:val="231F20"/>
          <w:sz w:val="18"/>
        </w:rPr>
        <w:t>Kidney Diseases That Cause Loss of Entire Nephrons Lead to Chronic Kidney Disease but May Not Cause Hypertension</w:t>
      </w:r>
    </w:p>
    <w:p>
      <w:pPr>
        <w:spacing w:line="254" w:lineRule="auto" w:before="83"/>
        <w:ind w:left="679" w:right="1617" w:firstLine="0"/>
        <w:jc w:val="both"/>
        <w:rPr>
          <w:sz w:val="18"/>
        </w:rPr>
      </w:pPr>
      <w:r>
        <w:rPr>
          <w:color w:val="231F20"/>
          <w:w w:val="105"/>
          <w:sz w:val="18"/>
        </w:rPr>
        <w:t>Loss of large numbers of whole nephrons, such as</w:t>
      </w:r>
      <w:r>
        <w:rPr>
          <w:color w:val="231F20"/>
          <w:spacing w:val="-15"/>
          <w:w w:val="105"/>
          <w:sz w:val="18"/>
        </w:rPr>
        <w:t> </w:t>
      </w:r>
      <w:r>
        <w:rPr>
          <w:color w:val="231F20"/>
          <w:w w:val="105"/>
          <w:sz w:val="18"/>
        </w:rPr>
        <w:t>occurs with the loss of one kidney and part of another kidney, almost</w:t>
      </w:r>
      <w:r>
        <w:rPr>
          <w:color w:val="231F20"/>
          <w:spacing w:val="-14"/>
          <w:w w:val="105"/>
          <w:sz w:val="18"/>
        </w:rPr>
        <w:t> </w:t>
      </w:r>
      <w:r>
        <w:rPr>
          <w:color w:val="231F20"/>
          <w:w w:val="105"/>
          <w:sz w:val="18"/>
        </w:rPr>
        <w:t>always</w:t>
      </w:r>
      <w:r>
        <w:rPr>
          <w:color w:val="231F20"/>
          <w:spacing w:val="-14"/>
          <w:w w:val="105"/>
          <w:sz w:val="18"/>
        </w:rPr>
        <w:t> </w:t>
      </w:r>
      <w:r>
        <w:rPr>
          <w:color w:val="231F20"/>
          <w:w w:val="105"/>
          <w:sz w:val="18"/>
        </w:rPr>
        <w:t>leads</w:t>
      </w:r>
      <w:r>
        <w:rPr>
          <w:color w:val="231F20"/>
          <w:spacing w:val="-14"/>
          <w:w w:val="105"/>
          <w:sz w:val="18"/>
        </w:rPr>
        <w:t> </w:t>
      </w:r>
      <w:r>
        <w:rPr>
          <w:color w:val="231F20"/>
          <w:w w:val="105"/>
          <w:sz w:val="18"/>
        </w:rPr>
        <w:t>to</w:t>
      </w:r>
      <w:r>
        <w:rPr>
          <w:color w:val="231F20"/>
          <w:spacing w:val="-13"/>
          <w:w w:val="105"/>
          <w:sz w:val="18"/>
        </w:rPr>
        <w:t> </w:t>
      </w:r>
      <w:r>
        <w:rPr>
          <w:color w:val="231F20"/>
          <w:w w:val="105"/>
          <w:sz w:val="18"/>
        </w:rPr>
        <w:t>CKD</w:t>
      </w:r>
      <w:r>
        <w:rPr>
          <w:color w:val="231F20"/>
          <w:spacing w:val="-14"/>
          <w:w w:val="105"/>
          <w:sz w:val="18"/>
        </w:rPr>
        <w:t> </w:t>
      </w:r>
      <w:r>
        <w:rPr>
          <w:color w:val="231F20"/>
          <w:w w:val="105"/>
          <w:sz w:val="18"/>
        </w:rPr>
        <w:t>if</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amount</w:t>
      </w:r>
      <w:r>
        <w:rPr>
          <w:color w:val="231F20"/>
          <w:spacing w:val="-13"/>
          <w:w w:val="105"/>
          <w:sz w:val="18"/>
        </w:rPr>
        <w:t> </w:t>
      </w:r>
      <w:r>
        <w:rPr>
          <w:color w:val="231F20"/>
          <w:w w:val="105"/>
          <w:sz w:val="18"/>
        </w:rPr>
        <w:t>of</w:t>
      </w:r>
      <w:r>
        <w:rPr>
          <w:color w:val="231F20"/>
          <w:spacing w:val="-14"/>
          <w:w w:val="105"/>
          <w:sz w:val="18"/>
        </w:rPr>
        <w:t> </w:t>
      </w:r>
      <w:r>
        <w:rPr>
          <w:color w:val="231F20"/>
          <w:w w:val="105"/>
          <w:sz w:val="18"/>
        </w:rPr>
        <w:t>kidney</w:t>
      </w:r>
      <w:r>
        <w:rPr>
          <w:color w:val="231F20"/>
          <w:spacing w:val="-14"/>
          <w:w w:val="105"/>
          <w:sz w:val="18"/>
        </w:rPr>
        <w:t> </w:t>
      </w:r>
      <w:r>
        <w:rPr>
          <w:color w:val="231F20"/>
          <w:w w:val="105"/>
          <w:sz w:val="18"/>
        </w:rPr>
        <w:t>tissue lost</w:t>
      </w:r>
      <w:r>
        <w:rPr>
          <w:color w:val="231F20"/>
          <w:spacing w:val="-9"/>
          <w:w w:val="105"/>
          <w:sz w:val="18"/>
        </w:rPr>
        <w:t> </w:t>
      </w:r>
      <w:r>
        <w:rPr>
          <w:color w:val="231F20"/>
          <w:w w:val="105"/>
          <w:sz w:val="18"/>
        </w:rPr>
        <w:t>is</w:t>
      </w:r>
      <w:r>
        <w:rPr>
          <w:color w:val="231F20"/>
          <w:spacing w:val="-8"/>
          <w:w w:val="105"/>
          <w:sz w:val="18"/>
        </w:rPr>
        <w:t> </w:t>
      </w:r>
      <w:r>
        <w:rPr>
          <w:color w:val="231F20"/>
          <w:w w:val="105"/>
          <w:sz w:val="18"/>
        </w:rPr>
        <w:t>great</w:t>
      </w:r>
      <w:r>
        <w:rPr>
          <w:color w:val="231F20"/>
          <w:spacing w:val="-8"/>
          <w:w w:val="105"/>
          <w:sz w:val="18"/>
        </w:rPr>
        <w:t> </w:t>
      </w:r>
      <w:r>
        <w:rPr>
          <w:color w:val="231F20"/>
          <w:w w:val="105"/>
          <w:sz w:val="18"/>
        </w:rPr>
        <w:t>enough.</w:t>
      </w:r>
      <w:r>
        <w:rPr>
          <w:color w:val="231F20"/>
          <w:spacing w:val="-8"/>
          <w:w w:val="105"/>
          <w:sz w:val="18"/>
        </w:rPr>
        <w:t> </w:t>
      </w:r>
      <w:r>
        <w:rPr>
          <w:color w:val="231F20"/>
          <w:w w:val="105"/>
          <w:sz w:val="18"/>
        </w:rPr>
        <w:t>If</w:t>
      </w:r>
      <w:r>
        <w:rPr>
          <w:color w:val="231F20"/>
          <w:spacing w:val="-8"/>
          <w:w w:val="105"/>
          <w:sz w:val="18"/>
        </w:rPr>
        <w:t> </w:t>
      </w:r>
      <w:r>
        <w:rPr>
          <w:color w:val="231F20"/>
          <w:w w:val="105"/>
          <w:sz w:val="18"/>
        </w:rPr>
        <w:t>the</w:t>
      </w:r>
      <w:r>
        <w:rPr>
          <w:color w:val="231F20"/>
          <w:spacing w:val="-8"/>
          <w:w w:val="105"/>
          <w:sz w:val="18"/>
        </w:rPr>
        <w:t> </w:t>
      </w:r>
      <w:r>
        <w:rPr>
          <w:color w:val="231F20"/>
          <w:w w:val="105"/>
          <w:sz w:val="18"/>
        </w:rPr>
        <w:t>remaining</w:t>
      </w:r>
      <w:r>
        <w:rPr>
          <w:color w:val="231F20"/>
          <w:spacing w:val="-8"/>
          <w:w w:val="105"/>
          <w:sz w:val="18"/>
        </w:rPr>
        <w:t> </w:t>
      </w:r>
      <w:r>
        <w:rPr>
          <w:color w:val="231F20"/>
          <w:w w:val="105"/>
          <w:sz w:val="18"/>
        </w:rPr>
        <w:t>nephrons</w:t>
      </w:r>
      <w:r>
        <w:rPr>
          <w:color w:val="231F20"/>
          <w:spacing w:val="-8"/>
          <w:w w:val="105"/>
          <w:sz w:val="18"/>
        </w:rPr>
        <w:t> </w:t>
      </w:r>
      <w:r>
        <w:rPr>
          <w:color w:val="231F20"/>
          <w:w w:val="105"/>
          <w:sz w:val="18"/>
        </w:rPr>
        <w:t>are</w:t>
      </w:r>
      <w:r>
        <w:rPr>
          <w:color w:val="231F20"/>
          <w:spacing w:val="-9"/>
          <w:w w:val="105"/>
          <w:sz w:val="18"/>
        </w:rPr>
        <w:t> </w:t>
      </w:r>
      <w:r>
        <w:rPr>
          <w:color w:val="231F20"/>
          <w:w w:val="105"/>
          <w:sz w:val="18"/>
        </w:rPr>
        <w:t>normal and</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salt</w:t>
      </w:r>
      <w:r>
        <w:rPr>
          <w:color w:val="231F20"/>
          <w:spacing w:val="-20"/>
          <w:w w:val="105"/>
          <w:sz w:val="18"/>
        </w:rPr>
        <w:t> </w:t>
      </w:r>
      <w:r>
        <w:rPr>
          <w:color w:val="231F20"/>
          <w:w w:val="105"/>
          <w:sz w:val="18"/>
        </w:rPr>
        <w:t>intake</w:t>
      </w:r>
      <w:r>
        <w:rPr>
          <w:color w:val="231F20"/>
          <w:spacing w:val="-20"/>
          <w:w w:val="105"/>
          <w:sz w:val="18"/>
        </w:rPr>
        <w:t> </w:t>
      </w:r>
      <w:r>
        <w:rPr>
          <w:color w:val="231F20"/>
          <w:w w:val="105"/>
          <w:sz w:val="18"/>
        </w:rPr>
        <w:t>is</w:t>
      </w:r>
      <w:r>
        <w:rPr>
          <w:color w:val="231F20"/>
          <w:spacing w:val="-19"/>
          <w:w w:val="105"/>
          <w:sz w:val="18"/>
        </w:rPr>
        <w:t> </w:t>
      </w:r>
      <w:r>
        <w:rPr>
          <w:color w:val="231F20"/>
          <w:w w:val="105"/>
          <w:sz w:val="18"/>
        </w:rPr>
        <w:t>not</w:t>
      </w:r>
      <w:r>
        <w:rPr>
          <w:color w:val="231F20"/>
          <w:spacing w:val="-20"/>
          <w:w w:val="105"/>
          <w:sz w:val="18"/>
        </w:rPr>
        <w:t> </w:t>
      </w:r>
      <w:r>
        <w:rPr>
          <w:color w:val="231F20"/>
          <w:w w:val="105"/>
          <w:sz w:val="18"/>
        </w:rPr>
        <w:t>excessive,</w:t>
      </w:r>
      <w:r>
        <w:rPr>
          <w:color w:val="231F20"/>
          <w:spacing w:val="-20"/>
          <w:w w:val="105"/>
          <w:sz w:val="18"/>
        </w:rPr>
        <w:t> </w:t>
      </w:r>
      <w:r>
        <w:rPr>
          <w:color w:val="231F20"/>
          <w:w w:val="105"/>
          <w:sz w:val="18"/>
        </w:rPr>
        <w:t>this</w:t>
      </w:r>
      <w:r>
        <w:rPr>
          <w:color w:val="231F20"/>
          <w:spacing w:val="-20"/>
          <w:w w:val="105"/>
          <w:sz w:val="18"/>
        </w:rPr>
        <w:t> </w:t>
      </w:r>
      <w:r>
        <w:rPr>
          <w:color w:val="231F20"/>
          <w:w w:val="105"/>
          <w:sz w:val="18"/>
        </w:rPr>
        <w:t>condition</w:t>
      </w:r>
      <w:r>
        <w:rPr>
          <w:color w:val="231F20"/>
          <w:spacing w:val="-19"/>
          <w:w w:val="105"/>
          <w:sz w:val="18"/>
        </w:rPr>
        <w:t> </w:t>
      </w:r>
      <w:r>
        <w:rPr>
          <w:color w:val="231F20"/>
          <w:w w:val="105"/>
          <w:sz w:val="18"/>
        </w:rPr>
        <w:t>might</w:t>
      </w:r>
      <w:r>
        <w:rPr>
          <w:color w:val="231F20"/>
          <w:spacing w:val="-20"/>
          <w:w w:val="105"/>
          <w:sz w:val="18"/>
        </w:rPr>
        <w:t> </w:t>
      </w:r>
      <w:r>
        <w:rPr>
          <w:color w:val="231F20"/>
          <w:w w:val="105"/>
          <w:sz w:val="18"/>
        </w:rPr>
        <w:t>not cause clinically significant hypertension because even a slight</w:t>
      </w:r>
      <w:r>
        <w:rPr>
          <w:color w:val="231F20"/>
          <w:spacing w:val="-24"/>
          <w:w w:val="105"/>
          <w:sz w:val="18"/>
        </w:rPr>
        <w:t> </w:t>
      </w:r>
      <w:r>
        <w:rPr>
          <w:color w:val="231F20"/>
          <w:w w:val="105"/>
          <w:sz w:val="18"/>
        </w:rPr>
        <w:t>rise</w:t>
      </w:r>
      <w:r>
        <w:rPr>
          <w:color w:val="231F20"/>
          <w:spacing w:val="-23"/>
          <w:w w:val="105"/>
          <w:sz w:val="18"/>
        </w:rPr>
        <w:t> </w:t>
      </w:r>
      <w:r>
        <w:rPr>
          <w:color w:val="231F20"/>
          <w:w w:val="105"/>
          <w:sz w:val="18"/>
        </w:rPr>
        <w:t>in</w:t>
      </w:r>
      <w:r>
        <w:rPr>
          <w:color w:val="231F20"/>
          <w:spacing w:val="-24"/>
          <w:w w:val="105"/>
          <w:sz w:val="18"/>
        </w:rPr>
        <w:t> </w:t>
      </w:r>
      <w:r>
        <w:rPr>
          <w:color w:val="231F20"/>
          <w:w w:val="105"/>
          <w:sz w:val="18"/>
        </w:rPr>
        <w:t>blood</w:t>
      </w:r>
      <w:r>
        <w:rPr>
          <w:color w:val="231F20"/>
          <w:spacing w:val="-23"/>
          <w:w w:val="105"/>
          <w:sz w:val="18"/>
        </w:rPr>
        <w:t> </w:t>
      </w:r>
      <w:r>
        <w:rPr>
          <w:color w:val="231F20"/>
          <w:w w:val="105"/>
          <w:sz w:val="18"/>
        </w:rPr>
        <w:t>pressure</w:t>
      </w:r>
      <w:r>
        <w:rPr>
          <w:color w:val="231F20"/>
          <w:spacing w:val="-23"/>
          <w:w w:val="105"/>
          <w:sz w:val="18"/>
        </w:rPr>
        <w:t> </w:t>
      </w:r>
      <w:r>
        <w:rPr>
          <w:color w:val="231F20"/>
          <w:w w:val="105"/>
          <w:sz w:val="18"/>
        </w:rPr>
        <w:t>will</w:t>
      </w:r>
      <w:r>
        <w:rPr>
          <w:color w:val="231F20"/>
          <w:spacing w:val="-24"/>
          <w:w w:val="105"/>
          <w:sz w:val="18"/>
        </w:rPr>
        <w:t> </w:t>
      </w:r>
      <w:r>
        <w:rPr>
          <w:color w:val="231F20"/>
          <w:w w:val="105"/>
          <w:sz w:val="18"/>
        </w:rPr>
        <w:t>raise</w:t>
      </w:r>
      <w:r>
        <w:rPr>
          <w:color w:val="231F20"/>
          <w:spacing w:val="-23"/>
          <w:w w:val="105"/>
          <w:sz w:val="18"/>
        </w:rPr>
        <w:t> </w:t>
      </w:r>
      <w:r>
        <w:rPr>
          <w:color w:val="231F20"/>
          <w:w w:val="105"/>
          <w:sz w:val="18"/>
        </w:rPr>
        <w:t>the</w:t>
      </w:r>
      <w:r>
        <w:rPr>
          <w:color w:val="231F20"/>
          <w:spacing w:val="-24"/>
          <w:w w:val="105"/>
          <w:sz w:val="18"/>
        </w:rPr>
        <w:t> </w:t>
      </w:r>
      <w:r>
        <w:rPr>
          <w:color w:val="231F20"/>
          <w:w w:val="105"/>
          <w:sz w:val="18"/>
        </w:rPr>
        <w:t>GFR</w:t>
      </w:r>
      <w:r>
        <w:rPr>
          <w:color w:val="231F20"/>
          <w:spacing w:val="-23"/>
          <w:w w:val="105"/>
          <w:sz w:val="18"/>
        </w:rPr>
        <w:t> </w:t>
      </w:r>
      <w:r>
        <w:rPr>
          <w:color w:val="231F20"/>
          <w:w w:val="105"/>
          <w:sz w:val="18"/>
        </w:rPr>
        <w:t>and</w:t>
      </w:r>
      <w:r>
        <w:rPr>
          <w:color w:val="231F20"/>
          <w:spacing w:val="-23"/>
          <w:w w:val="105"/>
          <w:sz w:val="18"/>
        </w:rPr>
        <w:t> </w:t>
      </w:r>
      <w:r>
        <w:rPr>
          <w:color w:val="231F20"/>
          <w:w w:val="105"/>
          <w:sz w:val="18"/>
        </w:rPr>
        <w:t>decrease tubular</w:t>
      </w:r>
      <w:r>
        <w:rPr>
          <w:color w:val="231F20"/>
          <w:spacing w:val="-19"/>
          <w:w w:val="105"/>
          <w:sz w:val="18"/>
        </w:rPr>
        <w:t> </w:t>
      </w:r>
      <w:r>
        <w:rPr>
          <w:color w:val="231F20"/>
          <w:w w:val="105"/>
          <w:sz w:val="18"/>
        </w:rPr>
        <w:t>sodium</w:t>
      </w:r>
      <w:r>
        <w:rPr>
          <w:color w:val="231F20"/>
          <w:spacing w:val="-19"/>
          <w:w w:val="105"/>
          <w:sz w:val="18"/>
        </w:rPr>
        <w:t> </w:t>
      </w:r>
      <w:r>
        <w:rPr>
          <w:color w:val="231F20"/>
          <w:w w:val="105"/>
          <w:sz w:val="18"/>
        </w:rPr>
        <w:t>reabsorption</w:t>
      </w:r>
      <w:r>
        <w:rPr>
          <w:color w:val="231F20"/>
          <w:spacing w:val="-19"/>
          <w:w w:val="105"/>
          <w:sz w:val="18"/>
        </w:rPr>
        <w:t> </w:t>
      </w:r>
      <w:r>
        <w:rPr>
          <w:color w:val="231F20"/>
          <w:w w:val="105"/>
          <w:sz w:val="18"/>
        </w:rPr>
        <w:t>in</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surviving</w:t>
      </w:r>
      <w:r>
        <w:rPr>
          <w:color w:val="231F20"/>
          <w:spacing w:val="-19"/>
          <w:w w:val="105"/>
          <w:sz w:val="18"/>
        </w:rPr>
        <w:t> </w:t>
      </w:r>
      <w:r>
        <w:rPr>
          <w:color w:val="231F20"/>
          <w:w w:val="105"/>
          <w:sz w:val="18"/>
        </w:rPr>
        <w:t>nephrons</w:t>
      </w:r>
      <w:r>
        <w:rPr>
          <w:color w:val="231F20"/>
          <w:spacing w:val="-19"/>
          <w:w w:val="105"/>
          <w:sz w:val="18"/>
        </w:rPr>
        <w:t> </w:t>
      </w:r>
      <w:r>
        <w:rPr>
          <w:color w:val="231F20"/>
          <w:w w:val="105"/>
          <w:sz w:val="18"/>
        </w:rPr>
        <w:t>suf­ ficiently</w:t>
      </w:r>
      <w:r>
        <w:rPr>
          <w:color w:val="231F20"/>
          <w:spacing w:val="-13"/>
          <w:w w:val="105"/>
          <w:sz w:val="18"/>
        </w:rPr>
        <w:t> </w:t>
      </w:r>
      <w:r>
        <w:rPr>
          <w:color w:val="231F20"/>
          <w:w w:val="105"/>
          <w:sz w:val="18"/>
        </w:rPr>
        <w:t>to</w:t>
      </w:r>
      <w:r>
        <w:rPr>
          <w:color w:val="231F20"/>
          <w:spacing w:val="-12"/>
          <w:w w:val="105"/>
          <w:sz w:val="18"/>
        </w:rPr>
        <w:t> </w:t>
      </w:r>
      <w:r>
        <w:rPr>
          <w:color w:val="231F20"/>
          <w:w w:val="105"/>
          <w:sz w:val="18"/>
        </w:rPr>
        <w:t>promote</w:t>
      </w:r>
      <w:r>
        <w:rPr>
          <w:color w:val="231F20"/>
          <w:spacing w:val="-13"/>
          <w:w w:val="105"/>
          <w:sz w:val="18"/>
        </w:rPr>
        <w:t> </w:t>
      </w:r>
      <w:r>
        <w:rPr>
          <w:color w:val="231F20"/>
          <w:w w:val="105"/>
          <w:sz w:val="18"/>
        </w:rPr>
        <w:t>enough</w:t>
      </w:r>
      <w:r>
        <w:rPr>
          <w:color w:val="231F20"/>
          <w:spacing w:val="-12"/>
          <w:w w:val="105"/>
          <w:sz w:val="18"/>
        </w:rPr>
        <w:t> </w:t>
      </w:r>
      <w:r>
        <w:rPr>
          <w:color w:val="231F20"/>
          <w:w w:val="105"/>
          <w:sz w:val="18"/>
        </w:rPr>
        <w:t>water</w:t>
      </w:r>
      <w:r>
        <w:rPr>
          <w:color w:val="231F20"/>
          <w:spacing w:val="-13"/>
          <w:w w:val="105"/>
          <w:sz w:val="18"/>
        </w:rPr>
        <w:t> </w:t>
      </w:r>
      <w:r>
        <w:rPr>
          <w:color w:val="231F20"/>
          <w:w w:val="105"/>
          <w:sz w:val="18"/>
        </w:rPr>
        <w:t>and</w:t>
      </w:r>
      <w:r>
        <w:rPr>
          <w:color w:val="231F20"/>
          <w:spacing w:val="-13"/>
          <w:w w:val="105"/>
          <w:sz w:val="18"/>
        </w:rPr>
        <w:t> </w:t>
      </w:r>
      <w:r>
        <w:rPr>
          <w:color w:val="231F20"/>
          <w:w w:val="105"/>
          <w:sz w:val="18"/>
        </w:rPr>
        <w:t>salt</w:t>
      </w:r>
      <w:r>
        <w:rPr>
          <w:color w:val="231F20"/>
          <w:spacing w:val="-12"/>
          <w:w w:val="105"/>
          <w:sz w:val="18"/>
        </w:rPr>
        <w:t> </w:t>
      </w:r>
      <w:r>
        <w:rPr>
          <w:color w:val="231F20"/>
          <w:w w:val="105"/>
          <w:sz w:val="18"/>
        </w:rPr>
        <w:t>excretion</w:t>
      </w:r>
      <w:r>
        <w:rPr>
          <w:color w:val="231F20"/>
          <w:spacing w:val="-13"/>
          <w:w w:val="105"/>
          <w:sz w:val="18"/>
        </w:rPr>
        <w:t> </w:t>
      </w:r>
      <w:r>
        <w:rPr>
          <w:color w:val="231F20"/>
          <w:w w:val="105"/>
          <w:sz w:val="18"/>
        </w:rPr>
        <w:t>in</w:t>
      </w:r>
      <w:r>
        <w:rPr>
          <w:color w:val="231F20"/>
          <w:spacing w:val="-12"/>
          <w:w w:val="105"/>
          <w:sz w:val="18"/>
        </w:rPr>
        <w:t> </w:t>
      </w:r>
      <w:r>
        <w:rPr>
          <w:color w:val="231F20"/>
          <w:w w:val="105"/>
          <w:sz w:val="18"/>
        </w:rPr>
        <w:t>the urine, even with the few nephrons that remain intact. However, a patient with this type of abnormality may become severely hypertensive if additional stresses are imposed,</w:t>
      </w:r>
      <w:r>
        <w:rPr>
          <w:color w:val="231F20"/>
          <w:spacing w:val="-15"/>
          <w:w w:val="105"/>
          <w:sz w:val="18"/>
        </w:rPr>
        <w:t> </w:t>
      </w:r>
      <w:r>
        <w:rPr>
          <w:color w:val="231F20"/>
          <w:w w:val="105"/>
          <w:sz w:val="18"/>
        </w:rPr>
        <w:t>such</w:t>
      </w:r>
      <w:r>
        <w:rPr>
          <w:color w:val="231F20"/>
          <w:spacing w:val="-15"/>
          <w:w w:val="105"/>
          <w:sz w:val="18"/>
        </w:rPr>
        <w:t> </w:t>
      </w:r>
      <w:r>
        <w:rPr>
          <w:color w:val="231F20"/>
          <w:w w:val="105"/>
          <w:sz w:val="18"/>
        </w:rPr>
        <w:t>as</w:t>
      </w:r>
      <w:r>
        <w:rPr>
          <w:color w:val="231F20"/>
          <w:spacing w:val="-15"/>
          <w:w w:val="105"/>
          <w:sz w:val="18"/>
        </w:rPr>
        <w:t> </w:t>
      </w:r>
      <w:r>
        <w:rPr>
          <w:color w:val="231F20"/>
          <w:w w:val="105"/>
          <w:sz w:val="18"/>
        </w:rPr>
        <w:t>eating</w:t>
      </w:r>
      <w:r>
        <w:rPr>
          <w:color w:val="231F20"/>
          <w:spacing w:val="-15"/>
          <w:w w:val="105"/>
          <w:sz w:val="18"/>
        </w:rPr>
        <w:t> </w:t>
      </w:r>
      <w:r>
        <w:rPr>
          <w:color w:val="231F20"/>
          <w:w w:val="105"/>
          <w:sz w:val="18"/>
        </w:rPr>
        <w:t>a</w:t>
      </w:r>
      <w:r>
        <w:rPr>
          <w:color w:val="231F20"/>
          <w:spacing w:val="-15"/>
          <w:w w:val="105"/>
          <w:sz w:val="18"/>
        </w:rPr>
        <w:t> </w:t>
      </w:r>
      <w:r>
        <w:rPr>
          <w:color w:val="231F20"/>
          <w:w w:val="105"/>
          <w:sz w:val="18"/>
        </w:rPr>
        <w:t>large</w:t>
      </w:r>
      <w:r>
        <w:rPr>
          <w:color w:val="231F20"/>
          <w:spacing w:val="-15"/>
          <w:w w:val="105"/>
          <w:sz w:val="18"/>
        </w:rPr>
        <w:t> </w:t>
      </w:r>
      <w:r>
        <w:rPr>
          <w:color w:val="231F20"/>
          <w:w w:val="105"/>
          <w:sz w:val="18"/>
        </w:rPr>
        <w:t>amount</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salt.</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this</w:t>
      </w:r>
      <w:r>
        <w:rPr>
          <w:color w:val="231F20"/>
          <w:spacing w:val="-15"/>
          <w:w w:val="105"/>
          <w:sz w:val="18"/>
        </w:rPr>
        <w:t> </w:t>
      </w:r>
      <w:r>
        <w:rPr>
          <w:color w:val="231F20"/>
          <w:w w:val="105"/>
          <w:sz w:val="18"/>
        </w:rPr>
        <w:t>case, the</w:t>
      </w:r>
      <w:r>
        <w:rPr>
          <w:color w:val="231F20"/>
          <w:spacing w:val="-13"/>
          <w:w w:val="105"/>
          <w:sz w:val="18"/>
        </w:rPr>
        <w:t> </w:t>
      </w:r>
      <w:r>
        <w:rPr>
          <w:color w:val="231F20"/>
          <w:w w:val="105"/>
          <w:sz w:val="18"/>
        </w:rPr>
        <w:t>kidneys</w:t>
      </w:r>
      <w:r>
        <w:rPr>
          <w:color w:val="231F20"/>
          <w:spacing w:val="-12"/>
          <w:w w:val="105"/>
          <w:sz w:val="18"/>
        </w:rPr>
        <w:t> </w:t>
      </w:r>
      <w:r>
        <w:rPr>
          <w:color w:val="231F20"/>
          <w:w w:val="105"/>
          <w:sz w:val="18"/>
        </w:rPr>
        <w:t>simply</w:t>
      </w:r>
      <w:r>
        <w:rPr>
          <w:color w:val="231F20"/>
          <w:spacing w:val="-12"/>
          <w:w w:val="105"/>
          <w:sz w:val="18"/>
        </w:rPr>
        <w:t> </w:t>
      </w:r>
      <w:r>
        <w:rPr>
          <w:color w:val="231F20"/>
          <w:w w:val="105"/>
          <w:sz w:val="18"/>
        </w:rPr>
        <w:t>cannot</w:t>
      </w:r>
      <w:r>
        <w:rPr>
          <w:color w:val="231F20"/>
          <w:spacing w:val="-12"/>
          <w:w w:val="105"/>
          <w:sz w:val="18"/>
        </w:rPr>
        <w:t> </w:t>
      </w:r>
      <w:r>
        <w:rPr>
          <w:color w:val="231F20"/>
          <w:w w:val="105"/>
          <w:sz w:val="18"/>
        </w:rPr>
        <w:t>clear</w:t>
      </w:r>
      <w:r>
        <w:rPr>
          <w:color w:val="231F20"/>
          <w:spacing w:val="-12"/>
          <w:w w:val="105"/>
          <w:sz w:val="18"/>
        </w:rPr>
        <w:t> </w:t>
      </w:r>
      <w:r>
        <w:rPr>
          <w:color w:val="231F20"/>
          <w:w w:val="105"/>
          <w:sz w:val="18"/>
        </w:rPr>
        <w:t>adequate</w:t>
      </w:r>
      <w:r>
        <w:rPr>
          <w:color w:val="231F20"/>
          <w:spacing w:val="-12"/>
          <w:w w:val="105"/>
          <w:sz w:val="18"/>
        </w:rPr>
        <w:t> </w:t>
      </w:r>
      <w:r>
        <w:rPr>
          <w:color w:val="231F20"/>
          <w:w w:val="105"/>
          <w:sz w:val="18"/>
        </w:rPr>
        <w:t>quantities</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salt at</w:t>
      </w:r>
      <w:r>
        <w:rPr>
          <w:color w:val="231F20"/>
          <w:spacing w:val="-9"/>
          <w:w w:val="105"/>
          <w:sz w:val="18"/>
        </w:rPr>
        <w:t> </w:t>
      </w:r>
      <w:r>
        <w:rPr>
          <w:color w:val="231F20"/>
          <w:w w:val="105"/>
          <w:sz w:val="18"/>
        </w:rPr>
        <w:t>a</w:t>
      </w:r>
      <w:r>
        <w:rPr>
          <w:color w:val="231F20"/>
          <w:spacing w:val="-8"/>
          <w:w w:val="105"/>
          <w:sz w:val="18"/>
        </w:rPr>
        <w:t> </w:t>
      </w:r>
      <w:r>
        <w:rPr>
          <w:color w:val="231F20"/>
          <w:w w:val="105"/>
          <w:sz w:val="18"/>
        </w:rPr>
        <w:t>normal</w:t>
      </w:r>
      <w:r>
        <w:rPr>
          <w:color w:val="231F20"/>
          <w:spacing w:val="-9"/>
          <w:w w:val="105"/>
          <w:sz w:val="18"/>
        </w:rPr>
        <w:t> </w:t>
      </w:r>
      <w:r>
        <w:rPr>
          <w:color w:val="231F20"/>
          <w:w w:val="105"/>
          <w:sz w:val="18"/>
        </w:rPr>
        <w:t>blood</w:t>
      </w:r>
      <w:r>
        <w:rPr>
          <w:color w:val="231F20"/>
          <w:spacing w:val="-8"/>
          <w:w w:val="105"/>
          <w:sz w:val="18"/>
        </w:rPr>
        <w:t> </w:t>
      </w:r>
      <w:r>
        <w:rPr>
          <w:color w:val="231F20"/>
          <w:w w:val="105"/>
          <w:sz w:val="18"/>
        </w:rPr>
        <w:t>pressure</w:t>
      </w:r>
      <w:r>
        <w:rPr>
          <w:color w:val="231F20"/>
          <w:spacing w:val="-8"/>
          <w:w w:val="105"/>
          <w:sz w:val="18"/>
        </w:rPr>
        <w:t> </w:t>
      </w:r>
      <w:r>
        <w:rPr>
          <w:color w:val="231F20"/>
          <w:w w:val="105"/>
          <w:sz w:val="18"/>
        </w:rPr>
        <w:t>with</w:t>
      </w:r>
      <w:r>
        <w:rPr>
          <w:color w:val="231F20"/>
          <w:spacing w:val="-9"/>
          <w:w w:val="105"/>
          <w:sz w:val="18"/>
        </w:rPr>
        <w:t> </w:t>
      </w:r>
      <w:r>
        <w:rPr>
          <w:color w:val="231F20"/>
          <w:w w:val="105"/>
          <w:sz w:val="18"/>
        </w:rPr>
        <w:t>the</w:t>
      </w:r>
      <w:r>
        <w:rPr>
          <w:color w:val="231F20"/>
          <w:spacing w:val="-8"/>
          <w:w w:val="105"/>
          <w:sz w:val="18"/>
        </w:rPr>
        <w:t> </w:t>
      </w:r>
      <w:r>
        <w:rPr>
          <w:color w:val="231F20"/>
          <w:w w:val="105"/>
          <w:sz w:val="18"/>
        </w:rPr>
        <w:t>small</w:t>
      </w:r>
      <w:r>
        <w:rPr>
          <w:color w:val="231F20"/>
          <w:spacing w:val="-9"/>
          <w:w w:val="105"/>
          <w:sz w:val="18"/>
        </w:rPr>
        <w:t> </w:t>
      </w:r>
      <w:r>
        <w:rPr>
          <w:color w:val="231F20"/>
          <w:w w:val="105"/>
          <w:sz w:val="18"/>
        </w:rPr>
        <w:t>number</w:t>
      </w:r>
      <w:r>
        <w:rPr>
          <w:color w:val="231F20"/>
          <w:spacing w:val="-8"/>
          <w:w w:val="105"/>
          <w:sz w:val="18"/>
        </w:rPr>
        <w:t> </w:t>
      </w:r>
      <w:r>
        <w:rPr>
          <w:color w:val="231F20"/>
          <w:w w:val="105"/>
          <w:sz w:val="18"/>
        </w:rPr>
        <w:t>of</w:t>
      </w:r>
      <w:r>
        <w:rPr>
          <w:color w:val="231F20"/>
          <w:spacing w:val="-9"/>
          <w:w w:val="105"/>
          <w:sz w:val="18"/>
        </w:rPr>
        <w:t> </w:t>
      </w:r>
      <w:r>
        <w:rPr>
          <w:color w:val="231F20"/>
          <w:w w:val="105"/>
          <w:sz w:val="18"/>
        </w:rPr>
        <w:t>func­ tioning nephrons that remain. Increased blood pressure restores</w:t>
      </w:r>
      <w:r>
        <w:rPr>
          <w:color w:val="231F20"/>
          <w:spacing w:val="-6"/>
          <w:w w:val="105"/>
          <w:sz w:val="18"/>
        </w:rPr>
        <w:t> </w:t>
      </w:r>
      <w:r>
        <w:rPr>
          <w:color w:val="231F20"/>
          <w:w w:val="105"/>
          <w:sz w:val="18"/>
        </w:rPr>
        <w:t>excretion</w:t>
      </w:r>
      <w:r>
        <w:rPr>
          <w:color w:val="231F20"/>
          <w:spacing w:val="-6"/>
          <w:w w:val="105"/>
          <w:sz w:val="18"/>
        </w:rPr>
        <w:t> </w:t>
      </w:r>
      <w:r>
        <w:rPr>
          <w:color w:val="231F20"/>
          <w:w w:val="105"/>
          <w:sz w:val="18"/>
        </w:rPr>
        <w:t>of</w:t>
      </w:r>
      <w:r>
        <w:rPr>
          <w:color w:val="231F20"/>
          <w:spacing w:val="-5"/>
          <w:w w:val="105"/>
          <w:sz w:val="18"/>
        </w:rPr>
        <w:t> </w:t>
      </w:r>
      <w:r>
        <w:rPr>
          <w:color w:val="231F20"/>
          <w:w w:val="105"/>
          <w:sz w:val="18"/>
        </w:rPr>
        <w:t>salt</w:t>
      </w:r>
      <w:r>
        <w:rPr>
          <w:color w:val="231F20"/>
          <w:spacing w:val="-6"/>
          <w:w w:val="105"/>
          <w:sz w:val="18"/>
        </w:rPr>
        <w:t> </w:t>
      </w:r>
      <w:r>
        <w:rPr>
          <w:color w:val="231F20"/>
          <w:w w:val="105"/>
          <w:sz w:val="18"/>
        </w:rPr>
        <w:t>and</w:t>
      </w:r>
      <w:r>
        <w:rPr>
          <w:color w:val="231F20"/>
          <w:spacing w:val="-6"/>
          <w:w w:val="105"/>
          <w:sz w:val="18"/>
        </w:rPr>
        <w:t> </w:t>
      </w:r>
      <w:r>
        <w:rPr>
          <w:color w:val="231F20"/>
          <w:w w:val="105"/>
          <w:sz w:val="18"/>
        </w:rPr>
        <w:t>water</w:t>
      </w:r>
      <w:r>
        <w:rPr>
          <w:color w:val="231F20"/>
          <w:spacing w:val="-5"/>
          <w:w w:val="105"/>
          <w:sz w:val="18"/>
        </w:rPr>
        <w:t> </w:t>
      </w:r>
      <w:r>
        <w:rPr>
          <w:color w:val="231F20"/>
          <w:w w:val="105"/>
          <w:sz w:val="18"/>
        </w:rPr>
        <w:t>to</w:t>
      </w:r>
      <w:r>
        <w:rPr>
          <w:color w:val="231F20"/>
          <w:spacing w:val="-6"/>
          <w:w w:val="105"/>
          <w:sz w:val="18"/>
        </w:rPr>
        <w:t> </w:t>
      </w:r>
      <w:r>
        <w:rPr>
          <w:color w:val="231F20"/>
          <w:w w:val="105"/>
          <w:sz w:val="18"/>
        </w:rPr>
        <w:t>match</w:t>
      </w:r>
      <w:r>
        <w:rPr>
          <w:color w:val="231F20"/>
          <w:spacing w:val="-5"/>
          <w:w w:val="105"/>
          <w:sz w:val="18"/>
        </w:rPr>
        <w:t> </w:t>
      </w:r>
      <w:r>
        <w:rPr>
          <w:color w:val="231F20"/>
          <w:w w:val="105"/>
          <w:sz w:val="18"/>
        </w:rPr>
        <w:t>intake</w:t>
      </w:r>
      <w:r>
        <w:rPr>
          <w:color w:val="231F20"/>
          <w:spacing w:val="-6"/>
          <w:w w:val="105"/>
          <w:sz w:val="18"/>
        </w:rPr>
        <w:t> </w:t>
      </w:r>
      <w:r>
        <w:rPr>
          <w:color w:val="231F20"/>
          <w:w w:val="105"/>
          <w:sz w:val="18"/>
        </w:rPr>
        <w:t>of</w:t>
      </w:r>
      <w:r>
        <w:rPr>
          <w:color w:val="231F20"/>
          <w:spacing w:val="-6"/>
          <w:w w:val="105"/>
          <w:sz w:val="18"/>
        </w:rPr>
        <w:t> </w:t>
      </w:r>
      <w:r>
        <w:rPr>
          <w:color w:val="231F20"/>
          <w:w w:val="105"/>
          <w:sz w:val="18"/>
        </w:rPr>
        <w:t>salt and water under steady­state</w:t>
      </w:r>
      <w:r>
        <w:rPr>
          <w:color w:val="231F20"/>
          <w:spacing w:val="10"/>
          <w:w w:val="105"/>
          <w:sz w:val="18"/>
        </w:rPr>
        <w:t> </w:t>
      </w:r>
      <w:r>
        <w:rPr>
          <w:color w:val="231F20"/>
          <w:w w:val="105"/>
          <w:sz w:val="18"/>
        </w:rPr>
        <w:t>conditions.</w:t>
      </w:r>
    </w:p>
    <w:p>
      <w:pPr>
        <w:spacing w:line="254" w:lineRule="auto" w:before="12"/>
        <w:ind w:left="679" w:right="1617" w:firstLine="240"/>
        <w:jc w:val="both"/>
        <w:rPr>
          <w:sz w:val="18"/>
        </w:rPr>
      </w:pPr>
      <w:r>
        <w:rPr>
          <w:color w:val="231F20"/>
          <w:w w:val="105"/>
          <w:sz w:val="18"/>
        </w:rPr>
        <w:t>Effective</w:t>
      </w:r>
      <w:r>
        <w:rPr>
          <w:color w:val="231F20"/>
          <w:spacing w:val="-18"/>
          <w:w w:val="105"/>
          <w:sz w:val="18"/>
        </w:rPr>
        <w:t> </w:t>
      </w:r>
      <w:r>
        <w:rPr>
          <w:color w:val="231F20"/>
          <w:w w:val="105"/>
          <w:sz w:val="18"/>
        </w:rPr>
        <w:t>treatment</w:t>
      </w:r>
      <w:r>
        <w:rPr>
          <w:color w:val="231F20"/>
          <w:spacing w:val="-18"/>
          <w:w w:val="105"/>
          <w:sz w:val="18"/>
        </w:rPr>
        <w:t> </w:t>
      </w:r>
      <w:r>
        <w:rPr>
          <w:color w:val="231F20"/>
          <w:w w:val="105"/>
          <w:sz w:val="18"/>
        </w:rPr>
        <w:t>of</w:t>
      </w:r>
      <w:r>
        <w:rPr>
          <w:color w:val="231F20"/>
          <w:spacing w:val="-17"/>
          <w:w w:val="105"/>
          <w:sz w:val="18"/>
        </w:rPr>
        <w:t> </w:t>
      </w:r>
      <w:r>
        <w:rPr>
          <w:color w:val="231F20"/>
          <w:w w:val="105"/>
          <w:sz w:val="18"/>
        </w:rPr>
        <w:t>hypertension</w:t>
      </w:r>
      <w:r>
        <w:rPr>
          <w:color w:val="231F20"/>
          <w:spacing w:val="-18"/>
          <w:w w:val="105"/>
          <w:sz w:val="18"/>
        </w:rPr>
        <w:t> </w:t>
      </w:r>
      <w:r>
        <w:rPr>
          <w:color w:val="231F20"/>
          <w:w w:val="105"/>
          <w:sz w:val="18"/>
        </w:rPr>
        <w:t>requires</w:t>
      </w:r>
      <w:r>
        <w:rPr>
          <w:color w:val="231F20"/>
          <w:spacing w:val="-18"/>
          <w:w w:val="105"/>
          <w:sz w:val="18"/>
        </w:rPr>
        <w:t> </w:t>
      </w:r>
      <w:r>
        <w:rPr>
          <w:color w:val="231F20"/>
          <w:w w:val="105"/>
          <w:sz w:val="18"/>
        </w:rPr>
        <w:t>enhancing the kidneys’ capability to excrete salt and </w:t>
      </w:r>
      <w:r>
        <w:rPr>
          <w:color w:val="231F20"/>
          <w:spacing w:val="-3"/>
          <w:w w:val="105"/>
          <w:sz w:val="18"/>
        </w:rPr>
        <w:t>water, </w:t>
      </w:r>
      <w:r>
        <w:rPr>
          <w:color w:val="231F20"/>
          <w:w w:val="105"/>
          <w:sz w:val="18"/>
        </w:rPr>
        <w:t>either</w:t>
      </w:r>
      <w:r>
        <w:rPr>
          <w:color w:val="231F20"/>
          <w:spacing w:val="-33"/>
          <w:w w:val="105"/>
          <w:sz w:val="18"/>
        </w:rPr>
        <w:t> </w:t>
      </w:r>
      <w:r>
        <w:rPr>
          <w:color w:val="231F20"/>
          <w:w w:val="105"/>
          <w:sz w:val="18"/>
        </w:rPr>
        <w:t>by increasing GFR or by decreasing tubular reabsorption,</w:t>
      </w:r>
      <w:r>
        <w:rPr>
          <w:color w:val="231F20"/>
          <w:spacing w:val="-18"/>
          <w:w w:val="105"/>
          <w:sz w:val="18"/>
        </w:rPr>
        <w:t> </w:t>
      </w:r>
      <w:r>
        <w:rPr>
          <w:color w:val="231F20"/>
          <w:w w:val="105"/>
          <w:sz w:val="18"/>
        </w:rPr>
        <w:t>so that</w:t>
      </w:r>
      <w:r>
        <w:rPr>
          <w:color w:val="231F20"/>
          <w:spacing w:val="-13"/>
          <w:w w:val="105"/>
          <w:sz w:val="18"/>
        </w:rPr>
        <w:t> </w:t>
      </w:r>
      <w:r>
        <w:rPr>
          <w:color w:val="231F20"/>
          <w:w w:val="105"/>
          <w:sz w:val="18"/>
        </w:rPr>
        <w:t>balance</w:t>
      </w:r>
      <w:r>
        <w:rPr>
          <w:color w:val="231F20"/>
          <w:spacing w:val="-12"/>
          <w:w w:val="105"/>
          <w:sz w:val="18"/>
        </w:rPr>
        <w:t> </w:t>
      </w:r>
      <w:r>
        <w:rPr>
          <w:color w:val="231F20"/>
          <w:w w:val="105"/>
          <w:sz w:val="18"/>
        </w:rPr>
        <w:t>between</w:t>
      </w:r>
      <w:r>
        <w:rPr>
          <w:color w:val="231F20"/>
          <w:spacing w:val="-13"/>
          <w:w w:val="105"/>
          <w:sz w:val="18"/>
        </w:rPr>
        <w:t> </w:t>
      </w:r>
      <w:r>
        <w:rPr>
          <w:color w:val="231F20"/>
          <w:w w:val="105"/>
          <w:sz w:val="18"/>
        </w:rPr>
        <w:t>intake</w:t>
      </w:r>
      <w:r>
        <w:rPr>
          <w:color w:val="231F20"/>
          <w:spacing w:val="-12"/>
          <w:w w:val="105"/>
          <w:sz w:val="18"/>
        </w:rPr>
        <w:t> </w:t>
      </w:r>
      <w:r>
        <w:rPr>
          <w:color w:val="231F20"/>
          <w:w w:val="105"/>
          <w:sz w:val="18"/>
        </w:rPr>
        <w:t>and</w:t>
      </w:r>
      <w:r>
        <w:rPr>
          <w:color w:val="231F20"/>
          <w:spacing w:val="-13"/>
          <w:w w:val="105"/>
          <w:sz w:val="18"/>
        </w:rPr>
        <w:t> </w:t>
      </w:r>
      <w:r>
        <w:rPr>
          <w:color w:val="231F20"/>
          <w:w w:val="105"/>
          <w:sz w:val="18"/>
        </w:rPr>
        <w:t>renal</w:t>
      </w:r>
      <w:r>
        <w:rPr>
          <w:color w:val="231F20"/>
          <w:spacing w:val="-12"/>
          <w:w w:val="105"/>
          <w:sz w:val="18"/>
        </w:rPr>
        <w:t> </w:t>
      </w:r>
      <w:r>
        <w:rPr>
          <w:color w:val="231F20"/>
          <w:w w:val="105"/>
          <w:sz w:val="18"/>
        </w:rPr>
        <w:t>excretion</w:t>
      </w:r>
      <w:r>
        <w:rPr>
          <w:color w:val="231F20"/>
          <w:spacing w:val="-12"/>
          <w:w w:val="105"/>
          <w:sz w:val="18"/>
        </w:rPr>
        <w:t> </w:t>
      </w:r>
      <w:r>
        <w:rPr>
          <w:color w:val="231F20"/>
          <w:w w:val="105"/>
          <w:sz w:val="18"/>
        </w:rPr>
        <w:t>of</w:t>
      </w:r>
      <w:r>
        <w:rPr>
          <w:color w:val="231F20"/>
          <w:spacing w:val="-13"/>
          <w:w w:val="105"/>
          <w:sz w:val="18"/>
        </w:rPr>
        <w:t> </w:t>
      </w:r>
      <w:r>
        <w:rPr>
          <w:color w:val="231F20"/>
          <w:w w:val="105"/>
          <w:sz w:val="18"/>
        </w:rPr>
        <w:t>salt</w:t>
      </w:r>
      <w:r>
        <w:rPr>
          <w:color w:val="231F20"/>
          <w:spacing w:val="-12"/>
          <w:w w:val="105"/>
          <w:sz w:val="18"/>
        </w:rPr>
        <w:t> </w:t>
      </w:r>
      <w:r>
        <w:rPr>
          <w:color w:val="231F20"/>
          <w:w w:val="105"/>
          <w:sz w:val="18"/>
        </w:rPr>
        <w:t>and water excretion can be maintained at lower blood pres­ sures. This effect can be achieved by drugs that block</w:t>
      </w:r>
      <w:r>
        <w:rPr>
          <w:color w:val="231F20"/>
          <w:spacing w:val="-19"/>
          <w:w w:val="105"/>
          <w:sz w:val="18"/>
        </w:rPr>
        <w:t> </w:t>
      </w:r>
      <w:r>
        <w:rPr>
          <w:color w:val="231F20"/>
          <w:w w:val="105"/>
          <w:sz w:val="18"/>
        </w:rPr>
        <w:t>the effects of nervous and hormonal signals that cause the kidneys to retain salt and water (e.g., with </w:t>
      </w:r>
      <w:r>
        <w:rPr>
          <w:rFonts w:ascii="Consolas" w:hAnsi="Consolas"/>
          <w:color w:val="231F20"/>
          <w:w w:val="105"/>
          <w:sz w:val="18"/>
        </w:rPr>
        <w:t>β</w:t>
      </w:r>
      <w:r>
        <w:rPr>
          <w:color w:val="231F20"/>
          <w:w w:val="105"/>
          <w:sz w:val="18"/>
        </w:rPr>
        <w:t>­adrenergic blockers,</w:t>
      </w:r>
      <w:r>
        <w:rPr>
          <w:color w:val="231F20"/>
          <w:spacing w:val="-19"/>
          <w:w w:val="105"/>
          <w:sz w:val="18"/>
        </w:rPr>
        <w:t> </w:t>
      </w:r>
      <w:r>
        <w:rPr>
          <w:color w:val="231F20"/>
          <w:w w:val="105"/>
          <w:sz w:val="18"/>
        </w:rPr>
        <w:t>angiotensin</w:t>
      </w:r>
      <w:r>
        <w:rPr>
          <w:color w:val="231F20"/>
          <w:spacing w:val="-18"/>
          <w:w w:val="105"/>
          <w:sz w:val="18"/>
        </w:rPr>
        <w:t> </w:t>
      </w:r>
      <w:r>
        <w:rPr>
          <w:color w:val="231F20"/>
          <w:w w:val="105"/>
          <w:sz w:val="18"/>
        </w:rPr>
        <w:t>receptor</w:t>
      </w:r>
      <w:r>
        <w:rPr>
          <w:color w:val="231F20"/>
          <w:spacing w:val="-18"/>
          <w:w w:val="105"/>
          <w:sz w:val="18"/>
        </w:rPr>
        <w:t> </w:t>
      </w:r>
      <w:r>
        <w:rPr>
          <w:color w:val="231F20"/>
          <w:w w:val="105"/>
          <w:sz w:val="18"/>
        </w:rPr>
        <w:t>antagonists,</w:t>
      </w:r>
      <w:r>
        <w:rPr>
          <w:color w:val="231F20"/>
          <w:spacing w:val="-18"/>
          <w:w w:val="105"/>
          <w:sz w:val="18"/>
        </w:rPr>
        <w:t> </w:t>
      </w:r>
      <w:r>
        <w:rPr>
          <w:color w:val="231F20"/>
          <w:w w:val="105"/>
          <w:sz w:val="18"/>
        </w:rPr>
        <w:t>or</w:t>
      </w:r>
      <w:r>
        <w:rPr>
          <w:color w:val="231F20"/>
          <w:spacing w:val="-18"/>
          <w:w w:val="105"/>
          <w:sz w:val="18"/>
        </w:rPr>
        <w:t> </w:t>
      </w:r>
      <w:r>
        <w:rPr>
          <w:color w:val="231F20"/>
          <w:w w:val="105"/>
          <w:sz w:val="18"/>
        </w:rPr>
        <w:t>angiotensin­ converting enzyme inhibitors), with drugs that vasodilate the kidneys and increase GFR (e.g., calcium</w:t>
      </w:r>
      <w:r>
        <w:rPr>
          <w:color w:val="231F20"/>
          <w:spacing w:val="3"/>
          <w:w w:val="105"/>
          <w:sz w:val="18"/>
        </w:rPr>
        <w:t> </w:t>
      </w:r>
      <w:r>
        <w:rPr>
          <w:color w:val="231F20"/>
          <w:w w:val="105"/>
          <w:sz w:val="18"/>
        </w:rPr>
        <w:t>channel</w:t>
      </w:r>
    </w:p>
    <w:p>
      <w:pPr>
        <w:spacing w:after="0" w:line="254" w:lineRule="auto"/>
        <w:jc w:val="both"/>
        <w:rPr>
          <w:sz w:val="18"/>
        </w:rPr>
        <w:sectPr>
          <w:type w:val="continuous"/>
          <w:pgSz w:w="12240" w:h="15660"/>
          <w:pgMar w:top="0" w:bottom="760" w:left="0" w:right="0"/>
          <w:cols w:num="2" w:equalWidth="0">
            <w:col w:w="5581" w:space="40"/>
            <w:col w:w="6619"/>
          </w:cols>
        </w:sectPr>
      </w:pPr>
    </w:p>
    <w:p>
      <w:pPr>
        <w:pStyle w:val="BodyText"/>
      </w:pPr>
    </w:p>
    <w:p>
      <w:pPr>
        <w:pStyle w:val="BodyText"/>
      </w:pPr>
    </w:p>
    <w:p>
      <w:pPr>
        <w:pStyle w:val="BodyText"/>
      </w:pPr>
    </w:p>
    <w:p>
      <w:pPr>
        <w:pStyle w:val="BodyText"/>
      </w:pPr>
    </w:p>
    <w:p>
      <w:pPr>
        <w:spacing w:after="0"/>
        <w:sectPr>
          <w:headerReference w:type="even" r:id="rId1066"/>
          <w:pgSz w:w="12240" w:h="15660"/>
          <w:pgMar w:header="0" w:footer="567" w:top="0" w:bottom="760" w:left="0" w:right="0"/>
        </w:sectPr>
      </w:pPr>
    </w:p>
    <w:p>
      <w:pPr>
        <w:pStyle w:val="BodyText"/>
        <w:spacing w:before="6"/>
        <w:rPr>
          <w:sz w:val="21"/>
        </w:rPr>
      </w:pPr>
      <w:r>
        <w:rPr/>
        <w:pict>
          <v:group style="position:absolute;margin-left:0pt;margin-top:0pt;width:612pt;height:180pt;mso-position-horizontal-relative:page;mso-position-vertical-relative:page;z-index:-272051200" coordorigin="0,0" coordsize="12240,3600">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w10:wrap type="none"/>
          </v:group>
        </w:pict>
      </w:r>
    </w:p>
    <w:p>
      <w:pPr>
        <w:spacing w:line="254" w:lineRule="auto" w:before="0"/>
        <w:ind w:left="1620" w:right="1" w:firstLine="0"/>
        <w:jc w:val="both"/>
        <w:rPr>
          <w:sz w:val="18"/>
        </w:rPr>
      </w:pPr>
      <w:r>
        <w:rPr/>
        <w:pict>
          <v:rect style="position:absolute;margin-left:72pt;margin-top:-4.393677pt;width:234pt;height:663pt;mso-position-horizontal-relative:page;mso-position-vertical-relative:paragraph;z-index:-272048128" filled="true" fillcolor="#f0eef6" stroked="false">
            <v:fill type="solid"/>
            <w10:wrap type="none"/>
          </v:rect>
        </w:pict>
      </w:r>
      <w:r>
        <w:rPr>
          <w:color w:val="231F20"/>
          <w:w w:val="105"/>
          <w:sz w:val="18"/>
        </w:rPr>
        <w:t>blockers),</w:t>
      </w:r>
      <w:r>
        <w:rPr>
          <w:color w:val="231F20"/>
          <w:spacing w:val="-6"/>
          <w:w w:val="105"/>
          <w:sz w:val="18"/>
        </w:rPr>
        <w:t> </w:t>
      </w:r>
      <w:r>
        <w:rPr>
          <w:color w:val="231F20"/>
          <w:w w:val="105"/>
          <w:sz w:val="18"/>
        </w:rPr>
        <w:t>or</w:t>
      </w:r>
      <w:r>
        <w:rPr>
          <w:color w:val="231F20"/>
          <w:spacing w:val="-5"/>
          <w:w w:val="105"/>
          <w:sz w:val="18"/>
        </w:rPr>
        <w:t> </w:t>
      </w:r>
      <w:r>
        <w:rPr>
          <w:color w:val="231F20"/>
          <w:w w:val="105"/>
          <w:sz w:val="18"/>
        </w:rPr>
        <w:t>with</w:t>
      </w:r>
      <w:r>
        <w:rPr>
          <w:color w:val="231F20"/>
          <w:spacing w:val="-5"/>
          <w:w w:val="105"/>
          <w:sz w:val="18"/>
        </w:rPr>
        <w:t> </w:t>
      </w:r>
      <w:r>
        <w:rPr>
          <w:color w:val="231F20"/>
          <w:w w:val="105"/>
          <w:sz w:val="18"/>
        </w:rPr>
        <w:t>diuretic</w:t>
      </w:r>
      <w:r>
        <w:rPr>
          <w:color w:val="231F20"/>
          <w:spacing w:val="-6"/>
          <w:w w:val="105"/>
          <w:sz w:val="18"/>
        </w:rPr>
        <w:t> </w:t>
      </w:r>
      <w:r>
        <w:rPr>
          <w:color w:val="231F20"/>
          <w:w w:val="105"/>
          <w:sz w:val="18"/>
        </w:rPr>
        <w:t>drugs</w:t>
      </w:r>
      <w:r>
        <w:rPr>
          <w:color w:val="231F20"/>
          <w:spacing w:val="-5"/>
          <w:w w:val="105"/>
          <w:sz w:val="18"/>
        </w:rPr>
        <w:t> </w:t>
      </w:r>
      <w:r>
        <w:rPr>
          <w:color w:val="231F20"/>
          <w:w w:val="105"/>
          <w:sz w:val="18"/>
        </w:rPr>
        <w:t>that</w:t>
      </w:r>
      <w:r>
        <w:rPr>
          <w:color w:val="231F20"/>
          <w:spacing w:val="-5"/>
          <w:w w:val="105"/>
          <w:sz w:val="18"/>
        </w:rPr>
        <w:t> </w:t>
      </w:r>
      <w:r>
        <w:rPr>
          <w:color w:val="231F20"/>
          <w:w w:val="105"/>
          <w:sz w:val="18"/>
        </w:rPr>
        <w:t>directly</w:t>
      </w:r>
      <w:r>
        <w:rPr>
          <w:color w:val="231F20"/>
          <w:spacing w:val="-6"/>
          <w:w w:val="105"/>
          <w:sz w:val="18"/>
        </w:rPr>
        <w:t> </w:t>
      </w:r>
      <w:r>
        <w:rPr>
          <w:color w:val="231F20"/>
          <w:w w:val="105"/>
          <w:sz w:val="18"/>
        </w:rPr>
        <w:t>inhibit</w:t>
      </w:r>
      <w:r>
        <w:rPr>
          <w:color w:val="231F20"/>
          <w:spacing w:val="-5"/>
          <w:w w:val="105"/>
          <w:sz w:val="18"/>
        </w:rPr>
        <w:t> </w:t>
      </w:r>
      <w:r>
        <w:rPr>
          <w:color w:val="231F20"/>
          <w:w w:val="105"/>
          <w:sz w:val="18"/>
        </w:rPr>
        <w:t>renal tubular reabsorption of salt and</w:t>
      </w:r>
      <w:r>
        <w:rPr>
          <w:color w:val="231F20"/>
          <w:spacing w:val="13"/>
          <w:w w:val="105"/>
          <w:sz w:val="18"/>
        </w:rPr>
        <w:t> </w:t>
      </w:r>
      <w:r>
        <w:rPr>
          <w:color w:val="231F20"/>
          <w:spacing w:val="-3"/>
          <w:w w:val="105"/>
          <w:sz w:val="18"/>
        </w:rPr>
        <w:t>water.</w:t>
      </w:r>
    </w:p>
    <w:p>
      <w:pPr>
        <w:spacing w:before="140"/>
        <w:ind w:left="1620" w:right="0" w:firstLine="0"/>
        <w:jc w:val="both"/>
        <w:rPr>
          <w:rFonts w:ascii="Trebuchet MS"/>
          <w:b/>
          <w:sz w:val="18"/>
        </w:rPr>
      </w:pPr>
      <w:r>
        <w:rPr>
          <w:rFonts w:ascii="Trebuchet MS"/>
          <w:b/>
          <w:color w:val="231F20"/>
          <w:sz w:val="18"/>
        </w:rPr>
        <w:t>Specific Tubular Disorders</w:t>
      </w:r>
    </w:p>
    <w:p>
      <w:pPr>
        <w:spacing w:line="254" w:lineRule="auto" w:before="92"/>
        <w:ind w:left="1620" w:right="0" w:firstLine="0"/>
        <w:jc w:val="both"/>
        <w:rPr>
          <w:sz w:val="18"/>
        </w:rPr>
      </w:pPr>
      <w:r>
        <w:rPr>
          <w:color w:val="231F20"/>
          <w:w w:val="105"/>
          <w:sz w:val="18"/>
        </w:rPr>
        <w:t>In Chapter 28, we point out that several mechanisms are responsible</w:t>
      </w:r>
      <w:r>
        <w:rPr>
          <w:color w:val="231F20"/>
          <w:spacing w:val="-29"/>
          <w:w w:val="105"/>
          <w:sz w:val="18"/>
        </w:rPr>
        <w:t> </w:t>
      </w:r>
      <w:r>
        <w:rPr>
          <w:color w:val="231F20"/>
          <w:w w:val="105"/>
          <w:sz w:val="18"/>
        </w:rPr>
        <w:t>for</w:t>
      </w:r>
      <w:r>
        <w:rPr>
          <w:color w:val="231F20"/>
          <w:spacing w:val="-28"/>
          <w:w w:val="105"/>
          <w:sz w:val="18"/>
        </w:rPr>
        <w:t> </w:t>
      </w:r>
      <w:r>
        <w:rPr>
          <w:color w:val="231F20"/>
          <w:w w:val="105"/>
          <w:sz w:val="18"/>
        </w:rPr>
        <w:t>transporting</w:t>
      </w:r>
      <w:r>
        <w:rPr>
          <w:color w:val="231F20"/>
          <w:spacing w:val="-29"/>
          <w:w w:val="105"/>
          <w:sz w:val="18"/>
        </w:rPr>
        <w:t> </w:t>
      </w:r>
      <w:r>
        <w:rPr>
          <w:color w:val="231F20"/>
          <w:w w:val="105"/>
          <w:sz w:val="18"/>
        </w:rPr>
        <w:t>different</w:t>
      </w:r>
      <w:r>
        <w:rPr>
          <w:color w:val="231F20"/>
          <w:spacing w:val="-28"/>
          <w:w w:val="105"/>
          <w:sz w:val="18"/>
        </w:rPr>
        <w:t> </w:t>
      </w:r>
      <w:r>
        <w:rPr>
          <w:color w:val="231F20"/>
          <w:w w:val="105"/>
          <w:sz w:val="18"/>
        </w:rPr>
        <w:t>individual</w:t>
      </w:r>
      <w:r>
        <w:rPr>
          <w:color w:val="231F20"/>
          <w:spacing w:val="-28"/>
          <w:w w:val="105"/>
          <w:sz w:val="18"/>
        </w:rPr>
        <w:t> </w:t>
      </w:r>
      <w:r>
        <w:rPr>
          <w:color w:val="231F20"/>
          <w:w w:val="105"/>
          <w:sz w:val="18"/>
        </w:rPr>
        <w:t>substances across</w:t>
      </w:r>
      <w:r>
        <w:rPr>
          <w:color w:val="231F20"/>
          <w:spacing w:val="-5"/>
          <w:w w:val="105"/>
          <w:sz w:val="18"/>
        </w:rPr>
        <w:t> </w:t>
      </w:r>
      <w:r>
        <w:rPr>
          <w:color w:val="231F20"/>
          <w:w w:val="105"/>
          <w:sz w:val="18"/>
        </w:rPr>
        <w:t>the</w:t>
      </w:r>
      <w:r>
        <w:rPr>
          <w:color w:val="231F20"/>
          <w:spacing w:val="-5"/>
          <w:w w:val="105"/>
          <w:sz w:val="18"/>
        </w:rPr>
        <w:t> </w:t>
      </w:r>
      <w:r>
        <w:rPr>
          <w:color w:val="231F20"/>
          <w:w w:val="105"/>
          <w:sz w:val="18"/>
        </w:rPr>
        <w:t>tubular</w:t>
      </w:r>
      <w:r>
        <w:rPr>
          <w:color w:val="231F20"/>
          <w:spacing w:val="-5"/>
          <w:w w:val="105"/>
          <w:sz w:val="18"/>
        </w:rPr>
        <w:t> </w:t>
      </w:r>
      <w:r>
        <w:rPr>
          <w:color w:val="231F20"/>
          <w:w w:val="105"/>
          <w:sz w:val="18"/>
        </w:rPr>
        <w:t>epithelial</w:t>
      </w:r>
      <w:r>
        <w:rPr>
          <w:color w:val="231F20"/>
          <w:spacing w:val="-5"/>
          <w:w w:val="105"/>
          <w:sz w:val="18"/>
        </w:rPr>
        <w:t> </w:t>
      </w:r>
      <w:r>
        <w:rPr>
          <w:color w:val="231F20"/>
          <w:w w:val="105"/>
          <w:sz w:val="18"/>
        </w:rPr>
        <w:t>membranes.</w:t>
      </w:r>
      <w:r>
        <w:rPr>
          <w:color w:val="231F20"/>
          <w:spacing w:val="-5"/>
          <w:w w:val="105"/>
          <w:sz w:val="18"/>
        </w:rPr>
        <w:t> </w:t>
      </w:r>
      <w:r>
        <w:rPr>
          <w:color w:val="231F20"/>
          <w:w w:val="105"/>
          <w:sz w:val="18"/>
        </w:rPr>
        <w:t>In</w:t>
      </w:r>
      <w:r>
        <w:rPr>
          <w:color w:val="231F20"/>
          <w:spacing w:val="-5"/>
          <w:w w:val="105"/>
          <w:sz w:val="18"/>
        </w:rPr>
        <w:t> </w:t>
      </w:r>
      <w:r>
        <w:rPr>
          <w:color w:val="231F20"/>
          <w:w w:val="105"/>
          <w:sz w:val="18"/>
        </w:rPr>
        <w:t>Chapter</w:t>
      </w:r>
      <w:r>
        <w:rPr>
          <w:color w:val="231F20"/>
          <w:spacing w:val="-5"/>
          <w:w w:val="105"/>
          <w:sz w:val="18"/>
        </w:rPr>
        <w:t> </w:t>
      </w:r>
      <w:r>
        <w:rPr>
          <w:color w:val="231F20"/>
          <w:w w:val="105"/>
          <w:sz w:val="18"/>
        </w:rPr>
        <w:t>3,</w:t>
      </w:r>
      <w:r>
        <w:rPr>
          <w:color w:val="231F20"/>
          <w:spacing w:val="-5"/>
          <w:w w:val="105"/>
          <w:sz w:val="18"/>
        </w:rPr>
        <w:t> </w:t>
      </w:r>
      <w:r>
        <w:rPr>
          <w:color w:val="231F20"/>
          <w:spacing w:val="-6"/>
          <w:w w:val="105"/>
          <w:sz w:val="18"/>
        </w:rPr>
        <w:t>we </w:t>
      </w:r>
      <w:r>
        <w:rPr>
          <w:color w:val="231F20"/>
          <w:w w:val="105"/>
          <w:sz w:val="18"/>
        </w:rPr>
        <w:t>also point out that each cellular enzyme and each carrier protein is formed in response to a respective gene in the nucleus. If any required gene happens to be absent or abnormal,</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tubules</w:t>
      </w:r>
      <w:r>
        <w:rPr>
          <w:color w:val="231F20"/>
          <w:spacing w:val="-16"/>
          <w:w w:val="105"/>
          <w:sz w:val="18"/>
        </w:rPr>
        <w:t> </w:t>
      </w:r>
      <w:r>
        <w:rPr>
          <w:color w:val="231F20"/>
          <w:w w:val="105"/>
          <w:sz w:val="18"/>
        </w:rPr>
        <w:t>may</w:t>
      </w:r>
      <w:r>
        <w:rPr>
          <w:color w:val="231F20"/>
          <w:spacing w:val="-17"/>
          <w:w w:val="105"/>
          <w:sz w:val="18"/>
        </w:rPr>
        <w:t> </w:t>
      </w:r>
      <w:r>
        <w:rPr>
          <w:color w:val="231F20"/>
          <w:w w:val="105"/>
          <w:sz w:val="18"/>
        </w:rPr>
        <w:t>be</w:t>
      </w:r>
      <w:r>
        <w:rPr>
          <w:color w:val="231F20"/>
          <w:spacing w:val="-17"/>
          <w:w w:val="105"/>
          <w:sz w:val="18"/>
        </w:rPr>
        <w:t> </w:t>
      </w:r>
      <w:r>
        <w:rPr>
          <w:color w:val="231F20"/>
          <w:w w:val="105"/>
          <w:sz w:val="18"/>
        </w:rPr>
        <w:t>deficient</w:t>
      </w:r>
      <w:r>
        <w:rPr>
          <w:color w:val="231F20"/>
          <w:spacing w:val="-16"/>
          <w:w w:val="105"/>
          <w:sz w:val="18"/>
        </w:rPr>
        <w:t> </w:t>
      </w:r>
      <w:r>
        <w:rPr>
          <w:color w:val="231F20"/>
          <w:w w:val="105"/>
          <w:sz w:val="18"/>
        </w:rPr>
        <w:t>in</w:t>
      </w:r>
      <w:r>
        <w:rPr>
          <w:color w:val="231F20"/>
          <w:spacing w:val="-17"/>
          <w:w w:val="105"/>
          <w:sz w:val="18"/>
        </w:rPr>
        <w:t> </w:t>
      </w:r>
      <w:r>
        <w:rPr>
          <w:color w:val="231F20"/>
          <w:w w:val="105"/>
          <w:sz w:val="18"/>
        </w:rPr>
        <w:t>one</w:t>
      </w:r>
      <w:r>
        <w:rPr>
          <w:color w:val="231F20"/>
          <w:spacing w:val="-17"/>
          <w:w w:val="105"/>
          <w:sz w:val="18"/>
        </w:rPr>
        <w:t> </w:t>
      </w:r>
      <w:r>
        <w:rPr>
          <w:color w:val="231F20"/>
          <w:w w:val="105"/>
          <w:sz w:val="18"/>
        </w:rPr>
        <w:t>of</w:t>
      </w:r>
      <w:r>
        <w:rPr>
          <w:color w:val="231F20"/>
          <w:spacing w:val="-16"/>
          <w:w w:val="105"/>
          <w:sz w:val="18"/>
        </w:rPr>
        <w:t> </w:t>
      </w:r>
      <w:r>
        <w:rPr>
          <w:color w:val="231F20"/>
          <w:w w:val="105"/>
          <w:sz w:val="18"/>
        </w:rPr>
        <w:t>the</w:t>
      </w:r>
      <w:r>
        <w:rPr>
          <w:color w:val="231F20"/>
          <w:spacing w:val="-17"/>
          <w:w w:val="105"/>
          <w:sz w:val="18"/>
        </w:rPr>
        <w:t> </w:t>
      </w:r>
      <w:r>
        <w:rPr>
          <w:color w:val="231F20"/>
          <w:w w:val="105"/>
          <w:sz w:val="18"/>
        </w:rPr>
        <w:t>appro­ priate carrier proteins or one of the enzymes needed for solute transport by the renal tubular epithelial cells. In other</w:t>
      </w:r>
      <w:r>
        <w:rPr>
          <w:color w:val="231F20"/>
          <w:spacing w:val="-8"/>
          <w:w w:val="105"/>
          <w:sz w:val="18"/>
        </w:rPr>
        <w:t> </w:t>
      </w:r>
      <w:r>
        <w:rPr>
          <w:color w:val="231F20"/>
          <w:w w:val="105"/>
          <w:sz w:val="18"/>
        </w:rPr>
        <w:t>instances,</w:t>
      </w:r>
      <w:r>
        <w:rPr>
          <w:color w:val="231F20"/>
          <w:spacing w:val="-8"/>
          <w:w w:val="105"/>
          <w:sz w:val="18"/>
        </w:rPr>
        <w:t> </w:t>
      </w:r>
      <w:r>
        <w:rPr>
          <w:color w:val="231F20"/>
          <w:w w:val="105"/>
          <w:sz w:val="18"/>
        </w:rPr>
        <w:t>too</w:t>
      </w:r>
      <w:r>
        <w:rPr>
          <w:color w:val="231F20"/>
          <w:spacing w:val="-8"/>
          <w:w w:val="105"/>
          <w:sz w:val="18"/>
        </w:rPr>
        <w:t> </w:t>
      </w:r>
      <w:r>
        <w:rPr>
          <w:color w:val="231F20"/>
          <w:w w:val="105"/>
          <w:sz w:val="18"/>
        </w:rPr>
        <w:t>much</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the</w:t>
      </w:r>
      <w:r>
        <w:rPr>
          <w:color w:val="231F20"/>
          <w:spacing w:val="-8"/>
          <w:w w:val="105"/>
          <w:sz w:val="18"/>
        </w:rPr>
        <w:t> </w:t>
      </w:r>
      <w:r>
        <w:rPr>
          <w:color w:val="231F20"/>
          <w:w w:val="105"/>
          <w:sz w:val="18"/>
        </w:rPr>
        <w:t>enzyme</w:t>
      </w:r>
      <w:r>
        <w:rPr>
          <w:color w:val="231F20"/>
          <w:spacing w:val="-7"/>
          <w:w w:val="105"/>
          <w:sz w:val="18"/>
        </w:rPr>
        <w:t> </w:t>
      </w:r>
      <w:r>
        <w:rPr>
          <w:color w:val="231F20"/>
          <w:w w:val="105"/>
          <w:sz w:val="18"/>
        </w:rPr>
        <w:t>or</w:t>
      </w:r>
      <w:r>
        <w:rPr>
          <w:color w:val="231F20"/>
          <w:spacing w:val="-8"/>
          <w:w w:val="105"/>
          <w:sz w:val="18"/>
        </w:rPr>
        <w:t> </w:t>
      </w:r>
      <w:r>
        <w:rPr>
          <w:color w:val="231F20"/>
          <w:w w:val="105"/>
          <w:sz w:val="18"/>
        </w:rPr>
        <w:t>carrier</w:t>
      </w:r>
      <w:r>
        <w:rPr>
          <w:color w:val="231F20"/>
          <w:spacing w:val="-8"/>
          <w:w w:val="105"/>
          <w:sz w:val="18"/>
        </w:rPr>
        <w:t> </w:t>
      </w:r>
      <w:r>
        <w:rPr>
          <w:color w:val="231F20"/>
          <w:w w:val="105"/>
          <w:sz w:val="18"/>
        </w:rPr>
        <w:t>protein is</w:t>
      </w:r>
      <w:r>
        <w:rPr>
          <w:color w:val="231F20"/>
          <w:spacing w:val="-21"/>
          <w:w w:val="105"/>
          <w:sz w:val="18"/>
        </w:rPr>
        <w:t> </w:t>
      </w:r>
      <w:r>
        <w:rPr>
          <w:color w:val="231F20"/>
          <w:w w:val="105"/>
          <w:sz w:val="18"/>
        </w:rPr>
        <w:t>produced.</w:t>
      </w:r>
      <w:r>
        <w:rPr>
          <w:color w:val="231F20"/>
          <w:spacing w:val="-20"/>
          <w:w w:val="105"/>
          <w:sz w:val="18"/>
        </w:rPr>
        <w:t> </w:t>
      </w:r>
      <w:r>
        <w:rPr>
          <w:color w:val="231F20"/>
          <w:w w:val="105"/>
          <w:sz w:val="18"/>
        </w:rPr>
        <w:t>Thus,</w:t>
      </w:r>
      <w:r>
        <w:rPr>
          <w:color w:val="231F20"/>
          <w:spacing w:val="-20"/>
          <w:w w:val="105"/>
          <w:sz w:val="18"/>
        </w:rPr>
        <w:t> </w:t>
      </w:r>
      <w:r>
        <w:rPr>
          <w:color w:val="231F20"/>
          <w:w w:val="105"/>
          <w:sz w:val="18"/>
        </w:rPr>
        <w:t>many</w:t>
      </w:r>
      <w:r>
        <w:rPr>
          <w:color w:val="231F20"/>
          <w:spacing w:val="-20"/>
          <w:w w:val="105"/>
          <w:sz w:val="18"/>
        </w:rPr>
        <w:t> </w:t>
      </w:r>
      <w:r>
        <w:rPr>
          <w:color w:val="231F20"/>
          <w:w w:val="105"/>
          <w:sz w:val="18"/>
        </w:rPr>
        <w:t>hereditary</w:t>
      </w:r>
      <w:r>
        <w:rPr>
          <w:color w:val="231F20"/>
          <w:spacing w:val="-20"/>
          <w:w w:val="105"/>
          <w:sz w:val="18"/>
        </w:rPr>
        <w:t> </w:t>
      </w:r>
      <w:r>
        <w:rPr>
          <w:color w:val="231F20"/>
          <w:w w:val="105"/>
          <w:sz w:val="18"/>
        </w:rPr>
        <w:t>tubular</w:t>
      </w:r>
      <w:r>
        <w:rPr>
          <w:color w:val="231F20"/>
          <w:spacing w:val="-20"/>
          <w:w w:val="105"/>
          <w:sz w:val="18"/>
        </w:rPr>
        <w:t> </w:t>
      </w:r>
      <w:r>
        <w:rPr>
          <w:color w:val="231F20"/>
          <w:w w:val="105"/>
          <w:sz w:val="18"/>
        </w:rPr>
        <w:t>disorders</w:t>
      </w:r>
      <w:r>
        <w:rPr>
          <w:color w:val="231F20"/>
          <w:spacing w:val="-21"/>
          <w:w w:val="105"/>
          <w:sz w:val="18"/>
        </w:rPr>
        <w:t> </w:t>
      </w:r>
      <w:r>
        <w:rPr>
          <w:color w:val="231F20"/>
          <w:spacing w:val="-4"/>
          <w:w w:val="105"/>
          <w:sz w:val="18"/>
        </w:rPr>
        <w:t>occur </w:t>
      </w:r>
      <w:r>
        <w:rPr>
          <w:color w:val="231F20"/>
          <w:w w:val="105"/>
          <w:sz w:val="18"/>
        </w:rPr>
        <w:t>because</w:t>
      </w:r>
      <w:r>
        <w:rPr>
          <w:color w:val="231F20"/>
          <w:spacing w:val="-7"/>
          <w:w w:val="105"/>
          <w:sz w:val="18"/>
        </w:rPr>
        <w:t> </w:t>
      </w:r>
      <w:r>
        <w:rPr>
          <w:color w:val="231F20"/>
          <w:w w:val="105"/>
          <w:sz w:val="18"/>
        </w:rPr>
        <w:t>of</w:t>
      </w:r>
      <w:r>
        <w:rPr>
          <w:color w:val="231F20"/>
          <w:spacing w:val="-6"/>
          <w:w w:val="105"/>
          <w:sz w:val="18"/>
        </w:rPr>
        <w:t> </w:t>
      </w:r>
      <w:r>
        <w:rPr>
          <w:color w:val="231F20"/>
          <w:w w:val="105"/>
          <w:sz w:val="18"/>
        </w:rPr>
        <w:t>abnormal</w:t>
      </w:r>
      <w:r>
        <w:rPr>
          <w:color w:val="231F20"/>
          <w:spacing w:val="-7"/>
          <w:w w:val="105"/>
          <w:sz w:val="18"/>
        </w:rPr>
        <w:t> </w:t>
      </w:r>
      <w:r>
        <w:rPr>
          <w:color w:val="231F20"/>
          <w:w w:val="105"/>
          <w:sz w:val="18"/>
        </w:rPr>
        <w:t>transport</w:t>
      </w:r>
      <w:r>
        <w:rPr>
          <w:color w:val="231F20"/>
          <w:spacing w:val="-6"/>
          <w:w w:val="105"/>
          <w:sz w:val="18"/>
        </w:rPr>
        <w:t> </w:t>
      </w:r>
      <w:r>
        <w:rPr>
          <w:color w:val="231F20"/>
          <w:w w:val="105"/>
          <w:sz w:val="18"/>
        </w:rPr>
        <w:t>of</w:t>
      </w:r>
      <w:r>
        <w:rPr>
          <w:color w:val="231F20"/>
          <w:spacing w:val="-7"/>
          <w:w w:val="105"/>
          <w:sz w:val="18"/>
        </w:rPr>
        <w:t> </w:t>
      </w:r>
      <w:r>
        <w:rPr>
          <w:color w:val="231F20"/>
          <w:w w:val="105"/>
          <w:sz w:val="18"/>
        </w:rPr>
        <w:t>individual</w:t>
      </w:r>
      <w:r>
        <w:rPr>
          <w:color w:val="231F20"/>
          <w:spacing w:val="-6"/>
          <w:w w:val="105"/>
          <w:sz w:val="18"/>
        </w:rPr>
        <w:t> </w:t>
      </w:r>
      <w:r>
        <w:rPr>
          <w:color w:val="231F20"/>
          <w:w w:val="105"/>
          <w:sz w:val="18"/>
        </w:rPr>
        <w:t>substances</w:t>
      </w:r>
      <w:r>
        <w:rPr>
          <w:color w:val="231F20"/>
          <w:spacing w:val="-7"/>
          <w:w w:val="105"/>
          <w:sz w:val="18"/>
        </w:rPr>
        <w:t> </w:t>
      </w:r>
      <w:r>
        <w:rPr>
          <w:color w:val="231F20"/>
          <w:spacing w:val="-6"/>
          <w:w w:val="105"/>
          <w:sz w:val="18"/>
        </w:rPr>
        <w:t>or </w:t>
      </w:r>
      <w:r>
        <w:rPr>
          <w:color w:val="231F20"/>
          <w:w w:val="105"/>
          <w:sz w:val="18"/>
        </w:rPr>
        <w:t>groups of substances through the tubular membrane. </w:t>
      </w:r>
      <w:r>
        <w:rPr>
          <w:color w:val="231F20"/>
          <w:spacing w:val="-7"/>
          <w:w w:val="105"/>
          <w:sz w:val="18"/>
        </w:rPr>
        <w:t>In </w:t>
      </w:r>
      <w:r>
        <w:rPr>
          <w:color w:val="231F20"/>
          <w:w w:val="105"/>
          <w:sz w:val="18"/>
        </w:rPr>
        <w:t>addition, damage to the tubular epithelial membrane </w:t>
      </w:r>
      <w:r>
        <w:rPr>
          <w:color w:val="231F20"/>
          <w:spacing w:val="-7"/>
          <w:w w:val="105"/>
          <w:sz w:val="18"/>
        </w:rPr>
        <w:t>by </w:t>
      </w:r>
      <w:r>
        <w:rPr>
          <w:color w:val="231F20"/>
          <w:w w:val="105"/>
          <w:sz w:val="18"/>
        </w:rPr>
        <w:t>toxins or ischemia can cause important renal </w:t>
      </w:r>
      <w:r>
        <w:rPr>
          <w:color w:val="231F20"/>
          <w:spacing w:val="-3"/>
          <w:w w:val="105"/>
          <w:sz w:val="18"/>
        </w:rPr>
        <w:t>tubular </w:t>
      </w:r>
      <w:r>
        <w:rPr>
          <w:color w:val="231F20"/>
          <w:w w:val="105"/>
          <w:sz w:val="18"/>
        </w:rPr>
        <w:t>disorders.</w:t>
      </w:r>
    </w:p>
    <w:p>
      <w:pPr>
        <w:spacing w:line="256" w:lineRule="auto" w:before="28"/>
        <w:ind w:left="1620" w:right="0" w:firstLine="240"/>
        <w:jc w:val="both"/>
        <w:rPr>
          <w:sz w:val="18"/>
        </w:rPr>
      </w:pPr>
      <w:r>
        <w:rPr>
          <w:rFonts w:ascii="Trebuchet MS" w:hAnsi="Trebuchet MS"/>
          <w:b/>
          <w:color w:val="231F20"/>
          <w:sz w:val="16"/>
        </w:rPr>
        <w:t>Renal Glycosuria—Failure of the Kidneys to Reabsorb Glucose. </w:t>
      </w:r>
      <w:r>
        <w:rPr>
          <w:color w:val="231F20"/>
          <w:sz w:val="18"/>
        </w:rPr>
        <w:t>In renal glycosuria, the blood glucose concentra­ tion may be normal, but the transport mechanism </w:t>
      </w:r>
      <w:r>
        <w:rPr>
          <w:color w:val="231F20"/>
          <w:spacing w:val="-6"/>
          <w:sz w:val="18"/>
        </w:rPr>
        <w:t>for </w:t>
      </w:r>
      <w:r>
        <w:rPr>
          <w:color w:val="231F20"/>
          <w:sz w:val="18"/>
        </w:rPr>
        <w:t>tubular reabsorption of glucose is greatly limited or absent. Consequently, despite a normal blood glucose level, </w:t>
      </w:r>
      <w:r>
        <w:rPr>
          <w:color w:val="231F20"/>
          <w:spacing w:val="-4"/>
          <w:sz w:val="18"/>
        </w:rPr>
        <w:t>large </w:t>
      </w:r>
      <w:r>
        <w:rPr>
          <w:color w:val="231F20"/>
          <w:sz w:val="18"/>
        </w:rPr>
        <w:t>amounts of glucose pass into the urine each </w:t>
      </w:r>
      <w:r>
        <w:rPr>
          <w:color w:val="231F20"/>
          <w:spacing w:val="-4"/>
          <w:sz w:val="18"/>
        </w:rPr>
        <w:t>day. </w:t>
      </w:r>
      <w:r>
        <w:rPr>
          <w:color w:val="231F20"/>
          <w:sz w:val="18"/>
        </w:rPr>
        <w:t>Because diabetes mellitus is also associated with the presence of glucose in the urine, renal glycosuria, which is a </w:t>
      </w:r>
      <w:r>
        <w:rPr>
          <w:color w:val="231F20"/>
          <w:spacing w:val="-3"/>
          <w:sz w:val="18"/>
        </w:rPr>
        <w:t>relatively </w:t>
      </w:r>
      <w:r>
        <w:rPr>
          <w:color w:val="231F20"/>
          <w:sz w:val="18"/>
        </w:rPr>
        <w:t>benign condition, must be ruled out before making the diagnosis of diabetes</w:t>
      </w:r>
      <w:r>
        <w:rPr>
          <w:color w:val="231F20"/>
          <w:spacing w:val="19"/>
          <w:sz w:val="18"/>
        </w:rPr>
        <w:t> </w:t>
      </w:r>
      <w:r>
        <w:rPr>
          <w:color w:val="231F20"/>
          <w:sz w:val="18"/>
        </w:rPr>
        <w:t>mellitus.</w:t>
      </w:r>
    </w:p>
    <w:p>
      <w:pPr>
        <w:spacing w:line="254" w:lineRule="auto" w:before="8"/>
        <w:ind w:left="1619" w:right="0" w:firstLine="240"/>
        <w:jc w:val="both"/>
        <w:rPr>
          <w:sz w:val="18"/>
        </w:rPr>
      </w:pPr>
      <w:r>
        <w:rPr>
          <w:rFonts w:ascii="Trebuchet MS" w:hAnsi="Trebuchet MS"/>
          <w:b/>
          <w:color w:val="231F20"/>
          <w:sz w:val="16"/>
        </w:rPr>
        <w:t>Aminoaciduria—Failure of the Kidneys to Reabsorb Amino Acids. </w:t>
      </w:r>
      <w:r>
        <w:rPr>
          <w:color w:val="231F20"/>
          <w:sz w:val="18"/>
        </w:rPr>
        <w:t>Some amino acids share mutual transport systems for reabsorption, whereas other amino acids have their own distinct transport systems. Rarely, a condition called </w:t>
      </w:r>
      <w:r>
        <w:rPr>
          <w:i/>
          <w:color w:val="231F20"/>
          <w:sz w:val="18"/>
        </w:rPr>
        <w:t>generalized aminoaciduria </w:t>
      </w:r>
      <w:r>
        <w:rPr>
          <w:color w:val="231F20"/>
          <w:sz w:val="18"/>
        </w:rPr>
        <w:t>results from deficient reabsorption of all amino acids; more frequently, deficien­ cies of specific carrier systems may result in (1) </w:t>
      </w:r>
      <w:r>
        <w:rPr>
          <w:i/>
          <w:color w:val="231F20"/>
          <w:sz w:val="18"/>
        </w:rPr>
        <w:t>essential </w:t>
      </w:r>
      <w:r>
        <w:rPr>
          <w:i/>
          <w:color w:val="231F20"/>
          <w:sz w:val="18"/>
        </w:rPr>
        <w:t>cystinuria, </w:t>
      </w:r>
      <w:r>
        <w:rPr>
          <w:color w:val="231F20"/>
          <w:sz w:val="18"/>
        </w:rPr>
        <w:t>in which large amounts of cystine fail to</w:t>
      </w:r>
      <w:r>
        <w:rPr>
          <w:color w:val="231F20"/>
          <w:spacing w:val="18"/>
          <w:sz w:val="18"/>
        </w:rPr>
        <w:t> </w:t>
      </w:r>
      <w:r>
        <w:rPr>
          <w:color w:val="231F20"/>
          <w:sz w:val="18"/>
        </w:rPr>
        <w:t>be reabsorbed and often crystallize in the urine to form renal stones; (2) </w:t>
      </w:r>
      <w:r>
        <w:rPr>
          <w:i/>
          <w:color w:val="231F20"/>
          <w:sz w:val="18"/>
        </w:rPr>
        <w:t>simple glycinuria, </w:t>
      </w:r>
      <w:r>
        <w:rPr>
          <w:color w:val="231F20"/>
          <w:sz w:val="18"/>
        </w:rPr>
        <w:t>in which glycine fails to be reabsorbed; or (3) </w:t>
      </w:r>
      <w:r>
        <w:rPr>
          <w:i/>
          <w:color w:val="231F20"/>
          <w:sz w:val="18"/>
        </w:rPr>
        <w:t>beta-aminoisobutyricaciduria, </w:t>
      </w:r>
      <w:r>
        <w:rPr>
          <w:color w:val="231F20"/>
          <w:sz w:val="18"/>
        </w:rPr>
        <w:t>which occurs in about 5 percent of all people but apparently has no major clinical</w:t>
      </w:r>
      <w:r>
        <w:rPr>
          <w:color w:val="231F20"/>
          <w:spacing w:val="18"/>
          <w:sz w:val="18"/>
        </w:rPr>
        <w:t> </w:t>
      </w:r>
      <w:r>
        <w:rPr>
          <w:color w:val="231F20"/>
          <w:sz w:val="18"/>
        </w:rPr>
        <w:t>significance.</w:t>
      </w:r>
    </w:p>
    <w:p>
      <w:pPr>
        <w:spacing w:line="254" w:lineRule="auto" w:before="30"/>
        <w:ind w:left="1620" w:right="0" w:firstLine="240"/>
        <w:jc w:val="both"/>
        <w:rPr>
          <w:sz w:val="18"/>
        </w:rPr>
      </w:pPr>
      <w:r>
        <w:rPr>
          <w:rFonts w:ascii="Trebuchet MS" w:hAnsi="Trebuchet MS"/>
          <w:b/>
          <w:color w:val="231F20"/>
          <w:w w:val="105"/>
          <w:sz w:val="16"/>
        </w:rPr>
        <w:t>Renal Hypophosphatemia—Failure of the Kidneys </w:t>
      </w:r>
      <w:r>
        <w:rPr>
          <w:rFonts w:ascii="Trebuchet MS" w:hAnsi="Trebuchet MS"/>
          <w:b/>
          <w:color w:val="231F20"/>
          <w:spacing w:val="-9"/>
          <w:w w:val="105"/>
          <w:sz w:val="16"/>
        </w:rPr>
        <w:t>to </w:t>
      </w:r>
      <w:r>
        <w:rPr>
          <w:rFonts w:ascii="Trebuchet MS" w:hAnsi="Trebuchet MS"/>
          <w:b/>
          <w:color w:val="231F20"/>
          <w:w w:val="105"/>
          <w:sz w:val="16"/>
        </w:rPr>
        <w:t>Reabsorb Phosphate. </w:t>
      </w:r>
      <w:r>
        <w:rPr>
          <w:color w:val="231F20"/>
          <w:w w:val="105"/>
          <w:sz w:val="18"/>
        </w:rPr>
        <w:t>In renal hypophosphatemia, </w:t>
      </w:r>
      <w:r>
        <w:rPr>
          <w:color w:val="231F20"/>
          <w:spacing w:val="-5"/>
          <w:w w:val="105"/>
          <w:sz w:val="18"/>
        </w:rPr>
        <w:t>the </w:t>
      </w:r>
      <w:r>
        <w:rPr>
          <w:color w:val="231F20"/>
          <w:w w:val="105"/>
          <w:sz w:val="18"/>
        </w:rPr>
        <w:t>renal tubules fail to reabsorb large enough quantities of phosphate ions when the phosphate concentration of </w:t>
      </w:r>
      <w:r>
        <w:rPr>
          <w:color w:val="231F20"/>
          <w:spacing w:val="-5"/>
          <w:w w:val="105"/>
          <w:sz w:val="18"/>
        </w:rPr>
        <w:t>the </w:t>
      </w:r>
      <w:r>
        <w:rPr>
          <w:color w:val="231F20"/>
          <w:w w:val="105"/>
          <w:sz w:val="18"/>
        </w:rPr>
        <w:t>body</w:t>
      </w:r>
      <w:r>
        <w:rPr>
          <w:color w:val="231F20"/>
          <w:spacing w:val="-9"/>
          <w:w w:val="105"/>
          <w:sz w:val="18"/>
        </w:rPr>
        <w:t> </w:t>
      </w:r>
      <w:r>
        <w:rPr>
          <w:color w:val="231F20"/>
          <w:w w:val="105"/>
          <w:sz w:val="18"/>
        </w:rPr>
        <w:t>fluids</w:t>
      </w:r>
      <w:r>
        <w:rPr>
          <w:color w:val="231F20"/>
          <w:spacing w:val="-8"/>
          <w:w w:val="105"/>
          <w:sz w:val="18"/>
        </w:rPr>
        <w:t> </w:t>
      </w:r>
      <w:r>
        <w:rPr>
          <w:color w:val="231F20"/>
          <w:w w:val="105"/>
          <w:sz w:val="18"/>
        </w:rPr>
        <w:t>falls</w:t>
      </w:r>
      <w:r>
        <w:rPr>
          <w:color w:val="231F20"/>
          <w:spacing w:val="-9"/>
          <w:w w:val="105"/>
          <w:sz w:val="18"/>
        </w:rPr>
        <w:t> </w:t>
      </w:r>
      <w:r>
        <w:rPr>
          <w:color w:val="231F20"/>
          <w:w w:val="105"/>
          <w:sz w:val="18"/>
        </w:rPr>
        <w:t>very</w:t>
      </w:r>
      <w:r>
        <w:rPr>
          <w:color w:val="231F20"/>
          <w:spacing w:val="-8"/>
          <w:w w:val="105"/>
          <w:sz w:val="18"/>
        </w:rPr>
        <w:t> </w:t>
      </w:r>
      <w:r>
        <w:rPr>
          <w:color w:val="231F20"/>
          <w:spacing w:val="-3"/>
          <w:w w:val="105"/>
          <w:sz w:val="18"/>
        </w:rPr>
        <w:t>low.</w:t>
      </w:r>
      <w:r>
        <w:rPr>
          <w:color w:val="231F20"/>
          <w:spacing w:val="-8"/>
          <w:w w:val="105"/>
          <w:sz w:val="18"/>
        </w:rPr>
        <w:t> </w:t>
      </w:r>
      <w:r>
        <w:rPr>
          <w:color w:val="231F20"/>
          <w:w w:val="105"/>
          <w:sz w:val="18"/>
        </w:rPr>
        <w:t>This</w:t>
      </w:r>
      <w:r>
        <w:rPr>
          <w:color w:val="231F20"/>
          <w:spacing w:val="-9"/>
          <w:w w:val="105"/>
          <w:sz w:val="18"/>
        </w:rPr>
        <w:t> </w:t>
      </w:r>
      <w:r>
        <w:rPr>
          <w:color w:val="231F20"/>
          <w:w w:val="105"/>
          <w:sz w:val="18"/>
        </w:rPr>
        <w:t>condition</w:t>
      </w:r>
      <w:r>
        <w:rPr>
          <w:color w:val="231F20"/>
          <w:spacing w:val="-8"/>
          <w:w w:val="105"/>
          <w:sz w:val="18"/>
        </w:rPr>
        <w:t> </w:t>
      </w:r>
      <w:r>
        <w:rPr>
          <w:color w:val="231F20"/>
          <w:w w:val="105"/>
          <w:sz w:val="18"/>
        </w:rPr>
        <w:t>usually</w:t>
      </w:r>
      <w:r>
        <w:rPr>
          <w:color w:val="231F20"/>
          <w:spacing w:val="-9"/>
          <w:w w:val="105"/>
          <w:sz w:val="18"/>
        </w:rPr>
        <w:t> </w:t>
      </w:r>
      <w:r>
        <w:rPr>
          <w:color w:val="231F20"/>
          <w:w w:val="105"/>
          <w:sz w:val="18"/>
        </w:rPr>
        <w:t>does</w:t>
      </w:r>
      <w:r>
        <w:rPr>
          <w:color w:val="231F20"/>
          <w:spacing w:val="-8"/>
          <w:w w:val="105"/>
          <w:sz w:val="18"/>
        </w:rPr>
        <w:t> </w:t>
      </w:r>
      <w:r>
        <w:rPr>
          <w:color w:val="231F20"/>
          <w:spacing w:val="-5"/>
          <w:w w:val="105"/>
          <w:sz w:val="18"/>
        </w:rPr>
        <w:t>not </w:t>
      </w:r>
      <w:r>
        <w:rPr>
          <w:color w:val="231F20"/>
          <w:w w:val="105"/>
          <w:sz w:val="18"/>
        </w:rPr>
        <w:t>cause serious immediate abnormalities because the </w:t>
      </w:r>
      <w:r>
        <w:rPr>
          <w:color w:val="231F20"/>
          <w:spacing w:val="-3"/>
          <w:w w:val="105"/>
          <w:sz w:val="18"/>
        </w:rPr>
        <w:t>phos­ </w:t>
      </w:r>
      <w:r>
        <w:rPr>
          <w:color w:val="231F20"/>
          <w:w w:val="105"/>
          <w:sz w:val="18"/>
        </w:rPr>
        <w:t>phate concentration of the extracellular fluid can vary widely</w:t>
      </w:r>
      <w:r>
        <w:rPr>
          <w:color w:val="231F20"/>
          <w:spacing w:val="-13"/>
          <w:w w:val="105"/>
          <w:sz w:val="18"/>
        </w:rPr>
        <w:t> </w:t>
      </w:r>
      <w:r>
        <w:rPr>
          <w:color w:val="231F20"/>
          <w:w w:val="105"/>
          <w:sz w:val="18"/>
        </w:rPr>
        <w:t>without</w:t>
      </w:r>
      <w:r>
        <w:rPr>
          <w:color w:val="231F20"/>
          <w:spacing w:val="-12"/>
          <w:w w:val="105"/>
          <w:sz w:val="18"/>
        </w:rPr>
        <w:t> </w:t>
      </w:r>
      <w:r>
        <w:rPr>
          <w:color w:val="231F20"/>
          <w:w w:val="105"/>
          <w:sz w:val="18"/>
        </w:rPr>
        <w:t>causing</w:t>
      </w:r>
      <w:r>
        <w:rPr>
          <w:color w:val="231F20"/>
          <w:spacing w:val="-13"/>
          <w:w w:val="105"/>
          <w:sz w:val="18"/>
        </w:rPr>
        <w:t> </w:t>
      </w:r>
      <w:r>
        <w:rPr>
          <w:color w:val="231F20"/>
          <w:w w:val="105"/>
          <w:sz w:val="18"/>
        </w:rPr>
        <w:t>major</w:t>
      </w:r>
      <w:r>
        <w:rPr>
          <w:color w:val="231F20"/>
          <w:spacing w:val="-12"/>
          <w:w w:val="105"/>
          <w:sz w:val="18"/>
        </w:rPr>
        <w:t> </w:t>
      </w:r>
      <w:r>
        <w:rPr>
          <w:color w:val="231F20"/>
          <w:w w:val="105"/>
          <w:sz w:val="18"/>
        </w:rPr>
        <w:t>cellular</w:t>
      </w:r>
      <w:r>
        <w:rPr>
          <w:color w:val="231F20"/>
          <w:spacing w:val="-13"/>
          <w:w w:val="105"/>
          <w:sz w:val="18"/>
        </w:rPr>
        <w:t> </w:t>
      </w:r>
      <w:r>
        <w:rPr>
          <w:color w:val="231F20"/>
          <w:w w:val="105"/>
          <w:sz w:val="18"/>
        </w:rPr>
        <w:t>dysfunction.</w:t>
      </w:r>
      <w:r>
        <w:rPr>
          <w:color w:val="231F20"/>
          <w:spacing w:val="-12"/>
          <w:w w:val="105"/>
          <w:sz w:val="18"/>
        </w:rPr>
        <w:t> </w:t>
      </w:r>
      <w:r>
        <w:rPr>
          <w:color w:val="231F20"/>
          <w:w w:val="105"/>
          <w:sz w:val="18"/>
        </w:rPr>
        <w:t>Over</w:t>
      </w:r>
      <w:r>
        <w:rPr>
          <w:color w:val="231F20"/>
          <w:spacing w:val="-13"/>
          <w:w w:val="105"/>
          <w:sz w:val="18"/>
        </w:rPr>
        <w:t> </w:t>
      </w:r>
      <w:r>
        <w:rPr>
          <w:color w:val="231F20"/>
          <w:spacing w:val="-14"/>
          <w:w w:val="105"/>
          <w:sz w:val="18"/>
        </w:rPr>
        <w:t>a </w:t>
      </w:r>
      <w:r>
        <w:rPr>
          <w:color w:val="231F20"/>
          <w:w w:val="105"/>
          <w:sz w:val="18"/>
        </w:rPr>
        <w:t>long</w:t>
      </w:r>
      <w:r>
        <w:rPr>
          <w:color w:val="231F20"/>
          <w:spacing w:val="-6"/>
          <w:w w:val="105"/>
          <w:sz w:val="18"/>
        </w:rPr>
        <w:t> </w:t>
      </w:r>
      <w:r>
        <w:rPr>
          <w:color w:val="231F20"/>
          <w:w w:val="105"/>
          <w:sz w:val="18"/>
        </w:rPr>
        <w:t>period,</w:t>
      </w:r>
      <w:r>
        <w:rPr>
          <w:color w:val="231F20"/>
          <w:spacing w:val="-5"/>
          <w:w w:val="105"/>
          <w:sz w:val="18"/>
        </w:rPr>
        <w:t> </w:t>
      </w:r>
      <w:r>
        <w:rPr>
          <w:color w:val="231F20"/>
          <w:w w:val="105"/>
          <w:sz w:val="18"/>
        </w:rPr>
        <w:t>a</w:t>
      </w:r>
      <w:r>
        <w:rPr>
          <w:color w:val="231F20"/>
          <w:spacing w:val="-6"/>
          <w:w w:val="105"/>
          <w:sz w:val="18"/>
        </w:rPr>
        <w:t> </w:t>
      </w:r>
      <w:r>
        <w:rPr>
          <w:color w:val="231F20"/>
          <w:w w:val="105"/>
          <w:sz w:val="18"/>
        </w:rPr>
        <w:t>low</w:t>
      </w:r>
      <w:r>
        <w:rPr>
          <w:color w:val="231F20"/>
          <w:spacing w:val="-5"/>
          <w:w w:val="105"/>
          <w:sz w:val="18"/>
        </w:rPr>
        <w:t> </w:t>
      </w:r>
      <w:r>
        <w:rPr>
          <w:color w:val="231F20"/>
          <w:w w:val="105"/>
          <w:sz w:val="18"/>
        </w:rPr>
        <w:t>phosphate</w:t>
      </w:r>
      <w:r>
        <w:rPr>
          <w:color w:val="231F20"/>
          <w:spacing w:val="-6"/>
          <w:w w:val="105"/>
          <w:sz w:val="18"/>
        </w:rPr>
        <w:t> </w:t>
      </w:r>
      <w:r>
        <w:rPr>
          <w:color w:val="231F20"/>
          <w:w w:val="105"/>
          <w:sz w:val="18"/>
        </w:rPr>
        <w:t>level</w:t>
      </w:r>
      <w:r>
        <w:rPr>
          <w:color w:val="231F20"/>
          <w:spacing w:val="-5"/>
          <w:w w:val="105"/>
          <w:sz w:val="18"/>
        </w:rPr>
        <w:t> </w:t>
      </w:r>
      <w:r>
        <w:rPr>
          <w:color w:val="231F20"/>
          <w:w w:val="105"/>
          <w:sz w:val="18"/>
        </w:rPr>
        <w:t>causes</w:t>
      </w:r>
      <w:r>
        <w:rPr>
          <w:color w:val="231F20"/>
          <w:spacing w:val="-6"/>
          <w:w w:val="105"/>
          <w:sz w:val="18"/>
        </w:rPr>
        <w:t> </w:t>
      </w:r>
      <w:r>
        <w:rPr>
          <w:color w:val="231F20"/>
          <w:w w:val="105"/>
          <w:sz w:val="18"/>
        </w:rPr>
        <w:t>diminished</w:t>
      </w:r>
      <w:r>
        <w:rPr>
          <w:color w:val="231F20"/>
          <w:spacing w:val="-5"/>
          <w:w w:val="105"/>
          <w:sz w:val="18"/>
        </w:rPr>
        <w:t> </w:t>
      </w:r>
      <w:r>
        <w:rPr>
          <w:color w:val="231F20"/>
          <w:spacing w:val="-3"/>
          <w:w w:val="105"/>
          <w:sz w:val="18"/>
        </w:rPr>
        <w:t>cal­ </w:t>
      </w:r>
      <w:r>
        <w:rPr>
          <w:color w:val="231F20"/>
          <w:w w:val="105"/>
          <w:sz w:val="18"/>
        </w:rPr>
        <w:t>cification</w:t>
      </w:r>
      <w:r>
        <w:rPr>
          <w:color w:val="231F20"/>
          <w:spacing w:val="-27"/>
          <w:w w:val="105"/>
          <w:sz w:val="18"/>
        </w:rPr>
        <w:t> </w:t>
      </w:r>
      <w:r>
        <w:rPr>
          <w:color w:val="231F20"/>
          <w:w w:val="105"/>
          <w:sz w:val="18"/>
        </w:rPr>
        <w:t>of</w:t>
      </w:r>
      <w:r>
        <w:rPr>
          <w:color w:val="231F20"/>
          <w:spacing w:val="-26"/>
          <w:w w:val="105"/>
          <w:sz w:val="18"/>
        </w:rPr>
        <w:t> </w:t>
      </w:r>
      <w:r>
        <w:rPr>
          <w:color w:val="231F20"/>
          <w:w w:val="105"/>
          <w:sz w:val="18"/>
        </w:rPr>
        <w:t>the</w:t>
      </w:r>
      <w:r>
        <w:rPr>
          <w:color w:val="231F20"/>
          <w:spacing w:val="-27"/>
          <w:w w:val="105"/>
          <w:sz w:val="18"/>
        </w:rPr>
        <w:t> </w:t>
      </w:r>
      <w:r>
        <w:rPr>
          <w:color w:val="231F20"/>
          <w:w w:val="105"/>
          <w:sz w:val="18"/>
        </w:rPr>
        <w:t>bones,</w:t>
      </w:r>
      <w:r>
        <w:rPr>
          <w:color w:val="231F20"/>
          <w:spacing w:val="-26"/>
          <w:w w:val="105"/>
          <w:sz w:val="18"/>
        </w:rPr>
        <w:t> </w:t>
      </w:r>
      <w:r>
        <w:rPr>
          <w:color w:val="231F20"/>
          <w:w w:val="105"/>
          <w:sz w:val="18"/>
        </w:rPr>
        <w:t>causing</w:t>
      </w:r>
      <w:r>
        <w:rPr>
          <w:color w:val="231F20"/>
          <w:spacing w:val="-26"/>
          <w:w w:val="105"/>
          <w:sz w:val="18"/>
        </w:rPr>
        <w:t> </w:t>
      </w:r>
      <w:r>
        <w:rPr>
          <w:color w:val="231F20"/>
          <w:w w:val="105"/>
          <w:sz w:val="18"/>
        </w:rPr>
        <w:t>rickets</w:t>
      </w:r>
      <w:r>
        <w:rPr>
          <w:color w:val="231F20"/>
          <w:spacing w:val="-27"/>
          <w:w w:val="105"/>
          <w:sz w:val="18"/>
        </w:rPr>
        <w:t> </w:t>
      </w:r>
      <w:r>
        <w:rPr>
          <w:color w:val="231F20"/>
          <w:w w:val="105"/>
          <w:sz w:val="18"/>
        </w:rPr>
        <w:t>to</w:t>
      </w:r>
      <w:r>
        <w:rPr>
          <w:color w:val="231F20"/>
          <w:spacing w:val="-26"/>
          <w:w w:val="105"/>
          <w:sz w:val="18"/>
        </w:rPr>
        <w:t> </w:t>
      </w:r>
      <w:r>
        <w:rPr>
          <w:color w:val="231F20"/>
          <w:w w:val="105"/>
          <w:sz w:val="18"/>
        </w:rPr>
        <w:t>develop.</w:t>
      </w:r>
      <w:r>
        <w:rPr>
          <w:color w:val="231F20"/>
          <w:spacing w:val="-26"/>
          <w:w w:val="105"/>
          <w:sz w:val="18"/>
        </w:rPr>
        <w:t> </w:t>
      </w:r>
      <w:r>
        <w:rPr>
          <w:color w:val="231F20"/>
          <w:w w:val="105"/>
          <w:sz w:val="18"/>
        </w:rPr>
        <w:t>This</w:t>
      </w:r>
      <w:r>
        <w:rPr>
          <w:color w:val="231F20"/>
          <w:spacing w:val="-27"/>
          <w:w w:val="105"/>
          <w:sz w:val="18"/>
        </w:rPr>
        <w:t> </w:t>
      </w:r>
      <w:r>
        <w:rPr>
          <w:color w:val="231F20"/>
          <w:w w:val="105"/>
          <w:sz w:val="18"/>
        </w:rPr>
        <w:t>type of</w:t>
      </w:r>
      <w:r>
        <w:rPr>
          <w:color w:val="231F20"/>
          <w:spacing w:val="-7"/>
          <w:w w:val="105"/>
          <w:sz w:val="18"/>
        </w:rPr>
        <w:t> </w:t>
      </w:r>
      <w:r>
        <w:rPr>
          <w:color w:val="231F20"/>
          <w:w w:val="105"/>
          <w:sz w:val="18"/>
        </w:rPr>
        <w:t>rickets</w:t>
      </w:r>
      <w:r>
        <w:rPr>
          <w:color w:val="231F20"/>
          <w:spacing w:val="-7"/>
          <w:w w:val="105"/>
          <w:sz w:val="18"/>
        </w:rPr>
        <w:t> </w:t>
      </w:r>
      <w:r>
        <w:rPr>
          <w:color w:val="231F20"/>
          <w:w w:val="105"/>
          <w:sz w:val="18"/>
        </w:rPr>
        <w:t>is</w:t>
      </w:r>
      <w:r>
        <w:rPr>
          <w:color w:val="231F20"/>
          <w:spacing w:val="-7"/>
          <w:w w:val="105"/>
          <w:sz w:val="18"/>
        </w:rPr>
        <w:t> </w:t>
      </w:r>
      <w:r>
        <w:rPr>
          <w:color w:val="231F20"/>
          <w:w w:val="105"/>
          <w:sz w:val="18"/>
        </w:rPr>
        <w:t>refractory</w:t>
      </w:r>
      <w:r>
        <w:rPr>
          <w:color w:val="231F20"/>
          <w:spacing w:val="-6"/>
          <w:w w:val="105"/>
          <w:sz w:val="18"/>
        </w:rPr>
        <w:t> </w:t>
      </w:r>
      <w:r>
        <w:rPr>
          <w:color w:val="231F20"/>
          <w:w w:val="105"/>
          <w:sz w:val="18"/>
        </w:rPr>
        <w:t>to</w:t>
      </w:r>
      <w:r>
        <w:rPr>
          <w:color w:val="231F20"/>
          <w:spacing w:val="-7"/>
          <w:w w:val="105"/>
          <w:sz w:val="18"/>
        </w:rPr>
        <w:t> </w:t>
      </w:r>
      <w:r>
        <w:rPr>
          <w:color w:val="231F20"/>
          <w:w w:val="105"/>
          <w:sz w:val="18"/>
        </w:rPr>
        <w:t>vitamin</w:t>
      </w:r>
      <w:r>
        <w:rPr>
          <w:color w:val="231F20"/>
          <w:spacing w:val="-7"/>
          <w:w w:val="105"/>
          <w:sz w:val="18"/>
        </w:rPr>
        <w:t> </w:t>
      </w:r>
      <w:r>
        <w:rPr>
          <w:color w:val="231F20"/>
          <w:w w:val="105"/>
          <w:sz w:val="18"/>
        </w:rPr>
        <w:t>D</w:t>
      </w:r>
      <w:r>
        <w:rPr>
          <w:color w:val="231F20"/>
          <w:spacing w:val="-6"/>
          <w:w w:val="105"/>
          <w:sz w:val="18"/>
        </w:rPr>
        <w:t> </w:t>
      </w:r>
      <w:r>
        <w:rPr>
          <w:color w:val="231F20"/>
          <w:w w:val="105"/>
          <w:sz w:val="18"/>
        </w:rPr>
        <w:t>therapy,</w:t>
      </w:r>
      <w:r>
        <w:rPr>
          <w:color w:val="231F20"/>
          <w:spacing w:val="-7"/>
          <w:w w:val="105"/>
          <w:sz w:val="18"/>
        </w:rPr>
        <w:t> </w:t>
      </w:r>
      <w:r>
        <w:rPr>
          <w:color w:val="231F20"/>
          <w:w w:val="105"/>
          <w:sz w:val="18"/>
        </w:rPr>
        <w:t>in</w:t>
      </w:r>
      <w:r>
        <w:rPr>
          <w:color w:val="231F20"/>
          <w:spacing w:val="-7"/>
          <w:w w:val="105"/>
          <w:sz w:val="18"/>
        </w:rPr>
        <w:t> </w:t>
      </w:r>
      <w:r>
        <w:rPr>
          <w:color w:val="231F20"/>
          <w:w w:val="105"/>
          <w:sz w:val="18"/>
        </w:rPr>
        <w:t>contrast</w:t>
      </w:r>
      <w:r>
        <w:rPr>
          <w:color w:val="231F20"/>
          <w:spacing w:val="-6"/>
          <w:w w:val="105"/>
          <w:sz w:val="18"/>
        </w:rPr>
        <w:t> </w:t>
      </w:r>
      <w:r>
        <w:rPr>
          <w:color w:val="231F20"/>
          <w:w w:val="105"/>
          <w:sz w:val="18"/>
        </w:rPr>
        <w:t>to the</w:t>
      </w:r>
      <w:r>
        <w:rPr>
          <w:color w:val="231F20"/>
          <w:spacing w:val="-16"/>
          <w:w w:val="105"/>
          <w:sz w:val="18"/>
        </w:rPr>
        <w:t> </w:t>
      </w:r>
      <w:r>
        <w:rPr>
          <w:color w:val="231F20"/>
          <w:w w:val="105"/>
          <w:sz w:val="18"/>
        </w:rPr>
        <w:t>rapid</w:t>
      </w:r>
      <w:r>
        <w:rPr>
          <w:color w:val="231F20"/>
          <w:spacing w:val="-15"/>
          <w:w w:val="105"/>
          <w:sz w:val="18"/>
        </w:rPr>
        <w:t> </w:t>
      </w:r>
      <w:r>
        <w:rPr>
          <w:color w:val="231F20"/>
          <w:w w:val="105"/>
          <w:sz w:val="18"/>
        </w:rPr>
        <w:t>response</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usual</w:t>
      </w:r>
      <w:r>
        <w:rPr>
          <w:color w:val="231F20"/>
          <w:spacing w:val="-15"/>
          <w:w w:val="105"/>
          <w:sz w:val="18"/>
        </w:rPr>
        <w:t> </w:t>
      </w:r>
      <w:r>
        <w:rPr>
          <w:color w:val="231F20"/>
          <w:w w:val="105"/>
          <w:sz w:val="18"/>
        </w:rPr>
        <w:t>type</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rickets,</w:t>
      </w:r>
      <w:r>
        <w:rPr>
          <w:color w:val="231F20"/>
          <w:spacing w:val="-15"/>
          <w:w w:val="105"/>
          <w:sz w:val="18"/>
        </w:rPr>
        <w:t> </w:t>
      </w:r>
      <w:r>
        <w:rPr>
          <w:color w:val="231F20"/>
          <w:w w:val="105"/>
          <w:sz w:val="18"/>
        </w:rPr>
        <w:t>as</w:t>
      </w:r>
      <w:r>
        <w:rPr>
          <w:color w:val="231F20"/>
          <w:spacing w:val="-15"/>
          <w:w w:val="105"/>
          <w:sz w:val="18"/>
        </w:rPr>
        <w:t> </w:t>
      </w:r>
      <w:r>
        <w:rPr>
          <w:color w:val="231F20"/>
          <w:w w:val="105"/>
          <w:sz w:val="18"/>
        </w:rPr>
        <w:t>discussed in Chapter</w:t>
      </w:r>
      <w:r>
        <w:rPr>
          <w:color w:val="231F20"/>
          <w:spacing w:val="6"/>
          <w:w w:val="105"/>
          <w:sz w:val="18"/>
        </w:rPr>
        <w:t> </w:t>
      </w:r>
      <w:r>
        <w:rPr>
          <w:color w:val="231F20"/>
          <w:w w:val="105"/>
          <w:sz w:val="18"/>
        </w:rPr>
        <w:t>80.</w:t>
      </w:r>
    </w:p>
    <w:p>
      <w:pPr>
        <w:spacing w:line="259" w:lineRule="auto" w:before="30"/>
        <w:ind w:left="1619" w:right="0" w:firstLine="240"/>
        <w:jc w:val="both"/>
        <w:rPr>
          <w:sz w:val="18"/>
        </w:rPr>
      </w:pPr>
      <w:r>
        <w:rPr>
          <w:rFonts w:ascii="Trebuchet MS" w:hAnsi="Trebuchet MS"/>
          <w:b/>
          <w:color w:val="231F20"/>
          <w:w w:val="105"/>
          <w:sz w:val="16"/>
        </w:rPr>
        <w:t>Renal Tubular Acidosis—Failure of the Tubules to Secrete Hydrogen Ions. </w:t>
      </w:r>
      <w:r>
        <w:rPr>
          <w:color w:val="231F20"/>
          <w:w w:val="105"/>
          <w:sz w:val="18"/>
        </w:rPr>
        <w:t>In renal tubular acidosis, the renal tubules are unable to secrete adequate amounts of</w:t>
      </w:r>
    </w:p>
    <w:p>
      <w:pPr>
        <w:pStyle w:val="BodyText"/>
        <w:spacing w:before="6"/>
        <w:rPr>
          <w:sz w:val="21"/>
        </w:rPr>
      </w:pPr>
      <w:r>
        <w:rPr/>
        <w:br w:type="column"/>
      </w:r>
      <w:r>
        <w:rPr>
          <w:sz w:val="21"/>
        </w:rPr>
      </w:r>
    </w:p>
    <w:p>
      <w:pPr>
        <w:spacing w:line="254" w:lineRule="auto" w:before="0"/>
        <w:ind w:left="679" w:right="1259" w:firstLine="0"/>
        <w:jc w:val="both"/>
        <w:rPr>
          <w:sz w:val="18"/>
        </w:rPr>
      </w:pPr>
      <w:r>
        <w:rPr>
          <w:color w:val="231F20"/>
          <w:w w:val="105"/>
          <w:sz w:val="18"/>
        </w:rPr>
        <w:t>hydrogen</w:t>
      </w:r>
      <w:r>
        <w:rPr>
          <w:color w:val="231F20"/>
          <w:spacing w:val="-13"/>
          <w:w w:val="105"/>
          <w:sz w:val="18"/>
        </w:rPr>
        <w:t> </w:t>
      </w:r>
      <w:r>
        <w:rPr>
          <w:color w:val="231F20"/>
          <w:w w:val="105"/>
          <w:sz w:val="18"/>
        </w:rPr>
        <w:t>ions.</w:t>
      </w:r>
      <w:r>
        <w:rPr>
          <w:color w:val="231F20"/>
          <w:spacing w:val="-12"/>
          <w:w w:val="105"/>
          <w:sz w:val="18"/>
        </w:rPr>
        <w:t> </w:t>
      </w:r>
      <w:r>
        <w:rPr>
          <w:color w:val="231F20"/>
          <w:w w:val="105"/>
          <w:sz w:val="18"/>
        </w:rPr>
        <w:t>As</w:t>
      </w:r>
      <w:r>
        <w:rPr>
          <w:color w:val="231F20"/>
          <w:spacing w:val="-13"/>
          <w:w w:val="105"/>
          <w:sz w:val="18"/>
        </w:rPr>
        <w:t> </w:t>
      </w:r>
      <w:r>
        <w:rPr>
          <w:color w:val="231F20"/>
          <w:w w:val="105"/>
          <w:sz w:val="18"/>
        </w:rPr>
        <w:t>a</w:t>
      </w:r>
      <w:r>
        <w:rPr>
          <w:color w:val="231F20"/>
          <w:spacing w:val="-12"/>
          <w:w w:val="105"/>
          <w:sz w:val="18"/>
        </w:rPr>
        <w:t> </w:t>
      </w:r>
      <w:r>
        <w:rPr>
          <w:color w:val="231F20"/>
          <w:w w:val="105"/>
          <w:sz w:val="18"/>
        </w:rPr>
        <w:t>result,</w:t>
      </w:r>
      <w:r>
        <w:rPr>
          <w:color w:val="231F20"/>
          <w:spacing w:val="-13"/>
          <w:w w:val="105"/>
          <w:sz w:val="18"/>
        </w:rPr>
        <w:t> </w:t>
      </w:r>
      <w:r>
        <w:rPr>
          <w:color w:val="231F20"/>
          <w:w w:val="105"/>
          <w:sz w:val="18"/>
        </w:rPr>
        <w:t>large</w:t>
      </w:r>
      <w:r>
        <w:rPr>
          <w:color w:val="231F20"/>
          <w:spacing w:val="-12"/>
          <w:w w:val="105"/>
          <w:sz w:val="18"/>
        </w:rPr>
        <w:t> </w:t>
      </w:r>
      <w:r>
        <w:rPr>
          <w:color w:val="231F20"/>
          <w:w w:val="105"/>
          <w:sz w:val="18"/>
        </w:rPr>
        <w:t>amounts</w:t>
      </w:r>
      <w:r>
        <w:rPr>
          <w:color w:val="231F20"/>
          <w:spacing w:val="-12"/>
          <w:w w:val="105"/>
          <w:sz w:val="18"/>
        </w:rPr>
        <w:t> </w:t>
      </w:r>
      <w:r>
        <w:rPr>
          <w:color w:val="231F20"/>
          <w:w w:val="105"/>
          <w:sz w:val="18"/>
        </w:rPr>
        <w:t>of</w:t>
      </w:r>
      <w:r>
        <w:rPr>
          <w:color w:val="231F20"/>
          <w:spacing w:val="-13"/>
          <w:w w:val="105"/>
          <w:sz w:val="18"/>
        </w:rPr>
        <w:t> </w:t>
      </w:r>
      <w:r>
        <w:rPr>
          <w:color w:val="231F20"/>
          <w:w w:val="105"/>
          <w:sz w:val="18"/>
        </w:rPr>
        <w:t>sodium</w:t>
      </w:r>
      <w:r>
        <w:rPr>
          <w:color w:val="231F20"/>
          <w:spacing w:val="-12"/>
          <w:w w:val="105"/>
          <w:sz w:val="18"/>
        </w:rPr>
        <w:t> </w:t>
      </w:r>
      <w:r>
        <w:rPr>
          <w:color w:val="231F20"/>
          <w:spacing w:val="-3"/>
          <w:w w:val="105"/>
          <w:sz w:val="18"/>
        </w:rPr>
        <w:t>bicar­ </w:t>
      </w:r>
      <w:r>
        <w:rPr>
          <w:color w:val="231F20"/>
          <w:w w:val="105"/>
          <w:sz w:val="18"/>
        </w:rPr>
        <w:t>bonate are continually lost in the urine. This loss causes a continued state of metabolic acidosis, as discussed in Chapter 31. This type of renal abnormality can be</w:t>
      </w:r>
      <w:r>
        <w:rPr>
          <w:color w:val="231F20"/>
          <w:spacing w:val="-12"/>
          <w:w w:val="105"/>
          <w:sz w:val="18"/>
        </w:rPr>
        <w:t> </w:t>
      </w:r>
      <w:r>
        <w:rPr>
          <w:color w:val="231F20"/>
          <w:w w:val="105"/>
          <w:sz w:val="18"/>
        </w:rPr>
        <w:t>caused by</w:t>
      </w:r>
      <w:r>
        <w:rPr>
          <w:color w:val="231F20"/>
          <w:spacing w:val="-10"/>
          <w:w w:val="105"/>
          <w:sz w:val="18"/>
        </w:rPr>
        <w:t> </w:t>
      </w:r>
      <w:r>
        <w:rPr>
          <w:color w:val="231F20"/>
          <w:w w:val="105"/>
          <w:sz w:val="18"/>
        </w:rPr>
        <w:t>hereditary</w:t>
      </w:r>
      <w:r>
        <w:rPr>
          <w:color w:val="231F20"/>
          <w:spacing w:val="-9"/>
          <w:w w:val="105"/>
          <w:sz w:val="18"/>
        </w:rPr>
        <w:t> </w:t>
      </w:r>
      <w:r>
        <w:rPr>
          <w:color w:val="231F20"/>
          <w:w w:val="105"/>
          <w:sz w:val="18"/>
        </w:rPr>
        <w:t>disorders,</w:t>
      </w:r>
      <w:r>
        <w:rPr>
          <w:color w:val="231F20"/>
          <w:spacing w:val="-9"/>
          <w:w w:val="105"/>
          <w:sz w:val="18"/>
        </w:rPr>
        <w:t> </w:t>
      </w:r>
      <w:r>
        <w:rPr>
          <w:color w:val="231F20"/>
          <w:w w:val="105"/>
          <w:sz w:val="18"/>
        </w:rPr>
        <w:t>or</w:t>
      </w:r>
      <w:r>
        <w:rPr>
          <w:color w:val="231F20"/>
          <w:spacing w:val="-9"/>
          <w:w w:val="105"/>
          <w:sz w:val="18"/>
        </w:rPr>
        <w:t> </w:t>
      </w:r>
      <w:r>
        <w:rPr>
          <w:color w:val="231F20"/>
          <w:w w:val="105"/>
          <w:sz w:val="18"/>
        </w:rPr>
        <w:t>it</w:t>
      </w:r>
      <w:r>
        <w:rPr>
          <w:color w:val="231F20"/>
          <w:spacing w:val="-9"/>
          <w:w w:val="105"/>
          <w:sz w:val="18"/>
        </w:rPr>
        <w:t> </w:t>
      </w:r>
      <w:r>
        <w:rPr>
          <w:color w:val="231F20"/>
          <w:w w:val="105"/>
          <w:sz w:val="18"/>
        </w:rPr>
        <w:t>can</w:t>
      </w:r>
      <w:r>
        <w:rPr>
          <w:color w:val="231F20"/>
          <w:spacing w:val="-9"/>
          <w:w w:val="105"/>
          <w:sz w:val="18"/>
        </w:rPr>
        <w:t> </w:t>
      </w:r>
      <w:r>
        <w:rPr>
          <w:color w:val="231F20"/>
          <w:w w:val="105"/>
          <w:sz w:val="18"/>
        </w:rPr>
        <w:t>occur</w:t>
      </w:r>
      <w:r>
        <w:rPr>
          <w:color w:val="231F20"/>
          <w:spacing w:val="-9"/>
          <w:w w:val="105"/>
          <w:sz w:val="18"/>
        </w:rPr>
        <w:t> </w:t>
      </w:r>
      <w:r>
        <w:rPr>
          <w:color w:val="231F20"/>
          <w:w w:val="105"/>
          <w:sz w:val="18"/>
        </w:rPr>
        <w:t>as</w:t>
      </w:r>
      <w:r>
        <w:rPr>
          <w:color w:val="231F20"/>
          <w:spacing w:val="-9"/>
          <w:w w:val="105"/>
          <w:sz w:val="18"/>
        </w:rPr>
        <w:t> </w:t>
      </w:r>
      <w:r>
        <w:rPr>
          <w:color w:val="231F20"/>
          <w:w w:val="105"/>
          <w:sz w:val="18"/>
        </w:rPr>
        <w:t>a</w:t>
      </w:r>
      <w:r>
        <w:rPr>
          <w:color w:val="231F20"/>
          <w:spacing w:val="-9"/>
          <w:w w:val="105"/>
          <w:sz w:val="18"/>
        </w:rPr>
        <w:t> </w:t>
      </w:r>
      <w:r>
        <w:rPr>
          <w:color w:val="231F20"/>
          <w:w w:val="105"/>
          <w:sz w:val="18"/>
        </w:rPr>
        <w:t>result</w:t>
      </w:r>
      <w:r>
        <w:rPr>
          <w:color w:val="231F20"/>
          <w:spacing w:val="-9"/>
          <w:w w:val="105"/>
          <w:sz w:val="18"/>
        </w:rPr>
        <w:t> </w:t>
      </w:r>
      <w:r>
        <w:rPr>
          <w:color w:val="231F20"/>
          <w:w w:val="105"/>
          <w:sz w:val="18"/>
        </w:rPr>
        <w:t>of</w:t>
      </w:r>
      <w:r>
        <w:rPr>
          <w:color w:val="231F20"/>
          <w:spacing w:val="-9"/>
          <w:w w:val="105"/>
          <w:sz w:val="18"/>
        </w:rPr>
        <w:t> </w:t>
      </w:r>
      <w:r>
        <w:rPr>
          <w:color w:val="231F20"/>
          <w:w w:val="105"/>
          <w:sz w:val="18"/>
        </w:rPr>
        <w:t>wide­ spread injury to the renal</w:t>
      </w:r>
      <w:r>
        <w:rPr>
          <w:color w:val="231F20"/>
          <w:spacing w:val="14"/>
          <w:w w:val="105"/>
          <w:sz w:val="18"/>
        </w:rPr>
        <w:t> </w:t>
      </w:r>
      <w:r>
        <w:rPr>
          <w:color w:val="231F20"/>
          <w:w w:val="105"/>
          <w:sz w:val="18"/>
        </w:rPr>
        <w:t>tubules.</w:t>
      </w:r>
    </w:p>
    <w:p>
      <w:pPr>
        <w:spacing w:line="256" w:lineRule="auto" w:before="22"/>
        <w:ind w:left="679" w:right="1257" w:firstLine="240"/>
        <w:jc w:val="both"/>
        <w:rPr>
          <w:sz w:val="18"/>
        </w:rPr>
      </w:pPr>
      <w:r>
        <w:rPr/>
        <w:pict>
          <v:rect style="position:absolute;margin-left:576pt;margin-top:67.815697pt;width:36pt;height:24pt;mso-position-horizontal-relative:page;mso-position-vertical-relative:paragraph;z-index:253355008" filled="true" fillcolor="#e8dac8" stroked="false">
            <v:fill type="solid"/>
            <w10:wrap type="none"/>
          </v:rect>
        </w:pict>
      </w:r>
      <w:r>
        <w:rPr/>
        <w:pict>
          <v:rect style="position:absolute;margin-left:324pt;margin-top:-70.184303pt;width:234pt;height:663pt;mso-position-horizontal-relative:page;mso-position-vertical-relative:paragraph;z-index:-272049152" filled="true" fillcolor="#f0eef6" stroked="false">
            <v:fill type="solid"/>
            <w10:wrap type="none"/>
          </v:rect>
        </w:pict>
      </w:r>
      <w:r>
        <w:rPr/>
        <w:pict>
          <v:shape style="position:absolute;margin-left:578.900024pt;margin-top:-8.527001pt;width:15.9pt;height:53.35pt;mso-position-horizontal-relative:page;mso-position-vertical-relative:paragraph;z-index:253358080"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r>
        <w:rPr>
          <w:rFonts w:ascii="Trebuchet MS" w:hAnsi="Trebuchet MS"/>
          <w:b/>
          <w:color w:val="231F20"/>
          <w:w w:val="105"/>
          <w:sz w:val="16"/>
        </w:rPr>
        <w:t>Nephrogenic Diabetes Insipidus—Failure of the </w:t>
      </w:r>
      <w:r>
        <w:rPr>
          <w:rFonts w:ascii="Trebuchet MS" w:hAnsi="Trebuchet MS"/>
          <w:b/>
          <w:color w:val="231F20"/>
          <w:spacing w:val="-4"/>
          <w:w w:val="105"/>
          <w:sz w:val="16"/>
        </w:rPr>
        <w:t>Kid- </w:t>
      </w:r>
      <w:r>
        <w:rPr>
          <w:rFonts w:ascii="Trebuchet MS" w:hAnsi="Trebuchet MS"/>
          <w:b/>
          <w:color w:val="231F20"/>
          <w:w w:val="105"/>
          <w:sz w:val="16"/>
        </w:rPr>
        <w:t>neys</w:t>
      </w:r>
      <w:r>
        <w:rPr>
          <w:rFonts w:ascii="Trebuchet MS" w:hAnsi="Trebuchet MS"/>
          <w:b/>
          <w:color w:val="231F20"/>
          <w:spacing w:val="-16"/>
          <w:w w:val="105"/>
          <w:sz w:val="16"/>
        </w:rPr>
        <w:t> </w:t>
      </w:r>
      <w:r>
        <w:rPr>
          <w:rFonts w:ascii="Trebuchet MS" w:hAnsi="Trebuchet MS"/>
          <w:b/>
          <w:color w:val="231F20"/>
          <w:w w:val="105"/>
          <w:sz w:val="16"/>
        </w:rPr>
        <w:t>to</w:t>
      </w:r>
      <w:r>
        <w:rPr>
          <w:rFonts w:ascii="Trebuchet MS" w:hAnsi="Trebuchet MS"/>
          <w:b/>
          <w:color w:val="231F20"/>
          <w:spacing w:val="-16"/>
          <w:w w:val="105"/>
          <w:sz w:val="16"/>
        </w:rPr>
        <w:t> </w:t>
      </w:r>
      <w:r>
        <w:rPr>
          <w:rFonts w:ascii="Trebuchet MS" w:hAnsi="Trebuchet MS"/>
          <w:b/>
          <w:color w:val="231F20"/>
          <w:w w:val="105"/>
          <w:sz w:val="16"/>
        </w:rPr>
        <w:t>Respond</w:t>
      </w:r>
      <w:r>
        <w:rPr>
          <w:rFonts w:ascii="Trebuchet MS" w:hAnsi="Trebuchet MS"/>
          <w:b/>
          <w:color w:val="231F20"/>
          <w:spacing w:val="-16"/>
          <w:w w:val="105"/>
          <w:sz w:val="16"/>
        </w:rPr>
        <w:t> </w:t>
      </w:r>
      <w:r>
        <w:rPr>
          <w:rFonts w:ascii="Trebuchet MS" w:hAnsi="Trebuchet MS"/>
          <w:b/>
          <w:color w:val="231F20"/>
          <w:w w:val="105"/>
          <w:sz w:val="16"/>
        </w:rPr>
        <w:t>to</w:t>
      </w:r>
      <w:r>
        <w:rPr>
          <w:rFonts w:ascii="Trebuchet MS" w:hAnsi="Trebuchet MS"/>
          <w:b/>
          <w:color w:val="231F20"/>
          <w:spacing w:val="-16"/>
          <w:w w:val="105"/>
          <w:sz w:val="16"/>
        </w:rPr>
        <w:t> </w:t>
      </w:r>
      <w:r>
        <w:rPr>
          <w:rFonts w:ascii="Trebuchet MS" w:hAnsi="Trebuchet MS"/>
          <w:b/>
          <w:color w:val="231F20"/>
          <w:w w:val="105"/>
          <w:sz w:val="16"/>
        </w:rPr>
        <w:t>Antidiuretic</w:t>
      </w:r>
      <w:r>
        <w:rPr>
          <w:rFonts w:ascii="Trebuchet MS" w:hAnsi="Trebuchet MS"/>
          <w:b/>
          <w:color w:val="231F20"/>
          <w:spacing w:val="-16"/>
          <w:w w:val="105"/>
          <w:sz w:val="16"/>
        </w:rPr>
        <w:t> </w:t>
      </w:r>
      <w:r>
        <w:rPr>
          <w:rFonts w:ascii="Trebuchet MS" w:hAnsi="Trebuchet MS"/>
          <w:b/>
          <w:color w:val="231F20"/>
          <w:w w:val="105"/>
          <w:sz w:val="16"/>
        </w:rPr>
        <w:t>Hormone.</w:t>
      </w:r>
      <w:r>
        <w:rPr>
          <w:rFonts w:ascii="Trebuchet MS" w:hAnsi="Trebuchet MS"/>
          <w:b/>
          <w:color w:val="231F20"/>
          <w:spacing w:val="-7"/>
          <w:w w:val="105"/>
          <w:sz w:val="16"/>
        </w:rPr>
        <w:t> </w:t>
      </w:r>
      <w:r>
        <w:rPr>
          <w:color w:val="231F20"/>
          <w:w w:val="105"/>
          <w:sz w:val="18"/>
        </w:rPr>
        <w:t>Occasionally, the renal tubules do not respond to antidiuretic hormone, causing large quantities of dilute urine to be excreted. As long as the person is supplied with plenty of </w:t>
      </w:r>
      <w:r>
        <w:rPr>
          <w:color w:val="231F20"/>
          <w:spacing w:val="-3"/>
          <w:w w:val="105"/>
          <w:sz w:val="18"/>
        </w:rPr>
        <w:t>water, </w:t>
      </w:r>
      <w:r>
        <w:rPr>
          <w:color w:val="231F20"/>
          <w:w w:val="105"/>
          <w:sz w:val="18"/>
        </w:rPr>
        <w:t>this condition</w:t>
      </w:r>
      <w:r>
        <w:rPr>
          <w:color w:val="231F20"/>
          <w:spacing w:val="-18"/>
          <w:w w:val="105"/>
          <w:sz w:val="18"/>
        </w:rPr>
        <w:t> </w:t>
      </w:r>
      <w:r>
        <w:rPr>
          <w:color w:val="231F20"/>
          <w:w w:val="105"/>
          <w:sz w:val="18"/>
        </w:rPr>
        <w:t>seldom</w:t>
      </w:r>
      <w:r>
        <w:rPr>
          <w:color w:val="231F20"/>
          <w:spacing w:val="-17"/>
          <w:w w:val="105"/>
          <w:sz w:val="18"/>
        </w:rPr>
        <w:t> </w:t>
      </w:r>
      <w:r>
        <w:rPr>
          <w:color w:val="231F20"/>
          <w:w w:val="105"/>
          <w:sz w:val="18"/>
        </w:rPr>
        <w:t>causes</w:t>
      </w:r>
      <w:r>
        <w:rPr>
          <w:color w:val="231F20"/>
          <w:spacing w:val="-17"/>
          <w:w w:val="105"/>
          <w:sz w:val="18"/>
        </w:rPr>
        <w:t> </w:t>
      </w:r>
      <w:r>
        <w:rPr>
          <w:color w:val="231F20"/>
          <w:w w:val="105"/>
          <w:sz w:val="18"/>
        </w:rPr>
        <w:t>severe</w:t>
      </w:r>
      <w:r>
        <w:rPr>
          <w:color w:val="231F20"/>
          <w:spacing w:val="-17"/>
          <w:w w:val="105"/>
          <w:sz w:val="18"/>
        </w:rPr>
        <w:t> </w:t>
      </w:r>
      <w:r>
        <w:rPr>
          <w:color w:val="231F20"/>
          <w:w w:val="105"/>
          <w:sz w:val="18"/>
        </w:rPr>
        <w:t>difficulty.</w:t>
      </w:r>
      <w:r>
        <w:rPr>
          <w:color w:val="231F20"/>
          <w:spacing w:val="-17"/>
          <w:w w:val="105"/>
          <w:sz w:val="18"/>
        </w:rPr>
        <w:t> </w:t>
      </w:r>
      <w:r>
        <w:rPr>
          <w:color w:val="231F20"/>
          <w:w w:val="105"/>
          <w:sz w:val="18"/>
        </w:rPr>
        <w:t>However,</w:t>
      </w:r>
      <w:r>
        <w:rPr>
          <w:color w:val="231F20"/>
          <w:spacing w:val="-17"/>
          <w:w w:val="105"/>
          <w:sz w:val="18"/>
        </w:rPr>
        <w:t> </w:t>
      </w:r>
      <w:r>
        <w:rPr>
          <w:color w:val="231F20"/>
          <w:w w:val="105"/>
          <w:sz w:val="18"/>
        </w:rPr>
        <w:t>when adequate quantities of water are not available, the person rapidly becomes</w:t>
      </w:r>
      <w:r>
        <w:rPr>
          <w:color w:val="231F20"/>
          <w:spacing w:val="4"/>
          <w:w w:val="105"/>
          <w:sz w:val="18"/>
        </w:rPr>
        <w:t> </w:t>
      </w:r>
      <w:r>
        <w:rPr>
          <w:color w:val="231F20"/>
          <w:w w:val="105"/>
          <w:sz w:val="18"/>
        </w:rPr>
        <w:t>dehydrated.</w:t>
      </w:r>
    </w:p>
    <w:p>
      <w:pPr>
        <w:spacing w:line="256" w:lineRule="auto" w:before="10"/>
        <w:ind w:left="679" w:right="1258" w:firstLine="240"/>
        <w:jc w:val="both"/>
        <w:rPr>
          <w:sz w:val="18"/>
        </w:rPr>
      </w:pPr>
      <w:r>
        <w:rPr>
          <w:rFonts w:ascii="Trebuchet MS" w:hAnsi="Trebuchet MS"/>
          <w:b/>
          <w:color w:val="231F20"/>
          <w:w w:val="105"/>
          <w:sz w:val="16"/>
        </w:rPr>
        <w:t>Fanconi’s Syndrome—A Generalized </w:t>
      </w:r>
      <w:r>
        <w:rPr>
          <w:rFonts w:ascii="Trebuchet MS" w:hAnsi="Trebuchet MS"/>
          <w:b/>
          <w:color w:val="231F20"/>
          <w:spacing w:val="-2"/>
          <w:w w:val="105"/>
          <w:sz w:val="16"/>
        </w:rPr>
        <w:t>Reabsorptive </w:t>
      </w:r>
      <w:r>
        <w:rPr>
          <w:rFonts w:ascii="Trebuchet MS" w:hAnsi="Trebuchet MS"/>
          <w:b/>
          <w:color w:val="231F20"/>
          <w:w w:val="105"/>
          <w:sz w:val="16"/>
        </w:rPr>
        <w:t>Defect</w:t>
      </w:r>
      <w:r>
        <w:rPr>
          <w:rFonts w:ascii="Trebuchet MS" w:hAnsi="Trebuchet MS"/>
          <w:b/>
          <w:color w:val="231F20"/>
          <w:spacing w:val="-36"/>
          <w:w w:val="105"/>
          <w:sz w:val="16"/>
        </w:rPr>
        <w:t> </w:t>
      </w:r>
      <w:r>
        <w:rPr>
          <w:rFonts w:ascii="Trebuchet MS" w:hAnsi="Trebuchet MS"/>
          <w:b/>
          <w:color w:val="231F20"/>
          <w:w w:val="105"/>
          <w:sz w:val="16"/>
        </w:rPr>
        <w:t>of</w:t>
      </w:r>
      <w:r>
        <w:rPr>
          <w:rFonts w:ascii="Trebuchet MS" w:hAnsi="Trebuchet MS"/>
          <w:b/>
          <w:color w:val="231F20"/>
          <w:spacing w:val="-36"/>
          <w:w w:val="105"/>
          <w:sz w:val="16"/>
        </w:rPr>
        <w:t> </w:t>
      </w:r>
      <w:r>
        <w:rPr>
          <w:rFonts w:ascii="Trebuchet MS" w:hAnsi="Trebuchet MS"/>
          <w:b/>
          <w:color w:val="231F20"/>
          <w:w w:val="105"/>
          <w:sz w:val="16"/>
        </w:rPr>
        <w:t>the</w:t>
      </w:r>
      <w:r>
        <w:rPr>
          <w:rFonts w:ascii="Trebuchet MS" w:hAnsi="Trebuchet MS"/>
          <w:b/>
          <w:color w:val="231F20"/>
          <w:spacing w:val="-36"/>
          <w:w w:val="105"/>
          <w:sz w:val="16"/>
        </w:rPr>
        <w:t> </w:t>
      </w:r>
      <w:r>
        <w:rPr>
          <w:rFonts w:ascii="Trebuchet MS" w:hAnsi="Trebuchet MS"/>
          <w:b/>
          <w:color w:val="231F20"/>
          <w:w w:val="105"/>
          <w:sz w:val="16"/>
        </w:rPr>
        <w:t>Renal</w:t>
      </w:r>
      <w:r>
        <w:rPr>
          <w:rFonts w:ascii="Trebuchet MS" w:hAnsi="Trebuchet MS"/>
          <w:b/>
          <w:color w:val="231F20"/>
          <w:spacing w:val="-36"/>
          <w:w w:val="105"/>
          <w:sz w:val="16"/>
        </w:rPr>
        <w:t> </w:t>
      </w:r>
      <w:r>
        <w:rPr>
          <w:rFonts w:ascii="Trebuchet MS" w:hAnsi="Trebuchet MS"/>
          <w:b/>
          <w:color w:val="231F20"/>
          <w:w w:val="105"/>
          <w:sz w:val="16"/>
        </w:rPr>
        <w:t>Tubules.</w:t>
      </w:r>
      <w:r>
        <w:rPr>
          <w:rFonts w:ascii="Trebuchet MS" w:hAnsi="Trebuchet MS"/>
          <w:b/>
          <w:color w:val="231F20"/>
          <w:spacing w:val="-21"/>
          <w:w w:val="105"/>
          <w:sz w:val="16"/>
        </w:rPr>
        <w:t> </w:t>
      </w:r>
      <w:r>
        <w:rPr>
          <w:color w:val="231F20"/>
          <w:spacing w:val="-3"/>
          <w:w w:val="105"/>
          <w:sz w:val="18"/>
        </w:rPr>
        <w:t>Fanconi’s</w:t>
      </w:r>
      <w:r>
        <w:rPr>
          <w:color w:val="231F20"/>
          <w:spacing w:val="-33"/>
          <w:w w:val="105"/>
          <w:sz w:val="18"/>
        </w:rPr>
        <w:t> </w:t>
      </w:r>
      <w:r>
        <w:rPr>
          <w:color w:val="231F20"/>
          <w:w w:val="105"/>
          <w:sz w:val="18"/>
        </w:rPr>
        <w:t>syndrome</w:t>
      </w:r>
      <w:r>
        <w:rPr>
          <w:color w:val="231F20"/>
          <w:spacing w:val="-34"/>
          <w:w w:val="105"/>
          <w:sz w:val="18"/>
        </w:rPr>
        <w:t> </w:t>
      </w:r>
      <w:r>
        <w:rPr>
          <w:color w:val="231F20"/>
          <w:w w:val="105"/>
          <w:sz w:val="18"/>
        </w:rPr>
        <w:t>is</w:t>
      </w:r>
      <w:r>
        <w:rPr>
          <w:color w:val="231F20"/>
          <w:spacing w:val="-33"/>
          <w:w w:val="105"/>
          <w:sz w:val="18"/>
        </w:rPr>
        <w:t> </w:t>
      </w:r>
      <w:r>
        <w:rPr>
          <w:color w:val="231F20"/>
          <w:w w:val="105"/>
          <w:sz w:val="18"/>
        </w:rPr>
        <w:t>usually associated</w:t>
      </w:r>
      <w:r>
        <w:rPr>
          <w:color w:val="231F20"/>
          <w:spacing w:val="-13"/>
          <w:w w:val="105"/>
          <w:sz w:val="18"/>
        </w:rPr>
        <w:t> </w:t>
      </w:r>
      <w:r>
        <w:rPr>
          <w:color w:val="231F20"/>
          <w:w w:val="105"/>
          <w:sz w:val="18"/>
        </w:rPr>
        <w:t>with</w:t>
      </w:r>
      <w:r>
        <w:rPr>
          <w:color w:val="231F20"/>
          <w:spacing w:val="-12"/>
          <w:w w:val="105"/>
          <w:sz w:val="18"/>
        </w:rPr>
        <w:t> </w:t>
      </w:r>
      <w:r>
        <w:rPr>
          <w:color w:val="231F20"/>
          <w:w w:val="105"/>
          <w:sz w:val="18"/>
        </w:rPr>
        <w:t>increased</w:t>
      </w:r>
      <w:r>
        <w:rPr>
          <w:color w:val="231F20"/>
          <w:spacing w:val="-12"/>
          <w:w w:val="105"/>
          <w:sz w:val="18"/>
        </w:rPr>
        <w:t> </w:t>
      </w:r>
      <w:r>
        <w:rPr>
          <w:color w:val="231F20"/>
          <w:w w:val="105"/>
          <w:sz w:val="18"/>
        </w:rPr>
        <w:t>urinary</w:t>
      </w:r>
      <w:r>
        <w:rPr>
          <w:color w:val="231F20"/>
          <w:spacing w:val="-13"/>
          <w:w w:val="105"/>
          <w:sz w:val="18"/>
        </w:rPr>
        <w:t> </w:t>
      </w:r>
      <w:r>
        <w:rPr>
          <w:color w:val="231F20"/>
          <w:w w:val="105"/>
          <w:sz w:val="18"/>
        </w:rPr>
        <w:t>excretion</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virtually</w:t>
      </w:r>
      <w:r>
        <w:rPr>
          <w:color w:val="231F20"/>
          <w:spacing w:val="-13"/>
          <w:w w:val="105"/>
          <w:sz w:val="18"/>
        </w:rPr>
        <w:t> </w:t>
      </w:r>
      <w:r>
        <w:rPr>
          <w:color w:val="231F20"/>
          <w:w w:val="105"/>
          <w:sz w:val="18"/>
        </w:rPr>
        <w:t>all amino</w:t>
      </w:r>
      <w:r>
        <w:rPr>
          <w:color w:val="231F20"/>
          <w:spacing w:val="-20"/>
          <w:w w:val="105"/>
          <w:sz w:val="18"/>
        </w:rPr>
        <w:t> </w:t>
      </w:r>
      <w:r>
        <w:rPr>
          <w:color w:val="231F20"/>
          <w:w w:val="105"/>
          <w:sz w:val="18"/>
        </w:rPr>
        <w:t>acids,</w:t>
      </w:r>
      <w:r>
        <w:rPr>
          <w:color w:val="231F20"/>
          <w:spacing w:val="-20"/>
          <w:w w:val="105"/>
          <w:sz w:val="18"/>
        </w:rPr>
        <w:t> </w:t>
      </w:r>
      <w:r>
        <w:rPr>
          <w:color w:val="231F20"/>
          <w:w w:val="105"/>
          <w:sz w:val="18"/>
        </w:rPr>
        <w:t>glucose,</w:t>
      </w:r>
      <w:r>
        <w:rPr>
          <w:color w:val="231F20"/>
          <w:spacing w:val="-20"/>
          <w:w w:val="105"/>
          <w:sz w:val="18"/>
        </w:rPr>
        <w:t> </w:t>
      </w:r>
      <w:r>
        <w:rPr>
          <w:color w:val="231F20"/>
          <w:w w:val="105"/>
          <w:sz w:val="18"/>
        </w:rPr>
        <w:t>and</w:t>
      </w:r>
      <w:r>
        <w:rPr>
          <w:color w:val="231F20"/>
          <w:spacing w:val="-20"/>
          <w:w w:val="105"/>
          <w:sz w:val="18"/>
        </w:rPr>
        <w:t> </w:t>
      </w:r>
      <w:r>
        <w:rPr>
          <w:color w:val="231F20"/>
          <w:w w:val="105"/>
          <w:sz w:val="18"/>
        </w:rPr>
        <w:t>phosphate.</w:t>
      </w:r>
      <w:r>
        <w:rPr>
          <w:color w:val="231F20"/>
          <w:spacing w:val="-20"/>
          <w:w w:val="105"/>
          <w:sz w:val="18"/>
        </w:rPr>
        <w:t> </w:t>
      </w:r>
      <w:r>
        <w:rPr>
          <w:color w:val="231F20"/>
          <w:w w:val="105"/>
          <w:sz w:val="18"/>
        </w:rPr>
        <w:t>In</w:t>
      </w:r>
      <w:r>
        <w:rPr>
          <w:color w:val="231F20"/>
          <w:spacing w:val="-20"/>
          <w:w w:val="105"/>
          <w:sz w:val="18"/>
        </w:rPr>
        <w:t> </w:t>
      </w:r>
      <w:r>
        <w:rPr>
          <w:color w:val="231F20"/>
          <w:w w:val="105"/>
          <w:sz w:val="18"/>
        </w:rPr>
        <w:t>severe</w:t>
      </w:r>
      <w:r>
        <w:rPr>
          <w:color w:val="231F20"/>
          <w:spacing w:val="-20"/>
          <w:w w:val="105"/>
          <w:sz w:val="18"/>
        </w:rPr>
        <w:t> </w:t>
      </w:r>
      <w:r>
        <w:rPr>
          <w:color w:val="231F20"/>
          <w:w w:val="105"/>
          <w:sz w:val="18"/>
        </w:rPr>
        <w:t>cases,</w:t>
      </w:r>
      <w:r>
        <w:rPr>
          <w:color w:val="231F20"/>
          <w:spacing w:val="-20"/>
          <w:w w:val="105"/>
          <w:sz w:val="18"/>
        </w:rPr>
        <w:t> </w:t>
      </w:r>
      <w:r>
        <w:rPr>
          <w:color w:val="231F20"/>
          <w:w w:val="105"/>
          <w:sz w:val="18"/>
        </w:rPr>
        <w:t>other manifestations</w:t>
      </w:r>
      <w:r>
        <w:rPr>
          <w:color w:val="231F20"/>
          <w:spacing w:val="-26"/>
          <w:w w:val="105"/>
          <w:sz w:val="18"/>
        </w:rPr>
        <w:t> </w:t>
      </w:r>
      <w:r>
        <w:rPr>
          <w:color w:val="231F20"/>
          <w:w w:val="105"/>
          <w:sz w:val="18"/>
        </w:rPr>
        <w:t>are</w:t>
      </w:r>
      <w:r>
        <w:rPr>
          <w:color w:val="231F20"/>
          <w:spacing w:val="-26"/>
          <w:w w:val="105"/>
          <w:sz w:val="18"/>
        </w:rPr>
        <w:t> </w:t>
      </w:r>
      <w:r>
        <w:rPr>
          <w:color w:val="231F20"/>
          <w:w w:val="105"/>
          <w:sz w:val="18"/>
        </w:rPr>
        <w:t>also</w:t>
      </w:r>
      <w:r>
        <w:rPr>
          <w:color w:val="231F20"/>
          <w:spacing w:val="-26"/>
          <w:w w:val="105"/>
          <w:sz w:val="18"/>
        </w:rPr>
        <w:t> </w:t>
      </w:r>
      <w:r>
        <w:rPr>
          <w:color w:val="231F20"/>
          <w:w w:val="105"/>
          <w:sz w:val="18"/>
        </w:rPr>
        <w:t>observed,</w:t>
      </w:r>
      <w:r>
        <w:rPr>
          <w:color w:val="231F20"/>
          <w:spacing w:val="-26"/>
          <w:w w:val="105"/>
          <w:sz w:val="18"/>
        </w:rPr>
        <w:t> </w:t>
      </w:r>
      <w:r>
        <w:rPr>
          <w:color w:val="231F20"/>
          <w:w w:val="105"/>
          <w:sz w:val="18"/>
        </w:rPr>
        <w:t>such</w:t>
      </w:r>
      <w:r>
        <w:rPr>
          <w:color w:val="231F20"/>
          <w:spacing w:val="-26"/>
          <w:w w:val="105"/>
          <w:sz w:val="18"/>
        </w:rPr>
        <w:t> </w:t>
      </w:r>
      <w:r>
        <w:rPr>
          <w:color w:val="231F20"/>
          <w:w w:val="105"/>
          <w:sz w:val="18"/>
        </w:rPr>
        <w:t>as</w:t>
      </w:r>
      <w:r>
        <w:rPr>
          <w:color w:val="231F20"/>
          <w:spacing w:val="-26"/>
          <w:w w:val="105"/>
          <w:sz w:val="18"/>
        </w:rPr>
        <w:t> </w:t>
      </w:r>
      <w:r>
        <w:rPr>
          <w:color w:val="231F20"/>
          <w:w w:val="105"/>
          <w:sz w:val="18"/>
        </w:rPr>
        <w:t>(1)</w:t>
      </w:r>
      <w:r>
        <w:rPr>
          <w:color w:val="231F20"/>
          <w:spacing w:val="-26"/>
          <w:w w:val="105"/>
          <w:sz w:val="18"/>
        </w:rPr>
        <w:t> </w:t>
      </w:r>
      <w:r>
        <w:rPr>
          <w:color w:val="231F20"/>
          <w:w w:val="105"/>
          <w:sz w:val="18"/>
        </w:rPr>
        <w:t>failure</w:t>
      </w:r>
      <w:r>
        <w:rPr>
          <w:color w:val="231F20"/>
          <w:spacing w:val="-25"/>
          <w:w w:val="105"/>
          <w:sz w:val="18"/>
        </w:rPr>
        <w:t> </w:t>
      </w:r>
      <w:r>
        <w:rPr>
          <w:color w:val="231F20"/>
          <w:w w:val="105"/>
          <w:sz w:val="18"/>
        </w:rPr>
        <w:t>to</w:t>
      </w:r>
      <w:r>
        <w:rPr>
          <w:color w:val="231F20"/>
          <w:spacing w:val="-26"/>
          <w:w w:val="105"/>
          <w:sz w:val="18"/>
        </w:rPr>
        <w:t> </w:t>
      </w:r>
      <w:r>
        <w:rPr>
          <w:color w:val="231F20"/>
          <w:w w:val="105"/>
          <w:sz w:val="18"/>
        </w:rPr>
        <w:t>reab­ sorb sodium bicarbonate, which results in metabolic aci­ dosis;</w:t>
      </w:r>
      <w:r>
        <w:rPr>
          <w:color w:val="231F20"/>
          <w:spacing w:val="-15"/>
          <w:w w:val="105"/>
          <w:sz w:val="18"/>
        </w:rPr>
        <w:t> </w:t>
      </w:r>
      <w:r>
        <w:rPr>
          <w:color w:val="231F20"/>
          <w:w w:val="105"/>
          <w:sz w:val="18"/>
        </w:rPr>
        <w:t>(2)</w:t>
      </w:r>
      <w:r>
        <w:rPr>
          <w:color w:val="231F20"/>
          <w:spacing w:val="-14"/>
          <w:w w:val="105"/>
          <w:sz w:val="18"/>
        </w:rPr>
        <w:t> </w:t>
      </w:r>
      <w:r>
        <w:rPr>
          <w:color w:val="231F20"/>
          <w:w w:val="105"/>
          <w:sz w:val="18"/>
        </w:rPr>
        <w:t>increased</w:t>
      </w:r>
      <w:r>
        <w:rPr>
          <w:color w:val="231F20"/>
          <w:spacing w:val="-15"/>
          <w:w w:val="105"/>
          <w:sz w:val="18"/>
        </w:rPr>
        <w:t> </w:t>
      </w:r>
      <w:r>
        <w:rPr>
          <w:color w:val="231F20"/>
          <w:w w:val="105"/>
          <w:sz w:val="18"/>
        </w:rPr>
        <w:t>excretion</w:t>
      </w:r>
      <w:r>
        <w:rPr>
          <w:color w:val="231F20"/>
          <w:spacing w:val="-14"/>
          <w:w w:val="105"/>
          <w:sz w:val="18"/>
        </w:rPr>
        <w:t> </w:t>
      </w:r>
      <w:r>
        <w:rPr>
          <w:color w:val="231F20"/>
          <w:w w:val="105"/>
          <w:sz w:val="18"/>
        </w:rPr>
        <w:t>of</w:t>
      </w:r>
      <w:r>
        <w:rPr>
          <w:color w:val="231F20"/>
          <w:spacing w:val="-14"/>
          <w:w w:val="105"/>
          <w:sz w:val="18"/>
        </w:rPr>
        <w:t> </w:t>
      </w:r>
      <w:r>
        <w:rPr>
          <w:color w:val="231F20"/>
          <w:w w:val="105"/>
          <w:sz w:val="18"/>
        </w:rPr>
        <w:t>potassium</w:t>
      </w:r>
      <w:r>
        <w:rPr>
          <w:color w:val="231F20"/>
          <w:spacing w:val="-15"/>
          <w:w w:val="105"/>
          <w:sz w:val="18"/>
        </w:rPr>
        <w:t> </w:t>
      </w:r>
      <w:r>
        <w:rPr>
          <w:color w:val="231F20"/>
          <w:w w:val="105"/>
          <w:sz w:val="18"/>
        </w:rPr>
        <w:t>and</w:t>
      </w:r>
      <w:r>
        <w:rPr>
          <w:color w:val="231F20"/>
          <w:spacing w:val="-14"/>
          <w:w w:val="105"/>
          <w:sz w:val="18"/>
        </w:rPr>
        <w:t> </w:t>
      </w:r>
      <w:r>
        <w:rPr>
          <w:color w:val="231F20"/>
          <w:w w:val="105"/>
          <w:sz w:val="18"/>
        </w:rPr>
        <w:t>sometimes calcium; and (3) nephrogenic diabetes</w:t>
      </w:r>
      <w:r>
        <w:rPr>
          <w:color w:val="231F20"/>
          <w:spacing w:val="-7"/>
          <w:w w:val="105"/>
          <w:sz w:val="18"/>
        </w:rPr>
        <w:t> </w:t>
      </w:r>
      <w:r>
        <w:rPr>
          <w:color w:val="231F20"/>
          <w:w w:val="105"/>
          <w:sz w:val="18"/>
        </w:rPr>
        <w:t>insipidus.</w:t>
      </w:r>
    </w:p>
    <w:p>
      <w:pPr>
        <w:spacing w:line="254" w:lineRule="auto" w:before="0"/>
        <w:ind w:left="679" w:right="1257" w:firstLine="239"/>
        <w:jc w:val="both"/>
        <w:rPr>
          <w:sz w:val="18"/>
        </w:rPr>
      </w:pPr>
      <w:r>
        <w:rPr>
          <w:color w:val="231F20"/>
          <w:sz w:val="18"/>
        </w:rPr>
        <w:t>There are multiple causes of Fanconi’s syndrome, which results from a generalized inability of the renal tubular cells to transport various substances. Some of these causes include (1) hereditary defects in cell transport mecha­ nisms, (2) toxins or drugs that injure the renal tubular epithelial cells, and (3) injury to the renal tubular cells as a result of ischemia. The proximal tubular cells are especially affected in Fanconi’s syndrome caused by tubular injury because these cells reabsorb and secrete many of the drugs and toxins that can cause damage.</w:t>
      </w:r>
    </w:p>
    <w:p>
      <w:pPr>
        <w:spacing w:line="254" w:lineRule="auto" w:before="17"/>
        <w:ind w:left="679" w:right="1257" w:firstLine="240"/>
        <w:jc w:val="both"/>
        <w:rPr>
          <w:sz w:val="18"/>
        </w:rPr>
      </w:pPr>
      <w:r>
        <w:rPr>
          <w:rFonts w:ascii="Trebuchet MS" w:hAnsi="Trebuchet MS"/>
          <w:b/>
          <w:color w:val="231F20"/>
          <w:sz w:val="16"/>
        </w:rPr>
        <w:t>Bartter’s Syndrome—Decreased Sodium, Chloride, </w:t>
      </w:r>
      <w:r>
        <w:rPr>
          <w:rFonts w:ascii="Trebuchet MS" w:hAnsi="Trebuchet MS"/>
          <w:b/>
          <w:color w:val="231F20"/>
          <w:spacing w:val="-6"/>
          <w:sz w:val="16"/>
        </w:rPr>
        <w:t>and </w:t>
      </w:r>
      <w:r>
        <w:rPr>
          <w:rFonts w:ascii="Trebuchet MS" w:hAnsi="Trebuchet MS"/>
          <w:b/>
          <w:color w:val="231F20"/>
          <w:w w:val="105"/>
          <w:sz w:val="16"/>
        </w:rPr>
        <w:t>Potassium</w:t>
      </w:r>
      <w:r>
        <w:rPr>
          <w:rFonts w:ascii="Trebuchet MS" w:hAnsi="Trebuchet MS"/>
          <w:b/>
          <w:color w:val="231F20"/>
          <w:spacing w:val="-11"/>
          <w:w w:val="105"/>
          <w:sz w:val="16"/>
        </w:rPr>
        <w:t> </w:t>
      </w:r>
      <w:r>
        <w:rPr>
          <w:rFonts w:ascii="Trebuchet MS" w:hAnsi="Trebuchet MS"/>
          <w:b/>
          <w:color w:val="231F20"/>
          <w:w w:val="105"/>
          <w:sz w:val="16"/>
        </w:rPr>
        <w:t>Reabsorption</w:t>
      </w:r>
      <w:r>
        <w:rPr>
          <w:rFonts w:ascii="Trebuchet MS" w:hAnsi="Trebuchet MS"/>
          <w:b/>
          <w:color w:val="231F20"/>
          <w:spacing w:val="-11"/>
          <w:w w:val="105"/>
          <w:sz w:val="16"/>
        </w:rPr>
        <w:t> </w:t>
      </w:r>
      <w:r>
        <w:rPr>
          <w:rFonts w:ascii="Trebuchet MS" w:hAnsi="Trebuchet MS"/>
          <w:b/>
          <w:color w:val="231F20"/>
          <w:w w:val="105"/>
          <w:sz w:val="16"/>
        </w:rPr>
        <w:t>in</w:t>
      </w:r>
      <w:r>
        <w:rPr>
          <w:rFonts w:ascii="Trebuchet MS" w:hAnsi="Trebuchet MS"/>
          <w:b/>
          <w:color w:val="231F20"/>
          <w:spacing w:val="-10"/>
          <w:w w:val="105"/>
          <w:sz w:val="16"/>
        </w:rPr>
        <w:t> </w:t>
      </w:r>
      <w:r>
        <w:rPr>
          <w:rFonts w:ascii="Trebuchet MS" w:hAnsi="Trebuchet MS"/>
          <w:b/>
          <w:color w:val="231F20"/>
          <w:w w:val="105"/>
          <w:sz w:val="16"/>
        </w:rPr>
        <w:t>the</w:t>
      </w:r>
      <w:r>
        <w:rPr>
          <w:rFonts w:ascii="Trebuchet MS" w:hAnsi="Trebuchet MS"/>
          <w:b/>
          <w:color w:val="231F20"/>
          <w:spacing w:val="-11"/>
          <w:w w:val="105"/>
          <w:sz w:val="16"/>
        </w:rPr>
        <w:t> </w:t>
      </w:r>
      <w:r>
        <w:rPr>
          <w:rFonts w:ascii="Trebuchet MS" w:hAnsi="Trebuchet MS"/>
          <w:b/>
          <w:color w:val="231F20"/>
          <w:w w:val="105"/>
          <w:sz w:val="16"/>
        </w:rPr>
        <w:t>Loops</w:t>
      </w:r>
      <w:r>
        <w:rPr>
          <w:rFonts w:ascii="Trebuchet MS" w:hAnsi="Trebuchet MS"/>
          <w:b/>
          <w:color w:val="231F20"/>
          <w:spacing w:val="-10"/>
          <w:w w:val="105"/>
          <w:sz w:val="16"/>
        </w:rPr>
        <w:t> </w:t>
      </w:r>
      <w:r>
        <w:rPr>
          <w:rFonts w:ascii="Trebuchet MS" w:hAnsi="Trebuchet MS"/>
          <w:b/>
          <w:color w:val="231F20"/>
          <w:w w:val="105"/>
          <w:sz w:val="16"/>
        </w:rPr>
        <w:t>of</w:t>
      </w:r>
      <w:r>
        <w:rPr>
          <w:rFonts w:ascii="Trebuchet MS" w:hAnsi="Trebuchet MS"/>
          <w:b/>
          <w:color w:val="231F20"/>
          <w:spacing w:val="-11"/>
          <w:w w:val="105"/>
          <w:sz w:val="16"/>
        </w:rPr>
        <w:t> </w:t>
      </w:r>
      <w:r>
        <w:rPr>
          <w:rFonts w:ascii="Trebuchet MS" w:hAnsi="Trebuchet MS"/>
          <w:b/>
          <w:color w:val="231F20"/>
          <w:w w:val="105"/>
          <w:sz w:val="16"/>
        </w:rPr>
        <w:t>Henle.</w:t>
      </w:r>
      <w:r>
        <w:rPr>
          <w:rFonts w:ascii="Trebuchet MS" w:hAnsi="Trebuchet MS"/>
          <w:b/>
          <w:color w:val="231F20"/>
          <w:spacing w:val="1"/>
          <w:w w:val="105"/>
          <w:sz w:val="16"/>
        </w:rPr>
        <w:t> </w:t>
      </w:r>
      <w:r>
        <w:rPr>
          <w:i/>
          <w:color w:val="231F20"/>
          <w:spacing w:val="-3"/>
          <w:w w:val="105"/>
          <w:sz w:val="18"/>
        </w:rPr>
        <w:t>Bartter’s </w:t>
      </w:r>
      <w:r>
        <w:rPr>
          <w:i/>
          <w:color w:val="231F20"/>
          <w:w w:val="105"/>
          <w:sz w:val="18"/>
        </w:rPr>
        <w:t>syndrome</w:t>
      </w:r>
      <w:r>
        <w:rPr>
          <w:i/>
          <w:color w:val="231F20"/>
          <w:spacing w:val="-17"/>
          <w:w w:val="105"/>
          <w:sz w:val="18"/>
        </w:rPr>
        <w:t> </w:t>
      </w:r>
      <w:r>
        <w:rPr>
          <w:color w:val="231F20"/>
          <w:w w:val="105"/>
          <w:sz w:val="18"/>
        </w:rPr>
        <w:t>is</w:t>
      </w:r>
      <w:r>
        <w:rPr>
          <w:color w:val="231F20"/>
          <w:spacing w:val="-16"/>
          <w:w w:val="105"/>
          <w:sz w:val="18"/>
        </w:rPr>
        <w:t> </w:t>
      </w:r>
      <w:r>
        <w:rPr>
          <w:color w:val="231F20"/>
          <w:w w:val="105"/>
          <w:sz w:val="18"/>
        </w:rPr>
        <w:t>a</w:t>
      </w:r>
      <w:r>
        <w:rPr>
          <w:color w:val="231F20"/>
          <w:spacing w:val="-16"/>
          <w:w w:val="105"/>
          <w:sz w:val="18"/>
        </w:rPr>
        <w:t> </w:t>
      </w:r>
      <w:r>
        <w:rPr>
          <w:color w:val="231F20"/>
          <w:w w:val="105"/>
          <w:sz w:val="18"/>
        </w:rPr>
        <w:t>rare</w:t>
      </w:r>
      <w:r>
        <w:rPr>
          <w:color w:val="231F20"/>
          <w:spacing w:val="-16"/>
          <w:w w:val="105"/>
          <w:sz w:val="18"/>
        </w:rPr>
        <w:t> </w:t>
      </w:r>
      <w:r>
        <w:rPr>
          <w:color w:val="231F20"/>
          <w:w w:val="105"/>
          <w:sz w:val="18"/>
        </w:rPr>
        <w:t>autosomal­recessive</w:t>
      </w:r>
      <w:r>
        <w:rPr>
          <w:color w:val="231F20"/>
          <w:spacing w:val="-16"/>
          <w:w w:val="105"/>
          <w:sz w:val="18"/>
        </w:rPr>
        <w:t> </w:t>
      </w:r>
      <w:r>
        <w:rPr>
          <w:color w:val="231F20"/>
          <w:w w:val="105"/>
          <w:sz w:val="18"/>
        </w:rPr>
        <w:t>disorder</w:t>
      </w:r>
      <w:r>
        <w:rPr>
          <w:color w:val="231F20"/>
          <w:spacing w:val="-16"/>
          <w:w w:val="105"/>
          <w:sz w:val="18"/>
        </w:rPr>
        <w:t> </w:t>
      </w:r>
      <w:r>
        <w:rPr>
          <w:color w:val="231F20"/>
          <w:w w:val="105"/>
          <w:sz w:val="18"/>
        </w:rPr>
        <w:t>caused</w:t>
      </w:r>
      <w:r>
        <w:rPr>
          <w:color w:val="231F20"/>
          <w:spacing w:val="-16"/>
          <w:w w:val="105"/>
          <w:sz w:val="18"/>
        </w:rPr>
        <w:t> </w:t>
      </w:r>
      <w:r>
        <w:rPr>
          <w:color w:val="231F20"/>
          <w:w w:val="105"/>
          <w:sz w:val="18"/>
        </w:rPr>
        <w:t>by impaired</w:t>
      </w:r>
      <w:r>
        <w:rPr>
          <w:color w:val="231F20"/>
          <w:spacing w:val="-28"/>
          <w:w w:val="105"/>
          <w:sz w:val="18"/>
        </w:rPr>
        <w:t> </w:t>
      </w:r>
      <w:r>
        <w:rPr>
          <w:color w:val="231F20"/>
          <w:w w:val="105"/>
          <w:sz w:val="18"/>
        </w:rPr>
        <w:t>function</w:t>
      </w:r>
      <w:r>
        <w:rPr>
          <w:color w:val="231F20"/>
          <w:spacing w:val="-28"/>
          <w:w w:val="105"/>
          <w:sz w:val="18"/>
        </w:rPr>
        <w:t> </w:t>
      </w:r>
      <w:r>
        <w:rPr>
          <w:color w:val="231F20"/>
          <w:w w:val="105"/>
          <w:sz w:val="18"/>
        </w:rPr>
        <w:t>of</w:t>
      </w:r>
      <w:r>
        <w:rPr>
          <w:color w:val="231F20"/>
          <w:spacing w:val="-28"/>
          <w:w w:val="105"/>
          <w:sz w:val="18"/>
        </w:rPr>
        <w:t> </w:t>
      </w:r>
      <w:r>
        <w:rPr>
          <w:color w:val="231F20"/>
          <w:w w:val="105"/>
          <w:sz w:val="18"/>
        </w:rPr>
        <w:t>the</w:t>
      </w:r>
      <w:r>
        <w:rPr>
          <w:color w:val="231F20"/>
          <w:spacing w:val="-27"/>
          <w:w w:val="105"/>
          <w:sz w:val="18"/>
        </w:rPr>
        <w:t> </w:t>
      </w:r>
      <w:r>
        <w:rPr>
          <w:color w:val="231F20"/>
          <w:w w:val="105"/>
          <w:sz w:val="18"/>
        </w:rPr>
        <w:t>1­sodium,</w:t>
      </w:r>
      <w:r>
        <w:rPr>
          <w:color w:val="231F20"/>
          <w:spacing w:val="-28"/>
          <w:w w:val="105"/>
          <w:sz w:val="18"/>
        </w:rPr>
        <w:t> </w:t>
      </w:r>
      <w:r>
        <w:rPr>
          <w:color w:val="231F20"/>
          <w:w w:val="105"/>
          <w:sz w:val="18"/>
        </w:rPr>
        <w:t>2­chloride,</w:t>
      </w:r>
      <w:r>
        <w:rPr>
          <w:color w:val="231F20"/>
          <w:spacing w:val="-28"/>
          <w:w w:val="105"/>
          <w:sz w:val="18"/>
        </w:rPr>
        <w:t> </w:t>
      </w:r>
      <w:r>
        <w:rPr>
          <w:color w:val="231F20"/>
          <w:w w:val="105"/>
          <w:sz w:val="18"/>
        </w:rPr>
        <w:t>1­potassium co­transporter or by defects in potassium channels in the luminal membrane or chloride channels in the</w:t>
      </w:r>
      <w:r>
        <w:rPr>
          <w:color w:val="231F20"/>
          <w:spacing w:val="-29"/>
          <w:w w:val="105"/>
          <w:sz w:val="18"/>
        </w:rPr>
        <w:t> </w:t>
      </w:r>
      <w:r>
        <w:rPr>
          <w:color w:val="231F20"/>
          <w:w w:val="105"/>
          <w:sz w:val="18"/>
        </w:rPr>
        <w:t>basolateral membrane of the thick ascending loop of Henle. These disorders result in increased excretion of </w:t>
      </w:r>
      <w:r>
        <w:rPr>
          <w:color w:val="231F20"/>
          <w:spacing w:val="-3"/>
          <w:w w:val="105"/>
          <w:sz w:val="18"/>
        </w:rPr>
        <w:t>water, </w:t>
      </w:r>
      <w:r>
        <w:rPr>
          <w:color w:val="231F20"/>
          <w:w w:val="105"/>
          <w:sz w:val="18"/>
        </w:rPr>
        <w:t>sodium, chloride, potassium, and calcium by the kidneys. The</w:t>
      </w:r>
      <w:r>
        <w:rPr>
          <w:color w:val="231F20"/>
          <w:spacing w:val="-28"/>
          <w:w w:val="105"/>
          <w:sz w:val="18"/>
        </w:rPr>
        <w:t> </w:t>
      </w:r>
      <w:r>
        <w:rPr>
          <w:color w:val="231F20"/>
          <w:w w:val="105"/>
          <w:sz w:val="18"/>
        </w:rPr>
        <w:t>salt and</w:t>
      </w:r>
      <w:r>
        <w:rPr>
          <w:color w:val="231F20"/>
          <w:spacing w:val="-12"/>
          <w:w w:val="105"/>
          <w:sz w:val="18"/>
        </w:rPr>
        <w:t> </w:t>
      </w:r>
      <w:r>
        <w:rPr>
          <w:color w:val="231F20"/>
          <w:w w:val="105"/>
          <w:sz w:val="18"/>
        </w:rPr>
        <w:t>water</w:t>
      </w:r>
      <w:r>
        <w:rPr>
          <w:color w:val="231F20"/>
          <w:spacing w:val="-11"/>
          <w:w w:val="105"/>
          <w:sz w:val="18"/>
        </w:rPr>
        <w:t> </w:t>
      </w:r>
      <w:r>
        <w:rPr>
          <w:color w:val="231F20"/>
          <w:w w:val="105"/>
          <w:sz w:val="18"/>
        </w:rPr>
        <w:t>loss</w:t>
      </w:r>
      <w:r>
        <w:rPr>
          <w:color w:val="231F20"/>
          <w:spacing w:val="-11"/>
          <w:w w:val="105"/>
          <w:sz w:val="18"/>
        </w:rPr>
        <w:t> </w:t>
      </w:r>
      <w:r>
        <w:rPr>
          <w:color w:val="231F20"/>
          <w:w w:val="105"/>
          <w:sz w:val="18"/>
        </w:rPr>
        <w:t>leads</w:t>
      </w:r>
      <w:r>
        <w:rPr>
          <w:color w:val="231F20"/>
          <w:spacing w:val="-11"/>
          <w:w w:val="105"/>
          <w:sz w:val="18"/>
        </w:rPr>
        <w:t> </w:t>
      </w:r>
      <w:r>
        <w:rPr>
          <w:color w:val="231F20"/>
          <w:w w:val="105"/>
          <w:sz w:val="18"/>
        </w:rPr>
        <w:t>to</w:t>
      </w:r>
      <w:r>
        <w:rPr>
          <w:color w:val="231F20"/>
          <w:spacing w:val="-11"/>
          <w:w w:val="105"/>
          <w:sz w:val="18"/>
        </w:rPr>
        <w:t> </w:t>
      </w:r>
      <w:r>
        <w:rPr>
          <w:color w:val="231F20"/>
          <w:w w:val="105"/>
          <w:sz w:val="18"/>
        </w:rPr>
        <w:t>mild</w:t>
      </w:r>
      <w:r>
        <w:rPr>
          <w:color w:val="231F20"/>
          <w:spacing w:val="-11"/>
          <w:w w:val="105"/>
          <w:sz w:val="18"/>
        </w:rPr>
        <w:t> </w:t>
      </w:r>
      <w:r>
        <w:rPr>
          <w:color w:val="231F20"/>
          <w:w w:val="105"/>
          <w:sz w:val="18"/>
        </w:rPr>
        <w:t>volume</w:t>
      </w:r>
      <w:r>
        <w:rPr>
          <w:color w:val="231F20"/>
          <w:spacing w:val="-11"/>
          <w:w w:val="105"/>
          <w:sz w:val="18"/>
        </w:rPr>
        <w:t> </w:t>
      </w:r>
      <w:r>
        <w:rPr>
          <w:color w:val="231F20"/>
          <w:w w:val="105"/>
          <w:sz w:val="18"/>
        </w:rPr>
        <w:t>depletion,</w:t>
      </w:r>
      <w:r>
        <w:rPr>
          <w:color w:val="231F20"/>
          <w:spacing w:val="-11"/>
          <w:w w:val="105"/>
          <w:sz w:val="18"/>
        </w:rPr>
        <w:t> </w:t>
      </w:r>
      <w:r>
        <w:rPr>
          <w:color w:val="231F20"/>
          <w:w w:val="105"/>
          <w:sz w:val="18"/>
        </w:rPr>
        <w:t>resulting</w:t>
      </w:r>
      <w:r>
        <w:rPr>
          <w:color w:val="231F20"/>
          <w:spacing w:val="-11"/>
          <w:w w:val="105"/>
          <w:sz w:val="18"/>
        </w:rPr>
        <w:t> </w:t>
      </w:r>
      <w:r>
        <w:rPr>
          <w:color w:val="231F20"/>
          <w:spacing w:val="-6"/>
          <w:w w:val="105"/>
          <w:sz w:val="18"/>
        </w:rPr>
        <w:t>in </w:t>
      </w:r>
      <w:r>
        <w:rPr>
          <w:color w:val="231F20"/>
          <w:w w:val="105"/>
          <w:sz w:val="18"/>
        </w:rPr>
        <w:t>activation of the renin­angiotensin­aldosterone system. The</w:t>
      </w:r>
      <w:r>
        <w:rPr>
          <w:color w:val="231F20"/>
          <w:spacing w:val="-21"/>
          <w:w w:val="105"/>
          <w:sz w:val="18"/>
        </w:rPr>
        <w:t> </w:t>
      </w:r>
      <w:r>
        <w:rPr>
          <w:color w:val="231F20"/>
          <w:w w:val="105"/>
          <w:sz w:val="18"/>
        </w:rPr>
        <w:t>increased</w:t>
      </w:r>
      <w:r>
        <w:rPr>
          <w:color w:val="231F20"/>
          <w:spacing w:val="-20"/>
          <w:w w:val="105"/>
          <w:sz w:val="18"/>
        </w:rPr>
        <w:t> </w:t>
      </w:r>
      <w:r>
        <w:rPr>
          <w:color w:val="231F20"/>
          <w:w w:val="105"/>
          <w:sz w:val="18"/>
        </w:rPr>
        <w:t>aldosterone</w:t>
      </w:r>
      <w:r>
        <w:rPr>
          <w:color w:val="231F20"/>
          <w:spacing w:val="-21"/>
          <w:w w:val="105"/>
          <w:sz w:val="18"/>
        </w:rPr>
        <w:t> </w:t>
      </w:r>
      <w:r>
        <w:rPr>
          <w:color w:val="231F20"/>
          <w:w w:val="105"/>
          <w:sz w:val="18"/>
        </w:rPr>
        <w:t>and</w:t>
      </w:r>
      <w:r>
        <w:rPr>
          <w:color w:val="231F20"/>
          <w:spacing w:val="-21"/>
          <w:w w:val="105"/>
          <w:sz w:val="18"/>
        </w:rPr>
        <w:t> </w:t>
      </w:r>
      <w:r>
        <w:rPr>
          <w:color w:val="231F20"/>
          <w:w w:val="105"/>
          <w:sz w:val="18"/>
        </w:rPr>
        <w:t>high</w:t>
      </w:r>
      <w:r>
        <w:rPr>
          <w:color w:val="231F20"/>
          <w:spacing w:val="-20"/>
          <w:w w:val="105"/>
          <w:sz w:val="18"/>
        </w:rPr>
        <w:t> </w:t>
      </w:r>
      <w:r>
        <w:rPr>
          <w:color w:val="231F20"/>
          <w:w w:val="105"/>
          <w:sz w:val="18"/>
        </w:rPr>
        <w:t>distal</w:t>
      </w:r>
      <w:r>
        <w:rPr>
          <w:color w:val="231F20"/>
          <w:spacing w:val="-21"/>
          <w:w w:val="105"/>
          <w:sz w:val="18"/>
        </w:rPr>
        <w:t> </w:t>
      </w:r>
      <w:r>
        <w:rPr>
          <w:color w:val="231F20"/>
          <w:w w:val="105"/>
          <w:sz w:val="18"/>
        </w:rPr>
        <w:t>tubular</w:t>
      </w:r>
      <w:r>
        <w:rPr>
          <w:color w:val="231F20"/>
          <w:spacing w:val="-20"/>
          <w:w w:val="105"/>
          <w:sz w:val="18"/>
        </w:rPr>
        <w:t> </w:t>
      </w:r>
      <w:r>
        <w:rPr>
          <w:color w:val="231F20"/>
          <w:w w:val="105"/>
          <w:sz w:val="18"/>
        </w:rPr>
        <w:t>flow,</w:t>
      </w:r>
      <w:r>
        <w:rPr>
          <w:color w:val="231F20"/>
          <w:spacing w:val="-21"/>
          <w:w w:val="105"/>
          <w:sz w:val="18"/>
        </w:rPr>
        <w:t> </w:t>
      </w:r>
      <w:r>
        <w:rPr>
          <w:color w:val="231F20"/>
          <w:w w:val="105"/>
          <w:sz w:val="18"/>
        </w:rPr>
        <w:t>due to impaired loop of Henle reabsorption, stimulate potas­ sium and hydrogen secretion in the collecting tubules, leading to hypokalemia and metabolic</w:t>
      </w:r>
      <w:r>
        <w:rPr>
          <w:color w:val="231F20"/>
          <w:spacing w:val="-11"/>
          <w:w w:val="105"/>
          <w:sz w:val="18"/>
        </w:rPr>
        <w:t> </w:t>
      </w:r>
      <w:r>
        <w:rPr>
          <w:color w:val="231F20"/>
          <w:w w:val="105"/>
          <w:sz w:val="18"/>
        </w:rPr>
        <w:t>alkalosis.</w:t>
      </w:r>
    </w:p>
    <w:p>
      <w:pPr>
        <w:spacing w:line="256" w:lineRule="auto" w:before="32"/>
        <w:ind w:left="679" w:right="1257" w:firstLine="240"/>
        <w:jc w:val="both"/>
        <w:rPr>
          <w:sz w:val="18"/>
        </w:rPr>
      </w:pPr>
      <w:r>
        <w:rPr>
          <w:rFonts w:ascii="Trebuchet MS" w:hAnsi="Trebuchet MS"/>
          <w:b/>
          <w:color w:val="231F20"/>
          <w:w w:val="105"/>
          <w:sz w:val="16"/>
        </w:rPr>
        <w:t>Gitelman’s Syndrome—Decreased Sodium Chloride Reabsorption</w:t>
      </w:r>
      <w:r>
        <w:rPr>
          <w:rFonts w:ascii="Trebuchet MS" w:hAnsi="Trebuchet MS"/>
          <w:b/>
          <w:color w:val="231F20"/>
          <w:spacing w:val="-17"/>
          <w:w w:val="105"/>
          <w:sz w:val="16"/>
        </w:rPr>
        <w:t> </w:t>
      </w:r>
      <w:r>
        <w:rPr>
          <w:rFonts w:ascii="Trebuchet MS" w:hAnsi="Trebuchet MS"/>
          <w:b/>
          <w:color w:val="231F20"/>
          <w:w w:val="105"/>
          <w:sz w:val="16"/>
        </w:rPr>
        <w:t>in</w:t>
      </w:r>
      <w:r>
        <w:rPr>
          <w:rFonts w:ascii="Trebuchet MS" w:hAnsi="Trebuchet MS"/>
          <w:b/>
          <w:color w:val="231F20"/>
          <w:spacing w:val="-17"/>
          <w:w w:val="105"/>
          <w:sz w:val="16"/>
        </w:rPr>
        <w:t> </w:t>
      </w:r>
      <w:r>
        <w:rPr>
          <w:rFonts w:ascii="Trebuchet MS" w:hAnsi="Trebuchet MS"/>
          <w:b/>
          <w:color w:val="231F20"/>
          <w:w w:val="105"/>
          <w:sz w:val="16"/>
        </w:rPr>
        <w:t>the</w:t>
      </w:r>
      <w:r>
        <w:rPr>
          <w:rFonts w:ascii="Trebuchet MS" w:hAnsi="Trebuchet MS"/>
          <w:b/>
          <w:color w:val="231F20"/>
          <w:spacing w:val="-16"/>
          <w:w w:val="105"/>
          <w:sz w:val="16"/>
        </w:rPr>
        <w:t> </w:t>
      </w:r>
      <w:r>
        <w:rPr>
          <w:rFonts w:ascii="Trebuchet MS" w:hAnsi="Trebuchet MS"/>
          <w:b/>
          <w:color w:val="231F20"/>
          <w:w w:val="105"/>
          <w:sz w:val="16"/>
        </w:rPr>
        <w:t>Distal</w:t>
      </w:r>
      <w:r>
        <w:rPr>
          <w:rFonts w:ascii="Trebuchet MS" w:hAnsi="Trebuchet MS"/>
          <w:b/>
          <w:color w:val="231F20"/>
          <w:spacing w:val="-17"/>
          <w:w w:val="105"/>
          <w:sz w:val="16"/>
        </w:rPr>
        <w:t> </w:t>
      </w:r>
      <w:r>
        <w:rPr>
          <w:rFonts w:ascii="Trebuchet MS" w:hAnsi="Trebuchet MS"/>
          <w:b/>
          <w:color w:val="231F20"/>
          <w:w w:val="105"/>
          <w:sz w:val="16"/>
        </w:rPr>
        <w:t>Tubules.</w:t>
      </w:r>
      <w:r>
        <w:rPr>
          <w:rFonts w:ascii="Trebuchet MS" w:hAnsi="Trebuchet MS"/>
          <w:b/>
          <w:color w:val="231F20"/>
          <w:spacing w:val="-8"/>
          <w:w w:val="105"/>
          <w:sz w:val="16"/>
        </w:rPr>
        <w:t> </w:t>
      </w:r>
      <w:r>
        <w:rPr>
          <w:i/>
          <w:color w:val="231F20"/>
          <w:spacing w:val="-3"/>
          <w:w w:val="105"/>
          <w:sz w:val="18"/>
        </w:rPr>
        <w:t>Gitelman’s</w:t>
      </w:r>
      <w:r>
        <w:rPr>
          <w:i/>
          <w:color w:val="231F20"/>
          <w:spacing w:val="-14"/>
          <w:w w:val="105"/>
          <w:sz w:val="18"/>
        </w:rPr>
        <w:t> </w:t>
      </w:r>
      <w:r>
        <w:rPr>
          <w:i/>
          <w:color w:val="231F20"/>
          <w:w w:val="105"/>
          <w:sz w:val="18"/>
        </w:rPr>
        <w:t>syndrome </w:t>
      </w:r>
      <w:r>
        <w:rPr>
          <w:color w:val="231F20"/>
          <w:w w:val="105"/>
          <w:sz w:val="18"/>
        </w:rPr>
        <w:t>is</w:t>
      </w:r>
      <w:r>
        <w:rPr>
          <w:color w:val="231F20"/>
          <w:spacing w:val="-23"/>
          <w:w w:val="105"/>
          <w:sz w:val="18"/>
        </w:rPr>
        <w:t> </w:t>
      </w:r>
      <w:r>
        <w:rPr>
          <w:color w:val="231F20"/>
          <w:w w:val="105"/>
          <w:sz w:val="18"/>
        </w:rPr>
        <w:t>an</w:t>
      </w:r>
      <w:r>
        <w:rPr>
          <w:color w:val="231F20"/>
          <w:spacing w:val="-22"/>
          <w:w w:val="105"/>
          <w:sz w:val="18"/>
        </w:rPr>
        <w:t> </w:t>
      </w:r>
      <w:r>
        <w:rPr>
          <w:color w:val="231F20"/>
          <w:w w:val="105"/>
          <w:sz w:val="18"/>
        </w:rPr>
        <w:t>autosomal­recessive</w:t>
      </w:r>
      <w:r>
        <w:rPr>
          <w:color w:val="231F20"/>
          <w:spacing w:val="-23"/>
          <w:w w:val="105"/>
          <w:sz w:val="18"/>
        </w:rPr>
        <w:t> </w:t>
      </w:r>
      <w:r>
        <w:rPr>
          <w:color w:val="231F20"/>
          <w:w w:val="105"/>
          <w:sz w:val="18"/>
        </w:rPr>
        <w:t>disorder</w:t>
      </w:r>
      <w:r>
        <w:rPr>
          <w:color w:val="231F20"/>
          <w:spacing w:val="-22"/>
          <w:w w:val="105"/>
          <w:sz w:val="18"/>
        </w:rPr>
        <w:t> </w:t>
      </w:r>
      <w:r>
        <w:rPr>
          <w:color w:val="231F20"/>
          <w:w w:val="105"/>
          <w:sz w:val="18"/>
        </w:rPr>
        <w:t>of</w:t>
      </w:r>
      <w:r>
        <w:rPr>
          <w:color w:val="231F20"/>
          <w:spacing w:val="-23"/>
          <w:w w:val="105"/>
          <w:sz w:val="18"/>
        </w:rPr>
        <w:t> </w:t>
      </w:r>
      <w:r>
        <w:rPr>
          <w:color w:val="231F20"/>
          <w:w w:val="105"/>
          <w:sz w:val="18"/>
        </w:rPr>
        <w:t>the</w:t>
      </w:r>
      <w:r>
        <w:rPr>
          <w:color w:val="231F20"/>
          <w:spacing w:val="-22"/>
          <w:w w:val="105"/>
          <w:sz w:val="18"/>
        </w:rPr>
        <w:t> </w:t>
      </w:r>
      <w:r>
        <w:rPr>
          <w:color w:val="231F20"/>
          <w:w w:val="105"/>
          <w:sz w:val="18"/>
        </w:rPr>
        <w:t>thiazide­sensitive sodium­chloride co­transporter in the distal tubules. Patients</w:t>
      </w:r>
      <w:r>
        <w:rPr>
          <w:color w:val="231F20"/>
          <w:spacing w:val="-12"/>
          <w:w w:val="105"/>
          <w:sz w:val="18"/>
        </w:rPr>
        <w:t> </w:t>
      </w:r>
      <w:r>
        <w:rPr>
          <w:color w:val="231F20"/>
          <w:w w:val="105"/>
          <w:sz w:val="18"/>
        </w:rPr>
        <w:t>with</w:t>
      </w:r>
      <w:r>
        <w:rPr>
          <w:color w:val="231F20"/>
          <w:spacing w:val="-11"/>
          <w:w w:val="105"/>
          <w:sz w:val="18"/>
        </w:rPr>
        <w:t> </w:t>
      </w:r>
      <w:r>
        <w:rPr>
          <w:color w:val="231F20"/>
          <w:spacing w:val="-3"/>
          <w:w w:val="105"/>
          <w:sz w:val="18"/>
        </w:rPr>
        <w:t>Gitelman’s</w:t>
      </w:r>
      <w:r>
        <w:rPr>
          <w:color w:val="231F20"/>
          <w:spacing w:val="-11"/>
          <w:w w:val="105"/>
          <w:sz w:val="18"/>
        </w:rPr>
        <w:t> </w:t>
      </w:r>
      <w:r>
        <w:rPr>
          <w:color w:val="231F20"/>
          <w:w w:val="105"/>
          <w:sz w:val="18"/>
        </w:rPr>
        <w:t>syndrome</w:t>
      </w:r>
      <w:r>
        <w:rPr>
          <w:color w:val="231F20"/>
          <w:spacing w:val="-11"/>
          <w:w w:val="105"/>
          <w:sz w:val="18"/>
        </w:rPr>
        <w:t> </w:t>
      </w:r>
      <w:r>
        <w:rPr>
          <w:color w:val="231F20"/>
          <w:w w:val="105"/>
          <w:sz w:val="18"/>
        </w:rPr>
        <w:t>have</w:t>
      </w:r>
      <w:r>
        <w:rPr>
          <w:color w:val="231F20"/>
          <w:spacing w:val="-11"/>
          <w:w w:val="105"/>
          <w:sz w:val="18"/>
        </w:rPr>
        <w:t> </w:t>
      </w:r>
      <w:r>
        <w:rPr>
          <w:color w:val="231F20"/>
          <w:w w:val="105"/>
          <w:sz w:val="18"/>
        </w:rPr>
        <w:t>some</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same characteristics as patients with Bartter’s syndrome—salt and</w:t>
      </w:r>
      <w:r>
        <w:rPr>
          <w:color w:val="231F20"/>
          <w:spacing w:val="-26"/>
          <w:w w:val="105"/>
          <w:sz w:val="18"/>
        </w:rPr>
        <w:t> </w:t>
      </w:r>
      <w:r>
        <w:rPr>
          <w:color w:val="231F20"/>
          <w:w w:val="105"/>
          <w:sz w:val="18"/>
        </w:rPr>
        <w:t>water</w:t>
      </w:r>
      <w:r>
        <w:rPr>
          <w:color w:val="231F20"/>
          <w:spacing w:val="-25"/>
          <w:w w:val="105"/>
          <w:sz w:val="18"/>
        </w:rPr>
        <w:t> </w:t>
      </w:r>
      <w:r>
        <w:rPr>
          <w:color w:val="231F20"/>
          <w:w w:val="105"/>
          <w:sz w:val="18"/>
        </w:rPr>
        <w:t>loss,</w:t>
      </w:r>
      <w:r>
        <w:rPr>
          <w:color w:val="231F20"/>
          <w:spacing w:val="-25"/>
          <w:w w:val="105"/>
          <w:sz w:val="18"/>
        </w:rPr>
        <w:t> </w:t>
      </w:r>
      <w:r>
        <w:rPr>
          <w:color w:val="231F20"/>
          <w:w w:val="105"/>
          <w:sz w:val="18"/>
        </w:rPr>
        <w:t>mild</w:t>
      </w:r>
      <w:r>
        <w:rPr>
          <w:color w:val="231F20"/>
          <w:spacing w:val="-26"/>
          <w:w w:val="105"/>
          <w:sz w:val="18"/>
        </w:rPr>
        <w:t> </w:t>
      </w:r>
      <w:r>
        <w:rPr>
          <w:color w:val="231F20"/>
          <w:w w:val="105"/>
          <w:sz w:val="18"/>
        </w:rPr>
        <w:t>water</w:t>
      </w:r>
      <w:r>
        <w:rPr>
          <w:color w:val="231F20"/>
          <w:spacing w:val="-25"/>
          <w:w w:val="105"/>
          <w:sz w:val="18"/>
        </w:rPr>
        <w:t> </w:t>
      </w:r>
      <w:r>
        <w:rPr>
          <w:color w:val="231F20"/>
          <w:w w:val="105"/>
          <w:sz w:val="18"/>
        </w:rPr>
        <w:t>volume</w:t>
      </w:r>
      <w:r>
        <w:rPr>
          <w:color w:val="231F20"/>
          <w:spacing w:val="-25"/>
          <w:w w:val="105"/>
          <w:sz w:val="18"/>
        </w:rPr>
        <w:t> </w:t>
      </w:r>
      <w:r>
        <w:rPr>
          <w:color w:val="231F20"/>
          <w:w w:val="105"/>
          <w:sz w:val="18"/>
        </w:rPr>
        <w:t>depletion,</w:t>
      </w:r>
      <w:r>
        <w:rPr>
          <w:color w:val="231F20"/>
          <w:spacing w:val="-25"/>
          <w:w w:val="105"/>
          <w:sz w:val="18"/>
        </w:rPr>
        <w:t> </w:t>
      </w:r>
      <w:r>
        <w:rPr>
          <w:color w:val="231F20"/>
          <w:w w:val="105"/>
          <w:sz w:val="18"/>
        </w:rPr>
        <w:t>and</w:t>
      </w:r>
      <w:r>
        <w:rPr>
          <w:color w:val="231F20"/>
          <w:spacing w:val="-26"/>
          <w:w w:val="105"/>
          <w:sz w:val="18"/>
        </w:rPr>
        <w:t> </w:t>
      </w:r>
      <w:r>
        <w:rPr>
          <w:color w:val="231F20"/>
          <w:w w:val="105"/>
          <w:sz w:val="18"/>
        </w:rPr>
        <w:t>activation of the renin­angiotensin­aldosterone system—although these</w:t>
      </w:r>
      <w:r>
        <w:rPr>
          <w:color w:val="231F20"/>
          <w:spacing w:val="-11"/>
          <w:w w:val="105"/>
          <w:sz w:val="18"/>
        </w:rPr>
        <w:t> </w:t>
      </w:r>
      <w:r>
        <w:rPr>
          <w:color w:val="231F20"/>
          <w:w w:val="105"/>
          <w:sz w:val="18"/>
        </w:rPr>
        <w:t>abnormalities</w:t>
      </w:r>
      <w:r>
        <w:rPr>
          <w:color w:val="231F20"/>
          <w:spacing w:val="-11"/>
          <w:w w:val="105"/>
          <w:sz w:val="18"/>
        </w:rPr>
        <w:t> </w:t>
      </w:r>
      <w:r>
        <w:rPr>
          <w:color w:val="231F20"/>
          <w:w w:val="105"/>
          <w:sz w:val="18"/>
        </w:rPr>
        <w:t>are</w:t>
      </w:r>
      <w:r>
        <w:rPr>
          <w:color w:val="231F20"/>
          <w:spacing w:val="-11"/>
          <w:w w:val="105"/>
          <w:sz w:val="18"/>
        </w:rPr>
        <w:t> </w:t>
      </w:r>
      <w:r>
        <w:rPr>
          <w:color w:val="231F20"/>
          <w:w w:val="105"/>
          <w:sz w:val="18"/>
        </w:rPr>
        <w:t>usually</w:t>
      </w:r>
      <w:r>
        <w:rPr>
          <w:color w:val="231F20"/>
          <w:spacing w:val="-11"/>
          <w:w w:val="105"/>
          <w:sz w:val="18"/>
        </w:rPr>
        <w:t> </w:t>
      </w:r>
      <w:r>
        <w:rPr>
          <w:color w:val="231F20"/>
          <w:w w:val="105"/>
          <w:sz w:val="18"/>
        </w:rPr>
        <w:t>less</w:t>
      </w:r>
      <w:r>
        <w:rPr>
          <w:color w:val="231F20"/>
          <w:spacing w:val="-10"/>
          <w:w w:val="105"/>
          <w:sz w:val="18"/>
        </w:rPr>
        <w:t> </w:t>
      </w:r>
      <w:r>
        <w:rPr>
          <w:color w:val="231F20"/>
          <w:w w:val="105"/>
          <w:sz w:val="18"/>
        </w:rPr>
        <w:t>severe</w:t>
      </w:r>
      <w:r>
        <w:rPr>
          <w:color w:val="231F20"/>
          <w:spacing w:val="-11"/>
          <w:w w:val="105"/>
          <w:sz w:val="18"/>
        </w:rPr>
        <w:t> </w:t>
      </w:r>
      <w:r>
        <w:rPr>
          <w:color w:val="231F20"/>
          <w:w w:val="105"/>
          <w:sz w:val="18"/>
        </w:rPr>
        <w:t>in</w:t>
      </w:r>
      <w:r>
        <w:rPr>
          <w:color w:val="231F20"/>
          <w:spacing w:val="-11"/>
          <w:w w:val="105"/>
          <w:sz w:val="18"/>
        </w:rPr>
        <w:t> </w:t>
      </w:r>
      <w:r>
        <w:rPr>
          <w:color w:val="231F20"/>
          <w:w w:val="105"/>
          <w:sz w:val="18"/>
        </w:rPr>
        <w:t>persons</w:t>
      </w:r>
      <w:r>
        <w:rPr>
          <w:color w:val="231F20"/>
          <w:spacing w:val="-11"/>
          <w:w w:val="105"/>
          <w:sz w:val="18"/>
        </w:rPr>
        <w:t> </w:t>
      </w:r>
      <w:r>
        <w:rPr>
          <w:color w:val="231F20"/>
          <w:w w:val="105"/>
          <w:sz w:val="18"/>
        </w:rPr>
        <w:t>with </w:t>
      </w:r>
      <w:r>
        <w:rPr>
          <w:color w:val="231F20"/>
          <w:spacing w:val="-3"/>
          <w:w w:val="105"/>
          <w:sz w:val="18"/>
        </w:rPr>
        <w:t>Gitelman’s</w:t>
      </w:r>
      <w:r>
        <w:rPr>
          <w:color w:val="231F20"/>
          <w:spacing w:val="2"/>
          <w:w w:val="105"/>
          <w:sz w:val="18"/>
        </w:rPr>
        <w:t> </w:t>
      </w:r>
      <w:r>
        <w:rPr>
          <w:color w:val="231F20"/>
          <w:w w:val="105"/>
          <w:sz w:val="18"/>
        </w:rPr>
        <w:t>syndrome.</w:t>
      </w:r>
    </w:p>
    <w:p>
      <w:pPr>
        <w:spacing w:line="254" w:lineRule="auto" w:before="0"/>
        <w:ind w:left="679" w:right="1257" w:firstLine="239"/>
        <w:jc w:val="both"/>
        <w:rPr>
          <w:sz w:val="18"/>
        </w:rPr>
      </w:pPr>
      <w:r>
        <w:rPr>
          <w:color w:val="231F20"/>
          <w:w w:val="105"/>
          <w:sz w:val="18"/>
        </w:rPr>
        <w:t>Because the tubular defects in Bartter’s or </w:t>
      </w:r>
      <w:r>
        <w:rPr>
          <w:color w:val="231F20"/>
          <w:spacing w:val="-3"/>
          <w:w w:val="105"/>
          <w:sz w:val="18"/>
        </w:rPr>
        <w:t>Gitelman’s </w:t>
      </w:r>
      <w:r>
        <w:rPr>
          <w:color w:val="231F20"/>
          <w:w w:val="105"/>
          <w:sz w:val="18"/>
        </w:rPr>
        <w:t>syndrome</w:t>
      </w:r>
      <w:r>
        <w:rPr>
          <w:color w:val="231F20"/>
          <w:spacing w:val="-25"/>
          <w:w w:val="105"/>
          <w:sz w:val="18"/>
        </w:rPr>
        <w:t> </w:t>
      </w:r>
      <w:r>
        <w:rPr>
          <w:color w:val="231F20"/>
          <w:w w:val="105"/>
          <w:sz w:val="18"/>
        </w:rPr>
        <w:t>cannot</w:t>
      </w:r>
      <w:r>
        <w:rPr>
          <w:color w:val="231F20"/>
          <w:spacing w:val="-25"/>
          <w:w w:val="105"/>
          <w:sz w:val="18"/>
        </w:rPr>
        <w:t> </w:t>
      </w:r>
      <w:r>
        <w:rPr>
          <w:color w:val="231F20"/>
          <w:w w:val="105"/>
          <w:sz w:val="18"/>
        </w:rPr>
        <w:t>be</w:t>
      </w:r>
      <w:r>
        <w:rPr>
          <w:color w:val="231F20"/>
          <w:spacing w:val="-24"/>
          <w:w w:val="105"/>
          <w:sz w:val="18"/>
        </w:rPr>
        <w:t> </w:t>
      </w:r>
      <w:r>
        <w:rPr>
          <w:color w:val="231F20"/>
          <w:w w:val="105"/>
          <w:sz w:val="18"/>
        </w:rPr>
        <w:t>corrected,</w:t>
      </w:r>
      <w:r>
        <w:rPr>
          <w:color w:val="231F20"/>
          <w:spacing w:val="-25"/>
          <w:w w:val="105"/>
          <w:sz w:val="18"/>
        </w:rPr>
        <w:t> </w:t>
      </w:r>
      <w:r>
        <w:rPr>
          <w:color w:val="231F20"/>
          <w:w w:val="105"/>
          <w:sz w:val="18"/>
        </w:rPr>
        <w:t>treatment</w:t>
      </w:r>
      <w:r>
        <w:rPr>
          <w:color w:val="231F20"/>
          <w:spacing w:val="-24"/>
          <w:w w:val="105"/>
          <w:sz w:val="18"/>
        </w:rPr>
        <w:t> </w:t>
      </w:r>
      <w:r>
        <w:rPr>
          <w:color w:val="231F20"/>
          <w:w w:val="105"/>
          <w:sz w:val="18"/>
        </w:rPr>
        <w:t>is</w:t>
      </w:r>
      <w:r>
        <w:rPr>
          <w:color w:val="231F20"/>
          <w:spacing w:val="-25"/>
          <w:w w:val="105"/>
          <w:sz w:val="18"/>
        </w:rPr>
        <w:t> </w:t>
      </w:r>
      <w:r>
        <w:rPr>
          <w:color w:val="231F20"/>
          <w:w w:val="105"/>
          <w:sz w:val="18"/>
        </w:rPr>
        <w:t>usually</w:t>
      </w:r>
      <w:r>
        <w:rPr>
          <w:color w:val="231F20"/>
          <w:spacing w:val="-24"/>
          <w:w w:val="105"/>
          <w:sz w:val="18"/>
        </w:rPr>
        <w:t> </w:t>
      </w:r>
      <w:r>
        <w:rPr>
          <w:color w:val="231F20"/>
          <w:w w:val="105"/>
          <w:sz w:val="18"/>
        </w:rPr>
        <w:t>focused</w:t>
      </w:r>
    </w:p>
    <w:p>
      <w:pPr>
        <w:spacing w:after="0" w:line="254" w:lineRule="auto"/>
        <w:jc w:val="both"/>
        <w:rPr>
          <w:sz w:val="18"/>
        </w:rPr>
        <w:sectPr>
          <w:type w:val="continuous"/>
          <w:pgSz w:w="12240" w:h="15660"/>
          <w:pgMar w:top="0" w:bottom="760" w:left="0" w:right="0"/>
          <w:cols w:num="2" w:equalWidth="0">
            <w:col w:w="5941" w:space="40"/>
            <w:col w:w="6259"/>
          </w:cols>
        </w:sectPr>
      </w:pPr>
    </w:p>
    <w:p>
      <w:pPr>
        <w:pStyle w:val="BodyText"/>
      </w:pPr>
    </w:p>
    <w:p>
      <w:pPr>
        <w:spacing w:after="0"/>
        <w:sectPr>
          <w:headerReference w:type="even" r:id="rId1067"/>
          <w:footerReference w:type="even" r:id="rId1068"/>
          <w:footerReference w:type="default" r:id="rId1069"/>
          <w:pgSz w:w="12240" w:h="15660"/>
          <w:pgMar w:header="0" w:footer="567" w:top="720" w:bottom="760" w:left="0" w:right="0"/>
          <w:pgNumType w:start="440"/>
        </w:sectPr>
      </w:pPr>
    </w:p>
    <w:p>
      <w:pPr>
        <w:pStyle w:val="BodyText"/>
        <w:spacing w:before="8"/>
        <w:rPr>
          <w:sz w:val="22"/>
        </w:rPr>
      </w:pPr>
    </w:p>
    <w:p>
      <w:pPr>
        <w:spacing w:line="254" w:lineRule="auto" w:before="0"/>
        <w:ind w:left="1260" w:right="0" w:firstLine="0"/>
        <w:jc w:val="both"/>
        <w:rPr>
          <w:sz w:val="18"/>
        </w:rPr>
      </w:pPr>
      <w:r>
        <w:rPr>
          <w:color w:val="231F20"/>
          <w:w w:val="105"/>
          <w:sz w:val="18"/>
        </w:rPr>
        <w:t>on</w:t>
      </w:r>
      <w:r>
        <w:rPr>
          <w:color w:val="231F20"/>
          <w:spacing w:val="-9"/>
          <w:w w:val="105"/>
          <w:sz w:val="18"/>
        </w:rPr>
        <w:t> </w:t>
      </w:r>
      <w:r>
        <w:rPr>
          <w:color w:val="231F20"/>
          <w:w w:val="105"/>
          <w:sz w:val="18"/>
        </w:rPr>
        <w:t>replacing</w:t>
      </w:r>
      <w:r>
        <w:rPr>
          <w:color w:val="231F20"/>
          <w:spacing w:val="-8"/>
          <w:w w:val="105"/>
          <w:sz w:val="18"/>
        </w:rPr>
        <w:t> </w:t>
      </w:r>
      <w:r>
        <w:rPr>
          <w:color w:val="231F20"/>
          <w:w w:val="105"/>
          <w:sz w:val="18"/>
        </w:rPr>
        <w:t>the</w:t>
      </w:r>
      <w:r>
        <w:rPr>
          <w:color w:val="231F20"/>
          <w:spacing w:val="-9"/>
          <w:w w:val="105"/>
          <w:sz w:val="18"/>
        </w:rPr>
        <w:t> </w:t>
      </w:r>
      <w:r>
        <w:rPr>
          <w:color w:val="231F20"/>
          <w:w w:val="105"/>
          <w:sz w:val="18"/>
        </w:rPr>
        <w:t>losses</w:t>
      </w:r>
      <w:r>
        <w:rPr>
          <w:color w:val="231F20"/>
          <w:spacing w:val="-8"/>
          <w:w w:val="105"/>
          <w:sz w:val="18"/>
        </w:rPr>
        <w:t> </w:t>
      </w:r>
      <w:r>
        <w:rPr>
          <w:color w:val="231F20"/>
          <w:w w:val="105"/>
          <w:sz w:val="18"/>
        </w:rPr>
        <w:t>of</w:t>
      </w:r>
      <w:r>
        <w:rPr>
          <w:color w:val="231F20"/>
          <w:spacing w:val="-9"/>
          <w:w w:val="105"/>
          <w:sz w:val="18"/>
        </w:rPr>
        <w:t> </w:t>
      </w:r>
      <w:r>
        <w:rPr>
          <w:color w:val="231F20"/>
          <w:w w:val="105"/>
          <w:sz w:val="18"/>
        </w:rPr>
        <w:t>sodium</w:t>
      </w:r>
      <w:r>
        <w:rPr>
          <w:color w:val="231F20"/>
          <w:spacing w:val="-8"/>
          <w:w w:val="105"/>
          <w:sz w:val="18"/>
        </w:rPr>
        <w:t> </w:t>
      </w:r>
      <w:r>
        <w:rPr>
          <w:color w:val="231F20"/>
          <w:w w:val="105"/>
          <w:sz w:val="18"/>
        </w:rPr>
        <w:t>chloride</w:t>
      </w:r>
      <w:r>
        <w:rPr>
          <w:color w:val="231F20"/>
          <w:spacing w:val="-8"/>
          <w:w w:val="105"/>
          <w:sz w:val="18"/>
        </w:rPr>
        <w:t> </w:t>
      </w:r>
      <w:r>
        <w:rPr>
          <w:color w:val="231F20"/>
          <w:w w:val="105"/>
          <w:sz w:val="18"/>
        </w:rPr>
        <w:t>and</w:t>
      </w:r>
      <w:r>
        <w:rPr>
          <w:color w:val="231F20"/>
          <w:spacing w:val="-9"/>
          <w:w w:val="105"/>
          <w:sz w:val="18"/>
        </w:rPr>
        <w:t> </w:t>
      </w:r>
      <w:r>
        <w:rPr>
          <w:color w:val="231F20"/>
          <w:w w:val="105"/>
          <w:sz w:val="18"/>
        </w:rPr>
        <w:t>potassium. Some studies suggest that blockade of prostaglandin synthesis with nonsteroidal anti­inflammatory drugs and administration</w:t>
      </w:r>
      <w:r>
        <w:rPr>
          <w:color w:val="231F20"/>
          <w:spacing w:val="-21"/>
          <w:w w:val="105"/>
          <w:sz w:val="18"/>
        </w:rPr>
        <w:t> </w:t>
      </w:r>
      <w:r>
        <w:rPr>
          <w:color w:val="231F20"/>
          <w:w w:val="105"/>
          <w:sz w:val="18"/>
        </w:rPr>
        <w:t>of</w:t>
      </w:r>
      <w:r>
        <w:rPr>
          <w:color w:val="231F20"/>
          <w:spacing w:val="-20"/>
          <w:w w:val="105"/>
          <w:sz w:val="18"/>
        </w:rPr>
        <w:t> </w:t>
      </w:r>
      <w:r>
        <w:rPr>
          <w:color w:val="231F20"/>
          <w:w w:val="105"/>
          <w:sz w:val="18"/>
        </w:rPr>
        <w:t>aldosterone</w:t>
      </w:r>
      <w:r>
        <w:rPr>
          <w:color w:val="231F20"/>
          <w:spacing w:val="-21"/>
          <w:w w:val="105"/>
          <w:sz w:val="18"/>
        </w:rPr>
        <w:t> </w:t>
      </w:r>
      <w:r>
        <w:rPr>
          <w:color w:val="231F20"/>
          <w:w w:val="105"/>
          <w:sz w:val="18"/>
        </w:rPr>
        <w:t>antagonists,</w:t>
      </w:r>
      <w:r>
        <w:rPr>
          <w:color w:val="231F20"/>
          <w:spacing w:val="-20"/>
          <w:w w:val="105"/>
          <w:sz w:val="18"/>
        </w:rPr>
        <w:t> </w:t>
      </w:r>
      <w:r>
        <w:rPr>
          <w:color w:val="231F20"/>
          <w:w w:val="105"/>
          <w:sz w:val="18"/>
        </w:rPr>
        <w:t>such</w:t>
      </w:r>
      <w:r>
        <w:rPr>
          <w:color w:val="231F20"/>
          <w:spacing w:val="-21"/>
          <w:w w:val="105"/>
          <w:sz w:val="18"/>
        </w:rPr>
        <w:t> </w:t>
      </w:r>
      <w:r>
        <w:rPr>
          <w:color w:val="231F20"/>
          <w:w w:val="105"/>
          <w:sz w:val="18"/>
        </w:rPr>
        <w:t>as</w:t>
      </w:r>
      <w:r>
        <w:rPr>
          <w:color w:val="231F20"/>
          <w:spacing w:val="-21"/>
          <w:w w:val="105"/>
          <w:sz w:val="18"/>
        </w:rPr>
        <w:t> </w:t>
      </w:r>
      <w:r>
        <w:rPr>
          <w:color w:val="231F20"/>
          <w:w w:val="105"/>
          <w:sz w:val="18"/>
        </w:rPr>
        <w:t>spirono­ lactone, may be useful in correcting the</w:t>
      </w:r>
      <w:r>
        <w:rPr>
          <w:color w:val="231F20"/>
          <w:spacing w:val="-28"/>
          <w:w w:val="105"/>
          <w:sz w:val="18"/>
        </w:rPr>
        <w:t> </w:t>
      </w:r>
      <w:r>
        <w:rPr>
          <w:color w:val="231F20"/>
          <w:w w:val="105"/>
          <w:sz w:val="18"/>
        </w:rPr>
        <w:t>hypokalemia.</w:t>
      </w:r>
    </w:p>
    <w:p>
      <w:pPr>
        <w:spacing w:line="256" w:lineRule="auto" w:before="21"/>
        <w:ind w:left="1260" w:right="0" w:firstLine="240"/>
        <w:jc w:val="both"/>
        <w:rPr>
          <w:sz w:val="18"/>
        </w:rPr>
      </w:pPr>
      <w:r>
        <w:rPr/>
        <w:pict>
          <v:rect style="position:absolute;margin-left:0pt;margin-top:76.603531pt;width:36pt;height:24pt;mso-position-horizontal-relative:page;mso-position-vertical-relative:paragraph;z-index:253359104" filled="true" fillcolor="#e8dac8" stroked="false">
            <v:fill type="solid"/>
            <w10:wrap type="none"/>
          </v:rect>
        </w:pict>
      </w:r>
      <w:r>
        <w:rPr>
          <w:rFonts w:ascii="Trebuchet MS" w:hAnsi="Trebuchet MS"/>
          <w:b/>
          <w:color w:val="231F20"/>
          <w:w w:val="105"/>
          <w:sz w:val="16"/>
        </w:rPr>
        <w:t>Liddle’s Syndrome—Increased Sodium </w:t>
      </w:r>
      <w:r>
        <w:rPr>
          <w:rFonts w:ascii="Trebuchet MS" w:hAnsi="Trebuchet MS"/>
          <w:b/>
          <w:color w:val="231F20"/>
          <w:spacing w:val="-2"/>
          <w:w w:val="105"/>
          <w:sz w:val="16"/>
        </w:rPr>
        <w:t>Reabsorption. </w:t>
      </w:r>
      <w:r>
        <w:rPr>
          <w:i/>
          <w:color w:val="231F20"/>
          <w:spacing w:val="-3"/>
          <w:w w:val="105"/>
          <w:sz w:val="18"/>
        </w:rPr>
        <w:t>Liddle’s </w:t>
      </w:r>
      <w:r>
        <w:rPr>
          <w:i/>
          <w:color w:val="231F20"/>
          <w:w w:val="105"/>
          <w:sz w:val="18"/>
        </w:rPr>
        <w:t>syndrome </w:t>
      </w:r>
      <w:r>
        <w:rPr>
          <w:color w:val="231F20"/>
          <w:w w:val="105"/>
          <w:sz w:val="18"/>
        </w:rPr>
        <w:t>is a rare autosomal­dominant </w:t>
      </w:r>
      <w:r>
        <w:rPr>
          <w:color w:val="231F20"/>
          <w:spacing w:val="-3"/>
          <w:w w:val="105"/>
          <w:sz w:val="18"/>
        </w:rPr>
        <w:t>disorder </w:t>
      </w:r>
      <w:r>
        <w:rPr>
          <w:color w:val="231F20"/>
          <w:w w:val="105"/>
          <w:sz w:val="18"/>
        </w:rPr>
        <w:t>resulting</w:t>
      </w:r>
      <w:r>
        <w:rPr>
          <w:color w:val="231F20"/>
          <w:spacing w:val="-23"/>
          <w:w w:val="105"/>
          <w:sz w:val="18"/>
        </w:rPr>
        <w:t> </w:t>
      </w:r>
      <w:r>
        <w:rPr>
          <w:color w:val="231F20"/>
          <w:w w:val="105"/>
          <w:sz w:val="18"/>
        </w:rPr>
        <w:t>from</w:t>
      </w:r>
      <w:r>
        <w:rPr>
          <w:color w:val="231F20"/>
          <w:spacing w:val="-22"/>
          <w:w w:val="105"/>
          <w:sz w:val="18"/>
        </w:rPr>
        <w:t> </w:t>
      </w:r>
      <w:r>
        <w:rPr>
          <w:color w:val="231F20"/>
          <w:w w:val="105"/>
          <w:sz w:val="18"/>
        </w:rPr>
        <w:t>various</w:t>
      </w:r>
      <w:r>
        <w:rPr>
          <w:color w:val="231F20"/>
          <w:spacing w:val="-22"/>
          <w:w w:val="105"/>
          <w:sz w:val="18"/>
        </w:rPr>
        <w:t> </w:t>
      </w:r>
      <w:r>
        <w:rPr>
          <w:color w:val="231F20"/>
          <w:w w:val="105"/>
          <w:sz w:val="18"/>
        </w:rPr>
        <w:t>mutations</w:t>
      </w:r>
      <w:r>
        <w:rPr>
          <w:color w:val="231F20"/>
          <w:spacing w:val="-22"/>
          <w:w w:val="105"/>
          <w:sz w:val="18"/>
        </w:rPr>
        <w:t> </w:t>
      </w:r>
      <w:r>
        <w:rPr>
          <w:color w:val="231F20"/>
          <w:w w:val="105"/>
          <w:sz w:val="18"/>
        </w:rPr>
        <w:t>in</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amiloride­sensitive epithelial</w:t>
      </w:r>
      <w:r>
        <w:rPr>
          <w:color w:val="231F20"/>
          <w:spacing w:val="-16"/>
          <w:w w:val="105"/>
          <w:sz w:val="18"/>
        </w:rPr>
        <w:t> </w:t>
      </w:r>
      <w:r>
        <w:rPr>
          <w:color w:val="231F20"/>
          <w:w w:val="105"/>
          <w:sz w:val="18"/>
        </w:rPr>
        <w:t>sodium</w:t>
      </w:r>
      <w:r>
        <w:rPr>
          <w:color w:val="231F20"/>
          <w:spacing w:val="-16"/>
          <w:w w:val="105"/>
          <w:sz w:val="18"/>
        </w:rPr>
        <w:t> </w:t>
      </w:r>
      <w:r>
        <w:rPr>
          <w:color w:val="231F20"/>
          <w:w w:val="105"/>
          <w:sz w:val="18"/>
        </w:rPr>
        <w:t>channel</w:t>
      </w:r>
      <w:r>
        <w:rPr>
          <w:color w:val="231F20"/>
          <w:spacing w:val="-16"/>
          <w:w w:val="105"/>
          <w:sz w:val="18"/>
        </w:rPr>
        <w:t> </w:t>
      </w:r>
      <w:r>
        <w:rPr>
          <w:color w:val="231F20"/>
          <w:w w:val="105"/>
          <w:sz w:val="18"/>
        </w:rPr>
        <w:t>(ENaC)</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distal</w:t>
      </w:r>
      <w:r>
        <w:rPr>
          <w:color w:val="231F20"/>
          <w:spacing w:val="-16"/>
          <w:w w:val="105"/>
          <w:sz w:val="18"/>
        </w:rPr>
        <w:t> </w:t>
      </w:r>
      <w:r>
        <w:rPr>
          <w:color w:val="231F20"/>
          <w:w w:val="105"/>
          <w:sz w:val="18"/>
        </w:rPr>
        <w:t>and</w:t>
      </w:r>
      <w:r>
        <w:rPr>
          <w:color w:val="231F20"/>
          <w:spacing w:val="-16"/>
          <w:w w:val="105"/>
          <w:sz w:val="18"/>
        </w:rPr>
        <w:t> </w:t>
      </w:r>
      <w:r>
        <w:rPr>
          <w:color w:val="231F20"/>
          <w:w w:val="105"/>
          <w:sz w:val="18"/>
        </w:rPr>
        <w:t>collect­ ing tubules. These mutations cause excessive activity </w:t>
      </w:r>
      <w:r>
        <w:rPr>
          <w:color w:val="231F20"/>
          <w:spacing w:val="-6"/>
          <w:w w:val="105"/>
          <w:sz w:val="18"/>
        </w:rPr>
        <w:t>of </w:t>
      </w:r>
      <w:r>
        <w:rPr>
          <w:color w:val="231F20"/>
          <w:w w:val="105"/>
          <w:sz w:val="18"/>
        </w:rPr>
        <w:t>ENaC, resulting in increased reabsorption of sodium and </w:t>
      </w:r>
      <w:r>
        <w:rPr>
          <w:color w:val="231F20"/>
          <w:spacing w:val="-3"/>
          <w:w w:val="105"/>
          <w:sz w:val="18"/>
        </w:rPr>
        <w:t>water, </w:t>
      </w:r>
      <w:r>
        <w:rPr>
          <w:color w:val="231F20"/>
          <w:w w:val="105"/>
          <w:sz w:val="18"/>
        </w:rPr>
        <w:t>hypertension, and metabolic alkalosis similar </w:t>
      </w:r>
      <w:r>
        <w:rPr>
          <w:color w:val="231F20"/>
          <w:spacing w:val="-7"/>
          <w:w w:val="105"/>
          <w:sz w:val="18"/>
        </w:rPr>
        <w:t>to </w:t>
      </w:r>
      <w:r>
        <w:rPr>
          <w:color w:val="231F20"/>
          <w:w w:val="105"/>
          <w:sz w:val="18"/>
        </w:rPr>
        <w:t>the changes that occur with oversecretion of aldosterone (primary</w:t>
      </w:r>
      <w:r>
        <w:rPr>
          <w:color w:val="231F20"/>
          <w:spacing w:val="2"/>
          <w:w w:val="105"/>
          <w:sz w:val="18"/>
        </w:rPr>
        <w:t> </w:t>
      </w:r>
      <w:r>
        <w:rPr>
          <w:color w:val="231F20"/>
          <w:w w:val="105"/>
          <w:sz w:val="18"/>
        </w:rPr>
        <w:t>aldosteronism).</w:t>
      </w:r>
    </w:p>
    <w:p>
      <w:pPr>
        <w:spacing w:line="254" w:lineRule="auto" w:before="0"/>
        <w:ind w:left="1260" w:right="0" w:firstLine="239"/>
        <w:jc w:val="both"/>
        <w:rPr>
          <w:sz w:val="18"/>
        </w:rPr>
      </w:pPr>
      <w:r>
        <w:rPr>
          <w:color w:val="231F20"/>
          <w:sz w:val="18"/>
        </w:rPr>
        <w:t>Patients with Liddle’s syndrome, however, have decreased levels of aldosterone as a result of sodium reten­ tion and compensatory decreases in renin secretion and angiotensin II levels, which, in turn, decrease adrenal secretion of aldosterone. Fortunately, Liddle’s syndrome can be treated with the diuretic amiloride, which blocks the excessive ENaC activity.</w:t>
      </w:r>
    </w:p>
    <w:p>
      <w:pPr>
        <w:pStyle w:val="BodyText"/>
        <w:spacing w:before="3"/>
        <w:rPr>
          <w:sz w:val="21"/>
        </w:rPr>
      </w:pPr>
    </w:p>
    <w:p>
      <w:pPr>
        <w:pStyle w:val="Heading3"/>
        <w:spacing w:line="228" w:lineRule="auto"/>
        <w:ind w:left="1260" w:right="852"/>
      </w:pPr>
      <w:r>
        <w:rPr>
          <w:color w:val="231F20"/>
        </w:rPr>
        <w:t>Treatment of Renal Failure by Transplantation or by Dialysis With an Artificial Kidney</w:t>
      </w:r>
    </w:p>
    <w:p>
      <w:pPr>
        <w:spacing w:line="254" w:lineRule="auto" w:before="88"/>
        <w:ind w:left="1260" w:right="0" w:firstLine="0"/>
        <w:jc w:val="both"/>
        <w:rPr>
          <w:sz w:val="18"/>
        </w:rPr>
      </w:pPr>
      <w:r>
        <w:rPr>
          <w:color w:val="231F20"/>
          <w:sz w:val="18"/>
        </w:rPr>
        <w:t>Severe loss of kidney function, either acutely or </w:t>
      </w:r>
      <w:r>
        <w:rPr>
          <w:color w:val="231F20"/>
          <w:spacing w:val="-3"/>
          <w:sz w:val="18"/>
        </w:rPr>
        <w:t>chroni­ </w:t>
      </w:r>
      <w:r>
        <w:rPr>
          <w:color w:val="231F20"/>
          <w:sz w:val="18"/>
        </w:rPr>
        <w:t>cally, is a threat to life and requires removal  of  toxic  waste products and restoration of body fluid volume </w:t>
      </w:r>
      <w:r>
        <w:rPr>
          <w:color w:val="231F20"/>
          <w:spacing w:val="-4"/>
          <w:sz w:val="18"/>
        </w:rPr>
        <w:t>and </w:t>
      </w:r>
      <w:r>
        <w:rPr>
          <w:color w:val="231F20"/>
          <w:sz w:val="18"/>
        </w:rPr>
        <w:t>composition toward normal. This  can  be  accomplished  by kidney transplantation or by dialysis with an artificial kidney.</w:t>
      </w:r>
      <w:r>
        <w:rPr>
          <w:color w:val="231F20"/>
          <w:spacing w:val="26"/>
          <w:sz w:val="18"/>
        </w:rPr>
        <w:t> </w:t>
      </w:r>
      <w:r>
        <w:rPr>
          <w:color w:val="231F20"/>
          <w:sz w:val="18"/>
        </w:rPr>
        <w:t>Approximately</w:t>
      </w:r>
      <w:r>
        <w:rPr>
          <w:color w:val="231F20"/>
          <w:spacing w:val="26"/>
          <w:sz w:val="18"/>
        </w:rPr>
        <w:t> </w:t>
      </w:r>
      <w:r>
        <w:rPr>
          <w:color w:val="231F20"/>
          <w:sz w:val="18"/>
        </w:rPr>
        <w:t>600,000</w:t>
      </w:r>
      <w:r>
        <w:rPr>
          <w:color w:val="231F20"/>
          <w:spacing w:val="26"/>
          <w:sz w:val="18"/>
        </w:rPr>
        <w:t> </w:t>
      </w:r>
      <w:r>
        <w:rPr>
          <w:color w:val="231F20"/>
          <w:sz w:val="18"/>
        </w:rPr>
        <w:t>patients</w:t>
      </w:r>
      <w:r>
        <w:rPr>
          <w:color w:val="231F20"/>
          <w:spacing w:val="27"/>
          <w:sz w:val="18"/>
        </w:rPr>
        <w:t> </w:t>
      </w:r>
      <w:r>
        <w:rPr>
          <w:color w:val="231F20"/>
          <w:sz w:val="18"/>
        </w:rPr>
        <w:t>in</w:t>
      </w:r>
      <w:r>
        <w:rPr>
          <w:color w:val="231F20"/>
          <w:spacing w:val="26"/>
          <w:sz w:val="18"/>
        </w:rPr>
        <w:t> </w:t>
      </w:r>
      <w:r>
        <w:rPr>
          <w:color w:val="231F20"/>
          <w:sz w:val="18"/>
        </w:rPr>
        <w:t>the</w:t>
      </w:r>
      <w:r>
        <w:rPr>
          <w:color w:val="231F20"/>
          <w:spacing w:val="26"/>
          <w:sz w:val="18"/>
        </w:rPr>
        <w:t> </w:t>
      </w:r>
      <w:r>
        <w:rPr>
          <w:color w:val="231F20"/>
          <w:spacing w:val="-3"/>
          <w:sz w:val="18"/>
        </w:rPr>
        <w:t>United</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4"/>
        </w:rPr>
      </w:pPr>
    </w:p>
    <w:p>
      <w:pPr>
        <w:spacing w:line="235" w:lineRule="auto" w:before="0"/>
        <w:ind w:left="1407" w:right="-20" w:hanging="263"/>
        <w:jc w:val="left"/>
        <w:rPr>
          <w:rFonts w:ascii="Helvetica"/>
          <w:sz w:val="16"/>
        </w:rPr>
      </w:pPr>
      <w:r>
        <w:rPr/>
        <w:pict>
          <v:group style="position:absolute;margin-left:308.882507pt;margin-top:-327.436005pt;width:229.2pt;height:325.75pt;mso-position-horizontal-relative:page;mso-position-vertical-relative:paragraph;z-index:253368320" coordorigin="6178,-6549" coordsize="4584,6515">
            <v:shape style="position:absolute;left:6329;top:-6549;width:2020;height:2876" type="#_x0000_t75" stroked="false">
              <v:imagedata r:id="rId1070" o:title=""/>
            </v:shape>
            <v:shape style="position:absolute;left:8419;top:-5865;width:2338;height:1693" type="#_x0000_t75" stroked="false">
              <v:imagedata r:id="rId1071" o:title=""/>
            </v:shape>
            <v:shape style="position:absolute;left:8419;top:-5865;width:2338;height:1693" coordorigin="8419,-5864" coordsize="2338,1693" path="m10756,-4397l10745,-4326,10713,-4264,10664,-4215,10602,-4183,10531,-4172,8645,-4172,8573,-4183,8511,-4215,8463,-4264,8431,-4326,8419,-4397,8419,-5639,8431,-5710,8463,-5772,8511,-5821,8573,-5853,8645,-5864,10531,-5864,10602,-5853,10664,-5821,10713,-5772,10745,-5710,10756,-5639,10756,-4397xe" filled="false" stroked="true" strokeweight=".5pt" strokecolor="#58595b">
              <v:path arrowok="t"/>
              <v:stroke dashstyle="solid"/>
            </v:shape>
            <v:shape style="position:absolute;left:8491;top:-5803;width:2204;height:1562" coordorigin="8491,-5802" coordsize="2204,1562" path="m10532,-5802l8654,-5802,8590,-5789,8539,-5754,8504,-5701,8491,-5636,8491,-4407,8504,-4342,8539,-4290,8590,-4254,8654,-4241,10532,-4241,10595,-4254,10647,-4290,10682,-4342,10695,-4407,10695,-5636,10682,-5701,10647,-5754,10595,-5789,10532,-5802xe" filled="true" fillcolor="#ffffff" stroked="false">
              <v:path arrowok="t"/>
              <v:fill type="solid"/>
            </v:shape>
            <v:shape style="position:absolute;left:8491;top:-5803;width:2204;height:1562" coordorigin="8491,-5802" coordsize="2204,1562" path="m10695,-4407l10682,-4342,10647,-4290,10595,-4254,10532,-4241,8654,-4241,8590,-4254,8539,-4290,8504,-4342,8491,-4407,8491,-5636,8504,-5701,8539,-5754,8590,-5789,8654,-5802,10532,-5802,10595,-5789,10647,-5754,10682,-5701,10695,-5636,10695,-4407xe" filled="false" stroked="true" strokeweight=".5pt" strokecolor="#58595b">
              <v:path arrowok="t"/>
              <v:stroke dashstyle="solid"/>
            </v:shape>
            <v:rect style="position:absolute;left:8727;top:-5106;width:1732;height:166" filled="true" fillcolor="#f15b66" stroked="false">
              <v:fill type="solid"/>
            </v:rect>
            <v:rect style="position:absolute;left:8727;top:-5106;width:1732;height:166" filled="false" stroked="true" strokeweight=".5pt" strokecolor="#231f20">
              <v:stroke dashstyle="solid"/>
            </v:rect>
            <v:line style="position:absolute" from="8894,-5181" to="8894,-4821" stroked="true" strokeweight="1.5pt" strokecolor="#231f20">
              <v:stroke dashstyle="solid"/>
            </v:line>
            <v:shape style="position:absolute;left:8834;top:-4877;width:117;height:180" coordorigin="8834,-4876" coordsize="117,180" path="m8835,-4876l8834,-4874,8871,-4787,8892,-4696,8914,-4787,8938,-4844,8893,-4844,8835,-4876xm8950,-4876l8893,-4844,8938,-4844,8951,-4874,8950,-4876xe" filled="true" fillcolor="#231f20" stroked="false">
              <v:path arrowok="t"/>
              <v:fill type="solid"/>
            </v:shape>
            <v:line style="position:absolute" from="9468,-5181" to="9468,-4821" stroked="true" strokeweight="1.5pt" strokecolor="#231f20">
              <v:stroke dashstyle="solid"/>
            </v:line>
            <v:shape style="position:absolute;left:9409;top:-4877;width:117;height:180" coordorigin="9409,-4876" coordsize="117,180" path="m9410,-4876l9409,-4874,9446,-4787,9467,-4696,9489,-4787,9513,-4844,9467,-4844,9410,-4876xm9525,-4876l9467,-4844,9513,-4844,9526,-4874,9525,-4876xe" filled="true" fillcolor="#231f20" stroked="false">
              <v:path arrowok="t"/>
              <v:fill type="solid"/>
            </v:shape>
            <v:line style="position:absolute" from="10136,-5208" to="10348,-5208" stroked="true" strokeweight="1.5pt" strokecolor="#231f20">
              <v:stroke dashstyle="solid"/>
            </v:line>
            <v:shape style="position:absolute;left:10292;top:-5268;width:180;height:117" coordorigin="10293,-5267" coordsize="180,117" path="m10295,-5267l10293,-5266,10325,-5209,10293,-5152,10295,-5150,10382,-5188,10473,-5209,10382,-5230,10295,-5267xe" filled="true" fillcolor="#231f20" stroked="false">
              <v:path arrowok="t"/>
              <v:fill type="solid"/>
            </v:shape>
            <v:line style="position:absolute" from="9842,-5022" to="10055,-5022" stroked="true" strokeweight="1.5pt" strokecolor="#231f20">
              <v:stroke dashstyle="solid"/>
            </v:line>
            <v:shape style="position:absolute;left:9998;top:-5082;width:180;height:117" coordorigin="9999,-5081" coordsize="180,117" path="m10001,-5081l9999,-5080,10032,-5023,9999,-4966,10001,-4964,10088,-5002,10179,-5023,10088,-5044,10001,-5081xe" filled="true" fillcolor="#231f20" stroked="false">
              <v:path arrowok="t"/>
              <v:fill type="solid"/>
            </v:shape>
            <v:line style="position:absolute" from="10136,-4845" to="10348,-4845" stroked="true" strokeweight="1.5pt" strokecolor="#231f20">
              <v:stroke dashstyle="solid"/>
            </v:line>
            <v:shape style="position:absolute;left:10292;top:-4905;width:180;height:117" coordorigin="10293,-4905" coordsize="180,117" path="m10295,-4905l10293,-4904,10325,-4846,10293,-4789,10295,-4788,10382,-4825,10473,-4847,10382,-4868,10295,-4905xe" filled="true" fillcolor="#231f20" stroked="false">
              <v:path arrowok="t"/>
              <v:fill type="solid"/>
            </v:shape>
            <v:shape style="position:absolute;left:6196;top:-3900;width:177;height:502" type="#_x0000_t75" stroked="false">
              <v:imagedata r:id="rId1072" o:title=""/>
            </v:shape>
            <v:line style="position:absolute" from="6594,-3265" to="6670,-3646" stroked="true" strokeweight="1.5pt" strokecolor="#231f20">
              <v:stroke dashstyle="solid"/>
            </v:line>
            <v:shape style="position:absolute;left:6602;top:-3768;width:115;height:188" type="#_x0000_t75" stroked="false">
              <v:imagedata r:id="rId1073" o:title=""/>
            </v:shape>
            <v:shape style="position:absolute;left:9088;top:-4166;width:169;height:167" type="#_x0000_t75" stroked="false">
              <v:imagedata r:id="rId1074" o:title=""/>
            </v:shape>
            <v:shape style="position:absolute;left:9962;top:-3449;width:180;height:117" type="#_x0000_t75" stroked="false">
              <v:imagedata r:id="rId1075" o:title=""/>
            </v:shape>
            <v:shape style="position:absolute;left:7699;top:-3402;width:207;height:641" coordorigin="7699,-3401" coordsize="207,641" path="m7906,-3298l7898,-3338,7875,-3371,7843,-3393,7803,-3401,7762,-3393,7730,-3371,7707,-3338,7699,-3298,7699,-2864,7707,-2824,7730,-2791,7762,-2769,7803,-2761,7843,-2769,7875,-2791,7898,-2824,7906,-2864,7906,-3298xe" filled="false" stroked="true" strokeweight=".5pt" strokecolor="#231f20">
              <v:path arrowok="t"/>
              <v:stroke dashstyle="solid"/>
            </v:shape>
            <v:shape style="position:absolute;left:7752;top:-3530;width:101;height:162" type="#_x0000_t75" stroked="false">
              <v:imagedata r:id="rId1076" o:title=""/>
            </v:shape>
            <v:shape style="position:absolute;left:7872;top:-3260;width:2635;height:752" coordorigin="7873,-3259" coordsize="2635,752" path="m10108,-3259l7873,-3259,7873,-3194,10108,-3194,10199,-3185,10275,-3159,10336,-3119,10383,-3069,10416,-3011,10436,-2948,10442,-2883,10437,-2824,10395,-2715,10309,-2628,10250,-2597,10182,-2579,10108,-2573,10108,-2508,10190,-2514,10264,-2533,10328,-2564,10382,-2603,10427,-2650,10462,-2703,10487,-2761,10502,-2821,10507,-2883,10502,-2946,10487,-3006,10462,-3064,10427,-3117,10382,-3164,10328,-3203,10264,-3234,10190,-3253,10108,-3259xe" filled="true" fillcolor="#f15b66" stroked="false">
              <v:path arrowok="t"/>
              <v:fill type="solid"/>
            </v:shape>
            <v:shape style="position:absolute;left:7872;top:-3260;width:2635;height:752" coordorigin="7873,-3259" coordsize="2635,752" path="m10108,-2508l10108,-2573,10182,-2579,10250,-2597,10309,-2628,10359,-2670,10421,-2767,10442,-2883,10436,-2948,10416,-3011,10383,-3069,10336,-3119,10275,-3159,10199,-3185,10108,-3194,7873,-3194,7873,-3259,10108,-3259,10190,-3253,10264,-3234,10328,-3203,10382,-3164,10427,-3117,10462,-3064,10487,-3006,10502,-2946,10507,-2883,10502,-2821,10487,-2761,10462,-2703,10427,-2650,10382,-2603,10328,-2564,10264,-2533,10190,-2514,10108,-2508xe" filled="false" stroked="true" strokeweight=".5pt" strokecolor="#231f20">
              <v:path arrowok="t"/>
              <v:stroke dashstyle="solid"/>
            </v:shape>
            <v:shape style="position:absolute;left:10072;top:-2620;width:84;height:161" type="#_x0000_t75" stroked="false">
              <v:imagedata r:id="rId1077" o:title=""/>
            </v:shape>
            <v:shape style="position:absolute;left:10072;top:-2620;width:84;height:161" coordorigin="10072,-2619" coordsize="84,161" path="m10156,-2540l10153,-2510,10144,-2485,10130,-2468,10114,-2461,10106,-2461,10096,-2459,10074,-2518,10072,-2540,10074,-2564,10078,-2587,10085,-2606,10094,-2619,10114,-2619,10130,-2613,10144,-2596,10153,-2571,10156,-2540xe" filled="false" stroked="true" strokeweight=".5pt" strokecolor="#231f20">
              <v:path arrowok="t"/>
              <v:stroke dashstyle="solid"/>
            </v:shape>
            <v:shape style="position:absolute;left:10052;top:-2620;width:84;height:158" type="#_x0000_t75" stroked="false">
              <v:imagedata r:id="rId1078" o:title=""/>
            </v:shape>
            <v:shape style="position:absolute;left:10052;top:-2620;width:84;height:158" coordorigin="10052,-2619" coordsize="84,158" path="m10136,-2540l10133,-2510,10124,-2485,10110,-2468,10094,-2461,10078,-2468,10065,-2485,10056,-2510,10052,-2540,10056,-2571,10065,-2596,10078,-2613,10094,-2619,10110,-2613,10124,-2596,10133,-2571,10136,-2540xe" filled="false" stroked="true" strokeweight=".5pt" strokecolor="#231f20">
              <v:path arrowok="t"/>
              <v:stroke dashstyle="solid"/>
            </v:shape>
            <v:shape style="position:absolute;left:9813;top:-2587;width:296;height:93" type="#_x0000_t75" stroked="false">
              <v:imagedata r:id="rId1079" o:title=""/>
            </v:shape>
            <v:shape style="position:absolute;left:9813;top:-2587;width:296;height:93" coordorigin="9814,-2587" coordsize="296,93" path="m10089,-2587l9814,-2587,9814,-2494,10089,-2494,10097,-2497,10104,-2507,10108,-2522,10110,-2540,10108,-2558,10104,-2573,10097,-2583,10089,-2587xe" filled="false" stroked="true" strokeweight=".5pt" strokecolor="#231f20">
              <v:path arrowok="t"/>
              <v:stroke dashstyle="solid"/>
            </v:shape>
            <v:line style="position:absolute" from="8942,-1528" to="8942,-1889" stroked="true" strokeweight="1.5pt" strokecolor="#231f20">
              <v:stroke dashstyle="solid"/>
            </v:line>
            <v:shape style="position:absolute;left:8882;top:-2014;width:117;height:180" coordorigin="8882,-2013" coordsize="117,180" path="m8940,-2013l8919,-1922,8882,-1835,8883,-1833,8941,-1866,8986,-1866,8962,-1922,8940,-2013xm8986,-1866l8941,-1866,8998,-1833,8999,-1835,8986,-1866xe" filled="true" fillcolor="#231f20" stroked="false">
              <v:path arrowok="t"/>
              <v:fill type="solid"/>
            </v:shape>
            <v:line style="position:absolute" from="7337,-2367" to="7669,-2367" stroked="true" strokeweight="1.5pt" strokecolor="#231f20">
              <v:stroke dashstyle="solid"/>
            </v:line>
            <v:shape style="position:absolute;left:7613;top:-2427;width:394;height:713" coordorigin="7614,-2427" coordsize="394,713" path="m7794,-2369l7703,-2390,7616,-2427,7614,-2426,7646,-2368,7614,-2311,7616,-2310,7703,-2347,7794,-2369m8007,-1773l7916,-1794,7829,-1831,7827,-1830,7860,-1772,7828,-1715,7829,-1714,7916,-1751,8007,-1773e" filled="true" fillcolor="#231f20" stroked="false">
              <v:path arrowok="t"/>
              <v:fill type="solid"/>
            </v:shape>
            <v:shape style="position:absolute;left:6908;top:-2318;width:2066;height:2284" type="#_x0000_t75" stroked="false">
              <v:imagedata r:id="rId1080" o:title=""/>
            </v:shape>
            <v:shape style="position:absolute;left:8690;top:-2296;width:161;height:59" type="#_x0000_t75" stroked="false">
              <v:imagedata r:id="rId1081" o:title=""/>
            </v:shape>
            <v:shape style="position:absolute;left:8690;top:-2296;width:161;height:59" coordorigin="8690,-2296" coordsize="161,59" path="m8772,-2237l8741,-2240,8716,-2246,8699,-2255,8693,-2267,8693,-2272,8690,-2280,8750,-2294,8772,-2296,8796,-2295,8818,-2292,8837,-2287,8851,-2281,8851,-2267,8845,-2255,8828,-2246,8803,-2240,8772,-2237xe" filled="false" stroked="true" strokeweight=".5pt" strokecolor="#231f20">
              <v:path arrowok="t"/>
              <v:stroke dashstyle="solid"/>
            </v:shape>
            <v:shape style="position:absolute;left:8692;top:-2310;width:158;height:59" type="#_x0000_t75" stroked="false">
              <v:imagedata r:id="rId1082" o:title=""/>
            </v:shape>
            <v:shape style="position:absolute;left:8692;top:-2310;width:158;height:59" coordorigin="8693,-2310" coordsize="158,59" path="m8772,-2251l8741,-2254,8716,-2260,8699,-2269,8693,-2281,8699,-2292,8716,-2301,8741,-2307,8772,-2310,8803,-2307,8828,-2301,8845,-2292,8851,-2281,8845,-2269,8828,-2260,8803,-2254,8772,-2251xe" filled="false" stroked="true" strokeweight=".5pt" strokecolor="#231f20">
              <v:path arrowok="t"/>
              <v:stroke dashstyle="solid"/>
            </v:shape>
            <v:shape style="position:absolute;left:8725;top:-2477;width:93;height:207" type="#_x0000_t75" stroked="false">
              <v:imagedata r:id="rId1083" o:title=""/>
            </v:shape>
            <v:shape style="position:absolute;left:8725;top:-2477;width:93;height:207" coordorigin="8725,-2477" coordsize="93,207" path="m8818,-2284l8818,-2477,8725,-2477,8725,-2284,8729,-2278,8739,-2274,8753,-2271,8771,-2270,8790,-2271,8804,-2274,8814,-2278,8818,-2284xe" filled="false" stroked="true" strokeweight=".5pt" strokecolor="#231f20">
              <v:path arrowok="t"/>
              <v:stroke dashstyle="solid"/>
            </v:shape>
            <v:shape style="position:absolute;left:9295;top:-1263;width:781;height:1142" coordorigin="9296,-1262" coordsize="781,1142" path="m10076,-1009l10075,-847,10073,-557,10072,-279,10071,-155,9970,-133,9886,-126,9789,-122,9685,-121,9581,-123,9484,-128,9400,-135,9337,-144,9298,-607,9296,-847,9296,-954,9296,-1009,9306,-1067,9335,-1120,9381,-1167,9442,-1207,9514,-1237,9596,-1256,9686,-1262,9775,-1256,9857,-1237,9930,-1207,9990,-1167,10036,-1120,10066,-1067,10076,-1009xe" filled="false" stroked="true" strokeweight=".5pt" strokecolor="#231f20">
              <v:path arrowok="t"/>
              <v:stroke dashstyle="solid"/>
            </v:shape>
            <v:shape style="position:absolute;left:9300;top:-263;width:771;height:215" coordorigin="9300,-263" coordsize="771,215" path="m9686,-263l9583,-259,9491,-248,9413,-231,9353,-209,9300,-155,9314,-127,9413,-79,9491,-63,9583,-52,9686,-48,9788,-52,9880,-63,9958,-79,10018,-101,10071,-155,10057,-184,9958,-231,9880,-248,9788,-259,9686,-263xe" filled="true" fillcolor="#ffffff" stroked="false">
              <v:path arrowok="t"/>
              <v:fill type="solid"/>
            </v:shape>
            <v:shape style="position:absolute;left:9300;top:-263;width:771;height:215" coordorigin="9300,-263" coordsize="771,215" path="m10071,-155l10018,-101,9958,-79,9880,-63,9788,-52,9686,-48,9583,-52,9491,-63,9413,-79,9353,-101,9300,-155,9314,-184,9413,-231,9491,-248,9583,-259,9686,-263,9788,-259,9880,-248,9958,-231,10018,-209,10071,-155xe" filled="false" stroked="true" strokeweight=".5pt" strokecolor="#231f20">
              <v:path arrowok="t"/>
              <v:stroke dashstyle="solid"/>
            </v:shape>
            <v:shape style="position:absolute;left:9319;top:-444;width:733;height:379" coordorigin="9319,-443" coordsize="733,379" path="m9739,-443l9523,-442,9430,-439,9359,-436,9319,-432,9319,-155,9399,-100,9482,-81,9581,-68,9686,-65,9793,-70,9893,-83,9975,-101,10031,-126,10052,-155,10052,-432,10011,-437,9939,-440,9846,-443,9739,-443xe" filled="true" fillcolor="#a5bbdb" stroked="false">
              <v:path arrowok="t"/>
              <v:fill type="solid"/>
            </v:shape>
            <v:shape style="position:absolute;left:-294;top:7997;width:453;height:46" coordorigin="-293,7998" coordsize="453,46" path="m9841,-254l9887,-247,9930,-238,9967,-229,10000,-217m9548,-256l9580,-259,9614,-261,9650,-262,9686,-263,9708,-262,9730,-262,9752,-261,9773,-260e" filled="false" stroked="true" strokeweight=".5pt" strokecolor="#231f20">
              <v:path arrowok="t"/>
              <v:stroke dashstyle="solid"/>
            </v:shape>
            <v:shape style="position:absolute;left:9319;top:-521;width:733;height:174" coordorigin="9319,-520" coordsize="733,174" path="m9686,-520l9581,-516,9482,-504,9399,-485,9341,-461,9319,-432,9341,-404,9399,-380,9482,-361,9581,-350,9686,-347,9793,-352,9893,-363,9975,-381,10031,-404,10052,-432,10031,-461,9973,-485,9889,-504,9790,-516,9686,-520xe" filled="true" fillcolor="#c7d6ee" stroked="false">
              <v:path arrowok="t"/>
              <v:fill type="solid"/>
            </v:shape>
            <v:shape style="position:absolute;left:9581;top:-1391;width:209;height:191" type="#_x0000_t75" stroked="false">
              <v:imagedata r:id="rId1084" o:title=""/>
            </v:shape>
            <v:shape style="position:absolute;left:9359;top:-248;width:132;height:36" coordorigin="9359,-248" coordsize="132,36" path="m9359,-212l9386,-223,9417,-232,9452,-241,9491,-248e" filled="false" stroked="true" strokeweight=".5pt" strokecolor="#231f20">
              <v:path arrowok="t"/>
              <v:stroke dashstyle="solid"/>
            </v:shape>
            <v:line style="position:absolute" from="9527,-1992" to="9527,-1631" stroked="true" strokeweight="1.5pt" strokecolor="#231f20">
              <v:stroke dashstyle="solid"/>
            </v:line>
            <v:shape style="position:absolute;left:9467;top:-1687;width:117;height:180" coordorigin="9468,-1687" coordsize="117,180" path="m9469,-1687l9468,-1685,9504,-1598,9525,-1507,9547,-1598,9571,-1654,9526,-1654,9469,-1687xm9583,-1686l9526,-1654,9571,-1654,9584,-1685,9583,-1686xe" filled="true" fillcolor="#231f20" stroked="false">
              <v:path arrowok="t"/>
              <v:fill type="solid"/>
            </v:shape>
            <v:shape style="position:absolute;left:9638;top:-2313;width:95;height:1430" coordorigin="9639,-2313" coordsize="95,1430" path="m9686,-2313l9668,-2309,9653,-2299,9643,-2284,9639,-2265,9639,-902,9654,-888,9686,-883,9719,-888,9734,-902,9734,-2265,9730,-2284,9720,-2299,9705,-2309,9686,-2313xe" filled="true" fillcolor="#95b6df" stroked="false">
              <v:path arrowok="t"/>
              <v:fill type="solid"/>
            </v:shape>
            <v:shape style="position:absolute;left:9638;top:-2313;width:95;height:1430" coordorigin="9639,-2313" coordsize="95,1430" path="m9639,-902l9639,-2265,9643,-2284,9653,-2299,9668,-2309,9686,-2313,9705,-2309,9720,-2299,9730,-2284,9734,-2265,9734,-902,9719,-888,9686,-883,9654,-888,9639,-902xe" filled="false" stroked="true" strokeweight=".5pt" strokecolor="#231f20">
              <v:path arrowok="t"/>
              <v:stroke dashstyle="solid"/>
            </v:shape>
            <v:shape style="position:absolute;left:-199;top:8006;width:199;height:153" coordorigin="-198,8007" coordsize="199,153" path="m9785,-1356l9777,-1345,9756,-1336,9724,-1329,9686,-1327,9647,-1329,9616,-1336,9594,-1345,9587,-1356m9785,-1233l9777,-1222,9756,-1213,9724,-1206,9686,-1204,9647,-1206,9616,-1213,9594,-1222,9587,-1233e" filled="false" stroked="true" strokeweight=".5pt" strokecolor="#231f20">
              <v:path arrowok="t"/>
              <v:stroke dashstyle="solid"/>
            </v:shape>
            <v:shape style="position:absolute;left:9605;top:-2296;width:161;height:59" type="#_x0000_t75" stroked="false">
              <v:imagedata r:id="rId1085" o:title=""/>
            </v:shape>
            <v:shape style="position:absolute;left:9605;top:-2296;width:161;height:59" coordorigin="9605,-2296" coordsize="161,59" path="m9687,-2237l9656,-2240,9631,-2246,9614,-2255,9608,-2267,9608,-2272,9605,-2280,9665,-2294,9687,-2296,9711,-2295,9733,-2292,9752,-2287,9766,-2281,9766,-2267,9759,-2255,9742,-2246,9717,-2240,9687,-2237xe" filled="false" stroked="true" strokeweight=".5pt" strokecolor="#231f20">
              <v:path arrowok="t"/>
              <v:stroke dashstyle="solid"/>
            </v:shape>
            <v:shape style="position:absolute;left:9607;top:-2310;width:158;height:59" type="#_x0000_t75" stroked="false">
              <v:imagedata r:id="rId1086" o:title=""/>
            </v:shape>
            <v:shape style="position:absolute;left:9607;top:-2310;width:158;height:59" coordorigin="9608,-2310" coordsize="158,59" path="m9687,-2251l9656,-2254,9631,-2260,9614,-2269,9608,-2281,9614,-2292,9631,-2301,9656,-2307,9687,-2310,9717,-2307,9742,-2301,9759,-2292,9766,-2281,9759,-2269,9742,-2260,9717,-2254,9687,-2251xe" filled="false" stroked="true" strokeweight=".5pt" strokecolor="#231f20">
              <v:path arrowok="t"/>
              <v:stroke dashstyle="solid"/>
            </v:shape>
            <v:shape style="position:absolute;left:9642;top:-2477;width:89;height:207" type="#_x0000_t75" stroked="false">
              <v:imagedata r:id="rId1087" o:title=""/>
            </v:shape>
            <v:shape style="position:absolute;left:9642;top:-2477;width:89;height:207" coordorigin="9642,-2477" coordsize="89,207" path="m9731,-2284l9731,-2477,9642,-2477,9642,-2284,9646,-2278,9655,-2274,9669,-2271,9686,-2270,9704,-2271,9718,-2274,9727,-2278,9731,-2284xe" filled="false" stroked="true" strokeweight=".5pt" strokecolor="#231f20">
              <v:path arrowok="t"/>
              <v:stroke dashstyle="solid"/>
            </v:shape>
            <v:shape style="position:absolute;left:8549;top:-2729;width:1479;height:383" type="#_x0000_t75" stroked="false">
              <v:imagedata r:id="rId1088" o:title=""/>
            </v:shape>
            <v:shape style="position:absolute;left:8549;top:-2729;width:1479;height:383" coordorigin="8550,-2728" coordsize="1479,383" path="m9927,-2728l8550,-2728,8550,-2346,9927,-2346,9967,-2361,9999,-2402,10020,-2462,10028,-2536,10020,-2611,9999,-2672,9967,-2713,9927,-2728xe" filled="false" stroked="true" strokeweight=".5pt" strokecolor="#231f20">
              <v:path arrowok="t"/>
              <v:stroke dashstyle="solid"/>
            </v:shape>
            <v:shape style="position:absolute;left:9821;top:-2734;width:212;height:392" type="#_x0000_t75" stroked="false">
              <v:imagedata r:id="rId1089" o:title=""/>
            </v:shape>
            <v:shape style="position:absolute;left:8493;top:-2589;width:1464;height:95" coordorigin="8493,-2588" coordsize="1464,95" path="m9927,-2588l8541,-2588,8522,-2585,8507,-2574,8497,-2559,8493,-2541,8497,-2522,8507,-2507,8522,-2497,8541,-2493,9927,-2493,9950,-2508,9957,-2541,9950,-2573,9927,-2588xe" filled="true" fillcolor="#f15b66" stroked="false">
              <v:path arrowok="t"/>
              <v:fill type="solid"/>
            </v:shape>
            <v:shape style="position:absolute;left:8493;top:-2589;width:1464;height:95" coordorigin="8493,-2588" coordsize="1464,95" path="m9927,-2493l8541,-2493,8522,-2497,8507,-2507,8497,-2522,8493,-2541,8497,-2559,8507,-2574,8522,-2585,8541,-2588,9927,-2588,9950,-2573,9957,-2541,9950,-2508,9927,-2493xe" filled="false" stroked="true" strokeweight=".5pt" strokecolor="#231f20">
              <v:path arrowok="t"/>
              <v:stroke dashstyle="solid"/>
            </v:shape>
            <v:shape style="position:absolute;left:8449;top:-2729;width:202;height:382" type="#_x0000_t75" stroked="false">
              <v:imagedata r:id="rId1090" o:title=""/>
            </v:shape>
            <v:shape style="position:absolute;left:8449;top:-2729;width:202;height:382" coordorigin="8449,-2728" coordsize="202,382" path="m8651,-2538l8643,-2463,8621,-2403,8589,-2362,8550,-2347,8511,-2362,8479,-2403,8457,-2463,8449,-2538,8457,-2612,8479,-2672,8511,-2713,8550,-2728,8589,-2713,8621,-2672,8643,-2612,8651,-2538xe" filled="false" stroked="true" strokeweight=".5pt" strokecolor="#231f20">
              <v:path arrowok="t"/>
              <v:stroke dashstyle="solid"/>
            </v:shape>
            <v:shape style="position:absolute;left:8272;top:-2592;width:296;height:103" type="#_x0000_t75" stroked="false">
              <v:imagedata r:id="rId1091" o:title=""/>
            </v:shape>
            <v:shape style="position:absolute;left:8272;top:-2592;width:296;height:103" coordorigin="8273,-2591" coordsize="296,103" path="m8548,-2591l8273,-2591,8273,-2489,8548,-2489,8556,-2493,8562,-2504,8567,-2520,8568,-2540,8567,-2560,8562,-2576,8556,-2587,8548,-2591xe" filled="false" stroked="true" strokeweight=".5pt" strokecolor="#231f20">
              <v:path arrowok="t"/>
              <v:stroke dashstyle="solid"/>
            </v:shape>
            <v:shape style="position:absolute;left:8231;top:-2620;width:84;height:161" type="#_x0000_t75" stroked="false">
              <v:imagedata r:id="rId1092" o:title=""/>
            </v:shape>
            <v:shape style="position:absolute;left:8231;top:-2620;width:84;height:161" coordorigin="8231,-2619" coordsize="84,161" path="m8314,-2540l8311,-2510,8302,-2485,8289,-2468,8273,-2461,8265,-2461,8254,-2459,8233,-2518,8231,-2540,8232,-2564,8237,-2587,8243,-2606,8253,-2619,8273,-2619,8289,-2613,8302,-2596,8311,-2571,8314,-2540xe" filled="false" stroked="true" strokeweight=".5pt" strokecolor="#231f20">
              <v:path arrowok="t"/>
              <v:stroke dashstyle="solid"/>
            </v:shape>
            <v:shape style="position:absolute;left:8211;top:-2620;width:84;height:158" type="#_x0000_t75" stroked="false">
              <v:imagedata r:id="rId1093" o:title=""/>
            </v:shape>
            <v:shape style="position:absolute;left:8211;top:-2620;width:84;height:158" coordorigin="8211,-2619" coordsize="84,158" path="m8294,-2540l8291,-2510,8282,-2485,8269,-2468,8253,-2461,8236,-2468,8223,-2485,8214,-2510,8211,-2540,8214,-2571,8223,-2596,8236,-2613,8253,-2619,8269,-2613,8282,-2596,8291,-2571,8294,-2540xe" filled="false" stroked="true" strokeweight=".5pt" strokecolor="#231f20">
              <v:path arrowok="t"/>
              <v:stroke dashstyle="solid"/>
            </v:shape>
            <v:shape style="position:absolute;left:7714;top:-3255;width:177;height:479" type="#_x0000_t75" stroked="false">
              <v:imagedata r:id="rId1094" o:title=""/>
            </v:shape>
            <v:shape style="position:absolute;left:6404;top:-4609;width:1369;height:1726" coordorigin="6405,-4608" coordsize="1369,1726" path="m6739,-4608l6727,-4608,6721,-4601,6673,-4399,6426,-3346,6410,-3260,6405,-3183,6410,-3114,6425,-3054,6490,-2960,6598,-2902,6669,-2888,6752,-2883,7746,-2883,7767,-2898,7773,-2930,7766,-2963,7745,-2978,6752,-2978,6673,-2984,6610,-3001,6523,-3069,6488,-3180,6489,-3250,6500,-3331,6718,-4427,6747,-4568,6752,-4595,6749,-4604,6739,-4608xe" filled="true" fillcolor="#f15b66" stroked="false">
              <v:path arrowok="t"/>
              <v:fill type="solid"/>
            </v:shape>
            <v:shape style="position:absolute;left:6404;top:-4609;width:1369;height:1726" coordorigin="6405,-4608" coordsize="1369,1726" path="m6752,-2978l6673,-2984,6610,-3001,6523,-3069,6488,-3180,6489,-3250,6500,-3331,6644,-4054,6718,-4427,6747,-4568,6752,-4595,6749,-4604,6739,-4608,6727,-4608,6721,-4601,6673,-4399,6572,-3968,6472,-3540,6426,-3346,6410,-3260,6405,-3183,6410,-3114,6425,-3054,6490,-2960,6598,-2902,6669,-2888,6752,-2883,7746,-2883,7767,-2898,7773,-2930,7766,-2963,7745,-2978,6752,-2978xe" filled="false" stroked="true" strokeweight=".5pt" strokecolor="#231f20">
              <v:path arrowok="t"/>
              <v:stroke dashstyle="solid"/>
            </v:shape>
            <v:shape style="position:absolute;left:6182;top:-4621;width:2084;height:2128" coordorigin="6183,-4621" coordsize="2084,2128" path="m6678,-4621l6508,-4099,6348,-3555,6291,-3360,6266,-3275,6245,-3202,6227,-3142,6207,-3069,6189,-2982,6183,-2900,6187,-2822,6201,-2751,6226,-2686,6262,-2629,6308,-2581,6362,-2543,6425,-2515,6495,-2498,6572,-2493,8245,-2493,8261,-2508,8267,-2540,8261,-2573,8245,-2588,6572,-2588,6499,-2594,6435,-2613,6381,-2644,6337,-2687,6305,-2742,6286,-2806,6278,-2879,6282,-2959,6299,-3045,6333,-3180,6652,-4450,6680,-4562,6688,-4594,6691,-4606,6688,-4615,6678,-4621xe" filled="true" fillcolor="#f15b66" stroked="false">
              <v:path arrowok="t"/>
              <v:fill type="solid"/>
            </v:shape>
            <v:shape style="position:absolute;left:6182;top:-4621;width:2084;height:2128" coordorigin="6183,-4621" coordsize="2084,2128" path="m8245,-2588l6572,-2588,6499,-2594,6435,-2613,6381,-2644,6337,-2687,6305,-2742,6286,-2806,6278,-2879,6282,-2959,6299,-3045,6306,-3074,6318,-3119,6333,-3180,6352,-3254,6373,-3340,6397,-3435,6423,-3537,6450,-3644,6478,-3755,6506,-3867,6534,-3978,6561,-4086,6587,-4190,6611,-4286,6633,-4373,6652,-4450,6668,-4513,6688,-4594,6691,-4606,6688,-4615,6678,-4621,6667,-4620,6660,-4613,6656,-4601,6647,-4570,6633,-4522,6614,-4459,6592,-4383,6566,-4297,6538,-4201,6508,-4099,6476,-3992,6444,-3882,6411,-3771,6379,-3661,6348,-3555,6318,-3454,6291,-3360,6266,-3275,6245,-3202,6227,-3142,6207,-3069,6189,-2982,6183,-2900,6187,-2822,6201,-2751,6226,-2686,6262,-2629,6308,-2581,6362,-2543,6425,-2515,6495,-2498,6572,-2493,8245,-2493,8261,-2508,8267,-2540,8261,-2573,8245,-2588xe" filled="false" stroked="true" strokeweight=".5pt" strokecolor="#231f20">
              <v:path arrowok="t"/>
              <v:stroke dashstyle="solid"/>
            </v:shape>
            <v:shape style="position:absolute;left:-1198;top:7333;width:1704;height:1180" coordorigin="-1197,7334" coordsize="1704,1180" path="m10110,-3390l10185,-3384,10256,-3368,10324,-3343,10386,-3308,10442,-3265,10492,-3216,10535,-3159,10569,-3097,10595,-3029,10611,-2958,10617,-2883m9107,-2961l9059,-3019,9017,-3085,8981,-3156,8952,-3233,8931,-3315,8917,-3401,8913,-3490,8917,-3578,8930,-3662,8950,-3742,8978,-3818,9012,-3889,9053,-3953,9100,-4012,9151,-4063e" filled="false" stroked="true" strokeweight="1.5pt" strokecolor="#231f20">
              <v:path arrowok="t"/>
              <v:stroke dashstyle="solid"/>
            </v:shape>
            <v:shape style="position:absolute;left:0;top:8006;width:1102;height:618" coordorigin="0,8007" coordsize="1102,618" path="m9135,-5302l9274,-5025m10100,-5302l9952,-5056m10207,-4837l10237,-4684e" filled="false" stroked="true" strokeweight=".75pt" strokecolor="#231f20">
              <v:path arrowok="t"/>
              <v:stroke dashstyle="solid"/>
            </v:shape>
            <v:shape style="position:absolute;left:8599;top:-5663;width:1796;height:365" type="#_x0000_t202" filled="false" stroked="false">
              <v:textbox inset="0,0,0,0">
                <w:txbxContent>
                  <w:p>
                    <w:pPr>
                      <w:tabs>
                        <w:tab w:pos="1304" w:val="left" w:leader="none"/>
                      </w:tabs>
                      <w:spacing w:line="235" w:lineRule="auto" w:before="2"/>
                      <w:ind w:left="177" w:right="18" w:hanging="178"/>
                      <w:jc w:val="left"/>
                      <w:rPr>
                        <w:rFonts w:ascii="Helvetica"/>
                        <w:sz w:val="16"/>
                      </w:rPr>
                    </w:pPr>
                    <w:r>
                      <w:rPr>
                        <w:rFonts w:ascii="Helvetica"/>
                        <w:color w:val="231F20"/>
                        <w:sz w:val="16"/>
                      </w:rPr>
                      <w:t>Semipermeable </w:t>
                    </w:r>
                    <w:r>
                      <w:rPr>
                        <w:rFonts w:ascii="Helvetica"/>
                        <w:color w:val="231F20"/>
                        <w:spacing w:val="-3"/>
                        <w:sz w:val="16"/>
                      </w:rPr>
                      <w:t>Flowing </w:t>
                    </w:r>
                    <w:r>
                      <w:rPr>
                        <w:rFonts w:ascii="Helvetica"/>
                        <w:color w:val="231F20"/>
                        <w:sz w:val="16"/>
                      </w:rPr>
                      <w:t>membrane</w:t>
                      <w:tab/>
                      <w:t>blood</w:t>
                    </w:r>
                  </w:p>
                </w:txbxContent>
              </v:textbox>
              <w10:wrap type="none"/>
            </v:shape>
            <v:shape style="position:absolute;left:8592;top:-4707;width:1989;height:365" type="#_x0000_t202" filled="false" stroked="false">
              <v:textbox inset="0,0,0,0">
                <w:txbxContent>
                  <w:p>
                    <w:pPr>
                      <w:tabs>
                        <w:tab w:pos="1337" w:val="left" w:leader="none"/>
                        <w:tab w:pos="1377" w:val="left" w:leader="none"/>
                      </w:tabs>
                      <w:spacing w:line="235" w:lineRule="auto" w:before="2"/>
                      <w:ind w:left="0" w:right="18" w:firstLine="80"/>
                      <w:jc w:val="left"/>
                      <w:rPr>
                        <w:rFonts w:ascii="Helvetica"/>
                        <w:sz w:val="16"/>
                      </w:rPr>
                    </w:pPr>
                    <w:r>
                      <w:rPr>
                        <w:rFonts w:ascii="Helvetica"/>
                        <w:color w:val="231F20"/>
                        <w:sz w:val="16"/>
                      </w:rPr>
                      <w:t>Waste </w:t>
                    </w:r>
                    <w:r>
                      <w:rPr>
                        <w:rFonts w:ascii="Helvetica"/>
                        <w:color w:val="231F20"/>
                        <w:spacing w:val="34"/>
                        <w:sz w:val="16"/>
                      </w:rPr>
                      <w:t> </w:t>
                    </w:r>
                    <w:r>
                      <w:rPr>
                        <w:rFonts w:ascii="Helvetica"/>
                        <w:color w:val="231F20"/>
                        <w:sz w:val="16"/>
                      </w:rPr>
                      <w:t>Water</w:t>
                      <w:tab/>
                      <w:tab/>
                      <w:t>Flowing products</w:t>
                      <w:tab/>
                    </w:r>
                    <w:r>
                      <w:rPr>
                        <w:rFonts w:ascii="Helvetica"/>
                        <w:color w:val="231F20"/>
                        <w:spacing w:val="-1"/>
                        <w:sz w:val="16"/>
                      </w:rPr>
                      <w:t>dialysate</w:t>
                    </w:r>
                  </w:p>
                </w:txbxContent>
              </v:textbox>
              <w10:wrap type="none"/>
            </v:shape>
            <v:shape style="position:absolute;left:7142;top:-3475;width:519;height:365" type="#_x0000_t202" filled="false" stroked="false">
              <v:textbox inset="0,0,0,0">
                <w:txbxContent>
                  <w:p>
                    <w:pPr>
                      <w:spacing w:line="181" w:lineRule="exact" w:before="0"/>
                      <w:ind w:left="0" w:right="18" w:firstLine="0"/>
                      <w:jc w:val="right"/>
                      <w:rPr>
                        <w:rFonts w:ascii="Helvetica"/>
                        <w:sz w:val="16"/>
                      </w:rPr>
                    </w:pPr>
                    <w:r>
                      <w:rPr>
                        <w:rFonts w:ascii="Helvetica"/>
                        <w:color w:val="231F20"/>
                        <w:w w:val="95"/>
                        <w:sz w:val="16"/>
                      </w:rPr>
                      <w:t>Bubble</w:t>
                    </w:r>
                  </w:p>
                  <w:p>
                    <w:pPr>
                      <w:spacing w:line="182" w:lineRule="exact" w:before="0"/>
                      <w:ind w:left="0" w:right="18" w:firstLine="0"/>
                      <w:jc w:val="right"/>
                      <w:rPr>
                        <w:rFonts w:ascii="Helvetica"/>
                        <w:sz w:val="16"/>
                      </w:rPr>
                    </w:pPr>
                    <w:r>
                      <w:rPr>
                        <w:rFonts w:ascii="Helvetica"/>
                        <w:color w:val="231F20"/>
                        <w:w w:val="95"/>
                        <w:sz w:val="16"/>
                      </w:rPr>
                      <w:t>trap</w:t>
                    </w:r>
                  </w:p>
                </w:txbxContent>
              </v:textbox>
              <w10:wrap type="none"/>
            </v:shape>
            <v:shape style="position:absolute;left:9026;top:-3510;width:886;height:757" type="#_x0000_t202" filled="false" stroked="false">
              <v:textbox inset="0,0,0,0">
                <w:txbxContent>
                  <w:p>
                    <w:pPr>
                      <w:spacing w:line="183" w:lineRule="exact" w:before="0"/>
                      <w:ind w:left="189" w:right="0" w:firstLine="0"/>
                      <w:jc w:val="left"/>
                      <w:rPr>
                        <w:rFonts w:ascii="Helvetica"/>
                        <w:sz w:val="16"/>
                      </w:rPr>
                    </w:pPr>
                    <w:r>
                      <w:rPr>
                        <w:rFonts w:ascii="Helvetica"/>
                        <w:color w:val="231F20"/>
                        <w:sz w:val="16"/>
                      </w:rPr>
                      <w:t>Blood out</w:t>
                    </w:r>
                  </w:p>
                  <w:p>
                    <w:pPr>
                      <w:spacing w:line="240" w:lineRule="auto" w:before="0"/>
                      <w:rPr>
                        <w:rFonts w:ascii="Helvetica"/>
                        <w:sz w:val="18"/>
                      </w:rPr>
                    </w:pPr>
                  </w:p>
                  <w:p>
                    <w:pPr>
                      <w:spacing w:line="240" w:lineRule="auto" w:before="7"/>
                      <w:rPr>
                        <w:rFonts w:ascii="Helvetica"/>
                        <w:sz w:val="15"/>
                      </w:rPr>
                    </w:pPr>
                  </w:p>
                  <w:p>
                    <w:pPr>
                      <w:spacing w:before="1"/>
                      <w:ind w:left="0" w:right="0" w:firstLine="0"/>
                      <w:jc w:val="left"/>
                      <w:rPr>
                        <w:rFonts w:ascii="Helvetica"/>
                        <w:sz w:val="16"/>
                      </w:rPr>
                    </w:pPr>
                    <w:r>
                      <w:rPr>
                        <w:rFonts w:ascii="Helvetica"/>
                        <w:color w:val="231F20"/>
                        <w:sz w:val="16"/>
                      </w:rPr>
                      <w:t>Dialyzer</w:t>
                    </w:r>
                  </w:p>
                </w:txbxContent>
              </v:textbox>
              <w10:wrap type="none"/>
            </v:shape>
            <v:shape style="position:absolute;left:6692;top:-2474;width:59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Blood in</w:t>
                    </w:r>
                  </w:p>
                </w:txbxContent>
              </v:textbox>
              <w10:wrap type="none"/>
            </v:shape>
            <v:shape style="position:absolute;left:7550;top:-2115;width:1136;height:365" type="#_x0000_t202" filled="false" stroked="false">
              <v:textbox inset="0,0,0,0">
                <w:txbxContent>
                  <w:p>
                    <w:pPr>
                      <w:spacing w:line="181" w:lineRule="exact" w:before="0"/>
                      <w:ind w:left="0" w:right="18" w:firstLine="0"/>
                      <w:jc w:val="right"/>
                      <w:rPr>
                        <w:rFonts w:ascii="Helvetica"/>
                        <w:sz w:val="16"/>
                      </w:rPr>
                    </w:pPr>
                    <w:r>
                      <w:rPr>
                        <w:rFonts w:ascii="Helvetica"/>
                        <w:color w:val="231F20"/>
                        <w:w w:val="95"/>
                        <w:sz w:val="16"/>
                      </w:rPr>
                      <w:t>Dialysate</w:t>
                    </w:r>
                  </w:p>
                  <w:p>
                    <w:pPr>
                      <w:tabs>
                        <w:tab w:pos="332" w:val="left" w:leader="none"/>
                        <w:tab w:pos="990" w:val="left" w:leader="none"/>
                      </w:tabs>
                      <w:spacing w:line="182" w:lineRule="exact" w:before="0"/>
                      <w:ind w:left="0" w:right="18" w:firstLine="0"/>
                      <w:jc w:val="right"/>
                      <w:rPr>
                        <w:rFonts w:ascii="Helvetica"/>
                        <w:sz w:val="16"/>
                      </w:rPr>
                    </w:pPr>
                    <w:r>
                      <w:rPr>
                        <w:rFonts w:ascii="Helvetica"/>
                        <w:color w:val="231F20"/>
                        <w:w w:val="100"/>
                        <w:sz w:val="16"/>
                        <w:u w:val="thick" w:color="231F20"/>
                      </w:rPr>
                      <w:t> </w:t>
                    </w:r>
                    <w:r>
                      <w:rPr>
                        <w:rFonts w:ascii="Helvetica"/>
                        <w:color w:val="231F20"/>
                        <w:sz w:val="16"/>
                        <w:u w:val="thick" w:color="231F20"/>
                      </w:rPr>
                      <w:tab/>
                    </w:r>
                    <w:r>
                      <w:rPr>
                        <w:rFonts w:ascii="Helvetica"/>
                        <w:color w:val="231F20"/>
                        <w:sz w:val="16"/>
                      </w:rPr>
                      <w:tab/>
                    </w:r>
                    <w:r>
                      <w:rPr>
                        <w:rFonts w:ascii="Helvetica"/>
                        <w:color w:val="231F20"/>
                        <w:spacing w:val="-9"/>
                        <w:sz w:val="16"/>
                      </w:rPr>
                      <w:t>in</w:t>
                    </w:r>
                  </w:p>
                </w:txbxContent>
              </v:textbox>
              <w10:wrap type="none"/>
            </v:shape>
            <v:shape style="position:absolute;left:9793;top:-2115;width:678;height:365" type="#_x0000_t202" filled="false" stroked="false">
              <v:textbox inset="0,0,0,0">
                <w:txbxContent>
                  <w:p>
                    <w:pPr>
                      <w:spacing w:line="235" w:lineRule="auto" w:before="2"/>
                      <w:ind w:left="0" w:right="-1" w:firstLine="0"/>
                      <w:jc w:val="left"/>
                      <w:rPr>
                        <w:rFonts w:ascii="Helvetica"/>
                        <w:sz w:val="16"/>
                      </w:rPr>
                    </w:pPr>
                    <w:r>
                      <w:rPr>
                        <w:rFonts w:ascii="Helvetica"/>
                        <w:color w:val="231F20"/>
                        <w:sz w:val="16"/>
                      </w:rPr>
                      <w:t>Dialysate</w:t>
                    </w:r>
                    <w:r>
                      <w:rPr>
                        <w:rFonts w:ascii="Helvetica"/>
                        <w:color w:val="231F20"/>
                        <w:w w:val="99"/>
                        <w:sz w:val="16"/>
                      </w:rPr>
                      <w:t> </w:t>
                    </w:r>
                    <w:r>
                      <w:rPr>
                        <w:rFonts w:ascii="Helvetica"/>
                        <w:color w:val="231F20"/>
                        <w:sz w:val="16"/>
                      </w:rPr>
                      <w:t>out</w:t>
                    </w:r>
                  </w:p>
                </w:txbxContent>
              </v:textbox>
              <w10:wrap type="none"/>
            </v:shape>
            <w10:wrap type="none"/>
          </v:group>
        </w:pict>
      </w:r>
      <w:r>
        <w:rPr>
          <w:rFonts w:ascii="Helvetica"/>
          <w:color w:val="231F20"/>
          <w:sz w:val="16"/>
        </w:rPr>
        <w:t>Fresh dialyzing solution</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4"/>
        </w:rPr>
      </w:pPr>
    </w:p>
    <w:p>
      <w:pPr>
        <w:spacing w:line="235" w:lineRule="auto" w:before="0"/>
        <w:ind w:left="168" w:right="0" w:firstLine="0"/>
        <w:jc w:val="center"/>
        <w:rPr>
          <w:rFonts w:ascii="Helvetica"/>
          <w:sz w:val="16"/>
        </w:rPr>
      </w:pPr>
      <w:r>
        <w:rPr>
          <w:rFonts w:ascii="Helvetica"/>
          <w:color w:val="231F20"/>
          <w:sz w:val="16"/>
        </w:rPr>
        <w:t>Constant temperature</w:t>
      </w:r>
      <w:r>
        <w:rPr>
          <w:rFonts w:ascii="Helvetica"/>
          <w:color w:val="231F20"/>
          <w:w w:val="99"/>
          <w:sz w:val="16"/>
        </w:rPr>
        <w:t> </w:t>
      </w:r>
      <w:r>
        <w:rPr>
          <w:rFonts w:ascii="Helvetica"/>
          <w:color w:val="231F20"/>
          <w:sz w:val="16"/>
        </w:rPr>
        <w:t>bath</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0"/>
        <w:rPr>
          <w:rFonts w:ascii="Helvetica"/>
          <w:sz w:val="24"/>
        </w:rPr>
      </w:pPr>
    </w:p>
    <w:p>
      <w:pPr>
        <w:spacing w:line="235" w:lineRule="auto" w:before="0"/>
        <w:ind w:left="448" w:right="2023" w:hanging="245"/>
        <w:jc w:val="left"/>
        <w:rPr>
          <w:rFonts w:ascii="Helvetica"/>
          <w:sz w:val="16"/>
        </w:rPr>
      </w:pPr>
      <w:r>
        <w:rPr>
          <w:rFonts w:ascii="Helvetica"/>
          <w:color w:val="231F20"/>
          <w:sz w:val="16"/>
        </w:rPr>
        <w:t>Used dialyzing solution</w:t>
      </w:r>
    </w:p>
    <w:p>
      <w:pPr>
        <w:spacing w:after="0" w:line="235" w:lineRule="auto"/>
        <w:jc w:val="left"/>
        <w:rPr>
          <w:rFonts w:ascii="Helvetica"/>
          <w:sz w:val="16"/>
        </w:rPr>
        <w:sectPr>
          <w:type w:val="continuous"/>
          <w:pgSz w:w="12240" w:h="15660"/>
          <w:pgMar w:top="0" w:bottom="760" w:left="0" w:right="0"/>
          <w:cols w:num="4" w:equalWidth="0">
            <w:col w:w="5581" w:space="40"/>
            <w:col w:w="2221" w:space="39"/>
            <w:col w:w="1032" w:space="40"/>
            <w:col w:w="3287"/>
          </w:cols>
        </w:sectPr>
      </w:pPr>
    </w:p>
    <w:p>
      <w:pPr>
        <w:spacing w:line="165" w:lineRule="exact" w:before="0"/>
        <w:ind w:left="1260" w:right="0" w:firstLine="0"/>
        <w:jc w:val="left"/>
        <w:rPr>
          <w:sz w:val="18"/>
        </w:rPr>
      </w:pPr>
      <w:r>
        <w:rPr/>
        <w:pict>
          <v:group style="position:absolute;margin-left:54pt;margin-top:54pt;width:234pt;height:679.35pt;mso-position-horizontal-relative:page;mso-position-vertical-relative:page;z-index:-272045056" coordorigin="1080,1080" coordsize="4680,13587">
            <v:shape style="position:absolute;left:1080;top:1080;width:4680;height:13587" coordorigin="1080,1080" coordsize="4680,13587" path="m5760,6259l1080,6259,1080,14667,5760,14667,5760,6259m5760,1080l1080,1080,1080,5959,5760,5959,5760,1080e" filled="true" fillcolor="#f0eef6" stroked="false">
              <v:path arrowok="t"/>
              <v:fill type="solid"/>
            </v:shape>
            <v:rect style="position:absolute;left:1080;top:5959;width:4680;height:300" filled="true" fillcolor="#f0eef6" stroked="false">
              <v:fill type="solid"/>
            </v:rect>
            <w10:wrap type="none"/>
          </v:group>
        </w:pict>
      </w:r>
      <w:r>
        <w:rPr>
          <w:color w:val="231F20"/>
          <w:sz w:val="18"/>
        </w:rPr>
        <w:t>States are currently receiving some form of ESRD</w:t>
      </w:r>
    </w:p>
    <w:p>
      <w:pPr>
        <w:spacing w:before="13"/>
        <w:ind w:left="1260" w:right="0" w:firstLine="0"/>
        <w:jc w:val="left"/>
        <w:rPr>
          <w:sz w:val="18"/>
        </w:rPr>
      </w:pPr>
      <w:r>
        <w:rPr>
          <w:color w:val="231F20"/>
          <w:w w:val="105"/>
          <w:sz w:val="18"/>
        </w:rPr>
        <w:t>therapy.</w:t>
      </w:r>
    </w:p>
    <w:p>
      <w:pPr>
        <w:spacing w:line="254" w:lineRule="auto" w:before="13"/>
        <w:ind w:left="1260" w:right="0" w:firstLine="239"/>
        <w:jc w:val="both"/>
        <w:rPr>
          <w:sz w:val="18"/>
        </w:rPr>
      </w:pPr>
      <w:r>
        <w:rPr/>
        <w:pict>
          <v:shape style="position:absolute;margin-left:306pt;margin-top:12.164145pt;width:234pt;height:292.3pt;mso-position-horizontal-relative:page;mso-position-vertical-relative:paragraph;z-index:253369344" type="#_x0000_t202" filled="true" fillcolor="#f0eef6" stroked="false">
            <v:textbox inset="0,0,0,0">
              <w:txbxContent>
                <w:p>
                  <w:pPr>
                    <w:spacing w:before="138"/>
                    <w:ind w:left="180" w:right="0" w:firstLine="0"/>
                    <w:jc w:val="both"/>
                    <w:rPr>
                      <w:rFonts w:ascii="Trebuchet MS"/>
                      <w:b/>
                      <w:sz w:val="18"/>
                    </w:rPr>
                  </w:pPr>
                  <w:r>
                    <w:rPr>
                      <w:rFonts w:ascii="Trebuchet MS"/>
                      <w:b/>
                      <w:color w:val="231F20"/>
                      <w:sz w:val="18"/>
                    </w:rPr>
                    <w:t>Basic Principles of Dialysis</w:t>
                  </w:r>
                </w:p>
                <w:p>
                  <w:pPr>
                    <w:spacing w:line="254" w:lineRule="auto" w:before="92"/>
                    <w:ind w:left="180" w:right="177" w:firstLine="0"/>
                    <w:jc w:val="both"/>
                    <w:rPr>
                      <w:sz w:val="18"/>
                    </w:rPr>
                  </w:pPr>
                  <w:r>
                    <w:rPr>
                      <w:color w:val="231F20"/>
                      <w:w w:val="105"/>
                      <w:sz w:val="18"/>
                    </w:rPr>
                    <w:t>The</w:t>
                  </w:r>
                  <w:r>
                    <w:rPr>
                      <w:color w:val="231F20"/>
                      <w:spacing w:val="-9"/>
                      <w:w w:val="105"/>
                      <w:sz w:val="18"/>
                    </w:rPr>
                    <w:t> </w:t>
                  </w:r>
                  <w:r>
                    <w:rPr>
                      <w:color w:val="231F20"/>
                      <w:w w:val="105"/>
                      <w:sz w:val="18"/>
                    </w:rPr>
                    <w:t>basic</w:t>
                  </w:r>
                  <w:r>
                    <w:rPr>
                      <w:color w:val="231F20"/>
                      <w:spacing w:val="-9"/>
                      <w:w w:val="105"/>
                      <w:sz w:val="18"/>
                    </w:rPr>
                    <w:t> </w:t>
                  </w:r>
                  <w:r>
                    <w:rPr>
                      <w:color w:val="231F20"/>
                      <w:w w:val="105"/>
                      <w:sz w:val="18"/>
                    </w:rPr>
                    <w:t>principle</w:t>
                  </w:r>
                  <w:r>
                    <w:rPr>
                      <w:color w:val="231F20"/>
                      <w:spacing w:val="-9"/>
                      <w:w w:val="105"/>
                      <w:sz w:val="18"/>
                    </w:rPr>
                    <w:t> </w:t>
                  </w:r>
                  <w:r>
                    <w:rPr>
                      <w:color w:val="231F20"/>
                      <w:w w:val="105"/>
                      <w:sz w:val="18"/>
                    </w:rPr>
                    <w:t>of</w:t>
                  </w:r>
                  <w:r>
                    <w:rPr>
                      <w:color w:val="231F20"/>
                      <w:spacing w:val="-9"/>
                      <w:w w:val="105"/>
                      <w:sz w:val="18"/>
                    </w:rPr>
                    <w:t> </w:t>
                  </w:r>
                  <w:r>
                    <w:rPr>
                      <w:color w:val="231F20"/>
                      <w:w w:val="105"/>
                      <w:sz w:val="18"/>
                    </w:rPr>
                    <w:t>the</w:t>
                  </w:r>
                  <w:r>
                    <w:rPr>
                      <w:color w:val="231F20"/>
                      <w:spacing w:val="-8"/>
                      <w:w w:val="105"/>
                      <w:sz w:val="18"/>
                    </w:rPr>
                    <w:t> </w:t>
                  </w:r>
                  <w:r>
                    <w:rPr>
                      <w:color w:val="231F20"/>
                      <w:w w:val="105"/>
                      <w:sz w:val="18"/>
                    </w:rPr>
                    <w:t>artificial</w:t>
                  </w:r>
                  <w:r>
                    <w:rPr>
                      <w:color w:val="231F20"/>
                      <w:spacing w:val="-9"/>
                      <w:w w:val="105"/>
                      <w:sz w:val="18"/>
                    </w:rPr>
                    <w:t> </w:t>
                  </w:r>
                  <w:r>
                    <w:rPr>
                      <w:color w:val="231F20"/>
                      <w:w w:val="105"/>
                      <w:sz w:val="18"/>
                    </w:rPr>
                    <w:t>kidney</w:t>
                  </w:r>
                  <w:r>
                    <w:rPr>
                      <w:color w:val="231F20"/>
                      <w:spacing w:val="-9"/>
                      <w:w w:val="105"/>
                      <w:sz w:val="18"/>
                    </w:rPr>
                    <w:t> </w:t>
                  </w:r>
                  <w:r>
                    <w:rPr>
                      <w:color w:val="231F20"/>
                      <w:w w:val="105"/>
                      <w:sz w:val="18"/>
                    </w:rPr>
                    <w:t>is</w:t>
                  </w:r>
                  <w:r>
                    <w:rPr>
                      <w:color w:val="231F20"/>
                      <w:spacing w:val="-9"/>
                      <w:w w:val="105"/>
                      <w:sz w:val="18"/>
                    </w:rPr>
                    <w:t> </w:t>
                  </w:r>
                  <w:r>
                    <w:rPr>
                      <w:color w:val="231F20"/>
                      <w:w w:val="105"/>
                      <w:sz w:val="18"/>
                    </w:rPr>
                    <w:t>to</w:t>
                  </w:r>
                  <w:r>
                    <w:rPr>
                      <w:color w:val="231F20"/>
                      <w:spacing w:val="-9"/>
                      <w:w w:val="105"/>
                      <w:sz w:val="18"/>
                    </w:rPr>
                    <w:t> </w:t>
                  </w:r>
                  <w:r>
                    <w:rPr>
                      <w:color w:val="231F20"/>
                      <w:w w:val="105"/>
                      <w:sz w:val="18"/>
                    </w:rPr>
                    <w:t>pass</w:t>
                  </w:r>
                  <w:r>
                    <w:rPr>
                      <w:color w:val="231F20"/>
                      <w:spacing w:val="-8"/>
                      <w:w w:val="105"/>
                      <w:sz w:val="18"/>
                    </w:rPr>
                    <w:t> </w:t>
                  </w:r>
                  <w:r>
                    <w:rPr>
                      <w:color w:val="231F20"/>
                      <w:w w:val="105"/>
                      <w:sz w:val="18"/>
                    </w:rPr>
                    <w:t>blood through minute blood channels bounded by a thin mem­ brane. On the other side of the membrane is a </w:t>
                  </w:r>
                  <w:r>
                    <w:rPr>
                      <w:i/>
                      <w:color w:val="231F20"/>
                      <w:spacing w:val="-3"/>
                      <w:w w:val="105"/>
                      <w:sz w:val="18"/>
                    </w:rPr>
                    <w:t>dialyzing </w:t>
                  </w:r>
                  <w:r>
                    <w:rPr>
                      <w:i/>
                      <w:color w:val="231F20"/>
                      <w:w w:val="105"/>
                      <w:sz w:val="18"/>
                    </w:rPr>
                    <w:t>fluid</w:t>
                  </w:r>
                  <w:r>
                    <w:rPr>
                      <w:i/>
                      <w:color w:val="231F20"/>
                      <w:spacing w:val="-10"/>
                      <w:w w:val="105"/>
                      <w:sz w:val="18"/>
                    </w:rPr>
                    <w:t> </w:t>
                  </w:r>
                  <w:r>
                    <w:rPr>
                      <w:color w:val="231F20"/>
                      <w:w w:val="105"/>
                      <w:sz w:val="18"/>
                    </w:rPr>
                    <w:t>into</w:t>
                  </w:r>
                  <w:r>
                    <w:rPr>
                      <w:color w:val="231F20"/>
                      <w:spacing w:val="-9"/>
                      <w:w w:val="105"/>
                      <w:sz w:val="18"/>
                    </w:rPr>
                    <w:t> </w:t>
                  </w:r>
                  <w:r>
                    <w:rPr>
                      <w:color w:val="231F20"/>
                      <w:w w:val="105"/>
                      <w:sz w:val="18"/>
                    </w:rPr>
                    <w:t>which</w:t>
                  </w:r>
                  <w:r>
                    <w:rPr>
                      <w:color w:val="231F20"/>
                      <w:spacing w:val="-9"/>
                      <w:w w:val="105"/>
                      <w:sz w:val="18"/>
                    </w:rPr>
                    <w:t> </w:t>
                  </w:r>
                  <w:r>
                    <w:rPr>
                      <w:color w:val="231F20"/>
                      <w:w w:val="105"/>
                      <w:sz w:val="18"/>
                    </w:rPr>
                    <w:t>unwanted</w:t>
                  </w:r>
                  <w:r>
                    <w:rPr>
                      <w:color w:val="231F20"/>
                      <w:spacing w:val="-9"/>
                      <w:w w:val="105"/>
                      <w:sz w:val="18"/>
                    </w:rPr>
                    <w:t> </w:t>
                  </w:r>
                  <w:r>
                    <w:rPr>
                      <w:color w:val="231F20"/>
                      <w:w w:val="105"/>
                      <w:sz w:val="18"/>
                    </w:rPr>
                    <w:t>substances</w:t>
                  </w:r>
                  <w:r>
                    <w:rPr>
                      <w:color w:val="231F20"/>
                      <w:spacing w:val="-9"/>
                      <w:w w:val="105"/>
                      <w:sz w:val="18"/>
                    </w:rPr>
                    <w:t> </w:t>
                  </w:r>
                  <w:r>
                    <w:rPr>
                      <w:color w:val="231F20"/>
                      <w:w w:val="105"/>
                      <w:sz w:val="18"/>
                    </w:rPr>
                    <w:t>in</w:t>
                  </w:r>
                  <w:r>
                    <w:rPr>
                      <w:color w:val="231F20"/>
                      <w:spacing w:val="-10"/>
                      <w:w w:val="105"/>
                      <w:sz w:val="18"/>
                    </w:rPr>
                    <w:t> </w:t>
                  </w:r>
                  <w:r>
                    <w:rPr>
                      <w:color w:val="231F20"/>
                      <w:w w:val="105"/>
                      <w:sz w:val="18"/>
                    </w:rPr>
                    <w:t>the</w:t>
                  </w:r>
                  <w:r>
                    <w:rPr>
                      <w:color w:val="231F20"/>
                      <w:spacing w:val="-9"/>
                      <w:w w:val="105"/>
                      <w:sz w:val="18"/>
                    </w:rPr>
                    <w:t> </w:t>
                  </w:r>
                  <w:r>
                    <w:rPr>
                      <w:color w:val="231F20"/>
                      <w:w w:val="105"/>
                      <w:sz w:val="18"/>
                    </w:rPr>
                    <w:t>blood</w:t>
                  </w:r>
                  <w:r>
                    <w:rPr>
                      <w:color w:val="231F20"/>
                      <w:spacing w:val="-9"/>
                      <w:w w:val="105"/>
                      <w:sz w:val="18"/>
                    </w:rPr>
                    <w:t> </w:t>
                  </w:r>
                  <w:r>
                    <w:rPr>
                      <w:color w:val="231F20"/>
                      <w:w w:val="105"/>
                      <w:sz w:val="18"/>
                    </w:rPr>
                    <w:t>pass</w:t>
                  </w:r>
                  <w:r>
                    <w:rPr>
                      <w:color w:val="231F20"/>
                      <w:spacing w:val="-9"/>
                      <w:w w:val="105"/>
                      <w:sz w:val="18"/>
                    </w:rPr>
                    <w:t> </w:t>
                  </w:r>
                  <w:r>
                    <w:rPr>
                      <w:color w:val="231F20"/>
                      <w:w w:val="105"/>
                      <w:sz w:val="18"/>
                    </w:rPr>
                    <w:t>by diffusion.</w:t>
                  </w:r>
                </w:p>
                <w:p>
                  <w:pPr>
                    <w:spacing w:line="254" w:lineRule="auto" w:before="2"/>
                    <w:ind w:left="180" w:right="177" w:firstLine="239"/>
                    <w:jc w:val="both"/>
                    <w:rPr>
                      <w:sz w:val="18"/>
                    </w:rPr>
                  </w:pPr>
                  <w:hyperlink w:history="true" w:anchor="_bookmark129">
                    <w:r>
                      <w:rPr>
                        <w:b/>
                        <w:color w:val="0080AC"/>
                        <w:w w:val="105"/>
                        <w:sz w:val="18"/>
                      </w:rPr>
                      <w:t>Figure 32-8</w:t>
                    </w:r>
                  </w:hyperlink>
                  <w:r>
                    <w:rPr>
                      <w:b/>
                      <w:color w:val="0080AC"/>
                      <w:w w:val="105"/>
                      <w:sz w:val="18"/>
                    </w:rPr>
                    <w:t> </w:t>
                  </w:r>
                  <w:r>
                    <w:rPr>
                      <w:color w:val="231F20"/>
                      <w:w w:val="105"/>
                      <w:sz w:val="18"/>
                    </w:rPr>
                    <w:t>shows the components of one type </w:t>
                  </w:r>
                  <w:r>
                    <w:rPr>
                      <w:color w:val="231F20"/>
                      <w:spacing w:val="-6"/>
                      <w:w w:val="105"/>
                      <w:sz w:val="18"/>
                    </w:rPr>
                    <w:t>of </w:t>
                  </w:r>
                  <w:r>
                    <w:rPr>
                      <w:color w:val="231F20"/>
                      <w:w w:val="105"/>
                      <w:sz w:val="18"/>
                    </w:rPr>
                    <w:t>artificial</w:t>
                  </w:r>
                  <w:r>
                    <w:rPr>
                      <w:color w:val="231F20"/>
                      <w:spacing w:val="-16"/>
                      <w:w w:val="105"/>
                      <w:sz w:val="18"/>
                    </w:rPr>
                    <w:t> </w:t>
                  </w:r>
                  <w:r>
                    <w:rPr>
                      <w:color w:val="231F20"/>
                      <w:w w:val="105"/>
                      <w:sz w:val="18"/>
                    </w:rPr>
                    <w:t>kidney</w:t>
                  </w:r>
                  <w:r>
                    <w:rPr>
                      <w:color w:val="231F20"/>
                      <w:spacing w:val="-16"/>
                      <w:w w:val="105"/>
                      <w:sz w:val="18"/>
                    </w:rPr>
                    <w:t> </w:t>
                  </w:r>
                  <w:r>
                    <w:rPr>
                      <w:color w:val="231F20"/>
                      <w:w w:val="105"/>
                      <w:sz w:val="18"/>
                    </w:rPr>
                    <w:t>in</w:t>
                  </w:r>
                  <w:r>
                    <w:rPr>
                      <w:color w:val="231F20"/>
                      <w:spacing w:val="-15"/>
                      <w:w w:val="105"/>
                      <w:sz w:val="18"/>
                    </w:rPr>
                    <w:t> </w:t>
                  </w:r>
                  <w:r>
                    <w:rPr>
                      <w:color w:val="231F20"/>
                      <w:w w:val="105"/>
                      <w:sz w:val="18"/>
                    </w:rPr>
                    <w:t>which</w:t>
                  </w:r>
                  <w:r>
                    <w:rPr>
                      <w:color w:val="231F20"/>
                      <w:spacing w:val="-16"/>
                      <w:w w:val="105"/>
                      <w:sz w:val="18"/>
                    </w:rPr>
                    <w:t> </w:t>
                  </w:r>
                  <w:r>
                    <w:rPr>
                      <w:color w:val="231F20"/>
                      <w:w w:val="105"/>
                      <w:sz w:val="18"/>
                    </w:rPr>
                    <w:t>blood</w:t>
                  </w:r>
                  <w:r>
                    <w:rPr>
                      <w:color w:val="231F20"/>
                      <w:spacing w:val="-15"/>
                      <w:w w:val="105"/>
                      <w:sz w:val="18"/>
                    </w:rPr>
                    <w:t> </w:t>
                  </w:r>
                  <w:r>
                    <w:rPr>
                      <w:color w:val="231F20"/>
                      <w:w w:val="105"/>
                      <w:sz w:val="18"/>
                    </w:rPr>
                    <w:t>flows</w:t>
                  </w:r>
                  <w:r>
                    <w:rPr>
                      <w:color w:val="231F20"/>
                      <w:spacing w:val="-16"/>
                      <w:w w:val="105"/>
                      <w:sz w:val="18"/>
                    </w:rPr>
                    <w:t> </w:t>
                  </w:r>
                  <w:r>
                    <w:rPr>
                      <w:color w:val="231F20"/>
                      <w:w w:val="105"/>
                      <w:sz w:val="18"/>
                    </w:rPr>
                    <w:t>continually</w:t>
                  </w:r>
                  <w:r>
                    <w:rPr>
                      <w:color w:val="231F20"/>
                      <w:spacing w:val="-15"/>
                      <w:w w:val="105"/>
                      <w:sz w:val="18"/>
                    </w:rPr>
                    <w:t> </w:t>
                  </w:r>
                  <w:r>
                    <w:rPr>
                      <w:color w:val="231F20"/>
                      <w:w w:val="105"/>
                      <w:sz w:val="18"/>
                    </w:rPr>
                    <w:t>between two</w:t>
                  </w:r>
                  <w:r>
                    <w:rPr>
                      <w:color w:val="231F20"/>
                      <w:spacing w:val="-11"/>
                      <w:w w:val="105"/>
                      <w:sz w:val="18"/>
                    </w:rPr>
                    <w:t> </w:t>
                  </w:r>
                  <w:r>
                    <w:rPr>
                      <w:color w:val="231F20"/>
                      <w:w w:val="105"/>
                      <w:sz w:val="18"/>
                    </w:rPr>
                    <w:t>thin</w:t>
                  </w:r>
                  <w:r>
                    <w:rPr>
                      <w:color w:val="231F20"/>
                      <w:spacing w:val="-11"/>
                      <w:w w:val="105"/>
                      <w:sz w:val="18"/>
                    </w:rPr>
                    <w:t> </w:t>
                  </w:r>
                  <w:r>
                    <w:rPr>
                      <w:color w:val="231F20"/>
                      <w:w w:val="105"/>
                      <w:sz w:val="18"/>
                    </w:rPr>
                    <w:t>membranes</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cellophane;</w:t>
                  </w:r>
                  <w:r>
                    <w:rPr>
                      <w:color w:val="231F20"/>
                      <w:spacing w:val="-11"/>
                      <w:w w:val="105"/>
                      <w:sz w:val="18"/>
                    </w:rPr>
                    <w:t> </w:t>
                  </w:r>
                  <w:r>
                    <w:rPr>
                      <w:color w:val="231F20"/>
                      <w:w w:val="105"/>
                      <w:sz w:val="18"/>
                    </w:rPr>
                    <w:t>outside</w:t>
                  </w:r>
                  <w:r>
                    <w:rPr>
                      <w:color w:val="231F20"/>
                      <w:spacing w:val="-10"/>
                      <w:w w:val="105"/>
                      <w:sz w:val="18"/>
                    </w:rPr>
                    <w:t> </w:t>
                  </w:r>
                  <w:r>
                    <w:rPr>
                      <w:color w:val="231F20"/>
                      <w:w w:val="105"/>
                      <w:sz w:val="18"/>
                    </w:rPr>
                    <w:t>the</w:t>
                  </w:r>
                  <w:r>
                    <w:rPr>
                      <w:color w:val="231F20"/>
                      <w:spacing w:val="-11"/>
                      <w:w w:val="105"/>
                      <w:sz w:val="18"/>
                    </w:rPr>
                    <w:t> </w:t>
                  </w:r>
                  <w:r>
                    <w:rPr>
                      <w:color w:val="231F20"/>
                      <w:w w:val="105"/>
                      <w:sz w:val="18"/>
                    </w:rPr>
                    <w:t>membrane is a dialyzing fluid. The cellophane is porous enough to allow the constituents of the plasma, except the plasma proteins, to diffuse in both directions—from plasma into the</w:t>
                  </w:r>
                  <w:r>
                    <w:rPr>
                      <w:color w:val="231F20"/>
                      <w:spacing w:val="-16"/>
                      <w:w w:val="105"/>
                      <w:sz w:val="18"/>
                    </w:rPr>
                    <w:t> </w:t>
                  </w:r>
                  <w:r>
                    <w:rPr>
                      <w:color w:val="231F20"/>
                      <w:w w:val="105"/>
                      <w:sz w:val="18"/>
                    </w:rPr>
                    <w:t>dialyzing</w:t>
                  </w:r>
                  <w:r>
                    <w:rPr>
                      <w:color w:val="231F20"/>
                      <w:spacing w:val="-15"/>
                      <w:w w:val="105"/>
                      <w:sz w:val="18"/>
                    </w:rPr>
                    <w:t> </w:t>
                  </w:r>
                  <w:r>
                    <w:rPr>
                      <w:color w:val="231F20"/>
                      <w:w w:val="105"/>
                      <w:sz w:val="18"/>
                    </w:rPr>
                    <w:t>fluid</w:t>
                  </w:r>
                  <w:r>
                    <w:rPr>
                      <w:color w:val="231F20"/>
                      <w:spacing w:val="-15"/>
                      <w:w w:val="105"/>
                      <w:sz w:val="18"/>
                    </w:rPr>
                    <w:t> </w:t>
                  </w:r>
                  <w:r>
                    <w:rPr>
                      <w:color w:val="231F20"/>
                      <w:w w:val="105"/>
                      <w:sz w:val="18"/>
                    </w:rPr>
                    <w:t>or</w:t>
                  </w:r>
                  <w:r>
                    <w:rPr>
                      <w:color w:val="231F20"/>
                      <w:spacing w:val="-15"/>
                      <w:w w:val="105"/>
                      <w:sz w:val="18"/>
                    </w:rPr>
                    <w:t> </w:t>
                  </w:r>
                  <w:r>
                    <w:rPr>
                      <w:color w:val="231F20"/>
                      <w:w w:val="105"/>
                      <w:sz w:val="18"/>
                    </w:rPr>
                    <w:t>from</w:t>
                  </w:r>
                  <w:r>
                    <w:rPr>
                      <w:color w:val="231F20"/>
                      <w:spacing w:val="-15"/>
                      <w:w w:val="105"/>
                      <w:sz w:val="18"/>
                    </w:rPr>
                    <w:t> </w:t>
                  </w:r>
                  <w:r>
                    <w:rPr>
                      <w:color w:val="231F20"/>
                      <w:w w:val="105"/>
                      <w:sz w:val="18"/>
                    </w:rPr>
                    <w:t>the</w:t>
                  </w:r>
                  <w:r>
                    <w:rPr>
                      <w:color w:val="231F20"/>
                      <w:spacing w:val="-16"/>
                      <w:w w:val="105"/>
                      <w:sz w:val="18"/>
                    </w:rPr>
                    <w:t> </w:t>
                  </w:r>
                  <w:r>
                    <w:rPr>
                      <w:color w:val="231F20"/>
                      <w:w w:val="105"/>
                      <w:sz w:val="18"/>
                    </w:rPr>
                    <w:t>dialyzing</w:t>
                  </w:r>
                  <w:r>
                    <w:rPr>
                      <w:color w:val="231F20"/>
                      <w:spacing w:val="-15"/>
                      <w:w w:val="105"/>
                      <w:sz w:val="18"/>
                    </w:rPr>
                    <w:t> </w:t>
                  </w:r>
                  <w:r>
                    <w:rPr>
                      <w:color w:val="231F20"/>
                      <w:w w:val="105"/>
                      <w:sz w:val="18"/>
                    </w:rPr>
                    <w:t>fluid</w:t>
                  </w:r>
                  <w:r>
                    <w:rPr>
                      <w:color w:val="231F20"/>
                      <w:spacing w:val="-15"/>
                      <w:w w:val="105"/>
                      <w:sz w:val="18"/>
                    </w:rPr>
                    <w:t> </w:t>
                  </w:r>
                  <w:r>
                    <w:rPr>
                      <w:color w:val="231F20"/>
                      <w:w w:val="105"/>
                      <w:sz w:val="18"/>
                    </w:rPr>
                    <w:t>back</w:t>
                  </w:r>
                  <w:r>
                    <w:rPr>
                      <w:color w:val="231F20"/>
                      <w:spacing w:val="-15"/>
                      <w:w w:val="105"/>
                      <w:sz w:val="18"/>
                    </w:rPr>
                    <w:t> </w:t>
                  </w:r>
                  <w:r>
                    <w:rPr>
                      <w:color w:val="231F20"/>
                      <w:w w:val="105"/>
                      <w:sz w:val="18"/>
                    </w:rPr>
                    <w:t>into</w:t>
                  </w:r>
                  <w:r>
                    <w:rPr>
                      <w:color w:val="231F20"/>
                      <w:spacing w:val="-15"/>
                      <w:w w:val="105"/>
                      <w:sz w:val="18"/>
                    </w:rPr>
                    <w:t> </w:t>
                  </w:r>
                  <w:r>
                    <w:rPr>
                      <w:color w:val="231F20"/>
                      <w:w w:val="105"/>
                      <w:sz w:val="18"/>
                    </w:rPr>
                    <w:t>the plasma.</w:t>
                  </w:r>
                  <w:r>
                    <w:rPr>
                      <w:color w:val="231F20"/>
                      <w:spacing w:val="-14"/>
                      <w:w w:val="105"/>
                      <w:sz w:val="18"/>
                    </w:rPr>
                    <w:t> </w:t>
                  </w:r>
                  <w:r>
                    <w:rPr>
                      <w:color w:val="231F20"/>
                      <w:w w:val="105"/>
                      <w:sz w:val="18"/>
                    </w:rPr>
                    <w:t>If</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concentration</w:t>
                  </w:r>
                  <w:r>
                    <w:rPr>
                      <w:color w:val="231F20"/>
                      <w:spacing w:val="-13"/>
                      <w:w w:val="105"/>
                      <w:sz w:val="18"/>
                    </w:rPr>
                    <w:t> </w:t>
                  </w:r>
                  <w:r>
                    <w:rPr>
                      <w:color w:val="231F20"/>
                      <w:w w:val="105"/>
                      <w:sz w:val="18"/>
                    </w:rPr>
                    <w:t>of</w:t>
                  </w:r>
                  <w:r>
                    <w:rPr>
                      <w:color w:val="231F20"/>
                      <w:spacing w:val="-14"/>
                      <w:w w:val="105"/>
                      <w:sz w:val="18"/>
                    </w:rPr>
                    <w:t> </w:t>
                  </w:r>
                  <w:r>
                    <w:rPr>
                      <w:color w:val="231F20"/>
                      <w:w w:val="105"/>
                      <w:sz w:val="18"/>
                    </w:rPr>
                    <w:t>a</w:t>
                  </w:r>
                  <w:r>
                    <w:rPr>
                      <w:color w:val="231F20"/>
                      <w:spacing w:val="-14"/>
                      <w:w w:val="105"/>
                      <w:sz w:val="18"/>
                    </w:rPr>
                    <w:t> </w:t>
                  </w:r>
                  <w:r>
                    <w:rPr>
                      <w:color w:val="231F20"/>
                      <w:w w:val="105"/>
                      <w:sz w:val="18"/>
                    </w:rPr>
                    <w:t>substance</w:t>
                  </w:r>
                  <w:r>
                    <w:rPr>
                      <w:color w:val="231F20"/>
                      <w:spacing w:val="-14"/>
                      <w:w w:val="105"/>
                      <w:sz w:val="18"/>
                    </w:rPr>
                    <w:t> </w:t>
                  </w:r>
                  <w:r>
                    <w:rPr>
                      <w:color w:val="231F20"/>
                      <w:w w:val="105"/>
                      <w:sz w:val="18"/>
                    </w:rPr>
                    <w:t>is</w:t>
                  </w:r>
                  <w:r>
                    <w:rPr>
                      <w:color w:val="231F20"/>
                      <w:spacing w:val="-13"/>
                      <w:w w:val="105"/>
                      <w:sz w:val="18"/>
                    </w:rPr>
                    <w:t> </w:t>
                  </w:r>
                  <w:r>
                    <w:rPr>
                      <w:color w:val="231F20"/>
                      <w:w w:val="105"/>
                      <w:sz w:val="18"/>
                    </w:rPr>
                    <w:t>greater</w:t>
                  </w:r>
                  <w:r>
                    <w:rPr>
                      <w:color w:val="231F20"/>
                      <w:spacing w:val="-14"/>
                      <w:w w:val="105"/>
                      <w:sz w:val="18"/>
                    </w:rPr>
                    <w:t> </w:t>
                  </w:r>
                  <w:r>
                    <w:rPr>
                      <w:color w:val="231F20"/>
                      <w:w w:val="105"/>
                      <w:sz w:val="18"/>
                    </w:rPr>
                    <w:t>in</w:t>
                  </w:r>
                  <w:r>
                    <w:rPr>
                      <w:color w:val="231F20"/>
                      <w:spacing w:val="-14"/>
                      <w:w w:val="105"/>
                      <w:sz w:val="18"/>
                    </w:rPr>
                    <w:t> </w:t>
                  </w:r>
                  <w:r>
                    <w:rPr>
                      <w:color w:val="231F20"/>
                      <w:w w:val="105"/>
                      <w:sz w:val="18"/>
                    </w:rPr>
                    <w:t>the plasma</w:t>
                  </w:r>
                  <w:r>
                    <w:rPr>
                      <w:color w:val="231F20"/>
                      <w:spacing w:val="-14"/>
                      <w:w w:val="105"/>
                      <w:sz w:val="18"/>
                    </w:rPr>
                    <w:t> </w:t>
                  </w:r>
                  <w:r>
                    <w:rPr>
                      <w:color w:val="231F20"/>
                      <w:w w:val="105"/>
                      <w:sz w:val="18"/>
                    </w:rPr>
                    <w:t>than</w:t>
                  </w:r>
                  <w:r>
                    <w:rPr>
                      <w:color w:val="231F20"/>
                      <w:spacing w:val="-13"/>
                      <w:w w:val="105"/>
                      <w:sz w:val="18"/>
                    </w:rPr>
                    <w:t> </w:t>
                  </w:r>
                  <w:r>
                    <w:rPr>
                      <w:color w:val="231F20"/>
                      <w:w w:val="105"/>
                      <w:sz w:val="18"/>
                    </w:rPr>
                    <w:t>in</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dialyzing</w:t>
                  </w:r>
                  <w:r>
                    <w:rPr>
                      <w:color w:val="231F20"/>
                      <w:spacing w:val="-13"/>
                      <w:w w:val="105"/>
                      <w:sz w:val="18"/>
                    </w:rPr>
                    <w:t> </w:t>
                  </w:r>
                  <w:r>
                    <w:rPr>
                      <w:color w:val="231F20"/>
                      <w:w w:val="105"/>
                      <w:sz w:val="18"/>
                    </w:rPr>
                    <w:t>fluid,</w:t>
                  </w:r>
                  <w:r>
                    <w:rPr>
                      <w:color w:val="231F20"/>
                      <w:spacing w:val="-13"/>
                      <w:w w:val="105"/>
                      <w:sz w:val="18"/>
                    </w:rPr>
                    <w:t> </w:t>
                  </w:r>
                  <w:r>
                    <w:rPr>
                      <w:color w:val="231F20"/>
                      <w:w w:val="105"/>
                      <w:sz w:val="18"/>
                    </w:rPr>
                    <w:t>there</w:t>
                  </w:r>
                  <w:r>
                    <w:rPr>
                      <w:color w:val="231F20"/>
                      <w:spacing w:val="-14"/>
                      <w:w w:val="105"/>
                      <w:sz w:val="18"/>
                    </w:rPr>
                    <w:t> </w:t>
                  </w:r>
                  <w:r>
                    <w:rPr>
                      <w:color w:val="231F20"/>
                      <w:w w:val="105"/>
                      <w:sz w:val="18"/>
                    </w:rPr>
                    <w:t>will</w:t>
                  </w:r>
                  <w:r>
                    <w:rPr>
                      <w:color w:val="231F20"/>
                      <w:spacing w:val="-13"/>
                      <w:w w:val="105"/>
                      <w:sz w:val="18"/>
                    </w:rPr>
                    <w:t> </w:t>
                  </w:r>
                  <w:r>
                    <w:rPr>
                      <w:color w:val="231F20"/>
                      <w:w w:val="105"/>
                      <w:sz w:val="18"/>
                    </w:rPr>
                    <w:t>be</w:t>
                  </w:r>
                  <w:r>
                    <w:rPr>
                      <w:color w:val="231F20"/>
                      <w:spacing w:val="-13"/>
                      <w:w w:val="105"/>
                      <w:sz w:val="18"/>
                    </w:rPr>
                    <w:t> </w:t>
                  </w:r>
                  <w:r>
                    <w:rPr>
                      <w:color w:val="231F20"/>
                      <w:w w:val="105"/>
                      <w:sz w:val="18"/>
                    </w:rPr>
                    <w:t>a</w:t>
                  </w:r>
                  <w:r>
                    <w:rPr>
                      <w:color w:val="231F20"/>
                      <w:spacing w:val="-13"/>
                      <w:w w:val="105"/>
                      <w:sz w:val="18"/>
                    </w:rPr>
                    <w:t> </w:t>
                  </w:r>
                  <w:r>
                    <w:rPr>
                      <w:i/>
                      <w:color w:val="231F20"/>
                      <w:w w:val="105"/>
                      <w:sz w:val="18"/>
                    </w:rPr>
                    <w:t>net</w:t>
                  </w:r>
                  <w:r>
                    <w:rPr>
                      <w:i/>
                      <w:color w:val="231F20"/>
                      <w:spacing w:val="-14"/>
                      <w:w w:val="105"/>
                      <w:sz w:val="18"/>
                    </w:rPr>
                    <w:t> </w:t>
                  </w:r>
                  <w:r>
                    <w:rPr>
                      <w:color w:val="231F20"/>
                      <w:w w:val="105"/>
                      <w:sz w:val="18"/>
                    </w:rPr>
                    <w:t>trans­ fer of the substance from the plasma into the dialyzing fluid.</w:t>
                  </w:r>
                </w:p>
                <w:p>
                  <w:pPr>
                    <w:spacing w:line="254" w:lineRule="auto" w:before="7"/>
                    <w:ind w:left="180" w:right="177" w:firstLine="239"/>
                    <w:jc w:val="both"/>
                    <w:rPr>
                      <w:sz w:val="18"/>
                    </w:rPr>
                  </w:pPr>
                  <w:r>
                    <w:rPr>
                      <w:color w:val="231F20"/>
                      <w:w w:val="105"/>
                      <w:sz w:val="18"/>
                    </w:rPr>
                    <w:t>The rate of movement of solute across the dialyzing membrane depends on (1) the concentration gradient </w:t>
                  </w:r>
                  <w:r>
                    <w:rPr>
                      <w:color w:val="231F20"/>
                      <w:spacing w:val="-6"/>
                      <w:w w:val="105"/>
                      <w:sz w:val="18"/>
                    </w:rPr>
                    <w:t>of </w:t>
                  </w:r>
                  <w:r>
                    <w:rPr>
                      <w:color w:val="231F20"/>
                      <w:w w:val="105"/>
                      <w:sz w:val="18"/>
                    </w:rPr>
                    <w:t>the solute between the two solutions, (2) the</w:t>
                  </w:r>
                  <w:r>
                    <w:rPr>
                      <w:color w:val="231F20"/>
                      <w:spacing w:val="-31"/>
                      <w:w w:val="105"/>
                      <w:sz w:val="18"/>
                    </w:rPr>
                    <w:t> </w:t>
                  </w:r>
                  <w:r>
                    <w:rPr>
                      <w:color w:val="231F20"/>
                      <w:w w:val="105"/>
                      <w:sz w:val="18"/>
                    </w:rPr>
                    <w:t>permeability of the membrane to the solute, (3) the surface area of the membrane, and (4) the length of time that the blood and fluid remain in contact with the</w:t>
                  </w:r>
                  <w:r>
                    <w:rPr>
                      <w:color w:val="231F20"/>
                      <w:spacing w:val="14"/>
                      <w:w w:val="105"/>
                      <w:sz w:val="18"/>
                    </w:rPr>
                    <w:t> </w:t>
                  </w:r>
                  <w:r>
                    <w:rPr>
                      <w:color w:val="231F20"/>
                      <w:w w:val="105"/>
                      <w:sz w:val="18"/>
                    </w:rPr>
                    <w:t>membrane.</w:t>
                  </w:r>
                </w:p>
                <w:p>
                  <w:pPr>
                    <w:spacing w:line="254" w:lineRule="auto" w:before="3"/>
                    <w:ind w:left="180" w:right="179" w:firstLine="239"/>
                    <w:jc w:val="both"/>
                    <w:rPr>
                      <w:sz w:val="18"/>
                    </w:rPr>
                  </w:pPr>
                  <w:r>
                    <w:rPr>
                      <w:color w:val="231F20"/>
                      <w:w w:val="105"/>
                      <w:sz w:val="18"/>
                    </w:rPr>
                    <w:t>Thus, the maximum rate of solute transfer occurs ini­ tially when the concentration gradient is greatest (when</w:t>
                  </w:r>
                </w:p>
              </w:txbxContent>
            </v:textbox>
            <v:fill type="solid"/>
            <w10:wrap type="none"/>
          </v:shape>
        </w:pict>
      </w:r>
      <w:r>
        <w:rPr>
          <w:color w:val="231F20"/>
          <w:w w:val="105"/>
          <w:sz w:val="18"/>
        </w:rPr>
        <w:t>Successful</w:t>
      </w:r>
      <w:r>
        <w:rPr>
          <w:color w:val="231F20"/>
          <w:spacing w:val="-15"/>
          <w:w w:val="105"/>
          <w:sz w:val="18"/>
        </w:rPr>
        <w:t> </w:t>
      </w:r>
      <w:r>
        <w:rPr>
          <w:color w:val="231F20"/>
          <w:w w:val="105"/>
          <w:sz w:val="18"/>
        </w:rPr>
        <w:t>transplantation</w:t>
      </w:r>
      <w:r>
        <w:rPr>
          <w:color w:val="231F20"/>
          <w:spacing w:val="-14"/>
          <w:w w:val="105"/>
          <w:sz w:val="18"/>
        </w:rPr>
        <w:t> </w:t>
      </w:r>
      <w:r>
        <w:rPr>
          <w:color w:val="231F20"/>
          <w:w w:val="105"/>
          <w:sz w:val="18"/>
        </w:rPr>
        <w:t>of</w:t>
      </w:r>
      <w:r>
        <w:rPr>
          <w:color w:val="231F20"/>
          <w:spacing w:val="-15"/>
          <w:w w:val="105"/>
          <w:sz w:val="18"/>
        </w:rPr>
        <w:t> </w:t>
      </w:r>
      <w:r>
        <w:rPr>
          <w:color w:val="231F20"/>
          <w:w w:val="105"/>
          <w:sz w:val="18"/>
        </w:rPr>
        <w:t>a</w:t>
      </w:r>
      <w:r>
        <w:rPr>
          <w:color w:val="231F20"/>
          <w:spacing w:val="-14"/>
          <w:w w:val="105"/>
          <w:sz w:val="18"/>
        </w:rPr>
        <w:t> </w:t>
      </w:r>
      <w:r>
        <w:rPr>
          <w:color w:val="231F20"/>
          <w:w w:val="105"/>
          <w:sz w:val="18"/>
        </w:rPr>
        <w:t>single</w:t>
      </w:r>
      <w:r>
        <w:rPr>
          <w:color w:val="231F20"/>
          <w:spacing w:val="-14"/>
          <w:w w:val="105"/>
          <w:sz w:val="18"/>
        </w:rPr>
        <w:t> </w:t>
      </w:r>
      <w:r>
        <w:rPr>
          <w:color w:val="231F20"/>
          <w:w w:val="105"/>
          <w:sz w:val="18"/>
        </w:rPr>
        <w:t>donor</w:t>
      </w:r>
      <w:r>
        <w:rPr>
          <w:color w:val="231F20"/>
          <w:spacing w:val="-15"/>
          <w:w w:val="105"/>
          <w:sz w:val="18"/>
        </w:rPr>
        <w:t> </w:t>
      </w:r>
      <w:r>
        <w:rPr>
          <w:color w:val="231F20"/>
          <w:w w:val="105"/>
          <w:sz w:val="18"/>
        </w:rPr>
        <w:t>kidney</w:t>
      </w:r>
      <w:r>
        <w:rPr>
          <w:color w:val="231F20"/>
          <w:spacing w:val="-14"/>
          <w:w w:val="105"/>
          <w:sz w:val="18"/>
        </w:rPr>
        <w:t> </w:t>
      </w:r>
      <w:r>
        <w:rPr>
          <w:color w:val="231F20"/>
          <w:w w:val="105"/>
          <w:sz w:val="18"/>
        </w:rPr>
        <w:t>to</w:t>
      </w:r>
      <w:r>
        <w:rPr>
          <w:color w:val="231F20"/>
          <w:spacing w:val="-15"/>
          <w:w w:val="105"/>
          <w:sz w:val="18"/>
        </w:rPr>
        <w:t> </w:t>
      </w:r>
      <w:r>
        <w:rPr>
          <w:color w:val="231F20"/>
          <w:w w:val="105"/>
          <w:sz w:val="18"/>
        </w:rPr>
        <w:t>a patient with ESRD can restore kidney function to a level that</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sufficient</w:t>
      </w:r>
      <w:r>
        <w:rPr>
          <w:color w:val="231F20"/>
          <w:spacing w:val="-11"/>
          <w:w w:val="105"/>
          <w:sz w:val="18"/>
        </w:rPr>
        <w:t> </w:t>
      </w:r>
      <w:r>
        <w:rPr>
          <w:color w:val="231F20"/>
          <w:w w:val="105"/>
          <w:sz w:val="18"/>
        </w:rPr>
        <w:t>to</w:t>
      </w:r>
      <w:r>
        <w:rPr>
          <w:color w:val="231F20"/>
          <w:spacing w:val="-11"/>
          <w:w w:val="105"/>
          <w:sz w:val="18"/>
        </w:rPr>
        <w:t> </w:t>
      </w:r>
      <w:r>
        <w:rPr>
          <w:color w:val="231F20"/>
          <w:w w:val="105"/>
          <w:sz w:val="18"/>
        </w:rPr>
        <w:t>maintain</w:t>
      </w:r>
      <w:r>
        <w:rPr>
          <w:color w:val="231F20"/>
          <w:spacing w:val="-11"/>
          <w:w w:val="105"/>
          <w:sz w:val="18"/>
        </w:rPr>
        <w:t> </w:t>
      </w:r>
      <w:r>
        <w:rPr>
          <w:color w:val="231F20"/>
          <w:w w:val="105"/>
          <w:sz w:val="18"/>
        </w:rPr>
        <w:t>essentially</w:t>
      </w:r>
      <w:r>
        <w:rPr>
          <w:color w:val="231F20"/>
          <w:spacing w:val="-11"/>
          <w:w w:val="105"/>
          <w:sz w:val="18"/>
        </w:rPr>
        <w:t> </w:t>
      </w:r>
      <w:r>
        <w:rPr>
          <w:color w:val="231F20"/>
          <w:w w:val="105"/>
          <w:sz w:val="18"/>
        </w:rPr>
        <w:t>normal</w:t>
      </w:r>
      <w:r>
        <w:rPr>
          <w:color w:val="231F20"/>
          <w:spacing w:val="-11"/>
          <w:w w:val="105"/>
          <w:sz w:val="18"/>
        </w:rPr>
        <w:t> </w:t>
      </w:r>
      <w:r>
        <w:rPr>
          <w:color w:val="231F20"/>
          <w:w w:val="105"/>
          <w:sz w:val="18"/>
        </w:rPr>
        <w:t>homeosta­ sis</w:t>
      </w:r>
      <w:r>
        <w:rPr>
          <w:color w:val="231F20"/>
          <w:spacing w:val="-7"/>
          <w:w w:val="105"/>
          <w:sz w:val="18"/>
        </w:rPr>
        <w:t> </w:t>
      </w:r>
      <w:r>
        <w:rPr>
          <w:color w:val="231F20"/>
          <w:w w:val="105"/>
          <w:sz w:val="18"/>
        </w:rPr>
        <w:t>of</w:t>
      </w:r>
      <w:r>
        <w:rPr>
          <w:color w:val="231F20"/>
          <w:spacing w:val="-6"/>
          <w:w w:val="105"/>
          <w:sz w:val="18"/>
        </w:rPr>
        <w:t> </w:t>
      </w:r>
      <w:r>
        <w:rPr>
          <w:color w:val="231F20"/>
          <w:w w:val="105"/>
          <w:sz w:val="18"/>
        </w:rPr>
        <w:t>body</w:t>
      </w:r>
      <w:r>
        <w:rPr>
          <w:color w:val="231F20"/>
          <w:spacing w:val="-6"/>
          <w:w w:val="105"/>
          <w:sz w:val="18"/>
        </w:rPr>
        <w:t> </w:t>
      </w:r>
      <w:r>
        <w:rPr>
          <w:color w:val="231F20"/>
          <w:w w:val="105"/>
          <w:sz w:val="18"/>
        </w:rPr>
        <w:t>fluids</w:t>
      </w:r>
      <w:r>
        <w:rPr>
          <w:color w:val="231F20"/>
          <w:spacing w:val="-6"/>
          <w:w w:val="105"/>
          <w:sz w:val="18"/>
        </w:rPr>
        <w:t> </w:t>
      </w:r>
      <w:r>
        <w:rPr>
          <w:color w:val="231F20"/>
          <w:w w:val="105"/>
          <w:sz w:val="18"/>
        </w:rPr>
        <w:t>and</w:t>
      </w:r>
      <w:r>
        <w:rPr>
          <w:color w:val="231F20"/>
          <w:spacing w:val="-6"/>
          <w:w w:val="105"/>
          <w:sz w:val="18"/>
        </w:rPr>
        <w:t> </w:t>
      </w:r>
      <w:r>
        <w:rPr>
          <w:color w:val="231F20"/>
          <w:w w:val="105"/>
          <w:sz w:val="18"/>
        </w:rPr>
        <w:t>electrolytes.</w:t>
      </w:r>
      <w:r>
        <w:rPr>
          <w:color w:val="231F20"/>
          <w:spacing w:val="-6"/>
          <w:w w:val="105"/>
          <w:sz w:val="18"/>
        </w:rPr>
        <w:t> </w:t>
      </w:r>
      <w:r>
        <w:rPr>
          <w:color w:val="231F20"/>
          <w:w w:val="105"/>
          <w:sz w:val="18"/>
        </w:rPr>
        <w:t>Approximately</w:t>
      </w:r>
      <w:r>
        <w:rPr>
          <w:color w:val="231F20"/>
          <w:spacing w:val="-6"/>
          <w:w w:val="105"/>
          <w:sz w:val="18"/>
        </w:rPr>
        <w:t> </w:t>
      </w:r>
      <w:r>
        <w:rPr>
          <w:color w:val="231F20"/>
          <w:w w:val="105"/>
          <w:sz w:val="18"/>
        </w:rPr>
        <w:t>18,000 kidney transplants are performed each year in the United States. Patients who receive kidney transplants typically live longer and have fewer health problems than do</w:t>
      </w:r>
      <w:r>
        <w:rPr>
          <w:color w:val="231F20"/>
          <w:spacing w:val="-20"/>
          <w:w w:val="105"/>
          <w:sz w:val="18"/>
        </w:rPr>
        <w:t> </w:t>
      </w:r>
      <w:r>
        <w:rPr>
          <w:color w:val="231F20"/>
          <w:w w:val="105"/>
          <w:sz w:val="18"/>
        </w:rPr>
        <w:t>those who are maintained with dialysis. Maintenance of </w:t>
      </w:r>
      <w:r>
        <w:rPr>
          <w:color w:val="231F20"/>
          <w:spacing w:val="-4"/>
          <w:w w:val="105"/>
          <w:sz w:val="18"/>
        </w:rPr>
        <w:t>immu­ </w:t>
      </w:r>
      <w:r>
        <w:rPr>
          <w:color w:val="231F20"/>
          <w:w w:val="105"/>
          <w:sz w:val="18"/>
        </w:rPr>
        <w:t>nosuppressive</w:t>
      </w:r>
      <w:r>
        <w:rPr>
          <w:color w:val="231F20"/>
          <w:spacing w:val="-13"/>
          <w:w w:val="105"/>
          <w:sz w:val="18"/>
        </w:rPr>
        <w:t> </w:t>
      </w:r>
      <w:r>
        <w:rPr>
          <w:color w:val="231F20"/>
          <w:w w:val="105"/>
          <w:sz w:val="18"/>
        </w:rPr>
        <w:t>therapy</w:t>
      </w:r>
      <w:r>
        <w:rPr>
          <w:color w:val="231F20"/>
          <w:spacing w:val="-13"/>
          <w:w w:val="105"/>
          <w:sz w:val="18"/>
        </w:rPr>
        <w:t> </w:t>
      </w:r>
      <w:r>
        <w:rPr>
          <w:color w:val="231F20"/>
          <w:w w:val="105"/>
          <w:sz w:val="18"/>
        </w:rPr>
        <w:t>is</w:t>
      </w:r>
      <w:r>
        <w:rPr>
          <w:color w:val="231F20"/>
          <w:spacing w:val="-12"/>
          <w:w w:val="105"/>
          <w:sz w:val="18"/>
        </w:rPr>
        <w:t> </w:t>
      </w:r>
      <w:r>
        <w:rPr>
          <w:color w:val="231F20"/>
          <w:w w:val="105"/>
          <w:sz w:val="18"/>
        </w:rPr>
        <w:t>required</w:t>
      </w:r>
      <w:r>
        <w:rPr>
          <w:color w:val="231F20"/>
          <w:spacing w:val="-13"/>
          <w:w w:val="105"/>
          <w:sz w:val="18"/>
        </w:rPr>
        <w:t> </w:t>
      </w:r>
      <w:r>
        <w:rPr>
          <w:color w:val="231F20"/>
          <w:w w:val="105"/>
          <w:sz w:val="18"/>
        </w:rPr>
        <w:t>for</w:t>
      </w:r>
      <w:r>
        <w:rPr>
          <w:color w:val="231F20"/>
          <w:spacing w:val="-12"/>
          <w:w w:val="105"/>
          <w:sz w:val="18"/>
        </w:rPr>
        <w:t> </w:t>
      </w:r>
      <w:r>
        <w:rPr>
          <w:color w:val="231F20"/>
          <w:w w:val="105"/>
          <w:sz w:val="18"/>
        </w:rPr>
        <w:t>almost</w:t>
      </w:r>
      <w:r>
        <w:rPr>
          <w:color w:val="231F20"/>
          <w:spacing w:val="-13"/>
          <w:w w:val="105"/>
          <w:sz w:val="18"/>
        </w:rPr>
        <w:t> </w:t>
      </w:r>
      <w:r>
        <w:rPr>
          <w:color w:val="231F20"/>
          <w:w w:val="105"/>
          <w:sz w:val="18"/>
        </w:rPr>
        <w:t>all</w:t>
      </w:r>
      <w:r>
        <w:rPr>
          <w:color w:val="231F20"/>
          <w:spacing w:val="-12"/>
          <w:w w:val="105"/>
          <w:sz w:val="18"/>
        </w:rPr>
        <w:t> </w:t>
      </w:r>
      <w:r>
        <w:rPr>
          <w:color w:val="231F20"/>
          <w:w w:val="105"/>
          <w:sz w:val="18"/>
        </w:rPr>
        <w:t>patients</w:t>
      </w:r>
      <w:r>
        <w:rPr>
          <w:color w:val="231F20"/>
          <w:spacing w:val="-13"/>
          <w:w w:val="105"/>
          <w:sz w:val="18"/>
        </w:rPr>
        <w:t> </w:t>
      </w:r>
      <w:r>
        <w:rPr>
          <w:color w:val="231F20"/>
          <w:spacing w:val="-7"/>
          <w:w w:val="105"/>
          <w:sz w:val="18"/>
        </w:rPr>
        <w:t>to </w:t>
      </w:r>
      <w:r>
        <w:rPr>
          <w:color w:val="231F20"/>
          <w:w w:val="105"/>
          <w:sz w:val="18"/>
        </w:rPr>
        <w:t>help prevent acute rejection and loss of the transplanted kidney.</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side</w:t>
      </w:r>
      <w:r>
        <w:rPr>
          <w:color w:val="231F20"/>
          <w:spacing w:val="-15"/>
          <w:w w:val="105"/>
          <w:sz w:val="18"/>
        </w:rPr>
        <w:t> </w:t>
      </w:r>
      <w:r>
        <w:rPr>
          <w:color w:val="231F20"/>
          <w:w w:val="105"/>
          <w:sz w:val="18"/>
        </w:rPr>
        <w:t>effects</w:t>
      </w:r>
      <w:r>
        <w:rPr>
          <w:color w:val="231F20"/>
          <w:spacing w:val="-16"/>
          <w:w w:val="105"/>
          <w:sz w:val="18"/>
        </w:rPr>
        <w:t> </w:t>
      </w:r>
      <w:r>
        <w:rPr>
          <w:color w:val="231F20"/>
          <w:w w:val="105"/>
          <w:sz w:val="18"/>
        </w:rPr>
        <w:t>of</w:t>
      </w:r>
      <w:r>
        <w:rPr>
          <w:color w:val="231F20"/>
          <w:spacing w:val="-16"/>
          <w:w w:val="105"/>
          <w:sz w:val="18"/>
        </w:rPr>
        <w:t> </w:t>
      </w:r>
      <w:r>
        <w:rPr>
          <w:color w:val="231F20"/>
          <w:w w:val="105"/>
          <w:sz w:val="18"/>
        </w:rPr>
        <w:t>drugs</w:t>
      </w:r>
      <w:r>
        <w:rPr>
          <w:color w:val="231F20"/>
          <w:spacing w:val="-15"/>
          <w:w w:val="105"/>
          <w:sz w:val="18"/>
        </w:rPr>
        <w:t> </w:t>
      </w:r>
      <w:r>
        <w:rPr>
          <w:color w:val="231F20"/>
          <w:w w:val="105"/>
          <w:sz w:val="18"/>
        </w:rPr>
        <w:t>that</w:t>
      </w:r>
      <w:r>
        <w:rPr>
          <w:color w:val="231F20"/>
          <w:spacing w:val="-16"/>
          <w:w w:val="105"/>
          <w:sz w:val="18"/>
        </w:rPr>
        <w:t> </w:t>
      </w:r>
      <w:r>
        <w:rPr>
          <w:color w:val="231F20"/>
          <w:w w:val="105"/>
          <w:sz w:val="18"/>
        </w:rPr>
        <w:t>suppress</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immune system include increased risk for infections and for some cancers, although the amount of immunosuppressive therapy</w:t>
      </w:r>
      <w:r>
        <w:rPr>
          <w:color w:val="231F20"/>
          <w:spacing w:val="-13"/>
          <w:w w:val="105"/>
          <w:sz w:val="18"/>
        </w:rPr>
        <w:t> </w:t>
      </w:r>
      <w:r>
        <w:rPr>
          <w:color w:val="231F20"/>
          <w:w w:val="105"/>
          <w:sz w:val="18"/>
        </w:rPr>
        <w:t>can</w:t>
      </w:r>
      <w:r>
        <w:rPr>
          <w:color w:val="231F20"/>
          <w:spacing w:val="-13"/>
          <w:w w:val="105"/>
          <w:sz w:val="18"/>
        </w:rPr>
        <w:t> </w:t>
      </w:r>
      <w:r>
        <w:rPr>
          <w:color w:val="231F20"/>
          <w:w w:val="105"/>
          <w:sz w:val="18"/>
        </w:rPr>
        <w:t>usually</w:t>
      </w:r>
      <w:r>
        <w:rPr>
          <w:color w:val="231F20"/>
          <w:spacing w:val="-13"/>
          <w:w w:val="105"/>
          <w:sz w:val="18"/>
        </w:rPr>
        <w:t> </w:t>
      </w:r>
      <w:r>
        <w:rPr>
          <w:color w:val="231F20"/>
          <w:w w:val="105"/>
          <w:sz w:val="18"/>
        </w:rPr>
        <w:t>be</w:t>
      </w:r>
      <w:r>
        <w:rPr>
          <w:color w:val="231F20"/>
          <w:spacing w:val="-12"/>
          <w:w w:val="105"/>
          <w:sz w:val="18"/>
        </w:rPr>
        <w:t> </w:t>
      </w:r>
      <w:r>
        <w:rPr>
          <w:color w:val="231F20"/>
          <w:w w:val="105"/>
          <w:sz w:val="18"/>
        </w:rPr>
        <w:t>reduced</w:t>
      </w:r>
      <w:r>
        <w:rPr>
          <w:color w:val="231F20"/>
          <w:spacing w:val="-13"/>
          <w:w w:val="105"/>
          <w:sz w:val="18"/>
        </w:rPr>
        <w:t> </w:t>
      </w:r>
      <w:r>
        <w:rPr>
          <w:color w:val="231F20"/>
          <w:w w:val="105"/>
          <w:sz w:val="18"/>
        </w:rPr>
        <w:t>over</w:t>
      </w:r>
      <w:r>
        <w:rPr>
          <w:color w:val="231F20"/>
          <w:spacing w:val="-13"/>
          <w:w w:val="105"/>
          <w:sz w:val="18"/>
        </w:rPr>
        <w:t> </w:t>
      </w:r>
      <w:r>
        <w:rPr>
          <w:color w:val="231F20"/>
          <w:w w:val="105"/>
          <w:sz w:val="18"/>
        </w:rPr>
        <w:t>time</w:t>
      </w:r>
      <w:r>
        <w:rPr>
          <w:color w:val="231F20"/>
          <w:spacing w:val="-12"/>
          <w:w w:val="105"/>
          <w:sz w:val="18"/>
        </w:rPr>
        <w:t> </w:t>
      </w:r>
      <w:r>
        <w:rPr>
          <w:color w:val="231F20"/>
          <w:w w:val="105"/>
          <w:sz w:val="18"/>
        </w:rPr>
        <w:t>to</w:t>
      </w:r>
      <w:r>
        <w:rPr>
          <w:color w:val="231F20"/>
          <w:spacing w:val="-13"/>
          <w:w w:val="105"/>
          <w:sz w:val="18"/>
        </w:rPr>
        <w:t> </w:t>
      </w:r>
      <w:r>
        <w:rPr>
          <w:color w:val="231F20"/>
          <w:w w:val="105"/>
          <w:sz w:val="18"/>
        </w:rPr>
        <w:t>greatly</w:t>
      </w:r>
      <w:r>
        <w:rPr>
          <w:color w:val="231F20"/>
          <w:spacing w:val="-13"/>
          <w:w w:val="105"/>
          <w:sz w:val="18"/>
        </w:rPr>
        <w:t> </w:t>
      </w:r>
      <w:r>
        <w:rPr>
          <w:color w:val="231F20"/>
          <w:w w:val="105"/>
          <w:sz w:val="18"/>
        </w:rPr>
        <w:t>reduce these</w:t>
      </w:r>
      <w:r>
        <w:rPr>
          <w:color w:val="231F20"/>
          <w:spacing w:val="3"/>
          <w:w w:val="105"/>
          <w:sz w:val="18"/>
        </w:rPr>
        <w:t> </w:t>
      </w:r>
      <w:r>
        <w:rPr>
          <w:color w:val="231F20"/>
          <w:w w:val="105"/>
          <w:sz w:val="18"/>
        </w:rPr>
        <w:t>risks.</w:t>
      </w:r>
    </w:p>
    <w:p>
      <w:pPr>
        <w:spacing w:line="254" w:lineRule="auto" w:before="8"/>
        <w:ind w:left="1260" w:right="0" w:firstLine="239"/>
        <w:jc w:val="both"/>
        <w:rPr>
          <w:sz w:val="18"/>
        </w:rPr>
      </w:pPr>
      <w:r>
        <w:rPr>
          <w:color w:val="231F20"/>
          <w:sz w:val="18"/>
        </w:rPr>
        <w:t>Approximately 400,000 people in the United States  who have irreversible renal failure or total kidney removal are being maintained chronically by dialysis with artificial kidneys. Dialysis is also used in certain types of AKI to</w:t>
      </w:r>
      <w:r>
        <w:rPr>
          <w:color w:val="231F20"/>
          <w:spacing w:val="-10"/>
          <w:sz w:val="18"/>
        </w:rPr>
        <w:t> </w:t>
      </w:r>
      <w:r>
        <w:rPr>
          <w:color w:val="231F20"/>
          <w:sz w:val="18"/>
        </w:rPr>
        <w:t>tide the patient over until the kidneys resume their function. </w:t>
      </w:r>
      <w:r>
        <w:rPr>
          <w:color w:val="231F20"/>
          <w:spacing w:val="-6"/>
          <w:sz w:val="18"/>
        </w:rPr>
        <w:t>If </w:t>
      </w:r>
      <w:r>
        <w:rPr>
          <w:color w:val="231F20"/>
          <w:sz w:val="18"/>
        </w:rPr>
        <w:t>the loss of kidney function is irreversible, it is necessary </w:t>
      </w:r>
      <w:r>
        <w:rPr>
          <w:color w:val="231F20"/>
          <w:spacing w:val="-7"/>
          <w:sz w:val="18"/>
        </w:rPr>
        <w:t>to</w:t>
      </w:r>
      <w:r>
        <w:rPr>
          <w:color w:val="231F20"/>
          <w:spacing w:val="31"/>
          <w:sz w:val="18"/>
        </w:rPr>
        <w:t> </w:t>
      </w:r>
      <w:r>
        <w:rPr>
          <w:color w:val="231F20"/>
          <w:sz w:val="18"/>
        </w:rPr>
        <w:t>perform dialysis chronically to maintain life. Because</w:t>
      </w:r>
      <w:r>
        <w:rPr>
          <w:color w:val="231F20"/>
          <w:spacing w:val="-30"/>
          <w:sz w:val="18"/>
        </w:rPr>
        <w:t> </w:t>
      </w:r>
      <w:r>
        <w:rPr>
          <w:color w:val="231F20"/>
          <w:sz w:val="18"/>
        </w:rPr>
        <w:t>dialy­ sis cannot maintain completely normal body fluid </w:t>
      </w:r>
      <w:r>
        <w:rPr>
          <w:color w:val="231F20"/>
          <w:spacing w:val="-3"/>
          <w:sz w:val="18"/>
        </w:rPr>
        <w:t>compo­ </w:t>
      </w:r>
      <w:r>
        <w:rPr>
          <w:color w:val="231F20"/>
          <w:sz w:val="18"/>
        </w:rPr>
        <w:t>sition and cannot replace all the multiple functions performed by the kidneys, the health of patients </w:t>
      </w:r>
      <w:r>
        <w:rPr>
          <w:color w:val="231F20"/>
          <w:spacing w:val="-4"/>
          <w:sz w:val="18"/>
        </w:rPr>
        <w:t>main­ </w:t>
      </w:r>
      <w:r>
        <w:rPr>
          <w:color w:val="231F20"/>
          <w:sz w:val="18"/>
        </w:rPr>
        <w:t>tained with use of artificial kidneys usually remains signifi­ cantly</w:t>
      </w:r>
      <w:r>
        <w:rPr>
          <w:color w:val="231F20"/>
          <w:spacing w:val="6"/>
          <w:sz w:val="18"/>
        </w:rPr>
        <w:t> </w:t>
      </w:r>
      <w:r>
        <w:rPr>
          <w:color w:val="231F20"/>
          <w:sz w:val="18"/>
        </w:rPr>
        <w:t>impaired.</w:t>
      </w:r>
    </w:p>
    <w:p>
      <w:pPr>
        <w:spacing w:before="92"/>
        <w:ind w:left="834" w:right="0" w:firstLine="0"/>
        <w:jc w:val="left"/>
        <w:rPr>
          <w:rFonts w:ascii="Arial"/>
          <w:sz w:val="16"/>
        </w:rPr>
      </w:pPr>
      <w:r>
        <w:rPr/>
        <w:br w:type="column"/>
      </w:r>
      <w:bookmarkStart w:name="_bookmark129" w:id="130"/>
      <w:bookmarkEnd w:id="130"/>
      <w:r>
        <w:rPr/>
      </w:r>
      <w:r>
        <w:rPr>
          <w:rFonts w:ascii="Trebuchet MS"/>
          <w:b/>
          <w:color w:val="231F20"/>
          <w:sz w:val="16"/>
        </w:rPr>
        <w:t>Figure 32-8. </w:t>
      </w:r>
      <w:r>
        <w:rPr>
          <w:rFonts w:ascii="Arial"/>
          <w:color w:val="231F20"/>
          <w:sz w:val="16"/>
        </w:rPr>
        <w:t>Principles of dialysis with an artificial kidney.</w:t>
      </w:r>
    </w:p>
    <w:p>
      <w:pPr>
        <w:spacing w:after="0"/>
        <w:jc w:val="left"/>
        <w:rPr>
          <w:rFonts w:ascii="Arial"/>
          <w:sz w:val="16"/>
        </w:rPr>
        <w:sectPr>
          <w:type w:val="continuous"/>
          <w:pgSz w:w="12240" w:h="15660"/>
          <w:pgMar w:top="0" w:bottom="760" w:left="0" w:right="0"/>
          <w:cols w:num="2" w:equalWidth="0">
            <w:col w:w="5581" w:space="40"/>
            <w:col w:w="6619"/>
          </w:cols>
        </w:sectPr>
      </w:pPr>
    </w:p>
    <w:p>
      <w:pPr>
        <w:pStyle w:val="BodyText"/>
        <w:rPr>
          <w:rFonts w:ascii="Arial"/>
        </w:rPr>
      </w:pPr>
    </w:p>
    <w:p>
      <w:pPr>
        <w:pStyle w:val="BodyText"/>
        <w:rPr>
          <w:rFonts w:ascii="Arial"/>
        </w:rPr>
      </w:pPr>
    </w:p>
    <w:p>
      <w:pPr>
        <w:pStyle w:val="BodyText"/>
        <w:rPr>
          <w:rFonts w:ascii="Arial"/>
        </w:rPr>
      </w:pPr>
    </w:p>
    <w:p>
      <w:pPr>
        <w:pStyle w:val="BodyText"/>
        <w:spacing w:before="8"/>
        <w:rPr>
          <w:rFonts w:ascii="Arial"/>
          <w:sz w:val="22"/>
        </w:rPr>
      </w:pPr>
    </w:p>
    <w:p>
      <w:pPr>
        <w:spacing w:after="0"/>
        <w:rPr>
          <w:rFonts w:ascii="Arial"/>
          <w:sz w:val="22"/>
        </w:rPr>
        <w:sectPr>
          <w:headerReference w:type="even" r:id="rId1095"/>
          <w:pgSz w:w="12240" w:h="15660"/>
          <w:pgMar w:header="0" w:footer="567" w:top="0" w:bottom="760" w:left="0" w:right="0"/>
        </w:sectPr>
      </w:pPr>
    </w:p>
    <w:p>
      <w:pPr>
        <w:spacing w:line="252" w:lineRule="auto" w:before="100"/>
        <w:ind w:left="1440" w:right="153" w:firstLine="0"/>
        <w:jc w:val="left"/>
        <w:rPr>
          <w:rFonts w:ascii="Trebuchet MS"/>
          <w:sz w:val="18"/>
        </w:rPr>
      </w:pPr>
      <w:r>
        <w:rPr/>
        <w:pict>
          <v:group style="position:absolute;margin-left:0pt;margin-top:0pt;width:612pt;height:286.9pt;mso-position-horizontal-relative:page;mso-position-vertical-relative:page;z-index:-272032768" coordorigin="0,0" coordsize="12240,5738">
            <v:rect style="position:absolute;left:11520;top:0;width:720;height:3600" filled="true" fillcolor="#d7802a" stroked="false">
              <v:fill type="solid"/>
            </v:rect>
            <v:shape style="position:absolute;left:0;top:0;width:11520;height:720" type="#_x0000_t202" filled="true" fillcolor="#f2eae0" stroked="false">
              <v:textbox inset="0,0,0,0">
                <w:txbxContent>
                  <w:p>
                    <w:pPr>
                      <w:spacing w:line="240" w:lineRule="auto" w:before="0"/>
                      <w:rPr>
                        <w:rFonts w:ascii="Arial"/>
                        <w:sz w:val="20"/>
                      </w:rPr>
                    </w:pPr>
                  </w:p>
                  <w:p>
                    <w:pPr>
                      <w:spacing w:line="240" w:lineRule="auto" w:before="2"/>
                      <w:rPr>
                        <w:rFonts w:ascii="Arial"/>
                        <w:sz w:val="19"/>
                      </w:rPr>
                    </w:pPr>
                  </w:p>
                  <w:p>
                    <w:pPr>
                      <w:spacing w:before="0"/>
                      <w:ind w:left="0" w:right="357" w:firstLine="0"/>
                      <w:jc w:val="right"/>
                      <w:rPr>
                        <w:rFonts w:ascii="Trebuchet MS"/>
                        <w:sz w:val="18"/>
                      </w:rPr>
                    </w:pPr>
                    <w:r>
                      <w:rPr>
                        <w:rFonts w:ascii="Trebuchet MS"/>
                        <w:b/>
                        <w:color w:val="231F20"/>
                        <w:sz w:val="18"/>
                      </w:rPr>
                      <w:t>Chapter 32 </w:t>
                    </w:r>
                    <w:r>
                      <w:rPr>
                        <w:rFonts w:ascii="Trebuchet MS"/>
                        <w:color w:val="231F20"/>
                        <w:sz w:val="18"/>
                      </w:rPr>
                      <w:t>Diuretics, Kidney Diseases</w:t>
                    </w:r>
                  </w:p>
                </w:txbxContent>
              </v:textbox>
              <v:fill type="solid"/>
              <w10:wrap type="none"/>
            </v:shape>
            <v:shape style="position:absolute;left:6480;top:1080;width:4680;height:4658" type="#_x0000_t202" filled="true" fillcolor="#f0eef6" stroked="false">
              <v:textbox inset="0,0,0,0">
                <w:txbxContent>
                  <w:p>
                    <w:pPr>
                      <w:spacing w:line="254" w:lineRule="auto" w:before="128"/>
                      <w:ind w:left="180" w:right="179" w:firstLine="0"/>
                      <w:jc w:val="both"/>
                      <w:rPr>
                        <w:sz w:val="18"/>
                      </w:rPr>
                    </w:pPr>
                    <w:r>
                      <w:rPr>
                        <w:color w:val="231F20"/>
                        <w:w w:val="105"/>
                        <w:sz w:val="18"/>
                      </w:rPr>
                      <w:t>these</w:t>
                    </w:r>
                    <w:r>
                      <w:rPr>
                        <w:color w:val="231F20"/>
                        <w:spacing w:val="-14"/>
                        <w:w w:val="105"/>
                        <w:sz w:val="18"/>
                      </w:rPr>
                      <w:t> </w:t>
                    </w:r>
                    <w:r>
                      <w:rPr>
                        <w:color w:val="231F20"/>
                        <w:w w:val="105"/>
                        <w:sz w:val="18"/>
                      </w:rPr>
                      <w:t>substances</w:t>
                    </w:r>
                    <w:r>
                      <w:rPr>
                        <w:color w:val="231F20"/>
                        <w:spacing w:val="-14"/>
                        <w:w w:val="105"/>
                        <w:sz w:val="18"/>
                      </w:rPr>
                      <w:t> </w:t>
                    </w:r>
                    <w:r>
                      <w:rPr>
                        <w:color w:val="231F20"/>
                        <w:w w:val="105"/>
                        <w:sz w:val="18"/>
                      </w:rPr>
                      <w:t>are</w:t>
                    </w:r>
                    <w:r>
                      <w:rPr>
                        <w:color w:val="231F20"/>
                        <w:spacing w:val="-14"/>
                        <w:w w:val="105"/>
                        <w:sz w:val="18"/>
                      </w:rPr>
                      <w:t> </w:t>
                    </w:r>
                    <w:r>
                      <w:rPr>
                        <w:color w:val="231F20"/>
                        <w:w w:val="105"/>
                        <w:sz w:val="18"/>
                      </w:rPr>
                      <w:t>lost</w:t>
                    </w:r>
                    <w:r>
                      <w:rPr>
                        <w:color w:val="231F20"/>
                        <w:spacing w:val="-14"/>
                        <w:w w:val="105"/>
                        <w:sz w:val="18"/>
                      </w:rPr>
                      <w:t> </w:t>
                    </w:r>
                    <w:r>
                      <w:rPr>
                        <w:color w:val="231F20"/>
                        <w:w w:val="105"/>
                        <w:sz w:val="18"/>
                      </w:rPr>
                      <w:t>in</w:t>
                    </w:r>
                    <w:r>
                      <w:rPr>
                        <w:color w:val="231F20"/>
                        <w:spacing w:val="-14"/>
                        <w:w w:val="105"/>
                        <w:sz w:val="18"/>
                      </w:rPr>
                      <w:t> </w:t>
                    </w:r>
                    <w:r>
                      <w:rPr>
                        <w:color w:val="231F20"/>
                        <w:w w:val="105"/>
                        <w:sz w:val="18"/>
                      </w:rPr>
                      <w:t>large</w:t>
                    </w:r>
                    <w:r>
                      <w:rPr>
                        <w:color w:val="231F20"/>
                        <w:spacing w:val="-14"/>
                        <w:w w:val="105"/>
                        <w:sz w:val="18"/>
                      </w:rPr>
                      <w:t> </w:t>
                    </w:r>
                    <w:r>
                      <w:rPr>
                        <w:color w:val="231F20"/>
                        <w:w w:val="105"/>
                        <w:sz w:val="18"/>
                      </w:rPr>
                      <w:t>quantities</w:t>
                    </w:r>
                    <w:r>
                      <w:rPr>
                        <w:color w:val="231F20"/>
                        <w:spacing w:val="-14"/>
                        <w:w w:val="105"/>
                        <w:sz w:val="18"/>
                      </w:rPr>
                      <w:t> </w:t>
                    </w:r>
                    <w:r>
                      <w:rPr>
                        <w:color w:val="231F20"/>
                        <w:w w:val="105"/>
                        <w:sz w:val="18"/>
                      </w:rPr>
                      <w:t>into</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dialyz­ ing</w:t>
                    </w:r>
                    <w:r>
                      <w:rPr>
                        <w:color w:val="231F20"/>
                        <w:spacing w:val="3"/>
                        <w:w w:val="105"/>
                        <w:sz w:val="18"/>
                      </w:rPr>
                      <w:t> </w:t>
                    </w:r>
                    <w:r>
                      <w:rPr>
                        <w:color w:val="231F20"/>
                        <w:w w:val="105"/>
                        <w:sz w:val="18"/>
                      </w:rPr>
                      <w:t>fluid.</w:t>
                    </w:r>
                  </w:p>
                  <w:p>
                    <w:pPr>
                      <w:spacing w:line="254" w:lineRule="auto" w:before="1"/>
                      <w:ind w:left="180" w:right="177" w:firstLine="239"/>
                      <w:jc w:val="both"/>
                      <w:rPr>
                        <w:sz w:val="18"/>
                      </w:rPr>
                    </w:pPr>
                    <w:r>
                      <w:rPr>
                        <w:color w:val="231F20"/>
                        <w:sz w:val="18"/>
                      </w:rPr>
                      <w:t>The</w:t>
                    </w:r>
                    <w:r>
                      <w:rPr>
                        <w:color w:val="231F20"/>
                        <w:spacing w:val="-15"/>
                        <w:sz w:val="18"/>
                      </w:rPr>
                      <w:t> </w:t>
                    </w:r>
                    <w:r>
                      <w:rPr>
                        <w:color w:val="231F20"/>
                        <w:sz w:val="18"/>
                      </w:rPr>
                      <w:t>effectiveness</w:t>
                    </w:r>
                    <w:r>
                      <w:rPr>
                        <w:color w:val="231F20"/>
                        <w:spacing w:val="-14"/>
                        <w:sz w:val="18"/>
                      </w:rPr>
                      <w:t> </w:t>
                    </w:r>
                    <w:r>
                      <w:rPr>
                        <w:color w:val="231F20"/>
                        <w:sz w:val="18"/>
                      </w:rPr>
                      <w:t>of</w:t>
                    </w:r>
                    <w:r>
                      <w:rPr>
                        <w:color w:val="231F20"/>
                        <w:spacing w:val="-14"/>
                        <w:sz w:val="18"/>
                      </w:rPr>
                      <w:t> </w:t>
                    </w:r>
                    <w:r>
                      <w:rPr>
                        <w:color w:val="231F20"/>
                        <w:sz w:val="18"/>
                      </w:rPr>
                      <w:t>the</w:t>
                    </w:r>
                    <w:r>
                      <w:rPr>
                        <w:color w:val="231F20"/>
                        <w:spacing w:val="-14"/>
                        <w:sz w:val="18"/>
                      </w:rPr>
                      <w:t> </w:t>
                    </w:r>
                    <w:r>
                      <w:rPr>
                        <w:color w:val="231F20"/>
                        <w:sz w:val="18"/>
                      </w:rPr>
                      <w:t>artificial</w:t>
                    </w:r>
                    <w:r>
                      <w:rPr>
                        <w:color w:val="231F20"/>
                        <w:spacing w:val="-14"/>
                        <w:sz w:val="18"/>
                      </w:rPr>
                      <w:t> </w:t>
                    </w:r>
                    <w:r>
                      <w:rPr>
                        <w:color w:val="231F20"/>
                        <w:sz w:val="18"/>
                      </w:rPr>
                      <w:t>kidney</w:t>
                    </w:r>
                    <w:r>
                      <w:rPr>
                        <w:color w:val="231F20"/>
                        <w:spacing w:val="-14"/>
                        <w:sz w:val="18"/>
                      </w:rPr>
                      <w:t> </w:t>
                    </w:r>
                    <w:r>
                      <w:rPr>
                        <w:color w:val="231F20"/>
                        <w:sz w:val="18"/>
                      </w:rPr>
                      <w:t>can</w:t>
                    </w:r>
                    <w:r>
                      <w:rPr>
                        <w:color w:val="231F20"/>
                        <w:spacing w:val="-15"/>
                        <w:sz w:val="18"/>
                      </w:rPr>
                      <w:t> </w:t>
                    </w:r>
                    <w:r>
                      <w:rPr>
                        <w:color w:val="231F20"/>
                        <w:sz w:val="18"/>
                      </w:rPr>
                      <w:t>be</w:t>
                    </w:r>
                    <w:r>
                      <w:rPr>
                        <w:color w:val="231F20"/>
                        <w:spacing w:val="-14"/>
                        <w:sz w:val="18"/>
                      </w:rPr>
                      <w:t> </w:t>
                    </w:r>
                    <w:r>
                      <w:rPr>
                        <w:color w:val="231F20"/>
                        <w:sz w:val="18"/>
                      </w:rPr>
                      <w:t>expressed </w:t>
                    </w:r>
                    <w:r>
                      <w:rPr>
                        <w:color w:val="231F20"/>
                        <w:w w:val="105"/>
                        <w:sz w:val="18"/>
                      </w:rPr>
                      <w:t>in</w:t>
                    </w:r>
                    <w:r>
                      <w:rPr>
                        <w:color w:val="231F20"/>
                        <w:spacing w:val="-18"/>
                        <w:w w:val="105"/>
                        <w:sz w:val="18"/>
                      </w:rPr>
                      <w:t> </w:t>
                    </w:r>
                    <w:r>
                      <w:rPr>
                        <w:color w:val="231F20"/>
                        <w:w w:val="105"/>
                        <w:sz w:val="18"/>
                      </w:rPr>
                      <w:t>terms</w:t>
                    </w:r>
                    <w:r>
                      <w:rPr>
                        <w:color w:val="231F20"/>
                        <w:spacing w:val="-17"/>
                        <w:w w:val="105"/>
                        <w:sz w:val="18"/>
                      </w:rPr>
                      <w:t> </w:t>
                    </w:r>
                    <w:r>
                      <w:rPr>
                        <w:color w:val="231F20"/>
                        <w:w w:val="105"/>
                        <w:sz w:val="18"/>
                      </w:rPr>
                      <w:t>of</w:t>
                    </w:r>
                    <w:r>
                      <w:rPr>
                        <w:color w:val="231F20"/>
                        <w:spacing w:val="-18"/>
                        <w:w w:val="105"/>
                        <w:sz w:val="18"/>
                      </w:rPr>
                      <w:t> </w:t>
                    </w:r>
                    <w:r>
                      <w:rPr>
                        <w:color w:val="231F20"/>
                        <w:w w:val="105"/>
                        <w:sz w:val="18"/>
                      </w:rPr>
                      <w:t>the</w:t>
                    </w:r>
                    <w:r>
                      <w:rPr>
                        <w:color w:val="231F20"/>
                        <w:spacing w:val="-17"/>
                        <w:w w:val="105"/>
                        <w:sz w:val="18"/>
                      </w:rPr>
                      <w:t> </w:t>
                    </w:r>
                    <w:r>
                      <w:rPr>
                        <w:color w:val="231F20"/>
                        <w:w w:val="105"/>
                        <w:sz w:val="18"/>
                      </w:rPr>
                      <w:t>amount</w:t>
                    </w:r>
                    <w:r>
                      <w:rPr>
                        <w:color w:val="231F20"/>
                        <w:spacing w:val="-18"/>
                        <w:w w:val="105"/>
                        <w:sz w:val="18"/>
                      </w:rPr>
                      <w:t> </w:t>
                    </w:r>
                    <w:r>
                      <w:rPr>
                        <w:color w:val="231F20"/>
                        <w:w w:val="105"/>
                        <w:sz w:val="18"/>
                      </w:rPr>
                      <w:t>of</w:t>
                    </w:r>
                    <w:r>
                      <w:rPr>
                        <w:color w:val="231F20"/>
                        <w:spacing w:val="-17"/>
                        <w:w w:val="105"/>
                        <w:sz w:val="18"/>
                      </w:rPr>
                      <w:t> </w:t>
                    </w:r>
                    <w:r>
                      <w:rPr>
                        <w:color w:val="231F20"/>
                        <w:w w:val="105"/>
                        <w:sz w:val="18"/>
                      </w:rPr>
                      <w:t>plasma</w:t>
                    </w:r>
                    <w:r>
                      <w:rPr>
                        <w:color w:val="231F20"/>
                        <w:spacing w:val="-18"/>
                        <w:w w:val="105"/>
                        <w:sz w:val="18"/>
                      </w:rPr>
                      <w:t> </w:t>
                    </w:r>
                    <w:r>
                      <w:rPr>
                        <w:color w:val="231F20"/>
                        <w:w w:val="105"/>
                        <w:sz w:val="18"/>
                      </w:rPr>
                      <w:t>that</w:t>
                    </w:r>
                    <w:r>
                      <w:rPr>
                        <w:color w:val="231F20"/>
                        <w:spacing w:val="-17"/>
                        <w:w w:val="105"/>
                        <w:sz w:val="18"/>
                      </w:rPr>
                      <w:t> </w:t>
                    </w:r>
                    <w:r>
                      <w:rPr>
                        <w:color w:val="231F20"/>
                        <w:w w:val="105"/>
                        <w:sz w:val="18"/>
                      </w:rPr>
                      <w:t>is</w:t>
                    </w:r>
                    <w:r>
                      <w:rPr>
                        <w:color w:val="231F20"/>
                        <w:spacing w:val="-18"/>
                        <w:w w:val="105"/>
                        <w:sz w:val="18"/>
                      </w:rPr>
                      <w:t> </w:t>
                    </w:r>
                    <w:r>
                      <w:rPr>
                        <w:color w:val="231F20"/>
                        <w:w w:val="105"/>
                        <w:sz w:val="18"/>
                      </w:rPr>
                      <w:t>cleared</w:t>
                    </w:r>
                    <w:r>
                      <w:rPr>
                        <w:color w:val="231F20"/>
                        <w:spacing w:val="-17"/>
                        <w:w w:val="105"/>
                        <w:sz w:val="18"/>
                      </w:rPr>
                      <w:t> </w:t>
                    </w:r>
                    <w:r>
                      <w:rPr>
                        <w:color w:val="231F20"/>
                        <w:w w:val="105"/>
                        <w:sz w:val="18"/>
                      </w:rPr>
                      <w:t>of</w:t>
                    </w:r>
                    <w:r>
                      <w:rPr>
                        <w:color w:val="231F20"/>
                        <w:spacing w:val="-18"/>
                        <w:w w:val="105"/>
                        <w:sz w:val="18"/>
                      </w:rPr>
                      <w:t> </w:t>
                    </w:r>
                    <w:r>
                      <w:rPr>
                        <w:color w:val="231F20"/>
                        <w:w w:val="105"/>
                        <w:sz w:val="18"/>
                      </w:rPr>
                      <w:t>different substances</w:t>
                    </w:r>
                    <w:r>
                      <w:rPr>
                        <w:color w:val="231F20"/>
                        <w:spacing w:val="-21"/>
                        <w:w w:val="105"/>
                        <w:sz w:val="18"/>
                      </w:rPr>
                      <w:t> </w:t>
                    </w:r>
                    <w:r>
                      <w:rPr>
                        <w:color w:val="231F20"/>
                        <w:w w:val="105"/>
                        <w:sz w:val="18"/>
                      </w:rPr>
                      <w:t>each</w:t>
                    </w:r>
                    <w:r>
                      <w:rPr>
                        <w:color w:val="231F20"/>
                        <w:spacing w:val="-20"/>
                        <w:w w:val="105"/>
                        <w:sz w:val="18"/>
                      </w:rPr>
                      <w:t> </w:t>
                    </w:r>
                    <w:r>
                      <w:rPr>
                        <w:color w:val="231F20"/>
                        <w:w w:val="105"/>
                        <w:sz w:val="18"/>
                      </w:rPr>
                      <w:t>minute,</w:t>
                    </w:r>
                    <w:r>
                      <w:rPr>
                        <w:color w:val="231F20"/>
                        <w:spacing w:val="-20"/>
                        <w:w w:val="105"/>
                        <w:sz w:val="18"/>
                      </w:rPr>
                      <w:t> </w:t>
                    </w:r>
                    <w:r>
                      <w:rPr>
                        <w:color w:val="231F20"/>
                        <w:w w:val="105"/>
                        <w:sz w:val="18"/>
                      </w:rPr>
                      <w:t>which,</w:t>
                    </w:r>
                    <w:r>
                      <w:rPr>
                        <w:color w:val="231F20"/>
                        <w:spacing w:val="-21"/>
                        <w:w w:val="105"/>
                        <w:sz w:val="18"/>
                      </w:rPr>
                      <w:t> </w:t>
                    </w:r>
                    <w:r>
                      <w:rPr>
                        <w:color w:val="231F20"/>
                        <w:w w:val="105"/>
                        <w:sz w:val="18"/>
                      </w:rPr>
                      <w:t>as</w:t>
                    </w:r>
                    <w:r>
                      <w:rPr>
                        <w:color w:val="231F20"/>
                        <w:spacing w:val="-20"/>
                        <w:w w:val="105"/>
                        <w:sz w:val="18"/>
                      </w:rPr>
                      <w:t> </w:t>
                    </w:r>
                    <w:r>
                      <w:rPr>
                        <w:color w:val="231F20"/>
                        <w:w w:val="105"/>
                        <w:sz w:val="18"/>
                      </w:rPr>
                      <w:t>discussed</w:t>
                    </w:r>
                    <w:r>
                      <w:rPr>
                        <w:color w:val="231F20"/>
                        <w:spacing w:val="-20"/>
                        <w:w w:val="105"/>
                        <w:sz w:val="18"/>
                      </w:rPr>
                      <w:t> </w:t>
                    </w:r>
                    <w:r>
                      <w:rPr>
                        <w:color w:val="231F20"/>
                        <w:w w:val="105"/>
                        <w:sz w:val="18"/>
                      </w:rPr>
                      <w:t>in</w:t>
                    </w:r>
                    <w:r>
                      <w:rPr>
                        <w:color w:val="231F20"/>
                        <w:spacing w:val="-21"/>
                        <w:w w:val="105"/>
                        <w:sz w:val="18"/>
                      </w:rPr>
                      <w:t> </w:t>
                    </w:r>
                    <w:r>
                      <w:rPr>
                        <w:color w:val="231F20"/>
                        <w:w w:val="105"/>
                        <w:sz w:val="18"/>
                      </w:rPr>
                      <w:t>Chapter</w:t>
                    </w:r>
                    <w:r>
                      <w:rPr>
                        <w:color w:val="231F20"/>
                        <w:spacing w:val="-20"/>
                        <w:w w:val="105"/>
                        <w:sz w:val="18"/>
                      </w:rPr>
                      <w:t> </w:t>
                    </w:r>
                    <w:r>
                      <w:rPr>
                        <w:color w:val="231F20"/>
                        <w:w w:val="105"/>
                        <w:sz w:val="18"/>
                      </w:rPr>
                      <w:t>28, is the primary means for expressing the functional effec­ tiveness of the kidneys themselves to rid the body of unwanted</w:t>
                    </w:r>
                    <w:r>
                      <w:rPr>
                        <w:color w:val="231F20"/>
                        <w:spacing w:val="-27"/>
                        <w:w w:val="105"/>
                        <w:sz w:val="18"/>
                      </w:rPr>
                      <w:t> </w:t>
                    </w:r>
                    <w:r>
                      <w:rPr>
                        <w:color w:val="231F20"/>
                        <w:w w:val="105"/>
                        <w:sz w:val="18"/>
                      </w:rPr>
                      <w:t>substances.</w:t>
                    </w:r>
                    <w:r>
                      <w:rPr>
                        <w:color w:val="231F20"/>
                        <w:spacing w:val="-26"/>
                        <w:w w:val="105"/>
                        <w:sz w:val="18"/>
                      </w:rPr>
                      <w:t> </w:t>
                    </w:r>
                    <w:r>
                      <w:rPr>
                        <w:color w:val="231F20"/>
                        <w:w w:val="105"/>
                        <w:sz w:val="18"/>
                      </w:rPr>
                      <w:t>Most</w:t>
                    </w:r>
                    <w:r>
                      <w:rPr>
                        <w:color w:val="231F20"/>
                        <w:spacing w:val="-26"/>
                        <w:w w:val="105"/>
                        <w:sz w:val="18"/>
                      </w:rPr>
                      <w:t> </w:t>
                    </w:r>
                    <w:r>
                      <w:rPr>
                        <w:color w:val="231F20"/>
                        <w:w w:val="105"/>
                        <w:sz w:val="18"/>
                      </w:rPr>
                      <w:t>artificial</w:t>
                    </w:r>
                    <w:r>
                      <w:rPr>
                        <w:color w:val="231F20"/>
                        <w:spacing w:val="-26"/>
                        <w:w w:val="105"/>
                        <w:sz w:val="18"/>
                      </w:rPr>
                      <w:t> </w:t>
                    </w:r>
                    <w:r>
                      <w:rPr>
                        <w:color w:val="231F20"/>
                        <w:w w:val="105"/>
                        <w:sz w:val="18"/>
                      </w:rPr>
                      <w:t>kidneys</w:t>
                    </w:r>
                    <w:r>
                      <w:rPr>
                        <w:color w:val="231F20"/>
                        <w:spacing w:val="-26"/>
                        <w:w w:val="105"/>
                        <w:sz w:val="18"/>
                      </w:rPr>
                      <w:t> </w:t>
                    </w:r>
                    <w:r>
                      <w:rPr>
                        <w:color w:val="231F20"/>
                        <w:w w:val="105"/>
                        <w:sz w:val="18"/>
                      </w:rPr>
                      <w:t>can</w:t>
                    </w:r>
                    <w:r>
                      <w:rPr>
                        <w:color w:val="231F20"/>
                        <w:spacing w:val="-26"/>
                        <w:w w:val="105"/>
                        <w:sz w:val="18"/>
                      </w:rPr>
                      <w:t> </w:t>
                    </w:r>
                    <w:r>
                      <w:rPr>
                        <w:color w:val="231F20"/>
                        <w:w w:val="105"/>
                        <w:sz w:val="18"/>
                      </w:rPr>
                      <w:t>clear</w:t>
                    </w:r>
                    <w:r>
                      <w:rPr>
                        <w:color w:val="231F20"/>
                        <w:spacing w:val="-26"/>
                        <w:w w:val="105"/>
                        <w:sz w:val="18"/>
                      </w:rPr>
                      <w:t> </w:t>
                    </w:r>
                    <w:r>
                      <w:rPr>
                        <w:color w:val="231F20"/>
                        <w:w w:val="105"/>
                        <w:sz w:val="18"/>
                      </w:rPr>
                      <w:t>urea from the plasma at a rate of 100 to 225 ml/min, which shows that at least for the excretion of urea, the artificial kidney can function about twice as rapidly as two</w:t>
                    </w:r>
                    <w:r>
                      <w:rPr>
                        <w:color w:val="231F20"/>
                        <w:spacing w:val="-17"/>
                        <w:w w:val="105"/>
                        <w:sz w:val="18"/>
                      </w:rPr>
                      <w:t> </w:t>
                    </w:r>
                    <w:r>
                      <w:rPr>
                        <w:color w:val="231F20"/>
                        <w:w w:val="105"/>
                        <w:sz w:val="18"/>
                      </w:rPr>
                      <w:t>normal kidneys</w:t>
                    </w:r>
                    <w:r>
                      <w:rPr>
                        <w:color w:val="231F20"/>
                        <w:spacing w:val="-8"/>
                        <w:w w:val="105"/>
                        <w:sz w:val="18"/>
                      </w:rPr>
                      <w:t> </w:t>
                    </w:r>
                    <w:r>
                      <w:rPr>
                        <w:color w:val="231F20"/>
                        <w:spacing w:val="-3"/>
                        <w:w w:val="105"/>
                        <w:sz w:val="18"/>
                      </w:rPr>
                      <w:t>together,</w:t>
                    </w:r>
                    <w:r>
                      <w:rPr>
                        <w:color w:val="231F20"/>
                        <w:spacing w:val="-8"/>
                        <w:w w:val="105"/>
                        <w:sz w:val="18"/>
                      </w:rPr>
                      <w:t> </w:t>
                    </w:r>
                    <w:r>
                      <w:rPr>
                        <w:color w:val="231F20"/>
                        <w:w w:val="105"/>
                        <w:sz w:val="18"/>
                      </w:rPr>
                      <w:t>whose</w:t>
                    </w:r>
                    <w:r>
                      <w:rPr>
                        <w:color w:val="231F20"/>
                        <w:spacing w:val="-7"/>
                        <w:w w:val="105"/>
                        <w:sz w:val="18"/>
                      </w:rPr>
                      <w:t> </w:t>
                    </w:r>
                    <w:r>
                      <w:rPr>
                        <w:color w:val="231F20"/>
                        <w:w w:val="105"/>
                        <w:sz w:val="18"/>
                      </w:rPr>
                      <w:t>urea</w:t>
                    </w:r>
                    <w:r>
                      <w:rPr>
                        <w:color w:val="231F20"/>
                        <w:spacing w:val="-8"/>
                        <w:w w:val="105"/>
                        <w:sz w:val="18"/>
                      </w:rPr>
                      <w:t> </w:t>
                    </w:r>
                    <w:r>
                      <w:rPr>
                        <w:color w:val="231F20"/>
                        <w:w w:val="105"/>
                        <w:sz w:val="18"/>
                      </w:rPr>
                      <w:t>clearance</w:t>
                    </w:r>
                    <w:r>
                      <w:rPr>
                        <w:color w:val="231F20"/>
                        <w:spacing w:val="-8"/>
                        <w:w w:val="105"/>
                        <w:sz w:val="18"/>
                      </w:rPr>
                      <w:t> </w:t>
                    </w:r>
                    <w:r>
                      <w:rPr>
                        <w:color w:val="231F20"/>
                        <w:w w:val="105"/>
                        <w:sz w:val="18"/>
                      </w:rPr>
                      <w:t>is</w:t>
                    </w:r>
                    <w:r>
                      <w:rPr>
                        <w:color w:val="231F20"/>
                        <w:spacing w:val="-7"/>
                        <w:w w:val="105"/>
                        <w:sz w:val="18"/>
                      </w:rPr>
                      <w:t> </w:t>
                    </w:r>
                    <w:r>
                      <w:rPr>
                        <w:color w:val="231F20"/>
                        <w:w w:val="105"/>
                        <w:sz w:val="18"/>
                      </w:rPr>
                      <w:t>only</w:t>
                    </w:r>
                    <w:r>
                      <w:rPr>
                        <w:color w:val="231F20"/>
                        <w:spacing w:val="-8"/>
                        <w:w w:val="105"/>
                        <w:sz w:val="18"/>
                      </w:rPr>
                      <w:t> </w:t>
                    </w:r>
                    <w:r>
                      <w:rPr>
                        <w:color w:val="231F20"/>
                        <w:w w:val="105"/>
                        <w:sz w:val="18"/>
                      </w:rPr>
                      <w:t>70</w:t>
                    </w:r>
                    <w:r>
                      <w:rPr>
                        <w:color w:val="231F20"/>
                        <w:spacing w:val="-9"/>
                        <w:w w:val="105"/>
                        <w:sz w:val="18"/>
                      </w:rPr>
                      <w:t> </w:t>
                    </w:r>
                    <w:r>
                      <w:rPr>
                        <w:color w:val="231F20"/>
                        <w:w w:val="105"/>
                        <w:sz w:val="18"/>
                      </w:rPr>
                      <w:t>ml/min. </w:t>
                    </w:r>
                    <w:r>
                      <w:rPr>
                        <w:color w:val="231F20"/>
                        <w:spacing w:val="-6"/>
                        <w:w w:val="105"/>
                        <w:sz w:val="18"/>
                      </w:rPr>
                      <w:t>Yet </w:t>
                    </w:r>
                    <w:r>
                      <w:rPr>
                        <w:color w:val="231F20"/>
                        <w:w w:val="105"/>
                        <w:sz w:val="18"/>
                      </w:rPr>
                      <w:t>the artificial kidney is used for only 4 to 6 hours per </w:t>
                    </w:r>
                    <w:r>
                      <w:rPr>
                        <w:color w:val="231F20"/>
                        <w:spacing w:val="-4"/>
                        <w:w w:val="105"/>
                        <w:sz w:val="18"/>
                      </w:rPr>
                      <w:t>day,</w:t>
                    </w:r>
                    <w:r>
                      <w:rPr>
                        <w:color w:val="231F20"/>
                        <w:spacing w:val="-28"/>
                        <w:w w:val="105"/>
                        <w:sz w:val="18"/>
                      </w:rPr>
                      <w:t> </w:t>
                    </w:r>
                    <w:r>
                      <w:rPr>
                        <w:color w:val="231F20"/>
                        <w:w w:val="105"/>
                        <w:sz w:val="18"/>
                      </w:rPr>
                      <w:t>three</w:t>
                    </w:r>
                    <w:r>
                      <w:rPr>
                        <w:color w:val="231F20"/>
                        <w:spacing w:val="-27"/>
                        <w:w w:val="105"/>
                        <w:sz w:val="18"/>
                      </w:rPr>
                      <w:t> </w:t>
                    </w:r>
                    <w:r>
                      <w:rPr>
                        <w:color w:val="231F20"/>
                        <w:w w:val="105"/>
                        <w:sz w:val="18"/>
                      </w:rPr>
                      <w:t>times</w:t>
                    </w:r>
                    <w:r>
                      <w:rPr>
                        <w:color w:val="231F20"/>
                        <w:spacing w:val="-27"/>
                        <w:w w:val="105"/>
                        <w:sz w:val="18"/>
                      </w:rPr>
                      <w:t> </w:t>
                    </w:r>
                    <w:r>
                      <w:rPr>
                        <w:color w:val="231F20"/>
                        <w:w w:val="105"/>
                        <w:sz w:val="18"/>
                      </w:rPr>
                      <w:t>a</w:t>
                    </w:r>
                    <w:r>
                      <w:rPr>
                        <w:color w:val="231F20"/>
                        <w:spacing w:val="-27"/>
                        <w:w w:val="105"/>
                        <w:sz w:val="18"/>
                      </w:rPr>
                      <w:t> </w:t>
                    </w:r>
                    <w:r>
                      <w:rPr>
                        <w:color w:val="231F20"/>
                        <w:w w:val="105"/>
                        <w:sz w:val="18"/>
                      </w:rPr>
                      <w:t>week.</w:t>
                    </w:r>
                    <w:r>
                      <w:rPr>
                        <w:color w:val="231F20"/>
                        <w:spacing w:val="-27"/>
                        <w:w w:val="105"/>
                        <w:sz w:val="18"/>
                      </w:rPr>
                      <w:t> </w:t>
                    </w:r>
                    <w:r>
                      <w:rPr>
                        <w:color w:val="231F20"/>
                        <w:w w:val="105"/>
                        <w:sz w:val="18"/>
                      </w:rPr>
                      <w:t>Therefore,</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overall</w:t>
                    </w:r>
                    <w:r>
                      <w:rPr>
                        <w:color w:val="231F20"/>
                        <w:spacing w:val="-27"/>
                        <w:w w:val="105"/>
                        <w:sz w:val="18"/>
                      </w:rPr>
                      <w:t> </w:t>
                    </w:r>
                    <w:r>
                      <w:rPr>
                        <w:color w:val="231F20"/>
                        <w:w w:val="105"/>
                        <w:sz w:val="18"/>
                      </w:rPr>
                      <w:t>plasma</w:t>
                    </w:r>
                    <w:r>
                      <w:rPr>
                        <w:color w:val="231F20"/>
                        <w:spacing w:val="-27"/>
                        <w:w w:val="105"/>
                        <w:sz w:val="18"/>
                      </w:rPr>
                      <w:t> </w:t>
                    </w:r>
                    <w:r>
                      <w:rPr>
                        <w:color w:val="231F20"/>
                        <w:w w:val="105"/>
                        <w:sz w:val="18"/>
                      </w:rPr>
                      <w:t>clear­ ance</w:t>
                    </w:r>
                    <w:r>
                      <w:rPr>
                        <w:color w:val="231F20"/>
                        <w:spacing w:val="-15"/>
                        <w:w w:val="105"/>
                        <w:sz w:val="18"/>
                      </w:rPr>
                      <w:t> </w:t>
                    </w:r>
                    <w:r>
                      <w:rPr>
                        <w:color w:val="231F20"/>
                        <w:w w:val="105"/>
                        <w:sz w:val="18"/>
                      </w:rPr>
                      <w:t>is</w:t>
                    </w:r>
                    <w:r>
                      <w:rPr>
                        <w:color w:val="231F20"/>
                        <w:spacing w:val="-15"/>
                        <w:w w:val="105"/>
                        <w:sz w:val="18"/>
                      </w:rPr>
                      <w:t> </w:t>
                    </w:r>
                    <w:r>
                      <w:rPr>
                        <w:color w:val="231F20"/>
                        <w:w w:val="105"/>
                        <w:sz w:val="18"/>
                      </w:rPr>
                      <w:t>still</w:t>
                    </w:r>
                    <w:r>
                      <w:rPr>
                        <w:color w:val="231F20"/>
                        <w:spacing w:val="-14"/>
                        <w:w w:val="105"/>
                        <w:sz w:val="18"/>
                      </w:rPr>
                      <w:t> </w:t>
                    </w:r>
                    <w:r>
                      <w:rPr>
                        <w:color w:val="231F20"/>
                        <w:w w:val="105"/>
                        <w:sz w:val="18"/>
                      </w:rPr>
                      <w:t>considerably</w:t>
                    </w:r>
                    <w:r>
                      <w:rPr>
                        <w:color w:val="231F20"/>
                        <w:spacing w:val="-15"/>
                        <w:w w:val="105"/>
                        <w:sz w:val="18"/>
                      </w:rPr>
                      <w:t> </w:t>
                    </w:r>
                    <w:r>
                      <w:rPr>
                        <w:color w:val="231F20"/>
                        <w:w w:val="105"/>
                        <w:sz w:val="18"/>
                      </w:rPr>
                      <w:t>limited</w:t>
                    </w:r>
                    <w:r>
                      <w:rPr>
                        <w:color w:val="231F20"/>
                        <w:spacing w:val="-15"/>
                        <w:w w:val="105"/>
                        <w:sz w:val="18"/>
                      </w:rPr>
                      <w:t> </w:t>
                    </w:r>
                    <w:r>
                      <w:rPr>
                        <w:color w:val="231F20"/>
                        <w:w w:val="105"/>
                        <w:sz w:val="18"/>
                      </w:rPr>
                      <w:t>when</w:t>
                    </w:r>
                    <w:r>
                      <w:rPr>
                        <w:color w:val="231F20"/>
                        <w:spacing w:val="-14"/>
                        <w:w w:val="105"/>
                        <w:sz w:val="18"/>
                      </w:rPr>
                      <w:t> </w:t>
                    </w:r>
                    <w:r>
                      <w:rPr>
                        <w:color w:val="231F20"/>
                        <w:w w:val="105"/>
                        <w:sz w:val="18"/>
                      </w:rPr>
                      <w:t>the</w:t>
                    </w:r>
                    <w:r>
                      <w:rPr>
                        <w:color w:val="231F20"/>
                        <w:spacing w:val="-15"/>
                        <w:w w:val="105"/>
                        <w:sz w:val="18"/>
                      </w:rPr>
                      <w:t> </w:t>
                    </w:r>
                    <w:r>
                      <w:rPr>
                        <w:color w:val="231F20"/>
                        <w:w w:val="105"/>
                        <w:sz w:val="18"/>
                      </w:rPr>
                      <w:t>artificial</w:t>
                    </w:r>
                    <w:r>
                      <w:rPr>
                        <w:color w:val="231F20"/>
                        <w:spacing w:val="-14"/>
                        <w:w w:val="105"/>
                        <w:sz w:val="18"/>
                      </w:rPr>
                      <w:t> </w:t>
                    </w:r>
                    <w:r>
                      <w:rPr>
                        <w:color w:val="231F20"/>
                        <w:w w:val="105"/>
                        <w:sz w:val="18"/>
                      </w:rPr>
                      <w:t>kidney replaces the normal kidneys. Also, it is important to keep in mind that the artificial kidney cannot replace some of the other functions of  the  kidneys,  such  as  secretion of erythropoietin, which is necessary for red blood cell production.</w:t>
                    </w:r>
                  </w:p>
                </w:txbxContent>
              </v:textbox>
              <v:fill type="solid"/>
              <w10:wrap type="none"/>
            </v:shape>
            <w10:wrap type="none"/>
          </v:group>
        </w:pict>
      </w:r>
      <w:r>
        <w:rPr/>
        <w:pict>
          <v:shape style="position:absolute;margin-left:578.900024pt;margin-top:68.105972pt;width:15.9pt;height:53.35pt;mso-position-horizontal-relative:page;mso-position-vertical-relative:paragraph;z-index:253375488" type="#_x0000_t202" filled="false" stroked="false">
            <v:textbox inset="0,0,0,0" style="layout-flow:vertical">
              <w:txbxContent>
                <w:p>
                  <w:pPr>
                    <w:spacing w:before="19"/>
                    <w:ind w:left="20" w:right="0" w:firstLine="0"/>
                    <w:jc w:val="left"/>
                    <w:rPr>
                      <w:rFonts w:ascii="Trebuchet MS"/>
                      <w:b/>
                      <w:sz w:val="24"/>
                    </w:rPr>
                  </w:pPr>
                  <w:r>
                    <w:rPr>
                      <w:rFonts w:ascii="Trebuchet MS"/>
                      <w:b/>
                      <w:color w:val="F2EAE0"/>
                      <w:w w:val="105"/>
                      <w:sz w:val="24"/>
                    </w:rPr>
                    <w:t>U N I T V</w:t>
                  </w:r>
                </w:p>
              </w:txbxContent>
            </v:textbox>
            <w10:wrap type="none"/>
          </v:shape>
        </w:pict>
      </w:r>
      <w:bookmarkStart w:name="_bookmark130" w:id="131"/>
      <w:bookmarkEnd w:id="131"/>
      <w:r>
        <w:rPr/>
      </w:r>
      <w:r>
        <w:rPr>
          <w:rFonts w:ascii="Trebuchet MS"/>
          <w:b/>
          <w:color w:val="231F20"/>
          <w:w w:val="105"/>
          <w:sz w:val="18"/>
        </w:rPr>
        <w:t>Table 32-7 </w:t>
      </w:r>
      <w:r>
        <w:rPr>
          <w:rFonts w:ascii="Trebuchet MS"/>
          <w:color w:val="231F20"/>
          <w:w w:val="105"/>
          <w:sz w:val="18"/>
        </w:rPr>
        <w:t>Comparison of Dialyzing Fluid with Normal and Uremic Plasma</w:t>
      </w:r>
    </w:p>
    <w:p>
      <w:pPr>
        <w:pStyle w:val="BodyText"/>
        <w:spacing w:before="5"/>
        <w:rPr>
          <w:rFonts w:ascii="Trebuchet MS"/>
          <w:sz w:val="9"/>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987"/>
        <w:gridCol w:w="1285"/>
        <w:gridCol w:w="967"/>
      </w:tblGrid>
      <w:tr>
        <w:trPr>
          <w:trHeight w:val="463" w:hRule="atLeast"/>
        </w:trPr>
        <w:tc>
          <w:tcPr>
            <w:tcW w:w="1440" w:type="dxa"/>
            <w:shd w:val="clear" w:color="auto" w:fill="D1DDF1"/>
          </w:tcPr>
          <w:p>
            <w:pPr>
              <w:pStyle w:val="TableParagraph"/>
              <w:spacing w:before="2"/>
              <w:rPr>
                <w:sz w:val="20"/>
              </w:rPr>
            </w:pPr>
          </w:p>
          <w:p>
            <w:pPr>
              <w:pStyle w:val="TableParagraph"/>
              <w:spacing w:before="0"/>
              <w:ind w:left="120"/>
              <w:rPr>
                <w:b/>
                <w:sz w:val="16"/>
              </w:rPr>
            </w:pPr>
            <w:r>
              <w:rPr>
                <w:b/>
                <w:color w:val="231F20"/>
                <w:sz w:val="16"/>
              </w:rPr>
              <w:t>Constituent</w:t>
            </w:r>
          </w:p>
        </w:tc>
        <w:tc>
          <w:tcPr>
            <w:tcW w:w="987" w:type="dxa"/>
            <w:shd w:val="clear" w:color="auto" w:fill="D1DDF1"/>
          </w:tcPr>
          <w:p>
            <w:pPr>
              <w:pStyle w:val="TableParagraph"/>
              <w:spacing w:line="259" w:lineRule="auto" w:before="34"/>
              <w:ind w:left="154" w:right="291" w:hanging="14"/>
              <w:rPr>
                <w:b/>
                <w:sz w:val="16"/>
              </w:rPr>
            </w:pPr>
            <w:r>
              <w:rPr>
                <w:b/>
                <w:color w:val="231F20"/>
                <w:sz w:val="16"/>
              </w:rPr>
              <w:t>Normal Plasma</w:t>
            </w:r>
          </w:p>
        </w:tc>
        <w:tc>
          <w:tcPr>
            <w:tcW w:w="1285" w:type="dxa"/>
            <w:shd w:val="clear" w:color="auto" w:fill="D1DDF1"/>
          </w:tcPr>
          <w:p>
            <w:pPr>
              <w:pStyle w:val="TableParagraph"/>
              <w:spacing w:line="259" w:lineRule="auto" w:before="34"/>
              <w:ind w:left="464" w:hanging="169"/>
              <w:rPr>
                <w:b/>
                <w:sz w:val="16"/>
              </w:rPr>
            </w:pPr>
            <w:r>
              <w:rPr>
                <w:b/>
                <w:color w:val="231F20"/>
                <w:sz w:val="16"/>
              </w:rPr>
              <w:t>Dialyzing Fluid</w:t>
            </w:r>
          </w:p>
        </w:tc>
        <w:tc>
          <w:tcPr>
            <w:tcW w:w="967" w:type="dxa"/>
            <w:shd w:val="clear" w:color="auto" w:fill="D1DDF1"/>
          </w:tcPr>
          <w:p>
            <w:pPr>
              <w:pStyle w:val="TableParagraph"/>
              <w:spacing w:line="259" w:lineRule="auto" w:before="34"/>
              <w:ind w:left="288" w:right="141"/>
              <w:rPr>
                <w:b/>
                <w:sz w:val="16"/>
              </w:rPr>
            </w:pPr>
            <w:r>
              <w:rPr>
                <w:b/>
                <w:color w:val="231F20"/>
                <w:w w:val="95"/>
                <w:sz w:val="16"/>
              </w:rPr>
              <w:t>Uremic </w:t>
            </w:r>
            <w:r>
              <w:rPr>
                <w:b/>
                <w:color w:val="231F20"/>
                <w:sz w:val="16"/>
              </w:rPr>
              <w:t>Plasma</w:t>
            </w:r>
          </w:p>
        </w:tc>
      </w:tr>
      <w:tr>
        <w:trPr>
          <w:trHeight w:val="534" w:hRule="atLeast"/>
        </w:trPr>
        <w:tc>
          <w:tcPr>
            <w:tcW w:w="2427" w:type="dxa"/>
            <w:gridSpan w:val="2"/>
            <w:tcBorders>
              <w:bottom w:val="single" w:sz="4" w:space="0" w:color="FFFFFF"/>
            </w:tcBorders>
            <w:shd w:val="clear" w:color="auto" w:fill="E6ECF7"/>
          </w:tcPr>
          <w:p>
            <w:pPr>
              <w:pStyle w:val="TableParagraph"/>
              <w:spacing w:before="25"/>
              <w:ind w:left="120"/>
              <w:rPr>
                <w:b/>
                <w:sz w:val="16"/>
              </w:rPr>
            </w:pPr>
            <w:r>
              <w:rPr>
                <w:b/>
                <w:color w:val="231F20"/>
                <w:sz w:val="16"/>
              </w:rPr>
              <w:t>Electrolytes (mEq/L)</w:t>
            </w:r>
          </w:p>
          <w:p>
            <w:pPr>
              <w:pStyle w:val="TableParagraph"/>
              <w:tabs>
                <w:tab w:pos="1866" w:val="right" w:leader="none"/>
              </w:tabs>
              <w:spacing w:before="88"/>
              <w:ind w:left="120"/>
              <w:rPr>
                <w:sz w:val="16"/>
              </w:rPr>
            </w:pPr>
            <w:r>
              <w:rPr>
                <w:color w:val="231F20"/>
                <w:w w:val="105"/>
                <w:sz w:val="16"/>
              </w:rPr>
              <w:t>Na</w:t>
            </w:r>
            <w:r>
              <w:rPr>
                <w:rFonts w:ascii="Consolas"/>
                <w:color w:val="231F20"/>
                <w:w w:val="105"/>
                <w:position w:val="6"/>
                <w:sz w:val="9"/>
              </w:rPr>
              <w:t>+</w:t>
              <w:tab/>
            </w:r>
            <w:r>
              <w:rPr>
                <w:color w:val="231F20"/>
                <w:w w:val="105"/>
                <w:sz w:val="16"/>
              </w:rPr>
              <w:t>142</w:t>
            </w:r>
          </w:p>
        </w:tc>
        <w:tc>
          <w:tcPr>
            <w:tcW w:w="1285" w:type="dxa"/>
            <w:tcBorders>
              <w:bottom w:val="single" w:sz="4" w:space="0" w:color="FFFFFF"/>
            </w:tcBorders>
            <w:shd w:val="clear" w:color="auto" w:fill="E6ECF7"/>
          </w:tcPr>
          <w:p>
            <w:pPr>
              <w:pStyle w:val="TableParagraph"/>
              <w:spacing w:before="8"/>
              <w:rPr>
                <w:sz w:val="25"/>
              </w:rPr>
            </w:pPr>
          </w:p>
          <w:p>
            <w:pPr>
              <w:pStyle w:val="TableParagraph"/>
              <w:spacing w:before="1"/>
              <w:ind w:left="339"/>
              <w:rPr>
                <w:sz w:val="16"/>
              </w:rPr>
            </w:pPr>
            <w:r>
              <w:rPr>
                <w:color w:val="231F20"/>
                <w:w w:val="105"/>
                <w:sz w:val="16"/>
              </w:rPr>
              <w:t>133</w:t>
            </w:r>
          </w:p>
        </w:tc>
        <w:tc>
          <w:tcPr>
            <w:tcW w:w="967" w:type="dxa"/>
            <w:tcBorders>
              <w:bottom w:val="single" w:sz="4" w:space="0" w:color="FFFFFF"/>
            </w:tcBorders>
            <w:shd w:val="clear" w:color="auto" w:fill="E6ECF7"/>
          </w:tcPr>
          <w:p>
            <w:pPr>
              <w:pStyle w:val="TableParagraph"/>
              <w:spacing w:before="8"/>
              <w:rPr>
                <w:sz w:val="25"/>
              </w:rPr>
            </w:pPr>
          </w:p>
          <w:p>
            <w:pPr>
              <w:pStyle w:val="TableParagraph"/>
              <w:spacing w:before="1"/>
              <w:ind w:left="321"/>
              <w:rPr>
                <w:sz w:val="16"/>
              </w:rPr>
            </w:pPr>
            <w:r>
              <w:rPr>
                <w:color w:val="231F20"/>
                <w:w w:val="105"/>
                <w:sz w:val="16"/>
              </w:rPr>
              <w:t>142</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spacing w:before="25"/>
              <w:ind w:left="120"/>
              <w:rPr>
                <w:rFonts w:ascii="Consolas"/>
                <w:sz w:val="9"/>
              </w:rPr>
            </w:pPr>
            <w:r>
              <w:rPr>
                <w:color w:val="231F20"/>
                <w:w w:val="110"/>
                <w:position w:val="-5"/>
                <w:sz w:val="16"/>
              </w:rPr>
              <w:t>K</w:t>
            </w:r>
            <w:r>
              <w:rPr>
                <w:rFonts w:ascii="Consolas"/>
                <w:color w:val="231F20"/>
                <w:w w:val="110"/>
                <w:sz w:val="9"/>
              </w:rPr>
              <w:t>+</w:t>
            </w:r>
          </w:p>
        </w:tc>
        <w:tc>
          <w:tcPr>
            <w:tcW w:w="987" w:type="dxa"/>
            <w:tcBorders>
              <w:top w:val="single" w:sz="4" w:space="0" w:color="FFFFFF"/>
              <w:bottom w:val="single" w:sz="4" w:space="0" w:color="FFFFFF"/>
            </w:tcBorders>
            <w:shd w:val="clear" w:color="auto" w:fill="E6ECF7"/>
          </w:tcPr>
          <w:p>
            <w:pPr>
              <w:pStyle w:val="TableParagraph"/>
              <w:ind w:right="220"/>
              <w:jc w:val="center"/>
              <w:rPr>
                <w:sz w:val="16"/>
              </w:rPr>
            </w:pPr>
            <w:r>
              <w:rPr>
                <w:color w:val="231F20"/>
                <w:w w:val="106"/>
                <w:sz w:val="16"/>
              </w:rPr>
              <w:t>5</w:t>
            </w:r>
          </w:p>
        </w:tc>
        <w:tc>
          <w:tcPr>
            <w:tcW w:w="1285" w:type="dxa"/>
            <w:tcBorders>
              <w:top w:val="single" w:sz="4" w:space="0" w:color="FFFFFF"/>
              <w:bottom w:val="single" w:sz="4" w:space="0" w:color="FFFFFF"/>
            </w:tcBorders>
            <w:shd w:val="clear" w:color="auto" w:fill="E6ECF7"/>
          </w:tcPr>
          <w:p>
            <w:pPr>
              <w:pStyle w:val="TableParagraph"/>
              <w:ind w:right="543"/>
              <w:jc w:val="right"/>
              <w:rPr>
                <w:sz w:val="16"/>
              </w:rPr>
            </w:pPr>
            <w:r>
              <w:rPr>
                <w:color w:val="231F20"/>
                <w:w w:val="95"/>
                <w:sz w:val="16"/>
              </w:rPr>
              <w:t>1.0</w:t>
            </w:r>
          </w:p>
        </w:tc>
        <w:tc>
          <w:tcPr>
            <w:tcW w:w="967" w:type="dxa"/>
            <w:tcBorders>
              <w:top w:val="single" w:sz="4" w:space="0" w:color="FFFFFF"/>
              <w:bottom w:val="single" w:sz="4" w:space="0" w:color="FFFFFF"/>
            </w:tcBorders>
            <w:shd w:val="clear" w:color="auto" w:fill="E6ECF7"/>
          </w:tcPr>
          <w:p>
            <w:pPr>
              <w:pStyle w:val="TableParagraph"/>
              <w:ind w:left="120"/>
              <w:jc w:val="center"/>
              <w:rPr>
                <w:sz w:val="16"/>
              </w:rPr>
            </w:pPr>
            <w:r>
              <w:rPr>
                <w:color w:val="231F20"/>
                <w:w w:val="106"/>
                <w:sz w:val="16"/>
              </w:rPr>
              <w:t>7</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spacing w:before="25"/>
              <w:ind w:left="120"/>
              <w:rPr>
                <w:rFonts w:ascii="Consolas"/>
                <w:sz w:val="9"/>
              </w:rPr>
            </w:pPr>
            <w:r>
              <w:rPr>
                <w:color w:val="231F20"/>
                <w:w w:val="105"/>
                <w:position w:val="-5"/>
                <w:sz w:val="16"/>
              </w:rPr>
              <w:t>Ca</w:t>
            </w:r>
            <w:r>
              <w:rPr>
                <w:rFonts w:ascii="Consolas"/>
                <w:color w:val="231F20"/>
                <w:w w:val="105"/>
                <w:sz w:val="9"/>
              </w:rPr>
              <w:t>++</w:t>
            </w:r>
          </w:p>
        </w:tc>
        <w:tc>
          <w:tcPr>
            <w:tcW w:w="987" w:type="dxa"/>
            <w:tcBorders>
              <w:top w:val="single" w:sz="4" w:space="0" w:color="FFFFFF"/>
              <w:bottom w:val="single" w:sz="4" w:space="0" w:color="FFFFFF"/>
            </w:tcBorders>
            <w:shd w:val="clear" w:color="auto" w:fill="E6ECF7"/>
          </w:tcPr>
          <w:p>
            <w:pPr>
              <w:pStyle w:val="TableParagraph"/>
              <w:ind w:right="220"/>
              <w:jc w:val="center"/>
              <w:rPr>
                <w:sz w:val="16"/>
              </w:rPr>
            </w:pPr>
            <w:r>
              <w:rPr>
                <w:color w:val="231F20"/>
                <w:w w:val="106"/>
                <w:sz w:val="16"/>
              </w:rPr>
              <w:t>3</w:t>
            </w:r>
          </w:p>
        </w:tc>
        <w:tc>
          <w:tcPr>
            <w:tcW w:w="1285" w:type="dxa"/>
            <w:tcBorders>
              <w:top w:val="single" w:sz="4" w:space="0" w:color="FFFFFF"/>
              <w:bottom w:val="single" w:sz="4" w:space="0" w:color="FFFFFF"/>
            </w:tcBorders>
            <w:shd w:val="clear" w:color="auto" w:fill="E6ECF7"/>
          </w:tcPr>
          <w:p>
            <w:pPr>
              <w:pStyle w:val="TableParagraph"/>
              <w:ind w:right="543"/>
              <w:jc w:val="right"/>
              <w:rPr>
                <w:sz w:val="16"/>
              </w:rPr>
            </w:pPr>
            <w:r>
              <w:rPr>
                <w:color w:val="231F20"/>
                <w:w w:val="95"/>
                <w:sz w:val="16"/>
              </w:rPr>
              <w:t>3.0</w:t>
            </w:r>
          </w:p>
        </w:tc>
        <w:tc>
          <w:tcPr>
            <w:tcW w:w="967" w:type="dxa"/>
            <w:tcBorders>
              <w:top w:val="single" w:sz="4" w:space="0" w:color="FFFFFF"/>
              <w:bottom w:val="single" w:sz="4" w:space="0" w:color="FFFFFF"/>
            </w:tcBorders>
            <w:shd w:val="clear" w:color="auto" w:fill="E6ECF7"/>
          </w:tcPr>
          <w:p>
            <w:pPr>
              <w:pStyle w:val="TableParagraph"/>
              <w:ind w:left="120"/>
              <w:jc w:val="center"/>
              <w:rPr>
                <w:sz w:val="16"/>
              </w:rPr>
            </w:pPr>
            <w:r>
              <w:rPr>
                <w:color w:val="231F20"/>
                <w:w w:val="106"/>
                <w:sz w:val="16"/>
              </w:rPr>
              <w:t>2</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spacing w:before="25"/>
              <w:ind w:left="120"/>
              <w:rPr>
                <w:rFonts w:ascii="Consolas"/>
                <w:sz w:val="9"/>
              </w:rPr>
            </w:pPr>
            <w:r>
              <w:rPr>
                <w:color w:val="231F20"/>
                <w:w w:val="115"/>
                <w:position w:val="-5"/>
                <w:sz w:val="16"/>
              </w:rPr>
              <w:t>Mg</w:t>
            </w:r>
            <w:r>
              <w:rPr>
                <w:rFonts w:ascii="Consolas"/>
                <w:color w:val="231F20"/>
                <w:w w:val="115"/>
                <w:sz w:val="9"/>
              </w:rPr>
              <w:t>++</w:t>
            </w:r>
          </w:p>
        </w:tc>
        <w:tc>
          <w:tcPr>
            <w:tcW w:w="987" w:type="dxa"/>
            <w:tcBorders>
              <w:top w:val="single" w:sz="4" w:space="0" w:color="FFFFFF"/>
              <w:bottom w:val="single" w:sz="4" w:space="0" w:color="FFFFFF"/>
            </w:tcBorders>
            <w:shd w:val="clear" w:color="auto" w:fill="E6ECF7"/>
          </w:tcPr>
          <w:p>
            <w:pPr>
              <w:pStyle w:val="TableParagraph"/>
              <w:ind w:right="424"/>
              <w:jc w:val="right"/>
              <w:rPr>
                <w:sz w:val="16"/>
              </w:rPr>
            </w:pPr>
            <w:r>
              <w:rPr>
                <w:color w:val="231F20"/>
                <w:w w:val="95"/>
                <w:sz w:val="16"/>
              </w:rPr>
              <w:t>1.5</w:t>
            </w:r>
          </w:p>
        </w:tc>
        <w:tc>
          <w:tcPr>
            <w:tcW w:w="1285" w:type="dxa"/>
            <w:tcBorders>
              <w:top w:val="single" w:sz="4" w:space="0" w:color="FFFFFF"/>
              <w:bottom w:val="single" w:sz="4" w:space="0" w:color="FFFFFF"/>
            </w:tcBorders>
            <w:shd w:val="clear" w:color="auto" w:fill="E6ECF7"/>
          </w:tcPr>
          <w:p>
            <w:pPr>
              <w:pStyle w:val="TableParagraph"/>
              <w:ind w:right="543"/>
              <w:jc w:val="right"/>
              <w:rPr>
                <w:sz w:val="16"/>
              </w:rPr>
            </w:pPr>
            <w:r>
              <w:rPr>
                <w:color w:val="231F20"/>
                <w:w w:val="95"/>
                <w:sz w:val="16"/>
              </w:rPr>
              <w:t>1.5</w:t>
            </w:r>
          </w:p>
        </w:tc>
        <w:tc>
          <w:tcPr>
            <w:tcW w:w="967" w:type="dxa"/>
            <w:tcBorders>
              <w:top w:val="single" w:sz="4" w:space="0" w:color="FFFFFF"/>
              <w:bottom w:val="single" w:sz="4" w:space="0" w:color="FFFFFF"/>
            </w:tcBorders>
            <w:shd w:val="clear" w:color="auto" w:fill="E6ECF7"/>
          </w:tcPr>
          <w:p>
            <w:pPr>
              <w:pStyle w:val="TableParagraph"/>
              <w:ind w:right="243"/>
              <w:jc w:val="right"/>
              <w:rPr>
                <w:sz w:val="16"/>
              </w:rPr>
            </w:pPr>
            <w:r>
              <w:rPr>
                <w:color w:val="231F20"/>
                <w:w w:val="95"/>
                <w:sz w:val="16"/>
              </w:rPr>
              <w:t>1.5</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ind w:left="120"/>
              <w:rPr>
                <w:rFonts w:ascii="Consolas" w:hAnsi="Consolas"/>
                <w:sz w:val="9"/>
              </w:rPr>
            </w:pPr>
            <w:r>
              <w:rPr>
                <w:color w:val="231F20"/>
                <w:sz w:val="16"/>
              </w:rPr>
              <w:t>Cl</w:t>
            </w:r>
            <w:r>
              <w:rPr>
                <w:rFonts w:ascii="Consolas" w:hAnsi="Consolas"/>
                <w:color w:val="231F20"/>
                <w:position w:val="6"/>
                <w:sz w:val="9"/>
              </w:rPr>
              <w:t>−</w:t>
            </w:r>
          </w:p>
        </w:tc>
        <w:tc>
          <w:tcPr>
            <w:tcW w:w="987" w:type="dxa"/>
            <w:tcBorders>
              <w:top w:val="single" w:sz="4" w:space="0" w:color="FFFFFF"/>
              <w:bottom w:val="single" w:sz="4" w:space="0" w:color="FFFFFF"/>
            </w:tcBorders>
            <w:shd w:val="clear" w:color="auto" w:fill="E6ECF7"/>
          </w:tcPr>
          <w:p>
            <w:pPr>
              <w:pStyle w:val="TableParagraph"/>
              <w:ind w:left="159"/>
              <w:rPr>
                <w:sz w:val="16"/>
              </w:rPr>
            </w:pPr>
            <w:r>
              <w:rPr>
                <w:color w:val="231F20"/>
                <w:w w:val="105"/>
                <w:sz w:val="16"/>
              </w:rPr>
              <w:t>107</w:t>
            </w:r>
          </w:p>
        </w:tc>
        <w:tc>
          <w:tcPr>
            <w:tcW w:w="1285" w:type="dxa"/>
            <w:tcBorders>
              <w:top w:val="single" w:sz="4" w:space="0" w:color="FFFFFF"/>
              <w:bottom w:val="single" w:sz="4" w:space="0" w:color="FFFFFF"/>
            </w:tcBorders>
            <w:shd w:val="clear" w:color="auto" w:fill="E6ECF7"/>
          </w:tcPr>
          <w:p>
            <w:pPr>
              <w:pStyle w:val="TableParagraph"/>
              <w:ind w:left="339"/>
              <w:rPr>
                <w:sz w:val="16"/>
              </w:rPr>
            </w:pPr>
            <w:r>
              <w:rPr>
                <w:color w:val="231F20"/>
                <w:w w:val="105"/>
                <w:sz w:val="16"/>
              </w:rPr>
              <w:t>105</w:t>
            </w:r>
          </w:p>
        </w:tc>
        <w:tc>
          <w:tcPr>
            <w:tcW w:w="967" w:type="dxa"/>
            <w:tcBorders>
              <w:top w:val="single" w:sz="4" w:space="0" w:color="FFFFFF"/>
              <w:bottom w:val="single" w:sz="4" w:space="0" w:color="FFFFFF"/>
            </w:tcBorders>
            <w:shd w:val="clear" w:color="auto" w:fill="E6ECF7"/>
          </w:tcPr>
          <w:p>
            <w:pPr>
              <w:pStyle w:val="TableParagraph"/>
              <w:ind w:left="321"/>
              <w:rPr>
                <w:sz w:val="16"/>
              </w:rPr>
            </w:pPr>
            <w:r>
              <w:rPr>
                <w:color w:val="231F20"/>
                <w:w w:val="105"/>
                <w:sz w:val="16"/>
              </w:rPr>
              <w:t>107</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spacing w:line="138" w:lineRule="exact"/>
              <w:ind w:left="120"/>
              <w:rPr>
                <w:rFonts w:ascii="Consolas" w:hAnsi="Consolas"/>
                <w:sz w:val="9"/>
              </w:rPr>
            </w:pPr>
            <w:r>
              <w:rPr>
                <w:color w:val="231F20"/>
                <w:w w:val="110"/>
                <w:sz w:val="16"/>
              </w:rPr>
              <w:t>HCO </w:t>
            </w:r>
            <w:r>
              <w:rPr>
                <w:rFonts w:ascii="Consolas" w:hAnsi="Consolas"/>
                <w:color w:val="231F20"/>
                <w:w w:val="110"/>
                <w:position w:val="6"/>
                <w:sz w:val="9"/>
              </w:rPr>
              <w:t>−</w:t>
            </w:r>
          </w:p>
          <w:p>
            <w:pPr>
              <w:pStyle w:val="TableParagraph"/>
              <w:spacing w:line="56" w:lineRule="exact" w:before="0"/>
              <w:ind w:left="457"/>
              <w:rPr>
                <w:sz w:val="9"/>
              </w:rPr>
            </w:pPr>
            <w:r>
              <w:rPr>
                <w:color w:val="231F20"/>
                <w:w w:val="113"/>
                <w:sz w:val="9"/>
              </w:rPr>
              <w:t>3</w:t>
            </w:r>
          </w:p>
        </w:tc>
        <w:tc>
          <w:tcPr>
            <w:tcW w:w="987" w:type="dxa"/>
            <w:tcBorders>
              <w:top w:val="single" w:sz="4" w:space="0" w:color="FFFFFF"/>
              <w:bottom w:val="single" w:sz="4" w:space="0" w:color="FFFFFF"/>
            </w:tcBorders>
            <w:shd w:val="clear" w:color="auto" w:fill="E6ECF7"/>
          </w:tcPr>
          <w:p>
            <w:pPr>
              <w:pStyle w:val="TableParagraph"/>
              <w:ind w:left="248"/>
              <w:rPr>
                <w:sz w:val="16"/>
              </w:rPr>
            </w:pPr>
            <w:r>
              <w:rPr>
                <w:color w:val="231F20"/>
                <w:w w:val="105"/>
                <w:sz w:val="16"/>
              </w:rPr>
              <w:t>24</w:t>
            </w:r>
          </w:p>
        </w:tc>
        <w:tc>
          <w:tcPr>
            <w:tcW w:w="1285" w:type="dxa"/>
            <w:tcBorders>
              <w:top w:val="single" w:sz="4" w:space="0" w:color="FFFFFF"/>
              <w:bottom w:val="single" w:sz="4" w:space="0" w:color="FFFFFF"/>
            </w:tcBorders>
            <w:shd w:val="clear" w:color="auto" w:fill="E6ECF7"/>
          </w:tcPr>
          <w:p>
            <w:pPr>
              <w:pStyle w:val="TableParagraph"/>
              <w:ind w:right="543"/>
              <w:jc w:val="right"/>
              <w:rPr>
                <w:sz w:val="16"/>
              </w:rPr>
            </w:pPr>
            <w:r>
              <w:rPr>
                <w:color w:val="231F20"/>
                <w:sz w:val="16"/>
              </w:rPr>
              <w:t>35.7</w:t>
            </w:r>
          </w:p>
        </w:tc>
        <w:tc>
          <w:tcPr>
            <w:tcW w:w="967" w:type="dxa"/>
            <w:tcBorders>
              <w:top w:val="single" w:sz="4" w:space="0" w:color="FFFFFF"/>
              <w:bottom w:val="single" w:sz="4" w:space="0" w:color="FFFFFF"/>
            </w:tcBorders>
            <w:shd w:val="clear" w:color="auto" w:fill="E6ECF7"/>
          </w:tcPr>
          <w:p>
            <w:pPr>
              <w:pStyle w:val="TableParagraph"/>
              <w:ind w:left="390" w:right="359"/>
              <w:jc w:val="center"/>
              <w:rPr>
                <w:sz w:val="16"/>
              </w:rPr>
            </w:pPr>
            <w:r>
              <w:rPr>
                <w:color w:val="231F20"/>
                <w:w w:val="105"/>
                <w:sz w:val="16"/>
              </w:rPr>
              <w:t>14</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ind w:left="120"/>
              <w:rPr>
                <w:rFonts w:ascii="Consolas" w:hAnsi="Consolas"/>
                <w:sz w:val="9"/>
              </w:rPr>
            </w:pPr>
            <w:r>
              <w:rPr>
                <w:color w:val="231F20"/>
                <w:sz w:val="16"/>
              </w:rPr>
              <w:t>Lactate</w:t>
            </w:r>
            <w:r>
              <w:rPr>
                <w:rFonts w:ascii="Consolas" w:hAnsi="Consolas"/>
                <w:color w:val="231F20"/>
                <w:position w:val="6"/>
                <w:sz w:val="9"/>
              </w:rPr>
              <w:t>−</w:t>
            </w:r>
          </w:p>
        </w:tc>
        <w:tc>
          <w:tcPr>
            <w:tcW w:w="987" w:type="dxa"/>
            <w:tcBorders>
              <w:top w:val="single" w:sz="4" w:space="0" w:color="FFFFFF"/>
              <w:bottom w:val="single" w:sz="4" w:space="0" w:color="FFFFFF"/>
            </w:tcBorders>
            <w:shd w:val="clear" w:color="auto" w:fill="E6ECF7"/>
          </w:tcPr>
          <w:p>
            <w:pPr>
              <w:pStyle w:val="TableParagraph"/>
              <w:ind w:right="424"/>
              <w:jc w:val="right"/>
              <w:rPr>
                <w:sz w:val="16"/>
              </w:rPr>
            </w:pPr>
            <w:r>
              <w:rPr>
                <w:color w:val="231F20"/>
                <w:w w:val="95"/>
                <w:sz w:val="16"/>
              </w:rPr>
              <w:t>1.2</w:t>
            </w:r>
          </w:p>
        </w:tc>
        <w:tc>
          <w:tcPr>
            <w:tcW w:w="1285" w:type="dxa"/>
            <w:tcBorders>
              <w:top w:val="single" w:sz="4" w:space="0" w:color="FFFFFF"/>
              <w:bottom w:val="single" w:sz="4" w:space="0" w:color="FFFFFF"/>
            </w:tcBorders>
            <w:shd w:val="clear" w:color="auto" w:fill="E6ECF7"/>
          </w:tcPr>
          <w:p>
            <w:pPr>
              <w:pStyle w:val="TableParagraph"/>
              <w:ind w:right="543"/>
              <w:jc w:val="right"/>
              <w:rPr>
                <w:sz w:val="16"/>
              </w:rPr>
            </w:pPr>
            <w:r>
              <w:rPr>
                <w:color w:val="231F20"/>
                <w:w w:val="95"/>
                <w:sz w:val="16"/>
              </w:rPr>
              <w:t>1.2</w:t>
            </w:r>
          </w:p>
        </w:tc>
        <w:tc>
          <w:tcPr>
            <w:tcW w:w="967" w:type="dxa"/>
            <w:tcBorders>
              <w:top w:val="single" w:sz="4" w:space="0" w:color="FFFFFF"/>
              <w:bottom w:val="single" w:sz="4" w:space="0" w:color="FFFFFF"/>
            </w:tcBorders>
            <w:shd w:val="clear" w:color="auto" w:fill="E6ECF7"/>
          </w:tcPr>
          <w:p>
            <w:pPr>
              <w:pStyle w:val="TableParagraph"/>
              <w:ind w:right="243"/>
              <w:jc w:val="right"/>
              <w:rPr>
                <w:sz w:val="16"/>
              </w:rPr>
            </w:pPr>
            <w:r>
              <w:rPr>
                <w:color w:val="231F20"/>
                <w:w w:val="95"/>
                <w:sz w:val="16"/>
              </w:rPr>
              <w:t>1.2</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spacing w:line="138" w:lineRule="exact"/>
              <w:ind w:left="120"/>
              <w:rPr>
                <w:rFonts w:ascii="Consolas"/>
                <w:sz w:val="9"/>
              </w:rPr>
            </w:pPr>
            <w:r>
              <w:rPr>
                <w:color w:val="231F20"/>
                <w:w w:val="110"/>
                <w:sz w:val="16"/>
              </w:rPr>
              <w:t>HPO </w:t>
            </w:r>
            <w:r>
              <w:rPr>
                <w:rFonts w:ascii="Consolas"/>
                <w:color w:val="231F20"/>
                <w:w w:val="110"/>
                <w:position w:val="6"/>
                <w:sz w:val="9"/>
              </w:rPr>
              <w:t>=</w:t>
            </w:r>
          </w:p>
          <w:p>
            <w:pPr>
              <w:pStyle w:val="TableParagraph"/>
              <w:spacing w:line="56" w:lineRule="exact" w:before="0"/>
              <w:ind w:left="448"/>
              <w:rPr>
                <w:sz w:val="9"/>
              </w:rPr>
            </w:pPr>
            <w:r>
              <w:rPr>
                <w:color w:val="231F20"/>
                <w:w w:val="113"/>
                <w:sz w:val="9"/>
              </w:rPr>
              <w:t>4</w:t>
            </w:r>
          </w:p>
        </w:tc>
        <w:tc>
          <w:tcPr>
            <w:tcW w:w="987" w:type="dxa"/>
            <w:tcBorders>
              <w:top w:val="single" w:sz="4" w:space="0" w:color="FFFFFF"/>
              <w:bottom w:val="single" w:sz="4" w:space="0" w:color="FFFFFF"/>
            </w:tcBorders>
            <w:shd w:val="clear" w:color="auto" w:fill="E6ECF7"/>
          </w:tcPr>
          <w:p>
            <w:pPr>
              <w:pStyle w:val="TableParagraph"/>
              <w:ind w:right="220"/>
              <w:jc w:val="center"/>
              <w:rPr>
                <w:sz w:val="16"/>
              </w:rPr>
            </w:pPr>
            <w:r>
              <w:rPr>
                <w:color w:val="231F20"/>
                <w:w w:val="106"/>
                <w:sz w:val="16"/>
              </w:rPr>
              <w:t>3</w:t>
            </w:r>
          </w:p>
        </w:tc>
        <w:tc>
          <w:tcPr>
            <w:tcW w:w="1285" w:type="dxa"/>
            <w:tcBorders>
              <w:top w:val="single" w:sz="4" w:space="0" w:color="FFFFFF"/>
              <w:bottom w:val="single" w:sz="4" w:space="0" w:color="FFFFFF"/>
            </w:tcBorders>
            <w:shd w:val="clear" w:color="auto" w:fill="E6ECF7"/>
          </w:tcPr>
          <w:p>
            <w:pPr>
              <w:pStyle w:val="TableParagraph"/>
              <w:ind w:right="159"/>
              <w:jc w:val="center"/>
              <w:rPr>
                <w:sz w:val="16"/>
              </w:rPr>
            </w:pPr>
            <w:r>
              <w:rPr>
                <w:color w:val="231F20"/>
                <w:w w:val="106"/>
                <w:sz w:val="16"/>
              </w:rPr>
              <w:t>0</w:t>
            </w:r>
          </w:p>
        </w:tc>
        <w:tc>
          <w:tcPr>
            <w:tcW w:w="967" w:type="dxa"/>
            <w:tcBorders>
              <w:top w:val="single" w:sz="4" w:space="0" w:color="FFFFFF"/>
              <w:bottom w:val="single" w:sz="4" w:space="0" w:color="FFFFFF"/>
            </w:tcBorders>
            <w:shd w:val="clear" w:color="auto" w:fill="E6ECF7"/>
          </w:tcPr>
          <w:p>
            <w:pPr>
              <w:pStyle w:val="TableParagraph"/>
              <w:ind w:left="120"/>
              <w:jc w:val="center"/>
              <w:rPr>
                <w:sz w:val="16"/>
              </w:rPr>
            </w:pPr>
            <w:r>
              <w:rPr>
                <w:color w:val="231F20"/>
                <w:w w:val="106"/>
                <w:sz w:val="16"/>
              </w:rPr>
              <w:t>9</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ind w:left="120"/>
              <w:rPr>
                <w:rFonts w:ascii="Consolas" w:hAnsi="Consolas"/>
                <w:sz w:val="9"/>
              </w:rPr>
            </w:pPr>
            <w:r>
              <w:rPr>
                <w:color w:val="231F20"/>
                <w:w w:val="105"/>
                <w:sz w:val="16"/>
              </w:rPr>
              <w:t>Urate</w:t>
            </w:r>
            <w:r>
              <w:rPr>
                <w:rFonts w:ascii="Consolas" w:hAnsi="Consolas"/>
                <w:color w:val="231F20"/>
                <w:w w:val="105"/>
                <w:position w:val="6"/>
                <w:sz w:val="9"/>
              </w:rPr>
              <w:t>−</w:t>
            </w:r>
          </w:p>
        </w:tc>
        <w:tc>
          <w:tcPr>
            <w:tcW w:w="987" w:type="dxa"/>
            <w:tcBorders>
              <w:top w:val="single" w:sz="4" w:space="0" w:color="FFFFFF"/>
              <w:bottom w:val="single" w:sz="4" w:space="0" w:color="FFFFFF"/>
            </w:tcBorders>
            <w:shd w:val="clear" w:color="auto" w:fill="E6ECF7"/>
          </w:tcPr>
          <w:p>
            <w:pPr>
              <w:pStyle w:val="TableParagraph"/>
              <w:ind w:right="424"/>
              <w:jc w:val="right"/>
              <w:rPr>
                <w:sz w:val="16"/>
              </w:rPr>
            </w:pPr>
            <w:r>
              <w:rPr>
                <w:color w:val="231F20"/>
                <w:w w:val="95"/>
                <w:sz w:val="16"/>
              </w:rPr>
              <w:t>0.3</w:t>
            </w:r>
          </w:p>
        </w:tc>
        <w:tc>
          <w:tcPr>
            <w:tcW w:w="1285" w:type="dxa"/>
            <w:tcBorders>
              <w:top w:val="single" w:sz="4" w:space="0" w:color="FFFFFF"/>
              <w:bottom w:val="single" w:sz="4" w:space="0" w:color="FFFFFF"/>
            </w:tcBorders>
            <w:shd w:val="clear" w:color="auto" w:fill="E6ECF7"/>
          </w:tcPr>
          <w:p>
            <w:pPr>
              <w:pStyle w:val="TableParagraph"/>
              <w:ind w:right="159"/>
              <w:jc w:val="center"/>
              <w:rPr>
                <w:sz w:val="16"/>
              </w:rPr>
            </w:pPr>
            <w:r>
              <w:rPr>
                <w:color w:val="231F20"/>
                <w:w w:val="106"/>
                <w:sz w:val="16"/>
              </w:rPr>
              <w:t>0</w:t>
            </w:r>
          </w:p>
        </w:tc>
        <w:tc>
          <w:tcPr>
            <w:tcW w:w="967" w:type="dxa"/>
            <w:tcBorders>
              <w:top w:val="single" w:sz="4" w:space="0" w:color="FFFFFF"/>
              <w:bottom w:val="single" w:sz="4" w:space="0" w:color="FFFFFF"/>
            </w:tcBorders>
            <w:shd w:val="clear" w:color="auto" w:fill="E6ECF7"/>
          </w:tcPr>
          <w:p>
            <w:pPr>
              <w:pStyle w:val="TableParagraph"/>
              <w:ind w:left="120"/>
              <w:jc w:val="center"/>
              <w:rPr>
                <w:sz w:val="16"/>
              </w:rPr>
            </w:pPr>
            <w:r>
              <w:rPr>
                <w:color w:val="231F20"/>
                <w:w w:val="106"/>
                <w:sz w:val="16"/>
              </w:rPr>
              <w:t>2</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ind w:left="120"/>
              <w:rPr>
                <w:rFonts w:ascii="Consolas"/>
                <w:sz w:val="9"/>
              </w:rPr>
            </w:pPr>
            <w:r>
              <w:rPr>
                <w:color w:val="231F20"/>
                <w:w w:val="105"/>
                <w:sz w:val="16"/>
              </w:rPr>
              <w:t>Sulfate</w:t>
            </w:r>
            <w:r>
              <w:rPr>
                <w:rFonts w:ascii="Consolas"/>
                <w:color w:val="231F20"/>
                <w:w w:val="105"/>
                <w:position w:val="6"/>
                <w:sz w:val="9"/>
              </w:rPr>
              <w:t>=</w:t>
            </w:r>
          </w:p>
        </w:tc>
        <w:tc>
          <w:tcPr>
            <w:tcW w:w="987" w:type="dxa"/>
            <w:tcBorders>
              <w:top w:val="single" w:sz="4" w:space="0" w:color="FFFFFF"/>
              <w:bottom w:val="single" w:sz="4" w:space="0" w:color="FFFFFF"/>
            </w:tcBorders>
            <w:shd w:val="clear" w:color="auto" w:fill="E6ECF7"/>
          </w:tcPr>
          <w:p>
            <w:pPr>
              <w:pStyle w:val="TableParagraph"/>
              <w:ind w:right="424"/>
              <w:jc w:val="right"/>
              <w:rPr>
                <w:sz w:val="16"/>
              </w:rPr>
            </w:pPr>
            <w:r>
              <w:rPr>
                <w:color w:val="231F20"/>
                <w:w w:val="95"/>
                <w:sz w:val="16"/>
              </w:rPr>
              <w:t>0.5</w:t>
            </w:r>
          </w:p>
        </w:tc>
        <w:tc>
          <w:tcPr>
            <w:tcW w:w="1285" w:type="dxa"/>
            <w:tcBorders>
              <w:top w:val="single" w:sz="4" w:space="0" w:color="FFFFFF"/>
              <w:bottom w:val="single" w:sz="4" w:space="0" w:color="FFFFFF"/>
            </w:tcBorders>
            <w:shd w:val="clear" w:color="auto" w:fill="E6ECF7"/>
          </w:tcPr>
          <w:p>
            <w:pPr>
              <w:pStyle w:val="TableParagraph"/>
              <w:ind w:right="159"/>
              <w:jc w:val="center"/>
              <w:rPr>
                <w:sz w:val="16"/>
              </w:rPr>
            </w:pPr>
            <w:r>
              <w:rPr>
                <w:color w:val="231F20"/>
                <w:w w:val="106"/>
                <w:sz w:val="16"/>
              </w:rPr>
              <w:t>0</w:t>
            </w:r>
          </w:p>
        </w:tc>
        <w:tc>
          <w:tcPr>
            <w:tcW w:w="967" w:type="dxa"/>
            <w:tcBorders>
              <w:top w:val="single" w:sz="4" w:space="0" w:color="FFFFFF"/>
              <w:bottom w:val="single" w:sz="4" w:space="0" w:color="FFFFFF"/>
            </w:tcBorders>
            <w:shd w:val="clear" w:color="auto" w:fill="E6ECF7"/>
          </w:tcPr>
          <w:p>
            <w:pPr>
              <w:pStyle w:val="TableParagraph"/>
              <w:ind w:left="120"/>
              <w:jc w:val="center"/>
              <w:rPr>
                <w:sz w:val="16"/>
              </w:rPr>
            </w:pPr>
            <w:r>
              <w:rPr>
                <w:color w:val="231F20"/>
                <w:w w:val="106"/>
                <w:sz w:val="16"/>
              </w:rPr>
              <w:t>3</w:t>
            </w:r>
          </w:p>
        </w:tc>
      </w:tr>
      <w:tr>
        <w:trPr>
          <w:trHeight w:val="538" w:hRule="atLeast"/>
        </w:trPr>
        <w:tc>
          <w:tcPr>
            <w:tcW w:w="1440" w:type="dxa"/>
            <w:tcBorders>
              <w:top w:val="single" w:sz="4" w:space="0" w:color="FFFFFF"/>
              <w:bottom w:val="single" w:sz="4" w:space="0" w:color="FFFFFF"/>
            </w:tcBorders>
            <w:shd w:val="clear" w:color="auto" w:fill="E6ECF7"/>
          </w:tcPr>
          <w:p>
            <w:pPr>
              <w:pStyle w:val="TableParagraph"/>
              <w:ind w:left="120"/>
              <w:rPr>
                <w:b/>
                <w:sz w:val="16"/>
              </w:rPr>
            </w:pPr>
            <w:r>
              <w:rPr>
                <w:b/>
                <w:color w:val="231F20"/>
                <w:sz w:val="16"/>
              </w:rPr>
              <w:t>Nonelectrolytes</w:t>
            </w:r>
          </w:p>
          <w:p>
            <w:pPr>
              <w:pStyle w:val="TableParagraph"/>
              <w:spacing w:before="89"/>
              <w:ind w:left="120"/>
              <w:rPr>
                <w:sz w:val="16"/>
              </w:rPr>
            </w:pPr>
            <w:r>
              <w:rPr>
                <w:color w:val="231F20"/>
                <w:w w:val="105"/>
                <w:sz w:val="16"/>
              </w:rPr>
              <w:t>Glucose</w:t>
            </w:r>
          </w:p>
        </w:tc>
        <w:tc>
          <w:tcPr>
            <w:tcW w:w="987" w:type="dxa"/>
            <w:tcBorders>
              <w:top w:val="single" w:sz="4" w:space="0" w:color="FFFFFF"/>
              <w:bottom w:val="single" w:sz="4" w:space="0" w:color="FFFFFF"/>
            </w:tcBorders>
            <w:shd w:val="clear" w:color="auto" w:fill="E6ECF7"/>
          </w:tcPr>
          <w:p>
            <w:pPr>
              <w:pStyle w:val="TableParagraph"/>
              <w:spacing w:before="2"/>
              <w:rPr>
                <w:sz w:val="26"/>
              </w:rPr>
            </w:pPr>
          </w:p>
          <w:p>
            <w:pPr>
              <w:pStyle w:val="TableParagraph"/>
              <w:spacing w:before="0"/>
              <w:ind w:left="159"/>
              <w:rPr>
                <w:sz w:val="16"/>
              </w:rPr>
            </w:pPr>
            <w:r>
              <w:rPr>
                <w:color w:val="231F20"/>
                <w:w w:val="105"/>
                <w:sz w:val="16"/>
              </w:rPr>
              <w:t>100</w:t>
            </w:r>
          </w:p>
        </w:tc>
        <w:tc>
          <w:tcPr>
            <w:tcW w:w="1285" w:type="dxa"/>
            <w:tcBorders>
              <w:top w:val="single" w:sz="4" w:space="0" w:color="FFFFFF"/>
              <w:bottom w:val="single" w:sz="4" w:space="0" w:color="FFFFFF"/>
            </w:tcBorders>
            <w:shd w:val="clear" w:color="auto" w:fill="E6ECF7"/>
          </w:tcPr>
          <w:p>
            <w:pPr>
              <w:pStyle w:val="TableParagraph"/>
              <w:spacing w:before="2"/>
              <w:rPr>
                <w:sz w:val="26"/>
              </w:rPr>
            </w:pPr>
          </w:p>
          <w:p>
            <w:pPr>
              <w:pStyle w:val="TableParagraph"/>
              <w:spacing w:before="0"/>
              <w:ind w:left="339"/>
              <w:rPr>
                <w:sz w:val="16"/>
              </w:rPr>
            </w:pPr>
            <w:r>
              <w:rPr>
                <w:color w:val="231F20"/>
                <w:w w:val="105"/>
                <w:sz w:val="16"/>
              </w:rPr>
              <w:t>125</w:t>
            </w:r>
          </w:p>
        </w:tc>
        <w:tc>
          <w:tcPr>
            <w:tcW w:w="967" w:type="dxa"/>
            <w:tcBorders>
              <w:top w:val="single" w:sz="4" w:space="0" w:color="FFFFFF"/>
              <w:bottom w:val="single" w:sz="4" w:space="0" w:color="FFFFFF"/>
            </w:tcBorders>
            <w:shd w:val="clear" w:color="auto" w:fill="E6ECF7"/>
          </w:tcPr>
          <w:p>
            <w:pPr>
              <w:pStyle w:val="TableParagraph"/>
              <w:spacing w:before="2"/>
              <w:rPr>
                <w:sz w:val="26"/>
              </w:rPr>
            </w:pPr>
          </w:p>
          <w:p>
            <w:pPr>
              <w:pStyle w:val="TableParagraph"/>
              <w:spacing w:before="0"/>
              <w:ind w:left="321"/>
              <w:rPr>
                <w:sz w:val="16"/>
              </w:rPr>
            </w:pPr>
            <w:r>
              <w:rPr>
                <w:color w:val="231F20"/>
                <w:w w:val="105"/>
                <w:sz w:val="16"/>
              </w:rPr>
              <w:t>100</w:t>
            </w:r>
          </w:p>
        </w:tc>
      </w:tr>
      <w:tr>
        <w:trPr>
          <w:trHeight w:val="264" w:hRule="atLeast"/>
        </w:trPr>
        <w:tc>
          <w:tcPr>
            <w:tcW w:w="1440" w:type="dxa"/>
            <w:tcBorders>
              <w:top w:val="single" w:sz="4" w:space="0" w:color="FFFFFF"/>
              <w:bottom w:val="single" w:sz="4" w:space="0" w:color="FFFFFF"/>
            </w:tcBorders>
            <w:shd w:val="clear" w:color="auto" w:fill="E6ECF7"/>
          </w:tcPr>
          <w:p>
            <w:pPr>
              <w:pStyle w:val="TableParagraph"/>
              <w:ind w:left="120"/>
              <w:rPr>
                <w:sz w:val="16"/>
              </w:rPr>
            </w:pPr>
            <w:r>
              <w:rPr>
                <w:color w:val="231F20"/>
                <w:w w:val="105"/>
                <w:sz w:val="16"/>
              </w:rPr>
              <w:t>Urea</w:t>
            </w:r>
          </w:p>
        </w:tc>
        <w:tc>
          <w:tcPr>
            <w:tcW w:w="987" w:type="dxa"/>
            <w:tcBorders>
              <w:top w:val="single" w:sz="4" w:space="0" w:color="FFFFFF"/>
              <w:bottom w:val="single" w:sz="4" w:space="0" w:color="FFFFFF"/>
            </w:tcBorders>
            <w:shd w:val="clear" w:color="auto" w:fill="E6ECF7"/>
          </w:tcPr>
          <w:p>
            <w:pPr>
              <w:pStyle w:val="TableParagraph"/>
              <w:ind w:left="249"/>
              <w:rPr>
                <w:sz w:val="16"/>
              </w:rPr>
            </w:pPr>
            <w:r>
              <w:rPr>
                <w:color w:val="231F20"/>
                <w:w w:val="105"/>
                <w:sz w:val="16"/>
              </w:rPr>
              <w:t>26</w:t>
            </w:r>
          </w:p>
        </w:tc>
        <w:tc>
          <w:tcPr>
            <w:tcW w:w="1285" w:type="dxa"/>
            <w:tcBorders>
              <w:top w:val="single" w:sz="4" w:space="0" w:color="FFFFFF"/>
              <w:bottom w:val="single" w:sz="4" w:space="0" w:color="FFFFFF"/>
            </w:tcBorders>
            <w:shd w:val="clear" w:color="auto" w:fill="E6ECF7"/>
          </w:tcPr>
          <w:p>
            <w:pPr>
              <w:pStyle w:val="TableParagraph"/>
              <w:ind w:right="158"/>
              <w:jc w:val="center"/>
              <w:rPr>
                <w:sz w:val="16"/>
              </w:rPr>
            </w:pPr>
            <w:r>
              <w:rPr>
                <w:color w:val="231F20"/>
                <w:w w:val="106"/>
                <w:sz w:val="16"/>
              </w:rPr>
              <w:t>0</w:t>
            </w:r>
          </w:p>
        </w:tc>
        <w:tc>
          <w:tcPr>
            <w:tcW w:w="967" w:type="dxa"/>
            <w:tcBorders>
              <w:top w:val="single" w:sz="4" w:space="0" w:color="FFFFFF"/>
              <w:bottom w:val="single" w:sz="4" w:space="0" w:color="FFFFFF"/>
            </w:tcBorders>
            <w:shd w:val="clear" w:color="auto" w:fill="E6ECF7"/>
          </w:tcPr>
          <w:p>
            <w:pPr>
              <w:pStyle w:val="TableParagraph"/>
              <w:ind w:left="321"/>
              <w:rPr>
                <w:sz w:val="16"/>
              </w:rPr>
            </w:pPr>
            <w:r>
              <w:rPr>
                <w:color w:val="231F20"/>
                <w:w w:val="105"/>
                <w:sz w:val="16"/>
              </w:rPr>
              <w:t>200</w:t>
            </w:r>
          </w:p>
        </w:tc>
      </w:tr>
      <w:tr>
        <w:trPr>
          <w:trHeight w:val="279" w:hRule="atLeast"/>
        </w:trPr>
        <w:tc>
          <w:tcPr>
            <w:tcW w:w="1440" w:type="dxa"/>
            <w:tcBorders>
              <w:top w:val="single" w:sz="4" w:space="0" w:color="FFFFFF"/>
            </w:tcBorders>
            <w:shd w:val="clear" w:color="auto" w:fill="E6ECF7"/>
          </w:tcPr>
          <w:p>
            <w:pPr>
              <w:pStyle w:val="TableParagraph"/>
              <w:ind w:left="120"/>
              <w:rPr>
                <w:sz w:val="16"/>
              </w:rPr>
            </w:pPr>
            <w:r>
              <w:rPr>
                <w:color w:val="231F20"/>
                <w:w w:val="105"/>
                <w:sz w:val="16"/>
              </w:rPr>
              <w:t>Creatinine</w:t>
            </w:r>
          </w:p>
        </w:tc>
        <w:tc>
          <w:tcPr>
            <w:tcW w:w="987" w:type="dxa"/>
            <w:tcBorders>
              <w:top w:val="single" w:sz="4" w:space="0" w:color="FFFFFF"/>
            </w:tcBorders>
            <w:shd w:val="clear" w:color="auto" w:fill="E6ECF7"/>
          </w:tcPr>
          <w:p>
            <w:pPr>
              <w:pStyle w:val="TableParagraph"/>
              <w:ind w:right="219"/>
              <w:jc w:val="center"/>
              <w:rPr>
                <w:sz w:val="16"/>
              </w:rPr>
            </w:pPr>
            <w:r>
              <w:rPr>
                <w:color w:val="231F20"/>
                <w:w w:val="106"/>
                <w:sz w:val="16"/>
              </w:rPr>
              <w:t>1</w:t>
            </w:r>
          </w:p>
        </w:tc>
        <w:tc>
          <w:tcPr>
            <w:tcW w:w="1285" w:type="dxa"/>
            <w:tcBorders>
              <w:top w:val="single" w:sz="4" w:space="0" w:color="FFFFFF"/>
            </w:tcBorders>
            <w:shd w:val="clear" w:color="auto" w:fill="E6ECF7"/>
          </w:tcPr>
          <w:p>
            <w:pPr>
              <w:pStyle w:val="TableParagraph"/>
              <w:ind w:right="158"/>
              <w:jc w:val="center"/>
              <w:rPr>
                <w:sz w:val="16"/>
              </w:rPr>
            </w:pPr>
            <w:r>
              <w:rPr>
                <w:color w:val="231F20"/>
                <w:w w:val="106"/>
                <w:sz w:val="16"/>
              </w:rPr>
              <w:t>0</w:t>
            </w:r>
          </w:p>
        </w:tc>
        <w:tc>
          <w:tcPr>
            <w:tcW w:w="967" w:type="dxa"/>
            <w:tcBorders>
              <w:top w:val="single" w:sz="4" w:space="0" w:color="FFFFFF"/>
            </w:tcBorders>
            <w:shd w:val="clear" w:color="auto" w:fill="E6ECF7"/>
          </w:tcPr>
          <w:p>
            <w:pPr>
              <w:pStyle w:val="TableParagraph"/>
              <w:ind w:left="121"/>
              <w:jc w:val="center"/>
              <w:rPr>
                <w:sz w:val="16"/>
              </w:rPr>
            </w:pPr>
            <w:r>
              <w:rPr>
                <w:color w:val="231F20"/>
                <w:w w:val="106"/>
                <w:sz w:val="16"/>
              </w:rPr>
              <w:t>6</w:t>
            </w:r>
          </w:p>
        </w:tc>
      </w:tr>
    </w:tbl>
    <w:p>
      <w:pPr>
        <w:pStyle w:val="BodyText"/>
        <w:rPr>
          <w:rFonts w:ascii="Trebuchet MS"/>
          <w:sz w:val="26"/>
        </w:rPr>
      </w:pPr>
      <w:r>
        <w:rPr/>
        <w:br w:type="column"/>
      </w:r>
      <w:r>
        <w:rPr>
          <w:rFonts w:ascii="Trebuchet MS"/>
          <w:sz w:val="26"/>
        </w:rPr>
      </w: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rPr>
          <w:rFonts w:ascii="Trebuchet MS"/>
          <w:sz w:val="26"/>
        </w:rPr>
      </w:pPr>
    </w:p>
    <w:p>
      <w:pPr>
        <w:pStyle w:val="BodyText"/>
        <w:spacing w:before="10"/>
        <w:rPr>
          <w:rFonts w:ascii="Trebuchet MS"/>
          <w:sz w:val="31"/>
        </w:rPr>
      </w:pPr>
    </w:p>
    <w:p>
      <w:pPr>
        <w:pStyle w:val="Heading1"/>
        <w:ind w:left="320"/>
      </w:pPr>
      <w:r>
        <w:rPr/>
        <w:pict>
          <v:rect style="position:absolute;margin-left:576pt;margin-top:-115.579437pt;width:36pt;height:24pt;mso-position-horizontal-relative:page;mso-position-vertical-relative:paragraph;z-index:253373440" filled="true" fillcolor="#e8dac8" stroked="false">
            <v:fill type="solid"/>
            <w10:wrap type="none"/>
          </v:rect>
        </w:pict>
      </w:r>
      <w:r>
        <w:rPr>
          <w:color w:val="231F20"/>
        </w:rPr>
        <w:t>Bibliography</w:t>
      </w:r>
    </w:p>
    <w:p>
      <w:pPr>
        <w:spacing w:line="200" w:lineRule="atLeast" w:before="83"/>
        <w:ind w:left="480" w:right="1008" w:hanging="160"/>
        <w:jc w:val="left"/>
        <w:rPr>
          <w:rFonts w:ascii="Arial"/>
          <w:sz w:val="16"/>
        </w:rPr>
      </w:pPr>
      <w:r>
        <w:rPr/>
        <w:pict>
          <v:shape style="position:absolute;margin-left:72pt;margin-top:13.821391pt;width:234pt;height:398.15pt;mso-position-horizontal-relative:page;mso-position-vertical-relative:paragraph;z-index:253374464" type="#_x0000_t202" filled="true" fillcolor="#f0eef6" stroked="false">
            <v:textbox inset="0,0,0,0">
              <w:txbxContent>
                <w:p>
                  <w:pPr>
                    <w:spacing w:line="254" w:lineRule="auto" w:before="127"/>
                    <w:ind w:left="180" w:right="177" w:firstLine="0"/>
                    <w:jc w:val="both"/>
                    <w:rPr>
                      <w:sz w:val="18"/>
                    </w:rPr>
                  </w:pPr>
                  <w:r>
                    <w:rPr>
                      <w:color w:val="231F20"/>
                      <w:w w:val="105"/>
                      <w:sz w:val="18"/>
                    </w:rPr>
                    <w:t>dialysis is begun) and slows down as the concentration gradient is dissipated. In a flowing system, as is the case with “hemodialysis,” in which blood and dialysate </w:t>
                  </w:r>
                  <w:r>
                    <w:rPr>
                      <w:color w:val="231F20"/>
                      <w:spacing w:val="-3"/>
                      <w:w w:val="105"/>
                      <w:sz w:val="18"/>
                    </w:rPr>
                    <w:t>fluid </w:t>
                  </w:r>
                  <w:r>
                    <w:rPr>
                      <w:color w:val="231F20"/>
                      <w:w w:val="105"/>
                      <w:sz w:val="18"/>
                    </w:rPr>
                    <w:t>flow through the artificial kidney, the dissipation of the concentration gradient can be reduced and diffusion of solute across the membrane can be optimized by increas­ ing the  flow  rate  of  the  blood,  the  dialyzing  fluid,</w:t>
                  </w:r>
                  <w:r>
                    <w:rPr>
                      <w:color w:val="231F20"/>
                      <w:spacing w:val="47"/>
                      <w:w w:val="105"/>
                      <w:sz w:val="18"/>
                    </w:rPr>
                    <w:t> </w:t>
                  </w:r>
                  <w:r>
                    <w:rPr>
                      <w:color w:val="231F20"/>
                      <w:w w:val="105"/>
                      <w:sz w:val="18"/>
                    </w:rPr>
                    <w:t>or</w:t>
                  </w:r>
                  <w:r>
                    <w:rPr>
                      <w:color w:val="231F20"/>
                      <w:spacing w:val="3"/>
                      <w:w w:val="105"/>
                      <w:sz w:val="18"/>
                    </w:rPr>
                    <w:t> </w:t>
                  </w:r>
                  <w:r>
                    <w:rPr>
                      <w:color w:val="231F20"/>
                      <w:w w:val="105"/>
                      <w:sz w:val="18"/>
                    </w:rPr>
                    <w:t>both.</w:t>
                  </w:r>
                </w:p>
                <w:p>
                  <w:pPr>
                    <w:spacing w:line="254" w:lineRule="auto" w:before="5"/>
                    <w:ind w:left="180" w:right="177" w:firstLine="239"/>
                    <w:jc w:val="both"/>
                    <w:rPr>
                      <w:i/>
                      <w:sz w:val="18"/>
                    </w:rPr>
                  </w:pPr>
                  <w:r>
                    <w:rPr>
                      <w:color w:val="231F20"/>
                      <w:sz w:val="18"/>
                    </w:rPr>
                    <w:t>In normal operation of the artificial kidney, blood flows continually or intermittently back into the vein. The total amount of blood in the artificial kidney at any one time is usually less than 500 milliliters, the rate of flow may be several hundred milliliters per minute, and the total diffu­ sion surface area is between 0.6 and 2.5 square meters. </w:t>
                  </w:r>
                  <w:r>
                    <w:rPr>
                      <w:color w:val="231F20"/>
                      <w:spacing w:val="-10"/>
                      <w:sz w:val="18"/>
                    </w:rPr>
                    <w:t>To </w:t>
                  </w:r>
                  <w:r>
                    <w:rPr>
                      <w:color w:val="231F20"/>
                      <w:sz w:val="18"/>
                    </w:rPr>
                    <w:t>prevent coagulation of the blood in the artificial kidney, a small amount of heparin is infused into the blood as </w:t>
                  </w:r>
                  <w:r>
                    <w:rPr>
                      <w:color w:val="231F20"/>
                      <w:spacing w:val="-6"/>
                      <w:sz w:val="18"/>
                    </w:rPr>
                    <w:t>it </w:t>
                  </w:r>
                  <w:r>
                    <w:rPr>
                      <w:color w:val="231F20"/>
                      <w:sz w:val="18"/>
                    </w:rPr>
                    <w:t>enters the artificial kidney. In addition to diffusion of solutes, mass transfer of solutes and water can be produced by applying a hydrostatic pressure to force the fluid and solutes across the membranes of the dialyzer; such filtra­ tion is called </w:t>
                  </w:r>
                  <w:r>
                    <w:rPr>
                      <w:i/>
                      <w:color w:val="231F20"/>
                      <w:sz w:val="18"/>
                    </w:rPr>
                    <w:t>bulk flow </w:t>
                  </w:r>
                  <w:r>
                    <w:rPr>
                      <w:color w:val="231F20"/>
                      <w:sz w:val="18"/>
                    </w:rPr>
                    <w:t>or</w:t>
                  </w:r>
                  <w:r>
                    <w:rPr>
                      <w:color w:val="231F20"/>
                      <w:spacing w:val="42"/>
                      <w:sz w:val="18"/>
                    </w:rPr>
                    <w:t> </w:t>
                  </w:r>
                  <w:r>
                    <w:rPr>
                      <w:i/>
                      <w:color w:val="231F20"/>
                      <w:sz w:val="18"/>
                    </w:rPr>
                    <w:t>hemofiltration.</w:t>
                  </w:r>
                </w:p>
                <w:p>
                  <w:pPr>
                    <w:spacing w:before="146"/>
                    <w:ind w:left="180" w:right="0" w:firstLine="0"/>
                    <w:jc w:val="both"/>
                    <w:rPr>
                      <w:rFonts w:ascii="Trebuchet MS"/>
                      <w:b/>
                      <w:sz w:val="18"/>
                    </w:rPr>
                  </w:pPr>
                  <w:r>
                    <w:rPr>
                      <w:rFonts w:ascii="Trebuchet MS"/>
                      <w:b/>
                      <w:color w:val="231F20"/>
                      <w:sz w:val="18"/>
                    </w:rPr>
                    <w:t>Dialyzing Fluid</w:t>
                  </w:r>
                </w:p>
                <w:p>
                  <w:pPr>
                    <w:spacing w:line="254" w:lineRule="auto" w:before="92"/>
                    <w:ind w:left="180" w:right="177" w:firstLine="0"/>
                    <w:jc w:val="both"/>
                    <w:rPr>
                      <w:sz w:val="18"/>
                    </w:rPr>
                  </w:pPr>
                  <w:hyperlink w:history="true" w:anchor="_bookmark130">
                    <w:r>
                      <w:rPr>
                        <w:b/>
                        <w:color w:val="0080AC"/>
                        <w:spacing w:val="-3"/>
                        <w:w w:val="105"/>
                        <w:sz w:val="18"/>
                      </w:rPr>
                      <w:t>Table</w:t>
                    </w:r>
                    <w:r>
                      <w:rPr>
                        <w:b/>
                        <w:color w:val="0080AC"/>
                        <w:spacing w:val="-22"/>
                        <w:w w:val="105"/>
                        <w:sz w:val="18"/>
                      </w:rPr>
                      <w:t> </w:t>
                    </w:r>
                    <w:r>
                      <w:rPr>
                        <w:b/>
                        <w:color w:val="0080AC"/>
                        <w:w w:val="105"/>
                        <w:sz w:val="18"/>
                      </w:rPr>
                      <w:t>32-7</w:t>
                    </w:r>
                    <w:r>
                      <w:rPr>
                        <w:b/>
                        <w:color w:val="0080AC"/>
                        <w:spacing w:val="-21"/>
                        <w:w w:val="105"/>
                        <w:sz w:val="18"/>
                      </w:rPr>
                      <w:t> </w:t>
                    </w:r>
                  </w:hyperlink>
                  <w:r>
                    <w:rPr>
                      <w:color w:val="231F20"/>
                      <w:w w:val="105"/>
                      <w:sz w:val="18"/>
                    </w:rPr>
                    <w:t>compares</w:t>
                  </w:r>
                  <w:r>
                    <w:rPr>
                      <w:color w:val="231F20"/>
                      <w:spacing w:val="-20"/>
                      <w:w w:val="105"/>
                      <w:sz w:val="18"/>
                    </w:rPr>
                    <w:t> </w:t>
                  </w:r>
                  <w:r>
                    <w:rPr>
                      <w:color w:val="231F20"/>
                      <w:w w:val="105"/>
                      <w:sz w:val="18"/>
                    </w:rPr>
                    <w:t>the</w:t>
                  </w:r>
                  <w:r>
                    <w:rPr>
                      <w:color w:val="231F20"/>
                      <w:spacing w:val="-21"/>
                      <w:w w:val="105"/>
                      <w:sz w:val="18"/>
                    </w:rPr>
                    <w:t> </w:t>
                  </w:r>
                  <w:r>
                    <w:rPr>
                      <w:color w:val="231F20"/>
                      <w:w w:val="105"/>
                      <w:sz w:val="18"/>
                    </w:rPr>
                    <w:t>constituents</w:t>
                  </w:r>
                  <w:r>
                    <w:rPr>
                      <w:color w:val="231F20"/>
                      <w:spacing w:val="-20"/>
                      <w:w w:val="105"/>
                      <w:sz w:val="18"/>
                    </w:rPr>
                    <w:t> </w:t>
                  </w:r>
                  <w:r>
                    <w:rPr>
                      <w:color w:val="231F20"/>
                      <w:w w:val="105"/>
                      <w:sz w:val="18"/>
                    </w:rPr>
                    <w:t>in</w:t>
                  </w:r>
                  <w:r>
                    <w:rPr>
                      <w:color w:val="231F20"/>
                      <w:spacing w:val="-20"/>
                      <w:w w:val="105"/>
                      <w:sz w:val="18"/>
                    </w:rPr>
                    <w:t> </w:t>
                  </w:r>
                  <w:r>
                    <w:rPr>
                      <w:color w:val="231F20"/>
                      <w:w w:val="105"/>
                      <w:sz w:val="18"/>
                    </w:rPr>
                    <w:t>a</w:t>
                  </w:r>
                  <w:r>
                    <w:rPr>
                      <w:color w:val="231F20"/>
                      <w:spacing w:val="-21"/>
                      <w:w w:val="105"/>
                      <w:sz w:val="18"/>
                    </w:rPr>
                    <w:t> </w:t>
                  </w:r>
                  <w:r>
                    <w:rPr>
                      <w:color w:val="231F20"/>
                      <w:w w:val="105"/>
                      <w:sz w:val="18"/>
                    </w:rPr>
                    <w:t>typical</w:t>
                  </w:r>
                  <w:r>
                    <w:rPr>
                      <w:color w:val="231F20"/>
                      <w:spacing w:val="-20"/>
                      <w:w w:val="105"/>
                      <w:sz w:val="18"/>
                    </w:rPr>
                    <w:t> </w:t>
                  </w:r>
                  <w:r>
                    <w:rPr>
                      <w:color w:val="231F20"/>
                      <w:w w:val="105"/>
                      <w:sz w:val="18"/>
                    </w:rPr>
                    <w:t>dialyzing fluid</w:t>
                  </w:r>
                  <w:r>
                    <w:rPr>
                      <w:color w:val="231F20"/>
                      <w:spacing w:val="-19"/>
                      <w:w w:val="105"/>
                      <w:sz w:val="18"/>
                    </w:rPr>
                    <w:t> </w:t>
                  </w:r>
                  <w:r>
                    <w:rPr>
                      <w:color w:val="231F20"/>
                      <w:w w:val="105"/>
                      <w:sz w:val="18"/>
                    </w:rPr>
                    <w:t>with</w:t>
                  </w:r>
                  <w:r>
                    <w:rPr>
                      <w:color w:val="231F20"/>
                      <w:spacing w:val="-19"/>
                      <w:w w:val="105"/>
                      <w:sz w:val="18"/>
                    </w:rPr>
                    <w:t> </w:t>
                  </w:r>
                  <w:r>
                    <w:rPr>
                      <w:color w:val="231F20"/>
                      <w:w w:val="105"/>
                      <w:sz w:val="18"/>
                    </w:rPr>
                    <w:t>those</w:t>
                  </w:r>
                  <w:r>
                    <w:rPr>
                      <w:color w:val="231F20"/>
                      <w:spacing w:val="-19"/>
                      <w:w w:val="105"/>
                      <w:sz w:val="18"/>
                    </w:rPr>
                    <w:t> </w:t>
                  </w:r>
                  <w:r>
                    <w:rPr>
                      <w:color w:val="231F20"/>
                      <w:w w:val="105"/>
                      <w:sz w:val="18"/>
                    </w:rPr>
                    <w:t>in</w:t>
                  </w:r>
                  <w:r>
                    <w:rPr>
                      <w:color w:val="231F20"/>
                      <w:spacing w:val="-19"/>
                      <w:w w:val="105"/>
                      <w:sz w:val="18"/>
                    </w:rPr>
                    <w:t> </w:t>
                  </w:r>
                  <w:r>
                    <w:rPr>
                      <w:color w:val="231F20"/>
                      <w:w w:val="105"/>
                      <w:sz w:val="18"/>
                    </w:rPr>
                    <w:t>normal</w:t>
                  </w:r>
                  <w:r>
                    <w:rPr>
                      <w:color w:val="231F20"/>
                      <w:spacing w:val="-19"/>
                      <w:w w:val="105"/>
                      <w:sz w:val="18"/>
                    </w:rPr>
                    <w:t> </w:t>
                  </w:r>
                  <w:r>
                    <w:rPr>
                      <w:color w:val="231F20"/>
                      <w:w w:val="105"/>
                      <w:sz w:val="18"/>
                    </w:rPr>
                    <w:t>plasma</w:t>
                  </w:r>
                  <w:r>
                    <w:rPr>
                      <w:color w:val="231F20"/>
                      <w:spacing w:val="-18"/>
                      <w:w w:val="105"/>
                      <w:sz w:val="18"/>
                    </w:rPr>
                    <w:t> </w:t>
                  </w:r>
                  <w:r>
                    <w:rPr>
                      <w:color w:val="231F20"/>
                      <w:w w:val="105"/>
                      <w:sz w:val="18"/>
                    </w:rPr>
                    <w:t>and</w:t>
                  </w:r>
                  <w:r>
                    <w:rPr>
                      <w:color w:val="231F20"/>
                      <w:spacing w:val="-19"/>
                      <w:w w:val="105"/>
                      <w:sz w:val="18"/>
                    </w:rPr>
                    <w:t> </w:t>
                  </w:r>
                  <w:r>
                    <w:rPr>
                      <w:color w:val="231F20"/>
                      <w:w w:val="105"/>
                      <w:sz w:val="18"/>
                    </w:rPr>
                    <w:t>uremic</w:t>
                  </w:r>
                  <w:r>
                    <w:rPr>
                      <w:color w:val="231F20"/>
                      <w:spacing w:val="-19"/>
                      <w:w w:val="105"/>
                      <w:sz w:val="18"/>
                    </w:rPr>
                    <w:t> </w:t>
                  </w:r>
                  <w:r>
                    <w:rPr>
                      <w:color w:val="231F20"/>
                      <w:w w:val="105"/>
                      <w:sz w:val="18"/>
                    </w:rPr>
                    <w:t>plasma.</w:t>
                  </w:r>
                  <w:r>
                    <w:rPr>
                      <w:color w:val="231F20"/>
                      <w:spacing w:val="-19"/>
                      <w:w w:val="105"/>
                      <w:sz w:val="18"/>
                    </w:rPr>
                    <w:t> </w:t>
                  </w:r>
                  <w:r>
                    <w:rPr>
                      <w:color w:val="231F20"/>
                      <w:w w:val="105"/>
                      <w:sz w:val="18"/>
                    </w:rPr>
                    <w:t>Note that the concentrations of ions and other substances </w:t>
                  </w:r>
                  <w:r>
                    <w:rPr>
                      <w:color w:val="231F20"/>
                      <w:spacing w:val="-6"/>
                      <w:w w:val="105"/>
                      <w:sz w:val="18"/>
                    </w:rPr>
                    <w:t>in </w:t>
                  </w:r>
                  <w:r>
                    <w:rPr>
                      <w:color w:val="231F20"/>
                      <w:w w:val="105"/>
                      <w:sz w:val="18"/>
                    </w:rPr>
                    <w:t>dialyzing fluid are not the same as the concentrations in normal plasma or in uremic plasma. Instead, they are adjusted to levels that are needed to cause appropriate movement of water and solutes through the membrane during</w:t>
                  </w:r>
                  <w:r>
                    <w:rPr>
                      <w:color w:val="231F20"/>
                      <w:spacing w:val="2"/>
                      <w:w w:val="105"/>
                      <w:sz w:val="18"/>
                    </w:rPr>
                    <w:t> </w:t>
                  </w:r>
                  <w:r>
                    <w:rPr>
                      <w:color w:val="231F20"/>
                      <w:w w:val="105"/>
                      <w:sz w:val="18"/>
                    </w:rPr>
                    <w:t>dialysis.</w:t>
                  </w:r>
                </w:p>
                <w:p>
                  <w:pPr>
                    <w:spacing w:line="254" w:lineRule="auto" w:before="5"/>
                    <w:ind w:left="179" w:right="177" w:firstLine="240"/>
                    <w:jc w:val="both"/>
                    <w:rPr>
                      <w:sz w:val="18"/>
                    </w:rPr>
                  </w:pPr>
                  <w:r>
                    <w:rPr>
                      <w:color w:val="231F20"/>
                      <w:w w:val="105"/>
                      <w:sz w:val="18"/>
                    </w:rPr>
                    <w:t>Note that there is no phosphate, urea, urate, sulfate, or creatinine in the dialyzing fluid; however, these sub­ stances are present in high concentrations in the uremic blood.</w:t>
                  </w:r>
                  <w:r>
                    <w:rPr>
                      <w:color w:val="231F20"/>
                      <w:spacing w:val="-31"/>
                      <w:w w:val="105"/>
                      <w:sz w:val="18"/>
                    </w:rPr>
                    <w:t> </w:t>
                  </w:r>
                  <w:r>
                    <w:rPr>
                      <w:color w:val="231F20"/>
                      <w:w w:val="105"/>
                      <w:sz w:val="18"/>
                    </w:rPr>
                    <w:t>Therefore,</w:t>
                  </w:r>
                  <w:r>
                    <w:rPr>
                      <w:color w:val="231F20"/>
                      <w:spacing w:val="-31"/>
                      <w:w w:val="105"/>
                      <w:sz w:val="18"/>
                    </w:rPr>
                    <w:t> </w:t>
                  </w:r>
                  <w:r>
                    <w:rPr>
                      <w:color w:val="231F20"/>
                      <w:w w:val="105"/>
                      <w:sz w:val="18"/>
                    </w:rPr>
                    <w:t>when</w:t>
                  </w:r>
                  <w:r>
                    <w:rPr>
                      <w:color w:val="231F20"/>
                      <w:spacing w:val="-31"/>
                      <w:w w:val="105"/>
                      <w:sz w:val="18"/>
                    </w:rPr>
                    <w:t> </w:t>
                  </w:r>
                  <w:r>
                    <w:rPr>
                      <w:color w:val="231F20"/>
                      <w:w w:val="105"/>
                      <w:sz w:val="18"/>
                    </w:rPr>
                    <w:t>a</w:t>
                  </w:r>
                  <w:r>
                    <w:rPr>
                      <w:color w:val="231F20"/>
                      <w:spacing w:val="-31"/>
                      <w:w w:val="105"/>
                      <w:sz w:val="18"/>
                    </w:rPr>
                    <w:t> </w:t>
                  </w:r>
                  <w:r>
                    <w:rPr>
                      <w:color w:val="231F20"/>
                      <w:w w:val="105"/>
                      <w:sz w:val="18"/>
                    </w:rPr>
                    <w:t>uremic</w:t>
                  </w:r>
                  <w:r>
                    <w:rPr>
                      <w:color w:val="231F20"/>
                      <w:spacing w:val="-31"/>
                      <w:w w:val="105"/>
                      <w:sz w:val="18"/>
                    </w:rPr>
                    <w:t> </w:t>
                  </w:r>
                  <w:r>
                    <w:rPr>
                      <w:color w:val="231F20"/>
                      <w:w w:val="105"/>
                      <w:sz w:val="18"/>
                    </w:rPr>
                    <w:t>patient</w:t>
                  </w:r>
                  <w:r>
                    <w:rPr>
                      <w:color w:val="231F20"/>
                      <w:spacing w:val="-30"/>
                      <w:w w:val="105"/>
                      <w:sz w:val="18"/>
                    </w:rPr>
                    <w:t> </w:t>
                  </w:r>
                  <w:r>
                    <w:rPr>
                      <w:color w:val="231F20"/>
                      <w:w w:val="105"/>
                      <w:sz w:val="18"/>
                    </w:rPr>
                    <w:t>undergoes</w:t>
                  </w:r>
                  <w:r>
                    <w:rPr>
                      <w:color w:val="231F20"/>
                      <w:spacing w:val="-31"/>
                      <w:w w:val="105"/>
                      <w:sz w:val="18"/>
                    </w:rPr>
                    <w:t> </w:t>
                  </w:r>
                  <w:r>
                    <w:rPr>
                      <w:color w:val="231F20"/>
                      <w:w w:val="105"/>
                      <w:sz w:val="18"/>
                    </w:rPr>
                    <w:t>dialysis,</w:t>
                  </w:r>
                </w:p>
              </w:txbxContent>
            </v:textbox>
            <v:fill type="solid"/>
            <w10:wrap type="none"/>
          </v:shape>
        </w:pict>
      </w:r>
      <w:r>
        <w:rPr>
          <w:rFonts w:ascii="Arial"/>
          <w:color w:val="231F20"/>
          <w:sz w:val="16"/>
        </w:rPr>
        <w:t>Blantz RC, Singh P: Glomerular and tubular function in the diabetic kidney. Adv Chronic Kidney Dis 21:297, 2014.</w:t>
      </w:r>
    </w:p>
    <w:p>
      <w:pPr>
        <w:spacing w:line="261" w:lineRule="auto" w:before="16"/>
        <w:ind w:left="480" w:right="1070" w:hanging="160"/>
        <w:jc w:val="left"/>
        <w:rPr>
          <w:rFonts w:ascii="Arial"/>
          <w:sz w:val="16"/>
        </w:rPr>
      </w:pPr>
      <w:r>
        <w:rPr>
          <w:rFonts w:ascii="Arial"/>
          <w:color w:val="231F20"/>
          <w:sz w:val="16"/>
        </w:rPr>
        <w:t>Bonventre JV, Yang L: Cellular pathophysiology of ischemic acute kidney injury. J Clin Invest 121:4210, 2011.</w:t>
      </w:r>
    </w:p>
    <w:p>
      <w:pPr>
        <w:spacing w:line="261" w:lineRule="auto" w:before="0"/>
        <w:ind w:left="480" w:right="1008" w:hanging="160"/>
        <w:jc w:val="left"/>
        <w:rPr>
          <w:rFonts w:ascii="Arial"/>
          <w:sz w:val="16"/>
        </w:rPr>
      </w:pPr>
      <w:r>
        <w:rPr>
          <w:rFonts w:ascii="Arial"/>
          <w:color w:val="231F20"/>
          <w:sz w:val="16"/>
        </w:rPr>
        <w:t>Couser WG: Basic and translational concepts of immune-mediated glomerular diseases. J Am Soc Nephrol 23:381, 2012.</w:t>
      </w:r>
    </w:p>
    <w:p>
      <w:pPr>
        <w:spacing w:line="261" w:lineRule="auto" w:before="0"/>
        <w:ind w:left="480" w:right="1070" w:hanging="160"/>
        <w:jc w:val="left"/>
        <w:rPr>
          <w:rFonts w:ascii="Arial" w:hAnsi="Arial"/>
          <w:sz w:val="16"/>
        </w:rPr>
      </w:pPr>
      <w:r>
        <w:rPr>
          <w:rFonts w:ascii="Arial" w:hAnsi="Arial"/>
          <w:color w:val="231F20"/>
          <w:w w:val="95"/>
          <w:sz w:val="16"/>
        </w:rPr>
        <w:t>D’Agati VD, Kaskel FJ, Falk RJ: Focal segmental glomerulosclerosis. </w:t>
      </w:r>
      <w:r>
        <w:rPr>
          <w:rFonts w:ascii="Arial" w:hAnsi="Arial"/>
          <w:color w:val="231F20"/>
          <w:sz w:val="16"/>
        </w:rPr>
        <w:t>N Engl J Med 365:2398, 2011.</w:t>
      </w:r>
    </w:p>
    <w:p>
      <w:pPr>
        <w:spacing w:line="261" w:lineRule="auto" w:before="0"/>
        <w:ind w:left="480" w:right="1070" w:hanging="160"/>
        <w:jc w:val="left"/>
        <w:rPr>
          <w:rFonts w:ascii="Arial"/>
          <w:sz w:val="16"/>
        </w:rPr>
      </w:pPr>
      <w:r>
        <w:rPr>
          <w:rFonts w:ascii="Arial"/>
          <w:color w:val="231F20"/>
          <w:sz w:val="16"/>
        </w:rPr>
        <w:t>Denton</w:t>
      </w:r>
      <w:r>
        <w:rPr>
          <w:rFonts w:ascii="Arial"/>
          <w:color w:val="231F20"/>
          <w:spacing w:val="-15"/>
          <w:sz w:val="16"/>
        </w:rPr>
        <w:t> </w:t>
      </w:r>
      <w:r>
        <w:rPr>
          <w:rFonts w:ascii="Arial"/>
          <w:color w:val="231F20"/>
          <w:sz w:val="16"/>
        </w:rPr>
        <w:t>JS,</w:t>
      </w:r>
      <w:r>
        <w:rPr>
          <w:rFonts w:ascii="Arial"/>
          <w:color w:val="231F20"/>
          <w:spacing w:val="-14"/>
          <w:sz w:val="16"/>
        </w:rPr>
        <w:t> </w:t>
      </w:r>
      <w:r>
        <w:rPr>
          <w:rFonts w:ascii="Arial"/>
          <w:color w:val="231F20"/>
          <w:sz w:val="16"/>
        </w:rPr>
        <w:t>Pao</w:t>
      </w:r>
      <w:r>
        <w:rPr>
          <w:rFonts w:ascii="Arial"/>
          <w:color w:val="231F20"/>
          <w:spacing w:val="-15"/>
          <w:sz w:val="16"/>
        </w:rPr>
        <w:t> </w:t>
      </w:r>
      <w:r>
        <w:rPr>
          <w:rFonts w:ascii="Arial"/>
          <w:color w:val="231F20"/>
          <w:sz w:val="16"/>
        </w:rPr>
        <w:t>AC,</w:t>
      </w:r>
      <w:r>
        <w:rPr>
          <w:rFonts w:ascii="Arial"/>
          <w:color w:val="231F20"/>
          <w:spacing w:val="-14"/>
          <w:sz w:val="16"/>
        </w:rPr>
        <w:t> </w:t>
      </w:r>
      <w:r>
        <w:rPr>
          <w:rFonts w:ascii="Arial"/>
          <w:color w:val="231F20"/>
          <w:sz w:val="16"/>
        </w:rPr>
        <w:t>Maduke</w:t>
      </w:r>
      <w:r>
        <w:rPr>
          <w:rFonts w:ascii="Arial"/>
          <w:color w:val="231F20"/>
          <w:spacing w:val="-14"/>
          <w:sz w:val="16"/>
        </w:rPr>
        <w:t> </w:t>
      </w:r>
      <w:r>
        <w:rPr>
          <w:rFonts w:ascii="Arial"/>
          <w:color w:val="231F20"/>
          <w:sz w:val="16"/>
        </w:rPr>
        <w:t>M:</w:t>
      </w:r>
      <w:r>
        <w:rPr>
          <w:rFonts w:ascii="Arial"/>
          <w:color w:val="231F20"/>
          <w:spacing w:val="-15"/>
          <w:sz w:val="16"/>
        </w:rPr>
        <w:t> </w:t>
      </w:r>
      <w:r>
        <w:rPr>
          <w:rFonts w:ascii="Arial"/>
          <w:color w:val="231F20"/>
          <w:sz w:val="16"/>
        </w:rPr>
        <w:t>Novel</w:t>
      </w:r>
      <w:r>
        <w:rPr>
          <w:rFonts w:ascii="Arial"/>
          <w:color w:val="231F20"/>
          <w:spacing w:val="-14"/>
          <w:sz w:val="16"/>
        </w:rPr>
        <w:t> </w:t>
      </w:r>
      <w:r>
        <w:rPr>
          <w:rFonts w:ascii="Arial"/>
          <w:color w:val="231F20"/>
          <w:sz w:val="16"/>
        </w:rPr>
        <w:t>diuretic</w:t>
      </w:r>
      <w:r>
        <w:rPr>
          <w:rFonts w:ascii="Arial"/>
          <w:color w:val="231F20"/>
          <w:spacing w:val="-15"/>
          <w:sz w:val="16"/>
        </w:rPr>
        <w:t> </w:t>
      </w:r>
      <w:r>
        <w:rPr>
          <w:rFonts w:ascii="Arial"/>
          <w:color w:val="231F20"/>
          <w:sz w:val="16"/>
        </w:rPr>
        <w:t>targets.</w:t>
      </w:r>
      <w:r>
        <w:rPr>
          <w:rFonts w:ascii="Arial"/>
          <w:color w:val="231F20"/>
          <w:spacing w:val="-14"/>
          <w:sz w:val="16"/>
        </w:rPr>
        <w:t> </w:t>
      </w:r>
      <w:r>
        <w:rPr>
          <w:rFonts w:ascii="Arial"/>
          <w:color w:val="231F20"/>
          <w:sz w:val="16"/>
        </w:rPr>
        <w:t>Am</w:t>
      </w:r>
      <w:r>
        <w:rPr>
          <w:rFonts w:ascii="Arial"/>
          <w:color w:val="231F20"/>
          <w:spacing w:val="-14"/>
          <w:sz w:val="16"/>
        </w:rPr>
        <w:t> </w:t>
      </w:r>
      <w:r>
        <w:rPr>
          <w:rFonts w:ascii="Arial"/>
          <w:color w:val="231F20"/>
          <w:sz w:val="16"/>
        </w:rPr>
        <w:t>J</w:t>
      </w:r>
      <w:r>
        <w:rPr>
          <w:rFonts w:ascii="Arial"/>
          <w:color w:val="231F20"/>
          <w:spacing w:val="-15"/>
          <w:sz w:val="16"/>
        </w:rPr>
        <w:t> </w:t>
      </w:r>
      <w:r>
        <w:rPr>
          <w:rFonts w:ascii="Arial"/>
          <w:color w:val="231F20"/>
          <w:sz w:val="16"/>
        </w:rPr>
        <w:t>Physiol Renal Physiol 305:F931,</w:t>
      </w:r>
      <w:r>
        <w:rPr>
          <w:rFonts w:ascii="Arial"/>
          <w:color w:val="231F20"/>
          <w:spacing w:val="16"/>
          <w:sz w:val="16"/>
        </w:rPr>
        <w:t> </w:t>
      </w:r>
      <w:r>
        <w:rPr>
          <w:rFonts w:ascii="Arial"/>
          <w:color w:val="231F20"/>
          <w:sz w:val="16"/>
        </w:rPr>
        <w:t>2013.</w:t>
      </w:r>
    </w:p>
    <w:p>
      <w:pPr>
        <w:spacing w:line="261" w:lineRule="auto" w:before="0"/>
        <w:ind w:left="480" w:right="1068" w:hanging="160"/>
        <w:jc w:val="left"/>
        <w:rPr>
          <w:rFonts w:ascii="Arial"/>
          <w:sz w:val="16"/>
        </w:rPr>
      </w:pPr>
      <w:r>
        <w:rPr>
          <w:rFonts w:ascii="Arial"/>
          <w:color w:val="231F20"/>
          <w:sz w:val="16"/>
        </w:rPr>
        <w:t>Devarajan</w:t>
      </w:r>
      <w:r>
        <w:rPr>
          <w:rFonts w:ascii="Arial"/>
          <w:color w:val="231F20"/>
          <w:spacing w:val="-22"/>
          <w:sz w:val="16"/>
        </w:rPr>
        <w:t> </w:t>
      </w:r>
      <w:r>
        <w:rPr>
          <w:rFonts w:ascii="Arial"/>
          <w:color w:val="231F20"/>
          <w:sz w:val="16"/>
        </w:rPr>
        <w:t>P:</w:t>
      </w:r>
      <w:r>
        <w:rPr>
          <w:rFonts w:ascii="Arial"/>
          <w:color w:val="231F20"/>
          <w:spacing w:val="-22"/>
          <w:sz w:val="16"/>
        </w:rPr>
        <w:t> </w:t>
      </w:r>
      <w:r>
        <w:rPr>
          <w:rFonts w:ascii="Arial"/>
          <w:color w:val="231F20"/>
          <w:sz w:val="16"/>
        </w:rPr>
        <w:t>Update</w:t>
      </w:r>
      <w:r>
        <w:rPr>
          <w:rFonts w:ascii="Arial"/>
          <w:color w:val="231F20"/>
          <w:spacing w:val="-21"/>
          <w:sz w:val="16"/>
        </w:rPr>
        <w:t> </w:t>
      </w:r>
      <w:r>
        <w:rPr>
          <w:rFonts w:ascii="Arial"/>
          <w:color w:val="231F20"/>
          <w:sz w:val="16"/>
        </w:rPr>
        <w:t>on</w:t>
      </w:r>
      <w:r>
        <w:rPr>
          <w:rFonts w:ascii="Arial"/>
          <w:color w:val="231F20"/>
          <w:spacing w:val="-22"/>
          <w:sz w:val="16"/>
        </w:rPr>
        <w:t> </w:t>
      </w:r>
      <w:r>
        <w:rPr>
          <w:rFonts w:ascii="Arial"/>
          <w:color w:val="231F20"/>
          <w:sz w:val="16"/>
        </w:rPr>
        <w:t>mechanisms</w:t>
      </w:r>
      <w:r>
        <w:rPr>
          <w:rFonts w:ascii="Arial"/>
          <w:color w:val="231F20"/>
          <w:spacing w:val="-22"/>
          <w:sz w:val="16"/>
        </w:rPr>
        <w:t> </w:t>
      </w:r>
      <w:r>
        <w:rPr>
          <w:rFonts w:ascii="Arial"/>
          <w:color w:val="231F20"/>
          <w:sz w:val="16"/>
        </w:rPr>
        <w:t>of</w:t>
      </w:r>
      <w:r>
        <w:rPr>
          <w:rFonts w:ascii="Arial"/>
          <w:color w:val="231F20"/>
          <w:spacing w:val="-21"/>
          <w:sz w:val="16"/>
        </w:rPr>
        <w:t> </w:t>
      </w:r>
      <w:r>
        <w:rPr>
          <w:rFonts w:ascii="Arial"/>
          <w:color w:val="231F20"/>
          <w:sz w:val="16"/>
        </w:rPr>
        <w:t>ischemic</w:t>
      </w:r>
      <w:r>
        <w:rPr>
          <w:rFonts w:ascii="Arial"/>
          <w:color w:val="231F20"/>
          <w:spacing w:val="-22"/>
          <w:sz w:val="16"/>
        </w:rPr>
        <w:t> </w:t>
      </w:r>
      <w:r>
        <w:rPr>
          <w:rFonts w:ascii="Arial"/>
          <w:color w:val="231F20"/>
          <w:sz w:val="16"/>
        </w:rPr>
        <w:t>acute</w:t>
      </w:r>
      <w:r>
        <w:rPr>
          <w:rFonts w:ascii="Arial"/>
          <w:color w:val="231F20"/>
          <w:spacing w:val="-21"/>
          <w:sz w:val="16"/>
        </w:rPr>
        <w:t> </w:t>
      </w:r>
      <w:r>
        <w:rPr>
          <w:rFonts w:ascii="Arial"/>
          <w:color w:val="231F20"/>
          <w:sz w:val="16"/>
        </w:rPr>
        <w:t>kidney</w:t>
      </w:r>
      <w:r>
        <w:rPr>
          <w:rFonts w:ascii="Arial"/>
          <w:color w:val="231F20"/>
          <w:spacing w:val="-22"/>
          <w:sz w:val="16"/>
        </w:rPr>
        <w:t> </w:t>
      </w:r>
      <w:r>
        <w:rPr>
          <w:rFonts w:ascii="Arial"/>
          <w:color w:val="231F20"/>
          <w:spacing w:val="-6"/>
          <w:sz w:val="16"/>
        </w:rPr>
        <w:t>injury. </w:t>
      </w:r>
      <w:r>
        <w:rPr>
          <w:rFonts w:ascii="Arial"/>
          <w:color w:val="231F20"/>
          <w:sz w:val="16"/>
        </w:rPr>
        <w:t>J Am Soc Nephrol 17:1503,</w:t>
      </w:r>
      <w:r>
        <w:rPr>
          <w:rFonts w:ascii="Arial"/>
          <w:color w:val="231F20"/>
          <w:spacing w:val="30"/>
          <w:sz w:val="16"/>
        </w:rPr>
        <w:t> </w:t>
      </w:r>
      <w:r>
        <w:rPr>
          <w:rFonts w:ascii="Arial"/>
          <w:color w:val="231F20"/>
          <w:sz w:val="16"/>
        </w:rPr>
        <w:t>2006.</w:t>
      </w:r>
    </w:p>
    <w:p>
      <w:pPr>
        <w:spacing w:line="183" w:lineRule="exact" w:before="0"/>
        <w:ind w:left="320" w:right="0" w:firstLine="0"/>
        <w:jc w:val="left"/>
        <w:rPr>
          <w:rFonts w:ascii="Arial"/>
          <w:sz w:val="16"/>
        </w:rPr>
      </w:pPr>
      <w:r>
        <w:rPr>
          <w:rFonts w:ascii="Arial"/>
          <w:color w:val="231F20"/>
          <w:sz w:val="16"/>
        </w:rPr>
        <w:t>Ernst ME, Moser M: Use of diuretics in patients with hypertension.</w:t>
      </w:r>
    </w:p>
    <w:p>
      <w:pPr>
        <w:spacing w:before="12"/>
        <w:ind w:left="480" w:right="0" w:firstLine="0"/>
        <w:jc w:val="left"/>
        <w:rPr>
          <w:rFonts w:ascii="Arial"/>
          <w:sz w:val="16"/>
        </w:rPr>
      </w:pPr>
      <w:r>
        <w:rPr>
          <w:rFonts w:ascii="Arial"/>
          <w:color w:val="231F20"/>
          <w:sz w:val="16"/>
        </w:rPr>
        <w:t>N Engl J Med 361:2153, 2009.</w:t>
      </w:r>
    </w:p>
    <w:p>
      <w:pPr>
        <w:spacing w:line="261" w:lineRule="auto" w:before="16"/>
        <w:ind w:left="480" w:right="1078" w:hanging="160"/>
        <w:jc w:val="both"/>
        <w:rPr>
          <w:rFonts w:ascii="Arial"/>
          <w:sz w:val="16"/>
        </w:rPr>
      </w:pPr>
      <w:r>
        <w:rPr>
          <w:rFonts w:ascii="Arial"/>
          <w:color w:val="231F20"/>
          <w:w w:val="95"/>
          <w:sz w:val="16"/>
        </w:rPr>
        <w:t>Grantham JJ: Clinical practice. Autosomal dominant polycystic kidney </w:t>
      </w:r>
      <w:r>
        <w:rPr>
          <w:rFonts w:ascii="Arial"/>
          <w:color w:val="231F20"/>
          <w:sz w:val="16"/>
        </w:rPr>
        <w:t>disease. N Engl J Med 359:1477, 2008.</w:t>
      </w:r>
    </w:p>
    <w:p>
      <w:pPr>
        <w:spacing w:line="261" w:lineRule="auto" w:before="0"/>
        <w:ind w:left="480" w:right="1078" w:hanging="160"/>
        <w:jc w:val="both"/>
        <w:rPr>
          <w:rFonts w:ascii="Arial"/>
          <w:sz w:val="16"/>
        </w:rPr>
      </w:pPr>
      <w:r>
        <w:rPr>
          <w:rFonts w:ascii="Arial"/>
          <w:color w:val="231F20"/>
          <w:sz w:val="16"/>
        </w:rPr>
        <w:t>Hall</w:t>
      </w:r>
      <w:r>
        <w:rPr>
          <w:rFonts w:ascii="Arial"/>
          <w:color w:val="231F20"/>
          <w:spacing w:val="-24"/>
          <w:sz w:val="16"/>
        </w:rPr>
        <w:t> </w:t>
      </w:r>
      <w:r>
        <w:rPr>
          <w:rFonts w:ascii="Arial"/>
          <w:color w:val="231F20"/>
          <w:sz w:val="16"/>
        </w:rPr>
        <w:t>JE:</w:t>
      </w:r>
      <w:r>
        <w:rPr>
          <w:rFonts w:ascii="Arial"/>
          <w:color w:val="231F20"/>
          <w:spacing w:val="-23"/>
          <w:sz w:val="16"/>
        </w:rPr>
        <w:t> </w:t>
      </w:r>
      <w:r>
        <w:rPr>
          <w:rFonts w:ascii="Arial"/>
          <w:color w:val="231F20"/>
          <w:sz w:val="16"/>
        </w:rPr>
        <w:t>The</w:t>
      </w:r>
      <w:r>
        <w:rPr>
          <w:rFonts w:ascii="Arial"/>
          <w:color w:val="231F20"/>
          <w:spacing w:val="-23"/>
          <w:sz w:val="16"/>
        </w:rPr>
        <w:t> </w:t>
      </w:r>
      <w:r>
        <w:rPr>
          <w:rFonts w:ascii="Arial"/>
          <w:color w:val="231F20"/>
          <w:spacing w:val="-3"/>
          <w:sz w:val="16"/>
        </w:rPr>
        <w:t>kidney,</w:t>
      </w:r>
      <w:r>
        <w:rPr>
          <w:rFonts w:ascii="Arial"/>
          <w:color w:val="231F20"/>
          <w:spacing w:val="-23"/>
          <w:sz w:val="16"/>
        </w:rPr>
        <w:t> </w:t>
      </w:r>
      <w:r>
        <w:rPr>
          <w:rFonts w:ascii="Arial"/>
          <w:color w:val="231F20"/>
          <w:sz w:val="16"/>
        </w:rPr>
        <w:t>hypertension,</w:t>
      </w:r>
      <w:r>
        <w:rPr>
          <w:rFonts w:ascii="Arial"/>
          <w:color w:val="231F20"/>
          <w:spacing w:val="-23"/>
          <w:sz w:val="16"/>
        </w:rPr>
        <w:t> </w:t>
      </w:r>
      <w:r>
        <w:rPr>
          <w:rFonts w:ascii="Arial"/>
          <w:color w:val="231F20"/>
          <w:sz w:val="16"/>
        </w:rPr>
        <w:t>and</w:t>
      </w:r>
      <w:r>
        <w:rPr>
          <w:rFonts w:ascii="Arial"/>
          <w:color w:val="231F20"/>
          <w:spacing w:val="-23"/>
          <w:sz w:val="16"/>
        </w:rPr>
        <w:t> </w:t>
      </w:r>
      <w:r>
        <w:rPr>
          <w:rFonts w:ascii="Arial"/>
          <w:color w:val="231F20"/>
          <w:sz w:val="16"/>
        </w:rPr>
        <w:t>obesity.</w:t>
      </w:r>
      <w:r>
        <w:rPr>
          <w:rFonts w:ascii="Arial"/>
          <w:color w:val="231F20"/>
          <w:spacing w:val="-24"/>
          <w:sz w:val="16"/>
        </w:rPr>
        <w:t> </w:t>
      </w:r>
      <w:r>
        <w:rPr>
          <w:rFonts w:ascii="Arial"/>
          <w:color w:val="231F20"/>
          <w:sz w:val="16"/>
        </w:rPr>
        <w:t>Hypertension</w:t>
      </w:r>
      <w:r>
        <w:rPr>
          <w:rFonts w:ascii="Arial"/>
          <w:color w:val="231F20"/>
          <w:spacing w:val="-23"/>
          <w:sz w:val="16"/>
        </w:rPr>
        <w:t> </w:t>
      </w:r>
      <w:r>
        <w:rPr>
          <w:rFonts w:ascii="Arial"/>
          <w:color w:val="231F20"/>
          <w:spacing w:val="-3"/>
          <w:sz w:val="16"/>
        </w:rPr>
        <w:t>41:625, </w:t>
      </w:r>
      <w:r>
        <w:rPr>
          <w:rFonts w:ascii="Arial"/>
          <w:color w:val="231F20"/>
          <w:sz w:val="16"/>
        </w:rPr>
        <w:t>2003.</w:t>
      </w:r>
    </w:p>
    <w:p>
      <w:pPr>
        <w:spacing w:line="261" w:lineRule="auto" w:before="0"/>
        <w:ind w:left="480" w:right="1079" w:hanging="160"/>
        <w:jc w:val="both"/>
        <w:rPr>
          <w:rFonts w:ascii="Arial"/>
          <w:sz w:val="16"/>
        </w:rPr>
      </w:pPr>
      <w:r>
        <w:rPr>
          <w:rFonts w:ascii="Arial"/>
          <w:color w:val="231F20"/>
          <w:sz w:val="16"/>
        </w:rPr>
        <w:t>Hall JE, Henegar JR, Dwyer TM, et al: Is obesity a major cause of chronic renal disease? Adv Ren Replace Ther 11:41, 2004.</w:t>
      </w:r>
    </w:p>
    <w:p>
      <w:pPr>
        <w:spacing w:line="261" w:lineRule="auto" w:before="0"/>
        <w:ind w:left="480" w:right="1078" w:hanging="160"/>
        <w:jc w:val="both"/>
        <w:rPr>
          <w:rFonts w:ascii="Arial"/>
          <w:sz w:val="16"/>
        </w:rPr>
      </w:pPr>
      <w:r>
        <w:rPr>
          <w:rFonts w:ascii="Arial"/>
          <w:color w:val="231F20"/>
          <w:sz w:val="16"/>
        </w:rPr>
        <w:t>Hall ME, do Carmo JM, da Silva AA, et al: Obesity, hypertension, and chronic kidney disease. Int J Nephrol Renovasc Dis 7:75, 2014.</w:t>
      </w:r>
    </w:p>
    <w:p>
      <w:pPr>
        <w:spacing w:line="261" w:lineRule="auto" w:before="0"/>
        <w:ind w:left="480" w:right="1077" w:hanging="160"/>
        <w:jc w:val="both"/>
        <w:rPr>
          <w:rFonts w:ascii="Arial"/>
          <w:sz w:val="16"/>
        </w:rPr>
      </w:pPr>
      <w:r>
        <w:rPr>
          <w:rFonts w:ascii="Arial"/>
          <w:color w:val="231F20"/>
          <w:sz w:val="16"/>
        </w:rPr>
        <w:t>Haque</w:t>
      </w:r>
      <w:r>
        <w:rPr>
          <w:rFonts w:ascii="Arial"/>
          <w:color w:val="231F20"/>
          <w:spacing w:val="-15"/>
          <w:sz w:val="16"/>
        </w:rPr>
        <w:t> </w:t>
      </w:r>
      <w:r>
        <w:rPr>
          <w:rFonts w:ascii="Arial"/>
          <w:color w:val="231F20"/>
          <w:sz w:val="16"/>
        </w:rPr>
        <w:t>SK,</w:t>
      </w:r>
      <w:r>
        <w:rPr>
          <w:rFonts w:ascii="Arial"/>
          <w:color w:val="231F20"/>
          <w:spacing w:val="-15"/>
          <w:sz w:val="16"/>
        </w:rPr>
        <w:t> </w:t>
      </w:r>
      <w:r>
        <w:rPr>
          <w:rFonts w:ascii="Arial"/>
          <w:color w:val="231F20"/>
          <w:sz w:val="16"/>
        </w:rPr>
        <w:t>Ariceta</w:t>
      </w:r>
      <w:r>
        <w:rPr>
          <w:rFonts w:ascii="Arial"/>
          <w:color w:val="231F20"/>
          <w:spacing w:val="-14"/>
          <w:sz w:val="16"/>
        </w:rPr>
        <w:t> </w:t>
      </w:r>
      <w:r>
        <w:rPr>
          <w:rFonts w:ascii="Arial"/>
          <w:color w:val="231F20"/>
          <w:sz w:val="16"/>
        </w:rPr>
        <w:t>G,</w:t>
      </w:r>
      <w:r>
        <w:rPr>
          <w:rFonts w:ascii="Arial"/>
          <w:color w:val="231F20"/>
          <w:spacing w:val="-15"/>
          <w:sz w:val="16"/>
        </w:rPr>
        <w:t> </w:t>
      </w:r>
      <w:r>
        <w:rPr>
          <w:rFonts w:ascii="Arial"/>
          <w:color w:val="231F20"/>
          <w:sz w:val="16"/>
        </w:rPr>
        <w:t>Batlle</w:t>
      </w:r>
      <w:r>
        <w:rPr>
          <w:rFonts w:ascii="Arial"/>
          <w:color w:val="231F20"/>
          <w:spacing w:val="-14"/>
          <w:sz w:val="16"/>
        </w:rPr>
        <w:t> </w:t>
      </w:r>
      <w:r>
        <w:rPr>
          <w:rFonts w:ascii="Arial"/>
          <w:color w:val="231F20"/>
          <w:sz w:val="16"/>
        </w:rPr>
        <w:t>D:</w:t>
      </w:r>
      <w:r>
        <w:rPr>
          <w:rFonts w:ascii="Arial"/>
          <w:color w:val="231F20"/>
          <w:spacing w:val="-15"/>
          <w:sz w:val="16"/>
        </w:rPr>
        <w:t> </w:t>
      </w:r>
      <w:r>
        <w:rPr>
          <w:rFonts w:ascii="Arial"/>
          <w:color w:val="231F20"/>
          <w:sz w:val="16"/>
        </w:rPr>
        <w:t>Proximal</w:t>
      </w:r>
      <w:r>
        <w:rPr>
          <w:rFonts w:ascii="Arial"/>
          <w:color w:val="231F20"/>
          <w:spacing w:val="-15"/>
          <w:sz w:val="16"/>
        </w:rPr>
        <w:t> </w:t>
      </w:r>
      <w:r>
        <w:rPr>
          <w:rFonts w:ascii="Arial"/>
          <w:color w:val="231F20"/>
          <w:sz w:val="16"/>
        </w:rPr>
        <w:t>renal</w:t>
      </w:r>
      <w:r>
        <w:rPr>
          <w:rFonts w:ascii="Arial"/>
          <w:color w:val="231F20"/>
          <w:spacing w:val="-14"/>
          <w:sz w:val="16"/>
        </w:rPr>
        <w:t> </w:t>
      </w:r>
      <w:r>
        <w:rPr>
          <w:rFonts w:ascii="Arial"/>
          <w:color w:val="231F20"/>
          <w:sz w:val="16"/>
        </w:rPr>
        <w:t>tubular</w:t>
      </w:r>
      <w:r>
        <w:rPr>
          <w:rFonts w:ascii="Arial"/>
          <w:color w:val="231F20"/>
          <w:spacing w:val="-15"/>
          <w:sz w:val="16"/>
        </w:rPr>
        <w:t> </w:t>
      </w:r>
      <w:r>
        <w:rPr>
          <w:rFonts w:ascii="Arial"/>
          <w:color w:val="231F20"/>
          <w:sz w:val="16"/>
        </w:rPr>
        <w:t>acidosis:</w:t>
      </w:r>
      <w:r>
        <w:rPr>
          <w:rFonts w:ascii="Arial"/>
          <w:color w:val="231F20"/>
          <w:spacing w:val="-14"/>
          <w:sz w:val="16"/>
        </w:rPr>
        <w:t> </w:t>
      </w:r>
      <w:r>
        <w:rPr>
          <w:rFonts w:ascii="Arial"/>
          <w:color w:val="231F20"/>
          <w:sz w:val="16"/>
        </w:rPr>
        <w:t>a</w:t>
      </w:r>
      <w:r>
        <w:rPr>
          <w:rFonts w:ascii="Arial"/>
          <w:color w:val="231F20"/>
          <w:spacing w:val="-15"/>
          <w:sz w:val="16"/>
        </w:rPr>
        <w:t> </w:t>
      </w:r>
      <w:r>
        <w:rPr>
          <w:rFonts w:ascii="Arial"/>
          <w:color w:val="231F20"/>
          <w:spacing w:val="-5"/>
          <w:sz w:val="16"/>
        </w:rPr>
        <w:t>not </w:t>
      </w:r>
      <w:r>
        <w:rPr>
          <w:rFonts w:ascii="Arial"/>
          <w:color w:val="231F20"/>
          <w:sz w:val="16"/>
        </w:rPr>
        <w:t>so rare disorder of multiple etiologies. Nephrol Dial </w:t>
      </w:r>
      <w:r>
        <w:rPr>
          <w:rFonts w:ascii="Arial"/>
          <w:color w:val="231F20"/>
          <w:spacing w:val="-4"/>
          <w:sz w:val="16"/>
        </w:rPr>
        <w:t>Transplant </w:t>
      </w:r>
      <w:r>
        <w:rPr>
          <w:rFonts w:ascii="Arial"/>
          <w:color w:val="231F20"/>
          <w:sz w:val="16"/>
        </w:rPr>
        <w:t>27:4273,</w:t>
      </w:r>
      <w:r>
        <w:rPr>
          <w:rFonts w:ascii="Arial"/>
          <w:color w:val="231F20"/>
          <w:spacing w:val="8"/>
          <w:sz w:val="16"/>
        </w:rPr>
        <w:t> </w:t>
      </w:r>
      <w:r>
        <w:rPr>
          <w:rFonts w:ascii="Arial"/>
          <w:color w:val="231F20"/>
          <w:sz w:val="16"/>
        </w:rPr>
        <w:t>2012.</w:t>
      </w:r>
    </w:p>
    <w:p>
      <w:pPr>
        <w:spacing w:line="261" w:lineRule="auto" w:before="0"/>
        <w:ind w:left="480" w:right="1079" w:hanging="160"/>
        <w:jc w:val="both"/>
        <w:rPr>
          <w:rFonts w:ascii="Arial"/>
          <w:sz w:val="16"/>
        </w:rPr>
      </w:pPr>
      <w:r>
        <w:rPr>
          <w:rFonts w:ascii="Arial"/>
          <w:color w:val="231F20"/>
          <w:sz w:val="16"/>
        </w:rPr>
        <w:t>Jain</w:t>
      </w:r>
      <w:r>
        <w:rPr>
          <w:rFonts w:ascii="Arial"/>
          <w:color w:val="231F20"/>
          <w:spacing w:val="-22"/>
          <w:sz w:val="16"/>
        </w:rPr>
        <w:t> </w:t>
      </w:r>
      <w:r>
        <w:rPr>
          <w:rFonts w:ascii="Arial"/>
          <w:color w:val="231F20"/>
          <w:sz w:val="16"/>
        </w:rPr>
        <w:t>G,</w:t>
      </w:r>
      <w:r>
        <w:rPr>
          <w:rFonts w:ascii="Arial"/>
          <w:color w:val="231F20"/>
          <w:spacing w:val="-22"/>
          <w:sz w:val="16"/>
        </w:rPr>
        <w:t> </w:t>
      </w:r>
      <w:r>
        <w:rPr>
          <w:rFonts w:ascii="Arial"/>
          <w:color w:val="231F20"/>
          <w:sz w:val="16"/>
        </w:rPr>
        <w:t>Ong</w:t>
      </w:r>
      <w:r>
        <w:rPr>
          <w:rFonts w:ascii="Arial"/>
          <w:color w:val="231F20"/>
          <w:spacing w:val="-21"/>
          <w:sz w:val="16"/>
        </w:rPr>
        <w:t> </w:t>
      </w:r>
      <w:r>
        <w:rPr>
          <w:rFonts w:ascii="Arial"/>
          <w:color w:val="231F20"/>
          <w:sz w:val="16"/>
        </w:rPr>
        <w:t>S,</w:t>
      </w:r>
      <w:r>
        <w:rPr>
          <w:rFonts w:ascii="Arial"/>
          <w:color w:val="231F20"/>
          <w:spacing w:val="-22"/>
          <w:sz w:val="16"/>
        </w:rPr>
        <w:t> </w:t>
      </w:r>
      <w:r>
        <w:rPr>
          <w:rFonts w:ascii="Arial"/>
          <w:color w:val="231F20"/>
          <w:sz w:val="16"/>
        </w:rPr>
        <w:t>Warnock</w:t>
      </w:r>
      <w:r>
        <w:rPr>
          <w:rFonts w:ascii="Arial"/>
          <w:color w:val="231F20"/>
          <w:spacing w:val="-21"/>
          <w:sz w:val="16"/>
        </w:rPr>
        <w:t> </w:t>
      </w:r>
      <w:r>
        <w:rPr>
          <w:rFonts w:ascii="Arial"/>
          <w:color w:val="231F20"/>
          <w:sz w:val="16"/>
        </w:rPr>
        <w:t>DG:</w:t>
      </w:r>
      <w:r>
        <w:rPr>
          <w:rFonts w:ascii="Arial"/>
          <w:color w:val="231F20"/>
          <w:spacing w:val="-22"/>
          <w:sz w:val="16"/>
        </w:rPr>
        <w:t> </w:t>
      </w:r>
      <w:r>
        <w:rPr>
          <w:rFonts w:ascii="Arial"/>
          <w:color w:val="231F20"/>
          <w:sz w:val="16"/>
        </w:rPr>
        <w:t>Genetic</w:t>
      </w:r>
      <w:r>
        <w:rPr>
          <w:rFonts w:ascii="Arial"/>
          <w:color w:val="231F20"/>
          <w:spacing w:val="-22"/>
          <w:sz w:val="16"/>
        </w:rPr>
        <w:t> </w:t>
      </w:r>
      <w:r>
        <w:rPr>
          <w:rFonts w:ascii="Arial"/>
          <w:color w:val="231F20"/>
          <w:sz w:val="16"/>
        </w:rPr>
        <w:t>disorders</w:t>
      </w:r>
      <w:r>
        <w:rPr>
          <w:rFonts w:ascii="Arial"/>
          <w:color w:val="231F20"/>
          <w:spacing w:val="-21"/>
          <w:sz w:val="16"/>
        </w:rPr>
        <w:t> </w:t>
      </w:r>
      <w:r>
        <w:rPr>
          <w:rFonts w:ascii="Arial"/>
          <w:color w:val="231F20"/>
          <w:sz w:val="16"/>
        </w:rPr>
        <w:t>of</w:t>
      </w:r>
      <w:r>
        <w:rPr>
          <w:rFonts w:ascii="Arial"/>
          <w:color w:val="231F20"/>
          <w:spacing w:val="-22"/>
          <w:sz w:val="16"/>
        </w:rPr>
        <w:t> </w:t>
      </w:r>
      <w:r>
        <w:rPr>
          <w:rFonts w:ascii="Arial"/>
          <w:color w:val="231F20"/>
          <w:sz w:val="16"/>
        </w:rPr>
        <w:t>potassium</w:t>
      </w:r>
      <w:r>
        <w:rPr>
          <w:rFonts w:ascii="Arial"/>
          <w:color w:val="231F20"/>
          <w:spacing w:val="-21"/>
          <w:sz w:val="16"/>
        </w:rPr>
        <w:t> </w:t>
      </w:r>
      <w:r>
        <w:rPr>
          <w:rFonts w:ascii="Arial"/>
          <w:color w:val="231F20"/>
          <w:sz w:val="16"/>
        </w:rPr>
        <w:t>homeo- stasis. Semin Nephrol 33:300,</w:t>
      </w:r>
      <w:r>
        <w:rPr>
          <w:rFonts w:ascii="Arial"/>
          <w:color w:val="231F20"/>
          <w:spacing w:val="21"/>
          <w:sz w:val="16"/>
        </w:rPr>
        <w:t> </w:t>
      </w:r>
      <w:r>
        <w:rPr>
          <w:rFonts w:ascii="Arial"/>
          <w:color w:val="231F20"/>
          <w:sz w:val="16"/>
        </w:rPr>
        <w:t>2013.</w:t>
      </w:r>
    </w:p>
    <w:p>
      <w:pPr>
        <w:spacing w:line="261" w:lineRule="auto" w:before="0"/>
        <w:ind w:left="480" w:right="1078" w:hanging="160"/>
        <w:jc w:val="both"/>
        <w:rPr>
          <w:rFonts w:ascii="Arial"/>
          <w:sz w:val="16"/>
        </w:rPr>
      </w:pPr>
      <w:r>
        <w:rPr>
          <w:rFonts w:ascii="Arial"/>
          <w:color w:val="231F20"/>
          <w:sz w:val="16"/>
        </w:rPr>
        <w:t>Molitoris</w:t>
      </w:r>
      <w:r>
        <w:rPr>
          <w:rFonts w:ascii="Arial"/>
          <w:color w:val="231F20"/>
          <w:spacing w:val="-14"/>
          <w:sz w:val="16"/>
        </w:rPr>
        <w:t> </w:t>
      </w:r>
      <w:r>
        <w:rPr>
          <w:rFonts w:ascii="Arial"/>
          <w:color w:val="231F20"/>
          <w:sz w:val="16"/>
        </w:rPr>
        <w:t>BA:</w:t>
      </w:r>
      <w:r>
        <w:rPr>
          <w:rFonts w:ascii="Arial"/>
          <w:color w:val="231F20"/>
          <w:spacing w:val="-13"/>
          <w:sz w:val="16"/>
        </w:rPr>
        <w:t> </w:t>
      </w:r>
      <w:r>
        <w:rPr>
          <w:rFonts w:ascii="Arial"/>
          <w:color w:val="231F20"/>
          <w:sz w:val="16"/>
        </w:rPr>
        <w:t>Transitioning</w:t>
      </w:r>
      <w:r>
        <w:rPr>
          <w:rFonts w:ascii="Arial"/>
          <w:color w:val="231F20"/>
          <w:spacing w:val="-13"/>
          <w:sz w:val="16"/>
        </w:rPr>
        <w:t> </w:t>
      </w:r>
      <w:r>
        <w:rPr>
          <w:rFonts w:ascii="Arial"/>
          <w:color w:val="231F20"/>
          <w:sz w:val="16"/>
        </w:rPr>
        <w:t>to</w:t>
      </w:r>
      <w:r>
        <w:rPr>
          <w:rFonts w:ascii="Arial"/>
          <w:color w:val="231F20"/>
          <w:spacing w:val="-13"/>
          <w:sz w:val="16"/>
        </w:rPr>
        <w:t> </w:t>
      </w:r>
      <w:r>
        <w:rPr>
          <w:rFonts w:ascii="Arial"/>
          <w:color w:val="231F20"/>
          <w:sz w:val="16"/>
        </w:rPr>
        <w:t>therapy</w:t>
      </w:r>
      <w:r>
        <w:rPr>
          <w:rFonts w:ascii="Arial"/>
          <w:color w:val="231F20"/>
          <w:spacing w:val="-13"/>
          <w:sz w:val="16"/>
        </w:rPr>
        <w:t> </w:t>
      </w:r>
      <w:r>
        <w:rPr>
          <w:rFonts w:ascii="Arial"/>
          <w:color w:val="231F20"/>
          <w:sz w:val="16"/>
        </w:rPr>
        <w:t>in</w:t>
      </w:r>
      <w:r>
        <w:rPr>
          <w:rFonts w:ascii="Arial"/>
          <w:color w:val="231F20"/>
          <w:spacing w:val="-13"/>
          <w:sz w:val="16"/>
        </w:rPr>
        <w:t> </w:t>
      </w:r>
      <w:r>
        <w:rPr>
          <w:rFonts w:ascii="Arial"/>
          <w:color w:val="231F20"/>
          <w:sz w:val="16"/>
        </w:rPr>
        <w:t>ischemic</w:t>
      </w:r>
      <w:r>
        <w:rPr>
          <w:rFonts w:ascii="Arial"/>
          <w:color w:val="231F20"/>
          <w:spacing w:val="-13"/>
          <w:sz w:val="16"/>
        </w:rPr>
        <w:t> </w:t>
      </w:r>
      <w:r>
        <w:rPr>
          <w:rFonts w:ascii="Arial"/>
          <w:color w:val="231F20"/>
          <w:sz w:val="16"/>
        </w:rPr>
        <w:t>acute</w:t>
      </w:r>
      <w:r>
        <w:rPr>
          <w:rFonts w:ascii="Arial"/>
          <w:color w:val="231F20"/>
          <w:spacing w:val="-13"/>
          <w:sz w:val="16"/>
        </w:rPr>
        <w:t> </w:t>
      </w:r>
      <w:r>
        <w:rPr>
          <w:rFonts w:ascii="Arial"/>
          <w:color w:val="231F20"/>
          <w:sz w:val="16"/>
        </w:rPr>
        <w:t>renal</w:t>
      </w:r>
      <w:r>
        <w:rPr>
          <w:rFonts w:ascii="Arial"/>
          <w:color w:val="231F20"/>
          <w:spacing w:val="-13"/>
          <w:sz w:val="16"/>
        </w:rPr>
        <w:t> </w:t>
      </w:r>
      <w:r>
        <w:rPr>
          <w:rFonts w:ascii="Arial"/>
          <w:color w:val="231F20"/>
          <w:spacing w:val="-3"/>
          <w:sz w:val="16"/>
        </w:rPr>
        <w:t>failure. </w:t>
      </w:r>
      <w:r>
        <w:rPr>
          <w:rFonts w:ascii="Arial"/>
          <w:color w:val="231F20"/>
          <w:sz w:val="16"/>
        </w:rPr>
        <w:t>J Am Soc Nephrol 14:265,</w:t>
      </w:r>
      <w:r>
        <w:rPr>
          <w:rFonts w:ascii="Arial"/>
          <w:color w:val="231F20"/>
          <w:spacing w:val="31"/>
          <w:sz w:val="16"/>
        </w:rPr>
        <w:t> </w:t>
      </w:r>
      <w:r>
        <w:rPr>
          <w:rFonts w:ascii="Arial"/>
          <w:color w:val="231F20"/>
          <w:sz w:val="16"/>
        </w:rPr>
        <w:t>2003.</w:t>
      </w:r>
    </w:p>
    <w:p>
      <w:pPr>
        <w:spacing w:line="261" w:lineRule="auto" w:before="0"/>
        <w:ind w:left="480" w:right="1077" w:hanging="160"/>
        <w:jc w:val="both"/>
        <w:rPr>
          <w:rFonts w:ascii="Arial"/>
          <w:sz w:val="16"/>
        </w:rPr>
      </w:pPr>
      <w:r>
        <w:rPr>
          <w:rFonts w:ascii="Arial"/>
          <w:color w:val="231F20"/>
          <w:sz w:val="16"/>
        </w:rPr>
        <w:t>Ratliff</w:t>
      </w:r>
      <w:r>
        <w:rPr>
          <w:rFonts w:ascii="Arial"/>
          <w:color w:val="231F20"/>
          <w:spacing w:val="-13"/>
          <w:sz w:val="16"/>
        </w:rPr>
        <w:t> </w:t>
      </w:r>
      <w:r>
        <w:rPr>
          <w:rFonts w:ascii="Arial"/>
          <w:color w:val="231F20"/>
          <w:sz w:val="16"/>
        </w:rPr>
        <w:t>BB,</w:t>
      </w:r>
      <w:r>
        <w:rPr>
          <w:rFonts w:ascii="Arial"/>
          <w:color w:val="231F20"/>
          <w:spacing w:val="-13"/>
          <w:sz w:val="16"/>
        </w:rPr>
        <w:t> </w:t>
      </w:r>
      <w:r>
        <w:rPr>
          <w:rFonts w:ascii="Arial"/>
          <w:color w:val="231F20"/>
          <w:sz w:val="16"/>
        </w:rPr>
        <w:t>Rabadi</w:t>
      </w:r>
      <w:r>
        <w:rPr>
          <w:rFonts w:ascii="Arial"/>
          <w:color w:val="231F20"/>
          <w:spacing w:val="-12"/>
          <w:sz w:val="16"/>
        </w:rPr>
        <w:t> </w:t>
      </w:r>
      <w:r>
        <w:rPr>
          <w:rFonts w:ascii="Arial"/>
          <w:color w:val="231F20"/>
          <w:sz w:val="16"/>
        </w:rPr>
        <w:t>MM,</w:t>
      </w:r>
      <w:r>
        <w:rPr>
          <w:rFonts w:ascii="Arial"/>
          <w:color w:val="231F20"/>
          <w:spacing w:val="-13"/>
          <w:sz w:val="16"/>
        </w:rPr>
        <w:t> </w:t>
      </w:r>
      <w:r>
        <w:rPr>
          <w:rFonts w:ascii="Arial"/>
          <w:color w:val="231F20"/>
          <w:sz w:val="16"/>
        </w:rPr>
        <w:t>Vasko</w:t>
      </w:r>
      <w:r>
        <w:rPr>
          <w:rFonts w:ascii="Arial"/>
          <w:color w:val="231F20"/>
          <w:spacing w:val="-12"/>
          <w:sz w:val="16"/>
        </w:rPr>
        <w:t> </w:t>
      </w:r>
      <w:r>
        <w:rPr>
          <w:rFonts w:ascii="Arial"/>
          <w:color w:val="231F20"/>
          <w:sz w:val="16"/>
        </w:rPr>
        <w:t>R,</w:t>
      </w:r>
      <w:r>
        <w:rPr>
          <w:rFonts w:ascii="Arial"/>
          <w:color w:val="231F20"/>
          <w:spacing w:val="-13"/>
          <w:sz w:val="16"/>
        </w:rPr>
        <w:t> </w:t>
      </w:r>
      <w:r>
        <w:rPr>
          <w:rFonts w:ascii="Arial"/>
          <w:color w:val="231F20"/>
          <w:sz w:val="16"/>
        </w:rPr>
        <w:t>et</w:t>
      </w:r>
      <w:r>
        <w:rPr>
          <w:rFonts w:ascii="Arial"/>
          <w:color w:val="231F20"/>
          <w:spacing w:val="-12"/>
          <w:sz w:val="16"/>
        </w:rPr>
        <w:t> </w:t>
      </w:r>
      <w:r>
        <w:rPr>
          <w:rFonts w:ascii="Arial"/>
          <w:color w:val="231F20"/>
          <w:sz w:val="16"/>
        </w:rPr>
        <w:t>al:</w:t>
      </w:r>
      <w:r>
        <w:rPr>
          <w:rFonts w:ascii="Arial"/>
          <w:color w:val="231F20"/>
          <w:spacing w:val="-13"/>
          <w:sz w:val="16"/>
        </w:rPr>
        <w:t> </w:t>
      </w:r>
      <w:r>
        <w:rPr>
          <w:rFonts w:ascii="Arial"/>
          <w:color w:val="231F20"/>
          <w:sz w:val="16"/>
        </w:rPr>
        <w:t>Messengers</w:t>
      </w:r>
      <w:r>
        <w:rPr>
          <w:rFonts w:ascii="Arial"/>
          <w:color w:val="231F20"/>
          <w:spacing w:val="-12"/>
          <w:sz w:val="16"/>
        </w:rPr>
        <w:t> </w:t>
      </w:r>
      <w:r>
        <w:rPr>
          <w:rFonts w:ascii="Arial"/>
          <w:color w:val="231F20"/>
          <w:sz w:val="16"/>
        </w:rPr>
        <w:t>without</w:t>
      </w:r>
      <w:r>
        <w:rPr>
          <w:rFonts w:ascii="Arial"/>
          <w:color w:val="231F20"/>
          <w:spacing w:val="-13"/>
          <w:sz w:val="16"/>
        </w:rPr>
        <w:t> </w:t>
      </w:r>
      <w:r>
        <w:rPr>
          <w:rFonts w:ascii="Arial"/>
          <w:color w:val="231F20"/>
          <w:sz w:val="16"/>
        </w:rPr>
        <w:t>borders: mediators of systemic inflammatory response in AKI. J Am Soc Nephrol 24:529,</w:t>
      </w:r>
      <w:r>
        <w:rPr>
          <w:rFonts w:ascii="Arial"/>
          <w:color w:val="231F20"/>
          <w:spacing w:val="15"/>
          <w:sz w:val="16"/>
        </w:rPr>
        <w:t> </w:t>
      </w:r>
      <w:r>
        <w:rPr>
          <w:rFonts w:ascii="Arial"/>
          <w:color w:val="231F20"/>
          <w:sz w:val="16"/>
        </w:rPr>
        <w:t>2013.</w:t>
      </w:r>
    </w:p>
    <w:p>
      <w:pPr>
        <w:spacing w:line="182" w:lineRule="exact" w:before="0"/>
        <w:ind w:left="320" w:right="0" w:firstLine="0"/>
        <w:jc w:val="both"/>
        <w:rPr>
          <w:rFonts w:ascii="Arial"/>
          <w:sz w:val="16"/>
        </w:rPr>
      </w:pPr>
      <w:r>
        <w:rPr>
          <w:rFonts w:ascii="Arial"/>
          <w:color w:val="231F20"/>
          <w:sz w:val="16"/>
        </w:rPr>
        <w:t>Rodriguez-Iturbe B, Musser JM: The current state of poststreptococ-</w:t>
      </w:r>
    </w:p>
    <w:p>
      <w:pPr>
        <w:spacing w:before="7"/>
        <w:ind w:left="480" w:right="0" w:firstLine="0"/>
        <w:jc w:val="both"/>
        <w:rPr>
          <w:rFonts w:ascii="Arial"/>
          <w:sz w:val="16"/>
        </w:rPr>
      </w:pPr>
      <w:r>
        <w:rPr>
          <w:rFonts w:ascii="Arial"/>
          <w:color w:val="231F20"/>
          <w:sz w:val="16"/>
        </w:rPr>
        <w:t>cal glomerulonephritis. J Am Soc Nephrol 19:1855, 2008.</w:t>
      </w:r>
    </w:p>
    <w:p>
      <w:pPr>
        <w:spacing w:line="261" w:lineRule="auto" w:before="16"/>
        <w:ind w:left="480" w:right="1077" w:hanging="160"/>
        <w:jc w:val="both"/>
        <w:rPr>
          <w:rFonts w:ascii="Arial"/>
          <w:sz w:val="16"/>
        </w:rPr>
      </w:pPr>
      <w:r>
        <w:rPr>
          <w:rFonts w:ascii="Arial"/>
          <w:color w:val="231F20"/>
          <w:sz w:val="16"/>
        </w:rPr>
        <w:t>Rossier</w:t>
      </w:r>
      <w:r>
        <w:rPr>
          <w:rFonts w:ascii="Arial"/>
          <w:color w:val="231F20"/>
          <w:spacing w:val="-32"/>
          <w:sz w:val="16"/>
        </w:rPr>
        <w:t> </w:t>
      </w:r>
      <w:r>
        <w:rPr>
          <w:rFonts w:ascii="Arial"/>
          <w:color w:val="231F20"/>
          <w:sz w:val="16"/>
        </w:rPr>
        <w:t>BC:</w:t>
      </w:r>
      <w:r>
        <w:rPr>
          <w:rFonts w:ascii="Arial"/>
          <w:color w:val="231F20"/>
          <w:spacing w:val="-32"/>
          <w:sz w:val="16"/>
        </w:rPr>
        <w:t> </w:t>
      </w:r>
      <w:r>
        <w:rPr>
          <w:rFonts w:ascii="Arial"/>
          <w:color w:val="231F20"/>
          <w:sz w:val="16"/>
        </w:rPr>
        <w:t>Epithelial</w:t>
      </w:r>
      <w:r>
        <w:rPr>
          <w:rFonts w:ascii="Arial"/>
          <w:color w:val="231F20"/>
          <w:spacing w:val="-31"/>
          <w:sz w:val="16"/>
        </w:rPr>
        <w:t> </w:t>
      </w:r>
      <w:r>
        <w:rPr>
          <w:rFonts w:ascii="Arial"/>
          <w:color w:val="231F20"/>
          <w:sz w:val="16"/>
        </w:rPr>
        <w:t>sodium</w:t>
      </w:r>
      <w:r>
        <w:rPr>
          <w:rFonts w:ascii="Arial"/>
          <w:color w:val="231F20"/>
          <w:spacing w:val="-32"/>
          <w:sz w:val="16"/>
        </w:rPr>
        <w:t> </w:t>
      </w:r>
      <w:r>
        <w:rPr>
          <w:rFonts w:ascii="Arial"/>
          <w:color w:val="231F20"/>
          <w:sz w:val="16"/>
        </w:rPr>
        <w:t>channel</w:t>
      </w:r>
      <w:r>
        <w:rPr>
          <w:rFonts w:ascii="Arial"/>
          <w:color w:val="231F20"/>
          <w:spacing w:val="-32"/>
          <w:sz w:val="16"/>
        </w:rPr>
        <w:t> </w:t>
      </w:r>
      <w:r>
        <w:rPr>
          <w:rFonts w:ascii="Arial"/>
          <w:color w:val="231F20"/>
          <w:sz w:val="16"/>
        </w:rPr>
        <w:t>(ENaC)</w:t>
      </w:r>
      <w:r>
        <w:rPr>
          <w:rFonts w:ascii="Arial"/>
          <w:color w:val="231F20"/>
          <w:spacing w:val="-31"/>
          <w:sz w:val="16"/>
        </w:rPr>
        <w:t> </w:t>
      </w:r>
      <w:r>
        <w:rPr>
          <w:rFonts w:ascii="Arial"/>
          <w:color w:val="231F20"/>
          <w:sz w:val="16"/>
        </w:rPr>
        <w:t>and</w:t>
      </w:r>
      <w:r>
        <w:rPr>
          <w:rFonts w:ascii="Arial"/>
          <w:color w:val="231F20"/>
          <w:spacing w:val="-32"/>
          <w:sz w:val="16"/>
        </w:rPr>
        <w:t> </w:t>
      </w:r>
      <w:r>
        <w:rPr>
          <w:rFonts w:ascii="Arial"/>
          <w:color w:val="231F20"/>
          <w:sz w:val="16"/>
        </w:rPr>
        <w:t>the</w:t>
      </w:r>
      <w:r>
        <w:rPr>
          <w:rFonts w:ascii="Arial"/>
          <w:color w:val="231F20"/>
          <w:spacing w:val="-31"/>
          <w:sz w:val="16"/>
        </w:rPr>
        <w:t> </w:t>
      </w:r>
      <w:r>
        <w:rPr>
          <w:rFonts w:ascii="Arial"/>
          <w:color w:val="231F20"/>
          <w:sz w:val="16"/>
        </w:rPr>
        <w:t>control</w:t>
      </w:r>
      <w:r>
        <w:rPr>
          <w:rFonts w:ascii="Arial"/>
          <w:color w:val="231F20"/>
          <w:spacing w:val="-32"/>
          <w:sz w:val="16"/>
        </w:rPr>
        <w:t> </w:t>
      </w:r>
      <w:r>
        <w:rPr>
          <w:rFonts w:ascii="Arial"/>
          <w:color w:val="231F20"/>
          <w:sz w:val="16"/>
        </w:rPr>
        <w:t>of</w:t>
      </w:r>
      <w:r>
        <w:rPr>
          <w:rFonts w:ascii="Arial"/>
          <w:color w:val="231F20"/>
          <w:spacing w:val="-32"/>
          <w:sz w:val="16"/>
        </w:rPr>
        <w:t> </w:t>
      </w:r>
      <w:r>
        <w:rPr>
          <w:rFonts w:ascii="Arial"/>
          <w:color w:val="231F20"/>
          <w:spacing w:val="-3"/>
          <w:sz w:val="16"/>
        </w:rPr>
        <w:t>blood </w:t>
      </w:r>
      <w:r>
        <w:rPr>
          <w:rFonts w:ascii="Arial"/>
          <w:color w:val="231F20"/>
          <w:sz w:val="16"/>
        </w:rPr>
        <w:t>pressure. Curr Opin Pharmacol 15C:33,</w:t>
      </w:r>
      <w:r>
        <w:rPr>
          <w:rFonts w:ascii="Arial"/>
          <w:color w:val="231F20"/>
          <w:spacing w:val="17"/>
          <w:sz w:val="16"/>
        </w:rPr>
        <w:t> </w:t>
      </w:r>
      <w:r>
        <w:rPr>
          <w:rFonts w:ascii="Arial"/>
          <w:color w:val="231F20"/>
          <w:sz w:val="16"/>
        </w:rPr>
        <w:t>2014.</w:t>
      </w:r>
    </w:p>
    <w:p>
      <w:pPr>
        <w:spacing w:line="261" w:lineRule="auto" w:before="0"/>
        <w:ind w:left="480" w:right="1077" w:hanging="160"/>
        <w:jc w:val="both"/>
        <w:rPr>
          <w:rFonts w:ascii="Arial"/>
          <w:sz w:val="16"/>
        </w:rPr>
      </w:pPr>
      <w:r>
        <w:rPr>
          <w:rFonts w:ascii="Arial"/>
          <w:color w:val="231F20"/>
          <w:sz w:val="16"/>
        </w:rPr>
        <w:t>Roush GC, Buddharaju V, Ernst ME, Holford TR: Chlorthalidone: mechanisms of action and effect on cardiovascular events. Curr Hypertens Rep 15:514, 2013.</w:t>
      </w:r>
    </w:p>
    <w:p>
      <w:pPr>
        <w:spacing w:after="0" w:line="261" w:lineRule="auto"/>
        <w:jc w:val="both"/>
        <w:rPr>
          <w:rFonts w:ascii="Arial"/>
          <w:sz w:val="16"/>
        </w:rPr>
        <w:sectPr>
          <w:type w:val="continuous"/>
          <w:pgSz w:w="12240" w:h="15660"/>
          <w:pgMar w:top="0" w:bottom="760" w:left="0" w:right="0"/>
          <w:cols w:num="2" w:equalWidth="0">
            <w:col w:w="6120" w:space="40"/>
            <w:col w:w="6080"/>
          </w:cols>
        </w:sectPr>
      </w:pPr>
    </w:p>
    <w:p>
      <w:pPr>
        <w:pStyle w:val="BodyText"/>
        <w:spacing w:before="9"/>
        <w:rPr>
          <w:rFonts w:ascii="Arial"/>
        </w:rPr>
      </w:pPr>
    </w:p>
    <w:p>
      <w:pPr>
        <w:spacing w:after="0"/>
        <w:rPr>
          <w:rFonts w:ascii="Arial"/>
        </w:rPr>
        <w:sectPr>
          <w:headerReference w:type="even" r:id="rId1096"/>
          <w:footerReference w:type="even" r:id="rId1097"/>
          <w:pgSz w:w="12240" w:h="15660"/>
          <w:pgMar w:header="0" w:footer="567" w:top="720" w:bottom="760" w:left="0" w:right="0"/>
          <w:pgNumType w:start="442"/>
        </w:sectPr>
      </w:pPr>
    </w:p>
    <w:p>
      <w:pPr>
        <w:spacing w:line="261" w:lineRule="auto" w:before="96"/>
        <w:ind w:left="1240" w:right="0" w:hanging="160"/>
        <w:jc w:val="both"/>
        <w:rPr>
          <w:rFonts w:ascii="Arial"/>
          <w:sz w:val="16"/>
        </w:rPr>
      </w:pPr>
      <w:r>
        <w:rPr>
          <w:rFonts w:ascii="Arial"/>
          <w:color w:val="231F20"/>
          <w:sz w:val="16"/>
        </w:rPr>
        <w:t>Ruggenenti</w:t>
      </w:r>
      <w:r>
        <w:rPr>
          <w:rFonts w:ascii="Arial"/>
          <w:color w:val="231F20"/>
          <w:spacing w:val="-11"/>
          <w:sz w:val="16"/>
        </w:rPr>
        <w:t> </w:t>
      </w:r>
      <w:r>
        <w:rPr>
          <w:rFonts w:ascii="Arial"/>
          <w:color w:val="231F20"/>
          <w:spacing w:val="-13"/>
          <w:sz w:val="16"/>
        </w:rPr>
        <w:t>P,</w:t>
      </w:r>
      <w:r>
        <w:rPr>
          <w:rFonts w:ascii="Arial"/>
          <w:color w:val="231F20"/>
          <w:spacing w:val="-11"/>
          <w:sz w:val="16"/>
        </w:rPr>
        <w:t> </w:t>
      </w:r>
      <w:r>
        <w:rPr>
          <w:rFonts w:ascii="Arial"/>
          <w:color w:val="231F20"/>
          <w:sz w:val="16"/>
        </w:rPr>
        <w:t>Cravedi</w:t>
      </w:r>
      <w:r>
        <w:rPr>
          <w:rFonts w:ascii="Arial"/>
          <w:color w:val="231F20"/>
          <w:spacing w:val="-11"/>
          <w:sz w:val="16"/>
        </w:rPr>
        <w:t> </w:t>
      </w:r>
      <w:r>
        <w:rPr>
          <w:rFonts w:ascii="Arial"/>
          <w:color w:val="231F20"/>
          <w:spacing w:val="-13"/>
          <w:sz w:val="16"/>
        </w:rPr>
        <w:t>P,</w:t>
      </w:r>
      <w:r>
        <w:rPr>
          <w:rFonts w:ascii="Arial"/>
          <w:color w:val="231F20"/>
          <w:spacing w:val="-11"/>
          <w:sz w:val="16"/>
        </w:rPr>
        <w:t> </w:t>
      </w:r>
      <w:r>
        <w:rPr>
          <w:rFonts w:ascii="Arial"/>
          <w:color w:val="231F20"/>
          <w:sz w:val="16"/>
        </w:rPr>
        <w:t>Remuzzi</w:t>
      </w:r>
      <w:r>
        <w:rPr>
          <w:rFonts w:ascii="Arial"/>
          <w:color w:val="231F20"/>
          <w:spacing w:val="-10"/>
          <w:sz w:val="16"/>
        </w:rPr>
        <w:t> </w:t>
      </w:r>
      <w:r>
        <w:rPr>
          <w:rFonts w:ascii="Arial"/>
          <w:color w:val="231F20"/>
          <w:sz w:val="16"/>
        </w:rPr>
        <w:t>G:</w:t>
      </w:r>
      <w:r>
        <w:rPr>
          <w:rFonts w:ascii="Arial"/>
          <w:color w:val="231F20"/>
          <w:spacing w:val="-11"/>
          <w:sz w:val="16"/>
        </w:rPr>
        <w:t> </w:t>
      </w:r>
      <w:r>
        <w:rPr>
          <w:rFonts w:ascii="Arial"/>
          <w:color w:val="231F20"/>
          <w:sz w:val="16"/>
        </w:rPr>
        <w:t>Mechanisms</w:t>
      </w:r>
      <w:r>
        <w:rPr>
          <w:rFonts w:ascii="Arial"/>
          <w:color w:val="231F20"/>
          <w:spacing w:val="-11"/>
          <w:sz w:val="16"/>
        </w:rPr>
        <w:t> </w:t>
      </w:r>
      <w:r>
        <w:rPr>
          <w:rFonts w:ascii="Arial"/>
          <w:color w:val="231F20"/>
          <w:sz w:val="16"/>
        </w:rPr>
        <w:t>and</w:t>
      </w:r>
      <w:r>
        <w:rPr>
          <w:rFonts w:ascii="Arial"/>
          <w:color w:val="231F20"/>
          <w:spacing w:val="-11"/>
          <w:sz w:val="16"/>
        </w:rPr>
        <w:t> </w:t>
      </w:r>
      <w:r>
        <w:rPr>
          <w:rFonts w:ascii="Arial"/>
          <w:color w:val="231F20"/>
          <w:sz w:val="16"/>
        </w:rPr>
        <w:t>treatment</w:t>
      </w:r>
      <w:r>
        <w:rPr>
          <w:rFonts w:ascii="Arial"/>
          <w:color w:val="231F20"/>
          <w:spacing w:val="-11"/>
          <w:sz w:val="16"/>
        </w:rPr>
        <w:t> </w:t>
      </w:r>
      <w:r>
        <w:rPr>
          <w:rFonts w:ascii="Arial"/>
          <w:color w:val="231F20"/>
          <w:spacing w:val="-10"/>
          <w:sz w:val="16"/>
        </w:rPr>
        <w:t>of </w:t>
      </w:r>
      <w:r>
        <w:rPr>
          <w:rFonts w:ascii="Arial"/>
          <w:color w:val="231F20"/>
          <w:sz w:val="16"/>
        </w:rPr>
        <w:t>CKD. J Am Soc Nephrol 23:1917,</w:t>
      </w:r>
      <w:r>
        <w:rPr>
          <w:rFonts w:ascii="Arial"/>
          <w:color w:val="231F20"/>
          <w:spacing w:val="31"/>
          <w:sz w:val="16"/>
        </w:rPr>
        <w:t> </w:t>
      </w:r>
      <w:r>
        <w:rPr>
          <w:rFonts w:ascii="Arial"/>
          <w:color w:val="231F20"/>
          <w:sz w:val="16"/>
        </w:rPr>
        <w:t>2012.</w:t>
      </w:r>
    </w:p>
    <w:p>
      <w:pPr>
        <w:spacing w:line="261" w:lineRule="auto" w:before="0"/>
        <w:ind w:left="1240" w:right="0" w:hanging="160"/>
        <w:jc w:val="both"/>
        <w:rPr>
          <w:rFonts w:ascii="Arial"/>
          <w:sz w:val="16"/>
        </w:rPr>
      </w:pPr>
      <w:r>
        <w:rPr>
          <w:rFonts w:ascii="Arial"/>
          <w:color w:val="231F20"/>
          <w:sz w:val="16"/>
        </w:rPr>
        <w:t>Sarnak</w:t>
      </w:r>
      <w:r>
        <w:rPr>
          <w:rFonts w:ascii="Arial"/>
          <w:color w:val="231F20"/>
          <w:spacing w:val="-25"/>
          <w:sz w:val="16"/>
        </w:rPr>
        <w:t> </w:t>
      </w:r>
      <w:r>
        <w:rPr>
          <w:rFonts w:ascii="Arial"/>
          <w:color w:val="231F20"/>
          <w:sz w:val="16"/>
        </w:rPr>
        <w:t>MJ,</w:t>
      </w:r>
      <w:r>
        <w:rPr>
          <w:rFonts w:ascii="Arial"/>
          <w:color w:val="231F20"/>
          <w:spacing w:val="-24"/>
          <w:sz w:val="16"/>
        </w:rPr>
        <w:t> </w:t>
      </w:r>
      <w:r>
        <w:rPr>
          <w:rFonts w:ascii="Arial"/>
          <w:color w:val="231F20"/>
          <w:sz w:val="16"/>
        </w:rPr>
        <w:t>Levey</w:t>
      </w:r>
      <w:r>
        <w:rPr>
          <w:rFonts w:ascii="Arial"/>
          <w:color w:val="231F20"/>
          <w:spacing w:val="-25"/>
          <w:sz w:val="16"/>
        </w:rPr>
        <w:t> </w:t>
      </w:r>
      <w:r>
        <w:rPr>
          <w:rFonts w:ascii="Arial"/>
          <w:color w:val="231F20"/>
          <w:sz w:val="16"/>
        </w:rPr>
        <w:t>AS,</w:t>
      </w:r>
      <w:r>
        <w:rPr>
          <w:rFonts w:ascii="Arial"/>
          <w:color w:val="231F20"/>
          <w:spacing w:val="-24"/>
          <w:sz w:val="16"/>
        </w:rPr>
        <w:t> </w:t>
      </w:r>
      <w:r>
        <w:rPr>
          <w:rFonts w:ascii="Arial"/>
          <w:color w:val="231F20"/>
          <w:sz w:val="16"/>
        </w:rPr>
        <w:t>Schoolwerth</w:t>
      </w:r>
      <w:r>
        <w:rPr>
          <w:rFonts w:ascii="Arial"/>
          <w:color w:val="231F20"/>
          <w:spacing w:val="-24"/>
          <w:sz w:val="16"/>
        </w:rPr>
        <w:t> </w:t>
      </w:r>
      <w:r>
        <w:rPr>
          <w:rFonts w:ascii="Arial"/>
          <w:color w:val="231F20"/>
          <w:sz w:val="16"/>
        </w:rPr>
        <w:t>AC,</w:t>
      </w:r>
      <w:r>
        <w:rPr>
          <w:rFonts w:ascii="Arial"/>
          <w:color w:val="231F20"/>
          <w:spacing w:val="-25"/>
          <w:sz w:val="16"/>
        </w:rPr>
        <w:t> </w:t>
      </w:r>
      <w:r>
        <w:rPr>
          <w:rFonts w:ascii="Arial"/>
          <w:color w:val="231F20"/>
          <w:sz w:val="16"/>
        </w:rPr>
        <w:t>et</w:t>
      </w:r>
      <w:r>
        <w:rPr>
          <w:rFonts w:ascii="Arial"/>
          <w:color w:val="231F20"/>
          <w:spacing w:val="-24"/>
          <w:sz w:val="16"/>
        </w:rPr>
        <w:t> </w:t>
      </w:r>
      <w:r>
        <w:rPr>
          <w:rFonts w:ascii="Arial"/>
          <w:color w:val="231F20"/>
          <w:sz w:val="16"/>
        </w:rPr>
        <w:t>al:</w:t>
      </w:r>
      <w:r>
        <w:rPr>
          <w:rFonts w:ascii="Arial"/>
          <w:color w:val="231F20"/>
          <w:spacing w:val="-25"/>
          <w:sz w:val="16"/>
        </w:rPr>
        <w:t> </w:t>
      </w:r>
      <w:r>
        <w:rPr>
          <w:rFonts w:ascii="Arial"/>
          <w:color w:val="231F20"/>
          <w:sz w:val="16"/>
        </w:rPr>
        <w:t>Kidney</w:t>
      </w:r>
      <w:r>
        <w:rPr>
          <w:rFonts w:ascii="Arial"/>
          <w:color w:val="231F20"/>
          <w:spacing w:val="-24"/>
          <w:sz w:val="16"/>
        </w:rPr>
        <w:t> </w:t>
      </w:r>
      <w:r>
        <w:rPr>
          <w:rFonts w:ascii="Arial"/>
          <w:color w:val="231F20"/>
          <w:sz w:val="16"/>
        </w:rPr>
        <w:t>disease</w:t>
      </w:r>
      <w:r>
        <w:rPr>
          <w:rFonts w:ascii="Arial"/>
          <w:color w:val="231F20"/>
          <w:spacing w:val="-24"/>
          <w:sz w:val="16"/>
        </w:rPr>
        <w:t> </w:t>
      </w:r>
      <w:r>
        <w:rPr>
          <w:rFonts w:ascii="Arial"/>
          <w:color w:val="231F20"/>
          <w:sz w:val="16"/>
        </w:rPr>
        <w:t>as</w:t>
      </w:r>
      <w:r>
        <w:rPr>
          <w:rFonts w:ascii="Arial"/>
          <w:color w:val="231F20"/>
          <w:spacing w:val="-25"/>
          <w:sz w:val="16"/>
        </w:rPr>
        <w:t> </w:t>
      </w:r>
      <w:r>
        <w:rPr>
          <w:rFonts w:ascii="Arial"/>
          <w:color w:val="231F20"/>
          <w:sz w:val="16"/>
        </w:rPr>
        <w:t>a</w:t>
      </w:r>
      <w:r>
        <w:rPr>
          <w:rFonts w:ascii="Arial"/>
          <w:color w:val="231F20"/>
          <w:spacing w:val="-24"/>
          <w:sz w:val="16"/>
        </w:rPr>
        <w:t> </w:t>
      </w:r>
      <w:r>
        <w:rPr>
          <w:rFonts w:ascii="Arial"/>
          <w:color w:val="231F20"/>
          <w:spacing w:val="-4"/>
          <w:sz w:val="16"/>
        </w:rPr>
        <w:t>risk </w:t>
      </w:r>
      <w:r>
        <w:rPr>
          <w:rFonts w:ascii="Arial"/>
          <w:color w:val="231F20"/>
          <w:sz w:val="16"/>
        </w:rPr>
        <w:t>factor for development of cardiovascular disease. </w:t>
      </w:r>
      <w:r>
        <w:rPr>
          <w:rFonts w:ascii="Arial"/>
          <w:color w:val="231F20"/>
          <w:spacing w:val="-2"/>
          <w:sz w:val="16"/>
        </w:rPr>
        <w:t>Hypertension </w:t>
      </w:r>
      <w:r>
        <w:rPr>
          <w:rFonts w:ascii="Arial"/>
          <w:color w:val="231F20"/>
          <w:sz w:val="16"/>
        </w:rPr>
        <w:t>42:1050,</w:t>
      </w:r>
      <w:r>
        <w:rPr>
          <w:rFonts w:ascii="Arial"/>
          <w:color w:val="231F20"/>
          <w:spacing w:val="8"/>
          <w:sz w:val="16"/>
        </w:rPr>
        <w:t> </w:t>
      </w:r>
      <w:r>
        <w:rPr>
          <w:rFonts w:ascii="Arial"/>
          <w:color w:val="231F20"/>
          <w:sz w:val="16"/>
        </w:rPr>
        <w:t>2003.</w:t>
      </w:r>
    </w:p>
    <w:p>
      <w:pPr>
        <w:spacing w:line="261" w:lineRule="auto" w:before="0"/>
        <w:ind w:left="1240" w:right="0" w:hanging="160"/>
        <w:jc w:val="both"/>
        <w:rPr>
          <w:rFonts w:ascii="Arial" w:hAnsi="Arial"/>
          <w:sz w:val="16"/>
        </w:rPr>
      </w:pPr>
      <w:r>
        <w:rPr>
          <w:rFonts w:ascii="Arial" w:hAnsi="Arial"/>
          <w:color w:val="231F20"/>
          <w:w w:val="95"/>
          <w:sz w:val="16"/>
        </w:rPr>
        <w:t>Sethi S, Fervenza FC: Membranoproliferative glomerulonephritis—a </w:t>
      </w:r>
      <w:r>
        <w:rPr>
          <w:rFonts w:ascii="Arial" w:hAnsi="Arial"/>
          <w:color w:val="231F20"/>
          <w:sz w:val="16"/>
        </w:rPr>
        <w:t>new look at an old entity. N Engl J Med 366:1119, 2012.</w:t>
      </w:r>
    </w:p>
    <w:p>
      <w:pPr>
        <w:spacing w:line="261" w:lineRule="auto" w:before="96"/>
        <w:ind w:left="480" w:right="1352" w:hanging="160"/>
        <w:jc w:val="left"/>
        <w:rPr>
          <w:rFonts w:ascii="Arial"/>
          <w:sz w:val="16"/>
        </w:rPr>
      </w:pPr>
      <w:r>
        <w:rPr/>
        <w:br w:type="column"/>
      </w:r>
      <w:r>
        <w:rPr>
          <w:rFonts w:ascii="Arial"/>
          <w:color w:val="231F20"/>
          <w:sz w:val="16"/>
        </w:rPr>
        <w:t>Tolwani A: Continuous renal-replacement therapy for acute kidney injury. N Engl J Med 367:2505, 2012.</w:t>
      </w:r>
    </w:p>
    <w:p>
      <w:pPr>
        <w:spacing w:line="261" w:lineRule="auto" w:before="0"/>
        <w:ind w:left="480" w:right="1352" w:hanging="160"/>
        <w:jc w:val="left"/>
        <w:rPr>
          <w:rFonts w:ascii="Arial"/>
          <w:sz w:val="16"/>
        </w:rPr>
      </w:pPr>
      <w:r>
        <w:rPr>
          <w:rFonts w:ascii="Arial"/>
          <w:color w:val="231F20"/>
          <w:w w:val="95"/>
          <w:sz w:val="16"/>
        </w:rPr>
        <w:t>USRDS Coordinating Center. United States Renal Data System. </w:t>
      </w:r>
      <w:hyperlink r:id="rId1098">
        <w:r>
          <w:rPr>
            <w:rFonts w:ascii="Arial"/>
            <w:color w:val="0080AC"/>
            <w:w w:val="95"/>
            <w:sz w:val="16"/>
          </w:rPr>
          <w:t>http://</w:t>
        </w:r>
      </w:hyperlink>
      <w:r>
        <w:rPr>
          <w:rFonts w:ascii="Arial"/>
          <w:color w:val="0080AC"/>
          <w:w w:val="95"/>
          <w:sz w:val="16"/>
        </w:rPr>
        <w:t> </w:t>
      </w:r>
      <w:hyperlink r:id="rId1098">
        <w:r>
          <w:rPr>
            <w:rFonts w:ascii="Arial"/>
            <w:color w:val="0080AC"/>
            <w:sz w:val="16"/>
          </w:rPr>
          <w:t>www.usrds.org/</w:t>
        </w:r>
      </w:hyperlink>
      <w:r>
        <w:rPr>
          <w:rFonts w:ascii="Arial"/>
          <w:color w:val="231F20"/>
          <w:sz w:val="16"/>
        </w:rPr>
        <w:t>.</w:t>
      </w:r>
    </w:p>
    <w:p>
      <w:pPr>
        <w:spacing w:line="261" w:lineRule="auto" w:before="0"/>
        <w:ind w:left="480" w:right="1437" w:hanging="160"/>
        <w:jc w:val="left"/>
        <w:rPr>
          <w:rFonts w:ascii="Arial"/>
          <w:sz w:val="16"/>
        </w:rPr>
      </w:pPr>
      <w:r>
        <w:rPr>
          <w:rFonts w:ascii="Arial"/>
          <w:color w:val="231F20"/>
          <w:sz w:val="16"/>
        </w:rPr>
        <w:t>Wilcox CS: New insights into diuretic use in patients with chronic renal disease. J Am Soc Nephrol 13:798, 2002.</w:t>
      </w:r>
    </w:p>
    <w:p>
      <w:pPr>
        <w:spacing w:after="0" w:line="261" w:lineRule="auto"/>
        <w:jc w:val="left"/>
        <w:rPr>
          <w:rFonts w:ascii="Arial"/>
          <w:sz w:val="16"/>
        </w:rPr>
        <w:sectPr>
          <w:type w:val="continuous"/>
          <w:pgSz w:w="12240" w:h="15660"/>
          <w:pgMar w:top="0" w:bottom="760" w:left="0" w:right="0"/>
          <w:cols w:num="2" w:equalWidth="0">
            <w:col w:w="5760" w:space="40"/>
            <w:col w:w="6440"/>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
        <w:rPr>
          <w:rFonts w:ascii="Arial"/>
        </w:rPr>
      </w:pPr>
    </w:p>
    <w:p>
      <w:pPr>
        <w:pStyle w:val="BodyText"/>
        <w:rPr>
          <w:rFonts w:ascii="Arial"/>
        </w:rPr>
      </w:pPr>
      <w:r>
        <w:rPr>
          <w:rFonts w:ascii="Arial"/>
        </w:rPr>
        <w:pict>
          <v:group style="width:36pt;height:24pt;mso-position-horizontal-relative:char;mso-position-vertical-relative:line" coordorigin="0,0" coordsize="720,480">
            <v:rect style="position:absolute;left:0;top:0;width:720;height:480" filled="true" fillcolor="#e8dac8" stroked="false">
              <v:fill type="solid"/>
            </v:rect>
          </v:group>
        </w:pict>
      </w:r>
      <w:r>
        <w:rPr>
          <w:rFonts w:ascii="Arial"/>
        </w:rPr>
      </w:r>
    </w:p>
    <w:sectPr>
      <w:type w:val="continuous"/>
      <w:pgSz w:w="12240" w:h="15660"/>
      <w:pgMar w:top="0" w:bottom="7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Helvetica">
    <w:altName w:val="Helvetica"/>
    <w:charset w:val="0"/>
    <w:family w:val="swiss"/>
    <w:pitch w:val="variable"/>
  </w:font>
  <w:font w:name="Consolas">
    <w:altName w:val="Consolas"/>
    <w:charset w:val="0"/>
    <w:family w:val="modern"/>
    <w:pitch w:val="fixed"/>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 w:name="Lucida Sans">
    <w:altName w:val="Lucida Sans"/>
    <w:charset w:val="0"/>
    <w:family w:val="swiss"/>
    <w:pitch w:val="variable"/>
  </w:font>
  <w:font w:name="Calibri">
    <w:altName w:val="Calibri"/>
    <w:charset w:val="0"/>
    <w:family w:val="swiss"/>
    <w:pitch w:val="variable"/>
  </w:font>
  <w:font w:name="Cambria">
    <w:altName w:val="Cambria"/>
    <w:charset w:val="0"/>
    <w:family w:val="roman"/>
    <w:pitch w:val="variable"/>
  </w:font>
  <w:font w:name="Ink Free">
    <w:altName w:val="Ink Free"/>
    <w:charset w:val="0"/>
    <w:family w:val="script"/>
    <w:pitch w:val="variable"/>
  </w:font>
  <w:font w:name="Arial Unicode MS">
    <w:altName w:val="Arial Unicode MS"/>
    <w:charset w:val="0"/>
    <w:family w:val="swiss"/>
    <w:pitch w:val="variable"/>
  </w:font>
  <w:font w:name="Century Gothic">
    <w:altName w:val="Century Gothic"/>
    <w:charset w:val="0"/>
    <w:family w:val="swiss"/>
    <w:pitch w:val="variable"/>
  </w:font>
  <w:font w:name="Arial Black">
    <w:altName w:val="Arial Black"/>
    <w:charset w:val="0"/>
    <w:family w:val="swiss"/>
    <w:pitch w:val="variable"/>
  </w:font>
  <w:font w:name="Maiandra GD">
    <w:altName w:val="Maiandra GD"/>
    <w:charset w:val="0"/>
    <w:family w:val="swiss"/>
    <w:pitch w:val="variable"/>
  </w:font>
  <w:font w:name="Kristen ITC">
    <w:altName w:val="Kristen ITC"/>
    <w:charset w:val="0"/>
    <w:family w:val="script"/>
    <w:pitch w:val="variable"/>
  </w:font>
  <w:font w:name="Juice ITC">
    <w:altName w:val="Juice ITC"/>
    <w:charset w:val="0"/>
    <w:family w:val="decorative"/>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38.320007pt;margin-top:743.650024pt;width:22.7pt;height:13.6pt;mso-position-horizontal-relative:page;mso-position-vertical-relative:page;z-index:-2737469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305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274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315</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4316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415</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400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416</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390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417</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3600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418</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349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419</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319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420</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3088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278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422</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267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423</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237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2441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316</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226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425</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1961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426</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1859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427</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155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428</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144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429</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1142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430</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1040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431</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0732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432</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063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433</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032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2339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317</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022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435</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49913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436</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4981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437</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4950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438</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49401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439</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4909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440</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4899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441</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48684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442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203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192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1622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1520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141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131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080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459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306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070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0393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029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329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998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9881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957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947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936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926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875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4080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308</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8652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339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8345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824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7936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7833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752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742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7116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701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347</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670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397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309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6604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349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629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619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5888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5785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547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5376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355</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506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356</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496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4659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367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4556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359</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424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414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3840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373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363</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343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3328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365</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302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366</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291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261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3568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250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369</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240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230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372</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179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374</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168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1382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376</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1280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377</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0972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378</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087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379</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056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326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312</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046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60153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382</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6005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974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384</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9641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385</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933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386</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923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912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389</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902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390</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851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7315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8412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393</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8105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394</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800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395</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7696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396</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7593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397</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728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398</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718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399</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6876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400</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677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401</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646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7285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314</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6364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605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404</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595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405</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5648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406</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5545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407</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544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409</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534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410</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482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412</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320007pt;margin-top:743.650024pt;width:22.7pt;height:13.6pt;mso-position-horizontal-relative:page;mso-position-vertical-relative:page;z-index:-2735472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413</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2.7pt;height:13.6pt;mso-position-horizontal-relative:page;mso-position-vertical-relative:page;z-index:-27354419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414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4489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43872"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5238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5136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5033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4931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4624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4521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4214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4112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3804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3702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2646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25440"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3395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3292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2985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2883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2576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2473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0pt;width:612pt;height:36pt;mso-position-horizontal-relative:page;mso-position-vertical-relative:page;z-index:-273521664" filled="true" fillcolor="#f2eae0" stroked="false">
          <v:fill type="solid"/>
          <w10:wrap type="none"/>
        </v:rect>
      </w:pict>
    </w:r>
    <w:r>
      <w:rPr/>
      <w:pict>
        <v:shape style="position:absolute;margin-left:53pt;margin-top:21.587pt;width:159.050pt;height:12.45pt;mso-position-horizontal-relative:page;mso-position-vertical-relative:page;z-index:-27352064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1756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1654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1347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1244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0937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0835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0528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0425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0118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0016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49708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49606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2236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21344"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49299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49196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0pt;width:612pt;height:36pt;mso-position-horizontal-relative:page;mso-position-vertical-relative:page;z-index:-273488896" filled="true" fillcolor="#f2eae0" stroked="false">
          <v:fill type="solid"/>
          <w10:wrap type="none"/>
        </v:rect>
      </w:pict>
    </w:r>
    <w:r>
      <w:rPr/>
      <w:pict>
        <v:shape style="position:absolute;margin-left:53pt;margin-top:21.587pt;width:159.050pt;height:12.45pt;mso-position-horizontal-relative:page;mso-position-vertical-relative:page;z-index:-27348787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1827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17248"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1212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1110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1008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0905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0598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0496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0188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0086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9779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9676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9164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90624"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4284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41824"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8960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88576"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8550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84480"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8140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80384"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7731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76288"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0pt;width:612pt;height:36pt;mso-position-horizontal-relative:page;mso-position-vertical-relative:page;z-index:-273673216" filled="true" fillcolor="#f2eae0" stroked="false">
          <v:fill type="solid"/>
          <w10:wrap type="none"/>
        </v:rect>
      </w:pict>
    </w:r>
    <w:r>
      <w:rPr/>
      <w:pict>
        <v:shape style="position:absolute;margin-left:53pt;margin-top:21.587pt;width:159.050pt;height:12.45pt;mso-position-horizontal-relative:page;mso-position-vertical-relative:page;z-index:-273672192"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6912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6809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6502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6400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6092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5990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5683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5580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5273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5171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3875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37728"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4864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4761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4454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4352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4044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3942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3635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3532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3225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3123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2816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2713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2201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20992"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1996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18944"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1587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14848"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3465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33632"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1177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10752"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0768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06656"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60358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602560"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9948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98464"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9539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94368"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8924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8822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8720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8617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8310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8208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7900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7798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74912"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73888"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73056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729536" type="#_x0000_t202" filled="false" stroked="false">
          <v:textbox inset="0,0,0,0">
            <w:txbxContent>
              <w:p>
                <w:pPr>
                  <w:spacing w:before="19"/>
                  <w:ind w:left="20" w:right="0" w:firstLine="0"/>
                  <w:jc w:val="left"/>
                  <w:rPr>
                    <w:rFonts w:ascii="Trebuchet MS"/>
                    <w:i/>
                    <w:sz w:val="18"/>
                  </w:rPr>
                </w:pPr>
                <w:r>
                  <w:rPr>
                    <w:rFonts w:ascii="Trebuchet MS"/>
                    <w:b/>
                    <w:i/>
                    <w:color w:val="231F20"/>
                    <w:w w:val="105"/>
                    <w:sz w:val="18"/>
                  </w:rPr>
                  <w:t>Unit V </w:t>
                </w:r>
                <w:r>
                  <w:rPr>
                    <w:rFonts w:ascii="Trebuchet MS"/>
                    <w:i/>
                    <w:color w:val="231F20"/>
                    <w:w w:val="105"/>
                    <w:sz w:val="18"/>
                  </w:rPr>
                  <w:t>The Body Fluids and Kidneys</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70816"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69792"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66720"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65696"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62624"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61600"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73558528" coordorigin="0,0" coordsize="12240,720">
          <v:rect style="position:absolute;left:0;top:0;width:12240;height:720" filled="true" fillcolor="#f2eae0" stroked="false">
            <v:fill type="solid"/>
          </v:rect>
          <v:line style="position:absolute" from="12240,0" to="12240,720" stroked="true" strokeweight="0pt" strokecolor="#f2eae0">
            <v:stroke dashstyle="solid"/>
          </v:line>
          <w10:wrap type="none"/>
        </v:group>
      </w:pict>
    </w:r>
    <w:r>
      <w:rPr/>
      <w:pict>
        <v:shape style="position:absolute;margin-left:53pt;margin-top:21.587pt;width:159.050pt;height:12.45pt;mso-position-horizontal-relative:page;mso-position-vertical-relative:page;z-index:-273557504" type="#_x0000_t202" filled="false" stroked="false">
          <v:textbox inset="0,0,0,0">
            <w:txbxContent>
              <w:p>
                <w:pPr>
                  <w:spacing w:before="7"/>
                  <w:ind w:left="20" w:right="0" w:firstLine="0"/>
                  <w:jc w:val="left"/>
                  <w:rPr>
                    <w:rFonts w:ascii="Trebuchet MS"/>
                    <w:i/>
                    <w:sz w:val="18"/>
                  </w:rPr>
                </w:pPr>
                <w:r>
                  <w:rPr>
                    <w:rFonts w:ascii="Verdana"/>
                    <w:b/>
                    <w:i/>
                    <w:color w:val="231F20"/>
                    <w:sz w:val="18"/>
                  </w:rPr>
                  <w:t>Unit V </w:t>
                </w:r>
                <w:r>
                  <w:rPr>
                    <w:rFonts w:ascii="Trebuchet MS"/>
                    <w:i/>
                    <w:color w:val="231F20"/>
                    <w:sz w:val="18"/>
                  </w:rPr>
                  <w:t>The Body Fluids and Kidneys</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801"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1363" w:hanging="243"/>
      </w:pPr>
      <w:rPr>
        <w:rFonts w:hint="default"/>
      </w:rPr>
    </w:lvl>
    <w:lvl w:ilvl="2">
      <w:start w:val="0"/>
      <w:numFmt w:val="bullet"/>
      <w:lvlText w:val="•"/>
      <w:lvlJc w:val="left"/>
      <w:pPr>
        <w:ind w:left="1927" w:hanging="243"/>
      </w:pPr>
      <w:rPr>
        <w:rFonts w:hint="default"/>
      </w:rPr>
    </w:lvl>
    <w:lvl w:ilvl="3">
      <w:start w:val="0"/>
      <w:numFmt w:val="bullet"/>
      <w:lvlText w:val="•"/>
      <w:lvlJc w:val="left"/>
      <w:pPr>
        <w:ind w:left="2491" w:hanging="243"/>
      </w:pPr>
      <w:rPr>
        <w:rFonts w:hint="default"/>
      </w:rPr>
    </w:lvl>
    <w:lvl w:ilvl="4">
      <w:start w:val="0"/>
      <w:numFmt w:val="bullet"/>
      <w:lvlText w:val="•"/>
      <w:lvlJc w:val="left"/>
      <w:pPr>
        <w:ind w:left="3055" w:hanging="243"/>
      </w:pPr>
      <w:rPr>
        <w:rFonts w:hint="default"/>
      </w:rPr>
    </w:lvl>
    <w:lvl w:ilvl="5">
      <w:start w:val="0"/>
      <w:numFmt w:val="bullet"/>
      <w:lvlText w:val="•"/>
      <w:lvlJc w:val="left"/>
      <w:pPr>
        <w:ind w:left="3619" w:hanging="243"/>
      </w:pPr>
      <w:rPr>
        <w:rFonts w:hint="default"/>
      </w:rPr>
    </w:lvl>
    <w:lvl w:ilvl="6">
      <w:start w:val="0"/>
      <w:numFmt w:val="bullet"/>
      <w:lvlText w:val="•"/>
      <w:lvlJc w:val="left"/>
      <w:pPr>
        <w:ind w:left="4183" w:hanging="243"/>
      </w:pPr>
      <w:rPr>
        <w:rFonts w:hint="default"/>
      </w:rPr>
    </w:lvl>
    <w:lvl w:ilvl="7">
      <w:start w:val="0"/>
      <w:numFmt w:val="bullet"/>
      <w:lvlText w:val="•"/>
      <w:lvlJc w:val="left"/>
      <w:pPr>
        <w:ind w:left="4747" w:hanging="243"/>
      </w:pPr>
      <w:rPr>
        <w:rFonts w:hint="default"/>
      </w:rPr>
    </w:lvl>
    <w:lvl w:ilvl="8">
      <w:start w:val="0"/>
      <w:numFmt w:val="bullet"/>
      <w:lvlText w:val="•"/>
      <w:lvlJc w:val="left"/>
      <w:pPr>
        <w:ind w:left="5311" w:hanging="243"/>
      </w:pPr>
      <w:rPr>
        <w:rFonts w:hint="default"/>
      </w:rPr>
    </w:lvl>
  </w:abstractNum>
  <w:abstractNum w:abstractNumId="21">
    <w:multiLevelType w:val="hybridMultilevel"/>
    <w:lvl w:ilvl="0">
      <w:start w:val="1"/>
      <w:numFmt w:val="decimal"/>
      <w:lvlText w:val="%1."/>
      <w:lvlJc w:val="left"/>
      <w:pPr>
        <w:ind w:left="802"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1440" w:hanging="243"/>
      </w:pPr>
      <w:rPr>
        <w:rFonts w:hint="default"/>
      </w:rPr>
    </w:lvl>
    <w:lvl w:ilvl="2">
      <w:start w:val="0"/>
      <w:numFmt w:val="bullet"/>
      <w:lvlText w:val="•"/>
      <w:lvlJc w:val="left"/>
      <w:pPr>
        <w:ind w:left="1275" w:hanging="243"/>
      </w:pPr>
      <w:rPr>
        <w:rFonts w:hint="default"/>
      </w:rPr>
    </w:lvl>
    <w:lvl w:ilvl="3">
      <w:start w:val="0"/>
      <w:numFmt w:val="bullet"/>
      <w:lvlText w:val="•"/>
      <w:lvlJc w:val="left"/>
      <w:pPr>
        <w:ind w:left="1111" w:hanging="243"/>
      </w:pPr>
      <w:rPr>
        <w:rFonts w:hint="default"/>
      </w:rPr>
    </w:lvl>
    <w:lvl w:ilvl="4">
      <w:start w:val="0"/>
      <w:numFmt w:val="bullet"/>
      <w:lvlText w:val="•"/>
      <w:lvlJc w:val="left"/>
      <w:pPr>
        <w:ind w:left="946" w:hanging="243"/>
      </w:pPr>
      <w:rPr>
        <w:rFonts w:hint="default"/>
      </w:rPr>
    </w:lvl>
    <w:lvl w:ilvl="5">
      <w:start w:val="0"/>
      <w:numFmt w:val="bullet"/>
      <w:lvlText w:val="•"/>
      <w:lvlJc w:val="left"/>
      <w:pPr>
        <w:ind w:left="782" w:hanging="243"/>
      </w:pPr>
      <w:rPr>
        <w:rFonts w:hint="default"/>
      </w:rPr>
    </w:lvl>
    <w:lvl w:ilvl="6">
      <w:start w:val="0"/>
      <w:numFmt w:val="bullet"/>
      <w:lvlText w:val="•"/>
      <w:lvlJc w:val="left"/>
      <w:pPr>
        <w:ind w:left="617" w:hanging="243"/>
      </w:pPr>
      <w:rPr>
        <w:rFonts w:hint="default"/>
      </w:rPr>
    </w:lvl>
    <w:lvl w:ilvl="7">
      <w:start w:val="0"/>
      <w:numFmt w:val="bullet"/>
      <w:lvlText w:val="•"/>
      <w:lvlJc w:val="left"/>
      <w:pPr>
        <w:ind w:left="453" w:hanging="243"/>
      </w:pPr>
      <w:rPr>
        <w:rFonts w:hint="default"/>
      </w:rPr>
    </w:lvl>
    <w:lvl w:ilvl="8">
      <w:start w:val="0"/>
      <w:numFmt w:val="bullet"/>
      <w:lvlText w:val="•"/>
      <w:lvlJc w:val="left"/>
      <w:pPr>
        <w:ind w:left="289" w:hanging="243"/>
      </w:pPr>
      <w:rPr>
        <w:rFonts w:hint="default"/>
      </w:rPr>
    </w:lvl>
  </w:abstractNum>
  <w:abstractNum w:abstractNumId="19">
    <w:multiLevelType w:val="hybridMultilevel"/>
    <w:lvl w:ilvl="0">
      <w:start w:val="1"/>
      <w:numFmt w:val="decimal"/>
      <w:lvlText w:val="%1."/>
      <w:lvlJc w:val="left"/>
      <w:pPr>
        <w:ind w:left="1562" w:hanging="243"/>
        <w:jc w:val="left"/>
      </w:pPr>
      <w:rPr>
        <w:rFonts w:hint="default" w:ascii="Times New Roman" w:hAnsi="Times New Roman" w:eastAsia="Times New Roman" w:cs="Times New Roman"/>
        <w:color w:val="231F20"/>
        <w:w w:val="94"/>
        <w:sz w:val="20"/>
        <w:szCs w:val="20"/>
      </w:rPr>
    </w:lvl>
    <w:lvl w:ilvl="1">
      <w:start w:val="0"/>
      <w:numFmt w:val="bullet"/>
      <w:lvlText w:val="•"/>
      <w:lvlJc w:val="left"/>
      <w:pPr>
        <w:ind w:left="1980" w:hanging="243"/>
      </w:pPr>
      <w:rPr>
        <w:rFonts w:hint="default"/>
      </w:rPr>
    </w:lvl>
    <w:lvl w:ilvl="2">
      <w:start w:val="0"/>
      <w:numFmt w:val="bullet"/>
      <w:lvlText w:val="•"/>
      <w:lvlJc w:val="left"/>
      <w:pPr>
        <w:ind w:left="2400" w:hanging="243"/>
      </w:pPr>
      <w:rPr>
        <w:rFonts w:hint="default"/>
      </w:rPr>
    </w:lvl>
    <w:lvl w:ilvl="3">
      <w:start w:val="0"/>
      <w:numFmt w:val="bullet"/>
      <w:lvlText w:val="•"/>
      <w:lvlJc w:val="left"/>
      <w:pPr>
        <w:ind w:left="2820" w:hanging="243"/>
      </w:pPr>
      <w:rPr>
        <w:rFonts w:hint="default"/>
      </w:rPr>
    </w:lvl>
    <w:lvl w:ilvl="4">
      <w:start w:val="0"/>
      <w:numFmt w:val="bullet"/>
      <w:lvlText w:val="•"/>
      <w:lvlJc w:val="left"/>
      <w:pPr>
        <w:ind w:left="3240" w:hanging="243"/>
      </w:pPr>
      <w:rPr>
        <w:rFonts w:hint="default"/>
      </w:rPr>
    </w:lvl>
    <w:lvl w:ilvl="5">
      <w:start w:val="0"/>
      <w:numFmt w:val="bullet"/>
      <w:lvlText w:val="•"/>
      <w:lvlJc w:val="left"/>
      <w:pPr>
        <w:ind w:left="3660" w:hanging="243"/>
      </w:pPr>
      <w:rPr>
        <w:rFonts w:hint="default"/>
      </w:rPr>
    </w:lvl>
    <w:lvl w:ilvl="6">
      <w:start w:val="0"/>
      <w:numFmt w:val="bullet"/>
      <w:lvlText w:val="•"/>
      <w:lvlJc w:val="left"/>
      <w:pPr>
        <w:ind w:left="4080" w:hanging="243"/>
      </w:pPr>
      <w:rPr>
        <w:rFonts w:hint="default"/>
      </w:rPr>
    </w:lvl>
    <w:lvl w:ilvl="7">
      <w:start w:val="0"/>
      <w:numFmt w:val="bullet"/>
      <w:lvlText w:val="•"/>
      <w:lvlJc w:val="left"/>
      <w:pPr>
        <w:ind w:left="4500" w:hanging="243"/>
      </w:pPr>
      <w:rPr>
        <w:rFonts w:hint="default"/>
      </w:rPr>
    </w:lvl>
    <w:lvl w:ilvl="8">
      <w:start w:val="0"/>
      <w:numFmt w:val="bullet"/>
      <w:lvlText w:val="•"/>
      <w:lvlJc w:val="left"/>
      <w:pPr>
        <w:ind w:left="4920" w:hanging="243"/>
      </w:pPr>
      <w:rPr>
        <w:rFonts w:hint="default"/>
      </w:rPr>
    </w:lvl>
  </w:abstractNum>
  <w:abstractNum w:abstractNumId="7">
    <w:multiLevelType w:val="hybridMultilevel"/>
    <w:lvl w:ilvl="0">
      <w:start w:val="1"/>
      <w:numFmt w:val="decimal"/>
      <w:lvlText w:val="(%1)"/>
      <w:lvlJc w:val="left"/>
      <w:pPr>
        <w:ind w:left="1067" w:hanging="307"/>
        <w:jc w:val="left"/>
      </w:pPr>
      <w:rPr>
        <w:rFonts w:hint="default" w:ascii="Times New Roman" w:hAnsi="Times New Roman" w:eastAsia="Times New Roman" w:cs="Times New Roman"/>
        <w:color w:val="231F20"/>
        <w:w w:val="97"/>
        <w:sz w:val="20"/>
        <w:szCs w:val="20"/>
      </w:rPr>
    </w:lvl>
    <w:lvl w:ilvl="1">
      <w:start w:val="0"/>
      <w:numFmt w:val="bullet"/>
      <w:lvlText w:val="•"/>
      <w:lvlJc w:val="left"/>
      <w:pPr>
        <w:ind w:left="1636" w:hanging="307"/>
      </w:pPr>
      <w:rPr>
        <w:rFonts w:hint="default"/>
      </w:rPr>
    </w:lvl>
    <w:lvl w:ilvl="2">
      <w:start w:val="0"/>
      <w:numFmt w:val="bullet"/>
      <w:lvlText w:val="•"/>
      <w:lvlJc w:val="left"/>
      <w:pPr>
        <w:ind w:left="2213" w:hanging="307"/>
      </w:pPr>
      <w:rPr>
        <w:rFonts w:hint="default"/>
      </w:rPr>
    </w:lvl>
    <w:lvl w:ilvl="3">
      <w:start w:val="0"/>
      <w:numFmt w:val="bullet"/>
      <w:lvlText w:val="•"/>
      <w:lvlJc w:val="left"/>
      <w:pPr>
        <w:ind w:left="2790" w:hanging="307"/>
      </w:pPr>
      <w:rPr>
        <w:rFonts w:hint="default"/>
      </w:rPr>
    </w:lvl>
    <w:lvl w:ilvl="4">
      <w:start w:val="0"/>
      <w:numFmt w:val="bullet"/>
      <w:lvlText w:val="•"/>
      <w:lvlJc w:val="left"/>
      <w:pPr>
        <w:ind w:left="3367" w:hanging="307"/>
      </w:pPr>
      <w:rPr>
        <w:rFonts w:hint="default"/>
      </w:rPr>
    </w:lvl>
    <w:lvl w:ilvl="5">
      <w:start w:val="0"/>
      <w:numFmt w:val="bullet"/>
      <w:lvlText w:val="•"/>
      <w:lvlJc w:val="left"/>
      <w:pPr>
        <w:ind w:left="3943" w:hanging="307"/>
      </w:pPr>
      <w:rPr>
        <w:rFonts w:hint="default"/>
      </w:rPr>
    </w:lvl>
    <w:lvl w:ilvl="6">
      <w:start w:val="0"/>
      <w:numFmt w:val="bullet"/>
      <w:lvlText w:val="•"/>
      <w:lvlJc w:val="left"/>
      <w:pPr>
        <w:ind w:left="4520" w:hanging="307"/>
      </w:pPr>
      <w:rPr>
        <w:rFonts w:hint="default"/>
      </w:rPr>
    </w:lvl>
    <w:lvl w:ilvl="7">
      <w:start w:val="0"/>
      <w:numFmt w:val="bullet"/>
      <w:lvlText w:val="•"/>
      <w:lvlJc w:val="left"/>
      <w:pPr>
        <w:ind w:left="5097" w:hanging="307"/>
      </w:pPr>
      <w:rPr>
        <w:rFonts w:hint="default"/>
      </w:rPr>
    </w:lvl>
    <w:lvl w:ilvl="8">
      <w:start w:val="0"/>
      <w:numFmt w:val="bullet"/>
      <w:lvlText w:val="•"/>
      <w:lvlJc w:val="left"/>
      <w:pPr>
        <w:ind w:left="5674" w:hanging="307"/>
      </w:pPr>
      <w:rPr>
        <w:rFonts w:hint="default"/>
      </w:rPr>
    </w:lvl>
  </w:abstractNum>
  <w:abstractNum w:abstractNumId="30">
    <w:multiLevelType w:val="hybridMultilevel"/>
    <w:lvl w:ilvl="0">
      <w:start w:val="1"/>
      <w:numFmt w:val="decimal"/>
      <w:lvlText w:val="(%1)"/>
      <w:lvlJc w:val="left"/>
      <w:pPr>
        <w:ind w:left="319" w:hanging="292"/>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1718" w:hanging="219"/>
        <w:jc w:val="left"/>
      </w:pPr>
      <w:rPr>
        <w:rFonts w:hint="default" w:ascii="Times New Roman" w:hAnsi="Times New Roman" w:eastAsia="Times New Roman" w:cs="Times New Roman"/>
        <w:color w:val="231F20"/>
        <w:w w:val="94"/>
        <w:sz w:val="18"/>
        <w:szCs w:val="18"/>
      </w:rPr>
    </w:lvl>
    <w:lvl w:ilvl="2">
      <w:start w:val="0"/>
      <w:numFmt w:val="bullet"/>
      <w:lvlText w:val="•"/>
      <w:lvlJc w:val="left"/>
      <w:pPr>
        <w:ind w:left="1504" w:hanging="219"/>
      </w:pPr>
      <w:rPr>
        <w:rFonts w:hint="default"/>
      </w:rPr>
    </w:lvl>
    <w:lvl w:ilvl="3">
      <w:start w:val="0"/>
      <w:numFmt w:val="bullet"/>
      <w:lvlText w:val="•"/>
      <w:lvlJc w:val="left"/>
      <w:pPr>
        <w:ind w:left="1288" w:hanging="219"/>
      </w:pPr>
      <w:rPr>
        <w:rFonts w:hint="default"/>
      </w:rPr>
    </w:lvl>
    <w:lvl w:ilvl="4">
      <w:start w:val="0"/>
      <w:numFmt w:val="bullet"/>
      <w:lvlText w:val="•"/>
      <w:lvlJc w:val="left"/>
      <w:pPr>
        <w:ind w:left="1073" w:hanging="219"/>
      </w:pPr>
      <w:rPr>
        <w:rFonts w:hint="default"/>
      </w:rPr>
    </w:lvl>
    <w:lvl w:ilvl="5">
      <w:start w:val="0"/>
      <w:numFmt w:val="bullet"/>
      <w:lvlText w:val="•"/>
      <w:lvlJc w:val="left"/>
      <w:pPr>
        <w:ind w:left="857" w:hanging="219"/>
      </w:pPr>
      <w:rPr>
        <w:rFonts w:hint="default"/>
      </w:rPr>
    </w:lvl>
    <w:lvl w:ilvl="6">
      <w:start w:val="0"/>
      <w:numFmt w:val="bullet"/>
      <w:lvlText w:val="•"/>
      <w:lvlJc w:val="left"/>
      <w:pPr>
        <w:ind w:left="642" w:hanging="219"/>
      </w:pPr>
      <w:rPr>
        <w:rFonts w:hint="default"/>
      </w:rPr>
    </w:lvl>
    <w:lvl w:ilvl="7">
      <w:start w:val="0"/>
      <w:numFmt w:val="bullet"/>
      <w:lvlText w:val="•"/>
      <w:lvlJc w:val="left"/>
      <w:pPr>
        <w:ind w:left="426" w:hanging="219"/>
      </w:pPr>
      <w:rPr>
        <w:rFonts w:hint="default"/>
      </w:rPr>
    </w:lvl>
    <w:lvl w:ilvl="8">
      <w:start w:val="0"/>
      <w:numFmt w:val="bullet"/>
      <w:lvlText w:val="•"/>
      <w:lvlJc w:val="left"/>
      <w:pPr>
        <w:ind w:left="210" w:hanging="219"/>
      </w:pPr>
      <w:rPr>
        <w:rFonts w:hint="default"/>
      </w:rPr>
    </w:lvl>
  </w:abstractNum>
  <w:abstractNum w:abstractNumId="29">
    <w:multiLevelType w:val="hybridMultilevel"/>
    <w:lvl w:ilvl="0">
      <w:start w:val="2"/>
      <w:numFmt w:val="decimal"/>
      <w:lvlText w:val="(%1)"/>
      <w:lvlJc w:val="left"/>
      <w:pPr>
        <w:ind w:left="316" w:hanging="279"/>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1440" w:hanging="328"/>
        <w:jc w:val="left"/>
      </w:pPr>
      <w:rPr>
        <w:rFonts w:hint="default" w:ascii="Times New Roman" w:hAnsi="Times New Roman" w:eastAsia="Times New Roman" w:cs="Times New Roman"/>
        <w:color w:val="231F20"/>
        <w:w w:val="97"/>
        <w:sz w:val="20"/>
        <w:szCs w:val="20"/>
      </w:rPr>
    </w:lvl>
    <w:lvl w:ilvl="2">
      <w:start w:val="0"/>
      <w:numFmt w:val="bullet"/>
      <w:lvlText w:val="•"/>
      <w:lvlJc w:val="left"/>
      <w:pPr>
        <w:ind w:left="1275" w:hanging="328"/>
      </w:pPr>
      <w:rPr>
        <w:rFonts w:hint="default"/>
      </w:rPr>
    </w:lvl>
    <w:lvl w:ilvl="3">
      <w:start w:val="0"/>
      <w:numFmt w:val="bullet"/>
      <w:lvlText w:val="•"/>
      <w:lvlJc w:val="left"/>
      <w:pPr>
        <w:ind w:left="1110" w:hanging="328"/>
      </w:pPr>
      <w:rPr>
        <w:rFonts w:hint="default"/>
      </w:rPr>
    </w:lvl>
    <w:lvl w:ilvl="4">
      <w:start w:val="0"/>
      <w:numFmt w:val="bullet"/>
      <w:lvlText w:val="•"/>
      <w:lvlJc w:val="left"/>
      <w:pPr>
        <w:ind w:left="945" w:hanging="328"/>
      </w:pPr>
      <w:rPr>
        <w:rFonts w:hint="default"/>
      </w:rPr>
    </w:lvl>
    <w:lvl w:ilvl="5">
      <w:start w:val="0"/>
      <w:numFmt w:val="bullet"/>
      <w:lvlText w:val="•"/>
      <w:lvlJc w:val="left"/>
      <w:pPr>
        <w:ind w:left="780" w:hanging="328"/>
      </w:pPr>
      <w:rPr>
        <w:rFonts w:hint="default"/>
      </w:rPr>
    </w:lvl>
    <w:lvl w:ilvl="6">
      <w:start w:val="0"/>
      <w:numFmt w:val="bullet"/>
      <w:lvlText w:val="•"/>
      <w:lvlJc w:val="left"/>
      <w:pPr>
        <w:ind w:left="615" w:hanging="328"/>
      </w:pPr>
      <w:rPr>
        <w:rFonts w:hint="default"/>
      </w:rPr>
    </w:lvl>
    <w:lvl w:ilvl="7">
      <w:start w:val="0"/>
      <w:numFmt w:val="bullet"/>
      <w:lvlText w:val="•"/>
      <w:lvlJc w:val="left"/>
      <w:pPr>
        <w:ind w:left="451" w:hanging="328"/>
      </w:pPr>
      <w:rPr>
        <w:rFonts w:hint="default"/>
      </w:rPr>
    </w:lvl>
    <w:lvl w:ilvl="8">
      <w:start w:val="0"/>
      <w:numFmt w:val="bullet"/>
      <w:lvlText w:val="•"/>
      <w:lvlJc w:val="left"/>
      <w:pPr>
        <w:ind w:left="286" w:hanging="328"/>
      </w:pPr>
      <w:rPr>
        <w:rFonts w:hint="default"/>
      </w:rPr>
    </w:lvl>
  </w:abstractNum>
  <w:abstractNum w:abstractNumId="28">
    <w:multiLevelType w:val="hybridMultilevel"/>
    <w:lvl w:ilvl="0">
      <w:start w:val="1"/>
      <w:numFmt w:val="decimal"/>
      <w:lvlText w:val="%1."/>
      <w:lvlJc w:val="left"/>
      <w:pPr>
        <w:ind w:left="801" w:hanging="243"/>
        <w:jc w:val="left"/>
      </w:pPr>
      <w:rPr>
        <w:rFonts w:hint="default" w:ascii="Times New Roman" w:hAnsi="Times New Roman" w:eastAsia="Times New Roman" w:cs="Times New Roman"/>
        <w:color w:val="231F20"/>
        <w:w w:val="94"/>
        <w:sz w:val="20"/>
        <w:szCs w:val="20"/>
      </w:rPr>
    </w:lvl>
    <w:lvl w:ilvl="1">
      <w:start w:val="0"/>
      <w:numFmt w:val="bullet"/>
      <w:lvlText w:val="•"/>
      <w:lvlJc w:val="left"/>
      <w:pPr>
        <w:ind w:left="1327" w:hanging="243"/>
      </w:pPr>
      <w:rPr>
        <w:rFonts w:hint="default"/>
      </w:rPr>
    </w:lvl>
    <w:lvl w:ilvl="2">
      <w:start w:val="0"/>
      <w:numFmt w:val="bullet"/>
      <w:lvlText w:val="•"/>
      <w:lvlJc w:val="left"/>
      <w:pPr>
        <w:ind w:left="1855" w:hanging="243"/>
      </w:pPr>
      <w:rPr>
        <w:rFonts w:hint="default"/>
      </w:rPr>
    </w:lvl>
    <w:lvl w:ilvl="3">
      <w:start w:val="0"/>
      <w:numFmt w:val="bullet"/>
      <w:lvlText w:val="•"/>
      <w:lvlJc w:val="left"/>
      <w:pPr>
        <w:ind w:left="2383" w:hanging="243"/>
      </w:pPr>
      <w:rPr>
        <w:rFonts w:hint="default"/>
      </w:rPr>
    </w:lvl>
    <w:lvl w:ilvl="4">
      <w:start w:val="0"/>
      <w:numFmt w:val="bullet"/>
      <w:lvlText w:val="•"/>
      <w:lvlJc w:val="left"/>
      <w:pPr>
        <w:ind w:left="2911" w:hanging="243"/>
      </w:pPr>
      <w:rPr>
        <w:rFonts w:hint="default"/>
      </w:rPr>
    </w:lvl>
    <w:lvl w:ilvl="5">
      <w:start w:val="0"/>
      <w:numFmt w:val="bullet"/>
      <w:lvlText w:val="•"/>
      <w:lvlJc w:val="left"/>
      <w:pPr>
        <w:ind w:left="3439" w:hanging="243"/>
      </w:pPr>
      <w:rPr>
        <w:rFonts w:hint="default"/>
      </w:rPr>
    </w:lvl>
    <w:lvl w:ilvl="6">
      <w:start w:val="0"/>
      <w:numFmt w:val="bullet"/>
      <w:lvlText w:val="•"/>
      <w:lvlJc w:val="left"/>
      <w:pPr>
        <w:ind w:left="3967" w:hanging="243"/>
      </w:pPr>
      <w:rPr>
        <w:rFonts w:hint="default"/>
      </w:rPr>
    </w:lvl>
    <w:lvl w:ilvl="7">
      <w:start w:val="0"/>
      <w:numFmt w:val="bullet"/>
      <w:lvlText w:val="•"/>
      <w:lvlJc w:val="left"/>
      <w:pPr>
        <w:ind w:left="4495" w:hanging="243"/>
      </w:pPr>
      <w:rPr>
        <w:rFonts w:hint="default"/>
      </w:rPr>
    </w:lvl>
    <w:lvl w:ilvl="8">
      <w:start w:val="0"/>
      <w:numFmt w:val="bullet"/>
      <w:lvlText w:val="•"/>
      <w:lvlJc w:val="left"/>
      <w:pPr>
        <w:ind w:left="5023" w:hanging="243"/>
      </w:pPr>
      <w:rPr>
        <w:rFonts w:hint="default"/>
      </w:rPr>
    </w:lvl>
  </w:abstractNum>
  <w:abstractNum w:abstractNumId="27">
    <w:multiLevelType w:val="hybridMultilevel"/>
    <w:lvl w:ilvl="0">
      <w:start w:val="31"/>
      <w:numFmt w:val="decimal"/>
      <w:lvlText w:val="%1."/>
      <w:lvlJc w:val="left"/>
      <w:pPr>
        <w:ind w:left="671" w:hanging="353"/>
        <w:jc w:val="left"/>
      </w:pPr>
      <w:rPr>
        <w:rFonts w:hint="default" w:ascii="Times New Roman" w:hAnsi="Times New Roman" w:eastAsia="Times New Roman" w:cs="Times New Roman"/>
        <w:color w:val="231F20"/>
        <w:w w:val="96"/>
        <w:sz w:val="20"/>
        <w:szCs w:val="20"/>
      </w:rPr>
    </w:lvl>
    <w:lvl w:ilvl="1">
      <w:start w:val="1"/>
      <w:numFmt w:val="decimal"/>
      <w:lvlText w:val="%2."/>
      <w:lvlJc w:val="left"/>
      <w:pPr>
        <w:ind w:left="801" w:hanging="243"/>
        <w:jc w:val="left"/>
      </w:pPr>
      <w:rPr>
        <w:rFonts w:hint="default" w:ascii="Times New Roman" w:hAnsi="Times New Roman" w:eastAsia="Times New Roman" w:cs="Times New Roman"/>
        <w:color w:val="231F20"/>
        <w:w w:val="94"/>
        <w:sz w:val="20"/>
        <w:szCs w:val="20"/>
      </w:rPr>
    </w:lvl>
    <w:lvl w:ilvl="2">
      <w:start w:val="0"/>
      <w:numFmt w:val="bullet"/>
      <w:lvlText w:val="•"/>
      <w:lvlJc w:val="left"/>
      <w:pPr>
        <w:ind w:left="1386" w:hanging="243"/>
      </w:pPr>
      <w:rPr>
        <w:rFonts w:hint="default"/>
      </w:rPr>
    </w:lvl>
    <w:lvl w:ilvl="3">
      <w:start w:val="0"/>
      <w:numFmt w:val="bullet"/>
      <w:lvlText w:val="•"/>
      <w:lvlJc w:val="left"/>
      <w:pPr>
        <w:ind w:left="1973" w:hanging="243"/>
      </w:pPr>
      <w:rPr>
        <w:rFonts w:hint="default"/>
      </w:rPr>
    </w:lvl>
    <w:lvl w:ilvl="4">
      <w:start w:val="0"/>
      <w:numFmt w:val="bullet"/>
      <w:lvlText w:val="•"/>
      <w:lvlJc w:val="left"/>
      <w:pPr>
        <w:ind w:left="2559" w:hanging="243"/>
      </w:pPr>
      <w:rPr>
        <w:rFonts w:hint="default"/>
      </w:rPr>
    </w:lvl>
    <w:lvl w:ilvl="5">
      <w:start w:val="0"/>
      <w:numFmt w:val="bullet"/>
      <w:lvlText w:val="•"/>
      <w:lvlJc w:val="left"/>
      <w:pPr>
        <w:ind w:left="3146" w:hanging="243"/>
      </w:pPr>
      <w:rPr>
        <w:rFonts w:hint="default"/>
      </w:rPr>
    </w:lvl>
    <w:lvl w:ilvl="6">
      <w:start w:val="0"/>
      <w:numFmt w:val="bullet"/>
      <w:lvlText w:val="•"/>
      <w:lvlJc w:val="left"/>
      <w:pPr>
        <w:ind w:left="3733" w:hanging="243"/>
      </w:pPr>
      <w:rPr>
        <w:rFonts w:hint="default"/>
      </w:rPr>
    </w:lvl>
    <w:lvl w:ilvl="7">
      <w:start w:val="0"/>
      <w:numFmt w:val="bullet"/>
      <w:lvlText w:val="•"/>
      <w:lvlJc w:val="left"/>
      <w:pPr>
        <w:ind w:left="4319" w:hanging="243"/>
      </w:pPr>
      <w:rPr>
        <w:rFonts w:hint="default"/>
      </w:rPr>
    </w:lvl>
    <w:lvl w:ilvl="8">
      <w:start w:val="0"/>
      <w:numFmt w:val="bullet"/>
      <w:lvlText w:val="•"/>
      <w:lvlJc w:val="left"/>
      <w:pPr>
        <w:ind w:left="4906" w:hanging="243"/>
      </w:pPr>
      <w:rPr>
        <w:rFonts w:hint="default"/>
      </w:rPr>
    </w:lvl>
  </w:abstractNum>
  <w:abstractNum w:abstractNumId="26">
    <w:multiLevelType w:val="hybridMultilevel"/>
    <w:lvl w:ilvl="0">
      <w:start w:val="1"/>
      <w:numFmt w:val="decimal"/>
      <w:lvlText w:val="%1."/>
      <w:lvlJc w:val="left"/>
      <w:pPr>
        <w:ind w:left="1922"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2340" w:hanging="243"/>
      </w:pPr>
      <w:rPr>
        <w:rFonts w:hint="default"/>
      </w:rPr>
    </w:lvl>
    <w:lvl w:ilvl="2">
      <w:start w:val="0"/>
      <w:numFmt w:val="bullet"/>
      <w:lvlText w:val="•"/>
      <w:lvlJc w:val="left"/>
      <w:pPr>
        <w:ind w:left="2760" w:hanging="243"/>
      </w:pPr>
      <w:rPr>
        <w:rFonts w:hint="default"/>
      </w:rPr>
    </w:lvl>
    <w:lvl w:ilvl="3">
      <w:start w:val="0"/>
      <w:numFmt w:val="bullet"/>
      <w:lvlText w:val="•"/>
      <w:lvlJc w:val="left"/>
      <w:pPr>
        <w:ind w:left="3180" w:hanging="243"/>
      </w:pPr>
      <w:rPr>
        <w:rFonts w:hint="default"/>
      </w:rPr>
    </w:lvl>
    <w:lvl w:ilvl="4">
      <w:start w:val="0"/>
      <w:numFmt w:val="bullet"/>
      <w:lvlText w:val="•"/>
      <w:lvlJc w:val="left"/>
      <w:pPr>
        <w:ind w:left="3600" w:hanging="243"/>
      </w:pPr>
      <w:rPr>
        <w:rFonts w:hint="default"/>
      </w:rPr>
    </w:lvl>
    <w:lvl w:ilvl="5">
      <w:start w:val="0"/>
      <w:numFmt w:val="bullet"/>
      <w:lvlText w:val="•"/>
      <w:lvlJc w:val="left"/>
      <w:pPr>
        <w:ind w:left="4020" w:hanging="243"/>
      </w:pPr>
      <w:rPr>
        <w:rFonts w:hint="default"/>
      </w:rPr>
    </w:lvl>
    <w:lvl w:ilvl="6">
      <w:start w:val="0"/>
      <w:numFmt w:val="bullet"/>
      <w:lvlText w:val="•"/>
      <w:lvlJc w:val="left"/>
      <w:pPr>
        <w:ind w:left="4440" w:hanging="243"/>
      </w:pPr>
      <w:rPr>
        <w:rFonts w:hint="default"/>
      </w:rPr>
    </w:lvl>
    <w:lvl w:ilvl="7">
      <w:start w:val="0"/>
      <w:numFmt w:val="bullet"/>
      <w:lvlText w:val="•"/>
      <w:lvlJc w:val="left"/>
      <w:pPr>
        <w:ind w:left="4860" w:hanging="243"/>
      </w:pPr>
      <w:rPr>
        <w:rFonts w:hint="default"/>
      </w:rPr>
    </w:lvl>
    <w:lvl w:ilvl="8">
      <w:start w:val="0"/>
      <w:numFmt w:val="bullet"/>
      <w:lvlText w:val="•"/>
      <w:lvlJc w:val="left"/>
      <w:pPr>
        <w:ind w:left="5280" w:hanging="243"/>
      </w:pPr>
      <w:rPr>
        <w:rFonts w:hint="default"/>
      </w:rPr>
    </w:lvl>
  </w:abstractNum>
  <w:abstractNum w:abstractNumId="25">
    <w:multiLevelType w:val="hybridMultilevel"/>
    <w:lvl w:ilvl="0">
      <w:start w:val="1"/>
      <w:numFmt w:val="decimal"/>
      <w:lvlText w:val="(%1)"/>
      <w:lvlJc w:val="left"/>
      <w:pPr>
        <w:ind w:left="319" w:hanging="298"/>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801" w:hanging="243"/>
        <w:jc w:val="right"/>
      </w:pPr>
      <w:rPr>
        <w:rFonts w:hint="default" w:ascii="Times New Roman" w:hAnsi="Times New Roman" w:eastAsia="Times New Roman" w:cs="Times New Roman"/>
        <w:color w:val="231F20"/>
        <w:w w:val="94"/>
        <w:sz w:val="20"/>
        <w:szCs w:val="20"/>
      </w:rPr>
    </w:lvl>
    <w:lvl w:ilvl="2">
      <w:start w:val="0"/>
      <w:numFmt w:val="bullet"/>
      <w:lvlText w:val="•"/>
      <w:lvlJc w:val="left"/>
      <w:pPr>
        <w:ind w:left="1386" w:hanging="243"/>
      </w:pPr>
      <w:rPr>
        <w:rFonts w:hint="default"/>
      </w:rPr>
    </w:lvl>
    <w:lvl w:ilvl="3">
      <w:start w:val="0"/>
      <w:numFmt w:val="bullet"/>
      <w:lvlText w:val="•"/>
      <w:lvlJc w:val="left"/>
      <w:pPr>
        <w:ind w:left="1973" w:hanging="243"/>
      </w:pPr>
      <w:rPr>
        <w:rFonts w:hint="default"/>
      </w:rPr>
    </w:lvl>
    <w:lvl w:ilvl="4">
      <w:start w:val="0"/>
      <w:numFmt w:val="bullet"/>
      <w:lvlText w:val="•"/>
      <w:lvlJc w:val="left"/>
      <w:pPr>
        <w:ind w:left="2559" w:hanging="243"/>
      </w:pPr>
      <w:rPr>
        <w:rFonts w:hint="default"/>
      </w:rPr>
    </w:lvl>
    <w:lvl w:ilvl="5">
      <w:start w:val="0"/>
      <w:numFmt w:val="bullet"/>
      <w:lvlText w:val="•"/>
      <w:lvlJc w:val="left"/>
      <w:pPr>
        <w:ind w:left="3146" w:hanging="243"/>
      </w:pPr>
      <w:rPr>
        <w:rFonts w:hint="default"/>
      </w:rPr>
    </w:lvl>
    <w:lvl w:ilvl="6">
      <w:start w:val="0"/>
      <w:numFmt w:val="bullet"/>
      <w:lvlText w:val="•"/>
      <w:lvlJc w:val="left"/>
      <w:pPr>
        <w:ind w:left="3733" w:hanging="243"/>
      </w:pPr>
      <w:rPr>
        <w:rFonts w:hint="default"/>
      </w:rPr>
    </w:lvl>
    <w:lvl w:ilvl="7">
      <w:start w:val="0"/>
      <w:numFmt w:val="bullet"/>
      <w:lvlText w:val="•"/>
      <w:lvlJc w:val="left"/>
      <w:pPr>
        <w:ind w:left="4319" w:hanging="243"/>
      </w:pPr>
      <w:rPr>
        <w:rFonts w:hint="default"/>
      </w:rPr>
    </w:lvl>
    <w:lvl w:ilvl="8">
      <w:start w:val="0"/>
      <w:numFmt w:val="bullet"/>
      <w:lvlText w:val="•"/>
      <w:lvlJc w:val="left"/>
      <w:pPr>
        <w:ind w:left="4906" w:hanging="243"/>
      </w:pPr>
      <w:rPr>
        <w:rFonts w:hint="default"/>
      </w:rPr>
    </w:lvl>
  </w:abstractNum>
  <w:abstractNum w:abstractNumId="24">
    <w:multiLevelType w:val="hybridMultilevel"/>
    <w:lvl w:ilvl="0">
      <w:start w:val="0"/>
      <w:numFmt w:val="bullet"/>
      <w:lvlText w:val=""/>
      <w:lvlJc w:val="left"/>
      <w:pPr>
        <w:ind w:left="3473" w:hanging="154"/>
      </w:pPr>
      <w:rPr>
        <w:rFonts w:hint="default" w:ascii="Symbol" w:hAnsi="Symbol" w:eastAsia="Symbol" w:cs="Symbol"/>
        <w:w w:val="100"/>
        <w:sz w:val="18"/>
        <w:szCs w:val="18"/>
      </w:rPr>
    </w:lvl>
    <w:lvl w:ilvl="1">
      <w:start w:val="0"/>
      <w:numFmt w:val="bullet"/>
      <w:lvlText w:val="•"/>
      <w:lvlJc w:val="left"/>
      <w:pPr>
        <w:ind w:left="3744" w:hanging="154"/>
      </w:pPr>
      <w:rPr>
        <w:rFonts w:hint="default"/>
      </w:rPr>
    </w:lvl>
    <w:lvl w:ilvl="2">
      <w:start w:val="0"/>
      <w:numFmt w:val="bullet"/>
      <w:lvlText w:val="•"/>
      <w:lvlJc w:val="left"/>
      <w:pPr>
        <w:ind w:left="4008" w:hanging="154"/>
      </w:pPr>
      <w:rPr>
        <w:rFonts w:hint="default"/>
      </w:rPr>
    </w:lvl>
    <w:lvl w:ilvl="3">
      <w:start w:val="0"/>
      <w:numFmt w:val="bullet"/>
      <w:lvlText w:val="•"/>
      <w:lvlJc w:val="left"/>
      <w:pPr>
        <w:ind w:left="4272" w:hanging="154"/>
      </w:pPr>
      <w:rPr>
        <w:rFonts w:hint="default"/>
      </w:rPr>
    </w:lvl>
    <w:lvl w:ilvl="4">
      <w:start w:val="0"/>
      <w:numFmt w:val="bullet"/>
      <w:lvlText w:val="•"/>
      <w:lvlJc w:val="left"/>
      <w:pPr>
        <w:ind w:left="4536" w:hanging="154"/>
      </w:pPr>
      <w:rPr>
        <w:rFonts w:hint="default"/>
      </w:rPr>
    </w:lvl>
    <w:lvl w:ilvl="5">
      <w:start w:val="0"/>
      <w:numFmt w:val="bullet"/>
      <w:lvlText w:val="•"/>
      <w:lvlJc w:val="left"/>
      <w:pPr>
        <w:ind w:left="4800" w:hanging="154"/>
      </w:pPr>
      <w:rPr>
        <w:rFonts w:hint="default"/>
      </w:rPr>
    </w:lvl>
    <w:lvl w:ilvl="6">
      <w:start w:val="0"/>
      <w:numFmt w:val="bullet"/>
      <w:lvlText w:val="•"/>
      <w:lvlJc w:val="left"/>
      <w:pPr>
        <w:ind w:left="5064" w:hanging="154"/>
      </w:pPr>
      <w:rPr>
        <w:rFonts w:hint="default"/>
      </w:rPr>
    </w:lvl>
    <w:lvl w:ilvl="7">
      <w:start w:val="0"/>
      <w:numFmt w:val="bullet"/>
      <w:lvlText w:val="•"/>
      <w:lvlJc w:val="left"/>
      <w:pPr>
        <w:ind w:left="5328" w:hanging="154"/>
      </w:pPr>
      <w:rPr>
        <w:rFonts w:hint="default"/>
      </w:rPr>
    </w:lvl>
    <w:lvl w:ilvl="8">
      <w:start w:val="0"/>
      <w:numFmt w:val="bullet"/>
      <w:lvlText w:val="•"/>
      <w:lvlJc w:val="left"/>
      <w:pPr>
        <w:ind w:left="5592" w:hanging="154"/>
      </w:pPr>
      <w:rPr>
        <w:rFonts w:hint="default"/>
      </w:rPr>
    </w:lvl>
  </w:abstractNum>
  <w:abstractNum w:abstractNumId="23">
    <w:multiLevelType w:val="hybridMultilevel"/>
    <w:lvl w:ilvl="0">
      <w:start w:val="1"/>
      <w:numFmt w:val="decimal"/>
      <w:lvlText w:val="%1."/>
      <w:lvlJc w:val="left"/>
      <w:pPr>
        <w:ind w:left="801"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1363" w:hanging="243"/>
      </w:pPr>
      <w:rPr>
        <w:rFonts w:hint="default"/>
      </w:rPr>
    </w:lvl>
    <w:lvl w:ilvl="2">
      <w:start w:val="0"/>
      <w:numFmt w:val="bullet"/>
      <w:lvlText w:val="•"/>
      <w:lvlJc w:val="left"/>
      <w:pPr>
        <w:ind w:left="1927" w:hanging="243"/>
      </w:pPr>
      <w:rPr>
        <w:rFonts w:hint="default"/>
      </w:rPr>
    </w:lvl>
    <w:lvl w:ilvl="3">
      <w:start w:val="0"/>
      <w:numFmt w:val="bullet"/>
      <w:lvlText w:val="•"/>
      <w:lvlJc w:val="left"/>
      <w:pPr>
        <w:ind w:left="2491" w:hanging="243"/>
      </w:pPr>
      <w:rPr>
        <w:rFonts w:hint="default"/>
      </w:rPr>
    </w:lvl>
    <w:lvl w:ilvl="4">
      <w:start w:val="0"/>
      <w:numFmt w:val="bullet"/>
      <w:lvlText w:val="•"/>
      <w:lvlJc w:val="left"/>
      <w:pPr>
        <w:ind w:left="3055" w:hanging="243"/>
      </w:pPr>
      <w:rPr>
        <w:rFonts w:hint="default"/>
      </w:rPr>
    </w:lvl>
    <w:lvl w:ilvl="5">
      <w:start w:val="0"/>
      <w:numFmt w:val="bullet"/>
      <w:lvlText w:val="•"/>
      <w:lvlJc w:val="left"/>
      <w:pPr>
        <w:ind w:left="3619" w:hanging="243"/>
      </w:pPr>
      <w:rPr>
        <w:rFonts w:hint="default"/>
      </w:rPr>
    </w:lvl>
    <w:lvl w:ilvl="6">
      <w:start w:val="0"/>
      <w:numFmt w:val="bullet"/>
      <w:lvlText w:val="•"/>
      <w:lvlJc w:val="left"/>
      <w:pPr>
        <w:ind w:left="4183" w:hanging="243"/>
      </w:pPr>
      <w:rPr>
        <w:rFonts w:hint="default"/>
      </w:rPr>
    </w:lvl>
    <w:lvl w:ilvl="7">
      <w:start w:val="0"/>
      <w:numFmt w:val="bullet"/>
      <w:lvlText w:val="•"/>
      <w:lvlJc w:val="left"/>
      <w:pPr>
        <w:ind w:left="4747" w:hanging="243"/>
      </w:pPr>
      <w:rPr>
        <w:rFonts w:hint="default"/>
      </w:rPr>
    </w:lvl>
    <w:lvl w:ilvl="8">
      <w:start w:val="0"/>
      <w:numFmt w:val="bullet"/>
      <w:lvlText w:val="•"/>
      <w:lvlJc w:val="left"/>
      <w:pPr>
        <w:ind w:left="5311" w:hanging="243"/>
      </w:pPr>
      <w:rPr>
        <w:rFonts w:hint="default"/>
      </w:rPr>
    </w:lvl>
  </w:abstractNum>
  <w:abstractNum w:abstractNumId="20">
    <w:multiLevelType w:val="hybridMultilevel"/>
    <w:lvl w:ilvl="0">
      <w:start w:val="1"/>
      <w:numFmt w:val="decimal"/>
      <w:lvlText w:val="%1."/>
      <w:lvlJc w:val="left"/>
      <w:pPr>
        <w:ind w:left="957" w:hanging="219"/>
        <w:jc w:val="left"/>
      </w:pPr>
      <w:rPr>
        <w:rFonts w:hint="default" w:ascii="Times New Roman" w:hAnsi="Times New Roman" w:eastAsia="Times New Roman" w:cs="Times New Roman"/>
        <w:color w:val="231F20"/>
        <w:w w:val="94"/>
        <w:sz w:val="18"/>
        <w:szCs w:val="18"/>
      </w:rPr>
    </w:lvl>
    <w:lvl w:ilvl="1">
      <w:start w:val="1"/>
      <w:numFmt w:val="decimal"/>
      <w:lvlText w:val="(%2)"/>
      <w:lvlJc w:val="left"/>
      <w:pPr>
        <w:ind w:left="6480" w:hanging="335"/>
        <w:jc w:val="right"/>
      </w:pPr>
      <w:rPr>
        <w:rFonts w:hint="default" w:ascii="Times New Roman" w:hAnsi="Times New Roman" w:eastAsia="Times New Roman" w:cs="Times New Roman"/>
        <w:color w:val="231F20"/>
        <w:w w:val="97"/>
        <w:sz w:val="20"/>
        <w:szCs w:val="20"/>
      </w:rPr>
    </w:lvl>
    <w:lvl w:ilvl="2">
      <w:start w:val="0"/>
      <w:numFmt w:val="bullet"/>
      <w:lvlText w:val="•"/>
      <w:lvlJc w:val="left"/>
      <w:pPr>
        <w:ind w:left="6475" w:hanging="335"/>
      </w:pPr>
      <w:rPr>
        <w:rFonts w:hint="default"/>
      </w:rPr>
    </w:lvl>
    <w:lvl w:ilvl="3">
      <w:start w:val="0"/>
      <w:numFmt w:val="bullet"/>
      <w:lvlText w:val="•"/>
      <w:lvlJc w:val="left"/>
      <w:pPr>
        <w:ind w:left="6470" w:hanging="335"/>
      </w:pPr>
      <w:rPr>
        <w:rFonts w:hint="default"/>
      </w:rPr>
    </w:lvl>
    <w:lvl w:ilvl="4">
      <w:start w:val="0"/>
      <w:numFmt w:val="bullet"/>
      <w:lvlText w:val="•"/>
      <w:lvlJc w:val="left"/>
      <w:pPr>
        <w:ind w:left="6466" w:hanging="335"/>
      </w:pPr>
      <w:rPr>
        <w:rFonts w:hint="default"/>
      </w:rPr>
    </w:lvl>
    <w:lvl w:ilvl="5">
      <w:start w:val="0"/>
      <w:numFmt w:val="bullet"/>
      <w:lvlText w:val="•"/>
      <w:lvlJc w:val="left"/>
      <w:pPr>
        <w:ind w:left="6461" w:hanging="335"/>
      </w:pPr>
      <w:rPr>
        <w:rFonts w:hint="default"/>
      </w:rPr>
    </w:lvl>
    <w:lvl w:ilvl="6">
      <w:start w:val="0"/>
      <w:numFmt w:val="bullet"/>
      <w:lvlText w:val="•"/>
      <w:lvlJc w:val="left"/>
      <w:pPr>
        <w:ind w:left="6457" w:hanging="335"/>
      </w:pPr>
      <w:rPr>
        <w:rFonts w:hint="default"/>
      </w:rPr>
    </w:lvl>
    <w:lvl w:ilvl="7">
      <w:start w:val="0"/>
      <w:numFmt w:val="bullet"/>
      <w:lvlText w:val="•"/>
      <w:lvlJc w:val="left"/>
      <w:pPr>
        <w:ind w:left="6452" w:hanging="335"/>
      </w:pPr>
      <w:rPr>
        <w:rFonts w:hint="default"/>
      </w:rPr>
    </w:lvl>
    <w:lvl w:ilvl="8">
      <w:start w:val="0"/>
      <w:numFmt w:val="bullet"/>
      <w:lvlText w:val="•"/>
      <w:lvlJc w:val="left"/>
      <w:pPr>
        <w:ind w:left="6448" w:hanging="335"/>
      </w:pPr>
      <w:rPr>
        <w:rFonts w:hint="default"/>
      </w:rPr>
    </w:lvl>
  </w:abstractNum>
  <w:abstractNum w:abstractNumId="18">
    <w:multiLevelType w:val="hybridMultilevel"/>
    <w:lvl w:ilvl="0">
      <w:start w:val="1"/>
      <w:numFmt w:val="decimal"/>
      <w:lvlText w:val="%1"/>
      <w:lvlJc w:val="left"/>
      <w:pPr>
        <w:ind w:left="319" w:hanging="495"/>
        <w:jc w:val="left"/>
      </w:pPr>
      <w:rPr>
        <w:rFonts w:hint="default"/>
      </w:rPr>
    </w:lvl>
    <w:lvl w:ilvl="1">
      <w:start w:val="28"/>
      <w:numFmt w:val="decimalZero"/>
      <w:lvlText w:val="%1.%2"/>
      <w:lvlJc w:val="left"/>
      <w:pPr>
        <w:ind w:left="319" w:hanging="495"/>
        <w:jc w:val="left"/>
      </w:pPr>
      <w:rPr>
        <w:rFonts w:hint="default" w:ascii="Times New Roman" w:hAnsi="Times New Roman" w:eastAsia="Times New Roman" w:cs="Times New Roman"/>
        <w:color w:val="231F20"/>
        <w:w w:val="97"/>
        <w:sz w:val="20"/>
        <w:szCs w:val="20"/>
      </w:rPr>
    </w:lvl>
    <w:lvl w:ilvl="2">
      <w:start w:val="1"/>
      <w:numFmt w:val="decimal"/>
      <w:lvlText w:val="%3."/>
      <w:lvlJc w:val="left"/>
      <w:pPr>
        <w:ind w:left="801" w:hanging="243"/>
        <w:jc w:val="left"/>
      </w:pPr>
      <w:rPr>
        <w:rFonts w:hint="default" w:ascii="Times New Roman" w:hAnsi="Times New Roman" w:eastAsia="Times New Roman" w:cs="Times New Roman"/>
        <w:color w:val="231F20"/>
        <w:w w:val="94"/>
        <w:sz w:val="20"/>
        <w:szCs w:val="20"/>
      </w:rPr>
    </w:lvl>
    <w:lvl w:ilvl="3">
      <w:start w:val="0"/>
      <w:numFmt w:val="bullet"/>
      <w:lvlText w:val="•"/>
      <w:lvlJc w:val="left"/>
      <w:pPr>
        <w:ind w:left="1973" w:hanging="243"/>
      </w:pPr>
      <w:rPr>
        <w:rFonts w:hint="default"/>
      </w:rPr>
    </w:lvl>
    <w:lvl w:ilvl="4">
      <w:start w:val="0"/>
      <w:numFmt w:val="bullet"/>
      <w:lvlText w:val="•"/>
      <w:lvlJc w:val="left"/>
      <w:pPr>
        <w:ind w:left="2559" w:hanging="243"/>
      </w:pPr>
      <w:rPr>
        <w:rFonts w:hint="default"/>
      </w:rPr>
    </w:lvl>
    <w:lvl w:ilvl="5">
      <w:start w:val="0"/>
      <w:numFmt w:val="bullet"/>
      <w:lvlText w:val="•"/>
      <w:lvlJc w:val="left"/>
      <w:pPr>
        <w:ind w:left="3146" w:hanging="243"/>
      </w:pPr>
      <w:rPr>
        <w:rFonts w:hint="default"/>
      </w:rPr>
    </w:lvl>
    <w:lvl w:ilvl="6">
      <w:start w:val="0"/>
      <w:numFmt w:val="bullet"/>
      <w:lvlText w:val="•"/>
      <w:lvlJc w:val="left"/>
      <w:pPr>
        <w:ind w:left="3733" w:hanging="243"/>
      </w:pPr>
      <w:rPr>
        <w:rFonts w:hint="default"/>
      </w:rPr>
    </w:lvl>
    <w:lvl w:ilvl="7">
      <w:start w:val="0"/>
      <w:numFmt w:val="bullet"/>
      <w:lvlText w:val="•"/>
      <w:lvlJc w:val="left"/>
      <w:pPr>
        <w:ind w:left="4319" w:hanging="243"/>
      </w:pPr>
      <w:rPr>
        <w:rFonts w:hint="default"/>
      </w:rPr>
    </w:lvl>
    <w:lvl w:ilvl="8">
      <w:start w:val="0"/>
      <w:numFmt w:val="bullet"/>
      <w:lvlText w:val="•"/>
      <w:lvlJc w:val="left"/>
      <w:pPr>
        <w:ind w:left="4906" w:hanging="243"/>
      </w:pPr>
      <w:rPr>
        <w:rFonts w:hint="default"/>
      </w:rPr>
    </w:lvl>
  </w:abstractNum>
  <w:abstractNum w:abstractNumId="17">
    <w:multiLevelType w:val="hybridMultilevel"/>
    <w:lvl w:ilvl="0">
      <w:start w:val="1"/>
      <w:numFmt w:val="decimal"/>
      <w:lvlText w:val="(%1)"/>
      <w:lvlJc w:val="left"/>
      <w:pPr>
        <w:ind w:left="1741" w:hanging="301"/>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1922" w:hanging="243"/>
        <w:jc w:val="right"/>
      </w:pPr>
      <w:rPr>
        <w:rFonts w:hint="default" w:ascii="Times New Roman" w:hAnsi="Times New Roman" w:eastAsia="Times New Roman" w:cs="Times New Roman"/>
        <w:color w:val="231F20"/>
        <w:w w:val="94"/>
        <w:sz w:val="20"/>
        <w:szCs w:val="20"/>
      </w:rPr>
    </w:lvl>
    <w:lvl w:ilvl="2">
      <w:start w:val="0"/>
      <w:numFmt w:val="bullet"/>
      <w:lvlText w:val="•"/>
      <w:lvlJc w:val="left"/>
      <w:pPr>
        <w:ind w:left="2386" w:hanging="243"/>
      </w:pPr>
      <w:rPr>
        <w:rFonts w:hint="default"/>
      </w:rPr>
    </w:lvl>
    <w:lvl w:ilvl="3">
      <w:start w:val="0"/>
      <w:numFmt w:val="bullet"/>
      <w:lvlText w:val="•"/>
      <w:lvlJc w:val="left"/>
      <w:pPr>
        <w:ind w:left="2853" w:hanging="243"/>
      </w:pPr>
      <w:rPr>
        <w:rFonts w:hint="default"/>
      </w:rPr>
    </w:lvl>
    <w:lvl w:ilvl="4">
      <w:start w:val="0"/>
      <w:numFmt w:val="bullet"/>
      <w:lvlText w:val="•"/>
      <w:lvlJc w:val="left"/>
      <w:pPr>
        <w:ind w:left="3320" w:hanging="243"/>
      </w:pPr>
      <w:rPr>
        <w:rFonts w:hint="default"/>
      </w:rPr>
    </w:lvl>
    <w:lvl w:ilvl="5">
      <w:start w:val="0"/>
      <w:numFmt w:val="bullet"/>
      <w:lvlText w:val="•"/>
      <w:lvlJc w:val="left"/>
      <w:pPr>
        <w:ind w:left="3786" w:hanging="243"/>
      </w:pPr>
      <w:rPr>
        <w:rFonts w:hint="default"/>
      </w:rPr>
    </w:lvl>
    <w:lvl w:ilvl="6">
      <w:start w:val="0"/>
      <w:numFmt w:val="bullet"/>
      <w:lvlText w:val="•"/>
      <w:lvlJc w:val="left"/>
      <w:pPr>
        <w:ind w:left="4253" w:hanging="243"/>
      </w:pPr>
      <w:rPr>
        <w:rFonts w:hint="default"/>
      </w:rPr>
    </w:lvl>
    <w:lvl w:ilvl="7">
      <w:start w:val="0"/>
      <w:numFmt w:val="bullet"/>
      <w:lvlText w:val="•"/>
      <w:lvlJc w:val="left"/>
      <w:pPr>
        <w:ind w:left="4720" w:hanging="243"/>
      </w:pPr>
      <w:rPr>
        <w:rFonts w:hint="default"/>
      </w:rPr>
    </w:lvl>
    <w:lvl w:ilvl="8">
      <w:start w:val="0"/>
      <w:numFmt w:val="bullet"/>
      <w:lvlText w:val="•"/>
      <w:lvlJc w:val="left"/>
      <w:pPr>
        <w:ind w:left="5187" w:hanging="243"/>
      </w:pPr>
      <w:rPr>
        <w:rFonts w:hint="default"/>
      </w:rPr>
    </w:lvl>
  </w:abstractNum>
  <w:abstractNum w:abstractNumId="16">
    <w:multiLevelType w:val="hybridMultilevel"/>
    <w:lvl w:ilvl="0">
      <w:start w:val="0"/>
      <w:numFmt w:val="bullet"/>
      <w:lvlText w:val="•"/>
      <w:lvlJc w:val="left"/>
      <w:pPr>
        <w:ind w:left="440" w:hanging="160"/>
      </w:pPr>
      <w:rPr>
        <w:rFonts w:hint="default" w:ascii="Trebuchet MS" w:hAnsi="Trebuchet MS" w:eastAsia="Trebuchet MS" w:cs="Trebuchet MS"/>
        <w:color w:val="231F20"/>
        <w:w w:val="95"/>
        <w:sz w:val="16"/>
        <w:szCs w:val="16"/>
      </w:rPr>
    </w:lvl>
    <w:lvl w:ilvl="1">
      <w:start w:val="0"/>
      <w:numFmt w:val="bullet"/>
      <w:lvlText w:val="•"/>
      <w:lvlJc w:val="left"/>
      <w:pPr>
        <w:ind w:left="864" w:hanging="160"/>
      </w:pPr>
      <w:rPr>
        <w:rFonts w:hint="default"/>
      </w:rPr>
    </w:lvl>
    <w:lvl w:ilvl="2">
      <w:start w:val="0"/>
      <w:numFmt w:val="bullet"/>
      <w:lvlText w:val="•"/>
      <w:lvlJc w:val="left"/>
      <w:pPr>
        <w:ind w:left="1288" w:hanging="160"/>
      </w:pPr>
      <w:rPr>
        <w:rFonts w:hint="default"/>
      </w:rPr>
    </w:lvl>
    <w:lvl w:ilvl="3">
      <w:start w:val="0"/>
      <w:numFmt w:val="bullet"/>
      <w:lvlText w:val="•"/>
      <w:lvlJc w:val="left"/>
      <w:pPr>
        <w:ind w:left="1712" w:hanging="160"/>
      </w:pPr>
      <w:rPr>
        <w:rFonts w:hint="default"/>
      </w:rPr>
    </w:lvl>
    <w:lvl w:ilvl="4">
      <w:start w:val="0"/>
      <w:numFmt w:val="bullet"/>
      <w:lvlText w:val="•"/>
      <w:lvlJc w:val="left"/>
      <w:pPr>
        <w:ind w:left="2136" w:hanging="160"/>
      </w:pPr>
      <w:rPr>
        <w:rFonts w:hint="default"/>
      </w:rPr>
    </w:lvl>
    <w:lvl w:ilvl="5">
      <w:start w:val="0"/>
      <w:numFmt w:val="bullet"/>
      <w:lvlText w:val="•"/>
      <w:lvlJc w:val="left"/>
      <w:pPr>
        <w:ind w:left="2560" w:hanging="160"/>
      </w:pPr>
      <w:rPr>
        <w:rFonts w:hint="default"/>
      </w:rPr>
    </w:lvl>
    <w:lvl w:ilvl="6">
      <w:start w:val="0"/>
      <w:numFmt w:val="bullet"/>
      <w:lvlText w:val="•"/>
      <w:lvlJc w:val="left"/>
      <w:pPr>
        <w:ind w:left="2984" w:hanging="160"/>
      </w:pPr>
      <w:rPr>
        <w:rFonts w:hint="default"/>
      </w:rPr>
    </w:lvl>
    <w:lvl w:ilvl="7">
      <w:start w:val="0"/>
      <w:numFmt w:val="bullet"/>
      <w:lvlText w:val="•"/>
      <w:lvlJc w:val="left"/>
      <w:pPr>
        <w:ind w:left="3408" w:hanging="160"/>
      </w:pPr>
      <w:rPr>
        <w:rFonts w:hint="default"/>
      </w:rPr>
    </w:lvl>
    <w:lvl w:ilvl="8">
      <w:start w:val="0"/>
      <w:numFmt w:val="bullet"/>
      <w:lvlText w:val="•"/>
      <w:lvlJc w:val="left"/>
      <w:pPr>
        <w:ind w:left="3832" w:hanging="160"/>
      </w:pPr>
      <w:rPr>
        <w:rFonts w:hint="default"/>
      </w:rPr>
    </w:lvl>
  </w:abstractNum>
  <w:abstractNum w:abstractNumId="15">
    <w:multiLevelType w:val="hybridMultilevel"/>
    <w:lvl w:ilvl="0">
      <w:start w:val="1"/>
      <w:numFmt w:val="decimal"/>
      <w:lvlText w:val="%1."/>
      <w:lvlJc w:val="left"/>
      <w:pPr>
        <w:ind w:left="1562"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1980" w:hanging="243"/>
      </w:pPr>
      <w:rPr>
        <w:rFonts w:hint="default"/>
      </w:rPr>
    </w:lvl>
    <w:lvl w:ilvl="2">
      <w:start w:val="0"/>
      <w:numFmt w:val="bullet"/>
      <w:lvlText w:val="•"/>
      <w:lvlJc w:val="left"/>
      <w:pPr>
        <w:ind w:left="2400" w:hanging="243"/>
      </w:pPr>
      <w:rPr>
        <w:rFonts w:hint="default"/>
      </w:rPr>
    </w:lvl>
    <w:lvl w:ilvl="3">
      <w:start w:val="0"/>
      <w:numFmt w:val="bullet"/>
      <w:lvlText w:val="•"/>
      <w:lvlJc w:val="left"/>
      <w:pPr>
        <w:ind w:left="2820" w:hanging="243"/>
      </w:pPr>
      <w:rPr>
        <w:rFonts w:hint="default"/>
      </w:rPr>
    </w:lvl>
    <w:lvl w:ilvl="4">
      <w:start w:val="0"/>
      <w:numFmt w:val="bullet"/>
      <w:lvlText w:val="•"/>
      <w:lvlJc w:val="left"/>
      <w:pPr>
        <w:ind w:left="3240" w:hanging="243"/>
      </w:pPr>
      <w:rPr>
        <w:rFonts w:hint="default"/>
      </w:rPr>
    </w:lvl>
    <w:lvl w:ilvl="5">
      <w:start w:val="0"/>
      <w:numFmt w:val="bullet"/>
      <w:lvlText w:val="•"/>
      <w:lvlJc w:val="left"/>
      <w:pPr>
        <w:ind w:left="3660" w:hanging="243"/>
      </w:pPr>
      <w:rPr>
        <w:rFonts w:hint="default"/>
      </w:rPr>
    </w:lvl>
    <w:lvl w:ilvl="6">
      <w:start w:val="0"/>
      <w:numFmt w:val="bullet"/>
      <w:lvlText w:val="•"/>
      <w:lvlJc w:val="left"/>
      <w:pPr>
        <w:ind w:left="4080" w:hanging="243"/>
      </w:pPr>
      <w:rPr>
        <w:rFonts w:hint="default"/>
      </w:rPr>
    </w:lvl>
    <w:lvl w:ilvl="7">
      <w:start w:val="0"/>
      <w:numFmt w:val="bullet"/>
      <w:lvlText w:val="•"/>
      <w:lvlJc w:val="left"/>
      <w:pPr>
        <w:ind w:left="4500" w:hanging="243"/>
      </w:pPr>
      <w:rPr>
        <w:rFonts w:hint="default"/>
      </w:rPr>
    </w:lvl>
    <w:lvl w:ilvl="8">
      <w:start w:val="0"/>
      <w:numFmt w:val="bullet"/>
      <w:lvlText w:val="•"/>
      <w:lvlJc w:val="left"/>
      <w:pPr>
        <w:ind w:left="4920" w:hanging="243"/>
      </w:pPr>
      <w:rPr>
        <w:rFonts w:hint="default"/>
      </w:rPr>
    </w:lvl>
  </w:abstractNum>
  <w:abstractNum w:abstractNumId="14">
    <w:multiLevelType w:val="hybridMultilevel"/>
    <w:lvl w:ilvl="0">
      <w:start w:val="0"/>
      <w:numFmt w:val="bullet"/>
      <w:lvlText w:val="•"/>
      <w:lvlJc w:val="left"/>
      <w:pPr>
        <w:ind w:left="129" w:hanging="101"/>
      </w:pPr>
      <w:rPr>
        <w:rFonts w:hint="default" w:ascii="Helvetica" w:hAnsi="Helvetica" w:eastAsia="Helvetica" w:cs="Helvetica"/>
        <w:b/>
        <w:bCs/>
        <w:color w:val="231F20"/>
        <w:w w:val="99"/>
        <w:sz w:val="16"/>
        <w:szCs w:val="16"/>
      </w:rPr>
    </w:lvl>
    <w:lvl w:ilvl="1">
      <w:start w:val="0"/>
      <w:numFmt w:val="bullet"/>
      <w:lvlText w:val="•"/>
      <w:lvlJc w:val="left"/>
      <w:pPr>
        <w:ind w:left="311" w:hanging="101"/>
      </w:pPr>
      <w:rPr>
        <w:rFonts w:hint="default"/>
      </w:rPr>
    </w:lvl>
    <w:lvl w:ilvl="2">
      <w:start w:val="0"/>
      <w:numFmt w:val="bullet"/>
      <w:lvlText w:val="•"/>
      <w:lvlJc w:val="left"/>
      <w:pPr>
        <w:ind w:left="502" w:hanging="101"/>
      </w:pPr>
      <w:rPr>
        <w:rFonts w:hint="default"/>
      </w:rPr>
    </w:lvl>
    <w:lvl w:ilvl="3">
      <w:start w:val="0"/>
      <w:numFmt w:val="bullet"/>
      <w:lvlText w:val="•"/>
      <w:lvlJc w:val="left"/>
      <w:pPr>
        <w:ind w:left="694" w:hanging="101"/>
      </w:pPr>
      <w:rPr>
        <w:rFonts w:hint="default"/>
      </w:rPr>
    </w:lvl>
    <w:lvl w:ilvl="4">
      <w:start w:val="0"/>
      <w:numFmt w:val="bullet"/>
      <w:lvlText w:val="•"/>
      <w:lvlJc w:val="left"/>
      <w:pPr>
        <w:ind w:left="885" w:hanging="101"/>
      </w:pPr>
      <w:rPr>
        <w:rFonts w:hint="default"/>
      </w:rPr>
    </w:lvl>
    <w:lvl w:ilvl="5">
      <w:start w:val="0"/>
      <w:numFmt w:val="bullet"/>
      <w:lvlText w:val="•"/>
      <w:lvlJc w:val="left"/>
      <w:pPr>
        <w:ind w:left="1076" w:hanging="101"/>
      </w:pPr>
      <w:rPr>
        <w:rFonts w:hint="default"/>
      </w:rPr>
    </w:lvl>
    <w:lvl w:ilvl="6">
      <w:start w:val="0"/>
      <w:numFmt w:val="bullet"/>
      <w:lvlText w:val="•"/>
      <w:lvlJc w:val="left"/>
      <w:pPr>
        <w:ind w:left="1268" w:hanging="101"/>
      </w:pPr>
      <w:rPr>
        <w:rFonts w:hint="default"/>
      </w:rPr>
    </w:lvl>
    <w:lvl w:ilvl="7">
      <w:start w:val="0"/>
      <w:numFmt w:val="bullet"/>
      <w:lvlText w:val="•"/>
      <w:lvlJc w:val="left"/>
      <w:pPr>
        <w:ind w:left="1459" w:hanging="101"/>
      </w:pPr>
      <w:rPr>
        <w:rFonts w:hint="default"/>
      </w:rPr>
    </w:lvl>
    <w:lvl w:ilvl="8">
      <w:start w:val="0"/>
      <w:numFmt w:val="bullet"/>
      <w:lvlText w:val="•"/>
      <w:lvlJc w:val="left"/>
      <w:pPr>
        <w:ind w:left="1651" w:hanging="101"/>
      </w:pPr>
      <w:rPr>
        <w:rFonts w:hint="default"/>
      </w:rPr>
    </w:lvl>
  </w:abstractNum>
  <w:abstractNum w:abstractNumId="13">
    <w:multiLevelType w:val="hybridMultilevel"/>
    <w:lvl w:ilvl="0">
      <w:start w:val="0"/>
      <w:numFmt w:val="bullet"/>
      <w:lvlText w:val="•"/>
      <w:lvlJc w:val="left"/>
      <w:pPr>
        <w:ind w:left="135" w:hanging="101"/>
      </w:pPr>
      <w:rPr>
        <w:rFonts w:hint="default" w:ascii="Helvetica" w:hAnsi="Helvetica" w:eastAsia="Helvetica" w:cs="Helvetica"/>
        <w:b/>
        <w:bCs/>
        <w:color w:val="231F20"/>
        <w:w w:val="99"/>
        <w:sz w:val="16"/>
        <w:szCs w:val="16"/>
      </w:rPr>
    </w:lvl>
    <w:lvl w:ilvl="1">
      <w:start w:val="0"/>
      <w:numFmt w:val="bullet"/>
      <w:lvlText w:val="•"/>
      <w:lvlJc w:val="left"/>
      <w:pPr>
        <w:ind w:left="309" w:hanging="101"/>
      </w:pPr>
      <w:rPr>
        <w:rFonts w:hint="default"/>
      </w:rPr>
    </w:lvl>
    <w:lvl w:ilvl="2">
      <w:start w:val="0"/>
      <w:numFmt w:val="bullet"/>
      <w:lvlText w:val="•"/>
      <w:lvlJc w:val="left"/>
      <w:pPr>
        <w:ind w:left="478" w:hanging="101"/>
      </w:pPr>
      <w:rPr>
        <w:rFonts w:hint="default"/>
      </w:rPr>
    </w:lvl>
    <w:lvl w:ilvl="3">
      <w:start w:val="0"/>
      <w:numFmt w:val="bullet"/>
      <w:lvlText w:val="•"/>
      <w:lvlJc w:val="left"/>
      <w:pPr>
        <w:ind w:left="648" w:hanging="101"/>
      </w:pPr>
      <w:rPr>
        <w:rFonts w:hint="default"/>
      </w:rPr>
    </w:lvl>
    <w:lvl w:ilvl="4">
      <w:start w:val="0"/>
      <w:numFmt w:val="bullet"/>
      <w:lvlText w:val="•"/>
      <w:lvlJc w:val="left"/>
      <w:pPr>
        <w:ind w:left="817" w:hanging="101"/>
      </w:pPr>
      <w:rPr>
        <w:rFonts w:hint="default"/>
      </w:rPr>
    </w:lvl>
    <w:lvl w:ilvl="5">
      <w:start w:val="0"/>
      <w:numFmt w:val="bullet"/>
      <w:lvlText w:val="•"/>
      <w:lvlJc w:val="left"/>
      <w:pPr>
        <w:ind w:left="986" w:hanging="101"/>
      </w:pPr>
      <w:rPr>
        <w:rFonts w:hint="default"/>
      </w:rPr>
    </w:lvl>
    <w:lvl w:ilvl="6">
      <w:start w:val="0"/>
      <w:numFmt w:val="bullet"/>
      <w:lvlText w:val="•"/>
      <w:lvlJc w:val="left"/>
      <w:pPr>
        <w:ind w:left="1156" w:hanging="101"/>
      </w:pPr>
      <w:rPr>
        <w:rFonts w:hint="default"/>
      </w:rPr>
    </w:lvl>
    <w:lvl w:ilvl="7">
      <w:start w:val="0"/>
      <w:numFmt w:val="bullet"/>
      <w:lvlText w:val="•"/>
      <w:lvlJc w:val="left"/>
      <w:pPr>
        <w:ind w:left="1325" w:hanging="101"/>
      </w:pPr>
      <w:rPr>
        <w:rFonts w:hint="default"/>
      </w:rPr>
    </w:lvl>
    <w:lvl w:ilvl="8">
      <w:start w:val="0"/>
      <w:numFmt w:val="bullet"/>
      <w:lvlText w:val="•"/>
      <w:lvlJc w:val="left"/>
      <w:pPr>
        <w:ind w:left="1495" w:hanging="101"/>
      </w:pPr>
      <w:rPr>
        <w:rFonts w:hint="default"/>
      </w:rPr>
    </w:lvl>
  </w:abstractNum>
  <w:abstractNum w:abstractNumId="12">
    <w:multiLevelType w:val="hybridMultilevel"/>
    <w:lvl w:ilvl="0">
      <w:start w:val="2"/>
      <w:numFmt w:val="decimal"/>
      <w:lvlText w:val="(%1)"/>
      <w:lvlJc w:val="left"/>
      <w:pPr>
        <w:ind w:left="319" w:hanging="287"/>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1562" w:hanging="243"/>
        <w:jc w:val="left"/>
      </w:pPr>
      <w:rPr>
        <w:rFonts w:hint="default" w:ascii="Times New Roman" w:hAnsi="Times New Roman" w:eastAsia="Times New Roman" w:cs="Times New Roman"/>
        <w:color w:val="231F20"/>
        <w:w w:val="94"/>
        <w:sz w:val="20"/>
        <w:szCs w:val="20"/>
      </w:rPr>
    </w:lvl>
    <w:lvl w:ilvl="2">
      <w:start w:val="0"/>
      <w:numFmt w:val="bullet"/>
      <w:lvlText w:val="•"/>
      <w:lvlJc w:val="left"/>
      <w:pPr>
        <w:ind w:left="1342" w:hanging="243"/>
      </w:pPr>
      <w:rPr>
        <w:rFonts w:hint="default"/>
      </w:rPr>
    </w:lvl>
    <w:lvl w:ilvl="3">
      <w:start w:val="0"/>
      <w:numFmt w:val="bullet"/>
      <w:lvlText w:val="•"/>
      <w:lvlJc w:val="left"/>
      <w:pPr>
        <w:ind w:left="1124" w:hanging="243"/>
      </w:pPr>
      <w:rPr>
        <w:rFonts w:hint="default"/>
      </w:rPr>
    </w:lvl>
    <w:lvl w:ilvl="4">
      <w:start w:val="0"/>
      <w:numFmt w:val="bullet"/>
      <w:lvlText w:val="•"/>
      <w:lvlJc w:val="left"/>
      <w:pPr>
        <w:ind w:left="906" w:hanging="243"/>
      </w:pPr>
      <w:rPr>
        <w:rFonts w:hint="default"/>
      </w:rPr>
    </w:lvl>
    <w:lvl w:ilvl="5">
      <w:start w:val="0"/>
      <w:numFmt w:val="bullet"/>
      <w:lvlText w:val="•"/>
      <w:lvlJc w:val="left"/>
      <w:pPr>
        <w:ind w:left="688" w:hanging="243"/>
      </w:pPr>
      <w:rPr>
        <w:rFonts w:hint="default"/>
      </w:rPr>
    </w:lvl>
    <w:lvl w:ilvl="6">
      <w:start w:val="0"/>
      <w:numFmt w:val="bullet"/>
      <w:lvlText w:val="•"/>
      <w:lvlJc w:val="left"/>
      <w:pPr>
        <w:ind w:left="471" w:hanging="243"/>
      </w:pPr>
      <w:rPr>
        <w:rFonts w:hint="default"/>
      </w:rPr>
    </w:lvl>
    <w:lvl w:ilvl="7">
      <w:start w:val="0"/>
      <w:numFmt w:val="bullet"/>
      <w:lvlText w:val="•"/>
      <w:lvlJc w:val="left"/>
      <w:pPr>
        <w:ind w:left="253" w:hanging="243"/>
      </w:pPr>
      <w:rPr>
        <w:rFonts w:hint="default"/>
      </w:rPr>
    </w:lvl>
    <w:lvl w:ilvl="8">
      <w:start w:val="0"/>
      <w:numFmt w:val="bullet"/>
      <w:lvlText w:val="•"/>
      <w:lvlJc w:val="left"/>
      <w:pPr>
        <w:ind w:left="35" w:hanging="243"/>
      </w:pPr>
      <w:rPr>
        <w:rFonts w:hint="default"/>
      </w:rPr>
    </w:lvl>
  </w:abstractNum>
  <w:abstractNum w:abstractNumId="11">
    <w:multiLevelType w:val="hybridMultilevel"/>
    <w:lvl w:ilvl="0">
      <w:start w:val="0"/>
      <w:numFmt w:val="bullet"/>
      <w:lvlText w:val="•"/>
      <w:lvlJc w:val="left"/>
      <w:pPr>
        <w:ind w:left="109" w:hanging="101"/>
      </w:pPr>
      <w:rPr>
        <w:rFonts w:hint="default" w:ascii="Helvetica" w:hAnsi="Helvetica" w:eastAsia="Helvetica" w:cs="Helvetica"/>
        <w:b/>
        <w:bCs/>
        <w:color w:val="231F20"/>
        <w:w w:val="99"/>
        <w:sz w:val="16"/>
        <w:szCs w:val="16"/>
        <w:highlight w:val="lightGray"/>
      </w:rPr>
    </w:lvl>
    <w:lvl w:ilvl="1">
      <w:start w:val="0"/>
      <w:numFmt w:val="bullet"/>
      <w:lvlText w:val="•"/>
      <w:lvlJc w:val="left"/>
      <w:pPr>
        <w:ind w:left="231" w:hanging="101"/>
      </w:pPr>
      <w:rPr>
        <w:rFonts w:hint="default"/>
      </w:rPr>
    </w:lvl>
    <w:lvl w:ilvl="2">
      <w:start w:val="0"/>
      <w:numFmt w:val="bullet"/>
      <w:lvlText w:val="•"/>
      <w:lvlJc w:val="left"/>
      <w:pPr>
        <w:ind w:left="362" w:hanging="101"/>
      </w:pPr>
      <w:rPr>
        <w:rFonts w:hint="default"/>
      </w:rPr>
    </w:lvl>
    <w:lvl w:ilvl="3">
      <w:start w:val="0"/>
      <w:numFmt w:val="bullet"/>
      <w:lvlText w:val="•"/>
      <w:lvlJc w:val="left"/>
      <w:pPr>
        <w:ind w:left="494" w:hanging="101"/>
      </w:pPr>
      <w:rPr>
        <w:rFonts w:hint="default"/>
      </w:rPr>
    </w:lvl>
    <w:lvl w:ilvl="4">
      <w:start w:val="0"/>
      <w:numFmt w:val="bullet"/>
      <w:lvlText w:val="•"/>
      <w:lvlJc w:val="left"/>
      <w:pPr>
        <w:ind w:left="625" w:hanging="101"/>
      </w:pPr>
      <w:rPr>
        <w:rFonts w:hint="default"/>
      </w:rPr>
    </w:lvl>
    <w:lvl w:ilvl="5">
      <w:start w:val="0"/>
      <w:numFmt w:val="bullet"/>
      <w:lvlText w:val="•"/>
      <w:lvlJc w:val="left"/>
      <w:pPr>
        <w:ind w:left="757" w:hanging="101"/>
      </w:pPr>
      <w:rPr>
        <w:rFonts w:hint="default"/>
      </w:rPr>
    </w:lvl>
    <w:lvl w:ilvl="6">
      <w:start w:val="0"/>
      <w:numFmt w:val="bullet"/>
      <w:lvlText w:val="•"/>
      <w:lvlJc w:val="left"/>
      <w:pPr>
        <w:ind w:left="888" w:hanging="101"/>
      </w:pPr>
      <w:rPr>
        <w:rFonts w:hint="default"/>
      </w:rPr>
    </w:lvl>
    <w:lvl w:ilvl="7">
      <w:start w:val="0"/>
      <w:numFmt w:val="bullet"/>
      <w:lvlText w:val="•"/>
      <w:lvlJc w:val="left"/>
      <w:pPr>
        <w:ind w:left="1019" w:hanging="101"/>
      </w:pPr>
      <w:rPr>
        <w:rFonts w:hint="default"/>
      </w:rPr>
    </w:lvl>
    <w:lvl w:ilvl="8">
      <w:start w:val="0"/>
      <w:numFmt w:val="bullet"/>
      <w:lvlText w:val="•"/>
      <w:lvlJc w:val="left"/>
      <w:pPr>
        <w:ind w:left="1151" w:hanging="101"/>
      </w:pPr>
      <w:rPr>
        <w:rFonts w:hint="default"/>
      </w:rPr>
    </w:lvl>
  </w:abstractNum>
  <w:abstractNum w:abstractNumId="10">
    <w:multiLevelType w:val="hybridMultilevel"/>
    <w:lvl w:ilvl="0">
      <w:start w:val="0"/>
      <w:numFmt w:val="bullet"/>
      <w:lvlText w:val="•"/>
      <w:lvlJc w:val="left"/>
      <w:pPr>
        <w:ind w:left="109" w:hanging="101"/>
      </w:pPr>
      <w:rPr>
        <w:rFonts w:hint="default" w:ascii="Helvetica" w:hAnsi="Helvetica" w:eastAsia="Helvetica" w:cs="Helvetica"/>
        <w:b/>
        <w:bCs/>
        <w:color w:val="231F20"/>
        <w:w w:val="99"/>
        <w:sz w:val="16"/>
        <w:szCs w:val="16"/>
      </w:rPr>
    </w:lvl>
    <w:lvl w:ilvl="1">
      <w:start w:val="0"/>
      <w:numFmt w:val="bullet"/>
      <w:lvlText w:val="•"/>
      <w:lvlJc w:val="left"/>
      <w:pPr>
        <w:ind w:left="231" w:hanging="101"/>
      </w:pPr>
      <w:rPr>
        <w:rFonts w:hint="default"/>
      </w:rPr>
    </w:lvl>
    <w:lvl w:ilvl="2">
      <w:start w:val="0"/>
      <w:numFmt w:val="bullet"/>
      <w:lvlText w:val="•"/>
      <w:lvlJc w:val="left"/>
      <w:pPr>
        <w:ind w:left="362" w:hanging="101"/>
      </w:pPr>
      <w:rPr>
        <w:rFonts w:hint="default"/>
      </w:rPr>
    </w:lvl>
    <w:lvl w:ilvl="3">
      <w:start w:val="0"/>
      <w:numFmt w:val="bullet"/>
      <w:lvlText w:val="•"/>
      <w:lvlJc w:val="left"/>
      <w:pPr>
        <w:ind w:left="494" w:hanging="101"/>
      </w:pPr>
      <w:rPr>
        <w:rFonts w:hint="default"/>
      </w:rPr>
    </w:lvl>
    <w:lvl w:ilvl="4">
      <w:start w:val="0"/>
      <w:numFmt w:val="bullet"/>
      <w:lvlText w:val="•"/>
      <w:lvlJc w:val="left"/>
      <w:pPr>
        <w:ind w:left="625" w:hanging="101"/>
      </w:pPr>
      <w:rPr>
        <w:rFonts w:hint="default"/>
      </w:rPr>
    </w:lvl>
    <w:lvl w:ilvl="5">
      <w:start w:val="0"/>
      <w:numFmt w:val="bullet"/>
      <w:lvlText w:val="•"/>
      <w:lvlJc w:val="left"/>
      <w:pPr>
        <w:ind w:left="757" w:hanging="101"/>
      </w:pPr>
      <w:rPr>
        <w:rFonts w:hint="default"/>
      </w:rPr>
    </w:lvl>
    <w:lvl w:ilvl="6">
      <w:start w:val="0"/>
      <w:numFmt w:val="bullet"/>
      <w:lvlText w:val="•"/>
      <w:lvlJc w:val="left"/>
      <w:pPr>
        <w:ind w:left="888" w:hanging="101"/>
      </w:pPr>
      <w:rPr>
        <w:rFonts w:hint="default"/>
      </w:rPr>
    </w:lvl>
    <w:lvl w:ilvl="7">
      <w:start w:val="0"/>
      <w:numFmt w:val="bullet"/>
      <w:lvlText w:val="•"/>
      <w:lvlJc w:val="left"/>
      <w:pPr>
        <w:ind w:left="1019" w:hanging="101"/>
      </w:pPr>
      <w:rPr>
        <w:rFonts w:hint="default"/>
      </w:rPr>
    </w:lvl>
    <w:lvl w:ilvl="8">
      <w:start w:val="0"/>
      <w:numFmt w:val="bullet"/>
      <w:lvlText w:val="•"/>
      <w:lvlJc w:val="left"/>
      <w:pPr>
        <w:ind w:left="1151" w:hanging="101"/>
      </w:pPr>
      <w:rPr>
        <w:rFonts w:hint="default"/>
      </w:rPr>
    </w:lvl>
  </w:abstractNum>
  <w:abstractNum w:abstractNumId="9">
    <w:multiLevelType w:val="hybridMultilevel"/>
    <w:lvl w:ilvl="0">
      <w:start w:val="19"/>
      <w:numFmt w:val="decimal"/>
      <w:lvlText w:val="%1"/>
      <w:lvlJc w:val="left"/>
      <w:pPr>
        <w:ind w:left="319" w:hanging="396"/>
        <w:jc w:val="left"/>
      </w:pPr>
      <w:rPr>
        <w:rFonts w:hint="default"/>
      </w:rPr>
    </w:lvl>
    <w:lvl w:ilvl="1">
      <w:start w:val="3"/>
      <w:numFmt w:val="decimal"/>
      <w:lvlText w:val="%1.%2"/>
      <w:lvlJc w:val="left"/>
      <w:pPr>
        <w:ind w:left="319" w:hanging="396"/>
        <w:jc w:val="left"/>
      </w:pPr>
      <w:rPr>
        <w:rFonts w:hint="default" w:ascii="Times New Roman" w:hAnsi="Times New Roman" w:eastAsia="Times New Roman" w:cs="Times New Roman"/>
        <w:color w:val="231F20"/>
        <w:w w:val="96"/>
        <w:sz w:val="20"/>
        <w:szCs w:val="20"/>
      </w:rPr>
    </w:lvl>
    <w:lvl w:ilvl="2">
      <w:start w:val="1"/>
      <w:numFmt w:val="decimal"/>
      <w:lvlText w:val="%3."/>
      <w:lvlJc w:val="left"/>
      <w:pPr>
        <w:ind w:left="933" w:hanging="243"/>
        <w:jc w:val="left"/>
      </w:pPr>
      <w:rPr>
        <w:rFonts w:hint="default" w:ascii="Times New Roman" w:hAnsi="Times New Roman" w:eastAsia="Times New Roman" w:cs="Times New Roman"/>
        <w:color w:val="231F20"/>
        <w:w w:val="94"/>
        <w:sz w:val="20"/>
        <w:szCs w:val="20"/>
      </w:rPr>
    </w:lvl>
    <w:lvl w:ilvl="3">
      <w:start w:val="0"/>
      <w:numFmt w:val="bullet"/>
      <w:lvlText w:val="•"/>
      <w:lvlJc w:val="left"/>
      <w:pPr>
        <w:ind w:left="2082" w:hanging="243"/>
      </w:pPr>
      <w:rPr>
        <w:rFonts w:hint="default"/>
      </w:rPr>
    </w:lvl>
    <w:lvl w:ilvl="4">
      <w:start w:val="0"/>
      <w:numFmt w:val="bullet"/>
      <w:lvlText w:val="•"/>
      <w:lvlJc w:val="left"/>
      <w:pPr>
        <w:ind w:left="2653" w:hanging="243"/>
      </w:pPr>
      <w:rPr>
        <w:rFonts w:hint="default"/>
      </w:rPr>
    </w:lvl>
    <w:lvl w:ilvl="5">
      <w:start w:val="0"/>
      <w:numFmt w:val="bullet"/>
      <w:lvlText w:val="•"/>
      <w:lvlJc w:val="left"/>
      <w:pPr>
        <w:ind w:left="3224" w:hanging="243"/>
      </w:pPr>
      <w:rPr>
        <w:rFonts w:hint="default"/>
      </w:rPr>
    </w:lvl>
    <w:lvl w:ilvl="6">
      <w:start w:val="0"/>
      <w:numFmt w:val="bullet"/>
      <w:lvlText w:val="•"/>
      <w:lvlJc w:val="left"/>
      <w:pPr>
        <w:ind w:left="3795" w:hanging="243"/>
      </w:pPr>
      <w:rPr>
        <w:rFonts w:hint="default"/>
      </w:rPr>
    </w:lvl>
    <w:lvl w:ilvl="7">
      <w:start w:val="0"/>
      <w:numFmt w:val="bullet"/>
      <w:lvlText w:val="•"/>
      <w:lvlJc w:val="left"/>
      <w:pPr>
        <w:ind w:left="4366" w:hanging="243"/>
      </w:pPr>
      <w:rPr>
        <w:rFonts w:hint="default"/>
      </w:rPr>
    </w:lvl>
    <w:lvl w:ilvl="8">
      <w:start w:val="0"/>
      <w:numFmt w:val="bullet"/>
      <w:lvlText w:val="•"/>
      <w:lvlJc w:val="left"/>
      <w:pPr>
        <w:ind w:left="4937" w:hanging="243"/>
      </w:pPr>
      <w:rPr>
        <w:rFonts w:hint="default"/>
      </w:rPr>
    </w:lvl>
  </w:abstractNum>
  <w:abstractNum w:abstractNumId="8">
    <w:multiLevelType w:val="hybridMultilevel"/>
    <w:lvl w:ilvl="0">
      <w:start w:val="0"/>
      <w:numFmt w:val="bullet"/>
      <w:lvlText w:val=""/>
      <w:lvlJc w:val="left"/>
      <w:pPr>
        <w:ind w:left="3329" w:hanging="135"/>
      </w:pPr>
      <w:rPr>
        <w:rFonts w:hint="default" w:ascii="Symbol" w:hAnsi="Symbol" w:eastAsia="Symbol" w:cs="Symbol"/>
        <w:w w:val="100"/>
        <w:sz w:val="18"/>
        <w:szCs w:val="18"/>
      </w:rPr>
    </w:lvl>
    <w:lvl w:ilvl="1">
      <w:start w:val="0"/>
      <w:numFmt w:val="bullet"/>
      <w:lvlText w:val="•"/>
      <w:lvlJc w:val="left"/>
      <w:pPr>
        <w:ind w:left="3600" w:hanging="135"/>
      </w:pPr>
      <w:rPr>
        <w:rFonts w:hint="default"/>
      </w:rPr>
    </w:lvl>
    <w:lvl w:ilvl="2">
      <w:start w:val="0"/>
      <w:numFmt w:val="bullet"/>
      <w:lvlText w:val="•"/>
      <w:lvlJc w:val="left"/>
      <w:pPr>
        <w:ind w:left="3880" w:hanging="135"/>
      </w:pPr>
      <w:rPr>
        <w:rFonts w:hint="default"/>
      </w:rPr>
    </w:lvl>
    <w:lvl w:ilvl="3">
      <w:start w:val="0"/>
      <w:numFmt w:val="bullet"/>
      <w:lvlText w:val="•"/>
      <w:lvlJc w:val="left"/>
      <w:pPr>
        <w:ind w:left="4160" w:hanging="135"/>
      </w:pPr>
      <w:rPr>
        <w:rFonts w:hint="default"/>
      </w:rPr>
    </w:lvl>
    <w:lvl w:ilvl="4">
      <w:start w:val="0"/>
      <w:numFmt w:val="bullet"/>
      <w:lvlText w:val="•"/>
      <w:lvlJc w:val="left"/>
      <w:pPr>
        <w:ind w:left="4440" w:hanging="135"/>
      </w:pPr>
      <w:rPr>
        <w:rFonts w:hint="default"/>
      </w:rPr>
    </w:lvl>
    <w:lvl w:ilvl="5">
      <w:start w:val="0"/>
      <w:numFmt w:val="bullet"/>
      <w:lvlText w:val="•"/>
      <w:lvlJc w:val="left"/>
      <w:pPr>
        <w:ind w:left="4720" w:hanging="135"/>
      </w:pPr>
      <w:rPr>
        <w:rFonts w:hint="default"/>
      </w:rPr>
    </w:lvl>
    <w:lvl w:ilvl="6">
      <w:start w:val="0"/>
      <w:numFmt w:val="bullet"/>
      <w:lvlText w:val="•"/>
      <w:lvlJc w:val="left"/>
      <w:pPr>
        <w:ind w:left="5000" w:hanging="135"/>
      </w:pPr>
      <w:rPr>
        <w:rFonts w:hint="default"/>
      </w:rPr>
    </w:lvl>
    <w:lvl w:ilvl="7">
      <w:start w:val="0"/>
      <w:numFmt w:val="bullet"/>
      <w:lvlText w:val="•"/>
      <w:lvlJc w:val="left"/>
      <w:pPr>
        <w:ind w:left="5280" w:hanging="135"/>
      </w:pPr>
      <w:rPr>
        <w:rFonts w:hint="default"/>
      </w:rPr>
    </w:lvl>
    <w:lvl w:ilvl="8">
      <w:start w:val="0"/>
      <w:numFmt w:val="bullet"/>
      <w:lvlText w:val="•"/>
      <w:lvlJc w:val="left"/>
      <w:pPr>
        <w:ind w:left="5560" w:hanging="135"/>
      </w:pPr>
      <w:rPr>
        <w:rFonts w:hint="default"/>
      </w:rPr>
    </w:lvl>
  </w:abstractNum>
  <w:abstractNum w:abstractNumId="6">
    <w:multiLevelType w:val="hybridMultilevel"/>
    <w:lvl w:ilvl="0">
      <w:start w:val="1"/>
      <w:numFmt w:val="decimal"/>
      <w:lvlText w:val="%1."/>
      <w:lvlJc w:val="left"/>
      <w:pPr>
        <w:ind w:left="544" w:hanging="178"/>
        <w:jc w:val="left"/>
      </w:pPr>
      <w:rPr>
        <w:rFonts w:hint="default" w:ascii="Helvetica" w:hAnsi="Helvetica" w:eastAsia="Helvetica" w:cs="Helvetica"/>
        <w:color w:val="231F20"/>
        <w:w w:val="99"/>
        <w:sz w:val="16"/>
        <w:szCs w:val="16"/>
      </w:rPr>
    </w:lvl>
    <w:lvl w:ilvl="1">
      <w:start w:val="0"/>
      <w:numFmt w:val="bullet"/>
      <w:lvlText w:val="•"/>
      <w:lvlJc w:val="left"/>
      <w:pPr>
        <w:ind w:left="757" w:hanging="178"/>
      </w:pPr>
      <w:rPr>
        <w:rFonts w:hint="default"/>
      </w:rPr>
    </w:lvl>
    <w:lvl w:ilvl="2">
      <w:start w:val="0"/>
      <w:numFmt w:val="bullet"/>
      <w:lvlText w:val="•"/>
      <w:lvlJc w:val="left"/>
      <w:pPr>
        <w:ind w:left="974" w:hanging="178"/>
      </w:pPr>
      <w:rPr>
        <w:rFonts w:hint="default"/>
      </w:rPr>
    </w:lvl>
    <w:lvl w:ilvl="3">
      <w:start w:val="0"/>
      <w:numFmt w:val="bullet"/>
      <w:lvlText w:val="•"/>
      <w:lvlJc w:val="left"/>
      <w:pPr>
        <w:ind w:left="1191" w:hanging="178"/>
      </w:pPr>
      <w:rPr>
        <w:rFonts w:hint="default"/>
      </w:rPr>
    </w:lvl>
    <w:lvl w:ilvl="4">
      <w:start w:val="0"/>
      <w:numFmt w:val="bullet"/>
      <w:lvlText w:val="•"/>
      <w:lvlJc w:val="left"/>
      <w:pPr>
        <w:ind w:left="1408" w:hanging="178"/>
      </w:pPr>
      <w:rPr>
        <w:rFonts w:hint="default"/>
      </w:rPr>
    </w:lvl>
    <w:lvl w:ilvl="5">
      <w:start w:val="0"/>
      <w:numFmt w:val="bullet"/>
      <w:lvlText w:val="•"/>
      <w:lvlJc w:val="left"/>
      <w:pPr>
        <w:ind w:left="1625" w:hanging="178"/>
      </w:pPr>
      <w:rPr>
        <w:rFonts w:hint="default"/>
      </w:rPr>
    </w:lvl>
    <w:lvl w:ilvl="6">
      <w:start w:val="0"/>
      <w:numFmt w:val="bullet"/>
      <w:lvlText w:val="•"/>
      <w:lvlJc w:val="left"/>
      <w:pPr>
        <w:ind w:left="1842" w:hanging="178"/>
      </w:pPr>
      <w:rPr>
        <w:rFonts w:hint="default"/>
      </w:rPr>
    </w:lvl>
    <w:lvl w:ilvl="7">
      <w:start w:val="0"/>
      <w:numFmt w:val="bullet"/>
      <w:lvlText w:val="•"/>
      <w:lvlJc w:val="left"/>
      <w:pPr>
        <w:ind w:left="2059" w:hanging="178"/>
      </w:pPr>
      <w:rPr>
        <w:rFonts w:hint="default"/>
      </w:rPr>
    </w:lvl>
    <w:lvl w:ilvl="8">
      <w:start w:val="0"/>
      <w:numFmt w:val="bullet"/>
      <w:lvlText w:val="•"/>
      <w:lvlJc w:val="left"/>
      <w:pPr>
        <w:ind w:left="2276" w:hanging="178"/>
      </w:pPr>
      <w:rPr>
        <w:rFonts w:hint="default"/>
      </w:rPr>
    </w:lvl>
  </w:abstractNum>
  <w:abstractNum w:abstractNumId="5">
    <w:multiLevelType w:val="hybridMultilevel"/>
    <w:lvl w:ilvl="0">
      <w:start w:val="1"/>
      <w:numFmt w:val="decimal"/>
      <w:lvlText w:val="%1."/>
      <w:lvlJc w:val="left"/>
      <w:pPr>
        <w:ind w:left="801" w:hanging="243"/>
        <w:jc w:val="left"/>
      </w:pPr>
      <w:rPr>
        <w:rFonts w:hint="default" w:ascii="Times New Roman" w:hAnsi="Times New Roman" w:eastAsia="Times New Roman" w:cs="Times New Roman"/>
        <w:color w:val="231F20"/>
        <w:w w:val="94"/>
        <w:sz w:val="20"/>
        <w:szCs w:val="20"/>
      </w:rPr>
    </w:lvl>
    <w:lvl w:ilvl="1">
      <w:start w:val="0"/>
      <w:numFmt w:val="bullet"/>
      <w:lvlText w:val="•"/>
      <w:lvlJc w:val="left"/>
      <w:pPr>
        <w:ind w:left="1363" w:hanging="243"/>
      </w:pPr>
      <w:rPr>
        <w:rFonts w:hint="default"/>
      </w:rPr>
    </w:lvl>
    <w:lvl w:ilvl="2">
      <w:start w:val="0"/>
      <w:numFmt w:val="bullet"/>
      <w:lvlText w:val="•"/>
      <w:lvlJc w:val="left"/>
      <w:pPr>
        <w:ind w:left="1927" w:hanging="243"/>
      </w:pPr>
      <w:rPr>
        <w:rFonts w:hint="default"/>
      </w:rPr>
    </w:lvl>
    <w:lvl w:ilvl="3">
      <w:start w:val="0"/>
      <w:numFmt w:val="bullet"/>
      <w:lvlText w:val="•"/>
      <w:lvlJc w:val="left"/>
      <w:pPr>
        <w:ind w:left="2491" w:hanging="243"/>
      </w:pPr>
      <w:rPr>
        <w:rFonts w:hint="default"/>
      </w:rPr>
    </w:lvl>
    <w:lvl w:ilvl="4">
      <w:start w:val="0"/>
      <w:numFmt w:val="bullet"/>
      <w:lvlText w:val="•"/>
      <w:lvlJc w:val="left"/>
      <w:pPr>
        <w:ind w:left="3055" w:hanging="243"/>
      </w:pPr>
      <w:rPr>
        <w:rFonts w:hint="default"/>
      </w:rPr>
    </w:lvl>
    <w:lvl w:ilvl="5">
      <w:start w:val="0"/>
      <w:numFmt w:val="bullet"/>
      <w:lvlText w:val="•"/>
      <w:lvlJc w:val="left"/>
      <w:pPr>
        <w:ind w:left="3619" w:hanging="243"/>
      </w:pPr>
      <w:rPr>
        <w:rFonts w:hint="default"/>
      </w:rPr>
    </w:lvl>
    <w:lvl w:ilvl="6">
      <w:start w:val="0"/>
      <w:numFmt w:val="bullet"/>
      <w:lvlText w:val="•"/>
      <w:lvlJc w:val="left"/>
      <w:pPr>
        <w:ind w:left="4183" w:hanging="243"/>
      </w:pPr>
      <w:rPr>
        <w:rFonts w:hint="default"/>
      </w:rPr>
    </w:lvl>
    <w:lvl w:ilvl="7">
      <w:start w:val="0"/>
      <w:numFmt w:val="bullet"/>
      <w:lvlText w:val="•"/>
      <w:lvlJc w:val="left"/>
      <w:pPr>
        <w:ind w:left="4747" w:hanging="243"/>
      </w:pPr>
      <w:rPr>
        <w:rFonts w:hint="default"/>
      </w:rPr>
    </w:lvl>
    <w:lvl w:ilvl="8">
      <w:start w:val="0"/>
      <w:numFmt w:val="bullet"/>
      <w:lvlText w:val="•"/>
      <w:lvlJc w:val="left"/>
      <w:pPr>
        <w:ind w:left="5311" w:hanging="243"/>
      </w:pPr>
      <w:rPr>
        <w:rFonts w:hint="default"/>
      </w:rPr>
    </w:lvl>
  </w:abstractNum>
  <w:abstractNum w:abstractNumId="4">
    <w:multiLevelType w:val="hybridMultilevel"/>
    <w:lvl w:ilvl="0">
      <w:start w:val="0"/>
      <w:numFmt w:val="bullet"/>
      <w:lvlText w:val="•"/>
      <w:lvlJc w:val="left"/>
      <w:pPr>
        <w:ind w:left="1857" w:hanging="178"/>
      </w:pPr>
      <w:rPr>
        <w:rFonts w:hint="default" w:ascii="Times New Roman" w:hAnsi="Times New Roman" w:eastAsia="Times New Roman" w:cs="Times New Roman"/>
        <w:color w:val="231F20"/>
        <w:w w:val="110"/>
        <w:sz w:val="20"/>
        <w:szCs w:val="20"/>
      </w:rPr>
    </w:lvl>
    <w:lvl w:ilvl="1">
      <w:start w:val="0"/>
      <w:numFmt w:val="bullet"/>
      <w:lvlText w:val="•"/>
      <w:lvlJc w:val="left"/>
      <w:pPr>
        <w:ind w:left="2286" w:hanging="178"/>
      </w:pPr>
      <w:rPr>
        <w:rFonts w:hint="default"/>
      </w:rPr>
    </w:lvl>
    <w:lvl w:ilvl="2">
      <w:start w:val="0"/>
      <w:numFmt w:val="bullet"/>
      <w:lvlText w:val="•"/>
      <w:lvlJc w:val="left"/>
      <w:pPr>
        <w:ind w:left="2712" w:hanging="178"/>
      </w:pPr>
      <w:rPr>
        <w:rFonts w:hint="default"/>
      </w:rPr>
    </w:lvl>
    <w:lvl w:ilvl="3">
      <w:start w:val="0"/>
      <w:numFmt w:val="bullet"/>
      <w:lvlText w:val="•"/>
      <w:lvlJc w:val="left"/>
      <w:pPr>
        <w:ind w:left="3138" w:hanging="178"/>
      </w:pPr>
      <w:rPr>
        <w:rFonts w:hint="default"/>
      </w:rPr>
    </w:lvl>
    <w:lvl w:ilvl="4">
      <w:start w:val="0"/>
      <w:numFmt w:val="bullet"/>
      <w:lvlText w:val="•"/>
      <w:lvlJc w:val="left"/>
      <w:pPr>
        <w:ind w:left="3564" w:hanging="178"/>
      </w:pPr>
      <w:rPr>
        <w:rFonts w:hint="default"/>
      </w:rPr>
    </w:lvl>
    <w:lvl w:ilvl="5">
      <w:start w:val="0"/>
      <w:numFmt w:val="bullet"/>
      <w:lvlText w:val="•"/>
      <w:lvlJc w:val="left"/>
      <w:pPr>
        <w:ind w:left="3990" w:hanging="178"/>
      </w:pPr>
      <w:rPr>
        <w:rFonts w:hint="default"/>
      </w:rPr>
    </w:lvl>
    <w:lvl w:ilvl="6">
      <w:start w:val="0"/>
      <w:numFmt w:val="bullet"/>
      <w:lvlText w:val="•"/>
      <w:lvlJc w:val="left"/>
      <w:pPr>
        <w:ind w:left="4416" w:hanging="178"/>
      </w:pPr>
      <w:rPr>
        <w:rFonts w:hint="default"/>
      </w:rPr>
    </w:lvl>
    <w:lvl w:ilvl="7">
      <w:start w:val="0"/>
      <w:numFmt w:val="bullet"/>
      <w:lvlText w:val="•"/>
      <w:lvlJc w:val="left"/>
      <w:pPr>
        <w:ind w:left="4842" w:hanging="178"/>
      </w:pPr>
      <w:rPr>
        <w:rFonts w:hint="default"/>
      </w:rPr>
    </w:lvl>
    <w:lvl w:ilvl="8">
      <w:start w:val="0"/>
      <w:numFmt w:val="bullet"/>
      <w:lvlText w:val="•"/>
      <w:lvlJc w:val="left"/>
      <w:pPr>
        <w:ind w:left="5268" w:hanging="178"/>
      </w:pPr>
      <w:rPr>
        <w:rFonts w:hint="default"/>
      </w:rPr>
    </w:lvl>
  </w:abstractNum>
  <w:abstractNum w:abstractNumId="3">
    <w:multiLevelType w:val="hybridMultilevel"/>
    <w:lvl w:ilvl="0">
      <w:start w:val="0"/>
      <w:numFmt w:val="bullet"/>
      <w:lvlText w:val="•"/>
      <w:lvlJc w:val="left"/>
      <w:pPr>
        <w:ind w:left="736" w:hanging="178"/>
      </w:pPr>
      <w:rPr>
        <w:rFonts w:hint="default" w:ascii="Times New Roman" w:hAnsi="Times New Roman" w:eastAsia="Times New Roman" w:cs="Times New Roman"/>
        <w:color w:val="231F20"/>
        <w:w w:val="110"/>
        <w:sz w:val="20"/>
        <w:szCs w:val="20"/>
      </w:rPr>
    </w:lvl>
    <w:lvl w:ilvl="1">
      <w:start w:val="0"/>
      <w:numFmt w:val="bullet"/>
      <w:lvlText w:val="•"/>
      <w:lvlJc w:val="left"/>
      <w:pPr>
        <w:ind w:left="1309" w:hanging="178"/>
      </w:pPr>
      <w:rPr>
        <w:rFonts w:hint="default"/>
      </w:rPr>
    </w:lvl>
    <w:lvl w:ilvl="2">
      <w:start w:val="0"/>
      <w:numFmt w:val="bullet"/>
      <w:lvlText w:val="•"/>
      <w:lvlJc w:val="left"/>
      <w:pPr>
        <w:ind w:left="1879" w:hanging="178"/>
      </w:pPr>
      <w:rPr>
        <w:rFonts w:hint="default"/>
      </w:rPr>
    </w:lvl>
    <w:lvl w:ilvl="3">
      <w:start w:val="0"/>
      <w:numFmt w:val="bullet"/>
      <w:lvlText w:val="•"/>
      <w:lvlJc w:val="left"/>
      <w:pPr>
        <w:ind w:left="2449" w:hanging="178"/>
      </w:pPr>
      <w:rPr>
        <w:rFonts w:hint="default"/>
      </w:rPr>
    </w:lvl>
    <w:lvl w:ilvl="4">
      <w:start w:val="0"/>
      <w:numFmt w:val="bullet"/>
      <w:lvlText w:val="•"/>
      <w:lvlJc w:val="left"/>
      <w:pPr>
        <w:ind w:left="3019" w:hanging="178"/>
      </w:pPr>
      <w:rPr>
        <w:rFonts w:hint="default"/>
      </w:rPr>
    </w:lvl>
    <w:lvl w:ilvl="5">
      <w:start w:val="0"/>
      <w:numFmt w:val="bullet"/>
      <w:lvlText w:val="•"/>
      <w:lvlJc w:val="left"/>
      <w:pPr>
        <w:ind w:left="3589" w:hanging="178"/>
      </w:pPr>
      <w:rPr>
        <w:rFonts w:hint="default"/>
      </w:rPr>
    </w:lvl>
    <w:lvl w:ilvl="6">
      <w:start w:val="0"/>
      <w:numFmt w:val="bullet"/>
      <w:lvlText w:val="•"/>
      <w:lvlJc w:val="left"/>
      <w:pPr>
        <w:ind w:left="4159" w:hanging="178"/>
      </w:pPr>
      <w:rPr>
        <w:rFonts w:hint="default"/>
      </w:rPr>
    </w:lvl>
    <w:lvl w:ilvl="7">
      <w:start w:val="0"/>
      <w:numFmt w:val="bullet"/>
      <w:lvlText w:val="•"/>
      <w:lvlJc w:val="left"/>
      <w:pPr>
        <w:ind w:left="4729" w:hanging="178"/>
      </w:pPr>
      <w:rPr>
        <w:rFonts w:hint="default"/>
      </w:rPr>
    </w:lvl>
    <w:lvl w:ilvl="8">
      <w:start w:val="0"/>
      <w:numFmt w:val="bullet"/>
      <w:lvlText w:val="•"/>
      <w:lvlJc w:val="left"/>
      <w:pPr>
        <w:ind w:left="5299" w:hanging="178"/>
      </w:pPr>
      <w:rPr>
        <w:rFonts w:hint="default"/>
      </w:rPr>
    </w:lvl>
  </w:abstractNum>
  <w:abstractNum w:abstractNumId="2">
    <w:multiLevelType w:val="hybridMultilevel"/>
    <w:lvl w:ilvl="0">
      <w:start w:val="3"/>
      <w:numFmt w:val="upperLetter"/>
      <w:lvlText w:val="(%1)"/>
      <w:lvlJc w:val="left"/>
      <w:pPr>
        <w:ind w:left="559" w:hanging="241"/>
        <w:jc w:val="left"/>
      </w:pPr>
      <w:rPr>
        <w:rFonts w:hint="default" w:ascii="Arial" w:hAnsi="Arial" w:eastAsia="Arial" w:cs="Arial"/>
        <w:color w:val="231F20"/>
        <w:w w:val="83"/>
        <w:sz w:val="16"/>
        <w:szCs w:val="16"/>
      </w:rPr>
    </w:lvl>
    <w:lvl w:ilvl="1">
      <w:start w:val="1"/>
      <w:numFmt w:val="decimal"/>
      <w:lvlText w:val="%2."/>
      <w:lvlJc w:val="left"/>
      <w:pPr>
        <w:ind w:left="1562" w:hanging="243"/>
        <w:jc w:val="right"/>
      </w:pPr>
      <w:rPr>
        <w:rFonts w:hint="default" w:ascii="Times New Roman" w:hAnsi="Times New Roman" w:eastAsia="Times New Roman" w:cs="Times New Roman"/>
        <w:color w:val="231F20"/>
        <w:w w:val="94"/>
        <w:sz w:val="20"/>
        <w:szCs w:val="20"/>
      </w:rPr>
    </w:lvl>
    <w:lvl w:ilvl="2">
      <w:start w:val="0"/>
      <w:numFmt w:val="bullet"/>
      <w:lvlText w:val="•"/>
      <w:lvlJc w:val="left"/>
      <w:pPr>
        <w:ind w:left="4540" w:hanging="243"/>
      </w:pPr>
      <w:rPr>
        <w:rFonts w:hint="default"/>
      </w:rPr>
    </w:lvl>
    <w:lvl w:ilvl="3">
      <w:start w:val="0"/>
      <w:numFmt w:val="bullet"/>
      <w:lvlText w:val="•"/>
      <w:lvlJc w:val="left"/>
      <w:pPr>
        <w:ind w:left="3922" w:hanging="243"/>
      </w:pPr>
      <w:rPr>
        <w:rFonts w:hint="default"/>
      </w:rPr>
    </w:lvl>
    <w:lvl w:ilvl="4">
      <w:start w:val="0"/>
      <w:numFmt w:val="bullet"/>
      <w:lvlText w:val="•"/>
      <w:lvlJc w:val="left"/>
      <w:pPr>
        <w:ind w:left="3305" w:hanging="243"/>
      </w:pPr>
      <w:rPr>
        <w:rFonts w:hint="default"/>
      </w:rPr>
    </w:lvl>
    <w:lvl w:ilvl="5">
      <w:start w:val="0"/>
      <w:numFmt w:val="bullet"/>
      <w:lvlText w:val="•"/>
      <w:lvlJc w:val="left"/>
      <w:pPr>
        <w:ind w:left="2687" w:hanging="243"/>
      </w:pPr>
      <w:rPr>
        <w:rFonts w:hint="default"/>
      </w:rPr>
    </w:lvl>
    <w:lvl w:ilvl="6">
      <w:start w:val="0"/>
      <w:numFmt w:val="bullet"/>
      <w:lvlText w:val="•"/>
      <w:lvlJc w:val="left"/>
      <w:pPr>
        <w:ind w:left="2070" w:hanging="243"/>
      </w:pPr>
      <w:rPr>
        <w:rFonts w:hint="default"/>
      </w:rPr>
    </w:lvl>
    <w:lvl w:ilvl="7">
      <w:start w:val="0"/>
      <w:numFmt w:val="bullet"/>
      <w:lvlText w:val="•"/>
      <w:lvlJc w:val="left"/>
      <w:pPr>
        <w:ind w:left="1452" w:hanging="243"/>
      </w:pPr>
      <w:rPr>
        <w:rFonts w:hint="default"/>
      </w:rPr>
    </w:lvl>
    <w:lvl w:ilvl="8">
      <w:start w:val="0"/>
      <w:numFmt w:val="bullet"/>
      <w:lvlText w:val="•"/>
      <w:lvlJc w:val="left"/>
      <w:pPr>
        <w:ind w:left="835" w:hanging="243"/>
      </w:pPr>
      <w:rPr>
        <w:rFonts w:hint="default"/>
      </w:rPr>
    </w:lvl>
  </w:abstractNum>
  <w:abstractNum w:abstractNumId="1">
    <w:multiLevelType w:val="hybridMultilevel"/>
    <w:lvl w:ilvl="0">
      <w:start w:val="0"/>
      <w:numFmt w:val="decimal"/>
      <w:lvlText w:val="%1"/>
      <w:lvlJc w:val="left"/>
      <w:pPr>
        <w:ind w:left="565" w:hanging="364"/>
        <w:jc w:val="left"/>
      </w:pPr>
      <w:rPr>
        <w:rFonts w:hint="default"/>
      </w:rPr>
    </w:lvl>
    <w:lvl w:ilvl="1">
      <w:start w:val="1"/>
      <w:numFmt w:val="decimalZero"/>
      <w:lvlText w:val="%1.%2"/>
      <w:lvlJc w:val="left"/>
      <w:pPr>
        <w:ind w:left="565" w:hanging="364"/>
        <w:jc w:val="right"/>
      </w:pPr>
      <w:rPr>
        <w:rFonts w:hint="default"/>
        <w:spacing w:val="1"/>
        <w:w w:val="75"/>
      </w:rPr>
    </w:lvl>
    <w:lvl w:ilvl="2">
      <w:start w:val="1"/>
      <w:numFmt w:val="decimal"/>
      <w:lvlText w:val="(%3)"/>
      <w:lvlJc w:val="left"/>
      <w:pPr>
        <w:ind w:left="1440" w:hanging="307"/>
        <w:jc w:val="right"/>
      </w:pPr>
      <w:rPr>
        <w:rFonts w:hint="default" w:ascii="Times New Roman" w:hAnsi="Times New Roman" w:eastAsia="Times New Roman" w:cs="Times New Roman"/>
        <w:color w:val="231F20"/>
        <w:w w:val="97"/>
        <w:sz w:val="20"/>
        <w:szCs w:val="20"/>
      </w:rPr>
    </w:lvl>
    <w:lvl w:ilvl="3">
      <w:start w:val="1"/>
      <w:numFmt w:val="upperRoman"/>
      <w:lvlText w:val="%4."/>
      <w:lvlJc w:val="left"/>
      <w:pPr>
        <w:ind w:left="2020" w:hanging="240"/>
        <w:jc w:val="right"/>
      </w:pPr>
      <w:rPr>
        <w:rFonts w:hint="default" w:ascii="Times New Roman" w:hAnsi="Times New Roman" w:eastAsia="Times New Roman" w:cs="Times New Roman"/>
        <w:color w:val="231F20"/>
        <w:w w:val="93"/>
        <w:sz w:val="20"/>
        <w:szCs w:val="20"/>
      </w:rPr>
    </w:lvl>
    <w:lvl w:ilvl="4">
      <w:start w:val="1"/>
      <w:numFmt w:val="upperLetter"/>
      <w:lvlText w:val="%5."/>
      <w:lvlJc w:val="left"/>
      <w:pPr>
        <w:ind w:left="2300" w:hanging="280"/>
        <w:jc w:val="left"/>
      </w:pPr>
      <w:rPr>
        <w:rFonts w:hint="default" w:ascii="Times New Roman" w:hAnsi="Times New Roman" w:eastAsia="Times New Roman" w:cs="Times New Roman"/>
        <w:color w:val="231F20"/>
        <w:spacing w:val="0"/>
        <w:w w:val="88"/>
        <w:sz w:val="20"/>
        <w:szCs w:val="20"/>
      </w:rPr>
    </w:lvl>
    <w:lvl w:ilvl="5">
      <w:start w:val="1"/>
      <w:numFmt w:val="decimal"/>
      <w:lvlText w:val="%6."/>
      <w:lvlJc w:val="left"/>
      <w:pPr>
        <w:ind w:left="2540" w:hanging="240"/>
        <w:jc w:val="left"/>
      </w:pPr>
      <w:rPr>
        <w:rFonts w:hint="default" w:ascii="Times New Roman" w:hAnsi="Times New Roman" w:eastAsia="Times New Roman" w:cs="Times New Roman"/>
        <w:color w:val="231F20"/>
        <w:w w:val="94"/>
        <w:sz w:val="20"/>
        <w:szCs w:val="20"/>
      </w:rPr>
    </w:lvl>
    <w:lvl w:ilvl="6">
      <w:start w:val="1"/>
      <w:numFmt w:val="lowerLetter"/>
      <w:lvlText w:val="(%7)"/>
      <w:lvlJc w:val="left"/>
      <w:pPr>
        <w:ind w:left="2880" w:hanging="340"/>
        <w:jc w:val="left"/>
      </w:pPr>
      <w:rPr>
        <w:rFonts w:hint="default" w:ascii="Times New Roman" w:hAnsi="Times New Roman" w:eastAsia="Times New Roman" w:cs="Times New Roman"/>
        <w:color w:val="231F20"/>
        <w:w w:val="98"/>
        <w:sz w:val="20"/>
        <w:szCs w:val="20"/>
      </w:rPr>
    </w:lvl>
    <w:lvl w:ilvl="7">
      <w:start w:val="0"/>
      <w:numFmt w:val="bullet"/>
      <w:lvlText w:val="•"/>
      <w:lvlJc w:val="left"/>
      <w:pPr>
        <w:ind w:left="2540" w:hanging="340"/>
      </w:pPr>
      <w:rPr>
        <w:rFonts w:hint="default"/>
      </w:rPr>
    </w:lvl>
    <w:lvl w:ilvl="8">
      <w:start w:val="0"/>
      <w:numFmt w:val="bullet"/>
      <w:lvlText w:val="•"/>
      <w:lvlJc w:val="left"/>
      <w:pPr>
        <w:ind w:left="2880" w:hanging="340"/>
      </w:pPr>
      <w:rPr>
        <w:rFonts w:hint="default"/>
      </w:rPr>
    </w:lvl>
  </w:abstractNum>
  <w:abstractNum w:abstractNumId="0">
    <w:multiLevelType w:val="hybridMultilevel"/>
    <w:lvl w:ilvl="0">
      <w:start w:val="0"/>
      <w:numFmt w:val="bullet"/>
      <w:lvlText w:val="•"/>
      <w:lvlJc w:val="left"/>
      <w:pPr>
        <w:ind w:left="1180" w:hanging="101"/>
      </w:pPr>
      <w:rPr>
        <w:rFonts w:hint="default" w:ascii="Helvetica" w:hAnsi="Helvetica" w:eastAsia="Helvetica" w:cs="Helvetica"/>
        <w:color w:val="231F20"/>
        <w:w w:val="99"/>
        <w:sz w:val="16"/>
        <w:szCs w:val="16"/>
      </w:rPr>
    </w:lvl>
    <w:lvl w:ilvl="1">
      <w:start w:val="0"/>
      <w:numFmt w:val="bullet"/>
      <w:lvlText w:val="•"/>
      <w:lvlJc w:val="left"/>
      <w:pPr>
        <w:ind w:left="1240" w:hanging="101"/>
      </w:pPr>
      <w:rPr>
        <w:rFonts w:hint="default"/>
      </w:rPr>
    </w:lvl>
    <w:lvl w:ilvl="2">
      <w:start w:val="0"/>
      <w:numFmt w:val="bullet"/>
      <w:lvlText w:val="•"/>
      <w:lvlJc w:val="left"/>
      <w:pPr>
        <w:ind w:left="1301" w:hanging="101"/>
      </w:pPr>
      <w:rPr>
        <w:rFonts w:hint="default"/>
      </w:rPr>
    </w:lvl>
    <w:lvl w:ilvl="3">
      <w:start w:val="0"/>
      <w:numFmt w:val="bullet"/>
      <w:lvlText w:val="•"/>
      <w:lvlJc w:val="left"/>
      <w:pPr>
        <w:ind w:left="1362" w:hanging="101"/>
      </w:pPr>
      <w:rPr>
        <w:rFonts w:hint="default"/>
      </w:rPr>
    </w:lvl>
    <w:lvl w:ilvl="4">
      <w:start w:val="0"/>
      <w:numFmt w:val="bullet"/>
      <w:lvlText w:val="•"/>
      <w:lvlJc w:val="left"/>
      <w:pPr>
        <w:ind w:left="1423" w:hanging="101"/>
      </w:pPr>
      <w:rPr>
        <w:rFonts w:hint="default"/>
      </w:rPr>
    </w:lvl>
    <w:lvl w:ilvl="5">
      <w:start w:val="0"/>
      <w:numFmt w:val="bullet"/>
      <w:lvlText w:val="•"/>
      <w:lvlJc w:val="left"/>
      <w:pPr>
        <w:ind w:left="1484" w:hanging="101"/>
      </w:pPr>
      <w:rPr>
        <w:rFonts w:hint="default"/>
      </w:rPr>
    </w:lvl>
    <w:lvl w:ilvl="6">
      <w:start w:val="0"/>
      <w:numFmt w:val="bullet"/>
      <w:lvlText w:val="•"/>
      <w:lvlJc w:val="left"/>
      <w:pPr>
        <w:ind w:left="1545" w:hanging="101"/>
      </w:pPr>
      <w:rPr>
        <w:rFonts w:hint="default"/>
      </w:rPr>
    </w:lvl>
    <w:lvl w:ilvl="7">
      <w:start w:val="0"/>
      <w:numFmt w:val="bullet"/>
      <w:lvlText w:val="•"/>
      <w:lvlJc w:val="left"/>
      <w:pPr>
        <w:ind w:left="1606" w:hanging="101"/>
      </w:pPr>
      <w:rPr>
        <w:rFonts w:hint="default"/>
      </w:rPr>
    </w:lvl>
    <w:lvl w:ilvl="8">
      <w:start w:val="0"/>
      <w:numFmt w:val="bullet"/>
      <w:lvlText w:val="•"/>
      <w:lvlJc w:val="left"/>
      <w:pPr>
        <w:ind w:left="1667" w:hanging="101"/>
      </w:pPr>
      <w:rPr>
        <w:rFonts w:hint="default"/>
      </w:rPr>
    </w:lvl>
  </w:abstractNum>
  <w:num w:numId="23">
    <w:abstractNumId w:val="22"/>
  </w:num>
  <w:num w:numId="22">
    <w:abstractNumId w:val="21"/>
  </w:num>
  <w:num w:numId="20">
    <w:abstractNumId w:val="19"/>
  </w:num>
  <w:num w:numId="8">
    <w:abstractNumId w:val="7"/>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319"/>
      <w:outlineLvl w:val="1"/>
    </w:pPr>
    <w:rPr>
      <w:rFonts w:ascii="Arial" w:hAnsi="Arial" w:eastAsia="Arial" w:cs="Arial"/>
      <w:sz w:val="24"/>
      <w:szCs w:val="24"/>
    </w:rPr>
  </w:style>
  <w:style w:styleId="Heading2" w:type="paragraph">
    <w:name w:val="Heading 2"/>
    <w:basedOn w:val="Normal"/>
    <w:uiPriority w:val="1"/>
    <w:qFormat/>
    <w:pPr>
      <w:ind w:left="319"/>
      <w:outlineLvl w:val="2"/>
    </w:pPr>
    <w:rPr>
      <w:rFonts w:ascii="Trebuchet MS" w:hAnsi="Trebuchet MS" w:eastAsia="Trebuchet MS" w:cs="Trebuchet MS"/>
      <w:b/>
      <w:bCs/>
      <w:sz w:val="22"/>
      <w:szCs w:val="22"/>
    </w:rPr>
  </w:style>
  <w:style w:styleId="Heading3" w:type="paragraph">
    <w:name w:val="Heading 3"/>
    <w:basedOn w:val="Normal"/>
    <w:uiPriority w:val="1"/>
    <w:qFormat/>
    <w:pPr>
      <w:spacing w:before="1"/>
      <w:ind w:left="179"/>
      <w:outlineLvl w:val="3"/>
    </w:pPr>
    <w:rPr>
      <w:rFonts w:ascii="Trebuchet MS" w:hAnsi="Trebuchet MS" w:eastAsia="Trebuchet MS" w:cs="Trebuchet MS"/>
      <w:b/>
      <w:bCs/>
      <w:sz w:val="20"/>
      <w:szCs w:val="20"/>
    </w:rPr>
  </w:style>
  <w:style w:styleId="ListParagraph" w:type="paragraph">
    <w:name w:val="List Paragraph"/>
    <w:basedOn w:val="Normal"/>
    <w:uiPriority w:val="1"/>
    <w:qFormat/>
    <w:pPr>
      <w:spacing w:before="10"/>
      <w:ind w:left="801" w:hanging="243"/>
      <w:jc w:val="both"/>
    </w:pPr>
    <w:rPr>
      <w:rFonts w:ascii="Times New Roman" w:hAnsi="Times New Roman" w:eastAsia="Times New Roman" w:cs="Times New Roman"/>
    </w:rPr>
  </w:style>
  <w:style w:styleId="TableParagraph" w:type="paragraph">
    <w:name w:val="Table Paragraph"/>
    <w:basedOn w:val="Normal"/>
    <w:uiPriority w:val="1"/>
    <w:qFormat/>
    <w:pPr>
      <w:spacing w:before="29"/>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4.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header" Target="header5.xml"/><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header" Target="header6.xml"/><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header" Target="header7.xml"/><Relationship Id="rId50" Type="http://schemas.openxmlformats.org/officeDocument/2006/relationships/footer" Target="footer7.xml"/><Relationship Id="rId51" Type="http://schemas.openxmlformats.org/officeDocument/2006/relationships/footer" Target="footer8.xml"/><Relationship Id="rId52" Type="http://schemas.openxmlformats.org/officeDocument/2006/relationships/header" Target="header8.xml"/><Relationship Id="rId53" Type="http://schemas.openxmlformats.org/officeDocument/2006/relationships/header" Target="header9.xml"/><Relationship Id="rId54" Type="http://schemas.openxmlformats.org/officeDocument/2006/relationships/footer" Target="footer9.xml"/><Relationship Id="rId55" Type="http://schemas.openxmlformats.org/officeDocument/2006/relationships/footer" Target="footer10.xml"/><Relationship Id="rId56" Type="http://schemas.openxmlformats.org/officeDocument/2006/relationships/header" Target="header10.xml"/><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image" Target="media/image44.png"/><Relationship Id="rId69" Type="http://schemas.openxmlformats.org/officeDocument/2006/relationships/image" Target="media/image45.png"/><Relationship Id="rId70" Type="http://schemas.openxmlformats.org/officeDocument/2006/relationships/header" Target="header11.xml"/><Relationship Id="rId71" Type="http://schemas.openxmlformats.org/officeDocument/2006/relationships/footer" Target="footer11.xml"/><Relationship Id="rId72" Type="http://schemas.openxmlformats.org/officeDocument/2006/relationships/footer" Target="footer12.xml"/><Relationship Id="rId73" Type="http://schemas.openxmlformats.org/officeDocument/2006/relationships/header" Target="header12.xml"/><Relationship Id="rId74" Type="http://schemas.openxmlformats.org/officeDocument/2006/relationships/header" Target="header13.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header" Target="header14.xml"/><Relationship Id="rId78" Type="http://schemas.openxmlformats.org/officeDocument/2006/relationships/header" Target="header15.xml"/><Relationship Id="rId79" Type="http://schemas.openxmlformats.org/officeDocument/2006/relationships/footer" Target="footer15.xml"/><Relationship Id="rId80" Type="http://schemas.openxmlformats.org/officeDocument/2006/relationships/footer" Target="footer16.xml"/><Relationship Id="rId81" Type="http://schemas.openxmlformats.org/officeDocument/2006/relationships/hyperlink" Target="http://www.cdc.gov/parasites/lymphaticfilariasis/index.html/" TargetMode="External"/><Relationship Id="rId82" Type="http://schemas.openxmlformats.org/officeDocument/2006/relationships/header" Target="header16.xml"/><Relationship Id="rId83" Type="http://schemas.openxmlformats.org/officeDocument/2006/relationships/header" Target="header17.xml"/><Relationship Id="rId84" Type="http://schemas.openxmlformats.org/officeDocument/2006/relationships/footer" Target="footer17.xml"/><Relationship Id="rId85" Type="http://schemas.openxmlformats.org/officeDocument/2006/relationships/footer" Target="footer18.xml"/><Relationship Id="rId86" Type="http://schemas.openxmlformats.org/officeDocument/2006/relationships/image" Target="media/image46.jpeg"/><Relationship Id="rId87" Type="http://schemas.openxmlformats.org/officeDocument/2006/relationships/header" Target="header18.xml"/><Relationship Id="rId88" Type="http://schemas.openxmlformats.org/officeDocument/2006/relationships/header" Target="header19.xml"/><Relationship Id="rId89" Type="http://schemas.openxmlformats.org/officeDocument/2006/relationships/image" Target="media/image47.png"/><Relationship Id="rId90" Type="http://schemas.openxmlformats.org/officeDocument/2006/relationships/image" Target="media/image48.png"/><Relationship Id="rId91" Type="http://schemas.openxmlformats.org/officeDocument/2006/relationships/image" Target="media/image49.png"/><Relationship Id="rId92" Type="http://schemas.openxmlformats.org/officeDocument/2006/relationships/image" Target="media/image50.png"/><Relationship Id="rId93" Type="http://schemas.openxmlformats.org/officeDocument/2006/relationships/image" Target="media/image51.png"/><Relationship Id="rId94" Type="http://schemas.openxmlformats.org/officeDocument/2006/relationships/image" Target="media/image52.png"/><Relationship Id="rId95" Type="http://schemas.openxmlformats.org/officeDocument/2006/relationships/image" Target="media/image53.png"/><Relationship Id="rId96" Type="http://schemas.openxmlformats.org/officeDocument/2006/relationships/image" Target="media/image54.png"/><Relationship Id="rId97" Type="http://schemas.openxmlformats.org/officeDocument/2006/relationships/image" Target="media/image55.png"/><Relationship Id="rId98" Type="http://schemas.openxmlformats.org/officeDocument/2006/relationships/image" Target="media/image56.png"/><Relationship Id="rId99" Type="http://schemas.openxmlformats.org/officeDocument/2006/relationships/image" Target="media/image57.png"/><Relationship Id="rId100" Type="http://schemas.openxmlformats.org/officeDocument/2006/relationships/image" Target="media/image58.png"/><Relationship Id="rId101" Type="http://schemas.openxmlformats.org/officeDocument/2006/relationships/image" Target="media/image59.png"/><Relationship Id="rId102" Type="http://schemas.openxmlformats.org/officeDocument/2006/relationships/image" Target="media/image60.png"/><Relationship Id="rId103" Type="http://schemas.openxmlformats.org/officeDocument/2006/relationships/image" Target="media/image61.png"/><Relationship Id="rId104" Type="http://schemas.openxmlformats.org/officeDocument/2006/relationships/image" Target="media/image62.png"/><Relationship Id="rId105" Type="http://schemas.openxmlformats.org/officeDocument/2006/relationships/image" Target="media/image63.png"/><Relationship Id="rId106" Type="http://schemas.openxmlformats.org/officeDocument/2006/relationships/image" Target="media/image64.png"/><Relationship Id="rId107" Type="http://schemas.openxmlformats.org/officeDocument/2006/relationships/image" Target="media/image65.png"/><Relationship Id="rId108" Type="http://schemas.openxmlformats.org/officeDocument/2006/relationships/image" Target="media/image66.png"/><Relationship Id="rId109" Type="http://schemas.openxmlformats.org/officeDocument/2006/relationships/image" Target="media/image67.png"/><Relationship Id="rId110" Type="http://schemas.openxmlformats.org/officeDocument/2006/relationships/image" Target="media/image68.png"/><Relationship Id="rId111" Type="http://schemas.openxmlformats.org/officeDocument/2006/relationships/image" Target="media/image69.png"/><Relationship Id="rId112" Type="http://schemas.openxmlformats.org/officeDocument/2006/relationships/image" Target="media/image70.png"/><Relationship Id="rId113" Type="http://schemas.openxmlformats.org/officeDocument/2006/relationships/image" Target="media/image71.png"/><Relationship Id="rId114" Type="http://schemas.openxmlformats.org/officeDocument/2006/relationships/image" Target="media/image72.png"/><Relationship Id="rId115" Type="http://schemas.openxmlformats.org/officeDocument/2006/relationships/image" Target="media/image73.png"/><Relationship Id="rId116" Type="http://schemas.openxmlformats.org/officeDocument/2006/relationships/image" Target="media/image74.png"/><Relationship Id="rId117" Type="http://schemas.openxmlformats.org/officeDocument/2006/relationships/image" Target="media/image75.png"/><Relationship Id="rId118" Type="http://schemas.openxmlformats.org/officeDocument/2006/relationships/image" Target="media/image76.png"/><Relationship Id="rId119" Type="http://schemas.openxmlformats.org/officeDocument/2006/relationships/image" Target="media/image77.png"/><Relationship Id="rId120" Type="http://schemas.openxmlformats.org/officeDocument/2006/relationships/image" Target="media/image78.png"/><Relationship Id="rId121" Type="http://schemas.openxmlformats.org/officeDocument/2006/relationships/image" Target="media/image79.png"/><Relationship Id="rId122" Type="http://schemas.openxmlformats.org/officeDocument/2006/relationships/image" Target="media/image80.png"/><Relationship Id="rId123" Type="http://schemas.openxmlformats.org/officeDocument/2006/relationships/image" Target="media/image81.png"/><Relationship Id="rId124" Type="http://schemas.openxmlformats.org/officeDocument/2006/relationships/image" Target="media/image82.png"/><Relationship Id="rId125" Type="http://schemas.openxmlformats.org/officeDocument/2006/relationships/image" Target="media/image83.png"/><Relationship Id="rId126" Type="http://schemas.openxmlformats.org/officeDocument/2006/relationships/image" Target="media/image84.png"/><Relationship Id="rId127" Type="http://schemas.openxmlformats.org/officeDocument/2006/relationships/image" Target="media/image85.png"/><Relationship Id="rId128" Type="http://schemas.openxmlformats.org/officeDocument/2006/relationships/image" Target="media/image86.png"/><Relationship Id="rId129" Type="http://schemas.openxmlformats.org/officeDocument/2006/relationships/header" Target="header20.xml"/><Relationship Id="rId130" Type="http://schemas.openxmlformats.org/officeDocument/2006/relationships/footer" Target="footer19.xml"/><Relationship Id="rId131" Type="http://schemas.openxmlformats.org/officeDocument/2006/relationships/footer" Target="footer20.xml"/><Relationship Id="rId132" Type="http://schemas.openxmlformats.org/officeDocument/2006/relationships/image" Target="media/image87.png"/><Relationship Id="rId133" Type="http://schemas.openxmlformats.org/officeDocument/2006/relationships/image" Target="media/image88.png"/><Relationship Id="rId134" Type="http://schemas.openxmlformats.org/officeDocument/2006/relationships/image" Target="media/image89.png"/><Relationship Id="rId135" Type="http://schemas.openxmlformats.org/officeDocument/2006/relationships/image" Target="media/image90.png"/><Relationship Id="rId136" Type="http://schemas.openxmlformats.org/officeDocument/2006/relationships/image" Target="media/image91.png"/><Relationship Id="rId137" Type="http://schemas.openxmlformats.org/officeDocument/2006/relationships/image" Target="media/image92.png"/><Relationship Id="rId138" Type="http://schemas.openxmlformats.org/officeDocument/2006/relationships/image" Target="media/image93.png"/><Relationship Id="rId139" Type="http://schemas.openxmlformats.org/officeDocument/2006/relationships/image" Target="media/image94.png"/><Relationship Id="rId140" Type="http://schemas.openxmlformats.org/officeDocument/2006/relationships/image" Target="media/image95.png"/><Relationship Id="rId141" Type="http://schemas.openxmlformats.org/officeDocument/2006/relationships/image" Target="media/image96.png"/><Relationship Id="rId142" Type="http://schemas.openxmlformats.org/officeDocument/2006/relationships/image" Target="media/image97.png"/><Relationship Id="rId143" Type="http://schemas.openxmlformats.org/officeDocument/2006/relationships/image" Target="media/image98.png"/><Relationship Id="rId144" Type="http://schemas.openxmlformats.org/officeDocument/2006/relationships/image" Target="media/image99.png"/><Relationship Id="rId145" Type="http://schemas.openxmlformats.org/officeDocument/2006/relationships/image" Target="media/image100.png"/><Relationship Id="rId146" Type="http://schemas.openxmlformats.org/officeDocument/2006/relationships/image" Target="media/image101.png"/><Relationship Id="rId147" Type="http://schemas.openxmlformats.org/officeDocument/2006/relationships/image" Target="media/image102.png"/><Relationship Id="rId148" Type="http://schemas.openxmlformats.org/officeDocument/2006/relationships/image" Target="media/image103.png"/><Relationship Id="rId149" Type="http://schemas.openxmlformats.org/officeDocument/2006/relationships/image" Target="media/image104.png"/><Relationship Id="rId150" Type="http://schemas.openxmlformats.org/officeDocument/2006/relationships/image" Target="media/image105.png"/><Relationship Id="rId151" Type="http://schemas.openxmlformats.org/officeDocument/2006/relationships/image" Target="media/image106.png"/><Relationship Id="rId152" Type="http://schemas.openxmlformats.org/officeDocument/2006/relationships/image" Target="media/image107.png"/><Relationship Id="rId153" Type="http://schemas.openxmlformats.org/officeDocument/2006/relationships/image" Target="media/image108.png"/><Relationship Id="rId154" Type="http://schemas.openxmlformats.org/officeDocument/2006/relationships/image" Target="media/image109.png"/><Relationship Id="rId155" Type="http://schemas.openxmlformats.org/officeDocument/2006/relationships/image" Target="media/image110.png"/><Relationship Id="rId156" Type="http://schemas.openxmlformats.org/officeDocument/2006/relationships/image" Target="media/image111.png"/><Relationship Id="rId157" Type="http://schemas.openxmlformats.org/officeDocument/2006/relationships/image" Target="media/image112.png"/><Relationship Id="rId158" Type="http://schemas.openxmlformats.org/officeDocument/2006/relationships/image" Target="media/image113.png"/><Relationship Id="rId159" Type="http://schemas.openxmlformats.org/officeDocument/2006/relationships/image" Target="media/image114.png"/><Relationship Id="rId160" Type="http://schemas.openxmlformats.org/officeDocument/2006/relationships/image" Target="media/image115.png"/><Relationship Id="rId161" Type="http://schemas.openxmlformats.org/officeDocument/2006/relationships/image" Target="media/image116.png"/><Relationship Id="rId162" Type="http://schemas.openxmlformats.org/officeDocument/2006/relationships/image" Target="media/image117.png"/><Relationship Id="rId163" Type="http://schemas.openxmlformats.org/officeDocument/2006/relationships/image" Target="media/image118.png"/><Relationship Id="rId164" Type="http://schemas.openxmlformats.org/officeDocument/2006/relationships/image" Target="media/image119.png"/><Relationship Id="rId165" Type="http://schemas.openxmlformats.org/officeDocument/2006/relationships/image" Target="media/image120.png"/><Relationship Id="rId166" Type="http://schemas.openxmlformats.org/officeDocument/2006/relationships/image" Target="media/image121.png"/><Relationship Id="rId167" Type="http://schemas.openxmlformats.org/officeDocument/2006/relationships/image" Target="media/image122.png"/><Relationship Id="rId168" Type="http://schemas.openxmlformats.org/officeDocument/2006/relationships/image" Target="media/image123.png"/><Relationship Id="rId169" Type="http://schemas.openxmlformats.org/officeDocument/2006/relationships/image" Target="media/image124.png"/><Relationship Id="rId170" Type="http://schemas.openxmlformats.org/officeDocument/2006/relationships/image" Target="media/image125.png"/><Relationship Id="rId171" Type="http://schemas.openxmlformats.org/officeDocument/2006/relationships/image" Target="media/image126.png"/><Relationship Id="rId172" Type="http://schemas.openxmlformats.org/officeDocument/2006/relationships/image" Target="media/image127.png"/><Relationship Id="rId173" Type="http://schemas.openxmlformats.org/officeDocument/2006/relationships/image" Target="media/image128.png"/><Relationship Id="rId174" Type="http://schemas.openxmlformats.org/officeDocument/2006/relationships/image" Target="media/image129.png"/><Relationship Id="rId175" Type="http://schemas.openxmlformats.org/officeDocument/2006/relationships/image" Target="media/image130.png"/><Relationship Id="rId176" Type="http://schemas.openxmlformats.org/officeDocument/2006/relationships/image" Target="media/image131.png"/><Relationship Id="rId177" Type="http://schemas.openxmlformats.org/officeDocument/2006/relationships/image" Target="media/image132.png"/><Relationship Id="rId178" Type="http://schemas.openxmlformats.org/officeDocument/2006/relationships/image" Target="media/image133.png"/><Relationship Id="rId179" Type="http://schemas.openxmlformats.org/officeDocument/2006/relationships/image" Target="media/image134.png"/><Relationship Id="rId180" Type="http://schemas.openxmlformats.org/officeDocument/2006/relationships/image" Target="media/image135.png"/><Relationship Id="rId181" Type="http://schemas.openxmlformats.org/officeDocument/2006/relationships/image" Target="media/image136.png"/><Relationship Id="rId182" Type="http://schemas.openxmlformats.org/officeDocument/2006/relationships/image" Target="media/image137.png"/><Relationship Id="rId183" Type="http://schemas.openxmlformats.org/officeDocument/2006/relationships/image" Target="media/image138.png"/><Relationship Id="rId184" Type="http://schemas.openxmlformats.org/officeDocument/2006/relationships/image" Target="media/image139.png"/><Relationship Id="rId185" Type="http://schemas.openxmlformats.org/officeDocument/2006/relationships/image" Target="media/image140.png"/><Relationship Id="rId186" Type="http://schemas.openxmlformats.org/officeDocument/2006/relationships/image" Target="media/image141.png"/><Relationship Id="rId187" Type="http://schemas.openxmlformats.org/officeDocument/2006/relationships/image" Target="media/image142.png"/><Relationship Id="rId188" Type="http://schemas.openxmlformats.org/officeDocument/2006/relationships/image" Target="media/image143.png"/><Relationship Id="rId189" Type="http://schemas.openxmlformats.org/officeDocument/2006/relationships/image" Target="media/image144.png"/><Relationship Id="rId190" Type="http://schemas.openxmlformats.org/officeDocument/2006/relationships/image" Target="media/image145.png"/><Relationship Id="rId191" Type="http://schemas.openxmlformats.org/officeDocument/2006/relationships/image" Target="media/image146.png"/><Relationship Id="rId192" Type="http://schemas.openxmlformats.org/officeDocument/2006/relationships/image" Target="media/image147.png"/><Relationship Id="rId193" Type="http://schemas.openxmlformats.org/officeDocument/2006/relationships/image" Target="media/image148.png"/><Relationship Id="rId194" Type="http://schemas.openxmlformats.org/officeDocument/2006/relationships/image" Target="media/image149.png"/><Relationship Id="rId195" Type="http://schemas.openxmlformats.org/officeDocument/2006/relationships/image" Target="media/image150.png"/><Relationship Id="rId196" Type="http://schemas.openxmlformats.org/officeDocument/2006/relationships/image" Target="media/image151.png"/><Relationship Id="rId197" Type="http://schemas.openxmlformats.org/officeDocument/2006/relationships/image" Target="media/image152.png"/><Relationship Id="rId198" Type="http://schemas.openxmlformats.org/officeDocument/2006/relationships/image" Target="media/image153.png"/><Relationship Id="rId199" Type="http://schemas.openxmlformats.org/officeDocument/2006/relationships/image" Target="media/image154.png"/><Relationship Id="rId200" Type="http://schemas.openxmlformats.org/officeDocument/2006/relationships/image" Target="media/image155.png"/><Relationship Id="rId201" Type="http://schemas.openxmlformats.org/officeDocument/2006/relationships/image" Target="media/image156.png"/><Relationship Id="rId202" Type="http://schemas.openxmlformats.org/officeDocument/2006/relationships/image" Target="media/image157.png"/><Relationship Id="rId203" Type="http://schemas.openxmlformats.org/officeDocument/2006/relationships/image" Target="media/image158.png"/><Relationship Id="rId204" Type="http://schemas.openxmlformats.org/officeDocument/2006/relationships/image" Target="media/image159.png"/><Relationship Id="rId205" Type="http://schemas.openxmlformats.org/officeDocument/2006/relationships/image" Target="media/image160.png"/><Relationship Id="rId206" Type="http://schemas.openxmlformats.org/officeDocument/2006/relationships/image" Target="media/image161.png"/><Relationship Id="rId207" Type="http://schemas.openxmlformats.org/officeDocument/2006/relationships/image" Target="media/image162.png"/><Relationship Id="rId208" Type="http://schemas.openxmlformats.org/officeDocument/2006/relationships/image" Target="media/image163.png"/><Relationship Id="rId209" Type="http://schemas.openxmlformats.org/officeDocument/2006/relationships/image" Target="media/image164.png"/><Relationship Id="rId210" Type="http://schemas.openxmlformats.org/officeDocument/2006/relationships/image" Target="media/image165.png"/><Relationship Id="rId211" Type="http://schemas.openxmlformats.org/officeDocument/2006/relationships/image" Target="media/image166.png"/><Relationship Id="rId212" Type="http://schemas.openxmlformats.org/officeDocument/2006/relationships/image" Target="media/image167.png"/><Relationship Id="rId213" Type="http://schemas.openxmlformats.org/officeDocument/2006/relationships/image" Target="media/image168.png"/><Relationship Id="rId214" Type="http://schemas.openxmlformats.org/officeDocument/2006/relationships/image" Target="media/image169.png"/><Relationship Id="rId215" Type="http://schemas.openxmlformats.org/officeDocument/2006/relationships/image" Target="media/image170.png"/><Relationship Id="rId216" Type="http://schemas.openxmlformats.org/officeDocument/2006/relationships/image" Target="media/image171.png"/><Relationship Id="rId217" Type="http://schemas.openxmlformats.org/officeDocument/2006/relationships/image" Target="media/image172.png"/><Relationship Id="rId218" Type="http://schemas.openxmlformats.org/officeDocument/2006/relationships/image" Target="media/image173.png"/><Relationship Id="rId219" Type="http://schemas.openxmlformats.org/officeDocument/2006/relationships/image" Target="media/image174.png"/><Relationship Id="rId220" Type="http://schemas.openxmlformats.org/officeDocument/2006/relationships/image" Target="media/image175.png"/><Relationship Id="rId221" Type="http://schemas.openxmlformats.org/officeDocument/2006/relationships/image" Target="media/image176.png"/><Relationship Id="rId222" Type="http://schemas.openxmlformats.org/officeDocument/2006/relationships/image" Target="media/image177.png"/><Relationship Id="rId223" Type="http://schemas.openxmlformats.org/officeDocument/2006/relationships/image" Target="media/image178.png"/><Relationship Id="rId224" Type="http://schemas.openxmlformats.org/officeDocument/2006/relationships/image" Target="media/image179.png"/><Relationship Id="rId225" Type="http://schemas.openxmlformats.org/officeDocument/2006/relationships/image" Target="media/image180.png"/><Relationship Id="rId226" Type="http://schemas.openxmlformats.org/officeDocument/2006/relationships/image" Target="media/image181.png"/><Relationship Id="rId227" Type="http://schemas.openxmlformats.org/officeDocument/2006/relationships/image" Target="media/image182.png"/><Relationship Id="rId228" Type="http://schemas.openxmlformats.org/officeDocument/2006/relationships/image" Target="media/image183.png"/><Relationship Id="rId229" Type="http://schemas.openxmlformats.org/officeDocument/2006/relationships/image" Target="media/image184.png"/><Relationship Id="rId230" Type="http://schemas.openxmlformats.org/officeDocument/2006/relationships/image" Target="media/image185.png"/><Relationship Id="rId231" Type="http://schemas.openxmlformats.org/officeDocument/2006/relationships/image" Target="media/image186.png"/><Relationship Id="rId232" Type="http://schemas.openxmlformats.org/officeDocument/2006/relationships/image" Target="media/image187.png"/><Relationship Id="rId233" Type="http://schemas.openxmlformats.org/officeDocument/2006/relationships/image" Target="media/image188.png"/><Relationship Id="rId234" Type="http://schemas.openxmlformats.org/officeDocument/2006/relationships/image" Target="media/image189.png"/><Relationship Id="rId235" Type="http://schemas.openxmlformats.org/officeDocument/2006/relationships/image" Target="media/image190.png"/><Relationship Id="rId236" Type="http://schemas.openxmlformats.org/officeDocument/2006/relationships/image" Target="media/image191.png"/><Relationship Id="rId237" Type="http://schemas.openxmlformats.org/officeDocument/2006/relationships/image" Target="media/image192.png"/><Relationship Id="rId238" Type="http://schemas.openxmlformats.org/officeDocument/2006/relationships/image" Target="media/image193.png"/><Relationship Id="rId239" Type="http://schemas.openxmlformats.org/officeDocument/2006/relationships/image" Target="media/image194.png"/><Relationship Id="rId240" Type="http://schemas.openxmlformats.org/officeDocument/2006/relationships/image" Target="media/image195.png"/><Relationship Id="rId241" Type="http://schemas.openxmlformats.org/officeDocument/2006/relationships/image" Target="media/image196.png"/><Relationship Id="rId242" Type="http://schemas.openxmlformats.org/officeDocument/2006/relationships/image" Target="media/image197.png"/><Relationship Id="rId243" Type="http://schemas.openxmlformats.org/officeDocument/2006/relationships/image" Target="media/image198.png"/><Relationship Id="rId244" Type="http://schemas.openxmlformats.org/officeDocument/2006/relationships/image" Target="media/image199.png"/><Relationship Id="rId245" Type="http://schemas.openxmlformats.org/officeDocument/2006/relationships/image" Target="media/image200.png"/><Relationship Id="rId246" Type="http://schemas.openxmlformats.org/officeDocument/2006/relationships/image" Target="media/image201.png"/><Relationship Id="rId247" Type="http://schemas.openxmlformats.org/officeDocument/2006/relationships/image" Target="media/image202.png"/><Relationship Id="rId248" Type="http://schemas.openxmlformats.org/officeDocument/2006/relationships/image" Target="media/image203.png"/><Relationship Id="rId249" Type="http://schemas.openxmlformats.org/officeDocument/2006/relationships/image" Target="media/image204.png"/><Relationship Id="rId250" Type="http://schemas.openxmlformats.org/officeDocument/2006/relationships/image" Target="media/image205.png"/><Relationship Id="rId251" Type="http://schemas.openxmlformats.org/officeDocument/2006/relationships/image" Target="media/image206.png"/><Relationship Id="rId252" Type="http://schemas.openxmlformats.org/officeDocument/2006/relationships/image" Target="media/image207.png"/><Relationship Id="rId253" Type="http://schemas.openxmlformats.org/officeDocument/2006/relationships/image" Target="media/image208.png"/><Relationship Id="rId254" Type="http://schemas.openxmlformats.org/officeDocument/2006/relationships/image" Target="media/image209.png"/><Relationship Id="rId255" Type="http://schemas.openxmlformats.org/officeDocument/2006/relationships/image" Target="media/image210.png"/><Relationship Id="rId256" Type="http://schemas.openxmlformats.org/officeDocument/2006/relationships/image" Target="media/image211.png"/><Relationship Id="rId257" Type="http://schemas.openxmlformats.org/officeDocument/2006/relationships/image" Target="media/image212.png"/><Relationship Id="rId258" Type="http://schemas.openxmlformats.org/officeDocument/2006/relationships/image" Target="media/image213.png"/><Relationship Id="rId259" Type="http://schemas.openxmlformats.org/officeDocument/2006/relationships/header" Target="header21.xml"/><Relationship Id="rId260" Type="http://schemas.openxmlformats.org/officeDocument/2006/relationships/image" Target="media/image214.png"/><Relationship Id="rId261" Type="http://schemas.openxmlformats.org/officeDocument/2006/relationships/image" Target="media/image215.png"/><Relationship Id="rId262" Type="http://schemas.openxmlformats.org/officeDocument/2006/relationships/image" Target="media/image216.png"/><Relationship Id="rId263" Type="http://schemas.openxmlformats.org/officeDocument/2006/relationships/image" Target="media/image217.png"/><Relationship Id="rId264" Type="http://schemas.openxmlformats.org/officeDocument/2006/relationships/image" Target="media/image218.png"/><Relationship Id="rId265" Type="http://schemas.openxmlformats.org/officeDocument/2006/relationships/image" Target="media/image219.png"/><Relationship Id="rId266" Type="http://schemas.openxmlformats.org/officeDocument/2006/relationships/image" Target="media/image220.png"/><Relationship Id="rId267" Type="http://schemas.openxmlformats.org/officeDocument/2006/relationships/image" Target="media/image221.png"/><Relationship Id="rId268" Type="http://schemas.openxmlformats.org/officeDocument/2006/relationships/image" Target="media/image222.png"/><Relationship Id="rId269" Type="http://schemas.openxmlformats.org/officeDocument/2006/relationships/image" Target="media/image223.png"/><Relationship Id="rId270" Type="http://schemas.openxmlformats.org/officeDocument/2006/relationships/image" Target="media/image224.png"/><Relationship Id="rId271" Type="http://schemas.openxmlformats.org/officeDocument/2006/relationships/image" Target="media/image225.png"/><Relationship Id="rId272" Type="http://schemas.openxmlformats.org/officeDocument/2006/relationships/image" Target="media/image226.png"/><Relationship Id="rId273" Type="http://schemas.openxmlformats.org/officeDocument/2006/relationships/image" Target="media/image227.png"/><Relationship Id="rId274" Type="http://schemas.openxmlformats.org/officeDocument/2006/relationships/image" Target="media/image228.png"/><Relationship Id="rId275" Type="http://schemas.openxmlformats.org/officeDocument/2006/relationships/image" Target="media/image229.png"/><Relationship Id="rId276" Type="http://schemas.openxmlformats.org/officeDocument/2006/relationships/image" Target="media/image230.png"/><Relationship Id="rId277" Type="http://schemas.openxmlformats.org/officeDocument/2006/relationships/image" Target="media/image231.png"/><Relationship Id="rId278" Type="http://schemas.openxmlformats.org/officeDocument/2006/relationships/image" Target="media/image232.png"/><Relationship Id="rId279" Type="http://schemas.openxmlformats.org/officeDocument/2006/relationships/image" Target="media/image233.png"/><Relationship Id="rId280" Type="http://schemas.openxmlformats.org/officeDocument/2006/relationships/image" Target="media/image234.png"/><Relationship Id="rId281" Type="http://schemas.openxmlformats.org/officeDocument/2006/relationships/image" Target="media/image235.png"/><Relationship Id="rId282" Type="http://schemas.openxmlformats.org/officeDocument/2006/relationships/image" Target="media/image236.png"/><Relationship Id="rId283" Type="http://schemas.openxmlformats.org/officeDocument/2006/relationships/image" Target="media/image237.png"/><Relationship Id="rId284" Type="http://schemas.openxmlformats.org/officeDocument/2006/relationships/image" Target="media/image238.png"/><Relationship Id="rId285" Type="http://schemas.openxmlformats.org/officeDocument/2006/relationships/image" Target="media/image239.png"/><Relationship Id="rId286" Type="http://schemas.openxmlformats.org/officeDocument/2006/relationships/image" Target="media/image240.png"/><Relationship Id="rId287" Type="http://schemas.openxmlformats.org/officeDocument/2006/relationships/image" Target="media/image241.png"/><Relationship Id="rId288" Type="http://schemas.openxmlformats.org/officeDocument/2006/relationships/image" Target="media/image242.png"/><Relationship Id="rId289" Type="http://schemas.openxmlformats.org/officeDocument/2006/relationships/image" Target="media/image243.png"/><Relationship Id="rId290" Type="http://schemas.openxmlformats.org/officeDocument/2006/relationships/image" Target="media/image244.png"/><Relationship Id="rId291" Type="http://schemas.openxmlformats.org/officeDocument/2006/relationships/image" Target="media/image245.png"/><Relationship Id="rId292" Type="http://schemas.openxmlformats.org/officeDocument/2006/relationships/image" Target="media/image246.png"/><Relationship Id="rId293" Type="http://schemas.openxmlformats.org/officeDocument/2006/relationships/image" Target="media/image247.png"/><Relationship Id="rId294" Type="http://schemas.openxmlformats.org/officeDocument/2006/relationships/image" Target="media/image248.png"/><Relationship Id="rId295" Type="http://schemas.openxmlformats.org/officeDocument/2006/relationships/image" Target="media/image249.png"/><Relationship Id="rId296" Type="http://schemas.openxmlformats.org/officeDocument/2006/relationships/image" Target="media/image250.png"/><Relationship Id="rId297" Type="http://schemas.openxmlformats.org/officeDocument/2006/relationships/image" Target="media/image251.png"/><Relationship Id="rId298" Type="http://schemas.openxmlformats.org/officeDocument/2006/relationships/image" Target="media/image252.png"/><Relationship Id="rId299" Type="http://schemas.openxmlformats.org/officeDocument/2006/relationships/image" Target="media/image253.png"/><Relationship Id="rId300" Type="http://schemas.openxmlformats.org/officeDocument/2006/relationships/image" Target="media/image254.png"/><Relationship Id="rId301" Type="http://schemas.openxmlformats.org/officeDocument/2006/relationships/image" Target="media/image255.png"/><Relationship Id="rId302" Type="http://schemas.openxmlformats.org/officeDocument/2006/relationships/image" Target="media/image256.png"/><Relationship Id="rId303" Type="http://schemas.openxmlformats.org/officeDocument/2006/relationships/image" Target="media/image257.png"/><Relationship Id="rId304" Type="http://schemas.openxmlformats.org/officeDocument/2006/relationships/image" Target="media/image258.png"/><Relationship Id="rId305" Type="http://schemas.openxmlformats.org/officeDocument/2006/relationships/image" Target="media/image259.png"/><Relationship Id="rId306" Type="http://schemas.openxmlformats.org/officeDocument/2006/relationships/image" Target="media/image260.png"/><Relationship Id="rId307" Type="http://schemas.openxmlformats.org/officeDocument/2006/relationships/image" Target="media/image261.png"/><Relationship Id="rId308" Type="http://schemas.openxmlformats.org/officeDocument/2006/relationships/image" Target="media/image262.png"/><Relationship Id="rId309" Type="http://schemas.openxmlformats.org/officeDocument/2006/relationships/image" Target="media/image263.png"/><Relationship Id="rId310" Type="http://schemas.openxmlformats.org/officeDocument/2006/relationships/image" Target="media/image264.png"/><Relationship Id="rId311" Type="http://schemas.openxmlformats.org/officeDocument/2006/relationships/image" Target="media/image265.png"/><Relationship Id="rId312" Type="http://schemas.openxmlformats.org/officeDocument/2006/relationships/image" Target="media/image266.png"/><Relationship Id="rId313" Type="http://schemas.openxmlformats.org/officeDocument/2006/relationships/image" Target="media/image267.png"/><Relationship Id="rId314" Type="http://schemas.openxmlformats.org/officeDocument/2006/relationships/image" Target="media/image268.png"/><Relationship Id="rId315" Type="http://schemas.openxmlformats.org/officeDocument/2006/relationships/image" Target="media/image269.png"/><Relationship Id="rId316" Type="http://schemas.openxmlformats.org/officeDocument/2006/relationships/header" Target="header22.xml"/><Relationship Id="rId317" Type="http://schemas.openxmlformats.org/officeDocument/2006/relationships/footer" Target="footer21.xml"/><Relationship Id="rId318" Type="http://schemas.openxmlformats.org/officeDocument/2006/relationships/footer" Target="footer22.xml"/><Relationship Id="rId319" Type="http://schemas.openxmlformats.org/officeDocument/2006/relationships/image" Target="media/image270.png"/><Relationship Id="rId320" Type="http://schemas.openxmlformats.org/officeDocument/2006/relationships/image" Target="media/image271.png"/><Relationship Id="rId321" Type="http://schemas.openxmlformats.org/officeDocument/2006/relationships/image" Target="media/image272.png"/><Relationship Id="rId322" Type="http://schemas.openxmlformats.org/officeDocument/2006/relationships/image" Target="media/image273.png"/><Relationship Id="rId323" Type="http://schemas.openxmlformats.org/officeDocument/2006/relationships/image" Target="media/image274.png"/><Relationship Id="rId324" Type="http://schemas.openxmlformats.org/officeDocument/2006/relationships/image" Target="media/image275.png"/><Relationship Id="rId325" Type="http://schemas.openxmlformats.org/officeDocument/2006/relationships/image" Target="media/image276.png"/><Relationship Id="rId326" Type="http://schemas.openxmlformats.org/officeDocument/2006/relationships/image" Target="media/image277.png"/><Relationship Id="rId327" Type="http://schemas.openxmlformats.org/officeDocument/2006/relationships/image" Target="media/image278.png"/><Relationship Id="rId328" Type="http://schemas.openxmlformats.org/officeDocument/2006/relationships/image" Target="media/image279.png"/><Relationship Id="rId329" Type="http://schemas.openxmlformats.org/officeDocument/2006/relationships/image" Target="media/image280.png"/><Relationship Id="rId330" Type="http://schemas.openxmlformats.org/officeDocument/2006/relationships/image" Target="media/image281.png"/><Relationship Id="rId331" Type="http://schemas.openxmlformats.org/officeDocument/2006/relationships/image" Target="media/image282.png"/><Relationship Id="rId332" Type="http://schemas.openxmlformats.org/officeDocument/2006/relationships/image" Target="media/image283.png"/><Relationship Id="rId333" Type="http://schemas.openxmlformats.org/officeDocument/2006/relationships/image" Target="media/image284.png"/><Relationship Id="rId334" Type="http://schemas.openxmlformats.org/officeDocument/2006/relationships/image" Target="media/image285.png"/><Relationship Id="rId335" Type="http://schemas.openxmlformats.org/officeDocument/2006/relationships/image" Target="media/image286.png"/><Relationship Id="rId336" Type="http://schemas.openxmlformats.org/officeDocument/2006/relationships/image" Target="media/image287.png"/><Relationship Id="rId337" Type="http://schemas.openxmlformats.org/officeDocument/2006/relationships/image" Target="media/image288.png"/><Relationship Id="rId338" Type="http://schemas.openxmlformats.org/officeDocument/2006/relationships/image" Target="media/image289.png"/><Relationship Id="rId339" Type="http://schemas.openxmlformats.org/officeDocument/2006/relationships/image" Target="media/image290.png"/><Relationship Id="rId340" Type="http://schemas.openxmlformats.org/officeDocument/2006/relationships/image" Target="media/image291.png"/><Relationship Id="rId341" Type="http://schemas.openxmlformats.org/officeDocument/2006/relationships/image" Target="media/image292.png"/><Relationship Id="rId342" Type="http://schemas.openxmlformats.org/officeDocument/2006/relationships/image" Target="media/image293.png"/><Relationship Id="rId343" Type="http://schemas.openxmlformats.org/officeDocument/2006/relationships/image" Target="media/image294.png"/><Relationship Id="rId344" Type="http://schemas.openxmlformats.org/officeDocument/2006/relationships/image" Target="media/image295.png"/><Relationship Id="rId345" Type="http://schemas.openxmlformats.org/officeDocument/2006/relationships/image" Target="media/image296.png"/><Relationship Id="rId346" Type="http://schemas.openxmlformats.org/officeDocument/2006/relationships/image" Target="media/image297.png"/><Relationship Id="rId347" Type="http://schemas.openxmlformats.org/officeDocument/2006/relationships/image" Target="media/image298.png"/><Relationship Id="rId348" Type="http://schemas.openxmlformats.org/officeDocument/2006/relationships/image" Target="media/image299.png"/><Relationship Id="rId349" Type="http://schemas.openxmlformats.org/officeDocument/2006/relationships/image" Target="media/image300.png"/><Relationship Id="rId350" Type="http://schemas.openxmlformats.org/officeDocument/2006/relationships/header" Target="header23.xml"/><Relationship Id="rId351" Type="http://schemas.openxmlformats.org/officeDocument/2006/relationships/header" Target="header24.xml"/><Relationship Id="rId352" Type="http://schemas.openxmlformats.org/officeDocument/2006/relationships/footer" Target="footer23.xml"/><Relationship Id="rId353" Type="http://schemas.openxmlformats.org/officeDocument/2006/relationships/footer" Target="footer24.xml"/><Relationship Id="rId354" Type="http://schemas.openxmlformats.org/officeDocument/2006/relationships/header" Target="header25.xml"/><Relationship Id="rId355" Type="http://schemas.openxmlformats.org/officeDocument/2006/relationships/image" Target="media/image301.png"/><Relationship Id="rId356" Type="http://schemas.openxmlformats.org/officeDocument/2006/relationships/image" Target="media/image302.png"/><Relationship Id="rId357" Type="http://schemas.openxmlformats.org/officeDocument/2006/relationships/image" Target="media/image303.png"/><Relationship Id="rId358" Type="http://schemas.openxmlformats.org/officeDocument/2006/relationships/image" Target="media/image304.png"/><Relationship Id="rId359" Type="http://schemas.openxmlformats.org/officeDocument/2006/relationships/image" Target="media/image305.png"/><Relationship Id="rId360" Type="http://schemas.openxmlformats.org/officeDocument/2006/relationships/image" Target="media/image306.png"/><Relationship Id="rId361" Type="http://schemas.openxmlformats.org/officeDocument/2006/relationships/image" Target="media/image307.png"/><Relationship Id="rId362" Type="http://schemas.openxmlformats.org/officeDocument/2006/relationships/image" Target="media/image308.png"/><Relationship Id="rId363" Type="http://schemas.openxmlformats.org/officeDocument/2006/relationships/image" Target="media/image309.png"/><Relationship Id="rId364" Type="http://schemas.openxmlformats.org/officeDocument/2006/relationships/image" Target="media/image310.png"/><Relationship Id="rId365" Type="http://schemas.openxmlformats.org/officeDocument/2006/relationships/image" Target="media/image311.png"/><Relationship Id="rId366" Type="http://schemas.openxmlformats.org/officeDocument/2006/relationships/image" Target="media/image312.png"/><Relationship Id="rId367" Type="http://schemas.openxmlformats.org/officeDocument/2006/relationships/header" Target="header26.xml"/><Relationship Id="rId368" Type="http://schemas.openxmlformats.org/officeDocument/2006/relationships/footer" Target="footer25.xml"/><Relationship Id="rId369" Type="http://schemas.openxmlformats.org/officeDocument/2006/relationships/footer" Target="footer26.xml"/><Relationship Id="rId370" Type="http://schemas.openxmlformats.org/officeDocument/2006/relationships/image" Target="media/image313.png"/><Relationship Id="rId371" Type="http://schemas.openxmlformats.org/officeDocument/2006/relationships/image" Target="media/image314.png"/><Relationship Id="rId372" Type="http://schemas.openxmlformats.org/officeDocument/2006/relationships/image" Target="media/image315.png"/><Relationship Id="rId373" Type="http://schemas.openxmlformats.org/officeDocument/2006/relationships/image" Target="media/image316.png"/><Relationship Id="rId374" Type="http://schemas.openxmlformats.org/officeDocument/2006/relationships/header" Target="header27.xml"/><Relationship Id="rId375" Type="http://schemas.openxmlformats.org/officeDocument/2006/relationships/header" Target="header28.xml"/><Relationship Id="rId376" Type="http://schemas.openxmlformats.org/officeDocument/2006/relationships/footer" Target="footer27.xml"/><Relationship Id="rId377" Type="http://schemas.openxmlformats.org/officeDocument/2006/relationships/footer" Target="footer28.xml"/><Relationship Id="rId378" Type="http://schemas.openxmlformats.org/officeDocument/2006/relationships/image" Target="media/image317.jpeg"/><Relationship Id="rId379" Type="http://schemas.openxmlformats.org/officeDocument/2006/relationships/header" Target="header29.xml"/><Relationship Id="rId380" Type="http://schemas.openxmlformats.org/officeDocument/2006/relationships/image" Target="media/image318.png"/><Relationship Id="rId381" Type="http://schemas.openxmlformats.org/officeDocument/2006/relationships/image" Target="media/image319.png"/><Relationship Id="rId382" Type="http://schemas.openxmlformats.org/officeDocument/2006/relationships/image" Target="media/image320.png"/><Relationship Id="rId383" Type="http://schemas.openxmlformats.org/officeDocument/2006/relationships/image" Target="media/image321.png"/><Relationship Id="rId384" Type="http://schemas.openxmlformats.org/officeDocument/2006/relationships/image" Target="media/image322.png"/><Relationship Id="rId385" Type="http://schemas.openxmlformats.org/officeDocument/2006/relationships/image" Target="media/image323.png"/><Relationship Id="rId386" Type="http://schemas.openxmlformats.org/officeDocument/2006/relationships/image" Target="media/image324.png"/><Relationship Id="rId387" Type="http://schemas.openxmlformats.org/officeDocument/2006/relationships/image" Target="media/image325.png"/><Relationship Id="rId388" Type="http://schemas.openxmlformats.org/officeDocument/2006/relationships/image" Target="media/image326.png"/><Relationship Id="rId389" Type="http://schemas.openxmlformats.org/officeDocument/2006/relationships/image" Target="media/image327.png"/><Relationship Id="rId390" Type="http://schemas.openxmlformats.org/officeDocument/2006/relationships/image" Target="media/image328.png"/><Relationship Id="rId391" Type="http://schemas.openxmlformats.org/officeDocument/2006/relationships/image" Target="media/image329.png"/><Relationship Id="rId392" Type="http://schemas.openxmlformats.org/officeDocument/2006/relationships/image" Target="media/image330.png"/><Relationship Id="rId393" Type="http://schemas.openxmlformats.org/officeDocument/2006/relationships/image" Target="media/image331.png"/><Relationship Id="rId394" Type="http://schemas.openxmlformats.org/officeDocument/2006/relationships/image" Target="media/image332.png"/><Relationship Id="rId395" Type="http://schemas.openxmlformats.org/officeDocument/2006/relationships/image" Target="media/image333.png"/><Relationship Id="rId396" Type="http://schemas.openxmlformats.org/officeDocument/2006/relationships/image" Target="media/image334.png"/><Relationship Id="rId397" Type="http://schemas.openxmlformats.org/officeDocument/2006/relationships/image" Target="media/image335.png"/><Relationship Id="rId398" Type="http://schemas.openxmlformats.org/officeDocument/2006/relationships/image" Target="media/image336.png"/><Relationship Id="rId399" Type="http://schemas.openxmlformats.org/officeDocument/2006/relationships/image" Target="media/image337.png"/><Relationship Id="rId400" Type="http://schemas.openxmlformats.org/officeDocument/2006/relationships/image" Target="media/image338.png"/><Relationship Id="rId401" Type="http://schemas.openxmlformats.org/officeDocument/2006/relationships/image" Target="media/image339.png"/><Relationship Id="rId402" Type="http://schemas.openxmlformats.org/officeDocument/2006/relationships/image" Target="media/image340.png"/><Relationship Id="rId403" Type="http://schemas.openxmlformats.org/officeDocument/2006/relationships/image" Target="media/image341.png"/><Relationship Id="rId404" Type="http://schemas.openxmlformats.org/officeDocument/2006/relationships/image" Target="media/image342.png"/><Relationship Id="rId405" Type="http://schemas.openxmlformats.org/officeDocument/2006/relationships/image" Target="media/image343.png"/><Relationship Id="rId406" Type="http://schemas.openxmlformats.org/officeDocument/2006/relationships/image" Target="media/image344.png"/><Relationship Id="rId407" Type="http://schemas.openxmlformats.org/officeDocument/2006/relationships/image" Target="media/image345.png"/><Relationship Id="rId408" Type="http://schemas.openxmlformats.org/officeDocument/2006/relationships/image" Target="media/image346.png"/><Relationship Id="rId409" Type="http://schemas.openxmlformats.org/officeDocument/2006/relationships/image" Target="media/image347.png"/><Relationship Id="rId410" Type="http://schemas.openxmlformats.org/officeDocument/2006/relationships/image" Target="media/image348.png"/><Relationship Id="rId411" Type="http://schemas.openxmlformats.org/officeDocument/2006/relationships/image" Target="media/image349.png"/><Relationship Id="rId412" Type="http://schemas.openxmlformats.org/officeDocument/2006/relationships/image" Target="media/image350.png"/><Relationship Id="rId413" Type="http://schemas.openxmlformats.org/officeDocument/2006/relationships/image" Target="media/image351.png"/><Relationship Id="rId414" Type="http://schemas.openxmlformats.org/officeDocument/2006/relationships/image" Target="media/image352.png"/><Relationship Id="rId415" Type="http://schemas.openxmlformats.org/officeDocument/2006/relationships/image" Target="media/image353.png"/><Relationship Id="rId416" Type="http://schemas.openxmlformats.org/officeDocument/2006/relationships/image" Target="media/image354.png"/><Relationship Id="rId417" Type="http://schemas.openxmlformats.org/officeDocument/2006/relationships/image" Target="media/image355.png"/><Relationship Id="rId418" Type="http://schemas.openxmlformats.org/officeDocument/2006/relationships/header" Target="header30.xml"/><Relationship Id="rId419" Type="http://schemas.openxmlformats.org/officeDocument/2006/relationships/header" Target="header31.xml"/><Relationship Id="rId420" Type="http://schemas.openxmlformats.org/officeDocument/2006/relationships/footer" Target="footer29.xml"/><Relationship Id="rId421" Type="http://schemas.openxmlformats.org/officeDocument/2006/relationships/footer" Target="footer30.xml"/><Relationship Id="rId422" Type="http://schemas.openxmlformats.org/officeDocument/2006/relationships/image" Target="media/image356.png"/><Relationship Id="rId423" Type="http://schemas.openxmlformats.org/officeDocument/2006/relationships/header" Target="header32.xml"/><Relationship Id="rId424" Type="http://schemas.openxmlformats.org/officeDocument/2006/relationships/header" Target="header33.xml"/><Relationship Id="rId425" Type="http://schemas.openxmlformats.org/officeDocument/2006/relationships/footer" Target="footer31.xml"/><Relationship Id="rId426" Type="http://schemas.openxmlformats.org/officeDocument/2006/relationships/footer" Target="footer32.xml"/><Relationship Id="rId427" Type="http://schemas.openxmlformats.org/officeDocument/2006/relationships/header" Target="header34.xml"/><Relationship Id="rId428" Type="http://schemas.openxmlformats.org/officeDocument/2006/relationships/header" Target="header35.xml"/><Relationship Id="rId429" Type="http://schemas.openxmlformats.org/officeDocument/2006/relationships/footer" Target="footer33.xml"/><Relationship Id="rId430" Type="http://schemas.openxmlformats.org/officeDocument/2006/relationships/footer" Target="footer34.xml"/><Relationship Id="rId431" Type="http://schemas.openxmlformats.org/officeDocument/2006/relationships/header" Target="header36.xml"/><Relationship Id="rId432" Type="http://schemas.openxmlformats.org/officeDocument/2006/relationships/header" Target="header37.xml"/><Relationship Id="rId433" Type="http://schemas.openxmlformats.org/officeDocument/2006/relationships/footer" Target="footer35.xml"/><Relationship Id="rId434" Type="http://schemas.openxmlformats.org/officeDocument/2006/relationships/footer" Target="footer36.xml"/><Relationship Id="rId435" Type="http://schemas.openxmlformats.org/officeDocument/2006/relationships/image" Target="media/image357.png"/><Relationship Id="rId436" Type="http://schemas.openxmlformats.org/officeDocument/2006/relationships/image" Target="media/image358.png"/><Relationship Id="rId437" Type="http://schemas.openxmlformats.org/officeDocument/2006/relationships/image" Target="media/image359.png"/><Relationship Id="rId438" Type="http://schemas.openxmlformats.org/officeDocument/2006/relationships/image" Target="media/image360.png"/><Relationship Id="rId439" Type="http://schemas.openxmlformats.org/officeDocument/2006/relationships/image" Target="media/image361.png"/><Relationship Id="rId440" Type="http://schemas.openxmlformats.org/officeDocument/2006/relationships/image" Target="media/image362.png"/><Relationship Id="rId441" Type="http://schemas.openxmlformats.org/officeDocument/2006/relationships/image" Target="media/image363.png"/><Relationship Id="rId442" Type="http://schemas.openxmlformats.org/officeDocument/2006/relationships/image" Target="media/image364.png"/><Relationship Id="rId443" Type="http://schemas.openxmlformats.org/officeDocument/2006/relationships/image" Target="media/image365.png"/><Relationship Id="rId444" Type="http://schemas.openxmlformats.org/officeDocument/2006/relationships/image" Target="media/image366.png"/><Relationship Id="rId445" Type="http://schemas.openxmlformats.org/officeDocument/2006/relationships/header" Target="header38.xml"/><Relationship Id="rId446" Type="http://schemas.openxmlformats.org/officeDocument/2006/relationships/image" Target="media/image367.png"/><Relationship Id="rId447" Type="http://schemas.openxmlformats.org/officeDocument/2006/relationships/image" Target="media/image368.png"/><Relationship Id="rId448" Type="http://schemas.openxmlformats.org/officeDocument/2006/relationships/image" Target="media/image369.png"/><Relationship Id="rId449" Type="http://schemas.openxmlformats.org/officeDocument/2006/relationships/image" Target="media/image370.png"/><Relationship Id="rId450" Type="http://schemas.openxmlformats.org/officeDocument/2006/relationships/image" Target="media/image371.png"/><Relationship Id="rId451" Type="http://schemas.openxmlformats.org/officeDocument/2006/relationships/image" Target="media/image372.png"/><Relationship Id="rId452" Type="http://schemas.openxmlformats.org/officeDocument/2006/relationships/image" Target="media/image373.png"/><Relationship Id="rId453" Type="http://schemas.openxmlformats.org/officeDocument/2006/relationships/image" Target="media/image374.png"/><Relationship Id="rId454" Type="http://schemas.openxmlformats.org/officeDocument/2006/relationships/header" Target="header39.xml"/><Relationship Id="rId455" Type="http://schemas.openxmlformats.org/officeDocument/2006/relationships/footer" Target="footer37.xml"/><Relationship Id="rId456" Type="http://schemas.openxmlformats.org/officeDocument/2006/relationships/footer" Target="footer38.xml"/><Relationship Id="rId457" Type="http://schemas.openxmlformats.org/officeDocument/2006/relationships/header" Target="header40.xml"/><Relationship Id="rId458" Type="http://schemas.openxmlformats.org/officeDocument/2006/relationships/image" Target="media/image375.jpeg"/><Relationship Id="rId459" Type="http://schemas.openxmlformats.org/officeDocument/2006/relationships/header" Target="header41.xml"/><Relationship Id="rId460" Type="http://schemas.openxmlformats.org/officeDocument/2006/relationships/footer" Target="footer39.xml"/><Relationship Id="rId461" Type="http://schemas.openxmlformats.org/officeDocument/2006/relationships/footer" Target="footer40.xml"/><Relationship Id="rId462" Type="http://schemas.openxmlformats.org/officeDocument/2006/relationships/image" Target="media/image376.png"/><Relationship Id="rId463" Type="http://schemas.openxmlformats.org/officeDocument/2006/relationships/image" Target="media/image377.png"/><Relationship Id="rId464" Type="http://schemas.openxmlformats.org/officeDocument/2006/relationships/image" Target="media/image378.png"/><Relationship Id="rId465" Type="http://schemas.openxmlformats.org/officeDocument/2006/relationships/header" Target="header42.xml"/><Relationship Id="rId466" Type="http://schemas.openxmlformats.org/officeDocument/2006/relationships/image" Target="media/image379.png"/><Relationship Id="rId467" Type="http://schemas.openxmlformats.org/officeDocument/2006/relationships/image" Target="media/image380.png"/><Relationship Id="rId468" Type="http://schemas.openxmlformats.org/officeDocument/2006/relationships/header" Target="header43.xml"/><Relationship Id="rId469" Type="http://schemas.openxmlformats.org/officeDocument/2006/relationships/footer" Target="footer41.xml"/><Relationship Id="rId470" Type="http://schemas.openxmlformats.org/officeDocument/2006/relationships/footer" Target="footer42.xml"/><Relationship Id="rId471" Type="http://schemas.openxmlformats.org/officeDocument/2006/relationships/image" Target="media/image381.png"/><Relationship Id="rId472" Type="http://schemas.openxmlformats.org/officeDocument/2006/relationships/image" Target="media/image382.png"/><Relationship Id="rId473" Type="http://schemas.openxmlformats.org/officeDocument/2006/relationships/image" Target="media/image383.png"/><Relationship Id="rId474" Type="http://schemas.openxmlformats.org/officeDocument/2006/relationships/image" Target="media/image384.png"/><Relationship Id="rId475" Type="http://schemas.openxmlformats.org/officeDocument/2006/relationships/image" Target="media/image385.png"/><Relationship Id="rId476" Type="http://schemas.openxmlformats.org/officeDocument/2006/relationships/image" Target="media/image386.png"/><Relationship Id="rId477" Type="http://schemas.openxmlformats.org/officeDocument/2006/relationships/image" Target="media/image387.png"/><Relationship Id="rId478" Type="http://schemas.openxmlformats.org/officeDocument/2006/relationships/image" Target="media/image388.png"/><Relationship Id="rId479" Type="http://schemas.openxmlformats.org/officeDocument/2006/relationships/image" Target="media/image389.png"/><Relationship Id="rId480" Type="http://schemas.openxmlformats.org/officeDocument/2006/relationships/image" Target="media/image390.png"/><Relationship Id="rId481" Type="http://schemas.openxmlformats.org/officeDocument/2006/relationships/header" Target="header44.xml"/><Relationship Id="rId482" Type="http://schemas.openxmlformats.org/officeDocument/2006/relationships/header" Target="header45.xml"/><Relationship Id="rId483" Type="http://schemas.openxmlformats.org/officeDocument/2006/relationships/footer" Target="footer43.xml"/><Relationship Id="rId484" Type="http://schemas.openxmlformats.org/officeDocument/2006/relationships/footer" Target="footer44.xml"/><Relationship Id="rId485" Type="http://schemas.openxmlformats.org/officeDocument/2006/relationships/image" Target="media/image391.png"/><Relationship Id="rId486" Type="http://schemas.openxmlformats.org/officeDocument/2006/relationships/header" Target="header46.xml"/><Relationship Id="rId487" Type="http://schemas.openxmlformats.org/officeDocument/2006/relationships/image" Target="media/image392.png"/><Relationship Id="rId488" Type="http://schemas.openxmlformats.org/officeDocument/2006/relationships/image" Target="media/image393.png"/><Relationship Id="rId489" Type="http://schemas.openxmlformats.org/officeDocument/2006/relationships/image" Target="media/image394.png"/><Relationship Id="rId490" Type="http://schemas.openxmlformats.org/officeDocument/2006/relationships/image" Target="media/image395.png"/><Relationship Id="rId491" Type="http://schemas.openxmlformats.org/officeDocument/2006/relationships/image" Target="media/image396.png"/><Relationship Id="rId492" Type="http://schemas.openxmlformats.org/officeDocument/2006/relationships/image" Target="media/image397.png"/><Relationship Id="rId493" Type="http://schemas.openxmlformats.org/officeDocument/2006/relationships/image" Target="media/image398.png"/><Relationship Id="rId494" Type="http://schemas.openxmlformats.org/officeDocument/2006/relationships/image" Target="media/image399.png"/><Relationship Id="rId495" Type="http://schemas.openxmlformats.org/officeDocument/2006/relationships/image" Target="media/image400.png"/><Relationship Id="rId496" Type="http://schemas.openxmlformats.org/officeDocument/2006/relationships/image" Target="media/image401.png"/><Relationship Id="rId497" Type="http://schemas.openxmlformats.org/officeDocument/2006/relationships/image" Target="media/image402.png"/><Relationship Id="rId498" Type="http://schemas.openxmlformats.org/officeDocument/2006/relationships/image" Target="media/image403.png"/><Relationship Id="rId499" Type="http://schemas.openxmlformats.org/officeDocument/2006/relationships/image" Target="media/image404.png"/><Relationship Id="rId500" Type="http://schemas.openxmlformats.org/officeDocument/2006/relationships/image" Target="media/image405.png"/><Relationship Id="rId501" Type="http://schemas.openxmlformats.org/officeDocument/2006/relationships/image" Target="media/image406.png"/><Relationship Id="rId502" Type="http://schemas.openxmlformats.org/officeDocument/2006/relationships/header" Target="header47.xml"/><Relationship Id="rId503" Type="http://schemas.openxmlformats.org/officeDocument/2006/relationships/footer" Target="footer45.xml"/><Relationship Id="rId504" Type="http://schemas.openxmlformats.org/officeDocument/2006/relationships/footer" Target="footer46.xml"/><Relationship Id="rId505" Type="http://schemas.openxmlformats.org/officeDocument/2006/relationships/header" Target="header48.xml"/><Relationship Id="rId506" Type="http://schemas.openxmlformats.org/officeDocument/2006/relationships/image" Target="media/image407.png"/><Relationship Id="rId507" Type="http://schemas.openxmlformats.org/officeDocument/2006/relationships/image" Target="media/image408.png"/><Relationship Id="rId508" Type="http://schemas.openxmlformats.org/officeDocument/2006/relationships/image" Target="media/image409.png"/><Relationship Id="rId509" Type="http://schemas.openxmlformats.org/officeDocument/2006/relationships/image" Target="media/image410.png"/><Relationship Id="rId510" Type="http://schemas.openxmlformats.org/officeDocument/2006/relationships/image" Target="media/image411.png"/><Relationship Id="rId511" Type="http://schemas.openxmlformats.org/officeDocument/2006/relationships/image" Target="media/image412.png"/><Relationship Id="rId512" Type="http://schemas.openxmlformats.org/officeDocument/2006/relationships/image" Target="media/image413.png"/><Relationship Id="rId513" Type="http://schemas.openxmlformats.org/officeDocument/2006/relationships/image" Target="media/image414.png"/><Relationship Id="rId514" Type="http://schemas.openxmlformats.org/officeDocument/2006/relationships/image" Target="media/image415.png"/><Relationship Id="rId515" Type="http://schemas.openxmlformats.org/officeDocument/2006/relationships/image" Target="media/image416.png"/><Relationship Id="rId516" Type="http://schemas.openxmlformats.org/officeDocument/2006/relationships/image" Target="media/image417.png"/><Relationship Id="rId517" Type="http://schemas.openxmlformats.org/officeDocument/2006/relationships/image" Target="media/image418.png"/><Relationship Id="rId518" Type="http://schemas.openxmlformats.org/officeDocument/2006/relationships/image" Target="media/image419.png"/><Relationship Id="rId519" Type="http://schemas.openxmlformats.org/officeDocument/2006/relationships/image" Target="media/image420.png"/><Relationship Id="rId520" Type="http://schemas.openxmlformats.org/officeDocument/2006/relationships/image" Target="media/image421.png"/><Relationship Id="rId521" Type="http://schemas.openxmlformats.org/officeDocument/2006/relationships/image" Target="media/image422.png"/><Relationship Id="rId522" Type="http://schemas.openxmlformats.org/officeDocument/2006/relationships/image" Target="media/image423.png"/><Relationship Id="rId523" Type="http://schemas.openxmlformats.org/officeDocument/2006/relationships/image" Target="media/image424.png"/><Relationship Id="rId524" Type="http://schemas.openxmlformats.org/officeDocument/2006/relationships/image" Target="media/image425.png"/><Relationship Id="rId525" Type="http://schemas.openxmlformats.org/officeDocument/2006/relationships/image" Target="media/image426.png"/><Relationship Id="rId526" Type="http://schemas.openxmlformats.org/officeDocument/2006/relationships/image" Target="media/image427.png"/><Relationship Id="rId527" Type="http://schemas.openxmlformats.org/officeDocument/2006/relationships/image" Target="media/image428.png"/><Relationship Id="rId528" Type="http://schemas.openxmlformats.org/officeDocument/2006/relationships/image" Target="media/image429.png"/><Relationship Id="rId529" Type="http://schemas.openxmlformats.org/officeDocument/2006/relationships/image" Target="media/image430.png"/><Relationship Id="rId530" Type="http://schemas.openxmlformats.org/officeDocument/2006/relationships/image" Target="media/image431.png"/><Relationship Id="rId531" Type="http://schemas.openxmlformats.org/officeDocument/2006/relationships/image" Target="media/image432.png"/><Relationship Id="rId532" Type="http://schemas.openxmlformats.org/officeDocument/2006/relationships/image" Target="media/image433.png"/><Relationship Id="rId533" Type="http://schemas.openxmlformats.org/officeDocument/2006/relationships/image" Target="media/image434.png"/><Relationship Id="rId534" Type="http://schemas.openxmlformats.org/officeDocument/2006/relationships/image" Target="media/image435.png"/><Relationship Id="rId535" Type="http://schemas.openxmlformats.org/officeDocument/2006/relationships/image" Target="media/image436.png"/><Relationship Id="rId536" Type="http://schemas.openxmlformats.org/officeDocument/2006/relationships/image" Target="media/image437.png"/><Relationship Id="rId537" Type="http://schemas.openxmlformats.org/officeDocument/2006/relationships/image" Target="media/image438.png"/><Relationship Id="rId538" Type="http://schemas.openxmlformats.org/officeDocument/2006/relationships/image" Target="media/image439.png"/><Relationship Id="rId539" Type="http://schemas.openxmlformats.org/officeDocument/2006/relationships/image" Target="media/image440.png"/><Relationship Id="rId540" Type="http://schemas.openxmlformats.org/officeDocument/2006/relationships/image" Target="media/image441.png"/><Relationship Id="rId541" Type="http://schemas.openxmlformats.org/officeDocument/2006/relationships/image" Target="media/image442.png"/><Relationship Id="rId542" Type="http://schemas.openxmlformats.org/officeDocument/2006/relationships/image" Target="media/image443.png"/><Relationship Id="rId543" Type="http://schemas.openxmlformats.org/officeDocument/2006/relationships/image" Target="media/image444.png"/><Relationship Id="rId544" Type="http://schemas.openxmlformats.org/officeDocument/2006/relationships/image" Target="media/image445.png"/><Relationship Id="rId545" Type="http://schemas.openxmlformats.org/officeDocument/2006/relationships/image" Target="media/image446.png"/><Relationship Id="rId546" Type="http://schemas.openxmlformats.org/officeDocument/2006/relationships/image" Target="media/image447.png"/><Relationship Id="rId547" Type="http://schemas.openxmlformats.org/officeDocument/2006/relationships/image" Target="media/image448.png"/><Relationship Id="rId548" Type="http://schemas.openxmlformats.org/officeDocument/2006/relationships/image" Target="media/image449.png"/><Relationship Id="rId549" Type="http://schemas.openxmlformats.org/officeDocument/2006/relationships/image" Target="media/image450.png"/><Relationship Id="rId550" Type="http://schemas.openxmlformats.org/officeDocument/2006/relationships/image" Target="media/image451.png"/><Relationship Id="rId551" Type="http://schemas.openxmlformats.org/officeDocument/2006/relationships/image" Target="media/image452.png"/><Relationship Id="rId552" Type="http://schemas.openxmlformats.org/officeDocument/2006/relationships/image" Target="media/image453.png"/><Relationship Id="rId553" Type="http://schemas.openxmlformats.org/officeDocument/2006/relationships/image" Target="media/image454.png"/><Relationship Id="rId554" Type="http://schemas.openxmlformats.org/officeDocument/2006/relationships/header" Target="header49.xml"/><Relationship Id="rId555" Type="http://schemas.openxmlformats.org/officeDocument/2006/relationships/footer" Target="footer47.xml"/><Relationship Id="rId556" Type="http://schemas.openxmlformats.org/officeDocument/2006/relationships/footer" Target="footer48.xml"/><Relationship Id="rId557" Type="http://schemas.openxmlformats.org/officeDocument/2006/relationships/image" Target="media/image455.png"/><Relationship Id="rId558" Type="http://schemas.openxmlformats.org/officeDocument/2006/relationships/image" Target="media/image456.png"/><Relationship Id="rId559" Type="http://schemas.openxmlformats.org/officeDocument/2006/relationships/image" Target="media/image457.png"/><Relationship Id="rId560" Type="http://schemas.openxmlformats.org/officeDocument/2006/relationships/image" Target="media/image458.png"/><Relationship Id="rId561" Type="http://schemas.openxmlformats.org/officeDocument/2006/relationships/image" Target="media/image459.png"/><Relationship Id="rId562" Type="http://schemas.openxmlformats.org/officeDocument/2006/relationships/image" Target="media/image460.png"/><Relationship Id="rId563" Type="http://schemas.openxmlformats.org/officeDocument/2006/relationships/image" Target="media/image461.png"/><Relationship Id="rId564" Type="http://schemas.openxmlformats.org/officeDocument/2006/relationships/image" Target="media/image462.png"/><Relationship Id="rId565" Type="http://schemas.openxmlformats.org/officeDocument/2006/relationships/image" Target="media/image463.png"/><Relationship Id="rId566" Type="http://schemas.openxmlformats.org/officeDocument/2006/relationships/image" Target="media/image464.png"/><Relationship Id="rId567" Type="http://schemas.openxmlformats.org/officeDocument/2006/relationships/image" Target="media/image465.png"/><Relationship Id="rId568" Type="http://schemas.openxmlformats.org/officeDocument/2006/relationships/image" Target="media/image466.png"/><Relationship Id="rId569" Type="http://schemas.openxmlformats.org/officeDocument/2006/relationships/image" Target="media/image467.png"/><Relationship Id="rId570" Type="http://schemas.openxmlformats.org/officeDocument/2006/relationships/image" Target="media/image468.png"/><Relationship Id="rId571" Type="http://schemas.openxmlformats.org/officeDocument/2006/relationships/image" Target="media/image469.png"/><Relationship Id="rId572" Type="http://schemas.openxmlformats.org/officeDocument/2006/relationships/image" Target="media/image470.png"/><Relationship Id="rId573" Type="http://schemas.openxmlformats.org/officeDocument/2006/relationships/image" Target="media/image471.png"/><Relationship Id="rId574" Type="http://schemas.openxmlformats.org/officeDocument/2006/relationships/image" Target="media/image472.png"/><Relationship Id="rId575" Type="http://schemas.openxmlformats.org/officeDocument/2006/relationships/image" Target="media/image473.png"/><Relationship Id="rId576" Type="http://schemas.openxmlformats.org/officeDocument/2006/relationships/image" Target="media/image474.png"/><Relationship Id="rId577" Type="http://schemas.openxmlformats.org/officeDocument/2006/relationships/image" Target="media/image475.png"/><Relationship Id="rId578" Type="http://schemas.openxmlformats.org/officeDocument/2006/relationships/image" Target="media/image476.png"/><Relationship Id="rId579" Type="http://schemas.openxmlformats.org/officeDocument/2006/relationships/image" Target="media/image477.png"/><Relationship Id="rId580" Type="http://schemas.openxmlformats.org/officeDocument/2006/relationships/image" Target="media/image478.png"/><Relationship Id="rId581" Type="http://schemas.openxmlformats.org/officeDocument/2006/relationships/image" Target="media/image479.png"/><Relationship Id="rId582" Type="http://schemas.openxmlformats.org/officeDocument/2006/relationships/image" Target="media/image480.png"/><Relationship Id="rId583" Type="http://schemas.openxmlformats.org/officeDocument/2006/relationships/image" Target="media/image481.png"/><Relationship Id="rId584" Type="http://schemas.openxmlformats.org/officeDocument/2006/relationships/image" Target="media/image482.png"/><Relationship Id="rId585" Type="http://schemas.openxmlformats.org/officeDocument/2006/relationships/image" Target="media/image483.png"/><Relationship Id="rId586" Type="http://schemas.openxmlformats.org/officeDocument/2006/relationships/image" Target="media/image484.png"/><Relationship Id="rId587" Type="http://schemas.openxmlformats.org/officeDocument/2006/relationships/image" Target="media/image485.png"/><Relationship Id="rId588" Type="http://schemas.openxmlformats.org/officeDocument/2006/relationships/image" Target="media/image486.png"/><Relationship Id="rId589" Type="http://schemas.openxmlformats.org/officeDocument/2006/relationships/image" Target="media/image487.png"/><Relationship Id="rId590" Type="http://schemas.openxmlformats.org/officeDocument/2006/relationships/image" Target="media/image488.png"/><Relationship Id="rId591" Type="http://schemas.openxmlformats.org/officeDocument/2006/relationships/image" Target="media/image489.png"/><Relationship Id="rId592" Type="http://schemas.openxmlformats.org/officeDocument/2006/relationships/image" Target="media/image490.png"/><Relationship Id="rId593" Type="http://schemas.openxmlformats.org/officeDocument/2006/relationships/image" Target="media/image491.png"/><Relationship Id="rId594" Type="http://schemas.openxmlformats.org/officeDocument/2006/relationships/image" Target="media/image492.png"/><Relationship Id="rId595" Type="http://schemas.openxmlformats.org/officeDocument/2006/relationships/header" Target="header50.xml"/><Relationship Id="rId596" Type="http://schemas.openxmlformats.org/officeDocument/2006/relationships/image" Target="media/image493.png"/><Relationship Id="rId597" Type="http://schemas.openxmlformats.org/officeDocument/2006/relationships/image" Target="media/image494.png"/><Relationship Id="rId598" Type="http://schemas.openxmlformats.org/officeDocument/2006/relationships/image" Target="media/image495.png"/><Relationship Id="rId599" Type="http://schemas.openxmlformats.org/officeDocument/2006/relationships/image" Target="media/image496.png"/><Relationship Id="rId600" Type="http://schemas.openxmlformats.org/officeDocument/2006/relationships/image" Target="media/image497.png"/><Relationship Id="rId601" Type="http://schemas.openxmlformats.org/officeDocument/2006/relationships/image" Target="media/image498.png"/><Relationship Id="rId602" Type="http://schemas.openxmlformats.org/officeDocument/2006/relationships/image" Target="media/image499.png"/><Relationship Id="rId603" Type="http://schemas.openxmlformats.org/officeDocument/2006/relationships/image" Target="media/image500.png"/><Relationship Id="rId604" Type="http://schemas.openxmlformats.org/officeDocument/2006/relationships/image" Target="media/image501.png"/><Relationship Id="rId605" Type="http://schemas.openxmlformats.org/officeDocument/2006/relationships/image" Target="media/image502.png"/><Relationship Id="rId606" Type="http://schemas.openxmlformats.org/officeDocument/2006/relationships/image" Target="media/image503.png"/><Relationship Id="rId607" Type="http://schemas.openxmlformats.org/officeDocument/2006/relationships/image" Target="media/image504.png"/><Relationship Id="rId608" Type="http://schemas.openxmlformats.org/officeDocument/2006/relationships/image" Target="media/image505.png"/><Relationship Id="rId609" Type="http://schemas.openxmlformats.org/officeDocument/2006/relationships/image" Target="media/image506.png"/><Relationship Id="rId610" Type="http://schemas.openxmlformats.org/officeDocument/2006/relationships/image" Target="media/image507.png"/><Relationship Id="rId611" Type="http://schemas.openxmlformats.org/officeDocument/2006/relationships/image" Target="media/image508.png"/><Relationship Id="rId612" Type="http://schemas.openxmlformats.org/officeDocument/2006/relationships/image" Target="media/image509.png"/><Relationship Id="rId613" Type="http://schemas.openxmlformats.org/officeDocument/2006/relationships/image" Target="media/image510.png"/><Relationship Id="rId614" Type="http://schemas.openxmlformats.org/officeDocument/2006/relationships/image" Target="media/image511.png"/><Relationship Id="rId615" Type="http://schemas.openxmlformats.org/officeDocument/2006/relationships/image" Target="media/image512.png"/><Relationship Id="rId616" Type="http://schemas.openxmlformats.org/officeDocument/2006/relationships/image" Target="media/image513.png"/><Relationship Id="rId617" Type="http://schemas.openxmlformats.org/officeDocument/2006/relationships/image" Target="media/image514.png"/><Relationship Id="rId618" Type="http://schemas.openxmlformats.org/officeDocument/2006/relationships/image" Target="media/image515.png"/><Relationship Id="rId619" Type="http://schemas.openxmlformats.org/officeDocument/2006/relationships/image" Target="media/image516.png"/><Relationship Id="rId620" Type="http://schemas.openxmlformats.org/officeDocument/2006/relationships/image" Target="media/image517.png"/><Relationship Id="rId621" Type="http://schemas.openxmlformats.org/officeDocument/2006/relationships/image" Target="media/image518.png"/><Relationship Id="rId622" Type="http://schemas.openxmlformats.org/officeDocument/2006/relationships/image" Target="media/image519.png"/><Relationship Id="rId623" Type="http://schemas.openxmlformats.org/officeDocument/2006/relationships/image" Target="media/image520.png"/><Relationship Id="rId624" Type="http://schemas.openxmlformats.org/officeDocument/2006/relationships/image" Target="media/image521.png"/><Relationship Id="rId625" Type="http://schemas.openxmlformats.org/officeDocument/2006/relationships/image" Target="media/image522.png"/><Relationship Id="rId626" Type="http://schemas.openxmlformats.org/officeDocument/2006/relationships/image" Target="media/image523.png"/><Relationship Id="rId627" Type="http://schemas.openxmlformats.org/officeDocument/2006/relationships/image" Target="media/image524.png"/><Relationship Id="rId628" Type="http://schemas.openxmlformats.org/officeDocument/2006/relationships/image" Target="media/image525.png"/><Relationship Id="rId629" Type="http://schemas.openxmlformats.org/officeDocument/2006/relationships/image" Target="media/image526.png"/><Relationship Id="rId630" Type="http://schemas.openxmlformats.org/officeDocument/2006/relationships/image" Target="media/image527.png"/><Relationship Id="rId631" Type="http://schemas.openxmlformats.org/officeDocument/2006/relationships/image" Target="media/image528.png"/><Relationship Id="rId632" Type="http://schemas.openxmlformats.org/officeDocument/2006/relationships/image" Target="media/image529.png"/><Relationship Id="rId633" Type="http://schemas.openxmlformats.org/officeDocument/2006/relationships/image" Target="media/image530.png"/><Relationship Id="rId634" Type="http://schemas.openxmlformats.org/officeDocument/2006/relationships/header" Target="header51.xml"/><Relationship Id="rId635" Type="http://schemas.openxmlformats.org/officeDocument/2006/relationships/footer" Target="footer49.xml"/><Relationship Id="rId636" Type="http://schemas.openxmlformats.org/officeDocument/2006/relationships/footer" Target="footer50.xml"/><Relationship Id="rId637" Type="http://schemas.openxmlformats.org/officeDocument/2006/relationships/image" Target="media/image531.png"/><Relationship Id="rId638" Type="http://schemas.openxmlformats.org/officeDocument/2006/relationships/image" Target="media/image532.png"/><Relationship Id="rId639" Type="http://schemas.openxmlformats.org/officeDocument/2006/relationships/image" Target="media/image533.png"/><Relationship Id="rId640" Type="http://schemas.openxmlformats.org/officeDocument/2006/relationships/image" Target="media/image534.png"/><Relationship Id="rId641" Type="http://schemas.openxmlformats.org/officeDocument/2006/relationships/image" Target="media/image535.png"/><Relationship Id="rId642" Type="http://schemas.openxmlformats.org/officeDocument/2006/relationships/image" Target="media/image536.png"/><Relationship Id="rId643" Type="http://schemas.openxmlformats.org/officeDocument/2006/relationships/image" Target="media/image537.png"/><Relationship Id="rId644" Type="http://schemas.openxmlformats.org/officeDocument/2006/relationships/image" Target="media/image538.png"/><Relationship Id="rId645" Type="http://schemas.openxmlformats.org/officeDocument/2006/relationships/image" Target="media/image539.png"/><Relationship Id="rId646" Type="http://schemas.openxmlformats.org/officeDocument/2006/relationships/image" Target="media/image540.png"/><Relationship Id="rId647" Type="http://schemas.openxmlformats.org/officeDocument/2006/relationships/image" Target="media/image541.png"/><Relationship Id="rId648" Type="http://schemas.openxmlformats.org/officeDocument/2006/relationships/image" Target="media/image542.png"/><Relationship Id="rId649" Type="http://schemas.openxmlformats.org/officeDocument/2006/relationships/image" Target="media/image543.png"/><Relationship Id="rId650" Type="http://schemas.openxmlformats.org/officeDocument/2006/relationships/image" Target="media/image544.png"/><Relationship Id="rId651" Type="http://schemas.openxmlformats.org/officeDocument/2006/relationships/image" Target="media/image545.png"/><Relationship Id="rId652" Type="http://schemas.openxmlformats.org/officeDocument/2006/relationships/header" Target="header52.xml"/><Relationship Id="rId653" Type="http://schemas.openxmlformats.org/officeDocument/2006/relationships/image" Target="media/image546.png"/><Relationship Id="rId654" Type="http://schemas.openxmlformats.org/officeDocument/2006/relationships/image" Target="media/image547.png"/><Relationship Id="rId655" Type="http://schemas.openxmlformats.org/officeDocument/2006/relationships/header" Target="header53.xml"/><Relationship Id="rId656" Type="http://schemas.openxmlformats.org/officeDocument/2006/relationships/footer" Target="footer51.xml"/><Relationship Id="rId657" Type="http://schemas.openxmlformats.org/officeDocument/2006/relationships/footer" Target="footer52.xml"/><Relationship Id="rId658" Type="http://schemas.openxmlformats.org/officeDocument/2006/relationships/image" Target="media/image548.png"/><Relationship Id="rId659" Type="http://schemas.openxmlformats.org/officeDocument/2006/relationships/image" Target="media/image549.png"/><Relationship Id="rId660" Type="http://schemas.openxmlformats.org/officeDocument/2006/relationships/image" Target="media/image550.png"/><Relationship Id="rId661" Type="http://schemas.openxmlformats.org/officeDocument/2006/relationships/image" Target="media/image551.png"/><Relationship Id="rId662" Type="http://schemas.openxmlformats.org/officeDocument/2006/relationships/image" Target="media/image552.png"/><Relationship Id="rId663" Type="http://schemas.openxmlformats.org/officeDocument/2006/relationships/image" Target="media/image553.png"/><Relationship Id="rId664" Type="http://schemas.openxmlformats.org/officeDocument/2006/relationships/image" Target="media/image554.png"/><Relationship Id="rId665" Type="http://schemas.openxmlformats.org/officeDocument/2006/relationships/header" Target="header54.xml"/><Relationship Id="rId666" Type="http://schemas.openxmlformats.org/officeDocument/2006/relationships/image" Target="media/image555.png"/><Relationship Id="rId667" Type="http://schemas.openxmlformats.org/officeDocument/2006/relationships/image" Target="media/image556.png"/><Relationship Id="rId668" Type="http://schemas.openxmlformats.org/officeDocument/2006/relationships/image" Target="media/image557.png"/><Relationship Id="rId669" Type="http://schemas.openxmlformats.org/officeDocument/2006/relationships/image" Target="media/image558.png"/><Relationship Id="rId670" Type="http://schemas.openxmlformats.org/officeDocument/2006/relationships/image" Target="media/image559.png"/><Relationship Id="rId671" Type="http://schemas.openxmlformats.org/officeDocument/2006/relationships/image" Target="media/image560.png"/><Relationship Id="rId672" Type="http://schemas.openxmlformats.org/officeDocument/2006/relationships/image" Target="media/image561.png"/><Relationship Id="rId673" Type="http://schemas.openxmlformats.org/officeDocument/2006/relationships/image" Target="media/image562.png"/><Relationship Id="rId674" Type="http://schemas.openxmlformats.org/officeDocument/2006/relationships/image" Target="media/image563.png"/><Relationship Id="rId675" Type="http://schemas.openxmlformats.org/officeDocument/2006/relationships/image" Target="media/image564.png"/><Relationship Id="rId676" Type="http://schemas.openxmlformats.org/officeDocument/2006/relationships/image" Target="media/image565.png"/><Relationship Id="rId677" Type="http://schemas.openxmlformats.org/officeDocument/2006/relationships/image" Target="media/image566.png"/><Relationship Id="rId678" Type="http://schemas.openxmlformats.org/officeDocument/2006/relationships/image" Target="media/image567.png"/><Relationship Id="rId679" Type="http://schemas.openxmlformats.org/officeDocument/2006/relationships/image" Target="media/image568.png"/><Relationship Id="rId680" Type="http://schemas.openxmlformats.org/officeDocument/2006/relationships/image" Target="media/image569.png"/><Relationship Id="rId681" Type="http://schemas.openxmlformats.org/officeDocument/2006/relationships/image" Target="media/image570.png"/><Relationship Id="rId682" Type="http://schemas.openxmlformats.org/officeDocument/2006/relationships/image" Target="media/image571.png"/><Relationship Id="rId683" Type="http://schemas.openxmlformats.org/officeDocument/2006/relationships/image" Target="media/image572.png"/><Relationship Id="rId684" Type="http://schemas.openxmlformats.org/officeDocument/2006/relationships/image" Target="media/image573.png"/><Relationship Id="rId685" Type="http://schemas.openxmlformats.org/officeDocument/2006/relationships/header" Target="header55.xml"/><Relationship Id="rId686" Type="http://schemas.openxmlformats.org/officeDocument/2006/relationships/footer" Target="footer53.xml"/><Relationship Id="rId687" Type="http://schemas.openxmlformats.org/officeDocument/2006/relationships/footer" Target="footer54.xml"/><Relationship Id="rId688" Type="http://schemas.openxmlformats.org/officeDocument/2006/relationships/header" Target="header56.xml"/><Relationship Id="rId689" Type="http://schemas.openxmlformats.org/officeDocument/2006/relationships/image" Target="media/image574.png"/><Relationship Id="rId690" Type="http://schemas.openxmlformats.org/officeDocument/2006/relationships/image" Target="media/image575.png"/><Relationship Id="rId691" Type="http://schemas.openxmlformats.org/officeDocument/2006/relationships/image" Target="media/image576.png"/><Relationship Id="rId692" Type="http://schemas.openxmlformats.org/officeDocument/2006/relationships/image" Target="media/image577.png"/><Relationship Id="rId693" Type="http://schemas.openxmlformats.org/officeDocument/2006/relationships/image" Target="media/image578.png"/><Relationship Id="rId694" Type="http://schemas.openxmlformats.org/officeDocument/2006/relationships/image" Target="media/image579.png"/><Relationship Id="rId695" Type="http://schemas.openxmlformats.org/officeDocument/2006/relationships/image" Target="media/image580.png"/><Relationship Id="rId696" Type="http://schemas.openxmlformats.org/officeDocument/2006/relationships/image" Target="media/image581.png"/><Relationship Id="rId697" Type="http://schemas.openxmlformats.org/officeDocument/2006/relationships/image" Target="media/image582.png"/><Relationship Id="rId698" Type="http://schemas.openxmlformats.org/officeDocument/2006/relationships/image" Target="media/image583.png"/><Relationship Id="rId699" Type="http://schemas.openxmlformats.org/officeDocument/2006/relationships/image" Target="media/image584.png"/><Relationship Id="rId700" Type="http://schemas.openxmlformats.org/officeDocument/2006/relationships/image" Target="media/image585.png"/><Relationship Id="rId701" Type="http://schemas.openxmlformats.org/officeDocument/2006/relationships/image" Target="media/image586.png"/><Relationship Id="rId702" Type="http://schemas.openxmlformats.org/officeDocument/2006/relationships/image" Target="media/image587.png"/><Relationship Id="rId703" Type="http://schemas.openxmlformats.org/officeDocument/2006/relationships/image" Target="media/image588.png"/><Relationship Id="rId704" Type="http://schemas.openxmlformats.org/officeDocument/2006/relationships/image" Target="media/image589.png"/><Relationship Id="rId705" Type="http://schemas.openxmlformats.org/officeDocument/2006/relationships/image" Target="media/image590.png"/><Relationship Id="rId706" Type="http://schemas.openxmlformats.org/officeDocument/2006/relationships/image" Target="media/image591.png"/><Relationship Id="rId707" Type="http://schemas.openxmlformats.org/officeDocument/2006/relationships/image" Target="media/image592.png"/><Relationship Id="rId708" Type="http://schemas.openxmlformats.org/officeDocument/2006/relationships/header" Target="header57.xml"/><Relationship Id="rId709" Type="http://schemas.openxmlformats.org/officeDocument/2006/relationships/footer" Target="footer55.xml"/><Relationship Id="rId710" Type="http://schemas.openxmlformats.org/officeDocument/2006/relationships/footer" Target="footer56.xml"/><Relationship Id="rId711" Type="http://schemas.openxmlformats.org/officeDocument/2006/relationships/image" Target="media/image593.png"/><Relationship Id="rId712" Type="http://schemas.openxmlformats.org/officeDocument/2006/relationships/image" Target="media/image594.png"/><Relationship Id="rId713" Type="http://schemas.openxmlformats.org/officeDocument/2006/relationships/image" Target="media/image595.png"/><Relationship Id="rId714" Type="http://schemas.openxmlformats.org/officeDocument/2006/relationships/image" Target="media/image596.png"/><Relationship Id="rId715" Type="http://schemas.openxmlformats.org/officeDocument/2006/relationships/image" Target="media/image597.png"/><Relationship Id="rId716" Type="http://schemas.openxmlformats.org/officeDocument/2006/relationships/image" Target="media/image598.png"/><Relationship Id="rId717" Type="http://schemas.openxmlformats.org/officeDocument/2006/relationships/image" Target="media/image599.png"/><Relationship Id="rId718" Type="http://schemas.openxmlformats.org/officeDocument/2006/relationships/image" Target="media/image600.png"/><Relationship Id="rId719" Type="http://schemas.openxmlformats.org/officeDocument/2006/relationships/image" Target="media/image601.png"/><Relationship Id="rId720" Type="http://schemas.openxmlformats.org/officeDocument/2006/relationships/image" Target="media/image602.png"/><Relationship Id="rId721" Type="http://schemas.openxmlformats.org/officeDocument/2006/relationships/image" Target="media/image603.png"/><Relationship Id="rId722" Type="http://schemas.openxmlformats.org/officeDocument/2006/relationships/image" Target="media/image604.png"/><Relationship Id="rId723" Type="http://schemas.openxmlformats.org/officeDocument/2006/relationships/image" Target="media/image605.png"/><Relationship Id="rId724" Type="http://schemas.openxmlformats.org/officeDocument/2006/relationships/image" Target="media/image606.png"/><Relationship Id="rId725" Type="http://schemas.openxmlformats.org/officeDocument/2006/relationships/header" Target="header58.xml"/><Relationship Id="rId726" Type="http://schemas.openxmlformats.org/officeDocument/2006/relationships/header" Target="header59.xml"/><Relationship Id="rId727" Type="http://schemas.openxmlformats.org/officeDocument/2006/relationships/footer" Target="footer57.xml"/><Relationship Id="rId728" Type="http://schemas.openxmlformats.org/officeDocument/2006/relationships/footer" Target="footer58.xml"/><Relationship Id="rId729" Type="http://schemas.openxmlformats.org/officeDocument/2006/relationships/image" Target="media/image607.png"/><Relationship Id="rId730" Type="http://schemas.openxmlformats.org/officeDocument/2006/relationships/image" Target="media/image608.png"/><Relationship Id="rId731" Type="http://schemas.openxmlformats.org/officeDocument/2006/relationships/image" Target="media/image609.png"/><Relationship Id="rId732" Type="http://schemas.openxmlformats.org/officeDocument/2006/relationships/header" Target="header60.xml"/><Relationship Id="rId733" Type="http://schemas.openxmlformats.org/officeDocument/2006/relationships/image" Target="media/image610.png"/><Relationship Id="rId734" Type="http://schemas.openxmlformats.org/officeDocument/2006/relationships/image" Target="media/image611.png"/><Relationship Id="rId735" Type="http://schemas.openxmlformats.org/officeDocument/2006/relationships/image" Target="media/image612.png"/><Relationship Id="rId736" Type="http://schemas.openxmlformats.org/officeDocument/2006/relationships/header" Target="header61.xml"/><Relationship Id="rId737" Type="http://schemas.openxmlformats.org/officeDocument/2006/relationships/footer" Target="footer59.xml"/><Relationship Id="rId738" Type="http://schemas.openxmlformats.org/officeDocument/2006/relationships/footer" Target="footer60.xml"/><Relationship Id="rId739" Type="http://schemas.openxmlformats.org/officeDocument/2006/relationships/header" Target="header62.xml"/><Relationship Id="rId740" Type="http://schemas.openxmlformats.org/officeDocument/2006/relationships/header" Target="header63.xml"/><Relationship Id="rId741" Type="http://schemas.openxmlformats.org/officeDocument/2006/relationships/footer" Target="footer61.xml"/><Relationship Id="rId742" Type="http://schemas.openxmlformats.org/officeDocument/2006/relationships/footer" Target="footer62.xml"/><Relationship Id="rId743" Type="http://schemas.openxmlformats.org/officeDocument/2006/relationships/image" Target="media/image613.jpeg"/><Relationship Id="rId744" Type="http://schemas.openxmlformats.org/officeDocument/2006/relationships/header" Target="header64.xml"/><Relationship Id="rId745" Type="http://schemas.openxmlformats.org/officeDocument/2006/relationships/image" Target="media/image614.png"/><Relationship Id="rId746" Type="http://schemas.openxmlformats.org/officeDocument/2006/relationships/image" Target="media/image615.png"/><Relationship Id="rId747" Type="http://schemas.openxmlformats.org/officeDocument/2006/relationships/image" Target="media/image616.png"/><Relationship Id="rId748" Type="http://schemas.openxmlformats.org/officeDocument/2006/relationships/image" Target="media/image617.png"/><Relationship Id="rId749" Type="http://schemas.openxmlformats.org/officeDocument/2006/relationships/image" Target="media/image618.png"/><Relationship Id="rId750" Type="http://schemas.openxmlformats.org/officeDocument/2006/relationships/image" Target="media/image619.png"/><Relationship Id="rId751" Type="http://schemas.openxmlformats.org/officeDocument/2006/relationships/image" Target="media/image620.png"/><Relationship Id="rId752" Type="http://schemas.openxmlformats.org/officeDocument/2006/relationships/header" Target="header65.xml"/><Relationship Id="rId753" Type="http://schemas.openxmlformats.org/officeDocument/2006/relationships/image" Target="media/image621.png"/><Relationship Id="rId754" Type="http://schemas.openxmlformats.org/officeDocument/2006/relationships/header" Target="header66.xml"/><Relationship Id="rId755" Type="http://schemas.openxmlformats.org/officeDocument/2006/relationships/footer" Target="footer63.xml"/><Relationship Id="rId756" Type="http://schemas.openxmlformats.org/officeDocument/2006/relationships/footer" Target="footer64.xml"/><Relationship Id="rId757" Type="http://schemas.openxmlformats.org/officeDocument/2006/relationships/header" Target="header67.xml"/><Relationship Id="rId758" Type="http://schemas.openxmlformats.org/officeDocument/2006/relationships/image" Target="media/image622.png"/><Relationship Id="rId759" Type="http://schemas.openxmlformats.org/officeDocument/2006/relationships/image" Target="media/image623.png"/><Relationship Id="rId760" Type="http://schemas.openxmlformats.org/officeDocument/2006/relationships/image" Target="media/image624.png"/><Relationship Id="rId761" Type="http://schemas.openxmlformats.org/officeDocument/2006/relationships/image" Target="media/image625.png"/><Relationship Id="rId762" Type="http://schemas.openxmlformats.org/officeDocument/2006/relationships/image" Target="media/image626.png"/><Relationship Id="rId763" Type="http://schemas.openxmlformats.org/officeDocument/2006/relationships/image" Target="media/image627.png"/><Relationship Id="rId764" Type="http://schemas.openxmlformats.org/officeDocument/2006/relationships/image" Target="media/image628.png"/><Relationship Id="rId765" Type="http://schemas.openxmlformats.org/officeDocument/2006/relationships/image" Target="media/image629.png"/><Relationship Id="rId766" Type="http://schemas.openxmlformats.org/officeDocument/2006/relationships/image" Target="media/image630.png"/><Relationship Id="rId767" Type="http://schemas.openxmlformats.org/officeDocument/2006/relationships/image" Target="media/image631.png"/><Relationship Id="rId768" Type="http://schemas.openxmlformats.org/officeDocument/2006/relationships/image" Target="media/image632.png"/><Relationship Id="rId769" Type="http://schemas.openxmlformats.org/officeDocument/2006/relationships/image" Target="media/image633.png"/><Relationship Id="rId770" Type="http://schemas.openxmlformats.org/officeDocument/2006/relationships/image" Target="media/image634.png"/><Relationship Id="rId771" Type="http://schemas.openxmlformats.org/officeDocument/2006/relationships/image" Target="media/image635.png"/><Relationship Id="rId772" Type="http://schemas.openxmlformats.org/officeDocument/2006/relationships/image" Target="media/image636.png"/><Relationship Id="rId773" Type="http://schemas.openxmlformats.org/officeDocument/2006/relationships/image" Target="media/image637.png"/><Relationship Id="rId774" Type="http://schemas.openxmlformats.org/officeDocument/2006/relationships/image" Target="media/image638.png"/><Relationship Id="rId775" Type="http://schemas.openxmlformats.org/officeDocument/2006/relationships/image" Target="media/image639.png"/><Relationship Id="rId776" Type="http://schemas.openxmlformats.org/officeDocument/2006/relationships/header" Target="header68.xml"/><Relationship Id="rId777" Type="http://schemas.openxmlformats.org/officeDocument/2006/relationships/footer" Target="footer65.xml"/><Relationship Id="rId778" Type="http://schemas.openxmlformats.org/officeDocument/2006/relationships/footer" Target="footer66.xml"/><Relationship Id="rId779" Type="http://schemas.openxmlformats.org/officeDocument/2006/relationships/image" Target="media/image640.png"/><Relationship Id="rId780" Type="http://schemas.openxmlformats.org/officeDocument/2006/relationships/image" Target="media/image641.png"/><Relationship Id="rId781" Type="http://schemas.openxmlformats.org/officeDocument/2006/relationships/image" Target="media/image642.png"/><Relationship Id="rId782" Type="http://schemas.openxmlformats.org/officeDocument/2006/relationships/image" Target="media/image643.png"/><Relationship Id="rId783" Type="http://schemas.openxmlformats.org/officeDocument/2006/relationships/image" Target="media/image644.png"/><Relationship Id="rId784" Type="http://schemas.openxmlformats.org/officeDocument/2006/relationships/image" Target="media/image645.png"/><Relationship Id="rId785" Type="http://schemas.openxmlformats.org/officeDocument/2006/relationships/image" Target="media/image646.png"/><Relationship Id="rId786" Type="http://schemas.openxmlformats.org/officeDocument/2006/relationships/image" Target="media/image647.png"/><Relationship Id="rId787" Type="http://schemas.openxmlformats.org/officeDocument/2006/relationships/image" Target="media/image648.png"/><Relationship Id="rId788" Type="http://schemas.openxmlformats.org/officeDocument/2006/relationships/image" Target="media/image649.png"/><Relationship Id="rId789" Type="http://schemas.openxmlformats.org/officeDocument/2006/relationships/image" Target="media/image650.png"/><Relationship Id="rId790" Type="http://schemas.openxmlformats.org/officeDocument/2006/relationships/image" Target="media/image651.png"/><Relationship Id="rId791" Type="http://schemas.openxmlformats.org/officeDocument/2006/relationships/image" Target="media/image652.png"/><Relationship Id="rId792" Type="http://schemas.openxmlformats.org/officeDocument/2006/relationships/image" Target="media/image653.png"/><Relationship Id="rId793" Type="http://schemas.openxmlformats.org/officeDocument/2006/relationships/image" Target="media/image654.png"/><Relationship Id="rId794" Type="http://schemas.openxmlformats.org/officeDocument/2006/relationships/image" Target="media/image655.png"/><Relationship Id="rId795" Type="http://schemas.openxmlformats.org/officeDocument/2006/relationships/image" Target="media/image656.png"/><Relationship Id="rId796" Type="http://schemas.openxmlformats.org/officeDocument/2006/relationships/image" Target="media/image657.png"/><Relationship Id="rId797" Type="http://schemas.openxmlformats.org/officeDocument/2006/relationships/image" Target="media/image658.png"/><Relationship Id="rId798" Type="http://schemas.openxmlformats.org/officeDocument/2006/relationships/image" Target="media/image659.png"/><Relationship Id="rId799" Type="http://schemas.openxmlformats.org/officeDocument/2006/relationships/header" Target="header69.xml"/><Relationship Id="rId800" Type="http://schemas.openxmlformats.org/officeDocument/2006/relationships/image" Target="media/image660.png"/><Relationship Id="rId801" Type="http://schemas.openxmlformats.org/officeDocument/2006/relationships/header" Target="header70.xml"/><Relationship Id="rId802" Type="http://schemas.openxmlformats.org/officeDocument/2006/relationships/footer" Target="footer67.xml"/><Relationship Id="rId803" Type="http://schemas.openxmlformats.org/officeDocument/2006/relationships/footer" Target="footer68.xml"/><Relationship Id="rId804" Type="http://schemas.openxmlformats.org/officeDocument/2006/relationships/image" Target="media/image661.png"/><Relationship Id="rId805" Type="http://schemas.openxmlformats.org/officeDocument/2006/relationships/image" Target="media/image662.png"/><Relationship Id="rId806" Type="http://schemas.openxmlformats.org/officeDocument/2006/relationships/image" Target="media/image663.png"/><Relationship Id="rId807" Type="http://schemas.openxmlformats.org/officeDocument/2006/relationships/image" Target="media/image664.png"/><Relationship Id="rId808" Type="http://schemas.openxmlformats.org/officeDocument/2006/relationships/image" Target="media/image665.png"/><Relationship Id="rId809" Type="http://schemas.openxmlformats.org/officeDocument/2006/relationships/image" Target="media/image666.png"/><Relationship Id="rId810" Type="http://schemas.openxmlformats.org/officeDocument/2006/relationships/image" Target="media/image667.png"/><Relationship Id="rId811" Type="http://schemas.openxmlformats.org/officeDocument/2006/relationships/image" Target="media/image668.png"/><Relationship Id="rId812" Type="http://schemas.openxmlformats.org/officeDocument/2006/relationships/image" Target="media/image669.png"/><Relationship Id="rId813" Type="http://schemas.openxmlformats.org/officeDocument/2006/relationships/image" Target="media/image670.png"/><Relationship Id="rId814" Type="http://schemas.openxmlformats.org/officeDocument/2006/relationships/image" Target="media/image671.png"/><Relationship Id="rId815" Type="http://schemas.openxmlformats.org/officeDocument/2006/relationships/image" Target="media/image672.png"/><Relationship Id="rId816" Type="http://schemas.openxmlformats.org/officeDocument/2006/relationships/image" Target="media/image673.png"/><Relationship Id="rId817" Type="http://schemas.openxmlformats.org/officeDocument/2006/relationships/header" Target="header71.xml"/><Relationship Id="rId818" Type="http://schemas.openxmlformats.org/officeDocument/2006/relationships/image" Target="media/image674.png"/><Relationship Id="rId819" Type="http://schemas.openxmlformats.org/officeDocument/2006/relationships/header" Target="header72.xml"/><Relationship Id="rId820" Type="http://schemas.openxmlformats.org/officeDocument/2006/relationships/footer" Target="footer69.xml"/><Relationship Id="rId821" Type="http://schemas.openxmlformats.org/officeDocument/2006/relationships/footer" Target="footer70.xml"/><Relationship Id="rId822" Type="http://schemas.openxmlformats.org/officeDocument/2006/relationships/header" Target="header73.xml"/><Relationship Id="rId823" Type="http://schemas.openxmlformats.org/officeDocument/2006/relationships/header" Target="header74.xml"/><Relationship Id="rId824" Type="http://schemas.openxmlformats.org/officeDocument/2006/relationships/footer" Target="footer71.xml"/><Relationship Id="rId825" Type="http://schemas.openxmlformats.org/officeDocument/2006/relationships/footer" Target="footer72.xml"/><Relationship Id="rId826" Type="http://schemas.openxmlformats.org/officeDocument/2006/relationships/image" Target="media/image675.png"/><Relationship Id="rId827" Type="http://schemas.openxmlformats.org/officeDocument/2006/relationships/image" Target="media/image676.png"/><Relationship Id="rId828" Type="http://schemas.openxmlformats.org/officeDocument/2006/relationships/image" Target="media/image677.png"/><Relationship Id="rId829" Type="http://schemas.openxmlformats.org/officeDocument/2006/relationships/image" Target="media/image678.png"/><Relationship Id="rId830" Type="http://schemas.openxmlformats.org/officeDocument/2006/relationships/header" Target="header75.xml"/><Relationship Id="rId831" Type="http://schemas.openxmlformats.org/officeDocument/2006/relationships/image" Target="media/image679.png"/><Relationship Id="rId832" Type="http://schemas.openxmlformats.org/officeDocument/2006/relationships/image" Target="media/image680.png"/><Relationship Id="rId833" Type="http://schemas.openxmlformats.org/officeDocument/2006/relationships/header" Target="header76.xml"/><Relationship Id="rId834" Type="http://schemas.openxmlformats.org/officeDocument/2006/relationships/footer" Target="footer73.xml"/><Relationship Id="rId835" Type="http://schemas.openxmlformats.org/officeDocument/2006/relationships/footer" Target="footer74.xml"/><Relationship Id="rId836" Type="http://schemas.openxmlformats.org/officeDocument/2006/relationships/header" Target="header77.xml"/><Relationship Id="rId837" Type="http://schemas.openxmlformats.org/officeDocument/2006/relationships/image" Target="media/image681.png"/><Relationship Id="rId838" Type="http://schemas.openxmlformats.org/officeDocument/2006/relationships/image" Target="media/image682.png"/><Relationship Id="rId839" Type="http://schemas.openxmlformats.org/officeDocument/2006/relationships/image" Target="media/image683.png"/><Relationship Id="rId840" Type="http://schemas.openxmlformats.org/officeDocument/2006/relationships/image" Target="media/image684.png"/><Relationship Id="rId841" Type="http://schemas.openxmlformats.org/officeDocument/2006/relationships/header" Target="header78.xml"/><Relationship Id="rId842" Type="http://schemas.openxmlformats.org/officeDocument/2006/relationships/footer" Target="footer75.xml"/><Relationship Id="rId843" Type="http://schemas.openxmlformats.org/officeDocument/2006/relationships/footer" Target="footer76.xml"/><Relationship Id="rId844" Type="http://schemas.openxmlformats.org/officeDocument/2006/relationships/header" Target="header79.xml"/><Relationship Id="rId845" Type="http://schemas.openxmlformats.org/officeDocument/2006/relationships/header" Target="header80.xml"/><Relationship Id="rId846" Type="http://schemas.openxmlformats.org/officeDocument/2006/relationships/footer" Target="footer77.xml"/><Relationship Id="rId847" Type="http://schemas.openxmlformats.org/officeDocument/2006/relationships/footer" Target="footer78.xml"/><Relationship Id="rId848" Type="http://schemas.openxmlformats.org/officeDocument/2006/relationships/image" Target="media/image685.jpeg"/><Relationship Id="rId849" Type="http://schemas.openxmlformats.org/officeDocument/2006/relationships/header" Target="header81.xml"/><Relationship Id="rId850" Type="http://schemas.openxmlformats.org/officeDocument/2006/relationships/image" Target="media/image686.png"/><Relationship Id="rId851" Type="http://schemas.openxmlformats.org/officeDocument/2006/relationships/image" Target="media/image687.png"/><Relationship Id="rId852" Type="http://schemas.openxmlformats.org/officeDocument/2006/relationships/header" Target="header82.xml"/><Relationship Id="rId853" Type="http://schemas.openxmlformats.org/officeDocument/2006/relationships/image" Target="media/image688.png"/><Relationship Id="rId854" Type="http://schemas.openxmlformats.org/officeDocument/2006/relationships/image" Target="media/image689.png"/><Relationship Id="rId855" Type="http://schemas.openxmlformats.org/officeDocument/2006/relationships/image" Target="media/image690.png"/><Relationship Id="rId856" Type="http://schemas.openxmlformats.org/officeDocument/2006/relationships/image" Target="media/image691.png"/><Relationship Id="rId857" Type="http://schemas.openxmlformats.org/officeDocument/2006/relationships/image" Target="media/image692.png"/><Relationship Id="rId858" Type="http://schemas.openxmlformats.org/officeDocument/2006/relationships/image" Target="media/image693.png"/><Relationship Id="rId859" Type="http://schemas.openxmlformats.org/officeDocument/2006/relationships/image" Target="media/image694.png"/><Relationship Id="rId860" Type="http://schemas.openxmlformats.org/officeDocument/2006/relationships/image" Target="media/image695.png"/><Relationship Id="rId861" Type="http://schemas.openxmlformats.org/officeDocument/2006/relationships/image" Target="media/image696.png"/><Relationship Id="rId862" Type="http://schemas.openxmlformats.org/officeDocument/2006/relationships/header" Target="header83.xml"/><Relationship Id="rId863" Type="http://schemas.openxmlformats.org/officeDocument/2006/relationships/footer" Target="footer79.xml"/><Relationship Id="rId864" Type="http://schemas.openxmlformats.org/officeDocument/2006/relationships/footer" Target="footer80.xml"/><Relationship Id="rId865" Type="http://schemas.openxmlformats.org/officeDocument/2006/relationships/header" Target="header84.xml"/><Relationship Id="rId866" Type="http://schemas.openxmlformats.org/officeDocument/2006/relationships/image" Target="media/image697.png"/><Relationship Id="rId867" Type="http://schemas.openxmlformats.org/officeDocument/2006/relationships/image" Target="media/image698.png"/><Relationship Id="rId868" Type="http://schemas.openxmlformats.org/officeDocument/2006/relationships/image" Target="media/image699.png"/><Relationship Id="rId869" Type="http://schemas.openxmlformats.org/officeDocument/2006/relationships/image" Target="media/image700.png"/><Relationship Id="rId870" Type="http://schemas.openxmlformats.org/officeDocument/2006/relationships/image" Target="media/image701.png"/><Relationship Id="rId871" Type="http://schemas.openxmlformats.org/officeDocument/2006/relationships/image" Target="media/image702.png"/><Relationship Id="rId872" Type="http://schemas.openxmlformats.org/officeDocument/2006/relationships/header" Target="header85.xml"/><Relationship Id="rId873" Type="http://schemas.openxmlformats.org/officeDocument/2006/relationships/footer" Target="footer81.xml"/><Relationship Id="rId874" Type="http://schemas.openxmlformats.org/officeDocument/2006/relationships/footer" Target="footer82.xml"/><Relationship Id="rId875" Type="http://schemas.openxmlformats.org/officeDocument/2006/relationships/image" Target="media/image703.png"/><Relationship Id="rId876" Type="http://schemas.openxmlformats.org/officeDocument/2006/relationships/image" Target="media/image704.png"/><Relationship Id="rId877" Type="http://schemas.openxmlformats.org/officeDocument/2006/relationships/image" Target="media/image705.png"/><Relationship Id="rId878" Type="http://schemas.openxmlformats.org/officeDocument/2006/relationships/image" Target="media/image706.png"/><Relationship Id="rId879" Type="http://schemas.openxmlformats.org/officeDocument/2006/relationships/header" Target="header86.xml"/><Relationship Id="rId880" Type="http://schemas.openxmlformats.org/officeDocument/2006/relationships/image" Target="media/image707.png"/><Relationship Id="rId881" Type="http://schemas.openxmlformats.org/officeDocument/2006/relationships/image" Target="media/image708.png"/><Relationship Id="rId882" Type="http://schemas.openxmlformats.org/officeDocument/2006/relationships/image" Target="media/image709.png"/><Relationship Id="rId883" Type="http://schemas.openxmlformats.org/officeDocument/2006/relationships/image" Target="media/image710.png"/><Relationship Id="rId884" Type="http://schemas.openxmlformats.org/officeDocument/2006/relationships/image" Target="media/image711.png"/><Relationship Id="rId885" Type="http://schemas.openxmlformats.org/officeDocument/2006/relationships/image" Target="media/image712.png"/><Relationship Id="rId886" Type="http://schemas.openxmlformats.org/officeDocument/2006/relationships/image" Target="media/image713.png"/><Relationship Id="rId887" Type="http://schemas.openxmlformats.org/officeDocument/2006/relationships/image" Target="media/image714.png"/><Relationship Id="rId888" Type="http://schemas.openxmlformats.org/officeDocument/2006/relationships/header" Target="header87.xml"/><Relationship Id="rId889" Type="http://schemas.openxmlformats.org/officeDocument/2006/relationships/footer" Target="footer83.xml"/><Relationship Id="rId890" Type="http://schemas.openxmlformats.org/officeDocument/2006/relationships/footer" Target="footer84.xml"/><Relationship Id="rId891" Type="http://schemas.openxmlformats.org/officeDocument/2006/relationships/image" Target="media/image715.png"/><Relationship Id="rId892" Type="http://schemas.openxmlformats.org/officeDocument/2006/relationships/image" Target="media/image716.png"/><Relationship Id="rId893" Type="http://schemas.openxmlformats.org/officeDocument/2006/relationships/header" Target="header88.xml"/><Relationship Id="rId894" Type="http://schemas.openxmlformats.org/officeDocument/2006/relationships/image" Target="media/image717.png"/><Relationship Id="rId895" Type="http://schemas.openxmlformats.org/officeDocument/2006/relationships/image" Target="media/image718.png"/><Relationship Id="rId896" Type="http://schemas.openxmlformats.org/officeDocument/2006/relationships/image" Target="media/image719.png"/><Relationship Id="rId897" Type="http://schemas.openxmlformats.org/officeDocument/2006/relationships/image" Target="media/image720.png"/><Relationship Id="rId898" Type="http://schemas.openxmlformats.org/officeDocument/2006/relationships/image" Target="media/image721.png"/><Relationship Id="rId899" Type="http://schemas.openxmlformats.org/officeDocument/2006/relationships/image" Target="media/image722.png"/><Relationship Id="rId900" Type="http://schemas.openxmlformats.org/officeDocument/2006/relationships/image" Target="media/image723.png"/><Relationship Id="rId901" Type="http://schemas.openxmlformats.org/officeDocument/2006/relationships/image" Target="media/image724.png"/><Relationship Id="rId902" Type="http://schemas.openxmlformats.org/officeDocument/2006/relationships/image" Target="media/image725.png"/><Relationship Id="rId903" Type="http://schemas.openxmlformats.org/officeDocument/2006/relationships/header" Target="header89.xml"/><Relationship Id="rId904" Type="http://schemas.openxmlformats.org/officeDocument/2006/relationships/footer" Target="footer85.xml"/><Relationship Id="rId905" Type="http://schemas.openxmlformats.org/officeDocument/2006/relationships/footer" Target="footer86.xml"/><Relationship Id="rId906" Type="http://schemas.openxmlformats.org/officeDocument/2006/relationships/header" Target="header90.xml"/><Relationship Id="rId907" Type="http://schemas.openxmlformats.org/officeDocument/2006/relationships/header" Target="header91.xml"/><Relationship Id="rId908" Type="http://schemas.openxmlformats.org/officeDocument/2006/relationships/footer" Target="footer87.xml"/><Relationship Id="rId909" Type="http://schemas.openxmlformats.org/officeDocument/2006/relationships/footer" Target="footer88.xml"/><Relationship Id="rId910" Type="http://schemas.openxmlformats.org/officeDocument/2006/relationships/image" Target="media/image726.png"/><Relationship Id="rId911" Type="http://schemas.openxmlformats.org/officeDocument/2006/relationships/image" Target="media/image727.png"/><Relationship Id="rId912" Type="http://schemas.openxmlformats.org/officeDocument/2006/relationships/image" Target="media/image728.png"/><Relationship Id="rId913" Type="http://schemas.openxmlformats.org/officeDocument/2006/relationships/image" Target="media/image729.png"/><Relationship Id="rId914" Type="http://schemas.openxmlformats.org/officeDocument/2006/relationships/image" Target="media/image730.png"/><Relationship Id="rId915" Type="http://schemas.openxmlformats.org/officeDocument/2006/relationships/image" Target="media/image731.png"/><Relationship Id="rId916" Type="http://schemas.openxmlformats.org/officeDocument/2006/relationships/image" Target="media/image732.png"/><Relationship Id="rId917" Type="http://schemas.openxmlformats.org/officeDocument/2006/relationships/header" Target="header92.xml"/><Relationship Id="rId918" Type="http://schemas.openxmlformats.org/officeDocument/2006/relationships/header" Target="header93.xml"/><Relationship Id="rId919" Type="http://schemas.openxmlformats.org/officeDocument/2006/relationships/footer" Target="footer89.xml"/><Relationship Id="rId920" Type="http://schemas.openxmlformats.org/officeDocument/2006/relationships/footer" Target="footer90.xml"/><Relationship Id="rId921" Type="http://schemas.openxmlformats.org/officeDocument/2006/relationships/image" Target="media/image733.png"/><Relationship Id="rId922" Type="http://schemas.openxmlformats.org/officeDocument/2006/relationships/header" Target="header94.xml"/><Relationship Id="rId923" Type="http://schemas.openxmlformats.org/officeDocument/2006/relationships/header" Target="header95.xml"/><Relationship Id="rId924" Type="http://schemas.openxmlformats.org/officeDocument/2006/relationships/footer" Target="footer91.xml"/><Relationship Id="rId925" Type="http://schemas.openxmlformats.org/officeDocument/2006/relationships/footer" Target="footer92.xml"/><Relationship Id="rId926" Type="http://schemas.openxmlformats.org/officeDocument/2006/relationships/header" Target="header96.xml"/><Relationship Id="rId927" Type="http://schemas.openxmlformats.org/officeDocument/2006/relationships/header" Target="header97.xml"/><Relationship Id="rId928" Type="http://schemas.openxmlformats.org/officeDocument/2006/relationships/footer" Target="footer93.xml"/><Relationship Id="rId929" Type="http://schemas.openxmlformats.org/officeDocument/2006/relationships/footer" Target="footer94.xml"/><Relationship Id="rId930" Type="http://schemas.openxmlformats.org/officeDocument/2006/relationships/header" Target="header98.xml"/><Relationship Id="rId931" Type="http://schemas.openxmlformats.org/officeDocument/2006/relationships/header" Target="header99.xml"/><Relationship Id="rId932" Type="http://schemas.openxmlformats.org/officeDocument/2006/relationships/footer" Target="footer95.xml"/><Relationship Id="rId933" Type="http://schemas.openxmlformats.org/officeDocument/2006/relationships/footer" Target="footer96.xml"/><Relationship Id="rId934" Type="http://schemas.openxmlformats.org/officeDocument/2006/relationships/image" Target="media/image734.jpeg"/><Relationship Id="rId935" Type="http://schemas.openxmlformats.org/officeDocument/2006/relationships/header" Target="header100.xml"/><Relationship Id="rId936" Type="http://schemas.openxmlformats.org/officeDocument/2006/relationships/header" Target="header101.xml"/><Relationship Id="rId937" Type="http://schemas.openxmlformats.org/officeDocument/2006/relationships/header" Target="header102.xml"/><Relationship Id="rId938" Type="http://schemas.openxmlformats.org/officeDocument/2006/relationships/footer" Target="footer97.xml"/><Relationship Id="rId939" Type="http://schemas.openxmlformats.org/officeDocument/2006/relationships/footer" Target="footer98.xml"/><Relationship Id="rId940" Type="http://schemas.openxmlformats.org/officeDocument/2006/relationships/image" Target="media/image735.png"/><Relationship Id="rId941" Type="http://schemas.openxmlformats.org/officeDocument/2006/relationships/image" Target="media/image736.png"/><Relationship Id="rId942" Type="http://schemas.openxmlformats.org/officeDocument/2006/relationships/image" Target="media/image737.png"/><Relationship Id="rId943" Type="http://schemas.openxmlformats.org/officeDocument/2006/relationships/image" Target="media/image738.png"/><Relationship Id="rId944" Type="http://schemas.openxmlformats.org/officeDocument/2006/relationships/header" Target="header103.xml"/><Relationship Id="rId945" Type="http://schemas.openxmlformats.org/officeDocument/2006/relationships/header" Target="header104.xml"/><Relationship Id="rId946" Type="http://schemas.openxmlformats.org/officeDocument/2006/relationships/footer" Target="footer99.xml"/><Relationship Id="rId947" Type="http://schemas.openxmlformats.org/officeDocument/2006/relationships/footer" Target="footer100.xml"/><Relationship Id="rId948" Type="http://schemas.openxmlformats.org/officeDocument/2006/relationships/header" Target="header105.xml"/><Relationship Id="rId949" Type="http://schemas.openxmlformats.org/officeDocument/2006/relationships/image" Target="media/image739.png"/><Relationship Id="rId950" Type="http://schemas.openxmlformats.org/officeDocument/2006/relationships/image" Target="media/image740.png"/><Relationship Id="rId951" Type="http://schemas.openxmlformats.org/officeDocument/2006/relationships/image" Target="media/image741.png"/><Relationship Id="rId952" Type="http://schemas.openxmlformats.org/officeDocument/2006/relationships/image" Target="media/image742.png"/><Relationship Id="rId953" Type="http://schemas.openxmlformats.org/officeDocument/2006/relationships/header" Target="header106.xml"/><Relationship Id="rId954" Type="http://schemas.openxmlformats.org/officeDocument/2006/relationships/footer" Target="footer101.xml"/><Relationship Id="rId955" Type="http://schemas.openxmlformats.org/officeDocument/2006/relationships/footer" Target="footer102.xml"/><Relationship Id="rId956" Type="http://schemas.openxmlformats.org/officeDocument/2006/relationships/image" Target="media/image743.png"/><Relationship Id="rId957" Type="http://schemas.openxmlformats.org/officeDocument/2006/relationships/image" Target="media/image744.png"/><Relationship Id="rId958" Type="http://schemas.openxmlformats.org/officeDocument/2006/relationships/image" Target="media/image745.png"/><Relationship Id="rId959" Type="http://schemas.openxmlformats.org/officeDocument/2006/relationships/image" Target="media/image746.png"/><Relationship Id="rId960" Type="http://schemas.openxmlformats.org/officeDocument/2006/relationships/image" Target="media/image747.png"/><Relationship Id="rId961" Type="http://schemas.openxmlformats.org/officeDocument/2006/relationships/image" Target="media/image748.png"/><Relationship Id="rId962" Type="http://schemas.openxmlformats.org/officeDocument/2006/relationships/image" Target="media/image749.png"/><Relationship Id="rId963" Type="http://schemas.openxmlformats.org/officeDocument/2006/relationships/image" Target="media/image750.png"/><Relationship Id="rId964" Type="http://schemas.openxmlformats.org/officeDocument/2006/relationships/image" Target="media/image751.png"/><Relationship Id="rId965" Type="http://schemas.openxmlformats.org/officeDocument/2006/relationships/image" Target="media/image752.png"/><Relationship Id="rId966" Type="http://schemas.openxmlformats.org/officeDocument/2006/relationships/image" Target="media/image753.png"/><Relationship Id="rId967" Type="http://schemas.openxmlformats.org/officeDocument/2006/relationships/image" Target="media/image754.png"/><Relationship Id="rId968" Type="http://schemas.openxmlformats.org/officeDocument/2006/relationships/image" Target="media/image755.png"/><Relationship Id="rId969" Type="http://schemas.openxmlformats.org/officeDocument/2006/relationships/image" Target="media/image756.png"/><Relationship Id="rId970" Type="http://schemas.openxmlformats.org/officeDocument/2006/relationships/image" Target="media/image757.png"/><Relationship Id="rId971" Type="http://schemas.openxmlformats.org/officeDocument/2006/relationships/image" Target="media/image758.png"/><Relationship Id="rId972" Type="http://schemas.openxmlformats.org/officeDocument/2006/relationships/image" Target="media/image759.png"/><Relationship Id="rId973" Type="http://schemas.openxmlformats.org/officeDocument/2006/relationships/image" Target="media/image760.png"/><Relationship Id="rId974" Type="http://schemas.openxmlformats.org/officeDocument/2006/relationships/header" Target="header107.xml"/><Relationship Id="rId975" Type="http://schemas.openxmlformats.org/officeDocument/2006/relationships/header" Target="header108.xml"/><Relationship Id="rId976" Type="http://schemas.openxmlformats.org/officeDocument/2006/relationships/footer" Target="footer103.xml"/><Relationship Id="rId977" Type="http://schemas.openxmlformats.org/officeDocument/2006/relationships/footer" Target="footer104.xml"/><Relationship Id="rId978" Type="http://schemas.openxmlformats.org/officeDocument/2006/relationships/image" Target="media/image761.png"/><Relationship Id="rId979" Type="http://schemas.openxmlformats.org/officeDocument/2006/relationships/image" Target="media/image762.png"/><Relationship Id="rId980" Type="http://schemas.openxmlformats.org/officeDocument/2006/relationships/image" Target="media/image763.png"/><Relationship Id="rId981" Type="http://schemas.openxmlformats.org/officeDocument/2006/relationships/image" Target="media/image764.png"/><Relationship Id="rId982" Type="http://schemas.openxmlformats.org/officeDocument/2006/relationships/image" Target="media/image765.png"/><Relationship Id="rId983" Type="http://schemas.openxmlformats.org/officeDocument/2006/relationships/image" Target="media/image766.png"/><Relationship Id="rId984" Type="http://schemas.openxmlformats.org/officeDocument/2006/relationships/image" Target="media/image767.png"/><Relationship Id="rId985" Type="http://schemas.openxmlformats.org/officeDocument/2006/relationships/image" Target="media/image768.png"/><Relationship Id="rId986" Type="http://schemas.openxmlformats.org/officeDocument/2006/relationships/image" Target="media/image769.png"/><Relationship Id="rId987" Type="http://schemas.openxmlformats.org/officeDocument/2006/relationships/image" Target="media/image770.png"/><Relationship Id="rId988" Type="http://schemas.openxmlformats.org/officeDocument/2006/relationships/image" Target="media/image771.png"/><Relationship Id="rId989" Type="http://schemas.openxmlformats.org/officeDocument/2006/relationships/header" Target="header109.xml"/><Relationship Id="rId990" Type="http://schemas.openxmlformats.org/officeDocument/2006/relationships/image" Target="media/image772.png"/><Relationship Id="rId991" Type="http://schemas.openxmlformats.org/officeDocument/2006/relationships/image" Target="media/image773.png"/><Relationship Id="rId992" Type="http://schemas.openxmlformats.org/officeDocument/2006/relationships/image" Target="media/image774.png"/><Relationship Id="rId993" Type="http://schemas.openxmlformats.org/officeDocument/2006/relationships/image" Target="media/image775.png"/><Relationship Id="rId994" Type="http://schemas.openxmlformats.org/officeDocument/2006/relationships/image" Target="media/image776.png"/><Relationship Id="rId995" Type="http://schemas.openxmlformats.org/officeDocument/2006/relationships/image" Target="media/image777.png"/><Relationship Id="rId996" Type="http://schemas.openxmlformats.org/officeDocument/2006/relationships/image" Target="media/image778.png"/><Relationship Id="rId997" Type="http://schemas.openxmlformats.org/officeDocument/2006/relationships/image" Target="media/image779.png"/><Relationship Id="rId998" Type="http://schemas.openxmlformats.org/officeDocument/2006/relationships/image" Target="media/image780.png"/><Relationship Id="rId999" Type="http://schemas.openxmlformats.org/officeDocument/2006/relationships/image" Target="media/image781.png"/><Relationship Id="rId1000" Type="http://schemas.openxmlformats.org/officeDocument/2006/relationships/image" Target="media/image782.png"/><Relationship Id="rId1001" Type="http://schemas.openxmlformats.org/officeDocument/2006/relationships/image" Target="media/image783.png"/><Relationship Id="rId1002" Type="http://schemas.openxmlformats.org/officeDocument/2006/relationships/image" Target="media/image784.png"/><Relationship Id="rId1003" Type="http://schemas.openxmlformats.org/officeDocument/2006/relationships/image" Target="media/image785.png"/><Relationship Id="rId1004" Type="http://schemas.openxmlformats.org/officeDocument/2006/relationships/image" Target="media/image786.png"/><Relationship Id="rId1005" Type="http://schemas.openxmlformats.org/officeDocument/2006/relationships/image" Target="media/image787.png"/><Relationship Id="rId1006" Type="http://schemas.openxmlformats.org/officeDocument/2006/relationships/image" Target="media/image788.png"/><Relationship Id="rId1007" Type="http://schemas.openxmlformats.org/officeDocument/2006/relationships/image" Target="media/image789.png"/><Relationship Id="rId1008" Type="http://schemas.openxmlformats.org/officeDocument/2006/relationships/image" Target="media/image790.png"/><Relationship Id="rId1009" Type="http://schemas.openxmlformats.org/officeDocument/2006/relationships/image" Target="media/image791.png"/><Relationship Id="rId1010" Type="http://schemas.openxmlformats.org/officeDocument/2006/relationships/image" Target="media/image792.png"/><Relationship Id="rId1011" Type="http://schemas.openxmlformats.org/officeDocument/2006/relationships/image" Target="media/image793.png"/><Relationship Id="rId1012" Type="http://schemas.openxmlformats.org/officeDocument/2006/relationships/image" Target="media/image794.png"/><Relationship Id="rId1013" Type="http://schemas.openxmlformats.org/officeDocument/2006/relationships/header" Target="header110.xml"/><Relationship Id="rId1014" Type="http://schemas.openxmlformats.org/officeDocument/2006/relationships/footer" Target="footer105.xml"/><Relationship Id="rId1015" Type="http://schemas.openxmlformats.org/officeDocument/2006/relationships/footer" Target="footer106.xml"/><Relationship Id="rId1016" Type="http://schemas.openxmlformats.org/officeDocument/2006/relationships/header" Target="header111.xml"/><Relationship Id="rId1017" Type="http://schemas.openxmlformats.org/officeDocument/2006/relationships/header" Target="header112.xml"/><Relationship Id="rId1018" Type="http://schemas.openxmlformats.org/officeDocument/2006/relationships/footer" Target="footer107.xml"/><Relationship Id="rId1019" Type="http://schemas.openxmlformats.org/officeDocument/2006/relationships/footer" Target="footer108.xml"/><Relationship Id="rId1020" Type="http://schemas.openxmlformats.org/officeDocument/2006/relationships/header" Target="header113.xml"/><Relationship Id="rId1021" Type="http://schemas.openxmlformats.org/officeDocument/2006/relationships/header" Target="header114.xml"/><Relationship Id="rId1022" Type="http://schemas.openxmlformats.org/officeDocument/2006/relationships/footer" Target="footer109.xml"/><Relationship Id="rId1023" Type="http://schemas.openxmlformats.org/officeDocument/2006/relationships/footer" Target="footer110.xml"/><Relationship Id="rId1024" Type="http://schemas.openxmlformats.org/officeDocument/2006/relationships/image" Target="media/image795.png"/><Relationship Id="rId1025" Type="http://schemas.openxmlformats.org/officeDocument/2006/relationships/header" Target="header115.xml"/><Relationship Id="rId1026" Type="http://schemas.openxmlformats.org/officeDocument/2006/relationships/header" Target="header116.xml"/><Relationship Id="rId1027" Type="http://schemas.openxmlformats.org/officeDocument/2006/relationships/footer" Target="footer111.xml"/><Relationship Id="rId1028" Type="http://schemas.openxmlformats.org/officeDocument/2006/relationships/footer" Target="footer112.xml"/><Relationship Id="rId1029" Type="http://schemas.openxmlformats.org/officeDocument/2006/relationships/header" Target="header117.xml"/><Relationship Id="rId1030" Type="http://schemas.openxmlformats.org/officeDocument/2006/relationships/image" Target="media/image796.jpeg"/><Relationship Id="rId1031" Type="http://schemas.openxmlformats.org/officeDocument/2006/relationships/header" Target="header118.xml"/><Relationship Id="rId1032" Type="http://schemas.openxmlformats.org/officeDocument/2006/relationships/footer" Target="footer113.xml"/><Relationship Id="rId1033" Type="http://schemas.openxmlformats.org/officeDocument/2006/relationships/footer" Target="footer114.xml"/><Relationship Id="rId1034" Type="http://schemas.openxmlformats.org/officeDocument/2006/relationships/image" Target="media/image797.png"/><Relationship Id="rId1035" Type="http://schemas.openxmlformats.org/officeDocument/2006/relationships/image" Target="media/image798.png"/><Relationship Id="rId1036" Type="http://schemas.openxmlformats.org/officeDocument/2006/relationships/header" Target="header119.xml"/><Relationship Id="rId1037" Type="http://schemas.openxmlformats.org/officeDocument/2006/relationships/header" Target="header120.xml"/><Relationship Id="rId1038" Type="http://schemas.openxmlformats.org/officeDocument/2006/relationships/footer" Target="footer115.xml"/><Relationship Id="rId1039" Type="http://schemas.openxmlformats.org/officeDocument/2006/relationships/footer" Target="footer116.xml"/><Relationship Id="rId1040" Type="http://schemas.openxmlformats.org/officeDocument/2006/relationships/header" Target="header121.xml"/><Relationship Id="rId1041" Type="http://schemas.openxmlformats.org/officeDocument/2006/relationships/header" Target="header122.xml"/><Relationship Id="rId1042" Type="http://schemas.openxmlformats.org/officeDocument/2006/relationships/footer" Target="footer117.xml"/><Relationship Id="rId1043" Type="http://schemas.openxmlformats.org/officeDocument/2006/relationships/footer" Target="footer118.xml"/><Relationship Id="rId1044" Type="http://schemas.openxmlformats.org/officeDocument/2006/relationships/header" Target="header123.xml"/><Relationship Id="rId1045" Type="http://schemas.openxmlformats.org/officeDocument/2006/relationships/image" Target="media/image799.png"/><Relationship Id="rId1046" Type="http://schemas.openxmlformats.org/officeDocument/2006/relationships/image" Target="media/image800.png"/><Relationship Id="rId1047" Type="http://schemas.openxmlformats.org/officeDocument/2006/relationships/image" Target="media/image801.png"/><Relationship Id="rId1048" Type="http://schemas.openxmlformats.org/officeDocument/2006/relationships/image" Target="media/image802.png"/><Relationship Id="rId1049" Type="http://schemas.openxmlformats.org/officeDocument/2006/relationships/image" Target="media/image803.png"/><Relationship Id="rId1050" Type="http://schemas.openxmlformats.org/officeDocument/2006/relationships/image" Target="media/image804.png"/><Relationship Id="rId1051" Type="http://schemas.openxmlformats.org/officeDocument/2006/relationships/image" Target="media/image805.png"/><Relationship Id="rId1052" Type="http://schemas.openxmlformats.org/officeDocument/2006/relationships/header" Target="header124.xml"/><Relationship Id="rId1053" Type="http://schemas.openxmlformats.org/officeDocument/2006/relationships/footer" Target="footer119.xml"/><Relationship Id="rId1054" Type="http://schemas.openxmlformats.org/officeDocument/2006/relationships/footer" Target="footer120.xml"/><Relationship Id="rId1055" Type="http://schemas.openxmlformats.org/officeDocument/2006/relationships/header" Target="header125.xml"/><Relationship Id="rId1056" Type="http://schemas.openxmlformats.org/officeDocument/2006/relationships/header" Target="header126.xml"/><Relationship Id="rId1057" Type="http://schemas.openxmlformats.org/officeDocument/2006/relationships/footer" Target="footer121.xml"/><Relationship Id="rId1058" Type="http://schemas.openxmlformats.org/officeDocument/2006/relationships/footer" Target="footer122.xml"/><Relationship Id="rId1059" Type="http://schemas.openxmlformats.org/officeDocument/2006/relationships/image" Target="media/image806.png"/><Relationship Id="rId1060" Type="http://schemas.openxmlformats.org/officeDocument/2006/relationships/header" Target="header127.xml"/><Relationship Id="rId1061" Type="http://schemas.openxmlformats.org/officeDocument/2006/relationships/image" Target="media/image807.png"/><Relationship Id="rId1062" Type="http://schemas.openxmlformats.org/officeDocument/2006/relationships/image" Target="media/image808.png"/><Relationship Id="rId1063" Type="http://schemas.openxmlformats.org/officeDocument/2006/relationships/header" Target="header128.xml"/><Relationship Id="rId1064" Type="http://schemas.openxmlformats.org/officeDocument/2006/relationships/footer" Target="footer123.xml"/><Relationship Id="rId1065" Type="http://schemas.openxmlformats.org/officeDocument/2006/relationships/footer" Target="footer124.xml"/><Relationship Id="rId1066" Type="http://schemas.openxmlformats.org/officeDocument/2006/relationships/header" Target="header129.xml"/><Relationship Id="rId1067" Type="http://schemas.openxmlformats.org/officeDocument/2006/relationships/header" Target="header130.xml"/><Relationship Id="rId1068" Type="http://schemas.openxmlformats.org/officeDocument/2006/relationships/footer" Target="footer125.xml"/><Relationship Id="rId1069" Type="http://schemas.openxmlformats.org/officeDocument/2006/relationships/footer" Target="footer126.xml"/><Relationship Id="rId1070" Type="http://schemas.openxmlformats.org/officeDocument/2006/relationships/image" Target="media/image809.png"/><Relationship Id="rId1071" Type="http://schemas.openxmlformats.org/officeDocument/2006/relationships/image" Target="media/image810.png"/><Relationship Id="rId1072" Type="http://schemas.openxmlformats.org/officeDocument/2006/relationships/image" Target="media/image811.png"/><Relationship Id="rId1073" Type="http://schemas.openxmlformats.org/officeDocument/2006/relationships/image" Target="media/image812.png"/><Relationship Id="rId1074" Type="http://schemas.openxmlformats.org/officeDocument/2006/relationships/image" Target="media/image813.png"/><Relationship Id="rId1075" Type="http://schemas.openxmlformats.org/officeDocument/2006/relationships/image" Target="media/image814.png"/><Relationship Id="rId1076" Type="http://schemas.openxmlformats.org/officeDocument/2006/relationships/image" Target="media/image815.png"/><Relationship Id="rId1077" Type="http://schemas.openxmlformats.org/officeDocument/2006/relationships/image" Target="media/image816.png"/><Relationship Id="rId1078" Type="http://schemas.openxmlformats.org/officeDocument/2006/relationships/image" Target="media/image817.png"/><Relationship Id="rId1079" Type="http://schemas.openxmlformats.org/officeDocument/2006/relationships/image" Target="media/image818.png"/><Relationship Id="rId1080" Type="http://schemas.openxmlformats.org/officeDocument/2006/relationships/image" Target="media/image819.png"/><Relationship Id="rId1081" Type="http://schemas.openxmlformats.org/officeDocument/2006/relationships/image" Target="media/image820.png"/><Relationship Id="rId1082" Type="http://schemas.openxmlformats.org/officeDocument/2006/relationships/image" Target="media/image821.png"/><Relationship Id="rId1083" Type="http://schemas.openxmlformats.org/officeDocument/2006/relationships/image" Target="media/image822.png"/><Relationship Id="rId1084" Type="http://schemas.openxmlformats.org/officeDocument/2006/relationships/image" Target="media/image823.png"/><Relationship Id="rId1085" Type="http://schemas.openxmlformats.org/officeDocument/2006/relationships/image" Target="media/image824.png"/><Relationship Id="rId1086" Type="http://schemas.openxmlformats.org/officeDocument/2006/relationships/image" Target="media/image825.png"/><Relationship Id="rId1087" Type="http://schemas.openxmlformats.org/officeDocument/2006/relationships/image" Target="media/image826.png"/><Relationship Id="rId1088" Type="http://schemas.openxmlformats.org/officeDocument/2006/relationships/image" Target="media/image827.png"/><Relationship Id="rId1089" Type="http://schemas.openxmlformats.org/officeDocument/2006/relationships/image" Target="media/image828.png"/><Relationship Id="rId1090" Type="http://schemas.openxmlformats.org/officeDocument/2006/relationships/image" Target="media/image829.png"/><Relationship Id="rId1091" Type="http://schemas.openxmlformats.org/officeDocument/2006/relationships/image" Target="media/image830.png"/><Relationship Id="rId1092" Type="http://schemas.openxmlformats.org/officeDocument/2006/relationships/image" Target="media/image831.png"/><Relationship Id="rId1093" Type="http://schemas.openxmlformats.org/officeDocument/2006/relationships/image" Target="media/image832.png"/><Relationship Id="rId1094" Type="http://schemas.openxmlformats.org/officeDocument/2006/relationships/image" Target="media/image833.png"/><Relationship Id="rId1095" Type="http://schemas.openxmlformats.org/officeDocument/2006/relationships/header" Target="header131.xml"/><Relationship Id="rId1096" Type="http://schemas.openxmlformats.org/officeDocument/2006/relationships/header" Target="header132.xml"/><Relationship Id="rId1097" Type="http://schemas.openxmlformats.org/officeDocument/2006/relationships/footer" Target="footer127.xml"/><Relationship Id="rId1098" Type="http://schemas.openxmlformats.org/officeDocument/2006/relationships/hyperlink" Target="http://www.usrds.org/" TargetMode="External"/><Relationship Id="rId10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2020-04-19T15:17:44Z</dcterms:created>
  <dcterms:modified xsi:type="dcterms:W3CDTF">2020-04-19T15:17:44Z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2020-04-19T00:00:00Z</vt:filetime>
  </property>
  <property fmtid="{D5CDD505-2E9C-101B-9397-08002B2CF9AE}" pid="3" name="Creator">
    <vt:lpwstr>-|-  this layout: pidus  -|-</vt:lpwstr>
  </property>
  <property fmtid="{D5CDD505-2E9C-101B-9397-08002B2CF9AE}" pid="4" name="LastSaved">
    <vt:filetime>2020-04-19T00:00:00Z</vt:filetime>
  </property>
</Properties>
</file>